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header7.xml" ContentType="application/vnd.openxmlformats-officedocument.wordprocessingml.header+xml"/>
  <Override PartName="/word/footer78.xml" ContentType="application/vnd.openxmlformats-officedocument.wordprocessingml.footer+xml"/>
  <Override PartName="/word/header8.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9.xml" ContentType="application/vnd.openxmlformats-officedocument.wordprocessingml.header+xml"/>
  <Override PartName="/word/footer81.xml" ContentType="application/vnd.openxmlformats-officedocument.wordprocessingml.footer+xml"/>
  <Override PartName="/word/header10.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header11.xml" ContentType="application/vnd.openxmlformats-officedocument.wordprocessingml.header+xml"/>
  <Override PartName="/word/footer96.xml" ContentType="application/vnd.openxmlformats-officedocument.wordprocessingml.footer+xml"/>
  <Override PartName="/word/header12.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header13.xml" ContentType="application/vnd.openxmlformats-officedocument.wordprocessingml.header+xml"/>
  <Override PartName="/word/footer102.xml" ContentType="application/vnd.openxmlformats-officedocument.wordprocessingml.footer+xml"/>
  <Override PartName="/word/header1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header15.xml" ContentType="application/vnd.openxmlformats-officedocument.wordprocessingml.header+xml"/>
  <Override PartName="/word/footer137.xml" ContentType="application/vnd.openxmlformats-officedocument.wordprocessingml.footer+xml"/>
  <Override PartName="/word/header16.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header17.xml" ContentType="application/vnd.openxmlformats-officedocument.wordprocessingml.header+xml"/>
  <Override PartName="/word/footer154.xml" ContentType="application/vnd.openxmlformats-officedocument.wordprocessingml.footer+xml"/>
  <Override PartName="/word/header18.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header19.xml" ContentType="application/vnd.openxmlformats-officedocument.wordprocessingml.header+xml"/>
  <Override PartName="/word/footer171.xml" ContentType="application/vnd.openxmlformats-officedocument.wordprocessingml.footer+xml"/>
  <Override PartName="/word/header20.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header21.xml" ContentType="application/vnd.openxmlformats-officedocument.wordprocessingml.header+xml"/>
  <Override PartName="/word/footer201.xml" ContentType="application/vnd.openxmlformats-officedocument.wordprocessingml.footer+xml"/>
  <Override PartName="/word/header22.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header27.xml" ContentType="application/vnd.openxmlformats-officedocument.wordprocessingml.header+xml"/>
  <Override PartName="/word/footer221.xml" ContentType="application/vnd.openxmlformats-officedocument.wordprocessingml.footer+xml"/>
  <Override PartName="/word/header28.xml" ContentType="application/vnd.openxmlformats-officedocument.wordprocessingml.header+xml"/>
  <Override PartName="/word/footer222.xml" ContentType="application/vnd.openxmlformats-officedocument.wordprocessingml.footer+xml"/>
  <Override PartName="/word/header29.xml" ContentType="application/vnd.openxmlformats-officedocument.wordprocessingml.header+xml"/>
  <Override PartName="/word/footer223.xml" ContentType="application/vnd.openxmlformats-officedocument.wordprocessingml.footer+xml"/>
  <Override PartName="/word/header30.xml" ContentType="application/vnd.openxmlformats-officedocument.wordprocessingml.header+xml"/>
  <Override PartName="/word/footer224.xml" ContentType="application/vnd.openxmlformats-officedocument.wordprocessingml.footer+xml"/>
  <Override PartName="/word/header31.xml" ContentType="application/vnd.openxmlformats-officedocument.wordprocessingml.header+xml"/>
  <Override PartName="/word/footer225.xml" ContentType="application/vnd.openxmlformats-officedocument.wordprocessingml.footer+xml"/>
  <Override PartName="/word/header32.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header33.xml" ContentType="application/vnd.openxmlformats-officedocument.wordprocessingml.header+xml"/>
  <Override PartName="/word/footer2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0A3" w:rsidRDefault="00EA40A3">
      <w:pPr>
        <w:spacing w:line="278" w:lineRule="auto"/>
      </w:pPr>
      <w:bookmarkStart w:id="0" w:name="_GoBack"/>
      <w:bookmarkEnd w:id="0"/>
    </w:p>
    <w:p w:rsidR="00EA40A3" w:rsidRDefault="00EA40A3">
      <w:pPr>
        <w:spacing w:line="278" w:lineRule="auto"/>
      </w:pPr>
    </w:p>
    <w:p w:rsidR="00EA40A3" w:rsidRDefault="00E86C16">
      <w:pPr>
        <w:spacing w:before="127" w:line="221" w:lineRule="auto"/>
        <w:ind w:left="2125"/>
        <w:rPr>
          <w:rFonts w:ascii="黑体" w:eastAsia="黑体" w:hAnsi="黑体" w:cs="黑体"/>
          <w:sz w:val="39"/>
          <w:szCs w:val="39"/>
        </w:rPr>
      </w:pPr>
      <w:r>
        <w:rPr>
          <w:rFonts w:ascii="黑体" w:eastAsia="黑体" w:hAnsi="黑体" w:cs="黑体"/>
          <w:b/>
          <w:bCs/>
          <w:color w:val="FFFFFF"/>
          <w:spacing w:val="-11"/>
          <w:sz w:val="39"/>
          <w:szCs w:val="39"/>
        </w:rPr>
        <w:t>普通高等教育“十五”国家级规划教材</w:t>
      </w: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A40A3">
      <w:pPr>
        <w:spacing w:line="274" w:lineRule="auto"/>
      </w:pPr>
    </w:p>
    <w:p w:rsidR="00EA40A3" w:rsidRDefault="00E86C16">
      <w:pPr>
        <w:spacing w:before="539" w:line="221" w:lineRule="auto"/>
        <w:ind w:left="979"/>
        <w:rPr>
          <w:rFonts w:ascii="黑体" w:eastAsia="黑体" w:hAnsi="黑体" w:cs="黑体"/>
          <w:sz w:val="166"/>
          <w:szCs w:val="166"/>
        </w:rPr>
      </w:pPr>
      <w:r>
        <w:rPr>
          <w:rFonts w:ascii="黑体" w:eastAsia="黑体" w:hAnsi="黑体" w:cs="黑体"/>
          <w:spacing w:val="-13"/>
          <w:sz w:val="166"/>
          <w:szCs w:val="166"/>
        </w:rPr>
        <w:t>食品营养学</w:t>
      </w:r>
    </w:p>
    <w:p w:rsidR="00EA40A3" w:rsidRDefault="00EA40A3">
      <w:pPr>
        <w:spacing w:line="261" w:lineRule="auto"/>
      </w:pPr>
    </w:p>
    <w:p w:rsidR="00EA40A3" w:rsidRDefault="00EA40A3">
      <w:pPr>
        <w:spacing w:line="261" w:lineRule="auto"/>
      </w:pPr>
    </w:p>
    <w:p w:rsidR="00EA40A3" w:rsidRDefault="00EA40A3">
      <w:pPr>
        <w:spacing w:line="262" w:lineRule="auto"/>
      </w:pPr>
    </w:p>
    <w:p w:rsidR="00EA40A3" w:rsidRDefault="00E86C16">
      <w:pPr>
        <w:spacing w:before="126" w:line="219" w:lineRule="auto"/>
        <w:ind w:left="3439"/>
        <w:rPr>
          <w:rFonts w:ascii="宋体" w:eastAsia="宋体" w:hAnsi="宋体" w:cs="宋体"/>
          <w:sz w:val="39"/>
          <w:szCs w:val="39"/>
        </w:rPr>
      </w:pPr>
      <w:r>
        <w:rPr>
          <w:rFonts w:ascii="宋体" w:eastAsia="宋体" w:hAnsi="宋体" w:cs="宋体"/>
          <w:spacing w:val="-21"/>
          <w:sz w:val="39"/>
          <w:szCs w:val="39"/>
        </w:rPr>
        <w:t>孙</w:t>
      </w:r>
      <w:r>
        <w:rPr>
          <w:rFonts w:ascii="宋体" w:eastAsia="宋体" w:hAnsi="宋体" w:cs="宋体"/>
          <w:spacing w:val="-32"/>
          <w:sz w:val="39"/>
          <w:szCs w:val="39"/>
        </w:rPr>
        <w:t xml:space="preserve"> </w:t>
      </w:r>
      <w:r>
        <w:rPr>
          <w:rFonts w:ascii="宋体" w:eastAsia="宋体" w:hAnsi="宋体" w:cs="宋体"/>
          <w:spacing w:val="-21"/>
          <w:sz w:val="39"/>
          <w:szCs w:val="39"/>
        </w:rPr>
        <w:t>远</w:t>
      </w:r>
      <w:r>
        <w:rPr>
          <w:rFonts w:ascii="宋体" w:eastAsia="宋体" w:hAnsi="宋体" w:cs="宋体"/>
          <w:spacing w:val="3"/>
          <w:sz w:val="39"/>
          <w:szCs w:val="39"/>
        </w:rPr>
        <w:t xml:space="preserve"> </w:t>
      </w:r>
      <w:r>
        <w:rPr>
          <w:rFonts w:ascii="宋体" w:eastAsia="宋体" w:hAnsi="宋体" w:cs="宋体"/>
          <w:spacing w:val="-21"/>
          <w:sz w:val="39"/>
          <w:szCs w:val="39"/>
        </w:rPr>
        <w:t>明</w:t>
      </w:r>
      <w:r>
        <w:rPr>
          <w:rFonts w:ascii="宋体" w:eastAsia="宋体" w:hAnsi="宋体" w:cs="宋体"/>
          <w:spacing w:val="-30"/>
          <w:sz w:val="39"/>
          <w:szCs w:val="39"/>
        </w:rPr>
        <w:t xml:space="preserve"> </w:t>
      </w:r>
      <w:r>
        <w:rPr>
          <w:rFonts w:ascii="宋体" w:eastAsia="宋体" w:hAnsi="宋体" w:cs="宋体"/>
          <w:spacing w:val="-21"/>
          <w:sz w:val="39"/>
          <w:szCs w:val="39"/>
        </w:rPr>
        <w:t>主</w:t>
      </w:r>
      <w:r>
        <w:rPr>
          <w:rFonts w:ascii="宋体" w:eastAsia="宋体" w:hAnsi="宋体" w:cs="宋体"/>
          <w:spacing w:val="-30"/>
          <w:sz w:val="39"/>
          <w:szCs w:val="39"/>
        </w:rPr>
        <w:t xml:space="preserve"> </w:t>
      </w:r>
      <w:r>
        <w:rPr>
          <w:rFonts w:ascii="宋体" w:eastAsia="宋体" w:hAnsi="宋体" w:cs="宋体"/>
          <w:spacing w:val="-21"/>
          <w:sz w:val="39"/>
          <w:szCs w:val="39"/>
        </w:rPr>
        <w:t>编</w:t>
      </w: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A40A3">
      <w:pPr>
        <w:spacing w:line="250" w:lineRule="auto"/>
      </w:pPr>
    </w:p>
    <w:p w:rsidR="00EA40A3" w:rsidRDefault="00EA40A3">
      <w:pPr>
        <w:spacing w:line="250" w:lineRule="auto"/>
      </w:pPr>
    </w:p>
    <w:p w:rsidR="00EA40A3" w:rsidRDefault="00EA40A3">
      <w:pPr>
        <w:spacing w:line="250" w:lineRule="auto"/>
      </w:pPr>
    </w:p>
    <w:p w:rsidR="00EA40A3" w:rsidRDefault="00E86C16">
      <w:pPr>
        <w:spacing w:before="182" w:line="187" w:lineRule="auto"/>
        <w:ind w:left="2658"/>
        <w:rPr>
          <w:rFonts w:ascii="宋体" w:eastAsia="宋体" w:hAnsi="宋体" w:cs="宋体"/>
          <w:sz w:val="56"/>
          <w:szCs w:val="56"/>
        </w:rPr>
      </w:pPr>
      <w:r>
        <w:rPr>
          <w:rFonts w:ascii="宋体" w:eastAsia="宋体" w:hAnsi="宋体" w:cs="宋体"/>
          <w:b/>
          <w:bCs/>
          <w:spacing w:val="-55"/>
          <w:sz w:val="56"/>
          <w:szCs w:val="56"/>
        </w:rPr>
        <w:t>P</w:t>
      </w:r>
      <w:r>
        <w:rPr>
          <w:rFonts w:ascii="宋体" w:eastAsia="宋体" w:hAnsi="宋体" w:cs="宋体"/>
          <w:spacing w:val="30"/>
          <w:sz w:val="56"/>
          <w:szCs w:val="56"/>
        </w:rPr>
        <w:t xml:space="preserve">   </w:t>
      </w:r>
      <w:r>
        <w:rPr>
          <w:rFonts w:ascii="宋体" w:eastAsia="宋体" w:hAnsi="宋体" w:cs="宋体"/>
          <w:b/>
          <w:bCs/>
          <w:spacing w:val="-55"/>
          <w:sz w:val="56"/>
          <w:szCs w:val="56"/>
        </w:rPr>
        <w:t>种学出质社</w:t>
      </w:r>
    </w:p>
    <w:p w:rsidR="00EA40A3" w:rsidRDefault="00E86C16">
      <w:pPr>
        <w:spacing w:before="1" w:line="207" w:lineRule="auto"/>
        <w:ind w:left="3580"/>
        <w:rPr>
          <w:sz w:val="18"/>
          <w:szCs w:val="18"/>
        </w:rPr>
      </w:pPr>
      <w:r>
        <w:rPr>
          <w:spacing w:val="5"/>
          <w:sz w:val="18"/>
          <w:szCs w:val="18"/>
        </w:rPr>
        <w:t>www.SClencep,com</w:t>
      </w:r>
    </w:p>
    <w:p w:rsidR="00EA40A3" w:rsidRDefault="00EA40A3">
      <w:pPr>
        <w:sectPr w:rsidR="00EA40A3">
          <w:headerReference w:type="default" r:id="rId7"/>
          <w:pgSz w:w="9220" w:h="13370"/>
          <w:pgMar w:top="400" w:right="0" w:bottom="0" w:left="0" w:header="0" w:footer="0" w:gutter="0"/>
          <w:cols w:space="720"/>
        </w:sectPr>
      </w:pPr>
    </w:p>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Pr>
        <w:spacing w:line="241" w:lineRule="auto"/>
      </w:pPr>
    </w:p>
    <w:p w:rsidR="00EA40A3" w:rsidRDefault="00E86C16">
      <w:pPr>
        <w:spacing w:before="87" w:line="222" w:lineRule="auto"/>
        <w:ind w:left="926"/>
        <w:rPr>
          <w:rFonts w:ascii="仿宋" w:eastAsia="仿宋" w:hAnsi="仿宋" w:cs="仿宋"/>
          <w:sz w:val="27"/>
          <w:szCs w:val="27"/>
        </w:rPr>
      </w:pPr>
      <w:r>
        <w:rPr>
          <w:rFonts w:ascii="仿宋" w:eastAsia="仿宋" w:hAnsi="仿宋" w:cs="仿宋"/>
          <w:spacing w:val="4"/>
          <w:sz w:val="27"/>
          <w:szCs w:val="27"/>
        </w:rPr>
        <w:t>普通高等教育“十五”国家级规划教材</w:t>
      </w:r>
    </w:p>
    <w:p w:rsidR="00EA40A3" w:rsidRDefault="00EA40A3">
      <w:pPr>
        <w:spacing w:line="364" w:lineRule="auto"/>
      </w:pPr>
    </w:p>
    <w:p w:rsidR="00EA40A3" w:rsidRDefault="00E86C16">
      <w:pPr>
        <w:spacing w:before="221" w:line="221" w:lineRule="auto"/>
        <w:ind w:left="1026"/>
        <w:rPr>
          <w:rFonts w:ascii="黑体" w:eastAsia="黑体" w:hAnsi="黑体" w:cs="黑体"/>
          <w:sz w:val="68"/>
          <w:szCs w:val="68"/>
        </w:rPr>
      </w:pPr>
      <w:r>
        <w:rPr>
          <w:rFonts w:ascii="黑体" w:eastAsia="黑体" w:hAnsi="黑体" w:cs="黑体"/>
          <w:b/>
          <w:bCs/>
          <w:spacing w:val="-39"/>
          <w:sz w:val="68"/>
          <w:szCs w:val="68"/>
        </w:rPr>
        <w:t>食</w:t>
      </w:r>
      <w:r>
        <w:rPr>
          <w:rFonts w:ascii="黑体" w:eastAsia="黑体" w:hAnsi="黑体" w:cs="黑体"/>
          <w:spacing w:val="-14"/>
          <w:sz w:val="68"/>
          <w:szCs w:val="68"/>
        </w:rPr>
        <w:t xml:space="preserve"> </w:t>
      </w:r>
      <w:r>
        <w:rPr>
          <w:rFonts w:ascii="黑体" w:eastAsia="黑体" w:hAnsi="黑体" w:cs="黑体"/>
          <w:b/>
          <w:bCs/>
          <w:spacing w:val="-39"/>
          <w:sz w:val="68"/>
          <w:szCs w:val="68"/>
        </w:rPr>
        <w:t>品</w:t>
      </w:r>
      <w:r>
        <w:rPr>
          <w:rFonts w:ascii="黑体" w:eastAsia="黑体" w:hAnsi="黑体" w:cs="黑体"/>
          <w:spacing w:val="-38"/>
          <w:sz w:val="68"/>
          <w:szCs w:val="68"/>
        </w:rPr>
        <w:t xml:space="preserve"> </w:t>
      </w:r>
      <w:r>
        <w:rPr>
          <w:rFonts w:ascii="黑体" w:eastAsia="黑体" w:hAnsi="黑体" w:cs="黑体"/>
          <w:b/>
          <w:bCs/>
          <w:spacing w:val="-39"/>
          <w:sz w:val="68"/>
          <w:szCs w:val="68"/>
        </w:rPr>
        <w:t>营</w:t>
      </w:r>
      <w:r>
        <w:rPr>
          <w:rFonts w:ascii="黑体" w:eastAsia="黑体" w:hAnsi="黑体" w:cs="黑体"/>
          <w:spacing w:val="-51"/>
          <w:sz w:val="68"/>
          <w:szCs w:val="68"/>
        </w:rPr>
        <w:t xml:space="preserve"> </w:t>
      </w:r>
      <w:r>
        <w:rPr>
          <w:rFonts w:ascii="黑体" w:eastAsia="黑体" w:hAnsi="黑体" w:cs="黑体"/>
          <w:b/>
          <w:bCs/>
          <w:spacing w:val="-39"/>
          <w:sz w:val="68"/>
          <w:szCs w:val="68"/>
        </w:rPr>
        <w:t>养</w:t>
      </w:r>
      <w:r>
        <w:rPr>
          <w:rFonts w:ascii="黑体" w:eastAsia="黑体" w:hAnsi="黑体" w:cs="黑体"/>
          <w:spacing w:val="-31"/>
          <w:sz w:val="68"/>
          <w:szCs w:val="68"/>
        </w:rPr>
        <w:t xml:space="preserve"> </w:t>
      </w:r>
      <w:r>
        <w:rPr>
          <w:rFonts w:ascii="黑体" w:eastAsia="黑体" w:hAnsi="黑体" w:cs="黑体"/>
          <w:b/>
          <w:bCs/>
          <w:spacing w:val="-39"/>
          <w:sz w:val="68"/>
          <w:szCs w:val="68"/>
        </w:rPr>
        <w:t>学</w:t>
      </w:r>
    </w:p>
    <w:p w:rsidR="00EA40A3" w:rsidRDefault="00EA40A3">
      <w:pPr>
        <w:spacing w:line="287" w:lineRule="auto"/>
      </w:pPr>
    </w:p>
    <w:p w:rsidR="00EA40A3" w:rsidRDefault="00EA40A3">
      <w:pPr>
        <w:spacing w:line="288" w:lineRule="auto"/>
      </w:pPr>
    </w:p>
    <w:p w:rsidR="00EA40A3" w:rsidRDefault="00E86C16">
      <w:pPr>
        <w:spacing w:before="97" w:line="219" w:lineRule="auto"/>
        <w:ind w:left="2406"/>
        <w:rPr>
          <w:rFonts w:ascii="宋体" w:eastAsia="宋体" w:hAnsi="宋体" w:cs="宋体"/>
          <w:sz w:val="30"/>
          <w:szCs w:val="30"/>
        </w:rPr>
      </w:pPr>
      <w:r>
        <w:rPr>
          <w:rFonts w:ascii="宋体" w:eastAsia="宋体" w:hAnsi="宋体" w:cs="宋体"/>
          <w:spacing w:val="32"/>
          <w:sz w:val="30"/>
          <w:szCs w:val="30"/>
        </w:rPr>
        <w:t>孙远明主编</w:t>
      </w:r>
    </w:p>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86C16">
      <w:pPr>
        <w:spacing w:before="127" w:line="219" w:lineRule="auto"/>
        <w:ind w:left="1652"/>
        <w:rPr>
          <w:rFonts w:ascii="宋体" w:eastAsia="宋体" w:hAnsi="宋体" w:cs="宋体"/>
          <w:sz w:val="39"/>
          <w:szCs w:val="39"/>
        </w:rPr>
      </w:pPr>
      <w:r>
        <w:rPr>
          <w:rFonts w:ascii="宋体" w:eastAsia="宋体" w:hAnsi="宋体" w:cs="宋体"/>
          <w:b/>
          <w:bCs/>
          <w:spacing w:val="-20"/>
          <w:sz w:val="39"/>
          <w:szCs w:val="39"/>
        </w:rPr>
        <w:t>斜</w:t>
      </w:r>
      <w:r>
        <w:rPr>
          <w:rFonts w:ascii="宋体" w:eastAsia="宋体" w:hAnsi="宋体" w:cs="宋体"/>
          <w:spacing w:val="45"/>
          <w:sz w:val="39"/>
          <w:szCs w:val="39"/>
        </w:rPr>
        <w:t xml:space="preserve"> </w:t>
      </w:r>
      <w:r>
        <w:rPr>
          <w:rFonts w:ascii="宋体" w:eastAsia="宋体" w:hAnsi="宋体" w:cs="宋体"/>
          <w:b/>
          <w:bCs/>
          <w:spacing w:val="-20"/>
          <w:sz w:val="39"/>
          <w:szCs w:val="39"/>
        </w:rPr>
        <w:t>学</w:t>
      </w:r>
      <w:r>
        <w:rPr>
          <w:rFonts w:ascii="宋体" w:eastAsia="宋体" w:hAnsi="宋体" w:cs="宋体"/>
          <w:spacing w:val="48"/>
          <w:sz w:val="39"/>
          <w:szCs w:val="39"/>
        </w:rPr>
        <w:t xml:space="preserve"> </w:t>
      </w:r>
      <w:r>
        <w:rPr>
          <w:rFonts w:ascii="宋体" w:eastAsia="宋体" w:hAnsi="宋体" w:cs="宋体"/>
          <w:b/>
          <w:bCs/>
          <w:spacing w:val="-20"/>
          <w:sz w:val="39"/>
          <w:szCs w:val="39"/>
        </w:rPr>
        <w:t>虫</w:t>
      </w:r>
      <w:r>
        <w:rPr>
          <w:rFonts w:ascii="宋体" w:eastAsia="宋体" w:hAnsi="宋体" w:cs="宋体"/>
          <w:spacing w:val="39"/>
          <w:sz w:val="39"/>
          <w:szCs w:val="39"/>
        </w:rPr>
        <w:t xml:space="preserve"> </w:t>
      </w:r>
      <w:r>
        <w:rPr>
          <w:rFonts w:ascii="宋体" w:eastAsia="宋体" w:hAnsi="宋体" w:cs="宋体"/>
          <w:b/>
          <w:bCs/>
          <w:spacing w:val="-20"/>
          <w:sz w:val="39"/>
          <w:szCs w:val="39"/>
        </w:rPr>
        <w:t>版</w:t>
      </w:r>
      <w:r>
        <w:rPr>
          <w:rFonts w:ascii="宋体" w:eastAsia="宋体" w:hAnsi="宋体" w:cs="宋体"/>
          <w:spacing w:val="40"/>
          <w:sz w:val="39"/>
          <w:szCs w:val="39"/>
        </w:rPr>
        <w:t xml:space="preserve"> </w:t>
      </w:r>
      <w:r>
        <w:rPr>
          <w:rFonts w:ascii="宋体" w:eastAsia="宋体" w:hAnsi="宋体" w:cs="宋体"/>
          <w:b/>
          <w:bCs/>
          <w:spacing w:val="-20"/>
          <w:sz w:val="39"/>
          <w:szCs w:val="39"/>
        </w:rPr>
        <w:t>社</w:t>
      </w:r>
    </w:p>
    <w:p w:rsidR="00EA40A3" w:rsidRDefault="00E86C16">
      <w:pPr>
        <w:spacing w:before="185" w:line="219" w:lineRule="auto"/>
        <w:ind w:left="2661"/>
        <w:rPr>
          <w:rFonts w:ascii="宋体" w:eastAsia="宋体" w:hAnsi="宋体" w:cs="宋体"/>
          <w:sz w:val="30"/>
          <w:szCs w:val="30"/>
        </w:rPr>
      </w:pPr>
      <w:r>
        <w:rPr>
          <w:rFonts w:ascii="宋体" w:eastAsia="宋体" w:hAnsi="宋体" w:cs="宋体"/>
          <w:b/>
          <w:bCs/>
          <w:spacing w:val="-12"/>
          <w:sz w:val="30"/>
          <w:szCs w:val="30"/>
        </w:rPr>
        <w:t>北</w:t>
      </w:r>
      <w:r>
        <w:rPr>
          <w:rFonts w:ascii="宋体" w:eastAsia="宋体" w:hAnsi="宋体" w:cs="宋体"/>
          <w:spacing w:val="106"/>
          <w:sz w:val="30"/>
          <w:szCs w:val="30"/>
        </w:rPr>
        <w:t xml:space="preserve"> </w:t>
      </w:r>
      <w:r>
        <w:rPr>
          <w:rFonts w:ascii="宋体" w:eastAsia="宋体" w:hAnsi="宋体" w:cs="宋体"/>
          <w:b/>
          <w:bCs/>
          <w:spacing w:val="-12"/>
          <w:sz w:val="30"/>
          <w:szCs w:val="30"/>
        </w:rPr>
        <w:t>京</w:t>
      </w:r>
    </w:p>
    <w:p w:rsidR="00EA40A3" w:rsidRDefault="00EA40A3">
      <w:pPr>
        <w:sectPr w:rsidR="00EA40A3">
          <w:headerReference w:type="default" r:id="rId8"/>
          <w:pgSz w:w="9220" w:h="13360"/>
          <w:pgMar w:top="400" w:right="1383" w:bottom="0" w:left="1383" w:header="0" w:footer="0" w:gutter="0"/>
          <w:cols w:space="720"/>
        </w:sectPr>
      </w:pPr>
    </w:p>
    <w:p w:rsidR="00EA40A3" w:rsidRDefault="00E86C16">
      <w:pPr>
        <w:spacing w:line="243" w:lineRule="auto"/>
      </w:pPr>
      <w:r>
        <w:rPr>
          <w:noProof/>
        </w:rPr>
        <w:lastRenderedPageBreak/>
        <w:drawing>
          <wp:anchor distT="0" distB="0" distL="0" distR="0" simplePos="0" relativeHeight="251661312" behindDoc="0" locked="0" layoutInCell="0" allowOverlap="1">
            <wp:simplePos x="0" y="0"/>
            <wp:positionH relativeFrom="page">
              <wp:posOffset>1066165</wp:posOffset>
            </wp:positionH>
            <wp:positionV relativeFrom="page">
              <wp:posOffset>3891915</wp:posOffset>
            </wp:positionV>
            <wp:extent cx="3657600"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9"/>
                    <a:stretch>
                      <a:fillRect/>
                    </a:stretch>
                  </pic:blipFill>
                  <pic:spPr>
                    <a:xfrm>
                      <a:off x="0" y="0"/>
                      <a:ext cx="3657606" cy="6362"/>
                    </a:xfrm>
                    <a:prstGeom prst="rect">
                      <a:avLst/>
                    </a:prstGeom>
                  </pic:spPr>
                </pic:pic>
              </a:graphicData>
            </a:graphic>
          </wp:anchor>
        </w:drawing>
      </w:r>
      <w:r>
        <w:rPr>
          <w:noProof/>
        </w:rPr>
        <w:drawing>
          <wp:anchor distT="0" distB="0" distL="0" distR="0" simplePos="0" relativeHeight="251662336" behindDoc="0" locked="0" layoutInCell="0" allowOverlap="1">
            <wp:simplePos x="0" y="0"/>
            <wp:positionH relativeFrom="page">
              <wp:posOffset>1066165</wp:posOffset>
            </wp:positionH>
            <wp:positionV relativeFrom="page">
              <wp:posOffset>5111115</wp:posOffset>
            </wp:positionV>
            <wp:extent cx="3644900" cy="6350"/>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0"/>
                    <a:stretch>
                      <a:fillRect/>
                    </a:stretch>
                  </pic:blipFill>
                  <pic:spPr>
                    <a:xfrm>
                      <a:off x="0" y="0"/>
                      <a:ext cx="3644902" cy="6362"/>
                    </a:xfrm>
                    <a:prstGeom prst="rect">
                      <a:avLst/>
                    </a:prstGeom>
                  </pic:spPr>
                </pic:pic>
              </a:graphicData>
            </a:graphic>
          </wp:anchor>
        </w:drawing>
      </w: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4" w:lineRule="auto"/>
      </w:pPr>
    </w:p>
    <w:p w:rsidR="00EA40A3" w:rsidRDefault="00E86C16">
      <w:pPr>
        <w:spacing w:before="71" w:line="222" w:lineRule="auto"/>
        <w:ind w:left="2510"/>
        <w:rPr>
          <w:rFonts w:ascii="黑体" w:eastAsia="黑体" w:hAnsi="黑体" w:cs="黑体"/>
          <w:sz w:val="22"/>
          <w:szCs w:val="22"/>
        </w:rPr>
      </w:pPr>
      <w:r>
        <w:rPr>
          <w:rFonts w:ascii="黑体" w:eastAsia="黑体" w:hAnsi="黑体" w:cs="黑体"/>
          <w:b/>
          <w:bCs/>
          <w:spacing w:val="-14"/>
          <w:sz w:val="22"/>
          <w:szCs w:val="22"/>
        </w:rPr>
        <w:t>内</w:t>
      </w:r>
      <w:r>
        <w:rPr>
          <w:rFonts w:ascii="黑体" w:eastAsia="黑体" w:hAnsi="黑体" w:cs="黑体"/>
          <w:spacing w:val="74"/>
          <w:sz w:val="22"/>
          <w:szCs w:val="22"/>
        </w:rPr>
        <w:t xml:space="preserve"> </w:t>
      </w:r>
      <w:r>
        <w:rPr>
          <w:rFonts w:ascii="黑体" w:eastAsia="黑体" w:hAnsi="黑体" w:cs="黑体"/>
          <w:b/>
          <w:bCs/>
          <w:spacing w:val="-14"/>
          <w:sz w:val="22"/>
          <w:szCs w:val="22"/>
        </w:rPr>
        <w:t>容</w:t>
      </w:r>
      <w:r>
        <w:rPr>
          <w:rFonts w:ascii="黑体" w:eastAsia="黑体" w:hAnsi="黑体" w:cs="黑体"/>
          <w:spacing w:val="87"/>
          <w:sz w:val="22"/>
          <w:szCs w:val="22"/>
        </w:rPr>
        <w:t xml:space="preserve"> </w:t>
      </w:r>
      <w:r>
        <w:rPr>
          <w:rFonts w:ascii="黑体" w:eastAsia="黑体" w:hAnsi="黑体" w:cs="黑体"/>
          <w:b/>
          <w:bCs/>
          <w:spacing w:val="-14"/>
          <w:sz w:val="22"/>
          <w:szCs w:val="22"/>
        </w:rPr>
        <w:t>简</w:t>
      </w:r>
      <w:r>
        <w:rPr>
          <w:rFonts w:ascii="黑体" w:eastAsia="黑体" w:hAnsi="黑体" w:cs="黑体"/>
          <w:spacing w:val="104"/>
          <w:sz w:val="22"/>
          <w:szCs w:val="22"/>
        </w:rPr>
        <w:t xml:space="preserve"> </w:t>
      </w:r>
      <w:r>
        <w:rPr>
          <w:rFonts w:ascii="黑体" w:eastAsia="黑体" w:hAnsi="黑体" w:cs="黑体"/>
          <w:b/>
          <w:bCs/>
          <w:spacing w:val="-14"/>
          <w:sz w:val="22"/>
          <w:szCs w:val="22"/>
        </w:rPr>
        <w:t>介</w:t>
      </w:r>
    </w:p>
    <w:p w:rsidR="00EA40A3" w:rsidRDefault="00E86C16">
      <w:pPr>
        <w:spacing w:before="134" w:line="279" w:lineRule="auto"/>
        <w:ind w:left="316" w:right="387" w:firstLine="400"/>
        <w:jc w:val="both"/>
        <w:rPr>
          <w:rFonts w:ascii="宋体" w:eastAsia="宋体" w:hAnsi="宋体" w:cs="宋体"/>
          <w:sz w:val="18"/>
          <w:szCs w:val="18"/>
        </w:rPr>
      </w:pPr>
      <w:r>
        <w:rPr>
          <w:rFonts w:ascii="宋体" w:eastAsia="宋体" w:hAnsi="宋体" w:cs="宋体"/>
          <w:spacing w:val="-3"/>
          <w:sz w:val="18"/>
          <w:szCs w:val="18"/>
        </w:rPr>
        <w:t>本书是普通高等教育“十五”国家级规划教材。本书是按照教育部高</w:t>
      </w:r>
      <w:r>
        <w:rPr>
          <w:rFonts w:ascii="宋体" w:eastAsia="宋体" w:hAnsi="宋体" w:cs="宋体"/>
          <w:spacing w:val="16"/>
          <w:sz w:val="18"/>
          <w:szCs w:val="18"/>
        </w:rPr>
        <w:t xml:space="preserve"> </w:t>
      </w:r>
      <w:r>
        <w:rPr>
          <w:rFonts w:ascii="宋体" w:eastAsia="宋体" w:hAnsi="宋体" w:cs="宋体"/>
          <w:spacing w:val="4"/>
          <w:sz w:val="18"/>
          <w:szCs w:val="18"/>
        </w:rPr>
        <w:t xml:space="preserve">等院校轻工与食品学科教学指导委员会所审定的食品营养学编写大纲要 </w:t>
      </w:r>
      <w:r>
        <w:rPr>
          <w:rFonts w:ascii="宋体" w:eastAsia="宋体" w:hAnsi="宋体" w:cs="宋体"/>
          <w:sz w:val="18"/>
          <w:szCs w:val="18"/>
        </w:rPr>
        <w:t>求，结合学科的进展和社会发展的需要编写而成</w:t>
      </w:r>
      <w:r>
        <w:rPr>
          <w:rFonts w:ascii="宋体" w:eastAsia="宋体" w:hAnsi="宋体" w:cs="宋体"/>
          <w:spacing w:val="-1"/>
          <w:sz w:val="18"/>
          <w:szCs w:val="18"/>
        </w:rPr>
        <w:t>。本书以“营养学基础一</w:t>
      </w:r>
      <w:r>
        <w:rPr>
          <w:rFonts w:ascii="宋体" w:eastAsia="宋体" w:hAnsi="宋体" w:cs="宋体"/>
          <w:sz w:val="18"/>
          <w:szCs w:val="18"/>
        </w:rPr>
        <w:t xml:space="preserve"> </w:t>
      </w:r>
      <w:r>
        <w:rPr>
          <w:rFonts w:ascii="宋体" w:eastAsia="宋体" w:hAnsi="宋体" w:cs="宋体"/>
          <w:spacing w:val="-1"/>
          <w:sz w:val="18"/>
          <w:szCs w:val="18"/>
        </w:rPr>
        <w:t>食物营养一合理膳食一社区营养”为主线，全面系统地阐述了食品营养学</w:t>
      </w:r>
      <w:r>
        <w:rPr>
          <w:rFonts w:ascii="宋体" w:eastAsia="宋体" w:hAnsi="宋体" w:cs="宋体"/>
          <w:sz w:val="18"/>
          <w:szCs w:val="18"/>
        </w:rPr>
        <w:t xml:space="preserve"> </w:t>
      </w:r>
      <w:r>
        <w:rPr>
          <w:rFonts w:ascii="宋体" w:eastAsia="宋体" w:hAnsi="宋体" w:cs="宋体"/>
          <w:spacing w:val="-1"/>
          <w:sz w:val="18"/>
          <w:szCs w:val="18"/>
        </w:rPr>
        <w:t>的基础理论和实际应用的知识与方法，并根据专业特点，将食物及膳食贯</w:t>
      </w:r>
      <w:r>
        <w:rPr>
          <w:rFonts w:ascii="宋体" w:eastAsia="宋体" w:hAnsi="宋体" w:cs="宋体"/>
          <w:spacing w:val="2"/>
          <w:sz w:val="18"/>
          <w:szCs w:val="18"/>
        </w:rPr>
        <w:t xml:space="preserve"> </w:t>
      </w:r>
      <w:r>
        <w:rPr>
          <w:rFonts w:ascii="宋体" w:eastAsia="宋体" w:hAnsi="宋体" w:cs="宋体"/>
          <w:spacing w:val="-1"/>
          <w:sz w:val="18"/>
          <w:szCs w:val="18"/>
        </w:rPr>
        <w:t>穿于全书，重点介绍了食物营养价值、储藏加工对食物营养的影响、强</w:t>
      </w:r>
      <w:r>
        <w:rPr>
          <w:rFonts w:ascii="宋体" w:eastAsia="宋体" w:hAnsi="宋体" w:cs="宋体"/>
          <w:spacing w:val="-2"/>
          <w:sz w:val="18"/>
          <w:szCs w:val="18"/>
        </w:rPr>
        <w:t>化</w:t>
      </w:r>
      <w:r>
        <w:rPr>
          <w:rFonts w:ascii="宋体" w:eastAsia="宋体" w:hAnsi="宋体" w:cs="宋体"/>
          <w:sz w:val="18"/>
          <w:szCs w:val="18"/>
        </w:rPr>
        <w:t xml:space="preserve"> </w:t>
      </w:r>
      <w:r>
        <w:rPr>
          <w:rFonts w:ascii="宋体" w:eastAsia="宋体" w:hAnsi="宋体" w:cs="宋体"/>
          <w:spacing w:val="-2"/>
          <w:sz w:val="18"/>
          <w:szCs w:val="18"/>
        </w:rPr>
        <w:t>食品、保健食品、具保健作用的特殊食品、膳食营养与健康等。本书力求</w:t>
      </w:r>
      <w:r>
        <w:rPr>
          <w:rFonts w:ascii="宋体" w:eastAsia="宋体" w:hAnsi="宋体" w:cs="宋体"/>
          <w:spacing w:val="11"/>
          <w:sz w:val="18"/>
          <w:szCs w:val="18"/>
        </w:rPr>
        <w:t xml:space="preserve"> </w:t>
      </w:r>
      <w:r>
        <w:rPr>
          <w:rFonts w:ascii="宋体" w:eastAsia="宋体" w:hAnsi="宋体" w:cs="宋体"/>
          <w:spacing w:val="-5"/>
          <w:sz w:val="18"/>
          <w:szCs w:val="18"/>
        </w:rPr>
        <w:t>体现“内容丰富、条理清晰、论述简明、特色突出、科学适用”。</w:t>
      </w:r>
    </w:p>
    <w:p w:rsidR="00EA40A3" w:rsidRDefault="00E86C16">
      <w:pPr>
        <w:spacing w:before="66" w:line="248" w:lineRule="auto"/>
        <w:ind w:left="316" w:right="407" w:firstLine="369"/>
        <w:jc w:val="both"/>
        <w:rPr>
          <w:rFonts w:ascii="宋体" w:eastAsia="宋体" w:hAnsi="宋体" w:cs="宋体"/>
          <w:sz w:val="18"/>
          <w:szCs w:val="18"/>
        </w:rPr>
      </w:pPr>
      <w:r>
        <w:rPr>
          <w:rFonts w:ascii="宋体" w:eastAsia="宋体" w:hAnsi="宋体" w:cs="宋体"/>
          <w:spacing w:val="-2"/>
          <w:sz w:val="18"/>
          <w:szCs w:val="18"/>
        </w:rPr>
        <w:t>本书适合高等院校食品科学与工程、食品质量与安全专业的学生作为</w:t>
      </w:r>
      <w:r>
        <w:rPr>
          <w:rFonts w:ascii="宋体" w:eastAsia="宋体" w:hAnsi="宋体" w:cs="宋体"/>
          <w:spacing w:val="18"/>
          <w:sz w:val="18"/>
          <w:szCs w:val="18"/>
        </w:rPr>
        <w:t xml:space="preserve"> </w:t>
      </w:r>
      <w:r>
        <w:rPr>
          <w:rFonts w:ascii="宋体" w:eastAsia="宋体" w:hAnsi="宋体" w:cs="宋体"/>
          <w:spacing w:val="-2"/>
          <w:sz w:val="18"/>
          <w:szCs w:val="18"/>
        </w:rPr>
        <w:t>教材使用，同时也可供其他相关专业的学生和科研工作人员参考使用。</w:t>
      </w:r>
    </w:p>
    <w:p w:rsidR="00EA40A3" w:rsidRDefault="00EA40A3">
      <w:pPr>
        <w:spacing w:line="245" w:lineRule="auto"/>
      </w:pPr>
    </w:p>
    <w:p w:rsidR="00EA40A3" w:rsidRDefault="00EA40A3">
      <w:pPr>
        <w:spacing w:line="246" w:lineRule="auto"/>
      </w:pPr>
    </w:p>
    <w:p w:rsidR="00EA40A3" w:rsidRDefault="00E86C16">
      <w:pPr>
        <w:spacing w:before="59" w:line="221" w:lineRule="auto"/>
        <w:ind w:left="339"/>
        <w:rPr>
          <w:rFonts w:ascii="黑体" w:eastAsia="黑体" w:hAnsi="黑体" w:cs="黑体"/>
          <w:sz w:val="18"/>
          <w:szCs w:val="18"/>
        </w:rPr>
      </w:pPr>
      <w:r>
        <w:rPr>
          <w:rFonts w:ascii="黑体" w:eastAsia="黑体" w:hAnsi="黑体" w:cs="黑体"/>
          <w:b/>
          <w:bCs/>
          <w:spacing w:val="-5"/>
          <w:sz w:val="18"/>
          <w:szCs w:val="18"/>
        </w:rPr>
        <w:t>图书在版编目</w:t>
      </w:r>
      <w:r>
        <w:rPr>
          <w:rFonts w:ascii="黑体" w:eastAsia="黑体" w:hAnsi="黑体" w:cs="黑体"/>
          <w:spacing w:val="4"/>
          <w:sz w:val="18"/>
          <w:szCs w:val="18"/>
        </w:rPr>
        <w:t xml:space="preserve"> </w:t>
      </w:r>
      <w:r>
        <w:rPr>
          <w:rFonts w:ascii="黑体" w:eastAsia="黑体" w:hAnsi="黑体" w:cs="黑体"/>
          <w:b/>
          <w:bCs/>
          <w:spacing w:val="-5"/>
          <w:sz w:val="18"/>
          <w:szCs w:val="18"/>
        </w:rPr>
        <w:t>(CIP)</w:t>
      </w:r>
      <w:r>
        <w:rPr>
          <w:rFonts w:ascii="黑体" w:eastAsia="黑体" w:hAnsi="黑体" w:cs="黑体"/>
          <w:spacing w:val="31"/>
          <w:sz w:val="18"/>
          <w:szCs w:val="18"/>
        </w:rPr>
        <w:t xml:space="preserve"> </w:t>
      </w:r>
      <w:r>
        <w:rPr>
          <w:rFonts w:ascii="黑体" w:eastAsia="黑体" w:hAnsi="黑体" w:cs="黑体"/>
          <w:b/>
          <w:bCs/>
          <w:spacing w:val="-5"/>
          <w:sz w:val="18"/>
          <w:szCs w:val="18"/>
        </w:rPr>
        <w:t>数据</w:t>
      </w:r>
    </w:p>
    <w:p w:rsidR="00EA40A3" w:rsidRDefault="00E86C16">
      <w:pPr>
        <w:spacing w:before="128" w:line="270" w:lineRule="exact"/>
        <w:ind w:left="336"/>
        <w:rPr>
          <w:rFonts w:ascii="宋体" w:eastAsia="宋体" w:hAnsi="宋体" w:cs="宋体"/>
          <w:sz w:val="18"/>
          <w:szCs w:val="18"/>
        </w:rPr>
      </w:pPr>
      <w:r>
        <w:rPr>
          <w:rFonts w:ascii="宋体" w:eastAsia="宋体" w:hAnsi="宋体" w:cs="宋体"/>
          <w:spacing w:val="2"/>
          <w:position w:val="6"/>
          <w:sz w:val="18"/>
          <w:szCs w:val="18"/>
        </w:rPr>
        <w:t>食品营养学/孙远明主编.—北京：科学出版社，</w:t>
      </w:r>
      <w:r>
        <w:rPr>
          <w:rFonts w:ascii="宋体" w:eastAsia="宋体" w:hAnsi="宋体" w:cs="宋体"/>
          <w:spacing w:val="1"/>
          <w:position w:val="6"/>
          <w:sz w:val="18"/>
          <w:szCs w:val="18"/>
        </w:rPr>
        <w:t>2006</w:t>
      </w:r>
    </w:p>
    <w:p w:rsidR="00EA40A3" w:rsidRDefault="00E86C16">
      <w:pPr>
        <w:spacing w:line="218" w:lineRule="auto"/>
        <w:ind w:left="336"/>
        <w:rPr>
          <w:rFonts w:ascii="宋体" w:eastAsia="宋体" w:hAnsi="宋体" w:cs="宋体"/>
          <w:sz w:val="18"/>
          <w:szCs w:val="18"/>
        </w:rPr>
      </w:pPr>
      <w:r>
        <w:rPr>
          <w:rFonts w:ascii="宋体" w:eastAsia="宋体" w:hAnsi="宋体" w:cs="宋体"/>
          <w:spacing w:val="-1"/>
          <w:sz w:val="18"/>
          <w:szCs w:val="18"/>
        </w:rPr>
        <w:t>普通高等教育“十五”国家级规划教材</w:t>
      </w:r>
    </w:p>
    <w:p w:rsidR="00EA40A3" w:rsidRDefault="00E86C16">
      <w:pPr>
        <w:spacing w:before="105" w:line="188" w:lineRule="auto"/>
        <w:ind w:left="336"/>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ISBN</w:t>
      </w:r>
      <w:r>
        <w:rPr>
          <w:rFonts w:ascii="Times New Roman" w:eastAsia="Times New Roman" w:hAnsi="Times New Roman" w:cs="Times New Roman"/>
          <w:spacing w:val="11"/>
          <w:sz w:val="18"/>
          <w:szCs w:val="18"/>
        </w:rPr>
        <w:t xml:space="preserve"> </w:t>
      </w:r>
      <w:r>
        <w:rPr>
          <w:rFonts w:ascii="Times New Roman" w:eastAsia="Times New Roman" w:hAnsi="Times New Roman" w:cs="Times New Roman"/>
          <w:spacing w:val="-1"/>
          <w:sz w:val="18"/>
          <w:szCs w:val="18"/>
        </w:rPr>
        <w:t>7-03-017097-0</w:t>
      </w:r>
    </w:p>
    <w:p w:rsidR="00EA40A3" w:rsidRDefault="00E86C16">
      <w:pPr>
        <w:spacing w:before="190" w:line="219" w:lineRule="auto"/>
        <w:ind w:left="336"/>
        <w:rPr>
          <w:rFonts w:ascii="宋体" w:eastAsia="宋体" w:hAnsi="宋体" w:cs="宋体"/>
          <w:sz w:val="18"/>
          <w:szCs w:val="18"/>
        </w:rPr>
      </w:pPr>
      <w:r>
        <w:rPr>
          <w:rFonts w:ascii="宋体" w:eastAsia="宋体" w:hAnsi="宋体" w:cs="宋体"/>
          <w:spacing w:val="-4"/>
          <w:sz w:val="18"/>
          <w:szCs w:val="18"/>
        </w:rPr>
        <w:t>I.</w:t>
      </w:r>
      <w:r>
        <w:rPr>
          <w:rFonts w:ascii="宋体" w:eastAsia="宋体" w:hAnsi="宋体" w:cs="宋体"/>
          <w:spacing w:val="68"/>
          <w:w w:val="101"/>
          <w:sz w:val="18"/>
          <w:szCs w:val="18"/>
        </w:rPr>
        <w:t xml:space="preserve"> </w:t>
      </w:r>
      <w:r>
        <w:rPr>
          <w:rFonts w:ascii="宋体" w:eastAsia="宋体" w:hAnsi="宋体" w:cs="宋体"/>
          <w:spacing w:val="-4"/>
          <w:sz w:val="18"/>
          <w:szCs w:val="18"/>
        </w:rPr>
        <w:t>食</w:t>
      </w:r>
      <w:r>
        <w:rPr>
          <w:rFonts w:ascii="宋体" w:eastAsia="宋体" w:hAnsi="宋体" w:cs="宋体"/>
          <w:spacing w:val="-37"/>
          <w:sz w:val="18"/>
          <w:szCs w:val="18"/>
        </w:rPr>
        <w:t xml:space="preserve"> </w:t>
      </w:r>
      <w:r>
        <w:rPr>
          <w:rFonts w:ascii="宋体" w:eastAsia="宋体" w:hAnsi="宋体" w:cs="宋体"/>
          <w:spacing w:val="-4"/>
          <w:sz w:val="18"/>
          <w:szCs w:val="18"/>
        </w:rPr>
        <w:t>…</w:t>
      </w:r>
      <w:r>
        <w:rPr>
          <w:rFonts w:ascii="宋体" w:eastAsia="宋体" w:hAnsi="宋体" w:cs="宋体"/>
          <w:spacing w:val="6"/>
          <w:sz w:val="18"/>
          <w:szCs w:val="18"/>
        </w:rPr>
        <w:t xml:space="preserve">  </w:t>
      </w:r>
      <w:r>
        <w:rPr>
          <w:rFonts w:ascii="宋体" w:eastAsia="宋体" w:hAnsi="宋体" w:cs="宋体"/>
          <w:spacing w:val="-4"/>
          <w:sz w:val="18"/>
          <w:szCs w:val="18"/>
        </w:rPr>
        <w:t>Ⅱ</w:t>
      </w:r>
      <w:r>
        <w:rPr>
          <w:rFonts w:ascii="宋体" w:eastAsia="宋体" w:hAnsi="宋体" w:cs="宋体"/>
          <w:spacing w:val="-43"/>
          <w:sz w:val="18"/>
          <w:szCs w:val="18"/>
        </w:rPr>
        <w:t xml:space="preserve"> </w:t>
      </w:r>
      <w:r>
        <w:rPr>
          <w:rFonts w:ascii="宋体" w:eastAsia="宋体" w:hAnsi="宋体" w:cs="宋体"/>
          <w:spacing w:val="-4"/>
          <w:sz w:val="18"/>
          <w:szCs w:val="18"/>
        </w:rPr>
        <w:t>.</w:t>
      </w:r>
      <w:r>
        <w:rPr>
          <w:rFonts w:ascii="宋体" w:eastAsia="宋体" w:hAnsi="宋体" w:cs="宋体"/>
          <w:spacing w:val="-47"/>
          <w:sz w:val="18"/>
          <w:szCs w:val="18"/>
        </w:rPr>
        <w:t xml:space="preserve"> </w:t>
      </w:r>
      <w:r>
        <w:rPr>
          <w:rFonts w:ascii="宋体" w:eastAsia="宋体" w:hAnsi="宋体" w:cs="宋体"/>
          <w:spacing w:val="-4"/>
          <w:sz w:val="18"/>
          <w:szCs w:val="18"/>
        </w:rPr>
        <w:t>孙</w:t>
      </w:r>
      <w:r>
        <w:rPr>
          <w:rFonts w:ascii="宋体" w:eastAsia="宋体" w:hAnsi="宋体" w:cs="宋体"/>
          <w:spacing w:val="-36"/>
          <w:sz w:val="18"/>
          <w:szCs w:val="18"/>
        </w:rPr>
        <w:t xml:space="preserve"> </w:t>
      </w:r>
      <w:r>
        <w:rPr>
          <w:rFonts w:ascii="宋体" w:eastAsia="宋体" w:hAnsi="宋体" w:cs="宋体"/>
          <w:spacing w:val="-4"/>
          <w:sz w:val="18"/>
          <w:szCs w:val="18"/>
        </w:rPr>
        <w:t>…</w:t>
      </w:r>
      <w:r>
        <w:rPr>
          <w:rFonts w:ascii="宋体" w:eastAsia="宋体" w:hAnsi="宋体" w:cs="宋体"/>
          <w:spacing w:val="1"/>
          <w:sz w:val="18"/>
          <w:szCs w:val="18"/>
        </w:rPr>
        <w:t xml:space="preserve">  </w:t>
      </w:r>
      <w:r>
        <w:rPr>
          <w:rFonts w:ascii="宋体" w:eastAsia="宋体" w:hAnsi="宋体" w:cs="宋体"/>
          <w:spacing w:val="-4"/>
          <w:sz w:val="18"/>
          <w:szCs w:val="18"/>
        </w:rPr>
        <w:t>Ⅲ.食品营养学一高等院校一教材</w:t>
      </w:r>
    </w:p>
    <w:p w:rsidR="00EA40A3" w:rsidRDefault="00E86C16">
      <w:pPr>
        <w:spacing w:before="94" w:line="188" w:lineRule="auto"/>
        <w:ind w:left="316"/>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IV.</w:t>
      </w:r>
      <w:r>
        <w:rPr>
          <w:rFonts w:ascii="Times New Roman" w:eastAsia="Times New Roman" w:hAnsi="Times New Roman" w:cs="Times New Roman"/>
          <w:spacing w:val="6"/>
          <w:sz w:val="18"/>
          <w:szCs w:val="18"/>
        </w:rPr>
        <w:t xml:space="preserve">   </w:t>
      </w:r>
      <w:r>
        <w:rPr>
          <w:rFonts w:ascii="Times New Roman" w:eastAsia="Times New Roman" w:hAnsi="Times New Roman" w:cs="Times New Roman"/>
          <w:spacing w:val="-2"/>
          <w:sz w:val="18"/>
          <w:szCs w:val="18"/>
        </w:rPr>
        <w:t>TS201.4</w:t>
      </w:r>
    </w:p>
    <w:p w:rsidR="00EA40A3" w:rsidRDefault="00E86C16">
      <w:pPr>
        <w:spacing w:before="180" w:line="219" w:lineRule="auto"/>
        <w:ind w:left="336"/>
        <w:rPr>
          <w:rFonts w:ascii="宋体" w:eastAsia="宋体" w:hAnsi="宋体" w:cs="宋体"/>
          <w:sz w:val="18"/>
          <w:szCs w:val="18"/>
        </w:rPr>
      </w:pPr>
      <w:r>
        <w:rPr>
          <w:rFonts w:ascii="宋体" w:eastAsia="宋体" w:hAnsi="宋体" w:cs="宋体"/>
          <w:spacing w:val="10"/>
          <w:sz w:val="18"/>
          <w:szCs w:val="18"/>
        </w:rPr>
        <w:t>中国版本图书馆</w:t>
      </w:r>
      <w:r>
        <w:rPr>
          <w:rFonts w:ascii="宋体" w:eastAsia="宋体" w:hAnsi="宋体" w:cs="宋体"/>
          <w:sz w:val="18"/>
          <w:szCs w:val="18"/>
        </w:rPr>
        <w:t>CIP</w:t>
      </w:r>
      <w:r>
        <w:rPr>
          <w:rFonts w:ascii="宋体" w:eastAsia="宋体" w:hAnsi="宋体" w:cs="宋体"/>
          <w:spacing w:val="-21"/>
          <w:sz w:val="18"/>
          <w:szCs w:val="18"/>
        </w:rPr>
        <w:t xml:space="preserve"> </w:t>
      </w:r>
      <w:r>
        <w:rPr>
          <w:rFonts w:ascii="宋体" w:eastAsia="宋体" w:hAnsi="宋体" w:cs="宋体"/>
          <w:spacing w:val="10"/>
          <w:sz w:val="18"/>
          <w:szCs w:val="18"/>
        </w:rPr>
        <w:t>数据核字(2006)第029061号</w:t>
      </w:r>
    </w:p>
    <w:p w:rsidR="00EA40A3" w:rsidRDefault="00E86C16">
      <w:pPr>
        <w:spacing w:before="124" w:line="253" w:lineRule="auto"/>
        <w:ind w:left="1706" w:right="1130" w:hanging="729"/>
        <w:rPr>
          <w:rFonts w:ascii="楷体" w:eastAsia="楷体" w:hAnsi="楷体" w:cs="楷体"/>
          <w:sz w:val="18"/>
          <w:szCs w:val="18"/>
        </w:rPr>
      </w:pPr>
      <w:r>
        <w:rPr>
          <w:rFonts w:ascii="楷体" w:eastAsia="楷体" w:hAnsi="楷体" w:cs="楷体"/>
          <w:spacing w:val="-3"/>
          <w:sz w:val="18"/>
          <w:szCs w:val="18"/>
        </w:rPr>
        <w:t>责任编辑：周</w:t>
      </w:r>
      <w:r>
        <w:rPr>
          <w:rFonts w:ascii="楷体" w:eastAsia="楷体" w:hAnsi="楷体" w:cs="楷体"/>
          <w:spacing w:val="84"/>
          <w:sz w:val="18"/>
          <w:szCs w:val="18"/>
        </w:rPr>
        <w:t xml:space="preserve"> </w:t>
      </w:r>
      <w:r>
        <w:rPr>
          <w:rFonts w:ascii="楷体" w:eastAsia="楷体" w:hAnsi="楷体" w:cs="楷体"/>
          <w:spacing w:val="-3"/>
          <w:sz w:val="18"/>
          <w:szCs w:val="18"/>
        </w:rPr>
        <w:t>辉</w:t>
      </w:r>
      <w:r>
        <w:rPr>
          <w:rFonts w:ascii="楷体" w:eastAsia="楷体" w:hAnsi="楷体" w:cs="楷体"/>
          <w:spacing w:val="8"/>
          <w:sz w:val="18"/>
          <w:szCs w:val="18"/>
        </w:rPr>
        <w:t xml:space="preserve">  </w:t>
      </w:r>
      <w:r>
        <w:rPr>
          <w:rFonts w:ascii="楷体" w:eastAsia="楷体" w:hAnsi="楷体" w:cs="楷体"/>
          <w:spacing w:val="-3"/>
          <w:sz w:val="18"/>
          <w:szCs w:val="18"/>
        </w:rPr>
        <w:t>李久进</w:t>
      </w:r>
      <w:r>
        <w:rPr>
          <w:rFonts w:ascii="楷体" w:eastAsia="楷体" w:hAnsi="楷体" w:cs="楷体"/>
          <w:spacing w:val="81"/>
          <w:sz w:val="18"/>
          <w:szCs w:val="18"/>
        </w:rPr>
        <w:t xml:space="preserve"> </w:t>
      </w:r>
      <w:r>
        <w:rPr>
          <w:rFonts w:ascii="楷体" w:eastAsia="楷体" w:hAnsi="楷体" w:cs="楷体"/>
          <w:spacing w:val="-3"/>
          <w:sz w:val="18"/>
          <w:szCs w:val="18"/>
        </w:rPr>
        <w:t>沈晓晶/责任校对：朱光光</w:t>
      </w:r>
      <w:r>
        <w:rPr>
          <w:rFonts w:ascii="楷体" w:eastAsia="楷体" w:hAnsi="楷体" w:cs="楷体"/>
          <w:sz w:val="18"/>
          <w:szCs w:val="18"/>
        </w:rPr>
        <w:t xml:space="preserve"> </w:t>
      </w:r>
      <w:r>
        <w:rPr>
          <w:rFonts w:ascii="楷体" w:eastAsia="楷体" w:hAnsi="楷体" w:cs="楷体"/>
          <w:spacing w:val="-4"/>
          <w:sz w:val="18"/>
          <w:szCs w:val="18"/>
        </w:rPr>
        <w:t>责任印制：张克忠/封面设计：陈</w:t>
      </w:r>
      <w:r>
        <w:rPr>
          <w:rFonts w:ascii="楷体" w:eastAsia="楷体" w:hAnsi="楷体" w:cs="楷体"/>
          <w:spacing w:val="10"/>
          <w:sz w:val="18"/>
          <w:szCs w:val="18"/>
        </w:rPr>
        <w:t xml:space="preserve">  </w:t>
      </w:r>
      <w:r>
        <w:rPr>
          <w:rFonts w:ascii="楷体" w:eastAsia="楷体" w:hAnsi="楷体" w:cs="楷体"/>
          <w:spacing w:val="-4"/>
          <w:sz w:val="18"/>
          <w:szCs w:val="18"/>
        </w:rPr>
        <w:t>敬</w:t>
      </w:r>
    </w:p>
    <w:p w:rsidR="00EA40A3" w:rsidRDefault="00E86C16">
      <w:pPr>
        <w:spacing w:before="168" w:line="241" w:lineRule="exact"/>
        <w:ind w:left="2199"/>
        <w:rPr>
          <w:rFonts w:ascii="宋体" w:eastAsia="宋体" w:hAnsi="宋体" w:cs="宋体"/>
          <w:sz w:val="18"/>
          <w:szCs w:val="18"/>
        </w:rPr>
      </w:pPr>
      <w:r>
        <w:rPr>
          <w:rFonts w:ascii="宋体" w:eastAsia="宋体" w:hAnsi="宋体" w:cs="宋体"/>
          <w:b/>
          <w:bCs/>
          <w:spacing w:val="-8"/>
          <w:position w:val="4"/>
          <w:sz w:val="18"/>
          <w:szCs w:val="18"/>
        </w:rPr>
        <w:t>铸</w:t>
      </w:r>
      <w:r>
        <w:rPr>
          <w:rFonts w:ascii="宋体" w:eastAsia="宋体" w:hAnsi="宋体" w:cs="宋体"/>
          <w:spacing w:val="22"/>
          <w:position w:val="4"/>
          <w:sz w:val="18"/>
          <w:szCs w:val="18"/>
        </w:rPr>
        <w:t xml:space="preserve"> </w:t>
      </w:r>
      <w:r>
        <w:rPr>
          <w:rFonts w:ascii="宋体" w:eastAsia="宋体" w:hAnsi="宋体" w:cs="宋体"/>
          <w:b/>
          <w:bCs/>
          <w:spacing w:val="-8"/>
          <w:position w:val="4"/>
          <w:sz w:val="18"/>
          <w:szCs w:val="18"/>
        </w:rPr>
        <w:t>學</w:t>
      </w:r>
      <w:r>
        <w:rPr>
          <w:rFonts w:ascii="宋体" w:eastAsia="宋体" w:hAnsi="宋体" w:cs="宋体"/>
          <w:spacing w:val="21"/>
          <w:position w:val="4"/>
          <w:sz w:val="18"/>
          <w:szCs w:val="18"/>
        </w:rPr>
        <w:t xml:space="preserve"> </w:t>
      </w:r>
      <w:r>
        <w:rPr>
          <w:rFonts w:ascii="宋体" w:eastAsia="宋体" w:hAnsi="宋体" w:cs="宋体"/>
          <w:b/>
          <w:bCs/>
          <w:spacing w:val="-8"/>
          <w:position w:val="4"/>
          <w:sz w:val="18"/>
          <w:szCs w:val="18"/>
        </w:rPr>
        <w:t>业</w:t>
      </w:r>
      <w:r>
        <w:rPr>
          <w:rFonts w:ascii="宋体" w:eastAsia="宋体" w:hAnsi="宋体" w:cs="宋体"/>
          <w:spacing w:val="21"/>
          <w:position w:val="4"/>
          <w:sz w:val="18"/>
          <w:szCs w:val="18"/>
        </w:rPr>
        <w:t xml:space="preserve"> </w:t>
      </w:r>
      <w:r>
        <w:rPr>
          <w:rFonts w:ascii="宋体" w:eastAsia="宋体" w:hAnsi="宋体" w:cs="宋体"/>
          <w:b/>
          <w:bCs/>
          <w:spacing w:val="-8"/>
          <w:position w:val="4"/>
          <w:sz w:val="18"/>
          <w:szCs w:val="18"/>
        </w:rPr>
        <w:t>旅</w:t>
      </w:r>
      <w:r>
        <w:rPr>
          <w:rFonts w:ascii="宋体" w:eastAsia="宋体" w:hAnsi="宋体" w:cs="宋体"/>
          <w:spacing w:val="23"/>
          <w:position w:val="4"/>
          <w:sz w:val="18"/>
          <w:szCs w:val="18"/>
        </w:rPr>
        <w:t xml:space="preserve"> </w:t>
      </w:r>
      <w:r>
        <w:rPr>
          <w:rFonts w:ascii="宋体" w:eastAsia="宋体" w:hAnsi="宋体" w:cs="宋体"/>
          <w:b/>
          <w:bCs/>
          <w:spacing w:val="-8"/>
          <w:position w:val="4"/>
          <w:sz w:val="18"/>
          <w:szCs w:val="18"/>
        </w:rPr>
        <w:t>社</w:t>
      </w:r>
      <w:r>
        <w:rPr>
          <w:rFonts w:ascii="宋体" w:eastAsia="宋体" w:hAnsi="宋体" w:cs="宋体"/>
          <w:spacing w:val="12"/>
          <w:position w:val="4"/>
          <w:sz w:val="18"/>
          <w:szCs w:val="18"/>
        </w:rPr>
        <w:t xml:space="preserve">  </w:t>
      </w:r>
      <w:r>
        <w:rPr>
          <w:rFonts w:ascii="宋体" w:eastAsia="宋体" w:hAnsi="宋体" w:cs="宋体"/>
          <w:spacing w:val="-8"/>
          <w:position w:val="4"/>
          <w:sz w:val="18"/>
          <w:szCs w:val="18"/>
        </w:rPr>
        <w:t>出版</w:t>
      </w:r>
    </w:p>
    <w:p w:rsidR="00EA40A3" w:rsidRDefault="00E86C16">
      <w:pPr>
        <w:spacing w:line="219" w:lineRule="auto"/>
        <w:ind w:left="2547"/>
        <w:rPr>
          <w:rFonts w:ascii="宋体" w:eastAsia="宋体" w:hAnsi="宋体" w:cs="宋体"/>
          <w:sz w:val="14"/>
          <w:szCs w:val="14"/>
        </w:rPr>
      </w:pPr>
      <w:r>
        <w:rPr>
          <w:rFonts w:ascii="宋体" w:eastAsia="宋体" w:hAnsi="宋体" w:cs="宋体"/>
          <w:spacing w:val="-15"/>
          <w:w w:val="99"/>
          <w:sz w:val="14"/>
          <w:szCs w:val="14"/>
        </w:rPr>
        <w:t>北京东黄城根北街16号</w:t>
      </w:r>
    </w:p>
    <w:p w:rsidR="00EA40A3" w:rsidRDefault="00E86C16">
      <w:pPr>
        <w:spacing w:before="24" w:line="219" w:lineRule="auto"/>
        <w:ind w:left="2646"/>
        <w:rPr>
          <w:rFonts w:ascii="宋体" w:eastAsia="宋体" w:hAnsi="宋体" w:cs="宋体"/>
          <w:sz w:val="14"/>
          <w:szCs w:val="14"/>
        </w:rPr>
      </w:pPr>
      <w:r>
        <w:rPr>
          <w:rFonts w:ascii="宋体" w:eastAsia="宋体" w:hAnsi="宋体" w:cs="宋体"/>
          <w:spacing w:val="-19"/>
          <w:sz w:val="14"/>
          <w:szCs w:val="14"/>
        </w:rPr>
        <w:t>邮政编码：100717</w:t>
      </w:r>
    </w:p>
    <w:p w:rsidR="00EA40A3" w:rsidRDefault="00EE446C">
      <w:pPr>
        <w:spacing w:before="29" w:line="192" w:lineRule="auto"/>
        <w:ind w:left="2307"/>
        <w:rPr>
          <w:rFonts w:ascii="Times New Roman" w:eastAsia="Times New Roman" w:hAnsi="Times New Roman" w:cs="Times New Roman"/>
          <w:sz w:val="14"/>
          <w:szCs w:val="14"/>
        </w:rPr>
      </w:pPr>
      <w:hyperlink r:id="rId11" w:history="1">
        <w:r w:rsidR="00E86C16">
          <w:rPr>
            <w:rFonts w:ascii="Times New Roman" w:eastAsia="Times New Roman" w:hAnsi="Times New Roman" w:cs="Times New Roman"/>
            <w:sz w:val="14"/>
            <w:szCs w:val="14"/>
          </w:rPr>
          <w:t>http:/</w:t>
        </w:r>
        <w:r w:rsidR="00E86C16">
          <w:rPr>
            <w:rFonts w:ascii="Times New Roman" w:eastAsia="Times New Roman" w:hAnsi="Times New Roman" w:cs="Times New Roman"/>
            <w:spacing w:val="-1"/>
            <w:sz w:val="14"/>
            <w:szCs w:val="14"/>
          </w:rPr>
          <w:t>/</w:t>
        </w:r>
        <w:r w:rsidR="00E86C16">
          <w:rPr>
            <w:rFonts w:ascii="Times New Roman" w:eastAsia="Times New Roman" w:hAnsi="Times New Roman" w:cs="Times New Roman"/>
            <w:sz w:val="14"/>
            <w:szCs w:val="14"/>
          </w:rPr>
          <w:t>www</w:t>
        </w:r>
        <w:r w:rsidR="00E86C16">
          <w:rPr>
            <w:rFonts w:ascii="Times New Roman" w:eastAsia="Times New Roman" w:hAnsi="Times New Roman" w:cs="Times New Roman"/>
            <w:spacing w:val="-1"/>
            <w:sz w:val="14"/>
            <w:szCs w:val="14"/>
          </w:rPr>
          <w:t>.</w:t>
        </w:r>
        <w:r w:rsidR="00E86C16">
          <w:rPr>
            <w:rFonts w:ascii="Times New Roman" w:eastAsia="Times New Roman" w:hAnsi="Times New Roman" w:cs="Times New Roman"/>
            <w:sz w:val="14"/>
            <w:szCs w:val="14"/>
          </w:rPr>
          <w:t>sciencep</w:t>
        </w:r>
        <w:r w:rsidR="00E86C16">
          <w:rPr>
            <w:rFonts w:ascii="Times New Roman" w:eastAsia="Times New Roman" w:hAnsi="Times New Roman" w:cs="Times New Roman"/>
            <w:spacing w:val="-1"/>
            <w:sz w:val="14"/>
            <w:szCs w:val="14"/>
          </w:rPr>
          <w:t>.</w:t>
        </w:r>
        <w:r w:rsidR="00E86C16">
          <w:rPr>
            <w:rFonts w:ascii="Times New Roman" w:eastAsia="Times New Roman" w:hAnsi="Times New Roman" w:cs="Times New Roman"/>
            <w:sz w:val="14"/>
            <w:szCs w:val="14"/>
          </w:rPr>
          <w:t>com</w:t>
        </w:r>
      </w:hyperlink>
    </w:p>
    <w:p w:rsidR="00EA40A3" w:rsidRDefault="00E86C16">
      <w:pPr>
        <w:spacing w:before="55" w:line="219" w:lineRule="auto"/>
        <w:ind w:left="2249"/>
        <w:rPr>
          <w:rFonts w:ascii="宋体" w:eastAsia="宋体" w:hAnsi="宋体" w:cs="宋体"/>
          <w:sz w:val="18"/>
          <w:szCs w:val="18"/>
        </w:rPr>
      </w:pPr>
      <w:r>
        <w:rPr>
          <w:rFonts w:ascii="宋体" w:eastAsia="宋体" w:hAnsi="宋体" w:cs="宋体"/>
          <w:b/>
          <w:bCs/>
          <w:spacing w:val="-8"/>
          <w:sz w:val="18"/>
          <w:szCs w:val="18"/>
        </w:rPr>
        <w:t>新</w:t>
      </w:r>
      <w:r>
        <w:rPr>
          <w:rFonts w:ascii="宋体" w:eastAsia="宋体" w:hAnsi="宋体" w:cs="宋体"/>
          <w:spacing w:val="6"/>
          <w:sz w:val="18"/>
          <w:szCs w:val="18"/>
        </w:rPr>
        <w:t xml:space="preserve"> </w:t>
      </w:r>
      <w:r>
        <w:rPr>
          <w:rFonts w:ascii="宋体" w:eastAsia="宋体" w:hAnsi="宋体" w:cs="宋体"/>
          <w:b/>
          <w:bCs/>
          <w:spacing w:val="-8"/>
          <w:sz w:val="18"/>
          <w:szCs w:val="18"/>
        </w:rPr>
        <w:t>蕾</w:t>
      </w:r>
      <w:r>
        <w:rPr>
          <w:rFonts w:ascii="宋体" w:eastAsia="宋体" w:hAnsi="宋体" w:cs="宋体"/>
          <w:spacing w:val="12"/>
          <w:sz w:val="18"/>
          <w:szCs w:val="18"/>
        </w:rPr>
        <w:t xml:space="preserve"> </w:t>
      </w:r>
      <w:r>
        <w:rPr>
          <w:rFonts w:ascii="宋体" w:eastAsia="宋体" w:hAnsi="宋体" w:cs="宋体"/>
          <w:b/>
          <w:bCs/>
          <w:spacing w:val="-8"/>
          <w:sz w:val="18"/>
          <w:szCs w:val="18"/>
        </w:rPr>
        <w:t>印</w:t>
      </w:r>
      <w:r>
        <w:rPr>
          <w:rFonts w:ascii="宋体" w:eastAsia="宋体" w:hAnsi="宋体" w:cs="宋体"/>
          <w:spacing w:val="-3"/>
          <w:sz w:val="18"/>
          <w:szCs w:val="18"/>
        </w:rPr>
        <w:t xml:space="preserve"> </w:t>
      </w:r>
      <w:r>
        <w:rPr>
          <w:rFonts w:ascii="宋体" w:eastAsia="宋体" w:hAnsi="宋体" w:cs="宋体"/>
          <w:b/>
          <w:bCs/>
          <w:spacing w:val="-8"/>
          <w:sz w:val="18"/>
          <w:szCs w:val="18"/>
        </w:rPr>
        <w:t>刷</w:t>
      </w:r>
      <w:r>
        <w:rPr>
          <w:rFonts w:ascii="宋体" w:eastAsia="宋体" w:hAnsi="宋体" w:cs="宋体"/>
          <w:sz w:val="18"/>
          <w:szCs w:val="18"/>
        </w:rPr>
        <w:t xml:space="preserve"> </w:t>
      </w:r>
      <w:r>
        <w:rPr>
          <w:rFonts w:ascii="宋体" w:eastAsia="宋体" w:hAnsi="宋体" w:cs="宋体"/>
          <w:b/>
          <w:bCs/>
          <w:spacing w:val="-8"/>
          <w:sz w:val="18"/>
          <w:szCs w:val="18"/>
        </w:rPr>
        <w:t>厂</w:t>
      </w:r>
      <w:r>
        <w:rPr>
          <w:rFonts w:ascii="宋体" w:eastAsia="宋体" w:hAnsi="宋体" w:cs="宋体"/>
          <w:spacing w:val="26"/>
          <w:sz w:val="18"/>
          <w:szCs w:val="18"/>
        </w:rPr>
        <w:t xml:space="preserve">  </w:t>
      </w:r>
      <w:r>
        <w:rPr>
          <w:rFonts w:ascii="宋体" w:eastAsia="宋体" w:hAnsi="宋体" w:cs="宋体"/>
          <w:spacing w:val="-8"/>
          <w:sz w:val="18"/>
          <w:szCs w:val="18"/>
        </w:rPr>
        <w:t>印刷</w:t>
      </w:r>
    </w:p>
    <w:p w:rsidR="00EA40A3" w:rsidRDefault="00E86C16">
      <w:pPr>
        <w:spacing w:before="48" w:line="219" w:lineRule="auto"/>
        <w:ind w:left="1897"/>
        <w:rPr>
          <w:rFonts w:ascii="宋体" w:eastAsia="宋体" w:hAnsi="宋体" w:cs="宋体"/>
          <w:sz w:val="18"/>
          <w:szCs w:val="18"/>
        </w:rPr>
      </w:pPr>
      <w:r>
        <w:rPr>
          <w:rFonts w:ascii="宋体" w:eastAsia="宋体" w:hAnsi="宋体" w:cs="宋体"/>
          <w:spacing w:val="-17"/>
          <w:w w:val="98"/>
          <w:sz w:val="18"/>
          <w:szCs w:val="18"/>
        </w:rPr>
        <w:t>科学出版社发行</w:t>
      </w:r>
      <w:r>
        <w:rPr>
          <w:rFonts w:ascii="宋体" w:eastAsia="宋体" w:hAnsi="宋体" w:cs="宋体"/>
          <w:spacing w:val="49"/>
          <w:sz w:val="18"/>
          <w:szCs w:val="18"/>
        </w:rPr>
        <w:t xml:space="preserve"> </w:t>
      </w:r>
      <w:r>
        <w:rPr>
          <w:rFonts w:ascii="宋体" w:eastAsia="宋体" w:hAnsi="宋体" w:cs="宋体"/>
          <w:spacing w:val="-17"/>
          <w:w w:val="98"/>
          <w:sz w:val="18"/>
          <w:szCs w:val="18"/>
        </w:rPr>
        <w:t>各地新华书店经销</w:t>
      </w:r>
    </w:p>
    <w:p w:rsidR="00EA40A3" w:rsidRDefault="00EA40A3"/>
    <w:p w:rsidR="00EA40A3" w:rsidRDefault="00EA40A3">
      <w:pPr>
        <w:spacing w:line="39" w:lineRule="exact"/>
      </w:pPr>
    </w:p>
    <w:p w:rsidR="00EA40A3" w:rsidRDefault="00EA40A3">
      <w:pPr>
        <w:sectPr w:rsidR="00EA40A3">
          <w:pgSz w:w="9220" w:h="13360"/>
          <w:pgMar w:top="400" w:right="1383" w:bottom="0" w:left="1383" w:header="0" w:footer="0" w:gutter="0"/>
          <w:cols w:space="720" w:equalWidth="0">
            <w:col w:w="6455"/>
          </w:cols>
        </w:sectPr>
      </w:pPr>
    </w:p>
    <w:p w:rsidR="00EA40A3" w:rsidRDefault="00E86C16">
      <w:pPr>
        <w:spacing w:before="35" w:line="226" w:lineRule="auto"/>
        <w:ind w:left="1366" w:right="195"/>
        <w:jc w:val="both"/>
        <w:rPr>
          <w:rFonts w:ascii="宋体" w:eastAsia="宋体" w:hAnsi="宋体" w:cs="宋体"/>
          <w:sz w:val="18"/>
          <w:szCs w:val="18"/>
        </w:rPr>
      </w:pPr>
      <w:r>
        <w:rPr>
          <w:rFonts w:ascii="宋体" w:eastAsia="宋体" w:hAnsi="宋体" w:cs="宋体"/>
          <w:spacing w:val="-1"/>
          <w:sz w:val="18"/>
          <w:szCs w:val="18"/>
        </w:rPr>
        <w:t>2006年9月第</w:t>
      </w:r>
      <w:r>
        <w:rPr>
          <w:rFonts w:ascii="宋体" w:eastAsia="宋体" w:hAnsi="宋体" w:cs="宋体"/>
          <w:spacing w:val="51"/>
          <w:sz w:val="18"/>
          <w:szCs w:val="18"/>
        </w:rPr>
        <w:t xml:space="preserve"> </w:t>
      </w:r>
      <w:r>
        <w:rPr>
          <w:rFonts w:ascii="宋体" w:eastAsia="宋体" w:hAnsi="宋体" w:cs="宋体"/>
          <w:spacing w:val="-1"/>
          <w:sz w:val="18"/>
          <w:szCs w:val="18"/>
        </w:rPr>
        <w:t>一</w:t>
      </w:r>
      <w:r>
        <w:rPr>
          <w:rFonts w:ascii="宋体" w:eastAsia="宋体" w:hAnsi="宋体" w:cs="宋体"/>
          <w:spacing w:val="50"/>
          <w:sz w:val="18"/>
          <w:szCs w:val="18"/>
        </w:rPr>
        <w:t xml:space="preserve"> </w:t>
      </w:r>
      <w:r>
        <w:rPr>
          <w:rFonts w:ascii="宋体" w:eastAsia="宋体" w:hAnsi="宋体" w:cs="宋体"/>
          <w:spacing w:val="-1"/>
          <w:sz w:val="18"/>
          <w:szCs w:val="18"/>
        </w:rPr>
        <w:t>版</w:t>
      </w:r>
      <w:r>
        <w:rPr>
          <w:rFonts w:ascii="宋体" w:eastAsia="宋体" w:hAnsi="宋体" w:cs="宋体"/>
          <w:sz w:val="18"/>
          <w:szCs w:val="18"/>
        </w:rPr>
        <w:t xml:space="preserve"> </w:t>
      </w:r>
      <w:r>
        <w:rPr>
          <w:rFonts w:ascii="宋体" w:eastAsia="宋体" w:hAnsi="宋体" w:cs="宋体"/>
          <w:spacing w:val="-7"/>
          <w:sz w:val="18"/>
          <w:szCs w:val="18"/>
        </w:rPr>
        <w:t>2006年9月第一次印刷</w:t>
      </w:r>
      <w:r>
        <w:rPr>
          <w:rFonts w:ascii="宋体" w:eastAsia="宋体" w:hAnsi="宋体" w:cs="宋体"/>
          <w:spacing w:val="7"/>
          <w:sz w:val="18"/>
          <w:szCs w:val="18"/>
        </w:rPr>
        <w:t xml:space="preserve"> </w:t>
      </w:r>
      <w:r>
        <w:rPr>
          <w:rFonts w:ascii="宋体" w:eastAsia="宋体" w:hAnsi="宋体" w:cs="宋体"/>
          <w:spacing w:val="-11"/>
          <w:sz w:val="18"/>
          <w:szCs w:val="18"/>
        </w:rPr>
        <w:t>印数：1—4000</w:t>
      </w:r>
    </w:p>
    <w:p w:rsidR="00EA40A3" w:rsidRDefault="00E86C16">
      <w:pPr>
        <w:spacing w:line="14" w:lineRule="auto"/>
        <w:rPr>
          <w:sz w:val="2"/>
        </w:rPr>
      </w:pPr>
      <w:r>
        <w:rPr>
          <w:sz w:val="2"/>
          <w:szCs w:val="2"/>
        </w:rPr>
        <w:br w:type="column"/>
      </w:r>
    </w:p>
    <w:p w:rsidR="00EA40A3" w:rsidRDefault="00E86C16">
      <w:pPr>
        <w:spacing w:before="34" w:line="219" w:lineRule="auto"/>
        <w:rPr>
          <w:rFonts w:ascii="宋体" w:eastAsia="宋体" w:hAnsi="宋体" w:cs="宋体"/>
          <w:sz w:val="18"/>
          <w:szCs w:val="18"/>
        </w:rPr>
      </w:pPr>
      <w:r>
        <w:rPr>
          <w:rFonts w:ascii="宋体" w:eastAsia="宋体" w:hAnsi="宋体" w:cs="宋体"/>
          <w:spacing w:val="-8"/>
          <w:sz w:val="18"/>
          <w:szCs w:val="18"/>
        </w:rPr>
        <w:t>开本：</w:t>
      </w:r>
      <w:r>
        <w:rPr>
          <w:rFonts w:ascii="宋体" w:eastAsia="宋体" w:hAnsi="宋体" w:cs="宋体"/>
          <w:spacing w:val="-44"/>
          <w:sz w:val="18"/>
          <w:szCs w:val="18"/>
        </w:rPr>
        <w:t xml:space="preserve"> </w:t>
      </w:r>
      <w:r>
        <w:rPr>
          <w:rFonts w:ascii="宋体" w:eastAsia="宋体" w:hAnsi="宋体" w:cs="宋体"/>
          <w:spacing w:val="-8"/>
          <w:sz w:val="18"/>
          <w:szCs w:val="18"/>
        </w:rPr>
        <w:t>B5(720×1000)</w:t>
      </w:r>
    </w:p>
    <w:p w:rsidR="00EA40A3" w:rsidRDefault="00E86C16">
      <w:pPr>
        <w:spacing w:before="28" w:line="219" w:lineRule="auto"/>
        <w:ind w:left="10"/>
        <w:rPr>
          <w:rFonts w:ascii="宋体" w:eastAsia="宋体" w:hAnsi="宋体" w:cs="宋体"/>
          <w:sz w:val="18"/>
          <w:szCs w:val="18"/>
        </w:rPr>
      </w:pPr>
      <w:r>
        <w:rPr>
          <w:rFonts w:ascii="宋体" w:eastAsia="宋体" w:hAnsi="宋体" w:cs="宋体"/>
          <w:spacing w:val="-11"/>
          <w:sz w:val="18"/>
          <w:szCs w:val="18"/>
        </w:rPr>
        <w:t>印张：283/4</w:t>
      </w:r>
    </w:p>
    <w:p w:rsidR="00EA40A3" w:rsidRDefault="00E86C16">
      <w:pPr>
        <w:spacing w:before="27" w:line="184" w:lineRule="auto"/>
        <w:ind w:left="20"/>
        <w:rPr>
          <w:rFonts w:ascii="宋体" w:eastAsia="宋体" w:hAnsi="宋体" w:cs="宋体"/>
          <w:sz w:val="18"/>
          <w:szCs w:val="18"/>
        </w:rPr>
      </w:pPr>
      <w:r>
        <w:rPr>
          <w:rFonts w:ascii="宋体" w:eastAsia="宋体" w:hAnsi="宋体" w:cs="宋体"/>
          <w:spacing w:val="-9"/>
          <w:sz w:val="18"/>
          <w:szCs w:val="18"/>
        </w:rPr>
        <w:t>字数：548000</w:t>
      </w:r>
    </w:p>
    <w:p w:rsidR="00EA40A3" w:rsidRDefault="00EA40A3">
      <w:pPr>
        <w:sectPr w:rsidR="00EA40A3">
          <w:type w:val="continuous"/>
          <w:pgSz w:w="9220" w:h="13360"/>
          <w:pgMar w:top="400" w:right="1383" w:bottom="0" w:left="1383" w:header="0" w:footer="0" w:gutter="0"/>
          <w:cols w:num="2" w:space="720" w:equalWidth="0">
            <w:col w:w="3197" w:space="100"/>
            <w:col w:w="3158"/>
          </w:cols>
        </w:sectPr>
      </w:pPr>
    </w:p>
    <w:p w:rsidR="00EA40A3" w:rsidRDefault="00E86C16">
      <w:pPr>
        <w:spacing w:before="106" w:line="218" w:lineRule="auto"/>
        <w:ind w:left="2559"/>
        <w:rPr>
          <w:rFonts w:ascii="宋体" w:eastAsia="宋体" w:hAnsi="宋体" w:cs="宋体"/>
          <w:sz w:val="18"/>
          <w:szCs w:val="18"/>
        </w:rPr>
      </w:pPr>
      <w:r>
        <w:rPr>
          <w:rFonts w:ascii="宋体" w:eastAsia="宋体" w:hAnsi="宋体" w:cs="宋体"/>
          <w:b/>
          <w:bCs/>
          <w:spacing w:val="-3"/>
          <w:sz w:val="18"/>
          <w:szCs w:val="18"/>
        </w:rPr>
        <w:t>定价：35.00元</w:t>
      </w:r>
    </w:p>
    <w:p w:rsidR="00EA40A3" w:rsidRDefault="00E86C16">
      <w:pPr>
        <w:spacing w:before="32" w:line="184" w:lineRule="auto"/>
        <w:ind w:left="1426"/>
        <w:rPr>
          <w:rFonts w:ascii="宋体" w:eastAsia="宋体" w:hAnsi="宋体" w:cs="宋体"/>
          <w:sz w:val="18"/>
          <w:szCs w:val="18"/>
        </w:rPr>
      </w:pPr>
      <w:r>
        <w:rPr>
          <w:rFonts w:ascii="宋体" w:eastAsia="宋体" w:hAnsi="宋体" w:cs="宋体"/>
          <w:spacing w:val="-3"/>
          <w:sz w:val="18"/>
          <w:szCs w:val="18"/>
        </w:rPr>
        <w:t>(如有印装质量问题，我社负责调换&lt;明辉》)</w:t>
      </w:r>
    </w:p>
    <w:p w:rsidR="00EA40A3" w:rsidRDefault="00EA40A3">
      <w:pPr>
        <w:sectPr w:rsidR="00EA40A3">
          <w:type w:val="continuous"/>
          <w:pgSz w:w="9220" w:h="13360"/>
          <w:pgMar w:top="400" w:right="1383" w:bottom="0" w:left="1383" w:header="0" w:footer="0" w:gutter="0"/>
          <w:cols w:space="720" w:equalWidth="0">
            <w:col w:w="6455"/>
          </w:cols>
        </w:sectPr>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A40A3">
      <w:pPr>
        <w:spacing w:line="244" w:lineRule="auto"/>
      </w:pPr>
    </w:p>
    <w:p w:rsidR="00EA40A3" w:rsidRDefault="00E86C16">
      <w:pPr>
        <w:spacing w:before="98" w:line="221" w:lineRule="auto"/>
        <w:ind w:left="1961"/>
        <w:rPr>
          <w:rFonts w:ascii="黑体" w:eastAsia="黑体" w:hAnsi="黑体" w:cs="黑体"/>
          <w:sz w:val="30"/>
          <w:szCs w:val="30"/>
        </w:rPr>
      </w:pPr>
      <w:r>
        <w:rPr>
          <w:rFonts w:ascii="黑体" w:eastAsia="黑体" w:hAnsi="黑体" w:cs="黑体"/>
          <w:b/>
          <w:bCs/>
          <w:spacing w:val="3"/>
          <w:sz w:val="30"/>
          <w:szCs w:val="30"/>
        </w:rPr>
        <w:t>本书编写人员名单</w:t>
      </w:r>
    </w:p>
    <w:p w:rsidR="00EA40A3" w:rsidRDefault="00E86C16">
      <w:pPr>
        <w:spacing w:before="311" w:line="451" w:lineRule="exact"/>
        <w:ind w:left="940"/>
        <w:rPr>
          <w:rFonts w:ascii="楷体" w:eastAsia="楷体" w:hAnsi="楷体" w:cs="楷体"/>
          <w:sz w:val="26"/>
          <w:szCs w:val="26"/>
        </w:rPr>
      </w:pPr>
      <w:r>
        <w:rPr>
          <w:rFonts w:ascii="楷体" w:eastAsia="楷体" w:hAnsi="楷体" w:cs="楷体"/>
          <w:b/>
          <w:bCs/>
          <w:spacing w:val="17"/>
          <w:position w:val="13"/>
          <w:sz w:val="26"/>
          <w:szCs w:val="26"/>
        </w:rPr>
        <w:t>主</w:t>
      </w:r>
      <w:r>
        <w:rPr>
          <w:rFonts w:ascii="楷体" w:eastAsia="楷体" w:hAnsi="楷体" w:cs="楷体"/>
          <w:spacing w:val="22"/>
          <w:position w:val="13"/>
          <w:sz w:val="26"/>
          <w:szCs w:val="26"/>
        </w:rPr>
        <w:t xml:space="preserve">  </w:t>
      </w:r>
      <w:r>
        <w:rPr>
          <w:rFonts w:ascii="楷体" w:eastAsia="楷体" w:hAnsi="楷体" w:cs="楷体"/>
          <w:b/>
          <w:bCs/>
          <w:spacing w:val="17"/>
          <w:position w:val="13"/>
          <w:sz w:val="26"/>
          <w:szCs w:val="26"/>
        </w:rPr>
        <w:t>编：</w:t>
      </w:r>
      <w:r>
        <w:rPr>
          <w:rFonts w:ascii="楷体" w:eastAsia="楷体" w:hAnsi="楷体" w:cs="楷体"/>
          <w:spacing w:val="-14"/>
          <w:position w:val="13"/>
          <w:sz w:val="26"/>
          <w:szCs w:val="26"/>
        </w:rPr>
        <w:t xml:space="preserve"> </w:t>
      </w:r>
      <w:r>
        <w:rPr>
          <w:rFonts w:ascii="楷体" w:eastAsia="楷体" w:hAnsi="楷体" w:cs="楷体"/>
          <w:spacing w:val="17"/>
          <w:position w:val="13"/>
          <w:sz w:val="26"/>
          <w:szCs w:val="26"/>
        </w:rPr>
        <w:t>孙远明(华南农业大学)</w:t>
      </w:r>
    </w:p>
    <w:p w:rsidR="00EA40A3" w:rsidRDefault="00E86C16">
      <w:pPr>
        <w:spacing w:line="224" w:lineRule="auto"/>
        <w:ind w:left="940"/>
        <w:rPr>
          <w:rFonts w:ascii="楷体" w:eastAsia="楷体" w:hAnsi="楷体" w:cs="楷体"/>
          <w:sz w:val="26"/>
          <w:szCs w:val="26"/>
        </w:rPr>
      </w:pPr>
      <w:r>
        <w:rPr>
          <w:rFonts w:ascii="楷体" w:eastAsia="楷体" w:hAnsi="楷体" w:cs="楷体"/>
          <w:b/>
          <w:bCs/>
          <w:spacing w:val="12"/>
          <w:sz w:val="26"/>
          <w:szCs w:val="26"/>
        </w:rPr>
        <w:t>副主编：</w:t>
      </w:r>
      <w:r>
        <w:rPr>
          <w:rFonts w:ascii="楷体" w:eastAsia="楷体" w:hAnsi="楷体" w:cs="楷体"/>
          <w:spacing w:val="60"/>
          <w:sz w:val="26"/>
          <w:szCs w:val="26"/>
        </w:rPr>
        <w:t xml:space="preserve"> </w:t>
      </w:r>
      <w:r>
        <w:rPr>
          <w:rFonts w:ascii="楷体" w:eastAsia="楷体" w:hAnsi="楷体" w:cs="楷体"/>
          <w:spacing w:val="12"/>
          <w:sz w:val="26"/>
          <w:szCs w:val="26"/>
        </w:rPr>
        <w:t>苏宜香(中山大学)</w:t>
      </w:r>
    </w:p>
    <w:p w:rsidR="00EA40A3" w:rsidRDefault="00E86C16">
      <w:pPr>
        <w:spacing w:before="132" w:line="224" w:lineRule="auto"/>
        <w:ind w:left="1957"/>
        <w:rPr>
          <w:rFonts w:ascii="楷体" w:eastAsia="楷体" w:hAnsi="楷体" w:cs="楷体"/>
          <w:sz w:val="26"/>
          <w:szCs w:val="26"/>
        </w:rPr>
      </w:pPr>
      <w:r>
        <w:rPr>
          <w:rFonts w:ascii="楷体" w:eastAsia="楷体" w:hAnsi="楷体" w:cs="楷体"/>
          <w:spacing w:val="31"/>
          <w:sz w:val="26"/>
          <w:szCs w:val="26"/>
        </w:rPr>
        <w:t>余群力(甘肃农业大学)</w:t>
      </w:r>
    </w:p>
    <w:p w:rsidR="00EA40A3" w:rsidRDefault="00E86C16">
      <w:pPr>
        <w:spacing w:before="136" w:line="517" w:lineRule="exact"/>
        <w:ind w:left="1957"/>
        <w:rPr>
          <w:rFonts w:ascii="楷体" w:eastAsia="楷体" w:hAnsi="楷体" w:cs="楷体"/>
          <w:sz w:val="26"/>
          <w:szCs w:val="26"/>
        </w:rPr>
      </w:pPr>
      <w:r>
        <w:rPr>
          <w:rFonts w:ascii="楷体" w:eastAsia="楷体" w:hAnsi="楷体" w:cs="楷体"/>
          <w:spacing w:val="27"/>
          <w:position w:val="19"/>
          <w:sz w:val="26"/>
          <w:szCs w:val="26"/>
        </w:rPr>
        <w:t>王</w:t>
      </w:r>
      <w:r>
        <w:rPr>
          <w:rFonts w:ascii="楷体" w:eastAsia="楷体" w:hAnsi="楷体" w:cs="楷体"/>
          <w:spacing w:val="35"/>
          <w:position w:val="19"/>
          <w:sz w:val="26"/>
          <w:szCs w:val="26"/>
        </w:rPr>
        <w:t xml:space="preserve">  </w:t>
      </w:r>
      <w:r>
        <w:rPr>
          <w:rFonts w:ascii="楷体" w:eastAsia="楷体" w:hAnsi="楷体" w:cs="楷体"/>
          <w:spacing w:val="27"/>
          <w:position w:val="19"/>
          <w:sz w:val="26"/>
          <w:szCs w:val="26"/>
        </w:rPr>
        <w:t>弘(华南农业大学)</w:t>
      </w:r>
    </w:p>
    <w:p w:rsidR="00EA40A3" w:rsidRDefault="00E86C16">
      <w:pPr>
        <w:spacing w:before="1" w:line="220" w:lineRule="auto"/>
        <w:ind w:left="940"/>
        <w:rPr>
          <w:rFonts w:ascii="黑体" w:eastAsia="黑体" w:hAnsi="黑体" w:cs="黑体"/>
          <w:sz w:val="22"/>
          <w:szCs w:val="22"/>
        </w:rPr>
      </w:pPr>
      <w:r>
        <w:rPr>
          <w:rFonts w:ascii="黑体" w:eastAsia="黑体" w:hAnsi="黑体" w:cs="黑体"/>
          <w:b/>
          <w:bCs/>
          <w:spacing w:val="-10"/>
          <w:sz w:val="22"/>
          <w:szCs w:val="22"/>
        </w:rPr>
        <w:t>编</w:t>
      </w:r>
      <w:r>
        <w:rPr>
          <w:rFonts w:ascii="黑体" w:eastAsia="黑体" w:hAnsi="黑体" w:cs="黑体"/>
          <w:spacing w:val="-10"/>
          <w:sz w:val="22"/>
          <w:szCs w:val="22"/>
        </w:rPr>
        <w:t xml:space="preserve"> </w:t>
      </w:r>
      <w:r>
        <w:rPr>
          <w:rFonts w:ascii="黑体" w:eastAsia="黑体" w:hAnsi="黑体" w:cs="黑体"/>
          <w:b/>
          <w:bCs/>
          <w:spacing w:val="-10"/>
          <w:sz w:val="22"/>
          <w:szCs w:val="22"/>
        </w:rPr>
        <w:t>写</w:t>
      </w:r>
      <w:r>
        <w:rPr>
          <w:rFonts w:ascii="黑体" w:eastAsia="黑体" w:hAnsi="黑体" w:cs="黑体"/>
          <w:spacing w:val="-17"/>
          <w:sz w:val="22"/>
          <w:szCs w:val="22"/>
        </w:rPr>
        <w:t xml:space="preserve"> </w:t>
      </w:r>
      <w:r>
        <w:rPr>
          <w:rFonts w:ascii="黑体" w:eastAsia="黑体" w:hAnsi="黑体" w:cs="黑体"/>
          <w:b/>
          <w:bCs/>
          <w:spacing w:val="-10"/>
          <w:sz w:val="22"/>
          <w:szCs w:val="22"/>
        </w:rPr>
        <w:t>人</w:t>
      </w:r>
      <w:r>
        <w:rPr>
          <w:rFonts w:ascii="黑体" w:eastAsia="黑体" w:hAnsi="黑体" w:cs="黑体"/>
          <w:spacing w:val="-17"/>
          <w:sz w:val="22"/>
          <w:szCs w:val="22"/>
        </w:rPr>
        <w:t xml:space="preserve"> </w:t>
      </w:r>
      <w:r>
        <w:rPr>
          <w:rFonts w:ascii="黑体" w:eastAsia="黑体" w:hAnsi="黑体" w:cs="黑体"/>
          <w:b/>
          <w:bCs/>
          <w:spacing w:val="-10"/>
          <w:sz w:val="22"/>
          <w:szCs w:val="22"/>
        </w:rPr>
        <w:t>员</w:t>
      </w:r>
      <w:r>
        <w:rPr>
          <w:rFonts w:ascii="黑体" w:eastAsia="黑体" w:hAnsi="黑体" w:cs="黑体"/>
          <w:spacing w:val="11"/>
          <w:sz w:val="22"/>
          <w:szCs w:val="22"/>
        </w:rPr>
        <w:t xml:space="preserve"> </w:t>
      </w:r>
      <w:r>
        <w:rPr>
          <w:rFonts w:ascii="黑体" w:eastAsia="黑体" w:hAnsi="黑体" w:cs="黑体"/>
          <w:spacing w:val="-10"/>
          <w:sz w:val="22"/>
          <w:szCs w:val="22"/>
        </w:rPr>
        <w:t>(按姓氏笔画排序):</w:t>
      </w:r>
    </w:p>
    <w:p w:rsidR="00EA40A3" w:rsidRDefault="00E86C16">
      <w:pPr>
        <w:spacing w:before="139" w:line="224" w:lineRule="auto"/>
        <w:ind w:left="1957"/>
        <w:rPr>
          <w:rFonts w:ascii="楷体" w:eastAsia="楷体" w:hAnsi="楷体" w:cs="楷体"/>
          <w:sz w:val="26"/>
          <w:szCs w:val="26"/>
        </w:rPr>
      </w:pPr>
      <w:r>
        <w:rPr>
          <w:rFonts w:ascii="楷体" w:eastAsia="楷体" w:hAnsi="楷体" w:cs="楷体"/>
          <w:spacing w:val="28"/>
          <w:sz w:val="26"/>
          <w:szCs w:val="26"/>
        </w:rPr>
        <w:t>王</w:t>
      </w:r>
      <w:r>
        <w:rPr>
          <w:rFonts w:ascii="楷体" w:eastAsia="楷体" w:hAnsi="楷体" w:cs="楷体"/>
          <w:spacing w:val="30"/>
          <w:sz w:val="26"/>
          <w:szCs w:val="26"/>
        </w:rPr>
        <w:t xml:space="preserve">  </w:t>
      </w:r>
      <w:r>
        <w:rPr>
          <w:rFonts w:ascii="楷体" w:eastAsia="楷体" w:hAnsi="楷体" w:cs="楷体"/>
          <w:spacing w:val="28"/>
          <w:sz w:val="26"/>
          <w:szCs w:val="26"/>
        </w:rPr>
        <w:t>弘(华南农业大学)</w:t>
      </w:r>
    </w:p>
    <w:p w:rsidR="00EA40A3" w:rsidRDefault="00E86C16">
      <w:pPr>
        <w:spacing w:before="134" w:line="450" w:lineRule="exact"/>
        <w:ind w:left="1957"/>
        <w:rPr>
          <w:rFonts w:ascii="楷体" w:eastAsia="楷体" w:hAnsi="楷体" w:cs="楷体"/>
          <w:sz w:val="26"/>
          <w:szCs w:val="26"/>
        </w:rPr>
      </w:pPr>
      <w:r>
        <w:rPr>
          <w:rFonts w:ascii="楷体" w:eastAsia="楷体" w:hAnsi="楷体" w:cs="楷体"/>
          <w:spacing w:val="28"/>
          <w:position w:val="13"/>
          <w:sz w:val="26"/>
          <w:szCs w:val="26"/>
        </w:rPr>
        <w:t>王</w:t>
      </w:r>
      <w:r>
        <w:rPr>
          <w:rFonts w:ascii="楷体" w:eastAsia="楷体" w:hAnsi="楷体" w:cs="楷体"/>
          <w:spacing w:val="62"/>
          <w:position w:val="13"/>
          <w:sz w:val="26"/>
          <w:szCs w:val="26"/>
        </w:rPr>
        <w:t xml:space="preserve">  </w:t>
      </w:r>
      <w:r>
        <w:rPr>
          <w:rFonts w:ascii="楷体" w:eastAsia="楷体" w:hAnsi="楷体" w:cs="楷体"/>
          <w:spacing w:val="28"/>
          <w:position w:val="13"/>
          <w:sz w:val="26"/>
          <w:szCs w:val="26"/>
        </w:rPr>
        <w:t>敏(西北农林科技大学)</w:t>
      </w:r>
    </w:p>
    <w:p w:rsidR="00EA40A3" w:rsidRDefault="00E86C16">
      <w:pPr>
        <w:spacing w:before="1" w:line="224" w:lineRule="auto"/>
        <w:ind w:left="1957"/>
        <w:rPr>
          <w:rFonts w:ascii="楷体" w:eastAsia="楷体" w:hAnsi="楷体" w:cs="楷体"/>
          <w:sz w:val="26"/>
          <w:szCs w:val="26"/>
        </w:rPr>
      </w:pPr>
      <w:r>
        <w:rPr>
          <w:rFonts w:ascii="楷体" w:eastAsia="楷体" w:hAnsi="楷体" w:cs="楷体"/>
          <w:spacing w:val="31"/>
          <w:sz w:val="26"/>
          <w:szCs w:val="26"/>
        </w:rPr>
        <w:t>邓放明(湖南农业大学)</w:t>
      </w:r>
    </w:p>
    <w:p w:rsidR="00EA40A3" w:rsidRDefault="00E86C16">
      <w:pPr>
        <w:spacing w:before="134" w:line="450" w:lineRule="exact"/>
        <w:ind w:left="1957"/>
        <w:rPr>
          <w:rFonts w:ascii="楷体" w:eastAsia="楷体" w:hAnsi="楷体" w:cs="楷体"/>
          <w:sz w:val="26"/>
          <w:szCs w:val="26"/>
        </w:rPr>
      </w:pPr>
      <w:r>
        <w:rPr>
          <w:rFonts w:ascii="楷体" w:eastAsia="楷体" w:hAnsi="楷体" w:cs="楷体"/>
          <w:spacing w:val="31"/>
          <w:position w:val="13"/>
          <w:sz w:val="26"/>
          <w:szCs w:val="26"/>
        </w:rPr>
        <w:t>乐国伟(江南大学)</w:t>
      </w:r>
    </w:p>
    <w:p w:rsidR="00EA40A3" w:rsidRDefault="00E86C16">
      <w:pPr>
        <w:spacing w:line="224" w:lineRule="auto"/>
        <w:ind w:left="1957"/>
        <w:rPr>
          <w:rFonts w:ascii="楷体" w:eastAsia="楷体" w:hAnsi="楷体" w:cs="楷体"/>
          <w:sz w:val="26"/>
          <w:szCs w:val="26"/>
        </w:rPr>
      </w:pPr>
      <w:r>
        <w:rPr>
          <w:rFonts w:ascii="楷体" w:eastAsia="楷体" w:hAnsi="楷体" w:cs="楷体"/>
          <w:spacing w:val="31"/>
          <w:sz w:val="26"/>
          <w:szCs w:val="26"/>
        </w:rPr>
        <w:t>冯凤琴(浙江大学)</w:t>
      </w:r>
    </w:p>
    <w:p w:rsidR="00EA40A3" w:rsidRDefault="00E86C16">
      <w:pPr>
        <w:spacing w:before="134" w:line="450" w:lineRule="exact"/>
        <w:ind w:left="1957"/>
        <w:rPr>
          <w:rFonts w:ascii="楷体" w:eastAsia="楷体" w:hAnsi="楷体" w:cs="楷体"/>
          <w:sz w:val="26"/>
          <w:szCs w:val="26"/>
        </w:rPr>
      </w:pPr>
      <w:r>
        <w:rPr>
          <w:rFonts w:ascii="楷体" w:eastAsia="楷体" w:hAnsi="楷体" w:cs="楷体"/>
          <w:spacing w:val="31"/>
          <w:position w:val="13"/>
          <w:sz w:val="26"/>
          <w:szCs w:val="26"/>
        </w:rPr>
        <w:t>孙远明(华南农业大学)</w:t>
      </w:r>
    </w:p>
    <w:p w:rsidR="00EA40A3" w:rsidRDefault="00E86C16">
      <w:pPr>
        <w:spacing w:before="1" w:line="224" w:lineRule="auto"/>
        <w:ind w:left="1957"/>
        <w:rPr>
          <w:rFonts w:ascii="楷体" w:eastAsia="楷体" w:hAnsi="楷体" w:cs="楷体"/>
          <w:sz w:val="26"/>
          <w:szCs w:val="26"/>
        </w:rPr>
      </w:pPr>
      <w:r>
        <w:rPr>
          <w:rFonts w:ascii="楷体" w:eastAsia="楷体" w:hAnsi="楷体" w:cs="楷体"/>
          <w:spacing w:val="31"/>
          <w:sz w:val="26"/>
          <w:szCs w:val="26"/>
        </w:rPr>
        <w:t>苏宜香(中山大学)</w:t>
      </w:r>
    </w:p>
    <w:p w:rsidR="00EA40A3" w:rsidRDefault="00E86C16">
      <w:pPr>
        <w:spacing w:before="131" w:line="224" w:lineRule="auto"/>
        <w:ind w:left="1960"/>
        <w:rPr>
          <w:rFonts w:ascii="楷体" w:eastAsia="楷体" w:hAnsi="楷体" w:cs="楷体"/>
          <w:sz w:val="26"/>
          <w:szCs w:val="26"/>
        </w:rPr>
      </w:pPr>
      <w:r>
        <w:rPr>
          <w:rFonts w:ascii="楷体" w:eastAsia="楷体" w:hAnsi="楷体" w:cs="楷体"/>
          <w:b/>
          <w:bCs/>
          <w:spacing w:val="27"/>
          <w:sz w:val="26"/>
          <w:szCs w:val="26"/>
        </w:rPr>
        <w:t>何计国(中国农业大学)</w:t>
      </w:r>
    </w:p>
    <w:p w:rsidR="00EA40A3" w:rsidRDefault="00E86C16">
      <w:pPr>
        <w:spacing w:before="136" w:line="451" w:lineRule="exact"/>
        <w:ind w:left="1957"/>
        <w:rPr>
          <w:rFonts w:ascii="楷体" w:eastAsia="楷体" w:hAnsi="楷体" w:cs="楷体"/>
          <w:sz w:val="26"/>
          <w:szCs w:val="26"/>
        </w:rPr>
      </w:pPr>
      <w:r>
        <w:rPr>
          <w:rFonts w:ascii="楷体" w:eastAsia="楷体" w:hAnsi="楷体" w:cs="楷体"/>
          <w:spacing w:val="31"/>
          <w:position w:val="13"/>
          <w:sz w:val="26"/>
          <w:szCs w:val="26"/>
        </w:rPr>
        <w:t>余群力(甘肃农业大学)</w:t>
      </w:r>
    </w:p>
    <w:p w:rsidR="00EA40A3" w:rsidRDefault="00E86C16">
      <w:pPr>
        <w:spacing w:before="1" w:line="224" w:lineRule="auto"/>
        <w:ind w:left="1957"/>
        <w:rPr>
          <w:rFonts w:ascii="楷体" w:eastAsia="楷体" w:hAnsi="楷体" w:cs="楷体"/>
          <w:sz w:val="26"/>
          <w:szCs w:val="26"/>
        </w:rPr>
      </w:pPr>
      <w:r>
        <w:rPr>
          <w:rFonts w:ascii="楷体" w:eastAsia="楷体" w:hAnsi="楷体" w:cs="楷体"/>
          <w:spacing w:val="25"/>
          <w:sz w:val="26"/>
          <w:szCs w:val="26"/>
        </w:rPr>
        <w:t>陈义伦(山东农业大学)</w:t>
      </w:r>
    </w:p>
    <w:p w:rsidR="00EA40A3" w:rsidRDefault="00E86C16">
      <w:pPr>
        <w:spacing w:before="134" w:line="450" w:lineRule="exact"/>
        <w:ind w:left="1957"/>
        <w:rPr>
          <w:rFonts w:ascii="楷体" w:eastAsia="楷体" w:hAnsi="楷体" w:cs="楷体"/>
          <w:sz w:val="26"/>
          <w:szCs w:val="26"/>
        </w:rPr>
      </w:pPr>
      <w:r>
        <w:rPr>
          <w:rFonts w:ascii="楷体" w:eastAsia="楷体" w:hAnsi="楷体" w:cs="楷体"/>
          <w:spacing w:val="25"/>
          <w:position w:val="13"/>
          <w:sz w:val="26"/>
          <w:szCs w:val="26"/>
        </w:rPr>
        <w:t>范志红(中国农业大学)</w:t>
      </w:r>
    </w:p>
    <w:p w:rsidR="00EA40A3" w:rsidRDefault="00E86C16">
      <w:pPr>
        <w:spacing w:line="224" w:lineRule="auto"/>
        <w:ind w:left="1957"/>
        <w:rPr>
          <w:rFonts w:ascii="楷体" w:eastAsia="楷体" w:hAnsi="楷体" w:cs="楷体"/>
          <w:sz w:val="26"/>
          <w:szCs w:val="26"/>
        </w:rPr>
      </w:pPr>
      <w:r>
        <w:rPr>
          <w:rFonts w:ascii="楷体" w:eastAsia="楷体" w:hAnsi="楷体" w:cs="楷体"/>
          <w:spacing w:val="31"/>
          <w:sz w:val="26"/>
          <w:szCs w:val="26"/>
        </w:rPr>
        <w:t>周才琼(西南大学)</w:t>
      </w:r>
    </w:p>
    <w:p w:rsidR="00EA40A3" w:rsidRDefault="00E86C16">
      <w:pPr>
        <w:spacing w:before="135" w:line="448" w:lineRule="exact"/>
        <w:ind w:left="1957"/>
        <w:rPr>
          <w:rFonts w:ascii="楷体" w:eastAsia="楷体" w:hAnsi="楷体" w:cs="楷体"/>
          <w:sz w:val="26"/>
          <w:szCs w:val="26"/>
        </w:rPr>
      </w:pPr>
      <w:r>
        <w:rPr>
          <w:rFonts w:ascii="楷体" w:eastAsia="楷体" w:hAnsi="楷体" w:cs="楷体"/>
          <w:spacing w:val="26"/>
          <w:position w:val="13"/>
          <w:sz w:val="26"/>
          <w:szCs w:val="26"/>
        </w:rPr>
        <w:t>庞</w:t>
      </w:r>
      <w:r>
        <w:rPr>
          <w:rFonts w:ascii="楷体" w:eastAsia="楷体" w:hAnsi="楷体" w:cs="楷体"/>
          <w:spacing w:val="10"/>
          <w:position w:val="13"/>
          <w:sz w:val="26"/>
          <w:szCs w:val="26"/>
        </w:rPr>
        <w:t xml:space="preserve">  </w:t>
      </w:r>
      <w:r>
        <w:rPr>
          <w:rFonts w:ascii="楷体" w:eastAsia="楷体" w:hAnsi="楷体" w:cs="楷体"/>
          <w:spacing w:val="26"/>
          <w:position w:val="13"/>
          <w:sz w:val="26"/>
          <w:szCs w:val="26"/>
        </w:rPr>
        <w:t>杰(福建农林大学)</w:t>
      </w:r>
    </w:p>
    <w:p w:rsidR="00EA40A3" w:rsidRDefault="00E86C16">
      <w:pPr>
        <w:spacing w:before="1" w:line="223" w:lineRule="auto"/>
        <w:ind w:left="1957"/>
        <w:rPr>
          <w:rFonts w:ascii="楷体" w:eastAsia="楷体" w:hAnsi="楷体" w:cs="楷体"/>
          <w:sz w:val="26"/>
          <w:szCs w:val="26"/>
        </w:rPr>
      </w:pPr>
      <w:r>
        <w:rPr>
          <w:rFonts w:ascii="楷体" w:eastAsia="楷体" w:hAnsi="楷体" w:cs="楷体"/>
          <w:spacing w:val="25"/>
          <w:sz w:val="26"/>
          <w:szCs w:val="26"/>
        </w:rPr>
        <w:t>曹劲松(华南理工大学)</w:t>
      </w:r>
    </w:p>
    <w:p w:rsidR="00EA40A3" w:rsidRDefault="00EA40A3">
      <w:pPr>
        <w:sectPr w:rsidR="00EA40A3">
          <w:pgSz w:w="9220" w:h="13360"/>
          <w:pgMar w:top="400" w:right="1383" w:bottom="0" w:left="1383" w:header="0" w:footer="0" w:gutter="0"/>
          <w:cols w:space="720"/>
        </w:sectPr>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86C16">
      <w:pPr>
        <w:spacing w:before="101" w:line="221" w:lineRule="auto"/>
        <w:ind w:left="3114"/>
        <w:rPr>
          <w:rFonts w:ascii="宋体" w:eastAsia="宋体" w:hAnsi="宋体" w:cs="宋体"/>
          <w:sz w:val="31"/>
          <w:szCs w:val="31"/>
        </w:rPr>
      </w:pPr>
      <w:r>
        <w:rPr>
          <w:rFonts w:ascii="宋体" w:eastAsia="宋体" w:hAnsi="宋体" w:cs="宋体"/>
          <w:b/>
          <w:bCs/>
          <w:spacing w:val="-12"/>
          <w:sz w:val="31"/>
          <w:szCs w:val="31"/>
        </w:rPr>
        <w:t>前</w:t>
      </w:r>
      <w:r>
        <w:rPr>
          <w:rFonts w:ascii="宋体" w:eastAsia="宋体" w:hAnsi="宋体" w:cs="宋体"/>
          <w:spacing w:val="47"/>
          <w:sz w:val="31"/>
          <w:szCs w:val="31"/>
        </w:rPr>
        <w:t xml:space="preserve">   </w:t>
      </w:r>
      <w:r>
        <w:rPr>
          <w:rFonts w:ascii="宋体" w:eastAsia="宋体" w:hAnsi="宋体" w:cs="宋体"/>
          <w:b/>
          <w:bCs/>
          <w:spacing w:val="-12"/>
          <w:sz w:val="31"/>
          <w:szCs w:val="31"/>
        </w:rPr>
        <w:t>言</w:t>
      </w:r>
    </w:p>
    <w:p w:rsidR="00EA40A3" w:rsidRDefault="00E86C16">
      <w:pPr>
        <w:spacing w:before="293" w:line="259" w:lineRule="auto"/>
        <w:ind w:firstLine="479"/>
        <w:jc w:val="both"/>
        <w:rPr>
          <w:rFonts w:ascii="宋体" w:eastAsia="宋体" w:hAnsi="宋体" w:cs="宋体"/>
        </w:rPr>
      </w:pPr>
      <w:r>
        <w:rPr>
          <w:rFonts w:ascii="宋体" w:eastAsia="宋体" w:hAnsi="宋体" w:cs="宋体"/>
          <w:spacing w:val="-3"/>
        </w:rPr>
        <w:t>本书是普通高等教育“十五”国家级规划教材。本书是按照教育部高等院校</w:t>
      </w:r>
      <w:r>
        <w:rPr>
          <w:rFonts w:ascii="宋体" w:eastAsia="宋体" w:hAnsi="宋体" w:cs="宋体"/>
          <w:spacing w:val="6"/>
        </w:rPr>
        <w:t xml:space="preserve"> </w:t>
      </w:r>
      <w:r>
        <w:rPr>
          <w:rFonts w:ascii="宋体" w:eastAsia="宋体" w:hAnsi="宋体" w:cs="宋体"/>
          <w:spacing w:val="-3"/>
        </w:rPr>
        <w:t>轻工与食品学科教学指导委员会所审定的食品营养学编写大纲要求，结合学科的</w:t>
      </w:r>
      <w:r>
        <w:rPr>
          <w:rFonts w:ascii="宋体" w:eastAsia="宋体" w:hAnsi="宋体" w:cs="宋体"/>
          <w:spacing w:val="5"/>
        </w:rPr>
        <w:t xml:space="preserve">  </w:t>
      </w:r>
      <w:r>
        <w:rPr>
          <w:rFonts w:ascii="宋体" w:eastAsia="宋体" w:hAnsi="宋体" w:cs="宋体"/>
          <w:spacing w:val="-2"/>
        </w:rPr>
        <w:t>进展和社会发展的需要，为食品科学与工程、食品质量与安全专业的</w:t>
      </w:r>
      <w:r>
        <w:rPr>
          <w:rFonts w:ascii="宋体" w:eastAsia="宋体" w:hAnsi="宋体" w:cs="宋体"/>
          <w:spacing w:val="-3"/>
        </w:rPr>
        <w:t>学生而编写</w:t>
      </w:r>
      <w:r>
        <w:rPr>
          <w:rFonts w:ascii="宋体" w:eastAsia="宋体" w:hAnsi="宋体" w:cs="宋体"/>
        </w:rPr>
        <w:t xml:space="preserve">  </w:t>
      </w:r>
      <w:r>
        <w:rPr>
          <w:rFonts w:ascii="宋体" w:eastAsia="宋体" w:hAnsi="宋体" w:cs="宋体"/>
          <w:spacing w:val="-3"/>
        </w:rPr>
        <w:t>的，同时也考虑了相关专业的学生选修要求。本书以“营养学基础—食物营养一</w:t>
      </w:r>
      <w:r>
        <w:rPr>
          <w:rFonts w:ascii="宋体" w:eastAsia="宋体" w:hAnsi="宋体" w:cs="宋体"/>
          <w:spacing w:val="2"/>
        </w:rPr>
        <w:t xml:space="preserve">  </w:t>
      </w:r>
      <w:r>
        <w:rPr>
          <w:rFonts w:ascii="宋体" w:eastAsia="宋体" w:hAnsi="宋体" w:cs="宋体"/>
          <w:spacing w:val="-2"/>
        </w:rPr>
        <w:t>合理膳食一社区营养”为主线，全面系统地阐述了食</w:t>
      </w:r>
      <w:r>
        <w:rPr>
          <w:rFonts w:ascii="宋体" w:eastAsia="宋体" w:hAnsi="宋体" w:cs="宋体"/>
          <w:spacing w:val="-3"/>
        </w:rPr>
        <w:t>品营养学的基础理论和实际</w:t>
      </w:r>
      <w:r>
        <w:rPr>
          <w:rFonts w:ascii="宋体" w:eastAsia="宋体" w:hAnsi="宋体" w:cs="宋体"/>
        </w:rPr>
        <w:t xml:space="preserve">  </w:t>
      </w:r>
      <w:r>
        <w:rPr>
          <w:rFonts w:ascii="宋体" w:eastAsia="宋体" w:hAnsi="宋体" w:cs="宋体"/>
          <w:spacing w:val="-2"/>
        </w:rPr>
        <w:t>应用的知识与方法，并根据专业特点，将食物及膳食</w:t>
      </w:r>
      <w:r>
        <w:rPr>
          <w:rFonts w:ascii="宋体" w:eastAsia="宋体" w:hAnsi="宋体" w:cs="宋体"/>
          <w:spacing w:val="-3"/>
        </w:rPr>
        <w:t>贯穿于全书，对食物营养价</w:t>
      </w:r>
      <w:r>
        <w:rPr>
          <w:rFonts w:ascii="宋体" w:eastAsia="宋体" w:hAnsi="宋体" w:cs="宋体"/>
        </w:rPr>
        <w:t xml:space="preserve">  </w:t>
      </w:r>
      <w:r>
        <w:rPr>
          <w:rFonts w:ascii="宋体" w:eastAsia="宋体" w:hAnsi="宋体" w:cs="宋体"/>
          <w:spacing w:val="-3"/>
        </w:rPr>
        <w:t>值、储藏加工对食物营养的影响、强化食品、保健食品、膳食营养与健康等方面</w:t>
      </w:r>
      <w:r>
        <w:rPr>
          <w:rFonts w:ascii="宋体" w:eastAsia="宋体" w:hAnsi="宋体" w:cs="宋体"/>
          <w:spacing w:val="1"/>
        </w:rPr>
        <w:t xml:space="preserve">  </w:t>
      </w:r>
      <w:r>
        <w:rPr>
          <w:rFonts w:ascii="宋体" w:eastAsia="宋体" w:hAnsi="宋体" w:cs="宋体"/>
        </w:rPr>
        <w:t>进行了重点介绍。本书力求体现“内容丰富、条理清晰、论述简明、特色突出、</w:t>
      </w:r>
      <w:r>
        <w:rPr>
          <w:rFonts w:ascii="宋体" w:eastAsia="宋体" w:hAnsi="宋体" w:cs="宋体"/>
          <w:spacing w:val="13"/>
        </w:rPr>
        <w:t xml:space="preserve"> </w:t>
      </w:r>
      <w:r>
        <w:rPr>
          <w:rFonts w:ascii="宋体" w:eastAsia="宋体" w:hAnsi="宋体" w:cs="宋体"/>
          <w:spacing w:val="-8"/>
        </w:rPr>
        <w:t>科学适用”的特点。</w:t>
      </w:r>
    </w:p>
    <w:p w:rsidR="00EA40A3" w:rsidRDefault="00E86C16">
      <w:pPr>
        <w:spacing w:before="98" w:line="259" w:lineRule="auto"/>
        <w:ind w:right="91" w:firstLine="419"/>
        <w:jc w:val="both"/>
        <w:rPr>
          <w:rFonts w:ascii="宋体" w:eastAsia="宋体" w:hAnsi="宋体" w:cs="宋体"/>
        </w:rPr>
      </w:pPr>
      <w:r>
        <w:rPr>
          <w:rFonts w:ascii="宋体" w:eastAsia="宋体" w:hAnsi="宋体" w:cs="宋体"/>
          <w:spacing w:val="-2"/>
        </w:rPr>
        <w:t>本书由华南农业大学、中山大学、中国农业大</w:t>
      </w:r>
      <w:r>
        <w:rPr>
          <w:rFonts w:ascii="宋体" w:eastAsia="宋体" w:hAnsi="宋体" w:cs="宋体"/>
          <w:spacing w:val="-3"/>
        </w:rPr>
        <w:t>学、江南大学、华南理工大学</w:t>
      </w:r>
      <w:r>
        <w:rPr>
          <w:rFonts w:ascii="宋体" w:eastAsia="宋体" w:hAnsi="宋体" w:cs="宋体"/>
        </w:rPr>
        <w:t xml:space="preserve"> </w:t>
      </w:r>
      <w:r>
        <w:rPr>
          <w:rFonts w:ascii="宋体" w:eastAsia="宋体" w:hAnsi="宋体" w:cs="宋体"/>
          <w:spacing w:val="10"/>
        </w:rPr>
        <w:t>等11所高等学校联合编写。第1章由孙远明教授编写</w:t>
      </w:r>
      <w:r>
        <w:rPr>
          <w:rFonts w:ascii="宋体" w:eastAsia="宋体" w:hAnsi="宋体" w:cs="宋体"/>
          <w:spacing w:val="9"/>
        </w:rPr>
        <w:t>；第2章由何计国副教授</w:t>
      </w:r>
      <w:r>
        <w:rPr>
          <w:rFonts w:ascii="宋体" w:eastAsia="宋体" w:hAnsi="宋体" w:cs="宋体"/>
        </w:rPr>
        <w:t xml:space="preserve"> </w:t>
      </w:r>
      <w:r>
        <w:rPr>
          <w:rFonts w:ascii="宋体" w:eastAsia="宋体" w:hAnsi="宋体" w:cs="宋体"/>
          <w:spacing w:val="3"/>
        </w:rPr>
        <w:t xml:space="preserve">编写，第3章由陈义伦副教授和周才琼教授编写，第4章由冯风琴副教授和雷红 </w:t>
      </w:r>
      <w:r>
        <w:rPr>
          <w:rFonts w:ascii="宋体" w:eastAsia="宋体" w:hAnsi="宋体" w:cs="宋体"/>
          <w:spacing w:val="5"/>
        </w:rPr>
        <w:t>涛讲师编写，第5章由周才琼教授编写，第6章由范志红副教授编写，第7章由</w:t>
      </w:r>
      <w:r>
        <w:rPr>
          <w:rFonts w:ascii="宋体" w:eastAsia="宋体" w:hAnsi="宋体" w:cs="宋体"/>
          <w:spacing w:val="13"/>
        </w:rPr>
        <w:t xml:space="preserve"> </w:t>
      </w:r>
      <w:r>
        <w:rPr>
          <w:rFonts w:ascii="宋体" w:eastAsia="宋体" w:hAnsi="宋体" w:cs="宋体"/>
          <w:spacing w:val="4"/>
        </w:rPr>
        <w:t>王敏副教授编写，第8章由邓放明教授编写，第9章由</w:t>
      </w:r>
      <w:r>
        <w:rPr>
          <w:rFonts w:ascii="宋体" w:eastAsia="宋体" w:hAnsi="宋体" w:cs="宋体"/>
          <w:spacing w:val="3"/>
        </w:rPr>
        <w:t>曹劲松副教授和庞杰教授</w:t>
      </w:r>
      <w:r>
        <w:rPr>
          <w:rFonts w:ascii="宋体" w:eastAsia="宋体" w:hAnsi="宋体" w:cs="宋体"/>
        </w:rPr>
        <w:t xml:space="preserve"> </w:t>
      </w:r>
      <w:r>
        <w:rPr>
          <w:rFonts w:ascii="宋体" w:eastAsia="宋体" w:hAnsi="宋体" w:cs="宋体"/>
          <w:spacing w:val="4"/>
        </w:rPr>
        <w:t>编写，第10章由王弘副教授编写，第11章由乐国伟教</w:t>
      </w:r>
      <w:r>
        <w:rPr>
          <w:rFonts w:ascii="宋体" w:eastAsia="宋体" w:hAnsi="宋体" w:cs="宋体"/>
          <w:spacing w:val="3"/>
        </w:rPr>
        <w:t>授和苏宜香教授编写，第</w:t>
      </w:r>
      <w:r>
        <w:rPr>
          <w:rFonts w:ascii="宋体" w:eastAsia="宋体" w:hAnsi="宋体" w:cs="宋体"/>
        </w:rPr>
        <w:t xml:space="preserve"> </w:t>
      </w:r>
      <w:r>
        <w:rPr>
          <w:rFonts w:ascii="宋体" w:eastAsia="宋体" w:hAnsi="宋体" w:cs="宋体"/>
          <w:spacing w:val="4"/>
        </w:rPr>
        <w:t>12章由余群力教授编写。全书主要由孙远明教授、苏</w:t>
      </w:r>
      <w:r>
        <w:rPr>
          <w:rFonts w:ascii="宋体" w:eastAsia="宋体" w:hAnsi="宋体" w:cs="宋体"/>
          <w:spacing w:val="3"/>
        </w:rPr>
        <w:t>宜香教授和王弘副教授统</w:t>
      </w:r>
      <w:r>
        <w:rPr>
          <w:rFonts w:ascii="宋体" w:eastAsia="宋体" w:hAnsi="宋体" w:cs="宋体"/>
        </w:rPr>
        <w:t xml:space="preserve"> </w:t>
      </w:r>
      <w:r>
        <w:rPr>
          <w:rFonts w:ascii="宋体" w:eastAsia="宋体" w:hAnsi="宋体" w:cs="宋体"/>
          <w:spacing w:val="-2"/>
        </w:rPr>
        <w:t>稿，并进行修改与审定，余群力教授参加了部分章节</w:t>
      </w:r>
      <w:r>
        <w:rPr>
          <w:rFonts w:ascii="宋体" w:eastAsia="宋体" w:hAnsi="宋体" w:cs="宋体"/>
          <w:spacing w:val="-3"/>
        </w:rPr>
        <w:t>统稿与审定工作，苏宜香教</w:t>
      </w:r>
      <w:r>
        <w:rPr>
          <w:rFonts w:ascii="宋体" w:eastAsia="宋体" w:hAnsi="宋体" w:cs="宋体"/>
        </w:rPr>
        <w:t xml:space="preserve"> </w:t>
      </w:r>
      <w:r>
        <w:rPr>
          <w:rFonts w:ascii="宋体" w:eastAsia="宋体" w:hAnsi="宋体" w:cs="宋体"/>
          <w:spacing w:val="-4"/>
        </w:rPr>
        <w:t>授对本教材的架构及编写大纲提出了许多宝贵意见，并指导全书的编写。</w:t>
      </w:r>
    </w:p>
    <w:p w:rsidR="00EA40A3" w:rsidRDefault="00E86C16">
      <w:pPr>
        <w:spacing w:before="110" w:line="242" w:lineRule="auto"/>
        <w:ind w:right="116" w:firstLine="419"/>
        <w:rPr>
          <w:rFonts w:ascii="宋体" w:eastAsia="宋体" w:hAnsi="宋体" w:cs="宋体"/>
        </w:rPr>
      </w:pPr>
      <w:r>
        <w:rPr>
          <w:rFonts w:ascii="宋体" w:eastAsia="宋体" w:hAnsi="宋体" w:cs="宋体"/>
          <w:spacing w:val="-3"/>
        </w:rPr>
        <w:t>在编写过程中，得到中国农业大学出版社刘军编辑、宋俊果编辑和科</w:t>
      </w:r>
      <w:r>
        <w:rPr>
          <w:rFonts w:ascii="宋体" w:eastAsia="宋体" w:hAnsi="宋体" w:cs="宋体"/>
          <w:spacing w:val="-4"/>
        </w:rPr>
        <w:t>学出版</w:t>
      </w:r>
      <w:r>
        <w:rPr>
          <w:rFonts w:ascii="宋体" w:eastAsia="宋体" w:hAnsi="宋体" w:cs="宋体"/>
        </w:rPr>
        <w:t xml:space="preserve"> </w:t>
      </w:r>
      <w:r>
        <w:rPr>
          <w:rFonts w:ascii="宋体" w:eastAsia="宋体" w:hAnsi="宋体" w:cs="宋体"/>
          <w:spacing w:val="-2"/>
        </w:rPr>
        <w:t>社的周辉编辑、甄文全编辑的大力协助。在此一并致谢!</w:t>
      </w:r>
    </w:p>
    <w:p w:rsidR="00EA40A3" w:rsidRDefault="00E86C16">
      <w:pPr>
        <w:spacing w:before="60" w:line="233" w:lineRule="auto"/>
        <w:ind w:right="95" w:firstLine="419"/>
        <w:rPr>
          <w:rFonts w:ascii="宋体" w:eastAsia="宋体" w:hAnsi="宋体" w:cs="宋体"/>
        </w:rPr>
      </w:pPr>
      <w:r>
        <w:rPr>
          <w:rFonts w:ascii="宋体" w:eastAsia="宋体" w:hAnsi="宋体" w:cs="宋体"/>
          <w:spacing w:val="4"/>
        </w:rPr>
        <w:t>由于本书涉及内容广泛，加之作者水平有限，书中疏漏和不妥之处在所难</w:t>
      </w:r>
      <w:r>
        <w:rPr>
          <w:rFonts w:ascii="宋体" w:eastAsia="宋体" w:hAnsi="宋体" w:cs="宋体"/>
        </w:rPr>
        <w:t xml:space="preserve"> </w:t>
      </w:r>
      <w:r>
        <w:rPr>
          <w:rFonts w:ascii="宋体" w:eastAsia="宋体" w:hAnsi="宋体" w:cs="宋体"/>
          <w:spacing w:val="-7"/>
        </w:rPr>
        <w:t>免，祈盼诸位同仁和读者指正。</w:t>
      </w:r>
    </w:p>
    <w:p w:rsidR="00EA40A3" w:rsidRDefault="00EA40A3">
      <w:pPr>
        <w:spacing w:line="331" w:lineRule="auto"/>
      </w:pPr>
    </w:p>
    <w:p w:rsidR="00EA40A3" w:rsidRDefault="00E86C16">
      <w:pPr>
        <w:spacing w:before="69" w:line="229" w:lineRule="auto"/>
        <w:ind w:left="6249"/>
        <w:rPr>
          <w:rFonts w:ascii="楷体" w:eastAsia="楷体" w:hAnsi="楷体" w:cs="楷体"/>
        </w:rPr>
      </w:pPr>
      <w:r>
        <w:rPr>
          <w:rFonts w:ascii="楷体" w:eastAsia="楷体" w:hAnsi="楷体" w:cs="楷体"/>
          <w:spacing w:val="-6"/>
        </w:rPr>
        <w:t>编</w:t>
      </w:r>
      <w:r>
        <w:rPr>
          <w:rFonts w:ascii="楷体" w:eastAsia="楷体" w:hAnsi="楷体" w:cs="楷体"/>
          <w:spacing w:val="96"/>
        </w:rPr>
        <w:t xml:space="preserve"> </w:t>
      </w:r>
      <w:r>
        <w:rPr>
          <w:rFonts w:ascii="楷体" w:eastAsia="楷体" w:hAnsi="楷体" w:cs="楷体"/>
          <w:spacing w:val="-6"/>
        </w:rPr>
        <w:t>者</w:t>
      </w:r>
    </w:p>
    <w:p w:rsidR="00EA40A3" w:rsidRDefault="00EA40A3">
      <w:pPr>
        <w:sectPr w:rsidR="00EA40A3">
          <w:footerReference w:type="default" r:id="rId12"/>
          <w:pgSz w:w="9220" w:h="13360"/>
          <w:pgMar w:top="400" w:right="995" w:bottom="1260" w:left="860" w:header="0" w:footer="989" w:gutter="0"/>
          <w:cols w:space="720"/>
        </w:sectPr>
      </w:pPr>
    </w:p>
    <w:p w:rsidR="00EA40A3" w:rsidRDefault="00EA40A3">
      <w:pPr>
        <w:spacing w:line="276" w:lineRule="auto"/>
      </w:pPr>
    </w:p>
    <w:p w:rsidR="00EA40A3" w:rsidRDefault="00EA40A3">
      <w:pPr>
        <w:spacing w:line="276" w:lineRule="auto"/>
      </w:pPr>
    </w:p>
    <w:p w:rsidR="00EA40A3" w:rsidRDefault="00EA40A3">
      <w:pPr>
        <w:spacing w:line="276" w:lineRule="auto"/>
      </w:pPr>
    </w:p>
    <w:p w:rsidR="00EA40A3" w:rsidRDefault="00EA40A3">
      <w:pPr>
        <w:spacing w:line="276" w:lineRule="auto"/>
      </w:pPr>
    </w:p>
    <w:p w:rsidR="00EA40A3" w:rsidRDefault="00EA40A3">
      <w:pPr>
        <w:spacing w:line="276" w:lineRule="auto"/>
      </w:pPr>
    </w:p>
    <w:sdt>
      <w:sdtPr>
        <w:rPr>
          <w:rFonts w:ascii="宋体" w:eastAsia="宋体" w:hAnsi="宋体" w:cs="宋体"/>
          <w:sz w:val="32"/>
          <w:szCs w:val="32"/>
        </w:rPr>
        <w:id w:val="1"/>
        <w:docPartObj>
          <w:docPartGallery w:val="Table of Contents"/>
          <w:docPartUnique/>
        </w:docPartObj>
      </w:sdtPr>
      <w:sdtEndPr>
        <w:rPr>
          <w:sz w:val="21"/>
          <w:szCs w:val="21"/>
        </w:rPr>
      </w:sdtEndPr>
      <w:sdtContent>
        <w:p w:rsidR="00EA40A3" w:rsidRDefault="00E86C16">
          <w:pPr>
            <w:spacing w:before="104" w:line="221" w:lineRule="auto"/>
            <w:ind w:left="3101"/>
            <w:rPr>
              <w:rFonts w:ascii="宋体" w:eastAsia="宋体" w:hAnsi="宋体" w:cs="宋体"/>
              <w:sz w:val="32"/>
              <w:szCs w:val="32"/>
            </w:rPr>
          </w:pPr>
          <w:r>
            <w:rPr>
              <w:rFonts w:ascii="宋体" w:eastAsia="宋体" w:hAnsi="宋体" w:cs="宋体"/>
              <w:b/>
              <w:bCs/>
              <w:spacing w:val="-41"/>
              <w:sz w:val="32"/>
              <w:szCs w:val="32"/>
            </w:rPr>
            <w:t>目</w:t>
          </w:r>
          <w:r>
            <w:rPr>
              <w:rFonts w:ascii="宋体" w:eastAsia="宋体" w:hAnsi="宋体" w:cs="宋体"/>
              <w:spacing w:val="5"/>
              <w:sz w:val="32"/>
              <w:szCs w:val="32"/>
            </w:rPr>
            <w:t xml:space="preserve">    </w:t>
          </w:r>
          <w:r>
            <w:rPr>
              <w:rFonts w:ascii="宋体" w:eastAsia="宋体" w:hAnsi="宋体" w:cs="宋体"/>
              <w:b/>
              <w:bCs/>
              <w:spacing w:val="-41"/>
              <w:sz w:val="32"/>
              <w:szCs w:val="32"/>
            </w:rPr>
            <w:t>录</w:t>
          </w:r>
        </w:p>
        <w:p w:rsidR="00EA40A3" w:rsidRDefault="00EA40A3">
          <w:pPr>
            <w:spacing w:line="249" w:lineRule="auto"/>
          </w:pPr>
        </w:p>
        <w:p w:rsidR="00EA40A3" w:rsidRDefault="00E86C16">
          <w:pPr>
            <w:spacing w:before="69" w:line="222" w:lineRule="auto"/>
            <w:ind w:left="39"/>
            <w:rPr>
              <w:rFonts w:ascii="黑体" w:eastAsia="黑体" w:hAnsi="黑体" w:cs="黑体"/>
            </w:rPr>
          </w:pPr>
          <w:r>
            <w:rPr>
              <w:rFonts w:ascii="黑体" w:eastAsia="黑体" w:hAnsi="黑体" w:cs="黑体"/>
              <w:b/>
              <w:bCs/>
              <w:spacing w:val="8"/>
            </w:rPr>
            <w:t>前言</w:t>
          </w:r>
        </w:p>
        <w:p w:rsidR="00EA40A3" w:rsidRDefault="00E86C16">
          <w:pPr>
            <w:tabs>
              <w:tab w:val="right" w:leader="dot" w:pos="7275"/>
            </w:tabs>
            <w:spacing w:before="46" w:line="222" w:lineRule="auto"/>
            <w:rPr>
              <w:rFonts w:ascii="黑体" w:eastAsia="黑体" w:hAnsi="黑体" w:cs="黑体"/>
            </w:rPr>
          </w:pPr>
          <w:r>
            <w:rPr>
              <w:rFonts w:ascii="黑体" w:eastAsia="黑体" w:hAnsi="黑体" w:cs="黑体"/>
              <w:b/>
              <w:bCs/>
              <w:spacing w:val="-11"/>
            </w:rPr>
            <w:t>第</w:t>
          </w:r>
          <w:r>
            <w:rPr>
              <w:rFonts w:ascii="黑体" w:eastAsia="黑体" w:hAnsi="黑体" w:cs="黑体"/>
              <w:spacing w:val="-29"/>
            </w:rPr>
            <w:t xml:space="preserve"> </w:t>
          </w:r>
          <w:r>
            <w:rPr>
              <w:rFonts w:ascii="黑体" w:eastAsia="黑体" w:hAnsi="黑体" w:cs="黑体"/>
              <w:b/>
              <w:bCs/>
              <w:spacing w:val="-11"/>
            </w:rPr>
            <w:t>1</w:t>
          </w:r>
          <w:r>
            <w:rPr>
              <w:rFonts w:ascii="黑体" w:eastAsia="黑体" w:hAnsi="黑体" w:cs="黑体"/>
              <w:spacing w:val="-39"/>
            </w:rPr>
            <w:t xml:space="preserve"> </w:t>
          </w:r>
          <w:r>
            <w:rPr>
              <w:rFonts w:ascii="黑体" w:eastAsia="黑体" w:hAnsi="黑体" w:cs="黑体"/>
              <w:b/>
              <w:bCs/>
              <w:spacing w:val="-11"/>
            </w:rPr>
            <w:t>章</w:t>
          </w:r>
          <w:r>
            <w:rPr>
              <w:rFonts w:ascii="黑体" w:eastAsia="黑体" w:hAnsi="黑体" w:cs="黑体"/>
              <w:spacing w:val="73"/>
            </w:rPr>
            <w:t xml:space="preserve"> </w:t>
          </w:r>
          <w:r>
            <w:rPr>
              <w:rFonts w:ascii="黑体" w:eastAsia="黑体" w:hAnsi="黑体" w:cs="黑体"/>
              <w:b/>
              <w:bCs/>
              <w:spacing w:val="-11"/>
            </w:rPr>
            <w:t>绪论</w:t>
          </w:r>
          <w:r>
            <w:rPr>
              <w:rFonts w:ascii="黑体" w:eastAsia="黑体" w:hAnsi="黑体" w:cs="黑体"/>
              <w:spacing w:val="-18"/>
            </w:rPr>
            <w:t xml:space="preserve"> </w:t>
          </w:r>
          <w:r>
            <w:rPr>
              <w:rFonts w:ascii="黑体" w:eastAsia="黑体" w:hAnsi="黑体" w:cs="黑体"/>
              <w:b/>
              <w:bCs/>
            </w:rPr>
            <w:tab/>
          </w:r>
          <w:r>
            <w:rPr>
              <w:rFonts w:ascii="黑体" w:eastAsia="黑体" w:hAnsi="黑体" w:cs="黑体"/>
              <w:spacing w:val="-51"/>
            </w:rPr>
            <w:t xml:space="preserve"> </w:t>
          </w:r>
          <w:hyperlink w:anchor="_bookmark1" w:history="1">
            <w:r>
              <w:rPr>
                <w:rFonts w:ascii="黑体" w:eastAsia="黑体" w:hAnsi="黑体" w:cs="黑体"/>
                <w:b/>
                <w:bCs/>
                <w:spacing w:val="-22"/>
              </w:rPr>
              <w:t>1</w:t>
            </w:r>
          </w:hyperlink>
        </w:p>
        <w:p w:rsidR="00EA40A3" w:rsidRDefault="00E86C16">
          <w:pPr>
            <w:tabs>
              <w:tab w:val="right" w:leader="dot" w:pos="7267"/>
            </w:tabs>
            <w:spacing w:before="50" w:line="219" w:lineRule="auto"/>
            <w:ind w:left="396"/>
            <w:rPr>
              <w:rFonts w:ascii="宋体" w:eastAsia="宋体" w:hAnsi="宋体" w:cs="宋体"/>
            </w:rPr>
          </w:pPr>
          <w:r>
            <w:rPr>
              <w:rFonts w:ascii="宋体" w:eastAsia="宋体" w:hAnsi="宋体" w:cs="宋体"/>
              <w:spacing w:val="-3"/>
            </w:rPr>
            <w:t>1.1</w:t>
          </w:r>
          <w:r>
            <w:rPr>
              <w:rFonts w:ascii="宋体" w:eastAsia="宋体" w:hAnsi="宋体" w:cs="宋体"/>
              <w:spacing w:val="89"/>
            </w:rPr>
            <w:t xml:space="preserve"> </w:t>
          </w:r>
          <w:r>
            <w:rPr>
              <w:rFonts w:ascii="宋体" w:eastAsia="宋体" w:hAnsi="宋体" w:cs="宋体"/>
              <w:spacing w:val="-3"/>
            </w:rPr>
            <w:t>食品营养学的基本概念</w:t>
          </w:r>
          <w:r>
            <w:rPr>
              <w:rFonts w:ascii="宋体" w:eastAsia="宋体" w:hAnsi="宋体" w:cs="宋体"/>
              <w:spacing w:val="-26"/>
            </w:rPr>
            <w:t xml:space="preserve"> </w:t>
          </w:r>
          <w:r>
            <w:rPr>
              <w:rFonts w:ascii="宋体" w:eastAsia="宋体" w:hAnsi="宋体" w:cs="宋体"/>
            </w:rPr>
            <w:tab/>
          </w:r>
          <w:r>
            <w:rPr>
              <w:rFonts w:ascii="宋体" w:eastAsia="宋体" w:hAnsi="宋体" w:cs="宋体"/>
              <w:spacing w:val="-56"/>
            </w:rPr>
            <w:t xml:space="preserve"> </w:t>
          </w:r>
          <w:hyperlink w:anchor="_bookmark2" w:history="1">
            <w:r>
              <w:rPr>
                <w:rFonts w:ascii="宋体" w:eastAsia="宋体" w:hAnsi="宋体" w:cs="宋体"/>
                <w:spacing w:val="-24"/>
              </w:rPr>
              <w:t>1</w:t>
            </w:r>
          </w:hyperlink>
        </w:p>
        <w:p w:rsidR="00EA40A3" w:rsidRDefault="00E86C16">
          <w:pPr>
            <w:tabs>
              <w:tab w:val="right" w:leader="dot" w:pos="7279"/>
            </w:tabs>
            <w:spacing w:before="62" w:line="219" w:lineRule="auto"/>
            <w:ind w:left="396"/>
            <w:rPr>
              <w:rFonts w:ascii="宋体" w:eastAsia="宋体" w:hAnsi="宋体" w:cs="宋体"/>
            </w:rPr>
          </w:pPr>
          <w:r>
            <w:rPr>
              <w:rFonts w:ascii="宋体" w:eastAsia="宋体" w:hAnsi="宋体" w:cs="宋体"/>
              <w:spacing w:val="-2"/>
            </w:rPr>
            <w:t>1.2</w:t>
          </w:r>
          <w:r>
            <w:rPr>
              <w:rFonts w:ascii="宋体" w:eastAsia="宋体" w:hAnsi="宋体" w:cs="宋体"/>
              <w:spacing w:val="94"/>
            </w:rPr>
            <w:t xml:space="preserve"> </w:t>
          </w:r>
          <w:r>
            <w:rPr>
              <w:rFonts w:ascii="宋体" w:eastAsia="宋体" w:hAnsi="宋体" w:cs="宋体"/>
              <w:spacing w:val="-2"/>
            </w:rPr>
            <w:t>食物营养对人类健康的重要作用</w:t>
          </w:r>
          <w:r>
            <w:rPr>
              <w:rFonts w:ascii="宋体" w:eastAsia="宋体" w:hAnsi="宋体" w:cs="宋体"/>
              <w:spacing w:val="-57"/>
            </w:rPr>
            <w:t xml:space="preserve"> </w:t>
          </w:r>
          <w:r>
            <w:rPr>
              <w:rFonts w:ascii="宋体" w:eastAsia="宋体" w:hAnsi="宋体" w:cs="宋体"/>
            </w:rPr>
            <w:tab/>
          </w:r>
          <w:r>
            <w:rPr>
              <w:rFonts w:ascii="宋体" w:eastAsia="宋体" w:hAnsi="宋体" w:cs="宋体"/>
              <w:spacing w:val="-56"/>
            </w:rPr>
            <w:t xml:space="preserve"> </w:t>
          </w:r>
          <w:hyperlink w:anchor="_bookmark3" w:history="1">
            <w:r>
              <w:rPr>
                <w:rFonts w:ascii="宋体" w:eastAsia="宋体" w:hAnsi="宋体" w:cs="宋体"/>
                <w:spacing w:val="-13"/>
              </w:rPr>
              <w:t>3</w:t>
            </w:r>
          </w:hyperlink>
        </w:p>
        <w:p w:rsidR="00EA40A3" w:rsidRDefault="00E86C16">
          <w:pPr>
            <w:tabs>
              <w:tab w:val="right" w:leader="dot" w:pos="7282"/>
            </w:tabs>
            <w:spacing w:before="50" w:line="219" w:lineRule="auto"/>
            <w:ind w:left="396"/>
            <w:rPr>
              <w:rFonts w:ascii="宋体" w:eastAsia="宋体" w:hAnsi="宋体" w:cs="宋体"/>
            </w:rPr>
          </w:pPr>
          <w:r>
            <w:rPr>
              <w:rFonts w:ascii="宋体" w:eastAsia="宋体" w:hAnsi="宋体" w:cs="宋体"/>
              <w:spacing w:val="-2"/>
            </w:rPr>
            <w:t>1.3</w:t>
          </w:r>
          <w:r>
            <w:rPr>
              <w:rFonts w:ascii="宋体" w:eastAsia="宋体" w:hAnsi="宋体" w:cs="宋体"/>
              <w:spacing w:val="86"/>
            </w:rPr>
            <w:t xml:space="preserve"> </w:t>
          </w:r>
          <w:r>
            <w:rPr>
              <w:rFonts w:ascii="宋体" w:eastAsia="宋体" w:hAnsi="宋体" w:cs="宋体"/>
              <w:spacing w:val="-2"/>
            </w:rPr>
            <w:t>食品营养与农业和食品工业的关系</w:t>
          </w:r>
          <w:r>
            <w:rPr>
              <w:rFonts w:ascii="宋体" w:eastAsia="宋体" w:hAnsi="宋体" w:cs="宋体"/>
              <w:spacing w:val="-56"/>
            </w:rPr>
            <w:t xml:space="preserve"> </w:t>
          </w:r>
          <w:r>
            <w:rPr>
              <w:rFonts w:ascii="宋体" w:eastAsia="宋体" w:hAnsi="宋体" w:cs="宋体"/>
            </w:rPr>
            <w:tab/>
          </w:r>
          <w:r>
            <w:rPr>
              <w:rFonts w:ascii="宋体" w:eastAsia="宋体" w:hAnsi="宋体" w:cs="宋体"/>
              <w:spacing w:val="-56"/>
            </w:rPr>
            <w:t xml:space="preserve"> </w:t>
          </w:r>
          <w:hyperlink w:anchor="_bookmark4" w:history="1">
            <w:r>
              <w:rPr>
                <w:rFonts w:ascii="宋体" w:eastAsia="宋体" w:hAnsi="宋体" w:cs="宋体"/>
                <w:spacing w:val="-10"/>
              </w:rPr>
              <w:t>6</w:t>
            </w:r>
          </w:hyperlink>
        </w:p>
        <w:p w:rsidR="00EA40A3" w:rsidRDefault="00E86C16">
          <w:pPr>
            <w:tabs>
              <w:tab w:val="right" w:leader="dot" w:pos="7282"/>
            </w:tabs>
            <w:spacing w:before="61" w:line="219" w:lineRule="auto"/>
            <w:ind w:left="396"/>
            <w:rPr>
              <w:rFonts w:ascii="宋体" w:eastAsia="宋体" w:hAnsi="宋体" w:cs="宋体"/>
            </w:rPr>
          </w:pPr>
          <w:r>
            <w:rPr>
              <w:rFonts w:ascii="宋体" w:eastAsia="宋体" w:hAnsi="宋体" w:cs="宋体"/>
              <w:spacing w:val="-4"/>
            </w:rPr>
            <w:t>1.4</w:t>
          </w:r>
          <w:r>
            <w:rPr>
              <w:rFonts w:ascii="宋体" w:eastAsia="宋体" w:hAnsi="宋体" w:cs="宋体"/>
              <w:spacing w:val="94"/>
            </w:rPr>
            <w:t xml:space="preserve"> </w:t>
          </w:r>
          <w:r>
            <w:rPr>
              <w:rFonts w:ascii="宋体" w:eastAsia="宋体" w:hAnsi="宋体" w:cs="宋体"/>
              <w:spacing w:val="-4"/>
            </w:rPr>
            <w:t>营养学发展概况</w:t>
          </w:r>
          <w:r>
            <w:rPr>
              <w:rFonts w:ascii="宋体" w:eastAsia="宋体" w:hAnsi="宋体" w:cs="宋体"/>
              <w:spacing w:val="-30"/>
            </w:rPr>
            <w:t xml:space="preserve"> </w:t>
          </w:r>
          <w:r>
            <w:rPr>
              <w:rFonts w:ascii="宋体" w:eastAsia="宋体" w:hAnsi="宋体" w:cs="宋体"/>
            </w:rPr>
            <w:tab/>
          </w:r>
          <w:r>
            <w:rPr>
              <w:rFonts w:ascii="宋体" w:eastAsia="宋体" w:hAnsi="宋体" w:cs="宋体"/>
              <w:spacing w:val="-56"/>
            </w:rPr>
            <w:t xml:space="preserve"> </w:t>
          </w:r>
          <w:hyperlink w:anchor="_bookmark5" w:history="1">
            <w:r>
              <w:rPr>
                <w:rFonts w:ascii="宋体" w:eastAsia="宋体" w:hAnsi="宋体" w:cs="宋体"/>
                <w:spacing w:val="-10"/>
              </w:rPr>
              <w:t>9</w:t>
            </w:r>
          </w:hyperlink>
        </w:p>
        <w:p w:rsidR="00EA40A3" w:rsidRDefault="00E86C16">
          <w:pPr>
            <w:tabs>
              <w:tab w:val="right" w:leader="dot" w:pos="7262"/>
            </w:tabs>
            <w:spacing w:before="41" w:line="219" w:lineRule="auto"/>
            <w:ind w:left="396"/>
            <w:rPr>
              <w:rFonts w:ascii="宋体" w:eastAsia="宋体" w:hAnsi="宋体" w:cs="宋体"/>
            </w:rPr>
          </w:pPr>
          <w:r>
            <w:rPr>
              <w:rFonts w:ascii="宋体" w:eastAsia="宋体" w:hAnsi="宋体" w:cs="宋体"/>
              <w:spacing w:val="-2"/>
            </w:rPr>
            <w:t>1.5</w:t>
          </w:r>
          <w:r>
            <w:rPr>
              <w:rFonts w:ascii="宋体" w:eastAsia="宋体" w:hAnsi="宋体" w:cs="宋体"/>
              <w:spacing w:val="10"/>
            </w:rPr>
            <w:t xml:space="preserve">  </w:t>
          </w:r>
          <w:r>
            <w:rPr>
              <w:rFonts w:ascii="宋体" w:eastAsia="宋体" w:hAnsi="宋体" w:cs="宋体"/>
              <w:spacing w:val="-2"/>
            </w:rPr>
            <w:t>我国居民膳食营养状况及今后营养工作的重点</w:t>
          </w:r>
          <w:r>
            <w:rPr>
              <w:rFonts w:ascii="宋体" w:eastAsia="宋体" w:hAnsi="宋体" w:cs="宋体"/>
              <w:spacing w:val="-76"/>
            </w:rPr>
            <w:t xml:space="preserve"> </w:t>
          </w:r>
          <w:r>
            <w:rPr>
              <w:rFonts w:ascii="宋体" w:eastAsia="宋体" w:hAnsi="宋体" w:cs="宋体"/>
            </w:rPr>
            <w:tab/>
          </w:r>
          <w:hyperlink w:anchor="_bookmark6" w:history="1">
            <w:r>
              <w:rPr>
                <w:rFonts w:ascii="宋体" w:eastAsia="宋体" w:hAnsi="宋体" w:cs="宋体"/>
                <w:spacing w:val="8"/>
              </w:rPr>
              <w:t>13</w:t>
            </w:r>
          </w:hyperlink>
        </w:p>
        <w:p w:rsidR="00EA40A3" w:rsidRDefault="00E86C16">
          <w:pPr>
            <w:tabs>
              <w:tab w:val="right" w:leader="dot" w:pos="7262"/>
            </w:tabs>
            <w:spacing w:before="59" w:line="219" w:lineRule="auto"/>
            <w:ind w:left="396"/>
            <w:rPr>
              <w:rFonts w:ascii="宋体" w:eastAsia="宋体" w:hAnsi="宋体" w:cs="宋体"/>
            </w:rPr>
          </w:pPr>
          <w:r>
            <w:rPr>
              <w:rFonts w:ascii="宋体" w:eastAsia="宋体" w:hAnsi="宋体" w:cs="宋体"/>
              <w:spacing w:val="-2"/>
            </w:rPr>
            <w:t>1.6</w:t>
          </w:r>
          <w:r>
            <w:rPr>
              <w:rFonts w:ascii="宋体" w:eastAsia="宋体" w:hAnsi="宋体" w:cs="宋体"/>
              <w:spacing w:val="103"/>
            </w:rPr>
            <w:t xml:space="preserve"> </w:t>
          </w:r>
          <w:r>
            <w:rPr>
              <w:rFonts w:ascii="宋体" w:eastAsia="宋体" w:hAnsi="宋体" w:cs="宋体"/>
              <w:spacing w:val="-2"/>
            </w:rPr>
            <w:t>本教材的内容、教学目标与要求</w:t>
          </w:r>
          <w:r>
            <w:rPr>
              <w:rFonts w:ascii="宋体" w:eastAsia="宋体" w:hAnsi="宋体" w:cs="宋体"/>
              <w:spacing w:val="-46"/>
            </w:rPr>
            <w:t xml:space="preserve"> </w:t>
          </w:r>
          <w:r>
            <w:rPr>
              <w:rFonts w:ascii="宋体" w:eastAsia="宋体" w:hAnsi="宋体" w:cs="宋体"/>
            </w:rPr>
            <w:tab/>
          </w:r>
          <w:r>
            <w:rPr>
              <w:rFonts w:ascii="宋体" w:eastAsia="宋体" w:hAnsi="宋体" w:cs="宋体"/>
              <w:spacing w:val="-56"/>
            </w:rPr>
            <w:t xml:space="preserve"> </w:t>
          </w:r>
          <w:hyperlink w:anchor="_bookmark7" w:history="1">
            <w:r>
              <w:rPr>
                <w:rFonts w:ascii="宋体" w:eastAsia="宋体" w:hAnsi="宋体" w:cs="宋体"/>
                <w:spacing w:val="-6"/>
              </w:rPr>
              <w:t>15</w:t>
            </w:r>
          </w:hyperlink>
        </w:p>
        <w:p w:rsidR="00EA40A3" w:rsidRDefault="00E86C16">
          <w:pPr>
            <w:tabs>
              <w:tab w:val="right" w:leader="dot" w:pos="7262"/>
            </w:tabs>
            <w:spacing w:before="62"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6"/>
            </w:rPr>
            <w:t xml:space="preserve"> </w:t>
          </w:r>
          <w:hyperlink w:anchor="_bookmark8" w:history="1">
            <w:r>
              <w:rPr>
                <w:rFonts w:ascii="宋体" w:eastAsia="宋体" w:hAnsi="宋体" w:cs="宋体"/>
                <w:spacing w:val="-6"/>
              </w:rPr>
              <w:t>16</w:t>
            </w:r>
          </w:hyperlink>
        </w:p>
        <w:p w:rsidR="00EA40A3" w:rsidRDefault="00E86C16">
          <w:pPr>
            <w:tabs>
              <w:tab w:val="right" w:leader="dot" w:pos="7262"/>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25"/>
            </w:rPr>
            <w:t xml:space="preserve"> </w:t>
          </w:r>
          <w:r>
            <w:rPr>
              <w:rFonts w:ascii="宋体" w:eastAsia="宋体" w:hAnsi="宋体" w:cs="宋体"/>
            </w:rPr>
            <w:tab/>
          </w:r>
          <w:r>
            <w:rPr>
              <w:rFonts w:ascii="宋体" w:eastAsia="宋体" w:hAnsi="宋体" w:cs="宋体"/>
              <w:spacing w:val="-56"/>
            </w:rPr>
            <w:t xml:space="preserve"> </w:t>
          </w:r>
          <w:hyperlink w:anchor="_bookmark9" w:history="1">
            <w:r>
              <w:rPr>
                <w:rFonts w:ascii="宋体" w:eastAsia="宋体" w:hAnsi="宋体" w:cs="宋体"/>
                <w:spacing w:val="-6"/>
              </w:rPr>
              <w:t>16</w:t>
            </w:r>
          </w:hyperlink>
        </w:p>
        <w:p w:rsidR="00EA40A3" w:rsidRDefault="00E86C16">
          <w:pPr>
            <w:tabs>
              <w:tab w:val="right" w:leader="dot" w:pos="7270"/>
            </w:tabs>
            <w:spacing w:before="57" w:line="222" w:lineRule="auto"/>
            <w:rPr>
              <w:rFonts w:ascii="黑体" w:eastAsia="黑体" w:hAnsi="黑体" w:cs="黑体"/>
            </w:rPr>
          </w:pPr>
          <w:r>
            <w:rPr>
              <w:rFonts w:ascii="黑体" w:eastAsia="黑体" w:hAnsi="黑体" w:cs="黑体"/>
              <w:b/>
              <w:bCs/>
              <w:spacing w:val="5"/>
            </w:rPr>
            <w:t>第2章</w:t>
          </w:r>
          <w:r>
            <w:rPr>
              <w:rFonts w:ascii="黑体" w:eastAsia="黑体" w:hAnsi="黑体" w:cs="黑体"/>
              <w:spacing w:val="98"/>
            </w:rPr>
            <w:t xml:space="preserve"> </w:t>
          </w:r>
          <w:r>
            <w:rPr>
              <w:rFonts w:ascii="黑体" w:eastAsia="黑体" w:hAnsi="黑体" w:cs="黑体"/>
              <w:b/>
              <w:bCs/>
              <w:spacing w:val="5"/>
            </w:rPr>
            <w:t>食物的体内过程</w:t>
          </w:r>
          <w:r>
            <w:rPr>
              <w:rFonts w:ascii="黑体" w:eastAsia="黑体" w:hAnsi="黑体" w:cs="黑体"/>
              <w:spacing w:val="-27"/>
            </w:rPr>
            <w:t xml:space="preserve"> </w:t>
          </w:r>
          <w:r>
            <w:rPr>
              <w:rFonts w:ascii="黑体" w:eastAsia="黑体" w:hAnsi="黑体" w:cs="黑体"/>
              <w:b/>
              <w:bCs/>
            </w:rPr>
            <w:tab/>
          </w:r>
          <w:r>
            <w:rPr>
              <w:rFonts w:ascii="黑体" w:eastAsia="黑体" w:hAnsi="黑体" w:cs="黑体"/>
              <w:spacing w:val="-51"/>
            </w:rPr>
            <w:t xml:space="preserve"> </w:t>
          </w:r>
          <w:hyperlink w:anchor="_bookmark10" w:history="1">
            <w:r>
              <w:rPr>
                <w:rFonts w:ascii="黑体" w:eastAsia="黑体" w:hAnsi="黑体" w:cs="黑体"/>
                <w:b/>
                <w:bCs/>
                <w:spacing w:val="-7"/>
              </w:rPr>
              <w:t>18</w:t>
            </w:r>
          </w:hyperlink>
        </w:p>
        <w:p w:rsidR="00EA40A3" w:rsidRDefault="00E86C16">
          <w:pPr>
            <w:tabs>
              <w:tab w:val="right" w:leader="dot" w:pos="7262"/>
            </w:tabs>
            <w:spacing w:before="62" w:line="219" w:lineRule="auto"/>
            <w:ind w:left="396"/>
            <w:rPr>
              <w:rFonts w:ascii="宋体" w:eastAsia="宋体" w:hAnsi="宋体" w:cs="宋体"/>
            </w:rPr>
          </w:pPr>
          <w:r>
            <w:rPr>
              <w:rFonts w:ascii="宋体" w:eastAsia="宋体" w:hAnsi="宋体" w:cs="宋体"/>
              <w:spacing w:val="-3"/>
            </w:rPr>
            <w:t>2.1</w:t>
          </w:r>
          <w:r>
            <w:rPr>
              <w:rFonts w:ascii="宋体" w:eastAsia="宋体" w:hAnsi="宋体" w:cs="宋体"/>
              <w:spacing w:val="5"/>
            </w:rPr>
            <w:t xml:space="preserve">  </w:t>
          </w:r>
          <w:r>
            <w:rPr>
              <w:rFonts w:ascii="宋体" w:eastAsia="宋体" w:hAnsi="宋体" w:cs="宋体"/>
              <w:spacing w:val="-3"/>
            </w:rPr>
            <w:t>消化与吸收生理</w:t>
          </w:r>
          <w:r>
            <w:rPr>
              <w:rFonts w:ascii="宋体" w:eastAsia="宋体" w:hAnsi="宋体" w:cs="宋体"/>
              <w:spacing w:val="-21"/>
            </w:rPr>
            <w:t xml:space="preserve"> </w:t>
          </w:r>
          <w:r>
            <w:rPr>
              <w:rFonts w:ascii="宋体" w:eastAsia="宋体" w:hAnsi="宋体" w:cs="宋体"/>
            </w:rPr>
            <w:tab/>
          </w:r>
          <w:r>
            <w:rPr>
              <w:rFonts w:ascii="宋体" w:eastAsia="宋体" w:hAnsi="宋体" w:cs="宋体"/>
              <w:spacing w:val="-57"/>
            </w:rPr>
            <w:t xml:space="preserve"> </w:t>
          </w:r>
          <w:hyperlink w:anchor="_bookmark11" w:history="1">
            <w:r>
              <w:rPr>
                <w:rFonts w:ascii="宋体" w:eastAsia="宋体" w:hAnsi="宋体" w:cs="宋体"/>
                <w:spacing w:val="-6"/>
              </w:rPr>
              <w:t>18</w:t>
            </w:r>
          </w:hyperlink>
        </w:p>
        <w:p w:rsidR="00EA40A3" w:rsidRDefault="00E86C16">
          <w:pPr>
            <w:tabs>
              <w:tab w:val="right" w:leader="dot" w:pos="7275"/>
            </w:tabs>
            <w:spacing w:before="61" w:line="219" w:lineRule="auto"/>
            <w:ind w:left="396"/>
            <w:rPr>
              <w:rFonts w:ascii="宋体" w:eastAsia="宋体" w:hAnsi="宋体" w:cs="宋体"/>
            </w:rPr>
          </w:pPr>
          <w:r>
            <w:rPr>
              <w:rFonts w:ascii="宋体" w:eastAsia="宋体" w:hAnsi="宋体" w:cs="宋体"/>
              <w:spacing w:val="-3"/>
            </w:rPr>
            <w:t>2.2</w:t>
          </w:r>
          <w:r>
            <w:rPr>
              <w:rFonts w:ascii="宋体" w:eastAsia="宋体" w:hAnsi="宋体" w:cs="宋体"/>
              <w:spacing w:val="11"/>
            </w:rPr>
            <w:t xml:space="preserve">  </w:t>
          </w:r>
          <w:r>
            <w:rPr>
              <w:rFonts w:ascii="宋体" w:eastAsia="宋体" w:hAnsi="宋体" w:cs="宋体"/>
              <w:spacing w:val="-3"/>
            </w:rPr>
            <w:t>营养素的体内运输</w:t>
          </w:r>
          <w:r>
            <w:rPr>
              <w:rFonts w:ascii="宋体" w:eastAsia="宋体" w:hAnsi="宋体" w:cs="宋体"/>
              <w:spacing w:val="-40"/>
            </w:rPr>
            <w:t xml:space="preserve"> </w:t>
          </w:r>
          <w:r>
            <w:rPr>
              <w:rFonts w:ascii="宋体" w:eastAsia="宋体" w:hAnsi="宋体" w:cs="宋体"/>
            </w:rPr>
            <w:tab/>
          </w:r>
          <w:hyperlink w:anchor="_bookmark12" w:history="1">
            <w:r>
              <w:rPr>
                <w:rFonts w:ascii="宋体" w:eastAsia="宋体" w:hAnsi="宋体" w:cs="宋体"/>
                <w:spacing w:val="10"/>
              </w:rPr>
              <w:t>28</w:t>
            </w:r>
          </w:hyperlink>
        </w:p>
        <w:p w:rsidR="00EA40A3" w:rsidRDefault="00E86C16">
          <w:pPr>
            <w:tabs>
              <w:tab w:val="right" w:leader="dot" w:pos="7274"/>
            </w:tabs>
            <w:spacing w:before="61" w:line="219" w:lineRule="auto"/>
            <w:ind w:left="396"/>
            <w:rPr>
              <w:rFonts w:ascii="宋体" w:eastAsia="宋体" w:hAnsi="宋体" w:cs="宋体"/>
            </w:rPr>
          </w:pPr>
          <w:r>
            <w:rPr>
              <w:rFonts w:ascii="宋体" w:eastAsia="宋体" w:hAnsi="宋体" w:cs="宋体"/>
              <w:spacing w:val="-3"/>
            </w:rPr>
            <w:t>2.3</w:t>
          </w:r>
          <w:r>
            <w:rPr>
              <w:rFonts w:ascii="宋体" w:eastAsia="宋体" w:hAnsi="宋体" w:cs="宋体"/>
              <w:spacing w:val="11"/>
            </w:rPr>
            <w:t xml:space="preserve">  </w:t>
          </w:r>
          <w:r>
            <w:rPr>
              <w:rFonts w:ascii="宋体" w:eastAsia="宋体" w:hAnsi="宋体" w:cs="宋体"/>
              <w:spacing w:val="-3"/>
            </w:rPr>
            <w:t>营养素的体内代谢</w:t>
          </w:r>
          <w:r>
            <w:rPr>
              <w:rFonts w:ascii="宋体" w:eastAsia="宋体" w:hAnsi="宋体" w:cs="宋体"/>
              <w:spacing w:val="-40"/>
            </w:rPr>
            <w:t xml:space="preserve"> </w:t>
          </w:r>
          <w:r>
            <w:rPr>
              <w:rFonts w:ascii="宋体" w:eastAsia="宋体" w:hAnsi="宋体" w:cs="宋体"/>
            </w:rPr>
            <w:tab/>
          </w:r>
          <w:hyperlink w:anchor="_bookmark13" w:history="1">
            <w:r>
              <w:rPr>
                <w:rFonts w:ascii="宋体" w:eastAsia="宋体" w:hAnsi="宋体" w:cs="宋体"/>
                <w:spacing w:val="9"/>
              </w:rPr>
              <w:t>30</w:t>
            </w:r>
          </w:hyperlink>
        </w:p>
        <w:p w:rsidR="00EA40A3" w:rsidRDefault="00E86C16">
          <w:pPr>
            <w:tabs>
              <w:tab w:val="right" w:leader="dot" w:pos="7274"/>
            </w:tabs>
            <w:spacing w:before="40" w:line="219" w:lineRule="auto"/>
            <w:ind w:left="396"/>
            <w:rPr>
              <w:rFonts w:ascii="宋体" w:eastAsia="宋体" w:hAnsi="宋体" w:cs="宋体"/>
            </w:rPr>
          </w:pPr>
          <w:r>
            <w:rPr>
              <w:rFonts w:ascii="宋体" w:eastAsia="宋体" w:hAnsi="宋体" w:cs="宋体"/>
              <w:spacing w:val="-3"/>
            </w:rPr>
            <w:t>2.4</w:t>
          </w:r>
          <w:r>
            <w:rPr>
              <w:rFonts w:ascii="宋体" w:eastAsia="宋体" w:hAnsi="宋体" w:cs="宋体"/>
              <w:spacing w:val="12"/>
            </w:rPr>
            <w:t xml:space="preserve">  </w:t>
          </w:r>
          <w:r>
            <w:rPr>
              <w:rFonts w:ascii="宋体" w:eastAsia="宋体" w:hAnsi="宋体" w:cs="宋体"/>
              <w:spacing w:val="-3"/>
            </w:rPr>
            <w:t>营养代谢物质的排泄</w:t>
          </w:r>
          <w:r>
            <w:rPr>
              <w:rFonts w:ascii="宋体" w:eastAsia="宋体" w:hAnsi="宋体" w:cs="宋体"/>
              <w:spacing w:val="-39"/>
            </w:rPr>
            <w:t xml:space="preserve"> </w:t>
          </w:r>
          <w:r>
            <w:rPr>
              <w:rFonts w:ascii="宋体" w:eastAsia="宋体" w:hAnsi="宋体" w:cs="宋体"/>
            </w:rPr>
            <w:tab/>
          </w:r>
          <w:hyperlink w:anchor="_bookmark14" w:history="1">
            <w:r>
              <w:rPr>
                <w:rFonts w:ascii="宋体" w:eastAsia="宋体" w:hAnsi="宋体" w:cs="宋体"/>
                <w:spacing w:val="9"/>
              </w:rPr>
              <w:t>35</w:t>
            </w:r>
          </w:hyperlink>
        </w:p>
        <w:p w:rsidR="00EA40A3" w:rsidRDefault="00E86C16">
          <w:pPr>
            <w:tabs>
              <w:tab w:val="right" w:leader="dot" w:pos="7274"/>
            </w:tabs>
            <w:spacing w:before="61"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46"/>
            </w:rPr>
            <w:t xml:space="preserve"> </w:t>
          </w:r>
          <w:r>
            <w:rPr>
              <w:rFonts w:ascii="宋体" w:eastAsia="宋体" w:hAnsi="宋体" w:cs="宋体"/>
            </w:rPr>
            <w:tab/>
          </w:r>
          <w:r>
            <w:rPr>
              <w:rFonts w:ascii="宋体" w:eastAsia="宋体" w:hAnsi="宋体" w:cs="宋体"/>
              <w:spacing w:val="-55"/>
            </w:rPr>
            <w:t xml:space="preserve"> </w:t>
          </w:r>
          <w:hyperlink w:anchor="_bookmark15" w:history="1">
            <w:r>
              <w:rPr>
                <w:rFonts w:ascii="宋体" w:eastAsia="宋体" w:hAnsi="宋体" w:cs="宋体"/>
                <w:spacing w:val="-4"/>
              </w:rPr>
              <w:t>37</w:t>
            </w:r>
          </w:hyperlink>
        </w:p>
        <w:p w:rsidR="00EA40A3" w:rsidRDefault="00E86C16">
          <w:pPr>
            <w:tabs>
              <w:tab w:val="right" w:leader="dot" w:pos="7274"/>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25"/>
            </w:rPr>
            <w:t xml:space="preserve"> </w:t>
          </w:r>
          <w:r>
            <w:rPr>
              <w:rFonts w:ascii="宋体" w:eastAsia="宋体" w:hAnsi="宋体" w:cs="宋体"/>
            </w:rPr>
            <w:tab/>
          </w:r>
          <w:r>
            <w:rPr>
              <w:rFonts w:ascii="宋体" w:eastAsia="宋体" w:hAnsi="宋体" w:cs="宋体"/>
              <w:spacing w:val="-55"/>
            </w:rPr>
            <w:t xml:space="preserve"> </w:t>
          </w:r>
          <w:hyperlink w:anchor="_bookmark16" w:history="1">
            <w:r>
              <w:rPr>
                <w:rFonts w:ascii="宋体" w:eastAsia="宋体" w:hAnsi="宋体" w:cs="宋体"/>
                <w:spacing w:val="-4"/>
              </w:rPr>
              <w:t>38</w:t>
            </w:r>
          </w:hyperlink>
        </w:p>
        <w:p w:rsidR="00EA40A3" w:rsidRDefault="00E86C16">
          <w:pPr>
            <w:tabs>
              <w:tab w:val="right" w:leader="dot" w:pos="7280"/>
            </w:tabs>
            <w:spacing w:before="56" w:line="221" w:lineRule="auto"/>
            <w:rPr>
              <w:rFonts w:ascii="黑体" w:eastAsia="黑体" w:hAnsi="黑体" w:cs="黑体"/>
            </w:rPr>
          </w:pPr>
          <w:r>
            <w:rPr>
              <w:rFonts w:ascii="黑体" w:eastAsia="黑体" w:hAnsi="黑体" w:cs="黑体"/>
              <w:b/>
              <w:bCs/>
              <w:spacing w:val="-4"/>
            </w:rPr>
            <w:t>第</w:t>
          </w:r>
          <w:r>
            <w:rPr>
              <w:rFonts w:ascii="黑体" w:eastAsia="黑体" w:hAnsi="黑体" w:cs="黑体"/>
              <w:spacing w:val="-33"/>
            </w:rPr>
            <w:t xml:space="preserve"> </w:t>
          </w:r>
          <w:r>
            <w:rPr>
              <w:rFonts w:ascii="黑体" w:eastAsia="黑体" w:hAnsi="黑体" w:cs="黑体"/>
              <w:b/>
              <w:bCs/>
              <w:spacing w:val="-4"/>
            </w:rPr>
            <w:t>3</w:t>
          </w:r>
          <w:r>
            <w:rPr>
              <w:rFonts w:ascii="黑体" w:eastAsia="黑体" w:hAnsi="黑体" w:cs="黑体"/>
              <w:spacing w:val="-33"/>
            </w:rPr>
            <w:t xml:space="preserve"> </w:t>
          </w:r>
          <w:r>
            <w:rPr>
              <w:rFonts w:ascii="黑体" w:eastAsia="黑体" w:hAnsi="黑体" w:cs="黑体"/>
              <w:b/>
              <w:bCs/>
              <w:spacing w:val="-4"/>
            </w:rPr>
            <w:t>章</w:t>
          </w:r>
          <w:r>
            <w:rPr>
              <w:rFonts w:ascii="黑体" w:eastAsia="黑体" w:hAnsi="黑体" w:cs="黑体"/>
              <w:spacing w:val="83"/>
            </w:rPr>
            <w:t xml:space="preserve"> </w:t>
          </w:r>
          <w:r>
            <w:rPr>
              <w:rFonts w:ascii="黑体" w:eastAsia="黑体" w:hAnsi="黑体" w:cs="黑体"/>
              <w:b/>
              <w:bCs/>
              <w:spacing w:val="-4"/>
            </w:rPr>
            <w:t>能量与宏量营养素</w:t>
          </w:r>
          <w:r>
            <w:rPr>
              <w:rFonts w:ascii="黑体" w:eastAsia="黑体" w:hAnsi="黑体" w:cs="黑体"/>
              <w:spacing w:val="-44"/>
            </w:rPr>
            <w:t xml:space="preserve"> </w:t>
          </w:r>
          <w:r>
            <w:rPr>
              <w:rFonts w:ascii="黑体" w:eastAsia="黑体" w:hAnsi="黑体" w:cs="黑体"/>
              <w:b/>
              <w:bCs/>
            </w:rPr>
            <w:tab/>
          </w:r>
          <w:r>
            <w:rPr>
              <w:rFonts w:ascii="黑体" w:eastAsia="黑体" w:hAnsi="黑体" w:cs="黑体"/>
              <w:spacing w:val="-50"/>
            </w:rPr>
            <w:t xml:space="preserve"> </w:t>
          </w:r>
          <w:hyperlink w:anchor="_bookmark17" w:history="1">
            <w:r>
              <w:rPr>
                <w:rFonts w:ascii="黑体" w:eastAsia="黑体" w:hAnsi="黑体" w:cs="黑体"/>
                <w:b/>
                <w:bCs/>
                <w:spacing w:val="-7"/>
              </w:rPr>
              <w:t>39</w:t>
            </w:r>
          </w:hyperlink>
        </w:p>
        <w:p w:rsidR="00EA40A3" w:rsidRDefault="00E86C16">
          <w:pPr>
            <w:tabs>
              <w:tab w:val="right" w:leader="dot" w:pos="7274"/>
            </w:tabs>
            <w:spacing w:before="65" w:line="221" w:lineRule="auto"/>
            <w:ind w:left="396"/>
            <w:rPr>
              <w:rFonts w:ascii="宋体" w:eastAsia="宋体" w:hAnsi="宋体" w:cs="宋体"/>
            </w:rPr>
          </w:pPr>
          <w:r>
            <w:rPr>
              <w:rFonts w:ascii="宋体" w:eastAsia="宋体" w:hAnsi="宋体" w:cs="宋体"/>
              <w:spacing w:val="-1"/>
            </w:rPr>
            <w:t>3.1</w:t>
          </w:r>
          <w:r>
            <w:rPr>
              <w:rFonts w:ascii="宋体" w:eastAsia="宋体" w:hAnsi="宋体" w:cs="宋体"/>
              <w:spacing w:val="3"/>
            </w:rPr>
            <w:t xml:space="preserve">  </w:t>
          </w:r>
          <w:r>
            <w:rPr>
              <w:rFonts w:ascii="宋体" w:eastAsia="宋体" w:hAnsi="宋体" w:cs="宋体"/>
              <w:spacing w:val="-1"/>
            </w:rPr>
            <w:t>能量</w:t>
          </w:r>
          <w:r>
            <w:rPr>
              <w:rFonts w:ascii="宋体" w:eastAsia="宋体" w:hAnsi="宋体" w:cs="宋体"/>
              <w:spacing w:val="-43"/>
            </w:rPr>
            <w:t xml:space="preserve"> </w:t>
          </w:r>
          <w:r>
            <w:rPr>
              <w:rFonts w:ascii="宋体" w:eastAsia="宋体" w:hAnsi="宋体" w:cs="宋体"/>
            </w:rPr>
            <w:tab/>
          </w:r>
          <w:r>
            <w:rPr>
              <w:rFonts w:ascii="宋体" w:eastAsia="宋体" w:hAnsi="宋体" w:cs="宋体"/>
              <w:spacing w:val="-56"/>
            </w:rPr>
            <w:t xml:space="preserve"> </w:t>
          </w:r>
          <w:hyperlink w:anchor="_bookmark18" w:history="1">
            <w:r>
              <w:rPr>
                <w:rFonts w:ascii="宋体" w:eastAsia="宋体" w:hAnsi="宋体" w:cs="宋体"/>
                <w:spacing w:val="-4"/>
              </w:rPr>
              <w:t>39</w:t>
            </w:r>
          </w:hyperlink>
        </w:p>
        <w:p w:rsidR="00EA40A3" w:rsidRDefault="00E86C16">
          <w:pPr>
            <w:tabs>
              <w:tab w:val="right" w:leader="dot" w:pos="7279"/>
            </w:tabs>
            <w:spacing w:before="57" w:line="219" w:lineRule="auto"/>
            <w:ind w:left="396"/>
            <w:rPr>
              <w:rFonts w:ascii="宋体" w:eastAsia="宋体" w:hAnsi="宋体" w:cs="宋体"/>
            </w:rPr>
          </w:pPr>
          <w:r>
            <w:rPr>
              <w:rFonts w:ascii="宋体" w:eastAsia="宋体" w:hAnsi="宋体" w:cs="宋体"/>
              <w:spacing w:val="-3"/>
            </w:rPr>
            <w:t>3.2</w:t>
          </w:r>
          <w:r>
            <w:rPr>
              <w:rFonts w:ascii="宋体" w:eastAsia="宋体" w:hAnsi="宋体" w:cs="宋体"/>
              <w:spacing w:val="4"/>
            </w:rPr>
            <w:t xml:space="preserve">  </w:t>
          </w:r>
          <w:r>
            <w:rPr>
              <w:rFonts w:ascii="宋体" w:eastAsia="宋体" w:hAnsi="宋体" w:cs="宋体"/>
              <w:spacing w:val="-3"/>
            </w:rPr>
            <w:t>碳水化合物</w:t>
          </w:r>
          <w:r>
            <w:rPr>
              <w:rFonts w:ascii="宋体" w:eastAsia="宋体" w:hAnsi="宋体" w:cs="宋体"/>
              <w:spacing w:val="-15"/>
            </w:rPr>
            <w:t xml:space="preserve"> </w:t>
          </w:r>
          <w:r>
            <w:rPr>
              <w:rFonts w:ascii="宋体" w:eastAsia="宋体" w:hAnsi="宋体" w:cs="宋体"/>
            </w:rPr>
            <w:tab/>
          </w:r>
          <w:r>
            <w:rPr>
              <w:rFonts w:ascii="宋体" w:eastAsia="宋体" w:hAnsi="宋体" w:cs="宋体"/>
              <w:spacing w:val="-47"/>
            </w:rPr>
            <w:t xml:space="preserve"> </w:t>
          </w:r>
          <w:hyperlink w:anchor="_bookmark19" w:history="1">
            <w:r>
              <w:rPr>
                <w:rFonts w:ascii="宋体" w:eastAsia="宋体" w:hAnsi="宋体" w:cs="宋体"/>
                <w:spacing w:val="-2"/>
              </w:rPr>
              <w:t>46</w:t>
            </w:r>
          </w:hyperlink>
        </w:p>
        <w:p w:rsidR="00EA40A3" w:rsidRDefault="00E86C16">
          <w:pPr>
            <w:tabs>
              <w:tab w:val="right" w:leader="dot" w:pos="7277"/>
            </w:tabs>
            <w:spacing w:before="51" w:line="219" w:lineRule="auto"/>
            <w:ind w:left="396"/>
            <w:rPr>
              <w:rFonts w:ascii="宋体" w:eastAsia="宋体" w:hAnsi="宋体" w:cs="宋体"/>
            </w:rPr>
          </w:pPr>
          <w:r>
            <w:rPr>
              <w:rFonts w:ascii="宋体" w:eastAsia="宋体" w:hAnsi="宋体" w:cs="宋体"/>
              <w:spacing w:val="-5"/>
            </w:rPr>
            <w:t>3.3</w:t>
          </w:r>
          <w:r>
            <w:rPr>
              <w:rFonts w:ascii="宋体" w:eastAsia="宋体" w:hAnsi="宋体" w:cs="宋体"/>
              <w:spacing w:val="4"/>
            </w:rPr>
            <w:t xml:space="preserve">  </w:t>
          </w:r>
          <w:r>
            <w:rPr>
              <w:rFonts w:ascii="宋体" w:eastAsia="宋体" w:hAnsi="宋体" w:cs="宋体"/>
              <w:spacing w:val="-5"/>
            </w:rPr>
            <w:t>脂类</w:t>
          </w:r>
          <w:r>
            <w:rPr>
              <w:rFonts w:ascii="宋体" w:eastAsia="宋体" w:hAnsi="宋体" w:cs="宋体"/>
              <w:spacing w:val="-14"/>
            </w:rPr>
            <w:t xml:space="preserve"> </w:t>
          </w:r>
          <w:r>
            <w:rPr>
              <w:rFonts w:ascii="宋体" w:eastAsia="宋体" w:hAnsi="宋体" w:cs="宋体"/>
            </w:rPr>
            <w:tab/>
          </w:r>
          <w:r>
            <w:rPr>
              <w:rFonts w:ascii="宋体" w:eastAsia="宋体" w:hAnsi="宋体" w:cs="宋体"/>
              <w:spacing w:val="-46"/>
            </w:rPr>
            <w:t xml:space="preserve"> </w:t>
          </w:r>
          <w:hyperlink w:anchor="_bookmark20" w:history="1">
            <w:r>
              <w:rPr>
                <w:rFonts w:ascii="宋体" w:eastAsia="宋体" w:hAnsi="宋体" w:cs="宋体"/>
                <w:spacing w:val="-3"/>
              </w:rPr>
              <w:t>60</w:t>
            </w:r>
          </w:hyperlink>
        </w:p>
        <w:p w:rsidR="00EA40A3" w:rsidRDefault="00E86C16">
          <w:pPr>
            <w:tabs>
              <w:tab w:val="right" w:leader="dot" w:pos="7277"/>
            </w:tabs>
            <w:spacing w:before="62" w:line="220" w:lineRule="auto"/>
            <w:ind w:left="396"/>
            <w:rPr>
              <w:rFonts w:ascii="宋体" w:eastAsia="宋体" w:hAnsi="宋体" w:cs="宋体"/>
            </w:rPr>
          </w:pPr>
          <w:r>
            <w:rPr>
              <w:rFonts w:ascii="宋体" w:eastAsia="宋体" w:hAnsi="宋体" w:cs="宋体"/>
              <w:spacing w:val="3"/>
            </w:rPr>
            <w:t>3.4</w:t>
          </w:r>
          <w:r>
            <w:rPr>
              <w:rFonts w:ascii="宋体" w:eastAsia="宋体" w:hAnsi="宋体" w:cs="宋体"/>
              <w:spacing w:val="4"/>
            </w:rPr>
            <w:t xml:space="preserve">  </w:t>
          </w:r>
          <w:r>
            <w:rPr>
              <w:rFonts w:ascii="宋体" w:eastAsia="宋体" w:hAnsi="宋体" w:cs="宋体"/>
              <w:spacing w:val="3"/>
            </w:rPr>
            <w:t>蛋白质</w:t>
          </w:r>
          <w:r>
            <w:rPr>
              <w:rFonts w:ascii="宋体" w:eastAsia="宋体" w:hAnsi="宋体" w:cs="宋体"/>
              <w:spacing w:val="-58"/>
            </w:rPr>
            <w:t xml:space="preserve"> </w:t>
          </w:r>
          <w:r>
            <w:rPr>
              <w:rFonts w:ascii="宋体" w:eastAsia="宋体" w:hAnsi="宋体" w:cs="宋体"/>
            </w:rPr>
            <w:tab/>
          </w:r>
          <w:r>
            <w:rPr>
              <w:rFonts w:ascii="宋体" w:eastAsia="宋体" w:hAnsi="宋体" w:cs="宋体"/>
              <w:spacing w:val="-56"/>
            </w:rPr>
            <w:t xml:space="preserve"> </w:t>
          </w:r>
          <w:hyperlink w:anchor="_bookmark21" w:history="1">
            <w:r>
              <w:rPr>
                <w:rFonts w:ascii="宋体" w:eastAsia="宋体" w:hAnsi="宋体" w:cs="宋体"/>
                <w:spacing w:val="-3"/>
              </w:rPr>
              <w:t>67</w:t>
            </w:r>
          </w:hyperlink>
        </w:p>
        <w:p w:rsidR="00EA40A3" w:rsidRDefault="00E86C16">
          <w:pPr>
            <w:tabs>
              <w:tab w:val="right" w:leader="dot" w:pos="7272"/>
            </w:tabs>
            <w:spacing w:before="39" w:line="219" w:lineRule="auto"/>
            <w:ind w:left="396"/>
            <w:rPr>
              <w:rFonts w:ascii="宋体" w:eastAsia="宋体" w:hAnsi="宋体" w:cs="宋体"/>
            </w:rPr>
          </w:pPr>
          <w:r>
            <w:rPr>
              <w:rFonts w:ascii="宋体" w:eastAsia="宋体" w:hAnsi="宋体" w:cs="宋体"/>
              <w:spacing w:val="-6"/>
            </w:rPr>
            <w:t>3.5</w:t>
          </w:r>
          <w:r>
            <w:rPr>
              <w:rFonts w:ascii="宋体" w:eastAsia="宋体" w:hAnsi="宋体" w:cs="宋体"/>
              <w:spacing w:val="3"/>
            </w:rPr>
            <w:t xml:space="preserve">  </w:t>
          </w:r>
          <w:r>
            <w:rPr>
              <w:rFonts w:ascii="宋体" w:eastAsia="宋体" w:hAnsi="宋体" w:cs="宋体"/>
              <w:spacing w:val="-6"/>
            </w:rPr>
            <w:t>水</w:t>
          </w:r>
          <w:r>
            <w:rPr>
              <w:rFonts w:ascii="宋体" w:eastAsia="宋体" w:hAnsi="宋体" w:cs="宋体"/>
              <w:spacing w:val="-14"/>
            </w:rPr>
            <w:t xml:space="preserve"> </w:t>
          </w:r>
          <w:r>
            <w:rPr>
              <w:rFonts w:ascii="宋体" w:eastAsia="宋体" w:hAnsi="宋体" w:cs="宋体"/>
            </w:rPr>
            <w:tab/>
          </w:r>
          <w:r>
            <w:rPr>
              <w:rFonts w:ascii="宋体" w:eastAsia="宋体" w:hAnsi="宋体" w:cs="宋体"/>
              <w:spacing w:val="-56"/>
            </w:rPr>
            <w:t xml:space="preserve"> </w:t>
          </w:r>
          <w:hyperlink w:anchor="_bookmark22" w:history="1">
            <w:r>
              <w:rPr>
                <w:rFonts w:ascii="宋体" w:eastAsia="宋体" w:hAnsi="宋体" w:cs="宋体"/>
                <w:spacing w:val="-4"/>
              </w:rPr>
              <w:t>79</w:t>
            </w:r>
          </w:hyperlink>
        </w:p>
        <w:p w:rsidR="00EA40A3" w:rsidRDefault="00E86C16">
          <w:pPr>
            <w:tabs>
              <w:tab w:val="right" w:leader="dot" w:pos="7277"/>
            </w:tabs>
            <w:spacing w:before="71"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5"/>
            </w:rPr>
            <w:t xml:space="preserve"> </w:t>
          </w:r>
          <w:hyperlink w:anchor="_bookmark23" w:history="1">
            <w:r>
              <w:rPr>
                <w:rFonts w:ascii="宋体" w:eastAsia="宋体" w:hAnsi="宋体" w:cs="宋体"/>
                <w:spacing w:val="-3"/>
              </w:rPr>
              <w:t>81</w:t>
            </w:r>
          </w:hyperlink>
        </w:p>
        <w:p w:rsidR="00EA40A3" w:rsidRDefault="00E86C16">
          <w:pPr>
            <w:tabs>
              <w:tab w:val="right" w:leader="dot" w:pos="7277"/>
            </w:tabs>
            <w:spacing w:before="60"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25"/>
            </w:rPr>
            <w:t xml:space="preserve"> </w:t>
          </w:r>
          <w:r>
            <w:rPr>
              <w:rFonts w:ascii="宋体" w:eastAsia="宋体" w:hAnsi="宋体" w:cs="宋体"/>
            </w:rPr>
            <w:tab/>
          </w:r>
          <w:r>
            <w:rPr>
              <w:rFonts w:ascii="宋体" w:eastAsia="宋体" w:hAnsi="宋体" w:cs="宋体"/>
              <w:spacing w:val="-55"/>
            </w:rPr>
            <w:t xml:space="preserve"> </w:t>
          </w:r>
          <w:hyperlink w:anchor="_bookmark24" w:history="1">
            <w:r>
              <w:rPr>
                <w:rFonts w:ascii="宋体" w:eastAsia="宋体" w:hAnsi="宋体" w:cs="宋体"/>
                <w:spacing w:val="-3"/>
              </w:rPr>
              <w:t>82</w:t>
            </w:r>
          </w:hyperlink>
        </w:p>
        <w:p w:rsidR="00EA40A3" w:rsidRDefault="00E86C16">
          <w:pPr>
            <w:tabs>
              <w:tab w:val="right" w:leader="dot" w:pos="7284"/>
            </w:tabs>
            <w:spacing w:before="46" w:line="221" w:lineRule="auto"/>
            <w:rPr>
              <w:rFonts w:ascii="黑体" w:eastAsia="黑体" w:hAnsi="黑体" w:cs="黑体"/>
            </w:rPr>
          </w:pPr>
          <w:r>
            <w:rPr>
              <w:rFonts w:ascii="黑体" w:eastAsia="黑体" w:hAnsi="黑体" w:cs="黑体"/>
              <w:b/>
              <w:bCs/>
              <w:spacing w:val="-6"/>
            </w:rPr>
            <w:t>第</w:t>
          </w:r>
          <w:r>
            <w:rPr>
              <w:rFonts w:ascii="黑体" w:eastAsia="黑体" w:hAnsi="黑体" w:cs="黑体"/>
              <w:spacing w:val="-50"/>
            </w:rPr>
            <w:t xml:space="preserve"> </w:t>
          </w:r>
          <w:r>
            <w:rPr>
              <w:rFonts w:ascii="黑体" w:eastAsia="黑体" w:hAnsi="黑体" w:cs="黑体"/>
              <w:b/>
              <w:bCs/>
              <w:spacing w:val="-6"/>
            </w:rPr>
            <w:t>4</w:t>
          </w:r>
          <w:r>
            <w:rPr>
              <w:rFonts w:ascii="黑体" w:eastAsia="黑体" w:hAnsi="黑体" w:cs="黑体"/>
              <w:spacing w:val="-43"/>
            </w:rPr>
            <w:t xml:space="preserve"> </w:t>
          </w:r>
          <w:r>
            <w:rPr>
              <w:rFonts w:ascii="黑体" w:eastAsia="黑体" w:hAnsi="黑体" w:cs="黑体"/>
              <w:b/>
              <w:bCs/>
              <w:spacing w:val="-6"/>
            </w:rPr>
            <w:t>章</w:t>
          </w:r>
          <w:r>
            <w:rPr>
              <w:rFonts w:ascii="黑体" w:eastAsia="黑体" w:hAnsi="黑体" w:cs="黑体"/>
              <w:spacing w:val="83"/>
            </w:rPr>
            <w:t xml:space="preserve"> </w:t>
          </w:r>
          <w:r>
            <w:rPr>
              <w:rFonts w:ascii="黑体" w:eastAsia="黑体" w:hAnsi="黑体" w:cs="黑体"/>
              <w:b/>
              <w:bCs/>
              <w:spacing w:val="-6"/>
            </w:rPr>
            <w:t>微量营养素</w:t>
          </w:r>
          <w:r>
            <w:rPr>
              <w:rFonts w:ascii="黑体" w:eastAsia="黑体" w:hAnsi="黑体" w:cs="黑体"/>
              <w:spacing w:val="-16"/>
            </w:rPr>
            <w:t xml:space="preserve"> </w:t>
          </w:r>
          <w:r>
            <w:rPr>
              <w:rFonts w:ascii="黑体" w:eastAsia="黑体" w:hAnsi="黑体" w:cs="黑体"/>
              <w:b/>
              <w:bCs/>
            </w:rPr>
            <w:tab/>
          </w:r>
          <w:r>
            <w:rPr>
              <w:rFonts w:ascii="黑体" w:eastAsia="黑体" w:hAnsi="黑体" w:cs="黑体"/>
              <w:spacing w:val="-40"/>
            </w:rPr>
            <w:t xml:space="preserve"> </w:t>
          </w:r>
          <w:hyperlink w:anchor="_bookmark25" w:history="1">
            <w:r>
              <w:rPr>
                <w:rFonts w:ascii="黑体" w:eastAsia="黑体" w:hAnsi="黑体" w:cs="黑体"/>
                <w:b/>
                <w:bCs/>
                <w:spacing w:val="-6"/>
              </w:rPr>
              <w:t>84</w:t>
            </w:r>
          </w:hyperlink>
        </w:p>
        <w:p w:rsidR="00EA40A3" w:rsidRDefault="00E86C16">
          <w:pPr>
            <w:tabs>
              <w:tab w:val="right" w:leader="dot" w:pos="7277"/>
            </w:tabs>
            <w:spacing w:before="44" w:line="219" w:lineRule="auto"/>
            <w:ind w:left="396"/>
            <w:rPr>
              <w:rFonts w:ascii="宋体" w:eastAsia="宋体" w:hAnsi="宋体" w:cs="宋体"/>
            </w:rPr>
          </w:pPr>
          <w:r>
            <w:rPr>
              <w:rFonts w:ascii="宋体" w:eastAsia="宋体" w:hAnsi="宋体" w:cs="宋体"/>
              <w:spacing w:val="2"/>
            </w:rPr>
            <w:t>4.1</w:t>
          </w:r>
          <w:r>
            <w:rPr>
              <w:rFonts w:ascii="宋体" w:eastAsia="宋体" w:hAnsi="宋体" w:cs="宋体"/>
              <w:spacing w:val="7"/>
            </w:rPr>
            <w:t xml:space="preserve">  </w:t>
          </w:r>
          <w:r>
            <w:rPr>
              <w:rFonts w:ascii="宋体" w:eastAsia="宋体" w:hAnsi="宋体" w:cs="宋体"/>
              <w:spacing w:val="2"/>
            </w:rPr>
            <w:t>矿物质</w:t>
          </w:r>
          <w:r>
            <w:rPr>
              <w:rFonts w:ascii="宋体" w:eastAsia="宋体" w:hAnsi="宋体" w:cs="宋体"/>
              <w:spacing w:val="-58"/>
            </w:rPr>
            <w:t xml:space="preserve"> </w:t>
          </w:r>
          <w:r>
            <w:rPr>
              <w:rFonts w:ascii="宋体" w:eastAsia="宋体" w:hAnsi="宋体" w:cs="宋体"/>
            </w:rPr>
            <w:tab/>
          </w:r>
          <w:r>
            <w:rPr>
              <w:rFonts w:ascii="宋体" w:eastAsia="宋体" w:hAnsi="宋体" w:cs="宋体"/>
              <w:spacing w:val="-56"/>
            </w:rPr>
            <w:t xml:space="preserve"> </w:t>
          </w:r>
          <w:hyperlink w:anchor="_bookmark26" w:history="1">
            <w:r>
              <w:rPr>
                <w:rFonts w:ascii="宋体" w:eastAsia="宋体" w:hAnsi="宋体" w:cs="宋体"/>
                <w:spacing w:val="-3"/>
              </w:rPr>
              <w:t>84</w:t>
            </w:r>
          </w:hyperlink>
        </w:p>
        <w:p w:rsidR="00EA40A3" w:rsidRDefault="00E86C16">
          <w:pPr>
            <w:tabs>
              <w:tab w:val="right" w:leader="dot" w:pos="7257"/>
            </w:tabs>
            <w:spacing w:before="61" w:line="219" w:lineRule="auto"/>
            <w:ind w:left="396"/>
            <w:rPr>
              <w:rFonts w:ascii="宋体" w:eastAsia="宋体" w:hAnsi="宋体" w:cs="宋体"/>
            </w:rPr>
          </w:pPr>
          <w:r>
            <w:rPr>
              <w:rFonts w:ascii="宋体" w:eastAsia="宋体" w:hAnsi="宋体" w:cs="宋体"/>
            </w:rPr>
            <w:t>4.2</w:t>
          </w:r>
          <w:r>
            <w:rPr>
              <w:rFonts w:ascii="宋体" w:eastAsia="宋体" w:hAnsi="宋体" w:cs="宋体"/>
              <w:spacing w:val="6"/>
            </w:rPr>
            <w:t xml:space="preserve">  </w:t>
          </w:r>
          <w:r>
            <w:rPr>
              <w:rFonts w:ascii="宋体" w:eastAsia="宋体" w:hAnsi="宋体" w:cs="宋体"/>
            </w:rPr>
            <w:t>维生素</w:t>
          </w:r>
          <w:r>
            <w:rPr>
              <w:rFonts w:ascii="宋体" w:eastAsia="宋体" w:hAnsi="宋体" w:cs="宋体"/>
              <w:spacing w:val="-54"/>
            </w:rPr>
            <w:t xml:space="preserve"> </w:t>
          </w:r>
          <w:r>
            <w:rPr>
              <w:rFonts w:ascii="宋体" w:eastAsia="宋体" w:hAnsi="宋体" w:cs="宋体"/>
            </w:rPr>
            <w:tab/>
          </w:r>
          <w:hyperlink w:anchor="_bookmark27" w:history="1">
            <w:r>
              <w:rPr>
                <w:rFonts w:ascii="宋体" w:eastAsia="宋体" w:hAnsi="宋体" w:cs="宋体"/>
                <w:spacing w:val="5"/>
              </w:rPr>
              <w:t>117</w:t>
            </w:r>
          </w:hyperlink>
        </w:p>
        <w:p w:rsidR="00EA40A3" w:rsidRDefault="00E86C16">
          <w:pPr>
            <w:tabs>
              <w:tab w:val="right" w:leader="dot" w:pos="7257"/>
            </w:tabs>
            <w:spacing w:before="61"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46"/>
            </w:rPr>
            <w:t xml:space="preserve"> </w:t>
          </w:r>
          <w:r>
            <w:rPr>
              <w:rFonts w:ascii="宋体" w:eastAsia="宋体" w:hAnsi="宋体" w:cs="宋体"/>
            </w:rPr>
            <w:tab/>
          </w:r>
          <w:r>
            <w:rPr>
              <w:rFonts w:ascii="宋体" w:eastAsia="宋体" w:hAnsi="宋体" w:cs="宋体"/>
              <w:spacing w:val="-55"/>
            </w:rPr>
            <w:t xml:space="preserve"> </w:t>
          </w:r>
          <w:hyperlink w:anchor="_bookmark28" w:history="1">
            <w:r>
              <w:rPr>
                <w:rFonts w:ascii="宋体" w:eastAsia="宋体" w:hAnsi="宋体" w:cs="宋体"/>
                <w:spacing w:val="-6"/>
              </w:rPr>
              <w:t>150</w:t>
            </w:r>
          </w:hyperlink>
        </w:p>
        <w:p w:rsidR="00EA40A3" w:rsidRDefault="00E86C16">
          <w:pPr>
            <w:tabs>
              <w:tab w:val="right" w:leader="dot" w:pos="7257"/>
            </w:tabs>
            <w:spacing w:before="4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45"/>
            </w:rPr>
            <w:t xml:space="preserve"> </w:t>
          </w:r>
          <w:r>
            <w:rPr>
              <w:rFonts w:ascii="宋体" w:eastAsia="宋体" w:hAnsi="宋体" w:cs="宋体"/>
            </w:rPr>
            <w:tab/>
          </w:r>
          <w:hyperlink w:anchor="_bookmark29" w:history="1">
            <w:r>
              <w:rPr>
                <w:rFonts w:ascii="宋体" w:eastAsia="宋体" w:hAnsi="宋体" w:cs="宋体"/>
                <w:spacing w:val="2"/>
              </w:rPr>
              <w:t>150</w:t>
            </w:r>
          </w:hyperlink>
        </w:p>
      </w:sdtContent>
    </w:sdt>
    <w:p w:rsidR="00EA40A3" w:rsidRDefault="00EA40A3">
      <w:pPr>
        <w:sectPr w:rsidR="00EA40A3">
          <w:footerReference w:type="default" r:id="rId13"/>
          <w:pgSz w:w="9220" w:h="13360"/>
          <w:pgMar w:top="400" w:right="942" w:bottom="1270" w:left="993" w:header="0" w:footer="996" w:gutter="0"/>
          <w:cols w:space="720"/>
        </w:sectPr>
      </w:pPr>
    </w:p>
    <w:p w:rsidR="00EA40A3" w:rsidRDefault="00EA40A3">
      <w:pPr>
        <w:spacing w:line="321" w:lineRule="auto"/>
      </w:pPr>
    </w:p>
    <w:p w:rsidR="00EA40A3" w:rsidRDefault="00EA40A3">
      <w:pPr>
        <w:spacing w:line="321" w:lineRule="auto"/>
      </w:pPr>
    </w:p>
    <w:sdt>
      <w:sdtPr>
        <w:rPr>
          <w:rFonts w:ascii="黑体" w:eastAsia="黑体" w:hAnsi="黑体" w:cs="黑体"/>
        </w:rPr>
        <w:id w:val="2"/>
        <w:docPartObj>
          <w:docPartGallery w:val="Table of Contents"/>
          <w:docPartUnique/>
        </w:docPartObj>
      </w:sdtPr>
      <w:sdtEndPr>
        <w:rPr>
          <w:rFonts w:ascii="宋体" w:eastAsia="宋体" w:hAnsi="宋体" w:cs="宋体"/>
        </w:rPr>
      </w:sdtEndPr>
      <w:sdtContent>
        <w:p w:rsidR="00EA40A3" w:rsidRDefault="00E86C16">
          <w:pPr>
            <w:tabs>
              <w:tab w:val="right" w:leader="dot" w:pos="7255"/>
            </w:tabs>
            <w:spacing w:before="68" w:line="222" w:lineRule="auto"/>
            <w:rPr>
              <w:rFonts w:ascii="黑体" w:eastAsia="黑体" w:hAnsi="黑体" w:cs="黑体"/>
            </w:rPr>
          </w:pPr>
          <w:r>
            <w:rPr>
              <w:rFonts w:ascii="黑体" w:eastAsia="黑体" w:hAnsi="黑体" w:cs="黑体"/>
              <w:b/>
              <w:bCs/>
              <w:spacing w:val="-5"/>
            </w:rPr>
            <w:t>第</w:t>
          </w:r>
          <w:r>
            <w:rPr>
              <w:rFonts w:ascii="黑体" w:eastAsia="黑体" w:hAnsi="黑体" w:cs="黑体"/>
              <w:spacing w:val="-36"/>
            </w:rPr>
            <w:t xml:space="preserve"> </w:t>
          </w:r>
          <w:r>
            <w:rPr>
              <w:rFonts w:ascii="黑体" w:eastAsia="黑体" w:hAnsi="黑体" w:cs="黑体"/>
              <w:b/>
              <w:bCs/>
              <w:spacing w:val="-5"/>
            </w:rPr>
            <w:t>5</w:t>
          </w:r>
          <w:r>
            <w:rPr>
              <w:rFonts w:ascii="黑体" w:eastAsia="黑体" w:hAnsi="黑体" w:cs="黑体"/>
              <w:spacing w:val="-33"/>
            </w:rPr>
            <w:t xml:space="preserve"> </w:t>
          </w:r>
          <w:r>
            <w:rPr>
              <w:rFonts w:ascii="黑体" w:eastAsia="黑体" w:hAnsi="黑体" w:cs="黑体"/>
              <w:b/>
              <w:bCs/>
              <w:spacing w:val="-5"/>
            </w:rPr>
            <w:t>章</w:t>
          </w:r>
          <w:r>
            <w:rPr>
              <w:rFonts w:ascii="黑体" w:eastAsia="黑体" w:hAnsi="黑体" w:cs="黑体"/>
              <w:spacing w:val="83"/>
            </w:rPr>
            <w:t xml:space="preserve"> </w:t>
          </w:r>
          <w:r>
            <w:rPr>
              <w:rFonts w:ascii="黑体" w:eastAsia="黑体" w:hAnsi="黑体" w:cs="黑体"/>
              <w:b/>
              <w:bCs/>
              <w:spacing w:val="-5"/>
            </w:rPr>
            <w:t>食物中其他功能成分</w:t>
          </w:r>
          <w:r>
            <w:rPr>
              <w:rFonts w:ascii="黑体" w:eastAsia="黑体" w:hAnsi="黑体" w:cs="黑体"/>
              <w:spacing w:val="-37"/>
            </w:rPr>
            <w:t xml:space="preserve"> </w:t>
          </w:r>
          <w:r>
            <w:rPr>
              <w:rFonts w:ascii="黑体" w:eastAsia="黑体" w:hAnsi="黑体" w:cs="黑体"/>
              <w:b/>
              <w:bCs/>
            </w:rPr>
            <w:tab/>
          </w:r>
          <w:r>
            <w:rPr>
              <w:rFonts w:ascii="黑体" w:eastAsia="黑体" w:hAnsi="黑体" w:cs="黑体"/>
              <w:spacing w:val="-50"/>
            </w:rPr>
            <w:t xml:space="preserve"> </w:t>
          </w:r>
          <w:hyperlink w:anchor="_bookmark30" w:history="1">
            <w:r>
              <w:rPr>
                <w:rFonts w:ascii="黑体" w:eastAsia="黑体" w:hAnsi="黑体" w:cs="黑体"/>
                <w:b/>
                <w:bCs/>
                <w:spacing w:val="-7"/>
              </w:rPr>
              <w:t>152</w:t>
            </w:r>
          </w:hyperlink>
        </w:p>
        <w:p w:rsidR="00EA40A3" w:rsidRDefault="00E86C16">
          <w:pPr>
            <w:tabs>
              <w:tab w:val="right" w:leader="dot" w:pos="7247"/>
            </w:tabs>
            <w:spacing w:before="71" w:line="219" w:lineRule="auto"/>
            <w:ind w:left="396"/>
            <w:rPr>
              <w:rFonts w:ascii="宋体" w:eastAsia="宋体" w:hAnsi="宋体" w:cs="宋体"/>
            </w:rPr>
          </w:pPr>
          <w:r>
            <w:rPr>
              <w:rFonts w:ascii="宋体" w:eastAsia="宋体" w:hAnsi="宋体" w:cs="宋体"/>
            </w:rPr>
            <w:t>5.1</w:t>
          </w:r>
          <w:r>
            <w:rPr>
              <w:rFonts w:ascii="宋体" w:eastAsia="宋体" w:hAnsi="宋体" w:cs="宋体"/>
              <w:spacing w:val="6"/>
            </w:rPr>
            <w:t xml:space="preserve">  </w:t>
          </w:r>
          <w:r>
            <w:rPr>
              <w:rFonts w:ascii="宋体" w:eastAsia="宋体" w:hAnsi="宋体" w:cs="宋体"/>
            </w:rPr>
            <w:t>膳食纤维</w:t>
          </w:r>
          <w:r>
            <w:rPr>
              <w:rFonts w:ascii="宋体" w:eastAsia="宋体" w:hAnsi="宋体" w:cs="宋体"/>
              <w:spacing w:val="-33"/>
            </w:rPr>
            <w:t xml:space="preserve"> </w:t>
          </w:r>
          <w:r>
            <w:rPr>
              <w:rFonts w:ascii="宋体" w:eastAsia="宋体" w:hAnsi="宋体" w:cs="宋体"/>
            </w:rPr>
            <w:tab/>
          </w:r>
          <w:r>
            <w:rPr>
              <w:rFonts w:ascii="宋体" w:eastAsia="宋体" w:hAnsi="宋体" w:cs="宋体"/>
              <w:spacing w:val="-44"/>
            </w:rPr>
            <w:t xml:space="preserve"> </w:t>
          </w:r>
          <w:hyperlink w:anchor="_bookmark31" w:history="1">
            <w:r>
              <w:rPr>
                <w:rFonts w:ascii="宋体" w:eastAsia="宋体" w:hAnsi="宋体" w:cs="宋体"/>
                <w:spacing w:val="-6"/>
              </w:rPr>
              <w:t>152</w:t>
            </w:r>
          </w:hyperlink>
        </w:p>
        <w:p w:rsidR="00EA40A3" w:rsidRDefault="00E86C16">
          <w:pPr>
            <w:tabs>
              <w:tab w:val="right" w:leader="dot" w:pos="7247"/>
            </w:tabs>
            <w:spacing w:before="40" w:line="219" w:lineRule="auto"/>
            <w:ind w:left="396"/>
            <w:rPr>
              <w:rFonts w:ascii="宋体" w:eastAsia="宋体" w:hAnsi="宋体" w:cs="宋体"/>
            </w:rPr>
          </w:pPr>
          <w:r>
            <w:rPr>
              <w:rFonts w:ascii="宋体" w:eastAsia="宋体" w:hAnsi="宋体" w:cs="宋体"/>
              <w:spacing w:val="-1"/>
            </w:rPr>
            <w:t>5.2</w:t>
          </w:r>
          <w:r>
            <w:rPr>
              <w:rFonts w:ascii="宋体" w:eastAsia="宋体" w:hAnsi="宋体" w:cs="宋体"/>
              <w:spacing w:val="4"/>
            </w:rPr>
            <w:t xml:space="preserve">  </w:t>
          </w:r>
          <w:r>
            <w:rPr>
              <w:rFonts w:ascii="宋体" w:eastAsia="宋体" w:hAnsi="宋体" w:cs="宋体"/>
              <w:spacing w:val="-1"/>
            </w:rPr>
            <w:t>多酚类</w:t>
          </w:r>
          <w:r>
            <w:rPr>
              <w:rFonts w:ascii="宋体" w:eastAsia="宋体" w:hAnsi="宋体" w:cs="宋体"/>
              <w:spacing w:val="-43"/>
            </w:rPr>
            <w:t xml:space="preserve"> </w:t>
          </w:r>
          <w:r>
            <w:rPr>
              <w:rFonts w:ascii="宋体" w:eastAsia="宋体" w:hAnsi="宋体" w:cs="宋体"/>
            </w:rPr>
            <w:tab/>
          </w:r>
          <w:r>
            <w:rPr>
              <w:rFonts w:ascii="宋体" w:eastAsia="宋体" w:hAnsi="宋体" w:cs="宋体"/>
              <w:spacing w:val="-54"/>
            </w:rPr>
            <w:t xml:space="preserve"> </w:t>
          </w:r>
          <w:hyperlink w:anchor="_bookmark32" w:history="1">
            <w:r>
              <w:rPr>
                <w:rFonts w:ascii="宋体" w:eastAsia="宋体" w:hAnsi="宋体" w:cs="宋体"/>
                <w:spacing w:val="-6"/>
              </w:rPr>
              <w:t>154</w:t>
            </w:r>
          </w:hyperlink>
        </w:p>
        <w:p w:rsidR="00EA40A3" w:rsidRDefault="00E86C16">
          <w:pPr>
            <w:tabs>
              <w:tab w:val="right" w:leader="dot" w:pos="7247"/>
            </w:tabs>
            <w:spacing w:before="39" w:line="219" w:lineRule="auto"/>
            <w:ind w:left="396"/>
            <w:rPr>
              <w:rFonts w:ascii="宋体" w:eastAsia="宋体" w:hAnsi="宋体" w:cs="宋体"/>
            </w:rPr>
          </w:pPr>
          <w:r>
            <w:rPr>
              <w:rFonts w:ascii="宋体" w:eastAsia="宋体" w:hAnsi="宋体" w:cs="宋体"/>
              <w:spacing w:val="-3"/>
            </w:rPr>
            <w:t>5.3</w:t>
          </w:r>
          <w:r>
            <w:rPr>
              <w:rFonts w:ascii="宋体" w:eastAsia="宋体" w:hAnsi="宋体" w:cs="宋体"/>
              <w:spacing w:val="4"/>
            </w:rPr>
            <w:t xml:space="preserve">  </w:t>
          </w:r>
          <w:r>
            <w:rPr>
              <w:rFonts w:ascii="宋体" w:eastAsia="宋体" w:hAnsi="宋体" w:cs="宋体"/>
              <w:spacing w:val="-3"/>
            </w:rPr>
            <w:t>类胡萝卜素</w:t>
          </w:r>
          <w:r>
            <w:rPr>
              <w:rFonts w:ascii="宋体" w:eastAsia="宋体" w:hAnsi="宋体" w:cs="宋体"/>
              <w:spacing w:val="-15"/>
            </w:rPr>
            <w:t xml:space="preserve"> </w:t>
          </w:r>
          <w:r>
            <w:rPr>
              <w:rFonts w:ascii="宋体" w:eastAsia="宋体" w:hAnsi="宋体" w:cs="宋体"/>
            </w:rPr>
            <w:tab/>
          </w:r>
          <w:r>
            <w:rPr>
              <w:rFonts w:ascii="宋体" w:eastAsia="宋体" w:hAnsi="宋体" w:cs="宋体"/>
              <w:spacing w:val="-44"/>
            </w:rPr>
            <w:t xml:space="preserve"> </w:t>
          </w:r>
          <w:hyperlink w:anchor="_bookmark33" w:history="1">
            <w:r>
              <w:rPr>
                <w:rFonts w:ascii="宋体" w:eastAsia="宋体" w:hAnsi="宋体" w:cs="宋体"/>
                <w:spacing w:val="-6"/>
              </w:rPr>
              <w:t>160</w:t>
            </w:r>
          </w:hyperlink>
        </w:p>
        <w:p w:rsidR="00EA40A3" w:rsidRDefault="00E86C16">
          <w:pPr>
            <w:tabs>
              <w:tab w:val="right" w:leader="dot" w:pos="7247"/>
            </w:tabs>
            <w:spacing w:before="79" w:line="226" w:lineRule="auto"/>
            <w:ind w:left="396"/>
            <w:rPr>
              <w:rFonts w:ascii="宋体" w:eastAsia="宋体" w:hAnsi="宋体" w:cs="宋体"/>
            </w:rPr>
          </w:pPr>
          <w:r>
            <w:rPr>
              <w:rFonts w:ascii="宋体" w:eastAsia="宋体" w:hAnsi="宋体" w:cs="宋体"/>
              <w:spacing w:val="-5"/>
            </w:rPr>
            <w:t>5.4</w:t>
          </w:r>
          <w:r>
            <w:rPr>
              <w:rFonts w:ascii="宋体" w:eastAsia="宋体" w:hAnsi="宋体" w:cs="宋体"/>
              <w:spacing w:val="5"/>
            </w:rPr>
            <w:t xml:space="preserve">  </w:t>
          </w:r>
          <w:r>
            <w:rPr>
              <w:rFonts w:ascii="宋体" w:eastAsia="宋体" w:hAnsi="宋体" w:cs="宋体"/>
              <w:spacing w:val="-5"/>
            </w:rPr>
            <w:t>皂苷</w:t>
          </w:r>
          <w:r>
            <w:rPr>
              <w:rFonts w:ascii="宋体" w:eastAsia="宋体" w:hAnsi="宋体" w:cs="宋体"/>
              <w:spacing w:val="-16"/>
            </w:rPr>
            <w:t xml:space="preserve"> </w:t>
          </w:r>
          <w:r>
            <w:rPr>
              <w:rFonts w:ascii="宋体" w:eastAsia="宋体" w:hAnsi="宋体" w:cs="宋体"/>
            </w:rPr>
            <w:tab/>
          </w:r>
          <w:r>
            <w:rPr>
              <w:rFonts w:ascii="宋体" w:eastAsia="宋体" w:hAnsi="宋体" w:cs="宋体"/>
              <w:spacing w:val="-44"/>
            </w:rPr>
            <w:t xml:space="preserve"> </w:t>
          </w:r>
          <w:hyperlink w:anchor="_bookmark34" w:history="1">
            <w:r>
              <w:rPr>
                <w:rFonts w:ascii="宋体" w:eastAsia="宋体" w:hAnsi="宋体" w:cs="宋体"/>
                <w:spacing w:val="-6"/>
              </w:rPr>
              <w:t>163</w:t>
            </w:r>
          </w:hyperlink>
        </w:p>
        <w:p w:rsidR="00EA40A3" w:rsidRDefault="00E86C16">
          <w:pPr>
            <w:tabs>
              <w:tab w:val="right" w:leader="dot" w:pos="7247"/>
            </w:tabs>
            <w:spacing w:before="35" w:line="219" w:lineRule="auto"/>
            <w:ind w:left="396"/>
            <w:rPr>
              <w:rFonts w:ascii="宋体" w:eastAsia="宋体" w:hAnsi="宋体" w:cs="宋体"/>
            </w:rPr>
          </w:pPr>
          <w:r>
            <w:rPr>
              <w:rFonts w:ascii="宋体" w:eastAsia="宋体" w:hAnsi="宋体" w:cs="宋体"/>
              <w:spacing w:val="-3"/>
            </w:rPr>
            <w:t>5.5</w:t>
          </w:r>
          <w:r>
            <w:rPr>
              <w:rFonts w:ascii="宋体" w:eastAsia="宋体" w:hAnsi="宋体" w:cs="宋体"/>
              <w:spacing w:val="11"/>
            </w:rPr>
            <w:t xml:space="preserve">  </w:t>
          </w:r>
          <w:r>
            <w:rPr>
              <w:rFonts w:ascii="宋体" w:eastAsia="宋体" w:hAnsi="宋体" w:cs="宋体"/>
              <w:spacing w:val="-3"/>
            </w:rPr>
            <w:t>有机硫化合物</w:t>
          </w:r>
          <w:r>
            <w:rPr>
              <w:rFonts w:ascii="宋体" w:eastAsia="宋体" w:hAnsi="宋体" w:cs="宋体"/>
              <w:spacing w:val="-36"/>
            </w:rPr>
            <w:t xml:space="preserve"> </w:t>
          </w:r>
          <w:r>
            <w:rPr>
              <w:rFonts w:ascii="宋体" w:eastAsia="宋体" w:hAnsi="宋体" w:cs="宋体"/>
            </w:rPr>
            <w:tab/>
          </w:r>
          <w:r>
            <w:rPr>
              <w:rFonts w:ascii="宋体" w:eastAsia="宋体" w:hAnsi="宋体" w:cs="宋体"/>
              <w:spacing w:val="-54"/>
            </w:rPr>
            <w:t xml:space="preserve"> </w:t>
          </w:r>
          <w:hyperlink w:anchor="_bookmark35" w:history="1">
            <w:r>
              <w:rPr>
                <w:rFonts w:ascii="宋体" w:eastAsia="宋体" w:hAnsi="宋体" w:cs="宋体"/>
                <w:spacing w:val="-6"/>
              </w:rPr>
              <w:t>165</w:t>
            </w:r>
          </w:hyperlink>
        </w:p>
        <w:p w:rsidR="00EA40A3" w:rsidRDefault="00E86C16">
          <w:pPr>
            <w:tabs>
              <w:tab w:val="right" w:leader="dot" w:pos="7247"/>
            </w:tabs>
            <w:spacing w:before="53" w:line="220" w:lineRule="auto"/>
            <w:ind w:left="396"/>
            <w:rPr>
              <w:rFonts w:ascii="宋体" w:eastAsia="宋体" w:hAnsi="宋体" w:cs="宋体"/>
            </w:rPr>
          </w:pPr>
          <w:r>
            <w:rPr>
              <w:rFonts w:ascii="宋体" w:eastAsia="宋体" w:hAnsi="宋体" w:cs="宋体"/>
              <w:spacing w:val="1"/>
            </w:rPr>
            <w:t>5.6</w:t>
          </w:r>
          <w:r>
            <w:rPr>
              <w:rFonts w:ascii="宋体" w:eastAsia="宋体" w:hAnsi="宋体" w:cs="宋体"/>
              <w:spacing w:val="3"/>
            </w:rPr>
            <w:t xml:space="preserve">  </w:t>
          </w:r>
          <w:r>
            <w:rPr>
              <w:rFonts w:ascii="宋体" w:eastAsia="宋体" w:hAnsi="宋体" w:cs="宋体"/>
              <w:spacing w:val="1"/>
            </w:rPr>
            <w:t>茶氨酸</w:t>
          </w:r>
          <w:r>
            <w:rPr>
              <w:rFonts w:ascii="宋体" w:eastAsia="宋体" w:hAnsi="宋体" w:cs="宋体"/>
              <w:spacing w:val="-44"/>
            </w:rPr>
            <w:t xml:space="preserve"> </w:t>
          </w:r>
          <w:r>
            <w:rPr>
              <w:rFonts w:ascii="宋体" w:eastAsia="宋体" w:hAnsi="宋体" w:cs="宋体"/>
            </w:rPr>
            <w:tab/>
          </w:r>
          <w:r>
            <w:rPr>
              <w:rFonts w:ascii="宋体" w:eastAsia="宋体" w:hAnsi="宋体" w:cs="宋体"/>
              <w:spacing w:val="-54"/>
            </w:rPr>
            <w:t xml:space="preserve"> </w:t>
          </w:r>
          <w:hyperlink w:anchor="_bookmark36" w:history="1">
            <w:r>
              <w:rPr>
                <w:rFonts w:ascii="宋体" w:eastAsia="宋体" w:hAnsi="宋体" w:cs="宋体"/>
                <w:spacing w:val="-6"/>
              </w:rPr>
              <w:t>167</w:t>
            </w:r>
          </w:hyperlink>
        </w:p>
        <w:p w:rsidR="00EA40A3" w:rsidRDefault="00E86C16">
          <w:pPr>
            <w:tabs>
              <w:tab w:val="right" w:leader="dot" w:pos="7247"/>
            </w:tabs>
            <w:spacing w:before="59" w:line="219" w:lineRule="auto"/>
            <w:ind w:left="396"/>
            <w:rPr>
              <w:rFonts w:ascii="宋体" w:eastAsia="宋体" w:hAnsi="宋体" w:cs="宋体"/>
            </w:rPr>
          </w:pPr>
          <w:r>
            <w:rPr>
              <w:rFonts w:ascii="宋体" w:eastAsia="宋体" w:hAnsi="宋体" w:cs="宋体"/>
            </w:rPr>
            <w:t>5.7</w:t>
          </w:r>
          <w:r>
            <w:rPr>
              <w:rFonts w:ascii="宋体" w:eastAsia="宋体" w:hAnsi="宋体" w:cs="宋体"/>
              <w:spacing w:val="6"/>
            </w:rPr>
            <w:t xml:space="preserve">  </w:t>
          </w:r>
          <w:r>
            <w:rPr>
              <w:rFonts w:ascii="宋体" w:eastAsia="宋体" w:hAnsi="宋体" w:cs="宋体"/>
            </w:rPr>
            <w:t>植物甾醇</w:t>
          </w:r>
          <w:r>
            <w:rPr>
              <w:rFonts w:ascii="宋体" w:eastAsia="宋体" w:hAnsi="宋体" w:cs="宋体"/>
              <w:spacing w:val="-33"/>
            </w:rPr>
            <w:t xml:space="preserve"> </w:t>
          </w:r>
          <w:r>
            <w:rPr>
              <w:rFonts w:ascii="宋体" w:eastAsia="宋体" w:hAnsi="宋体" w:cs="宋体"/>
            </w:rPr>
            <w:tab/>
          </w:r>
          <w:r>
            <w:rPr>
              <w:rFonts w:ascii="宋体" w:eastAsia="宋体" w:hAnsi="宋体" w:cs="宋体"/>
              <w:spacing w:val="-44"/>
            </w:rPr>
            <w:t xml:space="preserve"> </w:t>
          </w:r>
          <w:hyperlink w:anchor="_bookmark37" w:history="1">
            <w:r>
              <w:rPr>
                <w:rFonts w:ascii="宋体" w:eastAsia="宋体" w:hAnsi="宋体" w:cs="宋体"/>
                <w:spacing w:val="-6"/>
              </w:rPr>
              <w:t>169</w:t>
            </w:r>
          </w:hyperlink>
        </w:p>
        <w:p w:rsidR="00EA40A3" w:rsidRDefault="00E86C16">
          <w:pPr>
            <w:tabs>
              <w:tab w:val="right" w:leader="dot" w:pos="7247"/>
            </w:tabs>
            <w:spacing w:before="51" w:line="220" w:lineRule="auto"/>
            <w:ind w:left="396"/>
            <w:rPr>
              <w:rFonts w:ascii="宋体" w:eastAsia="宋体" w:hAnsi="宋体" w:cs="宋体"/>
            </w:rPr>
          </w:pPr>
          <w:r>
            <w:rPr>
              <w:rFonts w:ascii="宋体" w:eastAsia="宋体" w:hAnsi="宋体" w:cs="宋体"/>
              <w:spacing w:val="1"/>
            </w:rPr>
            <w:t>5.8</w:t>
          </w:r>
          <w:r>
            <w:rPr>
              <w:rFonts w:ascii="宋体" w:eastAsia="宋体" w:hAnsi="宋体" w:cs="宋体"/>
              <w:spacing w:val="4"/>
            </w:rPr>
            <w:t xml:space="preserve">  </w:t>
          </w:r>
          <w:r>
            <w:rPr>
              <w:rFonts w:ascii="宋体" w:eastAsia="宋体" w:hAnsi="宋体" w:cs="宋体"/>
              <w:spacing w:val="1"/>
            </w:rPr>
            <w:t>核酸</w:t>
          </w:r>
          <w:r>
            <w:rPr>
              <w:rFonts w:ascii="宋体" w:eastAsia="宋体" w:hAnsi="宋体" w:cs="宋体"/>
              <w:spacing w:val="-44"/>
            </w:rPr>
            <w:t xml:space="preserve"> </w:t>
          </w:r>
          <w:r>
            <w:rPr>
              <w:rFonts w:ascii="宋体" w:eastAsia="宋体" w:hAnsi="宋体" w:cs="宋体"/>
            </w:rPr>
            <w:tab/>
          </w:r>
          <w:r>
            <w:rPr>
              <w:rFonts w:ascii="宋体" w:eastAsia="宋体" w:hAnsi="宋体" w:cs="宋体"/>
              <w:spacing w:val="-54"/>
            </w:rPr>
            <w:t xml:space="preserve"> </w:t>
          </w:r>
          <w:hyperlink w:anchor="_bookmark38" w:history="1">
            <w:r>
              <w:rPr>
                <w:rFonts w:ascii="宋体" w:eastAsia="宋体" w:hAnsi="宋体" w:cs="宋体"/>
                <w:spacing w:val="-6"/>
              </w:rPr>
              <w:t>170</w:t>
            </w:r>
          </w:hyperlink>
        </w:p>
        <w:p w:rsidR="00EA40A3" w:rsidRDefault="00E86C16">
          <w:pPr>
            <w:tabs>
              <w:tab w:val="right" w:leader="dot" w:pos="7247"/>
            </w:tabs>
            <w:spacing w:before="60" w:line="220" w:lineRule="auto"/>
            <w:ind w:left="396"/>
            <w:rPr>
              <w:rFonts w:ascii="宋体" w:eastAsia="宋体" w:hAnsi="宋体" w:cs="宋体"/>
            </w:rPr>
          </w:pPr>
          <w:r>
            <w:rPr>
              <w:rFonts w:ascii="宋体" w:eastAsia="宋体" w:hAnsi="宋体" w:cs="宋体"/>
            </w:rPr>
            <w:t>5.9</w:t>
          </w:r>
          <w:r>
            <w:rPr>
              <w:rFonts w:ascii="宋体" w:eastAsia="宋体" w:hAnsi="宋体" w:cs="宋体"/>
              <w:spacing w:val="6"/>
            </w:rPr>
            <w:t xml:space="preserve">  </w:t>
          </w:r>
          <w:r>
            <w:rPr>
              <w:rFonts w:ascii="宋体" w:eastAsia="宋体" w:hAnsi="宋体" w:cs="宋体"/>
            </w:rPr>
            <w:t>二十八烷醇</w:t>
          </w:r>
          <w:r>
            <w:rPr>
              <w:rFonts w:ascii="宋体" w:eastAsia="宋体" w:hAnsi="宋体" w:cs="宋体"/>
              <w:spacing w:val="-53"/>
            </w:rPr>
            <w:t xml:space="preserve"> </w:t>
          </w:r>
          <w:r>
            <w:rPr>
              <w:rFonts w:ascii="宋体" w:eastAsia="宋体" w:hAnsi="宋体" w:cs="宋体"/>
            </w:rPr>
            <w:tab/>
          </w:r>
          <w:hyperlink w:anchor="_bookmark39" w:history="1">
            <w:r>
              <w:rPr>
                <w:rFonts w:ascii="宋体" w:eastAsia="宋体" w:hAnsi="宋体" w:cs="宋体"/>
                <w:spacing w:val="5"/>
              </w:rPr>
              <w:t>171</w:t>
            </w:r>
          </w:hyperlink>
        </w:p>
        <w:p w:rsidR="00EA40A3" w:rsidRDefault="00E86C16">
          <w:pPr>
            <w:tabs>
              <w:tab w:val="right" w:leader="dot" w:pos="7247"/>
            </w:tabs>
            <w:spacing w:before="59" w:line="219" w:lineRule="auto"/>
            <w:ind w:left="396"/>
            <w:rPr>
              <w:rFonts w:ascii="宋体" w:eastAsia="宋体" w:hAnsi="宋体" w:cs="宋体"/>
            </w:rPr>
          </w:pPr>
          <w:r>
            <w:rPr>
              <w:rFonts w:ascii="宋体" w:eastAsia="宋体" w:hAnsi="宋体" w:cs="宋体"/>
              <w:spacing w:val="-1"/>
            </w:rPr>
            <w:t>5.10</w:t>
          </w:r>
          <w:r>
            <w:rPr>
              <w:rFonts w:ascii="宋体" w:eastAsia="宋体" w:hAnsi="宋体" w:cs="宋体"/>
              <w:spacing w:val="6"/>
            </w:rPr>
            <w:t xml:space="preserve">  </w:t>
          </w:r>
          <w:r>
            <w:rPr>
              <w:rFonts w:ascii="宋体" w:eastAsia="宋体" w:hAnsi="宋体" w:cs="宋体"/>
              <w:spacing w:val="-1"/>
            </w:rPr>
            <w:t>咖啡碱、茶叶碱和可可碱</w:t>
          </w:r>
          <w:r>
            <w:rPr>
              <w:rFonts w:ascii="宋体" w:eastAsia="宋体" w:hAnsi="宋体" w:cs="宋体"/>
              <w:spacing w:val="-34"/>
            </w:rPr>
            <w:t xml:space="preserve"> </w:t>
          </w:r>
          <w:r>
            <w:rPr>
              <w:rFonts w:ascii="宋体" w:eastAsia="宋体" w:hAnsi="宋体" w:cs="宋体"/>
            </w:rPr>
            <w:tab/>
          </w:r>
          <w:r>
            <w:rPr>
              <w:rFonts w:ascii="宋体" w:eastAsia="宋体" w:hAnsi="宋体" w:cs="宋体"/>
              <w:spacing w:val="-45"/>
            </w:rPr>
            <w:t xml:space="preserve"> </w:t>
          </w:r>
          <w:hyperlink w:anchor="_bookmark40" w:history="1">
            <w:r>
              <w:rPr>
                <w:rFonts w:ascii="宋体" w:eastAsia="宋体" w:hAnsi="宋体" w:cs="宋体"/>
                <w:spacing w:val="-6"/>
              </w:rPr>
              <w:t>171</w:t>
            </w:r>
          </w:hyperlink>
        </w:p>
        <w:p w:rsidR="00EA40A3" w:rsidRDefault="00E86C16">
          <w:pPr>
            <w:tabs>
              <w:tab w:val="right" w:leader="dot" w:pos="7247"/>
            </w:tabs>
            <w:spacing w:before="51" w:line="219" w:lineRule="auto"/>
            <w:ind w:left="396"/>
            <w:rPr>
              <w:rFonts w:ascii="宋体" w:eastAsia="宋体" w:hAnsi="宋体" w:cs="宋体"/>
            </w:rPr>
          </w:pPr>
          <w:r>
            <w:rPr>
              <w:rFonts w:ascii="宋体" w:eastAsia="宋体" w:hAnsi="宋体" w:cs="宋体"/>
              <w:spacing w:val="21"/>
            </w:rPr>
            <w:t>5.11</w:t>
          </w:r>
          <w:r>
            <w:rPr>
              <w:rFonts w:ascii="宋体" w:eastAsia="宋体" w:hAnsi="宋体" w:cs="宋体"/>
              <w:spacing w:val="4"/>
            </w:rPr>
            <w:t xml:space="preserve">  </w:t>
          </w:r>
          <w:r>
            <w:rPr>
              <w:rFonts w:ascii="宋体" w:eastAsia="宋体" w:hAnsi="宋体" w:cs="宋体"/>
              <w:spacing w:val="21"/>
            </w:rPr>
            <w:t>辅酶Q(泛醌)</w:t>
          </w:r>
          <w:r>
            <w:rPr>
              <w:rFonts w:ascii="宋体" w:eastAsia="宋体" w:hAnsi="宋体" w:cs="宋体"/>
            </w:rPr>
            <w:tab/>
          </w:r>
          <w:hyperlink w:anchor="_bookmark41" w:history="1">
            <w:r>
              <w:rPr>
                <w:rFonts w:ascii="宋体" w:eastAsia="宋体" w:hAnsi="宋体" w:cs="宋体"/>
                <w:spacing w:val="5"/>
              </w:rPr>
              <w:t>174</w:t>
            </w:r>
          </w:hyperlink>
        </w:p>
        <w:p w:rsidR="00EA40A3" w:rsidRDefault="00E86C16">
          <w:pPr>
            <w:tabs>
              <w:tab w:val="right" w:leader="dot" w:pos="7247"/>
            </w:tabs>
            <w:spacing w:before="56" w:line="215" w:lineRule="auto"/>
            <w:ind w:left="396"/>
            <w:rPr>
              <w:rFonts w:ascii="宋体" w:eastAsia="宋体" w:hAnsi="宋体" w:cs="宋体"/>
            </w:rPr>
          </w:pPr>
          <w:r>
            <w:rPr>
              <w:rFonts w:ascii="宋体" w:eastAsia="宋体" w:hAnsi="宋体" w:cs="宋体"/>
              <w:spacing w:val="6"/>
            </w:rPr>
            <w:t>5.12</w:t>
          </w:r>
          <w:r>
            <w:rPr>
              <w:rFonts w:ascii="宋体" w:eastAsia="宋体" w:hAnsi="宋体" w:cs="宋体"/>
              <w:spacing w:val="42"/>
            </w:rPr>
            <w:t xml:space="preserve"> </w:t>
          </w:r>
          <w:r>
            <w:rPr>
              <w:rFonts w:ascii="宋体" w:eastAsia="宋体" w:hAnsi="宋体" w:cs="宋体"/>
              <w:spacing w:val="6"/>
            </w:rPr>
            <w:t>y-氨基丁酸</w:t>
          </w:r>
          <w:r>
            <w:rPr>
              <w:rFonts w:ascii="宋体" w:eastAsia="宋体" w:hAnsi="宋体" w:cs="宋体"/>
              <w:spacing w:val="-33"/>
            </w:rPr>
            <w:t xml:space="preserve"> </w:t>
          </w:r>
          <w:r>
            <w:rPr>
              <w:rFonts w:ascii="宋体" w:eastAsia="宋体" w:hAnsi="宋体" w:cs="宋体"/>
            </w:rPr>
            <w:tab/>
          </w:r>
          <w:r>
            <w:rPr>
              <w:rFonts w:ascii="宋体" w:eastAsia="宋体" w:hAnsi="宋体" w:cs="宋体"/>
              <w:spacing w:val="-45"/>
            </w:rPr>
            <w:t xml:space="preserve"> </w:t>
          </w:r>
          <w:hyperlink w:anchor="_bookmark42" w:history="1">
            <w:r>
              <w:rPr>
                <w:rFonts w:ascii="宋体" w:eastAsia="宋体" w:hAnsi="宋体" w:cs="宋体"/>
                <w:spacing w:val="-6"/>
              </w:rPr>
              <w:t>175</w:t>
            </w:r>
          </w:hyperlink>
        </w:p>
        <w:p w:rsidR="00EA40A3" w:rsidRDefault="00E86C16">
          <w:pPr>
            <w:tabs>
              <w:tab w:val="right" w:leader="dot" w:pos="7247"/>
            </w:tabs>
            <w:spacing w:before="62" w:line="221" w:lineRule="auto"/>
            <w:ind w:left="396"/>
            <w:rPr>
              <w:rFonts w:ascii="宋体" w:eastAsia="宋体" w:hAnsi="宋体" w:cs="宋体"/>
            </w:rPr>
          </w:pPr>
          <w:r>
            <w:rPr>
              <w:rFonts w:ascii="宋体" w:eastAsia="宋体" w:hAnsi="宋体" w:cs="宋体"/>
              <w:spacing w:val="-3"/>
            </w:rPr>
            <w:t>5.13</w:t>
          </w:r>
          <w:r>
            <w:rPr>
              <w:rFonts w:ascii="宋体" w:eastAsia="宋体" w:hAnsi="宋体" w:cs="宋体"/>
              <w:spacing w:val="6"/>
            </w:rPr>
            <w:t xml:space="preserve">  </w:t>
          </w:r>
          <w:r>
            <w:rPr>
              <w:rFonts w:ascii="宋体" w:eastAsia="宋体" w:hAnsi="宋体" w:cs="宋体"/>
              <w:spacing w:val="-3"/>
            </w:rPr>
            <w:t>左旋肉碱</w:t>
          </w:r>
          <w:r>
            <w:rPr>
              <w:rFonts w:ascii="宋体" w:eastAsia="宋体" w:hAnsi="宋体" w:cs="宋体"/>
              <w:spacing w:val="-34"/>
            </w:rPr>
            <w:t xml:space="preserve"> </w:t>
          </w:r>
          <w:r>
            <w:rPr>
              <w:rFonts w:ascii="宋体" w:eastAsia="宋体" w:hAnsi="宋体" w:cs="宋体"/>
            </w:rPr>
            <w:tab/>
          </w:r>
          <w:r>
            <w:rPr>
              <w:rFonts w:ascii="宋体" w:eastAsia="宋体" w:hAnsi="宋体" w:cs="宋体"/>
              <w:spacing w:val="-55"/>
            </w:rPr>
            <w:t xml:space="preserve"> </w:t>
          </w:r>
          <w:hyperlink w:anchor="_bookmark43" w:history="1">
            <w:r>
              <w:rPr>
                <w:rFonts w:ascii="宋体" w:eastAsia="宋体" w:hAnsi="宋体" w:cs="宋体"/>
                <w:spacing w:val="-6"/>
              </w:rPr>
              <w:t>175</w:t>
            </w:r>
          </w:hyperlink>
        </w:p>
        <w:p w:rsidR="00EA40A3" w:rsidRDefault="00E86C16">
          <w:pPr>
            <w:tabs>
              <w:tab w:val="right" w:leader="dot" w:pos="7247"/>
            </w:tabs>
            <w:spacing w:before="48" w:line="220" w:lineRule="auto"/>
            <w:ind w:left="396"/>
            <w:rPr>
              <w:rFonts w:ascii="宋体" w:eastAsia="宋体" w:hAnsi="宋体" w:cs="宋体"/>
            </w:rPr>
          </w:pPr>
          <w:r>
            <w:rPr>
              <w:rFonts w:ascii="宋体" w:eastAsia="宋体" w:hAnsi="宋体" w:cs="宋体"/>
              <w:spacing w:val="1"/>
            </w:rPr>
            <w:t>5.14  肌醇</w:t>
          </w:r>
          <w:r>
            <w:rPr>
              <w:rFonts w:ascii="宋体" w:eastAsia="宋体" w:hAnsi="宋体" w:cs="宋体"/>
              <w:spacing w:val="-44"/>
            </w:rPr>
            <w:t xml:space="preserve"> </w:t>
          </w:r>
          <w:r>
            <w:rPr>
              <w:rFonts w:ascii="宋体" w:eastAsia="宋体" w:hAnsi="宋体" w:cs="宋体"/>
            </w:rPr>
            <w:tab/>
          </w:r>
          <w:r>
            <w:rPr>
              <w:rFonts w:ascii="宋体" w:eastAsia="宋体" w:hAnsi="宋体" w:cs="宋体"/>
              <w:spacing w:val="-55"/>
            </w:rPr>
            <w:t xml:space="preserve"> </w:t>
          </w:r>
          <w:hyperlink w:anchor="_bookmark44" w:history="1">
            <w:r>
              <w:rPr>
                <w:rFonts w:ascii="宋体" w:eastAsia="宋体" w:hAnsi="宋体" w:cs="宋体"/>
                <w:spacing w:val="-6"/>
              </w:rPr>
              <w:t>176</w:t>
            </w:r>
          </w:hyperlink>
        </w:p>
        <w:p w:rsidR="00EA40A3" w:rsidRDefault="00E86C16">
          <w:pPr>
            <w:tabs>
              <w:tab w:val="right" w:leader="dot" w:pos="7247"/>
            </w:tabs>
            <w:spacing w:before="59" w:line="220" w:lineRule="auto"/>
            <w:ind w:left="396"/>
            <w:rPr>
              <w:rFonts w:ascii="宋体" w:eastAsia="宋体" w:hAnsi="宋体" w:cs="宋体"/>
            </w:rPr>
          </w:pPr>
          <w:r>
            <w:rPr>
              <w:rFonts w:ascii="宋体" w:eastAsia="宋体" w:hAnsi="宋体" w:cs="宋体"/>
              <w:spacing w:val="-3"/>
            </w:rPr>
            <w:t>5.15</w:t>
          </w:r>
          <w:r>
            <w:rPr>
              <w:rFonts w:ascii="宋体" w:eastAsia="宋体" w:hAnsi="宋体" w:cs="宋体"/>
              <w:spacing w:val="4"/>
            </w:rPr>
            <w:t xml:space="preserve">  </w:t>
          </w:r>
          <w:r>
            <w:rPr>
              <w:rFonts w:ascii="宋体" w:eastAsia="宋体" w:hAnsi="宋体" w:cs="宋体"/>
              <w:spacing w:val="-3"/>
            </w:rPr>
            <w:t>其他功能成分</w:t>
          </w:r>
          <w:r>
            <w:rPr>
              <w:rFonts w:ascii="宋体" w:eastAsia="宋体" w:hAnsi="宋体" w:cs="宋体"/>
              <w:spacing w:val="-24"/>
            </w:rPr>
            <w:t xml:space="preserve"> </w:t>
          </w:r>
          <w:r>
            <w:rPr>
              <w:rFonts w:ascii="宋体" w:eastAsia="宋体" w:hAnsi="宋体" w:cs="宋体"/>
            </w:rPr>
            <w:tab/>
          </w:r>
          <w:r>
            <w:rPr>
              <w:rFonts w:ascii="宋体" w:eastAsia="宋体" w:hAnsi="宋体" w:cs="宋体"/>
              <w:spacing w:val="-55"/>
            </w:rPr>
            <w:t xml:space="preserve"> </w:t>
          </w:r>
          <w:hyperlink w:anchor="_bookmark45" w:history="1">
            <w:r>
              <w:rPr>
                <w:rFonts w:ascii="宋体" w:eastAsia="宋体" w:hAnsi="宋体" w:cs="宋体"/>
                <w:spacing w:val="-6"/>
              </w:rPr>
              <w:t>177</w:t>
            </w:r>
          </w:hyperlink>
        </w:p>
        <w:p w:rsidR="00EA40A3" w:rsidRDefault="00E86C16">
          <w:pPr>
            <w:tabs>
              <w:tab w:val="right" w:leader="dot" w:pos="7247"/>
            </w:tabs>
            <w:spacing w:before="60"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5"/>
            </w:rPr>
            <w:t xml:space="preserve"> </w:t>
          </w:r>
          <w:hyperlink w:anchor="_bookmark46" w:history="1">
            <w:r>
              <w:rPr>
                <w:rFonts w:ascii="宋体" w:eastAsia="宋体" w:hAnsi="宋体" w:cs="宋体"/>
                <w:spacing w:val="-6"/>
              </w:rPr>
              <w:t>178</w:t>
            </w:r>
          </w:hyperlink>
        </w:p>
        <w:p w:rsidR="00EA40A3" w:rsidRDefault="00E86C16">
          <w:pPr>
            <w:tabs>
              <w:tab w:val="right" w:leader="dot" w:pos="7247"/>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34"/>
            </w:rPr>
            <w:t xml:space="preserve"> </w:t>
          </w:r>
          <w:r>
            <w:rPr>
              <w:rFonts w:ascii="宋体" w:eastAsia="宋体" w:hAnsi="宋体" w:cs="宋体"/>
            </w:rPr>
            <w:tab/>
          </w:r>
          <w:hyperlink w:anchor="_bookmark47" w:history="1">
            <w:r>
              <w:rPr>
                <w:rFonts w:ascii="宋体" w:eastAsia="宋体" w:hAnsi="宋体" w:cs="宋体"/>
                <w:spacing w:val="5"/>
              </w:rPr>
              <w:t>178</w:t>
            </w:r>
          </w:hyperlink>
        </w:p>
        <w:p w:rsidR="00EA40A3" w:rsidRDefault="00E86C16">
          <w:pPr>
            <w:tabs>
              <w:tab w:val="right" w:leader="dot" w:pos="7255"/>
            </w:tabs>
            <w:spacing w:before="55" w:line="221" w:lineRule="auto"/>
            <w:rPr>
              <w:rFonts w:ascii="黑体" w:eastAsia="黑体" w:hAnsi="黑体" w:cs="黑体"/>
            </w:rPr>
          </w:pPr>
          <w:r>
            <w:rPr>
              <w:rFonts w:ascii="黑体" w:eastAsia="黑体" w:hAnsi="黑体" w:cs="黑体"/>
              <w:b/>
              <w:bCs/>
              <w:spacing w:val="-6"/>
            </w:rPr>
            <w:t>第</w:t>
          </w:r>
          <w:r>
            <w:rPr>
              <w:rFonts w:ascii="黑体" w:eastAsia="黑体" w:hAnsi="黑体" w:cs="黑体"/>
              <w:spacing w:val="-35"/>
            </w:rPr>
            <w:t xml:space="preserve"> </w:t>
          </w:r>
          <w:r>
            <w:rPr>
              <w:rFonts w:ascii="黑体" w:eastAsia="黑体" w:hAnsi="黑体" w:cs="黑体"/>
              <w:b/>
              <w:bCs/>
              <w:spacing w:val="-6"/>
            </w:rPr>
            <w:t>6</w:t>
          </w:r>
          <w:r>
            <w:rPr>
              <w:rFonts w:ascii="黑体" w:eastAsia="黑体" w:hAnsi="黑体" w:cs="黑体"/>
              <w:spacing w:val="-43"/>
            </w:rPr>
            <w:t xml:space="preserve"> </w:t>
          </w:r>
          <w:r>
            <w:rPr>
              <w:rFonts w:ascii="黑体" w:eastAsia="黑体" w:hAnsi="黑体" w:cs="黑体"/>
              <w:b/>
              <w:bCs/>
              <w:spacing w:val="-6"/>
            </w:rPr>
            <w:t>章</w:t>
          </w:r>
          <w:r>
            <w:rPr>
              <w:rFonts w:ascii="黑体" w:eastAsia="黑体" w:hAnsi="黑体" w:cs="黑体"/>
              <w:spacing w:val="83"/>
            </w:rPr>
            <w:t xml:space="preserve"> </w:t>
          </w:r>
          <w:r>
            <w:rPr>
              <w:rFonts w:ascii="黑体" w:eastAsia="黑体" w:hAnsi="黑体" w:cs="黑体"/>
              <w:b/>
              <w:bCs/>
              <w:spacing w:val="-6"/>
            </w:rPr>
            <w:t>各类食物的营养价值</w:t>
          </w:r>
          <w:r>
            <w:rPr>
              <w:rFonts w:ascii="黑体" w:eastAsia="黑体" w:hAnsi="黑体" w:cs="黑体"/>
              <w:spacing w:val="-36"/>
            </w:rPr>
            <w:t xml:space="preserve"> </w:t>
          </w:r>
          <w:r>
            <w:rPr>
              <w:rFonts w:ascii="黑体" w:eastAsia="黑体" w:hAnsi="黑体" w:cs="黑体"/>
              <w:b/>
              <w:bCs/>
            </w:rPr>
            <w:tab/>
          </w:r>
          <w:r>
            <w:rPr>
              <w:rFonts w:ascii="黑体" w:eastAsia="黑体" w:hAnsi="黑体" w:cs="黑体"/>
              <w:spacing w:val="-50"/>
            </w:rPr>
            <w:t xml:space="preserve"> </w:t>
          </w:r>
          <w:hyperlink w:anchor="_bookmark48" w:history="1">
            <w:r>
              <w:rPr>
                <w:rFonts w:ascii="黑体" w:eastAsia="黑体" w:hAnsi="黑体" w:cs="黑体"/>
                <w:b/>
                <w:bCs/>
                <w:spacing w:val="-7"/>
              </w:rPr>
              <w:t>180</w:t>
            </w:r>
          </w:hyperlink>
        </w:p>
        <w:p w:rsidR="00EA40A3" w:rsidRDefault="00E86C16">
          <w:pPr>
            <w:tabs>
              <w:tab w:val="right" w:leader="dot" w:pos="7247"/>
            </w:tabs>
            <w:spacing w:before="62" w:line="218" w:lineRule="auto"/>
            <w:ind w:left="396"/>
            <w:rPr>
              <w:rFonts w:ascii="宋体" w:eastAsia="宋体" w:hAnsi="宋体" w:cs="宋体"/>
            </w:rPr>
          </w:pPr>
          <w:r>
            <w:rPr>
              <w:rFonts w:ascii="宋体" w:eastAsia="宋体" w:hAnsi="宋体" w:cs="宋体"/>
              <w:spacing w:val="-2"/>
            </w:rPr>
            <w:t>6.1</w:t>
          </w:r>
          <w:r>
            <w:rPr>
              <w:rFonts w:ascii="宋体" w:eastAsia="宋体" w:hAnsi="宋体" w:cs="宋体"/>
              <w:spacing w:val="4"/>
            </w:rPr>
            <w:t xml:space="preserve">  </w:t>
          </w:r>
          <w:r>
            <w:rPr>
              <w:rFonts w:ascii="宋体" w:eastAsia="宋体" w:hAnsi="宋体" w:cs="宋体"/>
              <w:spacing w:val="-2"/>
            </w:rPr>
            <w:t>食物营养价值的评价</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54"/>
            </w:rPr>
            <w:t xml:space="preserve"> </w:t>
          </w:r>
          <w:hyperlink w:anchor="_bookmark49" w:history="1">
            <w:r>
              <w:rPr>
                <w:rFonts w:ascii="宋体" w:eastAsia="宋体" w:hAnsi="宋体" w:cs="宋体"/>
                <w:spacing w:val="-6"/>
              </w:rPr>
              <w:t>180</w:t>
            </w:r>
          </w:hyperlink>
        </w:p>
        <w:p w:rsidR="00EA40A3" w:rsidRDefault="00E86C16">
          <w:pPr>
            <w:tabs>
              <w:tab w:val="right" w:leader="dot" w:pos="7247"/>
            </w:tabs>
            <w:spacing w:before="62" w:line="218" w:lineRule="auto"/>
            <w:ind w:left="396"/>
            <w:rPr>
              <w:rFonts w:ascii="宋体" w:eastAsia="宋体" w:hAnsi="宋体" w:cs="宋体"/>
            </w:rPr>
          </w:pPr>
          <w:r>
            <w:rPr>
              <w:rFonts w:ascii="宋体" w:eastAsia="宋体" w:hAnsi="宋体" w:cs="宋体"/>
            </w:rPr>
            <w:t>6.2</w:t>
          </w:r>
          <w:r>
            <w:rPr>
              <w:rFonts w:ascii="宋体" w:eastAsia="宋体" w:hAnsi="宋体" w:cs="宋体"/>
              <w:spacing w:val="6"/>
            </w:rPr>
            <w:t xml:space="preserve">  </w:t>
          </w:r>
          <w:r>
            <w:rPr>
              <w:rFonts w:ascii="宋体" w:eastAsia="宋体" w:hAnsi="宋体" w:cs="宋体"/>
            </w:rPr>
            <w:t>谷类食品的营养价值</w:t>
          </w:r>
          <w:r>
            <w:rPr>
              <w:rFonts w:ascii="宋体" w:eastAsia="宋体" w:hAnsi="宋体" w:cs="宋体"/>
              <w:spacing w:val="-43"/>
            </w:rPr>
            <w:t xml:space="preserve"> </w:t>
          </w:r>
          <w:r>
            <w:rPr>
              <w:rFonts w:ascii="宋体" w:eastAsia="宋体" w:hAnsi="宋体" w:cs="宋体"/>
            </w:rPr>
            <w:tab/>
          </w:r>
          <w:r>
            <w:rPr>
              <w:rFonts w:ascii="宋体" w:eastAsia="宋体" w:hAnsi="宋体" w:cs="宋体"/>
              <w:spacing w:val="-54"/>
            </w:rPr>
            <w:t xml:space="preserve"> </w:t>
          </w:r>
          <w:hyperlink w:anchor="_bookmark50" w:history="1">
            <w:r>
              <w:rPr>
                <w:rFonts w:ascii="宋体" w:eastAsia="宋体" w:hAnsi="宋体" w:cs="宋体"/>
                <w:spacing w:val="-6"/>
              </w:rPr>
              <w:t>183</w:t>
            </w:r>
          </w:hyperlink>
        </w:p>
        <w:p w:rsidR="00EA40A3" w:rsidRDefault="00E86C16">
          <w:pPr>
            <w:tabs>
              <w:tab w:val="right" w:leader="dot" w:pos="7247"/>
            </w:tabs>
            <w:spacing w:before="52" w:line="218" w:lineRule="auto"/>
            <w:ind w:left="396"/>
            <w:rPr>
              <w:rFonts w:ascii="宋体" w:eastAsia="宋体" w:hAnsi="宋体" w:cs="宋体"/>
            </w:rPr>
          </w:pPr>
          <w:r>
            <w:rPr>
              <w:rFonts w:ascii="宋体" w:eastAsia="宋体" w:hAnsi="宋体" w:cs="宋体"/>
              <w:spacing w:val="-2"/>
            </w:rPr>
            <w:t>6.3</w:t>
          </w:r>
          <w:r>
            <w:rPr>
              <w:rFonts w:ascii="宋体" w:eastAsia="宋体" w:hAnsi="宋体" w:cs="宋体"/>
              <w:spacing w:val="107"/>
            </w:rPr>
            <w:t xml:space="preserve"> </w:t>
          </w:r>
          <w:r>
            <w:rPr>
              <w:rFonts w:ascii="宋体" w:eastAsia="宋体" w:hAnsi="宋体" w:cs="宋体"/>
              <w:spacing w:val="-2"/>
            </w:rPr>
            <w:t>豆类及坚果类的营养价值</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54"/>
            </w:rPr>
            <w:t xml:space="preserve"> </w:t>
          </w:r>
          <w:hyperlink w:anchor="_bookmark51" w:history="1">
            <w:r>
              <w:rPr>
                <w:rFonts w:ascii="宋体" w:eastAsia="宋体" w:hAnsi="宋体" w:cs="宋体"/>
                <w:spacing w:val="-6"/>
              </w:rPr>
              <w:t>192</w:t>
            </w:r>
          </w:hyperlink>
        </w:p>
        <w:p w:rsidR="00EA40A3" w:rsidRDefault="00E86C16">
          <w:pPr>
            <w:tabs>
              <w:tab w:val="right" w:leader="dot" w:pos="7247"/>
            </w:tabs>
            <w:spacing w:before="62" w:line="218" w:lineRule="auto"/>
            <w:ind w:left="396"/>
            <w:rPr>
              <w:rFonts w:ascii="宋体" w:eastAsia="宋体" w:hAnsi="宋体" w:cs="宋体"/>
            </w:rPr>
          </w:pPr>
          <w:r>
            <w:rPr>
              <w:rFonts w:ascii="宋体" w:eastAsia="宋体" w:hAnsi="宋体" w:cs="宋体"/>
              <w:spacing w:val="-1"/>
            </w:rPr>
            <w:t>6.4</w:t>
          </w:r>
          <w:r>
            <w:rPr>
              <w:rFonts w:ascii="宋体" w:eastAsia="宋体" w:hAnsi="宋体" w:cs="宋体"/>
              <w:spacing w:val="9"/>
            </w:rPr>
            <w:t xml:space="preserve">  </w:t>
          </w:r>
          <w:r>
            <w:rPr>
              <w:rFonts w:ascii="宋体" w:eastAsia="宋体" w:hAnsi="宋体" w:cs="宋体"/>
              <w:spacing w:val="-1"/>
            </w:rPr>
            <w:t>蔬菜、薯类和水果的营养价值</w:t>
          </w:r>
          <w:r>
            <w:rPr>
              <w:rFonts w:ascii="宋体" w:eastAsia="宋体" w:hAnsi="宋体" w:cs="宋体"/>
              <w:spacing w:val="-44"/>
            </w:rPr>
            <w:t xml:space="preserve"> </w:t>
          </w:r>
          <w:r>
            <w:rPr>
              <w:rFonts w:ascii="宋体" w:eastAsia="宋体" w:hAnsi="宋体" w:cs="宋体"/>
            </w:rPr>
            <w:tab/>
          </w:r>
          <w:r>
            <w:rPr>
              <w:rFonts w:ascii="宋体" w:eastAsia="宋体" w:hAnsi="宋体" w:cs="宋体"/>
              <w:spacing w:val="-54"/>
            </w:rPr>
            <w:t xml:space="preserve"> </w:t>
          </w:r>
          <w:hyperlink w:anchor="_bookmark52" w:history="1">
            <w:r>
              <w:rPr>
                <w:rFonts w:ascii="宋体" w:eastAsia="宋体" w:hAnsi="宋体" w:cs="宋体"/>
                <w:spacing w:val="-6"/>
              </w:rPr>
              <w:t>198</w:t>
            </w:r>
          </w:hyperlink>
        </w:p>
        <w:p w:rsidR="00EA40A3" w:rsidRDefault="00E86C16">
          <w:pPr>
            <w:tabs>
              <w:tab w:val="right" w:leader="dot" w:pos="7260"/>
            </w:tabs>
            <w:spacing w:before="52" w:line="218" w:lineRule="auto"/>
            <w:ind w:left="396"/>
            <w:rPr>
              <w:rFonts w:ascii="宋体" w:eastAsia="宋体" w:hAnsi="宋体" w:cs="宋体"/>
            </w:rPr>
          </w:pPr>
          <w:r>
            <w:rPr>
              <w:rFonts w:ascii="宋体" w:eastAsia="宋体" w:hAnsi="宋体" w:cs="宋体"/>
              <w:spacing w:val="-3"/>
            </w:rPr>
            <w:t>6.5</w:t>
          </w:r>
          <w:r>
            <w:rPr>
              <w:rFonts w:ascii="宋体" w:eastAsia="宋体" w:hAnsi="宋体" w:cs="宋体"/>
              <w:spacing w:val="18"/>
            </w:rPr>
            <w:t xml:space="preserve">  </w:t>
          </w:r>
          <w:r>
            <w:rPr>
              <w:rFonts w:ascii="宋体" w:eastAsia="宋体" w:hAnsi="宋体" w:cs="宋体"/>
              <w:spacing w:val="-3"/>
            </w:rPr>
            <w:t>肉类和水产品的营养价值</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55"/>
            </w:rPr>
            <w:t xml:space="preserve"> </w:t>
          </w:r>
          <w:hyperlink w:anchor="_bookmark53" w:history="1">
            <w:r>
              <w:rPr>
                <w:rFonts w:ascii="宋体" w:eastAsia="宋体" w:hAnsi="宋体" w:cs="宋体"/>
                <w:spacing w:val="-3"/>
              </w:rPr>
              <w:t>208</w:t>
            </w:r>
          </w:hyperlink>
        </w:p>
        <w:p w:rsidR="00EA40A3" w:rsidRDefault="00E86C16">
          <w:pPr>
            <w:tabs>
              <w:tab w:val="right" w:leader="dot" w:pos="7260"/>
            </w:tabs>
            <w:spacing w:before="62" w:line="218" w:lineRule="auto"/>
            <w:ind w:left="396"/>
            <w:rPr>
              <w:rFonts w:ascii="宋体" w:eastAsia="宋体" w:hAnsi="宋体" w:cs="宋体"/>
            </w:rPr>
          </w:pPr>
          <w:r>
            <w:rPr>
              <w:rFonts w:ascii="宋体" w:eastAsia="宋体" w:hAnsi="宋体" w:cs="宋体"/>
              <w:spacing w:val="-2"/>
            </w:rPr>
            <w:t>6.6</w:t>
          </w:r>
          <w:r>
            <w:rPr>
              <w:rFonts w:ascii="宋体" w:eastAsia="宋体" w:hAnsi="宋体" w:cs="宋体"/>
              <w:spacing w:val="5"/>
            </w:rPr>
            <w:t xml:space="preserve">  </w:t>
          </w:r>
          <w:r>
            <w:rPr>
              <w:rFonts w:ascii="宋体" w:eastAsia="宋体" w:hAnsi="宋体" w:cs="宋体"/>
              <w:spacing w:val="-2"/>
            </w:rPr>
            <w:t>乳和乳制品的营养价值</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55"/>
            </w:rPr>
            <w:t xml:space="preserve"> </w:t>
          </w:r>
          <w:hyperlink w:anchor="_bookmark54" w:history="1">
            <w:r>
              <w:rPr>
                <w:rFonts w:ascii="宋体" w:eastAsia="宋体" w:hAnsi="宋体" w:cs="宋体"/>
                <w:spacing w:val="-3"/>
              </w:rPr>
              <w:t>215</w:t>
            </w:r>
          </w:hyperlink>
        </w:p>
        <w:p w:rsidR="00EA40A3" w:rsidRDefault="00E86C16">
          <w:pPr>
            <w:tabs>
              <w:tab w:val="right" w:leader="dot" w:pos="7260"/>
            </w:tabs>
            <w:spacing w:before="42" w:line="218" w:lineRule="auto"/>
            <w:ind w:left="396"/>
            <w:rPr>
              <w:rFonts w:ascii="宋体" w:eastAsia="宋体" w:hAnsi="宋体" w:cs="宋体"/>
            </w:rPr>
          </w:pPr>
          <w:r>
            <w:rPr>
              <w:rFonts w:ascii="宋体" w:eastAsia="宋体" w:hAnsi="宋体" w:cs="宋体"/>
              <w:spacing w:val="-3"/>
            </w:rPr>
            <w:t>6.7</w:t>
          </w:r>
          <w:r>
            <w:rPr>
              <w:rFonts w:ascii="宋体" w:eastAsia="宋体" w:hAnsi="宋体" w:cs="宋体"/>
              <w:spacing w:val="9"/>
            </w:rPr>
            <w:t xml:space="preserve">  </w:t>
          </w:r>
          <w:r>
            <w:rPr>
              <w:rFonts w:ascii="宋体" w:eastAsia="宋体" w:hAnsi="宋体" w:cs="宋体"/>
              <w:spacing w:val="-3"/>
            </w:rPr>
            <w:t>蛋类的营养价值</w:t>
          </w:r>
          <w:r>
            <w:rPr>
              <w:rFonts w:ascii="宋体" w:eastAsia="宋体" w:hAnsi="宋体" w:cs="宋体"/>
              <w:spacing w:val="-19"/>
            </w:rPr>
            <w:t xml:space="preserve"> </w:t>
          </w:r>
          <w:r>
            <w:rPr>
              <w:rFonts w:ascii="宋体" w:eastAsia="宋体" w:hAnsi="宋体" w:cs="宋体"/>
            </w:rPr>
            <w:tab/>
          </w:r>
          <w:r>
            <w:rPr>
              <w:rFonts w:ascii="宋体" w:eastAsia="宋体" w:hAnsi="宋体" w:cs="宋体"/>
              <w:spacing w:val="-45"/>
            </w:rPr>
            <w:t xml:space="preserve"> </w:t>
          </w:r>
          <w:hyperlink w:anchor="_bookmark55" w:history="1">
            <w:r>
              <w:rPr>
                <w:rFonts w:ascii="宋体" w:eastAsia="宋体" w:hAnsi="宋体" w:cs="宋体"/>
                <w:spacing w:val="-3"/>
              </w:rPr>
              <w:t>221</w:t>
            </w:r>
          </w:hyperlink>
        </w:p>
        <w:p w:rsidR="00EA40A3" w:rsidRDefault="00E86C16">
          <w:pPr>
            <w:tabs>
              <w:tab w:val="right" w:leader="dot" w:pos="7260"/>
            </w:tabs>
            <w:spacing w:before="74"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6"/>
            </w:rPr>
            <w:t xml:space="preserve"> </w:t>
          </w:r>
          <w:hyperlink w:anchor="_bookmark56" w:history="1">
            <w:r>
              <w:rPr>
                <w:rFonts w:ascii="宋体" w:eastAsia="宋体" w:hAnsi="宋体" w:cs="宋体"/>
                <w:spacing w:val="-3"/>
              </w:rPr>
              <w:t>223</w:t>
            </w:r>
          </w:hyperlink>
        </w:p>
        <w:p w:rsidR="00EA40A3" w:rsidRDefault="00E86C16">
          <w:pPr>
            <w:tabs>
              <w:tab w:val="right" w:leader="dot" w:pos="7260"/>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14"/>
            </w:rPr>
            <w:t xml:space="preserve"> </w:t>
          </w:r>
          <w:r>
            <w:rPr>
              <w:rFonts w:ascii="宋体" w:eastAsia="宋体" w:hAnsi="宋体" w:cs="宋体"/>
            </w:rPr>
            <w:tab/>
          </w:r>
          <w:r>
            <w:rPr>
              <w:rFonts w:ascii="宋体" w:eastAsia="宋体" w:hAnsi="宋体" w:cs="宋体"/>
              <w:spacing w:val="-46"/>
            </w:rPr>
            <w:t xml:space="preserve"> </w:t>
          </w:r>
          <w:hyperlink w:anchor="_bookmark57" w:history="1">
            <w:r>
              <w:rPr>
                <w:rFonts w:ascii="宋体" w:eastAsia="宋体" w:hAnsi="宋体" w:cs="宋体"/>
                <w:spacing w:val="-3"/>
              </w:rPr>
              <w:t>224</w:t>
            </w:r>
          </w:hyperlink>
        </w:p>
        <w:p w:rsidR="00EA40A3" w:rsidRDefault="00E86C16">
          <w:pPr>
            <w:tabs>
              <w:tab w:val="right" w:leader="dot" w:pos="7267"/>
            </w:tabs>
            <w:spacing w:before="56" w:line="221" w:lineRule="auto"/>
            <w:rPr>
              <w:rFonts w:ascii="黑体" w:eastAsia="黑体" w:hAnsi="黑体" w:cs="黑体"/>
            </w:rPr>
          </w:pPr>
          <w:r>
            <w:rPr>
              <w:rFonts w:ascii="黑体" w:eastAsia="黑体" w:hAnsi="黑体" w:cs="黑体"/>
              <w:b/>
              <w:bCs/>
              <w:spacing w:val="-5"/>
            </w:rPr>
            <w:t>第</w:t>
          </w:r>
          <w:r>
            <w:rPr>
              <w:rFonts w:ascii="黑体" w:eastAsia="黑体" w:hAnsi="黑体" w:cs="黑体"/>
              <w:spacing w:val="-25"/>
            </w:rPr>
            <w:t xml:space="preserve"> </w:t>
          </w:r>
          <w:r>
            <w:rPr>
              <w:rFonts w:ascii="黑体" w:eastAsia="黑体" w:hAnsi="黑体" w:cs="黑体"/>
              <w:b/>
              <w:bCs/>
              <w:spacing w:val="-5"/>
            </w:rPr>
            <w:t>7</w:t>
          </w:r>
          <w:r>
            <w:rPr>
              <w:rFonts w:ascii="黑体" w:eastAsia="黑体" w:hAnsi="黑体" w:cs="黑体"/>
              <w:spacing w:val="-38"/>
            </w:rPr>
            <w:t xml:space="preserve"> </w:t>
          </w:r>
          <w:r>
            <w:rPr>
              <w:rFonts w:ascii="黑体" w:eastAsia="黑体" w:hAnsi="黑体" w:cs="黑体"/>
              <w:b/>
              <w:bCs/>
              <w:spacing w:val="-5"/>
            </w:rPr>
            <w:t>章</w:t>
          </w:r>
          <w:r>
            <w:rPr>
              <w:rFonts w:ascii="黑体" w:eastAsia="黑体" w:hAnsi="黑体" w:cs="黑体"/>
              <w:spacing w:val="83"/>
            </w:rPr>
            <w:t xml:space="preserve"> </w:t>
          </w:r>
          <w:r>
            <w:rPr>
              <w:rFonts w:ascii="黑体" w:eastAsia="黑体" w:hAnsi="黑体" w:cs="黑体"/>
              <w:b/>
              <w:bCs/>
              <w:spacing w:val="-5"/>
            </w:rPr>
            <w:t>储藏加工对食品营养价值的影响</w:t>
          </w:r>
          <w:r>
            <w:rPr>
              <w:rFonts w:ascii="黑体" w:eastAsia="黑体" w:hAnsi="黑体" w:cs="黑体"/>
              <w:spacing w:val="-49"/>
            </w:rPr>
            <w:t xml:space="preserve"> </w:t>
          </w:r>
          <w:r>
            <w:rPr>
              <w:rFonts w:ascii="黑体" w:eastAsia="黑体" w:hAnsi="黑体" w:cs="黑体"/>
              <w:b/>
              <w:bCs/>
            </w:rPr>
            <w:tab/>
          </w:r>
          <w:r>
            <w:rPr>
              <w:rFonts w:ascii="黑体" w:eastAsia="黑体" w:hAnsi="黑体" w:cs="黑体"/>
              <w:spacing w:val="-50"/>
            </w:rPr>
            <w:t xml:space="preserve"> </w:t>
          </w:r>
          <w:hyperlink w:anchor="_bookmark58" w:history="1">
            <w:r>
              <w:rPr>
                <w:rFonts w:ascii="黑体" w:eastAsia="黑体" w:hAnsi="黑体" w:cs="黑体"/>
                <w:b/>
                <w:bCs/>
                <w:spacing w:val="-5"/>
              </w:rPr>
              <w:t>225</w:t>
            </w:r>
          </w:hyperlink>
        </w:p>
        <w:p w:rsidR="00EA40A3" w:rsidRDefault="00E86C16">
          <w:pPr>
            <w:tabs>
              <w:tab w:val="right" w:leader="dot" w:pos="7260"/>
            </w:tabs>
            <w:spacing w:before="62" w:line="218" w:lineRule="auto"/>
            <w:ind w:left="396"/>
            <w:rPr>
              <w:rFonts w:ascii="宋体" w:eastAsia="宋体" w:hAnsi="宋体" w:cs="宋体"/>
            </w:rPr>
          </w:pPr>
          <w:r>
            <w:rPr>
              <w:rFonts w:ascii="宋体" w:eastAsia="宋体" w:hAnsi="宋体" w:cs="宋体"/>
              <w:spacing w:val="-2"/>
            </w:rPr>
            <w:t>7.1</w:t>
          </w:r>
          <w:r>
            <w:rPr>
              <w:rFonts w:ascii="宋体" w:eastAsia="宋体" w:hAnsi="宋体" w:cs="宋体"/>
              <w:spacing w:val="8"/>
            </w:rPr>
            <w:t xml:space="preserve">  </w:t>
          </w:r>
          <w:r>
            <w:rPr>
              <w:rFonts w:ascii="宋体" w:eastAsia="宋体" w:hAnsi="宋体" w:cs="宋体"/>
              <w:spacing w:val="-2"/>
            </w:rPr>
            <w:t>储藏对食品营养价值的影响</w:t>
          </w:r>
          <w:r>
            <w:rPr>
              <w:rFonts w:ascii="宋体" w:eastAsia="宋体" w:hAnsi="宋体" w:cs="宋体"/>
              <w:spacing w:val="-37"/>
            </w:rPr>
            <w:t xml:space="preserve"> </w:t>
          </w:r>
          <w:r>
            <w:rPr>
              <w:rFonts w:ascii="宋体" w:eastAsia="宋体" w:hAnsi="宋体" w:cs="宋体"/>
            </w:rPr>
            <w:tab/>
          </w:r>
          <w:r>
            <w:rPr>
              <w:rFonts w:ascii="宋体" w:eastAsia="宋体" w:hAnsi="宋体" w:cs="宋体"/>
              <w:spacing w:val="-55"/>
            </w:rPr>
            <w:t xml:space="preserve"> </w:t>
          </w:r>
          <w:hyperlink w:anchor="_bookmark59" w:history="1">
            <w:r>
              <w:rPr>
                <w:rFonts w:ascii="宋体" w:eastAsia="宋体" w:hAnsi="宋体" w:cs="宋体"/>
                <w:spacing w:val="-3"/>
              </w:rPr>
              <w:t>225</w:t>
            </w:r>
          </w:hyperlink>
        </w:p>
        <w:p w:rsidR="00EA40A3" w:rsidRDefault="00E86C16">
          <w:pPr>
            <w:tabs>
              <w:tab w:val="right" w:leader="dot" w:pos="7260"/>
            </w:tabs>
            <w:spacing w:before="62" w:line="218" w:lineRule="auto"/>
            <w:ind w:left="396"/>
            <w:rPr>
              <w:rFonts w:ascii="宋体" w:eastAsia="宋体" w:hAnsi="宋体" w:cs="宋体"/>
            </w:rPr>
          </w:pPr>
          <w:r>
            <w:rPr>
              <w:rFonts w:ascii="宋体" w:eastAsia="宋体" w:hAnsi="宋体" w:cs="宋体"/>
              <w:spacing w:val="-2"/>
            </w:rPr>
            <w:t>7.2</w:t>
          </w:r>
          <w:r>
            <w:rPr>
              <w:rFonts w:ascii="宋体" w:eastAsia="宋体" w:hAnsi="宋体" w:cs="宋体"/>
              <w:spacing w:val="110"/>
            </w:rPr>
            <w:t xml:space="preserve"> </w:t>
          </w:r>
          <w:r>
            <w:rPr>
              <w:rFonts w:ascii="宋体" w:eastAsia="宋体" w:hAnsi="宋体" w:cs="宋体"/>
              <w:spacing w:val="-2"/>
            </w:rPr>
            <w:t>加工对食品营养价值的影响</w:t>
          </w:r>
          <w:r>
            <w:rPr>
              <w:rFonts w:ascii="宋体" w:eastAsia="宋体" w:hAnsi="宋体" w:cs="宋体"/>
              <w:spacing w:val="-56"/>
            </w:rPr>
            <w:t xml:space="preserve"> </w:t>
          </w:r>
          <w:r>
            <w:rPr>
              <w:rFonts w:ascii="宋体" w:eastAsia="宋体" w:hAnsi="宋体" w:cs="宋体"/>
            </w:rPr>
            <w:tab/>
          </w:r>
          <w:r>
            <w:rPr>
              <w:rFonts w:ascii="宋体" w:eastAsia="宋体" w:hAnsi="宋体" w:cs="宋体"/>
              <w:spacing w:val="-55"/>
            </w:rPr>
            <w:t xml:space="preserve"> </w:t>
          </w:r>
          <w:hyperlink w:anchor="_bookmark60" w:history="1">
            <w:r>
              <w:rPr>
                <w:rFonts w:ascii="宋体" w:eastAsia="宋体" w:hAnsi="宋体" w:cs="宋体"/>
                <w:spacing w:val="-3"/>
              </w:rPr>
              <w:t>235</w:t>
            </w:r>
          </w:hyperlink>
        </w:p>
        <w:p w:rsidR="00EA40A3" w:rsidRDefault="00E86C16">
          <w:pPr>
            <w:tabs>
              <w:tab w:val="right" w:leader="dot" w:pos="7260"/>
            </w:tabs>
            <w:spacing w:before="52" w:line="218" w:lineRule="auto"/>
            <w:ind w:left="396"/>
            <w:rPr>
              <w:rFonts w:ascii="宋体" w:eastAsia="宋体" w:hAnsi="宋体" w:cs="宋体"/>
            </w:rPr>
          </w:pPr>
          <w:r>
            <w:rPr>
              <w:rFonts w:ascii="宋体" w:eastAsia="宋体" w:hAnsi="宋体" w:cs="宋体"/>
            </w:rPr>
            <w:t>7.3</w:t>
          </w:r>
          <w:r>
            <w:rPr>
              <w:rFonts w:ascii="宋体" w:eastAsia="宋体" w:hAnsi="宋体" w:cs="宋体"/>
              <w:spacing w:val="106"/>
            </w:rPr>
            <w:t xml:space="preserve"> </w:t>
          </w:r>
          <w:r>
            <w:rPr>
              <w:rFonts w:ascii="宋体" w:eastAsia="宋体" w:hAnsi="宋体" w:cs="宋体"/>
            </w:rPr>
            <w:t>烹调对食品营养价值的影响</w:t>
          </w:r>
          <w:r>
            <w:rPr>
              <w:rFonts w:ascii="宋体" w:eastAsia="宋体" w:hAnsi="宋体" w:cs="宋体"/>
              <w:spacing w:val="-52"/>
            </w:rPr>
            <w:t xml:space="preserve"> </w:t>
          </w:r>
          <w:r>
            <w:rPr>
              <w:rFonts w:ascii="宋体" w:eastAsia="宋体" w:hAnsi="宋体" w:cs="宋体"/>
            </w:rPr>
            <w:tab/>
          </w:r>
          <w:r>
            <w:rPr>
              <w:rFonts w:ascii="宋体" w:eastAsia="宋体" w:hAnsi="宋体" w:cs="宋体"/>
              <w:spacing w:val="-55"/>
            </w:rPr>
            <w:t xml:space="preserve"> </w:t>
          </w:r>
          <w:hyperlink w:anchor="_bookmark61" w:history="1">
            <w:r>
              <w:rPr>
                <w:rFonts w:ascii="宋体" w:eastAsia="宋体" w:hAnsi="宋体" w:cs="宋体"/>
                <w:spacing w:val="-3"/>
              </w:rPr>
              <w:t>247</w:t>
            </w:r>
          </w:hyperlink>
        </w:p>
        <w:p w:rsidR="00EA40A3" w:rsidRDefault="00E86C16">
          <w:pPr>
            <w:tabs>
              <w:tab w:val="right" w:leader="dot" w:pos="7260"/>
            </w:tabs>
            <w:spacing w:before="64"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6"/>
            </w:rPr>
            <w:t xml:space="preserve"> </w:t>
          </w:r>
          <w:hyperlink w:anchor="_bookmark62" w:history="1">
            <w:r>
              <w:rPr>
                <w:rFonts w:ascii="宋体" w:eastAsia="宋体" w:hAnsi="宋体" w:cs="宋体"/>
                <w:spacing w:val="-3"/>
              </w:rPr>
              <w:t>251</w:t>
            </w:r>
          </w:hyperlink>
        </w:p>
        <w:p w:rsidR="00EA40A3" w:rsidRDefault="00E86C16">
          <w:pPr>
            <w:tabs>
              <w:tab w:val="right" w:leader="dot" w:pos="7260"/>
            </w:tabs>
            <w:spacing w:before="4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34"/>
            </w:rPr>
            <w:t xml:space="preserve"> </w:t>
          </w:r>
          <w:r>
            <w:rPr>
              <w:rFonts w:ascii="宋体" w:eastAsia="宋体" w:hAnsi="宋体" w:cs="宋体"/>
            </w:rPr>
            <w:tab/>
          </w:r>
          <w:hyperlink w:anchor="_bookmark63" w:history="1">
            <w:r>
              <w:rPr>
                <w:rFonts w:ascii="宋体" w:eastAsia="宋体" w:hAnsi="宋体" w:cs="宋体"/>
                <w:spacing w:val="9"/>
              </w:rPr>
              <w:t>251</w:t>
            </w:r>
          </w:hyperlink>
        </w:p>
        <w:p w:rsidR="00EA40A3" w:rsidRDefault="00E86C16">
          <w:pPr>
            <w:tabs>
              <w:tab w:val="right" w:leader="dot" w:pos="7267"/>
            </w:tabs>
            <w:spacing w:before="55" w:line="221" w:lineRule="auto"/>
            <w:rPr>
              <w:rFonts w:ascii="黑体" w:eastAsia="黑体" w:hAnsi="黑体" w:cs="黑体"/>
            </w:rPr>
          </w:pPr>
          <w:r>
            <w:rPr>
              <w:rFonts w:ascii="黑体" w:eastAsia="黑体" w:hAnsi="黑体" w:cs="黑体"/>
              <w:b/>
              <w:bCs/>
              <w:spacing w:val="-6"/>
            </w:rPr>
            <w:t>第</w:t>
          </w:r>
          <w:r>
            <w:rPr>
              <w:rFonts w:ascii="黑体" w:eastAsia="黑体" w:hAnsi="黑体" w:cs="黑体"/>
              <w:spacing w:val="-35"/>
            </w:rPr>
            <w:t xml:space="preserve"> </w:t>
          </w:r>
          <w:r>
            <w:rPr>
              <w:rFonts w:ascii="黑体" w:eastAsia="黑体" w:hAnsi="黑体" w:cs="黑体"/>
              <w:b/>
              <w:bCs/>
              <w:spacing w:val="-6"/>
            </w:rPr>
            <w:t>8</w:t>
          </w:r>
          <w:r>
            <w:rPr>
              <w:rFonts w:ascii="黑体" w:eastAsia="黑体" w:hAnsi="黑体" w:cs="黑体"/>
              <w:spacing w:val="-33"/>
            </w:rPr>
            <w:t xml:space="preserve"> </w:t>
          </w:r>
          <w:r>
            <w:rPr>
              <w:rFonts w:ascii="黑体" w:eastAsia="黑体" w:hAnsi="黑体" w:cs="黑体"/>
              <w:b/>
              <w:bCs/>
              <w:spacing w:val="-6"/>
            </w:rPr>
            <w:t>章</w:t>
          </w:r>
          <w:r>
            <w:rPr>
              <w:rFonts w:ascii="黑体" w:eastAsia="黑体" w:hAnsi="黑体" w:cs="黑体"/>
              <w:spacing w:val="72"/>
            </w:rPr>
            <w:t xml:space="preserve"> </w:t>
          </w:r>
          <w:r>
            <w:rPr>
              <w:rFonts w:ascii="黑体" w:eastAsia="黑体" w:hAnsi="黑体" w:cs="黑体"/>
              <w:b/>
              <w:bCs/>
              <w:spacing w:val="-6"/>
            </w:rPr>
            <w:t>食品营养强化</w:t>
          </w:r>
          <w:r>
            <w:rPr>
              <w:rFonts w:ascii="黑体" w:eastAsia="黑体" w:hAnsi="黑体" w:cs="黑体"/>
              <w:spacing w:val="-26"/>
            </w:rPr>
            <w:t xml:space="preserve"> </w:t>
          </w:r>
          <w:r>
            <w:rPr>
              <w:rFonts w:ascii="黑体" w:eastAsia="黑体" w:hAnsi="黑体" w:cs="黑体"/>
              <w:b/>
              <w:bCs/>
            </w:rPr>
            <w:tab/>
          </w:r>
          <w:r>
            <w:rPr>
              <w:rFonts w:ascii="黑体" w:eastAsia="黑体" w:hAnsi="黑体" w:cs="黑体"/>
              <w:spacing w:val="-50"/>
            </w:rPr>
            <w:t xml:space="preserve"> </w:t>
          </w:r>
          <w:hyperlink w:anchor="_bookmark64" w:history="1">
            <w:r>
              <w:rPr>
                <w:rFonts w:ascii="黑体" w:eastAsia="黑体" w:hAnsi="黑体" w:cs="黑体"/>
                <w:b/>
                <w:bCs/>
                <w:spacing w:val="-5"/>
              </w:rPr>
              <w:t>253</w:t>
            </w:r>
          </w:hyperlink>
        </w:p>
        <w:p w:rsidR="00EA40A3" w:rsidRDefault="00E86C16">
          <w:pPr>
            <w:tabs>
              <w:tab w:val="right" w:leader="dot" w:pos="7260"/>
            </w:tabs>
            <w:spacing w:before="54" w:line="219" w:lineRule="auto"/>
            <w:ind w:left="396"/>
            <w:rPr>
              <w:rFonts w:ascii="宋体" w:eastAsia="宋体" w:hAnsi="宋体" w:cs="宋体"/>
            </w:rPr>
          </w:pPr>
          <w:r>
            <w:rPr>
              <w:rFonts w:ascii="宋体" w:eastAsia="宋体" w:hAnsi="宋体" w:cs="宋体"/>
              <w:spacing w:val="-2"/>
            </w:rPr>
            <w:t>8.1</w:t>
          </w:r>
          <w:r>
            <w:rPr>
              <w:rFonts w:ascii="宋体" w:eastAsia="宋体" w:hAnsi="宋体" w:cs="宋体"/>
              <w:spacing w:val="8"/>
            </w:rPr>
            <w:t xml:space="preserve">  </w:t>
          </w:r>
          <w:r>
            <w:rPr>
              <w:rFonts w:ascii="宋体" w:eastAsia="宋体" w:hAnsi="宋体" w:cs="宋体"/>
              <w:spacing w:val="-2"/>
            </w:rPr>
            <w:t>食品营养强化概述</w:t>
          </w:r>
          <w:r>
            <w:rPr>
              <w:rFonts w:ascii="宋体" w:eastAsia="宋体" w:hAnsi="宋体" w:cs="宋体"/>
              <w:spacing w:val="-25"/>
            </w:rPr>
            <w:t xml:space="preserve"> </w:t>
          </w:r>
          <w:r>
            <w:rPr>
              <w:rFonts w:ascii="宋体" w:eastAsia="宋体" w:hAnsi="宋体" w:cs="宋体"/>
            </w:rPr>
            <w:tab/>
          </w:r>
          <w:r>
            <w:rPr>
              <w:rFonts w:ascii="宋体" w:eastAsia="宋体" w:hAnsi="宋体" w:cs="宋体"/>
              <w:spacing w:val="-45"/>
            </w:rPr>
            <w:t xml:space="preserve"> </w:t>
          </w:r>
          <w:hyperlink w:anchor="_bookmark65" w:history="1">
            <w:r>
              <w:rPr>
                <w:rFonts w:ascii="宋体" w:eastAsia="宋体" w:hAnsi="宋体" w:cs="宋体"/>
                <w:spacing w:val="-3"/>
              </w:rPr>
              <w:t>253</w:t>
            </w:r>
          </w:hyperlink>
        </w:p>
      </w:sdtContent>
    </w:sdt>
    <w:p w:rsidR="00EA40A3" w:rsidRDefault="00E86C16">
      <w:pPr>
        <w:spacing w:before="84" w:line="214" w:lineRule="auto"/>
        <w:ind w:left="226"/>
        <w:rPr>
          <w:rFonts w:ascii="宋体" w:eastAsia="宋体" w:hAnsi="宋体" w:cs="宋体"/>
          <w:sz w:val="15"/>
          <w:szCs w:val="15"/>
        </w:rPr>
      </w:pPr>
      <w:r>
        <w:rPr>
          <w:rFonts w:ascii="宋体" w:eastAsia="宋体" w:hAnsi="宋体" w:cs="宋体"/>
          <w:spacing w:val="-18"/>
          <w:sz w:val="15"/>
          <w:szCs w:val="15"/>
        </w:rPr>
        <w:t>·</w:t>
      </w:r>
      <w:r>
        <w:rPr>
          <w:rFonts w:ascii="宋体" w:eastAsia="宋体" w:hAnsi="宋体" w:cs="宋体"/>
          <w:spacing w:val="13"/>
          <w:sz w:val="15"/>
          <w:szCs w:val="15"/>
        </w:rPr>
        <w:t xml:space="preserve"> </w:t>
      </w:r>
      <w:r>
        <w:rPr>
          <w:rFonts w:ascii="宋体" w:eastAsia="宋体" w:hAnsi="宋体" w:cs="宋体"/>
          <w:spacing w:val="-18"/>
          <w:sz w:val="15"/>
          <w:szCs w:val="15"/>
        </w:rPr>
        <w:t>jy</w:t>
      </w:r>
      <w:r>
        <w:rPr>
          <w:rFonts w:ascii="宋体" w:eastAsia="宋体" w:hAnsi="宋体" w:cs="宋体"/>
          <w:spacing w:val="58"/>
          <w:sz w:val="15"/>
          <w:szCs w:val="15"/>
        </w:rPr>
        <w:t xml:space="preserve"> </w:t>
      </w:r>
      <w:r>
        <w:rPr>
          <w:rFonts w:ascii="宋体" w:eastAsia="宋体" w:hAnsi="宋体" w:cs="宋体"/>
          <w:spacing w:val="-18"/>
          <w:sz w:val="15"/>
          <w:szCs w:val="15"/>
        </w:rPr>
        <w:t>·</w:t>
      </w:r>
    </w:p>
    <w:p w:rsidR="00EA40A3" w:rsidRDefault="00EA40A3">
      <w:pPr>
        <w:sectPr w:rsidR="00EA40A3">
          <w:footerReference w:type="default" r:id="rId14"/>
          <w:pgSz w:w="9360" w:h="13460"/>
          <w:pgMar w:top="400" w:right="1218" w:bottom="400" w:left="873" w:header="0" w:footer="0" w:gutter="0"/>
          <w:cols w:space="720"/>
        </w:sectPr>
      </w:pPr>
    </w:p>
    <w:p w:rsidR="00EA40A3" w:rsidRDefault="00EA40A3">
      <w:pPr>
        <w:spacing w:line="287" w:lineRule="auto"/>
      </w:pPr>
    </w:p>
    <w:p w:rsidR="00EA40A3" w:rsidRDefault="00EA40A3">
      <w:pPr>
        <w:spacing w:line="288" w:lineRule="auto"/>
      </w:pPr>
    </w:p>
    <w:bookmarkStart w:id="1" w:name="_bookmark5" w:displacedByCustomXml="next"/>
    <w:bookmarkEnd w:id="1" w:displacedByCustomXml="next"/>
    <w:sdt>
      <w:sdtPr>
        <w:rPr>
          <w:rFonts w:ascii="宋体" w:eastAsia="宋体" w:hAnsi="宋体" w:cs="宋体"/>
        </w:rPr>
        <w:id w:val="3"/>
        <w:docPartObj>
          <w:docPartGallery w:val="Table of Contents"/>
          <w:docPartUnique/>
        </w:docPartObj>
      </w:sdtPr>
      <w:sdtEndPr/>
      <w:sdtContent>
        <w:p w:rsidR="00EA40A3" w:rsidRDefault="00E86C16">
          <w:pPr>
            <w:tabs>
              <w:tab w:val="right" w:leader="dot" w:pos="7300"/>
            </w:tabs>
            <w:spacing w:before="68" w:line="219" w:lineRule="auto"/>
            <w:ind w:left="396"/>
            <w:rPr>
              <w:rFonts w:ascii="宋体" w:eastAsia="宋体" w:hAnsi="宋体" w:cs="宋体"/>
            </w:rPr>
          </w:pPr>
          <w:r>
            <w:rPr>
              <w:rFonts w:ascii="宋体" w:eastAsia="宋体" w:hAnsi="宋体" w:cs="宋体"/>
              <w:spacing w:val="-2"/>
            </w:rPr>
            <w:t>8.2</w:t>
          </w:r>
          <w:r>
            <w:rPr>
              <w:rFonts w:ascii="宋体" w:eastAsia="宋体" w:hAnsi="宋体" w:cs="宋体"/>
              <w:spacing w:val="6"/>
            </w:rPr>
            <w:t xml:space="preserve">  </w:t>
          </w:r>
          <w:r>
            <w:rPr>
              <w:rFonts w:ascii="宋体" w:eastAsia="宋体" w:hAnsi="宋体" w:cs="宋体"/>
              <w:spacing w:val="-2"/>
            </w:rPr>
            <w:t>食品营养强化的基本原则</w:t>
          </w:r>
          <w:r>
            <w:rPr>
              <w:rFonts w:ascii="宋体" w:eastAsia="宋体" w:hAnsi="宋体" w:cs="宋体"/>
              <w:spacing w:val="-55"/>
            </w:rPr>
            <w:t xml:space="preserve"> </w:t>
          </w:r>
          <w:r>
            <w:rPr>
              <w:rFonts w:ascii="宋体" w:eastAsia="宋体" w:hAnsi="宋体" w:cs="宋体"/>
            </w:rPr>
            <w:tab/>
          </w:r>
          <w:hyperlink w:anchor="_bookmark66" w:history="1">
            <w:r>
              <w:rPr>
                <w:rFonts w:ascii="宋体" w:eastAsia="宋体" w:hAnsi="宋体" w:cs="宋体"/>
                <w:spacing w:val="9"/>
              </w:rPr>
              <w:t>258</w:t>
            </w:r>
          </w:hyperlink>
        </w:p>
        <w:p w:rsidR="00EA40A3" w:rsidRDefault="00E86C16">
          <w:pPr>
            <w:tabs>
              <w:tab w:val="right" w:leader="dot" w:pos="7300"/>
            </w:tabs>
            <w:spacing w:before="62" w:line="219" w:lineRule="auto"/>
            <w:ind w:left="396"/>
            <w:rPr>
              <w:rFonts w:ascii="宋体" w:eastAsia="宋体" w:hAnsi="宋体" w:cs="宋体"/>
            </w:rPr>
          </w:pPr>
          <w:r>
            <w:rPr>
              <w:rFonts w:ascii="宋体" w:eastAsia="宋体" w:hAnsi="宋体" w:cs="宋体"/>
              <w:spacing w:val="-2"/>
            </w:rPr>
            <w:t>8.3</w:t>
          </w:r>
          <w:r>
            <w:rPr>
              <w:rFonts w:ascii="宋体" w:eastAsia="宋体" w:hAnsi="宋体" w:cs="宋体"/>
              <w:spacing w:val="3"/>
            </w:rPr>
            <w:t xml:space="preserve">  </w:t>
          </w:r>
          <w:r>
            <w:rPr>
              <w:rFonts w:ascii="宋体" w:eastAsia="宋体" w:hAnsi="宋体" w:cs="宋体"/>
              <w:spacing w:val="-2"/>
            </w:rPr>
            <w:t>食品营养强化技术</w:t>
          </w:r>
          <w:r>
            <w:rPr>
              <w:rFonts w:ascii="宋体" w:eastAsia="宋体" w:hAnsi="宋体" w:cs="宋体"/>
              <w:spacing w:val="-35"/>
            </w:rPr>
            <w:t xml:space="preserve"> </w:t>
          </w:r>
          <w:r>
            <w:rPr>
              <w:rFonts w:ascii="宋体" w:eastAsia="宋体" w:hAnsi="宋体" w:cs="宋体"/>
            </w:rPr>
            <w:tab/>
          </w:r>
          <w:hyperlink w:anchor="_bookmark67" w:history="1">
            <w:r>
              <w:rPr>
                <w:rFonts w:ascii="宋体" w:eastAsia="宋体" w:hAnsi="宋体" w:cs="宋体"/>
                <w:spacing w:val="9"/>
              </w:rPr>
              <w:t>260</w:t>
            </w:r>
          </w:hyperlink>
        </w:p>
        <w:p w:rsidR="00EA40A3" w:rsidRDefault="00E86C16">
          <w:pPr>
            <w:tabs>
              <w:tab w:val="right" w:leader="dot" w:pos="7300"/>
            </w:tabs>
            <w:spacing w:before="60" w:line="219" w:lineRule="auto"/>
            <w:ind w:left="396"/>
            <w:rPr>
              <w:rFonts w:ascii="宋体" w:eastAsia="宋体" w:hAnsi="宋体" w:cs="宋体"/>
            </w:rPr>
          </w:pPr>
          <w:r>
            <w:rPr>
              <w:rFonts w:ascii="宋体" w:eastAsia="宋体" w:hAnsi="宋体" w:cs="宋体"/>
              <w:spacing w:val="-2"/>
            </w:rPr>
            <w:t>8.4</w:t>
          </w:r>
          <w:r>
            <w:rPr>
              <w:rFonts w:ascii="宋体" w:eastAsia="宋体" w:hAnsi="宋体" w:cs="宋体"/>
              <w:spacing w:val="4"/>
            </w:rPr>
            <w:t xml:space="preserve">  </w:t>
          </w:r>
          <w:r>
            <w:rPr>
              <w:rFonts w:ascii="宋体" w:eastAsia="宋体" w:hAnsi="宋体" w:cs="宋体"/>
              <w:spacing w:val="-2"/>
            </w:rPr>
            <w:t>营养强化食品的种类和生产</w:t>
          </w:r>
          <w:r>
            <w:rPr>
              <w:rFonts w:ascii="宋体" w:eastAsia="宋体" w:hAnsi="宋体" w:cs="宋体"/>
              <w:spacing w:val="-49"/>
            </w:rPr>
            <w:t xml:space="preserve"> </w:t>
          </w:r>
          <w:r>
            <w:rPr>
              <w:rFonts w:ascii="宋体" w:eastAsia="宋体" w:hAnsi="宋体" w:cs="宋体"/>
            </w:rPr>
            <w:tab/>
          </w:r>
          <w:hyperlink w:anchor="_bookmark68" w:history="1">
            <w:r>
              <w:rPr>
                <w:rFonts w:ascii="宋体" w:eastAsia="宋体" w:hAnsi="宋体" w:cs="宋体"/>
                <w:spacing w:val="9"/>
              </w:rPr>
              <w:t>264</w:t>
            </w:r>
          </w:hyperlink>
        </w:p>
        <w:p w:rsidR="00EA40A3" w:rsidRDefault="00E86C16">
          <w:pPr>
            <w:tabs>
              <w:tab w:val="right" w:leader="dot" w:pos="7300"/>
            </w:tabs>
            <w:spacing w:before="40"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55"/>
            </w:rPr>
            <w:t xml:space="preserve"> </w:t>
          </w:r>
          <w:r>
            <w:rPr>
              <w:rFonts w:ascii="宋体" w:eastAsia="宋体" w:hAnsi="宋体" w:cs="宋体"/>
            </w:rPr>
            <w:tab/>
          </w:r>
          <w:r>
            <w:rPr>
              <w:rFonts w:ascii="宋体" w:eastAsia="宋体" w:hAnsi="宋体" w:cs="宋体"/>
              <w:spacing w:val="-53"/>
            </w:rPr>
            <w:t xml:space="preserve"> </w:t>
          </w:r>
          <w:hyperlink w:anchor="_bookmark69" w:history="1">
            <w:r>
              <w:rPr>
                <w:rFonts w:ascii="宋体" w:eastAsia="宋体" w:hAnsi="宋体" w:cs="宋体"/>
                <w:spacing w:val="-3"/>
              </w:rPr>
              <w:t>275</w:t>
            </w:r>
          </w:hyperlink>
        </w:p>
        <w:p w:rsidR="00EA40A3" w:rsidRDefault="00E86C16">
          <w:pPr>
            <w:tabs>
              <w:tab w:val="right" w:leader="dot" w:pos="7300"/>
            </w:tabs>
            <w:spacing w:before="7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24"/>
            </w:rPr>
            <w:t xml:space="preserve"> </w:t>
          </w:r>
          <w:r>
            <w:rPr>
              <w:rFonts w:ascii="宋体" w:eastAsia="宋体" w:hAnsi="宋体" w:cs="宋体"/>
            </w:rPr>
            <w:tab/>
          </w:r>
          <w:hyperlink w:anchor="_bookmark70" w:history="1">
            <w:r>
              <w:rPr>
                <w:rFonts w:ascii="宋体" w:eastAsia="宋体" w:hAnsi="宋体" w:cs="宋体"/>
                <w:spacing w:val="10"/>
              </w:rPr>
              <w:t>275</w:t>
            </w:r>
          </w:hyperlink>
        </w:p>
        <w:p w:rsidR="00EA40A3" w:rsidRDefault="00E86C16">
          <w:pPr>
            <w:tabs>
              <w:tab w:val="right" w:leader="dot" w:pos="7307"/>
            </w:tabs>
            <w:spacing w:before="47" w:line="222" w:lineRule="auto"/>
            <w:rPr>
              <w:rFonts w:ascii="黑体" w:eastAsia="黑体" w:hAnsi="黑体" w:cs="黑体"/>
            </w:rPr>
          </w:pPr>
          <w:r>
            <w:rPr>
              <w:rFonts w:ascii="黑体" w:eastAsia="黑体" w:hAnsi="黑体" w:cs="黑体"/>
              <w:b/>
              <w:bCs/>
              <w:spacing w:val="-6"/>
            </w:rPr>
            <w:t>第</w:t>
          </w:r>
          <w:r>
            <w:rPr>
              <w:rFonts w:ascii="黑体" w:eastAsia="黑体" w:hAnsi="黑体" w:cs="黑体"/>
              <w:spacing w:val="-50"/>
            </w:rPr>
            <w:t xml:space="preserve"> </w:t>
          </w:r>
          <w:r>
            <w:rPr>
              <w:rFonts w:ascii="黑体" w:eastAsia="黑体" w:hAnsi="黑体" w:cs="黑体"/>
              <w:b/>
              <w:bCs/>
              <w:spacing w:val="-6"/>
            </w:rPr>
            <w:t>9</w:t>
          </w:r>
          <w:r>
            <w:rPr>
              <w:rFonts w:ascii="黑体" w:eastAsia="黑体" w:hAnsi="黑体" w:cs="黑体"/>
              <w:spacing w:val="-44"/>
            </w:rPr>
            <w:t xml:space="preserve"> </w:t>
          </w:r>
          <w:r>
            <w:rPr>
              <w:rFonts w:ascii="黑体" w:eastAsia="黑体" w:hAnsi="黑体" w:cs="黑体"/>
              <w:b/>
              <w:bCs/>
              <w:spacing w:val="-6"/>
            </w:rPr>
            <w:t>章</w:t>
          </w:r>
          <w:r>
            <w:rPr>
              <w:rFonts w:ascii="黑体" w:eastAsia="黑体" w:hAnsi="黑体" w:cs="黑体"/>
              <w:spacing w:val="83"/>
            </w:rPr>
            <w:t xml:space="preserve"> </w:t>
          </w:r>
          <w:r>
            <w:rPr>
              <w:rFonts w:ascii="黑体" w:eastAsia="黑体" w:hAnsi="黑体" w:cs="黑体"/>
              <w:b/>
              <w:bCs/>
              <w:spacing w:val="-6"/>
            </w:rPr>
            <w:t>保健食品</w:t>
          </w:r>
          <w:r>
            <w:rPr>
              <w:rFonts w:ascii="黑体" w:eastAsia="黑体" w:hAnsi="黑体" w:cs="黑体"/>
              <w:spacing w:val="-49"/>
            </w:rPr>
            <w:t xml:space="preserve"> </w:t>
          </w:r>
          <w:r>
            <w:rPr>
              <w:rFonts w:ascii="黑体" w:eastAsia="黑体" w:hAnsi="黑体" w:cs="黑体"/>
              <w:b/>
              <w:bCs/>
            </w:rPr>
            <w:tab/>
          </w:r>
          <w:r>
            <w:rPr>
              <w:rFonts w:ascii="黑体" w:eastAsia="黑体" w:hAnsi="黑体" w:cs="黑体"/>
              <w:spacing w:val="-60"/>
            </w:rPr>
            <w:t xml:space="preserve"> </w:t>
          </w:r>
          <w:hyperlink w:anchor="_bookmark71" w:history="1">
            <w:r>
              <w:rPr>
                <w:rFonts w:ascii="黑体" w:eastAsia="黑体" w:hAnsi="黑体" w:cs="黑体"/>
                <w:b/>
                <w:bCs/>
                <w:spacing w:val="-5"/>
              </w:rPr>
              <w:t>277</w:t>
            </w:r>
          </w:hyperlink>
        </w:p>
        <w:p w:rsidR="00EA40A3" w:rsidRDefault="00E86C16">
          <w:pPr>
            <w:tabs>
              <w:tab w:val="right" w:leader="dot" w:pos="7300"/>
            </w:tabs>
            <w:spacing w:before="72" w:line="220" w:lineRule="auto"/>
            <w:ind w:left="396"/>
            <w:rPr>
              <w:rFonts w:ascii="宋体" w:eastAsia="宋体" w:hAnsi="宋体" w:cs="宋体"/>
            </w:rPr>
          </w:pPr>
          <w:r>
            <w:rPr>
              <w:rFonts w:ascii="宋体" w:eastAsia="宋体" w:hAnsi="宋体" w:cs="宋体"/>
              <w:spacing w:val="1"/>
            </w:rPr>
            <w:t>9.1</w:t>
          </w:r>
          <w:r>
            <w:rPr>
              <w:rFonts w:ascii="宋体" w:eastAsia="宋体" w:hAnsi="宋体" w:cs="宋体"/>
              <w:spacing w:val="103"/>
            </w:rPr>
            <w:t xml:space="preserve"> </w:t>
          </w:r>
          <w:r>
            <w:rPr>
              <w:rFonts w:ascii="宋体" w:eastAsia="宋体" w:hAnsi="宋体" w:cs="宋体"/>
              <w:spacing w:val="1"/>
            </w:rPr>
            <w:t>保健食品</w:t>
          </w:r>
          <w:r>
            <w:rPr>
              <w:rFonts w:ascii="宋体" w:eastAsia="宋体" w:hAnsi="宋体" w:cs="宋体"/>
              <w:spacing w:val="-56"/>
            </w:rPr>
            <w:t xml:space="preserve"> </w:t>
          </w:r>
          <w:r>
            <w:rPr>
              <w:rFonts w:ascii="宋体" w:eastAsia="宋体" w:hAnsi="宋体" w:cs="宋体"/>
            </w:rPr>
            <w:tab/>
          </w:r>
          <w:r>
            <w:rPr>
              <w:rFonts w:ascii="宋体" w:eastAsia="宋体" w:hAnsi="宋体" w:cs="宋体"/>
              <w:spacing w:val="-56"/>
            </w:rPr>
            <w:t xml:space="preserve"> </w:t>
          </w:r>
          <w:hyperlink w:anchor="_bookmark72" w:history="1">
            <w:r>
              <w:rPr>
                <w:rFonts w:ascii="宋体" w:eastAsia="宋体" w:hAnsi="宋体" w:cs="宋体"/>
                <w:spacing w:val="-3"/>
              </w:rPr>
              <w:t>277</w:t>
            </w:r>
          </w:hyperlink>
        </w:p>
        <w:p w:rsidR="00EA40A3" w:rsidRDefault="00E86C16">
          <w:pPr>
            <w:tabs>
              <w:tab w:val="right" w:leader="dot" w:pos="7300"/>
            </w:tabs>
            <w:spacing w:before="50" w:line="220" w:lineRule="auto"/>
            <w:ind w:left="396"/>
            <w:rPr>
              <w:rFonts w:ascii="宋体" w:eastAsia="宋体" w:hAnsi="宋体" w:cs="宋体"/>
            </w:rPr>
          </w:pPr>
          <w:r>
            <w:rPr>
              <w:rFonts w:ascii="宋体" w:eastAsia="宋体" w:hAnsi="宋体" w:cs="宋体"/>
              <w:spacing w:val="-2"/>
            </w:rPr>
            <w:t>9.2</w:t>
          </w:r>
          <w:r>
            <w:rPr>
              <w:rFonts w:ascii="宋体" w:eastAsia="宋体" w:hAnsi="宋体" w:cs="宋体"/>
              <w:spacing w:val="112"/>
            </w:rPr>
            <w:t xml:space="preserve"> </w:t>
          </w:r>
          <w:r>
            <w:rPr>
              <w:rFonts w:ascii="宋体" w:eastAsia="宋体" w:hAnsi="宋体" w:cs="宋体"/>
              <w:spacing w:val="-2"/>
            </w:rPr>
            <w:t>其他具有一定保健作用的食品</w:t>
          </w:r>
          <w:r>
            <w:rPr>
              <w:rFonts w:ascii="宋体" w:eastAsia="宋体" w:hAnsi="宋体" w:cs="宋体"/>
              <w:spacing w:val="-56"/>
            </w:rPr>
            <w:t xml:space="preserve"> </w:t>
          </w:r>
          <w:r>
            <w:rPr>
              <w:rFonts w:ascii="宋体" w:eastAsia="宋体" w:hAnsi="宋体" w:cs="宋体"/>
            </w:rPr>
            <w:tab/>
          </w:r>
          <w:r>
            <w:rPr>
              <w:rFonts w:ascii="宋体" w:eastAsia="宋体" w:hAnsi="宋体" w:cs="宋体"/>
              <w:spacing w:val="-56"/>
            </w:rPr>
            <w:t xml:space="preserve"> </w:t>
          </w:r>
          <w:hyperlink w:anchor="_bookmark73" w:history="1">
            <w:r>
              <w:rPr>
                <w:rFonts w:ascii="宋体" w:eastAsia="宋体" w:hAnsi="宋体" w:cs="宋体"/>
                <w:spacing w:val="-3"/>
              </w:rPr>
              <w:t>288</w:t>
            </w:r>
          </w:hyperlink>
        </w:p>
        <w:p w:rsidR="00EA40A3" w:rsidRDefault="00E86C16">
          <w:pPr>
            <w:tabs>
              <w:tab w:val="right" w:leader="dot" w:pos="7300"/>
            </w:tabs>
            <w:spacing w:before="49"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45"/>
            </w:rPr>
            <w:t xml:space="preserve"> </w:t>
          </w:r>
          <w:r>
            <w:rPr>
              <w:rFonts w:ascii="宋体" w:eastAsia="宋体" w:hAnsi="宋体" w:cs="宋体"/>
            </w:rPr>
            <w:tab/>
          </w:r>
          <w:hyperlink w:anchor="_bookmark74" w:history="1">
            <w:r>
              <w:rPr>
                <w:rFonts w:ascii="宋体" w:eastAsia="宋体" w:hAnsi="宋体" w:cs="宋体"/>
                <w:spacing w:val="10"/>
              </w:rPr>
              <w:t>295</w:t>
            </w:r>
          </w:hyperlink>
        </w:p>
        <w:p w:rsidR="00EA40A3" w:rsidRDefault="00E86C16">
          <w:pPr>
            <w:tabs>
              <w:tab w:val="right" w:leader="dot" w:pos="7300"/>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34"/>
            </w:rPr>
            <w:t xml:space="preserve"> </w:t>
          </w:r>
          <w:r>
            <w:rPr>
              <w:rFonts w:ascii="宋体" w:eastAsia="宋体" w:hAnsi="宋体" w:cs="宋体"/>
            </w:rPr>
            <w:tab/>
          </w:r>
          <w:r>
            <w:rPr>
              <w:rFonts w:ascii="宋体" w:eastAsia="宋体" w:hAnsi="宋体" w:cs="宋体"/>
              <w:spacing w:val="-53"/>
            </w:rPr>
            <w:t xml:space="preserve"> </w:t>
          </w:r>
          <w:hyperlink w:anchor="_bookmark75" w:history="1">
            <w:r>
              <w:rPr>
                <w:rFonts w:ascii="宋体" w:eastAsia="宋体" w:hAnsi="宋体" w:cs="宋体"/>
                <w:spacing w:val="-3"/>
              </w:rPr>
              <w:t>295</w:t>
            </w:r>
          </w:hyperlink>
        </w:p>
        <w:p w:rsidR="00EA40A3" w:rsidRDefault="00E86C16">
          <w:pPr>
            <w:tabs>
              <w:tab w:val="right" w:leader="dot" w:pos="7307"/>
            </w:tabs>
            <w:spacing w:before="66" w:line="221" w:lineRule="auto"/>
            <w:rPr>
              <w:rFonts w:ascii="黑体" w:eastAsia="黑体" w:hAnsi="黑体" w:cs="黑体"/>
            </w:rPr>
          </w:pPr>
          <w:r>
            <w:rPr>
              <w:rFonts w:ascii="黑体" w:eastAsia="黑体" w:hAnsi="黑体" w:cs="黑体"/>
              <w:b/>
              <w:bCs/>
              <w:spacing w:val="6"/>
            </w:rPr>
            <w:t>第10章</w:t>
          </w:r>
          <w:r>
            <w:rPr>
              <w:rFonts w:ascii="黑体" w:eastAsia="黑体" w:hAnsi="黑体" w:cs="黑体"/>
              <w:spacing w:val="76"/>
            </w:rPr>
            <w:t xml:space="preserve"> </w:t>
          </w:r>
          <w:r>
            <w:rPr>
              <w:rFonts w:ascii="黑体" w:eastAsia="黑体" w:hAnsi="黑体" w:cs="黑体"/>
              <w:b/>
              <w:bCs/>
              <w:spacing w:val="6"/>
            </w:rPr>
            <w:t>特殊人群的营养</w:t>
          </w:r>
          <w:r>
            <w:rPr>
              <w:rFonts w:ascii="黑体" w:eastAsia="黑体" w:hAnsi="黑体" w:cs="黑体"/>
              <w:spacing w:val="-28"/>
            </w:rPr>
            <w:t xml:space="preserve"> </w:t>
          </w:r>
          <w:r>
            <w:rPr>
              <w:rFonts w:ascii="黑体" w:eastAsia="黑体" w:hAnsi="黑体" w:cs="黑体"/>
              <w:b/>
              <w:bCs/>
            </w:rPr>
            <w:tab/>
          </w:r>
          <w:r>
            <w:rPr>
              <w:rFonts w:ascii="黑体" w:eastAsia="黑体" w:hAnsi="黑体" w:cs="黑体"/>
              <w:spacing w:val="-50"/>
            </w:rPr>
            <w:t xml:space="preserve"> </w:t>
          </w:r>
          <w:hyperlink w:anchor="_bookmark76" w:history="1">
            <w:r>
              <w:rPr>
                <w:rFonts w:ascii="黑体" w:eastAsia="黑体" w:hAnsi="黑体" w:cs="黑体"/>
                <w:b/>
                <w:bCs/>
                <w:spacing w:val="-5"/>
              </w:rPr>
              <w:t>296</w:t>
            </w:r>
          </w:hyperlink>
        </w:p>
        <w:p w:rsidR="00EA40A3" w:rsidRDefault="00E86C16">
          <w:pPr>
            <w:tabs>
              <w:tab w:val="right" w:leader="dot" w:pos="7300"/>
            </w:tabs>
            <w:spacing w:before="44" w:line="219" w:lineRule="auto"/>
            <w:ind w:left="396"/>
            <w:rPr>
              <w:rFonts w:ascii="宋体" w:eastAsia="宋体" w:hAnsi="宋体" w:cs="宋体"/>
            </w:rPr>
          </w:pPr>
          <w:r>
            <w:rPr>
              <w:rFonts w:ascii="宋体" w:eastAsia="宋体" w:hAnsi="宋体" w:cs="宋体"/>
              <w:spacing w:val="-2"/>
            </w:rPr>
            <w:t>10.1</w:t>
          </w:r>
          <w:r>
            <w:rPr>
              <w:rFonts w:ascii="宋体" w:eastAsia="宋体" w:hAnsi="宋体" w:cs="宋体"/>
              <w:spacing w:val="2"/>
            </w:rPr>
            <w:t xml:space="preserve">  </w:t>
          </w:r>
          <w:r>
            <w:rPr>
              <w:rFonts w:ascii="宋体" w:eastAsia="宋体" w:hAnsi="宋体" w:cs="宋体"/>
              <w:spacing w:val="-2"/>
            </w:rPr>
            <w:t>孕妇营养</w:t>
          </w:r>
          <w:r>
            <w:rPr>
              <w:rFonts w:ascii="宋体" w:eastAsia="宋体" w:hAnsi="宋体" w:cs="宋体"/>
              <w:spacing w:val="-34"/>
            </w:rPr>
            <w:t xml:space="preserve"> </w:t>
          </w:r>
          <w:r>
            <w:rPr>
              <w:rFonts w:ascii="宋体" w:eastAsia="宋体" w:hAnsi="宋体" w:cs="宋体"/>
            </w:rPr>
            <w:tab/>
          </w:r>
          <w:r>
            <w:rPr>
              <w:rFonts w:ascii="宋体" w:eastAsia="宋体" w:hAnsi="宋体" w:cs="宋体"/>
              <w:spacing w:val="-45"/>
            </w:rPr>
            <w:t xml:space="preserve"> </w:t>
          </w:r>
          <w:hyperlink w:anchor="_bookmark77" w:history="1">
            <w:r>
              <w:rPr>
                <w:rFonts w:ascii="宋体" w:eastAsia="宋体" w:hAnsi="宋体" w:cs="宋体"/>
                <w:spacing w:val="-3"/>
              </w:rPr>
              <w:t>296</w:t>
            </w:r>
          </w:hyperlink>
        </w:p>
        <w:p w:rsidR="00EA40A3" w:rsidRDefault="00E86C16">
          <w:pPr>
            <w:tabs>
              <w:tab w:val="right" w:leader="dot" w:pos="7299"/>
            </w:tabs>
            <w:spacing w:before="70" w:line="219" w:lineRule="auto"/>
            <w:ind w:left="396"/>
            <w:rPr>
              <w:rFonts w:ascii="宋体" w:eastAsia="宋体" w:hAnsi="宋体" w:cs="宋体"/>
            </w:rPr>
          </w:pPr>
          <w:r>
            <w:rPr>
              <w:rFonts w:ascii="宋体" w:eastAsia="宋体" w:hAnsi="宋体" w:cs="宋体"/>
              <w:spacing w:val="-4"/>
            </w:rPr>
            <w:t>10.2</w:t>
          </w:r>
          <w:r>
            <w:rPr>
              <w:rFonts w:ascii="宋体" w:eastAsia="宋体" w:hAnsi="宋体" w:cs="宋体"/>
              <w:spacing w:val="6"/>
            </w:rPr>
            <w:t xml:space="preserve">  </w:t>
          </w:r>
          <w:r>
            <w:rPr>
              <w:rFonts w:ascii="宋体" w:eastAsia="宋体" w:hAnsi="宋体" w:cs="宋体"/>
              <w:spacing w:val="-4"/>
            </w:rPr>
            <w:t>乳母营养和膳食</w:t>
          </w:r>
          <w:r>
            <w:rPr>
              <w:rFonts w:ascii="宋体" w:eastAsia="宋体" w:hAnsi="宋体" w:cs="宋体"/>
              <w:spacing w:val="-24"/>
            </w:rPr>
            <w:t xml:space="preserve"> </w:t>
          </w:r>
          <w:r>
            <w:rPr>
              <w:rFonts w:ascii="宋体" w:eastAsia="宋体" w:hAnsi="宋体" w:cs="宋体"/>
            </w:rPr>
            <w:tab/>
          </w:r>
          <w:r>
            <w:rPr>
              <w:rFonts w:ascii="宋体" w:eastAsia="宋体" w:hAnsi="宋体" w:cs="宋体"/>
              <w:spacing w:val="-55"/>
            </w:rPr>
            <w:t xml:space="preserve"> </w:t>
          </w:r>
          <w:hyperlink w:anchor="_bookmark78" w:history="1">
            <w:r>
              <w:rPr>
                <w:rFonts w:ascii="宋体" w:eastAsia="宋体" w:hAnsi="宋体" w:cs="宋体"/>
                <w:spacing w:val="-3"/>
              </w:rPr>
              <w:t>307</w:t>
            </w:r>
          </w:hyperlink>
        </w:p>
        <w:p w:rsidR="00EA40A3" w:rsidRDefault="00E86C16">
          <w:pPr>
            <w:tabs>
              <w:tab w:val="right" w:leader="dot" w:pos="7299"/>
            </w:tabs>
            <w:spacing w:before="41" w:line="219" w:lineRule="auto"/>
            <w:ind w:left="396"/>
            <w:rPr>
              <w:rFonts w:ascii="宋体" w:eastAsia="宋体" w:hAnsi="宋体" w:cs="宋体"/>
            </w:rPr>
          </w:pPr>
          <w:r>
            <w:rPr>
              <w:rFonts w:ascii="宋体" w:eastAsia="宋体" w:hAnsi="宋体" w:cs="宋体"/>
              <w:spacing w:val="-2"/>
            </w:rPr>
            <w:t>10.3</w:t>
          </w:r>
          <w:r>
            <w:rPr>
              <w:rFonts w:ascii="宋体" w:eastAsia="宋体" w:hAnsi="宋体" w:cs="宋体"/>
              <w:spacing w:val="107"/>
            </w:rPr>
            <w:t xml:space="preserve"> </w:t>
          </w:r>
          <w:r>
            <w:rPr>
              <w:rFonts w:ascii="宋体" w:eastAsia="宋体" w:hAnsi="宋体" w:cs="宋体"/>
              <w:spacing w:val="-2"/>
            </w:rPr>
            <w:t>婴幼儿营养和膳食</w:t>
          </w:r>
          <w:r>
            <w:rPr>
              <w:rFonts w:ascii="宋体" w:eastAsia="宋体" w:hAnsi="宋体" w:cs="宋体"/>
              <w:spacing w:val="-34"/>
            </w:rPr>
            <w:t xml:space="preserve"> </w:t>
          </w:r>
          <w:r>
            <w:rPr>
              <w:rFonts w:ascii="宋体" w:eastAsia="宋体" w:hAnsi="宋体" w:cs="宋体"/>
            </w:rPr>
            <w:tab/>
          </w:r>
          <w:r>
            <w:rPr>
              <w:rFonts w:ascii="宋体" w:eastAsia="宋体" w:hAnsi="宋体" w:cs="宋体"/>
              <w:spacing w:val="-45"/>
            </w:rPr>
            <w:t xml:space="preserve"> </w:t>
          </w:r>
          <w:hyperlink w:anchor="_bookmark79" w:history="1">
            <w:r>
              <w:rPr>
                <w:rFonts w:ascii="宋体" w:eastAsia="宋体" w:hAnsi="宋体" w:cs="宋体"/>
                <w:spacing w:val="-3"/>
              </w:rPr>
              <w:t>311</w:t>
            </w:r>
          </w:hyperlink>
        </w:p>
        <w:p w:rsidR="00EA40A3" w:rsidRDefault="00E86C16">
          <w:pPr>
            <w:tabs>
              <w:tab w:val="right" w:leader="dot" w:pos="7299"/>
            </w:tabs>
            <w:spacing w:before="70" w:line="219" w:lineRule="auto"/>
            <w:ind w:left="396"/>
            <w:rPr>
              <w:rFonts w:ascii="宋体" w:eastAsia="宋体" w:hAnsi="宋体" w:cs="宋体"/>
            </w:rPr>
          </w:pPr>
          <w:r>
            <w:rPr>
              <w:rFonts w:ascii="宋体" w:eastAsia="宋体" w:hAnsi="宋体" w:cs="宋体"/>
              <w:spacing w:val="-1"/>
            </w:rPr>
            <w:t>10.4</w:t>
          </w:r>
          <w:r>
            <w:rPr>
              <w:rFonts w:ascii="宋体" w:eastAsia="宋体" w:hAnsi="宋体" w:cs="宋体"/>
              <w:spacing w:val="98"/>
            </w:rPr>
            <w:t xml:space="preserve"> </w:t>
          </w:r>
          <w:r>
            <w:rPr>
              <w:rFonts w:ascii="宋体" w:eastAsia="宋体" w:hAnsi="宋体" w:cs="宋体"/>
              <w:spacing w:val="-1"/>
            </w:rPr>
            <w:t>儿童和青少年营养和膳食</w:t>
          </w:r>
          <w:r>
            <w:rPr>
              <w:rFonts w:ascii="宋体" w:eastAsia="宋体" w:hAnsi="宋体" w:cs="宋体"/>
              <w:spacing w:val="-44"/>
            </w:rPr>
            <w:t xml:space="preserve"> </w:t>
          </w:r>
          <w:r>
            <w:rPr>
              <w:rFonts w:ascii="宋体" w:eastAsia="宋体" w:hAnsi="宋体" w:cs="宋体"/>
            </w:rPr>
            <w:tab/>
          </w:r>
          <w:r>
            <w:rPr>
              <w:rFonts w:ascii="宋体" w:eastAsia="宋体" w:hAnsi="宋体" w:cs="宋体"/>
              <w:spacing w:val="-55"/>
            </w:rPr>
            <w:t xml:space="preserve"> </w:t>
          </w:r>
          <w:hyperlink w:anchor="_bookmark80" w:history="1">
            <w:r>
              <w:rPr>
                <w:rFonts w:ascii="宋体" w:eastAsia="宋体" w:hAnsi="宋体" w:cs="宋体"/>
                <w:spacing w:val="-3"/>
              </w:rPr>
              <w:t>322</w:t>
            </w:r>
          </w:hyperlink>
        </w:p>
        <w:p w:rsidR="00EA40A3" w:rsidRDefault="00E86C16">
          <w:pPr>
            <w:tabs>
              <w:tab w:val="right" w:leader="dot" w:pos="7299"/>
            </w:tabs>
            <w:spacing w:before="42" w:line="219" w:lineRule="auto"/>
            <w:ind w:left="396"/>
            <w:rPr>
              <w:rFonts w:ascii="宋体" w:eastAsia="宋体" w:hAnsi="宋体" w:cs="宋体"/>
            </w:rPr>
          </w:pPr>
          <w:r>
            <w:rPr>
              <w:rFonts w:ascii="宋体" w:eastAsia="宋体" w:hAnsi="宋体" w:cs="宋体"/>
              <w:spacing w:val="-4"/>
            </w:rPr>
            <w:t>10.5</w:t>
          </w:r>
          <w:r>
            <w:rPr>
              <w:rFonts w:ascii="宋体" w:eastAsia="宋体" w:hAnsi="宋体" w:cs="宋体"/>
              <w:spacing w:val="10"/>
            </w:rPr>
            <w:t xml:space="preserve">  </w:t>
          </w:r>
          <w:r>
            <w:rPr>
              <w:rFonts w:ascii="宋体" w:eastAsia="宋体" w:hAnsi="宋体" w:cs="宋体"/>
              <w:spacing w:val="-4"/>
            </w:rPr>
            <w:t>老年营养和膳食</w:t>
          </w:r>
          <w:r>
            <w:rPr>
              <w:rFonts w:ascii="宋体" w:eastAsia="宋体" w:hAnsi="宋体" w:cs="宋体"/>
              <w:spacing w:val="-42"/>
            </w:rPr>
            <w:t xml:space="preserve"> </w:t>
          </w:r>
          <w:r>
            <w:rPr>
              <w:rFonts w:ascii="宋体" w:eastAsia="宋体" w:hAnsi="宋体" w:cs="宋体"/>
            </w:rPr>
            <w:tab/>
          </w:r>
          <w:hyperlink w:anchor="_bookmark81" w:history="1">
            <w:r>
              <w:rPr>
                <w:rFonts w:ascii="宋体" w:eastAsia="宋体" w:hAnsi="宋体" w:cs="宋体"/>
                <w:spacing w:val="9"/>
              </w:rPr>
              <w:t>330</w:t>
            </w:r>
          </w:hyperlink>
        </w:p>
        <w:p w:rsidR="00EA40A3" w:rsidRDefault="00E86C16">
          <w:pPr>
            <w:tabs>
              <w:tab w:val="right" w:leader="dot" w:pos="7299"/>
            </w:tabs>
            <w:spacing w:before="71" w:line="219" w:lineRule="auto"/>
            <w:ind w:left="396"/>
            <w:rPr>
              <w:rFonts w:ascii="宋体" w:eastAsia="宋体" w:hAnsi="宋体" w:cs="宋体"/>
            </w:rPr>
          </w:pPr>
          <w:r>
            <w:rPr>
              <w:rFonts w:ascii="宋体" w:eastAsia="宋体" w:hAnsi="宋体" w:cs="宋体"/>
              <w:spacing w:val="-3"/>
            </w:rPr>
            <w:t>10.6</w:t>
          </w:r>
          <w:r>
            <w:rPr>
              <w:rFonts w:ascii="宋体" w:eastAsia="宋体" w:hAnsi="宋体" w:cs="宋体"/>
              <w:spacing w:val="104"/>
            </w:rPr>
            <w:t xml:space="preserve"> </w:t>
          </w:r>
          <w:r>
            <w:rPr>
              <w:rFonts w:ascii="宋体" w:eastAsia="宋体" w:hAnsi="宋体" w:cs="宋体"/>
              <w:spacing w:val="-3"/>
            </w:rPr>
            <w:t>运动员的营养和膳食</w:t>
          </w:r>
          <w:r>
            <w:rPr>
              <w:rFonts w:ascii="宋体" w:eastAsia="宋体" w:hAnsi="宋体" w:cs="宋体"/>
              <w:spacing w:val="-26"/>
            </w:rPr>
            <w:t xml:space="preserve"> </w:t>
          </w:r>
          <w:r>
            <w:rPr>
              <w:rFonts w:ascii="宋体" w:eastAsia="宋体" w:hAnsi="宋体" w:cs="宋体"/>
            </w:rPr>
            <w:tab/>
          </w:r>
          <w:r>
            <w:rPr>
              <w:rFonts w:ascii="宋体" w:eastAsia="宋体" w:hAnsi="宋体" w:cs="宋体"/>
              <w:spacing w:val="-55"/>
            </w:rPr>
            <w:t xml:space="preserve"> </w:t>
          </w:r>
          <w:hyperlink w:anchor="_bookmark82" w:history="1">
            <w:r>
              <w:rPr>
                <w:rFonts w:ascii="宋体" w:eastAsia="宋体" w:hAnsi="宋体" w:cs="宋体"/>
                <w:spacing w:val="-3"/>
              </w:rPr>
              <w:t>336</w:t>
            </w:r>
          </w:hyperlink>
        </w:p>
        <w:p w:rsidR="00EA40A3" w:rsidRDefault="00E86C16">
          <w:pPr>
            <w:tabs>
              <w:tab w:val="right" w:leader="dot" w:pos="7299"/>
            </w:tabs>
            <w:spacing w:before="51" w:line="219" w:lineRule="auto"/>
            <w:ind w:left="396"/>
            <w:rPr>
              <w:rFonts w:ascii="宋体" w:eastAsia="宋体" w:hAnsi="宋体" w:cs="宋体"/>
            </w:rPr>
          </w:pPr>
          <w:r>
            <w:rPr>
              <w:rFonts w:ascii="宋体" w:eastAsia="宋体" w:hAnsi="宋体" w:cs="宋体"/>
              <w:spacing w:val="-3"/>
            </w:rPr>
            <w:t>10.7</w:t>
          </w:r>
          <w:r>
            <w:rPr>
              <w:rFonts w:ascii="宋体" w:eastAsia="宋体" w:hAnsi="宋体" w:cs="宋体"/>
              <w:spacing w:val="3"/>
            </w:rPr>
            <w:t xml:space="preserve">  </w:t>
          </w:r>
          <w:r>
            <w:rPr>
              <w:rFonts w:ascii="宋体" w:eastAsia="宋体" w:hAnsi="宋体" w:cs="宋体"/>
              <w:spacing w:val="-3"/>
            </w:rPr>
            <w:t>特殊环境人群营养</w:t>
          </w:r>
          <w:r>
            <w:rPr>
              <w:rFonts w:ascii="宋体" w:eastAsia="宋体" w:hAnsi="宋体" w:cs="宋体"/>
              <w:spacing w:val="-36"/>
            </w:rPr>
            <w:t xml:space="preserve"> </w:t>
          </w:r>
          <w:r>
            <w:rPr>
              <w:rFonts w:ascii="宋体" w:eastAsia="宋体" w:hAnsi="宋体" w:cs="宋体"/>
            </w:rPr>
            <w:tab/>
          </w:r>
          <w:r>
            <w:rPr>
              <w:rFonts w:ascii="宋体" w:eastAsia="宋体" w:hAnsi="宋体" w:cs="宋体"/>
              <w:spacing w:val="-55"/>
            </w:rPr>
            <w:t xml:space="preserve"> </w:t>
          </w:r>
          <w:hyperlink w:anchor="_bookmark83" w:history="1">
            <w:r>
              <w:rPr>
                <w:rFonts w:ascii="宋体" w:eastAsia="宋体" w:hAnsi="宋体" w:cs="宋体"/>
                <w:spacing w:val="-3"/>
              </w:rPr>
              <w:t>344</w:t>
            </w:r>
          </w:hyperlink>
        </w:p>
        <w:p w:rsidR="00EA40A3" w:rsidRDefault="00E86C16">
          <w:pPr>
            <w:tabs>
              <w:tab w:val="right" w:leader="dot" w:pos="7299"/>
            </w:tabs>
            <w:spacing w:before="51"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45"/>
            </w:rPr>
            <w:t xml:space="preserve"> </w:t>
          </w:r>
          <w:r>
            <w:rPr>
              <w:rFonts w:ascii="宋体" w:eastAsia="宋体" w:hAnsi="宋体" w:cs="宋体"/>
            </w:rPr>
            <w:tab/>
          </w:r>
          <w:hyperlink w:anchor="_bookmark84" w:history="1">
            <w:r>
              <w:rPr>
                <w:rFonts w:ascii="宋体" w:eastAsia="宋体" w:hAnsi="宋体" w:cs="宋体"/>
                <w:spacing w:val="9"/>
              </w:rPr>
              <w:t>349</w:t>
            </w:r>
          </w:hyperlink>
        </w:p>
        <w:p w:rsidR="00EA40A3" w:rsidRDefault="00E86C16">
          <w:pPr>
            <w:tabs>
              <w:tab w:val="right" w:leader="dot" w:pos="7299"/>
            </w:tabs>
            <w:spacing w:before="6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14"/>
            </w:rPr>
            <w:t xml:space="preserve"> </w:t>
          </w:r>
          <w:r>
            <w:rPr>
              <w:rFonts w:ascii="宋体" w:eastAsia="宋体" w:hAnsi="宋体" w:cs="宋体"/>
            </w:rPr>
            <w:tab/>
          </w:r>
          <w:r>
            <w:rPr>
              <w:rFonts w:ascii="宋体" w:eastAsia="宋体" w:hAnsi="宋体" w:cs="宋体"/>
              <w:spacing w:val="-46"/>
            </w:rPr>
            <w:t xml:space="preserve"> </w:t>
          </w:r>
          <w:hyperlink w:anchor="_bookmark85" w:history="1">
            <w:r>
              <w:rPr>
                <w:rFonts w:ascii="宋体" w:eastAsia="宋体" w:hAnsi="宋体" w:cs="宋体"/>
                <w:spacing w:val="-3"/>
              </w:rPr>
              <w:t>349</w:t>
            </w:r>
          </w:hyperlink>
        </w:p>
        <w:p w:rsidR="00EA40A3" w:rsidRDefault="00E86C16">
          <w:pPr>
            <w:tabs>
              <w:tab w:val="right" w:leader="dot" w:pos="7305"/>
            </w:tabs>
            <w:spacing w:before="56" w:line="221" w:lineRule="auto"/>
            <w:rPr>
              <w:rFonts w:ascii="黑体" w:eastAsia="黑体" w:hAnsi="黑体" w:cs="黑体"/>
            </w:rPr>
          </w:pPr>
          <w:r>
            <w:rPr>
              <w:rFonts w:ascii="黑体" w:eastAsia="黑体" w:hAnsi="黑体" w:cs="黑体"/>
              <w:b/>
              <w:bCs/>
              <w:spacing w:val="6"/>
            </w:rPr>
            <w:t>第11章</w:t>
          </w:r>
          <w:r>
            <w:rPr>
              <w:rFonts w:ascii="黑体" w:eastAsia="黑体" w:hAnsi="黑体" w:cs="黑体"/>
              <w:spacing w:val="97"/>
            </w:rPr>
            <w:t xml:space="preserve"> </w:t>
          </w:r>
          <w:r>
            <w:rPr>
              <w:rFonts w:ascii="黑体" w:eastAsia="黑体" w:hAnsi="黑体" w:cs="黑体"/>
              <w:b/>
              <w:bCs/>
              <w:spacing w:val="6"/>
            </w:rPr>
            <w:t>膳食营养与健康</w:t>
          </w:r>
          <w:r>
            <w:rPr>
              <w:rFonts w:ascii="黑体" w:eastAsia="黑体" w:hAnsi="黑体" w:cs="黑体"/>
              <w:spacing w:val="-39"/>
            </w:rPr>
            <w:t xml:space="preserve"> </w:t>
          </w:r>
          <w:r>
            <w:rPr>
              <w:rFonts w:ascii="黑体" w:eastAsia="黑体" w:hAnsi="黑体" w:cs="黑体"/>
              <w:b/>
              <w:bCs/>
            </w:rPr>
            <w:tab/>
          </w:r>
          <w:r>
            <w:rPr>
              <w:rFonts w:ascii="黑体" w:eastAsia="黑体" w:hAnsi="黑体" w:cs="黑体"/>
              <w:spacing w:val="-50"/>
            </w:rPr>
            <w:t xml:space="preserve"> </w:t>
          </w:r>
          <w:hyperlink w:anchor="_bookmark86" w:history="1">
            <w:r>
              <w:rPr>
                <w:rFonts w:ascii="黑体" w:eastAsia="黑体" w:hAnsi="黑体" w:cs="黑体"/>
                <w:b/>
                <w:bCs/>
                <w:spacing w:val="-5"/>
              </w:rPr>
              <w:t>351</w:t>
            </w:r>
          </w:hyperlink>
        </w:p>
        <w:p w:rsidR="00EA40A3" w:rsidRDefault="00E86C16">
          <w:pPr>
            <w:tabs>
              <w:tab w:val="right" w:leader="dot" w:pos="7299"/>
            </w:tabs>
            <w:spacing w:before="53" w:line="219" w:lineRule="auto"/>
            <w:ind w:left="396"/>
            <w:rPr>
              <w:rFonts w:ascii="宋体" w:eastAsia="宋体" w:hAnsi="宋体" w:cs="宋体"/>
            </w:rPr>
          </w:pPr>
          <w:r>
            <w:rPr>
              <w:rFonts w:ascii="宋体" w:eastAsia="宋体" w:hAnsi="宋体" w:cs="宋体"/>
              <w:spacing w:val="-2"/>
            </w:rPr>
            <w:t>11.1</w:t>
          </w:r>
          <w:r>
            <w:rPr>
              <w:rFonts w:ascii="宋体" w:eastAsia="宋体" w:hAnsi="宋体" w:cs="宋体"/>
              <w:spacing w:val="3"/>
            </w:rPr>
            <w:t xml:space="preserve">  </w:t>
          </w:r>
          <w:r>
            <w:rPr>
              <w:rFonts w:ascii="宋体" w:eastAsia="宋体" w:hAnsi="宋体" w:cs="宋体"/>
              <w:spacing w:val="-2"/>
            </w:rPr>
            <w:t>营养与免疫</w:t>
          </w:r>
          <w:r>
            <w:rPr>
              <w:rFonts w:ascii="宋体" w:eastAsia="宋体" w:hAnsi="宋体" w:cs="宋体"/>
              <w:spacing w:val="-35"/>
            </w:rPr>
            <w:t xml:space="preserve"> </w:t>
          </w:r>
          <w:r>
            <w:rPr>
              <w:rFonts w:ascii="宋体" w:eastAsia="宋体" w:hAnsi="宋体" w:cs="宋体"/>
            </w:rPr>
            <w:tab/>
          </w:r>
          <w:r>
            <w:rPr>
              <w:rFonts w:ascii="宋体" w:eastAsia="宋体" w:hAnsi="宋体" w:cs="宋体"/>
              <w:spacing w:val="-45"/>
            </w:rPr>
            <w:t xml:space="preserve"> </w:t>
          </w:r>
          <w:hyperlink w:anchor="_bookmark87" w:history="1">
            <w:r>
              <w:rPr>
                <w:rFonts w:ascii="宋体" w:eastAsia="宋体" w:hAnsi="宋体" w:cs="宋体"/>
                <w:spacing w:val="-3"/>
              </w:rPr>
              <w:t>351</w:t>
            </w:r>
          </w:hyperlink>
        </w:p>
        <w:p w:rsidR="00EA40A3" w:rsidRDefault="00E86C16">
          <w:pPr>
            <w:tabs>
              <w:tab w:val="right" w:leader="dot" w:pos="7299"/>
            </w:tabs>
            <w:spacing w:before="60" w:line="219" w:lineRule="auto"/>
            <w:ind w:left="396"/>
            <w:rPr>
              <w:rFonts w:ascii="宋体" w:eastAsia="宋体" w:hAnsi="宋体" w:cs="宋体"/>
            </w:rPr>
          </w:pPr>
          <w:r>
            <w:rPr>
              <w:rFonts w:ascii="宋体" w:eastAsia="宋体" w:hAnsi="宋体" w:cs="宋体"/>
              <w:spacing w:val="-1"/>
            </w:rPr>
            <w:t>11.2</w:t>
          </w:r>
          <w:r>
            <w:rPr>
              <w:rFonts w:ascii="宋体" w:eastAsia="宋体" w:hAnsi="宋体" w:cs="宋体"/>
              <w:spacing w:val="1"/>
            </w:rPr>
            <w:t xml:space="preserve">  </w:t>
          </w:r>
          <w:r>
            <w:rPr>
              <w:rFonts w:ascii="宋体" w:eastAsia="宋体" w:hAnsi="宋体" w:cs="宋体"/>
              <w:spacing w:val="-1"/>
            </w:rPr>
            <w:t>营养与自由基氧化损伤</w:t>
          </w:r>
          <w:r>
            <w:rPr>
              <w:rFonts w:ascii="宋体" w:eastAsia="宋体" w:hAnsi="宋体" w:cs="宋体"/>
              <w:spacing w:val="-54"/>
            </w:rPr>
            <w:t xml:space="preserve"> </w:t>
          </w:r>
          <w:r>
            <w:rPr>
              <w:rFonts w:ascii="宋体" w:eastAsia="宋体" w:hAnsi="宋体" w:cs="宋体"/>
            </w:rPr>
            <w:tab/>
          </w:r>
          <w:hyperlink w:anchor="_bookmark88" w:history="1">
            <w:r>
              <w:rPr>
                <w:rFonts w:ascii="宋体" w:eastAsia="宋体" w:hAnsi="宋体" w:cs="宋体"/>
                <w:spacing w:val="9"/>
              </w:rPr>
              <w:t>356</w:t>
            </w:r>
          </w:hyperlink>
        </w:p>
        <w:p w:rsidR="00EA40A3" w:rsidRDefault="00E86C16">
          <w:pPr>
            <w:tabs>
              <w:tab w:val="right" w:leader="dot" w:pos="7299"/>
            </w:tabs>
            <w:spacing w:before="50" w:line="219" w:lineRule="auto"/>
            <w:ind w:left="396"/>
            <w:rPr>
              <w:rFonts w:ascii="宋体" w:eastAsia="宋体" w:hAnsi="宋体" w:cs="宋体"/>
            </w:rPr>
          </w:pPr>
          <w:r>
            <w:rPr>
              <w:rFonts w:ascii="宋体" w:eastAsia="宋体" w:hAnsi="宋体" w:cs="宋体"/>
              <w:spacing w:val="-2"/>
            </w:rPr>
            <w:t>11.3</w:t>
          </w:r>
          <w:r>
            <w:rPr>
              <w:rFonts w:ascii="宋体" w:eastAsia="宋体" w:hAnsi="宋体" w:cs="宋体"/>
              <w:spacing w:val="100"/>
            </w:rPr>
            <w:t xml:space="preserve"> </w:t>
          </w:r>
          <w:r>
            <w:rPr>
              <w:rFonts w:ascii="宋体" w:eastAsia="宋体" w:hAnsi="宋体" w:cs="宋体"/>
              <w:spacing w:val="-2"/>
            </w:rPr>
            <w:t>营养与肥胖</w:t>
          </w:r>
          <w:r>
            <w:rPr>
              <w:rFonts w:ascii="宋体" w:eastAsia="宋体" w:hAnsi="宋体" w:cs="宋体"/>
              <w:spacing w:val="-43"/>
            </w:rPr>
            <w:t xml:space="preserve"> </w:t>
          </w:r>
          <w:r>
            <w:rPr>
              <w:rFonts w:ascii="宋体" w:eastAsia="宋体" w:hAnsi="宋体" w:cs="宋体"/>
            </w:rPr>
            <w:tab/>
          </w:r>
          <w:r>
            <w:rPr>
              <w:rFonts w:ascii="宋体" w:eastAsia="宋体" w:hAnsi="宋体" w:cs="宋体"/>
              <w:spacing w:val="-55"/>
            </w:rPr>
            <w:t xml:space="preserve"> </w:t>
          </w:r>
          <w:hyperlink w:anchor="_bookmark89" w:history="1">
            <w:r>
              <w:rPr>
                <w:rFonts w:ascii="宋体" w:eastAsia="宋体" w:hAnsi="宋体" w:cs="宋体"/>
                <w:spacing w:val="-3"/>
              </w:rPr>
              <w:t>358</w:t>
            </w:r>
          </w:hyperlink>
        </w:p>
        <w:p w:rsidR="00EA40A3" w:rsidRDefault="00E86C16">
          <w:pPr>
            <w:tabs>
              <w:tab w:val="right" w:leader="dot" w:pos="7299"/>
            </w:tabs>
            <w:spacing w:before="63" w:line="219" w:lineRule="auto"/>
            <w:ind w:left="396"/>
            <w:rPr>
              <w:rFonts w:ascii="宋体" w:eastAsia="宋体" w:hAnsi="宋体" w:cs="宋体"/>
            </w:rPr>
          </w:pPr>
          <w:r>
            <w:rPr>
              <w:rFonts w:ascii="宋体" w:eastAsia="宋体" w:hAnsi="宋体" w:cs="宋体"/>
              <w:spacing w:val="-5"/>
            </w:rPr>
            <w:t>11.4</w:t>
          </w:r>
          <w:r>
            <w:rPr>
              <w:rFonts w:ascii="宋体" w:eastAsia="宋体" w:hAnsi="宋体" w:cs="宋体"/>
              <w:spacing w:val="9"/>
            </w:rPr>
            <w:t xml:space="preserve">  </w:t>
          </w:r>
          <w:r>
            <w:rPr>
              <w:rFonts w:ascii="宋体" w:eastAsia="宋体" w:hAnsi="宋体" w:cs="宋体"/>
              <w:spacing w:val="-5"/>
            </w:rPr>
            <w:t>营养与肿瘤</w:t>
          </w:r>
          <w:r>
            <w:rPr>
              <w:rFonts w:ascii="宋体" w:eastAsia="宋体" w:hAnsi="宋体" w:cs="宋体"/>
              <w:spacing w:val="-20"/>
            </w:rPr>
            <w:t xml:space="preserve"> </w:t>
          </w:r>
          <w:r>
            <w:rPr>
              <w:rFonts w:ascii="宋体" w:eastAsia="宋体" w:hAnsi="宋体" w:cs="宋体"/>
            </w:rPr>
            <w:tab/>
          </w:r>
          <w:r>
            <w:rPr>
              <w:rFonts w:ascii="宋体" w:eastAsia="宋体" w:hAnsi="宋体" w:cs="宋体"/>
              <w:spacing w:val="-45"/>
            </w:rPr>
            <w:t xml:space="preserve"> </w:t>
          </w:r>
          <w:hyperlink w:anchor="_bookmark90" w:history="1">
            <w:r>
              <w:rPr>
                <w:rFonts w:ascii="宋体" w:eastAsia="宋体" w:hAnsi="宋体" w:cs="宋体"/>
                <w:spacing w:val="-3"/>
              </w:rPr>
              <w:t>363</w:t>
            </w:r>
          </w:hyperlink>
        </w:p>
        <w:p w:rsidR="00EA40A3" w:rsidRDefault="00E86C16">
          <w:pPr>
            <w:tabs>
              <w:tab w:val="right" w:leader="dot" w:pos="7299"/>
            </w:tabs>
            <w:spacing w:before="51" w:line="219" w:lineRule="auto"/>
            <w:ind w:left="396"/>
            <w:rPr>
              <w:rFonts w:ascii="宋体" w:eastAsia="宋体" w:hAnsi="宋体" w:cs="宋体"/>
            </w:rPr>
          </w:pPr>
          <w:r>
            <w:rPr>
              <w:rFonts w:ascii="宋体" w:eastAsia="宋体" w:hAnsi="宋体" w:cs="宋体"/>
              <w:spacing w:val="-4"/>
            </w:rPr>
            <w:t>11.5</w:t>
          </w:r>
          <w:r>
            <w:rPr>
              <w:rFonts w:ascii="宋体" w:eastAsia="宋体" w:hAnsi="宋体" w:cs="宋体"/>
              <w:spacing w:val="2"/>
            </w:rPr>
            <w:t xml:space="preserve">  </w:t>
          </w:r>
          <w:r>
            <w:rPr>
              <w:rFonts w:ascii="宋体" w:eastAsia="宋体" w:hAnsi="宋体" w:cs="宋体"/>
              <w:spacing w:val="-4"/>
            </w:rPr>
            <w:t>营养与高血压</w:t>
          </w:r>
          <w:r>
            <w:rPr>
              <w:rFonts w:ascii="宋体" w:eastAsia="宋体" w:hAnsi="宋体" w:cs="宋体"/>
              <w:spacing w:val="-30"/>
            </w:rPr>
            <w:t xml:space="preserve"> </w:t>
          </w:r>
          <w:r>
            <w:rPr>
              <w:rFonts w:ascii="宋体" w:eastAsia="宋体" w:hAnsi="宋体" w:cs="宋体"/>
            </w:rPr>
            <w:tab/>
          </w:r>
          <w:r>
            <w:rPr>
              <w:rFonts w:ascii="宋体" w:eastAsia="宋体" w:hAnsi="宋体" w:cs="宋体"/>
              <w:spacing w:val="-55"/>
            </w:rPr>
            <w:t xml:space="preserve"> </w:t>
          </w:r>
          <w:hyperlink w:anchor="_bookmark91" w:history="1">
            <w:r>
              <w:rPr>
                <w:rFonts w:ascii="宋体" w:eastAsia="宋体" w:hAnsi="宋体" w:cs="宋体"/>
                <w:spacing w:val="-3"/>
              </w:rPr>
              <w:t>366</w:t>
            </w:r>
          </w:hyperlink>
        </w:p>
        <w:p w:rsidR="00EA40A3" w:rsidRDefault="00E86C16">
          <w:pPr>
            <w:tabs>
              <w:tab w:val="right" w:leader="dot" w:pos="7299"/>
            </w:tabs>
            <w:spacing w:before="61" w:line="219" w:lineRule="auto"/>
            <w:ind w:left="396"/>
            <w:rPr>
              <w:rFonts w:ascii="宋体" w:eastAsia="宋体" w:hAnsi="宋体" w:cs="宋体"/>
            </w:rPr>
          </w:pPr>
          <w:r>
            <w:rPr>
              <w:rFonts w:ascii="宋体" w:eastAsia="宋体" w:hAnsi="宋体" w:cs="宋体"/>
            </w:rPr>
            <w:t>11.6</w:t>
          </w:r>
          <w:r>
            <w:rPr>
              <w:rFonts w:ascii="宋体" w:eastAsia="宋体" w:hAnsi="宋体" w:cs="宋体"/>
              <w:spacing w:val="98"/>
            </w:rPr>
            <w:t xml:space="preserve"> </w:t>
          </w:r>
          <w:r>
            <w:rPr>
              <w:rFonts w:ascii="宋体" w:eastAsia="宋体" w:hAnsi="宋体" w:cs="宋体"/>
            </w:rPr>
            <w:t>营养与心血管疾病</w:t>
          </w:r>
          <w:r>
            <w:rPr>
              <w:rFonts w:ascii="宋体" w:eastAsia="宋体" w:hAnsi="宋体" w:cs="宋体"/>
              <w:spacing w:val="-39"/>
            </w:rPr>
            <w:t xml:space="preserve"> </w:t>
          </w:r>
          <w:r>
            <w:rPr>
              <w:rFonts w:ascii="宋体" w:eastAsia="宋体" w:hAnsi="宋体" w:cs="宋体"/>
            </w:rPr>
            <w:tab/>
          </w:r>
          <w:r>
            <w:rPr>
              <w:rFonts w:ascii="宋体" w:eastAsia="宋体" w:hAnsi="宋体" w:cs="宋体"/>
              <w:spacing w:val="-45"/>
            </w:rPr>
            <w:t xml:space="preserve"> </w:t>
          </w:r>
          <w:hyperlink w:anchor="_bookmark92" w:history="1">
            <w:r>
              <w:rPr>
                <w:rFonts w:ascii="宋体" w:eastAsia="宋体" w:hAnsi="宋体" w:cs="宋体"/>
                <w:spacing w:val="-3"/>
              </w:rPr>
              <w:t>371</w:t>
            </w:r>
          </w:hyperlink>
        </w:p>
        <w:p w:rsidR="00EA40A3" w:rsidRDefault="00E86C16">
          <w:pPr>
            <w:tabs>
              <w:tab w:val="right" w:leader="dot" w:pos="7299"/>
            </w:tabs>
            <w:spacing w:before="50" w:line="219" w:lineRule="auto"/>
            <w:ind w:left="396"/>
            <w:rPr>
              <w:rFonts w:ascii="宋体" w:eastAsia="宋体" w:hAnsi="宋体" w:cs="宋体"/>
            </w:rPr>
          </w:pPr>
          <w:r>
            <w:rPr>
              <w:rFonts w:ascii="宋体" w:eastAsia="宋体" w:hAnsi="宋体" w:cs="宋体"/>
              <w:spacing w:val="-1"/>
            </w:rPr>
            <w:t>11.7</w:t>
          </w:r>
          <w:r>
            <w:rPr>
              <w:rFonts w:ascii="宋体" w:eastAsia="宋体" w:hAnsi="宋体" w:cs="宋体"/>
              <w:spacing w:val="1"/>
            </w:rPr>
            <w:t xml:space="preserve">  </w:t>
          </w:r>
          <w:r>
            <w:rPr>
              <w:rFonts w:ascii="宋体" w:eastAsia="宋体" w:hAnsi="宋体" w:cs="宋体"/>
              <w:spacing w:val="-1"/>
            </w:rPr>
            <w:t>营养与糖尿病</w:t>
          </w:r>
          <w:r>
            <w:rPr>
              <w:rFonts w:ascii="宋体" w:eastAsia="宋体" w:hAnsi="宋体" w:cs="宋体"/>
              <w:spacing w:val="-38"/>
            </w:rPr>
            <w:t xml:space="preserve"> </w:t>
          </w:r>
          <w:r>
            <w:rPr>
              <w:rFonts w:ascii="宋体" w:eastAsia="宋体" w:hAnsi="宋体" w:cs="宋体"/>
            </w:rPr>
            <w:tab/>
          </w:r>
          <w:r>
            <w:rPr>
              <w:rFonts w:ascii="宋体" w:eastAsia="宋体" w:hAnsi="宋体" w:cs="宋体"/>
              <w:spacing w:val="-45"/>
            </w:rPr>
            <w:t xml:space="preserve"> </w:t>
          </w:r>
          <w:hyperlink w:anchor="_bookmark93" w:history="1">
            <w:r>
              <w:rPr>
                <w:rFonts w:ascii="宋体" w:eastAsia="宋体" w:hAnsi="宋体" w:cs="宋体"/>
                <w:spacing w:val="-3"/>
              </w:rPr>
              <w:t>373</w:t>
            </w:r>
          </w:hyperlink>
        </w:p>
        <w:p w:rsidR="00EA40A3" w:rsidRDefault="00E86C16">
          <w:pPr>
            <w:tabs>
              <w:tab w:val="right" w:leader="dot" w:pos="7299"/>
            </w:tabs>
            <w:spacing w:before="71" w:line="219" w:lineRule="auto"/>
            <w:ind w:left="396"/>
            <w:rPr>
              <w:rFonts w:ascii="宋体" w:eastAsia="宋体" w:hAnsi="宋体" w:cs="宋体"/>
            </w:rPr>
          </w:pPr>
          <w:r>
            <w:rPr>
              <w:rFonts w:ascii="宋体" w:eastAsia="宋体" w:hAnsi="宋体" w:cs="宋体"/>
              <w:spacing w:val="-3"/>
            </w:rPr>
            <w:t>11.8</w:t>
          </w:r>
          <w:r>
            <w:rPr>
              <w:rFonts w:ascii="宋体" w:eastAsia="宋体" w:hAnsi="宋体" w:cs="宋体"/>
              <w:spacing w:val="104"/>
            </w:rPr>
            <w:t xml:space="preserve"> </w:t>
          </w:r>
          <w:r>
            <w:rPr>
              <w:rFonts w:ascii="宋体" w:eastAsia="宋体" w:hAnsi="宋体" w:cs="宋体"/>
              <w:spacing w:val="-3"/>
            </w:rPr>
            <w:t>膳食营养与基因表达</w:t>
          </w:r>
          <w:r>
            <w:rPr>
              <w:rFonts w:ascii="宋体" w:eastAsia="宋体" w:hAnsi="宋体" w:cs="宋体"/>
              <w:spacing w:val="-26"/>
            </w:rPr>
            <w:t xml:space="preserve"> </w:t>
          </w:r>
          <w:r>
            <w:rPr>
              <w:rFonts w:ascii="宋体" w:eastAsia="宋体" w:hAnsi="宋体" w:cs="宋体"/>
            </w:rPr>
            <w:tab/>
          </w:r>
          <w:r>
            <w:rPr>
              <w:rFonts w:ascii="宋体" w:eastAsia="宋体" w:hAnsi="宋体" w:cs="宋体"/>
              <w:spacing w:val="-55"/>
            </w:rPr>
            <w:t xml:space="preserve"> </w:t>
          </w:r>
          <w:hyperlink w:anchor="_bookmark94" w:history="1">
            <w:r>
              <w:rPr>
                <w:rFonts w:ascii="宋体" w:eastAsia="宋体" w:hAnsi="宋体" w:cs="宋体"/>
                <w:spacing w:val="-3"/>
              </w:rPr>
              <w:t>377</w:t>
            </w:r>
          </w:hyperlink>
        </w:p>
        <w:p w:rsidR="00EA40A3" w:rsidRDefault="00E86C16">
          <w:pPr>
            <w:tabs>
              <w:tab w:val="right" w:leader="dot" w:pos="7299"/>
            </w:tabs>
            <w:spacing w:before="51" w:line="219" w:lineRule="auto"/>
            <w:ind w:left="396"/>
            <w:rPr>
              <w:rFonts w:ascii="宋体" w:eastAsia="宋体" w:hAnsi="宋体" w:cs="宋体"/>
            </w:rPr>
          </w:pPr>
          <w:r>
            <w:rPr>
              <w:rFonts w:ascii="宋体" w:eastAsia="宋体" w:hAnsi="宋体" w:cs="宋体"/>
              <w:spacing w:val="3"/>
            </w:rPr>
            <w:t>思考题</w:t>
          </w:r>
          <w:r>
            <w:rPr>
              <w:rFonts w:ascii="宋体" w:eastAsia="宋体" w:hAnsi="宋体" w:cs="宋体"/>
              <w:spacing w:val="-45"/>
            </w:rPr>
            <w:t xml:space="preserve"> </w:t>
          </w:r>
          <w:r>
            <w:rPr>
              <w:rFonts w:ascii="宋体" w:eastAsia="宋体" w:hAnsi="宋体" w:cs="宋体"/>
            </w:rPr>
            <w:tab/>
          </w:r>
          <w:hyperlink w:anchor="_bookmark95" w:history="1">
            <w:r>
              <w:rPr>
                <w:rFonts w:ascii="宋体" w:eastAsia="宋体" w:hAnsi="宋体" w:cs="宋体"/>
                <w:spacing w:val="9"/>
              </w:rPr>
              <w:t>385</w:t>
            </w:r>
          </w:hyperlink>
        </w:p>
        <w:p w:rsidR="00EA40A3" w:rsidRDefault="00E86C16">
          <w:pPr>
            <w:tabs>
              <w:tab w:val="right" w:leader="dot" w:pos="7299"/>
            </w:tabs>
            <w:spacing w:before="51" w:line="219" w:lineRule="auto"/>
            <w:ind w:left="396"/>
            <w:rPr>
              <w:rFonts w:ascii="宋体" w:eastAsia="宋体" w:hAnsi="宋体" w:cs="宋体"/>
            </w:rPr>
          </w:pPr>
          <w:r>
            <w:rPr>
              <w:rFonts w:ascii="宋体" w:eastAsia="宋体" w:hAnsi="宋体" w:cs="宋体"/>
              <w:spacing w:val="-2"/>
            </w:rPr>
            <w:t>主要参考文献</w:t>
          </w:r>
          <w:r>
            <w:rPr>
              <w:rFonts w:ascii="宋体" w:eastAsia="宋体" w:hAnsi="宋体" w:cs="宋体"/>
              <w:spacing w:val="-14"/>
            </w:rPr>
            <w:t xml:space="preserve"> </w:t>
          </w:r>
          <w:r>
            <w:rPr>
              <w:rFonts w:ascii="宋体" w:eastAsia="宋体" w:hAnsi="宋体" w:cs="宋体"/>
            </w:rPr>
            <w:tab/>
          </w:r>
          <w:r>
            <w:rPr>
              <w:rFonts w:ascii="宋体" w:eastAsia="宋体" w:hAnsi="宋体" w:cs="宋体"/>
              <w:spacing w:val="-46"/>
            </w:rPr>
            <w:t xml:space="preserve"> </w:t>
          </w:r>
          <w:hyperlink w:anchor="_bookmark96" w:history="1">
            <w:r>
              <w:rPr>
                <w:rFonts w:ascii="宋体" w:eastAsia="宋体" w:hAnsi="宋体" w:cs="宋体"/>
                <w:spacing w:val="-3"/>
              </w:rPr>
              <w:t>386</w:t>
            </w:r>
          </w:hyperlink>
        </w:p>
        <w:p w:rsidR="00EA40A3" w:rsidRDefault="00E86C16">
          <w:pPr>
            <w:tabs>
              <w:tab w:val="right" w:leader="dot" w:pos="7305"/>
            </w:tabs>
            <w:spacing w:before="56" w:line="221" w:lineRule="auto"/>
            <w:rPr>
              <w:rFonts w:ascii="黑体" w:eastAsia="黑体" w:hAnsi="黑体" w:cs="黑体"/>
            </w:rPr>
          </w:pPr>
          <w:r>
            <w:rPr>
              <w:rFonts w:ascii="黑体" w:eastAsia="黑体" w:hAnsi="黑体" w:cs="黑体"/>
              <w:b/>
              <w:bCs/>
              <w:spacing w:val="12"/>
            </w:rPr>
            <w:t>第12章</w:t>
          </w:r>
          <w:r>
            <w:rPr>
              <w:rFonts w:ascii="黑体" w:eastAsia="黑体" w:hAnsi="黑体" w:cs="黑体"/>
              <w:spacing w:val="85"/>
            </w:rPr>
            <w:t xml:space="preserve"> </w:t>
          </w:r>
          <w:r>
            <w:rPr>
              <w:rFonts w:ascii="黑体" w:eastAsia="黑体" w:hAnsi="黑体" w:cs="黑体"/>
              <w:b/>
              <w:bCs/>
              <w:spacing w:val="12"/>
            </w:rPr>
            <w:t>社区营养</w:t>
          </w:r>
          <w:r>
            <w:rPr>
              <w:rFonts w:ascii="黑体" w:eastAsia="黑体" w:hAnsi="黑体" w:cs="黑体"/>
              <w:spacing w:val="-40"/>
            </w:rPr>
            <w:t xml:space="preserve"> </w:t>
          </w:r>
          <w:r>
            <w:rPr>
              <w:rFonts w:ascii="黑体" w:eastAsia="黑体" w:hAnsi="黑体" w:cs="黑体"/>
              <w:b/>
              <w:bCs/>
            </w:rPr>
            <w:tab/>
          </w:r>
          <w:r>
            <w:rPr>
              <w:rFonts w:ascii="黑体" w:eastAsia="黑体" w:hAnsi="黑体" w:cs="黑体"/>
              <w:spacing w:val="-50"/>
            </w:rPr>
            <w:t xml:space="preserve"> </w:t>
          </w:r>
          <w:hyperlink w:anchor="_bookmark97" w:history="1">
            <w:r>
              <w:rPr>
                <w:rFonts w:ascii="黑体" w:eastAsia="黑体" w:hAnsi="黑体" w:cs="黑体"/>
                <w:b/>
                <w:bCs/>
                <w:spacing w:val="-5"/>
              </w:rPr>
              <w:t>387</w:t>
            </w:r>
          </w:hyperlink>
        </w:p>
        <w:p w:rsidR="00EA40A3" w:rsidRDefault="00E86C16">
          <w:pPr>
            <w:tabs>
              <w:tab w:val="right" w:leader="dot" w:pos="7299"/>
            </w:tabs>
            <w:spacing w:before="54" w:line="219" w:lineRule="auto"/>
            <w:ind w:left="396"/>
            <w:rPr>
              <w:rFonts w:ascii="宋体" w:eastAsia="宋体" w:hAnsi="宋体" w:cs="宋体"/>
            </w:rPr>
          </w:pPr>
          <w:r>
            <w:rPr>
              <w:rFonts w:ascii="宋体" w:eastAsia="宋体" w:hAnsi="宋体" w:cs="宋体"/>
              <w:spacing w:val="-3"/>
            </w:rPr>
            <w:t>12.1</w:t>
          </w:r>
          <w:r>
            <w:rPr>
              <w:rFonts w:ascii="宋体" w:eastAsia="宋体" w:hAnsi="宋体" w:cs="宋体"/>
              <w:spacing w:val="105"/>
            </w:rPr>
            <w:t xml:space="preserve"> </w:t>
          </w:r>
          <w:r>
            <w:rPr>
              <w:rFonts w:ascii="宋体" w:eastAsia="宋体" w:hAnsi="宋体" w:cs="宋体"/>
              <w:spacing w:val="-3"/>
            </w:rPr>
            <w:t>营养监测</w:t>
          </w:r>
          <w:r>
            <w:rPr>
              <w:rFonts w:ascii="宋体" w:eastAsia="宋体" w:hAnsi="宋体" w:cs="宋体"/>
              <w:spacing w:val="-62"/>
            </w:rPr>
            <w:t xml:space="preserve"> </w:t>
          </w:r>
          <w:r>
            <w:rPr>
              <w:rFonts w:ascii="宋体" w:eastAsia="宋体" w:hAnsi="宋体" w:cs="宋体"/>
            </w:rPr>
            <w:tab/>
          </w:r>
          <w:hyperlink w:anchor="_bookmark98" w:history="1">
            <w:r>
              <w:rPr>
                <w:rFonts w:ascii="宋体" w:eastAsia="宋体" w:hAnsi="宋体" w:cs="宋体"/>
                <w:spacing w:val="9"/>
              </w:rPr>
              <w:t>387</w:t>
            </w:r>
          </w:hyperlink>
        </w:p>
        <w:p w:rsidR="00EA40A3" w:rsidRDefault="00E86C16">
          <w:pPr>
            <w:tabs>
              <w:tab w:val="right" w:leader="dot" w:pos="7299"/>
            </w:tabs>
            <w:spacing w:before="50" w:line="219" w:lineRule="auto"/>
            <w:ind w:left="396"/>
            <w:rPr>
              <w:rFonts w:ascii="宋体" w:eastAsia="宋体" w:hAnsi="宋体" w:cs="宋体"/>
            </w:rPr>
          </w:pPr>
          <w:r>
            <w:rPr>
              <w:rFonts w:ascii="宋体" w:eastAsia="宋体" w:hAnsi="宋体" w:cs="宋体"/>
              <w:spacing w:val="-2"/>
            </w:rPr>
            <w:t>12.2</w:t>
          </w:r>
          <w:r>
            <w:rPr>
              <w:rFonts w:ascii="宋体" w:eastAsia="宋体" w:hAnsi="宋体" w:cs="宋体"/>
              <w:spacing w:val="100"/>
            </w:rPr>
            <w:t xml:space="preserve"> </w:t>
          </w:r>
          <w:r>
            <w:rPr>
              <w:rFonts w:ascii="宋体" w:eastAsia="宋体" w:hAnsi="宋体" w:cs="宋体"/>
              <w:spacing w:val="-2"/>
            </w:rPr>
            <w:t>营养调查</w:t>
          </w:r>
          <w:r>
            <w:rPr>
              <w:rFonts w:ascii="宋体" w:eastAsia="宋体" w:hAnsi="宋体" w:cs="宋体"/>
              <w:spacing w:val="-45"/>
            </w:rPr>
            <w:t xml:space="preserve"> </w:t>
          </w:r>
          <w:r>
            <w:rPr>
              <w:rFonts w:ascii="宋体" w:eastAsia="宋体" w:hAnsi="宋体" w:cs="宋体"/>
            </w:rPr>
            <w:tab/>
          </w:r>
          <w:r>
            <w:rPr>
              <w:rFonts w:ascii="宋体" w:eastAsia="宋体" w:hAnsi="宋体" w:cs="宋体"/>
              <w:spacing w:val="-55"/>
            </w:rPr>
            <w:t xml:space="preserve"> </w:t>
          </w:r>
          <w:hyperlink w:anchor="_bookmark99" w:history="1">
            <w:r>
              <w:rPr>
                <w:rFonts w:ascii="宋体" w:eastAsia="宋体" w:hAnsi="宋体" w:cs="宋体"/>
                <w:spacing w:val="-3"/>
              </w:rPr>
              <w:t>394</w:t>
            </w:r>
          </w:hyperlink>
        </w:p>
        <w:p w:rsidR="00EA40A3" w:rsidRDefault="00E86C16">
          <w:pPr>
            <w:tabs>
              <w:tab w:val="right" w:leader="dot" w:pos="7304"/>
            </w:tabs>
            <w:spacing w:before="61" w:line="219" w:lineRule="auto"/>
            <w:ind w:left="396"/>
            <w:rPr>
              <w:rFonts w:ascii="宋体" w:eastAsia="宋体" w:hAnsi="宋体" w:cs="宋体"/>
            </w:rPr>
          </w:pPr>
          <w:r>
            <w:rPr>
              <w:rFonts w:ascii="宋体" w:eastAsia="宋体" w:hAnsi="宋体" w:cs="宋体"/>
              <w:spacing w:val="-1"/>
            </w:rPr>
            <w:t>12.3</w:t>
          </w:r>
          <w:r>
            <w:rPr>
              <w:rFonts w:ascii="宋体" w:eastAsia="宋体" w:hAnsi="宋体" w:cs="宋体"/>
              <w:spacing w:val="99"/>
            </w:rPr>
            <w:t xml:space="preserve"> </w:t>
          </w:r>
          <w:r>
            <w:rPr>
              <w:rFonts w:ascii="宋体" w:eastAsia="宋体" w:hAnsi="宋体" w:cs="宋体"/>
              <w:spacing w:val="-1"/>
            </w:rPr>
            <w:t>膳食营养素参考摄入量的制定与应用</w:t>
          </w:r>
          <w:r>
            <w:rPr>
              <w:rFonts w:ascii="宋体" w:eastAsia="宋体" w:hAnsi="宋体" w:cs="宋体"/>
              <w:spacing w:val="-50"/>
            </w:rPr>
            <w:t xml:space="preserve"> </w:t>
          </w:r>
          <w:r>
            <w:rPr>
              <w:rFonts w:ascii="宋体" w:eastAsia="宋体" w:hAnsi="宋体" w:cs="宋体"/>
            </w:rPr>
            <w:tab/>
          </w:r>
          <w:r>
            <w:rPr>
              <w:rFonts w:ascii="宋体" w:eastAsia="宋体" w:hAnsi="宋体" w:cs="宋体"/>
              <w:spacing w:val="-44"/>
            </w:rPr>
            <w:t xml:space="preserve"> </w:t>
          </w:r>
          <w:hyperlink w:anchor="_bookmark100" w:history="1">
            <w:r>
              <w:rPr>
                <w:rFonts w:ascii="宋体" w:eastAsia="宋体" w:hAnsi="宋体" w:cs="宋体"/>
                <w:spacing w:val="-2"/>
              </w:rPr>
              <w:t>401</w:t>
            </w:r>
          </w:hyperlink>
        </w:p>
        <w:p w:rsidR="00EA40A3" w:rsidRDefault="00E86C16">
          <w:pPr>
            <w:tabs>
              <w:tab w:val="right" w:leader="dot" w:pos="7304"/>
            </w:tabs>
            <w:spacing w:before="62" w:line="220" w:lineRule="auto"/>
            <w:ind w:left="396"/>
            <w:rPr>
              <w:rFonts w:ascii="宋体" w:eastAsia="宋体" w:hAnsi="宋体" w:cs="宋体"/>
            </w:rPr>
          </w:pPr>
          <w:r>
            <w:rPr>
              <w:rFonts w:ascii="宋体" w:eastAsia="宋体" w:hAnsi="宋体" w:cs="宋体"/>
              <w:spacing w:val="-3"/>
            </w:rPr>
            <w:t>12.4</w:t>
          </w:r>
          <w:r>
            <w:rPr>
              <w:rFonts w:ascii="宋体" w:eastAsia="宋体" w:hAnsi="宋体" w:cs="宋体"/>
              <w:spacing w:val="104"/>
            </w:rPr>
            <w:t xml:space="preserve"> </w:t>
          </w:r>
          <w:r>
            <w:rPr>
              <w:rFonts w:ascii="宋体" w:eastAsia="宋体" w:hAnsi="宋体" w:cs="宋体"/>
              <w:spacing w:val="-3"/>
            </w:rPr>
            <w:t>膳食结构与膳食指南</w:t>
          </w:r>
          <w:r>
            <w:rPr>
              <w:rFonts w:ascii="宋体" w:eastAsia="宋体" w:hAnsi="宋体" w:cs="宋体"/>
              <w:spacing w:val="-16"/>
            </w:rPr>
            <w:t xml:space="preserve"> </w:t>
          </w:r>
          <w:r>
            <w:rPr>
              <w:rFonts w:ascii="宋体" w:eastAsia="宋体" w:hAnsi="宋体" w:cs="宋体"/>
            </w:rPr>
            <w:tab/>
          </w:r>
          <w:r>
            <w:rPr>
              <w:rFonts w:ascii="宋体" w:eastAsia="宋体" w:hAnsi="宋体" w:cs="宋体"/>
              <w:spacing w:val="-45"/>
            </w:rPr>
            <w:t xml:space="preserve"> </w:t>
          </w:r>
          <w:hyperlink w:anchor="_bookmark101" w:history="1">
            <w:r>
              <w:rPr>
                <w:rFonts w:ascii="宋体" w:eastAsia="宋体" w:hAnsi="宋体" w:cs="宋体"/>
                <w:spacing w:val="-2"/>
              </w:rPr>
              <w:t>404</w:t>
            </w:r>
          </w:hyperlink>
        </w:p>
      </w:sdtContent>
    </w:sdt>
    <w:p w:rsidR="00EA40A3" w:rsidRDefault="00E86C16">
      <w:pPr>
        <w:spacing w:before="150" w:line="241" w:lineRule="auto"/>
        <w:ind w:right="184"/>
        <w:jc w:val="right"/>
        <w:rPr>
          <w:rFonts w:ascii="宋体" w:eastAsia="宋体" w:hAnsi="宋体" w:cs="宋体"/>
          <w:sz w:val="14"/>
          <w:szCs w:val="14"/>
        </w:rPr>
      </w:pPr>
      <w:r>
        <w:rPr>
          <w:rFonts w:ascii="宋体" w:eastAsia="宋体" w:hAnsi="宋体" w:cs="宋体"/>
          <w:spacing w:val="-19"/>
          <w:sz w:val="14"/>
          <w:szCs w:val="14"/>
        </w:rPr>
        <w:t>·</w:t>
      </w:r>
      <w:r>
        <w:rPr>
          <w:rFonts w:ascii="宋体" w:eastAsia="宋体" w:hAnsi="宋体" w:cs="宋体"/>
          <w:spacing w:val="40"/>
          <w:w w:val="101"/>
          <w:sz w:val="14"/>
          <w:szCs w:val="14"/>
        </w:rPr>
        <w:t xml:space="preserve"> </w:t>
      </w:r>
      <w:r>
        <w:rPr>
          <w:rFonts w:ascii="宋体" w:eastAsia="宋体" w:hAnsi="宋体" w:cs="宋体"/>
          <w:spacing w:val="-19"/>
          <w:sz w:val="14"/>
          <w:szCs w:val="14"/>
        </w:rPr>
        <w:t>V</w:t>
      </w:r>
      <w:r>
        <w:rPr>
          <w:rFonts w:ascii="宋体" w:eastAsia="宋体" w:hAnsi="宋体" w:cs="宋体"/>
          <w:spacing w:val="11"/>
          <w:sz w:val="14"/>
          <w:szCs w:val="14"/>
        </w:rPr>
        <w:t xml:space="preserve">  </w:t>
      </w:r>
      <w:r>
        <w:rPr>
          <w:rFonts w:ascii="宋体" w:eastAsia="宋体" w:hAnsi="宋体" w:cs="宋体"/>
          <w:spacing w:val="-19"/>
          <w:sz w:val="14"/>
          <w:szCs w:val="14"/>
        </w:rPr>
        <w:t>·</w:t>
      </w:r>
    </w:p>
    <w:p w:rsidR="00EA40A3" w:rsidRDefault="00EA40A3">
      <w:pPr>
        <w:sectPr w:rsidR="00EA40A3">
          <w:pgSz w:w="9220" w:h="13360"/>
          <w:pgMar w:top="400" w:right="928" w:bottom="400" w:left="982" w:header="0" w:footer="0" w:gutter="0"/>
          <w:cols w:space="720"/>
        </w:sectPr>
      </w:pPr>
    </w:p>
    <w:p w:rsidR="00EA40A3" w:rsidRDefault="00EA40A3">
      <w:pPr>
        <w:spacing w:line="309" w:lineRule="auto"/>
      </w:pPr>
    </w:p>
    <w:p w:rsidR="00EA40A3" w:rsidRDefault="00EA40A3">
      <w:pPr>
        <w:spacing w:line="310" w:lineRule="auto"/>
      </w:pPr>
    </w:p>
    <w:sdt>
      <w:sdtPr>
        <w:rPr>
          <w:rFonts w:ascii="宋体" w:eastAsia="宋体" w:hAnsi="宋体" w:cs="宋体"/>
          <w:sz w:val="20"/>
          <w:szCs w:val="20"/>
        </w:rPr>
        <w:id w:val="4"/>
        <w:docPartObj>
          <w:docPartGallery w:val="Table of Contents"/>
          <w:docPartUnique/>
        </w:docPartObj>
      </w:sdtPr>
      <w:sdtEndPr>
        <w:rPr>
          <w:rFonts w:ascii="黑体" w:eastAsia="黑体" w:hAnsi="黑体" w:cs="黑体"/>
        </w:rPr>
      </w:sdtEndPr>
      <w:sdtContent>
        <w:p w:rsidR="00EA40A3" w:rsidRDefault="00E86C16">
          <w:pPr>
            <w:tabs>
              <w:tab w:val="right" w:leader="dot" w:pos="7272"/>
            </w:tabs>
            <w:spacing w:before="65" w:line="219" w:lineRule="auto"/>
            <w:ind w:left="419"/>
            <w:rPr>
              <w:rFonts w:ascii="宋体" w:eastAsia="宋体" w:hAnsi="宋体" w:cs="宋体"/>
              <w:sz w:val="20"/>
              <w:szCs w:val="20"/>
            </w:rPr>
          </w:pPr>
          <w:r>
            <w:rPr>
              <w:rFonts w:ascii="宋体" w:eastAsia="宋体" w:hAnsi="宋体" w:cs="宋体"/>
              <w:spacing w:val="3"/>
              <w:sz w:val="20"/>
              <w:szCs w:val="20"/>
            </w:rPr>
            <w:t>12.5</w:t>
          </w:r>
          <w:r>
            <w:rPr>
              <w:rFonts w:ascii="宋体" w:eastAsia="宋体" w:hAnsi="宋体" w:cs="宋体"/>
              <w:spacing w:val="6"/>
              <w:sz w:val="20"/>
              <w:szCs w:val="20"/>
            </w:rPr>
            <w:t xml:space="preserve">  </w:t>
          </w:r>
          <w:r>
            <w:rPr>
              <w:rFonts w:ascii="宋体" w:eastAsia="宋体" w:hAnsi="宋体" w:cs="宋体"/>
              <w:spacing w:val="3"/>
              <w:sz w:val="20"/>
              <w:szCs w:val="20"/>
            </w:rPr>
            <w:t>食谱编制</w:t>
          </w:r>
          <w:r>
            <w:rPr>
              <w:rFonts w:ascii="宋体" w:eastAsia="宋体" w:hAnsi="宋体" w:cs="宋体"/>
              <w:spacing w:val="-48"/>
              <w:sz w:val="20"/>
              <w:szCs w:val="20"/>
            </w:rPr>
            <w:t xml:space="preserve"> </w:t>
          </w:r>
          <w:r>
            <w:rPr>
              <w:rFonts w:ascii="宋体" w:eastAsia="宋体" w:hAnsi="宋体" w:cs="宋体"/>
              <w:sz w:val="20"/>
              <w:szCs w:val="20"/>
            </w:rPr>
            <w:tab/>
          </w:r>
          <w:r>
            <w:rPr>
              <w:rFonts w:ascii="宋体" w:eastAsia="宋体" w:hAnsi="宋体" w:cs="宋体"/>
              <w:spacing w:val="-49"/>
              <w:sz w:val="20"/>
              <w:szCs w:val="20"/>
            </w:rPr>
            <w:t xml:space="preserve"> </w:t>
          </w:r>
          <w:hyperlink w:anchor="_bookmark102" w:history="1">
            <w:r>
              <w:rPr>
                <w:rFonts w:ascii="宋体" w:eastAsia="宋体" w:hAnsi="宋体" w:cs="宋体"/>
                <w:spacing w:val="-2"/>
                <w:sz w:val="20"/>
                <w:szCs w:val="20"/>
              </w:rPr>
              <w:t>410</w:t>
            </w:r>
          </w:hyperlink>
        </w:p>
        <w:p w:rsidR="00EA40A3" w:rsidRDefault="00E86C16">
          <w:pPr>
            <w:tabs>
              <w:tab w:val="right" w:leader="dot" w:pos="7275"/>
            </w:tabs>
            <w:spacing w:before="49" w:line="219" w:lineRule="auto"/>
            <w:ind w:left="422"/>
            <w:rPr>
              <w:rFonts w:ascii="宋体" w:eastAsia="宋体" w:hAnsi="宋体" w:cs="宋体"/>
              <w:sz w:val="20"/>
              <w:szCs w:val="20"/>
            </w:rPr>
          </w:pPr>
          <w:r>
            <w:rPr>
              <w:rFonts w:ascii="宋体" w:eastAsia="宋体" w:hAnsi="宋体" w:cs="宋体"/>
              <w:b/>
              <w:bCs/>
              <w:spacing w:val="2"/>
              <w:sz w:val="20"/>
              <w:szCs w:val="20"/>
            </w:rPr>
            <w:t>12.6</w:t>
          </w:r>
          <w:r>
            <w:rPr>
              <w:rFonts w:ascii="宋体" w:eastAsia="宋体" w:hAnsi="宋体" w:cs="宋体"/>
              <w:spacing w:val="20"/>
              <w:sz w:val="20"/>
              <w:szCs w:val="20"/>
            </w:rPr>
            <w:t xml:space="preserve">  </w:t>
          </w:r>
          <w:r>
            <w:rPr>
              <w:rFonts w:ascii="宋体" w:eastAsia="宋体" w:hAnsi="宋体" w:cs="宋体"/>
              <w:b/>
              <w:bCs/>
              <w:spacing w:val="2"/>
              <w:sz w:val="20"/>
              <w:szCs w:val="20"/>
            </w:rPr>
            <w:t>改善社区营养的宏观措施</w:t>
          </w:r>
          <w:r>
            <w:rPr>
              <w:rFonts w:ascii="宋体" w:eastAsia="宋体" w:hAnsi="宋体" w:cs="宋体"/>
              <w:spacing w:val="-43"/>
              <w:sz w:val="20"/>
              <w:szCs w:val="20"/>
            </w:rPr>
            <w:t xml:space="preserve"> </w:t>
          </w:r>
          <w:r>
            <w:rPr>
              <w:rFonts w:ascii="宋体" w:eastAsia="宋体" w:hAnsi="宋体" w:cs="宋体"/>
              <w:b/>
              <w:bCs/>
              <w:sz w:val="20"/>
              <w:szCs w:val="20"/>
            </w:rPr>
            <w:tab/>
          </w:r>
          <w:r>
            <w:rPr>
              <w:rFonts w:ascii="宋体" w:eastAsia="宋体" w:hAnsi="宋体" w:cs="宋体"/>
              <w:spacing w:val="-55"/>
              <w:sz w:val="20"/>
              <w:szCs w:val="20"/>
            </w:rPr>
            <w:t xml:space="preserve"> </w:t>
          </w:r>
          <w:hyperlink w:anchor="_bookmark103" w:history="1">
            <w:r>
              <w:rPr>
                <w:rFonts w:ascii="宋体" w:eastAsia="宋体" w:hAnsi="宋体" w:cs="宋体"/>
                <w:b/>
                <w:bCs/>
                <w:spacing w:val="-4"/>
                <w:sz w:val="20"/>
                <w:szCs w:val="20"/>
              </w:rPr>
              <w:t>414</w:t>
            </w:r>
          </w:hyperlink>
        </w:p>
        <w:p w:rsidR="00EA40A3" w:rsidRDefault="00E86C16">
          <w:pPr>
            <w:tabs>
              <w:tab w:val="right" w:leader="dot" w:pos="7272"/>
            </w:tabs>
            <w:spacing w:before="75" w:line="219" w:lineRule="auto"/>
            <w:ind w:left="419"/>
            <w:rPr>
              <w:rFonts w:ascii="宋体" w:eastAsia="宋体" w:hAnsi="宋体" w:cs="宋体"/>
              <w:sz w:val="20"/>
              <w:szCs w:val="20"/>
            </w:rPr>
          </w:pPr>
          <w:r>
            <w:rPr>
              <w:rFonts w:ascii="宋体" w:eastAsia="宋体" w:hAnsi="宋体" w:cs="宋体"/>
              <w:spacing w:val="3"/>
              <w:sz w:val="20"/>
              <w:szCs w:val="20"/>
            </w:rPr>
            <w:t>思考题</w:t>
          </w:r>
          <w:r>
            <w:rPr>
              <w:rFonts w:ascii="宋体" w:eastAsia="宋体" w:hAnsi="宋体" w:cs="宋体"/>
              <w:spacing w:val="-51"/>
              <w:sz w:val="20"/>
              <w:szCs w:val="20"/>
            </w:rPr>
            <w:t xml:space="preserve"> </w:t>
          </w:r>
          <w:r>
            <w:rPr>
              <w:rFonts w:ascii="宋体" w:eastAsia="宋体" w:hAnsi="宋体" w:cs="宋体"/>
              <w:sz w:val="20"/>
              <w:szCs w:val="20"/>
            </w:rPr>
            <w:tab/>
          </w:r>
          <w:r>
            <w:rPr>
              <w:rFonts w:ascii="宋体" w:eastAsia="宋体" w:hAnsi="宋体" w:cs="宋体"/>
              <w:spacing w:val="-59"/>
              <w:sz w:val="20"/>
              <w:szCs w:val="20"/>
            </w:rPr>
            <w:t xml:space="preserve"> </w:t>
          </w:r>
          <w:hyperlink w:anchor="_bookmark104" w:history="1">
            <w:r>
              <w:rPr>
                <w:rFonts w:ascii="宋体" w:eastAsia="宋体" w:hAnsi="宋体" w:cs="宋体"/>
                <w:spacing w:val="-2"/>
                <w:sz w:val="20"/>
                <w:szCs w:val="20"/>
              </w:rPr>
              <w:t>419</w:t>
            </w:r>
          </w:hyperlink>
        </w:p>
        <w:p w:rsidR="00EA40A3" w:rsidRDefault="00E86C16">
          <w:pPr>
            <w:tabs>
              <w:tab w:val="right" w:leader="dot" w:pos="7272"/>
            </w:tabs>
            <w:spacing w:before="72" w:line="219" w:lineRule="auto"/>
            <w:ind w:left="419"/>
            <w:rPr>
              <w:rFonts w:ascii="宋体" w:eastAsia="宋体" w:hAnsi="宋体" w:cs="宋体"/>
              <w:sz w:val="20"/>
              <w:szCs w:val="20"/>
            </w:rPr>
          </w:pPr>
          <w:r>
            <w:rPr>
              <w:rFonts w:ascii="宋体" w:eastAsia="宋体" w:hAnsi="宋体" w:cs="宋体"/>
              <w:spacing w:val="-2"/>
              <w:sz w:val="20"/>
              <w:szCs w:val="20"/>
            </w:rPr>
            <w:t>主要参考文献</w:t>
          </w:r>
          <w:r>
            <w:rPr>
              <w:rFonts w:ascii="宋体" w:eastAsia="宋体" w:hAnsi="宋体" w:cs="宋体"/>
              <w:spacing w:val="-20"/>
              <w:sz w:val="20"/>
              <w:szCs w:val="20"/>
            </w:rPr>
            <w:t xml:space="preserve"> </w:t>
          </w:r>
          <w:r>
            <w:rPr>
              <w:rFonts w:ascii="宋体" w:eastAsia="宋体" w:hAnsi="宋体" w:cs="宋体"/>
              <w:sz w:val="20"/>
              <w:szCs w:val="20"/>
            </w:rPr>
            <w:tab/>
          </w:r>
          <w:r>
            <w:rPr>
              <w:rFonts w:ascii="宋体" w:eastAsia="宋体" w:hAnsi="宋体" w:cs="宋体"/>
              <w:spacing w:val="-49"/>
              <w:sz w:val="20"/>
              <w:szCs w:val="20"/>
            </w:rPr>
            <w:t xml:space="preserve"> </w:t>
          </w:r>
          <w:hyperlink w:anchor="_bookmark105" w:history="1">
            <w:r>
              <w:rPr>
                <w:rFonts w:ascii="宋体" w:eastAsia="宋体" w:hAnsi="宋体" w:cs="宋体"/>
                <w:spacing w:val="-2"/>
                <w:sz w:val="20"/>
                <w:szCs w:val="20"/>
              </w:rPr>
              <w:t>419</w:t>
            </w:r>
          </w:hyperlink>
        </w:p>
        <w:p w:rsidR="00EA40A3" w:rsidRDefault="00E86C16">
          <w:pPr>
            <w:tabs>
              <w:tab w:val="right" w:leader="dot" w:pos="7280"/>
            </w:tabs>
            <w:spacing w:before="68" w:line="221" w:lineRule="auto"/>
            <w:ind w:left="2"/>
            <w:rPr>
              <w:rFonts w:ascii="黑体" w:eastAsia="黑体" w:hAnsi="黑体" w:cs="黑体"/>
              <w:sz w:val="20"/>
              <w:szCs w:val="20"/>
            </w:rPr>
          </w:pPr>
          <w:r>
            <w:rPr>
              <w:rFonts w:ascii="黑体" w:eastAsia="黑体" w:hAnsi="黑体" w:cs="黑体"/>
              <w:b/>
              <w:bCs/>
              <w:spacing w:val="-1"/>
              <w:sz w:val="20"/>
              <w:szCs w:val="20"/>
            </w:rPr>
            <w:t>附录1中国居民膳食营养素参考摄入量(DRI)</w:t>
          </w:r>
          <w:r>
            <w:rPr>
              <w:rFonts w:ascii="黑体" w:eastAsia="黑体" w:hAnsi="黑体" w:cs="黑体"/>
              <w:spacing w:val="-56"/>
              <w:sz w:val="20"/>
              <w:szCs w:val="20"/>
            </w:rPr>
            <w:t xml:space="preserve"> </w:t>
          </w:r>
          <w:r>
            <w:rPr>
              <w:rFonts w:ascii="黑体" w:eastAsia="黑体" w:hAnsi="黑体" w:cs="黑体"/>
              <w:b/>
              <w:bCs/>
              <w:sz w:val="20"/>
              <w:szCs w:val="20"/>
            </w:rPr>
            <w:tab/>
          </w:r>
          <w:r>
            <w:rPr>
              <w:rFonts w:ascii="黑体" w:eastAsia="黑体" w:hAnsi="黑体" w:cs="黑体"/>
              <w:spacing w:val="-45"/>
              <w:sz w:val="20"/>
              <w:szCs w:val="20"/>
            </w:rPr>
            <w:t xml:space="preserve"> </w:t>
          </w:r>
          <w:hyperlink w:anchor="_bookmark106" w:history="1">
            <w:r>
              <w:rPr>
                <w:rFonts w:ascii="黑体" w:eastAsia="黑体" w:hAnsi="黑体" w:cs="黑体"/>
                <w:b/>
                <w:bCs/>
                <w:spacing w:val="-3"/>
                <w:sz w:val="20"/>
                <w:szCs w:val="20"/>
              </w:rPr>
              <w:t>421</w:t>
            </w:r>
          </w:hyperlink>
        </w:p>
        <w:p w:rsidR="00EA40A3" w:rsidRDefault="00E86C16">
          <w:pPr>
            <w:tabs>
              <w:tab w:val="right" w:leader="dot" w:pos="7277"/>
            </w:tabs>
            <w:spacing w:before="64" w:line="221" w:lineRule="auto"/>
            <w:rPr>
              <w:rFonts w:ascii="黑体" w:eastAsia="黑体" w:hAnsi="黑体" w:cs="黑体"/>
              <w:sz w:val="20"/>
              <w:szCs w:val="20"/>
            </w:rPr>
          </w:pPr>
          <w:r>
            <w:rPr>
              <w:rFonts w:ascii="黑体" w:eastAsia="黑体" w:hAnsi="黑体" w:cs="黑体"/>
              <w:sz w:val="20"/>
              <w:szCs w:val="20"/>
            </w:rPr>
            <w:t>附录2各种活动的能量消耗率</w:t>
          </w:r>
          <w:r>
            <w:rPr>
              <w:rFonts w:ascii="黑体" w:eastAsia="黑体" w:hAnsi="黑体" w:cs="黑体"/>
              <w:spacing w:val="-32"/>
              <w:sz w:val="20"/>
              <w:szCs w:val="20"/>
            </w:rPr>
            <w:t xml:space="preserve"> </w:t>
          </w:r>
          <w:r>
            <w:rPr>
              <w:rFonts w:ascii="黑体" w:eastAsia="黑体" w:hAnsi="黑体" w:cs="黑体"/>
              <w:sz w:val="20"/>
              <w:szCs w:val="20"/>
            </w:rPr>
            <w:tab/>
          </w:r>
          <w:r>
            <w:rPr>
              <w:rFonts w:ascii="黑体" w:eastAsia="黑体" w:hAnsi="黑体" w:cs="黑体"/>
              <w:spacing w:val="-50"/>
              <w:sz w:val="20"/>
              <w:szCs w:val="20"/>
            </w:rPr>
            <w:t xml:space="preserve"> </w:t>
          </w:r>
          <w:hyperlink w:anchor="_bookmark107" w:history="1">
            <w:r>
              <w:rPr>
                <w:rFonts w:ascii="黑体" w:eastAsia="黑体" w:hAnsi="黑体" w:cs="黑体"/>
                <w:spacing w:val="-1"/>
                <w:sz w:val="20"/>
                <w:szCs w:val="20"/>
              </w:rPr>
              <w:t>426</w:t>
            </w:r>
          </w:hyperlink>
        </w:p>
        <w:p w:rsidR="00EA40A3" w:rsidRDefault="00E86C16">
          <w:pPr>
            <w:spacing w:before="67" w:line="221" w:lineRule="auto"/>
            <w:ind w:left="12"/>
            <w:rPr>
              <w:rFonts w:ascii="黑体" w:eastAsia="黑体" w:hAnsi="黑体" w:cs="黑体"/>
              <w:sz w:val="20"/>
              <w:szCs w:val="20"/>
            </w:rPr>
          </w:pPr>
          <w:r>
            <w:rPr>
              <w:rFonts w:ascii="黑体" w:eastAsia="黑体" w:hAnsi="黑体" w:cs="黑体"/>
              <w:b/>
              <w:bCs/>
              <w:spacing w:val="22"/>
              <w:sz w:val="20"/>
              <w:szCs w:val="20"/>
            </w:rPr>
            <w:t>附录3中华人民共和国国家标准食品营养强化剂使用卫生标准</w:t>
          </w:r>
        </w:p>
        <w:p w:rsidR="00EA40A3" w:rsidRDefault="00E86C16">
          <w:pPr>
            <w:tabs>
              <w:tab w:val="right" w:leader="dot" w:pos="7275"/>
            </w:tabs>
            <w:spacing w:before="42"/>
            <w:ind w:left="762"/>
            <w:rPr>
              <w:rFonts w:ascii="宋体" w:eastAsia="宋体" w:hAnsi="宋体" w:cs="宋体"/>
              <w:sz w:val="20"/>
              <w:szCs w:val="20"/>
            </w:rPr>
          </w:pPr>
          <w:r>
            <w:rPr>
              <w:rFonts w:ascii="宋体" w:eastAsia="宋体" w:hAnsi="宋体" w:cs="宋体"/>
              <w:b/>
              <w:bCs/>
              <w:spacing w:val="-3"/>
              <w:sz w:val="20"/>
              <w:szCs w:val="20"/>
            </w:rPr>
            <w:t>GB14880—1994</w:t>
          </w:r>
          <w:r>
            <w:rPr>
              <w:rFonts w:ascii="宋体" w:eastAsia="宋体" w:hAnsi="宋体" w:cs="宋体"/>
              <w:spacing w:val="69"/>
              <w:sz w:val="20"/>
              <w:szCs w:val="20"/>
            </w:rPr>
            <w:t xml:space="preserve"> </w:t>
          </w:r>
          <w:r>
            <w:rPr>
              <w:rFonts w:ascii="宋体" w:eastAsia="宋体" w:hAnsi="宋体" w:cs="宋体"/>
              <w:b/>
              <w:bCs/>
              <w:sz w:val="20"/>
              <w:szCs w:val="20"/>
            </w:rPr>
            <w:tab/>
          </w:r>
          <w:r>
            <w:rPr>
              <w:rFonts w:ascii="宋体" w:eastAsia="宋体" w:hAnsi="宋体" w:cs="宋体"/>
              <w:spacing w:val="-55"/>
              <w:sz w:val="20"/>
              <w:szCs w:val="20"/>
            </w:rPr>
            <w:t xml:space="preserve"> </w:t>
          </w:r>
          <w:hyperlink w:anchor="_bookmark108" w:history="1">
            <w:r>
              <w:rPr>
                <w:rFonts w:ascii="宋体" w:eastAsia="宋体" w:hAnsi="宋体" w:cs="宋体"/>
                <w:b/>
                <w:bCs/>
                <w:spacing w:val="-4"/>
                <w:sz w:val="20"/>
                <w:szCs w:val="20"/>
              </w:rPr>
              <w:t>429</w:t>
            </w:r>
          </w:hyperlink>
        </w:p>
        <w:p w:rsidR="00EA40A3" w:rsidRDefault="00E86C16">
          <w:pPr>
            <w:tabs>
              <w:tab w:val="right" w:leader="dot" w:pos="7280"/>
            </w:tabs>
            <w:spacing w:before="79" w:line="221" w:lineRule="auto"/>
            <w:ind w:left="2"/>
            <w:rPr>
              <w:rFonts w:ascii="黑体" w:eastAsia="黑体" w:hAnsi="黑体" w:cs="黑体"/>
              <w:sz w:val="20"/>
              <w:szCs w:val="20"/>
            </w:rPr>
          </w:pPr>
          <w:r>
            <w:rPr>
              <w:rFonts w:ascii="黑体" w:eastAsia="黑体" w:hAnsi="黑体" w:cs="黑体"/>
              <w:b/>
              <w:bCs/>
              <w:spacing w:val="-1"/>
              <w:sz w:val="20"/>
              <w:szCs w:val="20"/>
            </w:rPr>
            <w:t>附录4中国食物与营养发展纲要(2001～2010年)</w:t>
          </w:r>
          <w:r>
            <w:rPr>
              <w:rFonts w:ascii="黑体" w:eastAsia="黑体" w:hAnsi="黑体" w:cs="黑体"/>
              <w:spacing w:val="-50"/>
              <w:sz w:val="20"/>
              <w:szCs w:val="20"/>
            </w:rPr>
            <w:t xml:space="preserve"> </w:t>
          </w:r>
          <w:r>
            <w:rPr>
              <w:rFonts w:ascii="黑体" w:eastAsia="黑体" w:hAnsi="黑体" w:cs="黑体"/>
              <w:b/>
              <w:bCs/>
              <w:sz w:val="20"/>
              <w:szCs w:val="20"/>
            </w:rPr>
            <w:tab/>
          </w:r>
          <w:r>
            <w:rPr>
              <w:rFonts w:ascii="黑体" w:eastAsia="黑体" w:hAnsi="黑体" w:cs="黑体"/>
              <w:spacing w:val="-35"/>
              <w:sz w:val="20"/>
              <w:szCs w:val="20"/>
            </w:rPr>
            <w:t xml:space="preserve"> </w:t>
          </w:r>
          <w:hyperlink w:anchor="_bookmark109" w:history="1">
            <w:r>
              <w:rPr>
                <w:rFonts w:ascii="黑体" w:eastAsia="黑体" w:hAnsi="黑体" w:cs="黑体"/>
                <w:b/>
                <w:bCs/>
                <w:spacing w:val="-3"/>
                <w:sz w:val="20"/>
                <w:szCs w:val="20"/>
              </w:rPr>
              <w:t>434</w:t>
            </w:r>
          </w:hyperlink>
        </w:p>
        <w:p w:rsidR="00EA40A3" w:rsidRDefault="00E86C16">
          <w:pPr>
            <w:tabs>
              <w:tab w:val="right" w:leader="dot" w:pos="7277"/>
            </w:tabs>
            <w:spacing w:before="44" w:line="222" w:lineRule="auto"/>
            <w:rPr>
              <w:rFonts w:ascii="黑体" w:eastAsia="黑体" w:hAnsi="黑体" w:cs="黑体"/>
              <w:sz w:val="20"/>
              <w:szCs w:val="20"/>
            </w:rPr>
          </w:pPr>
          <w:r>
            <w:rPr>
              <w:rFonts w:ascii="黑体" w:eastAsia="黑体" w:hAnsi="黑体" w:cs="黑体"/>
              <w:spacing w:val="1"/>
              <w:sz w:val="20"/>
              <w:szCs w:val="20"/>
            </w:rPr>
            <w:t>附录5英汉词汇对照</w:t>
          </w:r>
          <w:r>
            <w:rPr>
              <w:rFonts w:ascii="黑体" w:eastAsia="黑体" w:hAnsi="黑体" w:cs="黑体"/>
              <w:spacing w:val="-41"/>
              <w:sz w:val="20"/>
              <w:szCs w:val="20"/>
            </w:rPr>
            <w:t xml:space="preserve"> </w:t>
          </w:r>
          <w:r>
            <w:rPr>
              <w:rFonts w:ascii="黑体" w:eastAsia="黑体" w:hAnsi="黑体" w:cs="黑体"/>
              <w:sz w:val="20"/>
              <w:szCs w:val="20"/>
            </w:rPr>
            <w:tab/>
          </w:r>
          <w:r>
            <w:rPr>
              <w:rFonts w:ascii="黑体" w:eastAsia="黑体" w:hAnsi="黑体" w:cs="黑体"/>
              <w:spacing w:val="-50"/>
              <w:sz w:val="20"/>
              <w:szCs w:val="20"/>
            </w:rPr>
            <w:t xml:space="preserve"> </w:t>
          </w:r>
          <w:hyperlink w:anchor="_bookmark110" w:history="1">
            <w:r>
              <w:rPr>
                <w:rFonts w:ascii="黑体" w:eastAsia="黑体" w:hAnsi="黑体" w:cs="黑体"/>
                <w:spacing w:val="-1"/>
                <w:sz w:val="20"/>
                <w:szCs w:val="20"/>
              </w:rPr>
              <w:t>441</w:t>
            </w:r>
          </w:hyperlink>
        </w:p>
      </w:sdtContent>
    </w:sdt>
    <w:p w:rsidR="00EA40A3" w:rsidRDefault="00EA40A3">
      <w:pPr>
        <w:sectPr w:rsidR="00EA40A3">
          <w:footerReference w:type="default" r:id="rId15"/>
          <w:pgSz w:w="9220" w:h="13360"/>
          <w:pgMar w:top="400" w:right="1099" w:bottom="1311" w:left="840" w:header="0" w:footer="1051" w:gutter="0"/>
          <w:cols w:space="720"/>
        </w:sectPr>
      </w:pPr>
    </w:p>
    <w:p w:rsidR="00EA40A3" w:rsidRDefault="00EA40A3">
      <w:pPr>
        <w:spacing w:line="268" w:lineRule="auto"/>
      </w:pPr>
    </w:p>
    <w:p w:rsidR="00EA40A3" w:rsidRDefault="00EA40A3">
      <w:pPr>
        <w:spacing w:line="269" w:lineRule="auto"/>
      </w:pPr>
    </w:p>
    <w:p w:rsidR="00EA40A3" w:rsidRDefault="00EA40A3">
      <w:pPr>
        <w:spacing w:line="269" w:lineRule="auto"/>
      </w:pPr>
    </w:p>
    <w:p w:rsidR="00EA40A3" w:rsidRDefault="00EA40A3">
      <w:pPr>
        <w:spacing w:line="269" w:lineRule="auto"/>
      </w:pPr>
    </w:p>
    <w:p w:rsidR="00EA40A3" w:rsidRDefault="00EA40A3">
      <w:pPr>
        <w:spacing w:line="269" w:lineRule="auto"/>
      </w:pPr>
    </w:p>
    <w:p w:rsidR="00EA40A3" w:rsidRDefault="00E86C16">
      <w:pPr>
        <w:spacing w:before="104" w:line="219" w:lineRule="auto"/>
        <w:ind w:left="2504"/>
        <w:rPr>
          <w:rFonts w:ascii="宋体" w:eastAsia="宋体" w:hAnsi="宋体" w:cs="宋体"/>
          <w:sz w:val="32"/>
          <w:szCs w:val="32"/>
        </w:rPr>
      </w:pPr>
      <w:r>
        <w:rPr>
          <w:rFonts w:ascii="宋体" w:eastAsia="宋体" w:hAnsi="宋体" w:cs="宋体"/>
          <w:b/>
          <w:bCs/>
          <w:spacing w:val="16"/>
          <w:sz w:val="32"/>
          <w:szCs w:val="32"/>
        </w:rPr>
        <w:t>第1章</w:t>
      </w:r>
      <w:r>
        <w:rPr>
          <w:rFonts w:ascii="宋体" w:eastAsia="宋体" w:hAnsi="宋体" w:cs="宋体"/>
          <w:spacing w:val="135"/>
          <w:sz w:val="32"/>
          <w:szCs w:val="32"/>
        </w:rPr>
        <w:t xml:space="preserve"> </w:t>
      </w:r>
      <w:r>
        <w:rPr>
          <w:rFonts w:ascii="宋体" w:eastAsia="宋体" w:hAnsi="宋体" w:cs="宋体"/>
          <w:b/>
          <w:bCs/>
          <w:spacing w:val="16"/>
          <w:sz w:val="32"/>
          <w:szCs w:val="32"/>
        </w:rPr>
        <w:t>绪</w:t>
      </w:r>
      <w:r>
        <w:rPr>
          <w:rFonts w:ascii="宋体" w:eastAsia="宋体" w:hAnsi="宋体" w:cs="宋体"/>
          <w:spacing w:val="45"/>
          <w:sz w:val="32"/>
          <w:szCs w:val="32"/>
        </w:rPr>
        <w:t xml:space="preserve">   </w:t>
      </w:r>
      <w:r>
        <w:rPr>
          <w:rFonts w:ascii="宋体" w:eastAsia="宋体" w:hAnsi="宋体" w:cs="宋体"/>
          <w:b/>
          <w:bCs/>
          <w:spacing w:val="16"/>
          <w:sz w:val="32"/>
          <w:szCs w:val="32"/>
        </w:rPr>
        <w:t>论</w:t>
      </w:r>
    </w:p>
    <w:p w:rsidR="00EA40A3" w:rsidRDefault="00EA40A3">
      <w:pPr>
        <w:spacing w:line="373" w:lineRule="auto"/>
      </w:pPr>
    </w:p>
    <w:p w:rsidR="00EA40A3" w:rsidRDefault="00E86C16">
      <w:pPr>
        <w:spacing w:before="72" w:line="221" w:lineRule="auto"/>
        <w:ind w:left="3203"/>
        <w:rPr>
          <w:rFonts w:ascii="黑体" w:eastAsia="黑体" w:hAnsi="黑体" w:cs="黑体"/>
          <w:sz w:val="22"/>
          <w:szCs w:val="22"/>
        </w:rPr>
      </w:pPr>
      <w:r>
        <w:rPr>
          <w:rFonts w:ascii="黑体" w:eastAsia="黑体" w:hAnsi="黑体" w:cs="黑体"/>
          <w:b/>
          <w:bCs/>
          <w:spacing w:val="32"/>
          <w:sz w:val="22"/>
          <w:szCs w:val="22"/>
        </w:rPr>
        <w:t>教学目标</w:t>
      </w:r>
    </w:p>
    <w:p w:rsidR="00EA40A3" w:rsidRDefault="00E86C16">
      <w:pPr>
        <w:spacing w:before="177" w:line="300" w:lineRule="exact"/>
        <w:ind w:left="430"/>
        <w:rPr>
          <w:rFonts w:ascii="楷体" w:eastAsia="楷体" w:hAnsi="楷体" w:cs="楷体"/>
          <w:sz w:val="22"/>
          <w:szCs w:val="22"/>
        </w:rPr>
      </w:pPr>
      <w:r>
        <w:rPr>
          <w:rFonts w:ascii="楷体" w:eastAsia="楷体" w:hAnsi="楷体" w:cs="楷体"/>
          <w:spacing w:val="-18"/>
          <w:position w:val="5"/>
          <w:sz w:val="22"/>
          <w:szCs w:val="22"/>
        </w:rPr>
        <w:t>·</w:t>
      </w:r>
      <w:r>
        <w:rPr>
          <w:rFonts w:ascii="楷体" w:eastAsia="楷体" w:hAnsi="楷体" w:cs="楷体"/>
          <w:spacing w:val="-81"/>
          <w:position w:val="5"/>
          <w:sz w:val="22"/>
          <w:szCs w:val="22"/>
        </w:rPr>
        <w:t xml:space="preserve"> </w:t>
      </w:r>
      <w:r>
        <w:rPr>
          <w:rFonts w:ascii="楷体" w:eastAsia="楷体" w:hAnsi="楷体" w:cs="楷体"/>
          <w:spacing w:val="-18"/>
          <w:position w:val="5"/>
          <w:sz w:val="22"/>
          <w:szCs w:val="22"/>
        </w:rPr>
        <w:t>掌握营养、营养学、食品营养学、</w:t>
      </w:r>
      <w:r>
        <w:rPr>
          <w:rFonts w:ascii="楷体" w:eastAsia="楷体" w:hAnsi="楷体" w:cs="楷体"/>
          <w:spacing w:val="-10"/>
          <w:position w:val="5"/>
          <w:sz w:val="22"/>
          <w:szCs w:val="22"/>
        </w:rPr>
        <w:t xml:space="preserve"> </w:t>
      </w:r>
      <w:r>
        <w:rPr>
          <w:rFonts w:ascii="楷体" w:eastAsia="楷体" w:hAnsi="楷体" w:cs="楷体"/>
          <w:spacing w:val="-18"/>
          <w:position w:val="5"/>
          <w:sz w:val="22"/>
          <w:szCs w:val="22"/>
        </w:rPr>
        <w:t>DRI</w:t>
      </w:r>
      <w:r>
        <w:rPr>
          <w:rFonts w:ascii="楷体" w:eastAsia="楷体" w:hAnsi="楷体" w:cs="楷体"/>
          <w:spacing w:val="-11"/>
          <w:position w:val="5"/>
          <w:sz w:val="22"/>
          <w:szCs w:val="22"/>
        </w:rPr>
        <w:t xml:space="preserve"> </w:t>
      </w:r>
      <w:r>
        <w:rPr>
          <w:rFonts w:ascii="楷体" w:eastAsia="楷体" w:hAnsi="楷体" w:cs="楷体"/>
          <w:spacing w:val="-18"/>
          <w:position w:val="5"/>
          <w:sz w:val="22"/>
          <w:szCs w:val="22"/>
        </w:rPr>
        <w:t>等基本概念。</w:t>
      </w:r>
    </w:p>
    <w:p w:rsidR="00EA40A3" w:rsidRDefault="00E86C16">
      <w:pPr>
        <w:spacing w:line="223" w:lineRule="auto"/>
        <w:ind w:left="430"/>
        <w:rPr>
          <w:rFonts w:ascii="楷体" w:eastAsia="楷体" w:hAnsi="楷体" w:cs="楷体"/>
          <w:sz w:val="22"/>
          <w:szCs w:val="22"/>
        </w:rPr>
      </w:pPr>
      <w:r>
        <w:rPr>
          <w:rFonts w:ascii="楷体" w:eastAsia="楷体" w:hAnsi="楷体" w:cs="楷体"/>
          <w:spacing w:val="-17"/>
          <w:sz w:val="22"/>
          <w:szCs w:val="22"/>
        </w:rPr>
        <w:t>·</w:t>
      </w:r>
      <w:r>
        <w:rPr>
          <w:rFonts w:ascii="楷体" w:eastAsia="楷体" w:hAnsi="楷体" w:cs="楷体"/>
          <w:spacing w:val="-65"/>
          <w:sz w:val="22"/>
          <w:szCs w:val="22"/>
        </w:rPr>
        <w:t xml:space="preserve"> </w:t>
      </w:r>
      <w:r>
        <w:rPr>
          <w:rFonts w:ascii="楷体" w:eastAsia="楷体" w:hAnsi="楷体" w:cs="楷体"/>
          <w:spacing w:val="-17"/>
          <w:sz w:val="22"/>
          <w:szCs w:val="22"/>
        </w:rPr>
        <w:t>了解营养学发展简史与新进展。</w:t>
      </w:r>
    </w:p>
    <w:p w:rsidR="00EA40A3" w:rsidRDefault="00E86C16">
      <w:pPr>
        <w:spacing w:before="32" w:line="223" w:lineRule="auto"/>
        <w:ind w:left="430"/>
        <w:rPr>
          <w:rFonts w:ascii="楷体" w:eastAsia="楷体" w:hAnsi="楷体" w:cs="楷体"/>
          <w:sz w:val="22"/>
          <w:szCs w:val="22"/>
        </w:rPr>
      </w:pPr>
      <w:r>
        <w:rPr>
          <w:rFonts w:ascii="楷体" w:eastAsia="楷体" w:hAnsi="楷体" w:cs="楷体"/>
          <w:spacing w:val="-14"/>
          <w:sz w:val="22"/>
          <w:szCs w:val="22"/>
        </w:rPr>
        <w:t>·初步了解我国宏观的营养工作和居民的营养现状。</w:t>
      </w:r>
    </w:p>
    <w:p w:rsidR="00EA40A3" w:rsidRDefault="00EA40A3">
      <w:pPr>
        <w:spacing w:line="297" w:lineRule="auto"/>
      </w:pPr>
    </w:p>
    <w:p w:rsidR="00EA40A3" w:rsidRDefault="00E86C16">
      <w:pPr>
        <w:spacing w:before="72" w:line="245" w:lineRule="auto"/>
        <w:ind w:right="73" w:firstLine="430"/>
        <w:jc w:val="both"/>
        <w:rPr>
          <w:rFonts w:ascii="宋体" w:eastAsia="宋体" w:hAnsi="宋体" w:cs="宋体"/>
          <w:sz w:val="22"/>
          <w:szCs w:val="22"/>
        </w:rPr>
      </w:pPr>
      <w:r>
        <w:rPr>
          <w:rFonts w:ascii="宋体" w:eastAsia="宋体" w:hAnsi="宋体" w:cs="宋体"/>
          <w:spacing w:val="-14"/>
          <w:sz w:val="22"/>
          <w:szCs w:val="22"/>
        </w:rPr>
        <w:t>食品是人类赖以生存和发展的物质基础，其最重要的功能是营养，它不但为</w:t>
      </w:r>
      <w:r>
        <w:rPr>
          <w:rFonts w:ascii="宋体" w:eastAsia="宋体" w:hAnsi="宋体" w:cs="宋体"/>
          <w:spacing w:val="1"/>
          <w:sz w:val="22"/>
          <w:szCs w:val="22"/>
        </w:rPr>
        <w:t xml:space="preserve"> </w:t>
      </w:r>
      <w:r>
        <w:rPr>
          <w:rFonts w:ascii="宋体" w:eastAsia="宋体" w:hAnsi="宋体" w:cs="宋体"/>
          <w:spacing w:val="-14"/>
          <w:sz w:val="22"/>
          <w:szCs w:val="22"/>
        </w:rPr>
        <w:t>人体生长发育和维持健康提供所需的能量和营养物质，而且在预防人体的许多疾</w:t>
      </w:r>
      <w:r>
        <w:rPr>
          <w:rFonts w:ascii="宋体" w:eastAsia="宋体" w:hAnsi="宋体" w:cs="宋体"/>
          <w:spacing w:val="17"/>
          <w:sz w:val="22"/>
          <w:szCs w:val="22"/>
        </w:rPr>
        <w:t xml:space="preserve"> </w:t>
      </w:r>
      <w:r>
        <w:rPr>
          <w:rFonts w:ascii="宋体" w:eastAsia="宋体" w:hAnsi="宋体" w:cs="宋体"/>
          <w:spacing w:val="-7"/>
          <w:sz w:val="22"/>
          <w:szCs w:val="22"/>
        </w:rPr>
        <w:t>病方面起着重要作用，甚至会对人的思想方法和行为举止产生一定的影响。</w:t>
      </w:r>
      <w:r>
        <w:rPr>
          <w:rFonts w:ascii="宋体" w:eastAsia="宋体" w:hAnsi="宋体" w:cs="宋体"/>
          <w:spacing w:val="-8"/>
          <w:sz w:val="22"/>
          <w:szCs w:val="22"/>
        </w:rPr>
        <w:t>因</w:t>
      </w:r>
      <w:r>
        <w:rPr>
          <w:rFonts w:ascii="宋体" w:eastAsia="宋体" w:hAnsi="宋体" w:cs="宋体"/>
          <w:sz w:val="22"/>
          <w:szCs w:val="22"/>
        </w:rPr>
        <w:t xml:space="preserve"> </w:t>
      </w:r>
      <w:r>
        <w:rPr>
          <w:rFonts w:ascii="宋体" w:eastAsia="宋体" w:hAnsi="宋体" w:cs="宋体"/>
          <w:spacing w:val="-13"/>
          <w:sz w:val="22"/>
          <w:szCs w:val="22"/>
        </w:rPr>
        <w:t>此，食品营养科学与国计民生的关系十分密切，它对于居民营养的改善、疾病的</w:t>
      </w:r>
      <w:r>
        <w:rPr>
          <w:rFonts w:ascii="宋体" w:eastAsia="宋体" w:hAnsi="宋体" w:cs="宋体"/>
          <w:spacing w:val="10"/>
          <w:sz w:val="22"/>
          <w:szCs w:val="22"/>
        </w:rPr>
        <w:t xml:space="preserve"> </w:t>
      </w:r>
      <w:r>
        <w:rPr>
          <w:rFonts w:ascii="宋体" w:eastAsia="宋体" w:hAnsi="宋体" w:cs="宋体"/>
          <w:spacing w:val="-13"/>
          <w:sz w:val="22"/>
          <w:szCs w:val="22"/>
        </w:rPr>
        <w:t>预防、体质的增强、健康水平的提高等方面有重要意</w:t>
      </w:r>
      <w:r>
        <w:rPr>
          <w:rFonts w:ascii="宋体" w:eastAsia="宋体" w:hAnsi="宋体" w:cs="宋体"/>
          <w:spacing w:val="-14"/>
          <w:sz w:val="22"/>
          <w:szCs w:val="22"/>
        </w:rPr>
        <w:t>义。</w:t>
      </w:r>
    </w:p>
    <w:p w:rsidR="00EA40A3" w:rsidRDefault="00EA40A3">
      <w:pPr>
        <w:spacing w:line="257" w:lineRule="auto"/>
      </w:pPr>
    </w:p>
    <w:p w:rsidR="00EA40A3" w:rsidRDefault="00E86C16">
      <w:pPr>
        <w:spacing w:before="91" w:line="219" w:lineRule="auto"/>
        <w:ind w:left="1979"/>
        <w:rPr>
          <w:rFonts w:ascii="宋体" w:eastAsia="宋体" w:hAnsi="宋体" w:cs="宋体"/>
          <w:sz w:val="28"/>
          <w:szCs w:val="28"/>
        </w:rPr>
      </w:pPr>
      <w:r>
        <w:rPr>
          <w:rFonts w:ascii="宋体" w:eastAsia="宋体" w:hAnsi="宋体" w:cs="宋体"/>
          <w:spacing w:val="-4"/>
          <w:sz w:val="28"/>
          <w:szCs w:val="28"/>
        </w:rPr>
        <w:t>1.1</w:t>
      </w:r>
      <w:r>
        <w:rPr>
          <w:rFonts w:ascii="宋体" w:eastAsia="宋体" w:hAnsi="宋体" w:cs="宋体"/>
          <w:spacing w:val="121"/>
          <w:sz w:val="28"/>
          <w:szCs w:val="28"/>
        </w:rPr>
        <w:t xml:space="preserve"> </w:t>
      </w:r>
      <w:r>
        <w:rPr>
          <w:rFonts w:ascii="宋体" w:eastAsia="宋体" w:hAnsi="宋体" w:cs="宋体"/>
          <w:spacing w:val="-4"/>
          <w:sz w:val="28"/>
          <w:szCs w:val="28"/>
        </w:rPr>
        <w:t>食品营养学的基本概念</w:t>
      </w:r>
    </w:p>
    <w:p w:rsidR="00EA40A3" w:rsidRDefault="00E86C16">
      <w:pPr>
        <w:spacing w:before="290" w:line="248" w:lineRule="auto"/>
        <w:ind w:firstLine="430"/>
        <w:jc w:val="both"/>
        <w:rPr>
          <w:rFonts w:ascii="宋体" w:eastAsia="宋体" w:hAnsi="宋体" w:cs="宋体"/>
          <w:sz w:val="22"/>
          <w:szCs w:val="22"/>
        </w:rPr>
      </w:pPr>
      <w:r>
        <w:rPr>
          <w:rFonts w:ascii="宋体" w:eastAsia="宋体" w:hAnsi="宋体" w:cs="宋体"/>
          <w:spacing w:val="-7"/>
          <w:sz w:val="22"/>
          <w:szCs w:val="22"/>
        </w:rPr>
        <w:t>食品</w:t>
      </w:r>
      <w:r>
        <w:rPr>
          <w:rFonts w:ascii="宋体" w:eastAsia="宋体" w:hAnsi="宋体" w:cs="宋体"/>
          <w:spacing w:val="-42"/>
          <w:sz w:val="22"/>
          <w:szCs w:val="22"/>
        </w:rPr>
        <w:t xml:space="preserve"> </w:t>
      </w:r>
      <w:r>
        <w:rPr>
          <w:rFonts w:ascii="宋体" w:eastAsia="宋体" w:hAnsi="宋体" w:cs="宋体"/>
          <w:spacing w:val="-7"/>
          <w:sz w:val="22"/>
          <w:szCs w:val="22"/>
        </w:rPr>
        <w:t>(food),</w:t>
      </w:r>
      <w:r>
        <w:rPr>
          <w:rFonts w:ascii="宋体" w:eastAsia="宋体" w:hAnsi="宋体" w:cs="宋体"/>
          <w:spacing w:val="-33"/>
          <w:sz w:val="22"/>
          <w:szCs w:val="22"/>
        </w:rPr>
        <w:t xml:space="preserve"> </w:t>
      </w:r>
      <w:r>
        <w:rPr>
          <w:rFonts w:ascii="宋体" w:eastAsia="宋体" w:hAnsi="宋体" w:cs="宋体"/>
          <w:spacing w:val="-7"/>
          <w:sz w:val="22"/>
          <w:szCs w:val="22"/>
        </w:rPr>
        <w:t>有时也称食物。根据我国《食品卫生法》中</w:t>
      </w:r>
      <w:r>
        <w:rPr>
          <w:rFonts w:ascii="宋体" w:eastAsia="宋体" w:hAnsi="宋体" w:cs="宋体"/>
          <w:spacing w:val="-8"/>
          <w:sz w:val="22"/>
          <w:szCs w:val="22"/>
        </w:rPr>
        <w:t>的定义，食品指</w:t>
      </w:r>
      <w:r>
        <w:rPr>
          <w:rFonts w:ascii="宋体" w:eastAsia="宋体" w:hAnsi="宋体" w:cs="宋体"/>
          <w:sz w:val="22"/>
          <w:szCs w:val="22"/>
        </w:rPr>
        <w:t xml:space="preserve"> </w:t>
      </w:r>
      <w:r>
        <w:rPr>
          <w:rFonts w:ascii="宋体" w:eastAsia="宋体" w:hAnsi="宋体" w:cs="宋体"/>
          <w:spacing w:val="-12"/>
          <w:sz w:val="22"/>
          <w:szCs w:val="22"/>
        </w:rPr>
        <w:t>各种供人食用或者饮用的成品和原料，以及按照传统既是食品又是药品的物品，</w:t>
      </w:r>
      <w:r>
        <w:rPr>
          <w:rFonts w:ascii="宋体" w:eastAsia="宋体" w:hAnsi="宋体" w:cs="宋体"/>
          <w:spacing w:val="8"/>
          <w:sz w:val="22"/>
          <w:szCs w:val="22"/>
        </w:rPr>
        <w:t xml:space="preserve"> </w:t>
      </w:r>
      <w:r>
        <w:rPr>
          <w:rFonts w:ascii="宋体" w:eastAsia="宋体" w:hAnsi="宋体" w:cs="宋体"/>
          <w:spacing w:val="-11"/>
          <w:sz w:val="22"/>
          <w:szCs w:val="22"/>
        </w:rPr>
        <w:t>但不包括以治疗为目的的物品。食品分为三类：①各种供人食用或饮用的成品。</w:t>
      </w:r>
      <w:r>
        <w:rPr>
          <w:rFonts w:ascii="宋体" w:eastAsia="宋体" w:hAnsi="宋体" w:cs="宋体"/>
          <w:spacing w:val="14"/>
          <w:sz w:val="22"/>
          <w:szCs w:val="22"/>
        </w:rPr>
        <w:t xml:space="preserve"> </w:t>
      </w:r>
      <w:r>
        <w:rPr>
          <w:rFonts w:ascii="宋体" w:eastAsia="宋体" w:hAnsi="宋体" w:cs="宋体"/>
          <w:spacing w:val="-4"/>
          <w:sz w:val="22"/>
          <w:szCs w:val="22"/>
        </w:rPr>
        <w:t>如糕点、面制品、调味品、茶叶等。②各种供人食用或饮用的原料(包括半成</w:t>
      </w:r>
      <w:r>
        <w:rPr>
          <w:rFonts w:ascii="宋体" w:eastAsia="宋体" w:hAnsi="宋体" w:cs="宋体"/>
          <w:spacing w:val="15"/>
          <w:sz w:val="22"/>
          <w:szCs w:val="22"/>
        </w:rPr>
        <w:t xml:space="preserve"> </w:t>
      </w:r>
      <w:r>
        <w:rPr>
          <w:rFonts w:ascii="宋体" w:eastAsia="宋体" w:hAnsi="宋体" w:cs="宋体"/>
          <w:spacing w:val="-13"/>
          <w:sz w:val="22"/>
          <w:szCs w:val="22"/>
        </w:rPr>
        <w:t>品)。如粮食、蔬菜、肉类、水产品类等。③按照传</w:t>
      </w:r>
      <w:r>
        <w:rPr>
          <w:rFonts w:ascii="宋体" w:eastAsia="宋体" w:hAnsi="宋体" w:cs="宋体"/>
          <w:spacing w:val="-14"/>
          <w:sz w:val="22"/>
          <w:szCs w:val="22"/>
        </w:rPr>
        <w:t>统既是食品又是药品的物品。</w:t>
      </w:r>
      <w:r>
        <w:rPr>
          <w:rFonts w:ascii="宋体" w:eastAsia="宋体" w:hAnsi="宋体" w:cs="宋体"/>
          <w:sz w:val="22"/>
          <w:szCs w:val="22"/>
        </w:rPr>
        <w:t xml:space="preserve"> </w:t>
      </w:r>
      <w:r>
        <w:rPr>
          <w:rFonts w:ascii="宋体" w:eastAsia="宋体" w:hAnsi="宋体" w:cs="宋体"/>
          <w:spacing w:val="-6"/>
          <w:sz w:val="22"/>
          <w:szCs w:val="22"/>
        </w:rPr>
        <w:t>根据卫生部2002年公布，既是食品又是药品的物品共87种，</w:t>
      </w:r>
      <w:r>
        <w:rPr>
          <w:rFonts w:ascii="宋体" w:eastAsia="宋体" w:hAnsi="宋体" w:cs="宋体"/>
          <w:spacing w:val="-7"/>
          <w:sz w:val="22"/>
          <w:szCs w:val="22"/>
        </w:rPr>
        <w:t>如生姜、枣、黑芝</w:t>
      </w:r>
      <w:r>
        <w:rPr>
          <w:rFonts w:ascii="宋体" w:eastAsia="宋体" w:hAnsi="宋体" w:cs="宋体"/>
          <w:sz w:val="22"/>
          <w:szCs w:val="22"/>
        </w:rPr>
        <w:t xml:space="preserve"> </w:t>
      </w:r>
      <w:r>
        <w:rPr>
          <w:rFonts w:ascii="宋体" w:eastAsia="宋体" w:hAnsi="宋体" w:cs="宋体"/>
          <w:spacing w:val="-10"/>
          <w:sz w:val="22"/>
          <w:szCs w:val="22"/>
        </w:rPr>
        <w:t>麻、甘草、白果(银杏)、鱼腥草、薄荷、罗汉果等。狭义的食品指第一类。</w:t>
      </w:r>
    </w:p>
    <w:p w:rsidR="00EA40A3" w:rsidRDefault="00E86C16">
      <w:pPr>
        <w:spacing w:before="76" w:line="241" w:lineRule="auto"/>
        <w:ind w:right="56" w:firstLine="430"/>
        <w:jc w:val="both"/>
        <w:rPr>
          <w:rFonts w:ascii="宋体" w:eastAsia="宋体" w:hAnsi="宋体" w:cs="宋体"/>
          <w:sz w:val="22"/>
          <w:szCs w:val="22"/>
        </w:rPr>
      </w:pPr>
      <w:r>
        <w:rPr>
          <w:rFonts w:ascii="宋体" w:eastAsia="宋体" w:hAnsi="宋体" w:cs="宋体"/>
          <w:spacing w:val="-14"/>
          <w:sz w:val="22"/>
          <w:szCs w:val="22"/>
        </w:rPr>
        <w:t>营养</w:t>
      </w:r>
      <w:r>
        <w:rPr>
          <w:rFonts w:ascii="宋体" w:eastAsia="宋体" w:hAnsi="宋体" w:cs="宋体"/>
          <w:spacing w:val="-15"/>
          <w:sz w:val="22"/>
          <w:szCs w:val="22"/>
        </w:rPr>
        <w:t xml:space="preserve"> </w:t>
      </w:r>
      <w:r>
        <w:rPr>
          <w:rFonts w:ascii="宋体" w:eastAsia="宋体" w:hAnsi="宋体" w:cs="宋体"/>
          <w:spacing w:val="-14"/>
          <w:sz w:val="22"/>
          <w:szCs w:val="22"/>
        </w:rPr>
        <w:t>(nutrition),</w:t>
      </w:r>
      <w:r>
        <w:rPr>
          <w:rFonts w:ascii="宋体" w:eastAsia="宋体" w:hAnsi="宋体" w:cs="宋体"/>
          <w:spacing w:val="-61"/>
          <w:sz w:val="22"/>
          <w:szCs w:val="22"/>
        </w:rPr>
        <w:t xml:space="preserve"> </w:t>
      </w:r>
      <w:r>
        <w:rPr>
          <w:rFonts w:ascii="宋体" w:eastAsia="宋体" w:hAnsi="宋体" w:cs="宋体"/>
          <w:spacing w:val="-14"/>
          <w:sz w:val="22"/>
          <w:szCs w:val="22"/>
        </w:rPr>
        <w:t>原意指“谋求养生”。</w:t>
      </w:r>
      <w:r>
        <w:rPr>
          <w:rFonts w:ascii="宋体" w:eastAsia="宋体" w:hAnsi="宋体" w:cs="宋体"/>
          <w:spacing w:val="-15"/>
          <w:sz w:val="22"/>
          <w:szCs w:val="22"/>
        </w:rPr>
        <w:t>根据《中国营养科学全书》中的定</w:t>
      </w:r>
      <w:r>
        <w:rPr>
          <w:rFonts w:ascii="宋体" w:eastAsia="宋体" w:hAnsi="宋体" w:cs="宋体"/>
          <w:sz w:val="22"/>
          <w:szCs w:val="22"/>
        </w:rPr>
        <w:t xml:space="preserve"> </w:t>
      </w:r>
      <w:r>
        <w:rPr>
          <w:rFonts w:ascii="宋体" w:eastAsia="宋体" w:hAnsi="宋体" w:cs="宋体"/>
          <w:spacing w:val="-14"/>
          <w:sz w:val="22"/>
          <w:szCs w:val="22"/>
        </w:rPr>
        <w:t>义，营养指机体通过摄取食物，经过体内消化、吸收和代谢，利用食物中对身体</w:t>
      </w:r>
      <w:r>
        <w:rPr>
          <w:rFonts w:ascii="宋体" w:eastAsia="宋体" w:hAnsi="宋体" w:cs="宋体"/>
          <w:spacing w:val="17"/>
          <w:sz w:val="22"/>
          <w:szCs w:val="22"/>
        </w:rPr>
        <w:t xml:space="preserve"> </w:t>
      </w:r>
      <w:r>
        <w:rPr>
          <w:rFonts w:ascii="宋体" w:eastAsia="宋体" w:hAnsi="宋体" w:cs="宋体"/>
          <w:spacing w:val="-13"/>
          <w:sz w:val="22"/>
          <w:szCs w:val="22"/>
        </w:rPr>
        <w:t>有益的物质作为构建机体组织器官、满足生理功能和体力活动需要的过程。</w:t>
      </w:r>
    </w:p>
    <w:p w:rsidR="00EA40A3" w:rsidRDefault="00E86C16">
      <w:pPr>
        <w:spacing w:before="53" w:line="248" w:lineRule="auto"/>
        <w:ind w:firstLine="430"/>
        <w:jc w:val="both"/>
        <w:rPr>
          <w:rFonts w:ascii="宋体" w:eastAsia="宋体" w:hAnsi="宋体" w:cs="宋体"/>
          <w:sz w:val="22"/>
          <w:szCs w:val="22"/>
        </w:rPr>
      </w:pPr>
      <w:r>
        <w:rPr>
          <w:rFonts w:ascii="宋体" w:eastAsia="宋体" w:hAnsi="宋体" w:cs="宋体"/>
          <w:spacing w:val="-12"/>
          <w:sz w:val="22"/>
          <w:szCs w:val="22"/>
        </w:rPr>
        <w:t>营养素</w:t>
      </w:r>
      <w:r>
        <w:rPr>
          <w:rFonts w:ascii="宋体" w:eastAsia="宋体" w:hAnsi="宋体" w:cs="宋体"/>
          <w:spacing w:val="-25"/>
          <w:sz w:val="22"/>
          <w:szCs w:val="22"/>
        </w:rPr>
        <w:t xml:space="preserve"> </w:t>
      </w:r>
      <w:r>
        <w:rPr>
          <w:rFonts w:ascii="宋体" w:eastAsia="宋体" w:hAnsi="宋体" w:cs="宋体"/>
          <w:spacing w:val="-12"/>
          <w:sz w:val="22"/>
          <w:szCs w:val="22"/>
        </w:rPr>
        <w:t>(nutrient),</w:t>
      </w:r>
      <w:r>
        <w:rPr>
          <w:rFonts w:ascii="宋体" w:eastAsia="宋体" w:hAnsi="宋体" w:cs="宋体"/>
          <w:spacing w:val="-42"/>
          <w:sz w:val="22"/>
          <w:szCs w:val="22"/>
        </w:rPr>
        <w:t xml:space="preserve"> </w:t>
      </w:r>
      <w:r>
        <w:rPr>
          <w:rFonts w:ascii="宋体" w:eastAsia="宋体" w:hAnsi="宋体" w:cs="宋体"/>
          <w:spacing w:val="-12"/>
          <w:sz w:val="22"/>
          <w:szCs w:val="22"/>
        </w:rPr>
        <w:t>指具有营养功能的物质，包括蛋白</w:t>
      </w:r>
      <w:r>
        <w:rPr>
          <w:rFonts w:ascii="宋体" w:eastAsia="宋体" w:hAnsi="宋体" w:cs="宋体"/>
          <w:spacing w:val="-13"/>
          <w:sz w:val="22"/>
          <w:szCs w:val="22"/>
        </w:rPr>
        <w:t>质、脂类、碳水化合</w:t>
      </w:r>
      <w:r>
        <w:rPr>
          <w:rFonts w:ascii="宋体" w:eastAsia="宋体" w:hAnsi="宋体" w:cs="宋体"/>
          <w:sz w:val="22"/>
          <w:szCs w:val="22"/>
        </w:rPr>
        <w:t xml:space="preserve"> </w:t>
      </w:r>
      <w:r>
        <w:rPr>
          <w:rFonts w:ascii="宋体" w:eastAsia="宋体" w:hAnsi="宋体" w:cs="宋体"/>
          <w:spacing w:val="-10"/>
          <w:sz w:val="22"/>
          <w:szCs w:val="22"/>
        </w:rPr>
        <w:t>物、维生素、矿物质、水六大类。已研究明确并得到公认</w:t>
      </w:r>
      <w:r>
        <w:rPr>
          <w:rFonts w:ascii="宋体" w:eastAsia="宋体" w:hAnsi="宋体" w:cs="宋体"/>
          <w:spacing w:val="-11"/>
          <w:sz w:val="22"/>
          <w:szCs w:val="22"/>
        </w:rPr>
        <w:t>的人体营养素有42种，</w:t>
      </w:r>
      <w:r>
        <w:rPr>
          <w:rFonts w:ascii="宋体" w:eastAsia="宋体" w:hAnsi="宋体" w:cs="宋体"/>
          <w:sz w:val="22"/>
          <w:szCs w:val="22"/>
        </w:rPr>
        <w:t xml:space="preserve"> </w:t>
      </w:r>
      <w:r>
        <w:rPr>
          <w:rFonts w:ascii="宋体" w:eastAsia="宋体" w:hAnsi="宋体" w:cs="宋体"/>
          <w:spacing w:val="-9"/>
          <w:sz w:val="22"/>
          <w:szCs w:val="22"/>
        </w:rPr>
        <w:t>其中包括9种必需氨基酸：异亮氨酸、亮氨酸、赖氨酸、蛋氨酸、苯丙</w:t>
      </w:r>
      <w:r>
        <w:rPr>
          <w:rFonts w:ascii="宋体" w:eastAsia="宋体" w:hAnsi="宋体" w:cs="宋体"/>
          <w:spacing w:val="-10"/>
          <w:sz w:val="22"/>
          <w:szCs w:val="22"/>
        </w:rPr>
        <w:t>氨酸、苏</w:t>
      </w:r>
      <w:r>
        <w:rPr>
          <w:rFonts w:ascii="宋体" w:eastAsia="宋体" w:hAnsi="宋体" w:cs="宋体"/>
          <w:sz w:val="22"/>
          <w:szCs w:val="22"/>
        </w:rPr>
        <w:t xml:space="preserve"> </w:t>
      </w:r>
      <w:r>
        <w:rPr>
          <w:rFonts w:ascii="宋体" w:eastAsia="宋体" w:hAnsi="宋体" w:cs="宋体"/>
          <w:spacing w:val="-7"/>
          <w:sz w:val="22"/>
          <w:szCs w:val="22"/>
        </w:rPr>
        <w:t>氨酸、色氨酸、缬氨酸、组氨酸；两种必需脂肪酸：亚油酸和α亚麻酸；14种</w:t>
      </w:r>
      <w:r>
        <w:rPr>
          <w:rFonts w:ascii="宋体" w:eastAsia="宋体" w:hAnsi="宋体" w:cs="宋体"/>
          <w:sz w:val="22"/>
          <w:szCs w:val="22"/>
        </w:rPr>
        <w:t xml:space="preserve">  </w:t>
      </w:r>
      <w:r>
        <w:rPr>
          <w:rFonts w:ascii="宋体" w:eastAsia="宋体" w:hAnsi="宋体" w:cs="宋体"/>
          <w:spacing w:val="-2"/>
          <w:sz w:val="22"/>
          <w:szCs w:val="22"/>
        </w:rPr>
        <w:t>维生素：维生素A、</w:t>
      </w:r>
      <w:r>
        <w:rPr>
          <w:rFonts w:ascii="宋体" w:eastAsia="宋体" w:hAnsi="宋体" w:cs="宋体"/>
          <w:spacing w:val="-10"/>
          <w:sz w:val="22"/>
          <w:szCs w:val="22"/>
        </w:rPr>
        <w:t xml:space="preserve"> </w:t>
      </w:r>
      <w:r>
        <w:rPr>
          <w:rFonts w:ascii="宋体" w:eastAsia="宋体" w:hAnsi="宋体" w:cs="宋体"/>
          <w:spacing w:val="-2"/>
          <w:sz w:val="22"/>
          <w:szCs w:val="22"/>
        </w:rPr>
        <w:t>维生素</w:t>
      </w:r>
      <w:r>
        <w:rPr>
          <w:rFonts w:ascii="宋体" w:eastAsia="宋体" w:hAnsi="宋体" w:cs="宋体"/>
          <w:spacing w:val="-58"/>
          <w:sz w:val="22"/>
          <w:szCs w:val="22"/>
        </w:rPr>
        <w:t xml:space="preserve"> </w:t>
      </w:r>
      <w:r>
        <w:rPr>
          <w:rFonts w:ascii="宋体" w:eastAsia="宋体" w:hAnsi="宋体" w:cs="宋体"/>
          <w:spacing w:val="-2"/>
          <w:sz w:val="22"/>
          <w:szCs w:val="22"/>
        </w:rPr>
        <w:t>D、</w:t>
      </w:r>
      <w:r>
        <w:rPr>
          <w:rFonts w:ascii="宋体" w:eastAsia="宋体" w:hAnsi="宋体" w:cs="宋体"/>
          <w:spacing w:val="-31"/>
          <w:sz w:val="22"/>
          <w:szCs w:val="22"/>
        </w:rPr>
        <w:t xml:space="preserve"> </w:t>
      </w:r>
      <w:r>
        <w:rPr>
          <w:rFonts w:ascii="宋体" w:eastAsia="宋体" w:hAnsi="宋体" w:cs="宋体"/>
          <w:spacing w:val="-2"/>
          <w:sz w:val="22"/>
          <w:szCs w:val="22"/>
        </w:rPr>
        <w:t>维生素E、</w:t>
      </w:r>
      <w:r>
        <w:rPr>
          <w:rFonts w:ascii="宋体" w:eastAsia="宋体" w:hAnsi="宋体" w:cs="宋体"/>
          <w:spacing w:val="-51"/>
          <w:sz w:val="22"/>
          <w:szCs w:val="22"/>
        </w:rPr>
        <w:t xml:space="preserve"> </w:t>
      </w:r>
      <w:r>
        <w:rPr>
          <w:rFonts w:ascii="宋体" w:eastAsia="宋体" w:hAnsi="宋体" w:cs="宋体"/>
          <w:spacing w:val="-2"/>
          <w:sz w:val="22"/>
          <w:szCs w:val="22"/>
        </w:rPr>
        <w:t>维生素</w:t>
      </w:r>
      <w:r>
        <w:rPr>
          <w:rFonts w:ascii="宋体" w:eastAsia="宋体" w:hAnsi="宋体" w:cs="宋体"/>
          <w:spacing w:val="-61"/>
          <w:sz w:val="22"/>
          <w:szCs w:val="22"/>
        </w:rPr>
        <w:t xml:space="preserve"> </w:t>
      </w:r>
      <w:r>
        <w:rPr>
          <w:rFonts w:ascii="宋体" w:eastAsia="宋体" w:hAnsi="宋体" w:cs="宋体"/>
          <w:spacing w:val="-2"/>
          <w:sz w:val="22"/>
          <w:szCs w:val="22"/>
        </w:rPr>
        <w:t>K、</w:t>
      </w:r>
      <w:r>
        <w:rPr>
          <w:rFonts w:ascii="宋体" w:eastAsia="宋体" w:hAnsi="宋体" w:cs="宋体"/>
          <w:spacing w:val="-21"/>
          <w:sz w:val="22"/>
          <w:szCs w:val="22"/>
        </w:rPr>
        <w:t xml:space="preserve"> </w:t>
      </w:r>
      <w:r>
        <w:rPr>
          <w:rFonts w:ascii="宋体" w:eastAsia="宋体" w:hAnsi="宋体" w:cs="宋体"/>
          <w:spacing w:val="-2"/>
          <w:sz w:val="22"/>
          <w:szCs w:val="22"/>
        </w:rPr>
        <w:t>维生素B</w:t>
      </w:r>
      <w:r>
        <w:rPr>
          <w:rFonts w:ascii="Calibri" w:eastAsia="Calibri" w:hAnsi="Calibri" w:cs="Calibri"/>
          <w:spacing w:val="-2"/>
          <w:sz w:val="22"/>
          <w:szCs w:val="22"/>
        </w:rPr>
        <w:t>₁</w:t>
      </w:r>
      <w:r>
        <w:rPr>
          <w:rFonts w:ascii="Calibri" w:eastAsia="Calibri" w:hAnsi="Calibri" w:cs="Calibri"/>
          <w:spacing w:val="-25"/>
          <w:sz w:val="22"/>
          <w:szCs w:val="22"/>
        </w:rPr>
        <w:t xml:space="preserve"> </w:t>
      </w:r>
      <w:r>
        <w:rPr>
          <w:rFonts w:ascii="宋体" w:eastAsia="宋体" w:hAnsi="宋体" w:cs="宋体"/>
          <w:spacing w:val="-2"/>
          <w:sz w:val="22"/>
          <w:szCs w:val="22"/>
        </w:rPr>
        <w:t>、维生素B</w:t>
      </w:r>
      <w:r>
        <w:rPr>
          <w:rFonts w:ascii="Calibri" w:eastAsia="Calibri" w:hAnsi="Calibri" w:cs="Calibri"/>
          <w:spacing w:val="-2"/>
          <w:sz w:val="22"/>
          <w:szCs w:val="22"/>
        </w:rPr>
        <w:t>₂</w:t>
      </w:r>
      <w:r>
        <w:rPr>
          <w:rFonts w:ascii="宋体" w:eastAsia="宋体" w:hAnsi="宋体" w:cs="宋体"/>
          <w:spacing w:val="-2"/>
          <w:sz w:val="22"/>
          <w:szCs w:val="22"/>
        </w:rPr>
        <w:t>、</w:t>
      </w:r>
      <w:r>
        <w:rPr>
          <w:rFonts w:ascii="宋体" w:eastAsia="宋体" w:hAnsi="宋体" w:cs="宋体"/>
          <w:sz w:val="22"/>
          <w:szCs w:val="22"/>
        </w:rPr>
        <w:t xml:space="preserve"> </w:t>
      </w:r>
      <w:r>
        <w:rPr>
          <w:rFonts w:ascii="宋体" w:eastAsia="宋体" w:hAnsi="宋体" w:cs="宋体"/>
          <w:spacing w:val="-6"/>
          <w:sz w:val="22"/>
          <w:szCs w:val="22"/>
        </w:rPr>
        <w:t>维生素Bg、</w:t>
      </w:r>
      <w:r>
        <w:rPr>
          <w:rFonts w:ascii="宋体" w:eastAsia="宋体" w:hAnsi="宋体" w:cs="宋体"/>
          <w:spacing w:val="-49"/>
          <w:sz w:val="22"/>
          <w:szCs w:val="22"/>
        </w:rPr>
        <w:t xml:space="preserve"> </w:t>
      </w:r>
      <w:r>
        <w:rPr>
          <w:rFonts w:ascii="宋体" w:eastAsia="宋体" w:hAnsi="宋体" w:cs="宋体"/>
          <w:spacing w:val="-6"/>
          <w:sz w:val="22"/>
          <w:szCs w:val="22"/>
        </w:rPr>
        <w:t>维生素B</w:t>
      </w:r>
      <w:r>
        <w:rPr>
          <w:rFonts w:ascii="Calibri" w:eastAsia="Calibri" w:hAnsi="Calibri" w:cs="Calibri"/>
          <w:spacing w:val="-6"/>
          <w:sz w:val="22"/>
          <w:szCs w:val="22"/>
        </w:rPr>
        <w:t>₂</w:t>
      </w:r>
      <w:r>
        <w:rPr>
          <w:rFonts w:ascii="Calibri" w:eastAsia="Calibri" w:hAnsi="Calibri" w:cs="Calibri"/>
          <w:spacing w:val="-25"/>
          <w:sz w:val="22"/>
          <w:szCs w:val="22"/>
        </w:rPr>
        <w:t xml:space="preserve"> </w:t>
      </w:r>
      <w:r>
        <w:rPr>
          <w:rFonts w:ascii="宋体" w:eastAsia="宋体" w:hAnsi="宋体" w:cs="宋体"/>
          <w:spacing w:val="-6"/>
          <w:sz w:val="22"/>
          <w:szCs w:val="22"/>
        </w:rPr>
        <w:t>、</w:t>
      </w:r>
      <w:r>
        <w:rPr>
          <w:rFonts w:ascii="宋体" w:eastAsia="宋体" w:hAnsi="宋体" w:cs="宋体"/>
          <w:spacing w:val="-21"/>
          <w:sz w:val="22"/>
          <w:szCs w:val="22"/>
        </w:rPr>
        <w:t xml:space="preserve"> </w:t>
      </w:r>
      <w:r>
        <w:rPr>
          <w:rFonts w:ascii="宋体" w:eastAsia="宋体" w:hAnsi="宋体" w:cs="宋体"/>
          <w:spacing w:val="-6"/>
          <w:sz w:val="22"/>
          <w:szCs w:val="22"/>
        </w:rPr>
        <w:t>烟酸、泛酸、叶酸、胆碱、生物素、维生素C;7</w:t>
      </w:r>
      <w:r>
        <w:rPr>
          <w:rFonts w:ascii="宋体" w:eastAsia="宋体" w:hAnsi="宋体" w:cs="宋体"/>
          <w:spacing w:val="97"/>
          <w:sz w:val="22"/>
          <w:szCs w:val="22"/>
        </w:rPr>
        <w:t xml:space="preserve"> </w:t>
      </w:r>
      <w:r>
        <w:rPr>
          <w:rFonts w:ascii="宋体" w:eastAsia="宋体" w:hAnsi="宋体" w:cs="宋体"/>
          <w:spacing w:val="-6"/>
          <w:sz w:val="22"/>
          <w:szCs w:val="22"/>
        </w:rPr>
        <w:t>种常</w:t>
      </w:r>
      <w:r>
        <w:rPr>
          <w:rFonts w:ascii="宋体" w:eastAsia="宋体" w:hAnsi="宋体" w:cs="宋体"/>
          <w:sz w:val="22"/>
          <w:szCs w:val="22"/>
        </w:rPr>
        <w:t xml:space="preserve"> </w:t>
      </w:r>
      <w:r>
        <w:rPr>
          <w:rFonts w:ascii="宋体" w:eastAsia="宋体" w:hAnsi="宋体" w:cs="宋体"/>
          <w:spacing w:val="-8"/>
          <w:sz w:val="22"/>
          <w:szCs w:val="22"/>
        </w:rPr>
        <w:t>量元素：钾、钠、钙、镁、硫、磷、氯；8种微量元素：铁、碘、锌、硒、铜、</w:t>
      </w:r>
    </w:p>
    <w:p w:rsidR="00EA40A3" w:rsidRDefault="00E86C16">
      <w:pPr>
        <w:spacing w:before="91" w:line="241" w:lineRule="auto"/>
        <w:ind w:right="25"/>
        <w:jc w:val="right"/>
        <w:rPr>
          <w:rFonts w:ascii="宋体" w:eastAsia="宋体" w:hAnsi="宋体" w:cs="宋体"/>
          <w:sz w:val="22"/>
          <w:szCs w:val="22"/>
        </w:rPr>
      </w:pPr>
      <w:r>
        <w:rPr>
          <w:rFonts w:ascii="宋体" w:eastAsia="宋体" w:hAnsi="宋体" w:cs="宋体"/>
          <w:spacing w:val="-60"/>
          <w:sz w:val="22"/>
          <w:szCs w:val="22"/>
        </w:rPr>
        <w:t>·</w:t>
      </w:r>
      <w:r>
        <w:rPr>
          <w:rFonts w:ascii="宋体" w:eastAsia="宋体" w:hAnsi="宋体" w:cs="宋体"/>
          <w:spacing w:val="-19"/>
          <w:sz w:val="22"/>
          <w:szCs w:val="22"/>
        </w:rPr>
        <w:t xml:space="preserve"> </w:t>
      </w:r>
      <w:r>
        <w:rPr>
          <w:rFonts w:ascii="宋体" w:eastAsia="宋体" w:hAnsi="宋体" w:cs="宋体"/>
          <w:spacing w:val="-60"/>
          <w:sz w:val="22"/>
          <w:szCs w:val="22"/>
        </w:rPr>
        <w:t>1</w:t>
      </w:r>
      <w:r>
        <w:rPr>
          <w:rFonts w:ascii="宋体" w:eastAsia="宋体" w:hAnsi="宋体" w:cs="宋体"/>
          <w:spacing w:val="22"/>
          <w:sz w:val="22"/>
          <w:szCs w:val="22"/>
        </w:rPr>
        <w:t xml:space="preserve"> </w:t>
      </w:r>
      <w:r>
        <w:rPr>
          <w:rFonts w:ascii="宋体" w:eastAsia="宋体" w:hAnsi="宋体" w:cs="宋体"/>
          <w:spacing w:val="-60"/>
          <w:sz w:val="22"/>
          <w:szCs w:val="22"/>
        </w:rPr>
        <w:t>·</w:t>
      </w:r>
    </w:p>
    <w:p w:rsidR="00EA40A3" w:rsidRDefault="00EA40A3">
      <w:pPr>
        <w:sectPr w:rsidR="00EA40A3">
          <w:footerReference w:type="default" r:id="rId16"/>
          <w:pgSz w:w="9220" w:h="13360"/>
          <w:pgMar w:top="400" w:right="979" w:bottom="400" w:left="910" w:header="0" w:footer="0" w:gutter="0"/>
          <w:cols w:space="720"/>
        </w:sectPr>
      </w:pPr>
    </w:p>
    <w:p w:rsidR="00EA40A3" w:rsidRDefault="00825D12">
      <w:pPr>
        <w:spacing w:line="262" w:lineRule="auto"/>
      </w:pPr>
      <w:r>
        <w:rPr>
          <w:noProof/>
        </w:rPr>
        <w:lastRenderedPageBreak/>
        <mc:AlternateContent>
          <mc:Choice Requires="wps">
            <w:drawing>
              <wp:anchor distT="0" distB="0" distL="114300" distR="114300" simplePos="0" relativeHeight="251663360" behindDoc="0" locked="0" layoutInCell="0" allowOverlap="1">
                <wp:simplePos x="0" y="0"/>
                <wp:positionH relativeFrom="page">
                  <wp:posOffset>4291330</wp:posOffset>
                </wp:positionH>
                <wp:positionV relativeFrom="page">
                  <wp:posOffset>6088380</wp:posOffset>
                </wp:positionV>
                <wp:extent cx="156845" cy="416560"/>
                <wp:effectExtent l="0" t="1905" r="0" b="635"/>
                <wp:wrapNone/>
                <wp:docPr id="1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7" w:lineRule="auto"/>
                              <w:ind w:left="20"/>
                              <w:rPr>
                                <w:rFonts w:ascii="宋体" w:eastAsia="宋体" w:hAnsi="宋体" w:cs="宋体"/>
                                <w:sz w:val="17"/>
                                <w:szCs w:val="17"/>
                              </w:rPr>
                            </w:pPr>
                            <w:r>
                              <w:rPr>
                                <w:rFonts w:ascii="宋体" w:eastAsia="宋体" w:hAnsi="宋体" w:cs="宋体"/>
                                <w:spacing w:val="35"/>
                                <w:sz w:val="17"/>
                                <w:szCs w:val="17"/>
                              </w:rPr>
                              <w:t>不良反</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37.9pt;margin-top:479.4pt;width:12.35pt;height:3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" o:allowincell="f" filled="f" stroked="f">
                <v:textbox style="layout-flow:vertical-ideographic" inset="0,0,0,0">
                  <w:txbxContent>
                    <w:p w:rsidR="00E86C16" w:rsidRDefault="00E86C16">
                      <w:pPr>
                        <w:spacing w:before="20" w:line="217" w:lineRule="auto"/>
                        <w:ind w:left="20"/>
                        <w:rPr>
                          <w:rFonts w:ascii="宋体" w:eastAsia="宋体" w:hAnsi="宋体" w:cs="宋体"/>
                          <w:sz w:val="17"/>
                          <w:szCs w:val="17"/>
                        </w:rPr>
                      </w:pPr>
                      <w:r>
                        <w:rPr>
                          <w:rFonts w:ascii="宋体" w:eastAsia="宋体" w:hAnsi="宋体" w:cs="宋体"/>
                          <w:spacing w:val="35"/>
                          <w:sz w:val="17"/>
                          <w:szCs w:val="17"/>
                        </w:rPr>
                        <w:t>不良反</w:t>
                      </w:r>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0" allowOverlap="1">
                <wp:simplePos x="0" y="0"/>
                <wp:positionH relativeFrom="page">
                  <wp:posOffset>1186815</wp:posOffset>
                </wp:positionH>
                <wp:positionV relativeFrom="page">
                  <wp:posOffset>6153785</wp:posOffset>
                </wp:positionV>
                <wp:extent cx="156210" cy="241300"/>
                <wp:effectExtent l="0" t="635" r="0" b="0"/>
                <wp:wrapNone/>
                <wp:docPr id="1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z w:val="17"/>
                                <w:szCs w:val="17"/>
                              </w:rPr>
                              <w:t>缺乏</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93.45pt;margin-top:484.55pt;width:12.3pt;height:1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" o:allowincell="f" filled="f" stroked="f">
                <v:textbox style="layout-flow:vertical-ideographic" inset="0,0,0,0">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z w:val="17"/>
                          <w:szCs w:val="17"/>
                        </w:rPr>
                        <w:t>缺乏</w:t>
                      </w:r>
                    </w:p>
                  </w:txbxContent>
                </v:textbox>
                <w10:wrap anchorx="page" anchory="page"/>
              </v:shape>
            </w:pict>
          </mc:Fallback>
        </mc:AlternateContent>
      </w:r>
    </w:p>
    <w:p w:rsidR="00EA40A3" w:rsidRDefault="00EA40A3">
      <w:pPr>
        <w:spacing w:line="262" w:lineRule="auto"/>
      </w:pPr>
    </w:p>
    <w:p w:rsidR="00EA40A3" w:rsidRDefault="00E86C16">
      <w:pPr>
        <w:spacing w:before="71" w:line="244" w:lineRule="auto"/>
        <w:ind w:right="56"/>
        <w:jc w:val="both"/>
        <w:rPr>
          <w:rFonts w:ascii="宋体" w:eastAsia="宋体" w:hAnsi="宋体" w:cs="宋体"/>
          <w:sz w:val="22"/>
          <w:szCs w:val="22"/>
        </w:rPr>
      </w:pPr>
      <w:r>
        <w:rPr>
          <w:rFonts w:ascii="宋体" w:eastAsia="宋体" w:hAnsi="宋体" w:cs="宋体"/>
          <w:spacing w:val="-2"/>
          <w:sz w:val="22"/>
          <w:szCs w:val="22"/>
        </w:rPr>
        <w:t>铬、钼、钴；1种碳水化合物(葡萄糖)和水。有一些营养物质人体可能需要，</w:t>
      </w:r>
      <w:r>
        <w:rPr>
          <w:rFonts w:ascii="宋体" w:eastAsia="宋体" w:hAnsi="宋体" w:cs="宋体"/>
          <w:spacing w:val="12"/>
          <w:sz w:val="22"/>
          <w:szCs w:val="22"/>
        </w:rPr>
        <w:t xml:space="preserve"> </w:t>
      </w:r>
      <w:r>
        <w:rPr>
          <w:rFonts w:ascii="宋体" w:eastAsia="宋体" w:hAnsi="宋体" w:cs="宋体"/>
          <w:spacing w:val="-13"/>
          <w:sz w:val="22"/>
          <w:szCs w:val="22"/>
        </w:rPr>
        <w:t>但尚未确定，如硅、硼等。有一些营养物质如牛磺酸、肉碱在婴幼儿体内不能合</w:t>
      </w:r>
      <w:r>
        <w:rPr>
          <w:rFonts w:ascii="宋体" w:eastAsia="宋体" w:hAnsi="宋体" w:cs="宋体"/>
          <w:spacing w:val="2"/>
          <w:sz w:val="22"/>
          <w:szCs w:val="22"/>
        </w:rPr>
        <w:t xml:space="preserve"> </w:t>
      </w:r>
      <w:r>
        <w:rPr>
          <w:rFonts w:ascii="宋体" w:eastAsia="宋体" w:hAnsi="宋体" w:cs="宋体"/>
          <w:spacing w:val="-13"/>
          <w:sz w:val="22"/>
          <w:szCs w:val="22"/>
        </w:rPr>
        <w:t>成。此外，还有一些非营养物质，如膳食纤维。膳食纤维虽不作为营养素，但却</w:t>
      </w:r>
      <w:r>
        <w:rPr>
          <w:rFonts w:ascii="宋体" w:eastAsia="宋体" w:hAnsi="宋体" w:cs="宋体"/>
          <w:spacing w:val="14"/>
          <w:sz w:val="22"/>
          <w:szCs w:val="22"/>
        </w:rPr>
        <w:t xml:space="preserve"> </w:t>
      </w:r>
      <w:r>
        <w:rPr>
          <w:rFonts w:ascii="宋体" w:eastAsia="宋体" w:hAnsi="宋体" w:cs="宋体"/>
          <w:spacing w:val="-19"/>
          <w:sz w:val="22"/>
          <w:szCs w:val="22"/>
        </w:rPr>
        <w:t>是人体所必需的。</w:t>
      </w:r>
    </w:p>
    <w:p w:rsidR="00EA40A3" w:rsidRDefault="00E86C16">
      <w:pPr>
        <w:spacing w:before="40" w:line="245" w:lineRule="auto"/>
        <w:ind w:firstLine="439"/>
        <w:rPr>
          <w:rFonts w:ascii="宋体" w:eastAsia="宋体" w:hAnsi="宋体" w:cs="宋体"/>
          <w:sz w:val="22"/>
          <w:szCs w:val="22"/>
        </w:rPr>
      </w:pPr>
      <w:r>
        <w:rPr>
          <w:rFonts w:ascii="宋体" w:eastAsia="宋体" w:hAnsi="宋体" w:cs="宋体"/>
          <w:spacing w:val="-12"/>
          <w:sz w:val="22"/>
          <w:szCs w:val="22"/>
        </w:rPr>
        <w:t>营养学</w:t>
      </w:r>
      <w:r>
        <w:rPr>
          <w:rFonts w:ascii="宋体" w:eastAsia="宋体" w:hAnsi="宋体" w:cs="宋体"/>
          <w:spacing w:val="-35"/>
          <w:sz w:val="22"/>
          <w:szCs w:val="22"/>
        </w:rPr>
        <w:t xml:space="preserve"> </w:t>
      </w:r>
      <w:r>
        <w:rPr>
          <w:rFonts w:ascii="宋体" w:eastAsia="宋体" w:hAnsi="宋体" w:cs="宋体"/>
          <w:spacing w:val="-12"/>
          <w:sz w:val="22"/>
          <w:szCs w:val="22"/>
        </w:rPr>
        <w:t>(nutrition或</w:t>
      </w:r>
      <w:r>
        <w:rPr>
          <w:rFonts w:ascii="宋体" w:eastAsia="宋体" w:hAnsi="宋体" w:cs="宋体"/>
          <w:spacing w:val="-59"/>
          <w:sz w:val="22"/>
          <w:szCs w:val="22"/>
        </w:rPr>
        <w:t xml:space="preserve"> </w:t>
      </w:r>
      <w:r>
        <w:rPr>
          <w:rFonts w:ascii="宋体" w:eastAsia="宋体" w:hAnsi="宋体" w:cs="宋体"/>
          <w:spacing w:val="-12"/>
          <w:sz w:val="22"/>
          <w:szCs w:val="22"/>
        </w:rPr>
        <w:t>nutriology):</w:t>
      </w:r>
      <w:r>
        <w:rPr>
          <w:rFonts w:ascii="宋体" w:eastAsia="宋体" w:hAnsi="宋体" w:cs="宋体"/>
          <w:spacing w:val="-39"/>
          <w:sz w:val="22"/>
          <w:szCs w:val="22"/>
        </w:rPr>
        <w:t xml:space="preserve"> </w:t>
      </w:r>
      <w:r>
        <w:rPr>
          <w:rFonts w:ascii="宋体" w:eastAsia="宋体" w:hAnsi="宋体" w:cs="宋体"/>
          <w:spacing w:val="-12"/>
          <w:sz w:val="22"/>
          <w:szCs w:val="22"/>
        </w:rPr>
        <w:t>是研究人体营养与健康关系的一门学科。</w:t>
      </w:r>
      <w:r>
        <w:rPr>
          <w:rFonts w:ascii="宋体" w:eastAsia="宋体" w:hAnsi="宋体" w:cs="宋体"/>
          <w:sz w:val="22"/>
          <w:szCs w:val="22"/>
        </w:rPr>
        <w:t xml:space="preserve"> </w:t>
      </w:r>
      <w:r>
        <w:rPr>
          <w:rFonts w:ascii="宋体" w:eastAsia="宋体" w:hAnsi="宋体" w:cs="宋体"/>
          <w:spacing w:val="-3"/>
          <w:sz w:val="22"/>
          <w:szCs w:val="22"/>
        </w:rPr>
        <w:t>随着营养学的发展，出现了许多营养学分支学科，如人类(基础)营养学</w:t>
      </w:r>
      <w:r>
        <w:rPr>
          <w:rFonts w:ascii="宋体" w:eastAsia="宋体" w:hAnsi="宋体" w:cs="宋体"/>
          <w:spacing w:val="-11"/>
          <w:sz w:val="22"/>
          <w:szCs w:val="22"/>
        </w:rPr>
        <w:t xml:space="preserve"> </w:t>
      </w:r>
      <w:r>
        <w:rPr>
          <w:rFonts w:ascii="宋体" w:eastAsia="宋体" w:hAnsi="宋体" w:cs="宋体"/>
          <w:spacing w:val="-3"/>
          <w:sz w:val="22"/>
          <w:szCs w:val="22"/>
        </w:rPr>
        <w:t>(hu-</w:t>
      </w:r>
      <w:r>
        <w:rPr>
          <w:rFonts w:ascii="宋体" w:eastAsia="宋体" w:hAnsi="宋体" w:cs="宋体"/>
          <w:sz w:val="22"/>
          <w:szCs w:val="22"/>
        </w:rPr>
        <w:t xml:space="preserve">  </w:t>
      </w:r>
      <w:r>
        <w:rPr>
          <w:rFonts w:ascii="宋体" w:eastAsia="宋体" w:hAnsi="宋体" w:cs="宋体"/>
          <w:spacing w:val="-10"/>
          <w:sz w:val="22"/>
          <w:szCs w:val="22"/>
        </w:rPr>
        <w:t>man</w:t>
      </w:r>
      <w:r>
        <w:rPr>
          <w:rFonts w:ascii="宋体" w:eastAsia="宋体" w:hAnsi="宋体" w:cs="宋体"/>
          <w:spacing w:val="-6"/>
          <w:sz w:val="22"/>
          <w:szCs w:val="22"/>
        </w:rPr>
        <w:t xml:space="preserve"> </w:t>
      </w:r>
      <w:r>
        <w:rPr>
          <w:rFonts w:ascii="宋体" w:eastAsia="宋体" w:hAnsi="宋体" w:cs="宋体"/>
          <w:spacing w:val="-10"/>
          <w:sz w:val="22"/>
          <w:szCs w:val="22"/>
        </w:rPr>
        <w:t>nutrition)、</w:t>
      </w:r>
      <w:r>
        <w:rPr>
          <w:rFonts w:ascii="宋体" w:eastAsia="宋体" w:hAnsi="宋体" w:cs="宋体"/>
          <w:spacing w:val="-56"/>
          <w:sz w:val="22"/>
          <w:szCs w:val="22"/>
        </w:rPr>
        <w:t xml:space="preserve"> </w:t>
      </w:r>
      <w:r>
        <w:rPr>
          <w:rFonts w:ascii="宋体" w:eastAsia="宋体" w:hAnsi="宋体" w:cs="宋体"/>
          <w:spacing w:val="-10"/>
          <w:sz w:val="22"/>
          <w:szCs w:val="22"/>
        </w:rPr>
        <w:t>临床(医学)营</w:t>
      </w:r>
      <w:r>
        <w:rPr>
          <w:rFonts w:ascii="宋体" w:eastAsia="宋体" w:hAnsi="宋体" w:cs="宋体"/>
          <w:spacing w:val="-11"/>
          <w:sz w:val="22"/>
          <w:szCs w:val="22"/>
        </w:rPr>
        <w:t>养学</w:t>
      </w:r>
      <w:r>
        <w:rPr>
          <w:rFonts w:ascii="宋体" w:eastAsia="宋体" w:hAnsi="宋体" w:cs="宋体"/>
          <w:spacing w:val="-13"/>
          <w:sz w:val="22"/>
          <w:szCs w:val="22"/>
        </w:rPr>
        <w:t xml:space="preserve"> </w:t>
      </w:r>
      <w:r>
        <w:rPr>
          <w:rFonts w:ascii="宋体" w:eastAsia="宋体" w:hAnsi="宋体" w:cs="宋体"/>
          <w:spacing w:val="-11"/>
          <w:sz w:val="22"/>
          <w:szCs w:val="22"/>
        </w:rPr>
        <w:t>(</w:t>
      </w:r>
      <w:r>
        <w:rPr>
          <w:rFonts w:ascii="宋体" w:eastAsia="宋体" w:hAnsi="宋体" w:cs="宋体"/>
          <w:spacing w:val="-10"/>
          <w:sz w:val="22"/>
          <w:szCs w:val="22"/>
        </w:rPr>
        <w:t>clinical</w:t>
      </w:r>
      <w:r>
        <w:rPr>
          <w:rFonts w:ascii="宋体" w:eastAsia="宋体" w:hAnsi="宋体" w:cs="宋体"/>
          <w:spacing w:val="-11"/>
          <w:sz w:val="22"/>
          <w:szCs w:val="22"/>
        </w:rPr>
        <w:t xml:space="preserve"> </w:t>
      </w:r>
      <w:r>
        <w:rPr>
          <w:rFonts w:ascii="宋体" w:eastAsia="宋体" w:hAnsi="宋体" w:cs="宋体"/>
          <w:spacing w:val="-10"/>
          <w:sz w:val="22"/>
          <w:szCs w:val="22"/>
        </w:rPr>
        <w:t>nutrition</w:t>
      </w:r>
      <w:r>
        <w:rPr>
          <w:rFonts w:ascii="宋体" w:eastAsia="宋体" w:hAnsi="宋体" w:cs="宋体"/>
          <w:spacing w:val="-11"/>
          <w:sz w:val="22"/>
          <w:szCs w:val="22"/>
        </w:rPr>
        <w:t>)、食品营养学</w:t>
      </w:r>
      <w:r>
        <w:rPr>
          <w:rFonts w:ascii="宋体" w:eastAsia="宋体" w:hAnsi="宋体" w:cs="宋体"/>
          <w:spacing w:val="-12"/>
          <w:sz w:val="22"/>
          <w:szCs w:val="22"/>
        </w:rPr>
        <w:t xml:space="preserve"> </w:t>
      </w:r>
      <w:r>
        <w:rPr>
          <w:rFonts w:ascii="宋体" w:eastAsia="宋体" w:hAnsi="宋体" w:cs="宋体"/>
          <w:spacing w:val="-11"/>
          <w:sz w:val="22"/>
          <w:szCs w:val="22"/>
        </w:rPr>
        <w:t>(</w:t>
      </w:r>
      <w:r>
        <w:rPr>
          <w:rFonts w:ascii="宋体" w:eastAsia="宋体" w:hAnsi="宋体" w:cs="宋体"/>
          <w:spacing w:val="-10"/>
          <w:sz w:val="22"/>
          <w:szCs w:val="22"/>
        </w:rPr>
        <w:t>food</w:t>
      </w:r>
      <w:r>
        <w:rPr>
          <w:rFonts w:ascii="宋体" w:eastAsia="宋体" w:hAnsi="宋体" w:cs="宋体"/>
          <w:sz w:val="22"/>
          <w:szCs w:val="22"/>
        </w:rPr>
        <w:t xml:space="preserve"> </w:t>
      </w:r>
      <w:r>
        <w:rPr>
          <w:rFonts w:ascii="宋体" w:eastAsia="宋体" w:hAnsi="宋体" w:cs="宋体"/>
          <w:spacing w:val="-20"/>
          <w:sz w:val="22"/>
          <w:szCs w:val="22"/>
        </w:rPr>
        <w:t>nutrition)</w:t>
      </w:r>
      <w:r>
        <w:rPr>
          <w:rFonts w:ascii="宋体" w:eastAsia="宋体" w:hAnsi="宋体" w:cs="宋体"/>
          <w:spacing w:val="-33"/>
          <w:sz w:val="22"/>
          <w:szCs w:val="22"/>
        </w:rPr>
        <w:t xml:space="preserve"> </w:t>
      </w:r>
      <w:r>
        <w:rPr>
          <w:rFonts w:ascii="宋体" w:eastAsia="宋体" w:hAnsi="宋体" w:cs="宋体"/>
          <w:spacing w:val="-20"/>
          <w:sz w:val="22"/>
          <w:szCs w:val="22"/>
        </w:rPr>
        <w:t>等。</w:t>
      </w:r>
    </w:p>
    <w:p w:rsidR="00EA40A3" w:rsidRDefault="00E86C16">
      <w:pPr>
        <w:spacing w:before="47" w:line="243" w:lineRule="auto"/>
        <w:ind w:right="79" w:firstLine="439"/>
        <w:rPr>
          <w:rFonts w:ascii="宋体" w:eastAsia="宋体" w:hAnsi="宋体" w:cs="宋体"/>
          <w:sz w:val="22"/>
          <w:szCs w:val="22"/>
        </w:rPr>
      </w:pPr>
      <w:r>
        <w:rPr>
          <w:rFonts w:ascii="宋体" w:eastAsia="宋体" w:hAnsi="宋体" w:cs="宋体"/>
          <w:spacing w:val="-12"/>
          <w:sz w:val="22"/>
          <w:szCs w:val="22"/>
        </w:rPr>
        <w:t>食品营养学</w:t>
      </w:r>
      <w:r>
        <w:rPr>
          <w:rFonts w:ascii="宋体" w:eastAsia="宋体" w:hAnsi="宋体" w:cs="宋体"/>
          <w:spacing w:val="-3"/>
          <w:sz w:val="22"/>
          <w:szCs w:val="22"/>
        </w:rPr>
        <w:t xml:space="preserve"> </w:t>
      </w:r>
      <w:r>
        <w:rPr>
          <w:rFonts w:ascii="宋体" w:eastAsia="宋体" w:hAnsi="宋体" w:cs="宋体"/>
          <w:spacing w:val="-12"/>
          <w:sz w:val="22"/>
          <w:szCs w:val="22"/>
        </w:rPr>
        <w:t>(food</w:t>
      </w:r>
      <w:r>
        <w:rPr>
          <w:rFonts w:ascii="宋体" w:eastAsia="宋体" w:hAnsi="宋体" w:cs="宋体"/>
          <w:spacing w:val="-10"/>
          <w:sz w:val="22"/>
          <w:szCs w:val="22"/>
        </w:rPr>
        <w:t xml:space="preserve"> </w:t>
      </w:r>
      <w:r>
        <w:rPr>
          <w:rFonts w:ascii="宋体" w:eastAsia="宋体" w:hAnsi="宋体" w:cs="宋体"/>
          <w:spacing w:val="-12"/>
          <w:sz w:val="22"/>
          <w:szCs w:val="22"/>
        </w:rPr>
        <w:t>nutrition):</w:t>
      </w:r>
      <w:r>
        <w:rPr>
          <w:rFonts w:ascii="宋体" w:eastAsia="宋体" w:hAnsi="宋体" w:cs="宋体"/>
          <w:spacing w:val="-28"/>
          <w:sz w:val="22"/>
          <w:szCs w:val="22"/>
        </w:rPr>
        <w:t xml:space="preserve"> </w:t>
      </w:r>
      <w:r>
        <w:rPr>
          <w:rFonts w:ascii="宋体" w:eastAsia="宋体" w:hAnsi="宋体" w:cs="宋体"/>
          <w:spacing w:val="-12"/>
          <w:sz w:val="22"/>
          <w:szCs w:val="22"/>
        </w:rPr>
        <w:t>主要研究食物、营养与人体生长发育及健康</w:t>
      </w:r>
      <w:r>
        <w:rPr>
          <w:rFonts w:ascii="宋体" w:eastAsia="宋体" w:hAnsi="宋体" w:cs="宋体"/>
          <w:sz w:val="22"/>
          <w:szCs w:val="22"/>
        </w:rPr>
        <w:t xml:space="preserve"> </w:t>
      </w:r>
      <w:r>
        <w:rPr>
          <w:rFonts w:ascii="宋体" w:eastAsia="宋体" w:hAnsi="宋体" w:cs="宋体"/>
          <w:spacing w:val="-13"/>
          <w:sz w:val="22"/>
          <w:szCs w:val="22"/>
        </w:rPr>
        <w:t>的关系，提高食品营养价值的方法以及食物资源的开</w:t>
      </w:r>
      <w:r>
        <w:rPr>
          <w:rFonts w:ascii="宋体" w:eastAsia="宋体" w:hAnsi="宋体" w:cs="宋体"/>
          <w:spacing w:val="-14"/>
          <w:sz w:val="22"/>
          <w:szCs w:val="22"/>
        </w:rPr>
        <w:t>发。</w:t>
      </w:r>
    </w:p>
    <w:p w:rsidR="00EA40A3" w:rsidRDefault="00E86C16">
      <w:pPr>
        <w:spacing w:before="30" w:line="218" w:lineRule="auto"/>
        <w:ind w:left="439"/>
        <w:rPr>
          <w:rFonts w:ascii="宋体" w:eastAsia="宋体" w:hAnsi="宋体" w:cs="宋体"/>
          <w:sz w:val="22"/>
          <w:szCs w:val="22"/>
        </w:rPr>
      </w:pPr>
      <w:r>
        <w:rPr>
          <w:rFonts w:ascii="宋体" w:eastAsia="宋体" w:hAnsi="宋体" w:cs="宋体"/>
          <w:spacing w:val="-21"/>
          <w:sz w:val="22"/>
          <w:szCs w:val="22"/>
        </w:rPr>
        <w:t>营养价值</w:t>
      </w:r>
      <w:r>
        <w:rPr>
          <w:rFonts w:ascii="宋体" w:eastAsia="宋体" w:hAnsi="宋体" w:cs="宋体"/>
          <w:spacing w:val="-29"/>
          <w:sz w:val="22"/>
          <w:szCs w:val="22"/>
        </w:rPr>
        <w:t xml:space="preserve"> </w:t>
      </w:r>
      <w:r>
        <w:rPr>
          <w:rFonts w:ascii="宋体" w:eastAsia="宋体" w:hAnsi="宋体" w:cs="宋体"/>
          <w:spacing w:val="-21"/>
          <w:sz w:val="22"/>
          <w:szCs w:val="22"/>
        </w:rPr>
        <w:t>(nutritional</w:t>
      </w:r>
      <w:r>
        <w:rPr>
          <w:rFonts w:ascii="宋体" w:eastAsia="宋体" w:hAnsi="宋体" w:cs="宋体"/>
          <w:spacing w:val="-19"/>
          <w:sz w:val="22"/>
          <w:szCs w:val="22"/>
        </w:rPr>
        <w:t xml:space="preserve"> </w:t>
      </w:r>
      <w:r>
        <w:rPr>
          <w:rFonts w:ascii="宋体" w:eastAsia="宋体" w:hAnsi="宋体" w:cs="宋体"/>
          <w:spacing w:val="-21"/>
          <w:sz w:val="22"/>
          <w:szCs w:val="22"/>
        </w:rPr>
        <w:t>value):</w:t>
      </w:r>
      <w:r>
        <w:rPr>
          <w:rFonts w:ascii="宋体" w:eastAsia="宋体" w:hAnsi="宋体" w:cs="宋体"/>
          <w:spacing w:val="-45"/>
          <w:sz w:val="22"/>
          <w:szCs w:val="22"/>
        </w:rPr>
        <w:t xml:space="preserve"> </w:t>
      </w:r>
      <w:r>
        <w:rPr>
          <w:rFonts w:ascii="宋体" w:eastAsia="宋体" w:hAnsi="宋体" w:cs="宋体"/>
          <w:spacing w:val="-21"/>
          <w:sz w:val="22"/>
          <w:szCs w:val="22"/>
        </w:rPr>
        <w:t>指食物中营养素及能量满足人</w:t>
      </w:r>
      <w:r>
        <w:rPr>
          <w:rFonts w:ascii="宋体" w:eastAsia="宋体" w:hAnsi="宋体" w:cs="宋体"/>
          <w:spacing w:val="-22"/>
          <w:sz w:val="22"/>
          <w:szCs w:val="22"/>
        </w:rPr>
        <w:t>体需要的程度。</w:t>
      </w:r>
    </w:p>
    <w:p w:rsidR="00EA40A3" w:rsidRDefault="00E86C16">
      <w:pPr>
        <w:spacing w:before="36" w:line="238" w:lineRule="auto"/>
        <w:ind w:right="75" w:firstLine="439"/>
        <w:rPr>
          <w:rFonts w:ascii="宋体" w:eastAsia="宋体" w:hAnsi="宋体" w:cs="宋体"/>
          <w:sz w:val="22"/>
          <w:szCs w:val="22"/>
        </w:rPr>
      </w:pPr>
      <w:r>
        <w:rPr>
          <w:rFonts w:ascii="宋体" w:eastAsia="宋体" w:hAnsi="宋体" w:cs="宋体"/>
          <w:spacing w:val="-11"/>
          <w:sz w:val="22"/>
          <w:szCs w:val="22"/>
        </w:rPr>
        <w:t>膳食营养素参考摄入量</w:t>
      </w:r>
      <w:r>
        <w:rPr>
          <w:rFonts w:ascii="宋体" w:eastAsia="宋体" w:hAnsi="宋体" w:cs="宋体"/>
          <w:spacing w:val="-9"/>
          <w:sz w:val="22"/>
          <w:szCs w:val="22"/>
        </w:rPr>
        <w:t xml:space="preserve"> </w:t>
      </w:r>
      <w:r>
        <w:rPr>
          <w:rFonts w:ascii="宋体" w:eastAsia="宋体" w:hAnsi="宋体" w:cs="宋体"/>
          <w:spacing w:val="-11"/>
          <w:sz w:val="22"/>
          <w:szCs w:val="22"/>
        </w:rPr>
        <w:t>(</w:t>
      </w:r>
      <w:r>
        <w:rPr>
          <w:rFonts w:ascii="宋体" w:eastAsia="宋体" w:hAnsi="宋体" w:cs="宋体"/>
          <w:spacing w:val="-10"/>
          <w:sz w:val="22"/>
          <w:szCs w:val="22"/>
        </w:rPr>
        <w:t>dietary</w:t>
      </w:r>
      <w:r>
        <w:rPr>
          <w:rFonts w:ascii="宋体" w:eastAsia="宋体" w:hAnsi="宋体" w:cs="宋体"/>
          <w:spacing w:val="-5"/>
          <w:sz w:val="22"/>
          <w:szCs w:val="22"/>
        </w:rPr>
        <w:t xml:space="preserve"> </w:t>
      </w:r>
      <w:r>
        <w:rPr>
          <w:rFonts w:ascii="宋体" w:eastAsia="宋体" w:hAnsi="宋体" w:cs="宋体"/>
          <w:spacing w:val="-10"/>
          <w:sz w:val="22"/>
          <w:szCs w:val="22"/>
        </w:rPr>
        <w:t>reference</w:t>
      </w:r>
      <w:r>
        <w:rPr>
          <w:rFonts w:ascii="宋体" w:eastAsia="宋体" w:hAnsi="宋体" w:cs="宋体"/>
          <w:spacing w:val="10"/>
          <w:sz w:val="22"/>
          <w:szCs w:val="22"/>
        </w:rPr>
        <w:t xml:space="preserve"> </w:t>
      </w:r>
      <w:r>
        <w:rPr>
          <w:rFonts w:ascii="宋体" w:eastAsia="宋体" w:hAnsi="宋体" w:cs="宋体"/>
          <w:spacing w:val="-10"/>
          <w:sz w:val="22"/>
          <w:szCs w:val="22"/>
        </w:rPr>
        <w:t>intake</w:t>
      </w:r>
      <w:r>
        <w:rPr>
          <w:rFonts w:ascii="宋体" w:eastAsia="宋体" w:hAnsi="宋体" w:cs="宋体"/>
          <w:spacing w:val="-11"/>
          <w:sz w:val="22"/>
          <w:szCs w:val="22"/>
        </w:rPr>
        <w:t>,</w:t>
      </w:r>
      <w:r>
        <w:rPr>
          <w:rFonts w:ascii="宋体" w:eastAsia="宋体" w:hAnsi="宋体" w:cs="宋体"/>
          <w:spacing w:val="-10"/>
          <w:sz w:val="22"/>
          <w:szCs w:val="22"/>
        </w:rPr>
        <w:t>D</w:t>
      </w:r>
      <w:r>
        <w:rPr>
          <w:rFonts w:ascii="宋体" w:eastAsia="宋体" w:hAnsi="宋体" w:cs="宋体"/>
          <w:spacing w:val="-11"/>
          <w:sz w:val="22"/>
          <w:szCs w:val="22"/>
        </w:rPr>
        <w:t>RI):</w:t>
      </w:r>
      <w:r>
        <w:rPr>
          <w:rFonts w:ascii="宋体" w:eastAsia="宋体" w:hAnsi="宋体" w:cs="宋体"/>
          <w:spacing w:val="-30"/>
          <w:sz w:val="22"/>
          <w:szCs w:val="22"/>
        </w:rPr>
        <w:t xml:space="preserve"> </w:t>
      </w:r>
      <w:r>
        <w:rPr>
          <w:rFonts w:ascii="宋体" w:eastAsia="宋体" w:hAnsi="宋体" w:cs="宋体"/>
          <w:spacing w:val="-11"/>
          <w:sz w:val="22"/>
          <w:szCs w:val="22"/>
        </w:rPr>
        <w:t>指一组每日平均</w:t>
      </w:r>
      <w:r>
        <w:rPr>
          <w:rFonts w:ascii="宋体" w:eastAsia="宋体" w:hAnsi="宋体" w:cs="宋体"/>
          <w:sz w:val="22"/>
          <w:szCs w:val="22"/>
        </w:rPr>
        <w:t xml:space="preserve"> </w:t>
      </w:r>
      <w:r>
        <w:rPr>
          <w:rFonts w:ascii="宋体" w:eastAsia="宋体" w:hAnsi="宋体" w:cs="宋体"/>
          <w:spacing w:val="-9"/>
          <w:sz w:val="22"/>
          <w:szCs w:val="22"/>
        </w:rPr>
        <w:t>膳食营养素摄入量的参考值，包括4项内容指标：</w:t>
      </w:r>
    </w:p>
    <w:p w:rsidR="00EA40A3" w:rsidRDefault="00E86C16">
      <w:pPr>
        <w:spacing w:before="42" w:line="238" w:lineRule="auto"/>
        <w:ind w:right="95" w:firstLine="439"/>
        <w:rPr>
          <w:rFonts w:ascii="宋体" w:eastAsia="宋体" w:hAnsi="宋体" w:cs="宋体"/>
          <w:sz w:val="22"/>
          <w:szCs w:val="22"/>
        </w:rPr>
      </w:pPr>
      <w:r>
        <w:rPr>
          <w:rFonts w:ascii="宋体" w:eastAsia="宋体" w:hAnsi="宋体" w:cs="宋体"/>
          <w:spacing w:val="-6"/>
          <w:sz w:val="22"/>
          <w:szCs w:val="22"/>
        </w:rPr>
        <w:t>(1)平均需要量</w:t>
      </w:r>
      <w:r>
        <w:rPr>
          <w:rFonts w:ascii="宋体" w:eastAsia="宋体" w:hAnsi="宋体" w:cs="宋体"/>
          <w:spacing w:val="4"/>
          <w:sz w:val="22"/>
          <w:szCs w:val="22"/>
        </w:rPr>
        <w:t xml:space="preserve"> </w:t>
      </w:r>
      <w:r>
        <w:rPr>
          <w:rFonts w:ascii="宋体" w:eastAsia="宋体" w:hAnsi="宋体" w:cs="宋体"/>
          <w:spacing w:val="-6"/>
          <w:sz w:val="22"/>
          <w:szCs w:val="22"/>
        </w:rPr>
        <w:t>(estimated</w:t>
      </w:r>
      <w:r>
        <w:rPr>
          <w:rFonts w:ascii="宋体" w:eastAsia="宋体" w:hAnsi="宋体" w:cs="宋体"/>
          <w:spacing w:val="4"/>
          <w:sz w:val="22"/>
          <w:szCs w:val="22"/>
        </w:rPr>
        <w:t xml:space="preserve"> </w:t>
      </w:r>
      <w:r>
        <w:rPr>
          <w:rFonts w:ascii="宋体" w:eastAsia="宋体" w:hAnsi="宋体" w:cs="宋体"/>
          <w:spacing w:val="-6"/>
          <w:sz w:val="22"/>
          <w:szCs w:val="22"/>
        </w:rPr>
        <w:t>average</w:t>
      </w:r>
      <w:r>
        <w:rPr>
          <w:rFonts w:ascii="宋体" w:eastAsia="宋体" w:hAnsi="宋体" w:cs="宋体"/>
          <w:spacing w:val="1"/>
          <w:sz w:val="22"/>
          <w:szCs w:val="22"/>
        </w:rPr>
        <w:t xml:space="preserve"> </w:t>
      </w:r>
      <w:r>
        <w:rPr>
          <w:rFonts w:ascii="宋体" w:eastAsia="宋体" w:hAnsi="宋体" w:cs="宋体"/>
          <w:spacing w:val="-6"/>
          <w:sz w:val="22"/>
          <w:szCs w:val="22"/>
        </w:rPr>
        <w:t>requirement,EAR):</w:t>
      </w:r>
      <w:r>
        <w:rPr>
          <w:rFonts w:ascii="宋体" w:eastAsia="宋体" w:hAnsi="宋体" w:cs="宋体"/>
          <w:spacing w:val="-32"/>
          <w:sz w:val="22"/>
          <w:szCs w:val="22"/>
        </w:rPr>
        <w:t xml:space="preserve"> </w:t>
      </w:r>
      <w:r>
        <w:rPr>
          <w:rFonts w:ascii="宋体" w:eastAsia="宋体" w:hAnsi="宋体" w:cs="宋体"/>
          <w:spacing w:val="-6"/>
          <w:sz w:val="22"/>
          <w:szCs w:val="22"/>
        </w:rPr>
        <w:t>指满足某一特定</w:t>
      </w:r>
      <w:r>
        <w:rPr>
          <w:rFonts w:ascii="宋体" w:eastAsia="宋体" w:hAnsi="宋体" w:cs="宋体"/>
          <w:sz w:val="22"/>
          <w:szCs w:val="22"/>
        </w:rPr>
        <w:t xml:space="preserve"> </w:t>
      </w:r>
      <w:r>
        <w:rPr>
          <w:rFonts w:ascii="宋体" w:eastAsia="宋体" w:hAnsi="宋体" w:cs="宋体"/>
          <w:spacing w:val="-7"/>
          <w:sz w:val="22"/>
          <w:szCs w:val="22"/>
        </w:rPr>
        <w:t>性别、年龄及生理状况群体中50%个体需要量的摄入水平。</w:t>
      </w:r>
    </w:p>
    <w:p w:rsidR="00EA40A3" w:rsidRDefault="00E86C16">
      <w:pPr>
        <w:spacing w:before="37" w:line="241" w:lineRule="auto"/>
        <w:ind w:right="90" w:firstLine="439"/>
        <w:rPr>
          <w:rFonts w:ascii="宋体" w:eastAsia="宋体" w:hAnsi="宋体" w:cs="宋体"/>
          <w:sz w:val="22"/>
          <w:szCs w:val="22"/>
        </w:rPr>
      </w:pPr>
      <w:r>
        <w:rPr>
          <w:rFonts w:ascii="宋体" w:eastAsia="宋体" w:hAnsi="宋体" w:cs="宋体"/>
          <w:spacing w:val="-4"/>
          <w:sz w:val="22"/>
          <w:szCs w:val="22"/>
        </w:rPr>
        <w:t>(2)推荐摄入量</w:t>
      </w:r>
      <w:r>
        <w:rPr>
          <w:rFonts w:ascii="宋体" w:eastAsia="宋体" w:hAnsi="宋体" w:cs="宋体"/>
          <w:spacing w:val="-19"/>
          <w:sz w:val="22"/>
          <w:szCs w:val="22"/>
        </w:rPr>
        <w:t xml:space="preserve"> </w:t>
      </w:r>
      <w:r>
        <w:rPr>
          <w:rFonts w:ascii="宋体" w:eastAsia="宋体" w:hAnsi="宋体" w:cs="宋体"/>
          <w:spacing w:val="-4"/>
          <w:sz w:val="22"/>
          <w:szCs w:val="22"/>
        </w:rPr>
        <w:t>(</w:t>
      </w:r>
      <w:r>
        <w:rPr>
          <w:rFonts w:ascii="宋体" w:eastAsia="宋体" w:hAnsi="宋体" w:cs="宋体"/>
          <w:spacing w:val="-3"/>
          <w:sz w:val="22"/>
          <w:szCs w:val="22"/>
        </w:rPr>
        <w:t>recommended</w:t>
      </w:r>
      <w:r>
        <w:rPr>
          <w:rFonts w:ascii="宋体" w:eastAsia="宋体" w:hAnsi="宋体" w:cs="宋体"/>
          <w:spacing w:val="3"/>
          <w:sz w:val="22"/>
          <w:szCs w:val="22"/>
        </w:rPr>
        <w:t xml:space="preserve"> </w:t>
      </w:r>
      <w:r>
        <w:rPr>
          <w:rFonts w:ascii="宋体" w:eastAsia="宋体" w:hAnsi="宋体" w:cs="宋体"/>
          <w:spacing w:val="-3"/>
          <w:sz w:val="22"/>
          <w:szCs w:val="22"/>
        </w:rPr>
        <w:t>nutrient</w:t>
      </w:r>
      <w:r>
        <w:rPr>
          <w:rFonts w:ascii="宋体" w:eastAsia="宋体" w:hAnsi="宋体" w:cs="宋体"/>
          <w:spacing w:val="18"/>
          <w:sz w:val="22"/>
          <w:szCs w:val="22"/>
        </w:rPr>
        <w:t xml:space="preserve"> </w:t>
      </w:r>
      <w:r>
        <w:rPr>
          <w:rFonts w:ascii="宋体" w:eastAsia="宋体" w:hAnsi="宋体" w:cs="宋体"/>
          <w:spacing w:val="-3"/>
          <w:sz w:val="22"/>
          <w:szCs w:val="22"/>
        </w:rPr>
        <w:t>intake</w:t>
      </w:r>
      <w:r>
        <w:rPr>
          <w:rFonts w:ascii="宋体" w:eastAsia="宋体" w:hAnsi="宋体" w:cs="宋体"/>
          <w:spacing w:val="-4"/>
          <w:sz w:val="22"/>
          <w:szCs w:val="22"/>
        </w:rPr>
        <w:t>,</w:t>
      </w:r>
      <w:r>
        <w:rPr>
          <w:rFonts w:ascii="宋体" w:eastAsia="宋体" w:hAnsi="宋体" w:cs="宋体"/>
          <w:spacing w:val="-3"/>
          <w:sz w:val="22"/>
          <w:szCs w:val="22"/>
        </w:rPr>
        <w:t>R</w:t>
      </w:r>
      <w:r>
        <w:rPr>
          <w:rFonts w:ascii="宋体" w:eastAsia="宋体" w:hAnsi="宋体" w:cs="宋体"/>
          <w:spacing w:val="-4"/>
          <w:sz w:val="22"/>
          <w:szCs w:val="22"/>
        </w:rPr>
        <w:t>NI;</w:t>
      </w:r>
      <w:r>
        <w:rPr>
          <w:rFonts w:ascii="宋体" w:eastAsia="宋体" w:hAnsi="宋体" w:cs="宋体"/>
          <w:spacing w:val="-45"/>
          <w:sz w:val="22"/>
          <w:szCs w:val="22"/>
        </w:rPr>
        <w:t xml:space="preserve"> </w:t>
      </w:r>
      <w:r>
        <w:rPr>
          <w:rFonts w:ascii="宋体" w:eastAsia="宋体" w:hAnsi="宋体" w:cs="宋体"/>
          <w:spacing w:val="-4"/>
          <w:sz w:val="22"/>
          <w:szCs w:val="22"/>
        </w:rPr>
        <w:t>相当于过去使用的</w:t>
      </w:r>
      <w:r>
        <w:rPr>
          <w:rFonts w:ascii="宋体" w:eastAsia="宋体" w:hAnsi="宋体" w:cs="宋体"/>
          <w:sz w:val="22"/>
          <w:szCs w:val="22"/>
        </w:rPr>
        <w:t xml:space="preserve"> </w:t>
      </w:r>
      <w:r>
        <w:rPr>
          <w:rFonts w:ascii="宋体" w:eastAsia="宋体" w:hAnsi="宋体" w:cs="宋体"/>
          <w:spacing w:val="-4"/>
          <w:sz w:val="22"/>
          <w:szCs w:val="22"/>
        </w:rPr>
        <w:t>recommended</w:t>
      </w:r>
      <w:r>
        <w:rPr>
          <w:rFonts w:ascii="宋体" w:eastAsia="宋体" w:hAnsi="宋体" w:cs="宋体"/>
          <w:spacing w:val="11"/>
          <w:sz w:val="22"/>
          <w:szCs w:val="22"/>
        </w:rPr>
        <w:t xml:space="preserve"> </w:t>
      </w:r>
      <w:r>
        <w:rPr>
          <w:rFonts w:ascii="宋体" w:eastAsia="宋体" w:hAnsi="宋体" w:cs="宋体"/>
          <w:spacing w:val="-4"/>
          <w:sz w:val="22"/>
          <w:szCs w:val="22"/>
        </w:rPr>
        <w:t>dietary</w:t>
      </w:r>
      <w:r>
        <w:rPr>
          <w:rFonts w:ascii="宋体" w:eastAsia="宋体" w:hAnsi="宋体" w:cs="宋体"/>
          <w:spacing w:val="6"/>
          <w:sz w:val="22"/>
          <w:szCs w:val="22"/>
        </w:rPr>
        <w:t xml:space="preserve"> </w:t>
      </w:r>
      <w:r>
        <w:rPr>
          <w:rFonts w:ascii="宋体" w:eastAsia="宋体" w:hAnsi="宋体" w:cs="宋体"/>
          <w:spacing w:val="-4"/>
          <w:sz w:val="22"/>
          <w:szCs w:val="22"/>
        </w:rPr>
        <w:t>allowance,RDA):</w:t>
      </w:r>
      <w:r>
        <w:rPr>
          <w:rFonts w:ascii="宋体" w:eastAsia="宋体" w:hAnsi="宋体" w:cs="宋体"/>
          <w:spacing w:val="-33"/>
          <w:sz w:val="22"/>
          <w:szCs w:val="22"/>
        </w:rPr>
        <w:t xml:space="preserve"> </w:t>
      </w:r>
      <w:r>
        <w:rPr>
          <w:rFonts w:ascii="宋体" w:eastAsia="宋体" w:hAnsi="宋体" w:cs="宋体"/>
          <w:spacing w:val="-4"/>
          <w:sz w:val="22"/>
          <w:szCs w:val="22"/>
        </w:rPr>
        <w:t>指满足某一特定性别、年龄及生理状</w:t>
      </w:r>
      <w:r>
        <w:rPr>
          <w:rFonts w:ascii="宋体" w:eastAsia="宋体" w:hAnsi="宋体" w:cs="宋体"/>
          <w:sz w:val="22"/>
          <w:szCs w:val="22"/>
        </w:rPr>
        <w:t xml:space="preserve"> </w:t>
      </w:r>
      <w:r>
        <w:rPr>
          <w:rFonts w:ascii="宋体" w:eastAsia="宋体" w:hAnsi="宋体" w:cs="宋体"/>
          <w:spacing w:val="7"/>
          <w:sz w:val="22"/>
          <w:szCs w:val="22"/>
        </w:rPr>
        <w:t>况群体中97%～98%个体需要量的摄入水平。如果需求量呈正</w:t>
      </w:r>
      <w:r>
        <w:rPr>
          <w:rFonts w:ascii="宋体" w:eastAsia="宋体" w:hAnsi="宋体" w:cs="宋体"/>
          <w:spacing w:val="6"/>
          <w:sz w:val="22"/>
          <w:szCs w:val="22"/>
        </w:rPr>
        <w:t>态分布时，则</w:t>
      </w:r>
    </w:p>
    <w:p w:rsidR="00EA40A3" w:rsidRDefault="00E86C16">
      <w:pPr>
        <w:spacing w:before="37" w:line="216" w:lineRule="auto"/>
        <w:rPr>
          <w:rFonts w:ascii="宋体" w:eastAsia="宋体" w:hAnsi="宋体" w:cs="宋体"/>
          <w:sz w:val="22"/>
          <w:szCs w:val="22"/>
        </w:rPr>
      </w:pPr>
      <w:r>
        <w:rPr>
          <w:rFonts w:ascii="宋体" w:eastAsia="宋体" w:hAnsi="宋体" w:cs="宋体"/>
          <w:sz w:val="22"/>
          <w:szCs w:val="22"/>
        </w:rPr>
        <w:t>RNI</w:t>
      </w:r>
      <w:r>
        <w:rPr>
          <w:rFonts w:ascii="宋体" w:eastAsia="宋体" w:hAnsi="宋体" w:cs="宋体"/>
          <w:spacing w:val="3"/>
          <w:sz w:val="22"/>
          <w:szCs w:val="22"/>
        </w:rPr>
        <w:t>=</w:t>
      </w:r>
      <w:r>
        <w:rPr>
          <w:rFonts w:ascii="宋体" w:eastAsia="宋体" w:hAnsi="宋体" w:cs="宋体"/>
          <w:sz w:val="22"/>
          <w:szCs w:val="22"/>
        </w:rPr>
        <w:t>EAR</w:t>
      </w:r>
      <w:r>
        <w:rPr>
          <w:rFonts w:ascii="宋体" w:eastAsia="宋体" w:hAnsi="宋体" w:cs="宋体"/>
          <w:spacing w:val="3"/>
          <w:sz w:val="22"/>
          <w:szCs w:val="22"/>
        </w:rPr>
        <w:t>+2</w:t>
      </w:r>
      <w:r>
        <w:rPr>
          <w:rFonts w:ascii="宋体" w:eastAsia="宋体" w:hAnsi="宋体" w:cs="宋体"/>
          <w:sz w:val="22"/>
          <w:szCs w:val="22"/>
        </w:rPr>
        <w:t>SD</w:t>
      </w:r>
      <w:r>
        <w:rPr>
          <w:rFonts w:ascii="宋体" w:eastAsia="宋体" w:hAnsi="宋体" w:cs="宋体"/>
          <w:spacing w:val="16"/>
          <w:sz w:val="22"/>
          <w:szCs w:val="22"/>
        </w:rPr>
        <w:t xml:space="preserve">    </w:t>
      </w:r>
      <w:r>
        <w:rPr>
          <w:rFonts w:ascii="宋体" w:eastAsia="宋体" w:hAnsi="宋体" w:cs="宋体"/>
          <w:spacing w:val="3"/>
          <w:sz w:val="22"/>
          <w:szCs w:val="22"/>
        </w:rPr>
        <w:t>(标准差),如果</w:t>
      </w:r>
      <w:r>
        <w:rPr>
          <w:rFonts w:ascii="宋体" w:eastAsia="宋体" w:hAnsi="宋体" w:cs="宋体"/>
          <w:sz w:val="22"/>
          <w:szCs w:val="22"/>
        </w:rPr>
        <w:t>EAR</w:t>
      </w:r>
      <w:r>
        <w:rPr>
          <w:rFonts w:ascii="宋体" w:eastAsia="宋体" w:hAnsi="宋体" w:cs="宋体"/>
          <w:spacing w:val="79"/>
          <w:sz w:val="22"/>
          <w:szCs w:val="22"/>
        </w:rPr>
        <w:t xml:space="preserve"> </w:t>
      </w:r>
      <w:r>
        <w:rPr>
          <w:rFonts w:ascii="宋体" w:eastAsia="宋体" w:hAnsi="宋体" w:cs="宋体"/>
          <w:spacing w:val="3"/>
          <w:sz w:val="22"/>
          <w:szCs w:val="22"/>
        </w:rPr>
        <w:t>的变量不足以计算</w:t>
      </w:r>
      <w:r>
        <w:rPr>
          <w:rFonts w:ascii="宋体" w:eastAsia="宋体" w:hAnsi="宋体" w:cs="宋体"/>
          <w:sz w:val="22"/>
          <w:szCs w:val="22"/>
        </w:rPr>
        <w:t xml:space="preserve">SD </w:t>
      </w:r>
      <w:r>
        <w:rPr>
          <w:rFonts w:ascii="宋体" w:eastAsia="宋体" w:hAnsi="宋体" w:cs="宋体"/>
          <w:spacing w:val="3"/>
          <w:sz w:val="22"/>
          <w:szCs w:val="22"/>
        </w:rPr>
        <w:t>时，可假设10%</w:t>
      </w:r>
    </w:p>
    <w:p w:rsidR="00EA40A3" w:rsidRDefault="00E86C16">
      <w:pPr>
        <w:spacing w:before="43" w:line="216" w:lineRule="auto"/>
        <w:rPr>
          <w:rFonts w:ascii="宋体" w:eastAsia="宋体" w:hAnsi="宋体" w:cs="宋体"/>
          <w:sz w:val="22"/>
          <w:szCs w:val="22"/>
        </w:rPr>
      </w:pPr>
      <w:r>
        <w:rPr>
          <w:rFonts w:ascii="宋体" w:eastAsia="宋体" w:hAnsi="宋体" w:cs="宋体"/>
          <w:spacing w:val="-1"/>
          <w:sz w:val="22"/>
          <w:szCs w:val="22"/>
        </w:rPr>
        <w:t>EAR=1SD,</w:t>
      </w:r>
      <w:r>
        <w:rPr>
          <w:rFonts w:ascii="宋体" w:eastAsia="宋体" w:hAnsi="宋体" w:cs="宋体"/>
          <w:spacing w:val="8"/>
          <w:sz w:val="22"/>
          <w:szCs w:val="22"/>
        </w:rPr>
        <w:t xml:space="preserve">   </w:t>
      </w:r>
      <w:r>
        <w:rPr>
          <w:rFonts w:ascii="宋体" w:eastAsia="宋体" w:hAnsi="宋体" w:cs="宋体"/>
          <w:spacing w:val="-1"/>
          <w:sz w:val="22"/>
          <w:szCs w:val="22"/>
        </w:rPr>
        <w:t>则RDA=1.2EAR。</w:t>
      </w:r>
    </w:p>
    <w:p w:rsidR="00EA40A3" w:rsidRDefault="00E86C16">
      <w:pPr>
        <w:spacing w:before="39" w:line="245" w:lineRule="auto"/>
        <w:ind w:right="100" w:firstLine="439"/>
        <w:jc w:val="both"/>
        <w:rPr>
          <w:rFonts w:ascii="宋体" w:eastAsia="宋体" w:hAnsi="宋体" w:cs="宋体"/>
          <w:sz w:val="22"/>
          <w:szCs w:val="22"/>
        </w:rPr>
      </w:pPr>
      <w:r>
        <w:rPr>
          <w:rFonts w:ascii="宋体" w:eastAsia="宋体" w:hAnsi="宋体" w:cs="宋体"/>
          <w:spacing w:val="-4"/>
          <w:sz w:val="22"/>
          <w:szCs w:val="22"/>
        </w:rPr>
        <w:t>(3)适宜摄入</w:t>
      </w:r>
      <w:r>
        <w:rPr>
          <w:rFonts w:ascii="宋体" w:eastAsia="宋体" w:hAnsi="宋体" w:cs="宋体"/>
          <w:spacing w:val="-5"/>
          <w:sz w:val="22"/>
          <w:szCs w:val="22"/>
        </w:rPr>
        <w:t>量</w:t>
      </w:r>
      <w:r>
        <w:rPr>
          <w:rFonts w:ascii="宋体" w:eastAsia="宋体" w:hAnsi="宋体" w:cs="宋体"/>
          <w:spacing w:val="-9"/>
          <w:sz w:val="22"/>
          <w:szCs w:val="22"/>
        </w:rPr>
        <w:t xml:space="preserve"> </w:t>
      </w:r>
      <w:r>
        <w:rPr>
          <w:rFonts w:ascii="宋体" w:eastAsia="宋体" w:hAnsi="宋体" w:cs="宋体"/>
          <w:spacing w:val="-5"/>
          <w:sz w:val="22"/>
          <w:szCs w:val="22"/>
        </w:rPr>
        <w:t>(</w:t>
      </w:r>
      <w:r>
        <w:rPr>
          <w:rFonts w:ascii="宋体" w:eastAsia="宋体" w:hAnsi="宋体" w:cs="宋体"/>
          <w:spacing w:val="-4"/>
          <w:sz w:val="22"/>
          <w:szCs w:val="22"/>
        </w:rPr>
        <w:t>adequate</w:t>
      </w:r>
      <w:r>
        <w:rPr>
          <w:rFonts w:ascii="宋体" w:eastAsia="宋体" w:hAnsi="宋体" w:cs="宋体"/>
          <w:spacing w:val="17"/>
          <w:sz w:val="22"/>
          <w:szCs w:val="22"/>
        </w:rPr>
        <w:t xml:space="preserve"> </w:t>
      </w:r>
      <w:r>
        <w:rPr>
          <w:rFonts w:ascii="宋体" w:eastAsia="宋体" w:hAnsi="宋体" w:cs="宋体"/>
          <w:spacing w:val="-4"/>
          <w:sz w:val="22"/>
          <w:szCs w:val="22"/>
        </w:rPr>
        <w:t>intake</w:t>
      </w:r>
      <w:r>
        <w:rPr>
          <w:rFonts w:ascii="宋体" w:eastAsia="宋体" w:hAnsi="宋体" w:cs="宋体"/>
          <w:spacing w:val="-5"/>
          <w:sz w:val="22"/>
          <w:szCs w:val="22"/>
        </w:rPr>
        <w:t>,</w:t>
      </w:r>
      <w:r>
        <w:rPr>
          <w:rFonts w:ascii="宋体" w:eastAsia="宋体" w:hAnsi="宋体" w:cs="宋体"/>
          <w:spacing w:val="-4"/>
          <w:sz w:val="22"/>
          <w:szCs w:val="22"/>
        </w:rPr>
        <w:t>AI</w:t>
      </w:r>
      <w:r>
        <w:rPr>
          <w:rFonts w:ascii="宋体" w:eastAsia="宋体" w:hAnsi="宋体" w:cs="宋体"/>
          <w:spacing w:val="-5"/>
          <w:sz w:val="22"/>
          <w:szCs w:val="22"/>
        </w:rPr>
        <w:t>):</w:t>
      </w:r>
      <w:r>
        <w:rPr>
          <w:rFonts w:ascii="宋体" w:eastAsia="宋体" w:hAnsi="宋体" w:cs="宋体"/>
          <w:spacing w:val="-33"/>
          <w:sz w:val="22"/>
          <w:szCs w:val="22"/>
        </w:rPr>
        <w:t xml:space="preserve"> </w:t>
      </w:r>
      <w:r>
        <w:rPr>
          <w:rFonts w:ascii="宋体" w:eastAsia="宋体" w:hAnsi="宋体" w:cs="宋体"/>
          <w:spacing w:val="-5"/>
          <w:sz w:val="22"/>
          <w:szCs w:val="22"/>
        </w:rPr>
        <w:t>指通过观察或实验获得的健康人</w:t>
      </w:r>
      <w:r>
        <w:rPr>
          <w:rFonts w:ascii="宋体" w:eastAsia="宋体" w:hAnsi="宋体" w:cs="宋体"/>
          <w:sz w:val="22"/>
          <w:szCs w:val="22"/>
        </w:rPr>
        <w:t xml:space="preserve"> </w:t>
      </w:r>
      <w:r>
        <w:rPr>
          <w:rFonts w:ascii="宋体" w:eastAsia="宋体" w:hAnsi="宋体" w:cs="宋体"/>
          <w:spacing w:val="-5"/>
          <w:sz w:val="22"/>
          <w:szCs w:val="22"/>
        </w:rPr>
        <w:t>群对某种营养素的摄入量。</w:t>
      </w:r>
      <w:r>
        <w:rPr>
          <w:rFonts w:ascii="宋体" w:eastAsia="宋体" w:hAnsi="宋体" w:cs="宋体"/>
          <w:spacing w:val="57"/>
          <w:sz w:val="22"/>
          <w:szCs w:val="22"/>
        </w:rPr>
        <w:t xml:space="preserve"> </w:t>
      </w:r>
      <w:r>
        <w:rPr>
          <w:rFonts w:ascii="宋体" w:eastAsia="宋体" w:hAnsi="宋体" w:cs="宋体"/>
          <w:spacing w:val="-5"/>
          <w:sz w:val="22"/>
          <w:szCs w:val="22"/>
        </w:rPr>
        <w:t>一般大于EAR,</w:t>
      </w:r>
      <w:r>
        <w:rPr>
          <w:rFonts w:ascii="宋体" w:eastAsia="宋体" w:hAnsi="宋体" w:cs="宋体"/>
          <w:spacing w:val="106"/>
          <w:sz w:val="22"/>
          <w:szCs w:val="22"/>
        </w:rPr>
        <w:t xml:space="preserve"> </w:t>
      </w:r>
      <w:r>
        <w:rPr>
          <w:rFonts w:ascii="宋体" w:eastAsia="宋体" w:hAnsi="宋体" w:cs="宋体"/>
          <w:spacing w:val="-5"/>
          <w:sz w:val="22"/>
          <w:szCs w:val="22"/>
        </w:rPr>
        <w:t>也可能大于RNI,</w:t>
      </w:r>
      <w:r>
        <w:rPr>
          <w:rFonts w:ascii="宋体" w:eastAsia="宋体" w:hAnsi="宋体" w:cs="宋体"/>
          <w:spacing w:val="47"/>
          <w:sz w:val="22"/>
          <w:szCs w:val="22"/>
        </w:rPr>
        <w:t xml:space="preserve"> </w:t>
      </w:r>
      <w:r>
        <w:rPr>
          <w:rFonts w:ascii="宋体" w:eastAsia="宋体" w:hAnsi="宋体" w:cs="宋体"/>
          <w:spacing w:val="-5"/>
          <w:sz w:val="22"/>
          <w:szCs w:val="22"/>
        </w:rPr>
        <w:t>但小于UL。AI</w:t>
      </w:r>
      <w:r>
        <w:rPr>
          <w:rFonts w:ascii="宋体" w:eastAsia="宋体" w:hAnsi="宋体" w:cs="宋体"/>
          <w:sz w:val="22"/>
          <w:szCs w:val="22"/>
        </w:rPr>
        <w:t xml:space="preserve">  </w:t>
      </w:r>
      <w:r>
        <w:rPr>
          <w:rFonts w:ascii="宋体" w:eastAsia="宋体" w:hAnsi="宋体" w:cs="宋体"/>
          <w:spacing w:val="-8"/>
          <w:sz w:val="22"/>
          <w:szCs w:val="22"/>
        </w:rPr>
        <w:t>不一定是一个理想摄入量。在个体需要量的研</w:t>
      </w:r>
      <w:r>
        <w:rPr>
          <w:rFonts w:ascii="宋体" w:eastAsia="宋体" w:hAnsi="宋体" w:cs="宋体"/>
          <w:spacing w:val="-9"/>
          <w:sz w:val="22"/>
          <w:szCs w:val="22"/>
        </w:rPr>
        <w:t>究资料不足、不能计算</w:t>
      </w:r>
      <w:r>
        <w:rPr>
          <w:rFonts w:ascii="宋体" w:eastAsia="宋体" w:hAnsi="宋体" w:cs="宋体"/>
          <w:spacing w:val="-8"/>
          <w:sz w:val="22"/>
          <w:szCs w:val="22"/>
        </w:rPr>
        <w:t>EAR</w:t>
      </w:r>
      <w:r>
        <w:rPr>
          <w:rFonts w:ascii="宋体" w:eastAsia="宋体" w:hAnsi="宋体" w:cs="宋体"/>
          <w:spacing w:val="-9"/>
          <w:sz w:val="22"/>
          <w:szCs w:val="22"/>
        </w:rPr>
        <w:t>、</w:t>
      </w:r>
      <w:r>
        <w:rPr>
          <w:rFonts w:ascii="宋体" w:eastAsia="宋体" w:hAnsi="宋体" w:cs="宋体"/>
          <w:spacing w:val="78"/>
          <w:sz w:val="22"/>
          <w:szCs w:val="22"/>
        </w:rPr>
        <w:t xml:space="preserve"> </w:t>
      </w:r>
      <w:r>
        <w:rPr>
          <w:rFonts w:ascii="宋体" w:eastAsia="宋体" w:hAnsi="宋体" w:cs="宋体"/>
          <w:spacing w:val="-9"/>
          <w:sz w:val="22"/>
          <w:szCs w:val="22"/>
        </w:rPr>
        <w:t>也</w:t>
      </w:r>
      <w:r>
        <w:rPr>
          <w:rFonts w:ascii="宋体" w:eastAsia="宋体" w:hAnsi="宋体" w:cs="宋体"/>
          <w:sz w:val="22"/>
          <w:szCs w:val="22"/>
        </w:rPr>
        <w:t xml:space="preserve"> </w:t>
      </w:r>
      <w:r>
        <w:rPr>
          <w:rFonts w:ascii="宋体" w:eastAsia="宋体" w:hAnsi="宋体" w:cs="宋体"/>
          <w:spacing w:val="-2"/>
          <w:sz w:val="22"/>
          <w:szCs w:val="22"/>
        </w:rPr>
        <w:t>不能求得RNI</w:t>
      </w:r>
      <w:r>
        <w:rPr>
          <w:rFonts w:ascii="宋体" w:eastAsia="宋体" w:hAnsi="宋体" w:cs="宋体"/>
          <w:spacing w:val="6"/>
          <w:sz w:val="22"/>
          <w:szCs w:val="22"/>
        </w:rPr>
        <w:t xml:space="preserve"> </w:t>
      </w:r>
      <w:r>
        <w:rPr>
          <w:rFonts w:ascii="宋体" w:eastAsia="宋体" w:hAnsi="宋体" w:cs="宋体"/>
          <w:spacing w:val="-2"/>
          <w:sz w:val="22"/>
          <w:szCs w:val="22"/>
        </w:rPr>
        <w:t>时，可设定AI</w:t>
      </w:r>
      <w:r>
        <w:rPr>
          <w:rFonts w:ascii="宋体" w:eastAsia="宋体" w:hAnsi="宋体" w:cs="宋体"/>
          <w:spacing w:val="-39"/>
          <w:sz w:val="22"/>
          <w:szCs w:val="22"/>
        </w:rPr>
        <w:t xml:space="preserve"> </w:t>
      </w:r>
      <w:r>
        <w:rPr>
          <w:rFonts w:ascii="宋体" w:eastAsia="宋体" w:hAnsi="宋体" w:cs="宋体"/>
          <w:spacing w:val="-2"/>
          <w:sz w:val="22"/>
          <w:szCs w:val="22"/>
        </w:rPr>
        <w:t>来代替RNI。</w:t>
      </w:r>
    </w:p>
    <w:p w:rsidR="00EA40A3" w:rsidRDefault="00E86C16">
      <w:pPr>
        <w:spacing w:before="32" w:line="245" w:lineRule="auto"/>
        <w:ind w:right="100" w:firstLine="439"/>
        <w:jc w:val="both"/>
        <w:rPr>
          <w:rFonts w:ascii="宋体" w:eastAsia="宋体" w:hAnsi="宋体" w:cs="宋体"/>
          <w:sz w:val="22"/>
          <w:szCs w:val="22"/>
        </w:rPr>
      </w:pPr>
      <w:r>
        <w:rPr>
          <w:rFonts w:ascii="宋体" w:eastAsia="宋体" w:hAnsi="宋体" w:cs="宋体"/>
          <w:spacing w:val="-10"/>
          <w:sz w:val="22"/>
          <w:szCs w:val="22"/>
        </w:rPr>
        <w:t>(4)可耐受最高摄入量</w:t>
      </w:r>
      <w:r>
        <w:rPr>
          <w:rFonts w:ascii="宋体" w:eastAsia="宋体" w:hAnsi="宋体" w:cs="宋体"/>
          <w:spacing w:val="-24"/>
          <w:sz w:val="22"/>
          <w:szCs w:val="22"/>
        </w:rPr>
        <w:t xml:space="preserve"> </w:t>
      </w:r>
      <w:r>
        <w:rPr>
          <w:rFonts w:ascii="宋体" w:eastAsia="宋体" w:hAnsi="宋体" w:cs="宋体"/>
          <w:spacing w:val="-10"/>
          <w:sz w:val="22"/>
          <w:szCs w:val="22"/>
        </w:rPr>
        <w:t>(tolerable</w:t>
      </w:r>
      <w:r>
        <w:rPr>
          <w:rFonts w:ascii="宋体" w:eastAsia="宋体" w:hAnsi="宋体" w:cs="宋体"/>
          <w:spacing w:val="-6"/>
          <w:sz w:val="22"/>
          <w:szCs w:val="22"/>
        </w:rPr>
        <w:t xml:space="preserve"> </w:t>
      </w:r>
      <w:r>
        <w:rPr>
          <w:rFonts w:ascii="宋体" w:eastAsia="宋体" w:hAnsi="宋体" w:cs="宋体"/>
          <w:spacing w:val="-10"/>
          <w:sz w:val="22"/>
          <w:szCs w:val="22"/>
        </w:rPr>
        <w:t>upper</w:t>
      </w:r>
      <w:r>
        <w:rPr>
          <w:rFonts w:ascii="宋体" w:eastAsia="宋体" w:hAnsi="宋体" w:cs="宋体"/>
          <w:spacing w:val="10"/>
          <w:sz w:val="22"/>
          <w:szCs w:val="22"/>
        </w:rPr>
        <w:t xml:space="preserve"> </w:t>
      </w:r>
      <w:r>
        <w:rPr>
          <w:rFonts w:ascii="宋体" w:eastAsia="宋体" w:hAnsi="宋体" w:cs="宋体"/>
          <w:spacing w:val="-10"/>
          <w:sz w:val="22"/>
          <w:szCs w:val="22"/>
        </w:rPr>
        <w:t>intake</w:t>
      </w:r>
      <w:r>
        <w:rPr>
          <w:rFonts w:ascii="宋体" w:eastAsia="宋体" w:hAnsi="宋体" w:cs="宋体"/>
          <w:spacing w:val="8"/>
          <w:sz w:val="22"/>
          <w:szCs w:val="22"/>
        </w:rPr>
        <w:t xml:space="preserve"> </w:t>
      </w:r>
      <w:r>
        <w:rPr>
          <w:rFonts w:ascii="宋体" w:eastAsia="宋体" w:hAnsi="宋体" w:cs="宋体"/>
          <w:spacing w:val="-10"/>
          <w:sz w:val="22"/>
          <w:szCs w:val="22"/>
        </w:rPr>
        <w:t>level,UL):</w:t>
      </w:r>
      <w:r>
        <w:rPr>
          <w:rFonts w:ascii="宋体" w:eastAsia="宋体" w:hAnsi="宋体" w:cs="宋体"/>
          <w:spacing w:val="-50"/>
          <w:sz w:val="22"/>
          <w:szCs w:val="22"/>
        </w:rPr>
        <w:t xml:space="preserve"> </w:t>
      </w:r>
      <w:r>
        <w:rPr>
          <w:rFonts w:ascii="宋体" w:eastAsia="宋体" w:hAnsi="宋体" w:cs="宋体"/>
          <w:spacing w:val="-10"/>
          <w:sz w:val="22"/>
          <w:szCs w:val="22"/>
        </w:rPr>
        <w:t>指某一生理阶</w:t>
      </w:r>
      <w:r>
        <w:rPr>
          <w:rFonts w:ascii="宋体" w:eastAsia="宋体" w:hAnsi="宋体" w:cs="宋体"/>
          <w:sz w:val="22"/>
          <w:szCs w:val="22"/>
        </w:rPr>
        <w:t xml:space="preserve"> </w:t>
      </w:r>
      <w:r>
        <w:rPr>
          <w:rFonts w:ascii="宋体" w:eastAsia="宋体" w:hAnsi="宋体" w:cs="宋体"/>
          <w:spacing w:val="-12"/>
          <w:sz w:val="22"/>
          <w:szCs w:val="22"/>
        </w:rPr>
        <w:t>段和性别的人群，几乎对所有个体健康都无任何不良反</w:t>
      </w:r>
      <w:r>
        <w:rPr>
          <w:rFonts w:ascii="宋体" w:eastAsia="宋体" w:hAnsi="宋体" w:cs="宋体"/>
          <w:spacing w:val="-13"/>
          <w:sz w:val="22"/>
          <w:szCs w:val="22"/>
        </w:rPr>
        <w:t>应和危险的平均每日营养</w:t>
      </w:r>
      <w:r>
        <w:rPr>
          <w:rFonts w:ascii="宋体" w:eastAsia="宋体" w:hAnsi="宋体" w:cs="宋体"/>
          <w:sz w:val="22"/>
          <w:szCs w:val="22"/>
        </w:rPr>
        <w:t xml:space="preserve"> </w:t>
      </w:r>
      <w:r>
        <w:rPr>
          <w:rFonts w:ascii="宋体" w:eastAsia="宋体" w:hAnsi="宋体" w:cs="宋体"/>
          <w:spacing w:val="-13"/>
          <w:sz w:val="22"/>
          <w:szCs w:val="22"/>
        </w:rPr>
        <w:t>素最高摄入量。目的是为了限制膳食和来自强化食物及膳食补充剂中某一营养素</w:t>
      </w:r>
      <w:r>
        <w:rPr>
          <w:rFonts w:ascii="宋体" w:eastAsia="宋体" w:hAnsi="宋体" w:cs="宋体"/>
          <w:spacing w:val="3"/>
          <w:sz w:val="22"/>
          <w:szCs w:val="22"/>
        </w:rPr>
        <w:t xml:space="preserve"> </w:t>
      </w:r>
      <w:r>
        <w:rPr>
          <w:rFonts w:ascii="宋体" w:eastAsia="宋体" w:hAnsi="宋体" w:cs="宋体"/>
          <w:spacing w:val="-7"/>
          <w:sz w:val="22"/>
          <w:szCs w:val="22"/>
        </w:rPr>
        <w:t>的总摄入量，以防止该营养素引起不良作用(见图1-1)。</w:t>
      </w:r>
    </w:p>
    <w:p w:rsidR="00EA40A3" w:rsidRDefault="00E86C16">
      <w:pPr>
        <w:spacing w:before="60" w:line="2100" w:lineRule="exact"/>
        <w:ind w:firstLine="1270"/>
        <w:textAlignment w:val="center"/>
      </w:pPr>
      <w:r>
        <w:rPr>
          <w:noProof/>
        </w:rPr>
        <w:drawing>
          <wp:inline distT="0" distB="0" distL="0" distR="0">
            <wp:extent cx="2983865" cy="13335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7"/>
                    <a:stretch>
                      <a:fillRect/>
                    </a:stretch>
                  </pic:blipFill>
                  <pic:spPr>
                    <a:xfrm>
                      <a:off x="0" y="0"/>
                      <a:ext cx="2984492" cy="1333537"/>
                    </a:xfrm>
                    <a:prstGeom prst="rect">
                      <a:avLst/>
                    </a:prstGeom>
                  </pic:spPr>
                </pic:pic>
              </a:graphicData>
            </a:graphic>
          </wp:inline>
        </w:drawing>
      </w:r>
    </w:p>
    <w:p w:rsidR="00EA40A3" w:rsidRDefault="00E86C16">
      <w:pPr>
        <w:spacing w:before="197" w:line="219" w:lineRule="auto"/>
        <w:ind w:left="1840"/>
        <w:rPr>
          <w:rFonts w:ascii="宋体" w:eastAsia="宋体" w:hAnsi="宋体" w:cs="宋体"/>
          <w:sz w:val="17"/>
          <w:szCs w:val="17"/>
        </w:rPr>
      </w:pPr>
      <w:r>
        <w:rPr>
          <w:rFonts w:ascii="宋体" w:eastAsia="宋体" w:hAnsi="宋体" w:cs="宋体"/>
          <w:spacing w:val="6"/>
          <w:sz w:val="17"/>
          <w:szCs w:val="17"/>
        </w:rPr>
        <w:t>图1-</w:t>
      </w:r>
      <w:r>
        <w:rPr>
          <w:rFonts w:ascii="宋体" w:eastAsia="宋体" w:hAnsi="宋体" w:cs="宋体"/>
          <w:spacing w:val="-28"/>
          <w:sz w:val="17"/>
          <w:szCs w:val="17"/>
        </w:rPr>
        <w:t xml:space="preserve"> </w:t>
      </w:r>
      <w:r>
        <w:rPr>
          <w:rFonts w:ascii="宋体" w:eastAsia="宋体" w:hAnsi="宋体" w:cs="宋体"/>
          <w:spacing w:val="6"/>
          <w:sz w:val="17"/>
          <w:szCs w:val="17"/>
        </w:rPr>
        <w:t>1</w:t>
      </w:r>
      <w:r>
        <w:rPr>
          <w:rFonts w:ascii="宋体" w:eastAsia="宋体" w:hAnsi="宋体" w:cs="宋体"/>
          <w:spacing w:val="78"/>
          <w:sz w:val="17"/>
          <w:szCs w:val="17"/>
        </w:rPr>
        <w:t xml:space="preserve"> </w:t>
      </w:r>
      <w:r>
        <w:rPr>
          <w:rFonts w:ascii="宋体" w:eastAsia="宋体" w:hAnsi="宋体" w:cs="宋体"/>
          <w:spacing w:val="6"/>
          <w:sz w:val="17"/>
          <w:szCs w:val="17"/>
        </w:rPr>
        <w:t>营养素摄入不足和过多的危险性图解</w:t>
      </w:r>
    </w:p>
    <w:p w:rsidR="00EA40A3" w:rsidRDefault="00E86C16">
      <w:pPr>
        <w:spacing w:before="65" w:line="241" w:lineRule="auto"/>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8"/>
          <w:sz w:val="17"/>
          <w:szCs w:val="17"/>
        </w:rPr>
        <w:t xml:space="preserve"> </w:t>
      </w:r>
      <w:r>
        <w:rPr>
          <w:rFonts w:ascii="宋体" w:eastAsia="宋体" w:hAnsi="宋体" w:cs="宋体"/>
          <w:spacing w:val="-25"/>
          <w:sz w:val="17"/>
          <w:szCs w:val="17"/>
        </w:rPr>
        <w:t>2</w:t>
      </w:r>
      <w:r>
        <w:rPr>
          <w:rFonts w:ascii="宋体" w:eastAsia="宋体" w:hAnsi="宋体" w:cs="宋体"/>
          <w:spacing w:val="-20"/>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19" w:bottom="400" w:left="829" w:header="0" w:footer="0" w:gutter="0"/>
          <w:cols w:space="720"/>
        </w:sectPr>
      </w:pPr>
    </w:p>
    <w:p w:rsidR="00EA40A3" w:rsidRDefault="00EA40A3">
      <w:pPr>
        <w:spacing w:line="271" w:lineRule="auto"/>
      </w:pPr>
    </w:p>
    <w:p w:rsidR="00EA40A3" w:rsidRDefault="00EA40A3">
      <w:pPr>
        <w:spacing w:line="271" w:lineRule="auto"/>
      </w:pPr>
    </w:p>
    <w:p w:rsidR="00EA40A3" w:rsidRDefault="00E86C16">
      <w:pPr>
        <w:spacing w:before="71" w:line="244" w:lineRule="auto"/>
        <w:ind w:right="10" w:firstLine="459"/>
        <w:rPr>
          <w:rFonts w:ascii="宋体" w:eastAsia="宋体" w:hAnsi="宋体" w:cs="宋体"/>
          <w:sz w:val="22"/>
          <w:szCs w:val="22"/>
        </w:rPr>
      </w:pPr>
      <w:bookmarkStart w:id="2" w:name="_bookmark6"/>
      <w:bookmarkEnd w:id="2"/>
      <w:r>
        <w:rPr>
          <w:rFonts w:ascii="宋体" w:eastAsia="宋体" w:hAnsi="宋体" w:cs="宋体"/>
          <w:spacing w:val="-5"/>
          <w:sz w:val="22"/>
          <w:szCs w:val="22"/>
        </w:rPr>
        <w:t>关于DRI</w:t>
      </w:r>
      <w:r>
        <w:rPr>
          <w:rFonts w:ascii="宋体" w:eastAsia="宋体" w:hAnsi="宋体" w:cs="宋体"/>
          <w:spacing w:val="4"/>
          <w:sz w:val="22"/>
          <w:szCs w:val="22"/>
        </w:rPr>
        <w:t xml:space="preserve"> </w:t>
      </w:r>
      <w:r>
        <w:rPr>
          <w:rFonts w:ascii="宋体" w:eastAsia="宋体" w:hAnsi="宋体" w:cs="宋体"/>
          <w:spacing w:val="-5"/>
          <w:sz w:val="22"/>
          <w:szCs w:val="22"/>
        </w:rPr>
        <w:t>的应用，见第12章社区营</w:t>
      </w:r>
      <w:r>
        <w:rPr>
          <w:rFonts w:ascii="宋体" w:eastAsia="宋体" w:hAnsi="宋体" w:cs="宋体"/>
          <w:spacing w:val="-6"/>
          <w:sz w:val="22"/>
          <w:szCs w:val="22"/>
        </w:rPr>
        <w:t>养。若未特别注明，本书中的</w:t>
      </w:r>
      <w:r>
        <w:rPr>
          <w:rFonts w:ascii="宋体" w:eastAsia="宋体" w:hAnsi="宋体" w:cs="宋体"/>
          <w:spacing w:val="-5"/>
          <w:sz w:val="22"/>
          <w:szCs w:val="22"/>
        </w:rPr>
        <w:t>DRI</w:t>
      </w:r>
      <w:r>
        <w:rPr>
          <w:rFonts w:ascii="宋体" w:eastAsia="宋体" w:hAnsi="宋体" w:cs="宋体"/>
          <w:spacing w:val="-16"/>
          <w:sz w:val="22"/>
          <w:szCs w:val="22"/>
        </w:rPr>
        <w:t xml:space="preserve"> </w:t>
      </w:r>
      <w:r>
        <w:rPr>
          <w:rFonts w:ascii="宋体" w:eastAsia="宋体" w:hAnsi="宋体" w:cs="宋体"/>
          <w:spacing w:val="-6"/>
          <w:sz w:val="22"/>
          <w:szCs w:val="22"/>
        </w:rPr>
        <w:t>数据</w:t>
      </w:r>
      <w:r>
        <w:rPr>
          <w:rFonts w:ascii="宋体" w:eastAsia="宋体" w:hAnsi="宋体" w:cs="宋体"/>
          <w:sz w:val="22"/>
          <w:szCs w:val="22"/>
        </w:rPr>
        <w:t xml:space="preserve"> </w:t>
      </w:r>
      <w:r>
        <w:rPr>
          <w:rFonts w:ascii="宋体" w:eastAsia="宋体" w:hAnsi="宋体" w:cs="宋体"/>
          <w:spacing w:val="-13"/>
          <w:sz w:val="22"/>
          <w:szCs w:val="22"/>
        </w:rPr>
        <w:t>均来源于中国营养学会制定的《中国居民膳食营养素参考摄入量</w:t>
      </w:r>
      <w:r>
        <w:rPr>
          <w:rFonts w:ascii="宋体" w:eastAsia="宋体" w:hAnsi="宋体" w:cs="宋体"/>
          <w:spacing w:val="-19"/>
          <w:sz w:val="22"/>
          <w:szCs w:val="22"/>
        </w:rPr>
        <w:t xml:space="preserve"> </w:t>
      </w:r>
      <w:r>
        <w:rPr>
          <w:rFonts w:ascii="宋体" w:eastAsia="宋体" w:hAnsi="宋体" w:cs="宋体"/>
          <w:spacing w:val="-14"/>
          <w:sz w:val="22"/>
          <w:szCs w:val="22"/>
        </w:rPr>
        <w:t>(</w:t>
      </w:r>
      <w:r>
        <w:rPr>
          <w:rFonts w:ascii="宋体" w:eastAsia="宋体" w:hAnsi="宋体" w:cs="宋体"/>
          <w:spacing w:val="-13"/>
          <w:sz w:val="22"/>
          <w:szCs w:val="22"/>
        </w:rPr>
        <w:t>DRI</w:t>
      </w:r>
      <w:r>
        <w:rPr>
          <w:rFonts w:ascii="宋体" w:eastAsia="宋体" w:hAnsi="宋体" w:cs="宋体"/>
          <w:spacing w:val="-14"/>
          <w:sz w:val="22"/>
          <w:szCs w:val="22"/>
        </w:rPr>
        <w:t>)》。</w:t>
      </w:r>
    </w:p>
    <w:p w:rsidR="00EA40A3" w:rsidRDefault="00E86C16">
      <w:pPr>
        <w:spacing w:before="36" w:line="248" w:lineRule="auto"/>
        <w:ind w:firstLine="459"/>
        <w:rPr>
          <w:rFonts w:ascii="宋体" w:eastAsia="宋体" w:hAnsi="宋体" w:cs="宋体"/>
          <w:sz w:val="22"/>
          <w:szCs w:val="22"/>
        </w:rPr>
      </w:pPr>
      <w:r>
        <w:rPr>
          <w:rFonts w:ascii="宋体" w:eastAsia="宋体" w:hAnsi="宋体" w:cs="宋体"/>
          <w:spacing w:val="-11"/>
          <w:sz w:val="22"/>
          <w:szCs w:val="22"/>
        </w:rPr>
        <w:t>健康</w:t>
      </w:r>
      <w:r>
        <w:rPr>
          <w:rFonts w:ascii="宋体" w:eastAsia="宋体" w:hAnsi="宋体" w:cs="宋体"/>
          <w:spacing w:val="9"/>
          <w:sz w:val="22"/>
          <w:szCs w:val="22"/>
        </w:rPr>
        <w:t xml:space="preserve"> </w:t>
      </w:r>
      <w:r>
        <w:rPr>
          <w:rFonts w:ascii="宋体" w:eastAsia="宋体" w:hAnsi="宋体" w:cs="宋体"/>
          <w:spacing w:val="-11"/>
          <w:sz w:val="22"/>
          <w:szCs w:val="22"/>
        </w:rPr>
        <w:t>(health):</w:t>
      </w:r>
      <w:r>
        <w:rPr>
          <w:rFonts w:ascii="宋体" w:eastAsia="宋体" w:hAnsi="宋体" w:cs="宋体"/>
          <w:spacing w:val="-32"/>
          <w:sz w:val="22"/>
          <w:szCs w:val="22"/>
        </w:rPr>
        <w:t xml:space="preserve"> </w:t>
      </w:r>
      <w:r>
        <w:rPr>
          <w:rFonts w:ascii="宋体" w:eastAsia="宋体" w:hAnsi="宋体" w:cs="宋体"/>
          <w:spacing w:val="-11"/>
          <w:sz w:val="22"/>
          <w:szCs w:val="22"/>
        </w:rPr>
        <w:t>根据世界卫生组织 (WHO)</w:t>
      </w:r>
      <w:r>
        <w:rPr>
          <w:rFonts w:ascii="宋体" w:eastAsia="宋体" w:hAnsi="宋体" w:cs="宋体"/>
          <w:spacing w:val="2"/>
          <w:sz w:val="22"/>
          <w:szCs w:val="22"/>
        </w:rPr>
        <w:t xml:space="preserve">   </w:t>
      </w:r>
      <w:r>
        <w:rPr>
          <w:rFonts w:ascii="宋体" w:eastAsia="宋体" w:hAnsi="宋体" w:cs="宋体"/>
          <w:spacing w:val="-11"/>
          <w:sz w:val="22"/>
          <w:szCs w:val="22"/>
        </w:rPr>
        <w:t>的定义，健康是指身体、心理</w:t>
      </w:r>
      <w:r>
        <w:rPr>
          <w:rFonts w:ascii="宋体" w:eastAsia="宋体" w:hAnsi="宋体" w:cs="宋体"/>
          <w:spacing w:val="1"/>
          <w:sz w:val="22"/>
          <w:szCs w:val="22"/>
        </w:rPr>
        <w:t xml:space="preserve"> </w:t>
      </w:r>
      <w:r>
        <w:rPr>
          <w:rFonts w:ascii="宋体" w:eastAsia="宋体" w:hAnsi="宋体" w:cs="宋体"/>
          <w:spacing w:val="-11"/>
          <w:sz w:val="22"/>
          <w:szCs w:val="22"/>
        </w:rPr>
        <w:t>及社会适应三个方面全部良好的一种状况，而不仅仅是没有生病或</w:t>
      </w:r>
      <w:r>
        <w:rPr>
          <w:rFonts w:ascii="宋体" w:eastAsia="宋体" w:hAnsi="宋体" w:cs="宋体"/>
          <w:spacing w:val="-12"/>
          <w:sz w:val="22"/>
          <w:szCs w:val="22"/>
        </w:rPr>
        <w:t>者体格健壮。</w:t>
      </w:r>
      <w:r>
        <w:rPr>
          <w:rFonts w:ascii="宋体" w:eastAsia="宋体" w:hAnsi="宋体" w:cs="宋体"/>
          <w:sz w:val="22"/>
          <w:szCs w:val="22"/>
        </w:rPr>
        <w:t xml:space="preserve"> </w:t>
      </w:r>
      <w:r>
        <w:rPr>
          <w:rFonts w:ascii="宋体" w:eastAsia="宋体" w:hAnsi="宋体" w:cs="宋体"/>
          <w:spacing w:val="-13"/>
          <w:sz w:val="22"/>
          <w:szCs w:val="22"/>
        </w:rPr>
        <w:t>可见，健康不仅指躯体健康，而且还包括心理健康、社会适应良好和道德健康等</w:t>
      </w:r>
      <w:r>
        <w:rPr>
          <w:rFonts w:ascii="宋体" w:eastAsia="宋体" w:hAnsi="宋体" w:cs="宋体"/>
          <w:spacing w:val="3"/>
          <w:sz w:val="22"/>
          <w:szCs w:val="22"/>
        </w:rPr>
        <w:t xml:space="preserve"> </w:t>
      </w:r>
      <w:r>
        <w:rPr>
          <w:rFonts w:ascii="宋体" w:eastAsia="宋体" w:hAnsi="宋体" w:cs="宋体"/>
          <w:spacing w:val="-14"/>
          <w:sz w:val="22"/>
          <w:szCs w:val="22"/>
        </w:rPr>
        <w:t>几个方面。健康的标志主要包括：①充沛的精力，能从容不迫地担负日常工作和</w:t>
      </w:r>
      <w:r>
        <w:rPr>
          <w:rFonts w:ascii="宋体" w:eastAsia="宋体" w:hAnsi="宋体" w:cs="宋体"/>
          <w:spacing w:val="2"/>
          <w:sz w:val="22"/>
          <w:szCs w:val="22"/>
        </w:rPr>
        <w:t xml:space="preserve">  </w:t>
      </w:r>
      <w:r>
        <w:rPr>
          <w:rFonts w:ascii="宋体" w:eastAsia="宋体" w:hAnsi="宋体" w:cs="宋体"/>
          <w:spacing w:val="-12"/>
          <w:sz w:val="22"/>
          <w:szCs w:val="22"/>
        </w:rPr>
        <w:t>生活而不感到过分紧张和疲劳；②处世乐观，态度积极</w:t>
      </w:r>
      <w:r>
        <w:rPr>
          <w:rFonts w:ascii="宋体" w:eastAsia="宋体" w:hAnsi="宋体" w:cs="宋体"/>
          <w:spacing w:val="-13"/>
          <w:sz w:val="22"/>
          <w:szCs w:val="22"/>
        </w:rPr>
        <w:t>，乐于承担责任，事无大</w:t>
      </w:r>
      <w:r>
        <w:rPr>
          <w:rFonts w:ascii="宋体" w:eastAsia="宋体" w:hAnsi="宋体" w:cs="宋体"/>
          <w:sz w:val="22"/>
          <w:szCs w:val="22"/>
        </w:rPr>
        <w:t xml:space="preserve"> </w:t>
      </w:r>
      <w:r>
        <w:rPr>
          <w:rFonts w:ascii="宋体" w:eastAsia="宋体" w:hAnsi="宋体" w:cs="宋体"/>
          <w:spacing w:val="-13"/>
          <w:sz w:val="22"/>
          <w:szCs w:val="22"/>
        </w:rPr>
        <w:t>小，不挑剔；③善于休息，睡眠好；④应变能力强，能适应外界环境中的各种变</w:t>
      </w:r>
      <w:r>
        <w:rPr>
          <w:rFonts w:ascii="宋体" w:eastAsia="宋体" w:hAnsi="宋体" w:cs="宋体"/>
          <w:spacing w:val="2"/>
          <w:sz w:val="22"/>
          <w:szCs w:val="22"/>
        </w:rPr>
        <w:t xml:space="preserve"> </w:t>
      </w:r>
      <w:r>
        <w:rPr>
          <w:rFonts w:ascii="宋体" w:eastAsia="宋体" w:hAnsi="宋体" w:cs="宋体"/>
          <w:spacing w:val="-13"/>
          <w:sz w:val="22"/>
          <w:szCs w:val="22"/>
        </w:rPr>
        <w:t>化；⑤能够抵御一般感冒和传染病；⑥体重适当，身体匀称，站立时头、肩位置</w:t>
      </w:r>
      <w:r>
        <w:rPr>
          <w:rFonts w:ascii="宋体" w:eastAsia="宋体" w:hAnsi="宋体" w:cs="宋体"/>
          <w:spacing w:val="1"/>
          <w:sz w:val="22"/>
          <w:szCs w:val="22"/>
        </w:rPr>
        <w:t xml:space="preserve"> </w:t>
      </w:r>
      <w:r>
        <w:rPr>
          <w:rFonts w:ascii="宋体" w:eastAsia="宋体" w:hAnsi="宋体" w:cs="宋体"/>
          <w:spacing w:val="-13"/>
          <w:sz w:val="22"/>
          <w:szCs w:val="22"/>
        </w:rPr>
        <w:t>协调；⑦眼睛明亮，反应敏捷，眼睑不发炎；⑧牙齿清洁，无龋齿，不疼痛，牙</w:t>
      </w:r>
      <w:r>
        <w:rPr>
          <w:rFonts w:ascii="宋体" w:eastAsia="宋体" w:hAnsi="宋体" w:cs="宋体"/>
          <w:spacing w:val="5"/>
          <w:sz w:val="22"/>
          <w:szCs w:val="22"/>
        </w:rPr>
        <w:t xml:space="preserve"> </w:t>
      </w:r>
      <w:r>
        <w:rPr>
          <w:rFonts w:ascii="宋体" w:eastAsia="宋体" w:hAnsi="宋体" w:cs="宋体"/>
          <w:spacing w:val="-13"/>
          <w:sz w:val="22"/>
          <w:szCs w:val="22"/>
        </w:rPr>
        <w:t>龈颜色正常，无出血现象；⑨头发有光泽，无头屑；⑩肌肉丰满，皮肤有弹性。</w:t>
      </w:r>
    </w:p>
    <w:p w:rsidR="00EA40A3" w:rsidRDefault="00E86C16">
      <w:pPr>
        <w:spacing w:before="92"/>
        <w:ind w:right="20" w:firstLine="459"/>
        <w:rPr>
          <w:rFonts w:ascii="宋体" w:eastAsia="宋体" w:hAnsi="宋体" w:cs="宋体"/>
          <w:sz w:val="22"/>
          <w:szCs w:val="22"/>
        </w:rPr>
      </w:pPr>
      <w:r>
        <w:rPr>
          <w:rFonts w:ascii="宋体" w:eastAsia="宋体" w:hAnsi="宋体" w:cs="宋体"/>
          <w:spacing w:val="-14"/>
          <w:sz w:val="22"/>
          <w:szCs w:val="22"/>
        </w:rPr>
        <w:t>亚健康</w:t>
      </w:r>
      <w:r>
        <w:rPr>
          <w:rFonts w:ascii="宋体" w:eastAsia="宋体" w:hAnsi="宋体" w:cs="宋体"/>
          <w:spacing w:val="-10"/>
          <w:sz w:val="22"/>
          <w:szCs w:val="22"/>
        </w:rPr>
        <w:t xml:space="preserve"> </w:t>
      </w:r>
      <w:r>
        <w:rPr>
          <w:rFonts w:ascii="宋体" w:eastAsia="宋体" w:hAnsi="宋体" w:cs="宋体"/>
          <w:spacing w:val="-14"/>
          <w:sz w:val="22"/>
          <w:szCs w:val="22"/>
        </w:rPr>
        <w:t>(inferior</w:t>
      </w:r>
      <w:r>
        <w:rPr>
          <w:rFonts w:ascii="宋体" w:eastAsia="宋体" w:hAnsi="宋体" w:cs="宋体"/>
          <w:spacing w:val="-17"/>
          <w:sz w:val="22"/>
          <w:szCs w:val="22"/>
        </w:rPr>
        <w:t xml:space="preserve"> </w:t>
      </w:r>
      <w:r>
        <w:rPr>
          <w:rFonts w:ascii="宋体" w:eastAsia="宋体" w:hAnsi="宋体" w:cs="宋体"/>
          <w:spacing w:val="-14"/>
          <w:sz w:val="22"/>
          <w:szCs w:val="22"/>
        </w:rPr>
        <w:t>health或</w:t>
      </w:r>
      <w:r>
        <w:rPr>
          <w:rFonts w:ascii="宋体" w:eastAsia="宋体" w:hAnsi="宋体" w:cs="宋体"/>
          <w:spacing w:val="-59"/>
          <w:sz w:val="22"/>
          <w:szCs w:val="22"/>
        </w:rPr>
        <w:t xml:space="preserve"> </w:t>
      </w:r>
      <w:r>
        <w:rPr>
          <w:rFonts w:ascii="宋体" w:eastAsia="宋体" w:hAnsi="宋体" w:cs="宋体"/>
          <w:spacing w:val="-14"/>
          <w:sz w:val="22"/>
          <w:szCs w:val="22"/>
        </w:rPr>
        <w:t>sub-health):</w:t>
      </w:r>
      <w:r>
        <w:rPr>
          <w:rFonts w:ascii="宋体" w:eastAsia="宋体" w:hAnsi="宋体" w:cs="宋体"/>
          <w:spacing w:val="-30"/>
          <w:sz w:val="22"/>
          <w:szCs w:val="22"/>
        </w:rPr>
        <w:t xml:space="preserve"> </w:t>
      </w:r>
      <w:r>
        <w:rPr>
          <w:rFonts w:ascii="宋体" w:eastAsia="宋体" w:hAnsi="宋体" w:cs="宋体"/>
          <w:spacing w:val="-14"/>
          <w:sz w:val="22"/>
          <w:szCs w:val="22"/>
        </w:rPr>
        <w:t>指身体存在某种或多种不适，</w:t>
      </w:r>
      <w:r>
        <w:rPr>
          <w:rFonts w:ascii="宋体" w:eastAsia="宋体" w:hAnsi="宋体" w:cs="宋体"/>
          <w:spacing w:val="-15"/>
          <w:sz w:val="22"/>
          <w:szCs w:val="22"/>
        </w:rPr>
        <w:t>但无</w:t>
      </w:r>
      <w:r>
        <w:rPr>
          <w:rFonts w:ascii="宋体" w:eastAsia="宋体" w:hAnsi="宋体" w:cs="宋体"/>
          <w:sz w:val="22"/>
          <w:szCs w:val="22"/>
        </w:rPr>
        <w:t xml:space="preserve"> </w:t>
      </w:r>
      <w:r>
        <w:rPr>
          <w:rFonts w:ascii="宋体" w:eastAsia="宋体" w:hAnsi="宋体" w:cs="宋体"/>
          <w:spacing w:val="-17"/>
          <w:sz w:val="22"/>
          <w:szCs w:val="22"/>
        </w:rPr>
        <w:t>身体器质性病变的状态。</w:t>
      </w:r>
    </w:p>
    <w:p w:rsidR="00EA40A3" w:rsidRDefault="00E86C16">
      <w:pPr>
        <w:spacing w:before="48" w:line="244" w:lineRule="auto"/>
        <w:ind w:right="21" w:firstLine="459"/>
        <w:rPr>
          <w:rFonts w:ascii="宋体" w:eastAsia="宋体" w:hAnsi="宋体" w:cs="宋体"/>
          <w:sz w:val="22"/>
          <w:szCs w:val="22"/>
        </w:rPr>
      </w:pPr>
      <w:r>
        <w:rPr>
          <w:rFonts w:ascii="宋体" w:eastAsia="宋体" w:hAnsi="宋体" w:cs="宋体"/>
          <w:spacing w:val="-12"/>
          <w:sz w:val="22"/>
          <w:szCs w:val="22"/>
        </w:rPr>
        <w:t>营养不良</w:t>
      </w:r>
      <w:r>
        <w:rPr>
          <w:rFonts w:ascii="宋体" w:eastAsia="宋体" w:hAnsi="宋体" w:cs="宋体"/>
          <w:spacing w:val="-17"/>
          <w:sz w:val="22"/>
          <w:szCs w:val="22"/>
        </w:rPr>
        <w:t xml:space="preserve"> </w:t>
      </w:r>
      <w:r>
        <w:rPr>
          <w:rFonts w:ascii="宋体" w:eastAsia="宋体" w:hAnsi="宋体" w:cs="宋体"/>
          <w:spacing w:val="-12"/>
          <w:sz w:val="22"/>
          <w:szCs w:val="22"/>
        </w:rPr>
        <w:t>(malnutrition):</w:t>
      </w:r>
      <w:r>
        <w:rPr>
          <w:rFonts w:ascii="宋体" w:eastAsia="宋体" w:hAnsi="宋体" w:cs="宋体"/>
          <w:spacing w:val="-40"/>
          <w:sz w:val="22"/>
          <w:szCs w:val="22"/>
        </w:rPr>
        <w:t xml:space="preserve"> </w:t>
      </w:r>
      <w:r>
        <w:rPr>
          <w:rFonts w:ascii="宋体" w:eastAsia="宋体" w:hAnsi="宋体" w:cs="宋体"/>
          <w:spacing w:val="-12"/>
          <w:sz w:val="22"/>
          <w:szCs w:val="22"/>
        </w:rPr>
        <w:t>或称营养失调，是指由于一种或几</w:t>
      </w:r>
      <w:r>
        <w:rPr>
          <w:rFonts w:ascii="宋体" w:eastAsia="宋体" w:hAnsi="宋体" w:cs="宋体"/>
          <w:spacing w:val="-13"/>
          <w:sz w:val="22"/>
          <w:szCs w:val="22"/>
        </w:rPr>
        <w:t>种营养素的缺</w:t>
      </w:r>
      <w:r>
        <w:rPr>
          <w:rFonts w:ascii="宋体" w:eastAsia="宋体" w:hAnsi="宋体" w:cs="宋体"/>
          <w:sz w:val="22"/>
          <w:szCs w:val="22"/>
        </w:rPr>
        <w:t xml:space="preserve"> </w:t>
      </w:r>
      <w:r>
        <w:rPr>
          <w:rFonts w:ascii="宋体" w:eastAsia="宋体" w:hAnsi="宋体" w:cs="宋体"/>
          <w:spacing w:val="-13"/>
          <w:sz w:val="22"/>
          <w:szCs w:val="22"/>
        </w:rPr>
        <w:t>乏或过剩所造成的机体健康异常或疾病状态。营养不良包括两种表现，即营养缺</w:t>
      </w:r>
      <w:r>
        <w:rPr>
          <w:rFonts w:ascii="宋体" w:eastAsia="宋体" w:hAnsi="宋体" w:cs="宋体"/>
          <w:spacing w:val="2"/>
          <w:sz w:val="22"/>
          <w:szCs w:val="22"/>
        </w:rPr>
        <w:t xml:space="preserve"> </w:t>
      </w:r>
      <w:r>
        <w:rPr>
          <w:rFonts w:ascii="宋体" w:eastAsia="宋体" w:hAnsi="宋体" w:cs="宋体"/>
          <w:spacing w:val="-20"/>
          <w:sz w:val="22"/>
          <w:szCs w:val="22"/>
        </w:rPr>
        <w:t>乏</w:t>
      </w:r>
      <w:r>
        <w:rPr>
          <w:rFonts w:ascii="宋体" w:eastAsia="宋体" w:hAnsi="宋体" w:cs="宋体"/>
          <w:spacing w:val="-12"/>
          <w:sz w:val="22"/>
          <w:szCs w:val="22"/>
        </w:rPr>
        <w:t xml:space="preserve"> </w:t>
      </w:r>
      <w:r>
        <w:rPr>
          <w:rFonts w:ascii="宋体" w:eastAsia="宋体" w:hAnsi="宋体" w:cs="宋体"/>
          <w:spacing w:val="-20"/>
          <w:sz w:val="22"/>
          <w:szCs w:val="22"/>
        </w:rPr>
        <w:t>(</w:t>
      </w:r>
      <w:r>
        <w:rPr>
          <w:rFonts w:ascii="宋体" w:eastAsia="宋体" w:hAnsi="宋体" w:cs="宋体"/>
          <w:spacing w:val="-19"/>
          <w:sz w:val="22"/>
          <w:szCs w:val="22"/>
        </w:rPr>
        <w:t>nutrition</w:t>
      </w:r>
      <w:r>
        <w:rPr>
          <w:rFonts w:ascii="宋体" w:eastAsia="宋体" w:hAnsi="宋体" w:cs="宋体"/>
          <w:spacing w:val="-9"/>
          <w:sz w:val="22"/>
          <w:szCs w:val="22"/>
        </w:rPr>
        <w:t xml:space="preserve"> </w:t>
      </w:r>
      <w:r>
        <w:rPr>
          <w:rFonts w:ascii="宋体" w:eastAsia="宋体" w:hAnsi="宋体" w:cs="宋体"/>
          <w:spacing w:val="-19"/>
          <w:sz w:val="22"/>
          <w:szCs w:val="22"/>
        </w:rPr>
        <w:t>deficiency</w:t>
      </w:r>
      <w:r>
        <w:rPr>
          <w:rFonts w:ascii="宋体" w:eastAsia="宋体" w:hAnsi="宋体" w:cs="宋体"/>
          <w:spacing w:val="-20"/>
          <w:sz w:val="22"/>
          <w:szCs w:val="22"/>
        </w:rPr>
        <w:t>)</w:t>
      </w:r>
      <w:r>
        <w:rPr>
          <w:rFonts w:ascii="宋体" w:eastAsia="宋体" w:hAnsi="宋体" w:cs="宋体"/>
          <w:spacing w:val="-40"/>
          <w:sz w:val="22"/>
          <w:szCs w:val="22"/>
        </w:rPr>
        <w:t xml:space="preserve"> </w:t>
      </w:r>
      <w:r>
        <w:rPr>
          <w:rFonts w:ascii="宋体" w:eastAsia="宋体" w:hAnsi="宋体" w:cs="宋体"/>
          <w:spacing w:val="-20"/>
          <w:sz w:val="22"/>
          <w:szCs w:val="22"/>
        </w:rPr>
        <w:t>和营养过剩</w:t>
      </w:r>
      <w:r>
        <w:rPr>
          <w:rFonts w:ascii="宋体" w:eastAsia="宋体" w:hAnsi="宋体" w:cs="宋体"/>
          <w:spacing w:val="-15"/>
          <w:sz w:val="22"/>
          <w:szCs w:val="22"/>
        </w:rPr>
        <w:t xml:space="preserve"> </w:t>
      </w:r>
      <w:r>
        <w:rPr>
          <w:rFonts w:ascii="宋体" w:eastAsia="宋体" w:hAnsi="宋体" w:cs="宋体"/>
          <w:spacing w:val="-20"/>
          <w:sz w:val="22"/>
          <w:szCs w:val="22"/>
        </w:rPr>
        <w:t>(</w:t>
      </w:r>
      <w:r>
        <w:rPr>
          <w:rFonts w:ascii="宋体" w:eastAsia="宋体" w:hAnsi="宋体" w:cs="宋体"/>
          <w:spacing w:val="-19"/>
          <w:sz w:val="22"/>
          <w:szCs w:val="22"/>
        </w:rPr>
        <w:t>nutrition</w:t>
      </w:r>
      <w:r>
        <w:rPr>
          <w:rFonts w:ascii="宋体" w:eastAsia="宋体" w:hAnsi="宋体" w:cs="宋体"/>
          <w:spacing w:val="-6"/>
          <w:sz w:val="22"/>
          <w:szCs w:val="22"/>
        </w:rPr>
        <w:t xml:space="preserve"> </w:t>
      </w:r>
      <w:r>
        <w:rPr>
          <w:rFonts w:ascii="宋体" w:eastAsia="宋体" w:hAnsi="宋体" w:cs="宋体"/>
          <w:spacing w:val="-19"/>
          <w:sz w:val="22"/>
          <w:szCs w:val="22"/>
        </w:rPr>
        <w:t>e</w:t>
      </w:r>
      <w:r>
        <w:rPr>
          <w:rFonts w:ascii="宋体" w:eastAsia="宋体" w:hAnsi="宋体" w:cs="宋体"/>
          <w:spacing w:val="-20"/>
          <w:sz w:val="22"/>
          <w:szCs w:val="22"/>
        </w:rPr>
        <w:t>xcess)。</w:t>
      </w:r>
    </w:p>
    <w:p w:rsidR="00EA40A3" w:rsidRDefault="00EA40A3">
      <w:pPr>
        <w:spacing w:line="249" w:lineRule="auto"/>
      </w:pPr>
    </w:p>
    <w:p w:rsidR="00EA40A3" w:rsidRDefault="00E86C16">
      <w:pPr>
        <w:spacing w:before="91" w:line="219" w:lineRule="auto"/>
        <w:ind w:left="1419"/>
        <w:rPr>
          <w:rFonts w:ascii="宋体" w:eastAsia="宋体" w:hAnsi="宋体" w:cs="宋体"/>
          <w:sz w:val="28"/>
          <w:szCs w:val="28"/>
        </w:rPr>
      </w:pPr>
      <w:r>
        <w:rPr>
          <w:rFonts w:ascii="宋体" w:eastAsia="宋体" w:hAnsi="宋体" w:cs="宋体"/>
          <w:spacing w:val="-4"/>
          <w:sz w:val="28"/>
          <w:szCs w:val="28"/>
        </w:rPr>
        <w:t>1.2</w:t>
      </w:r>
      <w:r>
        <w:rPr>
          <w:rFonts w:ascii="宋体" w:eastAsia="宋体" w:hAnsi="宋体" w:cs="宋体"/>
          <w:spacing w:val="123"/>
          <w:sz w:val="28"/>
          <w:szCs w:val="28"/>
        </w:rPr>
        <w:t xml:space="preserve"> </w:t>
      </w:r>
      <w:r>
        <w:rPr>
          <w:rFonts w:ascii="宋体" w:eastAsia="宋体" w:hAnsi="宋体" w:cs="宋体"/>
          <w:spacing w:val="-4"/>
          <w:sz w:val="28"/>
          <w:szCs w:val="28"/>
        </w:rPr>
        <w:t>食物营养对人类健康的重要作用</w:t>
      </w:r>
    </w:p>
    <w:p w:rsidR="00EA40A3" w:rsidRDefault="00E86C16">
      <w:pPr>
        <w:spacing w:before="291" w:line="245" w:lineRule="auto"/>
        <w:ind w:right="41" w:firstLine="459"/>
        <w:jc w:val="both"/>
        <w:rPr>
          <w:rFonts w:ascii="宋体" w:eastAsia="宋体" w:hAnsi="宋体" w:cs="宋体"/>
          <w:sz w:val="22"/>
          <w:szCs w:val="22"/>
        </w:rPr>
      </w:pPr>
      <w:r>
        <w:rPr>
          <w:rFonts w:ascii="宋体" w:eastAsia="宋体" w:hAnsi="宋体" w:cs="宋体"/>
          <w:spacing w:val="-14"/>
          <w:sz w:val="22"/>
          <w:szCs w:val="22"/>
        </w:rPr>
        <w:t>人体健康取决于多种因素，如食物营养、遗传、体力活动、心理状态、生活</w:t>
      </w:r>
      <w:r>
        <w:rPr>
          <w:rFonts w:ascii="宋体" w:eastAsia="宋体" w:hAnsi="宋体" w:cs="宋体"/>
          <w:spacing w:val="9"/>
          <w:sz w:val="22"/>
          <w:szCs w:val="22"/>
        </w:rPr>
        <w:t xml:space="preserve"> </w:t>
      </w:r>
      <w:r>
        <w:rPr>
          <w:rFonts w:ascii="宋体" w:eastAsia="宋体" w:hAnsi="宋体" w:cs="宋体"/>
          <w:spacing w:val="-13"/>
          <w:sz w:val="22"/>
          <w:szCs w:val="22"/>
        </w:rPr>
        <w:t>习惯、环境状况等，其中最重要、影响最复杂的因素是食物营养。食物中营养素</w:t>
      </w:r>
      <w:r>
        <w:rPr>
          <w:rFonts w:ascii="宋体" w:eastAsia="宋体" w:hAnsi="宋体" w:cs="宋体"/>
          <w:spacing w:val="3"/>
          <w:sz w:val="22"/>
          <w:szCs w:val="22"/>
        </w:rPr>
        <w:t xml:space="preserve"> </w:t>
      </w:r>
      <w:r>
        <w:rPr>
          <w:rFonts w:ascii="宋体" w:eastAsia="宋体" w:hAnsi="宋体" w:cs="宋体"/>
          <w:spacing w:val="-13"/>
          <w:sz w:val="22"/>
          <w:szCs w:val="22"/>
        </w:rPr>
        <w:t>可归纳为三大功能：①为人体提供生命活动和体力活动所需要的能量，即碳水化</w:t>
      </w:r>
      <w:r>
        <w:rPr>
          <w:rFonts w:ascii="宋体" w:eastAsia="宋体" w:hAnsi="宋体" w:cs="宋体"/>
          <w:spacing w:val="2"/>
          <w:sz w:val="22"/>
          <w:szCs w:val="22"/>
        </w:rPr>
        <w:t xml:space="preserve"> </w:t>
      </w:r>
      <w:r>
        <w:rPr>
          <w:rFonts w:ascii="宋体" w:eastAsia="宋体" w:hAnsi="宋体" w:cs="宋体"/>
          <w:spacing w:val="-13"/>
          <w:sz w:val="22"/>
          <w:szCs w:val="22"/>
        </w:rPr>
        <w:t>合物、脂肪和蛋白质；②参与机体组织组成，如蛋白质、脂类、糖、部分矿物质</w:t>
      </w:r>
      <w:r>
        <w:rPr>
          <w:rFonts w:ascii="宋体" w:eastAsia="宋体" w:hAnsi="宋体" w:cs="宋体"/>
          <w:spacing w:val="17"/>
          <w:sz w:val="22"/>
          <w:szCs w:val="22"/>
        </w:rPr>
        <w:t xml:space="preserve"> </w:t>
      </w:r>
      <w:r>
        <w:rPr>
          <w:rFonts w:ascii="宋体" w:eastAsia="宋体" w:hAnsi="宋体" w:cs="宋体"/>
          <w:spacing w:val="-14"/>
          <w:sz w:val="22"/>
          <w:szCs w:val="22"/>
        </w:rPr>
        <w:t>等；③调节机体的生理功能，各种营养素均有不同的生</w:t>
      </w:r>
      <w:r>
        <w:rPr>
          <w:rFonts w:ascii="宋体" w:eastAsia="宋体" w:hAnsi="宋体" w:cs="宋体"/>
          <w:spacing w:val="-15"/>
          <w:sz w:val="22"/>
          <w:szCs w:val="22"/>
        </w:rPr>
        <w:t>理调节功能。</w:t>
      </w:r>
    </w:p>
    <w:p w:rsidR="00EA40A3" w:rsidRDefault="00E86C16">
      <w:pPr>
        <w:spacing w:before="219" w:line="221" w:lineRule="auto"/>
        <w:ind w:left="3"/>
        <w:outlineLvl w:val="0"/>
        <w:rPr>
          <w:rFonts w:ascii="黑体" w:eastAsia="黑体" w:hAnsi="黑体" w:cs="黑体"/>
          <w:sz w:val="22"/>
          <w:szCs w:val="22"/>
        </w:rPr>
      </w:pPr>
      <w:r>
        <w:rPr>
          <w:rFonts w:ascii="黑体" w:eastAsia="黑体" w:hAnsi="黑体" w:cs="黑体"/>
          <w:b/>
          <w:bCs/>
          <w:spacing w:val="11"/>
          <w:sz w:val="22"/>
          <w:szCs w:val="22"/>
        </w:rPr>
        <w:t>1.2.1</w:t>
      </w:r>
      <w:r>
        <w:rPr>
          <w:rFonts w:ascii="黑体" w:eastAsia="黑体" w:hAnsi="黑体" w:cs="黑体"/>
          <w:spacing w:val="50"/>
          <w:sz w:val="22"/>
          <w:szCs w:val="22"/>
        </w:rPr>
        <w:t xml:space="preserve">  </w:t>
      </w:r>
      <w:r>
        <w:rPr>
          <w:rFonts w:ascii="黑体" w:eastAsia="黑体" w:hAnsi="黑体" w:cs="黑体"/>
          <w:b/>
          <w:bCs/>
          <w:spacing w:val="11"/>
          <w:sz w:val="22"/>
          <w:szCs w:val="22"/>
        </w:rPr>
        <w:t>食物营养对体格和智力发育的重要作用</w:t>
      </w:r>
    </w:p>
    <w:p w:rsidR="00EA40A3" w:rsidRDefault="00E86C16">
      <w:pPr>
        <w:spacing w:before="194" w:line="248" w:lineRule="auto"/>
        <w:ind w:right="35" w:firstLine="459"/>
        <w:jc w:val="both"/>
        <w:rPr>
          <w:rFonts w:ascii="宋体" w:eastAsia="宋体" w:hAnsi="宋体" w:cs="宋体"/>
          <w:sz w:val="22"/>
          <w:szCs w:val="22"/>
        </w:rPr>
      </w:pPr>
      <w:r>
        <w:rPr>
          <w:rFonts w:ascii="宋体" w:eastAsia="宋体" w:hAnsi="宋体" w:cs="宋体"/>
          <w:spacing w:val="-7"/>
          <w:sz w:val="22"/>
          <w:szCs w:val="22"/>
        </w:rPr>
        <w:t>食物中的各种营养素对人体体格和智力的发育均起着直接、间接或综</w:t>
      </w:r>
      <w:r>
        <w:rPr>
          <w:rFonts w:ascii="宋体" w:eastAsia="宋体" w:hAnsi="宋体" w:cs="宋体"/>
          <w:spacing w:val="-8"/>
          <w:sz w:val="22"/>
          <w:szCs w:val="22"/>
        </w:rPr>
        <w:t>合作</w:t>
      </w:r>
      <w:r>
        <w:rPr>
          <w:rFonts w:ascii="宋体" w:eastAsia="宋体" w:hAnsi="宋体" w:cs="宋体"/>
          <w:sz w:val="22"/>
          <w:szCs w:val="22"/>
        </w:rPr>
        <w:t xml:space="preserve"> </w:t>
      </w:r>
      <w:r>
        <w:rPr>
          <w:rFonts w:ascii="宋体" w:eastAsia="宋体" w:hAnsi="宋体" w:cs="宋体"/>
          <w:spacing w:val="-13"/>
          <w:sz w:val="22"/>
          <w:szCs w:val="22"/>
        </w:rPr>
        <w:t>用。如食物中的能量是否充足，直接关系到人体的生长发育</w:t>
      </w:r>
      <w:r>
        <w:rPr>
          <w:rFonts w:ascii="宋体" w:eastAsia="宋体" w:hAnsi="宋体" w:cs="宋体"/>
          <w:spacing w:val="-14"/>
          <w:sz w:val="22"/>
          <w:szCs w:val="22"/>
        </w:rPr>
        <w:t>。正处于生长发育的</w:t>
      </w:r>
      <w:r>
        <w:rPr>
          <w:rFonts w:ascii="宋体" w:eastAsia="宋体" w:hAnsi="宋体" w:cs="宋体"/>
          <w:sz w:val="22"/>
          <w:szCs w:val="22"/>
        </w:rPr>
        <w:t xml:space="preserve"> </w:t>
      </w:r>
      <w:r>
        <w:rPr>
          <w:rFonts w:ascii="宋体" w:eastAsia="宋体" w:hAnsi="宋体" w:cs="宋体"/>
          <w:spacing w:val="-3"/>
          <w:sz w:val="22"/>
          <w:szCs w:val="22"/>
        </w:rPr>
        <w:t>个体如果长期能量摄入不足(处于饥饿状态),</w:t>
      </w:r>
      <w:r>
        <w:rPr>
          <w:rFonts w:ascii="宋体" w:eastAsia="宋体" w:hAnsi="宋体" w:cs="宋体"/>
          <w:spacing w:val="-4"/>
          <w:sz w:val="22"/>
          <w:szCs w:val="22"/>
        </w:rPr>
        <w:t>机体会动用自身的能量储备甚至</w:t>
      </w:r>
      <w:r>
        <w:rPr>
          <w:rFonts w:ascii="宋体" w:eastAsia="宋体" w:hAnsi="宋体" w:cs="宋体"/>
          <w:sz w:val="22"/>
          <w:szCs w:val="22"/>
        </w:rPr>
        <w:t xml:space="preserve"> </w:t>
      </w:r>
      <w:r>
        <w:rPr>
          <w:rFonts w:ascii="宋体" w:eastAsia="宋体" w:hAnsi="宋体" w:cs="宋体"/>
          <w:spacing w:val="-13"/>
          <w:sz w:val="22"/>
          <w:szCs w:val="22"/>
        </w:rPr>
        <w:t>消耗自身的组织以满足生命活动能量的需要，从而导致生长发育迟缓、消瘦、活</w:t>
      </w:r>
      <w:r>
        <w:rPr>
          <w:rFonts w:ascii="宋体" w:eastAsia="宋体" w:hAnsi="宋体" w:cs="宋体"/>
          <w:spacing w:val="2"/>
          <w:sz w:val="22"/>
          <w:szCs w:val="22"/>
        </w:rPr>
        <w:t xml:space="preserve"> </w:t>
      </w:r>
      <w:r>
        <w:rPr>
          <w:rFonts w:ascii="宋体" w:eastAsia="宋体" w:hAnsi="宋体" w:cs="宋体"/>
          <w:spacing w:val="-13"/>
          <w:sz w:val="22"/>
          <w:szCs w:val="22"/>
        </w:rPr>
        <w:t>力消失，甚至生命停止而死亡。</w:t>
      </w:r>
      <w:r w:rsidRPr="00E86C16">
        <w:rPr>
          <w:rFonts w:ascii="宋体" w:eastAsia="宋体" w:hAnsi="宋体" w:cs="宋体"/>
          <w:b/>
          <w:spacing w:val="-13"/>
          <w:sz w:val="22"/>
          <w:szCs w:val="22"/>
        </w:rPr>
        <w:t>蛋白质</w:t>
      </w:r>
      <w:r>
        <w:rPr>
          <w:rFonts w:ascii="宋体" w:eastAsia="宋体" w:hAnsi="宋体" w:cs="宋体"/>
          <w:spacing w:val="-13"/>
          <w:sz w:val="22"/>
          <w:szCs w:val="22"/>
        </w:rPr>
        <w:t>是组织细胞的</w:t>
      </w:r>
      <w:r w:rsidRPr="00E86C16">
        <w:rPr>
          <w:rFonts w:ascii="宋体" w:eastAsia="宋体" w:hAnsi="宋体" w:cs="宋体"/>
          <w:b/>
          <w:spacing w:val="-13"/>
          <w:sz w:val="22"/>
          <w:szCs w:val="22"/>
        </w:rPr>
        <w:t>基本组成成分</w:t>
      </w:r>
      <w:r>
        <w:rPr>
          <w:rFonts w:ascii="宋体" w:eastAsia="宋体" w:hAnsi="宋体" w:cs="宋体"/>
          <w:spacing w:val="-13"/>
          <w:sz w:val="22"/>
          <w:szCs w:val="22"/>
        </w:rPr>
        <w:t>，是生命活动</w:t>
      </w:r>
      <w:r>
        <w:rPr>
          <w:rFonts w:ascii="宋体" w:eastAsia="宋体" w:hAnsi="宋体" w:cs="宋体"/>
          <w:spacing w:val="8"/>
          <w:sz w:val="22"/>
          <w:szCs w:val="22"/>
        </w:rPr>
        <w:t xml:space="preserve"> </w:t>
      </w:r>
      <w:r>
        <w:rPr>
          <w:rFonts w:ascii="宋体" w:eastAsia="宋体" w:hAnsi="宋体" w:cs="宋体"/>
          <w:spacing w:val="-8"/>
          <w:sz w:val="22"/>
          <w:szCs w:val="22"/>
        </w:rPr>
        <w:t>的重要基础。</w:t>
      </w:r>
      <w:r w:rsidRPr="00E86C16">
        <w:rPr>
          <w:rFonts w:ascii="宋体" w:eastAsia="宋体" w:hAnsi="宋体" w:cs="宋体"/>
          <w:b/>
          <w:spacing w:val="-8"/>
          <w:sz w:val="22"/>
          <w:szCs w:val="22"/>
        </w:rPr>
        <w:t>维生素</w:t>
      </w:r>
      <w:r w:rsidRPr="00E86C16">
        <w:rPr>
          <w:rFonts w:ascii="宋体" w:eastAsia="宋体" w:hAnsi="宋体" w:cs="宋体"/>
          <w:b/>
          <w:spacing w:val="-60"/>
          <w:sz w:val="22"/>
          <w:szCs w:val="22"/>
        </w:rPr>
        <w:t xml:space="preserve"> </w:t>
      </w:r>
      <w:r w:rsidRPr="00E86C16">
        <w:rPr>
          <w:rFonts w:ascii="宋体" w:eastAsia="宋体" w:hAnsi="宋体" w:cs="宋体"/>
          <w:b/>
          <w:spacing w:val="-8"/>
          <w:sz w:val="22"/>
          <w:szCs w:val="22"/>
        </w:rPr>
        <w:t>B</w:t>
      </w:r>
      <w:r w:rsidRPr="00E86C16">
        <w:rPr>
          <w:rFonts w:ascii="Calibri" w:eastAsia="Calibri" w:hAnsi="Calibri" w:cs="Calibri"/>
          <w:b/>
          <w:spacing w:val="-8"/>
          <w:sz w:val="22"/>
          <w:szCs w:val="22"/>
        </w:rPr>
        <w:t>₁</w:t>
      </w:r>
      <w:r w:rsidRPr="00E86C16">
        <w:rPr>
          <w:rFonts w:ascii="Calibri" w:eastAsia="Calibri" w:hAnsi="Calibri" w:cs="Calibri"/>
          <w:b/>
          <w:spacing w:val="-26"/>
          <w:sz w:val="22"/>
          <w:szCs w:val="22"/>
        </w:rPr>
        <w:t xml:space="preserve"> </w:t>
      </w:r>
      <w:r w:rsidRPr="00E86C16">
        <w:rPr>
          <w:rFonts w:ascii="宋体" w:eastAsia="宋体" w:hAnsi="宋体" w:cs="宋体"/>
          <w:b/>
          <w:spacing w:val="-8"/>
          <w:sz w:val="22"/>
          <w:szCs w:val="22"/>
        </w:rPr>
        <w:t>、维生素B</w:t>
      </w:r>
      <w:r w:rsidRPr="00E86C16">
        <w:rPr>
          <w:rFonts w:ascii="Calibri" w:eastAsia="Calibri" w:hAnsi="Calibri" w:cs="Calibri"/>
          <w:b/>
          <w:spacing w:val="-8"/>
          <w:sz w:val="22"/>
          <w:szCs w:val="22"/>
        </w:rPr>
        <w:t>₂</w:t>
      </w:r>
      <w:r w:rsidRPr="00E86C16">
        <w:rPr>
          <w:rFonts w:ascii="Calibri" w:eastAsia="Calibri" w:hAnsi="Calibri" w:cs="Calibri"/>
          <w:b/>
          <w:spacing w:val="40"/>
          <w:sz w:val="22"/>
          <w:szCs w:val="22"/>
        </w:rPr>
        <w:t xml:space="preserve"> </w:t>
      </w:r>
      <w:r>
        <w:rPr>
          <w:rFonts w:ascii="宋体" w:eastAsia="宋体" w:hAnsi="宋体" w:cs="宋体"/>
          <w:spacing w:val="-8"/>
          <w:sz w:val="22"/>
          <w:szCs w:val="22"/>
        </w:rPr>
        <w:t>和</w:t>
      </w:r>
      <w:r w:rsidRPr="00E86C16">
        <w:rPr>
          <w:rFonts w:ascii="宋体" w:eastAsia="宋体" w:hAnsi="宋体" w:cs="宋体"/>
          <w:b/>
          <w:spacing w:val="-8"/>
          <w:sz w:val="22"/>
          <w:szCs w:val="22"/>
        </w:rPr>
        <w:t>烟酸</w:t>
      </w:r>
      <w:r>
        <w:rPr>
          <w:rFonts w:ascii="宋体" w:eastAsia="宋体" w:hAnsi="宋体" w:cs="宋体"/>
          <w:spacing w:val="-8"/>
          <w:sz w:val="22"/>
          <w:szCs w:val="22"/>
        </w:rPr>
        <w:t>等营养素</w:t>
      </w:r>
      <w:r>
        <w:rPr>
          <w:rFonts w:ascii="宋体" w:eastAsia="宋体" w:hAnsi="宋体" w:cs="宋体"/>
          <w:spacing w:val="-9"/>
          <w:sz w:val="22"/>
          <w:szCs w:val="22"/>
        </w:rPr>
        <w:t>参与体内的</w:t>
      </w:r>
      <w:r w:rsidRPr="00E86C16">
        <w:rPr>
          <w:rFonts w:ascii="宋体" w:eastAsia="宋体" w:hAnsi="宋体" w:cs="宋体"/>
          <w:b/>
          <w:spacing w:val="-9"/>
          <w:sz w:val="22"/>
          <w:szCs w:val="22"/>
        </w:rPr>
        <w:t>能量代谢</w:t>
      </w:r>
      <w:r>
        <w:rPr>
          <w:rFonts w:ascii="宋体" w:eastAsia="宋体" w:hAnsi="宋体" w:cs="宋体"/>
          <w:spacing w:val="-9"/>
          <w:sz w:val="22"/>
          <w:szCs w:val="22"/>
        </w:rPr>
        <w:t>。如果</w:t>
      </w:r>
      <w:r>
        <w:rPr>
          <w:rFonts w:ascii="宋体" w:eastAsia="宋体" w:hAnsi="宋体" w:cs="宋体"/>
          <w:sz w:val="22"/>
          <w:szCs w:val="22"/>
        </w:rPr>
        <w:t xml:space="preserve"> </w:t>
      </w:r>
      <w:r>
        <w:rPr>
          <w:rFonts w:ascii="宋体" w:eastAsia="宋体" w:hAnsi="宋体" w:cs="宋体"/>
          <w:spacing w:val="-10"/>
          <w:sz w:val="22"/>
          <w:szCs w:val="22"/>
        </w:rPr>
        <w:t>能量和蛋白质等营养素同时缺乏，会引起蛋白质-能量</w:t>
      </w:r>
      <w:r>
        <w:rPr>
          <w:rFonts w:ascii="宋体" w:eastAsia="宋体" w:hAnsi="宋体" w:cs="宋体"/>
          <w:spacing w:val="-11"/>
          <w:sz w:val="22"/>
          <w:szCs w:val="22"/>
        </w:rPr>
        <w:t>营养不良。研究证明，儿</w:t>
      </w:r>
      <w:r>
        <w:rPr>
          <w:rFonts w:ascii="宋体" w:eastAsia="宋体" w:hAnsi="宋体" w:cs="宋体"/>
          <w:sz w:val="22"/>
          <w:szCs w:val="22"/>
        </w:rPr>
        <w:t xml:space="preserve"> </w:t>
      </w:r>
      <w:r>
        <w:rPr>
          <w:rFonts w:ascii="宋体" w:eastAsia="宋体" w:hAnsi="宋体" w:cs="宋体"/>
          <w:spacing w:val="-9"/>
          <w:sz w:val="22"/>
          <w:szCs w:val="22"/>
        </w:rPr>
        <w:t>童时期蛋白质-能量营养不良，可使智商降低15分，导致成年收入及劳动生产率</w:t>
      </w:r>
      <w:r>
        <w:rPr>
          <w:rFonts w:ascii="宋体" w:eastAsia="宋体" w:hAnsi="宋体" w:cs="宋体"/>
          <w:spacing w:val="2"/>
          <w:sz w:val="22"/>
          <w:szCs w:val="22"/>
        </w:rPr>
        <w:t xml:space="preserve"> </w:t>
      </w:r>
      <w:r>
        <w:rPr>
          <w:rFonts w:ascii="宋体" w:eastAsia="宋体" w:hAnsi="宋体" w:cs="宋体"/>
          <w:spacing w:val="-7"/>
          <w:sz w:val="22"/>
          <w:szCs w:val="22"/>
        </w:rPr>
        <w:t>下降10%。严重的蛋白质-能量营养不良，可导致局部或全身性水肿，小儿智力</w:t>
      </w:r>
      <w:r>
        <w:rPr>
          <w:rFonts w:ascii="宋体" w:eastAsia="宋体" w:hAnsi="宋体" w:cs="宋体"/>
          <w:spacing w:val="9"/>
          <w:sz w:val="22"/>
          <w:szCs w:val="22"/>
        </w:rPr>
        <w:t xml:space="preserve"> </w:t>
      </w:r>
      <w:r>
        <w:rPr>
          <w:rFonts w:ascii="宋体" w:eastAsia="宋体" w:hAnsi="宋体" w:cs="宋体"/>
          <w:spacing w:val="-6"/>
          <w:sz w:val="22"/>
          <w:szCs w:val="22"/>
        </w:rPr>
        <w:t>低下，甚至死亡。2004年安徽阜阳“奶粉”事件中出现的“大头婴”</w:t>
      </w:r>
      <w:r>
        <w:rPr>
          <w:rFonts w:ascii="宋体" w:eastAsia="宋体" w:hAnsi="宋体" w:cs="宋体"/>
          <w:spacing w:val="-7"/>
          <w:sz w:val="22"/>
          <w:szCs w:val="22"/>
        </w:rPr>
        <w:t>就是长期</w:t>
      </w:r>
    </w:p>
    <w:p w:rsidR="00EA40A3" w:rsidRDefault="00E86C16">
      <w:pPr>
        <w:spacing w:before="181"/>
        <w:ind w:right="100"/>
        <w:jc w:val="right"/>
        <w:rPr>
          <w:rFonts w:ascii="宋体" w:eastAsia="宋体" w:hAnsi="宋体" w:cs="宋体"/>
          <w:sz w:val="13"/>
          <w:szCs w:val="13"/>
        </w:rPr>
      </w:pPr>
      <w:r>
        <w:rPr>
          <w:rFonts w:ascii="宋体" w:eastAsia="宋体" w:hAnsi="宋体" w:cs="宋体"/>
          <w:spacing w:val="-20"/>
          <w:sz w:val="13"/>
          <w:szCs w:val="13"/>
        </w:rPr>
        <w:t>·</w:t>
      </w:r>
      <w:r>
        <w:rPr>
          <w:rFonts w:ascii="宋体" w:eastAsia="宋体" w:hAnsi="宋体" w:cs="宋体"/>
          <w:spacing w:val="41"/>
          <w:sz w:val="13"/>
          <w:szCs w:val="13"/>
        </w:rPr>
        <w:t xml:space="preserve"> </w:t>
      </w:r>
      <w:r>
        <w:rPr>
          <w:rFonts w:ascii="宋体" w:eastAsia="宋体" w:hAnsi="宋体" w:cs="宋体"/>
          <w:spacing w:val="-20"/>
          <w:sz w:val="13"/>
          <w:szCs w:val="13"/>
        </w:rPr>
        <w:t>3</w:t>
      </w:r>
      <w:r>
        <w:rPr>
          <w:rFonts w:ascii="宋体" w:eastAsia="宋体" w:hAnsi="宋体" w:cs="宋体"/>
          <w:spacing w:val="8"/>
          <w:sz w:val="13"/>
          <w:szCs w:val="13"/>
        </w:rPr>
        <w:t xml:space="preserve">  </w:t>
      </w:r>
      <w:r>
        <w:rPr>
          <w:rFonts w:ascii="宋体" w:eastAsia="宋体" w:hAnsi="宋体" w:cs="宋体"/>
          <w:spacing w:val="-20"/>
          <w:sz w:val="13"/>
          <w:szCs w:val="13"/>
        </w:rPr>
        <w:t>·</w:t>
      </w:r>
    </w:p>
    <w:p w:rsidR="00EA40A3" w:rsidRDefault="00EA40A3">
      <w:pPr>
        <w:sectPr w:rsidR="00EA40A3">
          <w:pgSz w:w="9220" w:h="13360"/>
          <w:pgMar w:top="400" w:right="999" w:bottom="400" w:left="910" w:header="0" w:footer="0" w:gutter="0"/>
          <w:cols w:space="720"/>
        </w:sectPr>
      </w:pPr>
    </w:p>
    <w:p w:rsidR="00EA40A3" w:rsidRDefault="00EA40A3">
      <w:pPr>
        <w:spacing w:line="276" w:lineRule="auto"/>
      </w:pPr>
    </w:p>
    <w:p w:rsidR="00EA40A3" w:rsidRDefault="00EA40A3">
      <w:pPr>
        <w:spacing w:line="277" w:lineRule="auto"/>
      </w:pPr>
    </w:p>
    <w:p w:rsidR="00EA40A3" w:rsidRDefault="00E86C16">
      <w:pPr>
        <w:spacing w:before="72" w:line="241" w:lineRule="auto"/>
        <w:ind w:right="100"/>
        <w:jc w:val="both"/>
        <w:rPr>
          <w:rFonts w:ascii="宋体" w:eastAsia="宋体" w:hAnsi="宋体" w:cs="宋体"/>
          <w:sz w:val="22"/>
          <w:szCs w:val="22"/>
        </w:rPr>
      </w:pPr>
      <w:r>
        <w:rPr>
          <w:rFonts w:ascii="宋体" w:eastAsia="宋体" w:hAnsi="宋体" w:cs="宋体"/>
          <w:spacing w:val="-13"/>
          <w:sz w:val="22"/>
          <w:szCs w:val="22"/>
        </w:rPr>
        <w:t>用蛋白质及其他营养素含量严重不足的伪劣“奶粉”喂养所致，其中数名婴儿死</w:t>
      </w:r>
      <w:r>
        <w:rPr>
          <w:rFonts w:ascii="宋体" w:eastAsia="宋体" w:hAnsi="宋体" w:cs="宋体"/>
          <w:spacing w:val="2"/>
          <w:sz w:val="22"/>
          <w:szCs w:val="22"/>
        </w:rPr>
        <w:t xml:space="preserve"> </w:t>
      </w:r>
      <w:r>
        <w:rPr>
          <w:rFonts w:ascii="宋体" w:eastAsia="宋体" w:hAnsi="宋体" w:cs="宋体"/>
          <w:spacing w:val="-13"/>
          <w:sz w:val="22"/>
          <w:szCs w:val="22"/>
        </w:rPr>
        <w:t>亡。据世界银行统计，发展中国家由于营养不良导致的智力低下、劳动力丧失或</w:t>
      </w:r>
      <w:r>
        <w:rPr>
          <w:rFonts w:ascii="宋体" w:eastAsia="宋体" w:hAnsi="宋体" w:cs="宋体"/>
          <w:spacing w:val="3"/>
          <w:sz w:val="22"/>
          <w:szCs w:val="22"/>
        </w:rPr>
        <w:t xml:space="preserve"> </w:t>
      </w:r>
      <w:r>
        <w:rPr>
          <w:rFonts w:ascii="宋体" w:eastAsia="宋体" w:hAnsi="宋体" w:cs="宋体"/>
          <w:spacing w:val="-6"/>
          <w:sz w:val="22"/>
          <w:szCs w:val="22"/>
        </w:rPr>
        <w:t>部分丧失、免疫力下降等造成的直接经济损失约占国民生产总值的3%</w:t>
      </w:r>
      <w:r>
        <w:rPr>
          <w:rFonts w:ascii="宋体" w:eastAsia="宋体" w:hAnsi="宋体" w:cs="宋体"/>
          <w:spacing w:val="-7"/>
          <w:sz w:val="22"/>
          <w:szCs w:val="22"/>
        </w:rPr>
        <w:t>～5%。</w:t>
      </w:r>
    </w:p>
    <w:p w:rsidR="00EA40A3" w:rsidRDefault="00E86C16">
      <w:pPr>
        <w:spacing w:before="68" w:line="241" w:lineRule="auto"/>
        <w:ind w:right="90" w:firstLine="419"/>
        <w:jc w:val="both"/>
        <w:rPr>
          <w:rFonts w:ascii="宋体" w:eastAsia="宋体" w:hAnsi="宋体" w:cs="宋体"/>
          <w:sz w:val="22"/>
          <w:szCs w:val="22"/>
        </w:rPr>
      </w:pPr>
      <w:r>
        <w:rPr>
          <w:rFonts w:ascii="宋体" w:eastAsia="宋体" w:hAnsi="宋体" w:cs="宋体"/>
          <w:spacing w:val="-13"/>
          <w:sz w:val="22"/>
          <w:szCs w:val="22"/>
        </w:rPr>
        <w:t>钙、镁、磷是骨骼、牙齿中的主要成分，如果缺乏就相当于高楼缺少钢</w:t>
      </w:r>
      <w:r>
        <w:rPr>
          <w:rFonts w:ascii="宋体" w:eastAsia="宋体" w:hAnsi="宋体" w:cs="宋体"/>
          <w:spacing w:val="-14"/>
          <w:sz w:val="22"/>
          <w:szCs w:val="22"/>
        </w:rPr>
        <w:t>筋水</w:t>
      </w:r>
      <w:r>
        <w:rPr>
          <w:rFonts w:ascii="宋体" w:eastAsia="宋体" w:hAnsi="宋体" w:cs="宋体"/>
          <w:sz w:val="22"/>
          <w:szCs w:val="22"/>
        </w:rPr>
        <w:t xml:space="preserve"> </w:t>
      </w:r>
      <w:r>
        <w:rPr>
          <w:rFonts w:ascii="宋体" w:eastAsia="宋体" w:hAnsi="宋体" w:cs="宋体"/>
          <w:spacing w:val="-6"/>
          <w:sz w:val="22"/>
          <w:szCs w:val="22"/>
        </w:rPr>
        <w:t>泥。维生素D</w:t>
      </w:r>
      <w:r>
        <w:rPr>
          <w:rFonts w:ascii="宋体" w:eastAsia="宋体" w:hAnsi="宋体" w:cs="宋体"/>
          <w:spacing w:val="-16"/>
          <w:sz w:val="22"/>
          <w:szCs w:val="22"/>
        </w:rPr>
        <w:t xml:space="preserve"> </w:t>
      </w:r>
      <w:r>
        <w:rPr>
          <w:rFonts w:ascii="宋体" w:eastAsia="宋体" w:hAnsi="宋体" w:cs="宋体"/>
          <w:spacing w:val="-6"/>
          <w:sz w:val="22"/>
          <w:szCs w:val="22"/>
        </w:rPr>
        <w:t>可促进钙参与骨骼、牙齿的形成，如果缺乏，幼儿骨端软骨</w:t>
      </w:r>
      <w:r>
        <w:rPr>
          <w:rFonts w:ascii="宋体" w:eastAsia="宋体" w:hAnsi="宋体" w:cs="宋体"/>
          <w:spacing w:val="-7"/>
          <w:sz w:val="22"/>
          <w:szCs w:val="22"/>
        </w:rPr>
        <w:t>难以</w:t>
      </w:r>
      <w:r>
        <w:rPr>
          <w:rFonts w:ascii="宋体" w:eastAsia="宋体" w:hAnsi="宋体" w:cs="宋体"/>
          <w:sz w:val="22"/>
          <w:szCs w:val="22"/>
        </w:rPr>
        <w:t xml:space="preserve"> </w:t>
      </w:r>
      <w:r>
        <w:rPr>
          <w:rFonts w:ascii="宋体" w:eastAsia="宋体" w:hAnsi="宋体" w:cs="宋体"/>
          <w:spacing w:val="-13"/>
          <w:sz w:val="22"/>
          <w:szCs w:val="22"/>
        </w:rPr>
        <w:t>骨化为正常的骨组织；婴幼儿期如果缺乏严重，可致佝偻病，体格</w:t>
      </w:r>
      <w:r>
        <w:rPr>
          <w:rFonts w:ascii="宋体" w:eastAsia="宋体" w:hAnsi="宋体" w:cs="宋体"/>
          <w:spacing w:val="-14"/>
          <w:sz w:val="22"/>
          <w:szCs w:val="22"/>
        </w:rPr>
        <w:t>发育异常。</w:t>
      </w:r>
    </w:p>
    <w:p w:rsidR="00EA40A3" w:rsidRDefault="00E86C16">
      <w:pPr>
        <w:spacing w:before="50" w:line="245" w:lineRule="auto"/>
        <w:ind w:firstLine="419"/>
        <w:jc w:val="both"/>
        <w:rPr>
          <w:rFonts w:ascii="宋体" w:eastAsia="宋体" w:hAnsi="宋体" w:cs="宋体"/>
          <w:sz w:val="22"/>
          <w:szCs w:val="22"/>
        </w:rPr>
      </w:pPr>
      <w:r>
        <w:rPr>
          <w:rFonts w:ascii="宋体" w:eastAsia="宋体" w:hAnsi="宋体" w:cs="宋体"/>
          <w:spacing w:val="-10"/>
          <w:sz w:val="22"/>
          <w:szCs w:val="22"/>
        </w:rPr>
        <w:t>碘是促进代谢和生长发育的一种重要营养素，与发育期儿童的身高、体重、</w:t>
      </w:r>
      <w:r>
        <w:rPr>
          <w:rFonts w:ascii="宋体" w:eastAsia="宋体" w:hAnsi="宋体" w:cs="宋体"/>
          <w:sz w:val="22"/>
          <w:szCs w:val="22"/>
        </w:rPr>
        <w:t xml:space="preserve"> </w:t>
      </w:r>
      <w:r>
        <w:rPr>
          <w:rFonts w:ascii="宋体" w:eastAsia="宋体" w:hAnsi="宋体" w:cs="宋体"/>
          <w:spacing w:val="-13"/>
          <w:sz w:val="22"/>
          <w:szCs w:val="22"/>
        </w:rPr>
        <w:t>肌肉、骨骼增长、大脑发育及性发育均密切相关，此期缺乏可致儿童生长发育受</w:t>
      </w:r>
      <w:r>
        <w:rPr>
          <w:rFonts w:ascii="宋体" w:eastAsia="宋体" w:hAnsi="宋体" w:cs="宋体"/>
          <w:spacing w:val="1"/>
          <w:sz w:val="22"/>
          <w:szCs w:val="22"/>
        </w:rPr>
        <w:t xml:space="preserve">  </w:t>
      </w:r>
      <w:r>
        <w:rPr>
          <w:rFonts w:ascii="宋体" w:eastAsia="宋体" w:hAnsi="宋体" w:cs="宋体"/>
          <w:spacing w:val="3"/>
          <w:sz w:val="22"/>
          <w:szCs w:val="22"/>
        </w:rPr>
        <w:t>阻，可使儿童智商降低10%,成年后劳动能力下降10%。侏儒</w:t>
      </w:r>
      <w:r>
        <w:rPr>
          <w:rFonts w:ascii="宋体" w:eastAsia="宋体" w:hAnsi="宋体" w:cs="宋体"/>
          <w:spacing w:val="2"/>
          <w:sz w:val="22"/>
          <w:szCs w:val="22"/>
        </w:rPr>
        <w:t>症的一个最主要</w:t>
      </w:r>
      <w:r>
        <w:rPr>
          <w:rFonts w:ascii="宋体" w:eastAsia="宋体" w:hAnsi="宋体" w:cs="宋体"/>
          <w:sz w:val="22"/>
          <w:szCs w:val="22"/>
        </w:rPr>
        <w:t xml:space="preserve">  </w:t>
      </w:r>
      <w:r>
        <w:rPr>
          <w:rFonts w:ascii="宋体" w:eastAsia="宋体" w:hAnsi="宋体" w:cs="宋体"/>
          <w:spacing w:val="-1"/>
          <w:sz w:val="22"/>
          <w:szCs w:val="22"/>
        </w:rPr>
        <w:t>的病因就是缺碘。如果在脑发育关键时期(怀孕6个月至出生后1岁内)严重缺</w:t>
      </w:r>
      <w:r>
        <w:rPr>
          <w:rFonts w:ascii="宋体" w:eastAsia="宋体" w:hAnsi="宋体" w:cs="宋体"/>
          <w:spacing w:val="3"/>
          <w:sz w:val="22"/>
          <w:szCs w:val="22"/>
        </w:rPr>
        <w:t xml:space="preserve">  </w:t>
      </w:r>
      <w:r>
        <w:rPr>
          <w:rFonts w:ascii="宋体" w:eastAsia="宋体" w:hAnsi="宋体" w:cs="宋体"/>
          <w:spacing w:val="-15"/>
          <w:sz w:val="22"/>
          <w:szCs w:val="22"/>
        </w:rPr>
        <w:t>碘，可致“呆小症”(克汀病)。</w:t>
      </w:r>
    </w:p>
    <w:p w:rsidR="00EA40A3" w:rsidRDefault="00E86C16">
      <w:pPr>
        <w:spacing w:before="71" w:line="246" w:lineRule="auto"/>
        <w:ind w:right="81" w:firstLine="419"/>
        <w:jc w:val="both"/>
        <w:rPr>
          <w:rFonts w:ascii="宋体" w:eastAsia="宋体" w:hAnsi="宋体" w:cs="宋体"/>
          <w:sz w:val="22"/>
          <w:szCs w:val="22"/>
        </w:rPr>
      </w:pPr>
      <w:r>
        <w:rPr>
          <w:rFonts w:ascii="宋体" w:eastAsia="宋体" w:hAnsi="宋体" w:cs="宋体"/>
          <w:spacing w:val="-13"/>
          <w:sz w:val="22"/>
          <w:szCs w:val="22"/>
        </w:rPr>
        <w:t>充足合理的食物营养对于提高国民的身体和智力素质具有重要意义</w:t>
      </w:r>
      <w:r>
        <w:rPr>
          <w:rFonts w:ascii="宋体" w:eastAsia="宋体" w:hAnsi="宋体" w:cs="宋体"/>
          <w:spacing w:val="-14"/>
          <w:sz w:val="22"/>
          <w:szCs w:val="22"/>
        </w:rPr>
        <w:t>。在工业</w:t>
      </w:r>
      <w:r>
        <w:rPr>
          <w:rFonts w:ascii="宋体" w:eastAsia="宋体" w:hAnsi="宋体" w:cs="宋体"/>
          <w:sz w:val="22"/>
          <w:szCs w:val="22"/>
        </w:rPr>
        <w:t xml:space="preserve"> </w:t>
      </w:r>
      <w:r>
        <w:rPr>
          <w:rFonts w:ascii="宋体" w:eastAsia="宋体" w:hAnsi="宋体" w:cs="宋体"/>
          <w:spacing w:val="-13"/>
          <w:sz w:val="22"/>
          <w:szCs w:val="22"/>
        </w:rPr>
        <w:t>革命时期，欧洲的食物供应较充足，人们的营养状况较好，体格强壮。著名经济</w:t>
      </w:r>
      <w:r>
        <w:rPr>
          <w:rFonts w:ascii="宋体" w:eastAsia="宋体" w:hAnsi="宋体" w:cs="宋体"/>
          <w:spacing w:val="3"/>
          <w:sz w:val="22"/>
          <w:szCs w:val="22"/>
        </w:rPr>
        <w:t xml:space="preserve"> </w:t>
      </w:r>
      <w:r>
        <w:rPr>
          <w:rFonts w:ascii="宋体" w:eastAsia="宋体" w:hAnsi="宋体" w:cs="宋体"/>
          <w:spacing w:val="-9"/>
          <w:sz w:val="22"/>
          <w:szCs w:val="22"/>
        </w:rPr>
        <w:t>学家、诺贝尔奖获得者Fagel通过对当时英格兰、威尔士和北欧国家经济增长因</w:t>
      </w:r>
      <w:r>
        <w:rPr>
          <w:rFonts w:ascii="宋体" w:eastAsia="宋体" w:hAnsi="宋体" w:cs="宋体"/>
          <w:spacing w:val="3"/>
          <w:sz w:val="22"/>
          <w:szCs w:val="22"/>
        </w:rPr>
        <w:t xml:space="preserve"> </w:t>
      </w:r>
      <w:r>
        <w:rPr>
          <w:rFonts w:ascii="宋体" w:eastAsia="宋体" w:hAnsi="宋体" w:cs="宋体"/>
          <w:spacing w:val="-12"/>
          <w:sz w:val="22"/>
          <w:szCs w:val="22"/>
        </w:rPr>
        <w:t>素的分析，证明北欧在这一时期的长期经济增长有一</w:t>
      </w:r>
      <w:r>
        <w:rPr>
          <w:rFonts w:ascii="宋体" w:eastAsia="宋体" w:hAnsi="宋体" w:cs="宋体"/>
          <w:spacing w:val="-13"/>
          <w:sz w:val="22"/>
          <w:szCs w:val="22"/>
        </w:rPr>
        <w:t>半以上应归功于其人民的体</w:t>
      </w:r>
      <w:r>
        <w:rPr>
          <w:rFonts w:ascii="宋体" w:eastAsia="宋体" w:hAnsi="宋体" w:cs="宋体"/>
          <w:sz w:val="22"/>
          <w:szCs w:val="22"/>
        </w:rPr>
        <w:t xml:space="preserve"> </w:t>
      </w:r>
      <w:r>
        <w:rPr>
          <w:rFonts w:ascii="宋体" w:eastAsia="宋体" w:hAnsi="宋体" w:cs="宋体"/>
          <w:spacing w:val="-6"/>
          <w:sz w:val="22"/>
          <w:szCs w:val="22"/>
        </w:rPr>
        <w:t>格(身高、体重)的增长。随着经济的发展，食物供</w:t>
      </w:r>
      <w:r>
        <w:rPr>
          <w:rFonts w:ascii="宋体" w:eastAsia="宋体" w:hAnsi="宋体" w:cs="宋体"/>
          <w:spacing w:val="-7"/>
          <w:sz w:val="22"/>
          <w:szCs w:val="22"/>
        </w:rPr>
        <w:t>应的丰富，我国儿童和青少</w:t>
      </w:r>
      <w:r>
        <w:rPr>
          <w:rFonts w:ascii="宋体" w:eastAsia="宋体" w:hAnsi="宋体" w:cs="宋体"/>
          <w:sz w:val="22"/>
          <w:szCs w:val="22"/>
        </w:rPr>
        <w:t xml:space="preserve"> </w:t>
      </w:r>
      <w:r>
        <w:rPr>
          <w:rFonts w:ascii="宋体" w:eastAsia="宋体" w:hAnsi="宋体" w:cs="宋体"/>
          <w:spacing w:val="-1"/>
          <w:sz w:val="22"/>
          <w:szCs w:val="22"/>
        </w:rPr>
        <w:t>年生长发育水平稳步提高(参见1.5.1节)</w:t>
      </w:r>
      <w:r>
        <w:rPr>
          <w:rFonts w:ascii="宋体" w:eastAsia="宋体" w:hAnsi="宋体" w:cs="宋体"/>
          <w:spacing w:val="-2"/>
          <w:sz w:val="22"/>
          <w:szCs w:val="22"/>
        </w:rPr>
        <w:t>。</w:t>
      </w:r>
    </w:p>
    <w:p w:rsidR="00EA40A3" w:rsidRDefault="00E86C16">
      <w:pPr>
        <w:spacing w:before="233" w:line="221" w:lineRule="auto"/>
        <w:ind w:left="3"/>
        <w:outlineLvl w:val="0"/>
        <w:rPr>
          <w:rFonts w:ascii="黑体" w:eastAsia="黑体" w:hAnsi="黑体" w:cs="黑体"/>
          <w:sz w:val="22"/>
          <w:szCs w:val="22"/>
        </w:rPr>
      </w:pPr>
      <w:r>
        <w:rPr>
          <w:rFonts w:ascii="黑体" w:eastAsia="黑体" w:hAnsi="黑体" w:cs="黑体"/>
          <w:b/>
          <w:bCs/>
          <w:spacing w:val="11"/>
          <w:sz w:val="22"/>
          <w:szCs w:val="22"/>
        </w:rPr>
        <w:t>1.2.2</w:t>
      </w:r>
      <w:r>
        <w:rPr>
          <w:rFonts w:ascii="黑体" w:eastAsia="黑体" w:hAnsi="黑体" w:cs="黑体"/>
          <w:spacing w:val="15"/>
          <w:sz w:val="22"/>
          <w:szCs w:val="22"/>
        </w:rPr>
        <w:t xml:space="preserve">   </w:t>
      </w:r>
      <w:r>
        <w:rPr>
          <w:rFonts w:ascii="黑体" w:eastAsia="黑体" w:hAnsi="黑体" w:cs="黑体"/>
          <w:b/>
          <w:bCs/>
          <w:spacing w:val="11"/>
          <w:sz w:val="22"/>
          <w:szCs w:val="22"/>
        </w:rPr>
        <w:t>食物营养对预防疾病、维持身体健康的重要作用</w:t>
      </w:r>
    </w:p>
    <w:p w:rsidR="00EA40A3" w:rsidRDefault="00E86C16">
      <w:pPr>
        <w:spacing w:before="194" w:line="246" w:lineRule="auto"/>
        <w:ind w:right="76" w:firstLine="419"/>
        <w:jc w:val="both"/>
        <w:rPr>
          <w:rFonts w:ascii="宋体" w:eastAsia="宋体" w:hAnsi="宋体" w:cs="宋体"/>
          <w:sz w:val="22"/>
          <w:szCs w:val="22"/>
        </w:rPr>
      </w:pPr>
      <w:r>
        <w:rPr>
          <w:rFonts w:ascii="宋体" w:eastAsia="宋体" w:hAnsi="宋体" w:cs="宋体"/>
          <w:spacing w:val="-13"/>
          <w:sz w:val="22"/>
          <w:szCs w:val="22"/>
        </w:rPr>
        <w:t>食物中不同的营养素具有不同的生理功能，每种营养素在维持身体健康中均</w:t>
      </w:r>
      <w:r>
        <w:rPr>
          <w:rFonts w:ascii="宋体" w:eastAsia="宋体" w:hAnsi="宋体" w:cs="宋体"/>
          <w:spacing w:val="1"/>
          <w:sz w:val="22"/>
          <w:szCs w:val="22"/>
        </w:rPr>
        <w:t xml:space="preserve"> </w:t>
      </w:r>
      <w:r>
        <w:rPr>
          <w:rFonts w:ascii="宋体" w:eastAsia="宋体" w:hAnsi="宋体" w:cs="宋体"/>
          <w:spacing w:val="-6"/>
          <w:sz w:val="22"/>
          <w:szCs w:val="22"/>
        </w:rPr>
        <w:t>起着各自重要的作用。某些营养素的缺乏可直接引起缺乏病，如缺乏维生素</w:t>
      </w:r>
      <w:r>
        <w:rPr>
          <w:rFonts w:ascii="宋体" w:eastAsia="宋体" w:hAnsi="宋体" w:cs="宋体"/>
          <w:spacing w:val="-59"/>
          <w:sz w:val="22"/>
          <w:szCs w:val="22"/>
        </w:rPr>
        <w:t xml:space="preserve"> </w:t>
      </w:r>
      <w:r>
        <w:rPr>
          <w:rFonts w:ascii="宋体" w:eastAsia="宋体" w:hAnsi="宋体" w:cs="宋体"/>
          <w:spacing w:val="-6"/>
          <w:sz w:val="22"/>
          <w:szCs w:val="22"/>
        </w:rPr>
        <w:t>A</w:t>
      </w:r>
      <w:r>
        <w:rPr>
          <w:rFonts w:ascii="宋体" w:eastAsia="宋体" w:hAnsi="宋体" w:cs="宋体"/>
          <w:sz w:val="22"/>
          <w:szCs w:val="22"/>
        </w:rPr>
        <w:t xml:space="preserve"> </w:t>
      </w:r>
      <w:r>
        <w:rPr>
          <w:rFonts w:ascii="宋体" w:eastAsia="宋体" w:hAnsi="宋体" w:cs="宋体"/>
          <w:spacing w:val="-7"/>
          <w:sz w:val="22"/>
          <w:szCs w:val="22"/>
        </w:rPr>
        <w:t>可引起夜盲症，缺乏维生素B</w:t>
      </w:r>
      <w:r>
        <w:rPr>
          <w:rFonts w:ascii="Calibri" w:eastAsia="Calibri" w:hAnsi="Calibri" w:cs="Calibri"/>
          <w:spacing w:val="-7"/>
          <w:sz w:val="22"/>
          <w:szCs w:val="22"/>
        </w:rPr>
        <w:t>₁</w:t>
      </w:r>
      <w:r>
        <w:rPr>
          <w:rFonts w:ascii="Calibri" w:eastAsia="Calibri" w:hAnsi="Calibri" w:cs="Calibri"/>
          <w:spacing w:val="4"/>
          <w:sz w:val="22"/>
          <w:szCs w:val="22"/>
        </w:rPr>
        <w:t xml:space="preserve">  </w:t>
      </w:r>
      <w:r>
        <w:rPr>
          <w:rFonts w:ascii="宋体" w:eastAsia="宋体" w:hAnsi="宋体" w:cs="宋体"/>
          <w:spacing w:val="-7"/>
          <w:sz w:val="22"/>
          <w:szCs w:val="22"/>
        </w:rPr>
        <w:t>可致脚气病，缺乏维生素</w:t>
      </w:r>
      <w:r>
        <w:rPr>
          <w:rFonts w:ascii="宋体" w:eastAsia="宋体" w:hAnsi="宋体" w:cs="宋体"/>
          <w:spacing w:val="-8"/>
          <w:sz w:val="22"/>
          <w:szCs w:val="22"/>
        </w:rPr>
        <w:t>D</w:t>
      </w:r>
      <w:r>
        <w:rPr>
          <w:rFonts w:ascii="宋体" w:eastAsia="宋体" w:hAnsi="宋体" w:cs="宋体"/>
          <w:spacing w:val="-5"/>
          <w:sz w:val="22"/>
          <w:szCs w:val="22"/>
        </w:rPr>
        <w:t xml:space="preserve"> </w:t>
      </w:r>
      <w:r>
        <w:rPr>
          <w:rFonts w:ascii="宋体" w:eastAsia="宋体" w:hAnsi="宋体" w:cs="宋体"/>
          <w:spacing w:val="-8"/>
          <w:sz w:val="22"/>
          <w:szCs w:val="22"/>
        </w:rPr>
        <w:t>可致佝偻病，缺乏烟</w:t>
      </w:r>
      <w:r>
        <w:rPr>
          <w:rFonts w:ascii="宋体" w:eastAsia="宋体" w:hAnsi="宋体" w:cs="宋体"/>
          <w:sz w:val="22"/>
          <w:szCs w:val="22"/>
        </w:rPr>
        <w:t xml:space="preserve"> </w:t>
      </w:r>
      <w:r>
        <w:rPr>
          <w:rFonts w:ascii="宋体" w:eastAsia="宋体" w:hAnsi="宋体" w:cs="宋体"/>
          <w:spacing w:val="-1"/>
          <w:sz w:val="22"/>
          <w:szCs w:val="22"/>
        </w:rPr>
        <w:t>酸可致癞皮病，缺乏维生素C</w:t>
      </w:r>
      <w:r>
        <w:rPr>
          <w:rFonts w:ascii="宋体" w:eastAsia="宋体" w:hAnsi="宋体" w:cs="宋体"/>
          <w:spacing w:val="-24"/>
          <w:sz w:val="22"/>
          <w:szCs w:val="22"/>
        </w:rPr>
        <w:t xml:space="preserve"> </w:t>
      </w:r>
      <w:r>
        <w:rPr>
          <w:rFonts w:ascii="宋体" w:eastAsia="宋体" w:hAnsi="宋体" w:cs="宋体"/>
          <w:spacing w:val="-1"/>
          <w:sz w:val="22"/>
          <w:szCs w:val="22"/>
        </w:rPr>
        <w:t>可致坏血</w:t>
      </w:r>
      <w:r>
        <w:rPr>
          <w:rFonts w:ascii="宋体" w:eastAsia="宋体" w:hAnsi="宋体" w:cs="宋体"/>
          <w:spacing w:val="-2"/>
          <w:sz w:val="22"/>
          <w:szCs w:val="22"/>
        </w:rPr>
        <w:t>病(1744年英国海军上将</w:t>
      </w:r>
      <w:r>
        <w:rPr>
          <w:rFonts w:ascii="宋体" w:eastAsia="宋体" w:hAnsi="宋体" w:cs="宋体"/>
          <w:spacing w:val="-1"/>
          <w:sz w:val="22"/>
          <w:szCs w:val="22"/>
        </w:rPr>
        <w:t>Anson</w:t>
      </w:r>
      <w:r>
        <w:rPr>
          <w:rFonts w:ascii="宋体" w:eastAsia="宋体" w:hAnsi="宋体" w:cs="宋体"/>
          <w:spacing w:val="-28"/>
          <w:sz w:val="22"/>
          <w:szCs w:val="22"/>
        </w:rPr>
        <w:t xml:space="preserve"> </w:t>
      </w:r>
      <w:r>
        <w:rPr>
          <w:rFonts w:ascii="宋体" w:eastAsia="宋体" w:hAnsi="宋体" w:cs="宋体"/>
          <w:spacing w:val="-2"/>
          <w:sz w:val="22"/>
          <w:szCs w:val="22"/>
        </w:rPr>
        <w:t>带领的</w:t>
      </w:r>
      <w:r>
        <w:rPr>
          <w:rFonts w:ascii="宋体" w:eastAsia="宋体" w:hAnsi="宋体" w:cs="宋体"/>
          <w:sz w:val="22"/>
          <w:szCs w:val="22"/>
        </w:rPr>
        <w:t xml:space="preserve"> </w:t>
      </w:r>
      <w:r>
        <w:rPr>
          <w:rFonts w:ascii="宋体" w:eastAsia="宋体" w:hAnsi="宋体" w:cs="宋体"/>
          <w:spacing w:val="-7"/>
          <w:sz w:val="22"/>
          <w:szCs w:val="22"/>
        </w:rPr>
        <w:t>航海船队在航海途中数百名海员死于坏血病),缺铁可致缺铁性贫血，缺硒可致</w:t>
      </w:r>
      <w:r>
        <w:rPr>
          <w:rFonts w:ascii="宋体" w:eastAsia="宋体" w:hAnsi="宋体" w:cs="宋体"/>
          <w:spacing w:val="12"/>
          <w:sz w:val="22"/>
          <w:szCs w:val="22"/>
        </w:rPr>
        <w:t xml:space="preserve"> </w:t>
      </w:r>
      <w:r>
        <w:rPr>
          <w:rFonts w:ascii="宋体" w:eastAsia="宋体" w:hAnsi="宋体" w:cs="宋体"/>
          <w:spacing w:val="-15"/>
          <w:sz w:val="22"/>
          <w:szCs w:val="22"/>
        </w:rPr>
        <w:t>克山病等。</w:t>
      </w:r>
    </w:p>
    <w:p w:rsidR="00EA40A3" w:rsidRDefault="00E86C16">
      <w:pPr>
        <w:spacing w:before="75" w:line="239" w:lineRule="auto"/>
        <w:ind w:right="80" w:firstLine="419"/>
        <w:jc w:val="both"/>
        <w:rPr>
          <w:rFonts w:ascii="宋体" w:eastAsia="宋体" w:hAnsi="宋体" w:cs="宋体"/>
          <w:sz w:val="22"/>
          <w:szCs w:val="22"/>
        </w:rPr>
      </w:pPr>
      <w:r>
        <w:rPr>
          <w:rFonts w:ascii="宋体" w:eastAsia="宋体" w:hAnsi="宋体" w:cs="宋体"/>
          <w:spacing w:val="-13"/>
          <w:sz w:val="22"/>
          <w:szCs w:val="22"/>
        </w:rPr>
        <w:t>合理充足的食物营养不但可预防营养素缺乏症，而且还可预防某些常见病的</w:t>
      </w:r>
      <w:r>
        <w:rPr>
          <w:rFonts w:ascii="宋体" w:eastAsia="宋体" w:hAnsi="宋体" w:cs="宋体"/>
          <w:spacing w:val="4"/>
          <w:sz w:val="22"/>
          <w:szCs w:val="22"/>
        </w:rPr>
        <w:t xml:space="preserve"> </w:t>
      </w:r>
      <w:r>
        <w:rPr>
          <w:rFonts w:ascii="宋体" w:eastAsia="宋体" w:hAnsi="宋体" w:cs="宋体"/>
          <w:spacing w:val="-13"/>
          <w:sz w:val="22"/>
          <w:szCs w:val="22"/>
        </w:rPr>
        <w:t>发生。流行病学的资料表明，补充某些抗氧化营养素能降低一些常见病的发病率</w:t>
      </w:r>
      <w:r>
        <w:rPr>
          <w:rFonts w:ascii="宋体" w:eastAsia="宋体" w:hAnsi="宋体" w:cs="宋体"/>
          <w:spacing w:val="3"/>
          <w:sz w:val="22"/>
          <w:szCs w:val="22"/>
        </w:rPr>
        <w:t xml:space="preserve"> </w:t>
      </w:r>
      <w:r>
        <w:rPr>
          <w:rFonts w:ascii="宋体" w:eastAsia="宋体" w:hAnsi="宋体" w:cs="宋体"/>
          <w:spacing w:val="-6"/>
          <w:sz w:val="22"/>
          <w:szCs w:val="22"/>
        </w:rPr>
        <w:t>和死亡率，如补充微量元素硒可降低肝癌的发病率，补充维生素E</w:t>
      </w:r>
      <w:r>
        <w:rPr>
          <w:rFonts w:ascii="宋体" w:eastAsia="宋体" w:hAnsi="宋体" w:cs="宋体"/>
          <w:spacing w:val="-8"/>
          <w:sz w:val="22"/>
          <w:szCs w:val="22"/>
        </w:rPr>
        <w:t xml:space="preserve"> </w:t>
      </w:r>
      <w:r>
        <w:rPr>
          <w:rFonts w:ascii="宋体" w:eastAsia="宋体" w:hAnsi="宋体" w:cs="宋体"/>
          <w:spacing w:val="-6"/>
          <w:sz w:val="22"/>
          <w:szCs w:val="22"/>
        </w:rPr>
        <w:t>可降低脑卒</w:t>
      </w:r>
      <w:r>
        <w:rPr>
          <w:rFonts w:ascii="宋体" w:eastAsia="宋体" w:hAnsi="宋体" w:cs="宋体"/>
          <w:sz w:val="22"/>
          <w:szCs w:val="22"/>
        </w:rPr>
        <w:t xml:space="preserve"> </w:t>
      </w:r>
      <w:r>
        <w:rPr>
          <w:rFonts w:ascii="宋体" w:eastAsia="宋体" w:hAnsi="宋体" w:cs="宋体"/>
          <w:spacing w:val="-13"/>
          <w:sz w:val="22"/>
          <w:szCs w:val="22"/>
        </w:rPr>
        <w:t>中、冠心病的死亡率等。又如补充提高免疫功能和抗氧化的营养素，可减少慢性</w:t>
      </w:r>
      <w:r>
        <w:rPr>
          <w:rFonts w:ascii="宋体" w:eastAsia="宋体" w:hAnsi="宋体" w:cs="宋体"/>
          <w:spacing w:val="2"/>
          <w:sz w:val="22"/>
          <w:szCs w:val="22"/>
        </w:rPr>
        <w:t xml:space="preserve"> </w:t>
      </w:r>
      <w:r>
        <w:rPr>
          <w:rFonts w:ascii="宋体" w:eastAsia="宋体" w:hAnsi="宋体" w:cs="宋体"/>
          <w:spacing w:val="-18"/>
          <w:sz w:val="22"/>
          <w:szCs w:val="22"/>
        </w:rPr>
        <w:t>支气管炎感染的发作次数。</w:t>
      </w:r>
    </w:p>
    <w:p w:rsidR="00EA40A3" w:rsidRDefault="00E86C16">
      <w:pPr>
        <w:spacing w:before="97" w:line="241" w:lineRule="auto"/>
        <w:ind w:right="80" w:firstLine="419"/>
        <w:jc w:val="both"/>
        <w:rPr>
          <w:rFonts w:ascii="宋体" w:eastAsia="宋体" w:hAnsi="宋体" w:cs="宋体"/>
          <w:sz w:val="22"/>
          <w:szCs w:val="22"/>
        </w:rPr>
      </w:pPr>
      <w:r>
        <w:rPr>
          <w:rFonts w:ascii="宋体" w:eastAsia="宋体" w:hAnsi="宋体" w:cs="宋体"/>
          <w:spacing w:val="-6"/>
          <w:sz w:val="22"/>
          <w:szCs w:val="22"/>
        </w:rPr>
        <w:t>合理的食物营养有利于预防某些慢性病，增进健康，延长寿命。有研究表</w:t>
      </w:r>
      <w:r>
        <w:rPr>
          <w:rFonts w:ascii="宋体" w:eastAsia="宋体" w:hAnsi="宋体" w:cs="宋体"/>
          <w:sz w:val="22"/>
          <w:szCs w:val="22"/>
        </w:rPr>
        <w:t xml:space="preserve"> </w:t>
      </w:r>
      <w:r>
        <w:rPr>
          <w:rFonts w:ascii="宋体" w:eastAsia="宋体" w:hAnsi="宋体" w:cs="宋体"/>
          <w:spacing w:val="-13"/>
          <w:sz w:val="22"/>
          <w:szCs w:val="22"/>
        </w:rPr>
        <w:t>明，中老年人适当控制能量的摄入，调整脂肪及不饱和脂肪酸的摄入，补充适量</w:t>
      </w:r>
      <w:r>
        <w:rPr>
          <w:rFonts w:ascii="宋体" w:eastAsia="宋体" w:hAnsi="宋体" w:cs="宋体"/>
          <w:spacing w:val="2"/>
          <w:sz w:val="22"/>
          <w:szCs w:val="22"/>
        </w:rPr>
        <w:t xml:space="preserve"> </w:t>
      </w:r>
      <w:r>
        <w:rPr>
          <w:rFonts w:ascii="宋体" w:eastAsia="宋体" w:hAnsi="宋体" w:cs="宋体"/>
          <w:spacing w:val="-15"/>
          <w:sz w:val="22"/>
          <w:szCs w:val="22"/>
        </w:rPr>
        <w:t>的抗氧化营养素，有利于预防或延缓某些慢性病的发生。</w:t>
      </w:r>
    </w:p>
    <w:p w:rsidR="00EA40A3" w:rsidRDefault="00E86C16">
      <w:pPr>
        <w:spacing w:before="60" w:line="241" w:lineRule="auto"/>
        <w:ind w:firstLine="419"/>
        <w:jc w:val="both"/>
        <w:rPr>
          <w:rFonts w:ascii="宋体" w:eastAsia="宋体" w:hAnsi="宋体" w:cs="宋体"/>
          <w:sz w:val="22"/>
          <w:szCs w:val="22"/>
        </w:rPr>
      </w:pPr>
      <w:r>
        <w:rPr>
          <w:rFonts w:ascii="宋体" w:eastAsia="宋体" w:hAnsi="宋体" w:cs="宋体"/>
          <w:spacing w:val="-15"/>
          <w:sz w:val="22"/>
          <w:szCs w:val="22"/>
        </w:rPr>
        <w:t>人口寿命与食物营养关系密切。如我国居民食物营养逐渐改善后，平均预期</w:t>
      </w:r>
      <w:r>
        <w:rPr>
          <w:rFonts w:ascii="宋体" w:eastAsia="宋体" w:hAnsi="宋体" w:cs="宋体"/>
          <w:spacing w:val="8"/>
          <w:sz w:val="22"/>
          <w:szCs w:val="22"/>
        </w:rPr>
        <w:t xml:space="preserve">  </w:t>
      </w:r>
      <w:r>
        <w:rPr>
          <w:rFonts w:ascii="宋体" w:eastAsia="宋体" w:hAnsi="宋体" w:cs="宋体"/>
          <w:spacing w:val="-5"/>
          <w:sz w:val="22"/>
          <w:szCs w:val="22"/>
        </w:rPr>
        <w:t>寿命由解放初期的35岁增加到2002年的71岁。从世界范围看，食物供应充足、</w:t>
      </w:r>
      <w:r>
        <w:rPr>
          <w:rFonts w:ascii="宋体" w:eastAsia="宋体" w:hAnsi="宋体" w:cs="宋体"/>
          <w:spacing w:val="8"/>
          <w:sz w:val="22"/>
          <w:szCs w:val="22"/>
        </w:rPr>
        <w:t xml:space="preserve"> </w:t>
      </w:r>
      <w:r>
        <w:rPr>
          <w:rFonts w:ascii="宋体" w:eastAsia="宋体" w:hAnsi="宋体" w:cs="宋体"/>
          <w:spacing w:val="-10"/>
          <w:sz w:val="22"/>
          <w:szCs w:val="22"/>
        </w:rPr>
        <w:t>经济发达国家或地区的人口平均预期寿命明显高于欠发达国家或地区。据统计</w:t>
      </w:r>
      <w:r>
        <w:rPr>
          <w:rFonts w:ascii="宋体" w:eastAsia="宋体" w:hAnsi="宋体" w:cs="宋体"/>
          <w:spacing w:val="-11"/>
          <w:sz w:val="22"/>
          <w:szCs w:val="22"/>
        </w:rPr>
        <w:t>，</w:t>
      </w:r>
    </w:p>
    <w:p w:rsidR="00EA40A3" w:rsidRDefault="00E86C16">
      <w:pPr>
        <w:spacing w:before="88" w:line="241" w:lineRule="auto"/>
        <w:ind w:left="130"/>
        <w:rPr>
          <w:rFonts w:ascii="宋体" w:eastAsia="宋体" w:hAnsi="宋体" w:cs="宋体"/>
          <w:sz w:val="13"/>
          <w:szCs w:val="13"/>
        </w:rPr>
      </w:pPr>
      <w:r>
        <w:rPr>
          <w:rFonts w:ascii="宋体" w:eastAsia="宋体" w:hAnsi="宋体" w:cs="宋体"/>
          <w:spacing w:val="-19"/>
          <w:sz w:val="13"/>
          <w:szCs w:val="13"/>
        </w:rPr>
        <w:t>·</w:t>
      </w:r>
      <w:r>
        <w:rPr>
          <w:rFonts w:ascii="宋体" w:eastAsia="宋体" w:hAnsi="宋体" w:cs="宋体"/>
          <w:spacing w:val="38"/>
          <w:sz w:val="13"/>
          <w:szCs w:val="13"/>
        </w:rPr>
        <w:t xml:space="preserve"> </w:t>
      </w:r>
      <w:r>
        <w:rPr>
          <w:rFonts w:ascii="宋体" w:eastAsia="宋体" w:hAnsi="宋体" w:cs="宋体"/>
          <w:spacing w:val="-19"/>
          <w:sz w:val="13"/>
          <w:szCs w:val="13"/>
        </w:rPr>
        <w:t>4</w:t>
      </w:r>
      <w:r>
        <w:rPr>
          <w:rFonts w:ascii="宋体" w:eastAsia="宋体" w:hAnsi="宋体" w:cs="宋体"/>
          <w:spacing w:val="8"/>
          <w:sz w:val="13"/>
          <w:szCs w:val="13"/>
        </w:rPr>
        <w:t xml:space="preserve">  </w:t>
      </w:r>
      <w:r>
        <w:rPr>
          <w:rFonts w:ascii="宋体" w:eastAsia="宋体" w:hAnsi="宋体" w:cs="宋体"/>
          <w:spacing w:val="-19"/>
          <w:sz w:val="13"/>
          <w:szCs w:val="13"/>
        </w:rPr>
        <w:t>·</w:t>
      </w:r>
    </w:p>
    <w:p w:rsidR="00EA40A3" w:rsidRDefault="00EA40A3">
      <w:pPr>
        <w:sectPr w:rsidR="00EA40A3">
          <w:pgSz w:w="9220" w:h="13360"/>
          <w:pgMar w:top="400" w:right="1029" w:bottom="400" w:left="840" w:header="0" w:footer="0" w:gutter="0"/>
          <w:cols w:space="720"/>
        </w:sectPr>
      </w:pPr>
    </w:p>
    <w:p w:rsidR="00EA40A3" w:rsidRDefault="00EA40A3">
      <w:pPr>
        <w:spacing w:line="296" w:lineRule="auto"/>
      </w:pPr>
    </w:p>
    <w:p w:rsidR="00EA40A3" w:rsidRDefault="00EA40A3">
      <w:pPr>
        <w:spacing w:line="297" w:lineRule="auto"/>
      </w:pPr>
    </w:p>
    <w:p w:rsidR="00EA40A3" w:rsidRDefault="00E86C16">
      <w:pPr>
        <w:spacing w:before="71" w:line="241" w:lineRule="auto"/>
        <w:ind w:right="43"/>
        <w:jc w:val="both"/>
        <w:rPr>
          <w:rFonts w:ascii="宋体" w:eastAsia="宋体" w:hAnsi="宋体" w:cs="宋体"/>
          <w:sz w:val="22"/>
          <w:szCs w:val="22"/>
        </w:rPr>
      </w:pPr>
      <w:r>
        <w:rPr>
          <w:rFonts w:ascii="宋体" w:eastAsia="宋体" w:hAnsi="宋体" w:cs="宋体"/>
          <w:spacing w:val="-7"/>
          <w:sz w:val="22"/>
          <w:szCs w:val="22"/>
        </w:rPr>
        <w:t>2002年经济发达的日本和中国香港预期寿命达81岁，瑞典、瑞士、意大利、澳</w:t>
      </w:r>
      <w:r>
        <w:rPr>
          <w:rFonts w:ascii="宋体" w:eastAsia="宋体" w:hAnsi="宋体" w:cs="宋体"/>
          <w:spacing w:val="8"/>
          <w:sz w:val="22"/>
          <w:szCs w:val="22"/>
        </w:rPr>
        <w:t xml:space="preserve"> </w:t>
      </w:r>
      <w:r>
        <w:rPr>
          <w:rFonts w:ascii="宋体" w:eastAsia="宋体" w:hAnsi="宋体" w:cs="宋体"/>
          <w:sz w:val="22"/>
          <w:szCs w:val="22"/>
        </w:rPr>
        <w:t>大利亚达80岁，加拿大、新加坡等国达79岁，美国</w:t>
      </w:r>
      <w:r>
        <w:rPr>
          <w:rFonts w:ascii="宋体" w:eastAsia="宋体" w:hAnsi="宋体" w:cs="宋体"/>
          <w:spacing w:val="-1"/>
          <w:sz w:val="22"/>
          <w:szCs w:val="22"/>
        </w:rPr>
        <w:t>达77岁，而欠发达的非洲</w:t>
      </w:r>
      <w:r>
        <w:rPr>
          <w:rFonts w:ascii="宋体" w:eastAsia="宋体" w:hAnsi="宋体" w:cs="宋体"/>
          <w:sz w:val="22"/>
          <w:szCs w:val="22"/>
        </w:rPr>
        <w:t xml:space="preserve"> </w:t>
      </w:r>
      <w:r>
        <w:rPr>
          <w:rFonts w:ascii="宋体" w:eastAsia="宋体" w:hAnsi="宋体" w:cs="宋体"/>
          <w:spacing w:val="-6"/>
          <w:sz w:val="22"/>
          <w:szCs w:val="22"/>
        </w:rPr>
        <w:t>地区预期寿命仅为52岁，其中博茨瓦纳、莱索托只有37岁。</w:t>
      </w:r>
    </w:p>
    <w:p w:rsidR="00EA40A3" w:rsidRDefault="00E86C16">
      <w:pPr>
        <w:spacing w:before="174" w:line="221" w:lineRule="auto"/>
        <w:ind w:left="3"/>
        <w:outlineLvl w:val="6"/>
        <w:rPr>
          <w:rFonts w:ascii="黑体" w:eastAsia="黑体" w:hAnsi="黑体" w:cs="黑体"/>
          <w:sz w:val="25"/>
          <w:szCs w:val="25"/>
        </w:rPr>
      </w:pPr>
      <w:bookmarkStart w:id="3" w:name="_bookmark7"/>
      <w:bookmarkEnd w:id="3"/>
      <w:r>
        <w:rPr>
          <w:rFonts w:ascii="黑体" w:eastAsia="黑体" w:hAnsi="黑体" w:cs="黑体"/>
          <w:b/>
          <w:bCs/>
          <w:spacing w:val="-14"/>
          <w:sz w:val="25"/>
          <w:szCs w:val="25"/>
        </w:rPr>
        <w:t>1.2.3</w:t>
      </w:r>
      <w:r>
        <w:rPr>
          <w:rFonts w:ascii="黑体" w:eastAsia="黑体" w:hAnsi="黑体" w:cs="黑体"/>
          <w:spacing w:val="56"/>
          <w:sz w:val="25"/>
          <w:szCs w:val="25"/>
        </w:rPr>
        <w:t xml:space="preserve">  </w:t>
      </w:r>
      <w:r>
        <w:rPr>
          <w:rFonts w:ascii="黑体" w:eastAsia="黑体" w:hAnsi="黑体" w:cs="黑体"/>
          <w:b/>
          <w:bCs/>
          <w:spacing w:val="-14"/>
          <w:sz w:val="25"/>
          <w:szCs w:val="25"/>
        </w:rPr>
        <w:t>合理的食物营养可提高临床的治疗效果</w:t>
      </w:r>
    </w:p>
    <w:p w:rsidR="00EA40A3" w:rsidRDefault="00E86C16">
      <w:pPr>
        <w:spacing w:before="197" w:line="246" w:lineRule="auto"/>
        <w:ind w:firstLine="419"/>
        <w:jc w:val="both"/>
        <w:rPr>
          <w:rFonts w:ascii="宋体" w:eastAsia="宋体" w:hAnsi="宋体" w:cs="宋体"/>
          <w:sz w:val="22"/>
          <w:szCs w:val="22"/>
        </w:rPr>
      </w:pPr>
      <w:r>
        <w:rPr>
          <w:rFonts w:ascii="宋体" w:eastAsia="宋体" w:hAnsi="宋体" w:cs="宋体"/>
          <w:spacing w:val="-13"/>
          <w:sz w:val="22"/>
          <w:szCs w:val="22"/>
        </w:rPr>
        <w:t>营养素的合理补充，能调整病人的生化代谢，有助于疾病的康复。如</w:t>
      </w:r>
      <w:r>
        <w:rPr>
          <w:rFonts w:ascii="宋体" w:eastAsia="宋体" w:hAnsi="宋体" w:cs="宋体"/>
          <w:spacing w:val="-14"/>
          <w:sz w:val="22"/>
          <w:szCs w:val="22"/>
        </w:rPr>
        <w:t>病毒性</w:t>
      </w:r>
      <w:r>
        <w:rPr>
          <w:rFonts w:ascii="宋体" w:eastAsia="宋体" w:hAnsi="宋体" w:cs="宋体"/>
          <w:sz w:val="22"/>
          <w:szCs w:val="22"/>
        </w:rPr>
        <w:t xml:space="preserve"> </w:t>
      </w:r>
      <w:r>
        <w:rPr>
          <w:rFonts w:ascii="宋体" w:eastAsia="宋体" w:hAnsi="宋体" w:cs="宋体"/>
          <w:spacing w:val="-13"/>
          <w:sz w:val="22"/>
          <w:szCs w:val="22"/>
        </w:rPr>
        <w:t>心肌炎的病人，除应用抗心律失常的西药和抗病毒、提高免疫功能、改善心肌循</w:t>
      </w:r>
      <w:r>
        <w:rPr>
          <w:rFonts w:ascii="宋体" w:eastAsia="宋体" w:hAnsi="宋体" w:cs="宋体"/>
          <w:spacing w:val="2"/>
          <w:sz w:val="22"/>
          <w:szCs w:val="22"/>
        </w:rPr>
        <w:t xml:space="preserve"> </w:t>
      </w:r>
      <w:r>
        <w:rPr>
          <w:rFonts w:ascii="宋体" w:eastAsia="宋体" w:hAnsi="宋体" w:cs="宋体"/>
          <w:spacing w:val="-12"/>
          <w:sz w:val="22"/>
          <w:szCs w:val="22"/>
        </w:rPr>
        <w:t>环的中药外，同时应用抗氧化的营养素——</w:t>
      </w:r>
      <w:r>
        <w:rPr>
          <w:rFonts w:ascii="宋体" w:eastAsia="宋体" w:hAnsi="宋体" w:cs="宋体"/>
          <w:spacing w:val="-47"/>
          <w:sz w:val="22"/>
          <w:szCs w:val="22"/>
        </w:rPr>
        <w:t xml:space="preserve"> </w:t>
      </w:r>
      <w:r>
        <w:rPr>
          <w:rFonts w:ascii="宋体" w:eastAsia="宋体" w:hAnsi="宋体" w:cs="宋体"/>
          <w:spacing w:val="-12"/>
          <w:sz w:val="22"/>
          <w:szCs w:val="22"/>
        </w:rPr>
        <w:t>β-胡萝卜素、维生素C、</w:t>
      </w:r>
      <w:r>
        <w:rPr>
          <w:rFonts w:ascii="宋体" w:eastAsia="宋体" w:hAnsi="宋体" w:cs="宋体"/>
          <w:spacing w:val="-40"/>
          <w:sz w:val="22"/>
          <w:szCs w:val="22"/>
        </w:rPr>
        <w:t xml:space="preserve"> </w:t>
      </w:r>
      <w:r>
        <w:rPr>
          <w:rFonts w:ascii="宋体" w:eastAsia="宋体" w:hAnsi="宋体" w:cs="宋体"/>
          <w:spacing w:val="-12"/>
          <w:sz w:val="22"/>
          <w:szCs w:val="22"/>
        </w:rPr>
        <w:t>维生素E、</w:t>
      </w:r>
      <w:r>
        <w:rPr>
          <w:rFonts w:ascii="宋体" w:eastAsia="宋体" w:hAnsi="宋体" w:cs="宋体"/>
          <w:sz w:val="22"/>
          <w:szCs w:val="22"/>
        </w:rPr>
        <w:t xml:space="preserve"> </w:t>
      </w:r>
      <w:r>
        <w:rPr>
          <w:rFonts w:ascii="宋体" w:eastAsia="宋体" w:hAnsi="宋体" w:cs="宋体"/>
          <w:spacing w:val="-6"/>
          <w:sz w:val="22"/>
          <w:szCs w:val="22"/>
        </w:rPr>
        <w:t>维生素A</w:t>
      </w:r>
      <w:r>
        <w:rPr>
          <w:rFonts w:ascii="宋体" w:eastAsia="宋体" w:hAnsi="宋体" w:cs="宋体"/>
          <w:spacing w:val="-2"/>
          <w:sz w:val="22"/>
          <w:szCs w:val="22"/>
        </w:rPr>
        <w:t xml:space="preserve"> </w:t>
      </w:r>
      <w:r>
        <w:rPr>
          <w:rFonts w:ascii="宋体" w:eastAsia="宋体" w:hAnsi="宋体" w:cs="宋体"/>
          <w:spacing w:val="-6"/>
          <w:sz w:val="22"/>
          <w:szCs w:val="22"/>
        </w:rPr>
        <w:t>及微量元素硒保护心肌细胞，能提高疗效，使不少有病毒性心肌炎后</w:t>
      </w:r>
      <w:r>
        <w:rPr>
          <w:rFonts w:ascii="宋体" w:eastAsia="宋体" w:hAnsi="宋体" w:cs="宋体"/>
          <w:sz w:val="22"/>
          <w:szCs w:val="22"/>
        </w:rPr>
        <w:t xml:space="preserve"> </w:t>
      </w:r>
      <w:r>
        <w:rPr>
          <w:rFonts w:ascii="宋体" w:eastAsia="宋体" w:hAnsi="宋体" w:cs="宋体"/>
          <w:spacing w:val="-12"/>
          <w:sz w:val="22"/>
          <w:szCs w:val="22"/>
        </w:rPr>
        <w:t>遗症的病人得到康复。又如哮喘的治疗在控制感</w:t>
      </w:r>
      <w:r>
        <w:rPr>
          <w:rFonts w:ascii="宋体" w:eastAsia="宋体" w:hAnsi="宋体" w:cs="宋体"/>
          <w:spacing w:val="-13"/>
          <w:sz w:val="22"/>
          <w:szCs w:val="22"/>
        </w:rPr>
        <w:t>染诱因的同时，补充硒可减少白</w:t>
      </w:r>
      <w:r>
        <w:rPr>
          <w:rFonts w:ascii="宋体" w:eastAsia="宋体" w:hAnsi="宋体" w:cs="宋体"/>
          <w:sz w:val="22"/>
          <w:szCs w:val="22"/>
        </w:rPr>
        <w:t xml:space="preserve"> </w:t>
      </w:r>
      <w:r>
        <w:rPr>
          <w:rFonts w:ascii="宋体" w:eastAsia="宋体" w:hAnsi="宋体" w:cs="宋体"/>
          <w:spacing w:val="-15"/>
          <w:sz w:val="22"/>
          <w:szCs w:val="22"/>
        </w:rPr>
        <w:t>三烯的产生，从而减少哮喘的发作。</w:t>
      </w:r>
    </w:p>
    <w:p w:rsidR="00EA40A3" w:rsidRDefault="00E86C16">
      <w:pPr>
        <w:spacing w:before="59" w:line="247" w:lineRule="auto"/>
        <w:ind w:right="15" w:firstLine="419"/>
        <w:jc w:val="both"/>
        <w:rPr>
          <w:rFonts w:ascii="宋体" w:eastAsia="宋体" w:hAnsi="宋体" w:cs="宋体"/>
          <w:sz w:val="22"/>
          <w:szCs w:val="22"/>
        </w:rPr>
      </w:pPr>
      <w:r>
        <w:rPr>
          <w:rFonts w:ascii="宋体" w:eastAsia="宋体" w:hAnsi="宋体" w:cs="宋体"/>
          <w:spacing w:val="-12"/>
          <w:sz w:val="22"/>
          <w:szCs w:val="22"/>
        </w:rPr>
        <w:t>某些营养素能清除氧自由基，提高免疫功能，防止疾病的恶</w:t>
      </w:r>
      <w:r>
        <w:rPr>
          <w:rFonts w:ascii="宋体" w:eastAsia="宋体" w:hAnsi="宋体" w:cs="宋体"/>
          <w:spacing w:val="-13"/>
          <w:sz w:val="22"/>
          <w:szCs w:val="22"/>
        </w:rPr>
        <w:t>化和并发症。例</w:t>
      </w:r>
      <w:r>
        <w:rPr>
          <w:rFonts w:ascii="宋体" w:eastAsia="宋体" w:hAnsi="宋体" w:cs="宋体"/>
          <w:sz w:val="22"/>
          <w:szCs w:val="22"/>
        </w:rPr>
        <w:t xml:space="preserve"> </w:t>
      </w:r>
      <w:r>
        <w:rPr>
          <w:rFonts w:ascii="宋体" w:eastAsia="宋体" w:hAnsi="宋体" w:cs="宋体"/>
          <w:spacing w:val="-13"/>
          <w:sz w:val="22"/>
          <w:szCs w:val="22"/>
        </w:rPr>
        <w:t>如，糖尿病的治疗中补充微量元素铬和硒会使血糖易于控制，合理的饮食治疗可</w:t>
      </w:r>
      <w:r>
        <w:rPr>
          <w:rFonts w:ascii="宋体" w:eastAsia="宋体" w:hAnsi="宋体" w:cs="宋体"/>
          <w:spacing w:val="2"/>
          <w:sz w:val="22"/>
          <w:szCs w:val="22"/>
        </w:rPr>
        <w:t xml:space="preserve"> </w:t>
      </w:r>
      <w:r>
        <w:rPr>
          <w:rFonts w:ascii="宋体" w:eastAsia="宋体" w:hAnsi="宋体" w:cs="宋体"/>
          <w:spacing w:val="-13"/>
          <w:sz w:val="22"/>
          <w:szCs w:val="22"/>
        </w:rPr>
        <w:t>降低血糖，有些病情轻的初发病人通过饮食营养治疗就能控制血糖。饮食营养治</w:t>
      </w:r>
      <w:r>
        <w:rPr>
          <w:rFonts w:ascii="宋体" w:eastAsia="宋体" w:hAnsi="宋体" w:cs="宋体"/>
          <w:spacing w:val="11"/>
          <w:sz w:val="22"/>
          <w:szCs w:val="22"/>
        </w:rPr>
        <w:t xml:space="preserve"> </w:t>
      </w:r>
      <w:r>
        <w:rPr>
          <w:rFonts w:ascii="宋体" w:eastAsia="宋体" w:hAnsi="宋体" w:cs="宋体"/>
          <w:spacing w:val="-13"/>
          <w:sz w:val="22"/>
          <w:szCs w:val="22"/>
        </w:rPr>
        <w:t>疗还是防止糖尿病并发症的主要手段之一。又如，癌症病人在化疗和放疗过程中</w:t>
      </w:r>
      <w:r>
        <w:rPr>
          <w:rFonts w:ascii="宋体" w:eastAsia="宋体" w:hAnsi="宋体" w:cs="宋体"/>
          <w:spacing w:val="13"/>
          <w:sz w:val="22"/>
          <w:szCs w:val="22"/>
        </w:rPr>
        <w:t xml:space="preserve"> </w:t>
      </w:r>
      <w:r>
        <w:rPr>
          <w:rFonts w:ascii="宋体" w:eastAsia="宋体" w:hAnsi="宋体" w:cs="宋体"/>
          <w:spacing w:val="-13"/>
          <w:sz w:val="22"/>
          <w:szCs w:val="22"/>
        </w:rPr>
        <w:t>常因不良反应大、白细胞下降严重，而难以完成治疗计划，采用营养素的治疗后</w:t>
      </w:r>
      <w:r>
        <w:rPr>
          <w:rFonts w:ascii="宋体" w:eastAsia="宋体" w:hAnsi="宋体" w:cs="宋体"/>
          <w:spacing w:val="9"/>
          <w:sz w:val="22"/>
          <w:szCs w:val="22"/>
        </w:rPr>
        <w:t xml:space="preserve"> </w:t>
      </w:r>
      <w:r>
        <w:rPr>
          <w:rFonts w:ascii="宋体" w:eastAsia="宋体" w:hAnsi="宋体" w:cs="宋体"/>
          <w:spacing w:val="-13"/>
          <w:sz w:val="22"/>
          <w:szCs w:val="22"/>
        </w:rPr>
        <w:t>可减少不良反应，使化疗和放疗的计划顺利完成。营养治疗还能使一些癌前病变</w:t>
      </w:r>
      <w:r>
        <w:rPr>
          <w:rFonts w:ascii="宋体" w:eastAsia="宋体" w:hAnsi="宋体" w:cs="宋体"/>
          <w:spacing w:val="2"/>
          <w:sz w:val="22"/>
          <w:szCs w:val="22"/>
        </w:rPr>
        <w:t xml:space="preserve"> </w:t>
      </w:r>
      <w:r>
        <w:rPr>
          <w:rFonts w:ascii="宋体" w:eastAsia="宋体" w:hAnsi="宋体" w:cs="宋体"/>
          <w:spacing w:val="-17"/>
          <w:sz w:val="22"/>
          <w:szCs w:val="22"/>
        </w:rPr>
        <w:t>的病人得到逆转，减少癌变。</w:t>
      </w:r>
    </w:p>
    <w:p w:rsidR="00EA40A3" w:rsidRDefault="00E86C16">
      <w:pPr>
        <w:spacing w:before="234" w:line="221" w:lineRule="auto"/>
        <w:ind w:left="3"/>
        <w:outlineLvl w:val="6"/>
        <w:rPr>
          <w:rFonts w:ascii="黑体" w:eastAsia="黑体" w:hAnsi="黑体" w:cs="黑体"/>
          <w:sz w:val="22"/>
          <w:szCs w:val="22"/>
        </w:rPr>
      </w:pPr>
      <w:r>
        <w:rPr>
          <w:rFonts w:ascii="黑体" w:eastAsia="黑体" w:hAnsi="黑体" w:cs="黑体"/>
          <w:b/>
          <w:bCs/>
          <w:spacing w:val="8"/>
          <w:sz w:val="22"/>
          <w:szCs w:val="22"/>
        </w:rPr>
        <w:t>1.2.4</w:t>
      </w:r>
      <w:r>
        <w:rPr>
          <w:rFonts w:ascii="黑体" w:eastAsia="黑体" w:hAnsi="黑体" w:cs="黑体"/>
          <w:spacing w:val="15"/>
          <w:sz w:val="22"/>
          <w:szCs w:val="22"/>
        </w:rPr>
        <w:t xml:space="preserve">   </w:t>
      </w:r>
      <w:r>
        <w:rPr>
          <w:rFonts w:ascii="黑体" w:eastAsia="黑体" w:hAnsi="黑体" w:cs="黑体"/>
          <w:b/>
          <w:bCs/>
          <w:spacing w:val="8"/>
          <w:sz w:val="22"/>
          <w:szCs w:val="22"/>
        </w:rPr>
        <w:t>食物营养对心理和行为的影响</w:t>
      </w:r>
    </w:p>
    <w:p w:rsidR="00EA40A3" w:rsidRDefault="00E86C16">
      <w:pPr>
        <w:spacing w:before="208" w:line="248" w:lineRule="auto"/>
        <w:ind w:right="25" w:firstLine="419"/>
        <w:jc w:val="both"/>
        <w:rPr>
          <w:rFonts w:ascii="宋体" w:eastAsia="宋体" w:hAnsi="宋体" w:cs="宋体"/>
          <w:sz w:val="22"/>
          <w:szCs w:val="22"/>
        </w:rPr>
      </w:pPr>
      <w:r>
        <w:rPr>
          <w:rFonts w:ascii="宋体" w:eastAsia="宋体" w:hAnsi="宋体" w:cs="宋体"/>
          <w:spacing w:val="-14"/>
          <w:sz w:val="22"/>
          <w:szCs w:val="22"/>
        </w:rPr>
        <w:t>心理学家及营养学家经过近几十年研究发现，人的心理状态和情绪好坏受到</w:t>
      </w:r>
      <w:r>
        <w:rPr>
          <w:rFonts w:ascii="宋体" w:eastAsia="宋体" w:hAnsi="宋体" w:cs="宋体"/>
          <w:spacing w:val="15"/>
          <w:sz w:val="22"/>
          <w:szCs w:val="22"/>
        </w:rPr>
        <w:t xml:space="preserve"> </w:t>
      </w:r>
      <w:r>
        <w:rPr>
          <w:rFonts w:ascii="宋体" w:eastAsia="宋体" w:hAnsi="宋体" w:cs="宋体"/>
          <w:spacing w:val="-7"/>
          <w:sz w:val="22"/>
          <w:szCs w:val="22"/>
        </w:rPr>
        <w:t>食物因素的影响。如食物中碳水化合物与蛋白质的含量会影响脑神经递质5-羟</w:t>
      </w:r>
      <w:r>
        <w:rPr>
          <w:rFonts w:ascii="宋体" w:eastAsia="宋体" w:hAnsi="宋体" w:cs="宋体"/>
          <w:spacing w:val="11"/>
          <w:sz w:val="22"/>
          <w:szCs w:val="22"/>
        </w:rPr>
        <w:t xml:space="preserve"> </w:t>
      </w:r>
      <w:r>
        <w:rPr>
          <w:rFonts w:ascii="宋体" w:eastAsia="宋体" w:hAnsi="宋体" w:cs="宋体"/>
          <w:spacing w:val="-13"/>
          <w:sz w:val="22"/>
          <w:szCs w:val="22"/>
        </w:rPr>
        <w:t>色胺的合成和活性。5-羟色胺对情绪、睡眠、行为等具有调节作用。高碳水化合</w:t>
      </w:r>
      <w:r>
        <w:rPr>
          <w:rFonts w:ascii="宋体" w:eastAsia="宋体" w:hAnsi="宋体" w:cs="宋体"/>
          <w:spacing w:val="15"/>
          <w:sz w:val="22"/>
          <w:szCs w:val="22"/>
        </w:rPr>
        <w:t xml:space="preserve"> </w:t>
      </w:r>
      <w:r>
        <w:rPr>
          <w:rFonts w:ascii="宋体" w:eastAsia="宋体" w:hAnsi="宋体" w:cs="宋体"/>
          <w:spacing w:val="-14"/>
          <w:sz w:val="22"/>
          <w:szCs w:val="22"/>
        </w:rPr>
        <w:t>物贫蛋白质的食物可引起胰岛素的高分泌，支链氨基酸进入肌肉，使血浆中</w:t>
      </w:r>
      <w:r>
        <w:rPr>
          <w:rFonts w:ascii="宋体" w:eastAsia="宋体" w:hAnsi="宋体" w:cs="宋体"/>
          <w:spacing w:val="-15"/>
          <w:sz w:val="22"/>
          <w:szCs w:val="22"/>
        </w:rPr>
        <w:t>的色</w:t>
      </w:r>
      <w:r>
        <w:rPr>
          <w:rFonts w:ascii="宋体" w:eastAsia="宋体" w:hAnsi="宋体" w:cs="宋体"/>
          <w:sz w:val="22"/>
          <w:szCs w:val="22"/>
        </w:rPr>
        <w:t xml:space="preserve"> </w:t>
      </w:r>
      <w:r>
        <w:rPr>
          <w:rFonts w:ascii="宋体" w:eastAsia="宋体" w:hAnsi="宋体" w:cs="宋体"/>
          <w:spacing w:val="-7"/>
          <w:sz w:val="22"/>
          <w:szCs w:val="22"/>
        </w:rPr>
        <w:t>氨酸比例升高，有利于大脑对色氨酸的摄取并转化为5-羟色胺，对忧郁、紧张</w:t>
      </w:r>
      <w:r>
        <w:rPr>
          <w:rFonts w:ascii="宋体" w:eastAsia="宋体" w:hAnsi="宋体" w:cs="宋体"/>
          <w:spacing w:val="13"/>
          <w:sz w:val="22"/>
          <w:szCs w:val="22"/>
        </w:rPr>
        <w:t xml:space="preserve"> </w:t>
      </w:r>
      <w:r>
        <w:rPr>
          <w:rFonts w:ascii="宋体" w:eastAsia="宋体" w:hAnsi="宋体" w:cs="宋体"/>
          <w:spacing w:val="-12"/>
          <w:sz w:val="22"/>
          <w:szCs w:val="22"/>
        </w:rPr>
        <w:t>和易怒行为有缓解作用，并有短时促进睡眠的效</w:t>
      </w:r>
      <w:r>
        <w:rPr>
          <w:rFonts w:ascii="宋体" w:eastAsia="宋体" w:hAnsi="宋体" w:cs="宋体"/>
          <w:spacing w:val="-13"/>
          <w:sz w:val="22"/>
          <w:szCs w:val="22"/>
        </w:rPr>
        <w:t>应。相反，如果提高食物中蛋白</w:t>
      </w:r>
      <w:r>
        <w:rPr>
          <w:rFonts w:ascii="宋体" w:eastAsia="宋体" w:hAnsi="宋体" w:cs="宋体"/>
          <w:sz w:val="22"/>
          <w:szCs w:val="22"/>
        </w:rPr>
        <w:t xml:space="preserve"> 质含量，则会消除这些效应，如果摄入色氨酸，则与</w:t>
      </w:r>
      <w:r>
        <w:rPr>
          <w:rFonts w:ascii="宋体" w:eastAsia="宋体" w:hAnsi="宋体" w:cs="宋体"/>
          <w:spacing w:val="-1"/>
          <w:sz w:val="22"/>
          <w:szCs w:val="22"/>
        </w:rPr>
        <w:t>摄入碳水化合物的作用</w:t>
      </w:r>
      <w:r>
        <w:rPr>
          <w:rFonts w:ascii="宋体" w:eastAsia="宋体" w:hAnsi="宋体" w:cs="宋体"/>
          <w:sz w:val="22"/>
          <w:szCs w:val="22"/>
        </w:rPr>
        <w:t xml:space="preserve"> </w:t>
      </w:r>
      <w:r>
        <w:rPr>
          <w:rFonts w:ascii="宋体" w:eastAsia="宋体" w:hAnsi="宋体" w:cs="宋体"/>
          <w:spacing w:val="-18"/>
          <w:sz w:val="22"/>
          <w:szCs w:val="22"/>
        </w:rPr>
        <w:t>类似。</w:t>
      </w:r>
    </w:p>
    <w:p w:rsidR="00EA40A3" w:rsidRDefault="00E86C16">
      <w:pPr>
        <w:spacing w:before="91" w:line="239" w:lineRule="auto"/>
        <w:ind w:right="22" w:firstLine="419"/>
        <w:jc w:val="both"/>
        <w:rPr>
          <w:rFonts w:ascii="宋体" w:eastAsia="宋体" w:hAnsi="宋体" w:cs="宋体"/>
          <w:sz w:val="22"/>
          <w:szCs w:val="22"/>
        </w:rPr>
      </w:pPr>
      <w:r>
        <w:rPr>
          <w:rFonts w:ascii="宋体" w:eastAsia="宋体" w:hAnsi="宋体" w:cs="宋体"/>
          <w:spacing w:val="-13"/>
          <w:sz w:val="22"/>
          <w:szCs w:val="22"/>
        </w:rPr>
        <w:t>食物营养对人的认知和食欲也有一定的影响。系列研究表明，葡萄糖可增</w:t>
      </w:r>
      <w:r>
        <w:rPr>
          <w:rFonts w:ascii="宋体" w:eastAsia="宋体" w:hAnsi="宋体" w:cs="宋体"/>
          <w:spacing w:val="-14"/>
          <w:sz w:val="22"/>
          <w:szCs w:val="22"/>
        </w:rPr>
        <w:t>强</w:t>
      </w:r>
      <w:r>
        <w:rPr>
          <w:rFonts w:ascii="宋体" w:eastAsia="宋体" w:hAnsi="宋体" w:cs="宋体"/>
          <w:sz w:val="22"/>
          <w:szCs w:val="22"/>
        </w:rPr>
        <w:t xml:space="preserve"> </w:t>
      </w:r>
      <w:r>
        <w:rPr>
          <w:rFonts w:ascii="宋体" w:eastAsia="宋体" w:hAnsi="宋体" w:cs="宋体"/>
          <w:spacing w:val="-13"/>
          <w:sz w:val="22"/>
          <w:szCs w:val="22"/>
        </w:rPr>
        <w:t>老年受试者的短期记忆力，在年轻受试者中也可观察到同样效果。含高饱和脂肪</w:t>
      </w:r>
      <w:r>
        <w:rPr>
          <w:rFonts w:ascii="宋体" w:eastAsia="宋体" w:hAnsi="宋体" w:cs="宋体"/>
          <w:spacing w:val="4"/>
          <w:sz w:val="22"/>
          <w:szCs w:val="22"/>
        </w:rPr>
        <w:t xml:space="preserve"> </w:t>
      </w:r>
      <w:r>
        <w:rPr>
          <w:rFonts w:ascii="宋体" w:eastAsia="宋体" w:hAnsi="宋体" w:cs="宋体"/>
          <w:spacing w:val="-6"/>
          <w:sz w:val="22"/>
          <w:szCs w:val="22"/>
        </w:rPr>
        <w:t>酸的食物影响大鼠的学习获得能力。高不饱和脂肪酸(二十二碳六烯酸)与婴</w:t>
      </w:r>
      <w:r>
        <w:rPr>
          <w:rFonts w:ascii="宋体" w:eastAsia="宋体" w:hAnsi="宋体" w:cs="宋体"/>
          <w:spacing w:val="-7"/>
          <w:sz w:val="22"/>
          <w:szCs w:val="22"/>
        </w:rPr>
        <w:t>儿</w:t>
      </w:r>
      <w:r>
        <w:rPr>
          <w:rFonts w:ascii="宋体" w:eastAsia="宋体" w:hAnsi="宋体" w:cs="宋体"/>
          <w:sz w:val="22"/>
          <w:szCs w:val="22"/>
        </w:rPr>
        <w:t xml:space="preserve"> </w:t>
      </w:r>
      <w:r>
        <w:rPr>
          <w:rFonts w:ascii="宋体" w:eastAsia="宋体" w:hAnsi="宋体" w:cs="宋体"/>
          <w:spacing w:val="-9"/>
          <w:sz w:val="22"/>
          <w:szCs w:val="22"/>
        </w:rPr>
        <w:t>视觉敏感度呈正相关。在食物中补充维生素B、</w:t>
      </w:r>
      <w:r>
        <w:rPr>
          <w:rFonts w:ascii="宋体" w:eastAsia="宋体" w:hAnsi="宋体" w:cs="宋体"/>
          <w:spacing w:val="18"/>
          <w:sz w:val="22"/>
          <w:szCs w:val="22"/>
        </w:rPr>
        <w:t xml:space="preserve"> </w:t>
      </w:r>
      <w:r>
        <w:rPr>
          <w:rFonts w:ascii="宋体" w:eastAsia="宋体" w:hAnsi="宋体" w:cs="宋体"/>
          <w:spacing w:val="-9"/>
          <w:sz w:val="22"/>
          <w:szCs w:val="22"/>
        </w:rPr>
        <w:t>维生素B</w:t>
      </w:r>
      <w:r>
        <w:rPr>
          <w:rFonts w:ascii="Calibri" w:eastAsia="Calibri" w:hAnsi="Calibri" w:cs="Calibri"/>
          <w:spacing w:val="-9"/>
          <w:sz w:val="22"/>
          <w:szCs w:val="22"/>
        </w:rPr>
        <w:t>₂</w:t>
      </w:r>
      <w:r>
        <w:rPr>
          <w:rFonts w:ascii="Calibri" w:eastAsia="Calibri" w:hAnsi="Calibri" w:cs="Calibri"/>
          <w:spacing w:val="5"/>
          <w:sz w:val="22"/>
          <w:szCs w:val="22"/>
        </w:rPr>
        <w:t xml:space="preserve">  </w:t>
      </w:r>
      <w:r>
        <w:rPr>
          <w:rFonts w:ascii="宋体" w:eastAsia="宋体" w:hAnsi="宋体" w:cs="宋体"/>
          <w:spacing w:val="-9"/>
          <w:sz w:val="22"/>
          <w:szCs w:val="22"/>
        </w:rPr>
        <w:t>和</w:t>
      </w:r>
      <w:r>
        <w:rPr>
          <w:rFonts w:ascii="宋体" w:eastAsia="宋体" w:hAnsi="宋体" w:cs="宋体"/>
          <w:spacing w:val="-10"/>
          <w:sz w:val="22"/>
          <w:szCs w:val="22"/>
        </w:rPr>
        <w:t>叶酸可显著增强老</w:t>
      </w:r>
      <w:r>
        <w:rPr>
          <w:rFonts w:ascii="宋体" w:eastAsia="宋体" w:hAnsi="宋体" w:cs="宋体"/>
          <w:sz w:val="22"/>
          <w:szCs w:val="22"/>
        </w:rPr>
        <w:t xml:space="preserve"> </w:t>
      </w:r>
      <w:r>
        <w:rPr>
          <w:rFonts w:ascii="宋体" w:eastAsia="宋体" w:hAnsi="宋体" w:cs="宋体"/>
          <w:spacing w:val="-12"/>
          <w:sz w:val="22"/>
          <w:szCs w:val="22"/>
        </w:rPr>
        <w:t>年人的认知功能和智力测试评分。胆碱可改善成年受试</w:t>
      </w:r>
      <w:r>
        <w:rPr>
          <w:rFonts w:ascii="宋体" w:eastAsia="宋体" w:hAnsi="宋体" w:cs="宋体"/>
          <w:spacing w:val="-13"/>
          <w:sz w:val="22"/>
          <w:szCs w:val="22"/>
        </w:rPr>
        <w:t>者的记忆力。许多研究表</w:t>
      </w:r>
      <w:r>
        <w:rPr>
          <w:rFonts w:ascii="宋体" w:eastAsia="宋体" w:hAnsi="宋体" w:cs="宋体"/>
          <w:sz w:val="22"/>
          <w:szCs w:val="22"/>
        </w:rPr>
        <w:t xml:space="preserve"> </w:t>
      </w:r>
      <w:r>
        <w:rPr>
          <w:rFonts w:ascii="宋体" w:eastAsia="宋体" w:hAnsi="宋体" w:cs="宋体"/>
          <w:spacing w:val="-15"/>
          <w:sz w:val="22"/>
          <w:szCs w:val="22"/>
        </w:rPr>
        <w:t>明，由于摄入脂肪不容易产生饱腹感，因此，往往导致摄食较多。</w:t>
      </w:r>
    </w:p>
    <w:p w:rsidR="00EA40A3" w:rsidRDefault="00E86C16">
      <w:pPr>
        <w:spacing w:before="109" w:line="239" w:lineRule="auto"/>
        <w:ind w:right="11" w:firstLine="419"/>
        <w:rPr>
          <w:rFonts w:ascii="宋体" w:eastAsia="宋体" w:hAnsi="宋体" w:cs="宋体"/>
          <w:sz w:val="22"/>
          <w:szCs w:val="22"/>
        </w:rPr>
      </w:pPr>
      <w:r>
        <w:rPr>
          <w:rFonts w:ascii="宋体" w:eastAsia="宋体" w:hAnsi="宋体" w:cs="宋体"/>
          <w:spacing w:val="-6"/>
          <w:sz w:val="22"/>
          <w:szCs w:val="22"/>
        </w:rPr>
        <w:t>如果缺乏某些营养素，会出现一些精神和行为上的异常。如维生素D</w:t>
      </w:r>
      <w:r>
        <w:rPr>
          <w:rFonts w:ascii="宋体" w:eastAsia="宋体" w:hAnsi="宋体" w:cs="宋体"/>
          <w:spacing w:val="11"/>
          <w:sz w:val="22"/>
          <w:szCs w:val="22"/>
        </w:rPr>
        <w:t xml:space="preserve"> </w:t>
      </w:r>
      <w:r>
        <w:rPr>
          <w:rFonts w:ascii="宋体" w:eastAsia="宋体" w:hAnsi="宋体" w:cs="宋体"/>
          <w:spacing w:val="-6"/>
          <w:sz w:val="22"/>
          <w:szCs w:val="22"/>
        </w:rPr>
        <w:t>长期</w:t>
      </w:r>
      <w:r>
        <w:rPr>
          <w:rFonts w:ascii="宋体" w:eastAsia="宋体" w:hAnsi="宋体" w:cs="宋体"/>
          <w:sz w:val="22"/>
          <w:szCs w:val="22"/>
        </w:rPr>
        <w:t xml:space="preserve"> </w:t>
      </w:r>
      <w:r>
        <w:rPr>
          <w:rFonts w:ascii="宋体" w:eastAsia="宋体" w:hAnsi="宋体" w:cs="宋体"/>
          <w:spacing w:val="-7"/>
          <w:sz w:val="22"/>
          <w:szCs w:val="22"/>
        </w:rPr>
        <w:t>缺乏所引起的佝偻病，其早期常出现神经精神症状，患儿睡眠时惊跳、烦躁不</w:t>
      </w:r>
    </w:p>
    <w:p w:rsidR="00EA40A3" w:rsidRDefault="00E86C16">
      <w:pPr>
        <w:spacing w:before="122"/>
        <w:ind w:right="67"/>
        <w:jc w:val="right"/>
        <w:rPr>
          <w:rFonts w:ascii="宋体" w:eastAsia="宋体" w:hAnsi="宋体" w:cs="宋体"/>
          <w:sz w:val="15"/>
          <w:szCs w:val="15"/>
        </w:rPr>
      </w:pPr>
      <w:r>
        <w:rPr>
          <w:rFonts w:ascii="宋体" w:eastAsia="宋体" w:hAnsi="宋体" w:cs="宋体"/>
          <w:spacing w:val="-23"/>
          <w:sz w:val="15"/>
          <w:szCs w:val="15"/>
        </w:rPr>
        <w:t>·</w:t>
      </w:r>
      <w:r>
        <w:rPr>
          <w:rFonts w:ascii="宋体" w:eastAsia="宋体" w:hAnsi="宋体" w:cs="宋体"/>
          <w:spacing w:val="10"/>
          <w:sz w:val="15"/>
          <w:szCs w:val="15"/>
        </w:rPr>
        <w:t xml:space="preserve"> </w:t>
      </w:r>
      <w:r>
        <w:rPr>
          <w:rFonts w:ascii="宋体" w:eastAsia="宋体" w:hAnsi="宋体" w:cs="宋体"/>
          <w:spacing w:val="-23"/>
          <w:sz w:val="15"/>
          <w:szCs w:val="15"/>
        </w:rPr>
        <w:t>5</w:t>
      </w:r>
      <w:r>
        <w:rPr>
          <w:rFonts w:ascii="宋体" w:eastAsia="宋体" w:hAnsi="宋体" w:cs="宋体"/>
          <w:spacing w:val="57"/>
          <w:w w:val="101"/>
          <w:sz w:val="15"/>
          <w:szCs w:val="15"/>
        </w:rPr>
        <w:t xml:space="preserve"> </w:t>
      </w:r>
      <w:r>
        <w:rPr>
          <w:rFonts w:ascii="宋体" w:eastAsia="宋体" w:hAnsi="宋体" w:cs="宋体"/>
          <w:spacing w:val="-23"/>
          <w:sz w:val="15"/>
          <w:szCs w:val="15"/>
        </w:rPr>
        <w:t>·</w:t>
      </w:r>
    </w:p>
    <w:p w:rsidR="00EA40A3" w:rsidRDefault="00EA40A3">
      <w:pPr>
        <w:sectPr w:rsidR="00EA40A3">
          <w:pgSz w:w="9220" w:h="13360"/>
          <w:pgMar w:top="400" w:right="1107" w:bottom="400" w:left="820" w:header="0" w:footer="0" w:gutter="0"/>
          <w:cols w:space="720"/>
        </w:sectPr>
      </w:pPr>
    </w:p>
    <w:p w:rsidR="00EA40A3" w:rsidRDefault="00EA40A3">
      <w:pPr>
        <w:spacing w:line="291" w:lineRule="auto"/>
      </w:pPr>
    </w:p>
    <w:p w:rsidR="00EA40A3" w:rsidRDefault="00EA40A3">
      <w:pPr>
        <w:spacing w:line="291" w:lineRule="auto"/>
      </w:pPr>
    </w:p>
    <w:p w:rsidR="00EA40A3" w:rsidRDefault="00E86C16">
      <w:pPr>
        <w:spacing w:before="71" w:line="247" w:lineRule="auto"/>
        <w:ind w:right="123"/>
        <w:jc w:val="both"/>
        <w:rPr>
          <w:rFonts w:ascii="宋体" w:eastAsia="宋体" w:hAnsi="宋体" w:cs="宋体"/>
          <w:sz w:val="22"/>
          <w:szCs w:val="22"/>
        </w:rPr>
      </w:pPr>
      <w:bookmarkStart w:id="4" w:name="_bookmark8"/>
      <w:bookmarkStart w:id="5" w:name="_bookmark9"/>
      <w:bookmarkEnd w:id="4"/>
      <w:bookmarkEnd w:id="5"/>
      <w:r>
        <w:rPr>
          <w:rFonts w:ascii="宋体" w:eastAsia="宋体" w:hAnsi="宋体" w:cs="宋体"/>
          <w:spacing w:val="-13"/>
          <w:sz w:val="22"/>
          <w:szCs w:val="22"/>
        </w:rPr>
        <w:t>安、易激怒等；铁长期摄入不足可引起贫血，出现食欲不振、精神萎靡</w:t>
      </w:r>
      <w:r>
        <w:rPr>
          <w:rFonts w:ascii="宋体" w:eastAsia="宋体" w:hAnsi="宋体" w:cs="宋体"/>
          <w:spacing w:val="-14"/>
          <w:sz w:val="22"/>
          <w:szCs w:val="22"/>
        </w:rPr>
        <w:t>或烦躁不</w:t>
      </w:r>
      <w:r>
        <w:rPr>
          <w:rFonts w:ascii="宋体" w:eastAsia="宋体" w:hAnsi="宋体" w:cs="宋体"/>
          <w:sz w:val="22"/>
          <w:szCs w:val="22"/>
        </w:rPr>
        <w:t xml:space="preserve"> </w:t>
      </w:r>
      <w:r>
        <w:rPr>
          <w:rFonts w:ascii="宋体" w:eastAsia="宋体" w:hAnsi="宋体" w:cs="宋体"/>
          <w:spacing w:val="-13"/>
          <w:sz w:val="22"/>
          <w:szCs w:val="22"/>
        </w:rPr>
        <w:t>安、记忆力下降等症状；锌缺乏严重的小儿智能发育可能受到影响，甚至有精神</w:t>
      </w:r>
      <w:r>
        <w:rPr>
          <w:rFonts w:ascii="宋体" w:eastAsia="宋体" w:hAnsi="宋体" w:cs="宋体"/>
          <w:sz w:val="22"/>
          <w:szCs w:val="22"/>
        </w:rPr>
        <w:t xml:space="preserve"> </w:t>
      </w:r>
      <w:r>
        <w:rPr>
          <w:rFonts w:ascii="宋体" w:eastAsia="宋体" w:hAnsi="宋体" w:cs="宋体"/>
          <w:spacing w:val="-14"/>
          <w:sz w:val="22"/>
          <w:szCs w:val="22"/>
        </w:rPr>
        <w:t>障碍，还可能出现异食癖，喜欢吃泥土、墙纸、煤渣或其他异物。</w:t>
      </w:r>
    </w:p>
    <w:p w:rsidR="00EA40A3" w:rsidRDefault="00E86C16">
      <w:pPr>
        <w:spacing w:before="321" w:line="219" w:lineRule="auto"/>
        <w:ind w:left="1370"/>
        <w:rPr>
          <w:rFonts w:ascii="宋体" w:eastAsia="宋体" w:hAnsi="宋体" w:cs="宋体"/>
          <w:sz w:val="28"/>
          <w:szCs w:val="28"/>
        </w:rPr>
      </w:pPr>
      <w:r>
        <w:rPr>
          <w:rFonts w:ascii="宋体" w:eastAsia="宋体" w:hAnsi="宋体" w:cs="宋体"/>
          <w:spacing w:val="-5"/>
          <w:sz w:val="28"/>
          <w:szCs w:val="28"/>
        </w:rPr>
        <w:t>1.3</w:t>
      </w:r>
      <w:r>
        <w:rPr>
          <w:rFonts w:ascii="宋体" w:eastAsia="宋体" w:hAnsi="宋体" w:cs="宋体"/>
          <w:spacing w:val="118"/>
          <w:sz w:val="28"/>
          <w:szCs w:val="28"/>
        </w:rPr>
        <w:t xml:space="preserve"> </w:t>
      </w:r>
      <w:r>
        <w:rPr>
          <w:rFonts w:ascii="宋体" w:eastAsia="宋体" w:hAnsi="宋体" w:cs="宋体"/>
          <w:spacing w:val="-5"/>
          <w:sz w:val="28"/>
          <w:szCs w:val="28"/>
        </w:rPr>
        <w:t>食品营养与农业和食品工业的关系</w:t>
      </w:r>
    </w:p>
    <w:p w:rsidR="00EA40A3" w:rsidRDefault="00E86C16">
      <w:pPr>
        <w:spacing w:before="293" w:line="244" w:lineRule="auto"/>
        <w:ind w:right="80" w:firstLine="469"/>
        <w:jc w:val="both"/>
        <w:rPr>
          <w:rFonts w:ascii="宋体" w:eastAsia="宋体" w:hAnsi="宋体" w:cs="宋体"/>
          <w:sz w:val="22"/>
          <w:szCs w:val="22"/>
        </w:rPr>
      </w:pPr>
      <w:r>
        <w:rPr>
          <w:rFonts w:ascii="宋体" w:eastAsia="宋体" w:hAnsi="宋体" w:cs="宋体"/>
          <w:spacing w:val="-13"/>
          <w:sz w:val="22"/>
          <w:szCs w:val="22"/>
        </w:rPr>
        <w:t>食品营养与农业和食品工业密不可分。农业生产</w:t>
      </w:r>
      <w:r>
        <w:rPr>
          <w:rFonts w:ascii="宋体" w:eastAsia="宋体" w:hAnsi="宋体" w:cs="宋体"/>
          <w:spacing w:val="-14"/>
          <w:sz w:val="22"/>
          <w:szCs w:val="22"/>
        </w:rPr>
        <w:t>和食品工业的生产状况与水</w:t>
      </w:r>
      <w:r>
        <w:rPr>
          <w:rFonts w:ascii="宋体" w:eastAsia="宋体" w:hAnsi="宋体" w:cs="宋体"/>
          <w:sz w:val="22"/>
          <w:szCs w:val="22"/>
        </w:rPr>
        <w:t xml:space="preserve"> </w:t>
      </w:r>
      <w:r>
        <w:rPr>
          <w:rFonts w:ascii="宋体" w:eastAsia="宋体" w:hAnsi="宋体" w:cs="宋体"/>
          <w:spacing w:val="-7"/>
          <w:sz w:val="22"/>
          <w:szCs w:val="22"/>
        </w:rPr>
        <w:t>平直接影响食物供应的数量和质量，从而影响到居民的营养与健康水</w:t>
      </w:r>
      <w:r>
        <w:rPr>
          <w:rFonts w:ascii="宋体" w:eastAsia="宋体" w:hAnsi="宋体" w:cs="宋体"/>
          <w:spacing w:val="-8"/>
          <w:sz w:val="22"/>
          <w:szCs w:val="22"/>
        </w:rPr>
        <w:t>平。反过</w:t>
      </w:r>
      <w:r>
        <w:rPr>
          <w:rFonts w:ascii="宋体" w:eastAsia="宋体" w:hAnsi="宋体" w:cs="宋体"/>
          <w:sz w:val="22"/>
          <w:szCs w:val="22"/>
        </w:rPr>
        <w:t xml:space="preserve"> </w:t>
      </w:r>
      <w:r>
        <w:rPr>
          <w:rFonts w:ascii="宋体" w:eastAsia="宋体" w:hAnsi="宋体" w:cs="宋体"/>
          <w:spacing w:val="-13"/>
          <w:sz w:val="22"/>
          <w:szCs w:val="22"/>
        </w:rPr>
        <w:t>来，居民的营养健康状况又为农业生产和食品工业的发展提供营养依据。其关系</w:t>
      </w:r>
      <w:r>
        <w:rPr>
          <w:rFonts w:ascii="宋体" w:eastAsia="宋体" w:hAnsi="宋体" w:cs="宋体"/>
          <w:spacing w:val="3"/>
          <w:sz w:val="22"/>
          <w:szCs w:val="22"/>
        </w:rPr>
        <w:t xml:space="preserve"> </w:t>
      </w:r>
      <w:r>
        <w:rPr>
          <w:rFonts w:ascii="宋体" w:eastAsia="宋体" w:hAnsi="宋体" w:cs="宋体"/>
          <w:spacing w:val="-10"/>
          <w:sz w:val="22"/>
          <w:szCs w:val="22"/>
        </w:rPr>
        <w:t>见图1-2。</w:t>
      </w:r>
    </w:p>
    <w:p w:rsidR="00EA40A3" w:rsidRDefault="00EA40A3">
      <w:pPr>
        <w:spacing w:line="278" w:lineRule="auto"/>
      </w:pPr>
    </w:p>
    <w:p w:rsidR="00EA40A3" w:rsidRDefault="00825D12">
      <w:pPr>
        <w:spacing w:line="1970" w:lineRule="exact"/>
        <w:ind w:firstLine="1950"/>
        <w:textAlignment w:val="center"/>
      </w:pPr>
      <w:r>
        <w:rPr>
          <w:noProof/>
        </w:rPr>
        <mc:AlternateContent>
          <mc:Choice Requires="wpg">
            <w:drawing>
              <wp:inline distT="0" distB="0" distL="0" distR="0">
                <wp:extent cx="2279650" cy="1251585"/>
                <wp:effectExtent l="0" t="1270" r="0" b="0"/>
                <wp:docPr id="15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0" cy="1251585"/>
                          <a:chOff x="0" y="0"/>
                          <a:chExt cx="3590" cy="1971"/>
                        </a:xfrm>
                      </wpg:grpSpPr>
                      <pic:pic xmlns:pic="http://schemas.openxmlformats.org/drawingml/2006/picture">
                        <pic:nvPicPr>
                          <pic:cNvPr id="154"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 cy="1971"/>
                          </a:xfrm>
                          <a:prstGeom prst="rect">
                            <a:avLst/>
                          </a:prstGeom>
                          <a:noFill/>
                          <a:extLst>
                            <a:ext uri="{909E8E84-426E-40DD-AFC4-6F175D3DCCD1}">
                              <a14:hiddenFill xmlns:a14="http://schemas.microsoft.com/office/drawing/2010/main">
                                <a:solidFill>
                                  <a:srgbClr val="FFFFFF"/>
                                </a:solidFill>
                              </a14:hiddenFill>
                            </a:ext>
                          </a:extLst>
                        </pic:spPr>
                      </pic:pic>
                      <wps:wsp>
                        <wps:cNvPr id="155" name="Text Box 8"/>
                        <wps:cNvSpPr txBox="1">
                          <a:spLocks noChangeArrowheads="1"/>
                        </wps:cNvSpPr>
                        <wps:spPr bwMode="auto">
                          <a:xfrm>
                            <a:off x="29" y="87"/>
                            <a:ext cx="3436"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30" w:lineRule="auto"/>
                                <w:ind w:left="20"/>
                                <w:rPr>
                                  <w:rFonts w:ascii="宋体" w:eastAsia="宋体" w:hAnsi="宋体" w:cs="宋体"/>
                                  <w:sz w:val="17"/>
                                  <w:szCs w:val="17"/>
                                </w:rPr>
                              </w:pPr>
                              <w:r>
                                <w:rPr>
                                  <w:rFonts w:ascii="宋体" w:eastAsia="宋体" w:hAnsi="宋体" w:cs="宋体"/>
                                  <w:spacing w:val="-15"/>
                                  <w:sz w:val="17"/>
                                  <w:szCs w:val="17"/>
                                </w:rPr>
                                <w:t>农业生产</w:t>
                              </w:r>
                              <w:r>
                                <w:rPr>
                                  <w:rFonts w:ascii="宋体" w:eastAsia="宋体" w:hAnsi="宋体" w:cs="宋体"/>
                                  <w:spacing w:val="5"/>
                                  <w:sz w:val="17"/>
                                  <w:szCs w:val="17"/>
                                </w:rPr>
                                <w:t xml:space="preserve">         </w:t>
                              </w:r>
                              <w:r>
                                <w:rPr>
                                  <w:rFonts w:ascii="宋体" w:eastAsia="宋体" w:hAnsi="宋体" w:cs="宋体"/>
                                  <w:spacing w:val="-15"/>
                                  <w:sz w:val="17"/>
                                  <w:szCs w:val="17"/>
                                </w:rPr>
                                <w:t>食物原料</w:t>
                              </w:r>
                              <w:r>
                                <w:rPr>
                                  <w:rFonts w:ascii="宋体" w:eastAsia="宋体" w:hAnsi="宋体" w:cs="宋体"/>
                                  <w:spacing w:val="7"/>
                                  <w:sz w:val="17"/>
                                  <w:szCs w:val="17"/>
                                </w:rPr>
                                <w:t xml:space="preserve">        </w:t>
                              </w:r>
                              <w:r>
                                <w:rPr>
                                  <w:rFonts w:ascii="宋体" w:eastAsia="宋体" w:hAnsi="宋体" w:cs="宋体"/>
                                  <w:spacing w:val="-15"/>
                                  <w:position w:val="1"/>
                                  <w:sz w:val="17"/>
                                  <w:szCs w:val="17"/>
                                </w:rPr>
                                <w:t>食品工业</w:t>
                              </w:r>
                            </w:p>
                            <w:p w:rsidR="00E86C16" w:rsidRDefault="00E86C16">
                              <w:pPr>
                                <w:spacing w:line="257" w:lineRule="auto"/>
                              </w:pPr>
                            </w:p>
                            <w:p w:rsidR="00E86C16" w:rsidRDefault="00E86C16">
                              <w:pPr>
                                <w:spacing w:before="56" w:line="221" w:lineRule="auto"/>
                                <w:ind w:left="1450"/>
                                <w:rPr>
                                  <w:rFonts w:ascii="仿宋" w:eastAsia="仿宋" w:hAnsi="仿宋" w:cs="仿宋"/>
                                  <w:sz w:val="17"/>
                                  <w:szCs w:val="17"/>
                                </w:rPr>
                              </w:pPr>
                              <w:r>
                                <w:rPr>
                                  <w:rFonts w:ascii="仿宋" w:eastAsia="仿宋" w:hAnsi="仿宋" w:cs="仿宋"/>
                                  <w:spacing w:val="-3"/>
                                  <w:sz w:val="17"/>
                                  <w:szCs w:val="17"/>
                                </w:rPr>
                                <w:t>食物</w:t>
                              </w:r>
                            </w:p>
                            <w:p w:rsidR="00E86C16" w:rsidRDefault="00E86C16">
                              <w:pPr>
                                <w:spacing w:line="253" w:lineRule="auto"/>
                              </w:pPr>
                            </w:p>
                            <w:p w:rsidR="00E86C16" w:rsidRDefault="00E86C16">
                              <w:pPr>
                                <w:spacing w:before="55" w:line="220" w:lineRule="auto"/>
                                <w:ind w:left="1450"/>
                                <w:rPr>
                                  <w:rFonts w:ascii="宋体" w:eastAsia="宋体" w:hAnsi="宋体" w:cs="宋体"/>
                                  <w:sz w:val="17"/>
                                  <w:szCs w:val="17"/>
                                </w:rPr>
                              </w:pPr>
                              <w:r>
                                <w:rPr>
                                  <w:rFonts w:ascii="宋体" w:eastAsia="宋体" w:hAnsi="宋体" w:cs="宋体"/>
                                  <w:spacing w:val="-3"/>
                                  <w:sz w:val="17"/>
                                  <w:szCs w:val="17"/>
                                </w:rPr>
                                <w:t>消费</w:t>
                              </w:r>
                            </w:p>
                            <w:p w:rsidR="00E86C16" w:rsidRDefault="00E86C16">
                              <w:pPr>
                                <w:spacing w:line="260" w:lineRule="auto"/>
                              </w:pPr>
                            </w:p>
                            <w:p w:rsidR="00E86C16" w:rsidRDefault="00E86C16">
                              <w:pPr>
                                <w:spacing w:before="55" w:line="219" w:lineRule="auto"/>
                                <w:ind w:left="1269"/>
                                <w:rPr>
                                  <w:rFonts w:ascii="宋体" w:eastAsia="宋体" w:hAnsi="宋体" w:cs="宋体"/>
                                  <w:sz w:val="17"/>
                                  <w:szCs w:val="17"/>
                                </w:rPr>
                              </w:pPr>
                              <w:r>
                                <w:rPr>
                                  <w:rFonts w:ascii="宋体" w:eastAsia="宋体" w:hAnsi="宋体" w:cs="宋体"/>
                                  <w:spacing w:val="-15"/>
                                  <w:sz w:val="17"/>
                                  <w:szCs w:val="17"/>
                                </w:rPr>
                                <w:t>营养健康状况</w:t>
                              </w:r>
                            </w:p>
                          </w:txbxContent>
                        </wps:txbx>
                        <wps:bodyPr rot="0" vert="horz" wrap="square" lIns="0" tIns="0" rIns="0" bIns="0" anchor="t" anchorCtr="0" upright="1">
                          <a:noAutofit/>
                        </wps:bodyPr>
                      </wps:wsp>
                      <wps:wsp>
                        <wps:cNvPr id="156" name="Text Box 9"/>
                        <wps:cNvSpPr txBox="1">
                          <a:spLocks noChangeArrowheads="1"/>
                        </wps:cNvSpPr>
                        <wps:spPr bwMode="auto">
                          <a:xfrm>
                            <a:off x="174" y="648"/>
                            <a:ext cx="24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z w:val="17"/>
                                  <w:szCs w:val="17"/>
                                </w:rPr>
                                <w:t>反馈指导</w:t>
                              </w:r>
                            </w:p>
                          </w:txbxContent>
                        </wps:txbx>
                        <wps:bodyPr rot="0" vert="eaVert" wrap="square" lIns="0" tIns="0" rIns="0" bIns="0" anchor="t" anchorCtr="0" upright="1">
                          <a:noAutofit/>
                        </wps:bodyPr>
                      </wps:wsp>
                      <wps:wsp>
                        <wps:cNvPr id="157" name="Text Box 10"/>
                        <wps:cNvSpPr txBox="1">
                          <a:spLocks noChangeArrowheads="1"/>
                        </wps:cNvSpPr>
                        <wps:spPr bwMode="auto">
                          <a:xfrm>
                            <a:off x="3074" y="638"/>
                            <a:ext cx="246"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pacing w:val="-5"/>
                                  <w:sz w:val="17"/>
                                  <w:szCs w:val="17"/>
                                </w:rPr>
                                <w:t>反馈指导</w:t>
                              </w:r>
                            </w:p>
                          </w:txbxContent>
                        </wps:txbx>
                        <wps:bodyPr rot="0" vert="eaVert" wrap="square" lIns="0" tIns="0" rIns="0" bIns="0" anchor="t" anchorCtr="0" upright="1">
                          <a:noAutofit/>
                        </wps:bodyPr>
                      </wps:wsp>
                    </wpg:wgp>
                  </a:graphicData>
                </a:graphic>
              </wp:inline>
            </w:drawing>
          </mc:Choice>
          <mc:Fallback>
            <w:pict>
              <v:group id="Group 6" o:spid="_x0000_s1028" style="width:179.5pt;height:98.55pt;mso-position-horizontal-relative:char;mso-position-vertical-relative:line" coordsize="3590,1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3590;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">
                  <v:imagedata r:id="rId19" o:title=""/>
                </v:shape>
                <v:shape id="Text Box 8" o:spid="_x0000_s1030" type="#_x0000_t202" style="position:absolute;left:29;top:87;width:343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E86C16" w:rsidRDefault="00E86C16">
                        <w:pPr>
                          <w:spacing w:before="20" w:line="230" w:lineRule="auto"/>
                          <w:ind w:left="20"/>
                          <w:rPr>
                            <w:rFonts w:ascii="宋体" w:eastAsia="宋体" w:hAnsi="宋体" w:cs="宋体"/>
                            <w:sz w:val="17"/>
                            <w:szCs w:val="17"/>
                          </w:rPr>
                        </w:pPr>
                        <w:r>
                          <w:rPr>
                            <w:rFonts w:ascii="宋体" w:eastAsia="宋体" w:hAnsi="宋体" w:cs="宋体"/>
                            <w:spacing w:val="-15"/>
                            <w:sz w:val="17"/>
                            <w:szCs w:val="17"/>
                          </w:rPr>
                          <w:t>农业生产</w:t>
                        </w:r>
                        <w:r>
                          <w:rPr>
                            <w:rFonts w:ascii="宋体" w:eastAsia="宋体" w:hAnsi="宋体" w:cs="宋体"/>
                            <w:spacing w:val="5"/>
                            <w:sz w:val="17"/>
                            <w:szCs w:val="17"/>
                          </w:rPr>
                          <w:t xml:space="preserve">         </w:t>
                        </w:r>
                        <w:r>
                          <w:rPr>
                            <w:rFonts w:ascii="宋体" w:eastAsia="宋体" w:hAnsi="宋体" w:cs="宋体"/>
                            <w:spacing w:val="-15"/>
                            <w:sz w:val="17"/>
                            <w:szCs w:val="17"/>
                          </w:rPr>
                          <w:t>食物原料</w:t>
                        </w:r>
                        <w:r>
                          <w:rPr>
                            <w:rFonts w:ascii="宋体" w:eastAsia="宋体" w:hAnsi="宋体" w:cs="宋体"/>
                            <w:spacing w:val="7"/>
                            <w:sz w:val="17"/>
                            <w:szCs w:val="17"/>
                          </w:rPr>
                          <w:t xml:space="preserve">        </w:t>
                        </w:r>
                        <w:r>
                          <w:rPr>
                            <w:rFonts w:ascii="宋体" w:eastAsia="宋体" w:hAnsi="宋体" w:cs="宋体"/>
                            <w:spacing w:val="-15"/>
                            <w:position w:val="1"/>
                            <w:sz w:val="17"/>
                            <w:szCs w:val="17"/>
                          </w:rPr>
                          <w:t>食品工业</w:t>
                        </w:r>
                      </w:p>
                      <w:p w:rsidR="00E86C16" w:rsidRDefault="00E86C16">
                        <w:pPr>
                          <w:spacing w:line="257" w:lineRule="auto"/>
                        </w:pPr>
                      </w:p>
                      <w:p w:rsidR="00E86C16" w:rsidRDefault="00E86C16">
                        <w:pPr>
                          <w:spacing w:before="56" w:line="221" w:lineRule="auto"/>
                          <w:ind w:left="1450"/>
                          <w:rPr>
                            <w:rFonts w:ascii="仿宋" w:eastAsia="仿宋" w:hAnsi="仿宋" w:cs="仿宋"/>
                            <w:sz w:val="17"/>
                            <w:szCs w:val="17"/>
                          </w:rPr>
                        </w:pPr>
                        <w:r>
                          <w:rPr>
                            <w:rFonts w:ascii="仿宋" w:eastAsia="仿宋" w:hAnsi="仿宋" w:cs="仿宋"/>
                            <w:spacing w:val="-3"/>
                            <w:sz w:val="17"/>
                            <w:szCs w:val="17"/>
                          </w:rPr>
                          <w:t>食物</w:t>
                        </w:r>
                      </w:p>
                      <w:p w:rsidR="00E86C16" w:rsidRDefault="00E86C16">
                        <w:pPr>
                          <w:spacing w:line="253" w:lineRule="auto"/>
                        </w:pPr>
                      </w:p>
                      <w:p w:rsidR="00E86C16" w:rsidRDefault="00E86C16">
                        <w:pPr>
                          <w:spacing w:before="55" w:line="220" w:lineRule="auto"/>
                          <w:ind w:left="1450"/>
                          <w:rPr>
                            <w:rFonts w:ascii="宋体" w:eastAsia="宋体" w:hAnsi="宋体" w:cs="宋体"/>
                            <w:sz w:val="17"/>
                            <w:szCs w:val="17"/>
                          </w:rPr>
                        </w:pPr>
                        <w:r>
                          <w:rPr>
                            <w:rFonts w:ascii="宋体" w:eastAsia="宋体" w:hAnsi="宋体" w:cs="宋体"/>
                            <w:spacing w:val="-3"/>
                            <w:sz w:val="17"/>
                            <w:szCs w:val="17"/>
                          </w:rPr>
                          <w:t>消费</w:t>
                        </w:r>
                      </w:p>
                      <w:p w:rsidR="00E86C16" w:rsidRDefault="00E86C16">
                        <w:pPr>
                          <w:spacing w:line="260" w:lineRule="auto"/>
                        </w:pPr>
                      </w:p>
                      <w:p w:rsidR="00E86C16" w:rsidRDefault="00E86C16">
                        <w:pPr>
                          <w:spacing w:before="55" w:line="219" w:lineRule="auto"/>
                          <w:ind w:left="1269"/>
                          <w:rPr>
                            <w:rFonts w:ascii="宋体" w:eastAsia="宋体" w:hAnsi="宋体" w:cs="宋体"/>
                            <w:sz w:val="17"/>
                            <w:szCs w:val="17"/>
                          </w:rPr>
                        </w:pPr>
                        <w:r>
                          <w:rPr>
                            <w:rFonts w:ascii="宋体" w:eastAsia="宋体" w:hAnsi="宋体" w:cs="宋体"/>
                            <w:spacing w:val="-15"/>
                            <w:sz w:val="17"/>
                            <w:szCs w:val="17"/>
                          </w:rPr>
                          <w:t>营养健康状况</w:t>
                        </w:r>
                      </w:p>
                    </w:txbxContent>
                  </v:textbox>
                </v:shape>
                <v:shape id="Text Box 9" o:spid="_x0000_s1031" type="#_x0000_t202" style="position:absolute;left:174;top:648;width: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" filled="f" stroked="f">
                  <v:textbox style="layout-flow:vertical-ideographic" inset="0,0,0,0">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z w:val="17"/>
                            <w:szCs w:val="17"/>
                          </w:rPr>
                          <w:t>反馈指导</w:t>
                        </w:r>
                      </w:p>
                    </w:txbxContent>
                  </v:textbox>
                </v:shape>
                <v:shape id="Text Box 10" o:spid="_x0000_s1032" type="#_x0000_t202" style="position:absolute;left:3074;top:638;width:24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" filled="f" stroked="f">
                  <v:textbox style="layout-flow:vertical-ideographic" inset="0,0,0,0">
                    <w:txbxContent>
                      <w:p w:rsidR="00E86C16" w:rsidRDefault="00E86C16">
                        <w:pPr>
                          <w:spacing w:before="19" w:line="217" w:lineRule="auto"/>
                          <w:ind w:left="20"/>
                          <w:rPr>
                            <w:rFonts w:ascii="宋体" w:eastAsia="宋体" w:hAnsi="宋体" w:cs="宋体"/>
                            <w:sz w:val="17"/>
                            <w:szCs w:val="17"/>
                          </w:rPr>
                        </w:pPr>
                        <w:r>
                          <w:rPr>
                            <w:rFonts w:ascii="宋体" w:eastAsia="宋体" w:hAnsi="宋体" w:cs="宋体"/>
                            <w:spacing w:val="-5"/>
                            <w:sz w:val="17"/>
                            <w:szCs w:val="17"/>
                          </w:rPr>
                          <w:t>反馈指导</w:t>
                        </w:r>
                      </w:p>
                    </w:txbxContent>
                  </v:textbox>
                </v:shape>
                <w10:anchorlock/>
              </v:group>
            </w:pict>
          </mc:Fallback>
        </mc:AlternateContent>
      </w:r>
    </w:p>
    <w:p w:rsidR="00EA40A3" w:rsidRDefault="00E86C16">
      <w:pPr>
        <w:spacing w:before="257" w:line="219" w:lineRule="auto"/>
        <w:ind w:left="2000"/>
        <w:rPr>
          <w:rFonts w:ascii="宋体" w:eastAsia="宋体" w:hAnsi="宋体" w:cs="宋体"/>
          <w:sz w:val="17"/>
          <w:szCs w:val="17"/>
        </w:rPr>
      </w:pPr>
      <w:r>
        <w:rPr>
          <w:rFonts w:ascii="宋体" w:eastAsia="宋体" w:hAnsi="宋体" w:cs="宋体"/>
          <w:spacing w:val="9"/>
          <w:sz w:val="17"/>
          <w:szCs w:val="17"/>
        </w:rPr>
        <w:t>图1-2</w:t>
      </w:r>
      <w:r>
        <w:rPr>
          <w:rFonts w:ascii="宋体" w:eastAsia="宋体" w:hAnsi="宋体" w:cs="宋体"/>
          <w:spacing w:val="64"/>
          <w:sz w:val="17"/>
          <w:szCs w:val="17"/>
        </w:rPr>
        <w:t xml:space="preserve"> </w:t>
      </w:r>
      <w:r>
        <w:rPr>
          <w:rFonts w:ascii="宋体" w:eastAsia="宋体" w:hAnsi="宋体" w:cs="宋体"/>
          <w:spacing w:val="9"/>
          <w:sz w:val="17"/>
          <w:szCs w:val="17"/>
        </w:rPr>
        <w:t>食品营养与农业和食品工业的关系</w:t>
      </w:r>
    </w:p>
    <w:p w:rsidR="00EA40A3" w:rsidRDefault="00EA40A3">
      <w:pPr>
        <w:spacing w:line="441" w:lineRule="auto"/>
      </w:pPr>
    </w:p>
    <w:p w:rsidR="00EA40A3" w:rsidRDefault="00E86C16">
      <w:pPr>
        <w:spacing w:before="71" w:line="221" w:lineRule="auto"/>
        <w:ind w:left="3"/>
        <w:outlineLvl w:val="6"/>
        <w:rPr>
          <w:rFonts w:ascii="黑体" w:eastAsia="黑体" w:hAnsi="黑体" w:cs="黑体"/>
          <w:sz w:val="22"/>
          <w:szCs w:val="22"/>
        </w:rPr>
      </w:pPr>
      <w:r>
        <w:rPr>
          <w:rFonts w:ascii="黑体" w:eastAsia="黑体" w:hAnsi="黑体" w:cs="黑体"/>
          <w:b/>
          <w:bCs/>
          <w:spacing w:val="7"/>
          <w:sz w:val="22"/>
          <w:szCs w:val="22"/>
        </w:rPr>
        <w:t>1.3.1</w:t>
      </w:r>
      <w:r>
        <w:rPr>
          <w:rFonts w:ascii="黑体" w:eastAsia="黑体" w:hAnsi="黑体" w:cs="黑体"/>
          <w:spacing w:val="11"/>
          <w:sz w:val="22"/>
          <w:szCs w:val="22"/>
        </w:rPr>
        <w:t xml:space="preserve">   </w:t>
      </w:r>
      <w:r>
        <w:rPr>
          <w:rFonts w:ascii="黑体" w:eastAsia="黑体" w:hAnsi="黑体" w:cs="黑体"/>
          <w:b/>
          <w:bCs/>
          <w:spacing w:val="7"/>
          <w:sz w:val="22"/>
          <w:szCs w:val="22"/>
        </w:rPr>
        <w:t>食品营养和农业的关系</w:t>
      </w:r>
    </w:p>
    <w:p w:rsidR="00EA40A3" w:rsidRDefault="00E86C16">
      <w:pPr>
        <w:spacing w:before="179" w:line="244" w:lineRule="auto"/>
        <w:ind w:right="80" w:firstLine="469"/>
        <w:rPr>
          <w:rFonts w:ascii="宋体" w:eastAsia="宋体" w:hAnsi="宋体" w:cs="宋体"/>
          <w:sz w:val="22"/>
          <w:szCs w:val="22"/>
        </w:rPr>
      </w:pPr>
      <w:r>
        <w:rPr>
          <w:rFonts w:ascii="宋体" w:eastAsia="宋体" w:hAnsi="宋体" w:cs="宋体"/>
          <w:spacing w:val="-13"/>
          <w:sz w:val="22"/>
          <w:szCs w:val="22"/>
        </w:rPr>
        <w:t>农业最基本的功能是为人类的生存和发展提供可</w:t>
      </w:r>
      <w:r>
        <w:rPr>
          <w:rFonts w:ascii="宋体" w:eastAsia="宋体" w:hAnsi="宋体" w:cs="宋体"/>
          <w:spacing w:val="-14"/>
          <w:sz w:val="22"/>
          <w:szCs w:val="22"/>
        </w:rPr>
        <w:t>直接食用的农产品和用于食</w:t>
      </w:r>
      <w:r>
        <w:rPr>
          <w:rFonts w:ascii="宋体" w:eastAsia="宋体" w:hAnsi="宋体" w:cs="宋体"/>
          <w:sz w:val="22"/>
          <w:szCs w:val="22"/>
        </w:rPr>
        <w:t xml:space="preserve"> </w:t>
      </w:r>
      <w:r>
        <w:rPr>
          <w:rFonts w:ascii="宋体" w:eastAsia="宋体" w:hAnsi="宋体" w:cs="宋体"/>
          <w:spacing w:val="-14"/>
          <w:sz w:val="22"/>
          <w:szCs w:val="22"/>
        </w:rPr>
        <w:t>品加工的原料，是满足食品供应和营养需求的基础与保障。</w:t>
      </w:r>
    </w:p>
    <w:p w:rsidR="00EA40A3" w:rsidRDefault="00E86C16">
      <w:pPr>
        <w:spacing w:before="47" w:line="257" w:lineRule="auto"/>
        <w:ind w:firstLine="469"/>
        <w:rPr>
          <w:rFonts w:ascii="宋体" w:eastAsia="宋体" w:hAnsi="宋体" w:cs="宋体"/>
          <w:sz w:val="22"/>
          <w:szCs w:val="22"/>
        </w:rPr>
      </w:pPr>
      <w:r>
        <w:rPr>
          <w:rFonts w:ascii="宋体" w:eastAsia="宋体" w:hAnsi="宋体" w:cs="宋体"/>
          <w:spacing w:val="-13"/>
          <w:sz w:val="22"/>
          <w:szCs w:val="22"/>
        </w:rPr>
        <w:t>居民的食物营养状况与农业的发展是密切相连的。我国从中华人民共和国成</w:t>
      </w:r>
      <w:r>
        <w:rPr>
          <w:rFonts w:ascii="宋体" w:eastAsia="宋体" w:hAnsi="宋体" w:cs="宋体"/>
          <w:spacing w:val="7"/>
          <w:sz w:val="22"/>
          <w:szCs w:val="22"/>
        </w:rPr>
        <w:t xml:space="preserve"> </w:t>
      </w:r>
      <w:r>
        <w:rPr>
          <w:rFonts w:ascii="宋体" w:eastAsia="宋体" w:hAnsi="宋体" w:cs="宋体"/>
          <w:spacing w:val="-7"/>
          <w:sz w:val="22"/>
          <w:szCs w:val="22"/>
        </w:rPr>
        <w:t>立初期到20世纪70年代，农业虽有发展，但较落后，食物供应不充足</w:t>
      </w:r>
      <w:r>
        <w:rPr>
          <w:rFonts w:ascii="宋体" w:eastAsia="宋体" w:hAnsi="宋体" w:cs="宋体"/>
          <w:spacing w:val="-8"/>
          <w:sz w:val="22"/>
          <w:szCs w:val="22"/>
        </w:rPr>
        <w:t>或仅得到</w:t>
      </w:r>
      <w:r>
        <w:rPr>
          <w:rFonts w:ascii="宋体" w:eastAsia="宋体" w:hAnsi="宋体" w:cs="宋体"/>
          <w:sz w:val="22"/>
          <w:szCs w:val="22"/>
        </w:rPr>
        <w:t xml:space="preserve">  </w:t>
      </w:r>
      <w:r>
        <w:rPr>
          <w:rFonts w:ascii="宋体" w:eastAsia="宋体" w:hAnsi="宋体" w:cs="宋体"/>
          <w:spacing w:val="-7"/>
          <w:sz w:val="22"/>
          <w:szCs w:val="22"/>
        </w:rPr>
        <w:t>基本保障，温饱问题尚未很好解决。据1959年第一次全国营养调查结果，当时</w:t>
      </w:r>
      <w:r>
        <w:rPr>
          <w:rFonts w:ascii="宋体" w:eastAsia="宋体" w:hAnsi="宋体" w:cs="宋体"/>
          <w:spacing w:val="6"/>
          <w:sz w:val="22"/>
          <w:szCs w:val="22"/>
        </w:rPr>
        <w:t xml:space="preserve">  </w:t>
      </w:r>
      <w:r>
        <w:rPr>
          <w:rFonts w:ascii="宋体" w:eastAsia="宋体" w:hAnsi="宋体" w:cs="宋体"/>
          <w:spacing w:val="-4"/>
          <w:sz w:val="22"/>
          <w:szCs w:val="22"/>
        </w:rPr>
        <w:t>平均每人每日实际摄入的能量仅为8619kJ</w:t>
      </w:r>
      <w:r>
        <w:rPr>
          <w:rFonts w:ascii="宋体" w:eastAsia="宋体" w:hAnsi="宋体" w:cs="宋体"/>
          <w:spacing w:val="-23"/>
          <w:sz w:val="22"/>
          <w:szCs w:val="22"/>
        </w:rPr>
        <w:t xml:space="preserve"> </w:t>
      </w:r>
      <w:r>
        <w:rPr>
          <w:rFonts w:ascii="宋体" w:eastAsia="宋体" w:hAnsi="宋体" w:cs="宋体"/>
          <w:spacing w:val="-4"/>
          <w:sz w:val="22"/>
          <w:szCs w:val="22"/>
        </w:rPr>
        <w:t>(推荐摄入能量为10042kJ/标准人),</w:t>
      </w:r>
      <w:r>
        <w:rPr>
          <w:rFonts w:ascii="宋体" w:eastAsia="宋体" w:hAnsi="宋体" w:cs="宋体"/>
          <w:sz w:val="22"/>
          <w:szCs w:val="22"/>
        </w:rPr>
        <w:t xml:space="preserve"> </w:t>
      </w:r>
      <w:r>
        <w:rPr>
          <w:rFonts w:ascii="宋体" w:eastAsia="宋体" w:hAnsi="宋体" w:cs="宋体"/>
          <w:spacing w:val="-2"/>
          <w:sz w:val="22"/>
          <w:szCs w:val="22"/>
        </w:rPr>
        <w:t>平均每人每日蛋白质摄入量仅为57g</w:t>
      </w:r>
      <w:r>
        <w:rPr>
          <w:rFonts w:ascii="宋体" w:eastAsia="宋体" w:hAnsi="宋体" w:cs="宋体"/>
          <w:spacing w:val="2"/>
          <w:sz w:val="22"/>
          <w:szCs w:val="22"/>
        </w:rPr>
        <w:t xml:space="preserve"> </w:t>
      </w:r>
      <w:r>
        <w:rPr>
          <w:rFonts w:ascii="宋体" w:eastAsia="宋体" w:hAnsi="宋体" w:cs="宋体"/>
          <w:spacing w:val="-2"/>
          <w:sz w:val="22"/>
          <w:szCs w:val="22"/>
        </w:rPr>
        <w:t>(推荐摄入蛋白质为</w:t>
      </w:r>
      <w:r>
        <w:rPr>
          <w:rFonts w:ascii="宋体" w:eastAsia="宋体" w:hAnsi="宋体" w:cs="宋体"/>
          <w:spacing w:val="-3"/>
          <w:sz w:val="22"/>
          <w:szCs w:val="22"/>
        </w:rPr>
        <w:t>75g/标准人),且优质</w:t>
      </w:r>
      <w:r>
        <w:rPr>
          <w:rFonts w:ascii="宋体" w:eastAsia="宋体" w:hAnsi="宋体" w:cs="宋体"/>
          <w:sz w:val="22"/>
          <w:szCs w:val="22"/>
        </w:rPr>
        <w:t xml:space="preserve"> </w:t>
      </w:r>
      <w:r>
        <w:rPr>
          <w:rFonts w:ascii="宋体" w:eastAsia="宋体" w:hAnsi="宋体" w:cs="宋体"/>
          <w:spacing w:val="-13"/>
          <w:sz w:val="22"/>
          <w:szCs w:val="22"/>
        </w:rPr>
        <w:t>蛋白比例低，居民中营养不良比率较高。改革开放后，生产力得到</w:t>
      </w:r>
      <w:r>
        <w:rPr>
          <w:rFonts w:ascii="宋体" w:eastAsia="宋体" w:hAnsi="宋体" w:cs="宋体"/>
          <w:spacing w:val="-14"/>
          <w:sz w:val="22"/>
          <w:szCs w:val="22"/>
        </w:rPr>
        <w:t>极大解放，食</w:t>
      </w:r>
      <w:r>
        <w:rPr>
          <w:rFonts w:ascii="宋体" w:eastAsia="宋体" w:hAnsi="宋体" w:cs="宋体"/>
          <w:sz w:val="22"/>
          <w:szCs w:val="22"/>
        </w:rPr>
        <w:t xml:space="preserve">  </w:t>
      </w:r>
      <w:r>
        <w:rPr>
          <w:rFonts w:ascii="宋体" w:eastAsia="宋体" w:hAnsi="宋体" w:cs="宋体"/>
          <w:spacing w:val="-13"/>
          <w:sz w:val="22"/>
          <w:szCs w:val="22"/>
        </w:rPr>
        <w:t>物生产大幅度增长，我国食物供给实现了由长期短缺到总量基本</w:t>
      </w:r>
      <w:r>
        <w:rPr>
          <w:rFonts w:ascii="宋体" w:eastAsia="宋体" w:hAnsi="宋体" w:cs="宋体"/>
          <w:spacing w:val="-14"/>
          <w:sz w:val="22"/>
          <w:szCs w:val="22"/>
        </w:rPr>
        <w:t>平衡的历史性转</w:t>
      </w:r>
      <w:r>
        <w:rPr>
          <w:rFonts w:ascii="宋体" w:eastAsia="宋体" w:hAnsi="宋体" w:cs="宋体"/>
          <w:sz w:val="22"/>
          <w:szCs w:val="22"/>
        </w:rPr>
        <w:t xml:space="preserve">  变，食物供给得到充分保障。20世纪80年代后，我国粮食总</w:t>
      </w:r>
      <w:r>
        <w:rPr>
          <w:rFonts w:ascii="宋体" w:eastAsia="宋体" w:hAnsi="宋体" w:cs="宋体"/>
          <w:spacing w:val="-1"/>
          <w:sz w:val="22"/>
          <w:szCs w:val="22"/>
        </w:rPr>
        <w:t>产量达到4000亿</w:t>
      </w:r>
      <w:r>
        <w:rPr>
          <w:rFonts w:ascii="宋体" w:eastAsia="宋体" w:hAnsi="宋体" w:cs="宋体"/>
          <w:sz w:val="22"/>
          <w:szCs w:val="22"/>
        </w:rPr>
        <w:t xml:space="preserve">  </w:t>
      </w:r>
      <w:r>
        <w:rPr>
          <w:rFonts w:ascii="宋体" w:eastAsia="宋体" w:hAnsi="宋体" w:cs="宋体"/>
          <w:spacing w:val="-1"/>
          <w:sz w:val="22"/>
          <w:szCs w:val="22"/>
        </w:rPr>
        <w:t>kg</w:t>
      </w:r>
      <w:r>
        <w:rPr>
          <w:rFonts w:ascii="宋体" w:eastAsia="宋体" w:hAnsi="宋体" w:cs="宋体"/>
          <w:spacing w:val="-47"/>
          <w:sz w:val="22"/>
          <w:szCs w:val="22"/>
        </w:rPr>
        <w:t xml:space="preserve"> </w:t>
      </w:r>
      <w:r>
        <w:rPr>
          <w:rFonts w:ascii="宋体" w:eastAsia="宋体" w:hAnsi="宋体" w:cs="宋体"/>
          <w:spacing w:val="-1"/>
          <w:sz w:val="22"/>
          <w:szCs w:val="22"/>
        </w:rPr>
        <w:t>以上，人均粮食产量近400kg;</w:t>
      </w:r>
      <w:r>
        <w:rPr>
          <w:rFonts w:ascii="宋体" w:eastAsia="宋体" w:hAnsi="宋体" w:cs="宋体"/>
          <w:spacing w:val="-23"/>
          <w:sz w:val="22"/>
          <w:szCs w:val="22"/>
        </w:rPr>
        <w:t xml:space="preserve"> </w:t>
      </w:r>
      <w:r>
        <w:rPr>
          <w:rFonts w:ascii="宋体" w:eastAsia="宋体" w:hAnsi="宋体" w:cs="宋体"/>
          <w:spacing w:val="-1"/>
          <w:sz w:val="22"/>
          <w:szCs w:val="22"/>
        </w:rPr>
        <w:t>近几年粮食生产达到了5000亿kg</w:t>
      </w:r>
      <w:r>
        <w:rPr>
          <w:rFonts w:ascii="宋体" w:eastAsia="宋体" w:hAnsi="宋体" w:cs="宋体"/>
          <w:spacing w:val="-44"/>
          <w:sz w:val="22"/>
          <w:szCs w:val="22"/>
        </w:rPr>
        <w:t xml:space="preserve"> </w:t>
      </w:r>
      <w:r>
        <w:rPr>
          <w:rFonts w:ascii="宋体" w:eastAsia="宋体" w:hAnsi="宋体" w:cs="宋体"/>
          <w:spacing w:val="-1"/>
          <w:sz w:val="22"/>
          <w:szCs w:val="22"/>
        </w:rPr>
        <w:t>水平，人</w:t>
      </w:r>
      <w:r>
        <w:rPr>
          <w:rFonts w:ascii="宋体" w:eastAsia="宋体" w:hAnsi="宋体" w:cs="宋体"/>
          <w:sz w:val="22"/>
          <w:szCs w:val="22"/>
        </w:rPr>
        <w:t xml:space="preserve">  </w:t>
      </w:r>
      <w:r>
        <w:rPr>
          <w:rFonts w:ascii="宋体" w:eastAsia="宋体" w:hAnsi="宋体" w:cs="宋体"/>
          <w:spacing w:val="-3"/>
          <w:sz w:val="22"/>
          <w:szCs w:val="22"/>
        </w:rPr>
        <w:t>均粮食400kg左右。改革开放以来，我国畜产品和水产品出现了从未有过的持</w:t>
      </w:r>
      <w:r>
        <w:rPr>
          <w:rFonts w:ascii="宋体" w:eastAsia="宋体" w:hAnsi="宋体" w:cs="宋体"/>
          <w:spacing w:val="2"/>
          <w:sz w:val="22"/>
          <w:szCs w:val="22"/>
        </w:rPr>
        <w:t xml:space="preserve">  </w:t>
      </w:r>
      <w:r>
        <w:rPr>
          <w:rFonts w:ascii="宋体" w:eastAsia="宋体" w:hAnsi="宋体" w:cs="宋体"/>
          <w:spacing w:val="-3"/>
          <w:sz w:val="22"/>
          <w:szCs w:val="22"/>
        </w:rPr>
        <w:t>续高速增长，肉类、禽蛋、奶类和水产品的总产量分别由1978年的856.5万t、</w:t>
      </w:r>
      <w:r>
        <w:rPr>
          <w:rFonts w:ascii="宋体" w:eastAsia="宋体" w:hAnsi="宋体" w:cs="宋体"/>
          <w:spacing w:val="6"/>
          <w:sz w:val="22"/>
          <w:szCs w:val="22"/>
        </w:rPr>
        <w:t xml:space="preserve"> </w:t>
      </w:r>
      <w:r>
        <w:rPr>
          <w:rFonts w:ascii="宋体" w:eastAsia="宋体" w:hAnsi="宋体" w:cs="宋体"/>
          <w:spacing w:val="2"/>
          <w:sz w:val="22"/>
          <w:szCs w:val="22"/>
        </w:rPr>
        <w:t>280.9万t(1982</w:t>
      </w:r>
      <w:r>
        <w:rPr>
          <w:rFonts w:ascii="宋体" w:eastAsia="宋体" w:hAnsi="宋体" w:cs="宋体"/>
          <w:spacing w:val="-27"/>
          <w:sz w:val="22"/>
          <w:szCs w:val="22"/>
        </w:rPr>
        <w:t xml:space="preserve"> </w:t>
      </w:r>
      <w:r>
        <w:rPr>
          <w:rFonts w:ascii="宋体" w:eastAsia="宋体" w:hAnsi="宋体" w:cs="宋体"/>
          <w:spacing w:val="2"/>
          <w:sz w:val="22"/>
          <w:szCs w:val="22"/>
        </w:rPr>
        <w:t>年)、88.5万t、</w:t>
      </w:r>
      <w:r>
        <w:rPr>
          <w:rFonts w:ascii="宋体" w:eastAsia="宋体" w:hAnsi="宋体" w:cs="宋体"/>
          <w:spacing w:val="1"/>
          <w:sz w:val="22"/>
          <w:szCs w:val="22"/>
        </w:rPr>
        <w:t>465.5万</w:t>
      </w:r>
      <w:r>
        <w:rPr>
          <w:rFonts w:ascii="宋体" w:eastAsia="宋体" w:hAnsi="宋体" w:cs="宋体"/>
          <w:spacing w:val="-56"/>
          <w:sz w:val="22"/>
          <w:szCs w:val="22"/>
        </w:rPr>
        <w:t xml:space="preserve"> </w:t>
      </w:r>
      <w:r>
        <w:rPr>
          <w:rFonts w:ascii="宋体" w:eastAsia="宋体" w:hAnsi="宋体" w:cs="宋体"/>
          <w:spacing w:val="1"/>
          <w:sz w:val="22"/>
          <w:szCs w:val="22"/>
        </w:rPr>
        <w:t>t上升到2004年的7244.8万t、4723</w:t>
      </w:r>
    </w:p>
    <w:p w:rsidR="00EA40A3" w:rsidRDefault="00E86C16">
      <w:pPr>
        <w:spacing w:before="63"/>
        <w:rPr>
          <w:rFonts w:ascii="宋体" w:eastAsia="宋体" w:hAnsi="宋体" w:cs="宋体"/>
          <w:sz w:val="17"/>
          <w:szCs w:val="17"/>
        </w:rPr>
      </w:pPr>
      <w:r>
        <w:rPr>
          <w:rFonts w:ascii="宋体" w:eastAsia="宋体" w:hAnsi="宋体" w:cs="宋体"/>
          <w:spacing w:val="-31"/>
          <w:sz w:val="17"/>
          <w:szCs w:val="17"/>
        </w:rPr>
        <w:t>·</w:t>
      </w:r>
      <w:r>
        <w:rPr>
          <w:rFonts w:ascii="宋体" w:eastAsia="宋体" w:hAnsi="宋体" w:cs="宋体"/>
          <w:sz w:val="17"/>
          <w:szCs w:val="17"/>
        </w:rPr>
        <w:t xml:space="preserve"> </w:t>
      </w:r>
      <w:r>
        <w:rPr>
          <w:rFonts w:ascii="宋体" w:eastAsia="宋体" w:hAnsi="宋体" w:cs="宋体"/>
          <w:spacing w:val="-31"/>
          <w:sz w:val="17"/>
          <w:szCs w:val="17"/>
        </w:rPr>
        <w:t>6</w:t>
      </w:r>
      <w:r>
        <w:rPr>
          <w:rFonts w:ascii="宋体" w:eastAsia="宋体" w:hAnsi="宋体" w:cs="宋体"/>
          <w:spacing w:val="51"/>
          <w:sz w:val="17"/>
          <w:szCs w:val="17"/>
        </w:rPr>
        <w:t xml:space="preserve"> </w:t>
      </w:r>
      <w:r>
        <w:rPr>
          <w:rFonts w:ascii="宋体" w:eastAsia="宋体" w:hAnsi="宋体" w:cs="宋体"/>
          <w:spacing w:val="-31"/>
          <w:sz w:val="17"/>
          <w:szCs w:val="17"/>
        </w:rPr>
        <w:t>·</w:t>
      </w:r>
    </w:p>
    <w:p w:rsidR="00EA40A3" w:rsidRDefault="00EA40A3">
      <w:pPr>
        <w:sectPr w:rsidR="00EA40A3">
          <w:pgSz w:w="9220" w:h="13360"/>
          <w:pgMar w:top="400" w:right="939" w:bottom="400" w:left="910" w:header="0" w:footer="0" w:gutter="0"/>
          <w:cols w:space="720"/>
        </w:sectPr>
      </w:pPr>
    </w:p>
    <w:p w:rsidR="00EA40A3" w:rsidRDefault="00EA40A3">
      <w:pPr>
        <w:spacing w:line="284" w:lineRule="auto"/>
      </w:pPr>
    </w:p>
    <w:p w:rsidR="00EA40A3" w:rsidRDefault="00EA40A3">
      <w:pPr>
        <w:spacing w:line="284" w:lineRule="auto"/>
      </w:pPr>
    </w:p>
    <w:p w:rsidR="00EA40A3" w:rsidRDefault="00E86C16">
      <w:pPr>
        <w:spacing w:before="71" w:line="248" w:lineRule="auto"/>
        <w:ind w:right="102"/>
        <w:jc w:val="both"/>
        <w:rPr>
          <w:rFonts w:ascii="宋体" w:eastAsia="宋体" w:hAnsi="宋体" w:cs="宋体"/>
          <w:sz w:val="22"/>
          <w:szCs w:val="22"/>
        </w:rPr>
      </w:pPr>
      <w:r>
        <w:rPr>
          <w:rFonts w:ascii="宋体" w:eastAsia="宋体" w:hAnsi="宋体" w:cs="宋体"/>
          <w:spacing w:val="-5"/>
          <w:sz w:val="22"/>
          <w:szCs w:val="22"/>
        </w:rPr>
        <w:t>万t、2368.4万</w:t>
      </w:r>
      <w:r>
        <w:rPr>
          <w:rFonts w:ascii="宋体" w:eastAsia="宋体" w:hAnsi="宋体" w:cs="宋体"/>
          <w:spacing w:val="-57"/>
          <w:sz w:val="22"/>
          <w:szCs w:val="22"/>
        </w:rPr>
        <w:t xml:space="preserve"> </w:t>
      </w:r>
      <w:r>
        <w:rPr>
          <w:rFonts w:ascii="宋体" w:eastAsia="宋体" w:hAnsi="宋体" w:cs="宋体"/>
          <w:spacing w:val="-5"/>
          <w:sz w:val="22"/>
          <w:szCs w:val="22"/>
        </w:rPr>
        <w:t>t、4901.8万</w:t>
      </w:r>
      <w:r>
        <w:rPr>
          <w:rFonts w:ascii="宋体" w:eastAsia="宋体" w:hAnsi="宋体" w:cs="宋体"/>
          <w:spacing w:val="-56"/>
          <w:sz w:val="22"/>
          <w:szCs w:val="22"/>
        </w:rPr>
        <w:t xml:space="preserve"> </w:t>
      </w:r>
      <w:r>
        <w:rPr>
          <w:rFonts w:ascii="宋体" w:eastAsia="宋体" w:hAnsi="宋体" w:cs="宋体"/>
          <w:spacing w:val="-5"/>
          <w:sz w:val="22"/>
          <w:szCs w:val="22"/>
        </w:rPr>
        <w:t>t,</w:t>
      </w:r>
      <w:r>
        <w:rPr>
          <w:rFonts w:ascii="宋体" w:eastAsia="宋体" w:hAnsi="宋体" w:cs="宋体"/>
          <w:spacing w:val="-16"/>
          <w:sz w:val="22"/>
          <w:szCs w:val="22"/>
        </w:rPr>
        <w:t xml:space="preserve"> </w:t>
      </w:r>
      <w:r>
        <w:rPr>
          <w:rFonts w:ascii="宋体" w:eastAsia="宋体" w:hAnsi="宋体" w:cs="宋体"/>
          <w:spacing w:val="-5"/>
          <w:sz w:val="22"/>
          <w:szCs w:val="22"/>
        </w:rPr>
        <w:t>同时，蔬菜和干鲜果产量也成</w:t>
      </w:r>
      <w:r>
        <w:rPr>
          <w:rFonts w:ascii="宋体" w:eastAsia="宋体" w:hAnsi="宋体" w:cs="宋体"/>
          <w:spacing w:val="-6"/>
          <w:sz w:val="22"/>
          <w:szCs w:val="22"/>
        </w:rPr>
        <w:t>倍增长，居民食</w:t>
      </w:r>
      <w:r>
        <w:rPr>
          <w:rFonts w:ascii="宋体" w:eastAsia="宋体" w:hAnsi="宋体" w:cs="宋体"/>
          <w:sz w:val="22"/>
          <w:szCs w:val="22"/>
        </w:rPr>
        <w:t xml:space="preserve"> </w:t>
      </w:r>
      <w:r>
        <w:rPr>
          <w:rFonts w:ascii="宋体" w:eastAsia="宋体" w:hAnsi="宋体" w:cs="宋体"/>
          <w:spacing w:val="-6"/>
          <w:sz w:val="22"/>
          <w:szCs w:val="22"/>
        </w:rPr>
        <w:t>物营养状况得到极大改善。据2002年全国营</w:t>
      </w:r>
      <w:r>
        <w:rPr>
          <w:rFonts w:ascii="宋体" w:eastAsia="宋体" w:hAnsi="宋体" w:cs="宋体"/>
          <w:spacing w:val="-7"/>
          <w:sz w:val="22"/>
          <w:szCs w:val="22"/>
        </w:rPr>
        <w:t>养调查结果，平均每人每日实际摄</w:t>
      </w:r>
      <w:r>
        <w:rPr>
          <w:rFonts w:ascii="宋体" w:eastAsia="宋体" w:hAnsi="宋体" w:cs="宋体"/>
          <w:sz w:val="22"/>
          <w:szCs w:val="22"/>
        </w:rPr>
        <w:t xml:space="preserve"> </w:t>
      </w:r>
      <w:r>
        <w:rPr>
          <w:rFonts w:ascii="宋体" w:eastAsia="宋体" w:hAnsi="宋体" w:cs="宋体"/>
          <w:spacing w:val="-2"/>
          <w:sz w:val="22"/>
          <w:szCs w:val="22"/>
        </w:rPr>
        <w:t>入的能量达9442kJ,</w:t>
      </w:r>
      <w:r>
        <w:rPr>
          <w:rFonts w:ascii="宋体" w:eastAsia="宋体" w:hAnsi="宋体" w:cs="宋体"/>
          <w:spacing w:val="-44"/>
          <w:sz w:val="22"/>
          <w:szCs w:val="22"/>
        </w:rPr>
        <w:t xml:space="preserve"> </w:t>
      </w:r>
      <w:r>
        <w:rPr>
          <w:rFonts w:ascii="宋体" w:eastAsia="宋体" w:hAnsi="宋体" w:cs="宋体"/>
          <w:spacing w:val="-2"/>
          <w:sz w:val="22"/>
          <w:szCs w:val="22"/>
        </w:rPr>
        <w:t>蛋白质摄入量达66.1g,</w:t>
      </w:r>
      <w:r>
        <w:rPr>
          <w:rFonts w:ascii="宋体" w:eastAsia="宋体" w:hAnsi="宋体" w:cs="宋体"/>
          <w:spacing w:val="2"/>
          <w:sz w:val="22"/>
          <w:szCs w:val="22"/>
        </w:rPr>
        <w:t xml:space="preserve"> </w:t>
      </w:r>
      <w:r>
        <w:rPr>
          <w:rFonts w:ascii="宋体" w:eastAsia="宋体" w:hAnsi="宋体" w:cs="宋体"/>
          <w:spacing w:val="-2"/>
          <w:sz w:val="22"/>
          <w:szCs w:val="22"/>
        </w:rPr>
        <w:t>其中优质蛋白</w:t>
      </w:r>
      <w:r>
        <w:rPr>
          <w:rFonts w:ascii="宋体" w:eastAsia="宋体" w:hAnsi="宋体" w:cs="宋体"/>
          <w:spacing w:val="-3"/>
          <w:sz w:val="22"/>
          <w:szCs w:val="22"/>
        </w:rPr>
        <w:t>质比例增加。50多</w:t>
      </w:r>
      <w:r>
        <w:rPr>
          <w:rFonts w:ascii="宋体" w:eastAsia="宋体" w:hAnsi="宋体" w:cs="宋体"/>
          <w:sz w:val="22"/>
          <w:szCs w:val="22"/>
        </w:rPr>
        <w:t xml:space="preserve"> </w:t>
      </w:r>
      <w:r>
        <w:rPr>
          <w:rFonts w:ascii="宋体" w:eastAsia="宋体" w:hAnsi="宋体" w:cs="宋体"/>
          <w:spacing w:val="-13"/>
          <w:sz w:val="22"/>
          <w:szCs w:val="22"/>
        </w:rPr>
        <w:t>年来，儿童低体重率和生长迟缓率不断下降，同龄青少年的身高和体重分别增加</w:t>
      </w:r>
      <w:r>
        <w:rPr>
          <w:rFonts w:ascii="宋体" w:eastAsia="宋体" w:hAnsi="宋体" w:cs="宋体"/>
          <w:spacing w:val="10"/>
          <w:sz w:val="22"/>
          <w:szCs w:val="22"/>
        </w:rPr>
        <w:t xml:space="preserve"> </w:t>
      </w:r>
      <w:r>
        <w:rPr>
          <w:rFonts w:ascii="宋体" w:eastAsia="宋体" w:hAnsi="宋体" w:cs="宋体"/>
          <w:spacing w:val="6"/>
          <w:sz w:val="22"/>
          <w:szCs w:val="22"/>
        </w:rPr>
        <w:t>数厘米和数千克以上；总死亡率由20世纪50年代初期的</w:t>
      </w:r>
      <w:r>
        <w:rPr>
          <w:rFonts w:ascii="宋体" w:eastAsia="宋体" w:hAnsi="宋体" w:cs="宋体"/>
          <w:spacing w:val="5"/>
          <w:sz w:val="22"/>
          <w:szCs w:val="22"/>
        </w:rPr>
        <w:t>2.5%以上下降到90</w:t>
      </w:r>
      <w:r>
        <w:rPr>
          <w:rFonts w:ascii="宋体" w:eastAsia="宋体" w:hAnsi="宋体" w:cs="宋体"/>
          <w:sz w:val="22"/>
          <w:szCs w:val="22"/>
        </w:rPr>
        <w:t xml:space="preserve"> </w:t>
      </w:r>
      <w:r>
        <w:rPr>
          <w:rFonts w:ascii="宋体" w:eastAsia="宋体" w:hAnsi="宋体" w:cs="宋体"/>
          <w:spacing w:val="11"/>
          <w:sz w:val="22"/>
          <w:szCs w:val="22"/>
        </w:rPr>
        <w:t>年代后期的0.65%,已低于部分发达国家；婴儿死亡率由20%下降到近3%;</w:t>
      </w:r>
      <w:r>
        <w:rPr>
          <w:rFonts w:ascii="宋体" w:eastAsia="宋体" w:hAnsi="宋体" w:cs="宋体"/>
          <w:spacing w:val="18"/>
          <w:sz w:val="22"/>
          <w:szCs w:val="22"/>
        </w:rPr>
        <w:t xml:space="preserve"> </w:t>
      </w:r>
      <w:r>
        <w:rPr>
          <w:rFonts w:ascii="宋体" w:eastAsia="宋体" w:hAnsi="宋体" w:cs="宋体"/>
          <w:spacing w:val="-4"/>
          <w:sz w:val="22"/>
          <w:szCs w:val="22"/>
        </w:rPr>
        <w:t>出生时期望寿命由35岁增加到70岁左右。</w:t>
      </w:r>
    </w:p>
    <w:p w:rsidR="00EA40A3" w:rsidRDefault="00E86C16">
      <w:pPr>
        <w:spacing w:before="86" w:line="249" w:lineRule="auto"/>
        <w:ind w:firstLine="520"/>
        <w:rPr>
          <w:rFonts w:ascii="宋体" w:eastAsia="宋体" w:hAnsi="宋体" w:cs="宋体"/>
          <w:sz w:val="22"/>
          <w:szCs w:val="22"/>
        </w:rPr>
      </w:pPr>
      <w:r>
        <w:rPr>
          <w:rFonts w:ascii="宋体" w:eastAsia="宋体" w:hAnsi="宋体" w:cs="宋体"/>
          <w:spacing w:val="-13"/>
          <w:sz w:val="22"/>
          <w:szCs w:val="22"/>
        </w:rPr>
        <w:t>世界农业的发展为满足世界人口不断增长的食物供应和营养需求发挥了不可</w:t>
      </w:r>
      <w:r>
        <w:rPr>
          <w:rFonts w:ascii="宋体" w:eastAsia="宋体" w:hAnsi="宋体" w:cs="宋体"/>
          <w:spacing w:val="6"/>
          <w:sz w:val="22"/>
          <w:szCs w:val="22"/>
        </w:rPr>
        <w:t xml:space="preserve"> </w:t>
      </w:r>
      <w:r>
        <w:rPr>
          <w:rFonts w:ascii="宋体" w:eastAsia="宋体" w:hAnsi="宋体" w:cs="宋体"/>
          <w:spacing w:val="-6"/>
          <w:sz w:val="22"/>
          <w:szCs w:val="22"/>
        </w:rPr>
        <w:t>替代的作用。从1949～2004年的50多年间，世界及主要国家的谷物产量均有较</w:t>
      </w:r>
      <w:r>
        <w:rPr>
          <w:rFonts w:ascii="宋体" w:eastAsia="宋体" w:hAnsi="宋体" w:cs="宋体"/>
          <w:spacing w:val="1"/>
          <w:sz w:val="22"/>
          <w:szCs w:val="22"/>
        </w:rPr>
        <w:t xml:space="preserve">  </w:t>
      </w:r>
      <w:r>
        <w:rPr>
          <w:rFonts w:ascii="宋体" w:eastAsia="宋体" w:hAnsi="宋体" w:cs="宋体"/>
          <w:spacing w:val="-13"/>
          <w:sz w:val="22"/>
          <w:szCs w:val="22"/>
        </w:rPr>
        <w:t>大幅度增长，除日本外，无论是单产还是总产均增长一至数倍。世界肉类总产量</w:t>
      </w:r>
      <w:r>
        <w:rPr>
          <w:rFonts w:ascii="宋体" w:eastAsia="宋体" w:hAnsi="宋体" w:cs="宋体"/>
          <w:spacing w:val="1"/>
          <w:sz w:val="22"/>
          <w:szCs w:val="22"/>
        </w:rPr>
        <w:t xml:space="preserve">  </w:t>
      </w:r>
      <w:r>
        <w:rPr>
          <w:rFonts w:ascii="宋体" w:eastAsia="宋体" w:hAnsi="宋体" w:cs="宋体"/>
          <w:spacing w:val="2"/>
          <w:sz w:val="22"/>
          <w:szCs w:val="22"/>
        </w:rPr>
        <w:t>由1961年的7144万t增加到2004年的25782.2万</w:t>
      </w:r>
      <w:r>
        <w:rPr>
          <w:rFonts w:ascii="宋体" w:eastAsia="宋体" w:hAnsi="宋体" w:cs="宋体"/>
          <w:spacing w:val="-64"/>
          <w:sz w:val="22"/>
          <w:szCs w:val="22"/>
        </w:rPr>
        <w:t xml:space="preserve"> </w:t>
      </w:r>
      <w:r>
        <w:rPr>
          <w:rFonts w:ascii="宋体" w:eastAsia="宋体" w:hAnsi="宋体" w:cs="宋体"/>
          <w:spacing w:val="1"/>
          <w:sz w:val="22"/>
          <w:szCs w:val="22"/>
        </w:rPr>
        <w:t>t,</w:t>
      </w:r>
      <w:r>
        <w:rPr>
          <w:rFonts w:ascii="宋体" w:eastAsia="宋体" w:hAnsi="宋体" w:cs="宋体"/>
          <w:spacing w:val="-47"/>
          <w:sz w:val="22"/>
          <w:szCs w:val="22"/>
        </w:rPr>
        <w:t xml:space="preserve"> </w:t>
      </w:r>
      <w:r>
        <w:rPr>
          <w:rFonts w:ascii="宋体" w:eastAsia="宋体" w:hAnsi="宋体" w:cs="宋体"/>
          <w:spacing w:val="1"/>
          <w:sz w:val="22"/>
          <w:szCs w:val="22"/>
        </w:rPr>
        <w:t>增长两倍多。1961～1994</w:t>
      </w:r>
      <w:r>
        <w:rPr>
          <w:rFonts w:ascii="宋体" w:eastAsia="宋体" w:hAnsi="宋体" w:cs="宋体"/>
          <w:sz w:val="22"/>
          <w:szCs w:val="22"/>
        </w:rPr>
        <w:t xml:space="preserve">  </w:t>
      </w:r>
      <w:r>
        <w:rPr>
          <w:rFonts w:ascii="宋体" w:eastAsia="宋体" w:hAnsi="宋体" w:cs="宋体"/>
          <w:spacing w:val="-12"/>
          <w:sz w:val="22"/>
          <w:szCs w:val="22"/>
        </w:rPr>
        <w:t>年，世界肉类生产增长速度高于谷物生产增长速度，人均肉类</w:t>
      </w:r>
      <w:r>
        <w:rPr>
          <w:rFonts w:ascii="宋体" w:eastAsia="宋体" w:hAnsi="宋体" w:cs="宋体"/>
          <w:spacing w:val="-13"/>
          <w:sz w:val="22"/>
          <w:szCs w:val="22"/>
        </w:rPr>
        <w:t>产量增长速度高于</w:t>
      </w:r>
      <w:r>
        <w:rPr>
          <w:rFonts w:ascii="宋体" w:eastAsia="宋体" w:hAnsi="宋体" w:cs="宋体"/>
          <w:sz w:val="22"/>
          <w:szCs w:val="22"/>
        </w:rPr>
        <w:t xml:space="preserve"> </w:t>
      </w:r>
      <w:r>
        <w:rPr>
          <w:rFonts w:ascii="宋体" w:eastAsia="宋体" w:hAnsi="宋体" w:cs="宋体"/>
          <w:spacing w:val="-14"/>
          <w:sz w:val="22"/>
          <w:szCs w:val="22"/>
        </w:rPr>
        <w:t>人均谷物产量增长速度，其他农产品也有较大幅度增长。正因为如此，即使在世</w:t>
      </w:r>
      <w:r>
        <w:rPr>
          <w:rFonts w:ascii="宋体" w:eastAsia="宋体" w:hAnsi="宋体" w:cs="宋体"/>
          <w:spacing w:val="8"/>
          <w:sz w:val="22"/>
          <w:szCs w:val="22"/>
        </w:rPr>
        <w:t xml:space="preserve">  </w:t>
      </w:r>
      <w:r>
        <w:rPr>
          <w:rFonts w:ascii="宋体" w:eastAsia="宋体" w:hAnsi="宋体" w:cs="宋体"/>
          <w:spacing w:val="2"/>
          <w:sz w:val="22"/>
          <w:szCs w:val="22"/>
        </w:rPr>
        <w:t>界人均耕地年增加量仅为0.2%、而人口年增加量却为1.6%的不协调情况下，</w:t>
      </w:r>
      <w:r>
        <w:rPr>
          <w:rFonts w:ascii="宋体" w:eastAsia="宋体" w:hAnsi="宋体" w:cs="宋体"/>
          <w:spacing w:val="14"/>
          <w:sz w:val="22"/>
          <w:szCs w:val="22"/>
        </w:rPr>
        <w:t xml:space="preserve"> </w:t>
      </w:r>
      <w:r>
        <w:rPr>
          <w:rFonts w:ascii="宋体" w:eastAsia="宋体" w:hAnsi="宋体" w:cs="宋体"/>
          <w:spacing w:val="-12"/>
          <w:sz w:val="22"/>
          <w:szCs w:val="22"/>
        </w:rPr>
        <w:t>世界食物供求仍达到基本平衡，且食物结构得到改善，营养不良</w:t>
      </w:r>
      <w:r>
        <w:rPr>
          <w:rFonts w:ascii="宋体" w:eastAsia="宋体" w:hAnsi="宋体" w:cs="宋体"/>
          <w:spacing w:val="-13"/>
          <w:sz w:val="22"/>
          <w:szCs w:val="22"/>
        </w:rPr>
        <w:t>的人口数量呈下</w:t>
      </w:r>
      <w:r>
        <w:rPr>
          <w:rFonts w:ascii="宋体" w:eastAsia="宋体" w:hAnsi="宋体" w:cs="宋体"/>
          <w:sz w:val="22"/>
          <w:szCs w:val="22"/>
        </w:rPr>
        <w:t xml:space="preserve"> </w:t>
      </w:r>
      <w:r>
        <w:rPr>
          <w:rFonts w:ascii="宋体" w:eastAsia="宋体" w:hAnsi="宋体" w:cs="宋体"/>
          <w:spacing w:val="-13"/>
          <w:sz w:val="22"/>
          <w:szCs w:val="22"/>
        </w:rPr>
        <w:t>降趋势。这是农业发展对人类营养的巨大贡献。但是，目前全世界患营养不良症</w:t>
      </w:r>
      <w:r>
        <w:rPr>
          <w:rFonts w:ascii="宋体" w:eastAsia="宋体" w:hAnsi="宋体" w:cs="宋体"/>
          <w:spacing w:val="2"/>
          <w:sz w:val="22"/>
          <w:szCs w:val="22"/>
        </w:rPr>
        <w:t xml:space="preserve">  </w:t>
      </w:r>
      <w:r>
        <w:rPr>
          <w:rFonts w:ascii="宋体" w:eastAsia="宋体" w:hAnsi="宋体" w:cs="宋体"/>
          <w:spacing w:val="-1"/>
          <w:sz w:val="22"/>
          <w:szCs w:val="22"/>
        </w:rPr>
        <w:t>的比例还较高，尤其在经济不发达、贫困、高人口增长率的国家和地区更为</w:t>
      </w:r>
      <w:r>
        <w:rPr>
          <w:rFonts w:ascii="宋体" w:eastAsia="宋体" w:hAnsi="宋体" w:cs="宋体"/>
          <w:spacing w:val="2"/>
          <w:sz w:val="22"/>
          <w:szCs w:val="22"/>
        </w:rPr>
        <w:t xml:space="preserve">  </w:t>
      </w:r>
      <w:r>
        <w:rPr>
          <w:rFonts w:ascii="宋体" w:eastAsia="宋体" w:hAnsi="宋体" w:cs="宋体"/>
          <w:spacing w:val="-16"/>
          <w:sz w:val="22"/>
          <w:szCs w:val="22"/>
        </w:rPr>
        <w:t>严重。</w:t>
      </w:r>
    </w:p>
    <w:p w:rsidR="00EA40A3" w:rsidRDefault="00E86C16">
      <w:pPr>
        <w:spacing w:before="95" w:line="250" w:lineRule="auto"/>
        <w:ind w:right="8" w:firstLine="490"/>
        <w:rPr>
          <w:rFonts w:ascii="宋体" w:eastAsia="宋体" w:hAnsi="宋体" w:cs="宋体"/>
          <w:sz w:val="22"/>
          <w:szCs w:val="22"/>
        </w:rPr>
      </w:pPr>
      <w:r>
        <w:rPr>
          <w:rFonts w:ascii="宋体" w:eastAsia="宋体" w:hAnsi="宋体" w:cs="宋体"/>
          <w:spacing w:val="-13"/>
          <w:sz w:val="22"/>
          <w:szCs w:val="22"/>
        </w:rPr>
        <w:t>实际上，农业发展过程中没有脱离营养学理论及居民食物营养状况对农业的</w:t>
      </w:r>
      <w:r>
        <w:rPr>
          <w:rFonts w:ascii="宋体" w:eastAsia="宋体" w:hAnsi="宋体" w:cs="宋体"/>
          <w:spacing w:val="14"/>
          <w:sz w:val="22"/>
          <w:szCs w:val="22"/>
        </w:rPr>
        <w:t xml:space="preserve"> </w:t>
      </w:r>
      <w:r>
        <w:rPr>
          <w:rFonts w:ascii="宋体" w:eastAsia="宋体" w:hAnsi="宋体" w:cs="宋体"/>
          <w:spacing w:val="-12"/>
          <w:sz w:val="22"/>
          <w:szCs w:val="22"/>
        </w:rPr>
        <w:t>指导。党和政府十分重视营养工作，把发展食物生产、</w:t>
      </w:r>
      <w:r>
        <w:rPr>
          <w:rFonts w:ascii="宋体" w:eastAsia="宋体" w:hAnsi="宋体" w:cs="宋体"/>
          <w:spacing w:val="-13"/>
          <w:sz w:val="22"/>
          <w:szCs w:val="22"/>
        </w:rPr>
        <w:t>保障供给、改善居民营养</w:t>
      </w:r>
      <w:r>
        <w:rPr>
          <w:rFonts w:ascii="宋体" w:eastAsia="宋体" w:hAnsi="宋体" w:cs="宋体"/>
          <w:sz w:val="22"/>
          <w:szCs w:val="22"/>
        </w:rPr>
        <w:t xml:space="preserve"> </w:t>
      </w:r>
      <w:r>
        <w:rPr>
          <w:rFonts w:ascii="宋体" w:eastAsia="宋体" w:hAnsi="宋体" w:cs="宋体"/>
          <w:spacing w:val="-12"/>
          <w:sz w:val="22"/>
          <w:szCs w:val="22"/>
        </w:rPr>
        <w:t>作为一项基本国策。国务院先后批准颁布实施的《九十年代中国食物结构</w:t>
      </w:r>
      <w:r>
        <w:rPr>
          <w:rFonts w:ascii="宋体" w:eastAsia="宋体" w:hAnsi="宋体" w:cs="宋体"/>
          <w:spacing w:val="-13"/>
          <w:sz w:val="22"/>
          <w:szCs w:val="22"/>
        </w:rPr>
        <w:t>改革与</w:t>
      </w:r>
      <w:r>
        <w:rPr>
          <w:rFonts w:ascii="宋体" w:eastAsia="宋体" w:hAnsi="宋体" w:cs="宋体"/>
          <w:sz w:val="22"/>
          <w:szCs w:val="22"/>
        </w:rPr>
        <w:t xml:space="preserve"> </w:t>
      </w:r>
      <w:r>
        <w:rPr>
          <w:rFonts w:ascii="宋体" w:eastAsia="宋体" w:hAnsi="宋体" w:cs="宋体"/>
          <w:spacing w:val="1"/>
          <w:sz w:val="22"/>
          <w:szCs w:val="22"/>
        </w:rPr>
        <w:t>发展纲要》(1993年)、《中国营养改善行动计划(199</w:t>
      </w:r>
      <w:r>
        <w:rPr>
          <w:rFonts w:ascii="宋体" w:eastAsia="宋体" w:hAnsi="宋体" w:cs="宋体"/>
          <w:sz w:val="22"/>
          <w:szCs w:val="22"/>
        </w:rPr>
        <w:t>6～2000年)》(1997年) 和《中国食物与营养发展纲要(2001～2010年)》(2001年)</w:t>
      </w:r>
      <w:r>
        <w:rPr>
          <w:rFonts w:ascii="宋体" w:eastAsia="宋体" w:hAnsi="宋体" w:cs="宋体"/>
          <w:spacing w:val="-1"/>
          <w:sz w:val="22"/>
          <w:szCs w:val="22"/>
        </w:rPr>
        <w:t>等，以及1996年国</w:t>
      </w:r>
      <w:r>
        <w:rPr>
          <w:rFonts w:ascii="宋体" w:eastAsia="宋体" w:hAnsi="宋体" w:cs="宋体"/>
          <w:sz w:val="22"/>
          <w:szCs w:val="22"/>
        </w:rPr>
        <w:t xml:space="preserve">  </w:t>
      </w:r>
      <w:r>
        <w:rPr>
          <w:rFonts w:ascii="宋体" w:eastAsia="宋体" w:hAnsi="宋体" w:cs="宋体"/>
          <w:spacing w:val="-13"/>
          <w:sz w:val="22"/>
          <w:szCs w:val="22"/>
        </w:rPr>
        <w:t>家启动的“大豆行动计划”均是以营养学及居民营养状况为依据而制定的以农业</w:t>
      </w:r>
      <w:r>
        <w:rPr>
          <w:rFonts w:ascii="宋体" w:eastAsia="宋体" w:hAnsi="宋体" w:cs="宋体"/>
          <w:sz w:val="22"/>
          <w:szCs w:val="22"/>
        </w:rPr>
        <w:t xml:space="preserve">  </w:t>
      </w:r>
      <w:r>
        <w:rPr>
          <w:rFonts w:ascii="宋体" w:eastAsia="宋体" w:hAnsi="宋体" w:cs="宋体"/>
          <w:spacing w:val="-10"/>
          <w:sz w:val="22"/>
          <w:szCs w:val="22"/>
        </w:rPr>
        <w:t>为基础的计划。在实际农业生产中其具体指导作用体现在以下3个方面：①调整</w:t>
      </w:r>
      <w:r>
        <w:rPr>
          <w:rFonts w:ascii="宋体" w:eastAsia="宋体" w:hAnsi="宋体" w:cs="宋体"/>
          <w:spacing w:val="4"/>
          <w:sz w:val="22"/>
          <w:szCs w:val="22"/>
        </w:rPr>
        <w:t xml:space="preserve">  </w:t>
      </w:r>
      <w:r>
        <w:rPr>
          <w:rFonts w:ascii="宋体" w:eastAsia="宋体" w:hAnsi="宋体" w:cs="宋体"/>
          <w:spacing w:val="-10"/>
          <w:sz w:val="22"/>
          <w:szCs w:val="22"/>
        </w:rPr>
        <w:t>农业生产结构。为改变居民优质蛋白质摄入偏少和营养不良发生率较高的状况，</w:t>
      </w:r>
      <w:r>
        <w:rPr>
          <w:rFonts w:ascii="宋体" w:eastAsia="宋体" w:hAnsi="宋体" w:cs="宋体"/>
          <w:sz w:val="22"/>
          <w:szCs w:val="22"/>
        </w:rPr>
        <w:t xml:space="preserve"> </w:t>
      </w:r>
      <w:r>
        <w:rPr>
          <w:rFonts w:ascii="宋体" w:eastAsia="宋体" w:hAnsi="宋体" w:cs="宋体"/>
          <w:spacing w:val="-13"/>
          <w:sz w:val="22"/>
          <w:szCs w:val="22"/>
        </w:rPr>
        <w:t>我国不断发展畜牧业和水产业，在种植业内部增加大豆种植面积，使农业生产结</w:t>
      </w:r>
      <w:r>
        <w:rPr>
          <w:rFonts w:ascii="宋体" w:eastAsia="宋体" w:hAnsi="宋体" w:cs="宋体"/>
          <w:spacing w:val="3"/>
          <w:sz w:val="22"/>
          <w:szCs w:val="22"/>
        </w:rPr>
        <w:t xml:space="preserve">  </w:t>
      </w:r>
      <w:r>
        <w:rPr>
          <w:rFonts w:ascii="宋体" w:eastAsia="宋体" w:hAnsi="宋体" w:cs="宋体"/>
          <w:spacing w:val="-6"/>
          <w:sz w:val="22"/>
          <w:szCs w:val="22"/>
        </w:rPr>
        <w:t>构发生了较大改变，种植业、畜牧业和水产业在农业</w:t>
      </w:r>
      <w:r>
        <w:rPr>
          <w:rFonts w:ascii="宋体" w:eastAsia="宋体" w:hAnsi="宋体" w:cs="宋体"/>
          <w:spacing w:val="-7"/>
          <w:sz w:val="22"/>
          <w:szCs w:val="22"/>
        </w:rPr>
        <w:t>总产值的构成比例分别由</w:t>
      </w:r>
      <w:r>
        <w:rPr>
          <w:rFonts w:ascii="宋体" w:eastAsia="宋体" w:hAnsi="宋体" w:cs="宋体"/>
          <w:sz w:val="22"/>
          <w:szCs w:val="22"/>
        </w:rPr>
        <w:t xml:space="preserve"> </w:t>
      </w:r>
      <w:r>
        <w:rPr>
          <w:rFonts w:ascii="宋体" w:eastAsia="宋体" w:hAnsi="宋体" w:cs="宋体"/>
          <w:spacing w:val="17"/>
          <w:sz w:val="22"/>
          <w:szCs w:val="22"/>
        </w:rPr>
        <w:t>1980年的75.63%、18.42%、1.71%转变为2003年的50.08%、32.</w:t>
      </w:r>
      <w:r>
        <w:rPr>
          <w:rFonts w:ascii="宋体" w:eastAsia="宋体" w:hAnsi="宋体" w:cs="宋体"/>
          <w:spacing w:val="-66"/>
          <w:sz w:val="22"/>
          <w:szCs w:val="22"/>
        </w:rPr>
        <w:t xml:space="preserve"> </w:t>
      </w:r>
      <w:r>
        <w:rPr>
          <w:rFonts w:ascii="宋体" w:eastAsia="宋体" w:hAnsi="宋体" w:cs="宋体"/>
          <w:spacing w:val="17"/>
          <w:sz w:val="22"/>
          <w:szCs w:val="22"/>
        </w:rPr>
        <w:t>13%</w:t>
      </w:r>
      <w:r>
        <w:rPr>
          <w:rFonts w:ascii="宋体" w:eastAsia="宋体" w:hAnsi="宋体" w:cs="宋体"/>
          <w:spacing w:val="16"/>
          <w:sz w:val="22"/>
          <w:szCs w:val="22"/>
        </w:rPr>
        <w:t>、</w:t>
      </w:r>
      <w:r>
        <w:rPr>
          <w:rFonts w:ascii="宋体" w:eastAsia="宋体" w:hAnsi="宋体" w:cs="宋体"/>
          <w:sz w:val="22"/>
          <w:szCs w:val="22"/>
        </w:rPr>
        <w:t xml:space="preserve"> </w:t>
      </w:r>
      <w:r>
        <w:rPr>
          <w:rFonts w:ascii="宋体" w:eastAsia="宋体" w:hAnsi="宋体" w:cs="宋体"/>
          <w:spacing w:val="-7"/>
          <w:sz w:val="22"/>
          <w:szCs w:val="22"/>
        </w:rPr>
        <w:t>10.57%,同时大豆的生产量有较大提高，从而居民的食物结构出现了相应变化，</w:t>
      </w:r>
      <w:r>
        <w:rPr>
          <w:rFonts w:ascii="宋体" w:eastAsia="宋体" w:hAnsi="宋体" w:cs="宋体"/>
          <w:spacing w:val="4"/>
          <w:sz w:val="22"/>
          <w:szCs w:val="22"/>
        </w:rPr>
        <w:t xml:space="preserve"> </w:t>
      </w:r>
      <w:r>
        <w:rPr>
          <w:rFonts w:ascii="宋体" w:eastAsia="宋体" w:hAnsi="宋体" w:cs="宋体"/>
          <w:spacing w:val="3"/>
          <w:sz w:val="22"/>
          <w:szCs w:val="22"/>
        </w:rPr>
        <w:t>更符合营养需求。②选育高产(提高食物产量</w:t>
      </w:r>
      <w:r>
        <w:rPr>
          <w:rFonts w:ascii="宋体" w:eastAsia="宋体" w:hAnsi="宋体" w:cs="宋体"/>
          <w:spacing w:val="2"/>
          <w:sz w:val="22"/>
          <w:szCs w:val="22"/>
        </w:rPr>
        <w:t>)优质(提高营养素含量)的动、</w:t>
      </w:r>
      <w:r>
        <w:rPr>
          <w:rFonts w:ascii="宋体" w:eastAsia="宋体" w:hAnsi="宋体" w:cs="宋体"/>
          <w:sz w:val="22"/>
          <w:szCs w:val="22"/>
        </w:rPr>
        <w:t xml:space="preserve"> </w:t>
      </w:r>
      <w:r>
        <w:rPr>
          <w:rFonts w:ascii="宋体" w:eastAsia="宋体" w:hAnsi="宋体" w:cs="宋体"/>
          <w:spacing w:val="-6"/>
          <w:sz w:val="22"/>
          <w:szCs w:val="22"/>
        </w:rPr>
        <w:t>植物品种。在提高食物产量方面，全国50年来育成并推广主要农作物品种6000</w:t>
      </w:r>
      <w:r>
        <w:rPr>
          <w:rFonts w:ascii="宋体" w:eastAsia="宋体" w:hAnsi="宋体" w:cs="宋体"/>
          <w:spacing w:val="11"/>
          <w:sz w:val="22"/>
          <w:szCs w:val="22"/>
        </w:rPr>
        <w:t xml:space="preserve"> </w:t>
      </w:r>
      <w:r>
        <w:rPr>
          <w:rFonts w:ascii="宋体" w:eastAsia="宋体" w:hAnsi="宋体" w:cs="宋体"/>
          <w:spacing w:val="5"/>
          <w:sz w:val="22"/>
          <w:szCs w:val="22"/>
        </w:rPr>
        <w:t>多个，在全国范围内更新4～6次，每更换一次都增产10%～30%。如1952年</w:t>
      </w:r>
      <w:r>
        <w:rPr>
          <w:rFonts w:ascii="宋体" w:eastAsia="宋体" w:hAnsi="宋体" w:cs="宋体"/>
          <w:spacing w:val="9"/>
          <w:sz w:val="22"/>
          <w:szCs w:val="22"/>
        </w:rPr>
        <w:t xml:space="preserve">  </w:t>
      </w:r>
      <w:r>
        <w:rPr>
          <w:rFonts w:ascii="宋体" w:eastAsia="宋体" w:hAnsi="宋体" w:cs="宋体"/>
          <w:sz w:val="22"/>
          <w:szCs w:val="22"/>
        </w:rPr>
        <w:t>我国粮食作物播种面积12397.9万hm²,</w:t>
      </w:r>
      <w:r>
        <w:rPr>
          <w:rFonts w:ascii="宋体" w:eastAsia="宋体" w:hAnsi="宋体" w:cs="宋体"/>
          <w:spacing w:val="23"/>
          <w:sz w:val="22"/>
          <w:szCs w:val="22"/>
        </w:rPr>
        <w:t xml:space="preserve"> </w:t>
      </w:r>
      <w:r>
        <w:rPr>
          <w:rFonts w:ascii="宋体" w:eastAsia="宋体" w:hAnsi="宋体" w:cs="宋体"/>
          <w:sz w:val="22"/>
          <w:szCs w:val="22"/>
        </w:rPr>
        <w:t>总产量16392万t,</w:t>
      </w:r>
      <w:r>
        <w:rPr>
          <w:rFonts w:ascii="宋体" w:eastAsia="宋体" w:hAnsi="宋体" w:cs="宋体"/>
          <w:spacing w:val="-36"/>
          <w:sz w:val="22"/>
          <w:szCs w:val="22"/>
        </w:rPr>
        <w:t xml:space="preserve"> </w:t>
      </w:r>
      <w:r>
        <w:rPr>
          <w:rFonts w:ascii="宋体" w:eastAsia="宋体" w:hAnsi="宋体" w:cs="宋体"/>
          <w:sz w:val="22"/>
          <w:szCs w:val="22"/>
        </w:rPr>
        <w:t xml:space="preserve">到1999年，全国粮  </w:t>
      </w:r>
      <w:r>
        <w:rPr>
          <w:rFonts w:ascii="宋体" w:eastAsia="宋体" w:hAnsi="宋体" w:cs="宋体"/>
          <w:spacing w:val="3"/>
          <w:sz w:val="22"/>
          <w:szCs w:val="22"/>
        </w:rPr>
        <w:t>食播种面积减少了2.73%,而总产量却增加了</w:t>
      </w:r>
      <w:r>
        <w:rPr>
          <w:rFonts w:ascii="宋体" w:eastAsia="宋体" w:hAnsi="宋体" w:cs="宋体"/>
          <w:spacing w:val="2"/>
          <w:sz w:val="22"/>
          <w:szCs w:val="22"/>
        </w:rPr>
        <w:t>28912.1万t,</w:t>
      </w:r>
      <w:r>
        <w:rPr>
          <w:rFonts w:ascii="宋体" w:eastAsia="宋体" w:hAnsi="宋体" w:cs="宋体"/>
          <w:spacing w:val="-17"/>
          <w:sz w:val="22"/>
          <w:szCs w:val="22"/>
        </w:rPr>
        <w:t xml:space="preserve"> </w:t>
      </w:r>
      <w:r>
        <w:rPr>
          <w:rFonts w:ascii="宋体" w:eastAsia="宋体" w:hAnsi="宋体" w:cs="宋体"/>
          <w:spacing w:val="2"/>
          <w:sz w:val="22"/>
          <w:szCs w:val="22"/>
        </w:rPr>
        <w:t>即增加了1.76倍。</w:t>
      </w:r>
      <w:r>
        <w:rPr>
          <w:rFonts w:ascii="宋体" w:eastAsia="宋体" w:hAnsi="宋体" w:cs="宋体"/>
          <w:sz w:val="22"/>
          <w:szCs w:val="22"/>
        </w:rPr>
        <w:t xml:space="preserve"> </w:t>
      </w:r>
      <w:r>
        <w:rPr>
          <w:rFonts w:ascii="宋体" w:eastAsia="宋体" w:hAnsi="宋体" w:cs="宋体"/>
          <w:spacing w:val="-6"/>
          <w:sz w:val="22"/>
          <w:szCs w:val="22"/>
        </w:rPr>
        <w:t>在提高营养素含量方面，育出了许多高蛋白质含量和高赖氨酸含量的水稻、小</w:t>
      </w:r>
    </w:p>
    <w:p w:rsidR="00EA40A3" w:rsidRDefault="00EA40A3">
      <w:pPr>
        <w:sectPr w:rsidR="00EA40A3">
          <w:footerReference w:type="default" r:id="rId20"/>
          <w:pgSz w:w="9220" w:h="13360"/>
          <w:pgMar w:top="400" w:right="1031" w:bottom="1231" w:left="829" w:header="0" w:footer="1062" w:gutter="0"/>
          <w:cols w:space="720"/>
        </w:sectPr>
      </w:pPr>
    </w:p>
    <w:p w:rsidR="00EA40A3" w:rsidRDefault="00EA40A3">
      <w:pPr>
        <w:spacing w:line="280" w:lineRule="auto"/>
      </w:pPr>
    </w:p>
    <w:p w:rsidR="00EA40A3" w:rsidRDefault="00EA40A3">
      <w:pPr>
        <w:spacing w:line="280" w:lineRule="auto"/>
      </w:pPr>
    </w:p>
    <w:p w:rsidR="00EA40A3" w:rsidRDefault="00E86C16">
      <w:pPr>
        <w:spacing w:before="71" w:line="237" w:lineRule="auto"/>
        <w:ind w:left="110" w:right="121"/>
        <w:rPr>
          <w:rFonts w:ascii="宋体" w:eastAsia="宋体" w:hAnsi="宋体" w:cs="宋体"/>
          <w:sz w:val="22"/>
          <w:szCs w:val="22"/>
        </w:rPr>
      </w:pPr>
      <w:bookmarkStart w:id="6" w:name="_bookmark11"/>
      <w:bookmarkStart w:id="7" w:name="_bookmark10"/>
      <w:bookmarkEnd w:id="6"/>
      <w:bookmarkEnd w:id="7"/>
      <w:r>
        <w:rPr>
          <w:rFonts w:ascii="宋体" w:eastAsia="宋体" w:hAnsi="宋体" w:cs="宋体"/>
          <w:spacing w:val="-7"/>
          <w:sz w:val="22"/>
          <w:szCs w:val="22"/>
        </w:rPr>
        <w:t>麦、玉米品种，高瘦肉率(蛋白含量高)的生猪，高产奶量的奶牛等。③采用适</w:t>
      </w:r>
      <w:r>
        <w:rPr>
          <w:rFonts w:ascii="宋体" w:eastAsia="宋体" w:hAnsi="宋体" w:cs="宋体"/>
          <w:spacing w:val="2"/>
          <w:sz w:val="22"/>
          <w:szCs w:val="22"/>
        </w:rPr>
        <w:t xml:space="preserve"> </w:t>
      </w:r>
      <w:r>
        <w:rPr>
          <w:rFonts w:ascii="宋体" w:eastAsia="宋体" w:hAnsi="宋体" w:cs="宋体"/>
          <w:spacing w:val="-14"/>
          <w:sz w:val="22"/>
          <w:szCs w:val="22"/>
        </w:rPr>
        <w:t>当的种植和养殖技术，提高作物与畜禽水产品的产量和品质。</w:t>
      </w:r>
    </w:p>
    <w:p w:rsidR="00EA40A3" w:rsidRDefault="00E86C16">
      <w:pPr>
        <w:spacing w:before="51" w:line="246" w:lineRule="auto"/>
        <w:ind w:right="20" w:firstLine="519"/>
        <w:jc w:val="both"/>
        <w:rPr>
          <w:rFonts w:ascii="宋体" w:eastAsia="宋体" w:hAnsi="宋体" w:cs="宋体"/>
          <w:sz w:val="22"/>
          <w:szCs w:val="22"/>
        </w:rPr>
      </w:pPr>
      <w:r>
        <w:rPr>
          <w:rFonts w:ascii="宋体" w:eastAsia="宋体" w:hAnsi="宋体" w:cs="宋体"/>
          <w:spacing w:val="-13"/>
          <w:sz w:val="22"/>
          <w:szCs w:val="22"/>
        </w:rPr>
        <w:t>尽管食品营养学理论及居民营养状况对农业的指导作用已有所体现，但在宏</w:t>
      </w:r>
      <w:r>
        <w:rPr>
          <w:rFonts w:ascii="宋体" w:eastAsia="宋体" w:hAnsi="宋体" w:cs="宋体"/>
          <w:spacing w:val="1"/>
          <w:sz w:val="22"/>
          <w:szCs w:val="22"/>
        </w:rPr>
        <w:t xml:space="preserve">  </w:t>
      </w:r>
      <w:r>
        <w:rPr>
          <w:rFonts w:ascii="宋体" w:eastAsia="宋体" w:hAnsi="宋体" w:cs="宋体"/>
          <w:spacing w:val="-7"/>
          <w:sz w:val="22"/>
          <w:szCs w:val="22"/>
        </w:rPr>
        <w:t>观和微观上均显不够。宏观上仍然缺乏根据居民的营养需求对农业</w:t>
      </w:r>
      <w:r>
        <w:rPr>
          <w:rFonts w:ascii="宋体" w:eastAsia="宋体" w:hAnsi="宋体" w:cs="宋体"/>
          <w:spacing w:val="-8"/>
          <w:sz w:val="22"/>
          <w:szCs w:val="22"/>
        </w:rPr>
        <w:t>生产的布局、</w:t>
      </w:r>
      <w:r>
        <w:rPr>
          <w:rFonts w:ascii="宋体" w:eastAsia="宋体" w:hAnsi="宋体" w:cs="宋体"/>
          <w:sz w:val="22"/>
          <w:szCs w:val="22"/>
        </w:rPr>
        <w:t xml:space="preserve"> </w:t>
      </w:r>
      <w:r>
        <w:rPr>
          <w:rFonts w:ascii="宋体" w:eastAsia="宋体" w:hAnsi="宋体" w:cs="宋体"/>
          <w:spacing w:val="-9"/>
          <w:sz w:val="22"/>
          <w:szCs w:val="22"/>
        </w:rPr>
        <w:t>结构、作物种植和畜禽水产养殖规模等方面的指导作用，近几年我国农产品出现</w:t>
      </w:r>
      <w:r>
        <w:rPr>
          <w:rFonts w:ascii="宋体" w:eastAsia="宋体" w:hAnsi="宋体" w:cs="宋体"/>
          <w:spacing w:val="2"/>
          <w:sz w:val="22"/>
          <w:szCs w:val="22"/>
        </w:rPr>
        <w:t xml:space="preserve"> </w:t>
      </w:r>
      <w:r>
        <w:rPr>
          <w:rFonts w:ascii="宋体" w:eastAsia="宋体" w:hAnsi="宋体" w:cs="宋体"/>
          <w:spacing w:val="-9"/>
          <w:sz w:val="22"/>
          <w:szCs w:val="22"/>
        </w:rPr>
        <w:t>“卖难”和损失浪费的现象与此有关。微观上更是缺乏利</w:t>
      </w:r>
      <w:r>
        <w:rPr>
          <w:rFonts w:ascii="宋体" w:eastAsia="宋体" w:hAnsi="宋体" w:cs="宋体"/>
          <w:spacing w:val="-10"/>
          <w:sz w:val="22"/>
          <w:szCs w:val="22"/>
        </w:rPr>
        <w:t>用营养学知识对作物种</w:t>
      </w:r>
      <w:r>
        <w:rPr>
          <w:rFonts w:ascii="宋体" w:eastAsia="宋体" w:hAnsi="宋体" w:cs="宋体"/>
          <w:sz w:val="22"/>
          <w:szCs w:val="22"/>
        </w:rPr>
        <w:t xml:space="preserve"> </w:t>
      </w:r>
      <w:r>
        <w:rPr>
          <w:rFonts w:ascii="宋体" w:eastAsia="宋体" w:hAnsi="宋体" w:cs="宋体"/>
          <w:spacing w:val="-9"/>
          <w:sz w:val="22"/>
          <w:szCs w:val="22"/>
        </w:rPr>
        <w:t>植和畜禽水产养殖过程的指导作用，在种植养殖中一味追求产量的较多，对</w:t>
      </w:r>
      <w:r>
        <w:rPr>
          <w:rFonts w:ascii="宋体" w:eastAsia="宋体" w:hAnsi="宋体" w:cs="宋体"/>
          <w:spacing w:val="-10"/>
          <w:sz w:val="22"/>
          <w:szCs w:val="22"/>
        </w:rPr>
        <w:t>品质</w:t>
      </w:r>
      <w:r>
        <w:rPr>
          <w:rFonts w:ascii="宋体" w:eastAsia="宋体" w:hAnsi="宋体" w:cs="宋体"/>
          <w:sz w:val="22"/>
          <w:szCs w:val="22"/>
        </w:rPr>
        <w:t xml:space="preserve"> </w:t>
      </w:r>
      <w:r>
        <w:rPr>
          <w:rFonts w:ascii="宋体" w:eastAsia="宋体" w:hAnsi="宋体" w:cs="宋体"/>
          <w:spacing w:val="-5"/>
          <w:sz w:val="22"/>
          <w:szCs w:val="22"/>
        </w:rPr>
        <w:t>提高重视的较少。</w:t>
      </w:r>
    </w:p>
    <w:p w:rsidR="00EA40A3" w:rsidRDefault="00E86C16">
      <w:pPr>
        <w:spacing w:before="223" w:line="221" w:lineRule="auto"/>
        <w:ind w:left="113"/>
        <w:outlineLvl w:val="6"/>
        <w:rPr>
          <w:rFonts w:ascii="黑体" w:eastAsia="黑体" w:hAnsi="黑体" w:cs="黑体"/>
          <w:sz w:val="22"/>
          <w:szCs w:val="22"/>
        </w:rPr>
      </w:pPr>
      <w:r>
        <w:rPr>
          <w:rFonts w:ascii="黑体" w:eastAsia="黑体" w:hAnsi="黑体" w:cs="黑体"/>
          <w:b/>
          <w:bCs/>
          <w:spacing w:val="8"/>
          <w:sz w:val="22"/>
          <w:szCs w:val="22"/>
        </w:rPr>
        <w:t>1.3.2</w:t>
      </w:r>
      <w:r>
        <w:rPr>
          <w:rFonts w:ascii="黑体" w:eastAsia="黑体" w:hAnsi="黑体" w:cs="黑体"/>
          <w:spacing w:val="19"/>
          <w:sz w:val="22"/>
          <w:szCs w:val="22"/>
        </w:rPr>
        <w:t xml:space="preserve">   </w:t>
      </w:r>
      <w:r>
        <w:rPr>
          <w:rFonts w:ascii="黑体" w:eastAsia="黑体" w:hAnsi="黑体" w:cs="黑体"/>
          <w:b/>
          <w:bCs/>
          <w:spacing w:val="8"/>
          <w:sz w:val="22"/>
          <w:szCs w:val="22"/>
        </w:rPr>
        <w:t>食品营养与食品工业的关系</w:t>
      </w:r>
    </w:p>
    <w:p w:rsidR="00EA40A3" w:rsidRDefault="00E86C16">
      <w:pPr>
        <w:spacing w:before="199" w:line="244" w:lineRule="auto"/>
        <w:ind w:left="110" w:right="96" w:firstLine="409"/>
        <w:jc w:val="both"/>
        <w:rPr>
          <w:rFonts w:ascii="宋体" w:eastAsia="宋体" w:hAnsi="宋体" w:cs="宋体"/>
          <w:sz w:val="22"/>
          <w:szCs w:val="22"/>
        </w:rPr>
      </w:pPr>
      <w:r>
        <w:rPr>
          <w:rFonts w:ascii="宋体" w:eastAsia="宋体" w:hAnsi="宋体" w:cs="宋体"/>
          <w:spacing w:val="-13"/>
          <w:sz w:val="22"/>
          <w:szCs w:val="22"/>
        </w:rPr>
        <w:t>食品工业是农业的延伸，主要利用农产、畜产和水产等原料加工制造以</w:t>
      </w:r>
      <w:r>
        <w:rPr>
          <w:rFonts w:ascii="宋体" w:eastAsia="宋体" w:hAnsi="宋体" w:cs="宋体"/>
          <w:spacing w:val="-14"/>
          <w:sz w:val="22"/>
          <w:szCs w:val="22"/>
        </w:rPr>
        <w:t>可直</w:t>
      </w:r>
      <w:r>
        <w:rPr>
          <w:rFonts w:ascii="宋体" w:eastAsia="宋体" w:hAnsi="宋体" w:cs="宋体"/>
          <w:sz w:val="22"/>
          <w:szCs w:val="22"/>
        </w:rPr>
        <w:t xml:space="preserve"> </w:t>
      </w:r>
      <w:r>
        <w:rPr>
          <w:rFonts w:ascii="宋体" w:eastAsia="宋体" w:hAnsi="宋体" w:cs="宋体"/>
          <w:spacing w:val="-13"/>
          <w:sz w:val="22"/>
          <w:szCs w:val="22"/>
        </w:rPr>
        <w:t>接食用或饮用成品为主的工业部门，其根本任务是为城乡居民提供形式多样、营</w:t>
      </w:r>
      <w:r>
        <w:rPr>
          <w:rFonts w:ascii="宋体" w:eastAsia="宋体" w:hAnsi="宋体" w:cs="宋体"/>
          <w:spacing w:val="17"/>
          <w:sz w:val="22"/>
          <w:szCs w:val="22"/>
        </w:rPr>
        <w:t xml:space="preserve"> </w:t>
      </w:r>
      <w:r>
        <w:rPr>
          <w:rFonts w:ascii="宋体" w:eastAsia="宋体" w:hAnsi="宋体" w:cs="宋体"/>
          <w:spacing w:val="-13"/>
          <w:sz w:val="22"/>
          <w:szCs w:val="22"/>
        </w:rPr>
        <w:t>养丰富或有一定功能、食用方便、经久耐储的各种食品，因此，食品工业与食品</w:t>
      </w:r>
      <w:r>
        <w:rPr>
          <w:rFonts w:ascii="宋体" w:eastAsia="宋体" w:hAnsi="宋体" w:cs="宋体"/>
          <w:spacing w:val="5"/>
          <w:sz w:val="22"/>
          <w:szCs w:val="22"/>
        </w:rPr>
        <w:t xml:space="preserve"> </w:t>
      </w:r>
      <w:r>
        <w:rPr>
          <w:rFonts w:ascii="宋体" w:eastAsia="宋体" w:hAnsi="宋体" w:cs="宋体"/>
          <w:spacing w:val="-20"/>
          <w:sz w:val="22"/>
          <w:szCs w:val="22"/>
        </w:rPr>
        <w:t>营养息息相关，</w:t>
      </w:r>
    </w:p>
    <w:p w:rsidR="00EA40A3" w:rsidRDefault="00E86C16">
      <w:pPr>
        <w:tabs>
          <w:tab w:val="left" w:pos="7379"/>
        </w:tabs>
        <w:spacing w:before="68" w:line="250" w:lineRule="auto"/>
        <w:ind w:left="110" w:firstLine="409"/>
        <w:jc w:val="both"/>
        <w:rPr>
          <w:rFonts w:ascii="宋体" w:eastAsia="宋体" w:hAnsi="宋体" w:cs="宋体"/>
          <w:sz w:val="22"/>
          <w:szCs w:val="22"/>
        </w:rPr>
      </w:pPr>
      <w:r>
        <w:rPr>
          <w:rFonts w:ascii="宋体" w:eastAsia="宋体" w:hAnsi="宋体" w:cs="宋体"/>
          <w:spacing w:val="-13"/>
          <w:sz w:val="22"/>
          <w:szCs w:val="22"/>
        </w:rPr>
        <w:t>食品工业对食品营养的影响是多方面的：①食品工业的发展对于丰富我国居</w:t>
      </w:r>
      <w:r>
        <w:rPr>
          <w:rFonts w:ascii="宋体" w:eastAsia="宋体" w:hAnsi="宋体" w:cs="宋体"/>
          <w:sz w:val="22"/>
          <w:szCs w:val="22"/>
        </w:rPr>
        <w:t xml:space="preserve">  </w:t>
      </w:r>
      <w:r>
        <w:rPr>
          <w:rFonts w:ascii="宋体" w:eastAsia="宋体" w:hAnsi="宋体" w:cs="宋体"/>
          <w:spacing w:val="-13"/>
          <w:sz w:val="22"/>
          <w:szCs w:val="22"/>
        </w:rPr>
        <w:t>民的食物供应发挥了重要作用。改革开放后，我国食品工业发展</w:t>
      </w:r>
      <w:r>
        <w:rPr>
          <w:rFonts w:ascii="宋体" w:eastAsia="宋体" w:hAnsi="宋体" w:cs="宋体"/>
          <w:spacing w:val="-14"/>
          <w:sz w:val="22"/>
          <w:szCs w:val="22"/>
        </w:rPr>
        <w:t>速度始终快于其</w:t>
      </w:r>
      <w:r>
        <w:rPr>
          <w:rFonts w:ascii="宋体" w:eastAsia="宋体" w:hAnsi="宋体" w:cs="宋体"/>
          <w:sz w:val="22"/>
          <w:szCs w:val="22"/>
        </w:rPr>
        <w:t xml:space="preserve">  </w:t>
      </w:r>
      <w:r>
        <w:rPr>
          <w:rFonts w:ascii="宋体" w:eastAsia="宋体" w:hAnsi="宋体" w:cs="宋体"/>
          <w:spacing w:val="-3"/>
          <w:sz w:val="22"/>
          <w:szCs w:val="22"/>
        </w:rPr>
        <w:t>他行业的平均增长速度，2004年我国食品工业总产值达到16164亿元，约占全</w:t>
      </w:r>
      <w:r>
        <w:rPr>
          <w:rFonts w:ascii="宋体" w:eastAsia="宋体" w:hAnsi="宋体" w:cs="宋体"/>
          <w:spacing w:val="1"/>
          <w:sz w:val="22"/>
          <w:szCs w:val="22"/>
        </w:rPr>
        <w:t xml:space="preserve">  </w:t>
      </w:r>
      <w:r>
        <w:rPr>
          <w:rFonts w:ascii="宋体" w:eastAsia="宋体" w:hAnsi="宋体" w:cs="宋体"/>
          <w:spacing w:val="6"/>
          <w:sz w:val="22"/>
          <w:szCs w:val="22"/>
        </w:rPr>
        <w:t>国工业总产值的10%,与农业产值的比值约为0.</w:t>
      </w:r>
      <w:r>
        <w:rPr>
          <w:rFonts w:ascii="宋体" w:eastAsia="宋体" w:hAnsi="宋体" w:cs="宋体"/>
          <w:spacing w:val="5"/>
          <w:sz w:val="22"/>
          <w:szCs w:val="22"/>
        </w:rPr>
        <w:t>5:1,加工比例约占农产品总</w:t>
      </w:r>
      <w:r>
        <w:rPr>
          <w:rFonts w:ascii="宋体" w:eastAsia="宋体" w:hAnsi="宋体" w:cs="宋体"/>
          <w:sz w:val="22"/>
          <w:szCs w:val="22"/>
        </w:rPr>
        <w:t xml:space="preserve">  量30%,所生产的食品达几十大类，品种数以万计。总体</w:t>
      </w:r>
      <w:r>
        <w:rPr>
          <w:rFonts w:ascii="宋体" w:eastAsia="宋体" w:hAnsi="宋体" w:cs="宋体"/>
          <w:spacing w:val="-1"/>
          <w:sz w:val="22"/>
          <w:szCs w:val="22"/>
        </w:rPr>
        <w:t>上，居民所消费的食</w:t>
      </w:r>
      <w:r>
        <w:rPr>
          <w:rFonts w:ascii="宋体" w:eastAsia="宋体" w:hAnsi="宋体" w:cs="宋体"/>
          <w:sz w:val="22"/>
          <w:szCs w:val="22"/>
        </w:rPr>
        <w:t xml:space="preserve">  物中约20%～30%为加工食品。②食品工业的发展对于保</w:t>
      </w:r>
      <w:r>
        <w:rPr>
          <w:rFonts w:ascii="宋体" w:eastAsia="宋体" w:hAnsi="宋体" w:cs="宋体"/>
          <w:spacing w:val="-1"/>
          <w:sz w:val="22"/>
          <w:szCs w:val="22"/>
        </w:rPr>
        <w:t>证食品均衡供应和稳</w:t>
      </w:r>
      <w:r>
        <w:rPr>
          <w:rFonts w:ascii="宋体" w:eastAsia="宋体" w:hAnsi="宋体" w:cs="宋体"/>
          <w:sz w:val="22"/>
          <w:szCs w:val="22"/>
        </w:rPr>
        <w:t xml:space="preserve">  </w:t>
      </w:r>
      <w:r>
        <w:rPr>
          <w:rFonts w:ascii="宋体" w:eastAsia="宋体" w:hAnsi="宋体" w:cs="宋体"/>
          <w:spacing w:val="-13"/>
          <w:sz w:val="22"/>
          <w:szCs w:val="22"/>
        </w:rPr>
        <w:t>定居民的膳食结构发挥了重要作用。由于农业生产的区域性和季节性强，常依靠</w:t>
      </w:r>
      <w:r>
        <w:rPr>
          <w:rFonts w:ascii="宋体" w:eastAsia="宋体" w:hAnsi="宋体" w:cs="宋体"/>
          <w:spacing w:val="6"/>
          <w:sz w:val="22"/>
          <w:szCs w:val="22"/>
        </w:rPr>
        <w:t xml:space="preserve">  </w:t>
      </w:r>
      <w:r>
        <w:rPr>
          <w:rFonts w:ascii="宋体" w:eastAsia="宋体" w:hAnsi="宋体" w:cs="宋体"/>
          <w:spacing w:val="-12"/>
          <w:sz w:val="22"/>
          <w:szCs w:val="22"/>
        </w:rPr>
        <w:t>加工食品来调节市场供应。例如，牛奶主要产地在内蒙</w:t>
      </w:r>
      <w:r>
        <w:rPr>
          <w:rFonts w:ascii="宋体" w:eastAsia="宋体" w:hAnsi="宋体" w:cs="宋体"/>
          <w:spacing w:val="-13"/>
          <w:sz w:val="22"/>
          <w:szCs w:val="22"/>
        </w:rPr>
        <w:t>古和黑龙江等省区，在当</w:t>
      </w:r>
      <w:r>
        <w:rPr>
          <w:rFonts w:ascii="宋体" w:eastAsia="宋体" w:hAnsi="宋体" w:cs="宋体"/>
          <w:sz w:val="22"/>
          <w:szCs w:val="22"/>
        </w:rPr>
        <w:t xml:space="preserve">  </w:t>
      </w:r>
      <w:r>
        <w:rPr>
          <w:rFonts w:ascii="宋体" w:eastAsia="宋体" w:hAnsi="宋体" w:cs="宋体"/>
          <w:spacing w:val="-13"/>
          <w:sz w:val="22"/>
          <w:szCs w:val="22"/>
        </w:rPr>
        <w:t>地通过加工成各种成品奶后供应全国各地。③食品工业的发展对于预防营养缺乏</w:t>
      </w:r>
      <w:r>
        <w:rPr>
          <w:rFonts w:ascii="宋体" w:eastAsia="宋体" w:hAnsi="宋体" w:cs="宋体"/>
          <w:spacing w:val="6"/>
          <w:sz w:val="22"/>
          <w:szCs w:val="22"/>
        </w:rPr>
        <w:t xml:space="preserve">  </w:t>
      </w:r>
      <w:r>
        <w:rPr>
          <w:rFonts w:ascii="宋体" w:eastAsia="宋体" w:hAnsi="宋体" w:cs="宋体"/>
          <w:spacing w:val="-13"/>
          <w:sz w:val="22"/>
          <w:szCs w:val="22"/>
        </w:rPr>
        <w:t>症和慢性病更有针对性。营养强化食品、适合不同人群的食品、保健食品都是根</w:t>
      </w:r>
      <w:r>
        <w:rPr>
          <w:rFonts w:ascii="宋体" w:eastAsia="宋体" w:hAnsi="宋体" w:cs="宋体"/>
          <w:spacing w:val="6"/>
          <w:sz w:val="22"/>
          <w:szCs w:val="22"/>
        </w:rPr>
        <w:t xml:space="preserve">  </w:t>
      </w:r>
      <w:r>
        <w:rPr>
          <w:rFonts w:ascii="宋体" w:eastAsia="宋体" w:hAnsi="宋体" w:cs="宋体"/>
          <w:spacing w:val="-10"/>
          <w:sz w:val="22"/>
          <w:szCs w:val="22"/>
        </w:rPr>
        <w:t>据居民营养实际状况设计生产的。④食品加工对食品的营养价值具有双重影响。</w:t>
      </w:r>
      <w:r>
        <w:rPr>
          <w:rFonts w:ascii="宋体" w:eastAsia="宋体" w:hAnsi="宋体" w:cs="宋体"/>
          <w:spacing w:val="8"/>
          <w:sz w:val="22"/>
          <w:szCs w:val="22"/>
        </w:rPr>
        <w:t xml:space="preserve"> </w:t>
      </w:r>
      <w:r>
        <w:rPr>
          <w:rFonts w:ascii="宋体" w:eastAsia="宋体" w:hAnsi="宋体" w:cs="宋体"/>
          <w:spacing w:val="-13"/>
          <w:sz w:val="22"/>
          <w:szCs w:val="22"/>
        </w:rPr>
        <w:t>一方面在某些情况下产生有益作用，如淀粉的糊化、蛋白质的变性可使其变得更</w:t>
      </w:r>
      <w:r>
        <w:rPr>
          <w:rFonts w:ascii="宋体" w:eastAsia="宋体" w:hAnsi="宋体" w:cs="宋体"/>
          <w:spacing w:val="6"/>
          <w:sz w:val="22"/>
          <w:szCs w:val="22"/>
        </w:rPr>
        <w:t xml:space="preserve">  </w:t>
      </w:r>
      <w:r>
        <w:rPr>
          <w:rFonts w:ascii="宋体" w:eastAsia="宋体" w:hAnsi="宋体" w:cs="宋体"/>
          <w:spacing w:val="-13"/>
          <w:sz w:val="22"/>
          <w:szCs w:val="22"/>
        </w:rPr>
        <w:t>易于消化、吸收，提高营养价值；加热可破坏豆类中某些抗营养因子，提高豆类</w:t>
      </w:r>
      <w:r>
        <w:rPr>
          <w:rFonts w:ascii="宋体" w:eastAsia="宋体" w:hAnsi="宋体" w:cs="宋体"/>
          <w:spacing w:val="6"/>
          <w:sz w:val="22"/>
          <w:szCs w:val="22"/>
        </w:rPr>
        <w:t xml:space="preserve">  </w:t>
      </w:r>
      <w:r>
        <w:rPr>
          <w:rFonts w:ascii="宋体" w:eastAsia="宋体" w:hAnsi="宋体" w:cs="宋体"/>
          <w:spacing w:val="-13"/>
          <w:sz w:val="22"/>
          <w:szCs w:val="22"/>
        </w:rPr>
        <w:t>的营养价值。另一方面在某些情况下产生不利影响，导致一些营养素的损失或破</w:t>
      </w:r>
      <w:r>
        <w:rPr>
          <w:rFonts w:ascii="宋体" w:eastAsia="宋体" w:hAnsi="宋体" w:cs="宋体"/>
          <w:spacing w:val="6"/>
          <w:sz w:val="22"/>
          <w:szCs w:val="22"/>
        </w:rPr>
        <w:t xml:space="preserve">  </w:t>
      </w:r>
      <w:r>
        <w:rPr>
          <w:rFonts w:ascii="宋体" w:eastAsia="宋体" w:hAnsi="宋体" w:cs="宋体"/>
          <w:spacing w:val="-13"/>
          <w:sz w:val="22"/>
          <w:szCs w:val="22"/>
        </w:rPr>
        <w:t>坏，如热烫会造成部分食品中水溶性维生素的流失；加热杀菌会导</w:t>
      </w:r>
      <w:r>
        <w:rPr>
          <w:rFonts w:ascii="宋体" w:eastAsia="宋体" w:hAnsi="宋体" w:cs="宋体"/>
          <w:spacing w:val="-14"/>
          <w:sz w:val="22"/>
          <w:szCs w:val="22"/>
        </w:rPr>
        <w:t>致食品中维生</w:t>
      </w:r>
      <w:r>
        <w:rPr>
          <w:rFonts w:ascii="宋体" w:eastAsia="宋体" w:hAnsi="宋体" w:cs="宋体"/>
          <w:sz w:val="22"/>
          <w:szCs w:val="22"/>
        </w:rPr>
        <w:t xml:space="preserve">  </w:t>
      </w:r>
      <w:r>
        <w:rPr>
          <w:rFonts w:ascii="宋体" w:eastAsia="宋体" w:hAnsi="宋体" w:cs="宋体"/>
          <w:spacing w:val="-6"/>
          <w:sz w:val="22"/>
          <w:szCs w:val="22"/>
        </w:rPr>
        <w:t>素C</w:t>
      </w:r>
      <w:r>
        <w:rPr>
          <w:rFonts w:ascii="宋体" w:eastAsia="宋体" w:hAnsi="宋体" w:cs="宋体"/>
          <w:spacing w:val="-18"/>
          <w:sz w:val="22"/>
          <w:szCs w:val="22"/>
        </w:rPr>
        <w:t xml:space="preserve"> </w:t>
      </w:r>
      <w:r>
        <w:rPr>
          <w:rFonts w:ascii="宋体" w:eastAsia="宋体" w:hAnsi="宋体" w:cs="宋体"/>
          <w:spacing w:val="-6"/>
          <w:sz w:val="22"/>
          <w:szCs w:val="22"/>
        </w:rPr>
        <w:t>等热敏性成分的破坏；若加工不当还可能造成某些危害，如一些富含淀粉</w:t>
      </w:r>
      <w:r>
        <w:rPr>
          <w:rFonts w:ascii="宋体" w:eastAsia="宋体" w:hAnsi="宋体" w:cs="宋体"/>
          <w:sz w:val="22"/>
          <w:szCs w:val="22"/>
        </w:rPr>
        <w:t xml:space="preserve">  </w:t>
      </w:r>
      <w:r>
        <w:rPr>
          <w:rFonts w:ascii="宋体" w:eastAsia="宋体" w:hAnsi="宋体" w:cs="宋体"/>
          <w:spacing w:val="-12"/>
          <w:sz w:val="22"/>
          <w:szCs w:val="22"/>
        </w:rPr>
        <w:t>类的食品在高温加工过程中易产生一种有毒的、存在潜在致癌性的化学物</w:t>
      </w:r>
      <w:r>
        <w:rPr>
          <w:rFonts w:ascii="宋体" w:eastAsia="宋体" w:hAnsi="宋体" w:cs="宋体"/>
          <w:spacing w:val="-13"/>
          <w:sz w:val="22"/>
          <w:szCs w:val="22"/>
        </w:rPr>
        <w:t>质</w:t>
      </w:r>
      <w:r>
        <w:rPr>
          <w:rFonts w:ascii="宋体" w:eastAsia="宋体" w:hAnsi="宋体" w:cs="宋体"/>
          <w:sz w:val="22"/>
          <w:szCs w:val="22"/>
          <w:u w:val="single"/>
        </w:rPr>
        <w:tab/>
      </w:r>
      <w:r>
        <w:rPr>
          <w:rFonts w:ascii="宋体" w:eastAsia="宋体" w:hAnsi="宋体" w:cs="宋体"/>
          <w:sz w:val="22"/>
          <w:szCs w:val="22"/>
        </w:rPr>
        <w:t xml:space="preserve"> </w:t>
      </w:r>
      <w:r>
        <w:rPr>
          <w:rFonts w:ascii="宋体" w:eastAsia="宋体" w:hAnsi="宋体" w:cs="宋体"/>
          <w:spacing w:val="-18"/>
          <w:sz w:val="22"/>
          <w:szCs w:val="22"/>
        </w:rPr>
        <w:t>丙烯酰胺。</w:t>
      </w:r>
    </w:p>
    <w:p w:rsidR="00EA40A3" w:rsidRDefault="00E86C16">
      <w:pPr>
        <w:spacing w:before="136" w:line="244" w:lineRule="auto"/>
        <w:ind w:left="110" w:right="97" w:firstLine="409"/>
        <w:jc w:val="both"/>
        <w:rPr>
          <w:rFonts w:ascii="宋体" w:eastAsia="宋体" w:hAnsi="宋体" w:cs="宋体"/>
          <w:sz w:val="22"/>
          <w:szCs w:val="22"/>
        </w:rPr>
      </w:pPr>
      <w:r>
        <w:rPr>
          <w:rFonts w:ascii="宋体" w:eastAsia="宋体" w:hAnsi="宋体" w:cs="宋体"/>
          <w:spacing w:val="-13"/>
          <w:sz w:val="22"/>
          <w:szCs w:val="22"/>
        </w:rPr>
        <w:t>食品工业包括从制定食品工业发展规划到具体设计食品类型及配方、确定食</w:t>
      </w:r>
      <w:r>
        <w:rPr>
          <w:rFonts w:ascii="宋体" w:eastAsia="宋体" w:hAnsi="宋体" w:cs="宋体"/>
          <w:spacing w:val="17"/>
          <w:sz w:val="22"/>
          <w:szCs w:val="22"/>
        </w:rPr>
        <w:t xml:space="preserve"> </w:t>
      </w:r>
      <w:r>
        <w:rPr>
          <w:rFonts w:ascii="宋体" w:eastAsia="宋体" w:hAnsi="宋体" w:cs="宋体"/>
          <w:spacing w:val="-13"/>
          <w:sz w:val="22"/>
          <w:szCs w:val="22"/>
        </w:rPr>
        <w:t>品工艺等各个方面，均离不开食品营养学理论的指导和以居民食物营养状况为依</w:t>
      </w:r>
      <w:r>
        <w:rPr>
          <w:rFonts w:ascii="宋体" w:eastAsia="宋体" w:hAnsi="宋体" w:cs="宋体"/>
          <w:spacing w:val="16"/>
          <w:sz w:val="22"/>
          <w:szCs w:val="22"/>
        </w:rPr>
        <w:t xml:space="preserve"> </w:t>
      </w:r>
      <w:r>
        <w:rPr>
          <w:rFonts w:ascii="宋体" w:eastAsia="宋体" w:hAnsi="宋体" w:cs="宋体"/>
          <w:spacing w:val="-13"/>
          <w:sz w:val="22"/>
          <w:szCs w:val="22"/>
        </w:rPr>
        <w:t>据。我国食品工业之所以有快速的发展，并且能在保障居民食物供应和改善膳食</w:t>
      </w:r>
      <w:r>
        <w:rPr>
          <w:rFonts w:ascii="宋体" w:eastAsia="宋体" w:hAnsi="宋体" w:cs="宋体"/>
          <w:spacing w:val="13"/>
          <w:sz w:val="22"/>
          <w:szCs w:val="22"/>
        </w:rPr>
        <w:t xml:space="preserve"> </w:t>
      </w:r>
      <w:r>
        <w:rPr>
          <w:rFonts w:ascii="宋体" w:eastAsia="宋体" w:hAnsi="宋体" w:cs="宋体"/>
          <w:spacing w:val="-14"/>
          <w:sz w:val="22"/>
          <w:szCs w:val="22"/>
        </w:rPr>
        <w:t>营养状况中做出重要贡献，与营养学密切相关。今后还需以营养学为指导，进-</w:t>
      </w:r>
    </w:p>
    <w:p w:rsidR="00EA40A3" w:rsidRDefault="00E86C16">
      <w:pPr>
        <w:spacing w:before="81"/>
        <w:ind w:left="110"/>
        <w:rPr>
          <w:rFonts w:ascii="宋体" w:eastAsia="宋体" w:hAnsi="宋体" w:cs="宋体"/>
          <w:sz w:val="15"/>
          <w:szCs w:val="15"/>
        </w:rPr>
      </w:pPr>
      <w:r>
        <w:rPr>
          <w:rFonts w:ascii="宋体" w:eastAsia="宋体" w:hAnsi="宋体" w:cs="宋体"/>
          <w:spacing w:val="-22"/>
          <w:sz w:val="15"/>
          <w:szCs w:val="15"/>
        </w:rPr>
        <w:t>·</w:t>
      </w:r>
      <w:r>
        <w:rPr>
          <w:rFonts w:ascii="宋体" w:eastAsia="宋体" w:hAnsi="宋体" w:cs="宋体"/>
          <w:spacing w:val="7"/>
          <w:sz w:val="15"/>
          <w:szCs w:val="15"/>
        </w:rPr>
        <w:t xml:space="preserve"> </w:t>
      </w:r>
      <w:r>
        <w:rPr>
          <w:rFonts w:ascii="宋体" w:eastAsia="宋体" w:hAnsi="宋体" w:cs="宋体"/>
          <w:spacing w:val="-22"/>
          <w:sz w:val="15"/>
          <w:szCs w:val="15"/>
        </w:rPr>
        <w:t>8</w:t>
      </w:r>
      <w:r>
        <w:rPr>
          <w:rFonts w:ascii="宋体" w:eastAsia="宋体" w:hAnsi="宋体" w:cs="宋体"/>
          <w:spacing w:val="57"/>
          <w:w w:val="101"/>
          <w:sz w:val="15"/>
          <w:szCs w:val="15"/>
        </w:rPr>
        <w:t xml:space="preserve"> </w:t>
      </w:r>
      <w:r>
        <w:rPr>
          <w:rFonts w:ascii="宋体" w:eastAsia="宋体" w:hAnsi="宋体" w:cs="宋体"/>
          <w:spacing w:val="-22"/>
          <w:sz w:val="15"/>
          <w:szCs w:val="15"/>
        </w:rPr>
        <w:t>·</w:t>
      </w:r>
    </w:p>
    <w:p w:rsidR="00EA40A3" w:rsidRDefault="00EA40A3">
      <w:pPr>
        <w:sectPr w:rsidR="00EA40A3">
          <w:footerReference w:type="default" r:id="rId21"/>
          <w:pgSz w:w="9220" w:h="13360"/>
          <w:pgMar w:top="400" w:right="999" w:bottom="400" w:left="750" w:header="0" w:footer="0" w:gutter="0"/>
          <w:cols w:space="720"/>
        </w:sectPr>
      </w:pPr>
    </w:p>
    <w:p w:rsidR="00EA40A3" w:rsidRDefault="00EA40A3">
      <w:pPr>
        <w:spacing w:line="320" w:lineRule="auto"/>
      </w:pPr>
    </w:p>
    <w:p w:rsidR="00EA40A3" w:rsidRDefault="00EA40A3">
      <w:pPr>
        <w:spacing w:line="320" w:lineRule="auto"/>
      </w:pPr>
    </w:p>
    <w:p w:rsidR="00EA40A3" w:rsidRDefault="00E86C16">
      <w:pPr>
        <w:spacing w:before="75" w:line="238" w:lineRule="auto"/>
        <w:ind w:left="114" w:right="105"/>
        <w:jc w:val="both"/>
        <w:rPr>
          <w:rFonts w:ascii="宋体" w:eastAsia="宋体" w:hAnsi="宋体" w:cs="宋体"/>
          <w:sz w:val="23"/>
          <w:szCs w:val="23"/>
        </w:rPr>
      </w:pPr>
      <w:r>
        <w:rPr>
          <w:rFonts w:ascii="宋体" w:eastAsia="宋体" w:hAnsi="宋体" w:cs="宋体"/>
          <w:spacing w:val="-23"/>
          <w:sz w:val="23"/>
          <w:szCs w:val="23"/>
        </w:rPr>
        <w:t>步调整与优化食品工业结构；重点发展乳品、大豆、肉类、水产加工业，增加优</w:t>
      </w:r>
      <w:r>
        <w:rPr>
          <w:rFonts w:ascii="宋体" w:eastAsia="宋体" w:hAnsi="宋体" w:cs="宋体"/>
          <w:spacing w:val="12"/>
          <w:sz w:val="23"/>
          <w:szCs w:val="23"/>
        </w:rPr>
        <w:t xml:space="preserve"> </w:t>
      </w:r>
      <w:r>
        <w:rPr>
          <w:rFonts w:ascii="宋体" w:eastAsia="宋体" w:hAnsi="宋体" w:cs="宋体"/>
          <w:spacing w:val="-23"/>
          <w:sz w:val="23"/>
          <w:szCs w:val="23"/>
        </w:rPr>
        <w:t>质蛋白质的供应；采用高新技术，设计和生产各种食品，最大限度保存和提高食</w:t>
      </w:r>
      <w:r>
        <w:rPr>
          <w:rFonts w:ascii="宋体" w:eastAsia="宋体" w:hAnsi="宋体" w:cs="宋体"/>
          <w:spacing w:val="13"/>
          <w:sz w:val="23"/>
          <w:szCs w:val="23"/>
        </w:rPr>
        <w:t xml:space="preserve"> </w:t>
      </w:r>
      <w:r>
        <w:rPr>
          <w:rFonts w:ascii="宋体" w:eastAsia="宋体" w:hAnsi="宋体" w:cs="宋体"/>
          <w:spacing w:val="-24"/>
          <w:sz w:val="23"/>
          <w:szCs w:val="23"/>
        </w:rPr>
        <w:t>品的营养价值，满足各类人群的营养需要。</w:t>
      </w:r>
    </w:p>
    <w:p w:rsidR="00EA40A3" w:rsidRDefault="00E86C16">
      <w:pPr>
        <w:spacing w:before="312" w:line="219" w:lineRule="auto"/>
        <w:ind w:left="2505"/>
        <w:rPr>
          <w:rFonts w:ascii="宋体" w:eastAsia="宋体" w:hAnsi="宋体" w:cs="宋体"/>
          <w:sz w:val="28"/>
          <w:szCs w:val="28"/>
        </w:rPr>
      </w:pPr>
      <w:r>
        <w:rPr>
          <w:rFonts w:ascii="宋体" w:eastAsia="宋体" w:hAnsi="宋体" w:cs="宋体"/>
          <w:spacing w:val="-5"/>
          <w:sz w:val="28"/>
          <w:szCs w:val="28"/>
        </w:rPr>
        <w:t>1.4</w:t>
      </w:r>
      <w:r>
        <w:rPr>
          <w:rFonts w:ascii="宋体" w:eastAsia="宋体" w:hAnsi="宋体" w:cs="宋体"/>
          <w:spacing w:val="1"/>
          <w:sz w:val="28"/>
          <w:szCs w:val="28"/>
        </w:rPr>
        <w:t xml:space="preserve">  </w:t>
      </w:r>
      <w:r>
        <w:rPr>
          <w:rFonts w:ascii="宋体" w:eastAsia="宋体" w:hAnsi="宋体" w:cs="宋体"/>
          <w:spacing w:val="-5"/>
          <w:sz w:val="28"/>
          <w:szCs w:val="28"/>
        </w:rPr>
        <w:t>营养学发展概况</w:t>
      </w:r>
    </w:p>
    <w:p w:rsidR="00EA40A3" w:rsidRDefault="00E86C16">
      <w:pPr>
        <w:spacing w:before="170" w:line="221" w:lineRule="auto"/>
        <w:ind w:left="118"/>
        <w:outlineLvl w:val="6"/>
        <w:rPr>
          <w:rFonts w:ascii="黑体" w:eastAsia="黑体" w:hAnsi="黑体" w:cs="黑体"/>
          <w:sz w:val="23"/>
          <w:szCs w:val="23"/>
        </w:rPr>
      </w:pPr>
      <w:r>
        <w:rPr>
          <w:rFonts w:ascii="黑体" w:eastAsia="黑体" w:hAnsi="黑体" w:cs="黑体"/>
          <w:b/>
          <w:bCs/>
          <w:sz w:val="23"/>
          <w:szCs w:val="23"/>
        </w:rPr>
        <w:t>1.4.1</w:t>
      </w:r>
      <w:r>
        <w:rPr>
          <w:rFonts w:ascii="黑体" w:eastAsia="黑体" w:hAnsi="黑体" w:cs="黑体"/>
          <w:spacing w:val="38"/>
          <w:sz w:val="23"/>
          <w:szCs w:val="23"/>
        </w:rPr>
        <w:t xml:space="preserve">  </w:t>
      </w:r>
      <w:r>
        <w:rPr>
          <w:rFonts w:ascii="黑体" w:eastAsia="黑体" w:hAnsi="黑体" w:cs="黑体"/>
          <w:b/>
          <w:bCs/>
          <w:sz w:val="23"/>
          <w:szCs w:val="23"/>
        </w:rPr>
        <w:t>营养学发展简史</w:t>
      </w:r>
    </w:p>
    <w:p w:rsidR="00EA40A3" w:rsidRDefault="00E86C16">
      <w:pPr>
        <w:spacing w:before="167" w:line="239" w:lineRule="auto"/>
        <w:ind w:firstLine="575"/>
        <w:jc w:val="both"/>
        <w:rPr>
          <w:rFonts w:ascii="宋体" w:eastAsia="宋体" w:hAnsi="宋体" w:cs="宋体"/>
          <w:sz w:val="23"/>
          <w:szCs w:val="23"/>
        </w:rPr>
      </w:pPr>
      <w:r>
        <w:rPr>
          <w:rFonts w:ascii="宋体" w:eastAsia="宋体" w:hAnsi="宋体" w:cs="宋体"/>
          <w:spacing w:val="-16"/>
          <w:sz w:val="23"/>
          <w:szCs w:val="23"/>
        </w:rPr>
        <w:t>营养学源远流长。约3000年前的西周时期，官方医政</w:t>
      </w:r>
      <w:r>
        <w:rPr>
          <w:rFonts w:ascii="宋体" w:eastAsia="宋体" w:hAnsi="宋体" w:cs="宋体"/>
          <w:spacing w:val="-17"/>
          <w:sz w:val="23"/>
          <w:szCs w:val="23"/>
        </w:rPr>
        <w:t>制度中设有食医，列</w:t>
      </w:r>
      <w:r>
        <w:rPr>
          <w:rFonts w:ascii="宋体" w:eastAsia="宋体" w:hAnsi="宋体" w:cs="宋体"/>
          <w:sz w:val="23"/>
          <w:szCs w:val="23"/>
        </w:rPr>
        <w:t xml:space="preserve">  </w:t>
      </w:r>
      <w:r>
        <w:rPr>
          <w:rFonts w:ascii="宋体" w:eastAsia="宋体" w:hAnsi="宋体" w:cs="宋体"/>
          <w:spacing w:val="-19"/>
          <w:sz w:val="23"/>
          <w:szCs w:val="23"/>
        </w:rPr>
        <w:t>众医之首。《周礼</w:t>
      </w:r>
      <w:r>
        <w:rPr>
          <w:rFonts w:ascii="宋体" w:eastAsia="宋体" w:hAnsi="宋体" w:cs="宋体"/>
          <w:spacing w:val="-21"/>
          <w:sz w:val="23"/>
          <w:szCs w:val="23"/>
        </w:rPr>
        <w:t xml:space="preserve"> </w:t>
      </w:r>
      <w:r>
        <w:rPr>
          <w:rFonts w:ascii="宋体" w:eastAsia="宋体" w:hAnsi="宋体" w:cs="宋体"/>
          <w:spacing w:val="-19"/>
          <w:sz w:val="23"/>
          <w:szCs w:val="23"/>
        </w:rPr>
        <w:t>·天官冢宰》中记载有“食医，掌和王之六食、六饮、六膳、</w:t>
      </w:r>
      <w:r>
        <w:rPr>
          <w:rFonts w:ascii="宋体" w:eastAsia="宋体" w:hAnsi="宋体" w:cs="宋体"/>
          <w:sz w:val="23"/>
          <w:szCs w:val="23"/>
        </w:rPr>
        <w:t xml:space="preserve"> </w:t>
      </w:r>
      <w:r>
        <w:rPr>
          <w:rFonts w:ascii="宋体" w:eastAsia="宋体" w:hAnsi="宋体" w:cs="宋体"/>
          <w:spacing w:val="-21"/>
          <w:sz w:val="23"/>
          <w:szCs w:val="23"/>
        </w:rPr>
        <w:t>百馐、百酱、八珍之齐”,说明了食医的要责。中医理论典籍</w:t>
      </w:r>
      <w:r>
        <w:rPr>
          <w:rFonts w:ascii="宋体" w:eastAsia="宋体" w:hAnsi="宋体" w:cs="宋体"/>
          <w:spacing w:val="-22"/>
          <w:sz w:val="23"/>
          <w:szCs w:val="23"/>
        </w:rPr>
        <w:t>《黄帝内经</w:t>
      </w:r>
      <w:r>
        <w:rPr>
          <w:rFonts w:ascii="宋体" w:eastAsia="宋体" w:hAnsi="宋体" w:cs="宋体"/>
          <w:spacing w:val="-36"/>
          <w:sz w:val="23"/>
          <w:szCs w:val="23"/>
        </w:rPr>
        <w:t xml:space="preserve"> </w:t>
      </w:r>
      <w:r>
        <w:rPr>
          <w:rFonts w:ascii="宋体" w:eastAsia="宋体" w:hAnsi="宋体" w:cs="宋体"/>
          <w:spacing w:val="-22"/>
          <w:sz w:val="23"/>
          <w:szCs w:val="23"/>
        </w:rPr>
        <w:t>·素问》</w:t>
      </w:r>
      <w:r>
        <w:rPr>
          <w:rFonts w:ascii="宋体" w:eastAsia="宋体" w:hAnsi="宋体" w:cs="宋体"/>
          <w:sz w:val="23"/>
          <w:szCs w:val="23"/>
        </w:rPr>
        <w:t xml:space="preserve"> </w:t>
      </w:r>
      <w:r>
        <w:rPr>
          <w:rFonts w:ascii="宋体" w:eastAsia="宋体" w:hAnsi="宋体" w:cs="宋体"/>
          <w:spacing w:val="-20"/>
          <w:sz w:val="23"/>
          <w:szCs w:val="23"/>
        </w:rPr>
        <w:t>就更全面系统地阐述了食物营养的重要意义，提出了“五谷为养、五果为助、五</w:t>
      </w:r>
      <w:r>
        <w:rPr>
          <w:rFonts w:ascii="宋体" w:eastAsia="宋体" w:hAnsi="宋体" w:cs="宋体"/>
          <w:spacing w:val="1"/>
          <w:sz w:val="23"/>
          <w:szCs w:val="23"/>
        </w:rPr>
        <w:t xml:space="preserve">  </w:t>
      </w:r>
      <w:r>
        <w:rPr>
          <w:rFonts w:ascii="宋体" w:eastAsia="宋体" w:hAnsi="宋体" w:cs="宋体"/>
          <w:spacing w:val="-17"/>
          <w:sz w:val="23"/>
          <w:szCs w:val="23"/>
        </w:rPr>
        <w:t>畜为益、五菜为充”的平衡膳食模式，成为世界上最早最全面的“膳食指南”,</w:t>
      </w:r>
      <w:r>
        <w:rPr>
          <w:rFonts w:ascii="宋体" w:eastAsia="宋体" w:hAnsi="宋体" w:cs="宋体"/>
          <w:spacing w:val="4"/>
          <w:sz w:val="23"/>
          <w:szCs w:val="23"/>
        </w:rPr>
        <w:t xml:space="preserve">  </w:t>
      </w:r>
      <w:r>
        <w:rPr>
          <w:rFonts w:ascii="宋体" w:eastAsia="宋体" w:hAnsi="宋体" w:cs="宋体"/>
          <w:spacing w:val="-23"/>
          <w:sz w:val="23"/>
          <w:szCs w:val="23"/>
        </w:rPr>
        <w:t>至今仍有重要价值。在东汉时期，《神农本草经》中有</w:t>
      </w:r>
      <w:r>
        <w:rPr>
          <w:rFonts w:ascii="宋体" w:eastAsia="宋体" w:hAnsi="宋体" w:cs="宋体"/>
          <w:spacing w:val="-24"/>
          <w:sz w:val="23"/>
          <w:szCs w:val="23"/>
        </w:rPr>
        <w:t>“海藻疗瘿”的具体描述。</w:t>
      </w:r>
      <w:r>
        <w:rPr>
          <w:rFonts w:ascii="宋体" w:eastAsia="宋体" w:hAnsi="宋体" w:cs="宋体"/>
          <w:sz w:val="23"/>
          <w:szCs w:val="23"/>
        </w:rPr>
        <w:t xml:space="preserve"> </w:t>
      </w:r>
      <w:r>
        <w:rPr>
          <w:rFonts w:ascii="宋体" w:eastAsia="宋体" w:hAnsi="宋体" w:cs="宋体"/>
          <w:spacing w:val="-9"/>
          <w:sz w:val="23"/>
          <w:szCs w:val="23"/>
        </w:rPr>
        <w:t>南朝齐梁时期陶弘景(公元493年)提出了“以肝补血、补肝明目”的见解。东</w:t>
      </w:r>
      <w:r>
        <w:rPr>
          <w:rFonts w:ascii="宋体" w:eastAsia="宋体" w:hAnsi="宋体" w:cs="宋体"/>
          <w:spacing w:val="1"/>
          <w:sz w:val="23"/>
          <w:szCs w:val="23"/>
        </w:rPr>
        <w:t xml:space="preserve">  </w:t>
      </w:r>
      <w:r>
        <w:rPr>
          <w:rFonts w:ascii="宋体" w:eastAsia="宋体" w:hAnsi="宋体" w:cs="宋体"/>
          <w:spacing w:val="-9"/>
          <w:sz w:val="23"/>
          <w:szCs w:val="23"/>
        </w:rPr>
        <w:t>晋葛洪(公元300年)在《肘后备急方》中有用海藻酒治疗甲状腺</w:t>
      </w:r>
      <w:r>
        <w:rPr>
          <w:rFonts w:ascii="宋体" w:eastAsia="宋体" w:hAnsi="宋体" w:cs="宋体"/>
          <w:spacing w:val="-10"/>
          <w:sz w:val="23"/>
          <w:szCs w:val="23"/>
        </w:rPr>
        <w:t>肿的记载。唐</w:t>
      </w:r>
      <w:r>
        <w:rPr>
          <w:rFonts w:ascii="宋体" w:eastAsia="宋体" w:hAnsi="宋体" w:cs="宋体"/>
          <w:sz w:val="23"/>
          <w:szCs w:val="23"/>
        </w:rPr>
        <w:t xml:space="preserve">  </w:t>
      </w:r>
      <w:r>
        <w:rPr>
          <w:rFonts w:ascii="宋体" w:eastAsia="宋体" w:hAnsi="宋体" w:cs="宋体"/>
          <w:spacing w:val="-6"/>
          <w:sz w:val="23"/>
          <w:szCs w:val="23"/>
        </w:rPr>
        <w:t>代名医孙思邈(公元581～682年)主张“治未病”的预防思想。我国古代还有</w:t>
      </w:r>
      <w:r>
        <w:rPr>
          <w:rFonts w:ascii="宋体" w:eastAsia="宋体" w:hAnsi="宋体" w:cs="宋体"/>
          <w:spacing w:val="3"/>
          <w:sz w:val="23"/>
          <w:szCs w:val="23"/>
        </w:rPr>
        <w:t xml:space="preserve">  </w:t>
      </w:r>
      <w:r>
        <w:rPr>
          <w:rFonts w:ascii="宋体" w:eastAsia="宋体" w:hAnsi="宋体" w:cs="宋体"/>
          <w:spacing w:val="-19"/>
          <w:sz w:val="23"/>
          <w:szCs w:val="23"/>
        </w:rPr>
        <w:t>“药食同源”的重要思想，滋补与食疗历史悠久，先后有几十部关于食物</w:t>
      </w:r>
      <w:r>
        <w:rPr>
          <w:rFonts w:ascii="宋体" w:eastAsia="宋体" w:hAnsi="宋体" w:cs="宋体"/>
          <w:spacing w:val="-20"/>
          <w:sz w:val="23"/>
          <w:szCs w:val="23"/>
        </w:rPr>
        <w:t>本草与</w:t>
      </w:r>
      <w:r>
        <w:rPr>
          <w:rFonts w:ascii="宋体" w:eastAsia="宋体" w:hAnsi="宋体" w:cs="宋体"/>
          <w:sz w:val="23"/>
          <w:szCs w:val="23"/>
        </w:rPr>
        <w:t xml:space="preserve">  </w:t>
      </w:r>
      <w:r>
        <w:rPr>
          <w:rFonts w:ascii="宋体" w:eastAsia="宋体" w:hAnsi="宋体" w:cs="宋体"/>
          <w:spacing w:val="-19"/>
          <w:sz w:val="23"/>
          <w:szCs w:val="23"/>
        </w:rPr>
        <w:t>食疗本草类的食物药理学著作。例如，明代李时珍《本草</w:t>
      </w:r>
      <w:r>
        <w:rPr>
          <w:rFonts w:ascii="宋体" w:eastAsia="宋体" w:hAnsi="宋体" w:cs="宋体"/>
          <w:spacing w:val="-20"/>
          <w:sz w:val="23"/>
          <w:szCs w:val="23"/>
        </w:rPr>
        <w:t>纲目》在大量观察、实</w:t>
      </w:r>
      <w:r>
        <w:rPr>
          <w:rFonts w:ascii="宋体" w:eastAsia="宋体" w:hAnsi="宋体" w:cs="宋体"/>
          <w:sz w:val="23"/>
          <w:szCs w:val="23"/>
        </w:rPr>
        <w:t xml:space="preserve">  </w:t>
      </w:r>
      <w:r>
        <w:rPr>
          <w:rFonts w:ascii="宋体" w:eastAsia="宋体" w:hAnsi="宋体" w:cs="宋体"/>
          <w:spacing w:val="-13"/>
          <w:sz w:val="23"/>
          <w:szCs w:val="23"/>
        </w:rPr>
        <w:t>践和取得珍贵经验的基础上，记载了350多种药食两用的动植</w:t>
      </w:r>
      <w:r>
        <w:rPr>
          <w:rFonts w:ascii="宋体" w:eastAsia="宋体" w:hAnsi="宋体" w:cs="宋体"/>
          <w:spacing w:val="-14"/>
          <w:sz w:val="23"/>
          <w:szCs w:val="23"/>
        </w:rPr>
        <w:t>物，并区分为寒、</w:t>
      </w:r>
      <w:r>
        <w:rPr>
          <w:rFonts w:ascii="宋体" w:eastAsia="宋体" w:hAnsi="宋体" w:cs="宋体"/>
          <w:sz w:val="23"/>
          <w:szCs w:val="23"/>
        </w:rPr>
        <w:t xml:space="preserve"> </w:t>
      </w:r>
      <w:r>
        <w:rPr>
          <w:rFonts w:ascii="宋体" w:eastAsia="宋体" w:hAnsi="宋体" w:cs="宋体"/>
          <w:spacing w:val="-19"/>
          <w:sz w:val="23"/>
          <w:szCs w:val="23"/>
        </w:rPr>
        <w:t>凉、温、热、有毒和无毒等性质，对指导人们营养与</w:t>
      </w:r>
      <w:r>
        <w:rPr>
          <w:rFonts w:ascii="宋体" w:eastAsia="宋体" w:hAnsi="宋体" w:cs="宋体"/>
          <w:spacing w:val="-20"/>
          <w:sz w:val="23"/>
          <w:szCs w:val="23"/>
        </w:rPr>
        <w:t>食疗有重要价值。明代姚可</w:t>
      </w:r>
      <w:r>
        <w:rPr>
          <w:rFonts w:ascii="宋体" w:eastAsia="宋体" w:hAnsi="宋体" w:cs="宋体"/>
          <w:sz w:val="23"/>
          <w:szCs w:val="23"/>
        </w:rPr>
        <w:t xml:space="preserve">  </w:t>
      </w:r>
      <w:r>
        <w:rPr>
          <w:rFonts w:ascii="宋体" w:eastAsia="宋体" w:hAnsi="宋体" w:cs="宋体"/>
          <w:spacing w:val="-15"/>
          <w:sz w:val="23"/>
          <w:szCs w:val="23"/>
        </w:rPr>
        <w:t>成在1520年编成的《食物本草》</w:t>
      </w:r>
      <w:r>
        <w:rPr>
          <w:rFonts w:ascii="宋体" w:eastAsia="宋体" w:hAnsi="宋体" w:cs="宋体"/>
          <w:spacing w:val="11"/>
          <w:sz w:val="23"/>
          <w:szCs w:val="23"/>
        </w:rPr>
        <w:t xml:space="preserve"> </w:t>
      </w:r>
      <w:r>
        <w:rPr>
          <w:rFonts w:ascii="宋体" w:eastAsia="宋体" w:hAnsi="宋体" w:cs="宋体"/>
          <w:spacing w:val="-15"/>
          <w:sz w:val="23"/>
          <w:szCs w:val="23"/>
        </w:rPr>
        <w:t>一书中，列出1017种食物，并以中医</w:t>
      </w:r>
      <w:r>
        <w:rPr>
          <w:rFonts w:ascii="宋体" w:eastAsia="宋体" w:hAnsi="宋体" w:cs="宋体"/>
          <w:spacing w:val="-16"/>
          <w:sz w:val="23"/>
          <w:szCs w:val="23"/>
        </w:rPr>
        <w:t>的观点逐</w:t>
      </w:r>
      <w:r>
        <w:rPr>
          <w:rFonts w:ascii="宋体" w:eastAsia="宋体" w:hAnsi="宋体" w:cs="宋体"/>
          <w:sz w:val="23"/>
          <w:szCs w:val="23"/>
        </w:rPr>
        <w:t xml:space="preserve">  </w:t>
      </w:r>
      <w:r>
        <w:rPr>
          <w:rFonts w:ascii="宋体" w:eastAsia="宋体" w:hAnsi="宋体" w:cs="宋体"/>
          <w:spacing w:val="-20"/>
          <w:sz w:val="23"/>
          <w:szCs w:val="23"/>
        </w:rPr>
        <w:t>一加以描述，分别加以归类，这在世界历史上处于前列地位。此外，我国历史上</w:t>
      </w:r>
      <w:r>
        <w:rPr>
          <w:rFonts w:ascii="宋体" w:eastAsia="宋体" w:hAnsi="宋体" w:cs="宋体"/>
          <w:spacing w:val="1"/>
          <w:sz w:val="23"/>
          <w:szCs w:val="23"/>
        </w:rPr>
        <w:t xml:space="preserve">  </w:t>
      </w:r>
      <w:r>
        <w:rPr>
          <w:rFonts w:ascii="宋体" w:eastAsia="宋体" w:hAnsi="宋体" w:cs="宋体"/>
          <w:spacing w:val="-24"/>
          <w:sz w:val="23"/>
          <w:szCs w:val="23"/>
        </w:rPr>
        <w:t>还有《食经》、《千金食治》等书籍，都反映</w:t>
      </w:r>
      <w:r>
        <w:rPr>
          <w:rFonts w:ascii="宋体" w:eastAsia="宋体" w:hAnsi="宋体" w:cs="宋体"/>
          <w:spacing w:val="-25"/>
          <w:sz w:val="23"/>
          <w:szCs w:val="23"/>
        </w:rPr>
        <w:t>了我国古代在营养学方面的成就。</w:t>
      </w:r>
    </w:p>
    <w:p w:rsidR="00EA40A3" w:rsidRDefault="00E86C16">
      <w:pPr>
        <w:spacing w:before="127" w:line="238" w:lineRule="auto"/>
        <w:ind w:left="114" w:right="84" w:firstLine="460"/>
        <w:jc w:val="both"/>
        <w:rPr>
          <w:rFonts w:ascii="宋体" w:eastAsia="宋体" w:hAnsi="宋体" w:cs="宋体"/>
          <w:sz w:val="23"/>
          <w:szCs w:val="23"/>
        </w:rPr>
      </w:pPr>
      <w:r>
        <w:rPr>
          <w:rFonts w:ascii="宋体" w:eastAsia="宋体" w:hAnsi="宋体" w:cs="宋体"/>
          <w:spacing w:val="-19"/>
          <w:sz w:val="23"/>
          <w:szCs w:val="23"/>
        </w:rPr>
        <w:t>国外最早关于营养方面的记载是在公元前400多年的著</w:t>
      </w:r>
      <w:r>
        <w:rPr>
          <w:rFonts w:ascii="宋体" w:eastAsia="宋体" w:hAnsi="宋体" w:cs="宋体"/>
          <w:spacing w:val="-20"/>
          <w:sz w:val="23"/>
          <w:szCs w:val="23"/>
        </w:rPr>
        <w:t>作中。《圣经》中有</w:t>
      </w:r>
      <w:r>
        <w:rPr>
          <w:rFonts w:ascii="宋体" w:eastAsia="宋体" w:hAnsi="宋体" w:cs="宋体"/>
          <w:sz w:val="23"/>
          <w:szCs w:val="23"/>
        </w:rPr>
        <w:t xml:space="preserve"> </w:t>
      </w:r>
      <w:r>
        <w:rPr>
          <w:rFonts w:ascii="宋体" w:eastAsia="宋体" w:hAnsi="宋体" w:cs="宋体"/>
          <w:spacing w:val="-23"/>
          <w:sz w:val="23"/>
          <w:szCs w:val="23"/>
        </w:rPr>
        <w:t>关于将肝汁挤到眼睛中治疗眼病的描述。当时西方人经常将食物用作化妆品或药</w:t>
      </w:r>
      <w:r>
        <w:rPr>
          <w:rFonts w:ascii="宋体" w:eastAsia="宋体" w:hAnsi="宋体" w:cs="宋体"/>
          <w:spacing w:val="13"/>
          <w:sz w:val="23"/>
          <w:szCs w:val="23"/>
        </w:rPr>
        <w:t xml:space="preserve"> </w:t>
      </w:r>
      <w:r>
        <w:rPr>
          <w:rFonts w:ascii="宋体" w:eastAsia="宋体" w:hAnsi="宋体" w:cs="宋体"/>
          <w:spacing w:val="-12"/>
          <w:sz w:val="23"/>
          <w:szCs w:val="23"/>
        </w:rPr>
        <w:t>品。古希腊的名医，世称医学</w:t>
      </w:r>
      <w:r>
        <w:rPr>
          <w:rFonts w:ascii="宋体" w:eastAsia="宋体" w:hAnsi="宋体" w:cs="宋体"/>
          <w:spacing w:val="-13"/>
          <w:sz w:val="23"/>
          <w:szCs w:val="23"/>
        </w:rPr>
        <w:t>之父的</w:t>
      </w:r>
      <w:r>
        <w:rPr>
          <w:rFonts w:ascii="宋体" w:eastAsia="宋体" w:hAnsi="宋体" w:cs="宋体"/>
          <w:spacing w:val="-12"/>
          <w:sz w:val="23"/>
          <w:szCs w:val="23"/>
        </w:rPr>
        <w:t>Hippocrates</w:t>
      </w:r>
      <w:r>
        <w:rPr>
          <w:rFonts w:ascii="宋体" w:eastAsia="宋体" w:hAnsi="宋体" w:cs="宋体"/>
          <w:spacing w:val="-13"/>
          <w:sz w:val="23"/>
          <w:szCs w:val="23"/>
        </w:rPr>
        <w:t>,</w:t>
      </w:r>
      <w:r>
        <w:rPr>
          <w:rFonts w:ascii="宋体" w:eastAsia="宋体" w:hAnsi="宋体" w:cs="宋体"/>
          <w:spacing w:val="-69"/>
          <w:sz w:val="23"/>
          <w:szCs w:val="23"/>
        </w:rPr>
        <w:t xml:space="preserve"> </w:t>
      </w:r>
      <w:r>
        <w:rPr>
          <w:rFonts w:ascii="宋体" w:eastAsia="宋体" w:hAnsi="宋体" w:cs="宋体"/>
          <w:spacing w:val="-13"/>
          <w:sz w:val="23"/>
          <w:szCs w:val="23"/>
        </w:rPr>
        <w:t>在公元前300多年首先认识</w:t>
      </w:r>
      <w:r>
        <w:rPr>
          <w:rFonts w:ascii="宋体" w:eastAsia="宋体" w:hAnsi="宋体" w:cs="宋体"/>
          <w:sz w:val="23"/>
          <w:szCs w:val="23"/>
        </w:rPr>
        <w:t xml:space="preserve"> </w:t>
      </w:r>
      <w:r>
        <w:rPr>
          <w:rFonts w:ascii="宋体" w:eastAsia="宋体" w:hAnsi="宋体" w:cs="宋体"/>
          <w:spacing w:val="-22"/>
          <w:w w:val="99"/>
          <w:sz w:val="23"/>
          <w:szCs w:val="23"/>
        </w:rPr>
        <w:t>到食物营养对于健康的重要性。他认为健康只有通过适宜的饮食和卫生才能得到</w:t>
      </w:r>
      <w:r>
        <w:rPr>
          <w:rFonts w:ascii="宋体" w:eastAsia="宋体" w:hAnsi="宋体" w:cs="宋体"/>
          <w:spacing w:val="23"/>
          <w:sz w:val="23"/>
          <w:szCs w:val="23"/>
        </w:rPr>
        <w:t xml:space="preserve"> </w:t>
      </w:r>
      <w:r>
        <w:rPr>
          <w:rFonts w:ascii="宋体" w:eastAsia="宋体" w:hAnsi="宋体" w:cs="宋体"/>
          <w:spacing w:val="-23"/>
          <w:sz w:val="23"/>
          <w:szCs w:val="23"/>
        </w:rPr>
        <w:t>保障，提出“食物即药”的观点。这同中国古典营养学提出的“药食同源”的说</w:t>
      </w:r>
      <w:r>
        <w:rPr>
          <w:rFonts w:ascii="宋体" w:eastAsia="宋体" w:hAnsi="宋体" w:cs="宋体"/>
          <w:spacing w:val="12"/>
          <w:sz w:val="23"/>
          <w:szCs w:val="23"/>
        </w:rPr>
        <w:t xml:space="preserve"> </w:t>
      </w:r>
      <w:r>
        <w:rPr>
          <w:rFonts w:ascii="宋体" w:eastAsia="宋体" w:hAnsi="宋体" w:cs="宋体"/>
          <w:spacing w:val="-16"/>
          <w:sz w:val="23"/>
          <w:szCs w:val="23"/>
        </w:rPr>
        <w:t>法具有相似之处。当时西方人还用海藻治疗粗脖子病(甲状腺肿)及用宝剑</w:t>
      </w:r>
      <w:r>
        <w:rPr>
          <w:rFonts w:ascii="宋体" w:eastAsia="宋体" w:hAnsi="宋体" w:cs="宋体"/>
          <w:spacing w:val="-17"/>
          <w:sz w:val="23"/>
          <w:szCs w:val="23"/>
        </w:rPr>
        <w:t>淬过</w:t>
      </w:r>
      <w:r>
        <w:rPr>
          <w:rFonts w:ascii="宋体" w:eastAsia="宋体" w:hAnsi="宋体" w:cs="宋体"/>
          <w:sz w:val="23"/>
          <w:szCs w:val="23"/>
        </w:rPr>
        <w:t xml:space="preserve"> </w:t>
      </w:r>
      <w:r>
        <w:rPr>
          <w:rFonts w:ascii="宋体" w:eastAsia="宋体" w:hAnsi="宋体" w:cs="宋体"/>
          <w:spacing w:val="-23"/>
          <w:sz w:val="23"/>
          <w:szCs w:val="23"/>
        </w:rPr>
        <w:t>火的铁水治疗贫血。无论东方还是西方，受当时自然科学发展的局限，对营养学</w:t>
      </w:r>
      <w:r>
        <w:rPr>
          <w:rFonts w:ascii="宋体" w:eastAsia="宋体" w:hAnsi="宋体" w:cs="宋体"/>
          <w:spacing w:val="15"/>
          <w:sz w:val="23"/>
          <w:szCs w:val="23"/>
        </w:rPr>
        <w:t xml:space="preserve"> </w:t>
      </w:r>
      <w:r>
        <w:rPr>
          <w:rFonts w:ascii="宋体" w:eastAsia="宋体" w:hAnsi="宋体" w:cs="宋体"/>
          <w:spacing w:val="-24"/>
          <w:sz w:val="23"/>
          <w:szCs w:val="23"/>
        </w:rPr>
        <w:t>的认识只是对感性经验的总结和假说，是一种朴素的营养学</w:t>
      </w:r>
      <w:r>
        <w:rPr>
          <w:rFonts w:ascii="宋体" w:eastAsia="宋体" w:hAnsi="宋体" w:cs="宋体"/>
          <w:spacing w:val="-25"/>
          <w:sz w:val="23"/>
          <w:szCs w:val="23"/>
        </w:rPr>
        <w:t>。</w:t>
      </w:r>
    </w:p>
    <w:p w:rsidR="00EA40A3" w:rsidRDefault="00E86C16">
      <w:pPr>
        <w:spacing w:before="76" w:line="237" w:lineRule="auto"/>
        <w:ind w:left="114" w:right="40" w:firstLine="420"/>
        <w:jc w:val="both"/>
        <w:rPr>
          <w:rFonts w:ascii="宋体" w:eastAsia="宋体" w:hAnsi="宋体" w:cs="宋体"/>
          <w:sz w:val="23"/>
          <w:szCs w:val="23"/>
        </w:rPr>
      </w:pPr>
      <w:r>
        <w:rPr>
          <w:rFonts w:ascii="宋体" w:eastAsia="宋体" w:hAnsi="宋体" w:cs="宋体"/>
          <w:spacing w:val="-2"/>
          <w:sz w:val="23"/>
          <w:szCs w:val="23"/>
        </w:rPr>
        <w:t>现代营养学奠基于18世纪中叶，有“营养学之父”之称的法国化学家</w:t>
      </w:r>
      <w:r>
        <w:rPr>
          <w:rFonts w:ascii="宋体" w:eastAsia="宋体" w:hAnsi="宋体" w:cs="宋体"/>
          <w:spacing w:val="4"/>
          <w:sz w:val="23"/>
          <w:szCs w:val="23"/>
        </w:rPr>
        <w:t xml:space="preserve"> </w:t>
      </w:r>
      <w:r>
        <w:rPr>
          <w:rFonts w:ascii="宋体" w:eastAsia="宋体" w:hAnsi="宋体" w:cs="宋体"/>
          <w:spacing w:val="-22"/>
          <w:sz w:val="23"/>
          <w:szCs w:val="23"/>
        </w:rPr>
        <w:t>Lavoisier首先阐明了生命过程是一个呼吸过程，并提出呼吸是氧化燃烧的理论。</w:t>
      </w:r>
      <w:r>
        <w:rPr>
          <w:rFonts w:ascii="宋体" w:eastAsia="宋体" w:hAnsi="宋体" w:cs="宋体"/>
          <w:sz w:val="23"/>
          <w:szCs w:val="23"/>
        </w:rPr>
        <w:t xml:space="preserve"> </w:t>
      </w:r>
      <w:r>
        <w:rPr>
          <w:rFonts w:ascii="宋体" w:eastAsia="宋体" w:hAnsi="宋体" w:cs="宋体"/>
          <w:spacing w:val="-9"/>
          <w:sz w:val="23"/>
          <w:szCs w:val="23"/>
        </w:rPr>
        <w:t>整个19世纪到20世纪初是发现和研究各种营养素的鼎盛时期</w:t>
      </w:r>
      <w:r>
        <w:rPr>
          <w:rFonts w:ascii="宋体" w:eastAsia="宋体" w:hAnsi="宋体" w:cs="宋体"/>
          <w:spacing w:val="-10"/>
          <w:sz w:val="23"/>
          <w:szCs w:val="23"/>
        </w:rPr>
        <w:t>。19世纪初发现</w:t>
      </w:r>
      <w:r>
        <w:rPr>
          <w:rFonts w:ascii="宋体" w:eastAsia="宋体" w:hAnsi="宋体" w:cs="宋体"/>
          <w:sz w:val="23"/>
          <w:szCs w:val="23"/>
        </w:rPr>
        <w:t xml:space="preserve"> </w:t>
      </w:r>
      <w:r>
        <w:rPr>
          <w:rFonts w:ascii="宋体" w:eastAsia="宋体" w:hAnsi="宋体" w:cs="宋体"/>
          <w:spacing w:val="-8"/>
          <w:sz w:val="23"/>
          <w:szCs w:val="23"/>
        </w:rPr>
        <w:t>了钠、钾、钙、硫、氯、磷等元素；1810年</w:t>
      </w:r>
      <w:r>
        <w:rPr>
          <w:rFonts w:ascii="宋体" w:eastAsia="宋体" w:hAnsi="宋体" w:cs="宋体"/>
          <w:spacing w:val="-9"/>
          <w:sz w:val="23"/>
          <w:szCs w:val="23"/>
        </w:rPr>
        <w:t>发现第一种氨基酸</w:t>
      </w:r>
      <w:r>
        <w:rPr>
          <w:rFonts w:ascii="宋体" w:eastAsia="宋体" w:hAnsi="宋体" w:cs="宋体"/>
          <w:spacing w:val="-75"/>
          <w:sz w:val="23"/>
          <w:szCs w:val="23"/>
        </w:rPr>
        <w:t xml:space="preserve"> </w:t>
      </w:r>
      <w:r>
        <w:rPr>
          <w:rFonts w:ascii="宋体" w:eastAsia="宋体" w:hAnsi="宋体" w:cs="宋体"/>
          <w:spacing w:val="28"/>
          <w:sz w:val="23"/>
          <w:szCs w:val="23"/>
          <w:u w:val="single"/>
        </w:rPr>
        <w:t xml:space="preserve">   </w:t>
      </w:r>
      <w:r>
        <w:rPr>
          <w:rFonts w:ascii="宋体" w:eastAsia="宋体" w:hAnsi="宋体" w:cs="宋体"/>
          <w:spacing w:val="-115"/>
          <w:sz w:val="23"/>
          <w:szCs w:val="23"/>
        </w:rPr>
        <w:t xml:space="preserve"> </w:t>
      </w:r>
      <w:r>
        <w:rPr>
          <w:rFonts w:ascii="宋体" w:eastAsia="宋体" w:hAnsi="宋体" w:cs="宋体"/>
          <w:spacing w:val="-9"/>
          <w:sz w:val="23"/>
          <w:szCs w:val="23"/>
        </w:rPr>
        <w:t>亮氨酸；</w:t>
      </w:r>
      <w:r>
        <w:rPr>
          <w:rFonts w:ascii="宋体" w:eastAsia="宋体" w:hAnsi="宋体" w:cs="宋体"/>
          <w:sz w:val="23"/>
          <w:szCs w:val="23"/>
        </w:rPr>
        <w:t xml:space="preserve"> </w:t>
      </w:r>
      <w:r>
        <w:rPr>
          <w:rFonts w:ascii="宋体" w:eastAsia="宋体" w:hAnsi="宋体" w:cs="宋体"/>
          <w:spacing w:val="-14"/>
          <w:sz w:val="23"/>
          <w:szCs w:val="23"/>
        </w:rPr>
        <w:t>1838年首次提出蛋白质概念。1842年德国化学家</w:t>
      </w:r>
      <w:r>
        <w:rPr>
          <w:rFonts w:ascii="宋体" w:eastAsia="宋体" w:hAnsi="宋体" w:cs="宋体"/>
          <w:spacing w:val="-15"/>
          <w:sz w:val="23"/>
          <w:szCs w:val="23"/>
        </w:rPr>
        <w:t>、农业化学和营养化学奠基人</w:t>
      </w:r>
    </w:p>
    <w:p w:rsidR="00EA40A3" w:rsidRDefault="00EA40A3">
      <w:pPr>
        <w:sectPr w:rsidR="00EA40A3">
          <w:footerReference w:type="default" r:id="rId22"/>
          <w:pgSz w:w="9350" w:h="13450"/>
          <w:pgMar w:top="400" w:right="964" w:bottom="1231" w:left="904" w:header="0" w:footer="1062" w:gutter="0"/>
          <w:cols w:space="720"/>
        </w:sectPr>
      </w:pPr>
    </w:p>
    <w:p w:rsidR="00EA40A3" w:rsidRDefault="00EA40A3">
      <w:pPr>
        <w:spacing w:line="300" w:lineRule="auto"/>
      </w:pPr>
    </w:p>
    <w:p w:rsidR="00EA40A3" w:rsidRDefault="00EA40A3">
      <w:pPr>
        <w:spacing w:line="300" w:lineRule="auto"/>
      </w:pPr>
    </w:p>
    <w:p w:rsidR="00EA40A3" w:rsidRDefault="00E86C16">
      <w:pPr>
        <w:spacing w:before="72" w:line="248" w:lineRule="auto"/>
        <w:ind w:right="11"/>
        <w:rPr>
          <w:rFonts w:ascii="宋体" w:eastAsia="宋体" w:hAnsi="宋体" w:cs="宋体"/>
          <w:sz w:val="22"/>
          <w:szCs w:val="22"/>
        </w:rPr>
      </w:pPr>
      <w:r>
        <w:rPr>
          <w:rFonts w:ascii="宋体" w:eastAsia="宋体" w:hAnsi="宋体" w:cs="宋体"/>
          <w:spacing w:val="-4"/>
          <w:sz w:val="22"/>
          <w:szCs w:val="22"/>
        </w:rPr>
        <w:t>之一Liebig提出，机体营养过程是对蛋白质、脂肪、碳水化合物的氧化</w:t>
      </w:r>
      <w:r>
        <w:rPr>
          <w:rFonts w:ascii="宋体" w:eastAsia="宋体" w:hAnsi="宋体" w:cs="宋体"/>
          <w:spacing w:val="-5"/>
          <w:sz w:val="22"/>
          <w:szCs w:val="22"/>
        </w:rPr>
        <w:t>过程，</w:t>
      </w:r>
      <w:r>
        <w:rPr>
          <w:rFonts w:ascii="宋体" w:eastAsia="宋体" w:hAnsi="宋体" w:cs="宋体"/>
          <w:sz w:val="22"/>
          <w:szCs w:val="22"/>
        </w:rPr>
        <w:t xml:space="preserve"> </w:t>
      </w:r>
      <w:r>
        <w:rPr>
          <w:rFonts w:ascii="宋体" w:eastAsia="宋体" w:hAnsi="宋体" w:cs="宋体"/>
          <w:spacing w:val="-7"/>
          <w:sz w:val="22"/>
          <w:szCs w:val="22"/>
        </w:rPr>
        <w:t>后来他的几代学生又通过大量的生理学和有机分析实验，先后创建了氮平衡学</w:t>
      </w:r>
      <w:r>
        <w:rPr>
          <w:rFonts w:ascii="宋体" w:eastAsia="宋体" w:hAnsi="宋体" w:cs="宋体"/>
          <w:spacing w:val="8"/>
          <w:sz w:val="22"/>
          <w:szCs w:val="22"/>
        </w:rPr>
        <w:t xml:space="preserve"> </w:t>
      </w:r>
      <w:r>
        <w:rPr>
          <w:rFonts w:ascii="宋体" w:eastAsia="宋体" w:hAnsi="宋体" w:cs="宋体"/>
          <w:spacing w:val="-7"/>
          <w:sz w:val="22"/>
          <w:szCs w:val="22"/>
        </w:rPr>
        <w:t>说，确定了三大营养素的能量系数，提出了物质代谢理论。他的一名学生Lusk</w:t>
      </w:r>
      <w:r>
        <w:rPr>
          <w:rFonts w:ascii="宋体" w:eastAsia="宋体" w:hAnsi="宋体" w:cs="宋体"/>
          <w:spacing w:val="7"/>
          <w:sz w:val="22"/>
          <w:szCs w:val="22"/>
        </w:rPr>
        <w:t xml:space="preserve">  </w:t>
      </w:r>
      <w:r>
        <w:rPr>
          <w:rFonts w:ascii="宋体" w:eastAsia="宋体" w:hAnsi="宋体" w:cs="宋体"/>
          <w:spacing w:val="-9"/>
          <w:sz w:val="22"/>
          <w:szCs w:val="22"/>
        </w:rPr>
        <w:t>撰写出版了国际上第一本营养学</w:t>
      </w:r>
      <w:r>
        <w:rPr>
          <w:rFonts w:ascii="宋体" w:eastAsia="宋体" w:hAnsi="宋体" w:cs="宋体"/>
          <w:spacing w:val="-10"/>
          <w:sz w:val="22"/>
          <w:szCs w:val="22"/>
        </w:rPr>
        <w:t>著作</w:t>
      </w:r>
      <w:r>
        <w:rPr>
          <w:rFonts w:ascii="宋体" w:eastAsia="宋体" w:hAnsi="宋体" w:cs="宋体"/>
          <w:spacing w:val="-9"/>
          <w:sz w:val="22"/>
          <w:szCs w:val="22"/>
        </w:rPr>
        <w:t>The</w:t>
      </w:r>
      <w:r>
        <w:rPr>
          <w:rFonts w:ascii="宋体" w:eastAsia="宋体" w:hAnsi="宋体" w:cs="宋体"/>
          <w:spacing w:val="-3"/>
          <w:sz w:val="22"/>
          <w:szCs w:val="22"/>
        </w:rPr>
        <w:t xml:space="preserve"> </w:t>
      </w:r>
      <w:r>
        <w:rPr>
          <w:rFonts w:ascii="宋体" w:eastAsia="宋体" w:hAnsi="宋体" w:cs="宋体"/>
          <w:spacing w:val="-9"/>
          <w:sz w:val="22"/>
          <w:szCs w:val="22"/>
        </w:rPr>
        <w:t>Science</w:t>
      </w:r>
      <w:r>
        <w:rPr>
          <w:rFonts w:ascii="宋体" w:eastAsia="宋体" w:hAnsi="宋体" w:cs="宋体"/>
          <w:spacing w:val="-3"/>
          <w:sz w:val="22"/>
          <w:szCs w:val="22"/>
        </w:rPr>
        <w:t xml:space="preserve"> </w:t>
      </w:r>
      <w:r>
        <w:rPr>
          <w:rFonts w:ascii="宋体" w:eastAsia="宋体" w:hAnsi="宋体" w:cs="宋体"/>
          <w:spacing w:val="-9"/>
          <w:sz w:val="22"/>
          <w:szCs w:val="22"/>
        </w:rPr>
        <w:t>of</w:t>
      </w:r>
      <w:r>
        <w:rPr>
          <w:rFonts w:ascii="宋体" w:eastAsia="宋体" w:hAnsi="宋体" w:cs="宋体"/>
          <w:spacing w:val="-10"/>
          <w:sz w:val="22"/>
          <w:szCs w:val="22"/>
        </w:rPr>
        <w:t xml:space="preserve"> </w:t>
      </w:r>
      <w:r>
        <w:rPr>
          <w:rFonts w:ascii="宋体" w:eastAsia="宋体" w:hAnsi="宋体" w:cs="宋体"/>
          <w:spacing w:val="-9"/>
          <w:sz w:val="22"/>
          <w:szCs w:val="22"/>
        </w:rPr>
        <w:t>Nutrition</w:t>
      </w:r>
      <w:r>
        <w:rPr>
          <w:rFonts w:ascii="宋体" w:eastAsia="宋体" w:hAnsi="宋体" w:cs="宋体"/>
          <w:spacing w:val="-10"/>
          <w:sz w:val="22"/>
          <w:szCs w:val="22"/>
        </w:rPr>
        <w:t>。1912年发现了</w:t>
      </w:r>
      <w:r>
        <w:rPr>
          <w:rFonts w:ascii="宋体" w:eastAsia="宋体" w:hAnsi="宋体" w:cs="宋体"/>
          <w:sz w:val="22"/>
          <w:szCs w:val="22"/>
        </w:rPr>
        <w:t xml:space="preserve"> </w:t>
      </w:r>
      <w:r>
        <w:rPr>
          <w:rFonts w:ascii="宋体" w:eastAsia="宋体" w:hAnsi="宋体" w:cs="宋体"/>
          <w:spacing w:val="-1"/>
          <w:sz w:val="22"/>
          <w:szCs w:val="22"/>
        </w:rPr>
        <w:t>第一个维生素——维生素</w:t>
      </w:r>
      <w:r>
        <w:rPr>
          <w:rFonts w:ascii="宋体" w:eastAsia="宋体" w:hAnsi="宋体" w:cs="宋体"/>
          <w:spacing w:val="-60"/>
          <w:sz w:val="22"/>
          <w:szCs w:val="22"/>
        </w:rPr>
        <w:t xml:space="preserve"> </w:t>
      </w:r>
      <w:r>
        <w:rPr>
          <w:rFonts w:ascii="宋体" w:eastAsia="宋体" w:hAnsi="宋体" w:cs="宋体"/>
          <w:spacing w:val="-1"/>
          <w:sz w:val="22"/>
          <w:szCs w:val="22"/>
        </w:rPr>
        <w:t>B</w:t>
      </w:r>
      <w:r>
        <w:rPr>
          <w:rFonts w:ascii="Calibri" w:eastAsia="Calibri" w:hAnsi="Calibri" w:cs="Calibri"/>
          <w:spacing w:val="-1"/>
          <w:sz w:val="22"/>
          <w:szCs w:val="22"/>
        </w:rPr>
        <w:t>₁</w:t>
      </w:r>
      <w:r>
        <w:rPr>
          <w:rFonts w:ascii="宋体" w:eastAsia="宋体" w:hAnsi="宋体" w:cs="宋体"/>
          <w:spacing w:val="-1"/>
          <w:sz w:val="22"/>
          <w:szCs w:val="22"/>
        </w:rPr>
        <w:t>,</w:t>
      </w:r>
      <w:r>
        <w:rPr>
          <w:rFonts w:ascii="宋体" w:eastAsia="宋体" w:hAnsi="宋体" w:cs="宋体"/>
          <w:spacing w:val="39"/>
          <w:sz w:val="22"/>
          <w:szCs w:val="22"/>
        </w:rPr>
        <w:t xml:space="preserve"> </w:t>
      </w:r>
      <w:r>
        <w:rPr>
          <w:rFonts w:ascii="宋体" w:eastAsia="宋体" w:hAnsi="宋体" w:cs="宋体"/>
          <w:spacing w:val="-1"/>
          <w:sz w:val="22"/>
          <w:szCs w:val="22"/>
        </w:rPr>
        <w:t>之后35年又陆续发现了其他13种维生素。</w:t>
      </w:r>
      <w:r>
        <w:rPr>
          <w:rFonts w:ascii="宋体" w:eastAsia="宋体" w:hAnsi="宋体" w:cs="宋体"/>
          <w:spacing w:val="-2"/>
          <w:sz w:val="22"/>
          <w:szCs w:val="22"/>
        </w:rPr>
        <w:t>1929</w:t>
      </w:r>
      <w:r>
        <w:rPr>
          <w:rFonts w:ascii="宋体" w:eastAsia="宋体" w:hAnsi="宋体" w:cs="宋体"/>
          <w:sz w:val="22"/>
          <w:szCs w:val="22"/>
        </w:rPr>
        <w:t xml:space="preserve"> </w:t>
      </w:r>
      <w:r>
        <w:rPr>
          <w:rFonts w:ascii="宋体" w:eastAsia="宋体" w:hAnsi="宋体" w:cs="宋体"/>
          <w:spacing w:val="-8"/>
          <w:sz w:val="22"/>
          <w:szCs w:val="22"/>
        </w:rPr>
        <w:t>年亚油酸被证明是人体必需脂肪酸，1935年最后</w:t>
      </w:r>
      <w:r>
        <w:rPr>
          <w:rFonts w:ascii="宋体" w:eastAsia="宋体" w:hAnsi="宋体" w:cs="宋体"/>
          <w:spacing w:val="-9"/>
          <w:sz w:val="22"/>
          <w:szCs w:val="22"/>
        </w:rPr>
        <w:t>一种必需氨基酸</w:t>
      </w:r>
      <w:r>
        <w:rPr>
          <w:rFonts w:ascii="宋体" w:eastAsia="宋体" w:hAnsi="宋体" w:cs="宋体"/>
          <w:sz w:val="22"/>
          <w:szCs w:val="22"/>
          <w:u w:val="single"/>
        </w:rPr>
        <w:t xml:space="preserve">    </w:t>
      </w:r>
      <w:r>
        <w:rPr>
          <w:rFonts w:ascii="宋体" w:eastAsia="宋体" w:hAnsi="宋体" w:cs="宋体"/>
          <w:spacing w:val="30"/>
          <w:sz w:val="22"/>
          <w:szCs w:val="22"/>
        </w:rPr>
        <w:t xml:space="preserve"> </w:t>
      </w:r>
      <w:r>
        <w:rPr>
          <w:rFonts w:ascii="宋体" w:eastAsia="宋体" w:hAnsi="宋体" w:cs="宋体"/>
          <w:spacing w:val="-9"/>
          <w:sz w:val="22"/>
          <w:szCs w:val="22"/>
        </w:rPr>
        <w:t>苏氨酸被</w:t>
      </w:r>
      <w:r>
        <w:rPr>
          <w:rFonts w:ascii="宋体" w:eastAsia="宋体" w:hAnsi="宋体" w:cs="宋体"/>
          <w:sz w:val="22"/>
          <w:szCs w:val="22"/>
        </w:rPr>
        <w:t xml:space="preserve"> </w:t>
      </w:r>
      <w:r>
        <w:rPr>
          <w:rFonts w:ascii="宋体" w:eastAsia="宋体" w:hAnsi="宋体" w:cs="宋体"/>
          <w:spacing w:val="-7"/>
          <w:sz w:val="22"/>
          <w:szCs w:val="22"/>
        </w:rPr>
        <w:t>发现。当时，科学界逐渐接受坏血病、脚气病、佝偻病、癞皮病、干眼病等致</w:t>
      </w:r>
      <w:r>
        <w:rPr>
          <w:rFonts w:ascii="宋体" w:eastAsia="宋体" w:hAnsi="宋体" w:cs="宋体"/>
          <w:spacing w:val="2"/>
          <w:sz w:val="22"/>
          <w:szCs w:val="22"/>
        </w:rPr>
        <w:t xml:space="preserve">  </w:t>
      </w:r>
      <w:r>
        <w:rPr>
          <w:rFonts w:ascii="宋体" w:eastAsia="宋体" w:hAnsi="宋体" w:cs="宋体"/>
          <w:spacing w:val="-14"/>
          <w:sz w:val="22"/>
          <w:szCs w:val="22"/>
        </w:rPr>
        <w:t>残、致死性疾病是营养素缺乏所致的观点。</w:t>
      </w:r>
    </w:p>
    <w:p w:rsidR="00EA40A3" w:rsidRDefault="00E86C16">
      <w:pPr>
        <w:spacing w:before="79" w:line="246" w:lineRule="auto"/>
        <w:ind w:right="53" w:firstLine="479"/>
        <w:rPr>
          <w:rFonts w:ascii="宋体" w:eastAsia="宋体" w:hAnsi="宋体" w:cs="宋体"/>
          <w:sz w:val="22"/>
          <w:szCs w:val="22"/>
        </w:rPr>
      </w:pPr>
      <w:r>
        <w:rPr>
          <w:rFonts w:ascii="宋体" w:eastAsia="宋体" w:hAnsi="宋体" w:cs="宋体"/>
          <w:spacing w:val="-7"/>
          <w:sz w:val="22"/>
          <w:szCs w:val="22"/>
        </w:rPr>
        <w:t>20世纪30年代后，掀起了微量元素的研究热潮。当时认为世界各地出现的</w:t>
      </w:r>
      <w:r>
        <w:rPr>
          <w:rFonts w:ascii="宋体" w:eastAsia="宋体" w:hAnsi="宋体" w:cs="宋体"/>
          <w:spacing w:val="13"/>
          <w:sz w:val="22"/>
          <w:szCs w:val="22"/>
        </w:rPr>
        <w:t xml:space="preserve"> </w:t>
      </w:r>
      <w:r>
        <w:rPr>
          <w:rFonts w:ascii="宋体" w:eastAsia="宋体" w:hAnsi="宋体" w:cs="宋体"/>
          <w:spacing w:val="-6"/>
          <w:sz w:val="22"/>
          <w:szCs w:val="22"/>
        </w:rPr>
        <w:t>某些原因不明疾病可能与微量元素有关。1931</w:t>
      </w:r>
      <w:r>
        <w:rPr>
          <w:rFonts w:ascii="宋体" w:eastAsia="宋体" w:hAnsi="宋体" w:cs="宋体"/>
          <w:spacing w:val="-7"/>
          <w:sz w:val="22"/>
          <w:szCs w:val="22"/>
        </w:rPr>
        <w:t>年发现人的斑釉牙与饮水中氟含</w:t>
      </w:r>
      <w:r>
        <w:rPr>
          <w:rFonts w:ascii="宋体" w:eastAsia="宋体" w:hAnsi="宋体" w:cs="宋体"/>
          <w:sz w:val="22"/>
          <w:szCs w:val="22"/>
        </w:rPr>
        <w:t xml:space="preserve"> </w:t>
      </w:r>
      <w:r>
        <w:rPr>
          <w:rFonts w:ascii="宋体" w:eastAsia="宋体" w:hAnsi="宋体" w:cs="宋体"/>
          <w:spacing w:val="-7"/>
          <w:sz w:val="22"/>
          <w:szCs w:val="22"/>
        </w:rPr>
        <w:t>量过多有关；1937年发现仔猪营养性软骨障碍与饲料中锰缺乏有关，后被确认</w:t>
      </w:r>
      <w:r>
        <w:rPr>
          <w:rFonts w:ascii="宋体" w:eastAsia="宋体" w:hAnsi="宋体" w:cs="宋体"/>
          <w:spacing w:val="1"/>
          <w:sz w:val="22"/>
          <w:szCs w:val="22"/>
        </w:rPr>
        <w:t xml:space="preserve"> </w:t>
      </w:r>
      <w:r>
        <w:rPr>
          <w:rFonts w:ascii="宋体" w:eastAsia="宋体" w:hAnsi="宋体" w:cs="宋体"/>
          <w:spacing w:val="-6"/>
          <w:sz w:val="22"/>
          <w:szCs w:val="22"/>
        </w:rPr>
        <w:t>锰也是人的必需元素。在以后的40多年，陆续发现了锌、铜、硒、钼等多</w:t>
      </w:r>
      <w:r>
        <w:rPr>
          <w:rFonts w:ascii="宋体" w:eastAsia="宋体" w:hAnsi="宋体" w:cs="宋体"/>
          <w:spacing w:val="-7"/>
          <w:sz w:val="22"/>
          <w:szCs w:val="22"/>
        </w:rPr>
        <w:t>种微</w:t>
      </w:r>
      <w:r>
        <w:rPr>
          <w:rFonts w:ascii="宋体" w:eastAsia="宋体" w:hAnsi="宋体" w:cs="宋体"/>
          <w:sz w:val="22"/>
          <w:szCs w:val="22"/>
        </w:rPr>
        <w:t xml:space="preserve"> </w:t>
      </w:r>
      <w:r>
        <w:rPr>
          <w:rFonts w:ascii="宋体" w:eastAsia="宋体" w:hAnsi="宋体" w:cs="宋体"/>
          <w:spacing w:val="-7"/>
          <w:sz w:val="22"/>
          <w:szCs w:val="22"/>
        </w:rPr>
        <w:t>量元素为人体所必需，并得以确认。我国首先发现缺硒是克山病的主要致病因</w:t>
      </w:r>
      <w:r>
        <w:rPr>
          <w:rFonts w:ascii="宋体" w:eastAsia="宋体" w:hAnsi="宋体" w:cs="宋体"/>
          <w:spacing w:val="18"/>
          <w:sz w:val="22"/>
          <w:szCs w:val="22"/>
        </w:rPr>
        <w:t xml:space="preserve"> </w:t>
      </w:r>
      <w:r>
        <w:rPr>
          <w:rFonts w:ascii="宋体" w:eastAsia="宋体" w:hAnsi="宋体" w:cs="宋体"/>
          <w:spacing w:val="-15"/>
          <w:sz w:val="22"/>
          <w:szCs w:val="22"/>
        </w:rPr>
        <w:t>素，硒营养的研究处于世界领先水平。</w:t>
      </w:r>
    </w:p>
    <w:p w:rsidR="00EA40A3" w:rsidRDefault="00E86C16">
      <w:pPr>
        <w:spacing w:before="82" w:line="246" w:lineRule="auto"/>
        <w:ind w:right="9" w:firstLine="479"/>
        <w:rPr>
          <w:rFonts w:ascii="宋体" w:eastAsia="宋体" w:hAnsi="宋体" w:cs="宋体"/>
          <w:sz w:val="22"/>
          <w:szCs w:val="22"/>
        </w:rPr>
      </w:pPr>
      <w:r>
        <w:rPr>
          <w:rFonts w:ascii="宋体" w:eastAsia="宋体" w:hAnsi="宋体" w:cs="宋体"/>
          <w:spacing w:val="-6"/>
          <w:sz w:val="22"/>
          <w:szCs w:val="22"/>
        </w:rPr>
        <w:t>20世纪中后期，营养学的研究工作日益深入。在微观方面，营养素尤其是</w:t>
      </w:r>
      <w:r>
        <w:rPr>
          <w:rFonts w:ascii="宋体" w:eastAsia="宋体" w:hAnsi="宋体" w:cs="宋体"/>
          <w:spacing w:val="17"/>
          <w:sz w:val="22"/>
          <w:szCs w:val="22"/>
        </w:rPr>
        <w:t xml:space="preserve"> </w:t>
      </w:r>
      <w:r>
        <w:rPr>
          <w:rFonts w:ascii="宋体" w:eastAsia="宋体" w:hAnsi="宋体" w:cs="宋体"/>
          <w:spacing w:val="-13"/>
          <w:sz w:val="22"/>
          <w:szCs w:val="22"/>
        </w:rPr>
        <w:t>维生素、微量元素对人体的重要生理作用机制不断得到深入揭示，营养与疾病的</w:t>
      </w:r>
      <w:r>
        <w:rPr>
          <w:rFonts w:ascii="宋体" w:eastAsia="宋体" w:hAnsi="宋体" w:cs="宋体"/>
          <w:spacing w:val="10"/>
          <w:sz w:val="22"/>
          <w:szCs w:val="22"/>
        </w:rPr>
        <w:t xml:space="preserve"> </w:t>
      </w:r>
      <w:r>
        <w:rPr>
          <w:rFonts w:ascii="宋体" w:eastAsia="宋体" w:hAnsi="宋体" w:cs="宋体"/>
          <w:spacing w:val="-13"/>
          <w:sz w:val="22"/>
          <w:szCs w:val="22"/>
        </w:rPr>
        <w:t>关系也得到进一步的阐明，食物中非营养成分的生理功能及对健康的作用成为新</w:t>
      </w:r>
      <w:r>
        <w:rPr>
          <w:rFonts w:ascii="宋体" w:eastAsia="宋体" w:hAnsi="宋体" w:cs="宋体"/>
          <w:spacing w:val="1"/>
          <w:sz w:val="22"/>
          <w:szCs w:val="22"/>
        </w:rPr>
        <w:t xml:space="preserve">  </w:t>
      </w:r>
      <w:r>
        <w:rPr>
          <w:rFonts w:ascii="宋体" w:eastAsia="宋体" w:hAnsi="宋体" w:cs="宋体"/>
          <w:spacing w:val="-14"/>
          <w:sz w:val="22"/>
          <w:szCs w:val="22"/>
        </w:rPr>
        <w:t>的研究热点，分子营养学应运而生。在宏观方面，包</w:t>
      </w:r>
      <w:r>
        <w:rPr>
          <w:rFonts w:ascii="宋体" w:eastAsia="宋体" w:hAnsi="宋体" w:cs="宋体"/>
          <w:spacing w:val="-15"/>
          <w:sz w:val="22"/>
          <w:szCs w:val="22"/>
        </w:rPr>
        <w:t>括营养调查、监测及各种人</w:t>
      </w:r>
      <w:r>
        <w:rPr>
          <w:rFonts w:ascii="宋体" w:eastAsia="宋体" w:hAnsi="宋体" w:cs="宋体"/>
          <w:sz w:val="22"/>
          <w:szCs w:val="22"/>
        </w:rPr>
        <w:t xml:space="preserve">  </w:t>
      </w:r>
      <w:r>
        <w:rPr>
          <w:rFonts w:ascii="宋体" w:eastAsia="宋体" w:hAnsi="宋体" w:cs="宋体"/>
          <w:spacing w:val="-12"/>
          <w:sz w:val="22"/>
          <w:szCs w:val="22"/>
        </w:rPr>
        <w:t>群营养干预研究在内的公共营养学有了新的发展，并在各国政府改善国</w:t>
      </w:r>
      <w:r>
        <w:rPr>
          <w:rFonts w:ascii="宋体" w:eastAsia="宋体" w:hAnsi="宋体" w:cs="宋体"/>
          <w:spacing w:val="-13"/>
          <w:sz w:val="22"/>
          <w:szCs w:val="22"/>
        </w:rPr>
        <w:t>民健康的</w:t>
      </w:r>
      <w:r>
        <w:rPr>
          <w:rFonts w:ascii="宋体" w:eastAsia="宋体" w:hAnsi="宋体" w:cs="宋体"/>
          <w:sz w:val="22"/>
          <w:szCs w:val="22"/>
        </w:rPr>
        <w:t xml:space="preserve"> </w:t>
      </w:r>
      <w:r>
        <w:rPr>
          <w:rFonts w:ascii="宋体" w:eastAsia="宋体" w:hAnsi="宋体" w:cs="宋体"/>
          <w:spacing w:val="-14"/>
          <w:sz w:val="22"/>
          <w:szCs w:val="22"/>
        </w:rPr>
        <w:t>决策中发挥着重要作用。</w:t>
      </w:r>
    </w:p>
    <w:p w:rsidR="00EA40A3" w:rsidRDefault="00E86C16">
      <w:pPr>
        <w:spacing w:before="213" w:line="221" w:lineRule="auto"/>
        <w:ind w:left="3"/>
        <w:outlineLvl w:val="6"/>
        <w:rPr>
          <w:rFonts w:ascii="黑体" w:eastAsia="黑体" w:hAnsi="黑体" w:cs="黑体"/>
          <w:sz w:val="22"/>
          <w:szCs w:val="22"/>
        </w:rPr>
      </w:pPr>
      <w:r>
        <w:rPr>
          <w:rFonts w:ascii="黑体" w:eastAsia="黑体" w:hAnsi="黑体" w:cs="黑体"/>
          <w:b/>
          <w:bCs/>
          <w:spacing w:val="6"/>
          <w:sz w:val="22"/>
          <w:szCs w:val="22"/>
        </w:rPr>
        <w:t>1.4.2</w:t>
      </w:r>
      <w:r>
        <w:rPr>
          <w:rFonts w:ascii="黑体" w:eastAsia="黑体" w:hAnsi="黑体" w:cs="黑体"/>
          <w:spacing w:val="17"/>
          <w:sz w:val="22"/>
          <w:szCs w:val="22"/>
        </w:rPr>
        <w:t xml:space="preserve">   </w:t>
      </w:r>
      <w:r>
        <w:rPr>
          <w:rFonts w:ascii="黑体" w:eastAsia="黑体" w:hAnsi="黑体" w:cs="黑体"/>
          <w:b/>
          <w:bCs/>
          <w:spacing w:val="6"/>
          <w:sz w:val="22"/>
          <w:szCs w:val="22"/>
        </w:rPr>
        <w:t>营养学研究的重要进展</w:t>
      </w:r>
    </w:p>
    <w:p w:rsidR="00EA40A3" w:rsidRDefault="00E86C16">
      <w:pPr>
        <w:spacing w:before="201" w:line="235" w:lineRule="auto"/>
        <w:ind w:right="32" w:firstLine="479"/>
        <w:jc w:val="both"/>
        <w:rPr>
          <w:rFonts w:ascii="宋体" w:eastAsia="宋体" w:hAnsi="宋体" w:cs="宋体"/>
          <w:sz w:val="22"/>
          <w:szCs w:val="22"/>
        </w:rPr>
      </w:pPr>
      <w:r>
        <w:rPr>
          <w:rFonts w:ascii="宋体" w:eastAsia="宋体" w:hAnsi="宋体" w:cs="宋体"/>
          <w:spacing w:val="-9"/>
          <w:sz w:val="22"/>
          <w:szCs w:val="22"/>
        </w:rPr>
        <w:t>现代营养学经过100多年发展，研究不断拓展和深人，出现</w:t>
      </w:r>
      <w:r>
        <w:rPr>
          <w:rFonts w:ascii="宋体" w:eastAsia="宋体" w:hAnsi="宋体" w:cs="宋体"/>
          <w:spacing w:val="-10"/>
          <w:sz w:val="22"/>
          <w:szCs w:val="22"/>
        </w:rPr>
        <w:t>多个分支学科和</w:t>
      </w:r>
      <w:r>
        <w:rPr>
          <w:rFonts w:ascii="宋体" w:eastAsia="宋体" w:hAnsi="宋体" w:cs="宋体"/>
          <w:sz w:val="22"/>
          <w:szCs w:val="22"/>
        </w:rPr>
        <w:t xml:space="preserve"> </w:t>
      </w:r>
      <w:r>
        <w:rPr>
          <w:rFonts w:ascii="宋体" w:eastAsia="宋体" w:hAnsi="宋体" w:cs="宋体"/>
          <w:spacing w:val="-13"/>
          <w:sz w:val="22"/>
          <w:szCs w:val="22"/>
        </w:rPr>
        <w:t>领域，并均已取得重要成就，积累了大量的营养知识和信息。下面扼要介绍与食</w:t>
      </w:r>
      <w:r>
        <w:rPr>
          <w:rFonts w:ascii="宋体" w:eastAsia="宋体" w:hAnsi="宋体" w:cs="宋体"/>
          <w:spacing w:val="3"/>
          <w:sz w:val="22"/>
          <w:szCs w:val="22"/>
        </w:rPr>
        <w:t xml:space="preserve"> </w:t>
      </w:r>
      <w:r>
        <w:rPr>
          <w:rFonts w:ascii="宋体" w:eastAsia="宋体" w:hAnsi="宋体" w:cs="宋体"/>
          <w:spacing w:val="-13"/>
          <w:sz w:val="22"/>
          <w:szCs w:val="22"/>
        </w:rPr>
        <w:t>品营养学相关的几个领域在最近几十年来所取得的重要进展。</w:t>
      </w:r>
    </w:p>
    <w:p w:rsidR="00EA40A3" w:rsidRDefault="00E86C16">
      <w:pPr>
        <w:spacing w:before="76" w:line="249" w:lineRule="auto"/>
        <w:ind w:firstLine="479"/>
        <w:jc w:val="both"/>
        <w:rPr>
          <w:rFonts w:ascii="宋体" w:eastAsia="宋体" w:hAnsi="宋体" w:cs="宋体"/>
          <w:sz w:val="22"/>
          <w:szCs w:val="22"/>
        </w:rPr>
      </w:pPr>
      <w:r>
        <w:rPr>
          <w:rFonts w:ascii="宋体" w:eastAsia="宋体" w:hAnsi="宋体" w:cs="宋体"/>
          <w:spacing w:val="-10"/>
          <w:sz w:val="22"/>
          <w:szCs w:val="22"/>
        </w:rPr>
        <w:t>(1)基础营养：最近几十年，虽然没有新发现并被公认的营养素，但研究</w:t>
      </w:r>
      <w:r>
        <w:rPr>
          <w:rFonts w:ascii="宋体" w:eastAsia="宋体" w:hAnsi="宋体" w:cs="宋体"/>
          <w:spacing w:val="-11"/>
          <w:sz w:val="22"/>
          <w:szCs w:val="22"/>
        </w:rPr>
        <w:t>更</w:t>
      </w:r>
      <w:r>
        <w:rPr>
          <w:rFonts w:ascii="宋体" w:eastAsia="宋体" w:hAnsi="宋体" w:cs="宋体"/>
          <w:sz w:val="22"/>
          <w:szCs w:val="22"/>
        </w:rPr>
        <w:t xml:space="preserve"> </w:t>
      </w:r>
      <w:r>
        <w:rPr>
          <w:rFonts w:ascii="宋体" w:eastAsia="宋体" w:hAnsi="宋体" w:cs="宋体"/>
          <w:spacing w:val="-13"/>
          <w:sz w:val="22"/>
          <w:szCs w:val="22"/>
        </w:rPr>
        <w:t>加深入，并不断取得新进展。如：能量平衡受非常灵敏的机制调节，且认识还在</w:t>
      </w:r>
      <w:r>
        <w:rPr>
          <w:rFonts w:ascii="宋体" w:eastAsia="宋体" w:hAnsi="宋体" w:cs="宋体"/>
          <w:spacing w:val="2"/>
          <w:sz w:val="22"/>
          <w:szCs w:val="22"/>
        </w:rPr>
        <w:t xml:space="preserve">  </w:t>
      </w:r>
      <w:r>
        <w:rPr>
          <w:rFonts w:ascii="宋体" w:eastAsia="宋体" w:hAnsi="宋体" w:cs="宋体"/>
          <w:spacing w:val="-13"/>
          <w:sz w:val="22"/>
          <w:szCs w:val="22"/>
        </w:rPr>
        <w:t>深化；含碳水化合物食物的血糖指数概念得到认同，并广泛应用；膳食纤维的生</w:t>
      </w:r>
      <w:r>
        <w:rPr>
          <w:rFonts w:ascii="宋体" w:eastAsia="宋体" w:hAnsi="宋体" w:cs="宋体"/>
          <w:spacing w:val="1"/>
          <w:sz w:val="22"/>
          <w:szCs w:val="22"/>
        </w:rPr>
        <w:t xml:space="preserve">  </w:t>
      </w:r>
      <w:r>
        <w:rPr>
          <w:rFonts w:ascii="宋体" w:eastAsia="宋体" w:hAnsi="宋体" w:cs="宋体"/>
          <w:spacing w:val="-12"/>
          <w:sz w:val="22"/>
          <w:szCs w:val="22"/>
        </w:rPr>
        <w:t>理功能逐渐被认识，它对于预防胃肠道疾病、肥胖病、糖</w:t>
      </w:r>
      <w:r>
        <w:rPr>
          <w:rFonts w:ascii="宋体" w:eastAsia="宋体" w:hAnsi="宋体" w:cs="宋体"/>
          <w:spacing w:val="-13"/>
          <w:sz w:val="22"/>
          <w:szCs w:val="22"/>
        </w:rPr>
        <w:t>尿病、高脂血症等一些</w:t>
      </w:r>
      <w:r>
        <w:rPr>
          <w:rFonts w:ascii="宋体" w:eastAsia="宋体" w:hAnsi="宋体" w:cs="宋体"/>
          <w:sz w:val="22"/>
          <w:szCs w:val="22"/>
        </w:rPr>
        <w:t xml:space="preserve"> </w:t>
      </w:r>
      <w:r>
        <w:rPr>
          <w:rFonts w:ascii="宋体" w:eastAsia="宋体" w:hAnsi="宋体" w:cs="宋体"/>
          <w:spacing w:val="-7"/>
          <w:sz w:val="22"/>
          <w:szCs w:val="22"/>
        </w:rPr>
        <w:t>慢性非传染性疾病有重要作用；对维生素D</w:t>
      </w:r>
      <w:r>
        <w:rPr>
          <w:rFonts w:ascii="宋体" w:eastAsia="宋体" w:hAnsi="宋体" w:cs="宋体"/>
          <w:spacing w:val="14"/>
          <w:sz w:val="22"/>
          <w:szCs w:val="22"/>
        </w:rPr>
        <w:t xml:space="preserve"> </w:t>
      </w:r>
      <w:r>
        <w:rPr>
          <w:rFonts w:ascii="宋体" w:eastAsia="宋体" w:hAnsi="宋体" w:cs="宋体"/>
          <w:spacing w:val="-7"/>
          <w:sz w:val="22"/>
          <w:szCs w:val="22"/>
        </w:rPr>
        <w:t>内分泌系统及作用模式等有了新的</w:t>
      </w:r>
      <w:r>
        <w:rPr>
          <w:rFonts w:ascii="宋体" w:eastAsia="宋体" w:hAnsi="宋体" w:cs="宋体"/>
          <w:sz w:val="22"/>
          <w:szCs w:val="22"/>
        </w:rPr>
        <w:t xml:space="preserve">  </w:t>
      </w:r>
      <w:r>
        <w:rPr>
          <w:rFonts w:ascii="宋体" w:eastAsia="宋体" w:hAnsi="宋体" w:cs="宋体"/>
          <w:spacing w:val="-13"/>
          <w:sz w:val="22"/>
          <w:szCs w:val="22"/>
        </w:rPr>
        <w:t>进展；叶酸、维生素Bz、</w:t>
      </w:r>
      <w:r>
        <w:rPr>
          <w:rFonts w:ascii="宋体" w:eastAsia="宋体" w:hAnsi="宋体" w:cs="宋体"/>
          <w:spacing w:val="20"/>
          <w:sz w:val="22"/>
          <w:szCs w:val="22"/>
        </w:rPr>
        <w:t xml:space="preserve"> </w:t>
      </w:r>
      <w:r>
        <w:rPr>
          <w:rFonts w:ascii="宋体" w:eastAsia="宋体" w:hAnsi="宋体" w:cs="宋体"/>
          <w:spacing w:val="-13"/>
          <w:sz w:val="22"/>
          <w:szCs w:val="22"/>
        </w:rPr>
        <w:t>维生素B。与出生缺陷及心血管疾病病因关联的研究已</w:t>
      </w:r>
      <w:r>
        <w:rPr>
          <w:rFonts w:ascii="宋体" w:eastAsia="宋体" w:hAnsi="宋体" w:cs="宋体"/>
          <w:sz w:val="22"/>
          <w:szCs w:val="22"/>
        </w:rPr>
        <w:t xml:space="preserve">  </w:t>
      </w:r>
      <w:r>
        <w:rPr>
          <w:rFonts w:ascii="宋体" w:eastAsia="宋体" w:hAnsi="宋体" w:cs="宋体"/>
          <w:spacing w:val="-12"/>
          <w:sz w:val="22"/>
          <w:szCs w:val="22"/>
        </w:rPr>
        <w:t>深入到分子水平；多不饱和脂肪酸特别是n3</w:t>
      </w:r>
      <w:r>
        <w:rPr>
          <w:rFonts w:ascii="宋体" w:eastAsia="宋体" w:hAnsi="宋体" w:cs="宋体"/>
          <w:spacing w:val="16"/>
          <w:sz w:val="22"/>
          <w:szCs w:val="22"/>
        </w:rPr>
        <w:t xml:space="preserve"> </w:t>
      </w:r>
      <w:r>
        <w:rPr>
          <w:rFonts w:ascii="宋体" w:eastAsia="宋体" w:hAnsi="宋体" w:cs="宋体"/>
          <w:spacing w:val="-12"/>
          <w:sz w:val="22"/>
          <w:szCs w:val="22"/>
        </w:rPr>
        <w:t>系列的α-亚麻</w:t>
      </w:r>
      <w:r>
        <w:rPr>
          <w:rFonts w:ascii="宋体" w:eastAsia="宋体" w:hAnsi="宋体" w:cs="宋体"/>
          <w:spacing w:val="-13"/>
          <w:sz w:val="22"/>
          <w:szCs w:val="22"/>
        </w:rPr>
        <w:t>酸及其在体内形成的</w:t>
      </w:r>
      <w:r>
        <w:rPr>
          <w:rFonts w:ascii="宋体" w:eastAsia="宋体" w:hAnsi="宋体" w:cs="宋体"/>
          <w:sz w:val="22"/>
          <w:szCs w:val="22"/>
        </w:rPr>
        <w:t xml:space="preserve"> </w:t>
      </w:r>
      <w:r>
        <w:rPr>
          <w:rFonts w:ascii="宋体" w:eastAsia="宋体" w:hAnsi="宋体" w:cs="宋体"/>
          <w:spacing w:val="-16"/>
          <w:sz w:val="22"/>
          <w:szCs w:val="22"/>
        </w:rPr>
        <w:t>二十碳五烯酸和二十二碳六烯酸的生理作用逐渐被揭示，α-亚麻酸已被许多学者</w:t>
      </w:r>
      <w:r>
        <w:rPr>
          <w:rFonts w:ascii="宋体" w:eastAsia="宋体" w:hAnsi="宋体" w:cs="宋体"/>
          <w:spacing w:val="7"/>
          <w:sz w:val="22"/>
          <w:szCs w:val="22"/>
        </w:rPr>
        <w:t xml:space="preserve">  </w:t>
      </w:r>
      <w:r>
        <w:rPr>
          <w:rFonts w:ascii="宋体" w:eastAsia="宋体" w:hAnsi="宋体" w:cs="宋体"/>
          <w:spacing w:val="-10"/>
          <w:sz w:val="22"/>
          <w:szCs w:val="22"/>
        </w:rPr>
        <w:t>重新认定为是人体必需脂肪酸；硒对癌细胞有促进分化和抑制分裂的双向作用；</w:t>
      </w:r>
      <w:r>
        <w:rPr>
          <w:rFonts w:ascii="宋体" w:eastAsia="宋体" w:hAnsi="宋体" w:cs="宋体"/>
          <w:sz w:val="22"/>
          <w:szCs w:val="22"/>
        </w:rPr>
        <w:t xml:space="preserve"> </w:t>
      </w:r>
      <w:r>
        <w:rPr>
          <w:rFonts w:ascii="宋体" w:eastAsia="宋体" w:hAnsi="宋体" w:cs="宋体"/>
          <w:spacing w:val="-12"/>
          <w:sz w:val="22"/>
          <w:szCs w:val="22"/>
        </w:rPr>
        <w:t>维生素C、</w:t>
      </w:r>
      <w:r>
        <w:rPr>
          <w:rFonts w:ascii="宋体" w:eastAsia="宋体" w:hAnsi="宋体" w:cs="宋体"/>
          <w:spacing w:val="-30"/>
          <w:sz w:val="22"/>
          <w:szCs w:val="22"/>
        </w:rPr>
        <w:t xml:space="preserve"> </w:t>
      </w:r>
      <w:r>
        <w:rPr>
          <w:rFonts w:ascii="宋体" w:eastAsia="宋体" w:hAnsi="宋体" w:cs="宋体"/>
          <w:spacing w:val="-12"/>
          <w:sz w:val="22"/>
          <w:szCs w:val="22"/>
        </w:rPr>
        <w:t>维生素E、β胡萝卜素等可以直接清除体内自由基；硒、铁、锌、铜、</w:t>
      </w:r>
      <w:r>
        <w:rPr>
          <w:rFonts w:ascii="宋体" w:eastAsia="宋体" w:hAnsi="宋体" w:cs="宋体"/>
          <w:sz w:val="22"/>
          <w:szCs w:val="22"/>
        </w:rPr>
        <w:t xml:space="preserve"> </w:t>
      </w:r>
      <w:r>
        <w:rPr>
          <w:rFonts w:ascii="宋体" w:eastAsia="宋体" w:hAnsi="宋体" w:cs="宋体"/>
          <w:spacing w:val="-7"/>
          <w:sz w:val="22"/>
          <w:szCs w:val="22"/>
        </w:rPr>
        <w:t>锰等微量元素和维生素B</w:t>
      </w:r>
      <w:r>
        <w:rPr>
          <w:rFonts w:ascii="Calibri" w:eastAsia="Calibri" w:hAnsi="Calibri" w:cs="Calibri"/>
          <w:spacing w:val="-7"/>
          <w:sz w:val="22"/>
          <w:szCs w:val="22"/>
        </w:rPr>
        <w:t>₂</w:t>
      </w:r>
      <w:r>
        <w:rPr>
          <w:rFonts w:ascii="Calibri" w:eastAsia="Calibri" w:hAnsi="Calibri" w:cs="Calibri"/>
          <w:spacing w:val="43"/>
          <w:sz w:val="22"/>
          <w:szCs w:val="22"/>
        </w:rPr>
        <w:t xml:space="preserve"> </w:t>
      </w:r>
      <w:r>
        <w:rPr>
          <w:rFonts w:ascii="宋体" w:eastAsia="宋体" w:hAnsi="宋体" w:cs="宋体"/>
          <w:spacing w:val="-7"/>
          <w:sz w:val="22"/>
          <w:szCs w:val="22"/>
        </w:rPr>
        <w:t>是体内抗氧化的辅助因子，它们在体内的抗氧化作用</w:t>
      </w:r>
    </w:p>
    <w:p w:rsidR="00EA40A3" w:rsidRDefault="00E86C16">
      <w:pPr>
        <w:spacing w:before="112"/>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17"/>
          <w:sz w:val="15"/>
          <w:szCs w:val="15"/>
        </w:rPr>
        <w:t xml:space="preserve"> </w:t>
      </w:r>
      <w:r>
        <w:rPr>
          <w:rFonts w:ascii="宋体" w:eastAsia="宋体" w:hAnsi="宋体" w:cs="宋体"/>
          <w:spacing w:val="-19"/>
          <w:sz w:val="15"/>
          <w:szCs w:val="15"/>
        </w:rPr>
        <w:t>10</w:t>
      </w:r>
      <w:r>
        <w:rPr>
          <w:rFonts w:ascii="宋体" w:eastAsia="宋体" w:hAnsi="宋体" w:cs="宋体"/>
          <w:spacing w:val="57"/>
          <w:w w:val="101"/>
          <w:sz w:val="15"/>
          <w:szCs w:val="15"/>
        </w:rPr>
        <w:t xml:space="preserve"> </w:t>
      </w:r>
      <w:r>
        <w:rPr>
          <w:rFonts w:ascii="宋体" w:eastAsia="宋体" w:hAnsi="宋体" w:cs="宋体"/>
          <w:spacing w:val="-19"/>
          <w:sz w:val="15"/>
          <w:szCs w:val="15"/>
        </w:rPr>
        <w:t>·</w:t>
      </w:r>
    </w:p>
    <w:p w:rsidR="00EA40A3" w:rsidRDefault="00EA40A3">
      <w:pPr>
        <w:sectPr w:rsidR="00EA40A3">
          <w:footerReference w:type="default" r:id="rId23"/>
          <w:pgSz w:w="9220" w:h="13360"/>
          <w:pgMar w:top="400" w:right="1190" w:bottom="400" w:left="679" w:header="0" w:footer="0" w:gutter="0"/>
          <w:cols w:space="720"/>
        </w:sectPr>
      </w:pPr>
    </w:p>
    <w:p w:rsidR="00EA40A3" w:rsidRDefault="00EA40A3">
      <w:pPr>
        <w:spacing w:line="292" w:lineRule="auto"/>
      </w:pPr>
    </w:p>
    <w:p w:rsidR="00EA40A3" w:rsidRDefault="00EA40A3">
      <w:pPr>
        <w:spacing w:line="293" w:lineRule="auto"/>
      </w:pPr>
    </w:p>
    <w:p w:rsidR="00EA40A3" w:rsidRDefault="00E86C16">
      <w:pPr>
        <w:spacing w:before="68" w:line="219" w:lineRule="auto"/>
        <w:rPr>
          <w:rFonts w:ascii="宋体" w:eastAsia="宋体" w:hAnsi="宋体" w:cs="宋体"/>
        </w:rPr>
      </w:pPr>
      <w:r>
        <w:rPr>
          <w:rFonts w:ascii="宋体" w:eastAsia="宋体" w:hAnsi="宋体" w:cs="宋体"/>
          <w:spacing w:val="-8"/>
        </w:rPr>
        <w:t>及其机制的研究仍在深入。</w:t>
      </w:r>
    </w:p>
    <w:p w:rsidR="00EA40A3" w:rsidRDefault="00E86C16">
      <w:pPr>
        <w:spacing w:before="67" w:line="262" w:lineRule="auto"/>
        <w:ind w:firstLine="470"/>
        <w:rPr>
          <w:rFonts w:ascii="宋体" w:eastAsia="宋体" w:hAnsi="宋体" w:cs="宋体"/>
        </w:rPr>
      </w:pPr>
      <w:r>
        <w:rPr>
          <w:rFonts w:ascii="宋体" w:eastAsia="宋体" w:hAnsi="宋体" w:cs="宋体"/>
          <w:spacing w:val="-1"/>
        </w:rPr>
        <w:t>(2)营养与健康：营养与健康的关系已成为现代</w:t>
      </w:r>
      <w:r>
        <w:rPr>
          <w:rFonts w:ascii="宋体" w:eastAsia="宋体" w:hAnsi="宋体" w:cs="宋体"/>
          <w:spacing w:val="-2"/>
        </w:rPr>
        <w:t>营养学的一项重要内容。越</w:t>
      </w:r>
      <w:r>
        <w:rPr>
          <w:rFonts w:ascii="宋体" w:eastAsia="宋体" w:hAnsi="宋体" w:cs="宋体"/>
        </w:rPr>
        <w:t xml:space="preserve"> </w:t>
      </w:r>
      <w:r>
        <w:rPr>
          <w:rFonts w:ascii="宋体" w:eastAsia="宋体" w:hAnsi="宋体" w:cs="宋体"/>
          <w:spacing w:val="-3"/>
        </w:rPr>
        <w:t>来越多的研究及流行病学调查表明，癌症、心脑血管病、糖尿病、肥胖症等一些</w:t>
      </w:r>
      <w:r>
        <w:rPr>
          <w:rFonts w:ascii="宋体" w:eastAsia="宋体" w:hAnsi="宋体" w:cs="宋体"/>
          <w:spacing w:val="4"/>
        </w:rPr>
        <w:t xml:space="preserve"> </w:t>
      </w:r>
      <w:r>
        <w:rPr>
          <w:rFonts w:ascii="宋体" w:eastAsia="宋体" w:hAnsi="宋体" w:cs="宋体"/>
          <w:spacing w:val="-3"/>
        </w:rPr>
        <w:t>严重危害身体健康的慢性病与膳食营养关系十分密切。膳食营养因素是这些疾病</w:t>
      </w:r>
      <w:r>
        <w:rPr>
          <w:rFonts w:ascii="宋体" w:eastAsia="宋体" w:hAnsi="宋体" w:cs="宋体"/>
          <w:spacing w:val="8"/>
        </w:rPr>
        <w:t xml:space="preserve"> </w:t>
      </w:r>
      <w:r>
        <w:rPr>
          <w:rFonts w:ascii="宋体" w:eastAsia="宋体" w:hAnsi="宋体" w:cs="宋体"/>
          <w:spacing w:val="-3"/>
        </w:rPr>
        <w:t>的重要成因，或者是预防和治疗这些疾病的重</w:t>
      </w:r>
      <w:r>
        <w:rPr>
          <w:rFonts w:ascii="宋体" w:eastAsia="宋体" w:hAnsi="宋体" w:cs="宋体"/>
          <w:spacing w:val="-4"/>
        </w:rPr>
        <w:t>要手段；如高盐可引起高血压，叶</w:t>
      </w:r>
      <w:r>
        <w:rPr>
          <w:rFonts w:ascii="宋体" w:eastAsia="宋体" w:hAnsi="宋体" w:cs="宋体"/>
        </w:rPr>
        <w:t xml:space="preserve">  </w:t>
      </w:r>
      <w:r>
        <w:rPr>
          <w:rFonts w:ascii="宋体" w:eastAsia="宋体" w:hAnsi="宋体" w:cs="宋体"/>
          <w:spacing w:val="1"/>
        </w:rPr>
        <w:t>酸、维生素B</w:t>
      </w:r>
      <w:r>
        <w:rPr>
          <w:rFonts w:ascii="Calibri" w:eastAsia="Calibri" w:hAnsi="Calibri" w:cs="Calibri"/>
          <w:spacing w:val="1"/>
        </w:rPr>
        <w:t>₃</w:t>
      </w:r>
      <w:r>
        <w:rPr>
          <w:rFonts w:ascii="Calibri" w:eastAsia="Calibri" w:hAnsi="Calibri" w:cs="Calibri"/>
          <w:spacing w:val="7"/>
        </w:rPr>
        <w:t xml:space="preserve">  </w:t>
      </w:r>
      <w:r>
        <w:rPr>
          <w:rFonts w:ascii="宋体" w:eastAsia="宋体" w:hAnsi="宋体" w:cs="宋体"/>
          <w:spacing w:val="1"/>
        </w:rPr>
        <w:t>和维生素B</w:t>
      </w:r>
      <w:r>
        <w:rPr>
          <w:rFonts w:ascii="Calibri" w:eastAsia="Calibri" w:hAnsi="Calibri" w:cs="Calibri"/>
          <w:spacing w:val="1"/>
        </w:rPr>
        <w:t>₂</w:t>
      </w:r>
      <w:r>
        <w:rPr>
          <w:rFonts w:ascii="Calibri" w:eastAsia="Calibri" w:hAnsi="Calibri" w:cs="Calibri"/>
          <w:spacing w:val="6"/>
        </w:rPr>
        <w:t xml:space="preserve">  </w:t>
      </w:r>
      <w:r>
        <w:rPr>
          <w:rFonts w:ascii="宋体" w:eastAsia="宋体" w:hAnsi="宋体" w:cs="宋体"/>
          <w:spacing w:val="1"/>
        </w:rPr>
        <w:t xml:space="preserve">对心血管疾病有预防效果。另外一些研究表明癌症、 </w:t>
      </w:r>
      <w:r>
        <w:rPr>
          <w:rFonts w:ascii="宋体" w:eastAsia="宋体" w:hAnsi="宋体" w:cs="宋体"/>
          <w:spacing w:val="-3"/>
        </w:rPr>
        <w:t>高血压、冠心病、糖尿病，乃至骨质疏松症等的发生和发展都与一些共同的膳食</w:t>
      </w:r>
      <w:r>
        <w:rPr>
          <w:rFonts w:ascii="宋体" w:eastAsia="宋体" w:hAnsi="宋体" w:cs="宋体"/>
          <w:spacing w:val="3"/>
        </w:rPr>
        <w:t xml:space="preserve"> </w:t>
      </w:r>
      <w:r>
        <w:rPr>
          <w:rFonts w:ascii="宋体" w:eastAsia="宋体" w:hAnsi="宋体" w:cs="宋体"/>
          <w:spacing w:val="-3"/>
        </w:rPr>
        <w:t>因素有关，尤其是由于营养不平衡而导致的肥胖，则是大多数慢性病的共同危险</w:t>
      </w:r>
      <w:r>
        <w:rPr>
          <w:rFonts w:ascii="宋体" w:eastAsia="宋体" w:hAnsi="宋体" w:cs="宋体"/>
          <w:spacing w:val="2"/>
        </w:rPr>
        <w:t xml:space="preserve"> </w:t>
      </w:r>
      <w:r>
        <w:rPr>
          <w:rFonts w:ascii="宋体" w:eastAsia="宋体" w:hAnsi="宋体" w:cs="宋体"/>
          <w:spacing w:val="-3"/>
        </w:rPr>
        <w:t>因素。所以，世界卫生组织强调在社区中用改善膳食和适当体力活动为主的干预</w:t>
      </w:r>
      <w:r>
        <w:rPr>
          <w:rFonts w:ascii="宋体" w:eastAsia="宋体" w:hAnsi="宋体" w:cs="宋体"/>
          <w:spacing w:val="2"/>
        </w:rPr>
        <w:t xml:space="preserve"> </w:t>
      </w:r>
      <w:r>
        <w:rPr>
          <w:rFonts w:ascii="宋体" w:eastAsia="宋体" w:hAnsi="宋体" w:cs="宋体"/>
          <w:spacing w:val="-4"/>
        </w:rPr>
        <w:t>策略来防治多种慢性病。这些方面的研究还在不断发展。</w:t>
      </w:r>
    </w:p>
    <w:p w:rsidR="00EA40A3" w:rsidRDefault="00E86C16">
      <w:pPr>
        <w:spacing w:before="52" w:line="260" w:lineRule="auto"/>
        <w:ind w:right="20" w:firstLine="470"/>
        <w:rPr>
          <w:rFonts w:ascii="宋体" w:eastAsia="宋体" w:hAnsi="宋体" w:cs="宋体"/>
        </w:rPr>
      </w:pPr>
      <w:r>
        <w:rPr>
          <w:rFonts w:ascii="宋体" w:eastAsia="宋体" w:hAnsi="宋体" w:cs="宋体"/>
        </w:rPr>
        <w:t>(3)食物中活性成分：这是目前营养学研究较活跃的一个领域。有些流行病</w:t>
      </w:r>
      <w:r>
        <w:rPr>
          <w:rFonts w:ascii="宋体" w:eastAsia="宋体" w:hAnsi="宋体" w:cs="宋体"/>
          <w:spacing w:val="8"/>
        </w:rPr>
        <w:t xml:space="preserve"> </w:t>
      </w:r>
      <w:r>
        <w:rPr>
          <w:rFonts w:ascii="宋体" w:eastAsia="宋体" w:hAnsi="宋体" w:cs="宋体"/>
          <w:spacing w:val="-3"/>
        </w:rPr>
        <w:t>学观察的结果难以用营养素来解释，而越来越多的动物实验结果表明，食物中许</w:t>
      </w:r>
      <w:r>
        <w:rPr>
          <w:rFonts w:ascii="宋体" w:eastAsia="宋体" w:hAnsi="宋体" w:cs="宋体"/>
          <w:spacing w:val="2"/>
        </w:rPr>
        <w:t xml:space="preserve"> 多非营养素生物活性成分特别是一些植物化学物质</w:t>
      </w:r>
      <w:r>
        <w:rPr>
          <w:rFonts w:ascii="宋体" w:eastAsia="宋体" w:hAnsi="宋体" w:cs="宋体"/>
          <w:spacing w:val="-17"/>
        </w:rPr>
        <w:t xml:space="preserve"> </w:t>
      </w:r>
      <w:r>
        <w:rPr>
          <w:rFonts w:ascii="宋体" w:eastAsia="宋体" w:hAnsi="宋体" w:cs="宋体"/>
          <w:spacing w:val="2"/>
        </w:rPr>
        <w:t>(</w:t>
      </w:r>
      <w:r>
        <w:rPr>
          <w:rFonts w:ascii="宋体" w:eastAsia="宋体" w:hAnsi="宋体" w:cs="宋体"/>
        </w:rPr>
        <w:t>phytochemical</w:t>
      </w:r>
      <w:r>
        <w:rPr>
          <w:rFonts w:ascii="宋体" w:eastAsia="宋体" w:hAnsi="宋体" w:cs="宋体"/>
          <w:spacing w:val="2"/>
        </w:rPr>
        <w:t>)</w:t>
      </w:r>
      <w:r>
        <w:rPr>
          <w:rFonts w:ascii="宋体" w:eastAsia="宋体" w:hAnsi="宋体" w:cs="宋体"/>
          <w:spacing w:val="-35"/>
        </w:rPr>
        <w:t xml:space="preserve"> </w:t>
      </w:r>
      <w:r>
        <w:rPr>
          <w:rFonts w:ascii="宋体" w:eastAsia="宋体" w:hAnsi="宋体" w:cs="宋体"/>
          <w:spacing w:val="2"/>
        </w:rPr>
        <w:t>具有重要</w:t>
      </w:r>
      <w:r>
        <w:rPr>
          <w:rFonts w:ascii="宋体" w:eastAsia="宋体" w:hAnsi="宋体" w:cs="宋体"/>
        </w:rPr>
        <w:t xml:space="preserve"> </w:t>
      </w:r>
      <w:r>
        <w:rPr>
          <w:rFonts w:ascii="宋体" w:eastAsia="宋体" w:hAnsi="宋体" w:cs="宋体"/>
          <w:spacing w:val="3"/>
        </w:rPr>
        <w:t>的功能。目前食物中的非营养素生物活性成分研究较多的有：植物中的多酚类</w:t>
      </w:r>
      <w:r>
        <w:rPr>
          <w:rFonts w:ascii="宋体" w:eastAsia="宋体" w:hAnsi="宋体" w:cs="宋体"/>
          <w:spacing w:val="6"/>
        </w:rPr>
        <w:t xml:space="preserve"> </w:t>
      </w:r>
      <w:r>
        <w:rPr>
          <w:rFonts w:ascii="宋体" w:eastAsia="宋体" w:hAnsi="宋体" w:cs="宋体"/>
        </w:rPr>
        <w:t>(酚酸和类黄酮);蔬菜中的类胡萝卜素及异硫氰酸盐；大蒜中的含硫化合物；大</w:t>
      </w:r>
      <w:r>
        <w:rPr>
          <w:rFonts w:ascii="宋体" w:eastAsia="宋体" w:hAnsi="宋体" w:cs="宋体"/>
          <w:spacing w:val="3"/>
        </w:rPr>
        <w:t xml:space="preserve"> </w:t>
      </w:r>
      <w:r>
        <w:rPr>
          <w:rFonts w:ascii="宋体" w:eastAsia="宋体" w:hAnsi="宋体" w:cs="宋体"/>
          <w:spacing w:val="-3"/>
        </w:rPr>
        <w:t>豆中的异黄酮；香菇、灵芝、魔芋、枸杞中的多碳水化合物；人参中的皂苷；红</w:t>
      </w:r>
      <w:r>
        <w:rPr>
          <w:rFonts w:ascii="宋体" w:eastAsia="宋体" w:hAnsi="宋体" w:cs="宋体"/>
          <w:spacing w:val="3"/>
        </w:rPr>
        <w:t xml:space="preserve"> </w:t>
      </w:r>
      <w:r>
        <w:rPr>
          <w:rFonts w:ascii="宋体" w:eastAsia="宋体" w:hAnsi="宋体" w:cs="宋体"/>
          <w:spacing w:val="-3"/>
        </w:rPr>
        <w:t>曲中的红曲色素等。这些成分中的大多数具有抗氧化、免疫调节和延缓衰老等多</w:t>
      </w:r>
      <w:r>
        <w:rPr>
          <w:rFonts w:ascii="宋体" w:eastAsia="宋体" w:hAnsi="宋体" w:cs="宋体"/>
          <w:spacing w:val="13"/>
        </w:rPr>
        <w:t xml:space="preserve"> </w:t>
      </w:r>
      <w:r>
        <w:rPr>
          <w:rFonts w:ascii="宋体" w:eastAsia="宋体" w:hAnsi="宋体" w:cs="宋体"/>
          <w:spacing w:val="-2"/>
        </w:rPr>
        <w:t>种作用，对心血管病和某些癌症具有一定的预防和辅助</w:t>
      </w:r>
      <w:r>
        <w:rPr>
          <w:rFonts w:ascii="宋体" w:eastAsia="宋体" w:hAnsi="宋体" w:cs="宋体"/>
          <w:spacing w:val="-3"/>
        </w:rPr>
        <w:t>治疗作用。尽管目前还没</w:t>
      </w:r>
      <w:r>
        <w:rPr>
          <w:rFonts w:ascii="宋体" w:eastAsia="宋体" w:hAnsi="宋体" w:cs="宋体"/>
        </w:rPr>
        <w:t xml:space="preserve"> </w:t>
      </w:r>
      <w:r>
        <w:rPr>
          <w:rFonts w:ascii="宋体" w:eastAsia="宋体" w:hAnsi="宋体" w:cs="宋体"/>
          <w:spacing w:val="-3"/>
        </w:rPr>
        <w:t>有可靠的流行病学证据来具体说明从膳食中对这些成分摄入多少量才对健康有促</w:t>
      </w:r>
      <w:r>
        <w:rPr>
          <w:rFonts w:ascii="宋体" w:eastAsia="宋体" w:hAnsi="宋体" w:cs="宋体"/>
          <w:spacing w:val="2"/>
        </w:rPr>
        <w:t xml:space="preserve"> </w:t>
      </w:r>
      <w:r>
        <w:rPr>
          <w:rFonts w:ascii="宋体" w:eastAsia="宋体" w:hAnsi="宋体" w:cs="宋体"/>
          <w:spacing w:val="-2"/>
        </w:rPr>
        <w:t>进作用或对某些慢性病患者有保护作用，但多数学者认</w:t>
      </w:r>
      <w:r>
        <w:rPr>
          <w:rFonts w:ascii="宋体" w:eastAsia="宋体" w:hAnsi="宋体" w:cs="宋体"/>
          <w:spacing w:val="-3"/>
        </w:rPr>
        <w:t>为这一新领域无论在理论</w:t>
      </w:r>
      <w:r>
        <w:rPr>
          <w:rFonts w:ascii="宋体" w:eastAsia="宋体" w:hAnsi="宋体" w:cs="宋体"/>
        </w:rPr>
        <w:t xml:space="preserve"> </w:t>
      </w:r>
      <w:r>
        <w:rPr>
          <w:rFonts w:ascii="宋体" w:eastAsia="宋体" w:hAnsi="宋体" w:cs="宋体"/>
          <w:spacing w:val="-4"/>
        </w:rPr>
        <w:t>上，还是在实际应用上均具有广阔的前景。值得注意</w:t>
      </w:r>
      <w:r>
        <w:rPr>
          <w:rFonts w:ascii="宋体" w:eastAsia="宋体" w:hAnsi="宋体" w:cs="宋体"/>
          <w:spacing w:val="-5"/>
        </w:rPr>
        <w:t>的是，这方面的研究往往难</w:t>
      </w:r>
      <w:r>
        <w:rPr>
          <w:rFonts w:ascii="宋体" w:eastAsia="宋体" w:hAnsi="宋体" w:cs="宋体"/>
        </w:rPr>
        <w:t xml:space="preserve">  </w:t>
      </w:r>
      <w:r>
        <w:rPr>
          <w:rFonts w:ascii="宋体" w:eastAsia="宋体" w:hAnsi="宋体" w:cs="宋体"/>
          <w:spacing w:val="-5"/>
        </w:rPr>
        <w:t>以划清食品和药品的界限，故加强管理显得十分重要。</w:t>
      </w:r>
    </w:p>
    <w:p w:rsidR="00EA40A3" w:rsidRDefault="00E86C16">
      <w:pPr>
        <w:spacing w:before="55" w:line="260" w:lineRule="auto"/>
        <w:ind w:right="26" w:firstLine="470"/>
        <w:rPr>
          <w:rFonts w:ascii="宋体" w:eastAsia="宋体" w:hAnsi="宋体" w:cs="宋体"/>
        </w:rPr>
      </w:pPr>
      <w:r>
        <w:rPr>
          <w:rFonts w:ascii="宋体" w:eastAsia="宋体" w:hAnsi="宋体" w:cs="宋体"/>
        </w:rPr>
        <w:t>(4)营养与基因表达：随着分子生物学理论与技术在生命科学各个学科领域</w:t>
      </w:r>
      <w:r>
        <w:rPr>
          <w:rFonts w:ascii="宋体" w:eastAsia="宋体" w:hAnsi="宋体" w:cs="宋体"/>
          <w:spacing w:val="2"/>
        </w:rPr>
        <w:t xml:space="preserve"> </w:t>
      </w:r>
      <w:r>
        <w:rPr>
          <w:rFonts w:ascii="宋体" w:eastAsia="宋体" w:hAnsi="宋体" w:cs="宋体"/>
          <w:spacing w:val="-3"/>
        </w:rPr>
        <w:t>中的渗透与应用，营养因素与遗传基因相互作用的研究成为营养学中一个新的热</w:t>
      </w:r>
      <w:r>
        <w:rPr>
          <w:rFonts w:ascii="宋体" w:eastAsia="宋体" w:hAnsi="宋体" w:cs="宋体"/>
          <w:spacing w:val="6"/>
        </w:rPr>
        <w:t xml:space="preserve"> </w:t>
      </w:r>
      <w:r>
        <w:rPr>
          <w:rFonts w:ascii="宋体" w:eastAsia="宋体" w:hAnsi="宋体" w:cs="宋体"/>
          <w:spacing w:val="-3"/>
        </w:rPr>
        <w:t>点，并取得了一些重要进展。目前对有些营养素功能的认识</w:t>
      </w:r>
      <w:r>
        <w:rPr>
          <w:rFonts w:ascii="宋体" w:eastAsia="宋体" w:hAnsi="宋体" w:cs="宋体"/>
          <w:spacing w:val="-4"/>
        </w:rPr>
        <w:t>已达到基因水平。例</w:t>
      </w:r>
      <w:r>
        <w:rPr>
          <w:rFonts w:ascii="宋体" w:eastAsia="宋体" w:hAnsi="宋体" w:cs="宋体"/>
        </w:rPr>
        <w:t xml:space="preserve"> </w:t>
      </w:r>
      <w:r>
        <w:rPr>
          <w:rFonts w:ascii="宋体" w:eastAsia="宋体" w:hAnsi="宋体" w:cs="宋体"/>
          <w:spacing w:val="1"/>
        </w:rPr>
        <w:t>如，硒可能是通过调节谷胱甘肽过氧化物酶</w:t>
      </w:r>
      <w:r>
        <w:rPr>
          <w:rFonts w:ascii="宋体" w:eastAsia="宋体" w:hAnsi="宋体" w:cs="宋体"/>
          <w:spacing w:val="-14"/>
        </w:rPr>
        <w:t xml:space="preserve"> </w:t>
      </w:r>
      <w:r>
        <w:rPr>
          <w:rFonts w:ascii="宋体" w:eastAsia="宋体" w:hAnsi="宋体" w:cs="宋体"/>
          <w:spacing w:val="1"/>
        </w:rPr>
        <w:t>(</w:t>
      </w:r>
      <w:r>
        <w:rPr>
          <w:rFonts w:ascii="宋体" w:eastAsia="宋体" w:hAnsi="宋体" w:cs="宋体"/>
        </w:rPr>
        <w:t>GSH</w:t>
      </w:r>
      <w:r>
        <w:rPr>
          <w:rFonts w:ascii="宋体" w:eastAsia="宋体" w:hAnsi="宋体" w:cs="宋体"/>
          <w:spacing w:val="1"/>
        </w:rPr>
        <w:t>-</w:t>
      </w:r>
      <w:r>
        <w:rPr>
          <w:rFonts w:ascii="宋体" w:eastAsia="宋体" w:hAnsi="宋体" w:cs="宋体"/>
        </w:rPr>
        <w:t>Px</w:t>
      </w:r>
      <w:r>
        <w:rPr>
          <w:rFonts w:ascii="宋体" w:eastAsia="宋体" w:hAnsi="宋体" w:cs="宋体"/>
          <w:spacing w:val="1"/>
        </w:rPr>
        <w:t>)</w:t>
      </w:r>
      <w:r>
        <w:rPr>
          <w:rFonts w:ascii="宋体" w:eastAsia="宋体" w:hAnsi="宋体" w:cs="宋体"/>
          <w:spacing w:val="42"/>
        </w:rPr>
        <w:t xml:space="preserve">  </w:t>
      </w:r>
      <w:r>
        <w:rPr>
          <w:rFonts w:ascii="宋体" w:eastAsia="宋体" w:hAnsi="宋体" w:cs="宋体"/>
        </w:rPr>
        <w:t>的</w:t>
      </w:r>
      <w:r>
        <w:rPr>
          <w:rFonts w:ascii="宋体" w:eastAsia="宋体" w:hAnsi="宋体" w:cs="宋体"/>
          <w:spacing w:val="-29"/>
        </w:rPr>
        <w:t xml:space="preserve"> </w:t>
      </w:r>
      <w:r>
        <w:rPr>
          <w:rFonts w:ascii="宋体" w:eastAsia="宋体" w:hAnsi="宋体" w:cs="宋体"/>
        </w:rPr>
        <w:t>mRNA</w:t>
      </w:r>
      <w:r>
        <w:rPr>
          <w:rFonts w:ascii="宋体" w:eastAsia="宋体" w:hAnsi="宋体" w:cs="宋体"/>
          <w:spacing w:val="26"/>
        </w:rPr>
        <w:t xml:space="preserve">  </w:t>
      </w:r>
      <w:r>
        <w:rPr>
          <w:rFonts w:ascii="宋体" w:eastAsia="宋体" w:hAnsi="宋体" w:cs="宋体"/>
        </w:rPr>
        <w:t>稳定性来调</w:t>
      </w:r>
      <w:r>
        <w:rPr>
          <w:rFonts w:ascii="宋体" w:eastAsia="宋体" w:hAnsi="宋体" w:cs="宋体"/>
          <w:spacing w:val="1"/>
        </w:rPr>
        <w:t xml:space="preserve"> </w:t>
      </w:r>
      <w:r>
        <w:rPr>
          <w:rFonts w:ascii="宋体" w:eastAsia="宋体" w:hAnsi="宋体" w:cs="宋体"/>
          <w:spacing w:val="-2"/>
        </w:rPr>
        <w:t>控</w:t>
      </w:r>
      <w:r>
        <w:rPr>
          <w:rFonts w:ascii="宋体" w:eastAsia="宋体" w:hAnsi="宋体" w:cs="宋体"/>
          <w:spacing w:val="-45"/>
        </w:rPr>
        <w:t xml:space="preserve"> </w:t>
      </w:r>
      <w:r>
        <w:rPr>
          <w:rFonts w:ascii="宋体" w:eastAsia="宋体" w:hAnsi="宋体" w:cs="宋体"/>
          <w:spacing w:val="-2"/>
        </w:rPr>
        <w:t>GSH-Px</w:t>
      </w:r>
      <w:r>
        <w:rPr>
          <w:rFonts w:ascii="宋体" w:eastAsia="宋体" w:hAnsi="宋体" w:cs="宋体"/>
          <w:spacing w:val="81"/>
        </w:rPr>
        <w:t xml:space="preserve"> </w:t>
      </w:r>
      <w:r>
        <w:rPr>
          <w:rFonts w:ascii="宋体" w:eastAsia="宋体" w:hAnsi="宋体" w:cs="宋体"/>
          <w:spacing w:val="-2"/>
        </w:rPr>
        <w:t>的基因表达。</w:t>
      </w:r>
      <w:r>
        <w:rPr>
          <w:rFonts w:ascii="宋体" w:eastAsia="宋体" w:hAnsi="宋体" w:cs="宋体"/>
          <w:spacing w:val="47"/>
        </w:rPr>
        <w:t xml:space="preserve"> </w:t>
      </w:r>
      <w:r>
        <w:rPr>
          <w:rFonts w:ascii="宋体" w:eastAsia="宋体" w:hAnsi="宋体" w:cs="宋体"/>
          <w:spacing w:val="-2"/>
        </w:rPr>
        <w:t>一些基因的异常表达或突变与某些慢性疾病的发生和</w:t>
      </w:r>
      <w:r>
        <w:rPr>
          <w:rFonts w:ascii="宋体" w:eastAsia="宋体" w:hAnsi="宋体" w:cs="宋体"/>
        </w:rPr>
        <w:t xml:space="preserve"> </w:t>
      </w:r>
      <w:r>
        <w:rPr>
          <w:rFonts w:ascii="宋体" w:eastAsia="宋体" w:hAnsi="宋体" w:cs="宋体"/>
          <w:spacing w:val="-3"/>
        </w:rPr>
        <w:t>发展有着密切关系，例如，血浆中同型半胱氨酸水平异常升高被认为是动脉粥样</w:t>
      </w:r>
      <w:r>
        <w:rPr>
          <w:rFonts w:ascii="宋体" w:eastAsia="宋体" w:hAnsi="宋体" w:cs="宋体"/>
          <w:spacing w:val="4"/>
        </w:rPr>
        <w:t xml:space="preserve"> </w:t>
      </w:r>
      <w:r>
        <w:rPr>
          <w:rFonts w:ascii="宋体" w:eastAsia="宋体" w:hAnsi="宋体" w:cs="宋体"/>
          <w:spacing w:val="-3"/>
        </w:rPr>
        <w:t>硬化的危险因素。正常情况下，胱硫醚合成酶和亚甲基四氢叶酸还原酶将同型半</w:t>
      </w:r>
      <w:r>
        <w:rPr>
          <w:rFonts w:ascii="宋体" w:eastAsia="宋体" w:hAnsi="宋体" w:cs="宋体"/>
          <w:spacing w:val="3"/>
        </w:rPr>
        <w:t xml:space="preserve"> 胱氨酸分别转化为半胱氨酸和蛋氨酸，使血液中同型半胱氨酸维持在较低的水</w:t>
      </w:r>
      <w:r>
        <w:rPr>
          <w:rFonts w:ascii="宋体" w:eastAsia="宋体" w:hAnsi="宋体" w:cs="宋体"/>
          <w:spacing w:val="6"/>
        </w:rPr>
        <w:t xml:space="preserve"> </w:t>
      </w:r>
      <w:r>
        <w:rPr>
          <w:rFonts w:ascii="宋体" w:eastAsia="宋体" w:hAnsi="宋体" w:cs="宋体"/>
          <w:spacing w:val="-3"/>
        </w:rPr>
        <w:t>平。当表达这两种酶的基因发生突变时，两种酶的活性下降，同型半胱氨酸水平</w:t>
      </w:r>
      <w:r>
        <w:rPr>
          <w:rFonts w:ascii="宋体" w:eastAsia="宋体" w:hAnsi="宋体" w:cs="宋体"/>
          <w:spacing w:val="3"/>
        </w:rPr>
        <w:t xml:space="preserve"> </w:t>
      </w:r>
      <w:r>
        <w:rPr>
          <w:rFonts w:ascii="宋体" w:eastAsia="宋体" w:hAnsi="宋体" w:cs="宋体"/>
          <w:spacing w:val="-3"/>
        </w:rPr>
        <w:t>升高，成为发生动脉粥样硬化的危险因素。目前有可能了解基因-膳食-健康之间</w:t>
      </w:r>
      <w:r>
        <w:rPr>
          <w:rFonts w:ascii="宋体" w:eastAsia="宋体" w:hAnsi="宋体" w:cs="宋体"/>
          <w:spacing w:val="17"/>
        </w:rPr>
        <w:t xml:space="preserve"> </w:t>
      </w:r>
      <w:r>
        <w:rPr>
          <w:rFonts w:ascii="宋体" w:eastAsia="宋体" w:hAnsi="宋体" w:cs="宋体"/>
          <w:spacing w:val="-2"/>
        </w:rPr>
        <w:t>相互影响的三边关系，基因因素可能与膳食及生活方</w:t>
      </w:r>
      <w:r>
        <w:rPr>
          <w:rFonts w:ascii="宋体" w:eastAsia="宋体" w:hAnsi="宋体" w:cs="宋体"/>
          <w:spacing w:val="-3"/>
        </w:rPr>
        <w:t>式因素发生交互作用，并影</w:t>
      </w:r>
      <w:r>
        <w:rPr>
          <w:rFonts w:ascii="宋体" w:eastAsia="宋体" w:hAnsi="宋体" w:cs="宋体"/>
        </w:rPr>
        <w:t xml:space="preserve"> </w:t>
      </w:r>
      <w:r>
        <w:rPr>
          <w:rFonts w:ascii="宋体" w:eastAsia="宋体" w:hAnsi="宋体" w:cs="宋体"/>
          <w:spacing w:val="-3"/>
        </w:rPr>
        <w:t>响人类对疾病的易患性。此外，膳食因素还可能影响基因多态性，从而影响相关</w:t>
      </w:r>
      <w:r>
        <w:rPr>
          <w:rFonts w:ascii="宋体" w:eastAsia="宋体" w:hAnsi="宋体" w:cs="宋体"/>
          <w:spacing w:val="3"/>
        </w:rPr>
        <w:t xml:space="preserve"> </w:t>
      </w:r>
      <w:r>
        <w:rPr>
          <w:rFonts w:ascii="宋体" w:eastAsia="宋体" w:hAnsi="宋体" w:cs="宋体"/>
          <w:spacing w:val="14"/>
        </w:rPr>
        <w:t>疾病的发生。例如，膳食多不饱和脂肪酸的摄入水平可能影响载脂蛋白</w:t>
      </w:r>
      <w:r>
        <w:rPr>
          <w:rFonts w:ascii="宋体" w:eastAsia="宋体" w:hAnsi="宋体" w:cs="宋体"/>
          <w:spacing w:val="-61"/>
        </w:rPr>
        <w:t xml:space="preserve"> </w:t>
      </w:r>
      <w:r>
        <w:rPr>
          <w:rFonts w:ascii="宋体" w:eastAsia="宋体" w:hAnsi="宋体" w:cs="宋体"/>
        </w:rPr>
        <w:t>Al</w:t>
      </w:r>
    </w:p>
    <w:p w:rsidR="00EA40A3" w:rsidRDefault="00E86C16">
      <w:pPr>
        <w:spacing w:before="211" w:line="219" w:lineRule="auto"/>
        <w:rPr>
          <w:rFonts w:ascii="宋体" w:eastAsia="宋体" w:hAnsi="宋体" w:cs="宋体"/>
        </w:rPr>
      </w:pPr>
      <w:r>
        <w:rPr>
          <w:rFonts w:ascii="宋体" w:eastAsia="宋体" w:hAnsi="宋体" w:cs="宋体"/>
          <w:spacing w:val="1"/>
        </w:rPr>
        <w:t>(</w:t>
      </w:r>
      <w:r>
        <w:rPr>
          <w:rFonts w:ascii="宋体" w:eastAsia="宋体" w:hAnsi="宋体" w:cs="宋体"/>
        </w:rPr>
        <w:t>APOA</w:t>
      </w:r>
      <w:r>
        <w:rPr>
          <w:rFonts w:ascii="宋体" w:eastAsia="宋体" w:hAnsi="宋体" w:cs="宋体"/>
          <w:spacing w:val="1"/>
        </w:rPr>
        <w:t>¹)</w:t>
      </w:r>
      <w:r>
        <w:rPr>
          <w:rFonts w:ascii="宋体" w:eastAsia="宋体" w:hAnsi="宋体" w:cs="宋体"/>
          <w:spacing w:val="20"/>
        </w:rPr>
        <w:t xml:space="preserve">   </w:t>
      </w:r>
      <w:r>
        <w:rPr>
          <w:rFonts w:ascii="宋体" w:eastAsia="宋体" w:hAnsi="宋体" w:cs="宋体"/>
          <w:spacing w:val="1"/>
        </w:rPr>
        <w:t>基因变异与血中高密度脂蛋白胆固醇水平的关联；膳食维生素D</w:t>
      </w:r>
      <w:r>
        <w:rPr>
          <w:rFonts w:ascii="宋体" w:eastAsia="宋体" w:hAnsi="宋体" w:cs="宋体"/>
          <w:spacing w:val="17"/>
        </w:rPr>
        <w:t xml:space="preserve"> </w:t>
      </w:r>
      <w:r>
        <w:rPr>
          <w:rFonts w:ascii="宋体" w:eastAsia="宋体" w:hAnsi="宋体" w:cs="宋体"/>
          <w:spacing w:val="1"/>
        </w:rPr>
        <w:t>和</w:t>
      </w:r>
    </w:p>
    <w:p w:rsidR="00EA40A3" w:rsidRDefault="00E86C16">
      <w:pPr>
        <w:spacing w:before="97" w:line="241" w:lineRule="auto"/>
        <w:ind w:right="83"/>
        <w:jc w:val="right"/>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31"/>
          <w:sz w:val="18"/>
          <w:szCs w:val="18"/>
        </w:rPr>
        <w:t xml:space="preserve"> </w:t>
      </w:r>
      <w:r>
        <w:rPr>
          <w:rFonts w:ascii="宋体" w:eastAsia="宋体" w:hAnsi="宋体" w:cs="宋体"/>
          <w:spacing w:val="-26"/>
          <w:sz w:val="18"/>
          <w:szCs w:val="18"/>
        </w:rPr>
        <w:t>11</w:t>
      </w:r>
      <w:r>
        <w:rPr>
          <w:rFonts w:ascii="宋体" w:eastAsia="宋体" w:hAnsi="宋体" w:cs="宋体"/>
          <w:spacing w:val="55"/>
          <w:sz w:val="18"/>
          <w:szCs w:val="18"/>
        </w:rPr>
        <w:t xml:space="preserve"> </w:t>
      </w:r>
      <w:r>
        <w:rPr>
          <w:rFonts w:ascii="宋体" w:eastAsia="宋体" w:hAnsi="宋体" w:cs="宋体"/>
          <w:spacing w:val="-26"/>
          <w:sz w:val="18"/>
          <w:szCs w:val="18"/>
        </w:rPr>
        <w:t>·</w:t>
      </w:r>
    </w:p>
    <w:p w:rsidR="00EA40A3" w:rsidRDefault="00EA40A3">
      <w:pPr>
        <w:sectPr w:rsidR="00EA40A3">
          <w:pgSz w:w="9220" w:h="13360"/>
          <w:pgMar w:top="400" w:right="935" w:bottom="400" w:left="959" w:header="0" w:footer="0" w:gutter="0"/>
          <w:cols w:space="720"/>
        </w:sectPr>
      </w:pPr>
    </w:p>
    <w:p w:rsidR="00EA40A3" w:rsidRDefault="00EA40A3">
      <w:pPr>
        <w:spacing w:line="288" w:lineRule="auto"/>
      </w:pPr>
    </w:p>
    <w:p w:rsidR="00EA40A3" w:rsidRDefault="00EA40A3">
      <w:pPr>
        <w:spacing w:line="288" w:lineRule="auto"/>
      </w:pPr>
    </w:p>
    <w:p w:rsidR="00EA40A3" w:rsidRDefault="00E86C16">
      <w:pPr>
        <w:spacing w:before="69" w:line="219" w:lineRule="auto"/>
        <w:rPr>
          <w:rFonts w:ascii="宋体" w:eastAsia="宋体" w:hAnsi="宋体" w:cs="宋体"/>
        </w:rPr>
      </w:pPr>
      <w:r>
        <w:rPr>
          <w:rFonts w:ascii="宋体" w:eastAsia="宋体" w:hAnsi="宋体" w:cs="宋体"/>
          <w:spacing w:val="4"/>
        </w:rPr>
        <w:t>钙的摄入量则可能改变维生素</w:t>
      </w:r>
      <w:r>
        <w:rPr>
          <w:rFonts w:ascii="宋体" w:eastAsia="宋体" w:hAnsi="宋体" w:cs="宋体"/>
          <w:spacing w:val="-55"/>
        </w:rPr>
        <w:t xml:space="preserve"> </w:t>
      </w:r>
      <w:r>
        <w:rPr>
          <w:rFonts w:ascii="宋体" w:eastAsia="宋体" w:hAnsi="宋体" w:cs="宋体"/>
          <w:spacing w:val="4"/>
        </w:rPr>
        <w:t>D 受</w:t>
      </w:r>
      <w:r>
        <w:rPr>
          <w:rFonts w:ascii="宋体" w:eastAsia="宋体" w:hAnsi="宋体" w:cs="宋体"/>
          <w:spacing w:val="-46"/>
        </w:rPr>
        <w:t xml:space="preserve"> </w:t>
      </w:r>
      <w:r>
        <w:rPr>
          <w:rFonts w:ascii="宋体" w:eastAsia="宋体" w:hAnsi="宋体" w:cs="宋体"/>
          <w:spacing w:val="4"/>
        </w:rPr>
        <w:t>体</w:t>
      </w:r>
      <w:r>
        <w:rPr>
          <w:rFonts w:ascii="宋体" w:eastAsia="宋体" w:hAnsi="宋体" w:cs="宋体"/>
          <w:spacing w:val="-4"/>
        </w:rPr>
        <w:t xml:space="preserve"> </w:t>
      </w:r>
      <w:r>
        <w:rPr>
          <w:rFonts w:ascii="宋体" w:eastAsia="宋体" w:hAnsi="宋体" w:cs="宋体"/>
          <w:spacing w:val="4"/>
        </w:rPr>
        <w:t>(</w:t>
      </w:r>
      <w:r>
        <w:rPr>
          <w:rFonts w:ascii="宋体" w:eastAsia="宋体" w:hAnsi="宋体" w:cs="宋体"/>
        </w:rPr>
        <w:t>VDR</w:t>
      </w:r>
      <w:r>
        <w:rPr>
          <w:rFonts w:ascii="宋体" w:eastAsia="宋体" w:hAnsi="宋体" w:cs="宋体"/>
          <w:spacing w:val="4"/>
        </w:rPr>
        <w:t>)</w:t>
      </w:r>
      <w:r>
        <w:rPr>
          <w:rFonts w:ascii="宋体" w:eastAsia="宋体" w:hAnsi="宋体" w:cs="宋体"/>
          <w:spacing w:val="45"/>
        </w:rPr>
        <w:t xml:space="preserve">  </w:t>
      </w:r>
      <w:r>
        <w:rPr>
          <w:rFonts w:ascii="宋体" w:eastAsia="宋体" w:hAnsi="宋体" w:cs="宋体"/>
          <w:spacing w:val="4"/>
        </w:rPr>
        <w:t>多态性与结</w:t>
      </w:r>
      <w:r>
        <w:rPr>
          <w:rFonts w:ascii="宋体" w:eastAsia="宋体" w:hAnsi="宋体" w:cs="宋体"/>
          <w:spacing w:val="3"/>
        </w:rPr>
        <w:t>直肠腺瘤危险性的</w:t>
      </w:r>
    </w:p>
    <w:p w:rsidR="00EA40A3" w:rsidRDefault="00E86C16">
      <w:pPr>
        <w:spacing w:before="81" w:line="220" w:lineRule="auto"/>
        <w:rPr>
          <w:rFonts w:ascii="宋体" w:eastAsia="宋体" w:hAnsi="宋体" w:cs="宋体"/>
        </w:rPr>
      </w:pPr>
      <w:r>
        <w:rPr>
          <w:rFonts w:ascii="宋体" w:eastAsia="宋体" w:hAnsi="宋体" w:cs="宋体"/>
          <w:spacing w:val="-10"/>
        </w:rPr>
        <w:t>关联。</w:t>
      </w:r>
    </w:p>
    <w:p w:rsidR="00EA40A3" w:rsidRDefault="00E86C16">
      <w:pPr>
        <w:spacing w:before="28" w:line="265" w:lineRule="auto"/>
        <w:ind w:firstLine="540"/>
        <w:rPr>
          <w:rFonts w:ascii="宋体" w:eastAsia="宋体" w:hAnsi="宋体" w:cs="宋体"/>
        </w:rPr>
      </w:pPr>
      <w:r>
        <w:rPr>
          <w:rFonts w:ascii="宋体" w:eastAsia="宋体" w:hAnsi="宋体" w:cs="宋体"/>
          <w:spacing w:val="-1"/>
        </w:rPr>
        <w:t>(5)食品的营养强化：许多国家十分重视食品的</w:t>
      </w:r>
      <w:r>
        <w:rPr>
          <w:rFonts w:ascii="宋体" w:eastAsia="宋体" w:hAnsi="宋体" w:cs="宋体"/>
          <w:spacing w:val="-2"/>
        </w:rPr>
        <w:t>营养强化。美国食品与药品</w:t>
      </w:r>
      <w:r>
        <w:rPr>
          <w:rFonts w:ascii="宋体" w:eastAsia="宋体" w:hAnsi="宋体" w:cs="宋体"/>
        </w:rPr>
        <w:t xml:space="preserve"> </w:t>
      </w:r>
      <w:r>
        <w:rPr>
          <w:rFonts w:ascii="宋体" w:eastAsia="宋体" w:hAnsi="宋体" w:cs="宋体"/>
          <w:spacing w:val="7"/>
        </w:rPr>
        <w:t>监督管理局</w:t>
      </w:r>
      <w:r>
        <w:rPr>
          <w:rFonts w:ascii="宋体" w:eastAsia="宋体" w:hAnsi="宋体" w:cs="宋体"/>
          <w:spacing w:val="-16"/>
        </w:rPr>
        <w:t xml:space="preserve"> </w:t>
      </w:r>
      <w:r>
        <w:rPr>
          <w:rFonts w:ascii="宋体" w:eastAsia="宋体" w:hAnsi="宋体" w:cs="宋体"/>
          <w:spacing w:val="7"/>
        </w:rPr>
        <w:t>(</w:t>
      </w:r>
      <w:r>
        <w:rPr>
          <w:rFonts w:ascii="宋体" w:eastAsia="宋体" w:hAnsi="宋体" w:cs="宋体"/>
        </w:rPr>
        <w:t>FDA</w:t>
      </w:r>
      <w:r>
        <w:rPr>
          <w:rFonts w:ascii="宋体" w:eastAsia="宋体" w:hAnsi="宋体" w:cs="宋体"/>
          <w:spacing w:val="7"/>
        </w:rPr>
        <w:t>)</w:t>
      </w:r>
      <w:r>
        <w:rPr>
          <w:rFonts w:ascii="宋体" w:eastAsia="宋体" w:hAnsi="宋体" w:cs="宋体"/>
          <w:spacing w:val="50"/>
        </w:rPr>
        <w:t xml:space="preserve">  </w:t>
      </w:r>
      <w:r>
        <w:rPr>
          <w:rFonts w:ascii="宋体" w:eastAsia="宋体" w:hAnsi="宋体" w:cs="宋体"/>
          <w:spacing w:val="7"/>
        </w:rPr>
        <w:t>自1941年提出第一个强化面粉标准后，强化食</w:t>
      </w:r>
      <w:r>
        <w:rPr>
          <w:rFonts w:ascii="宋体" w:eastAsia="宋体" w:hAnsi="宋体" w:cs="宋体"/>
          <w:spacing w:val="6"/>
        </w:rPr>
        <w:t>品层出不</w:t>
      </w:r>
      <w:r>
        <w:rPr>
          <w:rFonts w:ascii="宋体" w:eastAsia="宋体" w:hAnsi="宋体" w:cs="宋体"/>
        </w:rPr>
        <w:t xml:space="preserve">  </w:t>
      </w:r>
      <w:r>
        <w:rPr>
          <w:rFonts w:ascii="宋体" w:eastAsia="宋体" w:hAnsi="宋体" w:cs="宋体"/>
          <w:spacing w:val="6"/>
        </w:rPr>
        <w:t>穷。目前，美国大约有92%以上的早餐谷类食物进行了强化。日本的强化食品</w:t>
      </w:r>
      <w:r>
        <w:rPr>
          <w:rFonts w:ascii="宋体" w:eastAsia="宋体" w:hAnsi="宋体" w:cs="宋体"/>
          <w:spacing w:val="5"/>
        </w:rPr>
        <w:t xml:space="preserve"> </w:t>
      </w:r>
      <w:r>
        <w:rPr>
          <w:rFonts w:ascii="宋体" w:eastAsia="宋体" w:hAnsi="宋体" w:cs="宋体"/>
          <w:spacing w:val="-3"/>
        </w:rPr>
        <w:t>种类繁多，分别有适用于普通人、病人和一些特殊人群食用的强化食品，并有严</w:t>
      </w:r>
      <w:r>
        <w:rPr>
          <w:rFonts w:ascii="宋体" w:eastAsia="宋体" w:hAnsi="宋体" w:cs="宋体"/>
          <w:spacing w:val="12"/>
        </w:rPr>
        <w:t xml:space="preserve"> </w:t>
      </w:r>
      <w:r>
        <w:rPr>
          <w:rFonts w:ascii="宋体" w:eastAsia="宋体" w:hAnsi="宋体" w:cs="宋体"/>
          <w:spacing w:val="3"/>
        </w:rPr>
        <w:t>格的标准。欧洲各国在20世纪50年代先后对食品强化</w:t>
      </w:r>
      <w:r>
        <w:rPr>
          <w:rFonts w:ascii="宋体" w:eastAsia="宋体" w:hAnsi="宋体" w:cs="宋体"/>
          <w:spacing w:val="2"/>
        </w:rPr>
        <w:t>建立了政府的监督、管理</w:t>
      </w:r>
      <w:r>
        <w:rPr>
          <w:rFonts w:ascii="宋体" w:eastAsia="宋体" w:hAnsi="宋体" w:cs="宋体"/>
        </w:rPr>
        <w:t xml:space="preserve">  </w:t>
      </w:r>
      <w:r>
        <w:rPr>
          <w:rFonts w:ascii="宋体" w:eastAsia="宋体" w:hAnsi="宋体" w:cs="宋体"/>
          <w:spacing w:val="-3"/>
        </w:rPr>
        <w:t>体制。有些国家还法定对某些主食品强制添加一定</w:t>
      </w:r>
      <w:r>
        <w:rPr>
          <w:rFonts w:ascii="宋体" w:eastAsia="宋体" w:hAnsi="宋体" w:cs="宋体"/>
          <w:spacing w:val="-4"/>
        </w:rPr>
        <w:t>的营养素，如英国规定面粉中</w:t>
      </w:r>
      <w:r>
        <w:rPr>
          <w:rFonts w:ascii="宋体" w:eastAsia="宋体" w:hAnsi="宋体" w:cs="宋体"/>
        </w:rPr>
        <w:t xml:space="preserve">  </w:t>
      </w:r>
      <w:r>
        <w:rPr>
          <w:rFonts w:ascii="宋体" w:eastAsia="宋体" w:hAnsi="宋体" w:cs="宋体"/>
          <w:spacing w:val="1"/>
        </w:rPr>
        <w:t>至少应加入维生素B</w:t>
      </w:r>
      <w:r>
        <w:rPr>
          <w:rFonts w:ascii="Calibri" w:eastAsia="Calibri" w:hAnsi="Calibri" w:cs="Calibri"/>
          <w:spacing w:val="1"/>
        </w:rPr>
        <w:t>₁</w:t>
      </w:r>
      <w:r>
        <w:rPr>
          <w:rFonts w:ascii="Calibri" w:eastAsia="Calibri" w:hAnsi="Calibri" w:cs="Calibri"/>
          <w:spacing w:val="-3"/>
        </w:rPr>
        <w:t xml:space="preserve"> </w:t>
      </w:r>
      <w:r>
        <w:rPr>
          <w:rFonts w:ascii="宋体" w:eastAsia="宋体" w:hAnsi="宋体" w:cs="宋体"/>
          <w:spacing w:val="1"/>
        </w:rPr>
        <w:t>(2.4</w:t>
      </w:r>
      <w:r>
        <w:rPr>
          <w:rFonts w:ascii="宋体" w:eastAsia="宋体" w:hAnsi="宋体" w:cs="宋体"/>
        </w:rPr>
        <w:t>mg</w:t>
      </w:r>
      <w:r>
        <w:rPr>
          <w:rFonts w:ascii="宋体" w:eastAsia="宋体" w:hAnsi="宋体" w:cs="宋体"/>
          <w:spacing w:val="1"/>
        </w:rPr>
        <w:t>/</w:t>
      </w:r>
      <w:r>
        <w:rPr>
          <w:rFonts w:ascii="宋体" w:eastAsia="宋体" w:hAnsi="宋体" w:cs="宋体"/>
        </w:rPr>
        <w:t>kg</w:t>
      </w:r>
      <w:r>
        <w:rPr>
          <w:rFonts w:ascii="宋体" w:eastAsia="宋体" w:hAnsi="宋体" w:cs="宋体"/>
          <w:spacing w:val="1"/>
        </w:rPr>
        <w:t>)</w:t>
      </w:r>
      <w:r>
        <w:rPr>
          <w:rFonts w:ascii="宋体" w:eastAsia="宋体" w:hAnsi="宋体" w:cs="宋体"/>
          <w:spacing w:val="7"/>
        </w:rPr>
        <w:t xml:space="preserve">   </w:t>
      </w:r>
      <w:r>
        <w:rPr>
          <w:rFonts w:ascii="宋体" w:eastAsia="宋体" w:hAnsi="宋体" w:cs="宋体"/>
          <w:spacing w:val="1"/>
        </w:rPr>
        <w:t>和烟酸(16.5</w:t>
      </w:r>
      <w:r>
        <w:rPr>
          <w:rFonts w:ascii="宋体" w:eastAsia="宋体" w:hAnsi="宋体" w:cs="宋体"/>
        </w:rPr>
        <w:t>mg</w:t>
      </w:r>
      <w:r>
        <w:rPr>
          <w:rFonts w:ascii="宋体" w:eastAsia="宋体" w:hAnsi="宋体" w:cs="宋体"/>
          <w:spacing w:val="1"/>
        </w:rPr>
        <w:t>/</w:t>
      </w:r>
      <w:r>
        <w:rPr>
          <w:rFonts w:ascii="宋体" w:eastAsia="宋体" w:hAnsi="宋体" w:cs="宋体"/>
        </w:rPr>
        <w:t>kg</w:t>
      </w:r>
      <w:r>
        <w:rPr>
          <w:rFonts w:ascii="宋体" w:eastAsia="宋体" w:hAnsi="宋体" w:cs="宋体"/>
          <w:spacing w:val="1"/>
        </w:rPr>
        <w:t>),</w:t>
      </w:r>
      <w:r>
        <w:rPr>
          <w:rFonts w:ascii="宋体" w:eastAsia="宋体" w:hAnsi="宋体" w:cs="宋体"/>
          <w:spacing w:val="62"/>
        </w:rPr>
        <w:t xml:space="preserve"> </w:t>
      </w:r>
      <w:r>
        <w:rPr>
          <w:rFonts w:ascii="宋体" w:eastAsia="宋体" w:hAnsi="宋体" w:cs="宋体"/>
          <w:spacing w:val="1"/>
        </w:rPr>
        <w:t>人造奶油中必须</w:t>
      </w:r>
      <w:r>
        <w:rPr>
          <w:rFonts w:ascii="宋体" w:eastAsia="宋体" w:hAnsi="宋体" w:cs="宋体"/>
        </w:rPr>
        <w:t xml:space="preserve">添加 </w:t>
      </w:r>
      <w:r>
        <w:rPr>
          <w:rFonts w:ascii="宋体" w:eastAsia="宋体" w:hAnsi="宋体" w:cs="宋体"/>
          <w:spacing w:val="6"/>
        </w:rPr>
        <w:t>维生素A</w:t>
      </w:r>
      <w:r>
        <w:rPr>
          <w:rFonts w:ascii="宋体" w:eastAsia="宋体" w:hAnsi="宋体" w:cs="宋体"/>
          <w:spacing w:val="11"/>
        </w:rPr>
        <w:t xml:space="preserve"> </w:t>
      </w:r>
      <w:r>
        <w:rPr>
          <w:rFonts w:ascii="宋体" w:eastAsia="宋体" w:hAnsi="宋体" w:cs="宋体"/>
          <w:spacing w:val="6"/>
        </w:rPr>
        <w:t>和维生素D。</w:t>
      </w:r>
      <w:r>
        <w:rPr>
          <w:rFonts w:ascii="宋体" w:eastAsia="宋体" w:hAnsi="宋体" w:cs="宋体"/>
          <w:spacing w:val="-14"/>
        </w:rPr>
        <w:t xml:space="preserve"> </w:t>
      </w:r>
      <w:r>
        <w:rPr>
          <w:rFonts w:ascii="宋体" w:eastAsia="宋体" w:hAnsi="宋体" w:cs="宋体"/>
          <w:spacing w:val="6"/>
        </w:rPr>
        <w:t>丹麦也规定人造奶油及精白面粉中必</w:t>
      </w:r>
      <w:r>
        <w:rPr>
          <w:rFonts w:ascii="宋体" w:eastAsia="宋体" w:hAnsi="宋体" w:cs="宋体"/>
          <w:spacing w:val="5"/>
        </w:rPr>
        <w:t>须进行营养强化。</w:t>
      </w:r>
      <w:r>
        <w:rPr>
          <w:rFonts w:ascii="宋体" w:eastAsia="宋体" w:hAnsi="宋体" w:cs="宋体"/>
        </w:rPr>
        <w:t xml:space="preserve"> </w:t>
      </w:r>
      <w:r>
        <w:rPr>
          <w:rFonts w:ascii="宋体" w:eastAsia="宋体" w:hAnsi="宋体" w:cs="宋体"/>
          <w:spacing w:val="3"/>
        </w:rPr>
        <w:t>我国在50年代初研制出婴儿强化食品，之后强化食品品种逐步增多，</w:t>
      </w:r>
      <w:r>
        <w:rPr>
          <w:rFonts w:ascii="宋体" w:eastAsia="宋体" w:hAnsi="宋体" w:cs="宋体"/>
          <w:spacing w:val="2"/>
        </w:rPr>
        <w:t>对预防一</w:t>
      </w:r>
      <w:r>
        <w:rPr>
          <w:rFonts w:ascii="宋体" w:eastAsia="宋体" w:hAnsi="宋体" w:cs="宋体"/>
        </w:rPr>
        <w:t xml:space="preserve">  </w:t>
      </w:r>
      <w:r>
        <w:rPr>
          <w:rFonts w:ascii="宋体" w:eastAsia="宋体" w:hAnsi="宋体" w:cs="宋体"/>
          <w:spacing w:val="3"/>
        </w:rPr>
        <w:t>些营养缺乏症起到了一定作用。1994年我国建立了营养</w:t>
      </w:r>
      <w:r>
        <w:rPr>
          <w:rFonts w:ascii="宋体" w:eastAsia="宋体" w:hAnsi="宋体" w:cs="宋体"/>
          <w:spacing w:val="2"/>
        </w:rPr>
        <w:t>强化剂的使用标准，之</w:t>
      </w:r>
      <w:r>
        <w:rPr>
          <w:rFonts w:ascii="宋体" w:eastAsia="宋体" w:hAnsi="宋体" w:cs="宋体"/>
        </w:rPr>
        <w:t xml:space="preserve">  </w:t>
      </w:r>
      <w:r>
        <w:rPr>
          <w:rFonts w:ascii="宋体" w:eastAsia="宋体" w:hAnsi="宋体" w:cs="宋体"/>
          <w:spacing w:val="-3"/>
        </w:rPr>
        <w:t>后涌现出一些维生素、矿物质和氨基酸的强化食品，尤其是碘强化食盐，取得了</w:t>
      </w:r>
      <w:r>
        <w:rPr>
          <w:rFonts w:ascii="宋体" w:eastAsia="宋体" w:hAnsi="宋体" w:cs="宋体"/>
          <w:spacing w:val="11"/>
        </w:rPr>
        <w:t xml:space="preserve"> </w:t>
      </w:r>
      <w:r>
        <w:rPr>
          <w:rFonts w:ascii="宋体" w:eastAsia="宋体" w:hAnsi="宋体" w:cs="宋体"/>
          <w:spacing w:val="-3"/>
        </w:rPr>
        <w:t>显著的成效；强化食用油、强化酱油已有一定规模，并受到消费</w:t>
      </w:r>
      <w:r>
        <w:rPr>
          <w:rFonts w:ascii="宋体" w:eastAsia="宋体" w:hAnsi="宋体" w:cs="宋体"/>
          <w:spacing w:val="-4"/>
        </w:rPr>
        <w:t>者欢迎；强化面</w:t>
      </w:r>
      <w:r>
        <w:rPr>
          <w:rFonts w:ascii="宋体" w:eastAsia="宋体" w:hAnsi="宋体" w:cs="宋体"/>
        </w:rPr>
        <w:t xml:space="preserve">  粉已经过试点，近期将推出《营养强化面粉国家标准》,对添加维生素等各类营</w:t>
      </w:r>
      <w:r>
        <w:rPr>
          <w:rFonts w:ascii="宋体" w:eastAsia="宋体" w:hAnsi="宋体" w:cs="宋体"/>
          <w:spacing w:val="18"/>
        </w:rPr>
        <w:t xml:space="preserve"> </w:t>
      </w:r>
      <w:r>
        <w:rPr>
          <w:rFonts w:ascii="宋体" w:eastAsia="宋体" w:hAnsi="宋体" w:cs="宋体"/>
          <w:spacing w:val="-6"/>
        </w:rPr>
        <w:t>养素的营养强化食品市场进行强制性规范。</w:t>
      </w:r>
    </w:p>
    <w:p w:rsidR="00EA40A3" w:rsidRDefault="00E86C16">
      <w:pPr>
        <w:spacing w:before="85" w:line="261" w:lineRule="auto"/>
        <w:ind w:firstLine="490"/>
        <w:rPr>
          <w:rFonts w:ascii="宋体" w:eastAsia="宋体" w:hAnsi="宋体" w:cs="宋体"/>
        </w:rPr>
      </w:pPr>
      <w:r>
        <w:rPr>
          <w:rFonts w:ascii="宋体" w:eastAsia="宋体" w:hAnsi="宋体" w:cs="宋体"/>
        </w:rPr>
        <w:t>(6)公共营养：第二次世界大战以后，社会性的营养工作不断加强。在世界</w:t>
      </w:r>
      <w:r>
        <w:rPr>
          <w:rFonts w:ascii="宋体" w:eastAsia="宋体" w:hAnsi="宋体" w:cs="宋体"/>
          <w:spacing w:val="3"/>
        </w:rPr>
        <w:t xml:space="preserve"> </w:t>
      </w:r>
      <w:r>
        <w:rPr>
          <w:rFonts w:ascii="宋体" w:eastAsia="宋体" w:hAnsi="宋体" w:cs="宋体"/>
          <w:spacing w:val="-3"/>
        </w:rPr>
        <w:t>卫生组织</w:t>
      </w:r>
      <w:r>
        <w:rPr>
          <w:rFonts w:ascii="宋体" w:eastAsia="宋体" w:hAnsi="宋体" w:cs="宋体"/>
          <w:spacing w:val="-6"/>
        </w:rPr>
        <w:t xml:space="preserve"> </w:t>
      </w:r>
      <w:r>
        <w:rPr>
          <w:rFonts w:ascii="宋体" w:eastAsia="宋体" w:hAnsi="宋体" w:cs="宋体"/>
          <w:spacing w:val="-3"/>
        </w:rPr>
        <w:t>(WHO)</w:t>
      </w:r>
      <w:r>
        <w:rPr>
          <w:rFonts w:ascii="宋体" w:eastAsia="宋体" w:hAnsi="宋体" w:cs="宋体"/>
          <w:spacing w:val="18"/>
        </w:rPr>
        <w:t xml:space="preserve">   </w:t>
      </w:r>
      <w:r>
        <w:rPr>
          <w:rFonts w:ascii="宋体" w:eastAsia="宋体" w:hAnsi="宋体" w:cs="宋体"/>
          <w:spacing w:val="-3"/>
        </w:rPr>
        <w:t>与联合国粮农组织</w:t>
      </w:r>
      <w:r>
        <w:rPr>
          <w:rFonts w:ascii="宋体" w:eastAsia="宋体" w:hAnsi="宋体" w:cs="宋体"/>
          <w:spacing w:val="-2"/>
        </w:rPr>
        <w:t xml:space="preserve"> </w:t>
      </w:r>
      <w:r>
        <w:rPr>
          <w:rFonts w:ascii="宋体" w:eastAsia="宋体" w:hAnsi="宋体" w:cs="宋体"/>
          <w:spacing w:val="-3"/>
        </w:rPr>
        <w:t>(FAO)</w:t>
      </w:r>
      <w:r>
        <w:rPr>
          <w:rFonts w:ascii="宋体" w:eastAsia="宋体" w:hAnsi="宋体" w:cs="宋体"/>
          <w:spacing w:val="30"/>
        </w:rPr>
        <w:t xml:space="preserve">  </w:t>
      </w:r>
      <w:r>
        <w:rPr>
          <w:rFonts w:ascii="宋体" w:eastAsia="宋体" w:hAnsi="宋体" w:cs="宋体"/>
          <w:spacing w:val="-3"/>
        </w:rPr>
        <w:t>的努力下，加强了营养工作的宏</w:t>
      </w:r>
      <w:r>
        <w:rPr>
          <w:rFonts w:ascii="宋体" w:eastAsia="宋体" w:hAnsi="宋体" w:cs="宋体"/>
        </w:rPr>
        <w:t xml:space="preserve">  </w:t>
      </w:r>
      <w:r>
        <w:rPr>
          <w:rFonts w:ascii="宋体" w:eastAsia="宋体" w:hAnsi="宋体" w:cs="宋体"/>
          <w:spacing w:val="-10"/>
        </w:rPr>
        <w:t>观调控作用，提出了一些新概念，如营养监测</w:t>
      </w:r>
      <w:r>
        <w:rPr>
          <w:rFonts w:ascii="宋体" w:eastAsia="宋体" w:hAnsi="宋体" w:cs="宋体"/>
          <w:spacing w:val="-13"/>
        </w:rPr>
        <w:t xml:space="preserve"> </w:t>
      </w:r>
      <w:r>
        <w:rPr>
          <w:rFonts w:ascii="宋体" w:eastAsia="宋体" w:hAnsi="宋体" w:cs="宋体"/>
          <w:spacing w:val="-10"/>
        </w:rPr>
        <w:t>(nutritional</w:t>
      </w:r>
      <w:r>
        <w:rPr>
          <w:rFonts w:ascii="宋体" w:eastAsia="宋体" w:hAnsi="宋体" w:cs="宋体"/>
        </w:rPr>
        <w:t xml:space="preserve"> </w:t>
      </w:r>
      <w:r>
        <w:rPr>
          <w:rFonts w:ascii="宋体" w:eastAsia="宋体" w:hAnsi="宋体" w:cs="宋体"/>
          <w:spacing w:val="-10"/>
        </w:rPr>
        <w:t>surveillance)、</w:t>
      </w:r>
      <w:r>
        <w:rPr>
          <w:rFonts w:ascii="宋体" w:eastAsia="宋体" w:hAnsi="宋体" w:cs="宋体"/>
          <w:spacing w:val="-51"/>
        </w:rPr>
        <w:t xml:space="preserve"> </w:t>
      </w:r>
      <w:r>
        <w:rPr>
          <w:rFonts w:ascii="宋体" w:eastAsia="宋体" w:hAnsi="宋体" w:cs="宋体"/>
          <w:spacing w:val="-11"/>
        </w:rPr>
        <w:t>营养</w:t>
      </w:r>
      <w:r>
        <w:rPr>
          <w:rFonts w:ascii="宋体" w:eastAsia="宋体" w:hAnsi="宋体" w:cs="宋体"/>
        </w:rPr>
        <w:t xml:space="preserve">  </w:t>
      </w:r>
      <w:r>
        <w:rPr>
          <w:rFonts w:ascii="宋体" w:eastAsia="宋体" w:hAnsi="宋体" w:cs="宋体"/>
          <w:spacing w:val="-14"/>
        </w:rPr>
        <w:t>政策</w:t>
      </w:r>
      <w:r>
        <w:rPr>
          <w:rFonts w:ascii="宋体" w:eastAsia="宋体" w:hAnsi="宋体" w:cs="宋体"/>
          <w:spacing w:val="-2"/>
        </w:rPr>
        <w:t xml:space="preserve"> </w:t>
      </w:r>
      <w:r>
        <w:rPr>
          <w:rFonts w:ascii="宋体" w:eastAsia="宋体" w:hAnsi="宋体" w:cs="宋体"/>
          <w:spacing w:val="-14"/>
        </w:rPr>
        <w:t>(nutrition</w:t>
      </w:r>
      <w:r>
        <w:rPr>
          <w:rFonts w:ascii="宋体" w:eastAsia="宋体" w:hAnsi="宋体" w:cs="宋体"/>
          <w:spacing w:val="-9"/>
        </w:rPr>
        <w:t xml:space="preserve"> </w:t>
      </w:r>
      <w:r>
        <w:rPr>
          <w:rFonts w:ascii="宋体" w:eastAsia="宋体" w:hAnsi="宋体" w:cs="宋体"/>
          <w:spacing w:val="-14"/>
        </w:rPr>
        <w:t>policy)、</w:t>
      </w:r>
      <w:r>
        <w:rPr>
          <w:rFonts w:ascii="宋体" w:eastAsia="宋体" w:hAnsi="宋体" w:cs="宋体"/>
          <w:spacing w:val="-61"/>
        </w:rPr>
        <w:t xml:space="preserve"> </w:t>
      </w:r>
      <w:r>
        <w:rPr>
          <w:rFonts w:ascii="宋体" w:eastAsia="宋体" w:hAnsi="宋体" w:cs="宋体"/>
          <w:spacing w:val="-14"/>
        </w:rPr>
        <w:t>投入与效益评估</w:t>
      </w:r>
      <w:r>
        <w:rPr>
          <w:rFonts w:ascii="宋体" w:eastAsia="宋体" w:hAnsi="宋体" w:cs="宋体"/>
          <w:spacing w:val="-24"/>
        </w:rPr>
        <w:t xml:space="preserve"> </w:t>
      </w:r>
      <w:r>
        <w:rPr>
          <w:rFonts w:ascii="宋体" w:eastAsia="宋体" w:hAnsi="宋体" w:cs="宋体"/>
          <w:spacing w:val="-14"/>
        </w:rPr>
        <w:t>(assessment</w:t>
      </w:r>
      <w:r>
        <w:rPr>
          <w:rFonts w:ascii="宋体" w:eastAsia="宋体" w:hAnsi="宋体" w:cs="宋体"/>
          <w:spacing w:val="-4"/>
        </w:rPr>
        <w:t xml:space="preserve"> </w:t>
      </w:r>
      <w:r>
        <w:rPr>
          <w:rFonts w:ascii="宋体" w:eastAsia="宋体" w:hAnsi="宋体" w:cs="宋体"/>
          <w:spacing w:val="-14"/>
        </w:rPr>
        <w:t>of</w:t>
      </w:r>
      <w:r>
        <w:rPr>
          <w:rFonts w:ascii="宋体" w:eastAsia="宋体" w:hAnsi="宋体" w:cs="宋体"/>
          <w:spacing w:val="8"/>
        </w:rPr>
        <w:t xml:space="preserve"> </w:t>
      </w:r>
      <w:r>
        <w:rPr>
          <w:rFonts w:ascii="宋体" w:eastAsia="宋体" w:hAnsi="宋体" w:cs="宋体"/>
          <w:spacing w:val="-14"/>
        </w:rPr>
        <w:t>input</w:t>
      </w:r>
      <w:r>
        <w:rPr>
          <w:rFonts w:ascii="宋体" w:eastAsia="宋体" w:hAnsi="宋体" w:cs="宋体"/>
          <w:spacing w:val="-4"/>
        </w:rPr>
        <w:t xml:space="preserve"> </w:t>
      </w:r>
      <w:r>
        <w:rPr>
          <w:rFonts w:ascii="宋体" w:eastAsia="宋体" w:hAnsi="宋体" w:cs="宋体"/>
          <w:spacing w:val="-14"/>
        </w:rPr>
        <w:t>and</w:t>
      </w:r>
      <w:r>
        <w:rPr>
          <w:rFonts w:ascii="宋体" w:eastAsia="宋体" w:hAnsi="宋体" w:cs="宋体"/>
          <w:spacing w:val="-8"/>
        </w:rPr>
        <w:t xml:space="preserve"> </w:t>
      </w:r>
      <w:r>
        <w:rPr>
          <w:rFonts w:ascii="宋体" w:eastAsia="宋体" w:hAnsi="宋体" w:cs="宋体"/>
          <w:spacing w:val="-14"/>
        </w:rPr>
        <w:t>benefit)</w:t>
      </w:r>
      <w:r>
        <w:rPr>
          <w:rFonts w:ascii="宋体" w:eastAsia="宋体" w:hAnsi="宋体" w:cs="宋体"/>
          <w:spacing w:val="-45"/>
        </w:rPr>
        <w:t xml:space="preserve"> </w:t>
      </w:r>
      <w:r>
        <w:rPr>
          <w:rFonts w:ascii="宋体" w:eastAsia="宋体" w:hAnsi="宋体" w:cs="宋体"/>
          <w:spacing w:val="-14"/>
        </w:rPr>
        <w:t>等，</w:t>
      </w:r>
      <w:r>
        <w:rPr>
          <w:rFonts w:ascii="宋体" w:eastAsia="宋体" w:hAnsi="宋体" w:cs="宋体"/>
        </w:rPr>
        <w:t xml:space="preserve"> </w:t>
      </w:r>
      <w:r>
        <w:rPr>
          <w:rFonts w:ascii="宋体" w:eastAsia="宋体" w:hAnsi="宋体" w:cs="宋体"/>
          <w:spacing w:val="-3"/>
        </w:rPr>
        <w:t>逐步形成了公共(社区)营养学或社会营养学</w:t>
      </w:r>
      <w:r>
        <w:rPr>
          <w:rFonts w:ascii="宋体" w:eastAsia="宋体" w:hAnsi="宋体" w:cs="宋体"/>
          <w:spacing w:val="4"/>
        </w:rPr>
        <w:t xml:space="preserve"> </w:t>
      </w:r>
      <w:r>
        <w:rPr>
          <w:rFonts w:ascii="宋体" w:eastAsia="宋体" w:hAnsi="宋体" w:cs="宋体"/>
          <w:spacing w:val="-3"/>
        </w:rPr>
        <w:t>(social</w:t>
      </w:r>
      <w:r>
        <w:rPr>
          <w:rFonts w:ascii="宋体" w:eastAsia="宋体" w:hAnsi="宋体" w:cs="宋体"/>
          <w:spacing w:val="-8"/>
        </w:rPr>
        <w:t xml:space="preserve"> </w:t>
      </w:r>
      <w:r>
        <w:rPr>
          <w:rFonts w:ascii="宋体" w:eastAsia="宋体" w:hAnsi="宋体" w:cs="宋体"/>
          <w:spacing w:val="-3"/>
        </w:rPr>
        <w:t>nutrition),</w:t>
      </w:r>
      <w:r>
        <w:rPr>
          <w:rFonts w:ascii="宋体" w:eastAsia="宋体" w:hAnsi="宋体" w:cs="宋体"/>
          <w:spacing w:val="-61"/>
        </w:rPr>
        <w:t xml:space="preserve"> </w:t>
      </w:r>
      <w:r>
        <w:rPr>
          <w:rFonts w:ascii="宋体" w:eastAsia="宋体" w:hAnsi="宋体" w:cs="宋体"/>
          <w:spacing w:val="-3"/>
        </w:rPr>
        <w:t>更加重视如何</w:t>
      </w:r>
      <w:r>
        <w:rPr>
          <w:rFonts w:ascii="宋体" w:eastAsia="宋体" w:hAnsi="宋体" w:cs="宋体"/>
        </w:rPr>
        <w:t xml:space="preserve"> </w:t>
      </w:r>
      <w:r>
        <w:rPr>
          <w:rFonts w:ascii="宋体" w:eastAsia="宋体" w:hAnsi="宋体" w:cs="宋体"/>
          <w:spacing w:val="-3"/>
        </w:rPr>
        <w:t>使广大人民群众得到实惠。有的国家制定颁发了有关社会营养的法律</w:t>
      </w:r>
      <w:r>
        <w:rPr>
          <w:rFonts w:ascii="宋体" w:eastAsia="宋体" w:hAnsi="宋体" w:cs="宋体"/>
          <w:spacing w:val="-4"/>
        </w:rPr>
        <w:t>、法规，有</w:t>
      </w:r>
      <w:r>
        <w:rPr>
          <w:rFonts w:ascii="宋体" w:eastAsia="宋体" w:hAnsi="宋体" w:cs="宋体"/>
        </w:rPr>
        <w:t xml:space="preserve">  </w:t>
      </w:r>
      <w:r>
        <w:rPr>
          <w:rFonts w:ascii="宋体" w:eastAsia="宋体" w:hAnsi="宋体" w:cs="宋体"/>
          <w:spacing w:val="-3"/>
        </w:rPr>
        <w:t>的国家在议会中成立了主管营养工作的委员会，或在政府里成立了</w:t>
      </w:r>
      <w:r>
        <w:rPr>
          <w:rFonts w:ascii="宋体" w:eastAsia="宋体" w:hAnsi="宋体" w:cs="宋体"/>
          <w:spacing w:val="-4"/>
        </w:rPr>
        <w:t>主管公共营养</w:t>
      </w:r>
      <w:r>
        <w:rPr>
          <w:rFonts w:ascii="宋体" w:eastAsia="宋体" w:hAnsi="宋体" w:cs="宋体"/>
        </w:rPr>
        <w:t xml:space="preserve">  </w:t>
      </w:r>
      <w:r>
        <w:rPr>
          <w:rFonts w:ascii="宋体" w:eastAsia="宋体" w:hAnsi="宋体" w:cs="宋体"/>
          <w:spacing w:val="-6"/>
        </w:rPr>
        <w:t>的机构。为了指导民众合理地选择和搭配食物，世界各国制定了膳食指南</w:t>
      </w:r>
      <w:r>
        <w:rPr>
          <w:rFonts w:ascii="宋体" w:eastAsia="宋体" w:hAnsi="宋体" w:cs="宋体"/>
          <w:spacing w:val="8"/>
        </w:rPr>
        <w:t xml:space="preserve"> </w:t>
      </w:r>
      <w:r>
        <w:rPr>
          <w:rFonts w:ascii="宋体" w:eastAsia="宋体" w:hAnsi="宋体" w:cs="宋体"/>
          <w:spacing w:val="-6"/>
        </w:rPr>
        <w:t>(diet-</w:t>
      </w:r>
      <w:r>
        <w:rPr>
          <w:rFonts w:ascii="宋体" w:eastAsia="宋体" w:hAnsi="宋体" w:cs="宋体"/>
        </w:rPr>
        <w:t xml:space="preserve">  </w:t>
      </w:r>
      <w:r>
        <w:rPr>
          <w:rFonts w:ascii="宋体" w:eastAsia="宋体" w:hAnsi="宋体" w:cs="宋体"/>
          <w:spacing w:val="-7"/>
        </w:rPr>
        <w:t>ary</w:t>
      </w:r>
      <w:r>
        <w:rPr>
          <w:rFonts w:ascii="宋体" w:eastAsia="宋体" w:hAnsi="宋体" w:cs="宋体"/>
          <w:spacing w:val="9"/>
        </w:rPr>
        <w:t xml:space="preserve"> </w:t>
      </w:r>
      <w:r>
        <w:rPr>
          <w:rFonts w:ascii="宋体" w:eastAsia="宋体" w:hAnsi="宋体" w:cs="宋体"/>
          <w:spacing w:val="-7"/>
        </w:rPr>
        <w:t>guideline)</w:t>
      </w:r>
      <w:r>
        <w:rPr>
          <w:rFonts w:ascii="宋体" w:eastAsia="宋体" w:hAnsi="宋体" w:cs="宋体"/>
          <w:spacing w:val="-25"/>
        </w:rPr>
        <w:t xml:space="preserve"> </w:t>
      </w:r>
      <w:r>
        <w:rPr>
          <w:rFonts w:ascii="宋体" w:eastAsia="宋体" w:hAnsi="宋体" w:cs="宋体"/>
          <w:spacing w:val="-7"/>
        </w:rPr>
        <w:t>和营养素每日推荐供给量</w:t>
      </w:r>
      <w:r>
        <w:rPr>
          <w:rFonts w:ascii="宋体" w:eastAsia="宋体" w:hAnsi="宋体" w:cs="宋体"/>
          <w:spacing w:val="-16"/>
        </w:rPr>
        <w:t xml:space="preserve"> </w:t>
      </w:r>
      <w:r>
        <w:rPr>
          <w:rFonts w:ascii="宋体" w:eastAsia="宋体" w:hAnsi="宋体" w:cs="宋体"/>
          <w:spacing w:val="-7"/>
        </w:rPr>
        <w:t>(RNI</w:t>
      </w:r>
      <w:r>
        <w:rPr>
          <w:rFonts w:ascii="宋体" w:eastAsia="宋体" w:hAnsi="宋体" w:cs="宋体"/>
          <w:spacing w:val="40"/>
        </w:rPr>
        <w:t xml:space="preserve"> </w:t>
      </w:r>
      <w:r>
        <w:rPr>
          <w:rFonts w:ascii="宋体" w:eastAsia="宋体" w:hAnsi="宋体" w:cs="宋体"/>
          <w:spacing w:val="-7"/>
        </w:rPr>
        <w:t>或</w:t>
      </w:r>
      <w:r>
        <w:rPr>
          <w:rFonts w:ascii="宋体" w:eastAsia="宋体" w:hAnsi="宋体" w:cs="宋体"/>
          <w:spacing w:val="-44"/>
        </w:rPr>
        <w:t xml:space="preserve"> </w:t>
      </w:r>
      <w:r>
        <w:rPr>
          <w:rFonts w:ascii="宋体" w:eastAsia="宋体" w:hAnsi="宋体" w:cs="宋体"/>
          <w:spacing w:val="-7"/>
        </w:rPr>
        <w:t>RDA)。</w:t>
      </w:r>
      <w:r>
        <w:rPr>
          <w:rFonts w:ascii="宋体" w:eastAsia="宋体" w:hAnsi="宋体" w:cs="宋体"/>
          <w:spacing w:val="7"/>
        </w:rPr>
        <w:t xml:space="preserve">  </w:t>
      </w:r>
      <w:r>
        <w:rPr>
          <w:rFonts w:ascii="宋体" w:eastAsia="宋体" w:hAnsi="宋体" w:cs="宋体"/>
          <w:spacing w:val="-7"/>
        </w:rPr>
        <w:t>膳食指南和RNI</w:t>
      </w:r>
      <w:r>
        <w:rPr>
          <w:rFonts w:ascii="宋体" w:eastAsia="宋体" w:hAnsi="宋体" w:cs="宋体"/>
          <w:spacing w:val="27"/>
        </w:rPr>
        <w:t xml:space="preserve"> </w:t>
      </w:r>
      <w:r>
        <w:rPr>
          <w:rFonts w:ascii="宋体" w:eastAsia="宋体" w:hAnsi="宋体" w:cs="宋体"/>
          <w:spacing w:val="-7"/>
        </w:rPr>
        <w:t>的内</w:t>
      </w:r>
      <w:r>
        <w:rPr>
          <w:rFonts w:ascii="宋体" w:eastAsia="宋体" w:hAnsi="宋体" w:cs="宋体"/>
        </w:rPr>
        <w:t xml:space="preserve"> </w:t>
      </w:r>
      <w:r>
        <w:rPr>
          <w:rFonts w:ascii="宋体" w:eastAsia="宋体" w:hAnsi="宋体" w:cs="宋体"/>
          <w:spacing w:val="3"/>
        </w:rPr>
        <w:t>容与指标随着营养学的研究进展而不断修改与调整。20世纪</w:t>
      </w:r>
      <w:r>
        <w:rPr>
          <w:rFonts w:ascii="宋体" w:eastAsia="宋体" w:hAnsi="宋体" w:cs="宋体"/>
          <w:spacing w:val="2"/>
        </w:rPr>
        <w:t>90年代后，欧美各</w:t>
      </w:r>
      <w:r>
        <w:rPr>
          <w:rFonts w:ascii="宋体" w:eastAsia="宋体" w:hAnsi="宋体" w:cs="宋体"/>
        </w:rPr>
        <w:t xml:space="preserve">  国相继举行了RDA</w:t>
      </w:r>
      <w:r>
        <w:rPr>
          <w:rFonts w:ascii="宋体" w:eastAsia="宋体" w:hAnsi="宋体" w:cs="宋体"/>
          <w:spacing w:val="96"/>
        </w:rPr>
        <w:t xml:space="preserve"> </w:t>
      </w:r>
      <w:r>
        <w:rPr>
          <w:rFonts w:ascii="宋体" w:eastAsia="宋体" w:hAnsi="宋体" w:cs="宋体"/>
        </w:rPr>
        <w:t>的专题讨论会，对其概念和内容</w:t>
      </w:r>
      <w:r>
        <w:rPr>
          <w:rFonts w:ascii="宋体" w:eastAsia="宋体" w:hAnsi="宋体" w:cs="宋体"/>
          <w:spacing w:val="-1"/>
        </w:rPr>
        <w:t>进行了研讨。认为营养素不</w:t>
      </w:r>
      <w:r>
        <w:rPr>
          <w:rFonts w:ascii="宋体" w:eastAsia="宋体" w:hAnsi="宋体" w:cs="宋体"/>
        </w:rPr>
        <w:t xml:space="preserve">  </w:t>
      </w:r>
      <w:r>
        <w:rPr>
          <w:rFonts w:ascii="宋体" w:eastAsia="宋体" w:hAnsi="宋体" w:cs="宋体"/>
          <w:spacing w:val="-3"/>
        </w:rPr>
        <w:t>仅具有预防营养缺乏病的作用，而且有预防某些慢性病和延缓衰</w:t>
      </w:r>
      <w:r>
        <w:rPr>
          <w:rFonts w:ascii="宋体" w:eastAsia="宋体" w:hAnsi="宋体" w:cs="宋体"/>
          <w:spacing w:val="-4"/>
        </w:rPr>
        <w:t>老的作用；在考</w:t>
      </w:r>
      <w:r>
        <w:rPr>
          <w:rFonts w:ascii="宋体" w:eastAsia="宋体" w:hAnsi="宋体" w:cs="宋体"/>
        </w:rPr>
        <w:t xml:space="preserve">  </w:t>
      </w:r>
      <w:r>
        <w:rPr>
          <w:rFonts w:ascii="宋体" w:eastAsia="宋体" w:hAnsi="宋体" w:cs="宋体"/>
          <w:spacing w:val="-3"/>
        </w:rPr>
        <w:t>虑摄入营养素作用的同时，应考虑摄入安全性。鉴于此，美国学者提出了膳食营</w:t>
      </w:r>
      <w:r>
        <w:rPr>
          <w:rFonts w:ascii="宋体" w:eastAsia="宋体" w:hAnsi="宋体" w:cs="宋体"/>
          <w:spacing w:val="17"/>
        </w:rPr>
        <w:t xml:space="preserve"> </w:t>
      </w:r>
      <w:r>
        <w:rPr>
          <w:rFonts w:ascii="宋体" w:eastAsia="宋体" w:hAnsi="宋体" w:cs="宋体"/>
          <w:spacing w:val="1"/>
        </w:rPr>
        <w:t>养素参考摄入量</w:t>
      </w:r>
      <w:r>
        <w:rPr>
          <w:rFonts w:ascii="宋体" w:eastAsia="宋体" w:hAnsi="宋体" w:cs="宋体"/>
          <w:spacing w:val="6"/>
        </w:rPr>
        <w:t xml:space="preserve"> </w:t>
      </w:r>
      <w:r>
        <w:rPr>
          <w:rFonts w:ascii="宋体" w:eastAsia="宋体" w:hAnsi="宋体" w:cs="宋体"/>
          <w:spacing w:val="1"/>
        </w:rPr>
        <w:t>(</w:t>
      </w:r>
      <w:r>
        <w:rPr>
          <w:rFonts w:ascii="宋体" w:eastAsia="宋体" w:hAnsi="宋体" w:cs="宋体"/>
        </w:rPr>
        <w:t>DRI</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1"/>
        </w:rPr>
        <w:t>的概念，在</w:t>
      </w:r>
      <w:r>
        <w:rPr>
          <w:rFonts w:ascii="宋体" w:eastAsia="宋体" w:hAnsi="宋体" w:cs="宋体"/>
        </w:rPr>
        <w:t>RDA</w:t>
      </w:r>
      <w:r>
        <w:rPr>
          <w:rFonts w:ascii="宋体" w:eastAsia="宋体" w:hAnsi="宋体" w:cs="宋体"/>
          <w:spacing w:val="6"/>
        </w:rPr>
        <w:t xml:space="preserve">  </w:t>
      </w:r>
      <w:r>
        <w:rPr>
          <w:rFonts w:ascii="宋体" w:eastAsia="宋体" w:hAnsi="宋体" w:cs="宋体"/>
          <w:spacing w:val="1"/>
        </w:rPr>
        <w:t>的基础上，增加了适宜摄入量</w:t>
      </w:r>
      <w:r>
        <w:rPr>
          <w:rFonts w:ascii="宋体" w:eastAsia="宋体" w:hAnsi="宋体" w:cs="宋体"/>
          <w:spacing w:val="-4"/>
        </w:rPr>
        <w:t xml:space="preserve"> </w:t>
      </w:r>
      <w:r>
        <w:rPr>
          <w:rFonts w:ascii="宋体" w:eastAsia="宋体" w:hAnsi="宋体" w:cs="宋体"/>
          <w:spacing w:val="1"/>
        </w:rPr>
        <w:t>(</w:t>
      </w:r>
      <w:r>
        <w:rPr>
          <w:rFonts w:ascii="宋体" w:eastAsia="宋体" w:hAnsi="宋体" w:cs="宋体"/>
        </w:rPr>
        <w:t>AI</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6"/>
        </w:rPr>
        <w:t>和摄入量高限</w:t>
      </w:r>
      <w:r>
        <w:rPr>
          <w:rFonts w:ascii="宋体" w:eastAsia="宋体" w:hAnsi="宋体" w:cs="宋体"/>
          <w:spacing w:val="-14"/>
        </w:rPr>
        <w:t xml:space="preserve"> </w:t>
      </w:r>
      <w:r>
        <w:rPr>
          <w:rFonts w:ascii="宋体" w:eastAsia="宋体" w:hAnsi="宋体" w:cs="宋体"/>
          <w:spacing w:val="6"/>
        </w:rPr>
        <w:t>(</w:t>
      </w:r>
      <w:r>
        <w:rPr>
          <w:rFonts w:ascii="宋体" w:eastAsia="宋体" w:hAnsi="宋体" w:cs="宋体"/>
        </w:rPr>
        <w:t>UL</w:t>
      </w:r>
      <w:r>
        <w:rPr>
          <w:rFonts w:ascii="宋体" w:eastAsia="宋体" w:hAnsi="宋体" w:cs="宋体"/>
          <w:spacing w:val="6"/>
        </w:rPr>
        <w:t>),</w:t>
      </w:r>
      <w:r>
        <w:rPr>
          <w:rFonts w:ascii="宋体" w:eastAsia="宋体" w:hAnsi="宋体" w:cs="宋体"/>
          <w:spacing w:val="10"/>
        </w:rPr>
        <w:t xml:space="preserve">  </w:t>
      </w:r>
      <w:r>
        <w:rPr>
          <w:rFonts w:ascii="宋体" w:eastAsia="宋体" w:hAnsi="宋体" w:cs="宋体"/>
          <w:spacing w:val="6"/>
        </w:rPr>
        <w:t>其概念现为各国所接受。1992年在罗马召开了有159个</w:t>
      </w:r>
      <w:r>
        <w:rPr>
          <w:rFonts w:ascii="宋体" w:eastAsia="宋体" w:hAnsi="宋体" w:cs="宋体"/>
        </w:rPr>
        <w:t xml:space="preserve"> </w:t>
      </w:r>
      <w:r>
        <w:rPr>
          <w:rFonts w:ascii="宋体" w:eastAsia="宋体" w:hAnsi="宋体" w:cs="宋体"/>
          <w:spacing w:val="-3"/>
        </w:rPr>
        <w:t>国家政府领导人参加的世界营养大会，会上发布了《世界营养宣言》</w:t>
      </w:r>
      <w:r>
        <w:rPr>
          <w:rFonts w:ascii="宋体" w:eastAsia="宋体" w:hAnsi="宋体" w:cs="宋体"/>
          <w:spacing w:val="-4"/>
        </w:rPr>
        <w:t>和《营养行</w:t>
      </w:r>
      <w:r>
        <w:rPr>
          <w:rFonts w:ascii="宋体" w:eastAsia="宋体" w:hAnsi="宋体" w:cs="宋体"/>
        </w:rPr>
        <w:t xml:space="preserve">  动计划》,号召各国政府保障食品供应，控制营养缺乏病</w:t>
      </w:r>
      <w:r>
        <w:rPr>
          <w:rFonts w:ascii="宋体" w:eastAsia="宋体" w:hAnsi="宋体" w:cs="宋体"/>
          <w:spacing w:val="-1"/>
        </w:rPr>
        <w:t>，加强宣传教育，并制</w:t>
      </w:r>
      <w:r>
        <w:rPr>
          <w:rFonts w:ascii="宋体" w:eastAsia="宋体" w:hAnsi="宋体" w:cs="宋体"/>
        </w:rPr>
        <w:t xml:space="preserve">  </w:t>
      </w:r>
      <w:r>
        <w:rPr>
          <w:rFonts w:ascii="宋体" w:eastAsia="宋体" w:hAnsi="宋体" w:cs="宋体"/>
          <w:spacing w:val="-4"/>
        </w:rPr>
        <w:t>定国家营养改善行动计划。</w:t>
      </w:r>
    </w:p>
    <w:p w:rsidR="00EA40A3" w:rsidRDefault="00EA40A3">
      <w:pPr>
        <w:sectPr w:rsidR="00EA40A3">
          <w:footerReference w:type="default" r:id="rId24"/>
          <w:pgSz w:w="9220" w:h="13360"/>
          <w:pgMar w:top="400" w:right="1134" w:bottom="1278" w:left="749" w:header="0" w:footer="1083" w:gutter="0"/>
          <w:cols w:space="720"/>
        </w:sectPr>
      </w:pPr>
    </w:p>
    <w:p w:rsidR="00EA40A3" w:rsidRDefault="00EA40A3">
      <w:pPr>
        <w:spacing w:line="275" w:lineRule="auto"/>
      </w:pPr>
    </w:p>
    <w:p w:rsidR="00EA40A3" w:rsidRDefault="00EA40A3">
      <w:pPr>
        <w:spacing w:line="275" w:lineRule="auto"/>
      </w:pPr>
    </w:p>
    <w:p w:rsidR="00EA40A3" w:rsidRDefault="00EA40A3">
      <w:pPr>
        <w:spacing w:line="275" w:lineRule="auto"/>
      </w:pPr>
    </w:p>
    <w:p w:rsidR="00EA40A3" w:rsidRDefault="00E86C16">
      <w:pPr>
        <w:spacing w:before="91" w:line="219" w:lineRule="auto"/>
        <w:ind w:left="569"/>
        <w:rPr>
          <w:rFonts w:ascii="宋体" w:eastAsia="宋体" w:hAnsi="宋体" w:cs="宋体"/>
          <w:sz w:val="28"/>
          <w:szCs w:val="28"/>
        </w:rPr>
      </w:pPr>
      <w:r>
        <w:rPr>
          <w:rFonts w:ascii="宋体" w:eastAsia="宋体" w:hAnsi="宋体" w:cs="宋体"/>
          <w:spacing w:val="-4"/>
          <w:sz w:val="28"/>
          <w:szCs w:val="28"/>
        </w:rPr>
        <w:t>1.5</w:t>
      </w:r>
      <w:r>
        <w:rPr>
          <w:rFonts w:ascii="宋体" w:eastAsia="宋体" w:hAnsi="宋体" w:cs="宋体"/>
          <w:spacing w:val="22"/>
          <w:sz w:val="28"/>
          <w:szCs w:val="28"/>
        </w:rPr>
        <w:t xml:space="preserve">   </w:t>
      </w:r>
      <w:r>
        <w:rPr>
          <w:rFonts w:ascii="宋体" w:eastAsia="宋体" w:hAnsi="宋体" w:cs="宋体"/>
          <w:spacing w:val="-4"/>
          <w:sz w:val="28"/>
          <w:szCs w:val="28"/>
        </w:rPr>
        <w:t>我国居民膳食营养状况及今后营养工作的重点</w:t>
      </w:r>
    </w:p>
    <w:p w:rsidR="00EA40A3" w:rsidRDefault="00EA40A3">
      <w:pPr>
        <w:spacing w:line="243" w:lineRule="auto"/>
      </w:pPr>
    </w:p>
    <w:p w:rsidR="00EA40A3" w:rsidRDefault="00E86C16">
      <w:pPr>
        <w:spacing w:before="72" w:line="245" w:lineRule="auto"/>
        <w:ind w:right="52" w:firstLine="569"/>
        <w:jc w:val="both"/>
        <w:rPr>
          <w:rFonts w:ascii="宋体" w:eastAsia="宋体" w:hAnsi="宋体" w:cs="宋体"/>
          <w:sz w:val="22"/>
          <w:szCs w:val="22"/>
        </w:rPr>
      </w:pPr>
      <w:r>
        <w:rPr>
          <w:rFonts w:ascii="宋体" w:eastAsia="宋体" w:hAnsi="宋体" w:cs="宋体"/>
          <w:spacing w:val="3"/>
          <w:sz w:val="22"/>
          <w:szCs w:val="22"/>
        </w:rPr>
        <w:t>我国分别于1959年、1982年、1992年和2002年进行了4次全国性营养调</w:t>
      </w:r>
      <w:r>
        <w:rPr>
          <w:rFonts w:ascii="宋体" w:eastAsia="宋体" w:hAnsi="宋体" w:cs="宋体"/>
          <w:spacing w:val="9"/>
          <w:sz w:val="22"/>
          <w:szCs w:val="22"/>
        </w:rPr>
        <w:t xml:space="preserve"> 查。2004年10月12日由国务院新闻办公室发布了第四</w:t>
      </w:r>
      <w:r>
        <w:rPr>
          <w:rFonts w:ascii="宋体" w:eastAsia="宋体" w:hAnsi="宋体" w:cs="宋体"/>
          <w:spacing w:val="8"/>
          <w:sz w:val="22"/>
          <w:szCs w:val="22"/>
        </w:rPr>
        <w:t>次营养调查结果——</w:t>
      </w:r>
      <w:r>
        <w:rPr>
          <w:rFonts w:ascii="宋体" w:eastAsia="宋体" w:hAnsi="宋体" w:cs="宋体"/>
          <w:sz w:val="22"/>
          <w:szCs w:val="22"/>
        </w:rPr>
        <w:t xml:space="preserve"> </w:t>
      </w:r>
      <w:r>
        <w:rPr>
          <w:rFonts w:ascii="宋体" w:eastAsia="宋体" w:hAnsi="宋体" w:cs="宋体"/>
          <w:spacing w:val="-16"/>
          <w:sz w:val="22"/>
          <w:szCs w:val="22"/>
        </w:rPr>
        <w:t>《中国居民营养与健康现状》。与前几次的调查相比，最近十年我国城乡居民的膳</w:t>
      </w:r>
      <w:r>
        <w:rPr>
          <w:rFonts w:ascii="宋体" w:eastAsia="宋体" w:hAnsi="宋体" w:cs="宋体"/>
          <w:spacing w:val="4"/>
          <w:sz w:val="22"/>
          <w:szCs w:val="22"/>
        </w:rPr>
        <w:t xml:space="preserve"> </w:t>
      </w:r>
      <w:r>
        <w:rPr>
          <w:rFonts w:ascii="宋体" w:eastAsia="宋体" w:hAnsi="宋体" w:cs="宋体"/>
          <w:spacing w:val="-9"/>
          <w:sz w:val="22"/>
          <w:szCs w:val="22"/>
        </w:rPr>
        <w:t>食、营养状况有了明显改善，营养不良和营养缺乏患病率继续下降，</w:t>
      </w:r>
      <w:r>
        <w:rPr>
          <w:rFonts w:ascii="宋体" w:eastAsia="宋体" w:hAnsi="宋体" w:cs="宋体"/>
          <w:spacing w:val="-10"/>
          <w:sz w:val="22"/>
          <w:szCs w:val="22"/>
        </w:rPr>
        <w:t>同时我国仍</w:t>
      </w:r>
      <w:r>
        <w:rPr>
          <w:rFonts w:ascii="宋体" w:eastAsia="宋体" w:hAnsi="宋体" w:cs="宋体"/>
          <w:sz w:val="22"/>
          <w:szCs w:val="22"/>
        </w:rPr>
        <w:t xml:space="preserve"> </w:t>
      </w:r>
      <w:r>
        <w:rPr>
          <w:rFonts w:ascii="宋体" w:eastAsia="宋体" w:hAnsi="宋体" w:cs="宋体"/>
          <w:spacing w:val="-10"/>
          <w:sz w:val="22"/>
          <w:szCs w:val="22"/>
        </w:rPr>
        <w:t>面临着营养缺乏与营养失衡的双重挑战。</w:t>
      </w:r>
    </w:p>
    <w:p w:rsidR="00EA40A3" w:rsidRDefault="00E86C16">
      <w:pPr>
        <w:spacing w:before="213" w:line="221" w:lineRule="auto"/>
        <w:ind w:left="113"/>
        <w:outlineLvl w:val="6"/>
        <w:rPr>
          <w:rFonts w:ascii="黑体" w:eastAsia="黑体" w:hAnsi="黑体" w:cs="黑体"/>
          <w:sz w:val="22"/>
          <w:szCs w:val="22"/>
        </w:rPr>
      </w:pPr>
      <w:r>
        <w:rPr>
          <w:rFonts w:ascii="黑体" w:eastAsia="黑体" w:hAnsi="黑体" w:cs="黑体"/>
          <w:b/>
          <w:bCs/>
          <w:spacing w:val="9"/>
          <w:sz w:val="22"/>
          <w:szCs w:val="22"/>
        </w:rPr>
        <w:t>1.5.1</w:t>
      </w:r>
      <w:r>
        <w:rPr>
          <w:rFonts w:ascii="黑体" w:eastAsia="黑体" w:hAnsi="黑体" w:cs="黑体"/>
          <w:spacing w:val="24"/>
          <w:sz w:val="22"/>
          <w:szCs w:val="22"/>
        </w:rPr>
        <w:t xml:space="preserve">  </w:t>
      </w:r>
      <w:r>
        <w:rPr>
          <w:rFonts w:ascii="黑体" w:eastAsia="黑体" w:hAnsi="黑体" w:cs="黑体"/>
          <w:b/>
          <w:bCs/>
          <w:spacing w:val="9"/>
          <w:sz w:val="22"/>
          <w:szCs w:val="22"/>
        </w:rPr>
        <w:t>我国居民膳食营养改善状况</w:t>
      </w:r>
    </w:p>
    <w:p w:rsidR="00EA40A3" w:rsidRDefault="00E86C16">
      <w:pPr>
        <w:spacing w:before="182" w:line="250" w:lineRule="auto"/>
        <w:ind w:left="110" w:right="20" w:firstLine="459"/>
        <w:jc w:val="both"/>
        <w:rPr>
          <w:rFonts w:ascii="宋体" w:eastAsia="宋体" w:hAnsi="宋体" w:cs="宋体"/>
          <w:sz w:val="22"/>
          <w:szCs w:val="22"/>
        </w:rPr>
      </w:pPr>
      <w:r>
        <w:rPr>
          <w:rFonts w:ascii="宋体" w:eastAsia="宋体" w:hAnsi="宋体" w:cs="宋体"/>
          <w:spacing w:val="-6"/>
          <w:sz w:val="22"/>
          <w:szCs w:val="22"/>
        </w:rPr>
        <w:t>2002年调查结果显示，我国城乡居民的膳食、营养状况有了明显改善，体</w:t>
      </w:r>
      <w:r>
        <w:rPr>
          <w:rFonts w:ascii="宋体" w:eastAsia="宋体" w:hAnsi="宋体" w:cs="宋体"/>
          <w:spacing w:val="12"/>
          <w:sz w:val="22"/>
          <w:szCs w:val="22"/>
        </w:rPr>
        <w:t xml:space="preserve"> </w:t>
      </w:r>
      <w:r>
        <w:rPr>
          <w:rFonts w:ascii="宋体" w:eastAsia="宋体" w:hAnsi="宋体" w:cs="宋体"/>
          <w:spacing w:val="-13"/>
          <w:sz w:val="22"/>
          <w:szCs w:val="22"/>
        </w:rPr>
        <w:t>现在以下几方面：①居民膳食质量明显提高。我国城乡居民能量及蛋白质摄入得</w:t>
      </w:r>
      <w:r>
        <w:rPr>
          <w:rFonts w:ascii="宋体" w:eastAsia="宋体" w:hAnsi="宋体" w:cs="宋体"/>
          <w:spacing w:val="2"/>
          <w:sz w:val="22"/>
          <w:szCs w:val="22"/>
        </w:rPr>
        <w:t xml:space="preserve"> </w:t>
      </w:r>
      <w:r>
        <w:rPr>
          <w:rFonts w:ascii="宋体" w:eastAsia="宋体" w:hAnsi="宋体" w:cs="宋体"/>
          <w:spacing w:val="-11"/>
          <w:sz w:val="22"/>
          <w:szCs w:val="22"/>
        </w:rPr>
        <w:t>到基本满足，肉、禽、蛋等动物性食物消费量明显增加，优质蛋白质比例上升。</w:t>
      </w:r>
      <w:r>
        <w:rPr>
          <w:rFonts w:ascii="宋体" w:eastAsia="宋体" w:hAnsi="宋体" w:cs="宋体"/>
          <w:spacing w:val="13"/>
          <w:sz w:val="22"/>
          <w:szCs w:val="22"/>
        </w:rPr>
        <w:t xml:space="preserve"> </w:t>
      </w:r>
      <w:r>
        <w:rPr>
          <w:rFonts w:ascii="宋体" w:eastAsia="宋体" w:hAnsi="宋体" w:cs="宋体"/>
          <w:spacing w:val="-4"/>
          <w:sz w:val="22"/>
          <w:szCs w:val="22"/>
        </w:rPr>
        <w:t>城乡居民动物性食物和优质蛋白质分别由1992年的人均每日消费21</w:t>
      </w:r>
      <w:r>
        <w:rPr>
          <w:rFonts w:ascii="宋体" w:eastAsia="宋体" w:hAnsi="宋体" w:cs="宋体"/>
          <w:spacing w:val="-5"/>
          <w:sz w:val="22"/>
          <w:szCs w:val="22"/>
        </w:rPr>
        <w:t>0g</w:t>
      </w:r>
      <w:r>
        <w:rPr>
          <w:rFonts w:ascii="宋体" w:eastAsia="宋体" w:hAnsi="宋体" w:cs="宋体"/>
          <w:spacing w:val="-58"/>
          <w:sz w:val="22"/>
          <w:szCs w:val="22"/>
        </w:rPr>
        <w:t xml:space="preserve"> </w:t>
      </w:r>
      <w:r>
        <w:rPr>
          <w:rFonts w:ascii="宋体" w:eastAsia="宋体" w:hAnsi="宋体" w:cs="宋体"/>
          <w:spacing w:val="-5"/>
          <w:sz w:val="22"/>
          <w:szCs w:val="22"/>
        </w:rPr>
        <w:t>和69g上</w:t>
      </w:r>
      <w:r>
        <w:rPr>
          <w:rFonts w:ascii="宋体" w:eastAsia="宋体" w:hAnsi="宋体" w:cs="宋体"/>
          <w:sz w:val="22"/>
          <w:szCs w:val="22"/>
        </w:rPr>
        <w:t xml:space="preserve"> 升到248g和126g。与1992年相比，农村居民膳食结构趋向合理，优质蛋白质</w:t>
      </w:r>
      <w:r>
        <w:rPr>
          <w:rFonts w:ascii="宋体" w:eastAsia="宋体" w:hAnsi="宋体" w:cs="宋体"/>
          <w:spacing w:val="3"/>
          <w:sz w:val="22"/>
          <w:szCs w:val="22"/>
        </w:rPr>
        <w:t xml:space="preserve"> </w:t>
      </w:r>
      <w:r>
        <w:rPr>
          <w:rFonts w:ascii="宋体" w:eastAsia="宋体" w:hAnsi="宋体" w:cs="宋体"/>
          <w:spacing w:val="11"/>
          <w:sz w:val="22"/>
          <w:szCs w:val="22"/>
        </w:rPr>
        <w:t xml:space="preserve">占蛋白质总量的比例从17%增加到31%,脂肪供能比由19%增加到28%,碳水 </w:t>
      </w:r>
      <w:r>
        <w:rPr>
          <w:rFonts w:ascii="宋体" w:eastAsia="宋体" w:hAnsi="宋体" w:cs="宋体"/>
          <w:spacing w:val="-1"/>
          <w:sz w:val="22"/>
          <w:szCs w:val="22"/>
        </w:rPr>
        <w:t>化合物供能比由70%下降到61%。②儿童青</w:t>
      </w:r>
      <w:r>
        <w:rPr>
          <w:rFonts w:ascii="宋体" w:eastAsia="宋体" w:hAnsi="宋体" w:cs="宋体"/>
          <w:spacing w:val="-2"/>
          <w:sz w:val="22"/>
          <w:szCs w:val="22"/>
        </w:rPr>
        <w:t>少年生长发育水平稳步提高。婴儿</w:t>
      </w:r>
      <w:r>
        <w:rPr>
          <w:rFonts w:ascii="宋体" w:eastAsia="宋体" w:hAnsi="宋体" w:cs="宋体"/>
          <w:sz w:val="22"/>
          <w:szCs w:val="22"/>
        </w:rPr>
        <w:t xml:space="preserve">  </w:t>
      </w:r>
      <w:r>
        <w:rPr>
          <w:rFonts w:ascii="宋体" w:eastAsia="宋体" w:hAnsi="宋体" w:cs="宋体"/>
          <w:spacing w:val="1"/>
          <w:sz w:val="22"/>
          <w:szCs w:val="22"/>
        </w:rPr>
        <w:t>平均出生体重达到3309g,</w:t>
      </w:r>
      <w:r>
        <w:rPr>
          <w:rFonts w:ascii="宋体" w:eastAsia="宋体" w:hAnsi="宋体" w:cs="宋体"/>
          <w:spacing w:val="-18"/>
          <w:sz w:val="22"/>
          <w:szCs w:val="22"/>
        </w:rPr>
        <w:t xml:space="preserve"> </w:t>
      </w:r>
      <w:r>
        <w:rPr>
          <w:rFonts w:ascii="宋体" w:eastAsia="宋体" w:hAnsi="宋体" w:cs="宋体"/>
          <w:spacing w:val="1"/>
          <w:sz w:val="22"/>
          <w:szCs w:val="22"/>
        </w:rPr>
        <w:t>低出生体重率</w:t>
      </w:r>
      <w:r>
        <w:rPr>
          <w:rFonts w:ascii="宋体" w:eastAsia="宋体" w:hAnsi="宋体" w:cs="宋体"/>
          <w:sz w:val="22"/>
          <w:szCs w:val="22"/>
        </w:rPr>
        <w:t xml:space="preserve">为3.6%,已达到发达国家水平。全国 </w:t>
      </w:r>
      <w:r>
        <w:rPr>
          <w:rFonts w:ascii="宋体" w:eastAsia="宋体" w:hAnsi="宋体" w:cs="宋体"/>
          <w:spacing w:val="-2"/>
          <w:sz w:val="22"/>
          <w:szCs w:val="22"/>
        </w:rPr>
        <w:t>城乡3～18岁儿童青少年各年龄组身高比1992年平均增加3.3cm。</w:t>
      </w:r>
      <w:r>
        <w:rPr>
          <w:rFonts w:ascii="宋体" w:eastAsia="宋体" w:hAnsi="宋体" w:cs="宋体"/>
          <w:spacing w:val="-30"/>
          <w:sz w:val="22"/>
          <w:szCs w:val="22"/>
        </w:rPr>
        <w:t xml:space="preserve"> </w:t>
      </w:r>
      <w:r>
        <w:rPr>
          <w:rFonts w:ascii="宋体" w:eastAsia="宋体" w:hAnsi="宋体" w:cs="宋体"/>
          <w:spacing w:val="-2"/>
          <w:sz w:val="22"/>
          <w:szCs w:val="22"/>
        </w:rPr>
        <w:t>但与城市相</w:t>
      </w:r>
      <w:r>
        <w:rPr>
          <w:rFonts w:ascii="宋体" w:eastAsia="宋体" w:hAnsi="宋体" w:cs="宋体"/>
          <w:sz w:val="22"/>
          <w:szCs w:val="22"/>
        </w:rPr>
        <w:t xml:space="preserve"> </w:t>
      </w:r>
      <w:r>
        <w:rPr>
          <w:rFonts w:ascii="宋体" w:eastAsia="宋体" w:hAnsi="宋体" w:cs="宋体"/>
          <w:spacing w:val="-7"/>
          <w:sz w:val="22"/>
          <w:szCs w:val="22"/>
        </w:rPr>
        <w:t>比，农村男性平均低4.9cm,</w:t>
      </w:r>
      <w:r>
        <w:rPr>
          <w:rFonts w:ascii="宋体" w:eastAsia="宋体" w:hAnsi="宋体" w:cs="宋体"/>
          <w:spacing w:val="12"/>
          <w:sz w:val="22"/>
          <w:szCs w:val="22"/>
        </w:rPr>
        <w:t xml:space="preserve"> </w:t>
      </w:r>
      <w:r>
        <w:rPr>
          <w:rFonts w:ascii="宋体" w:eastAsia="宋体" w:hAnsi="宋体" w:cs="宋体"/>
          <w:spacing w:val="-7"/>
          <w:sz w:val="22"/>
          <w:szCs w:val="22"/>
        </w:rPr>
        <w:t>女性平均低4.2cm。③</w:t>
      </w:r>
      <w:r>
        <w:rPr>
          <w:rFonts w:ascii="宋体" w:eastAsia="宋体" w:hAnsi="宋体" w:cs="宋体"/>
          <w:spacing w:val="-77"/>
          <w:sz w:val="22"/>
          <w:szCs w:val="22"/>
        </w:rPr>
        <w:t xml:space="preserve"> </w:t>
      </w:r>
      <w:r>
        <w:rPr>
          <w:rFonts w:ascii="宋体" w:eastAsia="宋体" w:hAnsi="宋体" w:cs="宋体"/>
          <w:spacing w:val="-7"/>
          <w:sz w:val="22"/>
          <w:szCs w:val="22"/>
        </w:rPr>
        <w:t>儿童营养不良患病率显著下</w:t>
      </w:r>
      <w:r>
        <w:rPr>
          <w:rFonts w:ascii="宋体" w:eastAsia="宋体" w:hAnsi="宋体" w:cs="宋体"/>
          <w:sz w:val="22"/>
          <w:szCs w:val="22"/>
        </w:rPr>
        <w:t xml:space="preserve"> </w:t>
      </w:r>
      <w:r>
        <w:rPr>
          <w:rFonts w:ascii="宋体" w:eastAsia="宋体" w:hAnsi="宋体" w:cs="宋体"/>
          <w:spacing w:val="14"/>
          <w:sz w:val="22"/>
          <w:szCs w:val="22"/>
        </w:rPr>
        <w:t>降。5岁以下儿童生长迟缓率为14.3%,比1992年下降55%,其中城市下降</w:t>
      </w:r>
      <w:r>
        <w:rPr>
          <w:rFonts w:ascii="宋体" w:eastAsia="宋体" w:hAnsi="宋体" w:cs="宋体"/>
          <w:spacing w:val="8"/>
          <w:sz w:val="22"/>
          <w:szCs w:val="22"/>
        </w:rPr>
        <w:t xml:space="preserve"> </w:t>
      </w:r>
      <w:r>
        <w:rPr>
          <w:rFonts w:ascii="宋体" w:eastAsia="宋体" w:hAnsi="宋体" w:cs="宋体"/>
          <w:spacing w:val="19"/>
          <w:sz w:val="22"/>
          <w:szCs w:val="22"/>
        </w:rPr>
        <w:t>74%,农村下降51%;儿童低体重率为7.8%,比1992年下降57%,其中城市</w:t>
      </w:r>
      <w:r>
        <w:rPr>
          <w:rFonts w:ascii="宋体" w:eastAsia="宋体" w:hAnsi="宋体" w:cs="宋体"/>
          <w:spacing w:val="2"/>
          <w:sz w:val="22"/>
          <w:szCs w:val="22"/>
        </w:rPr>
        <w:t xml:space="preserve"> 下降70%,农村下降53%。④居民贫血患病率有所下降。城市男性由1992年的</w:t>
      </w:r>
      <w:r>
        <w:rPr>
          <w:rFonts w:ascii="宋体" w:eastAsia="宋体" w:hAnsi="宋体" w:cs="宋体"/>
          <w:spacing w:val="5"/>
          <w:sz w:val="22"/>
          <w:szCs w:val="22"/>
        </w:rPr>
        <w:t xml:space="preserve">  </w:t>
      </w:r>
      <w:r>
        <w:rPr>
          <w:rFonts w:ascii="宋体" w:eastAsia="宋体" w:hAnsi="宋体" w:cs="宋体"/>
          <w:spacing w:val="12"/>
          <w:sz w:val="22"/>
          <w:szCs w:val="22"/>
        </w:rPr>
        <w:t>13.4%下降至10.6%;城市女性由23.3%下降至17.0%;农村男性由15.4%下</w:t>
      </w:r>
      <w:r>
        <w:rPr>
          <w:rFonts w:ascii="宋体" w:eastAsia="宋体" w:hAnsi="宋体" w:cs="宋体"/>
          <w:spacing w:val="15"/>
          <w:sz w:val="22"/>
          <w:szCs w:val="22"/>
        </w:rPr>
        <w:t xml:space="preserve"> </w:t>
      </w:r>
      <w:r>
        <w:rPr>
          <w:rFonts w:ascii="宋体" w:eastAsia="宋体" w:hAnsi="宋体" w:cs="宋体"/>
          <w:spacing w:val="9"/>
          <w:sz w:val="22"/>
          <w:szCs w:val="22"/>
        </w:rPr>
        <w:t>降至12.9%;农村女性由20.8%下降至18.8</w:t>
      </w:r>
      <w:r>
        <w:rPr>
          <w:rFonts w:ascii="宋体" w:eastAsia="宋体" w:hAnsi="宋体" w:cs="宋体"/>
          <w:spacing w:val="31"/>
          <w:sz w:val="22"/>
          <w:szCs w:val="22"/>
        </w:rPr>
        <w:t xml:space="preserve"> </w:t>
      </w:r>
      <w:r>
        <w:rPr>
          <w:rFonts w:ascii="宋体" w:eastAsia="宋体" w:hAnsi="宋体" w:cs="宋体"/>
          <w:spacing w:val="9"/>
          <w:sz w:val="22"/>
          <w:szCs w:val="22"/>
        </w:rPr>
        <w:t>%。</w:t>
      </w:r>
    </w:p>
    <w:p w:rsidR="00EA40A3" w:rsidRDefault="00E86C16">
      <w:pPr>
        <w:spacing w:before="265" w:line="221" w:lineRule="auto"/>
        <w:ind w:left="113"/>
        <w:outlineLvl w:val="6"/>
        <w:rPr>
          <w:rFonts w:ascii="黑体" w:eastAsia="黑体" w:hAnsi="黑体" w:cs="黑体"/>
          <w:sz w:val="22"/>
          <w:szCs w:val="22"/>
        </w:rPr>
      </w:pPr>
      <w:r>
        <w:rPr>
          <w:rFonts w:ascii="黑体" w:eastAsia="黑体" w:hAnsi="黑体" w:cs="黑体"/>
          <w:b/>
          <w:bCs/>
          <w:spacing w:val="9"/>
          <w:sz w:val="22"/>
          <w:szCs w:val="22"/>
        </w:rPr>
        <w:t>1.5.2</w:t>
      </w:r>
      <w:r>
        <w:rPr>
          <w:rFonts w:ascii="黑体" w:eastAsia="黑体" w:hAnsi="黑体" w:cs="黑体"/>
          <w:spacing w:val="6"/>
          <w:sz w:val="22"/>
          <w:szCs w:val="22"/>
        </w:rPr>
        <w:t xml:space="preserve">   </w:t>
      </w:r>
      <w:r>
        <w:rPr>
          <w:rFonts w:ascii="黑体" w:eastAsia="黑体" w:hAnsi="黑体" w:cs="黑体"/>
          <w:b/>
          <w:bCs/>
          <w:spacing w:val="9"/>
          <w:sz w:val="22"/>
          <w:szCs w:val="22"/>
        </w:rPr>
        <w:t>我国居民膳食营养存在的问题</w:t>
      </w:r>
    </w:p>
    <w:p w:rsidR="00EA40A3" w:rsidRDefault="00E86C16">
      <w:pPr>
        <w:spacing w:before="216" w:line="248" w:lineRule="auto"/>
        <w:ind w:left="110" w:firstLine="459"/>
        <w:jc w:val="both"/>
        <w:rPr>
          <w:rFonts w:ascii="宋体" w:eastAsia="宋体" w:hAnsi="宋体" w:cs="宋体"/>
          <w:sz w:val="22"/>
          <w:szCs w:val="22"/>
        </w:rPr>
      </w:pPr>
      <w:r>
        <w:rPr>
          <w:rFonts w:ascii="宋体" w:eastAsia="宋体" w:hAnsi="宋体" w:cs="宋体"/>
          <w:spacing w:val="-13"/>
          <w:sz w:val="22"/>
          <w:szCs w:val="22"/>
        </w:rPr>
        <w:t>虽然我国居民的膳食营养得到很大的改善，但仍存在很多问题：①城市居民</w:t>
      </w:r>
      <w:r>
        <w:rPr>
          <w:rFonts w:ascii="宋体" w:eastAsia="宋体" w:hAnsi="宋体" w:cs="宋体"/>
          <w:sz w:val="22"/>
          <w:szCs w:val="22"/>
        </w:rPr>
        <w:t xml:space="preserve"> </w:t>
      </w:r>
      <w:r>
        <w:rPr>
          <w:rFonts w:ascii="宋体" w:eastAsia="宋体" w:hAnsi="宋体" w:cs="宋体"/>
          <w:spacing w:val="-6"/>
          <w:sz w:val="22"/>
          <w:szCs w:val="22"/>
        </w:rPr>
        <w:t>膳食结构不尽合理。畜肉类及油脂消费过多，谷类食物</w:t>
      </w:r>
      <w:r>
        <w:rPr>
          <w:rFonts w:ascii="宋体" w:eastAsia="宋体" w:hAnsi="宋体" w:cs="宋体"/>
          <w:spacing w:val="-7"/>
          <w:sz w:val="22"/>
          <w:szCs w:val="22"/>
        </w:rPr>
        <w:t>消费偏低。2002年城市</w:t>
      </w:r>
      <w:r>
        <w:rPr>
          <w:rFonts w:ascii="宋体" w:eastAsia="宋体" w:hAnsi="宋体" w:cs="宋体"/>
          <w:sz w:val="22"/>
          <w:szCs w:val="22"/>
        </w:rPr>
        <w:t xml:space="preserve">  </w:t>
      </w:r>
      <w:r>
        <w:rPr>
          <w:rFonts w:ascii="宋体" w:eastAsia="宋体" w:hAnsi="宋体" w:cs="宋体"/>
          <w:spacing w:val="5"/>
          <w:sz w:val="22"/>
          <w:szCs w:val="22"/>
        </w:rPr>
        <w:t>居民每人每日油脂消费量由1992年的37g</w:t>
      </w:r>
      <w:r>
        <w:rPr>
          <w:rFonts w:ascii="宋体" w:eastAsia="宋体" w:hAnsi="宋体" w:cs="宋体"/>
          <w:spacing w:val="-41"/>
          <w:sz w:val="22"/>
          <w:szCs w:val="22"/>
        </w:rPr>
        <w:t xml:space="preserve"> </w:t>
      </w:r>
      <w:r>
        <w:rPr>
          <w:rFonts w:ascii="宋体" w:eastAsia="宋体" w:hAnsi="宋体" w:cs="宋体"/>
          <w:spacing w:val="5"/>
          <w:sz w:val="22"/>
          <w:szCs w:val="22"/>
        </w:rPr>
        <w:t>增加到44g,</w:t>
      </w:r>
      <w:r>
        <w:rPr>
          <w:rFonts w:ascii="宋体" w:eastAsia="宋体" w:hAnsi="宋体" w:cs="宋体"/>
          <w:spacing w:val="-17"/>
          <w:sz w:val="22"/>
          <w:szCs w:val="22"/>
        </w:rPr>
        <w:t xml:space="preserve"> </w:t>
      </w:r>
      <w:r>
        <w:rPr>
          <w:rFonts w:ascii="宋体" w:eastAsia="宋体" w:hAnsi="宋体" w:cs="宋体"/>
          <w:spacing w:val="5"/>
          <w:sz w:val="22"/>
          <w:szCs w:val="22"/>
        </w:rPr>
        <w:t>脂肪供能比达到35%,</w:t>
      </w:r>
      <w:r>
        <w:rPr>
          <w:rFonts w:ascii="宋体" w:eastAsia="宋体" w:hAnsi="宋体" w:cs="宋体"/>
          <w:sz w:val="22"/>
          <w:szCs w:val="22"/>
        </w:rPr>
        <w:t xml:space="preserve"> </w:t>
      </w:r>
      <w:r>
        <w:rPr>
          <w:rFonts w:ascii="宋体" w:eastAsia="宋体" w:hAnsi="宋体" w:cs="宋体"/>
          <w:spacing w:val="4"/>
          <w:sz w:val="22"/>
          <w:szCs w:val="22"/>
        </w:rPr>
        <w:t>超过世界卫生组织推荐的30%的上限。城市居民谷类食</w:t>
      </w:r>
      <w:r>
        <w:rPr>
          <w:rFonts w:ascii="宋体" w:eastAsia="宋体" w:hAnsi="宋体" w:cs="宋体"/>
          <w:spacing w:val="3"/>
          <w:sz w:val="22"/>
          <w:szCs w:val="22"/>
        </w:rPr>
        <w:t>物供能比仅为47%,明</w:t>
      </w:r>
      <w:r>
        <w:rPr>
          <w:rFonts w:ascii="宋体" w:eastAsia="宋体" w:hAnsi="宋体" w:cs="宋体"/>
          <w:sz w:val="22"/>
          <w:szCs w:val="22"/>
        </w:rPr>
        <w:t xml:space="preserve"> 显低于55%～65%的合理范围。此外，奶类、</w:t>
      </w:r>
      <w:r>
        <w:rPr>
          <w:rFonts w:ascii="宋体" w:eastAsia="宋体" w:hAnsi="宋体" w:cs="宋体"/>
          <w:spacing w:val="-1"/>
          <w:sz w:val="22"/>
          <w:szCs w:val="22"/>
        </w:rPr>
        <w:t>豆类制品摄入过低仍是全国普遍</w:t>
      </w:r>
      <w:r>
        <w:rPr>
          <w:rFonts w:ascii="宋体" w:eastAsia="宋体" w:hAnsi="宋体" w:cs="宋体"/>
          <w:sz w:val="22"/>
          <w:szCs w:val="22"/>
        </w:rPr>
        <w:t xml:space="preserve">  </w:t>
      </w:r>
      <w:r>
        <w:rPr>
          <w:rFonts w:ascii="宋体" w:eastAsia="宋体" w:hAnsi="宋体" w:cs="宋体"/>
          <w:spacing w:val="-12"/>
          <w:sz w:val="22"/>
          <w:szCs w:val="22"/>
        </w:rPr>
        <w:t>存在的问题。②一些营养缺乏病依然存在。儿童营养</w:t>
      </w:r>
      <w:r>
        <w:rPr>
          <w:rFonts w:ascii="宋体" w:eastAsia="宋体" w:hAnsi="宋体" w:cs="宋体"/>
          <w:spacing w:val="-13"/>
          <w:sz w:val="22"/>
          <w:szCs w:val="22"/>
        </w:rPr>
        <w:t>不良在农村地区仍然比较严</w:t>
      </w:r>
      <w:r>
        <w:rPr>
          <w:rFonts w:ascii="宋体" w:eastAsia="宋体" w:hAnsi="宋体" w:cs="宋体"/>
          <w:sz w:val="22"/>
          <w:szCs w:val="22"/>
        </w:rPr>
        <w:t xml:space="preserve"> </w:t>
      </w:r>
      <w:r>
        <w:rPr>
          <w:rFonts w:ascii="宋体" w:eastAsia="宋体" w:hAnsi="宋体" w:cs="宋体"/>
          <w:spacing w:val="2"/>
          <w:sz w:val="22"/>
          <w:szCs w:val="22"/>
        </w:rPr>
        <w:t>重，5岁以下儿童生长迟缓率和低体重率分别为17.3%和9.3%,贫困农村分别</w:t>
      </w:r>
      <w:r>
        <w:rPr>
          <w:rFonts w:ascii="宋体" w:eastAsia="宋体" w:hAnsi="宋体" w:cs="宋体"/>
          <w:spacing w:val="5"/>
          <w:sz w:val="22"/>
          <w:szCs w:val="22"/>
        </w:rPr>
        <w:t xml:space="preserve">  </w:t>
      </w:r>
      <w:r>
        <w:rPr>
          <w:rFonts w:ascii="宋体" w:eastAsia="宋体" w:hAnsi="宋体" w:cs="宋体"/>
          <w:spacing w:val="8"/>
          <w:sz w:val="22"/>
          <w:szCs w:val="22"/>
        </w:rPr>
        <w:t>高达29.3%和14.4%。生长迟缓率以1岁组最高，农村平均为20.9%,贫困农</w:t>
      </w:r>
      <w:r>
        <w:rPr>
          <w:rFonts w:ascii="宋体" w:eastAsia="宋体" w:hAnsi="宋体" w:cs="宋体"/>
          <w:spacing w:val="1"/>
          <w:sz w:val="22"/>
          <w:szCs w:val="22"/>
        </w:rPr>
        <w:t xml:space="preserve">  </w:t>
      </w:r>
      <w:r>
        <w:rPr>
          <w:rFonts w:ascii="宋体" w:eastAsia="宋体" w:hAnsi="宋体" w:cs="宋体"/>
          <w:spacing w:val="2"/>
          <w:sz w:val="22"/>
          <w:szCs w:val="22"/>
        </w:rPr>
        <w:t>村则高达34.6%,这说明农村地区婴儿辅食添加不合理的问题十分突出。铁、</w:t>
      </w:r>
    </w:p>
    <w:p w:rsidR="00EA40A3" w:rsidRDefault="00EA40A3">
      <w:pPr>
        <w:sectPr w:rsidR="00EA40A3">
          <w:footerReference w:type="default" r:id="rId25"/>
          <w:pgSz w:w="9220" w:h="13360"/>
          <w:pgMar w:top="400" w:right="999" w:bottom="1228" w:left="759" w:header="0" w:footer="1034" w:gutter="0"/>
          <w:cols w:space="720"/>
        </w:sectPr>
      </w:pPr>
    </w:p>
    <w:p w:rsidR="00EA40A3" w:rsidRDefault="00EA40A3">
      <w:pPr>
        <w:spacing w:line="274" w:lineRule="auto"/>
      </w:pPr>
    </w:p>
    <w:p w:rsidR="00EA40A3" w:rsidRDefault="00EA40A3">
      <w:pPr>
        <w:spacing w:line="274" w:lineRule="auto"/>
      </w:pPr>
    </w:p>
    <w:p w:rsidR="00EA40A3" w:rsidRDefault="00E86C16">
      <w:pPr>
        <w:spacing w:before="71" w:line="249" w:lineRule="auto"/>
        <w:ind w:right="88"/>
        <w:jc w:val="both"/>
        <w:rPr>
          <w:rFonts w:ascii="宋体" w:eastAsia="宋体" w:hAnsi="宋体" w:cs="宋体"/>
          <w:sz w:val="22"/>
          <w:szCs w:val="22"/>
        </w:rPr>
      </w:pPr>
      <w:r>
        <w:rPr>
          <w:rFonts w:ascii="宋体" w:eastAsia="宋体" w:hAnsi="宋体" w:cs="宋体"/>
          <w:spacing w:val="-6"/>
          <w:sz w:val="22"/>
          <w:szCs w:val="22"/>
        </w:rPr>
        <w:t>维生素A</w:t>
      </w:r>
      <w:r>
        <w:rPr>
          <w:rFonts w:ascii="宋体" w:eastAsia="宋体" w:hAnsi="宋体" w:cs="宋体"/>
          <w:spacing w:val="-16"/>
          <w:sz w:val="22"/>
          <w:szCs w:val="22"/>
        </w:rPr>
        <w:t xml:space="preserve"> </w:t>
      </w:r>
      <w:r>
        <w:rPr>
          <w:rFonts w:ascii="宋体" w:eastAsia="宋体" w:hAnsi="宋体" w:cs="宋体"/>
          <w:spacing w:val="-6"/>
          <w:sz w:val="22"/>
          <w:szCs w:val="22"/>
        </w:rPr>
        <w:t>等微量营养素缺乏是我国城乡居民普遍存在的问题。我国居民贫血患</w:t>
      </w:r>
      <w:r>
        <w:rPr>
          <w:rFonts w:ascii="宋体" w:eastAsia="宋体" w:hAnsi="宋体" w:cs="宋体"/>
          <w:sz w:val="22"/>
          <w:szCs w:val="22"/>
        </w:rPr>
        <w:t xml:space="preserve"> 病率平均为15.2%;两岁以内婴幼儿、60岁以上老人、育龄</w:t>
      </w:r>
      <w:r>
        <w:rPr>
          <w:rFonts w:ascii="宋体" w:eastAsia="宋体" w:hAnsi="宋体" w:cs="宋体"/>
          <w:spacing w:val="-1"/>
          <w:sz w:val="22"/>
          <w:szCs w:val="22"/>
        </w:rPr>
        <w:t>妇女贫血患病率分</w:t>
      </w:r>
      <w:r>
        <w:rPr>
          <w:rFonts w:ascii="宋体" w:eastAsia="宋体" w:hAnsi="宋体" w:cs="宋体"/>
          <w:sz w:val="22"/>
          <w:szCs w:val="22"/>
        </w:rPr>
        <w:t xml:space="preserve"> </w:t>
      </w:r>
      <w:r>
        <w:rPr>
          <w:rFonts w:ascii="宋体" w:eastAsia="宋体" w:hAnsi="宋体" w:cs="宋体"/>
          <w:spacing w:val="12"/>
          <w:sz w:val="22"/>
          <w:szCs w:val="22"/>
        </w:rPr>
        <w:t>别为24.2%、21.5%和20.6%。</w:t>
      </w:r>
      <w:r>
        <w:rPr>
          <w:rFonts w:ascii="宋体" w:eastAsia="宋体" w:hAnsi="宋体" w:cs="宋体"/>
          <w:spacing w:val="11"/>
          <w:sz w:val="22"/>
          <w:szCs w:val="22"/>
        </w:rPr>
        <w:t>3～12岁儿童维生素</w:t>
      </w:r>
      <w:r>
        <w:rPr>
          <w:rFonts w:ascii="宋体" w:eastAsia="宋体" w:hAnsi="宋体" w:cs="宋体"/>
          <w:spacing w:val="-61"/>
          <w:sz w:val="22"/>
          <w:szCs w:val="22"/>
        </w:rPr>
        <w:t xml:space="preserve"> </w:t>
      </w:r>
      <w:r>
        <w:rPr>
          <w:rFonts w:ascii="宋体" w:eastAsia="宋体" w:hAnsi="宋体" w:cs="宋体"/>
          <w:spacing w:val="11"/>
          <w:sz w:val="22"/>
          <w:szCs w:val="22"/>
        </w:rPr>
        <w:t>A</w:t>
      </w:r>
      <w:r>
        <w:rPr>
          <w:rFonts w:ascii="宋体" w:eastAsia="宋体" w:hAnsi="宋体" w:cs="宋体"/>
          <w:spacing w:val="1"/>
          <w:sz w:val="22"/>
          <w:szCs w:val="22"/>
        </w:rPr>
        <w:t xml:space="preserve"> </w:t>
      </w:r>
      <w:r>
        <w:rPr>
          <w:rFonts w:ascii="宋体" w:eastAsia="宋体" w:hAnsi="宋体" w:cs="宋体"/>
          <w:spacing w:val="11"/>
          <w:sz w:val="22"/>
          <w:szCs w:val="22"/>
        </w:rPr>
        <w:t>缺乏率为9.3%,其中</w:t>
      </w:r>
      <w:r>
        <w:rPr>
          <w:rFonts w:ascii="宋体" w:eastAsia="宋体" w:hAnsi="宋体" w:cs="宋体"/>
          <w:sz w:val="22"/>
          <w:szCs w:val="22"/>
        </w:rPr>
        <w:t xml:space="preserve"> </w:t>
      </w:r>
      <w:r>
        <w:rPr>
          <w:rFonts w:ascii="宋体" w:eastAsia="宋体" w:hAnsi="宋体" w:cs="宋体"/>
          <w:spacing w:val="18"/>
          <w:sz w:val="22"/>
          <w:szCs w:val="22"/>
        </w:rPr>
        <w:t>城市为3.0%,农村为11.2%;维生素</w:t>
      </w:r>
      <w:r>
        <w:rPr>
          <w:rFonts w:ascii="宋体" w:eastAsia="宋体" w:hAnsi="宋体" w:cs="宋体"/>
          <w:spacing w:val="-46"/>
          <w:sz w:val="22"/>
          <w:szCs w:val="22"/>
        </w:rPr>
        <w:t xml:space="preserve"> </w:t>
      </w:r>
      <w:r>
        <w:rPr>
          <w:rFonts w:ascii="宋体" w:eastAsia="宋体" w:hAnsi="宋体" w:cs="宋体"/>
          <w:spacing w:val="18"/>
          <w:sz w:val="22"/>
          <w:szCs w:val="22"/>
        </w:rPr>
        <w:t>A</w:t>
      </w:r>
      <w:r>
        <w:rPr>
          <w:rFonts w:ascii="宋体" w:eastAsia="宋体" w:hAnsi="宋体" w:cs="宋体"/>
          <w:spacing w:val="12"/>
          <w:sz w:val="22"/>
          <w:szCs w:val="22"/>
        </w:rPr>
        <w:t xml:space="preserve"> </w:t>
      </w:r>
      <w:r>
        <w:rPr>
          <w:rFonts w:ascii="宋体" w:eastAsia="宋体" w:hAnsi="宋体" w:cs="宋体"/>
          <w:spacing w:val="18"/>
          <w:sz w:val="22"/>
          <w:szCs w:val="22"/>
        </w:rPr>
        <w:t>边缘缺乏率为45.1%,其中城市为</w:t>
      </w:r>
      <w:r>
        <w:rPr>
          <w:rFonts w:ascii="宋体" w:eastAsia="宋体" w:hAnsi="宋体" w:cs="宋体"/>
          <w:sz w:val="22"/>
          <w:szCs w:val="22"/>
        </w:rPr>
        <w:t xml:space="preserve"> </w:t>
      </w:r>
      <w:r>
        <w:rPr>
          <w:rFonts w:ascii="宋体" w:eastAsia="宋体" w:hAnsi="宋体" w:cs="宋体"/>
          <w:spacing w:val="4"/>
          <w:sz w:val="22"/>
          <w:szCs w:val="22"/>
        </w:rPr>
        <w:t>29.0%,农村为49.6%。全国城乡钙摄入量仅为391</w:t>
      </w:r>
      <w:r>
        <w:rPr>
          <w:rFonts w:ascii="宋体" w:eastAsia="宋体" w:hAnsi="宋体" w:cs="宋体"/>
          <w:sz w:val="22"/>
          <w:szCs w:val="22"/>
        </w:rPr>
        <w:t>mg</w:t>
      </w:r>
      <w:r>
        <w:rPr>
          <w:rFonts w:ascii="宋体" w:eastAsia="宋体" w:hAnsi="宋体" w:cs="宋体"/>
          <w:spacing w:val="4"/>
          <w:sz w:val="22"/>
          <w:szCs w:val="22"/>
        </w:rPr>
        <w:t>,</w:t>
      </w:r>
      <w:r>
        <w:rPr>
          <w:rFonts w:ascii="宋体" w:eastAsia="宋体" w:hAnsi="宋体" w:cs="宋体"/>
          <w:spacing w:val="43"/>
          <w:sz w:val="22"/>
          <w:szCs w:val="22"/>
        </w:rPr>
        <w:t xml:space="preserve"> </w:t>
      </w:r>
      <w:r>
        <w:rPr>
          <w:rFonts w:ascii="宋体" w:eastAsia="宋体" w:hAnsi="宋体" w:cs="宋体"/>
          <w:spacing w:val="4"/>
          <w:sz w:val="22"/>
          <w:szCs w:val="22"/>
        </w:rPr>
        <w:t>相当于推荐摄人量的</w:t>
      </w:r>
      <w:r>
        <w:rPr>
          <w:rFonts w:ascii="宋体" w:eastAsia="宋体" w:hAnsi="宋体" w:cs="宋体"/>
          <w:sz w:val="22"/>
          <w:szCs w:val="22"/>
        </w:rPr>
        <w:t xml:space="preserve"> </w:t>
      </w:r>
      <w:r>
        <w:rPr>
          <w:rFonts w:ascii="宋体" w:eastAsia="宋体" w:hAnsi="宋体" w:cs="宋体"/>
          <w:spacing w:val="-10"/>
          <w:sz w:val="22"/>
          <w:szCs w:val="22"/>
        </w:rPr>
        <w:t>41%。③慢性非传染性疾病患病率迅速上升。高血压患病率有较大幅度升高；糖</w:t>
      </w:r>
      <w:r>
        <w:rPr>
          <w:rFonts w:ascii="宋体" w:eastAsia="宋体" w:hAnsi="宋体" w:cs="宋体"/>
          <w:spacing w:val="18"/>
          <w:sz w:val="22"/>
          <w:szCs w:val="22"/>
        </w:rPr>
        <w:t xml:space="preserve"> </w:t>
      </w:r>
      <w:r>
        <w:rPr>
          <w:rFonts w:ascii="宋体" w:eastAsia="宋体" w:hAnsi="宋体" w:cs="宋体"/>
          <w:spacing w:val="-13"/>
          <w:sz w:val="22"/>
          <w:szCs w:val="22"/>
        </w:rPr>
        <w:t>尿病患病率增加；超重和肥胖患病率呈明显上升趋势；血脂异常值得关注；膳食</w:t>
      </w:r>
      <w:r>
        <w:rPr>
          <w:rFonts w:ascii="宋体" w:eastAsia="宋体" w:hAnsi="宋体" w:cs="宋体"/>
          <w:spacing w:val="3"/>
          <w:sz w:val="22"/>
          <w:szCs w:val="22"/>
        </w:rPr>
        <w:t xml:space="preserve"> </w:t>
      </w:r>
      <w:r>
        <w:rPr>
          <w:rFonts w:ascii="宋体" w:eastAsia="宋体" w:hAnsi="宋体" w:cs="宋体"/>
          <w:spacing w:val="-7"/>
          <w:sz w:val="22"/>
          <w:szCs w:val="22"/>
        </w:rPr>
        <w:t>营养和体力活动与相关慢性病关系密切；高盐饮食与高血压的患病风险密切相</w:t>
      </w:r>
      <w:r>
        <w:rPr>
          <w:rFonts w:ascii="宋体" w:eastAsia="宋体" w:hAnsi="宋体" w:cs="宋体"/>
          <w:spacing w:val="14"/>
          <w:sz w:val="22"/>
          <w:szCs w:val="22"/>
        </w:rPr>
        <w:t xml:space="preserve"> </w:t>
      </w:r>
      <w:r>
        <w:rPr>
          <w:rFonts w:ascii="宋体" w:eastAsia="宋体" w:hAnsi="宋体" w:cs="宋体"/>
          <w:spacing w:val="-13"/>
          <w:sz w:val="22"/>
          <w:szCs w:val="22"/>
        </w:rPr>
        <w:t>关；饮酒与高血压和血脂异常的患病危险密切相关。特别应该指出的是脂肪摄人</w:t>
      </w:r>
      <w:r>
        <w:rPr>
          <w:rFonts w:ascii="宋体" w:eastAsia="宋体" w:hAnsi="宋体" w:cs="宋体"/>
          <w:spacing w:val="2"/>
          <w:sz w:val="22"/>
          <w:szCs w:val="22"/>
        </w:rPr>
        <w:t xml:space="preserve"> </w:t>
      </w:r>
      <w:r>
        <w:rPr>
          <w:rFonts w:ascii="宋体" w:eastAsia="宋体" w:hAnsi="宋体" w:cs="宋体"/>
          <w:spacing w:val="-13"/>
          <w:sz w:val="22"/>
          <w:szCs w:val="22"/>
        </w:rPr>
        <w:t>过多、体力活动过少的人，患上述各种慢性病的</w:t>
      </w:r>
      <w:r>
        <w:rPr>
          <w:rFonts w:ascii="宋体" w:eastAsia="宋体" w:hAnsi="宋体" w:cs="宋体"/>
          <w:spacing w:val="-14"/>
          <w:sz w:val="22"/>
          <w:szCs w:val="22"/>
        </w:rPr>
        <w:t>可能性更大。</w:t>
      </w:r>
    </w:p>
    <w:p w:rsidR="00EA40A3" w:rsidRDefault="00E86C16">
      <w:pPr>
        <w:spacing w:before="250" w:line="219" w:lineRule="auto"/>
        <w:ind w:left="3"/>
        <w:outlineLvl w:val="6"/>
        <w:rPr>
          <w:rFonts w:ascii="黑体" w:eastAsia="黑体" w:hAnsi="黑体" w:cs="黑体"/>
          <w:sz w:val="22"/>
          <w:szCs w:val="22"/>
        </w:rPr>
      </w:pPr>
      <w:r>
        <w:rPr>
          <w:rFonts w:ascii="黑体" w:eastAsia="黑体" w:hAnsi="黑体" w:cs="黑体"/>
          <w:b/>
          <w:bCs/>
          <w:spacing w:val="8"/>
          <w:sz w:val="22"/>
          <w:szCs w:val="22"/>
        </w:rPr>
        <w:t>1.5.3</w:t>
      </w:r>
      <w:r>
        <w:rPr>
          <w:rFonts w:ascii="黑体" w:eastAsia="黑体" w:hAnsi="黑体" w:cs="黑体"/>
          <w:spacing w:val="34"/>
          <w:sz w:val="22"/>
          <w:szCs w:val="22"/>
        </w:rPr>
        <w:t xml:space="preserve">  </w:t>
      </w:r>
      <w:r>
        <w:rPr>
          <w:rFonts w:ascii="黑体" w:eastAsia="黑体" w:hAnsi="黑体" w:cs="黑体"/>
          <w:b/>
          <w:bCs/>
          <w:spacing w:val="8"/>
          <w:sz w:val="22"/>
          <w:szCs w:val="22"/>
        </w:rPr>
        <w:t>我国今后食品营养工作的重点</w:t>
      </w:r>
    </w:p>
    <w:p w:rsidR="00EA40A3" w:rsidRDefault="00E86C16">
      <w:pPr>
        <w:spacing w:before="183" w:line="248" w:lineRule="auto"/>
        <w:ind w:right="72" w:firstLine="320"/>
        <w:jc w:val="both"/>
        <w:rPr>
          <w:rFonts w:ascii="宋体" w:eastAsia="宋体" w:hAnsi="宋体" w:cs="宋体"/>
          <w:sz w:val="22"/>
          <w:szCs w:val="22"/>
        </w:rPr>
      </w:pPr>
      <w:r>
        <w:rPr>
          <w:rFonts w:ascii="宋体" w:eastAsia="宋体" w:hAnsi="宋体" w:cs="宋体"/>
          <w:spacing w:val="-9"/>
          <w:sz w:val="22"/>
          <w:szCs w:val="22"/>
        </w:rPr>
        <w:t>《中国居民营养与健康现状》(2004年)明确指出：“为实现全面建设小康社</w:t>
      </w:r>
      <w:r>
        <w:rPr>
          <w:rFonts w:ascii="宋体" w:eastAsia="宋体" w:hAnsi="宋体" w:cs="宋体"/>
          <w:spacing w:val="3"/>
          <w:sz w:val="22"/>
          <w:szCs w:val="22"/>
        </w:rPr>
        <w:t xml:space="preserve"> </w:t>
      </w:r>
      <w:r>
        <w:rPr>
          <w:rFonts w:ascii="宋体" w:eastAsia="宋体" w:hAnsi="宋体" w:cs="宋体"/>
          <w:sz w:val="22"/>
          <w:szCs w:val="22"/>
        </w:rPr>
        <w:t>会的战略目标，根据本次调查(2002年全国营养调查)结果</w:t>
      </w:r>
      <w:r>
        <w:rPr>
          <w:rFonts w:ascii="宋体" w:eastAsia="宋体" w:hAnsi="宋体" w:cs="宋体"/>
          <w:spacing w:val="-1"/>
          <w:sz w:val="22"/>
          <w:szCs w:val="22"/>
        </w:rPr>
        <w:t>，从国情出发，从</w:t>
      </w:r>
      <w:r>
        <w:rPr>
          <w:rFonts w:ascii="宋体" w:eastAsia="宋体" w:hAnsi="宋体" w:cs="宋体"/>
          <w:sz w:val="22"/>
          <w:szCs w:val="22"/>
        </w:rPr>
        <w:t xml:space="preserve"> </w:t>
      </w:r>
      <w:r>
        <w:rPr>
          <w:rFonts w:ascii="宋体" w:eastAsia="宋体" w:hAnsi="宋体" w:cs="宋体"/>
          <w:spacing w:val="-12"/>
          <w:sz w:val="22"/>
          <w:szCs w:val="22"/>
        </w:rPr>
        <w:t>急需入手，以不失时机和分类指导为原则，将从政策支持、市场指导和群</w:t>
      </w:r>
      <w:r>
        <w:rPr>
          <w:rFonts w:ascii="宋体" w:eastAsia="宋体" w:hAnsi="宋体" w:cs="宋体"/>
          <w:spacing w:val="-13"/>
          <w:sz w:val="22"/>
          <w:szCs w:val="22"/>
        </w:rPr>
        <w:t>众教育</w:t>
      </w:r>
      <w:r>
        <w:rPr>
          <w:rFonts w:ascii="宋体" w:eastAsia="宋体" w:hAnsi="宋体" w:cs="宋体"/>
          <w:sz w:val="22"/>
          <w:szCs w:val="22"/>
        </w:rPr>
        <w:t xml:space="preserve"> 三方面加强居民营养改善和慢性病预防工作。”《中国</w:t>
      </w:r>
      <w:r>
        <w:rPr>
          <w:rFonts w:ascii="宋体" w:eastAsia="宋体" w:hAnsi="宋体" w:cs="宋体"/>
          <w:spacing w:val="-1"/>
          <w:sz w:val="22"/>
          <w:szCs w:val="22"/>
        </w:rPr>
        <w:t>食物与营养发展纲要</w:t>
      </w:r>
      <w:r>
        <w:rPr>
          <w:rFonts w:ascii="宋体" w:eastAsia="宋体" w:hAnsi="宋体" w:cs="宋体"/>
          <w:sz w:val="22"/>
          <w:szCs w:val="22"/>
        </w:rPr>
        <w:t xml:space="preserve"> </w:t>
      </w:r>
      <w:r>
        <w:rPr>
          <w:rFonts w:ascii="宋体" w:eastAsia="宋体" w:hAnsi="宋体" w:cs="宋体"/>
          <w:spacing w:val="-6"/>
          <w:sz w:val="22"/>
          <w:szCs w:val="22"/>
        </w:rPr>
        <w:t>(2001～2010年)》提出了我国食物与营养发展的指导思想、基本原则和发展目</w:t>
      </w:r>
      <w:r>
        <w:rPr>
          <w:rFonts w:ascii="宋体" w:eastAsia="宋体" w:hAnsi="宋体" w:cs="宋体"/>
          <w:spacing w:val="14"/>
          <w:sz w:val="22"/>
          <w:szCs w:val="22"/>
        </w:rPr>
        <w:t xml:space="preserve"> </w:t>
      </w:r>
      <w:r>
        <w:rPr>
          <w:rFonts w:ascii="宋体" w:eastAsia="宋体" w:hAnsi="宋体" w:cs="宋体"/>
          <w:spacing w:val="-13"/>
          <w:sz w:val="22"/>
          <w:szCs w:val="22"/>
        </w:rPr>
        <w:t>标，确定了优先发展的重点领域、地区和重点考虑的人群，以及促进食物与营养</w:t>
      </w:r>
      <w:r>
        <w:rPr>
          <w:rFonts w:ascii="宋体" w:eastAsia="宋体" w:hAnsi="宋体" w:cs="宋体"/>
          <w:spacing w:val="3"/>
          <w:sz w:val="22"/>
          <w:szCs w:val="22"/>
        </w:rPr>
        <w:t xml:space="preserve"> </w:t>
      </w:r>
      <w:r>
        <w:rPr>
          <w:rFonts w:ascii="宋体" w:eastAsia="宋体" w:hAnsi="宋体" w:cs="宋体"/>
          <w:spacing w:val="-13"/>
          <w:sz w:val="22"/>
          <w:szCs w:val="22"/>
        </w:rPr>
        <w:t>发展的政策措施。许多专家也阐述了自己的观点，归纳起来，我国今后一个阶段</w:t>
      </w:r>
      <w:r>
        <w:rPr>
          <w:rFonts w:ascii="宋体" w:eastAsia="宋体" w:hAnsi="宋体" w:cs="宋体"/>
          <w:spacing w:val="2"/>
          <w:sz w:val="22"/>
          <w:szCs w:val="22"/>
        </w:rPr>
        <w:t xml:space="preserve"> </w:t>
      </w:r>
      <w:r>
        <w:rPr>
          <w:rFonts w:ascii="宋体" w:eastAsia="宋体" w:hAnsi="宋体" w:cs="宋体"/>
          <w:spacing w:val="-15"/>
          <w:sz w:val="22"/>
          <w:szCs w:val="22"/>
        </w:rPr>
        <w:t>的食物营养工作重点如下：</w:t>
      </w:r>
    </w:p>
    <w:p w:rsidR="00EA40A3" w:rsidRDefault="00E86C16">
      <w:pPr>
        <w:spacing w:before="101" w:line="246" w:lineRule="auto"/>
        <w:ind w:right="19" w:firstLine="430"/>
        <w:jc w:val="both"/>
        <w:rPr>
          <w:rFonts w:ascii="宋体" w:eastAsia="宋体" w:hAnsi="宋体" w:cs="宋体"/>
          <w:sz w:val="22"/>
          <w:szCs w:val="22"/>
        </w:rPr>
      </w:pPr>
      <w:r>
        <w:rPr>
          <w:rFonts w:ascii="宋体" w:eastAsia="宋体" w:hAnsi="宋体" w:cs="宋体"/>
          <w:spacing w:val="-10"/>
          <w:sz w:val="22"/>
          <w:szCs w:val="22"/>
        </w:rPr>
        <w:t>(1)预防营养不良，全面提高国民身体素质。营养不良，特别是儿童时期的</w:t>
      </w:r>
      <w:r>
        <w:rPr>
          <w:rFonts w:ascii="宋体" w:eastAsia="宋体" w:hAnsi="宋体" w:cs="宋体"/>
          <w:spacing w:val="15"/>
          <w:sz w:val="22"/>
          <w:szCs w:val="22"/>
        </w:rPr>
        <w:t xml:space="preserve"> </w:t>
      </w:r>
      <w:r>
        <w:rPr>
          <w:rFonts w:ascii="宋体" w:eastAsia="宋体" w:hAnsi="宋体" w:cs="宋体"/>
          <w:spacing w:val="-11"/>
          <w:sz w:val="22"/>
          <w:szCs w:val="22"/>
        </w:rPr>
        <w:t>营养不良，不仅妨碍他们正常的体质发育，而且在很大程度上影响其智力发育，</w:t>
      </w:r>
      <w:r>
        <w:rPr>
          <w:rFonts w:ascii="宋体" w:eastAsia="宋体" w:hAnsi="宋体" w:cs="宋体"/>
          <w:spacing w:val="14"/>
          <w:sz w:val="22"/>
          <w:szCs w:val="22"/>
        </w:rPr>
        <w:t xml:space="preserve"> </w:t>
      </w:r>
      <w:r>
        <w:rPr>
          <w:rFonts w:ascii="宋体" w:eastAsia="宋体" w:hAnsi="宋体" w:cs="宋体"/>
          <w:spacing w:val="-13"/>
          <w:sz w:val="22"/>
          <w:szCs w:val="22"/>
        </w:rPr>
        <w:t>关系到人力资源的综合素质。从全球看，我国是营养不良问题比较严重和复杂的</w:t>
      </w:r>
      <w:r>
        <w:rPr>
          <w:rFonts w:ascii="宋体" w:eastAsia="宋体" w:hAnsi="宋体" w:cs="宋体"/>
          <w:spacing w:val="10"/>
          <w:sz w:val="22"/>
          <w:szCs w:val="22"/>
        </w:rPr>
        <w:t xml:space="preserve"> </w:t>
      </w:r>
      <w:r>
        <w:rPr>
          <w:rFonts w:ascii="宋体" w:eastAsia="宋体" w:hAnsi="宋体" w:cs="宋体"/>
          <w:spacing w:val="-3"/>
          <w:sz w:val="22"/>
          <w:szCs w:val="22"/>
        </w:rPr>
        <w:t>国家，尤其在贫困地区，受到营养不良影响的比例仍高</w:t>
      </w:r>
      <w:r>
        <w:rPr>
          <w:rFonts w:ascii="宋体" w:eastAsia="宋体" w:hAnsi="宋体" w:cs="宋体"/>
          <w:spacing w:val="-4"/>
          <w:sz w:val="22"/>
          <w:szCs w:val="22"/>
        </w:rPr>
        <w:t>达2/3以上。有专家指</w:t>
      </w:r>
      <w:r>
        <w:rPr>
          <w:rFonts w:ascii="宋体" w:eastAsia="宋体" w:hAnsi="宋体" w:cs="宋体"/>
          <w:sz w:val="22"/>
          <w:szCs w:val="22"/>
        </w:rPr>
        <w:t xml:space="preserve"> </w:t>
      </w:r>
      <w:r>
        <w:rPr>
          <w:rFonts w:ascii="宋体" w:eastAsia="宋体" w:hAnsi="宋体" w:cs="宋体"/>
          <w:spacing w:val="-13"/>
          <w:sz w:val="22"/>
          <w:szCs w:val="22"/>
        </w:rPr>
        <w:t>出，在今后几十年内如何通过改善我国居民的膳食营养状况来消除营养不良，改</w:t>
      </w:r>
      <w:r>
        <w:rPr>
          <w:rFonts w:ascii="宋体" w:eastAsia="宋体" w:hAnsi="宋体" w:cs="宋体"/>
          <w:spacing w:val="2"/>
          <w:sz w:val="22"/>
          <w:szCs w:val="22"/>
        </w:rPr>
        <w:t xml:space="preserve"> </w:t>
      </w:r>
      <w:r>
        <w:rPr>
          <w:rFonts w:ascii="宋体" w:eastAsia="宋体" w:hAnsi="宋体" w:cs="宋体"/>
          <w:spacing w:val="-13"/>
          <w:sz w:val="22"/>
          <w:szCs w:val="22"/>
        </w:rPr>
        <w:t>善儿童生长发育，提高人口的总体素质，是我国营养工作的重要任务。</w:t>
      </w:r>
    </w:p>
    <w:p w:rsidR="00EA40A3" w:rsidRDefault="00E86C16">
      <w:pPr>
        <w:spacing w:before="41" w:line="246" w:lineRule="auto"/>
        <w:ind w:firstLine="430"/>
        <w:jc w:val="both"/>
        <w:rPr>
          <w:rFonts w:ascii="宋体" w:eastAsia="宋体" w:hAnsi="宋体" w:cs="宋体"/>
          <w:sz w:val="22"/>
          <w:szCs w:val="22"/>
        </w:rPr>
      </w:pPr>
      <w:r>
        <w:rPr>
          <w:rFonts w:ascii="宋体" w:eastAsia="宋体" w:hAnsi="宋体" w:cs="宋体"/>
          <w:spacing w:val="3"/>
          <w:sz w:val="22"/>
          <w:szCs w:val="22"/>
        </w:rPr>
        <w:t>(2)预防慢性病，增进健康，延长寿命。据卫生部统计，我国每天约有</w:t>
      </w:r>
      <w:r>
        <w:rPr>
          <w:rFonts w:ascii="宋体" w:eastAsia="宋体" w:hAnsi="宋体" w:cs="宋体"/>
          <w:spacing w:val="7"/>
          <w:sz w:val="22"/>
          <w:szCs w:val="22"/>
        </w:rPr>
        <w:t xml:space="preserve">  </w:t>
      </w:r>
      <w:r>
        <w:rPr>
          <w:rFonts w:ascii="宋体" w:eastAsia="宋体" w:hAnsi="宋体" w:cs="宋体"/>
          <w:spacing w:val="-1"/>
          <w:sz w:val="22"/>
          <w:szCs w:val="22"/>
        </w:rPr>
        <w:t>15000余人死于慢性病，已占全部死亡的70%以上，其中与营养有关的慢性非</w:t>
      </w:r>
      <w:r>
        <w:rPr>
          <w:rFonts w:ascii="宋体" w:eastAsia="宋体" w:hAnsi="宋体" w:cs="宋体"/>
          <w:spacing w:val="5"/>
          <w:sz w:val="22"/>
          <w:szCs w:val="22"/>
        </w:rPr>
        <w:t xml:space="preserve">  </w:t>
      </w:r>
      <w:r>
        <w:rPr>
          <w:rFonts w:ascii="宋体" w:eastAsia="宋体" w:hAnsi="宋体" w:cs="宋体"/>
          <w:spacing w:val="-13"/>
          <w:sz w:val="22"/>
          <w:szCs w:val="22"/>
        </w:rPr>
        <w:t>传染性疾病占很大比例，而且由此造成的经济损失也十分惊人。因此，制定预防</w:t>
      </w:r>
      <w:r>
        <w:rPr>
          <w:rFonts w:ascii="宋体" w:eastAsia="宋体" w:hAnsi="宋体" w:cs="宋体"/>
          <w:spacing w:val="2"/>
          <w:sz w:val="22"/>
          <w:szCs w:val="22"/>
        </w:rPr>
        <w:t xml:space="preserve">  </w:t>
      </w:r>
      <w:r>
        <w:rPr>
          <w:rFonts w:ascii="宋体" w:eastAsia="宋体" w:hAnsi="宋体" w:cs="宋体"/>
          <w:spacing w:val="-11"/>
          <w:sz w:val="22"/>
          <w:szCs w:val="22"/>
        </w:rPr>
        <w:t>策略，提倡合理膳食，改善人们的不良饮食结构与习惯，并加以人工干预措施，</w:t>
      </w:r>
      <w:r>
        <w:rPr>
          <w:rFonts w:ascii="宋体" w:eastAsia="宋体" w:hAnsi="宋体" w:cs="宋体"/>
          <w:spacing w:val="13"/>
          <w:sz w:val="22"/>
          <w:szCs w:val="22"/>
        </w:rPr>
        <w:t xml:space="preserve"> </w:t>
      </w:r>
      <w:r>
        <w:rPr>
          <w:rFonts w:ascii="宋体" w:eastAsia="宋体" w:hAnsi="宋体" w:cs="宋体"/>
          <w:spacing w:val="-10"/>
          <w:sz w:val="22"/>
          <w:szCs w:val="22"/>
        </w:rPr>
        <w:t>遏制住这些疾病在广大城乡地区中快速增长的势头，延长中老年人的健康寿命</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9"/>
          <w:sz w:val="22"/>
          <w:szCs w:val="22"/>
        </w:rPr>
        <w:t>也是非常重要的任务.</w:t>
      </w:r>
    </w:p>
    <w:p w:rsidR="00EA40A3" w:rsidRDefault="00E86C16">
      <w:pPr>
        <w:spacing w:before="37" w:line="244" w:lineRule="auto"/>
        <w:ind w:right="69" w:firstLine="430"/>
        <w:jc w:val="both"/>
        <w:rPr>
          <w:rFonts w:ascii="宋体" w:eastAsia="宋体" w:hAnsi="宋体" w:cs="宋体"/>
          <w:sz w:val="22"/>
          <w:szCs w:val="22"/>
        </w:rPr>
      </w:pPr>
      <w:r>
        <w:rPr>
          <w:rFonts w:ascii="宋体" w:eastAsia="宋体" w:hAnsi="宋体" w:cs="宋体"/>
          <w:spacing w:val="-9"/>
          <w:sz w:val="22"/>
          <w:szCs w:val="22"/>
        </w:rPr>
        <w:t>(3)科学地发展农业与食品工业，满足人们对食物营养的需要。我国人口目</w:t>
      </w:r>
      <w:r>
        <w:rPr>
          <w:rFonts w:ascii="宋体" w:eastAsia="宋体" w:hAnsi="宋体" w:cs="宋体"/>
          <w:spacing w:val="5"/>
          <w:sz w:val="22"/>
          <w:szCs w:val="22"/>
        </w:rPr>
        <w:t xml:space="preserve"> </w:t>
      </w:r>
      <w:r>
        <w:rPr>
          <w:rFonts w:ascii="宋体" w:eastAsia="宋体" w:hAnsi="宋体" w:cs="宋体"/>
          <w:sz w:val="22"/>
          <w:szCs w:val="22"/>
        </w:rPr>
        <w:t>前已经超过13亿，在今后20年内将达到16亿。</w:t>
      </w:r>
      <w:r>
        <w:rPr>
          <w:rFonts w:ascii="宋体" w:eastAsia="宋体" w:hAnsi="宋体" w:cs="宋体"/>
          <w:spacing w:val="-1"/>
          <w:sz w:val="22"/>
          <w:szCs w:val="22"/>
        </w:rPr>
        <w:t>因此，首先要提高食物生产总</w:t>
      </w:r>
      <w:r>
        <w:rPr>
          <w:rFonts w:ascii="宋体" w:eastAsia="宋体" w:hAnsi="宋体" w:cs="宋体"/>
          <w:sz w:val="22"/>
          <w:szCs w:val="22"/>
        </w:rPr>
        <w:t xml:space="preserve"> </w:t>
      </w:r>
      <w:r>
        <w:rPr>
          <w:rFonts w:ascii="宋体" w:eastAsia="宋体" w:hAnsi="宋体" w:cs="宋体"/>
          <w:spacing w:val="-7"/>
          <w:sz w:val="22"/>
          <w:szCs w:val="22"/>
        </w:rPr>
        <w:t>量，以保证人口日益增长的需要。同时，根据我国营养现状，居民对食物多样</w:t>
      </w:r>
      <w:r>
        <w:rPr>
          <w:rFonts w:ascii="宋体" w:eastAsia="宋体" w:hAnsi="宋体" w:cs="宋体"/>
          <w:spacing w:val="7"/>
          <w:sz w:val="22"/>
          <w:szCs w:val="22"/>
        </w:rPr>
        <w:t xml:space="preserve"> </w:t>
      </w:r>
      <w:r>
        <w:rPr>
          <w:rFonts w:ascii="宋体" w:eastAsia="宋体" w:hAnsi="宋体" w:cs="宋体"/>
          <w:spacing w:val="-7"/>
          <w:sz w:val="22"/>
          <w:szCs w:val="22"/>
        </w:rPr>
        <w:t>化、优质化的需求明显增加，食物生产必须满足不同消费群体多样化的营养需</w:t>
      </w:r>
    </w:p>
    <w:p w:rsidR="00EA40A3" w:rsidRDefault="00E86C16">
      <w:pPr>
        <w:spacing w:before="151" w:line="241" w:lineRule="auto"/>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3"/>
          <w:sz w:val="15"/>
          <w:szCs w:val="15"/>
        </w:rPr>
        <w:t xml:space="preserve"> </w:t>
      </w:r>
      <w:r>
        <w:rPr>
          <w:rFonts w:ascii="宋体" w:eastAsia="宋体" w:hAnsi="宋体" w:cs="宋体"/>
          <w:spacing w:val="-19"/>
          <w:sz w:val="15"/>
          <w:szCs w:val="15"/>
        </w:rPr>
        <w:t>14</w:t>
      </w:r>
      <w:r>
        <w:rPr>
          <w:rFonts w:ascii="宋体" w:eastAsia="宋体" w:hAnsi="宋体" w:cs="宋体"/>
          <w:spacing w:val="5"/>
          <w:sz w:val="15"/>
          <w:szCs w:val="15"/>
        </w:rPr>
        <w:t xml:space="preserve">  </w:t>
      </w:r>
      <w:r>
        <w:rPr>
          <w:rFonts w:ascii="宋体" w:eastAsia="宋体" w:hAnsi="宋体" w:cs="宋体"/>
          <w:spacing w:val="-19"/>
          <w:sz w:val="15"/>
          <w:szCs w:val="15"/>
        </w:rPr>
        <w:t>·</w:t>
      </w:r>
    </w:p>
    <w:p w:rsidR="00EA40A3" w:rsidRDefault="00EA40A3">
      <w:pPr>
        <w:sectPr w:rsidR="00EA40A3">
          <w:footerReference w:type="default" r:id="rId26"/>
          <w:pgSz w:w="9220" w:h="13360"/>
          <w:pgMar w:top="400" w:right="1020" w:bottom="400" w:left="849" w:header="0" w:footer="0" w:gutter="0"/>
          <w:cols w:space="720"/>
        </w:sectPr>
      </w:pPr>
    </w:p>
    <w:p w:rsidR="00EA40A3" w:rsidRDefault="00EA40A3">
      <w:pPr>
        <w:spacing w:line="278" w:lineRule="auto"/>
      </w:pPr>
    </w:p>
    <w:p w:rsidR="00EA40A3" w:rsidRDefault="00EA40A3">
      <w:pPr>
        <w:spacing w:line="278" w:lineRule="auto"/>
      </w:pPr>
    </w:p>
    <w:p w:rsidR="00EA40A3" w:rsidRDefault="00E86C16">
      <w:pPr>
        <w:spacing w:before="68" w:line="249" w:lineRule="auto"/>
        <w:ind w:right="94"/>
        <w:jc w:val="both"/>
        <w:rPr>
          <w:rFonts w:ascii="宋体" w:eastAsia="宋体" w:hAnsi="宋体" w:cs="宋体"/>
        </w:rPr>
      </w:pPr>
      <w:r>
        <w:rPr>
          <w:rFonts w:ascii="宋体" w:eastAsia="宋体" w:hAnsi="宋体" w:cs="宋体"/>
          <w:spacing w:val="-3"/>
        </w:rPr>
        <w:t>求，增加优质蛋白类食品、含多种微量元素或维生素的食品以及质优价廉的功能</w:t>
      </w:r>
      <w:r>
        <w:rPr>
          <w:rFonts w:ascii="宋体" w:eastAsia="宋体" w:hAnsi="宋体" w:cs="宋体"/>
          <w:spacing w:val="14"/>
        </w:rPr>
        <w:t xml:space="preserve"> </w:t>
      </w:r>
      <w:r>
        <w:rPr>
          <w:rFonts w:ascii="宋体" w:eastAsia="宋体" w:hAnsi="宋体" w:cs="宋体"/>
          <w:spacing w:val="-3"/>
        </w:rPr>
        <w:t>食品的供应。因此，必须加强对农业、食品工业的科学指导，发挥</w:t>
      </w:r>
      <w:r>
        <w:rPr>
          <w:rFonts w:ascii="宋体" w:eastAsia="宋体" w:hAnsi="宋体" w:cs="宋体"/>
          <w:spacing w:val="-4"/>
        </w:rPr>
        <w:t>其在改善营养</w:t>
      </w:r>
      <w:r>
        <w:rPr>
          <w:rFonts w:ascii="宋体" w:eastAsia="宋体" w:hAnsi="宋体" w:cs="宋体"/>
        </w:rPr>
        <w:t xml:space="preserve"> </w:t>
      </w:r>
      <w:r>
        <w:rPr>
          <w:rFonts w:ascii="宋体" w:eastAsia="宋体" w:hAnsi="宋体" w:cs="宋体"/>
          <w:spacing w:val="-7"/>
        </w:rPr>
        <w:t>与提高人民健康水平中的重要作用。</w:t>
      </w:r>
    </w:p>
    <w:p w:rsidR="00EA40A3" w:rsidRDefault="00E86C16">
      <w:pPr>
        <w:spacing w:before="62" w:line="257" w:lineRule="auto"/>
        <w:ind w:right="83" w:firstLine="430"/>
        <w:jc w:val="both"/>
        <w:rPr>
          <w:rFonts w:ascii="宋体" w:eastAsia="宋体" w:hAnsi="宋体" w:cs="宋体"/>
        </w:rPr>
      </w:pPr>
      <w:r>
        <w:rPr>
          <w:rFonts w:ascii="宋体" w:eastAsia="宋体" w:hAnsi="宋体" w:cs="宋体"/>
          <w:spacing w:val="-1"/>
        </w:rPr>
        <w:t>(4)加强营养学与食品科学的基础与应用研究，为进一步改善居民膳食营养</w:t>
      </w:r>
      <w:r>
        <w:rPr>
          <w:rFonts w:ascii="宋体" w:eastAsia="宋体" w:hAnsi="宋体" w:cs="宋体"/>
          <w:spacing w:val="18"/>
        </w:rPr>
        <w:t xml:space="preserve"> </w:t>
      </w:r>
      <w:r>
        <w:rPr>
          <w:rFonts w:ascii="宋体" w:eastAsia="宋体" w:hAnsi="宋体" w:cs="宋体"/>
          <w:spacing w:val="-3"/>
        </w:rPr>
        <w:t>状况提供理论与技术支持。在营养学方面，应用现代生物学技术更深入地认识食</w:t>
      </w:r>
      <w:r>
        <w:rPr>
          <w:rFonts w:ascii="宋体" w:eastAsia="宋体" w:hAnsi="宋体" w:cs="宋体"/>
          <w:spacing w:val="13"/>
        </w:rPr>
        <w:t xml:space="preserve"> </w:t>
      </w:r>
      <w:r>
        <w:rPr>
          <w:rFonts w:ascii="宋体" w:eastAsia="宋体" w:hAnsi="宋体" w:cs="宋体"/>
          <w:spacing w:val="-3"/>
        </w:rPr>
        <w:t>物中营养素及活性成分的生理功能，观察其对基因表达、细胞功能</w:t>
      </w:r>
      <w:r>
        <w:rPr>
          <w:rFonts w:ascii="宋体" w:eastAsia="宋体" w:hAnsi="宋体" w:cs="宋体"/>
          <w:spacing w:val="-4"/>
        </w:rPr>
        <w:t>的影响，防止</w:t>
      </w:r>
      <w:r>
        <w:rPr>
          <w:rFonts w:ascii="宋体" w:eastAsia="宋体" w:hAnsi="宋体" w:cs="宋体"/>
        </w:rPr>
        <w:t xml:space="preserve"> </w:t>
      </w:r>
      <w:r>
        <w:rPr>
          <w:rFonts w:ascii="宋体" w:eastAsia="宋体" w:hAnsi="宋体" w:cs="宋体"/>
          <w:spacing w:val="-2"/>
        </w:rPr>
        <w:t>疾病基因的表达，探讨更科学的膳食营养措施等，均是需要</w:t>
      </w:r>
      <w:r>
        <w:rPr>
          <w:rFonts w:ascii="宋体" w:eastAsia="宋体" w:hAnsi="宋体" w:cs="宋体"/>
          <w:spacing w:val="-3"/>
        </w:rPr>
        <w:t>加强的领域。在食品</w:t>
      </w:r>
      <w:r>
        <w:rPr>
          <w:rFonts w:ascii="宋体" w:eastAsia="宋体" w:hAnsi="宋体" w:cs="宋体"/>
        </w:rPr>
        <w:t xml:space="preserve"> </w:t>
      </w:r>
      <w:r>
        <w:rPr>
          <w:rFonts w:ascii="宋体" w:eastAsia="宋体" w:hAnsi="宋体" w:cs="宋体"/>
          <w:spacing w:val="-3"/>
        </w:rPr>
        <w:t>科学方面，以营养学为指导，以居民营养现状为依据，应用各种高新</w:t>
      </w:r>
      <w:r>
        <w:rPr>
          <w:rFonts w:ascii="宋体" w:eastAsia="宋体" w:hAnsi="宋体" w:cs="宋体"/>
          <w:spacing w:val="-4"/>
        </w:rPr>
        <w:t>技术，加强</w:t>
      </w:r>
      <w:r>
        <w:rPr>
          <w:rFonts w:ascii="宋体" w:eastAsia="宋体" w:hAnsi="宋体" w:cs="宋体"/>
        </w:rPr>
        <w:t xml:space="preserve"> </w:t>
      </w:r>
      <w:r>
        <w:rPr>
          <w:rFonts w:ascii="宋体" w:eastAsia="宋体" w:hAnsi="宋体" w:cs="宋体"/>
          <w:spacing w:val="-3"/>
        </w:rPr>
        <w:t>营养强化食品、不同人群的营养食品、新资源食品、保健食品、工程食</w:t>
      </w:r>
      <w:r>
        <w:rPr>
          <w:rFonts w:ascii="宋体" w:eastAsia="宋体" w:hAnsi="宋体" w:cs="宋体"/>
          <w:spacing w:val="-4"/>
        </w:rPr>
        <w:t>品以及主</w:t>
      </w:r>
      <w:r>
        <w:rPr>
          <w:rFonts w:ascii="宋体" w:eastAsia="宋体" w:hAnsi="宋体" w:cs="宋体"/>
        </w:rPr>
        <w:t xml:space="preserve"> </w:t>
      </w:r>
      <w:r>
        <w:rPr>
          <w:rFonts w:ascii="宋体" w:eastAsia="宋体" w:hAnsi="宋体" w:cs="宋体"/>
          <w:spacing w:val="-5"/>
        </w:rPr>
        <w:t>食工业化的研究与开发，也都是今后的重要发展方向。</w:t>
      </w:r>
    </w:p>
    <w:p w:rsidR="00EA40A3" w:rsidRDefault="00E86C16">
      <w:pPr>
        <w:spacing w:before="50" w:line="253" w:lineRule="auto"/>
        <w:ind w:right="93" w:firstLine="430"/>
        <w:jc w:val="both"/>
        <w:rPr>
          <w:rFonts w:ascii="宋体" w:eastAsia="宋体" w:hAnsi="宋体" w:cs="宋体"/>
        </w:rPr>
      </w:pPr>
      <w:r>
        <w:rPr>
          <w:rFonts w:ascii="宋体" w:eastAsia="宋体" w:hAnsi="宋体" w:cs="宋体"/>
          <w:spacing w:val="-4"/>
        </w:rPr>
        <w:t>(5)加强国家公众营养改善措施，普及食物与营养科学知识</w:t>
      </w:r>
      <w:r>
        <w:rPr>
          <w:rFonts w:ascii="宋体" w:eastAsia="宋体" w:hAnsi="宋体" w:cs="宋体"/>
          <w:spacing w:val="-5"/>
        </w:rPr>
        <w:t>。</w:t>
      </w:r>
      <w:r>
        <w:rPr>
          <w:rFonts w:ascii="宋体" w:eastAsia="宋体" w:hAnsi="宋体" w:cs="宋体"/>
          <w:spacing w:val="43"/>
        </w:rPr>
        <w:t xml:space="preserve"> </w:t>
      </w:r>
      <w:r>
        <w:rPr>
          <w:rFonts w:ascii="宋体" w:eastAsia="宋体" w:hAnsi="宋体" w:cs="宋体"/>
          <w:spacing w:val="-5"/>
        </w:rPr>
        <w:t>一方面要加强</w:t>
      </w:r>
      <w:r>
        <w:rPr>
          <w:rFonts w:ascii="宋体" w:eastAsia="宋体" w:hAnsi="宋体" w:cs="宋体"/>
        </w:rPr>
        <w:t xml:space="preserve"> </w:t>
      </w:r>
      <w:r>
        <w:rPr>
          <w:rFonts w:ascii="宋体" w:eastAsia="宋体" w:hAnsi="宋体" w:cs="宋体"/>
          <w:spacing w:val="-3"/>
        </w:rPr>
        <w:t>政府的宏观指导，尽快制定相关法规，将国民营养与健康改善工作纳入国家与地</w:t>
      </w:r>
      <w:r>
        <w:rPr>
          <w:rFonts w:ascii="宋体" w:eastAsia="宋体" w:hAnsi="宋体" w:cs="宋体"/>
          <w:spacing w:val="12"/>
        </w:rPr>
        <w:t xml:space="preserve"> </w:t>
      </w:r>
      <w:r>
        <w:rPr>
          <w:rFonts w:ascii="宋体" w:eastAsia="宋体" w:hAnsi="宋体" w:cs="宋体"/>
          <w:spacing w:val="-3"/>
        </w:rPr>
        <w:t>方政府的发展规划；另一方面要采取各种形式和措施，大力宣传食物与营养科学</w:t>
      </w:r>
      <w:r>
        <w:rPr>
          <w:rFonts w:ascii="宋体" w:eastAsia="宋体" w:hAnsi="宋体" w:cs="宋体"/>
          <w:spacing w:val="15"/>
        </w:rPr>
        <w:t xml:space="preserve"> </w:t>
      </w:r>
      <w:r>
        <w:rPr>
          <w:rFonts w:ascii="宋体" w:eastAsia="宋体" w:hAnsi="宋体" w:cs="宋体"/>
          <w:spacing w:val="-3"/>
        </w:rPr>
        <w:t>知识，倡导平衡膳食与健康生活方式，提高居民的自我保健</w:t>
      </w:r>
      <w:r>
        <w:rPr>
          <w:rFonts w:ascii="宋体" w:eastAsia="宋体" w:hAnsi="宋体" w:cs="宋体"/>
          <w:spacing w:val="-4"/>
        </w:rPr>
        <w:t>意识和能力。</w:t>
      </w:r>
    </w:p>
    <w:p w:rsidR="00EA40A3" w:rsidRDefault="00EA40A3">
      <w:pPr>
        <w:spacing w:line="289" w:lineRule="auto"/>
      </w:pPr>
    </w:p>
    <w:p w:rsidR="00EA40A3" w:rsidRDefault="00E86C16">
      <w:pPr>
        <w:spacing w:before="91" w:line="219" w:lineRule="auto"/>
        <w:ind w:left="1460"/>
        <w:rPr>
          <w:rFonts w:ascii="宋体" w:eastAsia="宋体" w:hAnsi="宋体" w:cs="宋体"/>
          <w:sz w:val="28"/>
          <w:szCs w:val="28"/>
        </w:rPr>
      </w:pPr>
      <w:r>
        <w:rPr>
          <w:rFonts w:ascii="宋体" w:eastAsia="宋体" w:hAnsi="宋体" w:cs="宋体"/>
          <w:spacing w:val="-5"/>
          <w:sz w:val="28"/>
          <w:szCs w:val="28"/>
        </w:rPr>
        <w:t>1.6</w:t>
      </w:r>
      <w:r>
        <w:rPr>
          <w:rFonts w:ascii="宋体" w:eastAsia="宋体" w:hAnsi="宋体" w:cs="宋体"/>
          <w:spacing w:val="131"/>
          <w:sz w:val="28"/>
          <w:szCs w:val="28"/>
        </w:rPr>
        <w:t xml:space="preserve"> </w:t>
      </w:r>
      <w:r>
        <w:rPr>
          <w:rFonts w:ascii="宋体" w:eastAsia="宋体" w:hAnsi="宋体" w:cs="宋体"/>
          <w:spacing w:val="-5"/>
          <w:sz w:val="28"/>
          <w:szCs w:val="28"/>
        </w:rPr>
        <w:t>本教材的内容、教学目标与要求</w:t>
      </w:r>
    </w:p>
    <w:p w:rsidR="00EA40A3" w:rsidRDefault="00EA40A3">
      <w:pPr>
        <w:spacing w:line="256" w:lineRule="auto"/>
      </w:pPr>
    </w:p>
    <w:p w:rsidR="00EA40A3" w:rsidRDefault="00E86C16">
      <w:pPr>
        <w:spacing w:before="69" w:line="243" w:lineRule="auto"/>
        <w:ind w:right="92" w:firstLine="430"/>
        <w:jc w:val="both"/>
        <w:rPr>
          <w:rFonts w:ascii="宋体" w:eastAsia="宋体" w:hAnsi="宋体" w:cs="宋体"/>
        </w:rPr>
      </w:pPr>
      <w:r>
        <w:rPr>
          <w:rFonts w:ascii="宋体" w:eastAsia="宋体" w:hAnsi="宋体" w:cs="宋体"/>
          <w:spacing w:val="-3"/>
        </w:rPr>
        <w:t>本教材主要是为食品科学与工程专业学生编写的。鉴于食品专业学生的知识</w:t>
      </w:r>
      <w:r>
        <w:rPr>
          <w:rFonts w:ascii="宋体" w:eastAsia="宋体" w:hAnsi="宋体" w:cs="宋体"/>
        </w:rPr>
        <w:t xml:space="preserve"> </w:t>
      </w:r>
      <w:r>
        <w:rPr>
          <w:rFonts w:ascii="宋体" w:eastAsia="宋体" w:hAnsi="宋体" w:cs="宋体"/>
          <w:spacing w:val="-3"/>
        </w:rPr>
        <w:t>背景和教学目的，主要安排了营养学基础、食物营养、合理营养和社区营养四部</w:t>
      </w:r>
      <w:r>
        <w:rPr>
          <w:rFonts w:ascii="宋体" w:eastAsia="宋体" w:hAnsi="宋体" w:cs="宋体"/>
          <w:spacing w:val="15"/>
        </w:rPr>
        <w:t xml:space="preserve"> </w:t>
      </w:r>
      <w:r>
        <w:rPr>
          <w:rFonts w:ascii="宋体" w:eastAsia="宋体" w:hAnsi="宋体" w:cs="宋体"/>
          <w:spacing w:val="-13"/>
        </w:rPr>
        <w:t>分内容。</w:t>
      </w:r>
    </w:p>
    <w:p w:rsidR="00EA40A3" w:rsidRDefault="00E86C16">
      <w:pPr>
        <w:spacing w:before="93" w:line="257" w:lineRule="auto"/>
        <w:ind w:firstLine="430"/>
        <w:jc w:val="both"/>
        <w:rPr>
          <w:rFonts w:ascii="宋体" w:eastAsia="宋体" w:hAnsi="宋体" w:cs="宋体"/>
        </w:rPr>
      </w:pPr>
      <w:r>
        <w:rPr>
          <w:rFonts w:ascii="宋体" w:eastAsia="宋体" w:hAnsi="宋体" w:cs="宋体"/>
          <w:spacing w:val="6"/>
        </w:rPr>
        <w:t>第一部分(第1～5章)营养学基础包括食物的体内过程和营养学基础知识。</w:t>
      </w:r>
      <w:r>
        <w:rPr>
          <w:rFonts w:ascii="宋体" w:eastAsia="宋体" w:hAnsi="宋体" w:cs="宋体"/>
        </w:rPr>
        <w:t xml:space="preserve"> </w:t>
      </w:r>
      <w:r>
        <w:rPr>
          <w:rFonts w:ascii="宋体" w:eastAsia="宋体" w:hAnsi="宋体" w:cs="宋体"/>
          <w:spacing w:val="-3"/>
        </w:rPr>
        <w:t>食物的体内过程介绍人体消化系统和排泄系统的组成及消化液的成分和作用，食</w:t>
      </w:r>
      <w:r>
        <w:rPr>
          <w:rFonts w:ascii="宋体" w:eastAsia="宋体" w:hAnsi="宋体" w:cs="宋体"/>
          <w:spacing w:val="6"/>
        </w:rPr>
        <w:t xml:space="preserve">  </w:t>
      </w:r>
      <w:r>
        <w:rPr>
          <w:rFonts w:ascii="宋体" w:eastAsia="宋体" w:hAnsi="宋体" w:cs="宋体"/>
          <w:spacing w:val="-3"/>
        </w:rPr>
        <w:t>物的消化及营养素的吸收、运输、代谢等基本过程；营养学基础知识介绍人体能</w:t>
      </w:r>
      <w:r>
        <w:rPr>
          <w:rFonts w:ascii="宋体" w:eastAsia="宋体" w:hAnsi="宋体" w:cs="宋体"/>
          <w:spacing w:val="7"/>
        </w:rPr>
        <w:t xml:space="preserve">  </w:t>
      </w:r>
      <w:r>
        <w:rPr>
          <w:rFonts w:ascii="宋体" w:eastAsia="宋体" w:hAnsi="宋体" w:cs="宋体"/>
          <w:spacing w:val="3"/>
        </w:rPr>
        <w:t>量需要的构成，能量消耗量的测定及估算方法，能量平衡等，碳水化合物、脂</w:t>
      </w:r>
      <w:r>
        <w:rPr>
          <w:rFonts w:ascii="宋体" w:eastAsia="宋体" w:hAnsi="宋体" w:cs="宋体"/>
          <w:spacing w:val="8"/>
        </w:rPr>
        <w:t xml:space="preserve">  </w:t>
      </w:r>
      <w:r>
        <w:rPr>
          <w:rFonts w:ascii="宋体" w:eastAsia="宋体" w:hAnsi="宋体" w:cs="宋体"/>
          <w:spacing w:val="-3"/>
        </w:rPr>
        <w:t>类、蛋白质、矿物质、维生素的种类、生理功能、缺乏症、过多症、参考摄入量</w:t>
      </w:r>
      <w:r>
        <w:rPr>
          <w:rFonts w:ascii="宋体" w:eastAsia="宋体" w:hAnsi="宋体" w:cs="宋体"/>
          <w:spacing w:val="6"/>
        </w:rPr>
        <w:t xml:space="preserve">  </w:t>
      </w:r>
      <w:r>
        <w:rPr>
          <w:rFonts w:ascii="宋体" w:eastAsia="宋体" w:hAnsi="宋体" w:cs="宋体"/>
          <w:spacing w:val="-3"/>
        </w:rPr>
        <w:t>及膳食来源等，脂类、蛋白质营养价值的评价方法，部分重要的非营养素活性物</w:t>
      </w:r>
      <w:r>
        <w:rPr>
          <w:rFonts w:ascii="宋体" w:eastAsia="宋体" w:hAnsi="宋体" w:cs="宋体"/>
          <w:spacing w:val="7"/>
        </w:rPr>
        <w:t xml:space="preserve">  </w:t>
      </w:r>
      <w:r>
        <w:rPr>
          <w:rFonts w:ascii="宋体" w:eastAsia="宋体" w:hAnsi="宋体" w:cs="宋体"/>
          <w:spacing w:val="-8"/>
        </w:rPr>
        <w:t>质的生理功能等。</w:t>
      </w:r>
    </w:p>
    <w:p w:rsidR="00EA40A3" w:rsidRDefault="00E86C16">
      <w:pPr>
        <w:spacing w:before="85" w:line="258" w:lineRule="auto"/>
        <w:ind w:right="73" w:firstLine="430"/>
        <w:jc w:val="both"/>
        <w:rPr>
          <w:rFonts w:ascii="宋体" w:eastAsia="宋体" w:hAnsi="宋体" w:cs="宋体"/>
        </w:rPr>
      </w:pPr>
      <w:r>
        <w:rPr>
          <w:rFonts w:ascii="宋体" w:eastAsia="宋体" w:hAnsi="宋体" w:cs="宋体"/>
          <w:spacing w:val="10"/>
        </w:rPr>
        <w:t xml:space="preserve">第二部分(第6～9章)食物营养包括各类食物的营养价值、储藏与对加工 </w:t>
      </w:r>
      <w:r>
        <w:rPr>
          <w:rFonts w:ascii="宋体" w:eastAsia="宋体" w:hAnsi="宋体" w:cs="宋体"/>
          <w:spacing w:val="-2"/>
        </w:rPr>
        <w:t>食品营养价值的影响、食品的营养强化、保健食品</w:t>
      </w:r>
      <w:r>
        <w:rPr>
          <w:rFonts w:ascii="宋体" w:eastAsia="宋体" w:hAnsi="宋体" w:cs="宋体"/>
          <w:spacing w:val="-3"/>
        </w:rPr>
        <w:t>等。各类食物的营养价值介绍</w:t>
      </w:r>
      <w:r>
        <w:rPr>
          <w:rFonts w:ascii="宋体" w:eastAsia="宋体" w:hAnsi="宋体" w:cs="宋体"/>
        </w:rPr>
        <w:t xml:space="preserve"> </w:t>
      </w:r>
      <w:r>
        <w:rPr>
          <w:rFonts w:ascii="宋体" w:eastAsia="宋体" w:hAnsi="宋体" w:cs="宋体"/>
          <w:spacing w:val="-3"/>
        </w:rPr>
        <w:t>食物营养价值的相对性及谷类、豆类、蔬菜和水果、薯类、肉、乳、蛋类等主要</w:t>
      </w:r>
      <w:r>
        <w:rPr>
          <w:rFonts w:ascii="宋体" w:eastAsia="宋体" w:hAnsi="宋体" w:cs="宋体"/>
          <w:spacing w:val="14"/>
        </w:rPr>
        <w:t xml:space="preserve"> </w:t>
      </w:r>
      <w:r>
        <w:rPr>
          <w:rFonts w:ascii="宋体" w:eastAsia="宋体" w:hAnsi="宋体" w:cs="宋体"/>
          <w:spacing w:val="-3"/>
        </w:rPr>
        <w:t>食品的营养价值；食品的营养强化介绍食品营养强化的意义、基本原则，营养强</w:t>
      </w:r>
      <w:r>
        <w:rPr>
          <w:rFonts w:ascii="宋体" w:eastAsia="宋体" w:hAnsi="宋体" w:cs="宋体"/>
          <w:spacing w:val="14"/>
        </w:rPr>
        <w:t xml:space="preserve"> </w:t>
      </w:r>
      <w:r>
        <w:rPr>
          <w:rFonts w:ascii="宋体" w:eastAsia="宋体" w:hAnsi="宋体" w:cs="宋体"/>
          <w:spacing w:val="-2"/>
        </w:rPr>
        <w:t>化食品的种类及其强化方法等；保健食品介绍保</w:t>
      </w:r>
      <w:r>
        <w:rPr>
          <w:rFonts w:ascii="宋体" w:eastAsia="宋体" w:hAnsi="宋体" w:cs="宋体"/>
          <w:spacing w:val="-3"/>
        </w:rPr>
        <w:t>健食品的概念、特征、原料、加</w:t>
      </w:r>
      <w:r>
        <w:rPr>
          <w:rFonts w:ascii="宋体" w:eastAsia="宋体" w:hAnsi="宋体" w:cs="宋体"/>
        </w:rPr>
        <w:t xml:space="preserve"> </w:t>
      </w:r>
      <w:r>
        <w:rPr>
          <w:rFonts w:ascii="宋体" w:eastAsia="宋体" w:hAnsi="宋体" w:cs="宋体"/>
          <w:spacing w:val="-3"/>
        </w:rPr>
        <w:t>工、功能评价及管理等，还介绍了低脂低能食品、仿生食品、广东凉茶等具有一</w:t>
      </w:r>
      <w:r>
        <w:rPr>
          <w:rFonts w:ascii="宋体" w:eastAsia="宋体" w:hAnsi="宋体" w:cs="宋体"/>
          <w:spacing w:val="15"/>
        </w:rPr>
        <w:t xml:space="preserve"> </w:t>
      </w:r>
      <w:r>
        <w:rPr>
          <w:rFonts w:ascii="宋体" w:eastAsia="宋体" w:hAnsi="宋体" w:cs="宋体"/>
          <w:spacing w:val="-6"/>
        </w:rPr>
        <w:t>定保健作用的特殊食品。</w:t>
      </w:r>
    </w:p>
    <w:p w:rsidR="00EA40A3" w:rsidRDefault="00E86C16">
      <w:pPr>
        <w:spacing w:before="91" w:line="241" w:lineRule="auto"/>
        <w:ind w:right="77" w:firstLine="430"/>
        <w:jc w:val="both"/>
        <w:rPr>
          <w:rFonts w:ascii="宋体" w:eastAsia="宋体" w:hAnsi="宋体" w:cs="宋体"/>
        </w:rPr>
      </w:pPr>
      <w:r>
        <w:rPr>
          <w:rFonts w:ascii="宋体" w:eastAsia="宋体" w:hAnsi="宋体" w:cs="宋体"/>
          <w:spacing w:val="7"/>
        </w:rPr>
        <w:t>第三部分(第9、10章)合理营养包括特殊人群营养、膳食营</w:t>
      </w:r>
      <w:r>
        <w:rPr>
          <w:rFonts w:ascii="宋体" w:eastAsia="宋体" w:hAnsi="宋体" w:cs="宋体"/>
          <w:spacing w:val="6"/>
        </w:rPr>
        <w:t>养与健康。特</w:t>
      </w:r>
      <w:r>
        <w:rPr>
          <w:rFonts w:ascii="宋体" w:eastAsia="宋体" w:hAnsi="宋体" w:cs="宋体"/>
        </w:rPr>
        <w:t xml:space="preserve"> </w:t>
      </w:r>
      <w:r>
        <w:rPr>
          <w:rFonts w:ascii="宋体" w:eastAsia="宋体" w:hAnsi="宋体" w:cs="宋体"/>
          <w:spacing w:val="-2"/>
        </w:rPr>
        <w:t>殊人群营养介绍孕妇、乳母、儿童、老年人、运动员和特殊</w:t>
      </w:r>
      <w:r>
        <w:rPr>
          <w:rFonts w:ascii="宋体" w:eastAsia="宋体" w:hAnsi="宋体" w:cs="宋体"/>
          <w:spacing w:val="-3"/>
        </w:rPr>
        <w:t>环境作业人员等不同</w:t>
      </w:r>
    </w:p>
    <w:p w:rsidR="00EA40A3" w:rsidRDefault="00E86C16">
      <w:pPr>
        <w:spacing w:before="134"/>
        <w:ind w:right="110"/>
        <w:jc w:val="right"/>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29"/>
          <w:w w:val="101"/>
          <w:sz w:val="15"/>
          <w:szCs w:val="15"/>
        </w:rPr>
        <w:t xml:space="preserve"> </w:t>
      </w:r>
      <w:r>
        <w:rPr>
          <w:rFonts w:ascii="宋体" w:eastAsia="宋体" w:hAnsi="宋体" w:cs="宋体"/>
          <w:spacing w:val="-19"/>
          <w:sz w:val="15"/>
          <w:szCs w:val="15"/>
        </w:rPr>
        <w:t>15</w:t>
      </w:r>
      <w:r>
        <w:rPr>
          <w:rFonts w:ascii="宋体" w:eastAsia="宋体" w:hAnsi="宋体" w:cs="宋体"/>
          <w:spacing w:val="70"/>
          <w:sz w:val="15"/>
          <w:szCs w:val="15"/>
        </w:rPr>
        <w:t xml:space="preserve"> </w:t>
      </w:r>
      <w:r>
        <w:rPr>
          <w:rFonts w:ascii="宋体" w:eastAsia="宋体" w:hAnsi="宋体" w:cs="宋体"/>
          <w:spacing w:val="-19"/>
          <w:sz w:val="15"/>
          <w:szCs w:val="15"/>
        </w:rPr>
        <w:t>·</w:t>
      </w:r>
    </w:p>
    <w:p w:rsidR="00EA40A3" w:rsidRDefault="00EA40A3">
      <w:pPr>
        <w:sectPr w:rsidR="00EA40A3">
          <w:pgSz w:w="9220" w:h="13360"/>
          <w:pgMar w:top="400" w:right="985" w:bottom="400" w:left="879" w:header="0" w:footer="0" w:gutter="0"/>
          <w:cols w:space="720"/>
        </w:sectPr>
      </w:pPr>
    </w:p>
    <w:p w:rsidR="00EA40A3" w:rsidRDefault="00EA40A3">
      <w:pPr>
        <w:spacing w:line="290" w:lineRule="auto"/>
      </w:pPr>
    </w:p>
    <w:p w:rsidR="00EA40A3" w:rsidRDefault="00EA40A3">
      <w:pPr>
        <w:spacing w:line="290" w:lineRule="auto"/>
      </w:pPr>
    </w:p>
    <w:p w:rsidR="00EA40A3" w:rsidRDefault="00E86C16">
      <w:pPr>
        <w:spacing w:before="62" w:line="275" w:lineRule="auto"/>
        <w:ind w:right="59"/>
        <w:jc w:val="both"/>
        <w:rPr>
          <w:rFonts w:ascii="宋体" w:eastAsia="宋体" w:hAnsi="宋体" w:cs="宋体"/>
          <w:sz w:val="19"/>
          <w:szCs w:val="19"/>
        </w:rPr>
      </w:pPr>
      <w:r>
        <w:rPr>
          <w:rFonts w:ascii="宋体" w:eastAsia="宋体" w:hAnsi="宋体" w:cs="宋体"/>
          <w:spacing w:val="17"/>
          <w:sz w:val="19"/>
          <w:szCs w:val="19"/>
        </w:rPr>
        <w:t>人群的生理状况及营养需求特点，以及合理的膳食原则等。膳食营养与健康介绍</w:t>
      </w:r>
      <w:r>
        <w:rPr>
          <w:rFonts w:ascii="宋体" w:eastAsia="宋体" w:hAnsi="宋体" w:cs="宋体"/>
          <w:sz w:val="19"/>
          <w:szCs w:val="19"/>
        </w:rPr>
        <w:t xml:space="preserve"> </w:t>
      </w:r>
      <w:r>
        <w:rPr>
          <w:rFonts w:ascii="宋体" w:eastAsia="宋体" w:hAnsi="宋体" w:cs="宋体"/>
          <w:spacing w:val="17"/>
          <w:sz w:val="19"/>
          <w:szCs w:val="19"/>
        </w:rPr>
        <w:t>营养对机体免疫机能的影响，膳食营养与肿瘤、冠心病、肥胖、糖尿病等疾病</w:t>
      </w:r>
      <w:r>
        <w:rPr>
          <w:rFonts w:ascii="宋体" w:eastAsia="宋体" w:hAnsi="宋体" w:cs="宋体"/>
          <w:spacing w:val="16"/>
          <w:sz w:val="19"/>
          <w:szCs w:val="19"/>
        </w:rPr>
        <w:t>的</w:t>
      </w:r>
      <w:r>
        <w:rPr>
          <w:rFonts w:ascii="宋体" w:eastAsia="宋体" w:hAnsi="宋体" w:cs="宋体"/>
          <w:sz w:val="19"/>
          <w:szCs w:val="19"/>
        </w:rPr>
        <w:t xml:space="preserve"> </w:t>
      </w:r>
      <w:r>
        <w:rPr>
          <w:rFonts w:ascii="宋体" w:eastAsia="宋体" w:hAnsi="宋体" w:cs="宋体"/>
          <w:spacing w:val="12"/>
          <w:sz w:val="19"/>
          <w:szCs w:val="19"/>
        </w:rPr>
        <w:t>关系及预防这些慢性疾病的膳食原则。</w:t>
      </w:r>
    </w:p>
    <w:p w:rsidR="00EA40A3" w:rsidRDefault="00E86C16">
      <w:pPr>
        <w:spacing w:before="71" w:line="268" w:lineRule="auto"/>
        <w:ind w:right="62" w:firstLine="399"/>
        <w:jc w:val="both"/>
        <w:rPr>
          <w:rFonts w:ascii="宋体" w:eastAsia="宋体" w:hAnsi="宋体" w:cs="宋体"/>
          <w:sz w:val="19"/>
          <w:szCs w:val="19"/>
        </w:rPr>
      </w:pPr>
      <w:r>
        <w:rPr>
          <w:rFonts w:ascii="宋体" w:eastAsia="宋体" w:hAnsi="宋体" w:cs="宋体"/>
          <w:spacing w:val="24"/>
          <w:sz w:val="19"/>
          <w:szCs w:val="19"/>
        </w:rPr>
        <w:t>第四部分(第12章)社区营养介绍膳食营养素参考摄入量</w:t>
      </w:r>
      <w:r>
        <w:rPr>
          <w:rFonts w:ascii="宋体" w:eastAsia="宋体" w:hAnsi="宋体" w:cs="宋体"/>
          <w:spacing w:val="16"/>
          <w:sz w:val="19"/>
          <w:szCs w:val="19"/>
        </w:rPr>
        <w:t xml:space="preserve"> </w:t>
      </w:r>
      <w:r>
        <w:rPr>
          <w:rFonts w:ascii="宋体" w:eastAsia="宋体" w:hAnsi="宋体" w:cs="宋体"/>
          <w:spacing w:val="24"/>
          <w:sz w:val="19"/>
          <w:szCs w:val="19"/>
        </w:rPr>
        <w:t>(</w:t>
      </w:r>
      <w:r>
        <w:rPr>
          <w:rFonts w:ascii="宋体" w:eastAsia="宋体" w:hAnsi="宋体" w:cs="宋体"/>
          <w:sz w:val="19"/>
          <w:szCs w:val="19"/>
        </w:rPr>
        <w:t>DRI</w:t>
      </w:r>
      <w:r>
        <w:rPr>
          <w:rFonts w:ascii="宋体" w:eastAsia="宋体" w:hAnsi="宋体" w:cs="宋体"/>
          <w:spacing w:val="24"/>
          <w:sz w:val="19"/>
          <w:szCs w:val="19"/>
        </w:rPr>
        <w:t>)</w:t>
      </w:r>
      <w:r>
        <w:rPr>
          <w:rFonts w:ascii="宋体" w:eastAsia="宋体" w:hAnsi="宋体" w:cs="宋体"/>
          <w:spacing w:val="33"/>
          <w:sz w:val="19"/>
          <w:szCs w:val="19"/>
        </w:rPr>
        <w:t xml:space="preserve">  </w:t>
      </w:r>
      <w:r>
        <w:rPr>
          <w:rFonts w:ascii="宋体" w:eastAsia="宋体" w:hAnsi="宋体" w:cs="宋体"/>
          <w:spacing w:val="24"/>
          <w:sz w:val="19"/>
          <w:szCs w:val="19"/>
        </w:rPr>
        <w:t>的</w:t>
      </w:r>
      <w:r>
        <w:rPr>
          <w:rFonts w:ascii="宋体" w:eastAsia="宋体" w:hAnsi="宋体" w:cs="宋体"/>
          <w:spacing w:val="-35"/>
          <w:sz w:val="19"/>
          <w:szCs w:val="19"/>
        </w:rPr>
        <w:t xml:space="preserve"> </w:t>
      </w:r>
      <w:r>
        <w:rPr>
          <w:rFonts w:ascii="宋体" w:eastAsia="宋体" w:hAnsi="宋体" w:cs="宋体"/>
          <w:spacing w:val="24"/>
          <w:sz w:val="19"/>
          <w:szCs w:val="19"/>
        </w:rPr>
        <w:t>确</w:t>
      </w:r>
      <w:r>
        <w:rPr>
          <w:rFonts w:ascii="宋体" w:eastAsia="宋体" w:hAnsi="宋体" w:cs="宋体"/>
          <w:spacing w:val="-30"/>
          <w:sz w:val="19"/>
          <w:szCs w:val="19"/>
        </w:rPr>
        <w:t xml:space="preserve"> </w:t>
      </w:r>
      <w:r>
        <w:rPr>
          <w:rFonts w:ascii="宋体" w:eastAsia="宋体" w:hAnsi="宋体" w:cs="宋体"/>
          <w:spacing w:val="24"/>
          <w:sz w:val="19"/>
          <w:szCs w:val="19"/>
        </w:rPr>
        <w:t>定</w:t>
      </w:r>
      <w:r>
        <w:rPr>
          <w:rFonts w:ascii="宋体" w:eastAsia="宋体" w:hAnsi="宋体" w:cs="宋体"/>
          <w:sz w:val="19"/>
          <w:szCs w:val="19"/>
        </w:rPr>
        <w:t xml:space="preserve"> </w:t>
      </w:r>
      <w:r>
        <w:rPr>
          <w:rFonts w:ascii="宋体" w:eastAsia="宋体" w:hAnsi="宋体" w:cs="宋体"/>
          <w:spacing w:val="23"/>
          <w:sz w:val="19"/>
          <w:szCs w:val="19"/>
        </w:rPr>
        <w:t>与应用，合理膳食结构与居民膳食指南，营养调查和营养监测的作</w:t>
      </w:r>
      <w:r>
        <w:rPr>
          <w:rFonts w:ascii="宋体" w:eastAsia="宋体" w:hAnsi="宋体" w:cs="宋体"/>
          <w:spacing w:val="22"/>
          <w:sz w:val="19"/>
          <w:szCs w:val="19"/>
        </w:rPr>
        <w:t>用与基本方</w:t>
      </w:r>
      <w:r>
        <w:rPr>
          <w:rFonts w:ascii="宋体" w:eastAsia="宋体" w:hAnsi="宋体" w:cs="宋体"/>
          <w:sz w:val="19"/>
          <w:szCs w:val="19"/>
        </w:rPr>
        <w:t xml:space="preserve"> </w:t>
      </w:r>
      <w:r>
        <w:rPr>
          <w:rFonts w:ascii="宋体" w:eastAsia="宋体" w:hAnsi="宋体" w:cs="宋体"/>
          <w:spacing w:val="14"/>
          <w:sz w:val="19"/>
          <w:szCs w:val="19"/>
        </w:rPr>
        <w:t>法，改善居民营养状况的主要宏观措施。</w:t>
      </w:r>
    </w:p>
    <w:p w:rsidR="00EA40A3" w:rsidRDefault="00E86C16">
      <w:pPr>
        <w:spacing w:before="89" w:line="284" w:lineRule="auto"/>
        <w:ind w:firstLine="304"/>
        <w:jc w:val="both"/>
        <w:rPr>
          <w:rFonts w:ascii="宋体" w:eastAsia="宋体" w:hAnsi="宋体" w:cs="宋体"/>
          <w:sz w:val="19"/>
          <w:szCs w:val="19"/>
        </w:rPr>
      </w:pPr>
      <w:r>
        <w:rPr>
          <w:rFonts w:ascii="宋体" w:eastAsia="宋体" w:hAnsi="宋体" w:cs="宋体"/>
          <w:spacing w:val="20"/>
          <w:sz w:val="19"/>
          <w:szCs w:val="19"/>
        </w:rPr>
        <w:t>“食品营养学”是食品科学与工程专业一</w:t>
      </w:r>
      <w:r>
        <w:rPr>
          <w:rFonts w:ascii="宋体" w:eastAsia="宋体" w:hAnsi="宋体" w:cs="宋体"/>
          <w:spacing w:val="-26"/>
          <w:sz w:val="19"/>
          <w:szCs w:val="19"/>
        </w:rPr>
        <w:t xml:space="preserve"> </w:t>
      </w:r>
      <w:r>
        <w:rPr>
          <w:rFonts w:ascii="宋体" w:eastAsia="宋体" w:hAnsi="宋体" w:cs="宋体"/>
          <w:spacing w:val="20"/>
          <w:sz w:val="19"/>
          <w:szCs w:val="19"/>
        </w:rPr>
        <w:t>门重要的专业基础课。通过教学，</w:t>
      </w:r>
      <w:r>
        <w:rPr>
          <w:rFonts w:ascii="宋体" w:eastAsia="宋体" w:hAnsi="宋体" w:cs="宋体"/>
          <w:sz w:val="19"/>
          <w:szCs w:val="19"/>
        </w:rPr>
        <w:t xml:space="preserve"> </w:t>
      </w:r>
      <w:r>
        <w:rPr>
          <w:rFonts w:ascii="宋体" w:eastAsia="宋体" w:hAnsi="宋体" w:cs="宋体"/>
          <w:spacing w:val="17"/>
          <w:sz w:val="19"/>
          <w:szCs w:val="19"/>
        </w:rPr>
        <w:t>学生应首先全面理解和掌握营养学的基本理论知识，掌握人体对能量和各种营养</w:t>
      </w:r>
      <w:r>
        <w:rPr>
          <w:rFonts w:ascii="宋体" w:eastAsia="宋体" w:hAnsi="宋体" w:cs="宋体"/>
          <w:spacing w:val="12"/>
          <w:sz w:val="19"/>
          <w:szCs w:val="19"/>
        </w:rPr>
        <w:t xml:space="preserve"> </w:t>
      </w:r>
      <w:r>
        <w:rPr>
          <w:rFonts w:ascii="宋体" w:eastAsia="宋体" w:hAnsi="宋体" w:cs="宋体"/>
          <w:spacing w:val="17"/>
          <w:sz w:val="19"/>
          <w:szCs w:val="19"/>
        </w:rPr>
        <w:t>素的需要；其次，认识各类食品的营养价值及营养素在食品加工与储藏过程中</w:t>
      </w:r>
      <w:r>
        <w:rPr>
          <w:rFonts w:ascii="宋体" w:eastAsia="宋体" w:hAnsi="宋体" w:cs="宋体"/>
          <w:spacing w:val="16"/>
          <w:sz w:val="19"/>
          <w:szCs w:val="19"/>
        </w:rPr>
        <w:t>的</w:t>
      </w:r>
      <w:r>
        <w:rPr>
          <w:rFonts w:ascii="宋体" w:eastAsia="宋体" w:hAnsi="宋体" w:cs="宋体"/>
          <w:sz w:val="19"/>
          <w:szCs w:val="19"/>
        </w:rPr>
        <w:t xml:space="preserve"> </w:t>
      </w:r>
      <w:r>
        <w:rPr>
          <w:rFonts w:ascii="宋体" w:eastAsia="宋体" w:hAnsi="宋体" w:cs="宋体"/>
          <w:spacing w:val="17"/>
          <w:sz w:val="19"/>
          <w:szCs w:val="19"/>
        </w:rPr>
        <w:t>变化规律，并重点掌握食品营养强化和食品新资源开发的原理与方法；再次，了</w:t>
      </w:r>
      <w:r>
        <w:rPr>
          <w:rFonts w:ascii="宋体" w:eastAsia="宋体" w:hAnsi="宋体" w:cs="宋体"/>
          <w:spacing w:val="9"/>
          <w:sz w:val="19"/>
          <w:szCs w:val="19"/>
        </w:rPr>
        <w:t xml:space="preserve"> </w:t>
      </w:r>
      <w:r>
        <w:rPr>
          <w:rFonts w:ascii="宋体" w:eastAsia="宋体" w:hAnsi="宋体" w:cs="宋体"/>
          <w:spacing w:val="17"/>
          <w:sz w:val="19"/>
          <w:szCs w:val="19"/>
        </w:rPr>
        <w:t>解不同生理条件与不同环境条件下人群的生理及对营养需求的特点，了解膳食营</w:t>
      </w:r>
      <w:r>
        <w:rPr>
          <w:rFonts w:ascii="宋体" w:eastAsia="宋体" w:hAnsi="宋体" w:cs="宋体"/>
          <w:spacing w:val="16"/>
          <w:sz w:val="19"/>
          <w:szCs w:val="19"/>
        </w:rPr>
        <w:t xml:space="preserve"> </w:t>
      </w:r>
      <w:r>
        <w:rPr>
          <w:rFonts w:ascii="宋体" w:eastAsia="宋体" w:hAnsi="宋体" w:cs="宋体"/>
          <w:spacing w:val="17"/>
          <w:sz w:val="19"/>
          <w:szCs w:val="19"/>
        </w:rPr>
        <w:t>养与健康的关系，掌握合理膳食的原则和方法；最后，掌握社区营</w:t>
      </w:r>
      <w:r>
        <w:rPr>
          <w:rFonts w:ascii="宋体" w:eastAsia="宋体" w:hAnsi="宋体" w:cs="宋体"/>
          <w:spacing w:val="16"/>
          <w:sz w:val="19"/>
          <w:szCs w:val="19"/>
        </w:rPr>
        <w:t>养工作的内容</w:t>
      </w:r>
      <w:r>
        <w:rPr>
          <w:rFonts w:ascii="宋体" w:eastAsia="宋体" w:hAnsi="宋体" w:cs="宋体"/>
          <w:sz w:val="19"/>
          <w:szCs w:val="19"/>
        </w:rPr>
        <w:t xml:space="preserve"> </w:t>
      </w:r>
      <w:r>
        <w:rPr>
          <w:rFonts w:ascii="宋体" w:eastAsia="宋体" w:hAnsi="宋体" w:cs="宋体"/>
          <w:spacing w:val="17"/>
          <w:sz w:val="19"/>
          <w:szCs w:val="19"/>
        </w:rPr>
        <w:t>与方法，以便在今后从事食品生产或相关工作中，能够良好</w:t>
      </w:r>
      <w:r>
        <w:rPr>
          <w:rFonts w:ascii="宋体" w:eastAsia="宋体" w:hAnsi="宋体" w:cs="宋体"/>
          <w:spacing w:val="16"/>
          <w:sz w:val="19"/>
          <w:szCs w:val="19"/>
        </w:rPr>
        <w:t>地运用营养学知识解</w:t>
      </w:r>
      <w:r>
        <w:rPr>
          <w:rFonts w:ascii="宋体" w:eastAsia="宋体" w:hAnsi="宋体" w:cs="宋体"/>
          <w:sz w:val="19"/>
          <w:szCs w:val="19"/>
        </w:rPr>
        <w:t xml:space="preserve"> </w:t>
      </w:r>
      <w:r>
        <w:rPr>
          <w:rFonts w:ascii="宋体" w:eastAsia="宋体" w:hAnsi="宋体" w:cs="宋体"/>
          <w:spacing w:val="17"/>
          <w:sz w:val="19"/>
          <w:szCs w:val="19"/>
        </w:rPr>
        <w:t>决实际问题，为改善我国居民的营养状况和提高居民的健康水平服务。掌握不同</w:t>
      </w:r>
      <w:r>
        <w:rPr>
          <w:rFonts w:ascii="宋体" w:eastAsia="宋体" w:hAnsi="宋体" w:cs="宋体"/>
          <w:spacing w:val="1"/>
          <w:sz w:val="19"/>
          <w:szCs w:val="19"/>
        </w:rPr>
        <w:t xml:space="preserve"> </w:t>
      </w:r>
      <w:r>
        <w:rPr>
          <w:rFonts w:ascii="宋体" w:eastAsia="宋体" w:hAnsi="宋体" w:cs="宋体"/>
          <w:spacing w:val="12"/>
          <w:sz w:val="19"/>
          <w:szCs w:val="19"/>
        </w:rPr>
        <w:t>人群营养需求的特点与膳食原则。</w:t>
      </w:r>
    </w:p>
    <w:p w:rsidR="00EA40A3" w:rsidRDefault="00E86C16">
      <w:pPr>
        <w:spacing w:before="116" w:line="273" w:lineRule="auto"/>
        <w:ind w:right="64" w:firstLine="304"/>
        <w:jc w:val="both"/>
        <w:rPr>
          <w:rFonts w:ascii="宋体" w:eastAsia="宋体" w:hAnsi="宋体" w:cs="宋体"/>
          <w:sz w:val="19"/>
          <w:szCs w:val="19"/>
        </w:rPr>
      </w:pPr>
      <w:r>
        <w:rPr>
          <w:rFonts w:ascii="宋体" w:eastAsia="宋体" w:hAnsi="宋体" w:cs="宋体"/>
          <w:spacing w:val="14"/>
          <w:sz w:val="19"/>
          <w:szCs w:val="19"/>
        </w:rPr>
        <w:t>“食品营养学”是以“人体生理学”、“生物化学”等课程为基础，并</w:t>
      </w:r>
      <w:r>
        <w:rPr>
          <w:rFonts w:ascii="宋体" w:eastAsia="宋体" w:hAnsi="宋体" w:cs="宋体"/>
          <w:spacing w:val="13"/>
          <w:sz w:val="19"/>
          <w:szCs w:val="19"/>
        </w:rPr>
        <w:t>与“食</w:t>
      </w:r>
      <w:r>
        <w:rPr>
          <w:rFonts w:ascii="宋体" w:eastAsia="宋体" w:hAnsi="宋体" w:cs="宋体"/>
          <w:sz w:val="19"/>
          <w:szCs w:val="19"/>
        </w:rPr>
        <w:t xml:space="preserve"> </w:t>
      </w:r>
      <w:r>
        <w:rPr>
          <w:rFonts w:ascii="宋体" w:eastAsia="宋体" w:hAnsi="宋体" w:cs="宋体"/>
          <w:spacing w:val="6"/>
          <w:sz w:val="19"/>
          <w:szCs w:val="19"/>
        </w:rPr>
        <w:t>品化学”、“食品工艺学”、“食品卫生学”等</w:t>
      </w:r>
      <w:r>
        <w:rPr>
          <w:rFonts w:ascii="宋体" w:eastAsia="宋体" w:hAnsi="宋体" w:cs="宋体"/>
          <w:spacing w:val="5"/>
          <w:sz w:val="19"/>
          <w:szCs w:val="19"/>
        </w:rPr>
        <w:t>课程有密切联系。所以，要求食品科</w:t>
      </w:r>
      <w:r>
        <w:rPr>
          <w:rFonts w:ascii="宋体" w:eastAsia="宋体" w:hAnsi="宋体" w:cs="宋体"/>
          <w:sz w:val="19"/>
          <w:szCs w:val="19"/>
        </w:rPr>
        <w:t xml:space="preserve"> </w:t>
      </w:r>
      <w:r>
        <w:rPr>
          <w:rFonts w:ascii="宋体" w:eastAsia="宋体" w:hAnsi="宋体" w:cs="宋体"/>
          <w:spacing w:val="17"/>
          <w:sz w:val="19"/>
          <w:szCs w:val="19"/>
        </w:rPr>
        <w:t>学与工程专业的学生首先具有一定的生理学、生物化学、食品化学、</w:t>
      </w:r>
      <w:r>
        <w:rPr>
          <w:rFonts w:ascii="宋体" w:eastAsia="宋体" w:hAnsi="宋体" w:cs="宋体"/>
          <w:spacing w:val="16"/>
          <w:sz w:val="19"/>
          <w:szCs w:val="19"/>
        </w:rPr>
        <w:t>食品工艺学</w:t>
      </w:r>
      <w:r>
        <w:rPr>
          <w:rFonts w:ascii="宋体" w:eastAsia="宋体" w:hAnsi="宋体" w:cs="宋体"/>
          <w:sz w:val="19"/>
          <w:szCs w:val="19"/>
        </w:rPr>
        <w:t xml:space="preserve"> </w:t>
      </w:r>
      <w:r>
        <w:rPr>
          <w:rFonts w:ascii="宋体" w:eastAsia="宋体" w:hAnsi="宋体" w:cs="宋体"/>
          <w:spacing w:val="13"/>
          <w:sz w:val="19"/>
          <w:szCs w:val="19"/>
        </w:rPr>
        <w:t>等方面的知识，特别要打好生物化学的基础。</w:t>
      </w:r>
    </w:p>
    <w:p w:rsidR="00EA40A3" w:rsidRDefault="00E86C16">
      <w:pPr>
        <w:spacing w:before="222" w:line="222" w:lineRule="auto"/>
        <w:ind w:left="3193"/>
        <w:rPr>
          <w:rFonts w:ascii="黑体" w:eastAsia="黑体" w:hAnsi="黑体" w:cs="黑体"/>
          <w:sz w:val="22"/>
          <w:szCs w:val="22"/>
        </w:rPr>
      </w:pPr>
      <w:r>
        <w:rPr>
          <w:rFonts w:ascii="黑体" w:eastAsia="黑体" w:hAnsi="黑体" w:cs="黑体"/>
          <w:b/>
          <w:bCs/>
          <w:spacing w:val="-9"/>
          <w:sz w:val="22"/>
          <w:szCs w:val="22"/>
        </w:rPr>
        <w:t>思</w:t>
      </w:r>
      <w:r>
        <w:rPr>
          <w:rFonts w:ascii="黑体" w:eastAsia="黑体" w:hAnsi="黑体" w:cs="黑体"/>
          <w:spacing w:val="70"/>
          <w:sz w:val="22"/>
          <w:szCs w:val="22"/>
        </w:rPr>
        <w:t xml:space="preserve"> </w:t>
      </w:r>
      <w:r>
        <w:rPr>
          <w:rFonts w:ascii="黑体" w:eastAsia="黑体" w:hAnsi="黑体" w:cs="黑体"/>
          <w:b/>
          <w:bCs/>
          <w:spacing w:val="-9"/>
          <w:sz w:val="22"/>
          <w:szCs w:val="22"/>
        </w:rPr>
        <w:t>考</w:t>
      </w:r>
      <w:r>
        <w:rPr>
          <w:rFonts w:ascii="黑体" w:eastAsia="黑体" w:hAnsi="黑体" w:cs="黑体"/>
          <w:spacing w:val="89"/>
          <w:sz w:val="22"/>
          <w:szCs w:val="22"/>
        </w:rPr>
        <w:t xml:space="preserve"> </w:t>
      </w:r>
      <w:r>
        <w:rPr>
          <w:rFonts w:ascii="黑体" w:eastAsia="黑体" w:hAnsi="黑体" w:cs="黑体"/>
          <w:b/>
          <w:bCs/>
          <w:spacing w:val="-9"/>
          <w:sz w:val="22"/>
          <w:szCs w:val="22"/>
        </w:rPr>
        <w:t>题</w:t>
      </w:r>
    </w:p>
    <w:p w:rsidR="00EA40A3" w:rsidRDefault="00E86C16">
      <w:pPr>
        <w:spacing w:before="207" w:line="219" w:lineRule="auto"/>
        <w:ind w:left="399"/>
        <w:rPr>
          <w:rFonts w:ascii="宋体" w:eastAsia="宋体" w:hAnsi="宋体" w:cs="宋体"/>
          <w:sz w:val="19"/>
          <w:szCs w:val="19"/>
        </w:rPr>
      </w:pPr>
      <w:r>
        <w:rPr>
          <w:rFonts w:ascii="宋体" w:eastAsia="宋体" w:hAnsi="宋体" w:cs="宋体"/>
          <w:spacing w:val="-12"/>
          <w:sz w:val="19"/>
          <w:szCs w:val="19"/>
        </w:rPr>
        <w:t>1.</w:t>
      </w:r>
      <w:r>
        <w:rPr>
          <w:rFonts w:ascii="宋体" w:eastAsia="宋体" w:hAnsi="宋体" w:cs="宋体"/>
          <w:spacing w:val="-26"/>
          <w:sz w:val="19"/>
          <w:szCs w:val="19"/>
        </w:rPr>
        <w:t xml:space="preserve"> </w:t>
      </w:r>
      <w:r>
        <w:rPr>
          <w:rFonts w:ascii="宋体" w:eastAsia="宋体" w:hAnsi="宋体" w:cs="宋体"/>
          <w:spacing w:val="-12"/>
          <w:sz w:val="19"/>
          <w:szCs w:val="19"/>
        </w:rPr>
        <w:t>何谓营养、营养素和营养学?</w:t>
      </w:r>
    </w:p>
    <w:p w:rsidR="00EA40A3" w:rsidRDefault="00E86C16">
      <w:pPr>
        <w:spacing w:before="44" w:line="219" w:lineRule="auto"/>
        <w:ind w:left="399"/>
        <w:rPr>
          <w:rFonts w:ascii="宋体" w:eastAsia="宋体" w:hAnsi="宋体" w:cs="宋体"/>
          <w:sz w:val="19"/>
          <w:szCs w:val="19"/>
        </w:rPr>
      </w:pPr>
      <w:r>
        <w:rPr>
          <w:rFonts w:ascii="宋体" w:eastAsia="宋体" w:hAnsi="宋体" w:cs="宋体"/>
          <w:spacing w:val="-7"/>
          <w:sz w:val="19"/>
          <w:szCs w:val="19"/>
        </w:rPr>
        <w:t>2.DRI</w:t>
      </w:r>
      <w:r>
        <w:rPr>
          <w:rFonts w:ascii="宋体" w:eastAsia="宋体" w:hAnsi="宋体" w:cs="宋体"/>
          <w:spacing w:val="19"/>
          <w:sz w:val="19"/>
          <w:szCs w:val="19"/>
        </w:rPr>
        <w:t xml:space="preserve"> </w:t>
      </w:r>
      <w:r>
        <w:rPr>
          <w:rFonts w:ascii="宋体" w:eastAsia="宋体" w:hAnsi="宋体" w:cs="宋体"/>
          <w:spacing w:val="-7"/>
          <w:sz w:val="19"/>
          <w:szCs w:val="19"/>
        </w:rPr>
        <w:t>的概念是如何提出的?它包括哪些指标，各自的含义是</w:t>
      </w:r>
      <w:r>
        <w:rPr>
          <w:rFonts w:ascii="宋体" w:eastAsia="宋体" w:hAnsi="宋体" w:cs="宋体"/>
          <w:spacing w:val="-8"/>
          <w:sz w:val="19"/>
          <w:szCs w:val="19"/>
        </w:rPr>
        <w:t>什么?</w:t>
      </w:r>
    </w:p>
    <w:p w:rsidR="00EA40A3" w:rsidRDefault="00E86C16">
      <w:pPr>
        <w:spacing w:before="43" w:line="219" w:lineRule="auto"/>
        <w:ind w:left="399"/>
        <w:rPr>
          <w:rFonts w:ascii="宋体" w:eastAsia="宋体" w:hAnsi="宋体" w:cs="宋体"/>
          <w:sz w:val="19"/>
          <w:szCs w:val="19"/>
        </w:rPr>
      </w:pPr>
      <w:r>
        <w:rPr>
          <w:rFonts w:ascii="宋体" w:eastAsia="宋体" w:hAnsi="宋体" w:cs="宋体"/>
          <w:spacing w:val="-9"/>
          <w:sz w:val="19"/>
          <w:szCs w:val="19"/>
        </w:rPr>
        <w:t>3.近几十年来营养学主要取得了哪些进展?</w:t>
      </w:r>
    </w:p>
    <w:p w:rsidR="00EA40A3" w:rsidRDefault="00E86C16">
      <w:pPr>
        <w:spacing w:before="46" w:line="219" w:lineRule="auto"/>
        <w:ind w:left="399"/>
        <w:rPr>
          <w:rFonts w:ascii="宋体" w:eastAsia="宋体" w:hAnsi="宋体" w:cs="宋体"/>
          <w:sz w:val="19"/>
          <w:szCs w:val="19"/>
        </w:rPr>
      </w:pPr>
      <w:r>
        <w:rPr>
          <w:rFonts w:ascii="宋体" w:eastAsia="宋体" w:hAnsi="宋体" w:cs="宋体"/>
          <w:spacing w:val="-9"/>
          <w:sz w:val="19"/>
          <w:szCs w:val="19"/>
        </w:rPr>
        <w:t>4.食品营养与农业和食品工业的关系如何?</w:t>
      </w:r>
    </w:p>
    <w:p w:rsidR="00EA40A3" w:rsidRDefault="00E86C16">
      <w:pPr>
        <w:spacing w:before="45" w:line="219" w:lineRule="auto"/>
        <w:ind w:left="399"/>
        <w:rPr>
          <w:rFonts w:ascii="宋体" w:eastAsia="宋体" w:hAnsi="宋体" w:cs="宋体"/>
          <w:sz w:val="19"/>
          <w:szCs w:val="19"/>
        </w:rPr>
      </w:pPr>
      <w:r>
        <w:rPr>
          <w:rFonts w:ascii="宋体" w:eastAsia="宋体" w:hAnsi="宋体" w:cs="宋体"/>
          <w:spacing w:val="-10"/>
          <w:sz w:val="19"/>
          <w:szCs w:val="19"/>
        </w:rPr>
        <w:t>5.</w:t>
      </w:r>
      <w:r>
        <w:rPr>
          <w:rFonts w:ascii="宋体" w:eastAsia="宋体" w:hAnsi="宋体" w:cs="宋体"/>
          <w:spacing w:val="-37"/>
          <w:sz w:val="19"/>
          <w:szCs w:val="19"/>
        </w:rPr>
        <w:t xml:space="preserve"> </w:t>
      </w:r>
      <w:r>
        <w:rPr>
          <w:rFonts w:ascii="宋体" w:eastAsia="宋体" w:hAnsi="宋体" w:cs="宋体"/>
          <w:spacing w:val="-10"/>
          <w:sz w:val="19"/>
          <w:szCs w:val="19"/>
        </w:rPr>
        <w:t>我国居民营养现状如何?</w:t>
      </w:r>
    </w:p>
    <w:p w:rsidR="00EA40A3" w:rsidRDefault="00E86C16">
      <w:pPr>
        <w:spacing w:before="45" w:line="219" w:lineRule="auto"/>
        <w:ind w:left="399"/>
        <w:rPr>
          <w:rFonts w:ascii="宋体" w:eastAsia="宋体" w:hAnsi="宋体" w:cs="宋体"/>
          <w:sz w:val="19"/>
          <w:szCs w:val="19"/>
        </w:rPr>
      </w:pPr>
      <w:r>
        <w:rPr>
          <w:rFonts w:ascii="宋体" w:eastAsia="宋体" w:hAnsi="宋体" w:cs="宋体"/>
          <w:spacing w:val="-16"/>
          <w:sz w:val="19"/>
          <w:szCs w:val="19"/>
        </w:rPr>
        <w:t>6.</w:t>
      </w:r>
      <w:r>
        <w:rPr>
          <w:rFonts w:ascii="宋体" w:eastAsia="宋体" w:hAnsi="宋体" w:cs="宋体"/>
          <w:spacing w:val="-13"/>
          <w:sz w:val="19"/>
          <w:szCs w:val="19"/>
        </w:rPr>
        <w:t xml:space="preserve"> </w:t>
      </w:r>
      <w:r>
        <w:rPr>
          <w:rFonts w:ascii="宋体" w:eastAsia="宋体" w:hAnsi="宋体" w:cs="宋体"/>
          <w:spacing w:val="-16"/>
          <w:sz w:val="19"/>
          <w:szCs w:val="19"/>
        </w:rPr>
        <w:t>“营养与食品营养学”教学目标的内容是</w:t>
      </w:r>
      <w:r>
        <w:rPr>
          <w:rFonts w:ascii="宋体" w:eastAsia="宋体" w:hAnsi="宋体" w:cs="宋体"/>
          <w:spacing w:val="-17"/>
          <w:sz w:val="19"/>
          <w:szCs w:val="19"/>
        </w:rPr>
        <w:t>什么?</w:t>
      </w:r>
    </w:p>
    <w:p w:rsidR="00EA40A3" w:rsidRDefault="00EA40A3">
      <w:pPr>
        <w:spacing w:line="279" w:lineRule="auto"/>
      </w:pPr>
    </w:p>
    <w:p w:rsidR="00EA40A3" w:rsidRDefault="00E86C16">
      <w:pPr>
        <w:spacing w:before="72" w:line="225" w:lineRule="auto"/>
        <w:ind w:right="357"/>
        <w:jc w:val="right"/>
        <w:rPr>
          <w:rFonts w:ascii="楷体" w:eastAsia="楷体" w:hAnsi="楷体" w:cs="楷体"/>
          <w:sz w:val="22"/>
          <w:szCs w:val="22"/>
        </w:rPr>
      </w:pPr>
      <w:r>
        <w:rPr>
          <w:rFonts w:ascii="楷体" w:eastAsia="楷体" w:hAnsi="楷体" w:cs="楷体"/>
          <w:spacing w:val="-13"/>
          <w:sz w:val="22"/>
          <w:szCs w:val="22"/>
        </w:rPr>
        <w:t>(本章编写人：孙远明)</w:t>
      </w:r>
    </w:p>
    <w:p w:rsidR="00EA40A3" w:rsidRDefault="00E86C16">
      <w:pPr>
        <w:spacing w:before="209" w:line="222" w:lineRule="auto"/>
        <w:ind w:left="3052"/>
        <w:rPr>
          <w:rFonts w:ascii="黑体" w:eastAsia="黑体" w:hAnsi="黑体" w:cs="黑体"/>
          <w:sz w:val="19"/>
          <w:szCs w:val="19"/>
        </w:rPr>
      </w:pPr>
      <w:r>
        <w:rPr>
          <w:rFonts w:ascii="黑体" w:eastAsia="黑体" w:hAnsi="黑体" w:cs="黑体"/>
          <w:b/>
          <w:bCs/>
          <w:spacing w:val="11"/>
          <w:sz w:val="19"/>
          <w:szCs w:val="19"/>
        </w:rPr>
        <w:t>主要参考文献</w:t>
      </w:r>
    </w:p>
    <w:p w:rsidR="00EA40A3" w:rsidRDefault="00E86C16">
      <w:pPr>
        <w:spacing w:before="162" w:line="232" w:lineRule="auto"/>
        <w:ind w:right="368"/>
        <w:rPr>
          <w:rFonts w:ascii="宋体" w:eastAsia="宋体" w:hAnsi="宋体" w:cs="宋体"/>
          <w:sz w:val="19"/>
          <w:szCs w:val="19"/>
        </w:rPr>
      </w:pPr>
      <w:r>
        <w:rPr>
          <w:rFonts w:ascii="宋体" w:eastAsia="宋体" w:hAnsi="宋体" w:cs="宋体"/>
          <w:spacing w:val="-15"/>
          <w:sz w:val="19"/>
          <w:szCs w:val="19"/>
        </w:rPr>
        <w:t>鲍曼B</w:t>
      </w:r>
      <w:r>
        <w:rPr>
          <w:rFonts w:ascii="宋体" w:eastAsia="宋体" w:hAnsi="宋体" w:cs="宋体"/>
          <w:spacing w:val="33"/>
          <w:sz w:val="19"/>
          <w:szCs w:val="19"/>
        </w:rPr>
        <w:t xml:space="preserve"> </w:t>
      </w:r>
      <w:r>
        <w:rPr>
          <w:rFonts w:ascii="宋体" w:eastAsia="宋体" w:hAnsi="宋体" w:cs="宋体"/>
          <w:spacing w:val="-15"/>
          <w:sz w:val="19"/>
          <w:szCs w:val="19"/>
        </w:rPr>
        <w:t>A,拉塞尔RM.2004.</w:t>
      </w:r>
      <w:r>
        <w:rPr>
          <w:rFonts w:ascii="宋体" w:eastAsia="宋体" w:hAnsi="宋体" w:cs="宋体"/>
          <w:spacing w:val="90"/>
          <w:sz w:val="19"/>
          <w:szCs w:val="19"/>
        </w:rPr>
        <w:t xml:space="preserve"> </w:t>
      </w:r>
      <w:r>
        <w:rPr>
          <w:rFonts w:ascii="宋体" w:eastAsia="宋体" w:hAnsi="宋体" w:cs="宋体"/>
          <w:spacing w:val="-15"/>
          <w:sz w:val="19"/>
          <w:szCs w:val="19"/>
        </w:rPr>
        <w:t>现代营养学.第8版.荫士安，汪之顼主译.北京：化学工业出</w:t>
      </w:r>
      <w:r>
        <w:rPr>
          <w:rFonts w:ascii="宋体" w:eastAsia="宋体" w:hAnsi="宋体" w:cs="宋体"/>
          <w:spacing w:val="-16"/>
          <w:sz w:val="19"/>
          <w:szCs w:val="19"/>
        </w:rPr>
        <w:t>版社</w:t>
      </w:r>
      <w:r>
        <w:rPr>
          <w:rFonts w:ascii="宋体" w:eastAsia="宋体" w:hAnsi="宋体" w:cs="宋体"/>
          <w:sz w:val="19"/>
          <w:szCs w:val="19"/>
        </w:rPr>
        <w:t xml:space="preserve"> </w:t>
      </w:r>
      <w:r>
        <w:rPr>
          <w:rFonts w:ascii="宋体" w:eastAsia="宋体" w:hAnsi="宋体" w:cs="宋体"/>
          <w:spacing w:val="-21"/>
          <w:sz w:val="19"/>
          <w:szCs w:val="19"/>
        </w:rPr>
        <w:t>贝利舍F.2002.</w:t>
      </w:r>
      <w:r>
        <w:rPr>
          <w:rFonts w:ascii="宋体" w:eastAsia="宋体" w:hAnsi="宋体" w:cs="宋体"/>
          <w:spacing w:val="-56"/>
          <w:sz w:val="19"/>
          <w:szCs w:val="19"/>
        </w:rPr>
        <w:t xml:space="preserve"> </w:t>
      </w:r>
      <w:r>
        <w:rPr>
          <w:rFonts w:ascii="宋体" w:eastAsia="宋体" w:hAnsi="宋体" w:cs="宋体"/>
          <w:spacing w:val="-21"/>
          <w:sz w:val="19"/>
          <w:szCs w:val="19"/>
        </w:rPr>
        <w:t>功能性食品科学.陈君石，闻芝梅主译</w:t>
      </w:r>
      <w:r>
        <w:rPr>
          <w:rFonts w:ascii="宋体" w:eastAsia="宋体" w:hAnsi="宋体" w:cs="宋体"/>
          <w:spacing w:val="-22"/>
          <w:sz w:val="19"/>
          <w:szCs w:val="19"/>
        </w:rPr>
        <w:t>.北京：人民卫生出版社</w:t>
      </w:r>
    </w:p>
    <w:p w:rsidR="00EA40A3" w:rsidRDefault="00E86C16">
      <w:pPr>
        <w:spacing w:before="25" w:line="219" w:lineRule="auto"/>
        <w:rPr>
          <w:rFonts w:ascii="宋体" w:eastAsia="宋体" w:hAnsi="宋体" w:cs="宋体"/>
          <w:sz w:val="19"/>
          <w:szCs w:val="19"/>
        </w:rPr>
      </w:pPr>
      <w:r>
        <w:rPr>
          <w:rFonts w:ascii="宋体" w:eastAsia="宋体" w:hAnsi="宋体" w:cs="宋体"/>
          <w:spacing w:val="-15"/>
          <w:sz w:val="19"/>
          <w:szCs w:val="19"/>
        </w:rPr>
        <w:t>陈炳卿.2000.营养与食品卫生学.第5版.北</w:t>
      </w:r>
      <w:r>
        <w:rPr>
          <w:rFonts w:ascii="宋体" w:eastAsia="宋体" w:hAnsi="宋体" w:cs="宋体"/>
          <w:spacing w:val="-16"/>
          <w:sz w:val="19"/>
          <w:szCs w:val="19"/>
        </w:rPr>
        <w:t>京：人民卫生出版社</w:t>
      </w:r>
    </w:p>
    <w:p w:rsidR="00EA40A3" w:rsidRDefault="00E86C16">
      <w:pPr>
        <w:spacing w:before="24" w:line="235" w:lineRule="auto"/>
        <w:ind w:right="1315"/>
        <w:jc w:val="both"/>
        <w:rPr>
          <w:rFonts w:ascii="宋体" w:eastAsia="宋体" w:hAnsi="宋体" w:cs="宋体"/>
          <w:sz w:val="19"/>
          <w:szCs w:val="19"/>
        </w:rPr>
      </w:pPr>
      <w:r>
        <w:rPr>
          <w:rFonts w:ascii="宋体" w:eastAsia="宋体" w:hAnsi="宋体" w:cs="宋体"/>
          <w:spacing w:val="-17"/>
          <w:sz w:val="19"/>
          <w:szCs w:val="19"/>
        </w:rPr>
        <w:t>陈春明，王玉英.2000.论营养与贫困地区的经济发展.卫生研究，29(5):305～307</w:t>
      </w:r>
      <w:r>
        <w:rPr>
          <w:rFonts w:ascii="宋体" w:eastAsia="宋体" w:hAnsi="宋体" w:cs="宋体"/>
          <w:spacing w:val="8"/>
          <w:sz w:val="19"/>
          <w:szCs w:val="19"/>
        </w:rPr>
        <w:t xml:space="preserve"> </w:t>
      </w:r>
      <w:r>
        <w:rPr>
          <w:rFonts w:ascii="宋体" w:eastAsia="宋体" w:hAnsi="宋体" w:cs="宋体"/>
          <w:spacing w:val="-17"/>
          <w:sz w:val="19"/>
          <w:szCs w:val="19"/>
        </w:rPr>
        <w:t>陈春明.2000.1998年度食物营养监测总报告与政策建议.卫生研</w:t>
      </w:r>
      <w:r>
        <w:rPr>
          <w:rFonts w:ascii="宋体" w:eastAsia="宋体" w:hAnsi="宋体" w:cs="宋体"/>
          <w:spacing w:val="-18"/>
          <w:sz w:val="19"/>
          <w:szCs w:val="19"/>
        </w:rPr>
        <w:t>究，(5):258～262</w:t>
      </w:r>
      <w:r>
        <w:rPr>
          <w:rFonts w:ascii="宋体" w:eastAsia="宋体" w:hAnsi="宋体" w:cs="宋体"/>
          <w:sz w:val="19"/>
          <w:szCs w:val="19"/>
        </w:rPr>
        <w:t xml:space="preserve"> </w:t>
      </w:r>
      <w:r>
        <w:rPr>
          <w:rFonts w:ascii="宋体" w:eastAsia="宋体" w:hAnsi="宋体" w:cs="宋体"/>
          <w:spacing w:val="-20"/>
          <w:sz w:val="19"/>
          <w:szCs w:val="19"/>
        </w:rPr>
        <w:t>葛可佑.2004.中国营养科学全书.北京：人民卫</w:t>
      </w:r>
      <w:r>
        <w:rPr>
          <w:rFonts w:ascii="宋体" w:eastAsia="宋体" w:hAnsi="宋体" w:cs="宋体"/>
          <w:spacing w:val="-21"/>
          <w:sz w:val="19"/>
          <w:szCs w:val="19"/>
        </w:rPr>
        <w:t>生出版社</w:t>
      </w:r>
    </w:p>
    <w:p w:rsidR="00EA40A3" w:rsidRDefault="00E86C16">
      <w:pPr>
        <w:spacing w:before="26" w:line="219" w:lineRule="auto"/>
        <w:rPr>
          <w:rFonts w:ascii="宋体" w:eastAsia="宋体" w:hAnsi="宋体" w:cs="宋体"/>
          <w:sz w:val="19"/>
          <w:szCs w:val="19"/>
        </w:rPr>
      </w:pPr>
      <w:r>
        <w:rPr>
          <w:rFonts w:ascii="宋体" w:eastAsia="宋体" w:hAnsi="宋体" w:cs="宋体"/>
          <w:spacing w:val="-16"/>
          <w:sz w:val="19"/>
          <w:szCs w:val="19"/>
        </w:rPr>
        <w:t>何志谦，顾景范.1998.中国居民膳食指南的历史渊源和启示.营养学报，20(2):129~131</w:t>
      </w:r>
    </w:p>
    <w:p w:rsidR="00EA40A3" w:rsidRDefault="00E86C16">
      <w:pPr>
        <w:spacing w:before="99"/>
        <w:rPr>
          <w:rFonts w:ascii="宋体" w:eastAsia="宋体" w:hAnsi="宋体" w:cs="宋体"/>
          <w:sz w:val="16"/>
          <w:szCs w:val="16"/>
        </w:rPr>
      </w:pPr>
      <w:r>
        <w:rPr>
          <w:rFonts w:ascii="宋体" w:eastAsia="宋体" w:hAnsi="宋体" w:cs="宋体"/>
          <w:spacing w:val="-20"/>
          <w:sz w:val="16"/>
          <w:szCs w:val="16"/>
        </w:rPr>
        <w:t>·</w:t>
      </w:r>
      <w:r>
        <w:rPr>
          <w:rFonts w:ascii="宋体" w:eastAsia="宋体" w:hAnsi="宋体" w:cs="宋体"/>
          <w:spacing w:val="18"/>
          <w:sz w:val="16"/>
          <w:szCs w:val="16"/>
        </w:rPr>
        <w:t xml:space="preserve"> </w:t>
      </w:r>
      <w:r>
        <w:rPr>
          <w:rFonts w:ascii="宋体" w:eastAsia="宋体" w:hAnsi="宋体" w:cs="宋体"/>
          <w:spacing w:val="-20"/>
          <w:sz w:val="16"/>
          <w:szCs w:val="16"/>
        </w:rPr>
        <w:t>16</w:t>
      </w:r>
      <w:r>
        <w:rPr>
          <w:rFonts w:ascii="宋体" w:eastAsia="宋体" w:hAnsi="宋体" w:cs="宋体"/>
          <w:spacing w:val="61"/>
          <w:sz w:val="16"/>
          <w:szCs w:val="16"/>
        </w:rPr>
        <w:t xml:space="preserve"> </w:t>
      </w:r>
      <w:r>
        <w:rPr>
          <w:rFonts w:ascii="宋体" w:eastAsia="宋体" w:hAnsi="宋体" w:cs="宋体"/>
          <w:spacing w:val="-20"/>
          <w:sz w:val="16"/>
          <w:szCs w:val="16"/>
        </w:rPr>
        <w:t>·</w:t>
      </w:r>
    </w:p>
    <w:p w:rsidR="00EA40A3" w:rsidRDefault="00EA40A3">
      <w:pPr>
        <w:sectPr w:rsidR="00EA40A3">
          <w:pgSz w:w="9220" w:h="13360"/>
          <w:pgMar w:top="400" w:right="1094" w:bottom="400" w:left="820" w:header="0" w:footer="0" w:gutter="0"/>
          <w:cols w:space="720"/>
        </w:sectPr>
      </w:pPr>
    </w:p>
    <w:p w:rsidR="00EA40A3" w:rsidRDefault="00EA40A3">
      <w:pPr>
        <w:spacing w:line="286" w:lineRule="auto"/>
      </w:pPr>
    </w:p>
    <w:p w:rsidR="00EA40A3" w:rsidRDefault="00EA40A3">
      <w:pPr>
        <w:spacing w:line="286" w:lineRule="auto"/>
      </w:pPr>
    </w:p>
    <w:p w:rsidR="00EA40A3" w:rsidRDefault="00E86C16">
      <w:pPr>
        <w:spacing w:before="49" w:line="219" w:lineRule="auto"/>
        <w:rPr>
          <w:rFonts w:ascii="宋体" w:eastAsia="宋体" w:hAnsi="宋体" w:cs="宋体"/>
          <w:sz w:val="15"/>
          <w:szCs w:val="15"/>
        </w:rPr>
      </w:pPr>
      <w:r>
        <w:rPr>
          <w:rFonts w:ascii="宋体" w:eastAsia="宋体" w:hAnsi="宋体" w:cs="宋体"/>
          <w:spacing w:val="15"/>
          <w:sz w:val="15"/>
          <w:szCs w:val="15"/>
        </w:rPr>
        <w:t>何志谦.2000.膳食营养素推荐供给量的进展.生理科学进</w:t>
      </w:r>
      <w:r>
        <w:rPr>
          <w:rFonts w:ascii="宋体" w:eastAsia="宋体" w:hAnsi="宋体" w:cs="宋体"/>
          <w:spacing w:val="14"/>
          <w:sz w:val="15"/>
          <w:szCs w:val="15"/>
        </w:rPr>
        <w:t>展，31(2):181～184</w:t>
      </w:r>
    </w:p>
    <w:p w:rsidR="00EA40A3" w:rsidRDefault="00E86C16">
      <w:pPr>
        <w:spacing w:before="71" w:line="216" w:lineRule="auto"/>
        <w:rPr>
          <w:rFonts w:ascii="宋体" w:eastAsia="宋体" w:hAnsi="宋体" w:cs="宋体"/>
          <w:sz w:val="15"/>
          <w:szCs w:val="15"/>
        </w:rPr>
      </w:pPr>
      <w:r>
        <w:rPr>
          <w:rFonts w:ascii="宋体" w:eastAsia="宋体" w:hAnsi="宋体" w:cs="宋体"/>
          <w:spacing w:val="13"/>
          <w:sz w:val="15"/>
          <w:szCs w:val="15"/>
        </w:rPr>
        <w:t>孔灵芝，葛可佑.</w:t>
      </w:r>
      <w:r>
        <w:rPr>
          <w:rFonts w:ascii="宋体" w:eastAsia="宋体" w:hAnsi="宋体" w:cs="宋体"/>
          <w:spacing w:val="-44"/>
          <w:sz w:val="15"/>
          <w:szCs w:val="15"/>
        </w:rPr>
        <w:t xml:space="preserve"> </w:t>
      </w:r>
      <w:r>
        <w:rPr>
          <w:rFonts w:ascii="宋体" w:eastAsia="宋体" w:hAnsi="宋体" w:cs="宋体"/>
          <w:spacing w:val="13"/>
          <w:sz w:val="15"/>
          <w:szCs w:val="15"/>
        </w:rPr>
        <w:t>1995.我国居民营养状况及其改进.</w:t>
      </w:r>
      <w:r>
        <w:rPr>
          <w:rFonts w:ascii="宋体" w:eastAsia="宋体" w:hAnsi="宋体" w:cs="宋体"/>
          <w:spacing w:val="-40"/>
          <w:sz w:val="15"/>
          <w:szCs w:val="15"/>
        </w:rPr>
        <w:t xml:space="preserve"> </w:t>
      </w:r>
      <w:r>
        <w:rPr>
          <w:rFonts w:ascii="宋体" w:eastAsia="宋体" w:hAnsi="宋体" w:cs="宋体"/>
          <w:spacing w:val="13"/>
          <w:sz w:val="15"/>
          <w:szCs w:val="15"/>
        </w:rPr>
        <w:t>中国食物与营养，(1</w:t>
      </w:r>
      <w:r>
        <w:rPr>
          <w:rFonts w:ascii="宋体" w:eastAsia="宋体" w:hAnsi="宋体" w:cs="宋体"/>
          <w:spacing w:val="12"/>
          <w:sz w:val="15"/>
          <w:szCs w:val="15"/>
        </w:rPr>
        <w:t>):15～18,31</w:t>
      </w:r>
    </w:p>
    <w:p w:rsidR="00EA40A3" w:rsidRDefault="00E86C16">
      <w:pPr>
        <w:spacing w:before="76" w:line="249" w:lineRule="exact"/>
        <w:rPr>
          <w:rFonts w:ascii="宋体" w:eastAsia="宋体" w:hAnsi="宋体" w:cs="宋体"/>
          <w:sz w:val="15"/>
          <w:szCs w:val="15"/>
        </w:rPr>
      </w:pPr>
      <w:r>
        <w:rPr>
          <w:rFonts w:ascii="宋体" w:eastAsia="宋体" w:hAnsi="宋体" w:cs="宋体"/>
          <w:spacing w:val="15"/>
          <w:position w:val="7"/>
          <w:sz w:val="15"/>
          <w:szCs w:val="15"/>
        </w:rPr>
        <w:t>林晓明，李勇.2004.高级营养学.北京：北京大学出版社</w:t>
      </w:r>
    </w:p>
    <w:p w:rsidR="00EA40A3" w:rsidRDefault="00E86C16">
      <w:pPr>
        <w:spacing w:line="218" w:lineRule="auto"/>
        <w:rPr>
          <w:rFonts w:ascii="宋体" w:eastAsia="宋体" w:hAnsi="宋体" w:cs="宋体"/>
          <w:sz w:val="15"/>
          <w:szCs w:val="15"/>
        </w:rPr>
      </w:pPr>
      <w:r>
        <w:rPr>
          <w:rFonts w:ascii="宋体" w:eastAsia="宋体" w:hAnsi="宋体" w:cs="宋体"/>
          <w:spacing w:val="14"/>
          <w:sz w:val="15"/>
          <w:szCs w:val="15"/>
        </w:rPr>
        <w:t>刘志皋.</w:t>
      </w:r>
      <w:r>
        <w:rPr>
          <w:rFonts w:ascii="宋体" w:eastAsia="宋体" w:hAnsi="宋体" w:cs="宋体"/>
          <w:spacing w:val="-43"/>
          <w:sz w:val="15"/>
          <w:szCs w:val="15"/>
        </w:rPr>
        <w:t xml:space="preserve"> </w:t>
      </w:r>
      <w:r>
        <w:rPr>
          <w:rFonts w:ascii="宋体" w:eastAsia="宋体" w:hAnsi="宋体" w:cs="宋体"/>
          <w:spacing w:val="14"/>
          <w:sz w:val="15"/>
          <w:szCs w:val="15"/>
        </w:rPr>
        <w:t>1991.食品营养学.北京：中国</w:t>
      </w:r>
      <w:r>
        <w:rPr>
          <w:rFonts w:ascii="宋体" w:eastAsia="宋体" w:hAnsi="宋体" w:cs="宋体"/>
          <w:spacing w:val="13"/>
          <w:sz w:val="15"/>
          <w:szCs w:val="15"/>
        </w:rPr>
        <w:t>轻工业出版社</w:t>
      </w:r>
    </w:p>
    <w:p w:rsidR="00EA40A3" w:rsidRDefault="00E86C16">
      <w:pPr>
        <w:spacing w:before="73" w:line="269" w:lineRule="auto"/>
        <w:ind w:right="15"/>
        <w:rPr>
          <w:rFonts w:ascii="宋体" w:eastAsia="宋体" w:hAnsi="宋体" w:cs="宋体"/>
          <w:sz w:val="15"/>
          <w:szCs w:val="15"/>
        </w:rPr>
      </w:pPr>
      <w:r>
        <w:rPr>
          <w:rFonts w:ascii="宋体" w:eastAsia="宋体" w:hAnsi="宋体" w:cs="宋体"/>
          <w:spacing w:val="20"/>
          <w:sz w:val="15"/>
          <w:szCs w:val="15"/>
        </w:rPr>
        <w:t>马凤楼，许超</w:t>
      </w:r>
      <w:r>
        <w:rPr>
          <w:rFonts w:ascii="宋体" w:eastAsia="宋体" w:hAnsi="宋体" w:cs="宋体"/>
          <w:spacing w:val="-23"/>
          <w:sz w:val="15"/>
          <w:szCs w:val="15"/>
        </w:rPr>
        <w:t xml:space="preserve"> </w:t>
      </w:r>
      <w:r>
        <w:rPr>
          <w:rFonts w:ascii="宋体" w:eastAsia="宋体" w:hAnsi="宋体" w:cs="宋体"/>
          <w:spacing w:val="20"/>
          <w:sz w:val="15"/>
          <w:szCs w:val="15"/>
        </w:rPr>
        <w:t>.</w:t>
      </w:r>
      <w:r>
        <w:rPr>
          <w:rFonts w:ascii="宋体" w:eastAsia="宋体" w:hAnsi="宋体" w:cs="宋体"/>
          <w:spacing w:val="-32"/>
          <w:sz w:val="15"/>
          <w:szCs w:val="15"/>
        </w:rPr>
        <w:t xml:space="preserve"> </w:t>
      </w:r>
      <w:r>
        <w:rPr>
          <w:rFonts w:ascii="宋体" w:eastAsia="宋体" w:hAnsi="宋体" w:cs="宋体"/>
          <w:spacing w:val="20"/>
          <w:sz w:val="15"/>
          <w:szCs w:val="15"/>
        </w:rPr>
        <w:t>1999</w:t>
      </w:r>
      <w:r>
        <w:rPr>
          <w:rFonts w:ascii="宋体" w:eastAsia="宋体" w:hAnsi="宋体" w:cs="宋体"/>
          <w:spacing w:val="-39"/>
          <w:sz w:val="15"/>
          <w:szCs w:val="15"/>
        </w:rPr>
        <w:t xml:space="preserve"> </w:t>
      </w:r>
      <w:r>
        <w:rPr>
          <w:rFonts w:ascii="宋体" w:eastAsia="宋体" w:hAnsi="宋体" w:cs="宋体"/>
          <w:spacing w:val="20"/>
          <w:sz w:val="15"/>
          <w:szCs w:val="15"/>
        </w:rPr>
        <w:t>.</w:t>
      </w:r>
      <w:r>
        <w:rPr>
          <w:rFonts w:ascii="宋体" w:eastAsia="宋体" w:hAnsi="宋体" w:cs="宋体"/>
          <w:spacing w:val="-44"/>
          <w:sz w:val="15"/>
          <w:szCs w:val="15"/>
        </w:rPr>
        <w:t xml:space="preserve"> </w:t>
      </w:r>
      <w:r>
        <w:rPr>
          <w:rFonts w:ascii="宋体" w:eastAsia="宋体" w:hAnsi="宋体" w:cs="宋体"/>
          <w:spacing w:val="20"/>
          <w:sz w:val="15"/>
          <w:szCs w:val="15"/>
        </w:rPr>
        <w:t>近五十年来中国居民食物消费与营养、健康状况回顾</w:t>
      </w:r>
      <w:r>
        <w:rPr>
          <w:rFonts w:ascii="宋体" w:eastAsia="宋体" w:hAnsi="宋体" w:cs="宋体"/>
          <w:spacing w:val="-39"/>
          <w:sz w:val="15"/>
          <w:szCs w:val="15"/>
        </w:rPr>
        <w:t xml:space="preserve"> </w:t>
      </w:r>
      <w:r>
        <w:rPr>
          <w:rFonts w:ascii="宋体" w:eastAsia="宋体" w:hAnsi="宋体" w:cs="宋体"/>
          <w:spacing w:val="20"/>
          <w:sz w:val="15"/>
          <w:szCs w:val="15"/>
        </w:rPr>
        <w:t>.</w:t>
      </w:r>
      <w:r>
        <w:rPr>
          <w:rFonts w:ascii="宋体" w:eastAsia="宋体" w:hAnsi="宋体" w:cs="宋体"/>
          <w:spacing w:val="-39"/>
          <w:sz w:val="15"/>
          <w:szCs w:val="15"/>
        </w:rPr>
        <w:t xml:space="preserve"> </w:t>
      </w:r>
      <w:r>
        <w:rPr>
          <w:rFonts w:ascii="宋体" w:eastAsia="宋体" w:hAnsi="宋体" w:cs="宋体"/>
          <w:spacing w:val="20"/>
          <w:sz w:val="15"/>
          <w:szCs w:val="15"/>
        </w:rPr>
        <w:t>营养学报，21(3):</w:t>
      </w:r>
      <w:r>
        <w:rPr>
          <w:rFonts w:ascii="宋体" w:eastAsia="宋体" w:hAnsi="宋体" w:cs="宋体"/>
          <w:sz w:val="15"/>
          <w:szCs w:val="15"/>
        </w:rPr>
        <w:t xml:space="preserve"> </w:t>
      </w:r>
      <w:r>
        <w:rPr>
          <w:rFonts w:ascii="宋体" w:eastAsia="宋体" w:hAnsi="宋体" w:cs="宋体"/>
          <w:spacing w:val="-1"/>
          <w:sz w:val="15"/>
          <w:szCs w:val="15"/>
        </w:rPr>
        <w:t>249～257</w:t>
      </w:r>
    </w:p>
    <w:p w:rsidR="00EA40A3" w:rsidRDefault="00E86C16">
      <w:pPr>
        <w:spacing w:before="120" w:line="216" w:lineRule="auto"/>
        <w:rPr>
          <w:rFonts w:ascii="宋体" w:eastAsia="宋体" w:hAnsi="宋体" w:cs="宋体"/>
          <w:sz w:val="15"/>
          <w:szCs w:val="15"/>
        </w:rPr>
      </w:pPr>
      <w:r>
        <w:rPr>
          <w:rFonts w:ascii="宋体" w:eastAsia="宋体" w:hAnsi="宋体" w:cs="宋体"/>
          <w:spacing w:val="12"/>
          <w:sz w:val="15"/>
          <w:szCs w:val="15"/>
        </w:rPr>
        <w:t>塞泽尔</w:t>
      </w:r>
      <w:r>
        <w:rPr>
          <w:rFonts w:ascii="宋体" w:eastAsia="宋体" w:hAnsi="宋体" w:cs="宋体"/>
          <w:spacing w:val="-24"/>
          <w:sz w:val="15"/>
          <w:szCs w:val="15"/>
        </w:rPr>
        <w:t xml:space="preserve"> </w:t>
      </w:r>
      <w:r>
        <w:rPr>
          <w:rFonts w:ascii="宋体" w:eastAsia="宋体" w:hAnsi="宋体" w:cs="宋体"/>
          <w:sz w:val="15"/>
          <w:szCs w:val="15"/>
        </w:rPr>
        <w:t>F</w:t>
      </w:r>
      <w:r>
        <w:rPr>
          <w:rFonts w:ascii="宋体" w:eastAsia="宋体" w:hAnsi="宋体" w:cs="宋体"/>
          <w:spacing w:val="66"/>
          <w:sz w:val="15"/>
          <w:szCs w:val="15"/>
        </w:rPr>
        <w:t xml:space="preserve"> </w:t>
      </w:r>
      <w:r>
        <w:rPr>
          <w:rFonts w:ascii="宋体" w:eastAsia="宋体" w:hAnsi="宋体" w:cs="宋体"/>
          <w:sz w:val="15"/>
          <w:szCs w:val="15"/>
        </w:rPr>
        <w:t>S</w:t>
      </w:r>
      <w:r>
        <w:rPr>
          <w:rFonts w:ascii="宋体" w:eastAsia="宋体" w:hAnsi="宋体" w:cs="宋体"/>
          <w:spacing w:val="12"/>
          <w:sz w:val="15"/>
          <w:szCs w:val="15"/>
        </w:rPr>
        <w:t>,</w:t>
      </w:r>
      <w:r>
        <w:rPr>
          <w:rFonts w:ascii="宋体" w:eastAsia="宋体" w:hAnsi="宋体" w:cs="宋体"/>
          <w:spacing w:val="-41"/>
          <w:sz w:val="15"/>
          <w:szCs w:val="15"/>
        </w:rPr>
        <w:t xml:space="preserve"> </w:t>
      </w:r>
      <w:r>
        <w:rPr>
          <w:rFonts w:ascii="宋体" w:eastAsia="宋体" w:hAnsi="宋体" w:cs="宋体"/>
          <w:spacing w:val="12"/>
          <w:sz w:val="15"/>
          <w:szCs w:val="15"/>
        </w:rPr>
        <w:t>惠特尼</w:t>
      </w:r>
      <w:r>
        <w:rPr>
          <w:rFonts w:ascii="宋体" w:eastAsia="宋体" w:hAnsi="宋体" w:cs="宋体"/>
          <w:sz w:val="15"/>
          <w:szCs w:val="15"/>
        </w:rPr>
        <w:t>E</w:t>
      </w:r>
      <w:r>
        <w:rPr>
          <w:rFonts w:ascii="宋体" w:eastAsia="宋体" w:hAnsi="宋体" w:cs="宋体"/>
          <w:spacing w:val="9"/>
          <w:sz w:val="15"/>
          <w:szCs w:val="15"/>
        </w:rPr>
        <w:t xml:space="preserve">   </w:t>
      </w:r>
      <w:r>
        <w:rPr>
          <w:rFonts w:ascii="宋体" w:eastAsia="宋体" w:hAnsi="宋体" w:cs="宋体"/>
          <w:sz w:val="15"/>
          <w:szCs w:val="15"/>
        </w:rPr>
        <w:t>N</w:t>
      </w:r>
      <w:r>
        <w:rPr>
          <w:rFonts w:ascii="宋体" w:eastAsia="宋体" w:hAnsi="宋体" w:cs="宋体"/>
          <w:spacing w:val="12"/>
          <w:sz w:val="15"/>
          <w:szCs w:val="15"/>
        </w:rPr>
        <w:t>.2004.</w:t>
      </w:r>
      <w:r>
        <w:rPr>
          <w:rFonts w:ascii="宋体" w:eastAsia="宋体" w:hAnsi="宋体" w:cs="宋体"/>
          <w:spacing w:val="-22"/>
          <w:sz w:val="15"/>
          <w:szCs w:val="15"/>
        </w:rPr>
        <w:t xml:space="preserve"> </w:t>
      </w:r>
      <w:r>
        <w:rPr>
          <w:rFonts w:ascii="宋体" w:eastAsia="宋体" w:hAnsi="宋体" w:cs="宋体"/>
          <w:spacing w:val="12"/>
          <w:sz w:val="15"/>
          <w:szCs w:val="15"/>
        </w:rPr>
        <w:t>营养学</w:t>
      </w:r>
      <w:r>
        <w:rPr>
          <w:rFonts w:ascii="宋体" w:eastAsia="宋体" w:hAnsi="宋体" w:cs="宋体"/>
          <w:spacing w:val="-52"/>
          <w:sz w:val="15"/>
          <w:szCs w:val="15"/>
        </w:rPr>
        <w:t xml:space="preserve"> </w:t>
      </w:r>
      <w:r>
        <w:rPr>
          <w:rFonts w:ascii="宋体" w:eastAsia="宋体" w:hAnsi="宋体" w:cs="宋体"/>
          <w:spacing w:val="12"/>
          <w:sz w:val="15"/>
          <w:szCs w:val="15"/>
        </w:rPr>
        <w:t>—</w:t>
      </w:r>
      <w:r>
        <w:rPr>
          <w:rFonts w:ascii="宋体" w:eastAsia="宋体" w:hAnsi="宋体" w:cs="宋体"/>
          <w:spacing w:val="-52"/>
          <w:sz w:val="15"/>
          <w:szCs w:val="15"/>
        </w:rPr>
        <w:t xml:space="preserve"> </w:t>
      </w:r>
      <w:r>
        <w:rPr>
          <w:rFonts w:ascii="宋体" w:eastAsia="宋体" w:hAnsi="宋体" w:cs="宋体"/>
          <w:spacing w:val="12"/>
          <w:sz w:val="15"/>
          <w:szCs w:val="15"/>
        </w:rPr>
        <w:t>—</w:t>
      </w:r>
      <w:r>
        <w:rPr>
          <w:rFonts w:ascii="宋体" w:eastAsia="宋体" w:hAnsi="宋体" w:cs="宋体"/>
          <w:spacing w:val="-50"/>
          <w:sz w:val="15"/>
          <w:szCs w:val="15"/>
        </w:rPr>
        <w:t xml:space="preserve"> </w:t>
      </w:r>
      <w:r>
        <w:rPr>
          <w:rFonts w:ascii="宋体" w:eastAsia="宋体" w:hAnsi="宋体" w:cs="宋体"/>
          <w:spacing w:val="12"/>
          <w:sz w:val="15"/>
          <w:szCs w:val="15"/>
        </w:rPr>
        <w:t>概念与争论.第8版.王希成主译.北京：清华大学出版社</w:t>
      </w:r>
    </w:p>
    <w:p w:rsidR="00EA40A3" w:rsidRDefault="00E86C16">
      <w:pPr>
        <w:spacing w:before="76" w:line="219" w:lineRule="auto"/>
        <w:rPr>
          <w:rFonts w:ascii="宋体" w:eastAsia="宋体" w:hAnsi="宋体" w:cs="宋体"/>
          <w:sz w:val="15"/>
          <w:szCs w:val="15"/>
        </w:rPr>
      </w:pPr>
      <w:r>
        <w:rPr>
          <w:rFonts w:ascii="宋体" w:eastAsia="宋体" w:hAnsi="宋体" w:cs="宋体"/>
          <w:spacing w:val="16"/>
          <w:sz w:val="15"/>
          <w:szCs w:val="15"/>
        </w:rPr>
        <w:t>世界营养会议.</w:t>
      </w:r>
      <w:r>
        <w:rPr>
          <w:rFonts w:ascii="宋体" w:eastAsia="宋体" w:hAnsi="宋体" w:cs="宋体"/>
          <w:spacing w:val="-31"/>
          <w:sz w:val="15"/>
          <w:szCs w:val="15"/>
        </w:rPr>
        <w:t xml:space="preserve"> </w:t>
      </w:r>
      <w:r>
        <w:rPr>
          <w:rFonts w:ascii="宋体" w:eastAsia="宋体" w:hAnsi="宋体" w:cs="宋体"/>
          <w:spacing w:val="16"/>
          <w:sz w:val="15"/>
          <w:szCs w:val="15"/>
        </w:rPr>
        <w:t>1994.世界营养宣言.营养学报，16(1):1～5</w:t>
      </w:r>
    </w:p>
    <w:p w:rsidR="00EA40A3" w:rsidRDefault="00E86C16">
      <w:pPr>
        <w:spacing w:before="73" w:line="219" w:lineRule="auto"/>
        <w:rPr>
          <w:rFonts w:ascii="宋体" w:eastAsia="宋体" w:hAnsi="宋体" w:cs="宋体"/>
          <w:sz w:val="15"/>
          <w:szCs w:val="15"/>
        </w:rPr>
      </w:pPr>
      <w:r>
        <w:rPr>
          <w:rFonts w:ascii="宋体" w:eastAsia="宋体" w:hAnsi="宋体" w:cs="宋体"/>
          <w:spacing w:val="13"/>
          <w:sz w:val="15"/>
          <w:szCs w:val="15"/>
        </w:rPr>
        <w:t>孙远明，余群力.2002.食品营养学.北京：中国农业大学出版社</w:t>
      </w:r>
    </w:p>
    <w:p w:rsidR="00EA40A3" w:rsidRDefault="00E86C16">
      <w:pPr>
        <w:spacing w:before="71" w:line="219" w:lineRule="auto"/>
        <w:rPr>
          <w:rFonts w:ascii="宋体" w:eastAsia="宋体" w:hAnsi="宋体" w:cs="宋体"/>
          <w:sz w:val="15"/>
          <w:szCs w:val="15"/>
        </w:rPr>
      </w:pPr>
      <w:r>
        <w:rPr>
          <w:rFonts w:ascii="宋体" w:eastAsia="宋体" w:hAnsi="宋体" w:cs="宋体"/>
          <w:spacing w:val="12"/>
          <w:sz w:val="15"/>
          <w:szCs w:val="15"/>
        </w:rPr>
        <w:t>王玉英，陈春明，何武.2000.1990～1998年中国食物消费与膳食结构.卫生研究，(5):288～293</w:t>
      </w:r>
    </w:p>
    <w:p w:rsidR="00EA40A3" w:rsidRDefault="00E86C16">
      <w:pPr>
        <w:spacing w:before="72" w:line="270" w:lineRule="auto"/>
        <w:ind w:right="46"/>
        <w:rPr>
          <w:rFonts w:ascii="宋体" w:eastAsia="宋体" w:hAnsi="宋体" w:cs="宋体"/>
          <w:sz w:val="15"/>
          <w:szCs w:val="15"/>
        </w:rPr>
      </w:pPr>
      <w:r>
        <w:rPr>
          <w:rFonts w:ascii="宋体" w:eastAsia="宋体" w:hAnsi="宋体" w:cs="宋体"/>
          <w:spacing w:val="11"/>
          <w:sz w:val="15"/>
          <w:szCs w:val="15"/>
        </w:rPr>
        <w:t>卫生部，科技部，国家统计局.2004.</w:t>
      </w:r>
      <w:r>
        <w:rPr>
          <w:rFonts w:ascii="宋体" w:eastAsia="宋体" w:hAnsi="宋体" w:cs="宋体"/>
          <w:spacing w:val="-29"/>
          <w:sz w:val="15"/>
          <w:szCs w:val="15"/>
        </w:rPr>
        <w:t xml:space="preserve"> </w:t>
      </w:r>
      <w:r>
        <w:rPr>
          <w:rFonts w:ascii="宋体" w:eastAsia="宋体" w:hAnsi="宋体" w:cs="宋体"/>
          <w:spacing w:val="11"/>
          <w:sz w:val="15"/>
          <w:szCs w:val="15"/>
        </w:rPr>
        <w:t>中国居民营养与健康现状，中国心血管病研究杂志，2(12):919~</w:t>
      </w:r>
      <w:r>
        <w:rPr>
          <w:rFonts w:ascii="宋体" w:eastAsia="宋体" w:hAnsi="宋体" w:cs="宋体"/>
          <w:sz w:val="15"/>
          <w:szCs w:val="15"/>
        </w:rPr>
        <w:t xml:space="preserve"> </w:t>
      </w:r>
      <w:r>
        <w:rPr>
          <w:rFonts w:ascii="宋体" w:eastAsia="宋体" w:hAnsi="宋体" w:cs="宋体"/>
          <w:spacing w:val="-2"/>
          <w:sz w:val="15"/>
          <w:szCs w:val="15"/>
        </w:rPr>
        <w:t>922</w:t>
      </w:r>
    </w:p>
    <w:p w:rsidR="00EA40A3" w:rsidRDefault="00E86C16">
      <w:pPr>
        <w:spacing w:before="82" w:line="219" w:lineRule="auto"/>
        <w:rPr>
          <w:rFonts w:ascii="宋体" w:eastAsia="宋体" w:hAnsi="宋体" w:cs="宋体"/>
          <w:sz w:val="15"/>
          <w:szCs w:val="15"/>
        </w:rPr>
      </w:pPr>
      <w:r>
        <w:rPr>
          <w:rFonts w:ascii="宋体" w:eastAsia="宋体" w:hAnsi="宋体" w:cs="宋体"/>
          <w:spacing w:val="11"/>
          <w:sz w:val="15"/>
          <w:szCs w:val="15"/>
        </w:rPr>
        <w:t>张桐.</w:t>
      </w:r>
      <w:r>
        <w:rPr>
          <w:rFonts w:ascii="宋体" w:eastAsia="宋体" w:hAnsi="宋体" w:cs="宋体"/>
          <w:spacing w:val="52"/>
          <w:sz w:val="15"/>
          <w:szCs w:val="15"/>
        </w:rPr>
        <w:t xml:space="preserve"> </w:t>
      </w:r>
      <w:r>
        <w:rPr>
          <w:rFonts w:ascii="宋体" w:eastAsia="宋体" w:hAnsi="宋体" w:cs="宋体"/>
          <w:spacing w:val="11"/>
          <w:sz w:val="15"/>
          <w:szCs w:val="15"/>
        </w:rPr>
        <w:t>1999.</w:t>
      </w:r>
      <w:r>
        <w:rPr>
          <w:rFonts w:ascii="宋体" w:eastAsia="宋体" w:hAnsi="宋体" w:cs="宋体"/>
          <w:spacing w:val="-41"/>
          <w:sz w:val="15"/>
          <w:szCs w:val="15"/>
        </w:rPr>
        <w:t xml:space="preserve"> </w:t>
      </w:r>
      <w:r>
        <w:rPr>
          <w:rFonts w:ascii="宋体" w:eastAsia="宋体" w:hAnsi="宋体" w:cs="宋体"/>
          <w:spacing w:val="11"/>
          <w:sz w:val="15"/>
          <w:szCs w:val="15"/>
        </w:rPr>
        <w:t>中国食物消费与营养改善的成就.</w:t>
      </w:r>
      <w:r>
        <w:rPr>
          <w:rFonts w:ascii="宋体" w:eastAsia="宋体" w:hAnsi="宋体" w:cs="宋体"/>
          <w:spacing w:val="-40"/>
          <w:sz w:val="15"/>
          <w:szCs w:val="15"/>
        </w:rPr>
        <w:t xml:space="preserve"> </w:t>
      </w:r>
      <w:r>
        <w:rPr>
          <w:rFonts w:ascii="宋体" w:eastAsia="宋体" w:hAnsi="宋体" w:cs="宋体"/>
          <w:spacing w:val="11"/>
          <w:sz w:val="15"/>
          <w:szCs w:val="15"/>
        </w:rPr>
        <w:t>中国食物与营养，(5):1~4</w:t>
      </w:r>
    </w:p>
    <w:p w:rsidR="00EA40A3" w:rsidRDefault="00E86C16">
      <w:pPr>
        <w:spacing w:before="73" w:line="219" w:lineRule="auto"/>
        <w:rPr>
          <w:rFonts w:ascii="宋体" w:eastAsia="宋体" w:hAnsi="宋体" w:cs="宋体"/>
          <w:sz w:val="15"/>
          <w:szCs w:val="15"/>
        </w:rPr>
      </w:pPr>
      <w:r>
        <w:rPr>
          <w:rFonts w:ascii="宋体" w:eastAsia="宋体" w:hAnsi="宋体" w:cs="宋体"/>
          <w:spacing w:val="14"/>
          <w:sz w:val="15"/>
          <w:szCs w:val="15"/>
        </w:rPr>
        <w:t>中国食物与营养发展纲要(2001～2010年).2001.</w:t>
      </w:r>
      <w:r>
        <w:rPr>
          <w:rFonts w:ascii="宋体" w:eastAsia="宋体" w:hAnsi="宋体" w:cs="宋体"/>
          <w:spacing w:val="-24"/>
          <w:sz w:val="15"/>
          <w:szCs w:val="15"/>
        </w:rPr>
        <w:t xml:space="preserve"> </w:t>
      </w:r>
      <w:r>
        <w:rPr>
          <w:rFonts w:ascii="宋体" w:eastAsia="宋体" w:hAnsi="宋体" w:cs="宋体"/>
          <w:spacing w:val="14"/>
          <w:sz w:val="15"/>
          <w:szCs w:val="15"/>
        </w:rPr>
        <w:t>中国食物营养，(6):5~10</w:t>
      </w:r>
    </w:p>
    <w:p w:rsidR="00EA40A3" w:rsidRDefault="00E86C16">
      <w:pPr>
        <w:spacing w:before="72" w:line="219" w:lineRule="auto"/>
        <w:rPr>
          <w:rFonts w:ascii="宋体" w:eastAsia="宋体" w:hAnsi="宋体" w:cs="宋体"/>
          <w:sz w:val="15"/>
          <w:szCs w:val="15"/>
        </w:rPr>
      </w:pPr>
      <w:r>
        <w:rPr>
          <w:rFonts w:ascii="宋体" w:eastAsia="宋体" w:hAnsi="宋体" w:cs="宋体"/>
          <w:spacing w:val="13"/>
          <w:sz w:val="15"/>
          <w:szCs w:val="15"/>
        </w:rPr>
        <w:t>中国营养改善行动计划.</w:t>
      </w:r>
      <w:r>
        <w:rPr>
          <w:rFonts w:ascii="宋体" w:eastAsia="宋体" w:hAnsi="宋体" w:cs="宋体"/>
          <w:spacing w:val="-44"/>
          <w:sz w:val="15"/>
          <w:szCs w:val="15"/>
        </w:rPr>
        <w:t xml:space="preserve"> </w:t>
      </w:r>
      <w:r>
        <w:rPr>
          <w:rFonts w:ascii="宋体" w:eastAsia="宋体" w:hAnsi="宋体" w:cs="宋体"/>
          <w:spacing w:val="13"/>
          <w:sz w:val="15"/>
          <w:szCs w:val="15"/>
        </w:rPr>
        <w:t>1998.营养学报，20(2):1</w:t>
      </w:r>
      <w:r>
        <w:rPr>
          <w:rFonts w:ascii="宋体" w:eastAsia="宋体" w:hAnsi="宋体" w:cs="宋体"/>
          <w:spacing w:val="12"/>
          <w:sz w:val="15"/>
          <w:szCs w:val="15"/>
        </w:rPr>
        <w:t>21～126</w:t>
      </w:r>
    </w:p>
    <w:p w:rsidR="00EA40A3" w:rsidRDefault="00E86C16">
      <w:pPr>
        <w:spacing w:before="71" w:line="219" w:lineRule="auto"/>
        <w:rPr>
          <w:rFonts w:ascii="宋体" w:eastAsia="宋体" w:hAnsi="宋体" w:cs="宋体"/>
          <w:sz w:val="15"/>
          <w:szCs w:val="15"/>
        </w:rPr>
      </w:pPr>
      <w:r>
        <w:rPr>
          <w:rFonts w:ascii="宋体" w:eastAsia="宋体" w:hAnsi="宋体" w:cs="宋体"/>
          <w:spacing w:val="13"/>
          <w:sz w:val="15"/>
          <w:szCs w:val="15"/>
        </w:rPr>
        <w:t>中国营养学会.</w:t>
      </w:r>
      <w:r>
        <w:rPr>
          <w:rFonts w:ascii="宋体" w:eastAsia="宋体" w:hAnsi="宋体" w:cs="宋体"/>
          <w:spacing w:val="-44"/>
          <w:sz w:val="15"/>
          <w:szCs w:val="15"/>
        </w:rPr>
        <w:t xml:space="preserve"> </w:t>
      </w:r>
      <w:r>
        <w:rPr>
          <w:rFonts w:ascii="宋体" w:eastAsia="宋体" w:hAnsi="宋体" w:cs="宋体"/>
          <w:spacing w:val="13"/>
          <w:sz w:val="15"/>
          <w:szCs w:val="15"/>
        </w:rPr>
        <w:t>1995.我国营养科学研究的进展</w:t>
      </w:r>
      <w:r>
        <w:rPr>
          <w:rFonts w:ascii="宋体" w:eastAsia="宋体" w:hAnsi="宋体" w:cs="宋体"/>
          <w:spacing w:val="12"/>
          <w:sz w:val="15"/>
          <w:szCs w:val="15"/>
        </w:rPr>
        <w:t>。营养学报，17(3):243～252</w:t>
      </w:r>
    </w:p>
    <w:p w:rsidR="00EA40A3" w:rsidRDefault="00E86C16">
      <w:pPr>
        <w:spacing w:before="72" w:line="219" w:lineRule="auto"/>
        <w:rPr>
          <w:rFonts w:ascii="宋体" w:eastAsia="宋体" w:hAnsi="宋体" w:cs="宋体"/>
          <w:sz w:val="15"/>
          <w:szCs w:val="15"/>
        </w:rPr>
      </w:pPr>
      <w:r>
        <w:rPr>
          <w:rFonts w:ascii="宋体" w:eastAsia="宋体" w:hAnsi="宋体" w:cs="宋体"/>
          <w:spacing w:val="12"/>
          <w:sz w:val="15"/>
          <w:szCs w:val="15"/>
        </w:rPr>
        <w:t>中国营养学会.2000.</w:t>
      </w:r>
      <w:r>
        <w:rPr>
          <w:rFonts w:ascii="宋体" w:eastAsia="宋体" w:hAnsi="宋体" w:cs="宋体"/>
          <w:spacing w:val="-42"/>
          <w:sz w:val="15"/>
          <w:szCs w:val="15"/>
        </w:rPr>
        <w:t xml:space="preserve"> </w:t>
      </w:r>
      <w:r>
        <w:rPr>
          <w:rFonts w:ascii="宋体" w:eastAsia="宋体" w:hAnsi="宋体" w:cs="宋体"/>
          <w:spacing w:val="12"/>
          <w:sz w:val="15"/>
          <w:szCs w:val="15"/>
        </w:rPr>
        <w:t>中国居民膳食营养素参考摄入量.北京</w:t>
      </w:r>
      <w:r>
        <w:rPr>
          <w:rFonts w:ascii="宋体" w:eastAsia="宋体" w:hAnsi="宋体" w:cs="宋体"/>
          <w:spacing w:val="11"/>
          <w:sz w:val="15"/>
          <w:szCs w:val="15"/>
        </w:rPr>
        <w:t>：中国轻工业出版社</w:t>
      </w:r>
    </w:p>
    <w:p w:rsidR="00EA40A3" w:rsidRDefault="00E86C16">
      <w:pPr>
        <w:spacing w:before="79" w:line="270" w:lineRule="auto"/>
        <w:ind w:right="39"/>
        <w:rPr>
          <w:rFonts w:ascii="Times New Roman" w:eastAsia="Times New Roman" w:hAnsi="Times New Roman" w:cs="Times New Roman"/>
          <w:sz w:val="15"/>
          <w:szCs w:val="15"/>
        </w:rPr>
      </w:pPr>
      <w:r>
        <w:rPr>
          <w:rFonts w:ascii="Times New Roman" w:eastAsia="Times New Roman" w:hAnsi="Times New Roman" w:cs="Times New Roman"/>
          <w:sz w:val="15"/>
          <w:szCs w:val="15"/>
        </w:rPr>
        <w:t>Amera</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A</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Breub</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z w:val="15"/>
          <w:szCs w:val="15"/>
        </w:rPr>
        <w:t>J</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McDermottb</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z w:val="15"/>
          <w:szCs w:val="15"/>
        </w:rPr>
        <w:t>J</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et</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al</w:t>
      </w:r>
      <w:r>
        <w:rPr>
          <w:rFonts w:ascii="Times New Roman" w:eastAsia="Times New Roman" w:hAnsi="Times New Roman" w:cs="Times New Roman"/>
          <w:spacing w:val="-1"/>
          <w:sz w:val="15"/>
          <w:szCs w:val="15"/>
        </w:rPr>
        <w:t>.</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pacing w:val="-1"/>
          <w:sz w:val="15"/>
          <w:szCs w:val="15"/>
        </w:rPr>
        <w:t>2004.5-Hydroxy-L-tryptophan</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suppresses</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food</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intake</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pacing w:val="-1"/>
          <w:sz w:val="15"/>
          <w:szCs w:val="15"/>
        </w:rPr>
        <w:t>in</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food</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de-</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prived    and</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stressed</w:t>
      </w:r>
      <w:r>
        <w:rPr>
          <w:rFonts w:ascii="Times New Roman" w:eastAsia="Times New Roman" w:hAnsi="Times New Roman" w:cs="Times New Roman"/>
          <w:spacing w:val="11"/>
          <w:w w:val="101"/>
          <w:sz w:val="15"/>
          <w:szCs w:val="15"/>
        </w:rPr>
        <w:t xml:space="preserve">   </w:t>
      </w:r>
      <w:r>
        <w:rPr>
          <w:rFonts w:ascii="Times New Roman" w:eastAsia="Times New Roman" w:hAnsi="Times New Roman" w:cs="Times New Roman"/>
          <w:sz w:val="15"/>
          <w:szCs w:val="15"/>
        </w:rPr>
        <w:t>rats</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pharmacology</w:t>
      </w:r>
      <w:r>
        <w:rPr>
          <w:rFonts w:ascii="Times New Roman" w:eastAsia="Times New Roman" w:hAnsi="Times New Roman" w:cs="Times New Roman"/>
          <w:spacing w:val="-1"/>
          <w:sz w:val="15"/>
          <w:szCs w:val="15"/>
        </w:rPr>
        <w:t>.</w:t>
      </w:r>
      <w:r>
        <w:rPr>
          <w:rFonts w:ascii="Times New Roman" w:eastAsia="Times New Roman" w:hAnsi="Times New Roman" w:cs="Times New Roman"/>
          <w:spacing w:val="12"/>
          <w:sz w:val="15"/>
          <w:szCs w:val="15"/>
        </w:rPr>
        <w:t xml:space="preserve">   </w:t>
      </w:r>
      <w:r>
        <w:rPr>
          <w:rFonts w:ascii="Times New Roman" w:eastAsia="Times New Roman" w:hAnsi="Times New Roman" w:cs="Times New Roman"/>
          <w:sz w:val="15"/>
          <w:szCs w:val="15"/>
        </w:rPr>
        <w:t>Biochemis</w:t>
      </w:r>
      <w:r>
        <w:rPr>
          <w:rFonts w:ascii="Times New Roman" w:eastAsia="Times New Roman" w:hAnsi="Times New Roman" w:cs="Times New Roman"/>
          <w:spacing w:val="-1"/>
          <w:sz w:val="15"/>
          <w:szCs w:val="15"/>
        </w:rPr>
        <w:t>try</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1"/>
          <w:sz w:val="15"/>
          <w:szCs w:val="15"/>
        </w:rPr>
        <w:t>and</w:t>
      </w:r>
      <w:r>
        <w:rPr>
          <w:rFonts w:ascii="Times New Roman" w:eastAsia="Times New Roman" w:hAnsi="Times New Roman" w:cs="Times New Roman"/>
          <w:spacing w:val="12"/>
          <w:w w:val="102"/>
          <w:sz w:val="15"/>
          <w:szCs w:val="15"/>
        </w:rPr>
        <w:t xml:space="preserve">   </w:t>
      </w:r>
      <w:r>
        <w:rPr>
          <w:rFonts w:ascii="Times New Roman" w:eastAsia="Times New Roman" w:hAnsi="Times New Roman" w:cs="Times New Roman"/>
          <w:spacing w:val="-1"/>
          <w:sz w:val="15"/>
          <w:szCs w:val="15"/>
        </w:rPr>
        <w:t>Behavior,77:137~143</w:t>
      </w:r>
    </w:p>
    <w:p w:rsidR="00EA40A3" w:rsidRDefault="00E86C16">
      <w:pPr>
        <w:spacing w:before="191" w:line="263" w:lineRule="auto"/>
        <w:rPr>
          <w:rFonts w:ascii="Times New Roman" w:eastAsia="Times New Roman" w:hAnsi="Times New Roman" w:cs="Times New Roman"/>
          <w:sz w:val="15"/>
          <w:szCs w:val="15"/>
        </w:rPr>
      </w:pPr>
      <w:r>
        <w:rPr>
          <w:rFonts w:ascii="Times New Roman" w:eastAsia="Times New Roman" w:hAnsi="Times New Roman" w:cs="Times New Roman"/>
          <w:spacing w:val="-1"/>
          <w:sz w:val="15"/>
          <w:szCs w:val="15"/>
        </w:rPr>
        <w:t>Markus</w:t>
      </w:r>
      <w:r>
        <w:rPr>
          <w:rFonts w:ascii="Times New Roman" w:eastAsia="Times New Roman" w:hAnsi="Times New Roman" w:cs="Times New Roman"/>
          <w:spacing w:val="25"/>
          <w:w w:val="102"/>
          <w:sz w:val="15"/>
          <w:szCs w:val="15"/>
        </w:rPr>
        <w:t xml:space="preserve">  </w:t>
      </w:r>
      <w:r>
        <w:rPr>
          <w:rFonts w:ascii="Times New Roman" w:eastAsia="Times New Roman" w:hAnsi="Times New Roman" w:cs="Times New Roman"/>
          <w:spacing w:val="-1"/>
          <w:sz w:val="15"/>
          <w:szCs w:val="15"/>
        </w:rPr>
        <w:t>C</w:t>
      </w:r>
      <w:r>
        <w:rPr>
          <w:rFonts w:ascii="Times New Roman" w:eastAsia="Times New Roman" w:hAnsi="Times New Roman" w:cs="Times New Roman"/>
          <w:spacing w:val="16"/>
          <w:w w:val="102"/>
          <w:sz w:val="15"/>
          <w:szCs w:val="15"/>
        </w:rPr>
        <w:t xml:space="preserve">  </w:t>
      </w:r>
      <w:r>
        <w:rPr>
          <w:rFonts w:ascii="Times New Roman" w:eastAsia="Times New Roman" w:hAnsi="Times New Roman" w:cs="Times New Roman"/>
          <w:spacing w:val="-1"/>
          <w:sz w:val="15"/>
          <w:szCs w:val="15"/>
        </w:rPr>
        <w:t>R,Panhuysen</w:t>
      </w:r>
      <w:r>
        <w:rPr>
          <w:rFonts w:ascii="Times New Roman" w:eastAsia="Times New Roman" w:hAnsi="Times New Roman" w:cs="Times New Roman"/>
          <w:spacing w:val="18"/>
          <w:sz w:val="15"/>
          <w:szCs w:val="15"/>
        </w:rPr>
        <w:t xml:space="preserve">  </w:t>
      </w:r>
      <w:r>
        <w:rPr>
          <w:rFonts w:ascii="Times New Roman" w:eastAsia="Times New Roman" w:hAnsi="Times New Roman" w:cs="Times New Roman"/>
          <w:spacing w:val="-1"/>
          <w:sz w:val="15"/>
          <w:szCs w:val="15"/>
        </w:rPr>
        <w:t>G,Tuiten</w:t>
      </w:r>
      <w:r>
        <w:rPr>
          <w:rFonts w:ascii="Times New Roman" w:eastAsia="Times New Roman" w:hAnsi="Times New Roman" w:cs="Times New Roman"/>
          <w:spacing w:val="16"/>
          <w:w w:val="101"/>
          <w:sz w:val="15"/>
          <w:szCs w:val="15"/>
        </w:rPr>
        <w:t xml:space="preserve">  </w:t>
      </w:r>
      <w:r>
        <w:rPr>
          <w:rFonts w:ascii="Times New Roman" w:eastAsia="Times New Roman" w:hAnsi="Times New Roman" w:cs="Times New Roman"/>
          <w:spacing w:val="-1"/>
          <w:sz w:val="15"/>
          <w:szCs w:val="15"/>
        </w:rPr>
        <w:t>A</w:t>
      </w:r>
      <w:r>
        <w:rPr>
          <w:rFonts w:ascii="Times New Roman" w:eastAsia="Times New Roman" w:hAnsi="Times New Roman" w:cs="Times New Roman"/>
          <w:spacing w:val="18"/>
          <w:w w:val="101"/>
          <w:sz w:val="15"/>
          <w:szCs w:val="15"/>
        </w:rPr>
        <w:t xml:space="preserve">  </w:t>
      </w:r>
      <w:r>
        <w:rPr>
          <w:rFonts w:ascii="Times New Roman" w:eastAsia="Times New Roman" w:hAnsi="Times New Roman" w:cs="Times New Roman"/>
          <w:spacing w:val="-1"/>
          <w:sz w:val="15"/>
          <w:szCs w:val="15"/>
        </w:rPr>
        <w:t>et</w:t>
      </w:r>
      <w:r>
        <w:rPr>
          <w:rFonts w:ascii="Times New Roman" w:eastAsia="Times New Roman" w:hAnsi="Times New Roman" w:cs="Times New Roman"/>
          <w:spacing w:val="18"/>
          <w:sz w:val="15"/>
          <w:szCs w:val="15"/>
        </w:rPr>
        <w:t xml:space="preserve">  </w:t>
      </w:r>
      <w:r>
        <w:rPr>
          <w:rFonts w:ascii="Times New Roman" w:eastAsia="Times New Roman" w:hAnsi="Times New Roman" w:cs="Times New Roman"/>
          <w:spacing w:val="-1"/>
          <w:sz w:val="15"/>
          <w:szCs w:val="15"/>
        </w:rPr>
        <w:t>al.</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pacing w:val="-1"/>
          <w:sz w:val="15"/>
          <w:szCs w:val="15"/>
        </w:rPr>
        <w:t>1998.</w:t>
      </w:r>
      <w:r>
        <w:rPr>
          <w:rFonts w:ascii="Times New Roman" w:eastAsia="Times New Roman" w:hAnsi="Times New Roman" w:cs="Times New Roman"/>
          <w:spacing w:val="18"/>
          <w:sz w:val="15"/>
          <w:szCs w:val="15"/>
        </w:rPr>
        <w:t xml:space="preserve">  </w:t>
      </w:r>
      <w:r>
        <w:rPr>
          <w:rFonts w:ascii="Times New Roman" w:eastAsia="Times New Roman" w:hAnsi="Times New Roman" w:cs="Times New Roman"/>
          <w:spacing w:val="-1"/>
          <w:sz w:val="15"/>
          <w:szCs w:val="15"/>
        </w:rPr>
        <w:t>Does</w:t>
      </w:r>
      <w:r>
        <w:rPr>
          <w:rFonts w:ascii="Times New Roman" w:eastAsia="Times New Roman" w:hAnsi="Times New Roman" w:cs="Times New Roman"/>
          <w:spacing w:val="18"/>
          <w:w w:val="101"/>
          <w:sz w:val="15"/>
          <w:szCs w:val="15"/>
        </w:rPr>
        <w:t xml:space="preserve">  </w:t>
      </w:r>
      <w:r>
        <w:rPr>
          <w:rFonts w:ascii="Times New Roman" w:eastAsia="Times New Roman" w:hAnsi="Times New Roman" w:cs="Times New Roman"/>
          <w:spacing w:val="-1"/>
          <w:sz w:val="15"/>
          <w:szCs w:val="15"/>
        </w:rPr>
        <w:t>carbohydrate-rich,protein</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pacing w:val="-1"/>
          <w:sz w:val="15"/>
          <w:szCs w:val="15"/>
        </w:rPr>
        <w:t>poor</w:t>
      </w:r>
      <w:r>
        <w:rPr>
          <w:rFonts w:ascii="Times New Roman" w:eastAsia="Times New Roman" w:hAnsi="Times New Roman" w:cs="Times New Roman"/>
          <w:spacing w:val="18"/>
          <w:sz w:val="15"/>
          <w:szCs w:val="15"/>
        </w:rPr>
        <w:t xml:space="preserve">  </w:t>
      </w:r>
      <w:r>
        <w:rPr>
          <w:rFonts w:ascii="Times New Roman" w:eastAsia="Times New Roman" w:hAnsi="Times New Roman" w:cs="Times New Roman"/>
          <w:spacing w:val="-1"/>
          <w:sz w:val="15"/>
          <w:szCs w:val="15"/>
        </w:rPr>
        <w:t>food</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pacing w:val="-1"/>
          <w:sz w:val="15"/>
          <w:szCs w:val="15"/>
        </w:rPr>
        <w:t>prevent</w:t>
      </w:r>
      <w:r>
        <w:rPr>
          <w:rFonts w:ascii="Times New Roman" w:eastAsia="Times New Roman" w:hAnsi="Times New Roman" w:cs="Times New Roman"/>
          <w:spacing w:val="18"/>
          <w:sz w:val="15"/>
          <w:szCs w:val="15"/>
        </w:rPr>
        <w:t xml:space="preserve">  </w:t>
      </w:r>
      <w:r>
        <w:rPr>
          <w:rFonts w:ascii="Times New Roman" w:eastAsia="Times New Roman" w:hAnsi="Times New Roman" w:cs="Times New Roman"/>
          <w:spacing w:val="-1"/>
          <w:sz w:val="15"/>
          <w:szCs w:val="15"/>
        </w:rPr>
        <w:t>a</w:t>
      </w:r>
      <w:r>
        <w:rPr>
          <w:rFonts w:ascii="Times New Roman" w:eastAsia="Times New Roman" w:hAnsi="Times New Roman" w:cs="Times New Roman"/>
          <w:spacing w:val="18"/>
          <w:w w:val="101"/>
          <w:sz w:val="15"/>
          <w:szCs w:val="15"/>
        </w:rPr>
        <w:t xml:space="preserve">  </w:t>
      </w:r>
      <w:r>
        <w:rPr>
          <w:rFonts w:ascii="Times New Roman" w:eastAsia="Times New Roman" w:hAnsi="Times New Roman" w:cs="Times New Roman"/>
          <w:spacing w:val="-1"/>
          <w:sz w:val="15"/>
          <w:szCs w:val="15"/>
        </w:rPr>
        <w:t>dete-</w:t>
      </w:r>
      <w:r>
        <w:rPr>
          <w:rFonts w:ascii="Times New Roman" w:eastAsia="Times New Roman" w:hAnsi="Times New Roman" w:cs="Times New Roman"/>
          <w:sz w:val="15"/>
          <w:szCs w:val="15"/>
        </w:rPr>
        <w:t xml:space="preserve"> rioration</w:t>
      </w:r>
      <w:r>
        <w:rPr>
          <w:rFonts w:ascii="Times New Roman" w:eastAsia="Times New Roman" w:hAnsi="Times New Roman" w:cs="Times New Roman"/>
          <w:spacing w:val="14"/>
          <w:sz w:val="15"/>
          <w:szCs w:val="15"/>
        </w:rPr>
        <w:t xml:space="preserve">  </w:t>
      </w:r>
      <w:r>
        <w:rPr>
          <w:rFonts w:ascii="Times New Roman" w:eastAsia="Times New Roman" w:hAnsi="Times New Roman" w:cs="Times New Roman"/>
          <w:sz w:val="15"/>
          <w:szCs w:val="15"/>
        </w:rPr>
        <w:t>of</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mood</w:t>
      </w:r>
      <w:r>
        <w:rPr>
          <w:rFonts w:ascii="Times New Roman" w:eastAsia="Times New Roman" w:hAnsi="Times New Roman" w:cs="Times New Roman"/>
          <w:spacing w:val="15"/>
          <w:sz w:val="15"/>
          <w:szCs w:val="15"/>
        </w:rPr>
        <w:t xml:space="preserve">  </w:t>
      </w:r>
      <w:r>
        <w:rPr>
          <w:rFonts w:ascii="Times New Roman" w:eastAsia="Times New Roman" w:hAnsi="Times New Roman" w:cs="Times New Roman"/>
          <w:sz w:val="15"/>
          <w:szCs w:val="15"/>
        </w:rPr>
        <w:t>and</w:t>
      </w:r>
      <w:r>
        <w:rPr>
          <w:rFonts w:ascii="Times New Roman" w:eastAsia="Times New Roman" w:hAnsi="Times New Roman" w:cs="Times New Roman"/>
          <w:spacing w:val="14"/>
          <w:w w:val="101"/>
          <w:sz w:val="15"/>
          <w:szCs w:val="15"/>
        </w:rPr>
        <w:t xml:space="preserve">  </w:t>
      </w:r>
      <w:r>
        <w:rPr>
          <w:rFonts w:ascii="Times New Roman" w:eastAsia="Times New Roman" w:hAnsi="Times New Roman" w:cs="Times New Roman"/>
          <w:sz w:val="15"/>
          <w:szCs w:val="15"/>
        </w:rPr>
        <w:t>cognitive</w:t>
      </w:r>
      <w:r>
        <w:rPr>
          <w:rFonts w:ascii="Times New Roman" w:eastAsia="Times New Roman" w:hAnsi="Times New Roman" w:cs="Times New Roman"/>
          <w:spacing w:val="11"/>
          <w:w w:val="102"/>
          <w:sz w:val="15"/>
          <w:szCs w:val="15"/>
        </w:rPr>
        <w:t xml:space="preserve">  </w:t>
      </w:r>
      <w:r>
        <w:rPr>
          <w:rFonts w:ascii="Times New Roman" w:eastAsia="Times New Roman" w:hAnsi="Times New Roman" w:cs="Times New Roman"/>
          <w:sz w:val="15"/>
          <w:szCs w:val="15"/>
        </w:rPr>
        <w:t>performance</w:t>
      </w:r>
      <w:r>
        <w:rPr>
          <w:rFonts w:ascii="Times New Roman" w:eastAsia="Times New Roman" w:hAnsi="Times New Roman" w:cs="Times New Roman"/>
          <w:spacing w:val="14"/>
          <w:sz w:val="15"/>
          <w:szCs w:val="15"/>
        </w:rPr>
        <w:t xml:space="preserve">  </w:t>
      </w:r>
      <w:r>
        <w:rPr>
          <w:rFonts w:ascii="Times New Roman" w:eastAsia="Times New Roman" w:hAnsi="Times New Roman" w:cs="Times New Roman"/>
          <w:sz w:val="15"/>
          <w:szCs w:val="15"/>
        </w:rPr>
        <w:t>of</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stress</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prone</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z w:val="15"/>
          <w:szCs w:val="15"/>
        </w:rPr>
        <w:t>subj</w:t>
      </w:r>
      <w:r>
        <w:rPr>
          <w:rFonts w:ascii="Times New Roman" w:eastAsia="Times New Roman" w:hAnsi="Times New Roman" w:cs="Times New Roman"/>
          <w:spacing w:val="-1"/>
          <w:sz w:val="15"/>
          <w:szCs w:val="15"/>
        </w:rPr>
        <w:t>ects</w:t>
      </w:r>
      <w:r>
        <w:rPr>
          <w:rFonts w:ascii="Times New Roman" w:eastAsia="Times New Roman" w:hAnsi="Times New Roman" w:cs="Times New Roman"/>
          <w:spacing w:val="12"/>
          <w:w w:val="101"/>
          <w:sz w:val="15"/>
          <w:szCs w:val="15"/>
        </w:rPr>
        <w:t xml:space="preserve">  </w:t>
      </w:r>
      <w:r>
        <w:rPr>
          <w:rFonts w:ascii="Times New Roman" w:eastAsia="Times New Roman" w:hAnsi="Times New Roman" w:cs="Times New Roman"/>
          <w:spacing w:val="-1"/>
          <w:sz w:val="15"/>
          <w:szCs w:val="15"/>
        </w:rPr>
        <w:t>when</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pacing w:val="-1"/>
          <w:sz w:val="15"/>
          <w:szCs w:val="15"/>
        </w:rPr>
        <w:t>subjected</w:t>
      </w:r>
      <w:r>
        <w:rPr>
          <w:rFonts w:ascii="Times New Roman" w:eastAsia="Times New Roman" w:hAnsi="Times New Roman" w:cs="Times New Roman"/>
          <w:spacing w:val="12"/>
          <w:w w:val="101"/>
          <w:sz w:val="15"/>
          <w:szCs w:val="15"/>
        </w:rPr>
        <w:t xml:space="preserve">  </w:t>
      </w:r>
      <w:r>
        <w:rPr>
          <w:rFonts w:ascii="Times New Roman" w:eastAsia="Times New Roman" w:hAnsi="Times New Roman" w:cs="Times New Roman"/>
          <w:spacing w:val="-1"/>
          <w:sz w:val="15"/>
          <w:szCs w:val="15"/>
        </w:rPr>
        <w:t>to</w:t>
      </w:r>
      <w:r>
        <w:rPr>
          <w:rFonts w:ascii="Times New Roman" w:eastAsia="Times New Roman" w:hAnsi="Times New Roman" w:cs="Times New Roman"/>
          <w:spacing w:val="14"/>
          <w:w w:val="101"/>
          <w:sz w:val="15"/>
          <w:szCs w:val="15"/>
        </w:rPr>
        <w:t xml:space="preserve">  </w:t>
      </w:r>
      <w:r>
        <w:rPr>
          <w:rFonts w:ascii="Times New Roman" w:eastAsia="Times New Roman" w:hAnsi="Times New Roman" w:cs="Times New Roman"/>
          <w:spacing w:val="-1"/>
          <w:sz w:val="15"/>
          <w:szCs w:val="15"/>
        </w:rPr>
        <w:t>a</w:t>
      </w:r>
      <w:r>
        <w:rPr>
          <w:rFonts w:ascii="Times New Roman" w:eastAsia="Times New Roman" w:hAnsi="Times New Roman" w:cs="Times New Roman"/>
          <w:spacing w:val="15"/>
          <w:w w:val="102"/>
          <w:sz w:val="15"/>
          <w:szCs w:val="15"/>
        </w:rPr>
        <w:t xml:space="preserve">  </w:t>
      </w:r>
      <w:r>
        <w:rPr>
          <w:rFonts w:ascii="Times New Roman" w:eastAsia="Times New Roman" w:hAnsi="Times New Roman" w:cs="Times New Roman"/>
          <w:spacing w:val="-1"/>
          <w:sz w:val="15"/>
          <w:szCs w:val="15"/>
        </w:rPr>
        <w:t>stressful</w:t>
      </w:r>
      <w:r>
        <w:rPr>
          <w:rFonts w:ascii="Times New Roman" w:eastAsia="Times New Roman" w:hAnsi="Times New Roman" w:cs="Times New Roman"/>
          <w:spacing w:val="12"/>
          <w:w w:val="101"/>
          <w:sz w:val="15"/>
          <w:szCs w:val="15"/>
        </w:rPr>
        <w:t xml:space="preserve">  </w:t>
      </w:r>
      <w:r>
        <w:rPr>
          <w:rFonts w:ascii="Times New Roman" w:eastAsia="Times New Roman" w:hAnsi="Times New Roman" w:cs="Times New Roman"/>
          <w:spacing w:val="-1"/>
          <w:sz w:val="15"/>
          <w:szCs w:val="15"/>
        </w:rPr>
        <w:t>task?</w:t>
      </w:r>
    </w:p>
    <w:p w:rsidR="00EA40A3" w:rsidRDefault="00E86C16">
      <w:pPr>
        <w:spacing w:before="80" w:line="212" w:lineRule="auto"/>
        <w:rPr>
          <w:rFonts w:ascii="Times New Roman" w:eastAsia="Times New Roman" w:hAnsi="Times New Roman" w:cs="Times New Roman"/>
          <w:sz w:val="15"/>
          <w:szCs w:val="15"/>
        </w:rPr>
      </w:pPr>
      <w:r>
        <w:rPr>
          <w:rFonts w:ascii="Times New Roman" w:eastAsia="Times New Roman" w:hAnsi="Times New Roman" w:cs="Times New Roman"/>
          <w:sz w:val="15"/>
          <w:szCs w:val="15"/>
        </w:rPr>
        <w:t>Appetite,31,49</w:t>
      </w:r>
      <w:r>
        <w:rPr>
          <w:rFonts w:ascii="宋体" w:eastAsia="宋体" w:hAnsi="宋体" w:cs="宋体"/>
          <w:sz w:val="15"/>
          <w:szCs w:val="15"/>
        </w:rPr>
        <w:t>～</w:t>
      </w:r>
      <w:r>
        <w:rPr>
          <w:rFonts w:ascii="Times New Roman" w:eastAsia="Times New Roman" w:hAnsi="Times New Roman" w:cs="Times New Roman"/>
          <w:sz w:val="15"/>
          <w:szCs w:val="15"/>
        </w:rPr>
        <w:t>65</w:t>
      </w:r>
    </w:p>
    <w:p w:rsidR="00EA40A3" w:rsidRDefault="00E86C16">
      <w:pPr>
        <w:spacing w:before="130" w:line="192" w:lineRule="auto"/>
        <w:rPr>
          <w:rFonts w:ascii="Times New Roman" w:eastAsia="Times New Roman" w:hAnsi="Times New Roman" w:cs="Times New Roman"/>
          <w:sz w:val="15"/>
          <w:szCs w:val="15"/>
        </w:rPr>
      </w:pPr>
      <w:r>
        <w:rPr>
          <w:rFonts w:ascii="Times New Roman" w:eastAsia="Times New Roman" w:hAnsi="Times New Roman" w:cs="Times New Roman"/>
          <w:sz w:val="15"/>
          <w:szCs w:val="15"/>
        </w:rPr>
        <w:t>Pinstrup</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Andersen</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F</w:t>
      </w:r>
      <w:r>
        <w:rPr>
          <w:rFonts w:ascii="Times New Roman" w:eastAsia="Times New Roman" w:hAnsi="Times New Roman" w:cs="Times New Roman"/>
          <w:spacing w:val="-1"/>
          <w:sz w:val="15"/>
          <w:szCs w:val="15"/>
        </w:rPr>
        <w:t>.2000.</w:t>
      </w:r>
      <w:r>
        <w:rPr>
          <w:rFonts w:ascii="Times New Roman" w:eastAsia="Times New Roman" w:hAnsi="Times New Roman" w:cs="Times New Roman"/>
          <w:sz w:val="15"/>
          <w:szCs w:val="15"/>
        </w:rPr>
        <w:t>Improving</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human</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nutrition</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through</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z w:val="15"/>
          <w:szCs w:val="15"/>
        </w:rPr>
        <w:t>agricultural</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research</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Ov</w:t>
      </w:r>
      <w:r>
        <w:rPr>
          <w:rFonts w:ascii="Times New Roman" w:eastAsia="Times New Roman" w:hAnsi="Times New Roman" w:cs="Times New Roman"/>
          <w:spacing w:val="-1"/>
          <w:sz w:val="15"/>
          <w:szCs w:val="15"/>
        </w:rPr>
        <w:t>erview</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pacing w:val="-1"/>
          <w:sz w:val="15"/>
          <w:szCs w:val="15"/>
        </w:rPr>
        <w:t>and</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pacing w:val="-1"/>
          <w:sz w:val="15"/>
          <w:szCs w:val="15"/>
        </w:rPr>
        <w:t>objec-</w:t>
      </w:r>
    </w:p>
    <w:p w:rsidR="00EA40A3" w:rsidRDefault="00E86C16">
      <w:pPr>
        <w:spacing w:before="69" w:line="212" w:lineRule="auto"/>
        <w:rPr>
          <w:rFonts w:ascii="Times New Roman" w:eastAsia="Times New Roman" w:hAnsi="Times New Roman" w:cs="Times New Roman"/>
          <w:sz w:val="15"/>
          <w:szCs w:val="15"/>
        </w:rPr>
      </w:pPr>
      <w:r>
        <w:rPr>
          <w:rFonts w:ascii="Times New Roman" w:eastAsia="Times New Roman" w:hAnsi="Times New Roman" w:cs="Times New Roman"/>
          <w:sz w:val="15"/>
          <w:szCs w:val="15"/>
        </w:rPr>
        <w:t>tives</w:t>
      </w:r>
      <w:r>
        <w:rPr>
          <w:rFonts w:ascii="Times New Roman" w:eastAsia="Times New Roman" w:hAnsi="Times New Roman" w:cs="Times New Roman"/>
          <w:spacing w:val="-1"/>
          <w:sz w:val="15"/>
          <w:szCs w:val="15"/>
        </w:rPr>
        <w:t>.</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Food</w:t>
      </w:r>
      <w:r>
        <w:rPr>
          <w:rFonts w:ascii="Times New Roman" w:eastAsia="Times New Roman" w:hAnsi="Times New Roman" w:cs="Times New Roman"/>
          <w:spacing w:val="3"/>
          <w:sz w:val="15"/>
          <w:szCs w:val="15"/>
        </w:rPr>
        <w:t xml:space="preserve">    </w:t>
      </w:r>
      <w:r>
        <w:rPr>
          <w:rFonts w:ascii="Times New Roman" w:eastAsia="Times New Roman" w:hAnsi="Times New Roman" w:cs="Times New Roman"/>
          <w:sz w:val="15"/>
          <w:szCs w:val="15"/>
        </w:rPr>
        <w:t>and</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Nutrition</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Bulleti</w:t>
      </w:r>
      <w:r>
        <w:rPr>
          <w:rFonts w:ascii="Times New Roman" w:eastAsia="Times New Roman" w:hAnsi="Times New Roman" w:cs="Times New Roman"/>
          <w:spacing w:val="-1"/>
          <w:sz w:val="15"/>
          <w:szCs w:val="15"/>
        </w:rPr>
        <w:t>n,21</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pacing w:val="-1"/>
          <w:sz w:val="15"/>
          <w:szCs w:val="15"/>
        </w:rPr>
        <w:t>(4):352</w:t>
      </w:r>
      <w:r>
        <w:rPr>
          <w:rFonts w:ascii="宋体" w:eastAsia="宋体" w:hAnsi="宋体" w:cs="宋体"/>
          <w:spacing w:val="-1"/>
          <w:sz w:val="15"/>
          <w:szCs w:val="15"/>
        </w:rPr>
        <w:t>～</w:t>
      </w:r>
      <w:r>
        <w:rPr>
          <w:rFonts w:ascii="Times New Roman" w:eastAsia="Times New Roman" w:hAnsi="Times New Roman" w:cs="Times New Roman"/>
          <w:spacing w:val="-1"/>
          <w:sz w:val="15"/>
          <w:szCs w:val="15"/>
        </w:rPr>
        <w:t>355</w:t>
      </w:r>
    </w:p>
    <w:p w:rsidR="00EA40A3" w:rsidRDefault="00E86C16">
      <w:pPr>
        <w:spacing w:before="140" w:line="280" w:lineRule="auto"/>
        <w:ind w:right="6"/>
        <w:jc w:val="both"/>
        <w:rPr>
          <w:rFonts w:ascii="Times New Roman" w:eastAsia="Times New Roman" w:hAnsi="Times New Roman" w:cs="Times New Roman"/>
          <w:sz w:val="15"/>
          <w:szCs w:val="15"/>
        </w:rPr>
      </w:pPr>
      <w:r>
        <w:rPr>
          <w:rFonts w:ascii="Times New Roman" w:eastAsia="Times New Roman" w:hAnsi="Times New Roman" w:cs="Times New Roman"/>
          <w:sz w:val="15"/>
          <w:szCs w:val="15"/>
        </w:rPr>
        <w:t>Sardesai   V</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M</w:t>
      </w:r>
      <w:r>
        <w:rPr>
          <w:rFonts w:ascii="Times New Roman" w:eastAsia="Times New Roman" w:hAnsi="Times New Roman" w:cs="Times New Roman"/>
          <w:spacing w:val="-1"/>
          <w:sz w:val="15"/>
          <w:szCs w:val="15"/>
        </w:rPr>
        <w:t>.</w:t>
      </w:r>
      <w:r>
        <w:rPr>
          <w:rFonts w:ascii="Times New Roman" w:eastAsia="Times New Roman" w:hAnsi="Times New Roman" w:cs="Times New Roman"/>
          <w:spacing w:val="5"/>
          <w:sz w:val="15"/>
          <w:szCs w:val="15"/>
        </w:rPr>
        <w:t xml:space="preserve">   </w:t>
      </w:r>
      <w:r>
        <w:rPr>
          <w:rFonts w:ascii="Times New Roman" w:eastAsia="Times New Roman" w:hAnsi="Times New Roman" w:cs="Times New Roman"/>
          <w:spacing w:val="-1"/>
          <w:sz w:val="15"/>
          <w:szCs w:val="15"/>
        </w:rPr>
        <w:t>1998.</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Introduction   to</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clinic</w:t>
      </w:r>
      <w:r>
        <w:rPr>
          <w:rFonts w:ascii="Times New Roman" w:eastAsia="Times New Roman" w:hAnsi="Times New Roman" w:cs="Times New Roman"/>
          <w:spacing w:val="-1"/>
          <w:sz w:val="15"/>
          <w:szCs w:val="15"/>
        </w:rPr>
        <w:t>al</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1"/>
          <w:sz w:val="15"/>
          <w:szCs w:val="15"/>
        </w:rPr>
        <w:t>nutrition.</w:t>
      </w:r>
      <w:r>
        <w:rPr>
          <w:rFonts w:ascii="Times New Roman" w:eastAsia="Times New Roman" w:hAnsi="Times New Roman" w:cs="Times New Roman"/>
          <w:spacing w:val="18"/>
          <w:w w:val="102"/>
          <w:sz w:val="15"/>
          <w:szCs w:val="15"/>
        </w:rPr>
        <w:t xml:space="preserve">  </w:t>
      </w:r>
      <w:r>
        <w:rPr>
          <w:rFonts w:ascii="Times New Roman" w:eastAsia="Times New Roman" w:hAnsi="Times New Roman" w:cs="Times New Roman"/>
          <w:spacing w:val="-1"/>
          <w:sz w:val="15"/>
          <w:szCs w:val="15"/>
        </w:rPr>
        <w:t>New</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1"/>
          <w:sz w:val="15"/>
          <w:szCs w:val="15"/>
        </w:rPr>
        <w:t>York,Basel,Hong</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pacing w:val="-1"/>
          <w:sz w:val="15"/>
          <w:szCs w:val="15"/>
        </w:rPr>
        <w:t>Kong:</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pacing w:val="-1"/>
          <w:sz w:val="15"/>
          <w:szCs w:val="15"/>
        </w:rPr>
        <w:t>Marcel</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pacing w:val="-1"/>
          <w:sz w:val="15"/>
          <w:szCs w:val="15"/>
        </w:rPr>
        <w:t>Dekker</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pacing w:val="-1"/>
          <w:sz w:val="15"/>
          <w:szCs w:val="15"/>
        </w:rPr>
        <w:t>Inc.</w:t>
      </w:r>
      <w:r>
        <w:rPr>
          <w:rFonts w:ascii="Times New Roman" w:eastAsia="Times New Roman" w:hAnsi="Times New Roman" w:cs="Times New Roman"/>
          <w:sz w:val="15"/>
          <w:szCs w:val="15"/>
        </w:rPr>
        <w:t xml:space="preserve">  Schneeman</w:t>
      </w:r>
      <w:r>
        <w:rPr>
          <w:rFonts w:ascii="Times New Roman" w:eastAsia="Times New Roman" w:hAnsi="Times New Roman" w:cs="Times New Roman"/>
          <w:spacing w:val="15"/>
          <w:w w:val="102"/>
          <w:sz w:val="15"/>
          <w:szCs w:val="15"/>
        </w:rPr>
        <w:t xml:space="preserve">  </w:t>
      </w:r>
      <w:r>
        <w:rPr>
          <w:rFonts w:ascii="Times New Roman" w:eastAsia="Times New Roman" w:hAnsi="Times New Roman" w:cs="Times New Roman"/>
          <w:sz w:val="15"/>
          <w:szCs w:val="15"/>
        </w:rPr>
        <w:t>BO</w:t>
      </w:r>
      <w:r>
        <w:rPr>
          <w:rFonts w:ascii="Times New Roman" w:eastAsia="Times New Roman" w:hAnsi="Times New Roman" w:cs="Times New Roman"/>
          <w:spacing w:val="-1"/>
          <w:sz w:val="15"/>
          <w:szCs w:val="15"/>
        </w:rPr>
        <w:t>.</w:t>
      </w:r>
      <w:r>
        <w:rPr>
          <w:rFonts w:ascii="Times New Roman" w:eastAsia="Times New Roman" w:hAnsi="Times New Roman" w:cs="Times New Roman"/>
          <w:spacing w:val="16"/>
          <w:sz w:val="15"/>
          <w:szCs w:val="15"/>
        </w:rPr>
        <w:t xml:space="preserve">  </w:t>
      </w:r>
      <w:r>
        <w:rPr>
          <w:rFonts w:ascii="Times New Roman" w:eastAsia="Times New Roman" w:hAnsi="Times New Roman" w:cs="Times New Roman"/>
          <w:spacing w:val="-1"/>
          <w:sz w:val="15"/>
          <w:szCs w:val="15"/>
        </w:rPr>
        <w:t>2000.</w:t>
      </w:r>
      <w:r>
        <w:rPr>
          <w:rFonts w:ascii="Times New Roman" w:eastAsia="Times New Roman" w:hAnsi="Times New Roman" w:cs="Times New Roman"/>
          <w:sz w:val="15"/>
          <w:szCs w:val="15"/>
        </w:rPr>
        <w:t>Linking</w:t>
      </w:r>
      <w:r>
        <w:rPr>
          <w:rFonts w:ascii="Times New Roman" w:eastAsia="Times New Roman" w:hAnsi="Times New Roman" w:cs="Times New Roman"/>
          <w:spacing w:val="17"/>
          <w:sz w:val="15"/>
          <w:szCs w:val="15"/>
        </w:rPr>
        <w:t xml:space="preserve">  </w:t>
      </w:r>
      <w:r>
        <w:rPr>
          <w:rFonts w:ascii="Times New Roman" w:eastAsia="Times New Roman" w:hAnsi="Times New Roman" w:cs="Times New Roman"/>
          <w:sz w:val="15"/>
          <w:szCs w:val="15"/>
        </w:rPr>
        <w:t>agricultural</w:t>
      </w:r>
      <w:r>
        <w:rPr>
          <w:rFonts w:ascii="Times New Roman" w:eastAsia="Times New Roman" w:hAnsi="Times New Roman" w:cs="Times New Roman"/>
          <w:spacing w:val="14"/>
          <w:w w:val="101"/>
          <w:sz w:val="15"/>
          <w:szCs w:val="15"/>
        </w:rPr>
        <w:t xml:space="preserve">  </w:t>
      </w:r>
      <w:r>
        <w:rPr>
          <w:rFonts w:ascii="Times New Roman" w:eastAsia="Times New Roman" w:hAnsi="Times New Roman" w:cs="Times New Roman"/>
          <w:sz w:val="15"/>
          <w:szCs w:val="15"/>
        </w:rPr>
        <w:t>production</w:t>
      </w:r>
      <w:r>
        <w:rPr>
          <w:rFonts w:ascii="Times New Roman" w:eastAsia="Times New Roman" w:hAnsi="Times New Roman" w:cs="Times New Roman"/>
          <w:spacing w:val="17"/>
          <w:w w:val="101"/>
          <w:sz w:val="15"/>
          <w:szCs w:val="15"/>
        </w:rPr>
        <w:t xml:space="preserve">  </w:t>
      </w:r>
      <w:r>
        <w:rPr>
          <w:rFonts w:ascii="Times New Roman" w:eastAsia="Times New Roman" w:hAnsi="Times New Roman" w:cs="Times New Roman"/>
          <w:sz w:val="15"/>
          <w:szCs w:val="15"/>
        </w:rPr>
        <w:t>and</w:t>
      </w:r>
      <w:r>
        <w:rPr>
          <w:rFonts w:ascii="Times New Roman" w:eastAsia="Times New Roman" w:hAnsi="Times New Roman" w:cs="Times New Roman"/>
          <w:spacing w:val="15"/>
          <w:sz w:val="15"/>
          <w:szCs w:val="15"/>
        </w:rPr>
        <w:t xml:space="preserve">  </w:t>
      </w:r>
      <w:r>
        <w:rPr>
          <w:rFonts w:ascii="Times New Roman" w:eastAsia="Times New Roman" w:hAnsi="Times New Roman" w:cs="Times New Roman"/>
          <w:sz w:val="15"/>
          <w:szCs w:val="15"/>
        </w:rPr>
        <w:t>human</w:t>
      </w:r>
      <w:r>
        <w:rPr>
          <w:rFonts w:ascii="Times New Roman" w:eastAsia="Times New Roman" w:hAnsi="Times New Roman" w:cs="Times New Roman"/>
          <w:spacing w:val="15"/>
          <w:sz w:val="15"/>
          <w:szCs w:val="15"/>
        </w:rPr>
        <w:t xml:space="preserve">  </w:t>
      </w:r>
      <w:r>
        <w:rPr>
          <w:rFonts w:ascii="Times New Roman" w:eastAsia="Times New Roman" w:hAnsi="Times New Roman" w:cs="Times New Roman"/>
          <w:sz w:val="15"/>
          <w:szCs w:val="15"/>
        </w:rPr>
        <w:t>nutrition</w:t>
      </w:r>
      <w:r>
        <w:rPr>
          <w:rFonts w:ascii="Times New Roman" w:eastAsia="Times New Roman" w:hAnsi="Times New Roman" w:cs="Times New Roman"/>
          <w:spacing w:val="-1"/>
          <w:sz w:val="15"/>
          <w:szCs w:val="15"/>
        </w:rPr>
        <w:t>.</w:t>
      </w:r>
      <w:r>
        <w:rPr>
          <w:rFonts w:ascii="Times New Roman" w:eastAsia="Times New Roman" w:hAnsi="Times New Roman" w:cs="Times New Roman"/>
          <w:spacing w:val="16"/>
          <w:sz w:val="15"/>
          <w:szCs w:val="15"/>
        </w:rPr>
        <w:t xml:space="preserve">  </w:t>
      </w:r>
      <w:r>
        <w:rPr>
          <w:rFonts w:ascii="Times New Roman" w:eastAsia="Times New Roman" w:hAnsi="Times New Roman" w:cs="Times New Roman"/>
          <w:sz w:val="15"/>
          <w:szCs w:val="15"/>
        </w:rPr>
        <w:t>Jour</w:t>
      </w:r>
      <w:r>
        <w:rPr>
          <w:rFonts w:ascii="Times New Roman" w:eastAsia="Times New Roman" w:hAnsi="Times New Roman" w:cs="Times New Roman"/>
          <w:spacing w:val="-1"/>
          <w:sz w:val="15"/>
          <w:szCs w:val="15"/>
        </w:rPr>
        <w:t>nal</w:t>
      </w:r>
      <w:r>
        <w:rPr>
          <w:rFonts w:ascii="Times New Roman" w:eastAsia="Times New Roman" w:hAnsi="Times New Roman" w:cs="Times New Roman"/>
          <w:spacing w:val="17"/>
          <w:w w:val="101"/>
          <w:sz w:val="15"/>
          <w:szCs w:val="15"/>
        </w:rPr>
        <w:t xml:space="preserve">  </w:t>
      </w:r>
      <w:r>
        <w:rPr>
          <w:rFonts w:ascii="Times New Roman" w:eastAsia="Times New Roman" w:hAnsi="Times New Roman" w:cs="Times New Roman"/>
          <w:spacing w:val="-1"/>
          <w:sz w:val="15"/>
          <w:szCs w:val="15"/>
        </w:rPr>
        <w:t>of</w:t>
      </w:r>
      <w:r>
        <w:rPr>
          <w:rFonts w:ascii="Times New Roman" w:eastAsia="Times New Roman" w:hAnsi="Times New Roman" w:cs="Times New Roman"/>
          <w:spacing w:val="7"/>
          <w:sz w:val="15"/>
          <w:szCs w:val="15"/>
        </w:rPr>
        <w:t xml:space="preserve">  </w:t>
      </w:r>
      <w:r>
        <w:rPr>
          <w:rFonts w:ascii="Times New Roman" w:eastAsia="Times New Roman" w:hAnsi="Times New Roman" w:cs="Times New Roman"/>
          <w:spacing w:val="-1"/>
          <w:sz w:val="15"/>
          <w:szCs w:val="15"/>
        </w:rPr>
        <w:t>the</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1"/>
          <w:sz w:val="15"/>
          <w:szCs w:val="15"/>
        </w:rPr>
        <w:t>Science</w:t>
      </w:r>
      <w:r>
        <w:rPr>
          <w:rFonts w:ascii="Times New Roman" w:eastAsia="Times New Roman" w:hAnsi="Times New Roman" w:cs="Times New Roman"/>
          <w:spacing w:val="18"/>
          <w:w w:val="101"/>
          <w:sz w:val="15"/>
          <w:szCs w:val="15"/>
        </w:rPr>
        <w:t xml:space="preserve">  </w:t>
      </w:r>
      <w:r>
        <w:rPr>
          <w:rFonts w:ascii="Times New Roman" w:eastAsia="Times New Roman" w:hAnsi="Times New Roman" w:cs="Times New Roman"/>
          <w:spacing w:val="-1"/>
          <w:sz w:val="15"/>
          <w:szCs w:val="15"/>
        </w:rPr>
        <w:t>of</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Food</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1"/>
          <w:sz w:val="15"/>
          <w:szCs w:val="15"/>
        </w:rPr>
        <w:t>and</w:t>
      </w:r>
      <w:r>
        <w:rPr>
          <w:rFonts w:ascii="Times New Roman" w:eastAsia="Times New Roman" w:hAnsi="Times New Roman" w:cs="Times New Roman"/>
          <w:spacing w:val="5"/>
          <w:sz w:val="15"/>
          <w:szCs w:val="15"/>
        </w:rPr>
        <w:t xml:space="preserve">        </w:t>
      </w:r>
      <w:r>
        <w:rPr>
          <w:rFonts w:ascii="Times New Roman" w:eastAsia="Times New Roman" w:hAnsi="Times New Roman" w:cs="Times New Roman"/>
          <w:spacing w:val="-1"/>
          <w:sz w:val="15"/>
          <w:szCs w:val="15"/>
        </w:rPr>
        <w:t>Agriculture,81:3</w:t>
      </w:r>
      <w:r>
        <w:rPr>
          <w:rFonts w:ascii="宋体" w:eastAsia="宋体" w:hAnsi="宋体" w:cs="宋体"/>
          <w:spacing w:val="-1"/>
          <w:sz w:val="15"/>
          <w:szCs w:val="15"/>
        </w:rPr>
        <w:t>～</w:t>
      </w:r>
      <w:r>
        <w:rPr>
          <w:rFonts w:ascii="Times New Roman" w:eastAsia="Times New Roman" w:hAnsi="Times New Roman" w:cs="Times New Roman"/>
          <w:spacing w:val="-1"/>
          <w:sz w:val="15"/>
          <w:szCs w:val="15"/>
        </w:rPr>
        <w:t>9</w:t>
      </w:r>
    </w:p>
    <w:p w:rsidR="00EA40A3" w:rsidRDefault="00E86C16">
      <w:pPr>
        <w:spacing w:before="132" w:line="254" w:lineRule="auto"/>
        <w:ind w:right="39"/>
        <w:rPr>
          <w:rFonts w:ascii="Times New Roman" w:eastAsia="Times New Roman" w:hAnsi="Times New Roman" w:cs="Times New Roman"/>
          <w:sz w:val="15"/>
          <w:szCs w:val="15"/>
        </w:rPr>
      </w:pPr>
      <w:r>
        <w:rPr>
          <w:rFonts w:ascii="Times New Roman" w:eastAsia="Times New Roman" w:hAnsi="Times New Roman" w:cs="Times New Roman"/>
          <w:sz w:val="15"/>
          <w:szCs w:val="15"/>
        </w:rPr>
        <w:t>Underwood</w:t>
      </w:r>
      <w:r>
        <w:rPr>
          <w:rFonts w:ascii="Times New Roman" w:eastAsia="Times New Roman" w:hAnsi="Times New Roman" w:cs="Times New Roman"/>
          <w:spacing w:val="6"/>
          <w:sz w:val="15"/>
          <w:szCs w:val="15"/>
        </w:rPr>
        <w:t xml:space="preserve">  </w:t>
      </w:r>
      <w:r>
        <w:rPr>
          <w:rFonts w:ascii="Times New Roman" w:eastAsia="Times New Roman" w:hAnsi="Times New Roman" w:cs="Times New Roman"/>
          <w:sz w:val="15"/>
          <w:szCs w:val="15"/>
        </w:rPr>
        <w:t>B</w:t>
      </w:r>
      <w:r>
        <w:rPr>
          <w:rFonts w:ascii="Times New Roman" w:eastAsia="Times New Roman" w:hAnsi="Times New Roman" w:cs="Times New Roman"/>
          <w:spacing w:val="6"/>
          <w:sz w:val="15"/>
          <w:szCs w:val="15"/>
        </w:rPr>
        <w:t xml:space="preserve">  </w:t>
      </w:r>
      <w:r>
        <w:rPr>
          <w:rFonts w:ascii="Times New Roman" w:eastAsia="Times New Roman" w:hAnsi="Times New Roman" w:cs="Times New Roman"/>
          <w:sz w:val="15"/>
          <w:szCs w:val="15"/>
        </w:rPr>
        <w:t>A</w:t>
      </w:r>
      <w:r>
        <w:rPr>
          <w:rFonts w:ascii="Times New Roman" w:eastAsia="Times New Roman" w:hAnsi="Times New Roman" w:cs="Times New Roman"/>
          <w:spacing w:val="-1"/>
          <w:sz w:val="15"/>
          <w:szCs w:val="15"/>
        </w:rPr>
        <w:t>.</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2000.</w:t>
      </w:r>
      <w:r>
        <w:rPr>
          <w:rFonts w:ascii="Times New Roman" w:eastAsia="Times New Roman" w:hAnsi="Times New Roman" w:cs="Times New Roman"/>
          <w:sz w:val="15"/>
          <w:szCs w:val="15"/>
        </w:rPr>
        <w:t>Overcoming</w:t>
      </w:r>
      <w:r>
        <w:rPr>
          <w:rFonts w:ascii="Times New Roman" w:eastAsia="Times New Roman" w:hAnsi="Times New Roman" w:cs="Times New Roman"/>
          <w:spacing w:val="6"/>
          <w:sz w:val="15"/>
          <w:szCs w:val="15"/>
        </w:rPr>
        <w:t xml:space="preserve">  </w:t>
      </w:r>
      <w:r>
        <w:rPr>
          <w:rFonts w:ascii="Times New Roman" w:eastAsia="Times New Roman" w:hAnsi="Times New Roman" w:cs="Times New Roman"/>
          <w:sz w:val="15"/>
          <w:szCs w:val="15"/>
        </w:rPr>
        <w:t>micronutrient</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def</w:t>
      </w:r>
      <w:r>
        <w:rPr>
          <w:rFonts w:ascii="Times New Roman" w:eastAsia="Times New Roman" w:hAnsi="Times New Roman" w:cs="Times New Roman"/>
          <w:spacing w:val="-1"/>
          <w:sz w:val="15"/>
          <w:szCs w:val="15"/>
        </w:rPr>
        <w:t>iciencies</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in</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developing</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countries:</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Is</w:t>
      </w:r>
      <w:r>
        <w:rPr>
          <w:rFonts w:ascii="Times New Roman" w:eastAsia="Times New Roman" w:hAnsi="Times New Roman" w:cs="Times New Roman"/>
          <w:spacing w:val="6"/>
          <w:sz w:val="15"/>
          <w:szCs w:val="15"/>
        </w:rPr>
        <w:t xml:space="preserve">  </w:t>
      </w:r>
      <w:r>
        <w:rPr>
          <w:rFonts w:ascii="Times New Roman" w:eastAsia="Times New Roman" w:hAnsi="Times New Roman" w:cs="Times New Roman"/>
          <w:spacing w:val="-1"/>
          <w:sz w:val="15"/>
          <w:szCs w:val="15"/>
        </w:rPr>
        <w:t>there</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a</w:t>
      </w:r>
      <w:r>
        <w:rPr>
          <w:rFonts w:ascii="Times New Roman" w:eastAsia="Times New Roman" w:hAnsi="Times New Roman" w:cs="Times New Roman"/>
          <w:spacing w:val="6"/>
          <w:sz w:val="15"/>
          <w:szCs w:val="15"/>
        </w:rPr>
        <w:t xml:space="preserve">  </w:t>
      </w:r>
      <w:r>
        <w:rPr>
          <w:rFonts w:ascii="Times New Roman" w:eastAsia="Times New Roman" w:hAnsi="Times New Roman" w:cs="Times New Roman"/>
          <w:spacing w:val="-1"/>
          <w:sz w:val="15"/>
          <w:szCs w:val="15"/>
        </w:rPr>
        <w:t>role</w:t>
      </w:r>
      <w:r>
        <w:rPr>
          <w:rFonts w:ascii="Times New Roman" w:eastAsia="Times New Roman" w:hAnsi="Times New Roman" w:cs="Times New Roman"/>
          <w:spacing w:val="9"/>
          <w:w w:val="101"/>
          <w:sz w:val="15"/>
          <w:szCs w:val="15"/>
        </w:rPr>
        <w:t xml:space="preserve">  </w:t>
      </w:r>
      <w:r>
        <w:rPr>
          <w:rFonts w:ascii="Times New Roman" w:eastAsia="Times New Roman" w:hAnsi="Times New Roman" w:cs="Times New Roman"/>
          <w:spacing w:val="-1"/>
          <w:sz w:val="15"/>
          <w:szCs w:val="15"/>
        </w:rPr>
        <w:t>for</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pacing w:val="-1"/>
          <w:sz w:val="15"/>
          <w:szCs w:val="15"/>
        </w:rPr>
        <w:t>ag-</w:t>
      </w:r>
      <w:r>
        <w:rPr>
          <w:rFonts w:ascii="Times New Roman" w:eastAsia="Times New Roman" w:hAnsi="Times New Roman" w:cs="Times New Roman"/>
          <w:sz w:val="15"/>
          <w:szCs w:val="15"/>
        </w:rPr>
        <w:t xml:space="preserve"> riculture?</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Food</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and</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Nutrition</w:t>
      </w:r>
      <w:r>
        <w:rPr>
          <w:rFonts w:ascii="Times New Roman" w:eastAsia="Times New Roman" w:hAnsi="Times New Roman" w:cs="Times New Roman"/>
          <w:spacing w:val="2"/>
          <w:sz w:val="15"/>
          <w:szCs w:val="15"/>
        </w:rPr>
        <w:t xml:space="preserve">     </w:t>
      </w:r>
      <w:r>
        <w:rPr>
          <w:rFonts w:ascii="Times New Roman" w:eastAsia="Times New Roman" w:hAnsi="Times New Roman" w:cs="Times New Roman"/>
          <w:sz w:val="15"/>
          <w:szCs w:val="15"/>
        </w:rPr>
        <w:t>Bulletin,21(</w:t>
      </w:r>
      <w:r>
        <w:rPr>
          <w:rFonts w:ascii="Times New Roman" w:eastAsia="Times New Roman" w:hAnsi="Times New Roman" w:cs="Times New Roman"/>
          <w:spacing w:val="-1"/>
          <w:sz w:val="15"/>
          <w:szCs w:val="15"/>
        </w:rPr>
        <w:t>4):356</w:t>
      </w:r>
      <w:r>
        <w:rPr>
          <w:rFonts w:ascii="宋体" w:eastAsia="宋体" w:hAnsi="宋体" w:cs="宋体"/>
          <w:spacing w:val="-1"/>
          <w:sz w:val="15"/>
          <w:szCs w:val="15"/>
        </w:rPr>
        <w:t>～</w:t>
      </w:r>
      <w:r>
        <w:rPr>
          <w:rFonts w:ascii="Times New Roman" w:eastAsia="Times New Roman" w:hAnsi="Times New Roman" w:cs="Times New Roman"/>
          <w:spacing w:val="-1"/>
          <w:sz w:val="15"/>
          <w:szCs w:val="15"/>
        </w:rPr>
        <w:t>360</w:t>
      </w:r>
    </w:p>
    <w:p w:rsidR="00EA40A3" w:rsidRDefault="00E86C16">
      <w:pPr>
        <w:spacing w:before="140" w:line="248" w:lineRule="auto"/>
        <w:rPr>
          <w:rFonts w:ascii="Times New Roman" w:eastAsia="Times New Roman" w:hAnsi="Times New Roman" w:cs="Times New Roman"/>
          <w:sz w:val="15"/>
          <w:szCs w:val="15"/>
        </w:rPr>
      </w:pPr>
      <w:r>
        <w:rPr>
          <w:rFonts w:ascii="Times New Roman" w:eastAsia="Times New Roman" w:hAnsi="Times New Roman" w:cs="Times New Roman"/>
          <w:sz w:val="15"/>
          <w:szCs w:val="15"/>
        </w:rPr>
        <w:t>Welch</w:t>
      </w:r>
      <w:r>
        <w:rPr>
          <w:rFonts w:ascii="Times New Roman" w:eastAsia="Times New Roman" w:hAnsi="Times New Roman" w:cs="Times New Roman"/>
          <w:spacing w:val="9"/>
          <w:sz w:val="15"/>
          <w:szCs w:val="15"/>
        </w:rPr>
        <w:t xml:space="preserve">   </w:t>
      </w:r>
      <w:r>
        <w:rPr>
          <w:rFonts w:ascii="Times New Roman" w:eastAsia="Times New Roman" w:hAnsi="Times New Roman" w:cs="Times New Roman"/>
          <w:sz w:val="15"/>
          <w:szCs w:val="15"/>
        </w:rPr>
        <w:t>R</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M</w:t>
      </w:r>
      <w:r>
        <w:rPr>
          <w:rFonts w:ascii="Times New Roman" w:eastAsia="Times New Roman" w:hAnsi="Times New Roman" w:cs="Times New Roman"/>
          <w:spacing w:val="-1"/>
          <w:sz w:val="15"/>
          <w:szCs w:val="15"/>
        </w:rPr>
        <w:t>,</w:t>
      </w:r>
      <w:r>
        <w:rPr>
          <w:rFonts w:ascii="Times New Roman" w:eastAsia="Times New Roman" w:hAnsi="Times New Roman" w:cs="Times New Roman"/>
          <w:spacing w:val="10"/>
          <w:w w:val="102"/>
          <w:sz w:val="15"/>
          <w:szCs w:val="15"/>
        </w:rPr>
        <w:t xml:space="preserve">   </w:t>
      </w:r>
      <w:r>
        <w:rPr>
          <w:rFonts w:ascii="Times New Roman" w:eastAsia="Times New Roman" w:hAnsi="Times New Roman" w:cs="Times New Roman"/>
          <w:sz w:val="15"/>
          <w:szCs w:val="15"/>
        </w:rPr>
        <w:t>Graham</w:t>
      </w:r>
      <w:r>
        <w:rPr>
          <w:rFonts w:ascii="Times New Roman" w:eastAsia="Times New Roman" w:hAnsi="Times New Roman" w:cs="Times New Roman"/>
          <w:spacing w:val="9"/>
          <w:w w:val="101"/>
          <w:sz w:val="15"/>
          <w:szCs w:val="15"/>
        </w:rPr>
        <w:t xml:space="preserve">   </w:t>
      </w:r>
      <w:r>
        <w:rPr>
          <w:rFonts w:ascii="Times New Roman" w:eastAsia="Times New Roman" w:hAnsi="Times New Roman" w:cs="Times New Roman"/>
          <w:sz w:val="15"/>
          <w:szCs w:val="15"/>
        </w:rPr>
        <w:t>R</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D</w:t>
      </w:r>
      <w:r>
        <w:rPr>
          <w:rFonts w:ascii="Times New Roman" w:eastAsia="Times New Roman" w:hAnsi="Times New Roman" w:cs="Times New Roman"/>
          <w:spacing w:val="-1"/>
          <w:sz w:val="15"/>
          <w:szCs w:val="15"/>
        </w:rPr>
        <w:t>.</w:t>
      </w:r>
      <w:r>
        <w:rPr>
          <w:rFonts w:ascii="Times New Roman" w:eastAsia="Times New Roman" w:hAnsi="Times New Roman" w:cs="Times New Roman"/>
          <w:spacing w:val="10"/>
          <w:sz w:val="15"/>
          <w:szCs w:val="15"/>
        </w:rPr>
        <w:t xml:space="preserve">   </w:t>
      </w:r>
      <w:r>
        <w:rPr>
          <w:rFonts w:ascii="Times New Roman" w:eastAsia="Times New Roman" w:hAnsi="Times New Roman" w:cs="Times New Roman"/>
          <w:spacing w:val="-1"/>
          <w:sz w:val="15"/>
          <w:szCs w:val="15"/>
        </w:rPr>
        <w:t>2000.</w:t>
      </w:r>
      <w:r>
        <w:rPr>
          <w:rFonts w:ascii="Times New Roman" w:eastAsia="Times New Roman" w:hAnsi="Times New Roman" w:cs="Times New Roman"/>
          <w:spacing w:val="9"/>
          <w:sz w:val="15"/>
          <w:szCs w:val="15"/>
        </w:rPr>
        <w:t xml:space="preserve">   </w:t>
      </w:r>
      <w:r>
        <w:rPr>
          <w:rFonts w:ascii="Times New Roman" w:eastAsia="Times New Roman" w:hAnsi="Times New Roman" w:cs="Times New Roman"/>
          <w:sz w:val="15"/>
          <w:szCs w:val="15"/>
        </w:rPr>
        <w:t>A</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new</w:t>
      </w:r>
      <w:r>
        <w:rPr>
          <w:rFonts w:ascii="Times New Roman" w:eastAsia="Times New Roman" w:hAnsi="Times New Roman" w:cs="Times New Roman"/>
          <w:spacing w:val="9"/>
          <w:sz w:val="15"/>
          <w:szCs w:val="15"/>
        </w:rPr>
        <w:t xml:space="preserve">   </w:t>
      </w:r>
      <w:r>
        <w:rPr>
          <w:rFonts w:ascii="Times New Roman" w:eastAsia="Times New Roman" w:hAnsi="Times New Roman" w:cs="Times New Roman"/>
          <w:sz w:val="15"/>
          <w:szCs w:val="15"/>
        </w:rPr>
        <w:t>paradigm</w:t>
      </w:r>
      <w:r>
        <w:rPr>
          <w:rFonts w:ascii="Times New Roman" w:eastAsia="Times New Roman" w:hAnsi="Times New Roman" w:cs="Times New Roman"/>
          <w:spacing w:val="10"/>
          <w:w w:val="101"/>
          <w:sz w:val="15"/>
          <w:szCs w:val="15"/>
        </w:rPr>
        <w:t xml:space="preserve">   </w:t>
      </w:r>
      <w:r>
        <w:rPr>
          <w:rFonts w:ascii="Times New Roman" w:eastAsia="Times New Roman" w:hAnsi="Times New Roman" w:cs="Times New Roman"/>
          <w:sz w:val="15"/>
          <w:szCs w:val="15"/>
        </w:rPr>
        <w:t>for</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world</w:t>
      </w:r>
      <w:r>
        <w:rPr>
          <w:rFonts w:ascii="Times New Roman" w:eastAsia="Times New Roman" w:hAnsi="Times New Roman" w:cs="Times New Roman"/>
          <w:spacing w:val="10"/>
          <w:w w:val="101"/>
          <w:sz w:val="15"/>
          <w:szCs w:val="15"/>
        </w:rPr>
        <w:t xml:space="preserve">   </w:t>
      </w:r>
      <w:r>
        <w:rPr>
          <w:rFonts w:ascii="Times New Roman" w:eastAsia="Times New Roman" w:hAnsi="Times New Roman" w:cs="Times New Roman"/>
          <w:sz w:val="15"/>
          <w:szCs w:val="15"/>
        </w:rPr>
        <w:t>agriculture</w:t>
      </w:r>
      <w:r>
        <w:rPr>
          <w:rFonts w:ascii="Times New Roman" w:eastAsia="Times New Roman" w:hAnsi="Times New Roman" w:cs="Times New Roman"/>
          <w:spacing w:val="-1"/>
          <w:sz w:val="15"/>
          <w:szCs w:val="15"/>
        </w:rPr>
        <w:t>:</w:t>
      </w:r>
      <w:r>
        <w:rPr>
          <w:rFonts w:ascii="Times New Roman" w:eastAsia="Times New Roman" w:hAnsi="Times New Roman" w:cs="Times New Roman"/>
          <w:sz w:val="15"/>
          <w:szCs w:val="15"/>
        </w:rPr>
        <w:t>Pr</w:t>
      </w:r>
      <w:r>
        <w:rPr>
          <w:rFonts w:ascii="Times New Roman" w:eastAsia="Times New Roman" w:hAnsi="Times New Roman" w:cs="Times New Roman"/>
          <w:spacing w:val="-1"/>
          <w:sz w:val="15"/>
          <w:szCs w:val="15"/>
        </w:rPr>
        <w:t>oductive,sustainable,nutre-</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z w:val="15"/>
          <w:szCs w:val="15"/>
        </w:rPr>
        <w:t>tious</w:t>
      </w:r>
      <w:r>
        <w:rPr>
          <w:rFonts w:ascii="Times New Roman" w:eastAsia="Times New Roman" w:hAnsi="Times New Roman" w:cs="Times New Roman"/>
          <w:spacing w:val="-1"/>
          <w:sz w:val="15"/>
          <w:szCs w:val="15"/>
        </w:rPr>
        <w:t>,</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healthful</w:t>
      </w:r>
      <w:r>
        <w:rPr>
          <w:rFonts w:ascii="Times New Roman" w:eastAsia="Times New Roman" w:hAnsi="Times New Roman" w:cs="Times New Roman"/>
          <w:spacing w:val="11"/>
          <w:w w:val="101"/>
          <w:sz w:val="15"/>
          <w:szCs w:val="15"/>
        </w:rPr>
        <w:t xml:space="preserve">   </w:t>
      </w:r>
      <w:r>
        <w:rPr>
          <w:rFonts w:ascii="Times New Roman" w:eastAsia="Times New Roman" w:hAnsi="Times New Roman" w:cs="Times New Roman"/>
          <w:sz w:val="15"/>
          <w:szCs w:val="15"/>
        </w:rPr>
        <w:t>food</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systems</w:t>
      </w:r>
      <w:r>
        <w:rPr>
          <w:rFonts w:ascii="Times New Roman" w:eastAsia="Times New Roman" w:hAnsi="Times New Roman" w:cs="Times New Roman"/>
          <w:spacing w:val="-1"/>
          <w:sz w:val="15"/>
          <w:szCs w:val="15"/>
        </w:rPr>
        <w:t>.</w:t>
      </w:r>
      <w:r>
        <w:rPr>
          <w:rFonts w:ascii="Times New Roman" w:eastAsia="Times New Roman" w:hAnsi="Times New Roman" w:cs="Times New Roman"/>
          <w:spacing w:val="9"/>
          <w:w w:val="101"/>
          <w:sz w:val="15"/>
          <w:szCs w:val="15"/>
        </w:rPr>
        <w:t xml:space="preserve">   </w:t>
      </w:r>
      <w:r>
        <w:rPr>
          <w:rFonts w:ascii="Times New Roman" w:eastAsia="Times New Roman" w:hAnsi="Times New Roman" w:cs="Times New Roman"/>
          <w:sz w:val="15"/>
          <w:szCs w:val="15"/>
        </w:rPr>
        <w:t>Food</w:t>
      </w:r>
      <w:r>
        <w:rPr>
          <w:rFonts w:ascii="Times New Roman" w:eastAsia="Times New Roman" w:hAnsi="Times New Roman" w:cs="Times New Roman"/>
          <w:spacing w:val="10"/>
          <w:w w:val="101"/>
          <w:sz w:val="15"/>
          <w:szCs w:val="15"/>
        </w:rPr>
        <w:t xml:space="preserve">   </w:t>
      </w:r>
      <w:r>
        <w:rPr>
          <w:rFonts w:ascii="Times New Roman" w:eastAsia="Times New Roman" w:hAnsi="Times New Roman" w:cs="Times New Roman"/>
          <w:sz w:val="15"/>
          <w:szCs w:val="15"/>
        </w:rPr>
        <w:t>and</w:t>
      </w:r>
      <w:r>
        <w:rPr>
          <w:rFonts w:ascii="Times New Roman" w:eastAsia="Times New Roman" w:hAnsi="Times New Roman" w:cs="Times New Roman"/>
          <w:spacing w:val="8"/>
          <w:sz w:val="15"/>
          <w:szCs w:val="15"/>
        </w:rPr>
        <w:t xml:space="preserve">   </w:t>
      </w:r>
      <w:r>
        <w:rPr>
          <w:rFonts w:ascii="Times New Roman" w:eastAsia="Times New Roman" w:hAnsi="Times New Roman" w:cs="Times New Roman"/>
          <w:sz w:val="15"/>
          <w:szCs w:val="15"/>
        </w:rPr>
        <w:t>Nu</w:t>
      </w:r>
      <w:r>
        <w:rPr>
          <w:rFonts w:ascii="Times New Roman" w:eastAsia="Times New Roman" w:hAnsi="Times New Roman" w:cs="Times New Roman"/>
          <w:spacing w:val="-1"/>
          <w:sz w:val="15"/>
          <w:szCs w:val="15"/>
        </w:rPr>
        <w:t>trition</w:t>
      </w:r>
      <w:r>
        <w:rPr>
          <w:rFonts w:ascii="Times New Roman" w:eastAsia="Times New Roman" w:hAnsi="Times New Roman" w:cs="Times New Roman"/>
          <w:spacing w:val="9"/>
          <w:w w:val="101"/>
          <w:sz w:val="15"/>
          <w:szCs w:val="15"/>
        </w:rPr>
        <w:t xml:space="preserve">   </w:t>
      </w:r>
      <w:r>
        <w:rPr>
          <w:rFonts w:ascii="Times New Roman" w:eastAsia="Times New Roman" w:hAnsi="Times New Roman" w:cs="Times New Roman"/>
          <w:spacing w:val="-1"/>
          <w:sz w:val="15"/>
          <w:szCs w:val="15"/>
        </w:rPr>
        <w:t>Bulletin,21</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pacing w:val="-1"/>
          <w:sz w:val="15"/>
          <w:szCs w:val="15"/>
        </w:rPr>
        <w:t>(4):361</w:t>
      </w:r>
      <w:r>
        <w:rPr>
          <w:rFonts w:ascii="宋体" w:eastAsia="宋体" w:hAnsi="宋体" w:cs="宋体"/>
          <w:spacing w:val="-1"/>
          <w:sz w:val="15"/>
          <w:szCs w:val="15"/>
        </w:rPr>
        <w:t>～</w:t>
      </w:r>
      <w:r>
        <w:rPr>
          <w:rFonts w:ascii="Times New Roman" w:eastAsia="Times New Roman" w:hAnsi="Times New Roman" w:cs="Times New Roman"/>
          <w:spacing w:val="-1"/>
          <w:sz w:val="15"/>
          <w:szCs w:val="15"/>
        </w:rPr>
        <w:t>366</w:t>
      </w:r>
    </w:p>
    <w:p w:rsidR="00EA40A3" w:rsidRDefault="00EA40A3">
      <w:pPr>
        <w:sectPr w:rsidR="00EA40A3">
          <w:footerReference w:type="default" r:id="rId27"/>
          <w:pgSz w:w="9220" w:h="13360"/>
          <w:pgMar w:top="400" w:right="1094" w:bottom="1238" w:left="860" w:header="0" w:footer="1044" w:gutter="0"/>
          <w:cols w:space="720"/>
        </w:sectPr>
      </w:pPr>
    </w:p>
    <w:p w:rsidR="00EA40A3" w:rsidRDefault="00EA40A3">
      <w:pPr>
        <w:spacing w:line="272"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86C16">
      <w:pPr>
        <w:spacing w:before="104" w:line="219" w:lineRule="auto"/>
        <w:ind w:left="2084"/>
        <w:rPr>
          <w:rFonts w:ascii="宋体" w:eastAsia="宋体" w:hAnsi="宋体" w:cs="宋体"/>
          <w:sz w:val="32"/>
          <w:szCs w:val="32"/>
        </w:rPr>
      </w:pPr>
      <w:bookmarkStart w:id="8" w:name="_bookmark12"/>
      <w:bookmarkEnd w:id="8"/>
      <w:r>
        <w:rPr>
          <w:rFonts w:ascii="宋体" w:eastAsia="宋体" w:hAnsi="宋体" w:cs="宋体"/>
          <w:b/>
          <w:bCs/>
          <w:spacing w:val="2"/>
          <w:sz w:val="32"/>
          <w:szCs w:val="32"/>
        </w:rPr>
        <w:t>第2章</w:t>
      </w:r>
      <w:r>
        <w:rPr>
          <w:rFonts w:ascii="宋体" w:eastAsia="宋体" w:hAnsi="宋体" w:cs="宋体"/>
          <w:spacing w:val="139"/>
          <w:sz w:val="32"/>
          <w:szCs w:val="32"/>
        </w:rPr>
        <w:t xml:space="preserve"> </w:t>
      </w:r>
      <w:r>
        <w:rPr>
          <w:rFonts w:ascii="宋体" w:eastAsia="宋体" w:hAnsi="宋体" w:cs="宋体"/>
          <w:b/>
          <w:bCs/>
          <w:spacing w:val="2"/>
          <w:sz w:val="32"/>
          <w:szCs w:val="32"/>
        </w:rPr>
        <w:t>食物的体内过程</w:t>
      </w:r>
    </w:p>
    <w:p w:rsidR="00EA40A3" w:rsidRDefault="00EA40A3">
      <w:pPr>
        <w:spacing w:line="376" w:lineRule="auto"/>
      </w:pPr>
    </w:p>
    <w:p w:rsidR="00EA40A3" w:rsidRDefault="00E86C16">
      <w:pPr>
        <w:spacing w:before="69" w:line="221" w:lineRule="auto"/>
        <w:ind w:left="3273"/>
        <w:rPr>
          <w:rFonts w:ascii="黑体" w:eastAsia="黑体" w:hAnsi="黑体" w:cs="黑体"/>
        </w:rPr>
      </w:pPr>
      <w:r>
        <w:rPr>
          <w:rFonts w:ascii="黑体" w:eastAsia="黑体" w:hAnsi="黑体" w:cs="黑体"/>
          <w:b/>
          <w:bCs/>
          <w:spacing w:val="-17"/>
        </w:rPr>
        <w:t>教</w:t>
      </w:r>
      <w:r>
        <w:rPr>
          <w:rFonts w:ascii="黑体" w:eastAsia="黑体" w:hAnsi="黑体" w:cs="黑体"/>
          <w:spacing w:val="-26"/>
        </w:rPr>
        <w:t xml:space="preserve"> </w:t>
      </w:r>
      <w:r>
        <w:rPr>
          <w:rFonts w:ascii="黑体" w:eastAsia="黑体" w:hAnsi="黑体" w:cs="黑体"/>
          <w:b/>
          <w:bCs/>
          <w:spacing w:val="-17"/>
        </w:rPr>
        <w:t>学</w:t>
      </w:r>
      <w:r>
        <w:rPr>
          <w:rFonts w:ascii="黑体" w:eastAsia="黑体" w:hAnsi="黑体" w:cs="黑体"/>
          <w:spacing w:val="-8"/>
        </w:rPr>
        <w:t xml:space="preserve"> </w:t>
      </w:r>
      <w:r>
        <w:rPr>
          <w:rFonts w:ascii="黑体" w:eastAsia="黑体" w:hAnsi="黑体" w:cs="黑体"/>
          <w:b/>
          <w:bCs/>
          <w:spacing w:val="-17"/>
        </w:rPr>
        <w:t>目</w:t>
      </w:r>
      <w:r>
        <w:rPr>
          <w:rFonts w:ascii="黑体" w:eastAsia="黑体" w:hAnsi="黑体" w:cs="黑体"/>
          <w:spacing w:val="-39"/>
        </w:rPr>
        <w:t xml:space="preserve"> </w:t>
      </w:r>
      <w:r>
        <w:rPr>
          <w:rFonts w:ascii="黑体" w:eastAsia="黑体" w:hAnsi="黑体" w:cs="黑体"/>
          <w:b/>
          <w:bCs/>
          <w:spacing w:val="-17"/>
        </w:rPr>
        <w:t>标</w:t>
      </w:r>
    </w:p>
    <w:p w:rsidR="00EA40A3" w:rsidRDefault="00E86C16">
      <w:pPr>
        <w:spacing w:before="215" w:line="220" w:lineRule="auto"/>
        <w:ind w:left="510"/>
        <w:rPr>
          <w:rFonts w:ascii="楷体" w:eastAsia="楷体" w:hAnsi="楷体" w:cs="楷体"/>
        </w:rPr>
      </w:pPr>
      <w:r>
        <w:rPr>
          <w:rFonts w:ascii="楷体" w:eastAsia="楷体" w:hAnsi="楷体" w:cs="楷体"/>
          <w:spacing w:val="-5"/>
        </w:rPr>
        <w:t>·</w:t>
      </w:r>
      <w:r>
        <w:rPr>
          <w:rFonts w:ascii="楷体" w:eastAsia="楷体" w:hAnsi="楷体" w:cs="楷体"/>
          <w:spacing w:val="-85"/>
        </w:rPr>
        <w:t xml:space="preserve"> </w:t>
      </w:r>
      <w:r>
        <w:rPr>
          <w:rFonts w:ascii="楷体" w:eastAsia="楷体" w:hAnsi="楷体" w:cs="楷体"/>
          <w:spacing w:val="-5"/>
        </w:rPr>
        <w:t>学习和了解人体消化和排泄系统的组成以及各组成部分和功能，</w:t>
      </w:r>
    </w:p>
    <w:p w:rsidR="00EA40A3" w:rsidRDefault="00E86C16">
      <w:pPr>
        <w:spacing w:before="54" w:line="249" w:lineRule="auto"/>
        <w:ind w:left="80" w:right="74" w:firstLine="430"/>
        <w:rPr>
          <w:rFonts w:ascii="楷体" w:eastAsia="楷体" w:hAnsi="楷体" w:cs="楷体"/>
        </w:rPr>
      </w:pPr>
      <w:r>
        <w:rPr>
          <w:rFonts w:ascii="楷体" w:eastAsia="楷体" w:hAnsi="楷体" w:cs="楷体"/>
          <w:spacing w:val="1"/>
        </w:rPr>
        <w:t>·</w:t>
      </w:r>
      <w:r>
        <w:rPr>
          <w:rFonts w:ascii="楷体" w:eastAsia="楷体" w:hAnsi="楷体" w:cs="楷体"/>
          <w:spacing w:val="-82"/>
        </w:rPr>
        <w:t xml:space="preserve"> </w:t>
      </w:r>
      <w:r>
        <w:rPr>
          <w:rFonts w:ascii="楷体" w:eastAsia="楷体" w:hAnsi="楷体" w:cs="楷体"/>
          <w:spacing w:val="1"/>
        </w:rPr>
        <w:t>学习和掌握食物及营养素在消化道中的消化、</w:t>
      </w:r>
      <w:r>
        <w:rPr>
          <w:rFonts w:ascii="楷体" w:eastAsia="楷体" w:hAnsi="楷体" w:cs="楷体"/>
        </w:rPr>
        <w:t xml:space="preserve">吸收、运输、代谢等基本 </w:t>
      </w:r>
      <w:r>
        <w:rPr>
          <w:rFonts w:ascii="楷体" w:eastAsia="楷体" w:hAnsi="楷体" w:cs="楷体"/>
          <w:spacing w:val="-9"/>
        </w:rPr>
        <w:t>过程。</w:t>
      </w:r>
    </w:p>
    <w:p w:rsidR="00EA40A3" w:rsidRDefault="00EA40A3">
      <w:pPr>
        <w:spacing w:line="294" w:lineRule="auto"/>
      </w:pPr>
    </w:p>
    <w:p w:rsidR="00EA40A3" w:rsidRDefault="00E86C16">
      <w:pPr>
        <w:spacing w:before="69" w:line="253" w:lineRule="auto"/>
        <w:ind w:left="80" w:right="6" w:firstLine="430"/>
        <w:jc w:val="both"/>
        <w:rPr>
          <w:rFonts w:ascii="宋体" w:eastAsia="宋体" w:hAnsi="宋体" w:cs="宋体"/>
        </w:rPr>
      </w:pPr>
      <w:r>
        <w:rPr>
          <w:rFonts w:ascii="宋体" w:eastAsia="宋体" w:hAnsi="宋体" w:cs="宋体"/>
          <w:spacing w:val="-3"/>
        </w:rPr>
        <w:t>食物经由人体消化系统分解成小分子物质后进入体内，由血液循环或</w:t>
      </w:r>
      <w:r>
        <w:rPr>
          <w:rFonts w:ascii="宋体" w:eastAsia="宋体" w:hAnsi="宋体" w:cs="宋体"/>
          <w:spacing w:val="-4"/>
        </w:rPr>
        <w:t>淋巴循</w:t>
      </w:r>
      <w:r>
        <w:rPr>
          <w:rFonts w:ascii="宋体" w:eastAsia="宋体" w:hAnsi="宋体" w:cs="宋体"/>
        </w:rPr>
        <w:t xml:space="preserve"> </w:t>
      </w:r>
      <w:r>
        <w:rPr>
          <w:rFonts w:ascii="宋体" w:eastAsia="宋体" w:hAnsi="宋体" w:cs="宋体"/>
          <w:spacing w:val="-3"/>
        </w:rPr>
        <w:t>环运送到全身各处，并在体内发生分解、合成或转化等代谢，从而发挥其生理作</w:t>
      </w:r>
      <w:r>
        <w:rPr>
          <w:rFonts w:ascii="宋体" w:eastAsia="宋体" w:hAnsi="宋体" w:cs="宋体"/>
          <w:spacing w:val="17"/>
        </w:rPr>
        <w:t xml:space="preserve"> </w:t>
      </w:r>
      <w:r>
        <w:rPr>
          <w:rFonts w:ascii="宋体" w:eastAsia="宋体" w:hAnsi="宋体" w:cs="宋体"/>
          <w:spacing w:val="2"/>
        </w:rPr>
        <w:t>用。可以说，食物的消化、营养素的吸收与代谢过程就是其完成生理功能的过</w:t>
      </w:r>
      <w:r>
        <w:rPr>
          <w:rFonts w:ascii="宋体" w:eastAsia="宋体" w:hAnsi="宋体" w:cs="宋体"/>
          <w:spacing w:val="8"/>
        </w:rPr>
        <w:t xml:space="preserve"> </w:t>
      </w:r>
      <w:r>
        <w:rPr>
          <w:rFonts w:ascii="宋体" w:eastAsia="宋体" w:hAnsi="宋体" w:cs="宋体"/>
          <w:spacing w:val="-4"/>
        </w:rPr>
        <w:t>程。因此，了解食物的体内过程有助于理解营养素的生理功能。</w:t>
      </w:r>
    </w:p>
    <w:p w:rsidR="00EA40A3" w:rsidRDefault="00EA40A3">
      <w:pPr>
        <w:spacing w:line="241" w:lineRule="auto"/>
      </w:pPr>
    </w:p>
    <w:p w:rsidR="00EA40A3" w:rsidRDefault="00E86C16">
      <w:pPr>
        <w:spacing w:before="91" w:line="219" w:lineRule="auto"/>
        <w:ind w:left="2450"/>
        <w:rPr>
          <w:rFonts w:ascii="宋体" w:eastAsia="宋体" w:hAnsi="宋体" w:cs="宋体"/>
          <w:sz w:val="28"/>
          <w:szCs w:val="28"/>
        </w:rPr>
      </w:pPr>
      <w:r>
        <w:rPr>
          <w:rFonts w:ascii="宋体" w:eastAsia="宋体" w:hAnsi="宋体" w:cs="宋体"/>
          <w:spacing w:val="-3"/>
          <w:sz w:val="28"/>
          <w:szCs w:val="28"/>
        </w:rPr>
        <w:t>2.1</w:t>
      </w:r>
      <w:r>
        <w:rPr>
          <w:rFonts w:ascii="宋体" w:eastAsia="宋体" w:hAnsi="宋体" w:cs="宋体"/>
          <w:spacing w:val="134"/>
          <w:sz w:val="28"/>
          <w:szCs w:val="28"/>
        </w:rPr>
        <w:t xml:space="preserve"> </w:t>
      </w:r>
      <w:r>
        <w:rPr>
          <w:rFonts w:ascii="宋体" w:eastAsia="宋体" w:hAnsi="宋体" w:cs="宋体"/>
          <w:spacing w:val="-3"/>
          <w:sz w:val="28"/>
          <w:szCs w:val="28"/>
        </w:rPr>
        <w:t>消化与吸收生理</w:t>
      </w:r>
    </w:p>
    <w:p w:rsidR="00EA40A3" w:rsidRDefault="00EA40A3">
      <w:pPr>
        <w:spacing w:line="252" w:lineRule="auto"/>
      </w:pPr>
    </w:p>
    <w:p w:rsidR="00EA40A3" w:rsidRDefault="00E86C16">
      <w:pPr>
        <w:spacing w:before="68" w:line="255" w:lineRule="auto"/>
        <w:ind w:left="80" w:firstLine="430"/>
        <w:jc w:val="both"/>
        <w:rPr>
          <w:rFonts w:ascii="宋体" w:eastAsia="宋体" w:hAnsi="宋体" w:cs="宋体"/>
        </w:rPr>
      </w:pPr>
      <w:r>
        <w:rPr>
          <w:rFonts w:ascii="宋体" w:eastAsia="宋体" w:hAnsi="宋体" w:cs="宋体"/>
          <w:spacing w:val="-3"/>
        </w:rPr>
        <w:t>从人体解剖的角度来看，人的消化道是由互相延续的空腔器官构成，</w:t>
      </w:r>
      <w:r>
        <w:rPr>
          <w:rFonts w:ascii="宋体" w:eastAsia="宋体" w:hAnsi="宋体" w:cs="宋体"/>
          <w:spacing w:val="-4"/>
        </w:rPr>
        <w:t>上端通</w:t>
      </w:r>
      <w:r>
        <w:rPr>
          <w:rFonts w:ascii="宋体" w:eastAsia="宋体" w:hAnsi="宋体" w:cs="宋体"/>
        </w:rPr>
        <w:t xml:space="preserve"> </w:t>
      </w:r>
      <w:r>
        <w:rPr>
          <w:rFonts w:ascii="宋体" w:eastAsia="宋体" w:hAnsi="宋体" w:cs="宋体"/>
          <w:spacing w:val="-3"/>
        </w:rPr>
        <w:t>过口腔、下端由肛门与外界相通。因此，从严格意义上来说，人</w:t>
      </w:r>
      <w:r>
        <w:rPr>
          <w:rFonts w:ascii="宋体" w:eastAsia="宋体" w:hAnsi="宋体" w:cs="宋体"/>
          <w:spacing w:val="-4"/>
        </w:rPr>
        <w:t>体摄入的食物并</w:t>
      </w:r>
      <w:r>
        <w:rPr>
          <w:rFonts w:ascii="宋体" w:eastAsia="宋体" w:hAnsi="宋体" w:cs="宋体"/>
        </w:rPr>
        <w:t xml:space="preserve"> </w:t>
      </w:r>
      <w:r>
        <w:rPr>
          <w:rFonts w:ascii="宋体" w:eastAsia="宋体" w:hAnsi="宋体" w:cs="宋体"/>
          <w:spacing w:val="-3"/>
        </w:rPr>
        <w:t>没有真正进入到人体内，人体的组织与细胞也不能利用消化道内的食物，即便消</w:t>
      </w:r>
      <w:r>
        <w:rPr>
          <w:rFonts w:ascii="宋体" w:eastAsia="宋体" w:hAnsi="宋体" w:cs="宋体"/>
          <w:spacing w:val="4"/>
        </w:rPr>
        <w:t xml:space="preserve"> </w:t>
      </w:r>
      <w:r>
        <w:rPr>
          <w:rFonts w:ascii="宋体" w:eastAsia="宋体" w:hAnsi="宋体" w:cs="宋体"/>
          <w:spacing w:val="-2"/>
        </w:rPr>
        <w:t>化道本身，也需要由从心脏来源的血液提供氧气和养料。</w:t>
      </w:r>
      <w:r>
        <w:rPr>
          <w:rFonts w:ascii="宋体" w:eastAsia="宋体" w:hAnsi="宋体" w:cs="宋体"/>
          <w:spacing w:val="-3"/>
        </w:rPr>
        <w:t>可见，食物只有经过消</w:t>
      </w:r>
      <w:r>
        <w:rPr>
          <w:rFonts w:ascii="宋体" w:eastAsia="宋体" w:hAnsi="宋体" w:cs="宋体"/>
        </w:rPr>
        <w:t xml:space="preserve"> </w:t>
      </w:r>
      <w:r>
        <w:rPr>
          <w:rFonts w:ascii="宋体" w:eastAsia="宋体" w:hAnsi="宋体" w:cs="宋体"/>
          <w:spacing w:val="-5"/>
        </w:rPr>
        <w:t>化吸收进入人体后才能发挥其生理作用。</w:t>
      </w:r>
    </w:p>
    <w:p w:rsidR="00EA40A3" w:rsidRDefault="00E86C16">
      <w:pPr>
        <w:spacing w:before="95" w:line="257" w:lineRule="auto"/>
        <w:ind w:left="80" w:right="9" w:firstLine="430"/>
        <w:jc w:val="both"/>
        <w:rPr>
          <w:rFonts w:ascii="宋体" w:eastAsia="宋体" w:hAnsi="宋体" w:cs="宋体"/>
        </w:rPr>
      </w:pPr>
      <w:r>
        <w:rPr>
          <w:rFonts w:ascii="宋体" w:eastAsia="宋体" w:hAnsi="宋体" w:cs="宋体"/>
          <w:spacing w:val="-4"/>
        </w:rPr>
        <w:t>人体摄入的食物必须被分解成小分子物质后才能穿过生物膜进入体内，这种</w:t>
      </w:r>
      <w:r>
        <w:rPr>
          <w:rFonts w:ascii="宋体" w:eastAsia="宋体" w:hAnsi="宋体" w:cs="宋体"/>
          <w:spacing w:val="16"/>
        </w:rPr>
        <w:t xml:space="preserve"> </w:t>
      </w:r>
      <w:r>
        <w:rPr>
          <w:rFonts w:ascii="宋体" w:eastAsia="宋体" w:hAnsi="宋体" w:cs="宋体"/>
          <w:spacing w:val="-3"/>
        </w:rPr>
        <w:t>将食物分解为小分子物质的过程称为消化。消化是由消化道来完成的，人的消化</w:t>
      </w:r>
      <w:r>
        <w:rPr>
          <w:rFonts w:ascii="宋体" w:eastAsia="宋体" w:hAnsi="宋体" w:cs="宋体"/>
          <w:spacing w:val="12"/>
        </w:rPr>
        <w:t xml:space="preserve"> </w:t>
      </w:r>
      <w:r>
        <w:rPr>
          <w:rFonts w:ascii="宋体" w:eastAsia="宋体" w:hAnsi="宋体" w:cs="宋体"/>
          <w:spacing w:val="-8"/>
        </w:rPr>
        <w:t>道由不同的消化器官相延续而成。消化有两种方式：</w:t>
      </w:r>
      <w:r>
        <w:rPr>
          <w:rFonts w:ascii="宋体" w:eastAsia="宋体" w:hAnsi="宋体" w:cs="宋体"/>
          <w:spacing w:val="63"/>
        </w:rPr>
        <w:t xml:space="preserve"> </w:t>
      </w:r>
      <w:r>
        <w:rPr>
          <w:rFonts w:ascii="宋体" w:eastAsia="宋体" w:hAnsi="宋体" w:cs="宋体"/>
          <w:spacing w:val="-8"/>
        </w:rPr>
        <w:t>一种是通过机械作用，把食</w:t>
      </w:r>
      <w:r>
        <w:rPr>
          <w:rFonts w:ascii="宋体" w:eastAsia="宋体" w:hAnsi="宋体" w:cs="宋体"/>
        </w:rPr>
        <w:t xml:space="preserve"> </w:t>
      </w:r>
      <w:r>
        <w:rPr>
          <w:rFonts w:ascii="宋体" w:eastAsia="宋体" w:hAnsi="宋体" w:cs="宋体"/>
          <w:spacing w:val="-3"/>
        </w:rPr>
        <w:t>物由大块变成小块，称为机械消化；另一种是在消化酶的作用下，把大分子变成</w:t>
      </w:r>
      <w:r>
        <w:rPr>
          <w:rFonts w:ascii="宋体" w:eastAsia="宋体" w:hAnsi="宋体" w:cs="宋体"/>
          <w:spacing w:val="13"/>
        </w:rPr>
        <w:t xml:space="preserve"> </w:t>
      </w:r>
      <w:r>
        <w:rPr>
          <w:rFonts w:ascii="宋体" w:eastAsia="宋体" w:hAnsi="宋体" w:cs="宋体"/>
          <w:spacing w:val="-3"/>
        </w:rPr>
        <w:t>小分子，称为化学消化。通常，食物的机械消化与化学消化是同时进行的。食物</w:t>
      </w:r>
      <w:r>
        <w:rPr>
          <w:rFonts w:ascii="宋体" w:eastAsia="宋体" w:hAnsi="宋体" w:cs="宋体"/>
          <w:spacing w:val="14"/>
        </w:rPr>
        <w:t xml:space="preserve"> </w:t>
      </w:r>
      <w:r>
        <w:rPr>
          <w:rFonts w:ascii="宋体" w:eastAsia="宋体" w:hAnsi="宋体" w:cs="宋体"/>
          <w:spacing w:val="3"/>
        </w:rPr>
        <w:t>经消化后，所形成的小分子物质通过消化道黏膜进入血液或淋巴的过程，称为</w:t>
      </w:r>
      <w:r>
        <w:rPr>
          <w:rFonts w:ascii="宋体" w:eastAsia="宋体" w:hAnsi="宋体" w:cs="宋体"/>
          <w:spacing w:val="17"/>
        </w:rPr>
        <w:t xml:space="preserve"> </w:t>
      </w:r>
      <w:r>
        <w:rPr>
          <w:rFonts w:ascii="宋体" w:eastAsia="宋体" w:hAnsi="宋体" w:cs="宋体"/>
          <w:spacing w:val="-11"/>
        </w:rPr>
        <w:t>吸收。</w:t>
      </w:r>
    </w:p>
    <w:p w:rsidR="00EA40A3" w:rsidRDefault="00E86C16">
      <w:pPr>
        <w:spacing w:before="217" w:line="221" w:lineRule="auto"/>
        <w:ind w:left="83"/>
        <w:outlineLvl w:val="6"/>
        <w:rPr>
          <w:rFonts w:ascii="黑体" w:eastAsia="黑体" w:hAnsi="黑体" w:cs="黑体"/>
          <w:sz w:val="25"/>
          <w:szCs w:val="25"/>
        </w:rPr>
      </w:pPr>
      <w:r>
        <w:rPr>
          <w:rFonts w:ascii="黑体" w:eastAsia="黑体" w:hAnsi="黑体" w:cs="黑体"/>
          <w:b/>
          <w:bCs/>
          <w:spacing w:val="-12"/>
          <w:sz w:val="25"/>
          <w:szCs w:val="25"/>
        </w:rPr>
        <w:t>2.1.1</w:t>
      </w:r>
      <w:r>
        <w:rPr>
          <w:rFonts w:ascii="黑体" w:eastAsia="黑体" w:hAnsi="黑体" w:cs="黑体"/>
          <w:spacing w:val="110"/>
          <w:sz w:val="25"/>
          <w:szCs w:val="25"/>
        </w:rPr>
        <w:t xml:space="preserve"> </w:t>
      </w:r>
      <w:r>
        <w:rPr>
          <w:rFonts w:ascii="黑体" w:eastAsia="黑体" w:hAnsi="黑体" w:cs="黑体"/>
          <w:b/>
          <w:bCs/>
          <w:spacing w:val="-12"/>
          <w:sz w:val="25"/>
          <w:szCs w:val="25"/>
        </w:rPr>
        <w:t>消化系统的组成与功能</w:t>
      </w:r>
    </w:p>
    <w:p w:rsidR="00EA40A3" w:rsidRDefault="00E86C16">
      <w:pPr>
        <w:spacing w:before="205" w:line="246" w:lineRule="auto"/>
        <w:ind w:right="4" w:firstLine="510"/>
        <w:jc w:val="both"/>
        <w:rPr>
          <w:rFonts w:ascii="宋体" w:eastAsia="宋体" w:hAnsi="宋体" w:cs="宋体"/>
        </w:rPr>
      </w:pPr>
      <w:r>
        <w:rPr>
          <w:rFonts w:ascii="宋体" w:eastAsia="宋体" w:hAnsi="宋体" w:cs="宋体"/>
          <w:spacing w:val="-3"/>
        </w:rPr>
        <w:t>消化系统由消化道和消化道外的肝胆、胰腺等组成。消化道由口腔、咽</w:t>
      </w:r>
      <w:r>
        <w:rPr>
          <w:rFonts w:ascii="宋体" w:eastAsia="宋体" w:hAnsi="宋体" w:cs="宋体"/>
          <w:spacing w:val="-4"/>
        </w:rPr>
        <w:t>、食</w:t>
      </w:r>
      <w:r>
        <w:rPr>
          <w:rFonts w:ascii="宋体" w:eastAsia="宋体" w:hAnsi="宋体" w:cs="宋体"/>
        </w:rPr>
        <w:t xml:space="preserve"> 道、胃、小肠和大肠组成，是食物消化的场所；肝胆提供帮助脂肪消化</w:t>
      </w:r>
      <w:r>
        <w:rPr>
          <w:rFonts w:ascii="宋体" w:eastAsia="宋体" w:hAnsi="宋体" w:cs="宋体"/>
          <w:spacing w:val="-1"/>
        </w:rPr>
        <w:t>与吸收的</w:t>
      </w:r>
      <w:r>
        <w:rPr>
          <w:rFonts w:ascii="宋体" w:eastAsia="宋体" w:hAnsi="宋体" w:cs="宋体"/>
        </w:rPr>
        <w:t xml:space="preserve"> 胆汁，胰腺提供小肠内食物消化的酶类如蛋白酶、淀粉</w:t>
      </w:r>
      <w:r>
        <w:rPr>
          <w:rFonts w:ascii="宋体" w:eastAsia="宋体" w:hAnsi="宋体" w:cs="宋体"/>
          <w:spacing w:val="-1"/>
        </w:rPr>
        <w:t>酶和脂肪酶等。消化系统</w:t>
      </w:r>
      <w:r>
        <w:rPr>
          <w:rFonts w:ascii="宋体" w:eastAsia="宋体" w:hAnsi="宋体" w:cs="宋体"/>
        </w:rPr>
        <w:t xml:space="preserve"> </w:t>
      </w:r>
      <w:r>
        <w:rPr>
          <w:rFonts w:ascii="宋体" w:eastAsia="宋体" w:hAnsi="宋体" w:cs="宋体"/>
          <w:spacing w:val="7"/>
        </w:rPr>
        <w:t>的组成见图2-1。</w:t>
      </w:r>
    </w:p>
    <w:p w:rsidR="00EA40A3" w:rsidRDefault="00E86C16">
      <w:pPr>
        <w:spacing w:before="112"/>
        <w:ind w:left="239"/>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17"/>
          <w:sz w:val="15"/>
          <w:szCs w:val="15"/>
        </w:rPr>
        <w:t xml:space="preserve"> </w:t>
      </w:r>
      <w:r>
        <w:rPr>
          <w:rFonts w:ascii="宋体" w:eastAsia="宋体" w:hAnsi="宋体" w:cs="宋体"/>
          <w:spacing w:val="-19"/>
          <w:sz w:val="15"/>
          <w:szCs w:val="15"/>
        </w:rPr>
        <w:t>18</w:t>
      </w:r>
      <w:r>
        <w:rPr>
          <w:rFonts w:ascii="宋体" w:eastAsia="宋体" w:hAnsi="宋体" w:cs="宋体"/>
          <w:spacing w:val="57"/>
          <w:w w:val="101"/>
          <w:sz w:val="15"/>
          <w:szCs w:val="15"/>
        </w:rPr>
        <w:t xml:space="preserve"> </w:t>
      </w:r>
      <w:r>
        <w:rPr>
          <w:rFonts w:ascii="宋体" w:eastAsia="宋体" w:hAnsi="宋体" w:cs="宋体"/>
          <w:spacing w:val="-19"/>
          <w:sz w:val="15"/>
          <w:szCs w:val="15"/>
        </w:rPr>
        <w:t>·</w:t>
      </w:r>
    </w:p>
    <w:p w:rsidR="00EA40A3" w:rsidRDefault="00EA40A3">
      <w:pPr>
        <w:sectPr w:rsidR="00EA40A3">
          <w:footerReference w:type="default" r:id="rId28"/>
          <w:pgSz w:w="9220" w:h="13360"/>
          <w:pgMar w:top="400" w:right="1059" w:bottom="400" w:left="809" w:header="0" w:footer="0" w:gutter="0"/>
          <w:cols w:space="720"/>
        </w:sectPr>
      </w:pPr>
    </w:p>
    <w:p w:rsidR="00EA40A3" w:rsidRDefault="00825D12">
      <w:r>
        <w:rPr>
          <w:noProof/>
        </w:rPr>
        <w:lastRenderedPageBreak/>
        <mc:AlternateContent>
          <mc:Choice Requires="wps">
            <w:drawing>
              <wp:anchor distT="0" distB="0" distL="114300" distR="114300" simplePos="0" relativeHeight="251666432" behindDoc="0" locked="0" layoutInCell="0" allowOverlap="1">
                <wp:simplePos x="0" y="0"/>
                <wp:positionH relativeFrom="page">
                  <wp:posOffset>4348480</wp:posOffset>
                </wp:positionH>
                <wp:positionV relativeFrom="page">
                  <wp:posOffset>1219835</wp:posOffset>
                </wp:positionV>
                <wp:extent cx="141605" cy="398780"/>
                <wp:effectExtent l="0" t="635" r="0" b="635"/>
                <wp:wrapNone/>
                <wp:docPr id="1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05" w:lineRule="auto"/>
                              <w:ind w:left="20"/>
                              <w:rPr>
                                <w:rFonts w:ascii="黑体" w:eastAsia="黑体" w:hAnsi="黑体" w:cs="黑体"/>
                                <w:sz w:val="16"/>
                                <w:szCs w:val="16"/>
                              </w:rPr>
                            </w:pPr>
                            <w:r>
                              <w:rPr>
                                <w:rFonts w:ascii="宋体" w:eastAsia="宋体" w:hAnsi="宋体" w:cs="宋体"/>
                                <w:spacing w:val="1"/>
                                <w:sz w:val="16"/>
                                <w:szCs w:val="16"/>
                              </w:rPr>
                              <w:t>咽</w:t>
                            </w:r>
                            <w:r>
                              <w:rPr>
                                <w:rFonts w:ascii="宋体" w:eastAsia="宋体" w:hAnsi="宋体" w:cs="宋体"/>
                                <w:spacing w:val="8"/>
                                <w:sz w:val="16"/>
                                <w:szCs w:val="16"/>
                              </w:rPr>
                              <w:t xml:space="preserve">   </w:t>
                            </w:r>
                            <w:r>
                              <w:rPr>
                                <w:rFonts w:ascii="黑体" w:eastAsia="黑体" w:hAnsi="黑体" w:cs="黑体"/>
                                <w:spacing w:val="1"/>
                                <w:sz w:val="16"/>
                                <w:szCs w:val="16"/>
                              </w:rPr>
                              <w:t>喉</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margin-left:342.4pt;margin-top:96.05pt;width:11.15pt;height:3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" o:allowincell="f" filled="f" stroked="f">
                <v:textbox style="layout-flow:vertical-ideographic" inset="0,0,0,0">
                  <w:txbxContent>
                    <w:p w:rsidR="00E86C16" w:rsidRDefault="00E86C16">
                      <w:pPr>
                        <w:spacing w:before="19" w:line="205" w:lineRule="auto"/>
                        <w:ind w:left="20"/>
                        <w:rPr>
                          <w:rFonts w:ascii="黑体" w:eastAsia="黑体" w:hAnsi="黑体" w:cs="黑体"/>
                          <w:sz w:val="16"/>
                          <w:szCs w:val="16"/>
                        </w:rPr>
                      </w:pPr>
                      <w:r>
                        <w:rPr>
                          <w:rFonts w:ascii="宋体" w:eastAsia="宋体" w:hAnsi="宋体" w:cs="宋体"/>
                          <w:spacing w:val="1"/>
                          <w:sz w:val="16"/>
                          <w:szCs w:val="16"/>
                        </w:rPr>
                        <w:t>咽</w:t>
                      </w:r>
                      <w:r>
                        <w:rPr>
                          <w:rFonts w:ascii="宋体" w:eastAsia="宋体" w:hAnsi="宋体" w:cs="宋体"/>
                          <w:spacing w:val="8"/>
                          <w:sz w:val="16"/>
                          <w:szCs w:val="16"/>
                        </w:rPr>
                        <w:t xml:space="preserve">   </w:t>
                      </w:r>
                      <w:r>
                        <w:rPr>
                          <w:rFonts w:ascii="黑体" w:eastAsia="黑体" w:hAnsi="黑体" w:cs="黑体"/>
                          <w:spacing w:val="1"/>
                          <w:sz w:val="16"/>
                          <w:szCs w:val="16"/>
                        </w:rPr>
                        <w:t>喉</w:t>
                      </w:r>
                    </w:p>
                  </w:txbxContent>
                </v:textbox>
                <w10:wrap anchorx="page" anchory="page"/>
              </v:shape>
            </w:pict>
          </mc:Fallback>
        </mc:AlternateContent>
      </w:r>
    </w:p>
    <w:p w:rsidR="00EA40A3" w:rsidRDefault="00EA40A3"/>
    <w:p w:rsidR="00EA40A3" w:rsidRDefault="00EA40A3">
      <w:pPr>
        <w:spacing w:line="175" w:lineRule="exact"/>
      </w:pPr>
    </w:p>
    <w:p w:rsidR="00EA40A3" w:rsidRDefault="00EA40A3">
      <w:pPr>
        <w:sectPr w:rsidR="00EA40A3">
          <w:pgSz w:w="9220" w:h="13360"/>
          <w:pgMar w:top="400" w:right="1062" w:bottom="400" w:left="890" w:header="0" w:footer="0" w:gutter="0"/>
          <w:cols w:space="720" w:equalWidth="0">
            <w:col w:w="7268"/>
          </w:cols>
        </w:sectPr>
      </w:pPr>
    </w:p>
    <w:p w:rsidR="00EA40A3" w:rsidRDefault="00E86C16">
      <w:pPr>
        <w:spacing w:before="110" w:line="224" w:lineRule="auto"/>
        <w:rPr>
          <w:rFonts w:ascii="仿宋" w:eastAsia="仿宋" w:hAnsi="仿宋" w:cs="仿宋"/>
          <w:sz w:val="25"/>
          <w:szCs w:val="25"/>
        </w:rPr>
      </w:pPr>
      <w:r>
        <w:rPr>
          <w:rFonts w:ascii="仿宋" w:eastAsia="仿宋" w:hAnsi="仿宋" w:cs="仿宋"/>
          <w:spacing w:val="-15"/>
          <w:sz w:val="25"/>
          <w:szCs w:val="25"/>
        </w:rPr>
        <w:t>1.</w:t>
      </w:r>
      <w:r>
        <w:rPr>
          <w:rFonts w:ascii="仿宋" w:eastAsia="仿宋" w:hAnsi="仿宋" w:cs="仿宋"/>
          <w:spacing w:val="-47"/>
          <w:sz w:val="25"/>
          <w:szCs w:val="25"/>
        </w:rPr>
        <w:t xml:space="preserve"> </w:t>
      </w:r>
      <w:r>
        <w:rPr>
          <w:rFonts w:ascii="仿宋" w:eastAsia="仿宋" w:hAnsi="仿宋" w:cs="仿宋"/>
          <w:spacing w:val="-15"/>
          <w:sz w:val="25"/>
          <w:szCs w:val="25"/>
        </w:rPr>
        <w:t>口腔</w:t>
      </w:r>
    </w:p>
    <w:p w:rsidR="00EA40A3" w:rsidRDefault="00E86C16">
      <w:pPr>
        <w:spacing w:before="136" w:line="252" w:lineRule="auto"/>
        <w:ind w:right="138" w:firstLine="430"/>
        <w:jc w:val="both"/>
        <w:rPr>
          <w:rFonts w:ascii="宋体" w:eastAsia="宋体" w:hAnsi="宋体" w:cs="宋体"/>
          <w:sz w:val="22"/>
          <w:szCs w:val="22"/>
        </w:rPr>
      </w:pPr>
      <w:r>
        <w:rPr>
          <w:rFonts w:ascii="宋体" w:eastAsia="宋体" w:hAnsi="宋体" w:cs="宋体"/>
          <w:spacing w:val="-8"/>
          <w:sz w:val="22"/>
          <w:szCs w:val="22"/>
        </w:rPr>
        <w:t>口腔</w:t>
      </w:r>
      <w:r>
        <w:rPr>
          <w:rFonts w:ascii="宋体" w:eastAsia="宋体" w:hAnsi="宋体" w:cs="宋体"/>
          <w:spacing w:val="10"/>
          <w:sz w:val="22"/>
          <w:szCs w:val="22"/>
        </w:rPr>
        <w:t xml:space="preserve"> </w:t>
      </w:r>
      <w:r>
        <w:rPr>
          <w:rFonts w:ascii="宋体" w:eastAsia="宋体" w:hAnsi="宋体" w:cs="宋体"/>
          <w:spacing w:val="-8"/>
          <w:sz w:val="22"/>
          <w:szCs w:val="22"/>
        </w:rPr>
        <w:t>(mouth)</w:t>
      </w:r>
      <w:r>
        <w:rPr>
          <w:rFonts w:ascii="宋体" w:eastAsia="宋体" w:hAnsi="宋体" w:cs="宋体"/>
          <w:spacing w:val="48"/>
          <w:sz w:val="22"/>
          <w:szCs w:val="22"/>
        </w:rPr>
        <w:t xml:space="preserve"> </w:t>
      </w:r>
      <w:r>
        <w:rPr>
          <w:rFonts w:ascii="宋体" w:eastAsia="宋体" w:hAnsi="宋体" w:cs="宋体"/>
          <w:spacing w:val="-8"/>
          <w:sz w:val="22"/>
          <w:szCs w:val="22"/>
        </w:rPr>
        <w:t>位于消化道的最</w:t>
      </w:r>
      <w:r>
        <w:rPr>
          <w:rFonts w:ascii="宋体" w:eastAsia="宋体" w:hAnsi="宋体" w:cs="宋体"/>
          <w:sz w:val="22"/>
          <w:szCs w:val="22"/>
        </w:rPr>
        <w:t xml:space="preserve"> </w:t>
      </w:r>
      <w:r>
        <w:rPr>
          <w:rFonts w:ascii="宋体" w:eastAsia="宋体" w:hAnsi="宋体" w:cs="宋体"/>
          <w:spacing w:val="-12"/>
          <w:sz w:val="22"/>
          <w:szCs w:val="22"/>
        </w:rPr>
        <w:t>前端，是食物进入消化道的门户。口</w:t>
      </w:r>
      <w:r>
        <w:rPr>
          <w:rFonts w:ascii="宋体" w:eastAsia="宋体" w:hAnsi="宋体" w:cs="宋体"/>
          <w:spacing w:val="1"/>
          <w:sz w:val="22"/>
          <w:szCs w:val="22"/>
        </w:rPr>
        <w:t xml:space="preserve"> </w:t>
      </w:r>
      <w:r>
        <w:rPr>
          <w:rFonts w:ascii="宋体" w:eastAsia="宋体" w:hAnsi="宋体" w:cs="宋体"/>
          <w:spacing w:val="-15"/>
          <w:sz w:val="22"/>
          <w:szCs w:val="22"/>
        </w:rPr>
        <w:t>腔内参与消化的器官有：</w:t>
      </w:r>
    </w:p>
    <w:p w:rsidR="00EA40A3" w:rsidRDefault="00E86C16">
      <w:pPr>
        <w:spacing w:before="36" w:line="225" w:lineRule="auto"/>
        <w:rPr>
          <w:rFonts w:ascii="楷体" w:eastAsia="楷体" w:hAnsi="楷体" w:cs="楷体"/>
          <w:sz w:val="22"/>
          <w:szCs w:val="22"/>
        </w:rPr>
      </w:pPr>
      <w:r>
        <w:rPr>
          <w:rFonts w:ascii="楷体" w:eastAsia="楷体" w:hAnsi="楷体" w:cs="楷体"/>
          <w:spacing w:val="10"/>
          <w:sz w:val="22"/>
          <w:szCs w:val="22"/>
        </w:rPr>
        <w:t>1)牙齿</w:t>
      </w:r>
    </w:p>
    <w:p w:rsidR="00EA40A3" w:rsidRDefault="00E86C16">
      <w:pPr>
        <w:spacing w:before="17" w:line="248" w:lineRule="auto"/>
        <w:ind w:right="59" w:firstLine="430"/>
        <w:rPr>
          <w:rFonts w:ascii="宋体" w:eastAsia="宋体" w:hAnsi="宋体" w:cs="宋体"/>
          <w:sz w:val="22"/>
          <w:szCs w:val="22"/>
        </w:rPr>
      </w:pPr>
      <w:r>
        <w:rPr>
          <w:rFonts w:ascii="宋体" w:eastAsia="宋体" w:hAnsi="宋体" w:cs="宋体"/>
          <w:spacing w:val="-8"/>
          <w:sz w:val="22"/>
          <w:szCs w:val="22"/>
        </w:rPr>
        <w:t>牙齿</w:t>
      </w:r>
      <w:r>
        <w:rPr>
          <w:rFonts w:ascii="宋体" w:eastAsia="宋体" w:hAnsi="宋体" w:cs="宋体"/>
          <w:spacing w:val="-31"/>
          <w:sz w:val="22"/>
          <w:szCs w:val="22"/>
        </w:rPr>
        <w:t xml:space="preserve"> </w:t>
      </w:r>
      <w:r>
        <w:rPr>
          <w:rFonts w:ascii="宋体" w:eastAsia="宋体" w:hAnsi="宋体" w:cs="宋体"/>
          <w:spacing w:val="-8"/>
          <w:sz w:val="22"/>
          <w:szCs w:val="22"/>
        </w:rPr>
        <w:t>(dens)</w:t>
      </w:r>
      <w:r>
        <w:rPr>
          <w:rFonts w:ascii="宋体" w:eastAsia="宋体" w:hAnsi="宋体" w:cs="宋体"/>
          <w:spacing w:val="-23"/>
          <w:sz w:val="22"/>
          <w:szCs w:val="22"/>
        </w:rPr>
        <w:t xml:space="preserve"> </w:t>
      </w:r>
      <w:r>
        <w:rPr>
          <w:rFonts w:ascii="宋体" w:eastAsia="宋体" w:hAnsi="宋体" w:cs="宋体"/>
          <w:spacing w:val="-8"/>
          <w:sz w:val="22"/>
          <w:szCs w:val="22"/>
        </w:rPr>
        <w:t>是人体最坚硬的器</w:t>
      </w:r>
      <w:r>
        <w:rPr>
          <w:rFonts w:ascii="宋体" w:eastAsia="宋体" w:hAnsi="宋体" w:cs="宋体"/>
          <w:sz w:val="22"/>
          <w:szCs w:val="22"/>
        </w:rPr>
        <w:t xml:space="preserve"> </w:t>
      </w:r>
      <w:r>
        <w:rPr>
          <w:rFonts w:ascii="宋体" w:eastAsia="宋体" w:hAnsi="宋体" w:cs="宋体"/>
          <w:spacing w:val="2"/>
          <w:sz w:val="22"/>
          <w:szCs w:val="22"/>
        </w:rPr>
        <w:t>官，成人一般有28颗恒牙，20岁后</w:t>
      </w:r>
      <w:r>
        <w:rPr>
          <w:rFonts w:ascii="宋体" w:eastAsia="宋体" w:hAnsi="宋体" w:cs="宋体"/>
          <w:spacing w:val="1"/>
          <w:sz w:val="22"/>
          <w:szCs w:val="22"/>
        </w:rPr>
        <w:t xml:space="preserve"> </w:t>
      </w:r>
      <w:r>
        <w:rPr>
          <w:rFonts w:ascii="宋体" w:eastAsia="宋体" w:hAnsi="宋体" w:cs="宋体"/>
          <w:spacing w:val="8"/>
          <w:sz w:val="22"/>
          <w:szCs w:val="22"/>
        </w:rPr>
        <w:t>会再长出4颗智齿，共32颗。根据</w:t>
      </w:r>
      <w:r>
        <w:rPr>
          <w:rFonts w:ascii="宋体" w:eastAsia="宋体" w:hAnsi="宋体" w:cs="宋体"/>
          <w:spacing w:val="13"/>
          <w:sz w:val="22"/>
          <w:szCs w:val="22"/>
        </w:rPr>
        <w:t xml:space="preserve"> </w:t>
      </w:r>
      <w:r>
        <w:rPr>
          <w:rFonts w:ascii="宋体" w:eastAsia="宋体" w:hAnsi="宋体" w:cs="宋体"/>
          <w:spacing w:val="-12"/>
          <w:sz w:val="22"/>
          <w:szCs w:val="22"/>
        </w:rPr>
        <w:t>其形状和功能，牙齿可分为切牙、尖</w:t>
      </w:r>
      <w:r>
        <w:rPr>
          <w:rFonts w:ascii="宋体" w:eastAsia="宋体" w:hAnsi="宋体" w:cs="宋体"/>
          <w:sz w:val="22"/>
          <w:szCs w:val="22"/>
        </w:rPr>
        <w:t xml:space="preserve"> </w:t>
      </w:r>
      <w:r>
        <w:rPr>
          <w:rFonts w:ascii="宋体" w:eastAsia="宋体" w:hAnsi="宋体" w:cs="宋体"/>
          <w:spacing w:val="-12"/>
          <w:sz w:val="22"/>
          <w:szCs w:val="22"/>
        </w:rPr>
        <w:t>牙和磨牙，切牙用于切断食物，尖牙</w:t>
      </w:r>
      <w:r>
        <w:rPr>
          <w:rFonts w:ascii="宋体" w:eastAsia="宋体" w:hAnsi="宋体" w:cs="宋体"/>
          <w:spacing w:val="2"/>
          <w:sz w:val="22"/>
          <w:szCs w:val="22"/>
        </w:rPr>
        <w:t xml:space="preserve"> </w:t>
      </w:r>
      <w:r>
        <w:rPr>
          <w:rFonts w:ascii="宋体" w:eastAsia="宋体" w:hAnsi="宋体" w:cs="宋体"/>
          <w:spacing w:val="-7"/>
          <w:sz w:val="22"/>
          <w:szCs w:val="22"/>
        </w:rPr>
        <w:t>用于撕扯食物，磨牙用于磨碎食物。</w:t>
      </w:r>
      <w:r>
        <w:rPr>
          <w:rFonts w:ascii="宋体" w:eastAsia="宋体" w:hAnsi="宋体" w:cs="宋体"/>
          <w:spacing w:val="1"/>
          <w:sz w:val="22"/>
          <w:szCs w:val="22"/>
        </w:rPr>
        <w:t xml:space="preserve"> </w:t>
      </w:r>
      <w:r>
        <w:rPr>
          <w:rFonts w:ascii="宋体" w:eastAsia="宋体" w:hAnsi="宋体" w:cs="宋体"/>
          <w:spacing w:val="-12"/>
          <w:sz w:val="22"/>
          <w:szCs w:val="22"/>
        </w:rPr>
        <w:t>通过牙齿的咀嚼，食物可以由大块变</w:t>
      </w:r>
      <w:r>
        <w:rPr>
          <w:rFonts w:ascii="宋体" w:eastAsia="宋体" w:hAnsi="宋体" w:cs="宋体"/>
          <w:sz w:val="22"/>
          <w:szCs w:val="22"/>
        </w:rPr>
        <w:t xml:space="preserve"> </w:t>
      </w:r>
      <w:r>
        <w:rPr>
          <w:rFonts w:ascii="宋体" w:eastAsia="宋体" w:hAnsi="宋体" w:cs="宋体"/>
          <w:spacing w:val="-16"/>
          <w:sz w:val="22"/>
          <w:szCs w:val="22"/>
        </w:rPr>
        <w:t>成小块，有利于食物在胃肠的消化。</w:t>
      </w:r>
      <w:r>
        <w:rPr>
          <w:rFonts w:ascii="宋体" w:eastAsia="宋体" w:hAnsi="宋体" w:cs="宋体"/>
          <w:spacing w:val="2"/>
          <w:sz w:val="22"/>
          <w:szCs w:val="22"/>
        </w:rPr>
        <w:t xml:space="preserve">  </w:t>
      </w:r>
      <w:r>
        <w:rPr>
          <w:rFonts w:ascii="宋体" w:eastAsia="宋体" w:hAnsi="宋体" w:cs="宋体"/>
          <w:spacing w:val="23"/>
          <w:sz w:val="22"/>
          <w:szCs w:val="22"/>
        </w:rPr>
        <w:t>2)舌</w:t>
      </w:r>
    </w:p>
    <w:p w:rsidR="00EA40A3" w:rsidRDefault="00E86C16">
      <w:pPr>
        <w:spacing w:before="92" w:line="248" w:lineRule="auto"/>
        <w:ind w:right="115" w:firstLine="430"/>
        <w:jc w:val="both"/>
        <w:rPr>
          <w:rFonts w:ascii="宋体" w:eastAsia="宋体" w:hAnsi="宋体" w:cs="宋体"/>
          <w:sz w:val="22"/>
          <w:szCs w:val="22"/>
        </w:rPr>
      </w:pPr>
      <w:r>
        <w:rPr>
          <w:rFonts w:ascii="宋体" w:eastAsia="宋体" w:hAnsi="宋体" w:cs="宋体"/>
          <w:spacing w:val="-7"/>
          <w:sz w:val="22"/>
          <w:szCs w:val="22"/>
        </w:rPr>
        <w:t>舌</w:t>
      </w:r>
      <w:r>
        <w:rPr>
          <w:rFonts w:ascii="宋体" w:eastAsia="宋体" w:hAnsi="宋体" w:cs="宋体"/>
          <w:spacing w:val="4"/>
          <w:sz w:val="22"/>
          <w:szCs w:val="22"/>
        </w:rPr>
        <w:t xml:space="preserve"> </w:t>
      </w:r>
      <w:r>
        <w:rPr>
          <w:rFonts w:ascii="宋体" w:eastAsia="宋体" w:hAnsi="宋体" w:cs="宋体"/>
          <w:spacing w:val="-7"/>
          <w:sz w:val="22"/>
          <w:szCs w:val="22"/>
        </w:rPr>
        <w:t>(tongue)</w:t>
      </w:r>
      <w:r>
        <w:rPr>
          <w:rFonts w:ascii="宋体" w:eastAsia="宋体" w:hAnsi="宋体" w:cs="宋体"/>
          <w:spacing w:val="-42"/>
          <w:sz w:val="22"/>
          <w:szCs w:val="22"/>
        </w:rPr>
        <w:t xml:space="preserve"> </w:t>
      </w:r>
      <w:r>
        <w:rPr>
          <w:rFonts w:ascii="宋体" w:eastAsia="宋体" w:hAnsi="宋体" w:cs="宋体"/>
          <w:spacing w:val="-7"/>
          <w:sz w:val="22"/>
          <w:szCs w:val="22"/>
        </w:rPr>
        <w:t>是一个由横纹肌构</w:t>
      </w:r>
      <w:r>
        <w:rPr>
          <w:rFonts w:ascii="宋体" w:eastAsia="宋体" w:hAnsi="宋体" w:cs="宋体"/>
          <w:sz w:val="22"/>
          <w:szCs w:val="22"/>
        </w:rPr>
        <w:t xml:space="preserve"> </w:t>
      </w:r>
      <w:r>
        <w:rPr>
          <w:rFonts w:ascii="宋体" w:eastAsia="宋体" w:hAnsi="宋体" w:cs="宋体"/>
          <w:spacing w:val="-14"/>
          <w:sz w:val="22"/>
          <w:szCs w:val="22"/>
        </w:rPr>
        <w:t>成的肌性器官，肌肉的收缩和舒张可</w:t>
      </w:r>
      <w:r>
        <w:rPr>
          <w:rFonts w:ascii="宋体" w:eastAsia="宋体" w:hAnsi="宋体" w:cs="宋体"/>
          <w:spacing w:val="11"/>
          <w:sz w:val="22"/>
          <w:szCs w:val="22"/>
        </w:rPr>
        <w:t xml:space="preserve"> </w:t>
      </w:r>
      <w:r>
        <w:rPr>
          <w:rFonts w:ascii="宋体" w:eastAsia="宋体" w:hAnsi="宋体" w:cs="宋体"/>
          <w:spacing w:val="-12"/>
          <w:sz w:val="22"/>
          <w:szCs w:val="22"/>
        </w:rPr>
        <w:t>以使舌在口腔内伸缩和卷曲，帮助牙</w:t>
      </w:r>
      <w:r>
        <w:rPr>
          <w:rFonts w:ascii="宋体" w:eastAsia="宋体" w:hAnsi="宋体" w:cs="宋体"/>
          <w:spacing w:val="2"/>
          <w:sz w:val="22"/>
          <w:szCs w:val="22"/>
        </w:rPr>
        <w:t xml:space="preserve"> </w:t>
      </w:r>
      <w:r>
        <w:rPr>
          <w:rFonts w:ascii="宋体" w:eastAsia="宋体" w:hAnsi="宋体" w:cs="宋体"/>
          <w:spacing w:val="-12"/>
          <w:sz w:val="22"/>
          <w:szCs w:val="22"/>
        </w:rPr>
        <w:t>齿完成咀嚼功能；在进食过程中，舌</w:t>
      </w:r>
      <w:r>
        <w:rPr>
          <w:rFonts w:ascii="宋体" w:eastAsia="宋体" w:hAnsi="宋体" w:cs="宋体"/>
          <w:sz w:val="22"/>
          <w:szCs w:val="22"/>
        </w:rPr>
        <w:t xml:space="preserve"> </w:t>
      </w:r>
      <w:r>
        <w:rPr>
          <w:rFonts w:ascii="宋体" w:eastAsia="宋体" w:hAnsi="宋体" w:cs="宋体"/>
          <w:spacing w:val="-12"/>
          <w:sz w:val="22"/>
          <w:szCs w:val="22"/>
        </w:rPr>
        <w:t>使食物与唾液混合，并将食物向咽喉</w:t>
      </w:r>
      <w:r>
        <w:rPr>
          <w:rFonts w:ascii="宋体" w:eastAsia="宋体" w:hAnsi="宋体" w:cs="宋体"/>
          <w:sz w:val="22"/>
          <w:szCs w:val="22"/>
        </w:rPr>
        <w:t xml:space="preserve"> </w:t>
      </w:r>
      <w:r>
        <w:rPr>
          <w:rFonts w:ascii="宋体" w:eastAsia="宋体" w:hAnsi="宋体" w:cs="宋体"/>
          <w:spacing w:val="-12"/>
          <w:sz w:val="22"/>
          <w:szCs w:val="22"/>
        </w:rPr>
        <w:t>部推进，用以帮助食物吞咽；同时舌</w:t>
      </w:r>
      <w:r>
        <w:rPr>
          <w:rFonts w:ascii="宋体" w:eastAsia="宋体" w:hAnsi="宋体" w:cs="宋体"/>
          <w:sz w:val="22"/>
          <w:szCs w:val="22"/>
        </w:rPr>
        <w:t xml:space="preserve"> </w:t>
      </w:r>
      <w:r>
        <w:rPr>
          <w:rFonts w:ascii="宋体" w:eastAsia="宋体" w:hAnsi="宋体" w:cs="宋体"/>
          <w:spacing w:val="-14"/>
          <w:sz w:val="22"/>
          <w:szCs w:val="22"/>
        </w:rPr>
        <w:t>也是味觉的主要器官。</w:t>
      </w:r>
    </w:p>
    <w:p w:rsidR="00EA40A3" w:rsidRDefault="00E86C16">
      <w:pPr>
        <w:spacing w:before="88" w:line="229" w:lineRule="auto"/>
        <w:rPr>
          <w:rFonts w:ascii="楷体" w:eastAsia="楷体" w:hAnsi="楷体" w:cs="楷体"/>
          <w:sz w:val="22"/>
          <w:szCs w:val="22"/>
        </w:rPr>
      </w:pPr>
      <w:r>
        <w:rPr>
          <w:rFonts w:ascii="楷体" w:eastAsia="楷体" w:hAnsi="楷体" w:cs="楷体"/>
          <w:spacing w:val="6"/>
          <w:sz w:val="22"/>
          <w:szCs w:val="22"/>
        </w:rPr>
        <w:t>3)唾液腺</w:t>
      </w:r>
    </w:p>
    <w:p w:rsidR="00EA40A3" w:rsidRDefault="00E86C16">
      <w:pPr>
        <w:spacing w:before="28" w:line="241" w:lineRule="auto"/>
        <w:ind w:right="140" w:firstLine="430"/>
        <w:jc w:val="both"/>
        <w:rPr>
          <w:rFonts w:ascii="宋体" w:eastAsia="宋体" w:hAnsi="宋体" w:cs="宋体"/>
          <w:sz w:val="22"/>
          <w:szCs w:val="22"/>
        </w:rPr>
      </w:pPr>
      <w:r>
        <w:rPr>
          <w:rFonts w:ascii="宋体" w:eastAsia="宋体" w:hAnsi="宋体" w:cs="宋体"/>
          <w:spacing w:val="11"/>
          <w:sz w:val="22"/>
          <w:szCs w:val="22"/>
        </w:rPr>
        <w:t>人的口腔内有3对大的唾液腺</w:t>
      </w:r>
      <w:r>
        <w:rPr>
          <w:rFonts w:ascii="宋体" w:eastAsia="宋体" w:hAnsi="宋体" w:cs="宋体"/>
          <w:spacing w:val="4"/>
          <w:sz w:val="22"/>
          <w:szCs w:val="22"/>
        </w:rPr>
        <w:t xml:space="preserve"> </w:t>
      </w:r>
      <w:r>
        <w:rPr>
          <w:rFonts w:ascii="宋体" w:eastAsia="宋体" w:hAnsi="宋体" w:cs="宋体"/>
          <w:spacing w:val="-16"/>
          <w:sz w:val="22"/>
          <w:szCs w:val="22"/>
        </w:rPr>
        <w:t>(salivary</w:t>
      </w:r>
      <w:r>
        <w:rPr>
          <w:rFonts w:ascii="宋体" w:eastAsia="宋体" w:hAnsi="宋体" w:cs="宋体"/>
          <w:spacing w:val="10"/>
          <w:sz w:val="22"/>
          <w:szCs w:val="22"/>
        </w:rPr>
        <w:t xml:space="preserve"> </w:t>
      </w:r>
      <w:r>
        <w:rPr>
          <w:rFonts w:ascii="宋体" w:eastAsia="宋体" w:hAnsi="宋体" w:cs="宋体"/>
          <w:spacing w:val="-16"/>
          <w:sz w:val="22"/>
          <w:szCs w:val="22"/>
        </w:rPr>
        <w:t>gland):</w:t>
      </w:r>
      <w:r>
        <w:rPr>
          <w:rFonts w:ascii="宋体" w:eastAsia="宋体" w:hAnsi="宋体" w:cs="宋体"/>
          <w:spacing w:val="-38"/>
          <w:sz w:val="22"/>
          <w:szCs w:val="22"/>
        </w:rPr>
        <w:t xml:space="preserve"> </w:t>
      </w:r>
      <w:r>
        <w:rPr>
          <w:rFonts w:ascii="宋体" w:eastAsia="宋体" w:hAnsi="宋体" w:cs="宋体"/>
          <w:spacing w:val="-16"/>
          <w:sz w:val="22"/>
          <w:szCs w:val="22"/>
        </w:rPr>
        <w:t>腮腺、舌下腺、颌</w:t>
      </w:r>
      <w:r>
        <w:rPr>
          <w:rFonts w:ascii="宋体" w:eastAsia="宋体" w:hAnsi="宋体" w:cs="宋体"/>
          <w:sz w:val="22"/>
          <w:szCs w:val="22"/>
        </w:rPr>
        <w:t xml:space="preserve"> </w:t>
      </w:r>
      <w:r>
        <w:rPr>
          <w:rFonts w:ascii="宋体" w:eastAsia="宋体" w:hAnsi="宋体" w:cs="宋体"/>
          <w:spacing w:val="-12"/>
          <w:sz w:val="22"/>
          <w:szCs w:val="22"/>
        </w:rPr>
        <w:t>下腺，还有无数散在的小唾液腺，唾</w:t>
      </w:r>
      <w:r>
        <w:rPr>
          <w:rFonts w:ascii="宋体" w:eastAsia="宋体" w:hAnsi="宋体" w:cs="宋体"/>
          <w:sz w:val="22"/>
          <w:szCs w:val="22"/>
        </w:rPr>
        <w:t xml:space="preserve"> </w:t>
      </w:r>
      <w:r>
        <w:rPr>
          <w:rFonts w:ascii="宋体" w:eastAsia="宋体" w:hAnsi="宋体" w:cs="宋体"/>
          <w:spacing w:val="-15"/>
          <w:sz w:val="22"/>
          <w:szCs w:val="22"/>
        </w:rPr>
        <w:t>液就是由这些唾液腺分泌的混合液。</w:t>
      </w:r>
    </w:p>
    <w:p w:rsidR="00EA40A3" w:rsidRDefault="00E86C16">
      <w:pPr>
        <w:spacing w:line="14" w:lineRule="auto"/>
        <w:rPr>
          <w:sz w:val="2"/>
        </w:rPr>
      </w:pPr>
      <w:r>
        <w:rPr>
          <w:sz w:val="2"/>
          <w:szCs w:val="2"/>
        </w:rPr>
        <w:br w:type="column"/>
      </w:r>
    </w:p>
    <w:p w:rsidR="00EA40A3" w:rsidRDefault="00EA40A3">
      <w:pPr>
        <w:spacing w:line="247" w:lineRule="auto"/>
      </w:pPr>
    </w:p>
    <w:p w:rsidR="00EA40A3" w:rsidRDefault="00EA40A3">
      <w:pPr>
        <w:spacing w:line="248" w:lineRule="auto"/>
      </w:pPr>
    </w:p>
    <w:p w:rsidR="00EA40A3" w:rsidRDefault="00EA40A3">
      <w:pPr>
        <w:spacing w:line="248" w:lineRule="auto"/>
      </w:pPr>
    </w:p>
    <w:p w:rsidR="00EA40A3" w:rsidRDefault="00EA40A3">
      <w:pPr>
        <w:spacing w:line="248" w:lineRule="auto"/>
      </w:pPr>
    </w:p>
    <w:p w:rsidR="00EA40A3" w:rsidRDefault="00EA40A3">
      <w:pPr>
        <w:spacing w:line="248" w:lineRule="auto"/>
      </w:pPr>
    </w:p>
    <w:p w:rsidR="00EA40A3" w:rsidRDefault="00EA40A3">
      <w:pPr>
        <w:spacing w:line="248" w:lineRule="auto"/>
      </w:pPr>
    </w:p>
    <w:p w:rsidR="00EA40A3" w:rsidRDefault="00EA40A3">
      <w:pPr>
        <w:spacing w:line="248" w:lineRule="auto"/>
      </w:pPr>
    </w:p>
    <w:p w:rsidR="00EA40A3" w:rsidRDefault="00E86C16">
      <w:pPr>
        <w:spacing w:before="62" w:line="219" w:lineRule="auto"/>
        <w:ind w:left="2719"/>
        <w:rPr>
          <w:rFonts w:ascii="宋体" w:eastAsia="宋体" w:hAnsi="宋体" w:cs="宋体"/>
          <w:sz w:val="19"/>
          <w:szCs w:val="19"/>
        </w:rPr>
      </w:pPr>
      <w:r>
        <w:rPr>
          <w:noProof/>
        </w:rPr>
        <w:drawing>
          <wp:anchor distT="0" distB="0" distL="0" distR="0" simplePos="0" relativeHeight="251665408" behindDoc="1" locked="0" layoutInCell="1" allowOverlap="1">
            <wp:simplePos x="0" y="0"/>
            <wp:positionH relativeFrom="column">
              <wp:posOffset>0</wp:posOffset>
            </wp:positionH>
            <wp:positionV relativeFrom="paragraph">
              <wp:posOffset>-1076325</wp:posOffset>
            </wp:positionV>
            <wp:extent cx="2222500" cy="4527550"/>
            <wp:effectExtent l="0" t="0" r="0" b="0"/>
            <wp:wrapNone/>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29"/>
                    <a:stretch>
                      <a:fillRect/>
                    </a:stretch>
                  </pic:blipFill>
                  <pic:spPr>
                    <a:xfrm>
                      <a:off x="0" y="0"/>
                      <a:ext cx="2222502" cy="4527612"/>
                    </a:xfrm>
                    <a:prstGeom prst="rect">
                      <a:avLst/>
                    </a:prstGeom>
                  </pic:spPr>
                </pic:pic>
              </a:graphicData>
            </a:graphic>
          </wp:anchor>
        </w:drawing>
      </w:r>
      <w:r>
        <w:rPr>
          <w:rFonts w:ascii="宋体" w:eastAsia="宋体" w:hAnsi="宋体" w:cs="宋体"/>
          <w:spacing w:val="-13"/>
          <w:sz w:val="19"/>
          <w:szCs w:val="19"/>
        </w:rPr>
        <w:t>气管</w:t>
      </w:r>
    </w:p>
    <w:p w:rsidR="00EA40A3" w:rsidRDefault="00E86C16">
      <w:pPr>
        <w:spacing w:before="154" w:line="221" w:lineRule="auto"/>
        <w:ind w:left="2719"/>
        <w:rPr>
          <w:rFonts w:ascii="宋体" w:eastAsia="宋体" w:hAnsi="宋体" w:cs="宋体"/>
          <w:sz w:val="16"/>
          <w:szCs w:val="16"/>
        </w:rPr>
      </w:pPr>
      <w:r>
        <w:rPr>
          <w:rFonts w:ascii="宋体" w:eastAsia="宋体" w:hAnsi="宋体" w:cs="宋体"/>
          <w:sz w:val="16"/>
          <w:szCs w:val="16"/>
        </w:rPr>
        <w:t>肺</w:t>
      </w:r>
    </w:p>
    <w:p w:rsidR="00EA40A3" w:rsidRDefault="00E86C16">
      <w:pPr>
        <w:spacing w:before="198" w:line="224" w:lineRule="auto"/>
        <w:ind w:left="3140"/>
        <w:rPr>
          <w:rFonts w:ascii="仿宋" w:eastAsia="仿宋" w:hAnsi="仿宋" w:cs="仿宋"/>
          <w:sz w:val="19"/>
          <w:szCs w:val="19"/>
        </w:rPr>
      </w:pPr>
      <w:r>
        <w:rPr>
          <w:rFonts w:ascii="仿宋" w:eastAsia="仿宋" w:hAnsi="仿宋" w:cs="仿宋"/>
          <w:spacing w:val="-13"/>
          <w:sz w:val="19"/>
          <w:szCs w:val="19"/>
        </w:rPr>
        <w:t>食管</w:t>
      </w:r>
    </w:p>
    <w:p w:rsidR="00EA40A3" w:rsidRDefault="00EA40A3">
      <w:pPr>
        <w:spacing w:line="386" w:lineRule="auto"/>
      </w:pPr>
    </w:p>
    <w:p w:rsidR="00EA40A3" w:rsidRDefault="00E86C16">
      <w:pPr>
        <w:spacing w:before="52" w:line="221" w:lineRule="auto"/>
        <w:ind w:left="2719"/>
        <w:rPr>
          <w:rFonts w:ascii="宋体" w:eastAsia="宋体" w:hAnsi="宋体" w:cs="宋体"/>
          <w:sz w:val="16"/>
          <w:szCs w:val="16"/>
        </w:rPr>
      </w:pPr>
      <w:r>
        <w:rPr>
          <w:rFonts w:ascii="宋体" w:eastAsia="宋体" w:hAnsi="宋体" w:cs="宋体"/>
          <w:sz w:val="16"/>
          <w:szCs w:val="16"/>
        </w:rPr>
        <w:t>肝</w:t>
      </w:r>
    </w:p>
    <w:p w:rsidR="00EA40A3" w:rsidRDefault="00E86C16">
      <w:pPr>
        <w:spacing w:before="76" w:line="268" w:lineRule="auto"/>
        <w:ind w:left="2719" w:right="644"/>
        <w:rPr>
          <w:rFonts w:ascii="宋体" w:eastAsia="宋体" w:hAnsi="宋体" w:cs="宋体"/>
          <w:sz w:val="16"/>
          <w:szCs w:val="16"/>
        </w:rPr>
      </w:pPr>
      <w:r>
        <w:rPr>
          <w:rFonts w:ascii="黑体" w:eastAsia="黑体" w:hAnsi="黑体" w:cs="黑体"/>
          <w:spacing w:val="-13"/>
          <w:w w:val="94"/>
          <w:sz w:val="19"/>
          <w:szCs w:val="19"/>
        </w:rPr>
        <w:t>胆囊</w:t>
      </w:r>
      <w:r>
        <w:rPr>
          <w:rFonts w:ascii="黑体" w:eastAsia="黑体" w:hAnsi="黑体" w:cs="黑体"/>
          <w:spacing w:val="1"/>
          <w:sz w:val="19"/>
          <w:szCs w:val="19"/>
        </w:rPr>
        <w:t xml:space="preserve"> </w:t>
      </w:r>
      <w:r>
        <w:rPr>
          <w:rFonts w:ascii="宋体" w:eastAsia="宋体" w:hAnsi="宋体" w:cs="宋体"/>
          <w:sz w:val="16"/>
          <w:szCs w:val="16"/>
        </w:rPr>
        <w:t>胃</w:t>
      </w:r>
    </w:p>
    <w:p w:rsidR="00EA40A3" w:rsidRDefault="00E86C16">
      <w:pPr>
        <w:spacing w:before="212" w:line="221" w:lineRule="auto"/>
        <w:ind w:left="2719"/>
        <w:rPr>
          <w:rFonts w:ascii="宋体" w:eastAsia="宋体" w:hAnsi="宋体" w:cs="宋体"/>
          <w:sz w:val="16"/>
          <w:szCs w:val="16"/>
        </w:rPr>
      </w:pPr>
      <w:r>
        <w:rPr>
          <w:rFonts w:ascii="宋体" w:eastAsia="宋体" w:hAnsi="宋体" w:cs="宋体"/>
          <w:spacing w:val="-2"/>
          <w:sz w:val="16"/>
          <w:szCs w:val="16"/>
        </w:rPr>
        <w:t>十二指肠</w:t>
      </w:r>
    </w:p>
    <w:p w:rsidR="00EA40A3" w:rsidRDefault="00E86C16">
      <w:pPr>
        <w:spacing w:before="199" w:line="220" w:lineRule="auto"/>
        <w:ind w:left="2719"/>
        <w:rPr>
          <w:rFonts w:ascii="宋体" w:eastAsia="宋体" w:hAnsi="宋体" w:cs="宋体"/>
          <w:sz w:val="16"/>
          <w:szCs w:val="16"/>
        </w:rPr>
      </w:pPr>
      <w:r>
        <w:rPr>
          <w:rFonts w:ascii="宋体" w:eastAsia="宋体" w:hAnsi="宋体" w:cs="宋体"/>
          <w:sz w:val="16"/>
          <w:szCs w:val="16"/>
        </w:rPr>
        <w:t>胰</w:t>
      </w:r>
    </w:p>
    <w:p w:rsidR="00EA40A3" w:rsidRDefault="00E86C16">
      <w:pPr>
        <w:spacing w:before="201" w:line="221" w:lineRule="auto"/>
        <w:ind w:left="2719"/>
        <w:rPr>
          <w:rFonts w:ascii="宋体" w:eastAsia="宋体" w:hAnsi="宋体" w:cs="宋体"/>
          <w:sz w:val="19"/>
          <w:szCs w:val="19"/>
        </w:rPr>
      </w:pPr>
      <w:r>
        <w:rPr>
          <w:rFonts w:ascii="宋体" w:eastAsia="宋体" w:hAnsi="宋体" w:cs="宋体"/>
          <w:spacing w:val="-13"/>
          <w:sz w:val="19"/>
          <w:szCs w:val="19"/>
        </w:rPr>
        <w:t>结肠</w:t>
      </w:r>
    </w:p>
    <w:p w:rsidR="00EA40A3" w:rsidRDefault="00E86C16">
      <w:pPr>
        <w:spacing w:before="152" w:line="221" w:lineRule="auto"/>
        <w:ind w:left="2719"/>
        <w:rPr>
          <w:rFonts w:ascii="宋体" w:eastAsia="宋体" w:hAnsi="宋体" w:cs="宋体"/>
          <w:sz w:val="16"/>
          <w:szCs w:val="16"/>
        </w:rPr>
      </w:pPr>
      <w:r>
        <w:rPr>
          <w:rFonts w:ascii="宋体" w:eastAsia="宋体" w:hAnsi="宋体" w:cs="宋体"/>
          <w:spacing w:val="4"/>
          <w:sz w:val="16"/>
          <w:szCs w:val="16"/>
        </w:rPr>
        <w:t>空肠</w:t>
      </w:r>
    </w:p>
    <w:p w:rsidR="00EA40A3" w:rsidRDefault="00EA40A3">
      <w:pPr>
        <w:spacing w:line="395" w:lineRule="auto"/>
      </w:pPr>
    </w:p>
    <w:p w:rsidR="00EA40A3" w:rsidRDefault="00E86C16">
      <w:pPr>
        <w:spacing w:before="63" w:line="221" w:lineRule="auto"/>
        <w:ind w:left="2719"/>
        <w:rPr>
          <w:rFonts w:ascii="宋体" w:eastAsia="宋体" w:hAnsi="宋体" w:cs="宋体"/>
          <w:sz w:val="19"/>
          <w:szCs w:val="19"/>
        </w:rPr>
      </w:pPr>
      <w:r>
        <w:rPr>
          <w:rFonts w:ascii="宋体" w:eastAsia="宋体" w:hAnsi="宋体" w:cs="宋体"/>
          <w:spacing w:val="-13"/>
          <w:sz w:val="19"/>
          <w:szCs w:val="19"/>
        </w:rPr>
        <w:t>回肠</w:t>
      </w:r>
    </w:p>
    <w:p w:rsidR="00EA40A3" w:rsidRDefault="00EA40A3">
      <w:pPr>
        <w:spacing w:line="278" w:lineRule="auto"/>
      </w:pPr>
    </w:p>
    <w:p w:rsidR="00EA40A3" w:rsidRDefault="00E86C16">
      <w:pPr>
        <w:spacing w:before="62" w:line="212" w:lineRule="auto"/>
        <w:ind w:left="2439"/>
        <w:rPr>
          <w:rFonts w:ascii="宋体" w:eastAsia="宋体" w:hAnsi="宋体" w:cs="宋体"/>
          <w:sz w:val="19"/>
          <w:szCs w:val="19"/>
        </w:rPr>
      </w:pPr>
      <w:r>
        <w:rPr>
          <w:rFonts w:ascii="宋体" w:eastAsia="宋体" w:hAnsi="宋体" w:cs="宋体"/>
          <w:spacing w:val="-13"/>
          <w:sz w:val="19"/>
          <w:szCs w:val="19"/>
        </w:rPr>
        <w:t>直肠</w:t>
      </w:r>
    </w:p>
    <w:p w:rsidR="00EA40A3" w:rsidRDefault="00E86C16">
      <w:pPr>
        <w:spacing w:line="219" w:lineRule="auto"/>
        <w:ind w:left="1970"/>
        <w:rPr>
          <w:rFonts w:ascii="宋体" w:eastAsia="宋体" w:hAnsi="宋体" w:cs="宋体"/>
          <w:sz w:val="19"/>
          <w:szCs w:val="19"/>
        </w:rPr>
      </w:pPr>
      <w:r>
        <w:rPr>
          <w:rFonts w:ascii="宋体" w:eastAsia="宋体" w:hAnsi="宋体" w:cs="宋体"/>
          <w:spacing w:val="-13"/>
          <w:sz w:val="19"/>
          <w:szCs w:val="19"/>
        </w:rPr>
        <w:t>肛管</w:t>
      </w:r>
    </w:p>
    <w:p w:rsidR="00EA40A3" w:rsidRDefault="00EA40A3">
      <w:pPr>
        <w:spacing w:line="311" w:lineRule="auto"/>
      </w:pPr>
    </w:p>
    <w:p w:rsidR="00EA40A3" w:rsidRDefault="00E86C16">
      <w:pPr>
        <w:spacing w:before="63" w:line="221" w:lineRule="auto"/>
        <w:ind w:left="829"/>
        <w:rPr>
          <w:rFonts w:ascii="宋体" w:eastAsia="宋体" w:hAnsi="宋体" w:cs="宋体"/>
          <w:sz w:val="19"/>
          <w:szCs w:val="19"/>
        </w:rPr>
      </w:pPr>
      <w:r>
        <w:rPr>
          <w:rFonts w:ascii="宋体" w:eastAsia="宋体" w:hAnsi="宋体" w:cs="宋体"/>
          <w:spacing w:val="-8"/>
          <w:sz w:val="19"/>
          <w:szCs w:val="19"/>
        </w:rPr>
        <w:t>图2-1</w:t>
      </w:r>
      <w:r>
        <w:rPr>
          <w:rFonts w:ascii="宋体" w:eastAsia="宋体" w:hAnsi="宋体" w:cs="宋体"/>
          <w:spacing w:val="74"/>
          <w:sz w:val="19"/>
          <w:szCs w:val="19"/>
        </w:rPr>
        <w:t xml:space="preserve"> </w:t>
      </w:r>
      <w:r>
        <w:rPr>
          <w:rFonts w:ascii="宋体" w:eastAsia="宋体" w:hAnsi="宋体" w:cs="宋体"/>
          <w:spacing w:val="-8"/>
          <w:sz w:val="19"/>
          <w:szCs w:val="19"/>
        </w:rPr>
        <w:t>消化系统的组成</w:t>
      </w:r>
    </w:p>
    <w:p w:rsidR="00EA40A3" w:rsidRDefault="00EA40A3">
      <w:pPr>
        <w:sectPr w:rsidR="00EA40A3">
          <w:type w:val="continuous"/>
          <w:pgSz w:w="9220" w:h="13360"/>
          <w:pgMar w:top="400" w:right="1062" w:bottom="400" w:left="890" w:header="0" w:footer="0" w:gutter="0"/>
          <w:cols w:num="2" w:space="720" w:equalWidth="0">
            <w:col w:w="3470" w:space="100"/>
            <w:col w:w="3698"/>
          </w:cols>
        </w:sectPr>
      </w:pPr>
    </w:p>
    <w:p w:rsidR="00EA40A3" w:rsidRDefault="00E86C16">
      <w:pPr>
        <w:spacing w:before="99" w:line="241" w:lineRule="auto"/>
        <w:ind w:right="1" w:firstLine="430"/>
        <w:jc w:val="both"/>
        <w:rPr>
          <w:rFonts w:ascii="宋体" w:eastAsia="宋体" w:hAnsi="宋体" w:cs="宋体"/>
          <w:sz w:val="22"/>
          <w:szCs w:val="22"/>
        </w:rPr>
      </w:pPr>
      <w:r>
        <w:rPr>
          <w:rFonts w:ascii="宋体" w:eastAsia="宋体" w:hAnsi="宋体" w:cs="宋体"/>
          <w:spacing w:val="-9"/>
          <w:sz w:val="22"/>
          <w:szCs w:val="22"/>
        </w:rPr>
        <w:t>(1)唾液的成分和性质：唾液为无色、无味近于中性的低</w:t>
      </w:r>
      <w:r>
        <w:rPr>
          <w:rFonts w:ascii="宋体" w:eastAsia="宋体" w:hAnsi="宋体" w:cs="宋体"/>
          <w:spacing w:val="-10"/>
          <w:sz w:val="22"/>
          <w:szCs w:val="22"/>
        </w:rPr>
        <w:t>渗液体。唾液中的</w:t>
      </w:r>
      <w:r>
        <w:rPr>
          <w:rFonts w:ascii="宋体" w:eastAsia="宋体" w:hAnsi="宋体" w:cs="宋体"/>
          <w:sz w:val="22"/>
          <w:szCs w:val="22"/>
        </w:rPr>
        <w:t xml:space="preserve"> 水分约占99.5%,有机物主要为黏蛋白，还有唾液</w:t>
      </w:r>
      <w:r>
        <w:rPr>
          <w:rFonts w:ascii="宋体" w:eastAsia="宋体" w:hAnsi="宋体" w:cs="宋体"/>
          <w:spacing w:val="-1"/>
          <w:sz w:val="22"/>
          <w:szCs w:val="22"/>
        </w:rPr>
        <w:t>淀粉酶、溶菌酶等，无机物</w:t>
      </w:r>
      <w:r>
        <w:rPr>
          <w:rFonts w:ascii="宋体" w:eastAsia="宋体" w:hAnsi="宋体" w:cs="宋体"/>
          <w:sz w:val="22"/>
          <w:szCs w:val="22"/>
        </w:rPr>
        <w:t xml:space="preserve"> </w:t>
      </w:r>
      <w:r>
        <w:rPr>
          <w:rFonts w:ascii="宋体" w:eastAsia="宋体" w:hAnsi="宋体" w:cs="宋体"/>
          <w:spacing w:val="-16"/>
          <w:sz w:val="22"/>
          <w:szCs w:val="22"/>
        </w:rPr>
        <w:t>主要有钠、钾、钙、硫、氯等。</w:t>
      </w:r>
    </w:p>
    <w:p w:rsidR="00EA40A3" w:rsidRDefault="00E86C16">
      <w:pPr>
        <w:spacing w:before="34" w:line="244" w:lineRule="auto"/>
        <w:ind w:firstLine="430"/>
        <w:jc w:val="both"/>
        <w:rPr>
          <w:rFonts w:ascii="宋体" w:eastAsia="宋体" w:hAnsi="宋体" w:cs="宋体"/>
          <w:sz w:val="22"/>
          <w:szCs w:val="22"/>
        </w:rPr>
      </w:pPr>
      <w:r>
        <w:rPr>
          <w:rFonts w:ascii="宋体" w:eastAsia="宋体" w:hAnsi="宋体" w:cs="宋体"/>
          <w:spacing w:val="-9"/>
          <w:sz w:val="22"/>
          <w:szCs w:val="22"/>
        </w:rPr>
        <w:t>(2)唾液的作用：①唾液可湿润与溶解食物，以引起味觉；</w:t>
      </w:r>
      <w:r>
        <w:rPr>
          <w:rFonts w:ascii="宋体" w:eastAsia="宋体" w:hAnsi="宋体" w:cs="宋体"/>
          <w:spacing w:val="-10"/>
          <w:sz w:val="22"/>
          <w:szCs w:val="22"/>
        </w:rPr>
        <w:t>②唾液可清洁和</w:t>
      </w:r>
      <w:r>
        <w:rPr>
          <w:rFonts w:ascii="宋体" w:eastAsia="宋体" w:hAnsi="宋体" w:cs="宋体"/>
          <w:sz w:val="22"/>
          <w:szCs w:val="22"/>
        </w:rPr>
        <w:t xml:space="preserve"> </w:t>
      </w:r>
      <w:r>
        <w:rPr>
          <w:rFonts w:ascii="宋体" w:eastAsia="宋体" w:hAnsi="宋体" w:cs="宋体"/>
          <w:spacing w:val="-13"/>
          <w:sz w:val="22"/>
          <w:szCs w:val="22"/>
        </w:rPr>
        <w:t>保护口腔，当有害物质进入口腔后，唾液可起冲洗、稀释及中和作用，其中的溶</w:t>
      </w:r>
      <w:r>
        <w:rPr>
          <w:rFonts w:ascii="宋体" w:eastAsia="宋体" w:hAnsi="宋体" w:cs="宋体"/>
          <w:spacing w:val="13"/>
          <w:sz w:val="22"/>
          <w:szCs w:val="22"/>
        </w:rPr>
        <w:t xml:space="preserve"> </w:t>
      </w:r>
      <w:r>
        <w:rPr>
          <w:rFonts w:ascii="宋体" w:eastAsia="宋体" w:hAnsi="宋体" w:cs="宋体"/>
          <w:spacing w:val="-13"/>
          <w:sz w:val="22"/>
          <w:szCs w:val="22"/>
        </w:rPr>
        <w:t>菌酶可杀灭进入口腔内的微生物；③唾液中的黏蛋白可使食物黏合成团，便于吞</w:t>
      </w:r>
      <w:r>
        <w:rPr>
          <w:rFonts w:ascii="宋体" w:eastAsia="宋体" w:hAnsi="宋体" w:cs="宋体"/>
          <w:spacing w:val="13"/>
          <w:sz w:val="22"/>
          <w:szCs w:val="22"/>
        </w:rPr>
        <w:t xml:space="preserve"> </w:t>
      </w:r>
      <w:r>
        <w:rPr>
          <w:rFonts w:ascii="宋体" w:eastAsia="宋体" w:hAnsi="宋体" w:cs="宋体"/>
          <w:spacing w:val="-13"/>
          <w:sz w:val="22"/>
          <w:szCs w:val="22"/>
        </w:rPr>
        <w:t>咽；④唾液中的淀粉酶可对淀粉进行简单的分解，但这一作用很弱，且唾液淀粉</w:t>
      </w:r>
      <w:r>
        <w:rPr>
          <w:rFonts w:ascii="宋体" w:eastAsia="宋体" w:hAnsi="宋体" w:cs="宋体"/>
          <w:spacing w:val="12"/>
          <w:sz w:val="22"/>
          <w:szCs w:val="22"/>
        </w:rPr>
        <w:t xml:space="preserve"> </w:t>
      </w:r>
      <w:r>
        <w:rPr>
          <w:rFonts w:ascii="宋体" w:eastAsia="宋体" w:hAnsi="宋体" w:cs="宋体"/>
          <w:spacing w:val="-17"/>
          <w:sz w:val="22"/>
          <w:szCs w:val="22"/>
        </w:rPr>
        <w:t>酶仅在口腔中起作用，当进入胃后，</w:t>
      </w:r>
      <w:r>
        <w:rPr>
          <w:rFonts w:ascii="宋体" w:eastAsia="宋体" w:hAnsi="宋体" w:cs="宋体"/>
          <w:spacing w:val="4"/>
          <w:sz w:val="22"/>
          <w:szCs w:val="22"/>
        </w:rPr>
        <w:t xml:space="preserve"> </w:t>
      </w:r>
      <w:r>
        <w:rPr>
          <w:rFonts w:ascii="宋体" w:eastAsia="宋体" w:hAnsi="宋体" w:cs="宋体"/>
          <w:spacing w:val="-17"/>
          <w:sz w:val="22"/>
          <w:szCs w:val="22"/>
        </w:rPr>
        <w:t>pH</w:t>
      </w:r>
      <w:r>
        <w:rPr>
          <w:rFonts w:ascii="宋体" w:eastAsia="宋体" w:hAnsi="宋体" w:cs="宋体"/>
          <w:spacing w:val="16"/>
          <w:sz w:val="22"/>
          <w:szCs w:val="22"/>
        </w:rPr>
        <w:t xml:space="preserve"> </w:t>
      </w:r>
      <w:r>
        <w:rPr>
          <w:rFonts w:ascii="宋体" w:eastAsia="宋体" w:hAnsi="宋体" w:cs="宋体"/>
          <w:spacing w:val="-17"/>
          <w:sz w:val="22"/>
          <w:szCs w:val="22"/>
        </w:rPr>
        <w:t>下降，此酶迅速失活。</w:t>
      </w:r>
    </w:p>
    <w:p w:rsidR="00EA40A3" w:rsidRDefault="00E86C16">
      <w:pPr>
        <w:spacing w:before="111" w:line="219" w:lineRule="auto"/>
        <w:ind w:left="430"/>
        <w:rPr>
          <w:rFonts w:ascii="宋体" w:eastAsia="宋体" w:hAnsi="宋体" w:cs="宋体"/>
          <w:sz w:val="22"/>
          <w:szCs w:val="22"/>
        </w:rPr>
      </w:pPr>
      <w:r>
        <w:rPr>
          <w:rFonts w:ascii="宋体" w:eastAsia="宋体" w:hAnsi="宋体" w:cs="宋体"/>
          <w:spacing w:val="-13"/>
          <w:sz w:val="22"/>
          <w:szCs w:val="22"/>
        </w:rPr>
        <w:t>食物在口腔内的消化过程是经咀嚼后与唾液黏合成团，在舌的帮助下送到咽</w:t>
      </w:r>
    </w:p>
    <w:p w:rsidR="00EA40A3" w:rsidRDefault="00E86C16">
      <w:pPr>
        <w:spacing w:before="73" w:line="184" w:lineRule="auto"/>
        <w:ind w:right="337"/>
        <w:jc w:val="right"/>
        <w:rPr>
          <w:rFonts w:ascii="宋体" w:eastAsia="宋体" w:hAnsi="宋体" w:cs="宋体"/>
          <w:sz w:val="16"/>
          <w:szCs w:val="16"/>
        </w:rPr>
      </w:pPr>
      <w:r>
        <w:rPr>
          <w:rFonts w:ascii="宋体" w:eastAsia="宋体" w:hAnsi="宋体" w:cs="宋体"/>
          <w:spacing w:val="-20"/>
          <w:sz w:val="16"/>
          <w:szCs w:val="16"/>
        </w:rPr>
        <w:t>·</w:t>
      </w:r>
      <w:r>
        <w:rPr>
          <w:rFonts w:ascii="宋体" w:eastAsia="宋体" w:hAnsi="宋体" w:cs="宋体"/>
          <w:spacing w:val="18"/>
          <w:sz w:val="16"/>
          <w:szCs w:val="16"/>
        </w:rPr>
        <w:t xml:space="preserve"> </w:t>
      </w:r>
      <w:r>
        <w:rPr>
          <w:rFonts w:ascii="宋体" w:eastAsia="宋体" w:hAnsi="宋体" w:cs="宋体"/>
          <w:spacing w:val="-20"/>
          <w:sz w:val="16"/>
          <w:szCs w:val="16"/>
        </w:rPr>
        <w:t>19</w:t>
      </w:r>
      <w:r>
        <w:rPr>
          <w:rFonts w:ascii="宋体" w:eastAsia="宋体" w:hAnsi="宋体" w:cs="宋体"/>
          <w:spacing w:val="61"/>
          <w:sz w:val="16"/>
          <w:szCs w:val="16"/>
        </w:rPr>
        <w:t xml:space="preserve"> </w:t>
      </w:r>
      <w:r>
        <w:rPr>
          <w:rFonts w:ascii="宋体" w:eastAsia="宋体" w:hAnsi="宋体" w:cs="宋体"/>
          <w:spacing w:val="-20"/>
          <w:sz w:val="16"/>
          <w:szCs w:val="16"/>
        </w:rPr>
        <w:t>·</w:t>
      </w:r>
    </w:p>
    <w:p w:rsidR="00EA40A3" w:rsidRDefault="00EA40A3">
      <w:pPr>
        <w:sectPr w:rsidR="00EA40A3">
          <w:type w:val="continuous"/>
          <w:pgSz w:w="9220" w:h="13360"/>
          <w:pgMar w:top="400" w:right="1062" w:bottom="400" w:left="890" w:header="0" w:footer="0" w:gutter="0"/>
          <w:cols w:space="720" w:equalWidth="0">
            <w:col w:w="7268"/>
          </w:cols>
        </w:sectPr>
      </w:pPr>
    </w:p>
    <w:p w:rsidR="00EA40A3" w:rsidRDefault="00EA40A3">
      <w:pPr>
        <w:spacing w:line="276" w:lineRule="auto"/>
      </w:pPr>
    </w:p>
    <w:p w:rsidR="00EA40A3" w:rsidRDefault="00EA40A3">
      <w:pPr>
        <w:spacing w:line="277" w:lineRule="auto"/>
      </w:pPr>
    </w:p>
    <w:p w:rsidR="00EA40A3" w:rsidRDefault="00E86C16">
      <w:pPr>
        <w:spacing w:before="72" w:line="241" w:lineRule="auto"/>
        <w:ind w:right="43"/>
        <w:jc w:val="both"/>
        <w:rPr>
          <w:rFonts w:ascii="宋体" w:eastAsia="宋体" w:hAnsi="宋体" w:cs="宋体"/>
          <w:sz w:val="22"/>
          <w:szCs w:val="22"/>
        </w:rPr>
      </w:pPr>
      <w:bookmarkStart w:id="9" w:name="_bookmark13"/>
      <w:bookmarkEnd w:id="9"/>
      <w:r>
        <w:rPr>
          <w:rFonts w:ascii="宋体" w:eastAsia="宋体" w:hAnsi="宋体" w:cs="宋体"/>
          <w:spacing w:val="-14"/>
          <w:sz w:val="22"/>
          <w:szCs w:val="22"/>
        </w:rPr>
        <w:t>后壁，经咽与食道进入胃。食物在口腔内主要进行的是机械性消化，伴随少量的</w:t>
      </w:r>
      <w:r>
        <w:rPr>
          <w:rFonts w:ascii="宋体" w:eastAsia="宋体" w:hAnsi="宋体" w:cs="宋体"/>
          <w:spacing w:val="5"/>
          <w:sz w:val="22"/>
          <w:szCs w:val="22"/>
        </w:rPr>
        <w:t xml:space="preserve"> </w:t>
      </w:r>
      <w:r>
        <w:rPr>
          <w:rFonts w:ascii="宋体" w:eastAsia="宋体" w:hAnsi="宋体" w:cs="宋体"/>
          <w:spacing w:val="-12"/>
          <w:sz w:val="22"/>
          <w:szCs w:val="22"/>
        </w:rPr>
        <w:t>化学性消化，且能反射性地引起胃、肠、胰、肝</w:t>
      </w:r>
      <w:r>
        <w:rPr>
          <w:rFonts w:ascii="宋体" w:eastAsia="宋体" w:hAnsi="宋体" w:cs="宋体"/>
          <w:spacing w:val="-13"/>
          <w:sz w:val="22"/>
          <w:szCs w:val="22"/>
        </w:rPr>
        <w:t>、胆囊等器官的活动，为以后的</w:t>
      </w:r>
      <w:r>
        <w:rPr>
          <w:rFonts w:ascii="宋体" w:eastAsia="宋体" w:hAnsi="宋体" w:cs="宋体"/>
          <w:sz w:val="22"/>
          <w:szCs w:val="22"/>
        </w:rPr>
        <w:t xml:space="preserve"> </w:t>
      </w:r>
      <w:r>
        <w:rPr>
          <w:rFonts w:ascii="宋体" w:eastAsia="宋体" w:hAnsi="宋体" w:cs="宋体"/>
          <w:spacing w:val="-20"/>
          <w:sz w:val="22"/>
          <w:szCs w:val="22"/>
        </w:rPr>
        <w:t>消化做准备。</w:t>
      </w:r>
    </w:p>
    <w:p w:rsidR="00EA40A3" w:rsidRDefault="00E86C16">
      <w:pPr>
        <w:spacing w:before="220" w:line="225" w:lineRule="auto"/>
        <w:rPr>
          <w:rFonts w:ascii="仿宋" w:eastAsia="仿宋" w:hAnsi="仿宋" w:cs="仿宋"/>
          <w:sz w:val="22"/>
          <w:szCs w:val="22"/>
        </w:rPr>
      </w:pPr>
      <w:r>
        <w:rPr>
          <w:rFonts w:ascii="仿宋" w:eastAsia="仿宋" w:hAnsi="仿宋" w:cs="仿宋"/>
          <w:spacing w:val="7"/>
          <w:sz w:val="22"/>
          <w:szCs w:val="22"/>
        </w:rPr>
        <w:t>2.</w:t>
      </w:r>
      <w:r>
        <w:rPr>
          <w:rFonts w:ascii="仿宋" w:eastAsia="仿宋" w:hAnsi="仿宋" w:cs="仿宋"/>
          <w:spacing w:val="-28"/>
          <w:sz w:val="22"/>
          <w:szCs w:val="22"/>
        </w:rPr>
        <w:t xml:space="preserve"> </w:t>
      </w:r>
      <w:r>
        <w:rPr>
          <w:rFonts w:ascii="仿宋" w:eastAsia="仿宋" w:hAnsi="仿宋" w:cs="仿宋"/>
          <w:spacing w:val="7"/>
          <w:sz w:val="22"/>
          <w:szCs w:val="22"/>
        </w:rPr>
        <w:t>咽与食道</w:t>
      </w:r>
    </w:p>
    <w:p w:rsidR="00EA40A3" w:rsidRDefault="00E86C16">
      <w:pPr>
        <w:spacing w:before="185" w:line="246" w:lineRule="auto"/>
        <w:ind w:right="48" w:firstLine="430"/>
        <w:jc w:val="both"/>
        <w:rPr>
          <w:rFonts w:ascii="宋体" w:eastAsia="宋体" w:hAnsi="宋体" w:cs="宋体"/>
          <w:sz w:val="22"/>
          <w:szCs w:val="22"/>
        </w:rPr>
      </w:pPr>
      <w:r>
        <w:rPr>
          <w:rFonts w:ascii="宋体" w:eastAsia="宋体" w:hAnsi="宋体" w:cs="宋体"/>
          <w:spacing w:val="-2"/>
          <w:sz w:val="22"/>
          <w:szCs w:val="22"/>
        </w:rPr>
        <w:t>咽</w:t>
      </w:r>
      <w:r>
        <w:rPr>
          <w:rFonts w:ascii="宋体" w:eastAsia="宋体" w:hAnsi="宋体" w:cs="宋体"/>
          <w:spacing w:val="-22"/>
          <w:sz w:val="22"/>
          <w:szCs w:val="22"/>
        </w:rPr>
        <w:t xml:space="preserve"> </w:t>
      </w:r>
      <w:r>
        <w:rPr>
          <w:rFonts w:ascii="宋体" w:eastAsia="宋体" w:hAnsi="宋体" w:cs="宋体"/>
          <w:spacing w:val="-2"/>
          <w:sz w:val="22"/>
          <w:szCs w:val="22"/>
        </w:rPr>
        <w:t>(pharynx)</w:t>
      </w:r>
      <w:r>
        <w:rPr>
          <w:rFonts w:ascii="宋体" w:eastAsia="宋体" w:hAnsi="宋体" w:cs="宋体"/>
          <w:spacing w:val="-3"/>
          <w:sz w:val="22"/>
          <w:szCs w:val="22"/>
        </w:rPr>
        <w:t xml:space="preserve"> </w:t>
      </w:r>
      <w:r>
        <w:rPr>
          <w:rFonts w:ascii="宋体" w:eastAsia="宋体" w:hAnsi="宋体" w:cs="宋体"/>
          <w:spacing w:val="-2"/>
          <w:sz w:val="22"/>
          <w:szCs w:val="22"/>
        </w:rPr>
        <w:t>位于鼻腔、口腔和喉的后方，其下端通过喉与</w:t>
      </w:r>
      <w:r>
        <w:rPr>
          <w:rFonts w:ascii="宋体" w:eastAsia="宋体" w:hAnsi="宋体" w:cs="宋体"/>
          <w:spacing w:val="-3"/>
          <w:sz w:val="22"/>
          <w:szCs w:val="22"/>
        </w:rPr>
        <w:t>气管和食道</w:t>
      </w:r>
      <w:r>
        <w:rPr>
          <w:rFonts w:ascii="宋体" w:eastAsia="宋体" w:hAnsi="宋体" w:cs="宋体"/>
          <w:sz w:val="22"/>
          <w:szCs w:val="22"/>
        </w:rPr>
        <w:t xml:space="preserve"> </w:t>
      </w:r>
      <w:r>
        <w:rPr>
          <w:rFonts w:ascii="宋体" w:eastAsia="宋体" w:hAnsi="宋体" w:cs="宋体"/>
          <w:spacing w:val="-10"/>
          <w:sz w:val="22"/>
          <w:szCs w:val="22"/>
        </w:rPr>
        <w:t>(esophagus)</w:t>
      </w:r>
      <w:r>
        <w:rPr>
          <w:rFonts w:ascii="宋体" w:eastAsia="宋体" w:hAnsi="宋体" w:cs="宋体"/>
          <w:spacing w:val="-43"/>
          <w:sz w:val="22"/>
          <w:szCs w:val="22"/>
        </w:rPr>
        <w:t xml:space="preserve"> </w:t>
      </w:r>
      <w:r>
        <w:rPr>
          <w:rFonts w:ascii="宋体" w:eastAsia="宋体" w:hAnsi="宋体" w:cs="宋体"/>
          <w:spacing w:val="-10"/>
          <w:sz w:val="22"/>
          <w:szCs w:val="22"/>
        </w:rPr>
        <w:t>相连，是食物与空气的共同通道。当吞咽食物时，咽后壁前移，封</w:t>
      </w:r>
      <w:r>
        <w:rPr>
          <w:rFonts w:ascii="宋体" w:eastAsia="宋体" w:hAnsi="宋体" w:cs="宋体"/>
          <w:sz w:val="22"/>
          <w:szCs w:val="22"/>
        </w:rPr>
        <w:t xml:space="preserve"> </w:t>
      </w:r>
      <w:r>
        <w:rPr>
          <w:rFonts w:ascii="宋体" w:eastAsia="宋体" w:hAnsi="宋体" w:cs="宋体"/>
          <w:spacing w:val="-13"/>
          <w:sz w:val="22"/>
          <w:szCs w:val="22"/>
        </w:rPr>
        <w:t>闭气管的开口，防止食物进入气管而发生呛咳。食团进入食道后</w:t>
      </w:r>
      <w:r>
        <w:rPr>
          <w:rFonts w:ascii="宋体" w:eastAsia="宋体" w:hAnsi="宋体" w:cs="宋体"/>
          <w:spacing w:val="-14"/>
          <w:sz w:val="22"/>
          <w:szCs w:val="22"/>
        </w:rPr>
        <w:t>，在食团的机械</w:t>
      </w:r>
      <w:r>
        <w:rPr>
          <w:rFonts w:ascii="宋体" w:eastAsia="宋体" w:hAnsi="宋体" w:cs="宋体"/>
          <w:sz w:val="22"/>
          <w:szCs w:val="22"/>
        </w:rPr>
        <w:t xml:space="preserve"> </w:t>
      </w:r>
      <w:r>
        <w:rPr>
          <w:rFonts w:ascii="宋体" w:eastAsia="宋体" w:hAnsi="宋体" w:cs="宋体"/>
          <w:spacing w:val="-13"/>
          <w:sz w:val="22"/>
          <w:szCs w:val="22"/>
        </w:rPr>
        <w:t>刺激下，位于食团上端的平滑肌收缩，推动食团向下移动，而位于食团下方的平</w:t>
      </w:r>
      <w:r>
        <w:rPr>
          <w:rFonts w:ascii="宋体" w:eastAsia="宋体" w:hAnsi="宋体" w:cs="宋体"/>
          <w:spacing w:val="13"/>
          <w:sz w:val="22"/>
          <w:szCs w:val="22"/>
        </w:rPr>
        <w:t xml:space="preserve"> </w:t>
      </w:r>
      <w:r>
        <w:rPr>
          <w:rFonts w:ascii="宋体" w:eastAsia="宋体" w:hAnsi="宋体" w:cs="宋体"/>
          <w:spacing w:val="-14"/>
          <w:sz w:val="22"/>
          <w:szCs w:val="22"/>
        </w:rPr>
        <w:t>滑肌舒张，这一过程的往复，便于食团的通过</w:t>
      </w:r>
      <w:r>
        <w:rPr>
          <w:rFonts w:ascii="宋体" w:eastAsia="宋体" w:hAnsi="宋体" w:cs="宋体"/>
          <w:spacing w:val="-15"/>
          <w:sz w:val="22"/>
          <w:szCs w:val="22"/>
        </w:rPr>
        <w:t>，</w:t>
      </w:r>
    </w:p>
    <w:p w:rsidR="00EA40A3" w:rsidRDefault="00E86C16">
      <w:pPr>
        <w:spacing w:before="217" w:line="219" w:lineRule="auto"/>
        <w:rPr>
          <w:rFonts w:ascii="宋体" w:eastAsia="宋体" w:hAnsi="宋体" w:cs="宋体"/>
          <w:sz w:val="22"/>
          <w:szCs w:val="22"/>
        </w:rPr>
      </w:pPr>
      <w:r>
        <w:rPr>
          <w:rFonts w:ascii="宋体" w:eastAsia="宋体" w:hAnsi="宋体" w:cs="宋体"/>
          <w:spacing w:val="-10"/>
          <w:sz w:val="22"/>
          <w:szCs w:val="22"/>
        </w:rPr>
        <w:t>3</w:t>
      </w:r>
      <w:r>
        <w:rPr>
          <w:rFonts w:ascii="宋体" w:eastAsia="宋体" w:hAnsi="宋体" w:cs="宋体"/>
          <w:spacing w:val="-46"/>
          <w:sz w:val="22"/>
          <w:szCs w:val="22"/>
        </w:rPr>
        <w:t xml:space="preserve"> </w:t>
      </w:r>
      <w:r>
        <w:rPr>
          <w:rFonts w:ascii="宋体" w:eastAsia="宋体" w:hAnsi="宋体" w:cs="宋体"/>
          <w:spacing w:val="-10"/>
          <w:sz w:val="22"/>
          <w:szCs w:val="22"/>
        </w:rPr>
        <w:t>.</w:t>
      </w:r>
      <w:r>
        <w:rPr>
          <w:rFonts w:ascii="宋体" w:eastAsia="宋体" w:hAnsi="宋体" w:cs="宋体"/>
          <w:spacing w:val="-19"/>
          <w:sz w:val="22"/>
          <w:szCs w:val="22"/>
        </w:rPr>
        <w:t xml:space="preserve"> </w:t>
      </w:r>
      <w:r>
        <w:rPr>
          <w:rFonts w:ascii="宋体" w:eastAsia="宋体" w:hAnsi="宋体" w:cs="宋体"/>
          <w:spacing w:val="-10"/>
          <w:sz w:val="22"/>
          <w:szCs w:val="22"/>
        </w:rPr>
        <w:t>胃</w:t>
      </w:r>
    </w:p>
    <w:p w:rsidR="00EA40A3" w:rsidRDefault="00E86C16">
      <w:pPr>
        <w:spacing w:before="198" w:line="241" w:lineRule="auto"/>
        <w:ind w:firstLine="430"/>
        <w:jc w:val="both"/>
        <w:rPr>
          <w:rFonts w:ascii="宋体" w:eastAsia="宋体" w:hAnsi="宋体" w:cs="宋体"/>
          <w:sz w:val="22"/>
          <w:szCs w:val="22"/>
        </w:rPr>
      </w:pPr>
      <w:r>
        <w:rPr>
          <w:rFonts w:ascii="宋体" w:eastAsia="宋体" w:hAnsi="宋体" w:cs="宋体"/>
          <w:spacing w:val="-9"/>
          <w:sz w:val="22"/>
          <w:szCs w:val="22"/>
        </w:rPr>
        <w:t>胃</w:t>
      </w:r>
      <w:r>
        <w:rPr>
          <w:rFonts w:ascii="宋体" w:eastAsia="宋体" w:hAnsi="宋体" w:cs="宋体"/>
          <w:spacing w:val="15"/>
          <w:sz w:val="22"/>
          <w:szCs w:val="22"/>
        </w:rPr>
        <w:t xml:space="preserve"> </w:t>
      </w:r>
      <w:r>
        <w:rPr>
          <w:rFonts w:ascii="宋体" w:eastAsia="宋体" w:hAnsi="宋体" w:cs="宋体"/>
          <w:spacing w:val="-9"/>
          <w:sz w:val="22"/>
          <w:szCs w:val="22"/>
        </w:rPr>
        <w:t>(stomach)</w:t>
      </w:r>
      <w:r>
        <w:rPr>
          <w:rFonts w:ascii="宋体" w:eastAsia="宋体" w:hAnsi="宋体" w:cs="宋体"/>
          <w:spacing w:val="-13"/>
          <w:sz w:val="22"/>
          <w:szCs w:val="22"/>
        </w:rPr>
        <w:t xml:space="preserve"> </w:t>
      </w:r>
      <w:r>
        <w:rPr>
          <w:rFonts w:ascii="宋体" w:eastAsia="宋体" w:hAnsi="宋体" w:cs="宋体"/>
          <w:spacing w:val="-9"/>
          <w:sz w:val="22"/>
          <w:szCs w:val="22"/>
        </w:rPr>
        <w:t>位于左上腹，是消化道最膨大的部分，其上端通过贲门与食</w:t>
      </w:r>
      <w:r>
        <w:rPr>
          <w:rFonts w:ascii="宋体" w:eastAsia="宋体" w:hAnsi="宋体" w:cs="宋体"/>
          <w:sz w:val="22"/>
          <w:szCs w:val="22"/>
        </w:rPr>
        <w:t xml:space="preserve"> </w:t>
      </w:r>
      <w:r>
        <w:rPr>
          <w:rFonts w:ascii="宋体" w:eastAsia="宋体" w:hAnsi="宋体" w:cs="宋体"/>
          <w:spacing w:val="-11"/>
          <w:sz w:val="22"/>
          <w:szCs w:val="22"/>
        </w:rPr>
        <w:t>道相连，下端通过幽门与十二指肠相连。胃的肌肉由纵状肌肉和环</w:t>
      </w:r>
      <w:r>
        <w:rPr>
          <w:rFonts w:ascii="宋体" w:eastAsia="宋体" w:hAnsi="宋体" w:cs="宋体"/>
          <w:spacing w:val="-12"/>
          <w:sz w:val="22"/>
          <w:szCs w:val="22"/>
        </w:rPr>
        <w:t>状肌肉组成，</w:t>
      </w:r>
      <w:r>
        <w:rPr>
          <w:rFonts w:ascii="宋体" w:eastAsia="宋体" w:hAnsi="宋体" w:cs="宋体"/>
          <w:sz w:val="22"/>
          <w:szCs w:val="22"/>
        </w:rPr>
        <w:t xml:space="preserve"> </w:t>
      </w:r>
      <w:r>
        <w:rPr>
          <w:rFonts w:ascii="宋体" w:eastAsia="宋体" w:hAnsi="宋体" w:cs="宋体"/>
          <w:spacing w:val="-14"/>
          <w:sz w:val="22"/>
          <w:szCs w:val="22"/>
        </w:rPr>
        <w:t>内衬黏膜层。肌肉的舒缩形成了胃的运动，黏膜则具有分泌胃液的作用，</w:t>
      </w:r>
    </w:p>
    <w:p w:rsidR="00EA40A3" w:rsidRDefault="00E86C16">
      <w:pPr>
        <w:spacing w:before="28" w:line="225" w:lineRule="auto"/>
        <w:rPr>
          <w:rFonts w:ascii="楷体" w:eastAsia="楷体" w:hAnsi="楷体" w:cs="楷体"/>
          <w:sz w:val="22"/>
          <w:szCs w:val="22"/>
        </w:rPr>
      </w:pPr>
      <w:r>
        <w:rPr>
          <w:rFonts w:ascii="楷体" w:eastAsia="楷体" w:hAnsi="楷体" w:cs="楷体"/>
          <w:spacing w:val="-18"/>
          <w:sz w:val="22"/>
          <w:szCs w:val="22"/>
        </w:rPr>
        <w:t>1)</w:t>
      </w:r>
      <w:r>
        <w:rPr>
          <w:rFonts w:ascii="楷体" w:eastAsia="楷体" w:hAnsi="楷体" w:cs="楷体"/>
          <w:spacing w:val="12"/>
          <w:sz w:val="22"/>
          <w:szCs w:val="22"/>
        </w:rPr>
        <w:t xml:space="preserve"> </w:t>
      </w:r>
      <w:r>
        <w:rPr>
          <w:rFonts w:ascii="楷体" w:eastAsia="楷体" w:hAnsi="楷体" w:cs="楷体"/>
          <w:spacing w:val="-18"/>
          <w:sz w:val="22"/>
          <w:szCs w:val="22"/>
        </w:rPr>
        <w:t>胃的运动</w:t>
      </w:r>
    </w:p>
    <w:p w:rsidR="00EA40A3" w:rsidRDefault="00E86C16">
      <w:pPr>
        <w:spacing w:before="57" w:line="245" w:lineRule="auto"/>
        <w:ind w:right="49" w:firstLine="430"/>
        <w:rPr>
          <w:rFonts w:ascii="宋体" w:eastAsia="宋体" w:hAnsi="宋体" w:cs="宋体"/>
          <w:sz w:val="22"/>
          <w:szCs w:val="22"/>
        </w:rPr>
      </w:pPr>
      <w:r>
        <w:rPr>
          <w:rFonts w:ascii="宋体" w:eastAsia="宋体" w:hAnsi="宋体" w:cs="宋体"/>
          <w:spacing w:val="-11"/>
          <w:sz w:val="22"/>
          <w:szCs w:val="22"/>
        </w:rPr>
        <w:t>(1)容受性舒张</w:t>
      </w:r>
      <w:r>
        <w:rPr>
          <w:rFonts w:ascii="宋体" w:eastAsia="宋体" w:hAnsi="宋体" w:cs="宋体"/>
          <w:spacing w:val="-6"/>
          <w:sz w:val="22"/>
          <w:szCs w:val="22"/>
        </w:rPr>
        <w:t xml:space="preserve"> </w:t>
      </w:r>
      <w:r>
        <w:rPr>
          <w:rFonts w:ascii="宋体" w:eastAsia="宋体" w:hAnsi="宋体" w:cs="宋体"/>
          <w:spacing w:val="-11"/>
          <w:sz w:val="22"/>
          <w:szCs w:val="22"/>
        </w:rPr>
        <w:t>(receptive</w:t>
      </w:r>
      <w:r>
        <w:rPr>
          <w:rFonts w:ascii="宋体" w:eastAsia="宋体" w:hAnsi="宋体" w:cs="宋体"/>
          <w:spacing w:val="-13"/>
          <w:sz w:val="22"/>
          <w:szCs w:val="22"/>
        </w:rPr>
        <w:t xml:space="preserve"> </w:t>
      </w:r>
      <w:r>
        <w:rPr>
          <w:rFonts w:ascii="宋体" w:eastAsia="宋体" w:hAnsi="宋体" w:cs="宋体"/>
          <w:spacing w:val="-11"/>
          <w:sz w:val="22"/>
          <w:szCs w:val="22"/>
        </w:rPr>
        <w:t>relaxation):</w:t>
      </w:r>
      <w:r>
        <w:rPr>
          <w:rFonts w:ascii="宋体" w:eastAsia="宋体" w:hAnsi="宋体" w:cs="宋体"/>
          <w:spacing w:val="-37"/>
          <w:sz w:val="22"/>
          <w:szCs w:val="22"/>
        </w:rPr>
        <w:t xml:space="preserve"> </w:t>
      </w:r>
      <w:r>
        <w:rPr>
          <w:rFonts w:ascii="宋体" w:eastAsia="宋体" w:hAnsi="宋体" w:cs="宋体"/>
          <w:spacing w:val="-11"/>
          <w:sz w:val="22"/>
          <w:szCs w:val="22"/>
        </w:rPr>
        <w:t>空腹时，胃的体积只有35～50mL,</w:t>
      </w:r>
      <w:r>
        <w:rPr>
          <w:rFonts w:ascii="宋体" w:eastAsia="宋体" w:hAnsi="宋体" w:cs="宋体"/>
          <w:sz w:val="22"/>
          <w:szCs w:val="22"/>
        </w:rPr>
        <w:t xml:space="preserve"> </w:t>
      </w:r>
      <w:r>
        <w:rPr>
          <w:rFonts w:ascii="宋体" w:eastAsia="宋体" w:hAnsi="宋体" w:cs="宋体"/>
          <w:spacing w:val="-8"/>
          <w:sz w:val="22"/>
          <w:szCs w:val="22"/>
        </w:rPr>
        <w:t>而在充盈的状态下体积可增大到1000～1500mL,</w:t>
      </w:r>
      <w:r>
        <w:rPr>
          <w:rFonts w:ascii="宋体" w:eastAsia="宋体" w:hAnsi="宋体" w:cs="宋体"/>
          <w:spacing w:val="91"/>
          <w:sz w:val="22"/>
          <w:szCs w:val="22"/>
        </w:rPr>
        <w:t xml:space="preserve"> </w:t>
      </w:r>
      <w:r>
        <w:rPr>
          <w:rFonts w:ascii="宋体" w:eastAsia="宋体" w:hAnsi="宋体" w:cs="宋体"/>
          <w:spacing w:val="-8"/>
          <w:sz w:val="22"/>
          <w:szCs w:val="22"/>
        </w:rPr>
        <w:t>胃的容受性舒张使胃可以很容</w:t>
      </w:r>
      <w:r>
        <w:rPr>
          <w:rFonts w:ascii="宋体" w:eastAsia="宋体" w:hAnsi="宋体" w:cs="宋体"/>
          <w:sz w:val="22"/>
          <w:szCs w:val="22"/>
        </w:rPr>
        <w:t xml:space="preserve"> </w:t>
      </w:r>
      <w:r>
        <w:rPr>
          <w:rFonts w:ascii="宋体" w:eastAsia="宋体" w:hAnsi="宋体" w:cs="宋体"/>
          <w:spacing w:val="-13"/>
          <w:sz w:val="22"/>
          <w:szCs w:val="22"/>
        </w:rPr>
        <w:t>易地接受食物而不引起胃内压力的增大。胃的容受性舒张的生理意义是使胃的容</w:t>
      </w:r>
      <w:r>
        <w:rPr>
          <w:rFonts w:ascii="宋体" w:eastAsia="宋体" w:hAnsi="宋体" w:cs="宋体"/>
          <w:spacing w:val="14"/>
          <w:sz w:val="22"/>
          <w:szCs w:val="22"/>
        </w:rPr>
        <w:t xml:space="preserve"> </w:t>
      </w:r>
      <w:r>
        <w:rPr>
          <w:rFonts w:ascii="宋体" w:eastAsia="宋体" w:hAnsi="宋体" w:cs="宋体"/>
          <w:spacing w:val="-14"/>
          <w:sz w:val="22"/>
          <w:szCs w:val="22"/>
        </w:rPr>
        <w:t>量适应于大量食物的涌入，以完成储存和预备消化食物</w:t>
      </w:r>
      <w:r>
        <w:rPr>
          <w:rFonts w:ascii="宋体" w:eastAsia="宋体" w:hAnsi="宋体" w:cs="宋体"/>
          <w:spacing w:val="-15"/>
          <w:sz w:val="22"/>
          <w:szCs w:val="22"/>
        </w:rPr>
        <w:t>的功能。</w:t>
      </w:r>
    </w:p>
    <w:p w:rsidR="00EA40A3" w:rsidRDefault="00E86C16">
      <w:pPr>
        <w:spacing w:before="37" w:line="241" w:lineRule="auto"/>
        <w:ind w:right="49" w:firstLine="430"/>
        <w:rPr>
          <w:rFonts w:ascii="宋体" w:eastAsia="宋体" w:hAnsi="宋体" w:cs="宋体"/>
          <w:sz w:val="22"/>
          <w:szCs w:val="22"/>
        </w:rPr>
      </w:pPr>
      <w:r>
        <w:rPr>
          <w:rFonts w:ascii="宋体" w:eastAsia="宋体" w:hAnsi="宋体" w:cs="宋体"/>
          <w:spacing w:val="-11"/>
          <w:sz w:val="22"/>
          <w:szCs w:val="22"/>
        </w:rPr>
        <w:t>(2)紧张性收缩</w:t>
      </w:r>
      <w:r>
        <w:rPr>
          <w:rFonts w:ascii="宋体" w:eastAsia="宋体" w:hAnsi="宋体" w:cs="宋体"/>
          <w:spacing w:val="-31"/>
          <w:sz w:val="22"/>
          <w:szCs w:val="22"/>
        </w:rPr>
        <w:t xml:space="preserve"> </w:t>
      </w:r>
      <w:r>
        <w:rPr>
          <w:rFonts w:ascii="宋体" w:eastAsia="宋体" w:hAnsi="宋体" w:cs="宋体"/>
          <w:spacing w:val="-11"/>
          <w:sz w:val="22"/>
          <w:szCs w:val="22"/>
        </w:rPr>
        <w:t>(tonic</w:t>
      </w:r>
      <w:r>
        <w:rPr>
          <w:rFonts w:ascii="宋体" w:eastAsia="宋体" w:hAnsi="宋体" w:cs="宋体"/>
          <w:spacing w:val="-5"/>
          <w:sz w:val="22"/>
          <w:szCs w:val="22"/>
        </w:rPr>
        <w:t xml:space="preserve"> </w:t>
      </w:r>
      <w:r>
        <w:rPr>
          <w:rFonts w:ascii="宋体" w:eastAsia="宋体" w:hAnsi="宋体" w:cs="宋体"/>
          <w:spacing w:val="-11"/>
          <w:sz w:val="22"/>
          <w:szCs w:val="22"/>
        </w:rPr>
        <w:t>contraction):</w:t>
      </w:r>
      <w:r>
        <w:rPr>
          <w:rFonts w:ascii="宋体" w:eastAsia="宋体" w:hAnsi="宋体" w:cs="宋体"/>
          <w:spacing w:val="-19"/>
          <w:sz w:val="22"/>
          <w:szCs w:val="22"/>
        </w:rPr>
        <w:t xml:space="preserve"> </w:t>
      </w:r>
      <w:r>
        <w:rPr>
          <w:rFonts w:ascii="宋体" w:eastAsia="宋体" w:hAnsi="宋体" w:cs="宋体"/>
          <w:spacing w:val="-11"/>
          <w:sz w:val="22"/>
          <w:szCs w:val="22"/>
        </w:rPr>
        <w:t>胃被</w:t>
      </w:r>
      <w:r>
        <w:rPr>
          <w:rFonts w:ascii="宋体" w:eastAsia="宋体" w:hAnsi="宋体" w:cs="宋体"/>
          <w:spacing w:val="-12"/>
          <w:sz w:val="22"/>
          <w:szCs w:val="22"/>
        </w:rPr>
        <w:t>充满后，就开始了它的持续较长</w:t>
      </w:r>
      <w:r>
        <w:rPr>
          <w:rFonts w:ascii="宋体" w:eastAsia="宋体" w:hAnsi="宋体" w:cs="宋体"/>
          <w:sz w:val="22"/>
          <w:szCs w:val="22"/>
        </w:rPr>
        <w:t xml:space="preserve"> </w:t>
      </w:r>
      <w:r>
        <w:rPr>
          <w:rFonts w:ascii="宋体" w:eastAsia="宋体" w:hAnsi="宋体" w:cs="宋体"/>
          <w:spacing w:val="-7"/>
          <w:sz w:val="22"/>
          <w:szCs w:val="22"/>
        </w:rPr>
        <w:t>时间的紧张性收缩。在消化过程中，紧张性收缩逐渐加强，使胃腔内有一定压</w:t>
      </w:r>
      <w:r>
        <w:rPr>
          <w:rFonts w:ascii="宋体" w:eastAsia="宋体" w:hAnsi="宋体" w:cs="宋体"/>
          <w:spacing w:val="17"/>
          <w:sz w:val="22"/>
          <w:szCs w:val="22"/>
        </w:rPr>
        <w:t xml:space="preserve"> </w:t>
      </w:r>
      <w:r>
        <w:rPr>
          <w:rFonts w:ascii="宋体" w:eastAsia="宋体" w:hAnsi="宋体" w:cs="宋体"/>
          <w:spacing w:val="-13"/>
          <w:sz w:val="22"/>
          <w:szCs w:val="22"/>
        </w:rPr>
        <w:t>力，这种压力有助于胃液渗入食物，并能协助推动食糜向十二指肠移动</w:t>
      </w:r>
      <w:r>
        <w:rPr>
          <w:rFonts w:ascii="宋体" w:eastAsia="宋体" w:hAnsi="宋体" w:cs="宋体"/>
          <w:spacing w:val="-14"/>
          <w:sz w:val="22"/>
          <w:szCs w:val="22"/>
        </w:rPr>
        <w:t>。</w:t>
      </w:r>
    </w:p>
    <w:p w:rsidR="00EA40A3" w:rsidRDefault="00E86C16">
      <w:pPr>
        <w:spacing w:before="42" w:line="243" w:lineRule="auto"/>
        <w:ind w:right="34" w:firstLine="430"/>
        <w:rPr>
          <w:rFonts w:ascii="宋体" w:eastAsia="宋体" w:hAnsi="宋体" w:cs="宋体"/>
          <w:sz w:val="22"/>
          <w:szCs w:val="22"/>
        </w:rPr>
      </w:pPr>
      <w:r>
        <w:rPr>
          <w:rFonts w:ascii="宋体" w:eastAsia="宋体" w:hAnsi="宋体" w:cs="宋体"/>
          <w:spacing w:val="-9"/>
          <w:sz w:val="22"/>
          <w:szCs w:val="22"/>
        </w:rPr>
        <w:t>(3)胃的蠕动：胃的蠕动由胃体部发生，向</w:t>
      </w:r>
      <w:r>
        <w:rPr>
          <w:rFonts w:ascii="宋体" w:eastAsia="宋体" w:hAnsi="宋体" w:cs="宋体"/>
          <w:spacing w:val="-10"/>
          <w:sz w:val="22"/>
          <w:szCs w:val="22"/>
        </w:rPr>
        <w:t>胃底部方向发展。蠕动的作用是</w:t>
      </w:r>
      <w:r>
        <w:rPr>
          <w:rFonts w:ascii="宋体" w:eastAsia="宋体" w:hAnsi="宋体" w:cs="宋体"/>
          <w:sz w:val="22"/>
          <w:szCs w:val="22"/>
        </w:rPr>
        <w:t xml:space="preserve"> </w:t>
      </w:r>
      <w:r>
        <w:rPr>
          <w:rFonts w:ascii="宋体" w:eastAsia="宋体" w:hAnsi="宋体" w:cs="宋体"/>
          <w:spacing w:val="-6"/>
          <w:sz w:val="22"/>
          <w:szCs w:val="22"/>
        </w:rPr>
        <w:t>使食物与胃液充分混合，以利胃液的消化作用，同时对固体食物进行研磨；</w:t>
      </w:r>
      <w:r>
        <w:rPr>
          <w:rFonts w:ascii="宋体" w:eastAsia="宋体" w:hAnsi="宋体" w:cs="宋体"/>
          <w:spacing w:val="-7"/>
          <w:sz w:val="22"/>
          <w:szCs w:val="22"/>
        </w:rPr>
        <w:t>另</w:t>
      </w:r>
      <w:r>
        <w:rPr>
          <w:rFonts w:ascii="宋体" w:eastAsia="宋体" w:hAnsi="宋体" w:cs="宋体"/>
          <w:sz w:val="22"/>
          <w:szCs w:val="22"/>
        </w:rPr>
        <w:t xml:space="preserve"> </w:t>
      </w:r>
      <w:r>
        <w:rPr>
          <w:rFonts w:ascii="宋体" w:eastAsia="宋体" w:hAnsi="宋体" w:cs="宋体"/>
          <w:spacing w:val="-13"/>
          <w:sz w:val="22"/>
          <w:szCs w:val="22"/>
        </w:rPr>
        <w:t>外，通过胃的蠕动可以把食物以最适合小肠消化和吸收的速度向十</w:t>
      </w:r>
      <w:r>
        <w:rPr>
          <w:rFonts w:ascii="宋体" w:eastAsia="宋体" w:hAnsi="宋体" w:cs="宋体"/>
          <w:spacing w:val="-14"/>
          <w:sz w:val="22"/>
          <w:szCs w:val="22"/>
        </w:rPr>
        <w:t>二指肠排放。</w:t>
      </w:r>
      <w:r>
        <w:rPr>
          <w:rFonts w:ascii="宋体" w:eastAsia="宋体" w:hAnsi="宋体" w:cs="宋体"/>
          <w:sz w:val="22"/>
          <w:szCs w:val="22"/>
        </w:rPr>
        <w:t xml:space="preserve"> </w:t>
      </w:r>
      <w:r>
        <w:rPr>
          <w:rFonts w:ascii="宋体" w:eastAsia="宋体" w:hAnsi="宋体" w:cs="宋体"/>
          <w:spacing w:val="9"/>
          <w:sz w:val="22"/>
          <w:szCs w:val="22"/>
        </w:rPr>
        <w:t>2)胃液</w:t>
      </w:r>
    </w:p>
    <w:p w:rsidR="00EA40A3" w:rsidRDefault="00E86C16">
      <w:pPr>
        <w:spacing w:before="104" w:line="231" w:lineRule="auto"/>
        <w:ind w:right="50" w:firstLine="430"/>
        <w:rPr>
          <w:rFonts w:ascii="宋体" w:eastAsia="宋体" w:hAnsi="宋体" w:cs="宋体"/>
          <w:sz w:val="22"/>
          <w:szCs w:val="22"/>
        </w:rPr>
      </w:pPr>
      <w:r>
        <w:rPr>
          <w:rFonts w:ascii="宋体" w:eastAsia="宋体" w:hAnsi="宋体" w:cs="宋体"/>
          <w:spacing w:val="-13"/>
          <w:sz w:val="22"/>
          <w:szCs w:val="22"/>
        </w:rPr>
        <w:t>胃液为透明、淡黄色的酸性液体，</w:t>
      </w:r>
      <w:r>
        <w:rPr>
          <w:rFonts w:ascii="宋体" w:eastAsia="宋体" w:hAnsi="宋体" w:cs="宋体"/>
          <w:spacing w:val="30"/>
          <w:sz w:val="22"/>
          <w:szCs w:val="22"/>
        </w:rPr>
        <w:t xml:space="preserve"> </w:t>
      </w:r>
      <w:r>
        <w:rPr>
          <w:rFonts w:ascii="宋体" w:eastAsia="宋体" w:hAnsi="宋体" w:cs="宋体"/>
          <w:spacing w:val="-13"/>
          <w:sz w:val="22"/>
          <w:szCs w:val="22"/>
        </w:rPr>
        <w:t>pH</w:t>
      </w:r>
      <w:r>
        <w:rPr>
          <w:rFonts w:ascii="宋体" w:eastAsia="宋体" w:hAnsi="宋体" w:cs="宋体"/>
          <w:spacing w:val="6"/>
          <w:sz w:val="22"/>
          <w:szCs w:val="22"/>
        </w:rPr>
        <w:t xml:space="preserve"> </w:t>
      </w:r>
      <w:r>
        <w:rPr>
          <w:rFonts w:ascii="宋体" w:eastAsia="宋体" w:hAnsi="宋体" w:cs="宋体"/>
          <w:spacing w:val="-13"/>
          <w:sz w:val="22"/>
          <w:szCs w:val="22"/>
        </w:rPr>
        <w:t>值为0.9～1.5。胃液主要由以下成分</w:t>
      </w:r>
      <w:r>
        <w:rPr>
          <w:rFonts w:ascii="宋体" w:eastAsia="宋体" w:hAnsi="宋体" w:cs="宋体"/>
          <w:sz w:val="22"/>
          <w:szCs w:val="22"/>
        </w:rPr>
        <w:t xml:space="preserve"> </w:t>
      </w:r>
      <w:r>
        <w:rPr>
          <w:rFonts w:ascii="宋体" w:eastAsia="宋体" w:hAnsi="宋体" w:cs="宋体"/>
          <w:spacing w:val="-14"/>
          <w:sz w:val="22"/>
          <w:szCs w:val="22"/>
        </w:rPr>
        <w:t>组成：</w:t>
      </w:r>
    </w:p>
    <w:p w:rsidR="00EA40A3" w:rsidRDefault="00E86C16">
      <w:pPr>
        <w:spacing w:before="67" w:line="245" w:lineRule="auto"/>
        <w:ind w:firstLine="430"/>
        <w:rPr>
          <w:rFonts w:ascii="宋体" w:eastAsia="宋体" w:hAnsi="宋体" w:cs="宋体"/>
          <w:sz w:val="22"/>
          <w:szCs w:val="22"/>
        </w:rPr>
      </w:pPr>
      <w:r>
        <w:rPr>
          <w:rFonts w:ascii="宋体" w:eastAsia="宋体" w:hAnsi="宋体" w:cs="宋体"/>
          <w:spacing w:val="-11"/>
          <w:sz w:val="22"/>
          <w:szCs w:val="22"/>
        </w:rPr>
        <w:t>(1)胃酸：胃酸由盐酸构成，由胃黏膜的壁细胞所分泌。胃酸主要有以下功</w:t>
      </w:r>
      <w:r>
        <w:rPr>
          <w:rFonts w:ascii="宋体" w:eastAsia="宋体" w:hAnsi="宋体" w:cs="宋体"/>
          <w:spacing w:val="3"/>
          <w:sz w:val="22"/>
          <w:szCs w:val="22"/>
        </w:rPr>
        <w:t xml:space="preserve">  </w:t>
      </w:r>
      <w:r>
        <w:rPr>
          <w:rFonts w:ascii="宋体" w:eastAsia="宋体" w:hAnsi="宋体" w:cs="宋体"/>
          <w:spacing w:val="-7"/>
          <w:sz w:val="22"/>
          <w:szCs w:val="22"/>
        </w:rPr>
        <w:t>能：①激活胃蛋白酶原，使之转变为有活性的胃蛋白酶。②维持胃内的酸性环</w:t>
      </w:r>
      <w:r>
        <w:rPr>
          <w:rFonts w:ascii="宋体" w:eastAsia="宋体" w:hAnsi="宋体" w:cs="宋体"/>
          <w:spacing w:val="17"/>
          <w:sz w:val="22"/>
          <w:szCs w:val="22"/>
        </w:rPr>
        <w:t xml:space="preserve"> </w:t>
      </w:r>
      <w:r>
        <w:rPr>
          <w:rFonts w:ascii="宋体" w:eastAsia="宋体" w:hAnsi="宋体" w:cs="宋体"/>
          <w:spacing w:val="-7"/>
          <w:sz w:val="22"/>
          <w:szCs w:val="22"/>
        </w:rPr>
        <w:t>境，为胃内的消化酶提供最合适的pH,</w:t>
      </w:r>
      <w:r>
        <w:rPr>
          <w:rFonts w:ascii="宋体" w:eastAsia="宋体" w:hAnsi="宋体" w:cs="宋体"/>
          <w:spacing w:val="73"/>
          <w:sz w:val="22"/>
          <w:szCs w:val="22"/>
        </w:rPr>
        <w:t xml:space="preserve"> </w:t>
      </w:r>
      <w:r>
        <w:rPr>
          <w:rFonts w:ascii="宋体" w:eastAsia="宋体" w:hAnsi="宋体" w:cs="宋体"/>
          <w:spacing w:val="-7"/>
          <w:sz w:val="22"/>
          <w:szCs w:val="22"/>
        </w:rPr>
        <w:t>并使钙、铁等矿质元素处于游离状态，</w:t>
      </w:r>
      <w:r>
        <w:rPr>
          <w:rFonts w:ascii="宋体" w:eastAsia="宋体" w:hAnsi="宋体" w:cs="宋体"/>
          <w:sz w:val="22"/>
          <w:szCs w:val="22"/>
        </w:rPr>
        <w:t xml:space="preserve"> </w:t>
      </w:r>
      <w:r>
        <w:rPr>
          <w:rFonts w:ascii="宋体" w:eastAsia="宋体" w:hAnsi="宋体" w:cs="宋体"/>
          <w:spacing w:val="-12"/>
          <w:sz w:val="22"/>
          <w:szCs w:val="22"/>
        </w:rPr>
        <w:t>利于吸收。③杀死随同食物进入胃内的微生物。④造成蛋白</w:t>
      </w:r>
      <w:r>
        <w:rPr>
          <w:rFonts w:ascii="宋体" w:eastAsia="宋体" w:hAnsi="宋体" w:cs="宋体"/>
          <w:spacing w:val="-13"/>
          <w:sz w:val="22"/>
          <w:szCs w:val="22"/>
        </w:rPr>
        <w:t>质变性，使其更容易</w:t>
      </w:r>
      <w:r>
        <w:rPr>
          <w:rFonts w:ascii="宋体" w:eastAsia="宋体" w:hAnsi="宋体" w:cs="宋体"/>
          <w:sz w:val="22"/>
          <w:szCs w:val="22"/>
        </w:rPr>
        <w:t xml:space="preserve"> </w:t>
      </w:r>
      <w:r>
        <w:rPr>
          <w:rFonts w:ascii="宋体" w:eastAsia="宋体" w:hAnsi="宋体" w:cs="宋体"/>
          <w:spacing w:val="-17"/>
          <w:sz w:val="22"/>
          <w:szCs w:val="22"/>
        </w:rPr>
        <w:t>被消化酶所分解。</w:t>
      </w:r>
    </w:p>
    <w:p w:rsidR="00EA40A3" w:rsidRDefault="00E86C16">
      <w:pPr>
        <w:spacing w:before="39" w:line="235" w:lineRule="auto"/>
        <w:ind w:right="50" w:firstLine="430"/>
        <w:rPr>
          <w:rFonts w:ascii="宋体" w:eastAsia="宋体" w:hAnsi="宋体" w:cs="宋体"/>
          <w:sz w:val="22"/>
          <w:szCs w:val="22"/>
        </w:rPr>
      </w:pPr>
      <w:r>
        <w:rPr>
          <w:rFonts w:ascii="宋体" w:eastAsia="宋体" w:hAnsi="宋体" w:cs="宋体"/>
          <w:spacing w:val="-10"/>
          <w:sz w:val="22"/>
          <w:szCs w:val="22"/>
        </w:rPr>
        <w:t>(2)胃蛋白酶：胃蛋白酶是由胃黏膜的主细胞以不具活性的胃蛋白酶原的形</w:t>
      </w:r>
      <w:r>
        <w:rPr>
          <w:rFonts w:ascii="宋体" w:eastAsia="宋体" w:hAnsi="宋体" w:cs="宋体"/>
          <w:spacing w:val="18"/>
          <w:sz w:val="22"/>
          <w:szCs w:val="22"/>
        </w:rPr>
        <w:t xml:space="preserve"> </w:t>
      </w:r>
      <w:r>
        <w:rPr>
          <w:rFonts w:ascii="宋体" w:eastAsia="宋体" w:hAnsi="宋体" w:cs="宋体"/>
          <w:spacing w:val="-13"/>
          <w:sz w:val="22"/>
          <w:szCs w:val="22"/>
        </w:rPr>
        <w:t>式所分泌的，胃蛋白酶原在胃酸的作用下转变为具有活性的胃蛋白酶。胃蛋白酶</w:t>
      </w:r>
    </w:p>
    <w:p w:rsidR="00EA40A3" w:rsidRDefault="00E86C16">
      <w:pPr>
        <w:spacing w:before="67"/>
        <w:ind w:left="130"/>
        <w:rPr>
          <w:rFonts w:ascii="宋体" w:eastAsia="宋体" w:hAnsi="宋体" w:cs="宋体"/>
          <w:sz w:val="19"/>
          <w:szCs w:val="19"/>
        </w:rPr>
      </w:pPr>
      <w:r>
        <w:rPr>
          <w:rFonts w:ascii="宋体" w:eastAsia="宋体" w:hAnsi="宋体" w:cs="宋体"/>
          <w:spacing w:val="-35"/>
          <w:sz w:val="19"/>
          <w:szCs w:val="19"/>
        </w:rPr>
        <w:t>·</w:t>
      </w:r>
      <w:r>
        <w:rPr>
          <w:rFonts w:ascii="宋体" w:eastAsia="宋体" w:hAnsi="宋体" w:cs="宋体"/>
          <w:spacing w:val="-9"/>
          <w:sz w:val="19"/>
          <w:szCs w:val="19"/>
        </w:rPr>
        <w:t xml:space="preserve"> </w:t>
      </w:r>
      <w:r>
        <w:rPr>
          <w:rFonts w:ascii="宋体" w:eastAsia="宋体" w:hAnsi="宋体" w:cs="宋体"/>
          <w:spacing w:val="-35"/>
          <w:sz w:val="19"/>
          <w:szCs w:val="19"/>
        </w:rPr>
        <w:t>20</w:t>
      </w:r>
      <w:r>
        <w:rPr>
          <w:rFonts w:ascii="宋体" w:eastAsia="宋体" w:hAnsi="宋体" w:cs="宋体"/>
          <w:spacing w:val="41"/>
          <w:sz w:val="19"/>
          <w:szCs w:val="19"/>
        </w:rPr>
        <w:t xml:space="preserve"> </w:t>
      </w:r>
      <w:r>
        <w:rPr>
          <w:rFonts w:ascii="宋体" w:eastAsia="宋体" w:hAnsi="宋体" w:cs="宋体"/>
          <w:spacing w:val="-35"/>
          <w:sz w:val="19"/>
          <w:szCs w:val="19"/>
        </w:rPr>
        <w:t>·</w:t>
      </w:r>
    </w:p>
    <w:p w:rsidR="00EA40A3" w:rsidRDefault="00EA40A3">
      <w:pPr>
        <w:sectPr w:rsidR="00EA40A3">
          <w:pgSz w:w="9220" w:h="13360"/>
          <w:pgMar w:top="400" w:right="1060" w:bottom="400" w:left="849" w:header="0" w:footer="0" w:gutter="0"/>
          <w:cols w:space="720"/>
        </w:sectPr>
      </w:pPr>
    </w:p>
    <w:p w:rsidR="00EA40A3" w:rsidRDefault="00EA40A3">
      <w:pPr>
        <w:spacing w:line="281" w:lineRule="auto"/>
      </w:pPr>
    </w:p>
    <w:p w:rsidR="00EA40A3" w:rsidRDefault="00EA40A3">
      <w:pPr>
        <w:spacing w:line="282" w:lineRule="auto"/>
      </w:pPr>
    </w:p>
    <w:p w:rsidR="00EA40A3" w:rsidRDefault="00E86C16">
      <w:pPr>
        <w:spacing w:before="72" w:line="247" w:lineRule="auto"/>
        <w:ind w:right="101"/>
        <w:jc w:val="both"/>
        <w:rPr>
          <w:rFonts w:ascii="宋体" w:eastAsia="宋体" w:hAnsi="宋体" w:cs="宋体"/>
          <w:sz w:val="22"/>
          <w:szCs w:val="22"/>
        </w:rPr>
      </w:pPr>
      <w:r>
        <w:rPr>
          <w:rFonts w:ascii="宋体" w:eastAsia="宋体" w:hAnsi="宋体" w:cs="宋体"/>
          <w:spacing w:val="-14"/>
          <w:sz w:val="22"/>
          <w:szCs w:val="22"/>
        </w:rPr>
        <w:t>可对食物中的蛋白质进行简单分解，主要作用于含苯丙氨酸或酪氨酸的肽键，形</w:t>
      </w:r>
      <w:r>
        <w:rPr>
          <w:rFonts w:ascii="宋体" w:eastAsia="宋体" w:hAnsi="宋体" w:cs="宋体"/>
          <w:spacing w:val="8"/>
          <w:sz w:val="22"/>
          <w:szCs w:val="22"/>
        </w:rPr>
        <w:t xml:space="preserve"> </w:t>
      </w:r>
      <w:r>
        <w:rPr>
          <w:rFonts w:ascii="宋体" w:eastAsia="宋体" w:hAnsi="宋体" w:cs="宋体"/>
          <w:spacing w:val="-11"/>
          <w:sz w:val="22"/>
          <w:szCs w:val="22"/>
        </w:rPr>
        <w:t>成际和胨，但很少形成游离氨基酸，当食糜被送入小肠后，随pH</w:t>
      </w:r>
      <w:r>
        <w:rPr>
          <w:rFonts w:ascii="宋体" w:eastAsia="宋体" w:hAnsi="宋体" w:cs="宋体"/>
          <w:spacing w:val="52"/>
          <w:sz w:val="22"/>
          <w:szCs w:val="22"/>
        </w:rPr>
        <w:t xml:space="preserve"> </w:t>
      </w:r>
      <w:r>
        <w:rPr>
          <w:rFonts w:ascii="宋体" w:eastAsia="宋体" w:hAnsi="宋体" w:cs="宋体"/>
          <w:spacing w:val="-11"/>
          <w:sz w:val="22"/>
          <w:szCs w:val="22"/>
        </w:rPr>
        <w:t>升高，此酶迅</w:t>
      </w:r>
      <w:r>
        <w:rPr>
          <w:rFonts w:ascii="宋体" w:eastAsia="宋体" w:hAnsi="宋体" w:cs="宋体"/>
          <w:sz w:val="22"/>
          <w:szCs w:val="22"/>
        </w:rPr>
        <w:t xml:space="preserve"> </w:t>
      </w:r>
      <w:r>
        <w:rPr>
          <w:rFonts w:ascii="宋体" w:eastAsia="宋体" w:hAnsi="宋体" w:cs="宋体"/>
          <w:spacing w:val="-15"/>
          <w:sz w:val="22"/>
          <w:szCs w:val="22"/>
        </w:rPr>
        <w:t>速失活。</w:t>
      </w:r>
    </w:p>
    <w:p w:rsidR="00EA40A3" w:rsidRDefault="00E86C16">
      <w:pPr>
        <w:spacing w:before="46" w:line="256" w:lineRule="auto"/>
        <w:ind w:right="100" w:firstLine="439"/>
        <w:jc w:val="both"/>
        <w:rPr>
          <w:rFonts w:ascii="宋体" w:eastAsia="宋体" w:hAnsi="宋体" w:cs="宋体"/>
          <w:sz w:val="22"/>
          <w:szCs w:val="22"/>
        </w:rPr>
      </w:pPr>
      <w:r>
        <w:rPr>
          <w:rFonts w:ascii="宋体" w:eastAsia="宋体" w:hAnsi="宋体" w:cs="宋体"/>
          <w:spacing w:val="-10"/>
          <w:sz w:val="22"/>
          <w:szCs w:val="22"/>
        </w:rPr>
        <w:t>(3)黏液：黏液的主要成分为糖蛋白。黏液覆盖在胃黏膜的表面，形成一个</w:t>
      </w:r>
      <w:r>
        <w:rPr>
          <w:rFonts w:ascii="宋体" w:eastAsia="宋体" w:hAnsi="宋体" w:cs="宋体"/>
          <w:spacing w:val="8"/>
          <w:sz w:val="22"/>
          <w:szCs w:val="22"/>
        </w:rPr>
        <w:t xml:space="preserve"> </w:t>
      </w:r>
      <w:r>
        <w:rPr>
          <w:rFonts w:ascii="宋体" w:eastAsia="宋体" w:hAnsi="宋体" w:cs="宋体"/>
          <w:spacing w:val="-11"/>
          <w:sz w:val="22"/>
          <w:szCs w:val="22"/>
        </w:rPr>
        <w:t>厚约500</w:t>
      </w:r>
      <w:r>
        <w:rPr>
          <w:rFonts w:ascii="宋体" w:eastAsia="宋体" w:hAnsi="宋体" w:cs="宋体"/>
          <w:spacing w:val="-48"/>
          <w:sz w:val="22"/>
          <w:szCs w:val="22"/>
        </w:rPr>
        <w:t xml:space="preserve"> </w:t>
      </w:r>
      <w:r>
        <w:rPr>
          <w:rFonts w:ascii="宋体" w:eastAsia="宋体" w:hAnsi="宋体" w:cs="宋体"/>
          <w:spacing w:val="-11"/>
          <w:sz w:val="22"/>
          <w:szCs w:val="22"/>
        </w:rPr>
        <w:t>μm</w:t>
      </w:r>
      <w:r>
        <w:rPr>
          <w:rFonts w:ascii="宋体" w:eastAsia="宋体" w:hAnsi="宋体" w:cs="宋体"/>
          <w:spacing w:val="2"/>
          <w:sz w:val="22"/>
          <w:szCs w:val="22"/>
        </w:rPr>
        <w:t xml:space="preserve"> </w:t>
      </w:r>
      <w:r>
        <w:rPr>
          <w:rFonts w:ascii="宋体" w:eastAsia="宋体" w:hAnsi="宋体" w:cs="宋体"/>
          <w:spacing w:val="-11"/>
          <w:sz w:val="22"/>
          <w:szCs w:val="22"/>
        </w:rPr>
        <w:t>的凝胶层，它具有润滑作用，使食物易于通过；黏液膜还保护胃黏</w:t>
      </w:r>
      <w:r>
        <w:rPr>
          <w:rFonts w:ascii="宋体" w:eastAsia="宋体" w:hAnsi="宋体" w:cs="宋体"/>
          <w:sz w:val="22"/>
          <w:szCs w:val="22"/>
        </w:rPr>
        <w:t xml:space="preserve"> </w:t>
      </w:r>
      <w:r>
        <w:rPr>
          <w:rFonts w:ascii="宋体" w:eastAsia="宋体" w:hAnsi="宋体" w:cs="宋体"/>
          <w:spacing w:val="-13"/>
          <w:sz w:val="22"/>
          <w:szCs w:val="22"/>
        </w:rPr>
        <w:t>膜不受食物中粗糙成分的机械损伤；黏液为中性或偏碱性，可降低胃黏膜表面酸</w:t>
      </w:r>
      <w:r>
        <w:rPr>
          <w:rFonts w:ascii="宋体" w:eastAsia="宋体" w:hAnsi="宋体" w:cs="宋体"/>
          <w:spacing w:val="12"/>
          <w:sz w:val="22"/>
          <w:szCs w:val="22"/>
        </w:rPr>
        <w:t xml:space="preserve"> </w:t>
      </w:r>
      <w:r>
        <w:rPr>
          <w:rFonts w:ascii="宋体" w:eastAsia="宋体" w:hAnsi="宋体" w:cs="宋体"/>
          <w:spacing w:val="-13"/>
          <w:sz w:val="22"/>
          <w:szCs w:val="22"/>
        </w:rPr>
        <w:t>度，减弱胃蛋白酶活性，从而防止酸和胃蛋白酶对胃黏膜的消化作用。</w:t>
      </w:r>
    </w:p>
    <w:p w:rsidR="00EA40A3" w:rsidRDefault="00E86C16">
      <w:pPr>
        <w:spacing w:before="60" w:line="252" w:lineRule="auto"/>
        <w:ind w:right="99" w:firstLine="439"/>
        <w:jc w:val="both"/>
        <w:rPr>
          <w:rFonts w:ascii="宋体" w:eastAsia="宋体" w:hAnsi="宋体" w:cs="宋体"/>
          <w:sz w:val="22"/>
          <w:szCs w:val="22"/>
        </w:rPr>
      </w:pPr>
      <w:r>
        <w:rPr>
          <w:rFonts w:ascii="宋体" w:eastAsia="宋体" w:hAnsi="宋体" w:cs="宋体"/>
          <w:spacing w:val="-5"/>
          <w:sz w:val="22"/>
          <w:szCs w:val="22"/>
        </w:rPr>
        <w:t>(4)内因子：由壁细胞分泌，可以和维生素B</w:t>
      </w:r>
      <w:r>
        <w:rPr>
          <w:rFonts w:ascii="Calibri" w:eastAsia="Calibri" w:hAnsi="Calibri" w:cs="Calibri"/>
          <w:spacing w:val="-5"/>
          <w:sz w:val="22"/>
          <w:szCs w:val="22"/>
        </w:rPr>
        <w:t>₂</w:t>
      </w:r>
      <w:r>
        <w:rPr>
          <w:rFonts w:ascii="Calibri" w:eastAsia="Calibri" w:hAnsi="Calibri" w:cs="Calibri"/>
          <w:sz w:val="22"/>
          <w:szCs w:val="22"/>
        </w:rPr>
        <w:t xml:space="preserve">  </w:t>
      </w:r>
      <w:r>
        <w:rPr>
          <w:rFonts w:ascii="宋体" w:eastAsia="宋体" w:hAnsi="宋体" w:cs="宋体"/>
          <w:spacing w:val="-5"/>
          <w:sz w:val="22"/>
          <w:szCs w:val="22"/>
        </w:rPr>
        <w:t>结合成复合体，保</w:t>
      </w:r>
      <w:r>
        <w:rPr>
          <w:rFonts w:ascii="宋体" w:eastAsia="宋体" w:hAnsi="宋体" w:cs="宋体"/>
          <w:spacing w:val="-6"/>
          <w:sz w:val="22"/>
          <w:szCs w:val="22"/>
        </w:rPr>
        <w:t>护维生素</w:t>
      </w:r>
      <w:r>
        <w:rPr>
          <w:rFonts w:ascii="宋体" w:eastAsia="宋体" w:hAnsi="宋体" w:cs="宋体"/>
          <w:sz w:val="22"/>
          <w:szCs w:val="22"/>
        </w:rPr>
        <w:t xml:space="preserve"> </w:t>
      </w:r>
      <w:r>
        <w:rPr>
          <w:rFonts w:ascii="宋体" w:eastAsia="宋体" w:hAnsi="宋体" w:cs="宋体"/>
          <w:spacing w:val="-8"/>
          <w:sz w:val="22"/>
          <w:szCs w:val="22"/>
        </w:rPr>
        <w:t>Bi</w:t>
      </w:r>
      <w:r>
        <w:rPr>
          <w:rFonts w:ascii="Calibri" w:eastAsia="Calibri" w:hAnsi="Calibri" w:cs="Calibri"/>
          <w:spacing w:val="-8"/>
          <w:sz w:val="22"/>
          <w:szCs w:val="22"/>
        </w:rPr>
        <w:t>₂</w:t>
      </w:r>
      <w:r>
        <w:rPr>
          <w:rFonts w:ascii="宋体" w:eastAsia="宋体" w:hAnsi="宋体" w:cs="宋体"/>
          <w:spacing w:val="-8"/>
          <w:sz w:val="22"/>
          <w:szCs w:val="22"/>
        </w:rPr>
        <w:t>在被运送到回肠的过程中不被消化酶破坏，还有促进回肠上皮</w:t>
      </w:r>
      <w:r>
        <w:rPr>
          <w:rFonts w:ascii="宋体" w:eastAsia="宋体" w:hAnsi="宋体" w:cs="宋体"/>
          <w:spacing w:val="-9"/>
          <w:sz w:val="22"/>
          <w:szCs w:val="22"/>
        </w:rPr>
        <w:t>细胞吸收维生</w:t>
      </w:r>
      <w:r>
        <w:rPr>
          <w:rFonts w:ascii="宋体" w:eastAsia="宋体" w:hAnsi="宋体" w:cs="宋体"/>
          <w:sz w:val="22"/>
          <w:szCs w:val="22"/>
        </w:rPr>
        <w:t xml:space="preserve"> </w:t>
      </w:r>
      <w:r>
        <w:rPr>
          <w:rFonts w:ascii="宋体" w:eastAsia="宋体" w:hAnsi="宋体" w:cs="宋体"/>
          <w:spacing w:val="-13"/>
          <w:sz w:val="22"/>
          <w:szCs w:val="22"/>
        </w:rPr>
        <w:t>素</w:t>
      </w:r>
      <w:r>
        <w:rPr>
          <w:rFonts w:ascii="宋体" w:eastAsia="宋体" w:hAnsi="宋体" w:cs="宋体"/>
          <w:spacing w:val="-58"/>
          <w:sz w:val="22"/>
          <w:szCs w:val="22"/>
        </w:rPr>
        <w:t xml:space="preserve"> </w:t>
      </w:r>
      <w:r>
        <w:rPr>
          <w:rFonts w:ascii="宋体" w:eastAsia="宋体" w:hAnsi="宋体" w:cs="宋体"/>
          <w:spacing w:val="-13"/>
          <w:sz w:val="22"/>
          <w:szCs w:val="22"/>
        </w:rPr>
        <w:t>B</w:t>
      </w:r>
      <w:r>
        <w:rPr>
          <w:rFonts w:ascii="Calibri" w:eastAsia="Calibri" w:hAnsi="Calibri" w:cs="Calibri"/>
          <w:spacing w:val="-13"/>
          <w:sz w:val="22"/>
          <w:szCs w:val="22"/>
        </w:rPr>
        <w:t>₂</w:t>
      </w:r>
      <w:r>
        <w:rPr>
          <w:rFonts w:ascii="Calibri" w:eastAsia="Calibri" w:hAnsi="Calibri" w:cs="Calibri"/>
          <w:spacing w:val="40"/>
          <w:sz w:val="22"/>
          <w:szCs w:val="22"/>
        </w:rPr>
        <w:t xml:space="preserve"> </w:t>
      </w:r>
      <w:r>
        <w:rPr>
          <w:rFonts w:ascii="宋体" w:eastAsia="宋体" w:hAnsi="宋体" w:cs="宋体"/>
          <w:spacing w:val="-13"/>
          <w:sz w:val="22"/>
          <w:szCs w:val="22"/>
        </w:rPr>
        <w:t>的作用。</w:t>
      </w:r>
    </w:p>
    <w:p w:rsidR="00EA40A3" w:rsidRDefault="00E86C16">
      <w:pPr>
        <w:spacing w:before="237" w:line="223" w:lineRule="auto"/>
        <w:rPr>
          <w:rFonts w:ascii="仿宋" w:eastAsia="仿宋" w:hAnsi="仿宋" w:cs="仿宋"/>
          <w:sz w:val="22"/>
          <w:szCs w:val="22"/>
        </w:rPr>
      </w:pPr>
      <w:r>
        <w:rPr>
          <w:rFonts w:ascii="仿宋" w:eastAsia="仿宋" w:hAnsi="仿宋" w:cs="仿宋"/>
          <w:spacing w:val="-6"/>
          <w:sz w:val="22"/>
          <w:szCs w:val="22"/>
        </w:rPr>
        <w:t>4.</w:t>
      </w:r>
      <w:r>
        <w:rPr>
          <w:rFonts w:ascii="仿宋" w:eastAsia="仿宋" w:hAnsi="仿宋" w:cs="仿宋"/>
          <w:spacing w:val="-32"/>
          <w:sz w:val="22"/>
          <w:szCs w:val="22"/>
        </w:rPr>
        <w:t xml:space="preserve"> </w:t>
      </w:r>
      <w:r>
        <w:rPr>
          <w:rFonts w:ascii="仿宋" w:eastAsia="仿宋" w:hAnsi="仿宋" w:cs="仿宋"/>
          <w:spacing w:val="-6"/>
          <w:sz w:val="22"/>
          <w:szCs w:val="22"/>
        </w:rPr>
        <w:t>小</w:t>
      </w:r>
      <w:r>
        <w:rPr>
          <w:rFonts w:ascii="仿宋" w:eastAsia="仿宋" w:hAnsi="仿宋" w:cs="仿宋"/>
          <w:spacing w:val="-45"/>
          <w:sz w:val="22"/>
          <w:szCs w:val="22"/>
        </w:rPr>
        <w:t xml:space="preserve"> </w:t>
      </w:r>
      <w:r>
        <w:rPr>
          <w:rFonts w:ascii="仿宋" w:eastAsia="仿宋" w:hAnsi="仿宋" w:cs="仿宋"/>
          <w:spacing w:val="-6"/>
          <w:sz w:val="22"/>
          <w:szCs w:val="22"/>
        </w:rPr>
        <w:t>肠</w:t>
      </w:r>
    </w:p>
    <w:p w:rsidR="00EA40A3" w:rsidRDefault="00E86C16">
      <w:pPr>
        <w:spacing w:before="177" w:line="260" w:lineRule="auto"/>
        <w:ind w:firstLine="439"/>
        <w:jc w:val="both"/>
        <w:rPr>
          <w:rFonts w:ascii="宋体" w:eastAsia="宋体" w:hAnsi="宋体" w:cs="宋体"/>
          <w:sz w:val="22"/>
          <w:szCs w:val="22"/>
        </w:rPr>
      </w:pPr>
      <w:r>
        <w:rPr>
          <w:rFonts w:ascii="宋体" w:eastAsia="宋体" w:hAnsi="宋体" w:cs="宋体"/>
          <w:spacing w:val="-12"/>
          <w:sz w:val="22"/>
          <w:szCs w:val="22"/>
        </w:rPr>
        <w:t>小肠</w:t>
      </w:r>
      <w:r>
        <w:rPr>
          <w:rFonts w:ascii="宋体" w:eastAsia="宋体" w:hAnsi="宋体" w:cs="宋体"/>
          <w:spacing w:val="-16"/>
          <w:sz w:val="22"/>
          <w:szCs w:val="22"/>
        </w:rPr>
        <w:t xml:space="preserve"> </w:t>
      </w:r>
      <w:r>
        <w:rPr>
          <w:rFonts w:ascii="宋体" w:eastAsia="宋体" w:hAnsi="宋体" w:cs="宋体"/>
          <w:spacing w:val="-12"/>
          <w:sz w:val="22"/>
          <w:szCs w:val="22"/>
        </w:rPr>
        <w:t>(small</w:t>
      </w:r>
      <w:r>
        <w:rPr>
          <w:rFonts w:ascii="宋体" w:eastAsia="宋体" w:hAnsi="宋体" w:cs="宋体"/>
          <w:spacing w:val="1"/>
          <w:sz w:val="22"/>
          <w:szCs w:val="22"/>
        </w:rPr>
        <w:t xml:space="preserve"> </w:t>
      </w:r>
      <w:r>
        <w:rPr>
          <w:rFonts w:ascii="宋体" w:eastAsia="宋体" w:hAnsi="宋体" w:cs="宋体"/>
          <w:spacing w:val="-12"/>
          <w:sz w:val="22"/>
          <w:szCs w:val="22"/>
        </w:rPr>
        <w:t>intestine)</w:t>
      </w:r>
      <w:r>
        <w:rPr>
          <w:rFonts w:ascii="宋体" w:eastAsia="宋体" w:hAnsi="宋体" w:cs="宋体"/>
          <w:spacing w:val="-40"/>
          <w:sz w:val="22"/>
          <w:szCs w:val="22"/>
        </w:rPr>
        <w:t xml:space="preserve"> </w:t>
      </w:r>
      <w:r>
        <w:rPr>
          <w:rFonts w:ascii="宋体" w:eastAsia="宋体" w:hAnsi="宋体" w:cs="宋体"/>
          <w:spacing w:val="-12"/>
          <w:sz w:val="22"/>
          <w:szCs w:val="22"/>
        </w:rPr>
        <w:t>是食物消化</w:t>
      </w:r>
      <w:r>
        <w:rPr>
          <w:rFonts w:ascii="宋体" w:eastAsia="宋体" w:hAnsi="宋体" w:cs="宋体"/>
          <w:spacing w:val="-13"/>
          <w:sz w:val="22"/>
          <w:szCs w:val="22"/>
        </w:rPr>
        <w:t>的主要器官。在小肠，食物受胰液、胆</w:t>
      </w:r>
      <w:r>
        <w:rPr>
          <w:rFonts w:ascii="宋体" w:eastAsia="宋体" w:hAnsi="宋体" w:cs="宋体"/>
          <w:sz w:val="22"/>
          <w:szCs w:val="22"/>
        </w:rPr>
        <w:t xml:space="preserve">  </w:t>
      </w:r>
      <w:r>
        <w:rPr>
          <w:rFonts w:ascii="宋体" w:eastAsia="宋体" w:hAnsi="宋体" w:cs="宋体"/>
          <w:spacing w:val="-13"/>
          <w:sz w:val="22"/>
          <w:szCs w:val="22"/>
        </w:rPr>
        <w:t>汁及小肠液的化学性消化。绝大部分营养成分也在小肠吸收，未被消化的食物残</w:t>
      </w:r>
      <w:r>
        <w:rPr>
          <w:rFonts w:ascii="宋体" w:eastAsia="宋体" w:hAnsi="宋体" w:cs="宋体"/>
          <w:spacing w:val="7"/>
          <w:sz w:val="22"/>
          <w:szCs w:val="22"/>
        </w:rPr>
        <w:t xml:space="preserve">  </w:t>
      </w:r>
      <w:r>
        <w:rPr>
          <w:rFonts w:ascii="宋体" w:eastAsia="宋体" w:hAnsi="宋体" w:cs="宋体"/>
          <w:spacing w:val="-8"/>
          <w:sz w:val="22"/>
          <w:szCs w:val="22"/>
        </w:rPr>
        <w:t>渣由小肠进入大肠。小肠位于胃的下端，长约5～7m,</w:t>
      </w:r>
      <w:r>
        <w:rPr>
          <w:rFonts w:ascii="宋体" w:eastAsia="宋体" w:hAnsi="宋体" w:cs="宋体"/>
          <w:spacing w:val="56"/>
          <w:sz w:val="22"/>
          <w:szCs w:val="22"/>
        </w:rPr>
        <w:t xml:space="preserve"> </w:t>
      </w:r>
      <w:r>
        <w:rPr>
          <w:rFonts w:ascii="宋体" w:eastAsia="宋体" w:hAnsi="宋体" w:cs="宋体"/>
          <w:spacing w:val="-8"/>
          <w:sz w:val="22"/>
          <w:szCs w:val="22"/>
        </w:rPr>
        <w:t>从上到下分为十二指肠、</w:t>
      </w:r>
      <w:r>
        <w:rPr>
          <w:rFonts w:ascii="宋体" w:eastAsia="宋体" w:hAnsi="宋体" w:cs="宋体"/>
          <w:sz w:val="22"/>
          <w:szCs w:val="22"/>
        </w:rPr>
        <w:t xml:space="preserve"> </w:t>
      </w:r>
      <w:r>
        <w:rPr>
          <w:rFonts w:ascii="宋体" w:eastAsia="宋体" w:hAnsi="宋体" w:cs="宋体"/>
          <w:spacing w:val="-7"/>
          <w:sz w:val="22"/>
          <w:szCs w:val="22"/>
        </w:rPr>
        <w:t>空肠和回肠。十二指肠长约25cm,</w:t>
      </w:r>
      <w:r>
        <w:rPr>
          <w:rFonts w:ascii="宋体" w:eastAsia="宋体" w:hAnsi="宋体" w:cs="宋体"/>
          <w:spacing w:val="31"/>
          <w:sz w:val="22"/>
          <w:szCs w:val="22"/>
        </w:rPr>
        <w:t xml:space="preserve"> </w:t>
      </w:r>
      <w:r>
        <w:rPr>
          <w:rFonts w:ascii="宋体" w:eastAsia="宋体" w:hAnsi="宋体" w:cs="宋体"/>
          <w:spacing w:val="-7"/>
          <w:sz w:val="22"/>
          <w:szCs w:val="22"/>
        </w:rPr>
        <w:t>在中间偏下处的肠管稍粗，称为十二指肠壶</w:t>
      </w:r>
      <w:r>
        <w:rPr>
          <w:rFonts w:ascii="宋体" w:eastAsia="宋体" w:hAnsi="宋体" w:cs="宋体"/>
          <w:sz w:val="22"/>
          <w:szCs w:val="22"/>
        </w:rPr>
        <w:t xml:space="preserve">  </w:t>
      </w:r>
      <w:r>
        <w:rPr>
          <w:rFonts w:ascii="宋体" w:eastAsia="宋体" w:hAnsi="宋体" w:cs="宋体"/>
          <w:spacing w:val="-13"/>
          <w:sz w:val="22"/>
          <w:szCs w:val="22"/>
        </w:rPr>
        <w:t>腹，该处有胆总管的开口，胰液及胆汁经此开口进入小肠，开口处有环状平滑肌</w:t>
      </w:r>
      <w:r>
        <w:rPr>
          <w:rFonts w:ascii="宋体" w:eastAsia="宋体" w:hAnsi="宋体" w:cs="宋体"/>
          <w:spacing w:val="5"/>
          <w:sz w:val="22"/>
          <w:szCs w:val="22"/>
        </w:rPr>
        <w:t xml:space="preserve">  </w:t>
      </w:r>
      <w:r>
        <w:rPr>
          <w:rFonts w:ascii="宋体" w:eastAsia="宋体" w:hAnsi="宋体" w:cs="宋体"/>
          <w:spacing w:val="-11"/>
          <w:sz w:val="22"/>
          <w:szCs w:val="22"/>
        </w:rPr>
        <w:t>环绕，起括约肌的作用，称为Oddi</w:t>
      </w:r>
      <w:r>
        <w:rPr>
          <w:rFonts w:ascii="宋体" w:eastAsia="宋体" w:hAnsi="宋体" w:cs="宋体"/>
          <w:spacing w:val="-43"/>
          <w:sz w:val="22"/>
          <w:szCs w:val="22"/>
        </w:rPr>
        <w:t xml:space="preserve"> </w:t>
      </w:r>
      <w:r>
        <w:rPr>
          <w:rFonts w:ascii="宋体" w:eastAsia="宋体" w:hAnsi="宋体" w:cs="宋体"/>
          <w:spacing w:val="-11"/>
          <w:sz w:val="22"/>
          <w:szCs w:val="22"/>
        </w:rPr>
        <w:t>括约肌，防止肠内容物返流入胆管。</w:t>
      </w:r>
    </w:p>
    <w:p w:rsidR="00EA40A3" w:rsidRDefault="00E86C16">
      <w:pPr>
        <w:spacing w:before="53" w:line="232" w:lineRule="auto"/>
        <w:rPr>
          <w:rFonts w:ascii="楷体" w:eastAsia="楷体" w:hAnsi="楷体" w:cs="楷体"/>
          <w:sz w:val="19"/>
          <w:szCs w:val="19"/>
        </w:rPr>
      </w:pPr>
      <w:r>
        <w:rPr>
          <w:rFonts w:ascii="楷体" w:eastAsia="楷体" w:hAnsi="楷体" w:cs="楷体"/>
          <w:spacing w:val="-2"/>
          <w:sz w:val="19"/>
          <w:szCs w:val="19"/>
        </w:rPr>
        <w:t>1)</w:t>
      </w:r>
      <w:r>
        <w:rPr>
          <w:rFonts w:ascii="楷体" w:eastAsia="楷体" w:hAnsi="楷体" w:cs="楷体"/>
          <w:spacing w:val="94"/>
          <w:sz w:val="19"/>
          <w:szCs w:val="19"/>
        </w:rPr>
        <w:t xml:space="preserve"> </w:t>
      </w:r>
      <w:r>
        <w:rPr>
          <w:rFonts w:ascii="楷体" w:eastAsia="楷体" w:hAnsi="楷体" w:cs="楷体"/>
          <w:spacing w:val="-2"/>
          <w:sz w:val="19"/>
          <w:szCs w:val="19"/>
        </w:rPr>
        <w:t>小肠的运动</w:t>
      </w:r>
    </w:p>
    <w:p w:rsidR="00EA40A3" w:rsidRDefault="00E86C16">
      <w:pPr>
        <w:spacing w:before="55" w:line="247" w:lineRule="auto"/>
        <w:ind w:right="20" w:firstLine="439"/>
        <w:jc w:val="both"/>
        <w:rPr>
          <w:rFonts w:ascii="宋体" w:eastAsia="宋体" w:hAnsi="宋体" w:cs="宋体"/>
          <w:sz w:val="22"/>
          <w:szCs w:val="22"/>
        </w:rPr>
      </w:pPr>
      <w:r>
        <w:rPr>
          <w:rFonts w:ascii="宋体" w:eastAsia="宋体" w:hAnsi="宋体" w:cs="宋体"/>
          <w:spacing w:val="-3"/>
          <w:sz w:val="22"/>
          <w:szCs w:val="22"/>
        </w:rPr>
        <w:t>(1)紧张性收缩：小肠平滑肌的紧张性收缩是其他运动形式有效进行的基</w:t>
      </w:r>
      <w:r>
        <w:rPr>
          <w:rFonts w:ascii="宋体" w:eastAsia="宋体" w:hAnsi="宋体" w:cs="宋体"/>
          <w:spacing w:val="7"/>
          <w:sz w:val="22"/>
          <w:szCs w:val="22"/>
        </w:rPr>
        <w:t xml:space="preserve"> </w:t>
      </w:r>
      <w:r>
        <w:rPr>
          <w:rFonts w:ascii="宋体" w:eastAsia="宋体" w:hAnsi="宋体" w:cs="宋体"/>
          <w:spacing w:val="-10"/>
          <w:sz w:val="22"/>
          <w:szCs w:val="22"/>
        </w:rPr>
        <w:t>础，当小肠紧张性收缩降低时，肠腔扩张，肠内容物的</w:t>
      </w:r>
      <w:r>
        <w:rPr>
          <w:rFonts w:ascii="宋体" w:eastAsia="宋体" w:hAnsi="宋体" w:cs="宋体"/>
          <w:spacing w:val="-11"/>
          <w:sz w:val="22"/>
          <w:szCs w:val="22"/>
        </w:rPr>
        <w:t>混合和转运减慢；相反，</w:t>
      </w:r>
      <w:r>
        <w:rPr>
          <w:rFonts w:ascii="宋体" w:eastAsia="宋体" w:hAnsi="宋体" w:cs="宋体"/>
          <w:sz w:val="22"/>
          <w:szCs w:val="22"/>
        </w:rPr>
        <w:t xml:space="preserve"> </w:t>
      </w:r>
      <w:r>
        <w:rPr>
          <w:rFonts w:ascii="宋体" w:eastAsia="宋体" w:hAnsi="宋体" w:cs="宋体"/>
          <w:spacing w:val="-14"/>
          <w:sz w:val="22"/>
          <w:szCs w:val="22"/>
        </w:rPr>
        <w:t>当小肠紧张性增高时，食糜在小肠内的混合和运转过程就加快。</w:t>
      </w:r>
    </w:p>
    <w:p w:rsidR="00EA40A3" w:rsidRDefault="00E86C16">
      <w:pPr>
        <w:spacing w:before="46" w:line="253" w:lineRule="auto"/>
        <w:ind w:firstLine="439"/>
        <w:jc w:val="both"/>
        <w:rPr>
          <w:rFonts w:ascii="宋体" w:eastAsia="宋体" w:hAnsi="宋体" w:cs="宋体"/>
          <w:sz w:val="22"/>
          <w:szCs w:val="22"/>
        </w:rPr>
      </w:pPr>
      <w:r>
        <w:rPr>
          <w:rFonts w:ascii="宋体" w:eastAsia="宋体" w:hAnsi="宋体" w:cs="宋体"/>
          <w:spacing w:val="-7"/>
          <w:sz w:val="22"/>
          <w:szCs w:val="22"/>
        </w:rPr>
        <w:t>(2)节律性分节运动：由环状肌的舒缩来完成。在食糜所在的一段肠管上，</w:t>
      </w:r>
      <w:r>
        <w:rPr>
          <w:rFonts w:ascii="宋体" w:eastAsia="宋体" w:hAnsi="宋体" w:cs="宋体"/>
          <w:spacing w:val="6"/>
          <w:sz w:val="22"/>
          <w:szCs w:val="22"/>
        </w:rPr>
        <w:t xml:space="preserve"> </w:t>
      </w:r>
      <w:r>
        <w:rPr>
          <w:rFonts w:ascii="宋体" w:eastAsia="宋体" w:hAnsi="宋体" w:cs="宋体"/>
          <w:spacing w:val="-13"/>
          <w:sz w:val="22"/>
          <w:szCs w:val="22"/>
        </w:rPr>
        <w:t>环状肌在许多点同时收缩，把食糜分割成许多节段；随后，原来收缩处舒张，而</w:t>
      </w:r>
      <w:r>
        <w:rPr>
          <w:rFonts w:ascii="宋体" w:eastAsia="宋体" w:hAnsi="宋体" w:cs="宋体"/>
          <w:spacing w:val="7"/>
          <w:sz w:val="22"/>
          <w:szCs w:val="22"/>
        </w:rPr>
        <w:t xml:space="preserve">  </w:t>
      </w:r>
      <w:r>
        <w:rPr>
          <w:rFonts w:ascii="宋体" w:eastAsia="宋体" w:hAnsi="宋体" w:cs="宋体"/>
          <w:spacing w:val="-13"/>
          <w:sz w:val="22"/>
          <w:szCs w:val="22"/>
        </w:rPr>
        <w:t>舒张处收缩，使原来的节段分为两半，相邻的两半则合拢为一个新的节段；如此</w:t>
      </w:r>
      <w:r>
        <w:rPr>
          <w:rFonts w:ascii="宋体" w:eastAsia="宋体" w:hAnsi="宋体" w:cs="宋体"/>
          <w:spacing w:val="6"/>
          <w:sz w:val="22"/>
          <w:szCs w:val="22"/>
        </w:rPr>
        <w:t xml:space="preserve">  </w:t>
      </w:r>
      <w:r>
        <w:rPr>
          <w:rFonts w:ascii="宋体" w:eastAsia="宋体" w:hAnsi="宋体" w:cs="宋体"/>
          <w:spacing w:val="-7"/>
          <w:sz w:val="22"/>
          <w:szCs w:val="22"/>
        </w:rPr>
        <w:t>反复进行，食糜得以不断地分开，又不断地混合。分节运动的向前推进作用很</w:t>
      </w:r>
      <w:r>
        <w:rPr>
          <w:rFonts w:ascii="宋体" w:eastAsia="宋体" w:hAnsi="宋体" w:cs="宋体"/>
          <w:spacing w:val="8"/>
          <w:sz w:val="22"/>
          <w:szCs w:val="22"/>
        </w:rPr>
        <w:t xml:space="preserve">  </w:t>
      </w:r>
      <w:r>
        <w:rPr>
          <w:rFonts w:ascii="宋体" w:eastAsia="宋体" w:hAnsi="宋体" w:cs="宋体"/>
          <w:spacing w:val="-13"/>
          <w:sz w:val="22"/>
          <w:szCs w:val="22"/>
        </w:rPr>
        <w:t>小，它的作用在于：①使食糜与消化液充分混合，便于进行化学性消化；②使食</w:t>
      </w:r>
      <w:r>
        <w:rPr>
          <w:rFonts w:ascii="宋体" w:eastAsia="宋体" w:hAnsi="宋体" w:cs="宋体"/>
          <w:spacing w:val="6"/>
          <w:sz w:val="22"/>
          <w:szCs w:val="22"/>
        </w:rPr>
        <w:t xml:space="preserve">  </w:t>
      </w:r>
      <w:r>
        <w:rPr>
          <w:rFonts w:ascii="宋体" w:eastAsia="宋体" w:hAnsi="宋体" w:cs="宋体"/>
          <w:spacing w:val="-13"/>
          <w:sz w:val="22"/>
          <w:szCs w:val="22"/>
        </w:rPr>
        <w:t>糜与肠壁紧密接触，为吸收创造条件；③挤压肠壁，有助于血液和淋巴的回</w:t>
      </w:r>
      <w:r>
        <w:rPr>
          <w:rFonts w:ascii="宋体" w:eastAsia="宋体" w:hAnsi="宋体" w:cs="宋体"/>
          <w:spacing w:val="-14"/>
          <w:sz w:val="22"/>
          <w:szCs w:val="22"/>
        </w:rPr>
        <w:t>流。</w:t>
      </w:r>
    </w:p>
    <w:p w:rsidR="00EA40A3" w:rsidRDefault="00E86C16">
      <w:pPr>
        <w:spacing w:before="54" w:line="249" w:lineRule="auto"/>
        <w:ind w:firstLine="439"/>
        <w:jc w:val="both"/>
        <w:rPr>
          <w:rFonts w:ascii="宋体" w:eastAsia="宋体" w:hAnsi="宋体" w:cs="宋体"/>
          <w:sz w:val="22"/>
          <w:szCs w:val="22"/>
        </w:rPr>
      </w:pPr>
      <w:r>
        <w:rPr>
          <w:rFonts w:ascii="宋体" w:eastAsia="宋体" w:hAnsi="宋体" w:cs="宋体"/>
          <w:spacing w:val="-7"/>
          <w:sz w:val="22"/>
          <w:szCs w:val="22"/>
        </w:rPr>
        <w:t>(3)摆动：摆动由小肠的纵状肌完成。由于小肠通过肠系膜固定在腹壁上，</w:t>
      </w:r>
      <w:r>
        <w:rPr>
          <w:rFonts w:ascii="宋体" w:eastAsia="宋体" w:hAnsi="宋体" w:cs="宋体"/>
          <w:spacing w:val="6"/>
          <w:sz w:val="22"/>
          <w:szCs w:val="22"/>
        </w:rPr>
        <w:t xml:space="preserve"> </w:t>
      </w:r>
      <w:r>
        <w:rPr>
          <w:rFonts w:ascii="宋体" w:eastAsia="宋体" w:hAnsi="宋体" w:cs="宋体"/>
          <w:spacing w:val="-13"/>
          <w:sz w:val="22"/>
          <w:szCs w:val="22"/>
        </w:rPr>
        <w:t>因此当小肠的纵状肌舒张时，肠系膜也会被拉长，但由于肠系膜由脂肪构成，其</w:t>
      </w:r>
      <w:r>
        <w:rPr>
          <w:rFonts w:ascii="宋体" w:eastAsia="宋体" w:hAnsi="宋体" w:cs="宋体"/>
          <w:spacing w:val="6"/>
          <w:sz w:val="22"/>
          <w:szCs w:val="22"/>
        </w:rPr>
        <w:t xml:space="preserve">  </w:t>
      </w:r>
      <w:r>
        <w:rPr>
          <w:rFonts w:ascii="宋体" w:eastAsia="宋体" w:hAnsi="宋体" w:cs="宋体"/>
          <w:spacing w:val="-13"/>
          <w:sz w:val="22"/>
          <w:szCs w:val="22"/>
        </w:rPr>
        <w:t>拉伸长度不如小肠，从而使小肠的远端朝向腹壁摆动。摆动的功能是：①使食糜</w:t>
      </w:r>
      <w:r>
        <w:rPr>
          <w:rFonts w:ascii="宋体" w:eastAsia="宋体" w:hAnsi="宋体" w:cs="宋体"/>
          <w:spacing w:val="7"/>
          <w:sz w:val="22"/>
          <w:szCs w:val="22"/>
        </w:rPr>
        <w:t xml:space="preserve">  </w:t>
      </w:r>
      <w:r>
        <w:rPr>
          <w:rFonts w:ascii="宋体" w:eastAsia="宋体" w:hAnsi="宋体" w:cs="宋体"/>
          <w:spacing w:val="-14"/>
          <w:sz w:val="22"/>
          <w:szCs w:val="22"/>
        </w:rPr>
        <w:t>进一步粉碎；②使食糜与消化液充分混合，便于进行化学性消化。</w:t>
      </w:r>
    </w:p>
    <w:p w:rsidR="00EA40A3" w:rsidRDefault="00E86C16">
      <w:pPr>
        <w:spacing w:before="53" w:line="247" w:lineRule="auto"/>
        <w:ind w:right="77" w:firstLine="439"/>
        <w:jc w:val="both"/>
        <w:rPr>
          <w:rFonts w:ascii="宋体" w:eastAsia="宋体" w:hAnsi="宋体" w:cs="宋体"/>
          <w:sz w:val="22"/>
          <w:szCs w:val="22"/>
        </w:rPr>
      </w:pPr>
      <w:r>
        <w:rPr>
          <w:rFonts w:ascii="宋体" w:eastAsia="宋体" w:hAnsi="宋体" w:cs="宋体"/>
          <w:spacing w:val="-9"/>
          <w:sz w:val="22"/>
          <w:szCs w:val="22"/>
        </w:rPr>
        <w:t>(4)蠕动：蠕动由环状肌完成，具有把食糜向着大肠方向推进的作用。</w:t>
      </w:r>
      <w:r>
        <w:rPr>
          <w:rFonts w:ascii="宋体" w:eastAsia="宋体" w:hAnsi="宋体" w:cs="宋体"/>
          <w:spacing w:val="-10"/>
          <w:sz w:val="22"/>
          <w:szCs w:val="22"/>
        </w:rPr>
        <w:t>由于</w:t>
      </w:r>
      <w:r>
        <w:rPr>
          <w:rFonts w:ascii="宋体" w:eastAsia="宋体" w:hAnsi="宋体" w:cs="宋体"/>
          <w:sz w:val="22"/>
          <w:szCs w:val="22"/>
        </w:rPr>
        <w:t xml:space="preserve"> </w:t>
      </w:r>
      <w:r>
        <w:rPr>
          <w:rFonts w:ascii="宋体" w:eastAsia="宋体" w:hAnsi="宋体" w:cs="宋体"/>
          <w:spacing w:val="-13"/>
          <w:sz w:val="22"/>
          <w:szCs w:val="22"/>
        </w:rPr>
        <w:t>小肠的蠕动很弱，通常只进行一段短距离后即消失，所以食糜在小肠内的推进速</w:t>
      </w:r>
      <w:r>
        <w:rPr>
          <w:rFonts w:ascii="宋体" w:eastAsia="宋体" w:hAnsi="宋体" w:cs="宋体"/>
          <w:spacing w:val="12"/>
          <w:sz w:val="22"/>
          <w:szCs w:val="22"/>
        </w:rPr>
        <w:t xml:space="preserve"> </w:t>
      </w:r>
      <w:r>
        <w:rPr>
          <w:rFonts w:ascii="宋体" w:eastAsia="宋体" w:hAnsi="宋体" w:cs="宋体"/>
          <w:spacing w:val="-4"/>
          <w:sz w:val="22"/>
          <w:szCs w:val="22"/>
        </w:rPr>
        <w:t>度很慢，约为1～2cm/min。</w:t>
      </w:r>
    </w:p>
    <w:p w:rsidR="00EA40A3" w:rsidRDefault="00E86C16">
      <w:pPr>
        <w:spacing w:before="145" w:line="241" w:lineRule="auto"/>
        <w:ind w:right="84"/>
        <w:jc w:val="right"/>
        <w:rPr>
          <w:rFonts w:ascii="宋体" w:eastAsia="宋体" w:hAnsi="宋体" w:cs="宋体"/>
          <w:sz w:val="19"/>
          <w:szCs w:val="19"/>
        </w:rPr>
      </w:pPr>
      <w:r>
        <w:rPr>
          <w:rFonts w:ascii="宋体" w:eastAsia="宋体" w:hAnsi="宋体" w:cs="宋体"/>
          <w:spacing w:val="-37"/>
          <w:sz w:val="19"/>
          <w:szCs w:val="19"/>
        </w:rPr>
        <w:t>·</w:t>
      </w:r>
      <w:r>
        <w:rPr>
          <w:rFonts w:ascii="宋体" w:eastAsia="宋体" w:hAnsi="宋体" w:cs="宋体"/>
          <w:spacing w:val="-14"/>
          <w:sz w:val="19"/>
          <w:szCs w:val="19"/>
        </w:rPr>
        <w:t xml:space="preserve"> </w:t>
      </w:r>
      <w:r>
        <w:rPr>
          <w:rFonts w:ascii="宋体" w:eastAsia="宋体" w:hAnsi="宋体" w:cs="宋体"/>
          <w:spacing w:val="-37"/>
          <w:sz w:val="19"/>
          <w:szCs w:val="19"/>
        </w:rPr>
        <w:t>21</w:t>
      </w:r>
      <w:r>
        <w:rPr>
          <w:rFonts w:ascii="宋体" w:eastAsia="宋体" w:hAnsi="宋体" w:cs="宋体"/>
          <w:spacing w:val="36"/>
          <w:sz w:val="19"/>
          <w:szCs w:val="19"/>
        </w:rPr>
        <w:t xml:space="preserve"> </w:t>
      </w:r>
      <w:r>
        <w:rPr>
          <w:rFonts w:ascii="宋体" w:eastAsia="宋体" w:hAnsi="宋体" w:cs="宋体"/>
          <w:spacing w:val="-37"/>
          <w:sz w:val="19"/>
          <w:szCs w:val="19"/>
        </w:rPr>
        <w:t>·</w:t>
      </w:r>
    </w:p>
    <w:p w:rsidR="00EA40A3" w:rsidRDefault="00EA40A3">
      <w:pPr>
        <w:sectPr w:rsidR="00EA40A3">
          <w:pgSz w:w="9220" w:h="13360"/>
          <w:pgMar w:top="400" w:right="970" w:bottom="400" w:left="890" w:header="0" w:footer="0" w:gutter="0"/>
          <w:cols w:space="720"/>
        </w:sectPr>
      </w:pPr>
    </w:p>
    <w:p w:rsidR="00EA40A3" w:rsidRDefault="00EA40A3">
      <w:pPr>
        <w:spacing w:line="278" w:lineRule="auto"/>
      </w:pPr>
    </w:p>
    <w:p w:rsidR="00EA40A3" w:rsidRDefault="00EA40A3">
      <w:pPr>
        <w:spacing w:line="279" w:lineRule="auto"/>
      </w:pPr>
    </w:p>
    <w:p w:rsidR="00EA40A3" w:rsidRDefault="00E86C16">
      <w:pPr>
        <w:spacing w:before="68" w:line="228" w:lineRule="auto"/>
        <w:rPr>
          <w:rFonts w:ascii="楷体" w:eastAsia="楷体" w:hAnsi="楷体" w:cs="楷体"/>
        </w:rPr>
      </w:pPr>
      <w:r>
        <w:rPr>
          <w:rFonts w:ascii="楷体" w:eastAsia="楷体" w:hAnsi="楷体" w:cs="楷体"/>
          <w:spacing w:val="3"/>
        </w:rPr>
        <w:t>2)进入小肠的消化液</w:t>
      </w:r>
    </w:p>
    <w:p w:rsidR="00EA40A3" w:rsidRDefault="00E86C16">
      <w:pPr>
        <w:spacing w:before="33" w:line="259" w:lineRule="auto"/>
        <w:ind w:right="37" w:firstLine="469"/>
        <w:rPr>
          <w:rFonts w:ascii="宋体" w:eastAsia="宋体" w:hAnsi="宋体" w:cs="宋体"/>
        </w:rPr>
      </w:pPr>
      <w:r>
        <w:rPr>
          <w:rFonts w:ascii="宋体" w:eastAsia="宋体" w:hAnsi="宋体" w:cs="宋体"/>
        </w:rPr>
        <w:t>(1)胰液：胰液是由胰腺的外分泌腺部分所分泌，分泌的胰液进入胰管，与</w:t>
      </w:r>
      <w:r>
        <w:rPr>
          <w:rFonts w:ascii="宋体" w:eastAsia="宋体" w:hAnsi="宋体" w:cs="宋体"/>
          <w:spacing w:val="11"/>
        </w:rPr>
        <w:t xml:space="preserve"> </w:t>
      </w:r>
      <w:r>
        <w:rPr>
          <w:rFonts w:ascii="宋体" w:eastAsia="宋体" w:hAnsi="宋体" w:cs="宋体"/>
          <w:spacing w:val="-3"/>
        </w:rPr>
        <w:t>胆管合并成总胆管后经位于十二指肠处的总胆管开口进入小肠。胰液为无色无臭</w:t>
      </w:r>
      <w:r>
        <w:rPr>
          <w:rFonts w:ascii="宋体" w:eastAsia="宋体" w:hAnsi="宋体" w:cs="宋体"/>
          <w:spacing w:val="1"/>
        </w:rPr>
        <w:t xml:space="preserve"> </w:t>
      </w:r>
      <w:r>
        <w:rPr>
          <w:rFonts w:ascii="宋体" w:eastAsia="宋体" w:hAnsi="宋体" w:cs="宋体"/>
          <w:spacing w:val="-1"/>
        </w:rPr>
        <w:t>的弱碱性液体，</w:t>
      </w:r>
      <w:r>
        <w:rPr>
          <w:rFonts w:ascii="宋体" w:eastAsia="宋体" w:hAnsi="宋体" w:cs="宋体"/>
          <w:spacing w:val="22"/>
        </w:rPr>
        <w:t xml:space="preserve"> </w:t>
      </w:r>
      <w:r>
        <w:rPr>
          <w:rFonts w:ascii="宋体" w:eastAsia="宋体" w:hAnsi="宋体" w:cs="宋体"/>
          <w:spacing w:val="-1"/>
        </w:rPr>
        <w:t>pH</w:t>
      </w:r>
      <w:r>
        <w:rPr>
          <w:rFonts w:ascii="宋体" w:eastAsia="宋体" w:hAnsi="宋体" w:cs="宋体"/>
          <w:spacing w:val="30"/>
        </w:rPr>
        <w:t xml:space="preserve"> </w:t>
      </w:r>
      <w:r>
        <w:rPr>
          <w:rFonts w:ascii="宋体" w:eastAsia="宋体" w:hAnsi="宋体" w:cs="宋体"/>
          <w:spacing w:val="-1"/>
        </w:rPr>
        <w:t>值约为7.8～8.4,含水量类似于唾液</w:t>
      </w:r>
      <w:r>
        <w:rPr>
          <w:rFonts w:ascii="宋体" w:eastAsia="宋体" w:hAnsi="宋体" w:cs="宋体"/>
          <w:spacing w:val="-2"/>
        </w:rPr>
        <w:t>；无机物主要为碳酸氢</w:t>
      </w:r>
      <w:r>
        <w:rPr>
          <w:rFonts w:ascii="宋体" w:eastAsia="宋体" w:hAnsi="宋体" w:cs="宋体"/>
        </w:rPr>
        <w:t xml:space="preserve"> </w:t>
      </w:r>
      <w:r>
        <w:rPr>
          <w:rFonts w:ascii="宋体" w:eastAsia="宋体" w:hAnsi="宋体" w:cs="宋体"/>
          <w:spacing w:val="-3"/>
        </w:rPr>
        <w:t>盐，其作用是中和进入十二指肠的胃酸，使肠黏膜免受强酸的侵蚀，同时也提供</w:t>
      </w:r>
      <w:r>
        <w:rPr>
          <w:rFonts w:ascii="宋体" w:eastAsia="宋体" w:hAnsi="宋体" w:cs="宋体"/>
          <w:spacing w:val="1"/>
        </w:rPr>
        <w:t xml:space="preserve"> </w:t>
      </w:r>
      <w:r>
        <w:rPr>
          <w:rFonts w:ascii="宋体" w:eastAsia="宋体" w:hAnsi="宋体" w:cs="宋体"/>
          <w:spacing w:val="2"/>
        </w:rPr>
        <w:t>了小肠内多种消化酶活动的最适</w:t>
      </w:r>
      <w:r>
        <w:rPr>
          <w:rFonts w:ascii="宋体" w:eastAsia="宋体" w:hAnsi="宋体" w:cs="宋体"/>
        </w:rPr>
        <w:t>pH</w:t>
      </w:r>
      <w:r>
        <w:rPr>
          <w:rFonts w:ascii="宋体" w:eastAsia="宋体" w:hAnsi="宋体" w:cs="宋体"/>
          <w:spacing w:val="2"/>
        </w:rPr>
        <w:t>;</w:t>
      </w:r>
      <w:r>
        <w:rPr>
          <w:rFonts w:ascii="宋体" w:eastAsia="宋体" w:hAnsi="宋体" w:cs="宋体"/>
          <w:spacing w:val="75"/>
        </w:rPr>
        <w:t xml:space="preserve"> </w:t>
      </w:r>
      <w:r>
        <w:rPr>
          <w:rFonts w:ascii="宋体" w:eastAsia="宋体" w:hAnsi="宋体" w:cs="宋体"/>
          <w:spacing w:val="2"/>
        </w:rPr>
        <w:t>有机物则为</w:t>
      </w:r>
      <w:r>
        <w:rPr>
          <w:rFonts w:ascii="宋体" w:eastAsia="宋体" w:hAnsi="宋体" w:cs="宋体"/>
          <w:spacing w:val="1"/>
        </w:rPr>
        <w:t>由多种酶组成的蛋白质：①胰</w:t>
      </w:r>
      <w:r>
        <w:rPr>
          <w:rFonts w:ascii="宋体" w:eastAsia="宋体" w:hAnsi="宋体" w:cs="宋体"/>
        </w:rPr>
        <w:t xml:space="preserve"> </w:t>
      </w:r>
      <w:r>
        <w:rPr>
          <w:rFonts w:ascii="宋体" w:eastAsia="宋体" w:hAnsi="宋体" w:cs="宋体"/>
          <w:spacing w:val="-3"/>
        </w:rPr>
        <w:t>淀粉酶：为α淀粉酶，②胰脂肪酶类：胰液中消化脂类的酶有胰脂肪酶、磷脂酶</w:t>
      </w:r>
      <w:r>
        <w:rPr>
          <w:rFonts w:ascii="宋体" w:eastAsia="宋体" w:hAnsi="宋体" w:cs="宋体"/>
          <w:spacing w:val="2"/>
        </w:rPr>
        <w:t xml:space="preserve"> </w:t>
      </w:r>
      <w:r>
        <w:rPr>
          <w:rFonts w:ascii="宋体" w:eastAsia="宋体" w:hAnsi="宋体" w:cs="宋体"/>
          <w:spacing w:val="4"/>
        </w:rPr>
        <w:t>A</w:t>
      </w:r>
      <w:r>
        <w:rPr>
          <w:rFonts w:ascii="Calibri" w:eastAsia="Calibri" w:hAnsi="Calibri" w:cs="Calibri"/>
          <w:spacing w:val="4"/>
        </w:rPr>
        <w:t>₂</w:t>
      </w:r>
      <w:r>
        <w:rPr>
          <w:rFonts w:ascii="Calibri" w:eastAsia="Calibri" w:hAnsi="Calibri" w:cs="Calibri"/>
          <w:spacing w:val="-25"/>
        </w:rPr>
        <w:t xml:space="preserve"> </w:t>
      </w:r>
      <w:r>
        <w:rPr>
          <w:rFonts w:ascii="宋体" w:eastAsia="宋体" w:hAnsi="宋体" w:cs="宋体"/>
          <w:spacing w:val="4"/>
        </w:rPr>
        <w:t>、</w:t>
      </w:r>
      <w:r>
        <w:rPr>
          <w:rFonts w:ascii="宋体" w:eastAsia="宋体" w:hAnsi="宋体" w:cs="宋体"/>
          <w:spacing w:val="-59"/>
        </w:rPr>
        <w:t xml:space="preserve"> </w:t>
      </w:r>
      <w:r>
        <w:rPr>
          <w:rFonts w:ascii="宋体" w:eastAsia="宋体" w:hAnsi="宋体" w:cs="宋体"/>
          <w:spacing w:val="4"/>
        </w:rPr>
        <w:t>胆固醇酯酶和辅脂酶，③胰蛋白酶类：胰液中的</w:t>
      </w:r>
      <w:r>
        <w:rPr>
          <w:rFonts w:ascii="宋体" w:eastAsia="宋体" w:hAnsi="宋体" w:cs="宋体"/>
          <w:spacing w:val="3"/>
        </w:rPr>
        <w:t>蛋白酶基本上分为两类；</w:t>
      </w:r>
      <w:r>
        <w:rPr>
          <w:rFonts w:ascii="宋体" w:eastAsia="宋体" w:hAnsi="宋体" w:cs="宋体"/>
        </w:rPr>
        <w:t xml:space="preserve"> </w:t>
      </w:r>
      <w:r>
        <w:rPr>
          <w:rFonts w:ascii="宋体" w:eastAsia="宋体" w:hAnsi="宋体" w:cs="宋体"/>
          <w:spacing w:val="-3"/>
        </w:rPr>
        <w:t>即内肽酶和外肽酶，胰蛋白酶、糜蛋白酶和弹性蛋白酶属于内肽酶，外肽酶主要</w:t>
      </w:r>
      <w:r>
        <w:rPr>
          <w:rFonts w:ascii="宋体" w:eastAsia="宋体" w:hAnsi="宋体" w:cs="宋体"/>
          <w:spacing w:val="4"/>
        </w:rPr>
        <w:t xml:space="preserve"> </w:t>
      </w:r>
      <w:r>
        <w:rPr>
          <w:rFonts w:ascii="宋体" w:eastAsia="宋体" w:hAnsi="宋体" w:cs="宋体"/>
          <w:spacing w:val="5"/>
        </w:rPr>
        <w:t>有羧基肽酶A</w:t>
      </w:r>
      <w:r>
        <w:rPr>
          <w:rFonts w:ascii="宋体" w:eastAsia="宋体" w:hAnsi="宋体" w:cs="宋体"/>
          <w:spacing w:val="21"/>
        </w:rPr>
        <w:t xml:space="preserve"> </w:t>
      </w:r>
      <w:r>
        <w:rPr>
          <w:rFonts w:ascii="宋体" w:eastAsia="宋体" w:hAnsi="宋体" w:cs="宋体"/>
          <w:spacing w:val="5"/>
        </w:rPr>
        <w:t>和羧基肽酶B,</w:t>
      </w:r>
      <w:r>
        <w:rPr>
          <w:rFonts w:ascii="宋体" w:eastAsia="宋体" w:hAnsi="宋体" w:cs="宋体"/>
          <w:spacing w:val="29"/>
        </w:rPr>
        <w:t xml:space="preserve"> </w:t>
      </w:r>
      <w:r>
        <w:rPr>
          <w:rFonts w:ascii="宋体" w:eastAsia="宋体" w:hAnsi="宋体" w:cs="宋体"/>
          <w:spacing w:val="5"/>
        </w:rPr>
        <w:t>胰腺细胞最初分泌的各种蛋白酶都是以无活性的</w:t>
      </w:r>
      <w:r>
        <w:rPr>
          <w:rFonts w:ascii="宋体" w:eastAsia="宋体" w:hAnsi="宋体" w:cs="宋体"/>
        </w:rPr>
        <w:t xml:space="preserve"> </w:t>
      </w:r>
      <w:r>
        <w:rPr>
          <w:rFonts w:ascii="宋体" w:eastAsia="宋体" w:hAnsi="宋体" w:cs="宋体"/>
          <w:spacing w:val="-5"/>
        </w:rPr>
        <w:t>酶原形式存在的，进入十二指肠后被肠致活酶所激活。</w:t>
      </w:r>
    </w:p>
    <w:p w:rsidR="00EA40A3" w:rsidRDefault="00E86C16">
      <w:pPr>
        <w:spacing w:before="110" w:line="241" w:lineRule="auto"/>
        <w:ind w:right="25" w:firstLine="469"/>
        <w:rPr>
          <w:rFonts w:ascii="宋体" w:eastAsia="宋体" w:hAnsi="宋体" w:cs="宋体"/>
        </w:rPr>
      </w:pPr>
      <w:r>
        <w:rPr>
          <w:rFonts w:ascii="宋体" w:eastAsia="宋体" w:hAnsi="宋体" w:cs="宋体"/>
          <w:spacing w:val="1"/>
        </w:rPr>
        <w:t>除上述3类主要的酶外，胰液中还含有核糖核酸酶和脱</w:t>
      </w:r>
      <w:r>
        <w:rPr>
          <w:rFonts w:ascii="宋体" w:eastAsia="宋体" w:hAnsi="宋体" w:cs="宋体"/>
        </w:rPr>
        <w:t xml:space="preserve">氧核糖核酸酶。胰液 </w:t>
      </w:r>
      <w:r>
        <w:rPr>
          <w:rFonts w:ascii="宋体" w:eastAsia="宋体" w:hAnsi="宋体" w:cs="宋体"/>
          <w:spacing w:val="2"/>
        </w:rPr>
        <w:t>中的所有酶类的最适</w:t>
      </w:r>
      <w:r>
        <w:rPr>
          <w:rFonts w:ascii="宋体" w:eastAsia="宋体" w:hAnsi="宋体" w:cs="宋体"/>
        </w:rPr>
        <w:t>pH</w:t>
      </w:r>
      <w:r>
        <w:rPr>
          <w:rFonts w:ascii="宋体" w:eastAsia="宋体" w:hAnsi="宋体" w:cs="宋体"/>
          <w:spacing w:val="41"/>
        </w:rPr>
        <w:t xml:space="preserve"> </w:t>
      </w:r>
      <w:r>
        <w:rPr>
          <w:rFonts w:ascii="宋体" w:eastAsia="宋体" w:hAnsi="宋体" w:cs="宋体"/>
          <w:spacing w:val="2"/>
        </w:rPr>
        <w:t>值约为7.0左右。</w:t>
      </w:r>
    </w:p>
    <w:p w:rsidR="00EA40A3" w:rsidRDefault="00E86C16">
      <w:pPr>
        <w:spacing w:before="68" w:line="260" w:lineRule="auto"/>
        <w:ind w:firstLine="469"/>
        <w:rPr>
          <w:rFonts w:ascii="宋体" w:eastAsia="宋体" w:hAnsi="宋体" w:cs="宋体"/>
        </w:rPr>
      </w:pPr>
      <w:r>
        <w:rPr>
          <w:rFonts w:ascii="宋体" w:eastAsia="宋体" w:hAnsi="宋体" w:cs="宋体"/>
          <w:spacing w:val="-1"/>
        </w:rPr>
        <w:t>(2)胆汁：胆汁是由肝细胞合成的，储存于胆囊</w:t>
      </w:r>
      <w:r>
        <w:rPr>
          <w:rFonts w:ascii="宋体" w:eastAsia="宋体" w:hAnsi="宋体" w:cs="宋体"/>
          <w:spacing w:val="-2"/>
        </w:rPr>
        <w:t>，经浓缩后由胆囊排出至十</w:t>
      </w:r>
      <w:r>
        <w:rPr>
          <w:rFonts w:ascii="宋体" w:eastAsia="宋体" w:hAnsi="宋体" w:cs="宋体"/>
        </w:rPr>
        <w:t xml:space="preserve">  二指肠。胆汁是一种金黄色或橘棕色有苦味的浓稠液体，其中除含</w:t>
      </w:r>
      <w:r>
        <w:rPr>
          <w:rFonts w:ascii="宋体" w:eastAsia="宋体" w:hAnsi="宋体" w:cs="宋体"/>
          <w:spacing w:val="-1"/>
        </w:rPr>
        <w:t>有水分和钠、</w:t>
      </w:r>
      <w:r>
        <w:rPr>
          <w:rFonts w:ascii="宋体" w:eastAsia="宋体" w:hAnsi="宋体" w:cs="宋体"/>
        </w:rPr>
        <w:t xml:space="preserve"> </w:t>
      </w:r>
      <w:r>
        <w:rPr>
          <w:rFonts w:ascii="宋体" w:eastAsia="宋体" w:hAnsi="宋体" w:cs="宋体"/>
          <w:spacing w:val="-3"/>
        </w:rPr>
        <w:t>钾、钙、碳酸氢盐等无机成分外，还含有胆盐、胆色素、脂肪酸、磷脂、胆固醇</w:t>
      </w:r>
      <w:r>
        <w:rPr>
          <w:rFonts w:ascii="宋体" w:eastAsia="宋体" w:hAnsi="宋体" w:cs="宋体"/>
          <w:spacing w:val="1"/>
        </w:rPr>
        <w:t xml:space="preserve">  </w:t>
      </w:r>
      <w:r>
        <w:rPr>
          <w:rFonts w:ascii="宋体" w:eastAsia="宋体" w:hAnsi="宋体" w:cs="宋体"/>
          <w:spacing w:val="-3"/>
        </w:rPr>
        <w:t>和黏蛋白等有机成分。胆盐是由肝脏利用胆固醇合成的胆汁酸与甘氨酸或牛磺酸</w:t>
      </w:r>
      <w:r>
        <w:rPr>
          <w:rFonts w:ascii="宋体" w:eastAsia="宋体" w:hAnsi="宋体" w:cs="宋体"/>
          <w:spacing w:val="1"/>
        </w:rPr>
        <w:t xml:space="preserve">  </w:t>
      </w:r>
      <w:r>
        <w:rPr>
          <w:rFonts w:ascii="宋体" w:eastAsia="宋体" w:hAnsi="宋体" w:cs="宋体"/>
          <w:spacing w:val="-7"/>
        </w:rPr>
        <w:t>结合形成的钠盐或钾盐，是胆汁参与消化和吸收的主要成分。</w:t>
      </w:r>
      <w:r>
        <w:rPr>
          <w:rFonts w:ascii="宋体" w:eastAsia="宋体" w:hAnsi="宋体" w:cs="宋体"/>
          <w:spacing w:val="40"/>
        </w:rPr>
        <w:t xml:space="preserve"> </w:t>
      </w:r>
      <w:r>
        <w:rPr>
          <w:rFonts w:ascii="宋体" w:eastAsia="宋体" w:hAnsi="宋体" w:cs="宋体"/>
          <w:spacing w:val="-7"/>
        </w:rPr>
        <w:t>一般认为胆汁中不</w:t>
      </w:r>
      <w:r>
        <w:rPr>
          <w:rFonts w:ascii="宋体" w:eastAsia="宋体" w:hAnsi="宋体" w:cs="宋体"/>
        </w:rPr>
        <w:t xml:space="preserve">  </w:t>
      </w:r>
      <w:r>
        <w:rPr>
          <w:rFonts w:ascii="宋体" w:eastAsia="宋体" w:hAnsi="宋体" w:cs="宋体"/>
          <w:spacing w:val="-2"/>
        </w:rPr>
        <w:t>含消化酶。胆汁的作用是：①胆盐可激活胰脂</w:t>
      </w:r>
      <w:r>
        <w:rPr>
          <w:rFonts w:ascii="宋体" w:eastAsia="宋体" w:hAnsi="宋体" w:cs="宋体"/>
          <w:spacing w:val="-3"/>
        </w:rPr>
        <w:t>肪酶，使后者催化脂肪分解的作用</w:t>
      </w:r>
      <w:r>
        <w:rPr>
          <w:rFonts w:ascii="宋体" w:eastAsia="宋体" w:hAnsi="宋体" w:cs="宋体"/>
        </w:rPr>
        <w:t xml:space="preserve"> </w:t>
      </w:r>
      <w:r>
        <w:rPr>
          <w:rFonts w:ascii="宋体" w:eastAsia="宋体" w:hAnsi="宋体" w:cs="宋体"/>
          <w:spacing w:val="-3"/>
        </w:rPr>
        <w:t>加速。②胆汁中的胆盐、胆固醇和卵磷脂等都可作为乳化剂，使脂肪乳化呈细小</w:t>
      </w:r>
      <w:r>
        <w:rPr>
          <w:rFonts w:ascii="宋体" w:eastAsia="宋体" w:hAnsi="宋体" w:cs="宋体"/>
          <w:spacing w:val="5"/>
        </w:rPr>
        <w:t xml:space="preserve">  </w:t>
      </w:r>
      <w:r>
        <w:rPr>
          <w:rFonts w:ascii="宋体" w:eastAsia="宋体" w:hAnsi="宋体" w:cs="宋体"/>
          <w:spacing w:val="-3"/>
        </w:rPr>
        <w:t>的微粒，增加了胰脂肪酶的作用面积，使其对脂肪的分解作用大大加速。③胆盐</w:t>
      </w:r>
      <w:r>
        <w:rPr>
          <w:rFonts w:ascii="宋体" w:eastAsia="宋体" w:hAnsi="宋体" w:cs="宋体"/>
          <w:spacing w:val="1"/>
        </w:rPr>
        <w:t xml:space="preserve">  </w:t>
      </w:r>
      <w:r>
        <w:rPr>
          <w:rFonts w:ascii="宋体" w:eastAsia="宋体" w:hAnsi="宋体" w:cs="宋体"/>
          <w:spacing w:val="-3"/>
        </w:rPr>
        <w:t>与脂肪的分解产物如游离脂肪酸、甘油一酯等结合成水溶性复合物，促进了脂肪</w:t>
      </w:r>
      <w:r>
        <w:rPr>
          <w:rFonts w:ascii="宋体" w:eastAsia="宋体" w:hAnsi="宋体" w:cs="宋体"/>
          <w:spacing w:val="2"/>
        </w:rPr>
        <w:t xml:space="preserve">  </w:t>
      </w:r>
      <w:r>
        <w:rPr>
          <w:rFonts w:ascii="宋体" w:eastAsia="宋体" w:hAnsi="宋体" w:cs="宋体"/>
          <w:spacing w:val="-3"/>
        </w:rPr>
        <w:t>的吸收。④通过促进脂肪的吸收，间接帮助了脂溶性维生素的吸收。此外，胆汁</w:t>
      </w:r>
      <w:r>
        <w:rPr>
          <w:rFonts w:ascii="宋体" w:eastAsia="宋体" w:hAnsi="宋体" w:cs="宋体"/>
          <w:spacing w:val="2"/>
        </w:rPr>
        <w:t xml:space="preserve">  </w:t>
      </w:r>
      <w:r>
        <w:rPr>
          <w:rFonts w:ascii="宋体" w:eastAsia="宋体" w:hAnsi="宋体" w:cs="宋体"/>
          <w:spacing w:val="-4"/>
        </w:rPr>
        <w:t>还是体内胆固醇排出体外的主要途径。</w:t>
      </w:r>
    </w:p>
    <w:p w:rsidR="00EA40A3" w:rsidRDefault="00E86C16">
      <w:pPr>
        <w:spacing w:before="53" w:line="252" w:lineRule="auto"/>
        <w:ind w:right="39" w:firstLine="469"/>
        <w:rPr>
          <w:rFonts w:ascii="宋体" w:eastAsia="宋体" w:hAnsi="宋体" w:cs="宋体"/>
        </w:rPr>
      </w:pPr>
      <w:r>
        <w:rPr>
          <w:rFonts w:ascii="宋体" w:eastAsia="宋体" w:hAnsi="宋体" w:cs="宋体"/>
          <w:spacing w:val="6"/>
        </w:rPr>
        <w:t>(3)小肠液：小肠液是由十二指肠腺细胞和肠腺细胞分泌的一种弱碱性液</w:t>
      </w:r>
      <w:r>
        <w:rPr>
          <w:rFonts w:ascii="宋体" w:eastAsia="宋体" w:hAnsi="宋体" w:cs="宋体"/>
          <w:spacing w:val="15"/>
        </w:rPr>
        <w:t xml:space="preserve"> </w:t>
      </w:r>
      <w:r>
        <w:rPr>
          <w:rFonts w:ascii="宋体" w:eastAsia="宋体" w:hAnsi="宋体" w:cs="宋体"/>
        </w:rPr>
        <w:t>体，</w:t>
      </w:r>
      <w:r>
        <w:rPr>
          <w:rFonts w:ascii="宋体" w:eastAsia="宋体" w:hAnsi="宋体" w:cs="宋体"/>
          <w:spacing w:val="-50"/>
        </w:rPr>
        <w:t xml:space="preserve"> </w:t>
      </w:r>
      <w:r>
        <w:rPr>
          <w:rFonts w:ascii="宋体" w:eastAsia="宋体" w:hAnsi="宋体" w:cs="宋体"/>
        </w:rPr>
        <w:t>pH</w:t>
      </w:r>
      <w:r>
        <w:rPr>
          <w:rFonts w:ascii="宋体" w:eastAsia="宋体" w:hAnsi="宋体" w:cs="宋体"/>
          <w:spacing w:val="10"/>
        </w:rPr>
        <w:t xml:space="preserve"> </w:t>
      </w:r>
      <w:r>
        <w:rPr>
          <w:rFonts w:ascii="宋体" w:eastAsia="宋体" w:hAnsi="宋体" w:cs="宋体"/>
        </w:rPr>
        <w:t>值约为7.6。小肠液中的消化酶包括氨基肽酶、α-糊精酶</w:t>
      </w:r>
      <w:r>
        <w:rPr>
          <w:rFonts w:ascii="宋体" w:eastAsia="宋体" w:hAnsi="宋体" w:cs="宋体"/>
          <w:spacing w:val="-1"/>
        </w:rPr>
        <w:t>、麦芽糖酶、</w:t>
      </w:r>
      <w:r>
        <w:rPr>
          <w:rFonts w:ascii="宋体" w:eastAsia="宋体" w:hAnsi="宋体" w:cs="宋体"/>
        </w:rPr>
        <w:t xml:space="preserve"> </w:t>
      </w:r>
      <w:r>
        <w:rPr>
          <w:rFonts w:ascii="宋体" w:eastAsia="宋体" w:hAnsi="宋体" w:cs="宋体"/>
          <w:spacing w:val="-3"/>
        </w:rPr>
        <w:t>乳糖酶、蔗糖酶、磷酸酶等；主要的无机物为碳酸氢盐；小肠液中还含有肠致活</w:t>
      </w:r>
      <w:r>
        <w:rPr>
          <w:rFonts w:ascii="宋体" w:eastAsia="宋体" w:hAnsi="宋体" w:cs="宋体"/>
          <w:spacing w:val="2"/>
        </w:rPr>
        <w:t xml:space="preserve"> </w:t>
      </w:r>
      <w:r>
        <w:rPr>
          <w:rFonts w:ascii="宋体" w:eastAsia="宋体" w:hAnsi="宋体" w:cs="宋体"/>
          <w:spacing w:val="-8"/>
        </w:rPr>
        <w:t>酶，可激活胰蛋白酶原。</w:t>
      </w:r>
    </w:p>
    <w:p w:rsidR="00EA40A3" w:rsidRDefault="00E86C16">
      <w:pPr>
        <w:spacing w:before="299" w:line="223" w:lineRule="auto"/>
        <w:rPr>
          <w:rFonts w:ascii="仿宋" w:eastAsia="仿宋" w:hAnsi="仿宋" w:cs="仿宋"/>
        </w:rPr>
      </w:pPr>
      <w:r>
        <w:rPr>
          <w:rFonts w:ascii="仿宋" w:eastAsia="仿宋" w:hAnsi="仿宋" w:cs="仿宋"/>
          <w:spacing w:val="3"/>
        </w:rPr>
        <w:t>5.</w:t>
      </w:r>
      <w:r>
        <w:rPr>
          <w:rFonts w:ascii="仿宋" w:eastAsia="仿宋" w:hAnsi="仿宋" w:cs="仿宋"/>
          <w:spacing w:val="-22"/>
        </w:rPr>
        <w:t xml:space="preserve"> </w:t>
      </w:r>
      <w:r>
        <w:rPr>
          <w:rFonts w:ascii="仿宋" w:eastAsia="仿宋" w:hAnsi="仿宋" w:cs="仿宋"/>
          <w:spacing w:val="3"/>
        </w:rPr>
        <w:t>大肠</w:t>
      </w:r>
    </w:p>
    <w:p w:rsidR="00EA40A3" w:rsidRDefault="00E86C16">
      <w:pPr>
        <w:spacing w:before="216" w:line="255" w:lineRule="auto"/>
        <w:ind w:right="75" w:firstLine="469"/>
        <w:jc w:val="both"/>
        <w:rPr>
          <w:rFonts w:ascii="宋体" w:eastAsia="宋体" w:hAnsi="宋体" w:cs="宋体"/>
        </w:rPr>
      </w:pPr>
      <w:r>
        <w:rPr>
          <w:rFonts w:ascii="宋体" w:eastAsia="宋体" w:hAnsi="宋体" w:cs="宋体"/>
          <w:spacing w:val="-4"/>
        </w:rPr>
        <w:t>人类的大肠内没有重要的消化活动。大肠的主要功能在于吸收水分，大肠还</w:t>
      </w:r>
      <w:r>
        <w:rPr>
          <w:rFonts w:ascii="宋体" w:eastAsia="宋体" w:hAnsi="宋体" w:cs="宋体"/>
        </w:rPr>
        <w:t xml:space="preserve"> </w:t>
      </w:r>
      <w:r>
        <w:rPr>
          <w:rFonts w:ascii="宋体" w:eastAsia="宋体" w:hAnsi="宋体" w:cs="宋体"/>
          <w:spacing w:val="-7"/>
        </w:rPr>
        <w:t>为消化后的食物残渣提供临时储存场所。</w:t>
      </w:r>
      <w:r>
        <w:rPr>
          <w:rFonts w:ascii="宋体" w:eastAsia="宋体" w:hAnsi="宋体" w:cs="宋体"/>
          <w:spacing w:val="40"/>
        </w:rPr>
        <w:t xml:space="preserve"> </w:t>
      </w:r>
      <w:r>
        <w:rPr>
          <w:rFonts w:ascii="宋体" w:eastAsia="宋体" w:hAnsi="宋体" w:cs="宋体"/>
          <w:spacing w:val="-7"/>
        </w:rPr>
        <w:t>一般地，大肠并不进行消化，大肠中物</w:t>
      </w:r>
      <w:r>
        <w:rPr>
          <w:rFonts w:ascii="宋体" w:eastAsia="宋体" w:hAnsi="宋体" w:cs="宋体"/>
        </w:rPr>
        <w:t xml:space="preserve"> </w:t>
      </w:r>
      <w:r>
        <w:rPr>
          <w:rFonts w:ascii="宋体" w:eastAsia="宋体" w:hAnsi="宋体" w:cs="宋体"/>
          <w:spacing w:val="4"/>
        </w:rPr>
        <w:t>质的分解也多是细菌作用的结果，细菌可以利用肠内较为简单</w:t>
      </w:r>
      <w:r>
        <w:rPr>
          <w:rFonts w:ascii="宋体" w:eastAsia="宋体" w:hAnsi="宋体" w:cs="宋体"/>
          <w:spacing w:val="3"/>
        </w:rPr>
        <w:t>的物质合成B</w:t>
      </w:r>
      <w:r>
        <w:rPr>
          <w:rFonts w:ascii="宋体" w:eastAsia="宋体" w:hAnsi="宋体" w:cs="宋体"/>
          <w:spacing w:val="-7"/>
        </w:rPr>
        <w:t xml:space="preserve"> </w:t>
      </w:r>
      <w:r>
        <w:rPr>
          <w:rFonts w:ascii="宋体" w:eastAsia="宋体" w:hAnsi="宋体" w:cs="宋体"/>
          <w:spacing w:val="3"/>
        </w:rPr>
        <w:t>族</w:t>
      </w:r>
      <w:r>
        <w:rPr>
          <w:rFonts w:ascii="宋体" w:eastAsia="宋体" w:hAnsi="宋体" w:cs="宋体"/>
        </w:rPr>
        <w:t xml:space="preserve"> </w:t>
      </w:r>
      <w:r>
        <w:rPr>
          <w:rFonts w:ascii="宋体" w:eastAsia="宋体" w:hAnsi="宋体" w:cs="宋体"/>
          <w:spacing w:val="-1"/>
        </w:rPr>
        <w:t>维生素和维生素K,</w:t>
      </w:r>
      <w:r>
        <w:rPr>
          <w:rFonts w:ascii="宋体" w:eastAsia="宋体" w:hAnsi="宋体" w:cs="宋体"/>
          <w:spacing w:val="55"/>
        </w:rPr>
        <w:t xml:space="preserve"> </w:t>
      </w:r>
      <w:r>
        <w:rPr>
          <w:rFonts w:ascii="宋体" w:eastAsia="宋体" w:hAnsi="宋体" w:cs="宋体"/>
          <w:spacing w:val="-1"/>
        </w:rPr>
        <w:t>但更多的是细菌对食物残渣中未被消化的碳水化合物、蛋白</w:t>
      </w:r>
      <w:r>
        <w:rPr>
          <w:rFonts w:ascii="宋体" w:eastAsia="宋体" w:hAnsi="宋体" w:cs="宋体"/>
        </w:rPr>
        <w:t xml:space="preserve"> </w:t>
      </w:r>
      <w:r>
        <w:rPr>
          <w:rFonts w:ascii="宋体" w:eastAsia="宋体" w:hAnsi="宋体" w:cs="宋体"/>
          <w:spacing w:val="-4"/>
        </w:rPr>
        <w:t>质与脂肪的分解，所产生的代谢产物也大多对人体有害。</w:t>
      </w:r>
    </w:p>
    <w:p w:rsidR="00EA40A3" w:rsidRDefault="00EA40A3">
      <w:pPr>
        <w:spacing w:line="281" w:lineRule="auto"/>
      </w:pPr>
    </w:p>
    <w:p w:rsidR="00EA40A3" w:rsidRDefault="00E86C16">
      <w:pPr>
        <w:spacing w:before="69" w:line="241" w:lineRule="auto"/>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22</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pgSz w:w="9220" w:h="13360"/>
          <w:pgMar w:top="400" w:right="1075" w:bottom="400" w:left="800" w:header="0" w:footer="0" w:gutter="0"/>
          <w:cols w:space="720"/>
        </w:sectPr>
      </w:pPr>
    </w:p>
    <w:p w:rsidR="00EA40A3" w:rsidRDefault="00EA40A3">
      <w:pPr>
        <w:spacing w:line="280" w:lineRule="auto"/>
      </w:pPr>
    </w:p>
    <w:p w:rsidR="00EA40A3" w:rsidRDefault="00EA40A3">
      <w:pPr>
        <w:spacing w:line="280" w:lineRule="auto"/>
      </w:pPr>
    </w:p>
    <w:p w:rsidR="00EA40A3" w:rsidRDefault="00E86C16">
      <w:pPr>
        <w:spacing w:before="71" w:line="232" w:lineRule="auto"/>
        <w:rPr>
          <w:rFonts w:ascii="楷体" w:eastAsia="楷体" w:hAnsi="楷体" w:cs="楷体"/>
          <w:sz w:val="22"/>
          <w:szCs w:val="22"/>
        </w:rPr>
      </w:pPr>
      <w:r>
        <w:rPr>
          <w:rFonts w:ascii="楷体" w:eastAsia="楷体" w:hAnsi="楷体" w:cs="楷体"/>
          <w:spacing w:val="-3"/>
          <w:sz w:val="22"/>
          <w:szCs w:val="22"/>
        </w:rPr>
        <w:t>1)大肠的运动</w:t>
      </w:r>
    </w:p>
    <w:p w:rsidR="00EA40A3" w:rsidRDefault="00E86C16">
      <w:pPr>
        <w:spacing w:before="47" w:line="219" w:lineRule="auto"/>
        <w:ind w:left="419"/>
        <w:rPr>
          <w:rFonts w:ascii="宋体" w:eastAsia="宋体" w:hAnsi="宋体" w:cs="宋体"/>
          <w:sz w:val="22"/>
          <w:szCs w:val="22"/>
        </w:rPr>
      </w:pPr>
      <w:r>
        <w:rPr>
          <w:rFonts w:ascii="宋体" w:eastAsia="宋体" w:hAnsi="宋体" w:cs="宋体"/>
          <w:spacing w:val="-14"/>
          <w:sz w:val="22"/>
          <w:szCs w:val="22"/>
        </w:rPr>
        <w:t>大肠的运动少而慢，对刺激的反应也较迟缓，这些有利于粪便的暂时储存。</w:t>
      </w:r>
    </w:p>
    <w:p w:rsidR="00EA40A3" w:rsidRDefault="00E86C16">
      <w:pPr>
        <w:spacing w:before="27" w:line="236" w:lineRule="auto"/>
        <w:ind w:right="99" w:firstLine="419"/>
        <w:rPr>
          <w:rFonts w:ascii="宋体" w:eastAsia="宋体" w:hAnsi="宋体" w:cs="宋体"/>
          <w:sz w:val="22"/>
          <w:szCs w:val="22"/>
        </w:rPr>
      </w:pPr>
      <w:r>
        <w:rPr>
          <w:rFonts w:ascii="宋体" w:eastAsia="宋体" w:hAnsi="宋体" w:cs="宋体"/>
          <w:spacing w:val="-10"/>
          <w:sz w:val="22"/>
          <w:szCs w:val="22"/>
        </w:rPr>
        <w:t>(1)袋状往返运动：由环状肌无规律的收缩所引起，可使结肠袋中的内容物</w:t>
      </w:r>
      <w:r>
        <w:rPr>
          <w:rFonts w:ascii="宋体" w:eastAsia="宋体" w:hAnsi="宋体" w:cs="宋体"/>
          <w:spacing w:val="9"/>
          <w:sz w:val="22"/>
          <w:szCs w:val="22"/>
        </w:rPr>
        <w:t xml:space="preserve"> </w:t>
      </w:r>
      <w:r>
        <w:rPr>
          <w:rFonts w:ascii="宋体" w:eastAsia="宋体" w:hAnsi="宋体" w:cs="宋体"/>
          <w:spacing w:val="-15"/>
          <w:sz w:val="22"/>
          <w:szCs w:val="22"/>
        </w:rPr>
        <w:t>向两个方向做短距离位移，但并不向前推进。</w:t>
      </w:r>
    </w:p>
    <w:p w:rsidR="00EA40A3" w:rsidRDefault="00E86C16">
      <w:pPr>
        <w:spacing w:before="36" w:line="237" w:lineRule="auto"/>
        <w:ind w:right="99" w:firstLine="419"/>
        <w:rPr>
          <w:rFonts w:ascii="宋体" w:eastAsia="宋体" w:hAnsi="宋体" w:cs="宋体"/>
          <w:sz w:val="22"/>
          <w:szCs w:val="22"/>
        </w:rPr>
      </w:pPr>
      <w:r>
        <w:rPr>
          <w:rFonts w:ascii="宋体" w:eastAsia="宋体" w:hAnsi="宋体" w:cs="宋体"/>
          <w:spacing w:val="-10"/>
          <w:sz w:val="22"/>
          <w:szCs w:val="22"/>
        </w:rPr>
        <w:t>(2)分节或多袋推进运动：由一个结肠袋或一段结肠收缩完成，把肠内容物</w:t>
      </w:r>
      <w:r>
        <w:rPr>
          <w:rFonts w:ascii="宋体" w:eastAsia="宋体" w:hAnsi="宋体" w:cs="宋体"/>
          <w:spacing w:val="9"/>
          <w:sz w:val="22"/>
          <w:szCs w:val="22"/>
        </w:rPr>
        <w:t xml:space="preserve"> </w:t>
      </w:r>
      <w:r>
        <w:rPr>
          <w:rFonts w:ascii="宋体" w:eastAsia="宋体" w:hAnsi="宋体" w:cs="宋体"/>
          <w:spacing w:val="-18"/>
          <w:sz w:val="22"/>
          <w:szCs w:val="22"/>
        </w:rPr>
        <w:t>向下一段结肠推动。</w:t>
      </w:r>
    </w:p>
    <w:p w:rsidR="00EA40A3" w:rsidRDefault="00E86C16">
      <w:pPr>
        <w:spacing w:before="37" w:line="235" w:lineRule="auto"/>
        <w:ind w:right="93" w:firstLine="419"/>
        <w:rPr>
          <w:rFonts w:ascii="宋体" w:eastAsia="宋体" w:hAnsi="宋体" w:cs="宋体"/>
          <w:sz w:val="22"/>
          <w:szCs w:val="22"/>
        </w:rPr>
      </w:pPr>
      <w:r>
        <w:rPr>
          <w:rFonts w:ascii="宋体" w:eastAsia="宋体" w:hAnsi="宋体" w:cs="宋体"/>
          <w:spacing w:val="-10"/>
          <w:sz w:val="22"/>
          <w:szCs w:val="22"/>
        </w:rPr>
        <w:t>(3)蠕动：由一些稳定向前的收缩波组成，收缩波前方的肌肉舒张，后方的</w:t>
      </w:r>
      <w:r>
        <w:rPr>
          <w:rFonts w:ascii="宋体" w:eastAsia="宋体" w:hAnsi="宋体" w:cs="宋体"/>
          <w:spacing w:val="15"/>
          <w:sz w:val="22"/>
          <w:szCs w:val="22"/>
        </w:rPr>
        <w:t xml:space="preserve"> </w:t>
      </w:r>
      <w:r>
        <w:rPr>
          <w:rFonts w:ascii="宋体" w:eastAsia="宋体" w:hAnsi="宋体" w:cs="宋体"/>
          <w:spacing w:val="-15"/>
          <w:sz w:val="22"/>
          <w:szCs w:val="22"/>
        </w:rPr>
        <w:t>肌肉收缩，使这段肠关闭合并排空。</w:t>
      </w:r>
    </w:p>
    <w:p w:rsidR="00EA40A3" w:rsidRDefault="00E86C16">
      <w:pPr>
        <w:spacing w:before="68" w:line="225" w:lineRule="auto"/>
        <w:rPr>
          <w:rFonts w:ascii="楷体" w:eastAsia="楷体" w:hAnsi="楷体" w:cs="楷体"/>
          <w:sz w:val="22"/>
          <w:szCs w:val="22"/>
        </w:rPr>
      </w:pPr>
      <w:r>
        <w:rPr>
          <w:rFonts w:ascii="楷体" w:eastAsia="楷体" w:hAnsi="楷体" w:cs="楷体"/>
          <w:spacing w:val="-4"/>
          <w:sz w:val="22"/>
          <w:szCs w:val="22"/>
        </w:rPr>
        <w:t>2)大肠内的细菌活动</w:t>
      </w:r>
    </w:p>
    <w:p w:rsidR="00EA40A3" w:rsidRDefault="00E86C16">
      <w:pPr>
        <w:spacing w:before="43" w:line="247" w:lineRule="auto"/>
        <w:ind w:right="69" w:firstLine="419"/>
        <w:jc w:val="both"/>
        <w:rPr>
          <w:rFonts w:ascii="宋体" w:eastAsia="宋体" w:hAnsi="宋体" w:cs="宋体"/>
          <w:sz w:val="22"/>
          <w:szCs w:val="22"/>
        </w:rPr>
      </w:pPr>
      <w:r>
        <w:rPr>
          <w:rFonts w:ascii="宋体" w:eastAsia="宋体" w:hAnsi="宋体" w:cs="宋体"/>
          <w:spacing w:val="-13"/>
          <w:sz w:val="22"/>
          <w:szCs w:val="22"/>
        </w:rPr>
        <w:t>大肠中的细菌来自于空气和食物，它们依靠食物残渣而生存，同时分解未被</w:t>
      </w:r>
      <w:r>
        <w:rPr>
          <w:rFonts w:ascii="宋体" w:eastAsia="宋体" w:hAnsi="宋体" w:cs="宋体"/>
          <w:spacing w:val="6"/>
          <w:sz w:val="22"/>
          <w:szCs w:val="22"/>
        </w:rPr>
        <w:t xml:space="preserve"> </w:t>
      </w:r>
      <w:r>
        <w:rPr>
          <w:rFonts w:ascii="宋体" w:eastAsia="宋体" w:hAnsi="宋体" w:cs="宋体"/>
          <w:spacing w:val="-13"/>
          <w:sz w:val="22"/>
          <w:szCs w:val="22"/>
        </w:rPr>
        <w:t>消化吸收的蛋白质、脂肪和碳水化合物。蛋白质首先被分解为氨基酸，氨基酸或</w:t>
      </w:r>
      <w:r>
        <w:rPr>
          <w:rFonts w:ascii="宋体" w:eastAsia="宋体" w:hAnsi="宋体" w:cs="宋体"/>
          <w:spacing w:val="13"/>
          <w:sz w:val="22"/>
          <w:szCs w:val="22"/>
        </w:rPr>
        <w:t xml:space="preserve"> </w:t>
      </w:r>
      <w:r>
        <w:rPr>
          <w:rFonts w:ascii="宋体" w:eastAsia="宋体" w:hAnsi="宋体" w:cs="宋体"/>
          <w:spacing w:val="-12"/>
          <w:sz w:val="22"/>
          <w:szCs w:val="22"/>
        </w:rPr>
        <w:t>是再经脱羧产生胺类，或是再经脱氨基形成氨，这些可进</w:t>
      </w:r>
      <w:r>
        <w:rPr>
          <w:rFonts w:ascii="宋体" w:eastAsia="宋体" w:hAnsi="宋体" w:cs="宋体"/>
          <w:spacing w:val="-13"/>
          <w:sz w:val="22"/>
          <w:szCs w:val="22"/>
        </w:rPr>
        <w:t>一步分解产生苯酚、吲</w:t>
      </w:r>
      <w:r>
        <w:rPr>
          <w:rFonts w:ascii="宋体" w:eastAsia="宋体" w:hAnsi="宋体" w:cs="宋体"/>
          <w:sz w:val="22"/>
          <w:szCs w:val="22"/>
        </w:rPr>
        <w:t xml:space="preserve"> </w:t>
      </w:r>
      <w:r>
        <w:rPr>
          <w:rFonts w:ascii="宋体" w:eastAsia="宋体" w:hAnsi="宋体" w:cs="宋体"/>
          <w:spacing w:val="-7"/>
          <w:sz w:val="22"/>
          <w:szCs w:val="22"/>
        </w:rPr>
        <w:t>哚、甲基吲哚和硫化氢等；碳水化合物可被分解产生乳酸、乙酸等低级酸以</w:t>
      </w:r>
      <w:r>
        <w:rPr>
          <w:rFonts w:ascii="宋体" w:eastAsia="宋体" w:hAnsi="宋体" w:cs="宋体"/>
          <w:spacing w:val="-8"/>
          <w:sz w:val="22"/>
          <w:szCs w:val="22"/>
        </w:rPr>
        <w:t>及</w:t>
      </w:r>
      <w:r>
        <w:rPr>
          <w:rFonts w:ascii="宋体" w:eastAsia="宋体" w:hAnsi="宋体" w:cs="宋体"/>
          <w:sz w:val="22"/>
          <w:szCs w:val="22"/>
        </w:rPr>
        <w:t xml:space="preserve"> </w:t>
      </w:r>
      <w:r>
        <w:rPr>
          <w:rFonts w:ascii="宋体" w:eastAsia="宋体" w:hAnsi="宋体" w:cs="宋体"/>
          <w:spacing w:val="-11"/>
          <w:sz w:val="22"/>
          <w:szCs w:val="22"/>
        </w:rPr>
        <w:t>CO</w:t>
      </w:r>
      <w:r>
        <w:rPr>
          <w:rFonts w:ascii="Calibri" w:eastAsia="Calibri" w:hAnsi="Calibri" w:cs="Calibri"/>
          <w:spacing w:val="-11"/>
          <w:sz w:val="22"/>
          <w:szCs w:val="22"/>
        </w:rPr>
        <w:t>₂</w:t>
      </w:r>
      <w:r>
        <w:rPr>
          <w:rFonts w:ascii="Calibri" w:eastAsia="Calibri" w:hAnsi="Calibri" w:cs="Calibri"/>
          <w:spacing w:val="-23"/>
          <w:sz w:val="22"/>
          <w:szCs w:val="22"/>
        </w:rPr>
        <w:t xml:space="preserve"> </w:t>
      </w:r>
      <w:r>
        <w:rPr>
          <w:rFonts w:ascii="宋体" w:eastAsia="宋体" w:hAnsi="宋体" w:cs="宋体"/>
          <w:spacing w:val="-11"/>
          <w:sz w:val="22"/>
          <w:szCs w:val="22"/>
        </w:rPr>
        <w:t>、</w:t>
      </w:r>
      <w:r>
        <w:rPr>
          <w:rFonts w:ascii="宋体" w:eastAsia="宋体" w:hAnsi="宋体" w:cs="宋体"/>
          <w:spacing w:val="-37"/>
          <w:sz w:val="22"/>
          <w:szCs w:val="22"/>
        </w:rPr>
        <w:t xml:space="preserve"> </w:t>
      </w:r>
      <w:r>
        <w:rPr>
          <w:rFonts w:ascii="宋体" w:eastAsia="宋体" w:hAnsi="宋体" w:cs="宋体"/>
          <w:spacing w:val="-11"/>
          <w:sz w:val="22"/>
          <w:szCs w:val="22"/>
        </w:rPr>
        <w:t>沼气等；脂肪则被分解产生脂肪酸、甘油、醛、酮等，这些成分大部分对</w:t>
      </w:r>
      <w:r>
        <w:rPr>
          <w:rFonts w:ascii="宋体" w:eastAsia="宋体" w:hAnsi="宋体" w:cs="宋体"/>
          <w:sz w:val="22"/>
          <w:szCs w:val="22"/>
        </w:rPr>
        <w:t xml:space="preserve"> </w:t>
      </w:r>
      <w:r>
        <w:rPr>
          <w:rFonts w:ascii="宋体" w:eastAsia="宋体" w:hAnsi="宋体" w:cs="宋体"/>
          <w:spacing w:val="-13"/>
          <w:sz w:val="22"/>
          <w:szCs w:val="22"/>
        </w:rPr>
        <w:t>人体有害，有的可以引起人类结肠癌，故促进排便的可溶性膳食</w:t>
      </w:r>
      <w:r>
        <w:rPr>
          <w:rFonts w:ascii="宋体" w:eastAsia="宋体" w:hAnsi="宋体" w:cs="宋体"/>
          <w:spacing w:val="-14"/>
          <w:sz w:val="22"/>
          <w:szCs w:val="22"/>
        </w:rPr>
        <w:t>纤维，可加速这</w:t>
      </w:r>
      <w:r>
        <w:rPr>
          <w:rFonts w:ascii="宋体" w:eastAsia="宋体" w:hAnsi="宋体" w:cs="宋体"/>
          <w:sz w:val="22"/>
          <w:szCs w:val="22"/>
        </w:rPr>
        <w:t xml:space="preserve"> </w:t>
      </w:r>
      <w:r>
        <w:rPr>
          <w:rFonts w:ascii="宋体" w:eastAsia="宋体" w:hAnsi="宋体" w:cs="宋体"/>
          <w:spacing w:val="-13"/>
          <w:sz w:val="22"/>
          <w:szCs w:val="22"/>
        </w:rPr>
        <w:t>些有害物质的排泄，缩短它们与结肠的接触时间</w:t>
      </w:r>
      <w:r>
        <w:rPr>
          <w:rFonts w:ascii="宋体" w:eastAsia="宋体" w:hAnsi="宋体" w:cs="宋体"/>
          <w:spacing w:val="-14"/>
          <w:sz w:val="22"/>
          <w:szCs w:val="22"/>
        </w:rPr>
        <w:t>，有预防结肠癌的作用。</w:t>
      </w:r>
    </w:p>
    <w:p w:rsidR="00EA40A3" w:rsidRDefault="00E86C16">
      <w:pPr>
        <w:spacing w:before="226" w:line="222" w:lineRule="auto"/>
        <w:ind w:left="3"/>
        <w:outlineLvl w:val="6"/>
        <w:rPr>
          <w:rFonts w:ascii="黑体" w:eastAsia="黑体" w:hAnsi="黑体" w:cs="黑体"/>
          <w:sz w:val="22"/>
          <w:szCs w:val="22"/>
        </w:rPr>
      </w:pPr>
      <w:r>
        <w:rPr>
          <w:rFonts w:ascii="黑体" w:eastAsia="黑体" w:hAnsi="黑体" w:cs="黑体"/>
          <w:b/>
          <w:bCs/>
          <w:spacing w:val="1"/>
          <w:sz w:val="22"/>
          <w:szCs w:val="22"/>
        </w:rPr>
        <w:t>2.1.2</w:t>
      </w:r>
      <w:r>
        <w:rPr>
          <w:rFonts w:ascii="黑体" w:eastAsia="黑体" w:hAnsi="黑体" w:cs="黑体"/>
          <w:spacing w:val="8"/>
          <w:sz w:val="22"/>
          <w:szCs w:val="22"/>
        </w:rPr>
        <w:t xml:space="preserve">   </w:t>
      </w:r>
      <w:r>
        <w:rPr>
          <w:rFonts w:ascii="黑体" w:eastAsia="黑体" w:hAnsi="黑体" w:cs="黑体"/>
          <w:b/>
          <w:bCs/>
          <w:spacing w:val="1"/>
          <w:sz w:val="22"/>
          <w:szCs w:val="22"/>
        </w:rPr>
        <w:t>吸收</w:t>
      </w:r>
    </w:p>
    <w:p w:rsidR="00EA40A3" w:rsidRDefault="00E86C16">
      <w:pPr>
        <w:spacing w:before="208" w:line="237" w:lineRule="auto"/>
        <w:ind w:right="81" w:firstLine="419"/>
        <w:rPr>
          <w:rFonts w:ascii="宋体" w:eastAsia="宋体" w:hAnsi="宋体" w:cs="宋体"/>
          <w:sz w:val="22"/>
          <w:szCs w:val="22"/>
        </w:rPr>
      </w:pPr>
      <w:r>
        <w:rPr>
          <w:rFonts w:ascii="宋体" w:eastAsia="宋体" w:hAnsi="宋体" w:cs="宋体"/>
          <w:spacing w:val="-13"/>
          <w:sz w:val="22"/>
          <w:szCs w:val="22"/>
        </w:rPr>
        <w:t>吸收是指食物成分被分解后通过肠黏膜上皮细胞进入血液或淋巴从而进入肝</w:t>
      </w:r>
      <w:r>
        <w:rPr>
          <w:rFonts w:ascii="宋体" w:eastAsia="宋体" w:hAnsi="宋体" w:cs="宋体"/>
          <w:spacing w:val="6"/>
          <w:sz w:val="22"/>
          <w:szCs w:val="22"/>
        </w:rPr>
        <w:t xml:space="preserve"> </w:t>
      </w:r>
      <w:r>
        <w:rPr>
          <w:rFonts w:ascii="宋体" w:eastAsia="宋体" w:hAnsi="宋体" w:cs="宋体"/>
          <w:spacing w:val="-16"/>
          <w:sz w:val="22"/>
          <w:szCs w:val="22"/>
        </w:rPr>
        <w:t>脏的过程。</w:t>
      </w:r>
    </w:p>
    <w:p w:rsidR="00EA40A3" w:rsidRDefault="00E86C16">
      <w:pPr>
        <w:spacing w:before="194" w:line="222"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14"/>
          <w:sz w:val="22"/>
          <w:szCs w:val="22"/>
        </w:rPr>
        <w:t xml:space="preserve"> </w:t>
      </w:r>
      <w:r>
        <w:rPr>
          <w:rFonts w:ascii="仿宋" w:eastAsia="仿宋" w:hAnsi="仿宋" w:cs="仿宋"/>
          <w:spacing w:val="6"/>
          <w:sz w:val="22"/>
          <w:szCs w:val="22"/>
        </w:rPr>
        <w:t>吸收部位</w:t>
      </w:r>
    </w:p>
    <w:p w:rsidR="00EA40A3" w:rsidRDefault="00E86C16">
      <w:pPr>
        <w:spacing w:before="198"/>
        <w:ind w:right="73" w:firstLine="419"/>
        <w:rPr>
          <w:rFonts w:ascii="宋体" w:eastAsia="宋体" w:hAnsi="宋体" w:cs="宋体"/>
          <w:sz w:val="22"/>
          <w:szCs w:val="22"/>
        </w:rPr>
      </w:pPr>
      <w:r>
        <w:rPr>
          <w:rFonts w:ascii="宋体" w:eastAsia="宋体" w:hAnsi="宋体" w:cs="宋体"/>
          <w:spacing w:val="-13"/>
          <w:sz w:val="22"/>
          <w:szCs w:val="22"/>
        </w:rPr>
        <w:t>食物吸收的主要部位是小肠上段的十二指肠和空肠。回肠主要是吸收功能的</w:t>
      </w:r>
      <w:r>
        <w:rPr>
          <w:rFonts w:ascii="宋体" w:eastAsia="宋体" w:hAnsi="宋体" w:cs="宋体"/>
          <w:spacing w:val="14"/>
          <w:sz w:val="22"/>
          <w:szCs w:val="22"/>
        </w:rPr>
        <w:t xml:space="preserve"> </w:t>
      </w:r>
      <w:r>
        <w:rPr>
          <w:rFonts w:ascii="宋体" w:eastAsia="宋体" w:hAnsi="宋体" w:cs="宋体"/>
          <w:spacing w:val="-14"/>
          <w:sz w:val="22"/>
          <w:szCs w:val="22"/>
        </w:rPr>
        <w:t>储备，用于代偿时的需要，而大肠主要是吸收水分和盐类。</w:t>
      </w:r>
    </w:p>
    <w:p w:rsidR="00EA40A3" w:rsidRDefault="00E86C16">
      <w:pPr>
        <w:spacing w:before="57" w:line="244" w:lineRule="auto"/>
        <w:ind w:right="77" w:firstLine="419"/>
        <w:rPr>
          <w:rFonts w:ascii="宋体" w:eastAsia="宋体" w:hAnsi="宋体" w:cs="宋体"/>
          <w:sz w:val="22"/>
          <w:szCs w:val="22"/>
        </w:rPr>
      </w:pPr>
      <w:r>
        <w:rPr>
          <w:rFonts w:ascii="宋体" w:eastAsia="宋体" w:hAnsi="宋体" w:cs="宋体"/>
          <w:spacing w:val="-3"/>
          <w:sz w:val="22"/>
          <w:szCs w:val="22"/>
        </w:rPr>
        <w:t>在小肠内壁上布满了环状皱褶、绒毛和微绒毛(图2-2)。经过这些环状皱</w:t>
      </w:r>
      <w:r>
        <w:rPr>
          <w:rFonts w:ascii="宋体" w:eastAsia="宋体" w:hAnsi="宋体" w:cs="宋体"/>
          <w:spacing w:val="10"/>
          <w:sz w:val="22"/>
          <w:szCs w:val="22"/>
        </w:rPr>
        <w:t xml:space="preserve"> </w:t>
      </w:r>
      <w:r>
        <w:rPr>
          <w:rFonts w:ascii="宋体" w:eastAsia="宋体" w:hAnsi="宋体" w:cs="宋体"/>
          <w:spacing w:val="-9"/>
          <w:sz w:val="22"/>
          <w:szCs w:val="22"/>
        </w:rPr>
        <w:t>褶、绒毛和微绒毛的放大作用，使小肠的吸收面积可达200m²;</w:t>
      </w:r>
      <w:r>
        <w:rPr>
          <w:rFonts w:ascii="宋体" w:eastAsia="宋体" w:hAnsi="宋体" w:cs="宋体"/>
          <w:spacing w:val="4"/>
          <w:sz w:val="22"/>
          <w:szCs w:val="22"/>
        </w:rPr>
        <w:t xml:space="preserve"> </w:t>
      </w:r>
      <w:r>
        <w:rPr>
          <w:rFonts w:ascii="宋体" w:eastAsia="宋体" w:hAnsi="宋体" w:cs="宋体"/>
          <w:spacing w:val="-9"/>
          <w:sz w:val="22"/>
          <w:szCs w:val="22"/>
        </w:rPr>
        <w:t>且小肠的这种结</w:t>
      </w:r>
      <w:r>
        <w:rPr>
          <w:rFonts w:ascii="宋体" w:eastAsia="宋体" w:hAnsi="宋体" w:cs="宋体"/>
          <w:sz w:val="22"/>
          <w:szCs w:val="22"/>
        </w:rPr>
        <w:t xml:space="preserve"> </w:t>
      </w:r>
      <w:r>
        <w:rPr>
          <w:rFonts w:ascii="宋体" w:eastAsia="宋体" w:hAnsi="宋体" w:cs="宋体"/>
          <w:spacing w:val="-6"/>
          <w:sz w:val="22"/>
          <w:szCs w:val="22"/>
        </w:rPr>
        <w:t>构使其内径变细，增大了食糜流动时的摩擦力</w:t>
      </w:r>
      <w:r>
        <w:rPr>
          <w:rFonts w:ascii="宋体" w:eastAsia="宋体" w:hAnsi="宋体" w:cs="宋体"/>
          <w:spacing w:val="-7"/>
          <w:sz w:val="22"/>
          <w:szCs w:val="22"/>
        </w:rPr>
        <w:t>，延长了食物在小肠内的停留时</w:t>
      </w:r>
      <w:r>
        <w:rPr>
          <w:rFonts w:ascii="宋体" w:eastAsia="宋体" w:hAnsi="宋体" w:cs="宋体"/>
          <w:sz w:val="22"/>
          <w:szCs w:val="22"/>
        </w:rPr>
        <w:t xml:space="preserve"> </w:t>
      </w:r>
      <w:r>
        <w:rPr>
          <w:rFonts w:ascii="宋体" w:eastAsia="宋体" w:hAnsi="宋体" w:cs="宋体"/>
          <w:spacing w:val="-15"/>
          <w:sz w:val="22"/>
          <w:szCs w:val="22"/>
        </w:rPr>
        <w:t>间，为食物在小肠内的吸收创造了有利条件。</w:t>
      </w:r>
    </w:p>
    <w:p w:rsidR="00EA40A3" w:rsidRDefault="00E86C16">
      <w:pPr>
        <w:spacing w:before="198" w:line="223" w:lineRule="auto"/>
        <w:rPr>
          <w:rFonts w:ascii="仿宋" w:eastAsia="仿宋" w:hAnsi="仿宋" w:cs="仿宋"/>
          <w:sz w:val="22"/>
          <w:szCs w:val="22"/>
        </w:rPr>
      </w:pPr>
      <w:r>
        <w:rPr>
          <w:rFonts w:ascii="仿宋" w:eastAsia="仿宋" w:hAnsi="仿宋" w:cs="仿宋"/>
          <w:spacing w:val="8"/>
          <w:sz w:val="22"/>
          <w:szCs w:val="22"/>
        </w:rPr>
        <w:t>2.</w:t>
      </w:r>
      <w:r>
        <w:rPr>
          <w:rFonts w:ascii="仿宋" w:eastAsia="仿宋" w:hAnsi="仿宋" w:cs="仿宋"/>
          <w:spacing w:val="-17"/>
          <w:sz w:val="22"/>
          <w:szCs w:val="22"/>
        </w:rPr>
        <w:t xml:space="preserve"> </w:t>
      </w:r>
      <w:r>
        <w:rPr>
          <w:rFonts w:ascii="仿宋" w:eastAsia="仿宋" w:hAnsi="仿宋" w:cs="仿宋"/>
          <w:spacing w:val="8"/>
          <w:sz w:val="22"/>
          <w:szCs w:val="22"/>
        </w:rPr>
        <w:t>吸收形式</w:t>
      </w:r>
    </w:p>
    <w:p w:rsidR="00EA40A3" w:rsidRDefault="00E86C16">
      <w:pPr>
        <w:spacing w:before="204" w:line="238" w:lineRule="auto"/>
        <w:ind w:left="419"/>
        <w:rPr>
          <w:rFonts w:ascii="宋体" w:eastAsia="宋体" w:hAnsi="宋体" w:cs="宋体"/>
          <w:sz w:val="22"/>
          <w:szCs w:val="22"/>
        </w:rPr>
      </w:pPr>
      <w:r>
        <w:rPr>
          <w:rFonts w:ascii="宋体" w:eastAsia="宋体" w:hAnsi="宋体" w:cs="宋体"/>
          <w:spacing w:val="-13"/>
          <w:sz w:val="22"/>
          <w:szCs w:val="22"/>
        </w:rPr>
        <w:t>小肠黏膜的吸收作用主要依靠被动转运与主动转运来完成。</w:t>
      </w:r>
    </w:p>
    <w:p w:rsidR="00EA40A3" w:rsidRDefault="00E86C16">
      <w:pPr>
        <w:spacing w:line="229" w:lineRule="auto"/>
        <w:rPr>
          <w:rFonts w:ascii="楷体" w:eastAsia="楷体" w:hAnsi="楷体" w:cs="楷体"/>
          <w:sz w:val="22"/>
          <w:szCs w:val="22"/>
        </w:rPr>
      </w:pPr>
      <w:r>
        <w:rPr>
          <w:rFonts w:ascii="楷体" w:eastAsia="楷体" w:hAnsi="楷体" w:cs="楷体"/>
          <w:spacing w:val="-3"/>
          <w:sz w:val="22"/>
          <w:szCs w:val="22"/>
        </w:rPr>
        <w:t>1)被动转运</w:t>
      </w:r>
    </w:p>
    <w:p w:rsidR="00EA40A3" w:rsidRDefault="00E86C16">
      <w:pPr>
        <w:spacing w:before="65" w:line="219" w:lineRule="auto"/>
        <w:ind w:left="419"/>
        <w:rPr>
          <w:rFonts w:ascii="宋体" w:eastAsia="宋体" w:hAnsi="宋体" w:cs="宋体"/>
          <w:sz w:val="22"/>
          <w:szCs w:val="22"/>
        </w:rPr>
      </w:pPr>
      <w:r>
        <w:rPr>
          <w:rFonts w:ascii="宋体" w:eastAsia="宋体" w:hAnsi="宋体" w:cs="宋体"/>
          <w:spacing w:val="-13"/>
          <w:sz w:val="22"/>
          <w:szCs w:val="22"/>
        </w:rPr>
        <w:t>被动转运过程主要包括被动扩散、易化扩散、滤过、渗透等作用。</w:t>
      </w:r>
    </w:p>
    <w:p w:rsidR="00EA40A3" w:rsidRDefault="00E86C16">
      <w:pPr>
        <w:spacing w:before="38" w:line="241" w:lineRule="auto"/>
        <w:ind w:firstLine="419"/>
        <w:jc w:val="both"/>
        <w:rPr>
          <w:rFonts w:ascii="宋体" w:eastAsia="宋体" w:hAnsi="宋体" w:cs="宋体"/>
          <w:sz w:val="22"/>
          <w:szCs w:val="22"/>
        </w:rPr>
      </w:pPr>
      <w:r>
        <w:rPr>
          <w:rFonts w:ascii="宋体" w:eastAsia="宋体" w:hAnsi="宋体" w:cs="宋体"/>
          <w:spacing w:val="-7"/>
          <w:sz w:val="22"/>
          <w:szCs w:val="22"/>
        </w:rPr>
        <w:t>(1)被动扩散：通常物质透过细胞膜，总是和它在细胞膜内外的浓度有关。</w:t>
      </w:r>
      <w:r>
        <w:rPr>
          <w:rFonts w:ascii="宋体" w:eastAsia="宋体" w:hAnsi="宋体" w:cs="宋体"/>
          <w:spacing w:val="6"/>
          <w:sz w:val="22"/>
          <w:szCs w:val="22"/>
        </w:rPr>
        <w:t xml:space="preserve"> </w:t>
      </w:r>
      <w:r>
        <w:rPr>
          <w:rFonts w:ascii="宋体" w:eastAsia="宋体" w:hAnsi="宋体" w:cs="宋体"/>
          <w:spacing w:val="-7"/>
          <w:sz w:val="22"/>
          <w:szCs w:val="22"/>
        </w:rPr>
        <w:t>不借助载体、不消耗能量，物质从浓度高的一侧向浓度低的一侧透过称被动扩</w:t>
      </w:r>
      <w:r>
        <w:rPr>
          <w:rFonts w:ascii="宋体" w:eastAsia="宋体" w:hAnsi="宋体" w:cs="宋体"/>
          <w:spacing w:val="16"/>
          <w:sz w:val="22"/>
          <w:szCs w:val="22"/>
        </w:rPr>
        <w:t xml:space="preserve"> </w:t>
      </w:r>
      <w:r>
        <w:rPr>
          <w:rFonts w:ascii="宋体" w:eastAsia="宋体" w:hAnsi="宋体" w:cs="宋体"/>
          <w:spacing w:val="-12"/>
          <w:sz w:val="22"/>
          <w:szCs w:val="22"/>
        </w:rPr>
        <w:t>散。由于细胞膜的基质是类脂双分子层，脂溶性物质更易进入细胞。</w:t>
      </w:r>
      <w:r>
        <w:rPr>
          <w:rFonts w:ascii="宋体" w:eastAsia="宋体" w:hAnsi="宋体" w:cs="宋体"/>
          <w:spacing w:val="-13"/>
          <w:sz w:val="22"/>
          <w:szCs w:val="22"/>
        </w:rPr>
        <w:t>物质进入细</w:t>
      </w:r>
    </w:p>
    <w:p w:rsidR="00EA40A3" w:rsidRDefault="00E86C16">
      <w:pPr>
        <w:spacing w:before="105"/>
        <w:ind w:right="75"/>
        <w:jc w:val="right"/>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7"/>
          <w:sz w:val="18"/>
          <w:szCs w:val="18"/>
        </w:rPr>
        <w:t xml:space="preserve"> </w:t>
      </w:r>
      <w:r>
        <w:rPr>
          <w:rFonts w:ascii="宋体" w:eastAsia="宋体" w:hAnsi="宋体" w:cs="宋体"/>
          <w:spacing w:val="-31"/>
          <w:sz w:val="18"/>
          <w:szCs w:val="18"/>
        </w:rPr>
        <w:t>23</w:t>
      </w:r>
      <w:r>
        <w:rPr>
          <w:rFonts w:ascii="宋体" w:eastAsia="宋体" w:hAnsi="宋体" w:cs="宋体"/>
          <w:spacing w:val="44"/>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990" w:bottom="400" w:left="890" w:header="0" w:footer="0" w:gutter="0"/>
          <w:cols w:space="720"/>
        </w:sectPr>
      </w:pPr>
    </w:p>
    <w:p w:rsidR="00EA40A3" w:rsidRDefault="00825D12">
      <w:r>
        <w:rPr>
          <w:noProof/>
        </w:rPr>
        <w:lastRenderedPageBreak/>
        <mc:AlternateContent>
          <mc:Choice Requires="wps">
            <w:drawing>
              <wp:anchor distT="0" distB="0" distL="114300" distR="114300" simplePos="0" relativeHeight="251670528" behindDoc="0" locked="0" layoutInCell="0" allowOverlap="1">
                <wp:simplePos x="0" y="0"/>
                <wp:positionH relativeFrom="page">
                  <wp:posOffset>3606165</wp:posOffset>
                </wp:positionH>
                <wp:positionV relativeFrom="page">
                  <wp:posOffset>1315085</wp:posOffset>
                </wp:positionV>
                <wp:extent cx="60325" cy="114300"/>
                <wp:effectExtent l="0" t="635" r="635" b="0"/>
                <wp:wrapNone/>
                <wp:docPr id="1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184" w:lineRule="auto"/>
                              <w:ind w:left="20"/>
                              <w:rPr>
                                <w:rFonts w:ascii="宋体" w:eastAsia="宋体" w:hAnsi="宋体" w:cs="宋体"/>
                                <w:sz w:val="14"/>
                                <w:szCs w:val="14"/>
                              </w:rPr>
                            </w:pPr>
                            <w:r>
                              <w:rPr>
                                <w:rFonts w:ascii="宋体" w:eastAsia="宋体" w:hAnsi="宋体" w:cs="宋体"/>
                                <w:sz w:val="14"/>
                                <w:szCs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283.95pt;margin-top:103.55pt;width:4.75pt;height: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" o:allowincell="f" filled="f" stroked="f">
                <v:textbox inset="0,0,0,0">
                  <w:txbxContent>
                    <w:p w:rsidR="00E86C16" w:rsidRDefault="00E86C16">
                      <w:pPr>
                        <w:spacing w:before="19" w:line="184" w:lineRule="auto"/>
                        <w:ind w:left="20"/>
                        <w:rPr>
                          <w:rFonts w:ascii="宋体" w:eastAsia="宋体" w:hAnsi="宋体" w:cs="宋体"/>
                          <w:sz w:val="14"/>
                          <w:szCs w:val="14"/>
                        </w:rPr>
                      </w:pPr>
                      <w:r>
                        <w:rPr>
                          <w:rFonts w:ascii="宋体" w:eastAsia="宋体" w:hAnsi="宋体" w:cs="宋体"/>
                          <w:sz w:val="14"/>
                          <w:szCs w:val="14"/>
                        </w:rPr>
                        <w:t>1</w:t>
                      </w:r>
                    </w:p>
                  </w:txbxContent>
                </v:textbox>
                <w10:wrap anchorx="page" anchory="page"/>
              </v:shape>
            </w:pict>
          </mc:Fallback>
        </mc:AlternateContent>
      </w:r>
      <w:r>
        <w:rPr>
          <w:noProof/>
        </w:rPr>
        <mc:AlternateContent>
          <mc:Choice Requires="wps">
            <w:drawing>
              <wp:anchor distT="0" distB="0" distL="114300" distR="114300" simplePos="0" relativeHeight="251671552" behindDoc="0" locked="0" layoutInCell="0" allowOverlap="1">
                <wp:simplePos x="0" y="0"/>
                <wp:positionH relativeFrom="page">
                  <wp:posOffset>3606165</wp:posOffset>
                </wp:positionH>
                <wp:positionV relativeFrom="page">
                  <wp:posOffset>2192020</wp:posOffset>
                </wp:positionV>
                <wp:extent cx="57785" cy="95250"/>
                <wp:effectExtent l="0" t="1270" r="3175" b="0"/>
                <wp:wrapNone/>
                <wp:docPr id="1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183" w:lineRule="auto"/>
                              <w:ind w:left="20"/>
                              <w:rPr>
                                <w:rFonts w:ascii="宋体" w:eastAsia="宋体" w:hAnsi="宋体" w:cs="宋体"/>
                                <w:sz w:val="11"/>
                                <w:szCs w:val="11"/>
                              </w:rPr>
                            </w:pPr>
                            <w:r>
                              <w:rPr>
                                <w:rFonts w:ascii="宋体" w:eastAsia="宋体" w:hAnsi="宋体" w:cs="宋体"/>
                                <w:sz w:val="11"/>
                                <w:szCs w:val="1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margin-left:283.95pt;margin-top:172.6pt;width:4.55pt;height: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" o:allowincell="f" filled="f" stroked="f">
                <v:textbox inset="0,0,0,0">
                  <w:txbxContent>
                    <w:p w:rsidR="00E86C16" w:rsidRDefault="00E86C16">
                      <w:pPr>
                        <w:spacing w:before="20" w:line="183" w:lineRule="auto"/>
                        <w:ind w:left="20"/>
                        <w:rPr>
                          <w:rFonts w:ascii="宋体" w:eastAsia="宋体" w:hAnsi="宋体" w:cs="宋体"/>
                          <w:sz w:val="11"/>
                          <w:szCs w:val="11"/>
                        </w:rPr>
                      </w:pPr>
                      <w:r>
                        <w:rPr>
                          <w:rFonts w:ascii="宋体" w:eastAsia="宋体" w:hAnsi="宋体" w:cs="宋体"/>
                          <w:sz w:val="11"/>
                          <w:szCs w:val="11"/>
                        </w:rPr>
                        <w:t>8</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page">
                  <wp:posOffset>3606165</wp:posOffset>
                </wp:positionH>
                <wp:positionV relativeFrom="page">
                  <wp:posOffset>3188335</wp:posOffset>
                </wp:positionV>
                <wp:extent cx="109220" cy="113665"/>
                <wp:effectExtent l="0" t="0" r="0" b="3175"/>
                <wp:wrapNone/>
                <wp:docPr id="14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183" w:lineRule="auto"/>
                              <w:ind w:left="20"/>
                              <w:rPr>
                                <w:rFonts w:ascii="宋体" w:eastAsia="宋体" w:hAnsi="宋体" w:cs="宋体"/>
                                <w:sz w:val="14"/>
                                <w:szCs w:val="14"/>
                              </w:rPr>
                            </w:pPr>
                            <w:r>
                              <w:rPr>
                                <w:rFonts w:ascii="宋体" w:eastAsia="宋体" w:hAnsi="宋体" w:cs="宋体"/>
                                <w:spacing w:val="-3"/>
                                <w:sz w:val="14"/>
                                <w:szCs w:val="14"/>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margin-left:283.95pt;margin-top:251.05pt;width:8.6pt;height:8.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nMz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" o:allowincell="f" filled="f" stroked="f">
                <v:textbox inset="0,0,0,0">
                  <w:txbxContent>
                    <w:p w:rsidR="00E86C16" w:rsidRDefault="00E86C16">
                      <w:pPr>
                        <w:spacing w:before="20" w:line="183" w:lineRule="auto"/>
                        <w:ind w:left="20"/>
                        <w:rPr>
                          <w:rFonts w:ascii="宋体" w:eastAsia="宋体" w:hAnsi="宋体" w:cs="宋体"/>
                          <w:sz w:val="14"/>
                          <w:szCs w:val="14"/>
                        </w:rPr>
                      </w:pPr>
                      <w:r>
                        <w:rPr>
                          <w:rFonts w:ascii="宋体" w:eastAsia="宋体" w:hAnsi="宋体" w:cs="宋体"/>
                          <w:spacing w:val="-3"/>
                          <w:sz w:val="14"/>
                          <w:szCs w:val="14"/>
                        </w:rPr>
                        <w:t>30</w:t>
                      </w: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page">
                  <wp:posOffset>3606165</wp:posOffset>
                </wp:positionH>
                <wp:positionV relativeFrom="page">
                  <wp:posOffset>4147185</wp:posOffset>
                </wp:positionV>
                <wp:extent cx="154940" cy="113665"/>
                <wp:effectExtent l="0" t="3810" r="1270" b="0"/>
                <wp:wrapNone/>
                <wp:docPr id="1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183" w:lineRule="auto"/>
                              <w:ind w:left="20"/>
                              <w:rPr>
                                <w:rFonts w:ascii="宋体" w:eastAsia="宋体" w:hAnsi="宋体" w:cs="宋体"/>
                                <w:sz w:val="14"/>
                                <w:szCs w:val="14"/>
                              </w:rPr>
                            </w:pPr>
                            <w:r>
                              <w:rPr>
                                <w:rFonts w:ascii="宋体" w:eastAsia="宋体" w:hAnsi="宋体" w:cs="宋体"/>
                                <w:spacing w:val="-2"/>
                                <w:sz w:val="14"/>
                                <w:szCs w:val="14"/>
                              </w:rPr>
                              <w:t>600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margin-left:283.95pt;margin-top:326.55pt;width:12.2pt;height:8.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jgsgIAALI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" o:allowincell="f" filled="f" stroked="f">
                <v:textbox inset="0,0,0,0">
                  <w:txbxContent>
                    <w:p w:rsidR="00E86C16" w:rsidRDefault="00E86C16">
                      <w:pPr>
                        <w:spacing w:before="20" w:line="183" w:lineRule="auto"/>
                        <w:ind w:left="20"/>
                        <w:rPr>
                          <w:rFonts w:ascii="宋体" w:eastAsia="宋体" w:hAnsi="宋体" w:cs="宋体"/>
                          <w:sz w:val="14"/>
                          <w:szCs w:val="14"/>
                        </w:rPr>
                      </w:pPr>
                      <w:r>
                        <w:rPr>
                          <w:rFonts w:ascii="宋体" w:eastAsia="宋体" w:hAnsi="宋体" w:cs="宋体"/>
                          <w:spacing w:val="-2"/>
                          <w:sz w:val="14"/>
                          <w:szCs w:val="14"/>
                        </w:rPr>
                        <w:t>600</w:t>
                      </w:r>
                    </w:p>
                  </w:txbxContent>
                </v:textbox>
                <w10:wrap anchorx="page" anchory="page"/>
              </v:shape>
            </w:pict>
          </mc:Fallback>
        </mc:AlternateContent>
      </w:r>
    </w:p>
    <w:p w:rsidR="00EA40A3" w:rsidRDefault="00EA40A3"/>
    <w:p w:rsidR="00EA40A3" w:rsidRDefault="00EA40A3">
      <w:pPr>
        <w:spacing w:line="237" w:lineRule="exact"/>
      </w:pPr>
    </w:p>
    <w:p w:rsidR="00EA40A3" w:rsidRDefault="00EA40A3">
      <w:pPr>
        <w:sectPr w:rsidR="00EA40A3">
          <w:pgSz w:w="9220" w:h="13360"/>
          <w:pgMar w:top="400" w:right="1024" w:bottom="400" w:left="890" w:header="0" w:footer="0" w:gutter="0"/>
          <w:cols w:space="720" w:equalWidth="0">
            <w:col w:w="7306"/>
          </w:cols>
        </w:sectPr>
      </w:pPr>
    </w:p>
    <w:p w:rsidR="00EA40A3" w:rsidRDefault="00825D12">
      <w:pPr>
        <w:spacing w:before="95" w:line="249" w:lineRule="auto"/>
        <w:ind w:left="4289" w:right="179" w:firstLine="30"/>
        <w:rPr>
          <w:rFonts w:ascii="宋体" w:eastAsia="宋体" w:hAnsi="宋体" w:cs="宋体"/>
          <w:sz w:val="14"/>
          <w:szCs w:val="14"/>
        </w:rPr>
      </w:pPr>
      <w:r>
        <w:rPr>
          <w:noProof/>
        </w:rPr>
        <mc:AlternateContent>
          <mc:Choice Requires="wps">
            <w:drawing>
              <wp:anchor distT="0" distB="0" distL="114300" distR="114300" simplePos="0" relativeHeight="251667456" behindDoc="0" locked="0" layoutInCell="1" allowOverlap="1">
                <wp:simplePos x="0" y="0"/>
                <wp:positionH relativeFrom="column">
                  <wp:posOffset>2012950</wp:posOffset>
                </wp:positionH>
                <wp:positionV relativeFrom="paragraph">
                  <wp:posOffset>118745</wp:posOffset>
                </wp:positionV>
                <wp:extent cx="236220" cy="169545"/>
                <wp:effectExtent l="0" t="1270" r="0" b="635"/>
                <wp:wrapNone/>
                <wp:docPr id="14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0" w:lineRule="auto"/>
                              <w:ind w:left="20"/>
                              <w:rPr>
                                <w:rFonts w:ascii="宋体" w:eastAsia="宋体" w:hAnsi="宋体" w:cs="宋体"/>
                                <w:sz w:val="19"/>
                                <w:szCs w:val="19"/>
                              </w:rPr>
                            </w:pPr>
                            <w:r>
                              <w:rPr>
                                <w:rFonts w:ascii="宋体" w:eastAsia="宋体" w:hAnsi="宋体" w:cs="宋体"/>
                                <w:spacing w:val="-19"/>
                                <w:w w:val="97"/>
                                <w:sz w:val="19"/>
                                <w:szCs w:val="19"/>
                              </w:rPr>
                              <w:t>结构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8" type="#_x0000_t202" style="position:absolute;left:0;text-align:left;margin-left:158.5pt;margin-top:9.35pt;width:18.6pt;height: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GpsA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" filled="f" stroked="f">
                <v:textbox inset="0,0,0,0">
                  <w:txbxContent>
                    <w:p w:rsidR="00E86C16" w:rsidRDefault="00E86C16">
                      <w:pPr>
                        <w:spacing w:before="20" w:line="220" w:lineRule="auto"/>
                        <w:ind w:left="20"/>
                        <w:rPr>
                          <w:rFonts w:ascii="宋体" w:eastAsia="宋体" w:hAnsi="宋体" w:cs="宋体"/>
                          <w:sz w:val="19"/>
                          <w:szCs w:val="19"/>
                        </w:rPr>
                      </w:pPr>
                      <w:r>
                        <w:rPr>
                          <w:rFonts w:ascii="宋体" w:eastAsia="宋体" w:hAnsi="宋体" w:cs="宋体"/>
                          <w:spacing w:val="-19"/>
                          <w:w w:val="97"/>
                          <w:sz w:val="19"/>
                          <w:szCs w:val="19"/>
                        </w:rPr>
                        <w:t>结构</w:t>
                      </w:r>
                    </w:p>
                  </w:txbxContent>
                </v:textbox>
              </v:shape>
            </w:pict>
          </mc:Fallback>
        </mc:AlternateContent>
      </w:r>
      <w:r w:rsidR="00E86C16">
        <w:rPr>
          <w:rFonts w:ascii="宋体" w:eastAsia="宋体" w:hAnsi="宋体" w:cs="宋体"/>
          <w:spacing w:val="11"/>
          <w:sz w:val="14"/>
          <w:szCs w:val="14"/>
        </w:rPr>
        <w:t>表面面积的增加</w:t>
      </w:r>
      <w:r w:rsidR="00E86C16">
        <w:rPr>
          <w:rFonts w:ascii="宋体" w:eastAsia="宋体" w:hAnsi="宋体" w:cs="宋体"/>
          <w:spacing w:val="2"/>
          <w:sz w:val="14"/>
          <w:szCs w:val="14"/>
        </w:rPr>
        <w:t xml:space="preserve"> </w:t>
      </w:r>
      <w:r w:rsidR="00E86C16">
        <w:rPr>
          <w:rFonts w:ascii="宋体" w:eastAsia="宋体" w:hAnsi="宋体" w:cs="宋体"/>
          <w:spacing w:val="20"/>
          <w:sz w:val="14"/>
          <w:szCs w:val="14"/>
        </w:rPr>
        <w:t>(与圆柱体相比)</w:t>
      </w:r>
    </w:p>
    <w:p w:rsidR="00EA40A3" w:rsidRDefault="00825D12">
      <w:pPr>
        <w:spacing w:before="56" w:line="5780" w:lineRule="exact"/>
        <w:ind w:firstLine="849"/>
        <w:textAlignment w:val="center"/>
      </w:pPr>
      <w:r>
        <w:rPr>
          <w:noProof/>
        </w:rPr>
        <mc:AlternateContent>
          <mc:Choice Requires="wpg">
            <w:drawing>
              <wp:inline distT="0" distB="0" distL="0" distR="0">
                <wp:extent cx="2279650" cy="3670935"/>
                <wp:effectExtent l="8890" t="0" r="0" b="0"/>
                <wp:docPr id="1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0" cy="3670935"/>
                          <a:chOff x="0" y="0"/>
                          <a:chExt cx="3590" cy="5780"/>
                        </a:xfrm>
                      </wpg:grpSpPr>
                      <pic:pic xmlns:pic="http://schemas.openxmlformats.org/drawingml/2006/picture">
                        <pic:nvPicPr>
                          <pic:cNvPr id="145"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50" y="0"/>
                            <a:ext cx="2840" cy="5780"/>
                          </a:xfrm>
                          <a:prstGeom prst="rect">
                            <a:avLst/>
                          </a:prstGeom>
                          <a:noFill/>
                          <a:extLst>
                            <a:ext uri="{909E8E84-426E-40DD-AFC4-6F175D3DCCD1}">
                              <a14:hiddenFill xmlns:a14="http://schemas.microsoft.com/office/drawing/2010/main">
                                <a:solidFill>
                                  <a:srgbClr val="FFFFFF"/>
                                </a:solidFill>
                              </a14:hiddenFill>
                            </a:ext>
                          </a:extLst>
                        </pic:spPr>
                      </pic:pic>
                      <wps:wsp>
                        <wps:cNvPr id="146" name="Text Box 19"/>
                        <wps:cNvSpPr txBox="1">
                          <a:spLocks noChangeArrowheads="1"/>
                        </wps:cNvSpPr>
                        <wps:spPr bwMode="auto">
                          <a:xfrm>
                            <a:off x="-20" y="382"/>
                            <a:ext cx="3341" cy="4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183" w:lineRule="auto"/>
                                <w:ind w:right="19"/>
                                <w:jc w:val="right"/>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4cm²</w:t>
                              </w:r>
                            </w:p>
                            <w:p w:rsidR="00E86C16" w:rsidRDefault="00E86C16">
                              <w:pPr>
                                <w:spacing w:line="218" w:lineRule="auto"/>
                                <w:ind w:left="20"/>
                                <w:rPr>
                                  <w:rFonts w:ascii="宋体" w:eastAsia="宋体" w:hAnsi="宋体" w:cs="宋体"/>
                                  <w:sz w:val="14"/>
                                  <w:szCs w:val="14"/>
                                </w:rPr>
                              </w:pPr>
                              <w:r>
                                <w:rPr>
                                  <w:rFonts w:ascii="宋体" w:eastAsia="宋体" w:hAnsi="宋体" w:cs="宋体"/>
                                  <w:spacing w:val="12"/>
                                  <w:sz w:val="14"/>
                                  <w:szCs w:val="14"/>
                                </w:rPr>
                                <w:t>简单圆柱体的面积</w:t>
                              </w:r>
                            </w:p>
                            <w:p w:rsidR="00E86C16" w:rsidRDefault="00E86C16">
                              <w:pPr>
                                <w:spacing w:before="261" w:line="188" w:lineRule="auto"/>
                                <w:ind w:left="2179"/>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280cm²</w:t>
                              </w:r>
                            </w:p>
                            <w:p w:rsidR="00E86C16" w:rsidRDefault="00E86C16">
                              <w:pPr>
                                <w:spacing w:line="432" w:lineRule="auto"/>
                              </w:pPr>
                            </w:p>
                            <w:p w:rsidR="00E86C16" w:rsidRDefault="00E86C16">
                              <w:pPr>
                                <w:spacing w:before="40" w:line="189" w:lineRule="auto"/>
                                <w:ind w:left="1739"/>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AA4</w:t>
                              </w:r>
                            </w:p>
                            <w:p w:rsidR="00E86C16" w:rsidRDefault="00E86C16">
                              <w:pPr>
                                <w:spacing w:before="41" w:line="201" w:lineRule="auto"/>
                                <w:ind w:left="29"/>
                                <w:rPr>
                                  <w:rFonts w:ascii="宋体" w:eastAsia="宋体" w:hAnsi="宋体" w:cs="宋体"/>
                                  <w:sz w:val="13"/>
                                  <w:szCs w:val="13"/>
                                </w:rPr>
                              </w:pPr>
                              <w:r>
                                <w:rPr>
                                  <w:rFonts w:ascii="宋体" w:eastAsia="宋体" w:hAnsi="宋体" w:cs="宋体"/>
                                  <w:sz w:val="13"/>
                                  <w:szCs w:val="13"/>
                                </w:rPr>
                                <w:t>Kerkring</w:t>
                              </w:r>
                              <w:r>
                                <w:rPr>
                                  <w:rFonts w:ascii="宋体" w:eastAsia="宋体" w:hAnsi="宋体" w:cs="宋体"/>
                                  <w:spacing w:val="24"/>
                                  <w:sz w:val="13"/>
                                  <w:szCs w:val="13"/>
                                </w:rPr>
                                <w:t>皱</w:t>
                              </w:r>
                              <w:r>
                                <w:rPr>
                                  <w:rFonts w:ascii="宋体" w:eastAsia="宋体" w:hAnsi="宋体" w:cs="宋体"/>
                                  <w:spacing w:val="-7"/>
                                  <w:sz w:val="13"/>
                                  <w:szCs w:val="13"/>
                                </w:rPr>
                                <w:t xml:space="preserve"> </w:t>
                              </w:r>
                              <w:r>
                                <w:rPr>
                                  <w:rFonts w:ascii="宋体" w:eastAsia="宋体" w:hAnsi="宋体" w:cs="宋体"/>
                                  <w:spacing w:val="24"/>
                                  <w:sz w:val="13"/>
                                  <w:szCs w:val="13"/>
                                </w:rPr>
                                <w:t>褶</w:t>
                              </w:r>
                            </w:p>
                            <w:p w:rsidR="00E86C16" w:rsidRDefault="00E86C16">
                              <w:pPr>
                                <w:spacing w:line="188" w:lineRule="auto"/>
                                <w:ind w:left="109"/>
                                <w:rPr>
                                  <w:rFonts w:ascii="宋体" w:eastAsia="宋体" w:hAnsi="宋体" w:cs="宋体"/>
                                  <w:sz w:val="18"/>
                                  <w:szCs w:val="18"/>
                                </w:rPr>
                              </w:pPr>
                              <w:r>
                                <w:rPr>
                                  <w:rFonts w:ascii="宋体" w:eastAsia="宋体" w:hAnsi="宋体" w:cs="宋体"/>
                                  <w:spacing w:val="-13"/>
                                  <w:w w:val="93"/>
                                  <w:sz w:val="18"/>
                                  <w:szCs w:val="18"/>
                                </w:rPr>
                                <w:t>(环状皱褶)</w:t>
                              </w:r>
                            </w:p>
                            <w:p w:rsidR="00E86C16" w:rsidRDefault="00E86C16">
                              <w:pPr>
                                <w:spacing w:line="228" w:lineRule="exact"/>
                                <w:ind w:left="2190"/>
                                <w:rPr>
                                  <w:rFonts w:ascii="宋体" w:eastAsia="宋体" w:hAnsi="宋体" w:cs="宋体"/>
                                  <w:sz w:val="17"/>
                                  <w:szCs w:val="17"/>
                                </w:rPr>
                              </w:pPr>
                              <w:r>
                                <w:rPr>
                                  <w:rFonts w:ascii="宋体" w:eastAsia="宋体" w:hAnsi="宋体" w:cs="宋体"/>
                                  <w:spacing w:val="-15"/>
                                  <w:w w:val="81"/>
                                  <w:sz w:val="17"/>
                                  <w:szCs w:val="17"/>
                                </w:rPr>
                                <w:t>△△A△△</w:t>
                              </w:r>
                            </w:p>
                            <w:p w:rsidR="00E86C16" w:rsidRDefault="00E86C16">
                              <w:pPr>
                                <w:spacing w:line="359" w:lineRule="auto"/>
                              </w:pPr>
                            </w:p>
                            <w:p w:rsidR="00E86C16" w:rsidRDefault="00E86C16">
                              <w:pPr>
                                <w:spacing w:line="360" w:lineRule="auto"/>
                              </w:pPr>
                            </w:p>
                            <w:p w:rsidR="00E86C16" w:rsidRDefault="00E86C16">
                              <w:pPr>
                                <w:spacing w:before="62" w:line="221" w:lineRule="auto"/>
                                <w:ind w:left="109"/>
                                <w:rPr>
                                  <w:rFonts w:ascii="宋体" w:eastAsia="宋体" w:hAnsi="宋体" w:cs="宋体"/>
                                  <w:sz w:val="19"/>
                                  <w:szCs w:val="19"/>
                                </w:rPr>
                              </w:pPr>
                              <w:r>
                                <w:rPr>
                                  <w:rFonts w:ascii="宋体" w:eastAsia="宋体" w:hAnsi="宋体" w:cs="宋体"/>
                                  <w:spacing w:val="-16"/>
                                  <w:sz w:val="19"/>
                                  <w:szCs w:val="19"/>
                                </w:rPr>
                                <w:t>绒毛</w:t>
                              </w:r>
                            </w:p>
                            <w:p w:rsidR="00E86C16" w:rsidRDefault="00E86C16">
                              <w:pPr>
                                <w:spacing w:line="300" w:lineRule="auto"/>
                              </w:pPr>
                            </w:p>
                            <w:p w:rsidR="00E86C16" w:rsidRDefault="00E86C16">
                              <w:pPr>
                                <w:spacing w:line="230" w:lineRule="exact"/>
                                <w:ind w:left="1329"/>
                              </w:pPr>
                              <w:r>
                                <w:rPr>
                                  <w:noProof/>
                                  <w:position w:val="-5"/>
                                </w:rPr>
                                <w:drawing>
                                  <wp:inline distT="0" distB="0" distL="0" distR="0">
                                    <wp:extent cx="76200" cy="14541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1"/>
                                            <a:stretch>
                                              <a:fillRect/>
                                            </a:stretch>
                                          </pic:blipFill>
                                          <pic:spPr>
                                            <a:xfrm>
                                              <a:off x="0" y="0"/>
                                              <a:ext cx="76228" cy="146002"/>
                                            </a:xfrm>
                                            <a:prstGeom prst="rect">
                                              <a:avLst/>
                                            </a:prstGeom>
                                          </pic:spPr>
                                        </pic:pic>
                                      </a:graphicData>
                                    </a:graphic>
                                  </wp:inline>
                                </w:drawing>
                              </w:r>
                            </w:p>
                            <w:p w:rsidR="00E86C16" w:rsidRDefault="00E86C16">
                              <w:pPr>
                                <w:spacing w:line="302" w:lineRule="auto"/>
                              </w:pPr>
                            </w:p>
                            <w:p w:rsidR="00E86C16" w:rsidRDefault="00E86C16">
                              <w:pPr>
                                <w:spacing w:before="105" w:line="196" w:lineRule="auto"/>
                                <w:ind w:left="1390"/>
                                <w:rPr>
                                  <w:sz w:val="36"/>
                                  <w:szCs w:val="36"/>
                                </w:rPr>
                              </w:pPr>
                              <w:r>
                                <w:rPr>
                                  <w:spacing w:val="-7"/>
                                  <w:sz w:val="36"/>
                                  <w:szCs w:val="36"/>
                                </w:rPr>
                                <w:t>MM</w:t>
                              </w:r>
                            </w:p>
                            <w:p w:rsidR="00E86C16" w:rsidRDefault="00E86C16">
                              <w:pPr>
                                <w:spacing w:before="61" w:line="219" w:lineRule="auto"/>
                                <w:ind w:left="109"/>
                                <w:rPr>
                                  <w:rFonts w:ascii="宋体" w:eastAsia="宋体" w:hAnsi="宋体" w:cs="宋体"/>
                                  <w:sz w:val="19"/>
                                  <w:szCs w:val="19"/>
                                </w:rPr>
                              </w:pPr>
                              <w:r>
                                <w:rPr>
                                  <w:rFonts w:ascii="宋体" w:eastAsia="宋体" w:hAnsi="宋体" w:cs="宋体"/>
                                  <w:spacing w:val="-15"/>
                                  <w:w w:val="95"/>
                                  <w:sz w:val="19"/>
                                  <w:szCs w:val="19"/>
                                </w:rPr>
                                <w:t>微绒毛</w:t>
                              </w:r>
                            </w:p>
                          </w:txbxContent>
                        </wps:txbx>
                        <wps:bodyPr rot="0" vert="horz" wrap="square" lIns="0" tIns="0" rIns="0" bIns="0" anchor="t" anchorCtr="0" upright="1">
                          <a:noAutofit/>
                        </wps:bodyPr>
                      </wps:wsp>
                    </wpg:wgp>
                  </a:graphicData>
                </a:graphic>
              </wp:inline>
            </w:drawing>
          </mc:Choice>
          <mc:Fallback>
            <w:pict>
              <v:group id="Group 17" o:spid="_x0000_s1039" style="width:179.5pt;height:289.05pt;mso-position-horizontal-relative:char;mso-position-vertical-relative:line" coordsize="3590,5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">
                <v:shape id="Picture 18" o:spid="_x0000_s1040" type="#_x0000_t75" style="position:absolute;left:750;width:2840;height:5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">
                  <v:imagedata r:id="rId32" o:title=""/>
                </v:shape>
                <v:shape id="Text Box 19" o:spid="_x0000_s1041" type="#_x0000_t202" style="position:absolute;left:-20;top:382;width:3341;height:4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E86C16" w:rsidRDefault="00E86C16">
                        <w:pPr>
                          <w:spacing w:before="20" w:line="183" w:lineRule="auto"/>
                          <w:ind w:right="19"/>
                          <w:jc w:val="right"/>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4cm²</w:t>
                        </w:r>
                      </w:p>
                      <w:p w:rsidR="00E86C16" w:rsidRDefault="00E86C16">
                        <w:pPr>
                          <w:spacing w:line="218" w:lineRule="auto"/>
                          <w:ind w:left="20"/>
                          <w:rPr>
                            <w:rFonts w:ascii="宋体" w:eastAsia="宋体" w:hAnsi="宋体" w:cs="宋体"/>
                            <w:sz w:val="14"/>
                            <w:szCs w:val="14"/>
                          </w:rPr>
                        </w:pPr>
                        <w:r>
                          <w:rPr>
                            <w:rFonts w:ascii="宋体" w:eastAsia="宋体" w:hAnsi="宋体" w:cs="宋体"/>
                            <w:spacing w:val="12"/>
                            <w:sz w:val="14"/>
                            <w:szCs w:val="14"/>
                          </w:rPr>
                          <w:t>简单圆柱体的面积</w:t>
                        </w:r>
                      </w:p>
                      <w:p w:rsidR="00E86C16" w:rsidRDefault="00E86C16">
                        <w:pPr>
                          <w:spacing w:before="261" w:line="188" w:lineRule="auto"/>
                          <w:ind w:left="2179"/>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280cm²</w:t>
                        </w:r>
                      </w:p>
                      <w:p w:rsidR="00E86C16" w:rsidRDefault="00E86C16">
                        <w:pPr>
                          <w:spacing w:line="432" w:lineRule="auto"/>
                        </w:pPr>
                      </w:p>
                      <w:p w:rsidR="00E86C16" w:rsidRDefault="00E86C16">
                        <w:pPr>
                          <w:spacing w:before="40" w:line="189" w:lineRule="auto"/>
                          <w:ind w:left="1739"/>
                          <w:rPr>
                            <w:rFonts w:ascii="Times New Roman" w:eastAsia="Times New Roman" w:hAnsi="Times New Roman" w:cs="Times New Roman"/>
                            <w:sz w:val="14"/>
                            <w:szCs w:val="14"/>
                          </w:rPr>
                        </w:pPr>
                        <w:r>
                          <w:rPr>
                            <w:rFonts w:ascii="Times New Roman" w:eastAsia="Times New Roman" w:hAnsi="Times New Roman" w:cs="Times New Roman"/>
                            <w:spacing w:val="-1"/>
                            <w:sz w:val="14"/>
                            <w:szCs w:val="14"/>
                          </w:rPr>
                          <w:t>AA4</w:t>
                        </w:r>
                      </w:p>
                      <w:p w:rsidR="00E86C16" w:rsidRDefault="00E86C16">
                        <w:pPr>
                          <w:spacing w:before="41" w:line="201" w:lineRule="auto"/>
                          <w:ind w:left="29"/>
                          <w:rPr>
                            <w:rFonts w:ascii="宋体" w:eastAsia="宋体" w:hAnsi="宋体" w:cs="宋体"/>
                            <w:sz w:val="13"/>
                            <w:szCs w:val="13"/>
                          </w:rPr>
                        </w:pPr>
                        <w:r>
                          <w:rPr>
                            <w:rFonts w:ascii="宋体" w:eastAsia="宋体" w:hAnsi="宋体" w:cs="宋体"/>
                            <w:sz w:val="13"/>
                            <w:szCs w:val="13"/>
                          </w:rPr>
                          <w:t>Kerkring</w:t>
                        </w:r>
                        <w:r>
                          <w:rPr>
                            <w:rFonts w:ascii="宋体" w:eastAsia="宋体" w:hAnsi="宋体" w:cs="宋体"/>
                            <w:spacing w:val="24"/>
                            <w:sz w:val="13"/>
                            <w:szCs w:val="13"/>
                          </w:rPr>
                          <w:t>皱</w:t>
                        </w:r>
                        <w:r>
                          <w:rPr>
                            <w:rFonts w:ascii="宋体" w:eastAsia="宋体" w:hAnsi="宋体" w:cs="宋体"/>
                            <w:spacing w:val="-7"/>
                            <w:sz w:val="13"/>
                            <w:szCs w:val="13"/>
                          </w:rPr>
                          <w:t xml:space="preserve"> </w:t>
                        </w:r>
                        <w:r>
                          <w:rPr>
                            <w:rFonts w:ascii="宋体" w:eastAsia="宋体" w:hAnsi="宋体" w:cs="宋体"/>
                            <w:spacing w:val="24"/>
                            <w:sz w:val="13"/>
                            <w:szCs w:val="13"/>
                          </w:rPr>
                          <w:t>褶</w:t>
                        </w:r>
                      </w:p>
                      <w:p w:rsidR="00E86C16" w:rsidRDefault="00E86C16">
                        <w:pPr>
                          <w:spacing w:line="188" w:lineRule="auto"/>
                          <w:ind w:left="109"/>
                          <w:rPr>
                            <w:rFonts w:ascii="宋体" w:eastAsia="宋体" w:hAnsi="宋体" w:cs="宋体"/>
                            <w:sz w:val="18"/>
                            <w:szCs w:val="18"/>
                          </w:rPr>
                        </w:pPr>
                        <w:r>
                          <w:rPr>
                            <w:rFonts w:ascii="宋体" w:eastAsia="宋体" w:hAnsi="宋体" w:cs="宋体"/>
                            <w:spacing w:val="-13"/>
                            <w:w w:val="93"/>
                            <w:sz w:val="18"/>
                            <w:szCs w:val="18"/>
                          </w:rPr>
                          <w:t>(环状皱褶)</w:t>
                        </w:r>
                      </w:p>
                      <w:p w:rsidR="00E86C16" w:rsidRDefault="00E86C16">
                        <w:pPr>
                          <w:spacing w:line="228" w:lineRule="exact"/>
                          <w:ind w:left="2190"/>
                          <w:rPr>
                            <w:rFonts w:ascii="宋体" w:eastAsia="宋体" w:hAnsi="宋体" w:cs="宋体"/>
                            <w:sz w:val="17"/>
                            <w:szCs w:val="17"/>
                          </w:rPr>
                        </w:pPr>
                        <w:r>
                          <w:rPr>
                            <w:rFonts w:ascii="宋体" w:eastAsia="宋体" w:hAnsi="宋体" w:cs="宋体"/>
                            <w:spacing w:val="-15"/>
                            <w:w w:val="81"/>
                            <w:sz w:val="17"/>
                            <w:szCs w:val="17"/>
                          </w:rPr>
                          <w:t>△△A△△</w:t>
                        </w:r>
                      </w:p>
                      <w:p w:rsidR="00E86C16" w:rsidRDefault="00E86C16">
                        <w:pPr>
                          <w:spacing w:line="359" w:lineRule="auto"/>
                        </w:pPr>
                      </w:p>
                      <w:p w:rsidR="00E86C16" w:rsidRDefault="00E86C16">
                        <w:pPr>
                          <w:spacing w:line="360" w:lineRule="auto"/>
                        </w:pPr>
                      </w:p>
                      <w:p w:rsidR="00E86C16" w:rsidRDefault="00E86C16">
                        <w:pPr>
                          <w:spacing w:before="62" w:line="221" w:lineRule="auto"/>
                          <w:ind w:left="109"/>
                          <w:rPr>
                            <w:rFonts w:ascii="宋体" w:eastAsia="宋体" w:hAnsi="宋体" w:cs="宋体"/>
                            <w:sz w:val="19"/>
                            <w:szCs w:val="19"/>
                          </w:rPr>
                        </w:pPr>
                        <w:r>
                          <w:rPr>
                            <w:rFonts w:ascii="宋体" w:eastAsia="宋体" w:hAnsi="宋体" w:cs="宋体"/>
                            <w:spacing w:val="-16"/>
                            <w:sz w:val="19"/>
                            <w:szCs w:val="19"/>
                          </w:rPr>
                          <w:t>绒毛</w:t>
                        </w:r>
                      </w:p>
                      <w:p w:rsidR="00E86C16" w:rsidRDefault="00E86C16">
                        <w:pPr>
                          <w:spacing w:line="300" w:lineRule="auto"/>
                        </w:pPr>
                      </w:p>
                      <w:p w:rsidR="00E86C16" w:rsidRDefault="00E86C16">
                        <w:pPr>
                          <w:spacing w:line="230" w:lineRule="exact"/>
                          <w:ind w:left="1329"/>
                        </w:pPr>
                        <w:r>
                          <w:rPr>
                            <w:noProof/>
                            <w:position w:val="-5"/>
                          </w:rPr>
                          <w:drawing>
                            <wp:inline distT="0" distB="0" distL="0" distR="0">
                              <wp:extent cx="76200" cy="14541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1"/>
                                      <a:stretch>
                                        <a:fillRect/>
                                      </a:stretch>
                                    </pic:blipFill>
                                    <pic:spPr>
                                      <a:xfrm>
                                        <a:off x="0" y="0"/>
                                        <a:ext cx="76228" cy="146002"/>
                                      </a:xfrm>
                                      <a:prstGeom prst="rect">
                                        <a:avLst/>
                                      </a:prstGeom>
                                    </pic:spPr>
                                  </pic:pic>
                                </a:graphicData>
                              </a:graphic>
                            </wp:inline>
                          </w:drawing>
                        </w:r>
                      </w:p>
                      <w:p w:rsidR="00E86C16" w:rsidRDefault="00E86C16">
                        <w:pPr>
                          <w:spacing w:line="302" w:lineRule="auto"/>
                        </w:pPr>
                      </w:p>
                      <w:p w:rsidR="00E86C16" w:rsidRDefault="00E86C16">
                        <w:pPr>
                          <w:spacing w:before="105" w:line="196" w:lineRule="auto"/>
                          <w:ind w:left="1390"/>
                          <w:rPr>
                            <w:sz w:val="36"/>
                            <w:szCs w:val="36"/>
                          </w:rPr>
                        </w:pPr>
                        <w:r>
                          <w:rPr>
                            <w:spacing w:val="-7"/>
                            <w:sz w:val="36"/>
                            <w:szCs w:val="36"/>
                          </w:rPr>
                          <w:t>MM</w:t>
                        </w:r>
                      </w:p>
                      <w:p w:rsidR="00E86C16" w:rsidRDefault="00E86C16">
                        <w:pPr>
                          <w:spacing w:before="61" w:line="219" w:lineRule="auto"/>
                          <w:ind w:left="109"/>
                          <w:rPr>
                            <w:rFonts w:ascii="宋体" w:eastAsia="宋体" w:hAnsi="宋体" w:cs="宋体"/>
                            <w:sz w:val="19"/>
                            <w:szCs w:val="19"/>
                          </w:rPr>
                        </w:pPr>
                        <w:r>
                          <w:rPr>
                            <w:rFonts w:ascii="宋体" w:eastAsia="宋体" w:hAnsi="宋体" w:cs="宋体"/>
                            <w:spacing w:val="-15"/>
                            <w:w w:val="95"/>
                            <w:sz w:val="19"/>
                            <w:szCs w:val="19"/>
                          </w:rPr>
                          <w:t>微绒毛</w:t>
                        </w:r>
                      </w:p>
                    </w:txbxContent>
                  </v:textbox>
                </v:shape>
                <w10:anchorlock/>
              </v:group>
            </w:pict>
          </mc:Fallback>
        </mc:AlternateContent>
      </w:r>
    </w:p>
    <w:p w:rsidR="00EA40A3" w:rsidRDefault="00E86C16">
      <w:pPr>
        <w:spacing w:before="178" w:line="184" w:lineRule="auto"/>
        <w:ind w:left="2739"/>
        <w:rPr>
          <w:rFonts w:ascii="宋体" w:eastAsia="宋体" w:hAnsi="宋体" w:cs="宋体"/>
          <w:sz w:val="19"/>
          <w:szCs w:val="19"/>
        </w:rPr>
      </w:pPr>
      <w:r>
        <w:rPr>
          <w:rFonts w:ascii="宋体" w:eastAsia="宋体" w:hAnsi="宋体" w:cs="宋体"/>
          <w:spacing w:val="-9"/>
          <w:sz w:val="19"/>
          <w:szCs w:val="19"/>
        </w:rPr>
        <w:t>图2-2</w:t>
      </w:r>
      <w:r>
        <w:rPr>
          <w:rFonts w:ascii="宋体" w:eastAsia="宋体" w:hAnsi="宋体" w:cs="宋体"/>
          <w:spacing w:val="74"/>
          <w:sz w:val="19"/>
          <w:szCs w:val="19"/>
        </w:rPr>
        <w:t xml:space="preserve"> </w:t>
      </w:r>
      <w:r>
        <w:rPr>
          <w:rFonts w:ascii="宋体" w:eastAsia="宋体" w:hAnsi="宋体" w:cs="宋体"/>
          <w:spacing w:val="-9"/>
          <w:sz w:val="19"/>
          <w:szCs w:val="19"/>
        </w:rPr>
        <w:t>小肠结构示意图</w:t>
      </w:r>
    </w:p>
    <w:p w:rsidR="00EA40A3" w:rsidRDefault="00E86C16">
      <w:pPr>
        <w:spacing w:line="14" w:lineRule="auto"/>
        <w:rPr>
          <w:sz w:val="2"/>
        </w:rPr>
      </w:pPr>
      <w:r>
        <w:rPr>
          <w:sz w:val="2"/>
          <w:szCs w:val="2"/>
        </w:rPr>
        <w:br w:type="column"/>
      </w:r>
    </w:p>
    <w:p w:rsidR="00EA40A3" w:rsidRDefault="00E86C16">
      <w:pPr>
        <w:spacing w:before="36" w:line="253" w:lineRule="exact"/>
        <w:rPr>
          <w:rFonts w:ascii="宋体" w:eastAsia="宋体" w:hAnsi="宋体" w:cs="宋体"/>
          <w:sz w:val="19"/>
          <w:szCs w:val="19"/>
        </w:rPr>
      </w:pPr>
      <w:r>
        <w:rPr>
          <w:rFonts w:ascii="宋体" w:eastAsia="宋体" w:hAnsi="宋体" w:cs="宋体"/>
          <w:spacing w:val="-14"/>
          <w:w w:val="94"/>
          <w:position w:val="4"/>
          <w:sz w:val="19"/>
          <w:szCs w:val="19"/>
        </w:rPr>
        <w:t>表面面积</w:t>
      </w:r>
    </w:p>
    <w:p w:rsidR="00EA40A3" w:rsidRDefault="00E86C16">
      <w:pPr>
        <w:spacing w:line="191" w:lineRule="auto"/>
        <w:ind w:left="139"/>
        <w:rPr>
          <w:rFonts w:ascii="Times New Roman" w:eastAsia="Times New Roman" w:hAnsi="Times New Roman" w:cs="Times New Roman"/>
          <w:sz w:val="14"/>
          <w:szCs w:val="14"/>
        </w:rPr>
      </w:pPr>
      <w:r>
        <w:rPr>
          <w:rFonts w:ascii="Times New Roman" w:eastAsia="Times New Roman" w:hAnsi="Times New Roman" w:cs="Times New Roman"/>
          <w:spacing w:val="-2"/>
          <w:sz w:val="14"/>
          <w:szCs w:val="14"/>
        </w:rPr>
        <w:t>(cm²)</w:t>
      </w:r>
    </w:p>
    <w:p w:rsidR="00EA40A3" w:rsidRDefault="00EA40A3">
      <w:pPr>
        <w:spacing w:line="241" w:lineRule="auto"/>
      </w:pPr>
    </w:p>
    <w:p w:rsidR="00EA40A3" w:rsidRDefault="00EA40A3">
      <w:pPr>
        <w:spacing w:line="242" w:lineRule="auto"/>
      </w:pPr>
    </w:p>
    <w:p w:rsidR="00EA40A3" w:rsidRDefault="00E86C16">
      <w:pPr>
        <w:spacing w:before="45" w:line="183" w:lineRule="auto"/>
        <w:ind w:left="49"/>
        <w:rPr>
          <w:rFonts w:ascii="宋体" w:eastAsia="宋体" w:hAnsi="宋体" w:cs="宋体"/>
          <w:sz w:val="14"/>
          <w:szCs w:val="14"/>
        </w:rPr>
      </w:pPr>
      <w:r>
        <w:rPr>
          <w:rFonts w:ascii="宋体" w:eastAsia="宋体" w:hAnsi="宋体" w:cs="宋体"/>
          <w:spacing w:val="-2"/>
          <w:sz w:val="14"/>
          <w:szCs w:val="14"/>
        </w:rPr>
        <w:t>3300</w:t>
      </w:r>
    </w:p>
    <w:p w:rsidR="00EA40A3" w:rsidRDefault="00EA40A3">
      <w:pPr>
        <w:spacing w:line="299" w:lineRule="auto"/>
      </w:pPr>
    </w:p>
    <w:p w:rsidR="00EA40A3" w:rsidRDefault="00EA40A3">
      <w:pPr>
        <w:spacing w:line="299" w:lineRule="auto"/>
      </w:pPr>
    </w:p>
    <w:p w:rsidR="00EA40A3" w:rsidRDefault="00EA40A3">
      <w:pPr>
        <w:spacing w:line="299" w:lineRule="auto"/>
      </w:pPr>
    </w:p>
    <w:p w:rsidR="00EA40A3" w:rsidRDefault="00EA40A3">
      <w:pPr>
        <w:spacing w:line="300" w:lineRule="auto"/>
      </w:pPr>
    </w:p>
    <w:p w:rsidR="00EA40A3" w:rsidRDefault="00E86C16">
      <w:pPr>
        <w:spacing w:before="46" w:line="184" w:lineRule="auto"/>
        <w:ind w:left="19"/>
        <w:rPr>
          <w:rFonts w:ascii="宋体" w:eastAsia="宋体" w:hAnsi="宋体" w:cs="宋体"/>
          <w:sz w:val="14"/>
          <w:szCs w:val="14"/>
        </w:rPr>
      </w:pPr>
      <w:r>
        <w:rPr>
          <w:rFonts w:ascii="宋体" w:eastAsia="宋体" w:hAnsi="宋体" w:cs="宋体"/>
          <w:spacing w:val="-3"/>
          <w:sz w:val="14"/>
          <w:szCs w:val="14"/>
        </w:rPr>
        <w:t>10000</w:t>
      </w:r>
    </w:p>
    <w:p w:rsidR="00EA40A3" w:rsidRDefault="00EA40A3">
      <w:pPr>
        <w:spacing w:line="275" w:lineRule="auto"/>
      </w:pPr>
    </w:p>
    <w:p w:rsidR="00EA40A3" w:rsidRDefault="00EA40A3">
      <w:pPr>
        <w:spacing w:line="275" w:lineRule="auto"/>
      </w:pPr>
    </w:p>
    <w:p w:rsidR="00EA40A3" w:rsidRDefault="00EA40A3">
      <w:pPr>
        <w:spacing w:line="275" w:lineRule="auto"/>
      </w:pPr>
    </w:p>
    <w:p w:rsidR="00EA40A3" w:rsidRDefault="00EA40A3">
      <w:pPr>
        <w:spacing w:line="275" w:lineRule="auto"/>
      </w:pPr>
    </w:p>
    <w:p w:rsidR="00EA40A3" w:rsidRDefault="00EA40A3">
      <w:pPr>
        <w:spacing w:line="276" w:lineRule="auto"/>
      </w:pPr>
    </w:p>
    <w:p w:rsidR="00EA40A3" w:rsidRDefault="00E86C16">
      <w:pPr>
        <w:spacing w:before="46" w:line="184" w:lineRule="auto"/>
        <w:ind w:left="89"/>
        <w:rPr>
          <w:rFonts w:ascii="宋体" w:eastAsia="宋体" w:hAnsi="宋体" w:cs="宋体"/>
          <w:sz w:val="14"/>
          <w:szCs w:val="14"/>
        </w:rPr>
      </w:pPr>
      <w:r>
        <w:rPr>
          <w:rFonts w:ascii="宋体" w:eastAsia="宋体" w:hAnsi="宋体" w:cs="宋体"/>
          <w:spacing w:val="-3"/>
          <w:sz w:val="14"/>
          <w:szCs w:val="14"/>
        </w:rPr>
        <w:t>100000</w:t>
      </w:r>
    </w:p>
    <w:p w:rsidR="00EA40A3" w:rsidRDefault="00EA40A3">
      <w:pPr>
        <w:spacing w:line="263" w:lineRule="auto"/>
      </w:pPr>
    </w:p>
    <w:p w:rsidR="00EA40A3" w:rsidRDefault="00EA40A3">
      <w:pPr>
        <w:spacing w:line="263" w:lineRule="auto"/>
      </w:pPr>
    </w:p>
    <w:p w:rsidR="00EA40A3" w:rsidRDefault="00EA40A3">
      <w:pPr>
        <w:spacing w:line="263" w:lineRule="auto"/>
      </w:pPr>
    </w:p>
    <w:p w:rsidR="00EA40A3" w:rsidRDefault="00EA40A3">
      <w:pPr>
        <w:spacing w:line="264" w:lineRule="auto"/>
      </w:pPr>
    </w:p>
    <w:p w:rsidR="00EA40A3" w:rsidRDefault="00EA40A3">
      <w:pPr>
        <w:spacing w:line="264" w:lineRule="auto"/>
      </w:pPr>
    </w:p>
    <w:p w:rsidR="00EA40A3" w:rsidRDefault="00E86C16">
      <w:pPr>
        <w:spacing w:before="46" w:line="183" w:lineRule="auto"/>
        <w:ind w:left="159"/>
        <w:rPr>
          <w:rFonts w:ascii="宋体" w:eastAsia="宋体" w:hAnsi="宋体" w:cs="宋体"/>
          <w:sz w:val="14"/>
          <w:szCs w:val="14"/>
        </w:rPr>
      </w:pPr>
      <w:r>
        <w:rPr>
          <w:rFonts w:ascii="宋体" w:eastAsia="宋体" w:hAnsi="宋体" w:cs="宋体"/>
          <w:spacing w:val="-1"/>
          <w:sz w:val="14"/>
          <w:szCs w:val="14"/>
        </w:rPr>
        <w:t>2000000</w:t>
      </w:r>
    </w:p>
    <w:p w:rsidR="00EA40A3" w:rsidRDefault="00EA40A3">
      <w:pPr>
        <w:sectPr w:rsidR="00EA40A3">
          <w:type w:val="continuous"/>
          <w:pgSz w:w="9220" w:h="13360"/>
          <w:pgMar w:top="400" w:right="1024" w:bottom="400" w:left="890" w:header="0" w:footer="0" w:gutter="0"/>
          <w:cols w:num="2" w:space="720" w:equalWidth="0">
            <w:col w:w="5611" w:space="100"/>
            <w:col w:w="1596"/>
          </w:cols>
        </w:sectPr>
      </w:pPr>
    </w:p>
    <w:p w:rsidR="00EA40A3" w:rsidRDefault="00E86C16">
      <w:pPr>
        <w:spacing w:before="289" w:line="275" w:lineRule="auto"/>
        <w:ind w:right="43"/>
        <w:rPr>
          <w:rFonts w:ascii="宋体" w:eastAsia="宋体" w:hAnsi="宋体" w:cs="宋体"/>
          <w:sz w:val="19"/>
          <w:szCs w:val="19"/>
        </w:rPr>
      </w:pPr>
      <w:r>
        <w:rPr>
          <w:rFonts w:ascii="宋体" w:eastAsia="宋体" w:hAnsi="宋体" w:cs="宋体"/>
          <w:spacing w:val="17"/>
          <w:sz w:val="19"/>
          <w:szCs w:val="19"/>
        </w:rPr>
        <w:t>胞的速度决定于它在脂质中的溶解度和分子大小，溶解度越大，透过越快；如果</w:t>
      </w:r>
      <w:r>
        <w:rPr>
          <w:rFonts w:ascii="宋体" w:eastAsia="宋体" w:hAnsi="宋体" w:cs="宋体"/>
          <w:spacing w:val="15"/>
          <w:sz w:val="19"/>
          <w:szCs w:val="19"/>
        </w:rPr>
        <w:t xml:space="preserve"> </w:t>
      </w:r>
      <w:r>
        <w:rPr>
          <w:rFonts w:ascii="宋体" w:eastAsia="宋体" w:hAnsi="宋体" w:cs="宋体"/>
          <w:spacing w:val="14"/>
          <w:sz w:val="19"/>
          <w:szCs w:val="19"/>
        </w:rPr>
        <w:t>在脂质中的溶解度相等，则较小的分子透过较快。</w:t>
      </w:r>
    </w:p>
    <w:p w:rsidR="00EA40A3" w:rsidRDefault="00E86C16">
      <w:pPr>
        <w:spacing w:before="47" w:line="279" w:lineRule="auto"/>
        <w:ind w:firstLine="439"/>
        <w:rPr>
          <w:rFonts w:ascii="宋体" w:eastAsia="宋体" w:hAnsi="宋体" w:cs="宋体"/>
          <w:sz w:val="19"/>
          <w:szCs w:val="19"/>
        </w:rPr>
      </w:pPr>
      <w:r>
        <w:rPr>
          <w:rFonts w:ascii="宋体" w:eastAsia="宋体" w:hAnsi="宋体" w:cs="宋体"/>
          <w:spacing w:val="19"/>
          <w:sz w:val="19"/>
          <w:szCs w:val="19"/>
        </w:rPr>
        <w:t>(2)易化扩散：指非脂溶性物质或亲水物质如</w:t>
      </w:r>
      <w:r>
        <w:rPr>
          <w:rFonts w:ascii="宋体" w:eastAsia="宋体" w:hAnsi="宋体" w:cs="宋体"/>
          <w:spacing w:val="-50"/>
          <w:sz w:val="19"/>
          <w:szCs w:val="19"/>
        </w:rPr>
        <w:t xml:space="preserve"> </w:t>
      </w:r>
      <w:r>
        <w:rPr>
          <w:rFonts w:ascii="宋体" w:eastAsia="宋体" w:hAnsi="宋体" w:cs="宋体"/>
          <w:sz w:val="19"/>
          <w:szCs w:val="19"/>
        </w:rPr>
        <w:t>Na</w:t>
      </w:r>
      <w:r>
        <w:rPr>
          <w:rFonts w:ascii="宋体" w:eastAsia="宋体" w:hAnsi="宋体" w:cs="宋体"/>
          <w:spacing w:val="19"/>
          <w:sz w:val="19"/>
          <w:szCs w:val="19"/>
        </w:rPr>
        <w:t>+、K+</w:t>
      </w:r>
      <w:r>
        <w:rPr>
          <w:rFonts w:ascii="宋体" w:eastAsia="宋体" w:hAnsi="宋体" w:cs="宋体"/>
          <w:spacing w:val="33"/>
          <w:sz w:val="19"/>
          <w:szCs w:val="19"/>
        </w:rPr>
        <w:t xml:space="preserve">  </w:t>
      </w:r>
      <w:r>
        <w:rPr>
          <w:rFonts w:ascii="宋体" w:eastAsia="宋体" w:hAnsi="宋体" w:cs="宋体"/>
          <w:spacing w:val="19"/>
          <w:sz w:val="19"/>
          <w:szCs w:val="19"/>
        </w:rPr>
        <w:t>等，不能透</w:t>
      </w:r>
      <w:r>
        <w:rPr>
          <w:rFonts w:ascii="宋体" w:eastAsia="宋体" w:hAnsi="宋体" w:cs="宋体"/>
          <w:spacing w:val="18"/>
          <w:sz w:val="19"/>
          <w:szCs w:val="19"/>
        </w:rPr>
        <w:t>过细胞</w:t>
      </w:r>
      <w:r>
        <w:rPr>
          <w:rFonts w:ascii="宋体" w:eastAsia="宋体" w:hAnsi="宋体" w:cs="宋体"/>
          <w:spacing w:val="1"/>
          <w:sz w:val="19"/>
          <w:szCs w:val="19"/>
        </w:rPr>
        <w:t xml:space="preserve"> </w:t>
      </w:r>
      <w:r>
        <w:rPr>
          <w:rFonts w:ascii="宋体" w:eastAsia="宋体" w:hAnsi="宋体" w:cs="宋体"/>
          <w:spacing w:val="16"/>
          <w:sz w:val="19"/>
          <w:szCs w:val="19"/>
        </w:rPr>
        <w:t>膜的双层脂类，需在细胞膜蛋白质的帮助下，由膜的高浓度一侧向低浓度一侧扩</w:t>
      </w:r>
      <w:r>
        <w:rPr>
          <w:rFonts w:ascii="宋体" w:eastAsia="宋体" w:hAnsi="宋体" w:cs="宋体"/>
          <w:spacing w:val="3"/>
          <w:sz w:val="19"/>
          <w:szCs w:val="19"/>
        </w:rPr>
        <w:t xml:space="preserve">  </w:t>
      </w:r>
      <w:r>
        <w:rPr>
          <w:rFonts w:ascii="宋体" w:eastAsia="宋体" w:hAnsi="宋体" w:cs="宋体"/>
          <w:spacing w:val="17"/>
          <w:sz w:val="19"/>
          <w:szCs w:val="19"/>
        </w:rPr>
        <w:t>散或转运的过程。与易化扩散有关的膜内转运系统和它们所转运的物质之间，具</w:t>
      </w:r>
      <w:r>
        <w:rPr>
          <w:rFonts w:ascii="宋体" w:eastAsia="宋体" w:hAnsi="宋体" w:cs="宋体"/>
          <w:spacing w:val="14"/>
          <w:sz w:val="19"/>
          <w:szCs w:val="19"/>
        </w:rPr>
        <w:t xml:space="preserve"> </w:t>
      </w:r>
      <w:r>
        <w:rPr>
          <w:rFonts w:ascii="宋体" w:eastAsia="宋体" w:hAnsi="宋体" w:cs="宋体"/>
          <w:spacing w:val="19"/>
          <w:sz w:val="19"/>
          <w:szCs w:val="19"/>
        </w:rPr>
        <w:t>有高度的结构特异性，即每一种蛋白质只能运转具有某种</w:t>
      </w:r>
      <w:r>
        <w:rPr>
          <w:rFonts w:ascii="宋体" w:eastAsia="宋体" w:hAnsi="宋体" w:cs="宋体"/>
          <w:spacing w:val="18"/>
          <w:sz w:val="19"/>
          <w:szCs w:val="19"/>
        </w:rPr>
        <w:t>特定化学结构的物质。</w:t>
      </w:r>
      <w:r>
        <w:rPr>
          <w:rFonts w:ascii="宋体" w:eastAsia="宋体" w:hAnsi="宋体" w:cs="宋体"/>
          <w:sz w:val="19"/>
          <w:szCs w:val="19"/>
        </w:rPr>
        <w:t xml:space="preserve"> </w:t>
      </w:r>
      <w:r>
        <w:rPr>
          <w:rFonts w:ascii="宋体" w:eastAsia="宋体" w:hAnsi="宋体" w:cs="宋体"/>
          <w:spacing w:val="17"/>
          <w:sz w:val="19"/>
          <w:szCs w:val="19"/>
        </w:rPr>
        <w:t>易化扩散的另一个特点是所谓的饱和现象，即扩散通量一般与浓度梯度的大小呈</w:t>
      </w:r>
      <w:r>
        <w:rPr>
          <w:rFonts w:ascii="宋体" w:eastAsia="宋体" w:hAnsi="宋体" w:cs="宋体"/>
          <w:spacing w:val="12"/>
          <w:sz w:val="19"/>
          <w:szCs w:val="19"/>
        </w:rPr>
        <w:t xml:space="preserve"> </w:t>
      </w:r>
      <w:r>
        <w:rPr>
          <w:rFonts w:ascii="宋体" w:eastAsia="宋体" w:hAnsi="宋体" w:cs="宋体"/>
          <w:spacing w:val="13"/>
          <w:sz w:val="19"/>
          <w:szCs w:val="19"/>
        </w:rPr>
        <w:t>正比，当浓度梯度增加到一定限度时，扩散通量就不再增加。</w:t>
      </w:r>
    </w:p>
    <w:p w:rsidR="00EA40A3" w:rsidRDefault="00E86C16">
      <w:pPr>
        <w:spacing w:before="73" w:line="256" w:lineRule="auto"/>
        <w:ind w:right="45" w:firstLine="439"/>
        <w:rPr>
          <w:rFonts w:ascii="宋体" w:eastAsia="宋体" w:hAnsi="宋体" w:cs="宋体"/>
          <w:sz w:val="19"/>
          <w:szCs w:val="19"/>
        </w:rPr>
      </w:pPr>
      <w:r>
        <w:rPr>
          <w:rFonts w:ascii="宋体" w:eastAsia="宋体" w:hAnsi="宋体" w:cs="宋体"/>
          <w:spacing w:val="19"/>
          <w:sz w:val="19"/>
          <w:szCs w:val="19"/>
        </w:rPr>
        <w:t>(3)滤过作用：胃肠黏膜的上皮细胞可以看作是滤过器，如果胃肠腔内</w:t>
      </w:r>
      <w:r>
        <w:rPr>
          <w:rFonts w:ascii="宋体" w:eastAsia="宋体" w:hAnsi="宋体" w:cs="宋体"/>
          <w:spacing w:val="18"/>
          <w:sz w:val="19"/>
          <w:szCs w:val="19"/>
        </w:rPr>
        <w:t>的压</w:t>
      </w:r>
      <w:r>
        <w:rPr>
          <w:rFonts w:ascii="宋体" w:eastAsia="宋体" w:hAnsi="宋体" w:cs="宋体"/>
          <w:sz w:val="19"/>
          <w:szCs w:val="19"/>
        </w:rPr>
        <w:t xml:space="preserve"> </w:t>
      </w:r>
      <w:r>
        <w:rPr>
          <w:rFonts w:ascii="宋体" w:eastAsia="宋体" w:hAnsi="宋体" w:cs="宋体"/>
          <w:spacing w:val="14"/>
          <w:sz w:val="19"/>
          <w:szCs w:val="19"/>
        </w:rPr>
        <w:t>力超过毛细血管时，水分和其他物质就可以滤入血液。</w:t>
      </w:r>
    </w:p>
    <w:p w:rsidR="00EA40A3" w:rsidRDefault="00E86C16">
      <w:pPr>
        <w:spacing w:before="75" w:line="255" w:lineRule="auto"/>
        <w:ind w:right="45" w:firstLine="439"/>
        <w:rPr>
          <w:rFonts w:ascii="宋体" w:eastAsia="宋体" w:hAnsi="宋体" w:cs="宋体"/>
          <w:sz w:val="19"/>
          <w:szCs w:val="19"/>
        </w:rPr>
      </w:pPr>
      <w:r>
        <w:rPr>
          <w:rFonts w:ascii="宋体" w:eastAsia="宋体" w:hAnsi="宋体" w:cs="宋体"/>
          <w:spacing w:val="19"/>
          <w:sz w:val="19"/>
          <w:szCs w:val="19"/>
        </w:rPr>
        <w:t>(4)渗透：渗透可看作是特殊情况下的扩散。当膜两侧产生不相等的渗</w:t>
      </w:r>
      <w:r>
        <w:rPr>
          <w:rFonts w:ascii="宋体" w:eastAsia="宋体" w:hAnsi="宋体" w:cs="宋体"/>
          <w:spacing w:val="18"/>
          <w:sz w:val="19"/>
          <w:szCs w:val="19"/>
        </w:rPr>
        <w:t>透压</w:t>
      </w:r>
      <w:r>
        <w:rPr>
          <w:rFonts w:ascii="宋体" w:eastAsia="宋体" w:hAnsi="宋体" w:cs="宋体"/>
          <w:sz w:val="19"/>
          <w:szCs w:val="19"/>
        </w:rPr>
        <w:t xml:space="preserve"> </w:t>
      </w:r>
      <w:r>
        <w:rPr>
          <w:rFonts w:ascii="宋体" w:eastAsia="宋体" w:hAnsi="宋体" w:cs="宋体"/>
          <w:spacing w:val="16"/>
          <w:sz w:val="19"/>
          <w:szCs w:val="19"/>
        </w:rPr>
        <w:t>时，渗透压较高的一侧将从另一侧吸引一部分水过来，以求达到渗透压的平衡。</w:t>
      </w:r>
    </w:p>
    <w:p w:rsidR="00EA40A3" w:rsidRDefault="00EA40A3">
      <w:pPr>
        <w:spacing w:line="419" w:lineRule="auto"/>
      </w:pPr>
    </w:p>
    <w:p w:rsidR="00EA40A3" w:rsidRDefault="00E86C16">
      <w:pPr>
        <w:spacing w:before="62" w:line="184" w:lineRule="auto"/>
        <w:ind w:left="150"/>
        <w:rPr>
          <w:rFonts w:ascii="宋体" w:eastAsia="宋体" w:hAnsi="宋体" w:cs="宋体"/>
          <w:sz w:val="19"/>
          <w:szCs w:val="19"/>
        </w:rPr>
      </w:pPr>
      <w:r>
        <w:rPr>
          <w:rFonts w:ascii="宋体" w:eastAsia="宋体" w:hAnsi="宋体" w:cs="宋体"/>
          <w:spacing w:val="-35"/>
          <w:sz w:val="19"/>
          <w:szCs w:val="19"/>
        </w:rPr>
        <w:t>·</w:t>
      </w:r>
      <w:r>
        <w:rPr>
          <w:rFonts w:ascii="宋体" w:eastAsia="宋体" w:hAnsi="宋体" w:cs="宋体"/>
          <w:spacing w:val="-9"/>
          <w:sz w:val="19"/>
          <w:szCs w:val="19"/>
        </w:rPr>
        <w:t xml:space="preserve"> </w:t>
      </w:r>
      <w:r>
        <w:rPr>
          <w:rFonts w:ascii="宋体" w:eastAsia="宋体" w:hAnsi="宋体" w:cs="宋体"/>
          <w:spacing w:val="-35"/>
          <w:sz w:val="19"/>
          <w:szCs w:val="19"/>
        </w:rPr>
        <w:t>24</w:t>
      </w:r>
      <w:r>
        <w:rPr>
          <w:rFonts w:ascii="宋体" w:eastAsia="宋体" w:hAnsi="宋体" w:cs="宋体"/>
          <w:spacing w:val="41"/>
          <w:sz w:val="19"/>
          <w:szCs w:val="19"/>
        </w:rPr>
        <w:t xml:space="preserve"> </w:t>
      </w:r>
      <w:r>
        <w:rPr>
          <w:rFonts w:ascii="宋体" w:eastAsia="宋体" w:hAnsi="宋体" w:cs="宋体"/>
          <w:spacing w:val="-35"/>
          <w:sz w:val="19"/>
          <w:szCs w:val="19"/>
        </w:rPr>
        <w:t>·</w:t>
      </w:r>
    </w:p>
    <w:p w:rsidR="00EA40A3" w:rsidRDefault="00EA40A3">
      <w:pPr>
        <w:sectPr w:rsidR="00EA40A3">
          <w:type w:val="continuous"/>
          <w:pgSz w:w="9220" w:h="13360"/>
          <w:pgMar w:top="400" w:right="1024" w:bottom="400" w:left="890" w:header="0" w:footer="0" w:gutter="0"/>
          <w:cols w:space="720" w:equalWidth="0">
            <w:col w:w="7306"/>
          </w:cols>
        </w:sectPr>
      </w:pPr>
    </w:p>
    <w:p w:rsidR="00EA40A3" w:rsidRDefault="00EA40A3">
      <w:pPr>
        <w:spacing w:line="301" w:lineRule="auto"/>
      </w:pPr>
    </w:p>
    <w:p w:rsidR="00EA40A3" w:rsidRDefault="00EA40A3">
      <w:pPr>
        <w:spacing w:line="301" w:lineRule="auto"/>
      </w:pPr>
    </w:p>
    <w:p w:rsidR="00EA40A3" w:rsidRDefault="00E86C16">
      <w:pPr>
        <w:spacing w:before="65" w:line="229" w:lineRule="auto"/>
        <w:rPr>
          <w:rFonts w:ascii="楷体" w:eastAsia="楷体" w:hAnsi="楷体" w:cs="楷体"/>
          <w:sz w:val="20"/>
          <w:szCs w:val="20"/>
        </w:rPr>
      </w:pPr>
      <w:bookmarkStart w:id="10" w:name="_bookmark14"/>
      <w:bookmarkEnd w:id="10"/>
      <w:r>
        <w:rPr>
          <w:rFonts w:ascii="楷体" w:eastAsia="楷体" w:hAnsi="楷体" w:cs="楷体"/>
          <w:spacing w:val="15"/>
          <w:sz w:val="20"/>
          <w:szCs w:val="20"/>
        </w:rPr>
        <w:t>2)主动转运</w:t>
      </w:r>
    </w:p>
    <w:p w:rsidR="00EA40A3" w:rsidRDefault="00E86C16">
      <w:pPr>
        <w:spacing w:before="54" w:line="271" w:lineRule="auto"/>
        <w:ind w:right="46" w:firstLine="410"/>
        <w:jc w:val="both"/>
        <w:rPr>
          <w:rFonts w:ascii="宋体" w:eastAsia="宋体" w:hAnsi="宋体" w:cs="宋体"/>
          <w:sz w:val="20"/>
          <w:szCs w:val="20"/>
        </w:rPr>
      </w:pPr>
      <w:r>
        <w:rPr>
          <w:rFonts w:ascii="宋体" w:eastAsia="宋体" w:hAnsi="宋体" w:cs="宋体"/>
          <w:spacing w:val="13"/>
          <w:sz w:val="20"/>
          <w:szCs w:val="20"/>
        </w:rPr>
        <w:t>在许多情况下，某种营养成分必须要逆着浓度梯</w:t>
      </w:r>
      <w:r>
        <w:rPr>
          <w:rFonts w:ascii="宋体" w:eastAsia="宋体" w:hAnsi="宋体" w:cs="宋体"/>
          <w:spacing w:val="12"/>
          <w:sz w:val="20"/>
          <w:szCs w:val="20"/>
        </w:rPr>
        <w:t>度(化学的或电荷的)的方</w:t>
      </w:r>
      <w:r>
        <w:rPr>
          <w:rFonts w:ascii="宋体" w:eastAsia="宋体" w:hAnsi="宋体" w:cs="宋体"/>
          <w:sz w:val="20"/>
          <w:szCs w:val="20"/>
        </w:rPr>
        <w:t xml:space="preserve"> </w:t>
      </w:r>
      <w:r>
        <w:rPr>
          <w:rFonts w:ascii="宋体" w:eastAsia="宋体" w:hAnsi="宋体" w:cs="宋体"/>
          <w:spacing w:val="7"/>
          <w:sz w:val="20"/>
          <w:szCs w:val="20"/>
        </w:rPr>
        <w:t>向穿过细胞膜，这个过程称主动转运。营养物</w:t>
      </w:r>
      <w:r>
        <w:rPr>
          <w:rFonts w:ascii="宋体" w:eastAsia="宋体" w:hAnsi="宋体" w:cs="宋体"/>
          <w:spacing w:val="6"/>
          <w:sz w:val="20"/>
          <w:szCs w:val="20"/>
        </w:rPr>
        <w:t>质的主动转运需要细胞上载体的协</w:t>
      </w:r>
      <w:r>
        <w:rPr>
          <w:rFonts w:ascii="宋体" w:eastAsia="宋体" w:hAnsi="宋体" w:cs="宋体"/>
          <w:sz w:val="20"/>
          <w:szCs w:val="20"/>
        </w:rPr>
        <w:t xml:space="preserve"> </w:t>
      </w:r>
      <w:r>
        <w:rPr>
          <w:rFonts w:ascii="宋体" w:eastAsia="宋体" w:hAnsi="宋体" w:cs="宋体"/>
          <w:spacing w:val="7"/>
          <w:sz w:val="20"/>
          <w:szCs w:val="20"/>
        </w:rPr>
        <w:t>助。所谓载体，是一种运输营养物质进出细胞</w:t>
      </w:r>
      <w:r>
        <w:rPr>
          <w:rFonts w:ascii="宋体" w:eastAsia="宋体" w:hAnsi="宋体" w:cs="宋体"/>
          <w:spacing w:val="6"/>
          <w:sz w:val="20"/>
          <w:szCs w:val="20"/>
        </w:rPr>
        <w:t>膜的脂蛋白。营养物质运转时，先</w:t>
      </w:r>
      <w:r>
        <w:rPr>
          <w:rFonts w:ascii="宋体" w:eastAsia="宋体" w:hAnsi="宋体" w:cs="宋体"/>
          <w:sz w:val="20"/>
          <w:szCs w:val="20"/>
        </w:rPr>
        <w:t xml:space="preserve"> </w:t>
      </w:r>
      <w:r>
        <w:rPr>
          <w:rFonts w:ascii="宋体" w:eastAsia="宋体" w:hAnsi="宋体" w:cs="宋体"/>
          <w:spacing w:val="7"/>
          <w:sz w:val="20"/>
          <w:szCs w:val="20"/>
        </w:rPr>
        <w:t>在细胞膜同载体结合成复合物，复合物通过细胞膜转运入上皮细胞时，营</w:t>
      </w:r>
      <w:r>
        <w:rPr>
          <w:rFonts w:ascii="宋体" w:eastAsia="宋体" w:hAnsi="宋体" w:cs="宋体"/>
          <w:spacing w:val="6"/>
          <w:sz w:val="20"/>
          <w:szCs w:val="20"/>
        </w:rPr>
        <w:t>养物质</w:t>
      </w:r>
      <w:r>
        <w:rPr>
          <w:rFonts w:ascii="宋体" w:eastAsia="宋体" w:hAnsi="宋体" w:cs="宋体"/>
          <w:sz w:val="20"/>
          <w:szCs w:val="20"/>
        </w:rPr>
        <w:t xml:space="preserve"> </w:t>
      </w:r>
      <w:r>
        <w:rPr>
          <w:rFonts w:ascii="宋体" w:eastAsia="宋体" w:hAnsi="宋体" w:cs="宋体"/>
          <w:spacing w:val="7"/>
          <w:sz w:val="20"/>
          <w:szCs w:val="20"/>
        </w:rPr>
        <w:t>与载体分离而释放入细胞中，而载体又转回到细胞膜的外表面</w:t>
      </w:r>
      <w:r>
        <w:rPr>
          <w:rFonts w:ascii="宋体" w:eastAsia="宋体" w:hAnsi="宋体" w:cs="宋体"/>
          <w:spacing w:val="6"/>
          <w:sz w:val="20"/>
          <w:szCs w:val="20"/>
        </w:rPr>
        <w:t>。主动转运的特点</w:t>
      </w:r>
      <w:r>
        <w:rPr>
          <w:rFonts w:ascii="宋体" w:eastAsia="宋体" w:hAnsi="宋体" w:cs="宋体"/>
          <w:sz w:val="20"/>
          <w:szCs w:val="20"/>
        </w:rPr>
        <w:t xml:space="preserve"> </w:t>
      </w:r>
      <w:r>
        <w:rPr>
          <w:rFonts w:ascii="宋体" w:eastAsia="宋体" w:hAnsi="宋体" w:cs="宋体"/>
          <w:spacing w:val="13"/>
          <w:sz w:val="20"/>
          <w:szCs w:val="20"/>
        </w:rPr>
        <w:t>是：载体在转运营养物质时，需有酶的催化和提</w:t>
      </w:r>
      <w:r>
        <w:rPr>
          <w:rFonts w:ascii="宋体" w:eastAsia="宋体" w:hAnsi="宋体" w:cs="宋体"/>
          <w:spacing w:val="12"/>
          <w:sz w:val="20"/>
          <w:szCs w:val="20"/>
        </w:rPr>
        <w:t>供能量，能量来自三磷酸腺苷</w:t>
      </w:r>
      <w:r>
        <w:rPr>
          <w:rFonts w:ascii="宋体" w:eastAsia="宋体" w:hAnsi="宋体" w:cs="宋体"/>
          <w:sz w:val="20"/>
          <w:szCs w:val="20"/>
        </w:rPr>
        <w:t xml:space="preserve"> </w:t>
      </w:r>
      <w:r>
        <w:rPr>
          <w:rFonts w:ascii="宋体" w:eastAsia="宋体" w:hAnsi="宋体" w:cs="宋体"/>
          <w:spacing w:val="7"/>
          <w:sz w:val="20"/>
          <w:szCs w:val="20"/>
        </w:rPr>
        <w:t>(</w:t>
      </w:r>
      <w:r>
        <w:rPr>
          <w:rFonts w:ascii="宋体" w:eastAsia="宋体" w:hAnsi="宋体" w:cs="宋体"/>
          <w:sz w:val="20"/>
          <w:szCs w:val="20"/>
        </w:rPr>
        <w:t>ATP</w:t>
      </w:r>
      <w:r>
        <w:rPr>
          <w:rFonts w:ascii="宋体" w:eastAsia="宋体" w:hAnsi="宋体" w:cs="宋体"/>
          <w:spacing w:val="7"/>
          <w:sz w:val="20"/>
          <w:szCs w:val="20"/>
        </w:rPr>
        <w:t>)</w:t>
      </w:r>
      <w:r>
        <w:rPr>
          <w:rFonts w:ascii="宋体" w:eastAsia="宋体" w:hAnsi="宋体" w:cs="宋体"/>
          <w:spacing w:val="48"/>
          <w:sz w:val="20"/>
          <w:szCs w:val="20"/>
        </w:rPr>
        <w:t xml:space="preserve">  </w:t>
      </w:r>
      <w:r>
        <w:rPr>
          <w:rFonts w:ascii="宋体" w:eastAsia="宋体" w:hAnsi="宋体" w:cs="宋体"/>
          <w:spacing w:val="7"/>
          <w:sz w:val="20"/>
          <w:szCs w:val="20"/>
        </w:rPr>
        <w:t>的分解；这一转运系统可以饱和，且最大转运量可被抑制；载体系统有</w:t>
      </w:r>
      <w:r>
        <w:rPr>
          <w:rFonts w:ascii="宋体" w:eastAsia="宋体" w:hAnsi="宋体" w:cs="宋体"/>
          <w:spacing w:val="1"/>
          <w:sz w:val="20"/>
          <w:szCs w:val="20"/>
        </w:rPr>
        <w:t xml:space="preserve"> </w:t>
      </w:r>
      <w:r>
        <w:rPr>
          <w:rFonts w:ascii="宋体" w:eastAsia="宋体" w:hAnsi="宋体" w:cs="宋体"/>
          <w:spacing w:val="8"/>
          <w:sz w:val="20"/>
          <w:szCs w:val="20"/>
        </w:rPr>
        <w:t>特异性，即细胞膜上存在着几种不同的载体系统，每一系统只运</w:t>
      </w:r>
      <w:r>
        <w:rPr>
          <w:rFonts w:ascii="宋体" w:eastAsia="宋体" w:hAnsi="宋体" w:cs="宋体"/>
          <w:spacing w:val="7"/>
          <w:sz w:val="20"/>
          <w:szCs w:val="20"/>
        </w:rPr>
        <w:t>载某些特定的营</w:t>
      </w:r>
      <w:r>
        <w:rPr>
          <w:rFonts w:ascii="宋体" w:eastAsia="宋体" w:hAnsi="宋体" w:cs="宋体"/>
          <w:sz w:val="20"/>
          <w:szCs w:val="20"/>
        </w:rPr>
        <w:t xml:space="preserve"> </w:t>
      </w:r>
      <w:r>
        <w:rPr>
          <w:rFonts w:ascii="宋体" w:eastAsia="宋体" w:hAnsi="宋体" w:cs="宋体"/>
          <w:spacing w:val="-2"/>
          <w:sz w:val="20"/>
          <w:szCs w:val="20"/>
        </w:rPr>
        <w:t>养物质。</w:t>
      </w:r>
    </w:p>
    <w:p w:rsidR="00EA40A3" w:rsidRDefault="00E86C16">
      <w:pPr>
        <w:spacing w:before="250" w:line="264" w:lineRule="auto"/>
        <w:ind w:right="4205"/>
        <w:rPr>
          <w:rFonts w:ascii="楷体" w:eastAsia="楷体" w:hAnsi="楷体" w:cs="楷体"/>
          <w:sz w:val="20"/>
          <w:szCs w:val="20"/>
        </w:rPr>
      </w:pPr>
      <w:r>
        <w:rPr>
          <w:rFonts w:ascii="仿宋" w:eastAsia="仿宋" w:hAnsi="仿宋" w:cs="仿宋"/>
          <w:spacing w:val="2"/>
          <w:sz w:val="23"/>
          <w:szCs w:val="23"/>
        </w:rPr>
        <w:t>3.</w:t>
      </w:r>
      <w:r>
        <w:rPr>
          <w:rFonts w:ascii="仿宋" w:eastAsia="仿宋" w:hAnsi="仿宋" w:cs="仿宋"/>
          <w:spacing w:val="-20"/>
          <w:sz w:val="23"/>
          <w:szCs w:val="23"/>
        </w:rPr>
        <w:t xml:space="preserve"> </w:t>
      </w:r>
      <w:r>
        <w:rPr>
          <w:rFonts w:ascii="仿宋" w:eastAsia="仿宋" w:hAnsi="仿宋" w:cs="仿宋"/>
          <w:spacing w:val="2"/>
          <w:sz w:val="23"/>
          <w:szCs w:val="23"/>
        </w:rPr>
        <w:t>主要营养物质的消化和吸收</w:t>
      </w:r>
      <w:r>
        <w:rPr>
          <w:rFonts w:ascii="仿宋" w:eastAsia="仿宋" w:hAnsi="仿宋" w:cs="仿宋"/>
          <w:sz w:val="23"/>
          <w:szCs w:val="23"/>
        </w:rPr>
        <w:t xml:space="preserve"> </w:t>
      </w:r>
      <w:r>
        <w:rPr>
          <w:rFonts w:ascii="楷体" w:eastAsia="楷体" w:hAnsi="楷体" w:cs="楷体"/>
          <w:spacing w:val="14"/>
          <w:sz w:val="20"/>
          <w:szCs w:val="20"/>
        </w:rPr>
        <w:t>1)蛋白质的消化和吸收</w:t>
      </w:r>
    </w:p>
    <w:p w:rsidR="00EA40A3" w:rsidRDefault="00E86C16">
      <w:pPr>
        <w:spacing w:before="55" w:line="266" w:lineRule="auto"/>
        <w:ind w:right="52" w:firstLine="410"/>
        <w:rPr>
          <w:rFonts w:ascii="宋体" w:eastAsia="宋体" w:hAnsi="宋体" w:cs="宋体"/>
          <w:sz w:val="20"/>
          <w:szCs w:val="20"/>
        </w:rPr>
      </w:pPr>
      <w:r>
        <w:rPr>
          <w:rFonts w:ascii="宋体" w:eastAsia="宋体" w:hAnsi="宋体" w:cs="宋体"/>
          <w:spacing w:val="13"/>
          <w:sz w:val="20"/>
          <w:szCs w:val="20"/>
        </w:rPr>
        <w:t>(1)蛋白质在胃中的消化：蛋白质的消化自胃中开始。胃内分解蛋白质的</w:t>
      </w:r>
      <w:r>
        <w:rPr>
          <w:rFonts w:ascii="宋体" w:eastAsia="宋体" w:hAnsi="宋体" w:cs="宋体"/>
          <w:spacing w:val="2"/>
          <w:sz w:val="20"/>
          <w:szCs w:val="20"/>
        </w:rPr>
        <w:t xml:space="preserve">  </w:t>
      </w:r>
      <w:r>
        <w:rPr>
          <w:rFonts w:ascii="宋体" w:eastAsia="宋体" w:hAnsi="宋体" w:cs="宋体"/>
          <w:spacing w:val="7"/>
          <w:sz w:val="20"/>
          <w:szCs w:val="20"/>
        </w:rPr>
        <w:t>酶主要是胃蛋白酶，主要水解含芳香族氨基酸、蛋氨酸、亮氨酸等氨基酸残基的</w:t>
      </w:r>
      <w:r>
        <w:rPr>
          <w:rFonts w:ascii="宋体" w:eastAsia="宋体" w:hAnsi="宋体" w:cs="宋体"/>
          <w:spacing w:val="9"/>
          <w:sz w:val="20"/>
          <w:szCs w:val="20"/>
        </w:rPr>
        <w:t xml:space="preserve"> </w:t>
      </w:r>
      <w:r>
        <w:rPr>
          <w:rFonts w:ascii="宋体" w:eastAsia="宋体" w:hAnsi="宋体" w:cs="宋体"/>
          <w:spacing w:val="8"/>
          <w:sz w:val="20"/>
          <w:szCs w:val="20"/>
        </w:rPr>
        <w:t>蛋白质，把蛋白质分解为多肽。但由于胃蛋白酶的</w:t>
      </w:r>
      <w:r>
        <w:rPr>
          <w:rFonts w:ascii="宋体" w:eastAsia="宋体" w:hAnsi="宋体" w:cs="宋体"/>
          <w:spacing w:val="7"/>
          <w:sz w:val="20"/>
          <w:szCs w:val="20"/>
        </w:rPr>
        <w:t>消化作用较弱，且食物在胃内</w:t>
      </w:r>
      <w:r>
        <w:rPr>
          <w:rFonts w:ascii="宋体" w:eastAsia="宋体" w:hAnsi="宋体" w:cs="宋体"/>
          <w:sz w:val="20"/>
          <w:szCs w:val="20"/>
        </w:rPr>
        <w:t xml:space="preserve"> </w:t>
      </w:r>
      <w:r>
        <w:rPr>
          <w:rFonts w:ascii="宋体" w:eastAsia="宋体" w:hAnsi="宋体" w:cs="宋体"/>
          <w:spacing w:val="7"/>
          <w:sz w:val="20"/>
          <w:szCs w:val="20"/>
        </w:rPr>
        <w:t>停留的时间不是很长，所以蛋白质在胃中的消化很不完全，食物蛋白质的消化主</w:t>
      </w:r>
      <w:r>
        <w:rPr>
          <w:rFonts w:ascii="宋体" w:eastAsia="宋体" w:hAnsi="宋体" w:cs="宋体"/>
          <w:spacing w:val="5"/>
          <w:sz w:val="20"/>
          <w:szCs w:val="20"/>
        </w:rPr>
        <w:t xml:space="preserve"> </w:t>
      </w:r>
      <w:r>
        <w:rPr>
          <w:rFonts w:ascii="宋体" w:eastAsia="宋体" w:hAnsi="宋体" w:cs="宋体"/>
          <w:spacing w:val="-1"/>
          <w:sz w:val="20"/>
          <w:szCs w:val="20"/>
        </w:rPr>
        <w:t>要在小肠进行。</w:t>
      </w:r>
    </w:p>
    <w:p w:rsidR="00EA40A3" w:rsidRDefault="00E86C16">
      <w:pPr>
        <w:spacing w:before="58" w:line="263" w:lineRule="auto"/>
        <w:ind w:right="68" w:firstLine="410"/>
        <w:rPr>
          <w:rFonts w:ascii="宋体" w:eastAsia="宋体" w:hAnsi="宋体" w:cs="宋体"/>
          <w:sz w:val="20"/>
          <w:szCs w:val="20"/>
        </w:rPr>
      </w:pPr>
      <w:r>
        <w:rPr>
          <w:rFonts w:ascii="宋体" w:eastAsia="宋体" w:hAnsi="宋体" w:cs="宋体"/>
          <w:spacing w:val="9"/>
          <w:sz w:val="20"/>
          <w:szCs w:val="20"/>
        </w:rPr>
        <w:t xml:space="preserve">(2)蛋白质在小肠中的消化：食糜自胃中进入小肠后，蛋白质的不完全水解 </w:t>
      </w:r>
      <w:r>
        <w:rPr>
          <w:rFonts w:ascii="宋体" w:eastAsia="宋体" w:hAnsi="宋体" w:cs="宋体"/>
          <w:spacing w:val="10"/>
          <w:sz w:val="20"/>
          <w:szCs w:val="20"/>
        </w:rPr>
        <w:t>产物再经胰液中蛋白酶的作用，被分解为游离氨基酸和寡肽，</w:t>
      </w:r>
      <w:r>
        <w:rPr>
          <w:rFonts w:ascii="宋体" w:eastAsia="宋体" w:hAnsi="宋体" w:cs="宋体"/>
          <w:spacing w:val="9"/>
          <w:sz w:val="20"/>
          <w:szCs w:val="20"/>
        </w:rPr>
        <w:t>其中1/3为游离氨</w:t>
      </w:r>
      <w:r>
        <w:rPr>
          <w:rFonts w:ascii="宋体" w:eastAsia="宋体" w:hAnsi="宋体" w:cs="宋体"/>
          <w:sz w:val="20"/>
          <w:szCs w:val="20"/>
        </w:rPr>
        <w:t xml:space="preserve"> </w:t>
      </w:r>
      <w:r>
        <w:rPr>
          <w:rFonts w:ascii="宋体" w:eastAsia="宋体" w:hAnsi="宋体" w:cs="宋体"/>
          <w:spacing w:val="10"/>
          <w:sz w:val="20"/>
          <w:szCs w:val="20"/>
        </w:rPr>
        <w:t>基酸，2/3为寡肽。寡肽在小肠黏膜细胞的氨基肽酶的作用</w:t>
      </w:r>
      <w:r>
        <w:rPr>
          <w:rFonts w:ascii="宋体" w:eastAsia="宋体" w:hAnsi="宋体" w:cs="宋体"/>
          <w:spacing w:val="9"/>
          <w:sz w:val="20"/>
          <w:szCs w:val="20"/>
        </w:rPr>
        <w:t>下被分解为二肽，二</w:t>
      </w:r>
      <w:r>
        <w:rPr>
          <w:rFonts w:ascii="宋体" w:eastAsia="宋体" w:hAnsi="宋体" w:cs="宋体"/>
          <w:sz w:val="20"/>
          <w:szCs w:val="20"/>
        </w:rPr>
        <w:t xml:space="preserve"> </w:t>
      </w:r>
      <w:r>
        <w:rPr>
          <w:rFonts w:ascii="宋体" w:eastAsia="宋体" w:hAnsi="宋体" w:cs="宋体"/>
          <w:spacing w:val="6"/>
          <w:sz w:val="20"/>
          <w:szCs w:val="20"/>
        </w:rPr>
        <w:t>肽再经二肽酶的作用被分解成游离氨基酸。蛋白质的消化示意图见图2-3。</w:t>
      </w:r>
    </w:p>
    <w:p w:rsidR="00EA40A3" w:rsidRDefault="00E86C16">
      <w:pPr>
        <w:spacing w:before="132" w:line="219" w:lineRule="auto"/>
        <w:ind w:left="410"/>
        <w:rPr>
          <w:rFonts w:ascii="宋体" w:eastAsia="宋体" w:hAnsi="宋体" w:cs="宋体"/>
          <w:sz w:val="20"/>
          <w:szCs w:val="20"/>
        </w:rPr>
      </w:pPr>
      <w:r>
        <w:rPr>
          <w:rFonts w:ascii="宋体" w:eastAsia="宋体" w:hAnsi="宋体" w:cs="宋体"/>
          <w:spacing w:val="12"/>
          <w:sz w:val="20"/>
          <w:szCs w:val="20"/>
        </w:rPr>
        <w:t>(3)蛋白质的吸收：氨基酸的吸收主要在小肠上段进行，为主动转运过程。</w:t>
      </w:r>
    </w:p>
    <w:p w:rsidR="00EA40A3" w:rsidRDefault="00EA40A3">
      <w:pPr>
        <w:spacing w:line="33" w:lineRule="exact"/>
      </w:pPr>
    </w:p>
    <w:p w:rsidR="00EA40A3" w:rsidRDefault="00EA40A3">
      <w:pPr>
        <w:sectPr w:rsidR="00EA40A3">
          <w:pgSz w:w="9220" w:h="13360"/>
          <w:pgMar w:top="400" w:right="1010" w:bottom="400" w:left="890" w:header="0" w:footer="0" w:gutter="0"/>
          <w:cols w:space="720" w:equalWidth="0">
            <w:col w:w="7320"/>
          </w:cols>
        </w:sectPr>
      </w:pPr>
    </w:p>
    <w:p w:rsidR="00EA40A3" w:rsidRDefault="00E86C16">
      <w:pPr>
        <w:spacing w:before="39" w:line="280" w:lineRule="auto"/>
        <w:ind w:right="160"/>
        <w:jc w:val="both"/>
        <w:rPr>
          <w:rFonts w:ascii="宋体" w:eastAsia="宋体" w:hAnsi="宋体" w:cs="宋体"/>
          <w:sz w:val="20"/>
          <w:szCs w:val="20"/>
        </w:rPr>
      </w:pPr>
      <w:r>
        <w:rPr>
          <w:rFonts w:ascii="宋体" w:eastAsia="宋体" w:hAnsi="宋体" w:cs="宋体"/>
          <w:spacing w:val="7"/>
          <w:sz w:val="20"/>
          <w:szCs w:val="20"/>
        </w:rPr>
        <w:t>在小肠黏膜细胞膜上，存在着运载氨基酸</w:t>
      </w:r>
      <w:r>
        <w:rPr>
          <w:rFonts w:ascii="宋体" w:eastAsia="宋体" w:hAnsi="宋体" w:cs="宋体"/>
          <w:spacing w:val="1"/>
          <w:sz w:val="20"/>
          <w:szCs w:val="20"/>
        </w:rPr>
        <w:t xml:space="preserve"> </w:t>
      </w:r>
      <w:r>
        <w:rPr>
          <w:rFonts w:ascii="宋体" w:eastAsia="宋体" w:hAnsi="宋体" w:cs="宋体"/>
          <w:spacing w:val="9"/>
          <w:sz w:val="20"/>
          <w:szCs w:val="20"/>
        </w:rPr>
        <w:t>的载体，能与氨基酸和</w:t>
      </w:r>
      <w:r>
        <w:rPr>
          <w:rFonts w:ascii="宋体" w:eastAsia="宋体" w:hAnsi="宋体" w:cs="宋体"/>
          <w:sz w:val="20"/>
          <w:szCs w:val="20"/>
        </w:rPr>
        <w:t>Na</w:t>
      </w:r>
      <w:r>
        <w:rPr>
          <w:rFonts w:ascii="宋体" w:eastAsia="宋体" w:hAnsi="宋体" w:cs="宋体"/>
          <w:spacing w:val="9"/>
          <w:sz w:val="20"/>
          <w:szCs w:val="20"/>
        </w:rPr>
        <w:t>+</w:t>
      </w:r>
      <w:r>
        <w:rPr>
          <w:rFonts w:ascii="宋体" w:eastAsia="宋体" w:hAnsi="宋体" w:cs="宋体"/>
          <w:spacing w:val="15"/>
          <w:sz w:val="20"/>
          <w:szCs w:val="20"/>
        </w:rPr>
        <w:t xml:space="preserve"> </w:t>
      </w:r>
      <w:r>
        <w:rPr>
          <w:rFonts w:ascii="宋体" w:eastAsia="宋体" w:hAnsi="宋体" w:cs="宋体"/>
          <w:spacing w:val="9"/>
          <w:sz w:val="20"/>
          <w:szCs w:val="20"/>
        </w:rPr>
        <w:t>形成三联体，</w:t>
      </w:r>
      <w:r>
        <w:rPr>
          <w:rFonts w:ascii="宋体" w:eastAsia="宋体" w:hAnsi="宋体" w:cs="宋体"/>
          <w:sz w:val="20"/>
          <w:szCs w:val="20"/>
        </w:rPr>
        <w:t xml:space="preserve"> </w:t>
      </w:r>
      <w:r>
        <w:rPr>
          <w:rFonts w:ascii="宋体" w:eastAsia="宋体" w:hAnsi="宋体" w:cs="宋体"/>
          <w:spacing w:val="1"/>
          <w:sz w:val="20"/>
          <w:szCs w:val="20"/>
        </w:rPr>
        <w:t>将氨基酸和</w:t>
      </w:r>
      <w:r>
        <w:rPr>
          <w:rFonts w:ascii="宋体" w:eastAsia="宋体" w:hAnsi="宋体" w:cs="宋体"/>
          <w:sz w:val="20"/>
          <w:szCs w:val="20"/>
        </w:rPr>
        <w:t>Na</w:t>
      </w:r>
      <w:r>
        <w:rPr>
          <w:rFonts w:ascii="宋体" w:eastAsia="宋体" w:hAnsi="宋体" w:cs="宋体"/>
          <w:spacing w:val="1"/>
          <w:sz w:val="20"/>
          <w:szCs w:val="20"/>
        </w:rPr>
        <w:t>*</w:t>
      </w:r>
      <w:r>
        <w:rPr>
          <w:rFonts w:ascii="宋体" w:eastAsia="宋体" w:hAnsi="宋体" w:cs="宋体"/>
          <w:spacing w:val="-7"/>
          <w:sz w:val="20"/>
          <w:szCs w:val="20"/>
        </w:rPr>
        <w:t xml:space="preserve"> </w:t>
      </w:r>
      <w:r>
        <w:rPr>
          <w:rFonts w:ascii="宋体" w:eastAsia="宋体" w:hAnsi="宋体" w:cs="宋体"/>
          <w:spacing w:val="1"/>
          <w:sz w:val="20"/>
          <w:szCs w:val="20"/>
        </w:rPr>
        <w:t>转运入细胞，</w:t>
      </w:r>
      <w:r>
        <w:rPr>
          <w:rFonts w:ascii="宋体" w:eastAsia="宋体" w:hAnsi="宋体" w:cs="宋体"/>
          <w:spacing w:val="20"/>
          <w:sz w:val="20"/>
          <w:szCs w:val="20"/>
        </w:rPr>
        <w:t xml:space="preserve"> </w:t>
      </w:r>
      <w:r>
        <w:rPr>
          <w:rFonts w:ascii="宋体" w:eastAsia="宋体" w:hAnsi="宋体" w:cs="宋体"/>
          <w:sz w:val="20"/>
          <w:szCs w:val="20"/>
        </w:rPr>
        <w:t>Na</w:t>
      </w:r>
      <w:r>
        <w:rPr>
          <w:rFonts w:ascii="宋体" w:eastAsia="宋体" w:hAnsi="宋体" w:cs="宋体"/>
          <w:spacing w:val="1"/>
          <w:sz w:val="20"/>
          <w:szCs w:val="20"/>
        </w:rPr>
        <w:t>+</w:t>
      </w:r>
      <w:r>
        <w:rPr>
          <w:rFonts w:ascii="宋体" w:eastAsia="宋体" w:hAnsi="宋体" w:cs="宋体"/>
          <w:spacing w:val="2"/>
          <w:sz w:val="20"/>
          <w:szCs w:val="20"/>
        </w:rPr>
        <w:t xml:space="preserve"> </w:t>
      </w:r>
      <w:r>
        <w:rPr>
          <w:rFonts w:ascii="宋体" w:eastAsia="宋体" w:hAnsi="宋体" w:cs="宋体"/>
          <w:spacing w:val="1"/>
          <w:sz w:val="20"/>
          <w:szCs w:val="20"/>
        </w:rPr>
        <w:t>则借助</w:t>
      </w:r>
      <w:r>
        <w:rPr>
          <w:rFonts w:ascii="宋体" w:eastAsia="宋体" w:hAnsi="宋体" w:cs="宋体"/>
          <w:sz w:val="20"/>
          <w:szCs w:val="20"/>
        </w:rPr>
        <w:t xml:space="preserve"> </w:t>
      </w:r>
      <w:r>
        <w:rPr>
          <w:rFonts w:ascii="宋体" w:eastAsia="宋体" w:hAnsi="宋体" w:cs="宋体"/>
          <w:spacing w:val="9"/>
          <w:sz w:val="20"/>
          <w:szCs w:val="20"/>
        </w:rPr>
        <w:t>钠泵排出细胞外，并消耗</w:t>
      </w:r>
      <w:r>
        <w:rPr>
          <w:rFonts w:ascii="宋体" w:eastAsia="宋体" w:hAnsi="宋体" w:cs="宋体"/>
          <w:spacing w:val="-36"/>
          <w:sz w:val="20"/>
          <w:szCs w:val="20"/>
        </w:rPr>
        <w:t xml:space="preserve"> </w:t>
      </w:r>
      <w:r>
        <w:rPr>
          <w:rFonts w:ascii="宋体" w:eastAsia="宋体" w:hAnsi="宋体" w:cs="宋体"/>
          <w:sz w:val="20"/>
          <w:szCs w:val="20"/>
        </w:rPr>
        <w:t>ATP</w:t>
      </w:r>
      <w:r>
        <w:rPr>
          <w:rFonts w:ascii="宋体" w:eastAsia="宋体" w:hAnsi="宋体" w:cs="宋体"/>
          <w:spacing w:val="9"/>
          <w:sz w:val="20"/>
          <w:szCs w:val="20"/>
        </w:rPr>
        <w:t>。</w:t>
      </w:r>
      <w:r>
        <w:rPr>
          <w:rFonts w:ascii="宋体" w:eastAsia="宋体" w:hAnsi="宋体" w:cs="宋体"/>
          <w:spacing w:val="14"/>
          <w:sz w:val="20"/>
          <w:szCs w:val="20"/>
        </w:rPr>
        <w:t xml:space="preserve">  </w:t>
      </w:r>
      <w:r>
        <w:rPr>
          <w:rFonts w:ascii="宋体" w:eastAsia="宋体" w:hAnsi="宋体" w:cs="宋体"/>
          <w:spacing w:val="9"/>
          <w:sz w:val="20"/>
          <w:szCs w:val="20"/>
        </w:rPr>
        <w:t>氨基酸</w:t>
      </w:r>
      <w:r>
        <w:rPr>
          <w:rFonts w:ascii="宋体" w:eastAsia="宋体" w:hAnsi="宋体" w:cs="宋体"/>
          <w:sz w:val="20"/>
          <w:szCs w:val="20"/>
        </w:rPr>
        <w:t xml:space="preserve"> </w:t>
      </w:r>
      <w:r>
        <w:rPr>
          <w:rFonts w:ascii="宋体" w:eastAsia="宋体" w:hAnsi="宋体" w:cs="宋体"/>
          <w:spacing w:val="10"/>
          <w:sz w:val="20"/>
          <w:szCs w:val="20"/>
        </w:rPr>
        <w:t>的结构不同，其转运载体也不同。此外，</w:t>
      </w:r>
      <w:r>
        <w:rPr>
          <w:rFonts w:ascii="宋体" w:eastAsia="宋体" w:hAnsi="宋体" w:cs="宋体"/>
          <w:spacing w:val="8"/>
          <w:sz w:val="20"/>
          <w:szCs w:val="20"/>
        </w:rPr>
        <w:t xml:space="preserve"> </w:t>
      </w:r>
      <w:r>
        <w:rPr>
          <w:rFonts w:ascii="宋体" w:eastAsia="宋体" w:hAnsi="宋体" w:cs="宋体"/>
          <w:spacing w:val="7"/>
          <w:sz w:val="20"/>
          <w:szCs w:val="20"/>
        </w:rPr>
        <w:t>小肠黏膜细胞上还存在着吸收二肽和三肽</w:t>
      </w:r>
      <w:r>
        <w:rPr>
          <w:rFonts w:ascii="宋体" w:eastAsia="宋体" w:hAnsi="宋体" w:cs="宋体"/>
          <w:spacing w:val="3"/>
          <w:sz w:val="20"/>
          <w:szCs w:val="20"/>
        </w:rPr>
        <w:t xml:space="preserve"> </w:t>
      </w:r>
      <w:r>
        <w:rPr>
          <w:rFonts w:ascii="宋体" w:eastAsia="宋体" w:hAnsi="宋体" w:cs="宋体"/>
          <w:spacing w:val="7"/>
          <w:sz w:val="20"/>
          <w:szCs w:val="20"/>
        </w:rPr>
        <w:t>的转运体系，用于二肽和三肽的吸收，并</w:t>
      </w:r>
      <w:r>
        <w:rPr>
          <w:rFonts w:ascii="宋体" w:eastAsia="宋体" w:hAnsi="宋体" w:cs="宋体"/>
          <w:spacing w:val="1"/>
          <w:sz w:val="20"/>
          <w:szCs w:val="20"/>
        </w:rPr>
        <w:t xml:space="preserve"> </w:t>
      </w:r>
      <w:r>
        <w:rPr>
          <w:rFonts w:ascii="宋体" w:eastAsia="宋体" w:hAnsi="宋体" w:cs="宋体"/>
          <w:spacing w:val="7"/>
          <w:sz w:val="20"/>
          <w:szCs w:val="20"/>
        </w:rPr>
        <w:t>在胞浆中氨基肽酶的作用下，将二肽和三</w:t>
      </w:r>
      <w:r>
        <w:rPr>
          <w:rFonts w:ascii="宋体" w:eastAsia="宋体" w:hAnsi="宋体" w:cs="宋体"/>
          <w:sz w:val="20"/>
          <w:szCs w:val="20"/>
        </w:rPr>
        <w:t xml:space="preserve"> </w:t>
      </w:r>
      <w:r>
        <w:rPr>
          <w:rFonts w:ascii="宋体" w:eastAsia="宋体" w:hAnsi="宋体" w:cs="宋体"/>
          <w:spacing w:val="7"/>
          <w:sz w:val="20"/>
          <w:szCs w:val="20"/>
        </w:rPr>
        <w:t>肽彻底分解成游离氨基酸。吸收到肠黏膜</w:t>
      </w:r>
      <w:r>
        <w:rPr>
          <w:rFonts w:ascii="宋体" w:eastAsia="宋体" w:hAnsi="宋体" w:cs="宋体"/>
          <w:spacing w:val="2"/>
          <w:sz w:val="20"/>
          <w:szCs w:val="20"/>
        </w:rPr>
        <w:t xml:space="preserve"> </w:t>
      </w:r>
      <w:r>
        <w:rPr>
          <w:rFonts w:ascii="宋体" w:eastAsia="宋体" w:hAnsi="宋体" w:cs="宋体"/>
          <w:spacing w:val="7"/>
          <w:sz w:val="20"/>
          <w:szCs w:val="20"/>
        </w:rPr>
        <w:t>细胞中的氨基酸，进入肠黏膜下的中心静</w:t>
      </w:r>
      <w:r>
        <w:rPr>
          <w:rFonts w:ascii="宋体" w:eastAsia="宋体" w:hAnsi="宋体" w:cs="宋体"/>
          <w:sz w:val="20"/>
          <w:szCs w:val="20"/>
        </w:rPr>
        <w:t xml:space="preserve"> </w:t>
      </w:r>
      <w:r>
        <w:rPr>
          <w:rFonts w:ascii="宋体" w:eastAsia="宋体" w:hAnsi="宋体" w:cs="宋体"/>
          <w:spacing w:val="3"/>
          <w:sz w:val="20"/>
          <w:szCs w:val="20"/>
        </w:rPr>
        <w:t>脉而进入血液，经由门静脉入肝。</w:t>
      </w:r>
    </w:p>
    <w:p w:rsidR="00EA40A3" w:rsidRDefault="00E86C16">
      <w:pPr>
        <w:spacing w:before="94" w:line="254" w:lineRule="auto"/>
        <w:ind w:right="216" w:firstLine="410"/>
        <w:rPr>
          <w:rFonts w:ascii="宋体" w:eastAsia="宋体" w:hAnsi="宋体" w:cs="宋体"/>
          <w:sz w:val="20"/>
          <w:szCs w:val="20"/>
        </w:rPr>
      </w:pPr>
      <w:r>
        <w:rPr>
          <w:rFonts w:ascii="宋体" w:eastAsia="宋体" w:hAnsi="宋体" w:cs="宋体"/>
          <w:spacing w:val="7"/>
          <w:sz w:val="20"/>
          <w:szCs w:val="20"/>
        </w:rPr>
        <w:t>新生儿可以通过肠黏膜细胞的胞饮作</w:t>
      </w:r>
      <w:r>
        <w:rPr>
          <w:rFonts w:ascii="宋体" w:eastAsia="宋体" w:hAnsi="宋体" w:cs="宋体"/>
          <w:spacing w:val="10"/>
          <w:sz w:val="20"/>
          <w:szCs w:val="20"/>
        </w:rPr>
        <w:t xml:space="preserve"> </w:t>
      </w:r>
      <w:r>
        <w:rPr>
          <w:rFonts w:ascii="宋体" w:eastAsia="宋体" w:hAnsi="宋体" w:cs="宋体"/>
          <w:spacing w:val="7"/>
          <w:sz w:val="20"/>
          <w:szCs w:val="20"/>
        </w:rPr>
        <w:t>用摄入完全蛋白质，但这种作用仅在出生</w:t>
      </w:r>
    </w:p>
    <w:p w:rsidR="00EA40A3" w:rsidRDefault="00E86C16">
      <w:pPr>
        <w:spacing w:line="14" w:lineRule="auto"/>
        <w:rPr>
          <w:sz w:val="2"/>
        </w:rPr>
      </w:pPr>
      <w:r>
        <w:rPr>
          <w:sz w:val="2"/>
          <w:szCs w:val="2"/>
        </w:rPr>
        <w:br w:type="column"/>
      </w:r>
    </w:p>
    <w:p w:rsidR="00EA40A3" w:rsidRDefault="00E86C16">
      <w:pPr>
        <w:spacing w:before="228" w:line="220" w:lineRule="auto"/>
        <w:ind w:left="439"/>
        <w:rPr>
          <w:rFonts w:ascii="宋体" w:eastAsia="宋体" w:hAnsi="宋体" w:cs="宋体"/>
          <w:sz w:val="17"/>
          <w:szCs w:val="17"/>
        </w:rPr>
      </w:pPr>
      <w:r>
        <w:rPr>
          <w:noProof/>
        </w:rPr>
        <w:drawing>
          <wp:anchor distT="0" distB="0" distL="0" distR="0" simplePos="0" relativeHeight="251672576" behindDoc="1" locked="0" layoutInCell="1" allowOverlap="1">
            <wp:simplePos x="0" y="0"/>
            <wp:positionH relativeFrom="column">
              <wp:posOffset>-43815</wp:posOffset>
            </wp:positionH>
            <wp:positionV relativeFrom="paragraph">
              <wp:posOffset>107950</wp:posOffset>
            </wp:positionV>
            <wp:extent cx="1955800" cy="2228850"/>
            <wp:effectExtent l="0" t="0" r="0" b="0"/>
            <wp:wrapNone/>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33"/>
                    <a:stretch>
                      <a:fillRect/>
                    </a:stretch>
                  </pic:blipFill>
                  <pic:spPr>
                    <a:xfrm>
                      <a:off x="0" y="0"/>
                      <a:ext cx="1955821" cy="2228811"/>
                    </a:xfrm>
                    <a:prstGeom prst="rect">
                      <a:avLst/>
                    </a:prstGeom>
                  </pic:spPr>
                </pic:pic>
              </a:graphicData>
            </a:graphic>
          </wp:anchor>
        </w:drawing>
      </w:r>
      <w:r>
        <w:rPr>
          <w:rFonts w:ascii="宋体" w:eastAsia="宋体" w:hAnsi="宋体" w:cs="宋体"/>
          <w:spacing w:val="-17"/>
          <w:sz w:val="17"/>
          <w:szCs w:val="17"/>
        </w:rPr>
        <w:t>食物蛋白质</w:t>
      </w:r>
    </w:p>
    <w:p w:rsidR="00EA40A3" w:rsidRDefault="00E86C16">
      <w:pPr>
        <w:spacing w:before="58" w:line="195" w:lineRule="auto"/>
        <w:ind w:left="970"/>
        <w:rPr>
          <w:rFonts w:ascii="宋体" w:eastAsia="宋体" w:hAnsi="宋体" w:cs="宋体"/>
          <w:sz w:val="16"/>
          <w:szCs w:val="16"/>
        </w:rPr>
      </w:pPr>
      <w:r>
        <w:rPr>
          <w:rFonts w:ascii="宋体" w:eastAsia="宋体" w:hAnsi="宋体" w:cs="宋体"/>
          <w:spacing w:val="6"/>
          <w:sz w:val="16"/>
          <w:szCs w:val="16"/>
        </w:rPr>
        <w:t>盐酸</w:t>
      </w:r>
    </w:p>
    <w:p w:rsidR="00EA40A3" w:rsidRDefault="00E86C16">
      <w:pPr>
        <w:spacing w:line="229" w:lineRule="auto"/>
        <w:ind w:left="970"/>
        <w:rPr>
          <w:rFonts w:ascii="宋体" w:eastAsia="宋体" w:hAnsi="宋体" w:cs="宋体"/>
          <w:sz w:val="16"/>
          <w:szCs w:val="16"/>
        </w:rPr>
      </w:pPr>
      <w:r>
        <w:rPr>
          <w:rFonts w:ascii="宋体" w:eastAsia="宋体" w:hAnsi="宋体" w:cs="宋体"/>
          <w:spacing w:val="-9"/>
          <w:sz w:val="16"/>
          <w:szCs w:val="16"/>
        </w:rPr>
        <w:t>胃蛋白酶</w:t>
      </w:r>
    </w:p>
    <w:p w:rsidR="00EA40A3" w:rsidRDefault="00EA40A3">
      <w:pPr>
        <w:spacing w:line="334" w:lineRule="auto"/>
      </w:pPr>
    </w:p>
    <w:p w:rsidR="00EA40A3" w:rsidRDefault="00E86C16">
      <w:pPr>
        <w:spacing w:before="56" w:line="220" w:lineRule="auto"/>
        <w:ind w:left="609"/>
        <w:rPr>
          <w:rFonts w:ascii="宋体" w:eastAsia="宋体" w:hAnsi="宋体" w:cs="宋体"/>
          <w:sz w:val="17"/>
          <w:szCs w:val="17"/>
        </w:rPr>
      </w:pPr>
      <w:r>
        <w:rPr>
          <w:rFonts w:ascii="宋体" w:eastAsia="宋体" w:hAnsi="宋体" w:cs="宋体"/>
          <w:spacing w:val="-4"/>
          <w:sz w:val="17"/>
          <w:szCs w:val="17"/>
        </w:rPr>
        <w:t>多肽</w:t>
      </w:r>
    </w:p>
    <w:p w:rsidR="00EA40A3" w:rsidRDefault="00E86C16">
      <w:pPr>
        <w:spacing w:before="106" w:line="220" w:lineRule="auto"/>
        <w:ind w:left="970" w:right="374"/>
        <w:rPr>
          <w:rFonts w:ascii="宋体" w:eastAsia="宋体" w:hAnsi="宋体" w:cs="宋体"/>
          <w:sz w:val="15"/>
          <w:szCs w:val="15"/>
        </w:rPr>
      </w:pPr>
      <w:r>
        <w:rPr>
          <w:rFonts w:ascii="宋体" w:eastAsia="宋体" w:hAnsi="宋体" w:cs="宋体"/>
          <w:spacing w:val="-2"/>
          <w:sz w:val="15"/>
          <w:szCs w:val="15"/>
        </w:rPr>
        <w:t>(小肠)胰蛋白酶，糜蛋白酶，</w:t>
      </w:r>
      <w:r>
        <w:rPr>
          <w:rFonts w:ascii="宋体" w:eastAsia="宋体" w:hAnsi="宋体" w:cs="宋体"/>
          <w:spacing w:val="2"/>
          <w:sz w:val="15"/>
          <w:szCs w:val="15"/>
        </w:rPr>
        <w:t xml:space="preserve"> </w:t>
      </w:r>
      <w:r>
        <w:rPr>
          <w:rFonts w:ascii="宋体" w:eastAsia="宋体" w:hAnsi="宋体" w:cs="宋体"/>
          <w:spacing w:val="-1"/>
          <w:sz w:val="15"/>
          <w:szCs w:val="15"/>
        </w:rPr>
        <w:t>羧肽酶，氨肽酮</w:t>
      </w:r>
    </w:p>
    <w:p w:rsidR="00EA40A3" w:rsidRDefault="00EA40A3">
      <w:pPr>
        <w:spacing w:line="251" w:lineRule="auto"/>
      </w:pPr>
    </w:p>
    <w:p w:rsidR="00EA40A3" w:rsidRDefault="00EA40A3">
      <w:pPr>
        <w:spacing w:line="251" w:lineRule="auto"/>
      </w:pPr>
    </w:p>
    <w:p w:rsidR="00EA40A3" w:rsidRDefault="00EA40A3">
      <w:pPr>
        <w:spacing w:line="251" w:lineRule="auto"/>
      </w:pPr>
    </w:p>
    <w:p w:rsidR="00EA40A3" w:rsidRDefault="00E86C16">
      <w:pPr>
        <w:spacing w:before="56" w:line="231" w:lineRule="auto"/>
        <w:rPr>
          <w:rFonts w:ascii="宋体" w:eastAsia="宋体" w:hAnsi="宋体" w:cs="宋体"/>
          <w:sz w:val="17"/>
          <w:szCs w:val="17"/>
        </w:rPr>
      </w:pPr>
      <w:r>
        <w:rPr>
          <w:rFonts w:ascii="宋体" w:eastAsia="宋体" w:hAnsi="宋体" w:cs="宋体"/>
          <w:spacing w:val="-17"/>
          <w:w w:val="99"/>
          <w:position w:val="1"/>
          <w:sz w:val="17"/>
          <w:szCs w:val="17"/>
        </w:rPr>
        <w:t>氨基酸</w:t>
      </w:r>
      <w:r>
        <w:rPr>
          <w:rFonts w:ascii="宋体" w:eastAsia="宋体" w:hAnsi="宋体" w:cs="宋体"/>
          <w:spacing w:val="1"/>
          <w:position w:val="1"/>
          <w:sz w:val="17"/>
          <w:szCs w:val="17"/>
        </w:rPr>
        <w:t xml:space="preserve">      </w:t>
      </w:r>
      <w:r>
        <w:rPr>
          <w:rFonts w:ascii="宋体" w:eastAsia="宋体" w:hAnsi="宋体" w:cs="宋体"/>
          <w:spacing w:val="-17"/>
          <w:w w:val="99"/>
          <w:sz w:val="17"/>
          <w:szCs w:val="17"/>
        </w:rPr>
        <w:t>二肽、寡肽</w:t>
      </w:r>
    </w:p>
    <w:p w:rsidR="00EA40A3" w:rsidRDefault="00E86C16">
      <w:pPr>
        <w:spacing w:before="57" w:line="260" w:lineRule="exact"/>
        <w:ind w:left="970"/>
        <w:rPr>
          <w:rFonts w:ascii="宋体" w:eastAsia="宋体" w:hAnsi="宋体" w:cs="宋体"/>
          <w:sz w:val="17"/>
          <w:szCs w:val="17"/>
        </w:rPr>
      </w:pPr>
      <w:r>
        <w:rPr>
          <w:rFonts w:ascii="宋体" w:eastAsia="宋体" w:hAnsi="宋体" w:cs="宋体"/>
          <w:spacing w:val="-13"/>
          <w:w w:val="97"/>
          <w:position w:val="6"/>
          <w:sz w:val="17"/>
          <w:szCs w:val="17"/>
        </w:rPr>
        <w:t>(小肠黏膜刷状缘)</w:t>
      </w:r>
    </w:p>
    <w:p w:rsidR="00EA40A3" w:rsidRDefault="00E86C16">
      <w:pPr>
        <w:spacing w:line="196" w:lineRule="auto"/>
        <w:ind w:left="970"/>
        <w:rPr>
          <w:rFonts w:ascii="宋体" w:eastAsia="宋体" w:hAnsi="宋体" w:cs="宋体"/>
          <w:sz w:val="17"/>
          <w:szCs w:val="17"/>
        </w:rPr>
      </w:pPr>
      <w:r>
        <w:rPr>
          <w:rFonts w:ascii="宋体" w:eastAsia="宋体" w:hAnsi="宋体" w:cs="宋体"/>
          <w:spacing w:val="-16"/>
          <w:w w:val="98"/>
          <w:sz w:val="17"/>
          <w:szCs w:val="17"/>
        </w:rPr>
        <w:t>二肽酶、寡肽酶</w:t>
      </w:r>
    </w:p>
    <w:p w:rsidR="00EA40A3" w:rsidRDefault="00E86C16">
      <w:pPr>
        <w:spacing w:line="220" w:lineRule="auto"/>
        <w:ind w:left="970"/>
        <w:rPr>
          <w:rFonts w:ascii="宋体" w:eastAsia="宋体" w:hAnsi="宋体" w:cs="宋体"/>
          <w:sz w:val="17"/>
          <w:szCs w:val="17"/>
        </w:rPr>
      </w:pPr>
      <w:r>
        <w:rPr>
          <w:rFonts w:ascii="宋体" w:eastAsia="宋体" w:hAnsi="宋体" w:cs="宋体"/>
          <w:spacing w:val="-10"/>
          <w:sz w:val="17"/>
          <w:szCs w:val="17"/>
        </w:rPr>
        <w:t>氨基酸</w:t>
      </w:r>
    </w:p>
    <w:p w:rsidR="00EA40A3" w:rsidRDefault="00E86C16">
      <w:pPr>
        <w:spacing w:before="169" w:line="184" w:lineRule="auto"/>
        <w:ind w:left="340"/>
        <w:rPr>
          <w:rFonts w:ascii="宋体" w:eastAsia="宋体" w:hAnsi="宋体" w:cs="宋体"/>
          <w:sz w:val="20"/>
          <w:szCs w:val="20"/>
        </w:rPr>
      </w:pPr>
      <w:r>
        <w:rPr>
          <w:rFonts w:ascii="宋体" w:eastAsia="宋体" w:hAnsi="宋体" w:cs="宋体"/>
          <w:spacing w:val="-17"/>
          <w:sz w:val="20"/>
          <w:szCs w:val="20"/>
        </w:rPr>
        <w:t>图2-3</w:t>
      </w:r>
      <w:r>
        <w:rPr>
          <w:rFonts w:ascii="宋体" w:eastAsia="宋体" w:hAnsi="宋体" w:cs="宋体"/>
          <w:spacing w:val="68"/>
          <w:sz w:val="20"/>
          <w:szCs w:val="20"/>
        </w:rPr>
        <w:t xml:space="preserve"> </w:t>
      </w:r>
      <w:r>
        <w:rPr>
          <w:rFonts w:ascii="宋体" w:eastAsia="宋体" w:hAnsi="宋体" w:cs="宋体"/>
          <w:spacing w:val="-17"/>
          <w:sz w:val="20"/>
          <w:szCs w:val="20"/>
        </w:rPr>
        <w:t>蛋白质的消化示意图</w:t>
      </w:r>
    </w:p>
    <w:p w:rsidR="00EA40A3" w:rsidRDefault="00EA40A3">
      <w:pPr>
        <w:sectPr w:rsidR="00EA40A3">
          <w:type w:val="continuous"/>
          <w:pgSz w:w="9220" w:h="13360"/>
          <w:pgMar w:top="400" w:right="1010" w:bottom="400" w:left="890" w:header="0" w:footer="0" w:gutter="0"/>
          <w:cols w:num="2" w:space="720" w:equalWidth="0">
            <w:col w:w="3950" w:space="100"/>
            <w:col w:w="3270"/>
          </w:cols>
        </w:sectPr>
      </w:pPr>
    </w:p>
    <w:p w:rsidR="00EA40A3" w:rsidRDefault="00E86C16">
      <w:pPr>
        <w:spacing w:before="120" w:line="184" w:lineRule="auto"/>
        <w:ind w:right="56"/>
        <w:jc w:val="right"/>
        <w:rPr>
          <w:rFonts w:ascii="宋体" w:eastAsia="宋体" w:hAnsi="宋体" w:cs="宋体"/>
          <w:sz w:val="20"/>
          <w:szCs w:val="20"/>
        </w:rPr>
      </w:pPr>
      <w:r>
        <w:rPr>
          <w:rFonts w:ascii="宋体" w:eastAsia="宋体" w:hAnsi="宋体" w:cs="宋体"/>
          <w:spacing w:val="-40"/>
          <w:sz w:val="20"/>
          <w:szCs w:val="20"/>
        </w:rPr>
        <w:t>·</w:t>
      </w:r>
      <w:r>
        <w:rPr>
          <w:rFonts w:ascii="宋体" w:eastAsia="宋体" w:hAnsi="宋体" w:cs="宋体"/>
          <w:spacing w:val="-14"/>
          <w:sz w:val="20"/>
          <w:szCs w:val="20"/>
        </w:rPr>
        <w:t xml:space="preserve"> </w:t>
      </w:r>
      <w:r>
        <w:rPr>
          <w:rFonts w:ascii="宋体" w:eastAsia="宋体" w:hAnsi="宋体" w:cs="宋体"/>
          <w:spacing w:val="-40"/>
          <w:sz w:val="20"/>
          <w:szCs w:val="20"/>
        </w:rPr>
        <w:t>25</w:t>
      </w:r>
      <w:r>
        <w:rPr>
          <w:rFonts w:ascii="宋体" w:eastAsia="宋体" w:hAnsi="宋体" w:cs="宋体"/>
          <w:spacing w:val="36"/>
          <w:sz w:val="20"/>
          <w:szCs w:val="20"/>
        </w:rPr>
        <w:t xml:space="preserve"> </w:t>
      </w:r>
      <w:r>
        <w:rPr>
          <w:rFonts w:ascii="宋体" w:eastAsia="宋体" w:hAnsi="宋体" w:cs="宋体"/>
          <w:spacing w:val="-40"/>
          <w:sz w:val="20"/>
          <w:szCs w:val="20"/>
        </w:rPr>
        <w:t>·</w:t>
      </w:r>
    </w:p>
    <w:p w:rsidR="00EA40A3" w:rsidRDefault="00EA40A3">
      <w:pPr>
        <w:sectPr w:rsidR="00EA40A3">
          <w:type w:val="continuous"/>
          <w:pgSz w:w="9220" w:h="13360"/>
          <w:pgMar w:top="400" w:right="1010" w:bottom="400" w:left="890" w:header="0" w:footer="0" w:gutter="0"/>
          <w:cols w:space="720" w:equalWidth="0">
            <w:col w:w="7320"/>
          </w:cols>
        </w:sectPr>
      </w:pPr>
    </w:p>
    <w:p w:rsidR="00EA40A3" w:rsidRDefault="00EA40A3">
      <w:pPr>
        <w:spacing w:line="287" w:lineRule="auto"/>
      </w:pPr>
    </w:p>
    <w:p w:rsidR="00EA40A3" w:rsidRDefault="00EA40A3">
      <w:pPr>
        <w:spacing w:line="288" w:lineRule="auto"/>
      </w:pPr>
    </w:p>
    <w:p w:rsidR="00EA40A3" w:rsidRDefault="00E86C16">
      <w:pPr>
        <w:spacing w:before="69" w:line="255" w:lineRule="auto"/>
        <w:ind w:right="30"/>
        <w:jc w:val="both"/>
        <w:rPr>
          <w:rFonts w:ascii="宋体" w:eastAsia="宋体" w:hAnsi="宋体" w:cs="宋体"/>
        </w:rPr>
      </w:pPr>
      <w:r>
        <w:rPr>
          <w:rFonts w:ascii="宋体" w:eastAsia="宋体" w:hAnsi="宋体" w:cs="宋体"/>
          <w:spacing w:val="-3"/>
        </w:rPr>
        <w:t>后前两周存在，这与乳母维持初乳分泌的时间相一致，婴儿可以这种</w:t>
      </w:r>
      <w:r>
        <w:rPr>
          <w:rFonts w:ascii="宋体" w:eastAsia="宋体" w:hAnsi="宋体" w:cs="宋体"/>
          <w:spacing w:val="-4"/>
        </w:rPr>
        <w:t>方式从母乳</w:t>
      </w:r>
      <w:r>
        <w:rPr>
          <w:rFonts w:ascii="宋体" w:eastAsia="宋体" w:hAnsi="宋体" w:cs="宋体"/>
        </w:rPr>
        <w:t xml:space="preserve"> </w:t>
      </w:r>
      <w:r>
        <w:rPr>
          <w:rFonts w:ascii="宋体" w:eastAsia="宋体" w:hAnsi="宋体" w:cs="宋体"/>
          <w:spacing w:val="2"/>
        </w:rPr>
        <w:t>中获取具有免疫效果的抗体、乳铁蛋白、溶菌酶等。成人不存在这种方式的吸</w:t>
      </w:r>
      <w:r>
        <w:rPr>
          <w:rFonts w:ascii="宋体" w:eastAsia="宋体" w:hAnsi="宋体" w:cs="宋体"/>
          <w:spacing w:val="9"/>
        </w:rPr>
        <w:t xml:space="preserve"> </w:t>
      </w:r>
      <w:r>
        <w:rPr>
          <w:rFonts w:ascii="宋体" w:eastAsia="宋体" w:hAnsi="宋体" w:cs="宋体"/>
          <w:spacing w:val="-5"/>
        </w:rPr>
        <w:t>收，而且如果直接从食物中吸收异源蛋白可导致过敏反应。</w:t>
      </w:r>
    </w:p>
    <w:p w:rsidR="00EA40A3" w:rsidRDefault="00E86C16">
      <w:pPr>
        <w:spacing w:before="70" w:line="227" w:lineRule="auto"/>
        <w:rPr>
          <w:rFonts w:ascii="楷体" w:eastAsia="楷体" w:hAnsi="楷体" w:cs="楷体"/>
        </w:rPr>
      </w:pPr>
      <w:r>
        <w:rPr>
          <w:rFonts w:ascii="楷体" w:eastAsia="楷体" w:hAnsi="楷体" w:cs="楷体"/>
          <w:spacing w:val="4"/>
        </w:rPr>
        <w:t>2)脂肪的消化与吸收</w:t>
      </w:r>
    </w:p>
    <w:p w:rsidR="00EA40A3" w:rsidRDefault="00E86C16">
      <w:pPr>
        <w:spacing w:before="30" w:line="264" w:lineRule="auto"/>
        <w:ind w:firstLine="439"/>
        <w:jc w:val="both"/>
        <w:rPr>
          <w:rFonts w:ascii="宋体" w:eastAsia="宋体" w:hAnsi="宋体" w:cs="宋体"/>
        </w:rPr>
      </w:pPr>
      <w:r>
        <w:rPr>
          <w:rFonts w:ascii="宋体" w:eastAsia="宋体" w:hAnsi="宋体" w:cs="宋体"/>
          <w:spacing w:val="3"/>
        </w:rPr>
        <w:t>(1)脂类的消化：图2-4示意了脂肪的消化、吸收和转运的过程。脂肪的消</w:t>
      </w:r>
      <w:r>
        <w:rPr>
          <w:rFonts w:ascii="宋体" w:eastAsia="宋体" w:hAnsi="宋体" w:cs="宋体"/>
          <w:spacing w:val="4"/>
        </w:rPr>
        <w:t xml:space="preserve"> </w:t>
      </w:r>
      <w:r>
        <w:rPr>
          <w:rFonts w:ascii="宋体" w:eastAsia="宋体" w:hAnsi="宋体" w:cs="宋体"/>
          <w:spacing w:val="-3"/>
        </w:rPr>
        <w:t>化是从食物进入口腔后开始的，唾液腺分泌的脂肪酶可水解部分食物脂肪。成人</w:t>
      </w:r>
      <w:r>
        <w:rPr>
          <w:rFonts w:ascii="宋体" w:eastAsia="宋体" w:hAnsi="宋体" w:cs="宋体"/>
          <w:spacing w:val="12"/>
        </w:rPr>
        <w:t xml:space="preserve"> </w:t>
      </w:r>
      <w:r>
        <w:rPr>
          <w:rFonts w:ascii="宋体" w:eastAsia="宋体" w:hAnsi="宋体" w:cs="宋体"/>
          <w:spacing w:val="-3"/>
        </w:rPr>
        <w:t>的这种消化能力很弱，而婴儿口腔中的脂肪酶则可有效地分解奶中</w:t>
      </w:r>
      <w:r>
        <w:rPr>
          <w:rFonts w:ascii="宋体" w:eastAsia="宋体" w:hAnsi="宋体" w:cs="宋体"/>
          <w:spacing w:val="-4"/>
        </w:rPr>
        <w:t>的短链和中链</w:t>
      </w:r>
      <w:r>
        <w:rPr>
          <w:rFonts w:ascii="宋体" w:eastAsia="宋体" w:hAnsi="宋体" w:cs="宋体"/>
        </w:rPr>
        <w:t xml:space="preserve"> </w:t>
      </w:r>
      <w:r>
        <w:rPr>
          <w:rFonts w:ascii="宋体" w:eastAsia="宋体" w:hAnsi="宋体" w:cs="宋体"/>
          <w:spacing w:val="-3"/>
        </w:rPr>
        <w:t>脂肪酸。脂类消化的主要场所在小肠上段。食物脂类在小肠腔内由于肠蠕动的搅</w:t>
      </w:r>
      <w:r>
        <w:rPr>
          <w:rFonts w:ascii="宋体" w:eastAsia="宋体" w:hAnsi="宋体" w:cs="宋体"/>
          <w:spacing w:val="12"/>
        </w:rPr>
        <w:t xml:space="preserve"> </w:t>
      </w:r>
      <w:r>
        <w:rPr>
          <w:rFonts w:ascii="宋体" w:eastAsia="宋体" w:hAnsi="宋体" w:cs="宋体"/>
          <w:spacing w:val="-3"/>
        </w:rPr>
        <w:t>拌作用和胆汁的掺入，分散成细小的乳胶体，同时，胰腺分泌的脂肪酶在乳化颗</w:t>
      </w:r>
      <w:r>
        <w:rPr>
          <w:rFonts w:ascii="宋体" w:eastAsia="宋体" w:hAnsi="宋体" w:cs="宋体"/>
          <w:spacing w:val="12"/>
        </w:rPr>
        <w:t xml:space="preserve"> </w:t>
      </w:r>
      <w:r>
        <w:rPr>
          <w:rFonts w:ascii="宋体" w:eastAsia="宋体" w:hAnsi="宋体" w:cs="宋体"/>
          <w:spacing w:val="-3"/>
        </w:rPr>
        <w:t>粒的水油界面上，催化甘油三酯、磷脂和胆固醇的水解。①甘油三酯的分解：胰</w:t>
      </w:r>
      <w:r>
        <w:rPr>
          <w:rFonts w:ascii="宋体" w:eastAsia="宋体" w:hAnsi="宋体" w:cs="宋体"/>
          <w:spacing w:val="12"/>
        </w:rPr>
        <w:t xml:space="preserve"> </w:t>
      </w:r>
      <w:r>
        <w:rPr>
          <w:rFonts w:ascii="宋体" w:eastAsia="宋体" w:hAnsi="宋体" w:cs="宋体"/>
          <w:spacing w:val="9"/>
        </w:rPr>
        <w:t>脂肪酶能特异性地催化甘油三酯的α-酯键(即第1,3位酯键)水解，产生β甘</w:t>
      </w:r>
      <w:r>
        <w:rPr>
          <w:rFonts w:ascii="宋体" w:eastAsia="宋体" w:hAnsi="宋体" w:cs="宋体"/>
          <w:spacing w:val="4"/>
        </w:rPr>
        <w:t xml:space="preserve"> </w:t>
      </w:r>
      <w:r>
        <w:rPr>
          <w:rFonts w:ascii="宋体" w:eastAsia="宋体" w:hAnsi="宋体" w:cs="宋体"/>
          <w:spacing w:val="-3"/>
        </w:rPr>
        <w:t>油一酯并释放出两分子游离脂肪酸。②胆固醇的分解：胆固醇酯酶作用于胆固醇</w:t>
      </w:r>
    </w:p>
    <w:p w:rsidR="00EA40A3" w:rsidRDefault="00825D12">
      <w:pPr>
        <w:spacing w:line="6999" w:lineRule="exact"/>
        <w:ind w:firstLine="1260"/>
        <w:textAlignment w:val="center"/>
      </w:pPr>
      <w:r>
        <w:rPr>
          <w:noProof/>
        </w:rPr>
        <mc:AlternateContent>
          <mc:Choice Requires="wpg">
            <w:drawing>
              <wp:inline distT="0" distB="0" distL="0" distR="0">
                <wp:extent cx="2940685" cy="4445000"/>
                <wp:effectExtent l="0" t="5715" r="2540" b="16510"/>
                <wp:docPr id="1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685" cy="4445000"/>
                          <a:chOff x="0" y="0"/>
                          <a:chExt cx="4631" cy="7000"/>
                        </a:xfrm>
                      </wpg:grpSpPr>
                      <pic:pic xmlns:pic="http://schemas.openxmlformats.org/drawingml/2006/picture">
                        <pic:nvPicPr>
                          <pic:cNvPr id="139"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1" cy="7000"/>
                          </a:xfrm>
                          <a:prstGeom prst="rect">
                            <a:avLst/>
                          </a:prstGeom>
                          <a:noFill/>
                          <a:extLst>
                            <a:ext uri="{909E8E84-426E-40DD-AFC4-6F175D3DCCD1}">
                              <a14:hiddenFill xmlns:a14="http://schemas.microsoft.com/office/drawing/2010/main">
                                <a:solidFill>
                                  <a:srgbClr val="FFFFFF"/>
                                </a:solidFill>
                              </a14:hiddenFill>
                            </a:ext>
                          </a:extLst>
                        </pic:spPr>
                      </pic:pic>
                      <wps:wsp>
                        <wps:cNvPr id="140" name="Text Box 22"/>
                        <wps:cNvSpPr txBox="1">
                          <a:spLocks noChangeArrowheads="1"/>
                        </wps:cNvSpPr>
                        <wps:spPr bwMode="auto">
                          <a:xfrm>
                            <a:off x="0" y="17"/>
                            <a:ext cx="4587" cy="7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0" w:lineRule="auto"/>
                                <w:ind w:left="2339"/>
                                <w:rPr>
                                  <w:rFonts w:ascii="宋体" w:eastAsia="宋体" w:hAnsi="宋体" w:cs="宋体"/>
                                  <w:sz w:val="17"/>
                                  <w:szCs w:val="17"/>
                                </w:rPr>
                              </w:pPr>
                              <w:r>
                                <w:rPr>
                                  <w:rFonts w:ascii="宋体" w:eastAsia="宋体" w:hAnsi="宋体" w:cs="宋体"/>
                                  <w:spacing w:val="-13"/>
                                  <w:w w:val="97"/>
                                  <w:sz w:val="17"/>
                                  <w:szCs w:val="17"/>
                                </w:rPr>
                                <w:t>食物脂肪</w:t>
                              </w:r>
                            </w:p>
                            <w:p w:rsidR="00E86C16" w:rsidRDefault="00E86C16">
                              <w:pPr>
                                <w:spacing w:before="186" w:line="219" w:lineRule="auto"/>
                                <w:ind w:left="1419"/>
                                <w:rPr>
                                  <w:rFonts w:ascii="宋体" w:eastAsia="宋体" w:hAnsi="宋体" w:cs="宋体"/>
                                  <w:sz w:val="17"/>
                                  <w:szCs w:val="17"/>
                                </w:rPr>
                              </w:pPr>
                              <w:r>
                                <w:rPr>
                                  <w:rFonts w:ascii="宋体" w:eastAsia="宋体" w:hAnsi="宋体" w:cs="宋体"/>
                                  <w:spacing w:val="-14"/>
                                  <w:sz w:val="17"/>
                                  <w:szCs w:val="17"/>
                                </w:rPr>
                                <w:t>唾液脂肪酶</w:t>
                              </w:r>
                            </w:p>
                            <w:p w:rsidR="00E86C16" w:rsidRDefault="00E86C16">
                              <w:pPr>
                                <w:spacing w:line="261" w:lineRule="auto"/>
                              </w:pPr>
                            </w:p>
                            <w:p w:rsidR="00E86C16" w:rsidRDefault="00E86C16">
                              <w:pPr>
                                <w:spacing w:before="46" w:line="192" w:lineRule="auto"/>
                                <w:ind w:left="1429"/>
                                <w:rPr>
                                  <w:rFonts w:ascii="宋体" w:eastAsia="宋体" w:hAnsi="宋体" w:cs="宋体"/>
                                  <w:sz w:val="14"/>
                                  <w:szCs w:val="14"/>
                                </w:rPr>
                              </w:pPr>
                              <w:r>
                                <w:rPr>
                                  <w:rFonts w:ascii="宋体" w:eastAsia="宋体" w:hAnsi="宋体" w:cs="宋体"/>
                                  <w:spacing w:val="8"/>
                                  <w:sz w:val="14"/>
                                  <w:szCs w:val="14"/>
                                </w:rPr>
                                <w:t>胆汁酸盐</w:t>
                              </w:r>
                            </w:p>
                            <w:p w:rsidR="00E86C16" w:rsidRDefault="00E86C16">
                              <w:pPr>
                                <w:spacing w:line="228" w:lineRule="auto"/>
                                <w:ind w:left="689"/>
                                <w:rPr>
                                  <w:rFonts w:ascii="宋体" w:eastAsia="宋体" w:hAnsi="宋体" w:cs="宋体"/>
                                  <w:sz w:val="14"/>
                                  <w:szCs w:val="14"/>
                                </w:rPr>
                              </w:pPr>
                              <w:r>
                                <w:rPr>
                                  <w:rFonts w:ascii="宋体" w:eastAsia="宋体" w:hAnsi="宋体" w:cs="宋体"/>
                                  <w:spacing w:val="24"/>
                                  <w:sz w:val="14"/>
                                  <w:szCs w:val="14"/>
                                </w:rPr>
                                <w:t>小肠</w:t>
                              </w:r>
                            </w:p>
                            <w:p w:rsidR="00E86C16" w:rsidRDefault="00E86C16">
                              <w:pPr>
                                <w:spacing w:before="10" w:line="220" w:lineRule="auto"/>
                                <w:ind w:left="2319"/>
                                <w:rPr>
                                  <w:rFonts w:ascii="宋体" w:eastAsia="宋体" w:hAnsi="宋体" w:cs="宋体"/>
                                  <w:sz w:val="17"/>
                                  <w:szCs w:val="17"/>
                                </w:rPr>
                              </w:pPr>
                              <w:r>
                                <w:rPr>
                                  <w:rFonts w:ascii="宋体" w:eastAsia="宋体" w:hAnsi="宋体" w:cs="宋体"/>
                                  <w:spacing w:val="-14"/>
                                  <w:w w:val="98"/>
                                  <w:sz w:val="17"/>
                                  <w:szCs w:val="17"/>
                                </w:rPr>
                                <w:t>乳化脂肪</w:t>
                              </w:r>
                            </w:p>
                            <w:p w:rsidR="00E86C16" w:rsidRDefault="00E86C16">
                              <w:pPr>
                                <w:spacing w:line="369" w:lineRule="auto"/>
                              </w:pPr>
                            </w:p>
                            <w:p w:rsidR="00E86C16" w:rsidRDefault="00E86C16">
                              <w:pPr>
                                <w:spacing w:before="56" w:line="232" w:lineRule="auto"/>
                                <w:ind w:left="1099"/>
                                <w:rPr>
                                  <w:rFonts w:ascii="仿宋" w:eastAsia="仿宋" w:hAnsi="仿宋" w:cs="仿宋"/>
                                  <w:sz w:val="17"/>
                                  <w:szCs w:val="17"/>
                                </w:rPr>
                              </w:pPr>
                              <w:r>
                                <w:rPr>
                                  <w:rFonts w:ascii="宋体" w:eastAsia="宋体" w:hAnsi="宋体" w:cs="宋体"/>
                                  <w:spacing w:val="-14"/>
                                  <w:w w:val="90"/>
                                  <w:sz w:val="17"/>
                                  <w:szCs w:val="17"/>
                                </w:rPr>
                                <w:t>胰脂肪酶-</w:t>
                              </w:r>
                              <w:r>
                                <w:rPr>
                                  <w:rFonts w:ascii="宋体" w:eastAsia="宋体" w:hAnsi="宋体" w:cs="宋体"/>
                                  <w:spacing w:val="26"/>
                                  <w:sz w:val="17"/>
                                  <w:szCs w:val="17"/>
                                </w:rPr>
                                <w:t xml:space="preserve">   </w:t>
                              </w:r>
                              <w:r>
                                <w:rPr>
                                  <w:rFonts w:ascii="仿宋" w:eastAsia="仿宋" w:hAnsi="仿宋" w:cs="仿宋"/>
                                  <w:spacing w:val="-14"/>
                                  <w:w w:val="90"/>
                                  <w:sz w:val="17"/>
                                  <w:szCs w:val="17"/>
                                </w:rPr>
                                <w:t>水解</w:t>
                              </w:r>
                            </w:p>
                            <w:p w:rsidR="00E86C16" w:rsidRDefault="00E86C16">
                              <w:pPr>
                                <w:spacing w:before="76" w:line="219" w:lineRule="auto"/>
                                <w:ind w:left="939"/>
                                <w:rPr>
                                  <w:rFonts w:ascii="宋体" w:eastAsia="宋体" w:hAnsi="宋体" w:cs="宋体"/>
                                  <w:sz w:val="17"/>
                                  <w:szCs w:val="17"/>
                                </w:rPr>
                              </w:pPr>
                              <w:r>
                                <w:rPr>
                                  <w:rFonts w:ascii="宋体" w:eastAsia="宋体" w:hAnsi="宋体" w:cs="宋体"/>
                                  <w:spacing w:val="-13"/>
                                  <w:w w:val="90"/>
                                  <w:sz w:val="17"/>
                                  <w:szCs w:val="17"/>
                                </w:rPr>
                                <w:t>小肠脂肪酶-</w:t>
                              </w:r>
                            </w:p>
                            <w:p w:rsidR="00E86C16" w:rsidRDefault="00E86C16">
                              <w:pPr>
                                <w:spacing w:before="39" w:line="196" w:lineRule="auto"/>
                                <w:ind w:left="1699"/>
                                <w:rPr>
                                  <w:rFonts w:ascii="宋体" w:eastAsia="宋体" w:hAnsi="宋体" w:cs="宋体"/>
                                  <w:sz w:val="15"/>
                                  <w:szCs w:val="15"/>
                                </w:rPr>
                              </w:pPr>
                              <w:r>
                                <w:rPr>
                                  <w:rFonts w:ascii="宋体" w:eastAsia="宋体" w:hAnsi="宋体" w:cs="宋体"/>
                                  <w:spacing w:val="-2"/>
                                  <w:sz w:val="15"/>
                                  <w:szCs w:val="15"/>
                                </w:rPr>
                                <w:t>脂肪酸、甘油单酯、甘油</w:t>
                              </w:r>
                            </w:p>
                            <w:p w:rsidR="00E86C16" w:rsidRDefault="00E86C16">
                              <w:pPr>
                                <w:spacing w:line="234" w:lineRule="auto"/>
                                <w:ind w:left="20"/>
                                <w:rPr>
                                  <w:rFonts w:ascii="仿宋" w:eastAsia="仿宋" w:hAnsi="仿宋" w:cs="仿宋"/>
                                  <w:sz w:val="15"/>
                                  <w:szCs w:val="15"/>
                                </w:rPr>
                              </w:pPr>
                              <w:r>
                                <w:rPr>
                                  <w:rFonts w:ascii="仿宋" w:eastAsia="仿宋" w:hAnsi="仿宋" w:cs="仿宋"/>
                                  <w:spacing w:val="8"/>
                                  <w:sz w:val="15"/>
                                  <w:szCs w:val="15"/>
                                </w:rPr>
                                <w:t>化</w:t>
                              </w:r>
                            </w:p>
                            <w:p w:rsidR="00E86C16" w:rsidRDefault="00E86C16">
                              <w:pPr>
                                <w:spacing w:line="303" w:lineRule="auto"/>
                              </w:pPr>
                            </w:p>
                            <w:p w:rsidR="00E86C16" w:rsidRDefault="00E86C16">
                              <w:pPr>
                                <w:spacing w:before="56" w:line="220" w:lineRule="auto"/>
                                <w:ind w:left="759"/>
                                <w:rPr>
                                  <w:rFonts w:ascii="宋体" w:eastAsia="宋体" w:hAnsi="宋体" w:cs="宋体"/>
                                  <w:sz w:val="17"/>
                                  <w:szCs w:val="17"/>
                                </w:rPr>
                              </w:pPr>
                              <w:r>
                                <w:rPr>
                                  <w:rFonts w:ascii="宋体" w:eastAsia="宋体" w:hAnsi="宋体" w:cs="宋体"/>
                                  <w:spacing w:val="-18"/>
                                  <w:sz w:val="17"/>
                                  <w:szCs w:val="17"/>
                                </w:rPr>
                                <w:t>&gt;12碳长链脂肪酸和甘油单酯</w:t>
                              </w:r>
                              <w:r>
                                <w:rPr>
                                  <w:rFonts w:ascii="宋体" w:eastAsia="宋体" w:hAnsi="宋体" w:cs="宋体"/>
                                  <w:spacing w:val="8"/>
                                  <w:sz w:val="17"/>
                                  <w:szCs w:val="17"/>
                                </w:rPr>
                                <w:t xml:space="preserve">   </w:t>
                              </w:r>
                              <w:r>
                                <w:rPr>
                                  <w:rFonts w:ascii="宋体" w:eastAsia="宋体" w:hAnsi="宋体" w:cs="宋体"/>
                                  <w:spacing w:val="-18"/>
                                  <w:sz w:val="17"/>
                                  <w:szCs w:val="17"/>
                                </w:rPr>
                                <w:t>≤12碳的中、短链脂</w:t>
                              </w:r>
                              <w:r>
                                <w:rPr>
                                  <w:rFonts w:ascii="宋体" w:eastAsia="宋体" w:hAnsi="宋体" w:cs="宋体"/>
                                  <w:spacing w:val="-19"/>
                                  <w:sz w:val="17"/>
                                  <w:szCs w:val="17"/>
                                </w:rPr>
                                <w:t>肪酸</w:t>
                              </w:r>
                            </w:p>
                            <w:p w:rsidR="00E86C16" w:rsidRDefault="00E86C16">
                              <w:pPr>
                                <w:spacing w:line="274" w:lineRule="auto"/>
                              </w:pPr>
                            </w:p>
                            <w:p w:rsidR="00E86C16" w:rsidRDefault="00E86C16">
                              <w:pPr>
                                <w:spacing w:line="274" w:lineRule="auto"/>
                              </w:pPr>
                            </w:p>
                            <w:p w:rsidR="00E86C16" w:rsidRDefault="00E86C16">
                              <w:pPr>
                                <w:spacing w:before="56" w:line="220" w:lineRule="auto"/>
                                <w:ind w:left="910"/>
                                <w:rPr>
                                  <w:rFonts w:ascii="宋体" w:eastAsia="宋体" w:hAnsi="宋体" w:cs="宋体"/>
                                  <w:sz w:val="17"/>
                                  <w:szCs w:val="17"/>
                                </w:rPr>
                              </w:pPr>
                              <w:r>
                                <w:rPr>
                                  <w:rFonts w:ascii="宋体" w:eastAsia="宋体" w:hAnsi="宋体" w:cs="宋体"/>
                                  <w:spacing w:val="-14"/>
                                  <w:w w:val="96"/>
                                  <w:sz w:val="17"/>
                                  <w:szCs w:val="17"/>
                                </w:rPr>
                                <w:t>再合成甘油三酯</w:t>
                              </w:r>
                            </w:p>
                            <w:p w:rsidR="00E86C16" w:rsidRDefault="00E86C16">
                              <w:pPr>
                                <w:spacing w:before="157" w:line="249" w:lineRule="exact"/>
                                <w:ind w:left="1809"/>
                                <w:rPr>
                                  <w:rFonts w:ascii="宋体" w:eastAsia="宋体" w:hAnsi="宋体" w:cs="宋体"/>
                                  <w:sz w:val="17"/>
                                  <w:szCs w:val="17"/>
                                </w:rPr>
                              </w:pPr>
                              <w:r>
                                <w:rPr>
                                  <w:rFonts w:ascii="宋体" w:eastAsia="宋体" w:hAnsi="宋体" w:cs="宋体"/>
                                  <w:spacing w:val="-12"/>
                                  <w:position w:val="5"/>
                                  <w:sz w:val="17"/>
                                  <w:szCs w:val="17"/>
                                </w:rPr>
                                <w:t>蛋白质</w:t>
                              </w:r>
                            </w:p>
                            <w:p w:rsidR="00E86C16" w:rsidRDefault="00E86C16">
                              <w:pPr>
                                <w:spacing w:before="1" w:line="219" w:lineRule="auto"/>
                                <w:ind w:left="1809"/>
                                <w:rPr>
                                  <w:rFonts w:ascii="宋体" w:eastAsia="宋体" w:hAnsi="宋体" w:cs="宋体"/>
                                  <w:sz w:val="17"/>
                                  <w:szCs w:val="17"/>
                                </w:rPr>
                              </w:pPr>
                              <w:r>
                                <w:rPr>
                                  <w:rFonts w:ascii="宋体" w:eastAsia="宋体" w:hAnsi="宋体" w:cs="宋体"/>
                                  <w:spacing w:val="-2"/>
                                  <w:sz w:val="17"/>
                                  <w:szCs w:val="17"/>
                                </w:rPr>
                                <w:t>磷脂</w:t>
                              </w:r>
                            </w:p>
                            <w:p w:rsidR="00E86C16" w:rsidRDefault="00E86C16">
                              <w:pPr>
                                <w:spacing w:before="79" w:line="195" w:lineRule="auto"/>
                                <w:ind w:left="1809"/>
                                <w:rPr>
                                  <w:rFonts w:ascii="宋体" w:eastAsia="宋体" w:hAnsi="宋体" w:cs="宋体"/>
                                  <w:sz w:val="17"/>
                                  <w:szCs w:val="17"/>
                                </w:rPr>
                              </w:pPr>
                              <w:r>
                                <w:rPr>
                                  <w:rFonts w:ascii="宋体" w:eastAsia="宋体" w:hAnsi="宋体" w:cs="宋体"/>
                                  <w:spacing w:val="-21"/>
                                  <w:sz w:val="17"/>
                                  <w:szCs w:val="17"/>
                                </w:rPr>
                                <w:t>胆固醇</w:t>
                              </w:r>
                            </w:p>
                            <w:p w:rsidR="00E86C16" w:rsidRDefault="00E86C16">
                              <w:pPr>
                                <w:spacing w:line="220" w:lineRule="auto"/>
                                <w:ind w:right="32"/>
                                <w:jc w:val="right"/>
                                <w:rPr>
                                  <w:rFonts w:ascii="宋体" w:eastAsia="宋体" w:hAnsi="宋体" w:cs="宋体"/>
                                  <w:sz w:val="17"/>
                                  <w:szCs w:val="17"/>
                                </w:rPr>
                              </w:pPr>
                              <w:r>
                                <w:rPr>
                                  <w:rFonts w:ascii="宋体" w:eastAsia="宋体" w:hAnsi="宋体" w:cs="宋体"/>
                                  <w:spacing w:val="-9"/>
                                  <w:sz w:val="17"/>
                                  <w:szCs w:val="17"/>
                                </w:rPr>
                                <w:t>清蛋白</w:t>
                              </w:r>
                            </w:p>
                            <w:p w:rsidR="00E86C16" w:rsidRDefault="00E86C16">
                              <w:pPr>
                                <w:spacing w:before="37" w:line="219" w:lineRule="auto"/>
                                <w:ind w:left="1099"/>
                                <w:rPr>
                                  <w:rFonts w:ascii="宋体" w:eastAsia="宋体" w:hAnsi="宋体" w:cs="宋体"/>
                                  <w:sz w:val="17"/>
                                  <w:szCs w:val="17"/>
                                </w:rPr>
                              </w:pPr>
                              <w:r>
                                <w:rPr>
                                  <w:rFonts w:ascii="宋体" w:eastAsia="宋体" w:hAnsi="宋体" w:cs="宋体"/>
                                  <w:spacing w:val="-12"/>
                                  <w:w w:val="96"/>
                                  <w:sz w:val="17"/>
                                  <w:szCs w:val="17"/>
                                </w:rPr>
                                <w:t>乳糜微粒</w:t>
                              </w:r>
                            </w:p>
                            <w:p w:rsidR="00E86C16" w:rsidRDefault="00E86C16">
                              <w:pPr>
                                <w:spacing w:before="163" w:line="219" w:lineRule="auto"/>
                                <w:ind w:left="20"/>
                                <w:rPr>
                                  <w:rFonts w:ascii="仿宋" w:eastAsia="仿宋" w:hAnsi="仿宋" w:cs="仿宋"/>
                                  <w:sz w:val="17"/>
                                  <w:szCs w:val="17"/>
                                </w:rPr>
                              </w:pPr>
                              <w:r>
                                <w:rPr>
                                  <w:rFonts w:ascii="仿宋" w:eastAsia="仿宋" w:hAnsi="仿宋" w:cs="仿宋"/>
                                  <w:sz w:val="17"/>
                                  <w:szCs w:val="17"/>
                                </w:rPr>
                                <w:t>转</w:t>
                              </w:r>
                            </w:p>
                            <w:p w:rsidR="00E86C16" w:rsidRDefault="00E86C16">
                              <w:pPr>
                                <w:spacing w:before="202" w:line="218" w:lineRule="auto"/>
                                <w:ind w:left="1099"/>
                                <w:rPr>
                                  <w:rFonts w:ascii="宋体" w:eastAsia="宋体" w:hAnsi="宋体" w:cs="宋体"/>
                                  <w:sz w:val="17"/>
                                  <w:szCs w:val="17"/>
                                </w:rPr>
                              </w:pPr>
                              <w:r>
                                <w:rPr>
                                  <w:rFonts w:ascii="宋体" w:eastAsia="宋体" w:hAnsi="宋体" w:cs="宋体"/>
                                  <w:spacing w:val="-14"/>
                                  <w:w w:val="98"/>
                                  <w:sz w:val="17"/>
                                  <w:szCs w:val="17"/>
                                </w:rPr>
                                <w:t>淋巴循环</w:t>
                              </w:r>
                            </w:p>
                            <w:p w:rsidR="00E86C16" w:rsidRDefault="00E86C16">
                              <w:pPr>
                                <w:spacing w:before="179" w:line="232" w:lineRule="auto"/>
                                <w:ind w:left="20"/>
                                <w:rPr>
                                  <w:rFonts w:ascii="仿宋" w:eastAsia="仿宋" w:hAnsi="仿宋" w:cs="仿宋"/>
                                  <w:sz w:val="17"/>
                                  <w:szCs w:val="17"/>
                                </w:rPr>
                              </w:pPr>
                              <w:r>
                                <w:rPr>
                                  <w:rFonts w:ascii="仿宋" w:eastAsia="仿宋" w:hAnsi="仿宋" w:cs="仿宋"/>
                                  <w:sz w:val="17"/>
                                  <w:szCs w:val="17"/>
                                </w:rPr>
                                <w:t>运</w:t>
                              </w:r>
                            </w:p>
                            <w:p w:rsidR="00E86C16" w:rsidRDefault="00E86C16">
                              <w:pPr>
                                <w:spacing w:before="178" w:line="219" w:lineRule="auto"/>
                                <w:ind w:left="1099"/>
                                <w:rPr>
                                  <w:rFonts w:ascii="宋体" w:eastAsia="宋体" w:hAnsi="宋体" w:cs="宋体"/>
                                  <w:sz w:val="17"/>
                                  <w:szCs w:val="17"/>
                                </w:rPr>
                              </w:pPr>
                              <w:r>
                                <w:rPr>
                                  <w:rFonts w:ascii="宋体" w:eastAsia="宋体" w:hAnsi="宋体" w:cs="宋体"/>
                                  <w:spacing w:val="-13"/>
                                  <w:w w:val="97"/>
                                  <w:sz w:val="17"/>
                                  <w:szCs w:val="17"/>
                                </w:rPr>
                                <w:t>血液循环</w:t>
                              </w:r>
                            </w:p>
                          </w:txbxContent>
                        </wps:txbx>
                        <wps:bodyPr rot="0" vert="horz" wrap="square" lIns="0" tIns="0" rIns="0" bIns="0" anchor="t" anchorCtr="0" upright="1">
                          <a:noAutofit/>
                        </wps:bodyPr>
                      </wps:wsp>
                      <wps:wsp>
                        <wps:cNvPr id="141" name="Text Box 23"/>
                        <wps:cNvSpPr txBox="1">
                          <a:spLocks noChangeArrowheads="1"/>
                        </wps:cNvSpPr>
                        <wps:spPr bwMode="auto">
                          <a:xfrm>
                            <a:off x="0" y="1798"/>
                            <a:ext cx="200"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21" w:lineRule="auto"/>
                                <w:ind w:left="20"/>
                                <w:rPr>
                                  <w:rFonts w:ascii="宋体" w:eastAsia="宋体" w:hAnsi="宋体" w:cs="宋体"/>
                                  <w:sz w:val="17"/>
                                  <w:szCs w:val="17"/>
                                </w:rPr>
                              </w:pPr>
                              <w:r>
                                <w:rPr>
                                  <w:rFonts w:ascii="宋体" w:eastAsia="宋体" w:hAnsi="宋体" w:cs="宋体"/>
                                  <w:sz w:val="17"/>
                                  <w:szCs w:val="17"/>
                                </w:rPr>
                                <w:t>消</w:t>
                              </w:r>
                            </w:p>
                          </w:txbxContent>
                        </wps:txbx>
                        <wps:bodyPr rot="0" vert="horz" wrap="square" lIns="0" tIns="0" rIns="0" bIns="0" anchor="t" anchorCtr="0" upright="1">
                          <a:noAutofit/>
                        </wps:bodyPr>
                      </wps:wsp>
                      <wps:wsp>
                        <wps:cNvPr id="142" name="Text Box 24"/>
                        <wps:cNvSpPr txBox="1">
                          <a:spLocks noChangeArrowheads="1"/>
                        </wps:cNvSpPr>
                        <wps:spPr bwMode="auto">
                          <a:xfrm>
                            <a:off x="0" y="4766"/>
                            <a:ext cx="197"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z w:val="17"/>
                                  <w:szCs w:val="17"/>
                                </w:rPr>
                                <w:t>收</w:t>
                              </w:r>
                            </w:p>
                          </w:txbxContent>
                        </wps:txbx>
                        <wps:bodyPr rot="0" vert="horz" wrap="square" lIns="0" tIns="0" rIns="0" bIns="0" anchor="t" anchorCtr="0" upright="1">
                          <a:noAutofit/>
                        </wps:bodyPr>
                      </wps:wsp>
                      <wps:wsp>
                        <wps:cNvPr id="143" name="Text Box 25"/>
                        <wps:cNvSpPr txBox="1">
                          <a:spLocks noChangeArrowheads="1"/>
                        </wps:cNvSpPr>
                        <wps:spPr bwMode="auto">
                          <a:xfrm>
                            <a:off x="0" y="4007"/>
                            <a:ext cx="197"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0" w:lineRule="auto"/>
                                <w:ind w:left="20"/>
                                <w:rPr>
                                  <w:rFonts w:ascii="宋体" w:eastAsia="宋体" w:hAnsi="宋体" w:cs="宋体"/>
                                  <w:sz w:val="17"/>
                                  <w:szCs w:val="17"/>
                                </w:rPr>
                              </w:pPr>
                              <w:r>
                                <w:rPr>
                                  <w:rFonts w:ascii="宋体" w:eastAsia="宋体" w:hAnsi="宋体" w:cs="宋体"/>
                                  <w:sz w:val="17"/>
                                  <w:szCs w:val="17"/>
                                </w:rPr>
                                <w:t>吸</w:t>
                              </w:r>
                            </w:p>
                          </w:txbxContent>
                        </wps:txbx>
                        <wps:bodyPr rot="0" vert="horz" wrap="square" lIns="0" tIns="0" rIns="0" bIns="0" anchor="t" anchorCtr="0" upright="1">
                          <a:noAutofit/>
                        </wps:bodyPr>
                      </wps:wsp>
                    </wpg:wgp>
                  </a:graphicData>
                </a:graphic>
              </wp:inline>
            </w:drawing>
          </mc:Choice>
          <mc:Fallback>
            <w:pict>
              <v:group id="Group 20" o:spid="_x0000_s1042" style="width:231.55pt;height:350pt;mso-position-horizontal-relative:char;mso-position-vertical-relative:line" coordsize="4631,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">
                <v:shape id="Picture 21" o:spid="_x0000_s1043" type="#_x0000_t75" style="position:absolute;width:4631;height: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">
                  <v:imagedata r:id="rId35" o:title=""/>
                </v:shape>
                <v:shape id="Text Box 22" o:spid="_x0000_s1044" type="#_x0000_t202" style="position:absolute;top:17;width:4587;height:7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E86C16" w:rsidRDefault="00E86C16">
                        <w:pPr>
                          <w:spacing w:before="20" w:line="220" w:lineRule="auto"/>
                          <w:ind w:left="2339"/>
                          <w:rPr>
                            <w:rFonts w:ascii="宋体" w:eastAsia="宋体" w:hAnsi="宋体" w:cs="宋体"/>
                            <w:sz w:val="17"/>
                            <w:szCs w:val="17"/>
                          </w:rPr>
                        </w:pPr>
                        <w:r>
                          <w:rPr>
                            <w:rFonts w:ascii="宋体" w:eastAsia="宋体" w:hAnsi="宋体" w:cs="宋体"/>
                            <w:spacing w:val="-13"/>
                            <w:w w:val="97"/>
                            <w:sz w:val="17"/>
                            <w:szCs w:val="17"/>
                          </w:rPr>
                          <w:t>食物脂肪</w:t>
                        </w:r>
                      </w:p>
                      <w:p w:rsidR="00E86C16" w:rsidRDefault="00E86C16">
                        <w:pPr>
                          <w:spacing w:before="186" w:line="219" w:lineRule="auto"/>
                          <w:ind w:left="1419"/>
                          <w:rPr>
                            <w:rFonts w:ascii="宋体" w:eastAsia="宋体" w:hAnsi="宋体" w:cs="宋体"/>
                            <w:sz w:val="17"/>
                            <w:szCs w:val="17"/>
                          </w:rPr>
                        </w:pPr>
                        <w:r>
                          <w:rPr>
                            <w:rFonts w:ascii="宋体" w:eastAsia="宋体" w:hAnsi="宋体" w:cs="宋体"/>
                            <w:spacing w:val="-14"/>
                            <w:sz w:val="17"/>
                            <w:szCs w:val="17"/>
                          </w:rPr>
                          <w:t>唾液脂肪酶</w:t>
                        </w:r>
                      </w:p>
                      <w:p w:rsidR="00E86C16" w:rsidRDefault="00E86C16">
                        <w:pPr>
                          <w:spacing w:line="261" w:lineRule="auto"/>
                        </w:pPr>
                      </w:p>
                      <w:p w:rsidR="00E86C16" w:rsidRDefault="00E86C16">
                        <w:pPr>
                          <w:spacing w:before="46" w:line="192" w:lineRule="auto"/>
                          <w:ind w:left="1429"/>
                          <w:rPr>
                            <w:rFonts w:ascii="宋体" w:eastAsia="宋体" w:hAnsi="宋体" w:cs="宋体"/>
                            <w:sz w:val="14"/>
                            <w:szCs w:val="14"/>
                          </w:rPr>
                        </w:pPr>
                        <w:r>
                          <w:rPr>
                            <w:rFonts w:ascii="宋体" w:eastAsia="宋体" w:hAnsi="宋体" w:cs="宋体"/>
                            <w:spacing w:val="8"/>
                            <w:sz w:val="14"/>
                            <w:szCs w:val="14"/>
                          </w:rPr>
                          <w:t>胆汁酸盐</w:t>
                        </w:r>
                      </w:p>
                      <w:p w:rsidR="00E86C16" w:rsidRDefault="00E86C16">
                        <w:pPr>
                          <w:spacing w:line="228" w:lineRule="auto"/>
                          <w:ind w:left="689"/>
                          <w:rPr>
                            <w:rFonts w:ascii="宋体" w:eastAsia="宋体" w:hAnsi="宋体" w:cs="宋体"/>
                            <w:sz w:val="14"/>
                            <w:szCs w:val="14"/>
                          </w:rPr>
                        </w:pPr>
                        <w:r>
                          <w:rPr>
                            <w:rFonts w:ascii="宋体" w:eastAsia="宋体" w:hAnsi="宋体" w:cs="宋体"/>
                            <w:spacing w:val="24"/>
                            <w:sz w:val="14"/>
                            <w:szCs w:val="14"/>
                          </w:rPr>
                          <w:t>小肠</w:t>
                        </w:r>
                      </w:p>
                      <w:p w:rsidR="00E86C16" w:rsidRDefault="00E86C16">
                        <w:pPr>
                          <w:spacing w:before="10" w:line="220" w:lineRule="auto"/>
                          <w:ind w:left="2319"/>
                          <w:rPr>
                            <w:rFonts w:ascii="宋体" w:eastAsia="宋体" w:hAnsi="宋体" w:cs="宋体"/>
                            <w:sz w:val="17"/>
                            <w:szCs w:val="17"/>
                          </w:rPr>
                        </w:pPr>
                        <w:r>
                          <w:rPr>
                            <w:rFonts w:ascii="宋体" w:eastAsia="宋体" w:hAnsi="宋体" w:cs="宋体"/>
                            <w:spacing w:val="-14"/>
                            <w:w w:val="98"/>
                            <w:sz w:val="17"/>
                            <w:szCs w:val="17"/>
                          </w:rPr>
                          <w:t>乳化脂肪</w:t>
                        </w:r>
                      </w:p>
                      <w:p w:rsidR="00E86C16" w:rsidRDefault="00E86C16">
                        <w:pPr>
                          <w:spacing w:line="369" w:lineRule="auto"/>
                        </w:pPr>
                      </w:p>
                      <w:p w:rsidR="00E86C16" w:rsidRDefault="00E86C16">
                        <w:pPr>
                          <w:spacing w:before="56" w:line="232" w:lineRule="auto"/>
                          <w:ind w:left="1099"/>
                          <w:rPr>
                            <w:rFonts w:ascii="仿宋" w:eastAsia="仿宋" w:hAnsi="仿宋" w:cs="仿宋"/>
                            <w:sz w:val="17"/>
                            <w:szCs w:val="17"/>
                          </w:rPr>
                        </w:pPr>
                        <w:r>
                          <w:rPr>
                            <w:rFonts w:ascii="宋体" w:eastAsia="宋体" w:hAnsi="宋体" w:cs="宋体"/>
                            <w:spacing w:val="-14"/>
                            <w:w w:val="90"/>
                            <w:sz w:val="17"/>
                            <w:szCs w:val="17"/>
                          </w:rPr>
                          <w:t>胰脂肪酶-</w:t>
                        </w:r>
                        <w:r>
                          <w:rPr>
                            <w:rFonts w:ascii="宋体" w:eastAsia="宋体" w:hAnsi="宋体" w:cs="宋体"/>
                            <w:spacing w:val="26"/>
                            <w:sz w:val="17"/>
                            <w:szCs w:val="17"/>
                          </w:rPr>
                          <w:t xml:space="preserve">   </w:t>
                        </w:r>
                        <w:r>
                          <w:rPr>
                            <w:rFonts w:ascii="仿宋" w:eastAsia="仿宋" w:hAnsi="仿宋" w:cs="仿宋"/>
                            <w:spacing w:val="-14"/>
                            <w:w w:val="90"/>
                            <w:sz w:val="17"/>
                            <w:szCs w:val="17"/>
                          </w:rPr>
                          <w:t>水解</w:t>
                        </w:r>
                      </w:p>
                      <w:p w:rsidR="00E86C16" w:rsidRDefault="00E86C16">
                        <w:pPr>
                          <w:spacing w:before="76" w:line="219" w:lineRule="auto"/>
                          <w:ind w:left="939"/>
                          <w:rPr>
                            <w:rFonts w:ascii="宋体" w:eastAsia="宋体" w:hAnsi="宋体" w:cs="宋体"/>
                            <w:sz w:val="17"/>
                            <w:szCs w:val="17"/>
                          </w:rPr>
                        </w:pPr>
                        <w:r>
                          <w:rPr>
                            <w:rFonts w:ascii="宋体" w:eastAsia="宋体" w:hAnsi="宋体" w:cs="宋体"/>
                            <w:spacing w:val="-13"/>
                            <w:w w:val="90"/>
                            <w:sz w:val="17"/>
                            <w:szCs w:val="17"/>
                          </w:rPr>
                          <w:t>小肠脂肪酶-</w:t>
                        </w:r>
                      </w:p>
                      <w:p w:rsidR="00E86C16" w:rsidRDefault="00E86C16">
                        <w:pPr>
                          <w:spacing w:before="39" w:line="196" w:lineRule="auto"/>
                          <w:ind w:left="1699"/>
                          <w:rPr>
                            <w:rFonts w:ascii="宋体" w:eastAsia="宋体" w:hAnsi="宋体" w:cs="宋体"/>
                            <w:sz w:val="15"/>
                            <w:szCs w:val="15"/>
                          </w:rPr>
                        </w:pPr>
                        <w:r>
                          <w:rPr>
                            <w:rFonts w:ascii="宋体" w:eastAsia="宋体" w:hAnsi="宋体" w:cs="宋体"/>
                            <w:spacing w:val="-2"/>
                            <w:sz w:val="15"/>
                            <w:szCs w:val="15"/>
                          </w:rPr>
                          <w:t>脂肪酸、甘油单酯、甘油</w:t>
                        </w:r>
                      </w:p>
                      <w:p w:rsidR="00E86C16" w:rsidRDefault="00E86C16">
                        <w:pPr>
                          <w:spacing w:line="234" w:lineRule="auto"/>
                          <w:ind w:left="20"/>
                          <w:rPr>
                            <w:rFonts w:ascii="仿宋" w:eastAsia="仿宋" w:hAnsi="仿宋" w:cs="仿宋"/>
                            <w:sz w:val="15"/>
                            <w:szCs w:val="15"/>
                          </w:rPr>
                        </w:pPr>
                        <w:r>
                          <w:rPr>
                            <w:rFonts w:ascii="仿宋" w:eastAsia="仿宋" w:hAnsi="仿宋" w:cs="仿宋"/>
                            <w:spacing w:val="8"/>
                            <w:sz w:val="15"/>
                            <w:szCs w:val="15"/>
                          </w:rPr>
                          <w:t>化</w:t>
                        </w:r>
                      </w:p>
                      <w:p w:rsidR="00E86C16" w:rsidRDefault="00E86C16">
                        <w:pPr>
                          <w:spacing w:line="303" w:lineRule="auto"/>
                        </w:pPr>
                      </w:p>
                      <w:p w:rsidR="00E86C16" w:rsidRDefault="00E86C16">
                        <w:pPr>
                          <w:spacing w:before="56" w:line="220" w:lineRule="auto"/>
                          <w:ind w:left="759"/>
                          <w:rPr>
                            <w:rFonts w:ascii="宋体" w:eastAsia="宋体" w:hAnsi="宋体" w:cs="宋体"/>
                            <w:sz w:val="17"/>
                            <w:szCs w:val="17"/>
                          </w:rPr>
                        </w:pPr>
                        <w:r>
                          <w:rPr>
                            <w:rFonts w:ascii="宋体" w:eastAsia="宋体" w:hAnsi="宋体" w:cs="宋体"/>
                            <w:spacing w:val="-18"/>
                            <w:sz w:val="17"/>
                            <w:szCs w:val="17"/>
                          </w:rPr>
                          <w:t>&gt;12碳长链脂肪酸和甘油单酯</w:t>
                        </w:r>
                        <w:r>
                          <w:rPr>
                            <w:rFonts w:ascii="宋体" w:eastAsia="宋体" w:hAnsi="宋体" w:cs="宋体"/>
                            <w:spacing w:val="8"/>
                            <w:sz w:val="17"/>
                            <w:szCs w:val="17"/>
                          </w:rPr>
                          <w:t xml:space="preserve">   </w:t>
                        </w:r>
                        <w:r>
                          <w:rPr>
                            <w:rFonts w:ascii="宋体" w:eastAsia="宋体" w:hAnsi="宋体" w:cs="宋体"/>
                            <w:spacing w:val="-18"/>
                            <w:sz w:val="17"/>
                            <w:szCs w:val="17"/>
                          </w:rPr>
                          <w:t>≤12碳的中、短链脂</w:t>
                        </w:r>
                        <w:r>
                          <w:rPr>
                            <w:rFonts w:ascii="宋体" w:eastAsia="宋体" w:hAnsi="宋体" w:cs="宋体"/>
                            <w:spacing w:val="-19"/>
                            <w:sz w:val="17"/>
                            <w:szCs w:val="17"/>
                          </w:rPr>
                          <w:t>肪酸</w:t>
                        </w:r>
                      </w:p>
                      <w:p w:rsidR="00E86C16" w:rsidRDefault="00E86C16">
                        <w:pPr>
                          <w:spacing w:line="274" w:lineRule="auto"/>
                        </w:pPr>
                      </w:p>
                      <w:p w:rsidR="00E86C16" w:rsidRDefault="00E86C16">
                        <w:pPr>
                          <w:spacing w:line="274" w:lineRule="auto"/>
                        </w:pPr>
                      </w:p>
                      <w:p w:rsidR="00E86C16" w:rsidRDefault="00E86C16">
                        <w:pPr>
                          <w:spacing w:before="56" w:line="220" w:lineRule="auto"/>
                          <w:ind w:left="910"/>
                          <w:rPr>
                            <w:rFonts w:ascii="宋体" w:eastAsia="宋体" w:hAnsi="宋体" w:cs="宋体"/>
                            <w:sz w:val="17"/>
                            <w:szCs w:val="17"/>
                          </w:rPr>
                        </w:pPr>
                        <w:r>
                          <w:rPr>
                            <w:rFonts w:ascii="宋体" w:eastAsia="宋体" w:hAnsi="宋体" w:cs="宋体"/>
                            <w:spacing w:val="-14"/>
                            <w:w w:val="96"/>
                            <w:sz w:val="17"/>
                            <w:szCs w:val="17"/>
                          </w:rPr>
                          <w:t>再合成甘油三酯</w:t>
                        </w:r>
                      </w:p>
                      <w:p w:rsidR="00E86C16" w:rsidRDefault="00E86C16">
                        <w:pPr>
                          <w:spacing w:before="157" w:line="249" w:lineRule="exact"/>
                          <w:ind w:left="1809"/>
                          <w:rPr>
                            <w:rFonts w:ascii="宋体" w:eastAsia="宋体" w:hAnsi="宋体" w:cs="宋体"/>
                            <w:sz w:val="17"/>
                            <w:szCs w:val="17"/>
                          </w:rPr>
                        </w:pPr>
                        <w:r>
                          <w:rPr>
                            <w:rFonts w:ascii="宋体" w:eastAsia="宋体" w:hAnsi="宋体" w:cs="宋体"/>
                            <w:spacing w:val="-12"/>
                            <w:position w:val="5"/>
                            <w:sz w:val="17"/>
                            <w:szCs w:val="17"/>
                          </w:rPr>
                          <w:t>蛋白质</w:t>
                        </w:r>
                      </w:p>
                      <w:p w:rsidR="00E86C16" w:rsidRDefault="00E86C16">
                        <w:pPr>
                          <w:spacing w:before="1" w:line="219" w:lineRule="auto"/>
                          <w:ind w:left="1809"/>
                          <w:rPr>
                            <w:rFonts w:ascii="宋体" w:eastAsia="宋体" w:hAnsi="宋体" w:cs="宋体"/>
                            <w:sz w:val="17"/>
                            <w:szCs w:val="17"/>
                          </w:rPr>
                        </w:pPr>
                        <w:r>
                          <w:rPr>
                            <w:rFonts w:ascii="宋体" w:eastAsia="宋体" w:hAnsi="宋体" w:cs="宋体"/>
                            <w:spacing w:val="-2"/>
                            <w:sz w:val="17"/>
                            <w:szCs w:val="17"/>
                          </w:rPr>
                          <w:t>磷脂</w:t>
                        </w:r>
                      </w:p>
                      <w:p w:rsidR="00E86C16" w:rsidRDefault="00E86C16">
                        <w:pPr>
                          <w:spacing w:before="79" w:line="195" w:lineRule="auto"/>
                          <w:ind w:left="1809"/>
                          <w:rPr>
                            <w:rFonts w:ascii="宋体" w:eastAsia="宋体" w:hAnsi="宋体" w:cs="宋体"/>
                            <w:sz w:val="17"/>
                            <w:szCs w:val="17"/>
                          </w:rPr>
                        </w:pPr>
                        <w:r>
                          <w:rPr>
                            <w:rFonts w:ascii="宋体" w:eastAsia="宋体" w:hAnsi="宋体" w:cs="宋体"/>
                            <w:spacing w:val="-21"/>
                            <w:sz w:val="17"/>
                            <w:szCs w:val="17"/>
                          </w:rPr>
                          <w:t>胆固醇</w:t>
                        </w:r>
                      </w:p>
                      <w:p w:rsidR="00E86C16" w:rsidRDefault="00E86C16">
                        <w:pPr>
                          <w:spacing w:line="220" w:lineRule="auto"/>
                          <w:ind w:right="32"/>
                          <w:jc w:val="right"/>
                          <w:rPr>
                            <w:rFonts w:ascii="宋体" w:eastAsia="宋体" w:hAnsi="宋体" w:cs="宋体"/>
                            <w:sz w:val="17"/>
                            <w:szCs w:val="17"/>
                          </w:rPr>
                        </w:pPr>
                        <w:r>
                          <w:rPr>
                            <w:rFonts w:ascii="宋体" w:eastAsia="宋体" w:hAnsi="宋体" w:cs="宋体"/>
                            <w:spacing w:val="-9"/>
                            <w:sz w:val="17"/>
                            <w:szCs w:val="17"/>
                          </w:rPr>
                          <w:t>清蛋白</w:t>
                        </w:r>
                      </w:p>
                      <w:p w:rsidR="00E86C16" w:rsidRDefault="00E86C16">
                        <w:pPr>
                          <w:spacing w:before="37" w:line="219" w:lineRule="auto"/>
                          <w:ind w:left="1099"/>
                          <w:rPr>
                            <w:rFonts w:ascii="宋体" w:eastAsia="宋体" w:hAnsi="宋体" w:cs="宋体"/>
                            <w:sz w:val="17"/>
                            <w:szCs w:val="17"/>
                          </w:rPr>
                        </w:pPr>
                        <w:r>
                          <w:rPr>
                            <w:rFonts w:ascii="宋体" w:eastAsia="宋体" w:hAnsi="宋体" w:cs="宋体"/>
                            <w:spacing w:val="-12"/>
                            <w:w w:val="96"/>
                            <w:sz w:val="17"/>
                            <w:szCs w:val="17"/>
                          </w:rPr>
                          <w:t>乳糜微粒</w:t>
                        </w:r>
                      </w:p>
                      <w:p w:rsidR="00E86C16" w:rsidRDefault="00E86C16">
                        <w:pPr>
                          <w:spacing w:before="163" w:line="219" w:lineRule="auto"/>
                          <w:ind w:left="20"/>
                          <w:rPr>
                            <w:rFonts w:ascii="仿宋" w:eastAsia="仿宋" w:hAnsi="仿宋" w:cs="仿宋"/>
                            <w:sz w:val="17"/>
                            <w:szCs w:val="17"/>
                          </w:rPr>
                        </w:pPr>
                        <w:r>
                          <w:rPr>
                            <w:rFonts w:ascii="仿宋" w:eastAsia="仿宋" w:hAnsi="仿宋" w:cs="仿宋"/>
                            <w:sz w:val="17"/>
                            <w:szCs w:val="17"/>
                          </w:rPr>
                          <w:t>转</w:t>
                        </w:r>
                      </w:p>
                      <w:p w:rsidR="00E86C16" w:rsidRDefault="00E86C16">
                        <w:pPr>
                          <w:spacing w:before="202" w:line="218" w:lineRule="auto"/>
                          <w:ind w:left="1099"/>
                          <w:rPr>
                            <w:rFonts w:ascii="宋体" w:eastAsia="宋体" w:hAnsi="宋体" w:cs="宋体"/>
                            <w:sz w:val="17"/>
                            <w:szCs w:val="17"/>
                          </w:rPr>
                        </w:pPr>
                        <w:r>
                          <w:rPr>
                            <w:rFonts w:ascii="宋体" w:eastAsia="宋体" w:hAnsi="宋体" w:cs="宋体"/>
                            <w:spacing w:val="-14"/>
                            <w:w w:val="98"/>
                            <w:sz w:val="17"/>
                            <w:szCs w:val="17"/>
                          </w:rPr>
                          <w:t>淋巴循环</w:t>
                        </w:r>
                      </w:p>
                      <w:p w:rsidR="00E86C16" w:rsidRDefault="00E86C16">
                        <w:pPr>
                          <w:spacing w:before="179" w:line="232" w:lineRule="auto"/>
                          <w:ind w:left="20"/>
                          <w:rPr>
                            <w:rFonts w:ascii="仿宋" w:eastAsia="仿宋" w:hAnsi="仿宋" w:cs="仿宋"/>
                            <w:sz w:val="17"/>
                            <w:szCs w:val="17"/>
                          </w:rPr>
                        </w:pPr>
                        <w:r>
                          <w:rPr>
                            <w:rFonts w:ascii="仿宋" w:eastAsia="仿宋" w:hAnsi="仿宋" w:cs="仿宋"/>
                            <w:sz w:val="17"/>
                            <w:szCs w:val="17"/>
                          </w:rPr>
                          <w:t>运</w:t>
                        </w:r>
                      </w:p>
                      <w:p w:rsidR="00E86C16" w:rsidRDefault="00E86C16">
                        <w:pPr>
                          <w:spacing w:before="178" w:line="219" w:lineRule="auto"/>
                          <w:ind w:left="1099"/>
                          <w:rPr>
                            <w:rFonts w:ascii="宋体" w:eastAsia="宋体" w:hAnsi="宋体" w:cs="宋体"/>
                            <w:sz w:val="17"/>
                            <w:szCs w:val="17"/>
                          </w:rPr>
                        </w:pPr>
                        <w:r>
                          <w:rPr>
                            <w:rFonts w:ascii="宋体" w:eastAsia="宋体" w:hAnsi="宋体" w:cs="宋体"/>
                            <w:spacing w:val="-13"/>
                            <w:w w:val="97"/>
                            <w:sz w:val="17"/>
                            <w:szCs w:val="17"/>
                          </w:rPr>
                          <w:t>血液循环</w:t>
                        </w:r>
                      </w:p>
                    </w:txbxContent>
                  </v:textbox>
                </v:shape>
                <v:shape id="Text Box 23" o:spid="_x0000_s1045" type="#_x0000_t202" style="position:absolute;top:1798;width:200;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E86C16" w:rsidRDefault="00E86C16">
                        <w:pPr>
                          <w:spacing w:before="19" w:line="221" w:lineRule="auto"/>
                          <w:ind w:left="20"/>
                          <w:rPr>
                            <w:rFonts w:ascii="宋体" w:eastAsia="宋体" w:hAnsi="宋体" w:cs="宋体"/>
                            <w:sz w:val="17"/>
                            <w:szCs w:val="17"/>
                          </w:rPr>
                        </w:pPr>
                        <w:r>
                          <w:rPr>
                            <w:rFonts w:ascii="宋体" w:eastAsia="宋体" w:hAnsi="宋体" w:cs="宋体"/>
                            <w:sz w:val="17"/>
                            <w:szCs w:val="17"/>
                          </w:rPr>
                          <w:t>消</w:t>
                        </w:r>
                      </w:p>
                    </w:txbxContent>
                  </v:textbox>
                </v:shape>
                <v:shape id="Text Box 24" o:spid="_x0000_s1046" type="#_x0000_t202" style="position:absolute;top:4766;width:197;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z w:val="17"/>
                            <w:szCs w:val="17"/>
                          </w:rPr>
                          <w:t>收</w:t>
                        </w:r>
                      </w:p>
                    </w:txbxContent>
                  </v:textbox>
                </v:shape>
                <v:shape id="Text Box 25" o:spid="_x0000_s1047" type="#_x0000_t202" style="position:absolute;top:4007;width:197;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E86C16" w:rsidRDefault="00E86C16">
                        <w:pPr>
                          <w:spacing w:before="20" w:line="220" w:lineRule="auto"/>
                          <w:ind w:left="20"/>
                          <w:rPr>
                            <w:rFonts w:ascii="宋体" w:eastAsia="宋体" w:hAnsi="宋体" w:cs="宋体"/>
                            <w:sz w:val="17"/>
                            <w:szCs w:val="17"/>
                          </w:rPr>
                        </w:pPr>
                        <w:r>
                          <w:rPr>
                            <w:rFonts w:ascii="宋体" w:eastAsia="宋体" w:hAnsi="宋体" w:cs="宋体"/>
                            <w:sz w:val="17"/>
                            <w:szCs w:val="17"/>
                          </w:rPr>
                          <w:t>吸</w:t>
                        </w:r>
                      </w:p>
                    </w:txbxContent>
                  </v:textbox>
                </v:shape>
                <w10:anchorlock/>
              </v:group>
            </w:pict>
          </mc:Fallback>
        </mc:AlternateContent>
      </w:r>
    </w:p>
    <w:p w:rsidR="00EA40A3" w:rsidRDefault="00E86C16">
      <w:pPr>
        <w:spacing w:before="147" w:line="219" w:lineRule="auto"/>
        <w:ind w:left="1959"/>
        <w:rPr>
          <w:rFonts w:ascii="宋体" w:eastAsia="宋体" w:hAnsi="宋体" w:cs="宋体"/>
          <w:sz w:val="17"/>
          <w:szCs w:val="17"/>
        </w:rPr>
      </w:pPr>
      <w:r>
        <w:rPr>
          <w:rFonts w:ascii="宋体" w:eastAsia="宋体" w:hAnsi="宋体" w:cs="宋体"/>
          <w:spacing w:val="8"/>
          <w:sz w:val="17"/>
          <w:szCs w:val="17"/>
        </w:rPr>
        <w:t>图2-4</w:t>
      </w:r>
      <w:r>
        <w:rPr>
          <w:rFonts w:ascii="宋体" w:eastAsia="宋体" w:hAnsi="宋体" w:cs="宋体"/>
          <w:spacing w:val="89"/>
          <w:sz w:val="17"/>
          <w:szCs w:val="17"/>
        </w:rPr>
        <w:t xml:space="preserve"> </w:t>
      </w:r>
      <w:r>
        <w:rPr>
          <w:rFonts w:ascii="宋体" w:eastAsia="宋体" w:hAnsi="宋体" w:cs="宋体"/>
          <w:spacing w:val="8"/>
          <w:sz w:val="17"/>
          <w:szCs w:val="17"/>
        </w:rPr>
        <w:t>脂肪的消化、吸收和转运示意图</w:t>
      </w:r>
    </w:p>
    <w:p w:rsidR="00EA40A3" w:rsidRDefault="00E86C16">
      <w:pPr>
        <w:spacing w:before="75"/>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26</w:t>
      </w:r>
      <w:r>
        <w:rPr>
          <w:rFonts w:ascii="宋体" w:eastAsia="宋体" w:hAnsi="宋体" w:cs="宋体"/>
          <w:spacing w:val="49"/>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1019" w:bottom="400" w:left="930" w:header="0" w:footer="0" w:gutter="0"/>
          <w:cols w:space="720"/>
        </w:sectPr>
      </w:pPr>
    </w:p>
    <w:p w:rsidR="00EA40A3" w:rsidRDefault="00EA40A3">
      <w:pPr>
        <w:spacing w:line="267" w:lineRule="auto"/>
      </w:pPr>
    </w:p>
    <w:p w:rsidR="00EA40A3" w:rsidRDefault="00EA40A3">
      <w:pPr>
        <w:spacing w:line="268" w:lineRule="auto"/>
      </w:pPr>
    </w:p>
    <w:p w:rsidR="00EA40A3" w:rsidRDefault="00E86C16">
      <w:pPr>
        <w:spacing w:before="68" w:line="251" w:lineRule="auto"/>
        <w:ind w:right="116"/>
        <w:rPr>
          <w:rFonts w:ascii="宋体" w:eastAsia="宋体" w:hAnsi="宋体" w:cs="宋体"/>
        </w:rPr>
      </w:pPr>
      <w:bookmarkStart w:id="11" w:name="_bookmark15"/>
      <w:bookmarkEnd w:id="11"/>
      <w:r>
        <w:rPr>
          <w:rFonts w:ascii="宋体" w:eastAsia="宋体" w:hAnsi="宋体" w:cs="宋体"/>
          <w:spacing w:val="1"/>
        </w:rPr>
        <w:t>酯，使胆固醇酯水解为游离胆固醇和脂肪酸。③磷脂的分解：由磷脂酶A</w:t>
      </w:r>
      <w:r>
        <w:rPr>
          <w:rFonts w:ascii="Calibri" w:eastAsia="Calibri" w:hAnsi="Calibri" w:cs="Calibri"/>
          <w:spacing w:val="1"/>
        </w:rPr>
        <w:t>₂</w:t>
      </w:r>
      <w:r>
        <w:rPr>
          <w:rFonts w:ascii="Calibri" w:eastAsia="Calibri" w:hAnsi="Calibri" w:cs="Calibri"/>
          <w:spacing w:val="11"/>
        </w:rPr>
        <w:t xml:space="preserve">  </w:t>
      </w:r>
      <w:r>
        <w:rPr>
          <w:rFonts w:ascii="宋体" w:eastAsia="宋体" w:hAnsi="宋体" w:cs="宋体"/>
          <w:spacing w:val="1"/>
        </w:rPr>
        <w:t>催化</w:t>
      </w:r>
      <w:r>
        <w:rPr>
          <w:rFonts w:ascii="宋体" w:eastAsia="宋体" w:hAnsi="宋体" w:cs="宋体"/>
        </w:rPr>
        <w:t xml:space="preserve"> </w:t>
      </w:r>
      <w:r>
        <w:rPr>
          <w:rFonts w:ascii="宋体" w:eastAsia="宋体" w:hAnsi="宋体" w:cs="宋体"/>
          <w:spacing w:val="-5"/>
        </w:rPr>
        <w:t>磷脂的第二位酯键水解，生成溶血磷脂和一分子脂肪酸。</w:t>
      </w:r>
    </w:p>
    <w:p w:rsidR="00EA40A3" w:rsidRDefault="00E86C16">
      <w:pPr>
        <w:spacing w:before="45" w:line="260" w:lineRule="auto"/>
        <w:ind w:right="96" w:firstLine="459"/>
        <w:jc w:val="both"/>
        <w:rPr>
          <w:rFonts w:ascii="宋体" w:eastAsia="宋体" w:hAnsi="宋体" w:cs="宋体"/>
        </w:rPr>
      </w:pPr>
      <w:r>
        <w:rPr>
          <w:rFonts w:ascii="宋体" w:eastAsia="宋体" w:hAnsi="宋体" w:cs="宋体"/>
        </w:rPr>
        <w:t>(2)脂类的吸收：脂类消化过程中产生的脂肪酸、甘油一酯</w:t>
      </w:r>
      <w:r>
        <w:rPr>
          <w:rFonts w:ascii="宋体" w:eastAsia="宋体" w:hAnsi="宋体" w:cs="宋体"/>
          <w:spacing w:val="-1"/>
        </w:rPr>
        <w:t>等具有较大的极</w:t>
      </w:r>
      <w:r>
        <w:rPr>
          <w:rFonts w:ascii="宋体" w:eastAsia="宋体" w:hAnsi="宋体" w:cs="宋体"/>
        </w:rPr>
        <w:t xml:space="preserve"> </w:t>
      </w:r>
      <w:r>
        <w:rPr>
          <w:rFonts w:ascii="宋体" w:eastAsia="宋体" w:hAnsi="宋体" w:cs="宋体"/>
          <w:spacing w:val="-3"/>
        </w:rPr>
        <w:t>性，能够从乳胶体的酯相扩散到胆汁微团中，形成微细的混合微团。这种混合微</w:t>
      </w:r>
      <w:r>
        <w:rPr>
          <w:rFonts w:ascii="宋体" w:eastAsia="宋体" w:hAnsi="宋体" w:cs="宋体"/>
          <w:spacing w:val="12"/>
        </w:rPr>
        <w:t xml:space="preserve"> </w:t>
      </w:r>
      <w:r>
        <w:rPr>
          <w:rFonts w:ascii="宋体" w:eastAsia="宋体" w:hAnsi="宋体" w:cs="宋体"/>
          <w:spacing w:val="-3"/>
        </w:rPr>
        <w:t>团的体积很小，而且带有极性很易扩散，通过覆盖在小肠绒毛表面的水层，而使</w:t>
      </w:r>
      <w:r>
        <w:rPr>
          <w:rFonts w:ascii="宋体" w:eastAsia="宋体" w:hAnsi="宋体" w:cs="宋体"/>
          <w:spacing w:val="14"/>
        </w:rPr>
        <w:t xml:space="preserve"> </w:t>
      </w:r>
      <w:r>
        <w:rPr>
          <w:rFonts w:ascii="宋体" w:eastAsia="宋体" w:hAnsi="宋体" w:cs="宋体"/>
          <w:spacing w:val="-3"/>
        </w:rPr>
        <w:t>脂类消化的产物进入肠黏膜细胞中。脂类吸收的部位主要在十二指肠的下部和空</w:t>
      </w:r>
      <w:r>
        <w:rPr>
          <w:rFonts w:ascii="宋体" w:eastAsia="宋体" w:hAnsi="宋体" w:cs="宋体"/>
          <w:spacing w:val="15"/>
        </w:rPr>
        <w:t xml:space="preserve"> </w:t>
      </w:r>
      <w:r>
        <w:rPr>
          <w:rFonts w:ascii="宋体" w:eastAsia="宋体" w:hAnsi="宋体" w:cs="宋体"/>
          <w:spacing w:val="-3"/>
        </w:rPr>
        <w:t>肠的上部。消化与吸收是同时进行的，消化后的产物迅速被吸收保证了消化的顺</w:t>
      </w:r>
      <w:r>
        <w:rPr>
          <w:rFonts w:ascii="宋体" w:eastAsia="宋体" w:hAnsi="宋体" w:cs="宋体"/>
          <w:spacing w:val="12"/>
        </w:rPr>
        <w:t xml:space="preserve"> </w:t>
      </w:r>
      <w:r>
        <w:rPr>
          <w:rFonts w:ascii="宋体" w:eastAsia="宋体" w:hAnsi="宋体" w:cs="宋体"/>
          <w:spacing w:val="-3"/>
        </w:rPr>
        <w:t>利进行。中、短链脂肪酸及甘油的极性较强，很容易分散而被吸收；中、短链脂</w:t>
      </w:r>
      <w:r>
        <w:rPr>
          <w:rFonts w:ascii="宋体" w:eastAsia="宋体" w:hAnsi="宋体" w:cs="宋体"/>
          <w:spacing w:val="14"/>
        </w:rPr>
        <w:t xml:space="preserve"> </w:t>
      </w:r>
      <w:r>
        <w:rPr>
          <w:rFonts w:ascii="宋体" w:eastAsia="宋体" w:hAnsi="宋体" w:cs="宋体"/>
          <w:spacing w:val="-3"/>
        </w:rPr>
        <w:t>肪酸构成的甘油三酯，经胆盐乳化后也可以完整的形式吸收，在肠黏膜细胞内脂</w:t>
      </w:r>
      <w:r>
        <w:rPr>
          <w:rFonts w:ascii="宋体" w:eastAsia="宋体" w:hAnsi="宋体" w:cs="宋体"/>
          <w:spacing w:val="14"/>
        </w:rPr>
        <w:t xml:space="preserve"> </w:t>
      </w:r>
      <w:r>
        <w:rPr>
          <w:rFonts w:ascii="宋体" w:eastAsia="宋体" w:hAnsi="宋体" w:cs="宋体"/>
          <w:spacing w:val="-3"/>
        </w:rPr>
        <w:t>肪酶的作用下，水解成脂肪酸及甘油，通过门静脉进入血液循环；长链</w:t>
      </w:r>
      <w:r>
        <w:rPr>
          <w:rFonts w:ascii="宋体" w:eastAsia="宋体" w:hAnsi="宋体" w:cs="宋体"/>
          <w:spacing w:val="-4"/>
        </w:rPr>
        <w:t>脂肪酸及</w:t>
      </w:r>
      <w:r>
        <w:rPr>
          <w:rFonts w:ascii="宋体" w:eastAsia="宋体" w:hAnsi="宋体" w:cs="宋体"/>
        </w:rPr>
        <w:t xml:space="preserve"> </w:t>
      </w:r>
      <w:r>
        <w:rPr>
          <w:rFonts w:ascii="宋体" w:eastAsia="宋体" w:hAnsi="宋体" w:cs="宋体"/>
          <w:spacing w:val="-2"/>
        </w:rPr>
        <w:t>甘油一酯随混合微团被吸收入肠黏膜细胞后，</w:t>
      </w:r>
      <w:r>
        <w:rPr>
          <w:rFonts w:ascii="宋体" w:eastAsia="宋体" w:hAnsi="宋体" w:cs="宋体"/>
          <w:spacing w:val="-3"/>
        </w:rPr>
        <w:t>在胞内重新合成为甘油三酯，然后</w:t>
      </w:r>
      <w:r>
        <w:rPr>
          <w:rFonts w:ascii="宋体" w:eastAsia="宋体" w:hAnsi="宋体" w:cs="宋体"/>
        </w:rPr>
        <w:t xml:space="preserve"> </w:t>
      </w:r>
      <w:r>
        <w:rPr>
          <w:rFonts w:ascii="宋体" w:eastAsia="宋体" w:hAnsi="宋体" w:cs="宋体"/>
          <w:spacing w:val="-3"/>
        </w:rPr>
        <w:t>与载脂蛋白、磷脂、胆固醇等生成乳糜微粒，经淋巴进入血液循</w:t>
      </w:r>
      <w:r>
        <w:rPr>
          <w:rFonts w:ascii="宋体" w:eastAsia="宋体" w:hAnsi="宋体" w:cs="宋体"/>
          <w:spacing w:val="-4"/>
        </w:rPr>
        <w:t>环；胆固醇的吸</w:t>
      </w:r>
      <w:r>
        <w:rPr>
          <w:rFonts w:ascii="宋体" w:eastAsia="宋体" w:hAnsi="宋体" w:cs="宋体"/>
        </w:rPr>
        <w:t xml:space="preserve"> </w:t>
      </w:r>
      <w:r>
        <w:rPr>
          <w:rFonts w:ascii="宋体" w:eastAsia="宋体" w:hAnsi="宋体" w:cs="宋体"/>
          <w:spacing w:val="-3"/>
        </w:rPr>
        <w:t>收较其他脂类慢且不完全，已吸收的胆固醇大部分被再酯化生成胆固醇酯，后者</w:t>
      </w:r>
      <w:r>
        <w:rPr>
          <w:rFonts w:ascii="宋体" w:eastAsia="宋体" w:hAnsi="宋体" w:cs="宋体"/>
          <w:spacing w:val="13"/>
        </w:rPr>
        <w:t xml:space="preserve"> </w:t>
      </w:r>
      <w:r>
        <w:rPr>
          <w:rFonts w:ascii="宋体" w:eastAsia="宋体" w:hAnsi="宋体" w:cs="宋体"/>
          <w:spacing w:val="-3"/>
        </w:rPr>
        <w:t>的大部分参与乳糜微粒的组成，少量参与极低密度脂蛋白的组成</w:t>
      </w:r>
      <w:r>
        <w:rPr>
          <w:rFonts w:ascii="宋体" w:eastAsia="宋体" w:hAnsi="宋体" w:cs="宋体"/>
          <w:spacing w:val="-4"/>
        </w:rPr>
        <w:t>，经淋巴进入血</w:t>
      </w:r>
      <w:r>
        <w:rPr>
          <w:rFonts w:ascii="宋体" w:eastAsia="宋体" w:hAnsi="宋体" w:cs="宋体"/>
        </w:rPr>
        <w:t xml:space="preserve"> </w:t>
      </w:r>
      <w:r>
        <w:rPr>
          <w:rFonts w:ascii="宋体" w:eastAsia="宋体" w:hAnsi="宋体" w:cs="宋体"/>
          <w:spacing w:val="-8"/>
        </w:rPr>
        <w:t>液循环。</w:t>
      </w:r>
    </w:p>
    <w:p w:rsidR="00EA40A3" w:rsidRDefault="00E86C16">
      <w:pPr>
        <w:spacing w:before="110" w:line="227" w:lineRule="auto"/>
        <w:rPr>
          <w:rFonts w:ascii="楷体" w:eastAsia="楷体" w:hAnsi="楷体" w:cs="楷体"/>
        </w:rPr>
      </w:pPr>
      <w:r>
        <w:rPr>
          <w:rFonts w:ascii="楷体" w:eastAsia="楷体" w:hAnsi="楷体" w:cs="楷体"/>
          <w:spacing w:val="3"/>
        </w:rPr>
        <w:t>3)碳水化合物的消化与吸收</w:t>
      </w:r>
    </w:p>
    <w:p w:rsidR="00EA40A3" w:rsidRDefault="00E86C16">
      <w:pPr>
        <w:spacing w:before="59" w:line="259" w:lineRule="auto"/>
        <w:ind w:firstLine="459"/>
        <w:jc w:val="both"/>
        <w:rPr>
          <w:rFonts w:ascii="宋体" w:eastAsia="宋体" w:hAnsi="宋体" w:cs="宋体"/>
        </w:rPr>
      </w:pPr>
      <w:r>
        <w:rPr>
          <w:rFonts w:ascii="宋体" w:eastAsia="宋体" w:hAnsi="宋体" w:cs="宋体"/>
          <w:spacing w:val="3"/>
        </w:rPr>
        <w:t>(1)碳水化合物的消化：虽然口腔内的唾液淀粉</w:t>
      </w:r>
      <w:r>
        <w:rPr>
          <w:rFonts w:ascii="宋体" w:eastAsia="宋体" w:hAnsi="宋体" w:cs="宋体"/>
          <w:spacing w:val="2"/>
        </w:rPr>
        <w:t>酶能把淀粉水解成麦芽糖，</w:t>
      </w:r>
      <w:r>
        <w:rPr>
          <w:rFonts w:ascii="宋体" w:eastAsia="宋体" w:hAnsi="宋体" w:cs="宋体"/>
        </w:rPr>
        <w:t xml:space="preserve"> </w:t>
      </w:r>
      <w:r>
        <w:rPr>
          <w:rFonts w:ascii="宋体" w:eastAsia="宋体" w:hAnsi="宋体" w:cs="宋体"/>
          <w:spacing w:val="-3"/>
        </w:rPr>
        <w:t>但由于食物在口腔停留的时间很短，所以淀粉在口腔内消化很少，淀粉的消化主</w:t>
      </w:r>
      <w:r>
        <w:rPr>
          <w:rFonts w:ascii="宋体" w:eastAsia="宋体" w:hAnsi="宋体" w:cs="宋体"/>
          <w:spacing w:val="7"/>
        </w:rPr>
        <w:t xml:space="preserve">  </w:t>
      </w:r>
      <w:r>
        <w:rPr>
          <w:rFonts w:ascii="宋体" w:eastAsia="宋体" w:hAnsi="宋体" w:cs="宋体"/>
          <w:spacing w:val="-3"/>
        </w:rPr>
        <w:t>要在小肠中进行。在小肠，胰液中的α淀粉酶可以从淀粉分子的内部水解α-1,4</w:t>
      </w:r>
      <w:r>
        <w:rPr>
          <w:rFonts w:ascii="宋体" w:eastAsia="宋体" w:hAnsi="宋体" w:cs="宋体"/>
          <w:spacing w:val="8"/>
        </w:rPr>
        <w:t xml:space="preserve">  </w:t>
      </w:r>
      <w:r>
        <w:rPr>
          <w:rFonts w:ascii="宋体" w:eastAsia="宋体" w:hAnsi="宋体" w:cs="宋体"/>
          <w:spacing w:val="-8"/>
        </w:rPr>
        <w:t>糖苷键，把淀粉分解为麦芽糖、麦芽三糖及含分支的异麦芽糖和α-</w:t>
      </w:r>
      <w:r>
        <w:rPr>
          <w:rFonts w:ascii="宋体" w:eastAsia="宋体" w:hAnsi="宋体" w:cs="宋体"/>
          <w:spacing w:val="-9"/>
        </w:rPr>
        <w:t>临界糊精。α-</w:t>
      </w:r>
      <w:r>
        <w:rPr>
          <w:rFonts w:ascii="宋体" w:eastAsia="宋体" w:hAnsi="宋体" w:cs="宋体"/>
        </w:rPr>
        <w:t xml:space="preserve">  </w:t>
      </w:r>
      <w:r>
        <w:rPr>
          <w:rFonts w:ascii="宋体" w:eastAsia="宋体" w:hAnsi="宋体" w:cs="宋体"/>
          <w:spacing w:val="3"/>
        </w:rPr>
        <w:t>临界糊精由4～9个葡萄糖组成，和异麦芽糖一样，其分支结构由α-1,6糖苷键  组成。小肠黏膜的刷状缘含有α-葡萄糖苷酶(包括麦芽糖酶)和α-临界糊精酶</w:t>
      </w:r>
      <w:r>
        <w:rPr>
          <w:rFonts w:ascii="宋体" w:eastAsia="宋体" w:hAnsi="宋体" w:cs="宋体"/>
          <w:spacing w:val="4"/>
        </w:rPr>
        <w:t xml:space="preserve">  </w:t>
      </w:r>
      <w:r>
        <w:rPr>
          <w:rFonts w:ascii="宋体" w:eastAsia="宋体" w:hAnsi="宋体" w:cs="宋体"/>
          <w:spacing w:val="-8"/>
        </w:rPr>
        <w:t>(包括异麦芽糖酶)。α-葡萄糖苷酶可把麦芽糖和麦芽三糖水解成葡萄糖，而α-临</w:t>
      </w:r>
      <w:r>
        <w:rPr>
          <w:rFonts w:ascii="宋体" w:eastAsia="宋体" w:hAnsi="宋体" w:cs="宋体"/>
          <w:spacing w:val="4"/>
        </w:rPr>
        <w:t xml:space="preserve">  </w:t>
      </w:r>
      <w:r>
        <w:rPr>
          <w:rFonts w:ascii="宋体" w:eastAsia="宋体" w:hAnsi="宋体" w:cs="宋体"/>
          <w:spacing w:val="-6"/>
        </w:rPr>
        <w:t>界糊精酶能把异麦芽糖和α-临界糊精水解成葡萄糖。此外，小肠黏膜细胞内还存</w:t>
      </w:r>
      <w:r>
        <w:rPr>
          <w:rFonts w:ascii="宋体" w:eastAsia="宋体" w:hAnsi="宋体" w:cs="宋体"/>
          <w:spacing w:val="9"/>
        </w:rPr>
        <w:t xml:space="preserve">  </w:t>
      </w:r>
      <w:r>
        <w:rPr>
          <w:rFonts w:ascii="宋体" w:eastAsia="宋体" w:hAnsi="宋体" w:cs="宋体"/>
          <w:spacing w:val="-2"/>
        </w:rPr>
        <w:t>在β葡萄糖苷酶，可以水解蔗糖和乳糖。碳水化合物的消化示意图见图2-5。</w:t>
      </w:r>
    </w:p>
    <w:p w:rsidR="00EA40A3" w:rsidRDefault="00E86C16">
      <w:pPr>
        <w:spacing w:before="46" w:line="260" w:lineRule="auto"/>
        <w:ind w:firstLine="459"/>
        <w:jc w:val="both"/>
        <w:rPr>
          <w:rFonts w:ascii="宋体" w:eastAsia="宋体" w:hAnsi="宋体" w:cs="宋体"/>
        </w:rPr>
      </w:pPr>
      <w:r>
        <w:rPr>
          <w:rFonts w:ascii="宋体" w:eastAsia="宋体" w:hAnsi="宋体" w:cs="宋体"/>
          <w:spacing w:val="3"/>
        </w:rPr>
        <w:t>(2)碳水化合物的吸收：碳水化合物经过消化变</w:t>
      </w:r>
      <w:r>
        <w:rPr>
          <w:rFonts w:ascii="宋体" w:eastAsia="宋体" w:hAnsi="宋体" w:cs="宋体"/>
          <w:spacing w:val="2"/>
        </w:rPr>
        <w:t>成单糖后才能被细胞吸收，</w:t>
      </w:r>
      <w:r>
        <w:rPr>
          <w:rFonts w:ascii="宋体" w:eastAsia="宋体" w:hAnsi="宋体" w:cs="宋体"/>
        </w:rPr>
        <w:t xml:space="preserve"> </w:t>
      </w:r>
      <w:r>
        <w:rPr>
          <w:rFonts w:ascii="宋体" w:eastAsia="宋体" w:hAnsi="宋体" w:cs="宋体"/>
          <w:spacing w:val="-3"/>
        </w:rPr>
        <w:t>糖吸收的主要部位在小肠的空肠。单糖首先进入肠黏膜上皮细胞，再进入小肠壁</w:t>
      </w:r>
      <w:r>
        <w:rPr>
          <w:rFonts w:ascii="宋体" w:eastAsia="宋体" w:hAnsi="宋体" w:cs="宋体"/>
          <w:spacing w:val="6"/>
        </w:rPr>
        <w:t xml:space="preserve">  </w:t>
      </w:r>
      <w:r>
        <w:rPr>
          <w:rFonts w:ascii="宋体" w:eastAsia="宋体" w:hAnsi="宋体" w:cs="宋体"/>
          <w:spacing w:val="-2"/>
        </w:rPr>
        <w:t>的门静脉毛细血管，并汇合于门静脉而进入肝</w:t>
      </w:r>
      <w:r>
        <w:rPr>
          <w:rFonts w:ascii="宋体" w:eastAsia="宋体" w:hAnsi="宋体" w:cs="宋体"/>
          <w:spacing w:val="-3"/>
        </w:rPr>
        <w:t>脏，最后进入大循环，运送到全身</w:t>
      </w:r>
      <w:r>
        <w:rPr>
          <w:rFonts w:ascii="宋体" w:eastAsia="宋体" w:hAnsi="宋体" w:cs="宋体"/>
        </w:rPr>
        <w:t xml:space="preserve">  </w:t>
      </w:r>
      <w:r>
        <w:rPr>
          <w:rFonts w:ascii="宋体" w:eastAsia="宋体" w:hAnsi="宋体" w:cs="宋体"/>
          <w:spacing w:val="-6"/>
        </w:rPr>
        <w:t>各个器官。糖的吸收主要在小肠上段完成，不同的糖其吸收机制不同。</w:t>
      </w:r>
      <w:r>
        <w:rPr>
          <w:rFonts w:ascii="宋体" w:eastAsia="宋体" w:hAnsi="宋体" w:cs="宋体"/>
          <w:spacing w:val="46"/>
        </w:rPr>
        <w:t xml:space="preserve"> </w:t>
      </w:r>
      <w:r>
        <w:rPr>
          <w:rFonts w:ascii="宋体" w:eastAsia="宋体" w:hAnsi="宋体" w:cs="宋体"/>
          <w:spacing w:val="-6"/>
        </w:rPr>
        <w:t>一般地，</w:t>
      </w:r>
      <w:r>
        <w:rPr>
          <w:rFonts w:ascii="宋体" w:eastAsia="宋体" w:hAnsi="宋体" w:cs="宋体"/>
        </w:rPr>
        <w:t xml:space="preserve"> </w:t>
      </w:r>
      <w:r>
        <w:rPr>
          <w:rFonts w:ascii="宋体" w:eastAsia="宋体" w:hAnsi="宋体" w:cs="宋体"/>
          <w:spacing w:val="10"/>
        </w:rPr>
        <w:t>戊糖(核糖)靠被动扩散吸收，而己糖的吸收包括</w:t>
      </w:r>
      <w:r>
        <w:rPr>
          <w:rFonts w:ascii="宋体" w:eastAsia="宋体" w:hAnsi="宋体" w:cs="宋体"/>
          <w:spacing w:val="9"/>
        </w:rPr>
        <w:t>被动扩散吸收及主动转运吸</w:t>
      </w:r>
      <w:r>
        <w:rPr>
          <w:rFonts w:ascii="宋体" w:eastAsia="宋体" w:hAnsi="宋体" w:cs="宋体"/>
        </w:rPr>
        <w:t xml:space="preserve">  </w:t>
      </w:r>
      <w:r>
        <w:rPr>
          <w:rFonts w:ascii="宋体" w:eastAsia="宋体" w:hAnsi="宋体" w:cs="宋体"/>
          <w:spacing w:val="-3"/>
        </w:rPr>
        <w:t>收。研究表明，在肠黏膜上皮细胞刷状缘上有一特异运糖载体蛋白，此类载体蛋</w:t>
      </w:r>
      <w:r>
        <w:rPr>
          <w:rFonts w:ascii="宋体" w:eastAsia="宋体" w:hAnsi="宋体" w:cs="宋体"/>
          <w:spacing w:val="6"/>
        </w:rPr>
        <w:t xml:space="preserve">  </w:t>
      </w:r>
      <w:r>
        <w:rPr>
          <w:rFonts w:ascii="宋体" w:eastAsia="宋体" w:hAnsi="宋体" w:cs="宋体"/>
          <w:spacing w:val="-3"/>
        </w:rPr>
        <w:t>白分子能够结合在第二碳位上具有自由羟基的吡喃型单糖，所以葡萄糖、半乳糖</w:t>
      </w:r>
      <w:r>
        <w:rPr>
          <w:rFonts w:ascii="宋体" w:eastAsia="宋体" w:hAnsi="宋体" w:cs="宋体"/>
          <w:spacing w:val="6"/>
        </w:rPr>
        <w:t xml:space="preserve">  等能与载体结合而迅速被吸收(图2-6)。而果糖、甘露糖等因不能与这类载体</w:t>
      </w:r>
      <w:r>
        <w:rPr>
          <w:rFonts w:ascii="宋体" w:eastAsia="宋体" w:hAnsi="宋体" w:cs="宋体"/>
          <w:spacing w:val="3"/>
        </w:rPr>
        <w:t xml:space="preserve">  </w:t>
      </w:r>
      <w:r>
        <w:rPr>
          <w:rFonts w:ascii="宋体" w:eastAsia="宋体" w:hAnsi="宋体" w:cs="宋体"/>
          <w:spacing w:val="-2"/>
        </w:rPr>
        <w:t>结合，主要依靠被动扩散吸收，所以吸收速度较</w:t>
      </w:r>
      <w:r>
        <w:rPr>
          <w:rFonts w:ascii="宋体" w:eastAsia="宋体" w:hAnsi="宋体" w:cs="宋体"/>
          <w:spacing w:val="-3"/>
        </w:rPr>
        <w:t>低。有资料认为，若以葡萄糖的</w:t>
      </w:r>
      <w:r>
        <w:rPr>
          <w:rFonts w:ascii="宋体" w:eastAsia="宋体" w:hAnsi="宋体" w:cs="宋体"/>
        </w:rPr>
        <w:t xml:space="preserve">  </w:t>
      </w:r>
      <w:r>
        <w:rPr>
          <w:rFonts w:ascii="宋体" w:eastAsia="宋体" w:hAnsi="宋体" w:cs="宋体"/>
          <w:spacing w:val="1"/>
        </w:rPr>
        <w:t>吸收速度为100,人体对各种单糖的吸收速度如下：</w:t>
      </w:r>
      <w:r>
        <w:rPr>
          <w:rFonts w:ascii="宋体" w:eastAsia="宋体" w:hAnsi="宋体" w:cs="宋体"/>
          <w:spacing w:val="-23"/>
        </w:rPr>
        <w:t xml:space="preserve"> </w:t>
      </w:r>
      <w:r>
        <w:rPr>
          <w:rFonts w:ascii="宋体" w:eastAsia="宋体" w:hAnsi="宋体" w:cs="宋体"/>
          <w:spacing w:val="1"/>
        </w:rPr>
        <w:t>D-半乳糖(110)、</w:t>
      </w:r>
      <w:r>
        <w:rPr>
          <w:rFonts w:ascii="宋体" w:eastAsia="宋体" w:hAnsi="宋体" w:cs="宋体"/>
          <w:spacing w:val="-5"/>
        </w:rPr>
        <w:t xml:space="preserve"> </w:t>
      </w:r>
      <w:r>
        <w:rPr>
          <w:rFonts w:ascii="宋体" w:eastAsia="宋体" w:hAnsi="宋体" w:cs="宋体"/>
          <w:spacing w:val="1"/>
        </w:rPr>
        <w:t>D-葡萄糖</w:t>
      </w:r>
      <w:r>
        <w:rPr>
          <w:rFonts w:ascii="宋体" w:eastAsia="宋体" w:hAnsi="宋体" w:cs="宋体"/>
        </w:rPr>
        <w:t xml:space="preserve">  </w:t>
      </w:r>
      <w:r>
        <w:rPr>
          <w:rFonts w:ascii="宋体" w:eastAsia="宋体" w:hAnsi="宋体" w:cs="宋体"/>
          <w:spacing w:val="6"/>
        </w:rPr>
        <w:t>(100)、D-果糖(70)、木糖醇(36)、山梨醇(29)。</w:t>
      </w:r>
    </w:p>
    <w:p w:rsidR="00EA40A3" w:rsidRDefault="00EA40A3">
      <w:pPr>
        <w:sectPr w:rsidR="00EA40A3">
          <w:footerReference w:type="default" r:id="rId36"/>
          <w:pgSz w:w="9220" w:h="13360"/>
          <w:pgMar w:top="400" w:right="914" w:bottom="1255" w:left="930" w:header="0" w:footer="1035" w:gutter="0"/>
          <w:cols w:space="720"/>
        </w:sectPr>
      </w:pPr>
    </w:p>
    <w:p w:rsidR="00EA40A3" w:rsidRDefault="00EA40A3">
      <w:pPr>
        <w:spacing w:line="250" w:lineRule="auto"/>
      </w:pPr>
    </w:p>
    <w:p w:rsidR="00EA40A3" w:rsidRDefault="00EA40A3">
      <w:pPr>
        <w:spacing w:line="250" w:lineRule="auto"/>
      </w:pPr>
    </w:p>
    <w:p w:rsidR="00EA40A3" w:rsidRDefault="00EA40A3">
      <w:pPr>
        <w:spacing w:line="250" w:lineRule="auto"/>
      </w:pPr>
    </w:p>
    <w:p w:rsidR="00EA40A3" w:rsidRDefault="00E86C16">
      <w:pPr>
        <w:spacing w:before="52" w:line="219" w:lineRule="auto"/>
        <w:ind w:left="1699"/>
        <w:rPr>
          <w:rFonts w:ascii="宋体" w:eastAsia="宋体" w:hAnsi="宋体" w:cs="宋体"/>
          <w:sz w:val="16"/>
          <w:szCs w:val="16"/>
        </w:rPr>
      </w:pPr>
      <w:r>
        <w:rPr>
          <w:noProof/>
        </w:rPr>
        <w:drawing>
          <wp:anchor distT="0" distB="0" distL="0" distR="0" simplePos="0" relativeHeight="251674624" behindDoc="1" locked="0" layoutInCell="1" allowOverlap="1">
            <wp:simplePos x="0" y="0"/>
            <wp:positionH relativeFrom="column">
              <wp:posOffset>723265</wp:posOffset>
            </wp:positionH>
            <wp:positionV relativeFrom="paragraph">
              <wp:posOffset>-8890</wp:posOffset>
            </wp:positionV>
            <wp:extent cx="3149600" cy="1962150"/>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7"/>
                    <a:stretch>
                      <a:fillRect/>
                    </a:stretch>
                  </pic:blipFill>
                  <pic:spPr>
                    <a:xfrm>
                      <a:off x="0" y="0"/>
                      <a:ext cx="3149594" cy="1962172"/>
                    </a:xfrm>
                    <a:prstGeom prst="rect">
                      <a:avLst/>
                    </a:prstGeom>
                  </pic:spPr>
                </pic:pic>
              </a:graphicData>
            </a:graphic>
          </wp:anchor>
        </w:drawing>
      </w:r>
      <w:bookmarkStart w:id="12" w:name="_bookmark16"/>
      <w:bookmarkEnd w:id="12"/>
      <w:r>
        <w:rPr>
          <w:rFonts w:ascii="宋体" w:eastAsia="宋体" w:hAnsi="宋体" w:cs="宋体"/>
          <w:spacing w:val="-3"/>
          <w:sz w:val="16"/>
          <w:szCs w:val="16"/>
        </w:rPr>
        <w:t>淀粉</w:t>
      </w:r>
    </w:p>
    <w:p w:rsidR="00EA40A3" w:rsidRDefault="00E86C16">
      <w:pPr>
        <w:spacing w:before="59" w:line="250" w:lineRule="exact"/>
        <w:ind w:left="2000"/>
        <w:rPr>
          <w:rFonts w:ascii="宋体" w:eastAsia="宋体" w:hAnsi="宋体" w:cs="宋体"/>
          <w:sz w:val="16"/>
          <w:szCs w:val="16"/>
        </w:rPr>
      </w:pPr>
      <w:r>
        <w:rPr>
          <w:rFonts w:ascii="宋体" w:eastAsia="宋体" w:hAnsi="宋体" w:cs="宋体"/>
          <w:spacing w:val="-1"/>
          <w:position w:val="6"/>
          <w:sz w:val="16"/>
          <w:szCs w:val="16"/>
        </w:rPr>
        <w:t>(口腔)唾液淀粉酶水解40%</w:t>
      </w:r>
    </w:p>
    <w:p w:rsidR="00EA40A3" w:rsidRDefault="00E86C16">
      <w:pPr>
        <w:spacing w:line="218" w:lineRule="auto"/>
        <w:ind w:left="2000"/>
        <w:rPr>
          <w:rFonts w:ascii="宋体" w:eastAsia="宋体" w:hAnsi="宋体" w:cs="宋体"/>
          <w:sz w:val="16"/>
          <w:szCs w:val="16"/>
        </w:rPr>
      </w:pPr>
      <w:r>
        <w:rPr>
          <w:rFonts w:ascii="宋体" w:eastAsia="宋体" w:hAnsi="宋体" w:cs="宋体"/>
          <w:spacing w:val="-4"/>
          <w:sz w:val="16"/>
          <w:szCs w:val="16"/>
        </w:rPr>
        <w:t>(胃)盐酸水解微量</w:t>
      </w:r>
    </w:p>
    <w:p w:rsidR="00EA40A3" w:rsidRDefault="00E86C16">
      <w:pPr>
        <w:spacing w:before="60" w:line="251" w:lineRule="exact"/>
        <w:ind w:left="2000"/>
        <w:rPr>
          <w:rFonts w:ascii="宋体" w:eastAsia="宋体" w:hAnsi="宋体" w:cs="宋体"/>
          <w:sz w:val="16"/>
          <w:szCs w:val="16"/>
        </w:rPr>
      </w:pPr>
      <w:r>
        <w:rPr>
          <w:rFonts w:ascii="宋体" w:eastAsia="宋体" w:hAnsi="宋体" w:cs="宋体"/>
          <w:position w:val="6"/>
          <w:sz w:val="16"/>
          <w:szCs w:val="16"/>
        </w:rPr>
        <w:t>(小肠)胰淀粉酶水解50%</w:t>
      </w:r>
    </w:p>
    <w:p w:rsidR="00EA40A3" w:rsidRDefault="00E86C16">
      <w:pPr>
        <w:spacing w:line="219" w:lineRule="auto"/>
        <w:ind w:left="2000"/>
        <w:rPr>
          <w:rFonts w:ascii="宋体" w:eastAsia="宋体" w:hAnsi="宋体" w:cs="宋体"/>
          <w:sz w:val="16"/>
          <w:szCs w:val="16"/>
        </w:rPr>
      </w:pPr>
      <w:r>
        <w:rPr>
          <w:rFonts w:ascii="宋体" w:eastAsia="宋体" w:hAnsi="宋体" w:cs="宋体"/>
          <w:spacing w:val="-3"/>
          <w:sz w:val="16"/>
          <w:szCs w:val="16"/>
        </w:rPr>
        <w:t>(小肠)肠淀粉酶水解少量</w:t>
      </w:r>
    </w:p>
    <w:p w:rsidR="00EA40A3" w:rsidRDefault="00EA40A3">
      <w:pPr>
        <w:spacing w:line="283" w:lineRule="auto"/>
      </w:pPr>
    </w:p>
    <w:p w:rsidR="00EA40A3" w:rsidRDefault="00E86C16">
      <w:pPr>
        <w:spacing w:before="52" w:line="221" w:lineRule="auto"/>
        <w:ind w:left="1219"/>
        <w:rPr>
          <w:rFonts w:ascii="仿宋" w:eastAsia="仿宋" w:hAnsi="仿宋" w:cs="仿宋"/>
          <w:sz w:val="16"/>
          <w:szCs w:val="16"/>
        </w:rPr>
      </w:pPr>
      <w:r>
        <w:rPr>
          <w:rFonts w:ascii="仿宋" w:eastAsia="仿宋" w:hAnsi="仿宋" w:cs="仿宋"/>
          <w:spacing w:val="-16"/>
          <w:sz w:val="16"/>
          <w:szCs w:val="16"/>
        </w:rPr>
        <w:t>α-糊精，麦芽糖</w:t>
      </w:r>
    </w:p>
    <w:p w:rsidR="00EA40A3" w:rsidRDefault="00EA40A3">
      <w:pPr>
        <w:spacing w:line="276" w:lineRule="auto"/>
      </w:pPr>
    </w:p>
    <w:p w:rsidR="00EA40A3" w:rsidRDefault="00E86C16">
      <w:pPr>
        <w:spacing w:before="52" w:line="230" w:lineRule="auto"/>
        <w:ind w:left="2000"/>
        <w:rPr>
          <w:rFonts w:ascii="宋体" w:eastAsia="宋体" w:hAnsi="宋体" w:cs="宋体"/>
          <w:sz w:val="16"/>
          <w:szCs w:val="16"/>
        </w:rPr>
      </w:pPr>
      <w:r>
        <w:rPr>
          <w:rFonts w:ascii="宋体" w:eastAsia="宋体" w:hAnsi="宋体" w:cs="宋体"/>
          <w:spacing w:val="-11"/>
          <w:position w:val="1"/>
          <w:sz w:val="16"/>
          <w:szCs w:val="16"/>
        </w:rPr>
        <w:t>α-糊精酶</w:t>
      </w:r>
      <w:r>
        <w:rPr>
          <w:rFonts w:ascii="宋体" w:eastAsia="宋体" w:hAnsi="宋体" w:cs="宋体"/>
          <w:spacing w:val="10"/>
          <w:position w:val="1"/>
          <w:sz w:val="16"/>
          <w:szCs w:val="16"/>
        </w:rPr>
        <w:t xml:space="preserve">      </w:t>
      </w:r>
      <w:r>
        <w:rPr>
          <w:rFonts w:ascii="仿宋" w:eastAsia="仿宋" w:hAnsi="仿宋" w:cs="仿宋"/>
          <w:spacing w:val="-11"/>
          <w:sz w:val="16"/>
          <w:szCs w:val="16"/>
        </w:rPr>
        <w:t>麦芽糖酶</w:t>
      </w:r>
      <w:r>
        <w:rPr>
          <w:rFonts w:ascii="仿宋" w:eastAsia="仿宋" w:hAnsi="仿宋" w:cs="仿宋"/>
          <w:spacing w:val="10"/>
          <w:sz w:val="16"/>
          <w:szCs w:val="16"/>
        </w:rPr>
        <w:t xml:space="preserve">       </w:t>
      </w:r>
      <w:r>
        <w:rPr>
          <w:rFonts w:ascii="宋体" w:eastAsia="宋体" w:hAnsi="宋体" w:cs="宋体"/>
          <w:spacing w:val="-11"/>
          <w:sz w:val="16"/>
          <w:szCs w:val="16"/>
        </w:rPr>
        <w:t>蔗糖酶</w:t>
      </w:r>
      <w:r>
        <w:rPr>
          <w:rFonts w:ascii="宋体" w:eastAsia="宋体" w:hAnsi="宋体" w:cs="宋体"/>
          <w:spacing w:val="9"/>
          <w:sz w:val="16"/>
          <w:szCs w:val="16"/>
        </w:rPr>
        <w:t xml:space="preserve">        </w:t>
      </w:r>
      <w:r>
        <w:rPr>
          <w:rFonts w:ascii="宋体" w:eastAsia="宋体" w:hAnsi="宋体" w:cs="宋体"/>
          <w:spacing w:val="-11"/>
          <w:sz w:val="16"/>
          <w:szCs w:val="16"/>
        </w:rPr>
        <w:t>乳糖酶</w:t>
      </w:r>
    </w:p>
    <w:p w:rsidR="00EA40A3" w:rsidRDefault="00E86C16">
      <w:pPr>
        <w:spacing w:before="1" w:line="222" w:lineRule="auto"/>
        <w:ind w:left="3169"/>
        <w:rPr>
          <w:rFonts w:ascii="仿宋" w:eastAsia="仿宋" w:hAnsi="仿宋" w:cs="仿宋"/>
          <w:sz w:val="16"/>
          <w:szCs w:val="16"/>
        </w:rPr>
      </w:pPr>
      <w:r>
        <w:rPr>
          <w:rFonts w:ascii="仿宋" w:eastAsia="仿宋" w:hAnsi="仿宋" w:cs="仿宋"/>
          <w:spacing w:val="-10"/>
          <w:sz w:val="16"/>
          <w:szCs w:val="16"/>
        </w:rPr>
        <w:t>异麦芽糖酶</w:t>
      </w:r>
    </w:p>
    <w:p w:rsidR="00EA40A3" w:rsidRDefault="00EA40A3">
      <w:pPr>
        <w:spacing w:line="315" w:lineRule="auto"/>
      </w:pPr>
    </w:p>
    <w:p w:rsidR="00EA40A3" w:rsidRDefault="00E86C16">
      <w:pPr>
        <w:spacing w:before="52" w:line="220" w:lineRule="auto"/>
        <w:ind w:left="1579"/>
        <w:rPr>
          <w:rFonts w:ascii="宋体" w:eastAsia="宋体" w:hAnsi="宋体" w:cs="宋体"/>
          <w:sz w:val="16"/>
          <w:szCs w:val="16"/>
        </w:rPr>
      </w:pPr>
      <w:r>
        <w:rPr>
          <w:rFonts w:ascii="宋体" w:eastAsia="宋体" w:hAnsi="宋体" w:cs="宋体"/>
          <w:spacing w:val="-11"/>
          <w:sz w:val="16"/>
          <w:szCs w:val="16"/>
        </w:rPr>
        <w:t>葡萄糖</w:t>
      </w:r>
      <w:r>
        <w:rPr>
          <w:rFonts w:ascii="宋体" w:eastAsia="宋体" w:hAnsi="宋体" w:cs="宋体"/>
          <w:spacing w:val="9"/>
          <w:sz w:val="16"/>
          <w:szCs w:val="16"/>
        </w:rPr>
        <w:t xml:space="preserve">        </w:t>
      </w:r>
      <w:r>
        <w:rPr>
          <w:rFonts w:ascii="宋体" w:eastAsia="宋体" w:hAnsi="宋体" w:cs="宋体"/>
          <w:spacing w:val="-11"/>
          <w:sz w:val="16"/>
          <w:szCs w:val="16"/>
        </w:rPr>
        <w:t>葡萄糖</w:t>
      </w:r>
      <w:r>
        <w:rPr>
          <w:rFonts w:ascii="宋体" w:eastAsia="宋体" w:hAnsi="宋体" w:cs="宋体"/>
          <w:spacing w:val="11"/>
          <w:sz w:val="16"/>
          <w:szCs w:val="16"/>
        </w:rPr>
        <w:t xml:space="preserve">      </w:t>
      </w:r>
      <w:r>
        <w:rPr>
          <w:rFonts w:ascii="宋体" w:eastAsia="宋体" w:hAnsi="宋体" w:cs="宋体"/>
          <w:spacing w:val="-11"/>
          <w:sz w:val="16"/>
          <w:szCs w:val="16"/>
        </w:rPr>
        <w:t>葡萄糖、果糖</w:t>
      </w:r>
      <w:r>
        <w:rPr>
          <w:rFonts w:ascii="宋体" w:eastAsia="宋体" w:hAnsi="宋体" w:cs="宋体"/>
          <w:spacing w:val="25"/>
          <w:sz w:val="16"/>
          <w:szCs w:val="16"/>
        </w:rPr>
        <w:t xml:space="preserve">   </w:t>
      </w:r>
      <w:r>
        <w:rPr>
          <w:rFonts w:ascii="宋体" w:eastAsia="宋体" w:hAnsi="宋体" w:cs="宋体"/>
          <w:spacing w:val="-11"/>
          <w:sz w:val="16"/>
          <w:szCs w:val="16"/>
        </w:rPr>
        <w:t>葡萄糖、半乳糖</w:t>
      </w:r>
    </w:p>
    <w:p w:rsidR="00EA40A3" w:rsidRDefault="00EA40A3">
      <w:pPr>
        <w:spacing w:line="245" w:lineRule="auto"/>
      </w:pPr>
    </w:p>
    <w:p w:rsidR="00EA40A3" w:rsidRDefault="00E86C16">
      <w:pPr>
        <w:spacing w:before="52" w:line="219" w:lineRule="auto"/>
        <w:ind w:left="2370"/>
        <w:rPr>
          <w:rFonts w:ascii="宋体" w:eastAsia="宋体" w:hAnsi="宋体" w:cs="宋体"/>
          <w:sz w:val="16"/>
          <w:szCs w:val="16"/>
        </w:rPr>
      </w:pPr>
      <w:r>
        <w:rPr>
          <w:rFonts w:ascii="宋体" w:eastAsia="宋体" w:hAnsi="宋体" w:cs="宋体"/>
          <w:spacing w:val="16"/>
          <w:sz w:val="16"/>
          <w:szCs w:val="16"/>
        </w:rPr>
        <w:t>图2-5</w:t>
      </w:r>
      <w:r>
        <w:rPr>
          <w:rFonts w:ascii="宋体" w:eastAsia="宋体" w:hAnsi="宋体" w:cs="宋体"/>
          <w:spacing w:val="6"/>
          <w:sz w:val="16"/>
          <w:szCs w:val="16"/>
        </w:rPr>
        <w:t xml:space="preserve">  </w:t>
      </w:r>
      <w:r>
        <w:rPr>
          <w:rFonts w:ascii="宋体" w:eastAsia="宋体" w:hAnsi="宋体" w:cs="宋体"/>
          <w:spacing w:val="16"/>
          <w:sz w:val="16"/>
          <w:szCs w:val="16"/>
        </w:rPr>
        <w:t>碳水化合物的消化示意图</w:t>
      </w:r>
    </w:p>
    <w:p w:rsidR="00EA40A3" w:rsidRDefault="00EA40A3">
      <w:pPr>
        <w:spacing w:line="250" w:lineRule="auto"/>
      </w:pPr>
    </w:p>
    <w:p w:rsidR="00EA40A3" w:rsidRDefault="00EA40A3">
      <w:pPr>
        <w:spacing w:line="250" w:lineRule="auto"/>
      </w:pPr>
    </w:p>
    <w:p w:rsidR="00EA40A3" w:rsidRDefault="00E86C16">
      <w:pPr>
        <w:spacing w:before="1" w:line="2610" w:lineRule="exact"/>
        <w:ind w:firstLine="1390"/>
        <w:textAlignment w:val="center"/>
      </w:pPr>
      <w:r>
        <w:rPr>
          <w:noProof/>
        </w:rPr>
        <w:drawing>
          <wp:inline distT="0" distB="0" distL="0" distR="0">
            <wp:extent cx="2856865" cy="165735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38"/>
                    <a:stretch>
                      <a:fillRect/>
                    </a:stretch>
                  </pic:blipFill>
                  <pic:spPr>
                    <a:xfrm>
                      <a:off x="0" y="0"/>
                      <a:ext cx="2857444" cy="1657355"/>
                    </a:xfrm>
                    <a:prstGeom prst="rect">
                      <a:avLst/>
                    </a:prstGeom>
                  </pic:spPr>
                </pic:pic>
              </a:graphicData>
            </a:graphic>
          </wp:inline>
        </w:drawing>
      </w:r>
    </w:p>
    <w:p w:rsidR="00EA40A3" w:rsidRDefault="00E86C16">
      <w:pPr>
        <w:spacing w:before="186" w:line="219" w:lineRule="auto"/>
        <w:ind w:left="2329"/>
        <w:rPr>
          <w:rFonts w:ascii="宋体" w:eastAsia="宋体" w:hAnsi="宋体" w:cs="宋体"/>
          <w:sz w:val="16"/>
          <w:szCs w:val="16"/>
        </w:rPr>
      </w:pPr>
      <w:r>
        <w:rPr>
          <w:rFonts w:ascii="宋体" w:eastAsia="宋体" w:hAnsi="宋体" w:cs="宋体"/>
          <w:spacing w:val="12"/>
          <w:sz w:val="16"/>
          <w:szCs w:val="16"/>
        </w:rPr>
        <w:t>图2</w:t>
      </w:r>
      <w:r>
        <w:rPr>
          <w:rFonts w:ascii="宋体" w:eastAsia="宋体" w:hAnsi="宋体" w:cs="宋体"/>
          <w:spacing w:val="-41"/>
          <w:sz w:val="16"/>
          <w:szCs w:val="16"/>
        </w:rPr>
        <w:t xml:space="preserve"> </w:t>
      </w:r>
      <w:r>
        <w:rPr>
          <w:rFonts w:ascii="宋体" w:eastAsia="宋体" w:hAnsi="宋体" w:cs="宋体"/>
          <w:spacing w:val="12"/>
          <w:sz w:val="16"/>
          <w:szCs w:val="16"/>
        </w:rPr>
        <w:t>-</w:t>
      </w:r>
      <w:r>
        <w:rPr>
          <w:rFonts w:ascii="宋体" w:eastAsia="宋体" w:hAnsi="宋体" w:cs="宋体"/>
          <w:spacing w:val="-39"/>
          <w:sz w:val="16"/>
          <w:szCs w:val="16"/>
        </w:rPr>
        <w:t xml:space="preserve"> </w:t>
      </w:r>
      <w:r>
        <w:rPr>
          <w:rFonts w:ascii="宋体" w:eastAsia="宋体" w:hAnsi="宋体" w:cs="宋体"/>
          <w:spacing w:val="12"/>
          <w:sz w:val="16"/>
          <w:szCs w:val="16"/>
        </w:rPr>
        <w:t>6</w:t>
      </w:r>
      <w:r>
        <w:rPr>
          <w:rFonts w:ascii="宋体" w:eastAsia="宋体" w:hAnsi="宋体" w:cs="宋体"/>
          <w:spacing w:val="6"/>
          <w:sz w:val="16"/>
          <w:szCs w:val="16"/>
        </w:rPr>
        <w:t xml:space="preserve">  </w:t>
      </w:r>
      <w:r>
        <w:rPr>
          <w:rFonts w:ascii="宋体" w:eastAsia="宋体" w:hAnsi="宋体" w:cs="宋体"/>
          <w:spacing w:val="12"/>
          <w:sz w:val="16"/>
          <w:szCs w:val="16"/>
        </w:rPr>
        <w:t>葡萄糖的主动吸收示意图</w:t>
      </w:r>
    </w:p>
    <w:p w:rsidR="00EA40A3" w:rsidRDefault="00EA40A3">
      <w:pPr>
        <w:spacing w:line="285" w:lineRule="auto"/>
      </w:pPr>
    </w:p>
    <w:p w:rsidR="00EA40A3" w:rsidRDefault="00E86C16">
      <w:pPr>
        <w:spacing w:before="69" w:line="230" w:lineRule="auto"/>
        <w:rPr>
          <w:rFonts w:ascii="楷体" w:eastAsia="楷体" w:hAnsi="楷体" w:cs="楷体"/>
        </w:rPr>
      </w:pPr>
      <w:r>
        <w:rPr>
          <w:rFonts w:ascii="楷体" w:eastAsia="楷体" w:hAnsi="楷体" w:cs="楷体"/>
          <w:spacing w:val="5"/>
        </w:rPr>
        <w:t>4)水分的吸收</w:t>
      </w:r>
    </w:p>
    <w:p w:rsidR="00EA40A3" w:rsidRDefault="00E86C16">
      <w:pPr>
        <w:spacing w:before="34" w:line="242" w:lineRule="auto"/>
        <w:ind w:right="5" w:firstLine="419"/>
        <w:rPr>
          <w:rFonts w:ascii="宋体" w:eastAsia="宋体" w:hAnsi="宋体" w:cs="宋体"/>
        </w:rPr>
      </w:pPr>
      <w:r>
        <w:rPr>
          <w:rFonts w:ascii="宋体" w:eastAsia="宋体" w:hAnsi="宋体" w:cs="宋体"/>
          <w:spacing w:val="-3"/>
        </w:rPr>
        <w:t>在小肠，水分的吸收主要依靠营养素吸收后所形成的渗透压被动扩散到</w:t>
      </w:r>
      <w:r>
        <w:rPr>
          <w:rFonts w:ascii="宋体" w:eastAsia="宋体" w:hAnsi="宋体" w:cs="宋体"/>
          <w:spacing w:val="-4"/>
        </w:rPr>
        <w:t>肠黏</w:t>
      </w:r>
      <w:r>
        <w:rPr>
          <w:rFonts w:ascii="宋体" w:eastAsia="宋体" w:hAnsi="宋体" w:cs="宋体"/>
        </w:rPr>
        <w:t xml:space="preserve"> </w:t>
      </w:r>
      <w:r>
        <w:rPr>
          <w:rFonts w:ascii="宋体" w:eastAsia="宋体" w:hAnsi="宋体" w:cs="宋体"/>
          <w:spacing w:val="-5"/>
        </w:rPr>
        <w:t>膜细胞，而在大肠，则主要靠净水压被动吸收。</w:t>
      </w:r>
    </w:p>
    <w:p w:rsidR="00EA40A3" w:rsidRDefault="00E86C16">
      <w:pPr>
        <w:spacing w:before="324" w:line="219" w:lineRule="auto"/>
        <w:ind w:left="2199"/>
        <w:rPr>
          <w:rFonts w:ascii="宋体" w:eastAsia="宋体" w:hAnsi="宋体" w:cs="宋体"/>
          <w:sz w:val="28"/>
          <w:szCs w:val="28"/>
        </w:rPr>
      </w:pPr>
      <w:r>
        <w:rPr>
          <w:rFonts w:ascii="宋体" w:eastAsia="宋体" w:hAnsi="宋体" w:cs="宋体"/>
          <w:spacing w:val="-3"/>
          <w:sz w:val="28"/>
          <w:szCs w:val="28"/>
        </w:rPr>
        <w:t>2.2</w:t>
      </w:r>
      <w:r>
        <w:rPr>
          <w:rFonts w:ascii="宋体" w:eastAsia="宋体" w:hAnsi="宋体" w:cs="宋体"/>
          <w:spacing w:val="114"/>
          <w:sz w:val="28"/>
          <w:szCs w:val="28"/>
        </w:rPr>
        <w:t xml:space="preserve"> </w:t>
      </w:r>
      <w:r>
        <w:rPr>
          <w:rFonts w:ascii="宋体" w:eastAsia="宋体" w:hAnsi="宋体" w:cs="宋体"/>
          <w:spacing w:val="-3"/>
          <w:sz w:val="28"/>
          <w:szCs w:val="28"/>
        </w:rPr>
        <w:t>营养素的体内运输</w:t>
      </w:r>
    </w:p>
    <w:p w:rsidR="00EA40A3" w:rsidRDefault="00EA40A3">
      <w:pPr>
        <w:spacing w:line="254" w:lineRule="auto"/>
      </w:pPr>
    </w:p>
    <w:p w:rsidR="00EA40A3" w:rsidRDefault="00E86C16">
      <w:pPr>
        <w:spacing w:before="68" w:line="241" w:lineRule="auto"/>
        <w:ind w:right="26" w:firstLine="419"/>
        <w:rPr>
          <w:rFonts w:ascii="宋体" w:eastAsia="宋体" w:hAnsi="宋体" w:cs="宋体"/>
        </w:rPr>
      </w:pPr>
      <w:r>
        <w:rPr>
          <w:rFonts w:ascii="宋体" w:eastAsia="宋体" w:hAnsi="宋体" w:cs="宋体"/>
          <w:spacing w:val="-4"/>
        </w:rPr>
        <w:t>食物中经过消化吸收的营养成分进入血液后，在循环系统的帮助下，被运送</w:t>
      </w:r>
      <w:r>
        <w:rPr>
          <w:rFonts w:ascii="宋体" w:eastAsia="宋体" w:hAnsi="宋体" w:cs="宋体"/>
          <w:spacing w:val="9"/>
        </w:rPr>
        <w:t xml:space="preserve"> </w:t>
      </w:r>
      <w:r>
        <w:rPr>
          <w:rFonts w:ascii="宋体" w:eastAsia="宋体" w:hAnsi="宋体" w:cs="宋体"/>
          <w:spacing w:val="-6"/>
        </w:rPr>
        <w:t>到机体的各个部分才能被代谢和利用。</w:t>
      </w:r>
    </w:p>
    <w:p w:rsidR="00EA40A3" w:rsidRDefault="00E86C16">
      <w:pPr>
        <w:spacing w:before="178" w:line="221" w:lineRule="auto"/>
        <w:ind w:left="3"/>
        <w:outlineLvl w:val="6"/>
        <w:rPr>
          <w:rFonts w:ascii="黑体" w:eastAsia="黑体" w:hAnsi="黑体" w:cs="黑体"/>
          <w:sz w:val="25"/>
          <w:szCs w:val="25"/>
        </w:rPr>
      </w:pPr>
      <w:r>
        <w:rPr>
          <w:rFonts w:ascii="黑体" w:eastAsia="黑体" w:hAnsi="黑体" w:cs="黑体"/>
          <w:b/>
          <w:bCs/>
          <w:spacing w:val="-11"/>
          <w:sz w:val="25"/>
          <w:szCs w:val="25"/>
        </w:rPr>
        <w:t>2.2.1</w:t>
      </w:r>
      <w:r>
        <w:rPr>
          <w:rFonts w:ascii="黑体" w:eastAsia="黑体" w:hAnsi="黑体" w:cs="黑体"/>
          <w:spacing w:val="85"/>
          <w:sz w:val="25"/>
          <w:szCs w:val="25"/>
        </w:rPr>
        <w:t xml:space="preserve"> </w:t>
      </w:r>
      <w:r>
        <w:rPr>
          <w:rFonts w:ascii="黑体" w:eastAsia="黑体" w:hAnsi="黑体" w:cs="黑体"/>
          <w:b/>
          <w:bCs/>
          <w:spacing w:val="-11"/>
          <w:sz w:val="25"/>
          <w:szCs w:val="25"/>
        </w:rPr>
        <w:t>循环系统的组成</w:t>
      </w:r>
    </w:p>
    <w:p w:rsidR="00EA40A3" w:rsidRDefault="00E86C16">
      <w:pPr>
        <w:spacing w:before="213" w:line="218" w:lineRule="auto"/>
        <w:ind w:left="419"/>
        <w:rPr>
          <w:rFonts w:ascii="宋体" w:eastAsia="宋体" w:hAnsi="宋体" w:cs="宋体"/>
        </w:rPr>
      </w:pPr>
      <w:r>
        <w:rPr>
          <w:rFonts w:ascii="宋体" w:eastAsia="宋体" w:hAnsi="宋体" w:cs="宋体"/>
          <w:spacing w:val="3"/>
        </w:rPr>
        <w:t>血液循环系统由心脏、血管(包括淋巴管)组成。心脏是推动血液流动的动</w:t>
      </w:r>
    </w:p>
    <w:p w:rsidR="00EA40A3" w:rsidRDefault="00E86C16">
      <w:pPr>
        <w:spacing w:before="228"/>
        <w:ind w:left="130"/>
        <w:rPr>
          <w:rFonts w:ascii="宋体" w:eastAsia="宋体" w:hAnsi="宋体" w:cs="宋体"/>
          <w:sz w:val="16"/>
          <w:szCs w:val="16"/>
        </w:rPr>
      </w:pPr>
      <w:r>
        <w:rPr>
          <w:rFonts w:ascii="宋体" w:eastAsia="宋体" w:hAnsi="宋体" w:cs="宋体"/>
          <w:spacing w:val="-18"/>
          <w:sz w:val="16"/>
          <w:szCs w:val="16"/>
        </w:rPr>
        <w:t>·</w:t>
      </w:r>
      <w:r>
        <w:rPr>
          <w:rFonts w:ascii="宋体" w:eastAsia="宋体" w:hAnsi="宋体" w:cs="宋体"/>
          <w:spacing w:val="9"/>
          <w:sz w:val="16"/>
          <w:szCs w:val="16"/>
        </w:rPr>
        <w:t xml:space="preserve"> </w:t>
      </w:r>
      <w:r>
        <w:rPr>
          <w:rFonts w:ascii="宋体" w:eastAsia="宋体" w:hAnsi="宋体" w:cs="宋体"/>
          <w:spacing w:val="-18"/>
          <w:sz w:val="16"/>
          <w:szCs w:val="16"/>
        </w:rPr>
        <w:t>28</w:t>
      </w:r>
      <w:r>
        <w:rPr>
          <w:rFonts w:ascii="宋体" w:eastAsia="宋体" w:hAnsi="宋体" w:cs="宋体"/>
          <w:spacing w:val="62"/>
          <w:sz w:val="16"/>
          <w:szCs w:val="16"/>
        </w:rPr>
        <w:t xml:space="preserve"> </w:t>
      </w:r>
      <w:r>
        <w:rPr>
          <w:rFonts w:ascii="宋体" w:eastAsia="宋体" w:hAnsi="宋体" w:cs="宋体"/>
          <w:spacing w:val="-18"/>
          <w:sz w:val="16"/>
          <w:szCs w:val="16"/>
        </w:rPr>
        <w:t>·</w:t>
      </w:r>
    </w:p>
    <w:p w:rsidR="00EA40A3" w:rsidRDefault="00EA40A3">
      <w:pPr>
        <w:sectPr w:rsidR="00EA40A3">
          <w:footerReference w:type="default" r:id="rId39"/>
          <w:pgSz w:w="9220" w:h="13360"/>
          <w:pgMar w:top="400" w:right="1125" w:bottom="400" w:left="840" w:header="0" w:footer="0" w:gutter="0"/>
          <w:cols w:space="720"/>
        </w:sectPr>
      </w:pPr>
    </w:p>
    <w:p w:rsidR="00EA40A3" w:rsidRDefault="00EA40A3">
      <w:pPr>
        <w:spacing w:line="294" w:lineRule="auto"/>
      </w:pPr>
    </w:p>
    <w:p w:rsidR="00EA40A3" w:rsidRDefault="00EA40A3">
      <w:pPr>
        <w:spacing w:line="294" w:lineRule="auto"/>
      </w:pPr>
    </w:p>
    <w:p w:rsidR="00EA40A3" w:rsidRDefault="00E86C16">
      <w:pPr>
        <w:spacing w:before="68" w:line="257" w:lineRule="auto"/>
        <w:ind w:right="75"/>
        <w:jc w:val="both"/>
        <w:rPr>
          <w:rFonts w:ascii="宋体" w:eastAsia="宋体" w:hAnsi="宋体" w:cs="宋体"/>
        </w:rPr>
      </w:pPr>
      <w:bookmarkStart w:id="13" w:name="_bookmark18"/>
      <w:bookmarkStart w:id="14" w:name="_bookmark17"/>
      <w:bookmarkEnd w:id="13"/>
      <w:bookmarkEnd w:id="14"/>
      <w:r>
        <w:rPr>
          <w:rFonts w:ascii="宋体" w:eastAsia="宋体" w:hAnsi="宋体" w:cs="宋体"/>
        </w:rPr>
        <w:t>力器官，血管是血液流动的管道，包括动脉、毛细血</w:t>
      </w:r>
      <w:r>
        <w:rPr>
          <w:rFonts w:ascii="宋体" w:eastAsia="宋体" w:hAnsi="宋体" w:cs="宋体"/>
          <w:spacing w:val="-1"/>
        </w:rPr>
        <w:t>管、静脉3部分。由左心室</w:t>
      </w:r>
      <w:r>
        <w:rPr>
          <w:rFonts w:ascii="宋体" w:eastAsia="宋体" w:hAnsi="宋体" w:cs="宋体"/>
        </w:rPr>
        <w:t xml:space="preserve"> </w:t>
      </w:r>
      <w:r>
        <w:rPr>
          <w:rFonts w:ascii="宋体" w:eastAsia="宋体" w:hAnsi="宋体" w:cs="宋体"/>
          <w:spacing w:val="-3"/>
        </w:rPr>
        <w:t>射出的血液，经动脉流向全身组织，在毛细血管部位经过细胞间液同组织细胞进</w:t>
      </w:r>
      <w:r>
        <w:rPr>
          <w:rFonts w:ascii="宋体" w:eastAsia="宋体" w:hAnsi="宋体" w:cs="宋体"/>
          <w:spacing w:val="2"/>
        </w:rPr>
        <w:t xml:space="preserve"> </w:t>
      </w:r>
      <w:r>
        <w:rPr>
          <w:rFonts w:ascii="宋体" w:eastAsia="宋体" w:hAnsi="宋体" w:cs="宋体"/>
          <w:spacing w:val="-3"/>
        </w:rPr>
        <w:t>行物质交换，再经静脉流回右心房，这一循环途径称为“体循环”。血液从右心</w:t>
      </w:r>
      <w:r>
        <w:rPr>
          <w:rFonts w:ascii="宋体" w:eastAsia="宋体" w:hAnsi="宋体" w:cs="宋体"/>
          <w:spacing w:val="7"/>
        </w:rPr>
        <w:t xml:space="preserve"> </w:t>
      </w:r>
      <w:r>
        <w:rPr>
          <w:rFonts w:ascii="宋体" w:eastAsia="宋体" w:hAnsi="宋体" w:cs="宋体"/>
          <w:spacing w:val="-3"/>
        </w:rPr>
        <w:t>室射出，经过肺动脉分布到肺，与肺泡中的气体进行气体交换，再由肺静</w:t>
      </w:r>
      <w:r>
        <w:rPr>
          <w:rFonts w:ascii="宋体" w:eastAsia="宋体" w:hAnsi="宋体" w:cs="宋体"/>
          <w:spacing w:val="-4"/>
        </w:rPr>
        <w:t>脉流回</w:t>
      </w:r>
      <w:r>
        <w:rPr>
          <w:rFonts w:ascii="宋体" w:eastAsia="宋体" w:hAnsi="宋体" w:cs="宋体"/>
        </w:rPr>
        <w:t xml:space="preserve"> </w:t>
      </w:r>
      <w:r>
        <w:rPr>
          <w:rFonts w:ascii="宋体" w:eastAsia="宋体" w:hAnsi="宋体" w:cs="宋体"/>
          <w:spacing w:val="-3"/>
        </w:rPr>
        <w:t>左心房，这一循环途径称为“肺循环”。体循环与肺循环相互连接，构成一个完</w:t>
      </w:r>
      <w:r>
        <w:rPr>
          <w:rFonts w:ascii="宋体" w:eastAsia="宋体" w:hAnsi="宋体" w:cs="宋体"/>
          <w:spacing w:val="4"/>
        </w:rPr>
        <w:t xml:space="preserve"> </w:t>
      </w:r>
      <w:r>
        <w:rPr>
          <w:rFonts w:ascii="宋体" w:eastAsia="宋体" w:hAnsi="宋体" w:cs="宋体"/>
          <w:spacing w:val="-2"/>
        </w:rPr>
        <w:t>整的循环机能体系，心脏的节律性活动及心脏瓣膜有</w:t>
      </w:r>
      <w:r>
        <w:rPr>
          <w:rFonts w:ascii="宋体" w:eastAsia="宋体" w:hAnsi="宋体" w:cs="宋体"/>
          <w:spacing w:val="-3"/>
        </w:rPr>
        <w:t>规律的开启与关闭，使血液</w:t>
      </w:r>
      <w:r>
        <w:rPr>
          <w:rFonts w:ascii="宋体" w:eastAsia="宋体" w:hAnsi="宋体" w:cs="宋体"/>
        </w:rPr>
        <w:t xml:space="preserve"> </w:t>
      </w:r>
      <w:r>
        <w:rPr>
          <w:rFonts w:ascii="宋体" w:eastAsia="宋体" w:hAnsi="宋体" w:cs="宋体"/>
          <w:spacing w:val="-4"/>
        </w:rPr>
        <w:t>能按一定的方向循环流动，完成物质运输、体液调节等机能。</w:t>
      </w:r>
    </w:p>
    <w:p w:rsidR="00EA40A3" w:rsidRDefault="00E86C16">
      <w:pPr>
        <w:spacing w:before="227" w:line="221" w:lineRule="auto"/>
        <w:ind w:left="3"/>
        <w:outlineLvl w:val="6"/>
        <w:rPr>
          <w:rFonts w:ascii="黑体" w:eastAsia="黑体" w:hAnsi="黑体" w:cs="黑体"/>
          <w:sz w:val="24"/>
          <w:szCs w:val="24"/>
        </w:rPr>
      </w:pPr>
      <w:r>
        <w:rPr>
          <w:rFonts w:ascii="黑体" w:eastAsia="黑体" w:hAnsi="黑体" w:cs="黑体"/>
          <w:b/>
          <w:bCs/>
          <w:spacing w:val="-4"/>
          <w:sz w:val="24"/>
          <w:szCs w:val="24"/>
        </w:rPr>
        <w:t>2.2.2</w:t>
      </w:r>
      <w:r>
        <w:rPr>
          <w:rFonts w:ascii="黑体" w:eastAsia="黑体" w:hAnsi="黑体" w:cs="黑体"/>
          <w:spacing w:val="99"/>
          <w:sz w:val="24"/>
          <w:szCs w:val="24"/>
        </w:rPr>
        <w:t xml:space="preserve"> </w:t>
      </w:r>
      <w:r>
        <w:rPr>
          <w:rFonts w:ascii="黑体" w:eastAsia="黑体" w:hAnsi="黑体" w:cs="黑体"/>
          <w:b/>
          <w:bCs/>
          <w:spacing w:val="-4"/>
          <w:sz w:val="24"/>
          <w:szCs w:val="24"/>
        </w:rPr>
        <w:t>各种营养素的运输</w:t>
      </w:r>
    </w:p>
    <w:p w:rsidR="00EA40A3" w:rsidRDefault="00E86C16">
      <w:pPr>
        <w:spacing w:before="256" w:line="224" w:lineRule="auto"/>
        <w:rPr>
          <w:rFonts w:ascii="仿宋" w:eastAsia="仿宋" w:hAnsi="仿宋" w:cs="仿宋"/>
        </w:rPr>
      </w:pPr>
      <w:r>
        <w:rPr>
          <w:rFonts w:ascii="仿宋" w:eastAsia="仿宋" w:hAnsi="仿宋" w:cs="仿宋"/>
          <w:spacing w:val="15"/>
        </w:rPr>
        <w:t>1.</w:t>
      </w:r>
      <w:r>
        <w:rPr>
          <w:rFonts w:ascii="仿宋" w:eastAsia="仿宋" w:hAnsi="仿宋" w:cs="仿宋"/>
          <w:spacing w:val="-1"/>
        </w:rPr>
        <w:t xml:space="preserve"> </w:t>
      </w:r>
      <w:r>
        <w:rPr>
          <w:rFonts w:ascii="仿宋" w:eastAsia="仿宋" w:hAnsi="仿宋" w:cs="仿宋"/>
          <w:spacing w:val="15"/>
        </w:rPr>
        <w:t>氨基酸的运输</w:t>
      </w:r>
    </w:p>
    <w:p w:rsidR="00EA40A3" w:rsidRDefault="00E86C16">
      <w:pPr>
        <w:spacing w:before="214" w:line="233" w:lineRule="auto"/>
        <w:ind w:right="75" w:firstLine="430"/>
        <w:rPr>
          <w:rFonts w:ascii="宋体" w:eastAsia="宋体" w:hAnsi="宋体" w:cs="宋体"/>
        </w:rPr>
      </w:pPr>
      <w:r>
        <w:rPr>
          <w:rFonts w:ascii="宋体" w:eastAsia="宋体" w:hAnsi="宋体" w:cs="宋体"/>
          <w:spacing w:val="10"/>
        </w:rPr>
        <w:t>氨基酸为水溶性物质，可溶于血浆中，因此以游离状态存在于血液中被</w:t>
      </w:r>
      <w:r>
        <w:rPr>
          <w:rFonts w:ascii="宋体" w:eastAsia="宋体" w:hAnsi="宋体" w:cs="宋体"/>
          <w:spacing w:val="18"/>
        </w:rPr>
        <w:t xml:space="preserve"> </w:t>
      </w:r>
      <w:r>
        <w:rPr>
          <w:rFonts w:ascii="宋体" w:eastAsia="宋体" w:hAnsi="宋体" w:cs="宋体"/>
          <w:spacing w:val="-9"/>
        </w:rPr>
        <w:t>运输。</w:t>
      </w:r>
    </w:p>
    <w:p w:rsidR="00EA40A3" w:rsidRDefault="00E86C16">
      <w:pPr>
        <w:spacing w:before="250" w:line="223" w:lineRule="auto"/>
        <w:rPr>
          <w:rFonts w:ascii="仿宋" w:eastAsia="仿宋" w:hAnsi="仿宋" w:cs="仿宋"/>
        </w:rPr>
      </w:pPr>
      <w:r>
        <w:rPr>
          <w:rFonts w:ascii="仿宋" w:eastAsia="仿宋" w:hAnsi="仿宋" w:cs="仿宋"/>
          <w:spacing w:val="16"/>
        </w:rPr>
        <w:t>2.</w:t>
      </w:r>
      <w:r>
        <w:rPr>
          <w:rFonts w:ascii="仿宋" w:eastAsia="仿宋" w:hAnsi="仿宋" w:cs="仿宋"/>
          <w:spacing w:val="-13"/>
        </w:rPr>
        <w:t xml:space="preserve"> </w:t>
      </w:r>
      <w:r>
        <w:rPr>
          <w:rFonts w:ascii="仿宋" w:eastAsia="仿宋" w:hAnsi="仿宋" w:cs="仿宋"/>
          <w:spacing w:val="16"/>
        </w:rPr>
        <w:t>脂类的运输</w:t>
      </w:r>
    </w:p>
    <w:p w:rsidR="00EA40A3" w:rsidRDefault="00E86C16">
      <w:pPr>
        <w:spacing w:before="198" w:line="260" w:lineRule="auto"/>
        <w:ind w:firstLine="430"/>
        <w:jc w:val="both"/>
        <w:rPr>
          <w:rFonts w:ascii="宋体" w:eastAsia="宋体" w:hAnsi="宋体" w:cs="宋体"/>
        </w:rPr>
      </w:pPr>
      <w:r>
        <w:rPr>
          <w:rFonts w:ascii="宋体" w:eastAsia="宋体" w:hAnsi="宋体" w:cs="宋体"/>
          <w:spacing w:val="-3"/>
        </w:rPr>
        <w:t>脂类物质难溶于水，将它们分散在水中往往呈乳糜状。然而正常人血浆中脂</w:t>
      </w:r>
      <w:r>
        <w:rPr>
          <w:rFonts w:ascii="宋体" w:eastAsia="宋体" w:hAnsi="宋体" w:cs="宋体"/>
          <w:spacing w:val="8"/>
        </w:rPr>
        <w:t xml:space="preserve"> </w:t>
      </w:r>
      <w:r>
        <w:rPr>
          <w:rFonts w:ascii="宋体" w:eastAsia="宋体" w:hAnsi="宋体" w:cs="宋体"/>
          <w:spacing w:val="-3"/>
        </w:rPr>
        <w:t>类物质虽多，却仍清澈透明，这是因为血浆中的脂类都是以各类脂蛋白的形式存</w:t>
      </w:r>
      <w:r>
        <w:rPr>
          <w:rFonts w:ascii="宋体" w:eastAsia="宋体" w:hAnsi="宋体" w:cs="宋体"/>
          <w:spacing w:val="1"/>
        </w:rPr>
        <w:t xml:space="preserve">  </w:t>
      </w:r>
      <w:r>
        <w:rPr>
          <w:rFonts w:ascii="宋体" w:eastAsia="宋体" w:hAnsi="宋体" w:cs="宋体"/>
          <w:spacing w:val="4"/>
        </w:rPr>
        <w:t>在的。血浆中的脂蛋白包括乳糜微粒</w:t>
      </w:r>
      <w:r>
        <w:rPr>
          <w:rFonts w:ascii="宋体" w:eastAsia="宋体" w:hAnsi="宋体" w:cs="宋体"/>
          <w:spacing w:val="-13"/>
        </w:rPr>
        <w:t xml:space="preserve"> </w:t>
      </w:r>
      <w:r>
        <w:rPr>
          <w:rFonts w:ascii="宋体" w:eastAsia="宋体" w:hAnsi="宋体" w:cs="宋体"/>
          <w:spacing w:val="4"/>
        </w:rPr>
        <w:t>(</w:t>
      </w:r>
      <w:r>
        <w:rPr>
          <w:rFonts w:ascii="宋体" w:eastAsia="宋体" w:hAnsi="宋体" w:cs="宋体"/>
        </w:rPr>
        <w:t>chylomicron</w:t>
      </w:r>
      <w:r>
        <w:rPr>
          <w:rFonts w:ascii="宋体" w:eastAsia="宋体" w:hAnsi="宋体" w:cs="宋体"/>
          <w:spacing w:val="4"/>
        </w:rPr>
        <w:t>,</w:t>
      </w:r>
      <w:r>
        <w:rPr>
          <w:rFonts w:ascii="宋体" w:eastAsia="宋体" w:hAnsi="宋体" w:cs="宋体"/>
        </w:rPr>
        <w:t>CM</w:t>
      </w:r>
      <w:r>
        <w:rPr>
          <w:rFonts w:ascii="宋体" w:eastAsia="宋体" w:hAnsi="宋体" w:cs="宋体"/>
          <w:spacing w:val="4"/>
        </w:rPr>
        <w:t>)、</w:t>
      </w:r>
      <w:r>
        <w:rPr>
          <w:rFonts w:ascii="宋体" w:eastAsia="宋体" w:hAnsi="宋体" w:cs="宋体"/>
          <w:spacing w:val="12"/>
        </w:rPr>
        <w:t xml:space="preserve">   </w:t>
      </w:r>
      <w:r>
        <w:rPr>
          <w:rFonts w:ascii="宋体" w:eastAsia="宋体" w:hAnsi="宋体" w:cs="宋体"/>
          <w:spacing w:val="4"/>
        </w:rPr>
        <w:t>极低</w:t>
      </w:r>
      <w:r>
        <w:rPr>
          <w:rFonts w:ascii="宋体" w:eastAsia="宋体" w:hAnsi="宋体" w:cs="宋体"/>
          <w:spacing w:val="3"/>
        </w:rPr>
        <w:t>密度脂蛋白</w:t>
      </w:r>
      <w:r>
        <w:rPr>
          <w:rFonts w:ascii="宋体" w:eastAsia="宋体" w:hAnsi="宋体" w:cs="宋体"/>
        </w:rPr>
        <w:t xml:space="preserve"> </w:t>
      </w:r>
      <w:r>
        <w:rPr>
          <w:rFonts w:ascii="宋体" w:eastAsia="宋体" w:hAnsi="宋体" w:cs="宋体"/>
          <w:spacing w:val="-13"/>
        </w:rPr>
        <w:t>(</w:t>
      </w:r>
      <w:r>
        <w:rPr>
          <w:rFonts w:ascii="宋体" w:eastAsia="宋体" w:hAnsi="宋体" w:cs="宋体"/>
          <w:spacing w:val="-12"/>
        </w:rPr>
        <w:t>very</w:t>
      </w:r>
      <w:r>
        <w:rPr>
          <w:rFonts w:ascii="宋体" w:eastAsia="宋体" w:hAnsi="宋体" w:cs="宋体"/>
          <w:spacing w:val="15"/>
        </w:rPr>
        <w:t xml:space="preserve"> </w:t>
      </w:r>
      <w:r>
        <w:rPr>
          <w:rFonts w:ascii="宋体" w:eastAsia="宋体" w:hAnsi="宋体" w:cs="宋体"/>
          <w:spacing w:val="-12"/>
        </w:rPr>
        <w:t>low</w:t>
      </w:r>
      <w:r>
        <w:rPr>
          <w:rFonts w:ascii="宋体" w:eastAsia="宋体" w:hAnsi="宋体" w:cs="宋体"/>
          <w:spacing w:val="8"/>
        </w:rPr>
        <w:t xml:space="preserve"> </w:t>
      </w:r>
      <w:r>
        <w:rPr>
          <w:rFonts w:ascii="宋体" w:eastAsia="宋体" w:hAnsi="宋体" w:cs="宋体"/>
          <w:spacing w:val="-12"/>
        </w:rPr>
        <w:t>density</w:t>
      </w:r>
      <w:r>
        <w:rPr>
          <w:rFonts w:ascii="宋体" w:eastAsia="宋体" w:hAnsi="宋体" w:cs="宋体"/>
          <w:spacing w:val="16"/>
        </w:rPr>
        <w:t xml:space="preserve"> </w:t>
      </w:r>
      <w:r>
        <w:rPr>
          <w:rFonts w:ascii="宋体" w:eastAsia="宋体" w:hAnsi="宋体" w:cs="宋体"/>
          <w:spacing w:val="-12"/>
        </w:rPr>
        <w:t>lipoprotein</w:t>
      </w:r>
      <w:r>
        <w:rPr>
          <w:rFonts w:ascii="宋体" w:eastAsia="宋体" w:hAnsi="宋体" w:cs="宋体"/>
          <w:spacing w:val="-13"/>
        </w:rPr>
        <w:t>,</w:t>
      </w:r>
      <w:r>
        <w:rPr>
          <w:rFonts w:ascii="宋体" w:eastAsia="宋体" w:hAnsi="宋体" w:cs="宋体"/>
          <w:spacing w:val="-12"/>
        </w:rPr>
        <w:t>VLDL</w:t>
      </w:r>
      <w:r>
        <w:rPr>
          <w:rFonts w:ascii="宋体" w:eastAsia="宋体" w:hAnsi="宋体" w:cs="宋体"/>
          <w:spacing w:val="-13"/>
        </w:rPr>
        <w:t>)、</w:t>
      </w:r>
      <w:r>
        <w:rPr>
          <w:rFonts w:ascii="宋体" w:eastAsia="宋体" w:hAnsi="宋体" w:cs="宋体"/>
          <w:spacing w:val="5"/>
        </w:rPr>
        <w:t xml:space="preserve"> </w:t>
      </w:r>
      <w:r>
        <w:rPr>
          <w:rFonts w:ascii="宋体" w:eastAsia="宋体" w:hAnsi="宋体" w:cs="宋体"/>
          <w:spacing w:val="-13"/>
        </w:rPr>
        <w:t>低密度脂蛋白</w:t>
      </w:r>
      <w:r>
        <w:rPr>
          <w:rFonts w:ascii="宋体" w:eastAsia="宋体" w:hAnsi="宋体" w:cs="宋体"/>
          <w:spacing w:val="2"/>
        </w:rPr>
        <w:t xml:space="preserve"> </w:t>
      </w:r>
      <w:r>
        <w:rPr>
          <w:rFonts w:ascii="宋体" w:eastAsia="宋体" w:hAnsi="宋体" w:cs="宋体"/>
          <w:spacing w:val="-13"/>
        </w:rPr>
        <w:t>(</w:t>
      </w:r>
      <w:r>
        <w:rPr>
          <w:rFonts w:ascii="宋体" w:eastAsia="宋体" w:hAnsi="宋体" w:cs="宋体"/>
          <w:spacing w:val="-12"/>
        </w:rPr>
        <w:t>low</w:t>
      </w:r>
      <w:r>
        <w:rPr>
          <w:rFonts w:ascii="宋体" w:eastAsia="宋体" w:hAnsi="宋体" w:cs="宋体"/>
          <w:spacing w:val="-4"/>
        </w:rPr>
        <w:t xml:space="preserve"> </w:t>
      </w:r>
      <w:r>
        <w:rPr>
          <w:rFonts w:ascii="宋体" w:eastAsia="宋体" w:hAnsi="宋体" w:cs="宋体"/>
          <w:spacing w:val="-12"/>
        </w:rPr>
        <w:t>den</w:t>
      </w:r>
      <w:r>
        <w:rPr>
          <w:rFonts w:ascii="宋体" w:eastAsia="宋体" w:hAnsi="宋体" w:cs="宋体"/>
          <w:spacing w:val="-13"/>
        </w:rPr>
        <w:t>sity</w:t>
      </w:r>
      <w:r>
        <w:rPr>
          <w:rFonts w:ascii="宋体" w:eastAsia="宋体" w:hAnsi="宋体" w:cs="宋体"/>
          <w:spacing w:val="3"/>
        </w:rPr>
        <w:t xml:space="preserve"> </w:t>
      </w:r>
      <w:r>
        <w:rPr>
          <w:rFonts w:ascii="宋体" w:eastAsia="宋体" w:hAnsi="宋体" w:cs="宋体"/>
          <w:spacing w:val="-13"/>
        </w:rPr>
        <w:t>lipoprotein,</w:t>
      </w:r>
      <w:r>
        <w:rPr>
          <w:rFonts w:ascii="宋体" w:eastAsia="宋体" w:hAnsi="宋体" w:cs="宋体"/>
        </w:rPr>
        <w:t xml:space="preserve">  </w:t>
      </w:r>
      <w:r>
        <w:rPr>
          <w:rFonts w:ascii="宋体" w:eastAsia="宋体" w:hAnsi="宋体" w:cs="宋体"/>
          <w:spacing w:val="-2"/>
        </w:rPr>
        <w:t>LDL)、</w:t>
      </w:r>
      <w:r>
        <w:rPr>
          <w:rFonts w:ascii="宋体" w:eastAsia="宋体" w:hAnsi="宋体" w:cs="宋体"/>
          <w:spacing w:val="97"/>
        </w:rPr>
        <w:t xml:space="preserve"> </w:t>
      </w:r>
      <w:r>
        <w:rPr>
          <w:rFonts w:ascii="宋体" w:eastAsia="宋体" w:hAnsi="宋体" w:cs="宋体"/>
          <w:spacing w:val="-2"/>
        </w:rPr>
        <w:t>高密度脂蛋白</w:t>
      </w:r>
      <w:r>
        <w:rPr>
          <w:rFonts w:ascii="宋体" w:eastAsia="宋体" w:hAnsi="宋体" w:cs="宋体"/>
          <w:spacing w:val="-12"/>
        </w:rPr>
        <w:t xml:space="preserve"> </w:t>
      </w:r>
      <w:r>
        <w:rPr>
          <w:rFonts w:ascii="宋体" w:eastAsia="宋体" w:hAnsi="宋体" w:cs="宋体"/>
          <w:spacing w:val="-2"/>
        </w:rPr>
        <w:t>(high</w:t>
      </w:r>
      <w:r>
        <w:rPr>
          <w:rFonts w:ascii="宋体" w:eastAsia="宋体" w:hAnsi="宋体" w:cs="宋体"/>
          <w:spacing w:val="12"/>
        </w:rPr>
        <w:t xml:space="preserve"> </w:t>
      </w:r>
      <w:r>
        <w:rPr>
          <w:rFonts w:ascii="宋体" w:eastAsia="宋体" w:hAnsi="宋体" w:cs="宋体"/>
          <w:spacing w:val="-2"/>
        </w:rPr>
        <w:t>density</w:t>
      </w:r>
      <w:r>
        <w:rPr>
          <w:rFonts w:ascii="宋体" w:eastAsia="宋体" w:hAnsi="宋体" w:cs="宋体"/>
          <w:spacing w:val="21"/>
        </w:rPr>
        <w:t xml:space="preserve"> </w:t>
      </w:r>
      <w:r>
        <w:rPr>
          <w:rFonts w:ascii="宋体" w:eastAsia="宋体" w:hAnsi="宋体" w:cs="宋体"/>
          <w:spacing w:val="-2"/>
        </w:rPr>
        <w:t>lipoprotein,HDL)。</w:t>
      </w:r>
      <w:r>
        <w:rPr>
          <w:rFonts w:ascii="宋体" w:eastAsia="宋体" w:hAnsi="宋体" w:cs="宋体"/>
          <w:spacing w:val="-5"/>
        </w:rPr>
        <w:t xml:space="preserve"> </w:t>
      </w:r>
      <w:r>
        <w:rPr>
          <w:rFonts w:ascii="宋体" w:eastAsia="宋体" w:hAnsi="宋体" w:cs="宋体"/>
          <w:spacing w:val="-2"/>
        </w:rPr>
        <w:t>它们主要由蛋白质</w:t>
      </w:r>
      <w:r>
        <w:rPr>
          <w:rFonts w:ascii="宋体" w:eastAsia="宋体" w:hAnsi="宋体" w:cs="宋体"/>
        </w:rPr>
        <w:t xml:space="preserve"> </w:t>
      </w:r>
      <w:r>
        <w:rPr>
          <w:rFonts w:ascii="宋体" w:eastAsia="宋体" w:hAnsi="宋体" w:cs="宋体"/>
          <w:spacing w:val="-3"/>
        </w:rPr>
        <w:t>(载脂蛋白)、甘油三酯、胆固醇及胆固醇酯、磷脂等组成，各类血浆脂蛋白都含</w:t>
      </w:r>
      <w:r>
        <w:rPr>
          <w:rFonts w:ascii="宋体" w:eastAsia="宋体" w:hAnsi="宋体" w:cs="宋体"/>
          <w:spacing w:val="3"/>
        </w:rPr>
        <w:t xml:space="preserve">  </w:t>
      </w:r>
      <w:r>
        <w:rPr>
          <w:rFonts w:ascii="宋体" w:eastAsia="宋体" w:hAnsi="宋体" w:cs="宋体"/>
        </w:rPr>
        <w:t>有这4类成分，但在组成比例上却大不相同。载脂蛋白的</w:t>
      </w:r>
      <w:r>
        <w:rPr>
          <w:rFonts w:ascii="宋体" w:eastAsia="宋体" w:hAnsi="宋体" w:cs="宋体"/>
          <w:spacing w:val="-1"/>
        </w:rPr>
        <w:t>分子结构中均含有双性</w:t>
      </w:r>
      <w:r>
        <w:rPr>
          <w:rFonts w:ascii="宋体" w:eastAsia="宋体" w:hAnsi="宋体" w:cs="宋体"/>
        </w:rPr>
        <w:t xml:space="preserve">  α螺旋结构。在双性α螺旋结构中，疏水性氨基酸残基构成α螺旋</w:t>
      </w:r>
      <w:r>
        <w:rPr>
          <w:rFonts w:ascii="宋体" w:eastAsia="宋体" w:hAnsi="宋体" w:cs="宋体"/>
          <w:spacing w:val="-1"/>
        </w:rPr>
        <w:t>的一个侧面，</w:t>
      </w:r>
      <w:r>
        <w:rPr>
          <w:rFonts w:ascii="宋体" w:eastAsia="宋体" w:hAnsi="宋体" w:cs="宋体"/>
        </w:rPr>
        <w:t xml:space="preserve"> </w:t>
      </w:r>
      <w:r>
        <w:rPr>
          <w:rFonts w:ascii="宋体" w:eastAsia="宋体" w:hAnsi="宋体" w:cs="宋体"/>
          <w:spacing w:val="-3"/>
        </w:rPr>
        <w:t>位于双螺旋的内侧，而另一侧面由具亲水基团的极性氨基酸残基构成。双性α螺</w:t>
      </w:r>
      <w:r>
        <w:rPr>
          <w:rFonts w:ascii="宋体" w:eastAsia="宋体" w:hAnsi="宋体" w:cs="宋体"/>
          <w:spacing w:val="3"/>
        </w:rPr>
        <w:t xml:space="preserve">  </w:t>
      </w:r>
      <w:r>
        <w:rPr>
          <w:rFonts w:ascii="宋体" w:eastAsia="宋体" w:hAnsi="宋体" w:cs="宋体"/>
          <w:spacing w:val="-2"/>
        </w:rPr>
        <w:t>旋结构是载脂蛋白能结合及转运脂质的结构基础。脂</w:t>
      </w:r>
      <w:r>
        <w:rPr>
          <w:rFonts w:ascii="宋体" w:eastAsia="宋体" w:hAnsi="宋体" w:cs="宋体"/>
          <w:spacing w:val="-3"/>
        </w:rPr>
        <w:t>类物质与载脂蛋白内侧的疏</w:t>
      </w:r>
      <w:r>
        <w:rPr>
          <w:rFonts w:ascii="宋体" w:eastAsia="宋体" w:hAnsi="宋体" w:cs="宋体"/>
        </w:rPr>
        <w:t xml:space="preserve"> 水端结合，双螺旋结构使得疏水基团完全被包在内侧，暴露在外的</w:t>
      </w:r>
      <w:r>
        <w:rPr>
          <w:rFonts w:ascii="宋体" w:eastAsia="宋体" w:hAnsi="宋体" w:cs="宋体"/>
          <w:spacing w:val="-1"/>
        </w:rPr>
        <w:t>为亲水一侧，</w:t>
      </w:r>
      <w:r>
        <w:rPr>
          <w:rFonts w:ascii="宋体" w:eastAsia="宋体" w:hAnsi="宋体" w:cs="宋体"/>
        </w:rPr>
        <w:t xml:space="preserve"> </w:t>
      </w:r>
      <w:r>
        <w:rPr>
          <w:rFonts w:ascii="宋体" w:eastAsia="宋体" w:hAnsi="宋体" w:cs="宋体"/>
          <w:spacing w:val="-6"/>
        </w:rPr>
        <w:t>从而使脂蛋白成为水溶性物质而运输。</w:t>
      </w:r>
    </w:p>
    <w:p w:rsidR="00EA40A3" w:rsidRDefault="00EA40A3">
      <w:pPr>
        <w:spacing w:line="247" w:lineRule="auto"/>
      </w:pPr>
    </w:p>
    <w:p w:rsidR="00EA40A3" w:rsidRDefault="00E86C16">
      <w:pPr>
        <w:spacing w:before="68" w:line="221" w:lineRule="auto"/>
        <w:rPr>
          <w:rFonts w:ascii="仿宋" w:eastAsia="仿宋" w:hAnsi="仿宋" w:cs="仿宋"/>
        </w:rPr>
      </w:pPr>
      <w:r>
        <w:rPr>
          <w:rFonts w:ascii="仿宋" w:eastAsia="仿宋" w:hAnsi="仿宋" w:cs="仿宋"/>
          <w:spacing w:val="12"/>
        </w:rPr>
        <w:t>3.</w:t>
      </w:r>
      <w:r>
        <w:rPr>
          <w:rFonts w:ascii="仿宋" w:eastAsia="仿宋" w:hAnsi="仿宋" w:cs="仿宋"/>
          <w:spacing w:val="49"/>
        </w:rPr>
        <w:t xml:space="preserve"> </w:t>
      </w:r>
      <w:r>
        <w:rPr>
          <w:rFonts w:ascii="仿宋" w:eastAsia="仿宋" w:hAnsi="仿宋" w:cs="仿宋"/>
          <w:spacing w:val="12"/>
        </w:rPr>
        <w:t>碳水化合物的运输</w:t>
      </w:r>
    </w:p>
    <w:p w:rsidR="00EA40A3" w:rsidRDefault="00E86C16">
      <w:pPr>
        <w:spacing w:before="223" w:line="228" w:lineRule="auto"/>
        <w:ind w:right="74" w:firstLine="430"/>
        <w:rPr>
          <w:rFonts w:ascii="宋体" w:eastAsia="宋体" w:hAnsi="宋体" w:cs="宋体"/>
        </w:rPr>
      </w:pPr>
      <w:r>
        <w:rPr>
          <w:rFonts w:ascii="宋体" w:eastAsia="宋体" w:hAnsi="宋体" w:cs="宋体"/>
          <w:spacing w:val="-3"/>
        </w:rPr>
        <w:t>血液中的碳水化合物绝大多数为葡萄糖，相对分子质量小且为水溶性，可游</w:t>
      </w:r>
      <w:r>
        <w:rPr>
          <w:rFonts w:ascii="宋体" w:eastAsia="宋体" w:hAnsi="宋体" w:cs="宋体"/>
          <w:spacing w:val="8"/>
        </w:rPr>
        <w:t xml:space="preserve"> </w:t>
      </w:r>
      <w:r>
        <w:rPr>
          <w:rFonts w:ascii="宋体" w:eastAsia="宋体" w:hAnsi="宋体" w:cs="宋体"/>
          <w:spacing w:val="-8"/>
        </w:rPr>
        <w:t>离存在于血液中被运输。</w:t>
      </w:r>
    </w:p>
    <w:p w:rsidR="00EA40A3" w:rsidRDefault="00E86C16">
      <w:pPr>
        <w:spacing w:before="227" w:line="221" w:lineRule="auto"/>
        <w:rPr>
          <w:rFonts w:ascii="仿宋" w:eastAsia="仿宋" w:hAnsi="仿宋" w:cs="仿宋"/>
        </w:rPr>
      </w:pPr>
      <w:r>
        <w:rPr>
          <w:rFonts w:ascii="仿宋" w:eastAsia="仿宋" w:hAnsi="仿宋" w:cs="仿宋"/>
          <w:spacing w:val="8"/>
        </w:rPr>
        <w:t>4.</w:t>
      </w:r>
      <w:r>
        <w:rPr>
          <w:rFonts w:ascii="仿宋" w:eastAsia="仿宋" w:hAnsi="仿宋" w:cs="仿宋"/>
          <w:spacing w:val="55"/>
        </w:rPr>
        <w:t xml:space="preserve"> </w:t>
      </w:r>
      <w:r>
        <w:rPr>
          <w:rFonts w:ascii="仿宋" w:eastAsia="仿宋" w:hAnsi="仿宋" w:cs="仿宋"/>
          <w:spacing w:val="8"/>
        </w:rPr>
        <w:t>矿物质的运输</w:t>
      </w:r>
    </w:p>
    <w:p w:rsidR="00EA40A3" w:rsidRDefault="00E86C16">
      <w:pPr>
        <w:spacing w:before="187" w:line="232" w:lineRule="auto"/>
        <w:rPr>
          <w:rFonts w:ascii="楷体" w:eastAsia="楷体" w:hAnsi="楷体" w:cs="楷体"/>
        </w:rPr>
      </w:pPr>
      <w:r>
        <w:rPr>
          <w:rFonts w:ascii="楷体" w:eastAsia="楷体" w:hAnsi="楷体" w:cs="楷体"/>
          <w:spacing w:val="8"/>
        </w:rPr>
        <w:t>1)铁的运输</w:t>
      </w:r>
    </w:p>
    <w:p w:rsidR="00EA40A3" w:rsidRDefault="00E86C16">
      <w:pPr>
        <w:spacing w:before="81" w:line="246" w:lineRule="auto"/>
        <w:ind w:right="75" w:firstLine="430"/>
        <w:rPr>
          <w:rFonts w:ascii="宋体" w:eastAsia="宋体" w:hAnsi="宋体" w:cs="宋体"/>
        </w:rPr>
      </w:pPr>
      <w:r>
        <w:rPr>
          <w:rFonts w:ascii="宋体" w:eastAsia="宋体" w:hAnsi="宋体" w:cs="宋体"/>
          <w:spacing w:val="-3"/>
        </w:rPr>
        <w:t>从肠道吸收的铁在肠黏膜细胞内与脱铁铁蛋白结合成铁蛋白而储存，当机体</w:t>
      </w:r>
      <w:r>
        <w:rPr>
          <w:rFonts w:ascii="宋体" w:eastAsia="宋体" w:hAnsi="宋体" w:cs="宋体"/>
          <w:spacing w:val="6"/>
        </w:rPr>
        <w:t xml:space="preserve"> </w:t>
      </w:r>
      <w:r>
        <w:rPr>
          <w:rFonts w:ascii="宋体" w:eastAsia="宋体" w:hAnsi="宋体" w:cs="宋体"/>
          <w:spacing w:val="-2"/>
        </w:rPr>
        <w:t>需要时，铁与铁蛋白分离，在载体的帮助下穿过肠黏</w:t>
      </w:r>
      <w:r>
        <w:rPr>
          <w:rFonts w:ascii="宋体" w:eastAsia="宋体" w:hAnsi="宋体" w:cs="宋体"/>
          <w:spacing w:val="-3"/>
        </w:rPr>
        <w:t>膜及毛细血管内皮细胞进入</w:t>
      </w:r>
    </w:p>
    <w:p w:rsidR="00EA40A3" w:rsidRDefault="00E86C16">
      <w:pPr>
        <w:spacing w:before="106"/>
        <w:ind w:right="90"/>
        <w:jc w:val="right"/>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29</w:t>
      </w:r>
      <w:r>
        <w:rPr>
          <w:rFonts w:ascii="宋体" w:eastAsia="宋体" w:hAnsi="宋体" w:cs="宋体"/>
          <w:spacing w:val="49"/>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965" w:bottom="400" w:left="910" w:header="0" w:footer="0" w:gutter="0"/>
          <w:cols w:space="720"/>
        </w:sectPr>
      </w:pPr>
    </w:p>
    <w:p w:rsidR="00EA40A3" w:rsidRDefault="00EA40A3">
      <w:pPr>
        <w:spacing w:line="269" w:lineRule="auto"/>
      </w:pPr>
    </w:p>
    <w:p w:rsidR="00EA40A3" w:rsidRDefault="00EA40A3">
      <w:pPr>
        <w:spacing w:line="269" w:lineRule="auto"/>
      </w:pPr>
    </w:p>
    <w:p w:rsidR="00EA40A3" w:rsidRDefault="00E86C16">
      <w:pPr>
        <w:spacing w:before="74" w:line="216" w:lineRule="auto"/>
        <w:rPr>
          <w:rFonts w:ascii="宋体" w:eastAsia="宋体" w:hAnsi="宋体" w:cs="宋体"/>
          <w:sz w:val="23"/>
          <w:szCs w:val="23"/>
        </w:rPr>
      </w:pPr>
      <w:r>
        <w:rPr>
          <w:rFonts w:ascii="宋体" w:eastAsia="宋体" w:hAnsi="宋体" w:cs="宋体"/>
          <w:spacing w:val="-14"/>
          <w:sz w:val="23"/>
          <w:szCs w:val="23"/>
        </w:rPr>
        <w:t>血液循环，</w:t>
      </w:r>
      <w:r>
        <w:rPr>
          <w:rFonts w:ascii="宋体" w:eastAsia="宋体" w:hAnsi="宋体" w:cs="宋体"/>
          <w:spacing w:val="-64"/>
          <w:sz w:val="23"/>
          <w:szCs w:val="23"/>
        </w:rPr>
        <w:t xml:space="preserve"> </w:t>
      </w:r>
      <w:r>
        <w:rPr>
          <w:rFonts w:ascii="宋体" w:eastAsia="宋体" w:hAnsi="宋体" w:cs="宋体"/>
          <w:spacing w:val="-14"/>
          <w:sz w:val="23"/>
          <w:szCs w:val="23"/>
        </w:rPr>
        <w:t>Fe²+在酶的催化下转化为Fe³+,Fe³+</w:t>
      </w:r>
      <w:r>
        <w:rPr>
          <w:rFonts w:ascii="宋体" w:eastAsia="宋体" w:hAnsi="宋体" w:cs="宋体"/>
          <w:spacing w:val="-65"/>
          <w:sz w:val="23"/>
          <w:szCs w:val="23"/>
        </w:rPr>
        <w:t xml:space="preserve"> </w:t>
      </w:r>
      <w:r>
        <w:rPr>
          <w:rFonts w:ascii="宋体" w:eastAsia="宋体" w:hAnsi="宋体" w:cs="宋体"/>
          <w:spacing w:val="-14"/>
          <w:sz w:val="23"/>
          <w:szCs w:val="23"/>
        </w:rPr>
        <w:t>与血</w:t>
      </w:r>
      <w:r>
        <w:rPr>
          <w:rFonts w:ascii="宋体" w:eastAsia="宋体" w:hAnsi="宋体" w:cs="宋体"/>
          <w:spacing w:val="-15"/>
          <w:sz w:val="23"/>
          <w:szCs w:val="23"/>
        </w:rPr>
        <w:t>浆中的运铁蛋白结合随血</w:t>
      </w:r>
    </w:p>
    <w:p w:rsidR="00EA40A3" w:rsidRDefault="00E86C16">
      <w:pPr>
        <w:spacing w:before="74" w:line="224" w:lineRule="auto"/>
        <w:rPr>
          <w:rFonts w:ascii="宋体" w:eastAsia="宋体" w:hAnsi="宋体" w:cs="宋体"/>
          <w:sz w:val="23"/>
          <w:szCs w:val="23"/>
        </w:rPr>
      </w:pPr>
      <w:r>
        <w:rPr>
          <w:rFonts w:ascii="宋体" w:eastAsia="宋体" w:hAnsi="宋体" w:cs="宋体"/>
          <w:spacing w:val="-24"/>
          <w:w w:val="99"/>
          <w:sz w:val="23"/>
          <w:szCs w:val="23"/>
        </w:rPr>
        <w:t>液循环被运送到全身各处。</w:t>
      </w:r>
    </w:p>
    <w:p w:rsidR="00EA40A3" w:rsidRDefault="00E86C16">
      <w:pPr>
        <w:spacing w:line="226" w:lineRule="auto"/>
        <w:rPr>
          <w:rFonts w:ascii="楷体" w:eastAsia="楷体" w:hAnsi="楷体" w:cs="楷体"/>
          <w:sz w:val="23"/>
          <w:szCs w:val="23"/>
        </w:rPr>
      </w:pPr>
      <w:r>
        <w:rPr>
          <w:rFonts w:ascii="楷体" w:eastAsia="楷体" w:hAnsi="楷体" w:cs="楷体"/>
          <w:spacing w:val="-4"/>
          <w:sz w:val="23"/>
          <w:szCs w:val="23"/>
        </w:rPr>
        <w:t>2)钙的运输</w:t>
      </w:r>
    </w:p>
    <w:p w:rsidR="00EA40A3" w:rsidRDefault="00E86C16">
      <w:pPr>
        <w:spacing w:before="27" w:line="234" w:lineRule="auto"/>
        <w:ind w:right="21" w:firstLine="439"/>
        <w:jc w:val="both"/>
        <w:rPr>
          <w:rFonts w:ascii="宋体" w:eastAsia="宋体" w:hAnsi="宋体" w:cs="宋体"/>
          <w:sz w:val="23"/>
          <w:szCs w:val="23"/>
        </w:rPr>
      </w:pPr>
      <w:r>
        <w:rPr>
          <w:rFonts w:ascii="宋体" w:eastAsia="宋体" w:hAnsi="宋体" w:cs="宋体"/>
          <w:spacing w:val="-2"/>
          <w:sz w:val="23"/>
          <w:szCs w:val="23"/>
        </w:rPr>
        <w:t>从肠道吸收的钙、骨骼中溶解的钙及肾脏重吸</w:t>
      </w:r>
      <w:r>
        <w:rPr>
          <w:rFonts w:ascii="宋体" w:eastAsia="宋体" w:hAnsi="宋体" w:cs="宋体"/>
          <w:spacing w:val="-3"/>
          <w:sz w:val="23"/>
          <w:szCs w:val="23"/>
        </w:rPr>
        <w:t>收的钙进入血液后，约</w:t>
      </w:r>
      <w:r>
        <w:rPr>
          <w:rFonts w:ascii="宋体" w:eastAsia="宋体" w:hAnsi="宋体" w:cs="宋体"/>
          <w:sz w:val="23"/>
          <w:szCs w:val="23"/>
        </w:rPr>
        <w:t xml:space="preserve"> </w:t>
      </w:r>
      <w:r>
        <w:rPr>
          <w:rFonts w:ascii="宋体" w:eastAsia="宋体" w:hAnsi="宋体" w:cs="宋体"/>
          <w:spacing w:val="-9"/>
          <w:sz w:val="23"/>
          <w:szCs w:val="23"/>
        </w:rPr>
        <w:t>47.5%以离子的形式存在于血清中，46%与蛋白质结合，6.5%与有机酸或无机</w:t>
      </w:r>
      <w:r>
        <w:rPr>
          <w:rFonts w:ascii="宋体" w:eastAsia="宋体" w:hAnsi="宋体" w:cs="宋体"/>
          <w:spacing w:val="18"/>
          <w:sz w:val="23"/>
          <w:szCs w:val="23"/>
        </w:rPr>
        <w:t xml:space="preserve"> </w:t>
      </w:r>
      <w:r>
        <w:rPr>
          <w:rFonts w:ascii="宋体" w:eastAsia="宋体" w:hAnsi="宋体" w:cs="宋体"/>
          <w:spacing w:val="-24"/>
          <w:w w:val="99"/>
          <w:sz w:val="23"/>
          <w:szCs w:val="23"/>
        </w:rPr>
        <w:t>酸复合而被运输。</w:t>
      </w:r>
    </w:p>
    <w:p w:rsidR="00EA40A3" w:rsidRDefault="00E86C16">
      <w:pPr>
        <w:spacing w:before="24" w:line="225" w:lineRule="auto"/>
        <w:rPr>
          <w:rFonts w:ascii="楷体" w:eastAsia="楷体" w:hAnsi="楷体" w:cs="楷体"/>
          <w:sz w:val="23"/>
          <w:szCs w:val="23"/>
        </w:rPr>
      </w:pPr>
      <w:r>
        <w:rPr>
          <w:rFonts w:ascii="楷体" w:eastAsia="楷体" w:hAnsi="楷体" w:cs="楷体"/>
          <w:spacing w:val="-10"/>
          <w:sz w:val="23"/>
          <w:szCs w:val="23"/>
        </w:rPr>
        <w:t>3)其他离子的运输</w:t>
      </w:r>
    </w:p>
    <w:p w:rsidR="00EA40A3" w:rsidRDefault="00E86C16">
      <w:pPr>
        <w:spacing w:before="42" w:line="234" w:lineRule="auto"/>
        <w:ind w:right="32" w:firstLine="439"/>
        <w:rPr>
          <w:rFonts w:ascii="宋体" w:eastAsia="宋体" w:hAnsi="宋体" w:cs="宋体"/>
          <w:sz w:val="23"/>
          <w:szCs w:val="23"/>
        </w:rPr>
      </w:pPr>
      <w:r>
        <w:rPr>
          <w:rFonts w:ascii="宋体" w:eastAsia="宋体" w:hAnsi="宋体" w:cs="宋体"/>
          <w:spacing w:val="-23"/>
          <w:sz w:val="23"/>
          <w:szCs w:val="23"/>
        </w:rPr>
        <w:t>其他矿物质或游离于血浆中，或与血浆蛋白质</w:t>
      </w:r>
      <w:r>
        <w:rPr>
          <w:rFonts w:ascii="宋体" w:eastAsia="宋体" w:hAnsi="宋体" w:cs="宋体"/>
          <w:spacing w:val="-24"/>
          <w:sz w:val="23"/>
          <w:szCs w:val="23"/>
        </w:rPr>
        <w:t>结合，或存在于血细胞内而被</w:t>
      </w:r>
      <w:r>
        <w:rPr>
          <w:rFonts w:ascii="宋体" w:eastAsia="宋体" w:hAnsi="宋体" w:cs="宋体"/>
          <w:sz w:val="23"/>
          <w:szCs w:val="23"/>
        </w:rPr>
        <w:t xml:space="preserve"> </w:t>
      </w:r>
      <w:r>
        <w:rPr>
          <w:rFonts w:ascii="宋体" w:eastAsia="宋体" w:hAnsi="宋体" w:cs="宋体"/>
          <w:spacing w:val="-22"/>
          <w:sz w:val="23"/>
          <w:szCs w:val="23"/>
        </w:rPr>
        <w:t>运输。</w:t>
      </w:r>
    </w:p>
    <w:p w:rsidR="00EA40A3" w:rsidRDefault="00E86C16">
      <w:pPr>
        <w:spacing w:before="184" w:line="222" w:lineRule="auto"/>
        <w:rPr>
          <w:rFonts w:ascii="仿宋" w:eastAsia="仿宋" w:hAnsi="仿宋" w:cs="仿宋"/>
          <w:sz w:val="23"/>
          <w:szCs w:val="23"/>
        </w:rPr>
      </w:pPr>
      <w:r>
        <w:rPr>
          <w:rFonts w:ascii="仿宋" w:eastAsia="仿宋" w:hAnsi="仿宋" w:cs="仿宋"/>
          <w:sz w:val="23"/>
          <w:szCs w:val="23"/>
        </w:rPr>
        <w:t>5.</w:t>
      </w:r>
      <w:r>
        <w:rPr>
          <w:rFonts w:ascii="仿宋" w:eastAsia="仿宋" w:hAnsi="仿宋" w:cs="仿宋"/>
          <w:spacing w:val="-40"/>
          <w:sz w:val="23"/>
          <w:szCs w:val="23"/>
        </w:rPr>
        <w:t xml:space="preserve"> </w:t>
      </w:r>
      <w:r>
        <w:rPr>
          <w:rFonts w:ascii="仿宋" w:eastAsia="仿宋" w:hAnsi="仿宋" w:cs="仿宋"/>
          <w:sz w:val="23"/>
          <w:szCs w:val="23"/>
        </w:rPr>
        <w:t>维生素的运输</w:t>
      </w:r>
    </w:p>
    <w:p w:rsidR="00EA40A3" w:rsidRDefault="00E86C16">
      <w:pPr>
        <w:spacing w:before="177" w:line="219" w:lineRule="auto"/>
        <w:ind w:left="439"/>
        <w:rPr>
          <w:rFonts w:ascii="宋体" w:eastAsia="宋体" w:hAnsi="宋体" w:cs="宋体"/>
          <w:sz w:val="23"/>
          <w:szCs w:val="23"/>
        </w:rPr>
      </w:pPr>
      <w:r>
        <w:rPr>
          <w:rFonts w:ascii="宋体" w:eastAsia="宋体" w:hAnsi="宋体" w:cs="宋体"/>
          <w:spacing w:val="-23"/>
          <w:sz w:val="23"/>
          <w:szCs w:val="23"/>
        </w:rPr>
        <w:t>水溶性维生素溶于血清中而被运输，脂溶性维生素与脂肪酸一起被运输。</w:t>
      </w:r>
    </w:p>
    <w:p w:rsidR="00EA40A3" w:rsidRDefault="00EA40A3">
      <w:pPr>
        <w:spacing w:line="246" w:lineRule="auto"/>
      </w:pPr>
    </w:p>
    <w:p w:rsidR="00EA40A3" w:rsidRDefault="00E86C16">
      <w:pPr>
        <w:spacing w:before="91" w:line="219" w:lineRule="auto"/>
        <w:ind w:left="2260"/>
        <w:rPr>
          <w:rFonts w:ascii="宋体" w:eastAsia="宋体" w:hAnsi="宋体" w:cs="宋体"/>
          <w:sz w:val="28"/>
          <w:szCs w:val="28"/>
        </w:rPr>
      </w:pPr>
      <w:r>
        <w:rPr>
          <w:rFonts w:ascii="宋体" w:eastAsia="宋体" w:hAnsi="宋体" w:cs="宋体"/>
          <w:spacing w:val="-5"/>
          <w:sz w:val="28"/>
          <w:szCs w:val="28"/>
        </w:rPr>
        <w:t>2.3</w:t>
      </w:r>
      <w:r>
        <w:rPr>
          <w:rFonts w:ascii="宋体" w:eastAsia="宋体" w:hAnsi="宋体" w:cs="宋体"/>
          <w:spacing w:val="118"/>
          <w:sz w:val="28"/>
          <w:szCs w:val="28"/>
        </w:rPr>
        <w:t xml:space="preserve"> </w:t>
      </w:r>
      <w:r>
        <w:rPr>
          <w:rFonts w:ascii="宋体" w:eastAsia="宋体" w:hAnsi="宋体" w:cs="宋体"/>
          <w:spacing w:val="-5"/>
          <w:sz w:val="28"/>
          <w:szCs w:val="28"/>
        </w:rPr>
        <w:t>营养素的体内代谢</w:t>
      </w:r>
    </w:p>
    <w:p w:rsidR="00EA40A3" w:rsidRDefault="00E86C16">
      <w:pPr>
        <w:spacing w:before="276" w:line="239" w:lineRule="auto"/>
        <w:ind w:right="62" w:firstLine="439"/>
        <w:jc w:val="both"/>
        <w:rPr>
          <w:rFonts w:ascii="宋体" w:eastAsia="宋体" w:hAnsi="宋体" w:cs="宋体"/>
          <w:sz w:val="23"/>
          <w:szCs w:val="23"/>
        </w:rPr>
      </w:pPr>
      <w:r>
        <w:rPr>
          <w:rFonts w:ascii="宋体" w:eastAsia="宋体" w:hAnsi="宋体" w:cs="宋体"/>
          <w:spacing w:val="-24"/>
          <w:sz w:val="23"/>
          <w:szCs w:val="23"/>
        </w:rPr>
        <w:t>了解营养素的代谢过程对于研究与掌握营养素的生理</w:t>
      </w:r>
      <w:r>
        <w:rPr>
          <w:rFonts w:ascii="宋体" w:eastAsia="宋体" w:hAnsi="宋体" w:cs="宋体"/>
          <w:spacing w:val="-25"/>
          <w:sz w:val="23"/>
          <w:szCs w:val="23"/>
        </w:rPr>
        <w:t>功能有重要意义。不同</w:t>
      </w:r>
      <w:r>
        <w:rPr>
          <w:rFonts w:ascii="宋体" w:eastAsia="宋体" w:hAnsi="宋体" w:cs="宋体"/>
          <w:sz w:val="23"/>
          <w:szCs w:val="23"/>
        </w:rPr>
        <w:t xml:space="preserve"> </w:t>
      </w:r>
      <w:r>
        <w:rPr>
          <w:rFonts w:ascii="宋体" w:eastAsia="宋体" w:hAnsi="宋体" w:cs="宋体"/>
          <w:spacing w:val="-24"/>
          <w:sz w:val="23"/>
          <w:szCs w:val="23"/>
        </w:rPr>
        <w:t>营养素有各自的代谢途径，这里主要介绍蛋白质、脂肪和碳水化合物三大营养素</w:t>
      </w:r>
      <w:r>
        <w:rPr>
          <w:rFonts w:ascii="宋体" w:eastAsia="宋体" w:hAnsi="宋体" w:cs="宋体"/>
          <w:spacing w:val="8"/>
          <w:sz w:val="23"/>
          <w:szCs w:val="23"/>
        </w:rPr>
        <w:t xml:space="preserve"> </w:t>
      </w:r>
      <w:r>
        <w:rPr>
          <w:rFonts w:ascii="宋体" w:eastAsia="宋体" w:hAnsi="宋体" w:cs="宋体"/>
          <w:spacing w:val="-26"/>
          <w:sz w:val="23"/>
          <w:szCs w:val="23"/>
        </w:rPr>
        <w:t>的代谢。</w:t>
      </w:r>
    </w:p>
    <w:p w:rsidR="00EA40A3" w:rsidRDefault="00E86C16">
      <w:pPr>
        <w:spacing w:before="171" w:line="221" w:lineRule="auto"/>
        <w:ind w:left="3"/>
        <w:outlineLvl w:val="6"/>
        <w:rPr>
          <w:rFonts w:ascii="黑体" w:eastAsia="黑体" w:hAnsi="黑体" w:cs="黑体"/>
          <w:sz w:val="23"/>
          <w:szCs w:val="23"/>
        </w:rPr>
      </w:pPr>
      <w:r>
        <w:rPr>
          <w:rFonts w:ascii="黑体" w:eastAsia="黑体" w:hAnsi="黑体" w:cs="黑体"/>
          <w:b/>
          <w:bCs/>
          <w:spacing w:val="-1"/>
          <w:sz w:val="23"/>
          <w:szCs w:val="23"/>
        </w:rPr>
        <w:t>2.3.1</w:t>
      </w:r>
      <w:r>
        <w:rPr>
          <w:rFonts w:ascii="黑体" w:eastAsia="黑体" w:hAnsi="黑体" w:cs="黑体"/>
          <w:spacing w:val="32"/>
          <w:sz w:val="23"/>
          <w:szCs w:val="23"/>
        </w:rPr>
        <w:t xml:space="preserve">  </w:t>
      </w:r>
      <w:r>
        <w:rPr>
          <w:rFonts w:ascii="黑体" w:eastAsia="黑体" w:hAnsi="黑体" w:cs="黑体"/>
          <w:b/>
          <w:bCs/>
          <w:spacing w:val="-1"/>
          <w:sz w:val="23"/>
          <w:szCs w:val="23"/>
        </w:rPr>
        <w:t>蛋白质的代谢</w:t>
      </w:r>
    </w:p>
    <w:p w:rsidR="00EA40A3" w:rsidRDefault="00E86C16">
      <w:pPr>
        <w:spacing w:before="201" w:line="219" w:lineRule="auto"/>
        <w:ind w:left="439"/>
        <w:rPr>
          <w:rFonts w:ascii="宋体" w:eastAsia="宋体" w:hAnsi="宋体" w:cs="宋体"/>
          <w:sz w:val="23"/>
          <w:szCs w:val="23"/>
        </w:rPr>
      </w:pPr>
      <w:r>
        <w:rPr>
          <w:rFonts w:ascii="宋体" w:eastAsia="宋体" w:hAnsi="宋体" w:cs="宋体"/>
          <w:spacing w:val="-23"/>
          <w:sz w:val="23"/>
          <w:szCs w:val="23"/>
        </w:rPr>
        <w:t>蛋白质的代谢包括蛋白质的分解、合成和氨基酸的分解代谢。</w:t>
      </w:r>
    </w:p>
    <w:p w:rsidR="00EA40A3" w:rsidRDefault="00E86C16">
      <w:pPr>
        <w:spacing w:before="185" w:line="222" w:lineRule="auto"/>
        <w:rPr>
          <w:rFonts w:ascii="仿宋" w:eastAsia="仿宋" w:hAnsi="仿宋" w:cs="仿宋"/>
          <w:sz w:val="23"/>
          <w:szCs w:val="23"/>
        </w:rPr>
      </w:pPr>
      <w:r>
        <w:rPr>
          <w:rFonts w:ascii="仿宋" w:eastAsia="仿宋" w:hAnsi="仿宋" w:cs="仿宋"/>
          <w:spacing w:val="2"/>
          <w:sz w:val="23"/>
          <w:szCs w:val="23"/>
        </w:rPr>
        <w:t>1.</w:t>
      </w:r>
      <w:r>
        <w:rPr>
          <w:rFonts w:ascii="仿宋" w:eastAsia="仿宋" w:hAnsi="仿宋" w:cs="仿宋"/>
          <w:spacing w:val="-55"/>
          <w:sz w:val="23"/>
          <w:szCs w:val="23"/>
        </w:rPr>
        <w:t xml:space="preserve"> </w:t>
      </w:r>
      <w:r>
        <w:rPr>
          <w:rFonts w:ascii="仿宋" w:eastAsia="仿宋" w:hAnsi="仿宋" w:cs="仿宋"/>
          <w:spacing w:val="2"/>
          <w:sz w:val="23"/>
          <w:szCs w:val="23"/>
        </w:rPr>
        <w:t>蛋白质的分解</w:t>
      </w:r>
    </w:p>
    <w:p w:rsidR="00EA40A3" w:rsidRDefault="00E86C16">
      <w:pPr>
        <w:spacing w:before="173" w:line="239" w:lineRule="auto"/>
        <w:ind w:firstLine="439"/>
        <w:jc w:val="both"/>
        <w:rPr>
          <w:rFonts w:ascii="宋体" w:eastAsia="宋体" w:hAnsi="宋体" w:cs="宋体"/>
          <w:sz w:val="23"/>
          <w:szCs w:val="23"/>
        </w:rPr>
      </w:pPr>
      <w:r>
        <w:rPr>
          <w:rFonts w:ascii="宋体" w:eastAsia="宋体" w:hAnsi="宋体" w:cs="宋体"/>
          <w:spacing w:val="-22"/>
          <w:sz w:val="23"/>
          <w:szCs w:val="23"/>
        </w:rPr>
        <w:t>蛋白质不断在体内分解成为含氮废物，随尿排</w:t>
      </w:r>
      <w:r>
        <w:rPr>
          <w:rFonts w:ascii="宋体" w:eastAsia="宋体" w:hAnsi="宋体" w:cs="宋体"/>
          <w:spacing w:val="-23"/>
          <w:sz w:val="23"/>
          <w:szCs w:val="23"/>
        </w:rPr>
        <w:t>出体外。进食普通膳食的正常</w:t>
      </w:r>
      <w:r>
        <w:rPr>
          <w:rFonts w:ascii="宋体" w:eastAsia="宋体" w:hAnsi="宋体" w:cs="宋体"/>
          <w:sz w:val="23"/>
          <w:szCs w:val="23"/>
        </w:rPr>
        <w:t xml:space="preserve"> </w:t>
      </w:r>
      <w:r>
        <w:rPr>
          <w:rFonts w:ascii="宋体" w:eastAsia="宋体" w:hAnsi="宋体" w:cs="宋体"/>
          <w:spacing w:val="-20"/>
          <w:sz w:val="23"/>
          <w:szCs w:val="23"/>
        </w:rPr>
        <w:t>人每日从尿中排出的氮约12g。若摄入的蛋白质增多，随尿排出的氮也增多；若</w:t>
      </w:r>
      <w:r>
        <w:rPr>
          <w:rFonts w:ascii="宋体" w:eastAsia="宋体" w:hAnsi="宋体" w:cs="宋体"/>
          <w:spacing w:val="4"/>
          <w:sz w:val="23"/>
          <w:szCs w:val="23"/>
        </w:rPr>
        <w:t xml:space="preserve"> </w:t>
      </w:r>
      <w:r>
        <w:rPr>
          <w:rFonts w:ascii="宋体" w:eastAsia="宋体" w:hAnsi="宋体" w:cs="宋体"/>
          <w:spacing w:val="-23"/>
          <w:sz w:val="23"/>
          <w:szCs w:val="23"/>
        </w:rPr>
        <w:t>减少，则随尿排出的氮也减少。完全不摄入蛋白质或禁食一切食物时，每日仍随</w:t>
      </w:r>
      <w:r>
        <w:rPr>
          <w:rFonts w:ascii="宋体" w:eastAsia="宋体" w:hAnsi="宋体" w:cs="宋体"/>
          <w:spacing w:val="15"/>
          <w:sz w:val="23"/>
          <w:szCs w:val="23"/>
        </w:rPr>
        <w:t xml:space="preserve"> </w:t>
      </w:r>
      <w:r>
        <w:rPr>
          <w:rFonts w:ascii="宋体" w:eastAsia="宋体" w:hAnsi="宋体" w:cs="宋体"/>
          <w:spacing w:val="-13"/>
          <w:sz w:val="23"/>
          <w:szCs w:val="23"/>
        </w:rPr>
        <w:t>尿排氮2～4g。</w:t>
      </w:r>
    </w:p>
    <w:p w:rsidR="00EA40A3" w:rsidRDefault="00E86C16">
      <w:pPr>
        <w:spacing w:before="200" w:line="224" w:lineRule="auto"/>
        <w:rPr>
          <w:rFonts w:ascii="仿宋" w:eastAsia="仿宋" w:hAnsi="仿宋" w:cs="仿宋"/>
          <w:sz w:val="23"/>
          <w:szCs w:val="23"/>
        </w:rPr>
      </w:pPr>
      <w:r>
        <w:rPr>
          <w:rFonts w:ascii="仿宋" w:eastAsia="仿宋" w:hAnsi="仿宋" w:cs="仿宋"/>
          <w:spacing w:val="-4"/>
          <w:sz w:val="23"/>
          <w:szCs w:val="23"/>
        </w:rPr>
        <w:t>2.</w:t>
      </w:r>
      <w:r>
        <w:rPr>
          <w:rFonts w:ascii="仿宋" w:eastAsia="仿宋" w:hAnsi="仿宋" w:cs="仿宋"/>
          <w:spacing w:val="21"/>
          <w:sz w:val="23"/>
          <w:szCs w:val="23"/>
        </w:rPr>
        <w:t xml:space="preserve"> </w:t>
      </w:r>
      <w:r>
        <w:rPr>
          <w:rFonts w:ascii="仿宋" w:eastAsia="仿宋" w:hAnsi="仿宋" w:cs="仿宋"/>
          <w:spacing w:val="-4"/>
          <w:sz w:val="23"/>
          <w:szCs w:val="23"/>
        </w:rPr>
        <w:t>蛋白质的合成</w:t>
      </w:r>
    </w:p>
    <w:p w:rsidR="00EA40A3" w:rsidRDefault="00E86C16">
      <w:pPr>
        <w:spacing w:before="179" w:line="238" w:lineRule="auto"/>
        <w:ind w:right="22" w:firstLine="439"/>
        <w:jc w:val="both"/>
        <w:rPr>
          <w:rFonts w:ascii="宋体" w:eastAsia="宋体" w:hAnsi="宋体" w:cs="宋体"/>
          <w:sz w:val="23"/>
          <w:szCs w:val="23"/>
        </w:rPr>
      </w:pPr>
      <w:r>
        <w:rPr>
          <w:rFonts w:ascii="宋体" w:eastAsia="宋体" w:hAnsi="宋体" w:cs="宋体"/>
          <w:spacing w:val="-23"/>
          <w:sz w:val="23"/>
          <w:szCs w:val="23"/>
        </w:rPr>
        <w:t>蛋白质在分解的同时，也不断在体内合成，以</w:t>
      </w:r>
      <w:r>
        <w:rPr>
          <w:rFonts w:ascii="宋体" w:eastAsia="宋体" w:hAnsi="宋体" w:cs="宋体"/>
          <w:spacing w:val="-24"/>
          <w:sz w:val="23"/>
          <w:szCs w:val="23"/>
        </w:rPr>
        <w:t>补偿分解的蛋白质。体内氨基</w:t>
      </w:r>
      <w:r>
        <w:rPr>
          <w:rFonts w:ascii="宋体" w:eastAsia="宋体" w:hAnsi="宋体" w:cs="宋体"/>
          <w:sz w:val="23"/>
          <w:szCs w:val="23"/>
        </w:rPr>
        <w:t xml:space="preserve"> </w:t>
      </w:r>
      <w:r>
        <w:rPr>
          <w:rFonts w:ascii="宋体" w:eastAsia="宋体" w:hAnsi="宋体" w:cs="宋体"/>
          <w:spacing w:val="-22"/>
          <w:sz w:val="23"/>
          <w:szCs w:val="23"/>
        </w:rPr>
        <w:t>酸的主要功用是合成蛋白质和多肽。人体的各种组织</w:t>
      </w:r>
      <w:r>
        <w:rPr>
          <w:rFonts w:ascii="宋体" w:eastAsia="宋体" w:hAnsi="宋体" w:cs="宋体"/>
          <w:spacing w:val="-23"/>
          <w:sz w:val="23"/>
          <w:szCs w:val="23"/>
        </w:rPr>
        <w:t>细胞均可合成蛋白质，但以</w:t>
      </w:r>
      <w:r>
        <w:rPr>
          <w:rFonts w:ascii="宋体" w:eastAsia="宋体" w:hAnsi="宋体" w:cs="宋体"/>
          <w:sz w:val="23"/>
          <w:szCs w:val="23"/>
        </w:rPr>
        <w:t xml:space="preserve"> </w:t>
      </w:r>
      <w:r>
        <w:rPr>
          <w:rFonts w:ascii="宋体" w:eastAsia="宋体" w:hAnsi="宋体" w:cs="宋体"/>
          <w:spacing w:val="-23"/>
          <w:sz w:val="23"/>
          <w:szCs w:val="23"/>
        </w:rPr>
        <w:t>肝脏的合成速度最快。蛋白质的合成过程，就是氨基酸按一定顺序以肽键相互结</w:t>
      </w:r>
      <w:r>
        <w:rPr>
          <w:rFonts w:ascii="宋体" w:eastAsia="宋体" w:hAnsi="宋体" w:cs="宋体"/>
          <w:spacing w:val="16"/>
          <w:sz w:val="23"/>
          <w:szCs w:val="23"/>
        </w:rPr>
        <w:t xml:space="preserve"> </w:t>
      </w:r>
      <w:r>
        <w:rPr>
          <w:rFonts w:ascii="宋体" w:eastAsia="宋体" w:hAnsi="宋体" w:cs="宋体"/>
          <w:spacing w:val="-19"/>
          <w:sz w:val="23"/>
          <w:szCs w:val="23"/>
        </w:rPr>
        <w:t>合形成多肽链的过程。该过程经转录</w:t>
      </w:r>
      <w:r>
        <w:rPr>
          <w:rFonts w:ascii="宋体" w:eastAsia="宋体" w:hAnsi="宋体" w:cs="宋体"/>
          <w:spacing w:val="-22"/>
          <w:sz w:val="23"/>
          <w:szCs w:val="23"/>
        </w:rPr>
        <w:t xml:space="preserve"> </w:t>
      </w:r>
      <w:r>
        <w:rPr>
          <w:rFonts w:ascii="宋体" w:eastAsia="宋体" w:hAnsi="宋体" w:cs="宋体"/>
          <w:spacing w:val="-19"/>
          <w:sz w:val="23"/>
          <w:szCs w:val="23"/>
        </w:rPr>
        <w:t>(transcription)</w:t>
      </w:r>
      <w:r>
        <w:rPr>
          <w:rFonts w:ascii="宋体" w:eastAsia="宋体" w:hAnsi="宋体" w:cs="宋体"/>
          <w:spacing w:val="-47"/>
          <w:sz w:val="23"/>
          <w:szCs w:val="23"/>
        </w:rPr>
        <w:t xml:space="preserve"> </w:t>
      </w:r>
      <w:r>
        <w:rPr>
          <w:rFonts w:ascii="宋体" w:eastAsia="宋体" w:hAnsi="宋体" w:cs="宋体"/>
          <w:spacing w:val="-19"/>
          <w:sz w:val="23"/>
          <w:szCs w:val="23"/>
        </w:rPr>
        <w:t>和翻译</w:t>
      </w:r>
      <w:r>
        <w:rPr>
          <w:rFonts w:ascii="宋体" w:eastAsia="宋体" w:hAnsi="宋体" w:cs="宋体"/>
          <w:spacing w:val="-35"/>
          <w:sz w:val="23"/>
          <w:szCs w:val="23"/>
        </w:rPr>
        <w:t xml:space="preserve"> </w:t>
      </w:r>
      <w:r>
        <w:rPr>
          <w:rFonts w:ascii="宋体" w:eastAsia="宋体" w:hAnsi="宋体" w:cs="宋体"/>
          <w:spacing w:val="-19"/>
          <w:sz w:val="23"/>
          <w:szCs w:val="23"/>
        </w:rPr>
        <w:t>(translation)</w:t>
      </w:r>
      <w:r>
        <w:rPr>
          <w:rFonts w:ascii="宋体" w:eastAsia="宋体" w:hAnsi="宋体" w:cs="宋体"/>
          <w:spacing w:val="-47"/>
          <w:sz w:val="23"/>
          <w:szCs w:val="23"/>
        </w:rPr>
        <w:t xml:space="preserve"> </w:t>
      </w:r>
      <w:r>
        <w:rPr>
          <w:rFonts w:ascii="宋体" w:eastAsia="宋体" w:hAnsi="宋体" w:cs="宋体"/>
          <w:spacing w:val="-19"/>
          <w:sz w:val="23"/>
          <w:szCs w:val="23"/>
        </w:rPr>
        <w:t>两</w:t>
      </w:r>
      <w:r>
        <w:rPr>
          <w:rFonts w:ascii="宋体" w:eastAsia="宋体" w:hAnsi="宋体" w:cs="宋体"/>
          <w:sz w:val="23"/>
          <w:szCs w:val="23"/>
        </w:rPr>
        <w:t xml:space="preserve"> </w:t>
      </w:r>
      <w:r>
        <w:rPr>
          <w:rFonts w:ascii="宋体" w:eastAsia="宋体" w:hAnsi="宋体" w:cs="宋体"/>
          <w:spacing w:val="-23"/>
          <w:sz w:val="23"/>
          <w:szCs w:val="23"/>
        </w:rPr>
        <w:t>步完成，具体过程在生物化学中有详细阐述。不同蛋白质的氨基酸组成和排列顺</w:t>
      </w:r>
      <w:r>
        <w:rPr>
          <w:rFonts w:ascii="宋体" w:eastAsia="宋体" w:hAnsi="宋体" w:cs="宋体"/>
          <w:spacing w:val="12"/>
          <w:sz w:val="23"/>
          <w:szCs w:val="23"/>
        </w:rPr>
        <w:t xml:space="preserve"> </w:t>
      </w:r>
      <w:r>
        <w:rPr>
          <w:rFonts w:ascii="宋体" w:eastAsia="宋体" w:hAnsi="宋体" w:cs="宋体"/>
          <w:spacing w:val="-23"/>
          <w:sz w:val="23"/>
          <w:szCs w:val="23"/>
        </w:rPr>
        <w:t>序不同。由于人体有精确的蛋白质合成体系，因此机体在大多数情况下，都能准</w:t>
      </w:r>
      <w:r>
        <w:rPr>
          <w:rFonts w:ascii="宋体" w:eastAsia="宋体" w:hAnsi="宋体" w:cs="宋体"/>
          <w:spacing w:val="13"/>
          <w:sz w:val="23"/>
          <w:szCs w:val="23"/>
        </w:rPr>
        <w:t xml:space="preserve"> </w:t>
      </w:r>
      <w:r>
        <w:rPr>
          <w:rFonts w:ascii="宋体" w:eastAsia="宋体" w:hAnsi="宋体" w:cs="宋体"/>
          <w:spacing w:val="-25"/>
          <w:sz w:val="23"/>
          <w:szCs w:val="23"/>
        </w:rPr>
        <w:t>确地合成某种有独特氨基酸构成的蛋白质。</w:t>
      </w:r>
    </w:p>
    <w:p w:rsidR="00EA40A3" w:rsidRDefault="00E86C16">
      <w:pPr>
        <w:spacing w:before="93"/>
        <w:ind w:left="150"/>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6"/>
          <w:sz w:val="18"/>
          <w:szCs w:val="18"/>
        </w:rPr>
        <w:t xml:space="preserve"> </w:t>
      </w:r>
      <w:r>
        <w:rPr>
          <w:rFonts w:ascii="宋体" w:eastAsia="宋体" w:hAnsi="宋体" w:cs="宋体"/>
          <w:spacing w:val="-31"/>
          <w:sz w:val="18"/>
          <w:szCs w:val="18"/>
        </w:rPr>
        <w:t>30</w:t>
      </w:r>
      <w:r>
        <w:rPr>
          <w:rFonts w:ascii="宋体" w:eastAsia="宋体" w:hAnsi="宋体" w:cs="宋体"/>
          <w:spacing w:val="43"/>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1128" w:bottom="400" w:left="800" w:header="0" w:footer="0" w:gutter="0"/>
          <w:cols w:space="720"/>
        </w:sectPr>
      </w:pPr>
    </w:p>
    <w:p w:rsidR="00EA40A3" w:rsidRDefault="00EA40A3"/>
    <w:p w:rsidR="00EA40A3" w:rsidRDefault="00EA40A3"/>
    <w:p w:rsidR="00EA40A3" w:rsidRDefault="00EA40A3">
      <w:pPr>
        <w:spacing w:line="241"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4"/>
          <w:sz w:val="22"/>
          <w:szCs w:val="22"/>
        </w:rPr>
        <w:t xml:space="preserve"> </w:t>
      </w:r>
      <w:r>
        <w:rPr>
          <w:rFonts w:ascii="仿宋" w:eastAsia="仿宋" w:hAnsi="仿宋" w:cs="仿宋"/>
          <w:spacing w:val="11"/>
          <w:sz w:val="22"/>
          <w:szCs w:val="22"/>
        </w:rPr>
        <w:t>氨基酸的分解代谢</w:t>
      </w:r>
    </w:p>
    <w:p w:rsidR="00EA40A3" w:rsidRDefault="00E86C16">
      <w:pPr>
        <w:spacing w:before="191" w:line="223" w:lineRule="auto"/>
        <w:rPr>
          <w:rFonts w:ascii="楷体" w:eastAsia="楷体" w:hAnsi="楷体" w:cs="楷体"/>
          <w:sz w:val="22"/>
          <w:szCs w:val="22"/>
        </w:rPr>
      </w:pPr>
      <w:r>
        <w:rPr>
          <w:rFonts w:ascii="楷体" w:eastAsia="楷体" w:hAnsi="楷体" w:cs="楷体"/>
          <w:spacing w:val="-2"/>
          <w:sz w:val="22"/>
          <w:szCs w:val="22"/>
        </w:rPr>
        <w:t>1)氨基酸脱氨基作用</w:t>
      </w:r>
    </w:p>
    <w:p w:rsidR="00EA40A3" w:rsidRDefault="00E86C16">
      <w:pPr>
        <w:spacing w:before="31" w:line="246" w:lineRule="auto"/>
        <w:ind w:firstLine="449"/>
        <w:jc w:val="both"/>
        <w:rPr>
          <w:rFonts w:ascii="宋体" w:eastAsia="宋体" w:hAnsi="宋体" w:cs="宋体"/>
          <w:sz w:val="22"/>
          <w:szCs w:val="22"/>
        </w:rPr>
      </w:pPr>
      <w:r>
        <w:rPr>
          <w:rFonts w:ascii="宋体" w:eastAsia="宋体" w:hAnsi="宋体" w:cs="宋体"/>
          <w:spacing w:val="-11"/>
          <w:sz w:val="22"/>
          <w:szCs w:val="22"/>
        </w:rPr>
        <w:t>脱氨基作用是氨基酸分解代谢最主要的反应，可在体内大多</w:t>
      </w:r>
      <w:r>
        <w:rPr>
          <w:rFonts w:ascii="宋体" w:eastAsia="宋体" w:hAnsi="宋体" w:cs="宋体"/>
          <w:spacing w:val="-12"/>
          <w:sz w:val="22"/>
          <w:szCs w:val="22"/>
        </w:rPr>
        <w:t>数组织中进行。</w:t>
      </w:r>
      <w:r>
        <w:rPr>
          <w:rFonts w:ascii="宋体" w:eastAsia="宋体" w:hAnsi="宋体" w:cs="宋体"/>
          <w:sz w:val="22"/>
          <w:szCs w:val="22"/>
        </w:rPr>
        <w:t xml:space="preserve"> </w:t>
      </w:r>
      <w:r>
        <w:rPr>
          <w:rFonts w:ascii="宋体" w:eastAsia="宋体" w:hAnsi="宋体" w:cs="宋体"/>
          <w:spacing w:val="-13"/>
          <w:sz w:val="22"/>
          <w:szCs w:val="22"/>
        </w:rPr>
        <w:t>氨基酸可以通过多种方式脱去氨基，如氧化脱氨基、转氨基、联</w:t>
      </w:r>
      <w:r>
        <w:rPr>
          <w:rFonts w:ascii="宋体" w:eastAsia="宋体" w:hAnsi="宋体" w:cs="宋体"/>
          <w:spacing w:val="-14"/>
          <w:sz w:val="22"/>
          <w:szCs w:val="22"/>
        </w:rPr>
        <w:t>合脱氨基及非氧</w:t>
      </w:r>
      <w:r>
        <w:rPr>
          <w:rFonts w:ascii="宋体" w:eastAsia="宋体" w:hAnsi="宋体" w:cs="宋体"/>
          <w:sz w:val="22"/>
          <w:szCs w:val="22"/>
        </w:rPr>
        <w:t xml:space="preserve">  </w:t>
      </w:r>
      <w:r>
        <w:rPr>
          <w:rFonts w:ascii="宋体" w:eastAsia="宋体" w:hAnsi="宋体" w:cs="宋体"/>
          <w:spacing w:val="-16"/>
          <w:sz w:val="22"/>
          <w:szCs w:val="22"/>
        </w:rPr>
        <w:t>化脱氨基等，以联合脱氨基最为重要。氨基酸脱氨基后生成的α-酮酸可以进一步</w:t>
      </w:r>
      <w:r>
        <w:rPr>
          <w:rFonts w:ascii="宋体" w:eastAsia="宋体" w:hAnsi="宋体" w:cs="宋体"/>
          <w:spacing w:val="2"/>
          <w:sz w:val="22"/>
          <w:szCs w:val="22"/>
        </w:rPr>
        <w:t xml:space="preserve">  </w:t>
      </w:r>
      <w:r>
        <w:rPr>
          <w:rFonts w:ascii="宋体" w:eastAsia="宋体" w:hAnsi="宋体" w:cs="宋体"/>
          <w:spacing w:val="-13"/>
          <w:sz w:val="22"/>
          <w:szCs w:val="22"/>
        </w:rPr>
        <w:t>代谢：通过氨基化合成非必需氨基酸，转变为糖和脂类，氧化供能。氨</w:t>
      </w:r>
      <w:r>
        <w:rPr>
          <w:rFonts w:ascii="宋体" w:eastAsia="宋体" w:hAnsi="宋体" w:cs="宋体"/>
          <w:spacing w:val="-14"/>
          <w:sz w:val="22"/>
          <w:szCs w:val="22"/>
        </w:rPr>
        <w:t>基酸脱氨</w:t>
      </w:r>
      <w:r>
        <w:rPr>
          <w:rFonts w:ascii="宋体" w:eastAsia="宋体" w:hAnsi="宋体" w:cs="宋体"/>
          <w:sz w:val="22"/>
          <w:szCs w:val="22"/>
        </w:rPr>
        <w:t xml:space="preserve">  </w:t>
      </w:r>
      <w:r>
        <w:rPr>
          <w:rFonts w:ascii="宋体" w:eastAsia="宋体" w:hAnsi="宋体" w:cs="宋体"/>
          <w:spacing w:val="-14"/>
          <w:sz w:val="22"/>
          <w:szCs w:val="22"/>
        </w:rPr>
        <w:t>作用产生的氨具有毒性，脑组织尤为敏感，在正常情况下主要在肝脏合成尿素而</w:t>
      </w:r>
      <w:r>
        <w:rPr>
          <w:rFonts w:ascii="宋体" w:eastAsia="宋体" w:hAnsi="宋体" w:cs="宋体"/>
          <w:sz w:val="22"/>
          <w:szCs w:val="22"/>
        </w:rPr>
        <w:t xml:space="preserve">  </w:t>
      </w:r>
      <w:r>
        <w:rPr>
          <w:rFonts w:ascii="宋体" w:eastAsia="宋体" w:hAnsi="宋体" w:cs="宋体"/>
          <w:spacing w:val="-14"/>
          <w:sz w:val="22"/>
          <w:szCs w:val="22"/>
        </w:rPr>
        <w:t>解毒，只有少部分氨在肾脏以铵盐的形式由尿排出。</w:t>
      </w:r>
    </w:p>
    <w:p w:rsidR="00EA40A3" w:rsidRDefault="00E86C16">
      <w:pPr>
        <w:spacing w:before="63" w:line="223" w:lineRule="auto"/>
        <w:rPr>
          <w:rFonts w:ascii="楷体" w:eastAsia="楷体" w:hAnsi="楷体" w:cs="楷体"/>
          <w:sz w:val="22"/>
          <w:szCs w:val="22"/>
        </w:rPr>
      </w:pPr>
      <w:r>
        <w:rPr>
          <w:rFonts w:ascii="楷体" w:eastAsia="楷体" w:hAnsi="楷体" w:cs="楷体"/>
          <w:spacing w:val="-4"/>
          <w:sz w:val="22"/>
          <w:szCs w:val="22"/>
        </w:rPr>
        <w:t>2)氨基酸脱羧作用</w:t>
      </w:r>
    </w:p>
    <w:p w:rsidR="00EA40A3" w:rsidRDefault="00E86C16">
      <w:pPr>
        <w:spacing w:before="34" w:line="248" w:lineRule="auto"/>
        <w:ind w:right="60" w:firstLine="449"/>
        <w:jc w:val="both"/>
        <w:rPr>
          <w:rFonts w:ascii="宋体" w:eastAsia="宋体" w:hAnsi="宋体" w:cs="宋体"/>
          <w:sz w:val="22"/>
          <w:szCs w:val="22"/>
        </w:rPr>
      </w:pPr>
      <w:r>
        <w:rPr>
          <w:rFonts w:ascii="宋体" w:eastAsia="宋体" w:hAnsi="宋体" w:cs="宋体"/>
          <w:spacing w:val="-13"/>
          <w:sz w:val="22"/>
          <w:szCs w:val="22"/>
        </w:rPr>
        <w:t>体内某些氨基酸可以通过脱羧基作用生成相应的胺类，这些胺类在体内</w:t>
      </w:r>
      <w:r>
        <w:rPr>
          <w:rFonts w:ascii="宋体" w:eastAsia="宋体" w:hAnsi="宋体" w:cs="宋体"/>
          <w:spacing w:val="-14"/>
          <w:sz w:val="22"/>
          <w:szCs w:val="22"/>
        </w:rPr>
        <w:t>的含</w:t>
      </w:r>
      <w:r>
        <w:rPr>
          <w:rFonts w:ascii="宋体" w:eastAsia="宋体" w:hAnsi="宋体" w:cs="宋体"/>
          <w:sz w:val="22"/>
          <w:szCs w:val="22"/>
        </w:rPr>
        <w:t xml:space="preserve"> </w:t>
      </w:r>
      <w:r>
        <w:rPr>
          <w:rFonts w:ascii="宋体" w:eastAsia="宋体" w:hAnsi="宋体" w:cs="宋体"/>
          <w:spacing w:val="-16"/>
          <w:sz w:val="22"/>
          <w:szCs w:val="22"/>
        </w:rPr>
        <w:t>量不高，但具有重要的生理作用。主要有以下几种：①γ-氨基丁酸：由谷氨酸脱</w:t>
      </w:r>
      <w:r>
        <w:rPr>
          <w:rFonts w:ascii="宋体" w:eastAsia="宋体" w:hAnsi="宋体" w:cs="宋体"/>
          <w:spacing w:val="5"/>
          <w:sz w:val="22"/>
          <w:szCs w:val="22"/>
        </w:rPr>
        <w:t xml:space="preserve"> </w:t>
      </w:r>
      <w:r>
        <w:rPr>
          <w:rFonts w:ascii="宋体" w:eastAsia="宋体" w:hAnsi="宋体" w:cs="宋体"/>
          <w:spacing w:val="-16"/>
          <w:sz w:val="22"/>
          <w:szCs w:val="22"/>
        </w:rPr>
        <w:t>羧基产生。γ-氨基丁酸是抑制性神经递质，对中枢神经系统有抑制作用。②牛磺</w:t>
      </w:r>
      <w:r>
        <w:rPr>
          <w:rFonts w:ascii="宋体" w:eastAsia="宋体" w:hAnsi="宋体" w:cs="宋体"/>
          <w:spacing w:val="2"/>
          <w:sz w:val="22"/>
          <w:szCs w:val="22"/>
        </w:rPr>
        <w:t xml:space="preserve"> </w:t>
      </w:r>
      <w:r>
        <w:rPr>
          <w:rFonts w:ascii="宋体" w:eastAsia="宋体" w:hAnsi="宋体" w:cs="宋体"/>
          <w:spacing w:val="-13"/>
          <w:sz w:val="22"/>
          <w:szCs w:val="22"/>
        </w:rPr>
        <w:t>酸：由半胱氨酸氧化再脱羧产生，是结合胆汁酸的组成成分。近年来发</w:t>
      </w:r>
      <w:r>
        <w:rPr>
          <w:rFonts w:ascii="宋体" w:eastAsia="宋体" w:hAnsi="宋体" w:cs="宋体"/>
          <w:spacing w:val="-14"/>
          <w:sz w:val="22"/>
          <w:szCs w:val="22"/>
        </w:rPr>
        <w:t>现脑组织</w:t>
      </w:r>
      <w:r>
        <w:rPr>
          <w:rFonts w:ascii="宋体" w:eastAsia="宋体" w:hAnsi="宋体" w:cs="宋体"/>
          <w:sz w:val="22"/>
          <w:szCs w:val="22"/>
        </w:rPr>
        <w:t xml:space="preserve"> </w:t>
      </w:r>
      <w:r>
        <w:rPr>
          <w:rFonts w:ascii="宋体" w:eastAsia="宋体" w:hAnsi="宋体" w:cs="宋体"/>
          <w:spacing w:val="-13"/>
          <w:sz w:val="22"/>
          <w:szCs w:val="22"/>
        </w:rPr>
        <w:t>含有较多的牛磺酸，提示牛磺酸和神经系统的功能有关。③组胺</w:t>
      </w:r>
      <w:r>
        <w:rPr>
          <w:rFonts w:ascii="宋体" w:eastAsia="宋体" w:hAnsi="宋体" w:cs="宋体"/>
          <w:spacing w:val="-14"/>
          <w:sz w:val="22"/>
          <w:szCs w:val="22"/>
        </w:rPr>
        <w:t>：由组氨酸脱羧</w:t>
      </w:r>
      <w:r>
        <w:rPr>
          <w:rFonts w:ascii="宋体" w:eastAsia="宋体" w:hAnsi="宋体" w:cs="宋体"/>
          <w:sz w:val="22"/>
          <w:szCs w:val="22"/>
        </w:rPr>
        <w:t xml:space="preserve"> </w:t>
      </w:r>
      <w:r>
        <w:rPr>
          <w:rFonts w:ascii="宋体" w:eastAsia="宋体" w:hAnsi="宋体" w:cs="宋体"/>
          <w:spacing w:val="-13"/>
          <w:sz w:val="22"/>
          <w:szCs w:val="22"/>
        </w:rPr>
        <w:t>产生，是一种强烈的血管扩张剂，并能增加毛细血管通透性，参</w:t>
      </w:r>
      <w:r>
        <w:rPr>
          <w:rFonts w:ascii="宋体" w:eastAsia="宋体" w:hAnsi="宋体" w:cs="宋体"/>
          <w:spacing w:val="-14"/>
          <w:sz w:val="22"/>
          <w:szCs w:val="22"/>
        </w:rPr>
        <w:t>与炎症反应和过</w:t>
      </w:r>
      <w:r>
        <w:rPr>
          <w:rFonts w:ascii="宋体" w:eastAsia="宋体" w:hAnsi="宋体" w:cs="宋体"/>
          <w:sz w:val="22"/>
          <w:szCs w:val="22"/>
        </w:rPr>
        <w:t xml:space="preserve"> </w:t>
      </w:r>
      <w:r>
        <w:rPr>
          <w:rFonts w:ascii="宋体" w:eastAsia="宋体" w:hAnsi="宋体" w:cs="宋体"/>
          <w:spacing w:val="-12"/>
          <w:sz w:val="22"/>
          <w:szCs w:val="22"/>
        </w:rPr>
        <w:t>敏反应等。④5-羟色胺：由色氨酸先羟化再脱</w:t>
      </w:r>
      <w:r>
        <w:rPr>
          <w:rFonts w:ascii="宋体" w:eastAsia="宋体" w:hAnsi="宋体" w:cs="宋体"/>
          <w:spacing w:val="-13"/>
          <w:sz w:val="22"/>
          <w:szCs w:val="22"/>
        </w:rPr>
        <w:t>羧所形成，脑内的5-羟色胺可作为</w:t>
      </w:r>
      <w:r>
        <w:rPr>
          <w:rFonts w:ascii="宋体" w:eastAsia="宋体" w:hAnsi="宋体" w:cs="宋体"/>
          <w:sz w:val="22"/>
          <w:szCs w:val="22"/>
        </w:rPr>
        <w:t xml:space="preserve"> </w:t>
      </w:r>
      <w:r>
        <w:rPr>
          <w:rFonts w:ascii="宋体" w:eastAsia="宋体" w:hAnsi="宋体" w:cs="宋体"/>
          <w:spacing w:val="-14"/>
          <w:sz w:val="22"/>
          <w:szCs w:val="22"/>
        </w:rPr>
        <w:t>神经递质，具有抑制作用；而在外周组织，则有血管收缩的作用。</w:t>
      </w:r>
    </w:p>
    <w:p w:rsidR="00EA40A3" w:rsidRDefault="00E86C16">
      <w:pPr>
        <w:spacing w:before="99" w:line="227" w:lineRule="auto"/>
        <w:rPr>
          <w:rFonts w:ascii="楷体" w:eastAsia="楷体" w:hAnsi="楷体" w:cs="楷体"/>
          <w:sz w:val="22"/>
          <w:szCs w:val="22"/>
        </w:rPr>
      </w:pPr>
      <w:r>
        <w:rPr>
          <w:rFonts w:ascii="楷体" w:eastAsia="楷体" w:hAnsi="楷体" w:cs="楷体"/>
          <w:spacing w:val="-5"/>
          <w:sz w:val="22"/>
          <w:szCs w:val="22"/>
        </w:rPr>
        <w:t>3)含硫氨基酸的代谢</w:t>
      </w:r>
    </w:p>
    <w:p w:rsidR="00EA40A3" w:rsidRDefault="00E86C16">
      <w:pPr>
        <w:spacing w:before="42" w:line="236" w:lineRule="auto"/>
        <w:ind w:right="80" w:firstLine="449"/>
        <w:rPr>
          <w:rFonts w:ascii="宋体" w:eastAsia="宋体" w:hAnsi="宋体" w:cs="宋体"/>
          <w:sz w:val="22"/>
          <w:szCs w:val="22"/>
        </w:rPr>
      </w:pPr>
      <w:r>
        <w:rPr>
          <w:rFonts w:ascii="宋体" w:eastAsia="宋体" w:hAnsi="宋体" w:cs="宋体"/>
          <w:spacing w:val="-10"/>
          <w:sz w:val="22"/>
          <w:szCs w:val="22"/>
        </w:rPr>
        <w:t>体内3种含硫氨基酸的代谢是相互联系的，蛋氨酸</w:t>
      </w:r>
      <w:r>
        <w:rPr>
          <w:rFonts w:ascii="宋体" w:eastAsia="宋体" w:hAnsi="宋体" w:cs="宋体"/>
          <w:spacing w:val="-11"/>
          <w:sz w:val="22"/>
          <w:szCs w:val="22"/>
        </w:rPr>
        <w:t>可以转变为半胱氨酸和胱</w:t>
      </w:r>
      <w:r>
        <w:rPr>
          <w:rFonts w:ascii="宋体" w:eastAsia="宋体" w:hAnsi="宋体" w:cs="宋体"/>
          <w:sz w:val="22"/>
          <w:szCs w:val="22"/>
        </w:rPr>
        <w:t xml:space="preserve"> </w:t>
      </w:r>
      <w:r>
        <w:rPr>
          <w:rFonts w:ascii="宋体" w:eastAsia="宋体" w:hAnsi="宋体" w:cs="宋体"/>
          <w:spacing w:val="-14"/>
          <w:sz w:val="22"/>
          <w:szCs w:val="22"/>
        </w:rPr>
        <w:t>氨酸，半胱氨酸与胱氨酸可以互变，但半胱氨酸和胱氨酸不能转变为蛋氨酸。</w:t>
      </w:r>
    </w:p>
    <w:p w:rsidR="00EA40A3" w:rsidRDefault="00E86C16">
      <w:pPr>
        <w:spacing w:before="50" w:line="229" w:lineRule="auto"/>
        <w:rPr>
          <w:rFonts w:ascii="楷体" w:eastAsia="楷体" w:hAnsi="楷体" w:cs="楷体"/>
          <w:sz w:val="22"/>
          <w:szCs w:val="22"/>
        </w:rPr>
      </w:pPr>
      <w:r>
        <w:rPr>
          <w:rFonts w:ascii="楷体" w:eastAsia="楷体" w:hAnsi="楷体" w:cs="楷体"/>
          <w:spacing w:val="-5"/>
          <w:sz w:val="22"/>
          <w:szCs w:val="22"/>
        </w:rPr>
        <w:t>4)芳香氨基酸的代谢</w:t>
      </w:r>
    </w:p>
    <w:p w:rsidR="00EA40A3" w:rsidRDefault="00E86C16">
      <w:pPr>
        <w:spacing w:before="33" w:line="248" w:lineRule="auto"/>
        <w:ind w:right="29" w:firstLine="449"/>
        <w:rPr>
          <w:rFonts w:ascii="宋体" w:eastAsia="宋体" w:hAnsi="宋体" w:cs="宋体"/>
          <w:sz w:val="22"/>
          <w:szCs w:val="22"/>
        </w:rPr>
      </w:pPr>
      <w:r>
        <w:rPr>
          <w:rFonts w:ascii="宋体" w:eastAsia="宋体" w:hAnsi="宋体" w:cs="宋体"/>
          <w:spacing w:val="-13"/>
          <w:sz w:val="22"/>
          <w:szCs w:val="22"/>
        </w:rPr>
        <w:t>芳香氨基酸包括苯丙氨酸、酪氨酸和色氨酸。苯丙氨酸和酪氨酸在结构上相</w:t>
      </w:r>
      <w:r>
        <w:rPr>
          <w:rFonts w:ascii="宋体" w:eastAsia="宋体" w:hAnsi="宋体" w:cs="宋体"/>
          <w:spacing w:val="5"/>
          <w:sz w:val="22"/>
          <w:szCs w:val="22"/>
        </w:rPr>
        <w:t xml:space="preserve"> </w:t>
      </w:r>
      <w:r>
        <w:rPr>
          <w:rFonts w:ascii="宋体" w:eastAsia="宋体" w:hAnsi="宋体" w:cs="宋体"/>
          <w:spacing w:val="-13"/>
          <w:sz w:val="22"/>
          <w:szCs w:val="22"/>
        </w:rPr>
        <w:t>似，在正常情况下苯丙氨酸的主要代谢途径是经苯丙氨酸羟化酶的作用</w:t>
      </w:r>
      <w:r>
        <w:rPr>
          <w:rFonts w:ascii="宋体" w:eastAsia="宋体" w:hAnsi="宋体" w:cs="宋体"/>
          <w:spacing w:val="-14"/>
          <w:sz w:val="22"/>
          <w:szCs w:val="22"/>
        </w:rPr>
        <w:t>生成酪氨</w:t>
      </w:r>
      <w:r>
        <w:rPr>
          <w:rFonts w:ascii="宋体" w:eastAsia="宋体" w:hAnsi="宋体" w:cs="宋体"/>
          <w:sz w:val="22"/>
          <w:szCs w:val="22"/>
        </w:rPr>
        <w:t xml:space="preserve"> </w:t>
      </w:r>
      <w:r>
        <w:rPr>
          <w:rFonts w:ascii="宋体" w:eastAsia="宋体" w:hAnsi="宋体" w:cs="宋体"/>
          <w:spacing w:val="-3"/>
          <w:sz w:val="22"/>
          <w:szCs w:val="22"/>
        </w:rPr>
        <w:t>酸。酪氨酸经酪氨酸羟化酶的作用，生成多巴</w:t>
      </w:r>
      <w:r>
        <w:rPr>
          <w:rFonts w:ascii="宋体" w:eastAsia="宋体" w:hAnsi="宋体" w:cs="宋体"/>
          <w:spacing w:val="-4"/>
          <w:sz w:val="22"/>
          <w:szCs w:val="22"/>
        </w:rPr>
        <w:t>(3,4-二羟苯丙氨酸),再经多巴</w:t>
      </w:r>
      <w:r>
        <w:rPr>
          <w:rFonts w:ascii="宋体" w:eastAsia="宋体" w:hAnsi="宋体" w:cs="宋体"/>
          <w:sz w:val="22"/>
          <w:szCs w:val="22"/>
        </w:rPr>
        <w:t xml:space="preserve"> </w:t>
      </w:r>
      <w:r>
        <w:rPr>
          <w:rFonts w:ascii="宋体" w:eastAsia="宋体" w:hAnsi="宋体" w:cs="宋体"/>
          <w:spacing w:val="-12"/>
          <w:sz w:val="22"/>
          <w:szCs w:val="22"/>
        </w:rPr>
        <w:t>脱羧酶的作用生成多巴胺</w:t>
      </w:r>
      <w:r>
        <w:rPr>
          <w:rFonts w:ascii="宋体" w:eastAsia="宋体" w:hAnsi="宋体" w:cs="宋体"/>
          <w:spacing w:val="-15"/>
          <w:sz w:val="22"/>
          <w:szCs w:val="22"/>
        </w:rPr>
        <w:t xml:space="preserve"> </w:t>
      </w:r>
      <w:r>
        <w:rPr>
          <w:rFonts w:ascii="宋体" w:eastAsia="宋体" w:hAnsi="宋体" w:cs="宋体"/>
          <w:spacing w:val="-12"/>
          <w:sz w:val="22"/>
          <w:szCs w:val="22"/>
        </w:rPr>
        <w:t>(dopamine)。</w:t>
      </w:r>
      <w:r>
        <w:rPr>
          <w:rFonts w:ascii="宋体" w:eastAsia="宋体" w:hAnsi="宋体" w:cs="宋体"/>
          <w:spacing w:val="19"/>
          <w:sz w:val="22"/>
          <w:szCs w:val="22"/>
        </w:rPr>
        <w:t xml:space="preserve"> </w:t>
      </w:r>
      <w:r>
        <w:rPr>
          <w:rFonts w:ascii="宋体" w:eastAsia="宋体" w:hAnsi="宋体" w:cs="宋体"/>
          <w:spacing w:val="-12"/>
          <w:sz w:val="22"/>
          <w:szCs w:val="22"/>
        </w:rPr>
        <w:t>多巴胺是一种神经递质，可进一步代谢</w:t>
      </w:r>
      <w:r>
        <w:rPr>
          <w:rFonts w:ascii="宋体" w:eastAsia="宋体" w:hAnsi="宋体" w:cs="宋体"/>
          <w:sz w:val="22"/>
          <w:szCs w:val="22"/>
        </w:rPr>
        <w:t xml:space="preserve"> </w:t>
      </w:r>
      <w:r>
        <w:rPr>
          <w:rFonts w:ascii="宋体" w:eastAsia="宋体" w:hAnsi="宋体" w:cs="宋体"/>
          <w:spacing w:val="-14"/>
          <w:sz w:val="22"/>
          <w:szCs w:val="22"/>
        </w:rPr>
        <w:t>转化为去甲肾上</w:t>
      </w:r>
      <w:r>
        <w:rPr>
          <w:rFonts w:ascii="宋体" w:eastAsia="宋体" w:hAnsi="宋体" w:cs="宋体"/>
          <w:spacing w:val="-15"/>
          <w:sz w:val="22"/>
          <w:szCs w:val="22"/>
        </w:rPr>
        <w:t>腺素</w:t>
      </w:r>
      <w:r>
        <w:rPr>
          <w:rFonts w:ascii="宋体" w:eastAsia="宋体" w:hAnsi="宋体" w:cs="宋体"/>
          <w:spacing w:val="-10"/>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norepinephrine</w:t>
      </w:r>
      <w:r>
        <w:rPr>
          <w:rFonts w:ascii="宋体" w:eastAsia="宋体" w:hAnsi="宋体" w:cs="宋体"/>
          <w:spacing w:val="-15"/>
          <w:sz w:val="22"/>
          <w:szCs w:val="22"/>
        </w:rPr>
        <w:t>)</w:t>
      </w:r>
      <w:r>
        <w:rPr>
          <w:rFonts w:ascii="宋体" w:eastAsia="宋体" w:hAnsi="宋体" w:cs="宋体"/>
          <w:spacing w:val="-34"/>
          <w:sz w:val="22"/>
          <w:szCs w:val="22"/>
        </w:rPr>
        <w:t xml:space="preserve"> </w:t>
      </w:r>
      <w:r>
        <w:rPr>
          <w:rFonts w:ascii="宋体" w:eastAsia="宋体" w:hAnsi="宋体" w:cs="宋体"/>
          <w:spacing w:val="-15"/>
          <w:sz w:val="22"/>
          <w:szCs w:val="22"/>
        </w:rPr>
        <w:t>和肾上腺素</w:t>
      </w:r>
      <w:r>
        <w:rPr>
          <w:rFonts w:ascii="宋体" w:eastAsia="宋体" w:hAnsi="宋体" w:cs="宋体"/>
          <w:spacing w:val="-10"/>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epinephrine</w:t>
      </w:r>
      <w:r>
        <w:rPr>
          <w:rFonts w:ascii="宋体" w:eastAsia="宋体" w:hAnsi="宋体" w:cs="宋体"/>
          <w:spacing w:val="-15"/>
          <w:sz w:val="22"/>
          <w:szCs w:val="22"/>
        </w:rPr>
        <w:t>)。</w:t>
      </w:r>
      <w:r>
        <w:rPr>
          <w:rFonts w:ascii="宋体" w:eastAsia="宋体" w:hAnsi="宋体" w:cs="宋体"/>
          <w:spacing w:val="-33"/>
          <w:sz w:val="22"/>
          <w:szCs w:val="22"/>
        </w:rPr>
        <w:t xml:space="preserve"> </w:t>
      </w:r>
      <w:r>
        <w:rPr>
          <w:rFonts w:ascii="宋体" w:eastAsia="宋体" w:hAnsi="宋体" w:cs="宋体"/>
          <w:spacing w:val="-15"/>
          <w:sz w:val="22"/>
          <w:szCs w:val="22"/>
        </w:rPr>
        <w:t>酪氨酸另一</w:t>
      </w:r>
      <w:r>
        <w:rPr>
          <w:rFonts w:ascii="宋体" w:eastAsia="宋体" w:hAnsi="宋体" w:cs="宋体"/>
          <w:sz w:val="22"/>
          <w:szCs w:val="22"/>
        </w:rPr>
        <w:t xml:space="preserve"> </w:t>
      </w:r>
      <w:r>
        <w:rPr>
          <w:rFonts w:ascii="宋体" w:eastAsia="宋体" w:hAnsi="宋体" w:cs="宋体"/>
          <w:spacing w:val="-11"/>
          <w:sz w:val="22"/>
          <w:szCs w:val="22"/>
        </w:rPr>
        <w:t>条代谢途径是经酪氨酸酶合成黑色素。当人体缺乏酪氨酶时，黑色素</w:t>
      </w:r>
      <w:r>
        <w:rPr>
          <w:rFonts w:ascii="宋体" w:eastAsia="宋体" w:hAnsi="宋体" w:cs="宋体"/>
          <w:spacing w:val="-12"/>
          <w:sz w:val="22"/>
          <w:szCs w:val="22"/>
        </w:rPr>
        <w:t>合成受阻，</w:t>
      </w:r>
      <w:r>
        <w:rPr>
          <w:rFonts w:ascii="宋体" w:eastAsia="宋体" w:hAnsi="宋体" w:cs="宋体"/>
          <w:sz w:val="22"/>
          <w:szCs w:val="22"/>
        </w:rPr>
        <w:t xml:space="preserve"> </w:t>
      </w:r>
      <w:r>
        <w:rPr>
          <w:rFonts w:ascii="宋体" w:eastAsia="宋体" w:hAnsi="宋体" w:cs="宋体"/>
          <w:spacing w:val="-10"/>
          <w:sz w:val="22"/>
          <w:szCs w:val="22"/>
        </w:rPr>
        <w:t>皮肤、毛发等发白，称为白化病</w:t>
      </w:r>
      <w:r>
        <w:rPr>
          <w:rFonts w:ascii="宋体" w:eastAsia="宋体" w:hAnsi="宋体" w:cs="宋体"/>
          <w:spacing w:val="-15"/>
          <w:sz w:val="22"/>
          <w:szCs w:val="22"/>
        </w:rPr>
        <w:t xml:space="preserve"> </w:t>
      </w:r>
      <w:r>
        <w:rPr>
          <w:rFonts w:ascii="宋体" w:eastAsia="宋体" w:hAnsi="宋体" w:cs="宋体"/>
          <w:spacing w:val="-10"/>
          <w:sz w:val="22"/>
          <w:szCs w:val="22"/>
        </w:rPr>
        <w:t>(albinism)。</w:t>
      </w:r>
      <w:r>
        <w:rPr>
          <w:rFonts w:ascii="宋体" w:eastAsia="宋体" w:hAnsi="宋体" w:cs="宋体"/>
          <w:spacing w:val="-35"/>
          <w:sz w:val="22"/>
          <w:szCs w:val="22"/>
        </w:rPr>
        <w:t xml:space="preserve"> </w:t>
      </w:r>
      <w:r>
        <w:rPr>
          <w:rFonts w:ascii="宋体" w:eastAsia="宋体" w:hAnsi="宋体" w:cs="宋体"/>
          <w:spacing w:val="-10"/>
          <w:sz w:val="22"/>
          <w:szCs w:val="22"/>
        </w:rPr>
        <w:t>色氨酸除</w:t>
      </w:r>
      <w:r>
        <w:rPr>
          <w:rFonts w:ascii="宋体" w:eastAsia="宋体" w:hAnsi="宋体" w:cs="宋体"/>
          <w:spacing w:val="-11"/>
          <w:sz w:val="22"/>
          <w:szCs w:val="22"/>
        </w:rPr>
        <w:t>经代谢转变成5-羟色胺</w:t>
      </w:r>
      <w:r>
        <w:rPr>
          <w:rFonts w:ascii="宋体" w:eastAsia="宋体" w:hAnsi="宋体" w:cs="宋体"/>
          <w:sz w:val="22"/>
          <w:szCs w:val="22"/>
        </w:rPr>
        <w:t xml:space="preserve"> </w:t>
      </w:r>
      <w:r>
        <w:rPr>
          <w:rFonts w:ascii="宋体" w:eastAsia="宋体" w:hAnsi="宋体" w:cs="宋体"/>
          <w:spacing w:val="-11"/>
          <w:sz w:val="22"/>
          <w:szCs w:val="22"/>
        </w:rPr>
        <w:t>外，还可分解生成烟酸、犬尿酸、丙氨酸和乙酰CoA。</w:t>
      </w:r>
    </w:p>
    <w:p w:rsidR="00EA40A3" w:rsidRDefault="00E86C16">
      <w:pPr>
        <w:spacing w:before="84" w:line="225" w:lineRule="auto"/>
        <w:rPr>
          <w:rFonts w:ascii="楷体" w:eastAsia="楷体" w:hAnsi="楷体" w:cs="楷体"/>
          <w:sz w:val="22"/>
          <w:szCs w:val="22"/>
        </w:rPr>
      </w:pPr>
      <w:r>
        <w:rPr>
          <w:rFonts w:ascii="楷体" w:eastAsia="楷体" w:hAnsi="楷体" w:cs="楷体"/>
          <w:spacing w:val="-6"/>
          <w:sz w:val="22"/>
          <w:szCs w:val="22"/>
        </w:rPr>
        <w:t>5)氨基酸一碳单位代谢</w:t>
      </w:r>
    </w:p>
    <w:p w:rsidR="00EA40A3" w:rsidRDefault="00E86C16">
      <w:pPr>
        <w:spacing w:before="53" w:line="244" w:lineRule="auto"/>
        <w:ind w:right="79" w:firstLine="410"/>
        <w:jc w:val="both"/>
        <w:rPr>
          <w:rFonts w:ascii="宋体" w:eastAsia="宋体" w:hAnsi="宋体" w:cs="宋体"/>
          <w:sz w:val="22"/>
          <w:szCs w:val="22"/>
        </w:rPr>
      </w:pPr>
      <w:r>
        <w:rPr>
          <w:rFonts w:ascii="宋体" w:eastAsia="宋体" w:hAnsi="宋体" w:cs="宋体"/>
          <w:spacing w:val="-13"/>
          <w:sz w:val="22"/>
          <w:szCs w:val="22"/>
        </w:rPr>
        <w:t>丝氨酸、甘氨酸、组氨酸、色氨酸等一些氨基酸在分解过程中可以产生含有</w:t>
      </w:r>
      <w:r>
        <w:rPr>
          <w:rFonts w:ascii="宋体" w:eastAsia="宋体" w:hAnsi="宋体" w:cs="宋体"/>
          <w:spacing w:val="18"/>
          <w:sz w:val="22"/>
          <w:szCs w:val="22"/>
        </w:rPr>
        <w:t xml:space="preserve"> </w:t>
      </w:r>
      <w:r>
        <w:rPr>
          <w:rFonts w:ascii="宋体" w:eastAsia="宋体" w:hAnsi="宋体" w:cs="宋体"/>
          <w:spacing w:val="-13"/>
          <w:sz w:val="22"/>
          <w:szCs w:val="22"/>
        </w:rPr>
        <w:t>一个碳原子的基团，称一碳单位，如甲基、甲烯基、甲炔基、甲酰基、亚甲氨基</w:t>
      </w:r>
      <w:r>
        <w:rPr>
          <w:rFonts w:ascii="宋体" w:eastAsia="宋体" w:hAnsi="宋体" w:cs="宋体"/>
          <w:spacing w:val="12"/>
          <w:sz w:val="22"/>
          <w:szCs w:val="22"/>
        </w:rPr>
        <w:t xml:space="preserve"> </w:t>
      </w:r>
      <w:r>
        <w:rPr>
          <w:rFonts w:ascii="宋体" w:eastAsia="宋体" w:hAnsi="宋体" w:cs="宋体"/>
          <w:spacing w:val="-8"/>
          <w:sz w:val="22"/>
          <w:szCs w:val="22"/>
        </w:rPr>
        <w:t>等。</w:t>
      </w:r>
      <w:r>
        <w:rPr>
          <w:rFonts w:ascii="宋体" w:eastAsia="宋体" w:hAnsi="宋体" w:cs="宋体"/>
          <w:spacing w:val="-27"/>
          <w:sz w:val="22"/>
          <w:szCs w:val="22"/>
        </w:rPr>
        <w:t xml:space="preserve"> </w:t>
      </w:r>
      <w:r>
        <w:rPr>
          <w:rFonts w:ascii="宋体" w:eastAsia="宋体" w:hAnsi="宋体" w:cs="宋体"/>
          <w:spacing w:val="-8"/>
          <w:sz w:val="22"/>
          <w:szCs w:val="22"/>
        </w:rPr>
        <w:t>一碳单位常与四氢叶酸</w:t>
      </w:r>
      <w:r>
        <w:rPr>
          <w:rFonts w:ascii="宋体" w:eastAsia="宋体" w:hAnsi="宋体" w:cs="宋体"/>
          <w:spacing w:val="-9"/>
          <w:sz w:val="22"/>
          <w:szCs w:val="22"/>
        </w:rPr>
        <w:t xml:space="preserve"> </w:t>
      </w:r>
      <w:r>
        <w:rPr>
          <w:rFonts w:ascii="宋体" w:eastAsia="宋体" w:hAnsi="宋体" w:cs="宋体"/>
          <w:spacing w:val="-8"/>
          <w:sz w:val="22"/>
          <w:szCs w:val="22"/>
        </w:rPr>
        <w:t>(tetrahydrofolic</w:t>
      </w:r>
      <w:r>
        <w:rPr>
          <w:rFonts w:ascii="宋体" w:eastAsia="宋体" w:hAnsi="宋体" w:cs="宋体"/>
          <w:spacing w:val="5"/>
          <w:sz w:val="22"/>
          <w:szCs w:val="22"/>
        </w:rPr>
        <w:t xml:space="preserve"> </w:t>
      </w:r>
      <w:r>
        <w:rPr>
          <w:rFonts w:ascii="宋体" w:eastAsia="宋体" w:hAnsi="宋体" w:cs="宋体"/>
          <w:spacing w:val="-8"/>
          <w:sz w:val="22"/>
          <w:szCs w:val="22"/>
        </w:rPr>
        <w:t>acid,FHFA)</w:t>
      </w:r>
      <w:r>
        <w:rPr>
          <w:rFonts w:ascii="宋体" w:eastAsia="宋体" w:hAnsi="宋体" w:cs="宋体"/>
          <w:spacing w:val="-56"/>
          <w:sz w:val="22"/>
          <w:szCs w:val="22"/>
        </w:rPr>
        <w:t xml:space="preserve"> </w:t>
      </w:r>
      <w:r>
        <w:rPr>
          <w:rFonts w:ascii="宋体" w:eastAsia="宋体" w:hAnsi="宋体" w:cs="宋体"/>
          <w:spacing w:val="-8"/>
          <w:sz w:val="22"/>
          <w:szCs w:val="22"/>
        </w:rPr>
        <w:t>结合而转运和参加</w:t>
      </w:r>
      <w:r>
        <w:rPr>
          <w:rFonts w:ascii="宋体" w:eastAsia="宋体" w:hAnsi="宋体" w:cs="宋体"/>
          <w:sz w:val="22"/>
          <w:szCs w:val="22"/>
        </w:rPr>
        <w:t xml:space="preserve"> </w:t>
      </w:r>
      <w:r>
        <w:rPr>
          <w:rFonts w:ascii="宋体" w:eastAsia="宋体" w:hAnsi="宋体" w:cs="宋体"/>
          <w:spacing w:val="-14"/>
          <w:sz w:val="22"/>
          <w:szCs w:val="22"/>
        </w:rPr>
        <w:t>代谢，作为合成嘌呤及嘧啶的原料，在核酸的生物合成中占重要地位。</w:t>
      </w:r>
    </w:p>
    <w:p w:rsidR="00EA40A3" w:rsidRDefault="00EA40A3">
      <w:pPr>
        <w:sectPr w:rsidR="00EA40A3">
          <w:footerReference w:type="default" r:id="rId40"/>
          <w:pgSz w:w="9220" w:h="13360"/>
          <w:pgMar w:top="400" w:right="950" w:bottom="1264" w:left="930" w:header="0" w:footer="1031" w:gutter="0"/>
          <w:cols w:space="720"/>
        </w:sectPr>
      </w:pPr>
    </w:p>
    <w:p w:rsidR="00EA40A3" w:rsidRDefault="00EA40A3">
      <w:pPr>
        <w:spacing w:line="319" w:lineRule="auto"/>
      </w:pPr>
    </w:p>
    <w:p w:rsidR="00EA40A3" w:rsidRDefault="00EA40A3">
      <w:pPr>
        <w:spacing w:line="320" w:lineRule="auto"/>
      </w:pPr>
    </w:p>
    <w:p w:rsidR="00EA40A3" w:rsidRDefault="00E86C16">
      <w:pPr>
        <w:spacing w:before="68" w:line="229" w:lineRule="auto"/>
        <w:rPr>
          <w:rFonts w:ascii="楷体" w:eastAsia="楷体" w:hAnsi="楷体" w:cs="楷体"/>
        </w:rPr>
      </w:pPr>
      <w:r>
        <w:rPr>
          <w:rFonts w:ascii="楷体" w:eastAsia="楷体" w:hAnsi="楷体" w:cs="楷体"/>
          <w:spacing w:val="4"/>
        </w:rPr>
        <w:t>6)支链氨基酸的代谢</w:t>
      </w:r>
    </w:p>
    <w:p w:rsidR="00EA40A3" w:rsidRDefault="00E86C16">
      <w:pPr>
        <w:spacing w:before="35" w:line="255" w:lineRule="auto"/>
        <w:ind w:right="92" w:firstLine="420"/>
        <w:jc w:val="both"/>
        <w:rPr>
          <w:rFonts w:ascii="宋体" w:eastAsia="宋体" w:hAnsi="宋体" w:cs="宋体"/>
        </w:rPr>
      </w:pPr>
      <w:r>
        <w:rPr>
          <w:rFonts w:ascii="宋体" w:eastAsia="宋体" w:hAnsi="宋体" w:cs="宋体"/>
        </w:rPr>
        <w:t>亮氨酸、异亮氨酸和缬氨酸3种支链氨基酸在开</w:t>
      </w:r>
      <w:r>
        <w:rPr>
          <w:rFonts w:ascii="宋体" w:eastAsia="宋体" w:hAnsi="宋体" w:cs="宋体"/>
          <w:spacing w:val="-1"/>
        </w:rPr>
        <w:t>始阶段经转氨基作用生成相</w:t>
      </w:r>
      <w:r>
        <w:rPr>
          <w:rFonts w:ascii="宋体" w:eastAsia="宋体" w:hAnsi="宋体" w:cs="宋体"/>
        </w:rPr>
        <w:t xml:space="preserve"> 应的α-酮酸，然后再经过若干代谢步骤，缬氨酸生成琥珀酸CoA,</w:t>
      </w:r>
      <w:r>
        <w:rPr>
          <w:rFonts w:ascii="宋体" w:eastAsia="宋体" w:hAnsi="宋体" w:cs="宋体"/>
          <w:spacing w:val="102"/>
        </w:rPr>
        <w:t xml:space="preserve"> </w:t>
      </w:r>
      <w:r>
        <w:rPr>
          <w:rFonts w:ascii="宋体" w:eastAsia="宋体" w:hAnsi="宋体" w:cs="宋体"/>
        </w:rPr>
        <w:t>亮氨酸和异 亮氨酸生成乙酰CoA</w:t>
      </w:r>
      <w:r>
        <w:rPr>
          <w:rFonts w:ascii="宋体" w:eastAsia="宋体" w:hAnsi="宋体" w:cs="宋体"/>
          <w:spacing w:val="46"/>
        </w:rPr>
        <w:t xml:space="preserve"> </w:t>
      </w:r>
      <w:r>
        <w:rPr>
          <w:rFonts w:ascii="宋体" w:eastAsia="宋体" w:hAnsi="宋体" w:cs="宋体"/>
        </w:rPr>
        <w:t>及乙酰乙酰CoA。</w:t>
      </w:r>
    </w:p>
    <w:p w:rsidR="00EA40A3" w:rsidRDefault="00E86C16">
      <w:pPr>
        <w:spacing w:before="206" w:line="221" w:lineRule="auto"/>
        <w:ind w:left="3"/>
        <w:outlineLvl w:val="6"/>
        <w:rPr>
          <w:rFonts w:ascii="黑体" w:eastAsia="黑体" w:hAnsi="黑体" w:cs="黑体"/>
          <w:sz w:val="25"/>
          <w:szCs w:val="25"/>
        </w:rPr>
      </w:pPr>
      <w:r>
        <w:rPr>
          <w:rFonts w:ascii="黑体" w:eastAsia="黑体" w:hAnsi="黑体" w:cs="黑体"/>
          <w:b/>
          <w:bCs/>
          <w:spacing w:val="-7"/>
          <w:sz w:val="25"/>
          <w:szCs w:val="25"/>
        </w:rPr>
        <w:t>2.3.2</w:t>
      </w:r>
      <w:r>
        <w:rPr>
          <w:rFonts w:ascii="黑体" w:eastAsia="黑体" w:hAnsi="黑体" w:cs="黑体"/>
          <w:spacing w:val="113"/>
          <w:sz w:val="25"/>
          <w:szCs w:val="25"/>
        </w:rPr>
        <w:t xml:space="preserve"> </w:t>
      </w:r>
      <w:r>
        <w:rPr>
          <w:rFonts w:ascii="黑体" w:eastAsia="黑体" w:hAnsi="黑体" w:cs="黑体"/>
          <w:b/>
          <w:bCs/>
          <w:spacing w:val="-7"/>
          <w:sz w:val="25"/>
          <w:szCs w:val="25"/>
        </w:rPr>
        <w:t>脂类代谢</w:t>
      </w:r>
    </w:p>
    <w:p w:rsidR="00EA40A3" w:rsidRDefault="00E86C16">
      <w:pPr>
        <w:spacing w:before="233" w:line="222" w:lineRule="auto"/>
        <w:rPr>
          <w:rFonts w:ascii="仿宋" w:eastAsia="仿宋" w:hAnsi="仿宋" w:cs="仿宋"/>
        </w:rPr>
      </w:pPr>
      <w:r>
        <w:rPr>
          <w:rFonts w:ascii="仿宋" w:eastAsia="仿宋" w:hAnsi="仿宋" w:cs="仿宋"/>
          <w:spacing w:val="19"/>
        </w:rPr>
        <w:t>1.</w:t>
      </w:r>
      <w:r>
        <w:rPr>
          <w:rFonts w:ascii="仿宋" w:eastAsia="仿宋" w:hAnsi="仿宋" w:cs="仿宋"/>
          <w:spacing w:val="-9"/>
        </w:rPr>
        <w:t xml:space="preserve"> </w:t>
      </w:r>
      <w:r>
        <w:rPr>
          <w:rFonts w:ascii="仿宋" w:eastAsia="仿宋" w:hAnsi="仿宋" w:cs="仿宋"/>
          <w:spacing w:val="19"/>
        </w:rPr>
        <w:t>甘油三酯的合成代谢</w:t>
      </w:r>
    </w:p>
    <w:p w:rsidR="00EA40A3" w:rsidRDefault="00E86C16">
      <w:pPr>
        <w:spacing w:before="177" w:line="264" w:lineRule="auto"/>
        <w:ind w:right="111" w:firstLine="420"/>
        <w:rPr>
          <w:rFonts w:ascii="宋体" w:eastAsia="宋体" w:hAnsi="宋体" w:cs="宋体"/>
        </w:rPr>
      </w:pPr>
      <w:r>
        <w:rPr>
          <w:rFonts w:ascii="宋体" w:eastAsia="宋体" w:hAnsi="宋体" w:cs="宋体"/>
          <w:spacing w:val="-4"/>
        </w:rPr>
        <w:t>甘油三酯是机体储存能量的主要形式。机体摄入碳水化合物、脂肪等食物均</w:t>
      </w:r>
      <w:r>
        <w:rPr>
          <w:rFonts w:ascii="宋体" w:eastAsia="宋体" w:hAnsi="宋体" w:cs="宋体"/>
          <w:spacing w:val="4"/>
        </w:rPr>
        <w:t xml:space="preserve"> </w:t>
      </w:r>
      <w:r>
        <w:rPr>
          <w:rFonts w:ascii="宋体" w:eastAsia="宋体" w:hAnsi="宋体" w:cs="宋体"/>
          <w:spacing w:val="-7"/>
        </w:rPr>
        <w:t>可合成甘油三酯，在脂肪组织中储存。</w:t>
      </w:r>
    </w:p>
    <w:p w:rsidR="00EA40A3" w:rsidRDefault="00E86C16">
      <w:pPr>
        <w:spacing w:before="20" w:line="264" w:lineRule="auto"/>
        <w:ind w:right="74" w:firstLine="420"/>
        <w:rPr>
          <w:rFonts w:ascii="宋体" w:eastAsia="宋体" w:hAnsi="宋体" w:cs="宋体"/>
        </w:rPr>
      </w:pPr>
      <w:r>
        <w:rPr>
          <w:rFonts w:ascii="宋体" w:eastAsia="宋体" w:hAnsi="宋体" w:cs="宋体"/>
          <w:spacing w:val="-4"/>
        </w:rPr>
        <w:t>肝、脂肪组织及小肠是合成甘油三酯的主要场所，以肝的合成能力最强。肝</w:t>
      </w:r>
      <w:r>
        <w:rPr>
          <w:rFonts w:ascii="宋体" w:eastAsia="宋体" w:hAnsi="宋体" w:cs="宋体"/>
        </w:rPr>
        <w:t xml:space="preserve"> </w:t>
      </w:r>
      <w:r>
        <w:rPr>
          <w:rFonts w:ascii="宋体" w:eastAsia="宋体" w:hAnsi="宋体" w:cs="宋体"/>
          <w:spacing w:val="3"/>
        </w:rPr>
        <w:t>细胞能合成脂肪，但不能储存脂肪。甘油三酯在肝内质网合成后，</w:t>
      </w:r>
      <w:r>
        <w:rPr>
          <w:rFonts w:ascii="宋体" w:eastAsia="宋体" w:hAnsi="宋体" w:cs="宋体"/>
          <w:spacing w:val="2"/>
        </w:rPr>
        <w:t>与载脂蛋白</w:t>
      </w:r>
      <w:r>
        <w:rPr>
          <w:rFonts w:ascii="宋体" w:eastAsia="宋体" w:hAnsi="宋体" w:cs="宋体"/>
        </w:rPr>
        <w:t xml:space="preserve"> B100、C</w:t>
      </w:r>
      <w:r>
        <w:rPr>
          <w:rFonts w:ascii="宋体" w:eastAsia="宋体" w:hAnsi="宋体" w:cs="宋体"/>
          <w:spacing w:val="-1"/>
        </w:rPr>
        <w:t xml:space="preserve"> </w:t>
      </w:r>
      <w:r>
        <w:rPr>
          <w:rFonts w:ascii="宋体" w:eastAsia="宋体" w:hAnsi="宋体" w:cs="宋体"/>
        </w:rPr>
        <w:t>等以及磷脂、胆固醇结合生成极低密度脂蛋白</w:t>
      </w:r>
      <w:r>
        <w:rPr>
          <w:rFonts w:ascii="宋体" w:eastAsia="宋体" w:hAnsi="宋体" w:cs="宋体"/>
          <w:spacing w:val="-12"/>
        </w:rPr>
        <w:t xml:space="preserve"> </w:t>
      </w:r>
      <w:r>
        <w:rPr>
          <w:rFonts w:ascii="宋体" w:eastAsia="宋体" w:hAnsi="宋体" w:cs="宋体"/>
        </w:rPr>
        <w:t>(VLDL),</w:t>
      </w:r>
      <w:r>
        <w:rPr>
          <w:rFonts w:ascii="宋体" w:eastAsia="宋体" w:hAnsi="宋体" w:cs="宋体"/>
          <w:spacing w:val="2"/>
        </w:rPr>
        <w:t xml:space="preserve">   </w:t>
      </w:r>
      <w:r>
        <w:rPr>
          <w:rFonts w:ascii="宋体" w:eastAsia="宋体" w:hAnsi="宋体" w:cs="宋体"/>
        </w:rPr>
        <w:t xml:space="preserve">由肝细胞分 </w:t>
      </w:r>
      <w:r>
        <w:rPr>
          <w:rFonts w:ascii="宋体" w:eastAsia="宋体" w:hAnsi="宋体" w:cs="宋体"/>
          <w:spacing w:val="-3"/>
        </w:rPr>
        <w:t>泌入血而运输至肝外组织。如肝细胞合成的甘油三酯因营养不良、中毒、必需脂</w:t>
      </w:r>
      <w:r>
        <w:rPr>
          <w:rFonts w:ascii="宋体" w:eastAsia="宋体" w:hAnsi="宋体" w:cs="宋体"/>
          <w:spacing w:val="14"/>
        </w:rPr>
        <w:t xml:space="preserve"> </w:t>
      </w:r>
      <w:r>
        <w:rPr>
          <w:rFonts w:ascii="宋体" w:eastAsia="宋体" w:hAnsi="宋体" w:cs="宋体"/>
          <w:spacing w:val="3"/>
        </w:rPr>
        <w:t>肪酸缺乏、胆碱缺乏或蛋白质缺乏不能形成</w:t>
      </w:r>
      <w:r>
        <w:rPr>
          <w:rFonts w:ascii="宋体" w:eastAsia="宋体" w:hAnsi="宋体" w:cs="宋体"/>
        </w:rPr>
        <w:t>VLDL</w:t>
      </w:r>
      <w:r>
        <w:rPr>
          <w:rFonts w:ascii="宋体" w:eastAsia="宋体" w:hAnsi="宋体" w:cs="宋体"/>
          <w:spacing w:val="6"/>
        </w:rPr>
        <w:t xml:space="preserve">  </w:t>
      </w:r>
      <w:r>
        <w:rPr>
          <w:rFonts w:ascii="宋体" w:eastAsia="宋体" w:hAnsi="宋体" w:cs="宋体"/>
          <w:spacing w:val="3"/>
        </w:rPr>
        <w:t>分泌入血时，则聚</w:t>
      </w:r>
      <w:r>
        <w:rPr>
          <w:rFonts w:ascii="宋体" w:eastAsia="宋体" w:hAnsi="宋体" w:cs="宋体"/>
          <w:spacing w:val="2"/>
        </w:rPr>
        <w:t>集在肝细</w:t>
      </w:r>
      <w:r>
        <w:rPr>
          <w:rFonts w:ascii="宋体" w:eastAsia="宋体" w:hAnsi="宋体" w:cs="宋体"/>
        </w:rPr>
        <w:t xml:space="preserve"> </w:t>
      </w:r>
      <w:r>
        <w:rPr>
          <w:rFonts w:ascii="宋体" w:eastAsia="宋体" w:hAnsi="宋体" w:cs="宋体"/>
          <w:spacing w:val="-7"/>
        </w:rPr>
        <w:t>胞中，形成脂肪肝。</w:t>
      </w:r>
    </w:p>
    <w:p w:rsidR="00EA40A3" w:rsidRDefault="00E86C16">
      <w:pPr>
        <w:spacing w:before="70" w:line="255" w:lineRule="auto"/>
        <w:ind w:firstLine="420"/>
        <w:rPr>
          <w:rFonts w:ascii="宋体" w:eastAsia="宋体" w:hAnsi="宋体" w:cs="宋体"/>
        </w:rPr>
      </w:pPr>
      <w:r>
        <w:rPr>
          <w:rFonts w:ascii="宋体" w:eastAsia="宋体" w:hAnsi="宋体" w:cs="宋体"/>
          <w:spacing w:val="-3"/>
        </w:rPr>
        <w:t>脂肪组织是机体合成脂肪的另一重要组织。它可利用</w:t>
      </w:r>
      <w:r>
        <w:rPr>
          <w:rFonts w:ascii="宋体" w:eastAsia="宋体" w:hAnsi="宋体" w:cs="宋体"/>
          <w:spacing w:val="-4"/>
        </w:rPr>
        <w:t>从食物脂肪而来的乳糜</w:t>
      </w:r>
      <w:r>
        <w:rPr>
          <w:rFonts w:ascii="宋体" w:eastAsia="宋体" w:hAnsi="宋体" w:cs="宋体"/>
        </w:rPr>
        <w:t xml:space="preserve">  微粒</w:t>
      </w:r>
      <w:r>
        <w:rPr>
          <w:rFonts w:ascii="宋体" w:eastAsia="宋体" w:hAnsi="宋体" w:cs="宋体"/>
          <w:spacing w:val="-21"/>
        </w:rPr>
        <w:t xml:space="preserve"> </w:t>
      </w:r>
      <w:r>
        <w:rPr>
          <w:rFonts w:ascii="宋体" w:eastAsia="宋体" w:hAnsi="宋体" w:cs="宋体"/>
        </w:rPr>
        <w:t>(CM)</w:t>
      </w:r>
      <w:r>
        <w:rPr>
          <w:rFonts w:ascii="宋体" w:eastAsia="宋体" w:hAnsi="宋体" w:cs="宋体"/>
          <w:spacing w:val="23"/>
        </w:rPr>
        <w:t xml:space="preserve">  </w:t>
      </w:r>
      <w:r>
        <w:rPr>
          <w:rFonts w:ascii="宋体" w:eastAsia="宋体" w:hAnsi="宋体" w:cs="宋体"/>
        </w:rPr>
        <w:t>或</w:t>
      </w:r>
      <w:r>
        <w:rPr>
          <w:rFonts w:ascii="宋体" w:eastAsia="宋体" w:hAnsi="宋体" w:cs="宋体"/>
          <w:spacing w:val="-55"/>
        </w:rPr>
        <w:t xml:space="preserve"> </w:t>
      </w:r>
      <w:r>
        <w:rPr>
          <w:rFonts w:ascii="宋体" w:eastAsia="宋体" w:hAnsi="宋体" w:cs="宋体"/>
        </w:rPr>
        <w:t>VLDL</w:t>
      </w:r>
      <w:r>
        <w:rPr>
          <w:rFonts w:ascii="宋体" w:eastAsia="宋体" w:hAnsi="宋体" w:cs="宋体"/>
          <w:spacing w:val="7"/>
        </w:rPr>
        <w:t xml:space="preserve">  </w:t>
      </w:r>
      <w:r>
        <w:rPr>
          <w:rFonts w:ascii="宋体" w:eastAsia="宋体" w:hAnsi="宋体" w:cs="宋体"/>
        </w:rPr>
        <w:t>中的脂肪酸合成脂肪，更主要以葡萄糖为原料合成脂肪。 脂肪细胞可以大量储存脂肪，是机体合成和储存脂肪的“</w:t>
      </w:r>
      <w:r>
        <w:rPr>
          <w:rFonts w:ascii="宋体" w:eastAsia="宋体" w:hAnsi="宋体" w:cs="宋体"/>
          <w:spacing w:val="-1"/>
        </w:rPr>
        <w:t>仓库”;机体需要能量</w:t>
      </w:r>
      <w:r>
        <w:rPr>
          <w:rFonts w:ascii="宋体" w:eastAsia="宋体" w:hAnsi="宋体" w:cs="宋体"/>
        </w:rPr>
        <w:t xml:space="preserve">  </w:t>
      </w:r>
      <w:r>
        <w:rPr>
          <w:rFonts w:ascii="宋体" w:eastAsia="宋体" w:hAnsi="宋体" w:cs="宋体"/>
          <w:spacing w:val="9"/>
        </w:rPr>
        <w:t xml:space="preserve">时，储脂分解释出游离脂肪酸及甘油入血，以满足心、肝、骨骼肌、肾等的  </w:t>
      </w:r>
      <w:r>
        <w:rPr>
          <w:rFonts w:ascii="宋体" w:eastAsia="宋体" w:hAnsi="宋体" w:cs="宋体"/>
          <w:spacing w:val="-12"/>
        </w:rPr>
        <w:t>需要。</w:t>
      </w:r>
    </w:p>
    <w:p w:rsidR="00EA40A3" w:rsidRDefault="00E86C16">
      <w:pPr>
        <w:spacing w:before="87" w:line="251" w:lineRule="auto"/>
        <w:ind w:right="72" w:firstLine="420"/>
        <w:rPr>
          <w:rFonts w:ascii="宋体" w:eastAsia="宋体" w:hAnsi="宋体" w:cs="宋体"/>
        </w:rPr>
      </w:pPr>
      <w:r>
        <w:rPr>
          <w:rFonts w:ascii="宋体" w:eastAsia="宋体" w:hAnsi="宋体" w:cs="宋体"/>
          <w:spacing w:val="-3"/>
        </w:rPr>
        <w:t>小肠黏膜细胞则主要利用脂肪消化产物再合成脂肪，以乳糜微粒形式经淋巴</w:t>
      </w:r>
      <w:r>
        <w:rPr>
          <w:rFonts w:ascii="宋体" w:eastAsia="宋体" w:hAnsi="宋体" w:cs="宋体"/>
          <w:spacing w:val="10"/>
        </w:rPr>
        <w:t xml:space="preserve"> </w:t>
      </w:r>
      <w:r>
        <w:rPr>
          <w:rFonts w:ascii="宋体" w:eastAsia="宋体" w:hAnsi="宋体" w:cs="宋体"/>
          <w:spacing w:val="-5"/>
        </w:rPr>
        <w:t>进入血液循环。</w:t>
      </w:r>
    </w:p>
    <w:p w:rsidR="00EA40A3" w:rsidRDefault="00E86C16">
      <w:pPr>
        <w:spacing w:before="230" w:line="222" w:lineRule="auto"/>
        <w:rPr>
          <w:rFonts w:ascii="仿宋" w:eastAsia="仿宋" w:hAnsi="仿宋" w:cs="仿宋"/>
        </w:rPr>
      </w:pPr>
      <w:r>
        <w:rPr>
          <w:rFonts w:ascii="仿宋" w:eastAsia="仿宋" w:hAnsi="仿宋" w:cs="仿宋"/>
          <w:spacing w:val="19"/>
        </w:rPr>
        <w:t>2.</w:t>
      </w:r>
      <w:r>
        <w:rPr>
          <w:rFonts w:ascii="仿宋" w:eastAsia="仿宋" w:hAnsi="仿宋" w:cs="仿宋"/>
          <w:spacing w:val="21"/>
        </w:rPr>
        <w:t xml:space="preserve"> </w:t>
      </w:r>
      <w:r>
        <w:rPr>
          <w:rFonts w:ascii="仿宋" w:eastAsia="仿宋" w:hAnsi="仿宋" w:cs="仿宋"/>
          <w:spacing w:val="19"/>
        </w:rPr>
        <w:t>甘油三酯的分解代谢</w:t>
      </w:r>
    </w:p>
    <w:p w:rsidR="00EA40A3" w:rsidRDefault="00E86C16">
      <w:pPr>
        <w:spacing w:before="208" w:line="220" w:lineRule="auto"/>
        <w:rPr>
          <w:rFonts w:ascii="宋体" w:eastAsia="宋体" w:hAnsi="宋体" w:cs="宋体"/>
          <w:sz w:val="18"/>
          <w:szCs w:val="18"/>
        </w:rPr>
      </w:pPr>
      <w:r>
        <w:rPr>
          <w:rFonts w:ascii="宋体" w:eastAsia="宋体" w:hAnsi="宋体" w:cs="宋体"/>
          <w:spacing w:val="-1"/>
          <w:sz w:val="18"/>
          <w:szCs w:val="18"/>
        </w:rPr>
        <w:t>I)</w:t>
      </w:r>
      <w:r>
        <w:rPr>
          <w:rFonts w:ascii="宋体" w:eastAsia="宋体" w:hAnsi="宋体" w:cs="宋体"/>
          <w:spacing w:val="4"/>
          <w:sz w:val="18"/>
          <w:szCs w:val="18"/>
        </w:rPr>
        <w:t xml:space="preserve">  </w:t>
      </w:r>
      <w:r>
        <w:rPr>
          <w:rFonts w:ascii="宋体" w:eastAsia="宋体" w:hAnsi="宋体" w:cs="宋体"/>
          <w:spacing w:val="-1"/>
          <w:sz w:val="18"/>
          <w:szCs w:val="18"/>
        </w:rPr>
        <w:t>脂肪动员</w:t>
      </w:r>
    </w:p>
    <w:p w:rsidR="00EA40A3" w:rsidRDefault="00E86C16">
      <w:pPr>
        <w:spacing w:before="60" w:line="257" w:lineRule="auto"/>
        <w:ind w:right="58" w:firstLine="420"/>
        <w:jc w:val="both"/>
        <w:rPr>
          <w:rFonts w:ascii="宋体" w:eastAsia="宋体" w:hAnsi="宋体" w:cs="宋体"/>
        </w:rPr>
      </w:pPr>
      <w:r>
        <w:rPr>
          <w:rFonts w:ascii="宋体" w:eastAsia="宋体" w:hAnsi="宋体" w:cs="宋体"/>
          <w:spacing w:val="6"/>
        </w:rPr>
        <w:t>储存在脂肪组织中的脂肪，被脂肪酶逐步水解</w:t>
      </w:r>
      <w:r>
        <w:rPr>
          <w:rFonts w:ascii="宋体" w:eastAsia="宋体" w:hAnsi="宋体" w:cs="宋体"/>
          <w:spacing w:val="5"/>
        </w:rPr>
        <w:t>为游离脂肪酸</w:t>
      </w:r>
      <w:r>
        <w:rPr>
          <w:rFonts w:ascii="宋体" w:eastAsia="宋体" w:hAnsi="宋体" w:cs="宋体"/>
          <w:spacing w:val="-15"/>
        </w:rPr>
        <w:t xml:space="preserve"> </w:t>
      </w:r>
      <w:r>
        <w:rPr>
          <w:rFonts w:ascii="宋体" w:eastAsia="宋体" w:hAnsi="宋体" w:cs="宋体"/>
          <w:spacing w:val="5"/>
        </w:rPr>
        <w:t>(</w:t>
      </w:r>
      <w:r>
        <w:rPr>
          <w:rFonts w:ascii="宋体" w:eastAsia="宋体" w:hAnsi="宋体" w:cs="宋体"/>
        </w:rPr>
        <w:t>free</w:t>
      </w:r>
      <w:r>
        <w:rPr>
          <w:rFonts w:ascii="宋体" w:eastAsia="宋体" w:hAnsi="宋体" w:cs="宋体"/>
          <w:spacing w:val="-5"/>
        </w:rPr>
        <w:t xml:space="preserve"> </w:t>
      </w:r>
      <w:r>
        <w:rPr>
          <w:rFonts w:ascii="宋体" w:eastAsia="宋体" w:hAnsi="宋体" w:cs="宋体"/>
        </w:rPr>
        <w:t>fatty acid,FFA)</w:t>
      </w:r>
      <w:r>
        <w:rPr>
          <w:rFonts w:ascii="宋体" w:eastAsia="宋体" w:hAnsi="宋体" w:cs="宋体"/>
          <w:spacing w:val="9"/>
        </w:rPr>
        <w:t xml:space="preserve">  </w:t>
      </w:r>
      <w:r>
        <w:rPr>
          <w:rFonts w:ascii="宋体" w:eastAsia="宋体" w:hAnsi="宋体" w:cs="宋体"/>
        </w:rPr>
        <w:t xml:space="preserve">和甘油，并释放入血液以供其他组织氧化利用的过程，称为脂肪动 </w:t>
      </w:r>
      <w:r>
        <w:rPr>
          <w:rFonts w:ascii="宋体" w:eastAsia="宋体" w:hAnsi="宋体" w:cs="宋体"/>
          <w:spacing w:val="-3"/>
        </w:rPr>
        <w:t>员。机体在正常情况下，并不发生脂肪的动员，只有在禁食、饥饿等</w:t>
      </w:r>
      <w:r>
        <w:rPr>
          <w:rFonts w:ascii="宋体" w:eastAsia="宋体" w:hAnsi="宋体" w:cs="宋体"/>
          <w:spacing w:val="-4"/>
        </w:rPr>
        <w:t>造成血糖降</w:t>
      </w:r>
      <w:r>
        <w:rPr>
          <w:rFonts w:ascii="宋体" w:eastAsia="宋体" w:hAnsi="宋体" w:cs="宋体"/>
        </w:rPr>
        <w:t xml:space="preserve"> </w:t>
      </w:r>
      <w:r>
        <w:rPr>
          <w:rFonts w:ascii="宋体" w:eastAsia="宋体" w:hAnsi="宋体" w:cs="宋体"/>
          <w:spacing w:val="-3"/>
        </w:rPr>
        <w:t>低或交感神经兴奋时，才发生脂肪的动员。脂肪组织中的甘油三酯脂肪酶可催化</w:t>
      </w:r>
      <w:r>
        <w:rPr>
          <w:rFonts w:ascii="宋体" w:eastAsia="宋体" w:hAnsi="宋体" w:cs="宋体"/>
          <w:spacing w:val="12"/>
        </w:rPr>
        <w:t xml:space="preserve"> </w:t>
      </w:r>
      <w:r>
        <w:rPr>
          <w:rFonts w:ascii="宋体" w:eastAsia="宋体" w:hAnsi="宋体" w:cs="宋体"/>
          <w:spacing w:val="3"/>
        </w:rPr>
        <w:t>甘油三酯分子中第1位或第3位酯键断裂，生成游离脂肪酸和甘</w:t>
      </w:r>
      <w:r>
        <w:rPr>
          <w:rFonts w:ascii="宋体" w:eastAsia="宋体" w:hAnsi="宋体" w:cs="宋体"/>
          <w:spacing w:val="2"/>
        </w:rPr>
        <w:t>油二酯，后者可</w:t>
      </w:r>
      <w:r>
        <w:rPr>
          <w:rFonts w:ascii="宋体" w:eastAsia="宋体" w:hAnsi="宋体" w:cs="宋体"/>
        </w:rPr>
        <w:t xml:space="preserve"> </w:t>
      </w:r>
      <w:r>
        <w:rPr>
          <w:rFonts w:ascii="宋体" w:eastAsia="宋体" w:hAnsi="宋体" w:cs="宋体"/>
          <w:spacing w:val="-7"/>
        </w:rPr>
        <w:t>继续进行酶促水解反应。</w:t>
      </w:r>
    </w:p>
    <w:p w:rsidR="00EA40A3" w:rsidRDefault="00E86C16">
      <w:pPr>
        <w:spacing w:before="103" w:line="259" w:lineRule="auto"/>
        <w:ind w:right="94" w:firstLine="420"/>
        <w:jc w:val="both"/>
        <w:rPr>
          <w:rFonts w:ascii="宋体" w:eastAsia="宋体" w:hAnsi="宋体" w:cs="宋体"/>
        </w:rPr>
      </w:pPr>
      <w:r>
        <w:rPr>
          <w:rFonts w:ascii="宋体" w:eastAsia="宋体" w:hAnsi="宋体" w:cs="宋体"/>
          <w:spacing w:val="-3"/>
        </w:rPr>
        <w:t>脂解作用使储存在脂肪细胞中的脂肪分解成游</w:t>
      </w:r>
      <w:r>
        <w:rPr>
          <w:rFonts w:ascii="宋体" w:eastAsia="宋体" w:hAnsi="宋体" w:cs="宋体"/>
          <w:spacing w:val="-4"/>
        </w:rPr>
        <w:t>离脂肪酸和甘油，然后释放入</w:t>
      </w:r>
      <w:r>
        <w:rPr>
          <w:rFonts w:ascii="宋体" w:eastAsia="宋体" w:hAnsi="宋体" w:cs="宋体"/>
        </w:rPr>
        <w:t xml:space="preserve"> </w:t>
      </w:r>
      <w:r>
        <w:rPr>
          <w:rFonts w:ascii="宋体" w:eastAsia="宋体" w:hAnsi="宋体" w:cs="宋体"/>
          <w:spacing w:val="-2"/>
        </w:rPr>
        <w:t>血。血浆清蛋白具有结合游离脂肪酸的能力，</w:t>
      </w:r>
      <w:r>
        <w:rPr>
          <w:rFonts w:ascii="宋体" w:eastAsia="宋体" w:hAnsi="宋体" w:cs="宋体"/>
          <w:spacing w:val="4"/>
        </w:rPr>
        <w:t xml:space="preserve"> </w:t>
      </w:r>
      <w:r>
        <w:rPr>
          <w:rFonts w:ascii="宋体" w:eastAsia="宋体" w:hAnsi="宋体" w:cs="宋体"/>
          <w:spacing w:val="-2"/>
        </w:rPr>
        <w:t>FFA</w:t>
      </w:r>
      <w:r>
        <w:rPr>
          <w:rFonts w:ascii="宋体" w:eastAsia="宋体" w:hAnsi="宋体" w:cs="宋体"/>
          <w:spacing w:val="64"/>
        </w:rPr>
        <w:t xml:space="preserve"> </w:t>
      </w:r>
      <w:r>
        <w:rPr>
          <w:rFonts w:ascii="宋体" w:eastAsia="宋体" w:hAnsi="宋体" w:cs="宋体"/>
          <w:spacing w:val="-2"/>
        </w:rPr>
        <w:t>与清蛋白结合</w:t>
      </w:r>
      <w:r>
        <w:rPr>
          <w:rFonts w:ascii="宋体" w:eastAsia="宋体" w:hAnsi="宋体" w:cs="宋体"/>
          <w:spacing w:val="-3"/>
        </w:rPr>
        <w:t>后由血液运送</w:t>
      </w:r>
      <w:r>
        <w:rPr>
          <w:rFonts w:ascii="宋体" w:eastAsia="宋体" w:hAnsi="宋体" w:cs="宋体"/>
        </w:rPr>
        <w:t xml:space="preserve"> </w:t>
      </w:r>
      <w:r>
        <w:rPr>
          <w:rFonts w:ascii="宋体" w:eastAsia="宋体" w:hAnsi="宋体" w:cs="宋体"/>
          <w:spacing w:val="-3"/>
        </w:rPr>
        <w:t>至全身各组织，主要由心、肝、骨骼肌等摄取利用。甘油溶于水</w:t>
      </w:r>
      <w:r>
        <w:rPr>
          <w:rFonts w:ascii="宋体" w:eastAsia="宋体" w:hAnsi="宋体" w:cs="宋体"/>
          <w:spacing w:val="-4"/>
        </w:rPr>
        <w:t>，直接由血液运</w:t>
      </w:r>
      <w:r>
        <w:rPr>
          <w:rFonts w:ascii="宋体" w:eastAsia="宋体" w:hAnsi="宋体" w:cs="宋体"/>
        </w:rPr>
        <w:t xml:space="preserve"> </w:t>
      </w:r>
      <w:r>
        <w:rPr>
          <w:rFonts w:ascii="宋体" w:eastAsia="宋体" w:hAnsi="宋体" w:cs="宋体"/>
          <w:spacing w:val="3"/>
        </w:rPr>
        <w:t>送至肝、肾、肠等组织，主要是在肝甘油激酶作用下，转变为3-磷</w:t>
      </w:r>
      <w:r>
        <w:rPr>
          <w:rFonts w:ascii="宋体" w:eastAsia="宋体" w:hAnsi="宋体" w:cs="宋体"/>
          <w:spacing w:val="2"/>
        </w:rPr>
        <w:t>酸甘油，然</w:t>
      </w:r>
    </w:p>
    <w:p w:rsidR="00EA40A3" w:rsidRDefault="00E86C16">
      <w:pPr>
        <w:spacing w:before="51"/>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32</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footerReference w:type="default" r:id="rId41"/>
          <w:pgSz w:w="9340" w:h="13440"/>
          <w:pgMar w:top="400" w:right="1104" w:bottom="400" w:left="900" w:header="0" w:footer="0" w:gutter="0"/>
          <w:cols w:space="720"/>
        </w:sectPr>
      </w:pPr>
    </w:p>
    <w:p w:rsidR="00EA40A3" w:rsidRDefault="00EA40A3">
      <w:pPr>
        <w:spacing w:line="281" w:lineRule="auto"/>
      </w:pPr>
    </w:p>
    <w:p w:rsidR="00EA40A3" w:rsidRDefault="00EA40A3">
      <w:pPr>
        <w:spacing w:line="282" w:lineRule="auto"/>
      </w:pPr>
    </w:p>
    <w:p w:rsidR="00EA40A3" w:rsidRDefault="00E86C16">
      <w:pPr>
        <w:spacing w:before="71" w:line="246" w:lineRule="auto"/>
        <w:ind w:right="1404"/>
        <w:rPr>
          <w:rFonts w:ascii="楷体" w:eastAsia="楷体" w:hAnsi="楷体" w:cs="楷体"/>
          <w:sz w:val="22"/>
          <w:szCs w:val="22"/>
        </w:rPr>
      </w:pPr>
      <w:r>
        <w:rPr>
          <w:rFonts w:ascii="宋体" w:eastAsia="宋体" w:hAnsi="宋体" w:cs="宋体"/>
          <w:spacing w:val="-14"/>
          <w:sz w:val="22"/>
          <w:szCs w:val="22"/>
        </w:rPr>
        <w:t>后脱氢生成磷酸二羟丙酮，遵循糖代谢途径进行分解或</w:t>
      </w:r>
      <w:r>
        <w:rPr>
          <w:rFonts w:ascii="宋体" w:eastAsia="宋体" w:hAnsi="宋体" w:cs="宋体"/>
          <w:spacing w:val="-15"/>
          <w:sz w:val="22"/>
          <w:szCs w:val="22"/>
        </w:rPr>
        <w:t>转变为糖。</w:t>
      </w:r>
      <w:r>
        <w:rPr>
          <w:rFonts w:ascii="宋体" w:eastAsia="宋体" w:hAnsi="宋体" w:cs="宋体"/>
          <w:sz w:val="22"/>
          <w:szCs w:val="22"/>
        </w:rPr>
        <w:t xml:space="preserve"> </w:t>
      </w:r>
      <w:r>
        <w:rPr>
          <w:rFonts w:ascii="楷体" w:eastAsia="楷体" w:hAnsi="楷体" w:cs="楷体"/>
          <w:spacing w:val="-5"/>
          <w:sz w:val="22"/>
          <w:szCs w:val="22"/>
        </w:rPr>
        <w:t>2)脂肪酸的β氧化</w:t>
      </w:r>
    </w:p>
    <w:p w:rsidR="00EA40A3" w:rsidRDefault="00E86C16">
      <w:pPr>
        <w:spacing w:before="2" w:line="247" w:lineRule="auto"/>
        <w:ind w:right="98" w:firstLine="429"/>
        <w:jc w:val="both"/>
        <w:rPr>
          <w:rFonts w:ascii="宋体" w:eastAsia="宋体" w:hAnsi="宋体" w:cs="宋体"/>
          <w:sz w:val="22"/>
          <w:szCs w:val="22"/>
        </w:rPr>
      </w:pPr>
      <w:r>
        <w:rPr>
          <w:rFonts w:ascii="宋体" w:eastAsia="宋体" w:hAnsi="宋体" w:cs="宋体"/>
          <w:spacing w:val="-7"/>
          <w:sz w:val="22"/>
          <w:szCs w:val="22"/>
        </w:rPr>
        <w:t>在供氧充足的条件下，脂肪酸可在体内氧化分解成CO</w:t>
      </w:r>
      <w:r>
        <w:rPr>
          <w:rFonts w:ascii="Calibri" w:eastAsia="Calibri" w:hAnsi="Calibri" w:cs="Calibri"/>
          <w:spacing w:val="-7"/>
          <w:sz w:val="22"/>
          <w:szCs w:val="22"/>
        </w:rPr>
        <w:t>₂</w:t>
      </w:r>
      <w:r>
        <w:rPr>
          <w:rFonts w:ascii="Calibri" w:eastAsia="Calibri" w:hAnsi="Calibri" w:cs="Calibri"/>
          <w:spacing w:val="23"/>
          <w:sz w:val="22"/>
          <w:szCs w:val="22"/>
        </w:rPr>
        <w:t xml:space="preserve">  </w:t>
      </w:r>
      <w:r>
        <w:rPr>
          <w:rFonts w:ascii="宋体" w:eastAsia="宋体" w:hAnsi="宋体" w:cs="宋体"/>
          <w:spacing w:val="-7"/>
          <w:sz w:val="22"/>
          <w:szCs w:val="22"/>
        </w:rPr>
        <w:t>和</w:t>
      </w:r>
      <w:r>
        <w:rPr>
          <w:rFonts w:ascii="宋体" w:eastAsia="宋体" w:hAnsi="宋体" w:cs="宋体"/>
          <w:spacing w:val="-40"/>
          <w:sz w:val="22"/>
          <w:szCs w:val="22"/>
        </w:rPr>
        <w:t xml:space="preserve"> </w:t>
      </w:r>
      <w:r>
        <w:rPr>
          <w:rFonts w:ascii="宋体" w:eastAsia="宋体" w:hAnsi="宋体" w:cs="宋体"/>
          <w:spacing w:val="-7"/>
          <w:sz w:val="22"/>
          <w:szCs w:val="22"/>
        </w:rPr>
        <w:t>H</w:t>
      </w:r>
      <w:r>
        <w:rPr>
          <w:rFonts w:ascii="Calibri" w:eastAsia="Calibri" w:hAnsi="Calibri" w:cs="Calibri"/>
          <w:spacing w:val="-7"/>
          <w:sz w:val="22"/>
          <w:szCs w:val="22"/>
        </w:rPr>
        <w:t>₂</w:t>
      </w:r>
      <w:r>
        <w:rPr>
          <w:rFonts w:ascii="宋体" w:eastAsia="宋体" w:hAnsi="宋体" w:cs="宋体"/>
          <w:spacing w:val="-7"/>
          <w:sz w:val="22"/>
          <w:szCs w:val="22"/>
        </w:rPr>
        <w:t>O,</w:t>
      </w:r>
      <w:r>
        <w:rPr>
          <w:rFonts w:ascii="宋体" w:eastAsia="宋体" w:hAnsi="宋体" w:cs="宋体"/>
          <w:spacing w:val="4"/>
          <w:sz w:val="22"/>
          <w:szCs w:val="22"/>
        </w:rPr>
        <w:t xml:space="preserve">  </w:t>
      </w:r>
      <w:r>
        <w:rPr>
          <w:rFonts w:ascii="宋体" w:eastAsia="宋体" w:hAnsi="宋体" w:cs="宋体"/>
          <w:spacing w:val="-7"/>
          <w:sz w:val="22"/>
          <w:szCs w:val="22"/>
        </w:rPr>
        <w:t>并释放出</w:t>
      </w:r>
      <w:r>
        <w:rPr>
          <w:rFonts w:ascii="宋体" w:eastAsia="宋体" w:hAnsi="宋体" w:cs="宋体"/>
          <w:spacing w:val="1"/>
          <w:sz w:val="22"/>
          <w:szCs w:val="22"/>
        </w:rPr>
        <w:t xml:space="preserve"> </w:t>
      </w:r>
      <w:r>
        <w:rPr>
          <w:rFonts w:ascii="宋体" w:eastAsia="宋体" w:hAnsi="宋体" w:cs="宋体"/>
          <w:spacing w:val="-2"/>
          <w:sz w:val="22"/>
          <w:szCs w:val="22"/>
        </w:rPr>
        <w:t>大量能量，以ATP</w:t>
      </w:r>
      <w:r>
        <w:rPr>
          <w:rFonts w:ascii="宋体" w:eastAsia="宋体" w:hAnsi="宋体" w:cs="宋体"/>
          <w:spacing w:val="75"/>
          <w:sz w:val="22"/>
          <w:szCs w:val="22"/>
        </w:rPr>
        <w:t xml:space="preserve"> </w:t>
      </w:r>
      <w:r>
        <w:rPr>
          <w:rFonts w:ascii="宋体" w:eastAsia="宋体" w:hAnsi="宋体" w:cs="宋体"/>
          <w:spacing w:val="-2"/>
          <w:sz w:val="22"/>
          <w:szCs w:val="22"/>
        </w:rPr>
        <w:t>形式供机体利用。除脑组织外，大多数组织均能氧化脂肪</w:t>
      </w:r>
      <w:r>
        <w:rPr>
          <w:rFonts w:ascii="宋体" w:eastAsia="宋体" w:hAnsi="宋体" w:cs="宋体"/>
          <w:sz w:val="22"/>
          <w:szCs w:val="22"/>
        </w:rPr>
        <w:t xml:space="preserve"> </w:t>
      </w:r>
      <w:r>
        <w:rPr>
          <w:rFonts w:ascii="宋体" w:eastAsia="宋体" w:hAnsi="宋体" w:cs="宋体"/>
          <w:spacing w:val="-16"/>
          <w:sz w:val="22"/>
          <w:szCs w:val="22"/>
        </w:rPr>
        <w:t>酸，但以肝脏和肌肉最为活跃。</w:t>
      </w:r>
    </w:p>
    <w:p w:rsidR="00EA40A3" w:rsidRDefault="00E86C16">
      <w:pPr>
        <w:spacing w:before="54" w:line="248" w:lineRule="auto"/>
        <w:ind w:right="103" w:firstLine="429"/>
        <w:jc w:val="both"/>
        <w:rPr>
          <w:rFonts w:ascii="宋体" w:eastAsia="宋体" w:hAnsi="宋体" w:cs="宋体"/>
          <w:sz w:val="22"/>
          <w:szCs w:val="22"/>
        </w:rPr>
      </w:pPr>
      <w:r>
        <w:rPr>
          <w:rFonts w:ascii="宋体" w:eastAsia="宋体" w:hAnsi="宋体" w:cs="宋体"/>
          <w:spacing w:val="-9"/>
          <w:sz w:val="22"/>
          <w:szCs w:val="22"/>
        </w:rPr>
        <w:t>脂肪酸的β氧化过程可概括为活化、转移、β</w:t>
      </w:r>
      <w:r>
        <w:rPr>
          <w:rFonts w:ascii="宋体" w:eastAsia="宋体" w:hAnsi="宋体" w:cs="宋体"/>
          <w:spacing w:val="-10"/>
          <w:sz w:val="22"/>
          <w:szCs w:val="22"/>
        </w:rPr>
        <w:t>氧化及能量生成4个阶段。脂</w:t>
      </w:r>
      <w:r>
        <w:rPr>
          <w:rFonts w:ascii="宋体" w:eastAsia="宋体" w:hAnsi="宋体" w:cs="宋体"/>
          <w:sz w:val="22"/>
          <w:szCs w:val="22"/>
        </w:rPr>
        <w:t xml:space="preserve"> </w:t>
      </w:r>
      <w:r>
        <w:rPr>
          <w:rFonts w:ascii="宋体" w:eastAsia="宋体" w:hAnsi="宋体" w:cs="宋体"/>
          <w:spacing w:val="-2"/>
          <w:sz w:val="22"/>
          <w:szCs w:val="22"/>
        </w:rPr>
        <w:t>肪酸的活化是指脂肪酸在ATP、CoASH、Mg²+</w:t>
      </w:r>
      <w:r>
        <w:rPr>
          <w:rFonts w:ascii="宋体" w:eastAsia="宋体" w:hAnsi="宋体" w:cs="宋体"/>
          <w:spacing w:val="35"/>
          <w:sz w:val="22"/>
          <w:szCs w:val="22"/>
        </w:rPr>
        <w:t xml:space="preserve">  </w:t>
      </w:r>
      <w:r>
        <w:rPr>
          <w:rFonts w:ascii="宋体" w:eastAsia="宋体" w:hAnsi="宋体" w:cs="宋体"/>
          <w:spacing w:val="-3"/>
          <w:sz w:val="22"/>
          <w:szCs w:val="22"/>
        </w:rPr>
        <w:t>存在时，由脂酰</w:t>
      </w:r>
      <w:r>
        <w:rPr>
          <w:rFonts w:ascii="宋体" w:eastAsia="宋体" w:hAnsi="宋体" w:cs="宋体"/>
          <w:spacing w:val="-2"/>
          <w:sz w:val="22"/>
          <w:szCs w:val="22"/>
        </w:rPr>
        <w:t>CoA</w:t>
      </w:r>
      <w:r>
        <w:rPr>
          <w:rFonts w:ascii="宋体" w:eastAsia="宋体" w:hAnsi="宋体" w:cs="宋体"/>
          <w:spacing w:val="18"/>
          <w:sz w:val="22"/>
          <w:szCs w:val="22"/>
        </w:rPr>
        <w:t xml:space="preserve"> </w:t>
      </w:r>
      <w:r>
        <w:rPr>
          <w:rFonts w:ascii="宋体" w:eastAsia="宋体" w:hAnsi="宋体" w:cs="宋体"/>
          <w:spacing w:val="-3"/>
          <w:sz w:val="22"/>
          <w:szCs w:val="22"/>
        </w:rPr>
        <w:t>合成酶催</w:t>
      </w:r>
      <w:r>
        <w:rPr>
          <w:rFonts w:ascii="宋体" w:eastAsia="宋体" w:hAnsi="宋体" w:cs="宋体"/>
          <w:sz w:val="22"/>
          <w:szCs w:val="22"/>
        </w:rPr>
        <w:t xml:space="preserve"> </w:t>
      </w:r>
      <w:r>
        <w:rPr>
          <w:rFonts w:ascii="宋体" w:eastAsia="宋体" w:hAnsi="宋体" w:cs="宋体"/>
          <w:spacing w:val="-6"/>
          <w:sz w:val="22"/>
          <w:szCs w:val="22"/>
        </w:rPr>
        <w:t>化生成脂酰CoA。</w:t>
      </w:r>
      <w:r>
        <w:rPr>
          <w:rFonts w:ascii="宋体" w:eastAsia="宋体" w:hAnsi="宋体" w:cs="宋体"/>
          <w:spacing w:val="42"/>
          <w:sz w:val="22"/>
          <w:szCs w:val="22"/>
        </w:rPr>
        <w:t xml:space="preserve"> </w:t>
      </w:r>
      <w:r>
        <w:rPr>
          <w:rFonts w:ascii="宋体" w:eastAsia="宋体" w:hAnsi="宋体" w:cs="宋体"/>
          <w:spacing w:val="-6"/>
          <w:sz w:val="22"/>
          <w:szCs w:val="22"/>
        </w:rPr>
        <w:t>脂酰CoA</w:t>
      </w:r>
      <w:r>
        <w:rPr>
          <w:rFonts w:ascii="宋体" w:eastAsia="宋体" w:hAnsi="宋体" w:cs="宋体"/>
          <w:spacing w:val="17"/>
          <w:sz w:val="22"/>
          <w:szCs w:val="22"/>
        </w:rPr>
        <w:t xml:space="preserve"> </w:t>
      </w:r>
      <w:r>
        <w:rPr>
          <w:rFonts w:ascii="宋体" w:eastAsia="宋体" w:hAnsi="宋体" w:cs="宋体"/>
          <w:spacing w:val="-6"/>
          <w:sz w:val="22"/>
          <w:szCs w:val="22"/>
        </w:rPr>
        <w:t>经过转移进入线粒体后，在脂肪酸p</w:t>
      </w:r>
      <w:r>
        <w:rPr>
          <w:rFonts w:ascii="宋体" w:eastAsia="宋体" w:hAnsi="宋体" w:cs="宋体"/>
          <w:spacing w:val="-54"/>
          <w:sz w:val="22"/>
          <w:szCs w:val="22"/>
        </w:rPr>
        <w:t xml:space="preserve"> </w:t>
      </w:r>
      <w:r>
        <w:rPr>
          <w:rFonts w:ascii="宋体" w:eastAsia="宋体" w:hAnsi="宋体" w:cs="宋体"/>
          <w:spacing w:val="-6"/>
          <w:sz w:val="22"/>
          <w:szCs w:val="22"/>
        </w:rPr>
        <w:t>氧化酶系统的</w:t>
      </w:r>
      <w:r>
        <w:rPr>
          <w:rFonts w:ascii="宋体" w:eastAsia="宋体" w:hAnsi="宋体" w:cs="宋体"/>
          <w:sz w:val="22"/>
          <w:szCs w:val="22"/>
        </w:rPr>
        <w:t xml:space="preserve"> </w:t>
      </w:r>
      <w:r>
        <w:rPr>
          <w:rFonts w:ascii="宋体" w:eastAsia="宋体" w:hAnsi="宋体" w:cs="宋体"/>
          <w:spacing w:val="-10"/>
          <w:sz w:val="22"/>
          <w:szCs w:val="22"/>
        </w:rPr>
        <w:t>催化下，进行脱氢、加水、再脱氢及硫解4步连续反应，最后使脂酰基断裂生成</w:t>
      </w:r>
      <w:r>
        <w:rPr>
          <w:rFonts w:ascii="宋体" w:eastAsia="宋体" w:hAnsi="宋体" w:cs="宋体"/>
          <w:spacing w:val="8"/>
          <w:sz w:val="22"/>
          <w:szCs w:val="22"/>
        </w:rPr>
        <w:t xml:space="preserve"> </w:t>
      </w:r>
      <w:r>
        <w:rPr>
          <w:rFonts w:ascii="宋体" w:eastAsia="宋体" w:hAnsi="宋体" w:cs="宋体"/>
          <w:spacing w:val="-4"/>
          <w:sz w:val="22"/>
          <w:szCs w:val="22"/>
        </w:rPr>
        <w:t>一分子乙酰CoA</w:t>
      </w:r>
      <w:r>
        <w:rPr>
          <w:rFonts w:ascii="宋体" w:eastAsia="宋体" w:hAnsi="宋体" w:cs="宋体"/>
          <w:spacing w:val="46"/>
          <w:sz w:val="22"/>
          <w:szCs w:val="22"/>
        </w:rPr>
        <w:t xml:space="preserve"> </w:t>
      </w:r>
      <w:r>
        <w:rPr>
          <w:rFonts w:ascii="宋体" w:eastAsia="宋体" w:hAnsi="宋体" w:cs="宋体"/>
          <w:spacing w:val="-4"/>
          <w:sz w:val="22"/>
          <w:szCs w:val="22"/>
        </w:rPr>
        <w:t>和一分子比原来少了两个碳原子的脂酰CoA。</w:t>
      </w:r>
      <w:r>
        <w:rPr>
          <w:rFonts w:ascii="宋体" w:eastAsia="宋体" w:hAnsi="宋体" w:cs="宋体"/>
          <w:spacing w:val="49"/>
          <w:sz w:val="22"/>
          <w:szCs w:val="22"/>
        </w:rPr>
        <w:t xml:space="preserve"> </w:t>
      </w:r>
      <w:r>
        <w:rPr>
          <w:rFonts w:ascii="宋体" w:eastAsia="宋体" w:hAnsi="宋体" w:cs="宋体"/>
          <w:spacing w:val="-4"/>
          <w:sz w:val="22"/>
          <w:szCs w:val="22"/>
        </w:rPr>
        <w:t>所</w:t>
      </w:r>
      <w:r>
        <w:rPr>
          <w:rFonts w:ascii="宋体" w:eastAsia="宋体" w:hAnsi="宋体" w:cs="宋体"/>
          <w:spacing w:val="-5"/>
          <w:sz w:val="22"/>
          <w:szCs w:val="22"/>
        </w:rPr>
        <w:t>产生的乙酰</w:t>
      </w:r>
      <w:r>
        <w:rPr>
          <w:rFonts w:ascii="宋体" w:eastAsia="宋体" w:hAnsi="宋体" w:cs="宋体"/>
          <w:sz w:val="22"/>
          <w:szCs w:val="22"/>
        </w:rPr>
        <w:t xml:space="preserve"> </w:t>
      </w:r>
      <w:r>
        <w:rPr>
          <w:rFonts w:ascii="宋体" w:eastAsia="宋体" w:hAnsi="宋体" w:cs="宋体"/>
          <w:spacing w:val="-7"/>
          <w:sz w:val="22"/>
          <w:szCs w:val="22"/>
        </w:rPr>
        <w:t>CoA</w:t>
      </w:r>
      <w:r>
        <w:rPr>
          <w:rFonts w:ascii="宋体" w:eastAsia="宋体" w:hAnsi="宋体" w:cs="宋体"/>
          <w:spacing w:val="14"/>
          <w:sz w:val="22"/>
          <w:szCs w:val="22"/>
        </w:rPr>
        <w:t xml:space="preserve"> </w:t>
      </w:r>
      <w:r>
        <w:rPr>
          <w:rFonts w:ascii="宋体" w:eastAsia="宋体" w:hAnsi="宋体" w:cs="宋体"/>
          <w:spacing w:val="-7"/>
          <w:sz w:val="22"/>
          <w:szCs w:val="22"/>
        </w:rPr>
        <w:t>可进入三羧酸循环氧化供能，也可在肝脏合成酮体，为肝外组织如心、脑</w:t>
      </w:r>
      <w:r>
        <w:rPr>
          <w:rFonts w:ascii="宋体" w:eastAsia="宋体" w:hAnsi="宋体" w:cs="宋体"/>
          <w:sz w:val="22"/>
          <w:szCs w:val="22"/>
        </w:rPr>
        <w:t xml:space="preserve"> </w:t>
      </w:r>
      <w:r>
        <w:rPr>
          <w:rFonts w:ascii="宋体" w:eastAsia="宋体" w:hAnsi="宋体" w:cs="宋体"/>
          <w:spacing w:val="-7"/>
          <w:sz w:val="22"/>
          <w:szCs w:val="22"/>
        </w:rPr>
        <w:t>提供能量，或者用于合成糖、氨基酸等；脂酰CoA</w:t>
      </w:r>
      <w:r>
        <w:rPr>
          <w:rFonts w:ascii="宋体" w:eastAsia="宋体" w:hAnsi="宋体" w:cs="宋体"/>
          <w:spacing w:val="26"/>
          <w:sz w:val="22"/>
          <w:szCs w:val="22"/>
        </w:rPr>
        <w:t xml:space="preserve"> </w:t>
      </w:r>
      <w:r>
        <w:rPr>
          <w:rFonts w:ascii="宋体" w:eastAsia="宋体" w:hAnsi="宋体" w:cs="宋体"/>
          <w:spacing w:val="-7"/>
          <w:sz w:val="22"/>
          <w:szCs w:val="22"/>
        </w:rPr>
        <w:t>则</w:t>
      </w:r>
      <w:r>
        <w:rPr>
          <w:rFonts w:ascii="宋体" w:eastAsia="宋体" w:hAnsi="宋体" w:cs="宋体"/>
          <w:spacing w:val="-8"/>
          <w:sz w:val="22"/>
          <w:szCs w:val="22"/>
        </w:rPr>
        <w:t>继续发生β氧化，最终使</w:t>
      </w:r>
      <w:r>
        <w:rPr>
          <w:rFonts w:ascii="宋体" w:eastAsia="宋体" w:hAnsi="宋体" w:cs="宋体"/>
          <w:sz w:val="22"/>
          <w:szCs w:val="22"/>
        </w:rPr>
        <w:t xml:space="preserve"> </w:t>
      </w:r>
      <w:r>
        <w:rPr>
          <w:rFonts w:ascii="宋体" w:eastAsia="宋体" w:hAnsi="宋体" w:cs="宋体"/>
          <w:spacing w:val="-10"/>
          <w:sz w:val="22"/>
          <w:szCs w:val="22"/>
        </w:rPr>
        <w:t>偶数碳原子的脂肪酸全部生成乙酰CoA。</w:t>
      </w:r>
    </w:p>
    <w:p w:rsidR="00EA40A3" w:rsidRDefault="00E86C16">
      <w:pPr>
        <w:spacing w:before="67" w:line="225" w:lineRule="auto"/>
        <w:rPr>
          <w:rFonts w:ascii="楷体" w:eastAsia="楷体" w:hAnsi="楷体" w:cs="楷体"/>
          <w:sz w:val="22"/>
          <w:szCs w:val="22"/>
        </w:rPr>
      </w:pPr>
      <w:r>
        <w:rPr>
          <w:rFonts w:ascii="楷体" w:eastAsia="楷体" w:hAnsi="楷体" w:cs="楷体"/>
          <w:spacing w:val="-5"/>
          <w:sz w:val="22"/>
          <w:szCs w:val="22"/>
        </w:rPr>
        <w:t>3)脂肪酸的其他氧化方式</w:t>
      </w:r>
    </w:p>
    <w:p w:rsidR="00EA40A3" w:rsidRDefault="00E86C16">
      <w:pPr>
        <w:spacing w:before="44" w:line="235" w:lineRule="auto"/>
        <w:ind w:right="97" w:firstLine="429"/>
        <w:rPr>
          <w:rFonts w:ascii="宋体" w:eastAsia="宋体" w:hAnsi="宋体" w:cs="宋体"/>
          <w:sz w:val="22"/>
          <w:szCs w:val="22"/>
        </w:rPr>
      </w:pPr>
      <w:r>
        <w:rPr>
          <w:rFonts w:ascii="宋体" w:eastAsia="宋体" w:hAnsi="宋体" w:cs="宋体"/>
          <w:spacing w:val="1"/>
          <w:sz w:val="22"/>
          <w:szCs w:val="22"/>
        </w:rPr>
        <w:t>脂肪酸的氧化分解，主要是通过β氧化作用，但有时也发生</w:t>
      </w:r>
      <w:r>
        <w:rPr>
          <w:rFonts w:ascii="宋体" w:eastAsia="宋体" w:hAnsi="宋体" w:cs="宋体"/>
          <w:sz w:val="22"/>
          <w:szCs w:val="22"/>
        </w:rPr>
        <w:t xml:space="preserve">其他方式的 </w:t>
      </w:r>
      <w:r>
        <w:rPr>
          <w:rFonts w:ascii="宋体" w:eastAsia="宋体" w:hAnsi="宋体" w:cs="宋体"/>
          <w:spacing w:val="-18"/>
          <w:sz w:val="22"/>
          <w:szCs w:val="22"/>
        </w:rPr>
        <w:t>氧化。</w:t>
      </w:r>
    </w:p>
    <w:p w:rsidR="00EA40A3" w:rsidRDefault="00E86C16">
      <w:pPr>
        <w:spacing w:before="48" w:line="241" w:lineRule="auto"/>
        <w:ind w:firstLine="429"/>
        <w:rPr>
          <w:rFonts w:ascii="宋体" w:eastAsia="宋体" w:hAnsi="宋体" w:cs="宋体"/>
          <w:sz w:val="22"/>
          <w:szCs w:val="22"/>
        </w:rPr>
      </w:pPr>
      <w:r>
        <w:rPr>
          <w:rFonts w:ascii="宋体" w:eastAsia="宋体" w:hAnsi="宋体" w:cs="宋体"/>
          <w:spacing w:val="-1"/>
          <w:sz w:val="22"/>
          <w:szCs w:val="22"/>
        </w:rPr>
        <w:t>(1)脂肪酸的w</w:t>
      </w:r>
      <w:r>
        <w:rPr>
          <w:rFonts w:ascii="宋体" w:eastAsia="宋体" w:hAnsi="宋体" w:cs="宋体"/>
          <w:spacing w:val="-30"/>
          <w:sz w:val="22"/>
          <w:szCs w:val="22"/>
        </w:rPr>
        <w:t xml:space="preserve"> </w:t>
      </w:r>
      <w:r>
        <w:rPr>
          <w:rFonts w:ascii="宋体" w:eastAsia="宋体" w:hAnsi="宋体" w:cs="宋体"/>
          <w:spacing w:val="-1"/>
          <w:sz w:val="22"/>
          <w:szCs w:val="22"/>
        </w:rPr>
        <w:t>氧化：在长链脂肪酸的末端可发生w</w:t>
      </w:r>
      <w:r>
        <w:rPr>
          <w:rFonts w:ascii="宋体" w:eastAsia="宋体" w:hAnsi="宋体" w:cs="宋体"/>
          <w:spacing w:val="-39"/>
          <w:sz w:val="22"/>
          <w:szCs w:val="22"/>
        </w:rPr>
        <w:t xml:space="preserve"> </w:t>
      </w:r>
      <w:r>
        <w:rPr>
          <w:rFonts w:ascii="宋体" w:eastAsia="宋体" w:hAnsi="宋体" w:cs="宋体"/>
          <w:spacing w:val="-2"/>
          <w:sz w:val="22"/>
          <w:szCs w:val="22"/>
        </w:rPr>
        <w:t>位碳原子的氧化生成</w:t>
      </w:r>
      <w:r>
        <w:rPr>
          <w:rFonts w:ascii="宋体" w:eastAsia="宋体" w:hAnsi="宋体" w:cs="宋体"/>
          <w:sz w:val="22"/>
          <w:szCs w:val="22"/>
        </w:rPr>
        <w:t xml:space="preserve">  </w:t>
      </w:r>
      <w:r>
        <w:rPr>
          <w:rFonts w:ascii="宋体" w:eastAsia="宋体" w:hAnsi="宋体" w:cs="宋体"/>
          <w:spacing w:val="-11"/>
          <w:sz w:val="22"/>
          <w:szCs w:val="22"/>
        </w:rPr>
        <w:t>w-羟脂肪酸，随后再氧化生成α,w-二羧</w:t>
      </w:r>
      <w:r>
        <w:rPr>
          <w:rFonts w:ascii="宋体" w:eastAsia="宋体" w:hAnsi="宋体" w:cs="宋体"/>
          <w:spacing w:val="-12"/>
          <w:sz w:val="22"/>
          <w:szCs w:val="22"/>
        </w:rPr>
        <w:t>酸，二羧酸转移到线粒体内后继续进行β</w:t>
      </w:r>
      <w:r>
        <w:rPr>
          <w:rFonts w:ascii="宋体" w:eastAsia="宋体" w:hAnsi="宋体" w:cs="宋体"/>
          <w:sz w:val="22"/>
          <w:szCs w:val="22"/>
        </w:rPr>
        <w:t xml:space="preserve"> </w:t>
      </w:r>
      <w:r>
        <w:rPr>
          <w:rFonts w:ascii="宋体" w:eastAsia="宋体" w:hAnsi="宋体" w:cs="宋体"/>
          <w:spacing w:val="-11"/>
          <w:sz w:val="22"/>
          <w:szCs w:val="22"/>
        </w:rPr>
        <w:t>氧化，最后余下琥珀酰CoA</w:t>
      </w:r>
      <w:r>
        <w:rPr>
          <w:rFonts w:ascii="宋体" w:eastAsia="宋体" w:hAnsi="宋体" w:cs="宋体"/>
          <w:spacing w:val="17"/>
          <w:sz w:val="22"/>
          <w:szCs w:val="22"/>
        </w:rPr>
        <w:t xml:space="preserve"> </w:t>
      </w:r>
      <w:r>
        <w:rPr>
          <w:rFonts w:ascii="宋体" w:eastAsia="宋体" w:hAnsi="宋体" w:cs="宋体"/>
          <w:spacing w:val="-11"/>
          <w:sz w:val="22"/>
          <w:szCs w:val="22"/>
        </w:rPr>
        <w:t>进入三羧酸循环。</w:t>
      </w:r>
    </w:p>
    <w:p w:rsidR="00EA40A3" w:rsidRDefault="00E86C16">
      <w:pPr>
        <w:spacing w:before="42" w:line="243" w:lineRule="auto"/>
        <w:ind w:right="104" w:firstLine="429"/>
        <w:rPr>
          <w:rFonts w:ascii="宋体" w:eastAsia="宋体" w:hAnsi="宋体" w:cs="宋体"/>
          <w:sz w:val="22"/>
          <w:szCs w:val="22"/>
        </w:rPr>
      </w:pPr>
      <w:r>
        <w:rPr>
          <w:rFonts w:ascii="宋体" w:eastAsia="宋体" w:hAnsi="宋体" w:cs="宋体"/>
          <w:spacing w:val="-13"/>
          <w:sz w:val="22"/>
          <w:szCs w:val="22"/>
        </w:rPr>
        <w:t>(2)脂肪酸的α氧化：长链脂肪酸可以在α位发生氧化生成α-羟脂肪酸，再</w:t>
      </w:r>
      <w:r>
        <w:rPr>
          <w:rFonts w:ascii="宋体" w:eastAsia="宋体" w:hAnsi="宋体" w:cs="宋体"/>
          <w:spacing w:val="13"/>
          <w:sz w:val="22"/>
          <w:szCs w:val="22"/>
        </w:rPr>
        <w:t xml:space="preserve"> </w:t>
      </w:r>
      <w:r>
        <w:rPr>
          <w:rFonts w:ascii="宋体" w:eastAsia="宋体" w:hAnsi="宋体" w:cs="宋体"/>
          <w:spacing w:val="-11"/>
          <w:sz w:val="22"/>
          <w:szCs w:val="22"/>
        </w:rPr>
        <w:t>氧化脱羧成比原来少一个碳原子的脂肪酸并产生一分子CO</w:t>
      </w:r>
      <w:r>
        <w:rPr>
          <w:rFonts w:ascii="Calibri" w:eastAsia="Calibri" w:hAnsi="Calibri" w:cs="Calibri"/>
          <w:spacing w:val="-11"/>
          <w:sz w:val="22"/>
          <w:szCs w:val="22"/>
        </w:rPr>
        <w:t>₂</w:t>
      </w:r>
      <w:r>
        <w:rPr>
          <w:rFonts w:ascii="宋体" w:eastAsia="宋体" w:hAnsi="宋体" w:cs="宋体"/>
          <w:spacing w:val="-11"/>
          <w:sz w:val="22"/>
          <w:szCs w:val="22"/>
        </w:rPr>
        <w:t>,</w:t>
      </w:r>
      <w:r>
        <w:rPr>
          <w:rFonts w:ascii="宋体" w:eastAsia="宋体" w:hAnsi="宋体" w:cs="宋体"/>
          <w:spacing w:val="90"/>
          <w:sz w:val="22"/>
          <w:szCs w:val="22"/>
        </w:rPr>
        <w:t xml:space="preserve"> </w:t>
      </w:r>
      <w:r>
        <w:rPr>
          <w:rFonts w:ascii="宋体" w:eastAsia="宋体" w:hAnsi="宋体" w:cs="宋体"/>
          <w:spacing w:val="-11"/>
          <w:sz w:val="22"/>
          <w:szCs w:val="22"/>
        </w:rPr>
        <w:t>此即脂肪酸的α氧</w:t>
      </w:r>
      <w:r>
        <w:rPr>
          <w:rFonts w:ascii="宋体" w:eastAsia="宋体" w:hAnsi="宋体" w:cs="宋体"/>
          <w:sz w:val="22"/>
          <w:szCs w:val="22"/>
        </w:rPr>
        <w:t xml:space="preserve"> </w:t>
      </w:r>
      <w:r>
        <w:rPr>
          <w:rFonts w:ascii="宋体" w:eastAsia="宋体" w:hAnsi="宋体" w:cs="宋体"/>
          <w:spacing w:val="-12"/>
          <w:sz w:val="22"/>
          <w:szCs w:val="22"/>
        </w:rPr>
        <w:t>化。α氧化可将奇数碳原子的脂肪酸氧化成偶数碳原子</w:t>
      </w:r>
      <w:r>
        <w:rPr>
          <w:rFonts w:ascii="宋体" w:eastAsia="宋体" w:hAnsi="宋体" w:cs="宋体"/>
          <w:spacing w:val="-13"/>
          <w:sz w:val="22"/>
          <w:szCs w:val="22"/>
        </w:rPr>
        <w:t>，再进行β氧化，也可继</w:t>
      </w:r>
      <w:r>
        <w:rPr>
          <w:rFonts w:ascii="宋体" w:eastAsia="宋体" w:hAnsi="宋体" w:cs="宋体"/>
          <w:sz w:val="22"/>
          <w:szCs w:val="22"/>
        </w:rPr>
        <w:t xml:space="preserve"> </w:t>
      </w:r>
      <w:r>
        <w:rPr>
          <w:rFonts w:ascii="宋体" w:eastAsia="宋体" w:hAnsi="宋体" w:cs="宋体"/>
          <w:spacing w:val="-16"/>
          <w:sz w:val="22"/>
          <w:szCs w:val="22"/>
        </w:rPr>
        <w:t>续进行α氧化。</w:t>
      </w:r>
    </w:p>
    <w:p w:rsidR="00EA40A3" w:rsidRDefault="00E86C16">
      <w:pPr>
        <w:spacing w:before="38" w:line="244" w:lineRule="auto"/>
        <w:ind w:right="117" w:firstLine="429"/>
        <w:rPr>
          <w:rFonts w:ascii="宋体" w:eastAsia="宋体" w:hAnsi="宋体" w:cs="宋体"/>
          <w:sz w:val="22"/>
          <w:szCs w:val="22"/>
        </w:rPr>
      </w:pPr>
      <w:r>
        <w:rPr>
          <w:rFonts w:ascii="宋体" w:eastAsia="宋体" w:hAnsi="宋体" w:cs="宋体"/>
          <w:spacing w:val="-10"/>
          <w:sz w:val="22"/>
          <w:szCs w:val="22"/>
        </w:rPr>
        <w:t>(3)丙酸氧化：人体含有极少数的奇数碳原子脂肪酸，在体内经活化、转移</w:t>
      </w:r>
      <w:r>
        <w:rPr>
          <w:rFonts w:ascii="宋体" w:eastAsia="宋体" w:hAnsi="宋体" w:cs="宋体"/>
          <w:spacing w:val="10"/>
          <w:sz w:val="22"/>
          <w:szCs w:val="22"/>
        </w:rPr>
        <w:t xml:space="preserve"> </w:t>
      </w:r>
      <w:r>
        <w:rPr>
          <w:rFonts w:ascii="宋体" w:eastAsia="宋体" w:hAnsi="宋体" w:cs="宋体"/>
          <w:spacing w:val="-4"/>
          <w:sz w:val="22"/>
          <w:szCs w:val="22"/>
        </w:rPr>
        <w:t>后，经多次β氧化后可产生多个乙酰CoA,</w:t>
      </w:r>
      <w:r>
        <w:rPr>
          <w:rFonts w:ascii="宋体" w:eastAsia="宋体" w:hAnsi="宋体" w:cs="宋体"/>
          <w:spacing w:val="66"/>
          <w:sz w:val="22"/>
          <w:szCs w:val="22"/>
        </w:rPr>
        <w:t xml:space="preserve"> </w:t>
      </w:r>
      <w:r>
        <w:rPr>
          <w:rFonts w:ascii="宋体" w:eastAsia="宋体" w:hAnsi="宋体" w:cs="宋体"/>
          <w:spacing w:val="-4"/>
          <w:sz w:val="22"/>
          <w:szCs w:val="22"/>
        </w:rPr>
        <w:t>但最终要生成一分子丙</w:t>
      </w:r>
      <w:r>
        <w:rPr>
          <w:rFonts w:ascii="宋体" w:eastAsia="宋体" w:hAnsi="宋体" w:cs="宋体"/>
          <w:spacing w:val="-5"/>
          <w:sz w:val="22"/>
          <w:szCs w:val="22"/>
        </w:rPr>
        <w:t>酰</w:t>
      </w:r>
      <w:r>
        <w:rPr>
          <w:rFonts w:ascii="宋体" w:eastAsia="宋体" w:hAnsi="宋体" w:cs="宋体"/>
          <w:spacing w:val="-4"/>
          <w:sz w:val="22"/>
          <w:szCs w:val="22"/>
        </w:rPr>
        <w:t>CoA</w:t>
      </w:r>
      <w:r>
        <w:rPr>
          <w:rFonts w:ascii="宋体" w:eastAsia="宋体" w:hAnsi="宋体" w:cs="宋体"/>
          <w:spacing w:val="-5"/>
          <w:sz w:val="22"/>
          <w:szCs w:val="22"/>
        </w:rPr>
        <w:t>,</w:t>
      </w:r>
      <w:r>
        <w:rPr>
          <w:rFonts w:ascii="宋体" w:eastAsia="宋体" w:hAnsi="宋体" w:cs="宋体"/>
          <w:spacing w:val="77"/>
          <w:sz w:val="22"/>
          <w:szCs w:val="22"/>
        </w:rPr>
        <w:t xml:space="preserve"> </w:t>
      </w:r>
      <w:r>
        <w:rPr>
          <w:rFonts w:ascii="宋体" w:eastAsia="宋体" w:hAnsi="宋体" w:cs="宋体"/>
          <w:spacing w:val="-5"/>
          <w:sz w:val="22"/>
          <w:szCs w:val="22"/>
        </w:rPr>
        <w:t>丙</w:t>
      </w:r>
      <w:r>
        <w:rPr>
          <w:rFonts w:ascii="宋体" w:eastAsia="宋体" w:hAnsi="宋体" w:cs="宋体"/>
          <w:sz w:val="22"/>
          <w:szCs w:val="22"/>
        </w:rPr>
        <w:t xml:space="preserve"> </w:t>
      </w:r>
      <w:r>
        <w:rPr>
          <w:rFonts w:ascii="宋体" w:eastAsia="宋体" w:hAnsi="宋体" w:cs="宋体"/>
          <w:spacing w:val="-6"/>
          <w:sz w:val="22"/>
          <w:szCs w:val="22"/>
        </w:rPr>
        <w:t>酰CoA</w:t>
      </w:r>
      <w:r>
        <w:rPr>
          <w:rFonts w:ascii="宋体" w:eastAsia="宋体" w:hAnsi="宋体" w:cs="宋体"/>
          <w:spacing w:val="26"/>
          <w:sz w:val="22"/>
          <w:szCs w:val="22"/>
        </w:rPr>
        <w:t xml:space="preserve"> </w:t>
      </w:r>
      <w:r>
        <w:rPr>
          <w:rFonts w:ascii="宋体" w:eastAsia="宋体" w:hAnsi="宋体" w:cs="宋体"/>
          <w:spacing w:val="-6"/>
          <w:sz w:val="22"/>
          <w:szCs w:val="22"/>
        </w:rPr>
        <w:t>经羧化，然后在消旋酶和变位酶的作用下，转变为琥珀酸CoA,</w:t>
      </w:r>
      <w:r>
        <w:rPr>
          <w:rFonts w:ascii="宋体" w:eastAsia="宋体" w:hAnsi="宋体" w:cs="宋体"/>
          <w:spacing w:val="67"/>
          <w:sz w:val="22"/>
          <w:szCs w:val="22"/>
        </w:rPr>
        <w:t xml:space="preserve"> </w:t>
      </w:r>
      <w:r>
        <w:rPr>
          <w:rFonts w:ascii="宋体" w:eastAsia="宋体" w:hAnsi="宋体" w:cs="宋体"/>
          <w:spacing w:val="-6"/>
          <w:sz w:val="22"/>
          <w:szCs w:val="22"/>
        </w:rPr>
        <w:t>进入三</w:t>
      </w:r>
      <w:r>
        <w:rPr>
          <w:rFonts w:ascii="宋体" w:eastAsia="宋体" w:hAnsi="宋体" w:cs="宋体"/>
          <w:sz w:val="22"/>
          <w:szCs w:val="22"/>
        </w:rPr>
        <w:t xml:space="preserve"> </w:t>
      </w:r>
      <w:r>
        <w:rPr>
          <w:rFonts w:ascii="宋体" w:eastAsia="宋体" w:hAnsi="宋体" w:cs="宋体"/>
          <w:spacing w:val="-13"/>
          <w:sz w:val="22"/>
          <w:szCs w:val="22"/>
        </w:rPr>
        <w:t>羧酸循环。</w:t>
      </w:r>
    </w:p>
    <w:p w:rsidR="00EA40A3" w:rsidRDefault="00E86C16">
      <w:pPr>
        <w:spacing w:before="258" w:line="222"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2"/>
          <w:sz w:val="22"/>
          <w:szCs w:val="22"/>
        </w:rPr>
        <w:t xml:space="preserve"> </w:t>
      </w:r>
      <w:r>
        <w:rPr>
          <w:rFonts w:ascii="仿宋" w:eastAsia="仿宋" w:hAnsi="仿宋" w:cs="仿宋"/>
          <w:spacing w:val="10"/>
          <w:sz w:val="22"/>
          <w:szCs w:val="22"/>
        </w:rPr>
        <w:t>酮体的生成与酮症</w:t>
      </w:r>
    </w:p>
    <w:p w:rsidR="00EA40A3" w:rsidRDefault="00E86C16">
      <w:pPr>
        <w:spacing w:before="193" w:line="248" w:lineRule="auto"/>
        <w:ind w:right="105" w:firstLine="429"/>
        <w:jc w:val="both"/>
        <w:rPr>
          <w:rFonts w:ascii="宋体" w:eastAsia="宋体" w:hAnsi="宋体" w:cs="宋体"/>
          <w:sz w:val="22"/>
          <w:szCs w:val="22"/>
        </w:rPr>
      </w:pPr>
      <w:r>
        <w:rPr>
          <w:rFonts w:ascii="宋体" w:eastAsia="宋体" w:hAnsi="宋体" w:cs="宋体"/>
          <w:spacing w:val="-13"/>
          <w:sz w:val="22"/>
          <w:szCs w:val="22"/>
        </w:rPr>
        <w:t>酮体包括乙酰乙酸、β羟丁酸及丙酮，是脂肪酸在肝脏分解氧化时，由乙酰</w:t>
      </w:r>
      <w:r>
        <w:rPr>
          <w:rFonts w:ascii="宋体" w:eastAsia="宋体" w:hAnsi="宋体" w:cs="宋体"/>
          <w:spacing w:val="6"/>
          <w:sz w:val="22"/>
          <w:szCs w:val="22"/>
        </w:rPr>
        <w:t xml:space="preserve"> </w:t>
      </w:r>
      <w:r>
        <w:rPr>
          <w:rFonts w:ascii="宋体" w:eastAsia="宋体" w:hAnsi="宋体" w:cs="宋体"/>
          <w:spacing w:val="-7"/>
          <w:sz w:val="22"/>
          <w:szCs w:val="22"/>
        </w:rPr>
        <w:t>CoA</w:t>
      </w:r>
      <w:r>
        <w:rPr>
          <w:rFonts w:ascii="宋体" w:eastAsia="宋体" w:hAnsi="宋体" w:cs="宋体"/>
          <w:spacing w:val="33"/>
          <w:sz w:val="22"/>
          <w:szCs w:val="22"/>
        </w:rPr>
        <w:t xml:space="preserve"> </w:t>
      </w:r>
      <w:r>
        <w:rPr>
          <w:rFonts w:ascii="宋体" w:eastAsia="宋体" w:hAnsi="宋体" w:cs="宋体"/>
          <w:spacing w:val="-7"/>
          <w:sz w:val="22"/>
          <w:szCs w:val="22"/>
        </w:rPr>
        <w:t>在肝线粒体酶的催化下先缩合再裂解而成的中间代谢产物，以β羟丁酸较</w:t>
      </w:r>
      <w:r>
        <w:rPr>
          <w:rFonts w:ascii="宋体" w:eastAsia="宋体" w:hAnsi="宋体" w:cs="宋体"/>
          <w:sz w:val="22"/>
          <w:szCs w:val="22"/>
        </w:rPr>
        <w:t xml:space="preserve"> </w:t>
      </w:r>
      <w:r>
        <w:rPr>
          <w:rFonts w:ascii="宋体" w:eastAsia="宋体" w:hAnsi="宋体" w:cs="宋体"/>
          <w:spacing w:val="-13"/>
          <w:sz w:val="22"/>
          <w:szCs w:val="22"/>
        </w:rPr>
        <w:t>多，丙酮含量极微。肝缺乏氧化酮体的酶，不能氧化酮体，故肝产生的酮体需经</w:t>
      </w:r>
      <w:r>
        <w:rPr>
          <w:rFonts w:ascii="宋体" w:eastAsia="宋体" w:hAnsi="宋体" w:cs="宋体"/>
          <w:spacing w:val="2"/>
          <w:sz w:val="22"/>
          <w:szCs w:val="22"/>
        </w:rPr>
        <w:t xml:space="preserve"> </w:t>
      </w:r>
      <w:r>
        <w:rPr>
          <w:rFonts w:ascii="宋体" w:eastAsia="宋体" w:hAnsi="宋体" w:cs="宋体"/>
          <w:spacing w:val="-13"/>
          <w:sz w:val="22"/>
          <w:szCs w:val="22"/>
        </w:rPr>
        <w:t>血液运输到肝外组织进行氧化利用。酮体分子小</w:t>
      </w:r>
      <w:r>
        <w:rPr>
          <w:rFonts w:ascii="宋体" w:eastAsia="宋体" w:hAnsi="宋体" w:cs="宋体"/>
          <w:spacing w:val="-14"/>
          <w:sz w:val="22"/>
          <w:szCs w:val="22"/>
        </w:rPr>
        <w:t>，易溶于水，能通过血脑屏障及</w:t>
      </w:r>
      <w:r>
        <w:rPr>
          <w:rFonts w:ascii="宋体" w:eastAsia="宋体" w:hAnsi="宋体" w:cs="宋体"/>
          <w:sz w:val="22"/>
          <w:szCs w:val="22"/>
        </w:rPr>
        <w:t xml:space="preserve"> </w:t>
      </w:r>
      <w:r>
        <w:rPr>
          <w:rFonts w:ascii="宋体" w:eastAsia="宋体" w:hAnsi="宋体" w:cs="宋体"/>
          <w:spacing w:val="-13"/>
          <w:sz w:val="22"/>
          <w:szCs w:val="22"/>
        </w:rPr>
        <w:t>肌肉毛细血管壁，是肌肉，尤其是脑组织的重要能源。脑组织几乎不能氧化脂肪</w:t>
      </w:r>
      <w:r>
        <w:rPr>
          <w:rFonts w:ascii="宋体" w:eastAsia="宋体" w:hAnsi="宋体" w:cs="宋体"/>
          <w:spacing w:val="4"/>
          <w:sz w:val="22"/>
          <w:szCs w:val="22"/>
        </w:rPr>
        <w:t xml:space="preserve"> </w:t>
      </w:r>
      <w:r>
        <w:rPr>
          <w:rFonts w:ascii="宋体" w:eastAsia="宋体" w:hAnsi="宋体" w:cs="宋体"/>
          <w:spacing w:val="-13"/>
          <w:sz w:val="22"/>
          <w:szCs w:val="22"/>
        </w:rPr>
        <w:t>酸，但能利用酮体，长期饥饿及糖供应不足时，酮体将代替葡萄糖成为脑组织及</w:t>
      </w:r>
      <w:r>
        <w:rPr>
          <w:rFonts w:ascii="宋体" w:eastAsia="宋体" w:hAnsi="宋体" w:cs="宋体"/>
          <w:spacing w:val="5"/>
          <w:sz w:val="22"/>
          <w:szCs w:val="22"/>
        </w:rPr>
        <w:t xml:space="preserve"> </w:t>
      </w:r>
      <w:r>
        <w:rPr>
          <w:rFonts w:ascii="宋体" w:eastAsia="宋体" w:hAnsi="宋体" w:cs="宋体"/>
          <w:spacing w:val="-17"/>
          <w:sz w:val="22"/>
          <w:szCs w:val="22"/>
        </w:rPr>
        <w:t>肌肉的主要能源。</w:t>
      </w:r>
    </w:p>
    <w:p w:rsidR="00EA40A3" w:rsidRDefault="00E86C16">
      <w:pPr>
        <w:spacing w:before="131"/>
        <w:ind w:right="149"/>
        <w:jc w:val="right"/>
        <w:rPr>
          <w:rFonts w:ascii="宋体" w:eastAsia="宋体" w:hAnsi="宋体" w:cs="宋体"/>
          <w:sz w:val="18"/>
          <w:szCs w:val="18"/>
        </w:rPr>
      </w:pPr>
      <w:r>
        <w:rPr>
          <w:rFonts w:ascii="宋体" w:eastAsia="宋体" w:hAnsi="宋体" w:cs="宋体"/>
          <w:spacing w:val="-33"/>
          <w:sz w:val="18"/>
          <w:szCs w:val="18"/>
        </w:rPr>
        <w:t>·</w:t>
      </w:r>
      <w:r>
        <w:rPr>
          <w:rFonts w:ascii="宋体" w:eastAsia="宋体" w:hAnsi="宋体" w:cs="宋体"/>
          <w:spacing w:val="-5"/>
          <w:sz w:val="18"/>
          <w:szCs w:val="18"/>
        </w:rPr>
        <w:t xml:space="preserve"> </w:t>
      </w:r>
      <w:r>
        <w:rPr>
          <w:rFonts w:ascii="宋体" w:eastAsia="宋体" w:hAnsi="宋体" w:cs="宋体"/>
          <w:spacing w:val="-33"/>
          <w:sz w:val="18"/>
          <w:szCs w:val="18"/>
        </w:rPr>
        <w:t>33</w:t>
      </w:r>
      <w:r>
        <w:rPr>
          <w:rFonts w:ascii="宋体" w:eastAsia="宋体" w:hAnsi="宋体" w:cs="宋体"/>
          <w:spacing w:val="41"/>
          <w:sz w:val="18"/>
          <w:szCs w:val="18"/>
        </w:rPr>
        <w:t xml:space="preserve"> </w:t>
      </w:r>
      <w:r>
        <w:rPr>
          <w:rFonts w:ascii="宋体" w:eastAsia="宋体" w:hAnsi="宋体" w:cs="宋体"/>
          <w:spacing w:val="-33"/>
          <w:sz w:val="18"/>
          <w:szCs w:val="18"/>
        </w:rPr>
        <w:t>·</w:t>
      </w:r>
    </w:p>
    <w:p w:rsidR="00EA40A3" w:rsidRDefault="00EA40A3">
      <w:pPr>
        <w:sectPr w:rsidR="00EA40A3">
          <w:pgSz w:w="9220" w:h="13360"/>
          <w:pgMar w:top="400" w:right="1005" w:bottom="400" w:left="840" w:header="0" w:footer="0" w:gutter="0"/>
          <w:cols w:space="720"/>
        </w:sectPr>
      </w:pPr>
    </w:p>
    <w:p w:rsidR="00EA40A3" w:rsidRDefault="00EA40A3">
      <w:pPr>
        <w:spacing w:line="274" w:lineRule="auto"/>
      </w:pPr>
    </w:p>
    <w:p w:rsidR="00EA40A3" w:rsidRDefault="00EA40A3">
      <w:pPr>
        <w:spacing w:line="274" w:lineRule="auto"/>
      </w:pPr>
    </w:p>
    <w:p w:rsidR="00EA40A3" w:rsidRDefault="00E86C16">
      <w:pPr>
        <w:spacing w:before="71" w:line="248" w:lineRule="auto"/>
        <w:ind w:firstLine="439"/>
        <w:jc w:val="both"/>
        <w:rPr>
          <w:rFonts w:ascii="宋体" w:eastAsia="宋体" w:hAnsi="宋体" w:cs="宋体"/>
          <w:sz w:val="22"/>
          <w:szCs w:val="22"/>
        </w:rPr>
      </w:pPr>
      <w:r>
        <w:rPr>
          <w:rFonts w:ascii="宋体" w:eastAsia="宋体" w:hAnsi="宋体" w:cs="宋体"/>
          <w:spacing w:val="-11"/>
          <w:sz w:val="22"/>
          <w:szCs w:val="22"/>
        </w:rPr>
        <w:t>正常情况下，肝产生的酮体用于肝外组织如心、脑和骨骼肌等的功能需要，</w:t>
      </w:r>
      <w:r>
        <w:rPr>
          <w:rFonts w:ascii="宋体" w:eastAsia="宋体" w:hAnsi="宋体" w:cs="宋体"/>
          <w:spacing w:val="2"/>
          <w:sz w:val="22"/>
          <w:szCs w:val="22"/>
        </w:rPr>
        <w:t xml:space="preserve"> </w:t>
      </w:r>
      <w:r>
        <w:rPr>
          <w:rFonts w:ascii="宋体" w:eastAsia="宋体" w:hAnsi="宋体" w:cs="宋体"/>
          <w:spacing w:val="-13"/>
          <w:sz w:val="22"/>
          <w:szCs w:val="22"/>
        </w:rPr>
        <w:t>血中酮体含量很低。但在饥饿、高脂低糖膳食及糖尿病时，脂肪</w:t>
      </w:r>
      <w:r>
        <w:rPr>
          <w:rFonts w:ascii="宋体" w:eastAsia="宋体" w:hAnsi="宋体" w:cs="宋体"/>
          <w:spacing w:val="-14"/>
          <w:sz w:val="22"/>
          <w:szCs w:val="22"/>
        </w:rPr>
        <w:t>动员加强，酮体</w:t>
      </w:r>
      <w:r>
        <w:rPr>
          <w:rFonts w:ascii="宋体" w:eastAsia="宋体" w:hAnsi="宋体" w:cs="宋体"/>
          <w:sz w:val="22"/>
          <w:szCs w:val="22"/>
        </w:rPr>
        <w:t xml:space="preserve">  </w:t>
      </w:r>
      <w:r>
        <w:rPr>
          <w:rFonts w:ascii="宋体" w:eastAsia="宋体" w:hAnsi="宋体" w:cs="宋体"/>
          <w:spacing w:val="-13"/>
          <w:sz w:val="22"/>
          <w:szCs w:val="22"/>
        </w:rPr>
        <w:t>生成过多，超过肝外组织利用能力时，引起血中酮体升高。当血中酮体浓度超过</w:t>
      </w:r>
      <w:r>
        <w:rPr>
          <w:rFonts w:ascii="宋体" w:eastAsia="宋体" w:hAnsi="宋体" w:cs="宋体"/>
          <w:spacing w:val="12"/>
          <w:sz w:val="22"/>
          <w:szCs w:val="22"/>
        </w:rPr>
        <w:t xml:space="preserve"> </w:t>
      </w:r>
      <w:r>
        <w:rPr>
          <w:rFonts w:ascii="宋体" w:eastAsia="宋体" w:hAnsi="宋体" w:cs="宋体"/>
          <w:spacing w:val="-13"/>
          <w:sz w:val="22"/>
          <w:szCs w:val="22"/>
        </w:rPr>
        <w:t>肾小管的重吸收能力时，尿中出现酮体，血酮升高及尿酮统称为酮</w:t>
      </w:r>
      <w:r>
        <w:rPr>
          <w:rFonts w:ascii="宋体" w:eastAsia="宋体" w:hAnsi="宋体" w:cs="宋体"/>
          <w:spacing w:val="-14"/>
          <w:sz w:val="22"/>
          <w:szCs w:val="22"/>
        </w:rPr>
        <w:t>症。由于乙酰</w:t>
      </w:r>
      <w:r>
        <w:rPr>
          <w:rFonts w:ascii="宋体" w:eastAsia="宋体" w:hAnsi="宋体" w:cs="宋体"/>
          <w:sz w:val="22"/>
          <w:szCs w:val="22"/>
        </w:rPr>
        <w:t xml:space="preserve">  </w:t>
      </w:r>
      <w:r>
        <w:rPr>
          <w:rFonts w:ascii="宋体" w:eastAsia="宋体" w:hAnsi="宋体" w:cs="宋体"/>
          <w:spacing w:val="-13"/>
          <w:sz w:val="22"/>
          <w:szCs w:val="22"/>
        </w:rPr>
        <w:t>乙酸、β羟丁酸均为较强的有机酸，可消耗体内碱储备，导致代谢性酸中毒，出</w:t>
      </w:r>
      <w:r>
        <w:rPr>
          <w:rFonts w:ascii="宋体" w:eastAsia="宋体" w:hAnsi="宋体" w:cs="宋体"/>
          <w:spacing w:val="9"/>
          <w:sz w:val="22"/>
          <w:szCs w:val="22"/>
        </w:rPr>
        <w:t xml:space="preserve"> </w:t>
      </w:r>
      <w:r>
        <w:rPr>
          <w:rFonts w:ascii="宋体" w:eastAsia="宋体" w:hAnsi="宋体" w:cs="宋体"/>
          <w:spacing w:val="-13"/>
          <w:sz w:val="22"/>
          <w:szCs w:val="22"/>
        </w:rPr>
        <w:t>现代谢紊乱，造成多种影响，如：①组织分解加速，钾离子从胞内释出胞外，随</w:t>
      </w:r>
      <w:r>
        <w:rPr>
          <w:rFonts w:ascii="宋体" w:eastAsia="宋体" w:hAnsi="宋体" w:cs="宋体"/>
          <w:spacing w:val="15"/>
          <w:sz w:val="22"/>
          <w:szCs w:val="22"/>
        </w:rPr>
        <w:t xml:space="preserve"> </w:t>
      </w:r>
      <w:r>
        <w:rPr>
          <w:rFonts w:ascii="宋体" w:eastAsia="宋体" w:hAnsi="宋体" w:cs="宋体"/>
          <w:spacing w:val="-7"/>
          <w:sz w:val="22"/>
          <w:szCs w:val="22"/>
        </w:rPr>
        <w:t>酮体从肺、肾排出，带出大量水分和阳离子，造成严重失水和缺钾；②引</w:t>
      </w:r>
      <w:r>
        <w:rPr>
          <w:rFonts w:ascii="宋体" w:eastAsia="宋体" w:hAnsi="宋体" w:cs="宋体"/>
          <w:spacing w:val="-8"/>
          <w:sz w:val="22"/>
          <w:szCs w:val="22"/>
        </w:rPr>
        <w:t>起厌</w:t>
      </w:r>
      <w:r>
        <w:rPr>
          <w:rFonts w:ascii="宋体" w:eastAsia="宋体" w:hAnsi="宋体" w:cs="宋体"/>
          <w:sz w:val="22"/>
          <w:szCs w:val="22"/>
        </w:rPr>
        <w:t xml:space="preserve">  </w:t>
      </w:r>
      <w:r>
        <w:rPr>
          <w:rFonts w:ascii="宋体" w:eastAsia="宋体" w:hAnsi="宋体" w:cs="宋体"/>
          <w:spacing w:val="-13"/>
          <w:sz w:val="22"/>
          <w:szCs w:val="22"/>
        </w:rPr>
        <w:t>食、恶心、呕吐，水分摄入减少，排泄增加；③抑制组织氧的利用，抑制能量代</w:t>
      </w:r>
      <w:r>
        <w:rPr>
          <w:rFonts w:ascii="宋体" w:eastAsia="宋体" w:hAnsi="宋体" w:cs="宋体"/>
          <w:spacing w:val="14"/>
          <w:sz w:val="22"/>
          <w:szCs w:val="22"/>
        </w:rPr>
        <w:t xml:space="preserve"> </w:t>
      </w:r>
      <w:r>
        <w:rPr>
          <w:rFonts w:ascii="宋体" w:eastAsia="宋体" w:hAnsi="宋体" w:cs="宋体"/>
          <w:spacing w:val="-7"/>
          <w:sz w:val="22"/>
          <w:szCs w:val="22"/>
        </w:rPr>
        <w:t>谢；④红细胞GHb</w:t>
      </w:r>
      <w:r>
        <w:rPr>
          <w:rFonts w:ascii="宋体" w:eastAsia="宋体" w:hAnsi="宋体" w:cs="宋体"/>
          <w:spacing w:val="84"/>
          <w:sz w:val="22"/>
          <w:szCs w:val="22"/>
        </w:rPr>
        <w:t xml:space="preserve"> </w:t>
      </w:r>
      <w:r>
        <w:rPr>
          <w:rFonts w:ascii="宋体" w:eastAsia="宋体" w:hAnsi="宋体" w:cs="宋体"/>
          <w:spacing w:val="-7"/>
          <w:sz w:val="22"/>
          <w:szCs w:val="22"/>
        </w:rPr>
        <w:t>含量增加，增强了血红蛋白与氧的亲和力，氧的释放减少，</w:t>
      </w:r>
      <w:r>
        <w:rPr>
          <w:rFonts w:ascii="宋体" w:eastAsia="宋体" w:hAnsi="宋体" w:cs="宋体"/>
          <w:sz w:val="22"/>
          <w:szCs w:val="22"/>
        </w:rPr>
        <w:t xml:space="preserve"> </w:t>
      </w:r>
      <w:r>
        <w:rPr>
          <w:rFonts w:ascii="宋体" w:eastAsia="宋体" w:hAnsi="宋体" w:cs="宋体"/>
          <w:spacing w:val="-18"/>
          <w:sz w:val="22"/>
          <w:szCs w:val="22"/>
        </w:rPr>
        <w:t>造成组织缺氧。</w:t>
      </w:r>
    </w:p>
    <w:p w:rsidR="00EA40A3" w:rsidRDefault="00E86C16">
      <w:pPr>
        <w:spacing w:before="215" w:line="221" w:lineRule="auto"/>
        <w:ind w:left="3"/>
        <w:outlineLvl w:val="6"/>
        <w:rPr>
          <w:rFonts w:ascii="黑体" w:eastAsia="黑体" w:hAnsi="黑体" w:cs="黑体"/>
          <w:sz w:val="25"/>
          <w:szCs w:val="25"/>
        </w:rPr>
      </w:pPr>
      <w:r>
        <w:rPr>
          <w:rFonts w:ascii="黑体" w:eastAsia="黑体" w:hAnsi="黑体" w:cs="黑体"/>
          <w:b/>
          <w:bCs/>
          <w:spacing w:val="-10"/>
          <w:sz w:val="25"/>
          <w:szCs w:val="25"/>
        </w:rPr>
        <w:t>2.3.3</w:t>
      </w:r>
      <w:r>
        <w:rPr>
          <w:rFonts w:ascii="黑体" w:eastAsia="黑体" w:hAnsi="黑体" w:cs="黑体"/>
          <w:spacing w:val="23"/>
          <w:sz w:val="25"/>
          <w:szCs w:val="25"/>
        </w:rPr>
        <w:t xml:space="preserve">  </w:t>
      </w:r>
      <w:r>
        <w:rPr>
          <w:rFonts w:ascii="黑体" w:eastAsia="黑体" w:hAnsi="黑体" w:cs="黑体"/>
          <w:b/>
          <w:bCs/>
          <w:spacing w:val="-10"/>
          <w:sz w:val="25"/>
          <w:szCs w:val="25"/>
        </w:rPr>
        <w:t>碳水化合物的代谢</w:t>
      </w:r>
    </w:p>
    <w:p w:rsidR="00EA40A3" w:rsidRDefault="00E86C16">
      <w:pPr>
        <w:spacing w:before="195" w:line="244" w:lineRule="auto"/>
        <w:ind w:right="79" w:firstLine="439"/>
        <w:jc w:val="both"/>
        <w:rPr>
          <w:rFonts w:ascii="宋体" w:eastAsia="宋体" w:hAnsi="宋体" w:cs="宋体"/>
          <w:sz w:val="22"/>
          <w:szCs w:val="22"/>
        </w:rPr>
      </w:pPr>
      <w:r>
        <w:rPr>
          <w:rFonts w:ascii="宋体" w:eastAsia="宋体" w:hAnsi="宋体" w:cs="宋体"/>
          <w:spacing w:val="-10"/>
          <w:sz w:val="22"/>
          <w:szCs w:val="22"/>
        </w:rPr>
        <w:t>体内的碳水化合物主要来源于食物，少量则由非糖化合物(乳酸、甘油、</w:t>
      </w:r>
      <w:r>
        <w:rPr>
          <w:rFonts w:ascii="宋体" w:eastAsia="宋体" w:hAnsi="宋体" w:cs="宋体"/>
          <w:spacing w:val="-11"/>
          <w:sz w:val="22"/>
          <w:szCs w:val="22"/>
        </w:rPr>
        <w:t>生</w:t>
      </w:r>
      <w:r>
        <w:rPr>
          <w:rFonts w:ascii="宋体" w:eastAsia="宋体" w:hAnsi="宋体" w:cs="宋体"/>
          <w:sz w:val="22"/>
          <w:szCs w:val="22"/>
        </w:rPr>
        <w:t xml:space="preserve"> </w:t>
      </w:r>
      <w:r>
        <w:rPr>
          <w:rFonts w:ascii="宋体" w:eastAsia="宋体" w:hAnsi="宋体" w:cs="宋体"/>
          <w:spacing w:val="-9"/>
          <w:sz w:val="22"/>
          <w:szCs w:val="22"/>
        </w:rPr>
        <w:t>糖氨基酸等)通过糖异生作用形成。消化吸收</w:t>
      </w:r>
      <w:r>
        <w:rPr>
          <w:rFonts w:ascii="宋体" w:eastAsia="宋体" w:hAnsi="宋体" w:cs="宋体"/>
          <w:spacing w:val="-10"/>
          <w:sz w:val="22"/>
          <w:szCs w:val="22"/>
        </w:rPr>
        <w:t>的葡萄糖有多个去向：转变成脂肪</w:t>
      </w:r>
      <w:r>
        <w:rPr>
          <w:rFonts w:ascii="宋体" w:eastAsia="宋体" w:hAnsi="宋体" w:cs="宋体"/>
          <w:sz w:val="22"/>
          <w:szCs w:val="22"/>
        </w:rPr>
        <w:t xml:space="preserve"> </w:t>
      </w:r>
      <w:r>
        <w:rPr>
          <w:rFonts w:ascii="宋体" w:eastAsia="宋体" w:hAnsi="宋体" w:cs="宋体"/>
          <w:spacing w:val="-13"/>
          <w:sz w:val="22"/>
          <w:szCs w:val="22"/>
        </w:rPr>
        <w:t>后储存于脂肪组织中，合成糖原备用，氧化供能，构成体组织或合成体内的活性</w:t>
      </w:r>
      <w:r>
        <w:rPr>
          <w:rFonts w:ascii="宋体" w:eastAsia="宋体" w:hAnsi="宋体" w:cs="宋体"/>
          <w:spacing w:val="12"/>
          <w:sz w:val="22"/>
          <w:szCs w:val="22"/>
        </w:rPr>
        <w:t xml:space="preserve"> </w:t>
      </w:r>
      <w:r>
        <w:rPr>
          <w:rFonts w:ascii="宋体" w:eastAsia="宋体" w:hAnsi="宋体" w:cs="宋体"/>
          <w:spacing w:val="-18"/>
          <w:sz w:val="22"/>
          <w:szCs w:val="22"/>
        </w:rPr>
        <w:t>物质。</w:t>
      </w:r>
    </w:p>
    <w:p w:rsidR="00EA40A3" w:rsidRDefault="00E86C16">
      <w:pPr>
        <w:spacing w:before="215"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2"/>
          <w:sz w:val="22"/>
          <w:szCs w:val="22"/>
        </w:rPr>
        <w:t xml:space="preserve"> </w:t>
      </w:r>
      <w:r>
        <w:rPr>
          <w:rFonts w:ascii="仿宋" w:eastAsia="仿宋" w:hAnsi="仿宋" w:cs="仿宋"/>
          <w:spacing w:val="8"/>
          <w:sz w:val="22"/>
          <w:szCs w:val="22"/>
        </w:rPr>
        <w:t>氧化分解</w:t>
      </w:r>
    </w:p>
    <w:p w:rsidR="00EA40A3" w:rsidRDefault="00E86C16">
      <w:pPr>
        <w:spacing w:before="196" w:line="247" w:lineRule="auto"/>
        <w:ind w:right="53" w:firstLine="439"/>
        <w:rPr>
          <w:rFonts w:ascii="宋体" w:eastAsia="宋体" w:hAnsi="宋体" w:cs="宋体"/>
          <w:sz w:val="22"/>
          <w:szCs w:val="22"/>
        </w:rPr>
      </w:pPr>
      <w:r>
        <w:rPr>
          <w:rFonts w:ascii="宋体" w:eastAsia="宋体" w:hAnsi="宋体" w:cs="宋体"/>
          <w:spacing w:val="-13"/>
          <w:sz w:val="22"/>
          <w:szCs w:val="22"/>
        </w:rPr>
        <w:t>碳水化合物在体内的分解分为无氧氧化和有氧氧化，两者共同的过程是葡萄</w:t>
      </w:r>
      <w:r>
        <w:rPr>
          <w:rFonts w:ascii="宋体" w:eastAsia="宋体" w:hAnsi="宋体" w:cs="宋体"/>
          <w:spacing w:val="14"/>
          <w:sz w:val="22"/>
          <w:szCs w:val="22"/>
        </w:rPr>
        <w:t xml:space="preserve"> </w:t>
      </w:r>
      <w:r>
        <w:rPr>
          <w:rFonts w:ascii="宋体" w:eastAsia="宋体" w:hAnsi="宋体" w:cs="宋体"/>
          <w:spacing w:val="-14"/>
          <w:sz w:val="22"/>
          <w:szCs w:val="22"/>
        </w:rPr>
        <w:t>糖经酵解途径降解为丙酮酸。在无氧情况下，丙酮酸在胞浆内还原为乳酸，称为</w:t>
      </w:r>
      <w:r>
        <w:rPr>
          <w:rFonts w:ascii="宋体" w:eastAsia="宋体" w:hAnsi="宋体" w:cs="宋体"/>
          <w:spacing w:val="9"/>
          <w:sz w:val="22"/>
          <w:szCs w:val="22"/>
        </w:rPr>
        <w:t xml:space="preserve"> </w:t>
      </w:r>
      <w:r>
        <w:rPr>
          <w:rFonts w:ascii="宋体" w:eastAsia="宋体" w:hAnsi="宋体" w:cs="宋体"/>
          <w:spacing w:val="7"/>
          <w:sz w:val="22"/>
          <w:szCs w:val="22"/>
        </w:rPr>
        <w:t>无氧氧化或糖酵解。糖酵解过程产生的能量虽有</w:t>
      </w:r>
      <w:r>
        <w:rPr>
          <w:rFonts w:ascii="宋体" w:eastAsia="宋体" w:hAnsi="宋体" w:cs="宋体"/>
          <w:spacing w:val="6"/>
          <w:sz w:val="22"/>
          <w:szCs w:val="22"/>
        </w:rPr>
        <w:t>限(1个葡萄糖净生成两个</w:t>
      </w:r>
      <w:r>
        <w:rPr>
          <w:rFonts w:ascii="宋体" w:eastAsia="宋体" w:hAnsi="宋体" w:cs="宋体"/>
          <w:sz w:val="22"/>
          <w:szCs w:val="22"/>
        </w:rPr>
        <w:t xml:space="preserve"> </w:t>
      </w:r>
      <w:r>
        <w:rPr>
          <w:rFonts w:ascii="宋体" w:eastAsia="宋体" w:hAnsi="宋体" w:cs="宋体"/>
          <w:spacing w:val="-8"/>
          <w:sz w:val="22"/>
          <w:szCs w:val="22"/>
        </w:rPr>
        <w:t>ATP),</w:t>
      </w:r>
      <w:r>
        <w:rPr>
          <w:rFonts w:ascii="宋体" w:eastAsia="宋体" w:hAnsi="宋体" w:cs="宋体"/>
          <w:spacing w:val="87"/>
          <w:sz w:val="22"/>
          <w:szCs w:val="22"/>
        </w:rPr>
        <w:t xml:space="preserve"> </w:t>
      </w:r>
      <w:r>
        <w:rPr>
          <w:rFonts w:ascii="宋体" w:eastAsia="宋体" w:hAnsi="宋体" w:cs="宋体"/>
          <w:spacing w:val="-8"/>
          <w:sz w:val="22"/>
          <w:szCs w:val="22"/>
        </w:rPr>
        <w:t>但在重体力劳动或剧烈运动时，肌肉因氧供应不足处于严重缺氧状态，</w:t>
      </w:r>
      <w:r>
        <w:rPr>
          <w:rFonts w:ascii="宋体" w:eastAsia="宋体" w:hAnsi="宋体" w:cs="宋体"/>
          <w:sz w:val="22"/>
          <w:szCs w:val="22"/>
        </w:rPr>
        <w:t xml:space="preserve"> </w:t>
      </w:r>
      <w:r>
        <w:rPr>
          <w:rFonts w:ascii="宋体" w:eastAsia="宋体" w:hAnsi="宋体" w:cs="宋体"/>
          <w:spacing w:val="-13"/>
          <w:sz w:val="22"/>
          <w:szCs w:val="22"/>
        </w:rPr>
        <w:t>这时糖酵解有补充供能的重要作用。在有氧情况下，丙酮酸进入线粒体，氧化脱</w:t>
      </w:r>
      <w:r>
        <w:rPr>
          <w:rFonts w:ascii="宋体" w:eastAsia="宋体" w:hAnsi="宋体" w:cs="宋体"/>
          <w:spacing w:val="14"/>
          <w:sz w:val="22"/>
          <w:szCs w:val="22"/>
        </w:rPr>
        <w:t xml:space="preserve"> </w:t>
      </w:r>
      <w:r>
        <w:rPr>
          <w:rFonts w:ascii="宋体" w:eastAsia="宋体" w:hAnsi="宋体" w:cs="宋体"/>
          <w:spacing w:val="-13"/>
          <w:sz w:val="22"/>
          <w:szCs w:val="22"/>
        </w:rPr>
        <w:t>羧后进入三羧酸循环，最终彻底氧化成二氧化碳和水。有氧氧化是机体获取能量</w:t>
      </w:r>
      <w:r>
        <w:rPr>
          <w:rFonts w:ascii="宋体" w:eastAsia="宋体" w:hAnsi="宋体" w:cs="宋体"/>
          <w:spacing w:val="12"/>
          <w:sz w:val="22"/>
          <w:szCs w:val="22"/>
        </w:rPr>
        <w:t xml:space="preserve"> </w:t>
      </w:r>
      <w:r>
        <w:rPr>
          <w:rFonts w:ascii="宋体" w:eastAsia="宋体" w:hAnsi="宋体" w:cs="宋体"/>
          <w:spacing w:val="-3"/>
          <w:sz w:val="22"/>
          <w:szCs w:val="22"/>
        </w:rPr>
        <w:t>的主要方式，1个葡萄糖彻底氧化净生成</w:t>
      </w:r>
      <w:r>
        <w:rPr>
          <w:rFonts w:ascii="宋体" w:eastAsia="宋体" w:hAnsi="宋体" w:cs="宋体"/>
          <w:spacing w:val="-4"/>
          <w:sz w:val="22"/>
          <w:szCs w:val="22"/>
        </w:rPr>
        <w:t>36～38个</w:t>
      </w:r>
      <w:r>
        <w:rPr>
          <w:rFonts w:ascii="宋体" w:eastAsia="宋体" w:hAnsi="宋体" w:cs="宋体"/>
          <w:spacing w:val="-3"/>
          <w:sz w:val="22"/>
          <w:szCs w:val="22"/>
        </w:rPr>
        <w:t>ATP</w:t>
      </w:r>
      <w:r>
        <w:rPr>
          <w:rFonts w:ascii="宋体" w:eastAsia="宋体" w:hAnsi="宋体" w:cs="宋体"/>
          <w:spacing w:val="-4"/>
          <w:sz w:val="22"/>
          <w:szCs w:val="22"/>
        </w:rPr>
        <w:t>。</w:t>
      </w:r>
    </w:p>
    <w:p w:rsidR="00EA40A3" w:rsidRDefault="00E86C16">
      <w:pPr>
        <w:spacing w:before="98" w:line="246" w:lineRule="auto"/>
        <w:ind w:right="60" w:firstLine="439"/>
        <w:jc w:val="both"/>
        <w:rPr>
          <w:rFonts w:ascii="宋体" w:eastAsia="宋体" w:hAnsi="宋体" w:cs="宋体"/>
          <w:sz w:val="22"/>
          <w:szCs w:val="22"/>
        </w:rPr>
      </w:pPr>
      <w:r>
        <w:rPr>
          <w:rFonts w:ascii="宋体" w:eastAsia="宋体" w:hAnsi="宋体" w:cs="宋体"/>
          <w:spacing w:val="-13"/>
          <w:sz w:val="22"/>
          <w:szCs w:val="22"/>
        </w:rPr>
        <w:t>有氧氧化过程中的多种中间产物可以使糖、脂类、蛋白</w:t>
      </w:r>
      <w:r>
        <w:rPr>
          <w:rFonts w:ascii="宋体" w:eastAsia="宋体" w:hAnsi="宋体" w:cs="宋体"/>
          <w:spacing w:val="-14"/>
          <w:sz w:val="22"/>
          <w:szCs w:val="22"/>
        </w:rPr>
        <w:t>质及其他物质发生广</w:t>
      </w:r>
      <w:r>
        <w:rPr>
          <w:rFonts w:ascii="宋体" w:eastAsia="宋体" w:hAnsi="宋体" w:cs="宋体"/>
          <w:sz w:val="22"/>
          <w:szCs w:val="22"/>
        </w:rPr>
        <w:t xml:space="preserve"> </w:t>
      </w:r>
      <w:r>
        <w:rPr>
          <w:rFonts w:ascii="宋体" w:eastAsia="宋体" w:hAnsi="宋体" w:cs="宋体"/>
          <w:spacing w:val="-9"/>
          <w:sz w:val="22"/>
          <w:szCs w:val="22"/>
        </w:rPr>
        <w:t>泛的代谢联系和互变。如磷酸丙糖可转变为α-磷酸甘油，乙酰CoA</w:t>
      </w:r>
      <w:r>
        <w:rPr>
          <w:rFonts w:ascii="宋体" w:eastAsia="宋体" w:hAnsi="宋体" w:cs="宋体"/>
          <w:spacing w:val="16"/>
          <w:sz w:val="22"/>
          <w:szCs w:val="22"/>
        </w:rPr>
        <w:t xml:space="preserve"> </w:t>
      </w:r>
      <w:r>
        <w:rPr>
          <w:rFonts w:ascii="宋体" w:eastAsia="宋体" w:hAnsi="宋体" w:cs="宋体"/>
          <w:spacing w:val="-9"/>
          <w:sz w:val="22"/>
          <w:szCs w:val="22"/>
        </w:rPr>
        <w:t>可</w:t>
      </w:r>
      <w:r>
        <w:rPr>
          <w:rFonts w:ascii="宋体" w:eastAsia="宋体" w:hAnsi="宋体" w:cs="宋体"/>
          <w:spacing w:val="-10"/>
          <w:sz w:val="22"/>
          <w:szCs w:val="22"/>
        </w:rPr>
        <w:t>以合成脂</w:t>
      </w:r>
      <w:r>
        <w:rPr>
          <w:rFonts w:ascii="宋体" w:eastAsia="宋体" w:hAnsi="宋体" w:cs="宋体"/>
          <w:sz w:val="22"/>
          <w:szCs w:val="22"/>
        </w:rPr>
        <w:t xml:space="preserve"> </w:t>
      </w:r>
      <w:r>
        <w:rPr>
          <w:rFonts w:ascii="宋体" w:eastAsia="宋体" w:hAnsi="宋体" w:cs="宋体"/>
          <w:spacing w:val="-12"/>
          <w:sz w:val="22"/>
          <w:szCs w:val="22"/>
        </w:rPr>
        <w:t>肪酸，二者可进一步合成脂肪。又如丙酮酸、脂酰CoA、α-酮戊二酸、草酰乙酸</w:t>
      </w:r>
      <w:r>
        <w:rPr>
          <w:rFonts w:ascii="宋体" w:eastAsia="宋体" w:hAnsi="宋体" w:cs="宋体"/>
          <w:spacing w:val="1"/>
          <w:sz w:val="22"/>
          <w:szCs w:val="22"/>
        </w:rPr>
        <w:t xml:space="preserve"> </w:t>
      </w:r>
      <w:r>
        <w:rPr>
          <w:rFonts w:ascii="宋体" w:eastAsia="宋体" w:hAnsi="宋体" w:cs="宋体"/>
          <w:spacing w:val="-13"/>
          <w:sz w:val="22"/>
          <w:szCs w:val="22"/>
        </w:rPr>
        <w:t>通过氨基酸的转氨基作用或联合脱氨基的逆行，可分别生成丙氨酸、谷氨酸及天</w:t>
      </w:r>
      <w:r>
        <w:rPr>
          <w:rFonts w:ascii="宋体" w:eastAsia="宋体" w:hAnsi="宋体" w:cs="宋体"/>
          <w:spacing w:val="13"/>
          <w:sz w:val="22"/>
          <w:szCs w:val="22"/>
        </w:rPr>
        <w:t xml:space="preserve"> </w:t>
      </w:r>
      <w:r>
        <w:rPr>
          <w:rFonts w:ascii="宋体" w:eastAsia="宋体" w:hAnsi="宋体" w:cs="宋体"/>
          <w:spacing w:val="-14"/>
          <w:sz w:val="22"/>
          <w:szCs w:val="22"/>
        </w:rPr>
        <w:t>冬氨酸，这些氨基酸又可转为其他多种非必需氨基酸，进而合成蛋白质。</w:t>
      </w:r>
    </w:p>
    <w:p w:rsidR="00EA40A3" w:rsidRDefault="00E86C16">
      <w:pPr>
        <w:spacing w:before="205" w:line="222" w:lineRule="auto"/>
        <w:rPr>
          <w:rFonts w:ascii="仿宋" w:eastAsia="仿宋" w:hAnsi="仿宋" w:cs="仿宋"/>
          <w:sz w:val="22"/>
          <w:szCs w:val="22"/>
        </w:rPr>
      </w:pPr>
      <w:r>
        <w:rPr>
          <w:rFonts w:ascii="仿宋" w:eastAsia="仿宋" w:hAnsi="仿宋" w:cs="仿宋"/>
          <w:spacing w:val="4"/>
          <w:sz w:val="22"/>
          <w:szCs w:val="22"/>
        </w:rPr>
        <w:t>2.</w:t>
      </w:r>
      <w:r>
        <w:rPr>
          <w:rFonts w:ascii="仿宋" w:eastAsia="仿宋" w:hAnsi="仿宋" w:cs="仿宋"/>
          <w:spacing w:val="36"/>
          <w:sz w:val="22"/>
          <w:szCs w:val="22"/>
        </w:rPr>
        <w:t xml:space="preserve"> </w:t>
      </w:r>
      <w:r>
        <w:rPr>
          <w:rFonts w:ascii="仿宋" w:eastAsia="仿宋" w:hAnsi="仿宋" w:cs="仿宋"/>
          <w:spacing w:val="4"/>
          <w:sz w:val="22"/>
          <w:szCs w:val="22"/>
        </w:rPr>
        <w:t>糖原的合成与分解</w:t>
      </w:r>
    </w:p>
    <w:p w:rsidR="00EA40A3" w:rsidRDefault="00E86C16">
      <w:pPr>
        <w:spacing w:before="215" w:line="244" w:lineRule="auto"/>
        <w:ind w:right="79" w:firstLine="439"/>
        <w:jc w:val="both"/>
        <w:rPr>
          <w:rFonts w:ascii="宋体" w:eastAsia="宋体" w:hAnsi="宋体" w:cs="宋体"/>
          <w:sz w:val="22"/>
          <w:szCs w:val="22"/>
        </w:rPr>
      </w:pPr>
      <w:r>
        <w:rPr>
          <w:rFonts w:ascii="宋体" w:eastAsia="宋体" w:hAnsi="宋体" w:cs="宋体"/>
          <w:spacing w:val="-13"/>
          <w:sz w:val="22"/>
          <w:szCs w:val="22"/>
        </w:rPr>
        <w:t>消化吸收的葡萄糖或体内其他物质转变而来的</w:t>
      </w:r>
      <w:r>
        <w:rPr>
          <w:rFonts w:ascii="宋体" w:eastAsia="宋体" w:hAnsi="宋体" w:cs="宋体"/>
          <w:spacing w:val="-14"/>
          <w:sz w:val="22"/>
          <w:szCs w:val="22"/>
        </w:rPr>
        <w:t>葡萄糖进入肝脏和肌肉后，可</w:t>
      </w:r>
      <w:r>
        <w:rPr>
          <w:rFonts w:ascii="宋体" w:eastAsia="宋体" w:hAnsi="宋体" w:cs="宋体"/>
          <w:sz w:val="22"/>
          <w:szCs w:val="22"/>
        </w:rPr>
        <w:t xml:space="preserve"> </w:t>
      </w:r>
      <w:r>
        <w:rPr>
          <w:rFonts w:ascii="宋体" w:eastAsia="宋体" w:hAnsi="宋体" w:cs="宋体"/>
          <w:spacing w:val="-13"/>
          <w:sz w:val="22"/>
          <w:szCs w:val="22"/>
        </w:rPr>
        <w:t>分别合成肝糖原和肌糖原，此过程称为糖原的合成作用。糖原的合成作用主要是</w:t>
      </w:r>
      <w:r>
        <w:rPr>
          <w:rFonts w:ascii="宋体" w:eastAsia="宋体" w:hAnsi="宋体" w:cs="宋体"/>
          <w:spacing w:val="14"/>
          <w:sz w:val="22"/>
          <w:szCs w:val="22"/>
        </w:rPr>
        <w:t xml:space="preserve"> </w:t>
      </w:r>
      <w:r>
        <w:rPr>
          <w:rFonts w:ascii="宋体" w:eastAsia="宋体" w:hAnsi="宋体" w:cs="宋体"/>
          <w:spacing w:val="-13"/>
          <w:sz w:val="22"/>
          <w:szCs w:val="22"/>
        </w:rPr>
        <w:t>葡萄糖聚合的过程，在生物化学中有述。肝糖原也能在肝脏分解为葡萄糖，此过</w:t>
      </w:r>
      <w:r>
        <w:rPr>
          <w:rFonts w:ascii="宋体" w:eastAsia="宋体" w:hAnsi="宋体" w:cs="宋体"/>
          <w:spacing w:val="12"/>
          <w:sz w:val="22"/>
          <w:szCs w:val="22"/>
        </w:rPr>
        <w:t xml:space="preserve"> </w:t>
      </w:r>
      <w:r>
        <w:rPr>
          <w:rFonts w:ascii="宋体" w:eastAsia="宋体" w:hAnsi="宋体" w:cs="宋体"/>
          <w:spacing w:val="-13"/>
          <w:sz w:val="22"/>
          <w:szCs w:val="22"/>
        </w:rPr>
        <w:t>程称为糖原的分解作用。糖原的合成与分解作用在维持血糖相对恒定方面具有重</w:t>
      </w:r>
    </w:p>
    <w:p w:rsidR="00EA40A3" w:rsidRDefault="00E86C16">
      <w:pPr>
        <w:spacing w:before="54"/>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34</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29" w:bottom="400" w:left="849" w:header="0" w:footer="0" w:gutter="0"/>
          <w:cols w:space="720"/>
        </w:sectPr>
      </w:pPr>
    </w:p>
    <w:p w:rsidR="00EA40A3" w:rsidRDefault="00EA40A3">
      <w:pPr>
        <w:spacing w:line="246" w:lineRule="auto"/>
      </w:pPr>
    </w:p>
    <w:p w:rsidR="00EA40A3" w:rsidRDefault="00EA40A3">
      <w:pPr>
        <w:spacing w:line="246" w:lineRule="auto"/>
      </w:pPr>
    </w:p>
    <w:p w:rsidR="00EA40A3" w:rsidRDefault="00E86C16">
      <w:pPr>
        <w:spacing w:before="72" w:line="244" w:lineRule="auto"/>
        <w:ind w:right="79"/>
        <w:jc w:val="both"/>
        <w:rPr>
          <w:rFonts w:ascii="宋体" w:eastAsia="宋体" w:hAnsi="宋体" w:cs="宋体"/>
          <w:sz w:val="22"/>
          <w:szCs w:val="22"/>
        </w:rPr>
      </w:pPr>
      <w:r>
        <w:rPr>
          <w:rFonts w:ascii="宋体" w:eastAsia="宋体" w:hAnsi="宋体" w:cs="宋体"/>
          <w:spacing w:val="-12"/>
          <w:sz w:val="22"/>
          <w:szCs w:val="22"/>
        </w:rPr>
        <w:t>要作用。当机体处于暂时饥饿时，血糖趋于低下，这时肝糖原分解加速，及时使</w:t>
      </w:r>
      <w:r>
        <w:rPr>
          <w:rFonts w:ascii="宋体" w:eastAsia="宋体" w:hAnsi="宋体" w:cs="宋体"/>
          <w:sz w:val="22"/>
          <w:szCs w:val="22"/>
        </w:rPr>
        <w:t xml:space="preserve"> </w:t>
      </w:r>
      <w:r>
        <w:rPr>
          <w:rFonts w:ascii="宋体" w:eastAsia="宋体" w:hAnsi="宋体" w:cs="宋体"/>
          <w:spacing w:val="-7"/>
          <w:sz w:val="22"/>
          <w:szCs w:val="22"/>
        </w:rPr>
        <w:t>血糖升高，恢复正常；反之，当机体饱餐后，消化吸收的葡萄糖大量进入血循</w:t>
      </w:r>
      <w:r>
        <w:rPr>
          <w:rFonts w:ascii="宋体" w:eastAsia="宋体" w:hAnsi="宋体" w:cs="宋体"/>
          <w:spacing w:val="16"/>
          <w:sz w:val="22"/>
          <w:szCs w:val="22"/>
        </w:rPr>
        <w:t xml:space="preserve"> </w:t>
      </w:r>
      <w:r>
        <w:rPr>
          <w:rFonts w:ascii="宋体" w:eastAsia="宋体" w:hAnsi="宋体" w:cs="宋体"/>
          <w:spacing w:val="-13"/>
          <w:sz w:val="22"/>
          <w:szCs w:val="22"/>
        </w:rPr>
        <w:t>环，血糖趋于升高，这时可通过糖原合成酶的活化及磷酸化酶活性的降低，使血</w:t>
      </w:r>
      <w:r>
        <w:rPr>
          <w:rFonts w:ascii="宋体" w:eastAsia="宋体" w:hAnsi="宋体" w:cs="宋体"/>
          <w:spacing w:val="12"/>
          <w:sz w:val="22"/>
          <w:szCs w:val="22"/>
        </w:rPr>
        <w:t xml:space="preserve"> </w:t>
      </w:r>
      <w:r>
        <w:rPr>
          <w:rFonts w:ascii="宋体" w:eastAsia="宋体" w:hAnsi="宋体" w:cs="宋体"/>
          <w:spacing w:val="-15"/>
          <w:sz w:val="22"/>
          <w:szCs w:val="22"/>
        </w:rPr>
        <w:t>糖水平下降而恢复正常。</w:t>
      </w:r>
    </w:p>
    <w:p w:rsidR="00EA40A3" w:rsidRDefault="00E86C16">
      <w:pPr>
        <w:spacing w:before="177" w:line="222" w:lineRule="auto"/>
        <w:rPr>
          <w:rFonts w:ascii="仿宋" w:eastAsia="仿宋" w:hAnsi="仿宋" w:cs="仿宋"/>
          <w:sz w:val="22"/>
          <w:szCs w:val="22"/>
        </w:rPr>
      </w:pPr>
      <w:r>
        <w:rPr>
          <w:rFonts w:ascii="仿宋" w:eastAsia="仿宋" w:hAnsi="仿宋" w:cs="仿宋"/>
          <w:spacing w:val="5"/>
          <w:sz w:val="22"/>
          <w:szCs w:val="22"/>
        </w:rPr>
        <w:t>3.</w:t>
      </w:r>
      <w:r>
        <w:rPr>
          <w:rFonts w:ascii="仿宋" w:eastAsia="仿宋" w:hAnsi="仿宋" w:cs="仿宋"/>
          <w:spacing w:val="-28"/>
          <w:sz w:val="22"/>
          <w:szCs w:val="22"/>
        </w:rPr>
        <w:t xml:space="preserve"> </w:t>
      </w:r>
      <w:r>
        <w:rPr>
          <w:rFonts w:ascii="仿宋" w:eastAsia="仿宋" w:hAnsi="仿宋" w:cs="仿宋"/>
          <w:spacing w:val="5"/>
          <w:sz w:val="22"/>
          <w:szCs w:val="22"/>
        </w:rPr>
        <w:t>糖异生</w:t>
      </w:r>
    </w:p>
    <w:p w:rsidR="00EA40A3" w:rsidRDefault="00E86C16">
      <w:pPr>
        <w:spacing w:before="160" w:line="249" w:lineRule="auto"/>
        <w:ind w:firstLine="439"/>
        <w:jc w:val="both"/>
        <w:rPr>
          <w:rFonts w:ascii="宋体" w:eastAsia="宋体" w:hAnsi="宋体" w:cs="宋体"/>
          <w:sz w:val="22"/>
          <w:szCs w:val="22"/>
        </w:rPr>
      </w:pPr>
      <w:r>
        <w:rPr>
          <w:rFonts w:ascii="宋体" w:eastAsia="宋体" w:hAnsi="宋体" w:cs="宋体"/>
          <w:spacing w:val="-13"/>
          <w:sz w:val="22"/>
          <w:szCs w:val="22"/>
        </w:rPr>
        <w:t>由非碳水化合物转变为葡萄糖或糖原的过程称为糖异生。非碳水化合物主要</w:t>
      </w:r>
      <w:r>
        <w:rPr>
          <w:rFonts w:ascii="宋体" w:eastAsia="宋体" w:hAnsi="宋体" w:cs="宋体"/>
          <w:spacing w:val="8"/>
          <w:sz w:val="22"/>
          <w:szCs w:val="22"/>
        </w:rPr>
        <w:t xml:space="preserve"> </w:t>
      </w:r>
      <w:r>
        <w:rPr>
          <w:rFonts w:ascii="宋体" w:eastAsia="宋体" w:hAnsi="宋体" w:cs="宋体"/>
          <w:spacing w:val="-12"/>
          <w:sz w:val="22"/>
          <w:szCs w:val="22"/>
        </w:rPr>
        <w:t>是乳酸、丙酮酸、甘油、丙酸盐及生糖氨基酸。糖异生的主要场所是肝脏。糖异</w:t>
      </w:r>
      <w:r>
        <w:rPr>
          <w:rFonts w:ascii="宋体" w:eastAsia="宋体" w:hAnsi="宋体" w:cs="宋体"/>
          <w:spacing w:val="1"/>
          <w:sz w:val="22"/>
          <w:szCs w:val="22"/>
        </w:rPr>
        <w:t xml:space="preserve"> </w:t>
      </w:r>
      <w:r>
        <w:rPr>
          <w:rFonts w:ascii="宋体" w:eastAsia="宋体" w:hAnsi="宋体" w:cs="宋体"/>
          <w:spacing w:val="-13"/>
          <w:sz w:val="22"/>
          <w:szCs w:val="22"/>
        </w:rPr>
        <w:t>生具有重要生理意义：①保持饥饿时血糖相对稳定。饥饿时，当肝糖原分解补充</w:t>
      </w:r>
      <w:r>
        <w:rPr>
          <w:rFonts w:ascii="宋体" w:eastAsia="宋体" w:hAnsi="宋体" w:cs="宋体"/>
          <w:spacing w:val="8"/>
          <w:sz w:val="22"/>
          <w:szCs w:val="22"/>
        </w:rPr>
        <w:t xml:space="preserve">  </w:t>
      </w:r>
      <w:r>
        <w:rPr>
          <w:rFonts w:ascii="宋体" w:eastAsia="宋体" w:hAnsi="宋体" w:cs="宋体"/>
          <w:spacing w:val="-13"/>
          <w:sz w:val="22"/>
          <w:szCs w:val="22"/>
        </w:rPr>
        <w:t>葡萄糖将尽时，机体组织蛋白分解而来的大量氨基酸以及体脂分解而来的甘油等</w:t>
      </w:r>
      <w:r>
        <w:rPr>
          <w:rFonts w:ascii="宋体" w:eastAsia="宋体" w:hAnsi="宋体" w:cs="宋体"/>
          <w:spacing w:val="6"/>
          <w:sz w:val="22"/>
          <w:szCs w:val="22"/>
        </w:rPr>
        <w:t xml:space="preserve">  </w:t>
      </w:r>
      <w:r>
        <w:rPr>
          <w:rFonts w:ascii="宋体" w:eastAsia="宋体" w:hAnsi="宋体" w:cs="宋体"/>
          <w:spacing w:val="-13"/>
          <w:sz w:val="22"/>
          <w:szCs w:val="22"/>
        </w:rPr>
        <w:t>非糖物质则加速转变成葡萄糖，从而使血糖保持相对稳定。这对于人体大脑、肾</w:t>
      </w:r>
      <w:r>
        <w:rPr>
          <w:rFonts w:ascii="宋体" w:eastAsia="宋体" w:hAnsi="宋体" w:cs="宋体"/>
          <w:spacing w:val="8"/>
          <w:sz w:val="22"/>
          <w:szCs w:val="22"/>
        </w:rPr>
        <w:t xml:space="preserve">  </w:t>
      </w:r>
      <w:r>
        <w:rPr>
          <w:rFonts w:ascii="宋体" w:eastAsia="宋体" w:hAnsi="宋体" w:cs="宋体"/>
          <w:spacing w:val="-10"/>
          <w:sz w:val="22"/>
          <w:szCs w:val="22"/>
        </w:rPr>
        <w:t>髓质、血细胞、视网膜等主要依赖葡萄糖供能的组织维持其生理功能更显重要。</w:t>
      </w:r>
      <w:r>
        <w:rPr>
          <w:rFonts w:ascii="宋体" w:eastAsia="宋体" w:hAnsi="宋体" w:cs="宋体"/>
          <w:spacing w:val="8"/>
          <w:sz w:val="22"/>
          <w:szCs w:val="22"/>
        </w:rPr>
        <w:t xml:space="preserve"> </w:t>
      </w:r>
      <w:r>
        <w:rPr>
          <w:rFonts w:ascii="宋体" w:eastAsia="宋体" w:hAnsi="宋体" w:cs="宋体"/>
          <w:spacing w:val="-13"/>
          <w:sz w:val="22"/>
          <w:szCs w:val="22"/>
        </w:rPr>
        <w:t>②促进肌乳酸的充分利用。当人体剧烈运动时，肌肉经糖酵解作用生成大量的乳</w:t>
      </w:r>
      <w:r>
        <w:rPr>
          <w:rFonts w:ascii="宋体" w:eastAsia="宋体" w:hAnsi="宋体" w:cs="宋体"/>
          <w:spacing w:val="7"/>
          <w:sz w:val="22"/>
          <w:szCs w:val="22"/>
        </w:rPr>
        <w:t xml:space="preserve">  </w:t>
      </w:r>
      <w:r>
        <w:rPr>
          <w:rFonts w:ascii="宋体" w:eastAsia="宋体" w:hAnsi="宋体" w:cs="宋体"/>
          <w:spacing w:val="-10"/>
          <w:sz w:val="22"/>
          <w:szCs w:val="22"/>
        </w:rPr>
        <w:t>酸，经骨骼肌细胞扩散至血液，再运送到肝脏。通过肝脏中强大的糖异生能力，</w:t>
      </w:r>
      <w:r>
        <w:rPr>
          <w:rFonts w:ascii="宋体" w:eastAsia="宋体" w:hAnsi="宋体" w:cs="宋体"/>
          <w:spacing w:val="8"/>
          <w:sz w:val="22"/>
          <w:szCs w:val="22"/>
        </w:rPr>
        <w:t xml:space="preserve"> </w:t>
      </w:r>
      <w:r>
        <w:rPr>
          <w:rFonts w:ascii="宋体" w:eastAsia="宋体" w:hAnsi="宋体" w:cs="宋体"/>
          <w:spacing w:val="-6"/>
          <w:sz w:val="22"/>
          <w:szCs w:val="22"/>
        </w:rPr>
        <w:t>将乳酸转变为葡萄糖，又返回肌肉供肌肉糖酵解产生能量。如果糖异生途径障</w:t>
      </w:r>
      <w:r>
        <w:rPr>
          <w:rFonts w:ascii="宋体" w:eastAsia="宋体" w:hAnsi="宋体" w:cs="宋体"/>
          <w:spacing w:val="2"/>
          <w:sz w:val="22"/>
          <w:szCs w:val="22"/>
        </w:rPr>
        <w:t xml:space="preserve"> </w:t>
      </w:r>
      <w:r>
        <w:rPr>
          <w:rFonts w:ascii="宋体" w:eastAsia="宋体" w:hAnsi="宋体" w:cs="宋体"/>
          <w:spacing w:val="-14"/>
          <w:sz w:val="22"/>
          <w:szCs w:val="22"/>
        </w:rPr>
        <w:t>碍，则乳酸利用受限，可使得人体运动能力明显下降。</w:t>
      </w:r>
    </w:p>
    <w:p w:rsidR="00EA40A3" w:rsidRDefault="00E86C16">
      <w:pPr>
        <w:spacing w:before="301" w:line="219" w:lineRule="auto"/>
        <w:ind w:left="2109"/>
        <w:rPr>
          <w:rFonts w:ascii="宋体" w:eastAsia="宋体" w:hAnsi="宋体" w:cs="宋体"/>
          <w:sz w:val="28"/>
          <w:szCs w:val="28"/>
        </w:rPr>
      </w:pPr>
      <w:r>
        <w:rPr>
          <w:rFonts w:ascii="宋体" w:eastAsia="宋体" w:hAnsi="宋体" w:cs="宋体"/>
          <w:spacing w:val="-3"/>
          <w:sz w:val="28"/>
          <w:szCs w:val="28"/>
        </w:rPr>
        <w:t>2.4</w:t>
      </w:r>
      <w:r>
        <w:rPr>
          <w:rFonts w:ascii="宋体" w:eastAsia="宋体" w:hAnsi="宋体" w:cs="宋体"/>
          <w:spacing w:val="3"/>
          <w:sz w:val="28"/>
          <w:szCs w:val="28"/>
        </w:rPr>
        <w:t xml:space="preserve">  </w:t>
      </w:r>
      <w:r>
        <w:rPr>
          <w:rFonts w:ascii="宋体" w:eastAsia="宋体" w:hAnsi="宋体" w:cs="宋体"/>
          <w:spacing w:val="-3"/>
          <w:sz w:val="28"/>
          <w:szCs w:val="28"/>
        </w:rPr>
        <w:t>营养代谢物质的排泄</w:t>
      </w:r>
    </w:p>
    <w:p w:rsidR="00EA40A3" w:rsidRDefault="00E86C16">
      <w:pPr>
        <w:spacing w:before="282" w:line="239" w:lineRule="auto"/>
        <w:ind w:right="62" w:firstLine="439"/>
        <w:jc w:val="both"/>
        <w:rPr>
          <w:rFonts w:ascii="宋体" w:eastAsia="宋体" w:hAnsi="宋体" w:cs="宋体"/>
          <w:sz w:val="22"/>
          <w:szCs w:val="22"/>
        </w:rPr>
      </w:pPr>
      <w:r>
        <w:rPr>
          <w:rFonts w:ascii="宋体" w:eastAsia="宋体" w:hAnsi="宋体" w:cs="宋体"/>
          <w:spacing w:val="-12"/>
          <w:sz w:val="22"/>
          <w:szCs w:val="22"/>
        </w:rPr>
        <w:t>机体在新陈代谢过程中，不断产生对自身无用或有害的代谢</w:t>
      </w:r>
      <w:r>
        <w:rPr>
          <w:rFonts w:ascii="宋体" w:eastAsia="宋体" w:hAnsi="宋体" w:cs="宋体"/>
          <w:spacing w:val="-13"/>
          <w:sz w:val="22"/>
          <w:szCs w:val="22"/>
        </w:rPr>
        <w:t>产物，这些代谢</w:t>
      </w:r>
      <w:r>
        <w:rPr>
          <w:rFonts w:ascii="宋体" w:eastAsia="宋体" w:hAnsi="宋体" w:cs="宋体"/>
          <w:sz w:val="22"/>
          <w:szCs w:val="22"/>
        </w:rPr>
        <w:t xml:space="preserve"> </w:t>
      </w:r>
      <w:r>
        <w:rPr>
          <w:rFonts w:ascii="宋体" w:eastAsia="宋体" w:hAnsi="宋体" w:cs="宋体"/>
          <w:spacing w:val="-13"/>
          <w:sz w:val="22"/>
          <w:szCs w:val="22"/>
        </w:rPr>
        <w:t>废物如果不及时清除出体外，就会在体内堆积而对机体造成伤害，因此机体必须</w:t>
      </w:r>
      <w:r>
        <w:rPr>
          <w:rFonts w:ascii="宋体" w:eastAsia="宋体" w:hAnsi="宋体" w:cs="宋体"/>
          <w:spacing w:val="14"/>
          <w:sz w:val="22"/>
          <w:szCs w:val="22"/>
        </w:rPr>
        <w:t xml:space="preserve"> </w:t>
      </w:r>
      <w:r>
        <w:rPr>
          <w:rFonts w:ascii="宋体" w:eastAsia="宋体" w:hAnsi="宋体" w:cs="宋体"/>
          <w:spacing w:val="-13"/>
          <w:sz w:val="22"/>
          <w:szCs w:val="22"/>
        </w:rPr>
        <w:t>通过排泄活动将它们及时地运送到体外。所谓排泄是指机体在新陈代谢过程中所</w:t>
      </w:r>
      <w:r>
        <w:rPr>
          <w:rFonts w:ascii="宋体" w:eastAsia="宋体" w:hAnsi="宋体" w:cs="宋体"/>
          <w:spacing w:val="11"/>
          <w:sz w:val="22"/>
          <w:szCs w:val="22"/>
        </w:rPr>
        <w:t xml:space="preserve"> </w:t>
      </w:r>
      <w:r>
        <w:rPr>
          <w:rFonts w:ascii="宋体" w:eastAsia="宋体" w:hAnsi="宋体" w:cs="宋体"/>
          <w:spacing w:val="-3"/>
          <w:sz w:val="22"/>
          <w:szCs w:val="22"/>
        </w:rPr>
        <w:t>产生的代谢终产物以及多余的水分和进入体内的各种异物(包括</w:t>
      </w:r>
      <w:r>
        <w:rPr>
          <w:rFonts w:ascii="宋体" w:eastAsia="宋体" w:hAnsi="宋体" w:cs="宋体"/>
          <w:spacing w:val="-4"/>
          <w:sz w:val="22"/>
          <w:szCs w:val="22"/>
        </w:rPr>
        <w:t>药物),由排泄</w:t>
      </w:r>
      <w:r>
        <w:rPr>
          <w:rFonts w:ascii="宋体" w:eastAsia="宋体" w:hAnsi="宋体" w:cs="宋体"/>
          <w:sz w:val="22"/>
          <w:szCs w:val="22"/>
        </w:rPr>
        <w:t xml:space="preserve"> </w:t>
      </w:r>
      <w:r>
        <w:rPr>
          <w:rFonts w:ascii="宋体" w:eastAsia="宋体" w:hAnsi="宋体" w:cs="宋体"/>
          <w:spacing w:val="-16"/>
          <w:sz w:val="22"/>
          <w:szCs w:val="22"/>
        </w:rPr>
        <w:t>器官向体外输送的生理过程。</w:t>
      </w:r>
    </w:p>
    <w:p w:rsidR="00EA40A3" w:rsidRDefault="00E86C16">
      <w:pPr>
        <w:spacing w:before="89" w:line="247" w:lineRule="auto"/>
        <w:ind w:right="84" w:firstLine="439"/>
        <w:jc w:val="both"/>
        <w:rPr>
          <w:rFonts w:ascii="宋体" w:eastAsia="宋体" w:hAnsi="宋体" w:cs="宋体"/>
          <w:sz w:val="22"/>
          <w:szCs w:val="22"/>
        </w:rPr>
      </w:pPr>
      <w:r>
        <w:rPr>
          <w:rFonts w:ascii="宋体" w:eastAsia="宋体" w:hAnsi="宋体" w:cs="宋体"/>
          <w:spacing w:val="-13"/>
          <w:sz w:val="22"/>
          <w:szCs w:val="22"/>
        </w:rPr>
        <w:t>机体的排泄器官主要是肾，其次是肺、皮肤、肝和肠。肾脏以尿的形式排出</w:t>
      </w:r>
      <w:r>
        <w:rPr>
          <w:rFonts w:ascii="宋体" w:eastAsia="宋体" w:hAnsi="宋体" w:cs="宋体"/>
          <w:spacing w:val="3"/>
          <w:sz w:val="22"/>
          <w:szCs w:val="22"/>
        </w:rPr>
        <w:t xml:space="preserve"> </w:t>
      </w:r>
      <w:r>
        <w:rPr>
          <w:rFonts w:ascii="宋体" w:eastAsia="宋体" w:hAnsi="宋体" w:cs="宋体"/>
          <w:spacing w:val="-13"/>
          <w:sz w:val="22"/>
          <w:szCs w:val="22"/>
        </w:rPr>
        <w:t>多种代谢终产物和某些异物，如尿素、尿酸、肌酐、马尿酸、水及进入体内的药</w:t>
      </w:r>
      <w:r>
        <w:rPr>
          <w:rFonts w:ascii="宋体" w:eastAsia="宋体" w:hAnsi="宋体" w:cs="宋体"/>
          <w:spacing w:val="13"/>
          <w:sz w:val="22"/>
          <w:szCs w:val="22"/>
        </w:rPr>
        <w:t xml:space="preserve"> </w:t>
      </w:r>
      <w:r>
        <w:rPr>
          <w:rFonts w:ascii="宋体" w:eastAsia="宋体" w:hAnsi="宋体" w:cs="宋体"/>
          <w:spacing w:val="-13"/>
          <w:sz w:val="22"/>
          <w:szCs w:val="22"/>
        </w:rPr>
        <w:t>物等；肺借助呼气动作，排出二氧化碳和少量水，以及一些挥发性物质；皮肤依</w:t>
      </w:r>
      <w:r>
        <w:rPr>
          <w:rFonts w:ascii="宋体" w:eastAsia="宋体" w:hAnsi="宋体" w:cs="宋体"/>
          <w:spacing w:val="16"/>
          <w:sz w:val="22"/>
          <w:szCs w:val="22"/>
        </w:rPr>
        <w:t xml:space="preserve"> </w:t>
      </w:r>
      <w:r>
        <w:rPr>
          <w:rFonts w:ascii="宋体" w:eastAsia="宋体" w:hAnsi="宋体" w:cs="宋体"/>
          <w:sz w:val="22"/>
          <w:szCs w:val="22"/>
        </w:rPr>
        <w:t>靠汗腺分泌，排出一部分水和少量的尿素与盐类；肝</w:t>
      </w:r>
      <w:r>
        <w:rPr>
          <w:rFonts w:ascii="宋体" w:eastAsia="宋体" w:hAnsi="宋体" w:cs="宋体"/>
          <w:spacing w:val="-1"/>
          <w:sz w:val="22"/>
          <w:szCs w:val="22"/>
        </w:rPr>
        <w:t>和肠把胆色素和无机盐</w:t>
      </w:r>
      <w:r>
        <w:rPr>
          <w:rFonts w:ascii="宋体" w:eastAsia="宋体" w:hAnsi="宋体" w:cs="宋体"/>
          <w:sz w:val="22"/>
          <w:szCs w:val="22"/>
        </w:rPr>
        <w:t xml:space="preserve"> </w:t>
      </w:r>
      <w:r>
        <w:rPr>
          <w:rFonts w:ascii="宋体" w:eastAsia="宋体" w:hAnsi="宋体" w:cs="宋体"/>
          <w:spacing w:val="-7"/>
          <w:sz w:val="22"/>
          <w:szCs w:val="22"/>
        </w:rPr>
        <w:t>(钙、镁、铁等)排入肠腔，随粪便排出体外。在这些排泄器官中，由肾脏排出</w:t>
      </w:r>
      <w:r>
        <w:rPr>
          <w:rFonts w:ascii="宋体" w:eastAsia="宋体" w:hAnsi="宋体" w:cs="宋体"/>
          <w:spacing w:val="9"/>
          <w:sz w:val="22"/>
          <w:szCs w:val="22"/>
        </w:rPr>
        <w:t xml:space="preserve"> </w:t>
      </w:r>
      <w:r>
        <w:rPr>
          <w:rFonts w:ascii="宋体" w:eastAsia="宋体" w:hAnsi="宋体" w:cs="宋体"/>
          <w:spacing w:val="-6"/>
          <w:sz w:val="22"/>
          <w:szCs w:val="22"/>
        </w:rPr>
        <w:t>的代谢终产物不仅种类多、数量大，而且肾脏还可根据机</w:t>
      </w:r>
      <w:r>
        <w:rPr>
          <w:rFonts w:ascii="宋体" w:eastAsia="宋体" w:hAnsi="宋体" w:cs="宋体"/>
          <w:spacing w:val="-7"/>
          <w:sz w:val="22"/>
          <w:szCs w:val="22"/>
        </w:rPr>
        <w:t>体情况调节尿的质和</w:t>
      </w:r>
      <w:r>
        <w:rPr>
          <w:rFonts w:ascii="宋体" w:eastAsia="宋体" w:hAnsi="宋体" w:cs="宋体"/>
          <w:sz w:val="22"/>
          <w:szCs w:val="22"/>
        </w:rPr>
        <w:t xml:space="preserve"> </w:t>
      </w:r>
      <w:r>
        <w:rPr>
          <w:rFonts w:ascii="宋体" w:eastAsia="宋体" w:hAnsi="宋体" w:cs="宋体"/>
          <w:spacing w:val="-15"/>
          <w:sz w:val="22"/>
          <w:szCs w:val="22"/>
        </w:rPr>
        <w:t>量，因而肾脏的泌尿作用具有特别重要的意义。</w:t>
      </w:r>
    </w:p>
    <w:p w:rsidR="00EA40A3" w:rsidRDefault="00E86C16">
      <w:pPr>
        <w:spacing w:before="125" w:line="222" w:lineRule="auto"/>
        <w:ind w:left="3"/>
        <w:outlineLvl w:val="6"/>
        <w:rPr>
          <w:rFonts w:ascii="黑体" w:eastAsia="黑体" w:hAnsi="黑体" w:cs="黑体"/>
          <w:sz w:val="25"/>
          <w:szCs w:val="25"/>
        </w:rPr>
      </w:pPr>
      <w:r>
        <w:rPr>
          <w:rFonts w:ascii="黑体" w:eastAsia="黑体" w:hAnsi="黑体" w:cs="黑体"/>
          <w:b/>
          <w:bCs/>
          <w:spacing w:val="-13"/>
          <w:sz w:val="25"/>
          <w:szCs w:val="25"/>
        </w:rPr>
        <w:t>2.4.1</w:t>
      </w:r>
      <w:r>
        <w:rPr>
          <w:rFonts w:ascii="黑体" w:eastAsia="黑体" w:hAnsi="黑体" w:cs="黑体"/>
          <w:spacing w:val="127"/>
          <w:sz w:val="25"/>
          <w:szCs w:val="25"/>
        </w:rPr>
        <w:t xml:space="preserve"> </w:t>
      </w:r>
      <w:r>
        <w:rPr>
          <w:rFonts w:ascii="黑体" w:eastAsia="黑体" w:hAnsi="黑体" w:cs="黑体"/>
          <w:b/>
          <w:bCs/>
          <w:spacing w:val="-13"/>
          <w:sz w:val="25"/>
          <w:szCs w:val="25"/>
        </w:rPr>
        <w:t>肾的结构特点</w:t>
      </w:r>
    </w:p>
    <w:p w:rsidR="00EA40A3" w:rsidRDefault="00E86C16">
      <w:pPr>
        <w:spacing w:before="192" w:line="219" w:lineRule="auto"/>
        <w:ind w:left="439"/>
        <w:rPr>
          <w:rFonts w:ascii="宋体" w:eastAsia="宋体" w:hAnsi="宋体" w:cs="宋体"/>
          <w:sz w:val="22"/>
          <w:szCs w:val="22"/>
        </w:rPr>
      </w:pPr>
      <w:r>
        <w:rPr>
          <w:rFonts w:ascii="宋体" w:eastAsia="宋体" w:hAnsi="宋体" w:cs="宋体"/>
          <w:spacing w:val="-14"/>
          <w:sz w:val="22"/>
          <w:szCs w:val="22"/>
        </w:rPr>
        <w:t>肾脏的基本功能单位称肾单位，它与集合管共同完成泌尿功能。</w:t>
      </w:r>
    </w:p>
    <w:p w:rsidR="00EA40A3" w:rsidRDefault="00E86C16">
      <w:pPr>
        <w:spacing w:before="157" w:line="221" w:lineRule="auto"/>
        <w:rPr>
          <w:rFonts w:ascii="仿宋" w:eastAsia="仿宋" w:hAnsi="仿宋" w:cs="仿宋"/>
          <w:sz w:val="22"/>
          <w:szCs w:val="22"/>
        </w:rPr>
      </w:pPr>
      <w:r>
        <w:rPr>
          <w:rFonts w:ascii="仿宋" w:eastAsia="仿宋" w:hAnsi="仿宋" w:cs="仿宋"/>
          <w:spacing w:val="-1"/>
          <w:sz w:val="22"/>
          <w:szCs w:val="22"/>
        </w:rPr>
        <w:t>1.</w:t>
      </w:r>
      <w:r>
        <w:rPr>
          <w:rFonts w:ascii="仿宋" w:eastAsia="仿宋" w:hAnsi="仿宋" w:cs="仿宋"/>
          <w:spacing w:val="-3"/>
          <w:sz w:val="22"/>
          <w:szCs w:val="22"/>
        </w:rPr>
        <w:t xml:space="preserve"> </w:t>
      </w:r>
      <w:r>
        <w:rPr>
          <w:rFonts w:ascii="仿宋" w:eastAsia="仿宋" w:hAnsi="仿宋" w:cs="仿宋"/>
          <w:spacing w:val="-1"/>
          <w:sz w:val="22"/>
          <w:szCs w:val="22"/>
        </w:rPr>
        <w:t>肾单位</w:t>
      </w:r>
    </w:p>
    <w:p w:rsidR="00EA40A3" w:rsidRDefault="00E86C16">
      <w:pPr>
        <w:spacing w:before="230" w:line="219" w:lineRule="auto"/>
        <w:ind w:left="439"/>
        <w:rPr>
          <w:rFonts w:ascii="宋体" w:eastAsia="宋体" w:hAnsi="宋体" w:cs="宋体"/>
          <w:sz w:val="22"/>
          <w:szCs w:val="22"/>
        </w:rPr>
      </w:pPr>
      <w:r>
        <w:rPr>
          <w:rFonts w:ascii="宋体" w:eastAsia="宋体" w:hAnsi="宋体" w:cs="宋体"/>
          <w:spacing w:val="3"/>
          <w:sz w:val="22"/>
          <w:szCs w:val="22"/>
        </w:rPr>
        <w:t>人的两侧肾脏约有170万～240万个肾单位，每个肾单位(图2-7)包括肾</w:t>
      </w:r>
    </w:p>
    <w:p w:rsidR="00EA40A3" w:rsidRDefault="00E86C16">
      <w:pPr>
        <w:spacing w:before="85"/>
        <w:ind w:right="95"/>
        <w:jc w:val="right"/>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6"/>
          <w:sz w:val="18"/>
          <w:szCs w:val="18"/>
        </w:rPr>
        <w:t xml:space="preserve"> </w:t>
      </w:r>
      <w:r>
        <w:rPr>
          <w:rFonts w:ascii="宋体" w:eastAsia="宋体" w:hAnsi="宋体" w:cs="宋体"/>
          <w:spacing w:val="-31"/>
          <w:sz w:val="18"/>
          <w:szCs w:val="18"/>
        </w:rPr>
        <w:t>35</w:t>
      </w:r>
      <w:r>
        <w:rPr>
          <w:rFonts w:ascii="宋体" w:eastAsia="宋体" w:hAnsi="宋体" w:cs="宋体"/>
          <w:spacing w:val="43"/>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990" w:bottom="400" w:left="869" w:header="0" w:footer="0" w:gutter="0"/>
          <w:cols w:space="720"/>
        </w:sectPr>
      </w:pPr>
    </w:p>
    <w:p w:rsidR="00EA40A3" w:rsidRDefault="00EA40A3">
      <w:pPr>
        <w:spacing w:line="274" w:lineRule="auto"/>
      </w:pPr>
    </w:p>
    <w:p w:rsidR="00EA40A3" w:rsidRDefault="00EA40A3">
      <w:pPr>
        <w:spacing w:line="275" w:lineRule="auto"/>
      </w:pPr>
    </w:p>
    <w:p w:rsidR="00EA40A3" w:rsidRDefault="00E86C16">
      <w:pPr>
        <w:spacing w:before="68" w:line="256" w:lineRule="auto"/>
        <w:ind w:left="10" w:right="11"/>
        <w:jc w:val="both"/>
        <w:rPr>
          <w:rFonts w:ascii="宋体" w:eastAsia="宋体" w:hAnsi="宋体" w:cs="宋体"/>
        </w:rPr>
      </w:pPr>
      <w:bookmarkStart w:id="15" w:name="_bookmark19"/>
      <w:bookmarkEnd w:id="15"/>
      <w:r>
        <w:rPr>
          <w:rFonts w:ascii="宋体" w:eastAsia="宋体" w:hAnsi="宋体" w:cs="宋体"/>
          <w:spacing w:val="4"/>
        </w:rPr>
        <w:t>小体和肾小管两部分，肾小体又包括肾小球和肾小囊。肾小球是一</w:t>
      </w:r>
      <w:r>
        <w:rPr>
          <w:rFonts w:ascii="宋体" w:eastAsia="宋体" w:hAnsi="宋体" w:cs="宋体"/>
          <w:spacing w:val="3"/>
        </w:rPr>
        <w:t>团毛细血管</w:t>
      </w:r>
      <w:r>
        <w:rPr>
          <w:rFonts w:ascii="宋体" w:eastAsia="宋体" w:hAnsi="宋体" w:cs="宋体"/>
        </w:rPr>
        <w:t xml:space="preserve"> </w:t>
      </w:r>
      <w:r>
        <w:rPr>
          <w:rFonts w:ascii="宋体" w:eastAsia="宋体" w:hAnsi="宋体" w:cs="宋体"/>
          <w:spacing w:val="-2"/>
        </w:rPr>
        <w:t>网，其两端分别与入球小动脉和出球小动脉相连。肾</w:t>
      </w:r>
      <w:r>
        <w:rPr>
          <w:rFonts w:ascii="宋体" w:eastAsia="宋体" w:hAnsi="宋体" w:cs="宋体"/>
          <w:spacing w:val="-3"/>
        </w:rPr>
        <w:t>动脉从腹主动脉分出后进入</w:t>
      </w:r>
      <w:r>
        <w:rPr>
          <w:rFonts w:ascii="宋体" w:eastAsia="宋体" w:hAnsi="宋体" w:cs="宋体"/>
        </w:rPr>
        <w:t xml:space="preserve"> </w:t>
      </w:r>
      <w:r>
        <w:rPr>
          <w:rFonts w:ascii="宋体" w:eastAsia="宋体" w:hAnsi="宋体" w:cs="宋体"/>
          <w:spacing w:val="-2"/>
        </w:rPr>
        <w:t>肾脏，逐渐变细分成为许多分支，称为入球小动脉。入球小动</w:t>
      </w:r>
      <w:r>
        <w:rPr>
          <w:rFonts w:ascii="宋体" w:eastAsia="宋体" w:hAnsi="宋体" w:cs="宋体"/>
          <w:spacing w:val="-3"/>
        </w:rPr>
        <w:t>脉再分成许多毛细</w:t>
      </w:r>
      <w:r>
        <w:rPr>
          <w:rFonts w:ascii="宋体" w:eastAsia="宋体" w:hAnsi="宋体" w:cs="宋体"/>
        </w:rPr>
        <w:t xml:space="preserve"> </w:t>
      </w:r>
      <w:r>
        <w:rPr>
          <w:rFonts w:ascii="宋体" w:eastAsia="宋体" w:hAnsi="宋体" w:cs="宋体"/>
          <w:spacing w:val="7"/>
        </w:rPr>
        <w:t>血管，形成肾小球。肾小球的包囊称为肾小囊，它有两层上皮细胞</w:t>
      </w:r>
      <w:r>
        <w:rPr>
          <w:rFonts w:ascii="宋体" w:eastAsia="宋体" w:hAnsi="宋体" w:cs="宋体"/>
          <w:spacing w:val="6"/>
        </w:rPr>
        <w:t>，内层(脏</w:t>
      </w:r>
      <w:r>
        <w:rPr>
          <w:rFonts w:ascii="宋体" w:eastAsia="宋体" w:hAnsi="宋体" w:cs="宋体"/>
        </w:rPr>
        <w:t xml:space="preserve"> </w:t>
      </w:r>
      <w:r>
        <w:rPr>
          <w:rFonts w:ascii="宋体" w:eastAsia="宋体" w:hAnsi="宋体" w:cs="宋体"/>
          <w:spacing w:val="7"/>
        </w:rPr>
        <w:t>层)紧贴在毛细血管壁上，外层(壁层)与肾小管管壁相连</w:t>
      </w:r>
      <w:r>
        <w:rPr>
          <w:rFonts w:ascii="宋体" w:eastAsia="宋体" w:hAnsi="宋体" w:cs="宋体"/>
          <w:spacing w:val="6"/>
        </w:rPr>
        <w:t>；两层上皮之间的腔</w:t>
      </w:r>
      <w:r>
        <w:rPr>
          <w:rFonts w:ascii="宋体" w:eastAsia="宋体" w:hAnsi="宋体" w:cs="宋体"/>
        </w:rPr>
        <w:t xml:space="preserve"> </w:t>
      </w:r>
      <w:r>
        <w:rPr>
          <w:rFonts w:ascii="宋体" w:eastAsia="宋体" w:hAnsi="宋体" w:cs="宋体"/>
          <w:spacing w:val="-6"/>
        </w:rPr>
        <w:t>隙称为囊腔，与肾小管管腔相通。</w:t>
      </w:r>
    </w:p>
    <w:p w:rsidR="00EA40A3" w:rsidRDefault="00E86C16">
      <w:pPr>
        <w:spacing w:before="182" w:line="4660" w:lineRule="exact"/>
        <w:ind w:firstLine="1739"/>
        <w:textAlignment w:val="center"/>
      </w:pPr>
      <w:r>
        <w:rPr>
          <w:noProof/>
        </w:rPr>
        <w:drawing>
          <wp:inline distT="0" distB="0" distL="0" distR="0">
            <wp:extent cx="2482850" cy="295846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42"/>
                    <a:stretch>
                      <a:fillRect/>
                    </a:stretch>
                  </pic:blipFill>
                  <pic:spPr>
                    <a:xfrm>
                      <a:off x="0" y="0"/>
                      <a:ext cx="2482860" cy="2959079"/>
                    </a:xfrm>
                    <a:prstGeom prst="rect">
                      <a:avLst/>
                    </a:prstGeom>
                  </pic:spPr>
                </pic:pic>
              </a:graphicData>
            </a:graphic>
          </wp:inline>
        </w:drawing>
      </w:r>
    </w:p>
    <w:p w:rsidR="00EA40A3" w:rsidRDefault="00E86C16">
      <w:pPr>
        <w:spacing w:before="168" w:line="219" w:lineRule="auto"/>
        <w:ind w:left="2849"/>
        <w:rPr>
          <w:rFonts w:ascii="宋体" w:eastAsia="宋体" w:hAnsi="宋体" w:cs="宋体"/>
        </w:rPr>
      </w:pPr>
      <w:r>
        <w:rPr>
          <w:rFonts w:ascii="宋体" w:eastAsia="宋体" w:hAnsi="宋体" w:cs="宋体"/>
          <w:spacing w:val="-23"/>
        </w:rPr>
        <w:t>图2-7</w:t>
      </w:r>
      <w:r>
        <w:rPr>
          <w:rFonts w:ascii="宋体" w:eastAsia="宋体" w:hAnsi="宋体" w:cs="宋体"/>
          <w:spacing w:val="65"/>
        </w:rPr>
        <w:t xml:space="preserve"> </w:t>
      </w:r>
      <w:r>
        <w:rPr>
          <w:rFonts w:ascii="宋体" w:eastAsia="宋体" w:hAnsi="宋体" w:cs="宋体"/>
          <w:spacing w:val="-23"/>
        </w:rPr>
        <w:t>肾单位示意图</w:t>
      </w:r>
    </w:p>
    <w:p w:rsidR="00EA40A3" w:rsidRDefault="00EA40A3">
      <w:pPr>
        <w:spacing w:line="260" w:lineRule="auto"/>
      </w:pPr>
    </w:p>
    <w:p w:rsidR="00EA40A3" w:rsidRDefault="00E86C16">
      <w:pPr>
        <w:spacing w:before="68" w:line="246" w:lineRule="auto"/>
        <w:ind w:left="10" w:right="15" w:firstLine="409"/>
        <w:rPr>
          <w:rFonts w:ascii="宋体" w:eastAsia="宋体" w:hAnsi="宋体" w:cs="宋体"/>
        </w:rPr>
      </w:pPr>
      <w:r>
        <w:rPr>
          <w:rFonts w:ascii="宋体" w:eastAsia="宋体" w:hAnsi="宋体" w:cs="宋体"/>
          <w:spacing w:val="-2"/>
        </w:rPr>
        <w:t>血浆中某些成分通过肾小球毛细血管网向囊腔滤出；滤出时必</w:t>
      </w:r>
      <w:r>
        <w:rPr>
          <w:rFonts w:ascii="宋体" w:eastAsia="宋体" w:hAnsi="宋体" w:cs="宋体"/>
          <w:spacing w:val="-3"/>
        </w:rPr>
        <w:t>须通过肾小球</w:t>
      </w:r>
      <w:r>
        <w:rPr>
          <w:rFonts w:ascii="宋体" w:eastAsia="宋体" w:hAnsi="宋体" w:cs="宋体"/>
        </w:rPr>
        <w:t xml:space="preserve"> </w:t>
      </w:r>
      <w:r>
        <w:rPr>
          <w:rFonts w:ascii="宋体" w:eastAsia="宋体" w:hAnsi="宋体" w:cs="宋体"/>
          <w:spacing w:val="-3"/>
        </w:rPr>
        <w:t>毛细血管内皮细胞、基膜和肾小囊脏层上皮细胞，这三者构成滤过膜。</w:t>
      </w:r>
    </w:p>
    <w:p w:rsidR="00EA40A3" w:rsidRDefault="00E86C16">
      <w:pPr>
        <w:spacing w:before="58" w:line="253" w:lineRule="auto"/>
        <w:ind w:left="10" w:firstLine="409"/>
        <w:rPr>
          <w:rFonts w:ascii="宋体" w:eastAsia="宋体" w:hAnsi="宋体" w:cs="宋体"/>
        </w:rPr>
      </w:pPr>
      <w:r>
        <w:rPr>
          <w:rFonts w:ascii="宋体" w:eastAsia="宋体" w:hAnsi="宋体" w:cs="宋体"/>
          <w:spacing w:val="1"/>
        </w:rPr>
        <w:t xml:space="preserve">肾小管由近球小管、髓袢和远球小管3部分组成。髓袢由髓袢降支和髓袢升 </w:t>
      </w:r>
      <w:r>
        <w:rPr>
          <w:rFonts w:ascii="宋体" w:eastAsia="宋体" w:hAnsi="宋体" w:cs="宋体"/>
          <w:spacing w:val="4"/>
        </w:rPr>
        <w:t>支组成，前者包括髓袢降支粗段和降支细段；后者是指髓袢</w:t>
      </w:r>
      <w:r>
        <w:rPr>
          <w:rFonts w:ascii="宋体" w:eastAsia="宋体" w:hAnsi="宋体" w:cs="宋体"/>
          <w:spacing w:val="3"/>
        </w:rPr>
        <w:t>升支细段和升支粗</w:t>
      </w:r>
      <w:r>
        <w:rPr>
          <w:rFonts w:ascii="宋体" w:eastAsia="宋体" w:hAnsi="宋体" w:cs="宋体"/>
        </w:rPr>
        <w:t xml:space="preserve"> </w:t>
      </w:r>
      <w:r>
        <w:rPr>
          <w:rFonts w:ascii="宋体" w:eastAsia="宋体" w:hAnsi="宋体" w:cs="宋体"/>
          <w:spacing w:val="-2"/>
        </w:rPr>
        <w:t>段。近球小管包括近曲小管和髓袢降支粗段。远球小管包括髓拌升支粗段和远曲</w:t>
      </w:r>
      <w:r>
        <w:rPr>
          <w:rFonts w:ascii="宋体" w:eastAsia="宋体" w:hAnsi="宋体" w:cs="宋体"/>
          <w:spacing w:val="3"/>
        </w:rPr>
        <w:t xml:space="preserve"> </w:t>
      </w:r>
      <w:r>
        <w:rPr>
          <w:rFonts w:ascii="宋体" w:eastAsia="宋体" w:hAnsi="宋体" w:cs="宋体"/>
          <w:spacing w:val="-5"/>
        </w:rPr>
        <w:t>小管。远曲小管末端与集合管相连。</w:t>
      </w:r>
    </w:p>
    <w:p w:rsidR="00EA40A3" w:rsidRDefault="00E86C16">
      <w:pPr>
        <w:spacing w:before="199" w:line="222" w:lineRule="auto"/>
        <w:ind w:left="10"/>
        <w:rPr>
          <w:rFonts w:ascii="仿宋" w:eastAsia="仿宋" w:hAnsi="仿宋" w:cs="仿宋"/>
          <w:sz w:val="25"/>
          <w:szCs w:val="25"/>
        </w:rPr>
      </w:pPr>
      <w:r>
        <w:rPr>
          <w:rFonts w:ascii="仿宋" w:eastAsia="仿宋" w:hAnsi="仿宋" w:cs="仿宋"/>
          <w:spacing w:val="-5"/>
          <w:sz w:val="25"/>
          <w:szCs w:val="25"/>
        </w:rPr>
        <w:t>2.</w:t>
      </w:r>
      <w:r>
        <w:rPr>
          <w:rFonts w:ascii="仿宋" w:eastAsia="仿宋" w:hAnsi="仿宋" w:cs="仿宋"/>
          <w:spacing w:val="-73"/>
          <w:sz w:val="25"/>
          <w:szCs w:val="25"/>
        </w:rPr>
        <w:t xml:space="preserve"> </w:t>
      </w:r>
      <w:r>
        <w:rPr>
          <w:rFonts w:ascii="仿宋" w:eastAsia="仿宋" w:hAnsi="仿宋" w:cs="仿宋"/>
          <w:spacing w:val="-5"/>
          <w:sz w:val="25"/>
          <w:szCs w:val="25"/>
        </w:rPr>
        <w:t>集合管</w:t>
      </w:r>
    </w:p>
    <w:p w:rsidR="00EA40A3" w:rsidRDefault="00E86C16">
      <w:pPr>
        <w:spacing w:before="181" w:line="259" w:lineRule="auto"/>
        <w:ind w:right="15" w:firstLine="419"/>
        <w:jc w:val="both"/>
        <w:rPr>
          <w:rFonts w:ascii="宋体" w:eastAsia="宋体" w:hAnsi="宋体" w:cs="宋体"/>
        </w:rPr>
      </w:pPr>
      <w:r>
        <w:rPr>
          <w:rFonts w:ascii="宋体" w:eastAsia="宋体" w:hAnsi="宋体" w:cs="宋体"/>
          <w:spacing w:val="-2"/>
        </w:rPr>
        <w:t>集合管不包括在肾单位内，但在功能上和远球小管密切相关</w:t>
      </w:r>
      <w:r>
        <w:rPr>
          <w:rFonts w:ascii="宋体" w:eastAsia="宋体" w:hAnsi="宋体" w:cs="宋体"/>
          <w:spacing w:val="-3"/>
        </w:rPr>
        <w:t>，在尿生成过程</w:t>
      </w:r>
      <w:r>
        <w:rPr>
          <w:rFonts w:ascii="宋体" w:eastAsia="宋体" w:hAnsi="宋体" w:cs="宋体"/>
        </w:rPr>
        <w:t xml:space="preserve"> </w:t>
      </w:r>
      <w:r>
        <w:rPr>
          <w:rFonts w:ascii="宋体" w:eastAsia="宋体" w:hAnsi="宋体" w:cs="宋体"/>
          <w:spacing w:val="-2"/>
        </w:rPr>
        <w:t>中，特别是在尿液浓缩过程中起着重要作用。每一集合管接受多条远曲小管</w:t>
      </w:r>
      <w:r>
        <w:rPr>
          <w:rFonts w:ascii="宋体" w:eastAsia="宋体" w:hAnsi="宋体" w:cs="宋体"/>
          <w:spacing w:val="-3"/>
        </w:rPr>
        <w:t>运来</w:t>
      </w:r>
      <w:r>
        <w:rPr>
          <w:rFonts w:ascii="宋体" w:eastAsia="宋体" w:hAnsi="宋体" w:cs="宋体"/>
        </w:rPr>
        <w:t xml:space="preserve"> </w:t>
      </w:r>
      <w:r>
        <w:rPr>
          <w:rFonts w:ascii="宋体" w:eastAsia="宋体" w:hAnsi="宋体" w:cs="宋体"/>
          <w:spacing w:val="-2"/>
        </w:rPr>
        <w:t>的液体，许多集合管又汇入乳头管，最后形成的尿液经肾盏、肾盂、输尿管</w:t>
      </w:r>
      <w:r>
        <w:rPr>
          <w:rFonts w:ascii="宋体" w:eastAsia="宋体" w:hAnsi="宋体" w:cs="宋体"/>
          <w:spacing w:val="-3"/>
        </w:rPr>
        <w:t>进入</w:t>
      </w:r>
      <w:r>
        <w:rPr>
          <w:rFonts w:ascii="宋体" w:eastAsia="宋体" w:hAnsi="宋体" w:cs="宋体"/>
        </w:rPr>
        <w:t xml:space="preserve"> </w:t>
      </w:r>
      <w:r>
        <w:rPr>
          <w:rFonts w:ascii="宋体" w:eastAsia="宋体" w:hAnsi="宋体" w:cs="宋体"/>
          <w:spacing w:val="-4"/>
        </w:rPr>
        <w:t>膀胱，由尿道排出体外。</w:t>
      </w:r>
    </w:p>
    <w:p w:rsidR="00EA40A3" w:rsidRDefault="00E86C16">
      <w:pPr>
        <w:spacing w:before="32"/>
        <w:ind w:left="150"/>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36</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pgSz w:w="9220" w:h="13360"/>
          <w:pgMar w:top="400" w:right="1095" w:bottom="400" w:left="829" w:header="0" w:footer="0" w:gutter="0"/>
          <w:cols w:space="720"/>
        </w:sectPr>
      </w:pPr>
    </w:p>
    <w:p w:rsidR="00EA40A3" w:rsidRDefault="00EA40A3">
      <w:pPr>
        <w:spacing w:line="252" w:lineRule="auto"/>
      </w:pPr>
    </w:p>
    <w:p w:rsidR="00EA40A3" w:rsidRDefault="00EA40A3">
      <w:pPr>
        <w:spacing w:line="252" w:lineRule="auto"/>
      </w:pPr>
    </w:p>
    <w:p w:rsidR="00EA40A3" w:rsidRDefault="00EA40A3">
      <w:pPr>
        <w:spacing w:line="252" w:lineRule="auto"/>
      </w:pPr>
    </w:p>
    <w:p w:rsidR="00EA40A3" w:rsidRDefault="00E86C16">
      <w:pPr>
        <w:spacing w:before="75" w:line="222" w:lineRule="auto"/>
        <w:ind w:left="3"/>
        <w:outlineLvl w:val="6"/>
        <w:rPr>
          <w:rFonts w:ascii="黑体" w:eastAsia="黑体" w:hAnsi="黑体" w:cs="黑体"/>
          <w:sz w:val="23"/>
          <w:szCs w:val="23"/>
        </w:rPr>
      </w:pPr>
      <w:r>
        <w:rPr>
          <w:rFonts w:ascii="黑体" w:eastAsia="黑体" w:hAnsi="黑体" w:cs="黑体"/>
          <w:b/>
          <w:bCs/>
          <w:sz w:val="23"/>
          <w:szCs w:val="23"/>
        </w:rPr>
        <w:t>2.4.2</w:t>
      </w:r>
      <w:r>
        <w:rPr>
          <w:rFonts w:ascii="黑体" w:eastAsia="黑体" w:hAnsi="黑体" w:cs="黑体"/>
          <w:spacing w:val="51"/>
          <w:sz w:val="23"/>
          <w:szCs w:val="23"/>
        </w:rPr>
        <w:t xml:space="preserve">  </w:t>
      </w:r>
      <w:r>
        <w:rPr>
          <w:rFonts w:ascii="黑体" w:eastAsia="黑体" w:hAnsi="黑体" w:cs="黑体"/>
          <w:b/>
          <w:bCs/>
          <w:sz w:val="23"/>
          <w:szCs w:val="23"/>
        </w:rPr>
        <w:t>尿液的生成</w:t>
      </w:r>
    </w:p>
    <w:p w:rsidR="00EA40A3" w:rsidRDefault="00E86C16">
      <w:pPr>
        <w:spacing w:before="166" w:line="234" w:lineRule="auto"/>
        <w:ind w:right="216" w:firstLine="330"/>
        <w:rPr>
          <w:rFonts w:ascii="宋体" w:eastAsia="宋体" w:hAnsi="宋体" w:cs="宋体"/>
          <w:sz w:val="23"/>
          <w:szCs w:val="23"/>
        </w:rPr>
      </w:pPr>
      <w:r>
        <w:rPr>
          <w:rFonts w:ascii="宋体" w:eastAsia="宋体" w:hAnsi="宋体" w:cs="宋体"/>
          <w:spacing w:val="-23"/>
          <w:sz w:val="23"/>
          <w:szCs w:val="23"/>
        </w:rPr>
        <w:t>肾脏生成尿包括相互联系的两个过程，即肾小</w:t>
      </w:r>
      <w:r>
        <w:rPr>
          <w:rFonts w:ascii="宋体" w:eastAsia="宋体" w:hAnsi="宋体" w:cs="宋体"/>
          <w:spacing w:val="-24"/>
          <w:sz w:val="23"/>
          <w:szCs w:val="23"/>
        </w:rPr>
        <w:t>球的滤过作用和肾小管的重吸</w:t>
      </w:r>
      <w:r>
        <w:rPr>
          <w:rFonts w:ascii="宋体" w:eastAsia="宋体" w:hAnsi="宋体" w:cs="宋体"/>
          <w:sz w:val="23"/>
          <w:szCs w:val="23"/>
        </w:rPr>
        <w:t xml:space="preserve"> </w:t>
      </w:r>
      <w:r>
        <w:rPr>
          <w:rFonts w:ascii="宋体" w:eastAsia="宋体" w:hAnsi="宋体" w:cs="宋体"/>
          <w:spacing w:val="-24"/>
          <w:sz w:val="23"/>
          <w:szCs w:val="23"/>
        </w:rPr>
        <w:t>收、分泌、排泄作用。</w:t>
      </w:r>
    </w:p>
    <w:p w:rsidR="00EA40A3" w:rsidRDefault="00E86C16">
      <w:pPr>
        <w:spacing w:before="202" w:line="220" w:lineRule="auto"/>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25"/>
          <w:sz w:val="23"/>
          <w:szCs w:val="23"/>
        </w:rPr>
        <w:t xml:space="preserve"> </w:t>
      </w:r>
      <w:r>
        <w:rPr>
          <w:rFonts w:ascii="仿宋" w:eastAsia="仿宋" w:hAnsi="仿宋" w:cs="仿宋"/>
          <w:spacing w:val="-1"/>
          <w:sz w:val="23"/>
          <w:szCs w:val="23"/>
        </w:rPr>
        <w:t>肾小球的滤过作用</w:t>
      </w:r>
    </w:p>
    <w:p w:rsidR="00EA40A3" w:rsidRDefault="00E86C16">
      <w:pPr>
        <w:spacing w:before="182" w:line="235" w:lineRule="auto"/>
        <w:ind w:right="97" w:firstLine="330"/>
        <w:jc w:val="both"/>
        <w:rPr>
          <w:rFonts w:ascii="宋体" w:eastAsia="宋体" w:hAnsi="宋体" w:cs="宋体"/>
          <w:sz w:val="23"/>
          <w:szCs w:val="23"/>
        </w:rPr>
      </w:pPr>
      <w:r>
        <w:rPr>
          <w:rFonts w:ascii="宋体" w:eastAsia="宋体" w:hAnsi="宋体" w:cs="宋体"/>
          <w:spacing w:val="-17"/>
          <w:sz w:val="23"/>
          <w:szCs w:val="23"/>
        </w:rPr>
        <w:t>当血液流经肾小球毛细血管时，血液中的成分除血细胞和大分子的蛋白质</w:t>
      </w:r>
      <w:r>
        <w:rPr>
          <w:rFonts w:ascii="宋体" w:eastAsia="宋体" w:hAnsi="宋体" w:cs="宋体"/>
          <w:spacing w:val="8"/>
          <w:sz w:val="23"/>
          <w:szCs w:val="23"/>
        </w:rPr>
        <w:t xml:space="preserve">  </w:t>
      </w:r>
      <w:r>
        <w:rPr>
          <w:rFonts w:ascii="宋体" w:eastAsia="宋体" w:hAnsi="宋体" w:cs="宋体"/>
          <w:spacing w:val="-16"/>
          <w:sz w:val="23"/>
          <w:szCs w:val="23"/>
        </w:rPr>
        <w:t>外，其余的物质都能透过肾小球的滤过膜而进入肾小囊囊</w:t>
      </w:r>
      <w:r>
        <w:rPr>
          <w:rFonts w:ascii="宋体" w:eastAsia="宋体" w:hAnsi="宋体" w:cs="宋体"/>
          <w:spacing w:val="-17"/>
          <w:sz w:val="23"/>
          <w:szCs w:val="23"/>
        </w:rPr>
        <w:t>腔，这种滤过液称原</w:t>
      </w:r>
      <w:r>
        <w:rPr>
          <w:rFonts w:ascii="宋体" w:eastAsia="宋体" w:hAnsi="宋体" w:cs="宋体"/>
          <w:sz w:val="23"/>
          <w:szCs w:val="23"/>
        </w:rPr>
        <w:t xml:space="preserve"> </w:t>
      </w:r>
      <w:r>
        <w:rPr>
          <w:rFonts w:ascii="宋体" w:eastAsia="宋体" w:hAnsi="宋体" w:cs="宋体"/>
          <w:spacing w:val="-23"/>
          <w:sz w:val="23"/>
          <w:szCs w:val="23"/>
        </w:rPr>
        <w:t>尿。原尿中含有血浆中各种小分子物质如葡萄糖、钙、磷、钾、氯、尿素、尿酸</w:t>
      </w:r>
      <w:r>
        <w:rPr>
          <w:rFonts w:ascii="宋体" w:eastAsia="宋体" w:hAnsi="宋体" w:cs="宋体"/>
          <w:spacing w:val="12"/>
          <w:sz w:val="23"/>
          <w:szCs w:val="23"/>
        </w:rPr>
        <w:t xml:space="preserve"> </w:t>
      </w:r>
      <w:r>
        <w:rPr>
          <w:rFonts w:ascii="宋体" w:eastAsia="宋体" w:hAnsi="宋体" w:cs="宋体"/>
          <w:spacing w:val="-24"/>
          <w:sz w:val="23"/>
          <w:szCs w:val="23"/>
        </w:rPr>
        <w:t>等，且含量与血浆中的含量相近。</w:t>
      </w:r>
    </w:p>
    <w:p w:rsidR="00EA40A3" w:rsidRDefault="00E86C16">
      <w:pPr>
        <w:spacing w:before="212" w:line="220" w:lineRule="auto"/>
        <w:rPr>
          <w:rFonts w:ascii="仿宋" w:eastAsia="仿宋" w:hAnsi="仿宋" w:cs="仿宋"/>
          <w:sz w:val="23"/>
          <w:szCs w:val="23"/>
        </w:rPr>
      </w:pPr>
      <w:r>
        <w:rPr>
          <w:rFonts w:ascii="仿宋" w:eastAsia="仿宋" w:hAnsi="仿宋" w:cs="仿宋"/>
          <w:spacing w:val="4"/>
          <w:sz w:val="23"/>
          <w:szCs w:val="23"/>
        </w:rPr>
        <w:t>2.</w:t>
      </w:r>
      <w:r>
        <w:rPr>
          <w:rFonts w:ascii="仿宋" w:eastAsia="仿宋" w:hAnsi="仿宋" w:cs="仿宋"/>
          <w:spacing w:val="11"/>
          <w:sz w:val="23"/>
          <w:szCs w:val="23"/>
        </w:rPr>
        <w:t xml:space="preserve"> </w:t>
      </w:r>
      <w:r>
        <w:rPr>
          <w:rFonts w:ascii="仿宋" w:eastAsia="仿宋" w:hAnsi="仿宋" w:cs="仿宋"/>
          <w:spacing w:val="4"/>
          <w:sz w:val="23"/>
          <w:szCs w:val="23"/>
        </w:rPr>
        <w:t>肾小管和集合管的重吸收、分泌、排泄作用</w:t>
      </w:r>
    </w:p>
    <w:p w:rsidR="00EA40A3" w:rsidRDefault="00E86C16">
      <w:pPr>
        <w:spacing w:before="186" w:line="239" w:lineRule="auto"/>
        <w:ind w:firstLine="330"/>
        <w:jc w:val="both"/>
        <w:rPr>
          <w:rFonts w:ascii="宋体" w:eastAsia="宋体" w:hAnsi="宋体" w:cs="宋体"/>
          <w:sz w:val="23"/>
          <w:szCs w:val="23"/>
        </w:rPr>
      </w:pPr>
      <w:r>
        <w:rPr>
          <w:rFonts w:ascii="宋体" w:eastAsia="宋体" w:hAnsi="宋体" w:cs="宋体"/>
          <w:spacing w:val="-23"/>
          <w:sz w:val="23"/>
          <w:szCs w:val="23"/>
        </w:rPr>
        <w:t>原尿生成后沿肾小管流入集合管，然后再汇入肾盂。在此过程中，原尿中的</w:t>
      </w:r>
      <w:r>
        <w:rPr>
          <w:rFonts w:ascii="宋体" w:eastAsia="宋体" w:hAnsi="宋体" w:cs="宋体"/>
          <w:spacing w:val="7"/>
          <w:sz w:val="23"/>
          <w:szCs w:val="23"/>
        </w:rPr>
        <w:t xml:space="preserve">  </w:t>
      </w:r>
      <w:r>
        <w:rPr>
          <w:rFonts w:ascii="宋体" w:eastAsia="宋体" w:hAnsi="宋体" w:cs="宋体"/>
          <w:spacing w:val="-16"/>
          <w:sz w:val="23"/>
          <w:szCs w:val="23"/>
        </w:rPr>
        <w:t>绝大部分水和有用物质，将全部或部分地被管壁上皮细胞重新吸收</w:t>
      </w:r>
      <w:r>
        <w:rPr>
          <w:rFonts w:ascii="宋体" w:eastAsia="宋体" w:hAnsi="宋体" w:cs="宋体"/>
          <w:spacing w:val="-17"/>
          <w:sz w:val="23"/>
          <w:szCs w:val="23"/>
        </w:rPr>
        <w:t>进入组织间</w:t>
      </w:r>
      <w:r>
        <w:rPr>
          <w:rFonts w:ascii="宋体" w:eastAsia="宋体" w:hAnsi="宋体" w:cs="宋体"/>
          <w:sz w:val="23"/>
          <w:szCs w:val="23"/>
        </w:rPr>
        <w:t xml:space="preserve"> </w:t>
      </w:r>
      <w:r>
        <w:rPr>
          <w:rFonts w:ascii="宋体" w:eastAsia="宋体" w:hAnsi="宋体" w:cs="宋体"/>
          <w:spacing w:val="-20"/>
          <w:sz w:val="23"/>
          <w:szCs w:val="23"/>
        </w:rPr>
        <w:t>液，然后重返血液。管壁上皮细胞对大多数营养素的重吸收是主动转运的过程，</w:t>
      </w:r>
      <w:r>
        <w:rPr>
          <w:rFonts w:ascii="宋体" w:eastAsia="宋体" w:hAnsi="宋体" w:cs="宋体"/>
          <w:spacing w:val="14"/>
          <w:sz w:val="23"/>
          <w:szCs w:val="23"/>
        </w:rPr>
        <w:t xml:space="preserve"> </w:t>
      </w:r>
      <w:r>
        <w:rPr>
          <w:rFonts w:ascii="宋体" w:eastAsia="宋体" w:hAnsi="宋体" w:cs="宋体"/>
          <w:spacing w:val="-23"/>
          <w:sz w:val="23"/>
          <w:szCs w:val="23"/>
        </w:rPr>
        <w:t>因而存在饱和性，如果原尿中某种营养素的含量过高，超过了肾小管的重吸收功</w:t>
      </w:r>
      <w:r>
        <w:rPr>
          <w:rFonts w:ascii="宋体" w:eastAsia="宋体" w:hAnsi="宋体" w:cs="宋体"/>
          <w:spacing w:val="8"/>
          <w:sz w:val="23"/>
          <w:szCs w:val="23"/>
        </w:rPr>
        <w:t xml:space="preserve">  </w:t>
      </w:r>
      <w:r>
        <w:rPr>
          <w:rFonts w:ascii="宋体" w:eastAsia="宋体" w:hAnsi="宋体" w:cs="宋体"/>
          <w:spacing w:val="-22"/>
          <w:sz w:val="23"/>
          <w:szCs w:val="23"/>
        </w:rPr>
        <w:t>能，尿液中就会出现这种物质。如当血糖升高时</w:t>
      </w:r>
      <w:r>
        <w:rPr>
          <w:rFonts w:ascii="宋体" w:eastAsia="宋体" w:hAnsi="宋体" w:cs="宋体"/>
          <w:spacing w:val="-23"/>
          <w:sz w:val="23"/>
          <w:szCs w:val="23"/>
        </w:rPr>
        <w:t>，通过肾小球滤过到原尿中葡萄</w:t>
      </w:r>
      <w:r>
        <w:rPr>
          <w:rFonts w:ascii="宋体" w:eastAsia="宋体" w:hAnsi="宋体" w:cs="宋体"/>
          <w:sz w:val="23"/>
          <w:szCs w:val="23"/>
        </w:rPr>
        <w:t xml:space="preserve">  </w:t>
      </w:r>
      <w:r>
        <w:rPr>
          <w:rFonts w:ascii="宋体" w:eastAsia="宋体" w:hAnsi="宋体" w:cs="宋体"/>
          <w:spacing w:val="-24"/>
          <w:sz w:val="23"/>
          <w:szCs w:val="23"/>
        </w:rPr>
        <w:t>糖的含量增多，超过肾小管的重吸收功能时，尿中就会出现葡萄糖。肾脏对水的</w:t>
      </w:r>
      <w:r>
        <w:rPr>
          <w:rFonts w:ascii="宋体" w:eastAsia="宋体" w:hAnsi="宋体" w:cs="宋体"/>
          <w:spacing w:val="2"/>
          <w:sz w:val="23"/>
          <w:szCs w:val="23"/>
        </w:rPr>
        <w:t xml:space="preserve">  </w:t>
      </w:r>
      <w:r>
        <w:rPr>
          <w:rFonts w:ascii="宋体" w:eastAsia="宋体" w:hAnsi="宋体" w:cs="宋体"/>
          <w:spacing w:val="-22"/>
          <w:w w:val="98"/>
          <w:sz w:val="23"/>
          <w:szCs w:val="23"/>
        </w:rPr>
        <w:t>重吸收有两种情况，</w:t>
      </w:r>
      <w:r>
        <w:rPr>
          <w:rFonts w:ascii="宋体" w:eastAsia="宋体" w:hAnsi="宋体" w:cs="宋体"/>
          <w:spacing w:val="24"/>
          <w:sz w:val="23"/>
          <w:szCs w:val="23"/>
        </w:rPr>
        <w:t xml:space="preserve"> </w:t>
      </w:r>
      <w:r>
        <w:rPr>
          <w:rFonts w:ascii="宋体" w:eastAsia="宋体" w:hAnsi="宋体" w:cs="宋体"/>
          <w:spacing w:val="-22"/>
          <w:w w:val="98"/>
          <w:sz w:val="23"/>
          <w:szCs w:val="23"/>
        </w:rPr>
        <w:t>一种是伴随溶质的吸收而被吸收，因而是被动吸收，这种吸</w:t>
      </w:r>
      <w:r>
        <w:rPr>
          <w:rFonts w:ascii="宋体" w:eastAsia="宋体" w:hAnsi="宋体" w:cs="宋体"/>
          <w:sz w:val="23"/>
          <w:szCs w:val="23"/>
        </w:rPr>
        <w:t xml:space="preserve">  </w:t>
      </w:r>
      <w:r>
        <w:rPr>
          <w:rFonts w:ascii="宋体" w:eastAsia="宋体" w:hAnsi="宋体" w:cs="宋体"/>
          <w:spacing w:val="-22"/>
          <w:sz w:val="23"/>
          <w:szCs w:val="23"/>
        </w:rPr>
        <w:t>收与机体是否缺水无关；另一种是水的重吸收量随着体内水</w:t>
      </w:r>
      <w:r>
        <w:rPr>
          <w:rFonts w:ascii="宋体" w:eastAsia="宋体" w:hAnsi="宋体" w:cs="宋体"/>
          <w:spacing w:val="-23"/>
          <w:sz w:val="23"/>
          <w:szCs w:val="23"/>
        </w:rPr>
        <w:t>量的多少而转移，即</w:t>
      </w:r>
      <w:r>
        <w:rPr>
          <w:rFonts w:ascii="宋体" w:eastAsia="宋体" w:hAnsi="宋体" w:cs="宋体"/>
          <w:sz w:val="23"/>
          <w:szCs w:val="23"/>
        </w:rPr>
        <w:t xml:space="preserve"> </w:t>
      </w:r>
      <w:r>
        <w:rPr>
          <w:rFonts w:ascii="宋体" w:eastAsia="宋体" w:hAnsi="宋体" w:cs="宋体"/>
          <w:spacing w:val="-23"/>
          <w:sz w:val="23"/>
          <w:szCs w:val="23"/>
        </w:rPr>
        <w:t>体内缺水时，水的重吸收量增多；不缺水时，水的重吸收量减少，这样可以调节</w:t>
      </w:r>
      <w:r>
        <w:rPr>
          <w:rFonts w:ascii="宋体" w:eastAsia="宋体" w:hAnsi="宋体" w:cs="宋体"/>
          <w:spacing w:val="7"/>
          <w:sz w:val="23"/>
          <w:szCs w:val="23"/>
        </w:rPr>
        <w:t xml:space="preserve">  </w:t>
      </w:r>
      <w:r>
        <w:rPr>
          <w:rFonts w:ascii="宋体" w:eastAsia="宋体" w:hAnsi="宋体" w:cs="宋体"/>
          <w:spacing w:val="-26"/>
          <w:sz w:val="23"/>
          <w:szCs w:val="23"/>
        </w:rPr>
        <w:t>体内的水量。</w:t>
      </w:r>
    </w:p>
    <w:p w:rsidR="00EA40A3" w:rsidRDefault="00E86C16">
      <w:pPr>
        <w:spacing w:before="118" w:line="233" w:lineRule="auto"/>
        <w:ind w:right="174" w:firstLine="330"/>
        <w:rPr>
          <w:rFonts w:ascii="宋体" w:eastAsia="宋体" w:hAnsi="宋体" w:cs="宋体"/>
          <w:sz w:val="23"/>
          <w:szCs w:val="23"/>
        </w:rPr>
      </w:pPr>
      <w:r>
        <w:rPr>
          <w:rFonts w:ascii="宋体" w:eastAsia="宋体" w:hAnsi="宋体" w:cs="宋体"/>
          <w:spacing w:val="-10"/>
          <w:sz w:val="23"/>
          <w:szCs w:val="23"/>
        </w:rPr>
        <w:t>在重吸收的同时，管壁上皮细胞也向管腔分泌和排泄某些物质(如</w:t>
      </w:r>
      <w:r>
        <w:rPr>
          <w:rFonts w:ascii="宋体" w:eastAsia="宋体" w:hAnsi="宋体" w:cs="宋体"/>
          <w:spacing w:val="-45"/>
          <w:sz w:val="23"/>
          <w:szCs w:val="23"/>
        </w:rPr>
        <w:t xml:space="preserve"> </w:t>
      </w:r>
      <w:r>
        <w:rPr>
          <w:rFonts w:ascii="宋体" w:eastAsia="宋体" w:hAnsi="宋体" w:cs="宋体"/>
          <w:spacing w:val="-10"/>
          <w:sz w:val="23"/>
          <w:szCs w:val="23"/>
        </w:rPr>
        <w:t>H+</w:t>
      </w:r>
      <w:r>
        <w:rPr>
          <w:rFonts w:ascii="宋体" w:eastAsia="宋体" w:hAnsi="宋体" w:cs="宋体"/>
          <w:spacing w:val="-21"/>
          <w:sz w:val="23"/>
          <w:szCs w:val="23"/>
        </w:rPr>
        <w:t xml:space="preserve"> </w:t>
      </w:r>
      <w:r>
        <w:rPr>
          <w:rFonts w:ascii="宋体" w:eastAsia="宋体" w:hAnsi="宋体" w:cs="宋体"/>
          <w:spacing w:val="-10"/>
          <w:sz w:val="23"/>
          <w:szCs w:val="23"/>
        </w:rPr>
        <w:t>和</w:t>
      </w:r>
      <w:r>
        <w:rPr>
          <w:rFonts w:ascii="宋体" w:eastAsia="宋体" w:hAnsi="宋体" w:cs="宋体"/>
          <w:sz w:val="23"/>
          <w:szCs w:val="23"/>
        </w:rPr>
        <w:t xml:space="preserve"> </w:t>
      </w:r>
      <w:r>
        <w:rPr>
          <w:rFonts w:ascii="宋体" w:eastAsia="宋体" w:hAnsi="宋体" w:cs="宋体"/>
          <w:spacing w:val="-12"/>
          <w:sz w:val="23"/>
          <w:szCs w:val="23"/>
        </w:rPr>
        <w:t>NH</w:t>
      </w:r>
      <w:r>
        <w:rPr>
          <w:rFonts w:ascii="Calibri" w:eastAsia="Calibri" w:hAnsi="Calibri" w:cs="Calibri"/>
          <w:spacing w:val="-12"/>
          <w:sz w:val="23"/>
          <w:szCs w:val="23"/>
        </w:rPr>
        <w:t>₃</w:t>
      </w:r>
      <w:r>
        <w:rPr>
          <w:rFonts w:ascii="Calibri" w:eastAsia="Calibri" w:hAnsi="Calibri" w:cs="Calibri"/>
          <w:spacing w:val="15"/>
          <w:w w:val="101"/>
          <w:sz w:val="23"/>
          <w:szCs w:val="23"/>
        </w:rPr>
        <w:t xml:space="preserve">  </w:t>
      </w:r>
      <w:r>
        <w:rPr>
          <w:rFonts w:ascii="宋体" w:eastAsia="宋体" w:hAnsi="宋体" w:cs="宋体"/>
          <w:spacing w:val="-12"/>
          <w:sz w:val="23"/>
          <w:szCs w:val="23"/>
        </w:rPr>
        <w:t>等物质)。</w:t>
      </w:r>
    </w:p>
    <w:p w:rsidR="00EA40A3" w:rsidRDefault="00E86C16">
      <w:pPr>
        <w:spacing w:before="39" w:line="227" w:lineRule="auto"/>
        <w:ind w:right="207" w:firstLine="330"/>
        <w:rPr>
          <w:rFonts w:ascii="宋体" w:eastAsia="宋体" w:hAnsi="宋体" w:cs="宋体"/>
          <w:sz w:val="23"/>
          <w:szCs w:val="23"/>
        </w:rPr>
      </w:pPr>
      <w:r>
        <w:rPr>
          <w:rFonts w:ascii="宋体" w:eastAsia="宋体" w:hAnsi="宋体" w:cs="宋体"/>
          <w:spacing w:val="-3"/>
          <w:sz w:val="23"/>
          <w:szCs w:val="23"/>
        </w:rPr>
        <w:t>经上述两个环节后，原尿成分发生改变而成为终尿。终尿只有原尿的</w:t>
      </w:r>
      <w:r>
        <w:rPr>
          <w:rFonts w:ascii="宋体" w:eastAsia="宋体" w:hAnsi="宋体" w:cs="宋体"/>
          <w:spacing w:val="16"/>
          <w:sz w:val="23"/>
          <w:szCs w:val="23"/>
        </w:rPr>
        <w:t xml:space="preserve"> </w:t>
      </w:r>
      <w:r>
        <w:rPr>
          <w:rFonts w:ascii="宋体" w:eastAsia="宋体" w:hAnsi="宋体" w:cs="宋体"/>
          <w:spacing w:val="-18"/>
          <w:sz w:val="23"/>
          <w:szCs w:val="23"/>
        </w:rPr>
        <w:t>1/150～1/100,几乎没有葡萄糖。终尿储存于膀</w:t>
      </w:r>
      <w:r>
        <w:rPr>
          <w:rFonts w:ascii="宋体" w:eastAsia="宋体" w:hAnsi="宋体" w:cs="宋体"/>
          <w:spacing w:val="-19"/>
          <w:sz w:val="23"/>
          <w:szCs w:val="23"/>
        </w:rPr>
        <w:t>胱，由尿道排出体外。</w:t>
      </w:r>
    </w:p>
    <w:p w:rsidR="00EA40A3" w:rsidRDefault="00E86C16">
      <w:pPr>
        <w:spacing w:before="200" w:line="222" w:lineRule="auto"/>
        <w:ind w:left="3"/>
        <w:outlineLvl w:val="6"/>
        <w:rPr>
          <w:rFonts w:ascii="黑体" w:eastAsia="黑体" w:hAnsi="黑体" w:cs="黑体"/>
          <w:sz w:val="23"/>
          <w:szCs w:val="23"/>
        </w:rPr>
      </w:pPr>
      <w:r>
        <w:rPr>
          <w:rFonts w:ascii="黑体" w:eastAsia="黑体" w:hAnsi="黑体" w:cs="黑体"/>
          <w:b/>
          <w:bCs/>
          <w:spacing w:val="1"/>
          <w:sz w:val="23"/>
          <w:szCs w:val="23"/>
        </w:rPr>
        <w:t>2.4.3</w:t>
      </w:r>
      <w:r>
        <w:rPr>
          <w:rFonts w:ascii="黑体" w:eastAsia="黑体" w:hAnsi="黑体" w:cs="黑体"/>
          <w:spacing w:val="21"/>
          <w:sz w:val="23"/>
          <w:szCs w:val="23"/>
        </w:rPr>
        <w:t xml:space="preserve">  </w:t>
      </w:r>
      <w:r>
        <w:rPr>
          <w:rFonts w:ascii="黑体" w:eastAsia="黑体" w:hAnsi="黑体" w:cs="黑体"/>
          <w:b/>
          <w:bCs/>
          <w:spacing w:val="1"/>
          <w:sz w:val="23"/>
          <w:szCs w:val="23"/>
        </w:rPr>
        <w:t>尿液的排放</w:t>
      </w:r>
    </w:p>
    <w:p w:rsidR="00EA40A3" w:rsidRDefault="00E86C16">
      <w:pPr>
        <w:spacing w:before="186" w:line="238" w:lineRule="auto"/>
        <w:ind w:right="214" w:firstLine="330"/>
        <w:rPr>
          <w:rFonts w:ascii="宋体" w:eastAsia="宋体" w:hAnsi="宋体" w:cs="宋体"/>
          <w:sz w:val="23"/>
          <w:szCs w:val="23"/>
        </w:rPr>
      </w:pPr>
      <w:r>
        <w:rPr>
          <w:rFonts w:ascii="宋体" w:eastAsia="宋体" w:hAnsi="宋体" w:cs="宋体"/>
          <w:spacing w:val="-17"/>
          <w:sz w:val="23"/>
          <w:szCs w:val="23"/>
        </w:rPr>
        <w:t>排尿是一种反射活动，当膀胱中的尿量达到一定程度时，因膀胱壁受到牵</w:t>
      </w:r>
      <w:r>
        <w:rPr>
          <w:rFonts w:ascii="宋体" w:eastAsia="宋体" w:hAnsi="宋体" w:cs="宋体"/>
          <w:spacing w:val="3"/>
          <w:sz w:val="23"/>
          <w:szCs w:val="23"/>
        </w:rPr>
        <w:t xml:space="preserve"> </w:t>
      </w:r>
      <w:r>
        <w:rPr>
          <w:rFonts w:ascii="宋体" w:eastAsia="宋体" w:hAnsi="宋体" w:cs="宋体"/>
          <w:spacing w:val="-23"/>
          <w:sz w:val="23"/>
          <w:szCs w:val="23"/>
        </w:rPr>
        <w:t>拉，产生神经冲动，沿神经系统传入神经中枢，产生排尿的欲望而排尿。</w:t>
      </w:r>
    </w:p>
    <w:p w:rsidR="00EA40A3" w:rsidRDefault="00E86C16">
      <w:pPr>
        <w:spacing w:before="165" w:line="222" w:lineRule="auto"/>
        <w:ind w:left="3113"/>
        <w:rPr>
          <w:rFonts w:ascii="黑体" w:eastAsia="黑体" w:hAnsi="黑体" w:cs="黑体"/>
          <w:sz w:val="23"/>
          <w:szCs w:val="23"/>
        </w:rPr>
      </w:pPr>
      <w:r>
        <w:rPr>
          <w:rFonts w:ascii="黑体" w:eastAsia="黑体" w:hAnsi="黑体" w:cs="黑体"/>
          <w:b/>
          <w:bCs/>
          <w:spacing w:val="-15"/>
          <w:w w:val="97"/>
          <w:sz w:val="23"/>
          <w:szCs w:val="23"/>
        </w:rPr>
        <w:t>思</w:t>
      </w:r>
      <w:r>
        <w:rPr>
          <w:rFonts w:ascii="黑体" w:eastAsia="黑体" w:hAnsi="黑体" w:cs="黑体"/>
          <w:spacing w:val="84"/>
          <w:sz w:val="23"/>
          <w:szCs w:val="23"/>
        </w:rPr>
        <w:t xml:space="preserve"> </w:t>
      </w:r>
      <w:r>
        <w:rPr>
          <w:rFonts w:ascii="黑体" w:eastAsia="黑体" w:hAnsi="黑体" w:cs="黑体"/>
          <w:b/>
          <w:bCs/>
          <w:spacing w:val="-15"/>
          <w:w w:val="97"/>
          <w:sz w:val="23"/>
          <w:szCs w:val="23"/>
        </w:rPr>
        <w:t>考</w:t>
      </w:r>
      <w:r>
        <w:rPr>
          <w:rFonts w:ascii="黑体" w:eastAsia="黑体" w:hAnsi="黑体" w:cs="黑体"/>
          <w:spacing w:val="81"/>
          <w:sz w:val="23"/>
          <w:szCs w:val="23"/>
        </w:rPr>
        <w:t xml:space="preserve"> </w:t>
      </w:r>
      <w:r>
        <w:rPr>
          <w:rFonts w:ascii="黑体" w:eastAsia="黑体" w:hAnsi="黑体" w:cs="黑体"/>
          <w:b/>
          <w:bCs/>
          <w:spacing w:val="-15"/>
          <w:w w:val="97"/>
          <w:sz w:val="23"/>
          <w:szCs w:val="23"/>
        </w:rPr>
        <w:t>题</w:t>
      </w:r>
    </w:p>
    <w:p w:rsidR="00EA40A3" w:rsidRDefault="00E86C16">
      <w:pPr>
        <w:spacing w:before="186" w:line="220" w:lineRule="auto"/>
        <w:ind w:left="330"/>
        <w:rPr>
          <w:rFonts w:ascii="宋体" w:eastAsia="宋体" w:hAnsi="宋体" w:cs="宋体"/>
          <w:sz w:val="19"/>
          <w:szCs w:val="19"/>
        </w:rPr>
      </w:pPr>
      <w:r>
        <w:rPr>
          <w:rFonts w:ascii="宋体" w:eastAsia="宋体" w:hAnsi="宋体" w:cs="宋体"/>
          <w:spacing w:val="-8"/>
          <w:sz w:val="19"/>
          <w:szCs w:val="19"/>
        </w:rPr>
        <w:t>1.唾液有何作用?</w:t>
      </w:r>
    </w:p>
    <w:p w:rsidR="00EA40A3" w:rsidRDefault="00E86C16">
      <w:pPr>
        <w:spacing w:before="61" w:line="219" w:lineRule="auto"/>
        <w:ind w:left="330"/>
        <w:rPr>
          <w:rFonts w:ascii="宋体" w:eastAsia="宋体" w:hAnsi="宋体" w:cs="宋体"/>
          <w:sz w:val="19"/>
          <w:szCs w:val="19"/>
        </w:rPr>
      </w:pPr>
      <w:r>
        <w:rPr>
          <w:rFonts w:ascii="宋体" w:eastAsia="宋体" w:hAnsi="宋体" w:cs="宋体"/>
          <w:spacing w:val="-12"/>
          <w:sz w:val="19"/>
          <w:szCs w:val="19"/>
        </w:rPr>
        <w:t>2.</w:t>
      </w:r>
      <w:r>
        <w:rPr>
          <w:rFonts w:ascii="宋体" w:eastAsia="宋体" w:hAnsi="宋体" w:cs="宋体"/>
          <w:spacing w:val="-30"/>
          <w:sz w:val="19"/>
          <w:szCs w:val="19"/>
        </w:rPr>
        <w:t xml:space="preserve"> </w:t>
      </w:r>
      <w:r>
        <w:rPr>
          <w:rFonts w:ascii="宋体" w:eastAsia="宋体" w:hAnsi="宋体" w:cs="宋体"/>
          <w:spacing w:val="-12"/>
          <w:sz w:val="19"/>
          <w:szCs w:val="19"/>
        </w:rPr>
        <w:t>胃在消化吸收过程中的作用有哪些?</w:t>
      </w:r>
    </w:p>
    <w:p w:rsidR="00EA40A3" w:rsidRDefault="00E86C16">
      <w:pPr>
        <w:spacing w:before="66" w:line="219" w:lineRule="auto"/>
        <w:ind w:left="330"/>
        <w:rPr>
          <w:rFonts w:ascii="宋体" w:eastAsia="宋体" w:hAnsi="宋体" w:cs="宋体"/>
          <w:sz w:val="19"/>
          <w:szCs w:val="19"/>
        </w:rPr>
      </w:pPr>
      <w:r>
        <w:rPr>
          <w:rFonts w:ascii="宋体" w:eastAsia="宋体" w:hAnsi="宋体" w:cs="宋体"/>
          <w:spacing w:val="-14"/>
          <w:sz w:val="19"/>
          <w:szCs w:val="19"/>
        </w:rPr>
        <w:t>3.</w:t>
      </w:r>
      <w:r>
        <w:rPr>
          <w:rFonts w:ascii="宋体" w:eastAsia="宋体" w:hAnsi="宋体" w:cs="宋体"/>
          <w:spacing w:val="-3"/>
          <w:sz w:val="19"/>
          <w:szCs w:val="19"/>
        </w:rPr>
        <w:t xml:space="preserve"> </w:t>
      </w:r>
      <w:r>
        <w:rPr>
          <w:rFonts w:ascii="宋体" w:eastAsia="宋体" w:hAnsi="宋体" w:cs="宋体"/>
          <w:spacing w:val="-14"/>
          <w:sz w:val="19"/>
          <w:szCs w:val="19"/>
        </w:rPr>
        <w:t>小肠内的消化酶有哪些?</w:t>
      </w:r>
    </w:p>
    <w:p w:rsidR="00EA40A3" w:rsidRDefault="00E86C16">
      <w:pPr>
        <w:spacing w:before="65" w:line="220" w:lineRule="auto"/>
        <w:ind w:left="330"/>
        <w:rPr>
          <w:rFonts w:ascii="宋体" w:eastAsia="宋体" w:hAnsi="宋体" w:cs="宋体"/>
          <w:sz w:val="19"/>
          <w:szCs w:val="19"/>
        </w:rPr>
      </w:pPr>
      <w:r>
        <w:rPr>
          <w:rFonts w:ascii="宋体" w:eastAsia="宋体" w:hAnsi="宋体" w:cs="宋体"/>
          <w:spacing w:val="-8"/>
          <w:sz w:val="19"/>
          <w:szCs w:val="19"/>
        </w:rPr>
        <w:t>4.胆汁在消化过程中有何作用?</w:t>
      </w:r>
    </w:p>
    <w:p w:rsidR="00EA40A3" w:rsidRDefault="00E86C16">
      <w:pPr>
        <w:spacing w:before="122"/>
        <w:ind w:right="101"/>
        <w:jc w:val="right"/>
        <w:rPr>
          <w:rFonts w:ascii="宋体" w:eastAsia="宋体" w:hAnsi="宋体" w:cs="宋体"/>
          <w:sz w:val="19"/>
          <w:szCs w:val="19"/>
        </w:rPr>
      </w:pPr>
      <w:r>
        <w:rPr>
          <w:rFonts w:ascii="宋体" w:eastAsia="宋体" w:hAnsi="宋体" w:cs="宋体"/>
          <w:spacing w:val="-34"/>
          <w:sz w:val="19"/>
          <w:szCs w:val="19"/>
        </w:rPr>
        <w:t>·</w:t>
      </w:r>
      <w:r>
        <w:rPr>
          <w:rFonts w:ascii="宋体" w:eastAsia="宋体" w:hAnsi="宋体" w:cs="宋体"/>
          <w:spacing w:val="-7"/>
          <w:sz w:val="19"/>
          <w:szCs w:val="19"/>
        </w:rPr>
        <w:t xml:space="preserve"> </w:t>
      </w:r>
      <w:r>
        <w:rPr>
          <w:rFonts w:ascii="宋体" w:eastAsia="宋体" w:hAnsi="宋体" w:cs="宋体"/>
          <w:spacing w:val="-34"/>
          <w:sz w:val="19"/>
          <w:szCs w:val="19"/>
        </w:rPr>
        <w:t>37</w:t>
      </w:r>
      <w:r>
        <w:rPr>
          <w:rFonts w:ascii="宋体" w:eastAsia="宋体" w:hAnsi="宋体" w:cs="宋体"/>
          <w:spacing w:val="45"/>
          <w:sz w:val="19"/>
          <w:szCs w:val="19"/>
        </w:rPr>
        <w:t xml:space="preserve"> </w:t>
      </w:r>
      <w:r>
        <w:rPr>
          <w:rFonts w:ascii="宋体" w:eastAsia="宋体" w:hAnsi="宋体" w:cs="宋体"/>
          <w:spacing w:val="-34"/>
          <w:sz w:val="19"/>
          <w:szCs w:val="19"/>
        </w:rPr>
        <w:t>·</w:t>
      </w:r>
    </w:p>
    <w:p w:rsidR="00EA40A3" w:rsidRDefault="00EA40A3">
      <w:pPr>
        <w:sectPr w:rsidR="00EA40A3">
          <w:pgSz w:w="9220" w:h="13360"/>
          <w:pgMar w:top="400" w:right="954" w:bottom="400" w:left="899" w:header="0" w:footer="0" w:gutter="0"/>
          <w:cols w:space="720"/>
        </w:sectPr>
      </w:pPr>
    </w:p>
    <w:p w:rsidR="00EA40A3" w:rsidRDefault="00EA40A3">
      <w:pPr>
        <w:spacing w:line="245" w:lineRule="auto"/>
      </w:pPr>
    </w:p>
    <w:p w:rsidR="00EA40A3" w:rsidRDefault="00EA40A3">
      <w:pPr>
        <w:spacing w:line="245" w:lineRule="auto"/>
      </w:pPr>
    </w:p>
    <w:p w:rsidR="00EA40A3" w:rsidRDefault="00EA40A3">
      <w:pPr>
        <w:spacing w:line="246" w:lineRule="auto"/>
      </w:pPr>
    </w:p>
    <w:p w:rsidR="00EA40A3" w:rsidRDefault="00E86C16">
      <w:pPr>
        <w:spacing w:before="55" w:line="219" w:lineRule="auto"/>
        <w:rPr>
          <w:rFonts w:ascii="宋体" w:eastAsia="宋体" w:hAnsi="宋体" w:cs="宋体"/>
          <w:sz w:val="17"/>
          <w:szCs w:val="17"/>
        </w:rPr>
      </w:pPr>
      <w:r>
        <w:rPr>
          <w:rFonts w:ascii="宋体" w:eastAsia="宋体" w:hAnsi="宋体" w:cs="宋体"/>
          <w:spacing w:val="5"/>
          <w:sz w:val="17"/>
          <w:szCs w:val="17"/>
        </w:rPr>
        <w:t>5.</w:t>
      </w:r>
      <w:r>
        <w:rPr>
          <w:rFonts w:ascii="宋体" w:eastAsia="宋体" w:hAnsi="宋体" w:cs="宋体"/>
          <w:spacing w:val="-37"/>
          <w:sz w:val="17"/>
          <w:szCs w:val="17"/>
        </w:rPr>
        <w:t xml:space="preserve"> </w:t>
      </w:r>
      <w:r>
        <w:rPr>
          <w:rFonts w:ascii="宋体" w:eastAsia="宋体" w:hAnsi="宋体" w:cs="宋体"/>
          <w:spacing w:val="5"/>
          <w:sz w:val="17"/>
          <w:szCs w:val="17"/>
        </w:rPr>
        <w:t>简述蛋白质的消化吸收过程。</w:t>
      </w:r>
    </w:p>
    <w:p w:rsidR="00EA40A3" w:rsidRDefault="00E86C16">
      <w:pPr>
        <w:spacing w:before="78" w:line="219" w:lineRule="auto"/>
        <w:rPr>
          <w:rFonts w:ascii="宋体" w:eastAsia="宋体" w:hAnsi="宋体" w:cs="宋体"/>
          <w:sz w:val="17"/>
          <w:szCs w:val="17"/>
        </w:rPr>
      </w:pPr>
      <w:r>
        <w:rPr>
          <w:rFonts w:ascii="宋体" w:eastAsia="宋体" w:hAnsi="宋体" w:cs="宋体"/>
          <w:spacing w:val="4"/>
          <w:sz w:val="17"/>
          <w:szCs w:val="17"/>
        </w:rPr>
        <w:t>6.</w:t>
      </w:r>
      <w:r>
        <w:rPr>
          <w:rFonts w:ascii="宋体" w:eastAsia="宋体" w:hAnsi="宋体" w:cs="宋体"/>
          <w:spacing w:val="-27"/>
          <w:sz w:val="17"/>
          <w:szCs w:val="17"/>
        </w:rPr>
        <w:t xml:space="preserve"> </w:t>
      </w:r>
      <w:r>
        <w:rPr>
          <w:rFonts w:ascii="宋体" w:eastAsia="宋体" w:hAnsi="宋体" w:cs="宋体"/>
          <w:spacing w:val="4"/>
          <w:sz w:val="17"/>
          <w:szCs w:val="17"/>
        </w:rPr>
        <w:t>简述脂肪的消化吸收过程。</w:t>
      </w:r>
    </w:p>
    <w:p w:rsidR="00EA40A3" w:rsidRDefault="00E86C16">
      <w:pPr>
        <w:spacing w:before="78" w:line="219" w:lineRule="auto"/>
        <w:rPr>
          <w:rFonts w:ascii="宋体" w:eastAsia="宋体" w:hAnsi="宋体" w:cs="宋体"/>
          <w:sz w:val="17"/>
          <w:szCs w:val="17"/>
        </w:rPr>
      </w:pPr>
      <w:r>
        <w:rPr>
          <w:rFonts w:ascii="宋体" w:eastAsia="宋体" w:hAnsi="宋体" w:cs="宋体"/>
          <w:spacing w:val="5"/>
          <w:sz w:val="17"/>
          <w:szCs w:val="17"/>
        </w:rPr>
        <w:t>7.</w:t>
      </w:r>
      <w:r>
        <w:rPr>
          <w:rFonts w:ascii="宋体" w:eastAsia="宋体" w:hAnsi="宋体" w:cs="宋体"/>
          <w:spacing w:val="-36"/>
          <w:sz w:val="17"/>
          <w:szCs w:val="17"/>
        </w:rPr>
        <w:t xml:space="preserve"> </w:t>
      </w:r>
      <w:r>
        <w:rPr>
          <w:rFonts w:ascii="宋体" w:eastAsia="宋体" w:hAnsi="宋体" w:cs="宋体"/>
          <w:spacing w:val="5"/>
          <w:sz w:val="17"/>
          <w:szCs w:val="17"/>
        </w:rPr>
        <w:t>简述碳水化合物的消化吸收过程。</w:t>
      </w:r>
    </w:p>
    <w:p w:rsidR="00EA40A3" w:rsidRDefault="00E86C16">
      <w:pPr>
        <w:spacing w:before="79" w:line="219" w:lineRule="auto"/>
        <w:rPr>
          <w:rFonts w:ascii="宋体" w:eastAsia="宋体" w:hAnsi="宋体" w:cs="宋体"/>
          <w:sz w:val="17"/>
          <w:szCs w:val="17"/>
        </w:rPr>
      </w:pPr>
      <w:r>
        <w:rPr>
          <w:rFonts w:ascii="宋体" w:eastAsia="宋体" w:hAnsi="宋体" w:cs="宋体"/>
          <w:spacing w:val="5"/>
          <w:sz w:val="17"/>
          <w:szCs w:val="17"/>
        </w:rPr>
        <w:t>8.</w:t>
      </w:r>
      <w:r>
        <w:rPr>
          <w:rFonts w:ascii="宋体" w:eastAsia="宋体" w:hAnsi="宋体" w:cs="宋体"/>
          <w:spacing w:val="-16"/>
          <w:sz w:val="17"/>
          <w:szCs w:val="17"/>
        </w:rPr>
        <w:t xml:space="preserve"> </w:t>
      </w:r>
      <w:r>
        <w:rPr>
          <w:rFonts w:ascii="宋体" w:eastAsia="宋体" w:hAnsi="宋体" w:cs="宋体"/>
          <w:spacing w:val="5"/>
          <w:sz w:val="17"/>
          <w:szCs w:val="17"/>
        </w:rPr>
        <w:t>结合蛋白质的体内代谢叙述蛋白质的生理功能。</w:t>
      </w:r>
    </w:p>
    <w:p w:rsidR="00EA40A3" w:rsidRDefault="00E86C16">
      <w:pPr>
        <w:spacing w:before="78" w:line="219" w:lineRule="auto"/>
        <w:rPr>
          <w:rFonts w:ascii="宋体" w:eastAsia="宋体" w:hAnsi="宋体" w:cs="宋体"/>
          <w:sz w:val="17"/>
          <w:szCs w:val="17"/>
        </w:rPr>
      </w:pPr>
      <w:r>
        <w:rPr>
          <w:rFonts w:ascii="宋体" w:eastAsia="宋体" w:hAnsi="宋体" w:cs="宋体"/>
          <w:spacing w:val="7"/>
          <w:sz w:val="17"/>
          <w:szCs w:val="17"/>
        </w:rPr>
        <w:t>9.</w:t>
      </w:r>
      <w:r>
        <w:rPr>
          <w:rFonts w:ascii="宋体" w:eastAsia="宋体" w:hAnsi="宋体" w:cs="宋体"/>
          <w:spacing w:val="-45"/>
          <w:sz w:val="17"/>
          <w:szCs w:val="17"/>
        </w:rPr>
        <w:t xml:space="preserve"> </w:t>
      </w:r>
      <w:r>
        <w:rPr>
          <w:rFonts w:ascii="宋体" w:eastAsia="宋体" w:hAnsi="宋体" w:cs="宋体"/>
          <w:spacing w:val="7"/>
          <w:sz w:val="17"/>
          <w:szCs w:val="17"/>
        </w:rPr>
        <w:t>为什么血糖升高可导致糖尿病?</w:t>
      </w:r>
    </w:p>
    <w:p w:rsidR="00EA40A3" w:rsidRDefault="00E86C16">
      <w:pPr>
        <w:spacing w:before="77" w:line="219" w:lineRule="auto"/>
        <w:rPr>
          <w:rFonts w:ascii="宋体" w:eastAsia="宋体" w:hAnsi="宋体" w:cs="宋体"/>
          <w:sz w:val="17"/>
          <w:szCs w:val="17"/>
        </w:rPr>
      </w:pPr>
      <w:r>
        <w:rPr>
          <w:rFonts w:ascii="宋体" w:eastAsia="宋体" w:hAnsi="宋体" w:cs="宋体"/>
          <w:spacing w:val="5"/>
          <w:sz w:val="17"/>
          <w:szCs w:val="17"/>
        </w:rPr>
        <w:t>10.</w:t>
      </w:r>
      <w:r>
        <w:rPr>
          <w:rFonts w:ascii="宋体" w:eastAsia="宋体" w:hAnsi="宋体" w:cs="宋体"/>
          <w:spacing w:val="-46"/>
          <w:sz w:val="17"/>
          <w:szCs w:val="17"/>
        </w:rPr>
        <w:t xml:space="preserve"> </w:t>
      </w:r>
      <w:r>
        <w:rPr>
          <w:rFonts w:ascii="宋体" w:eastAsia="宋体" w:hAnsi="宋体" w:cs="宋体"/>
          <w:spacing w:val="5"/>
          <w:sz w:val="17"/>
          <w:szCs w:val="17"/>
        </w:rPr>
        <w:t>简述代谢终产物的排泄途径。</w:t>
      </w:r>
    </w:p>
    <w:p w:rsidR="00EA40A3" w:rsidRDefault="00EA40A3">
      <w:pPr>
        <w:spacing w:line="248" w:lineRule="auto"/>
      </w:pPr>
    </w:p>
    <w:p w:rsidR="00EA40A3" w:rsidRDefault="00E86C16">
      <w:pPr>
        <w:spacing w:before="69" w:line="225" w:lineRule="auto"/>
        <w:ind w:left="4830"/>
        <w:rPr>
          <w:rFonts w:ascii="楷体" w:eastAsia="楷体" w:hAnsi="楷体" w:cs="楷体"/>
        </w:rPr>
      </w:pPr>
      <w:r>
        <w:rPr>
          <w:rFonts w:ascii="楷体" w:eastAsia="楷体" w:hAnsi="楷体" w:cs="楷体"/>
          <w:spacing w:val="-2"/>
        </w:rPr>
        <w:t>(本章编写人：何计国)</w:t>
      </w:r>
    </w:p>
    <w:p w:rsidR="00EA40A3" w:rsidRDefault="00E86C16">
      <w:pPr>
        <w:spacing w:before="212" w:line="222" w:lineRule="auto"/>
        <w:ind w:left="3072"/>
        <w:rPr>
          <w:rFonts w:ascii="黑体" w:eastAsia="黑体" w:hAnsi="黑体" w:cs="黑体"/>
        </w:rPr>
      </w:pPr>
      <w:r>
        <w:rPr>
          <w:rFonts w:ascii="黑体" w:eastAsia="黑体" w:hAnsi="黑体" w:cs="黑体"/>
          <w:b/>
          <w:bCs/>
          <w:spacing w:val="-11"/>
        </w:rPr>
        <w:t>主要参考文献</w:t>
      </w:r>
    </w:p>
    <w:p w:rsidR="00EA40A3" w:rsidRDefault="00E86C16">
      <w:pPr>
        <w:spacing w:before="190" w:line="250" w:lineRule="exact"/>
        <w:rPr>
          <w:rFonts w:ascii="宋体" w:eastAsia="宋体" w:hAnsi="宋体" w:cs="宋体"/>
          <w:sz w:val="17"/>
          <w:szCs w:val="17"/>
        </w:rPr>
      </w:pPr>
      <w:r>
        <w:rPr>
          <w:rFonts w:ascii="宋体" w:eastAsia="宋体" w:hAnsi="宋体" w:cs="宋体"/>
          <w:spacing w:val="-6"/>
          <w:position w:val="5"/>
          <w:sz w:val="17"/>
          <w:szCs w:val="17"/>
        </w:rPr>
        <w:t>顾天爵，冯宗忧.1996.生物化学.北京：人民卫生出版社</w:t>
      </w:r>
    </w:p>
    <w:p w:rsidR="00EA40A3" w:rsidRDefault="00E86C16">
      <w:pPr>
        <w:spacing w:line="219" w:lineRule="auto"/>
        <w:rPr>
          <w:rFonts w:ascii="宋体" w:eastAsia="宋体" w:hAnsi="宋体" w:cs="宋体"/>
          <w:sz w:val="17"/>
          <w:szCs w:val="17"/>
        </w:rPr>
      </w:pPr>
      <w:r>
        <w:rPr>
          <w:rFonts w:ascii="宋体" w:eastAsia="宋体" w:hAnsi="宋体" w:cs="宋体"/>
          <w:spacing w:val="-5"/>
          <w:sz w:val="17"/>
          <w:szCs w:val="17"/>
        </w:rPr>
        <w:t>金哲.2000.解剖学.北京：人民卫生出版社</w:t>
      </w:r>
    </w:p>
    <w:p w:rsidR="00EA40A3" w:rsidRDefault="00E86C16">
      <w:pPr>
        <w:spacing w:before="48" w:line="219" w:lineRule="auto"/>
        <w:rPr>
          <w:rFonts w:ascii="宋体" w:eastAsia="宋体" w:hAnsi="宋体" w:cs="宋体"/>
          <w:sz w:val="17"/>
          <w:szCs w:val="17"/>
        </w:rPr>
      </w:pPr>
      <w:r>
        <w:rPr>
          <w:rFonts w:ascii="宋体" w:eastAsia="宋体" w:hAnsi="宋体" w:cs="宋体"/>
          <w:spacing w:val="-3"/>
          <w:sz w:val="17"/>
          <w:szCs w:val="17"/>
        </w:rPr>
        <w:t>于频.2001.系统解剖学.北京：人民卫生出</w:t>
      </w:r>
      <w:r>
        <w:rPr>
          <w:rFonts w:ascii="宋体" w:eastAsia="宋体" w:hAnsi="宋体" w:cs="宋体"/>
          <w:spacing w:val="-4"/>
          <w:sz w:val="17"/>
          <w:szCs w:val="17"/>
        </w:rPr>
        <w:t>版社</w:t>
      </w:r>
    </w:p>
    <w:p w:rsidR="00EA40A3" w:rsidRDefault="00E86C16">
      <w:pPr>
        <w:spacing w:before="48" w:line="250" w:lineRule="exact"/>
        <w:rPr>
          <w:rFonts w:ascii="宋体" w:eastAsia="宋体" w:hAnsi="宋体" w:cs="宋体"/>
          <w:sz w:val="17"/>
          <w:szCs w:val="17"/>
        </w:rPr>
      </w:pPr>
      <w:r>
        <w:rPr>
          <w:rFonts w:ascii="宋体" w:eastAsia="宋体" w:hAnsi="宋体" w:cs="宋体"/>
          <w:spacing w:val="-4"/>
          <w:position w:val="5"/>
          <w:sz w:val="17"/>
          <w:szCs w:val="17"/>
        </w:rPr>
        <w:t>张镜如，乔健天.1996.生理学.北京：人民</w:t>
      </w:r>
      <w:r>
        <w:rPr>
          <w:rFonts w:ascii="宋体" w:eastAsia="宋体" w:hAnsi="宋体" w:cs="宋体"/>
          <w:spacing w:val="-5"/>
          <w:position w:val="5"/>
          <w:sz w:val="17"/>
          <w:szCs w:val="17"/>
        </w:rPr>
        <w:t>卫生出版社</w:t>
      </w:r>
    </w:p>
    <w:p w:rsidR="00EA40A3" w:rsidRDefault="00E86C16">
      <w:pPr>
        <w:spacing w:before="1" w:line="218" w:lineRule="auto"/>
        <w:rPr>
          <w:rFonts w:ascii="宋体" w:eastAsia="宋体" w:hAnsi="宋体" w:cs="宋体"/>
          <w:sz w:val="17"/>
          <w:szCs w:val="17"/>
        </w:rPr>
      </w:pPr>
      <w:r>
        <w:rPr>
          <w:rFonts w:ascii="宋体" w:eastAsia="宋体" w:hAnsi="宋体" w:cs="宋体"/>
          <w:spacing w:val="-5"/>
          <w:sz w:val="17"/>
          <w:szCs w:val="17"/>
        </w:rPr>
        <w:t>张遒蘅.2000.生物化学.北京：北京医科大学出版社</w:t>
      </w:r>
    </w:p>
    <w:p w:rsidR="00EA40A3" w:rsidRDefault="00E86C16">
      <w:pPr>
        <w:spacing w:before="30" w:line="212"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Gardner</w:t>
      </w:r>
      <w:r>
        <w:rPr>
          <w:rFonts w:ascii="Times New Roman" w:eastAsia="Times New Roman" w:hAnsi="Times New Roman" w:cs="Times New Roman"/>
          <w:spacing w:val="37"/>
          <w:w w:val="101"/>
          <w:sz w:val="17"/>
          <w:szCs w:val="17"/>
        </w:rPr>
        <w:t xml:space="preserve"> </w:t>
      </w:r>
      <w:r>
        <w:rPr>
          <w:rFonts w:ascii="Times New Roman" w:eastAsia="Times New Roman" w:hAnsi="Times New Roman" w:cs="Times New Roman"/>
          <w:sz w:val="17"/>
          <w:szCs w:val="17"/>
        </w:rPr>
        <w:t>MLG</w:t>
      </w:r>
      <w:r>
        <w:rPr>
          <w:rFonts w:ascii="Times New Roman" w:eastAsia="Times New Roman" w:hAnsi="Times New Roman" w:cs="Times New Roman"/>
          <w:spacing w:val="-1"/>
          <w:sz w:val="17"/>
          <w:szCs w:val="17"/>
        </w:rPr>
        <w:t>.</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1988.</w:t>
      </w:r>
      <w:r>
        <w:rPr>
          <w:rFonts w:ascii="Times New Roman" w:eastAsia="Times New Roman" w:hAnsi="Times New Roman" w:cs="Times New Roman"/>
          <w:spacing w:val="42"/>
          <w:sz w:val="17"/>
          <w:szCs w:val="17"/>
        </w:rPr>
        <w:t xml:space="preserve"> </w:t>
      </w:r>
      <w:r>
        <w:rPr>
          <w:rFonts w:ascii="Times New Roman" w:eastAsia="Times New Roman" w:hAnsi="Times New Roman" w:cs="Times New Roman"/>
          <w:sz w:val="17"/>
          <w:szCs w:val="17"/>
        </w:rPr>
        <w:t>Gastrointestinal</w:t>
      </w:r>
      <w:r>
        <w:rPr>
          <w:rFonts w:ascii="Times New Roman" w:eastAsia="Times New Roman" w:hAnsi="Times New Roman" w:cs="Times New Roman"/>
          <w:spacing w:val="42"/>
          <w:sz w:val="17"/>
          <w:szCs w:val="17"/>
        </w:rPr>
        <w:t xml:space="preserve"> </w:t>
      </w:r>
      <w:r>
        <w:rPr>
          <w:rFonts w:ascii="Times New Roman" w:eastAsia="Times New Roman" w:hAnsi="Times New Roman" w:cs="Times New Roman"/>
          <w:sz w:val="17"/>
          <w:szCs w:val="17"/>
        </w:rPr>
        <w:t>absorption</w:t>
      </w:r>
      <w:r>
        <w:rPr>
          <w:rFonts w:ascii="Times New Roman" w:eastAsia="Times New Roman" w:hAnsi="Times New Roman" w:cs="Times New Roman"/>
          <w:spacing w:val="41"/>
          <w:w w:val="101"/>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23"/>
          <w:w w:val="101"/>
          <w:sz w:val="17"/>
          <w:szCs w:val="17"/>
        </w:rPr>
        <w:t xml:space="preserve"> </w:t>
      </w:r>
      <w:r>
        <w:rPr>
          <w:rFonts w:ascii="Times New Roman" w:eastAsia="Times New Roman" w:hAnsi="Times New Roman" w:cs="Times New Roman"/>
          <w:sz w:val="17"/>
          <w:szCs w:val="17"/>
        </w:rPr>
        <w:t>intact</w:t>
      </w:r>
      <w:r>
        <w:rPr>
          <w:rFonts w:ascii="Times New Roman" w:eastAsia="Times New Roman" w:hAnsi="Times New Roman" w:cs="Times New Roman"/>
          <w:spacing w:val="35"/>
          <w:sz w:val="17"/>
          <w:szCs w:val="17"/>
        </w:rPr>
        <w:t xml:space="preserve"> </w:t>
      </w:r>
      <w:r>
        <w:rPr>
          <w:rFonts w:ascii="Times New Roman" w:eastAsia="Times New Roman" w:hAnsi="Times New Roman" w:cs="Times New Roman"/>
          <w:sz w:val="17"/>
          <w:szCs w:val="17"/>
        </w:rPr>
        <w:t>p</w:t>
      </w:r>
      <w:r>
        <w:rPr>
          <w:rFonts w:ascii="Times New Roman" w:eastAsia="Times New Roman" w:hAnsi="Times New Roman" w:cs="Times New Roman"/>
          <w:spacing w:val="-1"/>
          <w:sz w:val="17"/>
          <w:szCs w:val="17"/>
        </w:rPr>
        <w:t>roteins.</w:t>
      </w:r>
      <w:r>
        <w:rPr>
          <w:rFonts w:ascii="Times New Roman" w:eastAsia="Times New Roman" w:hAnsi="Times New Roman" w:cs="Times New Roman"/>
          <w:spacing w:val="37"/>
          <w:sz w:val="17"/>
          <w:szCs w:val="17"/>
        </w:rPr>
        <w:t xml:space="preserve"> </w:t>
      </w:r>
      <w:r>
        <w:rPr>
          <w:rFonts w:ascii="Times New Roman" w:eastAsia="Times New Roman" w:hAnsi="Times New Roman" w:cs="Times New Roman"/>
          <w:spacing w:val="-1"/>
          <w:sz w:val="17"/>
          <w:szCs w:val="17"/>
        </w:rPr>
        <w:t>Annu</w:t>
      </w:r>
      <w:r>
        <w:rPr>
          <w:rFonts w:ascii="Times New Roman" w:eastAsia="Times New Roman" w:hAnsi="Times New Roman" w:cs="Times New Roman"/>
          <w:spacing w:val="38"/>
          <w:w w:val="101"/>
          <w:sz w:val="17"/>
          <w:szCs w:val="17"/>
        </w:rPr>
        <w:t xml:space="preserve"> </w:t>
      </w:r>
      <w:r>
        <w:rPr>
          <w:rFonts w:ascii="Times New Roman" w:eastAsia="Times New Roman" w:hAnsi="Times New Roman" w:cs="Times New Roman"/>
          <w:spacing w:val="-1"/>
          <w:sz w:val="17"/>
          <w:szCs w:val="17"/>
        </w:rPr>
        <w:t>Rev</w:t>
      </w:r>
      <w:r>
        <w:rPr>
          <w:rFonts w:ascii="Times New Roman" w:eastAsia="Times New Roman" w:hAnsi="Times New Roman" w:cs="Times New Roman"/>
          <w:spacing w:val="33"/>
          <w:w w:val="102"/>
          <w:sz w:val="17"/>
          <w:szCs w:val="17"/>
        </w:rPr>
        <w:t xml:space="preserve"> </w:t>
      </w:r>
      <w:r>
        <w:rPr>
          <w:rFonts w:ascii="Times New Roman" w:eastAsia="Times New Roman" w:hAnsi="Times New Roman" w:cs="Times New Roman"/>
          <w:spacing w:val="-1"/>
          <w:sz w:val="17"/>
          <w:szCs w:val="17"/>
        </w:rPr>
        <w:t>Nutr,(8):329</w:t>
      </w:r>
      <w:r>
        <w:rPr>
          <w:rFonts w:ascii="宋体" w:eastAsia="宋体" w:hAnsi="宋体" w:cs="宋体"/>
          <w:spacing w:val="-1"/>
          <w:sz w:val="17"/>
          <w:szCs w:val="17"/>
        </w:rPr>
        <w:t>～</w:t>
      </w:r>
      <w:r>
        <w:rPr>
          <w:rFonts w:ascii="Times New Roman" w:eastAsia="Times New Roman" w:hAnsi="Times New Roman" w:cs="Times New Roman"/>
          <w:spacing w:val="-1"/>
          <w:sz w:val="17"/>
          <w:szCs w:val="17"/>
        </w:rPr>
        <w:t>350</w:t>
      </w:r>
    </w:p>
    <w:p w:rsidR="00EA40A3" w:rsidRDefault="00E86C16">
      <w:pPr>
        <w:spacing w:before="80" w:line="242"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Riby</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z w:val="17"/>
          <w:szCs w:val="17"/>
        </w:rPr>
        <w:t>JE</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Kretchmer</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z w:val="17"/>
          <w:szCs w:val="17"/>
        </w:rPr>
        <w:t>N</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4"/>
          <w:w w:val="102"/>
          <w:sz w:val="17"/>
          <w:szCs w:val="17"/>
        </w:rPr>
        <w:t xml:space="preserve"> </w:t>
      </w:r>
      <w:r>
        <w:rPr>
          <w:rFonts w:ascii="Times New Roman" w:eastAsia="Times New Roman" w:hAnsi="Times New Roman" w:cs="Times New Roman"/>
          <w:spacing w:val="-1"/>
          <w:sz w:val="17"/>
          <w:szCs w:val="17"/>
        </w:rPr>
        <w:t>1985.</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z w:val="17"/>
          <w:szCs w:val="17"/>
        </w:rPr>
        <w:t>Pancreatic</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z w:val="17"/>
          <w:szCs w:val="17"/>
        </w:rPr>
        <w:t>enzymes</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z w:val="17"/>
          <w:szCs w:val="17"/>
        </w:rPr>
        <w:t>in</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the</w:t>
      </w:r>
      <w:r>
        <w:rPr>
          <w:rFonts w:ascii="Times New Roman" w:eastAsia="Times New Roman" w:hAnsi="Times New Roman" w:cs="Times New Roman"/>
          <w:spacing w:val="10"/>
          <w:w w:val="102"/>
          <w:sz w:val="17"/>
          <w:szCs w:val="17"/>
        </w:rPr>
        <w:t xml:space="preserve"> </w:t>
      </w:r>
      <w:r>
        <w:rPr>
          <w:rFonts w:ascii="Times New Roman" w:eastAsia="Times New Roman" w:hAnsi="Times New Roman" w:cs="Times New Roman"/>
          <w:spacing w:val="-1"/>
          <w:sz w:val="17"/>
          <w:szCs w:val="17"/>
        </w:rPr>
        <w:t>degradation</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intestinal</w:t>
      </w:r>
      <w:r>
        <w:rPr>
          <w:rFonts w:ascii="Times New Roman" w:eastAsia="Times New Roman" w:hAnsi="Times New Roman" w:cs="Times New Roman"/>
          <w:spacing w:val="13"/>
          <w:sz w:val="17"/>
          <w:szCs w:val="17"/>
        </w:rPr>
        <w:t xml:space="preserve"> </w:t>
      </w:r>
      <w:r>
        <w:rPr>
          <w:rFonts w:ascii="Times New Roman" w:eastAsia="Times New Roman" w:hAnsi="Times New Roman" w:cs="Times New Roman"/>
          <w:spacing w:val="-1"/>
          <w:sz w:val="17"/>
          <w:szCs w:val="17"/>
        </w:rPr>
        <w:t>sucrase-isomaltase.J</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pacing w:val="-1"/>
          <w:sz w:val="17"/>
          <w:szCs w:val="17"/>
        </w:rPr>
        <w:t>Ped-</w:t>
      </w:r>
      <w:r>
        <w:rPr>
          <w:rFonts w:ascii="Times New Roman" w:eastAsia="Times New Roman" w:hAnsi="Times New Roman" w:cs="Times New Roman"/>
          <w:sz w:val="17"/>
          <w:szCs w:val="17"/>
        </w:rPr>
        <w:t xml:space="preserve"> iatr</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z w:val="17"/>
          <w:szCs w:val="17"/>
        </w:rPr>
        <w:t>Gastroentenol</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z w:val="17"/>
          <w:szCs w:val="17"/>
        </w:rPr>
        <w:t>Nutr,(4)</w:t>
      </w:r>
      <w:r>
        <w:rPr>
          <w:rFonts w:ascii="Times New Roman" w:eastAsia="Times New Roman" w:hAnsi="Times New Roman" w:cs="Times New Roman"/>
          <w:spacing w:val="-1"/>
          <w:sz w:val="17"/>
          <w:szCs w:val="17"/>
        </w:rPr>
        <w:t>:971</w:t>
      </w:r>
      <w:r>
        <w:rPr>
          <w:rFonts w:ascii="宋体" w:eastAsia="宋体" w:hAnsi="宋体" w:cs="宋体"/>
          <w:spacing w:val="-1"/>
          <w:sz w:val="17"/>
          <w:szCs w:val="17"/>
        </w:rPr>
        <w:t>～</w:t>
      </w:r>
      <w:r>
        <w:rPr>
          <w:rFonts w:ascii="Times New Roman" w:eastAsia="Times New Roman" w:hAnsi="Times New Roman" w:cs="Times New Roman"/>
          <w:spacing w:val="-1"/>
          <w:sz w:val="17"/>
          <w:szCs w:val="17"/>
        </w:rPr>
        <w:t>979</w:t>
      </w:r>
    </w:p>
    <w:p w:rsidR="00EA40A3" w:rsidRDefault="00E86C16">
      <w:pPr>
        <w:spacing w:before="160" w:line="268" w:lineRule="auto"/>
        <w:ind w:right="154"/>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Semanza</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pacing w:val="-1"/>
          <w:sz w:val="17"/>
          <w:szCs w:val="17"/>
        </w:rPr>
        <w:t>G</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pacing w:val="-1"/>
          <w:sz w:val="17"/>
          <w:szCs w:val="17"/>
        </w:rPr>
        <w:t>S</w:t>
      </w:r>
      <w:r>
        <w:rPr>
          <w:rFonts w:ascii="Times New Roman" w:eastAsia="Times New Roman" w:hAnsi="Times New Roman" w:cs="Times New Roman"/>
          <w:spacing w:val="-2"/>
          <w:sz w:val="17"/>
          <w:szCs w:val="17"/>
        </w:rPr>
        <w:t>.</w:t>
      </w:r>
      <w:r>
        <w:rPr>
          <w:rFonts w:ascii="Times New Roman" w:eastAsia="Times New Roman" w:hAnsi="Times New Roman" w:cs="Times New Roman"/>
          <w:spacing w:val="34"/>
          <w:w w:val="101"/>
          <w:sz w:val="17"/>
          <w:szCs w:val="17"/>
        </w:rPr>
        <w:t xml:space="preserve"> </w:t>
      </w:r>
      <w:r>
        <w:rPr>
          <w:rFonts w:ascii="Times New Roman" w:eastAsia="Times New Roman" w:hAnsi="Times New Roman" w:cs="Times New Roman"/>
          <w:spacing w:val="-2"/>
          <w:sz w:val="17"/>
          <w:szCs w:val="17"/>
        </w:rPr>
        <w:t>1989.</w:t>
      </w:r>
      <w:r>
        <w:rPr>
          <w:rFonts w:ascii="Times New Roman" w:eastAsia="Times New Roman" w:hAnsi="Times New Roman" w:cs="Times New Roman"/>
          <w:spacing w:val="-1"/>
          <w:sz w:val="17"/>
          <w:szCs w:val="17"/>
        </w:rPr>
        <w:t>Auricchio</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pacing w:val="-1"/>
          <w:sz w:val="17"/>
          <w:szCs w:val="17"/>
        </w:rPr>
        <w:t>S</w:t>
      </w:r>
      <w:r>
        <w:rPr>
          <w:rFonts w:ascii="Times New Roman" w:eastAsia="Times New Roman" w:hAnsi="Times New Roman" w:cs="Times New Roman"/>
          <w:spacing w:val="23"/>
          <w:w w:val="101"/>
          <w:sz w:val="17"/>
          <w:szCs w:val="17"/>
        </w:rPr>
        <w:t xml:space="preserve"> </w:t>
      </w:r>
      <w:r>
        <w:rPr>
          <w:rFonts w:ascii="Times New Roman" w:eastAsia="Times New Roman" w:hAnsi="Times New Roman" w:cs="Times New Roman"/>
          <w:spacing w:val="-1"/>
          <w:sz w:val="17"/>
          <w:szCs w:val="17"/>
        </w:rPr>
        <w:t>small</w:t>
      </w:r>
      <w:r>
        <w:rPr>
          <w:rFonts w:ascii="Times New Roman" w:eastAsia="Times New Roman" w:hAnsi="Times New Roman" w:cs="Times New Roman"/>
          <w:spacing w:val="19"/>
          <w:w w:val="102"/>
          <w:sz w:val="17"/>
          <w:szCs w:val="17"/>
        </w:rPr>
        <w:t xml:space="preserve"> </w:t>
      </w:r>
      <w:r>
        <w:rPr>
          <w:rFonts w:ascii="Times New Roman" w:eastAsia="Times New Roman" w:hAnsi="Times New Roman" w:cs="Times New Roman"/>
          <w:spacing w:val="-1"/>
          <w:sz w:val="17"/>
          <w:szCs w:val="17"/>
        </w:rPr>
        <w:t>intestinal</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pacing w:val="-1"/>
          <w:sz w:val="17"/>
          <w:szCs w:val="17"/>
        </w:rPr>
        <w:t>disaccharidas</w:t>
      </w:r>
      <w:r>
        <w:rPr>
          <w:rFonts w:ascii="Times New Roman" w:eastAsia="Times New Roman" w:hAnsi="Times New Roman" w:cs="Times New Roman"/>
          <w:spacing w:val="-2"/>
          <w:sz w:val="17"/>
          <w:szCs w:val="17"/>
        </w:rPr>
        <w:t>e.</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pacing w:val="-2"/>
          <w:sz w:val="17"/>
          <w:szCs w:val="17"/>
        </w:rPr>
        <w:t>In:</w:t>
      </w:r>
      <w:r>
        <w:rPr>
          <w:rFonts w:ascii="Times New Roman" w:eastAsia="Times New Roman" w:hAnsi="Times New Roman" w:cs="Times New Roman"/>
          <w:spacing w:val="25"/>
          <w:w w:val="102"/>
          <w:sz w:val="17"/>
          <w:szCs w:val="17"/>
        </w:rPr>
        <w:t xml:space="preserve"> </w:t>
      </w:r>
      <w:r>
        <w:rPr>
          <w:rFonts w:ascii="Times New Roman" w:eastAsia="Times New Roman" w:hAnsi="Times New Roman" w:cs="Times New Roman"/>
          <w:spacing w:val="-2"/>
          <w:sz w:val="17"/>
          <w:szCs w:val="17"/>
        </w:rPr>
        <w:t>Scriver</w:t>
      </w:r>
      <w:r>
        <w:rPr>
          <w:rFonts w:ascii="Times New Roman" w:eastAsia="Times New Roman" w:hAnsi="Times New Roman" w:cs="Times New Roman"/>
          <w:spacing w:val="20"/>
          <w:sz w:val="17"/>
          <w:szCs w:val="17"/>
        </w:rPr>
        <w:t xml:space="preserve"> </w:t>
      </w:r>
      <w:r>
        <w:rPr>
          <w:rFonts w:ascii="Times New Roman" w:eastAsia="Times New Roman" w:hAnsi="Times New Roman" w:cs="Times New Roman"/>
          <w:spacing w:val="-2"/>
          <w:sz w:val="17"/>
          <w:szCs w:val="17"/>
        </w:rPr>
        <w:t>CR,Beauset</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pacing w:val="-2"/>
          <w:sz w:val="17"/>
          <w:szCs w:val="17"/>
        </w:rPr>
        <w:t>A</w:t>
      </w:r>
      <w:r>
        <w:rPr>
          <w:rFonts w:ascii="Times New Roman" w:eastAsia="Times New Roman" w:hAnsi="Times New Roman" w:cs="Times New Roman"/>
          <w:spacing w:val="18"/>
          <w:sz w:val="17"/>
          <w:szCs w:val="17"/>
        </w:rPr>
        <w:t xml:space="preserve"> </w:t>
      </w:r>
      <w:r>
        <w:rPr>
          <w:rFonts w:ascii="Times New Roman" w:eastAsia="Times New Roman" w:hAnsi="Times New Roman" w:cs="Times New Roman"/>
          <w:spacing w:val="-2"/>
          <w:sz w:val="17"/>
          <w:szCs w:val="17"/>
        </w:rPr>
        <w:t>L,</w:t>
      </w:r>
      <w:r>
        <w:rPr>
          <w:rFonts w:ascii="Times New Roman" w:eastAsia="Times New Roman" w:hAnsi="Times New Roman" w:cs="Times New Roman"/>
          <w:spacing w:val="26"/>
          <w:sz w:val="17"/>
          <w:szCs w:val="17"/>
        </w:rPr>
        <w:t xml:space="preserve"> </w:t>
      </w:r>
      <w:r>
        <w:rPr>
          <w:rFonts w:ascii="Times New Roman" w:eastAsia="Times New Roman" w:hAnsi="Times New Roman" w:cs="Times New Roman"/>
          <w:spacing w:val="-2"/>
          <w:sz w:val="17"/>
          <w:szCs w:val="17"/>
        </w:rPr>
        <w:t>Sly</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2"/>
          <w:sz w:val="17"/>
          <w:szCs w:val="17"/>
        </w:rPr>
        <w:t>WS.</w:t>
      </w:r>
      <w:r>
        <w:rPr>
          <w:rFonts w:ascii="Times New Roman" w:eastAsia="Times New Roman" w:hAnsi="Times New Roman" w:cs="Times New Roman"/>
          <w:sz w:val="17"/>
          <w:szCs w:val="17"/>
        </w:rPr>
        <w:t xml:space="preserve"> The</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metabolic</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z w:val="17"/>
          <w:szCs w:val="17"/>
        </w:rPr>
        <w:t>basis</w:t>
      </w:r>
      <w:r>
        <w:rPr>
          <w:rFonts w:ascii="Times New Roman" w:eastAsia="Times New Roman" w:hAnsi="Times New Roman" w:cs="Times New Roman"/>
          <w:spacing w:val="10"/>
          <w:w w:val="102"/>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z w:val="17"/>
          <w:szCs w:val="17"/>
        </w:rPr>
        <w:t>inherited</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disease</w:t>
      </w:r>
      <w:r>
        <w:rPr>
          <w:rFonts w:ascii="Times New Roman" w:eastAsia="Times New Roman" w:hAnsi="Times New Roman" w:cs="Times New Roman"/>
          <w:spacing w:val="-1"/>
          <w:sz w:val="17"/>
          <w:szCs w:val="17"/>
        </w:rPr>
        <w:t>.</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6</w:t>
      </w:r>
      <w:r>
        <w:rPr>
          <w:rFonts w:ascii="Times New Roman" w:eastAsia="Times New Roman" w:hAnsi="Times New Roman" w:cs="Times New Roman"/>
          <w:sz w:val="17"/>
          <w:szCs w:val="17"/>
        </w:rPr>
        <w:t>th</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z w:val="17"/>
          <w:szCs w:val="17"/>
        </w:rPr>
        <w:t>ed</w:t>
      </w:r>
      <w:r>
        <w:rPr>
          <w:rFonts w:ascii="Times New Roman" w:eastAsia="Times New Roman" w:hAnsi="Times New Roman" w:cs="Times New Roman"/>
          <w:spacing w:val="-1"/>
          <w:sz w:val="17"/>
          <w:szCs w:val="17"/>
        </w:rPr>
        <w:t>.</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z w:val="17"/>
          <w:szCs w:val="17"/>
        </w:rPr>
        <w:t>New</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Yo</w:t>
      </w:r>
      <w:r>
        <w:rPr>
          <w:rFonts w:ascii="Times New Roman" w:eastAsia="Times New Roman" w:hAnsi="Times New Roman" w:cs="Times New Roman"/>
          <w:spacing w:val="-1"/>
          <w:sz w:val="17"/>
          <w:szCs w:val="17"/>
        </w:rPr>
        <w:t>rk:McGrawhill.</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2975</w:t>
      </w:r>
      <w:r>
        <w:rPr>
          <w:rFonts w:ascii="宋体" w:eastAsia="宋体" w:hAnsi="宋体" w:cs="宋体"/>
          <w:spacing w:val="-1"/>
          <w:sz w:val="17"/>
          <w:szCs w:val="17"/>
        </w:rPr>
        <w:t>～</w:t>
      </w:r>
      <w:r>
        <w:rPr>
          <w:rFonts w:ascii="Times New Roman" w:eastAsia="Times New Roman" w:hAnsi="Times New Roman" w:cs="Times New Roman"/>
          <w:spacing w:val="-1"/>
          <w:sz w:val="17"/>
          <w:szCs w:val="17"/>
        </w:rPr>
        <w:t>2997</w:t>
      </w:r>
    </w:p>
    <w:p w:rsidR="00EA40A3" w:rsidRDefault="00E86C16">
      <w:pPr>
        <w:spacing w:before="43" w:line="257" w:lineRule="auto"/>
        <w:ind w:right="50"/>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Wetzel</w:t>
      </w:r>
      <w:r>
        <w:rPr>
          <w:rFonts w:ascii="Times New Roman" w:eastAsia="Times New Roman" w:hAnsi="Times New Roman" w:cs="Times New Roman"/>
          <w:spacing w:val="11"/>
          <w:w w:val="102"/>
          <w:sz w:val="17"/>
          <w:szCs w:val="17"/>
        </w:rPr>
        <w:t xml:space="preserve"> </w:t>
      </w:r>
      <w:r>
        <w:rPr>
          <w:rFonts w:ascii="Times New Roman" w:eastAsia="Times New Roman" w:hAnsi="Times New Roman" w:cs="Times New Roman"/>
          <w:spacing w:val="-2"/>
          <w:sz w:val="17"/>
          <w:szCs w:val="17"/>
        </w:rPr>
        <w:t>MG,LiJ,</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Alvarez</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2"/>
          <w:sz w:val="17"/>
          <w:szCs w:val="17"/>
        </w:rPr>
        <w:t>R</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2"/>
          <w:sz w:val="17"/>
          <w:szCs w:val="17"/>
        </w:rPr>
        <w:t>A</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et</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al.</w:t>
      </w:r>
      <w:r>
        <w:rPr>
          <w:rFonts w:ascii="Times New Roman" w:eastAsia="Times New Roman" w:hAnsi="Times New Roman" w:cs="Times New Roman"/>
          <w:spacing w:val="19"/>
          <w:w w:val="101"/>
          <w:sz w:val="17"/>
          <w:szCs w:val="17"/>
        </w:rPr>
        <w:t xml:space="preserve"> </w:t>
      </w:r>
      <w:r>
        <w:rPr>
          <w:rFonts w:ascii="Times New Roman" w:eastAsia="Times New Roman" w:hAnsi="Times New Roman" w:cs="Times New Roman"/>
          <w:spacing w:val="-2"/>
          <w:sz w:val="17"/>
          <w:szCs w:val="17"/>
        </w:rPr>
        <w:t>1991.</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2"/>
          <w:sz w:val="17"/>
          <w:szCs w:val="17"/>
        </w:rPr>
        <w:t>Metabolism</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of</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2"/>
          <w:sz w:val="17"/>
          <w:szCs w:val="17"/>
        </w:rPr>
        <w:t>linolenic</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acid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and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docosahexacnoic</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acid</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2"/>
          <w:sz w:val="17"/>
          <w:szCs w:val="17"/>
        </w:rPr>
        <w:t>in</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rat</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reti-</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nas</w:t>
      </w:r>
      <w:r>
        <w:rPr>
          <w:rFonts w:ascii="Times New Roman" w:eastAsia="Times New Roman" w:hAnsi="Times New Roman" w:cs="Times New Roman"/>
          <w:spacing w:val="44"/>
          <w:w w:val="101"/>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30"/>
          <w:sz w:val="17"/>
          <w:szCs w:val="17"/>
        </w:rPr>
        <w:t xml:space="preserve"> </w:t>
      </w:r>
      <w:r>
        <w:rPr>
          <w:rFonts w:ascii="Times New Roman" w:eastAsia="Times New Roman" w:hAnsi="Times New Roman" w:cs="Times New Roman"/>
          <w:spacing w:val="-1"/>
          <w:sz w:val="17"/>
          <w:szCs w:val="17"/>
        </w:rPr>
        <w:t>rod</w:t>
      </w:r>
      <w:r>
        <w:rPr>
          <w:rFonts w:ascii="Times New Roman" w:eastAsia="Times New Roman" w:hAnsi="Times New Roman" w:cs="Times New Roman"/>
          <w:spacing w:val="34"/>
          <w:w w:val="102"/>
          <w:sz w:val="17"/>
          <w:szCs w:val="17"/>
        </w:rPr>
        <w:t xml:space="preserve"> </w:t>
      </w:r>
      <w:r>
        <w:rPr>
          <w:rFonts w:ascii="Times New Roman" w:eastAsia="Times New Roman" w:hAnsi="Times New Roman" w:cs="Times New Roman"/>
          <w:spacing w:val="-1"/>
          <w:sz w:val="17"/>
          <w:szCs w:val="17"/>
        </w:rPr>
        <w:t>outer</w:t>
      </w:r>
      <w:r>
        <w:rPr>
          <w:rFonts w:ascii="Times New Roman" w:eastAsia="Times New Roman" w:hAnsi="Times New Roman" w:cs="Times New Roman"/>
          <w:spacing w:val="36"/>
          <w:w w:val="101"/>
          <w:sz w:val="17"/>
          <w:szCs w:val="17"/>
        </w:rPr>
        <w:t xml:space="preserve"> </w:t>
      </w:r>
      <w:r>
        <w:rPr>
          <w:rFonts w:ascii="Times New Roman" w:eastAsia="Times New Roman" w:hAnsi="Times New Roman" w:cs="Times New Roman"/>
          <w:spacing w:val="-1"/>
          <w:sz w:val="17"/>
          <w:szCs w:val="17"/>
        </w:rPr>
        <w:t>segments.</w:t>
      </w:r>
      <w:r>
        <w:rPr>
          <w:rFonts w:ascii="Times New Roman" w:eastAsia="Times New Roman" w:hAnsi="Times New Roman" w:cs="Times New Roman"/>
          <w:spacing w:val="32"/>
          <w:w w:val="101"/>
          <w:sz w:val="17"/>
          <w:szCs w:val="17"/>
        </w:rPr>
        <w:t xml:space="preserve"> </w:t>
      </w:r>
      <w:r>
        <w:rPr>
          <w:rFonts w:ascii="Times New Roman" w:eastAsia="Times New Roman" w:hAnsi="Times New Roman" w:cs="Times New Roman"/>
          <w:spacing w:val="-1"/>
          <w:sz w:val="17"/>
          <w:szCs w:val="17"/>
        </w:rPr>
        <w:t>Exp</w:t>
      </w:r>
      <w:r>
        <w:rPr>
          <w:rFonts w:ascii="Times New Roman" w:eastAsia="Times New Roman" w:hAnsi="Times New Roman" w:cs="Times New Roman"/>
          <w:spacing w:val="33"/>
          <w:sz w:val="17"/>
          <w:szCs w:val="17"/>
        </w:rPr>
        <w:t xml:space="preserve"> </w:t>
      </w:r>
      <w:r>
        <w:rPr>
          <w:rFonts w:ascii="Times New Roman" w:eastAsia="Times New Roman" w:hAnsi="Times New Roman" w:cs="Times New Roman"/>
          <w:spacing w:val="-1"/>
          <w:sz w:val="17"/>
          <w:szCs w:val="17"/>
        </w:rPr>
        <w:t>Eye</w:t>
      </w:r>
      <w:r>
        <w:rPr>
          <w:rFonts w:ascii="Times New Roman" w:eastAsia="Times New Roman" w:hAnsi="Times New Roman" w:cs="Times New Roman"/>
          <w:spacing w:val="32"/>
          <w:sz w:val="17"/>
          <w:szCs w:val="17"/>
        </w:rPr>
        <w:t xml:space="preserve"> </w:t>
      </w:r>
      <w:r>
        <w:rPr>
          <w:rFonts w:ascii="Times New Roman" w:eastAsia="Times New Roman" w:hAnsi="Times New Roman" w:cs="Times New Roman"/>
          <w:spacing w:val="-1"/>
          <w:sz w:val="17"/>
          <w:szCs w:val="17"/>
        </w:rPr>
        <w:t>Res,53:437~446</w:t>
      </w:r>
    </w:p>
    <w:p w:rsidR="00EA40A3" w:rsidRDefault="00E86C16">
      <w:pPr>
        <w:spacing w:before="124" w:line="230" w:lineRule="auto"/>
        <w:ind w:right="6"/>
        <w:rPr>
          <w:rFonts w:ascii="Times New Roman" w:eastAsia="Times New Roman" w:hAnsi="Times New Roman" w:cs="Times New Roman"/>
          <w:sz w:val="17"/>
          <w:szCs w:val="17"/>
        </w:rPr>
      </w:pPr>
      <w:r>
        <w:rPr>
          <w:rFonts w:ascii="Times New Roman" w:eastAsia="Times New Roman" w:hAnsi="Times New Roman" w:cs="Times New Roman"/>
          <w:sz w:val="17"/>
          <w:szCs w:val="17"/>
        </w:rPr>
        <w:t>Wheeler</w:t>
      </w:r>
      <w:r>
        <w:rPr>
          <w:rFonts w:ascii="Times New Roman" w:eastAsia="Times New Roman" w:hAnsi="Times New Roman" w:cs="Times New Roman"/>
          <w:spacing w:val="18"/>
          <w:w w:val="102"/>
          <w:sz w:val="17"/>
          <w:szCs w:val="17"/>
        </w:rPr>
        <w:t xml:space="preserve"> </w:t>
      </w:r>
      <w:r>
        <w:rPr>
          <w:rFonts w:ascii="Times New Roman" w:eastAsia="Times New Roman" w:hAnsi="Times New Roman" w:cs="Times New Roman"/>
          <w:sz w:val="17"/>
          <w:szCs w:val="17"/>
        </w:rPr>
        <w:t>TG</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Benolken</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z w:val="17"/>
          <w:szCs w:val="17"/>
        </w:rPr>
        <w:t>R</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z w:val="17"/>
          <w:szCs w:val="17"/>
        </w:rPr>
        <w:t>M</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Andeson</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z w:val="17"/>
          <w:szCs w:val="17"/>
        </w:rPr>
        <w:t>RE</w:t>
      </w:r>
      <w:r>
        <w:rPr>
          <w:rFonts w:ascii="Times New Roman" w:eastAsia="Times New Roman" w:hAnsi="Times New Roman" w:cs="Times New Roman"/>
          <w:spacing w:val="-1"/>
          <w:sz w:val="17"/>
          <w:szCs w:val="17"/>
        </w:rPr>
        <w:t>.1975.</w:t>
      </w:r>
      <w:r>
        <w:rPr>
          <w:rFonts w:ascii="Times New Roman" w:eastAsia="Times New Roman" w:hAnsi="Times New Roman" w:cs="Times New Roman"/>
          <w:sz w:val="17"/>
          <w:szCs w:val="17"/>
        </w:rPr>
        <w:t>Visual</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z w:val="17"/>
          <w:szCs w:val="17"/>
        </w:rPr>
        <w:t>membranes</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Specificity</w:t>
      </w:r>
      <w:r>
        <w:rPr>
          <w:rFonts w:ascii="Times New Roman" w:eastAsia="Times New Roman" w:hAnsi="Times New Roman" w:cs="Times New Roman"/>
          <w:spacing w:val="20"/>
          <w:w w:val="102"/>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z w:val="17"/>
          <w:szCs w:val="17"/>
        </w:rPr>
        <w:t>fatt</w:t>
      </w:r>
      <w:r>
        <w:rPr>
          <w:rFonts w:ascii="Times New Roman" w:eastAsia="Times New Roman" w:hAnsi="Times New Roman" w:cs="Times New Roman"/>
          <w:spacing w:val="-1"/>
          <w:sz w:val="17"/>
          <w:szCs w:val="17"/>
        </w:rPr>
        <w:t>y</w:t>
      </w:r>
      <w:r>
        <w:rPr>
          <w:rFonts w:ascii="Times New Roman" w:eastAsia="Times New Roman" w:hAnsi="Times New Roman" w:cs="Times New Roman"/>
          <w:spacing w:val="21"/>
          <w:sz w:val="17"/>
          <w:szCs w:val="17"/>
        </w:rPr>
        <w:t xml:space="preserve"> </w:t>
      </w:r>
      <w:r>
        <w:rPr>
          <w:rFonts w:ascii="Times New Roman" w:eastAsia="Times New Roman" w:hAnsi="Times New Roman" w:cs="Times New Roman"/>
          <w:spacing w:val="-1"/>
          <w:sz w:val="17"/>
          <w:szCs w:val="17"/>
        </w:rPr>
        <w:t>acid</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pacing w:val="-1"/>
          <w:sz w:val="17"/>
          <w:szCs w:val="17"/>
        </w:rPr>
        <w:t>precursors</w:t>
      </w:r>
      <w:r>
        <w:rPr>
          <w:rFonts w:ascii="Times New Roman" w:eastAsia="Times New Roman" w:hAnsi="Times New Roman" w:cs="Times New Roman"/>
          <w:spacing w:val="21"/>
          <w:w w:val="101"/>
          <w:sz w:val="17"/>
          <w:szCs w:val="17"/>
        </w:rPr>
        <w:t xml:space="preserve"> </w:t>
      </w:r>
      <w:r>
        <w:rPr>
          <w:rFonts w:ascii="Times New Roman" w:eastAsia="Times New Roman" w:hAnsi="Times New Roman" w:cs="Times New Roman"/>
          <w:spacing w:val="-1"/>
          <w:sz w:val="17"/>
          <w:szCs w:val="17"/>
        </w:rPr>
        <w:t>for</w:t>
      </w:r>
      <w:r>
        <w:rPr>
          <w:rFonts w:ascii="Times New Roman" w:eastAsia="Times New Roman" w:hAnsi="Times New Roman" w:cs="Times New Roman"/>
          <w:sz w:val="17"/>
          <w:szCs w:val="17"/>
        </w:rPr>
        <w:t xml:space="preserve"> the</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z w:val="17"/>
          <w:szCs w:val="17"/>
        </w:rPr>
        <w:t>electrical</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z w:val="17"/>
          <w:szCs w:val="17"/>
        </w:rPr>
        <w:t>response</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z w:val="17"/>
          <w:szCs w:val="17"/>
        </w:rPr>
        <w:t>to</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illumina</w:t>
      </w:r>
      <w:r>
        <w:rPr>
          <w:rFonts w:ascii="Times New Roman" w:eastAsia="Times New Roman" w:hAnsi="Times New Roman" w:cs="Times New Roman"/>
          <w:spacing w:val="-1"/>
          <w:sz w:val="17"/>
          <w:szCs w:val="17"/>
        </w:rPr>
        <w:t>tion.</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pacing w:val="-1"/>
          <w:sz w:val="17"/>
          <w:szCs w:val="17"/>
        </w:rPr>
        <w:t>Science,188:1312</w:t>
      </w:r>
      <w:r>
        <w:rPr>
          <w:rFonts w:ascii="宋体" w:eastAsia="宋体" w:hAnsi="宋体" w:cs="宋体"/>
          <w:spacing w:val="-1"/>
          <w:sz w:val="17"/>
          <w:szCs w:val="17"/>
        </w:rPr>
        <w:t>～</w:t>
      </w:r>
      <w:r>
        <w:rPr>
          <w:rFonts w:ascii="Times New Roman" w:eastAsia="Times New Roman" w:hAnsi="Times New Roman" w:cs="Times New Roman"/>
          <w:spacing w:val="-1"/>
          <w:sz w:val="17"/>
          <w:szCs w:val="17"/>
        </w:rPr>
        <w:t>1314</w:t>
      </w:r>
    </w:p>
    <w:p w:rsidR="00EA40A3" w:rsidRDefault="00EA40A3">
      <w:pPr>
        <w:sectPr w:rsidR="00EA40A3">
          <w:footerReference w:type="default" r:id="rId43"/>
          <w:pgSz w:w="9360" w:h="13460"/>
          <w:pgMar w:top="400" w:right="1053" w:bottom="1226" w:left="1029" w:header="0" w:footer="1005" w:gutter="0"/>
          <w:cols w:space="720"/>
        </w:sectPr>
      </w:pPr>
    </w:p>
    <w:p w:rsidR="00EA40A3" w:rsidRDefault="00EA40A3">
      <w:pPr>
        <w:spacing w:line="287" w:lineRule="auto"/>
      </w:pPr>
    </w:p>
    <w:p w:rsidR="00EA40A3" w:rsidRDefault="00EA40A3">
      <w:pPr>
        <w:spacing w:line="288" w:lineRule="auto"/>
      </w:pPr>
    </w:p>
    <w:p w:rsidR="00EA40A3" w:rsidRDefault="00EA40A3">
      <w:pPr>
        <w:spacing w:line="288" w:lineRule="auto"/>
      </w:pPr>
    </w:p>
    <w:p w:rsidR="00EA40A3" w:rsidRDefault="00EA40A3">
      <w:pPr>
        <w:spacing w:line="288" w:lineRule="auto"/>
      </w:pPr>
    </w:p>
    <w:p w:rsidR="00EA40A3" w:rsidRDefault="00EA40A3">
      <w:pPr>
        <w:spacing w:line="288" w:lineRule="auto"/>
      </w:pPr>
    </w:p>
    <w:p w:rsidR="00EA40A3" w:rsidRDefault="00E86C16">
      <w:pPr>
        <w:spacing w:before="98" w:line="219" w:lineRule="auto"/>
        <w:ind w:left="1824"/>
        <w:rPr>
          <w:rFonts w:ascii="宋体" w:eastAsia="宋体" w:hAnsi="宋体" w:cs="宋体"/>
          <w:sz w:val="30"/>
          <w:szCs w:val="30"/>
        </w:rPr>
      </w:pPr>
      <w:r>
        <w:rPr>
          <w:rFonts w:ascii="宋体" w:eastAsia="宋体" w:hAnsi="宋体" w:cs="宋体"/>
          <w:b/>
          <w:bCs/>
          <w:spacing w:val="-2"/>
          <w:sz w:val="30"/>
          <w:szCs w:val="30"/>
        </w:rPr>
        <w:t>第</w:t>
      </w:r>
      <w:r>
        <w:rPr>
          <w:rFonts w:ascii="宋体" w:eastAsia="宋体" w:hAnsi="宋体" w:cs="宋体"/>
          <w:spacing w:val="-45"/>
          <w:sz w:val="30"/>
          <w:szCs w:val="30"/>
        </w:rPr>
        <w:t xml:space="preserve"> </w:t>
      </w:r>
      <w:r>
        <w:rPr>
          <w:rFonts w:ascii="宋体" w:eastAsia="宋体" w:hAnsi="宋体" w:cs="宋体"/>
          <w:b/>
          <w:bCs/>
          <w:spacing w:val="-2"/>
          <w:sz w:val="30"/>
          <w:szCs w:val="30"/>
        </w:rPr>
        <w:t>3</w:t>
      </w:r>
      <w:r>
        <w:rPr>
          <w:rFonts w:ascii="宋体" w:eastAsia="宋体" w:hAnsi="宋体" w:cs="宋体"/>
          <w:spacing w:val="-40"/>
          <w:sz w:val="30"/>
          <w:szCs w:val="30"/>
        </w:rPr>
        <w:t xml:space="preserve"> </w:t>
      </w:r>
      <w:r>
        <w:rPr>
          <w:rFonts w:ascii="宋体" w:eastAsia="宋体" w:hAnsi="宋体" w:cs="宋体"/>
          <w:b/>
          <w:bCs/>
          <w:spacing w:val="-2"/>
          <w:sz w:val="30"/>
          <w:szCs w:val="30"/>
        </w:rPr>
        <w:t>章</w:t>
      </w:r>
      <w:r>
        <w:rPr>
          <w:rFonts w:ascii="宋体" w:eastAsia="宋体" w:hAnsi="宋体" w:cs="宋体"/>
          <w:spacing w:val="146"/>
          <w:sz w:val="30"/>
          <w:szCs w:val="30"/>
        </w:rPr>
        <w:t xml:space="preserve"> </w:t>
      </w:r>
      <w:r>
        <w:rPr>
          <w:rFonts w:ascii="宋体" w:eastAsia="宋体" w:hAnsi="宋体" w:cs="宋体"/>
          <w:b/>
          <w:bCs/>
          <w:spacing w:val="-2"/>
          <w:sz w:val="30"/>
          <w:szCs w:val="30"/>
        </w:rPr>
        <w:t>能量与宏量营养素</w:t>
      </w:r>
    </w:p>
    <w:p w:rsidR="00EA40A3" w:rsidRDefault="00EA40A3">
      <w:pPr>
        <w:spacing w:line="391" w:lineRule="auto"/>
      </w:pPr>
    </w:p>
    <w:p w:rsidR="00EA40A3" w:rsidRDefault="00E86C16">
      <w:pPr>
        <w:spacing w:before="68" w:line="221" w:lineRule="auto"/>
        <w:ind w:left="3142"/>
        <w:rPr>
          <w:rFonts w:ascii="黑体" w:eastAsia="黑体" w:hAnsi="黑体" w:cs="黑体"/>
        </w:rPr>
      </w:pPr>
      <w:r>
        <w:rPr>
          <w:rFonts w:ascii="黑体" w:eastAsia="黑体" w:hAnsi="黑体" w:cs="黑体"/>
          <w:b/>
          <w:bCs/>
          <w:spacing w:val="-17"/>
        </w:rPr>
        <w:t>教</w:t>
      </w:r>
      <w:r>
        <w:rPr>
          <w:rFonts w:ascii="黑体" w:eastAsia="黑体" w:hAnsi="黑体" w:cs="黑体"/>
          <w:spacing w:val="-26"/>
        </w:rPr>
        <w:t xml:space="preserve"> </w:t>
      </w:r>
      <w:r>
        <w:rPr>
          <w:rFonts w:ascii="黑体" w:eastAsia="黑体" w:hAnsi="黑体" w:cs="黑体"/>
          <w:b/>
          <w:bCs/>
          <w:spacing w:val="-17"/>
        </w:rPr>
        <w:t>学</w:t>
      </w:r>
      <w:r>
        <w:rPr>
          <w:rFonts w:ascii="黑体" w:eastAsia="黑体" w:hAnsi="黑体" w:cs="黑体"/>
          <w:spacing w:val="-8"/>
        </w:rPr>
        <w:t xml:space="preserve"> </w:t>
      </w:r>
      <w:r>
        <w:rPr>
          <w:rFonts w:ascii="黑体" w:eastAsia="黑体" w:hAnsi="黑体" w:cs="黑体"/>
          <w:b/>
          <w:bCs/>
          <w:spacing w:val="-17"/>
        </w:rPr>
        <w:t>目</w:t>
      </w:r>
      <w:r>
        <w:rPr>
          <w:rFonts w:ascii="黑体" w:eastAsia="黑体" w:hAnsi="黑体" w:cs="黑体"/>
          <w:spacing w:val="-39"/>
        </w:rPr>
        <w:t xml:space="preserve"> </w:t>
      </w:r>
      <w:r>
        <w:rPr>
          <w:rFonts w:ascii="黑体" w:eastAsia="黑体" w:hAnsi="黑体" w:cs="黑体"/>
          <w:b/>
          <w:bCs/>
          <w:spacing w:val="-17"/>
        </w:rPr>
        <w:t>标</w:t>
      </w:r>
    </w:p>
    <w:p w:rsidR="00EA40A3" w:rsidRDefault="00E86C16">
      <w:pPr>
        <w:spacing w:before="206" w:line="255" w:lineRule="auto"/>
        <w:ind w:right="97" w:firstLine="509"/>
        <w:rPr>
          <w:rFonts w:ascii="楷体" w:eastAsia="楷体" w:hAnsi="楷体" w:cs="楷体"/>
        </w:rPr>
      </w:pPr>
      <w:r>
        <w:rPr>
          <w:rFonts w:ascii="楷体" w:eastAsia="楷体" w:hAnsi="楷体" w:cs="楷体"/>
        </w:rPr>
        <w:t>·</w:t>
      </w:r>
      <w:r>
        <w:rPr>
          <w:rFonts w:ascii="楷体" w:eastAsia="楷体" w:hAnsi="楷体" w:cs="楷体"/>
          <w:spacing w:val="-66"/>
        </w:rPr>
        <w:t xml:space="preserve"> </w:t>
      </w:r>
      <w:r>
        <w:rPr>
          <w:rFonts w:ascii="楷体" w:eastAsia="楷体" w:hAnsi="楷体" w:cs="楷体"/>
        </w:rPr>
        <w:t>了解能量单位和能值，掌握人体能量消耗的构成，了解并熟悉能</w:t>
      </w:r>
      <w:r>
        <w:rPr>
          <w:rFonts w:ascii="楷体" w:eastAsia="楷体" w:hAnsi="楷体" w:cs="楷体"/>
          <w:spacing w:val="-1"/>
        </w:rPr>
        <w:t>量消耗</w:t>
      </w:r>
      <w:r>
        <w:rPr>
          <w:rFonts w:ascii="楷体" w:eastAsia="楷体" w:hAnsi="楷体" w:cs="楷体"/>
        </w:rPr>
        <w:t xml:space="preserve"> </w:t>
      </w:r>
      <w:r>
        <w:rPr>
          <w:rFonts w:ascii="楷体" w:eastAsia="楷体" w:hAnsi="楷体" w:cs="楷体"/>
          <w:spacing w:val="-3"/>
        </w:rPr>
        <w:t>量的测定及估算方法，掌握能量不平衡对人体的影响，能量的</w:t>
      </w:r>
      <w:r>
        <w:rPr>
          <w:rFonts w:ascii="楷体" w:eastAsia="楷体" w:hAnsi="楷体" w:cs="楷体"/>
          <w:spacing w:val="-4"/>
        </w:rPr>
        <w:t>合理膳食来源与构</w:t>
      </w:r>
      <w:r>
        <w:rPr>
          <w:rFonts w:ascii="楷体" w:eastAsia="楷体" w:hAnsi="楷体" w:cs="楷体"/>
        </w:rPr>
        <w:t xml:space="preserve"> </w:t>
      </w:r>
      <w:r>
        <w:rPr>
          <w:rFonts w:ascii="楷体" w:eastAsia="楷体" w:hAnsi="楷体" w:cs="楷体"/>
          <w:spacing w:val="-9"/>
        </w:rPr>
        <w:t>成及适宜摄入量。</w:t>
      </w:r>
    </w:p>
    <w:p w:rsidR="00EA40A3" w:rsidRDefault="00E86C16">
      <w:pPr>
        <w:spacing w:before="28" w:line="246" w:lineRule="auto"/>
        <w:ind w:right="96" w:firstLine="509"/>
        <w:rPr>
          <w:rFonts w:ascii="楷体" w:eastAsia="楷体" w:hAnsi="楷体" w:cs="楷体"/>
        </w:rPr>
      </w:pPr>
      <w:r>
        <w:rPr>
          <w:rFonts w:ascii="楷体" w:eastAsia="楷体" w:hAnsi="楷体" w:cs="楷体"/>
        </w:rPr>
        <w:t>·</w:t>
      </w:r>
      <w:r>
        <w:rPr>
          <w:rFonts w:ascii="楷体" w:eastAsia="楷体" w:hAnsi="楷体" w:cs="楷体"/>
          <w:spacing w:val="-66"/>
        </w:rPr>
        <w:t xml:space="preserve"> </w:t>
      </w:r>
      <w:r>
        <w:rPr>
          <w:rFonts w:ascii="楷体" w:eastAsia="楷体" w:hAnsi="楷体" w:cs="楷体"/>
        </w:rPr>
        <w:t>了解碳水化合物的分类，熟悉功能性低聚糖和多糖的种类与功能，</w:t>
      </w:r>
      <w:r>
        <w:rPr>
          <w:rFonts w:ascii="楷体" w:eastAsia="楷体" w:hAnsi="楷体" w:cs="楷体"/>
          <w:spacing w:val="-1"/>
        </w:rPr>
        <w:t>掌握</w:t>
      </w:r>
      <w:r>
        <w:rPr>
          <w:rFonts w:ascii="楷体" w:eastAsia="楷体" w:hAnsi="楷体" w:cs="楷体"/>
        </w:rPr>
        <w:t xml:space="preserve"> </w:t>
      </w:r>
      <w:r>
        <w:rPr>
          <w:rFonts w:ascii="楷体" w:eastAsia="楷体" w:hAnsi="楷体" w:cs="楷体"/>
          <w:spacing w:val="-4"/>
        </w:rPr>
        <w:t>碳水化合物的生理功能、适宜摄入量及膳食来源、血糖指数。</w:t>
      </w:r>
    </w:p>
    <w:p w:rsidR="00EA40A3" w:rsidRDefault="00E86C16">
      <w:pPr>
        <w:spacing w:before="39" w:line="256" w:lineRule="auto"/>
        <w:ind w:right="85" w:firstLine="509"/>
        <w:rPr>
          <w:rFonts w:ascii="楷体" w:eastAsia="楷体" w:hAnsi="楷体" w:cs="楷体"/>
        </w:rPr>
      </w:pPr>
      <w:r>
        <w:rPr>
          <w:rFonts w:ascii="楷体" w:eastAsia="楷体" w:hAnsi="楷体" w:cs="楷体"/>
        </w:rPr>
        <w:t>·</w:t>
      </w:r>
      <w:r>
        <w:rPr>
          <w:rFonts w:ascii="楷体" w:eastAsia="楷体" w:hAnsi="楷体" w:cs="楷体"/>
          <w:spacing w:val="-57"/>
        </w:rPr>
        <w:t xml:space="preserve"> </w:t>
      </w:r>
      <w:r>
        <w:rPr>
          <w:rFonts w:ascii="楷体" w:eastAsia="楷体" w:hAnsi="楷体" w:cs="楷体"/>
        </w:rPr>
        <w:t xml:space="preserve">了解脂类的分类，掌握脂肪、必需脂肪酸、磷脂和胆固醇的生理功能以 </w:t>
      </w:r>
      <w:r>
        <w:rPr>
          <w:rFonts w:ascii="楷体" w:eastAsia="楷体" w:hAnsi="楷体" w:cs="楷体"/>
          <w:spacing w:val="-3"/>
        </w:rPr>
        <w:t>及脂类营养价值的评价方法，认识脂类在人体营养</w:t>
      </w:r>
      <w:r>
        <w:rPr>
          <w:rFonts w:ascii="楷体" w:eastAsia="楷体" w:hAnsi="楷体" w:cs="楷体"/>
          <w:spacing w:val="-4"/>
        </w:rPr>
        <w:t>和膳食中的作用、地位和适宜</w:t>
      </w:r>
      <w:r>
        <w:rPr>
          <w:rFonts w:ascii="楷体" w:eastAsia="楷体" w:hAnsi="楷体" w:cs="楷体"/>
        </w:rPr>
        <w:t xml:space="preserve"> </w:t>
      </w:r>
      <w:r>
        <w:rPr>
          <w:rFonts w:ascii="楷体" w:eastAsia="楷体" w:hAnsi="楷体" w:cs="楷体"/>
          <w:spacing w:val="-7"/>
        </w:rPr>
        <w:t>摄入量。</w:t>
      </w:r>
    </w:p>
    <w:p w:rsidR="00EA40A3" w:rsidRDefault="00E86C16">
      <w:pPr>
        <w:spacing w:before="26" w:line="245" w:lineRule="auto"/>
        <w:ind w:firstLine="509"/>
        <w:rPr>
          <w:rFonts w:ascii="楷体" w:eastAsia="楷体" w:hAnsi="楷体" w:cs="楷体"/>
        </w:rPr>
      </w:pPr>
      <w:r>
        <w:rPr>
          <w:rFonts w:ascii="楷体" w:eastAsia="楷体" w:hAnsi="楷体" w:cs="楷体"/>
          <w:spacing w:val="-4"/>
        </w:rPr>
        <w:t>·</w:t>
      </w:r>
      <w:r>
        <w:rPr>
          <w:rFonts w:ascii="楷体" w:eastAsia="楷体" w:hAnsi="楷体" w:cs="楷体"/>
          <w:spacing w:val="-50"/>
        </w:rPr>
        <w:t xml:space="preserve"> </w:t>
      </w:r>
      <w:r>
        <w:rPr>
          <w:rFonts w:ascii="楷体" w:eastAsia="楷体" w:hAnsi="楷体" w:cs="楷体"/>
          <w:spacing w:val="-4"/>
        </w:rPr>
        <w:t>了解蛋白质种类，掌握蛋白质、功能性氨基酸以及功能性肽的生理功能，</w:t>
      </w:r>
      <w:r>
        <w:rPr>
          <w:rFonts w:ascii="楷体" w:eastAsia="楷体" w:hAnsi="楷体" w:cs="楷体"/>
        </w:rPr>
        <w:t xml:space="preserve"> </w:t>
      </w:r>
      <w:r>
        <w:rPr>
          <w:rFonts w:ascii="楷体" w:eastAsia="楷体" w:hAnsi="楷体" w:cs="楷体"/>
          <w:spacing w:val="-8"/>
        </w:rPr>
        <w:t>熟悉蛋白质的营养价值评价方法、蛋白质不良的表现、</w:t>
      </w:r>
      <w:r>
        <w:rPr>
          <w:rFonts w:ascii="楷体" w:eastAsia="楷体" w:hAnsi="楷体" w:cs="楷体"/>
          <w:spacing w:val="10"/>
        </w:rPr>
        <w:t xml:space="preserve"> </w:t>
      </w:r>
      <w:r>
        <w:rPr>
          <w:rFonts w:ascii="楷体" w:eastAsia="楷体" w:hAnsi="楷体" w:cs="楷体"/>
          <w:spacing w:val="-8"/>
        </w:rPr>
        <w:t>DRI</w:t>
      </w:r>
      <w:r>
        <w:rPr>
          <w:rFonts w:ascii="楷体" w:eastAsia="楷体" w:hAnsi="楷体" w:cs="楷体"/>
          <w:spacing w:val="9"/>
        </w:rPr>
        <w:t xml:space="preserve"> </w:t>
      </w:r>
      <w:r>
        <w:rPr>
          <w:rFonts w:ascii="楷体" w:eastAsia="楷体" w:hAnsi="楷体" w:cs="楷体"/>
          <w:spacing w:val="-8"/>
        </w:rPr>
        <w:t>和食物来源。</w:t>
      </w:r>
    </w:p>
    <w:p w:rsidR="00EA40A3" w:rsidRDefault="00E86C16">
      <w:pPr>
        <w:spacing w:before="43" w:line="220" w:lineRule="auto"/>
        <w:ind w:left="509"/>
        <w:rPr>
          <w:rFonts w:ascii="楷体" w:eastAsia="楷体" w:hAnsi="楷体" w:cs="楷体"/>
        </w:rPr>
      </w:pPr>
      <w:r>
        <w:rPr>
          <w:rFonts w:ascii="楷体" w:eastAsia="楷体" w:hAnsi="楷体" w:cs="楷体"/>
          <w:spacing w:val="-5"/>
        </w:rPr>
        <w:t>·</w:t>
      </w:r>
      <w:r>
        <w:rPr>
          <w:rFonts w:ascii="楷体" w:eastAsia="楷体" w:hAnsi="楷体" w:cs="楷体"/>
          <w:spacing w:val="-62"/>
        </w:rPr>
        <w:t xml:space="preserve"> </w:t>
      </w:r>
      <w:r>
        <w:rPr>
          <w:rFonts w:ascii="楷体" w:eastAsia="楷体" w:hAnsi="楷体" w:cs="楷体"/>
          <w:spacing w:val="-5"/>
        </w:rPr>
        <w:t>了解水在体内的分布和水缺乏、过量的危害，熟悉水的生理功能。</w:t>
      </w:r>
    </w:p>
    <w:p w:rsidR="00EA40A3" w:rsidRDefault="00EA40A3">
      <w:pPr>
        <w:spacing w:line="274" w:lineRule="auto"/>
      </w:pPr>
    </w:p>
    <w:p w:rsidR="00EA40A3" w:rsidRDefault="00E86C16">
      <w:pPr>
        <w:spacing w:before="98" w:line="221" w:lineRule="auto"/>
        <w:ind w:left="2749"/>
        <w:rPr>
          <w:rFonts w:ascii="宋体" w:eastAsia="宋体" w:hAnsi="宋体" w:cs="宋体"/>
          <w:sz w:val="30"/>
          <w:szCs w:val="30"/>
        </w:rPr>
      </w:pPr>
      <w:r>
        <w:rPr>
          <w:rFonts w:ascii="宋体" w:eastAsia="宋体" w:hAnsi="宋体" w:cs="宋体"/>
          <w:spacing w:val="-9"/>
          <w:sz w:val="30"/>
          <w:szCs w:val="30"/>
        </w:rPr>
        <w:t>3.1</w:t>
      </w:r>
      <w:r>
        <w:rPr>
          <w:rFonts w:ascii="宋体" w:eastAsia="宋体" w:hAnsi="宋体" w:cs="宋体"/>
          <w:spacing w:val="90"/>
          <w:sz w:val="30"/>
          <w:szCs w:val="30"/>
        </w:rPr>
        <w:t xml:space="preserve"> </w:t>
      </w:r>
      <w:r>
        <w:rPr>
          <w:rFonts w:ascii="宋体" w:eastAsia="宋体" w:hAnsi="宋体" w:cs="宋体"/>
          <w:spacing w:val="-9"/>
          <w:sz w:val="30"/>
          <w:szCs w:val="30"/>
        </w:rPr>
        <w:t>能</w:t>
      </w:r>
      <w:r>
        <w:rPr>
          <w:rFonts w:ascii="宋体" w:eastAsia="宋体" w:hAnsi="宋体" w:cs="宋体"/>
          <w:spacing w:val="34"/>
          <w:sz w:val="30"/>
          <w:szCs w:val="30"/>
        </w:rPr>
        <w:t xml:space="preserve">   </w:t>
      </w:r>
      <w:r>
        <w:rPr>
          <w:rFonts w:ascii="宋体" w:eastAsia="宋体" w:hAnsi="宋体" w:cs="宋体"/>
          <w:spacing w:val="-9"/>
          <w:sz w:val="30"/>
          <w:szCs w:val="30"/>
        </w:rPr>
        <w:t>量</w:t>
      </w:r>
    </w:p>
    <w:p w:rsidR="00EA40A3" w:rsidRDefault="00EA40A3">
      <w:pPr>
        <w:spacing w:line="244" w:lineRule="auto"/>
      </w:pPr>
    </w:p>
    <w:p w:rsidR="00EA40A3" w:rsidRDefault="00E86C16">
      <w:pPr>
        <w:spacing w:before="69" w:line="260" w:lineRule="auto"/>
        <w:ind w:right="93" w:firstLine="450"/>
        <w:jc w:val="both"/>
        <w:rPr>
          <w:rFonts w:ascii="宋体" w:eastAsia="宋体" w:hAnsi="宋体" w:cs="宋体"/>
        </w:rPr>
      </w:pPr>
      <w:r>
        <w:rPr>
          <w:rFonts w:ascii="宋体" w:eastAsia="宋体" w:hAnsi="宋体" w:cs="宋体"/>
          <w:spacing w:val="-2"/>
        </w:rPr>
        <w:t>一切生物都需要能量</w:t>
      </w:r>
      <w:r>
        <w:rPr>
          <w:rFonts w:ascii="宋体" w:eastAsia="宋体" w:hAnsi="宋体" w:cs="宋体"/>
          <w:spacing w:val="-4"/>
        </w:rPr>
        <w:t xml:space="preserve"> </w:t>
      </w:r>
      <w:r>
        <w:rPr>
          <w:rFonts w:ascii="宋体" w:eastAsia="宋体" w:hAnsi="宋体" w:cs="宋体"/>
          <w:spacing w:val="-2"/>
        </w:rPr>
        <w:t>(energy)</w:t>
      </w:r>
      <w:r>
        <w:rPr>
          <w:rFonts w:ascii="宋体" w:eastAsia="宋体" w:hAnsi="宋体" w:cs="宋体"/>
          <w:spacing w:val="-20"/>
        </w:rPr>
        <w:t xml:space="preserve"> </w:t>
      </w:r>
      <w:r>
        <w:rPr>
          <w:rFonts w:ascii="宋体" w:eastAsia="宋体" w:hAnsi="宋体" w:cs="宋体"/>
          <w:spacing w:val="-2"/>
        </w:rPr>
        <w:t>来维持生</w:t>
      </w:r>
      <w:r>
        <w:rPr>
          <w:rFonts w:ascii="宋体" w:eastAsia="宋体" w:hAnsi="宋体" w:cs="宋体"/>
          <w:spacing w:val="-3"/>
        </w:rPr>
        <w:t>命活动，人体为维持生命活动及从</w:t>
      </w:r>
      <w:r>
        <w:rPr>
          <w:rFonts w:ascii="宋体" w:eastAsia="宋体" w:hAnsi="宋体" w:cs="宋体"/>
        </w:rPr>
        <w:t xml:space="preserve"> </w:t>
      </w:r>
      <w:r>
        <w:rPr>
          <w:rFonts w:ascii="宋体" w:eastAsia="宋体" w:hAnsi="宋体" w:cs="宋体"/>
          <w:spacing w:val="-4"/>
        </w:rPr>
        <w:t>事各种体力活动，必须每天从各种食物中获得能量。不仅体力活动需要能量，机</w:t>
      </w:r>
      <w:r>
        <w:rPr>
          <w:rFonts w:ascii="宋体" w:eastAsia="宋体" w:hAnsi="宋体" w:cs="宋体"/>
          <w:spacing w:val="17"/>
        </w:rPr>
        <w:t xml:space="preserve"> </w:t>
      </w:r>
      <w:r>
        <w:rPr>
          <w:rFonts w:ascii="宋体" w:eastAsia="宋体" w:hAnsi="宋体" w:cs="宋体"/>
          <w:spacing w:val="-3"/>
        </w:rPr>
        <w:t>体处于安静状态下也需要消耗能量来维持体内器官中每</w:t>
      </w:r>
      <w:r>
        <w:rPr>
          <w:rFonts w:ascii="宋体" w:eastAsia="宋体" w:hAnsi="宋体" w:cs="宋体"/>
          <w:spacing w:val="-4"/>
        </w:rPr>
        <w:t>一个细胞的正常生理活动</w:t>
      </w:r>
      <w:r>
        <w:rPr>
          <w:rFonts w:ascii="宋体" w:eastAsia="宋体" w:hAnsi="宋体" w:cs="宋体"/>
        </w:rPr>
        <w:t xml:space="preserve"> </w:t>
      </w:r>
      <w:r>
        <w:rPr>
          <w:rFonts w:ascii="宋体" w:eastAsia="宋体" w:hAnsi="宋体" w:cs="宋体"/>
          <w:spacing w:val="-3"/>
        </w:rPr>
        <w:t>及体温的恒定。如果人体摄入能量不足，机体会动用自身</w:t>
      </w:r>
      <w:r>
        <w:rPr>
          <w:rFonts w:ascii="宋体" w:eastAsia="宋体" w:hAnsi="宋体" w:cs="宋体"/>
          <w:spacing w:val="-4"/>
        </w:rPr>
        <w:t>能量储备甚至消耗自身</w:t>
      </w:r>
      <w:r>
        <w:rPr>
          <w:rFonts w:ascii="宋体" w:eastAsia="宋体" w:hAnsi="宋体" w:cs="宋体"/>
        </w:rPr>
        <w:t xml:space="preserve"> </w:t>
      </w:r>
      <w:r>
        <w:rPr>
          <w:rFonts w:ascii="宋体" w:eastAsia="宋体" w:hAnsi="宋体" w:cs="宋体"/>
          <w:spacing w:val="-4"/>
        </w:rPr>
        <w:t>组织以满足生命活动对能量的需要，若长期处于能量不足状态，则可导致生长发</w:t>
      </w:r>
      <w:r>
        <w:rPr>
          <w:rFonts w:ascii="宋体" w:eastAsia="宋体" w:hAnsi="宋体" w:cs="宋体"/>
          <w:spacing w:val="17"/>
        </w:rPr>
        <w:t xml:space="preserve"> </w:t>
      </w:r>
      <w:r>
        <w:rPr>
          <w:rFonts w:ascii="宋体" w:eastAsia="宋体" w:hAnsi="宋体" w:cs="宋体"/>
          <w:spacing w:val="-4"/>
        </w:rPr>
        <w:t>育缓慢、消瘦、活力消失甚至生命活动停止而死亡。反之，若能量摄入过剩，会</w:t>
      </w:r>
      <w:r>
        <w:rPr>
          <w:rFonts w:ascii="宋体" w:eastAsia="宋体" w:hAnsi="宋体" w:cs="宋体"/>
          <w:spacing w:val="17"/>
        </w:rPr>
        <w:t xml:space="preserve"> </w:t>
      </w:r>
      <w:r>
        <w:rPr>
          <w:rFonts w:ascii="宋体" w:eastAsia="宋体" w:hAnsi="宋体" w:cs="宋体"/>
          <w:spacing w:val="-3"/>
        </w:rPr>
        <w:t>以脂肪形式储存于体内，导致异常的脂肪堆积。</w:t>
      </w:r>
      <w:r>
        <w:rPr>
          <w:rFonts w:ascii="宋体" w:eastAsia="宋体" w:hAnsi="宋体" w:cs="宋体"/>
          <w:spacing w:val="-4"/>
        </w:rPr>
        <w:t>因此，能量的供需平衡是营养学</w:t>
      </w:r>
      <w:r>
        <w:rPr>
          <w:rFonts w:ascii="宋体" w:eastAsia="宋体" w:hAnsi="宋体" w:cs="宋体"/>
        </w:rPr>
        <w:t xml:space="preserve"> </w:t>
      </w:r>
      <w:r>
        <w:rPr>
          <w:rFonts w:ascii="宋体" w:eastAsia="宋体" w:hAnsi="宋体" w:cs="宋体"/>
          <w:spacing w:val="5"/>
        </w:rPr>
        <w:t>最基本的问题。国际上以焦耳 (</w:t>
      </w:r>
      <w:r>
        <w:rPr>
          <w:rFonts w:ascii="宋体" w:eastAsia="宋体" w:hAnsi="宋体" w:cs="宋体"/>
        </w:rPr>
        <w:t>Joule</w:t>
      </w:r>
      <w:r>
        <w:rPr>
          <w:rFonts w:ascii="宋体" w:eastAsia="宋体" w:hAnsi="宋体" w:cs="宋体"/>
          <w:spacing w:val="5"/>
        </w:rPr>
        <w:t>,J)</w:t>
      </w:r>
      <w:r>
        <w:rPr>
          <w:rFonts w:ascii="宋体" w:eastAsia="宋体" w:hAnsi="宋体" w:cs="宋体"/>
          <w:spacing w:val="75"/>
        </w:rPr>
        <w:t xml:space="preserve"> </w:t>
      </w:r>
      <w:r>
        <w:rPr>
          <w:rFonts w:ascii="宋体" w:eastAsia="宋体" w:hAnsi="宋体" w:cs="宋体"/>
          <w:spacing w:val="5"/>
        </w:rPr>
        <w:t>为单位表示能</w:t>
      </w:r>
      <w:r>
        <w:rPr>
          <w:rFonts w:ascii="宋体" w:eastAsia="宋体" w:hAnsi="宋体" w:cs="宋体"/>
          <w:spacing w:val="4"/>
        </w:rPr>
        <w:t>量，1J</w:t>
      </w:r>
      <w:r>
        <w:rPr>
          <w:rFonts w:ascii="宋体" w:eastAsia="宋体" w:hAnsi="宋体" w:cs="宋体"/>
          <w:spacing w:val="-43"/>
        </w:rPr>
        <w:t xml:space="preserve"> </w:t>
      </w:r>
      <w:r>
        <w:rPr>
          <w:rFonts w:ascii="宋体" w:eastAsia="宋体" w:hAnsi="宋体" w:cs="宋体"/>
          <w:spacing w:val="4"/>
        </w:rPr>
        <w:t>相当于1牛顿</w:t>
      </w:r>
      <w:r>
        <w:rPr>
          <w:rFonts w:ascii="宋体" w:eastAsia="宋体" w:hAnsi="宋体" w:cs="宋体"/>
        </w:rPr>
        <w:t xml:space="preserve"> </w:t>
      </w:r>
      <w:r>
        <w:rPr>
          <w:rFonts w:ascii="宋体" w:eastAsia="宋体" w:hAnsi="宋体" w:cs="宋体"/>
          <w:spacing w:val="5"/>
        </w:rPr>
        <w:t>(N)</w:t>
      </w:r>
      <w:r>
        <w:rPr>
          <w:rFonts w:ascii="宋体" w:eastAsia="宋体" w:hAnsi="宋体" w:cs="宋体"/>
          <w:spacing w:val="75"/>
        </w:rPr>
        <w:t xml:space="preserve"> </w:t>
      </w:r>
      <w:r>
        <w:rPr>
          <w:rFonts w:ascii="宋体" w:eastAsia="宋体" w:hAnsi="宋体" w:cs="宋体"/>
          <w:spacing w:val="5"/>
        </w:rPr>
        <w:t>的力使1千克</w:t>
      </w:r>
      <w:r>
        <w:rPr>
          <w:rFonts w:ascii="宋体" w:eastAsia="宋体" w:hAnsi="宋体" w:cs="宋体"/>
          <w:spacing w:val="-28"/>
        </w:rPr>
        <w:t xml:space="preserve"> </w:t>
      </w:r>
      <w:r>
        <w:rPr>
          <w:rFonts w:ascii="宋体" w:eastAsia="宋体" w:hAnsi="宋体" w:cs="宋体"/>
          <w:spacing w:val="5"/>
        </w:rPr>
        <w:t>(</w:t>
      </w:r>
      <w:r>
        <w:rPr>
          <w:rFonts w:ascii="宋体" w:eastAsia="宋体" w:hAnsi="宋体" w:cs="宋体"/>
        </w:rPr>
        <w:t>kg</w:t>
      </w:r>
      <w:r>
        <w:rPr>
          <w:rFonts w:ascii="宋体" w:eastAsia="宋体" w:hAnsi="宋体" w:cs="宋体"/>
          <w:spacing w:val="5"/>
        </w:rPr>
        <w:t>)</w:t>
      </w:r>
      <w:r>
        <w:rPr>
          <w:rFonts w:ascii="宋体" w:eastAsia="宋体" w:hAnsi="宋体" w:cs="宋体"/>
          <w:spacing w:val="60"/>
        </w:rPr>
        <w:t xml:space="preserve"> </w:t>
      </w:r>
      <w:r>
        <w:rPr>
          <w:rFonts w:ascii="宋体" w:eastAsia="宋体" w:hAnsi="宋体" w:cs="宋体"/>
          <w:spacing w:val="5"/>
        </w:rPr>
        <w:t>的物体移动1米</w:t>
      </w:r>
      <w:r>
        <w:rPr>
          <w:rFonts w:ascii="宋体" w:eastAsia="宋体" w:hAnsi="宋体" w:cs="宋体"/>
          <w:spacing w:val="-4"/>
        </w:rPr>
        <w:t xml:space="preserve"> </w:t>
      </w:r>
      <w:r>
        <w:rPr>
          <w:rFonts w:ascii="宋体" w:eastAsia="宋体" w:hAnsi="宋体" w:cs="宋体"/>
          <w:spacing w:val="5"/>
        </w:rPr>
        <w:t>(m)</w:t>
      </w:r>
      <w:r>
        <w:rPr>
          <w:rFonts w:ascii="宋体" w:eastAsia="宋体" w:hAnsi="宋体" w:cs="宋体"/>
        </w:rPr>
        <w:t xml:space="preserve">  </w:t>
      </w:r>
      <w:r>
        <w:rPr>
          <w:rFonts w:ascii="宋体" w:eastAsia="宋体" w:hAnsi="宋体" w:cs="宋体"/>
          <w:spacing w:val="5"/>
        </w:rPr>
        <w:t>所消耗的能量；</w:t>
      </w:r>
      <w:r>
        <w:rPr>
          <w:rFonts w:ascii="宋体" w:eastAsia="宋体" w:hAnsi="宋体" w:cs="宋体"/>
          <w:spacing w:val="4"/>
        </w:rPr>
        <w:t>以往营养学上</w:t>
      </w:r>
      <w:r>
        <w:rPr>
          <w:rFonts w:ascii="宋体" w:eastAsia="宋体" w:hAnsi="宋体" w:cs="宋体"/>
        </w:rPr>
        <w:t xml:space="preserve"> </w:t>
      </w:r>
      <w:r>
        <w:rPr>
          <w:rFonts w:ascii="宋体" w:eastAsia="宋体" w:hAnsi="宋体" w:cs="宋体"/>
          <w:spacing w:val="-4"/>
        </w:rPr>
        <w:t>常用卡</w:t>
      </w:r>
      <w:r>
        <w:rPr>
          <w:rFonts w:ascii="宋体" w:eastAsia="宋体" w:hAnsi="宋体" w:cs="宋体"/>
          <w:spacing w:val="1"/>
        </w:rPr>
        <w:t xml:space="preserve"> </w:t>
      </w:r>
      <w:r>
        <w:rPr>
          <w:rFonts w:ascii="宋体" w:eastAsia="宋体" w:hAnsi="宋体" w:cs="宋体"/>
          <w:spacing w:val="-4"/>
        </w:rPr>
        <w:t>(cal)</w:t>
      </w:r>
      <w:r>
        <w:rPr>
          <w:rFonts w:ascii="宋体" w:eastAsia="宋体" w:hAnsi="宋体" w:cs="宋体"/>
          <w:spacing w:val="-35"/>
        </w:rPr>
        <w:t xml:space="preserve"> </w:t>
      </w:r>
      <w:r>
        <w:rPr>
          <w:rFonts w:ascii="宋体" w:eastAsia="宋体" w:hAnsi="宋体" w:cs="宋体"/>
          <w:spacing w:val="-4"/>
        </w:rPr>
        <w:t>或千卡</w:t>
      </w:r>
      <w:r>
        <w:rPr>
          <w:rFonts w:ascii="宋体" w:eastAsia="宋体" w:hAnsi="宋体" w:cs="宋体"/>
          <w:spacing w:val="-16"/>
        </w:rPr>
        <w:t xml:space="preserve"> </w:t>
      </w:r>
      <w:r>
        <w:rPr>
          <w:rFonts w:ascii="宋体" w:eastAsia="宋体" w:hAnsi="宋体" w:cs="宋体"/>
          <w:spacing w:val="-4"/>
        </w:rPr>
        <w:t>(kcal)</w:t>
      </w:r>
      <w:r>
        <w:rPr>
          <w:rFonts w:ascii="宋体" w:eastAsia="宋体" w:hAnsi="宋体" w:cs="宋体"/>
          <w:spacing w:val="-40"/>
        </w:rPr>
        <w:t xml:space="preserve"> </w:t>
      </w:r>
      <w:r>
        <w:rPr>
          <w:rFonts w:ascii="宋体" w:eastAsia="宋体" w:hAnsi="宋体" w:cs="宋体"/>
          <w:spacing w:val="-4"/>
        </w:rPr>
        <w:t>作为能量单位，1cal=</w:t>
      </w:r>
      <w:r>
        <w:rPr>
          <w:rFonts w:ascii="宋体" w:eastAsia="宋体" w:hAnsi="宋体" w:cs="宋体"/>
          <w:spacing w:val="41"/>
        </w:rPr>
        <w:t xml:space="preserve"> </w:t>
      </w:r>
      <w:r>
        <w:rPr>
          <w:rFonts w:ascii="宋体" w:eastAsia="宋体" w:hAnsi="宋体" w:cs="宋体"/>
          <w:spacing w:val="-4"/>
        </w:rPr>
        <w:t>4.184J。</w:t>
      </w:r>
    </w:p>
    <w:p w:rsidR="00EA40A3" w:rsidRDefault="00E86C16">
      <w:pPr>
        <w:spacing w:before="220" w:line="221" w:lineRule="auto"/>
        <w:ind w:left="3"/>
        <w:outlineLvl w:val="6"/>
        <w:rPr>
          <w:rFonts w:ascii="黑体" w:eastAsia="黑体" w:hAnsi="黑体" w:cs="黑体"/>
          <w:sz w:val="25"/>
          <w:szCs w:val="25"/>
        </w:rPr>
      </w:pPr>
      <w:r>
        <w:rPr>
          <w:rFonts w:ascii="黑体" w:eastAsia="黑体" w:hAnsi="黑体" w:cs="黑体"/>
          <w:b/>
          <w:bCs/>
          <w:spacing w:val="-10"/>
          <w:sz w:val="25"/>
          <w:szCs w:val="25"/>
        </w:rPr>
        <w:t>3.1.1</w:t>
      </w:r>
      <w:r>
        <w:rPr>
          <w:rFonts w:ascii="黑体" w:eastAsia="黑体" w:hAnsi="黑体" w:cs="黑体"/>
          <w:spacing w:val="81"/>
          <w:sz w:val="25"/>
          <w:szCs w:val="25"/>
        </w:rPr>
        <w:t xml:space="preserve"> </w:t>
      </w:r>
      <w:r>
        <w:rPr>
          <w:rFonts w:ascii="黑体" w:eastAsia="黑体" w:hAnsi="黑体" w:cs="黑体"/>
          <w:b/>
          <w:bCs/>
          <w:spacing w:val="-10"/>
          <w:sz w:val="25"/>
          <w:szCs w:val="25"/>
        </w:rPr>
        <w:t>能量的来源及能值</w:t>
      </w:r>
    </w:p>
    <w:p w:rsidR="00EA40A3" w:rsidRDefault="00E86C16">
      <w:pPr>
        <w:spacing w:before="202" w:line="249" w:lineRule="auto"/>
        <w:ind w:right="54" w:firstLine="439"/>
        <w:jc w:val="both"/>
        <w:rPr>
          <w:rFonts w:ascii="宋体" w:eastAsia="宋体" w:hAnsi="宋体" w:cs="宋体"/>
        </w:rPr>
      </w:pPr>
      <w:r>
        <w:rPr>
          <w:rFonts w:ascii="宋体" w:eastAsia="宋体" w:hAnsi="宋体" w:cs="宋体"/>
          <w:spacing w:val="-4"/>
        </w:rPr>
        <w:t>人体所需能量主要来源于食物中三大宏量营养素：碳水化合物、脂肪、蛋白</w:t>
      </w:r>
      <w:r>
        <w:rPr>
          <w:rFonts w:ascii="宋体" w:eastAsia="宋体" w:hAnsi="宋体" w:cs="宋体"/>
          <w:spacing w:val="7"/>
        </w:rPr>
        <w:t xml:space="preserve"> </w:t>
      </w:r>
      <w:r>
        <w:rPr>
          <w:rFonts w:ascii="宋体" w:eastAsia="宋体" w:hAnsi="宋体" w:cs="宋体"/>
          <w:spacing w:val="-1"/>
        </w:rPr>
        <w:t>质。每克碳水化合物、脂肪、蛋白质在体内氧化产生的能量值也称为</w:t>
      </w:r>
      <w:r>
        <w:rPr>
          <w:rFonts w:ascii="宋体" w:eastAsia="宋体" w:hAnsi="宋体" w:cs="宋体"/>
          <w:spacing w:val="-2"/>
        </w:rPr>
        <w:t>能量系数。</w:t>
      </w:r>
      <w:r>
        <w:rPr>
          <w:rFonts w:ascii="宋体" w:eastAsia="宋体" w:hAnsi="宋体" w:cs="宋体"/>
        </w:rPr>
        <w:t xml:space="preserve"> </w:t>
      </w:r>
      <w:r>
        <w:rPr>
          <w:rFonts w:ascii="宋体" w:eastAsia="宋体" w:hAnsi="宋体" w:cs="宋体"/>
          <w:spacing w:val="-3"/>
        </w:rPr>
        <w:t>食物中每克碳水化合物、脂肪和蛋白质在体外弹式热量计内充分氧化</w:t>
      </w:r>
      <w:r>
        <w:rPr>
          <w:rFonts w:ascii="宋体" w:eastAsia="宋体" w:hAnsi="宋体" w:cs="宋体"/>
          <w:spacing w:val="-4"/>
        </w:rPr>
        <w:t>燃烧可分别</w:t>
      </w:r>
    </w:p>
    <w:p w:rsidR="00EA40A3" w:rsidRDefault="00E86C16">
      <w:pPr>
        <w:spacing w:before="99"/>
        <w:ind w:right="121"/>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39</w:t>
      </w:r>
      <w:r>
        <w:rPr>
          <w:rFonts w:ascii="宋体" w:eastAsia="宋体" w:hAnsi="宋体" w:cs="宋体"/>
          <w:spacing w:val="46"/>
          <w:sz w:val="18"/>
          <w:szCs w:val="18"/>
        </w:rPr>
        <w:t xml:space="preserve"> </w:t>
      </w:r>
      <w:r>
        <w:rPr>
          <w:rFonts w:ascii="宋体" w:eastAsia="宋体" w:hAnsi="宋体" w:cs="宋体"/>
          <w:spacing w:val="-30"/>
          <w:sz w:val="18"/>
          <w:szCs w:val="18"/>
        </w:rPr>
        <w:t>·</w:t>
      </w:r>
    </w:p>
    <w:p w:rsidR="00EA40A3" w:rsidRDefault="00EA40A3">
      <w:pPr>
        <w:sectPr w:rsidR="00EA40A3">
          <w:footerReference w:type="default" r:id="rId44"/>
          <w:pgSz w:w="9220" w:h="13360"/>
          <w:pgMar w:top="400" w:right="945" w:bottom="400" w:left="910" w:header="0" w:footer="0" w:gutter="0"/>
          <w:cols w:space="720"/>
        </w:sectPr>
      </w:pPr>
    </w:p>
    <w:p w:rsidR="00EA40A3" w:rsidRDefault="00EA40A3">
      <w:pPr>
        <w:spacing w:line="300" w:lineRule="auto"/>
      </w:pPr>
    </w:p>
    <w:p w:rsidR="00EA40A3" w:rsidRDefault="00EA40A3">
      <w:pPr>
        <w:spacing w:line="301" w:lineRule="auto"/>
      </w:pPr>
    </w:p>
    <w:p w:rsidR="00EA40A3" w:rsidRDefault="00E86C16">
      <w:pPr>
        <w:spacing w:before="72" w:line="248" w:lineRule="auto"/>
        <w:ind w:right="33"/>
        <w:jc w:val="both"/>
        <w:rPr>
          <w:rFonts w:ascii="宋体" w:eastAsia="宋体" w:hAnsi="宋体" w:cs="宋体"/>
          <w:sz w:val="22"/>
          <w:szCs w:val="22"/>
        </w:rPr>
      </w:pPr>
      <w:r>
        <w:rPr>
          <w:rFonts w:ascii="宋体" w:eastAsia="宋体" w:hAnsi="宋体" w:cs="宋体"/>
          <w:spacing w:val="-2"/>
          <w:sz w:val="22"/>
          <w:szCs w:val="22"/>
        </w:rPr>
        <w:t>产生17.15kJ(4.10</w:t>
      </w:r>
      <w:r>
        <w:rPr>
          <w:rFonts w:ascii="宋体" w:eastAsia="宋体" w:hAnsi="宋体" w:cs="宋体"/>
          <w:spacing w:val="10"/>
          <w:sz w:val="22"/>
          <w:szCs w:val="22"/>
        </w:rPr>
        <w:t xml:space="preserve"> </w:t>
      </w:r>
      <w:r>
        <w:rPr>
          <w:rFonts w:ascii="宋体" w:eastAsia="宋体" w:hAnsi="宋体" w:cs="宋体"/>
          <w:spacing w:val="-2"/>
          <w:sz w:val="22"/>
          <w:szCs w:val="22"/>
        </w:rPr>
        <w:t>kcal)、39.54kJ(9.45kcal)</w:t>
      </w:r>
      <w:r>
        <w:rPr>
          <w:rFonts w:ascii="宋体" w:eastAsia="宋体" w:hAnsi="宋体" w:cs="宋体"/>
          <w:spacing w:val="-28"/>
          <w:sz w:val="22"/>
          <w:szCs w:val="22"/>
        </w:rPr>
        <w:t xml:space="preserve"> </w:t>
      </w:r>
      <w:r>
        <w:rPr>
          <w:rFonts w:ascii="宋体" w:eastAsia="宋体" w:hAnsi="宋体" w:cs="宋体"/>
          <w:spacing w:val="-2"/>
          <w:sz w:val="22"/>
          <w:szCs w:val="22"/>
        </w:rPr>
        <w:t>和23.64kJ(5.65</w:t>
      </w:r>
      <w:r>
        <w:rPr>
          <w:rFonts w:ascii="宋体" w:eastAsia="宋体" w:hAnsi="宋体" w:cs="宋体"/>
          <w:spacing w:val="7"/>
          <w:sz w:val="22"/>
          <w:szCs w:val="22"/>
        </w:rPr>
        <w:t xml:space="preserve"> </w:t>
      </w:r>
      <w:r>
        <w:rPr>
          <w:rFonts w:ascii="宋体" w:eastAsia="宋体" w:hAnsi="宋体" w:cs="宋体"/>
          <w:spacing w:val="-2"/>
          <w:sz w:val="22"/>
          <w:szCs w:val="22"/>
        </w:rPr>
        <w:t>kcal)</w:t>
      </w:r>
      <w:r>
        <w:rPr>
          <w:rFonts w:ascii="宋体" w:eastAsia="宋体" w:hAnsi="宋体" w:cs="宋体"/>
          <w:spacing w:val="-13"/>
          <w:sz w:val="22"/>
          <w:szCs w:val="22"/>
        </w:rPr>
        <w:t xml:space="preserve"> </w:t>
      </w:r>
      <w:r>
        <w:rPr>
          <w:rFonts w:ascii="宋体" w:eastAsia="宋体" w:hAnsi="宋体" w:cs="宋体"/>
          <w:spacing w:val="-2"/>
          <w:sz w:val="22"/>
          <w:szCs w:val="22"/>
        </w:rPr>
        <w:t>的能</w:t>
      </w:r>
      <w:r>
        <w:rPr>
          <w:rFonts w:ascii="宋体" w:eastAsia="宋体" w:hAnsi="宋体" w:cs="宋体"/>
          <w:sz w:val="22"/>
          <w:szCs w:val="22"/>
        </w:rPr>
        <w:t xml:space="preserve"> </w:t>
      </w:r>
      <w:r>
        <w:rPr>
          <w:rFonts w:ascii="宋体" w:eastAsia="宋体" w:hAnsi="宋体" w:cs="宋体"/>
          <w:spacing w:val="-5"/>
          <w:sz w:val="22"/>
          <w:szCs w:val="22"/>
        </w:rPr>
        <w:t>量，但三大物质在体内不能被完全消化吸收，</w:t>
      </w:r>
      <w:r>
        <w:rPr>
          <w:rFonts w:ascii="宋体" w:eastAsia="宋体" w:hAnsi="宋体" w:cs="宋体"/>
          <w:spacing w:val="61"/>
          <w:sz w:val="22"/>
          <w:szCs w:val="22"/>
        </w:rPr>
        <w:t xml:space="preserve"> </w:t>
      </w:r>
      <w:r>
        <w:rPr>
          <w:rFonts w:ascii="宋体" w:eastAsia="宋体" w:hAnsi="宋体" w:cs="宋体"/>
          <w:spacing w:val="-5"/>
          <w:sz w:val="22"/>
          <w:szCs w:val="22"/>
        </w:rPr>
        <w:t>一般其消化率分别为98%、95%</w:t>
      </w:r>
      <w:r>
        <w:rPr>
          <w:rFonts w:ascii="宋体" w:eastAsia="宋体" w:hAnsi="宋体" w:cs="宋体"/>
          <w:sz w:val="22"/>
          <w:szCs w:val="22"/>
        </w:rPr>
        <w:t xml:space="preserve"> </w:t>
      </w:r>
      <w:r>
        <w:rPr>
          <w:rFonts w:ascii="宋体" w:eastAsia="宋体" w:hAnsi="宋体" w:cs="宋体"/>
          <w:spacing w:val="-1"/>
          <w:sz w:val="22"/>
          <w:szCs w:val="22"/>
        </w:rPr>
        <w:t>和92%,吸收后的碳水化合物和脂肪在体内可完全氧化为H</w:t>
      </w:r>
      <w:r>
        <w:rPr>
          <w:rFonts w:ascii="Calibri" w:eastAsia="Calibri" w:hAnsi="Calibri" w:cs="Calibri"/>
          <w:spacing w:val="-1"/>
          <w:sz w:val="22"/>
          <w:szCs w:val="22"/>
        </w:rPr>
        <w:t>₂</w:t>
      </w:r>
      <w:r>
        <w:rPr>
          <w:rFonts w:ascii="宋体" w:eastAsia="宋体" w:hAnsi="宋体" w:cs="宋体"/>
          <w:spacing w:val="-1"/>
          <w:sz w:val="22"/>
          <w:szCs w:val="22"/>
        </w:rPr>
        <w:t>O</w:t>
      </w:r>
      <w:r>
        <w:rPr>
          <w:rFonts w:ascii="宋体" w:eastAsia="宋体" w:hAnsi="宋体" w:cs="宋体"/>
          <w:spacing w:val="76"/>
          <w:sz w:val="22"/>
          <w:szCs w:val="22"/>
        </w:rPr>
        <w:t xml:space="preserve"> </w:t>
      </w:r>
      <w:r>
        <w:rPr>
          <w:rFonts w:ascii="宋体" w:eastAsia="宋体" w:hAnsi="宋体" w:cs="宋体"/>
          <w:spacing w:val="-1"/>
          <w:sz w:val="22"/>
          <w:szCs w:val="22"/>
        </w:rPr>
        <w:t>和</w:t>
      </w:r>
      <w:r>
        <w:rPr>
          <w:rFonts w:ascii="宋体" w:eastAsia="宋体" w:hAnsi="宋体" w:cs="宋体"/>
          <w:spacing w:val="-61"/>
          <w:sz w:val="22"/>
          <w:szCs w:val="22"/>
        </w:rPr>
        <w:t xml:space="preserve"> </w:t>
      </w:r>
      <w:r>
        <w:rPr>
          <w:rFonts w:ascii="宋体" w:eastAsia="宋体" w:hAnsi="宋体" w:cs="宋体"/>
          <w:spacing w:val="-1"/>
          <w:sz w:val="22"/>
          <w:szCs w:val="22"/>
        </w:rPr>
        <w:t>CO</w:t>
      </w:r>
      <w:r>
        <w:rPr>
          <w:rFonts w:ascii="Calibri" w:eastAsia="Calibri" w:hAnsi="Calibri" w:cs="Calibri"/>
          <w:spacing w:val="-1"/>
          <w:sz w:val="22"/>
          <w:szCs w:val="22"/>
        </w:rPr>
        <w:t>₂</w:t>
      </w:r>
      <w:r>
        <w:rPr>
          <w:rFonts w:ascii="宋体" w:eastAsia="宋体" w:hAnsi="宋体" w:cs="宋体"/>
          <w:spacing w:val="-1"/>
          <w:sz w:val="22"/>
          <w:szCs w:val="22"/>
        </w:rPr>
        <w:t>,</w:t>
      </w:r>
      <w:r>
        <w:rPr>
          <w:rFonts w:ascii="宋体" w:eastAsia="宋体" w:hAnsi="宋体" w:cs="宋体"/>
          <w:spacing w:val="83"/>
          <w:sz w:val="22"/>
          <w:szCs w:val="22"/>
        </w:rPr>
        <w:t xml:space="preserve"> </w:t>
      </w:r>
      <w:r>
        <w:rPr>
          <w:rFonts w:ascii="宋体" w:eastAsia="宋体" w:hAnsi="宋体" w:cs="宋体"/>
          <w:spacing w:val="-1"/>
          <w:sz w:val="22"/>
          <w:szCs w:val="22"/>
        </w:rPr>
        <w:t>其终产</w:t>
      </w:r>
      <w:r>
        <w:rPr>
          <w:rFonts w:ascii="宋体" w:eastAsia="宋体" w:hAnsi="宋体" w:cs="宋体"/>
          <w:sz w:val="22"/>
          <w:szCs w:val="22"/>
        </w:rPr>
        <w:t xml:space="preserve"> </w:t>
      </w:r>
      <w:r>
        <w:rPr>
          <w:rFonts w:ascii="宋体" w:eastAsia="宋体" w:hAnsi="宋体" w:cs="宋体"/>
          <w:spacing w:val="-4"/>
          <w:sz w:val="22"/>
          <w:szCs w:val="22"/>
        </w:rPr>
        <w:t>物及产热量与体外相同。但蛋白质在体内不能完全氧化，其终产物除</w:t>
      </w:r>
      <w:r>
        <w:rPr>
          <w:rFonts w:ascii="宋体" w:eastAsia="宋体" w:hAnsi="宋体" w:cs="宋体"/>
          <w:spacing w:val="-39"/>
          <w:sz w:val="22"/>
          <w:szCs w:val="22"/>
        </w:rPr>
        <w:t xml:space="preserve"> </w:t>
      </w:r>
      <w:r>
        <w:rPr>
          <w:rFonts w:ascii="宋体" w:eastAsia="宋体" w:hAnsi="宋体" w:cs="宋体"/>
          <w:spacing w:val="-4"/>
          <w:sz w:val="22"/>
          <w:szCs w:val="22"/>
        </w:rPr>
        <w:t>H</w:t>
      </w:r>
      <w:r>
        <w:rPr>
          <w:rFonts w:ascii="Calibri" w:eastAsia="Calibri" w:hAnsi="Calibri" w:cs="Calibri"/>
          <w:spacing w:val="-4"/>
          <w:sz w:val="22"/>
          <w:szCs w:val="22"/>
        </w:rPr>
        <w:t>₂</w:t>
      </w:r>
      <w:r>
        <w:rPr>
          <w:rFonts w:ascii="宋体" w:eastAsia="宋体" w:hAnsi="宋体" w:cs="宋体"/>
          <w:spacing w:val="-4"/>
          <w:sz w:val="22"/>
          <w:szCs w:val="22"/>
        </w:rPr>
        <w:t>O</w:t>
      </w:r>
      <w:r>
        <w:rPr>
          <w:rFonts w:ascii="宋体" w:eastAsia="宋体" w:hAnsi="宋体" w:cs="宋体"/>
          <w:spacing w:val="80"/>
          <w:sz w:val="22"/>
          <w:szCs w:val="22"/>
        </w:rPr>
        <w:t xml:space="preserve"> </w:t>
      </w:r>
      <w:r>
        <w:rPr>
          <w:rFonts w:ascii="宋体" w:eastAsia="宋体" w:hAnsi="宋体" w:cs="宋体"/>
          <w:spacing w:val="-4"/>
          <w:sz w:val="22"/>
          <w:szCs w:val="22"/>
        </w:rPr>
        <w:t>和</w:t>
      </w:r>
      <w:r>
        <w:rPr>
          <w:rFonts w:ascii="宋体" w:eastAsia="宋体" w:hAnsi="宋体" w:cs="宋体"/>
          <w:sz w:val="22"/>
          <w:szCs w:val="22"/>
        </w:rPr>
        <w:t xml:space="preserve"> </w:t>
      </w:r>
      <w:r>
        <w:rPr>
          <w:rFonts w:ascii="宋体" w:eastAsia="宋体" w:hAnsi="宋体" w:cs="宋体"/>
          <w:spacing w:val="-5"/>
          <w:sz w:val="22"/>
          <w:szCs w:val="22"/>
        </w:rPr>
        <w:t>CO</w:t>
      </w:r>
      <w:r>
        <w:rPr>
          <w:rFonts w:ascii="Calibri" w:eastAsia="Calibri" w:hAnsi="Calibri" w:cs="Calibri"/>
          <w:spacing w:val="-5"/>
          <w:sz w:val="22"/>
          <w:szCs w:val="22"/>
        </w:rPr>
        <w:t>₂</w:t>
      </w:r>
      <w:r>
        <w:rPr>
          <w:rFonts w:ascii="Calibri" w:eastAsia="Calibri" w:hAnsi="Calibri" w:cs="Calibri"/>
          <w:spacing w:val="16"/>
          <w:w w:val="101"/>
          <w:sz w:val="22"/>
          <w:szCs w:val="22"/>
        </w:rPr>
        <w:t xml:space="preserve">  </w:t>
      </w:r>
      <w:r>
        <w:rPr>
          <w:rFonts w:ascii="宋体" w:eastAsia="宋体" w:hAnsi="宋体" w:cs="宋体"/>
          <w:spacing w:val="-5"/>
          <w:sz w:val="22"/>
          <w:szCs w:val="22"/>
        </w:rPr>
        <w:t>外，还有尿素、尿酸、肌肝等含氮物质通过尿</w:t>
      </w:r>
      <w:r>
        <w:rPr>
          <w:rFonts w:ascii="宋体" w:eastAsia="宋体" w:hAnsi="宋体" w:cs="宋体"/>
          <w:spacing w:val="-6"/>
          <w:sz w:val="22"/>
          <w:szCs w:val="22"/>
        </w:rPr>
        <w:t>液排到体外，若把1g蛋白质</w:t>
      </w:r>
      <w:r>
        <w:rPr>
          <w:rFonts w:ascii="宋体" w:eastAsia="宋体" w:hAnsi="宋体" w:cs="宋体"/>
          <w:sz w:val="22"/>
          <w:szCs w:val="22"/>
        </w:rPr>
        <w:t xml:space="preserve"> </w:t>
      </w:r>
      <w:r>
        <w:rPr>
          <w:rFonts w:ascii="宋体" w:eastAsia="宋体" w:hAnsi="宋体" w:cs="宋体"/>
          <w:spacing w:val="-6"/>
          <w:sz w:val="22"/>
          <w:szCs w:val="22"/>
        </w:rPr>
        <w:t>在体内产生的这些含氮物在体外测热器中继续氧化还可产生5.44kJ的热量。因</w:t>
      </w:r>
      <w:r>
        <w:rPr>
          <w:rFonts w:ascii="宋体" w:eastAsia="宋体" w:hAnsi="宋体" w:cs="宋体"/>
          <w:spacing w:val="2"/>
          <w:sz w:val="22"/>
          <w:szCs w:val="22"/>
        </w:rPr>
        <w:t xml:space="preserve"> </w:t>
      </w:r>
      <w:r>
        <w:rPr>
          <w:rFonts w:ascii="宋体" w:eastAsia="宋体" w:hAnsi="宋体" w:cs="宋体"/>
          <w:spacing w:val="10"/>
          <w:sz w:val="22"/>
          <w:szCs w:val="22"/>
        </w:rPr>
        <w:t>此这3种产能营养素的生理有效能量值(或称净能量系</w:t>
      </w:r>
      <w:r>
        <w:rPr>
          <w:rFonts w:ascii="宋体" w:eastAsia="宋体" w:hAnsi="宋体" w:cs="宋体"/>
          <w:spacing w:val="9"/>
          <w:sz w:val="22"/>
          <w:szCs w:val="22"/>
        </w:rPr>
        <w:t>数)为：碳水化合物</w:t>
      </w:r>
      <w:r>
        <w:rPr>
          <w:rFonts w:ascii="宋体" w:eastAsia="宋体" w:hAnsi="宋体" w:cs="宋体"/>
          <w:sz w:val="22"/>
          <w:szCs w:val="22"/>
        </w:rPr>
        <w:t xml:space="preserve"> </w:t>
      </w:r>
      <w:r>
        <w:rPr>
          <w:rFonts w:ascii="宋体" w:eastAsia="宋体" w:hAnsi="宋体" w:cs="宋体"/>
          <w:spacing w:val="-9"/>
          <w:sz w:val="22"/>
          <w:szCs w:val="22"/>
        </w:rPr>
        <w:t>16.81kJ(4kcal)、</w:t>
      </w:r>
      <w:r>
        <w:rPr>
          <w:rFonts w:ascii="宋体" w:eastAsia="宋体" w:hAnsi="宋体" w:cs="宋体"/>
          <w:spacing w:val="5"/>
          <w:sz w:val="22"/>
          <w:szCs w:val="22"/>
        </w:rPr>
        <w:t xml:space="preserve"> </w:t>
      </w:r>
      <w:r>
        <w:rPr>
          <w:rFonts w:ascii="宋体" w:eastAsia="宋体" w:hAnsi="宋体" w:cs="宋体"/>
          <w:spacing w:val="-9"/>
          <w:sz w:val="22"/>
          <w:szCs w:val="22"/>
        </w:rPr>
        <w:t>脂肪37.56kJ(9kcal)、</w:t>
      </w:r>
      <w:r>
        <w:rPr>
          <w:rFonts w:ascii="宋体" w:eastAsia="宋体" w:hAnsi="宋体" w:cs="宋体"/>
          <w:spacing w:val="-11"/>
          <w:sz w:val="22"/>
          <w:szCs w:val="22"/>
        </w:rPr>
        <w:t xml:space="preserve"> </w:t>
      </w:r>
      <w:r>
        <w:rPr>
          <w:rFonts w:ascii="宋体" w:eastAsia="宋体" w:hAnsi="宋体" w:cs="宋体"/>
          <w:spacing w:val="-9"/>
          <w:sz w:val="22"/>
          <w:szCs w:val="22"/>
        </w:rPr>
        <w:t>蛋白质16.74kJ(4kcal)。</w:t>
      </w:r>
      <w:r>
        <w:rPr>
          <w:rFonts w:ascii="宋体" w:eastAsia="宋体" w:hAnsi="宋体" w:cs="宋体"/>
          <w:spacing w:val="9"/>
          <w:sz w:val="22"/>
          <w:szCs w:val="22"/>
        </w:rPr>
        <w:t xml:space="preserve"> </w:t>
      </w:r>
      <w:r>
        <w:rPr>
          <w:rFonts w:ascii="宋体" w:eastAsia="宋体" w:hAnsi="宋体" w:cs="宋体"/>
          <w:spacing w:val="-9"/>
          <w:sz w:val="22"/>
          <w:szCs w:val="22"/>
        </w:rPr>
        <w:t>除此之外，</w:t>
      </w:r>
      <w:r>
        <w:rPr>
          <w:rFonts w:ascii="宋体" w:eastAsia="宋体" w:hAnsi="宋体" w:cs="宋体"/>
          <w:sz w:val="22"/>
          <w:szCs w:val="22"/>
        </w:rPr>
        <w:t xml:space="preserve"> </w:t>
      </w:r>
      <w:r>
        <w:rPr>
          <w:rFonts w:ascii="宋体" w:eastAsia="宋体" w:hAnsi="宋体" w:cs="宋体"/>
          <w:spacing w:val="-8"/>
          <w:sz w:val="22"/>
          <w:szCs w:val="22"/>
        </w:rPr>
        <w:t>酒中的乙醇也能提供较高的能量，每克</w:t>
      </w:r>
      <w:r>
        <w:rPr>
          <w:rFonts w:ascii="宋体" w:eastAsia="宋体" w:hAnsi="宋体" w:cs="宋体"/>
          <w:spacing w:val="-9"/>
          <w:sz w:val="22"/>
          <w:szCs w:val="22"/>
        </w:rPr>
        <w:t>乙醇在体内可产热29.29</w:t>
      </w:r>
      <w:r>
        <w:rPr>
          <w:rFonts w:ascii="宋体" w:eastAsia="宋体" w:hAnsi="宋体" w:cs="宋体"/>
          <w:spacing w:val="-8"/>
          <w:sz w:val="22"/>
          <w:szCs w:val="22"/>
        </w:rPr>
        <w:t>kJ</w:t>
      </w:r>
      <w:r>
        <w:rPr>
          <w:rFonts w:ascii="宋体" w:eastAsia="宋体" w:hAnsi="宋体" w:cs="宋体"/>
          <w:spacing w:val="-9"/>
          <w:sz w:val="22"/>
          <w:szCs w:val="22"/>
        </w:rPr>
        <w:t>(7</w:t>
      </w:r>
      <w:r>
        <w:rPr>
          <w:rFonts w:ascii="宋体" w:eastAsia="宋体" w:hAnsi="宋体" w:cs="宋体"/>
          <w:spacing w:val="-8"/>
          <w:sz w:val="22"/>
          <w:szCs w:val="22"/>
        </w:rPr>
        <w:t>kcal</w:t>
      </w:r>
      <w:r>
        <w:rPr>
          <w:rFonts w:ascii="宋体" w:eastAsia="宋体" w:hAnsi="宋体" w:cs="宋体"/>
          <w:spacing w:val="-9"/>
          <w:sz w:val="22"/>
          <w:szCs w:val="22"/>
        </w:rPr>
        <w:t>)。</w:t>
      </w:r>
    </w:p>
    <w:p w:rsidR="00EA40A3" w:rsidRDefault="00E86C16">
      <w:pPr>
        <w:spacing w:before="219" w:line="222" w:lineRule="auto"/>
        <w:ind w:left="3"/>
        <w:outlineLvl w:val="6"/>
        <w:rPr>
          <w:rFonts w:ascii="黑体" w:eastAsia="黑体" w:hAnsi="黑体" w:cs="黑体"/>
          <w:sz w:val="25"/>
          <w:szCs w:val="25"/>
        </w:rPr>
      </w:pPr>
      <w:r>
        <w:rPr>
          <w:rFonts w:ascii="黑体" w:eastAsia="黑体" w:hAnsi="黑体" w:cs="黑体"/>
          <w:b/>
          <w:bCs/>
          <w:spacing w:val="-11"/>
          <w:sz w:val="25"/>
          <w:szCs w:val="25"/>
        </w:rPr>
        <w:t>3.1.2</w:t>
      </w:r>
      <w:r>
        <w:rPr>
          <w:rFonts w:ascii="黑体" w:eastAsia="黑体" w:hAnsi="黑体" w:cs="黑体"/>
          <w:spacing w:val="43"/>
          <w:sz w:val="25"/>
          <w:szCs w:val="25"/>
        </w:rPr>
        <w:t xml:space="preserve">  </w:t>
      </w:r>
      <w:r>
        <w:rPr>
          <w:rFonts w:ascii="黑体" w:eastAsia="黑体" w:hAnsi="黑体" w:cs="黑体"/>
          <w:b/>
          <w:bCs/>
          <w:spacing w:val="-11"/>
          <w:sz w:val="25"/>
          <w:szCs w:val="25"/>
        </w:rPr>
        <w:t>人体能量消耗的构成</w:t>
      </w:r>
    </w:p>
    <w:p w:rsidR="00EA40A3" w:rsidRDefault="00E86C16">
      <w:pPr>
        <w:spacing w:before="182" w:line="245" w:lineRule="auto"/>
        <w:ind w:right="83" w:firstLine="430"/>
        <w:jc w:val="both"/>
        <w:rPr>
          <w:rFonts w:ascii="宋体" w:eastAsia="宋体" w:hAnsi="宋体" w:cs="宋体"/>
          <w:sz w:val="22"/>
          <w:szCs w:val="22"/>
        </w:rPr>
      </w:pPr>
      <w:r>
        <w:rPr>
          <w:rFonts w:ascii="宋体" w:eastAsia="宋体" w:hAnsi="宋体" w:cs="宋体"/>
          <w:spacing w:val="-8"/>
          <w:sz w:val="22"/>
          <w:szCs w:val="22"/>
        </w:rPr>
        <w:t>人体能量需要与消耗是一致的。机体的能量消耗主要由基础代谢、体力活</w:t>
      </w:r>
      <w:r>
        <w:rPr>
          <w:rFonts w:ascii="宋体" w:eastAsia="宋体" w:hAnsi="宋体" w:cs="宋体"/>
          <w:spacing w:val="13"/>
          <w:sz w:val="22"/>
          <w:szCs w:val="22"/>
        </w:rPr>
        <w:t xml:space="preserve"> </w:t>
      </w:r>
      <w:r>
        <w:rPr>
          <w:rFonts w:ascii="宋体" w:eastAsia="宋体" w:hAnsi="宋体" w:cs="宋体"/>
          <w:spacing w:val="-13"/>
          <w:sz w:val="22"/>
          <w:szCs w:val="22"/>
        </w:rPr>
        <w:t>动、食物的热效应和生长发育四方面构成，其中正常成人能量消耗主要用于维持</w:t>
      </w:r>
      <w:r>
        <w:rPr>
          <w:rFonts w:ascii="宋体" w:eastAsia="宋体" w:hAnsi="宋体" w:cs="宋体"/>
          <w:spacing w:val="2"/>
          <w:sz w:val="22"/>
          <w:szCs w:val="22"/>
        </w:rPr>
        <w:t xml:space="preserve"> </w:t>
      </w:r>
      <w:r>
        <w:rPr>
          <w:rFonts w:ascii="宋体" w:eastAsia="宋体" w:hAnsi="宋体" w:cs="宋体"/>
          <w:spacing w:val="-12"/>
          <w:sz w:val="22"/>
          <w:szCs w:val="22"/>
        </w:rPr>
        <w:t>基础代谢、体力活动、食物的热效应的需要，而孕妇</w:t>
      </w:r>
      <w:r>
        <w:rPr>
          <w:rFonts w:ascii="宋体" w:eastAsia="宋体" w:hAnsi="宋体" w:cs="宋体"/>
          <w:spacing w:val="-13"/>
          <w:sz w:val="22"/>
          <w:szCs w:val="22"/>
        </w:rPr>
        <w:t>、乳母、婴幼儿、儿童、青</w:t>
      </w:r>
      <w:r>
        <w:rPr>
          <w:rFonts w:ascii="宋体" w:eastAsia="宋体" w:hAnsi="宋体" w:cs="宋体"/>
          <w:sz w:val="22"/>
          <w:szCs w:val="22"/>
        </w:rPr>
        <w:t xml:space="preserve"> </w:t>
      </w:r>
      <w:r>
        <w:rPr>
          <w:rFonts w:ascii="宋体" w:eastAsia="宋体" w:hAnsi="宋体" w:cs="宋体"/>
          <w:spacing w:val="-13"/>
          <w:sz w:val="22"/>
          <w:szCs w:val="22"/>
        </w:rPr>
        <w:t>少年还包括生长发育的能量消耗，疾病恢复期病人还包括组织和机体修复的能量</w:t>
      </w:r>
      <w:r>
        <w:rPr>
          <w:rFonts w:ascii="宋体" w:eastAsia="宋体" w:hAnsi="宋体" w:cs="宋体"/>
          <w:spacing w:val="2"/>
          <w:sz w:val="22"/>
          <w:szCs w:val="22"/>
        </w:rPr>
        <w:t xml:space="preserve"> </w:t>
      </w:r>
      <w:r>
        <w:rPr>
          <w:rFonts w:ascii="宋体" w:eastAsia="宋体" w:hAnsi="宋体" w:cs="宋体"/>
          <w:spacing w:val="-10"/>
          <w:sz w:val="22"/>
          <w:szCs w:val="22"/>
        </w:rPr>
        <w:t>消耗。</w:t>
      </w:r>
    </w:p>
    <w:p w:rsidR="00EA40A3" w:rsidRDefault="00E86C16">
      <w:pPr>
        <w:spacing w:before="208" w:line="223"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54"/>
          <w:sz w:val="22"/>
          <w:szCs w:val="22"/>
        </w:rPr>
        <w:t xml:space="preserve"> </w:t>
      </w:r>
      <w:r>
        <w:rPr>
          <w:rFonts w:ascii="仿宋" w:eastAsia="仿宋" w:hAnsi="仿宋" w:cs="仿宋"/>
          <w:spacing w:val="-6"/>
          <w:sz w:val="22"/>
          <w:szCs w:val="22"/>
        </w:rPr>
        <w:t>基础代谢</w:t>
      </w:r>
    </w:p>
    <w:p w:rsidR="00EA40A3" w:rsidRDefault="00E86C16">
      <w:pPr>
        <w:spacing w:before="209" w:line="246" w:lineRule="auto"/>
        <w:ind w:right="99" w:firstLine="430"/>
        <w:jc w:val="both"/>
        <w:rPr>
          <w:rFonts w:ascii="宋体" w:eastAsia="宋体" w:hAnsi="宋体" w:cs="宋体"/>
          <w:sz w:val="22"/>
          <w:szCs w:val="22"/>
        </w:rPr>
      </w:pPr>
      <w:r>
        <w:rPr>
          <w:rFonts w:ascii="宋体" w:eastAsia="宋体" w:hAnsi="宋体" w:cs="宋体"/>
          <w:spacing w:val="-7"/>
          <w:sz w:val="22"/>
          <w:szCs w:val="22"/>
        </w:rPr>
        <w:t>基础代谢</w:t>
      </w:r>
      <w:r>
        <w:rPr>
          <w:rFonts w:ascii="宋体" w:eastAsia="宋体" w:hAnsi="宋体" w:cs="宋体"/>
          <w:spacing w:val="-28"/>
          <w:sz w:val="22"/>
          <w:szCs w:val="22"/>
        </w:rPr>
        <w:t xml:space="preserve"> </w:t>
      </w:r>
      <w:r>
        <w:rPr>
          <w:rFonts w:ascii="宋体" w:eastAsia="宋体" w:hAnsi="宋体" w:cs="宋体"/>
          <w:spacing w:val="-7"/>
          <w:sz w:val="22"/>
          <w:szCs w:val="22"/>
        </w:rPr>
        <w:t>(basal</w:t>
      </w:r>
      <w:r>
        <w:rPr>
          <w:rFonts w:ascii="宋体" w:eastAsia="宋体" w:hAnsi="宋体" w:cs="宋体"/>
          <w:spacing w:val="48"/>
          <w:sz w:val="22"/>
          <w:szCs w:val="22"/>
        </w:rPr>
        <w:t xml:space="preserve"> </w:t>
      </w:r>
      <w:r>
        <w:rPr>
          <w:rFonts w:ascii="宋体" w:eastAsia="宋体" w:hAnsi="宋体" w:cs="宋体"/>
          <w:spacing w:val="-7"/>
          <w:sz w:val="22"/>
          <w:szCs w:val="22"/>
        </w:rPr>
        <w:t>metabolism,BM)</w:t>
      </w:r>
      <w:r>
        <w:rPr>
          <w:rFonts w:ascii="宋体" w:eastAsia="宋体" w:hAnsi="宋体" w:cs="宋体"/>
          <w:spacing w:val="-59"/>
          <w:sz w:val="22"/>
          <w:szCs w:val="22"/>
        </w:rPr>
        <w:t xml:space="preserve"> </w:t>
      </w:r>
      <w:r>
        <w:rPr>
          <w:rFonts w:ascii="宋体" w:eastAsia="宋体" w:hAnsi="宋体" w:cs="宋体"/>
          <w:spacing w:val="-7"/>
          <w:sz w:val="22"/>
          <w:szCs w:val="22"/>
        </w:rPr>
        <w:t>是维持人体最基本生命活动</w:t>
      </w:r>
      <w:r>
        <w:rPr>
          <w:rFonts w:ascii="宋体" w:eastAsia="宋体" w:hAnsi="宋体" w:cs="宋体"/>
          <w:spacing w:val="-8"/>
          <w:sz w:val="22"/>
          <w:szCs w:val="22"/>
        </w:rPr>
        <w:t>所必需的能</w:t>
      </w:r>
      <w:r>
        <w:rPr>
          <w:rFonts w:ascii="宋体" w:eastAsia="宋体" w:hAnsi="宋体" w:cs="宋体"/>
          <w:sz w:val="22"/>
          <w:szCs w:val="22"/>
        </w:rPr>
        <w:t xml:space="preserve"> </w:t>
      </w:r>
      <w:r>
        <w:rPr>
          <w:rFonts w:ascii="宋体" w:eastAsia="宋体" w:hAnsi="宋体" w:cs="宋体"/>
          <w:spacing w:val="-2"/>
          <w:sz w:val="22"/>
          <w:szCs w:val="22"/>
        </w:rPr>
        <w:t>量消耗，是指人体在清醒、空腹(饭后12～14h)、</w:t>
      </w:r>
      <w:r>
        <w:rPr>
          <w:rFonts w:ascii="宋体" w:eastAsia="宋体" w:hAnsi="宋体" w:cs="宋体"/>
          <w:spacing w:val="-50"/>
          <w:sz w:val="22"/>
          <w:szCs w:val="22"/>
        </w:rPr>
        <w:t xml:space="preserve"> </w:t>
      </w:r>
      <w:r>
        <w:rPr>
          <w:rFonts w:ascii="宋体" w:eastAsia="宋体" w:hAnsi="宋体" w:cs="宋体"/>
          <w:spacing w:val="-2"/>
          <w:sz w:val="22"/>
          <w:szCs w:val="22"/>
        </w:rPr>
        <w:t>安静而舒适的环境中(室温</w:t>
      </w:r>
      <w:r>
        <w:rPr>
          <w:rFonts w:ascii="宋体" w:eastAsia="宋体" w:hAnsi="宋体" w:cs="宋体"/>
          <w:sz w:val="22"/>
          <w:szCs w:val="22"/>
        </w:rPr>
        <w:t xml:space="preserve"> </w:t>
      </w:r>
      <w:r>
        <w:rPr>
          <w:rFonts w:ascii="宋体" w:eastAsia="宋体" w:hAnsi="宋体" w:cs="宋体"/>
          <w:spacing w:val="-7"/>
          <w:sz w:val="22"/>
          <w:szCs w:val="22"/>
        </w:rPr>
        <w:t>20～25℃),无任何体力活动和紧张的思维活动、全身肌肉松弛、消化系统处于</w:t>
      </w:r>
      <w:r>
        <w:rPr>
          <w:rFonts w:ascii="宋体" w:eastAsia="宋体" w:hAnsi="宋体" w:cs="宋体"/>
          <w:spacing w:val="10"/>
          <w:sz w:val="22"/>
          <w:szCs w:val="22"/>
        </w:rPr>
        <w:t xml:space="preserve"> </w:t>
      </w:r>
      <w:r>
        <w:rPr>
          <w:rFonts w:ascii="宋体" w:eastAsia="宋体" w:hAnsi="宋体" w:cs="宋体"/>
          <w:spacing w:val="-13"/>
          <w:sz w:val="22"/>
          <w:szCs w:val="22"/>
        </w:rPr>
        <w:t>静止状态下的能量消耗，即指人体用于维持体温、心跳、呼吸、各器官组织和细</w:t>
      </w:r>
      <w:r>
        <w:rPr>
          <w:rFonts w:ascii="宋体" w:eastAsia="宋体" w:hAnsi="宋体" w:cs="宋体"/>
          <w:spacing w:val="6"/>
          <w:sz w:val="22"/>
          <w:szCs w:val="22"/>
        </w:rPr>
        <w:t xml:space="preserve"> </w:t>
      </w:r>
      <w:r>
        <w:rPr>
          <w:rFonts w:ascii="宋体" w:eastAsia="宋体" w:hAnsi="宋体" w:cs="宋体"/>
          <w:spacing w:val="-14"/>
          <w:sz w:val="22"/>
          <w:szCs w:val="22"/>
        </w:rPr>
        <w:t>胞功能等最基本的生命活动的能量消耗。</w:t>
      </w:r>
    </w:p>
    <w:p w:rsidR="00EA40A3" w:rsidRDefault="00E86C16">
      <w:pPr>
        <w:spacing w:before="38" w:line="225" w:lineRule="auto"/>
        <w:rPr>
          <w:rFonts w:ascii="楷体" w:eastAsia="楷体" w:hAnsi="楷体" w:cs="楷体"/>
          <w:sz w:val="22"/>
          <w:szCs w:val="22"/>
        </w:rPr>
      </w:pPr>
      <w:r>
        <w:rPr>
          <w:rFonts w:ascii="楷体" w:eastAsia="楷体" w:hAnsi="楷体" w:cs="楷体"/>
          <w:spacing w:val="-3"/>
          <w:sz w:val="22"/>
          <w:szCs w:val="22"/>
        </w:rPr>
        <w:t>1)基础代谢率</w:t>
      </w:r>
    </w:p>
    <w:p w:rsidR="00EA40A3" w:rsidRDefault="00E86C16">
      <w:pPr>
        <w:spacing w:before="80" w:line="238" w:lineRule="auto"/>
        <w:ind w:firstLine="430"/>
        <w:jc w:val="both"/>
        <w:rPr>
          <w:rFonts w:ascii="宋体" w:eastAsia="宋体" w:hAnsi="宋体" w:cs="宋体"/>
          <w:sz w:val="22"/>
          <w:szCs w:val="22"/>
        </w:rPr>
      </w:pPr>
      <w:r>
        <w:rPr>
          <w:rFonts w:ascii="宋体" w:eastAsia="宋体" w:hAnsi="宋体" w:cs="宋体"/>
          <w:spacing w:val="-7"/>
          <w:sz w:val="22"/>
          <w:szCs w:val="22"/>
        </w:rPr>
        <w:t>基础代谢的水平用基础代谢率</w:t>
      </w:r>
      <w:r>
        <w:rPr>
          <w:rFonts w:ascii="宋体" w:eastAsia="宋体" w:hAnsi="宋体" w:cs="宋体"/>
          <w:spacing w:val="-13"/>
          <w:sz w:val="22"/>
          <w:szCs w:val="22"/>
        </w:rPr>
        <w:t xml:space="preserve"> </w:t>
      </w:r>
      <w:r>
        <w:rPr>
          <w:rFonts w:ascii="宋体" w:eastAsia="宋体" w:hAnsi="宋体" w:cs="宋体"/>
          <w:spacing w:val="-7"/>
          <w:sz w:val="22"/>
          <w:szCs w:val="22"/>
        </w:rPr>
        <w:t>(basal</w:t>
      </w:r>
      <w:r>
        <w:rPr>
          <w:rFonts w:ascii="宋体" w:eastAsia="宋体" w:hAnsi="宋体" w:cs="宋体"/>
          <w:spacing w:val="-1"/>
          <w:sz w:val="22"/>
          <w:szCs w:val="22"/>
        </w:rPr>
        <w:t xml:space="preserve"> </w:t>
      </w:r>
      <w:r>
        <w:rPr>
          <w:rFonts w:ascii="宋体" w:eastAsia="宋体" w:hAnsi="宋体" w:cs="宋体"/>
          <w:spacing w:val="-7"/>
          <w:sz w:val="22"/>
          <w:szCs w:val="22"/>
        </w:rPr>
        <w:t>metabolic</w:t>
      </w:r>
      <w:r>
        <w:rPr>
          <w:rFonts w:ascii="宋体" w:eastAsia="宋体" w:hAnsi="宋体" w:cs="宋体"/>
          <w:spacing w:val="3"/>
          <w:sz w:val="22"/>
          <w:szCs w:val="22"/>
        </w:rPr>
        <w:t xml:space="preserve"> </w:t>
      </w:r>
      <w:r>
        <w:rPr>
          <w:rFonts w:ascii="宋体" w:eastAsia="宋体" w:hAnsi="宋体" w:cs="宋体"/>
          <w:spacing w:val="-7"/>
          <w:sz w:val="22"/>
          <w:szCs w:val="22"/>
        </w:rPr>
        <w:t>rate,BMR)表示，是指单</w:t>
      </w:r>
      <w:r>
        <w:rPr>
          <w:rFonts w:ascii="宋体" w:eastAsia="宋体" w:hAnsi="宋体" w:cs="宋体"/>
          <w:sz w:val="22"/>
          <w:szCs w:val="22"/>
        </w:rPr>
        <w:t xml:space="preserve"> </w:t>
      </w:r>
      <w:r>
        <w:rPr>
          <w:rFonts w:ascii="宋体" w:eastAsia="宋体" w:hAnsi="宋体" w:cs="宋体"/>
          <w:spacing w:val="-6"/>
          <w:sz w:val="22"/>
          <w:szCs w:val="22"/>
        </w:rPr>
        <w:t>位时间内人体单位体表面积</w:t>
      </w:r>
      <w:r>
        <w:rPr>
          <w:rFonts w:ascii="宋体" w:eastAsia="宋体" w:hAnsi="宋体" w:cs="宋体"/>
          <w:spacing w:val="-9"/>
          <w:sz w:val="22"/>
          <w:szCs w:val="22"/>
        </w:rPr>
        <w:t xml:space="preserve"> </w:t>
      </w:r>
      <w:r>
        <w:rPr>
          <w:rFonts w:ascii="宋体" w:eastAsia="宋体" w:hAnsi="宋体" w:cs="宋体"/>
          <w:spacing w:val="-6"/>
          <w:sz w:val="22"/>
          <w:szCs w:val="22"/>
        </w:rPr>
        <w:t>(m²)</w:t>
      </w:r>
      <w:r>
        <w:rPr>
          <w:rFonts w:ascii="宋体" w:eastAsia="宋体" w:hAnsi="宋体" w:cs="宋体"/>
          <w:spacing w:val="57"/>
          <w:sz w:val="22"/>
          <w:szCs w:val="22"/>
        </w:rPr>
        <w:t xml:space="preserve"> </w:t>
      </w:r>
      <w:r>
        <w:rPr>
          <w:rFonts w:ascii="宋体" w:eastAsia="宋体" w:hAnsi="宋体" w:cs="宋体"/>
          <w:spacing w:val="-6"/>
          <w:sz w:val="22"/>
          <w:szCs w:val="22"/>
        </w:rPr>
        <w:t>或单位体重</w:t>
      </w:r>
      <w:r>
        <w:rPr>
          <w:rFonts w:ascii="宋体" w:eastAsia="宋体" w:hAnsi="宋体" w:cs="宋体"/>
          <w:spacing w:val="2"/>
          <w:sz w:val="22"/>
          <w:szCs w:val="22"/>
        </w:rPr>
        <w:t xml:space="preserve"> </w:t>
      </w:r>
      <w:r>
        <w:rPr>
          <w:rFonts w:ascii="宋体" w:eastAsia="宋体" w:hAnsi="宋体" w:cs="宋体"/>
          <w:spacing w:val="-6"/>
          <w:sz w:val="22"/>
          <w:szCs w:val="22"/>
        </w:rPr>
        <w:t>(kg)</w:t>
      </w:r>
      <w:r>
        <w:rPr>
          <w:rFonts w:ascii="宋体" w:eastAsia="宋体" w:hAnsi="宋体" w:cs="宋体"/>
          <w:spacing w:val="37"/>
          <w:sz w:val="22"/>
          <w:szCs w:val="22"/>
        </w:rPr>
        <w:t xml:space="preserve"> </w:t>
      </w:r>
      <w:r>
        <w:rPr>
          <w:rFonts w:ascii="宋体" w:eastAsia="宋体" w:hAnsi="宋体" w:cs="宋体"/>
          <w:spacing w:val="-6"/>
          <w:sz w:val="22"/>
          <w:szCs w:val="22"/>
        </w:rPr>
        <w:t>基础代谢所消耗的能量，</w:t>
      </w:r>
      <w:r>
        <w:rPr>
          <w:rFonts w:ascii="宋体" w:eastAsia="宋体" w:hAnsi="宋体" w:cs="宋体"/>
          <w:sz w:val="22"/>
          <w:szCs w:val="22"/>
        </w:rPr>
        <w:t xml:space="preserve"> </w:t>
      </w:r>
      <w:r>
        <w:rPr>
          <w:rFonts w:ascii="宋体" w:eastAsia="宋体" w:hAnsi="宋体" w:cs="宋体"/>
          <w:spacing w:val="-8"/>
          <w:sz w:val="22"/>
          <w:szCs w:val="22"/>
        </w:rPr>
        <w:t>单位为kJ/(m²</w:t>
      </w:r>
      <w:r>
        <w:rPr>
          <w:rFonts w:ascii="宋体" w:eastAsia="宋体" w:hAnsi="宋体" w:cs="宋体"/>
          <w:spacing w:val="-22"/>
          <w:sz w:val="22"/>
          <w:szCs w:val="22"/>
        </w:rPr>
        <w:t xml:space="preserve"> </w:t>
      </w:r>
      <w:r>
        <w:rPr>
          <w:rFonts w:ascii="宋体" w:eastAsia="宋体" w:hAnsi="宋体" w:cs="宋体"/>
          <w:spacing w:val="-8"/>
          <w:sz w:val="22"/>
          <w:szCs w:val="22"/>
        </w:rPr>
        <w:t>·h)</w:t>
      </w:r>
      <w:r>
        <w:rPr>
          <w:rFonts w:ascii="宋体" w:eastAsia="宋体" w:hAnsi="宋体" w:cs="宋体"/>
          <w:spacing w:val="-23"/>
          <w:sz w:val="22"/>
          <w:szCs w:val="22"/>
        </w:rPr>
        <w:t xml:space="preserve"> </w:t>
      </w:r>
      <w:r>
        <w:rPr>
          <w:rFonts w:ascii="宋体" w:eastAsia="宋体" w:hAnsi="宋体" w:cs="宋体"/>
          <w:spacing w:val="-8"/>
          <w:sz w:val="22"/>
          <w:szCs w:val="22"/>
        </w:rPr>
        <w:t>或</w:t>
      </w:r>
      <w:r>
        <w:rPr>
          <w:rFonts w:ascii="宋体" w:eastAsia="宋体" w:hAnsi="宋体" w:cs="宋体"/>
          <w:spacing w:val="-49"/>
          <w:sz w:val="22"/>
          <w:szCs w:val="22"/>
        </w:rPr>
        <w:t xml:space="preserve"> </w:t>
      </w:r>
      <w:r>
        <w:rPr>
          <w:rFonts w:ascii="宋体" w:eastAsia="宋体" w:hAnsi="宋体" w:cs="宋体"/>
          <w:spacing w:val="-8"/>
          <w:sz w:val="22"/>
          <w:szCs w:val="22"/>
        </w:rPr>
        <w:t>kJ/(kg</w:t>
      </w:r>
      <w:r>
        <w:rPr>
          <w:rFonts w:ascii="宋体" w:eastAsia="宋体" w:hAnsi="宋体" w:cs="宋体"/>
          <w:spacing w:val="-25"/>
          <w:sz w:val="22"/>
          <w:szCs w:val="22"/>
        </w:rPr>
        <w:t xml:space="preserve"> </w:t>
      </w:r>
      <w:r>
        <w:rPr>
          <w:rFonts w:ascii="宋体" w:eastAsia="宋体" w:hAnsi="宋体" w:cs="宋体"/>
          <w:spacing w:val="-8"/>
          <w:sz w:val="22"/>
          <w:szCs w:val="22"/>
        </w:rPr>
        <w:t>·h)。基础代谢与体表面积密切相关，体表面积</w:t>
      </w:r>
      <w:r>
        <w:rPr>
          <w:rFonts w:ascii="宋体" w:eastAsia="宋体" w:hAnsi="宋体" w:cs="宋体"/>
          <w:sz w:val="22"/>
          <w:szCs w:val="22"/>
        </w:rPr>
        <w:t xml:space="preserve">  </w:t>
      </w:r>
      <w:r>
        <w:rPr>
          <w:rFonts w:ascii="宋体" w:eastAsia="宋体" w:hAnsi="宋体" w:cs="宋体"/>
          <w:spacing w:val="-13"/>
          <w:sz w:val="22"/>
          <w:szCs w:val="22"/>
        </w:rPr>
        <w:t>又与身高体重有密切关系，根据体表面积或体重可以推算出人体一日基础代谢能</w:t>
      </w:r>
      <w:r>
        <w:rPr>
          <w:rFonts w:ascii="宋体" w:eastAsia="宋体" w:hAnsi="宋体" w:cs="宋体"/>
          <w:spacing w:val="2"/>
          <w:sz w:val="22"/>
          <w:szCs w:val="22"/>
        </w:rPr>
        <w:t xml:space="preserve">  </w:t>
      </w:r>
      <w:r>
        <w:rPr>
          <w:rFonts w:ascii="宋体" w:eastAsia="宋体" w:hAnsi="宋体" w:cs="宋体"/>
          <w:spacing w:val="4"/>
          <w:sz w:val="22"/>
          <w:szCs w:val="22"/>
        </w:rPr>
        <w:t>量消耗(表3-1,表3-2)。</w:t>
      </w:r>
    </w:p>
    <w:p w:rsidR="00EA40A3" w:rsidRDefault="00E86C16">
      <w:pPr>
        <w:spacing w:before="61" w:line="223" w:lineRule="auto"/>
        <w:rPr>
          <w:rFonts w:ascii="楷体" w:eastAsia="楷体" w:hAnsi="楷体" w:cs="楷体"/>
          <w:sz w:val="22"/>
          <w:szCs w:val="22"/>
        </w:rPr>
      </w:pPr>
      <w:r>
        <w:rPr>
          <w:rFonts w:ascii="楷体" w:eastAsia="楷体" w:hAnsi="楷体" w:cs="楷体"/>
          <w:spacing w:val="-1"/>
          <w:sz w:val="22"/>
          <w:szCs w:val="22"/>
        </w:rPr>
        <w:t>2)影响基础代谢率的因素</w:t>
      </w:r>
    </w:p>
    <w:p w:rsidR="00EA40A3" w:rsidRDefault="00E86C16">
      <w:pPr>
        <w:spacing w:before="87" w:line="236" w:lineRule="auto"/>
        <w:ind w:right="84" w:firstLine="430"/>
        <w:jc w:val="both"/>
        <w:rPr>
          <w:rFonts w:ascii="宋体" w:eastAsia="宋体" w:hAnsi="宋体" w:cs="宋体"/>
          <w:sz w:val="22"/>
          <w:szCs w:val="22"/>
        </w:rPr>
      </w:pPr>
      <w:r>
        <w:rPr>
          <w:rFonts w:ascii="宋体" w:eastAsia="宋体" w:hAnsi="宋体" w:cs="宋体"/>
          <w:spacing w:val="-9"/>
          <w:sz w:val="22"/>
          <w:szCs w:val="22"/>
        </w:rPr>
        <w:t>(1)体形与机体构成：相同体重者，瘦高体形的人体表面积</w:t>
      </w:r>
      <w:r>
        <w:rPr>
          <w:rFonts w:ascii="宋体" w:eastAsia="宋体" w:hAnsi="宋体" w:cs="宋体"/>
          <w:spacing w:val="-10"/>
          <w:sz w:val="22"/>
          <w:szCs w:val="22"/>
        </w:rPr>
        <w:t>大，其基础代谢</w:t>
      </w:r>
      <w:r>
        <w:rPr>
          <w:rFonts w:ascii="宋体" w:eastAsia="宋体" w:hAnsi="宋体" w:cs="宋体"/>
          <w:sz w:val="22"/>
          <w:szCs w:val="22"/>
        </w:rPr>
        <w:t xml:space="preserve"> </w:t>
      </w:r>
      <w:r>
        <w:rPr>
          <w:rFonts w:ascii="宋体" w:eastAsia="宋体" w:hAnsi="宋体" w:cs="宋体"/>
          <w:spacing w:val="-3"/>
          <w:sz w:val="22"/>
          <w:szCs w:val="22"/>
        </w:rPr>
        <w:t>率高于矮胖者；人体瘦体组织消耗的能量占基础代谢的70%～</w:t>
      </w:r>
      <w:r>
        <w:rPr>
          <w:rFonts w:ascii="宋体" w:eastAsia="宋体" w:hAnsi="宋体" w:cs="宋体"/>
          <w:spacing w:val="-4"/>
          <w:sz w:val="22"/>
          <w:szCs w:val="22"/>
        </w:rPr>
        <w:t>80%,这些组织包</w:t>
      </w:r>
      <w:r>
        <w:rPr>
          <w:rFonts w:ascii="宋体" w:eastAsia="宋体" w:hAnsi="宋体" w:cs="宋体"/>
          <w:sz w:val="22"/>
          <w:szCs w:val="22"/>
        </w:rPr>
        <w:t xml:space="preserve"> </w:t>
      </w:r>
      <w:r>
        <w:rPr>
          <w:rFonts w:ascii="宋体" w:eastAsia="宋体" w:hAnsi="宋体" w:cs="宋体"/>
          <w:spacing w:val="-19"/>
          <w:sz w:val="22"/>
          <w:szCs w:val="22"/>
        </w:rPr>
        <w:t>括肌肉、心、脑、肝、肾等，所以，瘦体质量大、肌肉发达者，基础代谢水平高。</w:t>
      </w:r>
    </w:p>
    <w:p w:rsidR="00EA40A3" w:rsidRDefault="00E86C16">
      <w:pPr>
        <w:spacing w:before="29" w:line="235" w:lineRule="auto"/>
        <w:ind w:right="82" w:firstLine="430"/>
        <w:jc w:val="both"/>
        <w:rPr>
          <w:rFonts w:ascii="宋体" w:eastAsia="宋体" w:hAnsi="宋体" w:cs="宋体"/>
          <w:sz w:val="22"/>
          <w:szCs w:val="22"/>
        </w:rPr>
      </w:pPr>
      <w:r>
        <w:rPr>
          <w:rFonts w:ascii="宋体" w:eastAsia="宋体" w:hAnsi="宋体" w:cs="宋体"/>
          <w:spacing w:val="-6"/>
          <w:sz w:val="22"/>
          <w:szCs w:val="22"/>
        </w:rPr>
        <w:t>(2)年龄及生理状态：生长期的婴幼儿基础代谢率高，随年龄增长BMR</w:t>
      </w:r>
      <w:r>
        <w:rPr>
          <w:rFonts w:ascii="宋体" w:eastAsia="宋体" w:hAnsi="宋体" w:cs="宋体"/>
          <w:spacing w:val="97"/>
          <w:sz w:val="22"/>
          <w:szCs w:val="22"/>
        </w:rPr>
        <w:t xml:space="preserve"> </w:t>
      </w:r>
      <w:r>
        <w:rPr>
          <w:rFonts w:ascii="宋体" w:eastAsia="宋体" w:hAnsi="宋体" w:cs="宋体"/>
          <w:spacing w:val="-6"/>
          <w:sz w:val="22"/>
          <w:szCs w:val="22"/>
        </w:rPr>
        <w:t>下</w:t>
      </w:r>
      <w:r>
        <w:rPr>
          <w:rFonts w:ascii="宋体" w:eastAsia="宋体" w:hAnsi="宋体" w:cs="宋体"/>
          <w:sz w:val="22"/>
          <w:szCs w:val="22"/>
        </w:rPr>
        <w:t xml:space="preserve"> </w:t>
      </w:r>
      <w:r>
        <w:rPr>
          <w:rFonts w:ascii="宋体" w:eastAsia="宋体" w:hAnsi="宋体" w:cs="宋体"/>
          <w:spacing w:val="-8"/>
          <w:sz w:val="22"/>
          <w:szCs w:val="22"/>
        </w:rPr>
        <w:t>降，</w:t>
      </w:r>
      <w:r>
        <w:rPr>
          <w:rFonts w:ascii="宋体" w:eastAsia="宋体" w:hAnsi="宋体" w:cs="宋体"/>
          <w:spacing w:val="-39"/>
          <w:sz w:val="22"/>
          <w:szCs w:val="22"/>
        </w:rPr>
        <w:t xml:space="preserve"> </w:t>
      </w:r>
      <w:r>
        <w:rPr>
          <w:rFonts w:ascii="宋体" w:eastAsia="宋体" w:hAnsi="宋体" w:cs="宋体"/>
          <w:spacing w:val="-8"/>
          <w:sz w:val="22"/>
          <w:szCs w:val="22"/>
        </w:rPr>
        <w:t>一般成人低于儿童，老年人低于成年人；孕妇因合</w:t>
      </w:r>
      <w:r>
        <w:rPr>
          <w:rFonts w:ascii="宋体" w:eastAsia="宋体" w:hAnsi="宋体" w:cs="宋体"/>
          <w:spacing w:val="-9"/>
          <w:sz w:val="22"/>
          <w:szCs w:val="22"/>
        </w:rPr>
        <w:t>成新组织，基础代谢率</w:t>
      </w:r>
      <w:r>
        <w:rPr>
          <w:rFonts w:ascii="宋体" w:eastAsia="宋体" w:hAnsi="宋体" w:cs="宋体"/>
          <w:sz w:val="22"/>
          <w:szCs w:val="22"/>
        </w:rPr>
        <w:t xml:space="preserve"> </w:t>
      </w:r>
      <w:r>
        <w:rPr>
          <w:rFonts w:ascii="宋体" w:eastAsia="宋体" w:hAnsi="宋体" w:cs="宋体"/>
          <w:spacing w:val="-21"/>
          <w:sz w:val="22"/>
          <w:szCs w:val="22"/>
        </w:rPr>
        <w:t>增高。</w:t>
      </w:r>
    </w:p>
    <w:p w:rsidR="00EA40A3" w:rsidRDefault="00E86C16">
      <w:pPr>
        <w:spacing w:before="97"/>
        <w:rPr>
          <w:rFonts w:ascii="宋体" w:eastAsia="宋体" w:hAnsi="宋体" w:cs="宋体"/>
          <w:sz w:val="19"/>
          <w:szCs w:val="19"/>
        </w:rPr>
      </w:pPr>
      <w:r>
        <w:rPr>
          <w:rFonts w:ascii="宋体" w:eastAsia="宋体" w:hAnsi="宋体" w:cs="宋体"/>
          <w:spacing w:val="-36"/>
          <w:sz w:val="19"/>
          <w:szCs w:val="19"/>
        </w:rPr>
        <w:t>·</w:t>
      </w:r>
      <w:r>
        <w:rPr>
          <w:rFonts w:ascii="宋体" w:eastAsia="宋体" w:hAnsi="宋体" w:cs="宋体"/>
          <w:spacing w:val="-12"/>
          <w:sz w:val="19"/>
          <w:szCs w:val="19"/>
        </w:rPr>
        <w:t xml:space="preserve"> </w:t>
      </w:r>
      <w:r>
        <w:rPr>
          <w:rFonts w:ascii="宋体" w:eastAsia="宋体" w:hAnsi="宋体" w:cs="宋体"/>
          <w:spacing w:val="-36"/>
          <w:sz w:val="19"/>
          <w:szCs w:val="19"/>
        </w:rPr>
        <w:t>40</w:t>
      </w:r>
      <w:r>
        <w:rPr>
          <w:rFonts w:ascii="宋体" w:eastAsia="宋体" w:hAnsi="宋体" w:cs="宋体"/>
          <w:spacing w:val="39"/>
          <w:sz w:val="19"/>
          <w:szCs w:val="19"/>
        </w:rPr>
        <w:t xml:space="preserve"> </w:t>
      </w:r>
      <w:r>
        <w:rPr>
          <w:rFonts w:ascii="宋体" w:eastAsia="宋体" w:hAnsi="宋体" w:cs="宋体"/>
          <w:spacing w:val="-36"/>
          <w:sz w:val="19"/>
          <w:szCs w:val="19"/>
        </w:rPr>
        <w:t>·</w:t>
      </w:r>
    </w:p>
    <w:p w:rsidR="00EA40A3" w:rsidRDefault="00EA40A3">
      <w:pPr>
        <w:sectPr w:rsidR="00EA40A3">
          <w:pgSz w:w="9220" w:h="13360"/>
          <w:pgMar w:top="400" w:right="1037" w:bottom="400" w:left="829" w:header="0" w:footer="0" w:gutter="0"/>
          <w:cols w:space="720"/>
        </w:sectPr>
      </w:pPr>
    </w:p>
    <w:p w:rsidR="00EA40A3" w:rsidRDefault="00825D12">
      <w:pPr>
        <w:spacing w:line="302" w:lineRule="auto"/>
      </w:pPr>
      <w:r>
        <w:rPr>
          <w:noProof/>
        </w:rPr>
        <w:lastRenderedPageBreak/>
        <mc:AlternateContent>
          <mc:Choice Requires="wps">
            <w:drawing>
              <wp:anchor distT="0" distB="0" distL="114300" distR="114300" simplePos="0" relativeHeight="251678720" behindDoc="0" locked="0" layoutInCell="0" allowOverlap="1">
                <wp:simplePos x="0" y="0"/>
                <wp:positionH relativeFrom="page">
                  <wp:posOffset>577850</wp:posOffset>
                </wp:positionH>
                <wp:positionV relativeFrom="page">
                  <wp:posOffset>3545840</wp:posOffset>
                </wp:positionV>
                <wp:extent cx="4667250" cy="6350"/>
                <wp:effectExtent l="6350" t="2540" r="12700" b="10160"/>
                <wp:wrapNone/>
                <wp:docPr id="13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0" cy="6350"/>
                        </a:xfrm>
                        <a:custGeom>
                          <a:avLst/>
                          <a:gdLst>
                            <a:gd name="T0" fmla="*/ 0 w 7350"/>
                            <a:gd name="T1" fmla="*/ 5 h 10"/>
                            <a:gd name="T2" fmla="*/ 969 w 7350"/>
                            <a:gd name="T3" fmla="*/ 5 h 10"/>
                            <a:gd name="T4" fmla="*/ 969 w 7350"/>
                            <a:gd name="T5" fmla="*/ 5 h 10"/>
                            <a:gd name="T6" fmla="*/ 2569 w 7350"/>
                            <a:gd name="T7" fmla="*/ 5 h 10"/>
                            <a:gd name="T8" fmla="*/ 2569 w 7350"/>
                            <a:gd name="T9" fmla="*/ 5 h 10"/>
                            <a:gd name="T10" fmla="*/ 3390 w 7350"/>
                            <a:gd name="T11" fmla="*/ 5 h 10"/>
                            <a:gd name="T12" fmla="*/ 3390 w 7350"/>
                            <a:gd name="T13" fmla="*/ 5 h 10"/>
                            <a:gd name="T14" fmla="*/ 4060 w 7350"/>
                            <a:gd name="T15" fmla="*/ 5 h 10"/>
                            <a:gd name="T16" fmla="*/ 4060 w 7350"/>
                            <a:gd name="T17" fmla="*/ 5 h 10"/>
                            <a:gd name="T18" fmla="*/ 5699 w 7350"/>
                            <a:gd name="T19" fmla="*/ 5 h 10"/>
                            <a:gd name="T20" fmla="*/ 5699 w 7350"/>
                            <a:gd name="T21" fmla="*/ 5 h 10"/>
                            <a:gd name="T22" fmla="*/ 6489 w 7350"/>
                            <a:gd name="T23" fmla="*/ 5 h 10"/>
                            <a:gd name="T24" fmla="*/ 6489 w 7350"/>
                            <a:gd name="T25" fmla="*/ 5 h 10"/>
                            <a:gd name="T26" fmla="*/ 7350 w 7350"/>
                            <a:gd name="T27"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350" h="10">
                              <a:moveTo>
                                <a:pt x="0" y="5"/>
                              </a:moveTo>
                              <a:lnTo>
                                <a:pt x="969" y="5"/>
                              </a:lnTo>
                              <a:moveTo>
                                <a:pt x="969" y="5"/>
                              </a:moveTo>
                              <a:lnTo>
                                <a:pt x="2569" y="5"/>
                              </a:lnTo>
                              <a:moveTo>
                                <a:pt x="2569" y="5"/>
                              </a:moveTo>
                              <a:lnTo>
                                <a:pt x="3390" y="5"/>
                              </a:lnTo>
                              <a:moveTo>
                                <a:pt x="3390" y="5"/>
                              </a:moveTo>
                              <a:lnTo>
                                <a:pt x="4060" y="5"/>
                              </a:lnTo>
                              <a:moveTo>
                                <a:pt x="4060" y="5"/>
                              </a:moveTo>
                              <a:lnTo>
                                <a:pt x="5699" y="5"/>
                              </a:lnTo>
                              <a:moveTo>
                                <a:pt x="5699" y="5"/>
                              </a:moveTo>
                              <a:lnTo>
                                <a:pt x="6489" y="5"/>
                              </a:lnTo>
                              <a:moveTo>
                                <a:pt x="6489" y="5"/>
                              </a:moveTo>
                              <a:lnTo>
                                <a:pt x="735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1763A" id="AutoShape 26" o:spid="_x0000_s1026" style="position:absolute;left:0;text-align:left;margin-left:45.5pt;margin-top:279.2pt;width:367.5pt;height:.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" o:allowincell="f" path="m,5r969,m969,5r1600,m2569,5r821,m3390,5r670,m4060,5r1639,m5699,5r790,m6489,5r861,e" filled="f" strokeweight=".5pt">
                <v:stroke miterlimit="10" joinstyle="miter"/>
                <v:path o:connecttype="custom" o:connectlocs="0,3175;615315,3175;615315,3175;1631315,3175;1631315,3175;2152650,3175;2152650,3175;2578100,3175;2578100,3175;3618865,3175;3618865,3175;4120515,3175;4120515,3175;4667250,3175" o:connectangles="0,0,0,0,0,0,0,0,0,0,0,0,0,0"/>
                <w10:wrap anchorx="page" anchory="page"/>
              </v:shape>
            </w:pict>
          </mc:Fallback>
        </mc:AlternateContent>
      </w:r>
    </w:p>
    <w:p w:rsidR="00EA40A3" w:rsidRDefault="00EA40A3">
      <w:pPr>
        <w:spacing w:line="302" w:lineRule="auto"/>
      </w:pPr>
    </w:p>
    <w:p w:rsidR="00EA40A3" w:rsidRDefault="00E86C16">
      <w:pPr>
        <w:spacing w:before="65" w:line="221" w:lineRule="auto"/>
        <w:ind w:left="2592"/>
        <w:rPr>
          <w:rFonts w:ascii="黑体" w:eastAsia="黑体" w:hAnsi="黑体" w:cs="黑体"/>
          <w:sz w:val="20"/>
          <w:szCs w:val="20"/>
        </w:rPr>
      </w:pPr>
      <w:r>
        <w:rPr>
          <w:rFonts w:ascii="黑体" w:eastAsia="黑体" w:hAnsi="黑体" w:cs="黑体"/>
          <w:b/>
          <w:bCs/>
          <w:spacing w:val="-19"/>
          <w:sz w:val="20"/>
          <w:szCs w:val="20"/>
        </w:rPr>
        <w:t>表3-1</w:t>
      </w:r>
      <w:r>
        <w:rPr>
          <w:rFonts w:ascii="黑体" w:eastAsia="黑体" w:hAnsi="黑体" w:cs="黑体"/>
          <w:spacing w:val="50"/>
          <w:sz w:val="20"/>
          <w:szCs w:val="20"/>
        </w:rPr>
        <w:t xml:space="preserve"> </w:t>
      </w:r>
      <w:r>
        <w:rPr>
          <w:rFonts w:ascii="黑体" w:eastAsia="黑体" w:hAnsi="黑体" w:cs="黑体"/>
          <w:b/>
          <w:bCs/>
          <w:spacing w:val="-19"/>
          <w:sz w:val="20"/>
          <w:szCs w:val="20"/>
        </w:rPr>
        <w:t>人体每小时基础代谢率</w:t>
      </w:r>
    </w:p>
    <w:p w:rsidR="00EA40A3" w:rsidRDefault="00EA40A3">
      <w:pPr>
        <w:spacing w:line="51" w:lineRule="exact"/>
      </w:pPr>
    </w:p>
    <w:tbl>
      <w:tblPr>
        <w:tblStyle w:val="TableNormal"/>
        <w:tblW w:w="7268" w:type="dxa"/>
        <w:tblInd w:w="13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96"/>
        <w:gridCol w:w="488"/>
        <w:gridCol w:w="266"/>
        <w:gridCol w:w="914"/>
        <w:gridCol w:w="756"/>
        <w:gridCol w:w="900"/>
        <w:gridCol w:w="313"/>
        <w:gridCol w:w="485"/>
        <w:gridCol w:w="277"/>
        <w:gridCol w:w="903"/>
        <w:gridCol w:w="773"/>
        <w:gridCol w:w="897"/>
      </w:tblGrid>
      <w:tr w:rsidR="00EA40A3">
        <w:trPr>
          <w:trHeight w:val="314"/>
        </w:trPr>
        <w:tc>
          <w:tcPr>
            <w:tcW w:w="296" w:type="dxa"/>
            <w:tcBorders>
              <w:top w:val="single" w:sz="4" w:space="0" w:color="000000"/>
              <w:bottom w:val="single" w:sz="4" w:space="0" w:color="000000"/>
            </w:tcBorders>
            <w:textDirection w:val="tbRlV"/>
          </w:tcPr>
          <w:p w:rsidR="00EA40A3" w:rsidRDefault="00E86C16">
            <w:pPr>
              <w:spacing w:before="95" w:line="229" w:lineRule="auto"/>
              <w:rPr>
                <w:rFonts w:ascii="宋体" w:eastAsia="宋体" w:hAnsi="宋体" w:cs="宋体"/>
                <w:sz w:val="14"/>
                <w:szCs w:val="14"/>
              </w:rPr>
            </w:pPr>
            <w:r>
              <w:rPr>
                <w:rFonts w:ascii="宋体" w:eastAsia="宋体" w:hAnsi="宋体" w:cs="宋体"/>
                <w:spacing w:val="9"/>
                <w:sz w:val="14"/>
                <w:szCs w:val="14"/>
              </w:rPr>
              <w:t>年龄</w:t>
            </w:r>
          </w:p>
        </w:tc>
        <w:tc>
          <w:tcPr>
            <w:tcW w:w="1668" w:type="dxa"/>
            <w:gridSpan w:val="3"/>
            <w:tcBorders>
              <w:top w:val="single" w:sz="4" w:space="0" w:color="000000"/>
              <w:bottom w:val="single" w:sz="4" w:space="0" w:color="000000"/>
            </w:tcBorders>
          </w:tcPr>
          <w:p w:rsidR="00EA40A3" w:rsidRDefault="00E86C16">
            <w:pPr>
              <w:spacing w:before="92" w:line="220" w:lineRule="auto"/>
              <w:ind w:left="764"/>
              <w:rPr>
                <w:rFonts w:ascii="宋体" w:eastAsia="宋体" w:hAnsi="宋体" w:cs="宋体"/>
                <w:sz w:val="16"/>
                <w:szCs w:val="16"/>
              </w:rPr>
            </w:pPr>
            <w:r>
              <w:rPr>
                <w:rFonts w:ascii="宋体" w:eastAsia="宋体" w:hAnsi="宋体" w:cs="宋体"/>
                <w:sz w:val="16"/>
                <w:szCs w:val="16"/>
              </w:rPr>
              <w:t>男</w:t>
            </w:r>
          </w:p>
        </w:tc>
        <w:tc>
          <w:tcPr>
            <w:tcW w:w="1656" w:type="dxa"/>
            <w:gridSpan w:val="2"/>
            <w:tcBorders>
              <w:top w:val="single" w:sz="4" w:space="0" w:color="000000"/>
              <w:bottom w:val="single" w:sz="4" w:space="0" w:color="000000"/>
              <w:right w:val="single" w:sz="4" w:space="0" w:color="000000"/>
            </w:tcBorders>
          </w:tcPr>
          <w:p w:rsidR="00EA40A3" w:rsidRDefault="00E86C16">
            <w:pPr>
              <w:spacing w:before="81" w:line="219" w:lineRule="auto"/>
              <w:ind w:left="775"/>
              <w:rPr>
                <w:rFonts w:ascii="宋体" w:eastAsia="宋体" w:hAnsi="宋体" w:cs="宋体"/>
                <w:sz w:val="16"/>
                <w:szCs w:val="16"/>
              </w:rPr>
            </w:pPr>
            <w:r>
              <w:rPr>
                <w:rFonts w:ascii="宋体" w:eastAsia="宋体" w:hAnsi="宋体" w:cs="宋体"/>
                <w:sz w:val="16"/>
                <w:szCs w:val="16"/>
              </w:rPr>
              <w:t>女</w:t>
            </w:r>
          </w:p>
        </w:tc>
        <w:tc>
          <w:tcPr>
            <w:tcW w:w="313" w:type="dxa"/>
            <w:tcBorders>
              <w:top w:val="single" w:sz="4" w:space="0" w:color="000000"/>
              <w:left w:val="single" w:sz="4" w:space="0" w:color="000000"/>
              <w:bottom w:val="single" w:sz="4" w:space="0" w:color="000000"/>
            </w:tcBorders>
          </w:tcPr>
          <w:p w:rsidR="00EA40A3" w:rsidRDefault="00E86C16">
            <w:pPr>
              <w:spacing w:before="69" w:line="188" w:lineRule="auto"/>
              <w:ind w:left="94"/>
              <w:rPr>
                <w:rFonts w:ascii="宋体" w:eastAsia="宋体" w:hAnsi="宋体" w:cs="宋体"/>
                <w:sz w:val="12"/>
                <w:szCs w:val="12"/>
              </w:rPr>
            </w:pPr>
            <w:r>
              <w:rPr>
                <w:rFonts w:ascii="宋体" w:eastAsia="宋体" w:hAnsi="宋体" w:cs="宋体"/>
                <w:sz w:val="12"/>
                <w:szCs w:val="12"/>
              </w:rPr>
              <w:t>年</w:t>
            </w:r>
          </w:p>
          <w:p w:rsidR="00EA40A3" w:rsidRDefault="00E86C16">
            <w:pPr>
              <w:spacing w:line="187" w:lineRule="auto"/>
              <w:ind w:left="94"/>
              <w:rPr>
                <w:rFonts w:ascii="宋体" w:eastAsia="宋体" w:hAnsi="宋体" w:cs="宋体"/>
                <w:sz w:val="12"/>
                <w:szCs w:val="12"/>
              </w:rPr>
            </w:pPr>
            <w:r>
              <w:rPr>
                <w:rFonts w:ascii="宋体" w:eastAsia="宋体" w:hAnsi="宋体" w:cs="宋体"/>
                <w:sz w:val="12"/>
                <w:szCs w:val="12"/>
              </w:rPr>
              <w:t>龄</w:t>
            </w:r>
          </w:p>
        </w:tc>
        <w:tc>
          <w:tcPr>
            <w:tcW w:w="1665" w:type="dxa"/>
            <w:gridSpan w:val="3"/>
            <w:tcBorders>
              <w:top w:val="single" w:sz="4" w:space="0" w:color="000000"/>
              <w:bottom w:val="single" w:sz="4" w:space="0" w:color="000000"/>
            </w:tcBorders>
          </w:tcPr>
          <w:p w:rsidR="00EA40A3" w:rsidRDefault="00E86C16">
            <w:pPr>
              <w:spacing w:before="72" w:line="220" w:lineRule="auto"/>
              <w:ind w:left="767"/>
              <w:rPr>
                <w:rFonts w:ascii="宋体" w:eastAsia="宋体" w:hAnsi="宋体" w:cs="宋体"/>
                <w:sz w:val="16"/>
                <w:szCs w:val="16"/>
              </w:rPr>
            </w:pPr>
            <w:r>
              <w:rPr>
                <w:rFonts w:ascii="宋体" w:eastAsia="宋体" w:hAnsi="宋体" w:cs="宋体"/>
                <w:sz w:val="16"/>
                <w:szCs w:val="16"/>
              </w:rPr>
              <w:t>男</w:t>
            </w:r>
          </w:p>
        </w:tc>
        <w:tc>
          <w:tcPr>
            <w:tcW w:w="1670" w:type="dxa"/>
            <w:gridSpan w:val="2"/>
            <w:tcBorders>
              <w:top w:val="single" w:sz="4" w:space="0" w:color="000000"/>
              <w:bottom w:val="single" w:sz="4" w:space="0" w:color="000000"/>
            </w:tcBorders>
          </w:tcPr>
          <w:p w:rsidR="00EA40A3" w:rsidRDefault="00E86C16">
            <w:pPr>
              <w:spacing w:before="71" w:line="219" w:lineRule="auto"/>
              <w:ind w:left="751"/>
              <w:rPr>
                <w:rFonts w:ascii="宋体" w:eastAsia="宋体" w:hAnsi="宋体" w:cs="宋体"/>
                <w:sz w:val="16"/>
                <w:szCs w:val="16"/>
              </w:rPr>
            </w:pPr>
            <w:r>
              <w:rPr>
                <w:rFonts w:ascii="宋体" w:eastAsia="宋体" w:hAnsi="宋体" w:cs="宋体"/>
                <w:sz w:val="16"/>
                <w:szCs w:val="16"/>
              </w:rPr>
              <w:t>女</w:t>
            </w:r>
          </w:p>
        </w:tc>
      </w:tr>
      <w:tr w:rsidR="00EA40A3">
        <w:trPr>
          <w:trHeight w:val="299"/>
        </w:trPr>
        <w:tc>
          <w:tcPr>
            <w:tcW w:w="296" w:type="dxa"/>
            <w:tcBorders>
              <w:top w:val="single" w:sz="4" w:space="0" w:color="000000"/>
              <w:bottom w:val="single" w:sz="4" w:space="0" w:color="000000"/>
            </w:tcBorders>
          </w:tcPr>
          <w:p w:rsidR="00EA40A3" w:rsidRDefault="00E86C16">
            <w:pPr>
              <w:spacing w:before="87" w:line="221" w:lineRule="auto"/>
              <w:ind w:left="40"/>
              <w:rPr>
                <w:rFonts w:ascii="宋体" w:eastAsia="宋体" w:hAnsi="宋体" w:cs="宋体"/>
                <w:sz w:val="13"/>
                <w:szCs w:val="13"/>
              </w:rPr>
            </w:pPr>
            <w:r>
              <w:rPr>
                <w:rFonts w:ascii="宋体" w:eastAsia="宋体" w:hAnsi="宋体" w:cs="宋体"/>
                <w:spacing w:val="-1"/>
                <w:sz w:val="13"/>
                <w:szCs w:val="13"/>
              </w:rPr>
              <w:t>/岁</w:t>
            </w:r>
          </w:p>
        </w:tc>
        <w:tc>
          <w:tcPr>
            <w:tcW w:w="488" w:type="dxa"/>
            <w:tcBorders>
              <w:top w:val="single" w:sz="4" w:space="0" w:color="000000"/>
              <w:bottom w:val="single" w:sz="4" w:space="0" w:color="000000"/>
            </w:tcBorders>
          </w:tcPr>
          <w:p w:rsidR="00EA40A3" w:rsidRDefault="00E86C16">
            <w:pPr>
              <w:spacing w:before="75" w:line="218" w:lineRule="auto"/>
              <w:ind w:left="73"/>
              <w:rPr>
                <w:rFonts w:ascii="宋体" w:eastAsia="宋体" w:hAnsi="宋体" w:cs="宋体"/>
                <w:sz w:val="13"/>
                <w:szCs w:val="13"/>
              </w:rPr>
            </w:pPr>
            <w:r>
              <w:rPr>
                <w:rFonts w:ascii="宋体" w:eastAsia="宋体" w:hAnsi="宋体" w:cs="宋体"/>
                <w:spacing w:val="-1"/>
                <w:sz w:val="13"/>
                <w:szCs w:val="13"/>
              </w:rPr>
              <w:t>kJ/(m²</w:t>
            </w:r>
          </w:p>
        </w:tc>
        <w:tc>
          <w:tcPr>
            <w:tcW w:w="266" w:type="dxa"/>
            <w:tcBorders>
              <w:top w:val="single" w:sz="4" w:space="0" w:color="000000"/>
              <w:bottom w:val="single" w:sz="4" w:space="0" w:color="000000"/>
            </w:tcBorders>
          </w:tcPr>
          <w:p w:rsidR="00EA40A3" w:rsidRDefault="00E86C16">
            <w:pPr>
              <w:spacing w:before="75" w:line="222" w:lineRule="auto"/>
              <w:ind w:left="21"/>
              <w:rPr>
                <w:rFonts w:ascii="宋体" w:eastAsia="宋体" w:hAnsi="宋体" w:cs="宋体"/>
                <w:sz w:val="13"/>
                <w:szCs w:val="13"/>
              </w:rPr>
            </w:pPr>
            <w:r>
              <w:rPr>
                <w:rFonts w:ascii="宋体" w:eastAsia="宋体" w:hAnsi="宋体" w:cs="宋体"/>
                <w:spacing w:val="-17"/>
                <w:sz w:val="13"/>
                <w:szCs w:val="13"/>
              </w:rPr>
              <w:t>·h)</w:t>
            </w:r>
          </w:p>
        </w:tc>
        <w:tc>
          <w:tcPr>
            <w:tcW w:w="914" w:type="dxa"/>
            <w:tcBorders>
              <w:top w:val="single" w:sz="4" w:space="0" w:color="000000"/>
              <w:bottom w:val="single" w:sz="4" w:space="0" w:color="000000"/>
            </w:tcBorders>
          </w:tcPr>
          <w:p w:rsidR="00EA40A3" w:rsidRDefault="00E86C16">
            <w:pPr>
              <w:spacing w:before="58" w:line="222" w:lineRule="auto"/>
              <w:ind w:left="90"/>
              <w:rPr>
                <w:rFonts w:ascii="宋体" w:eastAsia="宋体" w:hAnsi="宋体" w:cs="宋体"/>
                <w:sz w:val="13"/>
                <w:szCs w:val="13"/>
              </w:rPr>
            </w:pPr>
            <w:r>
              <w:rPr>
                <w:rFonts w:ascii="宋体" w:eastAsia="宋体" w:hAnsi="宋体" w:cs="宋体"/>
                <w:spacing w:val="-5"/>
                <w:sz w:val="13"/>
                <w:szCs w:val="13"/>
              </w:rPr>
              <w:t>kcal/(m²</w:t>
            </w:r>
            <w:r>
              <w:rPr>
                <w:rFonts w:ascii="宋体" w:eastAsia="宋体" w:hAnsi="宋体" w:cs="宋体"/>
                <w:spacing w:val="-16"/>
                <w:sz w:val="13"/>
                <w:szCs w:val="13"/>
              </w:rPr>
              <w:t xml:space="preserve"> </w:t>
            </w:r>
            <w:r>
              <w:rPr>
                <w:rFonts w:ascii="宋体" w:eastAsia="宋体" w:hAnsi="宋体" w:cs="宋体"/>
                <w:spacing w:val="-5"/>
                <w:sz w:val="13"/>
                <w:szCs w:val="13"/>
              </w:rPr>
              <w:t>·h)</w:t>
            </w:r>
          </w:p>
        </w:tc>
        <w:tc>
          <w:tcPr>
            <w:tcW w:w="756" w:type="dxa"/>
            <w:tcBorders>
              <w:top w:val="single" w:sz="4" w:space="0" w:color="000000"/>
              <w:bottom w:val="single" w:sz="4" w:space="0" w:color="000000"/>
            </w:tcBorders>
          </w:tcPr>
          <w:p w:rsidR="00EA40A3" w:rsidRDefault="00E86C16">
            <w:pPr>
              <w:spacing w:before="85" w:line="218" w:lineRule="auto"/>
              <w:ind w:left="76"/>
              <w:rPr>
                <w:rFonts w:ascii="宋体" w:eastAsia="宋体" w:hAnsi="宋体" w:cs="宋体"/>
                <w:sz w:val="13"/>
                <w:szCs w:val="13"/>
              </w:rPr>
            </w:pPr>
            <w:r>
              <w:rPr>
                <w:rFonts w:ascii="宋体" w:eastAsia="宋体" w:hAnsi="宋体" w:cs="宋体"/>
                <w:spacing w:val="-6"/>
                <w:sz w:val="13"/>
                <w:szCs w:val="13"/>
              </w:rPr>
              <w:t>kJ/(m²</w:t>
            </w:r>
            <w:r>
              <w:rPr>
                <w:rFonts w:ascii="宋体" w:eastAsia="宋体" w:hAnsi="宋体" w:cs="宋体"/>
                <w:spacing w:val="-16"/>
                <w:sz w:val="13"/>
                <w:szCs w:val="13"/>
              </w:rPr>
              <w:t xml:space="preserve"> </w:t>
            </w:r>
            <w:r>
              <w:rPr>
                <w:rFonts w:ascii="宋体" w:eastAsia="宋体" w:hAnsi="宋体" w:cs="宋体"/>
                <w:spacing w:val="-6"/>
                <w:sz w:val="13"/>
                <w:szCs w:val="13"/>
              </w:rPr>
              <w:t>·h)</w:t>
            </w:r>
          </w:p>
        </w:tc>
        <w:tc>
          <w:tcPr>
            <w:tcW w:w="900" w:type="dxa"/>
            <w:tcBorders>
              <w:top w:val="single" w:sz="4" w:space="0" w:color="000000"/>
              <w:bottom w:val="single" w:sz="4" w:space="0" w:color="000000"/>
              <w:right w:val="single" w:sz="4" w:space="0" w:color="000000"/>
            </w:tcBorders>
          </w:tcPr>
          <w:p w:rsidR="00EA40A3" w:rsidRDefault="00E86C16">
            <w:pPr>
              <w:spacing w:before="88" w:line="222" w:lineRule="auto"/>
              <w:ind w:left="90"/>
              <w:rPr>
                <w:rFonts w:ascii="宋体" w:eastAsia="宋体" w:hAnsi="宋体" w:cs="宋体"/>
                <w:sz w:val="13"/>
                <w:szCs w:val="13"/>
              </w:rPr>
            </w:pPr>
            <w:r>
              <w:rPr>
                <w:rFonts w:ascii="宋体" w:eastAsia="宋体" w:hAnsi="宋体" w:cs="宋体"/>
                <w:spacing w:val="-5"/>
                <w:sz w:val="13"/>
                <w:szCs w:val="13"/>
              </w:rPr>
              <w:t>kcal/(m²</w:t>
            </w:r>
            <w:r>
              <w:rPr>
                <w:rFonts w:ascii="宋体" w:eastAsia="宋体" w:hAnsi="宋体" w:cs="宋体"/>
                <w:spacing w:val="-16"/>
                <w:sz w:val="13"/>
                <w:szCs w:val="13"/>
              </w:rPr>
              <w:t xml:space="preserve"> </w:t>
            </w:r>
            <w:r>
              <w:rPr>
                <w:rFonts w:ascii="宋体" w:eastAsia="宋体" w:hAnsi="宋体" w:cs="宋体"/>
                <w:spacing w:val="-5"/>
                <w:sz w:val="13"/>
                <w:szCs w:val="13"/>
              </w:rPr>
              <w:t>·h)</w:t>
            </w:r>
          </w:p>
        </w:tc>
        <w:tc>
          <w:tcPr>
            <w:tcW w:w="313" w:type="dxa"/>
            <w:tcBorders>
              <w:top w:val="single" w:sz="4" w:space="0" w:color="000000"/>
              <w:left w:val="single" w:sz="4" w:space="0" w:color="000000"/>
              <w:bottom w:val="single" w:sz="4" w:space="0" w:color="000000"/>
            </w:tcBorders>
          </w:tcPr>
          <w:p w:rsidR="00EA40A3" w:rsidRDefault="00E86C16">
            <w:pPr>
              <w:spacing w:before="87" w:line="221" w:lineRule="auto"/>
              <w:ind w:left="115"/>
              <w:rPr>
                <w:rFonts w:ascii="宋体" w:eastAsia="宋体" w:hAnsi="宋体" w:cs="宋体"/>
                <w:sz w:val="13"/>
                <w:szCs w:val="13"/>
              </w:rPr>
            </w:pPr>
            <w:r>
              <w:rPr>
                <w:rFonts w:ascii="宋体" w:eastAsia="宋体" w:hAnsi="宋体" w:cs="宋体"/>
                <w:sz w:val="13"/>
                <w:szCs w:val="13"/>
              </w:rPr>
              <w:t>岁</w:t>
            </w:r>
          </w:p>
        </w:tc>
        <w:tc>
          <w:tcPr>
            <w:tcW w:w="485" w:type="dxa"/>
            <w:tcBorders>
              <w:top w:val="single" w:sz="4" w:space="0" w:color="000000"/>
              <w:bottom w:val="single" w:sz="4" w:space="0" w:color="000000"/>
            </w:tcBorders>
          </w:tcPr>
          <w:p w:rsidR="00EA40A3" w:rsidRDefault="00E86C16">
            <w:pPr>
              <w:spacing w:before="75" w:line="218" w:lineRule="auto"/>
              <w:ind w:left="77"/>
              <w:rPr>
                <w:rFonts w:ascii="宋体" w:eastAsia="宋体" w:hAnsi="宋体" w:cs="宋体"/>
                <w:sz w:val="13"/>
                <w:szCs w:val="13"/>
              </w:rPr>
            </w:pPr>
            <w:r>
              <w:rPr>
                <w:rFonts w:ascii="宋体" w:eastAsia="宋体" w:hAnsi="宋体" w:cs="宋体"/>
                <w:spacing w:val="-1"/>
                <w:sz w:val="13"/>
                <w:szCs w:val="13"/>
              </w:rPr>
              <w:t>kJ/(m²</w:t>
            </w:r>
          </w:p>
        </w:tc>
        <w:tc>
          <w:tcPr>
            <w:tcW w:w="277" w:type="dxa"/>
            <w:tcBorders>
              <w:top w:val="single" w:sz="4" w:space="0" w:color="000000"/>
              <w:bottom w:val="single" w:sz="4" w:space="0" w:color="000000"/>
            </w:tcBorders>
          </w:tcPr>
          <w:p w:rsidR="00EA40A3" w:rsidRDefault="00E86C16">
            <w:pPr>
              <w:spacing w:before="75" w:line="222" w:lineRule="auto"/>
              <w:ind w:left="27"/>
              <w:rPr>
                <w:rFonts w:ascii="宋体" w:eastAsia="宋体" w:hAnsi="宋体" w:cs="宋体"/>
                <w:sz w:val="13"/>
                <w:szCs w:val="13"/>
              </w:rPr>
            </w:pPr>
            <w:r>
              <w:rPr>
                <w:rFonts w:ascii="宋体" w:eastAsia="宋体" w:hAnsi="宋体" w:cs="宋体"/>
                <w:spacing w:val="-17"/>
                <w:sz w:val="13"/>
                <w:szCs w:val="13"/>
              </w:rPr>
              <w:t>·h)</w:t>
            </w:r>
          </w:p>
        </w:tc>
        <w:tc>
          <w:tcPr>
            <w:tcW w:w="903" w:type="dxa"/>
            <w:tcBorders>
              <w:top w:val="single" w:sz="4" w:space="0" w:color="000000"/>
              <w:bottom w:val="single" w:sz="4" w:space="0" w:color="000000"/>
            </w:tcBorders>
          </w:tcPr>
          <w:p w:rsidR="00EA40A3" w:rsidRDefault="00E86C16">
            <w:pPr>
              <w:spacing w:before="78" w:line="222" w:lineRule="auto"/>
              <w:ind w:left="95"/>
              <w:rPr>
                <w:rFonts w:ascii="宋体" w:eastAsia="宋体" w:hAnsi="宋体" w:cs="宋体"/>
                <w:sz w:val="13"/>
                <w:szCs w:val="13"/>
              </w:rPr>
            </w:pPr>
            <w:r>
              <w:rPr>
                <w:rFonts w:ascii="宋体" w:eastAsia="宋体" w:hAnsi="宋体" w:cs="宋体"/>
                <w:spacing w:val="-5"/>
                <w:sz w:val="13"/>
                <w:szCs w:val="13"/>
              </w:rPr>
              <w:t>kcal/(m²</w:t>
            </w:r>
            <w:r>
              <w:rPr>
                <w:rFonts w:ascii="宋体" w:eastAsia="宋体" w:hAnsi="宋体" w:cs="宋体"/>
                <w:spacing w:val="-16"/>
                <w:sz w:val="13"/>
                <w:szCs w:val="13"/>
              </w:rPr>
              <w:t xml:space="preserve"> </w:t>
            </w:r>
            <w:r>
              <w:rPr>
                <w:rFonts w:ascii="宋体" w:eastAsia="宋体" w:hAnsi="宋体" w:cs="宋体"/>
                <w:spacing w:val="-5"/>
                <w:sz w:val="13"/>
                <w:szCs w:val="13"/>
              </w:rPr>
              <w:t>·h)</w:t>
            </w:r>
          </w:p>
        </w:tc>
        <w:tc>
          <w:tcPr>
            <w:tcW w:w="773" w:type="dxa"/>
            <w:tcBorders>
              <w:top w:val="single" w:sz="4" w:space="0" w:color="000000"/>
              <w:bottom w:val="single" w:sz="4" w:space="0" w:color="000000"/>
            </w:tcBorders>
          </w:tcPr>
          <w:p w:rsidR="00EA40A3" w:rsidRDefault="00E86C16">
            <w:pPr>
              <w:spacing w:before="75" w:line="218" w:lineRule="auto"/>
              <w:ind w:left="62"/>
              <w:rPr>
                <w:rFonts w:ascii="宋体" w:eastAsia="宋体" w:hAnsi="宋体" w:cs="宋体"/>
                <w:sz w:val="13"/>
                <w:szCs w:val="13"/>
              </w:rPr>
            </w:pPr>
            <w:r>
              <w:rPr>
                <w:rFonts w:ascii="宋体" w:eastAsia="宋体" w:hAnsi="宋体" w:cs="宋体"/>
                <w:spacing w:val="-6"/>
                <w:sz w:val="13"/>
                <w:szCs w:val="13"/>
              </w:rPr>
              <w:t>kJ/(m²</w:t>
            </w:r>
            <w:r>
              <w:rPr>
                <w:rFonts w:ascii="宋体" w:eastAsia="宋体" w:hAnsi="宋体" w:cs="宋体"/>
                <w:spacing w:val="-16"/>
                <w:sz w:val="13"/>
                <w:szCs w:val="13"/>
              </w:rPr>
              <w:t xml:space="preserve"> </w:t>
            </w:r>
            <w:r>
              <w:rPr>
                <w:rFonts w:ascii="宋体" w:eastAsia="宋体" w:hAnsi="宋体" w:cs="宋体"/>
                <w:spacing w:val="-6"/>
                <w:sz w:val="13"/>
                <w:szCs w:val="13"/>
              </w:rPr>
              <w:t>·h)</w:t>
            </w:r>
          </w:p>
        </w:tc>
        <w:tc>
          <w:tcPr>
            <w:tcW w:w="897" w:type="dxa"/>
            <w:tcBorders>
              <w:top w:val="single" w:sz="4" w:space="0" w:color="000000"/>
              <w:bottom w:val="single" w:sz="4" w:space="0" w:color="000000"/>
            </w:tcBorders>
          </w:tcPr>
          <w:p w:rsidR="00EA40A3" w:rsidRDefault="00E86C16">
            <w:pPr>
              <w:spacing w:before="75" w:line="238" w:lineRule="auto"/>
              <w:ind w:left="121"/>
              <w:rPr>
                <w:rFonts w:ascii="宋体" w:eastAsia="宋体" w:hAnsi="宋体" w:cs="宋体"/>
                <w:sz w:val="12"/>
                <w:szCs w:val="12"/>
              </w:rPr>
            </w:pPr>
            <w:r>
              <w:rPr>
                <w:rFonts w:ascii="宋体" w:eastAsia="宋体" w:hAnsi="宋体" w:cs="宋体"/>
                <w:sz w:val="12"/>
                <w:szCs w:val="12"/>
              </w:rPr>
              <w:t>kcal/(m²</w:t>
            </w:r>
            <w:r>
              <w:rPr>
                <w:rFonts w:ascii="宋体" w:eastAsia="宋体" w:hAnsi="宋体" w:cs="宋体"/>
                <w:spacing w:val="-6"/>
                <w:sz w:val="12"/>
                <w:szCs w:val="12"/>
              </w:rPr>
              <w:t xml:space="preserve"> </w:t>
            </w:r>
            <w:r>
              <w:rPr>
                <w:rFonts w:ascii="宋体" w:eastAsia="宋体" w:hAnsi="宋体" w:cs="宋体"/>
                <w:sz w:val="12"/>
                <w:szCs w:val="12"/>
              </w:rPr>
              <w:t>·h)</w:t>
            </w:r>
          </w:p>
        </w:tc>
      </w:tr>
      <w:tr w:rsidR="00EA40A3">
        <w:trPr>
          <w:trHeight w:val="258"/>
        </w:trPr>
        <w:tc>
          <w:tcPr>
            <w:tcW w:w="296" w:type="dxa"/>
            <w:tcBorders>
              <w:top w:val="single" w:sz="4" w:space="0" w:color="000000"/>
            </w:tcBorders>
          </w:tcPr>
          <w:p w:rsidR="00EA40A3" w:rsidRDefault="00E86C16">
            <w:pPr>
              <w:spacing w:before="89" w:line="184" w:lineRule="auto"/>
              <w:ind w:left="100"/>
              <w:rPr>
                <w:rFonts w:ascii="宋体" w:eastAsia="宋体" w:hAnsi="宋体" w:cs="宋体"/>
                <w:sz w:val="16"/>
                <w:szCs w:val="16"/>
              </w:rPr>
            </w:pPr>
            <w:r>
              <w:rPr>
                <w:rFonts w:ascii="宋体" w:eastAsia="宋体" w:hAnsi="宋体" w:cs="宋体"/>
                <w:sz w:val="16"/>
                <w:szCs w:val="16"/>
              </w:rPr>
              <w:t>1</w:t>
            </w:r>
          </w:p>
        </w:tc>
        <w:tc>
          <w:tcPr>
            <w:tcW w:w="488" w:type="dxa"/>
            <w:tcBorders>
              <w:top w:val="single" w:sz="4" w:space="0" w:color="000000"/>
            </w:tcBorders>
          </w:tcPr>
          <w:p w:rsidR="00EA40A3" w:rsidRDefault="00E86C16">
            <w:pPr>
              <w:spacing w:before="79" w:line="202" w:lineRule="auto"/>
              <w:ind w:left="204"/>
              <w:rPr>
                <w:rFonts w:ascii="宋体" w:eastAsia="宋体" w:hAnsi="宋体" w:cs="宋体"/>
                <w:sz w:val="14"/>
                <w:szCs w:val="14"/>
              </w:rPr>
            </w:pPr>
            <w:r>
              <w:rPr>
                <w:rFonts w:ascii="宋体" w:eastAsia="宋体" w:hAnsi="宋体" w:cs="宋体"/>
                <w:sz w:val="14"/>
                <w:szCs w:val="14"/>
              </w:rPr>
              <w:t>221.</w:t>
            </w:r>
          </w:p>
        </w:tc>
        <w:tc>
          <w:tcPr>
            <w:tcW w:w="266" w:type="dxa"/>
            <w:tcBorders>
              <w:top w:val="single" w:sz="4" w:space="0" w:color="000000"/>
            </w:tcBorders>
          </w:tcPr>
          <w:p w:rsidR="00EA40A3" w:rsidRDefault="00E86C16">
            <w:pPr>
              <w:spacing w:before="79" w:line="183" w:lineRule="auto"/>
              <w:ind w:left="34"/>
              <w:rPr>
                <w:rFonts w:ascii="宋体" w:eastAsia="宋体" w:hAnsi="宋体" w:cs="宋体"/>
                <w:sz w:val="16"/>
                <w:szCs w:val="16"/>
              </w:rPr>
            </w:pPr>
            <w:r>
              <w:rPr>
                <w:rFonts w:ascii="宋体" w:eastAsia="宋体" w:hAnsi="宋体" w:cs="宋体"/>
                <w:sz w:val="16"/>
                <w:szCs w:val="16"/>
              </w:rPr>
              <w:t>8</w:t>
            </w:r>
          </w:p>
        </w:tc>
        <w:tc>
          <w:tcPr>
            <w:tcW w:w="914" w:type="dxa"/>
            <w:tcBorders>
              <w:top w:val="single" w:sz="4" w:space="0" w:color="000000"/>
            </w:tcBorders>
          </w:tcPr>
          <w:p w:rsidR="00EA40A3" w:rsidRDefault="00E86C16">
            <w:pPr>
              <w:spacing w:before="100" w:line="182" w:lineRule="auto"/>
              <w:ind w:left="350"/>
              <w:rPr>
                <w:rFonts w:ascii="宋体" w:eastAsia="宋体" w:hAnsi="宋体" w:cs="宋体"/>
                <w:sz w:val="16"/>
                <w:szCs w:val="16"/>
              </w:rPr>
            </w:pPr>
            <w:r>
              <w:rPr>
                <w:rFonts w:ascii="宋体" w:eastAsia="宋体" w:hAnsi="宋体" w:cs="宋体"/>
                <w:spacing w:val="-2"/>
                <w:sz w:val="16"/>
                <w:szCs w:val="16"/>
              </w:rPr>
              <w:t>53.0</w:t>
            </w:r>
          </w:p>
        </w:tc>
        <w:tc>
          <w:tcPr>
            <w:tcW w:w="756" w:type="dxa"/>
            <w:tcBorders>
              <w:top w:val="single" w:sz="4" w:space="0" w:color="000000"/>
            </w:tcBorders>
          </w:tcPr>
          <w:p w:rsidR="00EA40A3" w:rsidRDefault="00E86C16">
            <w:pPr>
              <w:spacing w:before="89" w:line="184" w:lineRule="auto"/>
              <w:ind w:left="206"/>
              <w:rPr>
                <w:rFonts w:ascii="宋体" w:eastAsia="宋体" w:hAnsi="宋体" w:cs="宋体"/>
                <w:sz w:val="16"/>
                <w:szCs w:val="16"/>
              </w:rPr>
            </w:pPr>
            <w:r>
              <w:rPr>
                <w:rFonts w:ascii="宋体" w:eastAsia="宋体" w:hAnsi="宋体" w:cs="宋体"/>
                <w:spacing w:val="-2"/>
                <w:sz w:val="16"/>
                <w:szCs w:val="16"/>
              </w:rPr>
              <w:t>221.8</w:t>
            </w:r>
          </w:p>
        </w:tc>
        <w:tc>
          <w:tcPr>
            <w:tcW w:w="900" w:type="dxa"/>
            <w:tcBorders>
              <w:top w:val="single" w:sz="4" w:space="0" w:color="000000"/>
              <w:right w:val="single" w:sz="4" w:space="0" w:color="000000"/>
            </w:tcBorders>
          </w:tcPr>
          <w:p w:rsidR="00EA40A3" w:rsidRDefault="00E86C16">
            <w:pPr>
              <w:spacing w:before="89" w:line="183" w:lineRule="auto"/>
              <w:ind w:left="340"/>
              <w:rPr>
                <w:rFonts w:ascii="宋体" w:eastAsia="宋体" w:hAnsi="宋体" w:cs="宋体"/>
                <w:sz w:val="16"/>
                <w:szCs w:val="16"/>
              </w:rPr>
            </w:pPr>
            <w:r>
              <w:rPr>
                <w:rFonts w:ascii="宋体" w:eastAsia="宋体" w:hAnsi="宋体" w:cs="宋体"/>
                <w:spacing w:val="-2"/>
                <w:sz w:val="16"/>
                <w:szCs w:val="16"/>
              </w:rPr>
              <w:t>53.0</w:t>
            </w:r>
          </w:p>
        </w:tc>
        <w:tc>
          <w:tcPr>
            <w:tcW w:w="313" w:type="dxa"/>
            <w:tcBorders>
              <w:top w:val="single" w:sz="4" w:space="0" w:color="000000"/>
              <w:left w:val="single" w:sz="4" w:space="0" w:color="000000"/>
            </w:tcBorders>
          </w:tcPr>
          <w:p w:rsidR="00EA40A3" w:rsidRDefault="00E86C16">
            <w:pPr>
              <w:spacing w:before="79" w:line="183" w:lineRule="auto"/>
              <w:ind w:left="85"/>
              <w:rPr>
                <w:rFonts w:ascii="宋体" w:eastAsia="宋体" w:hAnsi="宋体" w:cs="宋体"/>
                <w:sz w:val="16"/>
                <w:szCs w:val="16"/>
              </w:rPr>
            </w:pPr>
            <w:r>
              <w:rPr>
                <w:rFonts w:ascii="宋体" w:eastAsia="宋体" w:hAnsi="宋体" w:cs="宋体"/>
                <w:spacing w:val="-3"/>
                <w:sz w:val="16"/>
                <w:szCs w:val="16"/>
              </w:rPr>
              <w:t>30</w:t>
            </w:r>
          </w:p>
        </w:tc>
        <w:tc>
          <w:tcPr>
            <w:tcW w:w="485" w:type="dxa"/>
            <w:tcBorders>
              <w:top w:val="single" w:sz="4" w:space="0" w:color="000000"/>
            </w:tcBorders>
          </w:tcPr>
          <w:p w:rsidR="00EA40A3" w:rsidRDefault="00E86C16">
            <w:pPr>
              <w:spacing w:before="79" w:line="202" w:lineRule="auto"/>
              <w:ind w:left="207"/>
              <w:rPr>
                <w:rFonts w:ascii="宋体" w:eastAsia="宋体" w:hAnsi="宋体" w:cs="宋体"/>
                <w:sz w:val="14"/>
                <w:szCs w:val="14"/>
              </w:rPr>
            </w:pPr>
            <w:r>
              <w:rPr>
                <w:rFonts w:ascii="宋体" w:eastAsia="宋体" w:hAnsi="宋体" w:cs="宋体"/>
                <w:spacing w:val="-1"/>
                <w:sz w:val="14"/>
                <w:szCs w:val="14"/>
              </w:rPr>
              <w:t>154.</w:t>
            </w:r>
          </w:p>
        </w:tc>
        <w:tc>
          <w:tcPr>
            <w:tcW w:w="277" w:type="dxa"/>
            <w:tcBorders>
              <w:top w:val="single" w:sz="4" w:space="0" w:color="000000"/>
            </w:tcBorders>
          </w:tcPr>
          <w:p w:rsidR="00EA40A3" w:rsidRDefault="00E86C16">
            <w:pPr>
              <w:spacing w:before="79" w:line="183" w:lineRule="auto"/>
              <w:ind w:left="31"/>
              <w:rPr>
                <w:rFonts w:ascii="宋体" w:eastAsia="宋体" w:hAnsi="宋体" w:cs="宋体"/>
                <w:sz w:val="16"/>
                <w:szCs w:val="16"/>
              </w:rPr>
            </w:pPr>
            <w:r>
              <w:rPr>
                <w:rFonts w:ascii="宋体" w:eastAsia="宋体" w:hAnsi="宋体" w:cs="宋体"/>
                <w:sz w:val="16"/>
                <w:szCs w:val="16"/>
              </w:rPr>
              <w:t>0</w:t>
            </w:r>
          </w:p>
        </w:tc>
        <w:tc>
          <w:tcPr>
            <w:tcW w:w="903" w:type="dxa"/>
            <w:tcBorders>
              <w:top w:val="single" w:sz="4" w:space="0" w:color="000000"/>
            </w:tcBorders>
          </w:tcPr>
          <w:p w:rsidR="00EA40A3" w:rsidRDefault="00E86C16">
            <w:pPr>
              <w:spacing w:before="89" w:line="183" w:lineRule="auto"/>
              <w:ind w:left="325"/>
              <w:rPr>
                <w:rFonts w:ascii="宋体" w:eastAsia="宋体" w:hAnsi="宋体" w:cs="宋体"/>
                <w:sz w:val="16"/>
                <w:szCs w:val="16"/>
              </w:rPr>
            </w:pPr>
            <w:r>
              <w:rPr>
                <w:rFonts w:ascii="宋体" w:eastAsia="宋体" w:hAnsi="宋体" w:cs="宋体"/>
                <w:spacing w:val="-2"/>
                <w:sz w:val="16"/>
                <w:szCs w:val="16"/>
              </w:rPr>
              <w:t>36.8</w:t>
            </w:r>
          </w:p>
        </w:tc>
        <w:tc>
          <w:tcPr>
            <w:tcW w:w="773" w:type="dxa"/>
            <w:tcBorders>
              <w:top w:val="single" w:sz="4" w:space="0" w:color="000000"/>
            </w:tcBorders>
          </w:tcPr>
          <w:p w:rsidR="00EA40A3" w:rsidRDefault="00E86C16">
            <w:pPr>
              <w:spacing w:before="79" w:line="184" w:lineRule="auto"/>
              <w:ind w:left="202"/>
              <w:rPr>
                <w:rFonts w:ascii="宋体" w:eastAsia="宋体" w:hAnsi="宋体" w:cs="宋体"/>
                <w:sz w:val="16"/>
                <w:szCs w:val="16"/>
              </w:rPr>
            </w:pPr>
            <w:r>
              <w:rPr>
                <w:rFonts w:ascii="宋体" w:eastAsia="宋体" w:hAnsi="宋体" w:cs="宋体"/>
                <w:spacing w:val="-3"/>
                <w:sz w:val="16"/>
                <w:szCs w:val="16"/>
              </w:rPr>
              <w:t>146.9</w:t>
            </w:r>
          </w:p>
        </w:tc>
        <w:tc>
          <w:tcPr>
            <w:tcW w:w="897" w:type="dxa"/>
            <w:tcBorders>
              <w:top w:val="single" w:sz="4" w:space="0" w:color="000000"/>
            </w:tcBorders>
          </w:tcPr>
          <w:p w:rsidR="00EA40A3" w:rsidRDefault="00E86C16">
            <w:pPr>
              <w:spacing w:before="89" w:line="184" w:lineRule="auto"/>
              <w:ind w:left="309"/>
              <w:rPr>
                <w:rFonts w:ascii="宋体" w:eastAsia="宋体" w:hAnsi="宋体" w:cs="宋体"/>
                <w:sz w:val="16"/>
                <w:szCs w:val="16"/>
              </w:rPr>
            </w:pPr>
            <w:r>
              <w:rPr>
                <w:rFonts w:ascii="宋体" w:eastAsia="宋体" w:hAnsi="宋体" w:cs="宋体"/>
                <w:spacing w:val="-2"/>
                <w:sz w:val="16"/>
                <w:szCs w:val="16"/>
              </w:rPr>
              <w:t>35.1</w:t>
            </w:r>
          </w:p>
        </w:tc>
      </w:tr>
      <w:tr w:rsidR="00EA40A3">
        <w:trPr>
          <w:trHeight w:val="230"/>
        </w:trPr>
        <w:tc>
          <w:tcPr>
            <w:tcW w:w="296" w:type="dxa"/>
          </w:tcPr>
          <w:p w:rsidR="00EA40A3" w:rsidRDefault="00E86C16">
            <w:pPr>
              <w:spacing w:before="72" w:line="182" w:lineRule="auto"/>
              <w:ind w:left="100"/>
              <w:rPr>
                <w:rFonts w:ascii="宋体" w:eastAsia="宋体" w:hAnsi="宋体" w:cs="宋体"/>
                <w:sz w:val="16"/>
                <w:szCs w:val="16"/>
              </w:rPr>
            </w:pPr>
            <w:r>
              <w:rPr>
                <w:rFonts w:ascii="宋体" w:eastAsia="宋体" w:hAnsi="宋体" w:cs="宋体"/>
                <w:sz w:val="16"/>
                <w:szCs w:val="16"/>
              </w:rPr>
              <w:t>3</w:t>
            </w:r>
          </w:p>
        </w:tc>
        <w:tc>
          <w:tcPr>
            <w:tcW w:w="488" w:type="dxa"/>
          </w:tcPr>
          <w:p w:rsidR="00EA40A3" w:rsidRDefault="00E86C16">
            <w:pPr>
              <w:spacing w:before="71" w:line="202" w:lineRule="auto"/>
              <w:ind w:left="204"/>
              <w:rPr>
                <w:rFonts w:ascii="宋体" w:eastAsia="宋体" w:hAnsi="宋体" w:cs="宋体"/>
                <w:sz w:val="14"/>
                <w:szCs w:val="14"/>
              </w:rPr>
            </w:pPr>
            <w:r>
              <w:rPr>
                <w:rFonts w:ascii="宋体" w:eastAsia="宋体" w:hAnsi="宋体" w:cs="宋体"/>
                <w:sz w:val="14"/>
                <w:szCs w:val="14"/>
              </w:rPr>
              <w:t>214.</w:t>
            </w:r>
          </w:p>
        </w:tc>
        <w:tc>
          <w:tcPr>
            <w:tcW w:w="266" w:type="dxa"/>
          </w:tcPr>
          <w:p w:rsidR="00EA40A3" w:rsidRDefault="00E86C16">
            <w:pPr>
              <w:spacing w:before="72" w:line="182" w:lineRule="auto"/>
              <w:ind w:left="35"/>
              <w:rPr>
                <w:rFonts w:ascii="宋体" w:eastAsia="宋体" w:hAnsi="宋体" w:cs="宋体"/>
                <w:sz w:val="16"/>
                <w:szCs w:val="16"/>
              </w:rPr>
            </w:pPr>
            <w:r>
              <w:rPr>
                <w:rFonts w:ascii="宋体" w:eastAsia="宋体" w:hAnsi="宋体" w:cs="宋体"/>
                <w:sz w:val="16"/>
                <w:szCs w:val="16"/>
              </w:rPr>
              <w:t>6</w:t>
            </w:r>
          </w:p>
        </w:tc>
        <w:tc>
          <w:tcPr>
            <w:tcW w:w="914" w:type="dxa"/>
          </w:tcPr>
          <w:p w:rsidR="00EA40A3" w:rsidRDefault="00E86C16">
            <w:pPr>
              <w:spacing w:before="71" w:line="183" w:lineRule="auto"/>
              <w:ind w:left="340"/>
              <w:rPr>
                <w:rFonts w:ascii="宋体" w:eastAsia="宋体" w:hAnsi="宋体" w:cs="宋体"/>
                <w:sz w:val="16"/>
                <w:szCs w:val="16"/>
              </w:rPr>
            </w:pPr>
            <w:r>
              <w:rPr>
                <w:rFonts w:ascii="宋体" w:eastAsia="宋体" w:hAnsi="宋体" w:cs="宋体"/>
                <w:spacing w:val="-2"/>
                <w:sz w:val="16"/>
                <w:szCs w:val="16"/>
              </w:rPr>
              <w:t>51.3</w:t>
            </w:r>
          </w:p>
        </w:tc>
        <w:tc>
          <w:tcPr>
            <w:tcW w:w="756" w:type="dxa"/>
          </w:tcPr>
          <w:p w:rsidR="00EA40A3" w:rsidRDefault="00E86C16">
            <w:pPr>
              <w:spacing w:before="61" w:line="184" w:lineRule="auto"/>
              <w:ind w:left="206"/>
              <w:rPr>
                <w:rFonts w:ascii="宋体" w:eastAsia="宋体" w:hAnsi="宋体" w:cs="宋体"/>
                <w:sz w:val="16"/>
                <w:szCs w:val="16"/>
              </w:rPr>
            </w:pPr>
            <w:r>
              <w:rPr>
                <w:rFonts w:ascii="宋体" w:eastAsia="宋体" w:hAnsi="宋体" w:cs="宋体"/>
                <w:spacing w:val="-2"/>
                <w:sz w:val="16"/>
                <w:szCs w:val="16"/>
              </w:rPr>
              <w:t>214.2</w:t>
            </w:r>
          </w:p>
        </w:tc>
        <w:tc>
          <w:tcPr>
            <w:tcW w:w="900" w:type="dxa"/>
            <w:tcBorders>
              <w:right w:val="single" w:sz="4" w:space="0" w:color="000000"/>
            </w:tcBorders>
          </w:tcPr>
          <w:p w:rsidR="00EA40A3" w:rsidRDefault="00E86C16">
            <w:pPr>
              <w:spacing w:before="71" w:line="183" w:lineRule="auto"/>
              <w:ind w:left="330"/>
              <w:rPr>
                <w:rFonts w:ascii="宋体" w:eastAsia="宋体" w:hAnsi="宋体" w:cs="宋体"/>
                <w:sz w:val="16"/>
                <w:szCs w:val="16"/>
              </w:rPr>
            </w:pPr>
            <w:r>
              <w:rPr>
                <w:rFonts w:ascii="宋体" w:eastAsia="宋体" w:hAnsi="宋体" w:cs="宋体"/>
                <w:spacing w:val="-2"/>
                <w:sz w:val="16"/>
                <w:szCs w:val="16"/>
              </w:rPr>
              <w:t>51.2</w:t>
            </w:r>
          </w:p>
        </w:tc>
        <w:tc>
          <w:tcPr>
            <w:tcW w:w="313" w:type="dxa"/>
            <w:tcBorders>
              <w:left w:val="single" w:sz="4" w:space="0" w:color="000000"/>
            </w:tcBorders>
          </w:tcPr>
          <w:p w:rsidR="00EA40A3" w:rsidRDefault="00E86C16">
            <w:pPr>
              <w:spacing w:before="61" w:line="183" w:lineRule="auto"/>
              <w:ind w:left="75"/>
              <w:rPr>
                <w:rFonts w:ascii="宋体" w:eastAsia="宋体" w:hAnsi="宋体" w:cs="宋体"/>
                <w:sz w:val="16"/>
                <w:szCs w:val="16"/>
              </w:rPr>
            </w:pPr>
            <w:r>
              <w:rPr>
                <w:rFonts w:ascii="宋体" w:eastAsia="宋体" w:hAnsi="宋体" w:cs="宋体"/>
                <w:spacing w:val="-3"/>
                <w:sz w:val="16"/>
                <w:szCs w:val="16"/>
              </w:rPr>
              <w:t>35</w:t>
            </w:r>
          </w:p>
        </w:tc>
        <w:tc>
          <w:tcPr>
            <w:tcW w:w="485" w:type="dxa"/>
          </w:tcPr>
          <w:p w:rsidR="00EA40A3" w:rsidRDefault="00E86C16">
            <w:pPr>
              <w:spacing w:before="51" w:line="202" w:lineRule="auto"/>
              <w:ind w:left="207"/>
              <w:rPr>
                <w:rFonts w:ascii="宋体" w:eastAsia="宋体" w:hAnsi="宋体" w:cs="宋体"/>
                <w:sz w:val="14"/>
                <w:szCs w:val="14"/>
              </w:rPr>
            </w:pPr>
            <w:r>
              <w:rPr>
                <w:rFonts w:ascii="宋体" w:eastAsia="宋体" w:hAnsi="宋体" w:cs="宋体"/>
                <w:spacing w:val="-1"/>
                <w:sz w:val="14"/>
                <w:szCs w:val="14"/>
              </w:rPr>
              <w:t>152.</w:t>
            </w:r>
          </w:p>
        </w:tc>
        <w:tc>
          <w:tcPr>
            <w:tcW w:w="277" w:type="dxa"/>
          </w:tcPr>
          <w:p w:rsidR="00EA40A3" w:rsidRDefault="00E86C16">
            <w:pPr>
              <w:spacing w:before="52" w:line="182" w:lineRule="auto"/>
              <w:ind w:left="34"/>
              <w:rPr>
                <w:rFonts w:ascii="宋体" w:eastAsia="宋体" w:hAnsi="宋体" w:cs="宋体"/>
                <w:sz w:val="16"/>
                <w:szCs w:val="16"/>
              </w:rPr>
            </w:pPr>
            <w:r>
              <w:rPr>
                <w:rFonts w:ascii="宋体" w:eastAsia="宋体" w:hAnsi="宋体" w:cs="宋体"/>
                <w:sz w:val="16"/>
                <w:szCs w:val="16"/>
              </w:rPr>
              <w:t>7</w:t>
            </w:r>
          </w:p>
        </w:tc>
        <w:tc>
          <w:tcPr>
            <w:tcW w:w="903" w:type="dxa"/>
          </w:tcPr>
          <w:p w:rsidR="00EA40A3" w:rsidRDefault="00E86C16">
            <w:pPr>
              <w:spacing w:before="72" w:line="182" w:lineRule="auto"/>
              <w:ind w:left="335"/>
              <w:rPr>
                <w:rFonts w:ascii="宋体" w:eastAsia="宋体" w:hAnsi="宋体" w:cs="宋体"/>
                <w:sz w:val="16"/>
                <w:szCs w:val="16"/>
              </w:rPr>
            </w:pPr>
            <w:r>
              <w:rPr>
                <w:rFonts w:ascii="宋体" w:eastAsia="宋体" w:hAnsi="宋体" w:cs="宋体"/>
                <w:spacing w:val="-2"/>
                <w:sz w:val="16"/>
                <w:szCs w:val="16"/>
              </w:rPr>
              <w:t>36.5</w:t>
            </w:r>
          </w:p>
        </w:tc>
        <w:tc>
          <w:tcPr>
            <w:tcW w:w="773" w:type="dxa"/>
          </w:tcPr>
          <w:p w:rsidR="00EA40A3" w:rsidRDefault="00E86C16">
            <w:pPr>
              <w:spacing w:before="61" w:line="184" w:lineRule="auto"/>
              <w:ind w:left="202"/>
              <w:rPr>
                <w:rFonts w:ascii="宋体" w:eastAsia="宋体" w:hAnsi="宋体" w:cs="宋体"/>
                <w:sz w:val="16"/>
                <w:szCs w:val="16"/>
              </w:rPr>
            </w:pPr>
            <w:r>
              <w:rPr>
                <w:rFonts w:ascii="宋体" w:eastAsia="宋体" w:hAnsi="宋体" w:cs="宋体"/>
                <w:spacing w:val="-3"/>
                <w:sz w:val="16"/>
                <w:szCs w:val="16"/>
              </w:rPr>
              <w:t>146.9</w:t>
            </w:r>
          </w:p>
        </w:tc>
        <w:tc>
          <w:tcPr>
            <w:tcW w:w="897" w:type="dxa"/>
          </w:tcPr>
          <w:p w:rsidR="00EA40A3" w:rsidRDefault="00E86C16">
            <w:pPr>
              <w:spacing w:before="51" w:line="183" w:lineRule="auto"/>
              <w:ind w:left="289"/>
              <w:rPr>
                <w:rFonts w:ascii="宋体" w:eastAsia="宋体" w:hAnsi="宋体" w:cs="宋体"/>
                <w:sz w:val="16"/>
                <w:szCs w:val="16"/>
              </w:rPr>
            </w:pPr>
            <w:r>
              <w:rPr>
                <w:rFonts w:ascii="宋体" w:eastAsia="宋体" w:hAnsi="宋体" w:cs="宋体"/>
                <w:spacing w:val="-2"/>
                <w:sz w:val="16"/>
                <w:szCs w:val="16"/>
              </w:rPr>
              <w:t>35.0</w:t>
            </w:r>
          </w:p>
        </w:tc>
      </w:tr>
      <w:tr w:rsidR="00EA40A3">
        <w:trPr>
          <w:trHeight w:val="239"/>
        </w:trPr>
        <w:tc>
          <w:tcPr>
            <w:tcW w:w="296" w:type="dxa"/>
          </w:tcPr>
          <w:p w:rsidR="00EA40A3" w:rsidRDefault="00E86C16">
            <w:pPr>
              <w:spacing w:before="52" w:line="182" w:lineRule="auto"/>
              <w:ind w:left="90"/>
              <w:rPr>
                <w:rFonts w:ascii="宋体" w:eastAsia="宋体" w:hAnsi="宋体" w:cs="宋体"/>
                <w:sz w:val="16"/>
                <w:szCs w:val="16"/>
              </w:rPr>
            </w:pPr>
            <w:r>
              <w:rPr>
                <w:rFonts w:ascii="宋体" w:eastAsia="宋体" w:hAnsi="宋体" w:cs="宋体"/>
                <w:sz w:val="16"/>
                <w:szCs w:val="16"/>
              </w:rPr>
              <w:t>5</w:t>
            </w:r>
          </w:p>
        </w:tc>
        <w:tc>
          <w:tcPr>
            <w:tcW w:w="488" w:type="dxa"/>
          </w:tcPr>
          <w:p w:rsidR="00EA40A3" w:rsidRDefault="00E86C16">
            <w:pPr>
              <w:spacing w:before="62" w:line="201" w:lineRule="auto"/>
              <w:ind w:left="204"/>
              <w:rPr>
                <w:rFonts w:ascii="宋体" w:eastAsia="宋体" w:hAnsi="宋体" w:cs="宋体"/>
                <w:sz w:val="14"/>
                <w:szCs w:val="14"/>
              </w:rPr>
            </w:pPr>
            <w:r>
              <w:rPr>
                <w:rFonts w:ascii="宋体" w:eastAsia="宋体" w:hAnsi="宋体" w:cs="宋体"/>
                <w:sz w:val="14"/>
                <w:szCs w:val="14"/>
              </w:rPr>
              <w:t>206.</w:t>
            </w:r>
          </w:p>
        </w:tc>
        <w:tc>
          <w:tcPr>
            <w:tcW w:w="266" w:type="dxa"/>
          </w:tcPr>
          <w:p w:rsidR="00EA40A3" w:rsidRDefault="00E86C16">
            <w:pPr>
              <w:spacing w:before="61" w:line="183" w:lineRule="auto"/>
              <w:ind w:left="37"/>
              <w:rPr>
                <w:rFonts w:ascii="宋体" w:eastAsia="宋体" w:hAnsi="宋体" w:cs="宋体"/>
                <w:sz w:val="16"/>
                <w:szCs w:val="16"/>
              </w:rPr>
            </w:pPr>
            <w:r>
              <w:rPr>
                <w:rFonts w:ascii="宋体" w:eastAsia="宋体" w:hAnsi="宋体" w:cs="宋体"/>
                <w:sz w:val="16"/>
                <w:szCs w:val="16"/>
              </w:rPr>
              <w:t>3</w:t>
            </w:r>
          </w:p>
        </w:tc>
        <w:tc>
          <w:tcPr>
            <w:tcW w:w="914" w:type="dxa"/>
          </w:tcPr>
          <w:p w:rsidR="00EA40A3" w:rsidRDefault="00E86C16">
            <w:pPr>
              <w:spacing w:before="61" w:line="183" w:lineRule="auto"/>
              <w:ind w:left="350"/>
              <w:rPr>
                <w:rFonts w:ascii="宋体" w:eastAsia="宋体" w:hAnsi="宋体" w:cs="宋体"/>
                <w:sz w:val="16"/>
                <w:szCs w:val="16"/>
              </w:rPr>
            </w:pPr>
            <w:r>
              <w:rPr>
                <w:rFonts w:ascii="宋体" w:eastAsia="宋体" w:hAnsi="宋体" w:cs="宋体"/>
                <w:spacing w:val="-2"/>
                <w:sz w:val="16"/>
                <w:szCs w:val="16"/>
              </w:rPr>
              <w:t>49.3</w:t>
            </w:r>
          </w:p>
        </w:tc>
        <w:tc>
          <w:tcPr>
            <w:tcW w:w="756" w:type="dxa"/>
          </w:tcPr>
          <w:p w:rsidR="00EA40A3" w:rsidRDefault="00E86C16">
            <w:pPr>
              <w:spacing w:before="51" w:line="183" w:lineRule="auto"/>
              <w:ind w:left="196"/>
              <w:rPr>
                <w:rFonts w:ascii="宋体" w:eastAsia="宋体" w:hAnsi="宋体" w:cs="宋体"/>
                <w:sz w:val="16"/>
                <w:szCs w:val="16"/>
              </w:rPr>
            </w:pPr>
            <w:r>
              <w:rPr>
                <w:rFonts w:ascii="宋体" w:eastAsia="宋体" w:hAnsi="宋体" w:cs="宋体"/>
                <w:spacing w:val="-2"/>
                <w:sz w:val="16"/>
                <w:szCs w:val="16"/>
              </w:rPr>
              <w:t>202.5</w:t>
            </w:r>
          </w:p>
        </w:tc>
        <w:tc>
          <w:tcPr>
            <w:tcW w:w="900" w:type="dxa"/>
            <w:tcBorders>
              <w:right w:val="single" w:sz="4" w:space="0" w:color="000000"/>
            </w:tcBorders>
          </w:tcPr>
          <w:p w:rsidR="00EA40A3" w:rsidRDefault="00E86C16">
            <w:pPr>
              <w:spacing w:before="61" w:line="183" w:lineRule="auto"/>
              <w:ind w:left="330"/>
              <w:rPr>
                <w:rFonts w:ascii="宋体" w:eastAsia="宋体" w:hAnsi="宋体" w:cs="宋体"/>
                <w:sz w:val="16"/>
                <w:szCs w:val="16"/>
              </w:rPr>
            </w:pPr>
            <w:r>
              <w:rPr>
                <w:rFonts w:ascii="宋体" w:eastAsia="宋体" w:hAnsi="宋体" w:cs="宋体"/>
                <w:spacing w:val="-2"/>
                <w:sz w:val="16"/>
                <w:szCs w:val="16"/>
              </w:rPr>
              <w:t>48.4</w:t>
            </w:r>
          </w:p>
        </w:tc>
        <w:tc>
          <w:tcPr>
            <w:tcW w:w="313" w:type="dxa"/>
            <w:tcBorders>
              <w:left w:val="single" w:sz="4" w:space="0" w:color="000000"/>
            </w:tcBorders>
          </w:tcPr>
          <w:p w:rsidR="00EA40A3" w:rsidRDefault="00E86C16">
            <w:pPr>
              <w:spacing w:before="61" w:line="183" w:lineRule="auto"/>
              <w:ind w:left="85"/>
              <w:rPr>
                <w:rFonts w:ascii="宋体" w:eastAsia="宋体" w:hAnsi="宋体" w:cs="宋体"/>
                <w:sz w:val="16"/>
                <w:szCs w:val="16"/>
              </w:rPr>
            </w:pPr>
            <w:r>
              <w:rPr>
                <w:rFonts w:ascii="宋体" w:eastAsia="宋体" w:hAnsi="宋体" w:cs="宋体"/>
                <w:spacing w:val="-2"/>
                <w:sz w:val="16"/>
                <w:szCs w:val="16"/>
              </w:rPr>
              <w:t>40</w:t>
            </w:r>
          </w:p>
        </w:tc>
        <w:tc>
          <w:tcPr>
            <w:tcW w:w="485" w:type="dxa"/>
          </w:tcPr>
          <w:p w:rsidR="00EA40A3" w:rsidRDefault="00E86C16">
            <w:pPr>
              <w:spacing w:before="61" w:line="202" w:lineRule="auto"/>
              <w:ind w:left="207"/>
              <w:rPr>
                <w:rFonts w:ascii="宋体" w:eastAsia="宋体" w:hAnsi="宋体" w:cs="宋体"/>
                <w:sz w:val="14"/>
                <w:szCs w:val="14"/>
              </w:rPr>
            </w:pPr>
            <w:r>
              <w:rPr>
                <w:rFonts w:ascii="宋体" w:eastAsia="宋体" w:hAnsi="宋体" w:cs="宋体"/>
                <w:spacing w:val="-1"/>
                <w:sz w:val="14"/>
                <w:szCs w:val="14"/>
              </w:rPr>
              <w:t>151.</w:t>
            </w:r>
          </w:p>
        </w:tc>
        <w:tc>
          <w:tcPr>
            <w:tcW w:w="277" w:type="dxa"/>
          </w:tcPr>
          <w:p w:rsidR="00EA40A3" w:rsidRDefault="00E86C16">
            <w:pPr>
              <w:spacing w:before="61" w:line="183" w:lineRule="auto"/>
              <w:ind w:left="30"/>
              <w:rPr>
                <w:rFonts w:ascii="宋体" w:eastAsia="宋体" w:hAnsi="宋体" w:cs="宋体"/>
                <w:sz w:val="16"/>
                <w:szCs w:val="16"/>
              </w:rPr>
            </w:pPr>
            <w:r>
              <w:rPr>
                <w:rFonts w:ascii="宋体" w:eastAsia="宋体" w:hAnsi="宋体" w:cs="宋体"/>
                <w:sz w:val="16"/>
                <w:szCs w:val="16"/>
              </w:rPr>
              <w:t>9</w:t>
            </w:r>
          </w:p>
        </w:tc>
        <w:tc>
          <w:tcPr>
            <w:tcW w:w="903" w:type="dxa"/>
          </w:tcPr>
          <w:p w:rsidR="00EA40A3" w:rsidRDefault="00E86C16">
            <w:pPr>
              <w:spacing w:before="61" w:line="183" w:lineRule="auto"/>
              <w:ind w:left="325"/>
              <w:rPr>
                <w:rFonts w:ascii="宋体" w:eastAsia="宋体" w:hAnsi="宋体" w:cs="宋体"/>
                <w:sz w:val="16"/>
                <w:szCs w:val="16"/>
              </w:rPr>
            </w:pPr>
            <w:r>
              <w:rPr>
                <w:rFonts w:ascii="宋体" w:eastAsia="宋体" w:hAnsi="宋体" w:cs="宋体"/>
                <w:spacing w:val="-2"/>
                <w:sz w:val="16"/>
                <w:szCs w:val="16"/>
              </w:rPr>
              <w:t>36.3</w:t>
            </w:r>
          </w:p>
        </w:tc>
        <w:tc>
          <w:tcPr>
            <w:tcW w:w="773" w:type="dxa"/>
          </w:tcPr>
          <w:p w:rsidR="00EA40A3" w:rsidRDefault="00E86C16">
            <w:pPr>
              <w:spacing w:before="81" w:line="182" w:lineRule="auto"/>
              <w:ind w:left="222"/>
              <w:rPr>
                <w:rFonts w:ascii="宋体" w:eastAsia="宋体" w:hAnsi="宋体" w:cs="宋体"/>
                <w:sz w:val="16"/>
                <w:szCs w:val="16"/>
              </w:rPr>
            </w:pPr>
            <w:r>
              <w:rPr>
                <w:rFonts w:ascii="宋体" w:eastAsia="宋体" w:hAnsi="宋体" w:cs="宋体"/>
                <w:spacing w:val="-3"/>
                <w:sz w:val="16"/>
                <w:szCs w:val="16"/>
              </w:rPr>
              <w:t>146.0</w:t>
            </w:r>
          </w:p>
        </w:tc>
        <w:tc>
          <w:tcPr>
            <w:tcW w:w="897" w:type="dxa"/>
          </w:tcPr>
          <w:p w:rsidR="00EA40A3" w:rsidRDefault="00E86C16">
            <w:pPr>
              <w:spacing w:before="82" w:line="181" w:lineRule="auto"/>
              <w:ind w:left="309"/>
              <w:rPr>
                <w:rFonts w:ascii="宋体" w:eastAsia="宋体" w:hAnsi="宋体" w:cs="宋体"/>
                <w:sz w:val="16"/>
                <w:szCs w:val="16"/>
              </w:rPr>
            </w:pPr>
            <w:r>
              <w:rPr>
                <w:rFonts w:ascii="宋体" w:eastAsia="宋体" w:hAnsi="宋体" w:cs="宋体"/>
                <w:spacing w:val="-2"/>
                <w:sz w:val="16"/>
                <w:szCs w:val="16"/>
              </w:rPr>
              <w:t>34.9</w:t>
            </w:r>
          </w:p>
        </w:tc>
      </w:tr>
      <w:tr w:rsidR="00EA40A3">
        <w:trPr>
          <w:trHeight w:val="220"/>
        </w:trPr>
        <w:tc>
          <w:tcPr>
            <w:tcW w:w="296" w:type="dxa"/>
          </w:tcPr>
          <w:p w:rsidR="00EA40A3" w:rsidRDefault="00E86C16">
            <w:pPr>
              <w:spacing w:before="53" w:line="182" w:lineRule="auto"/>
              <w:ind w:left="90"/>
              <w:rPr>
                <w:rFonts w:ascii="宋体" w:eastAsia="宋体" w:hAnsi="宋体" w:cs="宋体"/>
                <w:sz w:val="16"/>
                <w:szCs w:val="16"/>
              </w:rPr>
            </w:pPr>
            <w:r>
              <w:rPr>
                <w:rFonts w:ascii="宋体" w:eastAsia="宋体" w:hAnsi="宋体" w:cs="宋体"/>
                <w:sz w:val="16"/>
                <w:szCs w:val="16"/>
              </w:rPr>
              <w:t>7</w:t>
            </w:r>
          </w:p>
        </w:tc>
        <w:tc>
          <w:tcPr>
            <w:tcW w:w="488" w:type="dxa"/>
          </w:tcPr>
          <w:p w:rsidR="00EA40A3" w:rsidRDefault="00E86C16">
            <w:pPr>
              <w:spacing w:before="52" w:line="192" w:lineRule="auto"/>
              <w:ind w:left="204"/>
              <w:rPr>
                <w:rFonts w:ascii="宋体" w:eastAsia="宋体" w:hAnsi="宋体" w:cs="宋体"/>
                <w:sz w:val="15"/>
                <w:szCs w:val="15"/>
              </w:rPr>
            </w:pPr>
            <w:r>
              <w:rPr>
                <w:rFonts w:ascii="宋体" w:eastAsia="宋体" w:hAnsi="宋体" w:cs="宋体"/>
                <w:spacing w:val="-5"/>
                <w:sz w:val="15"/>
                <w:szCs w:val="15"/>
              </w:rPr>
              <w:t>197.</w:t>
            </w:r>
          </w:p>
        </w:tc>
        <w:tc>
          <w:tcPr>
            <w:tcW w:w="266" w:type="dxa"/>
          </w:tcPr>
          <w:p w:rsidR="00EA40A3" w:rsidRDefault="00E86C16">
            <w:pPr>
              <w:spacing w:before="52" w:line="183" w:lineRule="auto"/>
              <w:ind w:left="24"/>
              <w:rPr>
                <w:rFonts w:ascii="宋体" w:eastAsia="宋体" w:hAnsi="宋体" w:cs="宋体"/>
                <w:sz w:val="16"/>
                <w:szCs w:val="16"/>
              </w:rPr>
            </w:pPr>
            <w:r>
              <w:rPr>
                <w:rFonts w:ascii="宋体" w:eastAsia="宋体" w:hAnsi="宋体" w:cs="宋体"/>
                <w:sz w:val="16"/>
                <w:szCs w:val="16"/>
              </w:rPr>
              <w:t>9</w:t>
            </w:r>
          </w:p>
        </w:tc>
        <w:tc>
          <w:tcPr>
            <w:tcW w:w="914" w:type="dxa"/>
          </w:tcPr>
          <w:p w:rsidR="00EA40A3" w:rsidRDefault="00E86C16">
            <w:pPr>
              <w:spacing w:before="63" w:line="181" w:lineRule="auto"/>
              <w:ind w:left="350"/>
              <w:rPr>
                <w:rFonts w:ascii="宋体" w:eastAsia="宋体" w:hAnsi="宋体" w:cs="宋体"/>
                <w:sz w:val="16"/>
                <w:szCs w:val="16"/>
              </w:rPr>
            </w:pPr>
            <w:r>
              <w:rPr>
                <w:rFonts w:ascii="宋体" w:eastAsia="宋体" w:hAnsi="宋体" w:cs="宋体"/>
                <w:spacing w:val="-2"/>
                <w:sz w:val="16"/>
                <w:szCs w:val="16"/>
              </w:rPr>
              <w:t>47.3</w:t>
            </w:r>
          </w:p>
        </w:tc>
        <w:tc>
          <w:tcPr>
            <w:tcW w:w="756" w:type="dxa"/>
          </w:tcPr>
          <w:p w:rsidR="00EA40A3" w:rsidRDefault="00E86C16">
            <w:pPr>
              <w:spacing w:before="53" w:line="183" w:lineRule="auto"/>
              <w:ind w:left="206"/>
              <w:rPr>
                <w:rFonts w:ascii="宋体" w:eastAsia="宋体" w:hAnsi="宋体" w:cs="宋体"/>
                <w:sz w:val="16"/>
                <w:szCs w:val="16"/>
              </w:rPr>
            </w:pPr>
            <w:r>
              <w:rPr>
                <w:rFonts w:ascii="宋体" w:eastAsia="宋体" w:hAnsi="宋体" w:cs="宋体"/>
                <w:spacing w:val="-2"/>
                <w:sz w:val="16"/>
                <w:szCs w:val="16"/>
              </w:rPr>
              <w:t>200.0</w:t>
            </w:r>
          </w:p>
        </w:tc>
        <w:tc>
          <w:tcPr>
            <w:tcW w:w="900" w:type="dxa"/>
            <w:tcBorders>
              <w:right w:val="single" w:sz="4" w:space="0" w:color="000000"/>
            </w:tcBorders>
          </w:tcPr>
          <w:p w:rsidR="00EA40A3" w:rsidRDefault="00E86C16">
            <w:pPr>
              <w:spacing w:before="53" w:line="183" w:lineRule="auto"/>
              <w:ind w:left="330"/>
              <w:rPr>
                <w:rFonts w:ascii="宋体" w:eastAsia="宋体" w:hAnsi="宋体" w:cs="宋体"/>
                <w:sz w:val="16"/>
                <w:szCs w:val="16"/>
              </w:rPr>
            </w:pPr>
            <w:r>
              <w:rPr>
                <w:rFonts w:ascii="宋体" w:eastAsia="宋体" w:hAnsi="宋体" w:cs="宋体"/>
                <w:spacing w:val="-2"/>
                <w:sz w:val="16"/>
                <w:szCs w:val="16"/>
              </w:rPr>
              <w:t>45.4</w:t>
            </w:r>
          </w:p>
        </w:tc>
        <w:tc>
          <w:tcPr>
            <w:tcW w:w="313" w:type="dxa"/>
            <w:tcBorders>
              <w:left w:val="single" w:sz="4" w:space="0" w:color="000000"/>
            </w:tcBorders>
          </w:tcPr>
          <w:p w:rsidR="00EA40A3" w:rsidRDefault="00E86C16">
            <w:pPr>
              <w:spacing w:before="52" w:line="183" w:lineRule="auto"/>
              <w:ind w:left="85"/>
              <w:rPr>
                <w:rFonts w:ascii="宋体" w:eastAsia="宋体" w:hAnsi="宋体" w:cs="宋体"/>
                <w:sz w:val="16"/>
                <w:szCs w:val="16"/>
              </w:rPr>
            </w:pPr>
            <w:r>
              <w:rPr>
                <w:rFonts w:ascii="宋体" w:eastAsia="宋体" w:hAnsi="宋体" w:cs="宋体"/>
                <w:spacing w:val="-2"/>
                <w:sz w:val="16"/>
                <w:szCs w:val="16"/>
              </w:rPr>
              <w:t>45</w:t>
            </w:r>
          </w:p>
        </w:tc>
        <w:tc>
          <w:tcPr>
            <w:tcW w:w="485" w:type="dxa"/>
          </w:tcPr>
          <w:p w:rsidR="00EA40A3" w:rsidRDefault="00E86C16">
            <w:pPr>
              <w:spacing w:before="52" w:line="202" w:lineRule="auto"/>
              <w:ind w:left="207"/>
              <w:rPr>
                <w:rFonts w:ascii="宋体" w:eastAsia="宋体" w:hAnsi="宋体" w:cs="宋体"/>
                <w:sz w:val="14"/>
                <w:szCs w:val="14"/>
              </w:rPr>
            </w:pPr>
            <w:r>
              <w:rPr>
                <w:rFonts w:ascii="宋体" w:eastAsia="宋体" w:hAnsi="宋体" w:cs="宋体"/>
                <w:spacing w:val="-1"/>
                <w:sz w:val="14"/>
                <w:szCs w:val="14"/>
              </w:rPr>
              <w:t>151.</w:t>
            </w:r>
          </w:p>
        </w:tc>
        <w:tc>
          <w:tcPr>
            <w:tcW w:w="277" w:type="dxa"/>
          </w:tcPr>
          <w:p w:rsidR="00EA40A3" w:rsidRDefault="00E86C16">
            <w:pPr>
              <w:spacing w:before="53" w:line="182" w:lineRule="auto"/>
              <w:ind w:left="33"/>
              <w:rPr>
                <w:rFonts w:ascii="宋体" w:eastAsia="宋体" w:hAnsi="宋体" w:cs="宋体"/>
                <w:sz w:val="16"/>
                <w:szCs w:val="16"/>
              </w:rPr>
            </w:pPr>
            <w:r>
              <w:rPr>
                <w:rFonts w:ascii="宋体" w:eastAsia="宋体" w:hAnsi="宋体" w:cs="宋体"/>
                <w:sz w:val="16"/>
                <w:szCs w:val="16"/>
              </w:rPr>
              <w:t>5</w:t>
            </w:r>
          </w:p>
        </w:tc>
        <w:tc>
          <w:tcPr>
            <w:tcW w:w="903" w:type="dxa"/>
          </w:tcPr>
          <w:p w:rsidR="00EA40A3" w:rsidRDefault="00E86C16">
            <w:pPr>
              <w:spacing w:before="63" w:line="181" w:lineRule="auto"/>
              <w:ind w:left="335"/>
              <w:rPr>
                <w:rFonts w:ascii="宋体" w:eastAsia="宋体" w:hAnsi="宋体" w:cs="宋体"/>
                <w:sz w:val="16"/>
                <w:szCs w:val="16"/>
              </w:rPr>
            </w:pPr>
            <w:r>
              <w:rPr>
                <w:rFonts w:ascii="宋体" w:eastAsia="宋体" w:hAnsi="宋体" w:cs="宋体"/>
                <w:spacing w:val="-2"/>
                <w:sz w:val="16"/>
                <w:szCs w:val="16"/>
              </w:rPr>
              <w:t>36.2</w:t>
            </w:r>
          </w:p>
        </w:tc>
        <w:tc>
          <w:tcPr>
            <w:tcW w:w="773" w:type="dxa"/>
          </w:tcPr>
          <w:p w:rsidR="00EA40A3" w:rsidRDefault="00E86C16">
            <w:pPr>
              <w:spacing w:before="52" w:line="184" w:lineRule="auto"/>
              <w:ind w:left="222"/>
              <w:rPr>
                <w:rFonts w:ascii="宋体" w:eastAsia="宋体" w:hAnsi="宋体" w:cs="宋体"/>
                <w:sz w:val="16"/>
                <w:szCs w:val="16"/>
              </w:rPr>
            </w:pPr>
            <w:r>
              <w:rPr>
                <w:rFonts w:ascii="宋体" w:eastAsia="宋体" w:hAnsi="宋体" w:cs="宋体"/>
                <w:spacing w:val="-3"/>
                <w:sz w:val="16"/>
                <w:szCs w:val="16"/>
              </w:rPr>
              <w:t>144.3</w:t>
            </w:r>
          </w:p>
        </w:tc>
        <w:tc>
          <w:tcPr>
            <w:tcW w:w="897" w:type="dxa"/>
          </w:tcPr>
          <w:p w:rsidR="00EA40A3" w:rsidRDefault="00E86C16">
            <w:pPr>
              <w:spacing w:before="53" w:line="183" w:lineRule="auto"/>
              <w:ind w:left="309"/>
              <w:rPr>
                <w:rFonts w:ascii="宋体" w:eastAsia="宋体" w:hAnsi="宋体" w:cs="宋体"/>
                <w:sz w:val="16"/>
                <w:szCs w:val="16"/>
              </w:rPr>
            </w:pPr>
            <w:r>
              <w:rPr>
                <w:rFonts w:ascii="宋体" w:eastAsia="宋体" w:hAnsi="宋体" w:cs="宋体"/>
                <w:spacing w:val="-2"/>
                <w:sz w:val="16"/>
                <w:szCs w:val="16"/>
              </w:rPr>
              <w:t>34.5</w:t>
            </w:r>
          </w:p>
        </w:tc>
      </w:tr>
      <w:tr w:rsidR="00EA40A3">
        <w:trPr>
          <w:trHeight w:val="234"/>
        </w:trPr>
        <w:tc>
          <w:tcPr>
            <w:tcW w:w="296" w:type="dxa"/>
          </w:tcPr>
          <w:p w:rsidR="00EA40A3" w:rsidRDefault="00E86C16">
            <w:pPr>
              <w:spacing w:before="52" w:line="183" w:lineRule="auto"/>
              <w:ind w:left="100"/>
              <w:rPr>
                <w:rFonts w:ascii="宋体" w:eastAsia="宋体" w:hAnsi="宋体" w:cs="宋体"/>
                <w:sz w:val="16"/>
                <w:szCs w:val="16"/>
              </w:rPr>
            </w:pPr>
            <w:r>
              <w:rPr>
                <w:rFonts w:ascii="宋体" w:eastAsia="宋体" w:hAnsi="宋体" w:cs="宋体"/>
                <w:sz w:val="16"/>
                <w:szCs w:val="16"/>
              </w:rPr>
              <w:t>9</w:t>
            </w:r>
          </w:p>
        </w:tc>
        <w:tc>
          <w:tcPr>
            <w:tcW w:w="488" w:type="dxa"/>
          </w:tcPr>
          <w:p w:rsidR="00EA40A3" w:rsidRDefault="00E86C16">
            <w:pPr>
              <w:spacing w:before="62" w:line="192" w:lineRule="auto"/>
              <w:ind w:left="204"/>
              <w:rPr>
                <w:rFonts w:ascii="宋体" w:eastAsia="宋体" w:hAnsi="宋体" w:cs="宋体"/>
                <w:sz w:val="15"/>
                <w:szCs w:val="15"/>
              </w:rPr>
            </w:pPr>
            <w:r>
              <w:rPr>
                <w:rFonts w:ascii="宋体" w:eastAsia="宋体" w:hAnsi="宋体" w:cs="宋体"/>
                <w:spacing w:val="-5"/>
                <w:sz w:val="15"/>
                <w:szCs w:val="15"/>
              </w:rPr>
              <w:t>189.</w:t>
            </w:r>
          </w:p>
        </w:tc>
        <w:tc>
          <w:tcPr>
            <w:tcW w:w="266" w:type="dxa"/>
          </w:tcPr>
          <w:p w:rsidR="00EA40A3" w:rsidRDefault="00E86C16">
            <w:pPr>
              <w:spacing w:before="62" w:line="184" w:lineRule="auto"/>
              <w:ind w:left="36"/>
              <w:rPr>
                <w:rFonts w:ascii="宋体" w:eastAsia="宋体" w:hAnsi="宋体" w:cs="宋体"/>
                <w:sz w:val="16"/>
                <w:szCs w:val="16"/>
              </w:rPr>
            </w:pPr>
            <w:r>
              <w:rPr>
                <w:rFonts w:ascii="宋体" w:eastAsia="宋体" w:hAnsi="宋体" w:cs="宋体"/>
                <w:sz w:val="16"/>
                <w:szCs w:val="16"/>
              </w:rPr>
              <w:t>1</w:t>
            </w:r>
          </w:p>
        </w:tc>
        <w:tc>
          <w:tcPr>
            <w:tcW w:w="914" w:type="dxa"/>
          </w:tcPr>
          <w:p w:rsidR="00EA40A3" w:rsidRDefault="00E86C16">
            <w:pPr>
              <w:spacing w:before="72" w:line="183" w:lineRule="auto"/>
              <w:ind w:left="350"/>
              <w:rPr>
                <w:rFonts w:ascii="宋体" w:eastAsia="宋体" w:hAnsi="宋体" w:cs="宋体"/>
                <w:sz w:val="16"/>
                <w:szCs w:val="16"/>
              </w:rPr>
            </w:pPr>
            <w:r>
              <w:rPr>
                <w:rFonts w:ascii="宋体" w:eastAsia="宋体" w:hAnsi="宋体" w:cs="宋体"/>
                <w:spacing w:val="-2"/>
                <w:sz w:val="16"/>
                <w:szCs w:val="16"/>
              </w:rPr>
              <w:t>45.2</w:t>
            </w:r>
          </w:p>
        </w:tc>
        <w:tc>
          <w:tcPr>
            <w:tcW w:w="756" w:type="dxa"/>
          </w:tcPr>
          <w:p w:rsidR="00EA40A3" w:rsidRDefault="00E86C16">
            <w:pPr>
              <w:spacing w:before="82" w:line="175" w:lineRule="auto"/>
              <w:ind w:left="236"/>
              <w:rPr>
                <w:rFonts w:ascii="宋体" w:eastAsia="宋体" w:hAnsi="宋体" w:cs="宋体"/>
                <w:sz w:val="16"/>
                <w:szCs w:val="16"/>
              </w:rPr>
            </w:pPr>
            <w:r>
              <w:rPr>
                <w:rFonts w:ascii="宋体" w:eastAsia="宋体" w:hAnsi="宋体" w:cs="宋体"/>
                <w:spacing w:val="-3"/>
                <w:sz w:val="16"/>
                <w:szCs w:val="16"/>
              </w:rPr>
              <w:t>179.3</w:t>
            </w:r>
          </w:p>
        </w:tc>
        <w:tc>
          <w:tcPr>
            <w:tcW w:w="900" w:type="dxa"/>
            <w:tcBorders>
              <w:right w:val="single" w:sz="4" w:space="0" w:color="000000"/>
            </w:tcBorders>
          </w:tcPr>
          <w:p w:rsidR="00EA40A3" w:rsidRDefault="00E86C16">
            <w:pPr>
              <w:spacing w:before="83" w:line="174" w:lineRule="auto"/>
              <w:ind w:left="330"/>
              <w:rPr>
                <w:rFonts w:ascii="宋体" w:eastAsia="宋体" w:hAnsi="宋体" w:cs="宋体"/>
                <w:sz w:val="16"/>
                <w:szCs w:val="16"/>
              </w:rPr>
            </w:pPr>
            <w:r>
              <w:rPr>
                <w:rFonts w:ascii="宋体" w:eastAsia="宋体" w:hAnsi="宋体" w:cs="宋体"/>
                <w:spacing w:val="-2"/>
                <w:sz w:val="16"/>
                <w:szCs w:val="16"/>
              </w:rPr>
              <w:t>42.8</w:t>
            </w:r>
          </w:p>
        </w:tc>
        <w:tc>
          <w:tcPr>
            <w:tcW w:w="313" w:type="dxa"/>
            <w:tcBorders>
              <w:left w:val="single" w:sz="4" w:space="0" w:color="000000"/>
            </w:tcBorders>
          </w:tcPr>
          <w:p w:rsidR="00EA40A3" w:rsidRDefault="00E86C16">
            <w:pPr>
              <w:spacing w:before="72" w:line="183" w:lineRule="auto"/>
              <w:ind w:left="75"/>
              <w:rPr>
                <w:rFonts w:ascii="宋体" w:eastAsia="宋体" w:hAnsi="宋体" w:cs="宋体"/>
                <w:sz w:val="16"/>
                <w:szCs w:val="16"/>
              </w:rPr>
            </w:pPr>
            <w:r>
              <w:rPr>
                <w:rFonts w:ascii="宋体" w:eastAsia="宋体" w:hAnsi="宋体" w:cs="宋体"/>
                <w:spacing w:val="-3"/>
                <w:sz w:val="16"/>
                <w:szCs w:val="16"/>
              </w:rPr>
              <w:t>50</w:t>
            </w:r>
          </w:p>
        </w:tc>
        <w:tc>
          <w:tcPr>
            <w:tcW w:w="485" w:type="dxa"/>
          </w:tcPr>
          <w:p w:rsidR="00EA40A3" w:rsidRDefault="00E86C16">
            <w:pPr>
              <w:spacing w:before="72" w:line="202" w:lineRule="auto"/>
              <w:ind w:left="207"/>
              <w:rPr>
                <w:rFonts w:ascii="宋体" w:eastAsia="宋体" w:hAnsi="宋体" w:cs="宋体"/>
                <w:sz w:val="14"/>
                <w:szCs w:val="14"/>
              </w:rPr>
            </w:pPr>
            <w:r>
              <w:rPr>
                <w:rFonts w:ascii="宋体" w:eastAsia="宋体" w:hAnsi="宋体" w:cs="宋体"/>
                <w:spacing w:val="-1"/>
                <w:sz w:val="14"/>
                <w:szCs w:val="14"/>
              </w:rPr>
              <w:t>149.</w:t>
            </w:r>
          </w:p>
        </w:tc>
        <w:tc>
          <w:tcPr>
            <w:tcW w:w="277" w:type="dxa"/>
          </w:tcPr>
          <w:p w:rsidR="00EA40A3" w:rsidRDefault="00E86C16">
            <w:pPr>
              <w:spacing w:before="72" w:line="183" w:lineRule="auto"/>
              <w:ind w:left="30"/>
              <w:rPr>
                <w:rFonts w:ascii="宋体" w:eastAsia="宋体" w:hAnsi="宋体" w:cs="宋体"/>
                <w:sz w:val="16"/>
                <w:szCs w:val="16"/>
              </w:rPr>
            </w:pPr>
            <w:r>
              <w:rPr>
                <w:rFonts w:ascii="宋体" w:eastAsia="宋体" w:hAnsi="宋体" w:cs="宋体"/>
                <w:sz w:val="16"/>
                <w:szCs w:val="16"/>
              </w:rPr>
              <w:t>8</w:t>
            </w:r>
          </w:p>
        </w:tc>
        <w:tc>
          <w:tcPr>
            <w:tcW w:w="903" w:type="dxa"/>
          </w:tcPr>
          <w:p w:rsidR="00EA40A3" w:rsidRDefault="00E86C16">
            <w:pPr>
              <w:spacing w:before="83" w:line="174" w:lineRule="auto"/>
              <w:ind w:left="335"/>
              <w:rPr>
                <w:rFonts w:ascii="宋体" w:eastAsia="宋体" w:hAnsi="宋体" w:cs="宋体"/>
                <w:sz w:val="16"/>
                <w:szCs w:val="16"/>
              </w:rPr>
            </w:pPr>
            <w:r>
              <w:rPr>
                <w:rFonts w:ascii="宋体" w:eastAsia="宋体" w:hAnsi="宋体" w:cs="宋体"/>
                <w:spacing w:val="-2"/>
                <w:sz w:val="16"/>
                <w:szCs w:val="16"/>
              </w:rPr>
              <w:t>35.8</w:t>
            </w:r>
          </w:p>
        </w:tc>
        <w:tc>
          <w:tcPr>
            <w:tcW w:w="773" w:type="dxa"/>
          </w:tcPr>
          <w:p w:rsidR="00EA40A3" w:rsidRDefault="00E86C16">
            <w:pPr>
              <w:spacing w:before="72" w:line="184" w:lineRule="auto"/>
              <w:ind w:left="212"/>
              <w:rPr>
                <w:rFonts w:ascii="宋体" w:eastAsia="宋体" w:hAnsi="宋体" w:cs="宋体"/>
                <w:sz w:val="16"/>
                <w:szCs w:val="16"/>
              </w:rPr>
            </w:pPr>
            <w:r>
              <w:rPr>
                <w:rFonts w:ascii="宋体" w:eastAsia="宋体" w:hAnsi="宋体" w:cs="宋体"/>
                <w:spacing w:val="-3"/>
                <w:sz w:val="16"/>
                <w:szCs w:val="16"/>
              </w:rPr>
              <w:t>139.7</w:t>
            </w:r>
          </w:p>
        </w:tc>
        <w:tc>
          <w:tcPr>
            <w:tcW w:w="897" w:type="dxa"/>
          </w:tcPr>
          <w:p w:rsidR="00EA40A3" w:rsidRDefault="00E86C16">
            <w:pPr>
              <w:spacing w:before="62" w:line="183" w:lineRule="auto"/>
              <w:ind w:left="289"/>
              <w:rPr>
                <w:rFonts w:ascii="宋体" w:eastAsia="宋体" w:hAnsi="宋体" w:cs="宋体"/>
                <w:sz w:val="16"/>
                <w:szCs w:val="16"/>
              </w:rPr>
            </w:pPr>
            <w:r>
              <w:rPr>
                <w:rFonts w:ascii="宋体" w:eastAsia="宋体" w:hAnsi="宋体" w:cs="宋体"/>
                <w:spacing w:val="-2"/>
                <w:sz w:val="16"/>
                <w:szCs w:val="16"/>
              </w:rPr>
              <w:t>33.9</w:t>
            </w:r>
          </w:p>
        </w:tc>
      </w:tr>
      <w:tr w:rsidR="00EA40A3">
        <w:trPr>
          <w:trHeight w:val="239"/>
        </w:trPr>
        <w:tc>
          <w:tcPr>
            <w:tcW w:w="296" w:type="dxa"/>
          </w:tcPr>
          <w:p w:rsidR="00EA40A3" w:rsidRDefault="00E86C16">
            <w:pPr>
              <w:spacing w:before="48" w:line="184" w:lineRule="auto"/>
              <w:ind w:left="80"/>
              <w:rPr>
                <w:rFonts w:ascii="宋体" w:eastAsia="宋体" w:hAnsi="宋体" w:cs="宋体"/>
                <w:sz w:val="16"/>
                <w:szCs w:val="16"/>
              </w:rPr>
            </w:pPr>
            <w:r>
              <w:rPr>
                <w:rFonts w:ascii="宋体" w:eastAsia="宋体" w:hAnsi="宋体" w:cs="宋体"/>
                <w:spacing w:val="-5"/>
                <w:sz w:val="16"/>
                <w:szCs w:val="16"/>
              </w:rPr>
              <w:t>11</w:t>
            </w:r>
          </w:p>
        </w:tc>
        <w:tc>
          <w:tcPr>
            <w:tcW w:w="488" w:type="dxa"/>
          </w:tcPr>
          <w:p w:rsidR="00EA40A3" w:rsidRDefault="00E86C16">
            <w:pPr>
              <w:spacing w:before="58" w:line="192" w:lineRule="auto"/>
              <w:ind w:left="204"/>
              <w:rPr>
                <w:rFonts w:ascii="宋体" w:eastAsia="宋体" w:hAnsi="宋体" w:cs="宋体"/>
                <w:sz w:val="15"/>
                <w:szCs w:val="15"/>
              </w:rPr>
            </w:pPr>
            <w:r>
              <w:rPr>
                <w:rFonts w:ascii="宋体" w:eastAsia="宋体" w:hAnsi="宋体" w:cs="宋体"/>
                <w:spacing w:val="-5"/>
                <w:sz w:val="15"/>
                <w:szCs w:val="15"/>
              </w:rPr>
              <w:t>179.</w:t>
            </w:r>
          </w:p>
        </w:tc>
        <w:tc>
          <w:tcPr>
            <w:tcW w:w="266" w:type="dxa"/>
          </w:tcPr>
          <w:p w:rsidR="00EA40A3" w:rsidRDefault="00E86C16">
            <w:pPr>
              <w:spacing w:before="58" w:line="183" w:lineRule="auto"/>
              <w:ind w:left="24"/>
              <w:rPr>
                <w:rFonts w:ascii="宋体" w:eastAsia="宋体" w:hAnsi="宋体" w:cs="宋体"/>
                <w:sz w:val="16"/>
                <w:szCs w:val="16"/>
              </w:rPr>
            </w:pPr>
            <w:r>
              <w:rPr>
                <w:rFonts w:ascii="宋体" w:eastAsia="宋体" w:hAnsi="宋体" w:cs="宋体"/>
                <w:sz w:val="16"/>
                <w:szCs w:val="16"/>
              </w:rPr>
              <w:t>9</w:t>
            </w:r>
          </w:p>
        </w:tc>
        <w:tc>
          <w:tcPr>
            <w:tcW w:w="914" w:type="dxa"/>
          </w:tcPr>
          <w:p w:rsidR="00EA40A3" w:rsidRDefault="00E86C16">
            <w:pPr>
              <w:spacing w:before="69" w:line="183" w:lineRule="auto"/>
              <w:ind w:left="340"/>
              <w:rPr>
                <w:rFonts w:ascii="宋体" w:eastAsia="宋体" w:hAnsi="宋体" w:cs="宋体"/>
                <w:sz w:val="16"/>
                <w:szCs w:val="16"/>
              </w:rPr>
            </w:pPr>
            <w:r>
              <w:rPr>
                <w:rFonts w:ascii="宋体" w:eastAsia="宋体" w:hAnsi="宋体" w:cs="宋体"/>
                <w:spacing w:val="-2"/>
                <w:sz w:val="16"/>
                <w:szCs w:val="16"/>
              </w:rPr>
              <w:t>43.0</w:t>
            </w:r>
          </w:p>
        </w:tc>
        <w:tc>
          <w:tcPr>
            <w:tcW w:w="756" w:type="dxa"/>
          </w:tcPr>
          <w:p w:rsidR="00EA40A3" w:rsidRDefault="00E86C16">
            <w:pPr>
              <w:spacing w:before="58" w:line="184" w:lineRule="auto"/>
              <w:ind w:left="226"/>
              <w:rPr>
                <w:rFonts w:ascii="宋体" w:eastAsia="宋体" w:hAnsi="宋体" w:cs="宋体"/>
                <w:sz w:val="16"/>
                <w:szCs w:val="16"/>
              </w:rPr>
            </w:pPr>
            <w:r>
              <w:rPr>
                <w:rFonts w:ascii="宋体" w:eastAsia="宋体" w:hAnsi="宋体" w:cs="宋体"/>
                <w:spacing w:val="-3"/>
                <w:sz w:val="16"/>
                <w:szCs w:val="16"/>
              </w:rPr>
              <w:t>175.7</w:t>
            </w:r>
          </w:p>
        </w:tc>
        <w:tc>
          <w:tcPr>
            <w:tcW w:w="900" w:type="dxa"/>
            <w:tcBorders>
              <w:right w:val="single" w:sz="4" w:space="0" w:color="000000"/>
            </w:tcBorders>
          </w:tcPr>
          <w:p w:rsidR="00EA40A3" w:rsidRDefault="00E86C16">
            <w:pPr>
              <w:spacing w:before="58" w:line="183" w:lineRule="auto"/>
              <w:ind w:left="320"/>
              <w:rPr>
                <w:rFonts w:ascii="宋体" w:eastAsia="宋体" w:hAnsi="宋体" w:cs="宋体"/>
                <w:sz w:val="16"/>
                <w:szCs w:val="16"/>
              </w:rPr>
            </w:pPr>
            <w:r>
              <w:rPr>
                <w:rFonts w:ascii="宋体" w:eastAsia="宋体" w:hAnsi="宋体" w:cs="宋体"/>
                <w:spacing w:val="-2"/>
                <w:sz w:val="16"/>
                <w:szCs w:val="16"/>
              </w:rPr>
              <w:t>42.0</w:t>
            </w:r>
          </w:p>
        </w:tc>
        <w:tc>
          <w:tcPr>
            <w:tcW w:w="313" w:type="dxa"/>
            <w:tcBorders>
              <w:left w:val="single" w:sz="4" w:space="0" w:color="000000"/>
            </w:tcBorders>
          </w:tcPr>
          <w:p w:rsidR="00EA40A3" w:rsidRDefault="00E86C16">
            <w:pPr>
              <w:spacing w:before="59" w:line="182" w:lineRule="auto"/>
              <w:ind w:left="85"/>
              <w:rPr>
                <w:rFonts w:ascii="宋体" w:eastAsia="宋体" w:hAnsi="宋体" w:cs="宋体"/>
                <w:sz w:val="16"/>
                <w:szCs w:val="16"/>
              </w:rPr>
            </w:pPr>
            <w:r>
              <w:rPr>
                <w:rFonts w:ascii="宋体" w:eastAsia="宋体" w:hAnsi="宋体" w:cs="宋体"/>
                <w:spacing w:val="-3"/>
                <w:sz w:val="16"/>
                <w:szCs w:val="16"/>
              </w:rPr>
              <w:t>55</w:t>
            </w:r>
          </w:p>
        </w:tc>
        <w:tc>
          <w:tcPr>
            <w:tcW w:w="485" w:type="dxa"/>
          </w:tcPr>
          <w:p w:rsidR="00EA40A3" w:rsidRDefault="00E86C16">
            <w:pPr>
              <w:spacing w:before="68" w:line="202" w:lineRule="auto"/>
              <w:ind w:left="207"/>
              <w:rPr>
                <w:rFonts w:ascii="宋体" w:eastAsia="宋体" w:hAnsi="宋体" w:cs="宋体"/>
                <w:sz w:val="14"/>
                <w:szCs w:val="14"/>
              </w:rPr>
            </w:pPr>
            <w:r>
              <w:rPr>
                <w:rFonts w:ascii="宋体" w:eastAsia="宋体" w:hAnsi="宋体" w:cs="宋体"/>
                <w:spacing w:val="-1"/>
                <w:sz w:val="14"/>
                <w:szCs w:val="14"/>
              </w:rPr>
              <w:t>148.</w:t>
            </w:r>
          </w:p>
        </w:tc>
        <w:tc>
          <w:tcPr>
            <w:tcW w:w="277" w:type="dxa"/>
          </w:tcPr>
          <w:p w:rsidR="00EA40A3" w:rsidRDefault="00E86C16">
            <w:pPr>
              <w:spacing w:before="68" w:line="184" w:lineRule="auto"/>
              <w:ind w:left="42"/>
              <w:rPr>
                <w:rFonts w:ascii="宋体" w:eastAsia="宋体" w:hAnsi="宋体" w:cs="宋体"/>
                <w:sz w:val="16"/>
                <w:szCs w:val="16"/>
              </w:rPr>
            </w:pPr>
            <w:r>
              <w:rPr>
                <w:rFonts w:ascii="宋体" w:eastAsia="宋体" w:hAnsi="宋体" w:cs="宋体"/>
                <w:sz w:val="16"/>
                <w:szCs w:val="16"/>
              </w:rPr>
              <w:t>1</w:t>
            </w:r>
          </w:p>
        </w:tc>
        <w:tc>
          <w:tcPr>
            <w:tcW w:w="903" w:type="dxa"/>
          </w:tcPr>
          <w:p w:rsidR="00EA40A3" w:rsidRDefault="00E86C16">
            <w:pPr>
              <w:spacing w:before="69" w:line="183" w:lineRule="auto"/>
              <w:ind w:left="325"/>
              <w:rPr>
                <w:rFonts w:ascii="宋体" w:eastAsia="宋体" w:hAnsi="宋体" w:cs="宋体"/>
                <w:sz w:val="16"/>
                <w:szCs w:val="16"/>
              </w:rPr>
            </w:pPr>
            <w:r>
              <w:rPr>
                <w:rFonts w:ascii="宋体" w:eastAsia="宋体" w:hAnsi="宋体" w:cs="宋体"/>
                <w:spacing w:val="-2"/>
                <w:sz w:val="16"/>
                <w:szCs w:val="16"/>
              </w:rPr>
              <w:t>35.4</w:t>
            </w:r>
          </w:p>
        </w:tc>
        <w:tc>
          <w:tcPr>
            <w:tcW w:w="773" w:type="dxa"/>
          </w:tcPr>
          <w:p w:rsidR="00EA40A3" w:rsidRDefault="00E86C16">
            <w:pPr>
              <w:spacing w:before="68" w:line="184" w:lineRule="auto"/>
              <w:ind w:left="212"/>
              <w:rPr>
                <w:rFonts w:ascii="宋体" w:eastAsia="宋体" w:hAnsi="宋体" w:cs="宋体"/>
                <w:sz w:val="16"/>
                <w:szCs w:val="16"/>
              </w:rPr>
            </w:pPr>
            <w:r>
              <w:rPr>
                <w:rFonts w:ascii="宋体" w:eastAsia="宋体" w:hAnsi="宋体" w:cs="宋体"/>
                <w:spacing w:val="-3"/>
                <w:sz w:val="16"/>
                <w:szCs w:val="16"/>
              </w:rPr>
              <w:t>139.3</w:t>
            </w:r>
          </w:p>
        </w:tc>
        <w:tc>
          <w:tcPr>
            <w:tcW w:w="897" w:type="dxa"/>
          </w:tcPr>
          <w:p w:rsidR="00EA40A3" w:rsidRDefault="00E86C16">
            <w:pPr>
              <w:spacing w:before="89" w:line="173" w:lineRule="auto"/>
              <w:ind w:left="299"/>
              <w:rPr>
                <w:rFonts w:ascii="宋体" w:eastAsia="宋体" w:hAnsi="宋体" w:cs="宋体"/>
                <w:sz w:val="16"/>
                <w:szCs w:val="16"/>
              </w:rPr>
            </w:pPr>
            <w:r>
              <w:rPr>
                <w:rFonts w:ascii="宋体" w:eastAsia="宋体" w:hAnsi="宋体" w:cs="宋体"/>
                <w:spacing w:val="-2"/>
                <w:sz w:val="16"/>
                <w:szCs w:val="16"/>
              </w:rPr>
              <w:t>33.3</w:t>
            </w:r>
          </w:p>
        </w:tc>
      </w:tr>
      <w:tr w:rsidR="00EA40A3">
        <w:trPr>
          <w:trHeight w:val="224"/>
        </w:trPr>
        <w:tc>
          <w:tcPr>
            <w:tcW w:w="296" w:type="dxa"/>
          </w:tcPr>
          <w:p w:rsidR="00EA40A3" w:rsidRDefault="00E86C16">
            <w:pPr>
              <w:spacing w:before="49" w:line="184" w:lineRule="auto"/>
              <w:ind w:left="80"/>
              <w:rPr>
                <w:rFonts w:ascii="宋体" w:eastAsia="宋体" w:hAnsi="宋体" w:cs="宋体"/>
                <w:sz w:val="16"/>
                <w:szCs w:val="16"/>
              </w:rPr>
            </w:pPr>
            <w:r>
              <w:rPr>
                <w:rFonts w:ascii="宋体" w:eastAsia="宋体" w:hAnsi="宋体" w:cs="宋体"/>
                <w:spacing w:val="-5"/>
                <w:sz w:val="16"/>
                <w:szCs w:val="16"/>
              </w:rPr>
              <w:t>13</w:t>
            </w:r>
          </w:p>
        </w:tc>
        <w:tc>
          <w:tcPr>
            <w:tcW w:w="488" w:type="dxa"/>
          </w:tcPr>
          <w:p w:rsidR="00EA40A3" w:rsidRDefault="00E86C16">
            <w:pPr>
              <w:spacing w:before="59" w:line="192" w:lineRule="auto"/>
              <w:ind w:left="204"/>
              <w:rPr>
                <w:rFonts w:ascii="宋体" w:eastAsia="宋体" w:hAnsi="宋体" w:cs="宋体"/>
                <w:sz w:val="15"/>
                <w:szCs w:val="15"/>
              </w:rPr>
            </w:pPr>
            <w:r>
              <w:rPr>
                <w:rFonts w:ascii="宋体" w:eastAsia="宋体" w:hAnsi="宋体" w:cs="宋体"/>
                <w:spacing w:val="-5"/>
                <w:sz w:val="15"/>
                <w:szCs w:val="15"/>
              </w:rPr>
              <w:t>177.</w:t>
            </w:r>
          </w:p>
        </w:tc>
        <w:tc>
          <w:tcPr>
            <w:tcW w:w="266" w:type="dxa"/>
          </w:tcPr>
          <w:p w:rsidR="00EA40A3" w:rsidRDefault="00E86C16">
            <w:pPr>
              <w:spacing w:before="59" w:line="183" w:lineRule="auto"/>
              <w:ind w:left="25"/>
              <w:rPr>
                <w:rFonts w:ascii="宋体" w:eastAsia="宋体" w:hAnsi="宋体" w:cs="宋体"/>
                <w:sz w:val="16"/>
                <w:szCs w:val="16"/>
              </w:rPr>
            </w:pPr>
            <w:r>
              <w:rPr>
                <w:rFonts w:ascii="宋体" w:eastAsia="宋体" w:hAnsi="宋体" w:cs="宋体"/>
                <w:sz w:val="16"/>
                <w:szCs w:val="16"/>
              </w:rPr>
              <w:t>0</w:t>
            </w:r>
          </w:p>
        </w:tc>
        <w:tc>
          <w:tcPr>
            <w:tcW w:w="914" w:type="dxa"/>
          </w:tcPr>
          <w:p w:rsidR="00EA40A3" w:rsidRDefault="00E86C16">
            <w:pPr>
              <w:spacing w:before="69" w:line="178" w:lineRule="auto"/>
              <w:ind w:left="340"/>
              <w:rPr>
                <w:rFonts w:ascii="宋体" w:eastAsia="宋体" w:hAnsi="宋体" w:cs="宋体"/>
                <w:sz w:val="16"/>
                <w:szCs w:val="16"/>
              </w:rPr>
            </w:pPr>
            <w:r>
              <w:rPr>
                <w:rFonts w:ascii="宋体" w:eastAsia="宋体" w:hAnsi="宋体" w:cs="宋体"/>
                <w:spacing w:val="-2"/>
                <w:sz w:val="16"/>
                <w:szCs w:val="16"/>
              </w:rPr>
              <w:t>42.3</w:t>
            </w:r>
          </w:p>
        </w:tc>
        <w:tc>
          <w:tcPr>
            <w:tcW w:w="756" w:type="dxa"/>
          </w:tcPr>
          <w:p w:rsidR="00EA40A3" w:rsidRDefault="00E86C16">
            <w:pPr>
              <w:spacing w:before="59" w:line="184" w:lineRule="auto"/>
              <w:ind w:left="216"/>
              <w:rPr>
                <w:rFonts w:ascii="宋体" w:eastAsia="宋体" w:hAnsi="宋体" w:cs="宋体"/>
                <w:sz w:val="16"/>
                <w:szCs w:val="16"/>
              </w:rPr>
            </w:pPr>
            <w:r>
              <w:rPr>
                <w:rFonts w:ascii="宋体" w:eastAsia="宋体" w:hAnsi="宋体" w:cs="宋体"/>
                <w:spacing w:val="-3"/>
                <w:sz w:val="16"/>
                <w:szCs w:val="16"/>
              </w:rPr>
              <w:t>168.5</w:t>
            </w:r>
          </w:p>
        </w:tc>
        <w:tc>
          <w:tcPr>
            <w:tcW w:w="900" w:type="dxa"/>
            <w:tcBorders>
              <w:right w:val="single" w:sz="4" w:space="0" w:color="000000"/>
            </w:tcBorders>
          </w:tcPr>
          <w:p w:rsidR="00EA40A3" w:rsidRDefault="00E86C16">
            <w:pPr>
              <w:spacing w:before="59" w:line="183" w:lineRule="auto"/>
              <w:ind w:left="320"/>
              <w:rPr>
                <w:rFonts w:ascii="宋体" w:eastAsia="宋体" w:hAnsi="宋体" w:cs="宋体"/>
                <w:sz w:val="16"/>
                <w:szCs w:val="16"/>
              </w:rPr>
            </w:pPr>
            <w:r>
              <w:rPr>
                <w:rFonts w:ascii="宋体" w:eastAsia="宋体" w:hAnsi="宋体" w:cs="宋体"/>
                <w:spacing w:val="-2"/>
                <w:sz w:val="16"/>
                <w:szCs w:val="16"/>
              </w:rPr>
              <w:t>40.3</w:t>
            </w:r>
          </w:p>
        </w:tc>
        <w:tc>
          <w:tcPr>
            <w:tcW w:w="313" w:type="dxa"/>
            <w:tcBorders>
              <w:left w:val="single" w:sz="4" w:space="0" w:color="000000"/>
            </w:tcBorders>
          </w:tcPr>
          <w:p w:rsidR="00EA40A3" w:rsidRDefault="00E86C16">
            <w:pPr>
              <w:spacing w:before="59" w:line="183" w:lineRule="auto"/>
              <w:ind w:left="85"/>
              <w:rPr>
                <w:rFonts w:ascii="宋体" w:eastAsia="宋体" w:hAnsi="宋体" w:cs="宋体"/>
                <w:sz w:val="16"/>
                <w:szCs w:val="16"/>
              </w:rPr>
            </w:pPr>
            <w:r>
              <w:rPr>
                <w:rFonts w:ascii="宋体" w:eastAsia="宋体" w:hAnsi="宋体" w:cs="宋体"/>
                <w:spacing w:val="-2"/>
                <w:sz w:val="16"/>
                <w:szCs w:val="16"/>
              </w:rPr>
              <w:t>60</w:t>
            </w:r>
          </w:p>
        </w:tc>
        <w:tc>
          <w:tcPr>
            <w:tcW w:w="485" w:type="dxa"/>
          </w:tcPr>
          <w:p w:rsidR="00EA40A3" w:rsidRDefault="00E86C16">
            <w:pPr>
              <w:spacing w:before="69" w:line="202" w:lineRule="auto"/>
              <w:ind w:left="207"/>
              <w:rPr>
                <w:rFonts w:ascii="宋体" w:eastAsia="宋体" w:hAnsi="宋体" w:cs="宋体"/>
                <w:sz w:val="14"/>
                <w:szCs w:val="14"/>
              </w:rPr>
            </w:pPr>
            <w:r>
              <w:rPr>
                <w:rFonts w:ascii="宋体" w:eastAsia="宋体" w:hAnsi="宋体" w:cs="宋体"/>
                <w:spacing w:val="-1"/>
                <w:sz w:val="14"/>
                <w:szCs w:val="14"/>
              </w:rPr>
              <w:t>146.</w:t>
            </w:r>
          </w:p>
        </w:tc>
        <w:tc>
          <w:tcPr>
            <w:tcW w:w="277" w:type="dxa"/>
          </w:tcPr>
          <w:p w:rsidR="00EA40A3" w:rsidRDefault="00E86C16">
            <w:pPr>
              <w:spacing w:before="69" w:line="178" w:lineRule="auto"/>
              <w:ind w:left="31"/>
              <w:rPr>
                <w:rFonts w:ascii="宋体" w:eastAsia="宋体" w:hAnsi="宋体" w:cs="宋体"/>
                <w:sz w:val="16"/>
                <w:szCs w:val="16"/>
              </w:rPr>
            </w:pPr>
            <w:r>
              <w:rPr>
                <w:rFonts w:ascii="宋体" w:eastAsia="宋体" w:hAnsi="宋体" w:cs="宋体"/>
                <w:sz w:val="16"/>
                <w:szCs w:val="16"/>
              </w:rPr>
              <w:t>0</w:t>
            </w:r>
          </w:p>
        </w:tc>
        <w:tc>
          <w:tcPr>
            <w:tcW w:w="903" w:type="dxa"/>
          </w:tcPr>
          <w:p w:rsidR="00EA40A3" w:rsidRDefault="00E86C16">
            <w:pPr>
              <w:spacing w:before="69" w:line="178" w:lineRule="auto"/>
              <w:ind w:left="335"/>
              <w:rPr>
                <w:rFonts w:ascii="宋体" w:eastAsia="宋体" w:hAnsi="宋体" w:cs="宋体"/>
                <w:sz w:val="16"/>
                <w:szCs w:val="16"/>
              </w:rPr>
            </w:pPr>
            <w:r>
              <w:rPr>
                <w:rFonts w:ascii="宋体" w:eastAsia="宋体" w:hAnsi="宋体" w:cs="宋体"/>
                <w:spacing w:val="-2"/>
                <w:sz w:val="16"/>
                <w:szCs w:val="16"/>
              </w:rPr>
              <w:t>34.9</w:t>
            </w:r>
          </w:p>
        </w:tc>
        <w:tc>
          <w:tcPr>
            <w:tcW w:w="773" w:type="dxa"/>
          </w:tcPr>
          <w:p w:rsidR="00EA40A3" w:rsidRDefault="00E86C16">
            <w:pPr>
              <w:spacing w:before="79" w:line="167" w:lineRule="auto"/>
              <w:ind w:left="222"/>
              <w:rPr>
                <w:rFonts w:ascii="宋体" w:eastAsia="宋体" w:hAnsi="宋体" w:cs="宋体"/>
                <w:sz w:val="16"/>
                <w:szCs w:val="16"/>
              </w:rPr>
            </w:pPr>
            <w:r>
              <w:rPr>
                <w:rFonts w:ascii="宋体" w:eastAsia="宋体" w:hAnsi="宋体" w:cs="宋体"/>
                <w:spacing w:val="-3"/>
                <w:sz w:val="16"/>
                <w:szCs w:val="16"/>
              </w:rPr>
              <w:t>136.8</w:t>
            </w:r>
          </w:p>
        </w:tc>
        <w:tc>
          <w:tcPr>
            <w:tcW w:w="897" w:type="dxa"/>
          </w:tcPr>
          <w:p w:rsidR="00EA40A3" w:rsidRDefault="00E86C16">
            <w:pPr>
              <w:spacing w:before="59" w:line="183" w:lineRule="auto"/>
              <w:ind w:left="289"/>
              <w:rPr>
                <w:rFonts w:ascii="宋体" w:eastAsia="宋体" w:hAnsi="宋体" w:cs="宋体"/>
                <w:sz w:val="16"/>
                <w:szCs w:val="16"/>
              </w:rPr>
            </w:pPr>
            <w:r>
              <w:rPr>
                <w:rFonts w:ascii="宋体" w:eastAsia="宋体" w:hAnsi="宋体" w:cs="宋体"/>
                <w:spacing w:val="-2"/>
                <w:sz w:val="16"/>
                <w:szCs w:val="16"/>
              </w:rPr>
              <w:t>32.7</w:t>
            </w:r>
          </w:p>
        </w:tc>
      </w:tr>
      <w:tr w:rsidR="00EA40A3">
        <w:trPr>
          <w:trHeight w:val="244"/>
        </w:trPr>
        <w:tc>
          <w:tcPr>
            <w:tcW w:w="296" w:type="dxa"/>
          </w:tcPr>
          <w:p w:rsidR="00EA40A3" w:rsidRDefault="00E86C16">
            <w:pPr>
              <w:spacing w:before="65" w:line="184" w:lineRule="auto"/>
              <w:ind w:left="90"/>
              <w:rPr>
                <w:rFonts w:ascii="宋体" w:eastAsia="宋体" w:hAnsi="宋体" w:cs="宋体"/>
                <w:sz w:val="16"/>
                <w:szCs w:val="16"/>
              </w:rPr>
            </w:pPr>
            <w:r>
              <w:rPr>
                <w:rFonts w:ascii="宋体" w:eastAsia="宋体" w:hAnsi="宋体" w:cs="宋体"/>
                <w:spacing w:val="-5"/>
                <w:sz w:val="16"/>
                <w:szCs w:val="16"/>
              </w:rPr>
              <w:t>15</w:t>
            </w:r>
          </w:p>
        </w:tc>
        <w:tc>
          <w:tcPr>
            <w:tcW w:w="488" w:type="dxa"/>
          </w:tcPr>
          <w:p w:rsidR="00EA40A3" w:rsidRDefault="00E86C16">
            <w:pPr>
              <w:spacing w:before="55" w:line="192" w:lineRule="auto"/>
              <w:ind w:left="204"/>
              <w:rPr>
                <w:rFonts w:ascii="宋体" w:eastAsia="宋体" w:hAnsi="宋体" w:cs="宋体"/>
                <w:sz w:val="15"/>
                <w:szCs w:val="15"/>
              </w:rPr>
            </w:pPr>
            <w:r>
              <w:rPr>
                <w:rFonts w:ascii="宋体" w:eastAsia="宋体" w:hAnsi="宋体" w:cs="宋体"/>
                <w:spacing w:val="-5"/>
                <w:sz w:val="15"/>
                <w:szCs w:val="15"/>
              </w:rPr>
              <w:t>174.</w:t>
            </w:r>
          </w:p>
        </w:tc>
        <w:tc>
          <w:tcPr>
            <w:tcW w:w="266" w:type="dxa"/>
          </w:tcPr>
          <w:p w:rsidR="00EA40A3" w:rsidRDefault="00E86C16">
            <w:pPr>
              <w:spacing w:before="55" w:line="183" w:lineRule="auto"/>
              <w:ind w:left="24"/>
              <w:rPr>
                <w:rFonts w:ascii="宋体" w:eastAsia="宋体" w:hAnsi="宋体" w:cs="宋体"/>
                <w:sz w:val="16"/>
                <w:szCs w:val="16"/>
              </w:rPr>
            </w:pPr>
            <w:r>
              <w:rPr>
                <w:rFonts w:ascii="宋体" w:eastAsia="宋体" w:hAnsi="宋体" w:cs="宋体"/>
                <w:sz w:val="16"/>
                <w:szCs w:val="16"/>
              </w:rPr>
              <w:t>9</w:t>
            </w:r>
          </w:p>
        </w:tc>
        <w:tc>
          <w:tcPr>
            <w:tcW w:w="914" w:type="dxa"/>
          </w:tcPr>
          <w:p w:rsidR="00EA40A3" w:rsidRDefault="00E86C16">
            <w:pPr>
              <w:spacing w:before="85" w:line="183" w:lineRule="auto"/>
              <w:ind w:left="340"/>
              <w:rPr>
                <w:rFonts w:ascii="宋体" w:eastAsia="宋体" w:hAnsi="宋体" w:cs="宋体"/>
                <w:sz w:val="16"/>
                <w:szCs w:val="16"/>
              </w:rPr>
            </w:pPr>
            <w:r>
              <w:rPr>
                <w:rFonts w:ascii="宋体" w:eastAsia="宋体" w:hAnsi="宋体" w:cs="宋体"/>
                <w:spacing w:val="-2"/>
                <w:sz w:val="16"/>
                <w:szCs w:val="16"/>
              </w:rPr>
              <w:t>41.8</w:t>
            </w:r>
          </w:p>
        </w:tc>
        <w:tc>
          <w:tcPr>
            <w:tcW w:w="756" w:type="dxa"/>
          </w:tcPr>
          <w:p w:rsidR="00EA40A3" w:rsidRDefault="00E86C16">
            <w:pPr>
              <w:spacing w:before="45" w:line="184" w:lineRule="auto"/>
              <w:ind w:left="216"/>
              <w:rPr>
                <w:rFonts w:ascii="宋体" w:eastAsia="宋体" w:hAnsi="宋体" w:cs="宋体"/>
                <w:sz w:val="16"/>
                <w:szCs w:val="16"/>
              </w:rPr>
            </w:pPr>
            <w:r>
              <w:rPr>
                <w:rFonts w:ascii="宋体" w:eastAsia="宋体" w:hAnsi="宋体" w:cs="宋体"/>
                <w:spacing w:val="-3"/>
                <w:sz w:val="16"/>
                <w:szCs w:val="16"/>
              </w:rPr>
              <w:t>158.8</w:t>
            </w:r>
          </w:p>
        </w:tc>
        <w:tc>
          <w:tcPr>
            <w:tcW w:w="900" w:type="dxa"/>
            <w:tcBorders>
              <w:right w:val="single" w:sz="4" w:space="0" w:color="000000"/>
            </w:tcBorders>
          </w:tcPr>
          <w:p w:rsidR="00EA40A3" w:rsidRDefault="00E86C16">
            <w:pPr>
              <w:spacing w:before="86" w:line="182" w:lineRule="auto"/>
              <w:ind w:left="330"/>
              <w:rPr>
                <w:rFonts w:ascii="宋体" w:eastAsia="宋体" w:hAnsi="宋体" w:cs="宋体"/>
                <w:sz w:val="16"/>
                <w:szCs w:val="16"/>
              </w:rPr>
            </w:pPr>
            <w:r>
              <w:rPr>
                <w:rFonts w:ascii="宋体" w:eastAsia="宋体" w:hAnsi="宋体" w:cs="宋体"/>
                <w:spacing w:val="-2"/>
                <w:sz w:val="16"/>
                <w:szCs w:val="16"/>
              </w:rPr>
              <w:t>37.9</w:t>
            </w:r>
          </w:p>
        </w:tc>
        <w:tc>
          <w:tcPr>
            <w:tcW w:w="313" w:type="dxa"/>
            <w:tcBorders>
              <w:left w:val="single" w:sz="4" w:space="0" w:color="000000"/>
            </w:tcBorders>
          </w:tcPr>
          <w:p w:rsidR="00EA40A3" w:rsidRDefault="00E86C16">
            <w:pPr>
              <w:spacing w:before="86" w:line="182" w:lineRule="auto"/>
              <w:ind w:left="65"/>
              <w:rPr>
                <w:rFonts w:ascii="宋体" w:eastAsia="宋体" w:hAnsi="宋体" w:cs="宋体"/>
                <w:sz w:val="16"/>
                <w:szCs w:val="16"/>
              </w:rPr>
            </w:pPr>
            <w:r>
              <w:rPr>
                <w:rFonts w:ascii="宋体" w:eastAsia="宋体" w:hAnsi="宋体" w:cs="宋体"/>
                <w:spacing w:val="-2"/>
                <w:sz w:val="16"/>
                <w:szCs w:val="16"/>
              </w:rPr>
              <w:t>65</w:t>
            </w:r>
          </w:p>
        </w:tc>
        <w:tc>
          <w:tcPr>
            <w:tcW w:w="485" w:type="dxa"/>
          </w:tcPr>
          <w:p w:rsidR="00EA40A3" w:rsidRDefault="00E86C16">
            <w:pPr>
              <w:spacing w:before="85" w:line="202" w:lineRule="auto"/>
              <w:ind w:left="207"/>
              <w:rPr>
                <w:rFonts w:ascii="宋体" w:eastAsia="宋体" w:hAnsi="宋体" w:cs="宋体"/>
                <w:sz w:val="14"/>
                <w:szCs w:val="14"/>
              </w:rPr>
            </w:pPr>
            <w:r>
              <w:rPr>
                <w:rFonts w:ascii="宋体" w:eastAsia="宋体" w:hAnsi="宋体" w:cs="宋体"/>
                <w:spacing w:val="-1"/>
                <w:sz w:val="14"/>
                <w:szCs w:val="14"/>
              </w:rPr>
              <w:t>143.</w:t>
            </w:r>
          </w:p>
        </w:tc>
        <w:tc>
          <w:tcPr>
            <w:tcW w:w="277" w:type="dxa"/>
          </w:tcPr>
          <w:p w:rsidR="00EA40A3" w:rsidRDefault="00E86C16">
            <w:pPr>
              <w:spacing w:before="86" w:line="182" w:lineRule="auto"/>
              <w:ind w:left="30"/>
              <w:rPr>
                <w:rFonts w:ascii="宋体" w:eastAsia="宋体" w:hAnsi="宋体" w:cs="宋体"/>
                <w:sz w:val="16"/>
                <w:szCs w:val="16"/>
              </w:rPr>
            </w:pPr>
            <w:r>
              <w:rPr>
                <w:rFonts w:ascii="宋体" w:eastAsia="宋体" w:hAnsi="宋体" w:cs="宋体"/>
                <w:sz w:val="16"/>
                <w:szCs w:val="16"/>
              </w:rPr>
              <w:t>9</w:t>
            </w:r>
          </w:p>
        </w:tc>
        <w:tc>
          <w:tcPr>
            <w:tcW w:w="903" w:type="dxa"/>
          </w:tcPr>
          <w:p w:rsidR="00EA40A3" w:rsidRDefault="00E86C16">
            <w:pPr>
              <w:spacing w:before="95" w:line="171" w:lineRule="auto"/>
              <w:ind w:left="335"/>
              <w:rPr>
                <w:rFonts w:ascii="宋体" w:eastAsia="宋体" w:hAnsi="宋体" w:cs="宋体"/>
                <w:sz w:val="16"/>
                <w:szCs w:val="16"/>
              </w:rPr>
            </w:pPr>
            <w:r>
              <w:rPr>
                <w:rFonts w:ascii="宋体" w:eastAsia="宋体" w:hAnsi="宋体" w:cs="宋体"/>
                <w:spacing w:val="-2"/>
                <w:sz w:val="16"/>
                <w:szCs w:val="16"/>
              </w:rPr>
              <w:t>34.4</w:t>
            </w:r>
          </w:p>
        </w:tc>
        <w:tc>
          <w:tcPr>
            <w:tcW w:w="773" w:type="dxa"/>
          </w:tcPr>
          <w:p w:rsidR="00EA40A3" w:rsidRDefault="00E86C16">
            <w:pPr>
              <w:spacing w:before="75" w:line="184" w:lineRule="auto"/>
              <w:ind w:left="192"/>
              <w:rPr>
                <w:rFonts w:ascii="宋体" w:eastAsia="宋体" w:hAnsi="宋体" w:cs="宋体"/>
                <w:sz w:val="16"/>
                <w:szCs w:val="16"/>
              </w:rPr>
            </w:pPr>
            <w:r>
              <w:rPr>
                <w:rFonts w:ascii="宋体" w:eastAsia="宋体" w:hAnsi="宋体" w:cs="宋体"/>
                <w:spacing w:val="-3"/>
                <w:sz w:val="16"/>
                <w:szCs w:val="16"/>
              </w:rPr>
              <w:t>134.7</w:t>
            </w:r>
          </w:p>
        </w:tc>
        <w:tc>
          <w:tcPr>
            <w:tcW w:w="897" w:type="dxa"/>
          </w:tcPr>
          <w:p w:rsidR="00EA40A3" w:rsidRDefault="00E86C16">
            <w:pPr>
              <w:spacing w:before="95" w:line="171" w:lineRule="auto"/>
              <w:ind w:left="299"/>
              <w:rPr>
                <w:rFonts w:ascii="宋体" w:eastAsia="宋体" w:hAnsi="宋体" w:cs="宋体"/>
                <w:sz w:val="16"/>
                <w:szCs w:val="16"/>
              </w:rPr>
            </w:pPr>
            <w:r>
              <w:rPr>
                <w:rFonts w:ascii="宋体" w:eastAsia="宋体" w:hAnsi="宋体" w:cs="宋体"/>
                <w:spacing w:val="-2"/>
                <w:sz w:val="16"/>
                <w:szCs w:val="16"/>
              </w:rPr>
              <w:t>32.2</w:t>
            </w:r>
          </w:p>
        </w:tc>
      </w:tr>
      <w:tr w:rsidR="00EA40A3">
        <w:trPr>
          <w:trHeight w:val="234"/>
        </w:trPr>
        <w:tc>
          <w:tcPr>
            <w:tcW w:w="296" w:type="dxa"/>
          </w:tcPr>
          <w:p w:rsidR="00EA40A3" w:rsidRDefault="00E86C16">
            <w:pPr>
              <w:spacing w:before="51" w:line="184" w:lineRule="auto"/>
              <w:ind w:left="70"/>
              <w:rPr>
                <w:rFonts w:ascii="宋体" w:eastAsia="宋体" w:hAnsi="宋体" w:cs="宋体"/>
                <w:sz w:val="16"/>
                <w:szCs w:val="16"/>
              </w:rPr>
            </w:pPr>
            <w:r>
              <w:rPr>
                <w:rFonts w:ascii="宋体" w:eastAsia="宋体" w:hAnsi="宋体" w:cs="宋体"/>
                <w:spacing w:val="-5"/>
                <w:sz w:val="16"/>
                <w:szCs w:val="16"/>
              </w:rPr>
              <w:t>17</w:t>
            </w:r>
          </w:p>
        </w:tc>
        <w:tc>
          <w:tcPr>
            <w:tcW w:w="488" w:type="dxa"/>
          </w:tcPr>
          <w:p w:rsidR="00EA40A3" w:rsidRDefault="00E86C16">
            <w:pPr>
              <w:spacing w:before="51" w:line="192" w:lineRule="auto"/>
              <w:ind w:left="204"/>
              <w:rPr>
                <w:rFonts w:ascii="宋体" w:eastAsia="宋体" w:hAnsi="宋体" w:cs="宋体"/>
                <w:sz w:val="15"/>
                <w:szCs w:val="15"/>
              </w:rPr>
            </w:pPr>
            <w:r>
              <w:rPr>
                <w:rFonts w:ascii="宋体" w:eastAsia="宋体" w:hAnsi="宋体" w:cs="宋体"/>
                <w:spacing w:val="-5"/>
                <w:sz w:val="15"/>
                <w:szCs w:val="15"/>
              </w:rPr>
              <w:t>170.</w:t>
            </w:r>
          </w:p>
        </w:tc>
        <w:tc>
          <w:tcPr>
            <w:tcW w:w="266" w:type="dxa"/>
          </w:tcPr>
          <w:p w:rsidR="00EA40A3" w:rsidRDefault="00E86C16">
            <w:pPr>
              <w:spacing w:before="52" w:line="182" w:lineRule="auto"/>
              <w:ind w:left="28"/>
              <w:rPr>
                <w:rFonts w:ascii="宋体" w:eastAsia="宋体" w:hAnsi="宋体" w:cs="宋体"/>
                <w:sz w:val="16"/>
                <w:szCs w:val="16"/>
              </w:rPr>
            </w:pPr>
            <w:r>
              <w:rPr>
                <w:rFonts w:ascii="宋体" w:eastAsia="宋体" w:hAnsi="宋体" w:cs="宋体"/>
                <w:sz w:val="16"/>
                <w:szCs w:val="16"/>
              </w:rPr>
              <w:t>7</w:t>
            </w:r>
          </w:p>
        </w:tc>
        <w:tc>
          <w:tcPr>
            <w:tcW w:w="914" w:type="dxa"/>
          </w:tcPr>
          <w:p w:rsidR="00EA40A3" w:rsidRDefault="00E86C16">
            <w:pPr>
              <w:spacing w:before="71" w:line="183" w:lineRule="auto"/>
              <w:ind w:left="340"/>
              <w:rPr>
                <w:rFonts w:ascii="宋体" w:eastAsia="宋体" w:hAnsi="宋体" w:cs="宋体"/>
                <w:sz w:val="16"/>
                <w:szCs w:val="16"/>
              </w:rPr>
            </w:pPr>
            <w:r>
              <w:rPr>
                <w:rFonts w:ascii="宋体" w:eastAsia="宋体" w:hAnsi="宋体" w:cs="宋体"/>
                <w:spacing w:val="-2"/>
                <w:sz w:val="16"/>
                <w:szCs w:val="16"/>
              </w:rPr>
              <w:t>40.8</w:t>
            </w:r>
          </w:p>
        </w:tc>
        <w:tc>
          <w:tcPr>
            <w:tcW w:w="756" w:type="dxa"/>
          </w:tcPr>
          <w:p w:rsidR="00EA40A3" w:rsidRDefault="00E86C16">
            <w:pPr>
              <w:spacing w:before="61" w:line="184" w:lineRule="auto"/>
              <w:ind w:left="226"/>
              <w:rPr>
                <w:rFonts w:ascii="宋体" w:eastAsia="宋体" w:hAnsi="宋体" w:cs="宋体"/>
                <w:sz w:val="16"/>
                <w:szCs w:val="16"/>
              </w:rPr>
            </w:pPr>
            <w:r>
              <w:rPr>
                <w:rFonts w:ascii="宋体" w:eastAsia="宋体" w:hAnsi="宋体" w:cs="宋体"/>
                <w:spacing w:val="-3"/>
                <w:sz w:val="16"/>
                <w:szCs w:val="16"/>
              </w:rPr>
              <w:t>151.9</w:t>
            </w:r>
          </w:p>
        </w:tc>
        <w:tc>
          <w:tcPr>
            <w:tcW w:w="900" w:type="dxa"/>
            <w:tcBorders>
              <w:right w:val="single" w:sz="4" w:space="0" w:color="000000"/>
            </w:tcBorders>
          </w:tcPr>
          <w:p w:rsidR="00EA40A3" w:rsidRDefault="00E86C16">
            <w:pPr>
              <w:spacing w:before="61" w:line="183" w:lineRule="auto"/>
              <w:ind w:left="340"/>
              <w:rPr>
                <w:rFonts w:ascii="宋体" w:eastAsia="宋体" w:hAnsi="宋体" w:cs="宋体"/>
                <w:sz w:val="16"/>
                <w:szCs w:val="16"/>
              </w:rPr>
            </w:pPr>
            <w:r>
              <w:rPr>
                <w:rFonts w:ascii="宋体" w:eastAsia="宋体" w:hAnsi="宋体" w:cs="宋体"/>
                <w:spacing w:val="-2"/>
                <w:sz w:val="16"/>
                <w:szCs w:val="16"/>
              </w:rPr>
              <w:t>36.3</w:t>
            </w:r>
          </w:p>
        </w:tc>
        <w:tc>
          <w:tcPr>
            <w:tcW w:w="313" w:type="dxa"/>
            <w:tcBorders>
              <w:left w:val="single" w:sz="4" w:space="0" w:color="000000"/>
            </w:tcBorders>
          </w:tcPr>
          <w:p w:rsidR="00EA40A3" w:rsidRDefault="00E86C16">
            <w:pPr>
              <w:spacing w:before="61" w:line="183" w:lineRule="auto"/>
              <w:ind w:left="75"/>
              <w:rPr>
                <w:rFonts w:ascii="宋体" w:eastAsia="宋体" w:hAnsi="宋体" w:cs="宋体"/>
                <w:sz w:val="16"/>
                <w:szCs w:val="16"/>
              </w:rPr>
            </w:pPr>
            <w:r>
              <w:rPr>
                <w:rFonts w:ascii="宋体" w:eastAsia="宋体" w:hAnsi="宋体" w:cs="宋体"/>
                <w:spacing w:val="-3"/>
                <w:sz w:val="16"/>
                <w:szCs w:val="16"/>
              </w:rPr>
              <w:t>70</w:t>
            </w:r>
          </w:p>
        </w:tc>
        <w:tc>
          <w:tcPr>
            <w:tcW w:w="485" w:type="dxa"/>
          </w:tcPr>
          <w:p w:rsidR="00EA40A3" w:rsidRDefault="00E86C16">
            <w:pPr>
              <w:spacing w:before="61" w:line="202" w:lineRule="auto"/>
              <w:ind w:left="207"/>
              <w:rPr>
                <w:rFonts w:ascii="宋体" w:eastAsia="宋体" w:hAnsi="宋体" w:cs="宋体"/>
                <w:sz w:val="14"/>
                <w:szCs w:val="14"/>
              </w:rPr>
            </w:pPr>
            <w:r>
              <w:rPr>
                <w:rFonts w:ascii="宋体" w:eastAsia="宋体" w:hAnsi="宋体" w:cs="宋体"/>
                <w:spacing w:val="-1"/>
                <w:sz w:val="14"/>
                <w:szCs w:val="14"/>
              </w:rPr>
              <w:t>141.</w:t>
            </w:r>
          </w:p>
        </w:tc>
        <w:tc>
          <w:tcPr>
            <w:tcW w:w="277" w:type="dxa"/>
          </w:tcPr>
          <w:p w:rsidR="00EA40A3" w:rsidRDefault="00E86C16">
            <w:pPr>
              <w:spacing w:before="61" w:line="183" w:lineRule="auto"/>
              <w:ind w:left="29"/>
              <w:rPr>
                <w:rFonts w:ascii="宋体" w:eastAsia="宋体" w:hAnsi="宋体" w:cs="宋体"/>
                <w:sz w:val="16"/>
                <w:szCs w:val="16"/>
              </w:rPr>
            </w:pPr>
            <w:r>
              <w:rPr>
                <w:rFonts w:ascii="宋体" w:eastAsia="宋体" w:hAnsi="宋体" w:cs="宋体"/>
                <w:sz w:val="16"/>
                <w:szCs w:val="16"/>
              </w:rPr>
              <w:t>4</w:t>
            </w:r>
          </w:p>
        </w:tc>
        <w:tc>
          <w:tcPr>
            <w:tcW w:w="903" w:type="dxa"/>
          </w:tcPr>
          <w:p w:rsidR="00EA40A3" w:rsidRDefault="00E86C16">
            <w:pPr>
              <w:spacing w:before="61" w:line="183" w:lineRule="auto"/>
              <w:ind w:left="335"/>
              <w:rPr>
                <w:rFonts w:ascii="宋体" w:eastAsia="宋体" w:hAnsi="宋体" w:cs="宋体"/>
                <w:sz w:val="16"/>
                <w:szCs w:val="16"/>
              </w:rPr>
            </w:pPr>
            <w:r>
              <w:rPr>
                <w:rFonts w:ascii="宋体" w:eastAsia="宋体" w:hAnsi="宋体" w:cs="宋体"/>
                <w:spacing w:val="-2"/>
                <w:sz w:val="16"/>
                <w:szCs w:val="16"/>
              </w:rPr>
              <w:t>33.8</w:t>
            </w:r>
          </w:p>
        </w:tc>
        <w:tc>
          <w:tcPr>
            <w:tcW w:w="773" w:type="dxa"/>
          </w:tcPr>
          <w:p w:rsidR="00EA40A3" w:rsidRDefault="00E86C16">
            <w:pPr>
              <w:spacing w:before="71" w:line="184" w:lineRule="auto"/>
              <w:ind w:left="202"/>
              <w:rPr>
                <w:rFonts w:ascii="宋体" w:eastAsia="宋体" w:hAnsi="宋体" w:cs="宋体"/>
                <w:sz w:val="16"/>
                <w:szCs w:val="16"/>
              </w:rPr>
            </w:pPr>
            <w:r>
              <w:rPr>
                <w:rFonts w:ascii="宋体" w:eastAsia="宋体" w:hAnsi="宋体" w:cs="宋体"/>
                <w:spacing w:val="-3"/>
                <w:sz w:val="16"/>
                <w:szCs w:val="16"/>
              </w:rPr>
              <w:t>132.6</w:t>
            </w:r>
          </w:p>
        </w:tc>
        <w:tc>
          <w:tcPr>
            <w:tcW w:w="897" w:type="dxa"/>
          </w:tcPr>
          <w:p w:rsidR="00EA40A3" w:rsidRDefault="00E86C16">
            <w:pPr>
              <w:spacing w:before="81" w:line="176" w:lineRule="auto"/>
              <w:ind w:left="299"/>
              <w:rPr>
                <w:rFonts w:ascii="宋体" w:eastAsia="宋体" w:hAnsi="宋体" w:cs="宋体"/>
                <w:sz w:val="16"/>
                <w:szCs w:val="16"/>
              </w:rPr>
            </w:pPr>
            <w:r>
              <w:rPr>
                <w:rFonts w:ascii="宋体" w:eastAsia="宋体" w:hAnsi="宋体" w:cs="宋体"/>
                <w:spacing w:val="-2"/>
                <w:sz w:val="16"/>
                <w:szCs w:val="16"/>
              </w:rPr>
              <w:t>31.7</w:t>
            </w:r>
          </w:p>
        </w:tc>
      </w:tr>
      <w:tr w:rsidR="00EA40A3">
        <w:trPr>
          <w:trHeight w:val="220"/>
        </w:trPr>
        <w:tc>
          <w:tcPr>
            <w:tcW w:w="296" w:type="dxa"/>
          </w:tcPr>
          <w:p w:rsidR="00EA40A3" w:rsidRDefault="00E86C16">
            <w:pPr>
              <w:spacing w:before="57" w:line="184" w:lineRule="auto"/>
              <w:ind w:left="70"/>
              <w:rPr>
                <w:rFonts w:ascii="宋体" w:eastAsia="宋体" w:hAnsi="宋体" w:cs="宋体"/>
                <w:sz w:val="16"/>
                <w:szCs w:val="16"/>
              </w:rPr>
            </w:pPr>
            <w:r>
              <w:rPr>
                <w:rFonts w:ascii="宋体" w:eastAsia="宋体" w:hAnsi="宋体" w:cs="宋体"/>
                <w:spacing w:val="-5"/>
                <w:sz w:val="16"/>
                <w:szCs w:val="16"/>
              </w:rPr>
              <w:t>19</w:t>
            </w:r>
          </w:p>
        </w:tc>
        <w:tc>
          <w:tcPr>
            <w:tcW w:w="488" w:type="dxa"/>
          </w:tcPr>
          <w:p w:rsidR="00EA40A3" w:rsidRDefault="00E86C16">
            <w:pPr>
              <w:spacing w:before="67" w:line="188" w:lineRule="auto"/>
              <w:ind w:left="204"/>
              <w:rPr>
                <w:rFonts w:ascii="宋体" w:eastAsia="宋体" w:hAnsi="宋体" w:cs="宋体"/>
                <w:sz w:val="15"/>
                <w:szCs w:val="15"/>
              </w:rPr>
            </w:pPr>
            <w:r>
              <w:rPr>
                <w:rFonts w:ascii="宋体" w:eastAsia="宋体" w:hAnsi="宋体" w:cs="宋体"/>
                <w:spacing w:val="-5"/>
                <w:sz w:val="15"/>
                <w:szCs w:val="15"/>
              </w:rPr>
              <w:t>164.</w:t>
            </w:r>
          </w:p>
        </w:tc>
        <w:tc>
          <w:tcPr>
            <w:tcW w:w="266" w:type="dxa"/>
          </w:tcPr>
          <w:p w:rsidR="00EA40A3" w:rsidRDefault="00E86C16">
            <w:pPr>
              <w:spacing w:before="67" w:line="176" w:lineRule="auto"/>
              <w:ind w:left="23"/>
              <w:rPr>
                <w:rFonts w:ascii="宋体" w:eastAsia="宋体" w:hAnsi="宋体" w:cs="宋体"/>
                <w:sz w:val="16"/>
                <w:szCs w:val="16"/>
              </w:rPr>
            </w:pPr>
            <w:r>
              <w:rPr>
                <w:rFonts w:ascii="宋体" w:eastAsia="宋体" w:hAnsi="宋体" w:cs="宋体"/>
                <w:sz w:val="16"/>
                <w:szCs w:val="16"/>
              </w:rPr>
              <w:t>4</w:t>
            </w:r>
          </w:p>
        </w:tc>
        <w:tc>
          <w:tcPr>
            <w:tcW w:w="914" w:type="dxa"/>
          </w:tcPr>
          <w:p w:rsidR="00EA40A3" w:rsidRDefault="00E86C16">
            <w:pPr>
              <w:spacing w:before="67" w:line="176" w:lineRule="auto"/>
              <w:ind w:left="350"/>
              <w:rPr>
                <w:rFonts w:ascii="宋体" w:eastAsia="宋体" w:hAnsi="宋体" w:cs="宋体"/>
                <w:sz w:val="16"/>
                <w:szCs w:val="16"/>
              </w:rPr>
            </w:pPr>
            <w:r>
              <w:rPr>
                <w:rFonts w:ascii="宋体" w:eastAsia="宋体" w:hAnsi="宋体" w:cs="宋体"/>
                <w:spacing w:val="-2"/>
                <w:sz w:val="16"/>
                <w:szCs w:val="16"/>
              </w:rPr>
              <w:t>39.2</w:t>
            </w:r>
          </w:p>
        </w:tc>
        <w:tc>
          <w:tcPr>
            <w:tcW w:w="756" w:type="dxa"/>
          </w:tcPr>
          <w:p w:rsidR="00EA40A3" w:rsidRDefault="00E86C16">
            <w:pPr>
              <w:spacing w:before="67" w:line="176" w:lineRule="auto"/>
              <w:ind w:left="206"/>
              <w:rPr>
                <w:rFonts w:ascii="宋体" w:eastAsia="宋体" w:hAnsi="宋体" w:cs="宋体"/>
                <w:sz w:val="16"/>
                <w:szCs w:val="16"/>
              </w:rPr>
            </w:pPr>
            <w:r>
              <w:rPr>
                <w:rFonts w:ascii="宋体" w:eastAsia="宋体" w:hAnsi="宋体" w:cs="宋体"/>
                <w:spacing w:val="-3"/>
                <w:sz w:val="16"/>
                <w:szCs w:val="16"/>
              </w:rPr>
              <w:t>148.5</w:t>
            </w:r>
          </w:p>
        </w:tc>
        <w:tc>
          <w:tcPr>
            <w:tcW w:w="900" w:type="dxa"/>
            <w:tcBorders>
              <w:right w:val="single" w:sz="4" w:space="0" w:color="000000"/>
            </w:tcBorders>
          </w:tcPr>
          <w:p w:rsidR="00EA40A3" w:rsidRDefault="00E86C16">
            <w:pPr>
              <w:spacing w:before="67" w:line="176" w:lineRule="auto"/>
              <w:ind w:left="340"/>
              <w:rPr>
                <w:rFonts w:ascii="宋体" w:eastAsia="宋体" w:hAnsi="宋体" w:cs="宋体"/>
                <w:sz w:val="16"/>
                <w:szCs w:val="16"/>
              </w:rPr>
            </w:pPr>
            <w:r>
              <w:rPr>
                <w:rFonts w:ascii="宋体" w:eastAsia="宋体" w:hAnsi="宋体" w:cs="宋体"/>
                <w:spacing w:val="-2"/>
                <w:sz w:val="16"/>
                <w:szCs w:val="16"/>
              </w:rPr>
              <w:t>35.5</w:t>
            </w:r>
          </w:p>
        </w:tc>
        <w:tc>
          <w:tcPr>
            <w:tcW w:w="313" w:type="dxa"/>
            <w:tcBorders>
              <w:left w:val="single" w:sz="4" w:space="0" w:color="000000"/>
            </w:tcBorders>
          </w:tcPr>
          <w:p w:rsidR="00EA40A3" w:rsidRDefault="00E86C16">
            <w:pPr>
              <w:spacing w:before="58" w:line="182" w:lineRule="auto"/>
              <w:ind w:left="75"/>
              <w:rPr>
                <w:rFonts w:ascii="宋体" w:eastAsia="宋体" w:hAnsi="宋体" w:cs="宋体"/>
                <w:sz w:val="16"/>
                <w:szCs w:val="16"/>
              </w:rPr>
            </w:pPr>
            <w:r>
              <w:rPr>
                <w:rFonts w:ascii="宋体" w:eastAsia="宋体" w:hAnsi="宋体" w:cs="宋体"/>
                <w:spacing w:val="-3"/>
                <w:sz w:val="16"/>
                <w:szCs w:val="16"/>
              </w:rPr>
              <w:t>75</w:t>
            </w:r>
          </w:p>
        </w:tc>
        <w:tc>
          <w:tcPr>
            <w:tcW w:w="485" w:type="dxa"/>
          </w:tcPr>
          <w:p w:rsidR="00EA40A3" w:rsidRDefault="00E86C16">
            <w:pPr>
              <w:spacing w:before="77" w:line="188" w:lineRule="auto"/>
              <w:ind w:left="207"/>
              <w:rPr>
                <w:rFonts w:ascii="宋体" w:eastAsia="宋体" w:hAnsi="宋体" w:cs="宋体"/>
                <w:sz w:val="14"/>
                <w:szCs w:val="14"/>
              </w:rPr>
            </w:pPr>
            <w:r>
              <w:rPr>
                <w:rFonts w:ascii="宋体" w:eastAsia="宋体" w:hAnsi="宋体" w:cs="宋体"/>
                <w:spacing w:val="-1"/>
                <w:sz w:val="14"/>
                <w:szCs w:val="14"/>
              </w:rPr>
              <w:t>138.</w:t>
            </w:r>
          </w:p>
        </w:tc>
        <w:tc>
          <w:tcPr>
            <w:tcW w:w="277" w:type="dxa"/>
          </w:tcPr>
          <w:p w:rsidR="00EA40A3" w:rsidRDefault="00E86C16">
            <w:pPr>
              <w:spacing w:before="77" w:line="164" w:lineRule="auto"/>
              <w:ind w:left="30"/>
              <w:rPr>
                <w:rFonts w:ascii="宋体" w:eastAsia="宋体" w:hAnsi="宋体" w:cs="宋体"/>
                <w:sz w:val="16"/>
                <w:szCs w:val="16"/>
              </w:rPr>
            </w:pPr>
            <w:r>
              <w:rPr>
                <w:rFonts w:ascii="宋体" w:eastAsia="宋体" w:hAnsi="宋体" w:cs="宋体"/>
                <w:sz w:val="16"/>
                <w:szCs w:val="16"/>
              </w:rPr>
              <w:t>9</w:t>
            </w:r>
          </w:p>
        </w:tc>
        <w:tc>
          <w:tcPr>
            <w:tcW w:w="903" w:type="dxa"/>
          </w:tcPr>
          <w:p w:rsidR="00EA40A3" w:rsidRDefault="00E86C16">
            <w:pPr>
              <w:spacing w:before="67" w:line="176" w:lineRule="auto"/>
              <w:ind w:left="325"/>
              <w:rPr>
                <w:rFonts w:ascii="宋体" w:eastAsia="宋体" w:hAnsi="宋体" w:cs="宋体"/>
                <w:sz w:val="16"/>
                <w:szCs w:val="16"/>
              </w:rPr>
            </w:pPr>
            <w:r>
              <w:rPr>
                <w:rFonts w:ascii="宋体" w:eastAsia="宋体" w:hAnsi="宋体" w:cs="宋体"/>
                <w:spacing w:val="-2"/>
                <w:sz w:val="16"/>
                <w:szCs w:val="16"/>
              </w:rPr>
              <w:t>33.2</w:t>
            </w:r>
          </w:p>
        </w:tc>
        <w:tc>
          <w:tcPr>
            <w:tcW w:w="773" w:type="dxa"/>
          </w:tcPr>
          <w:p w:rsidR="00EA40A3" w:rsidRDefault="00E86C16">
            <w:pPr>
              <w:spacing w:before="67" w:line="176" w:lineRule="auto"/>
              <w:ind w:left="202"/>
              <w:rPr>
                <w:rFonts w:ascii="宋体" w:eastAsia="宋体" w:hAnsi="宋体" w:cs="宋体"/>
                <w:sz w:val="16"/>
                <w:szCs w:val="16"/>
              </w:rPr>
            </w:pPr>
            <w:r>
              <w:rPr>
                <w:rFonts w:ascii="宋体" w:eastAsia="宋体" w:hAnsi="宋体" w:cs="宋体"/>
                <w:spacing w:val="-3"/>
                <w:sz w:val="16"/>
                <w:szCs w:val="16"/>
              </w:rPr>
              <w:t>131.0</w:t>
            </w:r>
          </w:p>
        </w:tc>
        <w:tc>
          <w:tcPr>
            <w:tcW w:w="897" w:type="dxa"/>
          </w:tcPr>
          <w:p w:rsidR="00EA40A3" w:rsidRDefault="00E86C16">
            <w:pPr>
              <w:spacing w:before="77" w:line="165" w:lineRule="auto"/>
              <w:ind w:left="309"/>
              <w:rPr>
                <w:rFonts w:ascii="宋体" w:eastAsia="宋体" w:hAnsi="宋体" w:cs="宋体"/>
                <w:sz w:val="16"/>
                <w:szCs w:val="16"/>
              </w:rPr>
            </w:pPr>
            <w:r>
              <w:rPr>
                <w:rFonts w:ascii="宋体" w:eastAsia="宋体" w:hAnsi="宋体" w:cs="宋体"/>
                <w:spacing w:val="-2"/>
                <w:sz w:val="16"/>
                <w:szCs w:val="16"/>
              </w:rPr>
              <w:t>31.3</w:t>
            </w:r>
          </w:p>
        </w:tc>
      </w:tr>
      <w:tr w:rsidR="00EA40A3">
        <w:trPr>
          <w:trHeight w:val="229"/>
        </w:trPr>
        <w:tc>
          <w:tcPr>
            <w:tcW w:w="296" w:type="dxa"/>
          </w:tcPr>
          <w:p w:rsidR="00EA40A3" w:rsidRDefault="00E86C16">
            <w:pPr>
              <w:spacing w:before="47" w:line="183" w:lineRule="auto"/>
              <w:ind w:left="60"/>
              <w:rPr>
                <w:rFonts w:ascii="宋体" w:eastAsia="宋体" w:hAnsi="宋体" w:cs="宋体"/>
                <w:sz w:val="16"/>
                <w:szCs w:val="16"/>
              </w:rPr>
            </w:pPr>
            <w:r>
              <w:rPr>
                <w:rFonts w:ascii="宋体" w:eastAsia="宋体" w:hAnsi="宋体" w:cs="宋体"/>
                <w:spacing w:val="-3"/>
                <w:sz w:val="16"/>
                <w:szCs w:val="16"/>
              </w:rPr>
              <w:t>20</w:t>
            </w:r>
          </w:p>
        </w:tc>
        <w:tc>
          <w:tcPr>
            <w:tcW w:w="488" w:type="dxa"/>
          </w:tcPr>
          <w:p w:rsidR="00EA40A3" w:rsidRDefault="00E86C16">
            <w:pPr>
              <w:spacing w:before="67" w:line="192" w:lineRule="auto"/>
              <w:ind w:left="204"/>
              <w:rPr>
                <w:rFonts w:ascii="宋体" w:eastAsia="宋体" w:hAnsi="宋体" w:cs="宋体"/>
                <w:sz w:val="15"/>
                <w:szCs w:val="15"/>
              </w:rPr>
            </w:pPr>
            <w:r>
              <w:rPr>
                <w:rFonts w:ascii="宋体" w:eastAsia="宋体" w:hAnsi="宋体" w:cs="宋体"/>
                <w:spacing w:val="-5"/>
                <w:sz w:val="15"/>
                <w:szCs w:val="15"/>
              </w:rPr>
              <w:t>161.</w:t>
            </w:r>
          </w:p>
        </w:tc>
        <w:tc>
          <w:tcPr>
            <w:tcW w:w="266" w:type="dxa"/>
          </w:tcPr>
          <w:p w:rsidR="00EA40A3" w:rsidRDefault="00E86C16">
            <w:pPr>
              <w:spacing w:before="68" w:line="182" w:lineRule="auto"/>
              <w:ind w:left="27"/>
              <w:rPr>
                <w:rFonts w:ascii="宋体" w:eastAsia="宋体" w:hAnsi="宋体" w:cs="宋体"/>
                <w:sz w:val="16"/>
                <w:szCs w:val="16"/>
              </w:rPr>
            </w:pPr>
            <w:r>
              <w:rPr>
                <w:rFonts w:ascii="宋体" w:eastAsia="宋体" w:hAnsi="宋体" w:cs="宋体"/>
                <w:sz w:val="16"/>
                <w:szCs w:val="16"/>
              </w:rPr>
              <w:t>5</w:t>
            </w:r>
          </w:p>
        </w:tc>
        <w:tc>
          <w:tcPr>
            <w:tcW w:w="914" w:type="dxa"/>
          </w:tcPr>
          <w:p w:rsidR="00EA40A3" w:rsidRDefault="00E86C16">
            <w:pPr>
              <w:spacing w:before="57" w:line="183" w:lineRule="auto"/>
              <w:ind w:left="340"/>
              <w:rPr>
                <w:rFonts w:ascii="宋体" w:eastAsia="宋体" w:hAnsi="宋体" w:cs="宋体"/>
                <w:sz w:val="16"/>
                <w:szCs w:val="16"/>
              </w:rPr>
            </w:pPr>
            <w:r>
              <w:rPr>
                <w:rFonts w:ascii="宋体" w:eastAsia="宋体" w:hAnsi="宋体" w:cs="宋体"/>
                <w:spacing w:val="-2"/>
                <w:sz w:val="16"/>
                <w:szCs w:val="16"/>
              </w:rPr>
              <w:t>38.6</w:t>
            </w:r>
          </w:p>
        </w:tc>
        <w:tc>
          <w:tcPr>
            <w:tcW w:w="756" w:type="dxa"/>
          </w:tcPr>
          <w:p w:rsidR="00EA40A3" w:rsidRDefault="00E86C16">
            <w:pPr>
              <w:spacing w:before="57" w:line="184" w:lineRule="auto"/>
              <w:ind w:left="216"/>
              <w:rPr>
                <w:rFonts w:ascii="宋体" w:eastAsia="宋体" w:hAnsi="宋体" w:cs="宋体"/>
                <w:sz w:val="16"/>
                <w:szCs w:val="16"/>
              </w:rPr>
            </w:pPr>
            <w:r>
              <w:rPr>
                <w:rFonts w:ascii="宋体" w:eastAsia="宋体" w:hAnsi="宋体" w:cs="宋体"/>
                <w:spacing w:val="-3"/>
                <w:sz w:val="16"/>
                <w:szCs w:val="16"/>
              </w:rPr>
              <w:t>147.7</w:t>
            </w:r>
          </w:p>
        </w:tc>
        <w:tc>
          <w:tcPr>
            <w:tcW w:w="900" w:type="dxa"/>
            <w:tcBorders>
              <w:right w:val="single" w:sz="4" w:space="0" w:color="000000"/>
            </w:tcBorders>
          </w:tcPr>
          <w:p w:rsidR="00EA40A3" w:rsidRDefault="00E86C16">
            <w:pPr>
              <w:spacing w:before="78" w:line="174" w:lineRule="auto"/>
              <w:ind w:left="340"/>
              <w:rPr>
                <w:rFonts w:ascii="宋体" w:eastAsia="宋体" w:hAnsi="宋体" w:cs="宋体"/>
                <w:sz w:val="16"/>
                <w:szCs w:val="16"/>
              </w:rPr>
            </w:pPr>
            <w:r>
              <w:rPr>
                <w:rFonts w:ascii="宋体" w:eastAsia="宋体" w:hAnsi="宋体" w:cs="宋体"/>
                <w:spacing w:val="-2"/>
                <w:sz w:val="16"/>
                <w:szCs w:val="16"/>
              </w:rPr>
              <w:t>35.3</w:t>
            </w:r>
          </w:p>
        </w:tc>
        <w:tc>
          <w:tcPr>
            <w:tcW w:w="313" w:type="dxa"/>
            <w:tcBorders>
              <w:left w:val="single" w:sz="4" w:space="0" w:color="000000"/>
            </w:tcBorders>
          </w:tcPr>
          <w:p w:rsidR="00EA40A3" w:rsidRDefault="00E86C16">
            <w:pPr>
              <w:spacing w:before="78" w:line="174" w:lineRule="auto"/>
              <w:ind w:left="65"/>
              <w:rPr>
                <w:rFonts w:ascii="宋体" w:eastAsia="宋体" w:hAnsi="宋体" w:cs="宋体"/>
                <w:sz w:val="16"/>
                <w:szCs w:val="16"/>
              </w:rPr>
            </w:pPr>
            <w:r>
              <w:rPr>
                <w:rFonts w:ascii="宋体" w:eastAsia="宋体" w:hAnsi="宋体" w:cs="宋体"/>
                <w:spacing w:val="-2"/>
                <w:sz w:val="16"/>
                <w:szCs w:val="16"/>
              </w:rPr>
              <w:t>80</w:t>
            </w:r>
          </w:p>
        </w:tc>
        <w:tc>
          <w:tcPr>
            <w:tcW w:w="485" w:type="dxa"/>
          </w:tcPr>
          <w:p w:rsidR="00EA40A3" w:rsidRDefault="00E86C16">
            <w:pPr>
              <w:spacing w:before="57" w:line="202" w:lineRule="auto"/>
              <w:ind w:left="207"/>
              <w:rPr>
                <w:rFonts w:ascii="宋体" w:eastAsia="宋体" w:hAnsi="宋体" w:cs="宋体"/>
                <w:sz w:val="14"/>
                <w:szCs w:val="14"/>
              </w:rPr>
            </w:pPr>
            <w:r>
              <w:rPr>
                <w:rFonts w:ascii="宋体" w:eastAsia="宋体" w:hAnsi="宋体" w:cs="宋体"/>
                <w:spacing w:val="-1"/>
                <w:sz w:val="14"/>
                <w:szCs w:val="14"/>
              </w:rPr>
              <w:t>138.</w:t>
            </w:r>
          </w:p>
        </w:tc>
        <w:tc>
          <w:tcPr>
            <w:tcW w:w="277" w:type="dxa"/>
          </w:tcPr>
          <w:p w:rsidR="00EA40A3" w:rsidRDefault="00E86C16">
            <w:pPr>
              <w:spacing w:before="56" w:line="184" w:lineRule="auto"/>
              <w:ind w:left="42"/>
              <w:rPr>
                <w:rFonts w:ascii="宋体" w:eastAsia="宋体" w:hAnsi="宋体" w:cs="宋体"/>
                <w:sz w:val="16"/>
                <w:szCs w:val="16"/>
              </w:rPr>
            </w:pPr>
            <w:r>
              <w:rPr>
                <w:rFonts w:ascii="宋体" w:eastAsia="宋体" w:hAnsi="宋体" w:cs="宋体"/>
                <w:sz w:val="16"/>
                <w:szCs w:val="16"/>
              </w:rPr>
              <w:t>1</w:t>
            </w:r>
          </w:p>
        </w:tc>
        <w:tc>
          <w:tcPr>
            <w:tcW w:w="903" w:type="dxa"/>
          </w:tcPr>
          <w:p w:rsidR="00EA40A3" w:rsidRDefault="00E86C16">
            <w:pPr>
              <w:spacing w:before="87" w:line="163" w:lineRule="auto"/>
              <w:ind w:left="335"/>
              <w:rPr>
                <w:rFonts w:ascii="宋体" w:eastAsia="宋体" w:hAnsi="宋体" w:cs="宋体"/>
                <w:sz w:val="16"/>
                <w:szCs w:val="16"/>
              </w:rPr>
            </w:pPr>
            <w:r>
              <w:rPr>
                <w:rFonts w:ascii="宋体" w:eastAsia="宋体" w:hAnsi="宋体" w:cs="宋体"/>
                <w:spacing w:val="-2"/>
                <w:sz w:val="16"/>
                <w:szCs w:val="16"/>
              </w:rPr>
              <w:t>33.0</w:t>
            </w:r>
          </w:p>
        </w:tc>
        <w:tc>
          <w:tcPr>
            <w:tcW w:w="773" w:type="dxa"/>
          </w:tcPr>
          <w:p w:rsidR="00EA40A3" w:rsidRDefault="00E86C16">
            <w:pPr>
              <w:spacing w:before="67" w:line="184" w:lineRule="auto"/>
              <w:ind w:left="202"/>
              <w:rPr>
                <w:rFonts w:ascii="宋体" w:eastAsia="宋体" w:hAnsi="宋体" w:cs="宋体"/>
                <w:sz w:val="16"/>
                <w:szCs w:val="16"/>
              </w:rPr>
            </w:pPr>
            <w:r>
              <w:rPr>
                <w:rFonts w:ascii="宋体" w:eastAsia="宋体" w:hAnsi="宋体" w:cs="宋体"/>
                <w:spacing w:val="-3"/>
                <w:sz w:val="16"/>
                <w:szCs w:val="16"/>
              </w:rPr>
              <w:t>129.3</w:t>
            </w:r>
          </w:p>
        </w:tc>
        <w:tc>
          <w:tcPr>
            <w:tcW w:w="897" w:type="dxa"/>
          </w:tcPr>
          <w:p w:rsidR="00EA40A3" w:rsidRDefault="00E86C16">
            <w:pPr>
              <w:spacing w:before="87" w:line="163" w:lineRule="auto"/>
              <w:ind w:left="309"/>
              <w:rPr>
                <w:rFonts w:ascii="宋体" w:eastAsia="宋体" w:hAnsi="宋体" w:cs="宋体"/>
                <w:sz w:val="16"/>
                <w:szCs w:val="16"/>
              </w:rPr>
            </w:pPr>
            <w:r>
              <w:rPr>
                <w:rFonts w:ascii="宋体" w:eastAsia="宋体" w:hAnsi="宋体" w:cs="宋体"/>
                <w:spacing w:val="-2"/>
                <w:sz w:val="16"/>
                <w:szCs w:val="16"/>
              </w:rPr>
              <w:t>30.9</w:t>
            </w:r>
          </w:p>
        </w:tc>
      </w:tr>
      <w:tr w:rsidR="00EA40A3">
        <w:trPr>
          <w:trHeight w:val="196"/>
        </w:trPr>
        <w:tc>
          <w:tcPr>
            <w:tcW w:w="296" w:type="dxa"/>
            <w:tcBorders>
              <w:bottom w:val="single" w:sz="4" w:space="0" w:color="000000"/>
            </w:tcBorders>
          </w:tcPr>
          <w:p w:rsidR="00EA40A3" w:rsidRDefault="00E86C16">
            <w:pPr>
              <w:spacing w:before="48" w:line="170" w:lineRule="auto"/>
              <w:ind w:left="70"/>
              <w:rPr>
                <w:rFonts w:ascii="宋体" w:eastAsia="宋体" w:hAnsi="宋体" w:cs="宋体"/>
                <w:sz w:val="16"/>
                <w:szCs w:val="16"/>
              </w:rPr>
            </w:pPr>
            <w:r>
              <w:rPr>
                <w:rFonts w:ascii="宋体" w:eastAsia="宋体" w:hAnsi="宋体" w:cs="宋体"/>
                <w:spacing w:val="-3"/>
                <w:sz w:val="16"/>
                <w:szCs w:val="16"/>
              </w:rPr>
              <w:t>25</w:t>
            </w:r>
          </w:p>
        </w:tc>
        <w:tc>
          <w:tcPr>
            <w:tcW w:w="488" w:type="dxa"/>
            <w:tcBorders>
              <w:bottom w:val="single" w:sz="4" w:space="0" w:color="000000"/>
            </w:tcBorders>
          </w:tcPr>
          <w:p w:rsidR="00EA40A3" w:rsidRDefault="00E86C16">
            <w:pPr>
              <w:spacing w:before="57" w:line="170" w:lineRule="auto"/>
              <w:ind w:left="204"/>
              <w:rPr>
                <w:rFonts w:ascii="宋体" w:eastAsia="宋体" w:hAnsi="宋体" w:cs="宋体"/>
                <w:sz w:val="15"/>
                <w:szCs w:val="15"/>
              </w:rPr>
            </w:pPr>
            <w:r>
              <w:rPr>
                <w:rFonts w:ascii="宋体" w:eastAsia="宋体" w:hAnsi="宋体" w:cs="宋体"/>
                <w:spacing w:val="-5"/>
                <w:sz w:val="15"/>
                <w:szCs w:val="15"/>
              </w:rPr>
              <w:t>156.</w:t>
            </w:r>
          </w:p>
        </w:tc>
        <w:tc>
          <w:tcPr>
            <w:tcW w:w="266" w:type="dxa"/>
            <w:tcBorders>
              <w:bottom w:val="single" w:sz="4" w:space="0" w:color="000000"/>
            </w:tcBorders>
          </w:tcPr>
          <w:p w:rsidR="00EA40A3" w:rsidRDefault="00E86C16">
            <w:pPr>
              <w:spacing w:before="59" w:line="158" w:lineRule="auto"/>
              <w:ind w:left="24"/>
              <w:rPr>
                <w:rFonts w:ascii="宋体" w:eastAsia="宋体" w:hAnsi="宋体" w:cs="宋体"/>
                <w:sz w:val="16"/>
                <w:szCs w:val="16"/>
              </w:rPr>
            </w:pPr>
            <w:r>
              <w:rPr>
                <w:rFonts w:ascii="宋体" w:eastAsia="宋体" w:hAnsi="宋体" w:cs="宋体"/>
                <w:sz w:val="16"/>
                <w:szCs w:val="16"/>
              </w:rPr>
              <w:t>9</w:t>
            </w:r>
          </w:p>
        </w:tc>
        <w:tc>
          <w:tcPr>
            <w:tcW w:w="914" w:type="dxa"/>
            <w:tcBorders>
              <w:bottom w:val="single" w:sz="4" w:space="0" w:color="000000"/>
            </w:tcBorders>
          </w:tcPr>
          <w:p w:rsidR="00EA40A3" w:rsidRDefault="00E86C16">
            <w:pPr>
              <w:spacing w:before="68" w:line="127" w:lineRule="exact"/>
              <w:ind w:left="340"/>
              <w:rPr>
                <w:rFonts w:ascii="宋体" w:eastAsia="宋体" w:hAnsi="宋体" w:cs="宋体"/>
                <w:sz w:val="16"/>
                <w:szCs w:val="16"/>
              </w:rPr>
            </w:pPr>
            <w:r>
              <w:rPr>
                <w:rFonts w:ascii="宋体" w:eastAsia="宋体" w:hAnsi="宋体" w:cs="宋体"/>
                <w:spacing w:val="-2"/>
                <w:position w:val="-2"/>
                <w:sz w:val="16"/>
                <w:szCs w:val="16"/>
              </w:rPr>
              <w:t>37.5</w:t>
            </w:r>
          </w:p>
        </w:tc>
        <w:tc>
          <w:tcPr>
            <w:tcW w:w="756" w:type="dxa"/>
            <w:tcBorders>
              <w:bottom w:val="single" w:sz="4" w:space="0" w:color="000000"/>
            </w:tcBorders>
          </w:tcPr>
          <w:p w:rsidR="00EA40A3" w:rsidRDefault="00E86C16">
            <w:pPr>
              <w:spacing w:before="68" w:line="127" w:lineRule="exact"/>
              <w:ind w:left="226"/>
              <w:rPr>
                <w:rFonts w:ascii="宋体" w:eastAsia="宋体" w:hAnsi="宋体" w:cs="宋体"/>
                <w:sz w:val="16"/>
                <w:szCs w:val="16"/>
              </w:rPr>
            </w:pPr>
            <w:r>
              <w:rPr>
                <w:rFonts w:ascii="宋体" w:eastAsia="宋体" w:hAnsi="宋体" w:cs="宋体"/>
                <w:spacing w:val="-3"/>
                <w:position w:val="-2"/>
                <w:sz w:val="16"/>
                <w:szCs w:val="16"/>
              </w:rPr>
              <w:t>147.3</w:t>
            </w:r>
          </w:p>
        </w:tc>
        <w:tc>
          <w:tcPr>
            <w:tcW w:w="900" w:type="dxa"/>
            <w:tcBorders>
              <w:bottom w:val="single" w:sz="4" w:space="0" w:color="000000"/>
              <w:right w:val="single" w:sz="4" w:space="0" w:color="000000"/>
            </w:tcBorders>
          </w:tcPr>
          <w:p w:rsidR="00EA40A3" w:rsidRDefault="00E86C16">
            <w:pPr>
              <w:spacing w:before="68" w:line="127" w:lineRule="exact"/>
              <w:ind w:left="340"/>
              <w:rPr>
                <w:rFonts w:ascii="宋体" w:eastAsia="宋体" w:hAnsi="宋体" w:cs="宋体"/>
                <w:sz w:val="16"/>
                <w:szCs w:val="16"/>
              </w:rPr>
            </w:pPr>
            <w:r>
              <w:rPr>
                <w:rFonts w:ascii="宋体" w:eastAsia="宋体" w:hAnsi="宋体" w:cs="宋体"/>
                <w:spacing w:val="-2"/>
                <w:position w:val="-2"/>
                <w:sz w:val="16"/>
                <w:szCs w:val="16"/>
              </w:rPr>
              <w:t>35.2</w:t>
            </w:r>
          </w:p>
        </w:tc>
        <w:tc>
          <w:tcPr>
            <w:tcW w:w="313" w:type="dxa"/>
            <w:tcBorders>
              <w:left w:val="single" w:sz="4" w:space="0" w:color="000000"/>
              <w:bottom w:val="single" w:sz="4" w:space="0" w:color="000000"/>
            </w:tcBorders>
          </w:tcPr>
          <w:p w:rsidR="00EA40A3" w:rsidRDefault="00EA40A3">
            <w:pPr>
              <w:spacing w:line="195" w:lineRule="exact"/>
              <w:rPr>
                <w:sz w:val="17"/>
              </w:rPr>
            </w:pPr>
          </w:p>
        </w:tc>
        <w:tc>
          <w:tcPr>
            <w:tcW w:w="485" w:type="dxa"/>
            <w:tcBorders>
              <w:bottom w:val="single" w:sz="4" w:space="0" w:color="000000"/>
            </w:tcBorders>
          </w:tcPr>
          <w:p w:rsidR="00EA40A3" w:rsidRDefault="00EA40A3">
            <w:pPr>
              <w:spacing w:line="195" w:lineRule="exact"/>
              <w:rPr>
                <w:sz w:val="17"/>
              </w:rPr>
            </w:pPr>
          </w:p>
        </w:tc>
        <w:tc>
          <w:tcPr>
            <w:tcW w:w="277" w:type="dxa"/>
            <w:tcBorders>
              <w:bottom w:val="single" w:sz="4" w:space="0" w:color="000000"/>
            </w:tcBorders>
          </w:tcPr>
          <w:p w:rsidR="00EA40A3" w:rsidRDefault="00EA40A3">
            <w:pPr>
              <w:spacing w:line="195" w:lineRule="exact"/>
              <w:rPr>
                <w:sz w:val="17"/>
              </w:rPr>
            </w:pPr>
          </w:p>
        </w:tc>
        <w:tc>
          <w:tcPr>
            <w:tcW w:w="903" w:type="dxa"/>
            <w:tcBorders>
              <w:bottom w:val="single" w:sz="4" w:space="0" w:color="000000"/>
            </w:tcBorders>
          </w:tcPr>
          <w:p w:rsidR="00EA40A3" w:rsidRDefault="00EA40A3">
            <w:pPr>
              <w:spacing w:line="195" w:lineRule="exact"/>
              <w:rPr>
                <w:sz w:val="17"/>
              </w:rPr>
            </w:pPr>
          </w:p>
        </w:tc>
        <w:tc>
          <w:tcPr>
            <w:tcW w:w="773" w:type="dxa"/>
            <w:tcBorders>
              <w:bottom w:val="single" w:sz="4" w:space="0" w:color="000000"/>
            </w:tcBorders>
          </w:tcPr>
          <w:p w:rsidR="00EA40A3" w:rsidRDefault="00EA40A3">
            <w:pPr>
              <w:spacing w:line="195" w:lineRule="exact"/>
              <w:rPr>
                <w:sz w:val="17"/>
              </w:rPr>
            </w:pPr>
          </w:p>
        </w:tc>
        <w:tc>
          <w:tcPr>
            <w:tcW w:w="897" w:type="dxa"/>
            <w:tcBorders>
              <w:bottom w:val="single" w:sz="4" w:space="0" w:color="000000"/>
            </w:tcBorders>
          </w:tcPr>
          <w:p w:rsidR="00EA40A3" w:rsidRDefault="00EA40A3">
            <w:pPr>
              <w:spacing w:line="195" w:lineRule="exact"/>
              <w:rPr>
                <w:sz w:val="17"/>
              </w:rPr>
            </w:pPr>
          </w:p>
        </w:tc>
      </w:tr>
    </w:tbl>
    <w:p w:rsidR="00EA40A3" w:rsidRDefault="00E86C16">
      <w:pPr>
        <w:spacing w:before="91" w:line="219" w:lineRule="auto"/>
        <w:ind w:left="439"/>
        <w:rPr>
          <w:rFonts w:ascii="宋体" w:eastAsia="宋体" w:hAnsi="宋体" w:cs="宋体"/>
          <w:sz w:val="16"/>
          <w:szCs w:val="16"/>
        </w:rPr>
      </w:pPr>
      <w:r>
        <w:rPr>
          <w:rFonts w:ascii="宋体" w:eastAsia="宋体" w:hAnsi="宋体" w:cs="宋体"/>
          <w:sz w:val="16"/>
          <w:szCs w:val="16"/>
        </w:rPr>
        <w:t>资料来源：何志谦.2000.人类营养学</w:t>
      </w:r>
    </w:p>
    <w:p w:rsidR="00EA40A3" w:rsidRDefault="00E86C16">
      <w:pPr>
        <w:spacing w:before="268" w:line="222" w:lineRule="auto"/>
        <w:ind w:left="2452"/>
        <w:rPr>
          <w:rFonts w:ascii="黑体" w:eastAsia="黑体" w:hAnsi="黑体" w:cs="黑体"/>
          <w:sz w:val="20"/>
          <w:szCs w:val="20"/>
        </w:rPr>
      </w:pPr>
      <w:r>
        <w:rPr>
          <w:rFonts w:ascii="黑体" w:eastAsia="黑体" w:hAnsi="黑体" w:cs="黑体"/>
          <w:b/>
          <w:bCs/>
          <w:spacing w:val="-11"/>
          <w:sz w:val="20"/>
          <w:szCs w:val="20"/>
        </w:rPr>
        <w:t>表3-2</w:t>
      </w:r>
      <w:r>
        <w:rPr>
          <w:rFonts w:ascii="黑体" w:eastAsia="黑体" w:hAnsi="黑体" w:cs="黑体"/>
          <w:spacing w:val="51"/>
          <w:sz w:val="20"/>
          <w:szCs w:val="20"/>
        </w:rPr>
        <w:t xml:space="preserve"> </w:t>
      </w:r>
      <w:r>
        <w:rPr>
          <w:rFonts w:ascii="黑体" w:eastAsia="黑体" w:hAnsi="黑体" w:cs="黑体"/>
          <w:b/>
          <w:bCs/>
          <w:spacing w:val="-11"/>
          <w:sz w:val="20"/>
          <w:szCs w:val="20"/>
        </w:rPr>
        <w:t>按体重计算BMR</w:t>
      </w:r>
      <w:r>
        <w:rPr>
          <w:rFonts w:ascii="黑体" w:eastAsia="黑体" w:hAnsi="黑体" w:cs="黑体"/>
          <w:spacing w:val="39"/>
          <w:sz w:val="20"/>
          <w:szCs w:val="20"/>
        </w:rPr>
        <w:t xml:space="preserve"> </w:t>
      </w:r>
      <w:r>
        <w:rPr>
          <w:rFonts w:ascii="黑体" w:eastAsia="黑体" w:hAnsi="黑体" w:cs="黑体"/>
          <w:b/>
          <w:bCs/>
          <w:spacing w:val="-11"/>
          <w:sz w:val="20"/>
          <w:szCs w:val="20"/>
        </w:rPr>
        <w:t>的公式</w:t>
      </w:r>
    </w:p>
    <w:p w:rsidR="00EA40A3" w:rsidRDefault="00EA40A3">
      <w:pPr>
        <w:spacing w:line="68" w:lineRule="exact"/>
      </w:pPr>
    </w:p>
    <w:p w:rsidR="00EA40A3" w:rsidRDefault="00EA40A3">
      <w:pPr>
        <w:sectPr w:rsidR="00EA40A3">
          <w:footerReference w:type="default" r:id="rId45"/>
          <w:pgSz w:w="9220" w:h="13360"/>
          <w:pgMar w:top="400" w:right="921" w:bottom="1185" w:left="890" w:header="0" w:footer="964" w:gutter="0"/>
          <w:cols w:space="720" w:equalWidth="0">
            <w:col w:w="7409"/>
          </w:cols>
        </w:sectPr>
      </w:pPr>
    </w:p>
    <w:p w:rsidR="00EA40A3" w:rsidRDefault="00E86C16">
      <w:pPr>
        <w:spacing w:before="64" w:line="219" w:lineRule="auto"/>
        <w:ind w:left="300"/>
        <w:rPr>
          <w:rFonts w:ascii="宋体" w:eastAsia="宋体" w:hAnsi="宋体" w:cs="宋体"/>
          <w:sz w:val="16"/>
          <w:szCs w:val="16"/>
        </w:rPr>
      </w:pPr>
      <w:r>
        <w:rPr>
          <w:rFonts w:ascii="宋体" w:eastAsia="宋体" w:hAnsi="宋体" w:cs="宋体"/>
          <w:spacing w:val="5"/>
          <w:sz w:val="16"/>
          <w:szCs w:val="16"/>
        </w:rPr>
        <w:t>年龄/岁</w:t>
      </w:r>
    </w:p>
    <w:p w:rsidR="00EA40A3" w:rsidRDefault="00E86C16">
      <w:pPr>
        <w:spacing w:line="14" w:lineRule="auto"/>
        <w:rPr>
          <w:sz w:val="2"/>
        </w:rPr>
      </w:pPr>
      <w:r>
        <w:rPr>
          <w:sz w:val="2"/>
          <w:szCs w:val="2"/>
        </w:rPr>
        <w:br w:type="column"/>
      </w:r>
    </w:p>
    <w:p w:rsidR="00EA40A3" w:rsidRDefault="00E86C16">
      <w:pPr>
        <w:spacing w:before="35" w:line="222" w:lineRule="auto"/>
        <w:rPr>
          <w:rFonts w:ascii="宋体" w:eastAsia="宋体" w:hAnsi="宋体" w:cs="宋体"/>
          <w:sz w:val="16"/>
          <w:szCs w:val="16"/>
        </w:rPr>
      </w:pPr>
      <w:r>
        <w:rPr>
          <w:rFonts w:ascii="宋体" w:eastAsia="宋体" w:hAnsi="宋体" w:cs="宋体"/>
          <w:spacing w:val="-1"/>
          <w:sz w:val="16"/>
          <w:szCs w:val="16"/>
        </w:rPr>
        <w:t>BMR/(kcal/d)</w:t>
      </w:r>
    </w:p>
    <w:p w:rsidR="00EA40A3" w:rsidRDefault="00E86C16">
      <w:pPr>
        <w:spacing w:line="14" w:lineRule="auto"/>
        <w:rPr>
          <w:sz w:val="2"/>
        </w:rPr>
      </w:pPr>
      <w:r>
        <w:rPr>
          <w:sz w:val="2"/>
          <w:szCs w:val="2"/>
        </w:rPr>
        <w:br w:type="column"/>
      </w:r>
    </w:p>
    <w:p w:rsidR="00EA40A3" w:rsidRDefault="00E86C16">
      <w:pPr>
        <w:spacing w:before="74" w:line="115" w:lineRule="exact"/>
        <w:ind w:left="809"/>
        <w:rPr>
          <w:rFonts w:ascii="宋体" w:eastAsia="宋体" w:hAnsi="宋体" w:cs="宋体"/>
          <w:sz w:val="16"/>
          <w:szCs w:val="16"/>
        </w:rPr>
      </w:pPr>
      <w:r>
        <w:rPr>
          <w:rFonts w:ascii="宋体" w:eastAsia="宋体" w:hAnsi="宋体" w:cs="宋体"/>
          <w:spacing w:val="-2"/>
          <w:position w:val="-2"/>
          <w:sz w:val="16"/>
          <w:szCs w:val="16"/>
        </w:rPr>
        <w:t>SD</w:t>
      </w:r>
    </w:p>
    <w:p w:rsidR="00EA40A3" w:rsidRDefault="00825D12">
      <w:pPr>
        <w:spacing w:line="84" w:lineRule="exact"/>
        <w:rPr>
          <w:rFonts w:ascii="宋体" w:eastAsia="宋体" w:hAnsi="宋体" w:cs="宋体"/>
          <w:sz w:val="16"/>
          <w:szCs w:val="16"/>
        </w:rPr>
      </w:pPr>
      <w:r>
        <w:rPr>
          <w:noProof/>
        </w:rPr>
        <mc:AlternateContent>
          <mc:Choice Requires="wps">
            <w:drawing>
              <wp:anchor distT="0" distB="0" distL="114300" distR="114300" simplePos="0" relativeHeight="251677696" behindDoc="1" locked="0" layoutInCell="1" allowOverlap="1">
                <wp:simplePos x="0" y="0"/>
                <wp:positionH relativeFrom="column">
                  <wp:posOffset>-1866265</wp:posOffset>
                </wp:positionH>
                <wp:positionV relativeFrom="paragraph">
                  <wp:posOffset>45085</wp:posOffset>
                </wp:positionV>
                <wp:extent cx="4667250" cy="6350"/>
                <wp:effectExtent l="0" t="3175" r="1905" b="0"/>
                <wp:wrapNone/>
                <wp:docPr id="13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0469F" id="Rectangle 27" o:spid="_x0000_s1026" style="position:absolute;left:0;text-align:left;margin-left:-146.95pt;margin-top:3.55pt;width:367.5pt;height:.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" fillcolor="black" stroked="f"/>
            </w:pict>
          </mc:Fallback>
        </mc:AlternateContent>
      </w:r>
      <w:r w:rsidR="00E86C16">
        <w:rPr>
          <w:rFonts w:ascii="宋体" w:eastAsia="宋体" w:hAnsi="宋体" w:cs="宋体"/>
          <w:position w:val="-1"/>
          <w:sz w:val="16"/>
          <w:szCs w:val="16"/>
        </w:rPr>
        <w:t>r</w:t>
      </w:r>
    </w:p>
    <w:p w:rsidR="00EA40A3" w:rsidRDefault="00E86C16">
      <w:pPr>
        <w:spacing w:line="14" w:lineRule="auto"/>
        <w:rPr>
          <w:sz w:val="2"/>
        </w:rPr>
      </w:pPr>
      <w:r>
        <w:rPr>
          <w:sz w:val="2"/>
          <w:szCs w:val="2"/>
        </w:rPr>
        <w:br w:type="column"/>
      </w:r>
    </w:p>
    <w:p w:rsidR="00EA40A3" w:rsidRDefault="00E86C16">
      <w:pPr>
        <w:spacing w:before="31" w:line="218" w:lineRule="auto"/>
        <w:rPr>
          <w:rFonts w:ascii="宋体" w:eastAsia="宋体" w:hAnsi="宋体" w:cs="宋体"/>
          <w:sz w:val="16"/>
          <w:szCs w:val="16"/>
        </w:rPr>
      </w:pPr>
      <w:r>
        <w:rPr>
          <w:rFonts w:ascii="宋体" w:eastAsia="宋体" w:hAnsi="宋体" w:cs="宋体"/>
          <w:spacing w:val="-1"/>
          <w:sz w:val="16"/>
          <w:szCs w:val="16"/>
        </w:rPr>
        <w:t>BMR/(MJ/d)</w:t>
      </w:r>
    </w:p>
    <w:p w:rsidR="00EA40A3" w:rsidRDefault="00E86C16">
      <w:pPr>
        <w:spacing w:line="14" w:lineRule="auto"/>
        <w:rPr>
          <w:sz w:val="2"/>
        </w:rPr>
      </w:pPr>
      <w:r>
        <w:rPr>
          <w:sz w:val="2"/>
          <w:szCs w:val="2"/>
        </w:rPr>
        <w:br w:type="column"/>
      </w:r>
    </w:p>
    <w:p w:rsidR="00EA40A3" w:rsidRDefault="00E86C16">
      <w:pPr>
        <w:spacing w:before="113" w:line="184" w:lineRule="auto"/>
        <w:ind w:left="201"/>
        <w:rPr>
          <w:rFonts w:ascii="宋体" w:eastAsia="宋体" w:hAnsi="宋体" w:cs="宋体"/>
          <w:sz w:val="16"/>
          <w:szCs w:val="16"/>
        </w:rPr>
      </w:pPr>
      <w:r>
        <w:rPr>
          <w:rFonts w:ascii="宋体" w:eastAsia="宋体" w:hAnsi="宋体" w:cs="宋体"/>
          <w:sz w:val="16"/>
          <w:szCs w:val="16"/>
        </w:rPr>
        <w:t>厂</w:t>
      </w:r>
    </w:p>
    <w:p w:rsidR="00EA40A3" w:rsidRDefault="00E86C16">
      <w:pPr>
        <w:spacing w:line="14" w:lineRule="auto"/>
        <w:rPr>
          <w:sz w:val="2"/>
        </w:rPr>
      </w:pPr>
      <w:r>
        <w:rPr>
          <w:sz w:val="2"/>
          <w:szCs w:val="2"/>
        </w:rPr>
        <w:br w:type="column"/>
      </w:r>
    </w:p>
    <w:p w:rsidR="00EA40A3" w:rsidRDefault="00E86C16">
      <w:pPr>
        <w:spacing w:before="74" w:line="183" w:lineRule="auto"/>
        <w:ind w:left="171"/>
        <w:rPr>
          <w:rFonts w:ascii="宋体" w:eastAsia="宋体" w:hAnsi="宋体" w:cs="宋体"/>
          <w:sz w:val="16"/>
          <w:szCs w:val="16"/>
        </w:rPr>
      </w:pPr>
      <w:r>
        <w:rPr>
          <w:rFonts w:ascii="宋体" w:eastAsia="宋体" w:hAnsi="宋体" w:cs="宋体"/>
          <w:spacing w:val="-2"/>
          <w:sz w:val="16"/>
          <w:szCs w:val="16"/>
        </w:rPr>
        <w:t>SD</w:t>
      </w:r>
    </w:p>
    <w:p w:rsidR="00EA40A3" w:rsidRDefault="00EA40A3">
      <w:pPr>
        <w:sectPr w:rsidR="00EA40A3">
          <w:type w:val="continuous"/>
          <w:pgSz w:w="9220" w:h="13360"/>
          <w:pgMar w:top="400" w:right="921" w:bottom="1185" w:left="890" w:header="0" w:footer="964" w:gutter="0"/>
          <w:cols w:num="6" w:space="720" w:equalWidth="0">
            <w:col w:w="1241" w:space="100"/>
            <w:col w:w="1520" w:space="100"/>
            <w:col w:w="1461" w:space="100"/>
            <w:col w:w="1349" w:space="100"/>
            <w:col w:w="720" w:space="0"/>
            <w:col w:w="720"/>
          </w:cols>
        </w:sectPr>
      </w:pPr>
    </w:p>
    <w:p w:rsidR="00EA40A3" w:rsidRDefault="00EA40A3">
      <w:pPr>
        <w:spacing w:line="70" w:lineRule="exact"/>
      </w:pPr>
    </w:p>
    <w:tbl>
      <w:tblPr>
        <w:tblStyle w:val="TableNormal"/>
        <w:tblW w:w="6962" w:type="dxa"/>
        <w:tblInd w:w="17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30"/>
        <w:gridCol w:w="1526"/>
        <w:gridCol w:w="1065"/>
        <w:gridCol w:w="2200"/>
        <w:gridCol w:w="940"/>
        <w:gridCol w:w="601"/>
      </w:tblGrid>
      <w:tr w:rsidR="00EA40A3">
        <w:trPr>
          <w:trHeight w:val="210"/>
        </w:trPr>
        <w:tc>
          <w:tcPr>
            <w:tcW w:w="630" w:type="dxa"/>
          </w:tcPr>
          <w:p w:rsidR="00EA40A3" w:rsidRDefault="00E86C16">
            <w:pPr>
              <w:spacing w:line="220" w:lineRule="auto"/>
              <w:ind w:left="40"/>
              <w:rPr>
                <w:rFonts w:ascii="宋体" w:eastAsia="宋体" w:hAnsi="宋体" w:cs="宋体"/>
                <w:sz w:val="16"/>
                <w:szCs w:val="16"/>
              </w:rPr>
            </w:pPr>
            <w:r>
              <w:rPr>
                <w:rFonts w:ascii="宋体" w:eastAsia="宋体" w:hAnsi="宋体" w:cs="宋体"/>
                <w:sz w:val="16"/>
                <w:szCs w:val="16"/>
              </w:rPr>
              <w:t>男</w:t>
            </w:r>
          </w:p>
        </w:tc>
        <w:tc>
          <w:tcPr>
            <w:tcW w:w="1526" w:type="dxa"/>
          </w:tcPr>
          <w:p w:rsidR="00EA40A3" w:rsidRDefault="00EA40A3">
            <w:pPr>
              <w:spacing w:line="210" w:lineRule="exact"/>
              <w:rPr>
                <w:sz w:val="18"/>
              </w:rPr>
            </w:pPr>
          </w:p>
        </w:tc>
        <w:tc>
          <w:tcPr>
            <w:tcW w:w="1065" w:type="dxa"/>
          </w:tcPr>
          <w:p w:rsidR="00EA40A3" w:rsidRDefault="00EA40A3">
            <w:pPr>
              <w:spacing w:line="210" w:lineRule="exact"/>
              <w:rPr>
                <w:sz w:val="18"/>
              </w:rPr>
            </w:pPr>
          </w:p>
        </w:tc>
        <w:tc>
          <w:tcPr>
            <w:tcW w:w="2200" w:type="dxa"/>
          </w:tcPr>
          <w:p w:rsidR="00EA40A3" w:rsidRDefault="00EA40A3">
            <w:pPr>
              <w:spacing w:line="210" w:lineRule="exact"/>
              <w:rPr>
                <w:sz w:val="18"/>
              </w:rPr>
            </w:pPr>
          </w:p>
        </w:tc>
        <w:tc>
          <w:tcPr>
            <w:tcW w:w="940" w:type="dxa"/>
          </w:tcPr>
          <w:p w:rsidR="00EA40A3" w:rsidRDefault="00EA40A3">
            <w:pPr>
              <w:spacing w:line="210" w:lineRule="exact"/>
              <w:rPr>
                <w:sz w:val="18"/>
              </w:rPr>
            </w:pPr>
          </w:p>
        </w:tc>
        <w:tc>
          <w:tcPr>
            <w:tcW w:w="601" w:type="dxa"/>
          </w:tcPr>
          <w:p w:rsidR="00EA40A3" w:rsidRDefault="00EA40A3">
            <w:pPr>
              <w:spacing w:line="210" w:lineRule="exact"/>
              <w:rPr>
                <w:sz w:val="18"/>
              </w:rPr>
            </w:pPr>
          </w:p>
        </w:tc>
      </w:tr>
      <w:tr w:rsidR="00EA40A3">
        <w:trPr>
          <w:trHeight w:val="236"/>
        </w:trPr>
        <w:tc>
          <w:tcPr>
            <w:tcW w:w="630" w:type="dxa"/>
          </w:tcPr>
          <w:p w:rsidR="00EA40A3" w:rsidRDefault="00E86C16">
            <w:pPr>
              <w:spacing w:before="60" w:line="183" w:lineRule="auto"/>
              <w:ind w:left="40"/>
              <w:rPr>
                <w:rFonts w:ascii="宋体" w:eastAsia="宋体" w:hAnsi="宋体" w:cs="宋体"/>
                <w:sz w:val="16"/>
                <w:szCs w:val="16"/>
              </w:rPr>
            </w:pPr>
            <w:r>
              <w:rPr>
                <w:rFonts w:ascii="宋体" w:eastAsia="宋体" w:hAnsi="宋体" w:cs="宋体"/>
                <w:spacing w:val="12"/>
                <w:w w:val="122"/>
                <w:sz w:val="16"/>
                <w:szCs w:val="16"/>
              </w:rPr>
              <w:t>0~</w:t>
            </w:r>
          </w:p>
        </w:tc>
        <w:tc>
          <w:tcPr>
            <w:tcW w:w="1526" w:type="dxa"/>
          </w:tcPr>
          <w:p w:rsidR="00EA40A3" w:rsidRDefault="00E86C16">
            <w:pPr>
              <w:spacing w:before="50" w:line="183" w:lineRule="auto"/>
              <w:ind w:left="349"/>
              <w:rPr>
                <w:rFonts w:ascii="宋体" w:eastAsia="宋体" w:hAnsi="宋体" w:cs="宋体"/>
                <w:sz w:val="16"/>
                <w:szCs w:val="16"/>
              </w:rPr>
            </w:pPr>
            <w:r>
              <w:rPr>
                <w:rFonts w:ascii="宋体" w:eastAsia="宋体" w:hAnsi="宋体" w:cs="宋体"/>
                <w:spacing w:val="-1"/>
                <w:sz w:val="16"/>
                <w:szCs w:val="16"/>
              </w:rPr>
              <w:t>60.9m-54</w:t>
            </w:r>
          </w:p>
        </w:tc>
        <w:tc>
          <w:tcPr>
            <w:tcW w:w="1065" w:type="dxa"/>
          </w:tcPr>
          <w:p w:rsidR="00EA40A3" w:rsidRDefault="00E86C16">
            <w:pPr>
              <w:spacing w:before="80" w:line="179" w:lineRule="auto"/>
              <w:ind w:left="514"/>
              <w:rPr>
                <w:rFonts w:ascii="宋体" w:eastAsia="宋体" w:hAnsi="宋体" w:cs="宋体"/>
                <w:sz w:val="16"/>
                <w:szCs w:val="16"/>
              </w:rPr>
            </w:pPr>
            <w:r>
              <w:rPr>
                <w:rFonts w:ascii="宋体" w:eastAsia="宋体" w:hAnsi="宋体" w:cs="宋体"/>
                <w:spacing w:val="-2"/>
                <w:sz w:val="16"/>
                <w:szCs w:val="16"/>
              </w:rPr>
              <w:t>0.97</w:t>
            </w:r>
          </w:p>
        </w:tc>
        <w:tc>
          <w:tcPr>
            <w:tcW w:w="2200" w:type="dxa"/>
          </w:tcPr>
          <w:p w:rsidR="00EA40A3" w:rsidRDefault="00E86C16">
            <w:pPr>
              <w:spacing w:before="60" w:line="194" w:lineRule="auto"/>
              <w:ind w:left="378"/>
              <w:rPr>
                <w:rFonts w:ascii="宋体" w:eastAsia="宋体" w:hAnsi="宋体" w:cs="宋体"/>
                <w:sz w:val="16"/>
                <w:szCs w:val="16"/>
              </w:rPr>
            </w:pPr>
            <w:r>
              <w:rPr>
                <w:rFonts w:ascii="宋体" w:eastAsia="宋体" w:hAnsi="宋体" w:cs="宋体"/>
                <w:spacing w:val="-2"/>
                <w:sz w:val="16"/>
                <w:szCs w:val="16"/>
              </w:rPr>
              <w:t>53</w:t>
            </w:r>
            <w:r>
              <w:rPr>
                <w:rFonts w:ascii="宋体" w:eastAsia="宋体" w:hAnsi="宋体" w:cs="宋体"/>
                <w:spacing w:val="12"/>
                <w:sz w:val="16"/>
                <w:szCs w:val="16"/>
              </w:rPr>
              <w:t xml:space="preserve">    </w:t>
            </w:r>
            <w:r>
              <w:rPr>
                <w:rFonts w:ascii="宋体" w:eastAsia="宋体" w:hAnsi="宋体" w:cs="宋体"/>
                <w:spacing w:val="-2"/>
                <w:sz w:val="16"/>
                <w:szCs w:val="16"/>
              </w:rPr>
              <w:t>0.255m-0.226</w:t>
            </w:r>
          </w:p>
        </w:tc>
        <w:tc>
          <w:tcPr>
            <w:tcW w:w="940" w:type="dxa"/>
          </w:tcPr>
          <w:p w:rsidR="00EA40A3" w:rsidRDefault="00E86C16">
            <w:pPr>
              <w:spacing w:before="70" w:line="183" w:lineRule="auto"/>
              <w:ind w:left="418"/>
              <w:rPr>
                <w:rFonts w:ascii="宋体" w:eastAsia="宋体" w:hAnsi="宋体" w:cs="宋体"/>
                <w:sz w:val="16"/>
                <w:szCs w:val="16"/>
              </w:rPr>
            </w:pPr>
            <w:r>
              <w:rPr>
                <w:rFonts w:ascii="宋体" w:eastAsia="宋体" w:hAnsi="宋体" w:cs="宋体"/>
                <w:spacing w:val="-2"/>
                <w:sz w:val="16"/>
                <w:szCs w:val="16"/>
              </w:rPr>
              <w:t>0.97</w:t>
            </w:r>
          </w:p>
        </w:tc>
        <w:tc>
          <w:tcPr>
            <w:tcW w:w="601" w:type="dxa"/>
          </w:tcPr>
          <w:p w:rsidR="00EA40A3" w:rsidRDefault="00E86C16">
            <w:pPr>
              <w:spacing w:before="60" w:line="192" w:lineRule="auto"/>
              <w:ind w:left="208"/>
              <w:rPr>
                <w:rFonts w:ascii="宋体" w:eastAsia="宋体" w:hAnsi="宋体" w:cs="宋体"/>
                <w:sz w:val="15"/>
                <w:szCs w:val="15"/>
              </w:rPr>
            </w:pPr>
            <w:r>
              <w:rPr>
                <w:rFonts w:ascii="宋体" w:eastAsia="宋体" w:hAnsi="宋体" w:cs="宋体"/>
                <w:spacing w:val="3"/>
                <w:sz w:val="15"/>
                <w:szCs w:val="15"/>
              </w:rPr>
              <w:t>0.222</w:t>
            </w:r>
          </w:p>
        </w:tc>
      </w:tr>
      <w:tr w:rsidR="00EA40A3">
        <w:trPr>
          <w:trHeight w:val="234"/>
        </w:trPr>
        <w:tc>
          <w:tcPr>
            <w:tcW w:w="630" w:type="dxa"/>
          </w:tcPr>
          <w:p w:rsidR="00EA40A3" w:rsidRDefault="00E86C16">
            <w:pPr>
              <w:spacing w:before="74" w:line="183" w:lineRule="auto"/>
              <w:ind w:left="40"/>
              <w:rPr>
                <w:rFonts w:ascii="宋体" w:eastAsia="宋体" w:hAnsi="宋体" w:cs="宋体"/>
                <w:sz w:val="16"/>
                <w:szCs w:val="16"/>
              </w:rPr>
            </w:pPr>
            <w:r>
              <w:rPr>
                <w:rFonts w:ascii="宋体" w:eastAsia="宋体" w:hAnsi="宋体" w:cs="宋体"/>
                <w:spacing w:val="14"/>
                <w:w w:val="118"/>
                <w:sz w:val="16"/>
                <w:szCs w:val="16"/>
              </w:rPr>
              <w:t>3~</w:t>
            </w:r>
          </w:p>
        </w:tc>
        <w:tc>
          <w:tcPr>
            <w:tcW w:w="1526" w:type="dxa"/>
          </w:tcPr>
          <w:p w:rsidR="00EA40A3" w:rsidRDefault="00E86C16">
            <w:pPr>
              <w:spacing w:before="54" w:line="183" w:lineRule="auto"/>
              <w:ind w:left="349"/>
              <w:rPr>
                <w:rFonts w:ascii="宋体" w:eastAsia="宋体" w:hAnsi="宋体" w:cs="宋体"/>
                <w:sz w:val="16"/>
                <w:szCs w:val="16"/>
              </w:rPr>
            </w:pPr>
            <w:r>
              <w:rPr>
                <w:rFonts w:ascii="宋体" w:eastAsia="宋体" w:hAnsi="宋体" w:cs="宋体"/>
                <w:spacing w:val="-1"/>
                <w:sz w:val="16"/>
                <w:szCs w:val="16"/>
              </w:rPr>
              <w:t>22.7m+495</w:t>
            </w:r>
          </w:p>
        </w:tc>
        <w:tc>
          <w:tcPr>
            <w:tcW w:w="1065" w:type="dxa"/>
          </w:tcPr>
          <w:p w:rsidR="00EA40A3" w:rsidRDefault="00E86C16">
            <w:pPr>
              <w:spacing w:before="64" w:line="183" w:lineRule="auto"/>
              <w:ind w:left="514"/>
              <w:rPr>
                <w:rFonts w:ascii="宋体" w:eastAsia="宋体" w:hAnsi="宋体" w:cs="宋体"/>
                <w:sz w:val="16"/>
                <w:szCs w:val="16"/>
              </w:rPr>
            </w:pPr>
            <w:r>
              <w:rPr>
                <w:rFonts w:ascii="宋体" w:eastAsia="宋体" w:hAnsi="宋体" w:cs="宋体"/>
                <w:spacing w:val="-2"/>
                <w:sz w:val="16"/>
                <w:szCs w:val="16"/>
              </w:rPr>
              <w:t>0.86</w:t>
            </w:r>
          </w:p>
        </w:tc>
        <w:tc>
          <w:tcPr>
            <w:tcW w:w="2200" w:type="dxa"/>
          </w:tcPr>
          <w:p w:rsidR="00EA40A3" w:rsidRDefault="00E86C16">
            <w:pPr>
              <w:spacing w:before="44" w:line="194" w:lineRule="auto"/>
              <w:ind w:left="378"/>
              <w:rPr>
                <w:rFonts w:ascii="宋体" w:eastAsia="宋体" w:hAnsi="宋体" w:cs="宋体"/>
                <w:sz w:val="16"/>
                <w:szCs w:val="16"/>
              </w:rPr>
            </w:pPr>
            <w:r>
              <w:rPr>
                <w:rFonts w:ascii="宋体" w:eastAsia="宋体" w:hAnsi="宋体" w:cs="宋体"/>
                <w:spacing w:val="-2"/>
                <w:sz w:val="16"/>
                <w:szCs w:val="16"/>
              </w:rPr>
              <w:t>62</w:t>
            </w:r>
            <w:r>
              <w:rPr>
                <w:rFonts w:ascii="宋体" w:eastAsia="宋体" w:hAnsi="宋体" w:cs="宋体"/>
                <w:spacing w:val="12"/>
                <w:sz w:val="16"/>
                <w:szCs w:val="16"/>
              </w:rPr>
              <w:t xml:space="preserve">    </w:t>
            </w:r>
            <w:r>
              <w:rPr>
                <w:rFonts w:ascii="宋体" w:eastAsia="宋体" w:hAnsi="宋体" w:cs="宋体"/>
                <w:spacing w:val="-2"/>
                <w:sz w:val="16"/>
                <w:szCs w:val="16"/>
              </w:rPr>
              <w:t>0.0949m+2.07</w:t>
            </w:r>
          </w:p>
        </w:tc>
        <w:tc>
          <w:tcPr>
            <w:tcW w:w="940" w:type="dxa"/>
          </w:tcPr>
          <w:p w:rsidR="00EA40A3" w:rsidRDefault="00E86C16">
            <w:pPr>
              <w:spacing w:before="44" w:line="183" w:lineRule="auto"/>
              <w:ind w:left="418"/>
              <w:rPr>
                <w:rFonts w:ascii="宋体" w:eastAsia="宋体" w:hAnsi="宋体" w:cs="宋体"/>
                <w:sz w:val="16"/>
                <w:szCs w:val="16"/>
              </w:rPr>
            </w:pPr>
            <w:r>
              <w:rPr>
                <w:rFonts w:ascii="宋体" w:eastAsia="宋体" w:hAnsi="宋体" w:cs="宋体"/>
                <w:spacing w:val="-2"/>
                <w:sz w:val="16"/>
                <w:szCs w:val="16"/>
              </w:rPr>
              <w:t>0.86</w:t>
            </w:r>
          </w:p>
        </w:tc>
        <w:tc>
          <w:tcPr>
            <w:tcW w:w="601" w:type="dxa"/>
          </w:tcPr>
          <w:p w:rsidR="00EA40A3" w:rsidRDefault="00E86C16">
            <w:pPr>
              <w:spacing w:before="54" w:line="192" w:lineRule="auto"/>
              <w:ind w:left="208"/>
              <w:rPr>
                <w:rFonts w:ascii="宋体" w:eastAsia="宋体" w:hAnsi="宋体" w:cs="宋体"/>
                <w:sz w:val="15"/>
                <w:szCs w:val="15"/>
              </w:rPr>
            </w:pPr>
            <w:r>
              <w:rPr>
                <w:rFonts w:ascii="宋体" w:eastAsia="宋体" w:hAnsi="宋体" w:cs="宋体"/>
                <w:spacing w:val="3"/>
                <w:sz w:val="15"/>
                <w:szCs w:val="15"/>
              </w:rPr>
              <w:t>0.259</w:t>
            </w:r>
          </w:p>
        </w:tc>
      </w:tr>
      <w:tr w:rsidR="00EA40A3">
        <w:trPr>
          <w:trHeight w:val="230"/>
        </w:trPr>
        <w:tc>
          <w:tcPr>
            <w:tcW w:w="630" w:type="dxa"/>
          </w:tcPr>
          <w:p w:rsidR="00EA40A3" w:rsidRDefault="00E86C16">
            <w:pPr>
              <w:spacing w:before="69" w:line="184" w:lineRule="auto"/>
              <w:ind w:left="40"/>
              <w:rPr>
                <w:rFonts w:ascii="宋体" w:eastAsia="宋体" w:hAnsi="宋体" w:cs="宋体"/>
                <w:sz w:val="16"/>
                <w:szCs w:val="16"/>
              </w:rPr>
            </w:pPr>
            <w:r>
              <w:rPr>
                <w:rFonts w:ascii="宋体" w:eastAsia="宋体" w:hAnsi="宋体" w:cs="宋体"/>
                <w:spacing w:val="16"/>
                <w:sz w:val="16"/>
                <w:szCs w:val="16"/>
              </w:rPr>
              <w:t>10~</w:t>
            </w:r>
          </w:p>
        </w:tc>
        <w:tc>
          <w:tcPr>
            <w:tcW w:w="1526" w:type="dxa"/>
          </w:tcPr>
          <w:p w:rsidR="00EA40A3" w:rsidRDefault="00E86C16">
            <w:pPr>
              <w:spacing w:before="50" w:line="184" w:lineRule="auto"/>
              <w:ind w:left="349"/>
              <w:rPr>
                <w:rFonts w:ascii="宋体" w:eastAsia="宋体" w:hAnsi="宋体" w:cs="宋体"/>
                <w:sz w:val="16"/>
                <w:szCs w:val="16"/>
              </w:rPr>
            </w:pPr>
            <w:r>
              <w:rPr>
                <w:rFonts w:ascii="宋体" w:eastAsia="宋体" w:hAnsi="宋体" w:cs="宋体"/>
                <w:spacing w:val="-2"/>
                <w:sz w:val="16"/>
                <w:szCs w:val="16"/>
              </w:rPr>
              <w:t>17.5m+651</w:t>
            </w:r>
          </w:p>
        </w:tc>
        <w:tc>
          <w:tcPr>
            <w:tcW w:w="1065" w:type="dxa"/>
          </w:tcPr>
          <w:p w:rsidR="00EA40A3" w:rsidRDefault="00E86C16">
            <w:pPr>
              <w:spacing w:before="70" w:line="183" w:lineRule="auto"/>
              <w:ind w:left="514"/>
              <w:rPr>
                <w:rFonts w:ascii="宋体" w:eastAsia="宋体" w:hAnsi="宋体" w:cs="宋体"/>
                <w:sz w:val="16"/>
                <w:szCs w:val="16"/>
              </w:rPr>
            </w:pPr>
            <w:r>
              <w:rPr>
                <w:rFonts w:ascii="宋体" w:eastAsia="宋体" w:hAnsi="宋体" w:cs="宋体"/>
                <w:spacing w:val="-2"/>
                <w:sz w:val="16"/>
                <w:szCs w:val="16"/>
              </w:rPr>
              <w:t>0.90</w:t>
            </w:r>
          </w:p>
        </w:tc>
        <w:tc>
          <w:tcPr>
            <w:tcW w:w="2200" w:type="dxa"/>
          </w:tcPr>
          <w:p w:rsidR="00EA40A3" w:rsidRDefault="00E86C16">
            <w:pPr>
              <w:spacing w:before="50" w:line="194" w:lineRule="auto"/>
              <w:ind w:left="299"/>
              <w:rPr>
                <w:rFonts w:ascii="宋体" w:eastAsia="宋体" w:hAnsi="宋体" w:cs="宋体"/>
                <w:sz w:val="16"/>
                <w:szCs w:val="16"/>
              </w:rPr>
            </w:pPr>
            <w:r>
              <w:rPr>
                <w:rFonts w:ascii="宋体" w:eastAsia="宋体" w:hAnsi="宋体" w:cs="宋体"/>
                <w:spacing w:val="-2"/>
                <w:sz w:val="16"/>
                <w:szCs w:val="16"/>
              </w:rPr>
              <w:t>100</w:t>
            </w:r>
            <w:r>
              <w:rPr>
                <w:rFonts w:ascii="宋体" w:eastAsia="宋体" w:hAnsi="宋体" w:cs="宋体"/>
                <w:spacing w:val="12"/>
                <w:sz w:val="16"/>
                <w:szCs w:val="16"/>
              </w:rPr>
              <w:t xml:space="preserve">    </w:t>
            </w:r>
            <w:r>
              <w:rPr>
                <w:rFonts w:ascii="宋体" w:eastAsia="宋体" w:hAnsi="宋体" w:cs="宋体"/>
                <w:spacing w:val="-2"/>
                <w:sz w:val="16"/>
                <w:szCs w:val="16"/>
              </w:rPr>
              <w:t>0.0732m+2.72</w:t>
            </w:r>
          </w:p>
        </w:tc>
        <w:tc>
          <w:tcPr>
            <w:tcW w:w="940" w:type="dxa"/>
          </w:tcPr>
          <w:p w:rsidR="00EA40A3" w:rsidRDefault="00E86C16">
            <w:pPr>
              <w:spacing w:before="60" w:line="183" w:lineRule="auto"/>
              <w:ind w:left="418"/>
              <w:rPr>
                <w:rFonts w:ascii="宋体" w:eastAsia="宋体" w:hAnsi="宋体" w:cs="宋体"/>
                <w:sz w:val="16"/>
                <w:szCs w:val="16"/>
              </w:rPr>
            </w:pPr>
            <w:r>
              <w:rPr>
                <w:rFonts w:ascii="宋体" w:eastAsia="宋体" w:hAnsi="宋体" w:cs="宋体"/>
                <w:spacing w:val="-2"/>
                <w:sz w:val="16"/>
                <w:szCs w:val="16"/>
              </w:rPr>
              <w:t>0.90</w:t>
            </w:r>
          </w:p>
        </w:tc>
        <w:tc>
          <w:tcPr>
            <w:tcW w:w="601" w:type="dxa"/>
          </w:tcPr>
          <w:p w:rsidR="00EA40A3" w:rsidRDefault="00E86C16">
            <w:pPr>
              <w:spacing w:before="50" w:line="192" w:lineRule="auto"/>
              <w:ind w:left="208"/>
              <w:rPr>
                <w:rFonts w:ascii="宋体" w:eastAsia="宋体" w:hAnsi="宋体" w:cs="宋体"/>
                <w:sz w:val="15"/>
                <w:szCs w:val="15"/>
              </w:rPr>
            </w:pPr>
            <w:r>
              <w:rPr>
                <w:rFonts w:ascii="宋体" w:eastAsia="宋体" w:hAnsi="宋体" w:cs="宋体"/>
                <w:spacing w:val="3"/>
                <w:sz w:val="15"/>
                <w:szCs w:val="15"/>
              </w:rPr>
              <w:t>0.418</w:t>
            </w:r>
          </w:p>
        </w:tc>
      </w:tr>
      <w:tr w:rsidR="00EA40A3">
        <w:trPr>
          <w:trHeight w:val="235"/>
        </w:trPr>
        <w:tc>
          <w:tcPr>
            <w:tcW w:w="630" w:type="dxa"/>
          </w:tcPr>
          <w:p w:rsidR="00EA40A3" w:rsidRDefault="00E86C16">
            <w:pPr>
              <w:spacing w:before="49" w:line="184" w:lineRule="auto"/>
              <w:ind w:left="40"/>
              <w:rPr>
                <w:rFonts w:ascii="宋体" w:eastAsia="宋体" w:hAnsi="宋体" w:cs="宋体"/>
                <w:sz w:val="16"/>
                <w:szCs w:val="16"/>
              </w:rPr>
            </w:pPr>
            <w:r>
              <w:rPr>
                <w:rFonts w:ascii="宋体" w:eastAsia="宋体" w:hAnsi="宋体" w:cs="宋体"/>
                <w:spacing w:val="16"/>
                <w:sz w:val="16"/>
                <w:szCs w:val="16"/>
              </w:rPr>
              <w:t>18~</w:t>
            </w:r>
          </w:p>
        </w:tc>
        <w:tc>
          <w:tcPr>
            <w:tcW w:w="1526" w:type="dxa"/>
          </w:tcPr>
          <w:p w:rsidR="00EA40A3" w:rsidRDefault="00E86C16">
            <w:pPr>
              <w:spacing w:before="49" w:line="184" w:lineRule="auto"/>
              <w:ind w:left="349"/>
              <w:rPr>
                <w:rFonts w:ascii="宋体" w:eastAsia="宋体" w:hAnsi="宋体" w:cs="宋体"/>
                <w:sz w:val="16"/>
                <w:szCs w:val="16"/>
              </w:rPr>
            </w:pPr>
            <w:r>
              <w:rPr>
                <w:rFonts w:ascii="宋体" w:eastAsia="宋体" w:hAnsi="宋体" w:cs="宋体"/>
                <w:spacing w:val="-2"/>
                <w:sz w:val="16"/>
                <w:szCs w:val="16"/>
              </w:rPr>
              <w:t>15.3m+679</w:t>
            </w:r>
          </w:p>
        </w:tc>
        <w:tc>
          <w:tcPr>
            <w:tcW w:w="1065" w:type="dxa"/>
          </w:tcPr>
          <w:p w:rsidR="00EA40A3" w:rsidRDefault="00E86C16">
            <w:pPr>
              <w:spacing w:before="70" w:line="183" w:lineRule="auto"/>
              <w:ind w:left="514"/>
              <w:rPr>
                <w:rFonts w:ascii="宋体" w:eastAsia="宋体" w:hAnsi="宋体" w:cs="宋体"/>
                <w:sz w:val="16"/>
                <w:szCs w:val="16"/>
              </w:rPr>
            </w:pPr>
            <w:r>
              <w:rPr>
                <w:rFonts w:ascii="宋体" w:eastAsia="宋体" w:hAnsi="宋体" w:cs="宋体"/>
                <w:spacing w:val="-2"/>
                <w:sz w:val="16"/>
                <w:szCs w:val="16"/>
              </w:rPr>
              <w:t>0.65</w:t>
            </w:r>
          </w:p>
        </w:tc>
        <w:tc>
          <w:tcPr>
            <w:tcW w:w="2200" w:type="dxa"/>
          </w:tcPr>
          <w:p w:rsidR="00EA40A3" w:rsidRDefault="00E86C16">
            <w:pPr>
              <w:spacing w:before="60" w:line="194" w:lineRule="auto"/>
              <w:ind w:left="299"/>
              <w:rPr>
                <w:rFonts w:ascii="宋体" w:eastAsia="宋体" w:hAnsi="宋体" w:cs="宋体"/>
                <w:sz w:val="16"/>
                <w:szCs w:val="16"/>
              </w:rPr>
            </w:pPr>
            <w:r>
              <w:rPr>
                <w:rFonts w:ascii="宋体" w:eastAsia="宋体" w:hAnsi="宋体" w:cs="宋体"/>
                <w:spacing w:val="-2"/>
                <w:sz w:val="16"/>
                <w:szCs w:val="16"/>
              </w:rPr>
              <w:t>151</w:t>
            </w:r>
            <w:r>
              <w:rPr>
                <w:rFonts w:ascii="宋体" w:eastAsia="宋体" w:hAnsi="宋体" w:cs="宋体"/>
                <w:spacing w:val="12"/>
                <w:sz w:val="16"/>
                <w:szCs w:val="16"/>
              </w:rPr>
              <w:t xml:space="preserve">    </w:t>
            </w:r>
            <w:r>
              <w:rPr>
                <w:rFonts w:ascii="宋体" w:eastAsia="宋体" w:hAnsi="宋体" w:cs="宋体"/>
                <w:spacing w:val="-2"/>
                <w:sz w:val="16"/>
                <w:szCs w:val="16"/>
              </w:rPr>
              <w:t>0.0640m+2.84</w:t>
            </w:r>
          </w:p>
        </w:tc>
        <w:tc>
          <w:tcPr>
            <w:tcW w:w="940" w:type="dxa"/>
          </w:tcPr>
          <w:p w:rsidR="00EA40A3" w:rsidRDefault="00E86C16">
            <w:pPr>
              <w:spacing w:before="70" w:line="183" w:lineRule="auto"/>
              <w:ind w:left="418"/>
              <w:rPr>
                <w:rFonts w:ascii="宋体" w:eastAsia="宋体" w:hAnsi="宋体" w:cs="宋体"/>
                <w:sz w:val="16"/>
                <w:szCs w:val="16"/>
              </w:rPr>
            </w:pPr>
            <w:r>
              <w:rPr>
                <w:rFonts w:ascii="宋体" w:eastAsia="宋体" w:hAnsi="宋体" w:cs="宋体"/>
                <w:spacing w:val="-2"/>
                <w:sz w:val="16"/>
                <w:szCs w:val="16"/>
              </w:rPr>
              <w:t>0.65</w:t>
            </w:r>
          </w:p>
        </w:tc>
        <w:tc>
          <w:tcPr>
            <w:tcW w:w="601" w:type="dxa"/>
          </w:tcPr>
          <w:p w:rsidR="00EA40A3" w:rsidRDefault="00E86C16">
            <w:pPr>
              <w:spacing w:before="60" w:line="192" w:lineRule="auto"/>
              <w:ind w:left="208"/>
              <w:rPr>
                <w:rFonts w:ascii="宋体" w:eastAsia="宋体" w:hAnsi="宋体" w:cs="宋体"/>
                <w:sz w:val="15"/>
                <w:szCs w:val="15"/>
              </w:rPr>
            </w:pPr>
            <w:r>
              <w:rPr>
                <w:rFonts w:ascii="宋体" w:eastAsia="宋体" w:hAnsi="宋体" w:cs="宋体"/>
                <w:spacing w:val="3"/>
                <w:sz w:val="15"/>
                <w:szCs w:val="15"/>
              </w:rPr>
              <w:t>0.632</w:t>
            </w:r>
          </w:p>
        </w:tc>
      </w:tr>
      <w:tr w:rsidR="00EA40A3">
        <w:trPr>
          <w:trHeight w:val="235"/>
        </w:trPr>
        <w:tc>
          <w:tcPr>
            <w:tcW w:w="630" w:type="dxa"/>
          </w:tcPr>
          <w:p w:rsidR="00EA40A3" w:rsidRDefault="00E86C16">
            <w:pPr>
              <w:spacing w:before="65" w:line="183" w:lineRule="auto"/>
              <w:ind w:left="40"/>
              <w:rPr>
                <w:rFonts w:ascii="宋体" w:eastAsia="宋体" w:hAnsi="宋体" w:cs="宋体"/>
                <w:sz w:val="16"/>
                <w:szCs w:val="16"/>
              </w:rPr>
            </w:pPr>
            <w:r>
              <w:rPr>
                <w:rFonts w:ascii="宋体" w:eastAsia="宋体" w:hAnsi="宋体" w:cs="宋体"/>
                <w:spacing w:val="19"/>
                <w:sz w:val="16"/>
                <w:szCs w:val="16"/>
              </w:rPr>
              <w:t>30~</w:t>
            </w:r>
          </w:p>
        </w:tc>
        <w:tc>
          <w:tcPr>
            <w:tcW w:w="1526" w:type="dxa"/>
          </w:tcPr>
          <w:p w:rsidR="00EA40A3" w:rsidRDefault="00E86C16">
            <w:pPr>
              <w:spacing w:before="55" w:line="184" w:lineRule="auto"/>
              <w:ind w:left="349"/>
              <w:rPr>
                <w:rFonts w:ascii="宋体" w:eastAsia="宋体" w:hAnsi="宋体" w:cs="宋体"/>
                <w:sz w:val="16"/>
                <w:szCs w:val="16"/>
              </w:rPr>
            </w:pPr>
            <w:r>
              <w:rPr>
                <w:rFonts w:ascii="宋体" w:eastAsia="宋体" w:hAnsi="宋体" w:cs="宋体"/>
                <w:spacing w:val="-2"/>
                <w:sz w:val="16"/>
                <w:szCs w:val="16"/>
              </w:rPr>
              <w:t>11.6m+879</w:t>
            </w:r>
          </w:p>
        </w:tc>
        <w:tc>
          <w:tcPr>
            <w:tcW w:w="1065" w:type="dxa"/>
          </w:tcPr>
          <w:p w:rsidR="00EA40A3" w:rsidRDefault="00E86C16">
            <w:pPr>
              <w:spacing w:before="65" w:line="183" w:lineRule="auto"/>
              <w:ind w:left="514"/>
              <w:rPr>
                <w:rFonts w:ascii="宋体" w:eastAsia="宋体" w:hAnsi="宋体" w:cs="宋体"/>
                <w:sz w:val="16"/>
                <w:szCs w:val="16"/>
              </w:rPr>
            </w:pPr>
            <w:r>
              <w:rPr>
                <w:rFonts w:ascii="宋体" w:eastAsia="宋体" w:hAnsi="宋体" w:cs="宋体"/>
                <w:spacing w:val="-2"/>
                <w:sz w:val="16"/>
                <w:szCs w:val="16"/>
              </w:rPr>
              <w:t>0.60</w:t>
            </w:r>
          </w:p>
        </w:tc>
        <w:tc>
          <w:tcPr>
            <w:tcW w:w="2200" w:type="dxa"/>
          </w:tcPr>
          <w:p w:rsidR="00EA40A3" w:rsidRDefault="00E86C16">
            <w:pPr>
              <w:spacing w:before="55" w:line="184" w:lineRule="auto"/>
              <w:ind w:left="299"/>
              <w:rPr>
                <w:rFonts w:ascii="宋体" w:eastAsia="宋体" w:hAnsi="宋体" w:cs="宋体"/>
                <w:sz w:val="16"/>
                <w:szCs w:val="16"/>
              </w:rPr>
            </w:pPr>
            <w:r>
              <w:rPr>
                <w:rFonts w:ascii="宋体" w:eastAsia="宋体" w:hAnsi="宋体" w:cs="宋体"/>
                <w:spacing w:val="-2"/>
                <w:sz w:val="16"/>
                <w:szCs w:val="16"/>
              </w:rPr>
              <w:t>164</w:t>
            </w:r>
            <w:r>
              <w:rPr>
                <w:rFonts w:ascii="宋体" w:eastAsia="宋体" w:hAnsi="宋体" w:cs="宋体"/>
                <w:spacing w:val="12"/>
                <w:sz w:val="16"/>
                <w:szCs w:val="16"/>
              </w:rPr>
              <w:t xml:space="preserve">    </w:t>
            </w:r>
            <w:r>
              <w:rPr>
                <w:rFonts w:ascii="宋体" w:eastAsia="宋体" w:hAnsi="宋体" w:cs="宋体"/>
                <w:spacing w:val="-2"/>
                <w:sz w:val="16"/>
                <w:szCs w:val="16"/>
              </w:rPr>
              <w:t>0.485m+3.67</w:t>
            </w:r>
          </w:p>
        </w:tc>
        <w:tc>
          <w:tcPr>
            <w:tcW w:w="940" w:type="dxa"/>
          </w:tcPr>
          <w:p w:rsidR="00EA40A3" w:rsidRDefault="00E86C16">
            <w:pPr>
              <w:spacing w:before="75" w:line="183" w:lineRule="auto"/>
              <w:ind w:left="418"/>
              <w:rPr>
                <w:rFonts w:ascii="宋体" w:eastAsia="宋体" w:hAnsi="宋体" w:cs="宋体"/>
                <w:sz w:val="16"/>
                <w:szCs w:val="16"/>
              </w:rPr>
            </w:pPr>
            <w:r>
              <w:rPr>
                <w:rFonts w:ascii="宋体" w:eastAsia="宋体" w:hAnsi="宋体" w:cs="宋体"/>
                <w:spacing w:val="-2"/>
                <w:sz w:val="16"/>
                <w:szCs w:val="16"/>
              </w:rPr>
              <w:t>0.60</w:t>
            </w:r>
          </w:p>
        </w:tc>
        <w:tc>
          <w:tcPr>
            <w:tcW w:w="601" w:type="dxa"/>
          </w:tcPr>
          <w:p w:rsidR="00EA40A3" w:rsidRDefault="00E86C16">
            <w:pPr>
              <w:spacing w:before="65" w:line="192" w:lineRule="auto"/>
              <w:ind w:left="208"/>
              <w:rPr>
                <w:rFonts w:ascii="宋体" w:eastAsia="宋体" w:hAnsi="宋体" w:cs="宋体"/>
                <w:sz w:val="15"/>
                <w:szCs w:val="15"/>
              </w:rPr>
            </w:pPr>
            <w:r>
              <w:rPr>
                <w:rFonts w:ascii="宋体" w:eastAsia="宋体" w:hAnsi="宋体" w:cs="宋体"/>
                <w:spacing w:val="3"/>
                <w:sz w:val="15"/>
                <w:szCs w:val="15"/>
              </w:rPr>
              <w:t>0.686</w:t>
            </w:r>
          </w:p>
        </w:tc>
      </w:tr>
      <w:tr w:rsidR="00EA40A3">
        <w:trPr>
          <w:trHeight w:val="454"/>
        </w:trPr>
        <w:tc>
          <w:tcPr>
            <w:tcW w:w="630" w:type="dxa"/>
          </w:tcPr>
          <w:p w:rsidR="00EA40A3" w:rsidRDefault="00E86C16">
            <w:pPr>
              <w:spacing w:before="70" w:line="206" w:lineRule="auto"/>
              <w:ind w:left="40"/>
              <w:rPr>
                <w:rFonts w:ascii="宋体" w:eastAsia="宋体" w:hAnsi="宋体" w:cs="宋体"/>
                <w:sz w:val="16"/>
                <w:szCs w:val="16"/>
              </w:rPr>
            </w:pPr>
            <w:r>
              <w:rPr>
                <w:rFonts w:ascii="宋体" w:eastAsia="宋体" w:hAnsi="宋体" w:cs="宋体"/>
                <w:spacing w:val="19"/>
                <w:sz w:val="16"/>
                <w:szCs w:val="16"/>
              </w:rPr>
              <w:t>60~</w:t>
            </w:r>
          </w:p>
          <w:p w:rsidR="00EA40A3" w:rsidRDefault="00E86C16">
            <w:pPr>
              <w:spacing w:line="219" w:lineRule="auto"/>
              <w:ind w:left="40"/>
              <w:rPr>
                <w:rFonts w:ascii="宋体" w:eastAsia="宋体" w:hAnsi="宋体" w:cs="宋体"/>
                <w:sz w:val="16"/>
                <w:szCs w:val="16"/>
              </w:rPr>
            </w:pPr>
            <w:r>
              <w:rPr>
                <w:rFonts w:ascii="宋体" w:eastAsia="宋体" w:hAnsi="宋体" w:cs="宋体"/>
                <w:sz w:val="16"/>
                <w:szCs w:val="16"/>
              </w:rPr>
              <w:t>女</w:t>
            </w:r>
          </w:p>
        </w:tc>
        <w:tc>
          <w:tcPr>
            <w:tcW w:w="1526" w:type="dxa"/>
          </w:tcPr>
          <w:p w:rsidR="00EA40A3" w:rsidRDefault="00E86C16">
            <w:pPr>
              <w:spacing w:before="59" w:line="184" w:lineRule="auto"/>
              <w:ind w:left="349"/>
              <w:rPr>
                <w:rFonts w:ascii="宋体" w:eastAsia="宋体" w:hAnsi="宋体" w:cs="宋体"/>
                <w:sz w:val="16"/>
                <w:szCs w:val="16"/>
              </w:rPr>
            </w:pPr>
            <w:r>
              <w:rPr>
                <w:rFonts w:ascii="宋体" w:eastAsia="宋体" w:hAnsi="宋体" w:cs="宋体"/>
                <w:spacing w:val="-2"/>
                <w:sz w:val="16"/>
                <w:szCs w:val="16"/>
              </w:rPr>
              <w:t>13.5m+487</w:t>
            </w:r>
          </w:p>
        </w:tc>
        <w:tc>
          <w:tcPr>
            <w:tcW w:w="1065" w:type="dxa"/>
          </w:tcPr>
          <w:p w:rsidR="00EA40A3" w:rsidRDefault="00E86C16">
            <w:pPr>
              <w:spacing w:before="70" w:line="183" w:lineRule="auto"/>
              <w:ind w:left="514"/>
              <w:rPr>
                <w:rFonts w:ascii="宋体" w:eastAsia="宋体" w:hAnsi="宋体" w:cs="宋体"/>
                <w:sz w:val="16"/>
                <w:szCs w:val="16"/>
              </w:rPr>
            </w:pPr>
            <w:r>
              <w:rPr>
                <w:rFonts w:ascii="宋体" w:eastAsia="宋体" w:hAnsi="宋体" w:cs="宋体"/>
                <w:spacing w:val="-2"/>
                <w:sz w:val="16"/>
                <w:szCs w:val="16"/>
              </w:rPr>
              <w:t>0.79</w:t>
            </w:r>
          </w:p>
        </w:tc>
        <w:tc>
          <w:tcPr>
            <w:tcW w:w="2200" w:type="dxa"/>
          </w:tcPr>
          <w:p w:rsidR="00EA40A3" w:rsidRDefault="00E86C16">
            <w:pPr>
              <w:spacing w:before="50" w:line="194" w:lineRule="auto"/>
              <w:ind w:left="299"/>
              <w:rPr>
                <w:rFonts w:ascii="宋体" w:eastAsia="宋体" w:hAnsi="宋体" w:cs="宋体"/>
                <w:sz w:val="16"/>
                <w:szCs w:val="16"/>
              </w:rPr>
            </w:pPr>
            <w:r>
              <w:rPr>
                <w:rFonts w:ascii="宋体" w:eastAsia="宋体" w:hAnsi="宋体" w:cs="宋体"/>
                <w:spacing w:val="-2"/>
                <w:sz w:val="16"/>
                <w:szCs w:val="16"/>
              </w:rPr>
              <w:t>148</w:t>
            </w:r>
            <w:r>
              <w:rPr>
                <w:rFonts w:ascii="宋体" w:eastAsia="宋体" w:hAnsi="宋体" w:cs="宋体"/>
                <w:spacing w:val="12"/>
                <w:sz w:val="16"/>
                <w:szCs w:val="16"/>
              </w:rPr>
              <w:t xml:space="preserve">    </w:t>
            </w:r>
            <w:r>
              <w:rPr>
                <w:rFonts w:ascii="宋体" w:eastAsia="宋体" w:hAnsi="宋体" w:cs="宋体"/>
                <w:spacing w:val="-2"/>
                <w:sz w:val="16"/>
                <w:szCs w:val="16"/>
              </w:rPr>
              <w:t>0.0565m+2.04</w:t>
            </w:r>
          </w:p>
        </w:tc>
        <w:tc>
          <w:tcPr>
            <w:tcW w:w="940" w:type="dxa"/>
          </w:tcPr>
          <w:p w:rsidR="00EA40A3" w:rsidRDefault="00E86C16">
            <w:pPr>
              <w:spacing w:before="70" w:line="183" w:lineRule="auto"/>
              <w:ind w:left="418"/>
              <w:rPr>
                <w:rFonts w:ascii="宋体" w:eastAsia="宋体" w:hAnsi="宋体" w:cs="宋体"/>
                <w:sz w:val="16"/>
                <w:szCs w:val="16"/>
              </w:rPr>
            </w:pPr>
            <w:r>
              <w:rPr>
                <w:rFonts w:ascii="宋体" w:eastAsia="宋体" w:hAnsi="宋体" w:cs="宋体"/>
                <w:spacing w:val="-2"/>
                <w:sz w:val="16"/>
                <w:szCs w:val="16"/>
              </w:rPr>
              <w:t>0.79</w:t>
            </w:r>
          </w:p>
        </w:tc>
        <w:tc>
          <w:tcPr>
            <w:tcW w:w="601" w:type="dxa"/>
          </w:tcPr>
          <w:p w:rsidR="00EA40A3" w:rsidRDefault="00E86C16">
            <w:pPr>
              <w:spacing w:before="50" w:line="192" w:lineRule="auto"/>
              <w:ind w:left="208"/>
              <w:rPr>
                <w:rFonts w:ascii="宋体" w:eastAsia="宋体" w:hAnsi="宋体" w:cs="宋体"/>
                <w:sz w:val="15"/>
                <w:szCs w:val="15"/>
              </w:rPr>
            </w:pPr>
            <w:r>
              <w:rPr>
                <w:rFonts w:ascii="宋体" w:eastAsia="宋体" w:hAnsi="宋体" w:cs="宋体"/>
                <w:spacing w:val="3"/>
                <w:sz w:val="15"/>
                <w:szCs w:val="15"/>
              </w:rPr>
              <w:t>0.619</w:t>
            </w:r>
          </w:p>
        </w:tc>
      </w:tr>
      <w:tr w:rsidR="00EA40A3">
        <w:trPr>
          <w:trHeight w:val="247"/>
        </w:trPr>
        <w:tc>
          <w:tcPr>
            <w:tcW w:w="630" w:type="dxa"/>
          </w:tcPr>
          <w:p w:rsidR="00EA40A3" w:rsidRDefault="00E86C16">
            <w:pPr>
              <w:spacing w:before="66" w:line="183" w:lineRule="auto"/>
              <w:ind w:left="40"/>
              <w:rPr>
                <w:rFonts w:ascii="宋体" w:eastAsia="宋体" w:hAnsi="宋体" w:cs="宋体"/>
                <w:sz w:val="16"/>
                <w:szCs w:val="16"/>
              </w:rPr>
            </w:pPr>
            <w:r>
              <w:rPr>
                <w:rFonts w:ascii="宋体" w:eastAsia="宋体" w:hAnsi="宋体" w:cs="宋体"/>
                <w:spacing w:val="12"/>
                <w:w w:val="122"/>
                <w:sz w:val="16"/>
                <w:szCs w:val="16"/>
              </w:rPr>
              <w:t>0~</w:t>
            </w:r>
          </w:p>
        </w:tc>
        <w:tc>
          <w:tcPr>
            <w:tcW w:w="1526" w:type="dxa"/>
          </w:tcPr>
          <w:p w:rsidR="00EA40A3" w:rsidRDefault="00E86C16">
            <w:pPr>
              <w:spacing w:before="65" w:line="184" w:lineRule="auto"/>
              <w:ind w:left="349"/>
              <w:rPr>
                <w:rFonts w:ascii="宋体" w:eastAsia="宋体" w:hAnsi="宋体" w:cs="宋体"/>
                <w:sz w:val="16"/>
                <w:szCs w:val="16"/>
              </w:rPr>
            </w:pPr>
            <w:r>
              <w:rPr>
                <w:rFonts w:ascii="宋体" w:eastAsia="宋体" w:hAnsi="宋体" w:cs="宋体"/>
                <w:spacing w:val="-1"/>
                <w:sz w:val="16"/>
                <w:szCs w:val="16"/>
              </w:rPr>
              <w:t>61.0m×51</w:t>
            </w:r>
          </w:p>
        </w:tc>
        <w:tc>
          <w:tcPr>
            <w:tcW w:w="1065" w:type="dxa"/>
          </w:tcPr>
          <w:p w:rsidR="00EA40A3" w:rsidRDefault="00E86C16">
            <w:pPr>
              <w:spacing w:before="76" w:line="183" w:lineRule="auto"/>
              <w:ind w:left="514"/>
              <w:rPr>
                <w:rFonts w:ascii="宋体" w:eastAsia="宋体" w:hAnsi="宋体" w:cs="宋体"/>
                <w:sz w:val="16"/>
                <w:szCs w:val="16"/>
              </w:rPr>
            </w:pPr>
            <w:r>
              <w:rPr>
                <w:rFonts w:ascii="宋体" w:eastAsia="宋体" w:hAnsi="宋体" w:cs="宋体"/>
                <w:spacing w:val="-2"/>
                <w:sz w:val="16"/>
                <w:szCs w:val="16"/>
              </w:rPr>
              <w:t>0.97</w:t>
            </w:r>
          </w:p>
        </w:tc>
        <w:tc>
          <w:tcPr>
            <w:tcW w:w="2200" w:type="dxa"/>
          </w:tcPr>
          <w:p w:rsidR="00EA40A3" w:rsidRDefault="00E86C16">
            <w:pPr>
              <w:spacing w:before="46" w:line="195" w:lineRule="auto"/>
              <w:ind w:left="288"/>
              <w:rPr>
                <w:rFonts w:ascii="宋体" w:eastAsia="宋体" w:hAnsi="宋体" w:cs="宋体"/>
                <w:sz w:val="16"/>
                <w:szCs w:val="16"/>
              </w:rPr>
            </w:pPr>
            <w:r>
              <w:rPr>
                <w:rFonts w:ascii="宋体" w:eastAsia="宋体" w:hAnsi="宋体" w:cs="宋体"/>
                <w:spacing w:val="-2"/>
                <w:position w:val="-1"/>
                <w:sz w:val="16"/>
                <w:szCs w:val="16"/>
              </w:rPr>
              <w:t>61</w:t>
            </w:r>
            <w:r>
              <w:rPr>
                <w:rFonts w:ascii="宋体" w:eastAsia="宋体" w:hAnsi="宋体" w:cs="宋体"/>
                <w:spacing w:val="11"/>
                <w:position w:val="-1"/>
                <w:sz w:val="16"/>
                <w:szCs w:val="16"/>
              </w:rPr>
              <w:t xml:space="preserve">     </w:t>
            </w:r>
            <w:r>
              <w:rPr>
                <w:rFonts w:ascii="宋体" w:eastAsia="宋体" w:hAnsi="宋体" w:cs="宋体"/>
                <w:spacing w:val="-2"/>
                <w:sz w:val="16"/>
                <w:szCs w:val="16"/>
              </w:rPr>
              <w:t>0.255m-0.214</w:t>
            </w:r>
          </w:p>
        </w:tc>
        <w:tc>
          <w:tcPr>
            <w:tcW w:w="940" w:type="dxa"/>
          </w:tcPr>
          <w:p w:rsidR="00EA40A3" w:rsidRDefault="00E86C16">
            <w:pPr>
              <w:spacing w:before="86" w:line="183" w:lineRule="auto"/>
              <w:ind w:left="418"/>
              <w:rPr>
                <w:rFonts w:ascii="宋体" w:eastAsia="宋体" w:hAnsi="宋体" w:cs="宋体"/>
                <w:sz w:val="16"/>
                <w:szCs w:val="16"/>
              </w:rPr>
            </w:pPr>
            <w:r>
              <w:rPr>
                <w:rFonts w:ascii="宋体" w:eastAsia="宋体" w:hAnsi="宋体" w:cs="宋体"/>
                <w:spacing w:val="-2"/>
                <w:sz w:val="16"/>
                <w:szCs w:val="16"/>
              </w:rPr>
              <w:t>0.97</w:t>
            </w:r>
          </w:p>
        </w:tc>
        <w:tc>
          <w:tcPr>
            <w:tcW w:w="601" w:type="dxa"/>
          </w:tcPr>
          <w:p w:rsidR="00EA40A3" w:rsidRDefault="00E86C16">
            <w:pPr>
              <w:spacing w:before="86" w:line="192" w:lineRule="auto"/>
              <w:ind w:left="208"/>
              <w:rPr>
                <w:rFonts w:ascii="宋体" w:eastAsia="宋体" w:hAnsi="宋体" w:cs="宋体"/>
                <w:sz w:val="15"/>
                <w:szCs w:val="15"/>
              </w:rPr>
            </w:pPr>
            <w:r>
              <w:rPr>
                <w:rFonts w:ascii="宋体" w:eastAsia="宋体" w:hAnsi="宋体" w:cs="宋体"/>
                <w:spacing w:val="3"/>
                <w:sz w:val="15"/>
                <w:szCs w:val="15"/>
              </w:rPr>
              <w:t>0.225</w:t>
            </w:r>
          </w:p>
        </w:tc>
      </w:tr>
      <w:tr w:rsidR="00EA40A3">
        <w:trPr>
          <w:trHeight w:val="230"/>
        </w:trPr>
        <w:tc>
          <w:tcPr>
            <w:tcW w:w="630" w:type="dxa"/>
          </w:tcPr>
          <w:p w:rsidR="00EA40A3" w:rsidRDefault="00E86C16">
            <w:pPr>
              <w:spacing w:before="69" w:line="183" w:lineRule="auto"/>
              <w:ind w:left="9"/>
              <w:rPr>
                <w:rFonts w:ascii="宋体" w:eastAsia="宋体" w:hAnsi="宋体" w:cs="宋体"/>
                <w:sz w:val="16"/>
                <w:szCs w:val="16"/>
              </w:rPr>
            </w:pPr>
            <w:r>
              <w:rPr>
                <w:rFonts w:ascii="宋体" w:eastAsia="宋体" w:hAnsi="宋体" w:cs="宋体"/>
                <w:spacing w:val="14"/>
                <w:w w:val="118"/>
                <w:sz w:val="16"/>
                <w:szCs w:val="16"/>
              </w:rPr>
              <w:t>3~</w:t>
            </w:r>
          </w:p>
        </w:tc>
        <w:tc>
          <w:tcPr>
            <w:tcW w:w="1526" w:type="dxa"/>
          </w:tcPr>
          <w:p w:rsidR="00EA40A3" w:rsidRDefault="00E86C16">
            <w:pPr>
              <w:spacing w:before="59" w:line="183" w:lineRule="auto"/>
              <w:ind w:left="319"/>
              <w:rPr>
                <w:rFonts w:ascii="宋体" w:eastAsia="宋体" w:hAnsi="宋体" w:cs="宋体"/>
                <w:sz w:val="16"/>
                <w:szCs w:val="16"/>
              </w:rPr>
            </w:pPr>
            <w:r>
              <w:rPr>
                <w:rFonts w:ascii="宋体" w:eastAsia="宋体" w:hAnsi="宋体" w:cs="宋体"/>
                <w:spacing w:val="-1"/>
                <w:sz w:val="16"/>
                <w:szCs w:val="16"/>
              </w:rPr>
              <w:t>22.5m+499</w:t>
            </w:r>
          </w:p>
        </w:tc>
        <w:tc>
          <w:tcPr>
            <w:tcW w:w="1065" w:type="dxa"/>
          </w:tcPr>
          <w:p w:rsidR="00EA40A3" w:rsidRDefault="00E86C16">
            <w:pPr>
              <w:spacing w:before="69" w:line="183" w:lineRule="auto"/>
              <w:ind w:left="494"/>
              <w:rPr>
                <w:rFonts w:ascii="宋体" w:eastAsia="宋体" w:hAnsi="宋体" w:cs="宋体"/>
                <w:sz w:val="16"/>
                <w:szCs w:val="16"/>
              </w:rPr>
            </w:pPr>
            <w:r>
              <w:rPr>
                <w:rFonts w:ascii="宋体" w:eastAsia="宋体" w:hAnsi="宋体" w:cs="宋体"/>
                <w:spacing w:val="-2"/>
                <w:sz w:val="16"/>
                <w:szCs w:val="16"/>
              </w:rPr>
              <w:t>0.85</w:t>
            </w:r>
          </w:p>
        </w:tc>
        <w:tc>
          <w:tcPr>
            <w:tcW w:w="2200" w:type="dxa"/>
          </w:tcPr>
          <w:p w:rsidR="00EA40A3" w:rsidRDefault="00E86C16">
            <w:pPr>
              <w:spacing w:before="48" w:line="195" w:lineRule="auto"/>
              <w:ind w:left="288"/>
              <w:rPr>
                <w:rFonts w:ascii="宋体" w:eastAsia="宋体" w:hAnsi="宋体" w:cs="宋体"/>
                <w:sz w:val="16"/>
                <w:szCs w:val="16"/>
              </w:rPr>
            </w:pPr>
            <w:r>
              <w:rPr>
                <w:rFonts w:ascii="宋体" w:eastAsia="宋体" w:hAnsi="宋体" w:cs="宋体"/>
                <w:spacing w:val="-2"/>
                <w:sz w:val="16"/>
                <w:szCs w:val="16"/>
              </w:rPr>
              <w:t>63</w:t>
            </w:r>
            <w:r>
              <w:rPr>
                <w:rFonts w:ascii="宋体" w:eastAsia="宋体" w:hAnsi="宋体" w:cs="宋体"/>
                <w:spacing w:val="7"/>
                <w:sz w:val="16"/>
                <w:szCs w:val="16"/>
              </w:rPr>
              <w:t xml:space="preserve">     </w:t>
            </w:r>
            <w:r>
              <w:rPr>
                <w:rFonts w:ascii="宋体" w:eastAsia="宋体" w:hAnsi="宋体" w:cs="宋体"/>
                <w:spacing w:val="-2"/>
                <w:sz w:val="16"/>
                <w:szCs w:val="16"/>
              </w:rPr>
              <w:t>0.0941m+2.09</w:t>
            </w:r>
          </w:p>
        </w:tc>
        <w:tc>
          <w:tcPr>
            <w:tcW w:w="940" w:type="dxa"/>
          </w:tcPr>
          <w:p w:rsidR="00EA40A3" w:rsidRDefault="00E86C16">
            <w:pPr>
              <w:spacing w:before="59" w:line="183" w:lineRule="auto"/>
              <w:ind w:left="418"/>
              <w:rPr>
                <w:rFonts w:ascii="宋体" w:eastAsia="宋体" w:hAnsi="宋体" w:cs="宋体"/>
                <w:sz w:val="16"/>
                <w:szCs w:val="16"/>
              </w:rPr>
            </w:pPr>
            <w:r>
              <w:rPr>
                <w:rFonts w:ascii="宋体" w:eastAsia="宋体" w:hAnsi="宋体" w:cs="宋体"/>
                <w:spacing w:val="-2"/>
                <w:sz w:val="16"/>
                <w:szCs w:val="16"/>
              </w:rPr>
              <w:t>0.85</w:t>
            </w:r>
          </w:p>
        </w:tc>
        <w:tc>
          <w:tcPr>
            <w:tcW w:w="601" w:type="dxa"/>
          </w:tcPr>
          <w:p w:rsidR="00EA40A3" w:rsidRDefault="00E86C16">
            <w:pPr>
              <w:spacing w:before="59" w:line="192" w:lineRule="auto"/>
              <w:ind w:left="208"/>
              <w:rPr>
                <w:rFonts w:ascii="宋体" w:eastAsia="宋体" w:hAnsi="宋体" w:cs="宋体"/>
                <w:sz w:val="15"/>
                <w:szCs w:val="15"/>
              </w:rPr>
            </w:pPr>
            <w:r>
              <w:rPr>
                <w:rFonts w:ascii="宋体" w:eastAsia="宋体" w:hAnsi="宋体" w:cs="宋体"/>
                <w:spacing w:val="3"/>
                <w:sz w:val="15"/>
                <w:szCs w:val="15"/>
              </w:rPr>
              <w:t>0.264</w:t>
            </w:r>
          </w:p>
        </w:tc>
      </w:tr>
      <w:tr w:rsidR="00EA40A3">
        <w:trPr>
          <w:trHeight w:val="220"/>
        </w:trPr>
        <w:tc>
          <w:tcPr>
            <w:tcW w:w="630" w:type="dxa"/>
          </w:tcPr>
          <w:p w:rsidR="00EA40A3" w:rsidRDefault="00E86C16">
            <w:pPr>
              <w:spacing w:before="58" w:line="184" w:lineRule="auto"/>
              <w:ind w:left="20"/>
              <w:rPr>
                <w:rFonts w:ascii="宋体" w:eastAsia="宋体" w:hAnsi="宋体" w:cs="宋体"/>
                <w:sz w:val="16"/>
                <w:szCs w:val="16"/>
              </w:rPr>
            </w:pPr>
            <w:r>
              <w:rPr>
                <w:rFonts w:ascii="宋体" w:eastAsia="宋体" w:hAnsi="宋体" w:cs="宋体"/>
                <w:spacing w:val="16"/>
                <w:sz w:val="16"/>
                <w:szCs w:val="16"/>
              </w:rPr>
              <w:t>10~</w:t>
            </w:r>
          </w:p>
        </w:tc>
        <w:tc>
          <w:tcPr>
            <w:tcW w:w="1526" w:type="dxa"/>
          </w:tcPr>
          <w:p w:rsidR="00EA40A3" w:rsidRDefault="00E86C16">
            <w:pPr>
              <w:spacing w:before="48" w:line="184" w:lineRule="auto"/>
              <w:ind w:left="319"/>
              <w:rPr>
                <w:rFonts w:ascii="宋体" w:eastAsia="宋体" w:hAnsi="宋体" w:cs="宋体"/>
                <w:sz w:val="16"/>
                <w:szCs w:val="16"/>
              </w:rPr>
            </w:pPr>
            <w:r>
              <w:rPr>
                <w:rFonts w:ascii="宋体" w:eastAsia="宋体" w:hAnsi="宋体" w:cs="宋体"/>
                <w:spacing w:val="-2"/>
                <w:sz w:val="16"/>
                <w:szCs w:val="16"/>
              </w:rPr>
              <w:t>12.2m+746</w:t>
            </w:r>
          </w:p>
        </w:tc>
        <w:tc>
          <w:tcPr>
            <w:tcW w:w="1065" w:type="dxa"/>
          </w:tcPr>
          <w:p w:rsidR="00EA40A3" w:rsidRDefault="00E86C16">
            <w:pPr>
              <w:spacing w:before="49" w:line="183" w:lineRule="auto"/>
              <w:ind w:left="494"/>
              <w:rPr>
                <w:rFonts w:ascii="宋体" w:eastAsia="宋体" w:hAnsi="宋体" w:cs="宋体"/>
                <w:sz w:val="16"/>
                <w:szCs w:val="16"/>
              </w:rPr>
            </w:pPr>
            <w:r>
              <w:rPr>
                <w:rFonts w:ascii="宋体" w:eastAsia="宋体" w:hAnsi="宋体" w:cs="宋体"/>
                <w:spacing w:val="-2"/>
                <w:sz w:val="16"/>
                <w:szCs w:val="16"/>
              </w:rPr>
              <w:t>0.75</w:t>
            </w:r>
          </w:p>
        </w:tc>
        <w:tc>
          <w:tcPr>
            <w:tcW w:w="2200" w:type="dxa"/>
          </w:tcPr>
          <w:p w:rsidR="00EA40A3" w:rsidRDefault="00E86C16">
            <w:pPr>
              <w:spacing w:before="58" w:line="186" w:lineRule="auto"/>
              <w:ind w:left="268"/>
              <w:rPr>
                <w:rFonts w:ascii="宋体" w:eastAsia="宋体" w:hAnsi="宋体" w:cs="宋体"/>
                <w:sz w:val="16"/>
                <w:szCs w:val="16"/>
              </w:rPr>
            </w:pPr>
            <w:r>
              <w:rPr>
                <w:rFonts w:ascii="宋体" w:eastAsia="宋体" w:hAnsi="宋体" w:cs="宋体"/>
                <w:spacing w:val="-2"/>
                <w:sz w:val="16"/>
                <w:szCs w:val="16"/>
              </w:rPr>
              <w:t>117</w:t>
            </w:r>
            <w:r>
              <w:rPr>
                <w:rFonts w:ascii="宋体" w:eastAsia="宋体" w:hAnsi="宋体" w:cs="宋体"/>
                <w:spacing w:val="15"/>
                <w:sz w:val="16"/>
                <w:szCs w:val="16"/>
              </w:rPr>
              <w:t xml:space="preserve">    </w:t>
            </w:r>
            <w:r>
              <w:rPr>
                <w:rFonts w:ascii="宋体" w:eastAsia="宋体" w:hAnsi="宋体" w:cs="宋体"/>
                <w:spacing w:val="-2"/>
                <w:sz w:val="16"/>
                <w:szCs w:val="16"/>
              </w:rPr>
              <w:t>0.0510m+3.12</w:t>
            </w:r>
          </w:p>
        </w:tc>
        <w:tc>
          <w:tcPr>
            <w:tcW w:w="940" w:type="dxa"/>
          </w:tcPr>
          <w:p w:rsidR="00EA40A3" w:rsidRDefault="00E86C16">
            <w:pPr>
              <w:spacing w:before="70" w:line="173" w:lineRule="auto"/>
              <w:ind w:left="418"/>
              <w:rPr>
                <w:rFonts w:ascii="宋体" w:eastAsia="宋体" w:hAnsi="宋体" w:cs="宋体"/>
                <w:sz w:val="16"/>
                <w:szCs w:val="16"/>
              </w:rPr>
            </w:pPr>
            <w:r>
              <w:rPr>
                <w:rFonts w:ascii="宋体" w:eastAsia="宋体" w:hAnsi="宋体" w:cs="宋体"/>
                <w:spacing w:val="-2"/>
                <w:sz w:val="16"/>
                <w:szCs w:val="16"/>
              </w:rPr>
              <w:t>0.75</w:t>
            </w:r>
          </w:p>
        </w:tc>
        <w:tc>
          <w:tcPr>
            <w:tcW w:w="601" w:type="dxa"/>
          </w:tcPr>
          <w:p w:rsidR="00EA40A3" w:rsidRDefault="00E86C16">
            <w:pPr>
              <w:spacing w:before="69" w:line="185" w:lineRule="auto"/>
              <w:ind w:left="208"/>
              <w:rPr>
                <w:rFonts w:ascii="宋体" w:eastAsia="宋体" w:hAnsi="宋体" w:cs="宋体"/>
                <w:sz w:val="15"/>
                <w:szCs w:val="15"/>
              </w:rPr>
            </w:pPr>
            <w:r>
              <w:rPr>
                <w:rFonts w:ascii="宋体" w:eastAsia="宋体" w:hAnsi="宋体" w:cs="宋体"/>
                <w:spacing w:val="3"/>
                <w:sz w:val="15"/>
                <w:szCs w:val="15"/>
              </w:rPr>
              <w:t>0.489</w:t>
            </w:r>
          </w:p>
        </w:tc>
      </w:tr>
      <w:tr w:rsidR="00EA40A3">
        <w:trPr>
          <w:trHeight w:val="230"/>
        </w:trPr>
        <w:tc>
          <w:tcPr>
            <w:tcW w:w="630" w:type="dxa"/>
          </w:tcPr>
          <w:p w:rsidR="00EA40A3" w:rsidRDefault="00E86C16">
            <w:pPr>
              <w:spacing w:before="69" w:line="184" w:lineRule="auto"/>
              <w:ind w:left="20"/>
              <w:rPr>
                <w:rFonts w:ascii="宋体" w:eastAsia="宋体" w:hAnsi="宋体" w:cs="宋体"/>
                <w:sz w:val="16"/>
                <w:szCs w:val="16"/>
              </w:rPr>
            </w:pPr>
            <w:r>
              <w:rPr>
                <w:rFonts w:ascii="宋体" w:eastAsia="宋体" w:hAnsi="宋体" w:cs="宋体"/>
                <w:spacing w:val="16"/>
                <w:sz w:val="16"/>
                <w:szCs w:val="16"/>
              </w:rPr>
              <w:t>18~</w:t>
            </w:r>
          </w:p>
        </w:tc>
        <w:tc>
          <w:tcPr>
            <w:tcW w:w="1526" w:type="dxa"/>
          </w:tcPr>
          <w:p w:rsidR="00EA40A3" w:rsidRDefault="00E86C16">
            <w:pPr>
              <w:spacing w:before="38" w:line="184" w:lineRule="auto"/>
              <w:ind w:left="309"/>
              <w:rPr>
                <w:rFonts w:ascii="宋体" w:eastAsia="宋体" w:hAnsi="宋体" w:cs="宋体"/>
                <w:sz w:val="16"/>
                <w:szCs w:val="16"/>
              </w:rPr>
            </w:pPr>
            <w:r>
              <w:rPr>
                <w:rFonts w:ascii="宋体" w:eastAsia="宋体" w:hAnsi="宋体" w:cs="宋体"/>
                <w:spacing w:val="-2"/>
                <w:sz w:val="16"/>
                <w:szCs w:val="16"/>
              </w:rPr>
              <w:t>14.7m+496</w:t>
            </w:r>
          </w:p>
        </w:tc>
        <w:tc>
          <w:tcPr>
            <w:tcW w:w="1065" w:type="dxa"/>
          </w:tcPr>
          <w:p w:rsidR="00EA40A3" w:rsidRDefault="00E86C16">
            <w:pPr>
              <w:spacing w:before="69" w:line="183" w:lineRule="auto"/>
              <w:ind w:left="494"/>
              <w:rPr>
                <w:rFonts w:ascii="宋体" w:eastAsia="宋体" w:hAnsi="宋体" w:cs="宋体"/>
                <w:sz w:val="16"/>
                <w:szCs w:val="16"/>
              </w:rPr>
            </w:pPr>
            <w:r>
              <w:rPr>
                <w:rFonts w:ascii="宋体" w:eastAsia="宋体" w:hAnsi="宋体" w:cs="宋体"/>
                <w:spacing w:val="-2"/>
                <w:sz w:val="16"/>
                <w:szCs w:val="16"/>
              </w:rPr>
              <w:t>0.72</w:t>
            </w:r>
          </w:p>
        </w:tc>
        <w:tc>
          <w:tcPr>
            <w:tcW w:w="2200" w:type="dxa"/>
          </w:tcPr>
          <w:p w:rsidR="00EA40A3" w:rsidRDefault="00E86C16">
            <w:pPr>
              <w:spacing w:before="59" w:line="184" w:lineRule="auto"/>
              <w:ind w:left="268"/>
              <w:rPr>
                <w:rFonts w:ascii="宋体" w:eastAsia="宋体" w:hAnsi="宋体" w:cs="宋体"/>
                <w:sz w:val="16"/>
                <w:szCs w:val="16"/>
              </w:rPr>
            </w:pPr>
            <w:r>
              <w:rPr>
                <w:rFonts w:ascii="宋体" w:eastAsia="宋体" w:hAnsi="宋体" w:cs="宋体"/>
                <w:spacing w:val="-2"/>
                <w:sz w:val="16"/>
                <w:szCs w:val="16"/>
              </w:rPr>
              <w:t>121</w:t>
            </w:r>
            <w:r>
              <w:rPr>
                <w:rFonts w:ascii="宋体" w:eastAsia="宋体" w:hAnsi="宋体" w:cs="宋体"/>
                <w:spacing w:val="10"/>
                <w:sz w:val="16"/>
                <w:szCs w:val="16"/>
              </w:rPr>
              <w:t xml:space="preserve">    </w:t>
            </w:r>
            <w:r>
              <w:rPr>
                <w:rFonts w:ascii="宋体" w:eastAsia="宋体" w:hAnsi="宋体" w:cs="宋体"/>
                <w:spacing w:val="-2"/>
                <w:sz w:val="16"/>
                <w:szCs w:val="16"/>
              </w:rPr>
              <w:t>0.0615m+2.08</w:t>
            </w:r>
          </w:p>
        </w:tc>
        <w:tc>
          <w:tcPr>
            <w:tcW w:w="940" w:type="dxa"/>
          </w:tcPr>
          <w:p w:rsidR="00EA40A3" w:rsidRDefault="00E86C16">
            <w:pPr>
              <w:spacing w:before="59" w:line="183" w:lineRule="auto"/>
              <w:ind w:left="418"/>
              <w:rPr>
                <w:rFonts w:ascii="宋体" w:eastAsia="宋体" w:hAnsi="宋体" w:cs="宋体"/>
                <w:sz w:val="16"/>
                <w:szCs w:val="16"/>
              </w:rPr>
            </w:pPr>
            <w:r>
              <w:rPr>
                <w:rFonts w:ascii="宋体" w:eastAsia="宋体" w:hAnsi="宋体" w:cs="宋体"/>
                <w:spacing w:val="-2"/>
                <w:sz w:val="16"/>
                <w:szCs w:val="16"/>
              </w:rPr>
              <w:t>0.72</w:t>
            </w:r>
          </w:p>
        </w:tc>
        <w:tc>
          <w:tcPr>
            <w:tcW w:w="601" w:type="dxa"/>
          </w:tcPr>
          <w:p w:rsidR="00EA40A3" w:rsidRDefault="00E86C16">
            <w:pPr>
              <w:spacing w:before="79" w:line="185" w:lineRule="auto"/>
              <w:ind w:left="208"/>
              <w:rPr>
                <w:rFonts w:ascii="宋体" w:eastAsia="宋体" w:hAnsi="宋体" w:cs="宋体"/>
                <w:sz w:val="15"/>
                <w:szCs w:val="15"/>
              </w:rPr>
            </w:pPr>
            <w:r>
              <w:rPr>
                <w:rFonts w:ascii="宋体" w:eastAsia="宋体" w:hAnsi="宋体" w:cs="宋体"/>
                <w:spacing w:val="3"/>
                <w:sz w:val="15"/>
                <w:szCs w:val="15"/>
              </w:rPr>
              <w:t>0.506</w:t>
            </w:r>
          </w:p>
        </w:tc>
      </w:tr>
      <w:tr w:rsidR="00EA40A3">
        <w:trPr>
          <w:trHeight w:val="235"/>
        </w:trPr>
        <w:tc>
          <w:tcPr>
            <w:tcW w:w="630" w:type="dxa"/>
          </w:tcPr>
          <w:p w:rsidR="00EA40A3" w:rsidRDefault="00E86C16">
            <w:pPr>
              <w:spacing w:before="69" w:line="183" w:lineRule="auto"/>
              <w:rPr>
                <w:rFonts w:ascii="宋体" w:eastAsia="宋体" w:hAnsi="宋体" w:cs="宋体"/>
                <w:sz w:val="16"/>
                <w:szCs w:val="16"/>
              </w:rPr>
            </w:pPr>
            <w:r>
              <w:rPr>
                <w:rFonts w:ascii="宋体" w:eastAsia="宋体" w:hAnsi="宋体" w:cs="宋体"/>
                <w:spacing w:val="19"/>
                <w:sz w:val="16"/>
                <w:szCs w:val="16"/>
              </w:rPr>
              <w:t>30~</w:t>
            </w:r>
          </w:p>
        </w:tc>
        <w:tc>
          <w:tcPr>
            <w:tcW w:w="1526" w:type="dxa"/>
          </w:tcPr>
          <w:p w:rsidR="00EA40A3" w:rsidRDefault="00E86C16">
            <w:pPr>
              <w:spacing w:before="39" w:line="183" w:lineRule="auto"/>
              <w:ind w:left="289"/>
              <w:rPr>
                <w:rFonts w:ascii="宋体" w:eastAsia="宋体" w:hAnsi="宋体" w:cs="宋体"/>
                <w:sz w:val="16"/>
                <w:szCs w:val="16"/>
              </w:rPr>
            </w:pPr>
            <w:r>
              <w:rPr>
                <w:rFonts w:ascii="宋体" w:eastAsia="宋体" w:hAnsi="宋体" w:cs="宋体"/>
                <w:spacing w:val="-1"/>
                <w:sz w:val="16"/>
                <w:szCs w:val="16"/>
              </w:rPr>
              <w:t>8.7m+829</w:t>
            </w:r>
          </w:p>
        </w:tc>
        <w:tc>
          <w:tcPr>
            <w:tcW w:w="1065" w:type="dxa"/>
          </w:tcPr>
          <w:p w:rsidR="00EA40A3" w:rsidRDefault="00E86C16">
            <w:pPr>
              <w:spacing w:before="79" w:line="179" w:lineRule="auto"/>
              <w:ind w:left="483"/>
              <w:rPr>
                <w:rFonts w:ascii="宋体" w:eastAsia="宋体" w:hAnsi="宋体" w:cs="宋体"/>
                <w:sz w:val="16"/>
                <w:szCs w:val="16"/>
              </w:rPr>
            </w:pPr>
            <w:r>
              <w:rPr>
                <w:rFonts w:ascii="宋体" w:eastAsia="宋体" w:hAnsi="宋体" w:cs="宋体"/>
                <w:spacing w:val="-2"/>
                <w:sz w:val="16"/>
                <w:szCs w:val="16"/>
              </w:rPr>
              <w:t>0.70</w:t>
            </w:r>
          </w:p>
        </w:tc>
        <w:tc>
          <w:tcPr>
            <w:tcW w:w="2200" w:type="dxa"/>
          </w:tcPr>
          <w:p w:rsidR="00EA40A3" w:rsidRDefault="00E86C16">
            <w:pPr>
              <w:spacing w:before="59" w:line="195" w:lineRule="auto"/>
              <w:ind w:left="258"/>
              <w:rPr>
                <w:rFonts w:ascii="宋体" w:eastAsia="宋体" w:hAnsi="宋体" w:cs="宋体"/>
                <w:sz w:val="16"/>
                <w:szCs w:val="16"/>
              </w:rPr>
            </w:pPr>
            <w:r>
              <w:rPr>
                <w:rFonts w:ascii="宋体" w:eastAsia="宋体" w:hAnsi="宋体" w:cs="宋体"/>
                <w:spacing w:val="-2"/>
                <w:sz w:val="16"/>
                <w:szCs w:val="16"/>
              </w:rPr>
              <w:t>108</w:t>
            </w:r>
            <w:r>
              <w:rPr>
                <w:rFonts w:ascii="宋体" w:eastAsia="宋体" w:hAnsi="宋体" w:cs="宋体"/>
                <w:spacing w:val="12"/>
                <w:sz w:val="16"/>
                <w:szCs w:val="16"/>
              </w:rPr>
              <w:t xml:space="preserve">    </w:t>
            </w:r>
            <w:r>
              <w:rPr>
                <w:rFonts w:ascii="宋体" w:eastAsia="宋体" w:hAnsi="宋体" w:cs="宋体"/>
                <w:spacing w:val="-2"/>
                <w:sz w:val="16"/>
                <w:szCs w:val="16"/>
              </w:rPr>
              <w:t>0.0364m+3.47</w:t>
            </w:r>
          </w:p>
        </w:tc>
        <w:tc>
          <w:tcPr>
            <w:tcW w:w="940" w:type="dxa"/>
          </w:tcPr>
          <w:p w:rsidR="00EA40A3" w:rsidRDefault="00E86C16">
            <w:pPr>
              <w:spacing w:before="69" w:line="183" w:lineRule="auto"/>
              <w:ind w:left="418"/>
              <w:rPr>
                <w:rFonts w:ascii="宋体" w:eastAsia="宋体" w:hAnsi="宋体" w:cs="宋体"/>
                <w:sz w:val="16"/>
                <w:szCs w:val="16"/>
              </w:rPr>
            </w:pPr>
            <w:r>
              <w:rPr>
                <w:rFonts w:ascii="宋体" w:eastAsia="宋体" w:hAnsi="宋体" w:cs="宋体"/>
                <w:spacing w:val="-2"/>
                <w:sz w:val="16"/>
                <w:szCs w:val="16"/>
              </w:rPr>
              <w:t>0.70</w:t>
            </w:r>
          </w:p>
        </w:tc>
        <w:tc>
          <w:tcPr>
            <w:tcW w:w="601" w:type="dxa"/>
          </w:tcPr>
          <w:p w:rsidR="00EA40A3" w:rsidRDefault="00E86C16">
            <w:pPr>
              <w:spacing w:before="79" w:line="191" w:lineRule="auto"/>
              <w:ind w:left="208"/>
              <w:rPr>
                <w:rFonts w:ascii="宋体" w:eastAsia="宋体" w:hAnsi="宋体" w:cs="宋体"/>
                <w:sz w:val="15"/>
                <w:szCs w:val="15"/>
              </w:rPr>
            </w:pPr>
            <w:r>
              <w:rPr>
                <w:rFonts w:ascii="宋体" w:eastAsia="宋体" w:hAnsi="宋体" w:cs="宋体"/>
                <w:spacing w:val="3"/>
                <w:sz w:val="15"/>
                <w:szCs w:val="15"/>
              </w:rPr>
              <w:t>0.452</w:t>
            </w:r>
          </w:p>
        </w:tc>
      </w:tr>
      <w:tr w:rsidR="00EA40A3">
        <w:trPr>
          <w:trHeight w:val="186"/>
        </w:trPr>
        <w:tc>
          <w:tcPr>
            <w:tcW w:w="630" w:type="dxa"/>
          </w:tcPr>
          <w:p w:rsidR="00EA40A3" w:rsidRDefault="00E86C16">
            <w:pPr>
              <w:spacing w:before="64" w:line="122" w:lineRule="exact"/>
              <w:rPr>
                <w:rFonts w:ascii="宋体" w:eastAsia="宋体" w:hAnsi="宋体" w:cs="宋体"/>
                <w:sz w:val="16"/>
                <w:szCs w:val="16"/>
              </w:rPr>
            </w:pPr>
            <w:r>
              <w:rPr>
                <w:rFonts w:ascii="宋体" w:eastAsia="宋体" w:hAnsi="宋体" w:cs="宋体"/>
                <w:spacing w:val="19"/>
                <w:position w:val="-3"/>
                <w:sz w:val="16"/>
                <w:szCs w:val="16"/>
              </w:rPr>
              <w:t>60~</w:t>
            </w:r>
          </w:p>
        </w:tc>
        <w:tc>
          <w:tcPr>
            <w:tcW w:w="1526" w:type="dxa"/>
          </w:tcPr>
          <w:p w:rsidR="00EA40A3" w:rsidRDefault="00E86C16">
            <w:pPr>
              <w:spacing w:before="43" w:line="164" w:lineRule="auto"/>
              <w:ind w:left="309"/>
              <w:rPr>
                <w:rFonts w:ascii="宋体" w:eastAsia="宋体" w:hAnsi="宋体" w:cs="宋体"/>
                <w:sz w:val="16"/>
                <w:szCs w:val="16"/>
              </w:rPr>
            </w:pPr>
            <w:r>
              <w:rPr>
                <w:rFonts w:ascii="宋体" w:eastAsia="宋体" w:hAnsi="宋体" w:cs="宋体"/>
                <w:spacing w:val="-2"/>
                <w:sz w:val="16"/>
                <w:szCs w:val="16"/>
              </w:rPr>
              <w:t>10.5m+596</w:t>
            </w:r>
          </w:p>
        </w:tc>
        <w:tc>
          <w:tcPr>
            <w:tcW w:w="1065" w:type="dxa"/>
          </w:tcPr>
          <w:p w:rsidR="00EA40A3" w:rsidRDefault="00E86C16">
            <w:pPr>
              <w:spacing w:before="54" w:line="132" w:lineRule="exact"/>
              <w:ind w:left="463"/>
              <w:rPr>
                <w:rFonts w:ascii="宋体" w:eastAsia="宋体" w:hAnsi="宋体" w:cs="宋体"/>
                <w:sz w:val="16"/>
                <w:szCs w:val="16"/>
              </w:rPr>
            </w:pPr>
            <w:r>
              <w:rPr>
                <w:rFonts w:ascii="宋体" w:eastAsia="宋体" w:hAnsi="宋体" w:cs="宋体"/>
                <w:spacing w:val="-2"/>
                <w:position w:val="-2"/>
                <w:sz w:val="16"/>
                <w:szCs w:val="16"/>
              </w:rPr>
              <w:t>0.74</w:t>
            </w:r>
          </w:p>
        </w:tc>
        <w:tc>
          <w:tcPr>
            <w:tcW w:w="2200" w:type="dxa"/>
          </w:tcPr>
          <w:p w:rsidR="00EA40A3" w:rsidRDefault="00E86C16">
            <w:pPr>
              <w:spacing w:before="54" w:line="132" w:lineRule="exact"/>
              <w:ind w:left="238"/>
              <w:rPr>
                <w:rFonts w:ascii="宋体" w:eastAsia="宋体" w:hAnsi="宋体" w:cs="宋体"/>
                <w:sz w:val="16"/>
                <w:szCs w:val="16"/>
              </w:rPr>
            </w:pPr>
            <w:r>
              <w:rPr>
                <w:rFonts w:ascii="宋体" w:eastAsia="宋体" w:hAnsi="宋体" w:cs="宋体"/>
                <w:spacing w:val="-2"/>
                <w:position w:val="-2"/>
                <w:sz w:val="16"/>
                <w:szCs w:val="16"/>
              </w:rPr>
              <w:t>108</w:t>
            </w:r>
            <w:r>
              <w:rPr>
                <w:rFonts w:ascii="宋体" w:eastAsia="宋体" w:hAnsi="宋体" w:cs="宋体"/>
                <w:spacing w:val="17"/>
                <w:position w:val="-2"/>
                <w:sz w:val="16"/>
                <w:szCs w:val="16"/>
              </w:rPr>
              <w:t xml:space="preserve">    </w:t>
            </w:r>
            <w:r>
              <w:rPr>
                <w:rFonts w:ascii="宋体" w:eastAsia="宋体" w:hAnsi="宋体" w:cs="宋体"/>
                <w:spacing w:val="-2"/>
                <w:position w:val="-2"/>
                <w:sz w:val="16"/>
                <w:szCs w:val="16"/>
              </w:rPr>
              <w:t>0.0439m+2.49</w:t>
            </w:r>
          </w:p>
        </w:tc>
        <w:tc>
          <w:tcPr>
            <w:tcW w:w="940" w:type="dxa"/>
          </w:tcPr>
          <w:p w:rsidR="00EA40A3" w:rsidRDefault="00E86C16">
            <w:pPr>
              <w:spacing w:before="74" w:line="112" w:lineRule="exact"/>
              <w:ind w:left="359"/>
              <w:rPr>
                <w:rFonts w:ascii="宋体" w:eastAsia="宋体" w:hAnsi="宋体" w:cs="宋体"/>
                <w:sz w:val="15"/>
                <w:szCs w:val="15"/>
              </w:rPr>
            </w:pPr>
            <w:r>
              <w:rPr>
                <w:rFonts w:ascii="宋体" w:eastAsia="宋体" w:hAnsi="宋体" w:cs="宋体"/>
                <w:spacing w:val="3"/>
                <w:position w:val="-2"/>
                <w:sz w:val="15"/>
                <w:szCs w:val="15"/>
              </w:rPr>
              <w:t>0.74</w:t>
            </w:r>
          </w:p>
        </w:tc>
        <w:tc>
          <w:tcPr>
            <w:tcW w:w="601" w:type="dxa"/>
          </w:tcPr>
          <w:p w:rsidR="00EA40A3" w:rsidRDefault="00E86C16">
            <w:pPr>
              <w:spacing w:before="74" w:line="112" w:lineRule="exact"/>
              <w:ind w:left="208"/>
              <w:rPr>
                <w:rFonts w:ascii="宋体" w:eastAsia="宋体" w:hAnsi="宋体" w:cs="宋体"/>
                <w:sz w:val="15"/>
                <w:szCs w:val="15"/>
              </w:rPr>
            </w:pPr>
            <w:r>
              <w:rPr>
                <w:rFonts w:ascii="宋体" w:eastAsia="宋体" w:hAnsi="宋体" w:cs="宋体"/>
                <w:spacing w:val="3"/>
                <w:position w:val="-2"/>
                <w:sz w:val="15"/>
                <w:szCs w:val="15"/>
              </w:rPr>
              <w:t>0.452</w:t>
            </w:r>
          </w:p>
        </w:tc>
      </w:tr>
    </w:tbl>
    <w:p w:rsidR="00EA40A3" w:rsidRDefault="00E86C16">
      <w:pPr>
        <w:spacing w:before="91" w:line="214" w:lineRule="auto"/>
        <w:ind w:left="369"/>
        <w:rPr>
          <w:rFonts w:ascii="宋体" w:eastAsia="宋体" w:hAnsi="宋体" w:cs="宋体"/>
          <w:sz w:val="16"/>
          <w:szCs w:val="16"/>
        </w:rPr>
      </w:pPr>
      <w:r>
        <w:rPr>
          <w:rFonts w:ascii="宋体" w:eastAsia="宋体" w:hAnsi="宋体" w:cs="宋体"/>
          <w:spacing w:val="1"/>
          <w:sz w:val="16"/>
          <w:szCs w:val="16"/>
        </w:rPr>
        <w:t>注；r:相关系数；</w:t>
      </w:r>
      <w:r>
        <w:rPr>
          <w:rFonts w:ascii="宋体" w:eastAsia="宋体" w:hAnsi="宋体" w:cs="宋体"/>
          <w:sz w:val="16"/>
          <w:szCs w:val="16"/>
        </w:rPr>
        <w:t>SD</w:t>
      </w:r>
      <w:r>
        <w:rPr>
          <w:rFonts w:ascii="宋体" w:eastAsia="宋体" w:hAnsi="宋体" w:cs="宋体"/>
          <w:spacing w:val="1"/>
          <w:sz w:val="16"/>
          <w:szCs w:val="16"/>
        </w:rPr>
        <w:t>:</w:t>
      </w:r>
      <w:r>
        <w:rPr>
          <w:rFonts w:ascii="宋体" w:eastAsia="宋体" w:hAnsi="宋体" w:cs="宋体"/>
          <w:sz w:val="16"/>
          <w:szCs w:val="16"/>
        </w:rPr>
        <w:t>BMR</w:t>
      </w:r>
      <w:r>
        <w:rPr>
          <w:rFonts w:ascii="宋体" w:eastAsia="宋体" w:hAnsi="宋体" w:cs="宋体"/>
          <w:spacing w:val="1"/>
          <w:sz w:val="16"/>
          <w:szCs w:val="16"/>
        </w:rPr>
        <w:t>实测值与计算值之间差别的标准差；m:体重(</w:t>
      </w:r>
      <w:r>
        <w:rPr>
          <w:rFonts w:ascii="宋体" w:eastAsia="宋体" w:hAnsi="宋体" w:cs="宋体"/>
          <w:sz w:val="16"/>
          <w:szCs w:val="16"/>
        </w:rPr>
        <w:t>kg</w:t>
      </w:r>
      <w:r>
        <w:rPr>
          <w:rFonts w:ascii="宋体" w:eastAsia="宋体" w:hAnsi="宋体" w:cs="宋体"/>
          <w:spacing w:val="1"/>
          <w:sz w:val="16"/>
          <w:szCs w:val="16"/>
        </w:rPr>
        <w:t>)</w:t>
      </w:r>
    </w:p>
    <w:p w:rsidR="00EA40A3" w:rsidRDefault="00E86C16">
      <w:pPr>
        <w:spacing w:before="70" w:line="219" w:lineRule="auto"/>
        <w:ind w:left="349"/>
        <w:rPr>
          <w:rFonts w:ascii="宋体" w:eastAsia="宋体" w:hAnsi="宋体" w:cs="宋体"/>
          <w:sz w:val="17"/>
          <w:szCs w:val="17"/>
        </w:rPr>
      </w:pPr>
      <w:r>
        <w:rPr>
          <w:rFonts w:ascii="宋体" w:eastAsia="宋体" w:hAnsi="宋体" w:cs="宋体"/>
          <w:spacing w:val="-12"/>
          <w:sz w:val="17"/>
          <w:szCs w:val="17"/>
        </w:rPr>
        <w:t>资料来源：中国营养学会.2000.中国居民膳食营养</w:t>
      </w:r>
      <w:r>
        <w:rPr>
          <w:rFonts w:ascii="宋体" w:eastAsia="宋体" w:hAnsi="宋体" w:cs="宋体"/>
          <w:spacing w:val="-13"/>
          <w:sz w:val="17"/>
          <w:szCs w:val="17"/>
        </w:rPr>
        <w:t>素参考摄入量.北京：中国轻工业出版社</w:t>
      </w:r>
    </w:p>
    <w:p w:rsidR="00EA40A3" w:rsidRDefault="00E86C16">
      <w:pPr>
        <w:spacing w:before="290" w:line="248" w:lineRule="auto"/>
        <w:ind w:right="210" w:firstLine="349"/>
        <w:rPr>
          <w:rFonts w:ascii="宋体" w:eastAsia="宋体" w:hAnsi="宋体" w:cs="宋体"/>
          <w:sz w:val="20"/>
          <w:szCs w:val="20"/>
        </w:rPr>
      </w:pPr>
      <w:r>
        <w:rPr>
          <w:rFonts w:ascii="宋体" w:eastAsia="宋体" w:hAnsi="宋体" w:cs="宋体"/>
          <w:spacing w:val="10"/>
          <w:sz w:val="20"/>
          <w:szCs w:val="20"/>
        </w:rPr>
        <w:t>(3)性别：女性瘦体质量所占比例低于男性，脂肪的比例高于男性，因而同</w:t>
      </w:r>
      <w:r>
        <w:rPr>
          <w:rFonts w:ascii="宋体" w:eastAsia="宋体" w:hAnsi="宋体" w:cs="宋体"/>
          <w:spacing w:val="6"/>
          <w:sz w:val="20"/>
          <w:szCs w:val="20"/>
        </w:rPr>
        <w:t xml:space="preserve"> </w:t>
      </w:r>
      <w:r>
        <w:rPr>
          <w:rFonts w:ascii="宋体" w:eastAsia="宋体" w:hAnsi="宋体" w:cs="宋体"/>
          <w:spacing w:val="18"/>
          <w:sz w:val="20"/>
          <w:szCs w:val="20"/>
        </w:rPr>
        <w:t>龄女性基础代谢率低于男性5%～10%。</w:t>
      </w:r>
    </w:p>
    <w:p w:rsidR="00EA40A3" w:rsidRDefault="00E86C16">
      <w:pPr>
        <w:spacing w:before="62" w:line="258" w:lineRule="auto"/>
        <w:ind w:right="138" w:firstLine="349"/>
        <w:rPr>
          <w:rFonts w:ascii="宋体" w:eastAsia="宋体" w:hAnsi="宋体" w:cs="宋体"/>
          <w:sz w:val="20"/>
          <w:szCs w:val="20"/>
        </w:rPr>
      </w:pPr>
      <w:r>
        <w:rPr>
          <w:rFonts w:ascii="宋体" w:eastAsia="宋体" w:hAnsi="宋体" w:cs="宋体"/>
          <w:spacing w:val="16"/>
          <w:sz w:val="20"/>
          <w:szCs w:val="20"/>
        </w:rPr>
        <w:t>(4)激素：体内许多腺体所分泌的激素对细胞的代谢及调节具有较大的影</w:t>
      </w:r>
      <w:r>
        <w:rPr>
          <w:rFonts w:ascii="宋体" w:eastAsia="宋体" w:hAnsi="宋体" w:cs="宋体"/>
          <w:spacing w:val="4"/>
          <w:sz w:val="20"/>
          <w:szCs w:val="20"/>
        </w:rPr>
        <w:t xml:space="preserve">  </w:t>
      </w:r>
      <w:r>
        <w:rPr>
          <w:rFonts w:ascii="宋体" w:eastAsia="宋体" w:hAnsi="宋体" w:cs="宋体"/>
          <w:spacing w:val="8"/>
          <w:sz w:val="20"/>
          <w:szCs w:val="20"/>
        </w:rPr>
        <w:t>响，如甲状腺素可使细胞内的氧化过程加快，当甲状腺</w:t>
      </w:r>
      <w:r>
        <w:rPr>
          <w:rFonts w:ascii="宋体" w:eastAsia="宋体" w:hAnsi="宋体" w:cs="宋体"/>
          <w:spacing w:val="7"/>
          <w:sz w:val="20"/>
          <w:szCs w:val="20"/>
        </w:rPr>
        <w:t>功能亢进时，基础代谢率</w:t>
      </w:r>
      <w:r>
        <w:rPr>
          <w:rFonts w:ascii="宋体" w:eastAsia="宋体" w:hAnsi="宋体" w:cs="宋体"/>
          <w:sz w:val="20"/>
          <w:szCs w:val="20"/>
        </w:rPr>
        <w:t xml:space="preserve"> 明显增高。</w:t>
      </w:r>
    </w:p>
    <w:p w:rsidR="00EA40A3" w:rsidRDefault="00E86C16">
      <w:pPr>
        <w:spacing w:before="62" w:line="231" w:lineRule="auto"/>
        <w:ind w:right="217" w:firstLine="349"/>
        <w:rPr>
          <w:rFonts w:ascii="宋体" w:eastAsia="宋体" w:hAnsi="宋体" w:cs="宋体"/>
          <w:sz w:val="20"/>
          <w:szCs w:val="20"/>
        </w:rPr>
      </w:pPr>
      <w:r>
        <w:rPr>
          <w:rFonts w:ascii="宋体" w:eastAsia="宋体" w:hAnsi="宋体" w:cs="宋体"/>
          <w:spacing w:val="10"/>
          <w:sz w:val="20"/>
          <w:szCs w:val="20"/>
        </w:rPr>
        <w:t>(5)季节与劳动强度：基础代谢率在不同季节和不同劳动强度的人群中存在</w:t>
      </w:r>
      <w:r>
        <w:rPr>
          <w:rFonts w:ascii="宋体" w:eastAsia="宋体" w:hAnsi="宋体" w:cs="宋体"/>
          <w:sz w:val="20"/>
          <w:szCs w:val="20"/>
        </w:rPr>
        <w:t xml:space="preserve"> </w:t>
      </w:r>
      <w:r>
        <w:rPr>
          <w:rFonts w:ascii="宋体" w:eastAsia="宋体" w:hAnsi="宋体" w:cs="宋体"/>
          <w:spacing w:val="3"/>
          <w:sz w:val="20"/>
          <w:szCs w:val="20"/>
        </w:rPr>
        <w:t>一定差别，</w:t>
      </w:r>
      <w:r>
        <w:rPr>
          <w:rFonts w:ascii="宋体" w:eastAsia="宋体" w:hAnsi="宋体" w:cs="宋体"/>
          <w:spacing w:val="30"/>
          <w:sz w:val="20"/>
          <w:szCs w:val="20"/>
        </w:rPr>
        <w:t xml:space="preserve"> </w:t>
      </w:r>
      <w:r>
        <w:rPr>
          <w:rFonts w:ascii="宋体" w:eastAsia="宋体" w:hAnsi="宋体" w:cs="宋体"/>
          <w:spacing w:val="3"/>
          <w:sz w:val="20"/>
          <w:szCs w:val="20"/>
        </w:rPr>
        <w:t>一般在寒季基础代谢高于暑季；劳动</w:t>
      </w:r>
      <w:r>
        <w:rPr>
          <w:rFonts w:ascii="宋体" w:eastAsia="宋体" w:hAnsi="宋体" w:cs="宋体"/>
          <w:spacing w:val="2"/>
          <w:sz w:val="20"/>
          <w:szCs w:val="20"/>
        </w:rPr>
        <w:t>强度高者高于劳动强度低者。</w:t>
      </w:r>
    </w:p>
    <w:p w:rsidR="00EA40A3" w:rsidRDefault="00EA40A3">
      <w:pPr>
        <w:sectPr w:rsidR="00EA40A3">
          <w:type w:val="continuous"/>
          <w:pgSz w:w="9220" w:h="13360"/>
          <w:pgMar w:top="400" w:right="921" w:bottom="1185" w:left="890" w:header="0" w:footer="964" w:gutter="0"/>
          <w:cols w:space="720" w:equalWidth="0">
            <w:col w:w="7409"/>
          </w:cols>
        </w:sectPr>
      </w:pPr>
    </w:p>
    <w:p w:rsidR="00EA40A3" w:rsidRDefault="00EA40A3">
      <w:pPr>
        <w:spacing w:line="269" w:lineRule="auto"/>
      </w:pPr>
    </w:p>
    <w:p w:rsidR="00EA40A3" w:rsidRDefault="00EA40A3">
      <w:pPr>
        <w:spacing w:line="269" w:lineRule="auto"/>
      </w:pPr>
    </w:p>
    <w:p w:rsidR="00EA40A3" w:rsidRDefault="00EA40A3">
      <w:pPr>
        <w:spacing w:line="270" w:lineRule="auto"/>
      </w:pPr>
    </w:p>
    <w:p w:rsidR="00EA40A3" w:rsidRDefault="00E86C16">
      <w:pPr>
        <w:spacing w:before="62" w:line="222" w:lineRule="auto"/>
        <w:ind w:left="109"/>
        <w:rPr>
          <w:rFonts w:ascii="仿宋" w:eastAsia="仿宋" w:hAnsi="仿宋" w:cs="仿宋"/>
          <w:sz w:val="19"/>
          <w:szCs w:val="19"/>
        </w:rPr>
      </w:pPr>
      <w:r>
        <w:rPr>
          <w:rFonts w:ascii="仿宋" w:eastAsia="仿宋" w:hAnsi="仿宋" w:cs="仿宋"/>
          <w:spacing w:val="-14"/>
          <w:sz w:val="19"/>
          <w:szCs w:val="19"/>
        </w:rPr>
        <w:t>2.</w:t>
      </w:r>
      <w:r>
        <w:rPr>
          <w:rFonts w:ascii="仿宋" w:eastAsia="仿宋" w:hAnsi="仿宋" w:cs="仿宋"/>
          <w:spacing w:val="6"/>
          <w:sz w:val="19"/>
          <w:szCs w:val="19"/>
        </w:rPr>
        <w:t xml:space="preserve"> </w:t>
      </w:r>
      <w:r>
        <w:rPr>
          <w:rFonts w:ascii="仿宋" w:eastAsia="仿宋" w:hAnsi="仿宋" w:cs="仿宋"/>
          <w:spacing w:val="-14"/>
          <w:sz w:val="19"/>
          <w:szCs w:val="19"/>
        </w:rPr>
        <w:t>体</w:t>
      </w:r>
      <w:r>
        <w:rPr>
          <w:rFonts w:ascii="仿宋" w:eastAsia="仿宋" w:hAnsi="仿宋" w:cs="仿宋"/>
          <w:spacing w:val="-25"/>
          <w:sz w:val="19"/>
          <w:szCs w:val="19"/>
        </w:rPr>
        <w:t xml:space="preserve"> </w:t>
      </w:r>
      <w:r>
        <w:rPr>
          <w:rFonts w:ascii="仿宋" w:eastAsia="仿宋" w:hAnsi="仿宋" w:cs="仿宋"/>
          <w:spacing w:val="-14"/>
          <w:sz w:val="19"/>
          <w:szCs w:val="19"/>
        </w:rPr>
        <w:t>力</w:t>
      </w:r>
      <w:r>
        <w:rPr>
          <w:rFonts w:ascii="仿宋" w:eastAsia="仿宋" w:hAnsi="仿宋" w:cs="仿宋"/>
          <w:spacing w:val="-22"/>
          <w:sz w:val="19"/>
          <w:szCs w:val="19"/>
        </w:rPr>
        <w:t xml:space="preserve"> </w:t>
      </w:r>
      <w:r>
        <w:rPr>
          <w:rFonts w:ascii="仿宋" w:eastAsia="仿宋" w:hAnsi="仿宋" w:cs="仿宋"/>
          <w:spacing w:val="-14"/>
          <w:sz w:val="19"/>
          <w:szCs w:val="19"/>
        </w:rPr>
        <w:t>活</w:t>
      </w:r>
      <w:r>
        <w:rPr>
          <w:rFonts w:ascii="仿宋" w:eastAsia="仿宋" w:hAnsi="仿宋" w:cs="仿宋"/>
          <w:spacing w:val="-26"/>
          <w:sz w:val="19"/>
          <w:szCs w:val="19"/>
        </w:rPr>
        <w:t xml:space="preserve"> </w:t>
      </w:r>
      <w:r>
        <w:rPr>
          <w:rFonts w:ascii="仿宋" w:eastAsia="仿宋" w:hAnsi="仿宋" w:cs="仿宋"/>
          <w:spacing w:val="-14"/>
          <w:sz w:val="19"/>
          <w:szCs w:val="19"/>
        </w:rPr>
        <w:t>动</w:t>
      </w:r>
      <w:r>
        <w:rPr>
          <w:rFonts w:ascii="仿宋" w:eastAsia="仿宋" w:hAnsi="仿宋" w:cs="仿宋"/>
          <w:spacing w:val="-16"/>
          <w:sz w:val="19"/>
          <w:szCs w:val="19"/>
        </w:rPr>
        <w:t xml:space="preserve"> </w:t>
      </w:r>
      <w:r>
        <w:rPr>
          <w:rFonts w:ascii="仿宋" w:eastAsia="仿宋" w:hAnsi="仿宋" w:cs="仿宋"/>
          <w:spacing w:val="-14"/>
          <w:sz w:val="19"/>
          <w:szCs w:val="19"/>
        </w:rPr>
        <w:t>的</w:t>
      </w:r>
      <w:r>
        <w:rPr>
          <w:rFonts w:ascii="仿宋" w:eastAsia="仿宋" w:hAnsi="仿宋" w:cs="仿宋"/>
          <w:spacing w:val="-17"/>
          <w:sz w:val="19"/>
          <w:szCs w:val="19"/>
        </w:rPr>
        <w:t xml:space="preserve"> </w:t>
      </w:r>
      <w:r>
        <w:rPr>
          <w:rFonts w:ascii="仿宋" w:eastAsia="仿宋" w:hAnsi="仿宋" w:cs="仿宋"/>
          <w:spacing w:val="-14"/>
          <w:sz w:val="19"/>
          <w:szCs w:val="19"/>
        </w:rPr>
        <w:t>能</w:t>
      </w:r>
      <w:r>
        <w:rPr>
          <w:rFonts w:ascii="仿宋" w:eastAsia="仿宋" w:hAnsi="仿宋" w:cs="仿宋"/>
          <w:spacing w:val="-25"/>
          <w:sz w:val="19"/>
          <w:szCs w:val="19"/>
        </w:rPr>
        <w:t xml:space="preserve"> </w:t>
      </w:r>
      <w:r>
        <w:rPr>
          <w:rFonts w:ascii="仿宋" w:eastAsia="仿宋" w:hAnsi="仿宋" w:cs="仿宋"/>
          <w:spacing w:val="-14"/>
          <w:sz w:val="19"/>
          <w:szCs w:val="19"/>
        </w:rPr>
        <w:t>量</w:t>
      </w:r>
      <w:r>
        <w:rPr>
          <w:rFonts w:ascii="仿宋" w:eastAsia="仿宋" w:hAnsi="仿宋" w:cs="仿宋"/>
          <w:spacing w:val="-23"/>
          <w:sz w:val="19"/>
          <w:szCs w:val="19"/>
        </w:rPr>
        <w:t xml:space="preserve"> </w:t>
      </w:r>
      <w:r>
        <w:rPr>
          <w:rFonts w:ascii="仿宋" w:eastAsia="仿宋" w:hAnsi="仿宋" w:cs="仿宋"/>
          <w:spacing w:val="-14"/>
          <w:sz w:val="19"/>
          <w:szCs w:val="19"/>
        </w:rPr>
        <w:t>消</w:t>
      </w:r>
      <w:r>
        <w:rPr>
          <w:rFonts w:ascii="仿宋" w:eastAsia="仿宋" w:hAnsi="仿宋" w:cs="仿宋"/>
          <w:spacing w:val="-27"/>
          <w:sz w:val="19"/>
          <w:szCs w:val="19"/>
        </w:rPr>
        <w:t xml:space="preserve"> </w:t>
      </w:r>
      <w:r>
        <w:rPr>
          <w:rFonts w:ascii="仿宋" w:eastAsia="仿宋" w:hAnsi="仿宋" w:cs="仿宋"/>
          <w:spacing w:val="-14"/>
          <w:sz w:val="19"/>
          <w:szCs w:val="19"/>
        </w:rPr>
        <w:t>耗</w:t>
      </w:r>
    </w:p>
    <w:p w:rsidR="00EA40A3" w:rsidRDefault="00E86C16">
      <w:pPr>
        <w:spacing w:before="182" w:line="278" w:lineRule="auto"/>
        <w:ind w:left="109" w:firstLine="450"/>
        <w:rPr>
          <w:rFonts w:ascii="宋体" w:eastAsia="宋体" w:hAnsi="宋体" w:cs="宋体"/>
          <w:sz w:val="19"/>
          <w:szCs w:val="19"/>
        </w:rPr>
      </w:pPr>
      <w:r>
        <w:rPr>
          <w:rFonts w:ascii="宋体" w:eastAsia="宋体" w:hAnsi="宋体" w:cs="宋体"/>
          <w:spacing w:val="16"/>
          <w:sz w:val="19"/>
          <w:szCs w:val="19"/>
        </w:rPr>
        <w:t>体力活动的能量消耗是构成人体总能量消耗的重要部分。人体能量需</w:t>
      </w:r>
      <w:r>
        <w:rPr>
          <w:rFonts w:ascii="宋体" w:eastAsia="宋体" w:hAnsi="宋体" w:cs="宋体"/>
          <w:spacing w:val="15"/>
          <w:sz w:val="19"/>
          <w:szCs w:val="19"/>
        </w:rPr>
        <w:t>要量的</w:t>
      </w:r>
      <w:r>
        <w:rPr>
          <w:rFonts w:ascii="宋体" w:eastAsia="宋体" w:hAnsi="宋体" w:cs="宋体"/>
          <w:sz w:val="19"/>
          <w:szCs w:val="19"/>
        </w:rPr>
        <w:t xml:space="preserve"> </w:t>
      </w:r>
      <w:r>
        <w:rPr>
          <w:rFonts w:ascii="宋体" w:eastAsia="宋体" w:hAnsi="宋体" w:cs="宋体"/>
          <w:spacing w:val="17"/>
          <w:sz w:val="19"/>
          <w:szCs w:val="19"/>
        </w:rPr>
        <w:t>不同主要体现在体力活动的差别。人体从事各种活动消耗的能</w:t>
      </w:r>
      <w:r>
        <w:rPr>
          <w:rFonts w:ascii="宋体" w:eastAsia="宋体" w:hAnsi="宋体" w:cs="宋体"/>
          <w:spacing w:val="16"/>
          <w:sz w:val="19"/>
          <w:szCs w:val="19"/>
        </w:rPr>
        <w:t>量，主要取决于体</w:t>
      </w:r>
      <w:r>
        <w:rPr>
          <w:rFonts w:ascii="宋体" w:eastAsia="宋体" w:hAnsi="宋体" w:cs="宋体"/>
          <w:sz w:val="19"/>
          <w:szCs w:val="19"/>
        </w:rPr>
        <w:t xml:space="preserve"> </w:t>
      </w:r>
      <w:r>
        <w:rPr>
          <w:rFonts w:ascii="宋体" w:eastAsia="宋体" w:hAnsi="宋体" w:cs="宋体"/>
          <w:spacing w:val="17"/>
          <w:sz w:val="19"/>
          <w:szCs w:val="19"/>
        </w:rPr>
        <w:t>力活动的强度和持续时间。体力活动一般包括职业活动、社会活动、家务活动和</w:t>
      </w:r>
      <w:r>
        <w:rPr>
          <w:rFonts w:ascii="宋体" w:eastAsia="宋体" w:hAnsi="宋体" w:cs="宋体"/>
          <w:sz w:val="19"/>
          <w:szCs w:val="19"/>
        </w:rPr>
        <w:t xml:space="preserve"> </w:t>
      </w:r>
      <w:r>
        <w:rPr>
          <w:rFonts w:ascii="宋体" w:eastAsia="宋体" w:hAnsi="宋体" w:cs="宋体"/>
          <w:spacing w:val="17"/>
          <w:sz w:val="19"/>
          <w:szCs w:val="19"/>
        </w:rPr>
        <w:t>休闲活动等，因职业不同造成的能量消耗差别最大。伴随中国</w:t>
      </w:r>
      <w:r>
        <w:rPr>
          <w:rFonts w:ascii="宋体" w:eastAsia="宋体" w:hAnsi="宋体" w:cs="宋体"/>
          <w:spacing w:val="16"/>
          <w:sz w:val="19"/>
          <w:szCs w:val="19"/>
        </w:rPr>
        <w:t>经济发展、职业活</w:t>
      </w:r>
      <w:r>
        <w:rPr>
          <w:rFonts w:ascii="宋体" w:eastAsia="宋体" w:hAnsi="宋体" w:cs="宋体"/>
          <w:sz w:val="19"/>
          <w:szCs w:val="19"/>
        </w:rPr>
        <w:t xml:space="preserve"> </w:t>
      </w:r>
      <w:r>
        <w:rPr>
          <w:rFonts w:ascii="宋体" w:eastAsia="宋体" w:hAnsi="宋体" w:cs="宋体"/>
          <w:spacing w:val="35"/>
          <w:sz w:val="19"/>
          <w:szCs w:val="19"/>
        </w:rPr>
        <w:t>动(劳动)强度及条件的改善，已建议将中国人群的劳动</w:t>
      </w:r>
      <w:r>
        <w:rPr>
          <w:rFonts w:ascii="宋体" w:eastAsia="宋体" w:hAnsi="宋体" w:cs="宋体"/>
          <w:spacing w:val="34"/>
          <w:sz w:val="19"/>
          <w:szCs w:val="19"/>
        </w:rPr>
        <w:t>强度由5级调整为3</w:t>
      </w:r>
      <w:r>
        <w:rPr>
          <w:rFonts w:ascii="宋体" w:eastAsia="宋体" w:hAnsi="宋体" w:cs="宋体"/>
          <w:sz w:val="19"/>
          <w:szCs w:val="19"/>
        </w:rPr>
        <w:t xml:space="preserve"> </w:t>
      </w:r>
      <w:r>
        <w:rPr>
          <w:rFonts w:ascii="宋体" w:eastAsia="宋体" w:hAnsi="宋体" w:cs="宋体"/>
          <w:spacing w:val="27"/>
          <w:sz w:val="19"/>
          <w:szCs w:val="19"/>
        </w:rPr>
        <w:t>级，即轻、中、重3级(表3-</w:t>
      </w:r>
      <w:r>
        <w:rPr>
          <w:rFonts w:ascii="宋体" w:eastAsia="宋体" w:hAnsi="宋体" w:cs="宋体"/>
          <w:spacing w:val="-55"/>
          <w:sz w:val="19"/>
          <w:szCs w:val="19"/>
        </w:rPr>
        <w:t xml:space="preserve"> </w:t>
      </w:r>
      <w:r>
        <w:rPr>
          <w:rFonts w:ascii="宋体" w:eastAsia="宋体" w:hAnsi="宋体" w:cs="宋体"/>
          <w:spacing w:val="27"/>
          <w:sz w:val="19"/>
          <w:szCs w:val="19"/>
        </w:rPr>
        <w:t>3),根据不同等级的</w:t>
      </w:r>
      <w:r>
        <w:rPr>
          <w:rFonts w:ascii="宋体" w:eastAsia="宋体" w:hAnsi="宋体" w:cs="宋体"/>
          <w:spacing w:val="26"/>
          <w:sz w:val="19"/>
          <w:szCs w:val="19"/>
        </w:rPr>
        <w:t>体力活动水平</w:t>
      </w:r>
      <w:r>
        <w:rPr>
          <w:rFonts w:ascii="宋体" w:eastAsia="宋体" w:hAnsi="宋体" w:cs="宋体"/>
          <w:sz w:val="19"/>
          <w:szCs w:val="19"/>
        </w:rPr>
        <w:t>PAL</w:t>
      </w:r>
      <w:r>
        <w:rPr>
          <w:rFonts w:ascii="宋体" w:eastAsia="宋体" w:hAnsi="宋体" w:cs="宋体"/>
          <w:spacing w:val="26"/>
          <w:sz w:val="19"/>
          <w:szCs w:val="19"/>
        </w:rPr>
        <w:t>(</w:t>
      </w:r>
      <w:r>
        <w:rPr>
          <w:rFonts w:ascii="宋体" w:eastAsia="宋体" w:hAnsi="宋体" w:cs="宋体"/>
          <w:sz w:val="19"/>
          <w:szCs w:val="19"/>
        </w:rPr>
        <w:t>physical</w:t>
      </w:r>
    </w:p>
    <w:p w:rsidR="00EA40A3" w:rsidRDefault="00E86C16">
      <w:pPr>
        <w:spacing w:before="80" w:line="265" w:lineRule="auto"/>
        <w:ind w:left="109" w:right="22"/>
        <w:rPr>
          <w:rFonts w:ascii="宋体" w:eastAsia="宋体" w:hAnsi="宋体" w:cs="宋体"/>
          <w:sz w:val="19"/>
          <w:szCs w:val="19"/>
        </w:rPr>
      </w:pPr>
      <w:r>
        <w:rPr>
          <w:rFonts w:ascii="宋体" w:eastAsia="宋体" w:hAnsi="宋体" w:cs="宋体"/>
          <w:sz w:val="19"/>
          <w:szCs w:val="19"/>
        </w:rPr>
        <w:t>activity</w:t>
      </w:r>
      <w:r>
        <w:rPr>
          <w:rFonts w:ascii="宋体" w:eastAsia="宋体" w:hAnsi="宋体" w:cs="宋体"/>
          <w:spacing w:val="4"/>
          <w:sz w:val="19"/>
          <w:szCs w:val="19"/>
        </w:rPr>
        <w:t xml:space="preserve"> </w:t>
      </w:r>
      <w:r>
        <w:rPr>
          <w:rFonts w:ascii="宋体" w:eastAsia="宋体" w:hAnsi="宋体" w:cs="宋体"/>
          <w:sz w:val="19"/>
          <w:szCs w:val="19"/>
        </w:rPr>
        <w:t>level</w:t>
      </w:r>
      <w:r>
        <w:rPr>
          <w:rFonts w:ascii="宋体" w:eastAsia="宋体" w:hAnsi="宋体" w:cs="宋体"/>
          <w:spacing w:val="20"/>
          <w:sz w:val="19"/>
          <w:szCs w:val="19"/>
        </w:rPr>
        <w:t>)</w:t>
      </w:r>
      <w:r>
        <w:rPr>
          <w:rFonts w:ascii="宋体" w:eastAsia="宋体" w:hAnsi="宋体" w:cs="宋体"/>
          <w:spacing w:val="-12"/>
          <w:sz w:val="19"/>
          <w:szCs w:val="19"/>
        </w:rPr>
        <w:t xml:space="preserve"> </w:t>
      </w:r>
      <w:r>
        <w:rPr>
          <w:rFonts w:ascii="宋体" w:eastAsia="宋体" w:hAnsi="宋体" w:cs="宋体"/>
          <w:spacing w:val="20"/>
          <w:sz w:val="19"/>
          <w:szCs w:val="19"/>
        </w:rPr>
        <w:t>值可推算出能量消耗量。美国在1989年将职业劳动强</w:t>
      </w:r>
      <w:r>
        <w:rPr>
          <w:rFonts w:ascii="宋体" w:eastAsia="宋体" w:hAnsi="宋体" w:cs="宋体"/>
          <w:spacing w:val="19"/>
          <w:sz w:val="19"/>
          <w:szCs w:val="19"/>
        </w:rPr>
        <w:t>度分为休</w:t>
      </w:r>
      <w:r>
        <w:rPr>
          <w:rFonts w:ascii="宋体" w:eastAsia="宋体" w:hAnsi="宋体" w:cs="宋体"/>
          <w:sz w:val="19"/>
          <w:szCs w:val="19"/>
        </w:rPr>
        <w:t xml:space="preserve"> </w:t>
      </w:r>
      <w:r>
        <w:rPr>
          <w:rFonts w:ascii="宋体" w:eastAsia="宋体" w:hAnsi="宋体" w:cs="宋体"/>
          <w:spacing w:val="24"/>
          <w:sz w:val="19"/>
          <w:szCs w:val="19"/>
        </w:rPr>
        <w:t>息、极轻、轻、中和重体力劳动5个等级估算出综合能量指数</w:t>
      </w:r>
      <w:r>
        <w:rPr>
          <w:rFonts w:ascii="宋体" w:eastAsia="宋体" w:hAnsi="宋体" w:cs="宋体"/>
          <w:spacing w:val="-41"/>
          <w:sz w:val="19"/>
          <w:szCs w:val="19"/>
        </w:rPr>
        <w:t xml:space="preserve"> </w:t>
      </w:r>
      <w:r>
        <w:rPr>
          <w:rFonts w:ascii="宋体" w:eastAsia="宋体" w:hAnsi="宋体" w:cs="宋体"/>
          <w:sz w:val="19"/>
          <w:szCs w:val="19"/>
        </w:rPr>
        <w:t>IEI</w:t>
      </w:r>
      <w:r>
        <w:rPr>
          <w:rFonts w:ascii="宋体" w:eastAsia="宋体" w:hAnsi="宋体" w:cs="宋体"/>
          <w:spacing w:val="24"/>
          <w:sz w:val="19"/>
          <w:szCs w:val="19"/>
        </w:rPr>
        <w:t>(</w:t>
      </w:r>
      <w:r>
        <w:rPr>
          <w:rFonts w:ascii="宋体" w:eastAsia="宋体" w:hAnsi="宋体" w:cs="宋体"/>
          <w:sz w:val="19"/>
          <w:szCs w:val="19"/>
        </w:rPr>
        <w:t>integrative energy</w:t>
      </w:r>
      <w:r>
        <w:rPr>
          <w:rFonts w:ascii="宋体" w:eastAsia="宋体" w:hAnsi="宋体" w:cs="宋体"/>
          <w:spacing w:val="49"/>
          <w:sz w:val="19"/>
          <w:szCs w:val="19"/>
        </w:rPr>
        <w:t xml:space="preserve"> </w:t>
      </w:r>
      <w:r>
        <w:rPr>
          <w:rFonts w:ascii="宋体" w:eastAsia="宋体" w:hAnsi="宋体" w:cs="宋体"/>
          <w:sz w:val="19"/>
          <w:szCs w:val="19"/>
        </w:rPr>
        <w:t>index</w:t>
      </w:r>
      <w:r>
        <w:rPr>
          <w:rFonts w:ascii="宋体" w:eastAsia="宋体" w:hAnsi="宋体" w:cs="宋体"/>
          <w:spacing w:val="2"/>
          <w:sz w:val="19"/>
          <w:szCs w:val="19"/>
        </w:rPr>
        <w:t>)</w:t>
      </w:r>
      <w:r>
        <w:rPr>
          <w:rFonts w:ascii="宋体" w:eastAsia="宋体" w:hAnsi="宋体" w:cs="宋体"/>
          <w:spacing w:val="-17"/>
          <w:sz w:val="19"/>
          <w:szCs w:val="19"/>
        </w:rPr>
        <w:t xml:space="preserve"> </w:t>
      </w:r>
      <w:r>
        <w:rPr>
          <w:rFonts w:ascii="宋体" w:eastAsia="宋体" w:hAnsi="宋体" w:cs="宋体"/>
          <w:spacing w:val="2"/>
          <w:sz w:val="19"/>
          <w:szCs w:val="19"/>
        </w:rPr>
        <w:t>(表3-4)。</w:t>
      </w:r>
    </w:p>
    <w:p w:rsidR="00EA40A3" w:rsidRDefault="00EA40A3">
      <w:pPr>
        <w:spacing w:line="258" w:lineRule="auto"/>
      </w:pPr>
    </w:p>
    <w:p w:rsidR="00EA40A3" w:rsidRDefault="00E86C16">
      <w:pPr>
        <w:spacing w:before="62" w:line="221" w:lineRule="auto"/>
        <w:ind w:left="2362"/>
        <w:rPr>
          <w:rFonts w:ascii="黑体" w:eastAsia="黑体" w:hAnsi="黑体" w:cs="黑体"/>
          <w:sz w:val="19"/>
          <w:szCs w:val="19"/>
        </w:rPr>
      </w:pPr>
      <w:r>
        <w:rPr>
          <w:rFonts w:ascii="黑体" w:eastAsia="黑体" w:hAnsi="黑体" w:cs="黑体"/>
          <w:b/>
          <w:bCs/>
          <w:spacing w:val="-11"/>
          <w:sz w:val="19"/>
          <w:szCs w:val="19"/>
        </w:rPr>
        <w:t>表3-3</w:t>
      </w:r>
      <w:r>
        <w:rPr>
          <w:rFonts w:ascii="黑体" w:eastAsia="黑体" w:hAnsi="黑体" w:cs="黑体"/>
          <w:spacing w:val="74"/>
          <w:sz w:val="19"/>
          <w:szCs w:val="19"/>
        </w:rPr>
        <w:t xml:space="preserve"> </w:t>
      </w:r>
      <w:r>
        <w:rPr>
          <w:rFonts w:ascii="黑体" w:eastAsia="黑体" w:hAnsi="黑体" w:cs="黑体"/>
          <w:b/>
          <w:bCs/>
          <w:spacing w:val="-11"/>
          <w:sz w:val="19"/>
          <w:szCs w:val="19"/>
        </w:rPr>
        <w:t>建议中国成人活动水平分级</w:t>
      </w:r>
    </w:p>
    <w:p w:rsidR="00EA40A3" w:rsidRDefault="00EA40A3">
      <w:pPr>
        <w:spacing w:line="43" w:lineRule="auto"/>
        <w:rPr>
          <w:sz w:val="2"/>
        </w:rPr>
      </w:pPr>
    </w:p>
    <w:tbl>
      <w:tblPr>
        <w:tblStyle w:val="TableNormal"/>
        <w:tblW w:w="7319"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1"/>
        <w:gridCol w:w="1901"/>
        <w:gridCol w:w="3815"/>
        <w:gridCol w:w="742"/>
      </w:tblGrid>
      <w:tr w:rsidR="00EA40A3">
        <w:trPr>
          <w:trHeight w:val="533"/>
        </w:trPr>
        <w:tc>
          <w:tcPr>
            <w:tcW w:w="861" w:type="dxa"/>
            <w:tcBorders>
              <w:left w:val="nil"/>
              <w:right w:val="nil"/>
            </w:tcBorders>
          </w:tcPr>
          <w:p w:rsidR="00EA40A3" w:rsidRDefault="00E86C16">
            <w:pPr>
              <w:spacing w:before="231" w:line="219" w:lineRule="auto"/>
              <w:ind w:left="150"/>
              <w:rPr>
                <w:rFonts w:ascii="宋体" w:eastAsia="宋体" w:hAnsi="宋体" w:cs="宋体"/>
                <w:sz w:val="16"/>
                <w:szCs w:val="16"/>
              </w:rPr>
            </w:pPr>
            <w:r>
              <w:rPr>
                <w:rFonts w:ascii="宋体" w:eastAsia="宋体" w:hAnsi="宋体" w:cs="宋体"/>
                <w:spacing w:val="-2"/>
                <w:sz w:val="16"/>
                <w:szCs w:val="16"/>
              </w:rPr>
              <w:t>活动水平</w:t>
            </w:r>
          </w:p>
        </w:tc>
        <w:tc>
          <w:tcPr>
            <w:tcW w:w="1901" w:type="dxa"/>
            <w:tcBorders>
              <w:left w:val="nil"/>
              <w:right w:val="nil"/>
            </w:tcBorders>
          </w:tcPr>
          <w:p w:rsidR="00EA40A3" w:rsidRDefault="00E86C16">
            <w:pPr>
              <w:spacing w:before="232" w:line="220" w:lineRule="auto"/>
              <w:ind w:left="399"/>
              <w:rPr>
                <w:rFonts w:ascii="宋体" w:eastAsia="宋体" w:hAnsi="宋体" w:cs="宋体"/>
                <w:sz w:val="16"/>
                <w:szCs w:val="16"/>
              </w:rPr>
            </w:pPr>
            <w:r>
              <w:rPr>
                <w:rFonts w:ascii="宋体" w:eastAsia="宋体" w:hAnsi="宋体" w:cs="宋体"/>
                <w:spacing w:val="-1"/>
                <w:sz w:val="16"/>
                <w:szCs w:val="16"/>
              </w:rPr>
              <w:t>职业工作时间分配</w:t>
            </w:r>
          </w:p>
        </w:tc>
        <w:tc>
          <w:tcPr>
            <w:tcW w:w="4557" w:type="dxa"/>
            <w:gridSpan w:val="2"/>
            <w:tcBorders>
              <w:left w:val="nil"/>
              <w:right w:val="nil"/>
            </w:tcBorders>
          </w:tcPr>
          <w:p w:rsidR="00EA40A3" w:rsidRDefault="00E86C16">
            <w:pPr>
              <w:spacing w:before="151" w:line="166" w:lineRule="auto"/>
              <w:ind w:left="1407"/>
              <w:rPr>
                <w:rFonts w:ascii="宋体" w:eastAsia="宋体" w:hAnsi="宋体" w:cs="宋体"/>
                <w:sz w:val="15"/>
                <w:szCs w:val="15"/>
              </w:rPr>
            </w:pPr>
            <w:r>
              <w:rPr>
                <w:rFonts w:ascii="宋体" w:eastAsia="宋体" w:hAnsi="宋体" w:cs="宋体"/>
                <w:spacing w:val="14"/>
                <w:position w:val="-2"/>
                <w:sz w:val="15"/>
                <w:szCs w:val="15"/>
              </w:rPr>
              <w:t>工作内容举例</w:t>
            </w:r>
            <w:r>
              <w:rPr>
                <w:rFonts w:ascii="宋体" w:eastAsia="宋体" w:hAnsi="宋体" w:cs="宋体"/>
                <w:spacing w:val="2"/>
                <w:position w:val="-2"/>
                <w:sz w:val="15"/>
                <w:szCs w:val="15"/>
              </w:rPr>
              <w:t xml:space="preserve">                </w:t>
            </w:r>
            <w:r>
              <w:rPr>
                <w:rFonts w:ascii="宋体" w:eastAsia="宋体" w:hAnsi="宋体" w:cs="宋体"/>
                <w:spacing w:val="13"/>
                <w:position w:val="8"/>
                <w:sz w:val="15"/>
                <w:szCs w:val="15"/>
                <w:u w:val="single"/>
              </w:rPr>
              <w:t xml:space="preserve">    </w:t>
            </w:r>
            <w:r>
              <w:rPr>
                <w:rFonts w:ascii="宋体" w:eastAsia="宋体" w:hAnsi="宋体" w:cs="宋体"/>
                <w:position w:val="8"/>
                <w:sz w:val="15"/>
                <w:szCs w:val="15"/>
                <w:u w:val="single"/>
              </w:rPr>
              <w:t xml:space="preserve">PAL     </w:t>
            </w:r>
          </w:p>
          <w:p w:rsidR="00EA40A3" w:rsidRDefault="00E86C16">
            <w:pPr>
              <w:spacing w:line="193" w:lineRule="auto"/>
              <w:ind w:right="161"/>
              <w:jc w:val="right"/>
              <w:rPr>
                <w:rFonts w:ascii="宋体" w:eastAsia="宋体" w:hAnsi="宋体" w:cs="宋体"/>
                <w:sz w:val="14"/>
                <w:szCs w:val="14"/>
              </w:rPr>
            </w:pPr>
            <w:r>
              <w:rPr>
                <w:rFonts w:ascii="宋体" w:eastAsia="宋体" w:hAnsi="宋体" w:cs="宋体"/>
                <w:spacing w:val="8"/>
                <w:sz w:val="14"/>
                <w:szCs w:val="14"/>
              </w:rPr>
              <w:t>男</w:t>
            </w:r>
            <w:r>
              <w:rPr>
                <w:rFonts w:ascii="宋体" w:eastAsia="宋体" w:hAnsi="宋体" w:cs="宋体"/>
                <w:spacing w:val="12"/>
                <w:sz w:val="14"/>
                <w:szCs w:val="14"/>
              </w:rPr>
              <w:t xml:space="preserve">    </w:t>
            </w:r>
            <w:r>
              <w:rPr>
                <w:rFonts w:ascii="宋体" w:eastAsia="宋体" w:hAnsi="宋体" w:cs="宋体"/>
                <w:spacing w:val="8"/>
                <w:sz w:val="14"/>
                <w:szCs w:val="14"/>
              </w:rPr>
              <w:t>女</w:t>
            </w:r>
          </w:p>
        </w:tc>
      </w:tr>
      <w:tr w:rsidR="00EA40A3">
        <w:trPr>
          <w:trHeight w:val="537"/>
        </w:trPr>
        <w:tc>
          <w:tcPr>
            <w:tcW w:w="861" w:type="dxa"/>
            <w:tcBorders>
              <w:left w:val="nil"/>
              <w:right w:val="nil"/>
            </w:tcBorders>
          </w:tcPr>
          <w:p w:rsidR="00EA40A3" w:rsidRDefault="00E86C16">
            <w:pPr>
              <w:spacing w:before="188" w:line="219" w:lineRule="auto"/>
              <w:ind w:left="159"/>
              <w:rPr>
                <w:rFonts w:ascii="宋体" w:eastAsia="宋体" w:hAnsi="宋体" w:cs="宋体"/>
                <w:sz w:val="16"/>
                <w:szCs w:val="16"/>
              </w:rPr>
            </w:pPr>
            <w:r>
              <w:rPr>
                <w:rFonts w:ascii="宋体" w:eastAsia="宋体" w:hAnsi="宋体" w:cs="宋体"/>
                <w:sz w:val="16"/>
                <w:szCs w:val="16"/>
              </w:rPr>
              <w:t>轻</w:t>
            </w:r>
          </w:p>
        </w:tc>
        <w:tc>
          <w:tcPr>
            <w:tcW w:w="1901" w:type="dxa"/>
            <w:tcBorders>
              <w:left w:val="nil"/>
              <w:right w:val="nil"/>
            </w:tcBorders>
          </w:tcPr>
          <w:p w:rsidR="00EA40A3" w:rsidRDefault="00E86C16">
            <w:pPr>
              <w:spacing w:before="90" w:line="258" w:lineRule="exact"/>
              <w:ind w:left="88"/>
              <w:rPr>
                <w:rFonts w:ascii="宋体" w:eastAsia="宋体" w:hAnsi="宋体" w:cs="宋体"/>
                <w:sz w:val="16"/>
                <w:szCs w:val="16"/>
              </w:rPr>
            </w:pPr>
            <w:r>
              <w:rPr>
                <w:rFonts w:ascii="宋体" w:eastAsia="宋体" w:hAnsi="宋体" w:cs="宋体"/>
                <w:spacing w:val="-1"/>
                <w:position w:val="7"/>
                <w:sz w:val="16"/>
                <w:szCs w:val="16"/>
              </w:rPr>
              <w:t>75%时间坐或站立</w:t>
            </w:r>
          </w:p>
          <w:p w:rsidR="00EA40A3" w:rsidRDefault="00E86C16">
            <w:pPr>
              <w:spacing w:line="217" w:lineRule="auto"/>
              <w:ind w:left="88"/>
              <w:rPr>
                <w:rFonts w:ascii="宋体" w:eastAsia="宋体" w:hAnsi="宋体" w:cs="宋体"/>
                <w:sz w:val="16"/>
                <w:szCs w:val="16"/>
              </w:rPr>
            </w:pPr>
            <w:r>
              <w:rPr>
                <w:rFonts w:ascii="宋体" w:eastAsia="宋体" w:hAnsi="宋体" w:cs="宋体"/>
                <w:spacing w:val="-1"/>
                <w:sz w:val="16"/>
                <w:szCs w:val="16"/>
              </w:rPr>
              <w:t>25%时间站着活动</w:t>
            </w:r>
          </w:p>
        </w:tc>
        <w:tc>
          <w:tcPr>
            <w:tcW w:w="4557" w:type="dxa"/>
            <w:gridSpan w:val="2"/>
            <w:tcBorders>
              <w:left w:val="nil"/>
              <w:right w:val="nil"/>
            </w:tcBorders>
          </w:tcPr>
          <w:p w:rsidR="00EA40A3" w:rsidRDefault="00E86C16">
            <w:pPr>
              <w:spacing w:before="77" w:line="219" w:lineRule="auto"/>
              <w:ind w:left="247"/>
              <w:rPr>
                <w:rFonts w:ascii="宋体" w:eastAsia="宋体" w:hAnsi="宋体" w:cs="宋体"/>
                <w:sz w:val="16"/>
                <w:szCs w:val="16"/>
              </w:rPr>
            </w:pPr>
            <w:r>
              <w:rPr>
                <w:rFonts w:ascii="宋体" w:eastAsia="宋体" w:hAnsi="宋体" w:cs="宋体"/>
                <w:spacing w:val="2"/>
                <w:sz w:val="16"/>
                <w:szCs w:val="16"/>
              </w:rPr>
              <w:t>办公室工作、修理电器钟表、售货员、酒店服务</w:t>
            </w:r>
            <w:r>
              <w:rPr>
                <w:rFonts w:ascii="宋体" w:eastAsia="宋体" w:hAnsi="宋体" w:cs="宋体"/>
                <w:spacing w:val="14"/>
                <w:sz w:val="16"/>
                <w:szCs w:val="16"/>
              </w:rPr>
              <w:t xml:space="preserve">  </w:t>
            </w:r>
            <w:r>
              <w:rPr>
                <w:rFonts w:ascii="宋体" w:eastAsia="宋体" w:hAnsi="宋体" w:cs="宋体"/>
                <w:spacing w:val="2"/>
                <w:sz w:val="16"/>
                <w:szCs w:val="16"/>
              </w:rPr>
              <w:t>1.551.56</w:t>
            </w:r>
          </w:p>
          <w:p w:rsidR="00EA40A3" w:rsidRDefault="00E86C16">
            <w:pPr>
              <w:spacing w:before="80" w:line="218" w:lineRule="auto"/>
              <w:ind w:left="238"/>
              <w:rPr>
                <w:rFonts w:ascii="宋体" w:eastAsia="宋体" w:hAnsi="宋体" w:cs="宋体"/>
                <w:sz w:val="16"/>
                <w:szCs w:val="16"/>
              </w:rPr>
            </w:pPr>
            <w:r>
              <w:rPr>
                <w:rFonts w:ascii="宋体" w:eastAsia="宋体" w:hAnsi="宋体" w:cs="宋体"/>
                <w:spacing w:val="-1"/>
                <w:sz w:val="16"/>
                <w:szCs w:val="16"/>
              </w:rPr>
              <w:t>员、化学实验操作、讲课等</w:t>
            </w:r>
          </w:p>
        </w:tc>
      </w:tr>
      <w:tr w:rsidR="00EA40A3">
        <w:trPr>
          <w:trHeight w:val="537"/>
        </w:trPr>
        <w:tc>
          <w:tcPr>
            <w:tcW w:w="861" w:type="dxa"/>
            <w:tcBorders>
              <w:left w:val="nil"/>
              <w:right w:val="nil"/>
            </w:tcBorders>
          </w:tcPr>
          <w:p w:rsidR="00EA40A3" w:rsidRDefault="00E86C16">
            <w:pPr>
              <w:spacing w:before="192" w:line="220" w:lineRule="auto"/>
              <w:ind w:left="159"/>
              <w:rPr>
                <w:rFonts w:ascii="宋体" w:eastAsia="宋体" w:hAnsi="宋体" w:cs="宋体"/>
                <w:sz w:val="16"/>
                <w:szCs w:val="16"/>
              </w:rPr>
            </w:pPr>
            <w:r>
              <w:rPr>
                <w:rFonts w:ascii="宋体" w:eastAsia="宋体" w:hAnsi="宋体" w:cs="宋体"/>
                <w:sz w:val="16"/>
                <w:szCs w:val="16"/>
              </w:rPr>
              <w:t>中</w:t>
            </w:r>
          </w:p>
        </w:tc>
        <w:tc>
          <w:tcPr>
            <w:tcW w:w="1901" w:type="dxa"/>
            <w:tcBorders>
              <w:left w:val="nil"/>
              <w:right w:val="nil"/>
            </w:tcBorders>
          </w:tcPr>
          <w:p w:rsidR="00EA40A3" w:rsidRDefault="00E86C16">
            <w:pPr>
              <w:spacing w:before="93" w:line="221" w:lineRule="auto"/>
              <w:ind w:left="88"/>
              <w:rPr>
                <w:rFonts w:ascii="宋体" w:eastAsia="宋体" w:hAnsi="宋体" w:cs="宋体"/>
                <w:sz w:val="16"/>
                <w:szCs w:val="16"/>
              </w:rPr>
            </w:pPr>
            <w:r>
              <w:rPr>
                <w:rFonts w:ascii="宋体" w:eastAsia="宋体" w:hAnsi="宋体" w:cs="宋体"/>
                <w:spacing w:val="-1"/>
                <w:sz w:val="16"/>
                <w:szCs w:val="16"/>
              </w:rPr>
              <w:t>25%时间坐或站立</w:t>
            </w:r>
          </w:p>
          <w:p w:rsidR="00EA40A3" w:rsidRDefault="00E86C16">
            <w:pPr>
              <w:spacing w:before="56" w:line="219" w:lineRule="auto"/>
              <w:ind w:left="88"/>
              <w:rPr>
                <w:rFonts w:ascii="宋体" w:eastAsia="宋体" w:hAnsi="宋体" w:cs="宋体"/>
                <w:sz w:val="16"/>
                <w:szCs w:val="16"/>
              </w:rPr>
            </w:pPr>
            <w:r>
              <w:rPr>
                <w:rFonts w:ascii="宋体" w:eastAsia="宋体" w:hAnsi="宋体" w:cs="宋体"/>
                <w:spacing w:val="1"/>
                <w:sz w:val="16"/>
                <w:szCs w:val="16"/>
              </w:rPr>
              <w:t>75%时间特殊职业活动</w:t>
            </w:r>
          </w:p>
        </w:tc>
        <w:tc>
          <w:tcPr>
            <w:tcW w:w="4557" w:type="dxa"/>
            <w:gridSpan w:val="2"/>
            <w:tcBorders>
              <w:left w:val="nil"/>
              <w:right w:val="nil"/>
            </w:tcBorders>
          </w:tcPr>
          <w:p w:rsidR="00EA40A3" w:rsidRDefault="00E86C16">
            <w:pPr>
              <w:spacing w:before="70" w:line="219" w:lineRule="auto"/>
              <w:ind w:left="238"/>
              <w:rPr>
                <w:rFonts w:ascii="宋体" w:eastAsia="宋体" w:hAnsi="宋体" w:cs="宋体"/>
                <w:sz w:val="16"/>
                <w:szCs w:val="16"/>
              </w:rPr>
            </w:pPr>
            <w:r>
              <w:rPr>
                <w:rFonts w:ascii="宋体" w:eastAsia="宋体" w:hAnsi="宋体" w:cs="宋体"/>
                <w:spacing w:val="1"/>
                <w:sz w:val="16"/>
                <w:szCs w:val="16"/>
              </w:rPr>
              <w:t>学生日常活动、机动车驾驶、电工安装、车床操</w:t>
            </w:r>
            <w:r>
              <w:rPr>
                <w:rFonts w:ascii="宋体" w:eastAsia="宋体" w:hAnsi="宋体" w:cs="宋体"/>
                <w:spacing w:val="11"/>
                <w:sz w:val="16"/>
                <w:szCs w:val="16"/>
              </w:rPr>
              <w:t xml:space="preserve">  </w:t>
            </w:r>
            <w:r>
              <w:rPr>
                <w:rFonts w:ascii="宋体" w:eastAsia="宋体" w:hAnsi="宋体" w:cs="宋体"/>
                <w:spacing w:val="1"/>
                <w:sz w:val="16"/>
                <w:szCs w:val="16"/>
              </w:rPr>
              <w:t>1</w:t>
            </w:r>
            <w:r>
              <w:rPr>
                <w:rFonts w:ascii="宋体" w:eastAsia="宋体" w:hAnsi="宋体" w:cs="宋体"/>
                <w:sz w:val="16"/>
                <w:szCs w:val="16"/>
              </w:rPr>
              <w:t>.781.64</w:t>
            </w:r>
          </w:p>
          <w:p w:rsidR="00EA40A3" w:rsidRDefault="00E86C16">
            <w:pPr>
              <w:spacing w:before="81" w:line="219" w:lineRule="auto"/>
              <w:ind w:left="238"/>
              <w:rPr>
                <w:rFonts w:ascii="宋体" w:eastAsia="宋体" w:hAnsi="宋体" w:cs="宋体"/>
                <w:sz w:val="16"/>
                <w:szCs w:val="16"/>
              </w:rPr>
            </w:pPr>
            <w:r>
              <w:rPr>
                <w:rFonts w:ascii="宋体" w:eastAsia="宋体" w:hAnsi="宋体" w:cs="宋体"/>
                <w:spacing w:val="-1"/>
                <w:sz w:val="16"/>
                <w:szCs w:val="16"/>
              </w:rPr>
              <w:t>作、金工切割等</w:t>
            </w:r>
          </w:p>
        </w:tc>
      </w:tr>
      <w:tr w:rsidR="00EA40A3">
        <w:trPr>
          <w:trHeight w:val="533"/>
        </w:trPr>
        <w:tc>
          <w:tcPr>
            <w:tcW w:w="861" w:type="dxa"/>
            <w:tcBorders>
              <w:left w:val="nil"/>
              <w:right w:val="nil"/>
            </w:tcBorders>
          </w:tcPr>
          <w:p w:rsidR="00EA40A3" w:rsidRDefault="00E86C16">
            <w:pPr>
              <w:spacing w:before="201" w:line="228" w:lineRule="auto"/>
              <w:ind w:left="159"/>
              <w:rPr>
                <w:rFonts w:ascii="宋体" w:eastAsia="宋体" w:hAnsi="宋体" w:cs="宋体"/>
                <w:sz w:val="16"/>
                <w:szCs w:val="16"/>
              </w:rPr>
            </w:pPr>
            <w:r>
              <w:rPr>
                <w:rFonts w:ascii="宋体" w:eastAsia="宋体" w:hAnsi="宋体" w:cs="宋体"/>
                <w:sz w:val="16"/>
                <w:szCs w:val="16"/>
              </w:rPr>
              <w:t>重</w:t>
            </w:r>
          </w:p>
        </w:tc>
        <w:tc>
          <w:tcPr>
            <w:tcW w:w="1901" w:type="dxa"/>
            <w:tcBorders>
              <w:left w:val="nil"/>
              <w:right w:val="nil"/>
            </w:tcBorders>
          </w:tcPr>
          <w:p w:rsidR="00EA40A3" w:rsidRDefault="00E86C16">
            <w:pPr>
              <w:spacing w:before="96" w:line="221" w:lineRule="auto"/>
              <w:ind w:left="88"/>
              <w:rPr>
                <w:rFonts w:ascii="宋体" w:eastAsia="宋体" w:hAnsi="宋体" w:cs="宋体"/>
                <w:sz w:val="16"/>
                <w:szCs w:val="16"/>
              </w:rPr>
            </w:pPr>
            <w:r>
              <w:rPr>
                <w:rFonts w:ascii="宋体" w:eastAsia="宋体" w:hAnsi="宋体" w:cs="宋体"/>
                <w:spacing w:val="-1"/>
                <w:sz w:val="16"/>
                <w:szCs w:val="16"/>
              </w:rPr>
              <w:t>40%时间坐或站立</w:t>
            </w:r>
          </w:p>
          <w:p w:rsidR="00EA40A3" w:rsidRDefault="00E86C16">
            <w:pPr>
              <w:spacing w:before="55" w:line="218" w:lineRule="auto"/>
              <w:ind w:left="88"/>
              <w:rPr>
                <w:rFonts w:ascii="宋体" w:eastAsia="宋体" w:hAnsi="宋体" w:cs="宋体"/>
                <w:sz w:val="16"/>
                <w:szCs w:val="16"/>
              </w:rPr>
            </w:pPr>
            <w:r>
              <w:rPr>
                <w:rFonts w:ascii="宋体" w:eastAsia="宋体" w:hAnsi="宋体" w:cs="宋体"/>
                <w:spacing w:val="-1"/>
                <w:sz w:val="16"/>
                <w:szCs w:val="16"/>
              </w:rPr>
              <w:t>60%时间特殊职业活动</w:t>
            </w:r>
          </w:p>
        </w:tc>
        <w:tc>
          <w:tcPr>
            <w:tcW w:w="3815" w:type="dxa"/>
            <w:tcBorders>
              <w:left w:val="nil"/>
              <w:right w:val="nil"/>
            </w:tcBorders>
          </w:tcPr>
          <w:p w:rsidR="00EA40A3" w:rsidRDefault="00E86C16">
            <w:pPr>
              <w:spacing w:before="64" w:line="265" w:lineRule="auto"/>
              <w:ind w:left="238" w:right="49"/>
              <w:rPr>
                <w:rFonts w:ascii="宋体" w:eastAsia="宋体" w:hAnsi="宋体" w:cs="宋体"/>
                <w:sz w:val="16"/>
                <w:szCs w:val="16"/>
              </w:rPr>
            </w:pPr>
            <w:r>
              <w:rPr>
                <w:rFonts w:ascii="宋体" w:eastAsia="宋体" w:hAnsi="宋体" w:cs="宋体"/>
                <w:spacing w:val="-7"/>
                <w:sz w:val="16"/>
                <w:szCs w:val="16"/>
              </w:rPr>
              <w:t>非机械化农业劳动、炼钢、舞蹈、体育运动、装卸、</w:t>
            </w:r>
            <w:r>
              <w:rPr>
                <w:rFonts w:ascii="宋体" w:eastAsia="宋体" w:hAnsi="宋体" w:cs="宋体"/>
                <w:spacing w:val="7"/>
                <w:sz w:val="16"/>
                <w:szCs w:val="16"/>
              </w:rPr>
              <w:t xml:space="preserve"> </w:t>
            </w:r>
            <w:r>
              <w:rPr>
                <w:rFonts w:ascii="宋体" w:eastAsia="宋体" w:hAnsi="宋体" w:cs="宋体"/>
                <w:spacing w:val="-2"/>
                <w:sz w:val="16"/>
                <w:szCs w:val="16"/>
              </w:rPr>
              <w:t>采矿等</w:t>
            </w:r>
          </w:p>
        </w:tc>
        <w:tc>
          <w:tcPr>
            <w:tcW w:w="742" w:type="dxa"/>
            <w:tcBorders>
              <w:left w:val="nil"/>
              <w:right w:val="nil"/>
            </w:tcBorders>
          </w:tcPr>
          <w:p w:rsidR="00EA40A3" w:rsidRDefault="00E86C16">
            <w:pPr>
              <w:spacing w:before="88" w:line="192" w:lineRule="auto"/>
              <w:ind w:left="132"/>
              <w:rPr>
                <w:rFonts w:ascii="宋体" w:eastAsia="宋体" w:hAnsi="宋体" w:cs="宋体"/>
                <w:sz w:val="15"/>
                <w:szCs w:val="15"/>
              </w:rPr>
            </w:pPr>
            <w:r>
              <w:rPr>
                <w:rFonts w:ascii="宋体" w:eastAsia="宋体" w:hAnsi="宋体" w:cs="宋体"/>
                <w:spacing w:val="1"/>
                <w:sz w:val="15"/>
                <w:szCs w:val="15"/>
              </w:rPr>
              <w:t>2.101.82</w:t>
            </w:r>
          </w:p>
        </w:tc>
      </w:tr>
    </w:tbl>
    <w:p w:rsidR="00EA40A3" w:rsidRDefault="00E86C16">
      <w:pPr>
        <w:spacing w:before="90" w:line="216" w:lineRule="auto"/>
        <w:ind w:left="410"/>
        <w:rPr>
          <w:rFonts w:ascii="宋体" w:eastAsia="宋体" w:hAnsi="宋体" w:cs="宋体"/>
          <w:sz w:val="19"/>
          <w:szCs w:val="19"/>
        </w:rPr>
      </w:pPr>
      <w:r>
        <w:rPr>
          <w:rFonts w:ascii="宋体" w:eastAsia="宋体" w:hAnsi="宋体" w:cs="宋体"/>
          <w:spacing w:val="-17"/>
          <w:w w:val="98"/>
          <w:sz w:val="19"/>
          <w:szCs w:val="19"/>
        </w:rPr>
        <w:t>注：PAL,即24h总能量消耗量除以24h基础代谢</w:t>
      </w:r>
    </w:p>
    <w:p w:rsidR="00EA40A3" w:rsidRDefault="00E86C16">
      <w:pPr>
        <w:spacing w:before="9" w:line="219" w:lineRule="auto"/>
        <w:ind w:left="390"/>
        <w:rPr>
          <w:rFonts w:ascii="宋体" w:eastAsia="宋体" w:hAnsi="宋体" w:cs="宋体"/>
          <w:sz w:val="19"/>
          <w:szCs w:val="19"/>
        </w:rPr>
      </w:pPr>
      <w:r>
        <w:rPr>
          <w:rFonts w:ascii="宋体" w:eastAsia="宋体" w:hAnsi="宋体" w:cs="宋体"/>
          <w:spacing w:val="-21"/>
          <w:w w:val="95"/>
          <w:sz w:val="19"/>
          <w:szCs w:val="19"/>
        </w:rPr>
        <w:t>资料来源：中国营养学会.2000.中国居民膳食营养素参考摄入量.北京：中国轻工业出版社</w:t>
      </w:r>
    </w:p>
    <w:p w:rsidR="00EA40A3" w:rsidRDefault="00E86C16">
      <w:pPr>
        <w:spacing w:before="191" w:line="221" w:lineRule="auto"/>
        <w:ind w:left="2492"/>
        <w:rPr>
          <w:rFonts w:ascii="黑体" w:eastAsia="黑体" w:hAnsi="黑体" w:cs="黑体"/>
          <w:sz w:val="19"/>
          <w:szCs w:val="19"/>
        </w:rPr>
      </w:pPr>
      <w:r>
        <w:rPr>
          <w:rFonts w:ascii="黑体" w:eastAsia="黑体" w:hAnsi="黑体" w:cs="黑体"/>
          <w:b/>
          <w:bCs/>
          <w:spacing w:val="-11"/>
          <w:sz w:val="19"/>
          <w:szCs w:val="19"/>
        </w:rPr>
        <w:t>表3-4</w:t>
      </w:r>
      <w:r>
        <w:rPr>
          <w:rFonts w:ascii="黑体" w:eastAsia="黑体" w:hAnsi="黑体" w:cs="黑体"/>
          <w:spacing w:val="83"/>
          <w:sz w:val="19"/>
          <w:szCs w:val="19"/>
        </w:rPr>
        <w:t xml:space="preserve"> </w:t>
      </w:r>
      <w:r>
        <w:rPr>
          <w:rFonts w:ascii="黑体" w:eastAsia="黑体" w:hAnsi="黑体" w:cs="黑体"/>
          <w:b/>
          <w:bCs/>
          <w:spacing w:val="-11"/>
          <w:sz w:val="19"/>
          <w:szCs w:val="19"/>
        </w:rPr>
        <w:t>各种活动的能量消耗量</w:t>
      </w:r>
    </w:p>
    <w:p w:rsidR="00EA40A3" w:rsidRDefault="00EA40A3">
      <w:pPr>
        <w:spacing w:line="24" w:lineRule="exact"/>
      </w:pPr>
    </w:p>
    <w:tbl>
      <w:tblPr>
        <w:tblStyle w:val="TableNormal"/>
        <w:tblW w:w="736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5660"/>
        <w:gridCol w:w="1700"/>
      </w:tblGrid>
      <w:tr w:rsidR="00EA40A3">
        <w:trPr>
          <w:trHeight w:val="324"/>
        </w:trPr>
        <w:tc>
          <w:tcPr>
            <w:tcW w:w="5660" w:type="dxa"/>
            <w:tcBorders>
              <w:top w:val="single" w:sz="4" w:space="0" w:color="000000"/>
              <w:bottom w:val="single" w:sz="4" w:space="0" w:color="000000"/>
            </w:tcBorders>
          </w:tcPr>
          <w:p w:rsidR="00EA40A3" w:rsidRDefault="00E86C16">
            <w:pPr>
              <w:spacing w:before="91" w:line="219" w:lineRule="auto"/>
              <w:ind w:left="2520"/>
              <w:rPr>
                <w:rFonts w:ascii="宋体" w:eastAsia="宋体" w:hAnsi="宋体" w:cs="宋体"/>
                <w:sz w:val="15"/>
                <w:szCs w:val="15"/>
              </w:rPr>
            </w:pPr>
            <w:r>
              <w:rPr>
                <w:rFonts w:ascii="宋体" w:eastAsia="宋体" w:hAnsi="宋体" w:cs="宋体"/>
                <w:spacing w:val="3"/>
                <w:sz w:val="15"/>
                <w:szCs w:val="15"/>
              </w:rPr>
              <w:t>活动类别</w:t>
            </w:r>
          </w:p>
        </w:tc>
        <w:tc>
          <w:tcPr>
            <w:tcW w:w="1700" w:type="dxa"/>
            <w:tcBorders>
              <w:top w:val="single" w:sz="4" w:space="0" w:color="000000"/>
              <w:bottom w:val="single" w:sz="4" w:space="0" w:color="000000"/>
            </w:tcBorders>
          </w:tcPr>
          <w:p w:rsidR="00EA40A3" w:rsidRDefault="00E86C16">
            <w:pPr>
              <w:spacing w:before="131" w:line="219" w:lineRule="auto"/>
              <w:ind w:left="90"/>
              <w:rPr>
                <w:rFonts w:ascii="宋体" w:eastAsia="宋体" w:hAnsi="宋体" w:cs="宋体"/>
                <w:sz w:val="15"/>
                <w:szCs w:val="15"/>
              </w:rPr>
            </w:pPr>
            <w:r>
              <w:rPr>
                <w:rFonts w:ascii="宋体" w:eastAsia="宋体" w:hAnsi="宋体" w:cs="宋体"/>
                <w:spacing w:val="3"/>
                <w:sz w:val="15"/>
                <w:szCs w:val="15"/>
              </w:rPr>
              <w:t>综合能量指数(</w:t>
            </w:r>
            <w:r>
              <w:rPr>
                <w:rFonts w:ascii="宋体" w:eastAsia="宋体" w:hAnsi="宋体" w:cs="宋体"/>
                <w:sz w:val="15"/>
                <w:szCs w:val="15"/>
              </w:rPr>
              <w:t>IEI</w:t>
            </w:r>
            <w:r>
              <w:rPr>
                <w:rFonts w:ascii="宋体" w:eastAsia="宋体" w:hAnsi="宋体" w:cs="宋体"/>
                <w:spacing w:val="3"/>
                <w:sz w:val="15"/>
                <w:szCs w:val="15"/>
              </w:rPr>
              <w:t>)</w:t>
            </w:r>
          </w:p>
        </w:tc>
      </w:tr>
      <w:tr w:rsidR="00EA40A3">
        <w:trPr>
          <w:trHeight w:val="498"/>
        </w:trPr>
        <w:tc>
          <w:tcPr>
            <w:tcW w:w="5660" w:type="dxa"/>
            <w:tcBorders>
              <w:top w:val="single" w:sz="4" w:space="0" w:color="000000"/>
              <w:bottom w:val="single" w:sz="4" w:space="0" w:color="000000"/>
            </w:tcBorders>
          </w:tcPr>
          <w:p w:rsidR="00EA40A3" w:rsidRDefault="00E86C16">
            <w:pPr>
              <w:spacing w:before="47" w:line="219" w:lineRule="auto"/>
              <w:ind w:left="190"/>
              <w:rPr>
                <w:rFonts w:ascii="宋体" w:eastAsia="宋体" w:hAnsi="宋体" w:cs="宋体"/>
                <w:sz w:val="15"/>
                <w:szCs w:val="15"/>
              </w:rPr>
            </w:pPr>
            <w:r>
              <w:rPr>
                <w:rFonts w:ascii="宋体" w:eastAsia="宋体" w:hAnsi="宋体" w:cs="宋体"/>
                <w:spacing w:val="-2"/>
                <w:sz w:val="15"/>
                <w:szCs w:val="15"/>
              </w:rPr>
              <w:t>休息</w:t>
            </w:r>
          </w:p>
          <w:p w:rsidR="00EA40A3" w:rsidRDefault="00E86C16">
            <w:pPr>
              <w:spacing w:before="102" w:line="210" w:lineRule="auto"/>
              <w:ind w:left="510"/>
              <w:rPr>
                <w:rFonts w:ascii="宋体" w:eastAsia="宋体" w:hAnsi="宋体" w:cs="宋体"/>
                <w:sz w:val="15"/>
                <w:szCs w:val="15"/>
              </w:rPr>
            </w:pPr>
            <w:r>
              <w:rPr>
                <w:rFonts w:ascii="宋体" w:eastAsia="宋体" w:hAnsi="宋体" w:cs="宋体"/>
                <w:spacing w:val="1"/>
                <w:sz w:val="15"/>
                <w:szCs w:val="15"/>
              </w:rPr>
              <w:t>睡眠、躺着</w:t>
            </w:r>
          </w:p>
        </w:tc>
        <w:tc>
          <w:tcPr>
            <w:tcW w:w="1700" w:type="dxa"/>
            <w:tcBorders>
              <w:top w:val="single" w:sz="4" w:space="0" w:color="000000"/>
              <w:bottom w:val="single" w:sz="4" w:space="0" w:color="000000"/>
            </w:tcBorders>
          </w:tcPr>
          <w:p w:rsidR="00EA40A3" w:rsidRDefault="00E86C16">
            <w:pPr>
              <w:spacing w:before="114" w:line="184" w:lineRule="auto"/>
              <w:ind w:left="90"/>
              <w:rPr>
                <w:rFonts w:ascii="宋体" w:eastAsia="宋体" w:hAnsi="宋体" w:cs="宋体"/>
                <w:sz w:val="15"/>
                <w:szCs w:val="15"/>
              </w:rPr>
            </w:pPr>
            <w:r>
              <w:rPr>
                <w:rFonts w:ascii="宋体" w:eastAsia="宋体" w:hAnsi="宋体" w:cs="宋体"/>
                <w:spacing w:val="-1"/>
                <w:sz w:val="15"/>
                <w:szCs w:val="15"/>
              </w:rPr>
              <w:t>BMR×1.0</w:t>
            </w:r>
          </w:p>
        </w:tc>
      </w:tr>
      <w:tr w:rsidR="00EA40A3">
        <w:trPr>
          <w:trHeight w:val="768"/>
        </w:trPr>
        <w:tc>
          <w:tcPr>
            <w:tcW w:w="5660" w:type="dxa"/>
            <w:tcBorders>
              <w:top w:val="single" w:sz="4" w:space="0" w:color="000000"/>
              <w:bottom w:val="single" w:sz="4" w:space="0" w:color="000000"/>
            </w:tcBorders>
          </w:tcPr>
          <w:p w:rsidR="00EA40A3" w:rsidRDefault="00E86C16">
            <w:pPr>
              <w:spacing w:before="89" w:line="219" w:lineRule="auto"/>
              <w:ind w:left="190"/>
              <w:rPr>
                <w:rFonts w:ascii="宋体" w:eastAsia="宋体" w:hAnsi="宋体" w:cs="宋体"/>
                <w:sz w:val="15"/>
                <w:szCs w:val="15"/>
              </w:rPr>
            </w:pPr>
            <w:r>
              <w:rPr>
                <w:rFonts w:ascii="宋体" w:eastAsia="宋体" w:hAnsi="宋体" w:cs="宋体"/>
                <w:spacing w:val="-2"/>
                <w:sz w:val="15"/>
                <w:szCs w:val="15"/>
              </w:rPr>
              <w:t>极轻</w:t>
            </w:r>
          </w:p>
          <w:p w:rsidR="00EA40A3" w:rsidRDefault="00E86C16">
            <w:pPr>
              <w:spacing w:before="62" w:line="270" w:lineRule="auto"/>
              <w:ind w:left="479" w:right="81" w:firstLine="10"/>
              <w:rPr>
                <w:rFonts w:ascii="宋体" w:eastAsia="宋体" w:hAnsi="宋体" w:cs="宋体"/>
                <w:sz w:val="15"/>
                <w:szCs w:val="15"/>
              </w:rPr>
            </w:pPr>
            <w:r>
              <w:rPr>
                <w:rFonts w:ascii="宋体" w:eastAsia="宋体" w:hAnsi="宋体" w:cs="宋体"/>
                <w:spacing w:val="-5"/>
                <w:sz w:val="15"/>
                <w:szCs w:val="15"/>
              </w:rPr>
              <w:t>坐或站着活动、绘画行业、开车、实验室工作、打字、缝纫、熨衣、烹饪、玩纸</w:t>
            </w:r>
            <w:r>
              <w:rPr>
                <w:rFonts w:ascii="宋体" w:eastAsia="宋体" w:hAnsi="宋体" w:cs="宋体"/>
                <w:spacing w:val="12"/>
                <w:sz w:val="15"/>
                <w:szCs w:val="15"/>
              </w:rPr>
              <w:t xml:space="preserve"> </w:t>
            </w:r>
            <w:r>
              <w:rPr>
                <w:rFonts w:ascii="宋体" w:eastAsia="宋体" w:hAnsi="宋体" w:cs="宋体"/>
                <w:spacing w:val="-2"/>
                <w:sz w:val="15"/>
                <w:szCs w:val="15"/>
              </w:rPr>
              <w:t>牌、玩乐器</w:t>
            </w:r>
          </w:p>
        </w:tc>
        <w:tc>
          <w:tcPr>
            <w:tcW w:w="1700" w:type="dxa"/>
            <w:tcBorders>
              <w:top w:val="single" w:sz="4" w:space="0" w:color="000000"/>
              <w:bottom w:val="single" w:sz="4" w:space="0" w:color="000000"/>
            </w:tcBorders>
          </w:tcPr>
          <w:p w:rsidR="00EA40A3" w:rsidRDefault="00E86C16">
            <w:pPr>
              <w:spacing w:before="126" w:line="184" w:lineRule="auto"/>
              <w:ind w:left="90"/>
              <w:rPr>
                <w:rFonts w:ascii="宋体" w:eastAsia="宋体" w:hAnsi="宋体" w:cs="宋体"/>
                <w:sz w:val="15"/>
                <w:szCs w:val="15"/>
              </w:rPr>
            </w:pPr>
            <w:r>
              <w:rPr>
                <w:rFonts w:ascii="宋体" w:eastAsia="宋体" w:hAnsi="宋体" w:cs="宋体"/>
                <w:spacing w:val="-1"/>
                <w:sz w:val="15"/>
                <w:szCs w:val="15"/>
              </w:rPr>
              <w:t>BMR×1.5</w:t>
            </w:r>
          </w:p>
        </w:tc>
      </w:tr>
      <w:tr w:rsidR="00EA40A3">
        <w:trPr>
          <w:trHeight w:val="788"/>
        </w:trPr>
        <w:tc>
          <w:tcPr>
            <w:tcW w:w="5660" w:type="dxa"/>
            <w:tcBorders>
              <w:top w:val="single" w:sz="4" w:space="0" w:color="000000"/>
              <w:bottom w:val="single" w:sz="4" w:space="0" w:color="000000"/>
            </w:tcBorders>
          </w:tcPr>
          <w:p w:rsidR="00EA40A3" w:rsidRDefault="00E86C16">
            <w:pPr>
              <w:spacing w:before="71" w:line="219" w:lineRule="auto"/>
              <w:ind w:left="170"/>
              <w:rPr>
                <w:rFonts w:ascii="宋体" w:eastAsia="宋体" w:hAnsi="宋体" w:cs="宋体"/>
                <w:sz w:val="15"/>
                <w:szCs w:val="15"/>
              </w:rPr>
            </w:pPr>
            <w:r>
              <w:rPr>
                <w:rFonts w:ascii="宋体" w:eastAsia="宋体" w:hAnsi="宋体" w:cs="宋体"/>
                <w:sz w:val="15"/>
                <w:szCs w:val="15"/>
              </w:rPr>
              <w:t>轻</w:t>
            </w:r>
          </w:p>
          <w:p w:rsidR="00EA40A3" w:rsidRDefault="00E86C16">
            <w:pPr>
              <w:spacing w:before="101" w:line="269" w:lineRule="auto"/>
              <w:ind w:left="479" w:right="160"/>
              <w:rPr>
                <w:rFonts w:ascii="宋体" w:eastAsia="宋体" w:hAnsi="宋体" w:cs="宋体"/>
                <w:sz w:val="15"/>
                <w:szCs w:val="15"/>
              </w:rPr>
            </w:pPr>
            <w:r>
              <w:rPr>
                <w:rFonts w:ascii="宋体" w:eastAsia="宋体" w:hAnsi="宋体" w:cs="宋体"/>
                <w:sz w:val="15"/>
                <w:szCs w:val="15"/>
              </w:rPr>
              <w:t>平地步行(2.5～3.0</w:t>
            </w:r>
            <w:r>
              <w:rPr>
                <w:rFonts w:ascii="宋体" w:eastAsia="宋体" w:hAnsi="宋体" w:cs="宋体"/>
                <w:spacing w:val="4"/>
                <w:sz w:val="15"/>
                <w:szCs w:val="15"/>
              </w:rPr>
              <w:t xml:space="preserve"> </w:t>
            </w:r>
            <w:r>
              <w:rPr>
                <w:rFonts w:ascii="宋体" w:eastAsia="宋体" w:hAnsi="宋体" w:cs="宋体"/>
                <w:sz w:val="15"/>
                <w:szCs w:val="15"/>
              </w:rPr>
              <w:t>km/h)、修车厂工作、供电行业、</w:t>
            </w:r>
            <w:r>
              <w:rPr>
                <w:rFonts w:ascii="宋体" w:eastAsia="宋体" w:hAnsi="宋体" w:cs="宋体"/>
                <w:spacing w:val="-1"/>
                <w:sz w:val="15"/>
                <w:szCs w:val="15"/>
              </w:rPr>
              <w:t>木工业、酒店业、房屋</w:t>
            </w:r>
            <w:r>
              <w:rPr>
                <w:rFonts w:ascii="宋体" w:eastAsia="宋体" w:hAnsi="宋体" w:cs="宋体"/>
                <w:sz w:val="15"/>
                <w:szCs w:val="15"/>
              </w:rPr>
              <w:t xml:space="preserve"> </w:t>
            </w:r>
            <w:r>
              <w:rPr>
                <w:rFonts w:ascii="宋体" w:eastAsia="宋体" w:hAnsi="宋体" w:cs="宋体"/>
                <w:spacing w:val="-1"/>
                <w:sz w:val="15"/>
                <w:szCs w:val="15"/>
              </w:rPr>
              <w:t>清洁、航海、打乒乓球、照颐小孩、打高尔夫球</w:t>
            </w:r>
          </w:p>
        </w:tc>
        <w:tc>
          <w:tcPr>
            <w:tcW w:w="1700" w:type="dxa"/>
            <w:tcBorders>
              <w:top w:val="single" w:sz="4" w:space="0" w:color="000000"/>
              <w:bottom w:val="single" w:sz="4" w:space="0" w:color="000000"/>
            </w:tcBorders>
          </w:tcPr>
          <w:p w:rsidR="00EA40A3" w:rsidRDefault="00E86C16">
            <w:pPr>
              <w:spacing w:before="129" w:line="183" w:lineRule="auto"/>
              <w:ind w:left="90"/>
              <w:rPr>
                <w:rFonts w:ascii="宋体" w:eastAsia="宋体" w:hAnsi="宋体" w:cs="宋体"/>
                <w:sz w:val="15"/>
                <w:szCs w:val="15"/>
              </w:rPr>
            </w:pPr>
            <w:r>
              <w:rPr>
                <w:rFonts w:ascii="宋体" w:eastAsia="宋体" w:hAnsi="宋体" w:cs="宋体"/>
                <w:spacing w:val="-1"/>
                <w:sz w:val="15"/>
                <w:szCs w:val="15"/>
              </w:rPr>
              <w:t>BMR×2.5</w:t>
            </w:r>
          </w:p>
        </w:tc>
      </w:tr>
      <w:tr w:rsidR="00EA40A3">
        <w:trPr>
          <w:trHeight w:val="508"/>
        </w:trPr>
        <w:tc>
          <w:tcPr>
            <w:tcW w:w="5660" w:type="dxa"/>
            <w:tcBorders>
              <w:top w:val="single" w:sz="4" w:space="0" w:color="000000"/>
              <w:bottom w:val="single" w:sz="4" w:space="0" w:color="000000"/>
            </w:tcBorders>
          </w:tcPr>
          <w:p w:rsidR="00EA40A3" w:rsidRDefault="00E86C16">
            <w:pPr>
              <w:spacing w:before="83" w:line="220" w:lineRule="auto"/>
              <w:ind w:left="170"/>
              <w:rPr>
                <w:rFonts w:ascii="宋体" w:eastAsia="宋体" w:hAnsi="宋体" w:cs="宋体"/>
                <w:sz w:val="15"/>
                <w:szCs w:val="15"/>
              </w:rPr>
            </w:pPr>
            <w:r>
              <w:rPr>
                <w:rFonts w:ascii="宋体" w:eastAsia="宋体" w:hAnsi="宋体" w:cs="宋体"/>
                <w:sz w:val="15"/>
                <w:szCs w:val="15"/>
              </w:rPr>
              <w:t>中</w:t>
            </w:r>
          </w:p>
          <w:p w:rsidR="00EA40A3" w:rsidRDefault="00E86C16">
            <w:pPr>
              <w:spacing w:before="60" w:line="219" w:lineRule="auto"/>
              <w:ind w:left="479"/>
              <w:rPr>
                <w:rFonts w:ascii="宋体" w:eastAsia="宋体" w:hAnsi="宋体" w:cs="宋体"/>
                <w:sz w:val="15"/>
                <w:szCs w:val="15"/>
              </w:rPr>
            </w:pPr>
            <w:r>
              <w:rPr>
                <w:rFonts w:ascii="宋体" w:eastAsia="宋体" w:hAnsi="宋体" w:cs="宋体"/>
                <w:sz w:val="15"/>
                <w:szCs w:val="15"/>
              </w:rPr>
              <w:t>平地步行(3.5～4.0</w:t>
            </w:r>
            <w:r>
              <w:rPr>
                <w:rFonts w:ascii="宋体" w:eastAsia="宋体" w:hAnsi="宋体" w:cs="宋体"/>
                <w:spacing w:val="4"/>
                <w:sz w:val="15"/>
                <w:szCs w:val="15"/>
              </w:rPr>
              <w:t xml:space="preserve"> </w:t>
            </w:r>
            <w:r>
              <w:rPr>
                <w:rFonts w:ascii="宋体" w:eastAsia="宋体" w:hAnsi="宋体" w:cs="宋体"/>
                <w:sz w:val="15"/>
                <w:szCs w:val="15"/>
              </w:rPr>
              <w:t>km/h)、除草锄地、骑自行车</w:t>
            </w:r>
            <w:r>
              <w:rPr>
                <w:rFonts w:ascii="宋体" w:eastAsia="宋体" w:hAnsi="宋体" w:cs="宋体"/>
                <w:spacing w:val="-1"/>
                <w:sz w:val="15"/>
                <w:szCs w:val="15"/>
              </w:rPr>
              <w:t>、滑雪、打网球、跳舞</w:t>
            </w:r>
          </w:p>
        </w:tc>
        <w:tc>
          <w:tcPr>
            <w:tcW w:w="1700" w:type="dxa"/>
            <w:tcBorders>
              <w:top w:val="single" w:sz="4" w:space="0" w:color="000000"/>
              <w:bottom w:val="single" w:sz="4" w:space="0" w:color="000000"/>
            </w:tcBorders>
          </w:tcPr>
          <w:p w:rsidR="00EA40A3" w:rsidRDefault="00E86C16">
            <w:pPr>
              <w:spacing w:before="111" w:line="183" w:lineRule="auto"/>
              <w:ind w:left="90"/>
              <w:rPr>
                <w:rFonts w:ascii="宋体" w:eastAsia="宋体" w:hAnsi="宋体" w:cs="宋体"/>
                <w:sz w:val="15"/>
                <w:szCs w:val="15"/>
              </w:rPr>
            </w:pPr>
            <w:r>
              <w:rPr>
                <w:rFonts w:ascii="宋体" w:eastAsia="宋体" w:hAnsi="宋体" w:cs="宋体"/>
                <w:spacing w:val="-1"/>
                <w:sz w:val="15"/>
                <w:szCs w:val="15"/>
              </w:rPr>
              <w:t>BMR×5.0</w:t>
            </w:r>
          </w:p>
        </w:tc>
      </w:tr>
      <w:tr w:rsidR="00EA40A3">
        <w:trPr>
          <w:trHeight w:val="513"/>
        </w:trPr>
        <w:tc>
          <w:tcPr>
            <w:tcW w:w="5660" w:type="dxa"/>
            <w:tcBorders>
              <w:top w:val="single" w:sz="4" w:space="0" w:color="000000"/>
              <w:bottom w:val="single" w:sz="4" w:space="0" w:color="000000"/>
            </w:tcBorders>
          </w:tcPr>
          <w:p w:rsidR="00EA40A3" w:rsidRDefault="00E86C16">
            <w:pPr>
              <w:spacing w:before="101" w:line="228" w:lineRule="auto"/>
              <w:ind w:left="170"/>
              <w:rPr>
                <w:rFonts w:ascii="宋体" w:eastAsia="宋体" w:hAnsi="宋体" w:cs="宋体"/>
                <w:sz w:val="15"/>
                <w:szCs w:val="15"/>
              </w:rPr>
            </w:pPr>
            <w:r>
              <w:rPr>
                <w:rFonts w:ascii="宋体" w:eastAsia="宋体" w:hAnsi="宋体" w:cs="宋体"/>
                <w:sz w:val="15"/>
                <w:szCs w:val="15"/>
              </w:rPr>
              <w:t>重</w:t>
            </w:r>
          </w:p>
          <w:p w:rsidR="00EA40A3" w:rsidRDefault="00E86C16">
            <w:pPr>
              <w:spacing w:before="47" w:line="219" w:lineRule="auto"/>
              <w:ind w:left="479"/>
              <w:rPr>
                <w:rFonts w:ascii="宋体" w:eastAsia="宋体" w:hAnsi="宋体" w:cs="宋体"/>
                <w:sz w:val="15"/>
                <w:szCs w:val="15"/>
              </w:rPr>
            </w:pPr>
            <w:r>
              <w:rPr>
                <w:rFonts w:ascii="宋体" w:eastAsia="宋体" w:hAnsi="宋体" w:cs="宋体"/>
                <w:spacing w:val="-1"/>
                <w:sz w:val="15"/>
                <w:szCs w:val="15"/>
              </w:rPr>
              <w:t>负重上坡、砍树、重体力挖掘、打篮球、爬山、打橄榄球、踢足球</w:t>
            </w:r>
          </w:p>
        </w:tc>
        <w:tc>
          <w:tcPr>
            <w:tcW w:w="1700" w:type="dxa"/>
            <w:tcBorders>
              <w:top w:val="single" w:sz="4" w:space="0" w:color="000000"/>
              <w:bottom w:val="single" w:sz="4" w:space="0" w:color="000000"/>
            </w:tcBorders>
          </w:tcPr>
          <w:p w:rsidR="00EA40A3" w:rsidRDefault="00E86C16">
            <w:pPr>
              <w:spacing w:before="123" w:line="183" w:lineRule="auto"/>
              <w:ind w:left="90"/>
              <w:rPr>
                <w:rFonts w:ascii="宋体" w:eastAsia="宋体" w:hAnsi="宋体" w:cs="宋体"/>
                <w:sz w:val="15"/>
                <w:szCs w:val="15"/>
              </w:rPr>
            </w:pPr>
            <w:r>
              <w:rPr>
                <w:rFonts w:ascii="宋体" w:eastAsia="宋体" w:hAnsi="宋体" w:cs="宋体"/>
                <w:spacing w:val="-1"/>
                <w:sz w:val="15"/>
                <w:szCs w:val="15"/>
              </w:rPr>
              <w:t>BMR×7.0</w:t>
            </w:r>
          </w:p>
        </w:tc>
      </w:tr>
    </w:tbl>
    <w:p w:rsidR="00EA40A3" w:rsidRDefault="00E86C16">
      <w:pPr>
        <w:spacing w:before="101" w:line="219" w:lineRule="auto"/>
        <w:ind w:left="350"/>
        <w:rPr>
          <w:rFonts w:ascii="宋体" w:eastAsia="宋体" w:hAnsi="宋体" w:cs="宋体"/>
          <w:sz w:val="15"/>
          <w:szCs w:val="15"/>
        </w:rPr>
      </w:pPr>
      <w:r>
        <w:rPr>
          <w:rFonts w:ascii="宋体" w:eastAsia="宋体" w:hAnsi="宋体" w:cs="宋体"/>
          <w:sz w:val="15"/>
          <w:szCs w:val="15"/>
        </w:rPr>
        <w:t>注：综合能量指数(IEI):综合能量指数为按规定时间活动的能量消耗量除以同一时期</w:t>
      </w:r>
      <w:r>
        <w:rPr>
          <w:rFonts w:ascii="宋体" w:eastAsia="宋体" w:hAnsi="宋体" w:cs="宋体"/>
          <w:spacing w:val="-1"/>
          <w:sz w:val="15"/>
          <w:szCs w:val="15"/>
        </w:rPr>
        <w:t>的基础代谢</w:t>
      </w:r>
    </w:p>
    <w:p w:rsidR="00EA40A3" w:rsidRDefault="00E86C16">
      <w:pPr>
        <w:spacing w:before="43" w:line="219" w:lineRule="auto"/>
        <w:ind w:left="340"/>
        <w:rPr>
          <w:rFonts w:ascii="宋体" w:eastAsia="宋体" w:hAnsi="宋体" w:cs="宋体"/>
          <w:sz w:val="19"/>
          <w:szCs w:val="19"/>
        </w:rPr>
      </w:pPr>
      <w:r>
        <w:rPr>
          <w:rFonts w:ascii="宋体" w:eastAsia="宋体" w:hAnsi="宋体" w:cs="宋体"/>
          <w:spacing w:val="-21"/>
          <w:w w:val="95"/>
          <w:sz w:val="19"/>
          <w:szCs w:val="19"/>
        </w:rPr>
        <w:t>资料来源：中国营养学会.2000.中国居民膳食营养素参考摄入量.北京：中国轻工业出版社</w:t>
      </w:r>
    </w:p>
    <w:p w:rsidR="00EA40A3" w:rsidRDefault="00E86C16">
      <w:pPr>
        <w:spacing w:before="44" w:line="241" w:lineRule="auto"/>
        <w:ind w:left="109"/>
        <w:rPr>
          <w:rFonts w:ascii="宋体" w:eastAsia="宋体" w:hAnsi="宋体" w:cs="宋体"/>
          <w:sz w:val="19"/>
          <w:szCs w:val="19"/>
        </w:rPr>
      </w:pPr>
      <w:r>
        <w:rPr>
          <w:rFonts w:ascii="宋体" w:eastAsia="宋体" w:hAnsi="宋体" w:cs="宋体"/>
          <w:spacing w:val="-34"/>
          <w:sz w:val="19"/>
          <w:szCs w:val="19"/>
        </w:rPr>
        <w:t>·</w:t>
      </w:r>
      <w:r>
        <w:rPr>
          <w:rFonts w:ascii="宋体" w:eastAsia="宋体" w:hAnsi="宋体" w:cs="宋体"/>
          <w:spacing w:val="-13"/>
          <w:sz w:val="19"/>
          <w:szCs w:val="19"/>
        </w:rPr>
        <w:t xml:space="preserve"> </w:t>
      </w:r>
      <w:r>
        <w:rPr>
          <w:rFonts w:ascii="宋体" w:eastAsia="宋体" w:hAnsi="宋体" w:cs="宋体"/>
          <w:spacing w:val="-34"/>
          <w:sz w:val="19"/>
          <w:szCs w:val="19"/>
        </w:rPr>
        <w:t>42</w:t>
      </w:r>
      <w:r>
        <w:rPr>
          <w:rFonts w:ascii="宋体" w:eastAsia="宋体" w:hAnsi="宋体" w:cs="宋体"/>
          <w:spacing w:val="41"/>
          <w:sz w:val="19"/>
          <w:szCs w:val="19"/>
        </w:rPr>
        <w:t xml:space="preserve"> </w:t>
      </w:r>
      <w:r>
        <w:rPr>
          <w:rFonts w:ascii="宋体" w:eastAsia="宋体" w:hAnsi="宋体" w:cs="宋体"/>
          <w:spacing w:val="-34"/>
          <w:sz w:val="19"/>
          <w:szCs w:val="19"/>
        </w:rPr>
        <w:t>·</w:t>
      </w:r>
    </w:p>
    <w:p w:rsidR="00EA40A3" w:rsidRDefault="00EA40A3">
      <w:pPr>
        <w:sectPr w:rsidR="00EA40A3">
          <w:footerReference w:type="default" r:id="rId46"/>
          <w:pgSz w:w="9220" w:h="13360"/>
          <w:pgMar w:top="400" w:right="1078" w:bottom="400" w:left="769" w:header="0" w:footer="0" w:gutter="0"/>
          <w:cols w:space="720"/>
        </w:sectPr>
      </w:pPr>
    </w:p>
    <w:p w:rsidR="00EA40A3" w:rsidRDefault="00EA40A3">
      <w:pPr>
        <w:spacing w:line="339" w:lineRule="auto"/>
      </w:pPr>
    </w:p>
    <w:p w:rsidR="00EA40A3" w:rsidRDefault="00EA40A3">
      <w:pPr>
        <w:spacing w:line="339" w:lineRule="auto"/>
      </w:pPr>
    </w:p>
    <w:p w:rsidR="00EA40A3" w:rsidRDefault="00E86C16">
      <w:pPr>
        <w:spacing w:before="71" w:line="221" w:lineRule="auto"/>
        <w:ind w:left="3"/>
        <w:outlineLvl w:val="6"/>
        <w:rPr>
          <w:rFonts w:ascii="黑体" w:eastAsia="黑体" w:hAnsi="黑体" w:cs="黑体"/>
          <w:sz w:val="22"/>
          <w:szCs w:val="22"/>
        </w:rPr>
      </w:pPr>
      <w:r>
        <w:rPr>
          <w:rFonts w:ascii="黑体" w:eastAsia="黑体" w:hAnsi="黑体" w:cs="黑体"/>
          <w:b/>
          <w:bCs/>
          <w:spacing w:val="9"/>
          <w:sz w:val="22"/>
          <w:szCs w:val="22"/>
        </w:rPr>
        <w:t>3.1.3</w:t>
      </w:r>
      <w:r>
        <w:rPr>
          <w:rFonts w:ascii="黑体" w:eastAsia="黑体" w:hAnsi="黑体" w:cs="黑体"/>
          <w:spacing w:val="25"/>
          <w:sz w:val="22"/>
          <w:szCs w:val="22"/>
        </w:rPr>
        <w:t xml:space="preserve">   </w:t>
      </w:r>
      <w:r>
        <w:rPr>
          <w:rFonts w:ascii="黑体" w:eastAsia="黑体" w:hAnsi="黑体" w:cs="黑体"/>
          <w:b/>
          <w:bCs/>
          <w:spacing w:val="9"/>
          <w:sz w:val="22"/>
          <w:szCs w:val="22"/>
        </w:rPr>
        <w:t>人体能量消耗的测定方法与估算</w:t>
      </w:r>
    </w:p>
    <w:p w:rsidR="00EA40A3" w:rsidRDefault="00E86C16">
      <w:pPr>
        <w:spacing w:before="170" w:line="236" w:lineRule="auto"/>
        <w:ind w:right="61" w:firstLine="439"/>
        <w:rPr>
          <w:rFonts w:ascii="宋体" w:eastAsia="宋体" w:hAnsi="宋体" w:cs="宋体"/>
          <w:sz w:val="22"/>
          <w:szCs w:val="22"/>
        </w:rPr>
      </w:pPr>
      <w:r>
        <w:rPr>
          <w:rFonts w:ascii="宋体" w:eastAsia="宋体" w:hAnsi="宋体" w:cs="宋体"/>
          <w:spacing w:val="-14"/>
          <w:sz w:val="22"/>
          <w:szCs w:val="22"/>
        </w:rPr>
        <w:t>能量消耗的测定方法有气体代谢法、双标记水法、活动时间计算法、要因计</w:t>
      </w:r>
      <w:r>
        <w:rPr>
          <w:rFonts w:ascii="宋体" w:eastAsia="宋体" w:hAnsi="宋体" w:cs="宋体"/>
          <w:spacing w:val="9"/>
          <w:sz w:val="22"/>
          <w:szCs w:val="22"/>
        </w:rPr>
        <w:t xml:space="preserve"> </w:t>
      </w:r>
      <w:r>
        <w:rPr>
          <w:rFonts w:ascii="宋体" w:eastAsia="宋体" w:hAnsi="宋体" w:cs="宋体"/>
          <w:spacing w:val="-18"/>
          <w:sz w:val="22"/>
          <w:szCs w:val="22"/>
        </w:rPr>
        <w:t>算法、心率监测法等。</w:t>
      </w:r>
    </w:p>
    <w:p w:rsidR="00EA40A3" w:rsidRDefault="00E86C16">
      <w:pPr>
        <w:spacing w:before="177" w:line="222" w:lineRule="auto"/>
        <w:rPr>
          <w:rFonts w:ascii="仿宋" w:eastAsia="仿宋" w:hAnsi="仿宋" w:cs="仿宋"/>
          <w:sz w:val="22"/>
          <w:szCs w:val="22"/>
        </w:rPr>
      </w:pPr>
      <w:r>
        <w:rPr>
          <w:rFonts w:ascii="仿宋" w:eastAsia="仿宋" w:hAnsi="仿宋" w:cs="仿宋"/>
          <w:spacing w:val="4"/>
          <w:sz w:val="22"/>
          <w:szCs w:val="22"/>
        </w:rPr>
        <w:t>1.</w:t>
      </w:r>
      <w:r>
        <w:rPr>
          <w:rFonts w:ascii="仿宋" w:eastAsia="仿宋" w:hAnsi="仿宋" w:cs="仿宋"/>
          <w:spacing w:val="-25"/>
          <w:sz w:val="22"/>
          <w:szCs w:val="22"/>
        </w:rPr>
        <w:t xml:space="preserve"> </w:t>
      </w:r>
      <w:r>
        <w:rPr>
          <w:rFonts w:ascii="仿宋" w:eastAsia="仿宋" w:hAnsi="仿宋" w:cs="仿宋"/>
          <w:spacing w:val="4"/>
          <w:sz w:val="22"/>
          <w:szCs w:val="22"/>
        </w:rPr>
        <w:t>气体代谢法</w:t>
      </w:r>
    </w:p>
    <w:p w:rsidR="00EA40A3" w:rsidRDefault="00E86C16">
      <w:pPr>
        <w:spacing w:before="165" w:line="241" w:lineRule="auto"/>
        <w:ind w:firstLine="439"/>
        <w:jc w:val="both"/>
        <w:rPr>
          <w:rFonts w:ascii="宋体" w:eastAsia="宋体" w:hAnsi="宋体" w:cs="宋体"/>
          <w:sz w:val="22"/>
          <w:szCs w:val="22"/>
        </w:rPr>
      </w:pPr>
      <w:r>
        <w:rPr>
          <w:rFonts w:ascii="宋体" w:eastAsia="宋体" w:hAnsi="宋体" w:cs="宋体"/>
          <w:spacing w:val="-14"/>
          <w:sz w:val="22"/>
          <w:szCs w:val="22"/>
        </w:rPr>
        <w:t>呼吸气体分析法常用直接测热法，被测对象在一个密闭的气流循环装置内进</w:t>
      </w:r>
      <w:r>
        <w:rPr>
          <w:rFonts w:ascii="宋体" w:eastAsia="宋体" w:hAnsi="宋体" w:cs="宋体"/>
          <w:spacing w:val="9"/>
          <w:sz w:val="22"/>
          <w:szCs w:val="22"/>
        </w:rPr>
        <w:t xml:space="preserve"> </w:t>
      </w:r>
      <w:r>
        <w:rPr>
          <w:rFonts w:ascii="宋体" w:eastAsia="宋体" w:hAnsi="宋体" w:cs="宋体"/>
          <w:spacing w:val="-11"/>
          <w:sz w:val="22"/>
          <w:szCs w:val="22"/>
        </w:rPr>
        <w:t>行特定活动，通过测定装置内的氧气和二氧化碳浓度变化，得到氧</w:t>
      </w:r>
      <w:r>
        <w:rPr>
          <w:rFonts w:ascii="宋体" w:eastAsia="宋体" w:hAnsi="宋体" w:cs="宋体"/>
          <w:spacing w:val="-12"/>
          <w:sz w:val="22"/>
          <w:szCs w:val="22"/>
        </w:rPr>
        <w:t>气的消耗量，</w:t>
      </w:r>
      <w:r>
        <w:rPr>
          <w:rFonts w:ascii="宋体" w:eastAsia="宋体" w:hAnsi="宋体" w:cs="宋体"/>
          <w:sz w:val="22"/>
          <w:szCs w:val="22"/>
        </w:rPr>
        <w:t xml:space="preserve"> </w:t>
      </w:r>
      <w:r>
        <w:rPr>
          <w:rFonts w:ascii="宋体" w:eastAsia="宋体" w:hAnsi="宋体" w:cs="宋体"/>
          <w:spacing w:val="-9"/>
          <w:sz w:val="22"/>
          <w:szCs w:val="22"/>
        </w:rPr>
        <w:t>并可求出呼吸商</w:t>
      </w:r>
      <w:r>
        <w:rPr>
          <w:rFonts w:ascii="宋体" w:eastAsia="宋体" w:hAnsi="宋体" w:cs="宋体"/>
          <w:spacing w:val="-14"/>
          <w:sz w:val="22"/>
          <w:szCs w:val="22"/>
        </w:rPr>
        <w:t xml:space="preserve"> </w:t>
      </w:r>
      <w:r>
        <w:rPr>
          <w:rFonts w:ascii="宋体" w:eastAsia="宋体" w:hAnsi="宋体" w:cs="宋体"/>
          <w:spacing w:val="-9"/>
          <w:sz w:val="22"/>
          <w:szCs w:val="22"/>
        </w:rPr>
        <w:t>(respiratory</w:t>
      </w:r>
      <w:r>
        <w:rPr>
          <w:rFonts w:ascii="宋体" w:eastAsia="宋体" w:hAnsi="宋体" w:cs="宋体"/>
          <w:spacing w:val="4"/>
          <w:sz w:val="22"/>
          <w:szCs w:val="22"/>
        </w:rPr>
        <w:t xml:space="preserve"> </w:t>
      </w:r>
      <w:r>
        <w:rPr>
          <w:rFonts w:ascii="宋体" w:eastAsia="宋体" w:hAnsi="宋体" w:cs="宋体"/>
          <w:spacing w:val="-9"/>
          <w:sz w:val="22"/>
          <w:szCs w:val="22"/>
        </w:rPr>
        <w:t>quotient,RQ),</w:t>
      </w:r>
      <w:r>
        <w:rPr>
          <w:rFonts w:ascii="宋体" w:eastAsia="宋体" w:hAnsi="宋体" w:cs="宋体"/>
          <w:spacing w:val="-55"/>
          <w:sz w:val="22"/>
          <w:szCs w:val="22"/>
        </w:rPr>
        <w:t xml:space="preserve"> </w:t>
      </w:r>
      <w:r>
        <w:rPr>
          <w:rFonts w:ascii="宋体" w:eastAsia="宋体" w:hAnsi="宋体" w:cs="宋体"/>
          <w:spacing w:val="-9"/>
          <w:sz w:val="22"/>
          <w:szCs w:val="22"/>
        </w:rPr>
        <w:t>按每升氧气产热可计算出热</w:t>
      </w:r>
      <w:r>
        <w:rPr>
          <w:rFonts w:ascii="宋体" w:eastAsia="宋体" w:hAnsi="宋体" w:cs="宋体"/>
          <w:spacing w:val="-10"/>
          <w:sz w:val="22"/>
          <w:szCs w:val="22"/>
        </w:rPr>
        <w:t>量消</w:t>
      </w:r>
      <w:r>
        <w:rPr>
          <w:rFonts w:ascii="宋体" w:eastAsia="宋体" w:hAnsi="宋体" w:cs="宋体"/>
          <w:sz w:val="22"/>
          <w:szCs w:val="22"/>
        </w:rPr>
        <w:t xml:space="preserve"> </w:t>
      </w:r>
      <w:r>
        <w:rPr>
          <w:rFonts w:ascii="宋体" w:eastAsia="宋体" w:hAnsi="宋体" w:cs="宋体"/>
          <w:spacing w:val="-5"/>
          <w:sz w:val="22"/>
          <w:szCs w:val="22"/>
        </w:rPr>
        <w:t>耗量，又称Douglas袋法。</w:t>
      </w:r>
    </w:p>
    <w:p w:rsidR="00EA40A3" w:rsidRDefault="00E86C16">
      <w:pPr>
        <w:spacing w:before="201" w:line="222" w:lineRule="auto"/>
        <w:rPr>
          <w:rFonts w:ascii="仿宋" w:eastAsia="仿宋" w:hAnsi="仿宋" w:cs="仿宋"/>
          <w:sz w:val="22"/>
          <w:szCs w:val="22"/>
        </w:rPr>
      </w:pPr>
      <w:r>
        <w:rPr>
          <w:rFonts w:ascii="仿宋" w:eastAsia="仿宋" w:hAnsi="仿宋" w:cs="仿宋"/>
          <w:spacing w:val="7"/>
          <w:sz w:val="22"/>
          <w:szCs w:val="22"/>
        </w:rPr>
        <w:t>2.</w:t>
      </w:r>
      <w:r>
        <w:rPr>
          <w:rFonts w:ascii="仿宋" w:eastAsia="仿宋" w:hAnsi="仿宋" w:cs="仿宋"/>
          <w:spacing w:val="-46"/>
          <w:sz w:val="22"/>
          <w:szCs w:val="22"/>
        </w:rPr>
        <w:t xml:space="preserve"> </w:t>
      </w:r>
      <w:r>
        <w:rPr>
          <w:rFonts w:ascii="仿宋" w:eastAsia="仿宋" w:hAnsi="仿宋" w:cs="仿宋"/>
          <w:spacing w:val="7"/>
          <w:sz w:val="22"/>
          <w:szCs w:val="22"/>
        </w:rPr>
        <w:t>双标记水法</w:t>
      </w:r>
    </w:p>
    <w:p w:rsidR="00EA40A3" w:rsidRDefault="00E86C16">
      <w:pPr>
        <w:spacing w:before="168" w:line="245" w:lineRule="auto"/>
        <w:ind w:right="60" w:firstLine="439"/>
        <w:jc w:val="both"/>
        <w:rPr>
          <w:rFonts w:ascii="宋体" w:eastAsia="宋体" w:hAnsi="宋体" w:cs="宋体"/>
          <w:sz w:val="22"/>
          <w:szCs w:val="22"/>
        </w:rPr>
      </w:pPr>
      <w:r>
        <w:rPr>
          <w:rFonts w:ascii="宋体" w:eastAsia="宋体" w:hAnsi="宋体" w:cs="宋体"/>
          <w:spacing w:val="-5"/>
          <w:sz w:val="22"/>
          <w:szCs w:val="22"/>
        </w:rPr>
        <w:t>双标记水法</w:t>
      </w:r>
      <w:r>
        <w:rPr>
          <w:rFonts w:ascii="宋体" w:eastAsia="宋体" w:hAnsi="宋体" w:cs="宋体"/>
          <w:spacing w:val="2"/>
          <w:sz w:val="22"/>
          <w:szCs w:val="22"/>
        </w:rPr>
        <w:t xml:space="preserve"> </w:t>
      </w:r>
      <w:r>
        <w:rPr>
          <w:rFonts w:ascii="宋体" w:eastAsia="宋体" w:hAnsi="宋体" w:cs="宋体"/>
          <w:spacing w:val="-5"/>
          <w:sz w:val="22"/>
          <w:szCs w:val="22"/>
        </w:rPr>
        <w:t>(DLW)</w:t>
      </w:r>
      <w:r>
        <w:rPr>
          <w:rFonts w:ascii="宋体" w:eastAsia="宋体" w:hAnsi="宋体" w:cs="宋体"/>
          <w:spacing w:val="23"/>
          <w:sz w:val="22"/>
          <w:szCs w:val="22"/>
        </w:rPr>
        <w:t xml:space="preserve">  </w:t>
      </w:r>
      <w:r>
        <w:rPr>
          <w:rFonts w:ascii="宋体" w:eastAsia="宋体" w:hAnsi="宋体" w:cs="宋体"/>
          <w:spacing w:val="-5"/>
          <w:sz w:val="22"/>
          <w:szCs w:val="22"/>
        </w:rPr>
        <w:t>是让受试者喝入定量的双标记水</w:t>
      </w:r>
      <w:r>
        <w:rPr>
          <w:rFonts w:ascii="宋体" w:eastAsia="宋体" w:hAnsi="宋体" w:cs="宋体"/>
          <w:spacing w:val="-6"/>
          <w:sz w:val="22"/>
          <w:szCs w:val="22"/>
        </w:rPr>
        <w:t>，在一定时间内(8~</w:t>
      </w:r>
      <w:r>
        <w:rPr>
          <w:rFonts w:ascii="宋体" w:eastAsia="宋体" w:hAnsi="宋体" w:cs="宋体"/>
          <w:spacing w:val="1"/>
          <w:sz w:val="22"/>
          <w:szCs w:val="22"/>
        </w:rPr>
        <w:t xml:space="preserve"> </w:t>
      </w:r>
      <w:r>
        <w:rPr>
          <w:rFonts w:ascii="宋体" w:eastAsia="宋体" w:hAnsi="宋体" w:cs="宋体"/>
          <w:spacing w:val="-9"/>
          <w:sz w:val="22"/>
          <w:szCs w:val="22"/>
        </w:rPr>
        <w:t>15d)</w:t>
      </w:r>
      <w:r>
        <w:rPr>
          <w:rFonts w:ascii="宋体" w:eastAsia="宋体" w:hAnsi="宋体" w:cs="宋体"/>
          <w:spacing w:val="-16"/>
          <w:sz w:val="22"/>
          <w:szCs w:val="22"/>
        </w:rPr>
        <w:t xml:space="preserve"> </w:t>
      </w:r>
      <w:r>
        <w:rPr>
          <w:rFonts w:ascii="宋体" w:eastAsia="宋体" w:hAnsi="宋体" w:cs="宋体"/>
          <w:spacing w:val="-9"/>
          <w:sz w:val="22"/>
          <w:szCs w:val="22"/>
        </w:rPr>
        <w:t>连续收集尿样，通过测定尿样中稳定的双标记同位素及消失率，计</w:t>
      </w:r>
      <w:r>
        <w:rPr>
          <w:rFonts w:ascii="宋体" w:eastAsia="宋体" w:hAnsi="宋体" w:cs="宋体"/>
          <w:spacing w:val="-10"/>
          <w:sz w:val="22"/>
          <w:szCs w:val="22"/>
        </w:rPr>
        <w:t>算能量</w:t>
      </w:r>
      <w:r>
        <w:rPr>
          <w:rFonts w:ascii="宋体" w:eastAsia="宋体" w:hAnsi="宋体" w:cs="宋体"/>
          <w:sz w:val="22"/>
          <w:szCs w:val="22"/>
        </w:rPr>
        <w:t xml:space="preserve"> </w:t>
      </w:r>
      <w:r>
        <w:rPr>
          <w:rFonts w:ascii="宋体" w:eastAsia="宋体" w:hAnsi="宋体" w:cs="宋体"/>
          <w:spacing w:val="-7"/>
          <w:sz w:val="22"/>
          <w:szCs w:val="22"/>
        </w:rPr>
        <w:t>消耗量。适用于任何人群和个体的测定，无毒无损伤，但费用高，需要高灵敏</w:t>
      </w:r>
      <w:r>
        <w:rPr>
          <w:rFonts w:ascii="宋体" w:eastAsia="宋体" w:hAnsi="宋体" w:cs="宋体"/>
          <w:spacing w:val="5"/>
          <w:sz w:val="22"/>
          <w:szCs w:val="22"/>
        </w:rPr>
        <w:t xml:space="preserve"> </w:t>
      </w:r>
      <w:r>
        <w:rPr>
          <w:rFonts w:ascii="宋体" w:eastAsia="宋体" w:hAnsi="宋体" w:cs="宋体"/>
          <w:spacing w:val="-13"/>
          <w:sz w:val="22"/>
          <w:szCs w:val="22"/>
        </w:rPr>
        <w:t>度、准确度的同位素质谱仪及专业技术人员，近年主要用于测定个体不同活动水</w:t>
      </w:r>
      <w:r>
        <w:rPr>
          <w:rFonts w:ascii="宋体" w:eastAsia="宋体" w:hAnsi="宋体" w:cs="宋体"/>
          <w:spacing w:val="3"/>
          <w:sz w:val="22"/>
          <w:szCs w:val="22"/>
        </w:rPr>
        <w:t xml:space="preserve"> </w:t>
      </w:r>
      <w:r>
        <w:rPr>
          <w:rFonts w:ascii="宋体" w:eastAsia="宋体" w:hAnsi="宋体" w:cs="宋体"/>
          <w:spacing w:val="-13"/>
          <w:sz w:val="22"/>
          <w:szCs w:val="22"/>
        </w:rPr>
        <w:t>平 (PAL)</w:t>
      </w:r>
      <w:r>
        <w:rPr>
          <w:rFonts w:ascii="宋体" w:eastAsia="宋体" w:hAnsi="宋体" w:cs="宋体"/>
          <w:spacing w:val="4"/>
          <w:sz w:val="22"/>
          <w:szCs w:val="22"/>
        </w:rPr>
        <w:t xml:space="preserve">  </w:t>
      </w:r>
      <w:r>
        <w:rPr>
          <w:rFonts w:ascii="宋体" w:eastAsia="宋体" w:hAnsi="宋体" w:cs="宋体"/>
          <w:spacing w:val="-13"/>
          <w:sz w:val="22"/>
          <w:szCs w:val="22"/>
        </w:rPr>
        <w:t>的能量消耗值。</w:t>
      </w:r>
    </w:p>
    <w:p w:rsidR="00EA40A3" w:rsidRDefault="00E86C16">
      <w:pPr>
        <w:spacing w:before="198" w:line="223"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37"/>
          <w:sz w:val="22"/>
          <w:szCs w:val="22"/>
        </w:rPr>
        <w:t xml:space="preserve"> </w:t>
      </w:r>
      <w:r>
        <w:rPr>
          <w:rFonts w:ascii="仿宋" w:eastAsia="仿宋" w:hAnsi="仿宋" w:cs="仿宋"/>
          <w:spacing w:val="10"/>
          <w:sz w:val="22"/>
          <w:szCs w:val="22"/>
        </w:rPr>
        <w:t>心率监测法</w:t>
      </w:r>
    </w:p>
    <w:p w:rsidR="00EA40A3" w:rsidRDefault="00E86C16">
      <w:pPr>
        <w:spacing w:before="177" w:line="245" w:lineRule="auto"/>
        <w:ind w:right="40" w:firstLine="439"/>
        <w:jc w:val="both"/>
        <w:rPr>
          <w:rFonts w:ascii="宋体" w:eastAsia="宋体" w:hAnsi="宋体" w:cs="宋体"/>
          <w:sz w:val="22"/>
          <w:szCs w:val="22"/>
        </w:rPr>
      </w:pPr>
      <w:r>
        <w:rPr>
          <w:rFonts w:ascii="宋体" w:eastAsia="宋体" w:hAnsi="宋体" w:cs="宋体"/>
          <w:spacing w:val="-9"/>
          <w:sz w:val="22"/>
          <w:szCs w:val="22"/>
        </w:rPr>
        <w:t>用心率监测器和Douglas袋法同时测量各种活动的心率和能量消耗量，推算</w:t>
      </w:r>
      <w:r>
        <w:rPr>
          <w:rFonts w:ascii="宋体" w:eastAsia="宋体" w:hAnsi="宋体" w:cs="宋体"/>
          <w:spacing w:val="2"/>
          <w:sz w:val="22"/>
          <w:szCs w:val="22"/>
        </w:rPr>
        <w:t xml:space="preserve"> </w:t>
      </w:r>
      <w:r>
        <w:rPr>
          <w:rFonts w:ascii="宋体" w:eastAsia="宋体" w:hAnsi="宋体" w:cs="宋体"/>
          <w:spacing w:val="-10"/>
          <w:sz w:val="22"/>
          <w:szCs w:val="22"/>
        </w:rPr>
        <w:t>出心率-能量消耗的多元回归方程，通过连续一段时间(3～7d)</w:t>
      </w:r>
      <w:r>
        <w:rPr>
          <w:rFonts w:ascii="宋体" w:eastAsia="宋体" w:hAnsi="宋体" w:cs="宋体"/>
          <w:spacing w:val="-18"/>
          <w:sz w:val="22"/>
          <w:szCs w:val="22"/>
        </w:rPr>
        <w:t xml:space="preserve"> </w:t>
      </w:r>
      <w:r>
        <w:rPr>
          <w:rFonts w:ascii="宋体" w:eastAsia="宋体" w:hAnsi="宋体" w:cs="宋体"/>
          <w:spacing w:val="-10"/>
          <w:sz w:val="22"/>
          <w:szCs w:val="22"/>
        </w:rPr>
        <w:t>监测实际生活</w:t>
      </w:r>
      <w:r>
        <w:rPr>
          <w:rFonts w:ascii="宋体" w:eastAsia="宋体" w:hAnsi="宋体" w:cs="宋体"/>
          <w:spacing w:val="-11"/>
          <w:sz w:val="22"/>
          <w:szCs w:val="22"/>
        </w:rPr>
        <w:t>中</w:t>
      </w:r>
      <w:r>
        <w:rPr>
          <w:rFonts w:ascii="宋体" w:eastAsia="宋体" w:hAnsi="宋体" w:cs="宋体"/>
          <w:sz w:val="22"/>
          <w:szCs w:val="22"/>
        </w:rPr>
        <w:t xml:space="preserve"> </w:t>
      </w:r>
      <w:r>
        <w:rPr>
          <w:rFonts w:ascii="宋体" w:eastAsia="宋体" w:hAnsi="宋体" w:cs="宋体"/>
          <w:spacing w:val="-13"/>
          <w:sz w:val="22"/>
          <w:szCs w:val="22"/>
        </w:rPr>
        <w:t>的心率，可参照回归方程推算受试者每天能量消耗的平均值。此法可消</w:t>
      </w:r>
      <w:r>
        <w:rPr>
          <w:rFonts w:ascii="宋体" w:eastAsia="宋体" w:hAnsi="宋体" w:cs="宋体"/>
          <w:spacing w:val="-14"/>
          <w:sz w:val="22"/>
          <w:szCs w:val="22"/>
        </w:rPr>
        <w:t>除一些因</w:t>
      </w:r>
      <w:r>
        <w:rPr>
          <w:rFonts w:ascii="宋体" w:eastAsia="宋体" w:hAnsi="宋体" w:cs="宋体"/>
          <w:sz w:val="22"/>
          <w:szCs w:val="22"/>
        </w:rPr>
        <w:t xml:space="preserve"> </w:t>
      </w:r>
      <w:r>
        <w:rPr>
          <w:rFonts w:ascii="宋体" w:eastAsia="宋体" w:hAnsi="宋体" w:cs="宋体"/>
          <w:spacing w:val="-13"/>
          <w:sz w:val="22"/>
          <w:szCs w:val="22"/>
        </w:rPr>
        <w:t>素对受试验者的干扰，但心率易受环境和心理的影响，目前仅限于实验室应</w:t>
      </w:r>
      <w:r>
        <w:rPr>
          <w:rFonts w:ascii="宋体" w:eastAsia="宋体" w:hAnsi="宋体" w:cs="宋体"/>
          <w:spacing w:val="-14"/>
          <w:sz w:val="22"/>
          <w:szCs w:val="22"/>
        </w:rPr>
        <w:t>用。</w:t>
      </w:r>
    </w:p>
    <w:p w:rsidR="00EA40A3" w:rsidRDefault="00E86C16">
      <w:pPr>
        <w:spacing w:before="189" w:line="223"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38"/>
          <w:sz w:val="22"/>
          <w:szCs w:val="22"/>
        </w:rPr>
        <w:t xml:space="preserve"> </w:t>
      </w:r>
      <w:r>
        <w:rPr>
          <w:rFonts w:ascii="仿宋" w:eastAsia="仿宋" w:hAnsi="仿宋" w:cs="仿宋"/>
          <w:spacing w:val="9"/>
          <w:sz w:val="22"/>
          <w:szCs w:val="22"/>
        </w:rPr>
        <w:t>活动时间记录法</w:t>
      </w:r>
    </w:p>
    <w:p w:rsidR="00EA40A3" w:rsidRDefault="00E86C16">
      <w:pPr>
        <w:spacing w:before="175" w:line="245" w:lineRule="auto"/>
        <w:ind w:right="53" w:firstLine="439"/>
        <w:jc w:val="both"/>
        <w:rPr>
          <w:rFonts w:ascii="宋体" w:eastAsia="宋体" w:hAnsi="宋体" w:cs="宋体"/>
          <w:sz w:val="22"/>
          <w:szCs w:val="22"/>
        </w:rPr>
      </w:pPr>
      <w:r>
        <w:rPr>
          <w:rFonts w:ascii="宋体" w:eastAsia="宋体" w:hAnsi="宋体" w:cs="宋体"/>
          <w:spacing w:val="-14"/>
          <w:sz w:val="22"/>
          <w:szCs w:val="22"/>
        </w:rPr>
        <w:t>此法是了解能量消耗最常用的方法。它是通过详细记录每人一天各种活动的</w:t>
      </w:r>
      <w:r>
        <w:rPr>
          <w:rFonts w:ascii="宋体" w:eastAsia="宋体" w:hAnsi="宋体" w:cs="宋体"/>
          <w:spacing w:val="17"/>
          <w:sz w:val="22"/>
          <w:szCs w:val="22"/>
        </w:rPr>
        <w:t xml:space="preserve"> </w:t>
      </w:r>
      <w:r>
        <w:rPr>
          <w:rFonts w:ascii="宋体" w:eastAsia="宋体" w:hAnsi="宋体" w:cs="宋体"/>
          <w:spacing w:val="-13"/>
          <w:sz w:val="22"/>
          <w:szCs w:val="22"/>
        </w:rPr>
        <w:t>持续时间，然后按每种活动的能量消耗率计算全天的能量消耗量。各种活动的能</w:t>
      </w:r>
      <w:r>
        <w:rPr>
          <w:rFonts w:ascii="宋体" w:eastAsia="宋体" w:hAnsi="宋体" w:cs="宋体"/>
          <w:spacing w:val="4"/>
          <w:sz w:val="22"/>
          <w:szCs w:val="22"/>
        </w:rPr>
        <w:t xml:space="preserve"> </w:t>
      </w:r>
      <w:r>
        <w:rPr>
          <w:rFonts w:ascii="宋体" w:eastAsia="宋体" w:hAnsi="宋体" w:cs="宋体"/>
          <w:spacing w:val="-14"/>
          <w:sz w:val="22"/>
          <w:szCs w:val="22"/>
        </w:rPr>
        <w:t>量消耗率可以采取他人的测定结果或用直接测定法测定。此法优点是可以利用已</w:t>
      </w:r>
      <w:r>
        <w:rPr>
          <w:rFonts w:ascii="宋体" w:eastAsia="宋体" w:hAnsi="宋体" w:cs="宋体"/>
          <w:spacing w:val="2"/>
          <w:sz w:val="22"/>
          <w:szCs w:val="22"/>
        </w:rPr>
        <w:t xml:space="preserve"> </w:t>
      </w:r>
      <w:r>
        <w:rPr>
          <w:rFonts w:ascii="宋体" w:eastAsia="宋体" w:hAnsi="宋体" w:cs="宋体"/>
          <w:spacing w:val="-13"/>
          <w:sz w:val="22"/>
          <w:szCs w:val="22"/>
        </w:rPr>
        <w:t>有的测定资料，不需昂贵的仪器和较高的分析技术手段，但影响测定结果的因素</w:t>
      </w:r>
      <w:r>
        <w:rPr>
          <w:rFonts w:ascii="宋体" w:eastAsia="宋体" w:hAnsi="宋体" w:cs="宋体"/>
          <w:spacing w:val="3"/>
          <w:sz w:val="22"/>
          <w:szCs w:val="22"/>
        </w:rPr>
        <w:t xml:space="preserve"> </w:t>
      </w:r>
      <w:r>
        <w:rPr>
          <w:rFonts w:ascii="宋体" w:eastAsia="宋体" w:hAnsi="宋体" w:cs="宋体"/>
          <w:spacing w:val="-13"/>
          <w:sz w:val="22"/>
          <w:szCs w:val="22"/>
        </w:rPr>
        <w:t>较多，职业外活动记录难以准确，会导致结果有偏差。</w:t>
      </w:r>
    </w:p>
    <w:p w:rsidR="00EA40A3" w:rsidRDefault="00E86C16">
      <w:pPr>
        <w:spacing w:before="178" w:line="222" w:lineRule="auto"/>
        <w:rPr>
          <w:rFonts w:ascii="仿宋" w:eastAsia="仿宋" w:hAnsi="仿宋" w:cs="仿宋"/>
          <w:sz w:val="22"/>
          <w:szCs w:val="22"/>
        </w:rPr>
      </w:pPr>
      <w:r>
        <w:rPr>
          <w:rFonts w:ascii="仿宋" w:eastAsia="仿宋" w:hAnsi="仿宋" w:cs="仿宋"/>
          <w:spacing w:val="10"/>
          <w:sz w:val="22"/>
          <w:szCs w:val="22"/>
        </w:rPr>
        <w:t>5.</w:t>
      </w:r>
      <w:r>
        <w:rPr>
          <w:rFonts w:ascii="仿宋" w:eastAsia="仿宋" w:hAnsi="仿宋" w:cs="仿宋"/>
          <w:spacing w:val="-37"/>
          <w:sz w:val="22"/>
          <w:szCs w:val="22"/>
        </w:rPr>
        <w:t xml:space="preserve"> </w:t>
      </w:r>
      <w:r>
        <w:rPr>
          <w:rFonts w:ascii="仿宋" w:eastAsia="仿宋" w:hAnsi="仿宋" w:cs="仿宋"/>
          <w:spacing w:val="10"/>
          <w:sz w:val="22"/>
          <w:szCs w:val="22"/>
        </w:rPr>
        <w:t>要因加算法</w:t>
      </w:r>
    </w:p>
    <w:p w:rsidR="00EA40A3" w:rsidRDefault="00E86C16">
      <w:pPr>
        <w:spacing w:before="188" w:line="245" w:lineRule="auto"/>
        <w:ind w:right="29" w:firstLine="439"/>
        <w:rPr>
          <w:rFonts w:ascii="宋体" w:eastAsia="宋体" w:hAnsi="宋体" w:cs="宋体"/>
          <w:sz w:val="22"/>
          <w:szCs w:val="22"/>
        </w:rPr>
      </w:pPr>
      <w:r>
        <w:rPr>
          <w:rFonts w:ascii="宋体" w:eastAsia="宋体" w:hAnsi="宋体" w:cs="宋体"/>
          <w:spacing w:val="-8"/>
          <w:sz w:val="22"/>
          <w:szCs w:val="22"/>
        </w:rPr>
        <w:t>要因加算法是将某一年龄和不同的人群组的能</w:t>
      </w:r>
      <w:r>
        <w:rPr>
          <w:rFonts w:ascii="宋体" w:eastAsia="宋体" w:hAnsi="宋体" w:cs="宋体"/>
          <w:spacing w:val="-9"/>
          <w:sz w:val="22"/>
          <w:szCs w:val="22"/>
        </w:rPr>
        <w:t>量消耗结合他们的</w:t>
      </w:r>
      <w:r>
        <w:rPr>
          <w:rFonts w:ascii="宋体" w:eastAsia="宋体" w:hAnsi="宋体" w:cs="宋体"/>
          <w:spacing w:val="-8"/>
          <w:sz w:val="22"/>
          <w:szCs w:val="22"/>
        </w:rPr>
        <w:t>BMR</w:t>
      </w:r>
      <w:r>
        <w:rPr>
          <w:rFonts w:ascii="宋体" w:eastAsia="宋体" w:hAnsi="宋体" w:cs="宋体"/>
          <w:spacing w:val="73"/>
          <w:sz w:val="22"/>
          <w:szCs w:val="22"/>
        </w:rPr>
        <w:t xml:space="preserve"> </w:t>
      </w:r>
      <w:r>
        <w:rPr>
          <w:rFonts w:ascii="宋体" w:eastAsia="宋体" w:hAnsi="宋体" w:cs="宋体"/>
          <w:spacing w:val="-9"/>
          <w:sz w:val="22"/>
          <w:szCs w:val="22"/>
        </w:rPr>
        <w:t>来估</w:t>
      </w:r>
      <w:r>
        <w:rPr>
          <w:rFonts w:ascii="宋体" w:eastAsia="宋体" w:hAnsi="宋体" w:cs="宋体"/>
          <w:sz w:val="22"/>
          <w:szCs w:val="22"/>
        </w:rPr>
        <w:t xml:space="preserve"> </w:t>
      </w:r>
      <w:r>
        <w:rPr>
          <w:rFonts w:ascii="宋体" w:eastAsia="宋体" w:hAnsi="宋体" w:cs="宋体"/>
          <w:spacing w:val="-4"/>
          <w:sz w:val="22"/>
          <w:szCs w:val="22"/>
        </w:rPr>
        <w:t>算其总能量消耗量，即应用BMR</w:t>
      </w:r>
      <w:r>
        <w:rPr>
          <w:rFonts w:ascii="宋体" w:eastAsia="宋体" w:hAnsi="宋体" w:cs="宋体"/>
          <w:spacing w:val="103"/>
          <w:sz w:val="22"/>
          <w:szCs w:val="22"/>
        </w:rPr>
        <w:t xml:space="preserve"> </w:t>
      </w:r>
      <w:r>
        <w:rPr>
          <w:rFonts w:ascii="宋体" w:eastAsia="宋体" w:hAnsi="宋体" w:cs="宋体"/>
          <w:spacing w:val="-4"/>
          <w:sz w:val="22"/>
          <w:szCs w:val="22"/>
        </w:rPr>
        <w:t>乘以体力活动水平PAL</w:t>
      </w:r>
      <w:r>
        <w:rPr>
          <w:rFonts w:ascii="宋体" w:eastAsia="宋体" w:hAnsi="宋体" w:cs="宋体"/>
          <w:spacing w:val="45"/>
          <w:sz w:val="22"/>
          <w:szCs w:val="22"/>
        </w:rPr>
        <w:t xml:space="preserve"> </w:t>
      </w:r>
      <w:r>
        <w:rPr>
          <w:rFonts w:ascii="宋体" w:eastAsia="宋体" w:hAnsi="宋体" w:cs="宋体"/>
          <w:spacing w:val="-4"/>
          <w:sz w:val="22"/>
          <w:szCs w:val="22"/>
        </w:rPr>
        <w:t>来计算人体能量消耗</w:t>
      </w:r>
      <w:r>
        <w:rPr>
          <w:rFonts w:ascii="宋体" w:eastAsia="宋体" w:hAnsi="宋体" w:cs="宋体"/>
          <w:sz w:val="22"/>
          <w:szCs w:val="22"/>
        </w:rPr>
        <w:t xml:space="preserve"> </w:t>
      </w:r>
      <w:r>
        <w:rPr>
          <w:rFonts w:ascii="宋体" w:eastAsia="宋体" w:hAnsi="宋体" w:cs="宋体"/>
          <w:spacing w:val="-10"/>
          <w:sz w:val="22"/>
          <w:szCs w:val="22"/>
        </w:rPr>
        <w:t>量或需要量。能量消耗量或需要量=</w:t>
      </w:r>
      <w:r>
        <w:rPr>
          <w:rFonts w:ascii="宋体" w:eastAsia="宋体" w:hAnsi="宋体" w:cs="宋体"/>
          <w:spacing w:val="11"/>
          <w:sz w:val="22"/>
          <w:szCs w:val="22"/>
        </w:rPr>
        <w:t xml:space="preserve"> </w:t>
      </w:r>
      <w:r>
        <w:rPr>
          <w:rFonts w:ascii="宋体" w:eastAsia="宋体" w:hAnsi="宋体" w:cs="宋体"/>
          <w:spacing w:val="-10"/>
          <w:sz w:val="22"/>
          <w:szCs w:val="22"/>
        </w:rPr>
        <w:t>BMR×PAL。</w:t>
      </w:r>
      <w:r>
        <w:rPr>
          <w:rFonts w:ascii="宋体" w:eastAsia="宋体" w:hAnsi="宋体" w:cs="宋体"/>
          <w:spacing w:val="2"/>
          <w:sz w:val="22"/>
          <w:szCs w:val="22"/>
        </w:rPr>
        <w:t xml:space="preserve">   </w:t>
      </w:r>
      <w:r>
        <w:rPr>
          <w:rFonts w:ascii="宋体" w:eastAsia="宋体" w:hAnsi="宋体" w:cs="宋体"/>
          <w:spacing w:val="-10"/>
          <w:sz w:val="22"/>
          <w:szCs w:val="22"/>
        </w:rPr>
        <w:t>此法通常适用于人群而不适</w:t>
      </w:r>
      <w:r>
        <w:rPr>
          <w:rFonts w:ascii="宋体" w:eastAsia="宋体" w:hAnsi="宋体" w:cs="宋体"/>
          <w:sz w:val="22"/>
          <w:szCs w:val="22"/>
        </w:rPr>
        <w:t xml:space="preserve"> </w:t>
      </w:r>
      <w:r>
        <w:rPr>
          <w:rFonts w:ascii="宋体" w:eastAsia="宋体" w:hAnsi="宋体" w:cs="宋体"/>
          <w:spacing w:val="-10"/>
          <w:sz w:val="22"/>
          <w:szCs w:val="22"/>
        </w:rPr>
        <w:t>于个体，可以避免活动时间记录法工作量大、繁杂甚至难以进行的缺陷。</w:t>
      </w:r>
      <w:r>
        <w:rPr>
          <w:rFonts w:ascii="宋体" w:eastAsia="宋体" w:hAnsi="宋体" w:cs="宋体"/>
          <w:spacing w:val="-25"/>
          <w:sz w:val="22"/>
          <w:szCs w:val="22"/>
        </w:rPr>
        <w:t xml:space="preserve"> </w:t>
      </w:r>
      <w:r>
        <w:rPr>
          <w:rFonts w:ascii="宋体" w:eastAsia="宋体" w:hAnsi="宋体" w:cs="宋体"/>
          <w:spacing w:val="-10"/>
          <w:sz w:val="22"/>
          <w:szCs w:val="22"/>
        </w:rPr>
        <w:t>BMR</w:t>
      </w:r>
      <w:r>
        <w:rPr>
          <w:rFonts w:ascii="宋体" w:eastAsia="宋体" w:hAnsi="宋体" w:cs="宋体"/>
          <w:sz w:val="22"/>
          <w:szCs w:val="22"/>
        </w:rPr>
        <w:t xml:space="preserve">  </w:t>
      </w:r>
      <w:r>
        <w:rPr>
          <w:rFonts w:ascii="宋体" w:eastAsia="宋体" w:hAnsi="宋体" w:cs="宋体"/>
          <w:spacing w:val="-11"/>
          <w:sz w:val="22"/>
          <w:szCs w:val="22"/>
        </w:rPr>
        <w:t>可以由直接测量推论的公式计算或参考引用被证实的本地区BMR</w:t>
      </w:r>
      <w:r>
        <w:rPr>
          <w:rFonts w:ascii="宋体" w:eastAsia="宋体" w:hAnsi="宋体" w:cs="宋体"/>
          <w:spacing w:val="93"/>
          <w:sz w:val="22"/>
          <w:szCs w:val="22"/>
        </w:rPr>
        <w:t xml:space="preserve"> </w:t>
      </w:r>
      <w:r>
        <w:rPr>
          <w:rFonts w:ascii="宋体" w:eastAsia="宋体" w:hAnsi="宋体" w:cs="宋体"/>
          <w:spacing w:val="-11"/>
          <w:sz w:val="22"/>
          <w:szCs w:val="22"/>
        </w:rPr>
        <w:t>资</w:t>
      </w:r>
      <w:r>
        <w:rPr>
          <w:rFonts w:ascii="宋体" w:eastAsia="宋体" w:hAnsi="宋体" w:cs="宋体"/>
          <w:spacing w:val="-12"/>
          <w:sz w:val="22"/>
          <w:szCs w:val="22"/>
        </w:rPr>
        <w:t>料，</w:t>
      </w:r>
      <w:r>
        <w:rPr>
          <w:rFonts w:ascii="宋体" w:eastAsia="宋体" w:hAnsi="宋体" w:cs="宋体"/>
          <w:spacing w:val="-60"/>
          <w:sz w:val="22"/>
          <w:szCs w:val="22"/>
        </w:rPr>
        <w:t xml:space="preserve"> </w:t>
      </w:r>
      <w:r>
        <w:rPr>
          <w:rFonts w:ascii="宋体" w:eastAsia="宋体" w:hAnsi="宋体" w:cs="宋体"/>
          <w:spacing w:val="-11"/>
          <w:sz w:val="22"/>
          <w:szCs w:val="22"/>
        </w:rPr>
        <w:t>PAL</w:t>
      </w:r>
      <w:r>
        <w:rPr>
          <w:rFonts w:ascii="宋体" w:eastAsia="宋体" w:hAnsi="宋体" w:cs="宋体"/>
          <w:spacing w:val="45"/>
          <w:sz w:val="22"/>
          <w:szCs w:val="22"/>
        </w:rPr>
        <w:t xml:space="preserve"> </w:t>
      </w:r>
      <w:r>
        <w:rPr>
          <w:rFonts w:ascii="宋体" w:eastAsia="宋体" w:hAnsi="宋体" w:cs="宋体"/>
          <w:spacing w:val="-12"/>
          <w:sz w:val="22"/>
          <w:szCs w:val="22"/>
        </w:rPr>
        <w:t>可</w:t>
      </w:r>
    </w:p>
    <w:p w:rsidR="00EA40A3" w:rsidRDefault="00E86C16">
      <w:pPr>
        <w:spacing w:before="149"/>
        <w:ind w:right="110"/>
        <w:jc w:val="right"/>
        <w:rPr>
          <w:rFonts w:ascii="宋体" w:eastAsia="宋体" w:hAnsi="宋体" w:cs="宋体"/>
          <w:sz w:val="13"/>
          <w:szCs w:val="13"/>
        </w:rPr>
      </w:pPr>
      <w:r>
        <w:rPr>
          <w:rFonts w:ascii="宋体" w:eastAsia="宋体" w:hAnsi="宋体" w:cs="宋体"/>
          <w:spacing w:val="-14"/>
          <w:sz w:val="13"/>
          <w:szCs w:val="13"/>
        </w:rPr>
        <w:t>·</w:t>
      </w:r>
      <w:r>
        <w:rPr>
          <w:rFonts w:ascii="宋体" w:eastAsia="宋体" w:hAnsi="宋体" w:cs="宋体"/>
          <w:spacing w:val="44"/>
          <w:w w:val="101"/>
          <w:sz w:val="13"/>
          <w:szCs w:val="13"/>
        </w:rPr>
        <w:t xml:space="preserve"> </w:t>
      </w:r>
      <w:r>
        <w:rPr>
          <w:rFonts w:ascii="宋体" w:eastAsia="宋体" w:hAnsi="宋体" w:cs="宋体"/>
          <w:spacing w:val="-14"/>
          <w:sz w:val="13"/>
          <w:szCs w:val="13"/>
        </w:rPr>
        <w:t>43</w:t>
      </w:r>
      <w:r>
        <w:rPr>
          <w:rFonts w:ascii="宋体" w:eastAsia="宋体" w:hAnsi="宋体" w:cs="宋体"/>
          <w:spacing w:val="12"/>
          <w:sz w:val="13"/>
          <w:szCs w:val="13"/>
        </w:rPr>
        <w:t xml:space="preserve">  </w:t>
      </w:r>
      <w:r>
        <w:rPr>
          <w:rFonts w:ascii="宋体" w:eastAsia="宋体" w:hAnsi="宋体" w:cs="宋体"/>
          <w:spacing w:val="-14"/>
          <w:sz w:val="13"/>
          <w:szCs w:val="13"/>
        </w:rPr>
        <w:t>·</w:t>
      </w:r>
    </w:p>
    <w:p w:rsidR="00EA40A3" w:rsidRDefault="00EA40A3">
      <w:pPr>
        <w:sectPr w:rsidR="00EA40A3">
          <w:pgSz w:w="9220" w:h="13360"/>
          <w:pgMar w:top="400" w:right="979" w:bottom="400" w:left="930" w:header="0" w:footer="0" w:gutter="0"/>
          <w:cols w:space="720"/>
        </w:sectPr>
      </w:pPr>
    </w:p>
    <w:p w:rsidR="00EA40A3" w:rsidRDefault="00EA40A3">
      <w:pPr>
        <w:spacing w:line="301" w:lineRule="auto"/>
      </w:pPr>
    </w:p>
    <w:p w:rsidR="00EA40A3" w:rsidRDefault="00EA40A3">
      <w:pPr>
        <w:spacing w:line="301" w:lineRule="auto"/>
      </w:pPr>
    </w:p>
    <w:p w:rsidR="00EA40A3" w:rsidRDefault="00E86C16">
      <w:pPr>
        <w:spacing w:before="74" w:line="244" w:lineRule="auto"/>
        <w:ind w:right="105"/>
        <w:jc w:val="both"/>
        <w:rPr>
          <w:rFonts w:ascii="宋体" w:eastAsia="宋体" w:hAnsi="宋体" w:cs="宋体"/>
          <w:sz w:val="23"/>
          <w:szCs w:val="23"/>
        </w:rPr>
      </w:pPr>
      <w:r>
        <w:rPr>
          <w:rFonts w:ascii="宋体" w:eastAsia="宋体" w:hAnsi="宋体" w:cs="宋体"/>
          <w:spacing w:val="-23"/>
          <w:sz w:val="23"/>
          <w:szCs w:val="23"/>
        </w:rPr>
        <w:t>以通过活动记录法或心率监测法等获得。根据一天的各项活动可</w:t>
      </w:r>
      <w:r>
        <w:rPr>
          <w:rFonts w:ascii="宋体" w:eastAsia="宋体" w:hAnsi="宋体" w:cs="宋体"/>
          <w:spacing w:val="-24"/>
          <w:sz w:val="23"/>
          <w:szCs w:val="23"/>
        </w:rPr>
        <w:t>推算出综合能量</w:t>
      </w:r>
      <w:r>
        <w:rPr>
          <w:rFonts w:ascii="宋体" w:eastAsia="宋体" w:hAnsi="宋体" w:cs="宋体"/>
          <w:sz w:val="23"/>
          <w:szCs w:val="23"/>
        </w:rPr>
        <w:t xml:space="preserve"> </w:t>
      </w:r>
      <w:r>
        <w:rPr>
          <w:rFonts w:ascii="宋体" w:eastAsia="宋体" w:hAnsi="宋体" w:cs="宋体"/>
          <w:spacing w:val="-23"/>
          <w:sz w:val="23"/>
          <w:szCs w:val="23"/>
        </w:rPr>
        <w:t>指数，从而推算出一天的总能量需要量。推算出全天的活动水平可</w:t>
      </w:r>
      <w:r>
        <w:rPr>
          <w:rFonts w:ascii="宋体" w:eastAsia="宋体" w:hAnsi="宋体" w:cs="宋体"/>
          <w:spacing w:val="-24"/>
          <w:sz w:val="23"/>
          <w:szCs w:val="23"/>
        </w:rPr>
        <w:t>进一步简化全</w:t>
      </w:r>
      <w:r>
        <w:rPr>
          <w:rFonts w:ascii="宋体" w:eastAsia="宋体" w:hAnsi="宋体" w:cs="宋体"/>
          <w:sz w:val="23"/>
          <w:szCs w:val="23"/>
        </w:rPr>
        <w:t xml:space="preserve"> </w:t>
      </w:r>
      <w:r>
        <w:rPr>
          <w:rFonts w:ascii="宋体" w:eastAsia="宋体" w:hAnsi="宋体" w:cs="宋体"/>
          <w:spacing w:val="-13"/>
          <w:sz w:val="23"/>
          <w:szCs w:val="23"/>
        </w:rPr>
        <w:t>天能量消耗量的计算(表3-3、表3-5)。</w:t>
      </w:r>
    </w:p>
    <w:p w:rsidR="00EA40A3" w:rsidRDefault="00E86C16">
      <w:pPr>
        <w:spacing w:before="280" w:line="221" w:lineRule="auto"/>
        <w:ind w:left="2222"/>
        <w:rPr>
          <w:rFonts w:ascii="黑体" w:eastAsia="黑体" w:hAnsi="黑体" w:cs="黑体"/>
          <w:sz w:val="17"/>
          <w:szCs w:val="17"/>
        </w:rPr>
      </w:pPr>
      <w:r>
        <w:rPr>
          <w:rFonts w:ascii="黑体" w:eastAsia="黑体" w:hAnsi="黑体" w:cs="黑体"/>
          <w:b/>
          <w:bCs/>
          <w:spacing w:val="6"/>
          <w:sz w:val="17"/>
          <w:szCs w:val="17"/>
        </w:rPr>
        <w:t>表3-5</w:t>
      </w:r>
      <w:r>
        <w:rPr>
          <w:rFonts w:ascii="黑体" w:eastAsia="黑体" w:hAnsi="黑体" w:cs="黑体"/>
          <w:spacing w:val="82"/>
          <w:sz w:val="17"/>
          <w:szCs w:val="17"/>
        </w:rPr>
        <w:t xml:space="preserve"> </w:t>
      </w:r>
      <w:r>
        <w:rPr>
          <w:rFonts w:ascii="黑体" w:eastAsia="黑体" w:hAnsi="黑体" w:cs="黑体"/>
          <w:b/>
          <w:bCs/>
          <w:spacing w:val="6"/>
          <w:sz w:val="17"/>
          <w:szCs w:val="17"/>
        </w:rPr>
        <w:t>中体力劳动男子的能量需要量</w:t>
      </w:r>
    </w:p>
    <w:p w:rsidR="00EA40A3" w:rsidRDefault="00EA40A3">
      <w:pPr>
        <w:spacing w:line="88" w:lineRule="auto"/>
        <w:rPr>
          <w:sz w:val="2"/>
        </w:rPr>
      </w:pPr>
    </w:p>
    <w:tbl>
      <w:tblPr>
        <w:tblStyle w:val="TableNormal"/>
        <w:tblW w:w="731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692"/>
        <w:gridCol w:w="1236"/>
        <w:gridCol w:w="1292"/>
        <w:gridCol w:w="1090"/>
      </w:tblGrid>
      <w:tr w:rsidR="00EA40A3">
        <w:trPr>
          <w:trHeight w:val="323"/>
        </w:trPr>
        <w:tc>
          <w:tcPr>
            <w:tcW w:w="3692" w:type="dxa"/>
            <w:tcBorders>
              <w:top w:val="single" w:sz="4" w:space="0" w:color="000000"/>
              <w:bottom w:val="single" w:sz="4" w:space="0" w:color="000000"/>
            </w:tcBorders>
          </w:tcPr>
          <w:p w:rsidR="00EA40A3" w:rsidRDefault="00E86C16">
            <w:pPr>
              <w:spacing w:before="81" w:line="219" w:lineRule="auto"/>
              <w:ind w:left="680"/>
              <w:rPr>
                <w:rFonts w:ascii="宋体" w:eastAsia="宋体" w:hAnsi="宋体" w:cs="宋体"/>
                <w:sz w:val="16"/>
                <w:szCs w:val="16"/>
              </w:rPr>
            </w:pPr>
            <w:r>
              <w:rPr>
                <w:rFonts w:ascii="宋体" w:eastAsia="宋体" w:hAnsi="宋体" w:cs="宋体"/>
                <w:spacing w:val="3"/>
                <w:sz w:val="16"/>
                <w:szCs w:val="16"/>
              </w:rPr>
              <w:t>活动类别</w:t>
            </w:r>
          </w:p>
        </w:tc>
        <w:tc>
          <w:tcPr>
            <w:tcW w:w="1236" w:type="dxa"/>
            <w:tcBorders>
              <w:top w:val="single" w:sz="4" w:space="0" w:color="000000"/>
              <w:bottom w:val="single" w:sz="4" w:space="0" w:color="000000"/>
            </w:tcBorders>
          </w:tcPr>
          <w:p w:rsidR="00EA40A3" w:rsidRDefault="00E86C16">
            <w:pPr>
              <w:spacing w:before="123" w:line="221" w:lineRule="auto"/>
              <w:ind w:left="448"/>
              <w:rPr>
                <w:rFonts w:ascii="宋体" w:eastAsia="宋体" w:hAnsi="宋体" w:cs="宋体"/>
                <w:sz w:val="16"/>
                <w:szCs w:val="16"/>
              </w:rPr>
            </w:pPr>
            <w:r>
              <w:rPr>
                <w:rFonts w:ascii="宋体" w:eastAsia="宋体" w:hAnsi="宋体" w:cs="宋体"/>
                <w:spacing w:val="-3"/>
                <w:sz w:val="16"/>
                <w:szCs w:val="16"/>
              </w:rPr>
              <w:t>时间/h</w:t>
            </w:r>
          </w:p>
        </w:tc>
        <w:tc>
          <w:tcPr>
            <w:tcW w:w="1292" w:type="dxa"/>
            <w:tcBorders>
              <w:top w:val="single" w:sz="4" w:space="0" w:color="000000"/>
              <w:bottom w:val="single" w:sz="4" w:space="0" w:color="000000"/>
            </w:tcBorders>
          </w:tcPr>
          <w:p w:rsidR="00EA40A3" w:rsidRDefault="00E86C16">
            <w:pPr>
              <w:spacing w:before="122" w:line="221" w:lineRule="auto"/>
              <w:ind w:left="322"/>
              <w:rPr>
                <w:rFonts w:ascii="宋体" w:eastAsia="宋体" w:hAnsi="宋体" w:cs="宋体"/>
                <w:sz w:val="16"/>
                <w:szCs w:val="16"/>
              </w:rPr>
            </w:pPr>
            <w:r>
              <w:rPr>
                <w:rFonts w:ascii="宋体" w:eastAsia="宋体" w:hAnsi="宋体" w:cs="宋体"/>
                <w:spacing w:val="5"/>
                <w:sz w:val="16"/>
                <w:szCs w:val="16"/>
              </w:rPr>
              <w:t>能量/</w:t>
            </w:r>
            <w:r>
              <w:rPr>
                <w:rFonts w:ascii="宋体" w:eastAsia="宋体" w:hAnsi="宋体" w:cs="宋体"/>
                <w:sz w:val="16"/>
                <w:szCs w:val="16"/>
              </w:rPr>
              <w:t>kcal</w:t>
            </w:r>
          </w:p>
        </w:tc>
        <w:tc>
          <w:tcPr>
            <w:tcW w:w="1090" w:type="dxa"/>
            <w:tcBorders>
              <w:top w:val="single" w:sz="4" w:space="0" w:color="000000"/>
              <w:bottom w:val="single" w:sz="4" w:space="0" w:color="000000"/>
            </w:tcBorders>
          </w:tcPr>
          <w:p w:rsidR="00EA40A3" w:rsidRDefault="00E86C16">
            <w:pPr>
              <w:spacing w:before="120" w:line="218" w:lineRule="auto"/>
              <w:ind w:left="250"/>
              <w:rPr>
                <w:rFonts w:ascii="宋体" w:eastAsia="宋体" w:hAnsi="宋体" w:cs="宋体"/>
                <w:sz w:val="16"/>
                <w:szCs w:val="16"/>
              </w:rPr>
            </w:pPr>
            <w:r>
              <w:rPr>
                <w:rFonts w:ascii="宋体" w:eastAsia="宋体" w:hAnsi="宋体" w:cs="宋体"/>
                <w:spacing w:val="-3"/>
                <w:sz w:val="16"/>
                <w:szCs w:val="16"/>
              </w:rPr>
              <w:t>能量/kJ</w:t>
            </w:r>
          </w:p>
        </w:tc>
      </w:tr>
      <w:tr w:rsidR="00EA40A3">
        <w:trPr>
          <w:trHeight w:val="290"/>
        </w:trPr>
        <w:tc>
          <w:tcPr>
            <w:tcW w:w="3692" w:type="dxa"/>
            <w:tcBorders>
              <w:top w:val="single" w:sz="4" w:space="0" w:color="000000"/>
            </w:tcBorders>
          </w:tcPr>
          <w:p w:rsidR="00EA40A3" w:rsidRDefault="00E86C16">
            <w:pPr>
              <w:spacing w:before="78" w:line="219" w:lineRule="auto"/>
              <w:ind w:left="369"/>
              <w:rPr>
                <w:rFonts w:ascii="宋体" w:eastAsia="宋体" w:hAnsi="宋体" w:cs="宋体"/>
                <w:sz w:val="16"/>
                <w:szCs w:val="16"/>
              </w:rPr>
            </w:pPr>
            <w:r>
              <w:rPr>
                <w:rFonts w:ascii="宋体" w:eastAsia="宋体" w:hAnsi="宋体" w:cs="宋体"/>
                <w:spacing w:val="-2"/>
                <w:sz w:val="16"/>
                <w:szCs w:val="16"/>
              </w:rPr>
              <w:t>卧床1.0×BMR</w:t>
            </w:r>
          </w:p>
        </w:tc>
        <w:tc>
          <w:tcPr>
            <w:tcW w:w="1236" w:type="dxa"/>
            <w:tcBorders>
              <w:top w:val="single" w:sz="4" w:space="0" w:color="000000"/>
            </w:tcBorders>
          </w:tcPr>
          <w:p w:rsidR="00EA40A3" w:rsidRDefault="00E86C16">
            <w:pPr>
              <w:spacing w:before="129" w:line="183" w:lineRule="auto"/>
              <w:ind w:left="847"/>
              <w:rPr>
                <w:rFonts w:ascii="宋体" w:eastAsia="宋体" w:hAnsi="宋体" w:cs="宋体"/>
                <w:sz w:val="16"/>
                <w:szCs w:val="16"/>
              </w:rPr>
            </w:pPr>
            <w:r>
              <w:rPr>
                <w:rFonts w:ascii="宋体" w:eastAsia="宋体" w:hAnsi="宋体" w:cs="宋体"/>
                <w:sz w:val="16"/>
                <w:szCs w:val="16"/>
              </w:rPr>
              <w:t>8</w:t>
            </w:r>
          </w:p>
        </w:tc>
        <w:tc>
          <w:tcPr>
            <w:tcW w:w="1292" w:type="dxa"/>
            <w:tcBorders>
              <w:top w:val="single" w:sz="4" w:space="0" w:color="000000"/>
            </w:tcBorders>
          </w:tcPr>
          <w:p w:rsidR="00EA40A3" w:rsidRDefault="00E86C16">
            <w:pPr>
              <w:spacing w:before="140" w:line="173" w:lineRule="auto"/>
              <w:ind w:left="561"/>
              <w:rPr>
                <w:rFonts w:ascii="宋体" w:eastAsia="宋体" w:hAnsi="宋体" w:cs="宋体"/>
                <w:sz w:val="16"/>
                <w:szCs w:val="16"/>
              </w:rPr>
            </w:pPr>
            <w:r>
              <w:rPr>
                <w:rFonts w:ascii="宋体" w:eastAsia="宋体" w:hAnsi="宋体" w:cs="宋体"/>
                <w:spacing w:val="-3"/>
                <w:sz w:val="16"/>
                <w:szCs w:val="16"/>
              </w:rPr>
              <w:t>520</w:t>
            </w:r>
          </w:p>
        </w:tc>
        <w:tc>
          <w:tcPr>
            <w:tcW w:w="1090" w:type="dxa"/>
            <w:tcBorders>
              <w:top w:val="single" w:sz="4" w:space="0" w:color="000000"/>
            </w:tcBorders>
          </w:tcPr>
          <w:p w:rsidR="00EA40A3" w:rsidRDefault="00E86C16">
            <w:pPr>
              <w:spacing w:before="128" w:line="184" w:lineRule="auto"/>
              <w:ind w:left="370"/>
              <w:rPr>
                <w:rFonts w:ascii="宋体" w:eastAsia="宋体" w:hAnsi="宋体" w:cs="宋体"/>
                <w:sz w:val="16"/>
                <w:szCs w:val="16"/>
              </w:rPr>
            </w:pPr>
            <w:r>
              <w:rPr>
                <w:rFonts w:ascii="宋体" w:eastAsia="宋体" w:hAnsi="宋体" w:cs="宋体"/>
                <w:spacing w:val="-2"/>
                <w:sz w:val="16"/>
                <w:szCs w:val="16"/>
              </w:rPr>
              <w:t>2170</w:t>
            </w:r>
          </w:p>
        </w:tc>
      </w:tr>
      <w:tr w:rsidR="00EA40A3">
        <w:trPr>
          <w:trHeight w:val="507"/>
        </w:trPr>
        <w:tc>
          <w:tcPr>
            <w:tcW w:w="3692" w:type="dxa"/>
          </w:tcPr>
          <w:p w:rsidR="00EA40A3" w:rsidRDefault="00E86C16">
            <w:pPr>
              <w:spacing w:before="39" w:line="269" w:lineRule="exact"/>
              <w:ind w:left="369"/>
              <w:rPr>
                <w:rFonts w:ascii="宋体" w:eastAsia="宋体" w:hAnsi="宋体" w:cs="宋体"/>
                <w:sz w:val="16"/>
                <w:szCs w:val="16"/>
              </w:rPr>
            </w:pPr>
            <w:r>
              <w:rPr>
                <w:rFonts w:ascii="宋体" w:eastAsia="宋体" w:hAnsi="宋体" w:cs="宋体"/>
                <w:spacing w:val="-1"/>
                <w:position w:val="8"/>
                <w:sz w:val="16"/>
                <w:szCs w:val="16"/>
              </w:rPr>
              <w:t>职业活动1.7×BMR</w:t>
            </w:r>
          </w:p>
          <w:p w:rsidR="00EA40A3" w:rsidRDefault="00E86C16">
            <w:pPr>
              <w:spacing w:line="219" w:lineRule="auto"/>
              <w:ind w:left="369"/>
              <w:rPr>
                <w:rFonts w:ascii="宋体" w:eastAsia="宋体" w:hAnsi="宋体" w:cs="宋体"/>
                <w:sz w:val="16"/>
                <w:szCs w:val="16"/>
              </w:rPr>
            </w:pPr>
            <w:r>
              <w:rPr>
                <w:rFonts w:ascii="宋体" w:eastAsia="宋体" w:hAnsi="宋体" w:cs="宋体"/>
                <w:spacing w:val="16"/>
                <w:sz w:val="16"/>
                <w:szCs w:val="16"/>
              </w:rPr>
              <w:t>随意活动：</w:t>
            </w:r>
          </w:p>
        </w:tc>
        <w:tc>
          <w:tcPr>
            <w:tcW w:w="1236" w:type="dxa"/>
          </w:tcPr>
          <w:p w:rsidR="00EA40A3" w:rsidRDefault="00E86C16">
            <w:pPr>
              <w:spacing w:before="80" w:line="182" w:lineRule="auto"/>
              <w:ind w:left="847"/>
              <w:rPr>
                <w:rFonts w:ascii="宋体" w:eastAsia="宋体" w:hAnsi="宋体" w:cs="宋体"/>
                <w:sz w:val="16"/>
                <w:szCs w:val="16"/>
              </w:rPr>
            </w:pPr>
            <w:r>
              <w:rPr>
                <w:rFonts w:ascii="宋体" w:eastAsia="宋体" w:hAnsi="宋体" w:cs="宋体"/>
                <w:sz w:val="16"/>
                <w:szCs w:val="16"/>
              </w:rPr>
              <w:t>7</w:t>
            </w:r>
          </w:p>
        </w:tc>
        <w:tc>
          <w:tcPr>
            <w:tcW w:w="1292" w:type="dxa"/>
          </w:tcPr>
          <w:p w:rsidR="00EA40A3" w:rsidRDefault="00E86C16">
            <w:pPr>
              <w:spacing w:before="108" w:line="184" w:lineRule="auto"/>
              <w:ind w:left="521"/>
              <w:rPr>
                <w:rFonts w:ascii="宋体" w:eastAsia="宋体" w:hAnsi="宋体" w:cs="宋体"/>
                <w:sz w:val="16"/>
                <w:szCs w:val="16"/>
              </w:rPr>
            </w:pPr>
            <w:r>
              <w:rPr>
                <w:rFonts w:ascii="宋体" w:eastAsia="宋体" w:hAnsi="宋体" w:cs="宋体"/>
                <w:spacing w:val="-4"/>
                <w:sz w:val="16"/>
                <w:szCs w:val="16"/>
              </w:rPr>
              <w:t>1230</w:t>
            </w:r>
          </w:p>
        </w:tc>
        <w:tc>
          <w:tcPr>
            <w:tcW w:w="1090" w:type="dxa"/>
          </w:tcPr>
          <w:p w:rsidR="00EA40A3" w:rsidRDefault="00E86C16">
            <w:pPr>
              <w:spacing w:before="88" w:line="184" w:lineRule="auto"/>
              <w:ind w:left="370"/>
              <w:rPr>
                <w:rFonts w:ascii="宋体" w:eastAsia="宋体" w:hAnsi="宋体" w:cs="宋体"/>
                <w:sz w:val="16"/>
                <w:szCs w:val="16"/>
              </w:rPr>
            </w:pPr>
            <w:r>
              <w:rPr>
                <w:rFonts w:ascii="宋体" w:eastAsia="宋体" w:hAnsi="宋体" w:cs="宋体"/>
                <w:spacing w:val="-2"/>
                <w:sz w:val="16"/>
                <w:szCs w:val="16"/>
              </w:rPr>
              <w:t>5150</w:t>
            </w:r>
          </w:p>
        </w:tc>
      </w:tr>
      <w:tr w:rsidR="00EA40A3">
        <w:trPr>
          <w:trHeight w:val="518"/>
        </w:trPr>
        <w:tc>
          <w:tcPr>
            <w:tcW w:w="3692" w:type="dxa"/>
          </w:tcPr>
          <w:p w:rsidR="00EA40A3" w:rsidRDefault="00E86C16">
            <w:pPr>
              <w:spacing w:before="51" w:line="219" w:lineRule="auto"/>
              <w:ind w:left="540"/>
              <w:rPr>
                <w:rFonts w:ascii="宋体" w:eastAsia="宋体" w:hAnsi="宋体" w:cs="宋体"/>
                <w:sz w:val="16"/>
                <w:szCs w:val="16"/>
              </w:rPr>
            </w:pPr>
            <w:r>
              <w:rPr>
                <w:rFonts w:ascii="宋体" w:eastAsia="宋体" w:hAnsi="宋体" w:cs="宋体"/>
                <w:spacing w:val="-1"/>
                <w:sz w:val="16"/>
                <w:szCs w:val="16"/>
              </w:rPr>
              <w:t>社交及家务3.0×BMR</w:t>
            </w:r>
          </w:p>
          <w:p w:rsidR="00EA40A3" w:rsidRDefault="00E86C16">
            <w:pPr>
              <w:spacing w:before="80" w:line="219" w:lineRule="auto"/>
              <w:ind w:left="540"/>
              <w:rPr>
                <w:rFonts w:ascii="宋体" w:eastAsia="宋体" w:hAnsi="宋体" w:cs="宋体"/>
                <w:sz w:val="16"/>
                <w:szCs w:val="16"/>
              </w:rPr>
            </w:pPr>
            <w:r>
              <w:rPr>
                <w:rFonts w:ascii="宋体" w:eastAsia="宋体" w:hAnsi="宋体" w:cs="宋体"/>
                <w:spacing w:val="-1"/>
                <w:sz w:val="16"/>
                <w:szCs w:val="16"/>
              </w:rPr>
              <w:t>维持心血管和肌肉状况，中度活动不计</w:t>
            </w:r>
          </w:p>
        </w:tc>
        <w:tc>
          <w:tcPr>
            <w:tcW w:w="1236" w:type="dxa"/>
          </w:tcPr>
          <w:p w:rsidR="00EA40A3" w:rsidRDefault="00E86C16">
            <w:pPr>
              <w:spacing w:before="102" w:line="183" w:lineRule="auto"/>
              <w:ind w:left="847"/>
              <w:rPr>
                <w:rFonts w:ascii="宋体" w:eastAsia="宋体" w:hAnsi="宋体" w:cs="宋体"/>
                <w:sz w:val="16"/>
                <w:szCs w:val="16"/>
              </w:rPr>
            </w:pPr>
            <w:r>
              <w:rPr>
                <w:rFonts w:ascii="宋体" w:eastAsia="宋体" w:hAnsi="宋体" w:cs="宋体"/>
                <w:sz w:val="16"/>
                <w:szCs w:val="16"/>
              </w:rPr>
              <w:t>2</w:t>
            </w:r>
          </w:p>
        </w:tc>
        <w:tc>
          <w:tcPr>
            <w:tcW w:w="1292" w:type="dxa"/>
          </w:tcPr>
          <w:p w:rsidR="00EA40A3" w:rsidRDefault="00E86C16">
            <w:pPr>
              <w:spacing w:before="122" w:line="183" w:lineRule="auto"/>
              <w:ind w:left="561"/>
              <w:rPr>
                <w:rFonts w:ascii="宋体" w:eastAsia="宋体" w:hAnsi="宋体" w:cs="宋体"/>
                <w:sz w:val="16"/>
                <w:szCs w:val="16"/>
              </w:rPr>
            </w:pPr>
            <w:r>
              <w:rPr>
                <w:rFonts w:ascii="宋体" w:eastAsia="宋体" w:hAnsi="宋体" w:cs="宋体"/>
                <w:spacing w:val="-3"/>
                <w:sz w:val="16"/>
                <w:szCs w:val="16"/>
              </w:rPr>
              <w:t>390</w:t>
            </w:r>
          </w:p>
        </w:tc>
        <w:tc>
          <w:tcPr>
            <w:tcW w:w="1090" w:type="dxa"/>
          </w:tcPr>
          <w:p w:rsidR="00EA40A3" w:rsidRDefault="00E86C16">
            <w:pPr>
              <w:spacing w:before="111" w:line="184" w:lineRule="auto"/>
              <w:ind w:left="370"/>
              <w:rPr>
                <w:rFonts w:ascii="宋体" w:eastAsia="宋体" w:hAnsi="宋体" w:cs="宋体"/>
                <w:sz w:val="16"/>
                <w:szCs w:val="16"/>
              </w:rPr>
            </w:pPr>
            <w:r>
              <w:rPr>
                <w:rFonts w:ascii="宋体" w:eastAsia="宋体" w:hAnsi="宋体" w:cs="宋体"/>
                <w:spacing w:val="-4"/>
                <w:sz w:val="16"/>
                <w:szCs w:val="16"/>
              </w:rPr>
              <w:t>1630</w:t>
            </w:r>
          </w:p>
        </w:tc>
      </w:tr>
      <w:tr w:rsidR="00EA40A3">
        <w:trPr>
          <w:trHeight w:val="269"/>
        </w:trPr>
        <w:tc>
          <w:tcPr>
            <w:tcW w:w="3692" w:type="dxa"/>
          </w:tcPr>
          <w:p w:rsidR="00EA40A3" w:rsidRDefault="00E86C16">
            <w:pPr>
              <w:spacing w:before="53" w:line="219" w:lineRule="auto"/>
              <w:ind w:left="530"/>
              <w:rPr>
                <w:rFonts w:ascii="宋体" w:eastAsia="宋体" w:hAnsi="宋体" w:cs="宋体"/>
                <w:sz w:val="16"/>
                <w:szCs w:val="16"/>
              </w:rPr>
            </w:pPr>
            <w:r>
              <w:rPr>
                <w:rFonts w:ascii="宋体" w:eastAsia="宋体" w:hAnsi="宋体" w:cs="宋体"/>
                <w:spacing w:val="-1"/>
                <w:sz w:val="16"/>
                <w:szCs w:val="16"/>
              </w:rPr>
              <w:t>休闲时间有能量需要4.0×BMR</w:t>
            </w:r>
          </w:p>
        </w:tc>
        <w:tc>
          <w:tcPr>
            <w:tcW w:w="1236" w:type="dxa"/>
          </w:tcPr>
          <w:p w:rsidR="00EA40A3" w:rsidRDefault="00E86C16">
            <w:pPr>
              <w:spacing w:before="105" w:line="182" w:lineRule="auto"/>
              <w:ind w:left="847"/>
              <w:rPr>
                <w:rFonts w:ascii="宋体" w:eastAsia="宋体" w:hAnsi="宋体" w:cs="宋体"/>
                <w:sz w:val="16"/>
                <w:szCs w:val="16"/>
              </w:rPr>
            </w:pPr>
            <w:r>
              <w:rPr>
                <w:rFonts w:ascii="宋体" w:eastAsia="宋体" w:hAnsi="宋体" w:cs="宋体"/>
                <w:sz w:val="16"/>
                <w:szCs w:val="16"/>
              </w:rPr>
              <w:t>7</w:t>
            </w:r>
          </w:p>
        </w:tc>
        <w:tc>
          <w:tcPr>
            <w:tcW w:w="1292" w:type="dxa"/>
          </w:tcPr>
          <w:p w:rsidR="00EA40A3" w:rsidRDefault="00E86C16">
            <w:pPr>
              <w:spacing w:before="125" w:line="166" w:lineRule="auto"/>
              <w:ind w:left="561"/>
              <w:rPr>
                <w:rFonts w:ascii="宋体" w:eastAsia="宋体" w:hAnsi="宋体" w:cs="宋体"/>
                <w:sz w:val="16"/>
                <w:szCs w:val="16"/>
              </w:rPr>
            </w:pPr>
            <w:r>
              <w:rPr>
                <w:rFonts w:ascii="宋体" w:eastAsia="宋体" w:hAnsi="宋体" w:cs="宋体"/>
                <w:spacing w:val="-2"/>
                <w:sz w:val="16"/>
                <w:szCs w:val="16"/>
              </w:rPr>
              <w:t>640</w:t>
            </w:r>
          </w:p>
        </w:tc>
        <w:tc>
          <w:tcPr>
            <w:tcW w:w="1090" w:type="dxa"/>
          </w:tcPr>
          <w:p w:rsidR="00EA40A3" w:rsidRDefault="00E86C16">
            <w:pPr>
              <w:spacing w:before="114" w:line="178" w:lineRule="auto"/>
              <w:ind w:left="370"/>
              <w:rPr>
                <w:rFonts w:ascii="宋体" w:eastAsia="宋体" w:hAnsi="宋体" w:cs="宋体"/>
                <w:sz w:val="16"/>
                <w:szCs w:val="16"/>
              </w:rPr>
            </w:pPr>
            <w:r>
              <w:rPr>
                <w:rFonts w:ascii="宋体" w:eastAsia="宋体" w:hAnsi="宋体" w:cs="宋体"/>
                <w:spacing w:val="-2"/>
                <w:sz w:val="16"/>
                <w:szCs w:val="16"/>
              </w:rPr>
              <w:t>2680</w:t>
            </w:r>
          </w:p>
        </w:tc>
      </w:tr>
      <w:tr w:rsidR="00EA40A3">
        <w:trPr>
          <w:trHeight w:val="243"/>
        </w:trPr>
        <w:tc>
          <w:tcPr>
            <w:tcW w:w="3692" w:type="dxa"/>
            <w:tcBorders>
              <w:bottom w:val="single" w:sz="4" w:space="0" w:color="000000"/>
            </w:tcBorders>
          </w:tcPr>
          <w:p w:rsidR="00EA40A3" w:rsidRDefault="00E86C16">
            <w:pPr>
              <w:spacing w:before="45" w:line="221" w:lineRule="auto"/>
              <w:ind w:left="369"/>
              <w:rPr>
                <w:rFonts w:ascii="宋体" w:eastAsia="宋体" w:hAnsi="宋体" w:cs="宋体"/>
                <w:sz w:val="16"/>
                <w:szCs w:val="16"/>
              </w:rPr>
            </w:pPr>
            <w:r>
              <w:rPr>
                <w:rFonts w:ascii="宋体" w:eastAsia="宋体" w:hAnsi="宋体" w:cs="宋体"/>
                <w:spacing w:val="-1"/>
                <w:sz w:val="16"/>
                <w:szCs w:val="16"/>
              </w:rPr>
              <w:t>总计：1.78×BMR</w:t>
            </w:r>
          </w:p>
        </w:tc>
        <w:tc>
          <w:tcPr>
            <w:tcW w:w="1236" w:type="dxa"/>
            <w:tcBorders>
              <w:bottom w:val="single" w:sz="4" w:space="0" w:color="000000"/>
            </w:tcBorders>
          </w:tcPr>
          <w:p w:rsidR="00EA40A3" w:rsidRDefault="00E86C16">
            <w:pPr>
              <w:spacing w:before="95" w:line="170" w:lineRule="auto"/>
              <w:ind w:left="768"/>
              <w:rPr>
                <w:rFonts w:ascii="宋体" w:eastAsia="宋体" w:hAnsi="宋体" w:cs="宋体"/>
                <w:sz w:val="16"/>
                <w:szCs w:val="16"/>
              </w:rPr>
            </w:pPr>
            <w:r>
              <w:rPr>
                <w:rFonts w:ascii="宋体" w:eastAsia="宋体" w:hAnsi="宋体" w:cs="宋体"/>
                <w:spacing w:val="-3"/>
                <w:sz w:val="16"/>
                <w:szCs w:val="16"/>
              </w:rPr>
              <w:t>24</w:t>
            </w:r>
          </w:p>
        </w:tc>
        <w:tc>
          <w:tcPr>
            <w:tcW w:w="1292" w:type="dxa"/>
            <w:tcBorders>
              <w:bottom w:val="single" w:sz="4" w:space="0" w:color="000000"/>
            </w:tcBorders>
          </w:tcPr>
          <w:p w:rsidR="00EA40A3" w:rsidRDefault="00E86C16">
            <w:pPr>
              <w:spacing w:before="86" w:line="181" w:lineRule="auto"/>
              <w:ind w:left="521"/>
              <w:rPr>
                <w:rFonts w:ascii="宋体" w:eastAsia="宋体" w:hAnsi="宋体" w:cs="宋体"/>
                <w:sz w:val="16"/>
                <w:szCs w:val="16"/>
              </w:rPr>
            </w:pPr>
            <w:r>
              <w:rPr>
                <w:rFonts w:ascii="宋体" w:eastAsia="宋体" w:hAnsi="宋体" w:cs="宋体"/>
                <w:spacing w:val="-2"/>
                <w:sz w:val="16"/>
                <w:szCs w:val="16"/>
              </w:rPr>
              <w:t>2780</w:t>
            </w:r>
          </w:p>
        </w:tc>
        <w:tc>
          <w:tcPr>
            <w:tcW w:w="1090" w:type="dxa"/>
            <w:tcBorders>
              <w:bottom w:val="single" w:sz="4" w:space="0" w:color="000000"/>
            </w:tcBorders>
          </w:tcPr>
          <w:p w:rsidR="00EA40A3" w:rsidRDefault="00E86C16">
            <w:pPr>
              <w:spacing w:before="94" w:line="171" w:lineRule="auto"/>
              <w:ind w:left="330"/>
              <w:rPr>
                <w:rFonts w:ascii="宋体" w:eastAsia="宋体" w:hAnsi="宋体" w:cs="宋体"/>
                <w:sz w:val="16"/>
                <w:szCs w:val="16"/>
              </w:rPr>
            </w:pPr>
            <w:r>
              <w:rPr>
                <w:rFonts w:ascii="宋体" w:eastAsia="宋体" w:hAnsi="宋体" w:cs="宋体"/>
                <w:spacing w:val="-3"/>
                <w:sz w:val="16"/>
                <w:szCs w:val="16"/>
              </w:rPr>
              <w:t>11630</w:t>
            </w:r>
          </w:p>
        </w:tc>
      </w:tr>
    </w:tbl>
    <w:p w:rsidR="00EA40A3" w:rsidRDefault="00E86C16">
      <w:pPr>
        <w:spacing w:before="106" w:line="214" w:lineRule="auto"/>
        <w:ind w:left="339"/>
        <w:rPr>
          <w:rFonts w:ascii="宋体" w:eastAsia="宋体" w:hAnsi="宋体" w:cs="宋体"/>
          <w:sz w:val="17"/>
          <w:szCs w:val="17"/>
        </w:rPr>
      </w:pPr>
      <w:r>
        <w:rPr>
          <w:rFonts w:ascii="宋体" w:eastAsia="宋体" w:hAnsi="宋体" w:cs="宋体"/>
          <w:spacing w:val="-8"/>
          <w:sz w:val="17"/>
          <w:szCs w:val="17"/>
        </w:rPr>
        <w:t>注：25岁，体重58kg,身高1.6m,BMI22.4,</w:t>
      </w:r>
      <w:r>
        <w:rPr>
          <w:rFonts w:ascii="宋体" w:eastAsia="宋体" w:hAnsi="宋体" w:cs="宋体"/>
          <w:spacing w:val="-3"/>
          <w:sz w:val="17"/>
          <w:szCs w:val="17"/>
        </w:rPr>
        <w:t xml:space="preserve"> </w:t>
      </w:r>
      <w:r>
        <w:rPr>
          <w:rFonts w:ascii="宋体" w:eastAsia="宋体" w:hAnsi="宋体" w:cs="宋体"/>
          <w:spacing w:val="-8"/>
          <w:sz w:val="17"/>
          <w:szCs w:val="17"/>
        </w:rPr>
        <w:t>估计每小时基础代谢的能量消耗的27</w:t>
      </w:r>
      <w:r>
        <w:rPr>
          <w:rFonts w:ascii="宋体" w:eastAsia="宋体" w:hAnsi="宋体" w:cs="宋体"/>
          <w:spacing w:val="-9"/>
          <w:sz w:val="17"/>
          <w:szCs w:val="17"/>
        </w:rPr>
        <w:t>3</w:t>
      </w:r>
      <w:r>
        <w:rPr>
          <w:rFonts w:ascii="宋体" w:eastAsia="宋体" w:hAnsi="宋体" w:cs="宋体"/>
          <w:spacing w:val="-8"/>
          <w:sz w:val="17"/>
          <w:szCs w:val="17"/>
        </w:rPr>
        <w:t>kJ</w:t>
      </w:r>
      <w:r>
        <w:rPr>
          <w:rFonts w:ascii="宋体" w:eastAsia="宋体" w:hAnsi="宋体" w:cs="宋体"/>
          <w:spacing w:val="-9"/>
          <w:sz w:val="17"/>
          <w:szCs w:val="17"/>
        </w:rPr>
        <w:t>(65</w:t>
      </w:r>
      <w:r>
        <w:rPr>
          <w:rFonts w:ascii="宋体" w:eastAsia="宋体" w:hAnsi="宋体" w:cs="宋体"/>
          <w:spacing w:val="-8"/>
          <w:sz w:val="17"/>
          <w:szCs w:val="17"/>
        </w:rPr>
        <w:t>kcal</w:t>
      </w:r>
      <w:r>
        <w:rPr>
          <w:rFonts w:ascii="宋体" w:eastAsia="宋体" w:hAnsi="宋体" w:cs="宋体"/>
          <w:spacing w:val="-9"/>
          <w:sz w:val="17"/>
          <w:szCs w:val="17"/>
        </w:rPr>
        <w:t>)/h</w:t>
      </w:r>
    </w:p>
    <w:p w:rsidR="00EA40A3" w:rsidRDefault="00E86C16">
      <w:pPr>
        <w:spacing w:before="42" w:line="214" w:lineRule="auto"/>
        <w:ind w:left="339"/>
        <w:rPr>
          <w:rFonts w:ascii="宋体" w:eastAsia="宋体" w:hAnsi="宋体" w:cs="宋体"/>
          <w:sz w:val="17"/>
          <w:szCs w:val="17"/>
        </w:rPr>
      </w:pPr>
      <w:r>
        <w:rPr>
          <w:rFonts w:ascii="宋体" w:eastAsia="宋体" w:hAnsi="宋体" w:cs="宋体"/>
          <w:spacing w:val="-10"/>
          <w:sz w:val="17"/>
          <w:szCs w:val="17"/>
        </w:rPr>
        <w:t>资料来源：FAO/WHO/UNU</w:t>
      </w:r>
      <w:r>
        <w:rPr>
          <w:rFonts w:ascii="宋体" w:eastAsia="宋体" w:hAnsi="宋体" w:cs="宋体"/>
          <w:spacing w:val="11"/>
          <w:sz w:val="17"/>
          <w:szCs w:val="17"/>
        </w:rPr>
        <w:t xml:space="preserve"> </w:t>
      </w:r>
      <w:r>
        <w:rPr>
          <w:rFonts w:ascii="宋体" w:eastAsia="宋体" w:hAnsi="宋体" w:cs="宋体"/>
          <w:spacing w:val="-10"/>
          <w:sz w:val="17"/>
          <w:szCs w:val="17"/>
        </w:rPr>
        <w:t>report</w:t>
      </w:r>
      <w:r>
        <w:rPr>
          <w:rFonts w:ascii="宋体" w:eastAsia="宋体" w:hAnsi="宋体" w:cs="宋体"/>
          <w:sz w:val="17"/>
          <w:szCs w:val="17"/>
        </w:rPr>
        <w:t xml:space="preserve"> </w:t>
      </w:r>
      <w:r>
        <w:rPr>
          <w:rFonts w:ascii="宋体" w:eastAsia="宋体" w:hAnsi="宋体" w:cs="宋体"/>
          <w:spacing w:val="-10"/>
          <w:sz w:val="17"/>
          <w:szCs w:val="17"/>
        </w:rPr>
        <w:t>on</w:t>
      </w:r>
      <w:r>
        <w:rPr>
          <w:rFonts w:ascii="宋体" w:eastAsia="宋体" w:hAnsi="宋体" w:cs="宋体"/>
          <w:spacing w:val="3"/>
          <w:sz w:val="17"/>
          <w:szCs w:val="17"/>
        </w:rPr>
        <w:t xml:space="preserve"> </w:t>
      </w:r>
      <w:r>
        <w:rPr>
          <w:rFonts w:ascii="宋体" w:eastAsia="宋体" w:hAnsi="宋体" w:cs="宋体"/>
          <w:spacing w:val="-10"/>
          <w:sz w:val="17"/>
          <w:szCs w:val="17"/>
        </w:rPr>
        <w:t>energy</w:t>
      </w:r>
      <w:r>
        <w:rPr>
          <w:rFonts w:ascii="宋体" w:eastAsia="宋体" w:hAnsi="宋体" w:cs="宋体"/>
          <w:spacing w:val="-1"/>
          <w:sz w:val="17"/>
          <w:szCs w:val="17"/>
        </w:rPr>
        <w:t xml:space="preserve"> </w:t>
      </w:r>
      <w:r>
        <w:rPr>
          <w:rFonts w:ascii="宋体" w:eastAsia="宋体" w:hAnsi="宋体" w:cs="宋体"/>
          <w:spacing w:val="-10"/>
          <w:sz w:val="17"/>
          <w:szCs w:val="17"/>
        </w:rPr>
        <w:t>and</w:t>
      </w:r>
      <w:r>
        <w:rPr>
          <w:rFonts w:ascii="宋体" w:eastAsia="宋体" w:hAnsi="宋体" w:cs="宋体"/>
          <w:spacing w:val="-3"/>
          <w:sz w:val="17"/>
          <w:szCs w:val="17"/>
        </w:rPr>
        <w:t xml:space="preserve"> </w:t>
      </w:r>
      <w:r>
        <w:rPr>
          <w:rFonts w:ascii="宋体" w:eastAsia="宋体" w:hAnsi="宋体" w:cs="宋体"/>
          <w:spacing w:val="-10"/>
          <w:sz w:val="17"/>
          <w:szCs w:val="17"/>
        </w:rPr>
        <w:t>protein</w:t>
      </w:r>
      <w:r>
        <w:rPr>
          <w:rFonts w:ascii="宋体" w:eastAsia="宋体" w:hAnsi="宋体" w:cs="宋体"/>
          <w:spacing w:val="-2"/>
          <w:sz w:val="17"/>
          <w:szCs w:val="17"/>
        </w:rPr>
        <w:t xml:space="preserve"> </w:t>
      </w:r>
      <w:r>
        <w:rPr>
          <w:rFonts w:ascii="宋体" w:eastAsia="宋体" w:hAnsi="宋体" w:cs="宋体"/>
          <w:spacing w:val="-10"/>
          <w:sz w:val="17"/>
          <w:szCs w:val="17"/>
        </w:rPr>
        <w:t>requirement</w:t>
      </w:r>
    </w:p>
    <w:p w:rsidR="00EA40A3" w:rsidRDefault="00EA40A3">
      <w:pPr>
        <w:spacing w:line="241" w:lineRule="auto"/>
      </w:pPr>
    </w:p>
    <w:p w:rsidR="00EA40A3" w:rsidRDefault="00E86C16">
      <w:pPr>
        <w:spacing w:before="76" w:line="219" w:lineRule="auto"/>
        <w:ind w:left="3"/>
        <w:outlineLvl w:val="6"/>
        <w:rPr>
          <w:rFonts w:ascii="宋体" w:eastAsia="宋体" w:hAnsi="宋体" w:cs="宋体"/>
          <w:sz w:val="23"/>
          <w:szCs w:val="23"/>
        </w:rPr>
      </w:pPr>
      <w:r>
        <w:rPr>
          <w:rFonts w:ascii="宋体" w:eastAsia="宋体" w:hAnsi="宋体" w:cs="宋体"/>
          <w:b/>
          <w:bCs/>
          <w:spacing w:val="1"/>
          <w:sz w:val="23"/>
          <w:szCs w:val="23"/>
        </w:rPr>
        <w:t>3.1.4</w:t>
      </w:r>
      <w:r>
        <w:rPr>
          <w:rFonts w:ascii="宋体" w:eastAsia="宋体" w:hAnsi="宋体" w:cs="宋体"/>
          <w:spacing w:val="34"/>
          <w:sz w:val="23"/>
          <w:szCs w:val="23"/>
        </w:rPr>
        <w:t xml:space="preserve">  </w:t>
      </w:r>
      <w:r>
        <w:rPr>
          <w:rFonts w:ascii="宋体" w:eastAsia="宋体" w:hAnsi="宋体" w:cs="宋体"/>
          <w:b/>
          <w:bCs/>
          <w:spacing w:val="1"/>
          <w:sz w:val="23"/>
          <w:szCs w:val="23"/>
        </w:rPr>
        <w:t>能量代谢失衡</w:t>
      </w:r>
    </w:p>
    <w:p w:rsidR="00EA40A3" w:rsidRDefault="00E86C16">
      <w:pPr>
        <w:spacing w:before="177" w:line="237" w:lineRule="auto"/>
        <w:ind w:firstLine="339"/>
        <w:jc w:val="both"/>
        <w:rPr>
          <w:rFonts w:ascii="宋体" w:eastAsia="宋体" w:hAnsi="宋体" w:cs="宋体"/>
          <w:sz w:val="23"/>
          <w:szCs w:val="23"/>
        </w:rPr>
      </w:pPr>
      <w:r>
        <w:rPr>
          <w:rFonts w:ascii="宋体" w:eastAsia="宋体" w:hAnsi="宋体" w:cs="宋体"/>
          <w:spacing w:val="-22"/>
          <w:sz w:val="23"/>
          <w:szCs w:val="23"/>
        </w:rPr>
        <w:t>在食物充足的情况下，正常成人可自动调节并能有效地从食物中摄</w:t>
      </w:r>
      <w:r>
        <w:rPr>
          <w:rFonts w:ascii="宋体" w:eastAsia="宋体" w:hAnsi="宋体" w:cs="宋体"/>
          <w:spacing w:val="-23"/>
          <w:sz w:val="23"/>
          <w:szCs w:val="23"/>
        </w:rPr>
        <w:t>取自身消</w:t>
      </w:r>
      <w:r>
        <w:rPr>
          <w:rFonts w:ascii="宋体" w:eastAsia="宋体" w:hAnsi="宋体" w:cs="宋体"/>
          <w:sz w:val="23"/>
          <w:szCs w:val="23"/>
        </w:rPr>
        <w:t xml:space="preserve">  </w:t>
      </w:r>
      <w:r>
        <w:rPr>
          <w:rFonts w:ascii="宋体" w:eastAsia="宋体" w:hAnsi="宋体" w:cs="宋体"/>
          <w:spacing w:val="-20"/>
          <w:sz w:val="23"/>
          <w:szCs w:val="23"/>
        </w:rPr>
        <w:t>耗所需的能量，以维持人体能量代谢平衡。如果受客观条件及主观</w:t>
      </w:r>
      <w:r>
        <w:rPr>
          <w:rFonts w:ascii="宋体" w:eastAsia="宋体" w:hAnsi="宋体" w:cs="宋体"/>
          <w:spacing w:val="-21"/>
          <w:sz w:val="23"/>
          <w:szCs w:val="23"/>
        </w:rPr>
        <w:t>因素的影响，</w:t>
      </w:r>
      <w:r>
        <w:rPr>
          <w:rFonts w:ascii="宋体" w:eastAsia="宋体" w:hAnsi="宋体" w:cs="宋体"/>
          <w:sz w:val="23"/>
          <w:szCs w:val="23"/>
        </w:rPr>
        <w:t xml:space="preserve"> </w:t>
      </w:r>
      <w:r>
        <w:rPr>
          <w:rFonts w:ascii="宋体" w:eastAsia="宋体" w:hAnsi="宋体" w:cs="宋体"/>
          <w:spacing w:val="-21"/>
          <w:w w:val="99"/>
          <w:sz w:val="23"/>
          <w:szCs w:val="23"/>
        </w:rPr>
        <w:t>造成能量摄取量长期低于或高于消耗量，人体会处于能量失衡状态，首先反映到</w:t>
      </w:r>
      <w:r>
        <w:rPr>
          <w:rFonts w:ascii="宋体" w:eastAsia="宋体" w:hAnsi="宋体" w:cs="宋体"/>
          <w:spacing w:val="4"/>
          <w:sz w:val="23"/>
          <w:szCs w:val="23"/>
        </w:rPr>
        <w:t xml:space="preserve">  </w:t>
      </w:r>
      <w:r>
        <w:rPr>
          <w:rFonts w:ascii="宋体" w:eastAsia="宋体" w:hAnsi="宋体" w:cs="宋体"/>
          <w:spacing w:val="-23"/>
          <w:sz w:val="23"/>
          <w:szCs w:val="23"/>
        </w:rPr>
        <w:t>体重的变化，进而发展到影响健康，因此维持能量平衡和理想体重是人体处于良</w:t>
      </w:r>
      <w:r>
        <w:rPr>
          <w:rFonts w:ascii="宋体" w:eastAsia="宋体" w:hAnsi="宋体" w:cs="宋体"/>
          <w:sz w:val="23"/>
          <w:szCs w:val="23"/>
        </w:rPr>
        <w:t xml:space="preserve">  </w:t>
      </w:r>
      <w:r>
        <w:rPr>
          <w:rFonts w:ascii="宋体" w:eastAsia="宋体" w:hAnsi="宋体" w:cs="宋体"/>
          <w:spacing w:val="-24"/>
          <w:sz w:val="23"/>
          <w:szCs w:val="23"/>
        </w:rPr>
        <w:t>好营养状态的前提。</w:t>
      </w:r>
    </w:p>
    <w:p w:rsidR="00EA40A3" w:rsidRDefault="00E86C16">
      <w:pPr>
        <w:spacing w:before="215" w:line="222" w:lineRule="auto"/>
        <w:rPr>
          <w:rFonts w:ascii="仿宋" w:eastAsia="仿宋" w:hAnsi="仿宋" w:cs="仿宋"/>
          <w:sz w:val="23"/>
          <w:szCs w:val="23"/>
        </w:rPr>
      </w:pPr>
      <w:r>
        <w:rPr>
          <w:rFonts w:ascii="仿宋" w:eastAsia="仿宋" w:hAnsi="仿宋" w:cs="仿宋"/>
          <w:sz w:val="23"/>
          <w:szCs w:val="23"/>
        </w:rPr>
        <w:t>1.</w:t>
      </w:r>
      <w:r>
        <w:rPr>
          <w:rFonts w:ascii="仿宋" w:eastAsia="仿宋" w:hAnsi="仿宋" w:cs="仿宋"/>
          <w:spacing w:val="-40"/>
          <w:sz w:val="23"/>
          <w:szCs w:val="23"/>
        </w:rPr>
        <w:t xml:space="preserve"> </w:t>
      </w:r>
      <w:r>
        <w:rPr>
          <w:rFonts w:ascii="仿宋" w:eastAsia="仿宋" w:hAnsi="仿宋" w:cs="仿宋"/>
          <w:sz w:val="23"/>
          <w:szCs w:val="23"/>
        </w:rPr>
        <w:t>体重评价方法</w:t>
      </w:r>
    </w:p>
    <w:p w:rsidR="00EA40A3" w:rsidRDefault="00E86C16">
      <w:pPr>
        <w:spacing w:before="174" w:line="236" w:lineRule="auto"/>
        <w:ind w:right="105" w:firstLine="339"/>
        <w:jc w:val="both"/>
        <w:rPr>
          <w:rFonts w:ascii="宋体" w:eastAsia="宋体" w:hAnsi="宋体" w:cs="宋体"/>
          <w:sz w:val="23"/>
          <w:szCs w:val="23"/>
        </w:rPr>
      </w:pPr>
      <w:r>
        <w:rPr>
          <w:rFonts w:ascii="宋体" w:eastAsia="宋体" w:hAnsi="宋体" w:cs="宋体"/>
          <w:spacing w:val="-23"/>
          <w:sz w:val="23"/>
          <w:szCs w:val="23"/>
        </w:rPr>
        <w:t>常用评价体重的方法来评价能量平衡，在营养调查中通常将体重、皮褶厚度</w:t>
      </w:r>
      <w:r>
        <w:rPr>
          <w:rFonts w:ascii="宋体" w:eastAsia="宋体" w:hAnsi="宋体" w:cs="宋体"/>
          <w:sz w:val="23"/>
          <w:szCs w:val="23"/>
        </w:rPr>
        <w:t xml:space="preserve"> </w:t>
      </w:r>
      <w:r>
        <w:rPr>
          <w:rFonts w:ascii="宋体" w:eastAsia="宋体" w:hAnsi="宋体" w:cs="宋体"/>
          <w:spacing w:val="-17"/>
          <w:sz w:val="23"/>
          <w:szCs w:val="23"/>
        </w:rPr>
        <w:t>或测定脂肪与其他组织的相对构成来综合评价人体的胖瘦程度。常用体</w:t>
      </w:r>
      <w:r>
        <w:rPr>
          <w:rFonts w:ascii="宋体" w:eastAsia="宋体" w:hAnsi="宋体" w:cs="宋体"/>
          <w:spacing w:val="-18"/>
          <w:sz w:val="23"/>
          <w:szCs w:val="23"/>
        </w:rPr>
        <w:t>质指数</w:t>
      </w:r>
      <w:r>
        <w:rPr>
          <w:rFonts w:ascii="宋体" w:eastAsia="宋体" w:hAnsi="宋体" w:cs="宋体"/>
          <w:sz w:val="23"/>
          <w:szCs w:val="23"/>
        </w:rPr>
        <w:t xml:space="preserve"> </w:t>
      </w:r>
      <w:r>
        <w:rPr>
          <w:rFonts w:ascii="宋体" w:eastAsia="宋体" w:hAnsi="宋体" w:cs="宋体"/>
          <w:spacing w:val="-6"/>
          <w:sz w:val="23"/>
          <w:szCs w:val="23"/>
        </w:rPr>
        <w:t>(body</w:t>
      </w:r>
      <w:r>
        <w:rPr>
          <w:rFonts w:ascii="宋体" w:eastAsia="宋体" w:hAnsi="宋体" w:cs="宋体"/>
          <w:spacing w:val="30"/>
          <w:sz w:val="23"/>
          <w:szCs w:val="23"/>
        </w:rPr>
        <w:t xml:space="preserve"> </w:t>
      </w:r>
      <w:r>
        <w:rPr>
          <w:rFonts w:ascii="宋体" w:eastAsia="宋体" w:hAnsi="宋体" w:cs="宋体"/>
          <w:spacing w:val="-6"/>
          <w:sz w:val="23"/>
          <w:szCs w:val="23"/>
        </w:rPr>
        <w:t>mass</w:t>
      </w:r>
      <w:r>
        <w:rPr>
          <w:rFonts w:ascii="宋体" w:eastAsia="宋体" w:hAnsi="宋体" w:cs="宋体"/>
          <w:spacing w:val="51"/>
          <w:sz w:val="23"/>
          <w:szCs w:val="23"/>
        </w:rPr>
        <w:t xml:space="preserve"> </w:t>
      </w:r>
      <w:r>
        <w:rPr>
          <w:rFonts w:ascii="宋体" w:eastAsia="宋体" w:hAnsi="宋体" w:cs="宋体"/>
          <w:spacing w:val="-6"/>
          <w:sz w:val="23"/>
          <w:szCs w:val="23"/>
        </w:rPr>
        <w:t>index,BM1)</w:t>
      </w:r>
      <w:r>
        <w:rPr>
          <w:rFonts w:ascii="宋体" w:eastAsia="宋体" w:hAnsi="宋体" w:cs="宋体"/>
          <w:spacing w:val="-36"/>
          <w:sz w:val="23"/>
          <w:szCs w:val="23"/>
        </w:rPr>
        <w:t xml:space="preserve"> </w:t>
      </w:r>
      <w:r>
        <w:rPr>
          <w:rFonts w:ascii="宋体" w:eastAsia="宋体" w:hAnsi="宋体" w:cs="宋体"/>
          <w:spacing w:val="-6"/>
          <w:sz w:val="23"/>
          <w:szCs w:val="23"/>
        </w:rPr>
        <w:t>评价体重，</w:t>
      </w:r>
      <w:r>
        <w:rPr>
          <w:rFonts w:ascii="宋体" w:eastAsia="宋体" w:hAnsi="宋体" w:cs="宋体"/>
          <w:spacing w:val="15"/>
          <w:sz w:val="23"/>
          <w:szCs w:val="23"/>
        </w:rPr>
        <w:t xml:space="preserve"> </w:t>
      </w:r>
      <w:r>
        <w:rPr>
          <w:rFonts w:ascii="宋体" w:eastAsia="宋体" w:hAnsi="宋体" w:cs="宋体"/>
          <w:spacing w:val="-6"/>
          <w:sz w:val="23"/>
          <w:szCs w:val="23"/>
        </w:rPr>
        <w:t>BMI</w:t>
      </w:r>
      <w:r>
        <w:rPr>
          <w:rFonts w:ascii="宋体" w:eastAsia="宋体" w:hAnsi="宋体" w:cs="宋体"/>
          <w:spacing w:val="-7"/>
          <w:sz w:val="23"/>
          <w:szCs w:val="23"/>
        </w:rPr>
        <w:t>=</w:t>
      </w:r>
      <w:r>
        <w:rPr>
          <w:rFonts w:ascii="宋体" w:eastAsia="宋体" w:hAnsi="宋体" w:cs="宋体"/>
          <w:spacing w:val="47"/>
          <w:sz w:val="23"/>
          <w:szCs w:val="23"/>
        </w:rPr>
        <w:t xml:space="preserve">  </w:t>
      </w:r>
      <w:r>
        <w:rPr>
          <w:rFonts w:ascii="宋体" w:eastAsia="宋体" w:hAnsi="宋体" w:cs="宋体"/>
          <w:spacing w:val="-7"/>
          <w:sz w:val="23"/>
          <w:szCs w:val="23"/>
        </w:rPr>
        <w:t>体重</w:t>
      </w:r>
      <w:r>
        <w:rPr>
          <w:rFonts w:ascii="宋体" w:eastAsia="宋体" w:hAnsi="宋体" w:cs="宋体"/>
          <w:spacing w:val="-46"/>
          <w:sz w:val="23"/>
          <w:szCs w:val="23"/>
        </w:rPr>
        <w:t xml:space="preserve"> </w:t>
      </w:r>
      <w:r>
        <w:rPr>
          <w:rFonts w:ascii="宋体" w:eastAsia="宋体" w:hAnsi="宋体" w:cs="宋体"/>
          <w:spacing w:val="-7"/>
          <w:sz w:val="23"/>
          <w:szCs w:val="23"/>
        </w:rPr>
        <w:t>(</w:t>
      </w:r>
      <w:r>
        <w:rPr>
          <w:rFonts w:ascii="宋体" w:eastAsia="宋体" w:hAnsi="宋体" w:cs="宋体"/>
          <w:spacing w:val="-6"/>
          <w:sz w:val="23"/>
          <w:szCs w:val="23"/>
        </w:rPr>
        <w:t>kg</w:t>
      </w:r>
      <w:r>
        <w:rPr>
          <w:rFonts w:ascii="宋体" w:eastAsia="宋体" w:hAnsi="宋体" w:cs="宋体"/>
          <w:spacing w:val="-7"/>
          <w:sz w:val="23"/>
          <w:szCs w:val="23"/>
        </w:rPr>
        <w:t>)/</w:t>
      </w:r>
      <w:r>
        <w:rPr>
          <w:rFonts w:ascii="宋体" w:eastAsia="宋体" w:hAnsi="宋体" w:cs="宋体"/>
          <w:spacing w:val="-61"/>
          <w:sz w:val="23"/>
          <w:szCs w:val="23"/>
        </w:rPr>
        <w:t xml:space="preserve"> </w:t>
      </w:r>
      <w:r>
        <w:rPr>
          <w:rFonts w:ascii="宋体" w:eastAsia="宋体" w:hAnsi="宋体" w:cs="宋体"/>
          <w:spacing w:val="-7"/>
          <w:sz w:val="23"/>
          <w:szCs w:val="23"/>
        </w:rPr>
        <w:t>[身高</w:t>
      </w:r>
      <w:r>
        <w:rPr>
          <w:rFonts w:ascii="宋体" w:eastAsia="宋体" w:hAnsi="宋体" w:cs="宋体"/>
          <w:spacing w:val="-65"/>
          <w:sz w:val="23"/>
          <w:szCs w:val="23"/>
        </w:rPr>
        <w:t xml:space="preserve"> </w:t>
      </w:r>
      <w:r>
        <w:rPr>
          <w:rFonts w:ascii="宋体" w:eastAsia="宋体" w:hAnsi="宋体" w:cs="宋体"/>
          <w:spacing w:val="-7"/>
          <w:sz w:val="23"/>
          <w:szCs w:val="23"/>
        </w:rPr>
        <w:t>(m)]²,</w:t>
      </w:r>
      <w:r>
        <w:rPr>
          <w:rFonts w:ascii="宋体" w:eastAsia="宋体" w:hAnsi="宋体" w:cs="宋体"/>
          <w:spacing w:val="65"/>
          <w:sz w:val="23"/>
          <w:szCs w:val="23"/>
        </w:rPr>
        <w:t xml:space="preserve"> </w:t>
      </w:r>
      <w:r>
        <w:rPr>
          <w:rFonts w:ascii="宋体" w:eastAsia="宋体" w:hAnsi="宋体" w:cs="宋体"/>
          <w:spacing w:val="-7"/>
          <w:sz w:val="23"/>
          <w:szCs w:val="23"/>
        </w:rPr>
        <w:t>见</w:t>
      </w:r>
      <w:r>
        <w:rPr>
          <w:rFonts w:ascii="宋体" w:eastAsia="宋体" w:hAnsi="宋体" w:cs="宋体"/>
          <w:sz w:val="23"/>
          <w:szCs w:val="23"/>
        </w:rPr>
        <w:t xml:space="preserve"> </w:t>
      </w:r>
      <w:r>
        <w:rPr>
          <w:rFonts w:ascii="宋体" w:eastAsia="宋体" w:hAnsi="宋体" w:cs="宋体"/>
          <w:spacing w:val="-12"/>
          <w:sz w:val="23"/>
          <w:szCs w:val="23"/>
        </w:rPr>
        <w:t>11.3.2节。</w:t>
      </w:r>
    </w:p>
    <w:p w:rsidR="00EA40A3" w:rsidRDefault="00E86C16">
      <w:pPr>
        <w:spacing w:before="212" w:line="222" w:lineRule="auto"/>
        <w:rPr>
          <w:rFonts w:ascii="仿宋" w:eastAsia="仿宋" w:hAnsi="仿宋" w:cs="仿宋"/>
          <w:sz w:val="23"/>
          <w:szCs w:val="23"/>
        </w:rPr>
      </w:pPr>
      <w:r>
        <w:rPr>
          <w:rFonts w:ascii="仿宋" w:eastAsia="仿宋" w:hAnsi="仿宋" w:cs="仿宋"/>
          <w:spacing w:val="-10"/>
          <w:sz w:val="23"/>
          <w:szCs w:val="23"/>
        </w:rPr>
        <w:t>2.</w:t>
      </w:r>
      <w:r>
        <w:rPr>
          <w:rFonts w:ascii="仿宋" w:eastAsia="仿宋" w:hAnsi="仿宋" w:cs="仿宋"/>
          <w:spacing w:val="15"/>
          <w:sz w:val="23"/>
          <w:szCs w:val="23"/>
        </w:rPr>
        <w:t xml:space="preserve"> </w:t>
      </w:r>
      <w:r>
        <w:rPr>
          <w:rFonts w:ascii="仿宋" w:eastAsia="仿宋" w:hAnsi="仿宋" w:cs="仿宋"/>
          <w:spacing w:val="-10"/>
          <w:sz w:val="23"/>
          <w:szCs w:val="23"/>
        </w:rPr>
        <w:t>能量不足</w:t>
      </w:r>
    </w:p>
    <w:p w:rsidR="00EA40A3" w:rsidRDefault="00E86C16">
      <w:pPr>
        <w:spacing w:before="173" w:line="236" w:lineRule="auto"/>
        <w:ind w:right="83" w:firstLine="339"/>
        <w:jc w:val="both"/>
        <w:rPr>
          <w:rFonts w:ascii="宋体" w:eastAsia="宋体" w:hAnsi="宋体" w:cs="宋体"/>
          <w:sz w:val="23"/>
          <w:szCs w:val="23"/>
        </w:rPr>
      </w:pPr>
      <w:r>
        <w:rPr>
          <w:rFonts w:ascii="宋体" w:eastAsia="宋体" w:hAnsi="宋体" w:cs="宋体"/>
          <w:spacing w:val="-23"/>
          <w:sz w:val="23"/>
          <w:szCs w:val="23"/>
        </w:rPr>
        <w:t>如果能量长期摄入不足，人体就动用机体储存的糖原及脂肪甚至蛋白质</w:t>
      </w:r>
      <w:r>
        <w:rPr>
          <w:rFonts w:ascii="宋体" w:eastAsia="宋体" w:hAnsi="宋体" w:cs="宋体"/>
          <w:spacing w:val="-24"/>
          <w:sz w:val="23"/>
          <w:szCs w:val="23"/>
        </w:rPr>
        <w:t>，发</w:t>
      </w:r>
      <w:r>
        <w:rPr>
          <w:rFonts w:ascii="宋体" w:eastAsia="宋体" w:hAnsi="宋体" w:cs="宋体"/>
          <w:sz w:val="23"/>
          <w:szCs w:val="23"/>
        </w:rPr>
        <w:t xml:space="preserve"> </w:t>
      </w:r>
      <w:r>
        <w:rPr>
          <w:rFonts w:ascii="宋体" w:eastAsia="宋体" w:hAnsi="宋体" w:cs="宋体"/>
          <w:spacing w:val="-23"/>
          <w:sz w:val="23"/>
          <w:szCs w:val="23"/>
        </w:rPr>
        <w:t>生蛋白质能量营养不良，主要临床表现为消瘦、贫血、神经衰弱、皮肤干燥、脉</w:t>
      </w:r>
      <w:r>
        <w:rPr>
          <w:rFonts w:ascii="宋体" w:eastAsia="宋体" w:hAnsi="宋体" w:cs="宋体"/>
          <w:spacing w:val="12"/>
          <w:sz w:val="23"/>
          <w:szCs w:val="23"/>
        </w:rPr>
        <w:t xml:space="preserve"> </w:t>
      </w:r>
      <w:r>
        <w:rPr>
          <w:rFonts w:ascii="宋体" w:eastAsia="宋体" w:hAnsi="宋体" w:cs="宋体"/>
          <w:spacing w:val="-23"/>
          <w:sz w:val="23"/>
          <w:szCs w:val="23"/>
        </w:rPr>
        <w:t>搏缓慢、工作能力下降、体温低、抵抗力低，儿童出现生长迟缓等。因贫困及不</w:t>
      </w:r>
      <w:r>
        <w:rPr>
          <w:rFonts w:ascii="宋体" w:eastAsia="宋体" w:hAnsi="宋体" w:cs="宋体"/>
          <w:spacing w:val="15"/>
          <w:sz w:val="23"/>
          <w:szCs w:val="23"/>
        </w:rPr>
        <w:t xml:space="preserve"> </w:t>
      </w:r>
      <w:r>
        <w:rPr>
          <w:rFonts w:ascii="宋体" w:eastAsia="宋体" w:hAnsi="宋体" w:cs="宋体"/>
          <w:spacing w:val="-21"/>
          <w:w w:val="98"/>
          <w:sz w:val="23"/>
          <w:szCs w:val="23"/>
        </w:rPr>
        <w:t>合理喂养造成的儿童能量轻度缺乏较为常见。</w:t>
      </w:r>
    </w:p>
    <w:p w:rsidR="00EA40A3" w:rsidRDefault="00E86C16">
      <w:pPr>
        <w:spacing w:before="204" w:line="222" w:lineRule="auto"/>
        <w:rPr>
          <w:rFonts w:ascii="仿宋" w:eastAsia="仿宋" w:hAnsi="仿宋" w:cs="仿宋"/>
          <w:sz w:val="23"/>
          <w:szCs w:val="23"/>
        </w:rPr>
      </w:pPr>
      <w:r>
        <w:rPr>
          <w:rFonts w:ascii="仿宋" w:eastAsia="仿宋" w:hAnsi="仿宋" w:cs="仿宋"/>
          <w:spacing w:val="2"/>
          <w:sz w:val="23"/>
          <w:szCs w:val="23"/>
        </w:rPr>
        <w:t>3.</w:t>
      </w:r>
      <w:r>
        <w:rPr>
          <w:rFonts w:ascii="仿宋" w:eastAsia="仿宋" w:hAnsi="仿宋" w:cs="仿宋"/>
          <w:spacing w:val="-40"/>
          <w:sz w:val="23"/>
          <w:szCs w:val="23"/>
        </w:rPr>
        <w:t xml:space="preserve"> </w:t>
      </w:r>
      <w:r>
        <w:rPr>
          <w:rFonts w:ascii="仿宋" w:eastAsia="仿宋" w:hAnsi="仿宋" w:cs="仿宋"/>
          <w:spacing w:val="2"/>
          <w:sz w:val="23"/>
          <w:szCs w:val="23"/>
        </w:rPr>
        <w:t>能量过剩</w:t>
      </w:r>
    </w:p>
    <w:p w:rsidR="00EA40A3" w:rsidRDefault="00E86C16">
      <w:pPr>
        <w:spacing w:before="195" w:line="219" w:lineRule="auto"/>
        <w:ind w:left="339"/>
        <w:rPr>
          <w:rFonts w:ascii="宋体" w:eastAsia="宋体" w:hAnsi="宋体" w:cs="宋体"/>
          <w:sz w:val="23"/>
          <w:szCs w:val="23"/>
        </w:rPr>
      </w:pPr>
      <w:r>
        <w:rPr>
          <w:rFonts w:ascii="宋体" w:eastAsia="宋体" w:hAnsi="宋体" w:cs="宋体"/>
          <w:spacing w:val="-22"/>
          <w:sz w:val="23"/>
          <w:szCs w:val="23"/>
        </w:rPr>
        <w:t>长期能量摄入过多，会造成人体超重或肥胖，并</w:t>
      </w:r>
      <w:r>
        <w:rPr>
          <w:rFonts w:ascii="宋体" w:eastAsia="宋体" w:hAnsi="宋体" w:cs="宋体"/>
          <w:spacing w:val="-23"/>
          <w:sz w:val="23"/>
          <w:szCs w:val="23"/>
        </w:rPr>
        <w:t>发血糖升高，脂肪沉积，肝</w:t>
      </w:r>
    </w:p>
    <w:p w:rsidR="00EA40A3" w:rsidRDefault="00E86C16">
      <w:pPr>
        <w:spacing w:before="87" w:line="237" w:lineRule="auto"/>
        <w:rPr>
          <w:rFonts w:ascii="宋体" w:eastAsia="宋体" w:hAnsi="宋体" w:cs="宋体"/>
          <w:sz w:val="13"/>
          <w:szCs w:val="13"/>
        </w:rPr>
      </w:pPr>
      <w:r>
        <w:rPr>
          <w:rFonts w:ascii="宋体" w:eastAsia="宋体" w:hAnsi="宋体" w:cs="宋体"/>
          <w:spacing w:val="-14"/>
          <w:sz w:val="13"/>
          <w:szCs w:val="13"/>
        </w:rPr>
        <w:t>·</w:t>
      </w:r>
      <w:r>
        <w:rPr>
          <w:rFonts w:ascii="宋体" w:eastAsia="宋体" w:hAnsi="宋体" w:cs="宋体"/>
          <w:spacing w:val="44"/>
          <w:sz w:val="13"/>
          <w:szCs w:val="13"/>
        </w:rPr>
        <w:t xml:space="preserve"> </w:t>
      </w:r>
      <w:r>
        <w:rPr>
          <w:rFonts w:ascii="宋体" w:eastAsia="宋体" w:hAnsi="宋体" w:cs="宋体"/>
          <w:spacing w:val="-14"/>
          <w:sz w:val="13"/>
          <w:szCs w:val="13"/>
        </w:rPr>
        <w:t>44</w:t>
      </w:r>
      <w:r>
        <w:rPr>
          <w:rFonts w:ascii="宋体" w:eastAsia="宋体" w:hAnsi="宋体" w:cs="宋体"/>
          <w:spacing w:val="51"/>
          <w:sz w:val="13"/>
          <w:szCs w:val="13"/>
        </w:rPr>
        <w:t xml:space="preserve"> </w:t>
      </w:r>
      <w:r>
        <w:rPr>
          <w:rFonts w:ascii="宋体" w:eastAsia="宋体" w:hAnsi="宋体" w:cs="宋体"/>
          <w:spacing w:val="-14"/>
          <w:sz w:val="13"/>
          <w:szCs w:val="13"/>
        </w:rPr>
        <w:t>●</w:t>
      </w:r>
    </w:p>
    <w:p w:rsidR="00EA40A3" w:rsidRDefault="00EA40A3">
      <w:pPr>
        <w:sectPr w:rsidR="00EA40A3">
          <w:pgSz w:w="9340" w:h="13440"/>
          <w:pgMar w:top="400" w:right="1085" w:bottom="400" w:left="909" w:header="0" w:footer="0" w:gutter="0"/>
          <w:cols w:space="720"/>
        </w:sectPr>
      </w:pPr>
    </w:p>
    <w:p w:rsidR="00EA40A3" w:rsidRDefault="00EA40A3">
      <w:pPr>
        <w:spacing w:line="276" w:lineRule="auto"/>
      </w:pPr>
    </w:p>
    <w:p w:rsidR="00EA40A3" w:rsidRDefault="00EA40A3">
      <w:pPr>
        <w:spacing w:line="277" w:lineRule="auto"/>
      </w:pPr>
    </w:p>
    <w:p w:rsidR="00EA40A3" w:rsidRDefault="00E86C16">
      <w:pPr>
        <w:spacing w:before="72" w:line="250" w:lineRule="auto"/>
        <w:ind w:left="30" w:right="92"/>
        <w:jc w:val="both"/>
        <w:rPr>
          <w:rFonts w:ascii="宋体" w:eastAsia="宋体" w:hAnsi="宋体" w:cs="宋体"/>
          <w:sz w:val="22"/>
          <w:szCs w:val="22"/>
        </w:rPr>
      </w:pPr>
      <w:r>
        <w:rPr>
          <w:rFonts w:ascii="宋体" w:eastAsia="宋体" w:hAnsi="宋体" w:cs="宋体"/>
          <w:spacing w:val="-13"/>
          <w:sz w:val="22"/>
          <w:szCs w:val="22"/>
        </w:rPr>
        <w:t>脂增加，肝功能下降，出现脂肪肝、糖尿病、高血压、胆结石症、心脑血管疾</w:t>
      </w:r>
      <w:r>
        <w:rPr>
          <w:rFonts w:ascii="宋体" w:eastAsia="宋体" w:hAnsi="宋体" w:cs="宋体"/>
          <w:spacing w:val="-14"/>
          <w:sz w:val="22"/>
          <w:szCs w:val="22"/>
        </w:rPr>
        <w:t>病</w:t>
      </w:r>
      <w:r>
        <w:rPr>
          <w:rFonts w:ascii="宋体" w:eastAsia="宋体" w:hAnsi="宋体" w:cs="宋体"/>
          <w:sz w:val="22"/>
          <w:szCs w:val="22"/>
        </w:rPr>
        <w:t xml:space="preserve"> </w:t>
      </w:r>
      <w:r>
        <w:rPr>
          <w:rFonts w:ascii="宋体" w:eastAsia="宋体" w:hAnsi="宋体" w:cs="宋体"/>
          <w:spacing w:val="-13"/>
          <w:sz w:val="22"/>
          <w:szCs w:val="22"/>
        </w:rPr>
        <w:t>及某些癌症等多种并发症。伴随经济发展和生活水平的提高，</w:t>
      </w:r>
      <w:r>
        <w:rPr>
          <w:rFonts w:ascii="宋体" w:eastAsia="宋体" w:hAnsi="宋体" w:cs="宋体"/>
          <w:spacing w:val="-14"/>
          <w:sz w:val="22"/>
          <w:szCs w:val="22"/>
        </w:rPr>
        <w:t>能量摄入与体力活</w:t>
      </w:r>
      <w:r>
        <w:rPr>
          <w:rFonts w:ascii="宋体" w:eastAsia="宋体" w:hAnsi="宋体" w:cs="宋体"/>
          <w:sz w:val="22"/>
          <w:szCs w:val="22"/>
        </w:rPr>
        <w:t xml:space="preserve"> </w:t>
      </w:r>
      <w:r>
        <w:rPr>
          <w:rFonts w:ascii="宋体" w:eastAsia="宋体" w:hAnsi="宋体" w:cs="宋体"/>
          <w:spacing w:val="-13"/>
          <w:sz w:val="22"/>
          <w:szCs w:val="22"/>
        </w:rPr>
        <w:t>动的不平衡成为肥胖症及慢性病发病率增加的重要原因。控制肥胖的方法是控制</w:t>
      </w:r>
      <w:r>
        <w:rPr>
          <w:rFonts w:ascii="宋体" w:eastAsia="宋体" w:hAnsi="宋体" w:cs="宋体"/>
          <w:spacing w:val="1"/>
          <w:sz w:val="22"/>
          <w:szCs w:val="22"/>
        </w:rPr>
        <w:t xml:space="preserve"> </w:t>
      </w:r>
      <w:r>
        <w:rPr>
          <w:rFonts w:ascii="宋体" w:eastAsia="宋体" w:hAnsi="宋体" w:cs="宋体"/>
          <w:spacing w:val="-13"/>
          <w:sz w:val="22"/>
          <w:szCs w:val="22"/>
        </w:rPr>
        <w:t>饮食中的能量摄入和增加体力活动量。</w:t>
      </w:r>
    </w:p>
    <w:p w:rsidR="00EA40A3" w:rsidRDefault="00E86C16">
      <w:pPr>
        <w:spacing w:before="223" w:line="221" w:lineRule="auto"/>
        <w:ind w:left="33"/>
        <w:outlineLvl w:val="6"/>
        <w:rPr>
          <w:rFonts w:ascii="黑体" w:eastAsia="黑体" w:hAnsi="黑体" w:cs="黑体"/>
          <w:sz w:val="22"/>
          <w:szCs w:val="22"/>
        </w:rPr>
      </w:pPr>
      <w:r>
        <w:rPr>
          <w:rFonts w:ascii="黑体" w:eastAsia="黑体" w:hAnsi="黑体" w:cs="黑体"/>
          <w:b/>
          <w:bCs/>
          <w:spacing w:val="10"/>
          <w:sz w:val="22"/>
          <w:szCs w:val="22"/>
        </w:rPr>
        <w:t>3.1.5</w:t>
      </w:r>
      <w:r>
        <w:rPr>
          <w:rFonts w:ascii="黑体" w:eastAsia="黑体" w:hAnsi="黑体" w:cs="黑体"/>
          <w:spacing w:val="44"/>
          <w:sz w:val="22"/>
          <w:szCs w:val="22"/>
        </w:rPr>
        <w:t xml:space="preserve">  </w:t>
      </w:r>
      <w:r>
        <w:rPr>
          <w:rFonts w:ascii="黑体" w:eastAsia="黑体" w:hAnsi="黑体" w:cs="黑体"/>
          <w:b/>
          <w:bCs/>
          <w:spacing w:val="10"/>
          <w:sz w:val="22"/>
          <w:szCs w:val="22"/>
        </w:rPr>
        <w:t>能量的推荐摄入量及食物来源</w:t>
      </w:r>
    </w:p>
    <w:p w:rsidR="00EA40A3" w:rsidRDefault="00E86C16">
      <w:pPr>
        <w:spacing w:before="288" w:line="222" w:lineRule="auto"/>
        <w:ind w:left="30"/>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12"/>
          <w:sz w:val="22"/>
          <w:szCs w:val="22"/>
        </w:rPr>
        <w:t xml:space="preserve"> </w:t>
      </w:r>
      <w:r>
        <w:rPr>
          <w:rFonts w:ascii="仿宋" w:eastAsia="仿宋" w:hAnsi="仿宋" w:cs="仿宋"/>
          <w:spacing w:val="12"/>
          <w:sz w:val="22"/>
          <w:szCs w:val="22"/>
        </w:rPr>
        <w:t>能量的推荐摄入量</w:t>
      </w:r>
    </w:p>
    <w:p w:rsidR="00EA40A3" w:rsidRDefault="00E86C16">
      <w:pPr>
        <w:spacing w:before="192" w:line="255" w:lineRule="auto"/>
        <w:ind w:left="30" w:firstLine="439"/>
        <w:jc w:val="both"/>
        <w:rPr>
          <w:rFonts w:ascii="宋体" w:eastAsia="宋体" w:hAnsi="宋体" w:cs="宋体"/>
          <w:sz w:val="22"/>
          <w:szCs w:val="22"/>
        </w:rPr>
      </w:pPr>
      <w:r>
        <w:rPr>
          <w:rFonts w:ascii="宋体" w:eastAsia="宋体" w:hAnsi="宋体" w:cs="宋体"/>
          <w:spacing w:val="-13"/>
          <w:sz w:val="22"/>
          <w:szCs w:val="22"/>
        </w:rPr>
        <w:t>能量需要量是指维持机体正常生理功能所需要的能量，即能长时间保</w:t>
      </w:r>
      <w:r>
        <w:rPr>
          <w:rFonts w:ascii="宋体" w:eastAsia="宋体" w:hAnsi="宋体" w:cs="宋体"/>
          <w:spacing w:val="-14"/>
          <w:sz w:val="22"/>
          <w:szCs w:val="22"/>
        </w:rPr>
        <w:t>持良好</w:t>
      </w:r>
      <w:r>
        <w:rPr>
          <w:rFonts w:ascii="宋体" w:eastAsia="宋体" w:hAnsi="宋体" w:cs="宋体"/>
          <w:sz w:val="22"/>
          <w:szCs w:val="22"/>
        </w:rPr>
        <w:t xml:space="preserve"> </w:t>
      </w:r>
      <w:r>
        <w:rPr>
          <w:rFonts w:ascii="宋体" w:eastAsia="宋体" w:hAnsi="宋体" w:cs="宋体"/>
          <w:spacing w:val="-13"/>
          <w:sz w:val="22"/>
          <w:szCs w:val="22"/>
        </w:rPr>
        <w:t>的健康状况，具有良好的体形、机体构成和活动水平的个体达到能量</w:t>
      </w:r>
      <w:r>
        <w:rPr>
          <w:rFonts w:ascii="宋体" w:eastAsia="宋体" w:hAnsi="宋体" w:cs="宋体"/>
          <w:spacing w:val="-14"/>
          <w:sz w:val="22"/>
          <w:szCs w:val="22"/>
        </w:rPr>
        <w:t>平衡，并能</w:t>
      </w:r>
      <w:r>
        <w:rPr>
          <w:rFonts w:ascii="宋体" w:eastAsia="宋体" w:hAnsi="宋体" w:cs="宋体"/>
          <w:sz w:val="22"/>
          <w:szCs w:val="22"/>
        </w:rPr>
        <w:t xml:space="preserve">  </w:t>
      </w:r>
      <w:r>
        <w:rPr>
          <w:rFonts w:ascii="宋体" w:eastAsia="宋体" w:hAnsi="宋体" w:cs="宋体"/>
          <w:spacing w:val="-10"/>
          <w:sz w:val="22"/>
          <w:szCs w:val="22"/>
        </w:rPr>
        <w:t>胜任必要的经济和社会活动所必需的能量摄入。对于孕</w:t>
      </w:r>
      <w:r>
        <w:rPr>
          <w:rFonts w:ascii="宋体" w:eastAsia="宋体" w:hAnsi="宋体" w:cs="宋体"/>
          <w:spacing w:val="-11"/>
          <w:sz w:val="22"/>
          <w:szCs w:val="22"/>
        </w:rPr>
        <w:t>妇、乳母、儿童等人群，</w:t>
      </w:r>
      <w:r>
        <w:rPr>
          <w:rFonts w:ascii="宋体" w:eastAsia="宋体" w:hAnsi="宋体" w:cs="宋体"/>
          <w:sz w:val="22"/>
          <w:szCs w:val="22"/>
        </w:rPr>
        <w:t xml:space="preserve"> </w:t>
      </w:r>
      <w:r>
        <w:rPr>
          <w:rFonts w:ascii="宋体" w:eastAsia="宋体" w:hAnsi="宋体" w:cs="宋体"/>
          <w:spacing w:val="-12"/>
          <w:sz w:val="22"/>
          <w:szCs w:val="22"/>
        </w:rPr>
        <w:t>还包括满足组织生长和分泌乳汁的能量需要。对于体</w:t>
      </w:r>
      <w:r>
        <w:rPr>
          <w:rFonts w:ascii="宋体" w:eastAsia="宋体" w:hAnsi="宋体" w:cs="宋体"/>
          <w:spacing w:val="-13"/>
          <w:sz w:val="22"/>
          <w:szCs w:val="22"/>
        </w:rPr>
        <w:t>重稳定的成人个体，能有效</w:t>
      </w:r>
      <w:r>
        <w:rPr>
          <w:rFonts w:ascii="宋体" w:eastAsia="宋体" w:hAnsi="宋体" w:cs="宋体"/>
          <w:sz w:val="22"/>
          <w:szCs w:val="22"/>
        </w:rPr>
        <w:t xml:space="preserve"> </w:t>
      </w:r>
      <w:r>
        <w:rPr>
          <w:rFonts w:ascii="宋体" w:eastAsia="宋体" w:hAnsi="宋体" w:cs="宋体"/>
          <w:spacing w:val="-13"/>
          <w:sz w:val="22"/>
          <w:szCs w:val="22"/>
        </w:rPr>
        <w:t>自我调节食量摄入到自身需要量，其能量需要量应等于消耗量。</w:t>
      </w:r>
      <w:r>
        <w:rPr>
          <w:rFonts w:ascii="宋体" w:eastAsia="宋体" w:hAnsi="宋体" w:cs="宋体"/>
          <w:spacing w:val="-14"/>
          <w:sz w:val="22"/>
          <w:szCs w:val="22"/>
        </w:rPr>
        <w:t>能量的推荐摄入</w:t>
      </w:r>
      <w:r>
        <w:rPr>
          <w:rFonts w:ascii="宋体" w:eastAsia="宋体" w:hAnsi="宋体" w:cs="宋体"/>
          <w:sz w:val="22"/>
          <w:szCs w:val="22"/>
        </w:rPr>
        <w:t xml:space="preserve">  </w:t>
      </w:r>
      <w:r>
        <w:rPr>
          <w:rFonts w:ascii="宋体" w:eastAsia="宋体" w:hAnsi="宋体" w:cs="宋体"/>
          <w:spacing w:val="8"/>
          <w:sz w:val="22"/>
          <w:szCs w:val="22"/>
        </w:rPr>
        <w:t>量</w:t>
      </w:r>
      <w:r>
        <w:rPr>
          <w:rFonts w:ascii="宋体" w:eastAsia="宋体" w:hAnsi="宋体" w:cs="宋体"/>
          <w:spacing w:val="17"/>
          <w:sz w:val="22"/>
          <w:szCs w:val="22"/>
        </w:rPr>
        <w:t xml:space="preserve"> </w:t>
      </w:r>
      <w:r>
        <w:rPr>
          <w:rFonts w:ascii="宋体" w:eastAsia="宋体" w:hAnsi="宋体" w:cs="宋体"/>
          <w:spacing w:val="8"/>
          <w:sz w:val="22"/>
          <w:szCs w:val="22"/>
        </w:rPr>
        <w:t>(</w:t>
      </w:r>
      <w:r>
        <w:rPr>
          <w:rFonts w:ascii="宋体" w:eastAsia="宋体" w:hAnsi="宋体" w:cs="宋体"/>
          <w:sz w:val="22"/>
          <w:szCs w:val="22"/>
        </w:rPr>
        <w:t>DRI</w:t>
      </w:r>
      <w:r>
        <w:rPr>
          <w:rFonts w:ascii="宋体" w:eastAsia="宋体" w:hAnsi="宋体" w:cs="宋体"/>
          <w:spacing w:val="8"/>
          <w:sz w:val="22"/>
          <w:szCs w:val="22"/>
        </w:rPr>
        <w:t>)</w:t>
      </w:r>
      <w:r>
        <w:rPr>
          <w:rFonts w:ascii="宋体" w:eastAsia="宋体" w:hAnsi="宋体" w:cs="宋体"/>
          <w:spacing w:val="77"/>
          <w:sz w:val="22"/>
          <w:szCs w:val="22"/>
        </w:rPr>
        <w:t xml:space="preserve"> </w:t>
      </w:r>
      <w:r>
        <w:rPr>
          <w:rFonts w:ascii="宋体" w:eastAsia="宋体" w:hAnsi="宋体" w:cs="宋体"/>
          <w:spacing w:val="8"/>
          <w:sz w:val="22"/>
          <w:szCs w:val="22"/>
        </w:rPr>
        <w:t>与各类营养素的推荐摄入量</w:t>
      </w:r>
      <w:r>
        <w:rPr>
          <w:rFonts w:ascii="宋体" w:eastAsia="宋体" w:hAnsi="宋体" w:cs="宋体"/>
          <w:spacing w:val="2"/>
          <w:sz w:val="22"/>
          <w:szCs w:val="22"/>
        </w:rPr>
        <w:t xml:space="preserve"> </w:t>
      </w:r>
      <w:r>
        <w:rPr>
          <w:rFonts w:ascii="宋体" w:eastAsia="宋体" w:hAnsi="宋体" w:cs="宋体"/>
          <w:spacing w:val="8"/>
          <w:sz w:val="22"/>
          <w:szCs w:val="22"/>
        </w:rPr>
        <w:t>(</w:t>
      </w:r>
      <w:r>
        <w:rPr>
          <w:rFonts w:ascii="宋体" w:eastAsia="宋体" w:hAnsi="宋体" w:cs="宋体"/>
          <w:sz w:val="22"/>
          <w:szCs w:val="22"/>
        </w:rPr>
        <w:t>RNI</w:t>
      </w:r>
      <w:r>
        <w:rPr>
          <w:rFonts w:ascii="宋体" w:eastAsia="宋体" w:hAnsi="宋体" w:cs="宋体"/>
          <w:spacing w:val="8"/>
          <w:sz w:val="22"/>
          <w:szCs w:val="22"/>
        </w:rPr>
        <w:t>)  不同，它是以平均需要量</w:t>
      </w:r>
      <w:r>
        <w:rPr>
          <w:rFonts w:ascii="宋体" w:eastAsia="宋体" w:hAnsi="宋体" w:cs="宋体"/>
          <w:spacing w:val="1"/>
          <w:sz w:val="22"/>
          <w:szCs w:val="22"/>
        </w:rPr>
        <w:t xml:space="preserve"> </w:t>
      </w:r>
      <w:r>
        <w:rPr>
          <w:rFonts w:ascii="宋体" w:eastAsia="宋体" w:hAnsi="宋体" w:cs="宋体"/>
          <w:spacing w:val="-10"/>
          <w:sz w:val="22"/>
          <w:szCs w:val="22"/>
        </w:rPr>
        <w:t>(EAR)</w:t>
      </w:r>
      <w:r>
        <w:rPr>
          <w:rFonts w:ascii="宋体" w:eastAsia="宋体" w:hAnsi="宋体" w:cs="宋体"/>
          <w:spacing w:val="8"/>
          <w:sz w:val="22"/>
          <w:szCs w:val="22"/>
        </w:rPr>
        <w:t xml:space="preserve">  </w:t>
      </w:r>
      <w:r>
        <w:rPr>
          <w:rFonts w:ascii="宋体" w:eastAsia="宋体" w:hAnsi="宋体" w:cs="宋体"/>
          <w:spacing w:val="-10"/>
          <w:sz w:val="22"/>
          <w:szCs w:val="22"/>
        </w:rPr>
        <w:t>为基础，不增加安全量。中国营养学会制定了中国</w:t>
      </w:r>
      <w:r>
        <w:rPr>
          <w:rFonts w:ascii="宋体" w:eastAsia="宋体" w:hAnsi="宋体" w:cs="宋体"/>
          <w:spacing w:val="-11"/>
          <w:sz w:val="22"/>
          <w:szCs w:val="22"/>
        </w:rPr>
        <w:t>居民膳食能量推荐摄</w:t>
      </w:r>
      <w:r>
        <w:rPr>
          <w:rFonts w:ascii="宋体" w:eastAsia="宋体" w:hAnsi="宋体" w:cs="宋体"/>
          <w:sz w:val="22"/>
          <w:szCs w:val="22"/>
        </w:rPr>
        <w:t xml:space="preserve">  </w:t>
      </w:r>
      <w:r>
        <w:rPr>
          <w:rFonts w:ascii="宋体" w:eastAsia="宋体" w:hAnsi="宋体" w:cs="宋体"/>
          <w:spacing w:val="2"/>
          <w:sz w:val="22"/>
          <w:szCs w:val="22"/>
        </w:rPr>
        <w:t>入量(表3-6)。</w:t>
      </w:r>
    </w:p>
    <w:p w:rsidR="00EA40A3" w:rsidRDefault="00EA40A3">
      <w:pPr>
        <w:spacing w:line="267" w:lineRule="auto"/>
      </w:pPr>
    </w:p>
    <w:p w:rsidR="00EA40A3" w:rsidRDefault="00E86C16">
      <w:pPr>
        <w:spacing w:before="71" w:line="212" w:lineRule="auto"/>
        <w:ind w:left="1882"/>
        <w:rPr>
          <w:rFonts w:ascii="Times New Roman" w:eastAsia="Times New Roman" w:hAnsi="Times New Roman" w:cs="Times New Roman"/>
          <w:sz w:val="22"/>
          <w:szCs w:val="22"/>
        </w:rPr>
      </w:pPr>
      <w:r>
        <w:rPr>
          <w:rFonts w:ascii="黑体" w:eastAsia="黑体" w:hAnsi="黑体" w:cs="黑体"/>
          <w:b/>
          <w:bCs/>
          <w:spacing w:val="-14"/>
          <w:w w:val="90"/>
          <w:sz w:val="22"/>
          <w:szCs w:val="22"/>
        </w:rPr>
        <w:t>表3-6</w:t>
      </w:r>
      <w:r>
        <w:rPr>
          <w:rFonts w:ascii="黑体" w:eastAsia="黑体" w:hAnsi="黑体" w:cs="黑体"/>
          <w:spacing w:val="86"/>
          <w:sz w:val="22"/>
          <w:szCs w:val="22"/>
        </w:rPr>
        <w:t xml:space="preserve"> </w:t>
      </w:r>
      <w:r>
        <w:rPr>
          <w:rFonts w:ascii="黑体" w:eastAsia="黑体" w:hAnsi="黑体" w:cs="黑体"/>
          <w:b/>
          <w:bCs/>
          <w:spacing w:val="-14"/>
          <w:w w:val="90"/>
          <w:sz w:val="22"/>
          <w:szCs w:val="22"/>
        </w:rPr>
        <w:t>中国居民膳食能量推荐摄入量</w:t>
      </w:r>
      <w:r>
        <w:rPr>
          <w:rFonts w:ascii="黑体" w:eastAsia="黑体" w:hAnsi="黑体" w:cs="黑体"/>
          <w:spacing w:val="-48"/>
          <w:sz w:val="22"/>
          <w:szCs w:val="22"/>
        </w:rPr>
        <w:t xml:space="preserve"> </w:t>
      </w:r>
      <w:r>
        <w:rPr>
          <w:rFonts w:ascii="Times New Roman" w:eastAsia="Times New Roman" w:hAnsi="Times New Roman" w:cs="Times New Roman"/>
          <w:spacing w:val="-14"/>
          <w:w w:val="90"/>
          <w:sz w:val="22"/>
          <w:szCs w:val="22"/>
        </w:rPr>
        <w:t>(RNI)</w:t>
      </w:r>
    </w:p>
    <w:p w:rsidR="00EA40A3" w:rsidRDefault="00EA40A3">
      <w:pPr>
        <w:spacing w:line="138" w:lineRule="exact"/>
      </w:pPr>
    </w:p>
    <w:tbl>
      <w:tblPr>
        <w:tblStyle w:val="TableNormal"/>
        <w:tblW w:w="72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81"/>
        <w:gridCol w:w="1016"/>
        <w:gridCol w:w="1613"/>
        <w:gridCol w:w="1275"/>
        <w:gridCol w:w="517"/>
        <w:gridCol w:w="575"/>
        <w:gridCol w:w="560"/>
        <w:gridCol w:w="703"/>
      </w:tblGrid>
      <w:tr w:rsidR="00EA40A3">
        <w:trPr>
          <w:trHeight w:val="604"/>
        </w:trPr>
        <w:tc>
          <w:tcPr>
            <w:tcW w:w="981" w:type="dxa"/>
            <w:tcBorders>
              <w:top w:val="single" w:sz="4" w:space="0" w:color="000000"/>
              <w:bottom w:val="single" w:sz="4" w:space="0" w:color="000000"/>
              <w:right w:val="nil"/>
            </w:tcBorders>
          </w:tcPr>
          <w:p w:rsidR="00EA40A3" w:rsidRDefault="00E86C16">
            <w:pPr>
              <w:spacing w:before="241" w:line="186" w:lineRule="auto"/>
              <w:ind w:left="320"/>
              <w:rPr>
                <w:rFonts w:ascii="宋体" w:eastAsia="宋体" w:hAnsi="宋体" w:cs="宋体"/>
                <w:sz w:val="16"/>
                <w:szCs w:val="16"/>
              </w:rPr>
            </w:pPr>
            <w:r>
              <w:rPr>
                <w:rFonts w:ascii="宋体" w:eastAsia="宋体" w:hAnsi="宋体" w:cs="宋体"/>
                <w:spacing w:val="-2"/>
                <w:sz w:val="16"/>
                <w:szCs w:val="16"/>
              </w:rPr>
              <w:t>年龄</w:t>
            </w:r>
          </w:p>
          <w:p w:rsidR="00EA40A3" w:rsidRDefault="00E86C16">
            <w:pPr>
              <w:spacing w:line="220" w:lineRule="auto"/>
              <w:ind w:left="349"/>
              <w:rPr>
                <w:rFonts w:ascii="宋体" w:eastAsia="宋体" w:hAnsi="宋体" w:cs="宋体"/>
                <w:sz w:val="16"/>
                <w:szCs w:val="16"/>
              </w:rPr>
            </w:pPr>
            <w:r>
              <w:rPr>
                <w:rFonts w:ascii="宋体" w:eastAsia="宋体" w:hAnsi="宋体" w:cs="宋体"/>
                <w:spacing w:val="10"/>
                <w:sz w:val="16"/>
                <w:szCs w:val="16"/>
              </w:rPr>
              <w:t>/岁</w:t>
            </w:r>
          </w:p>
        </w:tc>
        <w:tc>
          <w:tcPr>
            <w:tcW w:w="1016" w:type="dxa"/>
            <w:tcBorders>
              <w:top w:val="single" w:sz="4" w:space="0" w:color="000000"/>
              <w:left w:val="nil"/>
              <w:bottom w:val="single" w:sz="4" w:space="0" w:color="000000"/>
              <w:right w:val="nil"/>
            </w:tcBorders>
          </w:tcPr>
          <w:p w:rsidR="00EA40A3" w:rsidRDefault="00EA40A3">
            <w:pPr>
              <w:spacing w:line="326" w:lineRule="auto"/>
            </w:pPr>
          </w:p>
          <w:p w:rsidR="00EA40A3" w:rsidRDefault="00E86C16">
            <w:pPr>
              <w:spacing w:before="52" w:line="218" w:lineRule="auto"/>
              <w:ind w:left="348"/>
              <w:rPr>
                <w:rFonts w:ascii="宋体" w:eastAsia="宋体" w:hAnsi="宋体" w:cs="宋体"/>
                <w:sz w:val="16"/>
                <w:szCs w:val="16"/>
              </w:rPr>
            </w:pPr>
            <w:r>
              <w:rPr>
                <w:rFonts w:ascii="宋体" w:eastAsia="宋体" w:hAnsi="宋体" w:cs="宋体"/>
                <w:spacing w:val="-1"/>
                <w:sz w:val="16"/>
                <w:szCs w:val="16"/>
              </w:rPr>
              <w:t>/(MJ/d)</w:t>
            </w:r>
          </w:p>
        </w:tc>
        <w:tc>
          <w:tcPr>
            <w:tcW w:w="1613" w:type="dxa"/>
            <w:tcBorders>
              <w:top w:val="single" w:sz="4" w:space="0" w:color="000000"/>
              <w:left w:val="nil"/>
              <w:bottom w:val="single" w:sz="4" w:space="0" w:color="000000"/>
              <w:right w:val="single" w:sz="4" w:space="0" w:color="000000"/>
            </w:tcBorders>
          </w:tcPr>
          <w:p w:rsidR="00EA40A3" w:rsidRDefault="00E86C16">
            <w:pPr>
              <w:spacing w:before="123" w:line="182" w:lineRule="auto"/>
              <w:ind w:left="112"/>
              <w:rPr>
                <w:rFonts w:ascii="宋体" w:eastAsia="宋体" w:hAnsi="宋体" w:cs="宋体"/>
                <w:sz w:val="16"/>
                <w:szCs w:val="16"/>
              </w:rPr>
            </w:pPr>
            <w:r>
              <w:rPr>
                <w:rFonts w:ascii="宋体" w:eastAsia="宋体" w:hAnsi="宋体" w:cs="宋体"/>
                <w:spacing w:val="-2"/>
                <w:sz w:val="16"/>
                <w:szCs w:val="16"/>
              </w:rPr>
              <w:t>RNI</w:t>
            </w:r>
          </w:p>
          <w:p w:rsidR="00EA40A3" w:rsidRDefault="00E86C16">
            <w:pPr>
              <w:spacing w:before="102" w:line="222" w:lineRule="auto"/>
              <w:ind w:left="633"/>
              <w:rPr>
                <w:rFonts w:ascii="宋体" w:eastAsia="宋体" w:hAnsi="宋体" w:cs="宋体"/>
                <w:sz w:val="16"/>
                <w:szCs w:val="16"/>
              </w:rPr>
            </w:pPr>
            <w:r>
              <w:rPr>
                <w:rFonts w:ascii="宋体" w:eastAsia="宋体" w:hAnsi="宋体" w:cs="宋体"/>
                <w:spacing w:val="-1"/>
                <w:sz w:val="16"/>
                <w:szCs w:val="16"/>
              </w:rPr>
              <w:t>/(kcal/d)</w:t>
            </w:r>
          </w:p>
        </w:tc>
        <w:tc>
          <w:tcPr>
            <w:tcW w:w="1275" w:type="dxa"/>
            <w:vMerge w:val="restart"/>
            <w:tcBorders>
              <w:top w:val="single" w:sz="4" w:space="0" w:color="000000"/>
              <w:left w:val="single" w:sz="4" w:space="0" w:color="000000"/>
              <w:bottom w:val="nil"/>
            </w:tcBorders>
          </w:tcPr>
          <w:p w:rsidR="00EA40A3" w:rsidRDefault="00E86C16">
            <w:pPr>
              <w:spacing w:before="241" w:line="251" w:lineRule="exact"/>
              <w:ind w:left="474"/>
              <w:rPr>
                <w:rFonts w:ascii="宋体" w:eastAsia="宋体" w:hAnsi="宋体" w:cs="宋体"/>
                <w:sz w:val="16"/>
                <w:szCs w:val="16"/>
              </w:rPr>
            </w:pPr>
            <w:r>
              <w:rPr>
                <w:rFonts w:ascii="宋体" w:eastAsia="宋体" w:hAnsi="宋体" w:cs="宋体"/>
                <w:spacing w:val="-2"/>
                <w:position w:val="6"/>
                <w:sz w:val="16"/>
                <w:szCs w:val="16"/>
              </w:rPr>
              <w:t>年龄</w:t>
            </w:r>
          </w:p>
          <w:p w:rsidR="00EA40A3" w:rsidRDefault="00E86C16">
            <w:pPr>
              <w:spacing w:line="220" w:lineRule="auto"/>
              <w:ind w:left="494"/>
              <w:rPr>
                <w:rFonts w:ascii="宋体" w:eastAsia="宋体" w:hAnsi="宋体" w:cs="宋体"/>
                <w:sz w:val="16"/>
                <w:szCs w:val="16"/>
              </w:rPr>
            </w:pPr>
            <w:r>
              <w:rPr>
                <w:rFonts w:ascii="宋体" w:eastAsia="宋体" w:hAnsi="宋体" w:cs="宋体"/>
                <w:spacing w:val="10"/>
                <w:sz w:val="16"/>
                <w:szCs w:val="16"/>
              </w:rPr>
              <w:t>/岁</w:t>
            </w:r>
          </w:p>
        </w:tc>
        <w:tc>
          <w:tcPr>
            <w:tcW w:w="2355" w:type="dxa"/>
            <w:gridSpan w:val="4"/>
            <w:vMerge w:val="restart"/>
            <w:tcBorders>
              <w:top w:val="single" w:sz="4" w:space="0" w:color="000000"/>
              <w:bottom w:val="nil"/>
            </w:tcBorders>
          </w:tcPr>
          <w:p w:rsidR="00EA40A3" w:rsidRDefault="00E86C16">
            <w:pPr>
              <w:spacing w:before="103" w:line="182" w:lineRule="auto"/>
              <w:ind w:left="1025"/>
              <w:rPr>
                <w:rFonts w:ascii="宋体" w:eastAsia="宋体" w:hAnsi="宋体" w:cs="宋体"/>
                <w:sz w:val="16"/>
                <w:szCs w:val="16"/>
              </w:rPr>
            </w:pPr>
            <w:r>
              <w:rPr>
                <w:rFonts w:ascii="宋体" w:eastAsia="宋体" w:hAnsi="宋体" w:cs="宋体"/>
                <w:spacing w:val="-2"/>
                <w:sz w:val="16"/>
                <w:szCs w:val="16"/>
              </w:rPr>
              <w:t>RNI</w:t>
            </w:r>
          </w:p>
          <w:p w:rsidR="00EA40A3" w:rsidRDefault="00E86C16">
            <w:pPr>
              <w:spacing w:before="98" w:line="234" w:lineRule="auto"/>
              <w:ind w:left="225"/>
              <w:rPr>
                <w:rFonts w:ascii="宋体" w:eastAsia="宋体" w:hAnsi="宋体" w:cs="宋体"/>
                <w:sz w:val="16"/>
                <w:szCs w:val="16"/>
              </w:rPr>
            </w:pPr>
            <w:r>
              <w:rPr>
                <w:rFonts w:ascii="宋体" w:eastAsia="宋体" w:hAnsi="宋体" w:cs="宋体"/>
                <w:spacing w:val="-1"/>
                <w:sz w:val="16"/>
                <w:szCs w:val="16"/>
              </w:rPr>
              <w:t>/(MJ/d)</w:t>
            </w:r>
            <w:r>
              <w:rPr>
                <w:rFonts w:ascii="宋体" w:eastAsia="宋体" w:hAnsi="宋体" w:cs="宋体"/>
                <w:spacing w:val="11"/>
                <w:sz w:val="16"/>
                <w:szCs w:val="16"/>
              </w:rPr>
              <w:t xml:space="preserve">       </w:t>
            </w:r>
            <w:r>
              <w:rPr>
                <w:rFonts w:ascii="宋体" w:eastAsia="宋体" w:hAnsi="宋体" w:cs="宋体"/>
                <w:spacing w:val="-1"/>
                <w:sz w:val="16"/>
                <w:szCs w:val="16"/>
              </w:rPr>
              <w:t>/(kcal/d)</w:t>
            </w:r>
          </w:p>
          <w:p w:rsidR="00EA40A3" w:rsidRDefault="00E86C16">
            <w:pPr>
              <w:spacing w:before="98" w:line="231" w:lineRule="auto"/>
              <w:ind w:left="164"/>
              <w:rPr>
                <w:rFonts w:ascii="宋体" w:eastAsia="宋体" w:hAnsi="宋体" w:cs="宋体"/>
                <w:sz w:val="16"/>
                <w:szCs w:val="16"/>
              </w:rPr>
            </w:pPr>
            <w:r>
              <w:rPr>
                <w:rFonts w:ascii="宋体" w:eastAsia="宋体" w:hAnsi="宋体" w:cs="宋体"/>
                <w:spacing w:val="-9"/>
                <w:sz w:val="16"/>
                <w:szCs w:val="16"/>
              </w:rPr>
              <w:t>男</w:t>
            </w:r>
            <w:r>
              <w:rPr>
                <w:rFonts w:ascii="宋体" w:eastAsia="宋体" w:hAnsi="宋体" w:cs="宋体"/>
                <w:spacing w:val="6"/>
                <w:sz w:val="16"/>
                <w:szCs w:val="16"/>
              </w:rPr>
              <w:t xml:space="preserve">     </w:t>
            </w:r>
            <w:r>
              <w:rPr>
                <w:rFonts w:ascii="宋体" w:eastAsia="宋体" w:hAnsi="宋体" w:cs="宋体"/>
                <w:spacing w:val="-9"/>
                <w:sz w:val="16"/>
                <w:szCs w:val="16"/>
              </w:rPr>
              <w:t>女</w:t>
            </w:r>
            <w:r>
              <w:rPr>
                <w:rFonts w:ascii="宋体" w:eastAsia="宋体" w:hAnsi="宋体" w:cs="宋体"/>
                <w:spacing w:val="15"/>
                <w:sz w:val="16"/>
                <w:szCs w:val="16"/>
              </w:rPr>
              <w:t xml:space="preserve">    </w:t>
            </w:r>
            <w:r>
              <w:rPr>
                <w:rFonts w:ascii="宋体" w:eastAsia="宋体" w:hAnsi="宋体" w:cs="宋体"/>
                <w:spacing w:val="-9"/>
                <w:sz w:val="16"/>
                <w:szCs w:val="16"/>
              </w:rPr>
              <w:t>男</w:t>
            </w:r>
            <w:r>
              <w:rPr>
                <w:rFonts w:ascii="宋体" w:eastAsia="宋体" w:hAnsi="宋体" w:cs="宋体"/>
                <w:spacing w:val="2"/>
                <w:sz w:val="16"/>
                <w:szCs w:val="16"/>
              </w:rPr>
              <w:t xml:space="preserve">     </w:t>
            </w:r>
            <w:r>
              <w:rPr>
                <w:rFonts w:ascii="宋体" w:eastAsia="宋体" w:hAnsi="宋体" w:cs="宋体"/>
                <w:spacing w:val="-9"/>
                <w:sz w:val="16"/>
                <w:szCs w:val="16"/>
              </w:rPr>
              <w:t>女</w:t>
            </w:r>
          </w:p>
        </w:tc>
      </w:tr>
      <w:tr w:rsidR="00EA40A3">
        <w:trPr>
          <w:trHeight w:val="309"/>
        </w:trPr>
        <w:tc>
          <w:tcPr>
            <w:tcW w:w="3610" w:type="dxa"/>
            <w:gridSpan w:val="3"/>
            <w:tcBorders>
              <w:top w:val="single" w:sz="4" w:space="0" w:color="000000"/>
              <w:bottom w:val="single" w:sz="4" w:space="0" w:color="000000"/>
              <w:right w:val="single" w:sz="4" w:space="0" w:color="000000"/>
            </w:tcBorders>
          </w:tcPr>
          <w:p w:rsidR="00EA40A3" w:rsidRDefault="00E86C16">
            <w:pPr>
              <w:spacing w:before="67" w:line="231" w:lineRule="auto"/>
              <w:ind w:left="1190"/>
              <w:rPr>
                <w:rFonts w:ascii="宋体" w:eastAsia="宋体" w:hAnsi="宋体" w:cs="宋体"/>
                <w:sz w:val="16"/>
                <w:szCs w:val="16"/>
              </w:rPr>
            </w:pPr>
            <w:r>
              <w:rPr>
                <w:rFonts w:ascii="宋体" w:eastAsia="宋体" w:hAnsi="宋体" w:cs="宋体"/>
                <w:spacing w:val="-9"/>
                <w:sz w:val="16"/>
                <w:szCs w:val="16"/>
              </w:rPr>
              <w:t>男</w:t>
            </w:r>
            <w:r>
              <w:rPr>
                <w:rFonts w:ascii="宋体" w:eastAsia="宋体" w:hAnsi="宋体" w:cs="宋体"/>
                <w:spacing w:val="5"/>
                <w:sz w:val="16"/>
                <w:szCs w:val="16"/>
              </w:rPr>
              <w:t xml:space="preserve">      </w:t>
            </w:r>
            <w:r>
              <w:rPr>
                <w:rFonts w:ascii="宋体" w:eastAsia="宋体" w:hAnsi="宋体" w:cs="宋体"/>
                <w:spacing w:val="-9"/>
                <w:sz w:val="16"/>
                <w:szCs w:val="16"/>
              </w:rPr>
              <w:t>女</w:t>
            </w:r>
            <w:r>
              <w:rPr>
                <w:rFonts w:ascii="宋体" w:eastAsia="宋体" w:hAnsi="宋体" w:cs="宋体"/>
                <w:spacing w:val="7"/>
                <w:sz w:val="16"/>
                <w:szCs w:val="16"/>
              </w:rPr>
              <w:t xml:space="preserve">      </w:t>
            </w:r>
            <w:r>
              <w:rPr>
                <w:rFonts w:ascii="宋体" w:eastAsia="宋体" w:hAnsi="宋体" w:cs="宋体"/>
                <w:spacing w:val="-9"/>
                <w:sz w:val="16"/>
                <w:szCs w:val="16"/>
              </w:rPr>
              <w:t>男</w:t>
            </w:r>
            <w:r>
              <w:rPr>
                <w:rFonts w:ascii="宋体" w:eastAsia="宋体" w:hAnsi="宋体" w:cs="宋体"/>
                <w:spacing w:val="5"/>
                <w:sz w:val="16"/>
                <w:szCs w:val="16"/>
              </w:rPr>
              <w:t xml:space="preserve">      </w:t>
            </w:r>
            <w:r>
              <w:rPr>
                <w:rFonts w:ascii="宋体" w:eastAsia="宋体" w:hAnsi="宋体" w:cs="宋体"/>
                <w:spacing w:val="-9"/>
                <w:sz w:val="16"/>
                <w:szCs w:val="16"/>
              </w:rPr>
              <w:t>女</w:t>
            </w:r>
          </w:p>
        </w:tc>
        <w:tc>
          <w:tcPr>
            <w:tcW w:w="1275" w:type="dxa"/>
            <w:vMerge/>
            <w:tcBorders>
              <w:top w:val="nil"/>
              <w:left w:val="single" w:sz="4" w:space="0" w:color="000000"/>
              <w:bottom w:val="single" w:sz="4" w:space="0" w:color="000000"/>
            </w:tcBorders>
          </w:tcPr>
          <w:p w:rsidR="00EA40A3" w:rsidRDefault="00EA40A3"/>
        </w:tc>
        <w:tc>
          <w:tcPr>
            <w:tcW w:w="2355" w:type="dxa"/>
            <w:gridSpan w:val="4"/>
            <w:vMerge/>
            <w:tcBorders>
              <w:top w:val="nil"/>
              <w:bottom w:val="single" w:sz="4" w:space="0" w:color="000000"/>
            </w:tcBorders>
          </w:tcPr>
          <w:p w:rsidR="00EA40A3" w:rsidRDefault="00EA40A3"/>
        </w:tc>
      </w:tr>
      <w:tr w:rsidR="00EA40A3">
        <w:trPr>
          <w:trHeight w:val="248"/>
        </w:trPr>
        <w:tc>
          <w:tcPr>
            <w:tcW w:w="3610" w:type="dxa"/>
            <w:gridSpan w:val="3"/>
            <w:tcBorders>
              <w:top w:val="single" w:sz="4" w:space="0" w:color="000000"/>
              <w:right w:val="single" w:sz="4" w:space="0" w:color="000000"/>
            </w:tcBorders>
          </w:tcPr>
          <w:p w:rsidR="00EA40A3" w:rsidRDefault="00E86C16">
            <w:pPr>
              <w:spacing w:before="23" w:line="213" w:lineRule="auto"/>
              <w:ind w:left="320"/>
              <w:rPr>
                <w:rFonts w:ascii="宋体" w:eastAsia="宋体" w:hAnsi="宋体" w:cs="宋体"/>
                <w:sz w:val="16"/>
                <w:szCs w:val="16"/>
              </w:rPr>
            </w:pPr>
            <w:r>
              <w:rPr>
                <w:rFonts w:ascii="宋体" w:eastAsia="宋体" w:hAnsi="宋体" w:cs="宋体"/>
                <w:spacing w:val="-6"/>
                <w:position w:val="-4"/>
                <w:sz w:val="16"/>
                <w:szCs w:val="16"/>
              </w:rPr>
              <w:t>0～</w:t>
            </w:r>
            <w:r>
              <w:rPr>
                <w:rFonts w:ascii="宋体" w:eastAsia="宋体" w:hAnsi="宋体" w:cs="宋体"/>
                <w:spacing w:val="1"/>
                <w:position w:val="-4"/>
                <w:sz w:val="16"/>
                <w:szCs w:val="16"/>
              </w:rPr>
              <w:t xml:space="preserve">      </w:t>
            </w:r>
            <w:r>
              <w:rPr>
                <w:rFonts w:ascii="宋体" w:eastAsia="宋体" w:hAnsi="宋体" w:cs="宋体"/>
                <w:spacing w:val="-6"/>
                <w:sz w:val="16"/>
                <w:szCs w:val="16"/>
              </w:rPr>
              <w:t>0.40</w:t>
            </w:r>
            <w:r>
              <w:rPr>
                <w:rFonts w:ascii="宋体" w:eastAsia="宋体" w:hAnsi="宋体" w:cs="宋体"/>
                <w:spacing w:val="25"/>
                <w:sz w:val="16"/>
                <w:szCs w:val="16"/>
              </w:rPr>
              <w:t xml:space="preserve"> </w:t>
            </w:r>
            <w:r>
              <w:rPr>
                <w:rFonts w:ascii="宋体" w:eastAsia="宋体" w:hAnsi="宋体" w:cs="宋体"/>
                <w:spacing w:val="-6"/>
                <w:sz w:val="16"/>
                <w:szCs w:val="16"/>
              </w:rPr>
              <w:t>MJ/(kg</w:t>
            </w:r>
            <w:r>
              <w:rPr>
                <w:rFonts w:ascii="宋体" w:eastAsia="宋体" w:hAnsi="宋体" w:cs="宋体"/>
                <w:spacing w:val="1"/>
                <w:sz w:val="16"/>
                <w:szCs w:val="16"/>
              </w:rPr>
              <w:t xml:space="preserve">  </w:t>
            </w:r>
            <w:r>
              <w:rPr>
                <w:rFonts w:ascii="宋体" w:eastAsia="宋体" w:hAnsi="宋体" w:cs="宋体"/>
                <w:spacing w:val="-6"/>
                <w:sz w:val="16"/>
                <w:szCs w:val="16"/>
              </w:rPr>
              <w:t>·d)</w:t>
            </w:r>
            <w:r>
              <w:rPr>
                <w:rFonts w:ascii="宋体" w:eastAsia="宋体" w:hAnsi="宋体" w:cs="宋体"/>
                <w:spacing w:val="-45"/>
                <w:sz w:val="16"/>
                <w:szCs w:val="16"/>
              </w:rPr>
              <w:t xml:space="preserve"> </w:t>
            </w:r>
            <w:r>
              <w:rPr>
                <w:rFonts w:ascii="宋体" w:eastAsia="宋体" w:hAnsi="宋体" w:cs="宋体"/>
                <w:spacing w:val="-6"/>
                <w:sz w:val="16"/>
                <w:szCs w:val="16"/>
              </w:rPr>
              <w:t>95kcal/(kg</w:t>
            </w:r>
            <w:r>
              <w:rPr>
                <w:rFonts w:ascii="宋体" w:eastAsia="宋体" w:hAnsi="宋体" w:cs="宋体"/>
                <w:spacing w:val="-18"/>
                <w:sz w:val="16"/>
                <w:szCs w:val="16"/>
              </w:rPr>
              <w:t xml:space="preserve"> </w:t>
            </w:r>
            <w:r>
              <w:rPr>
                <w:rFonts w:ascii="宋体" w:eastAsia="宋体" w:hAnsi="宋体" w:cs="宋体"/>
                <w:spacing w:val="-6"/>
                <w:sz w:val="16"/>
                <w:szCs w:val="16"/>
              </w:rPr>
              <w:t>·d)</w:t>
            </w:r>
          </w:p>
        </w:tc>
        <w:tc>
          <w:tcPr>
            <w:tcW w:w="1275" w:type="dxa"/>
            <w:tcBorders>
              <w:top w:val="single" w:sz="4" w:space="0" w:color="000000"/>
              <w:left w:val="single" w:sz="4" w:space="0" w:color="000000"/>
            </w:tcBorders>
          </w:tcPr>
          <w:p w:rsidR="00EA40A3" w:rsidRDefault="00E86C16">
            <w:pPr>
              <w:spacing w:before="48" w:line="219" w:lineRule="auto"/>
              <w:ind w:left="245"/>
              <w:rPr>
                <w:rFonts w:ascii="宋体" w:eastAsia="宋体" w:hAnsi="宋体" w:cs="宋体"/>
                <w:sz w:val="16"/>
                <w:szCs w:val="16"/>
              </w:rPr>
            </w:pPr>
            <w:r>
              <w:rPr>
                <w:rFonts w:ascii="宋体" w:eastAsia="宋体" w:hAnsi="宋体" w:cs="宋体"/>
                <w:spacing w:val="2"/>
                <w:sz w:val="16"/>
                <w:szCs w:val="16"/>
              </w:rPr>
              <w:t>中体力活动</w:t>
            </w:r>
          </w:p>
        </w:tc>
        <w:tc>
          <w:tcPr>
            <w:tcW w:w="517" w:type="dxa"/>
            <w:tcBorders>
              <w:top w:val="single" w:sz="4" w:space="0" w:color="000000"/>
            </w:tcBorders>
          </w:tcPr>
          <w:p w:rsidR="00EA40A3" w:rsidRDefault="00E86C16">
            <w:pPr>
              <w:spacing w:before="89" w:line="183" w:lineRule="auto"/>
              <w:ind w:left="74"/>
              <w:rPr>
                <w:rFonts w:ascii="宋体" w:eastAsia="宋体" w:hAnsi="宋体" w:cs="宋体"/>
                <w:sz w:val="16"/>
                <w:szCs w:val="16"/>
              </w:rPr>
            </w:pPr>
            <w:r>
              <w:rPr>
                <w:rFonts w:ascii="宋体" w:eastAsia="宋体" w:hAnsi="宋体" w:cs="宋体"/>
                <w:spacing w:val="-3"/>
                <w:sz w:val="16"/>
                <w:szCs w:val="16"/>
              </w:rPr>
              <w:t>11.30</w:t>
            </w:r>
          </w:p>
        </w:tc>
        <w:tc>
          <w:tcPr>
            <w:tcW w:w="575" w:type="dxa"/>
            <w:tcBorders>
              <w:top w:val="single" w:sz="4" w:space="0" w:color="000000"/>
            </w:tcBorders>
          </w:tcPr>
          <w:p w:rsidR="00EA40A3" w:rsidRDefault="00E86C16">
            <w:pPr>
              <w:spacing w:before="90" w:line="182" w:lineRule="auto"/>
              <w:ind w:left="128"/>
              <w:rPr>
                <w:rFonts w:ascii="宋体" w:eastAsia="宋体" w:hAnsi="宋体" w:cs="宋体"/>
                <w:sz w:val="16"/>
                <w:szCs w:val="16"/>
              </w:rPr>
            </w:pPr>
            <w:r>
              <w:rPr>
                <w:rFonts w:ascii="宋体" w:eastAsia="宋体" w:hAnsi="宋体" w:cs="宋体"/>
                <w:spacing w:val="-2"/>
                <w:sz w:val="16"/>
                <w:szCs w:val="16"/>
              </w:rPr>
              <w:t>9.62</w:t>
            </w:r>
          </w:p>
        </w:tc>
        <w:tc>
          <w:tcPr>
            <w:tcW w:w="560" w:type="dxa"/>
            <w:tcBorders>
              <w:top w:val="single" w:sz="4" w:space="0" w:color="000000"/>
            </w:tcBorders>
          </w:tcPr>
          <w:p w:rsidR="00EA40A3" w:rsidRDefault="00E86C16">
            <w:pPr>
              <w:spacing w:before="79" w:line="183" w:lineRule="auto"/>
              <w:ind w:left="112"/>
              <w:rPr>
                <w:rFonts w:ascii="宋体" w:eastAsia="宋体" w:hAnsi="宋体" w:cs="宋体"/>
                <w:sz w:val="16"/>
                <w:szCs w:val="16"/>
              </w:rPr>
            </w:pPr>
            <w:r>
              <w:rPr>
                <w:rFonts w:ascii="宋体" w:eastAsia="宋体" w:hAnsi="宋体" w:cs="宋体"/>
                <w:spacing w:val="-2"/>
                <w:sz w:val="16"/>
                <w:szCs w:val="16"/>
              </w:rPr>
              <w:t>2700</w:t>
            </w:r>
          </w:p>
        </w:tc>
        <w:tc>
          <w:tcPr>
            <w:tcW w:w="703" w:type="dxa"/>
            <w:tcBorders>
              <w:top w:val="single" w:sz="4" w:space="0" w:color="000000"/>
            </w:tcBorders>
          </w:tcPr>
          <w:p w:rsidR="00EA40A3" w:rsidRDefault="00E86C16">
            <w:pPr>
              <w:spacing w:before="69" w:line="183" w:lineRule="auto"/>
              <w:ind w:left="162"/>
              <w:rPr>
                <w:rFonts w:ascii="宋体" w:eastAsia="宋体" w:hAnsi="宋体" w:cs="宋体"/>
                <w:sz w:val="16"/>
                <w:szCs w:val="16"/>
              </w:rPr>
            </w:pPr>
            <w:r>
              <w:rPr>
                <w:rFonts w:ascii="宋体" w:eastAsia="宋体" w:hAnsi="宋体" w:cs="宋体"/>
                <w:spacing w:val="-2"/>
                <w:sz w:val="16"/>
                <w:szCs w:val="16"/>
              </w:rPr>
              <w:t>2300</w:t>
            </w:r>
          </w:p>
        </w:tc>
      </w:tr>
      <w:tr w:rsidR="00EA40A3">
        <w:trPr>
          <w:trHeight w:val="261"/>
        </w:trPr>
        <w:tc>
          <w:tcPr>
            <w:tcW w:w="3610" w:type="dxa"/>
            <w:gridSpan w:val="3"/>
            <w:tcBorders>
              <w:right w:val="single" w:sz="4" w:space="0" w:color="000000"/>
            </w:tcBorders>
          </w:tcPr>
          <w:p w:rsidR="00EA40A3" w:rsidRDefault="00E86C16">
            <w:pPr>
              <w:spacing w:before="35" w:line="214" w:lineRule="auto"/>
              <w:ind w:left="320"/>
              <w:rPr>
                <w:rFonts w:ascii="宋体" w:eastAsia="宋体" w:hAnsi="宋体" w:cs="宋体"/>
                <w:sz w:val="16"/>
                <w:szCs w:val="16"/>
              </w:rPr>
            </w:pPr>
            <w:r>
              <w:rPr>
                <w:rFonts w:ascii="宋体" w:eastAsia="宋体" w:hAnsi="宋体" w:cs="宋体"/>
                <w:spacing w:val="-5"/>
                <w:position w:val="-4"/>
                <w:sz w:val="16"/>
                <w:szCs w:val="16"/>
              </w:rPr>
              <w:t>0.5</w:t>
            </w:r>
            <w:r>
              <w:rPr>
                <w:rFonts w:ascii="宋体" w:eastAsia="宋体" w:hAnsi="宋体" w:cs="宋体"/>
                <w:spacing w:val="15"/>
                <w:position w:val="-4"/>
                <w:sz w:val="16"/>
                <w:szCs w:val="16"/>
              </w:rPr>
              <w:t xml:space="preserve">     </w:t>
            </w:r>
            <w:r>
              <w:rPr>
                <w:rFonts w:ascii="宋体" w:eastAsia="宋体" w:hAnsi="宋体" w:cs="宋体"/>
                <w:spacing w:val="-5"/>
                <w:sz w:val="16"/>
                <w:szCs w:val="16"/>
              </w:rPr>
              <w:t>0.40</w:t>
            </w:r>
            <w:r>
              <w:rPr>
                <w:rFonts w:ascii="宋体" w:eastAsia="宋体" w:hAnsi="宋体" w:cs="宋体"/>
                <w:spacing w:val="45"/>
                <w:sz w:val="16"/>
                <w:szCs w:val="16"/>
              </w:rPr>
              <w:t xml:space="preserve"> </w:t>
            </w:r>
            <w:r>
              <w:rPr>
                <w:rFonts w:ascii="宋体" w:eastAsia="宋体" w:hAnsi="宋体" w:cs="宋体"/>
                <w:spacing w:val="-5"/>
                <w:sz w:val="16"/>
                <w:szCs w:val="16"/>
              </w:rPr>
              <w:t>MJ/(kg</w:t>
            </w:r>
            <w:r>
              <w:rPr>
                <w:rFonts w:ascii="宋体" w:eastAsia="宋体" w:hAnsi="宋体" w:cs="宋体"/>
                <w:spacing w:val="-19"/>
                <w:sz w:val="16"/>
                <w:szCs w:val="16"/>
              </w:rPr>
              <w:t xml:space="preserve"> </w:t>
            </w:r>
            <w:r>
              <w:rPr>
                <w:rFonts w:ascii="宋体" w:eastAsia="宋体" w:hAnsi="宋体" w:cs="宋体"/>
                <w:spacing w:val="-5"/>
                <w:sz w:val="16"/>
                <w:szCs w:val="16"/>
              </w:rPr>
              <w:t>·d)</w:t>
            </w:r>
            <w:r>
              <w:rPr>
                <w:rFonts w:ascii="宋体" w:eastAsia="宋体" w:hAnsi="宋体" w:cs="宋体"/>
                <w:spacing w:val="15"/>
                <w:sz w:val="16"/>
                <w:szCs w:val="16"/>
              </w:rPr>
              <w:t xml:space="preserve"> </w:t>
            </w:r>
            <w:r>
              <w:rPr>
                <w:rFonts w:ascii="宋体" w:eastAsia="宋体" w:hAnsi="宋体" w:cs="宋体"/>
                <w:spacing w:val="-5"/>
                <w:sz w:val="16"/>
                <w:szCs w:val="16"/>
              </w:rPr>
              <w:t>95kcal/(kg</w:t>
            </w:r>
            <w:r>
              <w:rPr>
                <w:rFonts w:ascii="宋体" w:eastAsia="宋体" w:hAnsi="宋体" w:cs="宋体"/>
                <w:spacing w:val="12"/>
                <w:sz w:val="16"/>
                <w:szCs w:val="16"/>
              </w:rPr>
              <w:t xml:space="preserve">  </w:t>
            </w:r>
            <w:r>
              <w:rPr>
                <w:rFonts w:ascii="宋体" w:eastAsia="宋体" w:hAnsi="宋体" w:cs="宋体"/>
                <w:spacing w:val="-5"/>
                <w:sz w:val="16"/>
                <w:szCs w:val="16"/>
              </w:rPr>
              <w:t>·d</w:t>
            </w:r>
            <w:r>
              <w:rPr>
                <w:rFonts w:ascii="宋体" w:eastAsia="宋体" w:hAnsi="宋体" w:cs="宋体"/>
                <w:spacing w:val="-6"/>
                <w:sz w:val="16"/>
                <w:szCs w:val="16"/>
              </w:rPr>
              <w:t>)</w:t>
            </w:r>
          </w:p>
        </w:tc>
        <w:tc>
          <w:tcPr>
            <w:tcW w:w="1275" w:type="dxa"/>
            <w:tcBorders>
              <w:left w:val="single" w:sz="4" w:space="0" w:color="000000"/>
            </w:tcBorders>
          </w:tcPr>
          <w:p w:rsidR="00EA40A3" w:rsidRDefault="00E86C16">
            <w:pPr>
              <w:spacing w:before="60" w:line="219" w:lineRule="auto"/>
              <w:ind w:left="255"/>
              <w:rPr>
                <w:rFonts w:ascii="宋体" w:eastAsia="宋体" w:hAnsi="宋体" w:cs="宋体"/>
                <w:sz w:val="16"/>
                <w:szCs w:val="16"/>
              </w:rPr>
            </w:pPr>
            <w:r>
              <w:rPr>
                <w:rFonts w:ascii="宋体" w:eastAsia="宋体" w:hAnsi="宋体" w:cs="宋体"/>
                <w:spacing w:val="-2"/>
                <w:sz w:val="16"/>
                <w:szCs w:val="16"/>
              </w:rPr>
              <w:t>重体力活动</w:t>
            </w:r>
          </w:p>
        </w:tc>
        <w:tc>
          <w:tcPr>
            <w:tcW w:w="517" w:type="dxa"/>
          </w:tcPr>
          <w:p w:rsidR="00EA40A3" w:rsidRDefault="00E86C16">
            <w:pPr>
              <w:spacing w:before="101" w:line="184" w:lineRule="auto"/>
              <w:ind w:left="74"/>
              <w:rPr>
                <w:rFonts w:ascii="宋体" w:eastAsia="宋体" w:hAnsi="宋体" w:cs="宋体"/>
                <w:sz w:val="16"/>
                <w:szCs w:val="16"/>
              </w:rPr>
            </w:pPr>
            <w:r>
              <w:rPr>
                <w:rFonts w:ascii="宋体" w:eastAsia="宋体" w:hAnsi="宋体" w:cs="宋体"/>
                <w:spacing w:val="-3"/>
                <w:sz w:val="16"/>
                <w:szCs w:val="16"/>
              </w:rPr>
              <w:t>13.38</w:t>
            </w:r>
          </w:p>
        </w:tc>
        <w:tc>
          <w:tcPr>
            <w:tcW w:w="575" w:type="dxa"/>
          </w:tcPr>
          <w:p w:rsidR="00EA40A3" w:rsidRDefault="00E86C16">
            <w:pPr>
              <w:spacing w:before="101" w:line="184" w:lineRule="auto"/>
              <w:ind w:left="88"/>
              <w:rPr>
                <w:rFonts w:ascii="宋体" w:eastAsia="宋体" w:hAnsi="宋体" w:cs="宋体"/>
                <w:sz w:val="16"/>
                <w:szCs w:val="16"/>
              </w:rPr>
            </w:pPr>
            <w:r>
              <w:rPr>
                <w:rFonts w:ascii="宋体" w:eastAsia="宋体" w:hAnsi="宋体" w:cs="宋体"/>
                <w:spacing w:val="-3"/>
                <w:sz w:val="16"/>
                <w:szCs w:val="16"/>
              </w:rPr>
              <w:t>11.30</w:t>
            </w:r>
          </w:p>
        </w:tc>
        <w:tc>
          <w:tcPr>
            <w:tcW w:w="560" w:type="dxa"/>
          </w:tcPr>
          <w:p w:rsidR="00EA40A3" w:rsidRDefault="00E86C16">
            <w:pPr>
              <w:spacing w:before="71" w:line="183" w:lineRule="auto"/>
              <w:ind w:left="112"/>
              <w:rPr>
                <w:rFonts w:ascii="宋体" w:eastAsia="宋体" w:hAnsi="宋体" w:cs="宋体"/>
                <w:sz w:val="16"/>
                <w:szCs w:val="16"/>
              </w:rPr>
            </w:pPr>
            <w:r>
              <w:rPr>
                <w:rFonts w:ascii="宋体" w:eastAsia="宋体" w:hAnsi="宋体" w:cs="宋体"/>
                <w:spacing w:val="-2"/>
                <w:sz w:val="16"/>
                <w:szCs w:val="16"/>
              </w:rPr>
              <w:t>3200</w:t>
            </w:r>
          </w:p>
        </w:tc>
        <w:tc>
          <w:tcPr>
            <w:tcW w:w="703" w:type="dxa"/>
          </w:tcPr>
          <w:p w:rsidR="00EA40A3" w:rsidRDefault="00E86C16">
            <w:pPr>
              <w:spacing w:before="91" w:line="183" w:lineRule="auto"/>
              <w:ind w:left="182"/>
              <w:rPr>
                <w:rFonts w:ascii="宋体" w:eastAsia="宋体" w:hAnsi="宋体" w:cs="宋体"/>
                <w:sz w:val="16"/>
                <w:szCs w:val="16"/>
              </w:rPr>
            </w:pPr>
            <w:r>
              <w:rPr>
                <w:rFonts w:ascii="宋体" w:eastAsia="宋体" w:hAnsi="宋体" w:cs="宋体"/>
                <w:spacing w:val="-2"/>
                <w:sz w:val="16"/>
                <w:szCs w:val="16"/>
              </w:rPr>
              <w:t>2700</w:t>
            </w:r>
          </w:p>
        </w:tc>
      </w:tr>
      <w:tr w:rsidR="00EA40A3">
        <w:trPr>
          <w:trHeight w:val="269"/>
        </w:trPr>
        <w:tc>
          <w:tcPr>
            <w:tcW w:w="3610" w:type="dxa"/>
            <w:gridSpan w:val="3"/>
            <w:tcBorders>
              <w:right w:val="single" w:sz="4" w:space="0" w:color="000000"/>
            </w:tcBorders>
          </w:tcPr>
          <w:p w:rsidR="00EA40A3" w:rsidRDefault="00E86C16">
            <w:pPr>
              <w:spacing w:before="99" w:line="195" w:lineRule="auto"/>
              <w:ind w:left="320"/>
              <w:rPr>
                <w:rFonts w:ascii="宋体" w:eastAsia="宋体" w:hAnsi="宋体" w:cs="宋体"/>
                <w:sz w:val="16"/>
                <w:szCs w:val="16"/>
              </w:rPr>
            </w:pPr>
            <w:r>
              <w:rPr>
                <w:rFonts w:ascii="宋体" w:eastAsia="宋体" w:hAnsi="宋体" w:cs="宋体"/>
                <w:spacing w:val="-5"/>
                <w:sz w:val="16"/>
                <w:szCs w:val="16"/>
              </w:rPr>
              <w:t>1～</w:t>
            </w:r>
            <w:r>
              <w:rPr>
                <w:rFonts w:ascii="宋体" w:eastAsia="宋体" w:hAnsi="宋体" w:cs="宋体"/>
                <w:spacing w:val="6"/>
                <w:sz w:val="16"/>
                <w:szCs w:val="16"/>
              </w:rPr>
              <w:t xml:space="preserve">      </w:t>
            </w:r>
            <w:r>
              <w:rPr>
                <w:rFonts w:ascii="宋体" w:eastAsia="宋体" w:hAnsi="宋体" w:cs="宋体"/>
                <w:spacing w:val="-5"/>
                <w:sz w:val="16"/>
                <w:szCs w:val="16"/>
              </w:rPr>
              <w:t>4.60</w:t>
            </w:r>
            <w:r>
              <w:rPr>
                <w:rFonts w:ascii="宋体" w:eastAsia="宋体" w:hAnsi="宋体" w:cs="宋体"/>
                <w:spacing w:val="3"/>
                <w:sz w:val="16"/>
                <w:szCs w:val="16"/>
              </w:rPr>
              <w:t xml:space="preserve">    </w:t>
            </w:r>
            <w:r>
              <w:rPr>
                <w:rFonts w:ascii="宋体" w:eastAsia="宋体" w:hAnsi="宋体" w:cs="宋体"/>
                <w:spacing w:val="-5"/>
                <w:sz w:val="16"/>
                <w:szCs w:val="16"/>
              </w:rPr>
              <w:t>4.40</w:t>
            </w:r>
            <w:r>
              <w:rPr>
                <w:rFonts w:ascii="宋体" w:eastAsia="宋体" w:hAnsi="宋体" w:cs="宋体"/>
                <w:spacing w:val="14"/>
                <w:sz w:val="16"/>
                <w:szCs w:val="16"/>
              </w:rPr>
              <w:t xml:space="preserve">    </w:t>
            </w:r>
            <w:r>
              <w:rPr>
                <w:rFonts w:ascii="宋体" w:eastAsia="宋体" w:hAnsi="宋体" w:cs="宋体"/>
                <w:spacing w:val="-5"/>
                <w:sz w:val="16"/>
                <w:szCs w:val="16"/>
              </w:rPr>
              <w:t>1100</w:t>
            </w:r>
            <w:r>
              <w:rPr>
                <w:rFonts w:ascii="宋体" w:eastAsia="宋体" w:hAnsi="宋体" w:cs="宋体"/>
                <w:spacing w:val="12"/>
                <w:sz w:val="16"/>
                <w:szCs w:val="16"/>
              </w:rPr>
              <w:t xml:space="preserve">    </w:t>
            </w:r>
            <w:r>
              <w:rPr>
                <w:rFonts w:ascii="宋体" w:eastAsia="宋体" w:hAnsi="宋体" w:cs="宋体"/>
                <w:spacing w:val="-5"/>
                <w:sz w:val="16"/>
                <w:szCs w:val="16"/>
              </w:rPr>
              <w:t>1050</w:t>
            </w:r>
          </w:p>
        </w:tc>
        <w:tc>
          <w:tcPr>
            <w:tcW w:w="1275" w:type="dxa"/>
            <w:tcBorders>
              <w:left w:val="single" w:sz="4" w:space="0" w:color="000000"/>
            </w:tcBorders>
          </w:tcPr>
          <w:p w:rsidR="00EA40A3" w:rsidRDefault="00E86C16">
            <w:pPr>
              <w:spacing w:before="39" w:line="219" w:lineRule="auto"/>
              <w:ind w:left="64"/>
              <w:rPr>
                <w:rFonts w:ascii="宋体" w:eastAsia="宋体" w:hAnsi="宋体" w:cs="宋体"/>
                <w:sz w:val="16"/>
                <w:szCs w:val="16"/>
              </w:rPr>
            </w:pPr>
            <w:r>
              <w:rPr>
                <w:rFonts w:ascii="宋体" w:eastAsia="宋体" w:hAnsi="宋体" w:cs="宋体"/>
                <w:spacing w:val="3"/>
                <w:sz w:val="16"/>
                <w:szCs w:val="16"/>
              </w:rPr>
              <w:t>孕妇(4～6个月)</w:t>
            </w:r>
          </w:p>
        </w:tc>
        <w:tc>
          <w:tcPr>
            <w:tcW w:w="517" w:type="dxa"/>
          </w:tcPr>
          <w:p w:rsidR="00EA40A3" w:rsidRDefault="00EA40A3"/>
        </w:tc>
        <w:tc>
          <w:tcPr>
            <w:tcW w:w="575" w:type="dxa"/>
          </w:tcPr>
          <w:p w:rsidR="00EA40A3" w:rsidRDefault="00E86C16">
            <w:pPr>
              <w:spacing w:before="80" w:line="183" w:lineRule="auto"/>
              <w:ind w:left="57"/>
              <w:rPr>
                <w:rFonts w:ascii="宋体" w:eastAsia="宋体" w:hAnsi="宋体" w:cs="宋体"/>
                <w:sz w:val="16"/>
                <w:szCs w:val="16"/>
              </w:rPr>
            </w:pPr>
            <w:r>
              <w:rPr>
                <w:rFonts w:ascii="宋体" w:eastAsia="宋体" w:hAnsi="宋体" w:cs="宋体"/>
                <w:spacing w:val="-2"/>
                <w:sz w:val="16"/>
                <w:szCs w:val="16"/>
              </w:rPr>
              <w:t>+0.84</w:t>
            </w:r>
          </w:p>
        </w:tc>
        <w:tc>
          <w:tcPr>
            <w:tcW w:w="560" w:type="dxa"/>
          </w:tcPr>
          <w:p w:rsidR="00EA40A3" w:rsidRDefault="00EA40A3"/>
        </w:tc>
        <w:tc>
          <w:tcPr>
            <w:tcW w:w="703" w:type="dxa"/>
          </w:tcPr>
          <w:p w:rsidR="00EA40A3" w:rsidRDefault="00E86C16">
            <w:pPr>
              <w:spacing w:before="80" w:line="183" w:lineRule="auto"/>
              <w:ind w:left="142"/>
              <w:rPr>
                <w:rFonts w:ascii="宋体" w:eastAsia="宋体" w:hAnsi="宋体" w:cs="宋体"/>
                <w:sz w:val="16"/>
                <w:szCs w:val="16"/>
              </w:rPr>
            </w:pPr>
            <w:r>
              <w:rPr>
                <w:rFonts w:ascii="宋体" w:eastAsia="宋体" w:hAnsi="宋体" w:cs="宋体"/>
                <w:spacing w:val="-2"/>
                <w:sz w:val="16"/>
                <w:szCs w:val="16"/>
              </w:rPr>
              <w:t>+200</w:t>
            </w:r>
          </w:p>
        </w:tc>
      </w:tr>
      <w:tr w:rsidR="00EA40A3">
        <w:trPr>
          <w:trHeight w:val="252"/>
        </w:trPr>
        <w:tc>
          <w:tcPr>
            <w:tcW w:w="3610" w:type="dxa"/>
            <w:gridSpan w:val="3"/>
            <w:tcBorders>
              <w:right w:val="single" w:sz="4" w:space="0" w:color="000000"/>
            </w:tcBorders>
          </w:tcPr>
          <w:p w:rsidR="00EA40A3" w:rsidRDefault="00E86C16">
            <w:pPr>
              <w:spacing w:before="90" w:line="186" w:lineRule="auto"/>
              <w:ind w:left="320"/>
              <w:rPr>
                <w:rFonts w:ascii="宋体" w:eastAsia="宋体" w:hAnsi="宋体" w:cs="宋体"/>
                <w:sz w:val="16"/>
                <w:szCs w:val="16"/>
              </w:rPr>
            </w:pPr>
            <w:r>
              <w:rPr>
                <w:rFonts w:ascii="宋体" w:eastAsia="宋体" w:hAnsi="宋体" w:cs="宋体"/>
                <w:spacing w:val="-4"/>
                <w:sz w:val="16"/>
                <w:szCs w:val="16"/>
              </w:rPr>
              <w:t>2～</w:t>
            </w:r>
            <w:r>
              <w:rPr>
                <w:rFonts w:ascii="宋体" w:eastAsia="宋体" w:hAnsi="宋体" w:cs="宋体"/>
                <w:sz w:val="16"/>
                <w:szCs w:val="16"/>
              </w:rPr>
              <w:t xml:space="preserve">      </w:t>
            </w:r>
            <w:r>
              <w:rPr>
                <w:rFonts w:ascii="宋体" w:eastAsia="宋体" w:hAnsi="宋体" w:cs="宋体"/>
                <w:spacing w:val="-4"/>
                <w:sz w:val="16"/>
                <w:szCs w:val="16"/>
              </w:rPr>
              <w:t>5.02</w:t>
            </w:r>
            <w:r>
              <w:rPr>
                <w:rFonts w:ascii="宋体" w:eastAsia="宋体" w:hAnsi="宋体" w:cs="宋体"/>
                <w:spacing w:val="8"/>
                <w:sz w:val="16"/>
                <w:szCs w:val="16"/>
              </w:rPr>
              <w:t xml:space="preserve">    </w:t>
            </w:r>
            <w:r>
              <w:rPr>
                <w:rFonts w:ascii="宋体" w:eastAsia="宋体" w:hAnsi="宋体" w:cs="宋体"/>
                <w:spacing w:val="-4"/>
                <w:sz w:val="16"/>
                <w:szCs w:val="16"/>
              </w:rPr>
              <w:t>4.81</w:t>
            </w:r>
            <w:r>
              <w:rPr>
                <w:rFonts w:ascii="宋体" w:eastAsia="宋体" w:hAnsi="宋体" w:cs="宋体"/>
                <w:spacing w:val="14"/>
                <w:sz w:val="16"/>
                <w:szCs w:val="16"/>
              </w:rPr>
              <w:t xml:space="preserve">    </w:t>
            </w:r>
            <w:r>
              <w:rPr>
                <w:rFonts w:ascii="宋体" w:eastAsia="宋体" w:hAnsi="宋体" w:cs="宋体"/>
                <w:spacing w:val="-4"/>
                <w:sz w:val="16"/>
                <w:szCs w:val="16"/>
              </w:rPr>
              <w:t>1200</w:t>
            </w:r>
            <w:r>
              <w:rPr>
                <w:rFonts w:ascii="宋体" w:eastAsia="宋体" w:hAnsi="宋体" w:cs="宋体"/>
                <w:spacing w:val="9"/>
                <w:sz w:val="16"/>
                <w:szCs w:val="16"/>
              </w:rPr>
              <w:t xml:space="preserve">    </w:t>
            </w:r>
            <w:r>
              <w:rPr>
                <w:rFonts w:ascii="宋体" w:eastAsia="宋体" w:hAnsi="宋体" w:cs="宋体"/>
                <w:spacing w:val="-4"/>
                <w:sz w:val="16"/>
                <w:szCs w:val="16"/>
              </w:rPr>
              <w:t>1150</w:t>
            </w:r>
          </w:p>
        </w:tc>
        <w:tc>
          <w:tcPr>
            <w:tcW w:w="1275" w:type="dxa"/>
            <w:tcBorders>
              <w:left w:val="single" w:sz="4" w:space="0" w:color="000000"/>
            </w:tcBorders>
          </w:tcPr>
          <w:p w:rsidR="00EA40A3" w:rsidRDefault="00E86C16">
            <w:pPr>
              <w:spacing w:before="50" w:line="219" w:lineRule="auto"/>
              <w:ind w:left="75"/>
              <w:rPr>
                <w:rFonts w:ascii="宋体" w:eastAsia="宋体" w:hAnsi="宋体" w:cs="宋体"/>
                <w:sz w:val="16"/>
                <w:szCs w:val="16"/>
              </w:rPr>
            </w:pPr>
            <w:r>
              <w:rPr>
                <w:rFonts w:ascii="宋体" w:eastAsia="宋体" w:hAnsi="宋体" w:cs="宋体"/>
                <w:spacing w:val="3"/>
                <w:sz w:val="16"/>
                <w:szCs w:val="16"/>
              </w:rPr>
              <w:t>孕妇(7～9个月)</w:t>
            </w:r>
          </w:p>
        </w:tc>
        <w:tc>
          <w:tcPr>
            <w:tcW w:w="517" w:type="dxa"/>
          </w:tcPr>
          <w:p w:rsidR="00EA40A3" w:rsidRDefault="00EA40A3"/>
        </w:tc>
        <w:tc>
          <w:tcPr>
            <w:tcW w:w="575" w:type="dxa"/>
          </w:tcPr>
          <w:p w:rsidR="00EA40A3" w:rsidRDefault="00E86C16">
            <w:pPr>
              <w:spacing w:before="91" w:line="183" w:lineRule="auto"/>
              <w:ind w:left="57"/>
              <w:rPr>
                <w:rFonts w:ascii="宋体" w:eastAsia="宋体" w:hAnsi="宋体" w:cs="宋体"/>
                <w:sz w:val="16"/>
                <w:szCs w:val="16"/>
              </w:rPr>
            </w:pPr>
            <w:r>
              <w:rPr>
                <w:rFonts w:ascii="宋体" w:eastAsia="宋体" w:hAnsi="宋体" w:cs="宋体"/>
                <w:spacing w:val="-2"/>
                <w:sz w:val="16"/>
                <w:szCs w:val="16"/>
              </w:rPr>
              <w:t>+0.84</w:t>
            </w:r>
          </w:p>
        </w:tc>
        <w:tc>
          <w:tcPr>
            <w:tcW w:w="560" w:type="dxa"/>
          </w:tcPr>
          <w:p w:rsidR="00EA40A3" w:rsidRDefault="00EA40A3"/>
        </w:tc>
        <w:tc>
          <w:tcPr>
            <w:tcW w:w="703" w:type="dxa"/>
          </w:tcPr>
          <w:p w:rsidR="00EA40A3" w:rsidRDefault="00EA40A3"/>
        </w:tc>
      </w:tr>
      <w:tr w:rsidR="00EA40A3">
        <w:trPr>
          <w:trHeight w:val="271"/>
        </w:trPr>
        <w:tc>
          <w:tcPr>
            <w:tcW w:w="3610" w:type="dxa"/>
            <w:gridSpan w:val="3"/>
            <w:tcBorders>
              <w:right w:val="single" w:sz="4" w:space="0" w:color="000000"/>
            </w:tcBorders>
          </w:tcPr>
          <w:p w:rsidR="00EA40A3" w:rsidRDefault="00E86C16">
            <w:pPr>
              <w:spacing w:before="89" w:line="195" w:lineRule="auto"/>
              <w:ind w:left="320"/>
              <w:rPr>
                <w:rFonts w:ascii="宋体" w:eastAsia="宋体" w:hAnsi="宋体" w:cs="宋体"/>
                <w:sz w:val="16"/>
                <w:szCs w:val="16"/>
              </w:rPr>
            </w:pPr>
            <w:r>
              <w:rPr>
                <w:rFonts w:ascii="宋体" w:eastAsia="宋体" w:hAnsi="宋体" w:cs="宋体"/>
                <w:spacing w:val="-5"/>
                <w:sz w:val="16"/>
                <w:szCs w:val="16"/>
              </w:rPr>
              <w:t>3～</w:t>
            </w:r>
            <w:r>
              <w:rPr>
                <w:rFonts w:ascii="宋体" w:eastAsia="宋体" w:hAnsi="宋体" w:cs="宋体"/>
                <w:spacing w:val="4"/>
                <w:sz w:val="16"/>
                <w:szCs w:val="16"/>
              </w:rPr>
              <w:t xml:space="preserve">      </w:t>
            </w:r>
            <w:r>
              <w:rPr>
                <w:rFonts w:ascii="宋体" w:eastAsia="宋体" w:hAnsi="宋体" w:cs="宋体"/>
                <w:spacing w:val="-5"/>
                <w:sz w:val="16"/>
                <w:szCs w:val="16"/>
              </w:rPr>
              <w:t>5.64</w:t>
            </w:r>
            <w:r>
              <w:rPr>
                <w:rFonts w:ascii="宋体" w:eastAsia="宋体" w:hAnsi="宋体" w:cs="宋体"/>
                <w:spacing w:val="5"/>
                <w:sz w:val="16"/>
                <w:szCs w:val="16"/>
              </w:rPr>
              <w:t xml:space="preserve">    </w:t>
            </w:r>
            <w:r>
              <w:rPr>
                <w:rFonts w:ascii="宋体" w:eastAsia="宋体" w:hAnsi="宋体" w:cs="宋体"/>
                <w:spacing w:val="-5"/>
                <w:sz w:val="16"/>
                <w:szCs w:val="16"/>
              </w:rPr>
              <w:t>5.43</w:t>
            </w:r>
            <w:r>
              <w:rPr>
                <w:rFonts w:ascii="宋体" w:eastAsia="宋体" w:hAnsi="宋体" w:cs="宋体"/>
                <w:spacing w:val="18"/>
                <w:sz w:val="16"/>
                <w:szCs w:val="16"/>
              </w:rPr>
              <w:t xml:space="preserve">    </w:t>
            </w:r>
            <w:r>
              <w:rPr>
                <w:rFonts w:ascii="宋体" w:eastAsia="宋体" w:hAnsi="宋体" w:cs="宋体"/>
                <w:spacing w:val="-5"/>
                <w:sz w:val="16"/>
                <w:szCs w:val="16"/>
              </w:rPr>
              <w:t>1350</w:t>
            </w:r>
            <w:r>
              <w:rPr>
                <w:rFonts w:ascii="宋体" w:eastAsia="宋体" w:hAnsi="宋体" w:cs="宋体"/>
                <w:spacing w:val="9"/>
                <w:sz w:val="16"/>
                <w:szCs w:val="16"/>
              </w:rPr>
              <w:t xml:space="preserve">    </w:t>
            </w:r>
            <w:r>
              <w:rPr>
                <w:rFonts w:ascii="宋体" w:eastAsia="宋体" w:hAnsi="宋体" w:cs="宋体"/>
                <w:spacing w:val="-5"/>
                <w:sz w:val="16"/>
                <w:szCs w:val="16"/>
              </w:rPr>
              <w:t>1300</w:t>
            </w:r>
          </w:p>
        </w:tc>
        <w:tc>
          <w:tcPr>
            <w:tcW w:w="1275" w:type="dxa"/>
            <w:tcBorders>
              <w:left w:val="single" w:sz="4" w:space="0" w:color="000000"/>
            </w:tcBorders>
          </w:tcPr>
          <w:p w:rsidR="00EA40A3" w:rsidRDefault="00E86C16">
            <w:pPr>
              <w:spacing w:before="39" w:line="221" w:lineRule="auto"/>
              <w:ind w:left="474"/>
              <w:rPr>
                <w:rFonts w:ascii="宋体" w:eastAsia="宋体" w:hAnsi="宋体" w:cs="宋体"/>
                <w:sz w:val="16"/>
                <w:szCs w:val="16"/>
              </w:rPr>
            </w:pPr>
            <w:r>
              <w:rPr>
                <w:rFonts w:ascii="宋体" w:eastAsia="宋体" w:hAnsi="宋体" w:cs="宋体"/>
                <w:spacing w:val="-2"/>
                <w:sz w:val="16"/>
                <w:szCs w:val="16"/>
              </w:rPr>
              <w:t>乳母</w:t>
            </w:r>
          </w:p>
        </w:tc>
        <w:tc>
          <w:tcPr>
            <w:tcW w:w="517" w:type="dxa"/>
          </w:tcPr>
          <w:p w:rsidR="00EA40A3" w:rsidRDefault="00EA40A3"/>
        </w:tc>
        <w:tc>
          <w:tcPr>
            <w:tcW w:w="575" w:type="dxa"/>
          </w:tcPr>
          <w:p w:rsidR="00EA40A3" w:rsidRDefault="00E86C16">
            <w:pPr>
              <w:spacing w:before="89" w:line="183" w:lineRule="auto"/>
              <w:ind w:left="57"/>
              <w:rPr>
                <w:rFonts w:ascii="宋体" w:eastAsia="宋体" w:hAnsi="宋体" w:cs="宋体"/>
                <w:sz w:val="16"/>
                <w:szCs w:val="16"/>
              </w:rPr>
            </w:pPr>
            <w:r>
              <w:rPr>
                <w:rFonts w:ascii="宋体" w:eastAsia="宋体" w:hAnsi="宋体" w:cs="宋体"/>
                <w:spacing w:val="-2"/>
                <w:sz w:val="16"/>
                <w:szCs w:val="16"/>
              </w:rPr>
              <w:t>+2.09</w:t>
            </w:r>
          </w:p>
        </w:tc>
        <w:tc>
          <w:tcPr>
            <w:tcW w:w="560" w:type="dxa"/>
          </w:tcPr>
          <w:p w:rsidR="00EA40A3" w:rsidRDefault="00EA40A3"/>
        </w:tc>
        <w:tc>
          <w:tcPr>
            <w:tcW w:w="703" w:type="dxa"/>
          </w:tcPr>
          <w:p w:rsidR="00EA40A3" w:rsidRDefault="00E86C16">
            <w:pPr>
              <w:spacing w:before="69" w:line="183" w:lineRule="auto"/>
              <w:ind w:left="162"/>
              <w:rPr>
                <w:rFonts w:ascii="宋体" w:eastAsia="宋体" w:hAnsi="宋体" w:cs="宋体"/>
                <w:sz w:val="16"/>
                <w:szCs w:val="16"/>
              </w:rPr>
            </w:pPr>
            <w:r>
              <w:rPr>
                <w:rFonts w:ascii="宋体" w:eastAsia="宋体" w:hAnsi="宋体" w:cs="宋体"/>
                <w:spacing w:val="-2"/>
                <w:sz w:val="16"/>
                <w:szCs w:val="16"/>
              </w:rPr>
              <w:t>+500</w:t>
            </w:r>
          </w:p>
        </w:tc>
      </w:tr>
      <w:tr w:rsidR="00EA40A3">
        <w:trPr>
          <w:trHeight w:val="240"/>
        </w:trPr>
        <w:tc>
          <w:tcPr>
            <w:tcW w:w="3610" w:type="dxa"/>
            <w:gridSpan w:val="3"/>
            <w:tcBorders>
              <w:right w:val="single" w:sz="4" w:space="0" w:color="000000"/>
            </w:tcBorders>
          </w:tcPr>
          <w:p w:rsidR="00EA40A3" w:rsidRDefault="00E86C16">
            <w:pPr>
              <w:spacing w:before="68" w:line="186" w:lineRule="auto"/>
              <w:ind w:left="320"/>
              <w:rPr>
                <w:rFonts w:ascii="宋体" w:eastAsia="宋体" w:hAnsi="宋体" w:cs="宋体"/>
                <w:sz w:val="16"/>
                <w:szCs w:val="16"/>
              </w:rPr>
            </w:pPr>
            <w:r>
              <w:rPr>
                <w:rFonts w:ascii="宋体" w:eastAsia="宋体" w:hAnsi="宋体" w:cs="宋体"/>
                <w:spacing w:val="-4"/>
                <w:sz w:val="16"/>
                <w:szCs w:val="16"/>
              </w:rPr>
              <w:t>4～</w:t>
            </w:r>
            <w:r>
              <w:rPr>
                <w:rFonts w:ascii="宋体" w:eastAsia="宋体" w:hAnsi="宋体" w:cs="宋体"/>
                <w:spacing w:val="2"/>
                <w:sz w:val="16"/>
                <w:szCs w:val="16"/>
              </w:rPr>
              <w:t xml:space="preserve">      </w:t>
            </w:r>
            <w:r>
              <w:rPr>
                <w:rFonts w:ascii="宋体" w:eastAsia="宋体" w:hAnsi="宋体" w:cs="宋体"/>
                <w:spacing w:val="-4"/>
                <w:sz w:val="16"/>
                <w:szCs w:val="16"/>
              </w:rPr>
              <w:t>6.06</w:t>
            </w:r>
            <w:r>
              <w:rPr>
                <w:rFonts w:ascii="宋体" w:eastAsia="宋体" w:hAnsi="宋体" w:cs="宋体"/>
                <w:spacing w:val="4"/>
                <w:sz w:val="16"/>
                <w:szCs w:val="16"/>
              </w:rPr>
              <w:t xml:space="preserve">    </w:t>
            </w:r>
            <w:r>
              <w:rPr>
                <w:rFonts w:ascii="宋体" w:eastAsia="宋体" w:hAnsi="宋体" w:cs="宋体"/>
                <w:spacing w:val="-4"/>
                <w:sz w:val="16"/>
                <w:szCs w:val="16"/>
              </w:rPr>
              <w:t>5.85</w:t>
            </w:r>
            <w:r>
              <w:rPr>
                <w:rFonts w:ascii="宋体" w:eastAsia="宋体" w:hAnsi="宋体" w:cs="宋体"/>
                <w:spacing w:val="17"/>
                <w:sz w:val="16"/>
                <w:szCs w:val="16"/>
              </w:rPr>
              <w:t xml:space="preserve">    </w:t>
            </w:r>
            <w:r>
              <w:rPr>
                <w:rFonts w:ascii="宋体" w:eastAsia="宋体" w:hAnsi="宋体" w:cs="宋体"/>
                <w:spacing w:val="-4"/>
                <w:sz w:val="16"/>
                <w:szCs w:val="16"/>
              </w:rPr>
              <w:t>1450</w:t>
            </w:r>
            <w:r>
              <w:rPr>
                <w:rFonts w:ascii="宋体" w:eastAsia="宋体" w:hAnsi="宋体" w:cs="宋体"/>
                <w:spacing w:val="10"/>
                <w:sz w:val="16"/>
                <w:szCs w:val="16"/>
              </w:rPr>
              <w:t xml:space="preserve">    </w:t>
            </w:r>
            <w:r>
              <w:rPr>
                <w:rFonts w:ascii="宋体" w:eastAsia="宋体" w:hAnsi="宋体" w:cs="宋体"/>
                <w:spacing w:val="-4"/>
                <w:position w:val="-1"/>
                <w:sz w:val="16"/>
                <w:szCs w:val="16"/>
              </w:rPr>
              <w:t>1400</w:t>
            </w:r>
          </w:p>
        </w:tc>
        <w:tc>
          <w:tcPr>
            <w:tcW w:w="1275" w:type="dxa"/>
            <w:tcBorders>
              <w:left w:val="single" w:sz="4" w:space="0" w:color="000000"/>
            </w:tcBorders>
          </w:tcPr>
          <w:p w:rsidR="00EA40A3" w:rsidRDefault="00E86C16">
            <w:pPr>
              <w:spacing w:before="78" w:line="183" w:lineRule="auto"/>
              <w:ind w:left="145"/>
              <w:rPr>
                <w:rFonts w:ascii="宋体" w:eastAsia="宋体" w:hAnsi="宋体" w:cs="宋体"/>
                <w:sz w:val="16"/>
                <w:szCs w:val="16"/>
              </w:rPr>
            </w:pPr>
            <w:r>
              <w:rPr>
                <w:rFonts w:ascii="宋体" w:eastAsia="宋体" w:hAnsi="宋体" w:cs="宋体"/>
                <w:spacing w:val="19"/>
                <w:sz w:val="16"/>
                <w:szCs w:val="16"/>
              </w:rPr>
              <w:t>50~</w:t>
            </w:r>
          </w:p>
        </w:tc>
        <w:tc>
          <w:tcPr>
            <w:tcW w:w="517" w:type="dxa"/>
          </w:tcPr>
          <w:p w:rsidR="00EA40A3" w:rsidRDefault="00EA40A3">
            <w:pPr>
              <w:spacing w:line="240" w:lineRule="exact"/>
              <w:rPr>
                <w:sz w:val="20"/>
              </w:rPr>
            </w:pPr>
          </w:p>
        </w:tc>
        <w:tc>
          <w:tcPr>
            <w:tcW w:w="575" w:type="dxa"/>
          </w:tcPr>
          <w:p w:rsidR="00EA40A3" w:rsidRDefault="00EA40A3">
            <w:pPr>
              <w:spacing w:line="240" w:lineRule="exact"/>
              <w:rPr>
                <w:sz w:val="20"/>
              </w:rPr>
            </w:pPr>
          </w:p>
        </w:tc>
        <w:tc>
          <w:tcPr>
            <w:tcW w:w="560" w:type="dxa"/>
          </w:tcPr>
          <w:p w:rsidR="00EA40A3" w:rsidRDefault="00EA40A3">
            <w:pPr>
              <w:spacing w:line="240" w:lineRule="exact"/>
              <w:rPr>
                <w:sz w:val="20"/>
              </w:rPr>
            </w:pPr>
          </w:p>
        </w:tc>
        <w:tc>
          <w:tcPr>
            <w:tcW w:w="703" w:type="dxa"/>
          </w:tcPr>
          <w:p w:rsidR="00EA40A3" w:rsidRDefault="00EA40A3">
            <w:pPr>
              <w:spacing w:line="240" w:lineRule="exact"/>
              <w:rPr>
                <w:sz w:val="20"/>
              </w:rPr>
            </w:pPr>
          </w:p>
        </w:tc>
      </w:tr>
      <w:tr w:rsidR="00EA40A3">
        <w:trPr>
          <w:trHeight w:val="245"/>
        </w:trPr>
        <w:tc>
          <w:tcPr>
            <w:tcW w:w="3610" w:type="dxa"/>
            <w:gridSpan w:val="3"/>
            <w:tcBorders>
              <w:right w:val="single" w:sz="4" w:space="0" w:color="000000"/>
            </w:tcBorders>
          </w:tcPr>
          <w:p w:rsidR="00EA40A3" w:rsidRDefault="00E86C16">
            <w:pPr>
              <w:spacing w:before="78" w:line="181" w:lineRule="auto"/>
              <w:ind w:left="320"/>
              <w:rPr>
                <w:rFonts w:ascii="宋体" w:eastAsia="宋体" w:hAnsi="宋体" w:cs="宋体"/>
                <w:sz w:val="16"/>
                <w:szCs w:val="16"/>
              </w:rPr>
            </w:pPr>
            <w:r>
              <w:rPr>
                <w:rFonts w:ascii="宋体" w:eastAsia="宋体" w:hAnsi="宋体" w:cs="宋体"/>
                <w:spacing w:val="-4"/>
                <w:sz w:val="16"/>
                <w:szCs w:val="16"/>
              </w:rPr>
              <w:t>5～</w:t>
            </w:r>
            <w:r>
              <w:rPr>
                <w:rFonts w:ascii="宋体" w:eastAsia="宋体" w:hAnsi="宋体" w:cs="宋体"/>
                <w:sz w:val="16"/>
                <w:szCs w:val="16"/>
              </w:rPr>
              <w:t xml:space="preserve">      </w:t>
            </w:r>
            <w:r>
              <w:rPr>
                <w:rFonts w:ascii="宋体" w:eastAsia="宋体" w:hAnsi="宋体" w:cs="宋体"/>
                <w:spacing w:val="-4"/>
                <w:sz w:val="16"/>
                <w:szCs w:val="16"/>
              </w:rPr>
              <w:t>6.70</w:t>
            </w:r>
            <w:r>
              <w:rPr>
                <w:rFonts w:ascii="宋体" w:eastAsia="宋体" w:hAnsi="宋体" w:cs="宋体"/>
                <w:spacing w:val="10"/>
                <w:sz w:val="16"/>
                <w:szCs w:val="16"/>
              </w:rPr>
              <w:t xml:space="preserve">    </w:t>
            </w:r>
            <w:r>
              <w:rPr>
                <w:rFonts w:ascii="宋体" w:eastAsia="宋体" w:hAnsi="宋体" w:cs="宋体"/>
                <w:spacing w:val="-4"/>
                <w:sz w:val="16"/>
                <w:szCs w:val="16"/>
              </w:rPr>
              <w:t>6.27</w:t>
            </w:r>
            <w:r>
              <w:rPr>
                <w:rFonts w:ascii="宋体" w:eastAsia="宋体" w:hAnsi="宋体" w:cs="宋体"/>
                <w:spacing w:val="12"/>
                <w:sz w:val="16"/>
                <w:szCs w:val="16"/>
              </w:rPr>
              <w:t xml:space="preserve">    </w:t>
            </w:r>
            <w:r>
              <w:rPr>
                <w:rFonts w:ascii="宋体" w:eastAsia="宋体" w:hAnsi="宋体" w:cs="宋体"/>
                <w:spacing w:val="-4"/>
                <w:position w:val="1"/>
                <w:sz w:val="16"/>
                <w:szCs w:val="16"/>
              </w:rPr>
              <w:t>1600</w:t>
            </w:r>
            <w:r>
              <w:rPr>
                <w:rFonts w:ascii="宋体" w:eastAsia="宋体" w:hAnsi="宋体" w:cs="宋体"/>
                <w:spacing w:val="12"/>
                <w:position w:val="1"/>
                <w:sz w:val="16"/>
                <w:szCs w:val="16"/>
              </w:rPr>
              <w:t xml:space="preserve">    </w:t>
            </w:r>
            <w:r>
              <w:rPr>
                <w:rFonts w:ascii="宋体" w:eastAsia="宋体" w:hAnsi="宋体" w:cs="宋体"/>
                <w:spacing w:val="-4"/>
                <w:sz w:val="16"/>
                <w:szCs w:val="16"/>
              </w:rPr>
              <w:t>1500</w:t>
            </w:r>
          </w:p>
        </w:tc>
        <w:tc>
          <w:tcPr>
            <w:tcW w:w="1275" w:type="dxa"/>
            <w:tcBorders>
              <w:left w:val="single" w:sz="4" w:space="0" w:color="000000"/>
            </w:tcBorders>
          </w:tcPr>
          <w:p w:rsidR="00EA40A3" w:rsidRDefault="00E86C16">
            <w:pPr>
              <w:spacing w:before="47" w:line="219" w:lineRule="auto"/>
              <w:ind w:left="234"/>
              <w:rPr>
                <w:rFonts w:ascii="宋体" w:eastAsia="宋体" w:hAnsi="宋体" w:cs="宋体"/>
                <w:sz w:val="16"/>
                <w:szCs w:val="16"/>
              </w:rPr>
            </w:pPr>
            <w:r>
              <w:rPr>
                <w:rFonts w:ascii="宋体" w:eastAsia="宋体" w:hAnsi="宋体" w:cs="宋体"/>
                <w:spacing w:val="-2"/>
                <w:sz w:val="16"/>
                <w:szCs w:val="16"/>
              </w:rPr>
              <w:t>轻体力活动</w:t>
            </w:r>
          </w:p>
        </w:tc>
        <w:tc>
          <w:tcPr>
            <w:tcW w:w="517" w:type="dxa"/>
          </w:tcPr>
          <w:p w:rsidR="00EA40A3" w:rsidRDefault="00E86C16">
            <w:pPr>
              <w:spacing w:before="89" w:line="180" w:lineRule="auto"/>
              <w:ind w:left="105"/>
              <w:rPr>
                <w:rFonts w:ascii="宋体" w:eastAsia="宋体" w:hAnsi="宋体" w:cs="宋体"/>
                <w:sz w:val="16"/>
                <w:szCs w:val="16"/>
              </w:rPr>
            </w:pPr>
            <w:r>
              <w:rPr>
                <w:rFonts w:ascii="宋体" w:eastAsia="宋体" w:hAnsi="宋体" w:cs="宋体"/>
                <w:spacing w:val="-2"/>
                <w:sz w:val="16"/>
                <w:szCs w:val="16"/>
              </w:rPr>
              <w:t>9.62</w:t>
            </w:r>
          </w:p>
        </w:tc>
        <w:tc>
          <w:tcPr>
            <w:tcW w:w="575" w:type="dxa"/>
          </w:tcPr>
          <w:p w:rsidR="00EA40A3" w:rsidRDefault="00E86C16">
            <w:pPr>
              <w:spacing w:before="68" w:line="183" w:lineRule="auto"/>
              <w:ind w:left="108"/>
              <w:rPr>
                <w:rFonts w:ascii="宋体" w:eastAsia="宋体" w:hAnsi="宋体" w:cs="宋体"/>
                <w:sz w:val="16"/>
                <w:szCs w:val="16"/>
              </w:rPr>
            </w:pPr>
            <w:r>
              <w:rPr>
                <w:rFonts w:ascii="宋体" w:eastAsia="宋体" w:hAnsi="宋体" w:cs="宋体"/>
                <w:spacing w:val="-2"/>
                <w:sz w:val="16"/>
                <w:szCs w:val="16"/>
              </w:rPr>
              <w:t>7.94</w:t>
            </w:r>
          </w:p>
        </w:tc>
        <w:tc>
          <w:tcPr>
            <w:tcW w:w="560" w:type="dxa"/>
          </w:tcPr>
          <w:p w:rsidR="00EA40A3" w:rsidRDefault="00E86C16">
            <w:pPr>
              <w:spacing w:before="89" w:line="180" w:lineRule="auto"/>
              <w:ind w:left="112"/>
              <w:rPr>
                <w:rFonts w:ascii="宋体" w:eastAsia="宋体" w:hAnsi="宋体" w:cs="宋体"/>
                <w:sz w:val="16"/>
                <w:szCs w:val="16"/>
              </w:rPr>
            </w:pPr>
            <w:r>
              <w:rPr>
                <w:rFonts w:ascii="宋体" w:eastAsia="宋体" w:hAnsi="宋体" w:cs="宋体"/>
                <w:spacing w:val="-2"/>
                <w:sz w:val="16"/>
                <w:szCs w:val="16"/>
              </w:rPr>
              <w:t>2300</w:t>
            </w:r>
          </w:p>
        </w:tc>
        <w:tc>
          <w:tcPr>
            <w:tcW w:w="703" w:type="dxa"/>
          </w:tcPr>
          <w:p w:rsidR="00EA40A3" w:rsidRDefault="00E86C16">
            <w:pPr>
              <w:spacing w:before="88" w:line="181" w:lineRule="auto"/>
              <w:ind w:left="193"/>
              <w:rPr>
                <w:rFonts w:ascii="宋体" w:eastAsia="宋体" w:hAnsi="宋体" w:cs="宋体"/>
                <w:sz w:val="16"/>
                <w:szCs w:val="16"/>
              </w:rPr>
            </w:pPr>
            <w:r>
              <w:rPr>
                <w:rFonts w:ascii="宋体" w:eastAsia="宋体" w:hAnsi="宋体" w:cs="宋体"/>
                <w:spacing w:val="-4"/>
                <w:sz w:val="16"/>
                <w:szCs w:val="16"/>
              </w:rPr>
              <w:t>1900</w:t>
            </w:r>
          </w:p>
        </w:tc>
      </w:tr>
      <w:tr w:rsidR="00EA40A3">
        <w:trPr>
          <w:trHeight w:val="269"/>
        </w:trPr>
        <w:tc>
          <w:tcPr>
            <w:tcW w:w="3610" w:type="dxa"/>
            <w:gridSpan w:val="3"/>
            <w:tcBorders>
              <w:right w:val="single" w:sz="4" w:space="0" w:color="000000"/>
            </w:tcBorders>
          </w:tcPr>
          <w:p w:rsidR="00EA40A3" w:rsidRDefault="00E86C16">
            <w:pPr>
              <w:spacing w:before="103" w:line="191" w:lineRule="auto"/>
              <w:ind w:left="320"/>
              <w:rPr>
                <w:rFonts w:ascii="宋体" w:eastAsia="宋体" w:hAnsi="宋体" w:cs="宋体"/>
                <w:sz w:val="16"/>
                <w:szCs w:val="16"/>
              </w:rPr>
            </w:pPr>
            <w:r>
              <w:rPr>
                <w:rFonts w:ascii="宋体" w:eastAsia="宋体" w:hAnsi="宋体" w:cs="宋体"/>
                <w:spacing w:val="-4"/>
                <w:sz w:val="16"/>
                <w:szCs w:val="16"/>
              </w:rPr>
              <w:t>6～</w:t>
            </w:r>
            <w:r>
              <w:rPr>
                <w:rFonts w:ascii="宋体" w:eastAsia="宋体" w:hAnsi="宋体" w:cs="宋体"/>
                <w:sz w:val="16"/>
                <w:szCs w:val="16"/>
              </w:rPr>
              <w:t xml:space="preserve">      </w:t>
            </w:r>
            <w:r>
              <w:rPr>
                <w:rFonts w:ascii="宋体" w:eastAsia="宋体" w:hAnsi="宋体" w:cs="宋体"/>
                <w:spacing w:val="-4"/>
                <w:sz w:val="16"/>
                <w:szCs w:val="16"/>
              </w:rPr>
              <w:t>7.10</w:t>
            </w:r>
            <w:r>
              <w:rPr>
                <w:rFonts w:ascii="宋体" w:eastAsia="宋体" w:hAnsi="宋体" w:cs="宋体"/>
                <w:spacing w:val="10"/>
                <w:sz w:val="16"/>
                <w:szCs w:val="16"/>
              </w:rPr>
              <w:t xml:space="preserve">    </w:t>
            </w:r>
            <w:r>
              <w:rPr>
                <w:rFonts w:ascii="宋体" w:eastAsia="宋体" w:hAnsi="宋体" w:cs="宋体"/>
                <w:spacing w:val="-4"/>
                <w:sz w:val="16"/>
                <w:szCs w:val="16"/>
              </w:rPr>
              <w:t>6.70</w:t>
            </w:r>
            <w:r>
              <w:rPr>
                <w:rFonts w:ascii="宋体" w:eastAsia="宋体" w:hAnsi="宋体" w:cs="宋体"/>
                <w:spacing w:val="14"/>
                <w:sz w:val="16"/>
                <w:szCs w:val="16"/>
              </w:rPr>
              <w:t xml:space="preserve">    </w:t>
            </w:r>
            <w:r>
              <w:rPr>
                <w:rFonts w:ascii="宋体" w:eastAsia="宋体" w:hAnsi="宋体" w:cs="宋体"/>
                <w:spacing w:val="-4"/>
                <w:sz w:val="16"/>
                <w:szCs w:val="16"/>
              </w:rPr>
              <w:t>1700</w:t>
            </w:r>
            <w:r>
              <w:rPr>
                <w:rFonts w:ascii="宋体" w:eastAsia="宋体" w:hAnsi="宋体" w:cs="宋体"/>
                <w:spacing w:val="10"/>
                <w:sz w:val="16"/>
                <w:szCs w:val="16"/>
              </w:rPr>
              <w:t xml:space="preserve">    </w:t>
            </w:r>
            <w:r>
              <w:rPr>
                <w:rFonts w:ascii="宋体" w:eastAsia="宋体" w:hAnsi="宋体" w:cs="宋体"/>
                <w:spacing w:val="-4"/>
                <w:sz w:val="16"/>
                <w:szCs w:val="16"/>
              </w:rPr>
              <w:t>1600</w:t>
            </w:r>
          </w:p>
        </w:tc>
        <w:tc>
          <w:tcPr>
            <w:tcW w:w="1275" w:type="dxa"/>
            <w:tcBorders>
              <w:left w:val="single" w:sz="4" w:space="0" w:color="000000"/>
            </w:tcBorders>
          </w:tcPr>
          <w:p w:rsidR="00EA40A3" w:rsidRDefault="00E86C16">
            <w:pPr>
              <w:spacing w:before="42" w:line="219" w:lineRule="auto"/>
              <w:ind w:left="234"/>
              <w:rPr>
                <w:rFonts w:ascii="宋体" w:eastAsia="宋体" w:hAnsi="宋体" w:cs="宋体"/>
                <w:sz w:val="16"/>
                <w:szCs w:val="16"/>
              </w:rPr>
            </w:pPr>
            <w:r>
              <w:rPr>
                <w:rFonts w:ascii="宋体" w:eastAsia="宋体" w:hAnsi="宋体" w:cs="宋体"/>
                <w:spacing w:val="2"/>
                <w:sz w:val="16"/>
                <w:szCs w:val="16"/>
              </w:rPr>
              <w:t>中体力活动</w:t>
            </w:r>
          </w:p>
        </w:tc>
        <w:tc>
          <w:tcPr>
            <w:tcW w:w="517" w:type="dxa"/>
          </w:tcPr>
          <w:p w:rsidR="00EA40A3" w:rsidRDefault="00E86C16">
            <w:pPr>
              <w:spacing w:before="92" w:line="184" w:lineRule="auto"/>
              <w:ind w:left="74"/>
              <w:rPr>
                <w:rFonts w:ascii="宋体" w:eastAsia="宋体" w:hAnsi="宋体" w:cs="宋体"/>
                <w:sz w:val="16"/>
                <w:szCs w:val="16"/>
              </w:rPr>
            </w:pPr>
            <w:r>
              <w:rPr>
                <w:rFonts w:ascii="宋体" w:eastAsia="宋体" w:hAnsi="宋体" w:cs="宋体"/>
                <w:spacing w:val="-3"/>
                <w:sz w:val="16"/>
                <w:szCs w:val="16"/>
              </w:rPr>
              <w:t>10.87</w:t>
            </w:r>
          </w:p>
        </w:tc>
        <w:tc>
          <w:tcPr>
            <w:tcW w:w="575" w:type="dxa"/>
          </w:tcPr>
          <w:p w:rsidR="00EA40A3" w:rsidRDefault="00E86C16">
            <w:pPr>
              <w:spacing w:before="103" w:line="183" w:lineRule="auto"/>
              <w:ind w:left="118"/>
              <w:rPr>
                <w:rFonts w:ascii="宋体" w:eastAsia="宋体" w:hAnsi="宋体" w:cs="宋体"/>
                <w:sz w:val="16"/>
                <w:szCs w:val="16"/>
              </w:rPr>
            </w:pPr>
            <w:r>
              <w:rPr>
                <w:rFonts w:ascii="宋体" w:eastAsia="宋体" w:hAnsi="宋体" w:cs="宋体"/>
                <w:spacing w:val="-2"/>
                <w:sz w:val="16"/>
                <w:szCs w:val="16"/>
              </w:rPr>
              <w:t>8.36</w:t>
            </w:r>
          </w:p>
        </w:tc>
        <w:tc>
          <w:tcPr>
            <w:tcW w:w="560" w:type="dxa"/>
          </w:tcPr>
          <w:p w:rsidR="00EA40A3" w:rsidRDefault="00E86C16">
            <w:pPr>
              <w:spacing w:before="93" w:line="183" w:lineRule="auto"/>
              <w:ind w:left="112"/>
              <w:rPr>
                <w:rFonts w:ascii="宋体" w:eastAsia="宋体" w:hAnsi="宋体" w:cs="宋体"/>
                <w:sz w:val="16"/>
                <w:szCs w:val="16"/>
              </w:rPr>
            </w:pPr>
            <w:r>
              <w:rPr>
                <w:rFonts w:ascii="宋体" w:eastAsia="宋体" w:hAnsi="宋体" w:cs="宋体"/>
                <w:spacing w:val="-2"/>
                <w:sz w:val="16"/>
                <w:szCs w:val="16"/>
              </w:rPr>
              <w:t>2600</w:t>
            </w:r>
          </w:p>
        </w:tc>
        <w:tc>
          <w:tcPr>
            <w:tcW w:w="703" w:type="dxa"/>
          </w:tcPr>
          <w:p w:rsidR="00EA40A3" w:rsidRDefault="00E86C16">
            <w:pPr>
              <w:spacing w:before="103" w:line="183" w:lineRule="auto"/>
              <w:ind w:left="193"/>
              <w:rPr>
                <w:rFonts w:ascii="宋体" w:eastAsia="宋体" w:hAnsi="宋体" w:cs="宋体"/>
                <w:sz w:val="16"/>
                <w:szCs w:val="16"/>
              </w:rPr>
            </w:pPr>
            <w:r>
              <w:rPr>
                <w:rFonts w:ascii="宋体" w:eastAsia="宋体" w:hAnsi="宋体" w:cs="宋体"/>
                <w:spacing w:val="-2"/>
                <w:sz w:val="16"/>
                <w:szCs w:val="16"/>
              </w:rPr>
              <w:t>2000</w:t>
            </w:r>
          </w:p>
        </w:tc>
      </w:tr>
      <w:tr w:rsidR="00EA40A3">
        <w:trPr>
          <w:trHeight w:val="278"/>
        </w:trPr>
        <w:tc>
          <w:tcPr>
            <w:tcW w:w="3610" w:type="dxa"/>
            <w:gridSpan w:val="3"/>
            <w:tcBorders>
              <w:right w:val="single" w:sz="4" w:space="0" w:color="000000"/>
            </w:tcBorders>
          </w:tcPr>
          <w:p w:rsidR="00EA40A3" w:rsidRDefault="00E86C16">
            <w:pPr>
              <w:spacing w:before="104" w:line="184" w:lineRule="auto"/>
              <w:ind w:left="320"/>
              <w:rPr>
                <w:rFonts w:ascii="宋体" w:eastAsia="宋体" w:hAnsi="宋体" w:cs="宋体"/>
                <w:sz w:val="16"/>
                <w:szCs w:val="16"/>
              </w:rPr>
            </w:pPr>
            <w:r>
              <w:rPr>
                <w:rFonts w:ascii="宋体" w:eastAsia="宋体" w:hAnsi="宋体" w:cs="宋体"/>
                <w:spacing w:val="-5"/>
                <w:sz w:val="16"/>
                <w:szCs w:val="16"/>
              </w:rPr>
              <w:t>7～</w:t>
            </w:r>
            <w:r>
              <w:rPr>
                <w:rFonts w:ascii="宋体" w:eastAsia="宋体" w:hAnsi="宋体" w:cs="宋体"/>
                <w:spacing w:val="2"/>
                <w:sz w:val="16"/>
                <w:szCs w:val="16"/>
              </w:rPr>
              <w:t xml:space="preserve">      </w:t>
            </w:r>
            <w:r>
              <w:rPr>
                <w:rFonts w:ascii="宋体" w:eastAsia="宋体" w:hAnsi="宋体" w:cs="宋体"/>
                <w:spacing w:val="-5"/>
                <w:sz w:val="16"/>
                <w:szCs w:val="16"/>
              </w:rPr>
              <w:t>7.53</w:t>
            </w:r>
            <w:r>
              <w:rPr>
                <w:rFonts w:ascii="宋体" w:eastAsia="宋体" w:hAnsi="宋体" w:cs="宋体"/>
                <w:spacing w:val="13"/>
                <w:sz w:val="16"/>
                <w:szCs w:val="16"/>
              </w:rPr>
              <w:t xml:space="preserve">    </w:t>
            </w:r>
            <w:r>
              <w:rPr>
                <w:rFonts w:ascii="宋体" w:eastAsia="宋体" w:hAnsi="宋体" w:cs="宋体"/>
                <w:spacing w:val="-5"/>
                <w:sz w:val="16"/>
                <w:szCs w:val="16"/>
              </w:rPr>
              <w:t>7.10</w:t>
            </w:r>
            <w:r>
              <w:rPr>
                <w:rFonts w:ascii="宋体" w:eastAsia="宋体" w:hAnsi="宋体" w:cs="宋体"/>
                <w:spacing w:val="13"/>
                <w:sz w:val="16"/>
                <w:szCs w:val="16"/>
              </w:rPr>
              <w:t xml:space="preserve">    </w:t>
            </w:r>
            <w:r>
              <w:rPr>
                <w:rFonts w:ascii="宋体" w:eastAsia="宋体" w:hAnsi="宋体" w:cs="宋体"/>
                <w:spacing w:val="-5"/>
                <w:sz w:val="16"/>
                <w:szCs w:val="16"/>
              </w:rPr>
              <w:t>1800</w:t>
            </w:r>
            <w:r>
              <w:rPr>
                <w:rFonts w:ascii="宋体" w:eastAsia="宋体" w:hAnsi="宋体" w:cs="宋体"/>
                <w:spacing w:val="9"/>
                <w:sz w:val="16"/>
                <w:szCs w:val="16"/>
              </w:rPr>
              <w:t xml:space="preserve">    </w:t>
            </w:r>
            <w:r>
              <w:rPr>
                <w:rFonts w:ascii="宋体" w:eastAsia="宋体" w:hAnsi="宋体" w:cs="宋体"/>
                <w:spacing w:val="-5"/>
                <w:sz w:val="16"/>
                <w:szCs w:val="16"/>
              </w:rPr>
              <w:t>1700</w:t>
            </w:r>
          </w:p>
        </w:tc>
        <w:tc>
          <w:tcPr>
            <w:tcW w:w="1275" w:type="dxa"/>
            <w:tcBorders>
              <w:left w:val="single" w:sz="4" w:space="0" w:color="000000"/>
            </w:tcBorders>
          </w:tcPr>
          <w:p w:rsidR="00EA40A3" w:rsidRDefault="00E86C16">
            <w:pPr>
              <w:spacing w:before="53" w:line="219" w:lineRule="auto"/>
              <w:ind w:left="255"/>
              <w:rPr>
                <w:rFonts w:ascii="宋体" w:eastAsia="宋体" w:hAnsi="宋体" w:cs="宋体"/>
                <w:sz w:val="16"/>
                <w:szCs w:val="16"/>
              </w:rPr>
            </w:pPr>
            <w:r>
              <w:rPr>
                <w:rFonts w:ascii="宋体" w:eastAsia="宋体" w:hAnsi="宋体" w:cs="宋体"/>
                <w:spacing w:val="-2"/>
                <w:sz w:val="16"/>
                <w:szCs w:val="16"/>
              </w:rPr>
              <w:t>重体力活动</w:t>
            </w:r>
          </w:p>
        </w:tc>
        <w:tc>
          <w:tcPr>
            <w:tcW w:w="517" w:type="dxa"/>
          </w:tcPr>
          <w:p w:rsidR="00EA40A3" w:rsidRDefault="00E86C16">
            <w:pPr>
              <w:spacing w:before="94" w:line="184" w:lineRule="auto"/>
              <w:ind w:left="85"/>
              <w:rPr>
                <w:rFonts w:ascii="宋体" w:eastAsia="宋体" w:hAnsi="宋体" w:cs="宋体"/>
                <w:sz w:val="16"/>
                <w:szCs w:val="16"/>
              </w:rPr>
            </w:pPr>
            <w:r>
              <w:rPr>
                <w:rFonts w:ascii="宋体" w:eastAsia="宋体" w:hAnsi="宋体" w:cs="宋体"/>
                <w:spacing w:val="-3"/>
                <w:sz w:val="16"/>
                <w:szCs w:val="16"/>
              </w:rPr>
              <w:t>13.00</w:t>
            </w:r>
          </w:p>
        </w:tc>
        <w:tc>
          <w:tcPr>
            <w:tcW w:w="575" w:type="dxa"/>
          </w:tcPr>
          <w:p w:rsidR="00EA40A3" w:rsidRDefault="00E86C16">
            <w:pPr>
              <w:spacing w:before="74" w:line="183" w:lineRule="auto"/>
              <w:ind w:left="98"/>
              <w:rPr>
                <w:rFonts w:ascii="宋体" w:eastAsia="宋体" w:hAnsi="宋体" w:cs="宋体"/>
                <w:sz w:val="16"/>
                <w:szCs w:val="16"/>
              </w:rPr>
            </w:pPr>
            <w:r>
              <w:rPr>
                <w:rFonts w:ascii="宋体" w:eastAsia="宋体" w:hAnsi="宋体" w:cs="宋体"/>
                <w:spacing w:val="-2"/>
                <w:sz w:val="16"/>
                <w:szCs w:val="16"/>
              </w:rPr>
              <w:t>9.20</w:t>
            </w:r>
          </w:p>
        </w:tc>
        <w:tc>
          <w:tcPr>
            <w:tcW w:w="560" w:type="dxa"/>
          </w:tcPr>
          <w:p w:rsidR="00EA40A3" w:rsidRDefault="00E86C16">
            <w:pPr>
              <w:spacing w:before="93" w:line="184" w:lineRule="auto"/>
              <w:ind w:left="112"/>
              <w:rPr>
                <w:rFonts w:ascii="宋体" w:eastAsia="宋体" w:hAnsi="宋体" w:cs="宋体"/>
                <w:sz w:val="16"/>
                <w:szCs w:val="16"/>
              </w:rPr>
            </w:pPr>
            <w:r>
              <w:rPr>
                <w:rFonts w:ascii="宋体" w:eastAsia="宋体" w:hAnsi="宋体" w:cs="宋体"/>
                <w:spacing w:val="-2"/>
                <w:sz w:val="16"/>
                <w:szCs w:val="16"/>
              </w:rPr>
              <w:t>3100</w:t>
            </w:r>
          </w:p>
        </w:tc>
        <w:tc>
          <w:tcPr>
            <w:tcW w:w="703" w:type="dxa"/>
          </w:tcPr>
          <w:p w:rsidR="00EA40A3" w:rsidRDefault="00E86C16">
            <w:pPr>
              <w:spacing w:before="104" w:line="183" w:lineRule="auto"/>
              <w:ind w:left="173"/>
              <w:rPr>
                <w:rFonts w:ascii="宋体" w:eastAsia="宋体" w:hAnsi="宋体" w:cs="宋体"/>
                <w:sz w:val="16"/>
                <w:szCs w:val="16"/>
              </w:rPr>
            </w:pPr>
            <w:r>
              <w:rPr>
                <w:rFonts w:ascii="宋体" w:eastAsia="宋体" w:hAnsi="宋体" w:cs="宋体"/>
                <w:spacing w:val="-2"/>
                <w:sz w:val="16"/>
                <w:szCs w:val="16"/>
              </w:rPr>
              <w:t>2200</w:t>
            </w:r>
          </w:p>
        </w:tc>
      </w:tr>
      <w:tr w:rsidR="00EA40A3">
        <w:trPr>
          <w:trHeight w:val="241"/>
        </w:trPr>
        <w:tc>
          <w:tcPr>
            <w:tcW w:w="3610" w:type="dxa"/>
            <w:gridSpan w:val="3"/>
            <w:tcBorders>
              <w:right w:val="single" w:sz="4" w:space="0" w:color="000000"/>
            </w:tcBorders>
          </w:tcPr>
          <w:p w:rsidR="00EA40A3" w:rsidRDefault="00E86C16">
            <w:pPr>
              <w:spacing w:before="76" w:line="190" w:lineRule="auto"/>
              <w:ind w:left="320"/>
              <w:rPr>
                <w:rFonts w:ascii="宋体" w:eastAsia="宋体" w:hAnsi="宋体" w:cs="宋体"/>
                <w:sz w:val="16"/>
                <w:szCs w:val="16"/>
              </w:rPr>
            </w:pPr>
            <w:r>
              <w:rPr>
                <w:rFonts w:ascii="宋体" w:eastAsia="宋体" w:hAnsi="宋体" w:cs="宋体"/>
                <w:spacing w:val="-4"/>
                <w:sz w:val="16"/>
                <w:szCs w:val="16"/>
              </w:rPr>
              <w:t>8～</w:t>
            </w:r>
            <w:r>
              <w:rPr>
                <w:rFonts w:ascii="宋体" w:eastAsia="宋体" w:hAnsi="宋体" w:cs="宋体"/>
                <w:spacing w:val="15"/>
                <w:sz w:val="16"/>
                <w:szCs w:val="16"/>
              </w:rPr>
              <w:t xml:space="preserve">     </w:t>
            </w:r>
            <w:r>
              <w:rPr>
                <w:rFonts w:ascii="宋体" w:eastAsia="宋体" w:hAnsi="宋体" w:cs="宋体"/>
                <w:spacing w:val="-4"/>
                <w:sz w:val="16"/>
                <w:szCs w:val="16"/>
              </w:rPr>
              <w:t>7.94</w:t>
            </w:r>
            <w:r>
              <w:rPr>
                <w:rFonts w:ascii="宋体" w:eastAsia="宋体" w:hAnsi="宋体" w:cs="宋体"/>
                <w:spacing w:val="13"/>
                <w:sz w:val="16"/>
                <w:szCs w:val="16"/>
              </w:rPr>
              <w:t xml:space="preserve">    </w:t>
            </w:r>
            <w:r>
              <w:rPr>
                <w:rFonts w:ascii="宋体" w:eastAsia="宋体" w:hAnsi="宋体" w:cs="宋体"/>
                <w:spacing w:val="-4"/>
                <w:sz w:val="16"/>
                <w:szCs w:val="16"/>
              </w:rPr>
              <w:t>7.53</w:t>
            </w:r>
            <w:r>
              <w:rPr>
                <w:rFonts w:ascii="宋体" w:eastAsia="宋体" w:hAnsi="宋体" w:cs="宋体"/>
                <w:spacing w:val="13"/>
                <w:sz w:val="16"/>
                <w:szCs w:val="16"/>
              </w:rPr>
              <w:t xml:space="preserve">    </w:t>
            </w:r>
            <w:r>
              <w:rPr>
                <w:rFonts w:ascii="宋体" w:eastAsia="宋体" w:hAnsi="宋体" w:cs="宋体"/>
                <w:spacing w:val="-4"/>
                <w:sz w:val="16"/>
                <w:szCs w:val="16"/>
              </w:rPr>
              <w:t>1900</w:t>
            </w:r>
            <w:r>
              <w:rPr>
                <w:rFonts w:ascii="宋体" w:eastAsia="宋体" w:hAnsi="宋体" w:cs="宋体"/>
                <w:spacing w:val="9"/>
                <w:sz w:val="16"/>
                <w:szCs w:val="16"/>
              </w:rPr>
              <w:t xml:space="preserve">    </w:t>
            </w:r>
            <w:r>
              <w:rPr>
                <w:rFonts w:ascii="宋体" w:eastAsia="宋体" w:hAnsi="宋体" w:cs="宋体"/>
                <w:spacing w:val="-4"/>
                <w:sz w:val="16"/>
                <w:szCs w:val="16"/>
              </w:rPr>
              <w:t>1800</w:t>
            </w:r>
          </w:p>
        </w:tc>
        <w:tc>
          <w:tcPr>
            <w:tcW w:w="1275" w:type="dxa"/>
            <w:tcBorders>
              <w:left w:val="single" w:sz="4" w:space="0" w:color="000000"/>
            </w:tcBorders>
          </w:tcPr>
          <w:p w:rsidR="00EA40A3" w:rsidRDefault="00E86C16">
            <w:pPr>
              <w:spacing w:before="76" w:line="183" w:lineRule="auto"/>
              <w:ind w:left="155"/>
              <w:rPr>
                <w:rFonts w:ascii="宋体" w:eastAsia="宋体" w:hAnsi="宋体" w:cs="宋体"/>
                <w:sz w:val="16"/>
                <w:szCs w:val="16"/>
              </w:rPr>
            </w:pPr>
            <w:r>
              <w:rPr>
                <w:rFonts w:ascii="宋体" w:eastAsia="宋体" w:hAnsi="宋体" w:cs="宋体"/>
                <w:spacing w:val="19"/>
                <w:sz w:val="16"/>
                <w:szCs w:val="16"/>
              </w:rPr>
              <w:t>60~</w:t>
            </w:r>
          </w:p>
        </w:tc>
        <w:tc>
          <w:tcPr>
            <w:tcW w:w="517" w:type="dxa"/>
          </w:tcPr>
          <w:p w:rsidR="00EA40A3" w:rsidRDefault="00EA40A3">
            <w:pPr>
              <w:spacing w:line="241" w:lineRule="exact"/>
              <w:rPr>
                <w:sz w:val="20"/>
              </w:rPr>
            </w:pPr>
          </w:p>
        </w:tc>
        <w:tc>
          <w:tcPr>
            <w:tcW w:w="575" w:type="dxa"/>
          </w:tcPr>
          <w:p w:rsidR="00EA40A3" w:rsidRDefault="00EA40A3">
            <w:pPr>
              <w:spacing w:line="241" w:lineRule="exact"/>
              <w:rPr>
                <w:sz w:val="20"/>
              </w:rPr>
            </w:pPr>
          </w:p>
        </w:tc>
        <w:tc>
          <w:tcPr>
            <w:tcW w:w="560" w:type="dxa"/>
          </w:tcPr>
          <w:p w:rsidR="00EA40A3" w:rsidRDefault="00EA40A3">
            <w:pPr>
              <w:spacing w:line="241" w:lineRule="exact"/>
              <w:rPr>
                <w:sz w:val="20"/>
              </w:rPr>
            </w:pPr>
          </w:p>
        </w:tc>
        <w:tc>
          <w:tcPr>
            <w:tcW w:w="703" w:type="dxa"/>
          </w:tcPr>
          <w:p w:rsidR="00EA40A3" w:rsidRDefault="00EA40A3">
            <w:pPr>
              <w:spacing w:line="241" w:lineRule="exact"/>
              <w:rPr>
                <w:sz w:val="20"/>
              </w:rPr>
            </w:pPr>
          </w:p>
        </w:tc>
      </w:tr>
      <w:tr w:rsidR="00EA40A3">
        <w:trPr>
          <w:trHeight w:val="255"/>
        </w:trPr>
        <w:tc>
          <w:tcPr>
            <w:tcW w:w="3610" w:type="dxa"/>
            <w:gridSpan w:val="3"/>
            <w:tcBorders>
              <w:right w:val="single" w:sz="4" w:space="0" w:color="000000"/>
            </w:tcBorders>
          </w:tcPr>
          <w:p w:rsidR="00EA40A3" w:rsidRDefault="00E86C16">
            <w:pPr>
              <w:spacing w:before="70" w:line="213" w:lineRule="auto"/>
              <w:ind w:left="320"/>
              <w:rPr>
                <w:rFonts w:ascii="宋体" w:eastAsia="宋体" w:hAnsi="宋体" w:cs="宋体"/>
                <w:sz w:val="16"/>
                <w:szCs w:val="16"/>
              </w:rPr>
            </w:pPr>
            <w:r>
              <w:rPr>
                <w:rFonts w:ascii="宋体" w:eastAsia="宋体" w:hAnsi="宋体" w:cs="宋体"/>
                <w:spacing w:val="-3"/>
                <w:sz w:val="16"/>
                <w:szCs w:val="16"/>
              </w:rPr>
              <w:t>9~</w:t>
            </w:r>
            <w:r>
              <w:rPr>
                <w:rFonts w:ascii="宋体" w:eastAsia="宋体" w:hAnsi="宋体" w:cs="宋体"/>
                <w:spacing w:val="12"/>
                <w:sz w:val="16"/>
                <w:szCs w:val="16"/>
              </w:rPr>
              <w:t xml:space="preserve">      </w:t>
            </w:r>
            <w:r>
              <w:rPr>
                <w:rFonts w:ascii="宋体" w:eastAsia="宋体" w:hAnsi="宋体" w:cs="宋体"/>
                <w:spacing w:val="-3"/>
                <w:sz w:val="16"/>
                <w:szCs w:val="16"/>
              </w:rPr>
              <w:t>8.36</w:t>
            </w:r>
            <w:r>
              <w:rPr>
                <w:rFonts w:ascii="宋体" w:eastAsia="宋体" w:hAnsi="宋体" w:cs="宋体"/>
                <w:spacing w:val="12"/>
                <w:sz w:val="16"/>
                <w:szCs w:val="16"/>
              </w:rPr>
              <w:t xml:space="preserve">    </w:t>
            </w:r>
            <w:r>
              <w:rPr>
                <w:rFonts w:ascii="宋体" w:eastAsia="宋体" w:hAnsi="宋体" w:cs="宋体"/>
                <w:spacing w:val="-3"/>
                <w:sz w:val="16"/>
                <w:szCs w:val="16"/>
              </w:rPr>
              <w:t>7.94</w:t>
            </w:r>
            <w:r>
              <w:rPr>
                <w:rFonts w:ascii="宋体" w:eastAsia="宋体" w:hAnsi="宋体" w:cs="宋体"/>
                <w:spacing w:val="10"/>
                <w:sz w:val="16"/>
                <w:szCs w:val="16"/>
              </w:rPr>
              <w:t xml:space="preserve">    </w:t>
            </w:r>
            <w:r>
              <w:rPr>
                <w:rFonts w:ascii="宋体" w:eastAsia="宋体" w:hAnsi="宋体" w:cs="宋体"/>
                <w:spacing w:val="-3"/>
                <w:sz w:val="16"/>
                <w:szCs w:val="16"/>
              </w:rPr>
              <w:t>2000</w:t>
            </w:r>
            <w:r>
              <w:rPr>
                <w:rFonts w:ascii="宋体" w:eastAsia="宋体" w:hAnsi="宋体" w:cs="宋体"/>
                <w:spacing w:val="9"/>
                <w:sz w:val="16"/>
                <w:szCs w:val="16"/>
              </w:rPr>
              <w:t xml:space="preserve">    </w:t>
            </w:r>
            <w:r>
              <w:rPr>
                <w:rFonts w:ascii="宋体" w:eastAsia="宋体" w:hAnsi="宋体" w:cs="宋体"/>
                <w:spacing w:val="-3"/>
                <w:sz w:val="16"/>
                <w:szCs w:val="16"/>
              </w:rPr>
              <w:t>1900</w:t>
            </w:r>
          </w:p>
        </w:tc>
        <w:tc>
          <w:tcPr>
            <w:tcW w:w="1275" w:type="dxa"/>
            <w:tcBorders>
              <w:left w:val="single" w:sz="4" w:space="0" w:color="000000"/>
            </w:tcBorders>
          </w:tcPr>
          <w:p w:rsidR="00EA40A3" w:rsidRDefault="00E86C16">
            <w:pPr>
              <w:spacing w:before="54" w:line="219" w:lineRule="auto"/>
              <w:ind w:left="234"/>
              <w:rPr>
                <w:rFonts w:ascii="宋体" w:eastAsia="宋体" w:hAnsi="宋体" w:cs="宋体"/>
                <w:sz w:val="16"/>
                <w:szCs w:val="16"/>
              </w:rPr>
            </w:pPr>
            <w:r>
              <w:rPr>
                <w:rFonts w:ascii="宋体" w:eastAsia="宋体" w:hAnsi="宋体" w:cs="宋体"/>
                <w:spacing w:val="-2"/>
                <w:sz w:val="16"/>
                <w:szCs w:val="16"/>
              </w:rPr>
              <w:t>轻体力活动</w:t>
            </w:r>
          </w:p>
        </w:tc>
        <w:tc>
          <w:tcPr>
            <w:tcW w:w="517" w:type="dxa"/>
          </w:tcPr>
          <w:p w:rsidR="00EA40A3" w:rsidRDefault="00E86C16">
            <w:pPr>
              <w:spacing w:before="65" w:line="183" w:lineRule="auto"/>
              <w:ind w:left="85"/>
              <w:rPr>
                <w:rFonts w:ascii="宋体" w:eastAsia="宋体" w:hAnsi="宋体" w:cs="宋体"/>
                <w:sz w:val="16"/>
                <w:szCs w:val="16"/>
              </w:rPr>
            </w:pPr>
            <w:r>
              <w:rPr>
                <w:rFonts w:ascii="宋体" w:eastAsia="宋体" w:hAnsi="宋体" w:cs="宋体"/>
                <w:spacing w:val="-2"/>
                <w:sz w:val="16"/>
                <w:szCs w:val="16"/>
              </w:rPr>
              <w:t>7.94</w:t>
            </w:r>
          </w:p>
        </w:tc>
        <w:tc>
          <w:tcPr>
            <w:tcW w:w="575" w:type="dxa"/>
          </w:tcPr>
          <w:p w:rsidR="00EA40A3" w:rsidRDefault="00E86C16">
            <w:pPr>
              <w:spacing w:before="85" w:line="183" w:lineRule="auto"/>
              <w:ind w:left="128"/>
              <w:rPr>
                <w:rFonts w:ascii="宋体" w:eastAsia="宋体" w:hAnsi="宋体" w:cs="宋体"/>
                <w:sz w:val="16"/>
                <w:szCs w:val="16"/>
              </w:rPr>
            </w:pPr>
            <w:r>
              <w:rPr>
                <w:rFonts w:ascii="宋体" w:eastAsia="宋体" w:hAnsi="宋体" w:cs="宋体"/>
                <w:spacing w:val="-2"/>
                <w:sz w:val="16"/>
                <w:szCs w:val="16"/>
              </w:rPr>
              <w:t>7.53</w:t>
            </w:r>
          </w:p>
        </w:tc>
        <w:tc>
          <w:tcPr>
            <w:tcW w:w="560" w:type="dxa"/>
          </w:tcPr>
          <w:p w:rsidR="00EA40A3" w:rsidRDefault="00E86C16">
            <w:pPr>
              <w:spacing w:before="94" w:line="184" w:lineRule="auto"/>
              <w:ind w:left="112"/>
              <w:rPr>
                <w:rFonts w:ascii="宋体" w:eastAsia="宋体" w:hAnsi="宋体" w:cs="宋体"/>
                <w:sz w:val="16"/>
                <w:szCs w:val="16"/>
              </w:rPr>
            </w:pPr>
            <w:r>
              <w:rPr>
                <w:rFonts w:ascii="宋体" w:eastAsia="宋体" w:hAnsi="宋体" w:cs="宋体"/>
                <w:spacing w:val="-4"/>
                <w:sz w:val="16"/>
                <w:szCs w:val="16"/>
              </w:rPr>
              <w:t>1900</w:t>
            </w:r>
          </w:p>
        </w:tc>
        <w:tc>
          <w:tcPr>
            <w:tcW w:w="703" w:type="dxa"/>
          </w:tcPr>
          <w:p w:rsidR="00EA40A3" w:rsidRDefault="00E86C16">
            <w:pPr>
              <w:spacing w:before="65" w:line="184" w:lineRule="auto"/>
              <w:ind w:left="182"/>
              <w:rPr>
                <w:rFonts w:ascii="宋体" w:eastAsia="宋体" w:hAnsi="宋体" w:cs="宋体"/>
                <w:sz w:val="16"/>
                <w:szCs w:val="16"/>
              </w:rPr>
            </w:pPr>
            <w:r>
              <w:rPr>
                <w:rFonts w:ascii="宋体" w:eastAsia="宋体" w:hAnsi="宋体" w:cs="宋体"/>
                <w:spacing w:val="-4"/>
                <w:sz w:val="16"/>
                <w:szCs w:val="16"/>
              </w:rPr>
              <w:t>1800</w:t>
            </w:r>
          </w:p>
        </w:tc>
      </w:tr>
      <w:tr w:rsidR="00EA40A3">
        <w:trPr>
          <w:trHeight w:val="268"/>
        </w:trPr>
        <w:tc>
          <w:tcPr>
            <w:tcW w:w="3610" w:type="dxa"/>
            <w:gridSpan w:val="3"/>
            <w:tcBorders>
              <w:right w:val="single" w:sz="4" w:space="0" w:color="000000"/>
            </w:tcBorders>
          </w:tcPr>
          <w:p w:rsidR="00EA40A3" w:rsidRDefault="00E86C16">
            <w:pPr>
              <w:spacing w:before="80" w:line="195" w:lineRule="auto"/>
              <w:ind w:left="320"/>
              <w:rPr>
                <w:rFonts w:ascii="宋体" w:eastAsia="宋体" w:hAnsi="宋体" w:cs="宋体"/>
                <w:sz w:val="16"/>
                <w:szCs w:val="16"/>
              </w:rPr>
            </w:pPr>
            <w:r>
              <w:rPr>
                <w:rFonts w:ascii="宋体" w:eastAsia="宋体" w:hAnsi="宋体" w:cs="宋体"/>
                <w:spacing w:val="-4"/>
                <w:sz w:val="16"/>
                <w:szCs w:val="16"/>
              </w:rPr>
              <w:t>10～</w:t>
            </w:r>
            <w:r>
              <w:rPr>
                <w:rFonts w:ascii="宋体" w:eastAsia="宋体" w:hAnsi="宋体" w:cs="宋体"/>
                <w:spacing w:val="5"/>
                <w:sz w:val="16"/>
                <w:szCs w:val="16"/>
              </w:rPr>
              <w:t xml:space="preserve">     </w:t>
            </w:r>
            <w:r>
              <w:rPr>
                <w:rFonts w:ascii="宋体" w:eastAsia="宋体" w:hAnsi="宋体" w:cs="宋体"/>
                <w:spacing w:val="-4"/>
                <w:sz w:val="16"/>
                <w:szCs w:val="16"/>
              </w:rPr>
              <w:t>8.80</w:t>
            </w:r>
            <w:r>
              <w:rPr>
                <w:rFonts w:ascii="宋体" w:eastAsia="宋体" w:hAnsi="宋体" w:cs="宋体"/>
                <w:spacing w:val="9"/>
                <w:sz w:val="16"/>
                <w:szCs w:val="16"/>
              </w:rPr>
              <w:t xml:space="preserve">    </w:t>
            </w:r>
            <w:r>
              <w:rPr>
                <w:rFonts w:ascii="宋体" w:eastAsia="宋体" w:hAnsi="宋体" w:cs="宋体"/>
                <w:spacing w:val="-4"/>
                <w:sz w:val="16"/>
                <w:szCs w:val="16"/>
              </w:rPr>
              <w:t>8.36</w:t>
            </w:r>
            <w:r>
              <w:rPr>
                <w:rFonts w:ascii="宋体" w:eastAsia="宋体" w:hAnsi="宋体" w:cs="宋体"/>
                <w:spacing w:val="4"/>
                <w:sz w:val="16"/>
                <w:szCs w:val="16"/>
              </w:rPr>
              <w:t xml:space="preserve">    </w:t>
            </w:r>
            <w:r>
              <w:rPr>
                <w:rFonts w:ascii="宋体" w:eastAsia="宋体" w:hAnsi="宋体" w:cs="宋体"/>
                <w:spacing w:val="-4"/>
                <w:position w:val="1"/>
                <w:sz w:val="16"/>
                <w:szCs w:val="16"/>
              </w:rPr>
              <w:t>2100</w:t>
            </w:r>
            <w:r>
              <w:rPr>
                <w:rFonts w:ascii="宋体" w:eastAsia="宋体" w:hAnsi="宋体" w:cs="宋体"/>
                <w:spacing w:val="15"/>
                <w:position w:val="1"/>
                <w:sz w:val="16"/>
                <w:szCs w:val="16"/>
              </w:rPr>
              <w:t xml:space="preserve">    </w:t>
            </w:r>
            <w:r>
              <w:rPr>
                <w:rFonts w:ascii="宋体" w:eastAsia="宋体" w:hAnsi="宋体" w:cs="宋体"/>
                <w:spacing w:val="-4"/>
                <w:sz w:val="16"/>
                <w:szCs w:val="16"/>
              </w:rPr>
              <w:t>2000</w:t>
            </w:r>
          </w:p>
        </w:tc>
        <w:tc>
          <w:tcPr>
            <w:tcW w:w="1275" w:type="dxa"/>
            <w:tcBorders>
              <w:left w:val="single" w:sz="4" w:space="0" w:color="000000"/>
            </w:tcBorders>
          </w:tcPr>
          <w:p w:rsidR="00EA40A3" w:rsidRDefault="00E86C16">
            <w:pPr>
              <w:spacing w:before="59" w:line="219" w:lineRule="auto"/>
              <w:ind w:left="234"/>
              <w:rPr>
                <w:rFonts w:ascii="宋体" w:eastAsia="宋体" w:hAnsi="宋体" w:cs="宋体"/>
                <w:sz w:val="16"/>
                <w:szCs w:val="16"/>
              </w:rPr>
            </w:pPr>
            <w:r>
              <w:rPr>
                <w:rFonts w:ascii="宋体" w:eastAsia="宋体" w:hAnsi="宋体" w:cs="宋体"/>
                <w:spacing w:val="2"/>
                <w:sz w:val="16"/>
                <w:szCs w:val="16"/>
              </w:rPr>
              <w:t>中体力活动</w:t>
            </w:r>
          </w:p>
        </w:tc>
        <w:tc>
          <w:tcPr>
            <w:tcW w:w="517" w:type="dxa"/>
          </w:tcPr>
          <w:p w:rsidR="00EA40A3" w:rsidRDefault="00E86C16">
            <w:pPr>
              <w:spacing w:before="100" w:line="183" w:lineRule="auto"/>
              <w:ind w:left="105"/>
              <w:rPr>
                <w:rFonts w:ascii="宋体" w:eastAsia="宋体" w:hAnsi="宋体" w:cs="宋体"/>
                <w:sz w:val="16"/>
                <w:szCs w:val="16"/>
              </w:rPr>
            </w:pPr>
            <w:r>
              <w:rPr>
                <w:rFonts w:ascii="宋体" w:eastAsia="宋体" w:hAnsi="宋体" w:cs="宋体"/>
                <w:spacing w:val="-2"/>
                <w:sz w:val="16"/>
                <w:szCs w:val="16"/>
              </w:rPr>
              <w:t>9.20</w:t>
            </w:r>
          </w:p>
        </w:tc>
        <w:tc>
          <w:tcPr>
            <w:tcW w:w="575" w:type="dxa"/>
          </w:tcPr>
          <w:p w:rsidR="00EA40A3" w:rsidRDefault="00E86C16">
            <w:pPr>
              <w:spacing w:before="100" w:line="183" w:lineRule="auto"/>
              <w:ind w:left="128"/>
              <w:rPr>
                <w:rFonts w:ascii="宋体" w:eastAsia="宋体" w:hAnsi="宋体" w:cs="宋体"/>
                <w:sz w:val="16"/>
                <w:szCs w:val="16"/>
              </w:rPr>
            </w:pPr>
            <w:r>
              <w:rPr>
                <w:rFonts w:ascii="宋体" w:eastAsia="宋体" w:hAnsi="宋体" w:cs="宋体"/>
                <w:spacing w:val="-2"/>
                <w:sz w:val="16"/>
                <w:szCs w:val="16"/>
              </w:rPr>
              <w:t>8.36</w:t>
            </w:r>
          </w:p>
        </w:tc>
        <w:tc>
          <w:tcPr>
            <w:tcW w:w="560" w:type="dxa"/>
          </w:tcPr>
          <w:p w:rsidR="00EA40A3" w:rsidRDefault="00E86C16">
            <w:pPr>
              <w:spacing w:before="100" w:line="183" w:lineRule="auto"/>
              <w:ind w:left="112"/>
              <w:rPr>
                <w:rFonts w:ascii="宋体" w:eastAsia="宋体" w:hAnsi="宋体" w:cs="宋体"/>
                <w:sz w:val="16"/>
                <w:szCs w:val="16"/>
              </w:rPr>
            </w:pPr>
            <w:r>
              <w:rPr>
                <w:rFonts w:ascii="宋体" w:eastAsia="宋体" w:hAnsi="宋体" w:cs="宋体"/>
                <w:spacing w:val="-2"/>
                <w:sz w:val="16"/>
                <w:szCs w:val="16"/>
              </w:rPr>
              <w:t>2200</w:t>
            </w:r>
          </w:p>
        </w:tc>
        <w:tc>
          <w:tcPr>
            <w:tcW w:w="703" w:type="dxa"/>
          </w:tcPr>
          <w:p w:rsidR="00EA40A3" w:rsidRDefault="00E86C16">
            <w:pPr>
              <w:spacing w:before="100" w:line="183" w:lineRule="auto"/>
              <w:ind w:left="193"/>
              <w:rPr>
                <w:rFonts w:ascii="宋体" w:eastAsia="宋体" w:hAnsi="宋体" w:cs="宋体"/>
                <w:sz w:val="16"/>
                <w:szCs w:val="16"/>
              </w:rPr>
            </w:pPr>
            <w:r>
              <w:rPr>
                <w:rFonts w:ascii="宋体" w:eastAsia="宋体" w:hAnsi="宋体" w:cs="宋体"/>
                <w:spacing w:val="-2"/>
                <w:sz w:val="16"/>
                <w:szCs w:val="16"/>
              </w:rPr>
              <w:t>2000</w:t>
            </w:r>
          </w:p>
        </w:tc>
      </w:tr>
      <w:tr w:rsidR="00EA40A3">
        <w:trPr>
          <w:trHeight w:val="245"/>
        </w:trPr>
        <w:tc>
          <w:tcPr>
            <w:tcW w:w="3610" w:type="dxa"/>
            <w:gridSpan w:val="3"/>
            <w:tcBorders>
              <w:right w:val="single" w:sz="4" w:space="0" w:color="000000"/>
            </w:tcBorders>
          </w:tcPr>
          <w:p w:rsidR="00EA40A3" w:rsidRDefault="00E86C16">
            <w:pPr>
              <w:spacing w:before="72" w:line="187" w:lineRule="auto"/>
              <w:ind w:left="320"/>
              <w:rPr>
                <w:rFonts w:ascii="宋体" w:eastAsia="宋体" w:hAnsi="宋体" w:cs="宋体"/>
                <w:sz w:val="16"/>
                <w:szCs w:val="16"/>
              </w:rPr>
            </w:pPr>
            <w:r>
              <w:rPr>
                <w:rFonts w:ascii="宋体" w:eastAsia="宋体" w:hAnsi="宋体" w:cs="宋体"/>
                <w:spacing w:val="-4"/>
                <w:sz w:val="16"/>
                <w:szCs w:val="16"/>
              </w:rPr>
              <w:t>11～</w:t>
            </w:r>
            <w:r>
              <w:rPr>
                <w:rFonts w:ascii="宋体" w:eastAsia="宋体" w:hAnsi="宋体" w:cs="宋体"/>
                <w:spacing w:val="5"/>
                <w:sz w:val="16"/>
                <w:szCs w:val="16"/>
              </w:rPr>
              <w:t xml:space="preserve">     </w:t>
            </w:r>
            <w:r>
              <w:rPr>
                <w:rFonts w:ascii="宋体" w:eastAsia="宋体" w:hAnsi="宋体" w:cs="宋体"/>
                <w:spacing w:val="-4"/>
                <w:sz w:val="16"/>
                <w:szCs w:val="16"/>
              </w:rPr>
              <w:t>10.04</w:t>
            </w:r>
            <w:r>
              <w:rPr>
                <w:rFonts w:ascii="宋体" w:eastAsia="宋体" w:hAnsi="宋体" w:cs="宋体"/>
                <w:spacing w:val="17"/>
                <w:sz w:val="16"/>
                <w:szCs w:val="16"/>
              </w:rPr>
              <w:t xml:space="preserve">   </w:t>
            </w:r>
            <w:r>
              <w:rPr>
                <w:rFonts w:ascii="宋体" w:eastAsia="宋体" w:hAnsi="宋体" w:cs="宋体"/>
                <w:spacing w:val="-4"/>
                <w:sz w:val="16"/>
                <w:szCs w:val="16"/>
              </w:rPr>
              <w:t>9.20</w:t>
            </w:r>
            <w:r>
              <w:rPr>
                <w:rFonts w:ascii="宋体" w:eastAsia="宋体" w:hAnsi="宋体" w:cs="宋体"/>
                <w:spacing w:val="4"/>
                <w:sz w:val="16"/>
                <w:szCs w:val="16"/>
              </w:rPr>
              <w:t xml:space="preserve">    </w:t>
            </w:r>
            <w:r>
              <w:rPr>
                <w:rFonts w:ascii="宋体" w:eastAsia="宋体" w:hAnsi="宋体" w:cs="宋体"/>
                <w:spacing w:val="-4"/>
                <w:sz w:val="16"/>
                <w:szCs w:val="16"/>
              </w:rPr>
              <w:t>2400</w:t>
            </w:r>
            <w:r>
              <w:rPr>
                <w:rFonts w:ascii="宋体" w:eastAsia="宋体" w:hAnsi="宋体" w:cs="宋体"/>
                <w:spacing w:val="10"/>
                <w:sz w:val="16"/>
                <w:szCs w:val="16"/>
              </w:rPr>
              <w:t xml:space="preserve">    </w:t>
            </w:r>
            <w:r>
              <w:rPr>
                <w:rFonts w:ascii="宋体" w:eastAsia="宋体" w:hAnsi="宋体" w:cs="宋体"/>
                <w:spacing w:val="-4"/>
                <w:position w:val="1"/>
                <w:sz w:val="16"/>
                <w:szCs w:val="16"/>
              </w:rPr>
              <w:t>2200</w:t>
            </w:r>
          </w:p>
        </w:tc>
        <w:tc>
          <w:tcPr>
            <w:tcW w:w="1275" w:type="dxa"/>
            <w:tcBorders>
              <w:left w:val="single" w:sz="4" w:space="0" w:color="000000"/>
            </w:tcBorders>
          </w:tcPr>
          <w:p w:rsidR="00EA40A3" w:rsidRDefault="00E86C16">
            <w:pPr>
              <w:spacing w:before="82" w:line="183" w:lineRule="auto"/>
              <w:ind w:left="155"/>
              <w:rPr>
                <w:rFonts w:ascii="宋体" w:eastAsia="宋体" w:hAnsi="宋体" w:cs="宋体"/>
                <w:sz w:val="16"/>
                <w:szCs w:val="16"/>
              </w:rPr>
            </w:pPr>
            <w:r>
              <w:rPr>
                <w:rFonts w:ascii="宋体" w:eastAsia="宋体" w:hAnsi="宋体" w:cs="宋体"/>
                <w:spacing w:val="18"/>
                <w:sz w:val="16"/>
                <w:szCs w:val="16"/>
              </w:rPr>
              <w:t>70~</w:t>
            </w:r>
          </w:p>
        </w:tc>
        <w:tc>
          <w:tcPr>
            <w:tcW w:w="517" w:type="dxa"/>
          </w:tcPr>
          <w:p w:rsidR="00EA40A3" w:rsidRDefault="00EA40A3"/>
        </w:tc>
        <w:tc>
          <w:tcPr>
            <w:tcW w:w="575" w:type="dxa"/>
          </w:tcPr>
          <w:p w:rsidR="00EA40A3" w:rsidRDefault="00EA40A3"/>
        </w:tc>
        <w:tc>
          <w:tcPr>
            <w:tcW w:w="560" w:type="dxa"/>
          </w:tcPr>
          <w:p w:rsidR="00EA40A3" w:rsidRDefault="00EA40A3"/>
        </w:tc>
        <w:tc>
          <w:tcPr>
            <w:tcW w:w="703" w:type="dxa"/>
          </w:tcPr>
          <w:p w:rsidR="00EA40A3" w:rsidRDefault="00EA40A3"/>
        </w:tc>
      </w:tr>
      <w:tr w:rsidR="00EA40A3">
        <w:trPr>
          <w:trHeight w:val="250"/>
        </w:trPr>
        <w:tc>
          <w:tcPr>
            <w:tcW w:w="3610" w:type="dxa"/>
            <w:gridSpan w:val="3"/>
            <w:tcBorders>
              <w:right w:val="single" w:sz="4" w:space="0" w:color="000000"/>
            </w:tcBorders>
          </w:tcPr>
          <w:p w:rsidR="00EA40A3" w:rsidRDefault="00E86C16">
            <w:pPr>
              <w:spacing w:before="87" w:line="176" w:lineRule="auto"/>
              <w:ind w:left="320"/>
              <w:rPr>
                <w:rFonts w:ascii="宋体" w:eastAsia="宋体" w:hAnsi="宋体" w:cs="宋体"/>
                <w:sz w:val="16"/>
                <w:szCs w:val="16"/>
              </w:rPr>
            </w:pPr>
            <w:r>
              <w:rPr>
                <w:rFonts w:ascii="宋体" w:eastAsia="宋体" w:hAnsi="宋体" w:cs="宋体"/>
                <w:spacing w:val="-4"/>
                <w:sz w:val="16"/>
                <w:szCs w:val="16"/>
              </w:rPr>
              <w:t>14～</w:t>
            </w:r>
            <w:r>
              <w:rPr>
                <w:rFonts w:ascii="宋体" w:eastAsia="宋体" w:hAnsi="宋体" w:cs="宋体"/>
                <w:spacing w:val="6"/>
                <w:sz w:val="16"/>
                <w:szCs w:val="16"/>
              </w:rPr>
              <w:t xml:space="preserve">     </w:t>
            </w:r>
            <w:r>
              <w:rPr>
                <w:rFonts w:ascii="宋体" w:eastAsia="宋体" w:hAnsi="宋体" w:cs="宋体"/>
                <w:spacing w:val="-4"/>
                <w:sz w:val="16"/>
                <w:szCs w:val="16"/>
              </w:rPr>
              <w:t>12.13</w:t>
            </w:r>
            <w:r>
              <w:rPr>
                <w:rFonts w:ascii="宋体" w:eastAsia="宋体" w:hAnsi="宋体" w:cs="宋体"/>
                <w:spacing w:val="13"/>
                <w:sz w:val="16"/>
                <w:szCs w:val="16"/>
              </w:rPr>
              <w:t xml:space="preserve">   </w:t>
            </w:r>
            <w:r>
              <w:rPr>
                <w:rFonts w:ascii="宋体" w:eastAsia="宋体" w:hAnsi="宋体" w:cs="宋体"/>
                <w:spacing w:val="-4"/>
                <w:position w:val="1"/>
                <w:sz w:val="16"/>
                <w:szCs w:val="16"/>
              </w:rPr>
              <w:t>10.04</w:t>
            </w:r>
            <w:r>
              <w:rPr>
                <w:rFonts w:ascii="宋体" w:eastAsia="宋体" w:hAnsi="宋体" w:cs="宋体"/>
                <w:spacing w:val="13"/>
                <w:position w:val="1"/>
                <w:sz w:val="16"/>
                <w:szCs w:val="16"/>
              </w:rPr>
              <w:t xml:space="preserve">   </w:t>
            </w:r>
            <w:r>
              <w:rPr>
                <w:rFonts w:ascii="宋体" w:eastAsia="宋体" w:hAnsi="宋体" w:cs="宋体"/>
                <w:spacing w:val="-4"/>
                <w:sz w:val="16"/>
                <w:szCs w:val="16"/>
              </w:rPr>
              <w:t>2900</w:t>
            </w:r>
            <w:r>
              <w:rPr>
                <w:rFonts w:ascii="宋体" w:eastAsia="宋体" w:hAnsi="宋体" w:cs="宋体"/>
                <w:spacing w:val="9"/>
                <w:sz w:val="16"/>
                <w:szCs w:val="16"/>
              </w:rPr>
              <w:t xml:space="preserve">    </w:t>
            </w:r>
            <w:r>
              <w:rPr>
                <w:rFonts w:ascii="宋体" w:eastAsia="宋体" w:hAnsi="宋体" w:cs="宋体"/>
                <w:spacing w:val="-4"/>
                <w:sz w:val="16"/>
                <w:szCs w:val="16"/>
              </w:rPr>
              <w:t>2400</w:t>
            </w:r>
          </w:p>
        </w:tc>
        <w:tc>
          <w:tcPr>
            <w:tcW w:w="1275" w:type="dxa"/>
            <w:tcBorders>
              <w:left w:val="single" w:sz="4" w:space="0" w:color="000000"/>
            </w:tcBorders>
          </w:tcPr>
          <w:p w:rsidR="00EA40A3" w:rsidRDefault="00E86C16">
            <w:pPr>
              <w:spacing w:before="56" w:line="219" w:lineRule="auto"/>
              <w:ind w:left="234"/>
              <w:rPr>
                <w:rFonts w:ascii="宋体" w:eastAsia="宋体" w:hAnsi="宋体" w:cs="宋体"/>
                <w:sz w:val="16"/>
                <w:szCs w:val="16"/>
              </w:rPr>
            </w:pPr>
            <w:r>
              <w:rPr>
                <w:rFonts w:ascii="宋体" w:eastAsia="宋体" w:hAnsi="宋体" w:cs="宋体"/>
                <w:spacing w:val="-2"/>
                <w:sz w:val="16"/>
                <w:szCs w:val="16"/>
              </w:rPr>
              <w:t>轻体力活动</w:t>
            </w:r>
          </w:p>
        </w:tc>
        <w:tc>
          <w:tcPr>
            <w:tcW w:w="517" w:type="dxa"/>
          </w:tcPr>
          <w:p w:rsidR="00EA40A3" w:rsidRDefault="00E86C16">
            <w:pPr>
              <w:spacing w:before="107" w:line="164" w:lineRule="auto"/>
              <w:ind w:left="94"/>
              <w:rPr>
                <w:rFonts w:ascii="宋体" w:eastAsia="宋体" w:hAnsi="宋体" w:cs="宋体"/>
                <w:sz w:val="16"/>
                <w:szCs w:val="16"/>
              </w:rPr>
            </w:pPr>
            <w:r>
              <w:rPr>
                <w:rFonts w:ascii="宋体" w:eastAsia="宋体" w:hAnsi="宋体" w:cs="宋体"/>
                <w:spacing w:val="-2"/>
                <w:sz w:val="16"/>
                <w:szCs w:val="16"/>
              </w:rPr>
              <w:t>7.94</w:t>
            </w:r>
          </w:p>
        </w:tc>
        <w:tc>
          <w:tcPr>
            <w:tcW w:w="575" w:type="dxa"/>
          </w:tcPr>
          <w:p w:rsidR="00EA40A3" w:rsidRDefault="00E86C16">
            <w:pPr>
              <w:spacing w:before="107" w:line="165" w:lineRule="auto"/>
              <w:ind w:left="128"/>
              <w:rPr>
                <w:rFonts w:ascii="宋体" w:eastAsia="宋体" w:hAnsi="宋体" w:cs="宋体"/>
                <w:sz w:val="16"/>
                <w:szCs w:val="16"/>
              </w:rPr>
            </w:pPr>
            <w:r>
              <w:rPr>
                <w:rFonts w:ascii="宋体" w:eastAsia="宋体" w:hAnsi="宋体" w:cs="宋体"/>
                <w:spacing w:val="-2"/>
                <w:sz w:val="16"/>
                <w:szCs w:val="16"/>
              </w:rPr>
              <w:t>7.10</w:t>
            </w:r>
          </w:p>
        </w:tc>
        <w:tc>
          <w:tcPr>
            <w:tcW w:w="560" w:type="dxa"/>
          </w:tcPr>
          <w:p w:rsidR="00EA40A3" w:rsidRDefault="00E86C16">
            <w:pPr>
              <w:spacing w:before="107" w:line="165" w:lineRule="auto"/>
              <w:ind w:left="112"/>
              <w:rPr>
                <w:rFonts w:ascii="宋体" w:eastAsia="宋体" w:hAnsi="宋体" w:cs="宋体"/>
                <w:sz w:val="16"/>
                <w:szCs w:val="16"/>
              </w:rPr>
            </w:pPr>
            <w:r>
              <w:rPr>
                <w:rFonts w:ascii="宋体" w:eastAsia="宋体" w:hAnsi="宋体" w:cs="宋体"/>
                <w:spacing w:val="-4"/>
                <w:sz w:val="16"/>
                <w:szCs w:val="16"/>
              </w:rPr>
              <w:t>1900</w:t>
            </w:r>
          </w:p>
        </w:tc>
        <w:tc>
          <w:tcPr>
            <w:tcW w:w="703" w:type="dxa"/>
          </w:tcPr>
          <w:p w:rsidR="00EA40A3" w:rsidRDefault="00E86C16">
            <w:pPr>
              <w:spacing w:before="97" w:line="176" w:lineRule="auto"/>
              <w:ind w:left="193"/>
              <w:rPr>
                <w:rFonts w:ascii="宋体" w:eastAsia="宋体" w:hAnsi="宋体" w:cs="宋体"/>
                <w:sz w:val="16"/>
                <w:szCs w:val="16"/>
              </w:rPr>
            </w:pPr>
            <w:r>
              <w:rPr>
                <w:rFonts w:ascii="宋体" w:eastAsia="宋体" w:hAnsi="宋体" w:cs="宋体"/>
                <w:spacing w:val="-4"/>
                <w:sz w:val="16"/>
                <w:szCs w:val="16"/>
              </w:rPr>
              <w:t>1700</w:t>
            </w:r>
          </w:p>
        </w:tc>
      </w:tr>
      <w:tr w:rsidR="00EA40A3">
        <w:trPr>
          <w:trHeight w:val="259"/>
        </w:trPr>
        <w:tc>
          <w:tcPr>
            <w:tcW w:w="3610" w:type="dxa"/>
            <w:gridSpan w:val="3"/>
            <w:tcBorders>
              <w:right w:val="single" w:sz="4" w:space="0" w:color="000000"/>
            </w:tcBorders>
          </w:tcPr>
          <w:p w:rsidR="00EA40A3" w:rsidRDefault="00E86C16">
            <w:pPr>
              <w:spacing w:before="107" w:line="175" w:lineRule="auto"/>
              <w:ind w:left="320"/>
              <w:rPr>
                <w:rFonts w:ascii="宋体" w:eastAsia="宋体" w:hAnsi="宋体" w:cs="宋体"/>
                <w:sz w:val="16"/>
                <w:szCs w:val="16"/>
              </w:rPr>
            </w:pPr>
            <w:r>
              <w:rPr>
                <w:rFonts w:ascii="宋体" w:eastAsia="宋体" w:hAnsi="宋体" w:cs="宋体"/>
                <w:spacing w:val="16"/>
                <w:sz w:val="16"/>
                <w:szCs w:val="16"/>
              </w:rPr>
              <w:t>18~</w:t>
            </w:r>
          </w:p>
        </w:tc>
        <w:tc>
          <w:tcPr>
            <w:tcW w:w="1275" w:type="dxa"/>
            <w:tcBorders>
              <w:left w:val="single" w:sz="4" w:space="0" w:color="000000"/>
            </w:tcBorders>
          </w:tcPr>
          <w:p w:rsidR="00EA40A3" w:rsidRDefault="00E86C16">
            <w:pPr>
              <w:spacing w:before="46" w:line="219" w:lineRule="auto"/>
              <w:ind w:left="225"/>
              <w:rPr>
                <w:rFonts w:ascii="宋体" w:eastAsia="宋体" w:hAnsi="宋体" w:cs="宋体"/>
                <w:sz w:val="16"/>
                <w:szCs w:val="16"/>
              </w:rPr>
            </w:pPr>
            <w:r>
              <w:rPr>
                <w:rFonts w:ascii="宋体" w:eastAsia="宋体" w:hAnsi="宋体" w:cs="宋体"/>
                <w:spacing w:val="2"/>
                <w:sz w:val="16"/>
                <w:szCs w:val="16"/>
              </w:rPr>
              <w:t>中体力活动</w:t>
            </w:r>
          </w:p>
        </w:tc>
        <w:tc>
          <w:tcPr>
            <w:tcW w:w="517" w:type="dxa"/>
          </w:tcPr>
          <w:p w:rsidR="00EA40A3" w:rsidRDefault="00E86C16">
            <w:pPr>
              <w:spacing w:before="117" w:line="163" w:lineRule="auto"/>
              <w:ind w:left="94"/>
              <w:rPr>
                <w:rFonts w:ascii="宋体" w:eastAsia="宋体" w:hAnsi="宋体" w:cs="宋体"/>
                <w:sz w:val="16"/>
                <w:szCs w:val="16"/>
              </w:rPr>
            </w:pPr>
            <w:r>
              <w:rPr>
                <w:rFonts w:ascii="宋体" w:eastAsia="宋体" w:hAnsi="宋体" w:cs="宋体"/>
                <w:spacing w:val="-2"/>
                <w:sz w:val="16"/>
                <w:szCs w:val="16"/>
              </w:rPr>
              <w:t>8.80</w:t>
            </w:r>
          </w:p>
        </w:tc>
        <w:tc>
          <w:tcPr>
            <w:tcW w:w="575" w:type="dxa"/>
          </w:tcPr>
          <w:p w:rsidR="00EA40A3" w:rsidRDefault="00E86C16">
            <w:pPr>
              <w:spacing w:before="108" w:line="174" w:lineRule="auto"/>
              <w:ind w:left="118"/>
              <w:rPr>
                <w:rFonts w:ascii="宋体" w:eastAsia="宋体" w:hAnsi="宋体" w:cs="宋体"/>
                <w:sz w:val="16"/>
                <w:szCs w:val="16"/>
              </w:rPr>
            </w:pPr>
            <w:r>
              <w:rPr>
                <w:rFonts w:ascii="宋体" w:eastAsia="宋体" w:hAnsi="宋体" w:cs="宋体"/>
                <w:spacing w:val="-2"/>
                <w:sz w:val="16"/>
                <w:szCs w:val="16"/>
              </w:rPr>
              <w:t>7.94</w:t>
            </w:r>
          </w:p>
        </w:tc>
        <w:tc>
          <w:tcPr>
            <w:tcW w:w="560" w:type="dxa"/>
          </w:tcPr>
          <w:p w:rsidR="00EA40A3" w:rsidRDefault="00E86C16">
            <w:pPr>
              <w:spacing w:before="116" w:line="164" w:lineRule="auto"/>
              <w:ind w:left="112"/>
              <w:rPr>
                <w:rFonts w:ascii="宋体" w:eastAsia="宋体" w:hAnsi="宋体" w:cs="宋体"/>
                <w:sz w:val="16"/>
                <w:szCs w:val="16"/>
              </w:rPr>
            </w:pPr>
            <w:r>
              <w:rPr>
                <w:rFonts w:ascii="宋体" w:eastAsia="宋体" w:hAnsi="宋体" w:cs="宋体"/>
                <w:spacing w:val="-2"/>
                <w:sz w:val="16"/>
                <w:szCs w:val="16"/>
              </w:rPr>
              <w:t>2100</w:t>
            </w:r>
          </w:p>
        </w:tc>
        <w:tc>
          <w:tcPr>
            <w:tcW w:w="703" w:type="dxa"/>
          </w:tcPr>
          <w:p w:rsidR="00EA40A3" w:rsidRDefault="00E86C16">
            <w:pPr>
              <w:spacing w:before="86" w:line="184" w:lineRule="auto"/>
              <w:ind w:left="182"/>
              <w:rPr>
                <w:rFonts w:ascii="宋体" w:eastAsia="宋体" w:hAnsi="宋体" w:cs="宋体"/>
                <w:sz w:val="16"/>
                <w:szCs w:val="16"/>
              </w:rPr>
            </w:pPr>
            <w:r>
              <w:rPr>
                <w:rFonts w:ascii="宋体" w:eastAsia="宋体" w:hAnsi="宋体" w:cs="宋体"/>
                <w:spacing w:val="-4"/>
                <w:sz w:val="16"/>
                <w:szCs w:val="16"/>
              </w:rPr>
              <w:t>1900</w:t>
            </w:r>
          </w:p>
        </w:tc>
      </w:tr>
      <w:tr w:rsidR="00EA40A3">
        <w:trPr>
          <w:trHeight w:val="255"/>
        </w:trPr>
        <w:tc>
          <w:tcPr>
            <w:tcW w:w="3610" w:type="dxa"/>
            <w:gridSpan w:val="3"/>
            <w:tcBorders>
              <w:bottom w:val="single" w:sz="4" w:space="0" w:color="000000"/>
              <w:right w:val="single" w:sz="4" w:space="0" w:color="000000"/>
            </w:tcBorders>
          </w:tcPr>
          <w:p w:rsidR="00EA40A3" w:rsidRDefault="00E86C16">
            <w:pPr>
              <w:spacing w:before="47" w:line="205" w:lineRule="auto"/>
              <w:ind w:left="50"/>
              <w:rPr>
                <w:rFonts w:ascii="宋体" w:eastAsia="宋体" w:hAnsi="宋体" w:cs="宋体"/>
                <w:sz w:val="16"/>
                <w:szCs w:val="16"/>
              </w:rPr>
            </w:pPr>
            <w:r>
              <w:rPr>
                <w:rFonts w:ascii="宋体" w:eastAsia="宋体" w:hAnsi="宋体" w:cs="宋体"/>
                <w:spacing w:val="-3"/>
                <w:position w:val="2"/>
                <w:sz w:val="16"/>
                <w:szCs w:val="16"/>
              </w:rPr>
              <w:t>轻体力活动</w:t>
            </w:r>
            <w:r>
              <w:rPr>
                <w:rFonts w:ascii="宋体" w:eastAsia="宋体" w:hAnsi="宋体" w:cs="宋体"/>
                <w:spacing w:val="17"/>
                <w:position w:val="2"/>
                <w:sz w:val="16"/>
                <w:szCs w:val="16"/>
              </w:rPr>
              <w:t xml:space="preserve">  </w:t>
            </w:r>
            <w:r>
              <w:rPr>
                <w:rFonts w:ascii="宋体" w:eastAsia="宋体" w:hAnsi="宋体" w:cs="宋体"/>
                <w:spacing w:val="-3"/>
                <w:position w:val="-1"/>
                <w:sz w:val="16"/>
                <w:szCs w:val="16"/>
              </w:rPr>
              <w:t>10.04</w:t>
            </w:r>
            <w:r>
              <w:rPr>
                <w:rFonts w:ascii="宋体" w:eastAsia="宋体" w:hAnsi="宋体" w:cs="宋体"/>
                <w:spacing w:val="19"/>
                <w:position w:val="-1"/>
                <w:sz w:val="16"/>
                <w:szCs w:val="16"/>
              </w:rPr>
              <w:t xml:space="preserve">   </w:t>
            </w:r>
            <w:r>
              <w:rPr>
                <w:rFonts w:ascii="宋体" w:eastAsia="宋体" w:hAnsi="宋体" w:cs="宋体"/>
                <w:spacing w:val="-3"/>
                <w:position w:val="-1"/>
                <w:sz w:val="16"/>
                <w:szCs w:val="16"/>
              </w:rPr>
              <w:t>8.80</w:t>
            </w:r>
            <w:r>
              <w:rPr>
                <w:rFonts w:ascii="宋体" w:eastAsia="宋体" w:hAnsi="宋体" w:cs="宋体"/>
                <w:spacing w:val="7"/>
                <w:position w:val="-1"/>
                <w:sz w:val="16"/>
                <w:szCs w:val="16"/>
              </w:rPr>
              <w:t xml:space="preserve">    </w:t>
            </w:r>
            <w:r>
              <w:rPr>
                <w:rFonts w:ascii="宋体" w:eastAsia="宋体" w:hAnsi="宋体" w:cs="宋体"/>
                <w:spacing w:val="-3"/>
                <w:position w:val="-1"/>
                <w:sz w:val="16"/>
                <w:szCs w:val="16"/>
              </w:rPr>
              <w:t>2400</w:t>
            </w:r>
            <w:r>
              <w:rPr>
                <w:rFonts w:ascii="宋体" w:eastAsia="宋体" w:hAnsi="宋体" w:cs="宋体"/>
                <w:spacing w:val="9"/>
                <w:position w:val="-1"/>
                <w:sz w:val="16"/>
                <w:szCs w:val="16"/>
              </w:rPr>
              <w:t xml:space="preserve">    </w:t>
            </w:r>
            <w:r>
              <w:rPr>
                <w:rFonts w:ascii="宋体" w:eastAsia="宋体" w:hAnsi="宋体" w:cs="宋体"/>
                <w:spacing w:val="-3"/>
                <w:position w:val="-1"/>
                <w:sz w:val="16"/>
                <w:szCs w:val="16"/>
              </w:rPr>
              <w:t>2100</w:t>
            </w:r>
          </w:p>
        </w:tc>
        <w:tc>
          <w:tcPr>
            <w:tcW w:w="1275" w:type="dxa"/>
            <w:tcBorders>
              <w:left w:val="single" w:sz="4" w:space="0" w:color="000000"/>
              <w:bottom w:val="single" w:sz="4" w:space="0" w:color="000000"/>
            </w:tcBorders>
          </w:tcPr>
          <w:p w:rsidR="00EA40A3" w:rsidRDefault="00E86C16">
            <w:pPr>
              <w:spacing w:before="108" w:line="169" w:lineRule="auto"/>
              <w:ind w:left="145"/>
              <w:rPr>
                <w:rFonts w:ascii="宋体" w:eastAsia="宋体" w:hAnsi="宋体" w:cs="宋体"/>
                <w:sz w:val="16"/>
                <w:szCs w:val="16"/>
              </w:rPr>
            </w:pPr>
            <w:r>
              <w:rPr>
                <w:rFonts w:ascii="宋体" w:eastAsia="宋体" w:hAnsi="宋体" w:cs="宋体"/>
                <w:spacing w:val="13"/>
                <w:w w:val="108"/>
                <w:sz w:val="16"/>
                <w:szCs w:val="16"/>
              </w:rPr>
              <w:t>80~</w:t>
            </w:r>
          </w:p>
        </w:tc>
        <w:tc>
          <w:tcPr>
            <w:tcW w:w="517" w:type="dxa"/>
            <w:tcBorders>
              <w:bottom w:val="single" w:sz="4" w:space="0" w:color="000000"/>
            </w:tcBorders>
          </w:tcPr>
          <w:p w:rsidR="00EA40A3" w:rsidRDefault="00E86C16">
            <w:pPr>
              <w:spacing w:before="108" w:line="169" w:lineRule="auto"/>
              <w:ind w:left="85"/>
              <w:rPr>
                <w:rFonts w:ascii="宋体" w:eastAsia="宋体" w:hAnsi="宋体" w:cs="宋体"/>
                <w:sz w:val="16"/>
                <w:szCs w:val="16"/>
              </w:rPr>
            </w:pPr>
            <w:r>
              <w:rPr>
                <w:rFonts w:ascii="宋体" w:eastAsia="宋体" w:hAnsi="宋体" w:cs="宋体"/>
                <w:spacing w:val="-2"/>
                <w:sz w:val="16"/>
                <w:szCs w:val="16"/>
              </w:rPr>
              <w:t>7.94</w:t>
            </w:r>
          </w:p>
        </w:tc>
        <w:tc>
          <w:tcPr>
            <w:tcW w:w="575" w:type="dxa"/>
            <w:tcBorders>
              <w:bottom w:val="single" w:sz="4" w:space="0" w:color="000000"/>
            </w:tcBorders>
          </w:tcPr>
          <w:p w:rsidR="00EA40A3" w:rsidRDefault="00E86C16">
            <w:pPr>
              <w:spacing w:before="98" w:line="181" w:lineRule="auto"/>
              <w:ind w:left="128"/>
              <w:rPr>
                <w:rFonts w:ascii="宋体" w:eastAsia="宋体" w:hAnsi="宋体" w:cs="宋体"/>
                <w:sz w:val="16"/>
                <w:szCs w:val="16"/>
              </w:rPr>
            </w:pPr>
            <w:r>
              <w:rPr>
                <w:rFonts w:ascii="宋体" w:eastAsia="宋体" w:hAnsi="宋体" w:cs="宋体"/>
                <w:spacing w:val="-2"/>
                <w:sz w:val="16"/>
                <w:szCs w:val="16"/>
              </w:rPr>
              <w:t>7.10</w:t>
            </w:r>
          </w:p>
        </w:tc>
        <w:tc>
          <w:tcPr>
            <w:tcW w:w="560" w:type="dxa"/>
            <w:tcBorders>
              <w:bottom w:val="single" w:sz="4" w:space="0" w:color="000000"/>
            </w:tcBorders>
          </w:tcPr>
          <w:p w:rsidR="00EA40A3" w:rsidRDefault="00E86C16">
            <w:pPr>
              <w:spacing w:before="87" w:line="184" w:lineRule="auto"/>
              <w:ind w:left="112"/>
              <w:rPr>
                <w:rFonts w:ascii="宋体" w:eastAsia="宋体" w:hAnsi="宋体" w:cs="宋体"/>
                <w:sz w:val="16"/>
                <w:szCs w:val="16"/>
              </w:rPr>
            </w:pPr>
            <w:r>
              <w:rPr>
                <w:rFonts w:ascii="宋体" w:eastAsia="宋体" w:hAnsi="宋体" w:cs="宋体"/>
                <w:spacing w:val="-4"/>
                <w:sz w:val="16"/>
                <w:szCs w:val="16"/>
              </w:rPr>
              <w:t>1900</w:t>
            </w:r>
          </w:p>
        </w:tc>
        <w:tc>
          <w:tcPr>
            <w:tcW w:w="703" w:type="dxa"/>
            <w:tcBorders>
              <w:bottom w:val="single" w:sz="4" w:space="0" w:color="000000"/>
            </w:tcBorders>
          </w:tcPr>
          <w:p w:rsidR="00EA40A3" w:rsidRDefault="00E86C16">
            <w:pPr>
              <w:spacing w:before="108" w:line="169" w:lineRule="auto"/>
              <w:ind w:left="213"/>
              <w:rPr>
                <w:rFonts w:ascii="宋体" w:eastAsia="宋体" w:hAnsi="宋体" w:cs="宋体"/>
                <w:sz w:val="16"/>
                <w:szCs w:val="16"/>
              </w:rPr>
            </w:pPr>
            <w:r>
              <w:rPr>
                <w:rFonts w:ascii="宋体" w:eastAsia="宋体" w:hAnsi="宋体" w:cs="宋体"/>
                <w:spacing w:val="-4"/>
                <w:sz w:val="16"/>
                <w:szCs w:val="16"/>
              </w:rPr>
              <w:t>1700</w:t>
            </w:r>
          </w:p>
        </w:tc>
      </w:tr>
    </w:tbl>
    <w:p w:rsidR="00EA40A3" w:rsidRDefault="00E86C16">
      <w:pPr>
        <w:spacing w:before="101" w:line="219" w:lineRule="auto"/>
        <w:ind w:left="270"/>
        <w:rPr>
          <w:rFonts w:ascii="宋体" w:eastAsia="宋体" w:hAnsi="宋体" w:cs="宋体"/>
          <w:sz w:val="16"/>
          <w:szCs w:val="16"/>
        </w:rPr>
      </w:pPr>
      <w:r>
        <w:rPr>
          <w:rFonts w:ascii="宋体" w:eastAsia="宋体" w:hAnsi="宋体" w:cs="宋体"/>
          <w:sz w:val="16"/>
          <w:szCs w:val="16"/>
        </w:rPr>
        <w:t>资料来源：中国营养学会.2000.中国居民膳食营养素参考摄入</w:t>
      </w:r>
      <w:r>
        <w:rPr>
          <w:rFonts w:ascii="宋体" w:eastAsia="宋体" w:hAnsi="宋体" w:cs="宋体"/>
          <w:spacing w:val="-1"/>
          <w:sz w:val="16"/>
          <w:szCs w:val="16"/>
        </w:rPr>
        <w:t>量，北京：中国轻工业出版社</w:t>
      </w:r>
    </w:p>
    <w:p w:rsidR="00EA40A3" w:rsidRDefault="00EA40A3">
      <w:pPr>
        <w:sectPr w:rsidR="00EA40A3">
          <w:footerReference w:type="default" r:id="rId47"/>
          <w:pgSz w:w="9220" w:h="13360"/>
          <w:pgMar w:top="400" w:right="910" w:bottom="1231" w:left="939" w:header="0" w:footer="1062" w:gutter="0"/>
          <w:cols w:space="720"/>
        </w:sectPr>
      </w:pPr>
    </w:p>
    <w:p w:rsidR="00EA40A3" w:rsidRDefault="00EA40A3">
      <w:pPr>
        <w:spacing w:line="354" w:lineRule="auto"/>
      </w:pPr>
    </w:p>
    <w:p w:rsidR="00EA40A3" w:rsidRDefault="00EA40A3">
      <w:pPr>
        <w:spacing w:line="355" w:lineRule="auto"/>
      </w:pPr>
    </w:p>
    <w:p w:rsidR="00EA40A3" w:rsidRDefault="00E86C16">
      <w:pPr>
        <w:spacing w:before="71" w:line="221" w:lineRule="auto"/>
        <w:ind w:left="60"/>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35"/>
          <w:sz w:val="22"/>
          <w:szCs w:val="22"/>
        </w:rPr>
        <w:t xml:space="preserve"> </w:t>
      </w:r>
      <w:r>
        <w:rPr>
          <w:rFonts w:ascii="仿宋" w:eastAsia="仿宋" w:hAnsi="仿宋" w:cs="仿宋"/>
          <w:spacing w:val="13"/>
          <w:sz w:val="22"/>
          <w:szCs w:val="22"/>
        </w:rPr>
        <w:t>能量的食物来源与构成</w:t>
      </w:r>
    </w:p>
    <w:p w:rsidR="00EA40A3" w:rsidRDefault="00E86C16">
      <w:pPr>
        <w:spacing w:before="182" w:line="247" w:lineRule="auto"/>
        <w:ind w:left="60" w:right="20" w:firstLine="429"/>
        <w:jc w:val="both"/>
        <w:rPr>
          <w:rFonts w:ascii="宋体" w:eastAsia="宋体" w:hAnsi="宋体" w:cs="宋体"/>
          <w:sz w:val="22"/>
          <w:szCs w:val="22"/>
        </w:rPr>
      </w:pPr>
      <w:r>
        <w:rPr>
          <w:rFonts w:ascii="宋体" w:eastAsia="宋体" w:hAnsi="宋体" w:cs="宋体"/>
          <w:spacing w:val="-14"/>
          <w:sz w:val="22"/>
          <w:szCs w:val="22"/>
        </w:rPr>
        <w:t>能量来源于食物中的碳水化合物、脂肪和蛋白质，按照等能定律，从能量供</w:t>
      </w:r>
      <w:r>
        <w:rPr>
          <w:rFonts w:ascii="宋体" w:eastAsia="宋体" w:hAnsi="宋体" w:cs="宋体"/>
          <w:spacing w:val="8"/>
          <w:sz w:val="22"/>
          <w:szCs w:val="22"/>
        </w:rPr>
        <w:t xml:space="preserve"> </w:t>
      </w:r>
      <w:r>
        <w:rPr>
          <w:rFonts w:ascii="宋体" w:eastAsia="宋体" w:hAnsi="宋体" w:cs="宋体"/>
          <w:spacing w:val="-4"/>
          <w:sz w:val="22"/>
          <w:szCs w:val="22"/>
        </w:rPr>
        <w:t>给上讲，3种物质比例的变化并不影响能量的摄取，可以在一定程度上相互代</w:t>
      </w:r>
      <w:r>
        <w:rPr>
          <w:rFonts w:ascii="宋体" w:eastAsia="宋体" w:hAnsi="宋体" w:cs="宋体"/>
          <w:spacing w:val="6"/>
          <w:sz w:val="22"/>
          <w:szCs w:val="22"/>
        </w:rPr>
        <w:t xml:space="preserve"> </w:t>
      </w:r>
      <w:r>
        <w:rPr>
          <w:rFonts w:ascii="宋体" w:eastAsia="宋体" w:hAnsi="宋体" w:cs="宋体"/>
          <w:spacing w:val="-4"/>
          <w:sz w:val="22"/>
          <w:szCs w:val="22"/>
        </w:rPr>
        <w:t>替。</w:t>
      </w:r>
      <w:r>
        <w:rPr>
          <w:rFonts w:ascii="宋体" w:eastAsia="宋体" w:hAnsi="宋体" w:cs="宋体"/>
          <w:spacing w:val="-18"/>
          <w:sz w:val="22"/>
          <w:szCs w:val="22"/>
        </w:rPr>
        <w:t xml:space="preserve"> </w:t>
      </w:r>
      <w:r>
        <w:rPr>
          <w:rFonts w:ascii="宋体" w:eastAsia="宋体" w:hAnsi="宋体" w:cs="宋体"/>
          <w:spacing w:val="-4"/>
          <w:sz w:val="22"/>
          <w:szCs w:val="22"/>
        </w:rPr>
        <w:t>1g碳水化合物=0.45g脂肪=</w:t>
      </w:r>
      <w:r>
        <w:rPr>
          <w:rFonts w:ascii="宋体" w:eastAsia="宋体" w:hAnsi="宋体" w:cs="宋体"/>
          <w:spacing w:val="-27"/>
          <w:sz w:val="22"/>
          <w:szCs w:val="22"/>
        </w:rPr>
        <w:t xml:space="preserve"> </w:t>
      </w:r>
      <w:r>
        <w:rPr>
          <w:rFonts w:ascii="宋体" w:eastAsia="宋体" w:hAnsi="宋体" w:cs="宋体"/>
          <w:spacing w:val="-4"/>
          <w:sz w:val="22"/>
          <w:szCs w:val="22"/>
        </w:rPr>
        <w:t>lg</w:t>
      </w:r>
      <w:r>
        <w:rPr>
          <w:rFonts w:ascii="宋体" w:eastAsia="宋体" w:hAnsi="宋体" w:cs="宋体"/>
          <w:spacing w:val="-59"/>
          <w:sz w:val="22"/>
          <w:szCs w:val="22"/>
        </w:rPr>
        <w:t xml:space="preserve"> </w:t>
      </w:r>
      <w:r>
        <w:rPr>
          <w:rFonts w:ascii="宋体" w:eastAsia="宋体" w:hAnsi="宋体" w:cs="宋体"/>
          <w:spacing w:val="-4"/>
          <w:sz w:val="22"/>
          <w:szCs w:val="22"/>
        </w:rPr>
        <w:t>蛋白质，因而在特殊情况下可以摄取一种</w:t>
      </w:r>
      <w:r>
        <w:rPr>
          <w:rFonts w:ascii="宋体" w:eastAsia="宋体" w:hAnsi="宋体" w:cs="宋体"/>
          <w:sz w:val="22"/>
          <w:szCs w:val="22"/>
        </w:rPr>
        <w:t xml:space="preserve"> </w:t>
      </w:r>
      <w:r>
        <w:rPr>
          <w:rFonts w:ascii="宋体" w:eastAsia="宋体" w:hAnsi="宋体" w:cs="宋体"/>
          <w:spacing w:val="-7"/>
          <w:sz w:val="22"/>
          <w:szCs w:val="22"/>
        </w:rPr>
        <w:t>或两种，这也是制造特殊食品的重要依据。不同营养素有其各自特殊的生理作</w:t>
      </w:r>
      <w:r>
        <w:rPr>
          <w:rFonts w:ascii="宋体" w:eastAsia="宋体" w:hAnsi="宋体" w:cs="宋体"/>
          <w:spacing w:val="1"/>
          <w:sz w:val="22"/>
          <w:szCs w:val="22"/>
        </w:rPr>
        <w:t xml:space="preserve"> </w:t>
      </w:r>
      <w:r>
        <w:rPr>
          <w:rFonts w:ascii="宋体" w:eastAsia="宋体" w:hAnsi="宋体" w:cs="宋体"/>
          <w:spacing w:val="-17"/>
          <w:sz w:val="22"/>
          <w:szCs w:val="22"/>
        </w:rPr>
        <w:t>用，长期摄取单一会造成营养不平衡，影响健康。</w:t>
      </w:r>
      <w:r>
        <w:rPr>
          <w:rFonts w:ascii="宋体" w:eastAsia="宋体" w:hAnsi="宋体" w:cs="宋体"/>
          <w:spacing w:val="35"/>
          <w:sz w:val="22"/>
          <w:szCs w:val="22"/>
        </w:rPr>
        <w:t xml:space="preserve"> </w:t>
      </w:r>
      <w:r>
        <w:rPr>
          <w:rFonts w:ascii="宋体" w:eastAsia="宋体" w:hAnsi="宋体" w:cs="宋体"/>
          <w:spacing w:val="-17"/>
          <w:sz w:val="22"/>
          <w:szCs w:val="22"/>
        </w:rPr>
        <w:t>一般条件</w:t>
      </w:r>
      <w:r>
        <w:rPr>
          <w:rFonts w:ascii="宋体" w:eastAsia="宋体" w:hAnsi="宋体" w:cs="宋体"/>
          <w:spacing w:val="-18"/>
          <w:sz w:val="22"/>
          <w:szCs w:val="22"/>
        </w:rPr>
        <w:t>下，碳水化合物是主</w:t>
      </w:r>
      <w:r>
        <w:rPr>
          <w:rFonts w:ascii="宋体" w:eastAsia="宋体" w:hAnsi="宋体" w:cs="宋体"/>
          <w:sz w:val="22"/>
          <w:szCs w:val="22"/>
        </w:rPr>
        <w:t xml:space="preserve"> </w:t>
      </w:r>
      <w:r>
        <w:rPr>
          <w:rFonts w:ascii="宋体" w:eastAsia="宋体" w:hAnsi="宋体" w:cs="宋体"/>
          <w:spacing w:val="-17"/>
          <w:sz w:val="22"/>
          <w:szCs w:val="22"/>
        </w:rPr>
        <w:t>要能量来源，其次是脂肪，蛋白质的主要作用不是供能。</w:t>
      </w:r>
      <w:r>
        <w:rPr>
          <w:rFonts w:ascii="宋体" w:eastAsia="宋体" w:hAnsi="宋体" w:cs="宋体"/>
          <w:spacing w:val="42"/>
          <w:sz w:val="22"/>
          <w:szCs w:val="22"/>
        </w:rPr>
        <w:t xml:space="preserve"> </w:t>
      </w:r>
      <w:r>
        <w:rPr>
          <w:rFonts w:ascii="宋体" w:eastAsia="宋体" w:hAnsi="宋体" w:cs="宋体"/>
          <w:spacing w:val="-17"/>
          <w:sz w:val="22"/>
          <w:szCs w:val="22"/>
        </w:rPr>
        <w:t>一般建议成人的碳水化</w:t>
      </w:r>
      <w:r>
        <w:rPr>
          <w:rFonts w:ascii="宋体" w:eastAsia="宋体" w:hAnsi="宋体" w:cs="宋体"/>
          <w:sz w:val="22"/>
          <w:szCs w:val="22"/>
        </w:rPr>
        <w:t xml:space="preserve"> </w:t>
      </w:r>
      <w:r>
        <w:rPr>
          <w:rFonts w:ascii="宋体" w:eastAsia="宋体" w:hAnsi="宋体" w:cs="宋体"/>
          <w:spacing w:val="10"/>
          <w:sz w:val="22"/>
          <w:szCs w:val="22"/>
        </w:rPr>
        <w:t>合物占能量的55%～65%、脂肪占20%～30%、蛋白质占11%～15%。</w:t>
      </w:r>
    </w:p>
    <w:p w:rsidR="00EA40A3" w:rsidRDefault="00E86C16">
      <w:pPr>
        <w:spacing w:before="76" w:line="247" w:lineRule="auto"/>
        <w:ind w:left="60" w:firstLine="429"/>
        <w:jc w:val="both"/>
        <w:rPr>
          <w:rFonts w:ascii="宋体" w:eastAsia="宋体" w:hAnsi="宋体" w:cs="宋体"/>
          <w:sz w:val="22"/>
          <w:szCs w:val="22"/>
        </w:rPr>
      </w:pPr>
      <w:r>
        <w:rPr>
          <w:rFonts w:ascii="宋体" w:eastAsia="宋体" w:hAnsi="宋体" w:cs="宋体"/>
          <w:spacing w:val="-13"/>
          <w:sz w:val="22"/>
          <w:szCs w:val="22"/>
        </w:rPr>
        <w:t>碳水化合物、脂类和蛋白质广泛存在于各类食物中。粮谷类和薯类含碳水化</w:t>
      </w:r>
      <w:r>
        <w:rPr>
          <w:rFonts w:ascii="宋体" w:eastAsia="宋体" w:hAnsi="宋体" w:cs="宋体"/>
          <w:spacing w:val="16"/>
          <w:sz w:val="22"/>
          <w:szCs w:val="22"/>
        </w:rPr>
        <w:t xml:space="preserve"> </w:t>
      </w:r>
      <w:r>
        <w:rPr>
          <w:rFonts w:ascii="宋体" w:eastAsia="宋体" w:hAnsi="宋体" w:cs="宋体"/>
          <w:spacing w:val="-13"/>
          <w:sz w:val="22"/>
          <w:szCs w:val="22"/>
        </w:rPr>
        <w:t>合物较多，是中国膳食能量主要来源；油料作物中富含脂肪，大豆</w:t>
      </w:r>
      <w:r>
        <w:rPr>
          <w:rFonts w:ascii="宋体" w:eastAsia="宋体" w:hAnsi="宋体" w:cs="宋体"/>
          <w:spacing w:val="-14"/>
          <w:sz w:val="22"/>
          <w:szCs w:val="22"/>
        </w:rPr>
        <w:t>和坚果类含丰</w:t>
      </w:r>
      <w:r>
        <w:rPr>
          <w:rFonts w:ascii="宋体" w:eastAsia="宋体" w:hAnsi="宋体" w:cs="宋体"/>
          <w:sz w:val="22"/>
          <w:szCs w:val="22"/>
        </w:rPr>
        <w:t xml:space="preserve"> </w:t>
      </w:r>
      <w:r>
        <w:rPr>
          <w:rFonts w:ascii="宋体" w:eastAsia="宋体" w:hAnsi="宋体" w:cs="宋体"/>
          <w:spacing w:val="-14"/>
          <w:sz w:val="22"/>
          <w:szCs w:val="22"/>
        </w:rPr>
        <w:t>富的油脂和蛋白质，是膳食能量辅助来源之一；蔬菜、水果含能量较少。动物性</w:t>
      </w:r>
      <w:r>
        <w:rPr>
          <w:rFonts w:ascii="宋体" w:eastAsia="宋体" w:hAnsi="宋体" w:cs="宋体"/>
          <w:spacing w:val="18"/>
          <w:sz w:val="22"/>
          <w:szCs w:val="22"/>
        </w:rPr>
        <w:t xml:space="preserve"> </w:t>
      </w:r>
      <w:r>
        <w:rPr>
          <w:rFonts w:ascii="宋体" w:eastAsia="宋体" w:hAnsi="宋体" w:cs="宋体"/>
          <w:spacing w:val="-13"/>
          <w:sz w:val="22"/>
          <w:szCs w:val="22"/>
        </w:rPr>
        <w:t>食品含较多的动物脂肪和蛋白质，也是膳食能量的重要构成部分</w:t>
      </w:r>
      <w:r>
        <w:rPr>
          <w:rFonts w:ascii="宋体" w:eastAsia="宋体" w:hAnsi="宋体" w:cs="宋体"/>
          <w:spacing w:val="-14"/>
          <w:sz w:val="22"/>
          <w:szCs w:val="22"/>
        </w:rPr>
        <w:t>。从能量合理摄</w:t>
      </w:r>
      <w:r>
        <w:rPr>
          <w:rFonts w:ascii="宋体" w:eastAsia="宋体" w:hAnsi="宋体" w:cs="宋体"/>
          <w:sz w:val="22"/>
          <w:szCs w:val="22"/>
        </w:rPr>
        <w:t xml:space="preserve"> </w:t>
      </w:r>
      <w:r>
        <w:rPr>
          <w:rFonts w:ascii="宋体" w:eastAsia="宋体" w:hAnsi="宋体" w:cs="宋体"/>
          <w:spacing w:val="-14"/>
          <w:sz w:val="22"/>
          <w:szCs w:val="22"/>
        </w:rPr>
        <w:t>入的角度，采用以植物性食物为主的膳食，并与动物性食物相平衡，避免经常性</w:t>
      </w:r>
      <w:r>
        <w:rPr>
          <w:rFonts w:ascii="宋体" w:eastAsia="宋体" w:hAnsi="宋体" w:cs="宋体"/>
          <w:spacing w:val="6"/>
          <w:sz w:val="22"/>
          <w:szCs w:val="22"/>
        </w:rPr>
        <w:t xml:space="preserve"> </w:t>
      </w:r>
      <w:r>
        <w:rPr>
          <w:rFonts w:ascii="宋体" w:eastAsia="宋体" w:hAnsi="宋体" w:cs="宋体"/>
          <w:spacing w:val="-13"/>
          <w:sz w:val="22"/>
          <w:szCs w:val="22"/>
        </w:rPr>
        <w:t>的高能量高脂肪膳食是必要的。在能量满足的前提下，保证三大</w:t>
      </w:r>
      <w:r>
        <w:rPr>
          <w:rFonts w:ascii="宋体" w:eastAsia="宋体" w:hAnsi="宋体" w:cs="宋体"/>
          <w:spacing w:val="-14"/>
          <w:sz w:val="22"/>
          <w:szCs w:val="22"/>
        </w:rPr>
        <w:t>能量营养素摄人</w:t>
      </w:r>
      <w:r>
        <w:rPr>
          <w:rFonts w:ascii="宋体" w:eastAsia="宋体" w:hAnsi="宋体" w:cs="宋体"/>
          <w:sz w:val="22"/>
          <w:szCs w:val="22"/>
        </w:rPr>
        <w:t xml:space="preserve"> </w:t>
      </w:r>
      <w:r>
        <w:rPr>
          <w:rFonts w:ascii="宋体" w:eastAsia="宋体" w:hAnsi="宋体" w:cs="宋体"/>
          <w:spacing w:val="-17"/>
          <w:sz w:val="22"/>
          <w:szCs w:val="22"/>
        </w:rPr>
        <w:t>的恰当比例。</w:t>
      </w:r>
    </w:p>
    <w:p w:rsidR="00EA40A3" w:rsidRDefault="00E86C16">
      <w:pPr>
        <w:spacing w:before="323" w:line="219" w:lineRule="auto"/>
        <w:ind w:left="2690"/>
        <w:rPr>
          <w:rFonts w:ascii="宋体" w:eastAsia="宋体" w:hAnsi="宋体" w:cs="宋体"/>
          <w:sz w:val="28"/>
          <w:szCs w:val="28"/>
        </w:rPr>
      </w:pPr>
      <w:r>
        <w:rPr>
          <w:rFonts w:ascii="宋体" w:eastAsia="宋体" w:hAnsi="宋体" w:cs="宋体"/>
          <w:spacing w:val="-4"/>
          <w:sz w:val="28"/>
          <w:szCs w:val="28"/>
        </w:rPr>
        <w:t>3.2</w:t>
      </w:r>
      <w:r>
        <w:rPr>
          <w:rFonts w:ascii="宋体" w:eastAsia="宋体" w:hAnsi="宋体" w:cs="宋体"/>
          <w:spacing w:val="122"/>
          <w:sz w:val="28"/>
          <w:szCs w:val="28"/>
        </w:rPr>
        <w:t xml:space="preserve"> </w:t>
      </w:r>
      <w:r>
        <w:rPr>
          <w:rFonts w:ascii="宋体" w:eastAsia="宋体" w:hAnsi="宋体" w:cs="宋体"/>
          <w:spacing w:val="-4"/>
          <w:sz w:val="28"/>
          <w:szCs w:val="28"/>
        </w:rPr>
        <w:t>碳水化合物</w:t>
      </w:r>
    </w:p>
    <w:p w:rsidR="00EA40A3" w:rsidRDefault="00E86C16">
      <w:pPr>
        <w:spacing w:before="260" w:line="246" w:lineRule="auto"/>
        <w:ind w:left="60" w:right="14" w:firstLine="429"/>
        <w:jc w:val="both"/>
        <w:rPr>
          <w:rFonts w:ascii="宋体" w:eastAsia="宋体" w:hAnsi="宋体" w:cs="宋体"/>
          <w:sz w:val="22"/>
          <w:szCs w:val="22"/>
        </w:rPr>
      </w:pPr>
      <w:r>
        <w:rPr>
          <w:rFonts w:ascii="宋体" w:eastAsia="宋体" w:hAnsi="宋体" w:cs="宋体"/>
          <w:spacing w:val="-10"/>
          <w:sz w:val="22"/>
          <w:szCs w:val="22"/>
        </w:rPr>
        <w:t>碳水化合物</w:t>
      </w:r>
      <w:r>
        <w:rPr>
          <w:rFonts w:ascii="宋体" w:eastAsia="宋体" w:hAnsi="宋体" w:cs="宋体"/>
          <w:spacing w:val="17"/>
          <w:sz w:val="22"/>
          <w:szCs w:val="22"/>
        </w:rPr>
        <w:t xml:space="preserve"> </w:t>
      </w:r>
      <w:r>
        <w:rPr>
          <w:rFonts w:ascii="宋体" w:eastAsia="宋体" w:hAnsi="宋体" w:cs="宋体"/>
          <w:spacing w:val="-10"/>
          <w:sz w:val="22"/>
          <w:szCs w:val="22"/>
        </w:rPr>
        <w:t>(carbohydrate)</w:t>
      </w:r>
      <w:r>
        <w:rPr>
          <w:rFonts w:ascii="宋体" w:eastAsia="宋体" w:hAnsi="宋体" w:cs="宋体"/>
          <w:spacing w:val="-54"/>
          <w:sz w:val="22"/>
          <w:szCs w:val="22"/>
        </w:rPr>
        <w:t xml:space="preserve"> </w:t>
      </w:r>
      <w:r>
        <w:rPr>
          <w:rFonts w:ascii="宋体" w:eastAsia="宋体" w:hAnsi="宋体" w:cs="宋体"/>
          <w:spacing w:val="-10"/>
          <w:sz w:val="22"/>
          <w:szCs w:val="22"/>
        </w:rPr>
        <w:t>是人类能量的最经济和最重要的来源。随着营</w:t>
      </w:r>
      <w:r>
        <w:rPr>
          <w:rFonts w:ascii="宋体" w:eastAsia="宋体" w:hAnsi="宋体" w:cs="宋体"/>
          <w:sz w:val="22"/>
          <w:szCs w:val="22"/>
        </w:rPr>
        <w:t xml:space="preserve"> </w:t>
      </w:r>
      <w:r>
        <w:rPr>
          <w:rFonts w:ascii="宋体" w:eastAsia="宋体" w:hAnsi="宋体" w:cs="宋体"/>
          <w:spacing w:val="-13"/>
          <w:sz w:val="22"/>
          <w:szCs w:val="22"/>
        </w:rPr>
        <w:t>养学研究的深入，人们对碳水化合物生理功能的认识，已经从“提供能</w:t>
      </w:r>
      <w:r>
        <w:rPr>
          <w:rFonts w:ascii="宋体" w:eastAsia="宋体" w:hAnsi="宋体" w:cs="宋体"/>
          <w:spacing w:val="-14"/>
          <w:sz w:val="22"/>
          <w:szCs w:val="22"/>
        </w:rPr>
        <w:t>量”扩展</w:t>
      </w:r>
      <w:r>
        <w:rPr>
          <w:rFonts w:ascii="宋体" w:eastAsia="宋体" w:hAnsi="宋体" w:cs="宋体"/>
          <w:sz w:val="22"/>
          <w:szCs w:val="22"/>
        </w:rPr>
        <w:t xml:space="preserve"> </w:t>
      </w:r>
      <w:r>
        <w:rPr>
          <w:rFonts w:ascii="宋体" w:eastAsia="宋体" w:hAnsi="宋体" w:cs="宋体"/>
          <w:spacing w:val="-13"/>
          <w:sz w:val="22"/>
          <w:szCs w:val="22"/>
        </w:rPr>
        <w:t>到调节血糖、降低血脂、改善肠道细菌等更多的方面，对碳水化</w:t>
      </w:r>
      <w:r>
        <w:rPr>
          <w:rFonts w:ascii="宋体" w:eastAsia="宋体" w:hAnsi="宋体" w:cs="宋体"/>
          <w:spacing w:val="-14"/>
          <w:sz w:val="22"/>
          <w:szCs w:val="22"/>
        </w:rPr>
        <w:t>合物分类学及其</w:t>
      </w:r>
      <w:r>
        <w:rPr>
          <w:rFonts w:ascii="宋体" w:eastAsia="宋体" w:hAnsi="宋体" w:cs="宋体"/>
          <w:sz w:val="22"/>
          <w:szCs w:val="22"/>
        </w:rPr>
        <w:t xml:space="preserve"> </w:t>
      </w:r>
      <w:r>
        <w:rPr>
          <w:rFonts w:ascii="宋体" w:eastAsia="宋体" w:hAnsi="宋体" w:cs="宋体"/>
          <w:spacing w:val="-13"/>
          <w:sz w:val="22"/>
          <w:szCs w:val="22"/>
        </w:rPr>
        <w:t>与慢性病的关系也有了较多的研究成果，这些成果不断地丰富着</w:t>
      </w:r>
      <w:r>
        <w:rPr>
          <w:rFonts w:ascii="宋体" w:eastAsia="宋体" w:hAnsi="宋体" w:cs="宋体"/>
          <w:spacing w:val="-14"/>
          <w:sz w:val="22"/>
          <w:szCs w:val="22"/>
        </w:rPr>
        <w:t>人类对碳水化合</w:t>
      </w:r>
      <w:r>
        <w:rPr>
          <w:rFonts w:ascii="宋体" w:eastAsia="宋体" w:hAnsi="宋体" w:cs="宋体"/>
          <w:sz w:val="22"/>
          <w:szCs w:val="22"/>
        </w:rPr>
        <w:t xml:space="preserve"> </w:t>
      </w:r>
      <w:r>
        <w:rPr>
          <w:rFonts w:ascii="宋体" w:eastAsia="宋体" w:hAnsi="宋体" w:cs="宋体"/>
          <w:spacing w:val="-16"/>
          <w:sz w:val="22"/>
          <w:szCs w:val="22"/>
        </w:rPr>
        <w:t>物营养作用的认识和理解。</w:t>
      </w:r>
    </w:p>
    <w:p w:rsidR="00EA40A3" w:rsidRDefault="00E86C16">
      <w:pPr>
        <w:spacing w:before="194" w:line="221" w:lineRule="auto"/>
        <w:ind w:left="63"/>
        <w:outlineLvl w:val="6"/>
        <w:rPr>
          <w:rFonts w:ascii="黑体" w:eastAsia="黑体" w:hAnsi="黑体" w:cs="黑体"/>
          <w:sz w:val="22"/>
          <w:szCs w:val="22"/>
        </w:rPr>
      </w:pPr>
      <w:r>
        <w:rPr>
          <w:rFonts w:ascii="黑体" w:eastAsia="黑体" w:hAnsi="黑体" w:cs="黑体"/>
          <w:b/>
          <w:bCs/>
          <w:spacing w:val="8"/>
          <w:sz w:val="22"/>
          <w:szCs w:val="22"/>
        </w:rPr>
        <w:t>3.2.1</w:t>
      </w:r>
      <w:r>
        <w:rPr>
          <w:rFonts w:ascii="黑体" w:eastAsia="黑体" w:hAnsi="黑体" w:cs="黑体"/>
          <w:spacing w:val="39"/>
          <w:sz w:val="22"/>
          <w:szCs w:val="22"/>
        </w:rPr>
        <w:t xml:space="preserve">  </w:t>
      </w:r>
      <w:r>
        <w:rPr>
          <w:rFonts w:ascii="黑体" w:eastAsia="黑体" w:hAnsi="黑体" w:cs="黑体"/>
          <w:b/>
          <w:bCs/>
          <w:spacing w:val="8"/>
          <w:sz w:val="22"/>
          <w:szCs w:val="22"/>
        </w:rPr>
        <w:t>食物中碳水化合物的种类</w:t>
      </w:r>
    </w:p>
    <w:p w:rsidR="00EA40A3" w:rsidRDefault="00E86C16">
      <w:pPr>
        <w:spacing w:before="162" w:line="219" w:lineRule="auto"/>
        <w:ind w:left="489"/>
        <w:rPr>
          <w:rFonts w:ascii="宋体" w:eastAsia="宋体" w:hAnsi="宋体" w:cs="宋体"/>
          <w:sz w:val="22"/>
          <w:szCs w:val="22"/>
        </w:rPr>
      </w:pPr>
      <w:r>
        <w:rPr>
          <w:rFonts w:ascii="宋体" w:eastAsia="宋体" w:hAnsi="宋体" w:cs="宋体"/>
          <w:spacing w:val="-3"/>
          <w:sz w:val="22"/>
          <w:szCs w:val="22"/>
        </w:rPr>
        <w:t>1998年FAO/WHO</w:t>
      </w:r>
      <w:r>
        <w:rPr>
          <w:rFonts w:ascii="宋体" w:eastAsia="宋体" w:hAnsi="宋体" w:cs="宋体"/>
          <w:spacing w:val="9"/>
          <w:sz w:val="22"/>
          <w:szCs w:val="22"/>
        </w:rPr>
        <w:t xml:space="preserve">   </w:t>
      </w:r>
      <w:r>
        <w:rPr>
          <w:rFonts w:ascii="宋体" w:eastAsia="宋体" w:hAnsi="宋体" w:cs="宋体"/>
          <w:spacing w:val="-3"/>
          <w:sz w:val="22"/>
          <w:szCs w:val="22"/>
        </w:rPr>
        <w:t>按照碳水化合物的聚合度</w:t>
      </w:r>
      <w:r>
        <w:rPr>
          <w:rFonts w:ascii="宋体" w:eastAsia="宋体" w:hAnsi="宋体" w:cs="宋体"/>
          <w:spacing w:val="-12"/>
          <w:sz w:val="22"/>
          <w:szCs w:val="22"/>
        </w:rPr>
        <w:t xml:space="preserve"> </w:t>
      </w:r>
      <w:r>
        <w:rPr>
          <w:rFonts w:ascii="宋体" w:eastAsia="宋体" w:hAnsi="宋体" w:cs="宋体"/>
          <w:spacing w:val="-3"/>
          <w:sz w:val="22"/>
          <w:szCs w:val="22"/>
        </w:rPr>
        <w:t>(DP)</w:t>
      </w:r>
      <w:r>
        <w:rPr>
          <w:rFonts w:ascii="宋体" w:eastAsia="宋体" w:hAnsi="宋体" w:cs="宋体"/>
          <w:spacing w:val="87"/>
          <w:sz w:val="22"/>
          <w:szCs w:val="22"/>
        </w:rPr>
        <w:t xml:space="preserve"> </w:t>
      </w:r>
      <w:r>
        <w:rPr>
          <w:rFonts w:ascii="宋体" w:eastAsia="宋体" w:hAnsi="宋体" w:cs="宋体"/>
          <w:spacing w:val="-3"/>
          <w:sz w:val="22"/>
          <w:szCs w:val="22"/>
        </w:rPr>
        <w:t>将其分为糖、低聚糖</w:t>
      </w:r>
    </w:p>
    <w:p w:rsidR="00EA40A3" w:rsidRDefault="00E86C16">
      <w:pPr>
        <w:spacing w:before="9" w:line="219" w:lineRule="auto"/>
        <w:ind w:left="60"/>
        <w:rPr>
          <w:rFonts w:ascii="宋体" w:eastAsia="宋体" w:hAnsi="宋体" w:cs="宋体"/>
          <w:sz w:val="22"/>
          <w:szCs w:val="22"/>
        </w:rPr>
      </w:pPr>
      <w:r>
        <w:rPr>
          <w:rFonts w:ascii="宋体" w:eastAsia="宋体" w:hAnsi="宋体" w:cs="宋体"/>
          <w:spacing w:val="5"/>
          <w:sz w:val="22"/>
          <w:szCs w:val="22"/>
        </w:rPr>
        <w:t>和多糖3类(表3-7)。</w:t>
      </w:r>
    </w:p>
    <w:p w:rsidR="00EA40A3" w:rsidRDefault="00E86C16">
      <w:pPr>
        <w:spacing w:before="173" w:line="221" w:lineRule="auto"/>
        <w:ind w:left="2472"/>
        <w:rPr>
          <w:rFonts w:ascii="黑体" w:eastAsia="黑体" w:hAnsi="黑体" w:cs="黑体"/>
          <w:sz w:val="19"/>
          <w:szCs w:val="19"/>
        </w:rPr>
      </w:pPr>
      <w:r>
        <w:rPr>
          <w:rFonts w:ascii="黑体" w:eastAsia="黑体" w:hAnsi="黑体" w:cs="黑体"/>
          <w:b/>
          <w:bCs/>
          <w:spacing w:val="-11"/>
          <w:sz w:val="19"/>
          <w:szCs w:val="19"/>
        </w:rPr>
        <w:t>表3-7</w:t>
      </w:r>
      <w:r>
        <w:rPr>
          <w:rFonts w:ascii="黑体" w:eastAsia="黑体" w:hAnsi="黑体" w:cs="黑体"/>
          <w:spacing w:val="71"/>
          <w:sz w:val="19"/>
          <w:szCs w:val="19"/>
        </w:rPr>
        <w:t xml:space="preserve"> </w:t>
      </w:r>
      <w:r>
        <w:rPr>
          <w:rFonts w:ascii="黑体" w:eastAsia="黑体" w:hAnsi="黑体" w:cs="黑体"/>
          <w:b/>
          <w:bCs/>
          <w:spacing w:val="-11"/>
          <w:sz w:val="19"/>
          <w:szCs w:val="19"/>
        </w:rPr>
        <w:t>主要的膳食碳水化合物</w:t>
      </w:r>
    </w:p>
    <w:p w:rsidR="00EA40A3" w:rsidRDefault="00EA40A3">
      <w:pPr>
        <w:spacing w:line="14" w:lineRule="exact"/>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930"/>
        <w:gridCol w:w="2097"/>
        <w:gridCol w:w="3302"/>
      </w:tblGrid>
      <w:tr w:rsidR="00EA40A3">
        <w:trPr>
          <w:trHeight w:val="263"/>
        </w:trPr>
        <w:tc>
          <w:tcPr>
            <w:tcW w:w="1930" w:type="dxa"/>
            <w:tcBorders>
              <w:top w:val="single" w:sz="4" w:space="0" w:color="000000"/>
              <w:bottom w:val="single" w:sz="4" w:space="0" w:color="000000"/>
            </w:tcBorders>
          </w:tcPr>
          <w:p w:rsidR="00EA40A3" w:rsidRDefault="00E86C16">
            <w:pPr>
              <w:spacing w:before="80" w:line="210" w:lineRule="auto"/>
              <w:ind w:left="639"/>
              <w:rPr>
                <w:rFonts w:ascii="宋体" w:eastAsia="宋体" w:hAnsi="宋体" w:cs="宋体"/>
                <w:sz w:val="16"/>
                <w:szCs w:val="16"/>
              </w:rPr>
            </w:pPr>
            <w:r>
              <w:rPr>
                <w:rFonts w:ascii="宋体" w:eastAsia="宋体" w:hAnsi="宋体" w:cs="宋体"/>
                <w:spacing w:val="8"/>
                <w:sz w:val="16"/>
                <w:szCs w:val="16"/>
              </w:rPr>
              <w:t>分类(</w:t>
            </w:r>
            <w:r>
              <w:rPr>
                <w:rFonts w:ascii="宋体" w:eastAsia="宋体" w:hAnsi="宋体" w:cs="宋体"/>
                <w:sz w:val="16"/>
                <w:szCs w:val="16"/>
              </w:rPr>
              <w:t>DP</w:t>
            </w:r>
            <w:r>
              <w:rPr>
                <w:rFonts w:ascii="宋体" w:eastAsia="宋体" w:hAnsi="宋体" w:cs="宋体"/>
                <w:spacing w:val="8"/>
                <w:sz w:val="16"/>
                <w:szCs w:val="16"/>
              </w:rPr>
              <w:t>)</w:t>
            </w:r>
          </w:p>
        </w:tc>
        <w:tc>
          <w:tcPr>
            <w:tcW w:w="2097" w:type="dxa"/>
            <w:tcBorders>
              <w:top w:val="single" w:sz="4" w:space="0" w:color="000000"/>
              <w:bottom w:val="single" w:sz="4" w:space="0" w:color="000000"/>
            </w:tcBorders>
          </w:tcPr>
          <w:p w:rsidR="00EA40A3" w:rsidRDefault="00E86C16">
            <w:pPr>
              <w:spacing w:before="111" w:line="187" w:lineRule="auto"/>
              <w:ind w:left="890"/>
              <w:rPr>
                <w:rFonts w:ascii="宋体" w:eastAsia="宋体" w:hAnsi="宋体" w:cs="宋体"/>
                <w:sz w:val="15"/>
                <w:szCs w:val="15"/>
              </w:rPr>
            </w:pPr>
            <w:r>
              <w:rPr>
                <w:rFonts w:ascii="宋体" w:eastAsia="宋体" w:hAnsi="宋体" w:cs="宋体"/>
                <w:spacing w:val="6"/>
                <w:sz w:val="15"/>
                <w:szCs w:val="15"/>
              </w:rPr>
              <w:t>亚组</w:t>
            </w:r>
          </w:p>
        </w:tc>
        <w:tc>
          <w:tcPr>
            <w:tcW w:w="3302" w:type="dxa"/>
            <w:tcBorders>
              <w:top w:val="single" w:sz="4" w:space="0" w:color="000000"/>
              <w:bottom w:val="single" w:sz="4" w:space="0" w:color="000000"/>
            </w:tcBorders>
          </w:tcPr>
          <w:p w:rsidR="00EA40A3" w:rsidRDefault="00E86C16">
            <w:pPr>
              <w:spacing w:before="82" w:line="208" w:lineRule="auto"/>
              <w:ind w:left="1493"/>
              <w:rPr>
                <w:rFonts w:ascii="宋体" w:eastAsia="宋体" w:hAnsi="宋体" w:cs="宋体"/>
                <w:sz w:val="16"/>
                <w:szCs w:val="16"/>
              </w:rPr>
            </w:pPr>
            <w:r>
              <w:rPr>
                <w:rFonts w:ascii="宋体" w:eastAsia="宋体" w:hAnsi="宋体" w:cs="宋体"/>
                <w:spacing w:val="-3"/>
                <w:sz w:val="16"/>
                <w:szCs w:val="16"/>
              </w:rPr>
              <w:t>组成</w:t>
            </w:r>
          </w:p>
        </w:tc>
      </w:tr>
      <w:tr w:rsidR="00EA40A3">
        <w:trPr>
          <w:trHeight w:val="706"/>
        </w:trPr>
        <w:tc>
          <w:tcPr>
            <w:tcW w:w="1930" w:type="dxa"/>
            <w:tcBorders>
              <w:top w:val="single" w:sz="4" w:space="0" w:color="000000"/>
            </w:tcBorders>
          </w:tcPr>
          <w:p w:rsidR="00EA40A3" w:rsidRDefault="00E86C16">
            <w:pPr>
              <w:spacing w:before="69" w:line="220" w:lineRule="auto"/>
              <w:ind w:left="639"/>
              <w:rPr>
                <w:rFonts w:ascii="宋体" w:eastAsia="宋体" w:hAnsi="宋体" w:cs="宋体"/>
                <w:sz w:val="16"/>
                <w:szCs w:val="16"/>
              </w:rPr>
            </w:pPr>
            <w:r>
              <w:rPr>
                <w:rFonts w:ascii="宋体" w:eastAsia="宋体" w:hAnsi="宋体" w:cs="宋体"/>
                <w:spacing w:val="5"/>
                <w:sz w:val="16"/>
                <w:szCs w:val="16"/>
              </w:rPr>
              <w:t>糖(1～2)</w:t>
            </w:r>
          </w:p>
        </w:tc>
        <w:tc>
          <w:tcPr>
            <w:tcW w:w="2097" w:type="dxa"/>
            <w:tcBorders>
              <w:top w:val="single" w:sz="4" w:space="0" w:color="000000"/>
            </w:tcBorders>
          </w:tcPr>
          <w:p w:rsidR="00EA40A3" w:rsidRDefault="00E86C16">
            <w:pPr>
              <w:spacing w:before="68" w:line="241" w:lineRule="exact"/>
              <w:ind w:left="489"/>
              <w:rPr>
                <w:rFonts w:ascii="宋体" w:eastAsia="宋体" w:hAnsi="宋体" w:cs="宋体"/>
                <w:sz w:val="16"/>
                <w:szCs w:val="16"/>
              </w:rPr>
            </w:pPr>
            <w:r>
              <w:rPr>
                <w:rFonts w:ascii="宋体" w:eastAsia="宋体" w:hAnsi="宋体" w:cs="宋体"/>
                <w:spacing w:val="-2"/>
                <w:position w:val="5"/>
                <w:sz w:val="16"/>
                <w:szCs w:val="16"/>
              </w:rPr>
              <w:t>单糖</w:t>
            </w:r>
          </w:p>
          <w:p w:rsidR="00EA40A3" w:rsidRDefault="00E86C16">
            <w:pPr>
              <w:spacing w:line="220" w:lineRule="auto"/>
              <w:ind w:left="489"/>
              <w:rPr>
                <w:rFonts w:ascii="宋体" w:eastAsia="宋体" w:hAnsi="宋体" w:cs="宋体"/>
                <w:sz w:val="16"/>
                <w:szCs w:val="16"/>
              </w:rPr>
            </w:pPr>
            <w:r>
              <w:rPr>
                <w:rFonts w:ascii="宋体" w:eastAsia="宋体" w:hAnsi="宋体" w:cs="宋体"/>
                <w:spacing w:val="-2"/>
                <w:sz w:val="16"/>
                <w:szCs w:val="16"/>
              </w:rPr>
              <w:t>双糖</w:t>
            </w:r>
          </w:p>
          <w:p w:rsidR="00EA40A3" w:rsidRDefault="00E86C16">
            <w:pPr>
              <w:spacing w:before="29" w:line="204" w:lineRule="auto"/>
              <w:ind w:left="489"/>
              <w:rPr>
                <w:rFonts w:ascii="宋体" w:eastAsia="宋体" w:hAnsi="宋体" w:cs="宋体"/>
                <w:sz w:val="16"/>
                <w:szCs w:val="16"/>
              </w:rPr>
            </w:pPr>
            <w:r>
              <w:rPr>
                <w:rFonts w:ascii="宋体" w:eastAsia="宋体" w:hAnsi="宋体" w:cs="宋体"/>
                <w:spacing w:val="-2"/>
                <w:sz w:val="16"/>
                <w:szCs w:val="16"/>
              </w:rPr>
              <w:t>糖醇</w:t>
            </w:r>
          </w:p>
        </w:tc>
        <w:tc>
          <w:tcPr>
            <w:tcW w:w="3302" w:type="dxa"/>
            <w:tcBorders>
              <w:top w:val="single" w:sz="4" w:space="0" w:color="000000"/>
            </w:tcBorders>
          </w:tcPr>
          <w:p w:rsidR="00EA40A3" w:rsidRDefault="00E86C16">
            <w:pPr>
              <w:spacing w:before="48" w:line="241" w:lineRule="exact"/>
              <w:ind w:left="553"/>
              <w:rPr>
                <w:rFonts w:ascii="宋体" w:eastAsia="宋体" w:hAnsi="宋体" w:cs="宋体"/>
                <w:sz w:val="16"/>
                <w:szCs w:val="16"/>
              </w:rPr>
            </w:pPr>
            <w:r>
              <w:rPr>
                <w:rFonts w:ascii="宋体" w:eastAsia="宋体" w:hAnsi="宋体" w:cs="宋体"/>
                <w:spacing w:val="-1"/>
                <w:position w:val="5"/>
                <w:sz w:val="16"/>
                <w:szCs w:val="16"/>
              </w:rPr>
              <w:t>葡萄糖、半乳糖、果糖</w:t>
            </w:r>
          </w:p>
          <w:p w:rsidR="00EA40A3" w:rsidRDefault="00E86C16">
            <w:pPr>
              <w:spacing w:line="220" w:lineRule="auto"/>
              <w:ind w:left="553"/>
              <w:rPr>
                <w:rFonts w:ascii="宋体" w:eastAsia="宋体" w:hAnsi="宋体" w:cs="宋体"/>
                <w:sz w:val="16"/>
                <w:szCs w:val="16"/>
              </w:rPr>
            </w:pPr>
            <w:r>
              <w:rPr>
                <w:rFonts w:ascii="宋体" w:eastAsia="宋体" w:hAnsi="宋体" w:cs="宋体"/>
                <w:spacing w:val="-1"/>
                <w:sz w:val="16"/>
                <w:szCs w:val="16"/>
              </w:rPr>
              <w:t>蔗糖、乳糖、海藻糖</w:t>
            </w:r>
          </w:p>
          <w:p w:rsidR="00EA40A3" w:rsidRDefault="00E86C16">
            <w:pPr>
              <w:spacing w:before="48" w:line="205" w:lineRule="auto"/>
              <w:ind w:left="553"/>
              <w:rPr>
                <w:rFonts w:ascii="宋体" w:eastAsia="宋体" w:hAnsi="宋体" w:cs="宋体"/>
                <w:sz w:val="16"/>
                <w:szCs w:val="16"/>
              </w:rPr>
            </w:pPr>
            <w:r>
              <w:rPr>
                <w:rFonts w:ascii="宋体" w:eastAsia="宋体" w:hAnsi="宋体" w:cs="宋体"/>
                <w:sz w:val="16"/>
                <w:szCs w:val="16"/>
              </w:rPr>
              <w:t>山梨醇、甘露糖醇</w:t>
            </w:r>
          </w:p>
        </w:tc>
      </w:tr>
      <w:tr w:rsidR="00EA40A3">
        <w:trPr>
          <w:trHeight w:val="463"/>
        </w:trPr>
        <w:tc>
          <w:tcPr>
            <w:tcW w:w="1930" w:type="dxa"/>
          </w:tcPr>
          <w:p w:rsidR="00EA40A3" w:rsidRDefault="00E86C16">
            <w:pPr>
              <w:spacing w:before="63" w:line="220" w:lineRule="auto"/>
              <w:ind w:left="479"/>
              <w:rPr>
                <w:rFonts w:ascii="宋体" w:eastAsia="宋体" w:hAnsi="宋体" w:cs="宋体"/>
                <w:sz w:val="16"/>
                <w:szCs w:val="16"/>
              </w:rPr>
            </w:pPr>
            <w:r>
              <w:rPr>
                <w:rFonts w:ascii="宋体" w:eastAsia="宋体" w:hAnsi="宋体" w:cs="宋体"/>
                <w:spacing w:val="4"/>
                <w:sz w:val="16"/>
                <w:szCs w:val="16"/>
              </w:rPr>
              <w:t>低聚糖(3～9)</w:t>
            </w:r>
          </w:p>
        </w:tc>
        <w:tc>
          <w:tcPr>
            <w:tcW w:w="2097" w:type="dxa"/>
          </w:tcPr>
          <w:p w:rsidR="00EA40A3" w:rsidRDefault="00E86C16">
            <w:pPr>
              <w:spacing w:before="31" w:line="261" w:lineRule="exact"/>
              <w:ind w:left="489"/>
              <w:rPr>
                <w:rFonts w:ascii="宋体" w:eastAsia="宋体" w:hAnsi="宋体" w:cs="宋体"/>
                <w:sz w:val="16"/>
                <w:szCs w:val="16"/>
              </w:rPr>
            </w:pPr>
            <w:r>
              <w:rPr>
                <w:rFonts w:ascii="宋体" w:eastAsia="宋体" w:hAnsi="宋体" w:cs="宋体"/>
                <w:spacing w:val="-1"/>
                <w:position w:val="7"/>
                <w:sz w:val="16"/>
                <w:szCs w:val="16"/>
              </w:rPr>
              <w:t>异麦芽低聚寡糖</w:t>
            </w:r>
          </w:p>
          <w:p w:rsidR="00EA40A3" w:rsidRDefault="00E86C16">
            <w:pPr>
              <w:spacing w:line="196" w:lineRule="auto"/>
              <w:ind w:left="489"/>
              <w:rPr>
                <w:rFonts w:ascii="宋体" w:eastAsia="宋体" w:hAnsi="宋体" w:cs="宋体"/>
                <w:sz w:val="16"/>
                <w:szCs w:val="16"/>
              </w:rPr>
            </w:pPr>
            <w:r>
              <w:rPr>
                <w:rFonts w:ascii="宋体" w:eastAsia="宋体" w:hAnsi="宋体" w:cs="宋体"/>
                <w:spacing w:val="-2"/>
                <w:sz w:val="16"/>
                <w:szCs w:val="16"/>
              </w:rPr>
              <w:t>其他寡糖</w:t>
            </w:r>
          </w:p>
        </w:tc>
        <w:tc>
          <w:tcPr>
            <w:tcW w:w="3302" w:type="dxa"/>
          </w:tcPr>
          <w:p w:rsidR="00EA40A3" w:rsidRDefault="00E86C16">
            <w:pPr>
              <w:spacing w:before="51" w:line="219" w:lineRule="auto"/>
              <w:ind w:left="553"/>
              <w:rPr>
                <w:rFonts w:ascii="宋体" w:eastAsia="宋体" w:hAnsi="宋体" w:cs="宋体"/>
                <w:sz w:val="16"/>
                <w:szCs w:val="16"/>
              </w:rPr>
            </w:pPr>
            <w:r>
              <w:rPr>
                <w:rFonts w:ascii="宋体" w:eastAsia="宋体" w:hAnsi="宋体" w:cs="宋体"/>
                <w:spacing w:val="-2"/>
                <w:sz w:val="16"/>
                <w:szCs w:val="16"/>
              </w:rPr>
              <w:t>麦芽糊精</w:t>
            </w:r>
          </w:p>
          <w:p w:rsidR="00EA40A3" w:rsidRDefault="00E86C16">
            <w:pPr>
              <w:spacing w:before="41" w:line="208" w:lineRule="auto"/>
              <w:ind w:left="553"/>
              <w:rPr>
                <w:rFonts w:ascii="宋体" w:eastAsia="宋体" w:hAnsi="宋体" w:cs="宋体"/>
                <w:sz w:val="16"/>
                <w:szCs w:val="16"/>
              </w:rPr>
            </w:pPr>
            <w:r>
              <w:rPr>
                <w:rFonts w:ascii="宋体" w:eastAsia="宋体" w:hAnsi="宋体" w:cs="宋体"/>
                <w:spacing w:val="-1"/>
                <w:sz w:val="16"/>
                <w:szCs w:val="16"/>
              </w:rPr>
              <w:t>棉籽糖、水苏四糖</w:t>
            </w:r>
          </w:p>
        </w:tc>
      </w:tr>
      <w:tr w:rsidR="00EA40A3">
        <w:trPr>
          <w:trHeight w:val="447"/>
        </w:trPr>
        <w:tc>
          <w:tcPr>
            <w:tcW w:w="1930" w:type="dxa"/>
            <w:tcBorders>
              <w:bottom w:val="single" w:sz="4" w:space="0" w:color="000000"/>
            </w:tcBorders>
          </w:tcPr>
          <w:p w:rsidR="00EA40A3" w:rsidRDefault="00E86C16">
            <w:pPr>
              <w:spacing w:before="30" w:line="220" w:lineRule="auto"/>
              <w:ind w:left="560"/>
              <w:rPr>
                <w:rFonts w:ascii="宋体" w:eastAsia="宋体" w:hAnsi="宋体" w:cs="宋体"/>
                <w:sz w:val="16"/>
                <w:szCs w:val="16"/>
              </w:rPr>
            </w:pPr>
            <w:r>
              <w:rPr>
                <w:rFonts w:ascii="宋体" w:eastAsia="宋体" w:hAnsi="宋体" w:cs="宋体"/>
                <w:spacing w:val="4"/>
                <w:sz w:val="16"/>
                <w:szCs w:val="16"/>
              </w:rPr>
              <w:t>多糖(≥10)</w:t>
            </w:r>
          </w:p>
        </w:tc>
        <w:tc>
          <w:tcPr>
            <w:tcW w:w="2097" w:type="dxa"/>
            <w:tcBorders>
              <w:bottom w:val="single" w:sz="4" w:space="0" w:color="000000"/>
            </w:tcBorders>
          </w:tcPr>
          <w:p w:rsidR="00EA40A3" w:rsidRDefault="00E86C16">
            <w:pPr>
              <w:spacing w:before="59" w:line="219" w:lineRule="auto"/>
              <w:ind w:left="489"/>
              <w:rPr>
                <w:rFonts w:ascii="宋体" w:eastAsia="宋体" w:hAnsi="宋体" w:cs="宋体"/>
                <w:sz w:val="16"/>
                <w:szCs w:val="16"/>
              </w:rPr>
            </w:pPr>
            <w:r>
              <w:rPr>
                <w:rFonts w:ascii="宋体" w:eastAsia="宋体" w:hAnsi="宋体" w:cs="宋体"/>
                <w:spacing w:val="-3"/>
                <w:sz w:val="16"/>
                <w:szCs w:val="16"/>
              </w:rPr>
              <w:t>淀粉</w:t>
            </w:r>
          </w:p>
          <w:p w:rsidR="00EA40A3" w:rsidRDefault="00E86C16">
            <w:pPr>
              <w:spacing w:before="39" w:line="194" w:lineRule="auto"/>
              <w:ind w:left="489"/>
              <w:rPr>
                <w:rFonts w:ascii="宋体" w:eastAsia="宋体" w:hAnsi="宋体" w:cs="宋体"/>
                <w:sz w:val="15"/>
                <w:szCs w:val="15"/>
              </w:rPr>
            </w:pPr>
            <w:r>
              <w:rPr>
                <w:rFonts w:ascii="宋体" w:eastAsia="宋体" w:hAnsi="宋体" w:cs="宋体"/>
                <w:spacing w:val="8"/>
                <w:sz w:val="15"/>
                <w:szCs w:val="15"/>
              </w:rPr>
              <w:t>非淀粉多糖</w:t>
            </w:r>
          </w:p>
        </w:tc>
        <w:tc>
          <w:tcPr>
            <w:tcW w:w="3302" w:type="dxa"/>
            <w:tcBorders>
              <w:bottom w:val="single" w:sz="4" w:space="0" w:color="000000"/>
            </w:tcBorders>
          </w:tcPr>
          <w:p w:rsidR="00EA40A3" w:rsidRDefault="00E86C16">
            <w:pPr>
              <w:spacing w:before="49" w:line="219" w:lineRule="auto"/>
              <w:ind w:left="553"/>
              <w:rPr>
                <w:rFonts w:ascii="宋体" w:eastAsia="宋体" w:hAnsi="宋体" w:cs="宋体"/>
                <w:sz w:val="16"/>
                <w:szCs w:val="16"/>
              </w:rPr>
            </w:pPr>
            <w:r>
              <w:rPr>
                <w:rFonts w:ascii="宋体" w:eastAsia="宋体" w:hAnsi="宋体" w:cs="宋体"/>
                <w:spacing w:val="-1"/>
                <w:sz w:val="16"/>
                <w:szCs w:val="16"/>
              </w:rPr>
              <w:t>直链淀粉、链淀粉、变性淀粉</w:t>
            </w:r>
          </w:p>
          <w:p w:rsidR="00EA40A3" w:rsidRDefault="00E86C16">
            <w:pPr>
              <w:spacing w:before="20" w:line="216" w:lineRule="auto"/>
              <w:ind w:left="502"/>
              <w:rPr>
                <w:rFonts w:ascii="宋体" w:eastAsia="宋体" w:hAnsi="宋体" w:cs="宋体"/>
                <w:sz w:val="16"/>
                <w:szCs w:val="16"/>
              </w:rPr>
            </w:pPr>
            <w:r>
              <w:rPr>
                <w:rFonts w:ascii="宋体" w:eastAsia="宋体" w:hAnsi="宋体" w:cs="宋体"/>
                <w:spacing w:val="-1"/>
                <w:sz w:val="16"/>
                <w:szCs w:val="16"/>
              </w:rPr>
              <w:t>纤维素、半纤维素、果胶、水凝胶等</w:t>
            </w:r>
          </w:p>
        </w:tc>
      </w:tr>
    </w:tbl>
    <w:p w:rsidR="00EA40A3" w:rsidRDefault="00E86C16">
      <w:pPr>
        <w:spacing w:before="81" w:line="219" w:lineRule="auto"/>
        <w:ind w:left="349"/>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86C16">
      <w:pPr>
        <w:spacing w:before="81"/>
        <w:ind w:left="60"/>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pacing w:val="-11"/>
          <w:sz w:val="19"/>
          <w:szCs w:val="19"/>
        </w:rPr>
        <w:t xml:space="preserve"> </w:t>
      </w:r>
      <w:r>
        <w:rPr>
          <w:rFonts w:ascii="宋体" w:eastAsia="宋体" w:hAnsi="宋体" w:cs="宋体"/>
          <w:spacing w:val="-33"/>
          <w:sz w:val="19"/>
          <w:szCs w:val="19"/>
        </w:rPr>
        <w:t>46</w:t>
      </w:r>
      <w:r>
        <w:rPr>
          <w:rFonts w:ascii="宋体" w:eastAsia="宋体" w:hAnsi="宋体" w:cs="宋体"/>
          <w:spacing w:val="45"/>
          <w:sz w:val="19"/>
          <w:szCs w:val="19"/>
        </w:rPr>
        <w:t xml:space="preserve"> </w:t>
      </w:r>
      <w:r>
        <w:rPr>
          <w:rFonts w:ascii="宋体" w:eastAsia="宋体" w:hAnsi="宋体" w:cs="宋体"/>
          <w:spacing w:val="-33"/>
          <w:sz w:val="19"/>
          <w:szCs w:val="19"/>
        </w:rPr>
        <w:t>·</w:t>
      </w:r>
    </w:p>
    <w:p w:rsidR="00EA40A3" w:rsidRDefault="00EA40A3">
      <w:pPr>
        <w:sectPr w:rsidR="00EA40A3">
          <w:footerReference w:type="default" r:id="rId48"/>
          <w:pgSz w:w="9220" w:h="13360"/>
          <w:pgMar w:top="400" w:right="1121" w:bottom="400" w:left="760" w:header="0" w:footer="0" w:gutter="0"/>
          <w:cols w:space="720"/>
        </w:sectPr>
      </w:pPr>
    </w:p>
    <w:p w:rsidR="00EA40A3" w:rsidRDefault="00EA40A3">
      <w:pPr>
        <w:spacing w:line="315" w:lineRule="auto"/>
      </w:pPr>
    </w:p>
    <w:p w:rsidR="00EA40A3" w:rsidRDefault="00EA40A3">
      <w:pPr>
        <w:spacing w:line="315" w:lineRule="auto"/>
      </w:pPr>
    </w:p>
    <w:p w:rsidR="00EA40A3" w:rsidRDefault="00E86C16">
      <w:pPr>
        <w:spacing w:before="85" w:line="222" w:lineRule="auto"/>
        <w:rPr>
          <w:rFonts w:ascii="仿宋" w:eastAsia="仿宋" w:hAnsi="仿宋" w:cs="仿宋"/>
          <w:sz w:val="26"/>
          <w:szCs w:val="26"/>
        </w:rPr>
      </w:pPr>
      <w:r>
        <w:rPr>
          <w:rFonts w:ascii="仿宋" w:eastAsia="仿宋" w:hAnsi="仿宋" w:cs="仿宋"/>
          <w:spacing w:val="6"/>
          <w:sz w:val="26"/>
          <w:szCs w:val="26"/>
        </w:rPr>
        <w:t>1.糖</w:t>
      </w:r>
    </w:p>
    <w:p w:rsidR="00EA40A3" w:rsidRDefault="00E86C16">
      <w:pPr>
        <w:spacing w:before="177" w:line="259" w:lineRule="auto"/>
        <w:ind w:right="94" w:firstLine="419"/>
        <w:jc w:val="both"/>
        <w:rPr>
          <w:rFonts w:ascii="宋体" w:eastAsia="宋体" w:hAnsi="宋体" w:cs="宋体"/>
        </w:rPr>
      </w:pPr>
      <w:r>
        <w:rPr>
          <w:rFonts w:ascii="宋体" w:eastAsia="宋体" w:hAnsi="宋体" w:cs="宋体"/>
          <w:spacing w:val="-6"/>
        </w:rPr>
        <w:t>根据碳水化合物的分子</w:t>
      </w:r>
      <w:r>
        <w:rPr>
          <w:rFonts w:ascii="宋体" w:eastAsia="宋体" w:hAnsi="宋体" w:cs="宋体"/>
          <w:spacing w:val="-7"/>
        </w:rPr>
        <w:t>结构，糖包括单糖</w:t>
      </w:r>
      <w:r>
        <w:rPr>
          <w:rFonts w:ascii="宋体" w:eastAsia="宋体" w:hAnsi="宋体" w:cs="宋体"/>
          <w:spacing w:val="-17"/>
        </w:rPr>
        <w:t xml:space="preserve"> </w:t>
      </w:r>
      <w:r>
        <w:rPr>
          <w:rFonts w:ascii="宋体" w:eastAsia="宋体" w:hAnsi="宋体" w:cs="宋体"/>
          <w:spacing w:val="-7"/>
        </w:rPr>
        <w:t>(</w:t>
      </w:r>
      <w:r>
        <w:rPr>
          <w:rFonts w:ascii="宋体" w:eastAsia="宋体" w:hAnsi="宋体" w:cs="宋体"/>
          <w:spacing w:val="-6"/>
        </w:rPr>
        <w:t>monosaccharide</w:t>
      </w:r>
      <w:r>
        <w:rPr>
          <w:rFonts w:ascii="宋体" w:eastAsia="宋体" w:hAnsi="宋体" w:cs="宋体"/>
          <w:spacing w:val="-7"/>
        </w:rPr>
        <w:t>)、</w:t>
      </w:r>
      <w:r>
        <w:rPr>
          <w:rFonts w:ascii="宋体" w:eastAsia="宋体" w:hAnsi="宋体" w:cs="宋体"/>
          <w:spacing w:val="-5"/>
        </w:rPr>
        <w:t xml:space="preserve"> </w:t>
      </w:r>
      <w:r>
        <w:rPr>
          <w:rFonts w:ascii="宋体" w:eastAsia="宋体" w:hAnsi="宋体" w:cs="宋体"/>
          <w:spacing w:val="-7"/>
        </w:rPr>
        <w:t>双糖</w:t>
      </w:r>
      <w:r>
        <w:rPr>
          <w:rFonts w:ascii="宋体" w:eastAsia="宋体" w:hAnsi="宋体" w:cs="宋体"/>
          <w:spacing w:val="-14"/>
        </w:rPr>
        <w:t xml:space="preserve"> </w:t>
      </w:r>
      <w:r>
        <w:rPr>
          <w:rFonts w:ascii="宋体" w:eastAsia="宋体" w:hAnsi="宋体" w:cs="宋体"/>
          <w:spacing w:val="-7"/>
        </w:rPr>
        <w:t>(</w:t>
      </w:r>
      <w:r>
        <w:rPr>
          <w:rFonts w:ascii="宋体" w:eastAsia="宋体" w:hAnsi="宋体" w:cs="宋体"/>
          <w:spacing w:val="-6"/>
        </w:rPr>
        <w:t>disac</w:t>
      </w:r>
      <w:r>
        <w:rPr>
          <w:rFonts w:ascii="宋体" w:eastAsia="宋体" w:hAnsi="宋体" w:cs="宋体"/>
          <w:spacing w:val="-7"/>
        </w:rPr>
        <w:t>-</w:t>
      </w:r>
      <w:r>
        <w:rPr>
          <w:rFonts w:ascii="宋体" w:eastAsia="宋体" w:hAnsi="宋体" w:cs="宋体"/>
        </w:rPr>
        <w:t xml:space="preserve"> charide</w:t>
      </w:r>
      <w:r>
        <w:rPr>
          <w:rFonts w:ascii="宋体" w:eastAsia="宋体" w:hAnsi="宋体" w:cs="宋体"/>
          <w:spacing w:val="2"/>
        </w:rPr>
        <w:t>)</w:t>
      </w:r>
      <w:r>
        <w:rPr>
          <w:rFonts w:ascii="宋体" w:eastAsia="宋体" w:hAnsi="宋体" w:cs="宋体"/>
          <w:spacing w:val="-47"/>
        </w:rPr>
        <w:t xml:space="preserve"> </w:t>
      </w:r>
      <w:r>
        <w:rPr>
          <w:rFonts w:ascii="宋体" w:eastAsia="宋体" w:hAnsi="宋体" w:cs="宋体"/>
          <w:spacing w:val="2"/>
        </w:rPr>
        <w:t>和糖醇类。食物中的单糖主要有葡萄糖、半乳</w:t>
      </w:r>
      <w:r>
        <w:rPr>
          <w:rFonts w:ascii="宋体" w:eastAsia="宋体" w:hAnsi="宋体" w:cs="宋体"/>
          <w:spacing w:val="1"/>
        </w:rPr>
        <w:t>糖和果糖；食物中常见</w:t>
      </w:r>
      <w:r>
        <w:rPr>
          <w:rFonts w:ascii="宋体" w:eastAsia="宋体" w:hAnsi="宋体" w:cs="宋体"/>
        </w:rPr>
        <w:t xml:space="preserve"> </w:t>
      </w:r>
      <w:r>
        <w:rPr>
          <w:rFonts w:ascii="宋体" w:eastAsia="宋体" w:hAnsi="宋体" w:cs="宋体"/>
          <w:spacing w:val="-3"/>
        </w:rPr>
        <w:t>的双糖有蔗糖、乳糖和麦芽糖等；糖醇是单糖还原后的产物，如山梨醇、甘露糖</w:t>
      </w:r>
      <w:r>
        <w:rPr>
          <w:rFonts w:ascii="宋体" w:eastAsia="宋体" w:hAnsi="宋体" w:cs="宋体"/>
          <w:spacing w:val="2"/>
        </w:rPr>
        <w:t xml:space="preserve"> </w:t>
      </w:r>
      <w:r>
        <w:rPr>
          <w:rFonts w:ascii="宋体" w:eastAsia="宋体" w:hAnsi="宋体" w:cs="宋体"/>
          <w:spacing w:val="-10"/>
        </w:rPr>
        <w:t>醇等。</w:t>
      </w:r>
    </w:p>
    <w:p w:rsidR="00EA40A3" w:rsidRDefault="00E86C16">
      <w:pPr>
        <w:spacing w:before="49" w:line="227" w:lineRule="auto"/>
        <w:rPr>
          <w:rFonts w:ascii="楷体" w:eastAsia="楷体" w:hAnsi="楷体" w:cs="楷体"/>
        </w:rPr>
      </w:pPr>
      <w:r>
        <w:rPr>
          <w:rFonts w:ascii="楷体" w:eastAsia="楷体" w:hAnsi="楷体" w:cs="楷体"/>
          <w:spacing w:val="11"/>
        </w:rPr>
        <w:t>1)葡萄糖</w:t>
      </w:r>
    </w:p>
    <w:p w:rsidR="00EA40A3" w:rsidRDefault="00E86C16">
      <w:pPr>
        <w:spacing w:before="45" w:line="251" w:lineRule="auto"/>
        <w:ind w:right="89" w:firstLine="419"/>
        <w:jc w:val="both"/>
        <w:rPr>
          <w:rFonts w:ascii="宋体" w:eastAsia="宋体" w:hAnsi="宋体" w:cs="宋体"/>
        </w:rPr>
      </w:pPr>
      <w:r>
        <w:rPr>
          <w:rFonts w:ascii="宋体" w:eastAsia="宋体" w:hAnsi="宋体" w:cs="宋体"/>
          <w:spacing w:val="2"/>
        </w:rPr>
        <w:t>葡萄糖</w:t>
      </w:r>
      <w:r>
        <w:rPr>
          <w:rFonts w:ascii="宋体" w:eastAsia="宋体" w:hAnsi="宋体" w:cs="宋体"/>
          <w:spacing w:val="-6"/>
        </w:rPr>
        <w:t xml:space="preserve"> </w:t>
      </w:r>
      <w:r>
        <w:rPr>
          <w:rFonts w:ascii="宋体" w:eastAsia="宋体" w:hAnsi="宋体" w:cs="宋体"/>
          <w:spacing w:val="2"/>
        </w:rPr>
        <w:t>(</w:t>
      </w:r>
      <w:r>
        <w:rPr>
          <w:rFonts w:ascii="宋体" w:eastAsia="宋体" w:hAnsi="宋体" w:cs="宋体"/>
        </w:rPr>
        <w:t>glucose</w:t>
      </w:r>
      <w:r>
        <w:rPr>
          <w:rFonts w:ascii="宋体" w:eastAsia="宋体" w:hAnsi="宋体" w:cs="宋体"/>
          <w:spacing w:val="2"/>
        </w:rPr>
        <w:t>)</w:t>
      </w:r>
      <w:r>
        <w:rPr>
          <w:rFonts w:ascii="宋体" w:eastAsia="宋体" w:hAnsi="宋体" w:cs="宋体"/>
          <w:spacing w:val="-44"/>
        </w:rPr>
        <w:t xml:space="preserve"> </w:t>
      </w:r>
      <w:r>
        <w:rPr>
          <w:rFonts w:ascii="宋体" w:eastAsia="宋体" w:hAnsi="宋体" w:cs="宋体"/>
          <w:spacing w:val="2"/>
        </w:rPr>
        <w:t>是机体吸收、利用最好的单糖。在天然食品</w:t>
      </w:r>
      <w:r>
        <w:rPr>
          <w:rFonts w:ascii="宋体" w:eastAsia="宋体" w:hAnsi="宋体" w:cs="宋体"/>
          <w:spacing w:val="1"/>
        </w:rPr>
        <w:t>中，葡萄糖</w:t>
      </w:r>
      <w:r>
        <w:rPr>
          <w:rFonts w:ascii="宋体" w:eastAsia="宋体" w:hAnsi="宋体" w:cs="宋体"/>
        </w:rPr>
        <w:t xml:space="preserve"> </w:t>
      </w:r>
      <w:r>
        <w:rPr>
          <w:rFonts w:ascii="宋体" w:eastAsia="宋体" w:hAnsi="宋体" w:cs="宋体"/>
          <w:spacing w:val="-3"/>
        </w:rPr>
        <w:t>很少以单糖的形式存在，通常与葡萄糖或其他单糖结合成二糖、寡糖和多糖，如</w:t>
      </w:r>
      <w:r>
        <w:rPr>
          <w:rFonts w:ascii="宋体" w:eastAsia="宋体" w:hAnsi="宋体" w:cs="宋体"/>
          <w:spacing w:val="9"/>
        </w:rPr>
        <w:t xml:space="preserve"> </w:t>
      </w:r>
      <w:r>
        <w:rPr>
          <w:rFonts w:ascii="宋体" w:eastAsia="宋体" w:hAnsi="宋体" w:cs="宋体"/>
          <w:spacing w:val="-10"/>
        </w:rPr>
        <w:t>蔗糖、淀粉等。</w:t>
      </w:r>
    </w:p>
    <w:p w:rsidR="00EA40A3" w:rsidRDefault="00E86C16">
      <w:pPr>
        <w:spacing w:before="48" w:line="226" w:lineRule="auto"/>
        <w:rPr>
          <w:rFonts w:ascii="楷体" w:eastAsia="楷体" w:hAnsi="楷体" w:cs="楷体"/>
        </w:rPr>
      </w:pPr>
      <w:r>
        <w:rPr>
          <w:rFonts w:ascii="楷体" w:eastAsia="楷体" w:hAnsi="楷体" w:cs="楷体"/>
          <w:spacing w:val="11"/>
        </w:rPr>
        <w:t>2)半乳糖</w:t>
      </w:r>
    </w:p>
    <w:p w:rsidR="00EA40A3" w:rsidRDefault="00E86C16">
      <w:pPr>
        <w:spacing w:before="49" w:line="248" w:lineRule="auto"/>
        <w:ind w:right="76" w:firstLine="419"/>
        <w:rPr>
          <w:rFonts w:ascii="宋体" w:eastAsia="宋体" w:hAnsi="宋体" w:cs="宋体"/>
        </w:rPr>
      </w:pPr>
      <w:r>
        <w:rPr>
          <w:rFonts w:ascii="宋体" w:eastAsia="宋体" w:hAnsi="宋体" w:cs="宋体"/>
          <w:spacing w:val="-4"/>
        </w:rPr>
        <w:t>半乳糖</w:t>
      </w:r>
      <w:r>
        <w:rPr>
          <w:rFonts w:ascii="宋体" w:eastAsia="宋体" w:hAnsi="宋体" w:cs="宋体"/>
          <w:spacing w:val="12"/>
        </w:rPr>
        <w:t xml:space="preserve"> </w:t>
      </w:r>
      <w:r>
        <w:rPr>
          <w:rFonts w:ascii="宋体" w:eastAsia="宋体" w:hAnsi="宋体" w:cs="宋体"/>
          <w:spacing w:val="-4"/>
        </w:rPr>
        <w:t>(galactose)</w:t>
      </w:r>
      <w:r>
        <w:rPr>
          <w:rFonts w:ascii="宋体" w:eastAsia="宋体" w:hAnsi="宋体" w:cs="宋体"/>
          <w:spacing w:val="-48"/>
        </w:rPr>
        <w:t xml:space="preserve"> </w:t>
      </w:r>
      <w:r>
        <w:rPr>
          <w:rFonts w:ascii="宋体" w:eastAsia="宋体" w:hAnsi="宋体" w:cs="宋体"/>
          <w:spacing w:val="-4"/>
        </w:rPr>
        <w:t>是乳糖的重要组成成分，很少以单糖的形式存在于食品</w:t>
      </w:r>
      <w:r>
        <w:rPr>
          <w:rFonts w:ascii="宋体" w:eastAsia="宋体" w:hAnsi="宋体" w:cs="宋体"/>
        </w:rPr>
        <w:t xml:space="preserve"> </w:t>
      </w:r>
      <w:r>
        <w:rPr>
          <w:rFonts w:ascii="宋体" w:eastAsia="宋体" w:hAnsi="宋体" w:cs="宋体"/>
          <w:spacing w:val="-4"/>
        </w:rPr>
        <w:t>之中。半乳糖吸收后在肝脏内转变成肝糖，然后分解为葡萄糖被机体利用。</w:t>
      </w:r>
    </w:p>
    <w:p w:rsidR="00EA40A3" w:rsidRDefault="00E86C16">
      <w:pPr>
        <w:spacing w:before="39" w:line="224" w:lineRule="auto"/>
        <w:rPr>
          <w:rFonts w:ascii="楷体" w:eastAsia="楷体" w:hAnsi="楷体" w:cs="楷体"/>
        </w:rPr>
      </w:pPr>
      <w:r>
        <w:rPr>
          <w:rFonts w:ascii="楷体" w:eastAsia="楷体" w:hAnsi="楷体" w:cs="楷体"/>
          <w:spacing w:val="13"/>
        </w:rPr>
        <w:t>3)果糖</w:t>
      </w:r>
    </w:p>
    <w:p w:rsidR="00EA40A3" w:rsidRDefault="00E86C16">
      <w:pPr>
        <w:spacing w:before="78" w:line="249" w:lineRule="auto"/>
        <w:ind w:right="85" w:firstLine="419"/>
        <w:rPr>
          <w:rFonts w:ascii="宋体" w:eastAsia="宋体" w:hAnsi="宋体" w:cs="宋体"/>
        </w:rPr>
      </w:pPr>
      <w:r>
        <w:rPr>
          <w:rFonts w:ascii="宋体" w:eastAsia="宋体" w:hAnsi="宋体" w:cs="宋体"/>
          <w:spacing w:val="-1"/>
        </w:rPr>
        <w:t>果糖</w:t>
      </w:r>
      <w:r>
        <w:rPr>
          <w:rFonts w:ascii="宋体" w:eastAsia="宋体" w:hAnsi="宋体" w:cs="宋体"/>
          <w:spacing w:val="-6"/>
        </w:rPr>
        <w:t xml:space="preserve"> </w:t>
      </w:r>
      <w:r>
        <w:rPr>
          <w:rFonts w:ascii="宋体" w:eastAsia="宋体" w:hAnsi="宋体" w:cs="宋体"/>
          <w:spacing w:val="-1"/>
        </w:rPr>
        <w:t>(fructose)</w:t>
      </w:r>
      <w:r>
        <w:rPr>
          <w:rFonts w:ascii="宋体" w:eastAsia="宋体" w:hAnsi="宋体" w:cs="宋体"/>
          <w:spacing w:val="-49"/>
        </w:rPr>
        <w:t xml:space="preserve"> </w:t>
      </w:r>
      <w:r>
        <w:rPr>
          <w:rFonts w:ascii="宋体" w:eastAsia="宋体" w:hAnsi="宋体" w:cs="宋体"/>
          <w:spacing w:val="-1"/>
        </w:rPr>
        <w:t>多存在于水果中，蜂蜜中含量最高。果糖的代谢不受胰岛</w:t>
      </w:r>
      <w:r>
        <w:rPr>
          <w:rFonts w:ascii="宋体" w:eastAsia="宋体" w:hAnsi="宋体" w:cs="宋体"/>
        </w:rPr>
        <w:t xml:space="preserve"> </w:t>
      </w:r>
      <w:r>
        <w:rPr>
          <w:rFonts w:ascii="宋体" w:eastAsia="宋体" w:hAnsi="宋体" w:cs="宋体"/>
          <w:spacing w:val="-3"/>
        </w:rPr>
        <w:t>素的制约，因此糖尿病人可食用果糖，但大量食用也可产生不良反应。果糖的甜</w:t>
      </w:r>
      <w:r>
        <w:rPr>
          <w:rFonts w:ascii="宋体" w:eastAsia="宋体" w:hAnsi="宋体" w:cs="宋体"/>
          <w:spacing w:val="4"/>
        </w:rPr>
        <w:t xml:space="preserve"> </w:t>
      </w:r>
      <w:r>
        <w:rPr>
          <w:rFonts w:ascii="宋体" w:eastAsia="宋体" w:hAnsi="宋体" w:cs="宋体"/>
          <w:spacing w:val="-7"/>
        </w:rPr>
        <w:t>度很高，是常用碳水化合物中最甜的物质。</w:t>
      </w:r>
    </w:p>
    <w:p w:rsidR="00EA40A3" w:rsidRDefault="00E86C16">
      <w:pPr>
        <w:spacing w:before="49" w:line="222" w:lineRule="auto"/>
        <w:rPr>
          <w:rFonts w:ascii="仿宋" w:eastAsia="仿宋" w:hAnsi="仿宋" w:cs="仿宋"/>
        </w:rPr>
      </w:pPr>
      <w:r>
        <w:rPr>
          <w:rFonts w:ascii="仿宋" w:eastAsia="仿宋" w:hAnsi="仿宋" w:cs="仿宋"/>
          <w:spacing w:val="16"/>
        </w:rPr>
        <w:t>4)蔗糖</w:t>
      </w:r>
    </w:p>
    <w:p w:rsidR="00EA40A3" w:rsidRDefault="00E86C16">
      <w:pPr>
        <w:spacing w:before="71" w:line="248" w:lineRule="auto"/>
        <w:ind w:right="95" w:firstLine="419"/>
        <w:jc w:val="both"/>
        <w:rPr>
          <w:rFonts w:ascii="宋体" w:eastAsia="宋体" w:hAnsi="宋体" w:cs="宋体"/>
        </w:rPr>
      </w:pPr>
      <w:r>
        <w:rPr>
          <w:rFonts w:ascii="宋体" w:eastAsia="宋体" w:hAnsi="宋体" w:cs="宋体"/>
          <w:spacing w:val="3"/>
        </w:rPr>
        <w:t>蔗糖</w:t>
      </w:r>
      <w:r>
        <w:rPr>
          <w:rFonts w:ascii="宋体" w:eastAsia="宋体" w:hAnsi="宋体" w:cs="宋体"/>
          <w:spacing w:val="21"/>
        </w:rPr>
        <w:t xml:space="preserve"> </w:t>
      </w:r>
      <w:r>
        <w:rPr>
          <w:rFonts w:ascii="宋体" w:eastAsia="宋体" w:hAnsi="宋体" w:cs="宋体"/>
          <w:spacing w:val="3"/>
        </w:rPr>
        <w:t>(</w:t>
      </w:r>
      <w:r>
        <w:rPr>
          <w:rFonts w:ascii="宋体" w:eastAsia="宋体" w:hAnsi="宋体" w:cs="宋体"/>
        </w:rPr>
        <w:t>sucrose</w:t>
      </w:r>
      <w:r>
        <w:rPr>
          <w:rFonts w:ascii="宋体" w:eastAsia="宋体" w:hAnsi="宋体" w:cs="宋体"/>
          <w:spacing w:val="3"/>
        </w:rPr>
        <w:t>)是由一分子的葡萄糖和一分子的果糖结合后，失去一分子</w:t>
      </w:r>
      <w:r>
        <w:rPr>
          <w:rFonts w:ascii="宋体" w:eastAsia="宋体" w:hAnsi="宋体" w:cs="宋体"/>
        </w:rPr>
        <w:t xml:space="preserve"> </w:t>
      </w:r>
      <w:r>
        <w:rPr>
          <w:rFonts w:ascii="宋体" w:eastAsia="宋体" w:hAnsi="宋体" w:cs="宋体"/>
          <w:spacing w:val="-4"/>
        </w:rPr>
        <w:t>水形成的。蔗糖广泛分布于植物中，尤以甘蔗和甜菜中含量最高，是食品工业中</w:t>
      </w:r>
      <w:r>
        <w:rPr>
          <w:rFonts w:ascii="宋体" w:eastAsia="宋体" w:hAnsi="宋体" w:cs="宋体"/>
          <w:spacing w:val="11"/>
        </w:rPr>
        <w:t xml:space="preserve"> </w:t>
      </w:r>
      <w:r>
        <w:rPr>
          <w:rFonts w:ascii="宋体" w:eastAsia="宋体" w:hAnsi="宋体" w:cs="宋体"/>
          <w:spacing w:val="-9"/>
        </w:rPr>
        <w:t>最重要的甜味剂。</w:t>
      </w:r>
    </w:p>
    <w:p w:rsidR="00EA40A3" w:rsidRDefault="00E86C16">
      <w:pPr>
        <w:spacing w:before="55" w:line="230" w:lineRule="auto"/>
        <w:rPr>
          <w:rFonts w:ascii="楷体" w:eastAsia="楷体" w:hAnsi="楷体" w:cs="楷体"/>
        </w:rPr>
      </w:pPr>
      <w:r>
        <w:rPr>
          <w:rFonts w:ascii="楷体" w:eastAsia="楷体" w:hAnsi="楷体" w:cs="楷体"/>
          <w:spacing w:val="13"/>
        </w:rPr>
        <w:t>5)乳糖</w:t>
      </w:r>
    </w:p>
    <w:p w:rsidR="00EA40A3" w:rsidRDefault="00E86C16">
      <w:pPr>
        <w:spacing w:before="63" w:line="249" w:lineRule="auto"/>
        <w:ind w:right="80" w:firstLine="419"/>
        <w:rPr>
          <w:rFonts w:ascii="宋体" w:eastAsia="宋体" w:hAnsi="宋体" w:cs="宋体"/>
        </w:rPr>
      </w:pPr>
      <w:r>
        <w:rPr>
          <w:rFonts w:ascii="宋体" w:eastAsia="宋体" w:hAnsi="宋体" w:cs="宋体"/>
          <w:spacing w:val="5"/>
        </w:rPr>
        <w:t>乳糖</w:t>
      </w:r>
      <w:r>
        <w:rPr>
          <w:rFonts w:ascii="宋体" w:eastAsia="宋体" w:hAnsi="宋体" w:cs="宋体"/>
          <w:spacing w:val="21"/>
        </w:rPr>
        <w:t xml:space="preserve"> </w:t>
      </w:r>
      <w:r>
        <w:rPr>
          <w:rFonts w:ascii="宋体" w:eastAsia="宋体" w:hAnsi="宋体" w:cs="宋体"/>
          <w:spacing w:val="5"/>
        </w:rPr>
        <w:t>(</w:t>
      </w:r>
      <w:r>
        <w:rPr>
          <w:rFonts w:ascii="宋体" w:eastAsia="宋体" w:hAnsi="宋体" w:cs="宋体"/>
        </w:rPr>
        <w:t>lactose</w:t>
      </w:r>
      <w:r>
        <w:rPr>
          <w:rFonts w:ascii="宋体" w:eastAsia="宋体" w:hAnsi="宋体" w:cs="宋体"/>
          <w:spacing w:val="5"/>
        </w:rPr>
        <w:t>)</w:t>
      </w:r>
      <w:r>
        <w:rPr>
          <w:rFonts w:ascii="宋体" w:eastAsia="宋体" w:hAnsi="宋体" w:cs="宋体"/>
          <w:spacing w:val="-48"/>
        </w:rPr>
        <w:t xml:space="preserve"> </w:t>
      </w:r>
      <w:r>
        <w:rPr>
          <w:rFonts w:ascii="宋体" w:eastAsia="宋体" w:hAnsi="宋体" w:cs="宋体"/>
          <w:spacing w:val="5"/>
        </w:rPr>
        <w:t>是哺乳动物乳汁的主要成分，人乳中乳糖的含量约为7%,</w:t>
      </w:r>
      <w:r>
        <w:rPr>
          <w:rFonts w:ascii="宋体" w:eastAsia="宋体" w:hAnsi="宋体" w:cs="宋体"/>
        </w:rPr>
        <w:t xml:space="preserve"> </w:t>
      </w:r>
      <w:r>
        <w:rPr>
          <w:rFonts w:ascii="宋体" w:eastAsia="宋体" w:hAnsi="宋体" w:cs="宋体"/>
          <w:spacing w:val="2"/>
        </w:rPr>
        <w:t>牛乳中约为5%。乳糖作为婴儿食用的主要碳水化合物，能够保持肠道中最</w:t>
      </w:r>
      <w:r>
        <w:rPr>
          <w:rFonts w:ascii="宋体" w:eastAsia="宋体" w:hAnsi="宋体" w:cs="宋体"/>
          <w:spacing w:val="1"/>
        </w:rPr>
        <w:t>合适</w:t>
      </w:r>
      <w:r>
        <w:rPr>
          <w:rFonts w:ascii="宋体" w:eastAsia="宋体" w:hAnsi="宋体" w:cs="宋体"/>
        </w:rPr>
        <w:t xml:space="preserve"> </w:t>
      </w:r>
      <w:r>
        <w:rPr>
          <w:rFonts w:ascii="宋体" w:eastAsia="宋体" w:hAnsi="宋体" w:cs="宋体"/>
          <w:spacing w:val="-4"/>
        </w:rPr>
        <w:t>的菌群数量，并能促进钙的吸收，故常在婴儿食品中添加适量的乳糖。</w:t>
      </w:r>
    </w:p>
    <w:p w:rsidR="00EA40A3" w:rsidRDefault="00E86C16">
      <w:pPr>
        <w:spacing w:before="50" w:line="225" w:lineRule="auto"/>
        <w:rPr>
          <w:rFonts w:ascii="楷体" w:eastAsia="楷体" w:hAnsi="楷体" w:cs="楷体"/>
        </w:rPr>
      </w:pPr>
      <w:r>
        <w:rPr>
          <w:rFonts w:ascii="楷体" w:eastAsia="楷体" w:hAnsi="楷体" w:cs="楷体"/>
          <w:spacing w:val="11"/>
        </w:rPr>
        <w:t>6)麦芽糖</w:t>
      </w:r>
    </w:p>
    <w:p w:rsidR="00EA40A3" w:rsidRDefault="00E86C16">
      <w:pPr>
        <w:spacing w:before="76" w:line="241" w:lineRule="auto"/>
        <w:ind w:right="83" w:firstLine="419"/>
        <w:rPr>
          <w:rFonts w:ascii="宋体" w:eastAsia="宋体" w:hAnsi="宋体" w:cs="宋体"/>
        </w:rPr>
      </w:pPr>
      <w:r>
        <w:rPr>
          <w:rFonts w:ascii="宋体" w:eastAsia="宋体" w:hAnsi="宋体" w:cs="宋体"/>
          <w:spacing w:val="-3"/>
        </w:rPr>
        <w:t>麦芽糖</w:t>
      </w:r>
      <w:r>
        <w:rPr>
          <w:rFonts w:ascii="宋体" w:eastAsia="宋体" w:hAnsi="宋体" w:cs="宋体"/>
          <w:spacing w:val="4"/>
        </w:rPr>
        <w:t xml:space="preserve"> </w:t>
      </w:r>
      <w:r>
        <w:rPr>
          <w:rFonts w:ascii="宋体" w:eastAsia="宋体" w:hAnsi="宋体" w:cs="宋体"/>
          <w:spacing w:val="-3"/>
        </w:rPr>
        <w:t>(maltose)</w:t>
      </w:r>
      <w:r>
        <w:rPr>
          <w:rFonts w:ascii="宋体" w:eastAsia="宋体" w:hAnsi="宋体" w:cs="宋体"/>
          <w:spacing w:val="-35"/>
        </w:rPr>
        <w:t xml:space="preserve"> </w:t>
      </w:r>
      <w:r>
        <w:rPr>
          <w:rFonts w:ascii="宋体" w:eastAsia="宋体" w:hAnsi="宋体" w:cs="宋体"/>
          <w:spacing w:val="-3"/>
        </w:rPr>
        <w:t>是由两分子葡萄糖构成</w:t>
      </w:r>
      <w:r>
        <w:rPr>
          <w:rFonts w:ascii="宋体" w:eastAsia="宋体" w:hAnsi="宋体" w:cs="宋体"/>
          <w:spacing w:val="-4"/>
        </w:rPr>
        <w:t>的，</w:t>
      </w:r>
      <w:r>
        <w:rPr>
          <w:rFonts w:ascii="宋体" w:eastAsia="宋体" w:hAnsi="宋体" w:cs="宋体"/>
          <w:spacing w:val="63"/>
        </w:rPr>
        <w:t xml:space="preserve"> </w:t>
      </w:r>
      <w:r>
        <w:rPr>
          <w:rFonts w:ascii="宋体" w:eastAsia="宋体" w:hAnsi="宋体" w:cs="宋体"/>
          <w:spacing w:val="-4"/>
        </w:rPr>
        <w:t>一般植物中含量很少。食品</w:t>
      </w:r>
      <w:r>
        <w:rPr>
          <w:rFonts w:ascii="宋体" w:eastAsia="宋体" w:hAnsi="宋体" w:cs="宋体"/>
        </w:rPr>
        <w:t xml:space="preserve"> </w:t>
      </w:r>
      <w:r>
        <w:rPr>
          <w:rFonts w:ascii="宋体" w:eastAsia="宋体" w:hAnsi="宋体" w:cs="宋体"/>
          <w:spacing w:val="-7"/>
        </w:rPr>
        <w:t>工业所用的麦芽糖主要是经淀粉酶水解得到的。</w:t>
      </w:r>
    </w:p>
    <w:p w:rsidR="00EA40A3" w:rsidRDefault="00E86C16">
      <w:pPr>
        <w:spacing w:before="52" w:line="219" w:lineRule="auto"/>
        <w:rPr>
          <w:rFonts w:ascii="宋体" w:eastAsia="宋体" w:hAnsi="宋体" w:cs="宋体"/>
        </w:rPr>
      </w:pPr>
      <w:r>
        <w:rPr>
          <w:rFonts w:ascii="宋体" w:eastAsia="宋体" w:hAnsi="宋体" w:cs="宋体"/>
          <w:spacing w:val="11"/>
        </w:rPr>
        <w:t>7)山梨醇</w:t>
      </w:r>
    </w:p>
    <w:p w:rsidR="00EA40A3" w:rsidRDefault="00E86C16">
      <w:pPr>
        <w:spacing w:before="52" w:line="249" w:lineRule="auto"/>
        <w:ind w:right="40" w:firstLine="419"/>
        <w:jc w:val="both"/>
        <w:rPr>
          <w:rFonts w:ascii="宋体" w:eastAsia="宋体" w:hAnsi="宋体" w:cs="宋体"/>
        </w:rPr>
      </w:pPr>
      <w:r>
        <w:rPr>
          <w:rFonts w:ascii="宋体" w:eastAsia="宋体" w:hAnsi="宋体" w:cs="宋体"/>
          <w:spacing w:val="-6"/>
        </w:rPr>
        <w:t>工业上以羟化葡萄糖来制造山梨醇</w:t>
      </w:r>
      <w:r>
        <w:rPr>
          <w:rFonts w:ascii="宋体" w:eastAsia="宋体" w:hAnsi="宋体" w:cs="宋体"/>
          <w:spacing w:val="-7"/>
        </w:rPr>
        <w:t xml:space="preserve"> </w:t>
      </w:r>
      <w:r>
        <w:rPr>
          <w:rFonts w:ascii="宋体" w:eastAsia="宋体" w:hAnsi="宋体" w:cs="宋体"/>
          <w:spacing w:val="-6"/>
        </w:rPr>
        <w:t>(sorbitol)。</w:t>
      </w:r>
      <w:r>
        <w:rPr>
          <w:rFonts w:ascii="宋体" w:eastAsia="宋体" w:hAnsi="宋体" w:cs="宋体"/>
          <w:spacing w:val="-22"/>
        </w:rPr>
        <w:t xml:space="preserve"> </w:t>
      </w:r>
      <w:r>
        <w:rPr>
          <w:rFonts w:ascii="宋体" w:eastAsia="宋体" w:hAnsi="宋体" w:cs="宋体"/>
          <w:spacing w:val="-6"/>
        </w:rPr>
        <w:t>山梨醇在体内转变成果糖，</w:t>
      </w:r>
      <w:r>
        <w:rPr>
          <w:rFonts w:ascii="宋体" w:eastAsia="宋体" w:hAnsi="宋体" w:cs="宋体"/>
        </w:rPr>
        <w:t xml:space="preserve"> </w:t>
      </w:r>
      <w:r>
        <w:rPr>
          <w:rFonts w:ascii="宋体" w:eastAsia="宋体" w:hAnsi="宋体" w:cs="宋体"/>
          <w:spacing w:val="10"/>
        </w:rPr>
        <w:t>对血糖的影响比葡萄糖小得多，因此山梨醇可作为</w:t>
      </w:r>
      <w:r>
        <w:rPr>
          <w:rFonts w:ascii="宋体" w:eastAsia="宋体" w:hAnsi="宋体" w:cs="宋体"/>
          <w:spacing w:val="9"/>
        </w:rPr>
        <w:t>甜味剂用于糖尿病人的食</w:t>
      </w:r>
      <w:r>
        <w:rPr>
          <w:rFonts w:ascii="宋体" w:eastAsia="宋体" w:hAnsi="宋体" w:cs="宋体"/>
        </w:rPr>
        <w:t xml:space="preserve"> </w:t>
      </w:r>
      <w:r>
        <w:rPr>
          <w:rFonts w:ascii="宋体" w:eastAsia="宋体" w:hAnsi="宋体" w:cs="宋体"/>
          <w:spacing w:val="-13"/>
        </w:rPr>
        <w:t>品中。</w:t>
      </w:r>
    </w:p>
    <w:p w:rsidR="00EA40A3" w:rsidRDefault="00E86C16">
      <w:pPr>
        <w:spacing w:before="208" w:line="222" w:lineRule="auto"/>
        <w:rPr>
          <w:rFonts w:ascii="仿宋" w:eastAsia="仿宋" w:hAnsi="仿宋" w:cs="仿宋"/>
        </w:rPr>
      </w:pPr>
      <w:r>
        <w:rPr>
          <w:rFonts w:ascii="仿宋" w:eastAsia="仿宋" w:hAnsi="仿宋" w:cs="仿宋"/>
          <w:spacing w:val="1"/>
        </w:rPr>
        <w:t>2.</w:t>
      </w:r>
      <w:r>
        <w:rPr>
          <w:rFonts w:ascii="仿宋" w:eastAsia="仿宋" w:hAnsi="仿宋" w:cs="仿宋"/>
          <w:spacing w:val="35"/>
        </w:rPr>
        <w:t xml:space="preserve"> </w:t>
      </w:r>
      <w:r>
        <w:rPr>
          <w:rFonts w:ascii="仿宋" w:eastAsia="仿宋" w:hAnsi="仿宋" w:cs="仿宋"/>
          <w:spacing w:val="1"/>
        </w:rPr>
        <w:t>低聚糖</w:t>
      </w:r>
    </w:p>
    <w:p w:rsidR="00EA40A3" w:rsidRDefault="00E86C16">
      <w:pPr>
        <w:spacing w:before="221" w:line="258" w:lineRule="auto"/>
        <w:ind w:firstLine="419"/>
        <w:rPr>
          <w:rFonts w:ascii="宋体" w:eastAsia="宋体" w:hAnsi="宋体" w:cs="宋体"/>
        </w:rPr>
      </w:pPr>
      <w:r>
        <w:rPr>
          <w:rFonts w:ascii="宋体" w:eastAsia="宋体" w:hAnsi="宋体" w:cs="宋体"/>
          <w:spacing w:val="-3"/>
        </w:rPr>
        <w:t>低聚糖即寡糖</w:t>
      </w:r>
      <w:r>
        <w:rPr>
          <w:rFonts w:ascii="宋体" w:eastAsia="宋体" w:hAnsi="宋体" w:cs="宋体"/>
          <w:spacing w:val="-15"/>
        </w:rPr>
        <w:t xml:space="preserve"> </w:t>
      </w:r>
      <w:r>
        <w:rPr>
          <w:rFonts w:ascii="宋体" w:eastAsia="宋体" w:hAnsi="宋体" w:cs="宋体"/>
          <w:spacing w:val="-3"/>
        </w:rPr>
        <w:t>(oligosaccharide),</w:t>
      </w:r>
      <w:r>
        <w:rPr>
          <w:rFonts w:ascii="宋体" w:eastAsia="宋体" w:hAnsi="宋体" w:cs="宋体"/>
          <w:spacing w:val="-54"/>
        </w:rPr>
        <w:t xml:space="preserve"> </w:t>
      </w:r>
      <w:r>
        <w:rPr>
          <w:rFonts w:ascii="宋体" w:eastAsia="宋体" w:hAnsi="宋体" w:cs="宋体"/>
          <w:spacing w:val="-3"/>
        </w:rPr>
        <w:t>是</w:t>
      </w:r>
      <w:r>
        <w:rPr>
          <w:rFonts w:ascii="宋体" w:eastAsia="宋体" w:hAnsi="宋体" w:cs="宋体"/>
          <w:spacing w:val="-4"/>
        </w:rPr>
        <w:t>由3～9个单糖构成的一类小分子多糖。</w:t>
      </w:r>
      <w:r>
        <w:rPr>
          <w:rFonts w:ascii="宋体" w:eastAsia="宋体" w:hAnsi="宋体" w:cs="宋体"/>
        </w:rPr>
        <w:t xml:space="preserve"> </w:t>
      </w:r>
      <w:r>
        <w:rPr>
          <w:rFonts w:ascii="宋体" w:eastAsia="宋体" w:hAnsi="宋体" w:cs="宋体"/>
          <w:spacing w:val="-2"/>
        </w:rPr>
        <w:t>有许多低聚糖具有重要生理功能，比较重要的低聚糖是存</w:t>
      </w:r>
      <w:r>
        <w:rPr>
          <w:rFonts w:ascii="宋体" w:eastAsia="宋体" w:hAnsi="宋体" w:cs="宋体"/>
          <w:spacing w:val="-3"/>
        </w:rPr>
        <w:t>在于豆类食品中的棉籽</w:t>
      </w:r>
    </w:p>
    <w:p w:rsidR="00EA40A3" w:rsidRDefault="00E86C16">
      <w:pPr>
        <w:spacing w:before="87"/>
        <w:ind w:right="80"/>
        <w:jc w:val="right"/>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7"/>
          <w:sz w:val="18"/>
          <w:szCs w:val="18"/>
        </w:rPr>
        <w:t xml:space="preserve"> </w:t>
      </w:r>
      <w:r>
        <w:rPr>
          <w:rFonts w:ascii="宋体" w:eastAsia="宋体" w:hAnsi="宋体" w:cs="宋体"/>
          <w:spacing w:val="-31"/>
          <w:sz w:val="18"/>
          <w:szCs w:val="18"/>
        </w:rPr>
        <w:t>47</w:t>
      </w:r>
      <w:r>
        <w:rPr>
          <w:rFonts w:ascii="宋体" w:eastAsia="宋体" w:hAnsi="宋体" w:cs="宋体"/>
          <w:spacing w:val="44"/>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1004" w:bottom="400" w:left="869" w:header="0" w:footer="0" w:gutter="0"/>
          <w:cols w:space="720"/>
        </w:sectPr>
      </w:pPr>
    </w:p>
    <w:p w:rsidR="00EA40A3" w:rsidRDefault="00EA40A3">
      <w:pPr>
        <w:spacing w:line="279" w:lineRule="auto"/>
      </w:pPr>
    </w:p>
    <w:p w:rsidR="00EA40A3" w:rsidRDefault="00EA40A3">
      <w:pPr>
        <w:spacing w:line="279" w:lineRule="auto"/>
      </w:pPr>
    </w:p>
    <w:p w:rsidR="00EA40A3" w:rsidRDefault="00E86C16">
      <w:pPr>
        <w:spacing w:before="72" w:line="215" w:lineRule="auto"/>
        <w:rPr>
          <w:rFonts w:ascii="宋体" w:eastAsia="宋体" w:hAnsi="宋体" w:cs="宋体"/>
          <w:sz w:val="22"/>
          <w:szCs w:val="22"/>
        </w:rPr>
      </w:pPr>
      <w:r>
        <w:rPr>
          <w:rFonts w:ascii="宋体" w:eastAsia="宋体" w:hAnsi="宋体" w:cs="宋体"/>
          <w:spacing w:val="-16"/>
          <w:sz w:val="22"/>
          <w:szCs w:val="22"/>
        </w:rPr>
        <w:t>糖</w:t>
      </w:r>
      <w:r>
        <w:rPr>
          <w:rFonts w:ascii="宋体" w:eastAsia="宋体" w:hAnsi="宋体" w:cs="宋体"/>
          <w:spacing w:val="-11"/>
          <w:sz w:val="22"/>
          <w:szCs w:val="22"/>
        </w:rPr>
        <w:t xml:space="preserve"> </w:t>
      </w:r>
      <w:r>
        <w:rPr>
          <w:rFonts w:ascii="宋体" w:eastAsia="宋体" w:hAnsi="宋体" w:cs="宋体"/>
          <w:spacing w:val="-16"/>
          <w:sz w:val="22"/>
          <w:szCs w:val="22"/>
        </w:rPr>
        <w:t>(raffinose)</w:t>
      </w:r>
      <w:r>
        <w:rPr>
          <w:rFonts w:ascii="宋体" w:eastAsia="宋体" w:hAnsi="宋体" w:cs="宋体"/>
          <w:spacing w:val="-31"/>
          <w:sz w:val="22"/>
          <w:szCs w:val="22"/>
        </w:rPr>
        <w:t xml:space="preserve"> </w:t>
      </w:r>
      <w:r>
        <w:rPr>
          <w:rFonts w:ascii="宋体" w:eastAsia="宋体" w:hAnsi="宋体" w:cs="宋体"/>
          <w:spacing w:val="-16"/>
          <w:sz w:val="22"/>
          <w:szCs w:val="22"/>
        </w:rPr>
        <w:t>和水苏糖</w:t>
      </w:r>
      <w:r>
        <w:rPr>
          <w:rFonts w:ascii="宋体" w:eastAsia="宋体" w:hAnsi="宋体" w:cs="宋体"/>
          <w:spacing w:val="-19"/>
          <w:sz w:val="22"/>
          <w:szCs w:val="22"/>
        </w:rPr>
        <w:t xml:space="preserve"> </w:t>
      </w:r>
      <w:r>
        <w:rPr>
          <w:rFonts w:ascii="宋体" w:eastAsia="宋体" w:hAnsi="宋体" w:cs="宋体"/>
          <w:spacing w:val="-16"/>
          <w:sz w:val="22"/>
          <w:szCs w:val="22"/>
        </w:rPr>
        <w:t>(stachyose)。</w:t>
      </w:r>
    </w:p>
    <w:p w:rsidR="00EA40A3" w:rsidRDefault="00E86C16">
      <w:pPr>
        <w:spacing w:before="208" w:line="222" w:lineRule="auto"/>
        <w:rPr>
          <w:rFonts w:ascii="仿宋" w:eastAsia="仿宋" w:hAnsi="仿宋" w:cs="仿宋"/>
          <w:sz w:val="25"/>
          <w:szCs w:val="25"/>
        </w:rPr>
      </w:pPr>
      <w:r>
        <w:rPr>
          <w:rFonts w:ascii="仿宋" w:eastAsia="仿宋" w:hAnsi="仿宋" w:cs="仿宋"/>
          <w:spacing w:val="-8"/>
          <w:sz w:val="25"/>
          <w:szCs w:val="25"/>
        </w:rPr>
        <w:t>3.</w:t>
      </w:r>
      <w:r>
        <w:rPr>
          <w:rFonts w:ascii="仿宋" w:eastAsia="仿宋" w:hAnsi="仿宋" w:cs="仿宋"/>
          <w:spacing w:val="-50"/>
          <w:sz w:val="25"/>
          <w:szCs w:val="25"/>
        </w:rPr>
        <w:t xml:space="preserve"> </w:t>
      </w:r>
      <w:r>
        <w:rPr>
          <w:rFonts w:ascii="仿宋" w:eastAsia="仿宋" w:hAnsi="仿宋" w:cs="仿宋"/>
          <w:spacing w:val="-8"/>
          <w:sz w:val="25"/>
          <w:szCs w:val="25"/>
        </w:rPr>
        <w:t>多糖</w:t>
      </w:r>
    </w:p>
    <w:p w:rsidR="00EA40A3" w:rsidRDefault="00E86C16">
      <w:pPr>
        <w:spacing w:before="179" w:line="244" w:lineRule="auto"/>
        <w:ind w:right="115" w:firstLine="430"/>
        <w:rPr>
          <w:rFonts w:ascii="宋体" w:eastAsia="宋体" w:hAnsi="宋体" w:cs="宋体"/>
          <w:sz w:val="22"/>
          <w:szCs w:val="22"/>
        </w:rPr>
      </w:pPr>
      <w:r>
        <w:rPr>
          <w:rFonts w:ascii="宋体" w:eastAsia="宋体" w:hAnsi="宋体" w:cs="宋体"/>
          <w:spacing w:val="-7"/>
          <w:sz w:val="22"/>
          <w:szCs w:val="22"/>
        </w:rPr>
        <w:t>由10个以上的单糖组成的大分子糖称为多糖，包括淀粉和非淀</w:t>
      </w:r>
      <w:r>
        <w:rPr>
          <w:rFonts w:ascii="宋体" w:eastAsia="宋体" w:hAnsi="宋体" w:cs="宋体"/>
          <w:spacing w:val="-8"/>
          <w:sz w:val="22"/>
          <w:szCs w:val="22"/>
        </w:rPr>
        <w:t>粉多糖。营</w:t>
      </w:r>
      <w:r>
        <w:rPr>
          <w:rFonts w:ascii="宋体" w:eastAsia="宋体" w:hAnsi="宋体" w:cs="宋体"/>
          <w:sz w:val="22"/>
          <w:szCs w:val="22"/>
        </w:rPr>
        <w:t xml:space="preserve"> </w:t>
      </w:r>
      <w:r>
        <w:rPr>
          <w:rFonts w:ascii="宋体" w:eastAsia="宋体" w:hAnsi="宋体" w:cs="宋体"/>
          <w:spacing w:val="-11"/>
          <w:sz w:val="22"/>
          <w:szCs w:val="22"/>
        </w:rPr>
        <w:t>养学上起重要作用的多糖主要有3种：糖原、淀粉和非淀粉多糖。</w:t>
      </w:r>
    </w:p>
    <w:p w:rsidR="00EA40A3" w:rsidRDefault="00E86C16">
      <w:pPr>
        <w:spacing w:before="57" w:line="227" w:lineRule="auto"/>
        <w:rPr>
          <w:rFonts w:ascii="楷体" w:eastAsia="楷体" w:hAnsi="楷体" w:cs="楷体"/>
          <w:sz w:val="22"/>
          <w:szCs w:val="22"/>
        </w:rPr>
      </w:pPr>
      <w:r>
        <w:rPr>
          <w:rFonts w:ascii="楷体" w:eastAsia="楷体" w:hAnsi="楷体" w:cs="楷体"/>
          <w:spacing w:val="11"/>
          <w:sz w:val="22"/>
          <w:szCs w:val="22"/>
        </w:rPr>
        <w:t>1)糖原</w:t>
      </w:r>
    </w:p>
    <w:p w:rsidR="00EA40A3" w:rsidRDefault="00E86C16">
      <w:pPr>
        <w:spacing w:before="45" w:line="242" w:lineRule="auto"/>
        <w:ind w:right="62" w:firstLine="430"/>
        <w:jc w:val="both"/>
        <w:rPr>
          <w:rFonts w:ascii="宋体" w:eastAsia="宋体" w:hAnsi="宋体" w:cs="宋体"/>
          <w:sz w:val="22"/>
          <w:szCs w:val="22"/>
        </w:rPr>
      </w:pPr>
      <w:r>
        <w:rPr>
          <w:rFonts w:ascii="宋体" w:eastAsia="宋体" w:hAnsi="宋体" w:cs="宋体"/>
          <w:spacing w:val="-10"/>
          <w:sz w:val="22"/>
          <w:szCs w:val="22"/>
        </w:rPr>
        <w:t>糖原</w:t>
      </w:r>
      <w:r>
        <w:rPr>
          <w:rFonts w:ascii="宋体" w:eastAsia="宋体" w:hAnsi="宋体" w:cs="宋体"/>
          <w:spacing w:val="-15"/>
          <w:sz w:val="22"/>
          <w:szCs w:val="22"/>
        </w:rPr>
        <w:t xml:space="preserve"> </w:t>
      </w:r>
      <w:r>
        <w:rPr>
          <w:rFonts w:ascii="宋体" w:eastAsia="宋体" w:hAnsi="宋体" w:cs="宋体"/>
          <w:spacing w:val="-10"/>
          <w:sz w:val="22"/>
          <w:szCs w:val="22"/>
        </w:rPr>
        <w:t>(glycogen)</w:t>
      </w:r>
      <w:r>
        <w:rPr>
          <w:rFonts w:ascii="宋体" w:eastAsia="宋体" w:hAnsi="宋体" w:cs="宋体"/>
          <w:spacing w:val="-57"/>
          <w:sz w:val="22"/>
          <w:szCs w:val="22"/>
        </w:rPr>
        <w:t xml:space="preserve"> </w:t>
      </w:r>
      <w:r>
        <w:rPr>
          <w:rFonts w:ascii="宋体" w:eastAsia="宋体" w:hAnsi="宋体" w:cs="宋体"/>
          <w:spacing w:val="-10"/>
          <w:sz w:val="22"/>
          <w:szCs w:val="22"/>
        </w:rPr>
        <w:t>也称动物性淀粉，是葡萄糖在动物及人体内储存的主要形</w:t>
      </w:r>
      <w:r>
        <w:rPr>
          <w:rFonts w:ascii="宋体" w:eastAsia="宋体" w:hAnsi="宋体" w:cs="宋体"/>
          <w:sz w:val="22"/>
          <w:szCs w:val="22"/>
        </w:rPr>
        <w:t xml:space="preserve"> </w:t>
      </w:r>
      <w:r>
        <w:rPr>
          <w:rFonts w:ascii="宋体" w:eastAsia="宋体" w:hAnsi="宋体" w:cs="宋体"/>
          <w:spacing w:val="-5"/>
          <w:sz w:val="22"/>
          <w:szCs w:val="22"/>
        </w:rPr>
        <w:t>式。人体内的糖原约有1/3存在于肝脏，2/3存在于肌肉中。</w:t>
      </w:r>
      <w:r>
        <w:rPr>
          <w:rFonts w:ascii="宋体" w:eastAsia="宋体" w:hAnsi="宋体" w:cs="宋体"/>
          <w:spacing w:val="-6"/>
          <w:sz w:val="22"/>
          <w:szCs w:val="22"/>
        </w:rPr>
        <w:t>肝脏中储存的糖原</w:t>
      </w:r>
      <w:r>
        <w:rPr>
          <w:rFonts w:ascii="宋体" w:eastAsia="宋体" w:hAnsi="宋体" w:cs="宋体"/>
          <w:sz w:val="22"/>
          <w:szCs w:val="22"/>
        </w:rPr>
        <w:t xml:space="preserve"> </w:t>
      </w:r>
      <w:r>
        <w:rPr>
          <w:rFonts w:ascii="宋体" w:eastAsia="宋体" w:hAnsi="宋体" w:cs="宋体"/>
          <w:spacing w:val="-14"/>
          <w:sz w:val="22"/>
          <w:szCs w:val="22"/>
        </w:rPr>
        <w:t>可维持正常的血糖浓度，肌肉中的糖原可提供肌肉运动所需要的能量。</w:t>
      </w:r>
    </w:p>
    <w:p w:rsidR="00EA40A3" w:rsidRDefault="00E86C16">
      <w:pPr>
        <w:spacing w:before="70" w:line="227" w:lineRule="auto"/>
        <w:rPr>
          <w:rFonts w:ascii="楷体" w:eastAsia="楷体" w:hAnsi="楷体" w:cs="楷体"/>
          <w:sz w:val="22"/>
          <w:szCs w:val="22"/>
        </w:rPr>
      </w:pPr>
      <w:r>
        <w:rPr>
          <w:rFonts w:ascii="楷体" w:eastAsia="楷体" w:hAnsi="楷体" w:cs="楷体"/>
          <w:spacing w:val="11"/>
          <w:sz w:val="22"/>
          <w:szCs w:val="22"/>
        </w:rPr>
        <w:t>2)淀粉</w:t>
      </w:r>
    </w:p>
    <w:p w:rsidR="00EA40A3" w:rsidRDefault="00E86C16">
      <w:pPr>
        <w:spacing w:before="48" w:line="247" w:lineRule="auto"/>
        <w:ind w:right="70" w:firstLine="430"/>
        <w:jc w:val="both"/>
        <w:rPr>
          <w:rFonts w:ascii="宋体" w:eastAsia="宋体" w:hAnsi="宋体" w:cs="宋体"/>
          <w:sz w:val="22"/>
          <w:szCs w:val="22"/>
        </w:rPr>
      </w:pPr>
      <w:r>
        <w:rPr>
          <w:rFonts w:ascii="宋体" w:eastAsia="宋体" w:hAnsi="宋体" w:cs="宋体"/>
          <w:spacing w:val="-10"/>
          <w:sz w:val="22"/>
          <w:szCs w:val="22"/>
        </w:rPr>
        <w:t>淀粉</w:t>
      </w:r>
      <w:r>
        <w:rPr>
          <w:rFonts w:ascii="宋体" w:eastAsia="宋体" w:hAnsi="宋体" w:cs="宋体"/>
          <w:spacing w:val="2"/>
          <w:sz w:val="22"/>
          <w:szCs w:val="22"/>
        </w:rPr>
        <w:t xml:space="preserve"> </w:t>
      </w:r>
      <w:r>
        <w:rPr>
          <w:rFonts w:ascii="宋体" w:eastAsia="宋体" w:hAnsi="宋体" w:cs="宋体"/>
          <w:spacing w:val="-10"/>
          <w:sz w:val="22"/>
          <w:szCs w:val="22"/>
        </w:rPr>
        <w:t>(starch)</w:t>
      </w:r>
      <w:r>
        <w:rPr>
          <w:rFonts w:ascii="宋体" w:eastAsia="宋体" w:hAnsi="宋体" w:cs="宋体"/>
          <w:spacing w:val="-54"/>
          <w:sz w:val="22"/>
          <w:szCs w:val="22"/>
        </w:rPr>
        <w:t xml:space="preserve"> </w:t>
      </w:r>
      <w:r>
        <w:rPr>
          <w:rFonts w:ascii="宋体" w:eastAsia="宋体" w:hAnsi="宋体" w:cs="宋体"/>
          <w:spacing w:val="-10"/>
          <w:sz w:val="22"/>
          <w:szCs w:val="22"/>
        </w:rPr>
        <w:t>是由单一的葡萄糖分子组成的，根据其结构可分为直链淀粉</w:t>
      </w:r>
      <w:r>
        <w:rPr>
          <w:rFonts w:ascii="宋体" w:eastAsia="宋体" w:hAnsi="宋体" w:cs="宋体"/>
          <w:sz w:val="22"/>
          <w:szCs w:val="22"/>
        </w:rPr>
        <w:t xml:space="preserve"> </w:t>
      </w:r>
      <w:r>
        <w:rPr>
          <w:rFonts w:ascii="宋体" w:eastAsia="宋体" w:hAnsi="宋体" w:cs="宋体"/>
          <w:spacing w:val="-10"/>
          <w:sz w:val="22"/>
          <w:szCs w:val="22"/>
        </w:rPr>
        <w:t>(amylose)</w:t>
      </w:r>
      <w:r>
        <w:rPr>
          <w:rFonts w:ascii="宋体" w:eastAsia="宋体" w:hAnsi="宋体" w:cs="宋体"/>
          <w:spacing w:val="-47"/>
          <w:sz w:val="22"/>
          <w:szCs w:val="22"/>
        </w:rPr>
        <w:t xml:space="preserve"> </w:t>
      </w:r>
      <w:r>
        <w:rPr>
          <w:rFonts w:ascii="宋体" w:eastAsia="宋体" w:hAnsi="宋体" w:cs="宋体"/>
          <w:spacing w:val="-10"/>
          <w:sz w:val="22"/>
          <w:szCs w:val="22"/>
        </w:rPr>
        <w:t>和支链淀粉</w:t>
      </w:r>
      <w:r>
        <w:rPr>
          <w:rFonts w:ascii="宋体" w:eastAsia="宋体" w:hAnsi="宋体" w:cs="宋体"/>
          <w:spacing w:val="-29"/>
          <w:sz w:val="22"/>
          <w:szCs w:val="22"/>
        </w:rPr>
        <w:t xml:space="preserve"> </w:t>
      </w:r>
      <w:r>
        <w:rPr>
          <w:rFonts w:ascii="宋体" w:eastAsia="宋体" w:hAnsi="宋体" w:cs="宋体"/>
          <w:spacing w:val="-10"/>
          <w:sz w:val="22"/>
          <w:szCs w:val="22"/>
        </w:rPr>
        <w:t>(amylopectin)。</w:t>
      </w:r>
      <w:r>
        <w:rPr>
          <w:rFonts w:ascii="宋体" w:eastAsia="宋体" w:hAnsi="宋体" w:cs="宋体"/>
          <w:spacing w:val="-47"/>
          <w:sz w:val="22"/>
          <w:szCs w:val="22"/>
        </w:rPr>
        <w:t xml:space="preserve"> </w:t>
      </w:r>
      <w:r>
        <w:rPr>
          <w:rFonts w:ascii="宋体" w:eastAsia="宋体" w:hAnsi="宋体" w:cs="宋体"/>
          <w:spacing w:val="-10"/>
          <w:sz w:val="22"/>
          <w:szCs w:val="22"/>
        </w:rPr>
        <w:t>直链淀粉易老化，支链淀粉易糊化，糊</w:t>
      </w:r>
      <w:r>
        <w:rPr>
          <w:rFonts w:ascii="宋体" w:eastAsia="宋体" w:hAnsi="宋体" w:cs="宋体"/>
          <w:sz w:val="22"/>
          <w:szCs w:val="22"/>
        </w:rPr>
        <w:t xml:space="preserve"> </w:t>
      </w:r>
      <w:r>
        <w:rPr>
          <w:rFonts w:ascii="宋体" w:eastAsia="宋体" w:hAnsi="宋体" w:cs="宋体"/>
          <w:spacing w:val="-16"/>
          <w:sz w:val="22"/>
          <w:szCs w:val="22"/>
        </w:rPr>
        <w:t>化后的淀粉消化吸收率显著提高。</w:t>
      </w:r>
    </w:p>
    <w:p w:rsidR="00EA40A3" w:rsidRDefault="00E86C16">
      <w:pPr>
        <w:spacing w:before="69" w:line="227" w:lineRule="auto"/>
        <w:rPr>
          <w:rFonts w:ascii="楷体" w:eastAsia="楷体" w:hAnsi="楷体" w:cs="楷体"/>
          <w:sz w:val="22"/>
          <w:szCs w:val="22"/>
        </w:rPr>
      </w:pPr>
      <w:r>
        <w:rPr>
          <w:rFonts w:ascii="楷体" w:eastAsia="楷体" w:hAnsi="楷体" w:cs="楷体"/>
          <w:spacing w:val="-2"/>
          <w:sz w:val="22"/>
          <w:szCs w:val="22"/>
        </w:rPr>
        <w:t>3)非淀粉多糖</w:t>
      </w:r>
    </w:p>
    <w:p w:rsidR="00EA40A3" w:rsidRDefault="00E86C16">
      <w:pPr>
        <w:spacing w:before="37" w:line="247" w:lineRule="auto"/>
        <w:ind w:right="100" w:firstLine="430"/>
        <w:jc w:val="both"/>
        <w:rPr>
          <w:rFonts w:ascii="宋体" w:eastAsia="宋体" w:hAnsi="宋体" w:cs="宋体"/>
          <w:sz w:val="22"/>
          <w:szCs w:val="22"/>
        </w:rPr>
      </w:pPr>
      <w:r>
        <w:rPr>
          <w:rFonts w:ascii="宋体" w:eastAsia="宋体" w:hAnsi="宋体" w:cs="宋体"/>
          <w:spacing w:val="-13"/>
          <w:sz w:val="22"/>
          <w:szCs w:val="22"/>
        </w:rPr>
        <w:t>非淀粉多糖指淀粉以外的多糖，主要有纤维素、</w:t>
      </w:r>
      <w:r>
        <w:rPr>
          <w:rFonts w:ascii="宋体" w:eastAsia="宋体" w:hAnsi="宋体" w:cs="宋体"/>
          <w:spacing w:val="-14"/>
          <w:sz w:val="22"/>
          <w:szCs w:val="22"/>
        </w:rPr>
        <w:t>半纤维素、果胶等，是膳食</w:t>
      </w:r>
      <w:r>
        <w:rPr>
          <w:rFonts w:ascii="宋体" w:eastAsia="宋体" w:hAnsi="宋体" w:cs="宋体"/>
          <w:sz w:val="22"/>
          <w:szCs w:val="22"/>
        </w:rPr>
        <w:t xml:space="preserve"> 纤维的主要组成成分(见第5章),非淀粉多糖</w:t>
      </w:r>
      <w:r>
        <w:rPr>
          <w:rFonts w:ascii="宋体" w:eastAsia="宋体" w:hAnsi="宋体" w:cs="宋体"/>
          <w:spacing w:val="-1"/>
          <w:sz w:val="22"/>
          <w:szCs w:val="22"/>
        </w:rPr>
        <w:t>中有许多具有生理调节功能的多</w:t>
      </w:r>
      <w:r>
        <w:rPr>
          <w:rFonts w:ascii="宋体" w:eastAsia="宋体" w:hAnsi="宋体" w:cs="宋体"/>
          <w:sz w:val="22"/>
          <w:szCs w:val="22"/>
        </w:rPr>
        <w:t xml:space="preserve"> </w:t>
      </w:r>
      <w:r>
        <w:rPr>
          <w:rFonts w:ascii="宋体" w:eastAsia="宋体" w:hAnsi="宋体" w:cs="宋体"/>
          <w:spacing w:val="7"/>
          <w:sz w:val="22"/>
          <w:szCs w:val="22"/>
        </w:rPr>
        <w:t>糖(见3.2.3节)。</w:t>
      </w:r>
    </w:p>
    <w:p w:rsidR="00EA40A3" w:rsidRDefault="00E86C16">
      <w:pPr>
        <w:spacing w:before="244" w:line="221" w:lineRule="auto"/>
        <w:ind w:left="3"/>
        <w:outlineLvl w:val="6"/>
        <w:rPr>
          <w:rFonts w:ascii="黑体" w:eastAsia="黑体" w:hAnsi="黑体" w:cs="黑体"/>
          <w:sz w:val="22"/>
          <w:szCs w:val="22"/>
        </w:rPr>
      </w:pPr>
      <w:r>
        <w:rPr>
          <w:rFonts w:ascii="黑体" w:eastAsia="黑体" w:hAnsi="黑体" w:cs="黑体"/>
          <w:b/>
          <w:bCs/>
          <w:spacing w:val="8"/>
          <w:sz w:val="22"/>
          <w:szCs w:val="22"/>
        </w:rPr>
        <w:t>3.2.2</w:t>
      </w:r>
      <w:r>
        <w:rPr>
          <w:rFonts w:ascii="黑体" w:eastAsia="黑体" w:hAnsi="黑体" w:cs="黑体"/>
          <w:spacing w:val="6"/>
          <w:sz w:val="22"/>
          <w:szCs w:val="22"/>
        </w:rPr>
        <w:t xml:space="preserve">   </w:t>
      </w:r>
      <w:r>
        <w:rPr>
          <w:rFonts w:ascii="黑体" w:eastAsia="黑体" w:hAnsi="黑体" w:cs="黑体"/>
          <w:b/>
          <w:bCs/>
          <w:spacing w:val="8"/>
          <w:sz w:val="22"/>
          <w:szCs w:val="22"/>
        </w:rPr>
        <w:t>碳水化合物的生理功能</w:t>
      </w:r>
    </w:p>
    <w:p w:rsidR="00EA40A3" w:rsidRDefault="00E86C16">
      <w:pPr>
        <w:spacing w:before="190" w:line="241" w:lineRule="auto"/>
        <w:ind w:right="71" w:firstLine="430"/>
        <w:rPr>
          <w:rFonts w:ascii="宋体" w:eastAsia="宋体" w:hAnsi="宋体" w:cs="宋体"/>
          <w:sz w:val="22"/>
          <w:szCs w:val="22"/>
        </w:rPr>
      </w:pPr>
      <w:r>
        <w:rPr>
          <w:rFonts w:ascii="宋体" w:eastAsia="宋体" w:hAnsi="宋体" w:cs="宋体"/>
          <w:spacing w:val="-13"/>
          <w:sz w:val="22"/>
          <w:szCs w:val="22"/>
        </w:rPr>
        <w:t>碳水化合物的主要生理功能是提供能量，随着人类对碳水化合物研究的不断</w:t>
      </w:r>
      <w:r>
        <w:rPr>
          <w:rFonts w:ascii="宋体" w:eastAsia="宋体" w:hAnsi="宋体" w:cs="宋体"/>
          <w:spacing w:val="16"/>
          <w:sz w:val="22"/>
          <w:szCs w:val="22"/>
        </w:rPr>
        <w:t xml:space="preserve"> </w:t>
      </w:r>
      <w:r>
        <w:rPr>
          <w:rFonts w:ascii="宋体" w:eastAsia="宋体" w:hAnsi="宋体" w:cs="宋体"/>
          <w:spacing w:val="-15"/>
          <w:sz w:val="22"/>
          <w:szCs w:val="22"/>
        </w:rPr>
        <w:t>深入，对其功能的认识也在逐渐扩大。</w:t>
      </w:r>
    </w:p>
    <w:p w:rsidR="00EA40A3" w:rsidRDefault="00E86C16">
      <w:pPr>
        <w:spacing w:before="213" w:line="219"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40"/>
          <w:sz w:val="22"/>
          <w:szCs w:val="22"/>
        </w:rPr>
        <w:t xml:space="preserve"> </w:t>
      </w:r>
      <w:r>
        <w:rPr>
          <w:rFonts w:ascii="仿宋" w:eastAsia="仿宋" w:hAnsi="仿宋" w:cs="仿宋"/>
          <w:spacing w:val="12"/>
          <w:sz w:val="22"/>
          <w:szCs w:val="22"/>
        </w:rPr>
        <w:t>提供和储存能量</w:t>
      </w:r>
    </w:p>
    <w:p w:rsidR="00EA40A3" w:rsidRDefault="00E86C16">
      <w:pPr>
        <w:spacing w:before="209" w:line="255" w:lineRule="auto"/>
        <w:ind w:right="84" w:firstLine="430"/>
        <w:jc w:val="both"/>
        <w:rPr>
          <w:rFonts w:ascii="宋体" w:eastAsia="宋体" w:hAnsi="宋体" w:cs="宋体"/>
          <w:sz w:val="22"/>
          <w:szCs w:val="22"/>
        </w:rPr>
      </w:pPr>
      <w:r>
        <w:rPr>
          <w:rFonts w:ascii="宋体" w:eastAsia="宋体" w:hAnsi="宋体" w:cs="宋体"/>
          <w:spacing w:val="-6"/>
          <w:sz w:val="22"/>
          <w:szCs w:val="22"/>
        </w:rPr>
        <w:t>维持人体健康所需要的能量中，55%～65%由碳水化</w:t>
      </w:r>
      <w:r>
        <w:rPr>
          <w:rFonts w:ascii="宋体" w:eastAsia="宋体" w:hAnsi="宋体" w:cs="宋体"/>
          <w:spacing w:val="-7"/>
          <w:sz w:val="22"/>
          <w:szCs w:val="22"/>
        </w:rPr>
        <w:t>合物提供。碳水化合物</w:t>
      </w:r>
      <w:r>
        <w:rPr>
          <w:rFonts w:ascii="宋体" w:eastAsia="宋体" w:hAnsi="宋体" w:cs="宋体"/>
          <w:sz w:val="22"/>
          <w:szCs w:val="22"/>
        </w:rPr>
        <w:t xml:space="preserve"> </w:t>
      </w:r>
      <w:r>
        <w:rPr>
          <w:rFonts w:ascii="宋体" w:eastAsia="宋体" w:hAnsi="宋体" w:cs="宋体"/>
          <w:spacing w:val="-12"/>
          <w:sz w:val="22"/>
          <w:szCs w:val="22"/>
        </w:rPr>
        <w:t>在体内消化后，主要以葡萄糖的形式吸收，人</w:t>
      </w:r>
      <w:r>
        <w:rPr>
          <w:rFonts w:ascii="宋体" w:eastAsia="宋体" w:hAnsi="宋体" w:cs="宋体"/>
          <w:spacing w:val="-13"/>
          <w:sz w:val="22"/>
          <w:szCs w:val="22"/>
        </w:rPr>
        <w:t>体所有组织细胞都含有能直接利用</w:t>
      </w:r>
      <w:r>
        <w:rPr>
          <w:rFonts w:ascii="宋体" w:eastAsia="宋体" w:hAnsi="宋体" w:cs="宋体"/>
          <w:sz w:val="22"/>
          <w:szCs w:val="22"/>
        </w:rPr>
        <w:t xml:space="preserve"> </w:t>
      </w:r>
      <w:r>
        <w:rPr>
          <w:rFonts w:ascii="宋体" w:eastAsia="宋体" w:hAnsi="宋体" w:cs="宋体"/>
          <w:spacing w:val="-13"/>
          <w:sz w:val="22"/>
          <w:szCs w:val="22"/>
        </w:rPr>
        <w:t>葡萄糖产热的酶类，葡萄糖最终的代谢产物为二氧化碳和水，每克葡萄糖可产热</w:t>
      </w:r>
      <w:r>
        <w:rPr>
          <w:rFonts w:ascii="宋体" w:eastAsia="宋体" w:hAnsi="宋体" w:cs="宋体"/>
          <w:spacing w:val="6"/>
          <w:sz w:val="22"/>
          <w:szCs w:val="22"/>
        </w:rPr>
        <w:t xml:space="preserve"> </w:t>
      </w:r>
      <w:r>
        <w:rPr>
          <w:rFonts w:ascii="宋体" w:eastAsia="宋体" w:hAnsi="宋体" w:cs="宋体"/>
          <w:spacing w:val="-11"/>
          <w:sz w:val="22"/>
          <w:szCs w:val="22"/>
        </w:rPr>
        <w:t>16.7kJ(4kcal)。</w:t>
      </w:r>
      <w:r>
        <w:rPr>
          <w:rFonts w:ascii="宋体" w:eastAsia="宋体" w:hAnsi="宋体" w:cs="宋体"/>
          <w:spacing w:val="-1"/>
          <w:sz w:val="22"/>
          <w:szCs w:val="22"/>
        </w:rPr>
        <w:t xml:space="preserve"> </w:t>
      </w:r>
      <w:r>
        <w:rPr>
          <w:rFonts w:ascii="宋体" w:eastAsia="宋体" w:hAnsi="宋体" w:cs="宋体"/>
          <w:spacing w:val="-11"/>
          <w:sz w:val="22"/>
          <w:szCs w:val="22"/>
        </w:rPr>
        <w:t>葡萄糖是一切系统，特别是神经系统最主要的能量来源，大脑</w:t>
      </w:r>
      <w:r>
        <w:rPr>
          <w:rFonts w:ascii="宋体" w:eastAsia="宋体" w:hAnsi="宋体" w:cs="宋体"/>
          <w:sz w:val="22"/>
          <w:szCs w:val="22"/>
        </w:rPr>
        <w:t xml:space="preserve"> </w:t>
      </w:r>
      <w:r>
        <w:rPr>
          <w:rFonts w:ascii="宋体" w:eastAsia="宋体" w:hAnsi="宋体" w:cs="宋体"/>
          <w:spacing w:val="-10"/>
          <w:sz w:val="22"/>
          <w:szCs w:val="22"/>
        </w:rPr>
        <w:t>活动靠糖的有氧氧化供热，血糖的2/3被大脑消耗。肌肉和肝脏中的糖原是碳水</w:t>
      </w:r>
      <w:r>
        <w:rPr>
          <w:rFonts w:ascii="宋体" w:eastAsia="宋体" w:hAnsi="宋体" w:cs="宋体"/>
          <w:spacing w:val="18"/>
          <w:sz w:val="22"/>
          <w:szCs w:val="22"/>
        </w:rPr>
        <w:t xml:space="preserve"> </w:t>
      </w:r>
      <w:r>
        <w:rPr>
          <w:rFonts w:ascii="宋体" w:eastAsia="宋体" w:hAnsi="宋体" w:cs="宋体"/>
          <w:sz w:val="22"/>
          <w:szCs w:val="22"/>
        </w:rPr>
        <w:t>化合物的储能形式，能满足机体肌肉活动、红细胞、</w:t>
      </w:r>
      <w:r>
        <w:rPr>
          <w:rFonts w:ascii="宋体" w:eastAsia="宋体" w:hAnsi="宋体" w:cs="宋体"/>
          <w:spacing w:val="-1"/>
          <w:sz w:val="22"/>
          <w:szCs w:val="22"/>
        </w:rPr>
        <w:t>脑和神经组织对能量的</w:t>
      </w:r>
      <w:r>
        <w:rPr>
          <w:rFonts w:ascii="宋体" w:eastAsia="宋体" w:hAnsi="宋体" w:cs="宋体"/>
          <w:sz w:val="22"/>
          <w:szCs w:val="22"/>
        </w:rPr>
        <w:t xml:space="preserve"> </w:t>
      </w:r>
      <w:r>
        <w:rPr>
          <w:rFonts w:ascii="宋体" w:eastAsia="宋体" w:hAnsi="宋体" w:cs="宋体"/>
          <w:spacing w:val="-12"/>
          <w:sz w:val="22"/>
          <w:szCs w:val="22"/>
        </w:rPr>
        <w:t>需要。</w:t>
      </w:r>
    </w:p>
    <w:p w:rsidR="00EA40A3" w:rsidRDefault="00E86C16">
      <w:pPr>
        <w:spacing w:before="243"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41"/>
          <w:sz w:val="22"/>
          <w:szCs w:val="22"/>
        </w:rPr>
        <w:t xml:space="preserve"> </w:t>
      </w:r>
      <w:r>
        <w:rPr>
          <w:rFonts w:ascii="仿宋" w:eastAsia="仿宋" w:hAnsi="仿宋" w:cs="仿宋"/>
          <w:spacing w:val="12"/>
          <w:sz w:val="22"/>
          <w:szCs w:val="22"/>
        </w:rPr>
        <w:t>构成机体的重要物质</w:t>
      </w:r>
    </w:p>
    <w:p w:rsidR="00EA40A3" w:rsidRDefault="00E86C16">
      <w:pPr>
        <w:spacing w:before="189" w:line="247" w:lineRule="auto"/>
        <w:ind w:firstLine="430"/>
        <w:jc w:val="both"/>
        <w:rPr>
          <w:rFonts w:ascii="宋体" w:eastAsia="宋体" w:hAnsi="宋体" w:cs="宋体"/>
          <w:sz w:val="22"/>
          <w:szCs w:val="22"/>
        </w:rPr>
      </w:pPr>
      <w:r>
        <w:rPr>
          <w:rFonts w:ascii="宋体" w:eastAsia="宋体" w:hAnsi="宋体" w:cs="宋体"/>
          <w:spacing w:val="-13"/>
          <w:sz w:val="22"/>
          <w:szCs w:val="22"/>
        </w:rPr>
        <w:t>碳水化合物是构成机体的重要物质，并参与细胞的多种活动。糖和脂肪形成</w:t>
      </w:r>
      <w:r>
        <w:rPr>
          <w:rFonts w:ascii="宋体" w:eastAsia="宋体" w:hAnsi="宋体" w:cs="宋体"/>
          <w:spacing w:val="17"/>
          <w:sz w:val="22"/>
          <w:szCs w:val="22"/>
        </w:rPr>
        <w:t xml:space="preserve"> </w:t>
      </w:r>
      <w:r>
        <w:rPr>
          <w:rFonts w:ascii="宋体" w:eastAsia="宋体" w:hAnsi="宋体" w:cs="宋体"/>
          <w:spacing w:val="-10"/>
          <w:sz w:val="22"/>
          <w:szCs w:val="22"/>
        </w:rPr>
        <w:t>的糖脂是细胞膜和神经组织的重要成分，糖与蛋白质结合形成的糖蛋白是抗体、</w:t>
      </w:r>
      <w:r>
        <w:rPr>
          <w:rFonts w:ascii="宋体" w:eastAsia="宋体" w:hAnsi="宋体" w:cs="宋体"/>
          <w:sz w:val="22"/>
          <w:szCs w:val="22"/>
        </w:rPr>
        <w:t xml:space="preserve"> </w:t>
      </w:r>
      <w:r>
        <w:rPr>
          <w:rFonts w:ascii="宋体" w:eastAsia="宋体" w:hAnsi="宋体" w:cs="宋体"/>
          <w:spacing w:val="-15"/>
          <w:sz w:val="22"/>
          <w:szCs w:val="22"/>
        </w:rPr>
        <w:t>酶、激素、核酸的组成部分，具有重要的生理功能。</w:t>
      </w:r>
    </w:p>
    <w:p w:rsidR="00EA40A3" w:rsidRDefault="00E86C16">
      <w:pPr>
        <w:spacing w:before="56"/>
        <w:rPr>
          <w:rFonts w:ascii="宋体" w:eastAsia="宋体" w:hAnsi="宋体" w:cs="宋体"/>
          <w:sz w:val="19"/>
          <w:szCs w:val="19"/>
        </w:rPr>
      </w:pPr>
      <w:r>
        <w:rPr>
          <w:rFonts w:ascii="宋体" w:eastAsia="宋体" w:hAnsi="宋体" w:cs="宋体"/>
          <w:spacing w:val="-37"/>
          <w:sz w:val="19"/>
          <w:szCs w:val="19"/>
        </w:rPr>
        <w:t>·</w:t>
      </w:r>
      <w:r>
        <w:rPr>
          <w:rFonts w:ascii="宋体" w:eastAsia="宋体" w:hAnsi="宋体" w:cs="宋体"/>
          <w:spacing w:val="-14"/>
          <w:sz w:val="19"/>
          <w:szCs w:val="19"/>
        </w:rPr>
        <w:t xml:space="preserve"> </w:t>
      </w:r>
      <w:r>
        <w:rPr>
          <w:rFonts w:ascii="宋体" w:eastAsia="宋体" w:hAnsi="宋体" w:cs="宋体"/>
          <w:spacing w:val="-37"/>
          <w:sz w:val="19"/>
          <w:szCs w:val="19"/>
        </w:rPr>
        <w:t>48</w:t>
      </w:r>
      <w:r>
        <w:rPr>
          <w:rFonts w:ascii="宋体" w:eastAsia="宋体" w:hAnsi="宋体" w:cs="宋体"/>
          <w:spacing w:val="36"/>
          <w:sz w:val="19"/>
          <w:szCs w:val="19"/>
        </w:rPr>
        <w:t xml:space="preserve"> </w:t>
      </w:r>
      <w:r>
        <w:rPr>
          <w:rFonts w:ascii="宋体" w:eastAsia="宋体" w:hAnsi="宋体" w:cs="宋体"/>
          <w:spacing w:val="-37"/>
          <w:sz w:val="19"/>
          <w:szCs w:val="19"/>
        </w:rPr>
        <w:t>·</w:t>
      </w:r>
    </w:p>
    <w:p w:rsidR="00EA40A3" w:rsidRDefault="00EA40A3">
      <w:pPr>
        <w:sectPr w:rsidR="00EA40A3">
          <w:pgSz w:w="9220" w:h="13360"/>
          <w:pgMar w:top="400" w:right="1069" w:bottom="400" w:left="800" w:header="0" w:footer="0" w:gutter="0"/>
          <w:cols w:space="720"/>
        </w:sectPr>
      </w:pPr>
    </w:p>
    <w:p w:rsidR="00EA40A3" w:rsidRDefault="00EA40A3">
      <w:pPr>
        <w:spacing w:line="248" w:lineRule="auto"/>
      </w:pPr>
    </w:p>
    <w:p w:rsidR="00EA40A3" w:rsidRDefault="00EA40A3">
      <w:pPr>
        <w:spacing w:line="248" w:lineRule="auto"/>
      </w:pPr>
    </w:p>
    <w:p w:rsidR="00EA40A3" w:rsidRDefault="00EA40A3">
      <w:pPr>
        <w:spacing w:line="249" w:lineRule="auto"/>
      </w:pPr>
    </w:p>
    <w:p w:rsidR="00EA40A3" w:rsidRDefault="00E86C16">
      <w:pPr>
        <w:spacing w:before="75" w:line="220" w:lineRule="auto"/>
        <w:rPr>
          <w:rFonts w:ascii="仿宋" w:eastAsia="仿宋" w:hAnsi="仿宋" w:cs="仿宋"/>
          <w:sz w:val="23"/>
          <w:szCs w:val="23"/>
        </w:rPr>
      </w:pPr>
      <w:r>
        <w:rPr>
          <w:rFonts w:ascii="仿宋" w:eastAsia="仿宋" w:hAnsi="仿宋" w:cs="仿宋"/>
          <w:spacing w:val="5"/>
          <w:sz w:val="23"/>
          <w:szCs w:val="23"/>
        </w:rPr>
        <w:t>3.</w:t>
      </w:r>
      <w:r>
        <w:rPr>
          <w:rFonts w:ascii="仿宋" w:eastAsia="仿宋" w:hAnsi="仿宋" w:cs="仿宋"/>
          <w:spacing w:val="-50"/>
          <w:sz w:val="23"/>
          <w:szCs w:val="23"/>
        </w:rPr>
        <w:t xml:space="preserve"> </w:t>
      </w:r>
      <w:r>
        <w:rPr>
          <w:rFonts w:ascii="仿宋" w:eastAsia="仿宋" w:hAnsi="仿宋" w:cs="仿宋"/>
          <w:spacing w:val="5"/>
          <w:sz w:val="23"/>
          <w:szCs w:val="23"/>
        </w:rPr>
        <w:t>节约蛋白质作用</w:t>
      </w:r>
    </w:p>
    <w:p w:rsidR="00EA40A3" w:rsidRDefault="00E86C16">
      <w:pPr>
        <w:spacing w:before="199" w:line="236" w:lineRule="auto"/>
        <w:ind w:firstLine="450"/>
        <w:jc w:val="both"/>
        <w:rPr>
          <w:rFonts w:ascii="宋体" w:eastAsia="宋体" w:hAnsi="宋体" w:cs="宋体"/>
          <w:sz w:val="23"/>
          <w:szCs w:val="23"/>
        </w:rPr>
      </w:pPr>
      <w:r>
        <w:rPr>
          <w:rFonts w:ascii="宋体" w:eastAsia="宋体" w:hAnsi="宋体" w:cs="宋体"/>
          <w:spacing w:val="-21"/>
          <w:sz w:val="23"/>
          <w:szCs w:val="23"/>
        </w:rPr>
        <w:t>机体需要的能量主要由碳水化合物提供，当膳食中碳水化合物供应不足时，</w:t>
      </w:r>
      <w:r>
        <w:rPr>
          <w:rFonts w:ascii="宋体" w:eastAsia="宋体" w:hAnsi="宋体" w:cs="宋体"/>
          <w:spacing w:val="7"/>
          <w:sz w:val="23"/>
          <w:szCs w:val="23"/>
        </w:rPr>
        <w:t xml:space="preserve"> </w:t>
      </w:r>
      <w:r>
        <w:rPr>
          <w:rFonts w:ascii="宋体" w:eastAsia="宋体" w:hAnsi="宋体" w:cs="宋体"/>
          <w:spacing w:val="-24"/>
          <w:sz w:val="23"/>
          <w:szCs w:val="23"/>
        </w:rPr>
        <w:t>机体就通过糖原异生作用产生葡萄糖，以满足机体对葡萄糖的需要，因此当摄入</w:t>
      </w:r>
      <w:r>
        <w:rPr>
          <w:rFonts w:ascii="宋体" w:eastAsia="宋体" w:hAnsi="宋体" w:cs="宋体"/>
          <w:spacing w:val="3"/>
          <w:sz w:val="23"/>
          <w:szCs w:val="23"/>
        </w:rPr>
        <w:t xml:space="preserve">  </w:t>
      </w:r>
      <w:r>
        <w:rPr>
          <w:rFonts w:ascii="宋体" w:eastAsia="宋体" w:hAnsi="宋体" w:cs="宋体"/>
          <w:spacing w:val="-23"/>
          <w:sz w:val="23"/>
          <w:szCs w:val="23"/>
        </w:rPr>
        <w:t>充足的碳水化合物时，可以节省体内蛋白质或其他代谢物的消耗，使氮在体内的</w:t>
      </w:r>
      <w:r>
        <w:rPr>
          <w:rFonts w:ascii="宋体" w:eastAsia="宋体" w:hAnsi="宋体" w:cs="宋体"/>
          <w:spacing w:val="5"/>
          <w:sz w:val="23"/>
          <w:szCs w:val="23"/>
        </w:rPr>
        <w:t xml:space="preserve">  </w:t>
      </w:r>
      <w:r>
        <w:rPr>
          <w:rFonts w:ascii="宋体" w:eastAsia="宋体" w:hAnsi="宋体" w:cs="宋体"/>
          <w:spacing w:val="-22"/>
          <w:sz w:val="23"/>
          <w:szCs w:val="23"/>
        </w:rPr>
        <w:t>储备增加。</w:t>
      </w:r>
    </w:p>
    <w:p w:rsidR="00EA40A3" w:rsidRDefault="00E86C16">
      <w:pPr>
        <w:spacing w:before="240" w:line="220" w:lineRule="auto"/>
        <w:rPr>
          <w:rFonts w:ascii="仿宋" w:eastAsia="仿宋" w:hAnsi="仿宋" w:cs="仿宋"/>
          <w:sz w:val="23"/>
          <w:szCs w:val="23"/>
        </w:rPr>
      </w:pPr>
      <w:r>
        <w:rPr>
          <w:rFonts w:ascii="仿宋" w:eastAsia="仿宋" w:hAnsi="仿宋" w:cs="仿宋"/>
          <w:spacing w:val="6"/>
          <w:sz w:val="23"/>
          <w:szCs w:val="23"/>
        </w:rPr>
        <w:t>4.</w:t>
      </w:r>
      <w:r>
        <w:rPr>
          <w:rFonts w:ascii="仿宋" w:eastAsia="仿宋" w:hAnsi="仿宋" w:cs="仿宋"/>
          <w:spacing w:val="-57"/>
          <w:sz w:val="23"/>
          <w:szCs w:val="23"/>
        </w:rPr>
        <w:t xml:space="preserve"> </w:t>
      </w:r>
      <w:r>
        <w:rPr>
          <w:rFonts w:ascii="仿宋" w:eastAsia="仿宋" w:hAnsi="仿宋" w:cs="仿宋"/>
          <w:spacing w:val="6"/>
          <w:sz w:val="23"/>
          <w:szCs w:val="23"/>
        </w:rPr>
        <w:t>抗生酮作用</w:t>
      </w:r>
    </w:p>
    <w:p w:rsidR="00EA40A3" w:rsidRDefault="00E86C16">
      <w:pPr>
        <w:spacing w:before="212" w:line="235" w:lineRule="auto"/>
        <w:ind w:right="68" w:firstLine="450"/>
        <w:jc w:val="both"/>
        <w:rPr>
          <w:rFonts w:ascii="宋体" w:eastAsia="宋体" w:hAnsi="宋体" w:cs="宋体"/>
          <w:sz w:val="23"/>
          <w:szCs w:val="23"/>
        </w:rPr>
      </w:pPr>
      <w:r>
        <w:rPr>
          <w:rFonts w:ascii="宋体" w:eastAsia="宋体" w:hAnsi="宋体" w:cs="宋体"/>
          <w:spacing w:val="-23"/>
          <w:sz w:val="23"/>
          <w:szCs w:val="23"/>
        </w:rPr>
        <w:t>脂肪在体内的正常代谢需碳水化合物参与，其代谢产物乙酰基需与葡萄糖的</w:t>
      </w:r>
      <w:r>
        <w:rPr>
          <w:rFonts w:ascii="宋体" w:eastAsia="宋体" w:hAnsi="宋体" w:cs="宋体"/>
          <w:spacing w:val="4"/>
          <w:sz w:val="23"/>
          <w:szCs w:val="23"/>
        </w:rPr>
        <w:t xml:space="preserve"> </w:t>
      </w:r>
      <w:r>
        <w:rPr>
          <w:rFonts w:ascii="宋体" w:eastAsia="宋体" w:hAnsi="宋体" w:cs="宋体"/>
          <w:spacing w:val="-23"/>
          <w:sz w:val="23"/>
          <w:szCs w:val="23"/>
        </w:rPr>
        <w:t>代谢产物草酰乙酸结合进入三羧酸循环，才能彻底氧化。若碳水化合物不足，脂</w:t>
      </w:r>
      <w:r>
        <w:rPr>
          <w:rFonts w:ascii="宋体" w:eastAsia="宋体" w:hAnsi="宋体" w:cs="宋体"/>
          <w:spacing w:val="4"/>
          <w:sz w:val="23"/>
          <w:szCs w:val="23"/>
        </w:rPr>
        <w:t xml:space="preserve"> </w:t>
      </w:r>
      <w:r>
        <w:rPr>
          <w:rFonts w:ascii="宋体" w:eastAsia="宋体" w:hAnsi="宋体" w:cs="宋体"/>
          <w:spacing w:val="-13"/>
          <w:sz w:val="23"/>
          <w:szCs w:val="23"/>
        </w:rPr>
        <w:t>肪氧化不完全，会产生过量的酮体(丙酮、乙酰乙酸等),导致酮血症，因此</w:t>
      </w:r>
      <w:r>
        <w:rPr>
          <w:rFonts w:ascii="宋体" w:eastAsia="宋体" w:hAnsi="宋体" w:cs="宋体"/>
          <w:spacing w:val="-14"/>
          <w:sz w:val="23"/>
          <w:szCs w:val="23"/>
        </w:rPr>
        <w:t>足</w:t>
      </w:r>
      <w:r>
        <w:rPr>
          <w:rFonts w:ascii="宋体" w:eastAsia="宋体" w:hAnsi="宋体" w:cs="宋体"/>
          <w:sz w:val="23"/>
          <w:szCs w:val="23"/>
        </w:rPr>
        <w:t xml:space="preserve"> </w:t>
      </w:r>
      <w:r>
        <w:rPr>
          <w:rFonts w:ascii="宋体" w:eastAsia="宋体" w:hAnsi="宋体" w:cs="宋体"/>
          <w:spacing w:val="-23"/>
          <w:w w:val="99"/>
          <w:sz w:val="23"/>
          <w:szCs w:val="23"/>
        </w:rPr>
        <w:t>量的碳水化合物具有抗生酮作用。</w:t>
      </w:r>
    </w:p>
    <w:p w:rsidR="00EA40A3" w:rsidRDefault="00E86C16">
      <w:pPr>
        <w:spacing w:before="212" w:line="220" w:lineRule="auto"/>
        <w:rPr>
          <w:rFonts w:ascii="仿宋" w:eastAsia="仿宋" w:hAnsi="仿宋" w:cs="仿宋"/>
          <w:sz w:val="23"/>
          <w:szCs w:val="23"/>
        </w:rPr>
      </w:pPr>
      <w:r>
        <w:rPr>
          <w:rFonts w:ascii="仿宋" w:eastAsia="仿宋" w:hAnsi="仿宋" w:cs="仿宋"/>
          <w:spacing w:val="4"/>
          <w:sz w:val="23"/>
          <w:szCs w:val="23"/>
        </w:rPr>
        <w:t>5.</w:t>
      </w:r>
      <w:r>
        <w:rPr>
          <w:rFonts w:ascii="仿宋" w:eastAsia="仿宋" w:hAnsi="仿宋" w:cs="仿宋"/>
          <w:spacing w:val="-59"/>
          <w:sz w:val="23"/>
          <w:szCs w:val="23"/>
        </w:rPr>
        <w:t xml:space="preserve"> </w:t>
      </w:r>
      <w:r>
        <w:rPr>
          <w:rFonts w:ascii="仿宋" w:eastAsia="仿宋" w:hAnsi="仿宋" w:cs="仿宋"/>
          <w:spacing w:val="4"/>
          <w:sz w:val="23"/>
          <w:szCs w:val="23"/>
        </w:rPr>
        <w:t>解毒作用</w:t>
      </w:r>
    </w:p>
    <w:p w:rsidR="00EA40A3" w:rsidRDefault="00E86C16">
      <w:pPr>
        <w:spacing w:before="231" w:line="233" w:lineRule="auto"/>
        <w:ind w:right="52" w:firstLine="450"/>
        <w:rPr>
          <w:rFonts w:ascii="宋体" w:eastAsia="宋体" w:hAnsi="宋体" w:cs="宋体"/>
          <w:sz w:val="23"/>
          <w:szCs w:val="23"/>
        </w:rPr>
      </w:pPr>
      <w:r>
        <w:rPr>
          <w:rFonts w:ascii="宋体" w:eastAsia="宋体" w:hAnsi="宋体" w:cs="宋体"/>
          <w:spacing w:val="-22"/>
          <w:sz w:val="23"/>
          <w:szCs w:val="23"/>
        </w:rPr>
        <w:t>肝糖原充足可增强肝脏对某些有害物质如细菌毒</w:t>
      </w:r>
      <w:r>
        <w:rPr>
          <w:rFonts w:ascii="宋体" w:eastAsia="宋体" w:hAnsi="宋体" w:cs="宋体"/>
          <w:spacing w:val="-23"/>
          <w:sz w:val="23"/>
          <w:szCs w:val="23"/>
        </w:rPr>
        <w:t>素的解毒作用，糖原不足时</w:t>
      </w:r>
      <w:r>
        <w:rPr>
          <w:rFonts w:ascii="宋体" w:eastAsia="宋体" w:hAnsi="宋体" w:cs="宋体"/>
          <w:sz w:val="23"/>
          <w:szCs w:val="23"/>
        </w:rPr>
        <w:t xml:space="preserve"> </w:t>
      </w:r>
      <w:r>
        <w:rPr>
          <w:rFonts w:ascii="宋体" w:eastAsia="宋体" w:hAnsi="宋体" w:cs="宋体"/>
          <w:spacing w:val="-22"/>
          <w:sz w:val="23"/>
          <w:szCs w:val="23"/>
        </w:rPr>
        <w:t>机体对酒精、砷等有害物质的解毒作用减弱，葡萄糖醛酸直接参与</w:t>
      </w:r>
      <w:r>
        <w:rPr>
          <w:rFonts w:ascii="宋体" w:eastAsia="宋体" w:hAnsi="宋体" w:cs="宋体"/>
          <w:spacing w:val="-23"/>
          <w:sz w:val="23"/>
          <w:szCs w:val="23"/>
        </w:rPr>
        <w:t>肝脏解毒。</w:t>
      </w:r>
    </w:p>
    <w:p w:rsidR="00EA40A3" w:rsidRDefault="00E86C16">
      <w:pPr>
        <w:spacing w:before="195" w:line="222" w:lineRule="auto"/>
        <w:rPr>
          <w:rFonts w:ascii="仿宋" w:eastAsia="仿宋" w:hAnsi="仿宋" w:cs="仿宋"/>
          <w:sz w:val="23"/>
          <w:szCs w:val="23"/>
        </w:rPr>
      </w:pPr>
      <w:r>
        <w:rPr>
          <w:rFonts w:ascii="仿宋" w:eastAsia="仿宋" w:hAnsi="仿宋" w:cs="仿宋"/>
          <w:spacing w:val="-3"/>
          <w:sz w:val="23"/>
          <w:szCs w:val="23"/>
        </w:rPr>
        <w:t>6.</w:t>
      </w:r>
      <w:r>
        <w:rPr>
          <w:rFonts w:ascii="仿宋" w:eastAsia="仿宋" w:hAnsi="仿宋" w:cs="仿宋"/>
          <w:spacing w:val="-15"/>
          <w:sz w:val="23"/>
          <w:szCs w:val="23"/>
        </w:rPr>
        <w:t xml:space="preserve"> </w:t>
      </w:r>
      <w:r>
        <w:rPr>
          <w:rFonts w:ascii="仿宋" w:eastAsia="仿宋" w:hAnsi="仿宋" w:cs="仿宋"/>
          <w:spacing w:val="-3"/>
          <w:sz w:val="23"/>
          <w:szCs w:val="23"/>
        </w:rPr>
        <w:t>促进肠道健康</w:t>
      </w:r>
    </w:p>
    <w:p w:rsidR="00EA40A3" w:rsidRDefault="00E86C16">
      <w:pPr>
        <w:spacing w:before="217" w:line="242" w:lineRule="auto"/>
        <w:ind w:right="73" w:firstLine="450"/>
        <w:rPr>
          <w:rFonts w:ascii="宋体" w:eastAsia="宋体" w:hAnsi="宋体" w:cs="宋体"/>
          <w:sz w:val="23"/>
          <w:szCs w:val="23"/>
        </w:rPr>
      </w:pPr>
      <w:r>
        <w:rPr>
          <w:rFonts w:ascii="宋体" w:eastAsia="宋体" w:hAnsi="宋体" w:cs="宋体"/>
          <w:spacing w:val="-23"/>
          <w:sz w:val="23"/>
          <w:szCs w:val="23"/>
        </w:rPr>
        <w:t>非淀粉多糖类，如纤维素、果胶、抗性淀粉和功能性低聚糖等，不能在小肠</w:t>
      </w:r>
      <w:r>
        <w:rPr>
          <w:rFonts w:ascii="宋体" w:eastAsia="宋体" w:hAnsi="宋体" w:cs="宋体"/>
          <w:sz w:val="23"/>
          <w:szCs w:val="23"/>
        </w:rPr>
        <w:t xml:space="preserve"> </w:t>
      </w:r>
      <w:r>
        <w:rPr>
          <w:rFonts w:ascii="宋体" w:eastAsia="宋体" w:hAnsi="宋体" w:cs="宋体"/>
          <w:spacing w:val="-22"/>
          <w:sz w:val="23"/>
          <w:szCs w:val="23"/>
        </w:rPr>
        <w:t>消化吸收，但可刺激肠道蠕动，诱导结肠正常菌群生长，有</w:t>
      </w:r>
      <w:r>
        <w:rPr>
          <w:rFonts w:ascii="宋体" w:eastAsia="宋体" w:hAnsi="宋体" w:cs="宋体"/>
          <w:spacing w:val="-23"/>
          <w:sz w:val="23"/>
          <w:szCs w:val="23"/>
        </w:rPr>
        <w:t>助于肠道健康。</w:t>
      </w:r>
    </w:p>
    <w:p w:rsidR="00EA40A3" w:rsidRDefault="00E86C16">
      <w:pPr>
        <w:spacing w:before="194" w:line="222" w:lineRule="auto"/>
        <w:ind w:left="3"/>
        <w:outlineLvl w:val="6"/>
        <w:rPr>
          <w:rFonts w:ascii="黑体" w:eastAsia="黑体" w:hAnsi="黑体" w:cs="黑体"/>
          <w:sz w:val="23"/>
          <w:szCs w:val="23"/>
        </w:rPr>
      </w:pPr>
      <w:r>
        <w:rPr>
          <w:rFonts w:ascii="黑体" w:eastAsia="黑体" w:hAnsi="黑体" w:cs="黑体"/>
          <w:b/>
          <w:bCs/>
          <w:spacing w:val="1"/>
          <w:sz w:val="23"/>
          <w:szCs w:val="23"/>
        </w:rPr>
        <w:t>3.2.3</w:t>
      </w:r>
      <w:r>
        <w:rPr>
          <w:rFonts w:ascii="黑体" w:eastAsia="黑体" w:hAnsi="黑体" w:cs="黑体"/>
          <w:spacing w:val="39"/>
          <w:sz w:val="23"/>
          <w:szCs w:val="23"/>
        </w:rPr>
        <w:t xml:space="preserve">  </w:t>
      </w:r>
      <w:r>
        <w:rPr>
          <w:rFonts w:ascii="黑体" w:eastAsia="黑体" w:hAnsi="黑体" w:cs="黑体"/>
          <w:b/>
          <w:bCs/>
          <w:spacing w:val="1"/>
          <w:sz w:val="23"/>
          <w:szCs w:val="23"/>
        </w:rPr>
        <w:t>功能性低聚糖</w:t>
      </w:r>
    </w:p>
    <w:p w:rsidR="00EA40A3" w:rsidRDefault="00E86C16">
      <w:pPr>
        <w:spacing w:before="209" w:line="236" w:lineRule="auto"/>
        <w:ind w:right="69" w:firstLine="450"/>
        <w:jc w:val="both"/>
        <w:rPr>
          <w:rFonts w:ascii="宋体" w:eastAsia="宋体" w:hAnsi="宋体" w:cs="宋体"/>
          <w:sz w:val="23"/>
          <w:szCs w:val="23"/>
        </w:rPr>
      </w:pPr>
      <w:r>
        <w:rPr>
          <w:rFonts w:ascii="宋体" w:eastAsia="宋体" w:hAnsi="宋体" w:cs="宋体"/>
          <w:spacing w:val="-24"/>
          <w:sz w:val="23"/>
          <w:szCs w:val="23"/>
        </w:rPr>
        <w:t>功能性低聚糖</w:t>
      </w:r>
      <w:r>
        <w:rPr>
          <w:rFonts w:ascii="宋体" w:eastAsia="宋体" w:hAnsi="宋体" w:cs="宋体"/>
          <w:spacing w:val="-35"/>
          <w:sz w:val="23"/>
          <w:szCs w:val="23"/>
        </w:rPr>
        <w:t xml:space="preserve"> </w:t>
      </w:r>
      <w:r>
        <w:rPr>
          <w:rFonts w:ascii="宋体" w:eastAsia="宋体" w:hAnsi="宋体" w:cs="宋体"/>
          <w:spacing w:val="-24"/>
          <w:sz w:val="23"/>
          <w:szCs w:val="23"/>
        </w:rPr>
        <w:t>(functional</w:t>
      </w:r>
      <w:r>
        <w:rPr>
          <w:rFonts w:ascii="宋体" w:eastAsia="宋体" w:hAnsi="宋体" w:cs="宋体"/>
          <w:spacing w:val="-15"/>
          <w:sz w:val="23"/>
          <w:szCs w:val="23"/>
        </w:rPr>
        <w:t xml:space="preserve"> </w:t>
      </w:r>
      <w:r>
        <w:rPr>
          <w:rFonts w:ascii="宋体" w:eastAsia="宋体" w:hAnsi="宋体" w:cs="宋体"/>
          <w:spacing w:val="-24"/>
          <w:sz w:val="23"/>
          <w:szCs w:val="23"/>
        </w:rPr>
        <w:t>oligosaccharide)</w:t>
      </w:r>
      <w:r>
        <w:rPr>
          <w:rFonts w:ascii="宋体" w:eastAsia="宋体" w:hAnsi="宋体" w:cs="宋体"/>
          <w:spacing w:val="-35"/>
          <w:sz w:val="23"/>
          <w:szCs w:val="23"/>
        </w:rPr>
        <w:t xml:space="preserve"> </w:t>
      </w:r>
      <w:r>
        <w:rPr>
          <w:rFonts w:ascii="宋体" w:eastAsia="宋体" w:hAnsi="宋体" w:cs="宋体"/>
          <w:spacing w:val="-24"/>
          <w:sz w:val="23"/>
          <w:szCs w:val="23"/>
        </w:rPr>
        <w:t>的提出原是相对普通低聚</w:t>
      </w:r>
      <w:r>
        <w:rPr>
          <w:rFonts w:ascii="宋体" w:eastAsia="宋体" w:hAnsi="宋体" w:cs="宋体"/>
          <w:spacing w:val="-25"/>
          <w:sz w:val="23"/>
          <w:szCs w:val="23"/>
        </w:rPr>
        <w:t>糖而言</w:t>
      </w:r>
      <w:r>
        <w:rPr>
          <w:rFonts w:ascii="宋体" w:eastAsia="宋体" w:hAnsi="宋体" w:cs="宋体"/>
          <w:sz w:val="23"/>
          <w:szCs w:val="23"/>
        </w:rPr>
        <w:t xml:space="preserve"> </w:t>
      </w:r>
      <w:r>
        <w:rPr>
          <w:rFonts w:ascii="宋体" w:eastAsia="宋体" w:hAnsi="宋体" w:cs="宋体"/>
          <w:spacing w:val="-23"/>
          <w:sz w:val="23"/>
          <w:szCs w:val="23"/>
        </w:rPr>
        <w:t>的，是指不被肠道内消化酶所消化，可被肠道内细菌发酵分解，并具调节人体生</w:t>
      </w:r>
      <w:r>
        <w:rPr>
          <w:rFonts w:ascii="宋体" w:eastAsia="宋体" w:hAnsi="宋体" w:cs="宋体"/>
          <w:spacing w:val="3"/>
          <w:sz w:val="23"/>
          <w:szCs w:val="23"/>
        </w:rPr>
        <w:t xml:space="preserve"> </w:t>
      </w:r>
      <w:r>
        <w:rPr>
          <w:rFonts w:ascii="宋体" w:eastAsia="宋体" w:hAnsi="宋体" w:cs="宋体"/>
          <w:spacing w:val="-25"/>
          <w:sz w:val="23"/>
          <w:szCs w:val="23"/>
        </w:rPr>
        <w:t>理功能的低聚糖。</w:t>
      </w:r>
    </w:p>
    <w:p w:rsidR="00EA40A3" w:rsidRDefault="00E86C16">
      <w:pPr>
        <w:spacing w:before="201" w:line="220" w:lineRule="auto"/>
        <w:rPr>
          <w:rFonts w:ascii="仿宋" w:eastAsia="仿宋" w:hAnsi="仿宋" w:cs="仿宋"/>
          <w:sz w:val="23"/>
          <w:szCs w:val="23"/>
        </w:rPr>
      </w:pPr>
      <w:r>
        <w:rPr>
          <w:rFonts w:ascii="仿宋" w:eastAsia="仿宋" w:hAnsi="仿宋" w:cs="仿宋"/>
          <w:spacing w:val="2"/>
          <w:sz w:val="23"/>
          <w:szCs w:val="23"/>
        </w:rPr>
        <w:t>1.</w:t>
      </w:r>
      <w:r>
        <w:rPr>
          <w:rFonts w:ascii="仿宋" w:eastAsia="仿宋" w:hAnsi="仿宋" w:cs="仿宋"/>
          <w:spacing w:val="-32"/>
          <w:sz w:val="23"/>
          <w:szCs w:val="23"/>
        </w:rPr>
        <w:t xml:space="preserve"> </w:t>
      </w:r>
      <w:r>
        <w:rPr>
          <w:rFonts w:ascii="仿宋" w:eastAsia="仿宋" w:hAnsi="仿宋" w:cs="仿宋"/>
          <w:spacing w:val="2"/>
          <w:sz w:val="23"/>
          <w:szCs w:val="23"/>
        </w:rPr>
        <w:t>功能性低聚糖的生理功能</w:t>
      </w:r>
    </w:p>
    <w:p w:rsidR="00EA40A3" w:rsidRDefault="00E86C16">
      <w:pPr>
        <w:spacing w:before="191" w:line="229" w:lineRule="auto"/>
        <w:ind w:right="77" w:firstLine="450"/>
        <w:rPr>
          <w:rFonts w:ascii="宋体" w:eastAsia="宋体" w:hAnsi="宋体" w:cs="宋体"/>
          <w:sz w:val="23"/>
          <w:szCs w:val="23"/>
        </w:rPr>
      </w:pPr>
      <w:r>
        <w:rPr>
          <w:rFonts w:ascii="宋体" w:eastAsia="宋体" w:hAnsi="宋体" w:cs="宋体"/>
          <w:spacing w:val="-23"/>
          <w:sz w:val="23"/>
          <w:szCs w:val="23"/>
        </w:rPr>
        <w:t>不同的功能性低聚糖的生理作用有所不同，总的来说，功能性低聚</w:t>
      </w:r>
      <w:r>
        <w:rPr>
          <w:rFonts w:ascii="宋体" w:eastAsia="宋体" w:hAnsi="宋体" w:cs="宋体"/>
          <w:spacing w:val="-24"/>
          <w:sz w:val="23"/>
          <w:szCs w:val="23"/>
        </w:rPr>
        <w:t>糖的生理</w:t>
      </w:r>
      <w:r>
        <w:rPr>
          <w:rFonts w:ascii="宋体" w:eastAsia="宋体" w:hAnsi="宋体" w:cs="宋体"/>
          <w:sz w:val="23"/>
          <w:szCs w:val="23"/>
        </w:rPr>
        <w:t xml:space="preserve"> </w:t>
      </w:r>
      <w:r>
        <w:rPr>
          <w:rFonts w:ascii="宋体" w:eastAsia="宋体" w:hAnsi="宋体" w:cs="宋体"/>
          <w:spacing w:val="-25"/>
          <w:sz w:val="23"/>
          <w:szCs w:val="23"/>
        </w:rPr>
        <w:t>作用可概括为以下几个方面：</w:t>
      </w:r>
    </w:p>
    <w:p w:rsidR="00EA40A3" w:rsidRDefault="00E86C16">
      <w:pPr>
        <w:spacing w:before="26" w:line="226" w:lineRule="auto"/>
        <w:rPr>
          <w:rFonts w:ascii="楷体" w:eastAsia="楷体" w:hAnsi="楷体" w:cs="楷体"/>
          <w:sz w:val="23"/>
          <w:szCs w:val="23"/>
        </w:rPr>
      </w:pPr>
      <w:r>
        <w:rPr>
          <w:rFonts w:ascii="楷体" w:eastAsia="楷体" w:hAnsi="楷体" w:cs="楷体"/>
          <w:spacing w:val="-13"/>
          <w:sz w:val="23"/>
          <w:szCs w:val="23"/>
        </w:rPr>
        <w:t>1)改善肠道功能、预防疾病</w:t>
      </w:r>
    </w:p>
    <w:p w:rsidR="00EA40A3" w:rsidRDefault="00E86C16">
      <w:pPr>
        <w:spacing w:before="30" w:line="243" w:lineRule="auto"/>
        <w:ind w:right="74" w:firstLine="450"/>
        <w:jc w:val="both"/>
        <w:rPr>
          <w:rFonts w:ascii="宋体" w:eastAsia="宋体" w:hAnsi="宋体" w:cs="宋体"/>
          <w:sz w:val="23"/>
          <w:szCs w:val="23"/>
        </w:rPr>
      </w:pPr>
      <w:r>
        <w:rPr>
          <w:rFonts w:ascii="宋体" w:eastAsia="宋体" w:hAnsi="宋体" w:cs="宋体"/>
          <w:spacing w:val="-24"/>
          <w:sz w:val="23"/>
          <w:szCs w:val="23"/>
        </w:rPr>
        <w:t>人体试验表明，摄取功能性低聚糖可使双歧杆菌增殖，抑制有害细菌。双歧</w:t>
      </w:r>
      <w:r>
        <w:rPr>
          <w:rFonts w:ascii="宋体" w:eastAsia="宋体" w:hAnsi="宋体" w:cs="宋体"/>
          <w:sz w:val="23"/>
          <w:szCs w:val="23"/>
        </w:rPr>
        <w:t xml:space="preserve"> </w:t>
      </w:r>
      <w:r>
        <w:rPr>
          <w:rFonts w:ascii="宋体" w:eastAsia="宋体" w:hAnsi="宋体" w:cs="宋体"/>
          <w:spacing w:val="-15"/>
          <w:sz w:val="23"/>
          <w:szCs w:val="23"/>
        </w:rPr>
        <w:t>杆菌发酵低聚糖产生短链脂肪酸(乙酸、丙酸</w:t>
      </w:r>
      <w:r>
        <w:rPr>
          <w:rFonts w:ascii="宋体" w:eastAsia="宋体" w:hAnsi="宋体" w:cs="宋体"/>
          <w:spacing w:val="-16"/>
          <w:sz w:val="23"/>
          <w:szCs w:val="23"/>
        </w:rPr>
        <w:t>、丁酸、乳酸等)和一些抗菌素物</w:t>
      </w:r>
      <w:r>
        <w:rPr>
          <w:rFonts w:ascii="宋体" w:eastAsia="宋体" w:hAnsi="宋体" w:cs="宋体"/>
          <w:sz w:val="23"/>
          <w:szCs w:val="23"/>
        </w:rPr>
        <w:t xml:space="preserve"> </w:t>
      </w:r>
      <w:r>
        <w:rPr>
          <w:rFonts w:ascii="宋体" w:eastAsia="宋体" w:hAnsi="宋体" w:cs="宋体"/>
          <w:spacing w:val="-21"/>
          <w:sz w:val="23"/>
          <w:szCs w:val="23"/>
        </w:rPr>
        <w:t>质，抑制外源致病菌和肠内固有腐败菌的生</w:t>
      </w:r>
      <w:r>
        <w:rPr>
          <w:rFonts w:ascii="宋体" w:eastAsia="宋体" w:hAnsi="宋体" w:cs="宋体"/>
          <w:spacing w:val="-22"/>
          <w:sz w:val="23"/>
          <w:szCs w:val="23"/>
        </w:rPr>
        <w:t>长繁殖，双歧杆菌素</w:t>
      </w:r>
      <w:r>
        <w:rPr>
          <w:rFonts w:ascii="宋体" w:eastAsia="宋体" w:hAnsi="宋体" w:cs="宋体"/>
          <w:spacing w:val="-25"/>
          <w:sz w:val="23"/>
          <w:szCs w:val="23"/>
        </w:rPr>
        <w:t xml:space="preserve"> </w:t>
      </w:r>
      <w:r>
        <w:rPr>
          <w:rFonts w:ascii="宋体" w:eastAsia="宋体" w:hAnsi="宋体" w:cs="宋体"/>
          <w:spacing w:val="-22"/>
          <w:sz w:val="23"/>
          <w:szCs w:val="23"/>
        </w:rPr>
        <w:t>(</w:t>
      </w:r>
      <w:r>
        <w:rPr>
          <w:rFonts w:ascii="宋体" w:eastAsia="宋体" w:hAnsi="宋体" w:cs="宋体"/>
          <w:spacing w:val="-21"/>
          <w:sz w:val="23"/>
          <w:szCs w:val="23"/>
        </w:rPr>
        <w:t>bifidin</w:t>
      </w:r>
      <w:r>
        <w:rPr>
          <w:rFonts w:ascii="宋体" w:eastAsia="宋体" w:hAnsi="宋体" w:cs="宋体"/>
          <w:spacing w:val="-22"/>
          <w:sz w:val="23"/>
          <w:szCs w:val="23"/>
        </w:rPr>
        <w:t>)</w:t>
      </w:r>
      <w:r>
        <w:rPr>
          <w:rFonts w:ascii="宋体" w:eastAsia="宋体" w:hAnsi="宋体" w:cs="宋体"/>
          <w:spacing w:val="-58"/>
          <w:sz w:val="23"/>
          <w:szCs w:val="23"/>
        </w:rPr>
        <w:t xml:space="preserve"> </w:t>
      </w:r>
      <w:r>
        <w:rPr>
          <w:rFonts w:ascii="宋体" w:eastAsia="宋体" w:hAnsi="宋体" w:cs="宋体"/>
          <w:spacing w:val="-22"/>
          <w:sz w:val="23"/>
          <w:szCs w:val="23"/>
        </w:rPr>
        <w:t>能有</w:t>
      </w:r>
      <w:r>
        <w:rPr>
          <w:rFonts w:ascii="宋体" w:eastAsia="宋体" w:hAnsi="宋体" w:cs="宋体"/>
          <w:sz w:val="23"/>
          <w:szCs w:val="23"/>
        </w:rPr>
        <w:t xml:space="preserve"> </w:t>
      </w:r>
      <w:r>
        <w:rPr>
          <w:rFonts w:ascii="宋体" w:eastAsia="宋体" w:hAnsi="宋体" w:cs="宋体"/>
          <w:spacing w:val="-17"/>
          <w:sz w:val="23"/>
          <w:szCs w:val="23"/>
        </w:rPr>
        <w:t>效地抑制志贺氏杆菌、沙门氏菌、金黄色葡萄球菌、大肠杆菌和一些其他微生</w:t>
      </w:r>
      <w:r>
        <w:rPr>
          <w:rFonts w:ascii="宋体" w:eastAsia="宋体" w:hAnsi="宋体" w:cs="宋体"/>
          <w:spacing w:val="7"/>
          <w:sz w:val="23"/>
          <w:szCs w:val="23"/>
        </w:rPr>
        <w:t xml:space="preserve"> </w:t>
      </w:r>
      <w:r>
        <w:rPr>
          <w:rFonts w:ascii="宋体" w:eastAsia="宋体" w:hAnsi="宋体" w:cs="宋体"/>
          <w:spacing w:val="-22"/>
          <w:sz w:val="23"/>
          <w:szCs w:val="23"/>
        </w:rPr>
        <w:t>物。体内和活体外粪便培养试验表明，摄入功能性低聚糖可有效地减少有毒</w:t>
      </w:r>
      <w:r>
        <w:rPr>
          <w:rFonts w:ascii="宋体" w:eastAsia="宋体" w:hAnsi="宋体" w:cs="宋体"/>
          <w:spacing w:val="-23"/>
          <w:sz w:val="23"/>
          <w:szCs w:val="23"/>
        </w:rPr>
        <w:t>发酵</w:t>
      </w:r>
    </w:p>
    <w:p w:rsidR="00EA40A3" w:rsidRDefault="00EA40A3">
      <w:pPr>
        <w:sectPr w:rsidR="00EA40A3">
          <w:footerReference w:type="default" r:id="rId49"/>
          <w:pgSz w:w="9220" w:h="13360"/>
          <w:pgMar w:top="400" w:right="965" w:bottom="1244" w:left="899" w:header="0" w:footer="1011" w:gutter="0"/>
          <w:cols w:space="720"/>
        </w:sectPr>
      </w:pPr>
    </w:p>
    <w:p w:rsidR="00EA40A3" w:rsidRDefault="00EA40A3">
      <w:pPr>
        <w:spacing w:line="281" w:lineRule="auto"/>
      </w:pPr>
    </w:p>
    <w:p w:rsidR="00EA40A3" w:rsidRDefault="00EA40A3">
      <w:pPr>
        <w:spacing w:line="281" w:lineRule="auto"/>
      </w:pPr>
    </w:p>
    <w:p w:rsidR="00EA40A3" w:rsidRDefault="00E86C16">
      <w:pPr>
        <w:spacing w:before="71" w:line="244" w:lineRule="auto"/>
        <w:ind w:right="60"/>
        <w:jc w:val="both"/>
        <w:rPr>
          <w:rFonts w:ascii="宋体" w:eastAsia="宋体" w:hAnsi="宋体" w:cs="宋体"/>
          <w:sz w:val="22"/>
          <w:szCs w:val="22"/>
        </w:rPr>
      </w:pPr>
      <w:bookmarkStart w:id="16" w:name="_bookmark20"/>
      <w:bookmarkEnd w:id="16"/>
      <w:r>
        <w:rPr>
          <w:rFonts w:ascii="宋体" w:eastAsia="宋体" w:hAnsi="宋体" w:cs="宋体"/>
          <w:spacing w:val="-11"/>
          <w:sz w:val="22"/>
          <w:szCs w:val="22"/>
        </w:rPr>
        <w:t>产物及有毒细菌酶的产生，减少肠内有害细菌</w:t>
      </w:r>
      <w:r>
        <w:rPr>
          <w:rFonts w:ascii="宋体" w:eastAsia="宋体" w:hAnsi="宋体" w:cs="宋体"/>
          <w:spacing w:val="-12"/>
          <w:sz w:val="22"/>
          <w:szCs w:val="22"/>
        </w:rPr>
        <w:t>的数量，进而抑制病原菌和腹泻。</w:t>
      </w:r>
      <w:r>
        <w:rPr>
          <w:rFonts w:ascii="宋体" w:eastAsia="宋体" w:hAnsi="宋体" w:cs="宋体"/>
          <w:sz w:val="22"/>
          <w:szCs w:val="22"/>
        </w:rPr>
        <w:t xml:space="preserve"> </w:t>
      </w:r>
      <w:r>
        <w:rPr>
          <w:rFonts w:ascii="宋体" w:eastAsia="宋体" w:hAnsi="宋体" w:cs="宋体"/>
          <w:spacing w:val="-14"/>
          <w:sz w:val="22"/>
          <w:szCs w:val="22"/>
        </w:rPr>
        <w:t>大量的短链脂肪酸刺激肠道蠕动，增加粪便湿润度并保持一定的渗透压，从而防</w:t>
      </w:r>
      <w:r>
        <w:rPr>
          <w:rFonts w:ascii="宋体" w:eastAsia="宋体" w:hAnsi="宋体" w:cs="宋体"/>
          <w:spacing w:val="10"/>
          <w:sz w:val="22"/>
          <w:szCs w:val="22"/>
        </w:rPr>
        <w:t xml:space="preserve"> </w:t>
      </w:r>
      <w:r>
        <w:rPr>
          <w:rFonts w:ascii="宋体" w:eastAsia="宋体" w:hAnsi="宋体" w:cs="宋体"/>
          <w:spacing w:val="-13"/>
          <w:sz w:val="22"/>
          <w:szCs w:val="22"/>
        </w:rPr>
        <w:t>止便秘发生。功能性低聚糖不能被口腔微生物特别是突变链球菌利用</w:t>
      </w:r>
      <w:r>
        <w:rPr>
          <w:rFonts w:ascii="宋体" w:eastAsia="宋体" w:hAnsi="宋体" w:cs="宋体"/>
          <w:spacing w:val="-14"/>
          <w:sz w:val="22"/>
          <w:szCs w:val="22"/>
        </w:rPr>
        <w:t>，不能被口</w:t>
      </w:r>
      <w:r>
        <w:rPr>
          <w:rFonts w:ascii="宋体" w:eastAsia="宋体" w:hAnsi="宋体" w:cs="宋体"/>
          <w:sz w:val="22"/>
          <w:szCs w:val="22"/>
        </w:rPr>
        <w:t xml:space="preserve"> </w:t>
      </w:r>
      <w:r>
        <w:rPr>
          <w:rFonts w:ascii="宋体" w:eastAsia="宋体" w:hAnsi="宋体" w:cs="宋体"/>
          <w:spacing w:val="-16"/>
          <w:sz w:val="22"/>
          <w:szCs w:val="22"/>
        </w:rPr>
        <w:t>腔酶液分解，因而能预防龋齿。</w:t>
      </w:r>
    </w:p>
    <w:p w:rsidR="00EA40A3" w:rsidRDefault="00E86C16">
      <w:pPr>
        <w:spacing w:before="52" w:line="222" w:lineRule="auto"/>
        <w:rPr>
          <w:rFonts w:ascii="楷体" w:eastAsia="楷体" w:hAnsi="楷体" w:cs="楷体"/>
          <w:sz w:val="22"/>
          <w:szCs w:val="22"/>
        </w:rPr>
      </w:pPr>
      <w:r>
        <w:rPr>
          <w:rFonts w:ascii="楷体" w:eastAsia="楷体" w:hAnsi="楷体" w:cs="楷体"/>
          <w:spacing w:val="-7"/>
          <w:sz w:val="22"/>
          <w:szCs w:val="22"/>
        </w:rPr>
        <w:t>2)生成并改善营养素的吸收</w:t>
      </w:r>
    </w:p>
    <w:p w:rsidR="00EA40A3" w:rsidRDefault="00E86C16">
      <w:pPr>
        <w:spacing w:before="59" w:line="244" w:lineRule="auto"/>
        <w:ind w:right="92" w:firstLine="440"/>
        <w:jc w:val="both"/>
        <w:rPr>
          <w:rFonts w:ascii="宋体" w:eastAsia="宋体" w:hAnsi="宋体" w:cs="宋体"/>
          <w:sz w:val="22"/>
          <w:szCs w:val="22"/>
        </w:rPr>
      </w:pPr>
      <w:r>
        <w:rPr>
          <w:rFonts w:ascii="宋体" w:eastAsia="宋体" w:hAnsi="宋体" w:cs="宋体"/>
          <w:spacing w:val="-8"/>
          <w:sz w:val="22"/>
          <w:szCs w:val="22"/>
        </w:rPr>
        <w:t>双歧杆菌在肠道内能合成少量的维生素B</w:t>
      </w:r>
      <w:r>
        <w:rPr>
          <w:rFonts w:ascii="Calibri" w:eastAsia="Calibri" w:hAnsi="Calibri" w:cs="Calibri"/>
          <w:spacing w:val="-8"/>
          <w:sz w:val="22"/>
          <w:szCs w:val="22"/>
        </w:rPr>
        <w:t>₁</w:t>
      </w:r>
      <w:r>
        <w:rPr>
          <w:rFonts w:ascii="Calibri" w:eastAsia="Calibri" w:hAnsi="Calibri" w:cs="Calibri"/>
          <w:spacing w:val="-26"/>
          <w:sz w:val="22"/>
          <w:szCs w:val="22"/>
        </w:rPr>
        <w:t xml:space="preserve"> </w:t>
      </w:r>
      <w:r>
        <w:rPr>
          <w:rFonts w:ascii="宋体" w:eastAsia="宋体" w:hAnsi="宋体" w:cs="宋体"/>
          <w:spacing w:val="-8"/>
          <w:sz w:val="22"/>
          <w:szCs w:val="22"/>
        </w:rPr>
        <w:t>、维生素</w:t>
      </w:r>
      <w:r>
        <w:rPr>
          <w:rFonts w:ascii="宋体" w:eastAsia="宋体" w:hAnsi="宋体" w:cs="宋体"/>
          <w:spacing w:val="-58"/>
          <w:sz w:val="22"/>
          <w:szCs w:val="22"/>
        </w:rPr>
        <w:t xml:space="preserve"> </w:t>
      </w:r>
      <w:r>
        <w:rPr>
          <w:rFonts w:ascii="宋体" w:eastAsia="宋体" w:hAnsi="宋体" w:cs="宋体"/>
          <w:spacing w:val="-8"/>
          <w:sz w:val="22"/>
          <w:szCs w:val="22"/>
        </w:rPr>
        <w:t>B2、维生</w:t>
      </w:r>
      <w:r>
        <w:rPr>
          <w:rFonts w:ascii="宋体" w:eastAsia="宋体" w:hAnsi="宋体" w:cs="宋体"/>
          <w:spacing w:val="-9"/>
          <w:sz w:val="22"/>
          <w:szCs w:val="22"/>
        </w:rPr>
        <w:t>素</w:t>
      </w:r>
      <w:r>
        <w:rPr>
          <w:rFonts w:ascii="宋体" w:eastAsia="宋体" w:hAnsi="宋体" w:cs="宋体"/>
          <w:spacing w:val="-58"/>
          <w:sz w:val="22"/>
          <w:szCs w:val="22"/>
        </w:rPr>
        <w:t xml:space="preserve"> </w:t>
      </w:r>
      <w:r>
        <w:rPr>
          <w:rFonts w:ascii="宋体" w:eastAsia="宋体" w:hAnsi="宋体" w:cs="宋体"/>
          <w:spacing w:val="-8"/>
          <w:sz w:val="22"/>
          <w:szCs w:val="22"/>
        </w:rPr>
        <w:t>Bs</w:t>
      </w:r>
      <w:r>
        <w:rPr>
          <w:rFonts w:ascii="宋体" w:eastAsia="宋体" w:hAnsi="宋体" w:cs="宋体"/>
          <w:spacing w:val="-9"/>
          <w:sz w:val="22"/>
          <w:szCs w:val="22"/>
        </w:rPr>
        <w:t>、维生素</w:t>
      </w:r>
      <w:r>
        <w:rPr>
          <w:rFonts w:ascii="宋体" w:eastAsia="宋体" w:hAnsi="宋体" w:cs="宋体"/>
          <w:sz w:val="22"/>
          <w:szCs w:val="22"/>
        </w:rPr>
        <w:t xml:space="preserve"> </w:t>
      </w:r>
      <w:r>
        <w:rPr>
          <w:rFonts w:ascii="宋体" w:eastAsia="宋体" w:hAnsi="宋体" w:cs="宋体"/>
          <w:spacing w:val="-8"/>
          <w:sz w:val="22"/>
          <w:szCs w:val="22"/>
        </w:rPr>
        <w:t>B</w:t>
      </w:r>
      <w:r>
        <w:rPr>
          <w:rFonts w:ascii="Calibri" w:eastAsia="Calibri" w:hAnsi="Calibri" w:cs="Calibri"/>
          <w:spacing w:val="-8"/>
          <w:sz w:val="22"/>
          <w:szCs w:val="22"/>
        </w:rPr>
        <w:t>₂</w:t>
      </w:r>
      <w:r>
        <w:rPr>
          <w:rFonts w:ascii="Calibri" w:eastAsia="Calibri" w:hAnsi="Calibri" w:cs="Calibri"/>
          <w:spacing w:val="-26"/>
          <w:sz w:val="22"/>
          <w:szCs w:val="22"/>
        </w:rPr>
        <w:t xml:space="preserve"> </w:t>
      </w:r>
      <w:r>
        <w:rPr>
          <w:rFonts w:ascii="宋体" w:eastAsia="宋体" w:hAnsi="宋体" w:cs="宋体"/>
          <w:spacing w:val="-8"/>
          <w:sz w:val="22"/>
          <w:szCs w:val="22"/>
        </w:rPr>
        <w:t>、</w:t>
      </w:r>
      <w:r>
        <w:rPr>
          <w:rFonts w:ascii="宋体" w:eastAsia="宋体" w:hAnsi="宋体" w:cs="宋体"/>
          <w:spacing w:val="-60"/>
          <w:sz w:val="22"/>
          <w:szCs w:val="22"/>
        </w:rPr>
        <w:t xml:space="preserve"> </w:t>
      </w:r>
      <w:r>
        <w:rPr>
          <w:rFonts w:ascii="宋体" w:eastAsia="宋体" w:hAnsi="宋体" w:cs="宋体"/>
          <w:spacing w:val="-8"/>
          <w:sz w:val="22"/>
          <w:szCs w:val="22"/>
        </w:rPr>
        <w:t>烟酸和叶酸。双歧杆菌能发酵乳品中的乳糖使其转化为乳酸，解决了部分</w:t>
      </w:r>
      <w:r>
        <w:rPr>
          <w:rFonts w:ascii="宋体" w:eastAsia="宋体" w:hAnsi="宋体" w:cs="宋体"/>
          <w:sz w:val="22"/>
          <w:szCs w:val="22"/>
        </w:rPr>
        <w:t xml:space="preserve"> </w:t>
      </w:r>
      <w:r>
        <w:rPr>
          <w:rFonts w:ascii="宋体" w:eastAsia="宋体" w:hAnsi="宋体" w:cs="宋体"/>
          <w:spacing w:val="-13"/>
          <w:sz w:val="22"/>
          <w:szCs w:val="22"/>
        </w:rPr>
        <w:t>人对乳糖的不耐受性问题，同时增加了水溶性可吸收钙的含量，</w:t>
      </w:r>
      <w:r>
        <w:rPr>
          <w:rFonts w:ascii="宋体" w:eastAsia="宋体" w:hAnsi="宋体" w:cs="宋体"/>
          <w:spacing w:val="-14"/>
          <w:sz w:val="22"/>
          <w:szCs w:val="22"/>
        </w:rPr>
        <w:t>使乳品更易消化</w:t>
      </w:r>
      <w:r>
        <w:rPr>
          <w:rFonts w:ascii="宋体" w:eastAsia="宋体" w:hAnsi="宋体" w:cs="宋体"/>
          <w:sz w:val="22"/>
          <w:szCs w:val="22"/>
        </w:rPr>
        <w:t xml:space="preserve"> </w:t>
      </w:r>
      <w:r>
        <w:rPr>
          <w:rFonts w:ascii="宋体" w:eastAsia="宋体" w:hAnsi="宋体" w:cs="宋体"/>
          <w:spacing w:val="-16"/>
          <w:sz w:val="22"/>
          <w:szCs w:val="22"/>
        </w:rPr>
        <w:t>吸收。</w:t>
      </w:r>
    </w:p>
    <w:p w:rsidR="00EA40A3" w:rsidRDefault="00E86C16">
      <w:pPr>
        <w:spacing w:before="50" w:line="220" w:lineRule="auto"/>
        <w:rPr>
          <w:rFonts w:ascii="楷体" w:eastAsia="楷体" w:hAnsi="楷体" w:cs="楷体"/>
          <w:sz w:val="22"/>
          <w:szCs w:val="22"/>
        </w:rPr>
      </w:pPr>
      <w:r>
        <w:rPr>
          <w:rFonts w:ascii="楷体" w:eastAsia="楷体" w:hAnsi="楷体" w:cs="楷体"/>
          <w:spacing w:val="-5"/>
          <w:sz w:val="22"/>
          <w:szCs w:val="22"/>
        </w:rPr>
        <w:t>3)热值低，不引起血糖升高</w:t>
      </w:r>
    </w:p>
    <w:p w:rsidR="00EA40A3" w:rsidRDefault="00E86C16">
      <w:pPr>
        <w:spacing w:before="66" w:line="235" w:lineRule="auto"/>
        <w:ind w:firstLine="440"/>
        <w:rPr>
          <w:rFonts w:ascii="宋体" w:eastAsia="宋体" w:hAnsi="宋体" w:cs="宋体"/>
          <w:sz w:val="22"/>
          <w:szCs w:val="22"/>
        </w:rPr>
      </w:pPr>
      <w:r>
        <w:rPr>
          <w:rFonts w:ascii="宋体" w:eastAsia="宋体" w:hAnsi="宋体" w:cs="宋体"/>
          <w:spacing w:val="-10"/>
          <w:sz w:val="22"/>
          <w:szCs w:val="22"/>
        </w:rPr>
        <w:t>功能性低聚糖很难或不被人体消化吸收，所提供的</w:t>
      </w:r>
      <w:r>
        <w:rPr>
          <w:rFonts w:ascii="宋体" w:eastAsia="宋体" w:hAnsi="宋体" w:cs="宋体"/>
          <w:spacing w:val="-11"/>
          <w:sz w:val="22"/>
          <w:szCs w:val="22"/>
        </w:rPr>
        <w:t>能量值很低或根本没有，</w:t>
      </w:r>
      <w:r>
        <w:rPr>
          <w:rFonts w:ascii="宋体" w:eastAsia="宋体" w:hAnsi="宋体" w:cs="宋体"/>
          <w:sz w:val="22"/>
          <w:szCs w:val="22"/>
        </w:rPr>
        <w:t xml:space="preserve"> </w:t>
      </w:r>
      <w:r>
        <w:rPr>
          <w:rFonts w:ascii="宋体" w:eastAsia="宋体" w:hAnsi="宋体" w:cs="宋体"/>
          <w:spacing w:val="-13"/>
          <w:sz w:val="22"/>
          <w:szCs w:val="22"/>
        </w:rPr>
        <w:t>能满足喜爱甜品的糖尿病人、肥胖病人、低血糖病人及控</w:t>
      </w:r>
      <w:r>
        <w:rPr>
          <w:rFonts w:ascii="宋体" w:eastAsia="宋体" w:hAnsi="宋体" w:cs="宋体"/>
          <w:spacing w:val="-14"/>
          <w:sz w:val="22"/>
          <w:szCs w:val="22"/>
        </w:rPr>
        <w:t>制体重者的需要。</w:t>
      </w:r>
    </w:p>
    <w:p w:rsidR="00EA40A3" w:rsidRDefault="00E86C16">
      <w:pPr>
        <w:spacing w:before="196" w:line="220" w:lineRule="auto"/>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38"/>
          <w:sz w:val="22"/>
          <w:szCs w:val="22"/>
        </w:rPr>
        <w:t xml:space="preserve"> </w:t>
      </w:r>
      <w:r>
        <w:rPr>
          <w:rFonts w:ascii="仿宋" w:eastAsia="仿宋" w:hAnsi="仿宋" w:cs="仿宋"/>
          <w:spacing w:val="14"/>
          <w:sz w:val="22"/>
          <w:szCs w:val="22"/>
        </w:rPr>
        <w:t>主要的功能性低聚糖</w:t>
      </w:r>
    </w:p>
    <w:p w:rsidR="00EA40A3" w:rsidRDefault="00E86C16">
      <w:pPr>
        <w:spacing w:before="190" w:line="235" w:lineRule="auto"/>
        <w:ind w:right="40" w:firstLine="440"/>
        <w:rPr>
          <w:rFonts w:ascii="楷体" w:eastAsia="楷体" w:hAnsi="楷体" w:cs="楷体"/>
          <w:sz w:val="22"/>
          <w:szCs w:val="22"/>
        </w:rPr>
      </w:pPr>
      <w:r>
        <w:rPr>
          <w:rFonts w:ascii="宋体" w:eastAsia="宋体" w:hAnsi="宋体" w:cs="宋体"/>
          <w:spacing w:val="-12"/>
          <w:sz w:val="22"/>
          <w:szCs w:val="22"/>
        </w:rPr>
        <w:t>目前已发现或能够获得的功能性低聚糖有很多种，如低聚果糖、低聚木糖、</w:t>
      </w:r>
      <w:r>
        <w:rPr>
          <w:rFonts w:ascii="宋体" w:eastAsia="宋体" w:hAnsi="宋体" w:cs="宋体"/>
          <w:spacing w:val="14"/>
          <w:sz w:val="22"/>
          <w:szCs w:val="22"/>
        </w:rPr>
        <w:t xml:space="preserve"> </w:t>
      </w:r>
      <w:r>
        <w:rPr>
          <w:rFonts w:ascii="宋体" w:eastAsia="宋体" w:hAnsi="宋体" w:cs="宋体"/>
          <w:spacing w:val="-13"/>
          <w:sz w:val="22"/>
          <w:szCs w:val="22"/>
        </w:rPr>
        <w:t>低聚半乳糖、低聚异麦芽糖、低聚乳果糖、低聚龙胆糖、帕拉金糖</w:t>
      </w:r>
      <w:r>
        <w:rPr>
          <w:rFonts w:ascii="宋体" w:eastAsia="宋体" w:hAnsi="宋体" w:cs="宋体"/>
          <w:spacing w:val="-14"/>
          <w:sz w:val="22"/>
          <w:szCs w:val="22"/>
        </w:rPr>
        <w:t>和乳酮糖等。</w:t>
      </w:r>
      <w:r>
        <w:rPr>
          <w:rFonts w:ascii="宋体" w:eastAsia="宋体" w:hAnsi="宋体" w:cs="宋体"/>
          <w:sz w:val="22"/>
          <w:szCs w:val="22"/>
        </w:rPr>
        <w:t xml:space="preserve"> </w:t>
      </w:r>
      <w:r>
        <w:rPr>
          <w:rFonts w:ascii="楷体" w:eastAsia="楷体" w:hAnsi="楷体" w:cs="楷体"/>
          <w:spacing w:val="2"/>
          <w:sz w:val="22"/>
          <w:szCs w:val="22"/>
        </w:rPr>
        <w:t>1)低聚果糖</w:t>
      </w:r>
    </w:p>
    <w:p w:rsidR="00EA40A3" w:rsidRDefault="00E86C16">
      <w:pPr>
        <w:spacing w:before="75" w:line="247" w:lineRule="auto"/>
        <w:ind w:right="40" w:firstLine="440"/>
        <w:rPr>
          <w:rFonts w:ascii="宋体" w:eastAsia="宋体" w:hAnsi="宋体" w:cs="宋体"/>
          <w:sz w:val="22"/>
          <w:szCs w:val="22"/>
        </w:rPr>
      </w:pPr>
      <w:r>
        <w:rPr>
          <w:rFonts w:ascii="宋体" w:eastAsia="宋体" w:hAnsi="宋体" w:cs="宋体"/>
          <w:spacing w:val="-10"/>
          <w:sz w:val="22"/>
          <w:szCs w:val="22"/>
        </w:rPr>
        <w:t>低聚果糖</w:t>
      </w:r>
      <w:r>
        <w:rPr>
          <w:rFonts w:ascii="宋体" w:eastAsia="宋体" w:hAnsi="宋体" w:cs="宋体"/>
          <w:spacing w:val="-33"/>
          <w:sz w:val="22"/>
          <w:szCs w:val="22"/>
        </w:rPr>
        <w:t xml:space="preserve"> </w:t>
      </w:r>
      <w:r>
        <w:rPr>
          <w:rFonts w:ascii="宋体" w:eastAsia="宋体" w:hAnsi="宋体" w:cs="宋体"/>
          <w:spacing w:val="-10"/>
          <w:sz w:val="22"/>
          <w:szCs w:val="22"/>
        </w:rPr>
        <w:t>(fructooligosaccharide</w:t>
      </w:r>
      <w:r>
        <w:rPr>
          <w:rFonts w:ascii="宋体" w:eastAsia="宋体" w:hAnsi="宋体" w:cs="宋体"/>
          <w:spacing w:val="-11"/>
          <w:sz w:val="22"/>
          <w:szCs w:val="22"/>
        </w:rPr>
        <w:t>)</w:t>
      </w:r>
      <w:r>
        <w:rPr>
          <w:rFonts w:ascii="宋体" w:eastAsia="宋体" w:hAnsi="宋体" w:cs="宋体"/>
          <w:spacing w:val="-31"/>
          <w:sz w:val="22"/>
          <w:szCs w:val="22"/>
        </w:rPr>
        <w:t xml:space="preserve"> </w:t>
      </w:r>
      <w:r>
        <w:rPr>
          <w:rFonts w:ascii="宋体" w:eastAsia="宋体" w:hAnsi="宋体" w:cs="宋体"/>
          <w:spacing w:val="-11"/>
          <w:sz w:val="22"/>
          <w:szCs w:val="22"/>
        </w:rPr>
        <w:t>又称果糖低聚糖或寡果糖，是在蔗糖分</w:t>
      </w:r>
      <w:r>
        <w:rPr>
          <w:rFonts w:ascii="宋体" w:eastAsia="宋体" w:hAnsi="宋体" w:cs="宋体"/>
          <w:sz w:val="22"/>
          <w:szCs w:val="22"/>
        </w:rPr>
        <w:t xml:space="preserve"> </w:t>
      </w:r>
      <w:r>
        <w:rPr>
          <w:rFonts w:ascii="宋体" w:eastAsia="宋体" w:hAnsi="宋体" w:cs="宋体"/>
          <w:spacing w:val="-6"/>
          <w:sz w:val="22"/>
          <w:szCs w:val="22"/>
        </w:rPr>
        <w:t>子的果糖残基上结合1～3个果糖的寡糖，其黏度、保湿性及</w:t>
      </w:r>
      <w:r>
        <w:rPr>
          <w:rFonts w:ascii="宋体" w:eastAsia="宋体" w:hAnsi="宋体" w:cs="宋体"/>
          <w:spacing w:val="-7"/>
          <w:sz w:val="22"/>
          <w:szCs w:val="22"/>
        </w:rPr>
        <w:t>在中性条件下的热</w:t>
      </w:r>
      <w:r>
        <w:rPr>
          <w:rFonts w:ascii="宋体" w:eastAsia="宋体" w:hAnsi="宋体" w:cs="宋体"/>
          <w:sz w:val="22"/>
          <w:szCs w:val="22"/>
        </w:rPr>
        <w:t xml:space="preserve"> </w:t>
      </w:r>
      <w:r>
        <w:rPr>
          <w:rFonts w:ascii="宋体" w:eastAsia="宋体" w:hAnsi="宋体" w:cs="宋体"/>
          <w:spacing w:val="-10"/>
          <w:sz w:val="22"/>
          <w:szCs w:val="22"/>
        </w:rPr>
        <w:t>稳定性等接近于蔗糖，水储留特性稍强于蔗</w:t>
      </w:r>
      <w:r>
        <w:rPr>
          <w:rFonts w:ascii="宋体" w:eastAsia="宋体" w:hAnsi="宋体" w:cs="宋体"/>
          <w:spacing w:val="-11"/>
          <w:sz w:val="22"/>
          <w:szCs w:val="22"/>
        </w:rPr>
        <w:t>糖。低</w:t>
      </w:r>
      <w:r>
        <w:rPr>
          <w:rFonts w:ascii="宋体" w:eastAsia="宋体" w:hAnsi="宋体" w:cs="宋体"/>
          <w:spacing w:val="-10"/>
          <w:sz w:val="22"/>
          <w:szCs w:val="22"/>
        </w:rPr>
        <w:t>pH</w:t>
      </w:r>
      <w:r>
        <w:rPr>
          <w:rFonts w:ascii="宋体" w:eastAsia="宋体" w:hAnsi="宋体" w:cs="宋体"/>
          <w:spacing w:val="15"/>
          <w:sz w:val="22"/>
          <w:szCs w:val="22"/>
        </w:rPr>
        <w:t xml:space="preserve"> </w:t>
      </w:r>
      <w:r>
        <w:rPr>
          <w:rFonts w:ascii="宋体" w:eastAsia="宋体" w:hAnsi="宋体" w:cs="宋体"/>
          <w:spacing w:val="-11"/>
          <w:sz w:val="22"/>
          <w:szCs w:val="22"/>
        </w:rPr>
        <w:t>稳定，耐热。低聚果糖也</w:t>
      </w:r>
      <w:r>
        <w:rPr>
          <w:rFonts w:ascii="宋体" w:eastAsia="宋体" w:hAnsi="宋体" w:cs="宋体"/>
          <w:sz w:val="22"/>
          <w:szCs w:val="22"/>
        </w:rPr>
        <w:t xml:space="preserve"> </w:t>
      </w:r>
      <w:r>
        <w:rPr>
          <w:rFonts w:ascii="宋体" w:eastAsia="宋体" w:hAnsi="宋体" w:cs="宋体"/>
          <w:spacing w:val="-11"/>
          <w:sz w:val="22"/>
          <w:szCs w:val="22"/>
        </w:rPr>
        <w:t>存在于日常食用的蔬菜、水果中，如牛劳、洋葱、大蒜、黑麦和香蕉等。芦笋、</w:t>
      </w:r>
      <w:r>
        <w:rPr>
          <w:rFonts w:ascii="宋体" w:eastAsia="宋体" w:hAnsi="宋体" w:cs="宋体"/>
          <w:spacing w:val="4"/>
          <w:sz w:val="22"/>
          <w:szCs w:val="22"/>
        </w:rPr>
        <w:t xml:space="preserve"> </w:t>
      </w:r>
      <w:r>
        <w:rPr>
          <w:rFonts w:ascii="宋体" w:eastAsia="宋体" w:hAnsi="宋体" w:cs="宋体"/>
          <w:spacing w:val="-13"/>
          <w:sz w:val="22"/>
          <w:szCs w:val="22"/>
        </w:rPr>
        <w:t>小麦、大麦、黑小麦、蜂蜜、番茄等也含有一定量。由于吸收较差，食用后可能</w:t>
      </w:r>
      <w:r>
        <w:rPr>
          <w:rFonts w:ascii="宋体" w:eastAsia="宋体" w:hAnsi="宋体" w:cs="宋体"/>
          <w:spacing w:val="14"/>
          <w:sz w:val="22"/>
          <w:szCs w:val="22"/>
        </w:rPr>
        <w:t xml:space="preserve"> </w:t>
      </w:r>
      <w:r>
        <w:rPr>
          <w:rFonts w:ascii="宋体" w:eastAsia="宋体" w:hAnsi="宋体" w:cs="宋体"/>
          <w:spacing w:val="-20"/>
          <w:sz w:val="22"/>
          <w:szCs w:val="22"/>
        </w:rPr>
        <w:t>发生胃肠胀气。</w:t>
      </w:r>
    </w:p>
    <w:p w:rsidR="00EA40A3" w:rsidRDefault="00E86C16">
      <w:pPr>
        <w:spacing w:before="45" w:line="222" w:lineRule="auto"/>
        <w:rPr>
          <w:rFonts w:ascii="楷体" w:eastAsia="楷体" w:hAnsi="楷体" w:cs="楷体"/>
          <w:sz w:val="22"/>
          <w:szCs w:val="22"/>
        </w:rPr>
      </w:pPr>
      <w:r>
        <w:rPr>
          <w:rFonts w:ascii="楷体" w:eastAsia="楷体" w:hAnsi="楷体" w:cs="楷体"/>
          <w:spacing w:val="-1"/>
          <w:sz w:val="22"/>
          <w:szCs w:val="22"/>
        </w:rPr>
        <w:t>2)低聚半乳糖</w:t>
      </w:r>
    </w:p>
    <w:p w:rsidR="00EA40A3" w:rsidRDefault="00E86C16">
      <w:pPr>
        <w:spacing w:before="74" w:line="243" w:lineRule="auto"/>
        <w:ind w:right="72" w:firstLine="440"/>
        <w:jc w:val="both"/>
        <w:rPr>
          <w:rFonts w:ascii="宋体" w:eastAsia="宋体" w:hAnsi="宋体" w:cs="宋体"/>
          <w:sz w:val="22"/>
          <w:szCs w:val="22"/>
        </w:rPr>
      </w:pPr>
      <w:r>
        <w:rPr>
          <w:rFonts w:ascii="宋体" w:eastAsia="宋体" w:hAnsi="宋体" w:cs="宋体"/>
          <w:spacing w:val="-12"/>
          <w:sz w:val="22"/>
          <w:szCs w:val="22"/>
        </w:rPr>
        <w:t>低聚半乳糖</w:t>
      </w:r>
      <w:r>
        <w:rPr>
          <w:rFonts w:ascii="宋体" w:eastAsia="宋体" w:hAnsi="宋体" w:cs="宋体"/>
          <w:spacing w:val="-20"/>
          <w:sz w:val="22"/>
          <w:szCs w:val="22"/>
        </w:rPr>
        <w:t xml:space="preserve"> </w:t>
      </w:r>
      <w:r>
        <w:rPr>
          <w:rFonts w:ascii="宋体" w:eastAsia="宋体" w:hAnsi="宋体" w:cs="宋体"/>
          <w:spacing w:val="-12"/>
          <w:sz w:val="22"/>
          <w:szCs w:val="22"/>
        </w:rPr>
        <w:t>(galactooligosaccharide)</w:t>
      </w:r>
      <w:r>
        <w:rPr>
          <w:rFonts w:ascii="宋体" w:eastAsia="宋体" w:hAnsi="宋体" w:cs="宋体"/>
          <w:spacing w:val="-51"/>
          <w:sz w:val="22"/>
          <w:szCs w:val="22"/>
        </w:rPr>
        <w:t xml:space="preserve"> </w:t>
      </w:r>
      <w:r>
        <w:rPr>
          <w:rFonts w:ascii="宋体" w:eastAsia="宋体" w:hAnsi="宋体" w:cs="宋体"/>
          <w:spacing w:val="-12"/>
          <w:sz w:val="22"/>
          <w:szCs w:val="22"/>
        </w:rPr>
        <w:t>是在乳糖分子</w:t>
      </w:r>
      <w:r>
        <w:rPr>
          <w:rFonts w:ascii="宋体" w:eastAsia="宋体" w:hAnsi="宋体" w:cs="宋体"/>
          <w:spacing w:val="-13"/>
          <w:sz w:val="22"/>
          <w:szCs w:val="22"/>
        </w:rPr>
        <w:t>的半乳糖一侧连接1～4</w:t>
      </w:r>
      <w:r>
        <w:rPr>
          <w:rFonts w:ascii="宋体" w:eastAsia="宋体" w:hAnsi="宋体" w:cs="宋体"/>
          <w:sz w:val="22"/>
          <w:szCs w:val="22"/>
        </w:rPr>
        <w:t xml:space="preserve"> </w:t>
      </w:r>
      <w:r>
        <w:rPr>
          <w:rFonts w:ascii="宋体" w:eastAsia="宋体" w:hAnsi="宋体" w:cs="宋体"/>
          <w:spacing w:val="-13"/>
          <w:sz w:val="22"/>
          <w:szCs w:val="22"/>
        </w:rPr>
        <w:t>个半乳糖，属于葡萄糖和半乳糖组成的杂低聚糖。对热、酸有较好的稳定性，有</w:t>
      </w:r>
      <w:r>
        <w:rPr>
          <w:rFonts w:ascii="宋体" w:eastAsia="宋体" w:hAnsi="宋体" w:cs="宋体"/>
          <w:spacing w:val="14"/>
          <w:sz w:val="22"/>
          <w:szCs w:val="22"/>
        </w:rPr>
        <w:t xml:space="preserve"> </w:t>
      </w:r>
      <w:r>
        <w:rPr>
          <w:rFonts w:ascii="宋体" w:eastAsia="宋体" w:hAnsi="宋体" w:cs="宋体"/>
          <w:spacing w:val="-16"/>
          <w:sz w:val="22"/>
          <w:szCs w:val="22"/>
        </w:rPr>
        <w:t>很好的双歧杆菌增殖活性。</w:t>
      </w:r>
    </w:p>
    <w:p w:rsidR="00EA40A3" w:rsidRDefault="00E86C16">
      <w:pPr>
        <w:spacing w:before="13" w:line="222" w:lineRule="auto"/>
        <w:rPr>
          <w:rFonts w:ascii="楷体" w:eastAsia="楷体" w:hAnsi="楷体" w:cs="楷体"/>
          <w:sz w:val="22"/>
          <w:szCs w:val="22"/>
        </w:rPr>
      </w:pPr>
      <w:r>
        <w:rPr>
          <w:rFonts w:ascii="楷体" w:eastAsia="楷体" w:hAnsi="楷体" w:cs="楷体"/>
          <w:spacing w:val="-2"/>
          <w:sz w:val="22"/>
          <w:szCs w:val="22"/>
        </w:rPr>
        <w:t>3)低聚乳果糖</w:t>
      </w:r>
    </w:p>
    <w:p w:rsidR="00EA40A3" w:rsidRDefault="00E86C16">
      <w:pPr>
        <w:spacing w:before="92" w:line="243" w:lineRule="auto"/>
        <w:ind w:right="66" w:firstLine="440"/>
        <w:rPr>
          <w:rFonts w:ascii="宋体" w:eastAsia="宋体" w:hAnsi="宋体" w:cs="宋体"/>
          <w:sz w:val="22"/>
          <w:szCs w:val="22"/>
        </w:rPr>
      </w:pPr>
      <w:r>
        <w:rPr>
          <w:rFonts w:ascii="宋体" w:eastAsia="宋体" w:hAnsi="宋体" w:cs="宋体"/>
          <w:sz w:val="22"/>
          <w:szCs w:val="22"/>
        </w:rPr>
        <w:t>低聚乳果糖</w:t>
      </w:r>
      <w:r>
        <w:rPr>
          <w:rFonts w:ascii="宋体" w:eastAsia="宋体" w:hAnsi="宋体" w:cs="宋体"/>
          <w:spacing w:val="-20"/>
          <w:sz w:val="22"/>
          <w:szCs w:val="22"/>
        </w:rPr>
        <w:t xml:space="preserve"> </w:t>
      </w:r>
      <w:r>
        <w:rPr>
          <w:rFonts w:ascii="宋体" w:eastAsia="宋体" w:hAnsi="宋体" w:cs="宋体"/>
          <w:sz w:val="22"/>
          <w:szCs w:val="22"/>
        </w:rPr>
        <w:t>(lactosucrose)</w:t>
      </w:r>
      <w:r>
        <w:rPr>
          <w:rFonts w:ascii="宋体" w:eastAsia="宋体" w:hAnsi="宋体" w:cs="宋体"/>
          <w:spacing w:val="-43"/>
          <w:sz w:val="22"/>
          <w:szCs w:val="22"/>
        </w:rPr>
        <w:t xml:space="preserve"> </w:t>
      </w:r>
      <w:r>
        <w:rPr>
          <w:rFonts w:ascii="宋体" w:eastAsia="宋体" w:hAnsi="宋体" w:cs="宋体"/>
          <w:sz w:val="22"/>
          <w:szCs w:val="22"/>
        </w:rPr>
        <w:t>是以乳糖和蔗</w:t>
      </w:r>
      <w:r>
        <w:rPr>
          <w:rFonts w:ascii="宋体" w:eastAsia="宋体" w:hAnsi="宋体" w:cs="宋体"/>
          <w:spacing w:val="-1"/>
          <w:sz w:val="22"/>
          <w:szCs w:val="22"/>
        </w:rPr>
        <w:t>糖(1:1)为原料，在节杆菌产</w:t>
      </w:r>
      <w:r>
        <w:rPr>
          <w:rFonts w:ascii="宋体" w:eastAsia="宋体" w:hAnsi="宋体" w:cs="宋体"/>
          <w:sz w:val="22"/>
          <w:szCs w:val="22"/>
        </w:rPr>
        <w:t xml:space="preserve"> </w:t>
      </w:r>
      <w:r>
        <w:rPr>
          <w:rFonts w:ascii="宋体" w:eastAsia="宋体" w:hAnsi="宋体" w:cs="宋体"/>
          <w:spacing w:val="-13"/>
          <w:sz w:val="22"/>
          <w:szCs w:val="22"/>
        </w:rPr>
        <w:t>生的β呋喃果糖苷酶催化作用下，将蔗糖分解产生的果糖基转移至乳糖还原性末</w:t>
      </w:r>
      <w:r>
        <w:rPr>
          <w:rFonts w:ascii="宋体" w:eastAsia="宋体" w:hAnsi="宋体" w:cs="宋体"/>
          <w:spacing w:val="15"/>
          <w:sz w:val="22"/>
          <w:szCs w:val="22"/>
        </w:rPr>
        <w:t xml:space="preserve"> </w:t>
      </w:r>
      <w:r>
        <w:rPr>
          <w:rFonts w:ascii="宋体" w:eastAsia="宋体" w:hAnsi="宋体" w:cs="宋体"/>
          <w:spacing w:val="-9"/>
          <w:sz w:val="22"/>
          <w:szCs w:val="22"/>
        </w:rPr>
        <w:t>端的C</w:t>
      </w:r>
      <w:r>
        <w:rPr>
          <w:rFonts w:ascii="Calibri" w:eastAsia="Calibri" w:hAnsi="Calibri" w:cs="Calibri"/>
          <w:spacing w:val="-9"/>
          <w:sz w:val="22"/>
          <w:szCs w:val="22"/>
        </w:rPr>
        <w:t>₁</w:t>
      </w:r>
      <w:r>
        <w:rPr>
          <w:rFonts w:ascii="宋体" w:eastAsia="宋体" w:hAnsi="宋体" w:cs="宋体"/>
          <w:spacing w:val="-9"/>
          <w:sz w:val="22"/>
          <w:szCs w:val="22"/>
        </w:rPr>
        <w:t>—O)H</w:t>
      </w:r>
      <w:r>
        <w:rPr>
          <w:rFonts w:ascii="宋体" w:eastAsia="宋体" w:hAnsi="宋体" w:cs="宋体"/>
          <w:spacing w:val="-48"/>
          <w:sz w:val="22"/>
          <w:szCs w:val="22"/>
        </w:rPr>
        <w:t xml:space="preserve"> </w:t>
      </w:r>
      <w:r>
        <w:rPr>
          <w:rFonts w:ascii="宋体" w:eastAsia="宋体" w:hAnsi="宋体" w:cs="宋体"/>
          <w:spacing w:val="-9"/>
          <w:sz w:val="22"/>
          <w:szCs w:val="22"/>
        </w:rPr>
        <w:t>上，生成半乳糖基蔗糖即低聚乳果糖。甜味特性接近于蔗糖，</w:t>
      </w:r>
      <w:r>
        <w:rPr>
          <w:rFonts w:ascii="宋体" w:eastAsia="宋体" w:hAnsi="宋体" w:cs="宋体"/>
          <w:spacing w:val="-10"/>
          <w:sz w:val="22"/>
          <w:szCs w:val="22"/>
        </w:rPr>
        <w:t>甜度</w:t>
      </w:r>
      <w:r>
        <w:rPr>
          <w:rFonts w:ascii="宋体" w:eastAsia="宋体" w:hAnsi="宋体" w:cs="宋体"/>
          <w:sz w:val="22"/>
          <w:szCs w:val="22"/>
        </w:rPr>
        <w:t xml:space="preserve"> </w:t>
      </w:r>
      <w:r>
        <w:rPr>
          <w:rFonts w:ascii="宋体" w:eastAsia="宋体" w:hAnsi="宋体" w:cs="宋体"/>
          <w:spacing w:val="-8"/>
          <w:sz w:val="22"/>
          <w:szCs w:val="22"/>
        </w:rPr>
        <w:t>约为蔗糖的70%。其双歧杆菌增殖活性高于低聚半乳糖</w:t>
      </w:r>
      <w:r>
        <w:rPr>
          <w:rFonts w:ascii="宋体" w:eastAsia="宋体" w:hAnsi="宋体" w:cs="宋体"/>
          <w:spacing w:val="-9"/>
          <w:sz w:val="22"/>
          <w:szCs w:val="22"/>
        </w:rPr>
        <w:t>、低聚异麦芽糖。</w:t>
      </w:r>
    </w:p>
    <w:p w:rsidR="00EA40A3" w:rsidRDefault="00E86C16">
      <w:pPr>
        <w:spacing w:before="25" w:line="222" w:lineRule="auto"/>
        <w:rPr>
          <w:rFonts w:ascii="楷体" w:eastAsia="楷体" w:hAnsi="楷体" w:cs="楷体"/>
          <w:sz w:val="22"/>
          <w:szCs w:val="22"/>
        </w:rPr>
      </w:pPr>
      <w:r>
        <w:rPr>
          <w:rFonts w:ascii="楷体" w:eastAsia="楷体" w:hAnsi="楷体" w:cs="楷体"/>
          <w:spacing w:val="-1"/>
          <w:sz w:val="22"/>
          <w:szCs w:val="22"/>
        </w:rPr>
        <w:t>4)低聚异麦芽糖</w:t>
      </w:r>
    </w:p>
    <w:p w:rsidR="00EA40A3" w:rsidRDefault="00E86C16">
      <w:pPr>
        <w:spacing w:before="74" w:line="248" w:lineRule="auto"/>
        <w:ind w:right="63" w:firstLine="440"/>
        <w:rPr>
          <w:rFonts w:ascii="宋体" w:eastAsia="宋体" w:hAnsi="宋体" w:cs="宋体"/>
          <w:sz w:val="22"/>
          <w:szCs w:val="22"/>
        </w:rPr>
      </w:pPr>
      <w:r>
        <w:rPr>
          <w:rFonts w:ascii="宋体" w:eastAsia="宋体" w:hAnsi="宋体" w:cs="宋体"/>
          <w:spacing w:val="-3"/>
          <w:sz w:val="22"/>
          <w:szCs w:val="22"/>
        </w:rPr>
        <w:t>低聚异麦芽糖</w:t>
      </w:r>
      <w:r>
        <w:rPr>
          <w:rFonts w:ascii="宋体" w:eastAsia="宋体" w:hAnsi="宋体" w:cs="宋体"/>
          <w:spacing w:val="-10"/>
          <w:sz w:val="22"/>
          <w:szCs w:val="22"/>
        </w:rPr>
        <w:t xml:space="preserve"> </w:t>
      </w:r>
      <w:r>
        <w:rPr>
          <w:rFonts w:ascii="宋体" w:eastAsia="宋体" w:hAnsi="宋体" w:cs="宋体"/>
          <w:spacing w:val="-3"/>
          <w:sz w:val="22"/>
          <w:szCs w:val="22"/>
        </w:rPr>
        <w:t>(isomaltooligosaccharide</w:t>
      </w:r>
      <w:r>
        <w:rPr>
          <w:rFonts w:ascii="宋体" w:eastAsia="宋体" w:hAnsi="宋体" w:cs="宋体"/>
          <w:spacing w:val="-4"/>
          <w:sz w:val="22"/>
          <w:szCs w:val="22"/>
        </w:rPr>
        <w:t>)</w:t>
      </w:r>
      <w:r>
        <w:rPr>
          <w:rFonts w:ascii="宋体" w:eastAsia="宋体" w:hAnsi="宋体" w:cs="宋体"/>
          <w:spacing w:val="-33"/>
          <w:sz w:val="22"/>
          <w:szCs w:val="22"/>
        </w:rPr>
        <w:t xml:space="preserve"> </w:t>
      </w:r>
      <w:r>
        <w:rPr>
          <w:rFonts w:ascii="宋体" w:eastAsia="宋体" w:hAnsi="宋体" w:cs="宋体"/>
          <w:spacing w:val="-4"/>
          <w:sz w:val="22"/>
          <w:szCs w:val="22"/>
        </w:rPr>
        <w:t>又称分支低聚糖</w:t>
      </w:r>
      <w:r>
        <w:rPr>
          <w:rFonts w:ascii="宋体" w:eastAsia="宋体" w:hAnsi="宋体" w:cs="宋体"/>
          <w:spacing w:val="1"/>
          <w:sz w:val="22"/>
          <w:szCs w:val="22"/>
        </w:rPr>
        <w:t xml:space="preserve"> </w:t>
      </w:r>
      <w:r>
        <w:rPr>
          <w:rFonts w:ascii="宋体" w:eastAsia="宋体" w:hAnsi="宋体" w:cs="宋体"/>
          <w:spacing w:val="-4"/>
          <w:sz w:val="22"/>
          <w:szCs w:val="22"/>
        </w:rPr>
        <w:t>(</w:t>
      </w:r>
      <w:r>
        <w:rPr>
          <w:rFonts w:ascii="宋体" w:eastAsia="宋体" w:hAnsi="宋体" w:cs="宋体"/>
          <w:spacing w:val="-3"/>
          <w:sz w:val="22"/>
          <w:szCs w:val="22"/>
        </w:rPr>
        <w:t>branching</w:t>
      </w:r>
      <w:r>
        <w:rPr>
          <w:rFonts w:ascii="宋体" w:eastAsia="宋体" w:hAnsi="宋体" w:cs="宋体"/>
          <w:sz w:val="22"/>
          <w:szCs w:val="22"/>
        </w:rPr>
        <w:t xml:space="preserve"> </w:t>
      </w:r>
      <w:r>
        <w:rPr>
          <w:rFonts w:ascii="宋体" w:eastAsia="宋体" w:hAnsi="宋体" w:cs="宋体"/>
          <w:spacing w:val="-9"/>
          <w:sz w:val="22"/>
          <w:szCs w:val="22"/>
        </w:rPr>
        <w:t>oliogosaccharide),是指葡萄糖以α-1,6糖苷键结合而成的单糖数2～5个不等的</w:t>
      </w:r>
      <w:r>
        <w:rPr>
          <w:rFonts w:ascii="宋体" w:eastAsia="宋体" w:hAnsi="宋体" w:cs="宋体"/>
          <w:spacing w:val="18"/>
          <w:sz w:val="22"/>
          <w:szCs w:val="22"/>
        </w:rPr>
        <w:t xml:space="preserve"> </w:t>
      </w:r>
      <w:r>
        <w:rPr>
          <w:rFonts w:ascii="宋体" w:eastAsia="宋体" w:hAnsi="宋体" w:cs="宋体"/>
          <w:spacing w:val="-12"/>
          <w:sz w:val="22"/>
          <w:szCs w:val="22"/>
        </w:rPr>
        <w:t>一类低聚糖，有异麦芽三糖、四糖、五糖等，随聚合度增加，其甜度降低甚至消</w:t>
      </w:r>
    </w:p>
    <w:p w:rsidR="00EA40A3" w:rsidRDefault="00E86C16">
      <w:pPr>
        <w:spacing w:before="35"/>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50</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footerReference w:type="default" r:id="rId50"/>
          <w:pgSz w:w="9220" w:h="13360"/>
          <w:pgMar w:top="400" w:right="1069" w:bottom="400" w:left="789" w:header="0" w:footer="0" w:gutter="0"/>
          <w:cols w:space="720"/>
        </w:sectPr>
      </w:pPr>
    </w:p>
    <w:p w:rsidR="00EA40A3" w:rsidRDefault="00EA40A3">
      <w:pPr>
        <w:spacing w:line="277" w:lineRule="auto"/>
      </w:pPr>
    </w:p>
    <w:p w:rsidR="00EA40A3" w:rsidRDefault="00EA40A3">
      <w:pPr>
        <w:spacing w:line="277" w:lineRule="auto"/>
      </w:pPr>
    </w:p>
    <w:p w:rsidR="00EA40A3" w:rsidRDefault="00E86C16">
      <w:pPr>
        <w:spacing w:before="72" w:line="231" w:lineRule="auto"/>
        <w:ind w:right="79"/>
        <w:rPr>
          <w:rFonts w:ascii="宋体" w:eastAsia="宋体" w:hAnsi="宋体" w:cs="宋体"/>
          <w:sz w:val="22"/>
          <w:szCs w:val="22"/>
        </w:rPr>
      </w:pPr>
      <w:r>
        <w:rPr>
          <w:rFonts w:ascii="宋体" w:eastAsia="宋体" w:hAnsi="宋体" w:cs="宋体"/>
          <w:spacing w:val="-13"/>
          <w:sz w:val="22"/>
          <w:szCs w:val="22"/>
        </w:rPr>
        <w:t>失。有良好的保湿性，能抑制食品中淀粉回生、老化和析出。在自然</w:t>
      </w:r>
      <w:r>
        <w:rPr>
          <w:rFonts w:ascii="宋体" w:eastAsia="宋体" w:hAnsi="宋体" w:cs="宋体"/>
          <w:spacing w:val="-14"/>
          <w:sz w:val="22"/>
          <w:szCs w:val="22"/>
        </w:rPr>
        <w:t>界极少以游</w:t>
      </w:r>
      <w:r>
        <w:rPr>
          <w:rFonts w:ascii="宋体" w:eastAsia="宋体" w:hAnsi="宋体" w:cs="宋体"/>
          <w:sz w:val="22"/>
          <w:szCs w:val="22"/>
        </w:rPr>
        <w:t xml:space="preserve"> </w:t>
      </w:r>
      <w:r>
        <w:rPr>
          <w:rFonts w:ascii="宋体" w:eastAsia="宋体" w:hAnsi="宋体" w:cs="宋体"/>
          <w:spacing w:val="-15"/>
          <w:sz w:val="22"/>
          <w:szCs w:val="22"/>
        </w:rPr>
        <w:t>离状态存在，而主要作为支链淀粉、右旋糖和多糖等的组成成分。</w:t>
      </w:r>
    </w:p>
    <w:p w:rsidR="00EA40A3" w:rsidRDefault="00E86C16">
      <w:pPr>
        <w:spacing w:before="52" w:line="222" w:lineRule="auto"/>
        <w:rPr>
          <w:rFonts w:ascii="楷体" w:eastAsia="楷体" w:hAnsi="楷体" w:cs="楷体"/>
          <w:sz w:val="22"/>
          <w:szCs w:val="22"/>
        </w:rPr>
      </w:pPr>
      <w:r>
        <w:rPr>
          <w:rFonts w:ascii="楷体" w:eastAsia="楷体" w:hAnsi="楷体" w:cs="楷体"/>
          <w:spacing w:val="-1"/>
          <w:sz w:val="22"/>
          <w:szCs w:val="22"/>
        </w:rPr>
        <w:t>5)大豆低聚糖</w:t>
      </w:r>
    </w:p>
    <w:p w:rsidR="00EA40A3" w:rsidRDefault="00E86C16">
      <w:pPr>
        <w:spacing w:before="23" w:line="248" w:lineRule="auto"/>
        <w:ind w:firstLine="440"/>
        <w:jc w:val="both"/>
        <w:rPr>
          <w:rFonts w:ascii="宋体" w:eastAsia="宋体" w:hAnsi="宋体" w:cs="宋体"/>
          <w:sz w:val="22"/>
          <w:szCs w:val="22"/>
        </w:rPr>
      </w:pPr>
      <w:r>
        <w:rPr>
          <w:rFonts w:ascii="宋体" w:eastAsia="宋体" w:hAnsi="宋体" w:cs="宋体"/>
          <w:spacing w:val="-11"/>
          <w:sz w:val="22"/>
          <w:szCs w:val="22"/>
        </w:rPr>
        <w:t>典型的大豆低聚糖</w:t>
      </w:r>
      <w:r>
        <w:rPr>
          <w:rFonts w:ascii="宋体" w:eastAsia="宋体" w:hAnsi="宋体" w:cs="宋体"/>
          <w:spacing w:val="-4"/>
          <w:sz w:val="22"/>
          <w:szCs w:val="22"/>
        </w:rPr>
        <w:t xml:space="preserve"> </w:t>
      </w:r>
      <w:r>
        <w:rPr>
          <w:rFonts w:ascii="宋体" w:eastAsia="宋体" w:hAnsi="宋体" w:cs="宋体"/>
          <w:spacing w:val="-11"/>
          <w:sz w:val="22"/>
          <w:szCs w:val="22"/>
        </w:rPr>
        <w:t>(soybean</w:t>
      </w:r>
      <w:r>
        <w:rPr>
          <w:rFonts w:ascii="宋体" w:eastAsia="宋体" w:hAnsi="宋体" w:cs="宋体"/>
          <w:spacing w:val="-3"/>
          <w:sz w:val="22"/>
          <w:szCs w:val="22"/>
        </w:rPr>
        <w:t xml:space="preserve"> </w:t>
      </w:r>
      <w:r>
        <w:rPr>
          <w:rFonts w:ascii="宋体" w:eastAsia="宋体" w:hAnsi="宋体" w:cs="宋体"/>
          <w:spacing w:val="-11"/>
          <w:sz w:val="22"/>
          <w:szCs w:val="22"/>
        </w:rPr>
        <w:t>oligosaccharide)</w:t>
      </w:r>
      <w:r>
        <w:rPr>
          <w:rFonts w:ascii="宋体" w:eastAsia="宋体" w:hAnsi="宋体" w:cs="宋体"/>
          <w:spacing w:val="-43"/>
          <w:sz w:val="22"/>
          <w:szCs w:val="22"/>
        </w:rPr>
        <w:t xml:space="preserve"> </w:t>
      </w:r>
      <w:r>
        <w:rPr>
          <w:rFonts w:ascii="宋体" w:eastAsia="宋体" w:hAnsi="宋体" w:cs="宋体"/>
          <w:spacing w:val="-11"/>
          <w:sz w:val="22"/>
          <w:szCs w:val="22"/>
        </w:rPr>
        <w:t>是从大豆籽粒中提取的可溶</w:t>
      </w:r>
      <w:r>
        <w:rPr>
          <w:rFonts w:ascii="宋体" w:eastAsia="宋体" w:hAnsi="宋体" w:cs="宋体"/>
          <w:sz w:val="22"/>
          <w:szCs w:val="22"/>
        </w:rPr>
        <w:t xml:space="preserve"> </w:t>
      </w:r>
      <w:r>
        <w:rPr>
          <w:rFonts w:ascii="宋体" w:eastAsia="宋体" w:hAnsi="宋体" w:cs="宋体"/>
          <w:spacing w:val="-15"/>
          <w:sz w:val="22"/>
          <w:szCs w:val="22"/>
        </w:rPr>
        <w:t>性低聚糖的合称，主要成分</w:t>
      </w:r>
      <w:r>
        <w:rPr>
          <w:rFonts w:ascii="宋体" w:eastAsia="宋体" w:hAnsi="宋体" w:cs="宋体"/>
          <w:spacing w:val="-16"/>
          <w:sz w:val="22"/>
          <w:szCs w:val="22"/>
        </w:rPr>
        <w:t>为水苏糖</w:t>
      </w:r>
      <w:r>
        <w:rPr>
          <w:rFonts w:ascii="宋体" w:eastAsia="宋体" w:hAnsi="宋体" w:cs="宋体"/>
          <w:spacing w:val="-19"/>
          <w:sz w:val="22"/>
          <w:szCs w:val="22"/>
        </w:rPr>
        <w:t xml:space="preserve"> </w:t>
      </w:r>
      <w:r>
        <w:rPr>
          <w:rFonts w:ascii="宋体" w:eastAsia="宋体" w:hAnsi="宋体" w:cs="宋体"/>
          <w:spacing w:val="-16"/>
          <w:sz w:val="22"/>
          <w:szCs w:val="22"/>
        </w:rPr>
        <w:t>(</w:t>
      </w:r>
      <w:r>
        <w:rPr>
          <w:rFonts w:ascii="宋体" w:eastAsia="宋体" w:hAnsi="宋体" w:cs="宋体"/>
          <w:spacing w:val="-15"/>
          <w:sz w:val="22"/>
          <w:szCs w:val="22"/>
        </w:rPr>
        <w:t>stachyose</w:t>
      </w:r>
      <w:r>
        <w:rPr>
          <w:rFonts w:ascii="宋体" w:eastAsia="宋体" w:hAnsi="宋体" w:cs="宋体"/>
          <w:spacing w:val="-16"/>
          <w:sz w:val="22"/>
          <w:szCs w:val="22"/>
        </w:rPr>
        <w:t>)、</w:t>
      </w:r>
      <w:r>
        <w:rPr>
          <w:rFonts w:ascii="宋体" w:eastAsia="宋体" w:hAnsi="宋体" w:cs="宋体"/>
          <w:spacing w:val="-44"/>
          <w:sz w:val="22"/>
          <w:szCs w:val="22"/>
        </w:rPr>
        <w:t xml:space="preserve"> </w:t>
      </w:r>
      <w:r>
        <w:rPr>
          <w:rFonts w:ascii="宋体" w:eastAsia="宋体" w:hAnsi="宋体" w:cs="宋体"/>
          <w:spacing w:val="-16"/>
          <w:sz w:val="22"/>
          <w:szCs w:val="22"/>
        </w:rPr>
        <w:t>棉籽糖</w:t>
      </w:r>
      <w:r>
        <w:rPr>
          <w:rFonts w:ascii="宋体" w:eastAsia="宋体" w:hAnsi="宋体" w:cs="宋体"/>
          <w:spacing w:val="-10"/>
          <w:sz w:val="22"/>
          <w:szCs w:val="22"/>
        </w:rPr>
        <w:t xml:space="preserve"> </w:t>
      </w:r>
      <w:r>
        <w:rPr>
          <w:rFonts w:ascii="宋体" w:eastAsia="宋体" w:hAnsi="宋体" w:cs="宋体"/>
          <w:spacing w:val="-16"/>
          <w:sz w:val="22"/>
          <w:szCs w:val="22"/>
        </w:rPr>
        <w:t>(</w:t>
      </w:r>
      <w:r>
        <w:rPr>
          <w:rFonts w:ascii="宋体" w:eastAsia="宋体" w:hAnsi="宋体" w:cs="宋体"/>
          <w:spacing w:val="-15"/>
          <w:sz w:val="22"/>
          <w:szCs w:val="22"/>
        </w:rPr>
        <w:t>raffinose</w:t>
      </w:r>
      <w:r>
        <w:rPr>
          <w:rFonts w:ascii="宋体" w:eastAsia="宋体" w:hAnsi="宋体" w:cs="宋体"/>
          <w:spacing w:val="-16"/>
          <w:sz w:val="22"/>
          <w:szCs w:val="22"/>
        </w:rPr>
        <w:t>)</w:t>
      </w:r>
      <w:r>
        <w:rPr>
          <w:rFonts w:ascii="宋体" w:eastAsia="宋体" w:hAnsi="宋体" w:cs="宋体"/>
          <w:spacing w:val="-42"/>
          <w:sz w:val="22"/>
          <w:szCs w:val="22"/>
        </w:rPr>
        <w:t xml:space="preserve"> </w:t>
      </w:r>
      <w:r>
        <w:rPr>
          <w:rFonts w:ascii="宋体" w:eastAsia="宋体" w:hAnsi="宋体" w:cs="宋体"/>
          <w:spacing w:val="-16"/>
          <w:sz w:val="22"/>
          <w:szCs w:val="22"/>
        </w:rPr>
        <w:t>和蔗糖。</w:t>
      </w:r>
      <w:r>
        <w:rPr>
          <w:rFonts w:ascii="宋体" w:eastAsia="宋体" w:hAnsi="宋体" w:cs="宋体"/>
          <w:sz w:val="22"/>
          <w:szCs w:val="22"/>
        </w:rPr>
        <w:t xml:space="preserve"> </w:t>
      </w:r>
      <w:r>
        <w:rPr>
          <w:rFonts w:ascii="宋体" w:eastAsia="宋体" w:hAnsi="宋体" w:cs="宋体"/>
          <w:spacing w:val="-14"/>
          <w:sz w:val="22"/>
          <w:szCs w:val="22"/>
        </w:rPr>
        <w:t>水苏糖和棉籽糖都是由半乳糖、葡萄糖和果糖组成的支链杂低聚糖，是在蔗糖的</w:t>
      </w:r>
      <w:r>
        <w:rPr>
          <w:rFonts w:ascii="宋体" w:eastAsia="宋体" w:hAnsi="宋体" w:cs="宋体"/>
          <w:spacing w:val="7"/>
          <w:sz w:val="22"/>
          <w:szCs w:val="22"/>
        </w:rPr>
        <w:t xml:space="preserve">  </w:t>
      </w:r>
      <w:r>
        <w:rPr>
          <w:rFonts w:ascii="宋体" w:eastAsia="宋体" w:hAnsi="宋体" w:cs="宋体"/>
          <w:spacing w:val="-4"/>
          <w:sz w:val="22"/>
          <w:szCs w:val="22"/>
        </w:rPr>
        <w:t>葡萄糖基一侧以α-1,6糖苷键连接1或2个半乳糖而</w:t>
      </w:r>
      <w:r>
        <w:rPr>
          <w:rFonts w:ascii="宋体" w:eastAsia="宋体" w:hAnsi="宋体" w:cs="宋体"/>
          <w:spacing w:val="-5"/>
          <w:sz w:val="22"/>
          <w:szCs w:val="22"/>
        </w:rPr>
        <w:t>成。其甜味特性接近蔗糖，</w:t>
      </w:r>
      <w:r>
        <w:rPr>
          <w:rFonts w:ascii="宋体" w:eastAsia="宋体" w:hAnsi="宋体" w:cs="宋体"/>
          <w:sz w:val="22"/>
          <w:szCs w:val="22"/>
        </w:rPr>
        <w:t xml:space="preserve"> </w:t>
      </w:r>
      <w:r>
        <w:rPr>
          <w:rFonts w:ascii="宋体" w:eastAsia="宋体" w:hAnsi="宋体" w:cs="宋体"/>
          <w:spacing w:val="2"/>
          <w:sz w:val="22"/>
          <w:szCs w:val="22"/>
        </w:rPr>
        <w:t>甜度约为蔗糖的70%,能量值为蔗糖的1/2。大豆低聚糖广泛存在于各种植物</w:t>
      </w:r>
      <w:r>
        <w:rPr>
          <w:rFonts w:ascii="宋体" w:eastAsia="宋体" w:hAnsi="宋体" w:cs="宋体"/>
          <w:spacing w:val="17"/>
          <w:sz w:val="22"/>
          <w:szCs w:val="22"/>
        </w:rPr>
        <w:t xml:space="preserve"> </w:t>
      </w:r>
      <w:r>
        <w:rPr>
          <w:rFonts w:ascii="宋体" w:eastAsia="宋体" w:hAnsi="宋体" w:cs="宋体"/>
          <w:spacing w:val="-7"/>
          <w:sz w:val="22"/>
          <w:szCs w:val="22"/>
        </w:rPr>
        <w:t>中，以豆科植物含量居多。除大豆外，豇豆、扁豆、豌豆、绿豆和花生中</w:t>
      </w:r>
      <w:r>
        <w:rPr>
          <w:rFonts w:ascii="宋体" w:eastAsia="宋体" w:hAnsi="宋体" w:cs="宋体"/>
          <w:spacing w:val="-8"/>
          <w:sz w:val="22"/>
          <w:szCs w:val="22"/>
        </w:rPr>
        <w:t>均有</w:t>
      </w:r>
      <w:r>
        <w:rPr>
          <w:rFonts w:ascii="宋体" w:eastAsia="宋体" w:hAnsi="宋体" w:cs="宋体"/>
          <w:sz w:val="22"/>
          <w:szCs w:val="22"/>
        </w:rPr>
        <w:t xml:space="preserve"> </w:t>
      </w:r>
      <w:r>
        <w:rPr>
          <w:rFonts w:ascii="宋体" w:eastAsia="宋体" w:hAnsi="宋体" w:cs="宋体"/>
          <w:spacing w:val="-18"/>
          <w:sz w:val="22"/>
          <w:szCs w:val="22"/>
        </w:rPr>
        <w:t>存在。</w:t>
      </w:r>
    </w:p>
    <w:p w:rsidR="00EA40A3" w:rsidRDefault="00E86C16">
      <w:pPr>
        <w:spacing w:before="82" w:line="222" w:lineRule="auto"/>
        <w:rPr>
          <w:rFonts w:ascii="楷体" w:eastAsia="楷体" w:hAnsi="楷体" w:cs="楷体"/>
          <w:sz w:val="22"/>
          <w:szCs w:val="22"/>
        </w:rPr>
      </w:pPr>
      <w:r>
        <w:rPr>
          <w:rFonts w:ascii="楷体" w:eastAsia="楷体" w:hAnsi="楷体" w:cs="楷体"/>
          <w:spacing w:val="-4"/>
          <w:sz w:val="22"/>
          <w:szCs w:val="22"/>
        </w:rPr>
        <w:t>6)其他功能性低聚糖</w:t>
      </w:r>
    </w:p>
    <w:p w:rsidR="00EA40A3" w:rsidRDefault="00E86C16">
      <w:pPr>
        <w:spacing w:before="49" w:line="248" w:lineRule="auto"/>
        <w:ind w:right="61" w:firstLine="440"/>
        <w:jc w:val="both"/>
        <w:rPr>
          <w:rFonts w:ascii="宋体" w:eastAsia="宋体" w:hAnsi="宋体" w:cs="宋体"/>
          <w:sz w:val="22"/>
          <w:szCs w:val="22"/>
        </w:rPr>
      </w:pPr>
      <w:r>
        <w:rPr>
          <w:rFonts w:ascii="宋体" w:eastAsia="宋体" w:hAnsi="宋体" w:cs="宋体"/>
          <w:spacing w:val="-12"/>
          <w:sz w:val="22"/>
          <w:szCs w:val="22"/>
        </w:rPr>
        <w:t>其他功能性低聚糖还有异麦芽酮糖</w:t>
      </w:r>
      <w:r>
        <w:rPr>
          <w:rFonts w:ascii="宋体" w:eastAsia="宋体" w:hAnsi="宋体" w:cs="宋体"/>
          <w:spacing w:val="-10"/>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isomaltulose</w:t>
      </w:r>
      <w:r>
        <w:rPr>
          <w:rFonts w:ascii="宋体" w:eastAsia="宋体" w:hAnsi="宋体" w:cs="宋体"/>
          <w:spacing w:val="-12"/>
          <w:sz w:val="22"/>
          <w:szCs w:val="22"/>
        </w:rPr>
        <w:t>)、</w:t>
      </w:r>
      <w:r>
        <w:rPr>
          <w:rFonts w:ascii="宋体" w:eastAsia="宋体" w:hAnsi="宋体" w:cs="宋体"/>
          <w:spacing w:val="-45"/>
          <w:sz w:val="22"/>
          <w:szCs w:val="22"/>
        </w:rPr>
        <w:t xml:space="preserve"> </w:t>
      </w:r>
      <w:r>
        <w:rPr>
          <w:rFonts w:ascii="宋体" w:eastAsia="宋体" w:hAnsi="宋体" w:cs="宋体"/>
          <w:spacing w:val="-12"/>
          <w:sz w:val="22"/>
          <w:szCs w:val="22"/>
        </w:rPr>
        <w:t>低聚木糖(</w:t>
      </w:r>
      <w:r>
        <w:rPr>
          <w:rFonts w:ascii="宋体" w:eastAsia="宋体" w:hAnsi="宋体" w:cs="宋体"/>
          <w:spacing w:val="-11"/>
          <w:sz w:val="22"/>
          <w:szCs w:val="22"/>
        </w:rPr>
        <w:t>xyloolig</w:t>
      </w:r>
      <w:r>
        <w:rPr>
          <w:rFonts w:ascii="宋体" w:eastAsia="宋体" w:hAnsi="宋体" w:cs="宋体"/>
          <w:spacing w:val="-12"/>
          <w:sz w:val="22"/>
          <w:szCs w:val="22"/>
        </w:rPr>
        <w:t>o-</w:t>
      </w:r>
      <w:r>
        <w:rPr>
          <w:rFonts w:ascii="宋体" w:eastAsia="宋体" w:hAnsi="宋体" w:cs="宋体"/>
          <w:sz w:val="22"/>
          <w:szCs w:val="22"/>
        </w:rPr>
        <w:t xml:space="preserve"> </w:t>
      </w:r>
      <w:r>
        <w:rPr>
          <w:rFonts w:ascii="宋体" w:eastAsia="宋体" w:hAnsi="宋体" w:cs="宋体"/>
          <w:spacing w:val="-12"/>
          <w:sz w:val="22"/>
          <w:szCs w:val="22"/>
        </w:rPr>
        <w:t>saccharide)</w:t>
      </w:r>
      <w:r>
        <w:rPr>
          <w:rFonts w:ascii="宋体" w:eastAsia="宋体" w:hAnsi="宋体" w:cs="宋体"/>
          <w:spacing w:val="-38"/>
          <w:sz w:val="22"/>
          <w:szCs w:val="22"/>
        </w:rPr>
        <w:t xml:space="preserve"> </w:t>
      </w:r>
      <w:r>
        <w:rPr>
          <w:rFonts w:ascii="宋体" w:eastAsia="宋体" w:hAnsi="宋体" w:cs="宋体"/>
          <w:spacing w:val="-12"/>
          <w:sz w:val="22"/>
          <w:szCs w:val="22"/>
        </w:rPr>
        <w:t>等。异麦芽酮糖又称帕拉金糖</w:t>
      </w:r>
      <w:r>
        <w:rPr>
          <w:rFonts w:ascii="宋体" w:eastAsia="宋体" w:hAnsi="宋体" w:cs="宋体"/>
          <w:spacing w:val="-19"/>
          <w:sz w:val="22"/>
          <w:szCs w:val="22"/>
        </w:rPr>
        <w:t xml:space="preserve"> </w:t>
      </w:r>
      <w:r>
        <w:rPr>
          <w:rFonts w:ascii="宋体" w:eastAsia="宋体" w:hAnsi="宋体" w:cs="宋体"/>
          <w:spacing w:val="-12"/>
          <w:sz w:val="22"/>
          <w:szCs w:val="22"/>
        </w:rPr>
        <w:t>(palatinose),化学名6-Oa-D-</w:t>
      </w:r>
      <w:r>
        <w:rPr>
          <w:rFonts w:ascii="宋体" w:eastAsia="宋体" w:hAnsi="宋体" w:cs="宋体"/>
          <w:spacing w:val="-22"/>
          <w:sz w:val="22"/>
          <w:szCs w:val="22"/>
        </w:rPr>
        <w:t xml:space="preserve"> </w:t>
      </w:r>
      <w:r>
        <w:rPr>
          <w:rFonts w:ascii="宋体" w:eastAsia="宋体" w:hAnsi="宋体" w:cs="宋体"/>
          <w:spacing w:val="-12"/>
          <w:sz w:val="22"/>
          <w:szCs w:val="22"/>
        </w:rPr>
        <w:t>吡喃葡</w:t>
      </w:r>
      <w:r>
        <w:rPr>
          <w:rFonts w:ascii="宋体" w:eastAsia="宋体" w:hAnsi="宋体" w:cs="宋体"/>
          <w:sz w:val="22"/>
          <w:szCs w:val="22"/>
        </w:rPr>
        <w:t xml:space="preserve"> </w:t>
      </w:r>
      <w:r>
        <w:rPr>
          <w:rFonts w:ascii="宋体" w:eastAsia="宋体" w:hAnsi="宋体" w:cs="宋体"/>
          <w:spacing w:val="-6"/>
          <w:sz w:val="22"/>
          <w:szCs w:val="22"/>
        </w:rPr>
        <w:t>糖基-D-果糖，与蔗碳水化合物似的甜味特性，</w:t>
      </w:r>
      <w:r>
        <w:rPr>
          <w:rFonts w:ascii="宋体" w:eastAsia="宋体" w:hAnsi="宋体" w:cs="宋体"/>
          <w:spacing w:val="-7"/>
          <w:sz w:val="22"/>
          <w:szCs w:val="22"/>
        </w:rPr>
        <w:t>甜度是蔗糖的42%。大多数的细</w:t>
      </w:r>
      <w:r>
        <w:rPr>
          <w:rFonts w:ascii="宋体" w:eastAsia="宋体" w:hAnsi="宋体" w:cs="宋体"/>
          <w:sz w:val="22"/>
          <w:szCs w:val="22"/>
        </w:rPr>
        <w:t xml:space="preserve"> </w:t>
      </w:r>
      <w:r>
        <w:rPr>
          <w:rFonts w:ascii="宋体" w:eastAsia="宋体" w:hAnsi="宋体" w:cs="宋体"/>
          <w:spacing w:val="-13"/>
          <w:sz w:val="22"/>
          <w:szCs w:val="22"/>
        </w:rPr>
        <w:t>菌和酵母菌不能发酵利用异麦芽酮糖，因而它具有特殊的生理活</w:t>
      </w:r>
      <w:r>
        <w:rPr>
          <w:rFonts w:ascii="宋体" w:eastAsia="宋体" w:hAnsi="宋体" w:cs="宋体"/>
          <w:spacing w:val="-14"/>
          <w:sz w:val="22"/>
          <w:szCs w:val="22"/>
        </w:rPr>
        <w:t>性及很低的致龋</w:t>
      </w:r>
      <w:r>
        <w:rPr>
          <w:rFonts w:ascii="宋体" w:eastAsia="宋体" w:hAnsi="宋体" w:cs="宋体"/>
          <w:sz w:val="22"/>
          <w:szCs w:val="22"/>
        </w:rPr>
        <w:t xml:space="preserve"> </w:t>
      </w:r>
      <w:r>
        <w:rPr>
          <w:rFonts w:ascii="宋体" w:eastAsia="宋体" w:hAnsi="宋体" w:cs="宋体"/>
          <w:spacing w:val="-4"/>
          <w:sz w:val="22"/>
          <w:szCs w:val="22"/>
        </w:rPr>
        <w:t>齿性。低聚木糖是由2～7个木糖以β1,4糖苷键结合而成的低聚糖。工业上一</w:t>
      </w:r>
      <w:r>
        <w:rPr>
          <w:rFonts w:ascii="宋体" w:eastAsia="宋体" w:hAnsi="宋体" w:cs="宋体"/>
          <w:spacing w:val="14"/>
          <w:sz w:val="22"/>
          <w:szCs w:val="22"/>
        </w:rPr>
        <w:t xml:space="preserve"> </w:t>
      </w:r>
      <w:r>
        <w:rPr>
          <w:rFonts w:ascii="宋体" w:eastAsia="宋体" w:hAnsi="宋体" w:cs="宋体"/>
          <w:spacing w:val="-13"/>
          <w:sz w:val="22"/>
          <w:szCs w:val="22"/>
        </w:rPr>
        <w:t>般以富含木聚糖的玉米芯、蔗渣、棉籽壳和麸皮等为原料，通过木聚糖酶水解分</w:t>
      </w:r>
      <w:r>
        <w:rPr>
          <w:rFonts w:ascii="宋体" w:eastAsia="宋体" w:hAnsi="宋体" w:cs="宋体"/>
          <w:spacing w:val="12"/>
          <w:sz w:val="22"/>
          <w:szCs w:val="22"/>
        </w:rPr>
        <w:t xml:space="preserve"> </w:t>
      </w:r>
      <w:r>
        <w:rPr>
          <w:rFonts w:ascii="宋体" w:eastAsia="宋体" w:hAnsi="宋体" w:cs="宋体"/>
          <w:spacing w:val="-1"/>
          <w:sz w:val="22"/>
          <w:szCs w:val="22"/>
        </w:rPr>
        <w:t>离精制而得。其甜度约为蔗糖的40%,耐热、耐酸，在人体内难以消</w:t>
      </w:r>
      <w:r>
        <w:rPr>
          <w:rFonts w:ascii="宋体" w:eastAsia="宋体" w:hAnsi="宋体" w:cs="宋体"/>
          <w:spacing w:val="-2"/>
          <w:sz w:val="22"/>
          <w:szCs w:val="22"/>
        </w:rPr>
        <w:t>化，具有</w:t>
      </w:r>
      <w:r>
        <w:rPr>
          <w:rFonts w:ascii="宋体" w:eastAsia="宋体" w:hAnsi="宋体" w:cs="宋体"/>
          <w:sz w:val="22"/>
          <w:szCs w:val="22"/>
        </w:rPr>
        <w:t xml:space="preserve"> </w:t>
      </w:r>
      <w:r>
        <w:rPr>
          <w:rFonts w:ascii="宋体" w:eastAsia="宋体" w:hAnsi="宋体" w:cs="宋体"/>
          <w:spacing w:val="-17"/>
          <w:sz w:val="22"/>
          <w:szCs w:val="22"/>
        </w:rPr>
        <w:t>极好的双歧杆菌增殖活性。</w:t>
      </w:r>
    </w:p>
    <w:p w:rsidR="00EA40A3" w:rsidRDefault="00E86C16">
      <w:pPr>
        <w:spacing w:before="204" w:line="222" w:lineRule="auto"/>
        <w:ind w:left="3"/>
        <w:outlineLvl w:val="6"/>
        <w:rPr>
          <w:rFonts w:ascii="黑体" w:eastAsia="黑体" w:hAnsi="黑体" w:cs="黑体"/>
          <w:sz w:val="25"/>
          <w:szCs w:val="25"/>
        </w:rPr>
      </w:pPr>
      <w:r>
        <w:rPr>
          <w:rFonts w:ascii="黑体" w:eastAsia="黑体" w:hAnsi="黑体" w:cs="黑体"/>
          <w:b/>
          <w:bCs/>
          <w:spacing w:val="-12"/>
          <w:sz w:val="25"/>
          <w:szCs w:val="25"/>
        </w:rPr>
        <w:t>3.2.4</w:t>
      </w:r>
      <w:r>
        <w:rPr>
          <w:rFonts w:ascii="黑体" w:eastAsia="黑体" w:hAnsi="黑体" w:cs="黑体"/>
          <w:spacing w:val="17"/>
          <w:sz w:val="25"/>
          <w:szCs w:val="25"/>
        </w:rPr>
        <w:t xml:space="preserve">  </w:t>
      </w:r>
      <w:r>
        <w:rPr>
          <w:rFonts w:ascii="黑体" w:eastAsia="黑体" w:hAnsi="黑体" w:cs="黑体"/>
          <w:b/>
          <w:bCs/>
          <w:spacing w:val="-12"/>
          <w:sz w:val="25"/>
          <w:szCs w:val="25"/>
        </w:rPr>
        <w:t>功能性多糖</w:t>
      </w:r>
    </w:p>
    <w:p w:rsidR="00EA40A3" w:rsidRDefault="00E86C16">
      <w:pPr>
        <w:spacing w:before="198"/>
        <w:ind w:right="79" w:firstLine="440"/>
        <w:jc w:val="both"/>
        <w:rPr>
          <w:rFonts w:ascii="宋体" w:eastAsia="宋体" w:hAnsi="宋体" w:cs="宋体"/>
          <w:sz w:val="22"/>
          <w:szCs w:val="22"/>
        </w:rPr>
      </w:pPr>
      <w:r>
        <w:rPr>
          <w:rFonts w:ascii="宋体" w:eastAsia="宋体" w:hAnsi="宋体" w:cs="宋体"/>
          <w:spacing w:val="-16"/>
          <w:sz w:val="22"/>
          <w:szCs w:val="22"/>
        </w:rPr>
        <w:t>功能性多糖</w:t>
      </w:r>
      <w:r>
        <w:rPr>
          <w:rFonts w:ascii="宋体" w:eastAsia="宋体" w:hAnsi="宋体" w:cs="宋体"/>
          <w:spacing w:val="-3"/>
          <w:sz w:val="22"/>
          <w:szCs w:val="22"/>
        </w:rPr>
        <w:t xml:space="preserve"> </w:t>
      </w:r>
      <w:r>
        <w:rPr>
          <w:rFonts w:ascii="宋体" w:eastAsia="宋体" w:hAnsi="宋体" w:cs="宋体"/>
          <w:spacing w:val="-16"/>
          <w:sz w:val="22"/>
          <w:szCs w:val="22"/>
        </w:rPr>
        <w:t>(functional</w:t>
      </w:r>
      <w:r>
        <w:rPr>
          <w:rFonts w:ascii="宋体" w:eastAsia="宋体" w:hAnsi="宋体" w:cs="宋体"/>
          <w:spacing w:val="-12"/>
          <w:sz w:val="22"/>
          <w:szCs w:val="22"/>
        </w:rPr>
        <w:t xml:space="preserve"> </w:t>
      </w:r>
      <w:r>
        <w:rPr>
          <w:rFonts w:ascii="宋体" w:eastAsia="宋体" w:hAnsi="宋体" w:cs="宋体"/>
          <w:spacing w:val="-16"/>
          <w:sz w:val="22"/>
          <w:szCs w:val="22"/>
        </w:rPr>
        <w:t>polysaccharide)</w:t>
      </w:r>
      <w:r>
        <w:rPr>
          <w:rFonts w:ascii="宋体" w:eastAsia="宋体" w:hAnsi="宋体" w:cs="宋体"/>
          <w:spacing w:val="-41"/>
          <w:sz w:val="22"/>
          <w:szCs w:val="22"/>
        </w:rPr>
        <w:t xml:space="preserve"> </w:t>
      </w:r>
      <w:r>
        <w:rPr>
          <w:rFonts w:ascii="宋体" w:eastAsia="宋体" w:hAnsi="宋体" w:cs="宋体"/>
          <w:spacing w:val="-16"/>
          <w:sz w:val="22"/>
          <w:szCs w:val="22"/>
        </w:rPr>
        <w:t>也称活性多糖，指具有调节人体生</w:t>
      </w:r>
      <w:r>
        <w:rPr>
          <w:rFonts w:ascii="宋体" w:eastAsia="宋体" w:hAnsi="宋体" w:cs="宋体"/>
          <w:sz w:val="22"/>
          <w:szCs w:val="22"/>
        </w:rPr>
        <w:t xml:space="preserve"> </w:t>
      </w:r>
      <w:r>
        <w:rPr>
          <w:rFonts w:ascii="宋体" w:eastAsia="宋体" w:hAnsi="宋体" w:cs="宋体"/>
          <w:spacing w:val="-7"/>
          <w:sz w:val="22"/>
          <w:szCs w:val="22"/>
        </w:rPr>
        <w:t>理功能的非淀粉多糖。功能性多糖有纯多糖、杂多糖之分。纯多糖一般为由10</w:t>
      </w:r>
      <w:r>
        <w:rPr>
          <w:rFonts w:ascii="宋体" w:eastAsia="宋体" w:hAnsi="宋体" w:cs="宋体"/>
          <w:spacing w:val="4"/>
          <w:sz w:val="22"/>
          <w:szCs w:val="22"/>
        </w:rPr>
        <w:t xml:space="preserve"> </w:t>
      </w:r>
      <w:r>
        <w:rPr>
          <w:rFonts w:ascii="宋体" w:eastAsia="宋体" w:hAnsi="宋体" w:cs="宋体"/>
          <w:spacing w:val="-13"/>
          <w:sz w:val="22"/>
          <w:szCs w:val="22"/>
        </w:rPr>
        <w:t>个以上单糖通过糖苷键连接起来的纯多糖链；杂多糖也称复合多糖</w:t>
      </w:r>
      <w:r>
        <w:rPr>
          <w:rFonts w:ascii="宋体" w:eastAsia="宋体" w:hAnsi="宋体" w:cs="宋体"/>
          <w:spacing w:val="-14"/>
          <w:sz w:val="22"/>
          <w:szCs w:val="22"/>
        </w:rPr>
        <w:t>，除含多糖链</w:t>
      </w:r>
      <w:r>
        <w:rPr>
          <w:rFonts w:ascii="宋体" w:eastAsia="宋体" w:hAnsi="宋体" w:cs="宋体"/>
          <w:sz w:val="22"/>
          <w:szCs w:val="22"/>
        </w:rPr>
        <w:t xml:space="preserve"> </w:t>
      </w:r>
      <w:r>
        <w:rPr>
          <w:rFonts w:ascii="宋体" w:eastAsia="宋体" w:hAnsi="宋体" w:cs="宋体"/>
          <w:spacing w:val="-13"/>
          <w:sz w:val="22"/>
          <w:szCs w:val="22"/>
        </w:rPr>
        <w:t>外往往还含有肽链、脂类等成分。各种研究表明，功能性多糖</w:t>
      </w:r>
      <w:r>
        <w:rPr>
          <w:rFonts w:ascii="宋体" w:eastAsia="宋体" w:hAnsi="宋体" w:cs="宋体"/>
          <w:spacing w:val="-14"/>
          <w:sz w:val="22"/>
          <w:szCs w:val="22"/>
        </w:rPr>
        <w:t>具有多方面的生理</w:t>
      </w:r>
      <w:r>
        <w:rPr>
          <w:rFonts w:ascii="宋体" w:eastAsia="宋体" w:hAnsi="宋体" w:cs="宋体"/>
          <w:sz w:val="22"/>
          <w:szCs w:val="22"/>
        </w:rPr>
        <w:t xml:space="preserve"> </w:t>
      </w:r>
      <w:r>
        <w:rPr>
          <w:rFonts w:ascii="宋体" w:eastAsia="宋体" w:hAnsi="宋体" w:cs="宋体"/>
          <w:spacing w:val="-18"/>
          <w:sz w:val="22"/>
          <w:szCs w:val="22"/>
        </w:rPr>
        <w:t>功能。</w:t>
      </w:r>
    </w:p>
    <w:p w:rsidR="00EA40A3" w:rsidRDefault="00E86C16">
      <w:pPr>
        <w:spacing w:before="252" w:line="220"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4"/>
          <w:sz w:val="22"/>
          <w:szCs w:val="22"/>
        </w:rPr>
        <w:t xml:space="preserve"> </w:t>
      </w:r>
      <w:r>
        <w:rPr>
          <w:rFonts w:ascii="仿宋" w:eastAsia="仿宋" w:hAnsi="仿宋" w:cs="仿宋"/>
          <w:spacing w:val="11"/>
          <w:sz w:val="22"/>
          <w:szCs w:val="22"/>
        </w:rPr>
        <w:t>功能性多糖的生理功能</w:t>
      </w:r>
    </w:p>
    <w:p w:rsidR="00EA40A3" w:rsidRDefault="00E86C16">
      <w:pPr>
        <w:spacing w:before="202" w:line="236" w:lineRule="auto"/>
        <w:ind w:right="81" w:firstLine="440"/>
        <w:rPr>
          <w:rFonts w:ascii="宋体" w:eastAsia="宋体" w:hAnsi="宋体" w:cs="宋体"/>
          <w:sz w:val="22"/>
          <w:szCs w:val="22"/>
        </w:rPr>
      </w:pPr>
      <w:r>
        <w:rPr>
          <w:rFonts w:ascii="宋体" w:eastAsia="宋体" w:hAnsi="宋体" w:cs="宋体"/>
          <w:spacing w:val="-14"/>
          <w:sz w:val="22"/>
          <w:szCs w:val="22"/>
        </w:rPr>
        <w:t>不同的活性多糖可能具有不同的生理功能，或者在同一种生理功能调控方面</w:t>
      </w:r>
      <w:r>
        <w:rPr>
          <w:rFonts w:ascii="宋体" w:eastAsia="宋体" w:hAnsi="宋体" w:cs="宋体"/>
          <w:sz w:val="22"/>
          <w:szCs w:val="22"/>
        </w:rPr>
        <w:t xml:space="preserve"> </w:t>
      </w:r>
      <w:r>
        <w:rPr>
          <w:rFonts w:ascii="宋体" w:eastAsia="宋体" w:hAnsi="宋体" w:cs="宋体"/>
          <w:spacing w:val="-13"/>
          <w:sz w:val="22"/>
          <w:szCs w:val="22"/>
        </w:rPr>
        <w:t>表现的生物活性不同。目前，对活性多糖所发现</w:t>
      </w:r>
      <w:r>
        <w:rPr>
          <w:rFonts w:ascii="宋体" w:eastAsia="宋体" w:hAnsi="宋体" w:cs="宋体"/>
          <w:spacing w:val="-14"/>
          <w:sz w:val="22"/>
          <w:szCs w:val="22"/>
        </w:rPr>
        <w:t>的功能主要有以下方面。</w:t>
      </w:r>
    </w:p>
    <w:p w:rsidR="00EA40A3" w:rsidRDefault="00E86C16">
      <w:pPr>
        <w:spacing w:before="32" w:line="223" w:lineRule="auto"/>
        <w:rPr>
          <w:rFonts w:ascii="楷体" w:eastAsia="楷体" w:hAnsi="楷体" w:cs="楷体"/>
          <w:sz w:val="22"/>
          <w:szCs w:val="22"/>
        </w:rPr>
      </w:pPr>
      <w:r>
        <w:rPr>
          <w:rFonts w:ascii="楷体" w:eastAsia="楷体" w:hAnsi="楷体" w:cs="楷体"/>
          <w:spacing w:val="-6"/>
          <w:sz w:val="22"/>
          <w:szCs w:val="22"/>
        </w:rPr>
        <w:t>1)免疫调节作用</w:t>
      </w:r>
    </w:p>
    <w:p w:rsidR="00EA40A3" w:rsidRDefault="00E86C16">
      <w:pPr>
        <w:spacing w:before="56" w:line="245" w:lineRule="auto"/>
        <w:ind w:right="51" w:firstLine="440"/>
        <w:rPr>
          <w:rFonts w:ascii="宋体" w:eastAsia="宋体" w:hAnsi="宋体" w:cs="宋体"/>
          <w:sz w:val="22"/>
          <w:szCs w:val="22"/>
        </w:rPr>
      </w:pPr>
      <w:r>
        <w:rPr>
          <w:rFonts w:ascii="宋体" w:eastAsia="宋体" w:hAnsi="宋体" w:cs="宋体"/>
          <w:spacing w:val="-13"/>
          <w:sz w:val="22"/>
          <w:szCs w:val="22"/>
        </w:rPr>
        <w:t>多糖最为突出而普遍的功能就是其对机体免疫功能的加强。多糖主要</w:t>
      </w:r>
      <w:r>
        <w:rPr>
          <w:rFonts w:ascii="宋体" w:eastAsia="宋体" w:hAnsi="宋体" w:cs="宋体"/>
          <w:spacing w:val="-14"/>
          <w:sz w:val="22"/>
          <w:szCs w:val="22"/>
        </w:rPr>
        <w:t>通过以</w:t>
      </w:r>
      <w:r>
        <w:rPr>
          <w:rFonts w:ascii="宋体" w:eastAsia="宋体" w:hAnsi="宋体" w:cs="宋体"/>
          <w:sz w:val="22"/>
          <w:szCs w:val="22"/>
        </w:rPr>
        <w:t xml:space="preserve"> </w:t>
      </w:r>
      <w:r>
        <w:rPr>
          <w:rFonts w:ascii="宋体" w:eastAsia="宋体" w:hAnsi="宋体" w:cs="宋体"/>
          <w:spacing w:val="-13"/>
          <w:sz w:val="22"/>
          <w:szCs w:val="22"/>
        </w:rPr>
        <w:t>下一条或几条途径而发挥促进免疫功能：①提高巨噬细胞的吞噬能力，诱导白细</w:t>
      </w:r>
      <w:r>
        <w:rPr>
          <w:rFonts w:ascii="宋体" w:eastAsia="宋体" w:hAnsi="宋体" w:cs="宋体"/>
          <w:spacing w:val="16"/>
          <w:sz w:val="22"/>
          <w:szCs w:val="22"/>
        </w:rPr>
        <w:t xml:space="preserve"> </w:t>
      </w:r>
      <w:r>
        <w:rPr>
          <w:rFonts w:ascii="宋体" w:eastAsia="宋体" w:hAnsi="宋体" w:cs="宋体"/>
          <w:spacing w:val="-8"/>
          <w:sz w:val="22"/>
          <w:szCs w:val="22"/>
        </w:rPr>
        <w:t>胞介素1</w:t>
      </w:r>
      <w:r>
        <w:rPr>
          <w:rFonts w:ascii="宋体" w:eastAsia="宋体" w:hAnsi="宋体" w:cs="宋体"/>
          <w:spacing w:val="-12"/>
          <w:sz w:val="22"/>
          <w:szCs w:val="22"/>
        </w:rPr>
        <w:t xml:space="preserve"> </w:t>
      </w:r>
      <w:r>
        <w:rPr>
          <w:rFonts w:ascii="宋体" w:eastAsia="宋体" w:hAnsi="宋体" w:cs="宋体"/>
          <w:spacing w:val="-8"/>
          <w:sz w:val="22"/>
          <w:szCs w:val="22"/>
        </w:rPr>
        <w:t>(II-1)</w:t>
      </w:r>
      <w:r>
        <w:rPr>
          <w:rFonts w:ascii="宋体" w:eastAsia="宋体" w:hAnsi="宋体" w:cs="宋体"/>
          <w:spacing w:val="-33"/>
          <w:sz w:val="22"/>
          <w:szCs w:val="22"/>
        </w:rPr>
        <w:t xml:space="preserve"> </w:t>
      </w:r>
      <w:r>
        <w:rPr>
          <w:rFonts w:ascii="宋体" w:eastAsia="宋体" w:hAnsi="宋体" w:cs="宋体"/>
          <w:spacing w:val="-8"/>
          <w:sz w:val="22"/>
          <w:szCs w:val="22"/>
        </w:rPr>
        <w:t>和肿瘤坏死因子</w:t>
      </w:r>
      <w:r>
        <w:rPr>
          <w:rFonts w:ascii="宋体" w:eastAsia="宋体" w:hAnsi="宋体" w:cs="宋体"/>
          <w:spacing w:val="-30"/>
          <w:sz w:val="22"/>
          <w:szCs w:val="22"/>
        </w:rPr>
        <w:t xml:space="preserve"> </w:t>
      </w:r>
      <w:r>
        <w:rPr>
          <w:rFonts w:ascii="宋体" w:eastAsia="宋体" w:hAnsi="宋体" w:cs="宋体"/>
          <w:spacing w:val="-8"/>
          <w:sz w:val="22"/>
          <w:szCs w:val="22"/>
        </w:rPr>
        <w:t>(TNF)</w:t>
      </w:r>
      <w:r>
        <w:rPr>
          <w:rFonts w:ascii="宋体" w:eastAsia="宋体" w:hAnsi="宋体" w:cs="宋体"/>
          <w:spacing w:val="19"/>
          <w:sz w:val="22"/>
          <w:szCs w:val="22"/>
        </w:rPr>
        <w:t xml:space="preserve">  </w:t>
      </w:r>
      <w:r>
        <w:rPr>
          <w:rFonts w:ascii="宋体" w:eastAsia="宋体" w:hAnsi="宋体" w:cs="宋体"/>
          <w:spacing w:val="-8"/>
          <w:sz w:val="22"/>
          <w:szCs w:val="22"/>
        </w:rPr>
        <w:t>的生成，具有这种免疫促进功能的多</w:t>
      </w:r>
      <w:r>
        <w:rPr>
          <w:rFonts w:ascii="宋体" w:eastAsia="宋体" w:hAnsi="宋体" w:cs="宋体"/>
          <w:sz w:val="22"/>
          <w:szCs w:val="22"/>
        </w:rPr>
        <w:t xml:space="preserve"> </w:t>
      </w:r>
      <w:r>
        <w:rPr>
          <w:rFonts w:ascii="宋体" w:eastAsia="宋体" w:hAnsi="宋体" w:cs="宋体"/>
          <w:spacing w:val="-7"/>
          <w:sz w:val="22"/>
          <w:szCs w:val="22"/>
        </w:rPr>
        <w:t>糖有香菇多糖、黑柄炭角多糖、裂祠菌多糖、细菌脂多糖、牛膝多糖、商陆多</w:t>
      </w:r>
      <w:r>
        <w:rPr>
          <w:rFonts w:ascii="宋体" w:eastAsia="宋体" w:hAnsi="宋体" w:cs="宋体"/>
          <w:spacing w:val="7"/>
          <w:sz w:val="22"/>
          <w:szCs w:val="22"/>
        </w:rPr>
        <w:t xml:space="preserve"> </w:t>
      </w:r>
      <w:r>
        <w:rPr>
          <w:rFonts w:ascii="宋体" w:eastAsia="宋体" w:hAnsi="宋体" w:cs="宋体"/>
          <w:spacing w:val="2"/>
          <w:sz w:val="22"/>
          <w:szCs w:val="22"/>
        </w:rPr>
        <w:t>糖、树舌多糖、海藻多糖等；②促进</w:t>
      </w:r>
      <w:r>
        <w:rPr>
          <w:rFonts w:ascii="宋体" w:eastAsia="宋体" w:hAnsi="宋体" w:cs="宋体"/>
          <w:spacing w:val="-59"/>
          <w:sz w:val="22"/>
          <w:szCs w:val="22"/>
        </w:rPr>
        <w:t xml:space="preserve"> </w:t>
      </w:r>
      <w:r>
        <w:rPr>
          <w:rFonts w:ascii="宋体" w:eastAsia="宋体" w:hAnsi="宋体" w:cs="宋体"/>
          <w:spacing w:val="2"/>
          <w:sz w:val="22"/>
          <w:szCs w:val="22"/>
        </w:rPr>
        <w:t>T</w:t>
      </w:r>
      <w:r>
        <w:rPr>
          <w:rFonts w:ascii="宋体" w:eastAsia="宋体" w:hAnsi="宋体" w:cs="宋体"/>
          <w:spacing w:val="5"/>
          <w:sz w:val="22"/>
          <w:szCs w:val="22"/>
        </w:rPr>
        <w:t xml:space="preserve"> </w:t>
      </w:r>
      <w:r>
        <w:rPr>
          <w:rFonts w:ascii="宋体" w:eastAsia="宋体" w:hAnsi="宋体" w:cs="宋体"/>
          <w:spacing w:val="2"/>
          <w:sz w:val="22"/>
          <w:szCs w:val="22"/>
        </w:rPr>
        <w:t>细胞增殖，诱</w:t>
      </w:r>
      <w:r>
        <w:rPr>
          <w:rFonts w:ascii="宋体" w:eastAsia="宋体" w:hAnsi="宋体" w:cs="宋体"/>
          <w:spacing w:val="1"/>
          <w:sz w:val="22"/>
          <w:szCs w:val="22"/>
        </w:rPr>
        <w:t>导其分泌白细胞介素2</w:t>
      </w:r>
    </w:p>
    <w:p w:rsidR="00EA40A3" w:rsidRDefault="00E86C16">
      <w:pPr>
        <w:spacing w:before="120"/>
        <w:ind w:right="55"/>
        <w:jc w:val="right"/>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6"/>
          <w:sz w:val="18"/>
          <w:szCs w:val="18"/>
        </w:rPr>
        <w:t xml:space="preserve"> </w:t>
      </w:r>
      <w:r>
        <w:rPr>
          <w:rFonts w:ascii="宋体" w:eastAsia="宋体" w:hAnsi="宋体" w:cs="宋体"/>
          <w:spacing w:val="-31"/>
          <w:sz w:val="18"/>
          <w:szCs w:val="18"/>
        </w:rPr>
        <w:t>51</w:t>
      </w:r>
      <w:r>
        <w:rPr>
          <w:rFonts w:ascii="宋体" w:eastAsia="宋体" w:hAnsi="宋体" w:cs="宋体"/>
          <w:spacing w:val="43"/>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1020" w:bottom="400" w:left="879" w:header="0" w:footer="0" w:gutter="0"/>
          <w:cols w:space="720"/>
        </w:sectPr>
      </w:pPr>
    </w:p>
    <w:p w:rsidR="00EA40A3" w:rsidRDefault="00EA40A3">
      <w:pPr>
        <w:spacing w:line="282" w:lineRule="auto"/>
      </w:pPr>
    </w:p>
    <w:p w:rsidR="00EA40A3" w:rsidRDefault="00EA40A3">
      <w:pPr>
        <w:spacing w:line="282" w:lineRule="auto"/>
      </w:pPr>
    </w:p>
    <w:p w:rsidR="00EA40A3" w:rsidRDefault="00E86C16">
      <w:pPr>
        <w:spacing w:before="68" w:line="259" w:lineRule="auto"/>
        <w:jc w:val="both"/>
        <w:rPr>
          <w:rFonts w:ascii="宋体" w:eastAsia="宋体" w:hAnsi="宋体" w:cs="宋体"/>
        </w:rPr>
      </w:pPr>
      <w:r>
        <w:rPr>
          <w:rFonts w:ascii="宋体" w:eastAsia="宋体" w:hAnsi="宋体" w:cs="宋体"/>
          <w:spacing w:val="1"/>
        </w:rPr>
        <w:t>(ⅡL-2),</w:t>
      </w:r>
      <w:r>
        <w:rPr>
          <w:rFonts w:ascii="宋体" w:eastAsia="宋体" w:hAnsi="宋体" w:cs="宋体"/>
          <w:spacing w:val="-44"/>
        </w:rPr>
        <w:t xml:space="preserve"> </w:t>
      </w:r>
      <w:r>
        <w:rPr>
          <w:rFonts w:ascii="宋体" w:eastAsia="宋体" w:hAnsi="宋体" w:cs="宋体"/>
          <w:spacing w:val="1"/>
        </w:rPr>
        <w:t>具有这类免疫促进功能的多糖有中华猕猴桃多糖、猪苓多糖、人参多</w:t>
      </w:r>
      <w:r>
        <w:rPr>
          <w:rFonts w:ascii="宋体" w:eastAsia="宋体" w:hAnsi="宋体" w:cs="宋体"/>
        </w:rPr>
        <w:t xml:space="preserve">  </w:t>
      </w:r>
      <w:r>
        <w:rPr>
          <w:rFonts w:ascii="宋体" w:eastAsia="宋体" w:hAnsi="宋体" w:cs="宋体"/>
          <w:spacing w:val="-3"/>
        </w:rPr>
        <w:t>糖、刺五加多糖、枸杞子多糖、芸芝多糖、香菇多糖</w:t>
      </w:r>
      <w:r>
        <w:rPr>
          <w:rFonts w:ascii="宋体" w:eastAsia="宋体" w:hAnsi="宋体" w:cs="宋体"/>
          <w:spacing w:val="-4"/>
        </w:rPr>
        <w:t>、灵芝多糖、银耳多糖、商</w:t>
      </w:r>
      <w:r>
        <w:rPr>
          <w:rFonts w:ascii="宋体" w:eastAsia="宋体" w:hAnsi="宋体" w:cs="宋体"/>
        </w:rPr>
        <w:t xml:space="preserve">  </w:t>
      </w:r>
      <w:r>
        <w:rPr>
          <w:rFonts w:ascii="宋体" w:eastAsia="宋体" w:hAnsi="宋体" w:cs="宋体"/>
          <w:spacing w:val="-1"/>
        </w:rPr>
        <w:t>陆多糖I、黄芪多糖等；③促进淋巴因子激活的</w:t>
      </w:r>
      <w:r>
        <w:rPr>
          <w:rFonts w:ascii="宋体" w:eastAsia="宋体" w:hAnsi="宋体" w:cs="宋体"/>
          <w:spacing w:val="-2"/>
        </w:rPr>
        <w:t>杀伤细胞</w:t>
      </w:r>
      <w:r>
        <w:rPr>
          <w:rFonts w:ascii="宋体" w:eastAsia="宋体" w:hAnsi="宋体" w:cs="宋体"/>
          <w:spacing w:val="-8"/>
        </w:rPr>
        <w:t xml:space="preserve"> </w:t>
      </w:r>
      <w:r>
        <w:rPr>
          <w:rFonts w:ascii="宋体" w:eastAsia="宋体" w:hAnsi="宋体" w:cs="宋体"/>
          <w:spacing w:val="-2"/>
        </w:rPr>
        <w:t>(</w:t>
      </w:r>
      <w:r>
        <w:rPr>
          <w:rFonts w:ascii="宋体" w:eastAsia="宋体" w:hAnsi="宋体" w:cs="宋体"/>
          <w:spacing w:val="-1"/>
        </w:rPr>
        <w:t>LAK</w:t>
      </w:r>
      <w:r>
        <w:rPr>
          <w:rFonts w:ascii="宋体" w:eastAsia="宋体" w:hAnsi="宋体" w:cs="宋体"/>
          <w:spacing w:val="-2"/>
        </w:rPr>
        <w:t>)</w:t>
      </w:r>
      <w:r>
        <w:rPr>
          <w:rFonts w:ascii="宋体" w:eastAsia="宋体" w:hAnsi="宋体" w:cs="宋体"/>
          <w:spacing w:val="35"/>
        </w:rPr>
        <w:t xml:space="preserve">  </w:t>
      </w:r>
      <w:r>
        <w:rPr>
          <w:rFonts w:ascii="宋体" w:eastAsia="宋体" w:hAnsi="宋体" w:cs="宋体"/>
          <w:spacing w:val="-2"/>
        </w:rPr>
        <w:t>活性，这类多</w:t>
      </w:r>
      <w:r>
        <w:rPr>
          <w:rFonts w:ascii="宋体" w:eastAsia="宋体" w:hAnsi="宋体" w:cs="宋体"/>
        </w:rPr>
        <w:t xml:space="preserve"> </w:t>
      </w:r>
      <w:r>
        <w:rPr>
          <w:rFonts w:ascii="宋体" w:eastAsia="宋体" w:hAnsi="宋体" w:cs="宋体"/>
          <w:spacing w:val="5"/>
        </w:rPr>
        <w:t>糖有枸杞子多糖、黄芪多糖、刺五加多糖、鼠伤寒菌内毒素多糖等；</w:t>
      </w:r>
      <w:r>
        <w:rPr>
          <w:rFonts w:ascii="宋体" w:eastAsia="宋体" w:hAnsi="宋体" w:cs="宋体"/>
          <w:spacing w:val="4"/>
        </w:rPr>
        <w:t>④提高B</w:t>
      </w:r>
      <w:r>
        <w:rPr>
          <w:rFonts w:ascii="宋体" w:eastAsia="宋体" w:hAnsi="宋体" w:cs="宋体"/>
        </w:rPr>
        <w:t xml:space="preserve">  </w:t>
      </w:r>
      <w:r>
        <w:rPr>
          <w:rFonts w:ascii="宋体" w:eastAsia="宋体" w:hAnsi="宋体" w:cs="宋体"/>
          <w:spacing w:val="-3"/>
        </w:rPr>
        <w:t>细胞活性，增加多种抗体的分泌，加强机体的体液免疫功能，这类多糖有银耳多</w:t>
      </w:r>
      <w:r>
        <w:rPr>
          <w:rFonts w:ascii="宋体" w:eastAsia="宋体" w:hAnsi="宋体" w:cs="宋体"/>
          <w:spacing w:val="6"/>
        </w:rPr>
        <w:t xml:space="preserve">  </w:t>
      </w:r>
      <w:r>
        <w:rPr>
          <w:rFonts w:ascii="宋体" w:eastAsia="宋体" w:hAnsi="宋体" w:cs="宋体"/>
          <w:spacing w:val="-3"/>
        </w:rPr>
        <w:t>糖、香菇多糖、褐藻多糖、苜蓿多糖等；⑤通过不同途径激活补体系统，有些多</w:t>
      </w:r>
      <w:r>
        <w:rPr>
          <w:rFonts w:ascii="宋体" w:eastAsia="宋体" w:hAnsi="宋体" w:cs="宋体"/>
          <w:spacing w:val="6"/>
        </w:rPr>
        <w:t xml:space="preserve">  </w:t>
      </w:r>
      <w:r>
        <w:rPr>
          <w:rFonts w:ascii="宋体" w:eastAsia="宋体" w:hAnsi="宋体" w:cs="宋体"/>
        </w:rPr>
        <w:t>糖是通过替代通路激活补体的，有些则是通过经典途径，这类多糖</w:t>
      </w:r>
      <w:r>
        <w:rPr>
          <w:rFonts w:ascii="宋体" w:eastAsia="宋体" w:hAnsi="宋体" w:cs="宋体"/>
          <w:spacing w:val="-1"/>
        </w:rPr>
        <w:t>有酵母多糖、</w:t>
      </w:r>
      <w:r>
        <w:rPr>
          <w:rFonts w:ascii="宋体" w:eastAsia="宋体" w:hAnsi="宋体" w:cs="宋体"/>
        </w:rPr>
        <w:t xml:space="preserve"> </w:t>
      </w:r>
      <w:r>
        <w:rPr>
          <w:rFonts w:ascii="宋体" w:eastAsia="宋体" w:hAnsi="宋体" w:cs="宋体"/>
          <w:spacing w:val="-3"/>
        </w:rPr>
        <w:t>裂祠菌多糖、当归多糖、茯苓多糖、酸枣仁多糖、车前子多糖、细菌脂多糖、香</w:t>
      </w:r>
      <w:r>
        <w:rPr>
          <w:rFonts w:ascii="宋体" w:eastAsia="宋体" w:hAnsi="宋体" w:cs="宋体"/>
          <w:spacing w:val="1"/>
        </w:rPr>
        <w:t xml:space="preserve">  </w:t>
      </w:r>
      <w:r>
        <w:rPr>
          <w:rFonts w:ascii="宋体" w:eastAsia="宋体" w:hAnsi="宋体" w:cs="宋体"/>
          <w:spacing w:val="-11"/>
        </w:rPr>
        <w:t>菇多糖等。</w:t>
      </w:r>
    </w:p>
    <w:p w:rsidR="00EA40A3" w:rsidRDefault="00E86C16">
      <w:pPr>
        <w:spacing w:before="87" w:line="224" w:lineRule="auto"/>
        <w:rPr>
          <w:rFonts w:ascii="楷体" w:eastAsia="楷体" w:hAnsi="楷体" w:cs="楷体"/>
        </w:rPr>
      </w:pPr>
      <w:r>
        <w:rPr>
          <w:rFonts w:ascii="楷体" w:eastAsia="楷体" w:hAnsi="楷体" w:cs="楷体"/>
          <w:spacing w:val="8"/>
        </w:rPr>
        <w:t>2)抗病毒功能</w:t>
      </w:r>
    </w:p>
    <w:p w:rsidR="00EA40A3" w:rsidRDefault="00E86C16">
      <w:pPr>
        <w:spacing w:before="62" w:line="261" w:lineRule="auto"/>
        <w:ind w:firstLine="509"/>
        <w:jc w:val="both"/>
        <w:rPr>
          <w:rFonts w:ascii="宋体" w:eastAsia="宋体" w:hAnsi="宋体" w:cs="宋体"/>
        </w:rPr>
      </w:pPr>
      <w:r>
        <w:rPr>
          <w:rFonts w:ascii="宋体" w:eastAsia="宋体" w:hAnsi="宋体" w:cs="宋体"/>
          <w:spacing w:val="-2"/>
        </w:rPr>
        <w:t>研究表明，许多多糖对各种病毒如艾滋病毒</w:t>
      </w:r>
      <w:r>
        <w:rPr>
          <w:rFonts w:ascii="宋体" w:eastAsia="宋体" w:hAnsi="宋体" w:cs="宋体"/>
          <w:spacing w:val="-7"/>
        </w:rPr>
        <w:t xml:space="preserve"> </w:t>
      </w:r>
      <w:r>
        <w:rPr>
          <w:rFonts w:ascii="宋体" w:eastAsia="宋体" w:hAnsi="宋体" w:cs="宋体"/>
          <w:spacing w:val="-2"/>
        </w:rPr>
        <w:t>(HIV-1)、</w:t>
      </w:r>
      <w:r>
        <w:rPr>
          <w:rFonts w:ascii="宋体" w:eastAsia="宋体" w:hAnsi="宋体" w:cs="宋体"/>
          <w:spacing w:val="61"/>
        </w:rPr>
        <w:t xml:space="preserve"> </w:t>
      </w:r>
      <w:r>
        <w:rPr>
          <w:rFonts w:ascii="宋体" w:eastAsia="宋体" w:hAnsi="宋体" w:cs="宋体"/>
          <w:spacing w:val="-2"/>
        </w:rPr>
        <w:t>单纯疱疹病毒、巨</w:t>
      </w:r>
      <w:r>
        <w:rPr>
          <w:rFonts w:ascii="宋体" w:eastAsia="宋体" w:hAnsi="宋体" w:cs="宋体"/>
        </w:rPr>
        <w:t xml:space="preserve"> </w:t>
      </w:r>
      <w:r>
        <w:rPr>
          <w:rFonts w:ascii="宋体" w:eastAsia="宋体" w:hAnsi="宋体" w:cs="宋体"/>
          <w:spacing w:val="3"/>
        </w:rPr>
        <w:t>细胞病毒、流感病毒、囊状胃炎病毒、劳斯肉瘤病毒和鸟肉瘤病毒等有抑制作</w:t>
      </w:r>
      <w:r>
        <w:rPr>
          <w:rFonts w:ascii="宋体" w:eastAsia="宋体" w:hAnsi="宋体" w:cs="宋体"/>
          <w:spacing w:val="5"/>
        </w:rPr>
        <w:t xml:space="preserve">  </w:t>
      </w:r>
      <w:r>
        <w:rPr>
          <w:rFonts w:ascii="宋体" w:eastAsia="宋体" w:hAnsi="宋体" w:cs="宋体"/>
          <w:spacing w:val="-3"/>
        </w:rPr>
        <w:t>用。多碳水化合物可通过类似的免疫调节机制增强宿主免疫功能，以抵抗病原体</w:t>
      </w:r>
      <w:r>
        <w:rPr>
          <w:rFonts w:ascii="宋体" w:eastAsia="宋体" w:hAnsi="宋体" w:cs="宋体"/>
          <w:spacing w:val="1"/>
        </w:rPr>
        <w:t xml:space="preserve">  </w:t>
      </w:r>
      <w:r>
        <w:rPr>
          <w:rFonts w:ascii="宋体" w:eastAsia="宋体" w:hAnsi="宋体" w:cs="宋体"/>
          <w:spacing w:val="-3"/>
        </w:rPr>
        <w:t>的侵袭。如：香菇多糖对泡状口炎病毒感染有显著</w:t>
      </w:r>
      <w:r>
        <w:rPr>
          <w:rFonts w:ascii="宋体" w:eastAsia="宋体" w:hAnsi="宋体" w:cs="宋体"/>
          <w:spacing w:val="-4"/>
        </w:rPr>
        <w:t>治疗和预防作用，对阿伯耳氏</w:t>
      </w:r>
      <w:r>
        <w:rPr>
          <w:rFonts w:ascii="宋体" w:eastAsia="宋体" w:hAnsi="宋体" w:cs="宋体"/>
        </w:rPr>
        <w:t xml:space="preserve">  </w:t>
      </w:r>
      <w:r>
        <w:rPr>
          <w:rFonts w:ascii="宋体" w:eastAsia="宋体" w:hAnsi="宋体" w:cs="宋体"/>
          <w:spacing w:val="-1"/>
        </w:rPr>
        <w:t>病毒和十二型腺病毒感染也有效，其抗病毒作用与诱生干扰素和提高NK</w:t>
      </w:r>
      <w:r>
        <w:rPr>
          <w:rFonts w:ascii="宋体" w:eastAsia="宋体" w:hAnsi="宋体" w:cs="宋体"/>
          <w:spacing w:val="57"/>
        </w:rPr>
        <w:t xml:space="preserve"> </w:t>
      </w:r>
      <w:r>
        <w:rPr>
          <w:rFonts w:ascii="宋体" w:eastAsia="宋体" w:hAnsi="宋体" w:cs="宋体"/>
          <w:spacing w:val="-1"/>
        </w:rPr>
        <w:t>活性有</w:t>
      </w:r>
      <w:r>
        <w:rPr>
          <w:rFonts w:ascii="宋体" w:eastAsia="宋体" w:hAnsi="宋体" w:cs="宋体"/>
        </w:rPr>
        <w:t xml:space="preserve"> </w:t>
      </w:r>
      <w:r>
        <w:rPr>
          <w:rFonts w:ascii="宋体" w:eastAsia="宋体" w:hAnsi="宋体" w:cs="宋体"/>
          <w:spacing w:val="-3"/>
        </w:rPr>
        <w:t>关；酿酒酵母葡聚糖能增强宿主对鼠肝炎病毒的抵抗力，使肝细胞坏死病变明显</w:t>
      </w:r>
      <w:r>
        <w:rPr>
          <w:rFonts w:ascii="宋体" w:eastAsia="宋体" w:hAnsi="宋体" w:cs="宋体"/>
          <w:spacing w:val="3"/>
        </w:rPr>
        <w:t xml:space="preserve">  </w:t>
      </w:r>
      <w:r>
        <w:rPr>
          <w:rFonts w:ascii="宋体" w:eastAsia="宋体" w:hAnsi="宋体" w:cs="宋体"/>
          <w:spacing w:val="-3"/>
        </w:rPr>
        <w:t>减轻，对单纯疱疹病毒、委内瑞拉马脑脊髓炎病毒和RiftValley热病毒也有抵抗</w:t>
      </w:r>
      <w:r>
        <w:rPr>
          <w:rFonts w:ascii="宋体" w:eastAsia="宋体" w:hAnsi="宋体" w:cs="宋体"/>
          <w:spacing w:val="8"/>
        </w:rPr>
        <w:t xml:space="preserve">  </w:t>
      </w:r>
      <w:r>
        <w:rPr>
          <w:rFonts w:ascii="宋体" w:eastAsia="宋体" w:hAnsi="宋体" w:cs="宋体"/>
          <w:spacing w:val="-6"/>
        </w:rPr>
        <w:t>作用；甘草多糖对水疱性口炎病毒</w:t>
      </w:r>
      <w:r>
        <w:rPr>
          <w:rFonts w:ascii="宋体" w:eastAsia="宋体" w:hAnsi="宋体" w:cs="宋体"/>
          <w:spacing w:val="-17"/>
        </w:rPr>
        <w:t xml:space="preserve"> </w:t>
      </w:r>
      <w:r>
        <w:rPr>
          <w:rFonts w:ascii="宋体" w:eastAsia="宋体" w:hAnsi="宋体" w:cs="宋体"/>
          <w:spacing w:val="-6"/>
        </w:rPr>
        <w:t>(VSV)、</w:t>
      </w:r>
      <w:r>
        <w:rPr>
          <w:rFonts w:ascii="宋体" w:eastAsia="宋体" w:hAnsi="宋体" w:cs="宋体"/>
          <w:spacing w:val="7"/>
        </w:rPr>
        <w:t xml:space="preserve">  </w:t>
      </w:r>
      <w:r>
        <w:rPr>
          <w:rFonts w:ascii="宋体" w:eastAsia="宋体" w:hAnsi="宋体" w:cs="宋体"/>
          <w:spacing w:val="-6"/>
        </w:rPr>
        <w:t>腺病毒I</w:t>
      </w:r>
      <w:r>
        <w:rPr>
          <w:rFonts w:ascii="宋体" w:eastAsia="宋体" w:hAnsi="宋体" w:cs="宋体"/>
          <w:spacing w:val="-20"/>
        </w:rPr>
        <w:t xml:space="preserve"> </w:t>
      </w:r>
      <w:r>
        <w:rPr>
          <w:rFonts w:ascii="宋体" w:eastAsia="宋体" w:hAnsi="宋体" w:cs="宋体"/>
          <w:spacing w:val="-6"/>
        </w:rPr>
        <w:t>型</w:t>
      </w:r>
      <w:r>
        <w:rPr>
          <w:rFonts w:ascii="宋体" w:eastAsia="宋体" w:hAnsi="宋体" w:cs="宋体"/>
          <w:spacing w:val="20"/>
        </w:rPr>
        <w:t xml:space="preserve"> </w:t>
      </w:r>
      <w:r>
        <w:rPr>
          <w:rFonts w:ascii="宋体" w:eastAsia="宋体" w:hAnsi="宋体" w:cs="宋体"/>
          <w:spacing w:val="-6"/>
        </w:rPr>
        <w:t>(ADV1)</w:t>
      </w:r>
      <w:r>
        <w:rPr>
          <w:rFonts w:ascii="宋体" w:eastAsia="宋体" w:hAnsi="宋体" w:cs="宋体"/>
          <w:spacing w:val="-7"/>
        </w:rPr>
        <w:t>、</w:t>
      </w:r>
      <w:r>
        <w:rPr>
          <w:rFonts w:ascii="宋体" w:eastAsia="宋体" w:hAnsi="宋体" w:cs="宋体"/>
          <w:spacing w:val="27"/>
        </w:rPr>
        <w:t xml:space="preserve">  </w:t>
      </w:r>
      <w:r>
        <w:rPr>
          <w:rFonts w:ascii="宋体" w:eastAsia="宋体" w:hAnsi="宋体" w:cs="宋体"/>
          <w:spacing w:val="-7"/>
        </w:rPr>
        <w:t>单纯疱疹病</w:t>
      </w:r>
      <w:r>
        <w:rPr>
          <w:rFonts w:ascii="宋体" w:eastAsia="宋体" w:hAnsi="宋体" w:cs="宋体"/>
          <w:spacing w:val="1"/>
        </w:rPr>
        <w:t xml:space="preserve"> </w:t>
      </w:r>
      <w:r>
        <w:rPr>
          <w:rFonts w:ascii="宋体" w:eastAsia="宋体" w:hAnsi="宋体" w:cs="宋体"/>
          <w:spacing w:val="-1"/>
        </w:rPr>
        <w:t>毒</w:t>
      </w:r>
      <w:r>
        <w:rPr>
          <w:rFonts w:ascii="宋体" w:eastAsia="宋体" w:hAnsi="宋体" w:cs="宋体"/>
          <w:spacing w:val="4"/>
        </w:rPr>
        <w:t xml:space="preserve"> </w:t>
      </w:r>
      <w:r>
        <w:rPr>
          <w:rFonts w:ascii="宋体" w:eastAsia="宋体" w:hAnsi="宋体" w:cs="宋体"/>
          <w:spacing w:val="-1"/>
        </w:rPr>
        <w:t>(HSV-1)</w:t>
      </w:r>
      <w:r>
        <w:rPr>
          <w:rFonts w:ascii="宋体" w:eastAsia="宋体" w:hAnsi="宋体" w:cs="宋体"/>
          <w:spacing w:val="15"/>
        </w:rPr>
        <w:t xml:space="preserve">  </w:t>
      </w:r>
      <w:r>
        <w:rPr>
          <w:rFonts w:ascii="宋体" w:eastAsia="宋体" w:hAnsi="宋体" w:cs="宋体"/>
          <w:spacing w:val="-1"/>
        </w:rPr>
        <w:t>和牛痘病毒</w:t>
      </w:r>
      <w:r>
        <w:rPr>
          <w:rFonts w:ascii="宋体" w:eastAsia="宋体" w:hAnsi="宋体" w:cs="宋体"/>
          <w:spacing w:val="-17"/>
        </w:rPr>
        <w:t xml:space="preserve"> </w:t>
      </w:r>
      <w:r>
        <w:rPr>
          <w:rFonts w:ascii="宋体" w:eastAsia="宋体" w:hAnsi="宋体" w:cs="宋体"/>
          <w:spacing w:val="-1"/>
        </w:rPr>
        <w:t>(VV)</w:t>
      </w:r>
      <w:r>
        <w:rPr>
          <w:rFonts w:ascii="宋体" w:eastAsia="宋体" w:hAnsi="宋体" w:cs="宋体"/>
          <w:spacing w:val="13"/>
        </w:rPr>
        <w:t xml:space="preserve">  </w:t>
      </w:r>
      <w:r>
        <w:rPr>
          <w:rFonts w:ascii="宋体" w:eastAsia="宋体" w:hAnsi="宋体" w:cs="宋体"/>
          <w:spacing w:val="-1"/>
        </w:rPr>
        <w:t>均有明显抑制作用。多碳水化合物悬浮</w:t>
      </w:r>
      <w:r>
        <w:rPr>
          <w:rFonts w:ascii="宋体" w:eastAsia="宋体" w:hAnsi="宋体" w:cs="宋体"/>
          <w:spacing w:val="-2"/>
        </w:rPr>
        <w:t>在体液</w:t>
      </w:r>
      <w:r>
        <w:rPr>
          <w:rFonts w:ascii="宋体" w:eastAsia="宋体" w:hAnsi="宋体" w:cs="宋体"/>
        </w:rPr>
        <w:t xml:space="preserve">  </w:t>
      </w:r>
      <w:r>
        <w:rPr>
          <w:rFonts w:ascii="宋体" w:eastAsia="宋体" w:hAnsi="宋体" w:cs="宋体"/>
          <w:spacing w:val="-3"/>
        </w:rPr>
        <w:t>中，可引诱吸附病原体，阻止其与健康细胞结合，达到抗病毒作用。硫酸化多糖</w:t>
      </w:r>
      <w:r>
        <w:rPr>
          <w:rFonts w:ascii="宋体" w:eastAsia="宋体" w:hAnsi="宋体" w:cs="宋体"/>
          <w:spacing w:val="1"/>
        </w:rPr>
        <w:t xml:space="preserve">  </w:t>
      </w:r>
      <w:r>
        <w:rPr>
          <w:rFonts w:ascii="宋体" w:eastAsia="宋体" w:hAnsi="宋体" w:cs="宋体"/>
          <w:spacing w:val="6"/>
        </w:rPr>
        <w:t>能直接与</w:t>
      </w:r>
      <w:r>
        <w:rPr>
          <w:rFonts w:ascii="宋体" w:eastAsia="宋体" w:hAnsi="宋体" w:cs="宋体"/>
        </w:rPr>
        <w:t>HIV</w:t>
      </w:r>
      <w:r>
        <w:rPr>
          <w:rFonts w:ascii="宋体" w:eastAsia="宋体" w:hAnsi="宋体" w:cs="宋体"/>
          <w:spacing w:val="6"/>
        </w:rPr>
        <w:t>-1</w:t>
      </w:r>
      <w:r>
        <w:rPr>
          <w:rFonts w:ascii="宋体" w:eastAsia="宋体" w:hAnsi="宋体" w:cs="宋体"/>
          <w:spacing w:val="-7"/>
        </w:rPr>
        <w:t xml:space="preserve"> </w:t>
      </w:r>
      <w:r>
        <w:rPr>
          <w:rFonts w:ascii="宋体" w:eastAsia="宋体" w:hAnsi="宋体" w:cs="宋体"/>
          <w:spacing w:val="6"/>
        </w:rPr>
        <w:t>包膜上的糖蛋白</w:t>
      </w:r>
      <w:r>
        <w:rPr>
          <w:rFonts w:ascii="宋体" w:eastAsia="宋体" w:hAnsi="宋体" w:cs="宋体"/>
        </w:rPr>
        <w:t>gpl</w:t>
      </w:r>
      <w:r>
        <w:rPr>
          <w:rFonts w:ascii="宋体" w:eastAsia="宋体" w:hAnsi="宋体" w:cs="宋体"/>
          <w:spacing w:val="6"/>
        </w:rPr>
        <w:t>20</w:t>
      </w:r>
      <w:r>
        <w:rPr>
          <w:rFonts w:ascii="宋体" w:eastAsia="宋体" w:hAnsi="宋体" w:cs="宋体"/>
          <w:spacing w:val="-39"/>
        </w:rPr>
        <w:t xml:space="preserve"> </w:t>
      </w:r>
      <w:r>
        <w:rPr>
          <w:rFonts w:ascii="宋体" w:eastAsia="宋体" w:hAnsi="宋体" w:cs="宋体"/>
          <w:spacing w:val="6"/>
        </w:rPr>
        <w:t>分子结合，从而对</w:t>
      </w:r>
      <w:r>
        <w:rPr>
          <w:rFonts w:ascii="宋体" w:eastAsia="宋体" w:hAnsi="宋体" w:cs="宋体"/>
        </w:rPr>
        <w:t>gpl</w:t>
      </w:r>
      <w:r>
        <w:rPr>
          <w:rFonts w:ascii="宋体" w:eastAsia="宋体" w:hAnsi="宋体" w:cs="宋体"/>
          <w:spacing w:val="6"/>
        </w:rPr>
        <w:t>20</w:t>
      </w:r>
      <w:r>
        <w:rPr>
          <w:rFonts w:ascii="宋体" w:eastAsia="宋体" w:hAnsi="宋体" w:cs="宋体"/>
          <w:spacing w:val="-28"/>
        </w:rPr>
        <w:t xml:space="preserve"> </w:t>
      </w:r>
      <w:r>
        <w:rPr>
          <w:rFonts w:ascii="宋体" w:eastAsia="宋体" w:hAnsi="宋体" w:cs="宋体"/>
          <w:spacing w:val="6"/>
        </w:rPr>
        <w:t>起到</w:t>
      </w:r>
      <w:r>
        <w:rPr>
          <w:rFonts w:ascii="宋体" w:eastAsia="宋体" w:hAnsi="宋体" w:cs="宋体"/>
          <w:spacing w:val="5"/>
        </w:rPr>
        <w:t>“遮盖效</w:t>
      </w:r>
      <w:r>
        <w:rPr>
          <w:rFonts w:ascii="宋体" w:eastAsia="宋体" w:hAnsi="宋体" w:cs="宋体"/>
        </w:rPr>
        <w:t xml:space="preserve">  </w:t>
      </w:r>
      <w:r>
        <w:rPr>
          <w:rFonts w:ascii="宋体" w:eastAsia="宋体" w:hAnsi="宋体" w:cs="宋体"/>
          <w:spacing w:val="4"/>
        </w:rPr>
        <w:t>应”,干扰</w:t>
      </w:r>
      <w:r>
        <w:rPr>
          <w:rFonts w:ascii="宋体" w:eastAsia="宋体" w:hAnsi="宋体" w:cs="宋体"/>
          <w:spacing w:val="-39"/>
        </w:rPr>
        <w:t xml:space="preserve"> </w:t>
      </w:r>
      <w:r>
        <w:rPr>
          <w:rFonts w:ascii="宋体" w:eastAsia="宋体" w:hAnsi="宋体" w:cs="宋体"/>
        </w:rPr>
        <w:t>HIV</w:t>
      </w:r>
      <w:r>
        <w:rPr>
          <w:rFonts w:ascii="宋体" w:eastAsia="宋体" w:hAnsi="宋体" w:cs="宋体"/>
          <w:spacing w:val="4"/>
        </w:rPr>
        <w:t>-1</w:t>
      </w:r>
      <w:r>
        <w:rPr>
          <w:rFonts w:ascii="宋体" w:eastAsia="宋体" w:hAnsi="宋体" w:cs="宋体"/>
          <w:spacing w:val="13"/>
        </w:rPr>
        <w:t xml:space="preserve"> </w:t>
      </w:r>
      <w:r>
        <w:rPr>
          <w:rFonts w:ascii="宋体" w:eastAsia="宋体" w:hAnsi="宋体" w:cs="宋体"/>
          <w:spacing w:val="4"/>
        </w:rPr>
        <w:t>对</w:t>
      </w:r>
      <w:r>
        <w:rPr>
          <w:rFonts w:ascii="宋体" w:eastAsia="宋体" w:hAnsi="宋体" w:cs="宋体"/>
          <w:spacing w:val="-28"/>
        </w:rPr>
        <w:t xml:space="preserve"> </w:t>
      </w:r>
      <w:r>
        <w:rPr>
          <w:rFonts w:ascii="宋体" w:eastAsia="宋体" w:hAnsi="宋体" w:cs="宋体"/>
        </w:rPr>
        <w:t>CD</w:t>
      </w:r>
      <w:r>
        <w:rPr>
          <w:rFonts w:ascii="宋体" w:eastAsia="宋体" w:hAnsi="宋体" w:cs="宋体"/>
          <w:spacing w:val="4"/>
        </w:rPr>
        <w:t>4+</w:t>
      </w:r>
      <w:r>
        <w:rPr>
          <w:rFonts w:ascii="宋体" w:eastAsia="宋体" w:hAnsi="宋体" w:cs="宋体"/>
          <w:spacing w:val="32"/>
        </w:rPr>
        <w:t xml:space="preserve"> </w:t>
      </w:r>
      <w:r>
        <w:rPr>
          <w:rFonts w:ascii="宋体" w:eastAsia="宋体" w:hAnsi="宋体" w:cs="宋体"/>
          <w:spacing w:val="4"/>
        </w:rPr>
        <w:t>细胞株的吸附作用，消除了</w:t>
      </w:r>
      <w:r>
        <w:rPr>
          <w:rFonts w:ascii="宋体" w:eastAsia="宋体" w:hAnsi="宋体" w:cs="宋体"/>
          <w:spacing w:val="-63"/>
        </w:rPr>
        <w:t xml:space="preserve"> </w:t>
      </w:r>
      <w:r>
        <w:rPr>
          <w:rFonts w:ascii="宋体" w:eastAsia="宋体" w:hAnsi="宋体" w:cs="宋体"/>
        </w:rPr>
        <w:t>HIV</w:t>
      </w:r>
      <w:r>
        <w:rPr>
          <w:rFonts w:ascii="宋体" w:eastAsia="宋体" w:hAnsi="宋体" w:cs="宋体"/>
          <w:spacing w:val="64"/>
        </w:rPr>
        <w:t xml:space="preserve"> </w:t>
      </w:r>
      <w:r>
        <w:rPr>
          <w:rFonts w:ascii="宋体" w:eastAsia="宋体" w:hAnsi="宋体" w:cs="宋体"/>
          <w:spacing w:val="4"/>
        </w:rPr>
        <w:t>引起的细胞病变。</w:t>
      </w:r>
      <w:r>
        <w:rPr>
          <w:rFonts w:ascii="宋体" w:eastAsia="宋体" w:hAnsi="宋体" w:cs="宋体"/>
        </w:rPr>
        <w:t xml:space="preserve"> </w:t>
      </w:r>
      <w:r>
        <w:rPr>
          <w:rFonts w:ascii="宋体" w:eastAsia="宋体" w:hAnsi="宋体" w:cs="宋体"/>
          <w:spacing w:val="-2"/>
        </w:rPr>
        <w:t>HIV</w:t>
      </w:r>
      <w:r>
        <w:rPr>
          <w:rFonts w:ascii="宋体" w:eastAsia="宋体" w:hAnsi="宋体" w:cs="宋体"/>
          <w:spacing w:val="41"/>
        </w:rPr>
        <w:t xml:space="preserve"> </w:t>
      </w:r>
      <w:r>
        <w:rPr>
          <w:rFonts w:ascii="宋体" w:eastAsia="宋体" w:hAnsi="宋体" w:cs="宋体"/>
          <w:spacing w:val="-2"/>
        </w:rPr>
        <w:t>引起的合胞体形成是由于感染HIV-1</w:t>
      </w:r>
      <w:r>
        <w:rPr>
          <w:rFonts w:ascii="宋体" w:eastAsia="宋体" w:hAnsi="宋体" w:cs="宋体"/>
          <w:spacing w:val="23"/>
        </w:rPr>
        <w:t xml:space="preserve"> </w:t>
      </w:r>
      <w:r>
        <w:rPr>
          <w:rFonts w:ascii="宋体" w:eastAsia="宋体" w:hAnsi="宋体" w:cs="宋体"/>
          <w:spacing w:val="-2"/>
        </w:rPr>
        <w:t>细胞与未感染</w:t>
      </w:r>
      <w:r>
        <w:rPr>
          <w:rFonts w:ascii="宋体" w:eastAsia="宋体" w:hAnsi="宋体" w:cs="宋体"/>
          <w:spacing w:val="-46"/>
        </w:rPr>
        <w:t xml:space="preserve"> </w:t>
      </w:r>
      <w:r>
        <w:rPr>
          <w:rFonts w:ascii="宋体" w:eastAsia="宋体" w:hAnsi="宋体" w:cs="宋体"/>
          <w:spacing w:val="-2"/>
        </w:rPr>
        <w:t>HIV-1</w:t>
      </w:r>
      <w:r>
        <w:rPr>
          <w:rFonts w:ascii="宋体" w:eastAsia="宋体" w:hAnsi="宋体" w:cs="宋体"/>
          <w:spacing w:val="3"/>
        </w:rPr>
        <w:t xml:space="preserve"> </w:t>
      </w:r>
      <w:r>
        <w:rPr>
          <w:rFonts w:ascii="宋体" w:eastAsia="宋体" w:hAnsi="宋体" w:cs="宋体"/>
          <w:spacing w:val="-2"/>
        </w:rPr>
        <w:t>的</w:t>
      </w:r>
      <w:r>
        <w:rPr>
          <w:rFonts w:ascii="宋体" w:eastAsia="宋体" w:hAnsi="宋体" w:cs="宋体"/>
          <w:spacing w:val="-49"/>
        </w:rPr>
        <w:t xml:space="preserve"> </w:t>
      </w:r>
      <w:r>
        <w:rPr>
          <w:rFonts w:ascii="宋体" w:eastAsia="宋体" w:hAnsi="宋体" w:cs="宋体"/>
          <w:spacing w:val="-2"/>
        </w:rPr>
        <w:t>T</w:t>
      </w:r>
      <w:r>
        <w:rPr>
          <w:rFonts w:ascii="宋体" w:eastAsia="宋体" w:hAnsi="宋体" w:cs="宋体"/>
          <w:spacing w:val="5"/>
        </w:rPr>
        <w:t xml:space="preserve"> </w:t>
      </w:r>
      <w:r>
        <w:rPr>
          <w:rFonts w:ascii="宋体" w:eastAsia="宋体" w:hAnsi="宋体" w:cs="宋体"/>
          <w:spacing w:val="-2"/>
        </w:rPr>
        <w:t>细胞表面结</w:t>
      </w:r>
      <w:r>
        <w:rPr>
          <w:rFonts w:ascii="宋体" w:eastAsia="宋体" w:hAnsi="宋体" w:cs="宋体"/>
        </w:rPr>
        <w:t xml:space="preserve">  </w:t>
      </w:r>
      <w:r>
        <w:rPr>
          <w:rFonts w:ascii="宋体" w:eastAsia="宋体" w:hAnsi="宋体" w:cs="宋体"/>
          <w:spacing w:val="-7"/>
        </w:rPr>
        <w:t>合，而硫酸化多糖也能有效抑制合胞体形成。</w:t>
      </w:r>
    </w:p>
    <w:p w:rsidR="00EA40A3" w:rsidRDefault="00E86C16">
      <w:pPr>
        <w:spacing w:before="99" w:line="227" w:lineRule="auto"/>
        <w:rPr>
          <w:rFonts w:ascii="楷体" w:eastAsia="楷体" w:hAnsi="楷体" w:cs="楷体"/>
        </w:rPr>
      </w:pPr>
      <w:r>
        <w:rPr>
          <w:rFonts w:ascii="楷体" w:eastAsia="楷体" w:hAnsi="楷体" w:cs="楷体"/>
          <w:spacing w:val="-12"/>
        </w:rPr>
        <w:t>3)</w:t>
      </w:r>
      <w:r>
        <w:rPr>
          <w:rFonts w:ascii="楷体" w:eastAsia="楷体" w:hAnsi="楷体" w:cs="楷体"/>
          <w:spacing w:val="53"/>
        </w:rPr>
        <w:t xml:space="preserve"> </w:t>
      </w:r>
      <w:r>
        <w:rPr>
          <w:rFonts w:ascii="楷体" w:eastAsia="楷体" w:hAnsi="楷体" w:cs="楷体"/>
          <w:spacing w:val="-12"/>
        </w:rPr>
        <w:t>抗肿瘤功能</w:t>
      </w:r>
    </w:p>
    <w:p w:rsidR="00EA40A3" w:rsidRDefault="00E86C16">
      <w:pPr>
        <w:spacing w:before="78" w:line="260" w:lineRule="auto"/>
        <w:ind w:firstLine="459"/>
        <w:jc w:val="both"/>
        <w:rPr>
          <w:rFonts w:ascii="宋体" w:eastAsia="宋体" w:hAnsi="宋体" w:cs="宋体"/>
        </w:rPr>
      </w:pPr>
      <w:r>
        <w:rPr>
          <w:rFonts w:ascii="宋体" w:eastAsia="宋体" w:hAnsi="宋体" w:cs="宋体"/>
          <w:spacing w:val="-8"/>
        </w:rPr>
        <w:t>就多糖的抗肿瘤作用而言，可将抗肿瘤多糖分为两大类：</w:t>
      </w:r>
      <w:r>
        <w:rPr>
          <w:rFonts w:ascii="宋体" w:eastAsia="宋体" w:hAnsi="宋体" w:cs="宋体"/>
          <w:spacing w:val="69"/>
        </w:rPr>
        <w:t xml:space="preserve"> </w:t>
      </w:r>
      <w:r>
        <w:rPr>
          <w:rFonts w:ascii="宋体" w:eastAsia="宋体" w:hAnsi="宋体" w:cs="宋体"/>
          <w:spacing w:val="-8"/>
        </w:rPr>
        <w:t>一类是具有细胞毒</w:t>
      </w:r>
      <w:r>
        <w:rPr>
          <w:rFonts w:ascii="宋体" w:eastAsia="宋体" w:hAnsi="宋体" w:cs="宋体"/>
        </w:rPr>
        <w:t xml:space="preserve"> </w:t>
      </w:r>
      <w:r>
        <w:rPr>
          <w:rFonts w:ascii="宋体" w:eastAsia="宋体" w:hAnsi="宋体" w:cs="宋体"/>
          <w:spacing w:val="-3"/>
        </w:rPr>
        <w:t>性的多糖直接杀死肿瘤细胞，这类多糖有牛膝多糖、茯苓多糖、刺五加多糖、银</w:t>
      </w:r>
      <w:r>
        <w:rPr>
          <w:rFonts w:ascii="宋体" w:eastAsia="宋体" w:hAnsi="宋体" w:cs="宋体"/>
          <w:spacing w:val="1"/>
        </w:rPr>
        <w:t xml:space="preserve">  </w:t>
      </w:r>
      <w:r>
        <w:rPr>
          <w:rFonts w:ascii="宋体" w:eastAsia="宋体" w:hAnsi="宋体" w:cs="宋体"/>
          <w:spacing w:val="-3"/>
        </w:rPr>
        <w:t>耳多糖、香菇多糖、芸芝多糖等；第二类抗肿瘤活性多糖是作为生物免疫反应调</w:t>
      </w:r>
      <w:r>
        <w:rPr>
          <w:rFonts w:ascii="宋体" w:eastAsia="宋体" w:hAnsi="宋体" w:cs="宋体"/>
          <w:spacing w:val="5"/>
        </w:rPr>
        <w:t xml:space="preserve">  </w:t>
      </w:r>
      <w:r>
        <w:rPr>
          <w:rFonts w:ascii="宋体" w:eastAsia="宋体" w:hAnsi="宋体" w:cs="宋体"/>
          <w:spacing w:val="-3"/>
        </w:rPr>
        <w:t>节剂，通过增强机体的免疫功能而间接抑制或杀死肿瘤细胞的。如前所述，多糖</w:t>
      </w:r>
      <w:r>
        <w:rPr>
          <w:rFonts w:ascii="宋体" w:eastAsia="宋体" w:hAnsi="宋体" w:cs="宋体"/>
          <w:spacing w:val="1"/>
        </w:rPr>
        <w:t xml:space="preserve">  </w:t>
      </w:r>
      <w:r>
        <w:rPr>
          <w:rFonts w:ascii="宋体" w:eastAsia="宋体" w:hAnsi="宋体" w:cs="宋体"/>
          <w:spacing w:val="2"/>
        </w:rPr>
        <w:t>不仅能激活T</w:t>
      </w:r>
      <w:r>
        <w:rPr>
          <w:rFonts w:ascii="宋体" w:eastAsia="宋体" w:hAnsi="宋体" w:cs="宋体"/>
          <w:spacing w:val="5"/>
        </w:rPr>
        <w:t xml:space="preserve"> </w:t>
      </w:r>
      <w:r>
        <w:rPr>
          <w:rFonts w:ascii="宋体" w:eastAsia="宋体" w:hAnsi="宋体" w:cs="宋体"/>
          <w:spacing w:val="2"/>
        </w:rPr>
        <w:t>细胞、</w:t>
      </w:r>
      <w:r>
        <w:rPr>
          <w:rFonts w:ascii="宋体" w:eastAsia="宋体" w:hAnsi="宋体" w:cs="宋体"/>
          <w:spacing w:val="-42"/>
        </w:rPr>
        <w:t xml:space="preserve"> </w:t>
      </w:r>
      <w:r>
        <w:rPr>
          <w:rFonts w:ascii="宋体" w:eastAsia="宋体" w:hAnsi="宋体" w:cs="宋体"/>
          <w:spacing w:val="2"/>
        </w:rPr>
        <w:t>B</w:t>
      </w:r>
      <w:r>
        <w:rPr>
          <w:rFonts w:ascii="宋体" w:eastAsia="宋体" w:hAnsi="宋体" w:cs="宋体"/>
          <w:spacing w:val="-17"/>
        </w:rPr>
        <w:t xml:space="preserve"> </w:t>
      </w:r>
      <w:r>
        <w:rPr>
          <w:rFonts w:ascii="宋体" w:eastAsia="宋体" w:hAnsi="宋体" w:cs="宋体"/>
          <w:spacing w:val="2"/>
        </w:rPr>
        <w:t>细胞、巨噬细胞、自然杀伤细胞、杀伤性T</w:t>
      </w:r>
      <w:r>
        <w:rPr>
          <w:rFonts w:ascii="宋体" w:eastAsia="宋体" w:hAnsi="宋体" w:cs="宋体"/>
          <w:spacing w:val="16"/>
        </w:rPr>
        <w:t xml:space="preserve"> </w:t>
      </w:r>
      <w:r>
        <w:rPr>
          <w:rFonts w:ascii="宋体" w:eastAsia="宋体" w:hAnsi="宋体" w:cs="宋体"/>
          <w:spacing w:val="2"/>
        </w:rPr>
        <w:t>细</w:t>
      </w:r>
      <w:r>
        <w:rPr>
          <w:rFonts w:ascii="宋体" w:eastAsia="宋体" w:hAnsi="宋体" w:cs="宋体"/>
          <w:spacing w:val="1"/>
        </w:rPr>
        <w:t>胞、淋巴</w:t>
      </w:r>
      <w:r>
        <w:rPr>
          <w:rFonts w:ascii="宋体" w:eastAsia="宋体" w:hAnsi="宋体" w:cs="宋体"/>
        </w:rPr>
        <w:t xml:space="preserve"> </w:t>
      </w:r>
      <w:r>
        <w:rPr>
          <w:rFonts w:ascii="宋体" w:eastAsia="宋体" w:hAnsi="宋体" w:cs="宋体"/>
          <w:spacing w:val="1"/>
        </w:rPr>
        <w:t>因子激活的杀伤细胞</w:t>
      </w:r>
      <w:r>
        <w:rPr>
          <w:rFonts w:ascii="宋体" w:eastAsia="宋体" w:hAnsi="宋体" w:cs="宋体"/>
          <w:spacing w:val="9"/>
        </w:rPr>
        <w:t xml:space="preserve"> </w:t>
      </w:r>
      <w:r>
        <w:rPr>
          <w:rFonts w:ascii="宋体" w:eastAsia="宋体" w:hAnsi="宋体" w:cs="宋体"/>
          <w:spacing w:val="1"/>
        </w:rPr>
        <w:t>(</w:t>
      </w:r>
      <w:r>
        <w:rPr>
          <w:rFonts w:ascii="宋体" w:eastAsia="宋体" w:hAnsi="宋体" w:cs="宋体"/>
        </w:rPr>
        <w:t>LAK</w:t>
      </w:r>
      <w:r>
        <w:rPr>
          <w:rFonts w:ascii="宋体" w:eastAsia="宋体" w:hAnsi="宋体" w:cs="宋体"/>
          <w:spacing w:val="1"/>
        </w:rPr>
        <w:t>)</w:t>
      </w:r>
      <w:r>
        <w:rPr>
          <w:rFonts w:ascii="宋体" w:eastAsia="宋体" w:hAnsi="宋体" w:cs="宋体"/>
          <w:spacing w:val="35"/>
        </w:rPr>
        <w:t xml:space="preserve">  </w:t>
      </w:r>
      <w:r>
        <w:rPr>
          <w:rFonts w:ascii="宋体" w:eastAsia="宋体" w:hAnsi="宋体" w:cs="宋体"/>
          <w:spacing w:val="1"/>
        </w:rPr>
        <w:t>等免疫细胞，还能促进白细胞介素-1、白细胞</w:t>
      </w:r>
      <w:r>
        <w:rPr>
          <w:rFonts w:ascii="宋体" w:eastAsia="宋体" w:hAnsi="宋体" w:cs="宋体"/>
        </w:rPr>
        <w:t xml:space="preserve">介  </w:t>
      </w:r>
      <w:r>
        <w:rPr>
          <w:rFonts w:ascii="宋体" w:eastAsia="宋体" w:hAnsi="宋体" w:cs="宋体"/>
          <w:spacing w:val="-3"/>
        </w:rPr>
        <w:t>素-2、肿瘤坏死因子</w:t>
      </w:r>
      <w:r>
        <w:rPr>
          <w:rFonts w:ascii="宋体" w:eastAsia="宋体" w:hAnsi="宋体" w:cs="宋体"/>
          <w:spacing w:val="-15"/>
        </w:rPr>
        <w:t xml:space="preserve"> </w:t>
      </w:r>
      <w:r>
        <w:rPr>
          <w:rFonts w:ascii="宋体" w:eastAsia="宋体" w:hAnsi="宋体" w:cs="宋体"/>
          <w:spacing w:val="-3"/>
        </w:rPr>
        <w:t>(TNF)</w:t>
      </w:r>
      <w:r>
        <w:rPr>
          <w:rFonts w:ascii="宋体" w:eastAsia="宋体" w:hAnsi="宋体" w:cs="宋体"/>
          <w:spacing w:val="30"/>
        </w:rPr>
        <w:t xml:space="preserve">  </w:t>
      </w:r>
      <w:r>
        <w:rPr>
          <w:rFonts w:ascii="宋体" w:eastAsia="宋体" w:hAnsi="宋体" w:cs="宋体"/>
          <w:spacing w:val="-3"/>
        </w:rPr>
        <w:t>和干扰素</w:t>
      </w:r>
      <w:r>
        <w:rPr>
          <w:rFonts w:ascii="宋体" w:eastAsia="宋体" w:hAnsi="宋体" w:cs="宋体"/>
          <w:spacing w:val="14"/>
        </w:rPr>
        <w:t xml:space="preserve"> </w:t>
      </w:r>
      <w:r>
        <w:rPr>
          <w:rFonts w:ascii="宋体" w:eastAsia="宋体" w:hAnsi="宋体" w:cs="宋体"/>
          <w:spacing w:val="-3"/>
        </w:rPr>
        <w:t>(IFN)</w:t>
      </w:r>
      <w:r>
        <w:rPr>
          <w:rFonts w:ascii="宋体" w:eastAsia="宋体" w:hAnsi="宋体" w:cs="宋体"/>
          <w:spacing w:val="75"/>
        </w:rPr>
        <w:t xml:space="preserve"> </w:t>
      </w:r>
      <w:r>
        <w:rPr>
          <w:rFonts w:ascii="宋体" w:eastAsia="宋体" w:hAnsi="宋体" w:cs="宋体"/>
          <w:spacing w:val="-3"/>
        </w:rPr>
        <w:t>等细胞因子</w:t>
      </w:r>
      <w:r>
        <w:rPr>
          <w:rFonts w:ascii="宋体" w:eastAsia="宋体" w:hAnsi="宋体" w:cs="宋体"/>
          <w:spacing w:val="-4"/>
        </w:rPr>
        <w:t>的生成，调节抗体和</w:t>
      </w:r>
      <w:r>
        <w:rPr>
          <w:rFonts w:ascii="宋体" w:eastAsia="宋体" w:hAnsi="宋体" w:cs="宋体"/>
        </w:rPr>
        <w:t xml:space="preserve">  </w:t>
      </w:r>
      <w:r>
        <w:rPr>
          <w:rFonts w:ascii="宋体" w:eastAsia="宋体" w:hAnsi="宋体" w:cs="宋体"/>
          <w:spacing w:val="-2"/>
        </w:rPr>
        <w:t>补体，也就是常说的宿主介导抗肿瘤活性。此外，有研究者对地</w:t>
      </w:r>
      <w:r>
        <w:rPr>
          <w:rFonts w:ascii="宋体" w:eastAsia="宋体" w:hAnsi="宋体" w:cs="宋体"/>
          <w:spacing w:val="-3"/>
        </w:rPr>
        <w:t>黄多糖抗肿瘤功</w:t>
      </w:r>
      <w:r>
        <w:rPr>
          <w:rFonts w:ascii="宋体" w:eastAsia="宋体" w:hAnsi="宋体" w:cs="宋体"/>
        </w:rPr>
        <w:t xml:space="preserve"> </w:t>
      </w:r>
      <w:r>
        <w:rPr>
          <w:rFonts w:ascii="宋体" w:eastAsia="宋体" w:hAnsi="宋体" w:cs="宋体"/>
          <w:spacing w:val="3"/>
        </w:rPr>
        <w:t>能进行系统研究时发现，1000～2000U 的低</w:t>
      </w:r>
      <w:r>
        <w:rPr>
          <w:rFonts w:ascii="宋体" w:eastAsia="宋体" w:hAnsi="宋体" w:cs="宋体"/>
          <w:spacing w:val="2"/>
        </w:rPr>
        <w:t>分子质量的地黄多糖可使</w:t>
      </w:r>
      <w:r>
        <w:rPr>
          <w:rFonts w:ascii="宋体" w:eastAsia="宋体" w:hAnsi="宋体" w:cs="宋体"/>
          <w:spacing w:val="-56"/>
        </w:rPr>
        <w:t xml:space="preserve"> </w:t>
      </w:r>
      <w:r>
        <w:rPr>
          <w:rFonts w:ascii="宋体" w:eastAsia="宋体" w:hAnsi="宋体" w:cs="宋体"/>
        </w:rPr>
        <w:t>Lewis</w:t>
      </w:r>
      <w:r>
        <w:rPr>
          <w:rFonts w:ascii="宋体" w:eastAsia="宋体" w:hAnsi="宋体" w:cs="宋体"/>
          <w:spacing w:val="-54"/>
        </w:rPr>
        <w:t xml:space="preserve"> </w:t>
      </w:r>
      <w:r>
        <w:rPr>
          <w:rFonts w:ascii="宋体" w:eastAsia="宋体" w:hAnsi="宋体" w:cs="宋体"/>
          <w:spacing w:val="2"/>
        </w:rPr>
        <w:t>肿</w:t>
      </w:r>
      <w:r>
        <w:rPr>
          <w:rFonts w:ascii="宋体" w:eastAsia="宋体" w:hAnsi="宋体" w:cs="宋体"/>
        </w:rPr>
        <w:t xml:space="preserve">  </w:t>
      </w:r>
      <w:r>
        <w:rPr>
          <w:rFonts w:ascii="宋体" w:eastAsia="宋体" w:hAnsi="宋体" w:cs="宋体"/>
          <w:spacing w:val="5"/>
        </w:rPr>
        <w:t>瘤细胞内的</w:t>
      </w:r>
      <w:r>
        <w:rPr>
          <w:rFonts w:ascii="宋体" w:eastAsia="宋体" w:hAnsi="宋体" w:cs="宋体"/>
          <w:spacing w:val="-43"/>
        </w:rPr>
        <w:t xml:space="preserve"> </w:t>
      </w:r>
      <w:r>
        <w:rPr>
          <w:rFonts w:ascii="宋体" w:eastAsia="宋体" w:hAnsi="宋体" w:cs="宋体"/>
          <w:spacing w:val="5"/>
        </w:rPr>
        <w:t>D53</w:t>
      </w:r>
      <w:r>
        <w:rPr>
          <w:rFonts w:ascii="宋体" w:eastAsia="宋体" w:hAnsi="宋体" w:cs="宋体"/>
          <w:spacing w:val="-26"/>
        </w:rPr>
        <w:t xml:space="preserve"> </w:t>
      </w:r>
      <w:r>
        <w:rPr>
          <w:rFonts w:ascii="宋体" w:eastAsia="宋体" w:hAnsi="宋体" w:cs="宋体"/>
          <w:spacing w:val="5"/>
        </w:rPr>
        <w:t>基因表达明显增强，从而引发</w:t>
      </w:r>
      <w:r>
        <w:rPr>
          <w:rFonts w:ascii="宋体" w:eastAsia="宋体" w:hAnsi="宋体" w:cs="宋体"/>
          <w:spacing w:val="-54"/>
        </w:rPr>
        <w:t xml:space="preserve"> </w:t>
      </w:r>
      <w:r>
        <w:rPr>
          <w:rFonts w:ascii="宋体" w:eastAsia="宋体" w:hAnsi="宋体" w:cs="宋体"/>
        </w:rPr>
        <w:t>Lewis</w:t>
      </w:r>
      <w:r>
        <w:rPr>
          <w:rFonts w:ascii="宋体" w:eastAsia="宋体" w:hAnsi="宋体" w:cs="宋体"/>
          <w:spacing w:val="-43"/>
        </w:rPr>
        <w:t xml:space="preserve"> </w:t>
      </w:r>
      <w:r>
        <w:rPr>
          <w:rFonts w:ascii="宋体" w:eastAsia="宋体" w:hAnsi="宋体" w:cs="宋体"/>
          <w:spacing w:val="5"/>
        </w:rPr>
        <w:t>肺癌细胞的程序性死亡，</w:t>
      </w:r>
      <w:r>
        <w:rPr>
          <w:rFonts w:ascii="宋体" w:eastAsia="宋体" w:hAnsi="宋体" w:cs="宋体"/>
        </w:rPr>
        <w:t xml:space="preserve"> </w:t>
      </w:r>
      <w:r>
        <w:rPr>
          <w:rFonts w:ascii="宋体" w:eastAsia="宋体" w:hAnsi="宋体" w:cs="宋体"/>
          <w:spacing w:val="-5"/>
        </w:rPr>
        <w:t>这可能是多糖抗肿瘤作用的又一新途径。</w:t>
      </w:r>
    </w:p>
    <w:p w:rsidR="00EA40A3" w:rsidRDefault="00E86C16">
      <w:pPr>
        <w:spacing w:before="107"/>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6"/>
          <w:sz w:val="18"/>
          <w:szCs w:val="18"/>
        </w:rPr>
        <w:t xml:space="preserve"> </w:t>
      </w:r>
      <w:r>
        <w:rPr>
          <w:rFonts w:ascii="宋体" w:eastAsia="宋体" w:hAnsi="宋体" w:cs="宋体"/>
          <w:spacing w:val="-31"/>
          <w:sz w:val="18"/>
          <w:szCs w:val="18"/>
        </w:rPr>
        <w:t>52</w:t>
      </w:r>
      <w:r>
        <w:rPr>
          <w:rFonts w:ascii="宋体" w:eastAsia="宋体" w:hAnsi="宋体" w:cs="宋体"/>
          <w:spacing w:val="43"/>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1054" w:bottom="400" w:left="820" w:header="0" w:footer="0" w:gutter="0"/>
          <w:cols w:space="720"/>
        </w:sectPr>
      </w:pPr>
    </w:p>
    <w:p w:rsidR="00EA40A3" w:rsidRDefault="00EA40A3">
      <w:pPr>
        <w:spacing w:line="295" w:lineRule="auto"/>
      </w:pPr>
    </w:p>
    <w:p w:rsidR="00EA40A3" w:rsidRDefault="00EA40A3">
      <w:pPr>
        <w:spacing w:line="296" w:lineRule="auto"/>
      </w:pPr>
    </w:p>
    <w:p w:rsidR="00EA40A3" w:rsidRDefault="00E86C16">
      <w:pPr>
        <w:spacing w:before="71" w:line="225" w:lineRule="auto"/>
        <w:rPr>
          <w:rFonts w:ascii="楷体" w:eastAsia="楷体" w:hAnsi="楷体" w:cs="楷体"/>
          <w:sz w:val="22"/>
          <w:szCs w:val="22"/>
        </w:rPr>
      </w:pPr>
      <w:r>
        <w:rPr>
          <w:rFonts w:ascii="楷体" w:eastAsia="楷体" w:hAnsi="楷体" w:cs="楷体"/>
          <w:spacing w:val="-4"/>
          <w:sz w:val="22"/>
          <w:szCs w:val="22"/>
        </w:rPr>
        <w:t>4)降血糖、降血脂功能</w:t>
      </w:r>
    </w:p>
    <w:p w:rsidR="00EA40A3" w:rsidRDefault="00E86C16">
      <w:pPr>
        <w:spacing w:before="35" w:line="248" w:lineRule="auto"/>
        <w:ind w:firstLine="430"/>
        <w:jc w:val="both"/>
        <w:rPr>
          <w:rFonts w:ascii="宋体" w:eastAsia="宋体" w:hAnsi="宋体" w:cs="宋体"/>
          <w:sz w:val="22"/>
          <w:szCs w:val="22"/>
        </w:rPr>
      </w:pPr>
      <w:r>
        <w:rPr>
          <w:rFonts w:ascii="宋体" w:eastAsia="宋体" w:hAnsi="宋体" w:cs="宋体"/>
          <w:spacing w:val="-13"/>
          <w:sz w:val="22"/>
          <w:szCs w:val="22"/>
        </w:rPr>
        <w:t>各种研究表明，很多种多糖具有降血糖、降血脂的功</w:t>
      </w:r>
      <w:r>
        <w:rPr>
          <w:rFonts w:ascii="宋体" w:eastAsia="宋体" w:hAnsi="宋体" w:cs="宋体"/>
          <w:spacing w:val="-14"/>
          <w:sz w:val="22"/>
          <w:szCs w:val="22"/>
        </w:rPr>
        <w:t>能，并被用于糖尿病及</w:t>
      </w:r>
      <w:r>
        <w:rPr>
          <w:rFonts w:ascii="宋体" w:eastAsia="宋体" w:hAnsi="宋体" w:cs="宋体"/>
          <w:sz w:val="22"/>
          <w:szCs w:val="22"/>
        </w:rPr>
        <w:t xml:space="preserve">  </w:t>
      </w:r>
      <w:r>
        <w:rPr>
          <w:rFonts w:ascii="宋体" w:eastAsia="宋体" w:hAnsi="宋体" w:cs="宋体"/>
          <w:spacing w:val="-5"/>
          <w:sz w:val="22"/>
          <w:szCs w:val="22"/>
        </w:rPr>
        <w:t>心血管疾病的预防及治疗研究。据报道，从人参</w:t>
      </w:r>
      <w:r>
        <w:rPr>
          <w:rFonts w:ascii="宋体" w:eastAsia="宋体" w:hAnsi="宋体" w:cs="宋体"/>
          <w:spacing w:val="-10"/>
          <w:sz w:val="22"/>
          <w:szCs w:val="22"/>
        </w:rPr>
        <w:t xml:space="preserve"> </w:t>
      </w:r>
      <w:r>
        <w:rPr>
          <w:rFonts w:ascii="宋体" w:eastAsia="宋体" w:hAnsi="宋体" w:cs="宋体"/>
          <w:spacing w:val="-5"/>
          <w:sz w:val="22"/>
          <w:szCs w:val="22"/>
        </w:rPr>
        <w:t>(Panax</w:t>
      </w:r>
      <w:r>
        <w:rPr>
          <w:rFonts w:ascii="宋体" w:eastAsia="宋体" w:hAnsi="宋体" w:cs="宋体"/>
          <w:spacing w:val="12"/>
          <w:sz w:val="22"/>
          <w:szCs w:val="22"/>
        </w:rPr>
        <w:t xml:space="preserve"> </w:t>
      </w:r>
      <w:r>
        <w:rPr>
          <w:rFonts w:ascii="宋体" w:eastAsia="宋体" w:hAnsi="宋体" w:cs="宋体"/>
          <w:spacing w:val="-5"/>
          <w:sz w:val="22"/>
          <w:szCs w:val="22"/>
        </w:rPr>
        <w:t>ginseng</w:t>
      </w:r>
      <w:r>
        <w:rPr>
          <w:rFonts w:ascii="宋体" w:eastAsia="宋体" w:hAnsi="宋体" w:cs="宋体"/>
          <w:spacing w:val="-6"/>
          <w:sz w:val="22"/>
          <w:szCs w:val="22"/>
        </w:rPr>
        <w:t>)</w:t>
      </w:r>
      <w:r>
        <w:rPr>
          <w:rFonts w:ascii="宋体" w:eastAsia="宋体" w:hAnsi="宋体" w:cs="宋体"/>
          <w:spacing w:val="-23"/>
          <w:sz w:val="22"/>
          <w:szCs w:val="22"/>
        </w:rPr>
        <w:t xml:space="preserve"> </w:t>
      </w:r>
      <w:r>
        <w:rPr>
          <w:rFonts w:ascii="宋体" w:eastAsia="宋体" w:hAnsi="宋体" w:cs="宋体"/>
          <w:spacing w:val="-6"/>
          <w:sz w:val="22"/>
          <w:szCs w:val="22"/>
        </w:rPr>
        <w:t>中提取的5</w:t>
      </w:r>
      <w:r>
        <w:rPr>
          <w:rFonts w:ascii="宋体" w:eastAsia="宋体" w:hAnsi="宋体" w:cs="宋体"/>
          <w:sz w:val="22"/>
          <w:szCs w:val="22"/>
        </w:rPr>
        <w:t xml:space="preserve">  种多糖A、B、C、D、E,</w:t>
      </w:r>
      <w:r>
        <w:rPr>
          <w:rFonts w:ascii="宋体" w:eastAsia="宋体" w:hAnsi="宋体" w:cs="宋体"/>
          <w:spacing w:val="5"/>
          <w:sz w:val="22"/>
          <w:szCs w:val="22"/>
        </w:rPr>
        <w:t xml:space="preserve">  </w:t>
      </w:r>
      <w:r>
        <w:rPr>
          <w:rFonts w:ascii="宋体" w:eastAsia="宋体" w:hAnsi="宋体" w:cs="宋体"/>
          <w:sz w:val="22"/>
          <w:szCs w:val="22"/>
        </w:rPr>
        <w:t>在动物实验中均表现了随剂</w:t>
      </w:r>
      <w:r>
        <w:rPr>
          <w:rFonts w:ascii="宋体" w:eastAsia="宋体" w:hAnsi="宋体" w:cs="宋体"/>
          <w:spacing w:val="-1"/>
          <w:sz w:val="22"/>
          <w:szCs w:val="22"/>
        </w:rPr>
        <w:t>量加大而降血糖作用增</w:t>
      </w:r>
      <w:r>
        <w:rPr>
          <w:rFonts w:ascii="宋体" w:eastAsia="宋体" w:hAnsi="宋体" w:cs="宋体"/>
          <w:spacing w:val="1"/>
          <w:sz w:val="22"/>
          <w:szCs w:val="22"/>
        </w:rPr>
        <w:t xml:space="preserve"> </w:t>
      </w:r>
      <w:r>
        <w:rPr>
          <w:rFonts w:ascii="宋体" w:eastAsia="宋体" w:hAnsi="宋体" w:cs="宋体"/>
          <w:spacing w:val="-6"/>
          <w:sz w:val="22"/>
          <w:szCs w:val="22"/>
        </w:rPr>
        <w:t>强。从知母</w:t>
      </w:r>
      <w:r>
        <w:rPr>
          <w:rFonts w:ascii="宋体" w:eastAsia="宋体" w:hAnsi="宋体" w:cs="宋体"/>
          <w:spacing w:val="-20"/>
          <w:sz w:val="22"/>
          <w:szCs w:val="22"/>
        </w:rPr>
        <w:t xml:space="preserve"> </w:t>
      </w:r>
      <w:r>
        <w:rPr>
          <w:rFonts w:ascii="宋体" w:eastAsia="宋体" w:hAnsi="宋体" w:cs="宋体"/>
          <w:spacing w:val="-6"/>
          <w:sz w:val="22"/>
          <w:szCs w:val="22"/>
        </w:rPr>
        <w:t>(Anemarrhena</w:t>
      </w:r>
      <w:r>
        <w:rPr>
          <w:rFonts w:ascii="宋体" w:eastAsia="宋体" w:hAnsi="宋体" w:cs="宋体"/>
          <w:spacing w:val="3"/>
          <w:sz w:val="22"/>
          <w:szCs w:val="22"/>
        </w:rPr>
        <w:t xml:space="preserve"> </w:t>
      </w:r>
      <w:r>
        <w:rPr>
          <w:rFonts w:ascii="宋体" w:eastAsia="宋体" w:hAnsi="宋体" w:cs="宋体"/>
          <w:spacing w:val="-6"/>
          <w:sz w:val="22"/>
          <w:szCs w:val="22"/>
        </w:rPr>
        <w:t>asphodeloides)</w:t>
      </w:r>
      <w:r>
        <w:rPr>
          <w:rFonts w:ascii="宋体" w:eastAsia="宋体" w:hAnsi="宋体" w:cs="宋体"/>
          <w:spacing w:val="-26"/>
          <w:sz w:val="22"/>
          <w:szCs w:val="22"/>
        </w:rPr>
        <w:t xml:space="preserve"> </w:t>
      </w:r>
      <w:r>
        <w:rPr>
          <w:rFonts w:ascii="宋体" w:eastAsia="宋体" w:hAnsi="宋体" w:cs="宋体"/>
          <w:spacing w:val="-6"/>
          <w:sz w:val="22"/>
          <w:szCs w:val="22"/>
        </w:rPr>
        <w:t>中获得的多糖同样具有降低血</w:t>
      </w:r>
      <w:r>
        <w:rPr>
          <w:rFonts w:ascii="宋体" w:eastAsia="宋体" w:hAnsi="宋体" w:cs="宋体"/>
          <w:spacing w:val="-7"/>
          <w:sz w:val="22"/>
          <w:szCs w:val="22"/>
        </w:rPr>
        <w:t>糖的</w:t>
      </w:r>
      <w:r>
        <w:rPr>
          <w:rFonts w:ascii="宋体" w:eastAsia="宋体" w:hAnsi="宋体" w:cs="宋体"/>
          <w:sz w:val="22"/>
          <w:szCs w:val="22"/>
        </w:rPr>
        <w:t xml:space="preserve"> </w:t>
      </w:r>
      <w:r>
        <w:rPr>
          <w:rFonts w:ascii="宋体" w:eastAsia="宋体" w:hAnsi="宋体" w:cs="宋体"/>
          <w:spacing w:val="5"/>
          <w:sz w:val="22"/>
          <w:szCs w:val="22"/>
        </w:rPr>
        <w:t>作用，其中知母多糖</w:t>
      </w:r>
      <w:r>
        <w:rPr>
          <w:rFonts w:ascii="宋体" w:eastAsia="宋体" w:hAnsi="宋体" w:cs="宋体"/>
          <w:spacing w:val="-32"/>
          <w:sz w:val="22"/>
          <w:szCs w:val="22"/>
        </w:rPr>
        <w:t xml:space="preserve"> </w:t>
      </w:r>
      <w:r>
        <w:rPr>
          <w:rFonts w:ascii="宋体" w:eastAsia="宋体" w:hAnsi="宋体" w:cs="宋体"/>
          <w:spacing w:val="5"/>
          <w:sz w:val="22"/>
          <w:szCs w:val="22"/>
        </w:rPr>
        <w:t>B</w:t>
      </w:r>
      <w:r>
        <w:rPr>
          <w:rFonts w:ascii="宋体" w:eastAsia="宋体" w:hAnsi="宋体" w:cs="宋体"/>
          <w:spacing w:val="-7"/>
          <w:sz w:val="22"/>
          <w:szCs w:val="22"/>
        </w:rPr>
        <w:t xml:space="preserve"> </w:t>
      </w:r>
      <w:r>
        <w:rPr>
          <w:rFonts w:ascii="宋体" w:eastAsia="宋体" w:hAnsi="宋体" w:cs="宋体"/>
          <w:spacing w:val="5"/>
          <w:sz w:val="22"/>
          <w:szCs w:val="22"/>
        </w:rPr>
        <w:t>可维持24h</w:t>
      </w:r>
      <w:r>
        <w:rPr>
          <w:rFonts w:ascii="宋体" w:eastAsia="宋体" w:hAnsi="宋体" w:cs="宋体"/>
          <w:spacing w:val="-24"/>
          <w:sz w:val="22"/>
          <w:szCs w:val="22"/>
        </w:rPr>
        <w:t xml:space="preserve"> </w:t>
      </w:r>
      <w:r>
        <w:rPr>
          <w:rFonts w:ascii="宋体" w:eastAsia="宋体" w:hAnsi="宋体" w:cs="宋体"/>
          <w:spacing w:val="5"/>
          <w:sz w:val="22"/>
          <w:szCs w:val="22"/>
        </w:rPr>
        <w:t>的作用。同时，有研究者从冬虫夏草菌</w:t>
      </w:r>
      <w:r>
        <w:rPr>
          <w:rFonts w:ascii="宋体" w:eastAsia="宋体" w:hAnsi="宋体" w:cs="宋体"/>
          <w:sz w:val="22"/>
          <w:szCs w:val="22"/>
        </w:rPr>
        <w:t xml:space="preserve">  </w:t>
      </w:r>
      <w:r>
        <w:rPr>
          <w:rFonts w:ascii="宋体" w:eastAsia="宋体" w:hAnsi="宋体" w:cs="宋体"/>
          <w:spacing w:val="-11"/>
          <w:sz w:val="22"/>
          <w:szCs w:val="22"/>
        </w:rPr>
        <w:t>(Cordyceps</w:t>
      </w:r>
      <w:r>
        <w:rPr>
          <w:rFonts w:ascii="宋体" w:eastAsia="宋体" w:hAnsi="宋体" w:cs="宋体"/>
          <w:spacing w:val="9"/>
          <w:sz w:val="22"/>
          <w:szCs w:val="22"/>
        </w:rPr>
        <w:t xml:space="preserve"> </w:t>
      </w:r>
      <w:r>
        <w:rPr>
          <w:rFonts w:ascii="宋体" w:eastAsia="宋体" w:hAnsi="宋体" w:cs="宋体"/>
          <w:spacing w:val="-11"/>
          <w:sz w:val="22"/>
          <w:szCs w:val="22"/>
        </w:rPr>
        <w:t>sinensis)</w:t>
      </w:r>
      <w:r>
        <w:rPr>
          <w:rFonts w:ascii="宋体" w:eastAsia="宋体" w:hAnsi="宋体" w:cs="宋体"/>
          <w:spacing w:val="-42"/>
          <w:sz w:val="22"/>
          <w:szCs w:val="22"/>
        </w:rPr>
        <w:t xml:space="preserve"> </w:t>
      </w:r>
      <w:r>
        <w:rPr>
          <w:rFonts w:ascii="宋体" w:eastAsia="宋体" w:hAnsi="宋体" w:cs="宋体"/>
          <w:spacing w:val="-11"/>
          <w:sz w:val="22"/>
          <w:szCs w:val="22"/>
        </w:rPr>
        <w:t>培养菌丝体的热水提取物中纯化出一种多糖CS-F10,</w:t>
      </w:r>
      <w:r>
        <w:rPr>
          <w:rFonts w:ascii="宋体" w:eastAsia="宋体" w:hAnsi="宋体" w:cs="宋体"/>
          <w:spacing w:val="-13"/>
          <w:sz w:val="22"/>
          <w:szCs w:val="22"/>
        </w:rPr>
        <w:t xml:space="preserve"> </w:t>
      </w:r>
      <w:r>
        <w:rPr>
          <w:rFonts w:ascii="宋体" w:eastAsia="宋体" w:hAnsi="宋体" w:cs="宋体"/>
          <w:spacing w:val="-11"/>
          <w:sz w:val="22"/>
          <w:szCs w:val="22"/>
        </w:rPr>
        <w:t>发现</w:t>
      </w:r>
      <w:r>
        <w:rPr>
          <w:rFonts w:ascii="宋体" w:eastAsia="宋体" w:hAnsi="宋体" w:cs="宋体"/>
          <w:sz w:val="22"/>
          <w:szCs w:val="22"/>
        </w:rPr>
        <w:t xml:space="preserve">  </w:t>
      </w:r>
      <w:r>
        <w:rPr>
          <w:rFonts w:ascii="宋体" w:eastAsia="宋体" w:hAnsi="宋体" w:cs="宋体"/>
          <w:spacing w:val="-13"/>
          <w:sz w:val="22"/>
          <w:szCs w:val="22"/>
        </w:rPr>
        <w:t>该多糖能够通过增强葡萄糖激酶活性，加速葡萄糖的代谢，并且抑制肝葡萄糖的</w:t>
      </w:r>
      <w:r>
        <w:rPr>
          <w:rFonts w:ascii="宋体" w:eastAsia="宋体" w:hAnsi="宋体" w:cs="宋体"/>
          <w:spacing w:val="5"/>
          <w:sz w:val="22"/>
          <w:szCs w:val="22"/>
        </w:rPr>
        <w:t xml:space="preserve">  </w:t>
      </w:r>
      <w:r>
        <w:rPr>
          <w:rFonts w:ascii="宋体" w:eastAsia="宋体" w:hAnsi="宋体" w:cs="宋体"/>
          <w:spacing w:val="-10"/>
          <w:sz w:val="22"/>
          <w:szCs w:val="22"/>
        </w:rPr>
        <w:t>输出，从而达到降低血糖作用。具有降血糖作用的多糖还有桑多糖、灵芝多糖、</w:t>
      </w:r>
      <w:r>
        <w:rPr>
          <w:rFonts w:ascii="宋体" w:eastAsia="宋体" w:hAnsi="宋体" w:cs="宋体"/>
          <w:sz w:val="22"/>
          <w:szCs w:val="22"/>
        </w:rPr>
        <w:t xml:space="preserve"> </w:t>
      </w:r>
      <w:r>
        <w:rPr>
          <w:rFonts w:ascii="宋体" w:eastAsia="宋体" w:hAnsi="宋体" w:cs="宋体"/>
          <w:spacing w:val="-14"/>
          <w:sz w:val="22"/>
          <w:szCs w:val="22"/>
        </w:rPr>
        <w:t>乌头多糖、紫草多糖、双蕙黄麻多糖、苍术多糖等。</w:t>
      </w:r>
    </w:p>
    <w:p w:rsidR="00EA40A3" w:rsidRDefault="00E86C16">
      <w:pPr>
        <w:spacing w:before="91" w:line="247" w:lineRule="auto"/>
        <w:ind w:right="97" w:firstLine="430"/>
        <w:jc w:val="both"/>
        <w:rPr>
          <w:rFonts w:ascii="宋体" w:eastAsia="宋体" w:hAnsi="宋体" w:cs="宋体"/>
          <w:sz w:val="22"/>
          <w:szCs w:val="22"/>
        </w:rPr>
      </w:pPr>
      <w:r>
        <w:rPr>
          <w:rFonts w:ascii="宋体" w:eastAsia="宋体" w:hAnsi="宋体" w:cs="宋体"/>
          <w:spacing w:val="-7"/>
          <w:sz w:val="22"/>
          <w:szCs w:val="22"/>
        </w:rPr>
        <w:t>多糖不仅能够降血糖，而且具有降血脂的功能。如类肝素，结构与肝素类</w:t>
      </w:r>
      <w:r>
        <w:rPr>
          <w:rFonts w:ascii="宋体" w:eastAsia="宋体" w:hAnsi="宋体" w:cs="宋体"/>
          <w:spacing w:val="2"/>
          <w:sz w:val="22"/>
          <w:szCs w:val="22"/>
        </w:rPr>
        <w:t xml:space="preserve"> </w:t>
      </w:r>
      <w:r>
        <w:rPr>
          <w:rFonts w:ascii="宋体" w:eastAsia="宋体" w:hAnsi="宋体" w:cs="宋体"/>
          <w:spacing w:val="-13"/>
          <w:sz w:val="22"/>
          <w:szCs w:val="22"/>
        </w:rPr>
        <w:t>似，能促进脂蛋白脂肪酶释放，使血液中大分子的脂质分解成小分子，因而对血</w:t>
      </w:r>
      <w:r>
        <w:rPr>
          <w:rFonts w:ascii="宋体" w:eastAsia="宋体" w:hAnsi="宋体" w:cs="宋体"/>
          <w:spacing w:val="2"/>
          <w:sz w:val="22"/>
          <w:szCs w:val="22"/>
        </w:rPr>
        <w:t xml:space="preserve"> </w:t>
      </w:r>
      <w:r>
        <w:rPr>
          <w:rFonts w:ascii="宋体" w:eastAsia="宋体" w:hAnsi="宋体" w:cs="宋体"/>
          <w:sz w:val="22"/>
          <w:szCs w:val="22"/>
        </w:rPr>
        <w:t>脂过多引起的血清浑浊有澄清作用，也能明显</w:t>
      </w:r>
      <w:r>
        <w:rPr>
          <w:rFonts w:ascii="宋体" w:eastAsia="宋体" w:hAnsi="宋体" w:cs="宋体"/>
          <w:spacing w:val="-1"/>
          <w:sz w:val="22"/>
          <w:szCs w:val="22"/>
        </w:rPr>
        <w:t>降低血胆固醇。硫酸软骨素</w:t>
      </w:r>
      <w:r>
        <w:rPr>
          <w:rFonts w:ascii="宋体" w:eastAsia="宋体" w:hAnsi="宋体" w:cs="宋体"/>
          <w:spacing w:val="-50"/>
          <w:sz w:val="22"/>
          <w:szCs w:val="22"/>
        </w:rPr>
        <w:t xml:space="preserve"> </w:t>
      </w:r>
      <w:r>
        <w:rPr>
          <w:rFonts w:ascii="宋体" w:eastAsia="宋体" w:hAnsi="宋体" w:cs="宋体"/>
          <w:spacing w:val="-1"/>
          <w:sz w:val="22"/>
          <w:szCs w:val="22"/>
        </w:rPr>
        <w:t>A</w:t>
      </w:r>
      <w:r>
        <w:rPr>
          <w:rFonts w:ascii="宋体" w:eastAsia="宋体" w:hAnsi="宋体" w:cs="宋体"/>
          <w:sz w:val="22"/>
          <w:szCs w:val="22"/>
        </w:rPr>
        <w:t xml:space="preserve"> </w:t>
      </w:r>
      <w:r>
        <w:rPr>
          <w:rFonts w:ascii="宋体" w:eastAsia="宋体" w:hAnsi="宋体" w:cs="宋体"/>
          <w:spacing w:val="-11"/>
          <w:sz w:val="22"/>
          <w:szCs w:val="22"/>
        </w:rPr>
        <w:t>(chondrotin</w:t>
      </w:r>
      <w:r>
        <w:rPr>
          <w:rFonts w:ascii="宋体" w:eastAsia="宋体" w:hAnsi="宋体" w:cs="宋体"/>
          <w:spacing w:val="1"/>
          <w:sz w:val="22"/>
          <w:szCs w:val="22"/>
        </w:rPr>
        <w:t xml:space="preserve"> </w:t>
      </w:r>
      <w:r>
        <w:rPr>
          <w:rFonts w:ascii="宋体" w:eastAsia="宋体" w:hAnsi="宋体" w:cs="宋体"/>
          <w:spacing w:val="-11"/>
          <w:sz w:val="22"/>
          <w:szCs w:val="22"/>
        </w:rPr>
        <w:t>sulfate</w:t>
      </w:r>
      <w:r>
        <w:rPr>
          <w:rFonts w:ascii="宋体" w:eastAsia="宋体" w:hAnsi="宋体" w:cs="宋体"/>
          <w:spacing w:val="-13"/>
          <w:sz w:val="22"/>
          <w:szCs w:val="22"/>
        </w:rPr>
        <w:t xml:space="preserve"> </w:t>
      </w:r>
      <w:r>
        <w:rPr>
          <w:rFonts w:ascii="宋体" w:eastAsia="宋体" w:hAnsi="宋体" w:cs="宋体"/>
          <w:spacing w:val="-11"/>
          <w:sz w:val="22"/>
          <w:szCs w:val="22"/>
        </w:rPr>
        <w:t>A)</w:t>
      </w:r>
      <w:r>
        <w:rPr>
          <w:rFonts w:ascii="宋体" w:eastAsia="宋体" w:hAnsi="宋体" w:cs="宋体"/>
          <w:spacing w:val="-62"/>
          <w:sz w:val="22"/>
          <w:szCs w:val="22"/>
        </w:rPr>
        <w:t xml:space="preserve"> </w:t>
      </w:r>
      <w:r>
        <w:rPr>
          <w:rFonts w:ascii="宋体" w:eastAsia="宋体" w:hAnsi="宋体" w:cs="宋体"/>
          <w:spacing w:val="-11"/>
          <w:sz w:val="22"/>
          <w:szCs w:val="22"/>
        </w:rPr>
        <w:t>也能使血清澄清，临床能较</w:t>
      </w:r>
      <w:r>
        <w:rPr>
          <w:rFonts w:ascii="宋体" w:eastAsia="宋体" w:hAnsi="宋体" w:cs="宋体"/>
          <w:spacing w:val="-12"/>
          <w:sz w:val="22"/>
          <w:szCs w:val="22"/>
        </w:rPr>
        <w:t>好降低高血脂患者血清胆固</w:t>
      </w:r>
      <w:r>
        <w:rPr>
          <w:rFonts w:ascii="宋体" w:eastAsia="宋体" w:hAnsi="宋体" w:cs="宋体"/>
          <w:sz w:val="22"/>
          <w:szCs w:val="22"/>
        </w:rPr>
        <w:t xml:space="preserve"> </w:t>
      </w:r>
      <w:r>
        <w:rPr>
          <w:rFonts w:ascii="宋体" w:eastAsia="宋体" w:hAnsi="宋体" w:cs="宋体"/>
          <w:spacing w:val="-13"/>
          <w:sz w:val="22"/>
          <w:szCs w:val="22"/>
        </w:rPr>
        <w:t>醇、甘油三酯，减少冠心病患者发病率和死亡率。此外，多种动物研究表明，果</w:t>
      </w:r>
      <w:r>
        <w:rPr>
          <w:rFonts w:ascii="宋体" w:eastAsia="宋体" w:hAnsi="宋体" w:cs="宋体"/>
          <w:spacing w:val="6"/>
          <w:sz w:val="22"/>
          <w:szCs w:val="22"/>
        </w:rPr>
        <w:t xml:space="preserve"> </w:t>
      </w:r>
      <w:r>
        <w:rPr>
          <w:rFonts w:ascii="宋体" w:eastAsia="宋体" w:hAnsi="宋体" w:cs="宋体"/>
          <w:spacing w:val="-13"/>
          <w:sz w:val="22"/>
          <w:szCs w:val="22"/>
        </w:rPr>
        <w:t>胶、海带多糖、褐藻多糖等也可使血胆固醇降低，并能减少主动脉粥样斑块的形</w:t>
      </w:r>
      <w:r>
        <w:rPr>
          <w:rFonts w:ascii="宋体" w:eastAsia="宋体" w:hAnsi="宋体" w:cs="宋体"/>
          <w:spacing w:val="3"/>
          <w:sz w:val="22"/>
          <w:szCs w:val="22"/>
        </w:rPr>
        <w:t xml:space="preserve"> </w:t>
      </w:r>
      <w:r>
        <w:rPr>
          <w:rFonts w:ascii="宋体" w:eastAsia="宋体" w:hAnsi="宋体" w:cs="宋体"/>
          <w:spacing w:val="-20"/>
          <w:sz w:val="22"/>
          <w:szCs w:val="22"/>
        </w:rPr>
        <w:t>成及发展。</w:t>
      </w:r>
    </w:p>
    <w:p w:rsidR="00EA40A3" w:rsidRDefault="00E86C16">
      <w:pPr>
        <w:spacing w:before="74" w:line="225" w:lineRule="auto"/>
        <w:rPr>
          <w:rFonts w:ascii="楷体" w:eastAsia="楷体" w:hAnsi="楷体" w:cs="楷体"/>
          <w:sz w:val="22"/>
          <w:szCs w:val="22"/>
        </w:rPr>
      </w:pPr>
      <w:r>
        <w:rPr>
          <w:rFonts w:ascii="楷体" w:eastAsia="楷体" w:hAnsi="楷体" w:cs="楷体"/>
          <w:spacing w:val="-1"/>
          <w:sz w:val="22"/>
          <w:szCs w:val="22"/>
        </w:rPr>
        <w:t>5)其他功能</w:t>
      </w:r>
    </w:p>
    <w:p w:rsidR="00EA40A3" w:rsidRDefault="00E86C16">
      <w:pPr>
        <w:spacing w:before="56" w:line="235" w:lineRule="auto"/>
        <w:ind w:right="79" w:firstLine="430"/>
        <w:jc w:val="both"/>
        <w:rPr>
          <w:rFonts w:ascii="宋体" w:eastAsia="宋体" w:hAnsi="宋体" w:cs="宋体"/>
          <w:sz w:val="22"/>
          <w:szCs w:val="22"/>
        </w:rPr>
      </w:pPr>
      <w:r>
        <w:rPr>
          <w:rFonts w:ascii="宋体" w:eastAsia="宋体" w:hAnsi="宋体" w:cs="宋体"/>
          <w:spacing w:val="-3"/>
          <w:sz w:val="22"/>
          <w:szCs w:val="22"/>
        </w:rPr>
        <w:t>除了上述的生理功能外，多糖还具有多种生物活性，如抗凝血功能(肝素</w:t>
      </w:r>
      <w:r>
        <w:rPr>
          <w:rFonts w:ascii="宋体" w:eastAsia="宋体" w:hAnsi="宋体" w:cs="宋体"/>
          <w:spacing w:val="5"/>
          <w:sz w:val="22"/>
          <w:szCs w:val="22"/>
        </w:rPr>
        <w:t xml:space="preserve"> </w:t>
      </w:r>
      <w:r>
        <w:rPr>
          <w:rFonts w:ascii="宋体" w:eastAsia="宋体" w:hAnsi="宋体" w:cs="宋体"/>
          <w:spacing w:val="6"/>
          <w:sz w:val="22"/>
          <w:szCs w:val="22"/>
        </w:rPr>
        <w:t>等)、抗炎作用(银杏多糖等)、抗溃疡(白芨葡萄糖甘露聚糖组成的白芨胶</w:t>
      </w:r>
      <w:r>
        <w:rPr>
          <w:rFonts w:ascii="宋体" w:eastAsia="宋体" w:hAnsi="宋体" w:cs="宋体"/>
          <w:spacing w:val="7"/>
          <w:sz w:val="22"/>
          <w:szCs w:val="22"/>
        </w:rPr>
        <w:t xml:space="preserve"> </w:t>
      </w:r>
      <w:r>
        <w:rPr>
          <w:rFonts w:ascii="宋体" w:eastAsia="宋体" w:hAnsi="宋体" w:cs="宋体"/>
          <w:spacing w:val="-1"/>
          <w:sz w:val="22"/>
          <w:szCs w:val="22"/>
        </w:rPr>
        <w:t>等)等。</w:t>
      </w:r>
    </w:p>
    <w:p w:rsidR="00EA40A3" w:rsidRDefault="00E86C16">
      <w:pPr>
        <w:spacing w:before="234" w:line="220"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44"/>
          <w:sz w:val="22"/>
          <w:szCs w:val="22"/>
        </w:rPr>
        <w:t xml:space="preserve"> </w:t>
      </w:r>
      <w:r>
        <w:rPr>
          <w:rFonts w:ascii="仿宋" w:eastAsia="仿宋" w:hAnsi="仿宋" w:cs="仿宋"/>
          <w:spacing w:val="10"/>
          <w:sz w:val="22"/>
          <w:szCs w:val="22"/>
        </w:rPr>
        <w:t>各种功能性多糖</w:t>
      </w:r>
    </w:p>
    <w:p w:rsidR="00EA40A3" w:rsidRDefault="00E86C16">
      <w:pPr>
        <w:spacing w:before="194" w:line="237" w:lineRule="auto"/>
        <w:ind w:right="39" w:firstLine="430"/>
        <w:jc w:val="both"/>
        <w:rPr>
          <w:rFonts w:ascii="宋体" w:eastAsia="宋体" w:hAnsi="宋体" w:cs="宋体"/>
          <w:sz w:val="22"/>
          <w:szCs w:val="22"/>
        </w:rPr>
      </w:pPr>
      <w:r>
        <w:rPr>
          <w:rFonts w:ascii="宋体" w:eastAsia="宋体" w:hAnsi="宋体" w:cs="宋体"/>
          <w:spacing w:val="-9"/>
          <w:sz w:val="22"/>
          <w:szCs w:val="22"/>
        </w:rPr>
        <w:t>根据来源的不同，多糖也可分为植物多糖、动物多糖</w:t>
      </w:r>
      <w:r>
        <w:rPr>
          <w:rFonts w:ascii="宋体" w:eastAsia="宋体" w:hAnsi="宋体" w:cs="宋体"/>
          <w:spacing w:val="-10"/>
          <w:sz w:val="22"/>
          <w:szCs w:val="22"/>
        </w:rPr>
        <w:t>及微生物多糖(包括细</w:t>
      </w:r>
      <w:r>
        <w:rPr>
          <w:rFonts w:ascii="宋体" w:eastAsia="宋体" w:hAnsi="宋体" w:cs="宋体"/>
          <w:sz w:val="22"/>
          <w:szCs w:val="22"/>
        </w:rPr>
        <w:t xml:space="preserve"> </w:t>
      </w:r>
      <w:r>
        <w:rPr>
          <w:rFonts w:ascii="宋体" w:eastAsia="宋体" w:hAnsi="宋体" w:cs="宋体"/>
          <w:spacing w:val="-8"/>
          <w:sz w:val="22"/>
          <w:szCs w:val="22"/>
        </w:rPr>
        <w:t>菌多糖和真菌多糖)。目前，对香菇、灵芝、银耳、金针菇等真菌多糖，茶叶、</w:t>
      </w:r>
      <w:r>
        <w:rPr>
          <w:rFonts w:ascii="宋体" w:eastAsia="宋体" w:hAnsi="宋体" w:cs="宋体"/>
          <w:sz w:val="22"/>
          <w:szCs w:val="22"/>
        </w:rPr>
        <w:t xml:space="preserve"> </w:t>
      </w:r>
      <w:r>
        <w:rPr>
          <w:rFonts w:ascii="宋体" w:eastAsia="宋体" w:hAnsi="宋体" w:cs="宋体"/>
          <w:spacing w:val="-14"/>
          <w:sz w:val="22"/>
          <w:szCs w:val="22"/>
        </w:rPr>
        <w:t>人参、黄芪、魔芋、枸杞等植物多糖以及肝素和透明质酸等动物多糖的研究已</w:t>
      </w:r>
      <w:r>
        <w:rPr>
          <w:rFonts w:ascii="宋体" w:eastAsia="宋体" w:hAnsi="宋体" w:cs="宋体"/>
          <w:spacing w:val="-15"/>
          <w:sz w:val="22"/>
          <w:szCs w:val="22"/>
        </w:rPr>
        <w:t>取</w:t>
      </w:r>
      <w:r>
        <w:rPr>
          <w:rFonts w:ascii="宋体" w:eastAsia="宋体" w:hAnsi="宋体" w:cs="宋体"/>
          <w:sz w:val="22"/>
          <w:szCs w:val="22"/>
        </w:rPr>
        <w:t xml:space="preserve">  </w:t>
      </w:r>
      <w:r>
        <w:rPr>
          <w:rFonts w:ascii="宋体" w:eastAsia="宋体" w:hAnsi="宋体" w:cs="宋体"/>
          <w:spacing w:val="-17"/>
          <w:sz w:val="22"/>
          <w:szCs w:val="22"/>
        </w:rPr>
        <w:t>得一定的进展。</w:t>
      </w:r>
    </w:p>
    <w:p w:rsidR="00EA40A3" w:rsidRDefault="00E86C16">
      <w:pPr>
        <w:spacing w:before="66" w:line="225" w:lineRule="auto"/>
        <w:rPr>
          <w:rFonts w:ascii="楷体" w:eastAsia="楷体" w:hAnsi="楷体" w:cs="楷体"/>
          <w:sz w:val="22"/>
          <w:szCs w:val="22"/>
        </w:rPr>
      </w:pPr>
      <w:r>
        <w:rPr>
          <w:rFonts w:ascii="楷体" w:eastAsia="楷体" w:hAnsi="楷体" w:cs="楷体"/>
          <w:spacing w:val="-3"/>
          <w:sz w:val="22"/>
          <w:szCs w:val="22"/>
        </w:rPr>
        <w:t>1)真菌活性多糖</w:t>
      </w:r>
    </w:p>
    <w:p w:rsidR="00EA40A3" w:rsidRDefault="00E86C16">
      <w:pPr>
        <w:spacing w:before="64" w:line="227" w:lineRule="auto"/>
        <w:ind w:right="100" w:firstLine="430"/>
        <w:rPr>
          <w:rFonts w:ascii="宋体" w:eastAsia="宋体" w:hAnsi="宋体" w:cs="宋体"/>
          <w:sz w:val="22"/>
          <w:szCs w:val="22"/>
        </w:rPr>
      </w:pPr>
      <w:r>
        <w:rPr>
          <w:rFonts w:ascii="宋体" w:eastAsia="宋体" w:hAnsi="宋体" w:cs="宋体"/>
          <w:spacing w:val="-7"/>
          <w:sz w:val="22"/>
          <w:szCs w:val="22"/>
        </w:rPr>
        <w:t>真菌活性多糖是存在于香菇、金针菇、银耳、灵芝、蘑菇、黑木耳、肉苁</w:t>
      </w:r>
      <w:r>
        <w:rPr>
          <w:rFonts w:ascii="宋体" w:eastAsia="宋体" w:hAnsi="宋体" w:cs="宋体"/>
          <w:spacing w:val="2"/>
          <w:sz w:val="22"/>
          <w:szCs w:val="22"/>
        </w:rPr>
        <w:t xml:space="preserve"> </w:t>
      </w:r>
      <w:r>
        <w:rPr>
          <w:rFonts w:ascii="宋体" w:eastAsia="宋体" w:hAnsi="宋体" w:cs="宋体"/>
          <w:spacing w:val="-14"/>
          <w:sz w:val="22"/>
          <w:szCs w:val="22"/>
        </w:rPr>
        <w:t>蓉、茯苓、猴头菇、虫草等食用或药用真菌中的某些多</w:t>
      </w:r>
      <w:r>
        <w:rPr>
          <w:rFonts w:ascii="宋体" w:eastAsia="宋体" w:hAnsi="宋体" w:cs="宋体"/>
          <w:spacing w:val="-15"/>
          <w:sz w:val="22"/>
          <w:szCs w:val="22"/>
        </w:rPr>
        <w:t>糖组分。</w:t>
      </w:r>
    </w:p>
    <w:p w:rsidR="00EA40A3" w:rsidRDefault="00E86C16">
      <w:pPr>
        <w:spacing w:before="50" w:line="219" w:lineRule="auto"/>
        <w:ind w:left="430"/>
        <w:rPr>
          <w:rFonts w:ascii="宋体" w:eastAsia="宋体" w:hAnsi="宋体" w:cs="宋体"/>
          <w:sz w:val="22"/>
          <w:szCs w:val="22"/>
        </w:rPr>
      </w:pPr>
      <w:r>
        <w:rPr>
          <w:rFonts w:ascii="宋体" w:eastAsia="宋体" w:hAnsi="宋体" w:cs="宋体"/>
          <w:spacing w:val="-6"/>
          <w:sz w:val="22"/>
          <w:szCs w:val="22"/>
        </w:rPr>
        <w:t>a.香菇多糖</w:t>
      </w:r>
    </w:p>
    <w:p w:rsidR="00EA40A3" w:rsidRDefault="00E86C16">
      <w:pPr>
        <w:spacing w:before="52" w:line="244" w:lineRule="auto"/>
        <w:ind w:right="97" w:firstLine="430"/>
        <w:rPr>
          <w:rFonts w:ascii="宋体" w:eastAsia="宋体" w:hAnsi="宋体" w:cs="宋体"/>
          <w:sz w:val="22"/>
          <w:szCs w:val="22"/>
        </w:rPr>
      </w:pPr>
      <w:r>
        <w:rPr>
          <w:rFonts w:ascii="宋体" w:eastAsia="宋体" w:hAnsi="宋体" w:cs="宋体"/>
          <w:spacing w:val="-15"/>
          <w:sz w:val="22"/>
          <w:szCs w:val="22"/>
        </w:rPr>
        <w:t>香菇多糖</w:t>
      </w:r>
      <w:r>
        <w:rPr>
          <w:rFonts w:ascii="宋体" w:eastAsia="宋体" w:hAnsi="宋体" w:cs="宋体"/>
          <w:spacing w:val="-20"/>
          <w:sz w:val="22"/>
          <w:szCs w:val="22"/>
        </w:rPr>
        <w:t xml:space="preserve"> </w:t>
      </w:r>
      <w:r>
        <w:rPr>
          <w:rFonts w:ascii="宋体" w:eastAsia="宋体" w:hAnsi="宋体" w:cs="宋体"/>
          <w:spacing w:val="-15"/>
          <w:sz w:val="22"/>
          <w:szCs w:val="22"/>
        </w:rPr>
        <w:t>(Lentinus</w:t>
      </w:r>
      <w:r>
        <w:rPr>
          <w:rFonts w:ascii="宋体" w:eastAsia="宋体" w:hAnsi="宋体" w:cs="宋体"/>
          <w:spacing w:val="-2"/>
          <w:sz w:val="22"/>
          <w:szCs w:val="22"/>
        </w:rPr>
        <w:t xml:space="preserve"> </w:t>
      </w:r>
      <w:r>
        <w:rPr>
          <w:rFonts w:ascii="宋体" w:eastAsia="宋体" w:hAnsi="宋体" w:cs="宋体"/>
          <w:spacing w:val="-15"/>
          <w:sz w:val="22"/>
          <w:szCs w:val="22"/>
        </w:rPr>
        <w:t>edodes</w:t>
      </w:r>
      <w:r>
        <w:rPr>
          <w:rFonts w:ascii="宋体" w:eastAsia="宋体" w:hAnsi="宋体" w:cs="宋体"/>
          <w:spacing w:val="-9"/>
          <w:sz w:val="22"/>
          <w:szCs w:val="22"/>
        </w:rPr>
        <w:t xml:space="preserve"> </w:t>
      </w:r>
      <w:r>
        <w:rPr>
          <w:rFonts w:ascii="宋体" w:eastAsia="宋体" w:hAnsi="宋体" w:cs="宋体"/>
          <w:spacing w:val="-15"/>
          <w:sz w:val="22"/>
          <w:szCs w:val="22"/>
        </w:rPr>
        <w:t>polysaccharides)</w:t>
      </w:r>
      <w:r>
        <w:rPr>
          <w:rFonts w:ascii="宋体" w:eastAsia="宋体" w:hAnsi="宋体" w:cs="宋体"/>
          <w:spacing w:val="-42"/>
          <w:sz w:val="22"/>
          <w:szCs w:val="22"/>
        </w:rPr>
        <w:t xml:space="preserve"> </w:t>
      </w:r>
      <w:r>
        <w:rPr>
          <w:rFonts w:ascii="宋体" w:eastAsia="宋体" w:hAnsi="宋体" w:cs="宋体"/>
          <w:spacing w:val="-15"/>
          <w:sz w:val="22"/>
          <w:szCs w:val="22"/>
        </w:rPr>
        <w:t>为一种</w:t>
      </w:r>
      <w:r>
        <w:rPr>
          <w:rFonts w:ascii="宋体" w:eastAsia="宋体" w:hAnsi="宋体" w:cs="宋体"/>
          <w:spacing w:val="-47"/>
          <w:sz w:val="22"/>
          <w:szCs w:val="22"/>
        </w:rPr>
        <w:t xml:space="preserve"> </w:t>
      </w:r>
      <w:r>
        <w:rPr>
          <w:rFonts w:ascii="宋体" w:eastAsia="宋体" w:hAnsi="宋体" w:cs="宋体"/>
          <w:spacing w:val="-15"/>
          <w:sz w:val="22"/>
          <w:szCs w:val="22"/>
        </w:rPr>
        <w:t>βD-</w:t>
      </w:r>
      <w:r>
        <w:rPr>
          <w:rFonts w:ascii="宋体" w:eastAsia="宋体" w:hAnsi="宋体" w:cs="宋体"/>
          <w:spacing w:val="-62"/>
          <w:sz w:val="22"/>
          <w:szCs w:val="22"/>
        </w:rPr>
        <w:t xml:space="preserve"> </w:t>
      </w:r>
      <w:r>
        <w:rPr>
          <w:rFonts w:ascii="宋体" w:eastAsia="宋体" w:hAnsi="宋体" w:cs="宋体"/>
          <w:spacing w:val="-15"/>
          <w:sz w:val="22"/>
          <w:szCs w:val="22"/>
        </w:rPr>
        <w:t>(1→3)</w:t>
      </w:r>
      <w:r>
        <w:rPr>
          <w:rFonts w:ascii="宋体" w:eastAsia="宋体" w:hAnsi="宋体" w:cs="宋体"/>
          <w:spacing w:val="54"/>
          <w:sz w:val="22"/>
          <w:szCs w:val="22"/>
        </w:rPr>
        <w:t xml:space="preserve"> </w:t>
      </w:r>
      <w:r>
        <w:rPr>
          <w:rFonts w:ascii="宋体" w:eastAsia="宋体" w:hAnsi="宋体" w:cs="宋体"/>
          <w:spacing w:val="-15"/>
          <w:sz w:val="22"/>
          <w:szCs w:val="22"/>
        </w:rPr>
        <w:t>葡</w:t>
      </w:r>
      <w:r>
        <w:rPr>
          <w:rFonts w:ascii="宋体" w:eastAsia="宋体" w:hAnsi="宋体" w:cs="宋体"/>
          <w:spacing w:val="-16"/>
          <w:sz w:val="22"/>
          <w:szCs w:val="22"/>
        </w:rPr>
        <w:t>萄糖残</w:t>
      </w:r>
      <w:r>
        <w:rPr>
          <w:rFonts w:ascii="宋体" w:eastAsia="宋体" w:hAnsi="宋体" w:cs="宋体"/>
          <w:sz w:val="22"/>
          <w:szCs w:val="22"/>
        </w:rPr>
        <w:t xml:space="preserve"> </w:t>
      </w:r>
      <w:r>
        <w:rPr>
          <w:rFonts w:ascii="宋体" w:eastAsia="宋体" w:hAnsi="宋体" w:cs="宋体"/>
          <w:spacing w:val="-4"/>
          <w:sz w:val="22"/>
          <w:szCs w:val="22"/>
        </w:rPr>
        <w:t>基为主链，侧链为(1→6)葡萄糖残基的葡聚糖。重复结构单位一般含有7个葡</w:t>
      </w:r>
      <w:r>
        <w:rPr>
          <w:rFonts w:ascii="宋体" w:eastAsia="宋体" w:hAnsi="宋体" w:cs="宋体"/>
          <w:spacing w:val="5"/>
          <w:sz w:val="22"/>
          <w:szCs w:val="22"/>
        </w:rPr>
        <w:t xml:space="preserve"> </w:t>
      </w:r>
      <w:r>
        <w:rPr>
          <w:rFonts w:ascii="宋体" w:eastAsia="宋体" w:hAnsi="宋体" w:cs="宋体"/>
          <w:spacing w:val="-7"/>
          <w:sz w:val="22"/>
          <w:szCs w:val="22"/>
        </w:rPr>
        <w:t>萄糖残基，其中两个残基在侧链上，经X</w:t>
      </w:r>
      <w:r>
        <w:rPr>
          <w:rFonts w:ascii="宋体" w:eastAsia="宋体" w:hAnsi="宋体" w:cs="宋体"/>
          <w:spacing w:val="9"/>
          <w:sz w:val="22"/>
          <w:szCs w:val="22"/>
        </w:rPr>
        <w:t xml:space="preserve"> </w:t>
      </w:r>
      <w:r>
        <w:rPr>
          <w:rFonts w:ascii="宋体" w:eastAsia="宋体" w:hAnsi="宋体" w:cs="宋体"/>
          <w:spacing w:val="-7"/>
          <w:sz w:val="22"/>
          <w:szCs w:val="22"/>
        </w:rPr>
        <w:t>衍射分析，香菇多糖的立体结构为右</w:t>
      </w:r>
      <w:r>
        <w:rPr>
          <w:rFonts w:ascii="宋体" w:eastAsia="宋体" w:hAnsi="宋体" w:cs="宋体"/>
          <w:sz w:val="22"/>
          <w:szCs w:val="22"/>
        </w:rPr>
        <w:t xml:space="preserve"> </w:t>
      </w:r>
      <w:r>
        <w:rPr>
          <w:rFonts w:ascii="宋体" w:eastAsia="宋体" w:hAnsi="宋体" w:cs="宋体"/>
          <w:spacing w:val="-13"/>
          <w:sz w:val="22"/>
          <w:szCs w:val="22"/>
        </w:rPr>
        <w:t>手三度螺旋，晶格为六角形。香菇多糖为白色粉末状固体，对光和热稳定，在水</w:t>
      </w:r>
      <w:r>
        <w:rPr>
          <w:rFonts w:ascii="宋体" w:eastAsia="宋体" w:hAnsi="宋体" w:cs="宋体"/>
          <w:spacing w:val="3"/>
          <w:sz w:val="22"/>
          <w:szCs w:val="22"/>
        </w:rPr>
        <w:t xml:space="preserve"> </w:t>
      </w:r>
      <w:r>
        <w:rPr>
          <w:rFonts w:ascii="宋体" w:eastAsia="宋体" w:hAnsi="宋体" w:cs="宋体"/>
          <w:spacing w:val="14"/>
          <w:sz w:val="22"/>
          <w:szCs w:val="22"/>
        </w:rPr>
        <w:t>中最大溶解度为3</w:t>
      </w:r>
      <w:r>
        <w:rPr>
          <w:rFonts w:ascii="宋体" w:eastAsia="宋体" w:hAnsi="宋体" w:cs="宋体"/>
          <w:spacing w:val="-35"/>
          <w:sz w:val="22"/>
          <w:szCs w:val="22"/>
        </w:rPr>
        <w:t xml:space="preserve"> </w:t>
      </w:r>
      <w:r>
        <w:rPr>
          <w:rFonts w:ascii="宋体" w:eastAsia="宋体" w:hAnsi="宋体" w:cs="宋体"/>
          <w:sz w:val="22"/>
          <w:szCs w:val="22"/>
        </w:rPr>
        <w:t>mg</w:t>
      </w:r>
      <w:r>
        <w:rPr>
          <w:rFonts w:ascii="宋体" w:eastAsia="宋体" w:hAnsi="宋体" w:cs="宋体"/>
          <w:spacing w:val="14"/>
          <w:sz w:val="22"/>
          <w:szCs w:val="22"/>
        </w:rPr>
        <w:t>/</w:t>
      </w:r>
      <w:r>
        <w:rPr>
          <w:rFonts w:ascii="宋体" w:eastAsia="宋体" w:hAnsi="宋体" w:cs="宋体"/>
          <w:sz w:val="22"/>
          <w:szCs w:val="22"/>
        </w:rPr>
        <w:t>mL</w:t>
      </w:r>
      <w:r>
        <w:rPr>
          <w:rFonts w:ascii="宋体" w:eastAsia="宋体" w:hAnsi="宋体" w:cs="宋体"/>
          <w:spacing w:val="14"/>
          <w:sz w:val="22"/>
          <w:szCs w:val="22"/>
        </w:rPr>
        <w:t>。</w:t>
      </w:r>
      <w:r>
        <w:rPr>
          <w:rFonts w:ascii="宋体" w:eastAsia="宋体" w:hAnsi="宋体" w:cs="宋体"/>
          <w:spacing w:val="11"/>
          <w:sz w:val="22"/>
          <w:szCs w:val="22"/>
        </w:rPr>
        <w:t xml:space="preserve">  </w:t>
      </w:r>
      <w:r>
        <w:rPr>
          <w:rFonts w:ascii="宋体" w:eastAsia="宋体" w:hAnsi="宋体" w:cs="宋体"/>
          <w:spacing w:val="14"/>
          <w:sz w:val="22"/>
          <w:szCs w:val="22"/>
        </w:rPr>
        <w:t>能溶解于0.5</w:t>
      </w:r>
      <w:r>
        <w:rPr>
          <w:rFonts w:ascii="宋体" w:eastAsia="宋体" w:hAnsi="宋体" w:cs="宋体"/>
          <w:sz w:val="22"/>
          <w:szCs w:val="22"/>
        </w:rPr>
        <w:t>mol</w:t>
      </w:r>
      <w:r>
        <w:rPr>
          <w:rFonts w:ascii="宋体" w:eastAsia="宋体" w:hAnsi="宋体" w:cs="宋体"/>
          <w:spacing w:val="14"/>
          <w:sz w:val="22"/>
          <w:szCs w:val="22"/>
        </w:rPr>
        <w:t>/</w:t>
      </w:r>
      <w:r>
        <w:rPr>
          <w:rFonts w:ascii="宋体" w:eastAsia="宋体" w:hAnsi="宋体" w:cs="宋体"/>
          <w:sz w:val="22"/>
          <w:szCs w:val="22"/>
        </w:rPr>
        <w:t>L</w:t>
      </w:r>
      <w:r>
        <w:rPr>
          <w:rFonts w:ascii="宋体" w:eastAsia="宋体" w:hAnsi="宋体" w:cs="宋体"/>
          <w:spacing w:val="11"/>
          <w:sz w:val="22"/>
          <w:szCs w:val="22"/>
        </w:rPr>
        <w:t xml:space="preserve">   </w:t>
      </w:r>
      <w:r>
        <w:rPr>
          <w:rFonts w:ascii="宋体" w:eastAsia="宋体" w:hAnsi="宋体" w:cs="宋体"/>
          <w:sz w:val="22"/>
          <w:szCs w:val="22"/>
        </w:rPr>
        <w:t>NaOH</w:t>
      </w:r>
      <w:r>
        <w:rPr>
          <w:rFonts w:ascii="宋体" w:eastAsia="宋体" w:hAnsi="宋体" w:cs="宋体"/>
          <w:spacing w:val="14"/>
          <w:sz w:val="22"/>
          <w:szCs w:val="22"/>
        </w:rPr>
        <w:t>,溶解度可达50~</w:t>
      </w:r>
    </w:p>
    <w:p w:rsidR="00EA40A3" w:rsidRDefault="00E86C16">
      <w:pPr>
        <w:spacing w:before="117"/>
        <w:ind w:right="116"/>
        <w:jc w:val="right"/>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53</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979" w:bottom="400" w:left="890" w:header="0" w:footer="0" w:gutter="0"/>
          <w:cols w:space="720"/>
        </w:sectPr>
      </w:pPr>
    </w:p>
    <w:p w:rsidR="00EA40A3" w:rsidRDefault="00EA40A3">
      <w:pPr>
        <w:spacing w:line="315" w:lineRule="auto"/>
      </w:pPr>
    </w:p>
    <w:p w:rsidR="00EA40A3" w:rsidRDefault="00EA40A3">
      <w:pPr>
        <w:spacing w:line="315" w:lineRule="auto"/>
      </w:pPr>
    </w:p>
    <w:p w:rsidR="00EA40A3" w:rsidRDefault="00E86C16">
      <w:pPr>
        <w:spacing w:before="68" w:line="257" w:lineRule="auto"/>
        <w:ind w:right="59"/>
        <w:jc w:val="both"/>
        <w:rPr>
          <w:rFonts w:ascii="宋体" w:eastAsia="宋体" w:hAnsi="宋体" w:cs="宋体"/>
        </w:rPr>
      </w:pPr>
      <w:r>
        <w:rPr>
          <w:rFonts w:ascii="宋体" w:eastAsia="宋体" w:hAnsi="宋体" w:cs="宋体"/>
          <w:spacing w:val="-1"/>
        </w:rPr>
        <w:t>100mg/ml,</w:t>
      </w:r>
      <w:r>
        <w:rPr>
          <w:rFonts w:ascii="宋体" w:eastAsia="宋体" w:hAnsi="宋体" w:cs="宋体"/>
          <w:spacing w:val="15"/>
        </w:rPr>
        <w:t xml:space="preserve">  </w:t>
      </w:r>
      <w:r>
        <w:rPr>
          <w:rFonts w:ascii="宋体" w:eastAsia="宋体" w:hAnsi="宋体" w:cs="宋体"/>
          <w:spacing w:val="-1"/>
        </w:rPr>
        <w:t>不溶于甲醇、乙醇、丙酮等有机溶剂中。香菇多糖除了作为抗肿瘤</w:t>
      </w:r>
      <w:r>
        <w:rPr>
          <w:rFonts w:ascii="宋体" w:eastAsia="宋体" w:hAnsi="宋体" w:cs="宋体"/>
        </w:rPr>
        <w:t xml:space="preserve"> </w:t>
      </w:r>
      <w:r>
        <w:rPr>
          <w:rFonts w:ascii="宋体" w:eastAsia="宋体" w:hAnsi="宋体" w:cs="宋体"/>
          <w:spacing w:val="3"/>
        </w:rPr>
        <w:t>药物在临床上应用外，还有许多其他作用如抗辐射、抗糖尿病</w:t>
      </w:r>
      <w:r>
        <w:rPr>
          <w:rFonts w:ascii="宋体" w:eastAsia="宋体" w:hAnsi="宋体" w:cs="宋体"/>
          <w:spacing w:val="2"/>
        </w:rPr>
        <w:t>等。1990年日本</w:t>
      </w:r>
      <w:r>
        <w:rPr>
          <w:rFonts w:ascii="宋体" w:eastAsia="宋体" w:hAnsi="宋体" w:cs="宋体"/>
        </w:rPr>
        <w:t xml:space="preserve"> </w:t>
      </w:r>
      <w:r>
        <w:rPr>
          <w:rFonts w:ascii="宋体" w:eastAsia="宋体" w:hAnsi="宋体" w:cs="宋体"/>
          <w:spacing w:val="-2"/>
        </w:rPr>
        <w:t>还专门报道了作为眼球晶体疾病并发症如眼内晶体</w:t>
      </w:r>
      <w:r>
        <w:rPr>
          <w:rFonts w:ascii="宋体" w:eastAsia="宋体" w:hAnsi="宋体" w:cs="宋体"/>
          <w:spacing w:val="-3"/>
        </w:rPr>
        <w:t>纤维蛋白沉淀及青光眼的防治</w:t>
      </w:r>
      <w:r>
        <w:rPr>
          <w:rFonts w:ascii="宋体" w:eastAsia="宋体" w:hAnsi="宋体" w:cs="宋体"/>
        </w:rPr>
        <w:t xml:space="preserve"> </w:t>
      </w:r>
      <w:r>
        <w:rPr>
          <w:rFonts w:ascii="宋体" w:eastAsia="宋体" w:hAnsi="宋体" w:cs="宋体"/>
          <w:spacing w:val="4"/>
        </w:rPr>
        <w:t>药。静脉注射1</w:t>
      </w:r>
      <w:r>
        <w:rPr>
          <w:rFonts w:ascii="宋体" w:eastAsia="宋体" w:hAnsi="宋体" w:cs="宋体"/>
        </w:rPr>
        <w:t>mg</w:t>
      </w:r>
      <w:r>
        <w:rPr>
          <w:rFonts w:ascii="宋体" w:eastAsia="宋体" w:hAnsi="宋体" w:cs="宋体"/>
          <w:spacing w:val="7"/>
        </w:rPr>
        <w:t xml:space="preserve"> </w:t>
      </w:r>
      <w:r>
        <w:rPr>
          <w:rFonts w:ascii="宋体" w:eastAsia="宋体" w:hAnsi="宋体" w:cs="宋体"/>
          <w:spacing w:val="4"/>
        </w:rPr>
        <w:t>的香菇多糖，可显著地预防老年白内障</w:t>
      </w:r>
      <w:r>
        <w:rPr>
          <w:rFonts w:ascii="宋体" w:eastAsia="宋体" w:hAnsi="宋体" w:cs="宋体"/>
          <w:spacing w:val="3"/>
        </w:rPr>
        <w:t>和糖尿病引起的视网</w:t>
      </w:r>
      <w:r>
        <w:rPr>
          <w:rFonts w:ascii="宋体" w:eastAsia="宋体" w:hAnsi="宋体" w:cs="宋体"/>
        </w:rPr>
        <w:t xml:space="preserve"> </w:t>
      </w:r>
      <w:r>
        <w:rPr>
          <w:rFonts w:ascii="宋体" w:eastAsia="宋体" w:hAnsi="宋体" w:cs="宋体"/>
          <w:spacing w:val="-3"/>
        </w:rPr>
        <w:t>膜病的并发症发生。临床证明，香菇多糖还能显著地防止经链霉素、利福平治疗</w:t>
      </w:r>
      <w:r>
        <w:rPr>
          <w:rFonts w:ascii="宋体" w:eastAsia="宋体" w:hAnsi="宋体" w:cs="宋体"/>
          <w:spacing w:val="12"/>
        </w:rPr>
        <w:t xml:space="preserve"> </w:t>
      </w:r>
      <w:r>
        <w:rPr>
          <w:rFonts w:ascii="宋体" w:eastAsia="宋体" w:hAnsi="宋体" w:cs="宋体"/>
          <w:spacing w:val="-4"/>
        </w:rPr>
        <w:t>后肺结核的复发。最近几年还报道香菇多糖的衍生物可</w:t>
      </w:r>
      <w:r>
        <w:rPr>
          <w:rFonts w:ascii="宋体" w:eastAsia="宋体" w:hAnsi="宋体" w:cs="宋体"/>
          <w:spacing w:val="-5"/>
        </w:rPr>
        <w:t>作为治疗艾滋病的药物。</w:t>
      </w:r>
    </w:p>
    <w:p w:rsidR="00EA40A3" w:rsidRDefault="00E86C16">
      <w:pPr>
        <w:spacing w:before="70" w:line="222" w:lineRule="auto"/>
        <w:ind w:left="420"/>
        <w:rPr>
          <w:rFonts w:ascii="仿宋" w:eastAsia="仿宋" w:hAnsi="仿宋" w:cs="仿宋"/>
        </w:rPr>
      </w:pPr>
      <w:r>
        <w:rPr>
          <w:rFonts w:ascii="仿宋" w:eastAsia="仿宋" w:hAnsi="仿宋" w:cs="仿宋"/>
          <w:spacing w:val="-4"/>
        </w:rPr>
        <w:t>b.</w:t>
      </w:r>
      <w:r>
        <w:rPr>
          <w:rFonts w:ascii="仿宋" w:eastAsia="仿宋" w:hAnsi="仿宋" w:cs="仿宋"/>
          <w:spacing w:val="-57"/>
        </w:rPr>
        <w:t xml:space="preserve"> </w:t>
      </w:r>
      <w:r>
        <w:rPr>
          <w:rFonts w:ascii="仿宋" w:eastAsia="仿宋" w:hAnsi="仿宋" w:cs="仿宋"/>
          <w:spacing w:val="-4"/>
        </w:rPr>
        <w:t>灵芝多糖</w:t>
      </w:r>
    </w:p>
    <w:p w:rsidR="00EA40A3" w:rsidRDefault="00E86C16">
      <w:pPr>
        <w:spacing w:before="49" w:line="260" w:lineRule="auto"/>
        <w:ind w:firstLine="420"/>
        <w:rPr>
          <w:rFonts w:ascii="宋体" w:eastAsia="宋体" w:hAnsi="宋体" w:cs="宋体"/>
        </w:rPr>
      </w:pPr>
      <w:r>
        <w:rPr>
          <w:rFonts w:ascii="宋体" w:eastAsia="宋体" w:hAnsi="宋体" w:cs="宋体"/>
          <w:spacing w:val="-2"/>
        </w:rPr>
        <w:t>灵芝多糖</w:t>
      </w:r>
      <w:r>
        <w:rPr>
          <w:rFonts w:ascii="宋体" w:eastAsia="宋体" w:hAnsi="宋体" w:cs="宋体"/>
          <w:spacing w:val="-11"/>
        </w:rPr>
        <w:t xml:space="preserve"> </w:t>
      </w:r>
      <w:r>
        <w:rPr>
          <w:rFonts w:ascii="宋体" w:eastAsia="宋体" w:hAnsi="宋体" w:cs="宋体"/>
          <w:spacing w:val="-2"/>
        </w:rPr>
        <w:t>(Ganoderma</w:t>
      </w:r>
      <w:r>
        <w:rPr>
          <w:rFonts w:ascii="宋体" w:eastAsia="宋体" w:hAnsi="宋体" w:cs="宋体"/>
          <w:spacing w:val="36"/>
        </w:rPr>
        <w:t xml:space="preserve"> </w:t>
      </w:r>
      <w:r>
        <w:rPr>
          <w:rFonts w:ascii="宋体" w:eastAsia="宋体" w:hAnsi="宋体" w:cs="宋体"/>
          <w:spacing w:val="-2"/>
        </w:rPr>
        <w:t>lucidum</w:t>
      </w:r>
      <w:r>
        <w:rPr>
          <w:rFonts w:ascii="宋体" w:eastAsia="宋体" w:hAnsi="宋体" w:cs="宋体"/>
          <w:spacing w:val="21"/>
        </w:rPr>
        <w:t xml:space="preserve"> </w:t>
      </w:r>
      <w:r>
        <w:rPr>
          <w:rFonts w:ascii="宋体" w:eastAsia="宋体" w:hAnsi="宋体" w:cs="宋体"/>
          <w:spacing w:val="-2"/>
        </w:rPr>
        <w:t>polysaccharide,GLP)</w:t>
      </w:r>
      <w:r>
        <w:rPr>
          <w:rFonts w:ascii="宋体" w:eastAsia="宋体" w:hAnsi="宋体" w:cs="宋体"/>
          <w:spacing w:val="-41"/>
        </w:rPr>
        <w:t xml:space="preserve"> </w:t>
      </w:r>
      <w:r>
        <w:rPr>
          <w:rFonts w:ascii="宋体" w:eastAsia="宋体" w:hAnsi="宋体" w:cs="宋体"/>
          <w:spacing w:val="-2"/>
        </w:rPr>
        <w:t>是多孔菌科灵芝属真</w:t>
      </w:r>
      <w:r>
        <w:rPr>
          <w:rFonts w:ascii="宋体" w:eastAsia="宋体" w:hAnsi="宋体" w:cs="宋体"/>
        </w:rPr>
        <w:t xml:space="preserve"> </w:t>
      </w:r>
      <w:r>
        <w:rPr>
          <w:rFonts w:ascii="宋体" w:eastAsia="宋体" w:hAnsi="宋体" w:cs="宋体"/>
          <w:spacing w:val="-3"/>
        </w:rPr>
        <w:t>菌菌丝体的次生代谢产物，存在于灵芝属真菌的菌丝体和子实体中，</w:t>
      </w:r>
      <w:r>
        <w:rPr>
          <w:rFonts w:ascii="宋体" w:eastAsia="宋体" w:hAnsi="宋体" w:cs="宋体"/>
          <w:spacing w:val="-4"/>
        </w:rPr>
        <w:t>是灵芝最有</w:t>
      </w:r>
      <w:r>
        <w:rPr>
          <w:rFonts w:ascii="宋体" w:eastAsia="宋体" w:hAnsi="宋体" w:cs="宋体"/>
        </w:rPr>
        <w:t xml:space="preserve">  </w:t>
      </w:r>
      <w:r>
        <w:rPr>
          <w:rFonts w:ascii="宋体" w:eastAsia="宋体" w:hAnsi="宋体" w:cs="宋体"/>
          <w:spacing w:val="-8"/>
        </w:rPr>
        <w:t>效的成分之一，由</w:t>
      </w:r>
      <w:r>
        <w:rPr>
          <w:rFonts w:ascii="宋体" w:eastAsia="宋体" w:hAnsi="宋体" w:cs="宋体"/>
          <w:spacing w:val="-45"/>
        </w:rPr>
        <w:t xml:space="preserve"> </w:t>
      </w:r>
      <w:r>
        <w:rPr>
          <w:rFonts w:ascii="宋体" w:eastAsia="宋体" w:hAnsi="宋体" w:cs="宋体"/>
          <w:spacing w:val="-8"/>
        </w:rPr>
        <w:t>L-岩藻糖、</w:t>
      </w:r>
      <w:r>
        <w:rPr>
          <w:rFonts w:ascii="宋体" w:eastAsia="宋体" w:hAnsi="宋体" w:cs="宋体"/>
          <w:spacing w:val="-5"/>
        </w:rPr>
        <w:t xml:space="preserve"> </w:t>
      </w:r>
      <w:r>
        <w:rPr>
          <w:rFonts w:ascii="宋体" w:eastAsia="宋体" w:hAnsi="宋体" w:cs="宋体"/>
          <w:spacing w:val="-8"/>
        </w:rPr>
        <w:t>D-半乳糖、</w:t>
      </w:r>
      <w:r>
        <w:rPr>
          <w:rFonts w:ascii="宋体" w:eastAsia="宋体" w:hAnsi="宋体" w:cs="宋体"/>
          <w:spacing w:val="-5"/>
        </w:rPr>
        <w:t xml:space="preserve"> </w:t>
      </w:r>
      <w:r>
        <w:rPr>
          <w:rFonts w:ascii="宋体" w:eastAsia="宋体" w:hAnsi="宋体" w:cs="宋体"/>
          <w:spacing w:val="-8"/>
        </w:rPr>
        <w:t>D-甘露糖、</w:t>
      </w:r>
      <w:r>
        <w:rPr>
          <w:rFonts w:ascii="宋体" w:eastAsia="宋体" w:hAnsi="宋体" w:cs="宋体"/>
          <w:spacing w:val="-5"/>
        </w:rPr>
        <w:t xml:space="preserve"> </w:t>
      </w:r>
      <w:r>
        <w:rPr>
          <w:rFonts w:ascii="宋体" w:eastAsia="宋体" w:hAnsi="宋体" w:cs="宋体"/>
          <w:spacing w:val="-8"/>
        </w:rPr>
        <w:t>D-木糖和</w:t>
      </w:r>
      <w:r>
        <w:rPr>
          <w:rFonts w:ascii="宋体" w:eastAsia="宋体" w:hAnsi="宋体" w:cs="宋体"/>
          <w:spacing w:val="-26"/>
        </w:rPr>
        <w:t xml:space="preserve"> </w:t>
      </w:r>
      <w:r>
        <w:rPr>
          <w:rFonts w:ascii="宋体" w:eastAsia="宋体" w:hAnsi="宋体" w:cs="宋体"/>
          <w:spacing w:val="-9"/>
        </w:rPr>
        <w:t>βD-葡聚糖等组</w:t>
      </w:r>
      <w:r>
        <w:rPr>
          <w:rFonts w:ascii="宋体" w:eastAsia="宋体" w:hAnsi="宋体" w:cs="宋体"/>
        </w:rPr>
        <w:t xml:space="preserve"> </w:t>
      </w:r>
      <w:r>
        <w:rPr>
          <w:rFonts w:ascii="宋体" w:eastAsia="宋体" w:hAnsi="宋体" w:cs="宋体"/>
          <w:spacing w:val="-3"/>
        </w:rPr>
        <w:t>成。研究表明，灵芝多糖具有抗肿瘤作用，还能提高机体免疫力、消除机体内自</w:t>
      </w:r>
      <w:r>
        <w:rPr>
          <w:rFonts w:ascii="宋体" w:eastAsia="宋体" w:hAnsi="宋体" w:cs="宋体"/>
          <w:spacing w:val="18"/>
        </w:rPr>
        <w:t xml:space="preserve"> </w:t>
      </w:r>
      <w:r>
        <w:rPr>
          <w:rFonts w:ascii="宋体" w:eastAsia="宋体" w:hAnsi="宋体" w:cs="宋体"/>
          <w:spacing w:val="-4"/>
        </w:rPr>
        <w:t>由基、抗放射、提高肝脏解毒功能、利胆清热、活血化瘀</w:t>
      </w:r>
      <w:r>
        <w:rPr>
          <w:rFonts w:ascii="宋体" w:eastAsia="宋体" w:hAnsi="宋体" w:cs="宋体"/>
          <w:spacing w:val="-5"/>
        </w:rPr>
        <w:t>。其中抗肿瘤作用被认</w:t>
      </w:r>
      <w:r>
        <w:rPr>
          <w:rFonts w:ascii="宋体" w:eastAsia="宋体" w:hAnsi="宋体" w:cs="宋体"/>
        </w:rPr>
        <w:t xml:space="preserve">  </w:t>
      </w:r>
      <w:r>
        <w:rPr>
          <w:rFonts w:ascii="宋体" w:eastAsia="宋体" w:hAnsi="宋体" w:cs="宋体"/>
          <w:spacing w:val="-3"/>
        </w:rPr>
        <w:t>为是最引人注目也是最具应用前景的。目前的药理研究一般认为灵芝</w:t>
      </w:r>
      <w:r>
        <w:rPr>
          <w:rFonts w:ascii="宋体" w:eastAsia="宋体" w:hAnsi="宋体" w:cs="宋体"/>
          <w:spacing w:val="-4"/>
        </w:rPr>
        <w:t>多糖主要是</w:t>
      </w:r>
      <w:r>
        <w:rPr>
          <w:rFonts w:ascii="宋体" w:eastAsia="宋体" w:hAnsi="宋体" w:cs="宋体"/>
        </w:rPr>
        <w:t xml:space="preserve">  </w:t>
      </w:r>
      <w:r>
        <w:rPr>
          <w:rFonts w:ascii="宋体" w:eastAsia="宋体" w:hAnsi="宋体" w:cs="宋体"/>
          <w:spacing w:val="-3"/>
        </w:rPr>
        <w:t>通过调节机体免疫功能而达到抗肿瘤的目的。也有研究者发现，灵芝多糖</w:t>
      </w:r>
      <w:r>
        <w:rPr>
          <w:rFonts w:ascii="宋体" w:eastAsia="宋体" w:hAnsi="宋体" w:cs="宋体"/>
          <w:spacing w:val="-4"/>
        </w:rPr>
        <w:t>在体外</w:t>
      </w:r>
      <w:r>
        <w:rPr>
          <w:rFonts w:ascii="宋体" w:eastAsia="宋体" w:hAnsi="宋体" w:cs="宋体"/>
        </w:rPr>
        <w:t xml:space="preserve">  </w:t>
      </w:r>
      <w:r>
        <w:rPr>
          <w:rFonts w:ascii="宋体" w:eastAsia="宋体" w:hAnsi="宋体" w:cs="宋体"/>
          <w:spacing w:val="-5"/>
        </w:rPr>
        <w:t>也具有一定的抑制肿瘤细胞增殖的活性，尤其对人鼻咽癌细胞</w:t>
      </w:r>
      <w:r>
        <w:rPr>
          <w:rFonts w:ascii="宋体" w:eastAsia="宋体" w:hAnsi="宋体" w:cs="宋体"/>
          <w:spacing w:val="-4"/>
        </w:rPr>
        <w:t xml:space="preserve"> </w:t>
      </w:r>
      <w:r>
        <w:rPr>
          <w:rFonts w:ascii="宋体" w:eastAsia="宋体" w:hAnsi="宋体" w:cs="宋体"/>
          <w:spacing w:val="-5"/>
        </w:rPr>
        <w:t>(KB)、</w:t>
      </w:r>
      <w:r>
        <w:rPr>
          <w:rFonts w:ascii="宋体" w:eastAsia="宋体" w:hAnsi="宋体" w:cs="宋体"/>
          <w:spacing w:val="86"/>
        </w:rPr>
        <w:t xml:space="preserve"> </w:t>
      </w:r>
      <w:r>
        <w:rPr>
          <w:rFonts w:ascii="宋体" w:eastAsia="宋体" w:hAnsi="宋体" w:cs="宋体"/>
          <w:spacing w:val="-5"/>
        </w:rPr>
        <w:t>人</w:t>
      </w:r>
      <w:r>
        <w:rPr>
          <w:rFonts w:ascii="宋体" w:eastAsia="宋体" w:hAnsi="宋体" w:cs="宋体"/>
          <w:spacing w:val="-6"/>
        </w:rPr>
        <w:t>胃癌细</w:t>
      </w:r>
      <w:r>
        <w:rPr>
          <w:rFonts w:ascii="宋体" w:eastAsia="宋体" w:hAnsi="宋体" w:cs="宋体"/>
        </w:rPr>
        <w:t xml:space="preserve"> </w:t>
      </w:r>
      <w:r>
        <w:rPr>
          <w:rFonts w:ascii="宋体" w:eastAsia="宋体" w:hAnsi="宋体" w:cs="宋体"/>
          <w:spacing w:val="-2"/>
        </w:rPr>
        <w:t>胞</w:t>
      </w:r>
      <w:r>
        <w:rPr>
          <w:rFonts w:ascii="宋体" w:eastAsia="宋体" w:hAnsi="宋体" w:cs="宋体"/>
          <w:spacing w:val="24"/>
        </w:rPr>
        <w:t xml:space="preserve"> </w:t>
      </w:r>
      <w:r>
        <w:rPr>
          <w:rFonts w:ascii="宋体" w:eastAsia="宋体" w:hAnsi="宋体" w:cs="宋体"/>
          <w:spacing w:val="-2"/>
        </w:rPr>
        <w:t>(BGC)、</w:t>
      </w:r>
      <w:r>
        <w:rPr>
          <w:rFonts w:ascii="宋体" w:eastAsia="宋体" w:hAnsi="宋体" w:cs="宋体"/>
          <w:spacing w:val="89"/>
        </w:rPr>
        <w:t xml:space="preserve"> </w:t>
      </w:r>
      <w:r>
        <w:rPr>
          <w:rFonts w:ascii="宋体" w:eastAsia="宋体" w:hAnsi="宋体" w:cs="宋体"/>
          <w:spacing w:val="-2"/>
        </w:rPr>
        <w:t>人黑色素瘤细胞</w:t>
      </w:r>
      <w:r>
        <w:rPr>
          <w:rFonts w:ascii="宋体" w:eastAsia="宋体" w:hAnsi="宋体" w:cs="宋体"/>
          <w:spacing w:val="-4"/>
        </w:rPr>
        <w:t xml:space="preserve"> </w:t>
      </w:r>
      <w:r>
        <w:rPr>
          <w:rFonts w:ascii="宋体" w:eastAsia="宋体" w:hAnsi="宋体" w:cs="宋体"/>
          <w:spacing w:val="-2"/>
        </w:rPr>
        <w:t>(B</w:t>
      </w:r>
      <w:r>
        <w:rPr>
          <w:rFonts w:ascii="Calibri" w:eastAsia="Calibri" w:hAnsi="Calibri" w:cs="Calibri"/>
          <w:spacing w:val="-2"/>
        </w:rPr>
        <w:t>₁₆</w:t>
      </w:r>
      <w:r>
        <w:rPr>
          <w:rFonts w:ascii="宋体" w:eastAsia="宋体" w:hAnsi="宋体" w:cs="宋体"/>
          <w:spacing w:val="-2"/>
        </w:rPr>
        <w:t>)</w:t>
      </w:r>
      <w:r>
        <w:rPr>
          <w:rFonts w:ascii="宋体" w:eastAsia="宋体" w:hAnsi="宋体" w:cs="宋体"/>
          <w:spacing w:val="98"/>
        </w:rPr>
        <w:t xml:space="preserve"> </w:t>
      </w:r>
      <w:r>
        <w:rPr>
          <w:rFonts w:ascii="宋体" w:eastAsia="宋体" w:hAnsi="宋体" w:cs="宋体"/>
          <w:spacing w:val="-2"/>
        </w:rPr>
        <w:t>的增殖具有直接抑制作用，且</w:t>
      </w:r>
      <w:r>
        <w:rPr>
          <w:rFonts w:ascii="宋体" w:eastAsia="宋体" w:hAnsi="宋体" w:cs="宋体"/>
          <w:spacing w:val="-3"/>
        </w:rPr>
        <w:t>对</w:t>
      </w:r>
      <w:r>
        <w:rPr>
          <w:rFonts w:ascii="宋体" w:eastAsia="宋体" w:hAnsi="宋体" w:cs="宋体"/>
          <w:spacing w:val="-2"/>
        </w:rPr>
        <w:t>KB</w:t>
      </w:r>
      <w:r>
        <w:rPr>
          <w:rFonts w:ascii="宋体" w:eastAsia="宋体" w:hAnsi="宋体" w:cs="宋体"/>
          <w:spacing w:val="40"/>
        </w:rPr>
        <w:t xml:space="preserve"> </w:t>
      </w:r>
      <w:r>
        <w:rPr>
          <w:rFonts w:ascii="宋体" w:eastAsia="宋体" w:hAnsi="宋体" w:cs="宋体"/>
          <w:spacing w:val="-3"/>
        </w:rPr>
        <w:t>细胞、</w:t>
      </w:r>
      <w:r>
        <w:rPr>
          <w:rFonts w:ascii="宋体" w:eastAsia="宋体" w:hAnsi="宋体" w:cs="宋体"/>
        </w:rPr>
        <w:t xml:space="preserve"> </w:t>
      </w:r>
      <w:r>
        <w:rPr>
          <w:rFonts w:ascii="宋体" w:eastAsia="宋体" w:hAnsi="宋体" w:cs="宋体"/>
          <w:spacing w:val="-7"/>
        </w:rPr>
        <w:t>B</w:t>
      </w:r>
      <w:r>
        <w:rPr>
          <w:rFonts w:ascii="Calibri" w:eastAsia="Calibri" w:hAnsi="Calibri" w:cs="Calibri"/>
          <w:spacing w:val="-7"/>
        </w:rPr>
        <w:t>₁₆</w:t>
      </w:r>
      <w:r>
        <w:rPr>
          <w:rFonts w:ascii="Calibri" w:eastAsia="Calibri" w:hAnsi="Calibri" w:cs="Calibri"/>
          <w:spacing w:val="17"/>
        </w:rPr>
        <w:t xml:space="preserve"> </w:t>
      </w:r>
      <w:r>
        <w:rPr>
          <w:rFonts w:ascii="宋体" w:eastAsia="宋体" w:hAnsi="宋体" w:cs="宋体"/>
          <w:spacing w:val="-7"/>
        </w:rPr>
        <w:t>细胞的抑制呈剂量依赖性。</w:t>
      </w:r>
    </w:p>
    <w:p w:rsidR="00EA40A3" w:rsidRDefault="00E86C16">
      <w:pPr>
        <w:spacing w:before="122" w:line="219" w:lineRule="auto"/>
        <w:ind w:left="420"/>
        <w:rPr>
          <w:rFonts w:ascii="宋体" w:eastAsia="宋体" w:hAnsi="宋体" w:cs="宋体"/>
        </w:rPr>
      </w:pPr>
      <w:r>
        <w:rPr>
          <w:rFonts w:ascii="宋体" w:eastAsia="宋体" w:hAnsi="宋体" w:cs="宋体"/>
          <w:spacing w:val="-10"/>
        </w:rPr>
        <w:t>c.</w:t>
      </w:r>
      <w:r>
        <w:rPr>
          <w:rFonts w:ascii="宋体" w:eastAsia="宋体" w:hAnsi="宋体" w:cs="宋体"/>
          <w:spacing w:val="-23"/>
        </w:rPr>
        <w:t xml:space="preserve"> </w:t>
      </w:r>
      <w:r>
        <w:rPr>
          <w:rFonts w:ascii="宋体" w:eastAsia="宋体" w:hAnsi="宋体" w:cs="宋体"/>
          <w:spacing w:val="-10"/>
        </w:rPr>
        <w:t>虫草多糖</w:t>
      </w:r>
    </w:p>
    <w:p w:rsidR="00EA40A3" w:rsidRDefault="00E86C16">
      <w:pPr>
        <w:spacing w:before="52" w:line="261" w:lineRule="auto"/>
        <w:ind w:right="55" w:firstLine="420"/>
        <w:rPr>
          <w:rFonts w:ascii="宋体" w:eastAsia="宋体" w:hAnsi="宋体" w:cs="宋体"/>
        </w:rPr>
      </w:pPr>
      <w:r>
        <w:rPr>
          <w:rFonts w:ascii="宋体" w:eastAsia="宋体" w:hAnsi="宋体" w:cs="宋体"/>
          <w:spacing w:val="-2"/>
        </w:rPr>
        <w:t>冬虫夏草</w:t>
      </w:r>
      <w:r>
        <w:rPr>
          <w:rFonts w:ascii="宋体" w:eastAsia="宋体" w:hAnsi="宋体" w:cs="宋体"/>
          <w:spacing w:val="8"/>
        </w:rPr>
        <w:t xml:space="preserve"> </w:t>
      </w:r>
      <w:r>
        <w:rPr>
          <w:rFonts w:ascii="宋体" w:eastAsia="宋体" w:hAnsi="宋体" w:cs="宋体"/>
          <w:spacing w:val="-2"/>
        </w:rPr>
        <w:t>(Cordyceps</w:t>
      </w:r>
      <w:r>
        <w:rPr>
          <w:rFonts w:ascii="宋体" w:eastAsia="宋体" w:hAnsi="宋体" w:cs="宋体"/>
          <w:spacing w:val="10"/>
        </w:rPr>
        <w:t xml:space="preserve"> </w:t>
      </w:r>
      <w:r>
        <w:rPr>
          <w:rFonts w:ascii="宋体" w:eastAsia="宋体" w:hAnsi="宋体" w:cs="宋体"/>
          <w:spacing w:val="-2"/>
        </w:rPr>
        <w:t>sinensis)</w:t>
      </w:r>
      <w:r>
        <w:rPr>
          <w:rFonts w:ascii="宋体" w:eastAsia="宋体" w:hAnsi="宋体" w:cs="宋体"/>
          <w:spacing w:val="-29"/>
        </w:rPr>
        <w:t xml:space="preserve"> </w:t>
      </w:r>
      <w:r>
        <w:rPr>
          <w:rFonts w:ascii="宋体" w:eastAsia="宋体" w:hAnsi="宋体" w:cs="宋体"/>
          <w:spacing w:val="-2"/>
        </w:rPr>
        <w:t>是我国特有名贵中药材，其中的虫草多糖</w:t>
      </w:r>
      <w:r>
        <w:rPr>
          <w:rFonts w:ascii="宋体" w:eastAsia="宋体" w:hAnsi="宋体" w:cs="宋体"/>
        </w:rPr>
        <w:t xml:space="preserve"> </w:t>
      </w:r>
      <w:r>
        <w:rPr>
          <w:rFonts w:ascii="宋体" w:eastAsia="宋体" w:hAnsi="宋体" w:cs="宋体"/>
          <w:spacing w:val="-3"/>
        </w:rPr>
        <w:t>是虫草当中含量最高的活性成分。虫草多糖是一种高分支的杂多糖，单糖组成主</w:t>
      </w:r>
      <w:r>
        <w:rPr>
          <w:rFonts w:ascii="宋体" w:eastAsia="宋体" w:hAnsi="宋体" w:cs="宋体"/>
          <w:spacing w:val="15"/>
        </w:rPr>
        <w:t xml:space="preserve"> </w:t>
      </w:r>
      <w:r>
        <w:rPr>
          <w:rFonts w:ascii="宋体" w:eastAsia="宋体" w:hAnsi="宋体" w:cs="宋体"/>
          <w:spacing w:val="-3"/>
        </w:rPr>
        <w:t>要包括葡萄糖、甘露糖以及半乳糖等，糖链中甘露糖、半乳糖残基出现的频率高</w:t>
      </w:r>
      <w:r>
        <w:rPr>
          <w:rFonts w:ascii="宋体" w:eastAsia="宋体" w:hAnsi="宋体" w:cs="宋体"/>
          <w:spacing w:val="12"/>
        </w:rPr>
        <w:t xml:space="preserve"> </w:t>
      </w:r>
      <w:r>
        <w:rPr>
          <w:rFonts w:ascii="宋体" w:eastAsia="宋体" w:hAnsi="宋体" w:cs="宋体"/>
          <w:spacing w:val="-3"/>
        </w:rPr>
        <w:t>于葡萄糖残基。有报道，在对蛹虫草多糖的结构鉴定时发现，该虫草多糖的单糖</w:t>
      </w:r>
      <w:r>
        <w:rPr>
          <w:rFonts w:ascii="宋体" w:eastAsia="宋体" w:hAnsi="宋体" w:cs="宋体"/>
          <w:spacing w:val="12"/>
        </w:rPr>
        <w:t xml:space="preserve"> </w:t>
      </w:r>
      <w:r>
        <w:rPr>
          <w:rFonts w:ascii="宋体" w:eastAsia="宋体" w:hAnsi="宋体" w:cs="宋体"/>
          <w:spacing w:val="11"/>
        </w:rPr>
        <w:t>组分为半乳糖：甘露糖=6:5,并含少量蛋白高度分支，以β(1</w:t>
      </w:r>
      <w:r>
        <w:rPr>
          <w:rFonts w:ascii="宋体" w:eastAsia="宋体" w:hAnsi="宋体" w:cs="宋体"/>
          <w:spacing w:val="-76"/>
        </w:rPr>
        <w:t xml:space="preserve"> </w:t>
      </w:r>
      <w:r>
        <w:rPr>
          <w:rFonts w:ascii="宋体" w:eastAsia="宋体" w:hAnsi="宋体" w:cs="宋体"/>
          <w:spacing w:val="11"/>
        </w:rPr>
        <w:t>→2)连接</w:t>
      </w:r>
      <w:r>
        <w:rPr>
          <w:rFonts w:ascii="宋体" w:eastAsia="宋体" w:hAnsi="宋体" w:cs="宋体"/>
          <w:spacing w:val="10"/>
        </w:rPr>
        <w:t>的甘</w:t>
      </w:r>
      <w:r>
        <w:rPr>
          <w:rFonts w:ascii="宋体" w:eastAsia="宋体" w:hAnsi="宋体" w:cs="宋体"/>
        </w:rPr>
        <w:t xml:space="preserve"> </w:t>
      </w:r>
      <w:r>
        <w:rPr>
          <w:rFonts w:ascii="宋体" w:eastAsia="宋体" w:hAnsi="宋体" w:cs="宋体"/>
          <w:spacing w:val="3"/>
        </w:rPr>
        <w:t>露糖为主干，支链由较大量的β(1→6)半乳糖和较大量的β(1→2)呋喃半乳糖</w:t>
      </w:r>
      <w:r>
        <w:rPr>
          <w:rFonts w:ascii="宋体" w:eastAsia="宋体" w:hAnsi="宋体" w:cs="宋体"/>
          <w:spacing w:val="4"/>
        </w:rPr>
        <w:t xml:space="preserve"> </w:t>
      </w:r>
      <w:r>
        <w:rPr>
          <w:rFonts w:ascii="宋体" w:eastAsia="宋体" w:hAnsi="宋体" w:cs="宋体"/>
          <w:spacing w:val="1"/>
        </w:rPr>
        <w:t>构成，分别连接在主干的O4</w:t>
      </w:r>
      <w:r>
        <w:rPr>
          <w:rFonts w:ascii="宋体" w:eastAsia="宋体" w:hAnsi="宋体" w:cs="宋体"/>
          <w:spacing w:val="23"/>
        </w:rPr>
        <w:t xml:space="preserve"> </w:t>
      </w:r>
      <w:r>
        <w:rPr>
          <w:rFonts w:ascii="宋体" w:eastAsia="宋体" w:hAnsi="宋体" w:cs="宋体"/>
          <w:spacing w:val="1"/>
        </w:rPr>
        <w:t>和</w:t>
      </w:r>
      <w:r>
        <w:rPr>
          <w:rFonts w:ascii="宋体" w:eastAsia="宋体" w:hAnsi="宋体" w:cs="宋体"/>
          <w:spacing w:val="-56"/>
        </w:rPr>
        <w:t xml:space="preserve"> </w:t>
      </w:r>
      <w:r>
        <w:rPr>
          <w:rFonts w:ascii="宋体" w:eastAsia="宋体" w:hAnsi="宋体" w:cs="宋体"/>
          <w:spacing w:val="1"/>
        </w:rPr>
        <w:t>O6</w:t>
      </w:r>
      <w:r>
        <w:rPr>
          <w:rFonts w:ascii="宋体" w:eastAsia="宋体" w:hAnsi="宋体" w:cs="宋体"/>
          <w:spacing w:val="12"/>
        </w:rPr>
        <w:t xml:space="preserve"> </w:t>
      </w:r>
      <w:r>
        <w:rPr>
          <w:rFonts w:ascii="宋体" w:eastAsia="宋体" w:hAnsi="宋体" w:cs="宋体"/>
          <w:spacing w:val="1"/>
        </w:rPr>
        <w:t>上。大量的研究已表明，虫草多糖不仅具有</w:t>
      </w:r>
      <w:r>
        <w:rPr>
          <w:rFonts w:ascii="宋体" w:eastAsia="宋体" w:hAnsi="宋体" w:cs="宋体"/>
        </w:rPr>
        <w:t xml:space="preserve"> </w:t>
      </w:r>
      <w:r>
        <w:rPr>
          <w:rFonts w:ascii="宋体" w:eastAsia="宋体" w:hAnsi="宋体" w:cs="宋体"/>
          <w:spacing w:val="-3"/>
        </w:rPr>
        <w:t>抗肿瘤、降糖、抗放、抗肝纤维化作用，还能提高免疫功能及治疗肝的病毒性感</w:t>
      </w:r>
      <w:r>
        <w:rPr>
          <w:rFonts w:ascii="宋体" w:eastAsia="宋体" w:hAnsi="宋体" w:cs="宋体"/>
          <w:spacing w:val="13"/>
        </w:rPr>
        <w:t xml:space="preserve"> </w:t>
      </w:r>
      <w:r>
        <w:rPr>
          <w:rFonts w:ascii="宋体" w:eastAsia="宋体" w:hAnsi="宋体" w:cs="宋体"/>
          <w:spacing w:val="-2"/>
        </w:rPr>
        <w:t>染。从最近报道的资料显示，虫草多糖能有效</w:t>
      </w:r>
      <w:r>
        <w:rPr>
          <w:rFonts w:ascii="宋体" w:eastAsia="宋体" w:hAnsi="宋体" w:cs="宋体"/>
          <w:spacing w:val="-3"/>
        </w:rPr>
        <w:t>地治疗肝病，尤其是肝纤维化，它</w:t>
      </w:r>
      <w:r>
        <w:rPr>
          <w:rFonts w:ascii="宋体" w:eastAsia="宋体" w:hAnsi="宋体" w:cs="宋体"/>
        </w:rPr>
        <w:t xml:space="preserve"> </w:t>
      </w:r>
      <w:r>
        <w:rPr>
          <w:rFonts w:ascii="宋体" w:eastAsia="宋体" w:hAnsi="宋体" w:cs="宋体"/>
          <w:spacing w:val="-2"/>
        </w:rPr>
        <w:t>与公认具有较好效果的抗纤维化药物秋水碱疗效</w:t>
      </w:r>
      <w:r>
        <w:rPr>
          <w:rFonts w:ascii="宋体" w:eastAsia="宋体" w:hAnsi="宋体" w:cs="宋体"/>
          <w:spacing w:val="-3"/>
        </w:rPr>
        <w:t>相似且安全。此外，从国外的临</w:t>
      </w:r>
      <w:r>
        <w:rPr>
          <w:rFonts w:ascii="宋体" w:eastAsia="宋体" w:hAnsi="宋体" w:cs="宋体"/>
        </w:rPr>
        <w:t xml:space="preserve"> </w:t>
      </w:r>
      <w:r>
        <w:rPr>
          <w:rFonts w:ascii="宋体" w:eastAsia="宋体" w:hAnsi="宋体" w:cs="宋体"/>
          <w:spacing w:val="-3"/>
        </w:rPr>
        <w:t>床资料报道显示，将虫草多糖结合其他真菌中提取的多糖，能有效地治疗肝的病</w:t>
      </w:r>
      <w:r>
        <w:rPr>
          <w:rFonts w:ascii="宋体" w:eastAsia="宋体" w:hAnsi="宋体" w:cs="宋体"/>
          <w:spacing w:val="18"/>
        </w:rPr>
        <w:t xml:space="preserve"> </w:t>
      </w:r>
      <w:r>
        <w:rPr>
          <w:rFonts w:ascii="宋体" w:eastAsia="宋体" w:hAnsi="宋体" w:cs="宋体"/>
          <w:spacing w:val="3"/>
        </w:rPr>
        <w:t>毒性感染。我国科学工作者自20世纪七八十年代开始对冬虫夏</w:t>
      </w:r>
      <w:r>
        <w:rPr>
          <w:rFonts w:ascii="宋体" w:eastAsia="宋体" w:hAnsi="宋体" w:cs="宋体"/>
          <w:spacing w:val="2"/>
        </w:rPr>
        <w:t>草多糖的分子进</w:t>
      </w:r>
      <w:r>
        <w:rPr>
          <w:rFonts w:ascii="宋体" w:eastAsia="宋体" w:hAnsi="宋体" w:cs="宋体"/>
        </w:rPr>
        <w:t xml:space="preserve"> </w:t>
      </w:r>
      <w:r>
        <w:rPr>
          <w:rFonts w:ascii="宋体" w:eastAsia="宋体" w:hAnsi="宋体" w:cs="宋体"/>
          <w:spacing w:val="-2"/>
        </w:rPr>
        <w:t>行鉴定和生理活性研究，现已实现深层发酵生产，但有关其生物活性</w:t>
      </w:r>
      <w:r>
        <w:rPr>
          <w:rFonts w:ascii="宋体" w:eastAsia="宋体" w:hAnsi="宋体" w:cs="宋体"/>
          <w:spacing w:val="-3"/>
        </w:rPr>
        <w:t>的具体作用</w:t>
      </w:r>
      <w:r>
        <w:rPr>
          <w:rFonts w:ascii="宋体" w:eastAsia="宋体" w:hAnsi="宋体" w:cs="宋体"/>
        </w:rPr>
        <w:t xml:space="preserve"> </w:t>
      </w:r>
      <w:r>
        <w:rPr>
          <w:rFonts w:ascii="宋体" w:eastAsia="宋体" w:hAnsi="宋体" w:cs="宋体"/>
          <w:spacing w:val="-5"/>
        </w:rPr>
        <w:t>机制尚在开展进一步的研究。</w:t>
      </w:r>
    </w:p>
    <w:p w:rsidR="00EA40A3" w:rsidRDefault="00E86C16">
      <w:pPr>
        <w:spacing w:before="132" w:line="219" w:lineRule="auto"/>
        <w:ind w:left="420"/>
        <w:rPr>
          <w:rFonts w:ascii="宋体" w:eastAsia="宋体" w:hAnsi="宋体" w:cs="宋体"/>
        </w:rPr>
      </w:pPr>
      <w:r>
        <w:rPr>
          <w:rFonts w:ascii="宋体" w:eastAsia="宋体" w:hAnsi="宋体" w:cs="宋体"/>
          <w:spacing w:val="-3"/>
        </w:rPr>
        <w:t>d.</w:t>
      </w:r>
      <w:r>
        <w:rPr>
          <w:rFonts w:ascii="宋体" w:eastAsia="宋体" w:hAnsi="宋体" w:cs="宋体"/>
          <w:spacing w:val="-30"/>
        </w:rPr>
        <w:t xml:space="preserve"> </w:t>
      </w:r>
      <w:r>
        <w:rPr>
          <w:rFonts w:ascii="宋体" w:eastAsia="宋体" w:hAnsi="宋体" w:cs="宋体"/>
          <w:spacing w:val="-3"/>
        </w:rPr>
        <w:t>其他真菌多糖</w:t>
      </w:r>
    </w:p>
    <w:p w:rsidR="00EA40A3" w:rsidRDefault="00E86C16">
      <w:pPr>
        <w:spacing w:before="51" w:line="260" w:lineRule="auto"/>
        <w:ind w:right="70" w:firstLine="420"/>
        <w:rPr>
          <w:rFonts w:ascii="宋体" w:eastAsia="宋体" w:hAnsi="宋体" w:cs="宋体"/>
        </w:rPr>
      </w:pPr>
      <w:r>
        <w:rPr>
          <w:rFonts w:ascii="宋体" w:eastAsia="宋体" w:hAnsi="宋体" w:cs="宋体"/>
          <w:spacing w:val="-3"/>
        </w:rPr>
        <w:t>大多数真菌活性多糖具有免疫调节功能，如香菇、黑木耳、银耳、灵芝、茯</w:t>
      </w:r>
      <w:r>
        <w:rPr>
          <w:rFonts w:ascii="宋体" w:eastAsia="宋体" w:hAnsi="宋体" w:cs="宋体"/>
          <w:spacing w:val="7"/>
        </w:rPr>
        <w:t xml:space="preserve"> </w:t>
      </w:r>
      <w:r>
        <w:rPr>
          <w:rFonts w:ascii="宋体" w:eastAsia="宋体" w:hAnsi="宋体" w:cs="宋体"/>
          <w:spacing w:val="-3"/>
        </w:rPr>
        <w:t>苓、猴头菇、竹荪、肉苁蓉等。作为免疫增强剂，大部分真菌多</w:t>
      </w:r>
      <w:r>
        <w:rPr>
          <w:rFonts w:ascii="宋体" w:eastAsia="宋体" w:hAnsi="宋体" w:cs="宋体"/>
          <w:spacing w:val="-4"/>
        </w:rPr>
        <w:t>糖也有较强的抗</w:t>
      </w:r>
      <w:r>
        <w:rPr>
          <w:rFonts w:ascii="宋体" w:eastAsia="宋体" w:hAnsi="宋体" w:cs="宋体"/>
        </w:rPr>
        <w:t xml:space="preserve"> </w:t>
      </w:r>
      <w:r>
        <w:rPr>
          <w:rFonts w:ascii="宋体" w:eastAsia="宋体" w:hAnsi="宋体" w:cs="宋体"/>
          <w:spacing w:val="3"/>
        </w:rPr>
        <w:t>肿瘤活性，表现为对肿瘤发生的预防和对已产生肿瘤细胞的杀伤作用。研究表</w:t>
      </w:r>
    </w:p>
    <w:p w:rsidR="00EA40A3" w:rsidRDefault="00E86C16">
      <w:pPr>
        <w:spacing w:before="57"/>
        <w:ind w:left="140"/>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3"/>
          <w:sz w:val="17"/>
          <w:szCs w:val="17"/>
        </w:rPr>
        <w:t xml:space="preserve"> </w:t>
      </w:r>
      <w:r>
        <w:rPr>
          <w:rFonts w:ascii="宋体" w:eastAsia="宋体" w:hAnsi="宋体" w:cs="宋体"/>
          <w:spacing w:val="-24"/>
          <w:sz w:val="17"/>
          <w:szCs w:val="17"/>
        </w:rPr>
        <w:t>54</w:t>
      </w:r>
      <w:r>
        <w:rPr>
          <w:rFonts w:ascii="宋体" w:eastAsia="宋体" w:hAnsi="宋体" w:cs="宋体"/>
          <w:spacing w:val="55"/>
          <w:sz w:val="17"/>
          <w:szCs w:val="17"/>
        </w:rPr>
        <w:t xml:space="preserve"> </w:t>
      </w:r>
      <w:r>
        <w:rPr>
          <w:rFonts w:ascii="宋体" w:eastAsia="宋体" w:hAnsi="宋体" w:cs="宋体"/>
          <w:spacing w:val="-24"/>
          <w:sz w:val="17"/>
          <w:szCs w:val="17"/>
        </w:rPr>
        <w:t>·</w:t>
      </w:r>
    </w:p>
    <w:p w:rsidR="00EA40A3" w:rsidRDefault="00EA40A3">
      <w:pPr>
        <w:sectPr w:rsidR="00EA40A3">
          <w:pgSz w:w="9340" w:h="13440"/>
          <w:pgMar w:top="400" w:right="1079" w:bottom="400" w:left="929" w:header="0" w:footer="0" w:gutter="0"/>
          <w:cols w:space="720"/>
        </w:sectPr>
      </w:pPr>
    </w:p>
    <w:p w:rsidR="00EA40A3" w:rsidRDefault="00EA40A3">
      <w:pPr>
        <w:spacing w:line="288" w:lineRule="auto"/>
      </w:pPr>
    </w:p>
    <w:p w:rsidR="00EA40A3" w:rsidRDefault="00EA40A3">
      <w:pPr>
        <w:spacing w:line="288" w:lineRule="auto"/>
      </w:pPr>
    </w:p>
    <w:p w:rsidR="00EA40A3" w:rsidRDefault="00E86C16">
      <w:pPr>
        <w:spacing w:before="68" w:line="262" w:lineRule="auto"/>
        <w:ind w:right="82"/>
        <w:jc w:val="both"/>
        <w:rPr>
          <w:rFonts w:ascii="宋体" w:eastAsia="宋体" w:hAnsi="宋体" w:cs="宋体"/>
        </w:rPr>
      </w:pPr>
      <w:r>
        <w:rPr>
          <w:rFonts w:ascii="宋体" w:eastAsia="宋体" w:hAnsi="宋体" w:cs="宋体"/>
          <w:spacing w:val="-2"/>
        </w:rPr>
        <w:t>明：银耳多糖可明显降低小鼠心肌组织的脂褐质含量，增加小</w:t>
      </w:r>
      <w:r>
        <w:rPr>
          <w:rFonts w:ascii="宋体" w:eastAsia="宋体" w:hAnsi="宋体" w:cs="宋体"/>
          <w:spacing w:val="-3"/>
        </w:rPr>
        <w:t>鼠脑和肝脏组织中</w:t>
      </w:r>
      <w:r>
        <w:rPr>
          <w:rFonts w:ascii="宋体" w:eastAsia="宋体" w:hAnsi="宋体" w:cs="宋体"/>
        </w:rPr>
        <w:t xml:space="preserve"> </w:t>
      </w:r>
      <w:r>
        <w:rPr>
          <w:rFonts w:ascii="宋体" w:eastAsia="宋体" w:hAnsi="宋体" w:cs="宋体"/>
          <w:spacing w:val="-3"/>
        </w:rPr>
        <w:t>的超氧化物歧化酶</w:t>
      </w:r>
      <w:r>
        <w:rPr>
          <w:rFonts w:ascii="宋体" w:eastAsia="宋体" w:hAnsi="宋体" w:cs="宋体"/>
          <w:spacing w:val="-10"/>
        </w:rPr>
        <w:t xml:space="preserve"> </w:t>
      </w:r>
      <w:r>
        <w:rPr>
          <w:rFonts w:ascii="宋体" w:eastAsia="宋体" w:hAnsi="宋体" w:cs="宋体"/>
          <w:spacing w:val="-3"/>
        </w:rPr>
        <w:t>(SOD)</w:t>
      </w:r>
      <w:r>
        <w:rPr>
          <w:rFonts w:ascii="宋体" w:eastAsia="宋体" w:hAnsi="宋体" w:cs="宋体"/>
          <w:spacing w:val="15"/>
        </w:rPr>
        <w:t xml:space="preserve">  </w:t>
      </w:r>
      <w:r>
        <w:rPr>
          <w:rFonts w:ascii="宋体" w:eastAsia="宋体" w:hAnsi="宋体" w:cs="宋体"/>
          <w:spacing w:val="-3"/>
        </w:rPr>
        <w:t>活力；云芝多糖可增强巨噬细胞谷胱甘肽</w:t>
      </w:r>
      <w:r>
        <w:rPr>
          <w:rFonts w:ascii="宋体" w:eastAsia="宋体" w:hAnsi="宋体" w:cs="宋体"/>
          <w:spacing w:val="-4"/>
        </w:rPr>
        <w:t>过氧化物酶</w:t>
      </w:r>
      <w:r>
        <w:rPr>
          <w:rFonts w:ascii="宋体" w:eastAsia="宋体" w:hAnsi="宋体" w:cs="宋体"/>
        </w:rPr>
        <w:t xml:space="preserve"> </w:t>
      </w:r>
      <w:r>
        <w:rPr>
          <w:rFonts w:ascii="宋体" w:eastAsia="宋体" w:hAnsi="宋体" w:cs="宋体"/>
          <w:spacing w:val="2"/>
        </w:rPr>
        <w:t>(</w:t>
      </w:r>
      <w:r>
        <w:rPr>
          <w:rFonts w:ascii="宋体" w:eastAsia="宋体" w:hAnsi="宋体" w:cs="宋体"/>
        </w:rPr>
        <w:t>GSH</w:t>
      </w:r>
      <w:r>
        <w:rPr>
          <w:rFonts w:ascii="宋体" w:eastAsia="宋体" w:hAnsi="宋体" w:cs="宋体"/>
          <w:spacing w:val="2"/>
        </w:rPr>
        <w:t>-</w:t>
      </w:r>
      <w:r>
        <w:rPr>
          <w:rFonts w:ascii="宋体" w:eastAsia="宋体" w:hAnsi="宋体" w:cs="宋体"/>
        </w:rPr>
        <w:t>Px</w:t>
      </w:r>
      <w:r>
        <w:rPr>
          <w:rFonts w:ascii="宋体" w:eastAsia="宋体" w:hAnsi="宋体" w:cs="宋体"/>
          <w:spacing w:val="2"/>
        </w:rPr>
        <w:t>)</w:t>
      </w:r>
      <w:r>
        <w:rPr>
          <w:rFonts w:ascii="宋体" w:eastAsia="宋体" w:hAnsi="宋体" w:cs="宋体"/>
          <w:spacing w:val="26"/>
        </w:rPr>
        <w:t xml:space="preserve">  </w:t>
      </w:r>
      <w:r>
        <w:rPr>
          <w:rFonts w:ascii="宋体" w:eastAsia="宋体" w:hAnsi="宋体" w:cs="宋体"/>
          <w:spacing w:val="2"/>
        </w:rPr>
        <w:t>的活性，同时还具有清除超氧阴离子、羟自由基、过氧化氢及其他</w:t>
      </w:r>
      <w:r>
        <w:rPr>
          <w:rFonts w:ascii="宋体" w:eastAsia="宋体" w:hAnsi="宋体" w:cs="宋体"/>
          <w:spacing w:val="1"/>
        </w:rPr>
        <w:t xml:space="preserve"> </w:t>
      </w:r>
      <w:r>
        <w:rPr>
          <w:rFonts w:ascii="宋体" w:eastAsia="宋体" w:hAnsi="宋体" w:cs="宋体"/>
          <w:spacing w:val="4"/>
        </w:rPr>
        <w:t>活性氧的作用；木耳多糖有降血脂、抗血栓、降血糖的作用；</w:t>
      </w:r>
      <w:r>
        <w:rPr>
          <w:rFonts w:ascii="宋体" w:eastAsia="宋体" w:hAnsi="宋体" w:cs="宋体"/>
          <w:spacing w:val="3"/>
        </w:rPr>
        <w:t>另外，鸡腿菇多</w:t>
      </w:r>
      <w:r>
        <w:rPr>
          <w:rFonts w:ascii="宋体" w:eastAsia="宋体" w:hAnsi="宋体" w:cs="宋体"/>
        </w:rPr>
        <w:t xml:space="preserve"> </w:t>
      </w:r>
      <w:r>
        <w:rPr>
          <w:rFonts w:ascii="宋体" w:eastAsia="宋体" w:hAnsi="宋体" w:cs="宋体"/>
          <w:spacing w:val="-5"/>
        </w:rPr>
        <w:t>糖、猴头菇多糖等也表现出良好的降糖效果。</w:t>
      </w:r>
    </w:p>
    <w:p w:rsidR="00EA40A3" w:rsidRDefault="00E86C16">
      <w:pPr>
        <w:spacing w:before="51" w:line="229" w:lineRule="auto"/>
        <w:rPr>
          <w:rFonts w:ascii="楷体" w:eastAsia="楷体" w:hAnsi="楷体" w:cs="楷体"/>
        </w:rPr>
      </w:pPr>
      <w:r>
        <w:rPr>
          <w:rFonts w:ascii="楷体" w:eastAsia="楷体" w:hAnsi="楷体" w:cs="楷体"/>
          <w:spacing w:val="7"/>
        </w:rPr>
        <w:t>2)植物多糖</w:t>
      </w:r>
    </w:p>
    <w:p w:rsidR="00EA40A3" w:rsidRDefault="00E86C16">
      <w:pPr>
        <w:spacing w:before="47" w:line="241" w:lineRule="auto"/>
        <w:ind w:right="95" w:firstLine="420"/>
        <w:rPr>
          <w:rFonts w:ascii="宋体" w:eastAsia="宋体" w:hAnsi="宋体" w:cs="宋体"/>
        </w:rPr>
      </w:pPr>
      <w:r>
        <w:rPr>
          <w:rFonts w:ascii="宋体" w:eastAsia="宋体" w:hAnsi="宋体" w:cs="宋体"/>
          <w:spacing w:val="-3"/>
        </w:rPr>
        <w:t>研究发现，茶叶、苦瓜、魔芋、莼菜、刺梨、大蒜、萝卜、薏仁、甘蔗、鱼</w:t>
      </w:r>
      <w:r>
        <w:rPr>
          <w:rFonts w:ascii="宋体" w:eastAsia="宋体" w:hAnsi="宋体" w:cs="宋体"/>
          <w:spacing w:val="7"/>
        </w:rPr>
        <w:t xml:space="preserve"> </w:t>
      </w:r>
      <w:r>
        <w:rPr>
          <w:rFonts w:ascii="宋体" w:eastAsia="宋体" w:hAnsi="宋体" w:cs="宋体"/>
          <w:spacing w:val="-4"/>
        </w:rPr>
        <w:t>腥草、甘薯叶、人参、刺五加、黄芪、黄精等植物中均含有活性多糖。</w:t>
      </w:r>
    </w:p>
    <w:p w:rsidR="00EA40A3" w:rsidRDefault="00E86C16">
      <w:pPr>
        <w:spacing w:before="52" w:line="219" w:lineRule="auto"/>
        <w:ind w:left="420"/>
        <w:rPr>
          <w:rFonts w:ascii="宋体" w:eastAsia="宋体" w:hAnsi="宋体" w:cs="宋体"/>
        </w:rPr>
      </w:pPr>
      <w:r>
        <w:rPr>
          <w:rFonts w:ascii="宋体" w:eastAsia="宋体" w:hAnsi="宋体" w:cs="宋体"/>
          <w:spacing w:val="1"/>
        </w:rPr>
        <w:t>a.茶叶多糖</w:t>
      </w:r>
    </w:p>
    <w:p w:rsidR="00EA40A3" w:rsidRDefault="00E86C16">
      <w:pPr>
        <w:spacing w:before="71" w:line="260" w:lineRule="auto"/>
        <w:ind w:firstLine="420"/>
        <w:rPr>
          <w:rFonts w:ascii="宋体" w:eastAsia="宋体" w:hAnsi="宋体" w:cs="宋体"/>
        </w:rPr>
      </w:pPr>
      <w:r>
        <w:rPr>
          <w:rFonts w:ascii="宋体" w:eastAsia="宋体" w:hAnsi="宋体" w:cs="宋体"/>
        </w:rPr>
        <w:t>茶叶多糖全称为茶叶多糖复合物</w:t>
      </w:r>
      <w:r>
        <w:rPr>
          <w:rFonts w:ascii="宋体" w:eastAsia="宋体" w:hAnsi="宋体" w:cs="宋体"/>
          <w:spacing w:val="-11"/>
        </w:rPr>
        <w:t xml:space="preserve"> </w:t>
      </w:r>
      <w:r>
        <w:rPr>
          <w:rFonts w:ascii="宋体" w:eastAsia="宋体" w:hAnsi="宋体" w:cs="宋体"/>
        </w:rPr>
        <w:t>(tea</w:t>
      </w:r>
      <w:r>
        <w:rPr>
          <w:rFonts w:ascii="宋体" w:eastAsia="宋体" w:hAnsi="宋体" w:cs="宋体"/>
          <w:spacing w:val="33"/>
        </w:rPr>
        <w:t xml:space="preserve"> </w:t>
      </w:r>
      <w:r>
        <w:rPr>
          <w:rFonts w:ascii="宋体" w:eastAsia="宋体" w:hAnsi="宋体" w:cs="宋体"/>
        </w:rPr>
        <w:t>polysaccharide</w:t>
      </w:r>
      <w:r>
        <w:rPr>
          <w:rFonts w:ascii="宋体" w:eastAsia="宋体" w:hAnsi="宋体" w:cs="宋体"/>
          <w:spacing w:val="40"/>
        </w:rPr>
        <w:t xml:space="preserve"> </w:t>
      </w:r>
      <w:r>
        <w:rPr>
          <w:rFonts w:ascii="宋体" w:eastAsia="宋体" w:hAnsi="宋体" w:cs="宋体"/>
        </w:rPr>
        <w:t>complex,TPC),</w:t>
      </w:r>
      <w:r>
        <w:rPr>
          <w:rFonts w:ascii="宋体" w:eastAsia="宋体" w:hAnsi="宋体" w:cs="宋体"/>
          <w:spacing w:val="-60"/>
        </w:rPr>
        <w:t xml:space="preserve"> </w:t>
      </w:r>
      <w:r>
        <w:rPr>
          <w:rFonts w:ascii="宋体" w:eastAsia="宋体" w:hAnsi="宋体" w:cs="宋体"/>
        </w:rPr>
        <w:t xml:space="preserve">是  </w:t>
      </w:r>
      <w:r>
        <w:rPr>
          <w:rFonts w:ascii="宋体" w:eastAsia="宋体" w:hAnsi="宋体" w:cs="宋体"/>
          <w:spacing w:val="-2"/>
        </w:rPr>
        <w:t>一种酸性杂多糖。溶于水，在有机溶剂中溶解</w:t>
      </w:r>
      <w:r>
        <w:rPr>
          <w:rFonts w:ascii="宋体" w:eastAsia="宋体" w:hAnsi="宋体" w:cs="宋体"/>
          <w:spacing w:val="-3"/>
        </w:rPr>
        <w:t>度很小，可用乙醇、丙酮、乙酸乙</w:t>
      </w:r>
      <w:r>
        <w:rPr>
          <w:rFonts w:ascii="宋体" w:eastAsia="宋体" w:hAnsi="宋体" w:cs="宋体"/>
        </w:rPr>
        <w:t xml:space="preserve">  </w:t>
      </w:r>
      <w:r>
        <w:rPr>
          <w:rFonts w:ascii="宋体" w:eastAsia="宋体" w:hAnsi="宋体" w:cs="宋体"/>
          <w:spacing w:val="-2"/>
        </w:rPr>
        <w:t>酯、乙醚等有机溶剂进行提取。</w:t>
      </w:r>
      <w:r>
        <w:rPr>
          <w:rFonts w:ascii="宋体" w:eastAsia="宋体" w:hAnsi="宋体" w:cs="宋体"/>
          <w:spacing w:val="27"/>
        </w:rPr>
        <w:t xml:space="preserve"> </w:t>
      </w:r>
      <w:r>
        <w:rPr>
          <w:rFonts w:ascii="宋体" w:eastAsia="宋体" w:hAnsi="宋体" w:cs="宋体"/>
          <w:spacing w:val="-2"/>
        </w:rPr>
        <w:t>TPC</w:t>
      </w:r>
      <w:r>
        <w:rPr>
          <w:rFonts w:ascii="宋体" w:eastAsia="宋体" w:hAnsi="宋体" w:cs="宋体"/>
          <w:spacing w:val="76"/>
        </w:rPr>
        <w:t xml:space="preserve"> </w:t>
      </w:r>
      <w:r>
        <w:rPr>
          <w:rFonts w:ascii="宋体" w:eastAsia="宋体" w:hAnsi="宋体" w:cs="宋体"/>
          <w:spacing w:val="-2"/>
        </w:rPr>
        <w:t>的组成较为复杂，除包括五碳、六碳单糖</w:t>
      </w:r>
      <w:r>
        <w:rPr>
          <w:rFonts w:ascii="宋体" w:eastAsia="宋体" w:hAnsi="宋体" w:cs="宋体"/>
        </w:rPr>
        <w:t xml:space="preserve"> </w:t>
      </w:r>
      <w:r>
        <w:rPr>
          <w:rFonts w:ascii="宋体" w:eastAsia="宋体" w:hAnsi="宋体" w:cs="宋体"/>
          <w:spacing w:val="-3"/>
        </w:rPr>
        <w:t>外，还可能缀合有蛋白质、无机元素等配体。并且不同品种茶叶的单糖组成会有</w:t>
      </w:r>
      <w:r>
        <w:rPr>
          <w:rFonts w:ascii="宋体" w:eastAsia="宋体" w:hAnsi="宋体" w:cs="宋体"/>
          <w:spacing w:val="7"/>
        </w:rPr>
        <w:t xml:space="preserve">  </w:t>
      </w:r>
      <w:r>
        <w:rPr>
          <w:rFonts w:ascii="宋体" w:eastAsia="宋体" w:hAnsi="宋体" w:cs="宋体"/>
          <w:spacing w:val="1"/>
        </w:rPr>
        <w:t>所不同，据报道，有些</w:t>
      </w:r>
      <w:r>
        <w:rPr>
          <w:rFonts w:ascii="宋体" w:eastAsia="宋体" w:hAnsi="宋体" w:cs="宋体"/>
        </w:rPr>
        <w:t>TPC</w:t>
      </w:r>
      <w:r>
        <w:rPr>
          <w:rFonts w:ascii="宋体" w:eastAsia="宋体" w:hAnsi="宋体" w:cs="宋体"/>
          <w:spacing w:val="86"/>
        </w:rPr>
        <w:t xml:space="preserve"> </w:t>
      </w:r>
      <w:r>
        <w:rPr>
          <w:rFonts w:ascii="宋体" w:eastAsia="宋体" w:hAnsi="宋体" w:cs="宋体"/>
          <w:spacing w:val="1"/>
        </w:rPr>
        <w:t>中单糖主要为甘露糖、果糖、鼠李糖、岩藻糖、阿</w:t>
      </w:r>
      <w:r>
        <w:rPr>
          <w:rFonts w:ascii="宋体" w:eastAsia="宋体" w:hAnsi="宋体" w:cs="宋体"/>
        </w:rPr>
        <w:t xml:space="preserve">  </w:t>
      </w:r>
      <w:r>
        <w:rPr>
          <w:rFonts w:ascii="宋体" w:eastAsia="宋体" w:hAnsi="宋体" w:cs="宋体"/>
          <w:spacing w:val="3"/>
        </w:rPr>
        <w:t>拉伯糖；也有些</w:t>
      </w:r>
      <w:r>
        <w:rPr>
          <w:rFonts w:ascii="宋体" w:eastAsia="宋体" w:hAnsi="宋体" w:cs="宋体"/>
          <w:spacing w:val="-46"/>
        </w:rPr>
        <w:t xml:space="preserve"> </w:t>
      </w:r>
      <w:r>
        <w:rPr>
          <w:rFonts w:ascii="宋体" w:eastAsia="宋体" w:hAnsi="宋体" w:cs="宋体"/>
        </w:rPr>
        <w:t>TPC</w:t>
      </w:r>
      <w:r>
        <w:rPr>
          <w:rFonts w:ascii="宋体" w:eastAsia="宋体" w:hAnsi="宋体" w:cs="宋体"/>
          <w:spacing w:val="65"/>
        </w:rPr>
        <w:t xml:space="preserve"> </w:t>
      </w:r>
      <w:r>
        <w:rPr>
          <w:rFonts w:ascii="宋体" w:eastAsia="宋体" w:hAnsi="宋体" w:cs="宋体"/>
          <w:spacing w:val="3"/>
        </w:rPr>
        <w:t>中单糖主要为葡萄糖、木糖、半乳糖、阿</w:t>
      </w:r>
      <w:r>
        <w:rPr>
          <w:rFonts w:ascii="宋体" w:eastAsia="宋体" w:hAnsi="宋体" w:cs="宋体"/>
          <w:spacing w:val="2"/>
        </w:rPr>
        <w:t>拉伯糖、核糖、</w:t>
      </w:r>
      <w:r>
        <w:rPr>
          <w:rFonts w:ascii="宋体" w:eastAsia="宋体" w:hAnsi="宋体" w:cs="宋体"/>
        </w:rPr>
        <w:t xml:space="preserve"> </w:t>
      </w:r>
      <w:r>
        <w:rPr>
          <w:rFonts w:ascii="宋体" w:eastAsia="宋体" w:hAnsi="宋体" w:cs="宋体"/>
          <w:spacing w:val="-1"/>
        </w:rPr>
        <w:t>半乳糖醛酸。研究表明，</w:t>
      </w:r>
      <w:r>
        <w:rPr>
          <w:rFonts w:ascii="宋体" w:eastAsia="宋体" w:hAnsi="宋体" w:cs="宋体"/>
          <w:spacing w:val="28"/>
        </w:rPr>
        <w:t xml:space="preserve"> </w:t>
      </w:r>
      <w:r>
        <w:rPr>
          <w:rFonts w:ascii="宋体" w:eastAsia="宋体" w:hAnsi="宋体" w:cs="宋体"/>
          <w:spacing w:val="-1"/>
        </w:rPr>
        <w:t>TPC</w:t>
      </w:r>
      <w:r>
        <w:rPr>
          <w:rFonts w:ascii="宋体" w:eastAsia="宋体" w:hAnsi="宋体" w:cs="宋体"/>
          <w:spacing w:val="66"/>
        </w:rPr>
        <w:t xml:space="preserve"> </w:t>
      </w:r>
      <w:r>
        <w:rPr>
          <w:rFonts w:ascii="宋体" w:eastAsia="宋体" w:hAnsi="宋体" w:cs="宋体"/>
          <w:spacing w:val="-1"/>
        </w:rPr>
        <w:t>具有许多生理活性功能，能够提高机体免疫力，</w:t>
      </w:r>
      <w:r>
        <w:rPr>
          <w:rFonts w:ascii="宋体" w:eastAsia="宋体" w:hAnsi="宋体" w:cs="宋体"/>
        </w:rPr>
        <w:t xml:space="preserve"> </w:t>
      </w:r>
      <w:r>
        <w:rPr>
          <w:rFonts w:ascii="宋体" w:eastAsia="宋体" w:hAnsi="宋体" w:cs="宋体"/>
          <w:spacing w:val="-5"/>
        </w:rPr>
        <w:t>具有抗辐射、治疗心血管疾病及强烈抑制肿瘤的作用。同时，</w:t>
      </w:r>
      <w:r>
        <w:rPr>
          <w:rFonts w:ascii="宋体" w:eastAsia="宋体" w:hAnsi="宋体" w:cs="宋体"/>
          <w:spacing w:val="23"/>
        </w:rPr>
        <w:t xml:space="preserve"> </w:t>
      </w:r>
      <w:r>
        <w:rPr>
          <w:rFonts w:ascii="宋体" w:eastAsia="宋体" w:hAnsi="宋体" w:cs="宋体"/>
          <w:spacing w:val="-5"/>
        </w:rPr>
        <w:t>TPC</w:t>
      </w:r>
      <w:r>
        <w:rPr>
          <w:rFonts w:ascii="宋体" w:eastAsia="宋体" w:hAnsi="宋体" w:cs="宋体"/>
          <w:spacing w:val="56"/>
        </w:rPr>
        <w:t xml:space="preserve"> </w:t>
      </w:r>
      <w:r>
        <w:rPr>
          <w:rFonts w:ascii="宋体" w:eastAsia="宋体" w:hAnsi="宋体" w:cs="宋体"/>
          <w:spacing w:val="-5"/>
        </w:rPr>
        <w:t>还有降血脂、</w:t>
      </w:r>
      <w:r>
        <w:rPr>
          <w:rFonts w:ascii="宋体" w:eastAsia="宋体" w:hAnsi="宋体" w:cs="宋体"/>
        </w:rPr>
        <w:t xml:space="preserve"> </w:t>
      </w:r>
      <w:r>
        <w:rPr>
          <w:rFonts w:ascii="宋体" w:eastAsia="宋体" w:hAnsi="宋体" w:cs="宋体"/>
          <w:spacing w:val="-2"/>
        </w:rPr>
        <w:t>抗凝血、抗血栓、提高冠状动脉血流量、耐缺氧及降血</w:t>
      </w:r>
      <w:r>
        <w:rPr>
          <w:rFonts w:ascii="宋体" w:eastAsia="宋体" w:hAnsi="宋体" w:cs="宋体"/>
          <w:spacing w:val="-3"/>
        </w:rPr>
        <w:t>压等功能。此外，茶叶多</w:t>
      </w:r>
      <w:r>
        <w:rPr>
          <w:rFonts w:ascii="宋体" w:eastAsia="宋体" w:hAnsi="宋体" w:cs="宋体"/>
        </w:rPr>
        <w:t xml:space="preserve">  </w:t>
      </w:r>
      <w:r>
        <w:rPr>
          <w:rFonts w:ascii="宋体" w:eastAsia="宋体" w:hAnsi="宋体" w:cs="宋体"/>
          <w:spacing w:val="-2"/>
        </w:rPr>
        <w:t>糖在治疗糖尿病方面尤为突出，能有效阻止血</w:t>
      </w:r>
      <w:r>
        <w:rPr>
          <w:rFonts w:ascii="宋体" w:eastAsia="宋体" w:hAnsi="宋体" w:cs="宋体"/>
          <w:spacing w:val="-3"/>
        </w:rPr>
        <w:t>糖升高。据报道，糖尿病患者餐后</w:t>
      </w:r>
      <w:r>
        <w:rPr>
          <w:rFonts w:ascii="宋体" w:eastAsia="宋体" w:hAnsi="宋体" w:cs="宋体"/>
        </w:rPr>
        <w:t xml:space="preserve">  </w:t>
      </w:r>
      <w:r>
        <w:rPr>
          <w:rFonts w:ascii="宋体" w:eastAsia="宋体" w:hAnsi="宋体" w:cs="宋体"/>
          <w:spacing w:val="3"/>
        </w:rPr>
        <w:t>服用茶叶多糖饮剂(含</w:t>
      </w:r>
      <w:r>
        <w:rPr>
          <w:rFonts w:ascii="宋体" w:eastAsia="宋体" w:hAnsi="宋体" w:cs="宋体"/>
        </w:rPr>
        <w:t>TPS</w:t>
      </w:r>
      <w:r>
        <w:rPr>
          <w:rFonts w:ascii="宋体" w:eastAsia="宋体" w:hAnsi="宋体" w:cs="宋体"/>
          <w:spacing w:val="7"/>
        </w:rPr>
        <w:t xml:space="preserve">    </w:t>
      </w:r>
      <w:r>
        <w:rPr>
          <w:rFonts w:ascii="宋体" w:eastAsia="宋体" w:hAnsi="宋体" w:cs="宋体"/>
          <w:spacing w:val="3"/>
        </w:rPr>
        <w:t>45</w:t>
      </w:r>
      <w:r>
        <w:rPr>
          <w:rFonts w:ascii="宋体" w:eastAsia="宋体" w:hAnsi="宋体" w:cs="宋体"/>
        </w:rPr>
        <w:t>mg</w:t>
      </w:r>
      <w:r>
        <w:rPr>
          <w:rFonts w:ascii="宋体" w:eastAsia="宋体" w:hAnsi="宋体" w:cs="宋体"/>
          <w:spacing w:val="3"/>
        </w:rPr>
        <w:t>/200</w:t>
      </w:r>
      <w:r>
        <w:rPr>
          <w:rFonts w:ascii="宋体" w:eastAsia="宋体" w:hAnsi="宋体" w:cs="宋体"/>
        </w:rPr>
        <w:t>mL</w:t>
      </w:r>
      <w:r>
        <w:rPr>
          <w:rFonts w:ascii="宋体" w:eastAsia="宋体" w:hAnsi="宋体" w:cs="宋体"/>
          <w:spacing w:val="3"/>
        </w:rPr>
        <w:t>)2周，发现血清中血糖含量和血清糖</w:t>
      </w:r>
      <w:r>
        <w:rPr>
          <w:rFonts w:ascii="宋体" w:eastAsia="宋体" w:hAnsi="宋体" w:cs="宋体"/>
          <w:spacing w:val="2"/>
        </w:rPr>
        <w:t xml:space="preserve"> </w:t>
      </w:r>
      <w:r>
        <w:rPr>
          <w:rFonts w:ascii="宋体" w:eastAsia="宋体" w:hAnsi="宋体" w:cs="宋体"/>
          <w:spacing w:val="-4"/>
        </w:rPr>
        <w:t>基化血红蛋白值显著下降，且病人血清中胆固醇和甘油三酯含量也下降。</w:t>
      </w:r>
    </w:p>
    <w:p w:rsidR="00EA40A3" w:rsidRDefault="00E86C16">
      <w:pPr>
        <w:spacing w:before="121" w:line="220" w:lineRule="auto"/>
        <w:ind w:left="420"/>
        <w:rPr>
          <w:rFonts w:ascii="宋体" w:eastAsia="宋体" w:hAnsi="宋体" w:cs="宋体"/>
        </w:rPr>
      </w:pPr>
      <w:r>
        <w:rPr>
          <w:rFonts w:ascii="宋体" w:eastAsia="宋体" w:hAnsi="宋体" w:cs="宋体"/>
          <w:spacing w:val="3"/>
        </w:rPr>
        <w:t>b.枸杞多糖</w:t>
      </w:r>
    </w:p>
    <w:p w:rsidR="00EA40A3" w:rsidRDefault="00E86C16">
      <w:pPr>
        <w:spacing w:before="50" w:line="259" w:lineRule="auto"/>
        <w:ind w:firstLine="420"/>
        <w:rPr>
          <w:rFonts w:ascii="宋体" w:eastAsia="宋体" w:hAnsi="宋体" w:cs="宋体"/>
        </w:rPr>
      </w:pPr>
      <w:r>
        <w:rPr>
          <w:rFonts w:ascii="宋体" w:eastAsia="宋体" w:hAnsi="宋体" w:cs="宋体"/>
          <w:spacing w:val="-1"/>
        </w:rPr>
        <w:t>枸杞多糖</w:t>
      </w:r>
      <w:r>
        <w:rPr>
          <w:rFonts w:ascii="宋体" w:eastAsia="宋体" w:hAnsi="宋体" w:cs="宋体"/>
          <w:spacing w:val="-19"/>
        </w:rPr>
        <w:t xml:space="preserve"> </w:t>
      </w:r>
      <w:r>
        <w:rPr>
          <w:rFonts w:ascii="宋体" w:eastAsia="宋体" w:hAnsi="宋体" w:cs="宋体"/>
          <w:spacing w:val="-1"/>
        </w:rPr>
        <w:t>(Lycium</w:t>
      </w:r>
      <w:r>
        <w:rPr>
          <w:rFonts w:ascii="宋体" w:eastAsia="宋体" w:hAnsi="宋体" w:cs="宋体"/>
          <w:spacing w:val="50"/>
        </w:rPr>
        <w:t xml:space="preserve"> </w:t>
      </w:r>
      <w:r>
        <w:rPr>
          <w:rFonts w:ascii="宋体" w:eastAsia="宋体" w:hAnsi="宋体" w:cs="宋体"/>
          <w:spacing w:val="-1"/>
        </w:rPr>
        <w:t>barbarum</w:t>
      </w:r>
      <w:r>
        <w:rPr>
          <w:rFonts w:ascii="宋体" w:eastAsia="宋体" w:hAnsi="宋体" w:cs="宋体"/>
          <w:spacing w:val="52"/>
        </w:rPr>
        <w:t xml:space="preserve"> </w:t>
      </w:r>
      <w:r>
        <w:rPr>
          <w:rFonts w:ascii="宋体" w:eastAsia="宋体" w:hAnsi="宋体" w:cs="宋体"/>
          <w:spacing w:val="-1"/>
        </w:rPr>
        <w:t>polysaccharide,LBP)</w:t>
      </w:r>
      <w:r>
        <w:rPr>
          <w:rFonts w:ascii="宋体" w:eastAsia="宋体" w:hAnsi="宋体" w:cs="宋体"/>
          <w:spacing w:val="-32"/>
        </w:rPr>
        <w:t xml:space="preserve"> </w:t>
      </w:r>
      <w:r>
        <w:rPr>
          <w:rFonts w:ascii="宋体" w:eastAsia="宋体" w:hAnsi="宋体" w:cs="宋体"/>
          <w:spacing w:val="-1"/>
        </w:rPr>
        <w:t>以阿拉伯糖、鼠李糖、</w:t>
      </w:r>
      <w:r>
        <w:rPr>
          <w:rFonts w:ascii="宋体" w:eastAsia="宋体" w:hAnsi="宋体" w:cs="宋体"/>
        </w:rPr>
        <w:t xml:space="preserve"> </w:t>
      </w:r>
      <w:r>
        <w:rPr>
          <w:rFonts w:ascii="宋体" w:eastAsia="宋体" w:hAnsi="宋体" w:cs="宋体"/>
          <w:spacing w:val="-2"/>
        </w:rPr>
        <w:t>木糖、甘露糖、半乳糖、葡萄糖与半乳糖醛酸组成的酸性杂多糖</w:t>
      </w:r>
      <w:r>
        <w:rPr>
          <w:rFonts w:ascii="宋体" w:eastAsia="宋体" w:hAnsi="宋体" w:cs="宋体"/>
          <w:spacing w:val="-3"/>
        </w:rPr>
        <w:t>同多肽或蛋白质</w:t>
      </w:r>
      <w:r>
        <w:rPr>
          <w:rFonts w:ascii="宋体" w:eastAsia="宋体" w:hAnsi="宋体" w:cs="宋体"/>
        </w:rPr>
        <w:t xml:space="preserve"> </w:t>
      </w:r>
      <w:r>
        <w:rPr>
          <w:rFonts w:ascii="宋体" w:eastAsia="宋体" w:hAnsi="宋体" w:cs="宋体"/>
          <w:spacing w:val="-2"/>
        </w:rPr>
        <w:t>构成的复合多糖为主，还含有中性杂多糖和葡聚糖同多</w:t>
      </w:r>
      <w:r>
        <w:rPr>
          <w:rFonts w:ascii="宋体" w:eastAsia="宋体" w:hAnsi="宋体" w:cs="宋体"/>
          <w:spacing w:val="-3"/>
        </w:rPr>
        <w:t>肽或蛋白质构成的复合多</w:t>
      </w:r>
      <w:r>
        <w:rPr>
          <w:rFonts w:ascii="宋体" w:eastAsia="宋体" w:hAnsi="宋体" w:cs="宋体"/>
        </w:rPr>
        <w:t xml:space="preserve">  </w:t>
      </w:r>
      <w:r>
        <w:rPr>
          <w:rFonts w:ascii="宋体" w:eastAsia="宋体" w:hAnsi="宋体" w:cs="宋体"/>
          <w:spacing w:val="6"/>
        </w:rPr>
        <w:t>糖。复合多糖中的糖链呈多分枝的复杂结构，肽链的氨基酸含量在5%～30%之</w:t>
      </w:r>
      <w:r>
        <w:rPr>
          <w:rFonts w:ascii="宋体" w:eastAsia="宋体" w:hAnsi="宋体" w:cs="宋体"/>
          <w:spacing w:val="3"/>
        </w:rPr>
        <w:t xml:space="preserve">  </w:t>
      </w:r>
      <w:r>
        <w:rPr>
          <w:rFonts w:ascii="宋体" w:eastAsia="宋体" w:hAnsi="宋体" w:cs="宋体"/>
          <w:spacing w:val="1"/>
        </w:rPr>
        <w:t>间。药理实验表明，</w:t>
      </w:r>
      <w:r>
        <w:rPr>
          <w:rFonts w:ascii="宋体" w:eastAsia="宋体" w:hAnsi="宋体" w:cs="宋体"/>
          <w:spacing w:val="30"/>
        </w:rPr>
        <w:t xml:space="preserve"> </w:t>
      </w:r>
      <w:r>
        <w:rPr>
          <w:rFonts w:ascii="宋体" w:eastAsia="宋体" w:hAnsi="宋体" w:cs="宋体"/>
        </w:rPr>
        <w:t>LBP</w:t>
      </w:r>
      <w:r>
        <w:rPr>
          <w:rFonts w:ascii="宋体" w:eastAsia="宋体" w:hAnsi="宋体" w:cs="宋体"/>
          <w:spacing w:val="46"/>
        </w:rPr>
        <w:t xml:space="preserve"> </w:t>
      </w:r>
      <w:r>
        <w:rPr>
          <w:rFonts w:ascii="宋体" w:eastAsia="宋体" w:hAnsi="宋体" w:cs="宋体"/>
          <w:spacing w:val="1"/>
        </w:rPr>
        <w:t>为枸杞子中主要的活性成分，具有增加机体免疫力、</w:t>
      </w:r>
      <w:r>
        <w:rPr>
          <w:rFonts w:ascii="宋体" w:eastAsia="宋体" w:hAnsi="宋体" w:cs="宋体"/>
        </w:rPr>
        <w:t xml:space="preserve"> 降血糖、降血脂、抗疲劳、抗肿瘤、保肝及保</w:t>
      </w:r>
      <w:r>
        <w:rPr>
          <w:rFonts w:ascii="宋体" w:eastAsia="宋体" w:hAnsi="宋体" w:cs="宋体"/>
          <w:spacing w:val="-1"/>
        </w:rPr>
        <w:t>护生殖系统等方面的作用。其中，</w:t>
      </w:r>
      <w:r>
        <w:rPr>
          <w:rFonts w:ascii="宋体" w:eastAsia="宋体" w:hAnsi="宋体" w:cs="宋体"/>
        </w:rPr>
        <w:t xml:space="preserve"> </w:t>
      </w:r>
      <w:r>
        <w:rPr>
          <w:rFonts w:ascii="宋体" w:eastAsia="宋体" w:hAnsi="宋体" w:cs="宋体"/>
          <w:spacing w:val="-1"/>
        </w:rPr>
        <w:t>LBP</w:t>
      </w:r>
      <w:r>
        <w:rPr>
          <w:rFonts w:ascii="宋体" w:eastAsia="宋体" w:hAnsi="宋体" w:cs="宋体"/>
          <w:spacing w:val="20"/>
        </w:rPr>
        <w:t xml:space="preserve"> </w:t>
      </w:r>
      <w:r>
        <w:rPr>
          <w:rFonts w:ascii="宋体" w:eastAsia="宋体" w:hAnsi="宋体" w:cs="宋体"/>
          <w:spacing w:val="-1"/>
        </w:rPr>
        <w:t>较强的细胞保护作用和免疫活性是其他药理作用的基础。近期的研究表明，</w:t>
      </w:r>
      <w:r>
        <w:rPr>
          <w:rFonts w:ascii="宋体" w:eastAsia="宋体" w:hAnsi="宋体" w:cs="宋体"/>
        </w:rPr>
        <w:t xml:space="preserve"> LBP</w:t>
      </w:r>
      <w:r>
        <w:rPr>
          <w:rFonts w:ascii="宋体" w:eastAsia="宋体" w:hAnsi="宋体" w:cs="宋体"/>
          <w:spacing w:val="17"/>
        </w:rPr>
        <w:t xml:space="preserve"> </w:t>
      </w:r>
      <w:r>
        <w:rPr>
          <w:rFonts w:ascii="宋体" w:eastAsia="宋体" w:hAnsi="宋体" w:cs="宋体"/>
          <w:spacing w:val="6"/>
        </w:rPr>
        <w:t>能够有效地降低老年大鼠T</w:t>
      </w:r>
      <w:r>
        <w:rPr>
          <w:rFonts w:ascii="宋体" w:eastAsia="宋体" w:hAnsi="宋体" w:cs="宋体"/>
          <w:spacing w:val="15"/>
        </w:rPr>
        <w:t xml:space="preserve"> </w:t>
      </w:r>
      <w:r>
        <w:rPr>
          <w:rFonts w:ascii="宋体" w:eastAsia="宋体" w:hAnsi="宋体" w:cs="宋体"/>
          <w:spacing w:val="6"/>
        </w:rPr>
        <w:t>细胞的过度凋亡，而且下调促凋亡的</w:t>
      </w:r>
      <w:r>
        <w:rPr>
          <w:rFonts w:ascii="宋体" w:eastAsia="宋体" w:hAnsi="宋体" w:cs="宋体"/>
          <w:spacing w:val="-61"/>
        </w:rPr>
        <w:t xml:space="preserve"> </w:t>
      </w:r>
      <w:r>
        <w:rPr>
          <w:rFonts w:ascii="宋体" w:eastAsia="宋体" w:hAnsi="宋体" w:cs="宋体"/>
        </w:rPr>
        <w:t>TNFRI</w:t>
      </w:r>
    </w:p>
    <w:p w:rsidR="00EA40A3" w:rsidRDefault="00E86C16">
      <w:pPr>
        <w:spacing w:before="51" w:line="242" w:lineRule="auto"/>
        <w:ind w:right="72"/>
        <w:rPr>
          <w:rFonts w:ascii="宋体" w:eastAsia="宋体" w:hAnsi="宋体" w:cs="宋体"/>
        </w:rPr>
      </w:pPr>
      <w:r>
        <w:rPr>
          <w:rFonts w:ascii="宋体" w:eastAsia="宋体" w:hAnsi="宋体" w:cs="宋体"/>
          <w:spacing w:val="1"/>
        </w:rPr>
        <w:t>基因</w:t>
      </w:r>
      <w:r>
        <w:rPr>
          <w:rFonts w:ascii="宋体" w:eastAsia="宋体" w:hAnsi="宋体" w:cs="宋体"/>
          <w:spacing w:val="-57"/>
        </w:rPr>
        <w:t xml:space="preserve"> </w:t>
      </w:r>
      <w:r>
        <w:rPr>
          <w:rFonts w:ascii="宋体" w:eastAsia="宋体" w:hAnsi="宋体" w:cs="宋体"/>
        </w:rPr>
        <w:t>mRNA</w:t>
      </w:r>
      <w:r>
        <w:rPr>
          <w:rFonts w:ascii="宋体" w:eastAsia="宋体" w:hAnsi="宋体" w:cs="宋体"/>
          <w:spacing w:val="26"/>
        </w:rPr>
        <w:t xml:space="preserve">  </w:t>
      </w:r>
      <w:r>
        <w:rPr>
          <w:rFonts w:ascii="宋体" w:eastAsia="宋体" w:hAnsi="宋体" w:cs="宋体"/>
          <w:spacing w:val="1"/>
        </w:rPr>
        <w:t>表达，并上调抗凋亡的</w:t>
      </w:r>
      <w:r>
        <w:rPr>
          <w:rFonts w:ascii="宋体" w:eastAsia="宋体" w:hAnsi="宋体" w:cs="宋体"/>
        </w:rPr>
        <w:t>Bcl</w:t>
      </w:r>
      <w:r>
        <w:rPr>
          <w:rFonts w:ascii="宋体" w:eastAsia="宋体" w:hAnsi="宋体" w:cs="宋体"/>
          <w:spacing w:val="1"/>
        </w:rPr>
        <w:t>-2基</w:t>
      </w:r>
      <w:r>
        <w:rPr>
          <w:rFonts w:ascii="宋体" w:eastAsia="宋体" w:hAnsi="宋体" w:cs="宋体"/>
          <w:spacing w:val="-31"/>
        </w:rPr>
        <w:t xml:space="preserve"> </w:t>
      </w:r>
      <w:r>
        <w:rPr>
          <w:rFonts w:ascii="宋体" w:eastAsia="宋体" w:hAnsi="宋体" w:cs="宋体"/>
          <w:spacing w:val="1"/>
        </w:rPr>
        <w:t>因</w:t>
      </w:r>
      <w:r>
        <w:rPr>
          <w:rFonts w:ascii="宋体" w:eastAsia="宋体" w:hAnsi="宋体" w:cs="宋体"/>
        </w:rPr>
        <w:t>mRNA</w:t>
      </w:r>
      <w:r>
        <w:rPr>
          <w:rFonts w:ascii="宋体" w:eastAsia="宋体" w:hAnsi="宋体" w:cs="宋体"/>
          <w:spacing w:val="26"/>
        </w:rPr>
        <w:t xml:space="preserve">  </w:t>
      </w:r>
      <w:r>
        <w:rPr>
          <w:rFonts w:ascii="宋体" w:eastAsia="宋体" w:hAnsi="宋体" w:cs="宋体"/>
          <w:spacing w:val="1"/>
        </w:rPr>
        <w:t>表达，从</w:t>
      </w:r>
      <w:r>
        <w:rPr>
          <w:rFonts w:ascii="宋体" w:eastAsia="宋体" w:hAnsi="宋体" w:cs="宋体"/>
        </w:rPr>
        <w:t xml:space="preserve">而改善老年大鼠 </w:t>
      </w:r>
      <w:r>
        <w:rPr>
          <w:rFonts w:ascii="宋体" w:eastAsia="宋体" w:hAnsi="宋体" w:cs="宋体"/>
          <w:spacing w:val="-4"/>
        </w:rPr>
        <w:t>T</w:t>
      </w:r>
      <w:r>
        <w:rPr>
          <w:rFonts w:ascii="宋体" w:eastAsia="宋体" w:hAnsi="宋体" w:cs="宋体"/>
          <w:spacing w:val="-3"/>
        </w:rPr>
        <w:t xml:space="preserve"> </w:t>
      </w:r>
      <w:r>
        <w:rPr>
          <w:rFonts w:ascii="宋体" w:eastAsia="宋体" w:hAnsi="宋体" w:cs="宋体"/>
          <w:spacing w:val="-4"/>
        </w:rPr>
        <w:t>细胞过度凋亡的状态。</w:t>
      </w:r>
    </w:p>
    <w:p w:rsidR="00EA40A3" w:rsidRDefault="00E86C16">
      <w:pPr>
        <w:spacing w:before="102" w:line="220" w:lineRule="auto"/>
        <w:ind w:left="420"/>
        <w:rPr>
          <w:rFonts w:ascii="宋体" w:eastAsia="宋体" w:hAnsi="宋体" w:cs="宋体"/>
        </w:rPr>
      </w:pPr>
      <w:r>
        <w:rPr>
          <w:rFonts w:ascii="宋体" w:eastAsia="宋体" w:hAnsi="宋体" w:cs="宋体"/>
          <w:spacing w:val="-2"/>
        </w:rPr>
        <w:t>c.魔芋多糖</w:t>
      </w:r>
    </w:p>
    <w:p w:rsidR="00EA40A3" w:rsidRDefault="00E86C16">
      <w:pPr>
        <w:spacing w:before="61" w:line="214" w:lineRule="auto"/>
        <w:ind w:left="420"/>
        <w:rPr>
          <w:rFonts w:ascii="宋体" w:eastAsia="宋体" w:hAnsi="宋体" w:cs="宋体"/>
        </w:rPr>
      </w:pPr>
      <w:r>
        <w:rPr>
          <w:rFonts w:ascii="宋体" w:eastAsia="宋体" w:hAnsi="宋体" w:cs="宋体"/>
          <w:spacing w:val="1"/>
        </w:rPr>
        <w:t>魔芋多糖又叫魔芋葡甘聚糖</w:t>
      </w:r>
      <w:r>
        <w:rPr>
          <w:rFonts w:ascii="宋体" w:eastAsia="宋体" w:hAnsi="宋体" w:cs="宋体"/>
          <w:spacing w:val="-10"/>
        </w:rPr>
        <w:t xml:space="preserve"> </w:t>
      </w:r>
      <w:r>
        <w:rPr>
          <w:rFonts w:ascii="宋体" w:eastAsia="宋体" w:hAnsi="宋体" w:cs="宋体"/>
          <w:spacing w:val="1"/>
        </w:rPr>
        <w:t>(</w:t>
      </w:r>
      <w:r>
        <w:rPr>
          <w:rFonts w:ascii="宋体" w:eastAsia="宋体" w:hAnsi="宋体" w:cs="宋体"/>
        </w:rPr>
        <w:t>konjac    glucomannan</w:t>
      </w:r>
      <w:r>
        <w:rPr>
          <w:rFonts w:ascii="宋体" w:eastAsia="宋体" w:hAnsi="宋体" w:cs="宋体"/>
          <w:spacing w:val="1"/>
        </w:rPr>
        <w:t>,</w:t>
      </w:r>
      <w:r>
        <w:rPr>
          <w:rFonts w:ascii="宋体" w:eastAsia="宋体" w:hAnsi="宋体" w:cs="宋体"/>
        </w:rPr>
        <w:t>KGM</w:t>
      </w:r>
      <w:r>
        <w:rPr>
          <w:rFonts w:ascii="宋体" w:eastAsia="宋体" w:hAnsi="宋体" w:cs="宋体"/>
          <w:spacing w:val="1"/>
        </w:rPr>
        <w:t>),是从魔芋球茎</w:t>
      </w:r>
    </w:p>
    <w:p w:rsidR="00EA40A3" w:rsidRDefault="00E86C16">
      <w:pPr>
        <w:spacing w:before="74" w:line="243" w:lineRule="auto"/>
        <w:ind w:right="59"/>
        <w:rPr>
          <w:rFonts w:ascii="宋体" w:eastAsia="宋体" w:hAnsi="宋体" w:cs="宋体"/>
        </w:rPr>
      </w:pPr>
      <w:r>
        <w:rPr>
          <w:rFonts w:ascii="宋体" w:eastAsia="宋体" w:hAnsi="宋体" w:cs="宋体"/>
          <w:spacing w:val="-5"/>
        </w:rPr>
        <w:t>中加工提取的中性杂多糖，由</w:t>
      </w:r>
      <w:r>
        <w:rPr>
          <w:rFonts w:ascii="宋体" w:eastAsia="宋体" w:hAnsi="宋体" w:cs="宋体"/>
          <w:spacing w:val="-31"/>
        </w:rPr>
        <w:t xml:space="preserve"> </w:t>
      </w:r>
      <w:r>
        <w:rPr>
          <w:rFonts w:ascii="宋体" w:eastAsia="宋体" w:hAnsi="宋体" w:cs="宋体"/>
          <w:spacing w:val="-5"/>
        </w:rPr>
        <w:t>βD-葡萄糖和</w:t>
      </w:r>
      <w:r>
        <w:rPr>
          <w:rFonts w:ascii="宋体" w:eastAsia="宋体" w:hAnsi="宋体" w:cs="宋体"/>
          <w:spacing w:val="-40"/>
        </w:rPr>
        <w:t xml:space="preserve"> </w:t>
      </w:r>
      <w:r>
        <w:rPr>
          <w:rFonts w:ascii="宋体" w:eastAsia="宋体" w:hAnsi="宋体" w:cs="宋体"/>
          <w:spacing w:val="-5"/>
        </w:rPr>
        <w:t>βD-甘露糖以一定摩尔比以β(1→4)</w:t>
      </w:r>
      <w:r>
        <w:rPr>
          <w:rFonts w:ascii="宋体" w:eastAsia="宋体" w:hAnsi="宋体" w:cs="宋体"/>
        </w:rPr>
        <w:t xml:space="preserve"> </w:t>
      </w:r>
      <w:r>
        <w:rPr>
          <w:rFonts w:ascii="宋体" w:eastAsia="宋体" w:hAnsi="宋体" w:cs="宋体"/>
          <w:spacing w:val="4"/>
        </w:rPr>
        <w:t>糖苷键结合构成，在主链某些糖残基的C3</w:t>
      </w:r>
      <w:r>
        <w:rPr>
          <w:rFonts w:ascii="宋体" w:eastAsia="宋体" w:hAnsi="宋体" w:cs="宋体"/>
          <w:spacing w:val="-9"/>
        </w:rPr>
        <w:t xml:space="preserve"> </w:t>
      </w:r>
      <w:r>
        <w:rPr>
          <w:rFonts w:ascii="宋体" w:eastAsia="宋体" w:hAnsi="宋体" w:cs="宋体"/>
          <w:spacing w:val="4"/>
        </w:rPr>
        <w:t>位</w:t>
      </w:r>
      <w:r>
        <w:rPr>
          <w:rFonts w:ascii="宋体" w:eastAsia="宋体" w:hAnsi="宋体" w:cs="宋体"/>
          <w:spacing w:val="3"/>
        </w:rPr>
        <w:t>上存在着通过β1,3键结合的支链</w:t>
      </w:r>
    </w:p>
    <w:p w:rsidR="00EA40A3" w:rsidRDefault="00E86C16">
      <w:pPr>
        <w:spacing w:before="102"/>
        <w:ind w:right="119"/>
        <w:jc w:val="right"/>
        <w:rPr>
          <w:rFonts w:ascii="宋体" w:eastAsia="宋体" w:hAnsi="宋体" w:cs="宋体"/>
          <w:sz w:val="17"/>
          <w:szCs w:val="17"/>
        </w:rPr>
      </w:pPr>
      <w:r>
        <w:rPr>
          <w:rFonts w:ascii="宋体" w:eastAsia="宋体" w:hAnsi="宋体" w:cs="宋体"/>
          <w:spacing w:val="-28"/>
          <w:sz w:val="17"/>
          <w:szCs w:val="17"/>
        </w:rPr>
        <w:t>·</w:t>
      </w:r>
      <w:r>
        <w:rPr>
          <w:rFonts w:ascii="宋体" w:eastAsia="宋体" w:hAnsi="宋体" w:cs="宋体"/>
          <w:sz w:val="17"/>
          <w:szCs w:val="17"/>
        </w:rPr>
        <w:t xml:space="preserve"> </w:t>
      </w:r>
      <w:r>
        <w:rPr>
          <w:rFonts w:ascii="宋体" w:eastAsia="宋体" w:hAnsi="宋体" w:cs="宋体"/>
          <w:spacing w:val="-28"/>
          <w:sz w:val="17"/>
          <w:szCs w:val="17"/>
        </w:rPr>
        <w:t>55</w:t>
      </w:r>
      <w:r>
        <w:rPr>
          <w:rFonts w:ascii="宋体" w:eastAsia="宋体" w:hAnsi="宋体" w:cs="宋体"/>
          <w:spacing w:val="46"/>
          <w:sz w:val="17"/>
          <w:szCs w:val="17"/>
        </w:rPr>
        <w:t xml:space="preserve"> </w:t>
      </w:r>
      <w:r>
        <w:rPr>
          <w:rFonts w:ascii="宋体" w:eastAsia="宋体" w:hAnsi="宋体" w:cs="宋体"/>
          <w:spacing w:val="-28"/>
          <w:sz w:val="17"/>
          <w:szCs w:val="17"/>
        </w:rPr>
        <w:t>·</w:t>
      </w:r>
    </w:p>
    <w:p w:rsidR="00EA40A3" w:rsidRDefault="00EA40A3">
      <w:pPr>
        <w:sectPr w:rsidR="00EA40A3">
          <w:pgSz w:w="9220" w:h="13360"/>
          <w:pgMar w:top="400" w:right="984" w:bottom="400" w:left="879" w:header="0" w:footer="0" w:gutter="0"/>
          <w:cols w:space="720"/>
        </w:sectPr>
      </w:pPr>
    </w:p>
    <w:p w:rsidR="00EA40A3" w:rsidRDefault="00EA40A3">
      <w:pPr>
        <w:spacing w:line="297" w:lineRule="auto"/>
      </w:pPr>
    </w:p>
    <w:p w:rsidR="00EA40A3" w:rsidRDefault="00EA40A3">
      <w:pPr>
        <w:spacing w:line="297" w:lineRule="auto"/>
      </w:pPr>
    </w:p>
    <w:p w:rsidR="00EA40A3" w:rsidRDefault="00E86C16">
      <w:pPr>
        <w:spacing w:before="68" w:line="262" w:lineRule="auto"/>
        <w:ind w:right="20"/>
        <w:jc w:val="both"/>
        <w:rPr>
          <w:rFonts w:ascii="宋体" w:eastAsia="宋体" w:hAnsi="宋体" w:cs="宋体"/>
        </w:rPr>
      </w:pPr>
      <w:r>
        <w:rPr>
          <w:rFonts w:ascii="宋体" w:eastAsia="宋体" w:hAnsi="宋体" w:cs="宋体"/>
          <w:spacing w:val="-4"/>
        </w:rPr>
        <w:t>结构，还含有少量以酯键与糖残基结合的乙酰基。</w:t>
      </w:r>
      <w:r>
        <w:rPr>
          <w:rFonts w:ascii="宋体" w:eastAsia="宋体" w:hAnsi="宋体" w:cs="宋体"/>
          <w:spacing w:val="9"/>
        </w:rPr>
        <w:t xml:space="preserve"> </w:t>
      </w:r>
      <w:r>
        <w:rPr>
          <w:rFonts w:ascii="宋体" w:eastAsia="宋体" w:hAnsi="宋体" w:cs="宋体"/>
          <w:spacing w:val="-4"/>
        </w:rPr>
        <w:t>KGM</w:t>
      </w:r>
      <w:r>
        <w:rPr>
          <w:rFonts w:ascii="宋体" w:eastAsia="宋体" w:hAnsi="宋体" w:cs="宋体"/>
          <w:spacing w:val="19"/>
        </w:rPr>
        <w:t xml:space="preserve">  </w:t>
      </w:r>
      <w:r>
        <w:rPr>
          <w:rFonts w:ascii="宋体" w:eastAsia="宋体" w:hAnsi="宋体" w:cs="宋体"/>
          <w:spacing w:val="-4"/>
        </w:rPr>
        <w:t>是一种优良的功能性食</w:t>
      </w:r>
      <w:r>
        <w:rPr>
          <w:rFonts w:ascii="宋体" w:eastAsia="宋体" w:hAnsi="宋体" w:cs="宋体"/>
          <w:spacing w:val="1"/>
        </w:rPr>
        <w:t xml:space="preserve"> </w:t>
      </w:r>
      <w:r>
        <w:rPr>
          <w:rFonts w:ascii="宋体" w:eastAsia="宋体" w:hAnsi="宋体" w:cs="宋体"/>
          <w:spacing w:val="-3"/>
        </w:rPr>
        <w:t>品和医药用品基料，具有亲水性、增稠性、胶凝性、黏结性、成膜性、低热值等</w:t>
      </w:r>
      <w:r>
        <w:rPr>
          <w:rFonts w:ascii="宋体" w:eastAsia="宋体" w:hAnsi="宋体" w:cs="宋体"/>
          <w:spacing w:val="13"/>
        </w:rPr>
        <w:t xml:space="preserve"> </w:t>
      </w:r>
      <w:r>
        <w:rPr>
          <w:rFonts w:ascii="宋体" w:eastAsia="宋体" w:hAnsi="宋体" w:cs="宋体"/>
          <w:spacing w:val="-4"/>
        </w:rPr>
        <w:t>多种特性。据报道，</w:t>
      </w:r>
      <w:r>
        <w:rPr>
          <w:rFonts w:ascii="宋体" w:eastAsia="宋体" w:hAnsi="宋体" w:cs="宋体"/>
          <w:spacing w:val="19"/>
        </w:rPr>
        <w:t xml:space="preserve"> </w:t>
      </w:r>
      <w:r>
        <w:rPr>
          <w:rFonts w:ascii="宋体" w:eastAsia="宋体" w:hAnsi="宋体" w:cs="宋体"/>
          <w:spacing w:val="-4"/>
        </w:rPr>
        <w:t>KGM</w:t>
      </w:r>
      <w:r>
        <w:rPr>
          <w:rFonts w:ascii="宋体" w:eastAsia="宋体" w:hAnsi="宋体" w:cs="宋体"/>
          <w:spacing w:val="15"/>
        </w:rPr>
        <w:t xml:space="preserve">  </w:t>
      </w:r>
      <w:r>
        <w:rPr>
          <w:rFonts w:ascii="宋体" w:eastAsia="宋体" w:hAnsi="宋体" w:cs="宋体"/>
          <w:spacing w:val="-4"/>
        </w:rPr>
        <w:t>能够延缓葡萄糖的吸收，有效减轻因餐后血糖升高而</w:t>
      </w:r>
      <w:r>
        <w:rPr>
          <w:rFonts w:ascii="宋体" w:eastAsia="宋体" w:hAnsi="宋体" w:cs="宋体"/>
        </w:rPr>
        <w:t xml:space="preserve"> </w:t>
      </w:r>
      <w:r>
        <w:rPr>
          <w:rFonts w:ascii="宋体" w:eastAsia="宋体" w:hAnsi="宋体" w:cs="宋体"/>
          <w:spacing w:val="-4"/>
        </w:rPr>
        <w:t>导致的胰脏负担，使糖尿病患者的糖代谢处于</w:t>
      </w:r>
      <w:r>
        <w:rPr>
          <w:rFonts w:ascii="宋体" w:eastAsia="宋体" w:hAnsi="宋体" w:cs="宋体"/>
          <w:spacing w:val="-5"/>
        </w:rPr>
        <w:t>良性循环；同时，</w:t>
      </w:r>
      <w:r>
        <w:rPr>
          <w:rFonts w:ascii="宋体" w:eastAsia="宋体" w:hAnsi="宋体" w:cs="宋体"/>
          <w:spacing w:val="10"/>
        </w:rPr>
        <w:t xml:space="preserve"> </w:t>
      </w:r>
      <w:r>
        <w:rPr>
          <w:rFonts w:ascii="宋体" w:eastAsia="宋体" w:hAnsi="宋体" w:cs="宋体"/>
          <w:spacing w:val="-4"/>
        </w:rPr>
        <w:t>KGM</w:t>
      </w:r>
      <w:r>
        <w:rPr>
          <w:rFonts w:ascii="宋体" w:eastAsia="宋体" w:hAnsi="宋体" w:cs="宋体"/>
          <w:spacing w:val="15"/>
        </w:rPr>
        <w:t xml:space="preserve">  </w:t>
      </w:r>
      <w:r>
        <w:rPr>
          <w:rFonts w:ascii="宋体" w:eastAsia="宋体" w:hAnsi="宋体" w:cs="宋体"/>
          <w:spacing w:val="-5"/>
        </w:rPr>
        <w:t>具有降血</w:t>
      </w:r>
      <w:r>
        <w:rPr>
          <w:rFonts w:ascii="宋体" w:eastAsia="宋体" w:hAnsi="宋体" w:cs="宋体"/>
        </w:rPr>
        <w:t xml:space="preserve"> </w:t>
      </w:r>
      <w:r>
        <w:rPr>
          <w:rFonts w:ascii="宋体" w:eastAsia="宋体" w:hAnsi="宋体" w:cs="宋体"/>
          <w:spacing w:val="-7"/>
        </w:rPr>
        <w:t>脂、整肠、减肥等功能。</w:t>
      </w:r>
    </w:p>
    <w:p w:rsidR="00EA40A3" w:rsidRDefault="00E86C16">
      <w:pPr>
        <w:spacing w:before="52" w:line="219" w:lineRule="auto"/>
        <w:ind w:left="439"/>
        <w:rPr>
          <w:rFonts w:ascii="宋体" w:eastAsia="宋体" w:hAnsi="宋体" w:cs="宋体"/>
        </w:rPr>
      </w:pPr>
      <w:r>
        <w:rPr>
          <w:rFonts w:ascii="宋体" w:eastAsia="宋体" w:hAnsi="宋体" w:cs="宋体"/>
          <w:spacing w:val="1"/>
        </w:rPr>
        <w:t>d.其他植物多糖</w:t>
      </w:r>
    </w:p>
    <w:p w:rsidR="00EA40A3" w:rsidRDefault="00E86C16">
      <w:pPr>
        <w:spacing w:before="52" w:line="258" w:lineRule="auto"/>
        <w:ind w:right="20" w:firstLine="439"/>
        <w:rPr>
          <w:rFonts w:ascii="宋体" w:eastAsia="宋体" w:hAnsi="宋体" w:cs="宋体"/>
        </w:rPr>
      </w:pPr>
      <w:r>
        <w:rPr>
          <w:rFonts w:ascii="宋体" w:eastAsia="宋体" w:hAnsi="宋体" w:cs="宋体"/>
          <w:spacing w:val="-3"/>
        </w:rPr>
        <w:t>多种植物中都含有具有生物活性的多糖。如苦瓜多</w:t>
      </w:r>
      <w:r>
        <w:rPr>
          <w:rFonts w:ascii="宋体" w:eastAsia="宋体" w:hAnsi="宋体" w:cs="宋体"/>
          <w:spacing w:val="-4"/>
        </w:rPr>
        <w:t>糖不仅是一种特异性免疫</w:t>
      </w:r>
      <w:r>
        <w:rPr>
          <w:rFonts w:ascii="宋体" w:eastAsia="宋体" w:hAnsi="宋体" w:cs="宋体"/>
        </w:rPr>
        <w:t xml:space="preserve"> </w:t>
      </w:r>
      <w:r>
        <w:rPr>
          <w:rFonts w:ascii="宋体" w:eastAsia="宋体" w:hAnsi="宋体" w:cs="宋体"/>
          <w:spacing w:val="-3"/>
        </w:rPr>
        <w:t>促进剂，而且具有降血糖、降血脂和降胆固醇等生理功</w:t>
      </w:r>
      <w:r>
        <w:rPr>
          <w:rFonts w:ascii="宋体" w:eastAsia="宋体" w:hAnsi="宋体" w:cs="宋体"/>
          <w:spacing w:val="-4"/>
        </w:rPr>
        <w:t>能；余甘多糖可清除自由</w:t>
      </w:r>
      <w:r>
        <w:rPr>
          <w:rFonts w:ascii="宋体" w:eastAsia="宋体" w:hAnsi="宋体" w:cs="宋体"/>
        </w:rPr>
        <w:t xml:space="preserve"> </w:t>
      </w:r>
      <w:r>
        <w:rPr>
          <w:rFonts w:ascii="宋体" w:eastAsia="宋体" w:hAnsi="宋体" w:cs="宋体"/>
          <w:spacing w:val="-3"/>
        </w:rPr>
        <w:t>基，具有抑制脂质过氧化作用；大枣多糖不仅具有清除自由基的</w:t>
      </w:r>
      <w:r>
        <w:rPr>
          <w:rFonts w:ascii="宋体" w:eastAsia="宋体" w:hAnsi="宋体" w:cs="宋体"/>
          <w:spacing w:val="-4"/>
        </w:rPr>
        <w:t>作用，体外实验</w:t>
      </w:r>
      <w:r>
        <w:rPr>
          <w:rFonts w:ascii="宋体" w:eastAsia="宋体" w:hAnsi="宋体" w:cs="宋体"/>
        </w:rPr>
        <w:t xml:space="preserve"> </w:t>
      </w:r>
      <w:r>
        <w:rPr>
          <w:rFonts w:ascii="宋体" w:eastAsia="宋体" w:hAnsi="宋体" w:cs="宋体"/>
          <w:spacing w:val="-6"/>
        </w:rPr>
        <w:t>表明还可增强小鼠腹腔巨噬细胞的细胞毒作用，诱导肿瘤坏死因子-a、</w:t>
      </w:r>
      <w:r>
        <w:rPr>
          <w:rFonts w:ascii="宋体" w:eastAsia="宋体" w:hAnsi="宋体" w:cs="宋体"/>
          <w:spacing w:val="-18"/>
        </w:rPr>
        <w:t xml:space="preserve"> </w:t>
      </w:r>
      <w:r>
        <w:rPr>
          <w:rFonts w:ascii="宋体" w:eastAsia="宋体" w:hAnsi="宋体" w:cs="宋体"/>
          <w:spacing w:val="-6"/>
        </w:rPr>
        <w:t>白细胞介</w:t>
      </w:r>
      <w:r>
        <w:rPr>
          <w:rFonts w:ascii="宋体" w:eastAsia="宋体" w:hAnsi="宋体" w:cs="宋体"/>
        </w:rPr>
        <w:t xml:space="preserve"> </w:t>
      </w:r>
      <w:r>
        <w:rPr>
          <w:rFonts w:ascii="宋体" w:eastAsia="宋体" w:hAnsi="宋体" w:cs="宋体"/>
          <w:spacing w:val="3"/>
        </w:rPr>
        <w:t>素-1以及一氧化氮的产生；甘薯多糖有显著的抗突变作用；猕</w:t>
      </w:r>
      <w:r>
        <w:rPr>
          <w:rFonts w:ascii="宋体" w:eastAsia="宋体" w:hAnsi="宋体" w:cs="宋体"/>
          <w:spacing w:val="2"/>
        </w:rPr>
        <w:t>猴桃多糖具有抗</w:t>
      </w:r>
      <w:r>
        <w:rPr>
          <w:rFonts w:ascii="宋体" w:eastAsia="宋体" w:hAnsi="宋体" w:cs="宋体"/>
        </w:rPr>
        <w:t xml:space="preserve"> </w:t>
      </w:r>
      <w:r>
        <w:rPr>
          <w:rFonts w:ascii="宋体" w:eastAsia="宋体" w:hAnsi="宋体" w:cs="宋体"/>
          <w:spacing w:val="9"/>
        </w:rPr>
        <w:t>肿瘤作用；甘蔗多糖、石榴多糖、番石榴多糖可降血糖</w:t>
      </w:r>
      <w:r>
        <w:rPr>
          <w:rFonts w:ascii="宋体" w:eastAsia="宋体" w:hAnsi="宋体" w:cs="宋体"/>
          <w:spacing w:val="8"/>
        </w:rPr>
        <w:t>；黑豆多糖对</w:t>
      </w:r>
      <w:r>
        <w:rPr>
          <w:rFonts w:ascii="宋体" w:eastAsia="宋体" w:hAnsi="宋体" w:cs="宋体"/>
          <w:spacing w:val="-44"/>
        </w:rPr>
        <w:t xml:space="preserve"> </w:t>
      </w:r>
      <w:r>
        <w:rPr>
          <w:rFonts w:ascii="宋体" w:eastAsia="宋体" w:hAnsi="宋体" w:cs="宋体"/>
          <w:spacing w:val="8"/>
        </w:rPr>
        <w:t>H</w:t>
      </w:r>
      <w:r>
        <w:rPr>
          <w:rFonts w:ascii="Calibri" w:eastAsia="Calibri" w:hAnsi="Calibri" w:cs="Calibri"/>
          <w:spacing w:val="8"/>
        </w:rPr>
        <w:t>₂</w:t>
      </w:r>
      <w:r>
        <w:rPr>
          <w:rFonts w:ascii="宋体" w:eastAsia="宋体" w:hAnsi="宋体" w:cs="宋体"/>
          <w:spacing w:val="8"/>
        </w:rPr>
        <w:t>O</w:t>
      </w:r>
      <w:r>
        <w:rPr>
          <w:rFonts w:ascii="Calibri" w:eastAsia="Calibri" w:hAnsi="Calibri" w:cs="Calibri"/>
          <w:spacing w:val="8"/>
        </w:rPr>
        <w:t>₂</w:t>
      </w:r>
      <w:r>
        <w:rPr>
          <w:rFonts w:ascii="Calibri" w:eastAsia="Calibri" w:hAnsi="Calibri" w:cs="Calibri"/>
          <w:spacing w:val="-25"/>
        </w:rPr>
        <w:t xml:space="preserve"> </w:t>
      </w:r>
      <w:r>
        <w:rPr>
          <w:rFonts w:ascii="宋体" w:eastAsia="宋体" w:hAnsi="宋体" w:cs="宋体"/>
          <w:spacing w:val="8"/>
        </w:rPr>
        <w:t>、</w:t>
      </w:r>
      <w:r>
        <w:rPr>
          <w:rFonts w:ascii="宋体" w:eastAsia="宋体" w:hAnsi="宋体" w:cs="宋体"/>
        </w:rPr>
        <w:t xml:space="preserve"> </w:t>
      </w:r>
      <w:r>
        <w:rPr>
          <w:rFonts w:ascii="宋体" w:eastAsia="宋体" w:hAnsi="宋体" w:cs="宋体"/>
          <w:spacing w:val="1"/>
        </w:rPr>
        <w:t>O</w:t>
      </w:r>
      <w:r>
        <w:rPr>
          <w:rFonts w:ascii="Calibri" w:eastAsia="Calibri" w:hAnsi="Calibri" w:cs="Calibri"/>
          <w:spacing w:val="1"/>
        </w:rPr>
        <w:t>₂</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rPr>
        <w:t>OH</w:t>
      </w:r>
      <w:r>
        <w:rPr>
          <w:rFonts w:ascii="宋体" w:eastAsia="宋体" w:hAnsi="宋体" w:cs="宋体"/>
          <w:spacing w:val="1"/>
        </w:rPr>
        <w:t>*</w:t>
      </w:r>
      <w:r>
        <w:rPr>
          <w:rFonts w:ascii="宋体" w:eastAsia="宋体" w:hAnsi="宋体" w:cs="宋体"/>
          <w:spacing w:val="100"/>
        </w:rPr>
        <w:t xml:space="preserve"> </w:t>
      </w:r>
      <w:r>
        <w:rPr>
          <w:rFonts w:ascii="宋体" w:eastAsia="宋体" w:hAnsi="宋体" w:cs="宋体"/>
          <w:spacing w:val="1"/>
        </w:rPr>
        <w:t>有清除作用等。其他具有开发潜力的</w:t>
      </w:r>
      <w:r>
        <w:rPr>
          <w:rFonts w:ascii="宋体" w:eastAsia="宋体" w:hAnsi="宋体" w:cs="宋体"/>
        </w:rPr>
        <w:t xml:space="preserve">果蔬多糖还有荔枝多糖、槟榔多 </w:t>
      </w:r>
      <w:r>
        <w:rPr>
          <w:rFonts w:ascii="宋体" w:eastAsia="宋体" w:hAnsi="宋体" w:cs="宋体"/>
          <w:spacing w:val="-8"/>
        </w:rPr>
        <w:t>糖、枇杷多糖和龙眼多糖等。</w:t>
      </w:r>
    </w:p>
    <w:p w:rsidR="00EA40A3" w:rsidRDefault="00E86C16">
      <w:pPr>
        <w:spacing w:before="82" w:line="318" w:lineRule="exact"/>
        <w:rPr>
          <w:rFonts w:ascii="楷体" w:eastAsia="楷体" w:hAnsi="楷体" w:cs="楷体"/>
        </w:rPr>
      </w:pPr>
      <w:r>
        <w:rPr>
          <w:rFonts w:ascii="楷体" w:eastAsia="楷体" w:hAnsi="楷体" w:cs="楷体"/>
          <w:spacing w:val="7"/>
          <w:position w:val="7"/>
        </w:rPr>
        <w:t>3)动物多糖</w:t>
      </w:r>
    </w:p>
    <w:p w:rsidR="00EA40A3" w:rsidRDefault="00E86C16">
      <w:pPr>
        <w:spacing w:line="219" w:lineRule="auto"/>
        <w:ind w:left="439"/>
        <w:rPr>
          <w:rFonts w:ascii="宋体" w:eastAsia="宋体" w:hAnsi="宋体" w:cs="宋体"/>
        </w:rPr>
      </w:pPr>
      <w:r>
        <w:rPr>
          <w:rFonts w:ascii="宋体" w:eastAsia="宋体" w:hAnsi="宋体" w:cs="宋体"/>
          <w:spacing w:val="1"/>
        </w:rPr>
        <w:t>a.肝素</w:t>
      </w:r>
    </w:p>
    <w:p w:rsidR="00EA40A3" w:rsidRDefault="00E86C16">
      <w:pPr>
        <w:spacing w:before="53" w:line="261" w:lineRule="auto"/>
        <w:ind w:firstLine="439"/>
        <w:jc w:val="both"/>
        <w:rPr>
          <w:rFonts w:ascii="宋体" w:eastAsia="宋体" w:hAnsi="宋体" w:cs="宋体"/>
        </w:rPr>
      </w:pPr>
      <w:r>
        <w:rPr>
          <w:rFonts w:ascii="宋体" w:eastAsia="宋体" w:hAnsi="宋体" w:cs="宋体"/>
          <w:spacing w:val="1"/>
        </w:rPr>
        <w:t>肝素</w:t>
      </w:r>
      <w:r>
        <w:rPr>
          <w:rFonts w:ascii="宋体" w:eastAsia="宋体" w:hAnsi="宋体" w:cs="宋体"/>
          <w:spacing w:val="8"/>
        </w:rPr>
        <w:t xml:space="preserve"> </w:t>
      </w:r>
      <w:r>
        <w:rPr>
          <w:rFonts w:ascii="宋体" w:eastAsia="宋体" w:hAnsi="宋体" w:cs="宋体"/>
          <w:spacing w:val="1"/>
        </w:rPr>
        <w:t>(</w:t>
      </w:r>
      <w:r>
        <w:rPr>
          <w:rFonts w:ascii="宋体" w:eastAsia="宋体" w:hAnsi="宋体" w:cs="宋体"/>
        </w:rPr>
        <w:t>heparin</w:t>
      </w:r>
      <w:r>
        <w:rPr>
          <w:rFonts w:ascii="宋体" w:eastAsia="宋体" w:hAnsi="宋体" w:cs="宋体"/>
          <w:spacing w:val="1"/>
        </w:rPr>
        <w:t>)</w:t>
      </w:r>
      <w:r>
        <w:rPr>
          <w:rFonts w:ascii="宋体" w:eastAsia="宋体" w:hAnsi="宋体" w:cs="宋体"/>
          <w:spacing w:val="-45"/>
        </w:rPr>
        <w:t xml:space="preserve"> </w:t>
      </w:r>
      <w:r>
        <w:rPr>
          <w:rFonts w:ascii="宋体" w:eastAsia="宋体" w:hAnsi="宋体" w:cs="宋体"/>
          <w:spacing w:val="1"/>
        </w:rPr>
        <w:t>是一类糖胺聚糖，与蛋白结合大量存在于肝脏之中，其他</w:t>
      </w:r>
      <w:r>
        <w:rPr>
          <w:rFonts w:ascii="宋体" w:eastAsia="宋体" w:hAnsi="宋体" w:cs="宋体"/>
        </w:rPr>
        <w:t xml:space="preserve"> </w:t>
      </w:r>
      <w:r>
        <w:rPr>
          <w:rFonts w:ascii="宋体" w:eastAsia="宋体" w:hAnsi="宋体" w:cs="宋体"/>
          <w:spacing w:val="3"/>
        </w:rPr>
        <w:t>器官和血液中也有。肝素是由糖醛酸和葡萄糖胺以(1→4)键连接起来的重复二</w:t>
      </w:r>
      <w:r>
        <w:rPr>
          <w:rFonts w:ascii="宋体" w:eastAsia="宋体" w:hAnsi="宋体" w:cs="宋体"/>
          <w:spacing w:val="12"/>
        </w:rPr>
        <w:t xml:space="preserve"> </w:t>
      </w:r>
      <w:r>
        <w:rPr>
          <w:rFonts w:ascii="宋体" w:eastAsia="宋体" w:hAnsi="宋体" w:cs="宋体"/>
          <w:spacing w:val="3"/>
        </w:rPr>
        <w:t>糖单位组成的多糖链的混合物。含10～30个二糖单位不等，相对分子质量约为</w:t>
      </w:r>
      <w:r>
        <w:rPr>
          <w:rFonts w:ascii="宋体" w:eastAsia="宋体" w:hAnsi="宋体" w:cs="宋体"/>
          <w:spacing w:val="11"/>
        </w:rPr>
        <w:t xml:space="preserve"> </w:t>
      </w:r>
      <w:r>
        <w:rPr>
          <w:rFonts w:ascii="宋体" w:eastAsia="宋体" w:hAnsi="宋体" w:cs="宋体"/>
          <w:spacing w:val="-2"/>
        </w:rPr>
        <w:t>3000～20000,2-O-</w:t>
      </w:r>
      <w:r>
        <w:rPr>
          <w:rFonts w:ascii="宋体" w:eastAsia="宋体" w:hAnsi="宋体" w:cs="宋体"/>
          <w:spacing w:val="57"/>
        </w:rPr>
        <w:t xml:space="preserve"> </w:t>
      </w:r>
      <w:r>
        <w:rPr>
          <w:rFonts w:ascii="宋体" w:eastAsia="宋体" w:hAnsi="宋体" w:cs="宋体"/>
          <w:spacing w:val="-2"/>
        </w:rPr>
        <w:t>硫酸α-L</w:t>
      </w:r>
      <w:r>
        <w:rPr>
          <w:rFonts w:ascii="宋体" w:eastAsia="宋体" w:hAnsi="宋体" w:cs="宋体"/>
          <w:spacing w:val="-33"/>
        </w:rPr>
        <w:t xml:space="preserve"> </w:t>
      </w:r>
      <w:r>
        <w:rPr>
          <w:rFonts w:ascii="宋体" w:eastAsia="宋体" w:hAnsi="宋体" w:cs="宋体"/>
          <w:spacing w:val="-2"/>
        </w:rPr>
        <w:t>艾杜糖醛酸及6-O</w:t>
      </w:r>
      <w:r>
        <w:rPr>
          <w:rFonts w:ascii="宋体" w:eastAsia="宋体" w:hAnsi="宋体" w:cs="宋体"/>
          <w:spacing w:val="17"/>
        </w:rPr>
        <w:t xml:space="preserve"> </w:t>
      </w:r>
      <w:r>
        <w:rPr>
          <w:rFonts w:ascii="宋体" w:eastAsia="宋体" w:hAnsi="宋体" w:cs="宋体"/>
          <w:spacing w:val="-2"/>
        </w:rPr>
        <w:t>硫</w:t>
      </w:r>
      <w:r>
        <w:rPr>
          <w:rFonts w:ascii="宋体" w:eastAsia="宋体" w:hAnsi="宋体" w:cs="宋体"/>
          <w:spacing w:val="-30"/>
        </w:rPr>
        <w:t xml:space="preserve"> </w:t>
      </w:r>
      <w:r>
        <w:rPr>
          <w:rFonts w:ascii="宋体" w:eastAsia="宋体" w:hAnsi="宋体" w:cs="宋体"/>
          <w:spacing w:val="-2"/>
        </w:rPr>
        <w:t>酸N-硫酸α-D</w:t>
      </w:r>
      <w:r>
        <w:rPr>
          <w:rFonts w:ascii="宋体" w:eastAsia="宋体" w:hAnsi="宋体" w:cs="宋体"/>
          <w:spacing w:val="5"/>
        </w:rPr>
        <w:t xml:space="preserve"> </w:t>
      </w:r>
      <w:r>
        <w:rPr>
          <w:rFonts w:ascii="宋体" w:eastAsia="宋体" w:hAnsi="宋体" w:cs="宋体"/>
          <w:spacing w:val="-2"/>
        </w:rPr>
        <w:t>葡萄糖胺是其</w:t>
      </w:r>
      <w:r>
        <w:rPr>
          <w:rFonts w:ascii="宋体" w:eastAsia="宋体" w:hAnsi="宋体" w:cs="宋体"/>
        </w:rPr>
        <w:t xml:space="preserve"> </w:t>
      </w:r>
      <w:r>
        <w:rPr>
          <w:rFonts w:ascii="宋体" w:eastAsia="宋体" w:hAnsi="宋体" w:cs="宋体"/>
          <w:spacing w:val="4"/>
        </w:rPr>
        <w:t>中的主要单糖，由它们组成的三硫酸二糖的重复单位构成了肝</w:t>
      </w:r>
      <w:r>
        <w:rPr>
          <w:rFonts w:ascii="宋体" w:eastAsia="宋体" w:hAnsi="宋体" w:cs="宋体"/>
          <w:spacing w:val="3"/>
        </w:rPr>
        <w:t>素的所谓“规则</w:t>
      </w:r>
      <w:r>
        <w:rPr>
          <w:rFonts w:ascii="宋体" w:eastAsia="宋体" w:hAnsi="宋体" w:cs="宋体"/>
        </w:rPr>
        <w:t xml:space="preserve"> </w:t>
      </w:r>
      <w:r>
        <w:rPr>
          <w:rFonts w:ascii="宋体" w:eastAsia="宋体" w:hAnsi="宋体" w:cs="宋体"/>
          <w:spacing w:val="-2"/>
        </w:rPr>
        <w:t>区”,是肝素结构的主要部分，另外的单糖残基还有如</w:t>
      </w:r>
      <w:r>
        <w:rPr>
          <w:rFonts w:ascii="宋体" w:eastAsia="宋体" w:hAnsi="宋体" w:cs="宋体"/>
          <w:spacing w:val="-33"/>
        </w:rPr>
        <w:t xml:space="preserve"> </w:t>
      </w:r>
      <w:r>
        <w:rPr>
          <w:rFonts w:ascii="宋体" w:eastAsia="宋体" w:hAnsi="宋体" w:cs="宋体"/>
          <w:spacing w:val="-2"/>
        </w:rPr>
        <w:t>αL-艾杜糖醛酸、6-O-硫</w:t>
      </w:r>
      <w:r>
        <w:rPr>
          <w:rFonts w:ascii="宋体" w:eastAsia="宋体" w:hAnsi="宋体" w:cs="宋体"/>
        </w:rPr>
        <w:t xml:space="preserve"> </w:t>
      </w:r>
      <w:r>
        <w:rPr>
          <w:rFonts w:ascii="宋体" w:eastAsia="宋体" w:hAnsi="宋体" w:cs="宋体"/>
          <w:spacing w:val="-10"/>
        </w:rPr>
        <w:t>酸-N-</w:t>
      </w:r>
      <w:r>
        <w:rPr>
          <w:rFonts w:ascii="宋体" w:eastAsia="宋体" w:hAnsi="宋体" w:cs="宋体"/>
          <w:spacing w:val="-44"/>
        </w:rPr>
        <w:t xml:space="preserve"> </w:t>
      </w:r>
      <w:r>
        <w:rPr>
          <w:rFonts w:ascii="宋体" w:eastAsia="宋体" w:hAnsi="宋体" w:cs="宋体"/>
          <w:spacing w:val="-10"/>
        </w:rPr>
        <w:t>乙酰α-D</w:t>
      </w:r>
      <w:r>
        <w:rPr>
          <w:rFonts w:ascii="宋体" w:eastAsia="宋体" w:hAnsi="宋体" w:cs="宋体"/>
          <w:spacing w:val="-16"/>
        </w:rPr>
        <w:t xml:space="preserve"> </w:t>
      </w:r>
      <w:r>
        <w:rPr>
          <w:rFonts w:ascii="宋体" w:eastAsia="宋体" w:hAnsi="宋体" w:cs="宋体"/>
          <w:spacing w:val="-10"/>
        </w:rPr>
        <w:t>葡萄糖胺、</w:t>
      </w:r>
      <w:r>
        <w:rPr>
          <w:rFonts w:ascii="宋体" w:eastAsia="宋体" w:hAnsi="宋体" w:cs="宋体"/>
          <w:spacing w:val="87"/>
        </w:rPr>
        <w:t xml:space="preserve"> </w:t>
      </w:r>
      <w:r>
        <w:rPr>
          <w:rFonts w:ascii="宋体" w:eastAsia="宋体" w:hAnsi="宋体" w:cs="宋体"/>
          <w:spacing w:val="-10"/>
        </w:rPr>
        <w:t>βD-葡萄糖醛酸及3</w:t>
      </w:r>
      <w:r>
        <w:rPr>
          <w:rFonts w:ascii="宋体" w:eastAsia="宋体" w:hAnsi="宋体" w:cs="宋体"/>
          <w:spacing w:val="-11"/>
        </w:rPr>
        <w:t>,6-双O</w:t>
      </w:r>
      <w:r>
        <w:rPr>
          <w:rFonts w:ascii="宋体" w:eastAsia="宋体" w:hAnsi="宋体" w:cs="宋体"/>
          <w:spacing w:val="68"/>
        </w:rPr>
        <w:t xml:space="preserve"> </w:t>
      </w:r>
      <w:r>
        <w:rPr>
          <w:rFonts w:ascii="宋体" w:eastAsia="宋体" w:hAnsi="宋体" w:cs="宋体"/>
          <w:spacing w:val="-11"/>
        </w:rPr>
        <w:t>硫</w:t>
      </w:r>
      <w:r>
        <w:rPr>
          <w:rFonts w:ascii="宋体" w:eastAsia="宋体" w:hAnsi="宋体" w:cs="宋体"/>
          <w:spacing w:val="-20"/>
        </w:rPr>
        <w:t xml:space="preserve"> </w:t>
      </w:r>
      <w:r>
        <w:rPr>
          <w:rFonts w:ascii="宋体" w:eastAsia="宋体" w:hAnsi="宋体" w:cs="宋体"/>
          <w:spacing w:val="-11"/>
        </w:rPr>
        <w:t>酸N-</w:t>
      </w:r>
      <w:r>
        <w:rPr>
          <w:rFonts w:ascii="宋体" w:eastAsia="宋体" w:hAnsi="宋体" w:cs="宋体"/>
          <w:spacing w:val="-53"/>
        </w:rPr>
        <w:t xml:space="preserve"> </w:t>
      </w:r>
      <w:r>
        <w:rPr>
          <w:rFonts w:ascii="宋体" w:eastAsia="宋体" w:hAnsi="宋体" w:cs="宋体"/>
          <w:spacing w:val="-11"/>
        </w:rPr>
        <w:t>硫酸α-D-葡萄糖</w:t>
      </w:r>
      <w:r>
        <w:rPr>
          <w:rFonts w:ascii="宋体" w:eastAsia="宋体" w:hAnsi="宋体" w:cs="宋体"/>
        </w:rPr>
        <w:t xml:space="preserve"> </w:t>
      </w:r>
      <w:r>
        <w:rPr>
          <w:rFonts w:ascii="宋体" w:eastAsia="宋体" w:hAnsi="宋体" w:cs="宋体"/>
          <w:spacing w:val="-3"/>
        </w:rPr>
        <w:t>胺等。与此相对应的是其多种生物学功能。除了经典的抗凝血及其相关的抗血栓</w:t>
      </w:r>
      <w:r>
        <w:rPr>
          <w:rFonts w:ascii="宋体" w:eastAsia="宋体" w:hAnsi="宋体" w:cs="宋体"/>
          <w:spacing w:val="13"/>
        </w:rPr>
        <w:t xml:space="preserve"> </w:t>
      </w:r>
      <w:r>
        <w:rPr>
          <w:rFonts w:ascii="宋体" w:eastAsia="宋体" w:hAnsi="宋体" w:cs="宋体"/>
          <w:spacing w:val="-3"/>
        </w:rPr>
        <w:t>生成以外，肝素还具有抗平滑肌细胞增殖、抗炎症、抗肿瘤及抗病毒等功能，并</w:t>
      </w:r>
      <w:r>
        <w:rPr>
          <w:rFonts w:ascii="宋体" w:eastAsia="宋体" w:hAnsi="宋体" w:cs="宋体"/>
          <w:spacing w:val="12"/>
        </w:rPr>
        <w:t xml:space="preserve"> </w:t>
      </w:r>
      <w:r>
        <w:rPr>
          <w:rFonts w:ascii="宋体" w:eastAsia="宋体" w:hAnsi="宋体" w:cs="宋体"/>
          <w:spacing w:val="-4"/>
        </w:rPr>
        <w:t>且这些生物活性同抗凝活性无关，而同肝素的特异结构密切相关。如肝素通过加</w:t>
      </w:r>
      <w:r>
        <w:rPr>
          <w:rFonts w:ascii="宋体" w:eastAsia="宋体" w:hAnsi="宋体" w:cs="宋体"/>
          <w:spacing w:val="15"/>
        </w:rPr>
        <w:t xml:space="preserve"> </w:t>
      </w:r>
      <w:r>
        <w:rPr>
          <w:rFonts w:ascii="宋体" w:eastAsia="宋体" w:hAnsi="宋体" w:cs="宋体"/>
          <w:spacing w:val="3"/>
        </w:rPr>
        <w:t>速抗凝血酶</w:t>
      </w:r>
      <w:r>
        <w:rPr>
          <w:rFonts w:ascii="宋体" w:eastAsia="宋体" w:hAnsi="宋体" w:cs="宋体"/>
        </w:rPr>
        <w:t>AT</w:t>
      </w:r>
      <w:r>
        <w:rPr>
          <w:rFonts w:ascii="宋体" w:eastAsia="宋体" w:hAnsi="宋体" w:cs="宋体"/>
          <w:spacing w:val="3"/>
        </w:rPr>
        <w:t>-</w:t>
      </w:r>
      <w:r>
        <w:rPr>
          <w:rFonts w:ascii="宋体" w:eastAsia="宋体" w:hAnsi="宋体" w:cs="宋体"/>
        </w:rPr>
        <w:t>III</w:t>
      </w:r>
      <w:r>
        <w:rPr>
          <w:rFonts w:ascii="宋体" w:eastAsia="宋体" w:hAnsi="宋体" w:cs="宋体"/>
          <w:spacing w:val="3"/>
        </w:rPr>
        <w:t>与凝血酶的反应速度来实现其抗凝血功能，而其中独特的五</w:t>
      </w:r>
      <w:r>
        <w:rPr>
          <w:rFonts w:ascii="宋体" w:eastAsia="宋体" w:hAnsi="宋体" w:cs="宋体"/>
          <w:spacing w:val="2"/>
        </w:rPr>
        <w:t xml:space="preserve"> </w:t>
      </w:r>
      <w:r>
        <w:rPr>
          <w:rFonts w:ascii="宋体" w:eastAsia="宋体" w:hAnsi="宋体" w:cs="宋体"/>
          <w:spacing w:val="-2"/>
        </w:rPr>
        <w:t>糖序列起到关键作用。需要说明的是，不同相对分子质量范围的肝素，以及携带</w:t>
      </w:r>
      <w:r>
        <w:rPr>
          <w:rFonts w:ascii="宋体" w:eastAsia="宋体" w:hAnsi="宋体" w:cs="宋体"/>
        </w:rPr>
        <w:t xml:space="preserve"> </w:t>
      </w:r>
      <w:r>
        <w:rPr>
          <w:rFonts w:ascii="宋体" w:eastAsia="宋体" w:hAnsi="宋体" w:cs="宋体"/>
          <w:spacing w:val="3"/>
        </w:rPr>
        <w:t>不同取代基团(硫酸基、乙酰基等)或者相同的取代基但取代的位置不同，均可</w:t>
      </w:r>
      <w:r>
        <w:rPr>
          <w:rFonts w:ascii="宋体" w:eastAsia="宋体" w:hAnsi="宋体" w:cs="宋体"/>
          <w:spacing w:val="13"/>
        </w:rPr>
        <w:t xml:space="preserve"> </w:t>
      </w:r>
      <w:r>
        <w:rPr>
          <w:rFonts w:ascii="宋体" w:eastAsia="宋体" w:hAnsi="宋体" w:cs="宋体"/>
          <w:spacing w:val="-8"/>
        </w:rPr>
        <w:t>导致肝素的生物活性的不同。</w:t>
      </w:r>
    </w:p>
    <w:p w:rsidR="00EA40A3" w:rsidRDefault="00E86C16">
      <w:pPr>
        <w:spacing w:before="131" w:line="219" w:lineRule="auto"/>
        <w:ind w:left="439"/>
        <w:rPr>
          <w:rFonts w:ascii="宋体" w:eastAsia="宋体" w:hAnsi="宋体" w:cs="宋体"/>
        </w:rPr>
      </w:pPr>
      <w:r>
        <w:rPr>
          <w:rFonts w:ascii="宋体" w:eastAsia="宋体" w:hAnsi="宋体" w:cs="宋体"/>
          <w:spacing w:val="-9"/>
        </w:rPr>
        <w:t>b.</w:t>
      </w:r>
      <w:r>
        <w:rPr>
          <w:rFonts w:ascii="宋体" w:eastAsia="宋体" w:hAnsi="宋体" w:cs="宋体"/>
          <w:spacing w:val="-30"/>
        </w:rPr>
        <w:t xml:space="preserve"> </w:t>
      </w:r>
      <w:r>
        <w:rPr>
          <w:rFonts w:ascii="宋体" w:eastAsia="宋体" w:hAnsi="宋体" w:cs="宋体"/>
          <w:spacing w:val="-9"/>
        </w:rPr>
        <w:t>硫酸软骨素</w:t>
      </w:r>
    </w:p>
    <w:p w:rsidR="00EA40A3" w:rsidRDefault="00E86C16">
      <w:pPr>
        <w:spacing w:before="60" w:line="255" w:lineRule="auto"/>
        <w:ind w:firstLine="439"/>
        <w:rPr>
          <w:rFonts w:ascii="宋体" w:eastAsia="宋体" w:hAnsi="宋体" w:cs="宋体"/>
        </w:rPr>
      </w:pPr>
      <w:r>
        <w:rPr>
          <w:rFonts w:ascii="宋体" w:eastAsia="宋体" w:hAnsi="宋体" w:cs="宋体"/>
          <w:spacing w:val="-1"/>
        </w:rPr>
        <w:t>硫酸软骨素</w:t>
      </w:r>
      <w:r>
        <w:rPr>
          <w:rFonts w:ascii="宋体" w:eastAsia="宋体" w:hAnsi="宋体" w:cs="宋体"/>
          <w:spacing w:val="2"/>
        </w:rPr>
        <w:t xml:space="preserve"> </w:t>
      </w:r>
      <w:r>
        <w:rPr>
          <w:rFonts w:ascii="宋体" w:eastAsia="宋体" w:hAnsi="宋体" w:cs="宋体"/>
          <w:spacing w:val="-1"/>
        </w:rPr>
        <w:t>(chondroitin</w:t>
      </w:r>
      <w:r>
        <w:rPr>
          <w:rFonts w:ascii="宋体" w:eastAsia="宋体" w:hAnsi="宋体" w:cs="宋体"/>
          <w:spacing w:val="14"/>
        </w:rPr>
        <w:t xml:space="preserve"> </w:t>
      </w:r>
      <w:r>
        <w:rPr>
          <w:rFonts w:ascii="宋体" w:eastAsia="宋体" w:hAnsi="宋体" w:cs="宋体"/>
          <w:spacing w:val="-1"/>
        </w:rPr>
        <w:t>sulfate,CS)</w:t>
      </w:r>
      <w:r>
        <w:rPr>
          <w:rFonts w:ascii="宋体" w:eastAsia="宋体" w:hAnsi="宋体" w:cs="宋体"/>
          <w:spacing w:val="-50"/>
        </w:rPr>
        <w:t xml:space="preserve"> </w:t>
      </w:r>
      <w:r>
        <w:rPr>
          <w:rFonts w:ascii="宋体" w:eastAsia="宋体" w:hAnsi="宋体" w:cs="宋体"/>
          <w:spacing w:val="-1"/>
        </w:rPr>
        <w:t>是动</w:t>
      </w:r>
      <w:r>
        <w:rPr>
          <w:rFonts w:ascii="宋体" w:eastAsia="宋体" w:hAnsi="宋体" w:cs="宋体"/>
          <w:spacing w:val="-2"/>
        </w:rPr>
        <w:t>物组织的基础物质，主要存在</w:t>
      </w:r>
      <w:r>
        <w:rPr>
          <w:rFonts w:ascii="宋体" w:eastAsia="宋体" w:hAnsi="宋体" w:cs="宋体"/>
        </w:rPr>
        <w:t xml:space="preserve"> </w:t>
      </w:r>
      <w:r>
        <w:rPr>
          <w:rFonts w:ascii="宋体" w:eastAsia="宋体" w:hAnsi="宋体" w:cs="宋体"/>
          <w:spacing w:val="-3"/>
        </w:rPr>
        <w:t>于鸡皮、鱼翅、鲑头和鸡等软骨内，用以保持组织的水分和弹性。硫酸软骨素是</w:t>
      </w:r>
      <w:r>
        <w:rPr>
          <w:rFonts w:ascii="宋体" w:eastAsia="宋体" w:hAnsi="宋体" w:cs="宋体"/>
          <w:spacing w:val="14"/>
        </w:rPr>
        <w:t xml:space="preserve"> </w:t>
      </w:r>
      <w:r>
        <w:rPr>
          <w:rFonts w:ascii="宋体" w:eastAsia="宋体" w:hAnsi="宋体" w:cs="宋体"/>
          <w:spacing w:val="1"/>
        </w:rPr>
        <w:t>一种酸性黏多糖——糖胺聚糖，有多种异构体，目前药用的主要是A</w:t>
      </w:r>
      <w:r>
        <w:rPr>
          <w:rFonts w:ascii="宋体" w:eastAsia="宋体" w:hAnsi="宋体" w:cs="宋体"/>
          <w:spacing w:val="28"/>
        </w:rPr>
        <w:t xml:space="preserve"> </w:t>
      </w:r>
      <w:r>
        <w:rPr>
          <w:rFonts w:ascii="宋体" w:eastAsia="宋体" w:hAnsi="宋体" w:cs="宋体"/>
          <w:spacing w:val="1"/>
        </w:rPr>
        <w:t>和</w:t>
      </w:r>
      <w:r>
        <w:rPr>
          <w:rFonts w:ascii="宋体" w:eastAsia="宋体" w:hAnsi="宋体" w:cs="宋体"/>
          <w:spacing w:val="-46"/>
        </w:rPr>
        <w:t xml:space="preserve"> </w:t>
      </w:r>
      <w:r>
        <w:rPr>
          <w:rFonts w:ascii="宋体" w:eastAsia="宋体" w:hAnsi="宋体" w:cs="宋体"/>
          <w:spacing w:val="1"/>
        </w:rPr>
        <w:t>C</w:t>
      </w:r>
      <w:r>
        <w:rPr>
          <w:rFonts w:ascii="宋体" w:eastAsia="宋体" w:hAnsi="宋体" w:cs="宋体"/>
          <w:spacing w:val="-3"/>
        </w:rPr>
        <w:t xml:space="preserve"> </w:t>
      </w:r>
      <w:r>
        <w:rPr>
          <w:rFonts w:ascii="宋体" w:eastAsia="宋体" w:hAnsi="宋体" w:cs="宋体"/>
          <w:spacing w:val="1"/>
        </w:rPr>
        <w:t>异构</w:t>
      </w:r>
      <w:r>
        <w:rPr>
          <w:rFonts w:ascii="宋体" w:eastAsia="宋体" w:hAnsi="宋体" w:cs="宋体"/>
        </w:rPr>
        <w:t xml:space="preserve"> </w:t>
      </w:r>
      <w:r>
        <w:rPr>
          <w:rFonts w:ascii="宋体" w:eastAsia="宋体" w:hAnsi="宋体" w:cs="宋体"/>
          <w:spacing w:val="-4"/>
        </w:rPr>
        <w:t>体，它们均由D-葡萄糖醛酸、</w:t>
      </w:r>
      <w:r>
        <w:rPr>
          <w:rFonts w:ascii="宋体" w:eastAsia="宋体" w:hAnsi="宋体" w:cs="宋体"/>
        </w:rPr>
        <w:t xml:space="preserve"> </w:t>
      </w:r>
      <w:r>
        <w:rPr>
          <w:rFonts w:ascii="宋体" w:eastAsia="宋体" w:hAnsi="宋体" w:cs="宋体"/>
          <w:spacing w:val="-4"/>
        </w:rPr>
        <w:t>N-</w:t>
      </w:r>
      <w:r>
        <w:rPr>
          <w:rFonts w:ascii="宋体" w:eastAsia="宋体" w:hAnsi="宋体" w:cs="宋体"/>
          <w:spacing w:val="-43"/>
        </w:rPr>
        <w:t xml:space="preserve"> </w:t>
      </w:r>
      <w:r>
        <w:rPr>
          <w:rFonts w:ascii="宋体" w:eastAsia="宋体" w:hAnsi="宋体" w:cs="宋体"/>
          <w:spacing w:val="-4"/>
        </w:rPr>
        <w:t>乙酰-D-氨基半乳糖硫酸酯为单位组成。按化学</w:t>
      </w:r>
      <w:r>
        <w:rPr>
          <w:rFonts w:ascii="宋体" w:eastAsia="宋体" w:hAnsi="宋体" w:cs="宋体"/>
        </w:rPr>
        <w:t xml:space="preserve"> </w:t>
      </w:r>
      <w:r>
        <w:rPr>
          <w:rFonts w:ascii="宋体" w:eastAsia="宋体" w:hAnsi="宋体" w:cs="宋体"/>
          <w:spacing w:val="1"/>
        </w:rPr>
        <w:t>组成和结构的差异，又可将硫酸软骨素分为A、B、D、E、F、H</w:t>
      </w:r>
      <w:r>
        <w:rPr>
          <w:rFonts w:ascii="宋体" w:eastAsia="宋体" w:hAnsi="宋体" w:cs="宋体"/>
          <w:spacing w:val="45"/>
        </w:rPr>
        <w:t xml:space="preserve">  </w:t>
      </w:r>
      <w:r>
        <w:rPr>
          <w:rFonts w:ascii="宋体" w:eastAsia="宋体" w:hAnsi="宋体" w:cs="宋体"/>
        </w:rPr>
        <w:t>等多种，其中</w:t>
      </w:r>
    </w:p>
    <w:p w:rsidR="00EA40A3" w:rsidRDefault="00E86C16">
      <w:pPr>
        <w:spacing w:before="95"/>
        <w:ind w:left="169"/>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1"/>
          <w:sz w:val="17"/>
          <w:szCs w:val="17"/>
        </w:rPr>
        <w:t xml:space="preserve"> </w:t>
      </w:r>
      <w:r>
        <w:rPr>
          <w:rFonts w:ascii="宋体" w:eastAsia="宋体" w:hAnsi="宋体" w:cs="宋体"/>
          <w:spacing w:val="-26"/>
          <w:sz w:val="17"/>
          <w:szCs w:val="17"/>
        </w:rPr>
        <w:t>56</w:t>
      </w:r>
      <w:r>
        <w:rPr>
          <w:rFonts w:ascii="宋体" w:eastAsia="宋体" w:hAnsi="宋体" w:cs="宋体"/>
          <w:spacing w:val="48"/>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1098" w:bottom="400" w:left="840" w:header="0" w:footer="0" w:gutter="0"/>
          <w:cols w:space="720"/>
        </w:sectPr>
      </w:pPr>
    </w:p>
    <w:p w:rsidR="00EA40A3" w:rsidRDefault="00EA40A3">
      <w:pPr>
        <w:spacing w:line="293" w:lineRule="auto"/>
      </w:pPr>
    </w:p>
    <w:p w:rsidR="00EA40A3" w:rsidRDefault="00EA40A3">
      <w:pPr>
        <w:spacing w:line="293" w:lineRule="auto"/>
      </w:pPr>
    </w:p>
    <w:p w:rsidR="00EA40A3" w:rsidRDefault="00E86C16">
      <w:pPr>
        <w:spacing w:before="71" w:line="253" w:lineRule="auto"/>
        <w:ind w:right="88"/>
        <w:jc w:val="both"/>
        <w:rPr>
          <w:rFonts w:ascii="宋体" w:eastAsia="宋体" w:hAnsi="宋体" w:cs="宋体"/>
          <w:sz w:val="22"/>
          <w:szCs w:val="22"/>
        </w:rPr>
      </w:pPr>
      <w:bookmarkStart w:id="17" w:name="_bookmark21"/>
      <w:bookmarkEnd w:id="17"/>
      <w:r>
        <w:rPr>
          <w:rFonts w:ascii="宋体" w:eastAsia="宋体" w:hAnsi="宋体" w:cs="宋体"/>
          <w:spacing w:val="-10"/>
          <w:sz w:val="22"/>
          <w:szCs w:val="22"/>
        </w:rPr>
        <w:t>B、F、H</w:t>
      </w:r>
      <w:r>
        <w:rPr>
          <w:rFonts w:ascii="宋体" w:eastAsia="宋体" w:hAnsi="宋体" w:cs="宋体"/>
          <w:spacing w:val="3"/>
          <w:sz w:val="22"/>
          <w:szCs w:val="22"/>
        </w:rPr>
        <w:t xml:space="preserve"> </w:t>
      </w:r>
      <w:r>
        <w:rPr>
          <w:rFonts w:ascii="宋体" w:eastAsia="宋体" w:hAnsi="宋体" w:cs="宋体"/>
          <w:spacing w:val="-10"/>
          <w:sz w:val="22"/>
          <w:szCs w:val="22"/>
        </w:rPr>
        <w:t>分子中含有I-艾杜糖醛酸。</w:t>
      </w:r>
      <w:r>
        <w:rPr>
          <w:rFonts w:ascii="宋体" w:eastAsia="宋体" w:hAnsi="宋体" w:cs="宋体"/>
          <w:spacing w:val="38"/>
          <w:sz w:val="22"/>
          <w:szCs w:val="22"/>
        </w:rPr>
        <w:t xml:space="preserve"> </w:t>
      </w:r>
      <w:r>
        <w:rPr>
          <w:rFonts w:ascii="宋体" w:eastAsia="宋体" w:hAnsi="宋体" w:cs="宋体"/>
          <w:spacing w:val="-10"/>
          <w:sz w:val="22"/>
          <w:szCs w:val="22"/>
        </w:rPr>
        <w:t>一般硫酸软骨素约含50～70个双糖</w:t>
      </w:r>
      <w:r>
        <w:rPr>
          <w:rFonts w:ascii="宋体" w:eastAsia="宋体" w:hAnsi="宋体" w:cs="宋体"/>
          <w:spacing w:val="-11"/>
          <w:sz w:val="22"/>
          <w:szCs w:val="22"/>
        </w:rPr>
        <w:t>基本单</w:t>
      </w:r>
      <w:r>
        <w:rPr>
          <w:rFonts w:ascii="宋体" w:eastAsia="宋体" w:hAnsi="宋体" w:cs="宋体"/>
          <w:sz w:val="22"/>
          <w:szCs w:val="22"/>
        </w:rPr>
        <w:t xml:space="preserve"> </w:t>
      </w:r>
      <w:r>
        <w:rPr>
          <w:rFonts w:ascii="宋体" w:eastAsia="宋体" w:hAnsi="宋体" w:cs="宋体"/>
          <w:spacing w:val="-13"/>
          <w:sz w:val="22"/>
          <w:szCs w:val="22"/>
        </w:rPr>
        <w:t>位。分离提取出的硫酸软骨素为白色粉末，无臭无味，吸水性强，易溶于水而成</w:t>
      </w:r>
      <w:r>
        <w:rPr>
          <w:rFonts w:ascii="宋体" w:eastAsia="宋体" w:hAnsi="宋体" w:cs="宋体"/>
          <w:spacing w:val="3"/>
          <w:sz w:val="22"/>
          <w:szCs w:val="22"/>
        </w:rPr>
        <w:t xml:space="preserve"> </w:t>
      </w:r>
      <w:r>
        <w:rPr>
          <w:rFonts w:ascii="宋体" w:eastAsia="宋体" w:hAnsi="宋体" w:cs="宋体"/>
          <w:spacing w:val="-13"/>
          <w:sz w:val="22"/>
          <w:szCs w:val="22"/>
        </w:rPr>
        <w:t>黏度大的溶液，不溶于乙醇、丙酮和乙醚等有机溶剂，其盐</w:t>
      </w:r>
      <w:r>
        <w:rPr>
          <w:rFonts w:ascii="宋体" w:eastAsia="宋体" w:hAnsi="宋体" w:cs="宋体"/>
          <w:spacing w:val="-14"/>
          <w:sz w:val="22"/>
          <w:szCs w:val="22"/>
        </w:rPr>
        <w:t>类对热较为稳定。和</w:t>
      </w:r>
      <w:r>
        <w:rPr>
          <w:rFonts w:ascii="宋体" w:eastAsia="宋体" w:hAnsi="宋体" w:cs="宋体"/>
          <w:sz w:val="22"/>
          <w:szCs w:val="22"/>
        </w:rPr>
        <w:t xml:space="preserve"> </w:t>
      </w:r>
      <w:r>
        <w:rPr>
          <w:rFonts w:ascii="宋体" w:eastAsia="宋体" w:hAnsi="宋体" w:cs="宋体"/>
          <w:spacing w:val="-13"/>
          <w:sz w:val="22"/>
          <w:szCs w:val="22"/>
        </w:rPr>
        <w:t>肝素相似，硫酸软骨素可用以降血脂，改善动脉粥样硬化症状。同时，硫酸软骨</w:t>
      </w:r>
      <w:r>
        <w:rPr>
          <w:rFonts w:ascii="宋体" w:eastAsia="宋体" w:hAnsi="宋体" w:cs="宋体"/>
          <w:spacing w:val="5"/>
          <w:sz w:val="22"/>
          <w:szCs w:val="22"/>
        </w:rPr>
        <w:t xml:space="preserve"> </w:t>
      </w:r>
      <w:r>
        <w:rPr>
          <w:rFonts w:ascii="宋体" w:eastAsia="宋体" w:hAnsi="宋体" w:cs="宋体"/>
          <w:spacing w:val="-13"/>
          <w:sz w:val="22"/>
          <w:szCs w:val="22"/>
        </w:rPr>
        <w:t>素还消除皱纹，有助于保持皮肤细腻、有弹性。另据报道，硫酸软骨素可治疗牛</w:t>
      </w:r>
      <w:r>
        <w:rPr>
          <w:rFonts w:ascii="宋体" w:eastAsia="宋体" w:hAnsi="宋体" w:cs="宋体"/>
          <w:spacing w:val="6"/>
          <w:sz w:val="22"/>
          <w:szCs w:val="22"/>
        </w:rPr>
        <w:t xml:space="preserve"> </w:t>
      </w:r>
      <w:r>
        <w:rPr>
          <w:rFonts w:ascii="宋体" w:eastAsia="宋体" w:hAnsi="宋体" w:cs="宋体"/>
          <w:spacing w:val="-13"/>
          <w:sz w:val="22"/>
          <w:szCs w:val="22"/>
        </w:rPr>
        <w:t>皮癣、减轻关节炎疼痛，而鲨鱼硫酸软骨则被用于治疗和预防癌症。</w:t>
      </w:r>
    </w:p>
    <w:p w:rsidR="00EA40A3" w:rsidRDefault="00E86C16">
      <w:pPr>
        <w:spacing w:before="58" w:line="219" w:lineRule="auto"/>
        <w:ind w:left="520"/>
        <w:rPr>
          <w:rFonts w:ascii="宋体" w:eastAsia="宋体" w:hAnsi="宋体" w:cs="宋体"/>
          <w:sz w:val="22"/>
          <w:szCs w:val="22"/>
        </w:rPr>
      </w:pPr>
      <w:r>
        <w:rPr>
          <w:rFonts w:ascii="宋体" w:eastAsia="宋体" w:hAnsi="宋体" w:cs="宋体"/>
          <w:spacing w:val="-8"/>
          <w:sz w:val="22"/>
          <w:szCs w:val="22"/>
        </w:rPr>
        <w:t>c.透明质酸</w:t>
      </w:r>
    </w:p>
    <w:p w:rsidR="00EA40A3" w:rsidRDefault="00E86C16">
      <w:pPr>
        <w:spacing w:before="67" w:line="248" w:lineRule="auto"/>
        <w:ind w:firstLine="510"/>
        <w:rPr>
          <w:rFonts w:ascii="宋体" w:eastAsia="宋体" w:hAnsi="宋体" w:cs="宋体"/>
          <w:sz w:val="22"/>
          <w:szCs w:val="22"/>
        </w:rPr>
      </w:pPr>
      <w:r>
        <w:rPr>
          <w:rFonts w:ascii="宋体" w:eastAsia="宋体" w:hAnsi="宋体" w:cs="宋体"/>
          <w:spacing w:val="-5"/>
          <w:sz w:val="22"/>
          <w:szCs w:val="22"/>
        </w:rPr>
        <w:t>透明质酸</w:t>
      </w:r>
      <w:r>
        <w:rPr>
          <w:rFonts w:ascii="宋体" w:eastAsia="宋体" w:hAnsi="宋体" w:cs="宋体"/>
          <w:spacing w:val="3"/>
          <w:sz w:val="22"/>
          <w:szCs w:val="22"/>
        </w:rPr>
        <w:t xml:space="preserve"> </w:t>
      </w:r>
      <w:r>
        <w:rPr>
          <w:rFonts w:ascii="宋体" w:eastAsia="宋体" w:hAnsi="宋体" w:cs="宋体"/>
          <w:spacing w:val="-5"/>
          <w:sz w:val="22"/>
          <w:szCs w:val="22"/>
        </w:rPr>
        <w:t>(hyaluronic</w:t>
      </w:r>
      <w:r>
        <w:rPr>
          <w:rFonts w:ascii="宋体" w:eastAsia="宋体" w:hAnsi="宋体" w:cs="宋体"/>
          <w:spacing w:val="9"/>
          <w:sz w:val="22"/>
          <w:szCs w:val="22"/>
        </w:rPr>
        <w:t xml:space="preserve"> </w:t>
      </w:r>
      <w:r>
        <w:rPr>
          <w:rFonts w:ascii="宋体" w:eastAsia="宋体" w:hAnsi="宋体" w:cs="宋体"/>
          <w:spacing w:val="-5"/>
          <w:sz w:val="22"/>
          <w:szCs w:val="22"/>
        </w:rPr>
        <w:t>acid,HA)</w:t>
      </w:r>
      <w:r>
        <w:rPr>
          <w:rFonts w:ascii="宋体" w:eastAsia="宋体" w:hAnsi="宋体" w:cs="宋体"/>
          <w:spacing w:val="-22"/>
          <w:sz w:val="22"/>
          <w:szCs w:val="22"/>
        </w:rPr>
        <w:t xml:space="preserve"> </w:t>
      </w:r>
      <w:r>
        <w:rPr>
          <w:rFonts w:ascii="宋体" w:eastAsia="宋体" w:hAnsi="宋体" w:cs="宋体"/>
          <w:spacing w:val="-5"/>
          <w:sz w:val="22"/>
          <w:szCs w:val="22"/>
        </w:rPr>
        <w:t>又名玻璃糖醛酸，是动物组织的填充物</w:t>
      </w:r>
      <w:r>
        <w:rPr>
          <w:rFonts w:ascii="宋体" w:eastAsia="宋体" w:hAnsi="宋体" w:cs="宋体"/>
          <w:sz w:val="22"/>
          <w:szCs w:val="22"/>
        </w:rPr>
        <w:t xml:space="preserve"> </w:t>
      </w:r>
      <w:r>
        <w:rPr>
          <w:rFonts w:ascii="宋体" w:eastAsia="宋体" w:hAnsi="宋体" w:cs="宋体"/>
          <w:spacing w:val="-11"/>
          <w:sz w:val="22"/>
          <w:szCs w:val="22"/>
        </w:rPr>
        <w:t>质，主要存在于眼球玻璃体、关节液和皮肤等组织中作为润滑剂和撞击缓冲剂，</w:t>
      </w:r>
      <w:r>
        <w:rPr>
          <w:rFonts w:ascii="宋体" w:eastAsia="宋体" w:hAnsi="宋体" w:cs="宋体"/>
          <w:spacing w:val="13"/>
          <w:sz w:val="22"/>
          <w:szCs w:val="22"/>
        </w:rPr>
        <w:t xml:space="preserve"> </w:t>
      </w:r>
      <w:r>
        <w:rPr>
          <w:rFonts w:ascii="宋体" w:eastAsia="宋体" w:hAnsi="宋体" w:cs="宋体"/>
          <w:spacing w:val="-15"/>
          <w:sz w:val="22"/>
          <w:szCs w:val="22"/>
        </w:rPr>
        <w:t>并有助于阻滞入侵的微生物及毒性物质的扩散。</w:t>
      </w:r>
      <w:r>
        <w:rPr>
          <w:rFonts w:ascii="宋体" w:eastAsia="宋体" w:hAnsi="宋体" w:cs="宋体"/>
          <w:spacing w:val="10"/>
          <w:sz w:val="22"/>
          <w:szCs w:val="22"/>
        </w:rPr>
        <w:t xml:space="preserve"> </w:t>
      </w:r>
      <w:r>
        <w:rPr>
          <w:rFonts w:ascii="宋体" w:eastAsia="宋体" w:hAnsi="宋体" w:cs="宋体"/>
          <w:spacing w:val="-15"/>
          <w:sz w:val="22"/>
          <w:szCs w:val="22"/>
        </w:rPr>
        <w:t>HA</w:t>
      </w:r>
      <w:r>
        <w:rPr>
          <w:rFonts w:ascii="宋体" w:eastAsia="宋体" w:hAnsi="宋体" w:cs="宋体"/>
          <w:spacing w:val="63"/>
          <w:sz w:val="22"/>
          <w:szCs w:val="22"/>
        </w:rPr>
        <w:t xml:space="preserve"> </w:t>
      </w:r>
      <w:r>
        <w:rPr>
          <w:rFonts w:ascii="宋体" w:eastAsia="宋体" w:hAnsi="宋体" w:cs="宋体"/>
          <w:spacing w:val="-15"/>
          <w:sz w:val="22"/>
          <w:szCs w:val="22"/>
        </w:rPr>
        <w:t>是一种酸性黏多糖，其分子</w:t>
      </w:r>
      <w:r>
        <w:rPr>
          <w:rFonts w:ascii="宋体" w:eastAsia="宋体" w:hAnsi="宋体" w:cs="宋体"/>
          <w:sz w:val="22"/>
          <w:szCs w:val="22"/>
        </w:rPr>
        <w:t xml:space="preserve">  </w:t>
      </w:r>
      <w:r>
        <w:rPr>
          <w:rFonts w:ascii="宋体" w:eastAsia="宋体" w:hAnsi="宋体" w:cs="宋体"/>
          <w:spacing w:val="-11"/>
          <w:sz w:val="22"/>
          <w:szCs w:val="22"/>
        </w:rPr>
        <w:t>结构是由N-乙酰葡萄糖胺通过β(1→4)和β(1→3)糖苷键反复交替连接</w:t>
      </w:r>
      <w:r>
        <w:rPr>
          <w:rFonts w:ascii="宋体" w:eastAsia="宋体" w:hAnsi="宋体" w:cs="宋体"/>
          <w:spacing w:val="-12"/>
          <w:sz w:val="22"/>
          <w:szCs w:val="22"/>
        </w:rPr>
        <w:t>而成。相</w:t>
      </w:r>
      <w:r>
        <w:rPr>
          <w:rFonts w:ascii="宋体" w:eastAsia="宋体" w:hAnsi="宋体" w:cs="宋体"/>
          <w:sz w:val="22"/>
          <w:szCs w:val="22"/>
        </w:rPr>
        <w:t xml:space="preserve"> </w:t>
      </w:r>
      <w:r>
        <w:rPr>
          <w:rFonts w:ascii="宋体" w:eastAsia="宋体" w:hAnsi="宋体" w:cs="宋体"/>
          <w:spacing w:val="-6"/>
          <w:sz w:val="22"/>
          <w:szCs w:val="22"/>
        </w:rPr>
        <w:t>对分子质量在10万～400万之间。分子中两种单糖即</w:t>
      </w:r>
      <w:r>
        <w:rPr>
          <w:rFonts w:ascii="宋体" w:eastAsia="宋体" w:hAnsi="宋体" w:cs="宋体"/>
          <w:spacing w:val="-56"/>
          <w:sz w:val="22"/>
          <w:szCs w:val="22"/>
        </w:rPr>
        <w:t xml:space="preserve"> </w:t>
      </w:r>
      <w:r>
        <w:rPr>
          <w:rFonts w:ascii="宋体" w:eastAsia="宋体" w:hAnsi="宋体" w:cs="宋体"/>
          <w:spacing w:val="-6"/>
          <w:sz w:val="22"/>
          <w:szCs w:val="22"/>
        </w:rPr>
        <w:t>βD-葡萄糖醛酸和N-</w:t>
      </w:r>
      <w:r>
        <w:rPr>
          <w:rFonts w:ascii="宋体" w:eastAsia="宋体" w:hAnsi="宋体" w:cs="宋体"/>
          <w:spacing w:val="-59"/>
          <w:sz w:val="22"/>
          <w:szCs w:val="22"/>
        </w:rPr>
        <w:t xml:space="preserve"> </w:t>
      </w:r>
      <w:r>
        <w:rPr>
          <w:rFonts w:ascii="宋体" w:eastAsia="宋体" w:hAnsi="宋体" w:cs="宋体"/>
          <w:spacing w:val="-6"/>
          <w:sz w:val="22"/>
          <w:szCs w:val="22"/>
        </w:rPr>
        <w:t>乙酰</w:t>
      </w:r>
      <w:r>
        <w:rPr>
          <w:rFonts w:ascii="宋体" w:eastAsia="宋体" w:hAnsi="宋体" w:cs="宋体"/>
          <w:sz w:val="22"/>
          <w:szCs w:val="22"/>
        </w:rPr>
        <w:t xml:space="preserve">  </w:t>
      </w:r>
      <w:r>
        <w:rPr>
          <w:rFonts w:ascii="宋体" w:eastAsia="宋体" w:hAnsi="宋体" w:cs="宋体"/>
          <w:spacing w:val="-7"/>
          <w:sz w:val="22"/>
          <w:szCs w:val="22"/>
        </w:rPr>
        <w:t>氨基-D</w:t>
      </w:r>
      <w:r>
        <w:rPr>
          <w:rFonts w:ascii="宋体" w:eastAsia="宋体" w:hAnsi="宋体" w:cs="宋体"/>
          <w:spacing w:val="-46"/>
          <w:sz w:val="22"/>
          <w:szCs w:val="22"/>
        </w:rPr>
        <w:t xml:space="preserve"> </w:t>
      </w:r>
      <w:r>
        <w:rPr>
          <w:rFonts w:ascii="宋体" w:eastAsia="宋体" w:hAnsi="宋体" w:cs="宋体"/>
          <w:spacing w:val="-7"/>
          <w:sz w:val="22"/>
          <w:szCs w:val="22"/>
        </w:rPr>
        <w:t>葡萄糖胺按1:1的摩尔比组成。</w:t>
      </w:r>
      <w:r>
        <w:rPr>
          <w:rFonts w:ascii="宋体" w:eastAsia="宋体" w:hAnsi="宋体" w:cs="宋体"/>
          <w:spacing w:val="19"/>
          <w:sz w:val="22"/>
          <w:szCs w:val="22"/>
        </w:rPr>
        <w:t xml:space="preserve"> </w:t>
      </w:r>
      <w:r>
        <w:rPr>
          <w:rFonts w:ascii="宋体" w:eastAsia="宋体" w:hAnsi="宋体" w:cs="宋体"/>
          <w:spacing w:val="-7"/>
          <w:sz w:val="22"/>
          <w:szCs w:val="22"/>
        </w:rPr>
        <w:t>HA</w:t>
      </w:r>
      <w:r>
        <w:rPr>
          <w:rFonts w:ascii="宋体" w:eastAsia="宋体" w:hAnsi="宋体" w:cs="宋体"/>
          <w:spacing w:val="63"/>
          <w:sz w:val="22"/>
          <w:szCs w:val="22"/>
        </w:rPr>
        <w:t xml:space="preserve"> </w:t>
      </w:r>
      <w:r>
        <w:rPr>
          <w:rFonts w:ascii="宋体" w:eastAsia="宋体" w:hAnsi="宋体" w:cs="宋体"/>
          <w:spacing w:val="-8"/>
          <w:sz w:val="22"/>
          <w:szCs w:val="22"/>
        </w:rPr>
        <w:t>具有许多生物活性功能，除了具有</w:t>
      </w:r>
      <w:r>
        <w:rPr>
          <w:rFonts w:ascii="宋体" w:eastAsia="宋体" w:hAnsi="宋体" w:cs="宋体"/>
          <w:sz w:val="22"/>
          <w:szCs w:val="22"/>
        </w:rPr>
        <w:t xml:space="preserve">  </w:t>
      </w:r>
      <w:r>
        <w:rPr>
          <w:rFonts w:ascii="宋体" w:eastAsia="宋体" w:hAnsi="宋体" w:cs="宋体"/>
          <w:spacing w:val="-13"/>
          <w:sz w:val="22"/>
          <w:szCs w:val="22"/>
        </w:rPr>
        <w:t>很强的保湿、持水功能以及作为生物医学材料外，它还具有减轻关节炎、关节疼</w:t>
      </w:r>
      <w:r>
        <w:rPr>
          <w:rFonts w:ascii="宋体" w:eastAsia="宋体" w:hAnsi="宋体" w:cs="宋体"/>
          <w:spacing w:val="1"/>
          <w:sz w:val="22"/>
          <w:szCs w:val="22"/>
        </w:rPr>
        <w:t xml:space="preserve">  </w:t>
      </w:r>
      <w:r>
        <w:rPr>
          <w:rFonts w:ascii="宋体" w:eastAsia="宋体" w:hAnsi="宋体" w:cs="宋体"/>
          <w:spacing w:val="-17"/>
          <w:sz w:val="22"/>
          <w:szCs w:val="22"/>
        </w:rPr>
        <w:t>痛、调节关节功能的作用。</w:t>
      </w:r>
    </w:p>
    <w:p w:rsidR="00EA40A3" w:rsidRDefault="00E86C16">
      <w:pPr>
        <w:spacing w:before="102" w:line="224" w:lineRule="auto"/>
        <w:rPr>
          <w:rFonts w:ascii="楷体" w:eastAsia="楷体" w:hAnsi="楷体" w:cs="楷体"/>
          <w:sz w:val="22"/>
          <w:szCs w:val="22"/>
        </w:rPr>
      </w:pPr>
      <w:r>
        <w:rPr>
          <w:rFonts w:ascii="楷体" w:eastAsia="楷体" w:hAnsi="楷体" w:cs="楷体"/>
          <w:spacing w:val="-1"/>
          <w:sz w:val="22"/>
          <w:szCs w:val="22"/>
        </w:rPr>
        <w:t>4)海洋生物多糖</w:t>
      </w:r>
    </w:p>
    <w:p w:rsidR="00EA40A3" w:rsidRDefault="00E86C16">
      <w:pPr>
        <w:spacing w:before="56" w:line="257" w:lineRule="auto"/>
        <w:ind w:right="30" w:firstLine="470"/>
        <w:jc w:val="both"/>
        <w:rPr>
          <w:rFonts w:ascii="宋体" w:eastAsia="宋体" w:hAnsi="宋体" w:cs="宋体"/>
          <w:sz w:val="22"/>
          <w:szCs w:val="22"/>
        </w:rPr>
      </w:pPr>
      <w:r>
        <w:rPr>
          <w:rFonts w:ascii="宋体" w:eastAsia="宋体" w:hAnsi="宋体" w:cs="宋体"/>
          <w:spacing w:val="-13"/>
          <w:sz w:val="22"/>
          <w:szCs w:val="22"/>
        </w:rPr>
        <w:t>根据多糖来源的特殊环境，有研究者将从海洋生物中分离、提取的多糖称为</w:t>
      </w:r>
      <w:r>
        <w:rPr>
          <w:rFonts w:ascii="宋体" w:eastAsia="宋体" w:hAnsi="宋体" w:cs="宋体"/>
          <w:spacing w:val="8"/>
          <w:sz w:val="22"/>
          <w:szCs w:val="22"/>
        </w:rPr>
        <w:t xml:space="preserve"> </w:t>
      </w:r>
      <w:r>
        <w:rPr>
          <w:rFonts w:ascii="宋体" w:eastAsia="宋体" w:hAnsi="宋体" w:cs="宋体"/>
          <w:spacing w:val="-13"/>
          <w:sz w:val="22"/>
          <w:szCs w:val="22"/>
        </w:rPr>
        <w:t>海洋生物多糖。海洋生物是一个庞大生物类群，包括了海洋植物、海洋动物及海</w:t>
      </w:r>
      <w:r>
        <w:rPr>
          <w:rFonts w:ascii="宋体" w:eastAsia="宋体" w:hAnsi="宋体" w:cs="宋体"/>
          <w:spacing w:val="2"/>
          <w:sz w:val="22"/>
          <w:szCs w:val="22"/>
        </w:rPr>
        <w:t xml:space="preserve"> </w:t>
      </w:r>
      <w:r>
        <w:rPr>
          <w:rFonts w:ascii="宋体" w:eastAsia="宋体" w:hAnsi="宋体" w:cs="宋体"/>
          <w:spacing w:val="-12"/>
          <w:sz w:val="22"/>
          <w:szCs w:val="22"/>
        </w:rPr>
        <w:t>洋微生物。海洋生物多糖种类繁多，其中许多表现出</w:t>
      </w:r>
      <w:r>
        <w:rPr>
          <w:rFonts w:ascii="宋体" w:eastAsia="宋体" w:hAnsi="宋体" w:cs="宋体"/>
          <w:spacing w:val="-13"/>
          <w:sz w:val="22"/>
          <w:szCs w:val="22"/>
        </w:rPr>
        <w:t>明显的生理活性。目前的研</w:t>
      </w:r>
      <w:r>
        <w:rPr>
          <w:rFonts w:ascii="宋体" w:eastAsia="宋体" w:hAnsi="宋体" w:cs="宋体"/>
          <w:sz w:val="22"/>
          <w:szCs w:val="22"/>
        </w:rPr>
        <w:t xml:space="preserve"> </w:t>
      </w:r>
      <w:r>
        <w:rPr>
          <w:rFonts w:ascii="宋体" w:eastAsia="宋体" w:hAnsi="宋体" w:cs="宋体"/>
          <w:spacing w:val="-13"/>
          <w:sz w:val="22"/>
          <w:szCs w:val="22"/>
        </w:rPr>
        <w:t>究工作多集中在大型海洋藻类多糖及棘皮动物和贝类动物多糖方面。如：螺旋藻</w:t>
      </w:r>
      <w:r>
        <w:rPr>
          <w:rFonts w:ascii="宋体" w:eastAsia="宋体" w:hAnsi="宋体" w:cs="宋体"/>
          <w:spacing w:val="2"/>
          <w:sz w:val="22"/>
          <w:szCs w:val="22"/>
        </w:rPr>
        <w:t xml:space="preserve"> </w:t>
      </w:r>
      <w:r>
        <w:rPr>
          <w:rFonts w:ascii="宋体" w:eastAsia="宋体" w:hAnsi="宋体" w:cs="宋体"/>
          <w:spacing w:val="-13"/>
          <w:sz w:val="22"/>
          <w:szCs w:val="22"/>
        </w:rPr>
        <w:t>多糖是从蓝藻中的钝顶螺旋藻分离提取的多糖</w:t>
      </w:r>
      <w:r>
        <w:rPr>
          <w:rFonts w:ascii="宋体" w:eastAsia="宋体" w:hAnsi="宋体" w:cs="宋体"/>
          <w:spacing w:val="-14"/>
          <w:sz w:val="22"/>
          <w:szCs w:val="22"/>
        </w:rPr>
        <w:t>，对肿瘤细胞有一定的抑制和杀伤</w:t>
      </w:r>
      <w:r>
        <w:rPr>
          <w:rFonts w:ascii="宋体" w:eastAsia="宋体" w:hAnsi="宋体" w:cs="宋体"/>
          <w:sz w:val="22"/>
          <w:szCs w:val="22"/>
        </w:rPr>
        <w:t xml:space="preserve"> </w:t>
      </w:r>
      <w:r>
        <w:rPr>
          <w:rFonts w:ascii="宋体" w:eastAsia="宋体" w:hAnsi="宋体" w:cs="宋体"/>
          <w:spacing w:val="-13"/>
          <w:sz w:val="22"/>
          <w:szCs w:val="22"/>
        </w:rPr>
        <w:t>作用，而对正常细胞基本上无影响，并有很好地抗缺氧、抗衰老、抗疲劳、抗辐</w:t>
      </w:r>
      <w:r>
        <w:rPr>
          <w:rFonts w:ascii="宋体" w:eastAsia="宋体" w:hAnsi="宋体" w:cs="宋体"/>
          <w:spacing w:val="8"/>
          <w:sz w:val="22"/>
          <w:szCs w:val="22"/>
        </w:rPr>
        <w:t xml:space="preserve"> </w:t>
      </w:r>
      <w:r>
        <w:rPr>
          <w:rFonts w:ascii="宋体" w:eastAsia="宋体" w:hAnsi="宋体" w:cs="宋体"/>
          <w:spacing w:val="-13"/>
          <w:sz w:val="22"/>
          <w:szCs w:val="22"/>
        </w:rPr>
        <w:t>射及提高机体免疫的功能；卡拉胶为某些产于海洋的红藻的主要糖聚物，是一种</w:t>
      </w:r>
      <w:r>
        <w:rPr>
          <w:rFonts w:ascii="宋体" w:eastAsia="宋体" w:hAnsi="宋体" w:cs="宋体"/>
          <w:spacing w:val="9"/>
          <w:sz w:val="22"/>
          <w:szCs w:val="22"/>
        </w:rPr>
        <w:t xml:space="preserve"> </w:t>
      </w:r>
      <w:r>
        <w:rPr>
          <w:rFonts w:ascii="宋体" w:eastAsia="宋体" w:hAnsi="宋体" w:cs="宋体"/>
          <w:spacing w:val="-12"/>
          <w:sz w:val="22"/>
          <w:szCs w:val="22"/>
        </w:rPr>
        <w:t>线型半乳聚糖，在临床试验中发现卡拉胶能缓解约一半溃疡</w:t>
      </w:r>
      <w:r>
        <w:rPr>
          <w:rFonts w:ascii="宋体" w:eastAsia="宋体" w:hAnsi="宋体" w:cs="宋体"/>
          <w:spacing w:val="-13"/>
          <w:sz w:val="22"/>
          <w:szCs w:val="22"/>
        </w:rPr>
        <w:t>病人的病症；褐藻胶</w:t>
      </w:r>
      <w:r>
        <w:rPr>
          <w:rFonts w:ascii="宋体" w:eastAsia="宋体" w:hAnsi="宋体" w:cs="宋体"/>
          <w:sz w:val="22"/>
          <w:szCs w:val="22"/>
        </w:rPr>
        <w:t xml:space="preserve"> </w:t>
      </w:r>
      <w:r>
        <w:rPr>
          <w:rFonts w:ascii="宋体" w:eastAsia="宋体" w:hAnsi="宋体" w:cs="宋体"/>
          <w:spacing w:val="-13"/>
          <w:sz w:val="22"/>
          <w:szCs w:val="22"/>
        </w:rPr>
        <w:t>来源于海藻中的褐藻，褐藻酸盐有降血脂、降血糖作用，已作为肥胖病人、糖尿</w:t>
      </w:r>
      <w:r>
        <w:rPr>
          <w:rFonts w:ascii="宋体" w:eastAsia="宋体" w:hAnsi="宋体" w:cs="宋体"/>
          <w:spacing w:val="2"/>
          <w:sz w:val="22"/>
          <w:szCs w:val="22"/>
        </w:rPr>
        <w:t xml:space="preserve"> </w:t>
      </w:r>
      <w:r>
        <w:rPr>
          <w:rFonts w:ascii="宋体" w:eastAsia="宋体" w:hAnsi="宋体" w:cs="宋体"/>
          <w:spacing w:val="-7"/>
          <w:sz w:val="22"/>
          <w:szCs w:val="22"/>
        </w:rPr>
        <w:t>病人食品的添加成分。有研究报道，褐藻胶在体外可诱导小鼠白细胞介素-1和</w:t>
      </w:r>
      <w:r>
        <w:rPr>
          <w:rFonts w:ascii="宋体" w:eastAsia="宋体" w:hAnsi="宋体" w:cs="宋体"/>
          <w:spacing w:val="1"/>
          <w:sz w:val="22"/>
          <w:szCs w:val="22"/>
        </w:rPr>
        <w:t xml:space="preserve"> </w:t>
      </w:r>
      <w:r>
        <w:rPr>
          <w:rFonts w:ascii="宋体" w:eastAsia="宋体" w:hAnsi="宋体" w:cs="宋体"/>
          <w:spacing w:val="-7"/>
          <w:sz w:val="22"/>
          <w:szCs w:val="22"/>
        </w:rPr>
        <w:t>丙型干扰素产生，体内给药可增强T</w:t>
      </w:r>
      <w:r>
        <w:rPr>
          <w:rFonts w:ascii="宋体" w:eastAsia="宋体" w:hAnsi="宋体" w:cs="宋体"/>
          <w:spacing w:val="18"/>
          <w:sz w:val="22"/>
          <w:szCs w:val="22"/>
        </w:rPr>
        <w:t xml:space="preserve"> </w:t>
      </w:r>
      <w:r>
        <w:rPr>
          <w:rFonts w:ascii="宋体" w:eastAsia="宋体" w:hAnsi="宋体" w:cs="宋体"/>
          <w:spacing w:val="-7"/>
          <w:sz w:val="22"/>
          <w:szCs w:val="22"/>
        </w:rPr>
        <w:t>细胞、</w:t>
      </w:r>
      <w:r>
        <w:rPr>
          <w:rFonts w:ascii="宋体" w:eastAsia="宋体" w:hAnsi="宋体" w:cs="宋体"/>
          <w:spacing w:val="-53"/>
          <w:sz w:val="22"/>
          <w:szCs w:val="22"/>
        </w:rPr>
        <w:t xml:space="preserve"> </w:t>
      </w:r>
      <w:r>
        <w:rPr>
          <w:rFonts w:ascii="宋体" w:eastAsia="宋体" w:hAnsi="宋体" w:cs="宋体"/>
          <w:spacing w:val="-7"/>
          <w:sz w:val="22"/>
          <w:szCs w:val="22"/>
        </w:rPr>
        <w:t>B</w:t>
      </w:r>
      <w:r>
        <w:rPr>
          <w:rFonts w:ascii="宋体" w:eastAsia="宋体" w:hAnsi="宋体" w:cs="宋体"/>
          <w:spacing w:val="-26"/>
          <w:sz w:val="22"/>
          <w:szCs w:val="22"/>
        </w:rPr>
        <w:t xml:space="preserve"> </w:t>
      </w:r>
      <w:r>
        <w:rPr>
          <w:rFonts w:ascii="宋体" w:eastAsia="宋体" w:hAnsi="宋体" w:cs="宋体"/>
          <w:spacing w:val="-7"/>
          <w:sz w:val="22"/>
          <w:szCs w:val="22"/>
        </w:rPr>
        <w:t>细胞、巨噬细胞和NK</w:t>
      </w:r>
      <w:r>
        <w:rPr>
          <w:rFonts w:ascii="宋体" w:eastAsia="宋体" w:hAnsi="宋体" w:cs="宋体"/>
          <w:spacing w:val="51"/>
          <w:sz w:val="22"/>
          <w:szCs w:val="22"/>
        </w:rPr>
        <w:t xml:space="preserve"> </w:t>
      </w:r>
      <w:r>
        <w:rPr>
          <w:rFonts w:ascii="宋体" w:eastAsia="宋体" w:hAnsi="宋体" w:cs="宋体"/>
          <w:spacing w:val="-7"/>
          <w:sz w:val="22"/>
          <w:szCs w:val="22"/>
        </w:rPr>
        <w:t>细胞的功</w:t>
      </w:r>
      <w:r>
        <w:rPr>
          <w:rFonts w:ascii="宋体" w:eastAsia="宋体" w:hAnsi="宋体" w:cs="宋体"/>
          <w:sz w:val="22"/>
          <w:szCs w:val="22"/>
        </w:rPr>
        <w:t xml:space="preserve"> </w:t>
      </w:r>
      <w:r>
        <w:rPr>
          <w:rFonts w:ascii="宋体" w:eastAsia="宋体" w:hAnsi="宋体" w:cs="宋体"/>
          <w:spacing w:val="-13"/>
          <w:sz w:val="22"/>
          <w:szCs w:val="22"/>
        </w:rPr>
        <w:t>能，促进对绵羊红细胞的初次抗体应答。褐藻胶还有排铅解毒作用，对体内沉积</w:t>
      </w:r>
      <w:r>
        <w:rPr>
          <w:rFonts w:ascii="宋体" w:eastAsia="宋体" w:hAnsi="宋体" w:cs="宋体"/>
          <w:spacing w:val="7"/>
          <w:sz w:val="22"/>
          <w:szCs w:val="22"/>
        </w:rPr>
        <w:t xml:space="preserve"> </w:t>
      </w:r>
      <w:r>
        <w:rPr>
          <w:rFonts w:ascii="宋体" w:eastAsia="宋体" w:hAnsi="宋体" w:cs="宋体"/>
          <w:spacing w:val="-15"/>
          <w:sz w:val="22"/>
          <w:szCs w:val="22"/>
        </w:rPr>
        <w:t>的铅有促进排出的功效，而不大影响钙磷的代谢平衡。</w:t>
      </w:r>
    </w:p>
    <w:p w:rsidR="00EA40A3" w:rsidRDefault="00E86C16">
      <w:pPr>
        <w:spacing w:before="195" w:line="221" w:lineRule="auto"/>
        <w:ind w:left="3"/>
        <w:outlineLvl w:val="6"/>
        <w:rPr>
          <w:rFonts w:ascii="黑体" w:eastAsia="黑体" w:hAnsi="黑体" w:cs="黑体"/>
          <w:sz w:val="22"/>
          <w:szCs w:val="22"/>
        </w:rPr>
      </w:pPr>
      <w:r>
        <w:rPr>
          <w:rFonts w:ascii="黑体" w:eastAsia="黑体" w:hAnsi="黑体" w:cs="黑体"/>
          <w:b/>
          <w:bCs/>
          <w:spacing w:val="10"/>
          <w:sz w:val="22"/>
          <w:szCs w:val="22"/>
        </w:rPr>
        <w:t>3.2.5</w:t>
      </w:r>
      <w:r>
        <w:rPr>
          <w:rFonts w:ascii="黑体" w:eastAsia="黑体" w:hAnsi="黑体" w:cs="黑体"/>
          <w:spacing w:val="52"/>
          <w:sz w:val="22"/>
          <w:szCs w:val="22"/>
        </w:rPr>
        <w:t xml:space="preserve">  </w:t>
      </w:r>
      <w:r>
        <w:rPr>
          <w:rFonts w:ascii="黑体" w:eastAsia="黑体" w:hAnsi="黑体" w:cs="黑体"/>
          <w:b/>
          <w:bCs/>
          <w:spacing w:val="10"/>
          <w:sz w:val="22"/>
          <w:szCs w:val="22"/>
        </w:rPr>
        <w:t>碳水化合物参考摄入量与食物来源</w:t>
      </w:r>
    </w:p>
    <w:p w:rsidR="00EA40A3" w:rsidRDefault="00E86C16">
      <w:pPr>
        <w:spacing w:before="201" w:line="222"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42"/>
          <w:sz w:val="22"/>
          <w:szCs w:val="22"/>
        </w:rPr>
        <w:t xml:space="preserve"> </w:t>
      </w:r>
      <w:r>
        <w:rPr>
          <w:rFonts w:ascii="仿宋" w:eastAsia="仿宋" w:hAnsi="仿宋" w:cs="仿宋"/>
          <w:spacing w:val="10"/>
          <w:sz w:val="22"/>
          <w:szCs w:val="22"/>
        </w:rPr>
        <w:t>膳食参考摄入量</w:t>
      </w:r>
    </w:p>
    <w:p w:rsidR="00EA40A3" w:rsidRDefault="00E86C16">
      <w:pPr>
        <w:spacing w:before="205" w:line="252" w:lineRule="auto"/>
        <w:ind w:right="69" w:firstLine="450"/>
        <w:jc w:val="both"/>
        <w:rPr>
          <w:rFonts w:ascii="宋体" w:eastAsia="宋体" w:hAnsi="宋体" w:cs="宋体"/>
          <w:sz w:val="22"/>
          <w:szCs w:val="22"/>
        </w:rPr>
      </w:pPr>
      <w:r>
        <w:rPr>
          <w:rFonts w:ascii="宋体" w:eastAsia="宋体" w:hAnsi="宋体" w:cs="宋体"/>
          <w:spacing w:val="-13"/>
          <w:sz w:val="22"/>
          <w:szCs w:val="22"/>
        </w:rPr>
        <w:t>由于体内有些营养素可转变为碳水化合物，因此其适</w:t>
      </w:r>
      <w:r>
        <w:rPr>
          <w:rFonts w:ascii="宋体" w:eastAsia="宋体" w:hAnsi="宋体" w:cs="宋体"/>
          <w:spacing w:val="-14"/>
          <w:sz w:val="22"/>
          <w:szCs w:val="22"/>
        </w:rPr>
        <w:t>宜需要量尚难确定。不</w:t>
      </w:r>
      <w:r>
        <w:rPr>
          <w:rFonts w:ascii="宋体" w:eastAsia="宋体" w:hAnsi="宋体" w:cs="宋体"/>
          <w:sz w:val="22"/>
          <w:szCs w:val="22"/>
        </w:rPr>
        <w:t xml:space="preserve"> </w:t>
      </w:r>
      <w:r>
        <w:rPr>
          <w:rFonts w:ascii="宋体" w:eastAsia="宋体" w:hAnsi="宋体" w:cs="宋体"/>
          <w:spacing w:val="-13"/>
          <w:sz w:val="22"/>
          <w:szCs w:val="22"/>
        </w:rPr>
        <w:t>过，膳食中碳水化合物过少，可造成膳食蛋白质的浪费，组织蛋白质和脂肪分解</w:t>
      </w:r>
      <w:r>
        <w:rPr>
          <w:rFonts w:ascii="宋体" w:eastAsia="宋体" w:hAnsi="宋体" w:cs="宋体"/>
          <w:spacing w:val="1"/>
          <w:sz w:val="22"/>
          <w:szCs w:val="22"/>
        </w:rPr>
        <w:t xml:space="preserve"> </w:t>
      </w:r>
      <w:r>
        <w:rPr>
          <w:rFonts w:ascii="宋体" w:eastAsia="宋体" w:hAnsi="宋体" w:cs="宋体"/>
          <w:spacing w:val="-12"/>
          <w:sz w:val="22"/>
          <w:szCs w:val="22"/>
        </w:rPr>
        <w:t>增强等。若其比例过高，势必引起蛋白质和脂肪摄入</w:t>
      </w:r>
      <w:r>
        <w:rPr>
          <w:rFonts w:ascii="宋体" w:eastAsia="宋体" w:hAnsi="宋体" w:cs="宋体"/>
          <w:spacing w:val="-13"/>
          <w:sz w:val="22"/>
          <w:szCs w:val="22"/>
        </w:rPr>
        <w:t>的减少，也对机体造成不良</w:t>
      </w:r>
    </w:p>
    <w:p w:rsidR="00EA40A3" w:rsidRDefault="00E86C16">
      <w:pPr>
        <w:spacing w:before="85"/>
        <w:ind w:right="86"/>
        <w:jc w:val="right"/>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1"/>
          <w:sz w:val="17"/>
          <w:szCs w:val="17"/>
        </w:rPr>
        <w:t xml:space="preserve"> </w:t>
      </w:r>
      <w:r>
        <w:rPr>
          <w:rFonts w:ascii="宋体" w:eastAsia="宋体" w:hAnsi="宋体" w:cs="宋体"/>
          <w:spacing w:val="-26"/>
          <w:sz w:val="17"/>
          <w:szCs w:val="17"/>
        </w:rPr>
        <w:t>57</w:t>
      </w:r>
      <w:r>
        <w:rPr>
          <w:rFonts w:ascii="宋体" w:eastAsia="宋体" w:hAnsi="宋体" w:cs="宋体"/>
          <w:spacing w:val="48"/>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958" w:bottom="400" w:left="919" w:header="0" w:footer="0" w:gutter="0"/>
          <w:cols w:space="720"/>
        </w:sectPr>
      </w:pPr>
    </w:p>
    <w:p w:rsidR="00EA40A3" w:rsidRDefault="00EA40A3">
      <w:pPr>
        <w:spacing w:line="291" w:lineRule="auto"/>
      </w:pPr>
    </w:p>
    <w:p w:rsidR="00EA40A3" w:rsidRDefault="00EA40A3">
      <w:pPr>
        <w:spacing w:line="291" w:lineRule="auto"/>
      </w:pPr>
    </w:p>
    <w:p w:rsidR="00EA40A3" w:rsidRDefault="00E86C16">
      <w:pPr>
        <w:spacing w:before="72" w:line="219" w:lineRule="auto"/>
        <w:rPr>
          <w:rFonts w:ascii="宋体" w:eastAsia="宋体" w:hAnsi="宋体" w:cs="宋体"/>
          <w:sz w:val="22"/>
          <w:szCs w:val="22"/>
        </w:rPr>
      </w:pPr>
      <w:r>
        <w:rPr>
          <w:rFonts w:ascii="宋体" w:eastAsia="宋体" w:hAnsi="宋体" w:cs="宋体"/>
          <w:spacing w:val="-1"/>
          <w:sz w:val="22"/>
          <w:szCs w:val="22"/>
        </w:rPr>
        <w:t>后果。许多国家将其供应量定为占膳食所提供能量的50%～65%(表3-8)。</w:t>
      </w:r>
    </w:p>
    <w:p w:rsidR="00EA40A3" w:rsidRDefault="00EA40A3">
      <w:pPr>
        <w:spacing w:line="317" w:lineRule="auto"/>
      </w:pPr>
    </w:p>
    <w:p w:rsidR="00EA40A3" w:rsidRDefault="00E86C16">
      <w:pPr>
        <w:spacing w:before="55" w:line="221" w:lineRule="auto"/>
        <w:ind w:left="2002"/>
        <w:rPr>
          <w:rFonts w:ascii="黑体" w:eastAsia="黑体" w:hAnsi="黑体" w:cs="黑体"/>
          <w:sz w:val="17"/>
          <w:szCs w:val="17"/>
        </w:rPr>
      </w:pPr>
      <w:r>
        <w:rPr>
          <w:rFonts w:ascii="黑体" w:eastAsia="黑体" w:hAnsi="黑体" w:cs="黑体"/>
          <w:b/>
          <w:bCs/>
          <w:spacing w:val="7"/>
          <w:sz w:val="17"/>
          <w:szCs w:val="17"/>
        </w:rPr>
        <w:t>表3-8</w:t>
      </w:r>
      <w:r>
        <w:rPr>
          <w:rFonts w:ascii="黑体" w:eastAsia="黑体" w:hAnsi="黑体" w:cs="黑体"/>
          <w:spacing w:val="76"/>
          <w:sz w:val="17"/>
          <w:szCs w:val="17"/>
        </w:rPr>
        <w:t xml:space="preserve"> </w:t>
      </w:r>
      <w:r>
        <w:rPr>
          <w:rFonts w:ascii="黑体" w:eastAsia="黑体" w:hAnsi="黑体" w:cs="黑体"/>
          <w:b/>
          <w:bCs/>
          <w:spacing w:val="7"/>
          <w:sz w:val="17"/>
          <w:szCs w:val="17"/>
        </w:rPr>
        <w:t>各国膳食碳水化合物摄入量的建议值</w:t>
      </w:r>
    </w:p>
    <w:p w:rsidR="00EA40A3" w:rsidRDefault="00EA40A3">
      <w:pPr>
        <w:spacing w:line="28" w:lineRule="exact"/>
      </w:pPr>
    </w:p>
    <w:tbl>
      <w:tblPr>
        <w:tblStyle w:val="TableNormal"/>
        <w:tblW w:w="7340" w:type="dxa"/>
        <w:tblInd w:w="4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450"/>
        <w:gridCol w:w="973"/>
        <w:gridCol w:w="1672"/>
        <w:gridCol w:w="875"/>
        <w:gridCol w:w="1450"/>
        <w:gridCol w:w="920"/>
      </w:tblGrid>
      <w:tr w:rsidR="00EA40A3">
        <w:trPr>
          <w:trHeight w:val="632"/>
        </w:trPr>
        <w:tc>
          <w:tcPr>
            <w:tcW w:w="1450" w:type="dxa"/>
            <w:tcBorders>
              <w:top w:val="single" w:sz="4" w:space="0" w:color="000000"/>
              <w:bottom w:val="single" w:sz="4" w:space="0" w:color="000000"/>
            </w:tcBorders>
          </w:tcPr>
          <w:p w:rsidR="00EA40A3" w:rsidRDefault="00E86C16">
            <w:pPr>
              <w:spacing w:before="232" w:line="220" w:lineRule="auto"/>
              <w:ind w:left="289"/>
              <w:rPr>
                <w:rFonts w:ascii="宋体" w:eastAsia="宋体" w:hAnsi="宋体" w:cs="宋体"/>
                <w:sz w:val="17"/>
                <w:szCs w:val="17"/>
              </w:rPr>
            </w:pPr>
            <w:r>
              <w:rPr>
                <w:rFonts w:ascii="宋体" w:eastAsia="宋体" w:hAnsi="宋体" w:cs="宋体"/>
                <w:spacing w:val="1"/>
                <w:sz w:val="17"/>
                <w:szCs w:val="17"/>
              </w:rPr>
              <w:t>国家和组织</w:t>
            </w:r>
          </w:p>
        </w:tc>
        <w:tc>
          <w:tcPr>
            <w:tcW w:w="973" w:type="dxa"/>
            <w:tcBorders>
              <w:top w:val="single" w:sz="4" w:space="0" w:color="000000"/>
              <w:bottom w:val="single" w:sz="4" w:space="0" w:color="000000"/>
            </w:tcBorders>
          </w:tcPr>
          <w:p w:rsidR="00EA40A3" w:rsidRDefault="00E86C16">
            <w:pPr>
              <w:spacing w:before="232" w:line="219" w:lineRule="auto"/>
              <w:ind w:left="310"/>
              <w:rPr>
                <w:rFonts w:ascii="宋体" w:eastAsia="宋体" w:hAnsi="宋体" w:cs="宋体"/>
                <w:sz w:val="17"/>
                <w:szCs w:val="17"/>
              </w:rPr>
            </w:pPr>
            <w:r>
              <w:rPr>
                <w:rFonts w:ascii="宋体" w:eastAsia="宋体" w:hAnsi="宋体" w:cs="宋体"/>
                <w:spacing w:val="-2"/>
                <w:sz w:val="17"/>
                <w:szCs w:val="17"/>
              </w:rPr>
              <w:t>年份</w:t>
            </w:r>
          </w:p>
        </w:tc>
        <w:tc>
          <w:tcPr>
            <w:tcW w:w="1672" w:type="dxa"/>
            <w:tcBorders>
              <w:top w:val="single" w:sz="4" w:space="0" w:color="000000"/>
              <w:bottom w:val="single" w:sz="4" w:space="0" w:color="000000"/>
            </w:tcBorders>
          </w:tcPr>
          <w:p w:rsidR="00EA40A3" w:rsidRDefault="00E86C16">
            <w:pPr>
              <w:spacing w:before="232" w:line="220" w:lineRule="auto"/>
              <w:ind w:left="337"/>
              <w:rPr>
                <w:rFonts w:ascii="宋体" w:eastAsia="宋体" w:hAnsi="宋体" w:cs="宋体"/>
                <w:sz w:val="17"/>
                <w:szCs w:val="17"/>
              </w:rPr>
            </w:pPr>
            <w:r>
              <w:rPr>
                <w:rFonts w:ascii="宋体" w:eastAsia="宋体" w:hAnsi="宋体" w:cs="宋体"/>
                <w:spacing w:val="1"/>
                <w:sz w:val="17"/>
                <w:szCs w:val="17"/>
              </w:rPr>
              <w:t>占热量的百分比</w:t>
            </w:r>
          </w:p>
        </w:tc>
        <w:tc>
          <w:tcPr>
            <w:tcW w:w="875" w:type="dxa"/>
            <w:tcBorders>
              <w:top w:val="single" w:sz="4" w:space="0" w:color="000000"/>
              <w:bottom w:val="single" w:sz="4" w:space="0" w:color="000000"/>
            </w:tcBorders>
          </w:tcPr>
          <w:p w:rsidR="00EA40A3" w:rsidRDefault="00EA40A3">
            <w:pPr>
              <w:spacing w:line="374" w:lineRule="auto"/>
            </w:pPr>
          </w:p>
          <w:p w:rsidR="00EA40A3" w:rsidRDefault="00E86C16">
            <w:pPr>
              <w:spacing w:before="55" w:line="217" w:lineRule="auto"/>
              <w:ind w:left="275"/>
              <w:rPr>
                <w:rFonts w:ascii="宋体" w:eastAsia="宋体" w:hAnsi="宋体" w:cs="宋体"/>
                <w:sz w:val="17"/>
                <w:szCs w:val="17"/>
              </w:rPr>
            </w:pPr>
            <w:r>
              <w:rPr>
                <w:rFonts w:ascii="宋体" w:eastAsia="宋体" w:hAnsi="宋体" w:cs="宋体"/>
                <w:spacing w:val="-2"/>
                <w:sz w:val="17"/>
                <w:szCs w:val="17"/>
              </w:rPr>
              <w:t>谷类</w:t>
            </w:r>
          </w:p>
        </w:tc>
        <w:tc>
          <w:tcPr>
            <w:tcW w:w="1450" w:type="dxa"/>
            <w:tcBorders>
              <w:top w:val="single" w:sz="4" w:space="0" w:color="000000"/>
              <w:bottom w:val="single" w:sz="4" w:space="0" w:color="000000"/>
            </w:tcBorders>
          </w:tcPr>
          <w:p w:rsidR="00EA40A3" w:rsidRDefault="00E86C16">
            <w:pPr>
              <w:spacing w:before="131" w:line="272" w:lineRule="auto"/>
              <w:ind w:left="359" w:right="162" w:hanging="209"/>
              <w:rPr>
                <w:rFonts w:ascii="宋体" w:eastAsia="宋体" w:hAnsi="宋体" w:cs="宋体"/>
                <w:sz w:val="17"/>
                <w:szCs w:val="17"/>
              </w:rPr>
            </w:pPr>
            <w:r>
              <w:rPr>
                <w:rFonts w:ascii="宋体" w:eastAsia="宋体" w:hAnsi="宋体" w:cs="宋体"/>
                <w:spacing w:val="4"/>
                <w:sz w:val="17"/>
                <w:szCs w:val="17"/>
              </w:rPr>
              <w:t>摄入量(8.4</w:t>
            </w:r>
            <w:r>
              <w:rPr>
                <w:rFonts w:ascii="宋体" w:eastAsia="宋体" w:hAnsi="宋体" w:cs="宋体"/>
                <w:sz w:val="17"/>
                <w:szCs w:val="17"/>
              </w:rPr>
              <w:t>MJ</w:t>
            </w:r>
            <w:r>
              <w:rPr>
                <w:rFonts w:ascii="宋体" w:eastAsia="宋体" w:hAnsi="宋体" w:cs="宋体"/>
                <w:spacing w:val="4"/>
                <w:sz w:val="17"/>
                <w:szCs w:val="17"/>
              </w:rPr>
              <w:t>)</w:t>
            </w:r>
            <w:r>
              <w:rPr>
                <w:rFonts w:ascii="宋体" w:eastAsia="宋体" w:hAnsi="宋体" w:cs="宋体"/>
                <w:sz w:val="17"/>
                <w:szCs w:val="17"/>
              </w:rPr>
              <w:t xml:space="preserve"> </w:t>
            </w:r>
            <w:r>
              <w:rPr>
                <w:rFonts w:ascii="宋体" w:eastAsia="宋体" w:hAnsi="宋体" w:cs="宋体"/>
                <w:spacing w:val="2"/>
                <w:sz w:val="17"/>
                <w:szCs w:val="17"/>
              </w:rPr>
              <w:t>蔬菜水果</w:t>
            </w:r>
          </w:p>
        </w:tc>
        <w:tc>
          <w:tcPr>
            <w:tcW w:w="920" w:type="dxa"/>
            <w:tcBorders>
              <w:top w:val="single" w:sz="4" w:space="0" w:color="000000"/>
              <w:bottom w:val="single" w:sz="4" w:space="0" w:color="000000"/>
            </w:tcBorders>
          </w:tcPr>
          <w:p w:rsidR="00EA40A3" w:rsidRDefault="00EA40A3">
            <w:pPr>
              <w:spacing w:line="384" w:lineRule="auto"/>
            </w:pPr>
          </w:p>
          <w:p w:rsidR="00EA40A3" w:rsidRDefault="00E86C16">
            <w:pPr>
              <w:spacing w:before="55" w:line="206" w:lineRule="auto"/>
              <w:ind w:left="200"/>
              <w:rPr>
                <w:rFonts w:ascii="宋体" w:eastAsia="宋体" w:hAnsi="宋体" w:cs="宋体"/>
                <w:sz w:val="17"/>
                <w:szCs w:val="17"/>
              </w:rPr>
            </w:pPr>
            <w:r>
              <w:rPr>
                <w:rFonts w:ascii="宋体" w:eastAsia="宋体" w:hAnsi="宋体" w:cs="宋体"/>
                <w:sz w:val="17"/>
                <w:szCs w:val="17"/>
              </w:rPr>
              <w:t>糖</w:t>
            </w:r>
          </w:p>
        </w:tc>
      </w:tr>
      <w:tr w:rsidR="00EA40A3">
        <w:trPr>
          <w:trHeight w:val="2077"/>
        </w:trPr>
        <w:tc>
          <w:tcPr>
            <w:tcW w:w="1450" w:type="dxa"/>
            <w:tcBorders>
              <w:top w:val="single" w:sz="4" w:space="0" w:color="000000"/>
              <w:bottom w:val="single" w:sz="4" w:space="0" w:color="000000"/>
            </w:tcBorders>
          </w:tcPr>
          <w:p w:rsidR="00EA40A3" w:rsidRDefault="00E86C16">
            <w:pPr>
              <w:spacing w:before="69" w:line="271" w:lineRule="exact"/>
              <w:ind w:left="540"/>
              <w:rPr>
                <w:rFonts w:ascii="宋体" w:eastAsia="宋体" w:hAnsi="宋体" w:cs="宋体"/>
                <w:sz w:val="17"/>
                <w:szCs w:val="17"/>
              </w:rPr>
            </w:pPr>
            <w:r>
              <w:rPr>
                <w:rFonts w:ascii="宋体" w:eastAsia="宋体" w:hAnsi="宋体" w:cs="宋体"/>
                <w:spacing w:val="7"/>
                <w:position w:val="7"/>
                <w:sz w:val="17"/>
                <w:szCs w:val="17"/>
              </w:rPr>
              <w:t>日本</w:t>
            </w:r>
          </w:p>
          <w:p w:rsidR="00EA40A3" w:rsidRDefault="00E86C16">
            <w:pPr>
              <w:spacing w:line="220" w:lineRule="auto"/>
              <w:ind w:left="540"/>
              <w:rPr>
                <w:rFonts w:ascii="宋体" w:eastAsia="宋体" w:hAnsi="宋体" w:cs="宋体"/>
                <w:sz w:val="17"/>
                <w:szCs w:val="17"/>
              </w:rPr>
            </w:pPr>
            <w:r>
              <w:rPr>
                <w:rFonts w:ascii="宋体" w:eastAsia="宋体" w:hAnsi="宋体" w:cs="宋体"/>
                <w:spacing w:val="8"/>
                <w:sz w:val="17"/>
                <w:szCs w:val="17"/>
              </w:rPr>
              <w:t>美国</w:t>
            </w:r>
          </w:p>
          <w:p w:rsidR="00EA40A3" w:rsidRDefault="00E86C16">
            <w:pPr>
              <w:spacing w:before="47" w:line="220" w:lineRule="auto"/>
              <w:ind w:left="540"/>
              <w:rPr>
                <w:rFonts w:ascii="宋体" w:eastAsia="宋体" w:hAnsi="宋体" w:cs="宋体"/>
                <w:sz w:val="17"/>
                <w:szCs w:val="17"/>
              </w:rPr>
            </w:pPr>
            <w:r>
              <w:rPr>
                <w:rFonts w:ascii="宋体" w:eastAsia="宋体" w:hAnsi="宋体" w:cs="宋体"/>
                <w:spacing w:val="8"/>
                <w:sz w:val="17"/>
                <w:szCs w:val="17"/>
              </w:rPr>
              <w:t>英国</w:t>
            </w:r>
          </w:p>
          <w:p w:rsidR="00EA40A3" w:rsidRDefault="00E86C16">
            <w:pPr>
              <w:spacing w:before="46" w:line="219" w:lineRule="auto"/>
              <w:ind w:left="459"/>
              <w:rPr>
                <w:rFonts w:ascii="宋体" w:eastAsia="宋体" w:hAnsi="宋体" w:cs="宋体"/>
                <w:sz w:val="17"/>
                <w:szCs w:val="17"/>
              </w:rPr>
            </w:pPr>
            <w:r>
              <w:rPr>
                <w:rFonts w:ascii="宋体" w:eastAsia="宋体" w:hAnsi="宋体" w:cs="宋体"/>
                <w:spacing w:val="-2"/>
                <w:sz w:val="17"/>
                <w:szCs w:val="17"/>
              </w:rPr>
              <w:t>加拿大</w:t>
            </w:r>
          </w:p>
          <w:p w:rsidR="00EA40A3" w:rsidRDefault="00E86C16">
            <w:pPr>
              <w:spacing w:before="70" w:line="222" w:lineRule="auto"/>
              <w:ind w:left="540"/>
              <w:rPr>
                <w:rFonts w:ascii="宋体" w:eastAsia="宋体" w:hAnsi="宋体" w:cs="宋体"/>
                <w:sz w:val="17"/>
                <w:szCs w:val="17"/>
              </w:rPr>
            </w:pPr>
            <w:r>
              <w:rPr>
                <w:rFonts w:ascii="宋体" w:eastAsia="宋体" w:hAnsi="宋体" w:cs="宋体"/>
                <w:spacing w:val="8"/>
                <w:sz w:val="17"/>
                <w:szCs w:val="17"/>
              </w:rPr>
              <w:t>法国</w:t>
            </w:r>
          </w:p>
          <w:p w:rsidR="00EA40A3" w:rsidRDefault="00E86C16">
            <w:pPr>
              <w:spacing w:before="43" w:line="219" w:lineRule="auto"/>
              <w:ind w:left="540"/>
              <w:rPr>
                <w:rFonts w:ascii="宋体" w:eastAsia="宋体" w:hAnsi="宋体" w:cs="宋体"/>
                <w:sz w:val="17"/>
                <w:szCs w:val="17"/>
              </w:rPr>
            </w:pPr>
            <w:r>
              <w:rPr>
                <w:rFonts w:ascii="宋体" w:eastAsia="宋体" w:hAnsi="宋体" w:cs="宋体"/>
                <w:spacing w:val="-2"/>
                <w:sz w:val="17"/>
                <w:szCs w:val="17"/>
              </w:rPr>
              <w:t>捷克</w:t>
            </w:r>
          </w:p>
          <w:p w:rsidR="00EA40A3" w:rsidRDefault="00E86C16">
            <w:pPr>
              <w:spacing w:before="59" w:line="219" w:lineRule="auto"/>
              <w:ind w:left="540"/>
              <w:rPr>
                <w:rFonts w:ascii="宋体" w:eastAsia="宋体" w:hAnsi="宋体" w:cs="宋体"/>
                <w:sz w:val="17"/>
                <w:szCs w:val="17"/>
              </w:rPr>
            </w:pPr>
            <w:r>
              <w:rPr>
                <w:rFonts w:ascii="宋体" w:eastAsia="宋体" w:hAnsi="宋体" w:cs="宋体"/>
                <w:spacing w:val="-2"/>
                <w:sz w:val="17"/>
                <w:szCs w:val="17"/>
              </w:rPr>
              <w:t>荷兰</w:t>
            </w:r>
          </w:p>
          <w:p w:rsidR="00EA40A3" w:rsidRDefault="00E86C16">
            <w:pPr>
              <w:spacing w:before="92" w:line="177" w:lineRule="auto"/>
              <w:ind w:left="450"/>
              <w:rPr>
                <w:rFonts w:ascii="宋体" w:eastAsia="宋体" w:hAnsi="宋体" w:cs="宋体"/>
                <w:sz w:val="17"/>
                <w:szCs w:val="17"/>
              </w:rPr>
            </w:pPr>
            <w:r>
              <w:rPr>
                <w:rFonts w:ascii="宋体" w:eastAsia="宋体" w:hAnsi="宋体" w:cs="宋体"/>
                <w:spacing w:val="-1"/>
                <w:sz w:val="17"/>
                <w:szCs w:val="17"/>
              </w:rPr>
              <w:t>WHO</w:t>
            </w:r>
          </w:p>
        </w:tc>
        <w:tc>
          <w:tcPr>
            <w:tcW w:w="973" w:type="dxa"/>
            <w:tcBorders>
              <w:top w:val="single" w:sz="4" w:space="0" w:color="000000"/>
              <w:bottom w:val="single" w:sz="4" w:space="0" w:color="000000"/>
            </w:tcBorders>
          </w:tcPr>
          <w:p w:rsidR="00EA40A3" w:rsidRDefault="00EA40A3">
            <w:pPr>
              <w:spacing w:line="325" w:lineRule="auto"/>
            </w:pPr>
          </w:p>
          <w:p w:rsidR="00EA40A3" w:rsidRDefault="00E86C16">
            <w:pPr>
              <w:spacing w:before="55" w:line="184" w:lineRule="auto"/>
              <w:ind w:left="310"/>
              <w:rPr>
                <w:rFonts w:ascii="宋体" w:eastAsia="宋体" w:hAnsi="宋体" w:cs="宋体"/>
                <w:sz w:val="17"/>
                <w:szCs w:val="17"/>
              </w:rPr>
            </w:pPr>
            <w:r>
              <w:rPr>
                <w:rFonts w:ascii="宋体" w:eastAsia="宋体" w:hAnsi="宋体" w:cs="宋体"/>
                <w:spacing w:val="-4"/>
                <w:sz w:val="17"/>
                <w:szCs w:val="17"/>
              </w:rPr>
              <w:t>1992</w:t>
            </w:r>
          </w:p>
          <w:p w:rsidR="00EA40A3" w:rsidRDefault="00E86C16">
            <w:pPr>
              <w:spacing w:before="90" w:line="184" w:lineRule="auto"/>
              <w:ind w:left="310"/>
              <w:rPr>
                <w:rFonts w:ascii="宋体" w:eastAsia="宋体" w:hAnsi="宋体" w:cs="宋体"/>
                <w:sz w:val="17"/>
                <w:szCs w:val="17"/>
              </w:rPr>
            </w:pPr>
            <w:r>
              <w:rPr>
                <w:rFonts w:ascii="宋体" w:eastAsia="宋体" w:hAnsi="宋体" w:cs="宋体"/>
                <w:spacing w:val="-4"/>
                <w:sz w:val="17"/>
                <w:szCs w:val="17"/>
              </w:rPr>
              <w:t>1992</w:t>
            </w:r>
          </w:p>
          <w:p w:rsidR="00EA40A3" w:rsidRDefault="00EA40A3">
            <w:pPr>
              <w:spacing w:line="283" w:lineRule="auto"/>
            </w:pPr>
          </w:p>
          <w:p w:rsidR="00EA40A3" w:rsidRDefault="00E86C16">
            <w:pPr>
              <w:spacing w:before="55" w:line="184" w:lineRule="auto"/>
              <w:ind w:left="310"/>
              <w:rPr>
                <w:rFonts w:ascii="宋体" w:eastAsia="宋体" w:hAnsi="宋体" w:cs="宋体"/>
                <w:sz w:val="17"/>
                <w:szCs w:val="17"/>
              </w:rPr>
            </w:pPr>
            <w:r>
              <w:rPr>
                <w:rFonts w:ascii="宋体" w:eastAsia="宋体" w:hAnsi="宋体" w:cs="宋体"/>
                <w:spacing w:val="-4"/>
                <w:sz w:val="17"/>
                <w:szCs w:val="17"/>
              </w:rPr>
              <w:t>1995</w:t>
            </w:r>
          </w:p>
          <w:p w:rsidR="00EA40A3" w:rsidRDefault="00E86C16">
            <w:pPr>
              <w:spacing w:before="80" w:line="184" w:lineRule="auto"/>
              <w:ind w:left="310"/>
              <w:rPr>
                <w:rFonts w:ascii="宋体" w:eastAsia="宋体" w:hAnsi="宋体" w:cs="宋体"/>
                <w:sz w:val="17"/>
                <w:szCs w:val="17"/>
              </w:rPr>
            </w:pPr>
            <w:r>
              <w:rPr>
                <w:rFonts w:ascii="宋体" w:eastAsia="宋体" w:hAnsi="宋体" w:cs="宋体"/>
                <w:spacing w:val="-4"/>
                <w:sz w:val="17"/>
                <w:szCs w:val="17"/>
              </w:rPr>
              <w:t>1990</w:t>
            </w:r>
          </w:p>
          <w:p w:rsidR="00EA40A3" w:rsidRDefault="00E86C16">
            <w:pPr>
              <w:spacing w:before="121" w:line="184" w:lineRule="auto"/>
              <w:ind w:left="310"/>
              <w:rPr>
                <w:rFonts w:ascii="宋体" w:eastAsia="宋体" w:hAnsi="宋体" w:cs="宋体"/>
                <w:sz w:val="17"/>
                <w:szCs w:val="17"/>
              </w:rPr>
            </w:pPr>
            <w:r>
              <w:rPr>
                <w:rFonts w:ascii="宋体" w:eastAsia="宋体" w:hAnsi="宋体" w:cs="宋体"/>
                <w:spacing w:val="-4"/>
                <w:sz w:val="17"/>
                <w:szCs w:val="17"/>
              </w:rPr>
              <w:t>1993</w:t>
            </w:r>
          </w:p>
          <w:p w:rsidR="00EA40A3" w:rsidRDefault="00E86C16">
            <w:pPr>
              <w:spacing w:before="81" w:line="134" w:lineRule="exact"/>
              <w:ind w:left="310"/>
              <w:rPr>
                <w:rFonts w:ascii="宋体" w:eastAsia="宋体" w:hAnsi="宋体" w:cs="宋体"/>
                <w:sz w:val="17"/>
                <w:szCs w:val="17"/>
              </w:rPr>
            </w:pPr>
            <w:r>
              <w:rPr>
                <w:rFonts w:ascii="宋体" w:eastAsia="宋体" w:hAnsi="宋体" w:cs="宋体"/>
                <w:spacing w:val="-4"/>
                <w:position w:val="-2"/>
                <w:sz w:val="17"/>
                <w:szCs w:val="17"/>
              </w:rPr>
              <w:t>1998</w:t>
            </w:r>
          </w:p>
        </w:tc>
        <w:tc>
          <w:tcPr>
            <w:tcW w:w="1672" w:type="dxa"/>
            <w:tcBorders>
              <w:top w:val="single" w:sz="4" w:space="0" w:color="000000"/>
              <w:bottom w:val="single" w:sz="4" w:space="0" w:color="000000"/>
            </w:tcBorders>
          </w:tcPr>
          <w:p w:rsidR="00EA40A3" w:rsidRDefault="00EA40A3">
            <w:pPr>
              <w:spacing w:line="326" w:lineRule="auto"/>
            </w:pPr>
          </w:p>
          <w:p w:rsidR="00EA40A3" w:rsidRDefault="00E86C16">
            <w:pPr>
              <w:spacing w:before="55" w:line="183" w:lineRule="auto"/>
              <w:ind w:left="677"/>
              <w:rPr>
                <w:rFonts w:ascii="宋体" w:eastAsia="宋体" w:hAnsi="宋体" w:cs="宋体"/>
                <w:sz w:val="17"/>
                <w:szCs w:val="17"/>
              </w:rPr>
            </w:pPr>
            <w:r>
              <w:rPr>
                <w:rFonts w:ascii="宋体" w:eastAsia="宋体" w:hAnsi="宋体" w:cs="宋体"/>
                <w:spacing w:val="-3"/>
                <w:sz w:val="17"/>
                <w:szCs w:val="17"/>
              </w:rPr>
              <w:t>50%</w:t>
            </w:r>
          </w:p>
          <w:p w:rsidR="00EA40A3" w:rsidRDefault="00E86C16">
            <w:pPr>
              <w:spacing w:before="64"/>
              <w:ind w:left="587"/>
              <w:rPr>
                <w:rFonts w:ascii="宋体" w:eastAsia="宋体" w:hAnsi="宋体" w:cs="宋体"/>
                <w:sz w:val="17"/>
                <w:szCs w:val="17"/>
              </w:rPr>
            </w:pPr>
            <w:r>
              <w:rPr>
                <w:rFonts w:ascii="宋体" w:eastAsia="宋体" w:hAnsi="宋体" w:cs="宋体"/>
                <w:spacing w:val="-5"/>
                <w:sz w:val="17"/>
                <w:szCs w:val="17"/>
              </w:rPr>
              <w:t>&gt;</w:t>
            </w:r>
            <w:r>
              <w:rPr>
                <w:rFonts w:ascii="宋体" w:eastAsia="宋体" w:hAnsi="宋体" w:cs="宋体"/>
                <w:spacing w:val="31"/>
                <w:sz w:val="17"/>
                <w:szCs w:val="17"/>
              </w:rPr>
              <w:t xml:space="preserve"> </w:t>
            </w:r>
            <w:r>
              <w:rPr>
                <w:rFonts w:ascii="宋体" w:eastAsia="宋体" w:hAnsi="宋体" w:cs="宋体"/>
                <w:spacing w:val="-5"/>
                <w:sz w:val="17"/>
                <w:szCs w:val="17"/>
              </w:rPr>
              <w:t>55%</w:t>
            </w:r>
          </w:p>
          <w:p w:rsidR="00EA40A3" w:rsidRDefault="00E86C16">
            <w:pPr>
              <w:spacing w:before="38"/>
              <w:ind w:left="637"/>
              <w:rPr>
                <w:rFonts w:ascii="宋体" w:eastAsia="宋体" w:hAnsi="宋体" w:cs="宋体"/>
                <w:sz w:val="17"/>
                <w:szCs w:val="17"/>
              </w:rPr>
            </w:pPr>
            <w:r>
              <w:rPr>
                <w:rFonts w:ascii="宋体" w:eastAsia="宋体" w:hAnsi="宋体" w:cs="宋体"/>
                <w:spacing w:val="-3"/>
                <w:sz w:val="17"/>
                <w:szCs w:val="17"/>
              </w:rPr>
              <w:t>&gt;55%</w:t>
            </w:r>
          </w:p>
          <w:p w:rsidR="00EA40A3" w:rsidRDefault="00E86C16">
            <w:pPr>
              <w:spacing w:before="56" w:line="183" w:lineRule="auto"/>
              <w:ind w:left="457"/>
              <w:rPr>
                <w:rFonts w:ascii="宋体" w:eastAsia="宋体" w:hAnsi="宋体" w:cs="宋体"/>
                <w:sz w:val="17"/>
                <w:szCs w:val="17"/>
              </w:rPr>
            </w:pPr>
            <w:r>
              <w:rPr>
                <w:rFonts w:ascii="宋体" w:eastAsia="宋体" w:hAnsi="宋体" w:cs="宋体"/>
                <w:spacing w:val="-2"/>
                <w:sz w:val="17"/>
                <w:szCs w:val="17"/>
              </w:rPr>
              <w:t>50%～55%</w:t>
            </w:r>
          </w:p>
          <w:p w:rsidR="00EA40A3" w:rsidRDefault="00E86C16">
            <w:pPr>
              <w:spacing w:before="81" w:line="183" w:lineRule="auto"/>
              <w:ind w:left="457"/>
              <w:rPr>
                <w:rFonts w:ascii="宋体" w:eastAsia="宋体" w:hAnsi="宋体" w:cs="宋体"/>
                <w:sz w:val="17"/>
                <w:szCs w:val="17"/>
              </w:rPr>
            </w:pPr>
            <w:r>
              <w:rPr>
                <w:rFonts w:ascii="宋体" w:eastAsia="宋体" w:hAnsi="宋体" w:cs="宋体"/>
                <w:spacing w:val="-1"/>
                <w:sz w:val="17"/>
                <w:szCs w:val="17"/>
              </w:rPr>
              <w:t>60%～65%</w:t>
            </w:r>
          </w:p>
          <w:p w:rsidR="00EA40A3" w:rsidRDefault="00E86C16">
            <w:pPr>
              <w:spacing w:before="112" w:line="230" w:lineRule="exact"/>
              <w:ind w:left="666"/>
              <w:rPr>
                <w:rFonts w:ascii="宋体" w:eastAsia="宋体" w:hAnsi="宋体" w:cs="宋体"/>
                <w:sz w:val="17"/>
                <w:szCs w:val="17"/>
              </w:rPr>
            </w:pPr>
            <w:r>
              <w:rPr>
                <w:rFonts w:ascii="宋体" w:eastAsia="宋体" w:hAnsi="宋体" w:cs="宋体"/>
                <w:spacing w:val="-3"/>
                <w:position w:val="7"/>
                <w:sz w:val="17"/>
                <w:szCs w:val="17"/>
              </w:rPr>
              <w:t>55%</w:t>
            </w:r>
          </w:p>
          <w:p w:rsidR="00EA40A3" w:rsidRDefault="00E86C16">
            <w:pPr>
              <w:spacing w:line="177" w:lineRule="auto"/>
              <w:ind w:left="666"/>
              <w:rPr>
                <w:rFonts w:ascii="宋体" w:eastAsia="宋体" w:hAnsi="宋体" w:cs="宋体"/>
                <w:sz w:val="17"/>
                <w:szCs w:val="17"/>
              </w:rPr>
            </w:pPr>
            <w:r>
              <w:rPr>
                <w:rFonts w:ascii="宋体" w:eastAsia="宋体" w:hAnsi="宋体" w:cs="宋体"/>
                <w:spacing w:val="-3"/>
                <w:sz w:val="17"/>
                <w:szCs w:val="17"/>
              </w:rPr>
              <w:t>55%</w:t>
            </w:r>
          </w:p>
        </w:tc>
        <w:tc>
          <w:tcPr>
            <w:tcW w:w="875" w:type="dxa"/>
            <w:tcBorders>
              <w:top w:val="single" w:sz="4" w:space="0" w:color="000000"/>
              <w:bottom w:val="single" w:sz="4" w:space="0" w:color="000000"/>
            </w:tcBorders>
          </w:tcPr>
          <w:p w:rsidR="00EA40A3" w:rsidRDefault="00E86C16">
            <w:pPr>
              <w:spacing w:before="100" w:line="245" w:lineRule="auto"/>
              <w:ind w:left="145" w:right="142" w:firstLine="130"/>
              <w:rPr>
                <w:rFonts w:ascii="宋体" w:eastAsia="宋体" w:hAnsi="宋体" w:cs="宋体"/>
                <w:sz w:val="17"/>
                <w:szCs w:val="17"/>
              </w:rPr>
            </w:pPr>
            <w:r>
              <w:rPr>
                <w:rFonts w:ascii="宋体" w:eastAsia="宋体" w:hAnsi="宋体" w:cs="宋体"/>
                <w:spacing w:val="-3"/>
                <w:sz w:val="17"/>
                <w:szCs w:val="17"/>
              </w:rPr>
              <w:t>350g</w:t>
            </w:r>
            <w:r>
              <w:rPr>
                <w:rFonts w:ascii="宋体" w:eastAsia="宋体" w:hAnsi="宋体" w:cs="宋体"/>
                <w:sz w:val="17"/>
                <w:szCs w:val="17"/>
              </w:rPr>
              <w:t xml:space="preserve">  </w:t>
            </w:r>
            <w:r>
              <w:rPr>
                <w:rFonts w:ascii="宋体" w:eastAsia="宋体" w:hAnsi="宋体" w:cs="宋体"/>
                <w:spacing w:val="-2"/>
                <w:sz w:val="17"/>
                <w:szCs w:val="17"/>
              </w:rPr>
              <w:t>6～11份</w:t>
            </w:r>
          </w:p>
        </w:tc>
        <w:tc>
          <w:tcPr>
            <w:tcW w:w="1450" w:type="dxa"/>
            <w:tcBorders>
              <w:top w:val="single" w:sz="4" w:space="0" w:color="000000"/>
              <w:bottom w:val="single" w:sz="4" w:space="0" w:color="000000"/>
            </w:tcBorders>
          </w:tcPr>
          <w:p w:rsidR="00EA40A3" w:rsidRDefault="00E86C16">
            <w:pPr>
              <w:spacing w:before="111" w:line="238" w:lineRule="exact"/>
              <w:ind w:left="530"/>
              <w:rPr>
                <w:rFonts w:ascii="宋体" w:eastAsia="宋体" w:hAnsi="宋体" w:cs="宋体"/>
                <w:sz w:val="17"/>
                <w:szCs w:val="17"/>
              </w:rPr>
            </w:pPr>
            <w:r>
              <w:rPr>
                <w:rFonts w:ascii="宋体" w:eastAsia="宋体" w:hAnsi="宋体" w:cs="宋体"/>
                <w:spacing w:val="-2"/>
                <w:position w:val="7"/>
                <w:sz w:val="17"/>
                <w:szCs w:val="17"/>
              </w:rPr>
              <w:t>450g</w:t>
            </w:r>
          </w:p>
          <w:p w:rsidR="00EA40A3" w:rsidRDefault="00E86C16">
            <w:pPr>
              <w:spacing w:line="219" w:lineRule="auto"/>
              <w:ind w:left="449"/>
              <w:rPr>
                <w:rFonts w:ascii="宋体" w:eastAsia="宋体" w:hAnsi="宋体" w:cs="宋体"/>
                <w:sz w:val="17"/>
                <w:szCs w:val="17"/>
              </w:rPr>
            </w:pPr>
            <w:r>
              <w:rPr>
                <w:rFonts w:ascii="宋体" w:eastAsia="宋体" w:hAnsi="宋体" w:cs="宋体"/>
                <w:spacing w:val="-2"/>
                <w:sz w:val="17"/>
                <w:szCs w:val="17"/>
              </w:rPr>
              <w:t>3～5份</w:t>
            </w:r>
          </w:p>
        </w:tc>
        <w:tc>
          <w:tcPr>
            <w:tcW w:w="920" w:type="dxa"/>
            <w:tcBorders>
              <w:top w:val="single" w:sz="4" w:space="0" w:color="000000"/>
              <w:bottom w:val="single" w:sz="4" w:space="0" w:color="000000"/>
            </w:tcBorders>
          </w:tcPr>
          <w:p w:rsidR="00EA40A3" w:rsidRDefault="00E86C16">
            <w:pPr>
              <w:spacing w:before="101" w:line="250" w:lineRule="exact"/>
              <w:ind w:left="200"/>
              <w:rPr>
                <w:rFonts w:ascii="宋体" w:eastAsia="宋体" w:hAnsi="宋体" w:cs="宋体"/>
                <w:sz w:val="17"/>
                <w:szCs w:val="17"/>
              </w:rPr>
            </w:pPr>
            <w:r>
              <w:rPr>
                <w:rFonts w:ascii="宋体" w:eastAsia="宋体" w:hAnsi="宋体" w:cs="宋体"/>
                <w:spacing w:val="-3"/>
                <w:position w:val="8"/>
                <w:sz w:val="17"/>
                <w:szCs w:val="17"/>
              </w:rPr>
              <w:t>50g</w:t>
            </w:r>
          </w:p>
          <w:p w:rsidR="00EA40A3" w:rsidRDefault="00E86C16">
            <w:pPr>
              <w:spacing w:line="221" w:lineRule="auto"/>
              <w:ind w:left="200"/>
              <w:rPr>
                <w:rFonts w:ascii="宋体" w:eastAsia="宋体" w:hAnsi="宋体" w:cs="宋体"/>
                <w:sz w:val="17"/>
                <w:szCs w:val="17"/>
              </w:rPr>
            </w:pPr>
            <w:r>
              <w:rPr>
                <w:rFonts w:ascii="宋体" w:eastAsia="宋体" w:hAnsi="宋体" w:cs="宋体"/>
                <w:spacing w:val="-2"/>
                <w:sz w:val="17"/>
                <w:szCs w:val="17"/>
              </w:rPr>
              <w:t>少量</w:t>
            </w:r>
          </w:p>
        </w:tc>
      </w:tr>
    </w:tbl>
    <w:p w:rsidR="00EA40A3" w:rsidRDefault="00E86C16">
      <w:pPr>
        <w:spacing w:before="90" w:line="219" w:lineRule="auto"/>
        <w:ind w:left="379"/>
        <w:rPr>
          <w:rFonts w:ascii="宋体" w:eastAsia="宋体" w:hAnsi="宋体" w:cs="宋体"/>
          <w:sz w:val="17"/>
          <w:szCs w:val="17"/>
        </w:rPr>
      </w:pPr>
      <w:r>
        <w:rPr>
          <w:rFonts w:ascii="宋体" w:eastAsia="宋体" w:hAnsi="宋体" w:cs="宋体"/>
          <w:spacing w:val="-12"/>
          <w:sz w:val="17"/>
          <w:szCs w:val="17"/>
        </w:rPr>
        <w:t>资料来源：中国营养学会.2000.中国居民膳食营养素参考摄入量.北京：中国轻工业出版社</w:t>
      </w:r>
    </w:p>
    <w:p w:rsidR="00EA40A3" w:rsidRDefault="00EA40A3">
      <w:pPr>
        <w:spacing w:line="316" w:lineRule="auto"/>
      </w:pPr>
    </w:p>
    <w:p w:rsidR="00EA40A3" w:rsidRDefault="00E86C16">
      <w:pPr>
        <w:spacing w:before="71" w:line="244" w:lineRule="auto"/>
        <w:ind w:right="130" w:firstLine="379"/>
        <w:jc w:val="both"/>
        <w:rPr>
          <w:rFonts w:ascii="宋体" w:eastAsia="宋体" w:hAnsi="宋体" w:cs="宋体"/>
          <w:sz w:val="22"/>
          <w:szCs w:val="22"/>
        </w:rPr>
      </w:pPr>
      <w:r>
        <w:rPr>
          <w:rFonts w:ascii="宋体" w:eastAsia="宋体" w:hAnsi="宋体" w:cs="宋体"/>
          <w:spacing w:val="-6"/>
          <w:sz w:val="22"/>
          <w:szCs w:val="22"/>
        </w:rPr>
        <w:t>我国2000年制定的膳食碳水化合物的适宜摄入量</w:t>
      </w:r>
      <w:r>
        <w:rPr>
          <w:rFonts w:ascii="宋体" w:eastAsia="宋体" w:hAnsi="宋体" w:cs="宋体"/>
          <w:spacing w:val="-19"/>
          <w:sz w:val="22"/>
          <w:szCs w:val="22"/>
        </w:rPr>
        <w:t xml:space="preserve"> </w:t>
      </w:r>
      <w:r>
        <w:rPr>
          <w:rFonts w:ascii="宋体" w:eastAsia="宋体" w:hAnsi="宋体" w:cs="宋体"/>
          <w:spacing w:val="-6"/>
          <w:sz w:val="22"/>
          <w:szCs w:val="22"/>
        </w:rPr>
        <w:t>(AI)</w:t>
      </w:r>
      <w:r>
        <w:rPr>
          <w:rFonts w:ascii="宋体" w:eastAsia="宋体" w:hAnsi="宋体" w:cs="宋体"/>
          <w:spacing w:val="37"/>
          <w:sz w:val="22"/>
          <w:szCs w:val="22"/>
        </w:rPr>
        <w:t xml:space="preserve"> </w:t>
      </w:r>
      <w:r>
        <w:rPr>
          <w:rFonts w:ascii="宋体" w:eastAsia="宋体" w:hAnsi="宋体" w:cs="宋体"/>
          <w:spacing w:val="-7"/>
          <w:sz w:val="22"/>
          <w:szCs w:val="22"/>
        </w:rPr>
        <w:t>为占膳食所提供能</w:t>
      </w:r>
      <w:r>
        <w:rPr>
          <w:rFonts w:ascii="宋体" w:eastAsia="宋体" w:hAnsi="宋体" w:cs="宋体"/>
          <w:sz w:val="22"/>
          <w:szCs w:val="22"/>
        </w:rPr>
        <w:t xml:space="preserve"> </w:t>
      </w:r>
      <w:r>
        <w:rPr>
          <w:rFonts w:ascii="宋体" w:eastAsia="宋体" w:hAnsi="宋体" w:cs="宋体"/>
          <w:spacing w:val="3"/>
          <w:sz w:val="22"/>
          <w:szCs w:val="22"/>
        </w:rPr>
        <w:t>量的55%～65%,这些碳水化合物应包括淀粉、非淀粉多糖和低聚糖等。还应</w:t>
      </w:r>
      <w:r>
        <w:rPr>
          <w:rFonts w:ascii="宋体" w:eastAsia="宋体" w:hAnsi="宋体" w:cs="宋体"/>
          <w:sz w:val="22"/>
          <w:szCs w:val="22"/>
        </w:rPr>
        <w:t xml:space="preserve"> </w:t>
      </w:r>
      <w:r>
        <w:rPr>
          <w:rFonts w:ascii="宋体" w:eastAsia="宋体" w:hAnsi="宋体" w:cs="宋体"/>
          <w:spacing w:val="-13"/>
          <w:sz w:val="22"/>
          <w:szCs w:val="22"/>
        </w:rPr>
        <w:t>限制纯能量食物如糖的摄入量，提倡摄入含营养素多的多糖食物，以保证人体对</w:t>
      </w:r>
      <w:r>
        <w:rPr>
          <w:rFonts w:ascii="宋体" w:eastAsia="宋体" w:hAnsi="宋体" w:cs="宋体"/>
          <w:spacing w:val="12"/>
          <w:sz w:val="22"/>
          <w:szCs w:val="22"/>
        </w:rPr>
        <w:t xml:space="preserve"> </w:t>
      </w:r>
      <w:r>
        <w:rPr>
          <w:rFonts w:ascii="宋体" w:eastAsia="宋体" w:hAnsi="宋体" w:cs="宋体"/>
          <w:spacing w:val="-13"/>
          <w:sz w:val="22"/>
          <w:szCs w:val="22"/>
        </w:rPr>
        <w:t>能量和营养素的双重需要。</w:t>
      </w:r>
    </w:p>
    <w:p w:rsidR="00EA40A3" w:rsidRDefault="00E86C16">
      <w:pPr>
        <w:spacing w:before="235" w:line="221"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23"/>
          <w:sz w:val="22"/>
          <w:szCs w:val="22"/>
        </w:rPr>
        <w:t xml:space="preserve"> </w:t>
      </w:r>
      <w:r>
        <w:rPr>
          <w:rFonts w:ascii="仿宋" w:eastAsia="仿宋" w:hAnsi="仿宋" w:cs="仿宋"/>
          <w:spacing w:val="10"/>
          <w:sz w:val="22"/>
          <w:szCs w:val="22"/>
        </w:rPr>
        <w:t>主要食物来源</w:t>
      </w:r>
    </w:p>
    <w:p w:rsidR="00EA40A3" w:rsidRDefault="00E86C16">
      <w:pPr>
        <w:spacing w:before="189" w:line="244" w:lineRule="auto"/>
        <w:ind w:right="127" w:firstLine="379"/>
        <w:jc w:val="both"/>
        <w:rPr>
          <w:rFonts w:ascii="宋体" w:eastAsia="宋体" w:hAnsi="宋体" w:cs="宋体"/>
          <w:sz w:val="22"/>
          <w:szCs w:val="22"/>
        </w:rPr>
      </w:pPr>
      <w:r>
        <w:rPr>
          <w:rFonts w:ascii="宋体" w:eastAsia="宋体" w:hAnsi="宋体" w:cs="宋体"/>
          <w:spacing w:val="-13"/>
          <w:sz w:val="22"/>
          <w:szCs w:val="22"/>
        </w:rPr>
        <w:t>膳食中碳水化合物主要是淀粉类多糖，多存在于植物性食品中。重要的食物</w:t>
      </w:r>
      <w:r>
        <w:rPr>
          <w:rFonts w:ascii="宋体" w:eastAsia="宋体" w:hAnsi="宋体" w:cs="宋体"/>
          <w:spacing w:val="8"/>
          <w:sz w:val="22"/>
          <w:szCs w:val="22"/>
        </w:rPr>
        <w:t xml:space="preserve"> </w:t>
      </w:r>
      <w:r>
        <w:rPr>
          <w:rFonts w:ascii="宋体" w:eastAsia="宋体" w:hAnsi="宋体" w:cs="宋体"/>
          <w:spacing w:val="18"/>
          <w:sz w:val="22"/>
          <w:szCs w:val="22"/>
        </w:rPr>
        <w:t>来源是粮谷类(60%～80%)、薯类(15%～29%)、豆类(40%～60%),水果</w:t>
      </w:r>
      <w:r>
        <w:rPr>
          <w:rFonts w:ascii="宋体" w:eastAsia="宋体" w:hAnsi="宋体" w:cs="宋体"/>
          <w:spacing w:val="15"/>
          <w:sz w:val="22"/>
          <w:szCs w:val="22"/>
        </w:rPr>
        <w:t xml:space="preserve"> </w:t>
      </w:r>
      <w:r>
        <w:rPr>
          <w:rFonts w:ascii="宋体" w:eastAsia="宋体" w:hAnsi="宋体" w:cs="宋体"/>
          <w:spacing w:val="-11"/>
          <w:sz w:val="22"/>
          <w:szCs w:val="22"/>
        </w:rPr>
        <w:t>中的坚果类(栗子等)含淀粉较高，</w:t>
      </w:r>
      <w:r>
        <w:rPr>
          <w:rFonts w:ascii="宋体" w:eastAsia="宋体" w:hAnsi="宋体" w:cs="宋体"/>
          <w:spacing w:val="56"/>
          <w:sz w:val="22"/>
          <w:szCs w:val="22"/>
        </w:rPr>
        <w:t xml:space="preserve"> </w:t>
      </w:r>
      <w:r>
        <w:rPr>
          <w:rFonts w:ascii="宋体" w:eastAsia="宋体" w:hAnsi="宋体" w:cs="宋体"/>
          <w:spacing w:val="-11"/>
          <w:sz w:val="22"/>
          <w:szCs w:val="22"/>
        </w:rPr>
        <w:t>一般蔬菜、水果除含有一定量的单糖</w:t>
      </w:r>
      <w:r>
        <w:rPr>
          <w:rFonts w:ascii="宋体" w:eastAsia="宋体" w:hAnsi="宋体" w:cs="宋体"/>
          <w:spacing w:val="-12"/>
          <w:sz w:val="22"/>
          <w:szCs w:val="22"/>
        </w:rPr>
        <w:t>、双糖</w:t>
      </w:r>
      <w:r>
        <w:rPr>
          <w:rFonts w:ascii="宋体" w:eastAsia="宋体" w:hAnsi="宋体" w:cs="宋体"/>
          <w:sz w:val="22"/>
          <w:szCs w:val="22"/>
        </w:rPr>
        <w:t xml:space="preserve"> </w:t>
      </w:r>
      <w:r>
        <w:rPr>
          <w:rFonts w:ascii="宋体" w:eastAsia="宋体" w:hAnsi="宋体" w:cs="宋体"/>
          <w:spacing w:val="-13"/>
          <w:sz w:val="22"/>
          <w:szCs w:val="22"/>
        </w:rPr>
        <w:t>外，还含有纤维素和果胶。</w:t>
      </w:r>
    </w:p>
    <w:p w:rsidR="00EA40A3" w:rsidRDefault="00E86C16">
      <w:pPr>
        <w:spacing w:before="100" w:line="237" w:lineRule="auto"/>
        <w:ind w:right="129" w:firstLine="379"/>
        <w:jc w:val="both"/>
        <w:rPr>
          <w:rFonts w:ascii="宋体" w:eastAsia="宋体" w:hAnsi="宋体" w:cs="宋体"/>
          <w:sz w:val="22"/>
          <w:szCs w:val="22"/>
        </w:rPr>
      </w:pPr>
      <w:r>
        <w:rPr>
          <w:rFonts w:ascii="宋体" w:eastAsia="宋体" w:hAnsi="宋体" w:cs="宋体"/>
          <w:spacing w:val="-13"/>
          <w:sz w:val="22"/>
          <w:szCs w:val="22"/>
        </w:rPr>
        <w:t>食用糖或纯糖制品被摄取后迅速吸收，但其营养密度较低，且易于以脂肪形</w:t>
      </w:r>
      <w:r>
        <w:rPr>
          <w:rFonts w:ascii="宋体" w:eastAsia="宋体" w:hAnsi="宋体" w:cs="宋体"/>
          <w:spacing w:val="7"/>
          <w:sz w:val="22"/>
          <w:szCs w:val="22"/>
        </w:rPr>
        <w:t xml:space="preserve"> </w:t>
      </w:r>
      <w:r>
        <w:rPr>
          <w:rFonts w:ascii="宋体" w:eastAsia="宋体" w:hAnsi="宋体" w:cs="宋体"/>
          <w:spacing w:val="-7"/>
          <w:sz w:val="22"/>
          <w:szCs w:val="22"/>
        </w:rPr>
        <w:t>式储存，</w:t>
      </w:r>
      <w:r>
        <w:rPr>
          <w:rFonts w:ascii="宋体" w:eastAsia="宋体" w:hAnsi="宋体" w:cs="宋体"/>
          <w:spacing w:val="24"/>
          <w:sz w:val="22"/>
          <w:szCs w:val="22"/>
        </w:rPr>
        <w:t xml:space="preserve"> </w:t>
      </w:r>
      <w:r>
        <w:rPr>
          <w:rFonts w:ascii="宋体" w:eastAsia="宋体" w:hAnsi="宋体" w:cs="宋体"/>
          <w:spacing w:val="-7"/>
          <w:sz w:val="22"/>
          <w:szCs w:val="22"/>
        </w:rPr>
        <w:t>一般认为摄入量不易过多，占能量10%以下。而粮谷类、薯类、根茎</w:t>
      </w:r>
      <w:r>
        <w:rPr>
          <w:rFonts w:ascii="宋体" w:eastAsia="宋体" w:hAnsi="宋体" w:cs="宋体"/>
          <w:sz w:val="22"/>
          <w:szCs w:val="22"/>
        </w:rPr>
        <w:t xml:space="preserve"> </w:t>
      </w:r>
      <w:r>
        <w:rPr>
          <w:rFonts w:ascii="宋体" w:eastAsia="宋体" w:hAnsi="宋体" w:cs="宋体"/>
          <w:spacing w:val="-13"/>
          <w:sz w:val="22"/>
          <w:szCs w:val="22"/>
        </w:rPr>
        <w:t>类，除含淀粉外还含蛋白质、维生素、矿物质和较多的食物纤维，是碳水化合物</w:t>
      </w:r>
      <w:r>
        <w:rPr>
          <w:rFonts w:ascii="宋体" w:eastAsia="宋体" w:hAnsi="宋体" w:cs="宋体"/>
          <w:spacing w:val="14"/>
          <w:sz w:val="22"/>
          <w:szCs w:val="22"/>
        </w:rPr>
        <w:t xml:space="preserve"> </w:t>
      </w:r>
      <w:r>
        <w:rPr>
          <w:rFonts w:ascii="宋体" w:eastAsia="宋体" w:hAnsi="宋体" w:cs="宋体"/>
          <w:spacing w:val="-19"/>
          <w:sz w:val="22"/>
          <w:szCs w:val="22"/>
        </w:rPr>
        <w:t>良好的食物来源。</w:t>
      </w:r>
    </w:p>
    <w:p w:rsidR="00EA40A3" w:rsidRDefault="00E86C16">
      <w:pPr>
        <w:spacing w:before="237" w:line="222" w:lineRule="auto"/>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36"/>
          <w:sz w:val="22"/>
          <w:szCs w:val="22"/>
        </w:rPr>
        <w:t xml:space="preserve"> </w:t>
      </w:r>
      <w:r>
        <w:rPr>
          <w:rFonts w:ascii="仿宋" w:eastAsia="仿宋" w:hAnsi="仿宋" w:cs="仿宋"/>
          <w:spacing w:val="8"/>
          <w:sz w:val="22"/>
          <w:szCs w:val="22"/>
        </w:rPr>
        <w:t>血糖指数</w:t>
      </w:r>
    </w:p>
    <w:p w:rsidR="00EA40A3" w:rsidRDefault="00E86C16">
      <w:pPr>
        <w:spacing w:before="212" w:line="248" w:lineRule="auto"/>
        <w:ind w:right="130" w:firstLine="379"/>
        <w:jc w:val="both"/>
        <w:rPr>
          <w:rFonts w:ascii="宋体" w:eastAsia="宋体" w:hAnsi="宋体" w:cs="宋体"/>
          <w:sz w:val="22"/>
          <w:szCs w:val="22"/>
        </w:rPr>
      </w:pPr>
      <w:r>
        <w:rPr>
          <w:rFonts w:ascii="宋体" w:eastAsia="宋体" w:hAnsi="宋体" w:cs="宋体"/>
          <w:spacing w:val="-5"/>
          <w:sz w:val="22"/>
          <w:szCs w:val="22"/>
        </w:rPr>
        <w:t>食物的血糖生成指数</w:t>
      </w:r>
      <w:r>
        <w:rPr>
          <w:rFonts w:ascii="宋体" w:eastAsia="宋体" w:hAnsi="宋体" w:cs="宋体"/>
          <w:spacing w:val="-20"/>
          <w:sz w:val="22"/>
          <w:szCs w:val="22"/>
        </w:rPr>
        <w:t xml:space="preserve"> </w:t>
      </w:r>
      <w:r>
        <w:rPr>
          <w:rFonts w:ascii="宋体" w:eastAsia="宋体" w:hAnsi="宋体" w:cs="宋体"/>
          <w:spacing w:val="-5"/>
          <w:sz w:val="22"/>
          <w:szCs w:val="22"/>
        </w:rPr>
        <w:t>(glycemic</w:t>
      </w:r>
      <w:r>
        <w:rPr>
          <w:rFonts w:ascii="宋体" w:eastAsia="宋体" w:hAnsi="宋体" w:cs="宋体"/>
          <w:spacing w:val="23"/>
          <w:sz w:val="22"/>
          <w:szCs w:val="22"/>
        </w:rPr>
        <w:t xml:space="preserve"> </w:t>
      </w:r>
      <w:r>
        <w:rPr>
          <w:rFonts w:ascii="宋体" w:eastAsia="宋体" w:hAnsi="宋体" w:cs="宋体"/>
          <w:spacing w:val="-5"/>
          <w:sz w:val="22"/>
          <w:szCs w:val="22"/>
        </w:rPr>
        <w:t>index,GI)是反应食物类型和碳水</w:t>
      </w:r>
      <w:r>
        <w:rPr>
          <w:rFonts w:ascii="宋体" w:eastAsia="宋体" w:hAnsi="宋体" w:cs="宋体"/>
          <w:spacing w:val="-6"/>
          <w:sz w:val="22"/>
          <w:szCs w:val="22"/>
        </w:rPr>
        <w:t>化合物</w:t>
      </w:r>
      <w:r>
        <w:rPr>
          <w:rFonts w:ascii="宋体" w:eastAsia="宋体" w:hAnsi="宋体" w:cs="宋体"/>
          <w:sz w:val="22"/>
          <w:szCs w:val="22"/>
        </w:rPr>
        <w:t xml:space="preserve"> </w:t>
      </w:r>
      <w:r>
        <w:rPr>
          <w:rFonts w:ascii="宋体" w:eastAsia="宋体" w:hAnsi="宋体" w:cs="宋体"/>
          <w:spacing w:val="-13"/>
          <w:sz w:val="22"/>
          <w:szCs w:val="22"/>
        </w:rPr>
        <w:t>消化水平的一个参数。</w:t>
      </w:r>
      <w:r>
        <w:rPr>
          <w:rFonts w:ascii="宋体" w:eastAsia="宋体" w:hAnsi="宋体" w:cs="宋体"/>
          <w:spacing w:val="-9"/>
          <w:sz w:val="22"/>
          <w:szCs w:val="22"/>
        </w:rPr>
        <w:t xml:space="preserve"> </w:t>
      </w:r>
      <w:r>
        <w:rPr>
          <w:rFonts w:ascii="宋体" w:eastAsia="宋体" w:hAnsi="宋体" w:cs="宋体"/>
          <w:spacing w:val="-13"/>
          <w:sz w:val="22"/>
          <w:szCs w:val="22"/>
        </w:rPr>
        <w:t>一般定义为在一定时间</w:t>
      </w:r>
      <w:r>
        <w:rPr>
          <w:rFonts w:ascii="宋体" w:eastAsia="宋体" w:hAnsi="宋体" w:cs="宋体"/>
          <w:spacing w:val="-14"/>
          <w:sz w:val="22"/>
          <w:szCs w:val="22"/>
        </w:rPr>
        <w:t>内，人体食用含50g</w:t>
      </w:r>
      <w:r>
        <w:rPr>
          <w:rFonts w:ascii="宋体" w:eastAsia="宋体" w:hAnsi="宋体" w:cs="宋体"/>
          <w:spacing w:val="-58"/>
          <w:sz w:val="22"/>
          <w:szCs w:val="22"/>
        </w:rPr>
        <w:t xml:space="preserve"> </w:t>
      </w:r>
      <w:r>
        <w:rPr>
          <w:rFonts w:ascii="宋体" w:eastAsia="宋体" w:hAnsi="宋体" w:cs="宋体"/>
          <w:spacing w:val="-14"/>
          <w:sz w:val="22"/>
          <w:szCs w:val="22"/>
        </w:rPr>
        <w:t>有价值的碳水</w:t>
      </w:r>
      <w:r>
        <w:rPr>
          <w:rFonts w:ascii="宋体" w:eastAsia="宋体" w:hAnsi="宋体" w:cs="宋体"/>
          <w:sz w:val="22"/>
          <w:szCs w:val="22"/>
        </w:rPr>
        <w:t xml:space="preserve"> </w:t>
      </w:r>
      <w:r>
        <w:rPr>
          <w:rFonts w:ascii="宋体" w:eastAsia="宋体" w:hAnsi="宋体" w:cs="宋体"/>
          <w:spacing w:val="-10"/>
          <w:sz w:val="22"/>
          <w:szCs w:val="22"/>
        </w:rPr>
        <w:t>化合物的食物与相当量的葡萄糖后，2h后体内血糖曲线下面积的比值，即</w:t>
      </w:r>
    </w:p>
    <w:p w:rsidR="00EA40A3" w:rsidRDefault="00E86C16">
      <w:pPr>
        <w:spacing w:before="40" w:line="460" w:lineRule="exact"/>
        <w:ind w:firstLine="1049"/>
        <w:textAlignment w:val="center"/>
      </w:pPr>
      <w:r>
        <w:rPr>
          <w:noProof/>
        </w:rPr>
        <w:drawing>
          <wp:inline distT="0" distB="0" distL="0" distR="0">
            <wp:extent cx="3295650" cy="291465"/>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51"/>
                    <a:stretch>
                      <a:fillRect/>
                    </a:stretch>
                  </pic:blipFill>
                  <pic:spPr>
                    <a:xfrm>
                      <a:off x="0" y="0"/>
                      <a:ext cx="3295669" cy="292090"/>
                    </a:xfrm>
                    <a:prstGeom prst="rect">
                      <a:avLst/>
                    </a:prstGeom>
                  </pic:spPr>
                </pic:pic>
              </a:graphicData>
            </a:graphic>
          </wp:inline>
        </w:drawing>
      </w:r>
    </w:p>
    <w:p w:rsidR="00EA40A3" w:rsidRDefault="00E86C16">
      <w:pPr>
        <w:spacing w:before="99" w:line="219" w:lineRule="auto"/>
        <w:ind w:left="379"/>
        <w:rPr>
          <w:rFonts w:ascii="宋体" w:eastAsia="宋体" w:hAnsi="宋体" w:cs="宋体"/>
          <w:sz w:val="22"/>
          <w:szCs w:val="22"/>
        </w:rPr>
      </w:pPr>
      <w:r>
        <w:rPr>
          <w:rFonts w:ascii="宋体" w:eastAsia="宋体" w:hAnsi="宋体" w:cs="宋体"/>
          <w:spacing w:val="19"/>
          <w:sz w:val="22"/>
          <w:szCs w:val="22"/>
        </w:rPr>
        <w:t>相同量的碳水化合物，可产生不同的血糖反应和相应不同的</w:t>
      </w:r>
      <w:r>
        <w:rPr>
          <w:rFonts w:ascii="宋体" w:eastAsia="宋体" w:hAnsi="宋体" w:cs="宋体"/>
          <w:spacing w:val="-40"/>
          <w:sz w:val="22"/>
          <w:szCs w:val="22"/>
        </w:rPr>
        <w:t xml:space="preserve"> </w:t>
      </w:r>
      <w:r>
        <w:rPr>
          <w:rFonts w:ascii="宋体" w:eastAsia="宋体" w:hAnsi="宋体" w:cs="宋体"/>
          <w:sz w:val="22"/>
          <w:szCs w:val="22"/>
        </w:rPr>
        <w:t>GI</w:t>
      </w:r>
      <w:r>
        <w:rPr>
          <w:rFonts w:ascii="宋体" w:eastAsia="宋体" w:hAnsi="宋体" w:cs="宋体"/>
          <w:spacing w:val="6"/>
          <w:sz w:val="22"/>
          <w:szCs w:val="22"/>
        </w:rPr>
        <w:t xml:space="preserve"> </w:t>
      </w:r>
      <w:r>
        <w:rPr>
          <w:rFonts w:ascii="宋体" w:eastAsia="宋体" w:hAnsi="宋体" w:cs="宋体"/>
          <w:spacing w:val="19"/>
          <w:sz w:val="22"/>
          <w:szCs w:val="22"/>
        </w:rPr>
        <w:t>值</w:t>
      </w:r>
    </w:p>
    <w:p w:rsidR="00EA40A3" w:rsidRDefault="00E86C16">
      <w:pPr>
        <w:spacing w:before="43"/>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58</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29" w:bottom="400" w:left="800" w:header="0" w:footer="0" w:gutter="0"/>
          <w:cols w:space="720"/>
        </w:sectPr>
      </w:pPr>
    </w:p>
    <w:p w:rsidR="00EA40A3" w:rsidRDefault="00EA40A3">
      <w:pPr>
        <w:spacing w:line="289" w:lineRule="auto"/>
      </w:pPr>
    </w:p>
    <w:p w:rsidR="00EA40A3" w:rsidRDefault="00EA40A3">
      <w:pPr>
        <w:spacing w:line="289" w:lineRule="auto"/>
      </w:pPr>
    </w:p>
    <w:p w:rsidR="00EA40A3" w:rsidRDefault="00E86C16">
      <w:pPr>
        <w:spacing w:before="65" w:line="219" w:lineRule="auto"/>
        <w:ind w:left="10"/>
        <w:rPr>
          <w:rFonts w:ascii="宋体" w:eastAsia="宋体" w:hAnsi="宋体" w:cs="宋体"/>
          <w:sz w:val="20"/>
          <w:szCs w:val="20"/>
        </w:rPr>
      </w:pPr>
      <w:r>
        <w:rPr>
          <w:rFonts w:ascii="宋体" w:eastAsia="宋体" w:hAnsi="宋体" w:cs="宋体"/>
          <w:spacing w:val="7"/>
          <w:sz w:val="20"/>
          <w:szCs w:val="20"/>
        </w:rPr>
        <w:t>(表3-9)。</w:t>
      </w:r>
      <w:r>
        <w:rPr>
          <w:rFonts w:ascii="宋体" w:eastAsia="宋体" w:hAnsi="宋体" w:cs="宋体"/>
          <w:sz w:val="20"/>
          <w:szCs w:val="20"/>
        </w:rPr>
        <w:t>GI</w:t>
      </w:r>
      <w:r>
        <w:rPr>
          <w:rFonts w:ascii="宋体" w:eastAsia="宋体" w:hAnsi="宋体" w:cs="宋体"/>
          <w:spacing w:val="-2"/>
          <w:sz w:val="20"/>
          <w:szCs w:val="20"/>
        </w:rPr>
        <w:t xml:space="preserve"> </w:t>
      </w:r>
      <w:r>
        <w:rPr>
          <w:rFonts w:ascii="宋体" w:eastAsia="宋体" w:hAnsi="宋体" w:cs="宋体"/>
          <w:spacing w:val="7"/>
          <w:sz w:val="20"/>
          <w:szCs w:val="20"/>
        </w:rPr>
        <w:t>值高</w:t>
      </w:r>
      <w:r>
        <w:rPr>
          <w:rFonts w:ascii="宋体" w:eastAsia="宋体" w:hAnsi="宋体" w:cs="宋体"/>
          <w:spacing w:val="1"/>
          <w:sz w:val="20"/>
          <w:szCs w:val="20"/>
        </w:rPr>
        <w:t xml:space="preserve"> </w:t>
      </w:r>
      <w:r>
        <w:rPr>
          <w:rFonts w:ascii="宋体" w:eastAsia="宋体" w:hAnsi="宋体" w:cs="宋体"/>
          <w:spacing w:val="7"/>
          <w:sz w:val="20"/>
          <w:szCs w:val="20"/>
        </w:rPr>
        <w:t>(</w:t>
      </w:r>
      <w:r>
        <w:rPr>
          <w:rFonts w:ascii="宋体" w:eastAsia="宋体" w:hAnsi="宋体" w:cs="宋体"/>
          <w:sz w:val="20"/>
          <w:szCs w:val="20"/>
        </w:rPr>
        <w:t>GI</w:t>
      </w:r>
      <w:r>
        <w:rPr>
          <w:rFonts w:ascii="宋体" w:eastAsia="宋体" w:hAnsi="宋体" w:cs="宋体"/>
          <w:spacing w:val="7"/>
          <w:sz w:val="20"/>
          <w:szCs w:val="20"/>
        </w:rPr>
        <w:t>&gt;75)</w:t>
      </w:r>
      <w:r>
        <w:rPr>
          <w:rFonts w:ascii="宋体" w:eastAsia="宋体" w:hAnsi="宋体" w:cs="宋体"/>
          <w:sz w:val="20"/>
          <w:szCs w:val="20"/>
        </w:rPr>
        <w:t xml:space="preserve">    </w:t>
      </w:r>
      <w:r>
        <w:rPr>
          <w:rFonts w:ascii="宋体" w:eastAsia="宋体" w:hAnsi="宋体" w:cs="宋体"/>
          <w:spacing w:val="7"/>
          <w:sz w:val="20"/>
          <w:szCs w:val="20"/>
        </w:rPr>
        <w:t>的食物进入胃肠后，消化快、吸收完全，葡萄糖</w:t>
      </w:r>
    </w:p>
    <w:p w:rsidR="00EA40A3" w:rsidRDefault="00E86C16">
      <w:pPr>
        <w:spacing w:before="72" w:line="219" w:lineRule="auto"/>
        <w:ind w:left="10"/>
        <w:rPr>
          <w:rFonts w:ascii="宋体" w:eastAsia="宋体" w:hAnsi="宋体" w:cs="宋体"/>
          <w:sz w:val="20"/>
          <w:szCs w:val="20"/>
        </w:rPr>
      </w:pPr>
      <w:r>
        <w:rPr>
          <w:rFonts w:ascii="宋体" w:eastAsia="宋体" w:hAnsi="宋体" w:cs="宋体"/>
          <w:spacing w:val="1"/>
          <w:sz w:val="20"/>
          <w:szCs w:val="20"/>
        </w:rPr>
        <w:t>进入血液后峰值高，也就是血浆葡萄糖升得高；</w:t>
      </w:r>
      <w:r>
        <w:rPr>
          <w:rFonts w:ascii="宋体" w:eastAsia="宋体" w:hAnsi="宋体" w:cs="宋体"/>
          <w:spacing w:val="10"/>
          <w:sz w:val="20"/>
          <w:szCs w:val="20"/>
        </w:rPr>
        <w:t xml:space="preserve"> </w:t>
      </w:r>
      <w:r>
        <w:rPr>
          <w:rFonts w:ascii="宋体" w:eastAsia="宋体" w:hAnsi="宋体" w:cs="宋体"/>
          <w:sz w:val="20"/>
          <w:szCs w:val="20"/>
        </w:rPr>
        <w:t>GI</w:t>
      </w:r>
      <w:r>
        <w:rPr>
          <w:rFonts w:ascii="宋体" w:eastAsia="宋体" w:hAnsi="宋体" w:cs="宋体"/>
          <w:spacing w:val="-15"/>
          <w:sz w:val="20"/>
          <w:szCs w:val="20"/>
        </w:rPr>
        <w:t xml:space="preserve"> </w:t>
      </w:r>
      <w:r>
        <w:rPr>
          <w:rFonts w:ascii="宋体" w:eastAsia="宋体" w:hAnsi="宋体" w:cs="宋体"/>
          <w:spacing w:val="1"/>
          <w:sz w:val="20"/>
          <w:szCs w:val="20"/>
        </w:rPr>
        <w:t>值</w:t>
      </w:r>
      <w:r>
        <w:rPr>
          <w:rFonts w:ascii="宋体" w:eastAsia="宋体" w:hAnsi="宋体" w:cs="宋体"/>
          <w:spacing w:val="-42"/>
          <w:sz w:val="20"/>
          <w:szCs w:val="20"/>
        </w:rPr>
        <w:t xml:space="preserve"> </w:t>
      </w:r>
      <w:r>
        <w:rPr>
          <w:rFonts w:ascii="宋体" w:eastAsia="宋体" w:hAnsi="宋体" w:cs="宋体"/>
          <w:spacing w:val="1"/>
          <w:sz w:val="20"/>
          <w:szCs w:val="20"/>
        </w:rPr>
        <w:t>低</w:t>
      </w:r>
      <w:r>
        <w:rPr>
          <w:rFonts w:ascii="宋体" w:eastAsia="宋体" w:hAnsi="宋体" w:cs="宋体"/>
          <w:spacing w:val="-13"/>
          <w:sz w:val="20"/>
          <w:szCs w:val="20"/>
        </w:rPr>
        <w:t xml:space="preserve"> </w:t>
      </w:r>
      <w:r>
        <w:rPr>
          <w:rFonts w:ascii="宋体" w:eastAsia="宋体" w:hAnsi="宋体" w:cs="宋体"/>
          <w:spacing w:val="1"/>
          <w:sz w:val="20"/>
          <w:szCs w:val="20"/>
        </w:rPr>
        <w:t>(</w:t>
      </w:r>
      <w:r>
        <w:rPr>
          <w:rFonts w:ascii="宋体" w:eastAsia="宋体" w:hAnsi="宋体" w:cs="宋体"/>
          <w:sz w:val="20"/>
          <w:szCs w:val="20"/>
        </w:rPr>
        <w:t>GI</w:t>
      </w:r>
      <w:r>
        <w:rPr>
          <w:rFonts w:ascii="宋体" w:eastAsia="宋体" w:hAnsi="宋体" w:cs="宋体"/>
          <w:spacing w:val="1"/>
          <w:sz w:val="20"/>
          <w:szCs w:val="20"/>
        </w:rPr>
        <w:t>&lt;55</w:t>
      </w:r>
      <w:r>
        <w:rPr>
          <w:rFonts w:ascii="宋体" w:eastAsia="宋体" w:hAnsi="宋体" w:cs="宋体"/>
          <w:sz w:val="20"/>
          <w:szCs w:val="20"/>
        </w:rPr>
        <w:t>)    的食物在胃</w:t>
      </w:r>
    </w:p>
    <w:p w:rsidR="00EA40A3" w:rsidRDefault="00E86C16">
      <w:pPr>
        <w:spacing w:before="73" w:line="264" w:lineRule="auto"/>
        <w:ind w:left="10" w:right="10"/>
        <w:jc w:val="both"/>
        <w:rPr>
          <w:rFonts w:ascii="宋体" w:eastAsia="宋体" w:hAnsi="宋体" w:cs="宋体"/>
          <w:sz w:val="20"/>
          <w:szCs w:val="20"/>
        </w:rPr>
      </w:pPr>
      <w:r>
        <w:rPr>
          <w:rFonts w:ascii="宋体" w:eastAsia="宋体" w:hAnsi="宋体" w:cs="宋体"/>
          <w:spacing w:val="8"/>
          <w:sz w:val="20"/>
          <w:szCs w:val="20"/>
        </w:rPr>
        <w:t>肠停留时间长，释放缓慢，葡萄糖进入血液后峰值低，简单说</w:t>
      </w:r>
      <w:r>
        <w:rPr>
          <w:rFonts w:ascii="宋体" w:eastAsia="宋体" w:hAnsi="宋体" w:cs="宋体"/>
          <w:spacing w:val="7"/>
          <w:sz w:val="20"/>
          <w:szCs w:val="20"/>
        </w:rPr>
        <w:t>就是血浆葡萄糖比</w:t>
      </w:r>
      <w:r>
        <w:rPr>
          <w:rFonts w:ascii="宋体" w:eastAsia="宋体" w:hAnsi="宋体" w:cs="宋体"/>
          <w:sz w:val="20"/>
          <w:szCs w:val="20"/>
        </w:rPr>
        <w:t xml:space="preserve"> </w:t>
      </w:r>
      <w:r>
        <w:rPr>
          <w:rFonts w:ascii="宋体" w:eastAsia="宋体" w:hAnsi="宋体" w:cs="宋体"/>
          <w:spacing w:val="10"/>
          <w:sz w:val="20"/>
          <w:szCs w:val="20"/>
        </w:rPr>
        <w:t>较低。食物血糖生成指数还受到很多因素的影响，如食</w:t>
      </w:r>
      <w:r>
        <w:rPr>
          <w:rFonts w:ascii="宋体" w:eastAsia="宋体" w:hAnsi="宋体" w:cs="宋体"/>
          <w:spacing w:val="9"/>
          <w:sz w:val="20"/>
          <w:szCs w:val="20"/>
        </w:rPr>
        <w:t>物中碳水化合物的类型、</w:t>
      </w:r>
      <w:r>
        <w:rPr>
          <w:rFonts w:ascii="宋体" w:eastAsia="宋体" w:hAnsi="宋体" w:cs="宋体"/>
          <w:sz w:val="20"/>
          <w:szCs w:val="20"/>
        </w:rPr>
        <w:t xml:space="preserve"> </w:t>
      </w:r>
      <w:r>
        <w:rPr>
          <w:rFonts w:ascii="宋体" w:eastAsia="宋体" w:hAnsi="宋体" w:cs="宋体"/>
          <w:spacing w:val="6"/>
          <w:sz w:val="20"/>
          <w:szCs w:val="20"/>
        </w:rPr>
        <w:t>结构，食物的化学成分和含量，以及食物的物理状况和加工制作过程的影响。</w:t>
      </w:r>
    </w:p>
    <w:p w:rsidR="00EA40A3" w:rsidRDefault="00EA40A3">
      <w:pPr>
        <w:spacing w:line="283" w:lineRule="auto"/>
      </w:pPr>
    </w:p>
    <w:p w:rsidR="00EA40A3" w:rsidRDefault="00E86C16">
      <w:pPr>
        <w:spacing w:before="65" w:line="222" w:lineRule="auto"/>
        <w:ind w:left="1802"/>
        <w:rPr>
          <w:rFonts w:ascii="黑体" w:eastAsia="黑体" w:hAnsi="黑体" w:cs="黑体"/>
          <w:sz w:val="20"/>
          <w:szCs w:val="20"/>
        </w:rPr>
      </w:pPr>
      <w:r>
        <w:rPr>
          <w:rFonts w:ascii="黑体" w:eastAsia="黑体" w:hAnsi="黑体" w:cs="黑体"/>
          <w:b/>
          <w:bCs/>
          <w:spacing w:val="-13"/>
          <w:sz w:val="20"/>
          <w:szCs w:val="20"/>
        </w:rPr>
        <w:t>表3-9</w:t>
      </w:r>
      <w:r>
        <w:rPr>
          <w:rFonts w:ascii="黑体" w:eastAsia="黑体" w:hAnsi="黑体" w:cs="黑体"/>
          <w:spacing w:val="53"/>
          <w:sz w:val="20"/>
          <w:szCs w:val="20"/>
        </w:rPr>
        <w:t xml:space="preserve"> </w:t>
      </w:r>
      <w:r>
        <w:rPr>
          <w:rFonts w:ascii="黑体" w:eastAsia="黑体" w:hAnsi="黑体" w:cs="黑体"/>
          <w:b/>
          <w:bCs/>
          <w:spacing w:val="-13"/>
          <w:sz w:val="20"/>
          <w:szCs w:val="20"/>
        </w:rPr>
        <w:t>部分食物的血糖生成指数</w:t>
      </w:r>
      <w:r>
        <w:rPr>
          <w:rFonts w:ascii="黑体" w:eastAsia="黑体" w:hAnsi="黑体" w:cs="黑体"/>
          <w:spacing w:val="2"/>
          <w:sz w:val="20"/>
          <w:szCs w:val="20"/>
        </w:rPr>
        <w:t xml:space="preserve"> </w:t>
      </w:r>
      <w:r>
        <w:rPr>
          <w:rFonts w:ascii="黑体" w:eastAsia="黑体" w:hAnsi="黑体" w:cs="黑体"/>
          <w:spacing w:val="-13"/>
          <w:sz w:val="20"/>
          <w:szCs w:val="20"/>
        </w:rPr>
        <w:t>(葡萄糖=100)</w:t>
      </w:r>
    </w:p>
    <w:p w:rsidR="00EA40A3" w:rsidRDefault="00EA40A3">
      <w:pPr>
        <w:spacing w:line="58" w:lineRule="exact"/>
      </w:pPr>
    </w:p>
    <w:tbl>
      <w:tblPr>
        <w:tblStyle w:val="TableNormal"/>
        <w:tblW w:w="7270" w:type="dxa"/>
        <w:tblInd w:w="8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805"/>
        <w:gridCol w:w="605"/>
        <w:gridCol w:w="830"/>
        <w:gridCol w:w="590"/>
        <w:gridCol w:w="813"/>
        <w:gridCol w:w="607"/>
        <w:gridCol w:w="788"/>
        <w:gridCol w:w="632"/>
        <w:gridCol w:w="843"/>
        <w:gridCol w:w="757"/>
      </w:tblGrid>
      <w:tr w:rsidR="00EA40A3">
        <w:trPr>
          <w:trHeight w:val="303"/>
        </w:trPr>
        <w:tc>
          <w:tcPr>
            <w:tcW w:w="805" w:type="dxa"/>
            <w:tcBorders>
              <w:top w:val="single" w:sz="4" w:space="0" w:color="000000"/>
              <w:bottom w:val="single" w:sz="4" w:space="0" w:color="000000"/>
            </w:tcBorders>
          </w:tcPr>
          <w:p w:rsidR="00EA40A3" w:rsidRDefault="00E86C16">
            <w:pPr>
              <w:spacing w:before="62" w:line="220" w:lineRule="auto"/>
              <w:ind w:left="230"/>
              <w:rPr>
                <w:rFonts w:ascii="宋体" w:eastAsia="宋体" w:hAnsi="宋体" w:cs="宋体"/>
                <w:sz w:val="16"/>
                <w:szCs w:val="16"/>
              </w:rPr>
            </w:pPr>
            <w:r>
              <w:rPr>
                <w:rFonts w:ascii="宋体" w:eastAsia="宋体" w:hAnsi="宋体" w:cs="宋体"/>
                <w:spacing w:val="-2"/>
                <w:sz w:val="16"/>
                <w:szCs w:val="16"/>
              </w:rPr>
              <w:t>食物</w:t>
            </w:r>
          </w:p>
        </w:tc>
        <w:tc>
          <w:tcPr>
            <w:tcW w:w="605" w:type="dxa"/>
            <w:tcBorders>
              <w:top w:val="single" w:sz="4" w:space="0" w:color="000000"/>
              <w:bottom w:val="single" w:sz="4" w:space="0" w:color="000000"/>
              <w:right w:val="single" w:sz="4" w:space="0" w:color="000000"/>
            </w:tcBorders>
          </w:tcPr>
          <w:p w:rsidR="00EA40A3" w:rsidRDefault="00E86C16">
            <w:pPr>
              <w:spacing w:before="112" w:line="183" w:lineRule="auto"/>
              <w:ind w:left="205"/>
              <w:rPr>
                <w:rFonts w:ascii="宋体" w:eastAsia="宋体" w:hAnsi="宋体" w:cs="宋体"/>
                <w:sz w:val="16"/>
                <w:szCs w:val="16"/>
              </w:rPr>
            </w:pPr>
            <w:r>
              <w:rPr>
                <w:rFonts w:ascii="宋体" w:eastAsia="宋体" w:hAnsi="宋体" w:cs="宋体"/>
                <w:spacing w:val="-2"/>
                <w:sz w:val="16"/>
                <w:szCs w:val="16"/>
              </w:rPr>
              <w:t>GI</w:t>
            </w:r>
          </w:p>
        </w:tc>
        <w:tc>
          <w:tcPr>
            <w:tcW w:w="830" w:type="dxa"/>
            <w:tcBorders>
              <w:top w:val="single" w:sz="4" w:space="0" w:color="000000"/>
              <w:left w:val="single" w:sz="4" w:space="0" w:color="000000"/>
              <w:bottom w:val="single" w:sz="4" w:space="0" w:color="000000"/>
            </w:tcBorders>
          </w:tcPr>
          <w:p w:rsidR="00EA40A3" w:rsidRDefault="00E86C16">
            <w:pPr>
              <w:spacing w:before="62" w:line="220" w:lineRule="auto"/>
              <w:ind w:left="155"/>
              <w:rPr>
                <w:rFonts w:ascii="宋体" w:eastAsia="宋体" w:hAnsi="宋体" w:cs="宋体"/>
                <w:sz w:val="16"/>
                <w:szCs w:val="16"/>
              </w:rPr>
            </w:pPr>
            <w:r>
              <w:rPr>
                <w:rFonts w:ascii="宋体" w:eastAsia="宋体" w:hAnsi="宋体" w:cs="宋体"/>
                <w:spacing w:val="-2"/>
                <w:sz w:val="16"/>
                <w:szCs w:val="16"/>
              </w:rPr>
              <w:t>食物</w:t>
            </w:r>
          </w:p>
        </w:tc>
        <w:tc>
          <w:tcPr>
            <w:tcW w:w="590" w:type="dxa"/>
            <w:tcBorders>
              <w:top w:val="single" w:sz="4" w:space="0" w:color="000000"/>
              <w:bottom w:val="single" w:sz="4" w:space="0" w:color="000000"/>
              <w:right w:val="single" w:sz="4" w:space="0" w:color="000000"/>
            </w:tcBorders>
          </w:tcPr>
          <w:p w:rsidR="00EA40A3" w:rsidRDefault="00E86C16">
            <w:pPr>
              <w:spacing w:before="87"/>
              <w:ind w:left="190"/>
              <w:rPr>
                <w:rFonts w:ascii="宋体" w:eastAsia="宋体" w:hAnsi="宋体" w:cs="宋体"/>
                <w:sz w:val="16"/>
                <w:szCs w:val="16"/>
              </w:rPr>
            </w:pPr>
            <w:r>
              <w:rPr>
                <w:rFonts w:ascii="宋体" w:eastAsia="宋体" w:hAnsi="宋体" w:cs="宋体"/>
                <w:spacing w:val="-2"/>
                <w:sz w:val="16"/>
                <w:szCs w:val="16"/>
              </w:rPr>
              <w:t>Gl</w:t>
            </w:r>
          </w:p>
        </w:tc>
        <w:tc>
          <w:tcPr>
            <w:tcW w:w="813" w:type="dxa"/>
            <w:tcBorders>
              <w:top w:val="single" w:sz="4" w:space="0" w:color="000000"/>
              <w:left w:val="single" w:sz="4" w:space="0" w:color="000000"/>
              <w:bottom w:val="single" w:sz="4" w:space="0" w:color="000000"/>
            </w:tcBorders>
          </w:tcPr>
          <w:p w:rsidR="00EA40A3" w:rsidRDefault="00E86C16">
            <w:pPr>
              <w:spacing w:before="62" w:line="220" w:lineRule="auto"/>
              <w:ind w:left="245"/>
              <w:rPr>
                <w:rFonts w:ascii="宋体" w:eastAsia="宋体" w:hAnsi="宋体" w:cs="宋体"/>
                <w:sz w:val="16"/>
                <w:szCs w:val="16"/>
              </w:rPr>
            </w:pPr>
            <w:r>
              <w:rPr>
                <w:rFonts w:ascii="宋体" w:eastAsia="宋体" w:hAnsi="宋体" w:cs="宋体"/>
                <w:spacing w:val="-2"/>
                <w:sz w:val="16"/>
                <w:szCs w:val="16"/>
              </w:rPr>
              <w:t>食物</w:t>
            </w:r>
          </w:p>
        </w:tc>
        <w:tc>
          <w:tcPr>
            <w:tcW w:w="607" w:type="dxa"/>
            <w:tcBorders>
              <w:top w:val="single" w:sz="4" w:space="0" w:color="000000"/>
              <w:bottom w:val="single" w:sz="4" w:space="0" w:color="000000"/>
              <w:right w:val="single" w:sz="4" w:space="0" w:color="000000"/>
            </w:tcBorders>
          </w:tcPr>
          <w:p w:rsidR="00EA40A3" w:rsidRDefault="00E86C16">
            <w:pPr>
              <w:spacing w:before="122" w:line="183" w:lineRule="auto"/>
              <w:ind w:left="206"/>
              <w:rPr>
                <w:rFonts w:ascii="宋体" w:eastAsia="宋体" w:hAnsi="宋体" w:cs="宋体"/>
                <w:sz w:val="16"/>
                <w:szCs w:val="16"/>
              </w:rPr>
            </w:pPr>
            <w:r>
              <w:rPr>
                <w:rFonts w:ascii="宋体" w:eastAsia="宋体" w:hAnsi="宋体" w:cs="宋体"/>
                <w:spacing w:val="-2"/>
                <w:sz w:val="16"/>
                <w:szCs w:val="16"/>
              </w:rPr>
              <w:t>GI</w:t>
            </w:r>
          </w:p>
        </w:tc>
        <w:tc>
          <w:tcPr>
            <w:tcW w:w="788" w:type="dxa"/>
            <w:tcBorders>
              <w:top w:val="single" w:sz="4" w:space="0" w:color="000000"/>
              <w:left w:val="single" w:sz="4" w:space="0" w:color="000000"/>
              <w:bottom w:val="single" w:sz="4" w:space="0" w:color="000000"/>
            </w:tcBorders>
          </w:tcPr>
          <w:p w:rsidR="00EA40A3" w:rsidRDefault="00E86C16">
            <w:pPr>
              <w:spacing w:before="72" w:line="220" w:lineRule="auto"/>
              <w:ind w:left="235"/>
              <w:rPr>
                <w:rFonts w:ascii="宋体" w:eastAsia="宋体" w:hAnsi="宋体" w:cs="宋体"/>
                <w:sz w:val="16"/>
                <w:szCs w:val="16"/>
              </w:rPr>
            </w:pPr>
            <w:r>
              <w:rPr>
                <w:rFonts w:ascii="宋体" w:eastAsia="宋体" w:hAnsi="宋体" w:cs="宋体"/>
                <w:spacing w:val="-2"/>
                <w:sz w:val="16"/>
                <w:szCs w:val="16"/>
              </w:rPr>
              <w:t>食物</w:t>
            </w:r>
          </w:p>
        </w:tc>
        <w:tc>
          <w:tcPr>
            <w:tcW w:w="632" w:type="dxa"/>
            <w:tcBorders>
              <w:top w:val="single" w:sz="4" w:space="0" w:color="000000"/>
              <w:bottom w:val="single" w:sz="4" w:space="0" w:color="000000"/>
              <w:right w:val="single" w:sz="4" w:space="0" w:color="000000"/>
            </w:tcBorders>
          </w:tcPr>
          <w:p w:rsidR="00EA40A3" w:rsidRDefault="00E86C16">
            <w:pPr>
              <w:spacing w:before="122" w:line="183" w:lineRule="auto"/>
              <w:ind w:left="242"/>
              <w:rPr>
                <w:rFonts w:ascii="宋体" w:eastAsia="宋体" w:hAnsi="宋体" w:cs="宋体"/>
                <w:sz w:val="16"/>
                <w:szCs w:val="16"/>
              </w:rPr>
            </w:pPr>
            <w:r>
              <w:rPr>
                <w:rFonts w:ascii="宋体" w:eastAsia="宋体" w:hAnsi="宋体" w:cs="宋体"/>
                <w:spacing w:val="-2"/>
                <w:sz w:val="16"/>
                <w:szCs w:val="16"/>
              </w:rPr>
              <w:t>GI</w:t>
            </w:r>
          </w:p>
        </w:tc>
        <w:tc>
          <w:tcPr>
            <w:tcW w:w="843" w:type="dxa"/>
            <w:tcBorders>
              <w:top w:val="single" w:sz="4" w:space="0" w:color="000000"/>
              <w:left w:val="single" w:sz="4" w:space="0" w:color="000000"/>
              <w:bottom w:val="single" w:sz="4" w:space="0" w:color="000000"/>
            </w:tcBorders>
          </w:tcPr>
          <w:p w:rsidR="00EA40A3" w:rsidRDefault="00E86C16">
            <w:pPr>
              <w:spacing w:before="72" w:line="220" w:lineRule="auto"/>
              <w:ind w:left="255"/>
              <w:rPr>
                <w:rFonts w:ascii="宋体" w:eastAsia="宋体" w:hAnsi="宋体" w:cs="宋体"/>
                <w:sz w:val="16"/>
                <w:szCs w:val="16"/>
              </w:rPr>
            </w:pPr>
            <w:r>
              <w:rPr>
                <w:rFonts w:ascii="宋体" w:eastAsia="宋体" w:hAnsi="宋体" w:cs="宋体"/>
                <w:spacing w:val="-2"/>
                <w:sz w:val="16"/>
                <w:szCs w:val="16"/>
              </w:rPr>
              <w:t>食物</w:t>
            </w:r>
          </w:p>
        </w:tc>
        <w:tc>
          <w:tcPr>
            <w:tcW w:w="757" w:type="dxa"/>
            <w:tcBorders>
              <w:top w:val="single" w:sz="4" w:space="0" w:color="000000"/>
              <w:bottom w:val="single" w:sz="4" w:space="0" w:color="000000"/>
            </w:tcBorders>
          </w:tcPr>
          <w:p w:rsidR="00EA40A3" w:rsidRDefault="00E86C16">
            <w:pPr>
              <w:spacing w:before="97" w:line="237" w:lineRule="auto"/>
              <w:ind w:left="277"/>
              <w:rPr>
                <w:rFonts w:ascii="宋体" w:eastAsia="宋体" w:hAnsi="宋体" w:cs="宋体"/>
                <w:sz w:val="16"/>
                <w:szCs w:val="16"/>
              </w:rPr>
            </w:pPr>
            <w:r>
              <w:rPr>
                <w:rFonts w:ascii="宋体" w:eastAsia="宋体" w:hAnsi="宋体" w:cs="宋体"/>
                <w:spacing w:val="-2"/>
                <w:sz w:val="16"/>
                <w:szCs w:val="16"/>
              </w:rPr>
              <w:t>Gl</w:t>
            </w:r>
          </w:p>
        </w:tc>
      </w:tr>
      <w:tr w:rsidR="00EA40A3">
        <w:trPr>
          <w:trHeight w:val="253"/>
        </w:trPr>
        <w:tc>
          <w:tcPr>
            <w:tcW w:w="805" w:type="dxa"/>
            <w:tcBorders>
              <w:top w:val="single" w:sz="4" w:space="0" w:color="000000"/>
            </w:tcBorders>
          </w:tcPr>
          <w:p w:rsidR="00EA40A3" w:rsidRDefault="00E86C16">
            <w:pPr>
              <w:spacing w:before="39" w:line="221" w:lineRule="auto"/>
              <w:ind w:left="140"/>
              <w:rPr>
                <w:rFonts w:ascii="宋体" w:eastAsia="宋体" w:hAnsi="宋体" w:cs="宋体"/>
                <w:sz w:val="16"/>
                <w:szCs w:val="16"/>
              </w:rPr>
            </w:pPr>
            <w:r>
              <w:rPr>
                <w:rFonts w:ascii="宋体" w:eastAsia="宋体" w:hAnsi="宋体" w:cs="宋体"/>
                <w:spacing w:val="-2"/>
                <w:sz w:val="16"/>
                <w:szCs w:val="16"/>
              </w:rPr>
              <w:t>面包</w:t>
            </w:r>
          </w:p>
        </w:tc>
        <w:tc>
          <w:tcPr>
            <w:tcW w:w="605" w:type="dxa"/>
            <w:tcBorders>
              <w:top w:val="single" w:sz="4" w:space="0" w:color="000000"/>
              <w:right w:val="single" w:sz="4" w:space="0" w:color="000000"/>
            </w:tcBorders>
          </w:tcPr>
          <w:p w:rsidR="00EA40A3" w:rsidRDefault="00E86C16">
            <w:pPr>
              <w:spacing w:before="89" w:line="183" w:lineRule="auto"/>
              <w:ind w:left="205"/>
              <w:rPr>
                <w:rFonts w:ascii="宋体" w:eastAsia="宋体" w:hAnsi="宋体" w:cs="宋体"/>
                <w:sz w:val="16"/>
                <w:szCs w:val="16"/>
              </w:rPr>
            </w:pPr>
            <w:r>
              <w:rPr>
                <w:rFonts w:ascii="宋体" w:eastAsia="宋体" w:hAnsi="宋体" w:cs="宋体"/>
                <w:spacing w:val="-2"/>
                <w:sz w:val="16"/>
                <w:szCs w:val="16"/>
              </w:rPr>
              <w:t>69</w:t>
            </w:r>
          </w:p>
        </w:tc>
        <w:tc>
          <w:tcPr>
            <w:tcW w:w="830" w:type="dxa"/>
            <w:tcBorders>
              <w:top w:val="single" w:sz="4" w:space="0" w:color="000000"/>
              <w:left w:val="single" w:sz="4" w:space="0" w:color="000000"/>
            </w:tcBorders>
          </w:tcPr>
          <w:p w:rsidR="00EA40A3" w:rsidRDefault="00E86C16">
            <w:pPr>
              <w:spacing w:before="39" w:line="220" w:lineRule="auto"/>
              <w:ind w:left="155"/>
              <w:rPr>
                <w:rFonts w:ascii="宋体" w:eastAsia="宋体" w:hAnsi="宋体" w:cs="宋体"/>
                <w:sz w:val="16"/>
                <w:szCs w:val="16"/>
              </w:rPr>
            </w:pPr>
            <w:r>
              <w:rPr>
                <w:rFonts w:ascii="宋体" w:eastAsia="宋体" w:hAnsi="宋体" w:cs="宋体"/>
                <w:spacing w:val="-3"/>
                <w:sz w:val="16"/>
                <w:szCs w:val="16"/>
              </w:rPr>
              <w:t>果糖</w:t>
            </w:r>
          </w:p>
        </w:tc>
        <w:tc>
          <w:tcPr>
            <w:tcW w:w="590" w:type="dxa"/>
            <w:tcBorders>
              <w:top w:val="single" w:sz="4" w:space="0" w:color="000000"/>
              <w:right w:val="single" w:sz="4" w:space="0" w:color="000000"/>
            </w:tcBorders>
          </w:tcPr>
          <w:p w:rsidR="00EA40A3" w:rsidRDefault="00E86C16">
            <w:pPr>
              <w:spacing w:before="89" w:line="183" w:lineRule="auto"/>
              <w:ind w:left="190"/>
              <w:rPr>
                <w:rFonts w:ascii="宋体" w:eastAsia="宋体" w:hAnsi="宋体" w:cs="宋体"/>
                <w:sz w:val="16"/>
                <w:szCs w:val="16"/>
              </w:rPr>
            </w:pPr>
            <w:r>
              <w:rPr>
                <w:rFonts w:ascii="宋体" w:eastAsia="宋体" w:hAnsi="宋体" w:cs="宋体"/>
                <w:spacing w:val="-3"/>
                <w:sz w:val="16"/>
                <w:szCs w:val="16"/>
              </w:rPr>
              <w:t>20</w:t>
            </w:r>
          </w:p>
        </w:tc>
        <w:tc>
          <w:tcPr>
            <w:tcW w:w="813" w:type="dxa"/>
            <w:tcBorders>
              <w:top w:val="single" w:sz="4" w:space="0" w:color="000000"/>
              <w:left w:val="single" w:sz="4" w:space="0" w:color="000000"/>
            </w:tcBorders>
          </w:tcPr>
          <w:p w:rsidR="00EA40A3" w:rsidRDefault="00E86C16">
            <w:pPr>
              <w:spacing w:before="38" w:line="219" w:lineRule="auto"/>
              <w:ind w:left="144"/>
              <w:rPr>
                <w:rFonts w:ascii="宋体" w:eastAsia="宋体" w:hAnsi="宋体" w:cs="宋体"/>
                <w:sz w:val="16"/>
                <w:szCs w:val="16"/>
              </w:rPr>
            </w:pPr>
            <w:r>
              <w:rPr>
                <w:rFonts w:ascii="宋体" w:eastAsia="宋体" w:hAnsi="宋体" w:cs="宋体"/>
                <w:spacing w:val="-2"/>
                <w:sz w:val="16"/>
                <w:szCs w:val="16"/>
              </w:rPr>
              <w:t>蜂蜜</w:t>
            </w:r>
          </w:p>
        </w:tc>
        <w:tc>
          <w:tcPr>
            <w:tcW w:w="607" w:type="dxa"/>
            <w:tcBorders>
              <w:top w:val="single" w:sz="4" w:space="0" w:color="000000"/>
              <w:right w:val="single" w:sz="4" w:space="0" w:color="000000"/>
            </w:tcBorders>
          </w:tcPr>
          <w:p w:rsidR="00EA40A3" w:rsidRDefault="00E86C16">
            <w:pPr>
              <w:spacing w:before="90" w:line="182" w:lineRule="auto"/>
              <w:ind w:left="217"/>
              <w:rPr>
                <w:rFonts w:ascii="宋体" w:eastAsia="宋体" w:hAnsi="宋体" w:cs="宋体"/>
                <w:sz w:val="16"/>
                <w:szCs w:val="16"/>
              </w:rPr>
            </w:pPr>
            <w:r>
              <w:rPr>
                <w:rFonts w:ascii="宋体" w:eastAsia="宋体" w:hAnsi="宋体" w:cs="宋体"/>
                <w:spacing w:val="-3"/>
                <w:sz w:val="16"/>
                <w:szCs w:val="16"/>
              </w:rPr>
              <w:t>75</w:t>
            </w:r>
          </w:p>
        </w:tc>
        <w:tc>
          <w:tcPr>
            <w:tcW w:w="788" w:type="dxa"/>
            <w:tcBorders>
              <w:top w:val="single" w:sz="4" w:space="0" w:color="000000"/>
              <w:left w:val="single" w:sz="4" w:space="0" w:color="000000"/>
            </w:tcBorders>
          </w:tcPr>
          <w:p w:rsidR="00EA40A3" w:rsidRDefault="00E86C16">
            <w:pPr>
              <w:spacing w:before="39" w:line="220" w:lineRule="auto"/>
              <w:ind w:left="235"/>
              <w:rPr>
                <w:rFonts w:ascii="宋体" w:eastAsia="宋体" w:hAnsi="宋体" w:cs="宋体"/>
                <w:sz w:val="16"/>
                <w:szCs w:val="16"/>
              </w:rPr>
            </w:pPr>
            <w:r>
              <w:rPr>
                <w:rFonts w:ascii="宋体" w:eastAsia="宋体" w:hAnsi="宋体" w:cs="宋体"/>
                <w:spacing w:val="-2"/>
                <w:sz w:val="16"/>
                <w:szCs w:val="16"/>
              </w:rPr>
              <w:t>苹果</w:t>
            </w:r>
          </w:p>
        </w:tc>
        <w:tc>
          <w:tcPr>
            <w:tcW w:w="632" w:type="dxa"/>
            <w:tcBorders>
              <w:top w:val="single" w:sz="4" w:space="0" w:color="000000"/>
              <w:right w:val="single" w:sz="4" w:space="0" w:color="000000"/>
            </w:tcBorders>
          </w:tcPr>
          <w:p w:rsidR="00EA40A3" w:rsidRDefault="00E86C16">
            <w:pPr>
              <w:spacing w:before="89" w:line="183" w:lineRule="auto"/>
              <w:ind w:left="242"/>
              <w:rPr>
                <w:rFonts w:ascii="宋体" w:eastAsia="宋体" w:hAnsi="宋体" w:cs="宋体"/>
                <w:sz w:val="16"/>
                <w:szCs w:val="16"/>
              </w:rPr>
            </w:pPr>
            <w:r>
              <w:rPr>
                <w:rFonts w:ascii="宋体" w:eastAsia="宋体" w:hAnsi="宋体" w:cs="宋体"/>
                <w:spacing w:val="-3"/>
                <w:sz w:val="16"/>
                <w:szCs w:val="16"/>
              </w:rPr>
              <w:t>39</w:t>
            </w:r>
          </w:p>
        </w:tc>
        <w:tc>
          <w:tcPr>
            <w:tcW w:w="843" w:type="dxa"/>
            <w:tcBorders>
              <w:top w:val="single" w:sz="4" w:space="0" w:color="000000"/>
              <w:left w:val="single" w:sz="4" w:space="0" w:color="000000"/>
            </w:tcBorders>
          </w:tcPr>
          <w:p w:rsidR="00EA40A3" w:rsidRDefault="00E86C16">
            <w:pPr>
              <w:spacing w:before="49" w:line="220" w:lineRule="auto"/>
              <w:ind w:left="255"/>
              <w:rPr>
                <w:rFonts w:ascii="宋体" w:eastAsia="宋体" w:hAnsi="宋体" w:cs="宋体"/>
                <w:sz w:val="16"/>
                <w:szCs w:val="16"/>
              </w:rPr>
            </w:pPr>
            <w:r>
              <w:rPr>
                <w:rFonts w:ascii="宋体" w:eastAsia="宋体" w:hAnsi="宋体" w:cs="宋体"/>
                <w:spacing w:val="-2"/>
                <w:sz w:val="16"/>
                <w:szCs w:val="16"/>
              </w:rPr>
              <w:t>扁豆</w:t>
            </w:r>
          </w:p>
        </w:tc>
        <w:tc>
          <w:tcPr>
            <w:tcW w:w="757" w:type="dxa"/>
            <w:tcBorders>
              <w:top w:val="single" w:sz="4" w:space="0" w:color="000000"/>
            </w:tcBorders>
          </w:tcPr>
          <w:p w:rsidR="00EA40A3" w:rsidRDefault="00E86C16">
            <w:pPr>
              <w:spacing w:before="99" w:line="177" w:lineRule="auto"/>
              <w:ind w:left="277"/>
              <w:rPr>
                <w:rFonts w:ascii="宋体" w:eastAsia="宋体" w:hAnsi="宋体" w:cs="宋体"/>
                <w:sz w:val="16"/>
                <w:szCs w:val="16"/>
              </w:rPr>
            </w:pPr>
            <w:r>
              <w:rPr>
                <w:rFonts w:ascii="宋体" w:eastAsia="宋体" w:hAnsi="宋体" w:cs="宋体"/>
                <w:spacing w:val="-3"/>
                <w:sz w:val="16"/>
                <w:szCs w:val="16"/>
              </w:rPr>
              <w:t>29</w:t>
            </w:r>
          </w:p>
        </w:tc>
      </w:tr>
      <w:tr w:rsidR="00EA40A3">
        <w:trPr>
          <w:trHeight w:val="258"/>
        </w:trPr>
        <w:tc>
          <w:tcPr>
            <w:tcW w:w="805" w:type="dxa"/>
          </w:tcPr>
          <w:p w:rsidR="00EA40A3" w:rsidRDefault="00E86C16">
            <w:pPr>
              <w:spacing w:before="45" w:line="219" w:lineRule="auto"/>
              <w:ind w:left="140"/>
              <w:rPr>
                <w:rFonts w:ascii="宋体" w:eastAsia="宋体" w:hAnsi="宋体" w:cs="宋体"/>
                <w:sz w:val="16"/>
                <w:szCs w:val="16"/>
              </w:rPr>
            </w:pPr>
            <w:r>
              <w:rPr>
                <w:rFonts w:ascii="宋体" w:eastAsia="宋体" w:hAnsi="宋体" w:cs="宋体"/>
                <w:spacing w:val="-3"/>
                <w:sz w:val="16"/>
                <w:szCs w:val="16"/>
              </w:rPr>
              <w:t>大米</w:t>
            </w:r>
          </w:p>
        </w:tc>
        <w:tc>
          <w:tcPr>
            <w:tcW w:w="605" w:type="dxa"/>
            <w:tcBorders>
              <w:right w:val="single" w:sz="4" w:space="0" w:color="000000"/>
            </w:tcBorders>
          </w:tcPr>
          <w:p w:rsidR="00EA40A3" w:rsidRDefault="00E86C16">
            <w:pPr>
              <w:spacing w:before="96" w:line="183" w:lineRule="auto"/>
              <w:ind w:left="215"/>
              <w:rPr>
                <w:rFonts w:ascii="宋体" w:eastAsia="宋体" w:hAnsi="宋体" w:cs="宋体"/>
                <w:sz w:val="16"/>
                <w:szCs w:val="16"/>
              </w:rPr>
            </w:pPr>
            <w:r>
              <w:rPr>
                <w:rFonts w:ascii="宋体" w:eastAsia="宋体" w:hAnsi="宋体" w:cs="宋体"/>
                <w:spacing w:val="-3"/>
                <w:sz w:val="16"/>
                <w:szCs w:val="16"/>
              </w:rPr>
              <w:t>72</w:t>
            </w:r>
          </w:p>
        </w:tc>
        <w:tc>
          <w:tcPr>
            <w:tcW w:w="830" w:type="dxa"/>
            <w:tcBorders>
              <w:left w:val="single" w:sz="4" w:space="0" w:color="000000"/>
            </w:tcBorders>
          </w:tcPr>
          <w:p w:rsidR="00EA40A3" w:rsidRDefault="00E86C16">
            <w:pPr>
              <w:spacing w:before="55" w:line="232" w:lineRule="auto"/>
              <w:ind w:left="155"/>
              <w:rPr>
                <w:rFonts w:ascii="宋体" w:eastAsia="宋体" w:hAnsi="宋体" w:cs="宋体"/>
                <w:sz w:val="16"/>
                <w:szCs w:val="16"/>
              </w:rPr>
            </w:pPr>
            <w:r>
              <w:rPr>
                <w:rFonts w:ascii="宋体" w:eastAsia="宋体" w:hAnsi="宋体" w:cs="宋体"/>
                <w:spacing w:val="-2"/>
                <w:sz w:val="16"/>
                <w:szCs w:val="16"/>
              </w:rPr>
              <w:t>土豆</w:t>
            </w:r>
          </w:p>
        </w:tc>
        <w:tc>
          <w:tcPr>
            <w:tcW w:w="590" w:type="dxa"/>
            <w:tcBorders>
              <w:right w:val="single" w:sz="4" w:space="0" w:color="000000"/>
            </w:tcBorders>
          </w:tcPr>
          <w:p w:rsidR="00EA40A3" w:rsidRDefault="00E86C16">
            <w:pPr>
              <w:spacing w:before="96" w:line="183" w:lineRule="auto"/>
              <w:ind w:left="200"/>
              <w:rPr>
                <w:rFonts w:ascii="宋体" w:eastAsia="宋体" w:hAnsi="宋体" w:cs="宋体"/>
                <w:sz w:val="16"/>
                <w:szCs w:val="16"/>
              </w:rPr>
            </w:pPr>
            <w:r>
              <w:rPr>
                <w:rFonts w:ascii="宋体" w:eastAsia="宋体" w:hAnsi="宋体" w:cs="宋体"/>
                <w:spacing w:val="-2"/>
                <w:sz w:val="16"/>
                <w:szCs w:val="16"/>
              </w:rPr>
              <w:t>80</w:t>
            </w:r>
          </w:p>
        </w:tc>
        <w:tc>
          <w:tcPr>
            <w:tcW w:w="813" w:type="dxa"/>
            <w:tcBorders>
              <w:left w:val="single" w:sz="4" w:space="0" w:color="000000"/>
            </w:tcBorders>
          </w:tcPr>
          <w:p w:rsidR="00EA40A3" w:rsidRDefault="00E86C16">
            <w:pPr>
              <w:spacing w:before="46" w:line="220" w:lineRule="auto"/>
              <w:ind w:left="144"/>
              <w:rPr>
                <w:rFonts w:ascii="宋体" w:eastAsia="宋体" w:hAnsi="宋体" w:cs="宋体"/>
                <w:sz w:val="16"/>
                <w:szCs w:val="16"/>
              </w:rPr>
            </w:pPr>
            <w:r>
              <w:rPr>
                <w:rFonts w:ascii="宋体" w:eastAsia="宋体" w:hAnsi="宋体" w:cs="宋体"/>
                <w:spacing w:val="-2"/>
                <w:sz w:val="16"/>
                <w:szCs w:val="16"/>
              </w:rPr>
              <w:t>乳糖</w:t>
            </w:r>
          </w:p>
        </w:tc>
        <w:tc>
          <w:tcPr>
            <w:tcW w:w="607" w:type="dxa"/>
            <w:tcBorders>
              <w:right w:val="single" w:sz="4" w:space="0" w:color="000000"/>
            </w:tcBorders>
          </w:tcPr>
          <w:p w:rsidR="00EA40A3" w:rsidRDefault="00E86C16">
            <w:pPr>
              <w:spacing w:before="96" w:line="183" w:lineRule="auto"/>
              <w:ind w:left="206"/>
              <w:rPr>
                <w:rFonts w:ascii="宋体" w:eastAsia="宋体" w:hAnsi="宋体" w:cs="宋体"/>
                <w:sz w:val="16"/>
                <w:szCs w:val="16"/>
              </w:rPr>
            </w:pPr>
            <w:r>
              <w:rPr>
                <w:rFonts w:ascii="宋体" w:eastAsia="宋体" w:hAnsi="宋体" w:cs="宋体"/>
                <w:spacing w:val="-2"/>
                <w:sz w:val="16"/>
                <w:szCs w:val="16"/>
              </w:rPr>
              <w:t>90</w:t>
            </w:r>
          </w:p>
        </w:tc>
        <w:tc>
          <w:tcPr>
            <w:tcW w:w="788" w:type="dxa"/>
            <w:tcBorders>
              <w:left w:val="single" w:sz="4" w:space="0" w:color="000000"/>
            </w:tcBorders>
          </w:tcPr>
          <w:p w:rsidR="00EA40A3" w:rsidRDefault="00E86C16">
            <w:pPr>
              <w:spacing w:before="46" w:line="221" w:lineRule="auto"/>
              <w:ind w:left="235"/>
              <w:rPr>
                <w:rFonts w:ascii="宋体" w:eastAsia="宋体" w:hAnsi="宋体" w:cs="宋体"/>
                <w:sz w:val="16"/>
                <w:szCs w:val="16"/>
              </w:rPr>
            </w:pPr>
            <w:r>
              <w:rPr>
                <w:rFonts w:ascii="宋体" w:eastAsia="宋体" w:hAnsi="宋体" w:cs="宋体"/>
                <w:spacing w:val="-2"/>
                <w:sz w:val="16"/>
                <w:szCs w:val="16"/>
              </w:rPr>
              <w:t>香蕉</w:t>
            </w:r>
          </w:p>
        </w:tc>
        <w:tc>
          <w:tcPr>
            <w:tcW w:w="632" w:type="dxa"/>
            <w:tcBorders>
              <w:right w:val="single" w:sz="4" w:space="0" w:color="000000"/>
            </w:tcBorders>
          </w:tcPr>
          <w:p w:rsidR="00EA40A3" w:rsidRDefault="00E86C16">
            <w:pPr>
              <w:spacing w:before="96" w:line="183" w:lineRule="auto"/>
              <w:ind w:left="242"/>
              <w:rPr>
                <w:rFonts w:ascii="宋体" w:eastAsia="宋体" w:hAnsi="宋体" w:cs="宋体"/>
                <w:sz w:val="16"/>
                <w:szCs w:val="16"/>
              </w:rPr>
            </w:pPr>
            <w:r>
              <w:rPr>
                <w:rFonts w:ascii="宋体" w:eastAsia="宋体" w:hAnsi="宋体" w:cs="宋体"/>
                <w:spacing w:val="-2"/>
                <w:sz w:val="16"/>
                <w:szCs w:val="16"/>
              </w:rPr>
              <w:t>62</w:t>
            </w:r>
          </w:p>
        </w:tc>
        <w:tc>
          <w:tcPr>
            <w:tcW w:w="843" w:type="dxa"/>
            <w:tcBorders>
              <w:left w:val="single" w:sz="4" w:space="0" w:color="000000"/>
            </w:tcBorders>
          </w:tcPr>
          <w:p w:rsidR="00EA40A3" w:rsidRDefault="00E86C16">
            <w:pPr>
              <w:spacing w:before="57" w:line="221" w:lineRule="auto"/>
              <w:ind w:left="255"/>
              <w:rPr>
                <w:rFonts w:ascii="宋体" w:eastAsia="宋体" w:hAnsi="宋体" w:cs="宋体"/>
                <w:sz w:val="16"/>
                <w:szCs w:val="16"/>
              </w:rPr>
            </w:pPr>
            <w:r>
              <w:rPr>
                <w:rFonts w:ascii="宋体" w:eastAsia="宋体" w:hAnsi="宋体" w:cs="宋体"/>
                <w:spacing w:val="-2"/>
                <w:sz w:val="16"/>
                <w:szCs w:val="16"/>
              </w:rPr>
              <w:t>豌豆</w:t>
            </w:r>
          </w:p>
        </w:tc>
        <w:tc>
          <w:tcPr>
            <w:tcW w:w="757" w:type="dxa"/>
          </w:tcPr>
          <w:p w:rsidR="00EA40A3" w:rsidRDefault="00E86C16">
            <w:pPr>
              <w:spacing w:before="107" w:line="174" w:lineRule="auto"/>
              <w:ind w:left="277"/>
              <w:rPr>
                <w:rFonts w:ascii="宋体" w:eastAsia="宋体" w:hAnsi="宋体" w:cs="宋体"/>
                <w:sz w:val="16"/>
                <w:szCs w:val="16"/>
              </w:rPr>
            </w:pPr>
            <w:r>
              <w:rPr>
                <w:rFonts w:ascii="宋体" w:eastAsia="宋体" w:hAnsi="宋体" w:cs="宋体"/>
                <w:spacing w:val="-3"/>
                <w:sz w:val="16"/>
                <w:szCs w:val="16"/>
              </w:rPr>
              <w:t>33</w:t>
            </w:r>
          </w:p>
        </w:tc>
      </w:tr>
      <w:tr w:rsidR="00EA40A3">
        <w:trPr>
          <w:trHeight w:val="254"/>
        </w:trPr>
        <w:tc>
          <w:tcPr>
            <w:tcW w:w="805" w:type="dxa"/>
          </w:tcPr>
          <w:p w:rsidR="00EA40A3" w:rsidRDefault="00E86C16">
            <w:pPr>
              <w:spacing w:before="47" w:line="219" w:lineRule="auto"/>
              <w:ind w:left="140"/>
              <w:rPr>
                <w:rFonts w:ascii="宋体" w:eastAsia="宋体" w:hAnsi="宋体" w:cs="宋体"/>
                <w:sz w:val="16"/>
                <w:szCs w:val="16"/>
              </w:rPr>
            </w:pPr>
            <w:r>
              <w:rPr>
                <w:rFonts w:ascii="宋体" w:eastAsia="宋体" w:hAnsi="宋体" w:cs="宋体"/>
                <w:spacing w:val="-2"/>
                <w:sz w:val="16"/>
                <w:szCs w:val="16"/>
              </w:rPr>
              <w:t>糯米</w:t>
            </w:r>
          </w:p>
        </w:tc>
        <w:tc>
          <w:tcPr>
            <w:tcW w:w="605" w:type="dxa"/>
            <w:tcBorders>
              <w:right w:val="single" w:sz="4" w:space="0" w:color="000000"/>
            </w:tcBorders>
          </w:tcPr>
          <w:p w:rsidR="00EA40A3" w:rsidRDefault="00E86C16">
            <w:pPr>
              <w:spacing w:before="98" w:line="179" w:lineRule="auto"/>
              <w:ind w:left="215"/>
              <w:rPr>
                <w:rFonts w:ascii="宋体" w:eastAsia="宋体" w:hAnsi="宋体" w:cs="宋体"/>
                <w:sz w:val="16"/>
                <w:szCs w:val="16"/>
              </w:rPr>
            </w:pPr>
            <w:r>
              <w:rPr>
                <w:rFonts w:ascii="宋体" w:eastAsia="宋体" w:hAnsi="宋体" w:cs="宋体"/>
                <w:spacing w:val="-2"/>
                <w:sz w:val="16"/>
                <w:szCs w:val="16"/>
              </w:rPr>
              <w:t>66</w:t>
            </w:r>
          </w:p>
        </w:tc>
        <w:tc>
          <w:tcPr>
            <w:tcW w:w="830" w:type="dxa"/>
            <w:tcBorders>
              <w:left w:val="single" w:sz="4" w:space="0" w:color="000000"/>
            </w:tcBorders>
          </w:tcPr>
          <w:p w:rsidR="00EA40A3" w:rsidRDefault="00E86C16">
            <w:pPr>
              <w:spacing w:before="58" w:line="220" w:lineRule="auto"/>
              <w:ind w:left="155"/>
              <w:rPr>
                <w:rFonts w:ascii="宋体" w:eastAsia="宋体" w:hAnsi="宋体" w:cs="宋体"/>
                <w:sz w:val="16"/>
                <w:szCs w:val="16"/>
              </w:rPr>
            </w:pPr>
            <w:r>
              <w:rPr>
                <w:rFonts w:ascii="宋体" w:eastAsia="宋体" w:hAnsi="宋体" w:cs="宋体"/>
                <w:spacing w:val="-2"/>
                <w:sz w:val="16"/>
                <w:szCs w:val="16"/>
              </w:rPr>
              <w:t>新土豆</w:t>
            </w:r>
          </w:p>
        </w:tc>
        <w:tc>
          <w:tcPr>
            <w:tcW w:w="590" w:type="dxa"/>
            <w:tcBorders>
              <w:right w:val="single" w:sz="4" w:space="0" w:color="000000"/>
            </w:tcBorders>
          </w:tcPr>
          <w:p w:rsidR="00EA40A3" w:rsidRDefault="00E86C16">
            <w:pPr>
              <w:spacing w:before="98" w:line="179" w:lineRule="auto"/>
              <w:ind w:left="200"/>
              <w:rPr>
                <w:rFonts w:ascii="宋体" w:eastAsia="宋体" w:hAnsi="宋体" w:cs="宋体"/>
                <w:sz w:val="16"/>
                <w:szCs w:val="16"/>
              </w:rPr>
            </w:pPr>
            <w:r>
              <w:rPr>
                <w:rFonts w:ascii="宋体" w:eastAsia="宋体" w:hAnsi="宋体" w:cs="宋体"/>
                <w:spacing w:val="-3"/>
                <w:sz w:val="16"/>
                <w:szCs w:val="16"/>
              </w:rPr>
              <w:t>70</w:t>
            </w:r>
          </w:p>
        </w:tc>
        <w:tc>
          <w:tcPr>
            <w:tcW w:w="813" w:type="dxa"/>
            <w:tcBorders>
              <w:left w:val="single" w:sz="4" w:space="0" w:color="000000"/>
            </w:tcBorders>
          </w:tcPr>
          <w:p w:rsidR="00EA40A3" w:rsidRDefault="00E86C16">
            <w:pPr>
              <w:spacing w:before="58" w:line="220" w:lineRule="auto"/>
              <w:ind w:left="144"/>
              <w:rPr>
                <w:rFonts w:ascii="宋体" w:eastAsia="宋体" w:hAnsi="宋体" w:cs="宋体"/>
                <w:sz w:val="16"/>
                <w:szCs w:val="16"/>
              </w:rPr>
            </w:pPr>
            <w:r>
              <w:rPr>
                <w:rFonts w:ascii="宋体" w:eastAsia="宋体" w:hAnsi="宋体" w:cs="宋体"/>
                <w:spacing w:val="-2"/>
                <w:sz w:val="16"/>
                <w:szCs w:val="16"/>
              </w:rPr>
              <w:t>蔗糖</w:t>
            </w:r>
          </w:p>
        </w:tc>
        <w:tc>
          <w:tcPr>
            <w:tcW w:w="607" w:type="dxa"/>
            <w:tcBorders>
              <w:right w:val="single" w:sz="4" w:space="0" w:color="000000"/>
            </w:tcBorders>
          </w:tcPr>
          <w:p w:rsidR="00EA40A3" w:rsidRDefault="00E86C16">
            <w:pPr>
              <w:spacing w:before="98" w:line="179" w:lineRule="auto"/>
              <w:ind w:left="206"/>
              <w:rPr>
                <w:rFonts w:ascii="宋体" w:eastAsia="宋体" w:hAnsi="宋体" w:cs="宋体"/>
                <w:sz w:val="16"/>
                <w:szCs w:val="16"/>
              </w:rPr>
            </w:pPr>
            <w:r>
              <w:rPr>
                <w:rFonts w:ascii="宋体" w:eastAsia="宋体" w:hAnsi="宋体" w:cs="宋体"/>
                <w:spacing w:val="-2"/>
                <w:sz w:val="16"/>
                <w:szCs w:val="16"/>
              </w:rPr>
              <w:t>60</w:t>
            </w:r>
          </w:p>
        </w:tc>
        <w:tc>
          <w:tcPr>
            <w:tcW w:w="788" w:type="dxa"/>
            <w:tcBorders>
              <w:left w:val="single" w:sz="4" w:space="0" w:color="000000"/>
            </w:tcBorders>
          </w:tcPr>
          <w:p w:rsidR="00EA40A3" w:rsidRDefault="00E86C16">
            <w:pPr>
              <w:spacing w:before="58" w:line="221" w:lineRule="auto"/>
              <w:ind w:left="235"/>
              <w:rPr>
                <w:rFonts w:ascii="宋体" w:eastAsia="宋体" w:hAnsi="宋体" w:cs="宋体"/>
                <w:sz w:val="16"/>
                <w:szCs w:val="16"/>
              </w:rPr>
            </w:pPr>
            <w:r>
              <w:rPr>
                <w:rFonts w:ascii="宋体" w:eastAsia="宋体" w:hAnsi="宋体" w:cs="宋体"/>
                <w:spacing w:val="-3"/>
                <w:sz w:val="16"/>
                <w:szCs w:val="16"/>
              </w:rPr>
              <w:t>牛奶</w:t>
            </w:r>
          </w:p>
        </w:tc>
        <w:tc>
          <w:tcPr>
            <w:tcW w:w="632" w:type="dxa"/>
            <w:tcBorders>
              <w:right w:val="single" w:sz="4" w:space="0" w:color="000000"/>
            </w:tcBorders>
          </w:tcPr>
          <w:p w:rsidR="00EA40A3" w:rsidRDefault="00E86C16">
            <w:pPr>
              <w:spacing w:before="98" w:line="179" w:lineRule="auto"/>
              <w:ind w:left="242"/>
              <w:rPr>
                <w:rFonts w:ascii="宋体" w:eastAsia="宋体" w:hAnsi="宋体" w:cs="宋体"/>
                <w:sz w:val="16"/>
                <w:szCs w:val="16"/>
              </w:rPr>
            </w:pPr>
            <w:r>
              <w:rPr>
                <w:rFonts w:ascii="宋体" w:eastAsia="宋体" w:hAnsi="宋体" w:cs="宋体"/>
                <w:spacing w:val="-3"/>
                <w:sz w:val="16"/>
                <w:szCs w:val="16"/>
              </w:rPr>
              <w:t>36</w:t>
            </w:r>
          </w:p>
        </w:tc>
        <w:tc>
          <w:tcPr>
            <w:tcW w:w="843" w:type="dxa"/>
            <w:tcBorders>
              <w:left w:val="single" w:sz="4" w:space="0" w:color="000000"/>
            </w:tcBorders>
          </w:tcPr>
          <w:p w:rsidR="00EA40A3" w:rsidRDefault="00EA40A3"/>
        </w:tc>
        <w:tc>
          <w:tcPr>
            <w:tcW w:w="757" w:type="dxa"/>
          </w:tcPr>
          <w:p w:rsidR="00EA40A3" w:rsidRDefault="00EA40A3"/>
        </w:tc>
      </w:tr>
      <w:tr w:rsidR="00EA40A3">
        <w:trPr>
          <w:trHeight w:val="252"/>
        </w:trPr>
        <w:tc>
          <w:tcPr>
            <w:tcW w:w="805" w:type="dxa"/>
            <w:tcBorders>
              <w:bottom w:val="single" w:sz="4" w:space="0" w:color="000000"/>
            </w:tcBorders>
          </w:tcPr>
          <w:p w:rsidR="00EA40A3" w:rsidRDefault="00E86C16">
            <w:pPr>
              <w:spacing w:before="53" w:line="219" w:lineRule="auto"/>
              <w:ind w:left="140"/>
              <w:rPr>
                <w:rFonts w:ascii="宋体" w:eastAsia="宋体" w:hAnsi="宋体" w:cs="宋体"/>
                <w:sz w:val="16"/>
                <w:szCs w:val="16"/>
              </w:rPr>
            </w:pPr>
            <w:r>
              <w:rPr>
                <w:rFonts w:ascii="宋体" w:eastAsia="宋体" w:hAnsi="宋体" w:cs="宋体"/>
                <w:spacing w:val="-2"/>
                <w:sz w:val="16"/>
                <w:szCs w:val="16"/>
              </w:rPr>
              <w:t>玉米粥</w:t>
            </w:r>
          </w:p>
        </w:tc>
        <w:tc>
          <w:tcPr>
            <w:tcW w:w="605" w:type="dxa"/>
            <w:tcBorders>
              <w:bottom w:val="single" w:sz="4" w:space="0" w:color="000000"/>
              <w:right w:val="single" w:sz="4" w:space="0" w:color="000000"/>
            </w:tcBorders>
          </w:tcPr>
          <w:p w:rsidR="00EA40A3" w:rsidRDefault="00E86C16">
            <w:pPr>
              <w:spacing w:before="104" w:line="170" w:lineRule="auto"/>
              <w:ind w:left="205"/>
              <w:rPr>
                <w:rFonts w:ascii="宋体" w:eastAsia="宋体" w:hAnsi="宋体" w:cs="宋体"/>
                <w:sz w:val="16"/>
                <w:szCs w:val="16"/>
              </w:rPr>
            </w:pPr>
            <w:r>
              <w:rPr>
                <w:rFonts w:ascii="宋体" w:eastAsia="宋体" w:hAnsi="宋体" w:cs="宋体"/>
                <w:spacing w:val="-2"/>
                <w:sz w:val="16"/>
                <w:szCs w:val="16"/>
              </w:rPr>
              <w:t>80</w:t>
            </w:r>
          </w:p>
        </w:tc>
        <w:tc>
          <w:tcPr>
            <w:tcW w:w="830" w:type="dxa"/>
            <w:tcBorders>
              <w:left w:val="single" w:sz="4" w:space="0" w:color="000000"/>
              <w:bottom w:val="single" w:sz="4" w:space="0" w:color="000000"/>
            </w:tcBorders>
          </w:tcPr>
          <w:p w:rsidR="00EA40A3" w:rsidRDefault="00E86C16">
            <w:pPr>
              <w:spacing w:before="63" w:line="218" w:lineRule="auto"/>
              <w:ind w:left="155"/>
              <w:rPr>
                <w:rFonts w:ascii="宋体" w:eastAsia="宋体" w:hAnsi="宋体" w:cs="宋体"/>
                <w:sz w:val="16"/>
                <w:szCs w:val="16"/>
              </w:rPr>
            </w:pPr>
            <w:r>
              <w:rPr>
                <w:rFonts w:ascii="宋体" w:eastAsia="宋体" w:hAnsi="宋体" w:cs="宋体"/>
                <w:spacing w:val="9"/>
                <w:sz w:val="16"/>
                <w:szCs w:val="16"/>
              </w:rPr>
              <w:t>胡萝卜</w:t>
            </w:r>
          </w:p>
        </w:tc>
        <w:tc>
          <w:tcPr>
            <w:tcW w:w="590" w:type="dxa"/>
            <w:tcBorders>
              <w:bottom w:val="single" w:sz="4" w:space="0" w:color="000000"/>
              <w:right w:val="single" w:sz="4" w:space="0" w:color="000000"/>
            </w:tcBorders>
          </w:tcPr>
          <w:p w:rsidR="00EA40A3" w:rsidRDefault="00E86C16">
            <w:pPr>
              <w:spacing w:before="115" w:line="158" w:lineRule="auto"/>
              <w:ind w:left="190"/>
              <w:rPr>
                <w:rFonts w:ascii="宋体" w:eastAsia="宋体" w:hAnsi="宋体" w:cs="宋体"/>
                <w:sz w:val="16"/>
                <w:szCs w:val="16"/>
              </w:rPr>
            </w:pPr>
            <w:r>
              <w:rPr>
                <w:rFonts w:ascii="宋体" w:eastAsia="宋体" w:hAnsi="宋体" w:cs="宋体"/>
                <w:spacing w:val="-2"/>
                <w:sz w:val="16"/>
                <w:szCs w:val="16"/>
              </w:rPr>
              <w:t>92</w:t>
            </w:r>
          </w:p>
        </w:tc>
        <w:tc>
          <w:tcPr>
            <w:tcW w:w="813" w:type="dxa"/>
            <w:tcBorders>
              <w:left w:val="single" w:sz="4" w:space="0" w:color="000000"/>
              <w:bottom w:val="single" w:sz="4" w:space="0" w:color="000000"/>
            </w:tcBorders>
          </w:tcPr>
          <w:p w:rsidR="00EA40A3" w:rsidRDefault="00E86C16">
            <w:pPr>
              <w:spacing w:before="63" w:line="218" w:lineRule="auto"/>
              <w:ind w:left="144"/>
              <w:rPr>
                <w:rFonts w:ascii="宋体" w:eastAsia="宋体" w:hAnsi="宋体" w:cs="宋体"/>
                <w:sz w:val="16"/>
                <w:szCs w:val="16"/>
              </w:rPr>
            </w:pPr>
            <w:r>
              <w:rPr>
                <w:rFonts w:ascii="宋体" w:eastAsia="宋体" w:hAnsi="宋体" w:cs="宋体"/>
                <w:spacing w:val="-2"/>
                <w:sz w:val="16"/>
                <w:szCs w:val="16"/>
              </w:rPr>
              <w:t>麦芽糖</w:t>
            </w:r>
          </w:p>
        </w:tc>
        <w:tc>
          <w:tcPr>
            <w:tcW w:w="607" w:type="dxa"/>
            <w:tcBorders>
              <w:bottom w:val="single" w:sz="4" w:space="0" w:color="000000"/>
              <w:right w:val="single" w:sz="4" w:space="0" w:color="000000"/>
            </w:tcBorders>
          </w:tcPr>
          <w:p w:rsidR="00EA40A3" w:rsidRDefault="00E86C16">
            <w:pPr>
              <w:spacing w:before="104" w:line="170" w:lineRule="auto"/>
              <w:ind w:left="197"/>
              <w:rPr>
                <w:rFonts w:ascii="宋体" w:eastAsia="宋体" w:hAnsi="宋体" w:cs="宋体"/>
                <w:sz w:val="16"/>
                <w:szCs w:val="16"/>
              </w:rPr>
            </w:pPr>
            <w:r>
              <w:rPr>
                <w:rFonts w:ascii="宋体" w:eastAsia="宋体" w:hAnsi="宋体" w:cs="宋体"/>
                <w:spacing w:val="-5"/>
                <w:sz w:val="16"/>
                <w:szCs w:val="16"/>
              </w:rPr>
              <w:t>108</w:t>
            </w:r>
          </w:p>
        </w:tc>
        <w:tc>
          <w:tcPr>
            <w:tcW w:w="788" w:type="dxa"/>
            <w:tcBorders>
              <w:left w:val="single" w:sz="4" w:space="0" w:color="000000"/>
              <w:bottom w:val="single" w:sz="4" w:space="0" w:color="000000"/>
            </w:tcBorders>
          </w:tcPr>
          <w:p w:rsidR="00EA40A3" w:rsidRDefault="00E86C16">
            <w:pPr>
              <w:spacing w:before="63" w:line="218" w:lineRule="auto"/>
              <w:ind w:left="235"/>
              <w:rPr>
                <w:rFonts w:ascii="宋体" w:eastAsia="宋体" w:hAnsi="宋体" w:cs="宋体"/>
                <w:sz w:val="16"/>
                <w:szCs w:val="16"/>
              </w:rPr>
            </w:pPr>
            <w:r>
              <w:rPr>
                <w:rFonts w:ascii="宋体" w:eastAsia="宋体" w:hAnsi="宋体" w:cs="宋体"/>
                <w:spacing w:val="-2"/>
                <w:sz w:val="16"/>
                <w:szCs w:val="16"/>
              </w:rPr>
              <w:t>黄豆</w:t>
            </w:r>
          </w:p>
        </w:tc>
        <w:tc>
          <w:tcPr>
            <w:tcW w:w="632" w:type="dxa"/>
            <w:tcBorders>
              <w:bottom w:val="single" w:sz="4" w:space="0" w:color="000000"/>
              <w:right w:val="single" w:sz="4" w:space="0" w:color="000000"/>
            </w:tcBorders>
          </w:tcPr>
          <w:p w:rsidR="00EA40A3" w:rsidRDefault="00E86C16">
            <w:pPr>
              <w:spacing w:before="104" w:line="170" w:lineRule="auto"/>
              <w:ind w:left="242"/>
              <w:rPr>
                <w:rFonts w:ascii="宋体" w:eastAsia="宋体" w:hAnsi="宋体" w:cs="宋体"/>
                <w:sz w:val="16"/>
                <w:szCs w:val="16"/>
              </w:rPr>
            </w:pPr>
            <w:r>
              <w:rPr>
                <w:rFonts w:ascii="宋体" w:eastAsia="宋体" w:hAnsi="宋体" w:cs="宋体"/>
                <w:spacing w:val="-5"/>
                <w:sz w:val="16"/>
                <w:szCs w:val="16"/>
              </w:rPr>
              <w:t>15</w:t>
            </w:r>
          </w:p>
        </w:tc>
        <w:tc>
          <w:tcPr>
            <w:tcW w:w="843" w:type="dxa"/>
            <w:tcBorders>
              <w:left w:val="single" w:sz="4" w:space="0" w:color="000000"/>
              <w:bottom w:val="single" w:sz="4" w:space="0" w:color="000000"/>
            </w:tcBorders>
          </w:tcPr>
          <w:p w:rsidR="00EA40A3" w:rsidRDefault="00EA40A3"/>
        </w:tc>
        <w:tc>
          <w:tcPr>
            <w:tcW w:w="757" w:type="dxa"/>
            <w:tcBorders>
              <w:bottom w:val="single" w:sz="4" w:space="0" w:color="000000"/>
            </w:tcBorders>
          </w:tcPr>
          <w:p w:rsidR="00EA40A3" w:rsidRDefault="00EA40A3"/>
        </w:tc>
      </w:tr>
    </w:tbl>
    <w:p w:rsidR="00EA40A3" w:rsidRDefault="00E86C16">
      <w:pPr>
        <w:spacing w:before="81" w:line="219" w:lineRule="auto"/>
        <w:ind w:left="369"/>
        <w:rPr>
          <w:rFonts w:ascii="宋体" w:eastAsia="宋体" w:hAnsi="宋体" w:cs="宋体"/>
          <w:sz w:val="17"/>
          <w:szCs w:val="17"/>
        </w:rPr>
      </w:pPr>
      <w:r>
        <w:rPr>
          <w:rFonts w:ascii="宋体" w:eastAsia="宋体" w:hAnsi="宋体" w:cs="宋体"/>
          <w:spacing w:val="-11"/>
          <w:sz w:val="17"/>
          <w:szCs w:val="17"/>
        </w:rPr>
        <w:t>资料来源：中国营养学会.2000.中国居民</w:t>
      </w:r>
      <w:r>
        <w:rPr>
          <w:rFonts w:ascii="宋体" w:eastAsia="宋体" w:hAnsi="宋体" w:cs="宋体"/>
          <w:spacing w:val="-12"/>
          <w:sz w:val="17"/>
          <w:szCs w:val="17"/>
        </w:rPr>
        <w:t>膳食营养素参考摄入量.北京：中国轻工业出版社</w:t>
      </w:r>
    </w:p>
    <w:p w:rsidR="00EA40A3" w:rsidRDefault="00EA40A3">
      <w:pPr>
        <w:spacing w:line="304" w:lineRule="auto"/>
      </w:pPr>
    </w:p>
    <w:p w:rsidR="00EA40A3" w:rsidRDefault="00E86C16">
      <w:pPr>
        <w:spacing w:before="66" w:line="263" w:lineRule="auto"/>
        <w:ind w:left="10" w:right="74" w:firstLine="359"/>
        <w:jc w:val="both"/>
        <w:rPr>
          <w:rFonts w:ascii="宋体" w:eastAsia="宋体" w:hAnsi="宋体" w:cs="宋体"/>
          <w:sz w:val="20"/>
          <w:szCs w:val="20"/>
        </w:rPr>
      </w:pPr>
      <w:r>
        <w:rPr>
          <w:rFonts w:ascii="宋体" w:eastAsia="宋体" w:hAnsi="宋体" w:cs="宋体"/>
          <w:spacing w:val="7"/>
          <w:sz w:val="20"/>
          <w:szCs w:val="20"/>
        </w:rPr>
        <w:t>食物的血糖生成指数的概念和数值不仅用于糖尿病人的膳食管理，而且被广</w:t>
      </w:r>
      <w:r>
        <w:rPr>
          <w:rFonts w:ascii="宋体" w:eastAsia="宋体" w:hAnsi="宋体" w:cs="宋体"/>
          <w:spacing w:val="10"/>
          <w:sz w:val="20"/>
          <w:szCs w:val="20"/>
        </w:rPr>
        <w:t xml:space="preserve"> </w:t>
      </w:r>
      <w:r>
        <w:rPr>
          <w:rFonts w:ascii="宋体" w:eastAsia="宋体" w:hAnsi="宋体" w:cs="宋体"/>
          <w:spacing w:val="8"/>
          <w:sz w:val="20"/>
          <w:szCs w:val="20"/>
        </w:rPr>
        <w:t>泛应用于高血压病人和肥胖者的膳食管理、居民营养教育，甚至扩展</w:t>
      </w:r>
      <w:r>
        <w:rPr>
          <w:rFonts w:ascii="宋体" w:eastAsia="宋体" w:hAnsi="宋体" w:cs="宋体"/>
          <w:spacing w:val="7"/>
          <w:sz w:val="20"/>
          <w:szCs w:val="20"/>
        </w:rPr>
        <w:t>到运动员的</w:t>
      </w:r>
      <w:r>
        <w:rPr>
          <w:rFonts w:ascii="宋体" w:eastAsia="宋体" w:hAnsi="宋体" w:cs="宋体"/>
          <w:sz w:val="20"/>
          <w:szCs w:val="20"/>
        </w:rPr>
        <w:t xml:space="preserve"> </w:t>
      </w:r>
      <w:r>
        <w:rPr>
          <w:rFonts w:ascii="宋体" w:eastAsia="宋体" w:hAnsi="宋体" w:cs="宋体"/>
          <w:spacing w:val="3"/>
          <w:sz w:val="20"/>
          <w:szCs w:val="20"/>
        </w:rPr>
        <w:t>膳食管理、食欲研究等多项用途中。</w:t>
      </w:r>
    </w:p>
    <w:p w:rsidR="00EA40A3" w:rsidRDefault="00E86C16">
      <w:pPr>
        <w:spacing w:before="211" w:line="220" w:lineRule="auto"/>
        <w:ind w:left="10"/>
        <w:rPr>
          <w:rFonts w:ascii="仿宋" w:eastAsia="仿宋" w:hAnsi="仿宋" w:cs="仿宋"/>
          <w:sz w:val="23"/>
          <w:szCs w:val="23"/>
        </w:rPr>
      </w:pPr>
      <w:r>
        <w:rPr>
          <w:rFonts w:ascii="仿宋" w:eastAsia="仿宋" w:hAnsi="仿宋" w:cs="仿宋"/>
          <w:spacing w:val="3"/>
          <w:sz w:val="23"/>
          <w:szCs w:val="23"/>
        </w:rPr>
        <w:t>4.</w:t>
      </w:r>
      <w:r>
        <w:rPr>
          <w:rFonts w:ascii="仿宋" w:eastAsia="仿宋" w:hAnsi="仿宋" w:cs="仿宋"/>
          <w:spacing w:val="-52"/>
          <w:sz w:val="23"/>
          <w:szCs w:val="23"/>
        </w:rPr>
        <w:t xml:space="preserve"> </w:t>
      </w:r>
      <w:r>
        <w:rPr>
          <w:rFonts w:ascii="仿宋" w:eastAsia="仿宋" w:hAnsi="仿宋" w:cs="仿宋"/>
          <w:spacing w:val="3"/>
          <w:sz w:val="23"/>
          <w:szCs w:val="23"/>
        </w:rPr>
        <w:t>功能性低聚糖的摄入量</w:t>
      </w:r>
    </w:p>
    <w:p w:rsidR="00EA40A3" w:rsidRDefault="00E86C16">
      <w:pPr>
        <w:spacing w:before="200" w:line="262" w:lineRule="auto"/>
        <w:ind w:left="10" w:right="97" w:firstLine="359"/>
        <w:jc w:val="both"/>
        <w:rPr>
          <w:rFonts w:ascii="宋体" w:eastAsia="宋体" w:hAnsi="宋体" w:cs="宋体"/>
          <w:sz w:val="20"/>
          <w:szCs w:val="20"/>
        </w:rPr>
      </w:pPr>
      <w:r>
        <w:rPr>
          <w:rFonts w:ascii="宋体" w:eastAsia="宋体" w:hAnsi="宋体" w:cs="宋体"/>
          <w:spacing w:val="7"/>
          <w:sz w:val="20"/>
          <w:szCs w:val="20"/>
        </w:rPr>
        <w:t>随着对功能性低聚糖研究的深入和认识的提高，功能性低聚糖的摄入量问题</w:t>
      </w:r>
      <w:r>
        <w:rPr>
          <w:rFonts w:ascii="宋体" w:eastAsia="宋体" w:hAnsi="宋体" w:cs="宋体"/>
          <w:spacing w:val="8"/>
          <w:sz w:val="20"/>
          <w:szCs w:val="20"/>
        </w:rPr>
        <w:t xml:space="preserve"> </w:t>
      </w:r>
      <w:r>
        <w:rPr>
          <w:rFonts w:ascii="宋体" w:eastAsia="宋体" w:hAnsi="宋体" w:cs="宋体"/>
          <w:spacing w:val="7"/>
          <w:sz w:val="20"/>
          <w:szCs w:val="20"/>
        </w:rPr>
        <w:t>引起人们的关注，功能性低聚糖虽比较广泛地存在于植物性食物中，但一般人日</w:t>
      </w:r>
      <w:r>
        <w:rPr>
          <w:rFonts w:ascii="宋体" w:eastAsia="宋体" w:hAnsi="宋体" w:cs="宋体"/>
          <w:sz w:val="20"/>
          <w:szCs w:val="20"/>
        </w:rPr>
        <w:t xml:space="preserve"> </w:t>
      </w:r>
      <w:r>
        <w:rPr>
          <w:rFonts w:ascii="宋体" w:eastAsia="宋体" w:hAnsi="宋体" w:cs="宋体"/>
          <w:spacing w:val="7"/>
          <w:sz w:val="20"/>
          <w:szCs w:val="20"/>
        </w:rPr>
        <w:t>常膳食往往达不到有效的摄入量。与其他难消化糖一样，低聚糖过量摄入也会产</w:t>
      </w:r>
      <w:r>
        <w:rPr>
          <w:rFonts w:ascii="宋体" w:eastAsia="宋体" w:hAnsi="宋体" w:cs="宋体"/>
          <w:spacing w:val="6"/>
          <w:sz w:val="20"/>
          <w:szCs w:val="20"/>
        </w:rPr>
        <w:t xml:space="preserve"> </w:t>
      </w:r>
      <w:r>
        <w:rPr>
          <w:rFonts w:ascii="宋体" w:eastAsia="宋体" w:hAnsi="宋体" w:cs="宋体"/>
          <w:spacing w:val="7"/>
          <w:sz w:val="20"/>
          <w:szCs w:val="20"/>
        </w:rPr>
        <w:t>生胃肠胀气和腹泻。各种低聚糖的最小有效剂量和最大无作用量</w:t>
      </w:r>
      <w:r>
        <w:rPr>
          <w:rFonts w:ascii="宋体" w:eastAsia="宋体" w:hAnsi="宋体" w:cs="宋体"/>
          <w:spacing w:val="6"/>
          <w:sz w:val="20"/>
          <w:szCs w:val="20"/>
        </w:rPr>
        <w:t>见表3-10。</w:t>
      </w:r>
    </w:p>
    <w:p w:rsidR="00EA40A3" w:rsidRDefault="00EA40A3">
      <w:pPr>
        <w:spacing w:line="302" w:lineRule="auto"/>
      </w:pPr>
    </w:p>
    <w:p w:rsidR="00EA40A3" w:rsidRDefault="00E86C16">
      <w:pPr>
        <w:spacing w:before="65" w:line="221" w:lineRule="auto"/>
        <w:ind w:left="2252"/>
        <w:rPr>
          <w:rFonts w:ascii="黑体" w:eastAsia="黑体" w:hAnsi="黑体" w:cs="黑体"/>
          <w:sz w:val="20"/>
          <w:szCs w:val="20"/>
        </w:rPr>
      </w:pPr>
      <w:r>
        <w:rPr>
          <w:rFonts w:ascii="黑体" w:eastAsia="黑体" w:hAnsi="黑体" w:cs="黑体"/>
          <w:b/>
          <w:bCs/>
          <w:spacing w:val="-18"/>
          <w:sz w:val="20"/>
          <w:szCs w:val="20"/>
        </w:rPr>
        <w:t>表3-10</w:t>
      </w:r>
      <w:r>
        <w:rPr>
          <w:rFonts w:ascii="黑体" w:eastAsia="黑体" w:hAnsi="黑体" w:cs="黑体"/>
          <w:spacing w:val="54"/>
          <w:sz w:val="20"/>
          <w:szCs w:val="20"/>
        </w:rPr>
        <w:t xml:space="preserve"> </w:t>
      </w:r>
      <w:r>
        <w:rPr>
          <w:rFonts w:ascii="黑体" w:eastAsia="黑体" w:hAnsi="黑体" w:cs="黑体"/>
          <w:b/>
          <w:bCs/>
          <w:spacing w:val="-18"/>
          <w:sz w:val="20"/>
          <w:szCs w:val="20"/>
        </w:rPr>
        <w:t>部分难消化低聚糖的摄取量</w:t>
      </w:r>
    </w:p>
    <w:p w:rsidR="00EA40A3" w:rsidRDefault="00EA40A3">
      <w:pPr>
        <w:spacing w:line="27" w:lineRule="auto"/>
        <w:rPr>
          <w:sz w:val="2"/>
        </w:rPr>
      </w:pPr>
    </w:p>
    <w:tbl>
      <w:tblPr>
        <w:tblStyle w:val="TableNormal"/>
        <w:tblW w:w="730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20"/>
        <w:gridCol w:w="578"/>
        <w:gridCol w:w="649"/>
        <w:gridCol w:w="672"/>
        <w:gridCol w:w="673"/>
        <w:gridCol w:w="530"/>
        <w:gridCol w:w="685"/>
        <w:gridCol w:w="1902"/>
      </w:tblGrid>
      <w:tr w:rsidR="00EA40A3">
        <w:trPr>
          <w:trHeight w:val="561"/>
        </w:trPr>
        <w:tc>
          <w:tcPr>
            <w:tcW w:w="1620" w:type="dxa"/>
            <w:tcBorders>
              <w:top w:val="single" w:sz="4" w:space="0" w:color="000000"/>
              <w:bottom w:val="single" w:sz="4" w:space="0" w:color="000000"/>
            </w:tcBorders>
          </w:tcPr>
          <w:p w:rsidR="00EA40A3" w:rsidRDefault="00E86C16">
            <w:pPr>
              <w:spacing w:before="202" w:line="220" w:lineRule="auto"/>
              <w:ind w:left="680"/>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578" w:type="dxa"/>
            <w:tcBorders>
              <w:top w:val="single" w:sz="4" w:space="0" w:color="000000"/>
              <w:bottom w:val="single" w:sz="4" w:space="0" w:color="000000"/>
            </w:tcBorders>
          </w:tcPr>
          <w:p w:rsidR="00EA40A3" w:rsidRDefault="00E86C16">
            <w:pPr>
              <w:spacing w:before="122" w:line="260" w:lineRule="exact"/>
              <w:ind w:left="119"/>
              <w:rPr>
                <w:rFonts w:ascii="宋体" w:eastAsia="宋体" w:hAnsi="宋体" w:cs="宋体"/>
                <w:sz w:val="16"/>
                <w:szCs w:val="16"/>
              </w:rPr>
            </w:pPr>
            <w:r>
              <w:rPr>
                <w:rFonts w:ascii="宋体" w:eastAsia="宋体" w:hAnsi="宋体" w:cs="宋体"/>
                <w:spacing w:val="-2"/>
                <w:position w:val="7"/>
                <w:sz w:val="16"/>
                <w:szCs w:val="16"/>
              </w:rPr>
              <w:t>乳果</w:t>
            </w:r>
          </w:p>
          <w:p w:rsidR="00EA40A3" w:rsidRDefault="00E86C16">
            <w:pPr>
              <w:spacing w:line="206" w:lineRule="auto"/>
              <w:ind w:left="280"/>
              <w:rPr>
                <w:rFonts w:ascii="宋体" w:eastAsia="宋体" w:hAnsi="宋体" w:cs="宋体"/>
                <w:sz w:val="16"/>
                <w:szCs w:val="16"/>
              </w:rPr>
            </w:pPr>
            <w:r>
              <w:rPr>
                <w:rFonts w:ascii="宋体" w:eastAsia="宋体" w:hAnsi="宋体" w:cs="宋体"/>
                <w:sz w:val="16"/>
                <w:szCs w:val="16"/>
              </w:rPr>
              <w:t>糖</w:t>
            </w:r>
          </w:p>
        </w:tc>
        <w:tc>
          <w:tcPr>
            <w:tcW w:w="649" w:type="dxa"/>
            <w:tcBorders>
              <w:top w:val="single" w:sz="4" w:space="0" w:color="000000"/>
              <w:bottom w:val="single" w:sz="4" w:space="0" w:color="000000"/>
            </w:tcBorders>
          </w:tcPr>
          <w:p w:rsidR="00EA40A3" w:rsidRDefault="00E86C16">
            <w:pPr>
              <w:spacing w:before="122" w:line="248" w:lineRule="auto"/>
              <w:ind w:left="232" w:right="102"/>
              <w:rPr>
                <w:rFonts w:ascii="宋体" w:eastAsia="宋体" w:hAnsi="宋体" w:cs="宋体"/>
                <w:sz w:val="16"/>
                <w:szCs w:val="16"/>
              </w:rPr>
            </w:pPr>
            <w:r>
              <w:rPr>
                <w:rFonts w:ascii="宋体" w:eastAsia="宋体" w:hAnsi="宋体" w:cs="宋体"/>
                <w:spacing w:val="-3"/>
                <w:sz w:val="16"/>
                <w:szCs w:val="16"/>
              </w:rPr>
              <w:t>低聚</w:t>
            </w:r>
            <w:r>
              <w:rPr>
                <w:rFonts w:ascii="宋体" w:eastAsia="宋体" w:hAnsi="宋体" w:cs="宋体"/>
                <w:sz w:val="16"/>
                <w:szCs w:val="16"/>
              </w:rPr>
              <w:t xml:space="preserve"> </w:t>
            </w:r>
            <w:r>
              <w:rPr>
                <w:rFonts w:ascii="宋体" w:eastAsia="宋体" w:hAnsi="宋体" w:cs="宋体"/>
                <w:spacing w:val="-5"/>
                <w:sz w:val="16"/>
                <w:szCs w:val="16"/>
              </w:rPr>
              <w:t>果糖</w:t>
            </w:r>
          </w:p>
        </w:tc>
        <w:tc>
          <w:tcPr>
            <w:tcW w:w="672" w:type="dxa"/>
            <w:tcBorders>
              <w:top w:val="single" w:sz="4" w:space="0" w:color="000000"/>
              <w:bottom w:val="single" w:sz="4" w:space="0" w:color="000000"/>
            </w:tcBorders>
          </w:tcPr>
          <w:p w:rsidR="00EA40A3" w:rsidRDefault="00E86C16">
            <w:pPr>
              <w:spacing w:before="132" w:line="247" w:lineRule="auto"/>
              <w:ind w:left="192" w:right="87" w:hanging="80"/>
              <w:rPr>
                <w:rFonts w:ascii="宋体" w:eastAsia="宋体" w:hAnsi="宋体" w:cs="宋体"/>
                <w:sz w:val="16"/>
                <w:szCs w:val="16"/>
              </w:rPr>
            </w:pPr>
            <w:r>
              <w:rPr>
                <w:rFonts w:ascii="宋体" w:eastAsia="宋体" w:hAnsi="宋体" w:cs="宋体"/>
                <w:spacing w:val="-3"/>
                <w:sz w:val="16"/>
                <w:szCs w:val="16"/>
              </w:rPr>
              <w:t>大豆低</w:t>
            </w:r>
            <w:r>
              <w:rPr>
                <w:rFonts w:ascii="宋体" w:eastAsia="宋体" w:hAnsi="宋体" w:cs="宋体"/>
                <w:sz w:val="16"/>
                <w:szCs w:val="16"/>
              </w:rPr>
              <w:t xml:space="preserve"> </w:t>
            </w:r>
            <w:r>
              <w:rPr>
                <w:rFonts w:ascii="宋体" w:eastAsia="宋体" w:hAnsi="宋体" w:cs="宋体"/>
                <w:spacing w:val="-4"/>
                <w:sz w:val="16"/>
                <w:szCs w:val="16"/>
              </w:rPr>
              <w:t>聚糖</w:t>
            </w:r>
          </w:p>
        </w:tc>
        <w:tc>
          <w:tcPr>
            <w:tcW w:w="673" w:type="dxa"/>
            <w:tcBorders>
              <w:top w:val="single" w:sz="4" w:space="0" w:color="000000"/>
              <w:bottom w:val="single" w:sz="4" w:space="0" w:color="000000"/>
            </w:tcBorders>
          </w:tcPr>
          <w:p w:rsidR="00EA40A3" w:rsidRDefault="00E86C16">
            <w:pPr>
              <w:spacing w:before="132" w:line="220" w:lineRule="auto"/>
              <w:ind w:left="101"/>
              <w:rPr>
                <w:rFonts w:ascii="宋体" w:eastAsia="宋体" w:hAnsi="宋体" w:cs="宋体"/>
                <w:sz w:val="16"/>
                <w:szCs w:val="16"/>
              </w:rPr>
            </w:pPr>
            <w:r>
              <w:rPr>
                <w:rFonts w:ascii="宋体" w:eastAsia="宋体" w:hAnsi="宋体" w:cs="宋体"/>
                <w:spacing w:val="-2"/>
                <w:sz w:val="16"/>
                <w:szCs w:val="16"/>
              </w:rPr>
              <w:t>低聚半</w:t>
            </w:r>
          </w:p>
          <w:p w:rsidR="00EA40A3" w:rsidRDefault="00E86C16">
            <w:pPr>
              <w:spacing w:before="49" w:line="218" w:lineRule="auto"/>
              <w:ind w:left="180"/>
              <w:rPr>
                <w:rFonts w:ascii="宋体" w:eastAsia="宋体" w:hAnsi="宋体" w:cs="宋体"/>
                <w:sz w:val="16"/>
                <w:szCs w:val="16"/>
              </w:rPr>
            </w:pPr>
            <w:r>
              <w:rPr>
                <w:rFonts w:ascii="宋体" w:eastAsia="宋体" w:hAnsi="宋体" w:cs="宋体"/>
                <w:spacing w:val="-2"/>
                <w:sz w:val="16"/>
                <w:szCs w:val="16"/>
              </w:rPr>
              <w:t>乳糖</w:t>
            </w:r>
          </w:p>
        </w:tc>
        <w:tc>
          <w:tcPr>
            <w:tcW w:w="530" w:type="dxa"/>
            <w:tcBorders>
              <w:top w:val="single" w:sz="4" w:space="0" w:color="000000"/>
              <w:bottom w:val="single" w:sz="4" w:space="0" w:color="000000"/>
            </w:tcBorders>
          </w:tcPr>
          <w:p w:rsidR="00EA40A3" w:rsidRDefault="00E86C16">
            <w:pPr>
              <w:spacing w:before="122" w:line="240" w:lineRule="exact"/>
              <w:ind w:left="108"/>
              <w:rPr>
                <w:rFonts w:ascii="宋体" w:eastAsia="宋体" w:hAnsi="宋体" w:cs="宋体"/>
                <w:sz w:val="16"/>
                <w:szCs w:val="16"/>
              </w:rPr>
            </w:pPr>
            <w:r>
              <w:rPr>
                <w:rFonts w:ascii="宋体" w:eastAsia="宋体" w:hAnsi="宋体" w:cs="宋体"/>
                <w:spacing w:val="-2"/>
                <w:position w:val="5"/>
                <w:sz w:val="16"/>
                <w:szCs w:val="16"/>
              </w:rPr>
              <w:t>低聚</w:t>
            </w:r>
          </w:p>
          <w:p w:rsidR="00EA40A3" w:rsidRDefault="00E86C16">
            <w:pPr>
              <w:spacing w:line="220" w:lineRule="auto"/>
              <w:ind w:left="108"/>
              <w:rPr>
                <w:rFonts w:ascii="宋体" w:eastAsia="宋体" w:hAnsi="宋体" w:cs="宋体"/>
                <w:sz w:val="16"/>
                <w:szCs w:val="16"/>
              </w:rPr>
            </w:pPr>
            <w:r>
              <w:rPr>
                <w:rFonts w:ascii="宋体" w:eastAsia="宋体" w:hAnsi="宋体" w:cs="宋体"/>
                <w:spacing w:val="-2"/>
                <w:sz w:val="16"/>
                <w:szCs w:val="16"/>
              </w:rPr>
              <w:t>木糖</w:t>
            </w:r>
          </w:p>
        </w:tc>
        <w:tc>
          <w:tcPr>
            <w:tcW w:w="685" w:type="dxa"/>
            <w:tcBorders>
              <w:top w:val="single" w:sz="4" w:space="0" w:color="000000"/>
              <w:bottom w:val="single" w:sz="4" w:space="0" w:color="000000"/>
            </w:tcBorders>
          </w:tcPr>
          <w:p w:rsidR="00EA40A3" w:rsidRDefault="00E86C16">
            <w:pPr>
              <w:spacing w:before="121" w:line="242" w:lineRule="auto"/>
              <w:ind w:left="118" w:right="92"/>
              <w:rPr>
                <w:rFonts w:ascii="宋体" w:eastAsia="宋体" w:hAnsi="宋体" w:cs="宋体"/>
                <w:sz w:val="16"/>
                <w:szCs w:val="16"/>
              </w:rPr>
            </w:pPr>
            <w:r>
              <w:rPr>
                <w:rFonts w:ascii="宋体" w:eastAsia="宋体" w:hAnsi="宋体" w:cs="宋体"/>
                <w:spacing w:val="-2"/>
                <w:sz w:val="16"/>
                <w:szCs w:val="16"/>
              </w:rPr>
              <w:t>低聚异</w:t>
            </w:r>
            <w:r>
              <w:rPr>
                <w:rFonts w:ascii="宋体" w:eastAsia="宋体" w:hAnsi="宋体" w:cs="宋体"/>
                <w:sz w:val="16"/>
                <w:szCs w:val="16"/>
              </w:rPr>
              <w:t xml:space="preserve"> </w:t>
            </w:r>
            <w:r>
              <w:rPr>
                <w:rFonts w:ascii="宋体" w:eastAsia="宋体" w:hAnsi="宋体" w:cs="宋体"/>
                <w:spacing w:val="-3"/>
                <w:sz w:val="16"/>
                <w:szCs w:val="16"/>
              </w:rPr>
              <w:t>麦芽糖</w:t>
            </w:r>
          </w:p>
        </w:tc>
        <w:tc>
          <w:tcPr>
            <w:tcW w:w="1902" w:type="dxa"/>
            <w:tcBorders>
              <w:top w:val="single" w:sz="4" w:space="0" w:color="000000"/>
              <w:bottom w:val="single" w:sz="4" w:space="0" w:color="000000"/>
            </w:tcBorders>
          </w:tcPr>
          <w:p w:rsidR="00EA40A3" w:rsidRDefault="00E86C16">
            <w:pPr>
              <w:spacing w:before="201" w:line="219" w:lineRule="auto"/>
              <w:ind w:left="103"/>
              <w:rPr>
                <w:rFonts w:ascii="宋体" w:eastAsia="宋体" w:hAnsi="宋体" w:cs="宋体"/>
                <w:sz w:val="16"/>
                <w:szCs w:val="16"/>
              </w:rPr>
            </w:pPr>
            <w:r>
              <w:rPr>
                <w:rFonts w:ascii="宋体" w:eastAsia="宋体" w:hAnsi="宋体" w:cs="宋体"/>
                <w:spacing w:val="-1"/>
                <w:sz w:val="16"/>
                <w:szCs w:val="16"/>
              </w:rPr>
              <w:t>乳酮糖水苏糖壳聚糖</w:t>
            </w:r>
          </w:p>
        </w:tc>
      </w:tr>
      <w:tr w:rsidR="00EA40A3">
        <w:trPr>
          <w:trHeight w:val="291"/>
        </w:trPr>
        <w:tc>
          <w:tcPr>
            <w:tcW w:w="1620" w:type="dxa"/>
            <w:tcBorders>
              <w:top w:val="single" w:sz="4" w:space="0" w:color="000000"/>
            </w:tcBorders>
          </w:tcPr>
          <w:p w:rsidR="00EA40A3" w:rsidRDefault="00E86C16">
            <w:pPr>
              <w:spacing w:before="85" w:line="214" w:lineRule="auto"/>
              <w:ind w:left="60"/>
              <w:rPr>
                <w:rFonts w:ascii="宋体" w:eastAsia="宋体" w:hAnsi="宋体" w:cs="宋体"/>
                <w:sz w:val="16"/>
                <w:szCs w:val="16"/>
              </w:rPr>
            </w:pPr>
            <w:r>
              <w:rPr>
                <w:rFonts w:ascii="宋体" w:eastAsia="宋体" w:hAnsi="宋体" w:cs="宋体"/>
                <w:spacing w:val="2"/>
                <w:sz w:val="16"/>
                <w:szCs w:val="16"/>
              </w:rPr>
              <w:t>最小有效剂量/(g/d)</w:t>
            </w:r>
          </w:p>
        </w:tc>
        <w:tc>
          <w:tcPr>
            <w:tcW w:w="578" w:type="dxa"/>
            <w:tcBorders>
              <w:top w:val="single" w:sz="4" w:space="0" w:color="000000"/>
            </w:tcBorders>
          </w:tcPr>
          <w:p w:rsidR="00EA40A3" w:rsidRDefault="00E86C16">
            <w:pPr>
              <w:spacing w:before="121" w:line="183" w:lineRule="auto"/>
              <w:ind w:left="270"/>
              <w:rPr>
                <w:rFonts w:ascii="宋体" w:eastAsia="宋体" w:hAnsi="宋体" w:cs="宋体"/>
                <w:sz w:val="16"/>
                <w:szCs w:val="16"/>
              </w:rPr>
            </w:pPr>
            <w:r>
              <w:rPr>
                <w:rFonts w:ascii="宋体" w:eastAsia="宋体" w:hAnsi="宋体" w:cs="宋体"/>
                <w:sz w:val="16"/>
                <w:szCs w:val="16"/>
              </w:rPr>
              <w:t>2</w:t>
            </w:r>
          </w:p>
        </w:tc>
        <w:tc>
          <w:tcPr>
            <w:tcW w:w="649" w:type="dxa"/>
            <w:tcBorders>
              <w:top w:val="single" w:sz="4" w:space="0" w:color="000000"/>
            </w:tcBorders>
          </w:tcPr>
          <w:p w:rsidR="00EA40A3" w:rsidRDefault="00E86C16">
            <w:pPr>
              <w:spacing w:before="131" w:line="183" w:lineRule="auto"/>
              <w:ind w:left="312"/>
              <w:rPr>
                <w:rFonts w:ascii="宋体" w:eastAsia="宋体" w:hAnsi="宋体" w:cs="宋体"/>
                <w:sz w:val="16"/>
                <w:szCs w:val="16"/>
              </w:rPr>
            </w:pPr>
            <w:r>
              <w:rPr>
                <w:rFonts w:ascii="宋体" w:eastAsia="宋体" w:hAnsi="宋体" w:cs="宋体"/>
                <w:sz w:val="16"/>
                <w:szCs w:val="16"/>
              </w:rPr>
              <w:t>3</w:t>
            </w:r>
          </w:p>
        </w:tc>
        <w:tc>
          <w:tcPr>
            <w:tcW w:w="672" w:type="dxa"/>
            <w:tcBorders>
              <w:top w:val="single" w:sz="4" w:space="0" w:color="000000"/>
            </w:tcBorders>
          </w:tcPr>
          <w:p w:rsidR="00EA40A3" w:rsidRDefault="00E86C16">
            <w:pPr>
              <w:spacing w:before="131" w:line="183" w:lineRule="auto"/>
              <w:ind w:left="313"/>
              <w:rPr>
                <w:rFonts w:ascii="宋体" w:eastAsia="宋体" w:hAnsi="宋体" w:cs="宋体"/>
                <w:sz w:val="16"/>
                <w:szCs w:val="16"/>
              </w:rPr>
            </w:pPr>
            <w:r>
              <w:rPr>
                <w:rFonts w:ascii="宋体" w:eastAsia="宋体" w:hAnsi="宋体" w:cs="宋体"/>
                <w:sz w:val="16"/>
                <w:szCs w:val="16"/>
              </w:rPr>
              <w:t>2</w:t>
            </w:r>
          </w:p>
        </w:tc>
        <w:tc>
          <w:tcPr>
            <w:tcW w:w="673" w:type="dxa"/>
            <w:tcBorders>
              <w:top w:val="single" w:sz="4" w:space="0" w:color="000000"/>
            </w:tcBorders>
          </w:tcPr>
          <w:p w:rsidR="00EA40A3" w:rsidRDefault="00E86C16">
            <w:pPr>
              <w:spacing w:before="131" w:line="183" w:lineRule="auto"/>
              <w:ind w:left="301"/>
              <w:rPr>
                <w:rFonts w:ascii="宋体" w:eastAsia="宋体" w:hAnsi="宋体" w:cs="宋体"/>
                <w:sz w:val="16"/>
                <w:szCs w:val="16"/>
              </w:rPr>
            </w:pPr>
            <w:r>
              <w:rPr>
                <w:rFonts w:ascii="宋体" w:eastAsia="宋体" w:hAnsi="宋体" w:cs="宋体"/>
                <w:sz w:val="16"/>
                <w:szCs w:val="16"/>
              </w:rPr>
              <w:t>2</w:t>
            </w:r>
          </w:p>
        </w:tc>
        <w:tc>
          <w:tcPr>
            <w:tcW w:w="530" w:type="dxa"/>
            <w:tcBorders>
              <w:top w:val="single" w:sz="4" w:space="0" w:color="000000"/>
            </w:tcBorders>
          </w:tcPr>
          <w:p w:rsidR="00EA40A3" w:rsidRDefault="00E86C16">
            <w:pPr>
              <w:spacing w:before="121" w:line="183" w:lineRule="auto"/>
              <w:ind w:left="148"/>
              <w:rPr>
                <w:rFonts w:ascii="宋体" w:eastAsia="宋体" w:hAnsi="宋体" w:cs="宋体"/>
                <w:sz w:val="16"/>
                <w:szCs w:val="16"/>
              </w:rPr>
            </w:pPr>
            <w:r>
              <w:rPr>
                <w:rFonts w:ascii="宋体" w:eastAsia="宋体" w:hAnsi="宋体" w:cs="宋体"/>
                <w:spacing w:val="-2"/>
                <w:sz w:val="16"/>
                <w:szCs w:val="16"/>
              </w:rPr>
              <w:t>0.7</w:t>
            </w:r>
          </w:p>
        </w:tc>
        <w:tc>
          <w:tcPr>
            <w:tcW w:w="685" w:type="dxa"/>
            <w:tcBorders>
              <w:top w:val="single" w:sz="4" w:space="0" w:color="000000"/>
            </w:tcBorders>
          </w:tcPr>
          <w:p w:rsidR="00EA40A3" w:rsidRDefault="00E86C16">
            <w:pPr>
              <w:spacing w:before="121" w:line="184" w:lineRule="auto"/>
              <w:ind w:left="278"/>
              <w:rPr>
                <w:rFonts w:ascii="宋体" w:eastAsia="宋体" w:hAnsi="宋体" w:cs="宋体"/>
                <w:sz w:val="16"/>
                <w:szCs w:val="16"/>
              </w:rPr>
            </w:pPr>
            <w:r>
              <w:rPr>
                <w:rFonts w:ascii="宋体" w:eastAsia="宋体" w:hAnsi="宋体" w:cs="宋体"/>
                <w:spacing w:val="-5"/>
                <w:sz w:val="16"/>
                <w:szCs w:val="16"/>
              </w:rPr>
              <w:t>10</w:t>
            </w:r>
          </w:p>
        </w:tc>
        <w:tc>
          <w:tcPr>
            <w:tcW w:w="1902" w:type="dxa"/>
            <w:tcBorders>
              <w:top w:val="single" w:sz="4" w:space="0" w:color="000000"/>
            </w:tcBorders>
          </w:tcPr>
          <w:p w:rsidR="00EA40A3" w:rsidRDefault="00EA40A3"/>
        </w:tc>
      </w:tr>
      <w:tr w:rsidR="00EA40A3">
        <w:trPr>
          <w:trHeight w:val="262"/>
        </w:trPr>
        <w:tc>
          <w:tcPr>
            <w:tcW w:w="1620" w:type="dxa"/>
          </w:tcPr>
          <w:p w:rsidR="00EA40A3" w:rsidRDefault="00E86C16">
            <w:pPr>
              <w:spacing w:before="54" w:line="214" w:lineRule="auto"/>
              <w:ind w:left="60"/>
              <w:rPr>
                <w:rFonts w:ascii="宋体" w:eastAsia="宋体" w:hAnsi="宋体" w:cs="宋体"/>
                <w:sz w:val="16"/>
                <w:szCs w:val="16"/>
              </w:rPr>
            </w:pPr>
            <w:r>
              <w:rPr>
                <w:rFonts w:ascii="宋体" w:eastAsia="宋体" w:hAnsi="宋体" w:cs="宋体"/>
                <w:spacing w:val="3"/>
                <w:sz w:val="16"/>
                <w:szCs w:val="16"/>
              </w:rPr>
              <w:t>日常摄取量/(g/d)</w:t>
            </w:r>
          </w:p>
        </w:tc>
        <w:tc>
          <w:tcPr>
            <w:tcW w:w="578" w:type="dxa"/>
          </w:tcPr>
          <w:p w:rsidR="00EA40A3" w:rsidRDefault="00E86C16">
            <w:pPr>
              <w:spacing w:before="111" w:line="174" w:lineRule="auto"/>
              <w:ind w:left="119"/>
              <w:rPr>
                <w:rFonts w:ascii="宋体" w:eastAsia="宋体" w:hAnsi="宋体" w:cs="宋体"/>
                <w:sz w:val="16"/>
                <w:szCs w:val="16"/>
              </w:rPr>
            </w:pPr>
            <w:r>
              <w:rPr>
                <w:rFonts w:ascii="宋体" w:eastAsia="宋体" w:hAnsi="宋体" w:cs="宋体"/>
                <w:spacing w:val="-3"/>
                <w:sz w:val="16"/>
                <w:szCs w:val="16"/>
              </w:rPr>
              <w:t>2～3</w:t>
            </w:r>
          </w:p>
        </w:tc>
        <w:tc>
          <w:tcPr>
            <w:tcW w:w="649" w:type="dxa"/>
          </w:tcPr>
          <w:p w:rsidR="00EA40A3" w:rsidRDefault="00E86C16">
            <w:pPr>
              <w:spacing w:before="79" w:line="184" w:lineRule="auto"/>
              <w:ind w:left="151"/>
              <w:rPr>
                <w:rFonts w:ascii="宋体" w:eastAsia="宋体" w:hAnsi="宋体" w:cs="宋体"/>
                <w:sz w:val="16"/>
                <w:szCs w:val="16"/>
              </w:rPr>
            </w:pPr>
            <w:r>
              <w:rPr>
                <w:rFonts w:ascii="宋体" w:eastAsia="宋体" w:hAnsi="宋体" w:cs="宋体"/>
                <w:spacing w:val="-2"/>
                <w:sz w:val="16"/>
                <w:szCs w:val="16"/>
              </w:rPr>
              <w:t>5～10</w:t>
            </w:r>
          </w:p>
        </w:tc>
        <w:tc>
          <w:tcPr>
            <w:tcW w:w="672" w:type="dxa"/>
          </w:tcPr>
          <w:p w:rsidR="00EA40A3" w:rsidRDefault="00E86C16">
            <w:pPr>
              <w:spacing w:before="90" w:line="184" w:lineRule="auto"/>
              <w:ind w:left="273"/>
              <w:rPr>
                <w:rFonts w:ascii="宋体" w:eastAsia="宋体" w:hAnsi="宋体" w:cs="宋体"/>
                <w:sz w:val="16"/>
                <w:szCs w:val="16"/>
              </w:rPr>
            </w:pPr>
            <w:r>
              <w:rPr>
                <w:rFonts w:ascii="宋体" w:eastAsia="宋体" w:hAnsi="宋体" w:cs="宋体"/>
                <w:spacing w:val="-5"/>
                <w:sz w:val="16"/>
                <w:szCs w:val="16"/>
              </w:rPr>
              <w:t>10</w:t>
            </w:r>
          </w:p>
        </w:tc>
        <w:tc>
          <w:tcPr>
            <w:tcW w:w="673" w:type="dxa"/>
          </w:tcPr>
          <w:p w:rsidR="00EA40A3" w:rsidRDefault="00E86C16">
            <w:pPr>
              <w:spacing w:before="90" w:line="184" w:lineRule="auto"/>
              <w:ind w:left="261"/>
              <w:rPr>
                <w:rFonts w:ascii="宋体" w:eastAsia="宋体" w:hAnsi="宋体" w:cs="宋体"/>
                <w:sz w:val="16"/>
                <w:szCs w:val="16"/>
              </w:rPr>
            </w:pPr>
            <w:r>
              <w:rPr>
                <w:rFonts w:ascii="宋体" w:eastAsia="宋体" w:hAnsi="宋体" w:cs="宋体"/>
                <w:spacing w:val="-5"/>
                <w:sz w:val="16"/>
                <w:szCs w:val="16"/>
              </w:rPr>
              <w:t>10</w:t>
            </w:r>
          </w:p>
        </w:tc>
        <w:tc>
          <w:tcPr>
            <w:tcW w:w="530" w:type="dxa"/>
          </w:tcPr>
          <w:p w:rsidR="00EA40A3" w:rsidRDefault="00EA40A3"/>
        </w:tc>
        <w:tc>
          <w:tcPr>
            <w:tcW w:w="685" w:type="dxa"/>
          </w:tcPr>
          <w:p w:rsidR="00EA40A3" w:rsidRDefault="00E86C16">
            <w:pPr>
              <w:spacing w:before="79" w:line="184" w:lineRule="auto"/>
              <w:ind w:left="278"/>
              <w:rPr>
                <w:rFonts w:ascii="宋体" w:eastAsia="宋体" w:hAnsi="宋体" w:cs="宋体"/>
                <w:sz w:val="16"/>
                <w:szCs w:val="16"/>
              </w:rPr>
            </w:pPr>
            <w:r>
              <w:rPr>
                <w:rFonts w:ascii="宋体" w:eastAsia="宋体" w:hAnsi="宋体" w:cs="宋体"/>
                <w:spacing w:val="-5"/>
                <w:sz w:val="16"/>
                <w:szCs w:val="16"/>
              </w:rPr>
              <w:t>15</w:t>
            </w:r>
          </w:p>
        </w:tc>
        <w:tc>
          <w:tcPr>
            <w:tcW w:w="1902" w:type="dxa"/>
          </w:tcPr>
          <w:p w:rsidR="00EA40A3" w:rsidRDefault="00E86C16">
            <w:pPr>
              <w:spacing w:before="60" w:line="184" w:lineRule="auto"/>
              <w:ind w:left="253"/>
              <w:rPr>
                <w:rFonts w:ascii="宋体" w:eastAsia="宋体" w:hAnsi="宋体" w:cs="宋体"/>
                <w:sz w:val="16"/>
                <w:szCs w:val="16"/>
              </w:rPr>
            </w:pPr>
            <w:r>
              <w:rPr>
                <w:rFonts w:ascii="宋体" w:eastAsia="宋体" w:hAnsi="宋体" w:cs="宋体"/>
                <w:spacing w:val="-8"/>
                <w:sz w:val="16"/>
                <w:szCs w:val="16"/>
              </w:rPr>
              <w:t>10</w:t>
            </w:r>
            <w:r>
              <w:rPr>
                <w:rFonts w:ascii="宋体" w:eastAsia="宋体" w:hAnsi="宋体" w:cs="宋体"/>
                <w:spacing w:val="6"/>
                <w:sz w:val="16"/>
                <w:szCs w:val="16"/>
              </w:rPr>
              <w:t xml:space="preserve">      </w:t>
            </w:r>
            <w:r>
              <w:rPr>
                <w:rFonts w:ascii="宋体" w:eastAsia="宋体" w:hAnsi="宋体" w:cs="宋体"/>
                <w:spacing w:val="-8"/>
                <w:sz w:val="16"/>
                <w:szCs w:val="16"/>
              </w:rPr>
              <w:t>3</w:t>
            </w:r>
            <w:r>
              <w:rPr>
                <w:rFonts w:ascii="宋体" w:eastAsia="宋体" w:hAnsi="宋体" w:cs="宋体"/>
                <w:spacing w:val="5"/>
                <w:sz w:val="16"/>
                <w:szCs w:val="16"/>
              </w:rPr>
              <w:t xml:space="preserve">      </w:t>
            </w:r>
            <w:r>
              <w:rPr>
                <w:rFonts w:ascii="宋体" w:eastAsia="宋体" w:hAnsi="宋体" w:cs="宋体"/>
                <w:spacing w:val="-8"/>
                <w:sz w:val="16"/>
                <w:szCs w:val="16"/>
              </w:rPr>
              <w:t>10</w:t>
            </w:r>
          </w:p>
        </w:tc>
      </w:tr>
      <w:tr w:rsidR="00EA40A3">
        <w:trPr>
          <w:trHeight w:val="226"/>
        </w:trPr>
        <w:tc>
          <w:tcPr>
            <w:tcW w:w="1620" w:type="dxa"/>
            <w:tcBorders>
              <w:bottom w:val="single" w:sz="4" w:space="0" w:color="000000"/>
            </w:tcBorders>
          </w:tcPr>
          <w:p w:rsidR="00EA40A3" w:rsidRDefault="00E86C16">
            <w:pPr>
              <w:spacing w:before="52" w:line="200" w:lineRule="auto"/>
              <w:ind w:left="60"/>
              <w:rPr>
                <w:rFonts w:ascii="宋体" w:eastAsia="宋体" w:hAnsi="宋体" w:cs="宋体"/>
                <w:sz w:val="16"/>
                <w:szCs w:val="16"/>
              </w:rPr>
            </w:pPr>
            <w:r>
              <w:rPr>
                <w:rFonts w:ascii="宋体" w:eastAsia="宋体" w:hAnsi="宋体" w:cs="宋体"/>
                <w:spacing w:val="2"/>
                <w:sz w:val="16"/>
                <w:szCs w:val="16"/>
              </w:rPr>
              <w:t>最大无作用量/(g/d)</w:t>
            </w:r>
          </w:p>
        </w:tc>
        <w:tc>
          <w:tcPr>
            <w:tcW w:w="578" w:type="dxa"/>
            <w:tcBorders>
              <w:bottom w:val="single" w:sz="4" w:space="0" w:color="000000"/>
            </w:tcBorders>
          </w:tcPr>
          <w:p w:rsidR="00EA40A3" w:rsidRDefault="00E86C16">
            <w:pPr>
              <w:spacing w:before="98" w:line="128" w:lineRule="exact"/>
              <w:ind w:left="280"/>
              <w:rPr>
                <w:rFonts w:ascii="宋体" w:eastAsia="宋体" w:hAnsi="宋体" w:cs="宋体"/>
                <w:sz w:val="16"/>
                <w:szCs w:val="16"/>
              </w:rPr>
            </w:pPr>
            <w:r>
              <w:rPr>
                <w:rFonts w:ascii="宋体" w:eastAsia="宋体" w:hAnsi="宋体" w:cs="宋体"/>
                <w:spacing w:val="-3"/>
                <w:position w:val="-2"/>
                <w:sz w:val="16"/>
                <w:szCs w:val="16"/>
              </w:rPr>
              <w:t>36</w:t>
            </w:r>
          </w:p>
        </w:tc>
        <w:tc>
          <w:tcPr>
            <w:tcW w:w="649" w:type="dxa"/>
            <w:tcBorders>
              <w:bottom w:val="single" w:sz="4" w:space="0" w:color="000000"/>
            </w:tcBorders>
          </w:tcPr>
          <w:p w:rsidR="00EA40A3" w:rsidRDefault="00E86C16">
            <w:pPr>
              <w:spacing w:before="88" w:line="159" w:lineRule="auto"/>
              <w:ind w:left="281"/>
              <w:rPr>
                <w:rFonts w:ascii="宋体" w:eastAsia="宋体" w:hAnsi="宋体" w:cs="宋体"/>
                <w:sz w:val="16"/>
                <w:szCs w:val="16"/>
              </w:rPr>
            </w:pPr>
            <w:r>
              <w:rPr>
                <w:rFonts w:ascii="宋体" w:eastAsia="宋体" w:hAnsi="宋体" w:cs="宋体"/>
                <w:spacing w:val="-5"/>
                <w:sz w:val="16"/>
                <w:szCs w:val="16"/>
              </w:rPr>
              <w:t>18</w:t>
            </w:r>
          </w:p>
        </w:tc>
        <w:tc>
          <w:tcPr>
            <w:tcW w:w="672" w:type="dxa"/>
            <w:tcBorders>
              <w:bottom w:val="single" w:sz="4" w:space="0" w:color="000000"/>
            </w:tcBorders>
          </w:tcPr>
          <w:p w:rsidR="00EA40A3" w:rsidRDefault="00E86C16">
            <w:pPr>
              <w:spacing w:before="77" w:line="171" w:lineRule="auto"/>
              <w:ind w:left="193"/>
              <w:rPr>
                <w:rFonts w:ascii="宋体" w:eastAsia="宋体" w:hAnsi="宋体" w:cs="宋体"/>
                <w:sz w:val="16"/>
                <w:szCs w:val="16"/>
              </w:rPr>
            </w:pPr>
            <w:r>
              <w:rPr>
                <w:rFonts w:ascii="宋体" w:eastAsia="宋体" w:hAnsi="宋体" w:cs="宋体"/>
                <w:spacing w:val="-4"/>
                <w:sz w:val="16"/>
                <w:szCs w:val="16"/>
              </w:rPr>
              <w:t>13.2</w:t>
            </w:r>
          </w:p>
        </w:tc>
        <w:tc>
          <w:tcPr>
            <w:tcW w:w="673" w:type="dxa"/>
            <w:tcBorders>
              <w:bottom w:val="single" w:sz="4" w:space="0" w:color="000000"/>
            </w:tcBorders>
          </w:tcPr>
          <w:p w:rsidR="00EA40A3" w:rsidRDefault="00E86C16">
            <w:pPr>
              <w:spacing w:before="77" w:line="171" w:lineRule="auto"/>
              <w:ind w:left="261"/>
              <w:rPr>
                <w:rFonts w:ascii="宋体" w:eastAsia="宋体" w:hAnsi="宋体" w:cs="宋体"/>
                <w:sz w:val="16"/>
                <w:szCs w:val="16"/>
              </w:rPr>
            </w:pPr>
            <w:r>
              <w:rPr>
                <w:rFonts w:ascii="宋体" w:eastAsia="宋体" w:hAnsi="宋体" w:cs="宋体"/>
                <w:spacing w:val="-5"/>
                <w:sz w:val="16"/>
                <w:szCs w:val="16"/>
              </w:rPr>
              <w:t>18</w:t>
            </w:r>
          </w:p>
        </w:tc>
        <w:tc>
          <w:tcPr>
            <w:tcW w:w="530" w:type="dxa"/>
            <w:tcBorders>
              <w:bottom w:val="single" w:sz="4" w:space="0" w:color="000000"/>
            </w:tcBorders>
          </w:tcPr>
          <w:p w:rsidR="00EA40A3" w:rsidRDefault="00EA40A3">
            <w:pPr>
              <w:spacing w:line="226" w:lineRule="exact"/>
              <w:rPr>
                <w:sz w:val="19"/>
              </w:rPr>
            </w:pPr>
          </w:p>
        </w:tc>
        <w:tc>
          <w:tcPr>
            <w:tcW w:w="685" w:type="dxa"/>
            <w:tcBorders>
              <w:bottom w:val="single" w:sz="4" w:space="0" w:color="000000"/>
            </w:tcBorders>
          </w:tcPr>
          <w:p w:rsidR="00EA40A3" w:rsidRDefault="00E86C16">
            <w:pPr>
              <w:spacing w:before="98" w:line="128" w:lineRule="exact"/>
              <w:ind w:left="278"/>
              <w:rPr>
                <w:rFonts w:ascii="宋体" w:eastAsia="宋体" w:hAnsi="宋体" w:cs="宋体"/>
                <w:sz w:val="16"/>
                <w:szCs w:val="16"/>
              </w:rPr>
            </w:pPr>
            <w:r>
              <w:rPr>
                <w:rFonts w:ascii="宋体" w:eastAsia="宋体" w:hAnsi="宋体" w:cs="宋体"/>
                <w:spacing w:val="-2"/>
                <w:position w:val="-2"/>
                <w:sz w:val="16"/>
                <w:szCs w:val="16"/>
              </w:rPr>
              <w:t>90</w:t>
            </w:r>
          </w:p>
        </w:tc>
        <w:tc>
          <w:tcPr>
            <w:tcW w:w="1902" w:type="dxa"/>
            <w:tcBorders>
              <w:bottom w:val="single" w:sz="4" w:space="0" w:color="000000"/>
            </w:tcBorders>
          </w:tcPr>
          <w:p w:rsidR="00EA40A3" w:rsidRDefault="00EA40A3">
            <w:pPr>
              <w:spacing w:line="226" w:lineRule="exact"/>
              <w:rPr>
                <w:sz w:val="19"/>
              </w:rPr>
            </w:pPr>
          </w:p>
        </w:tc>
      </w:tr>
    </w:tbl>
    <w:p w:rsidR="00EA40A3" w:rsidRDefault="00E86C16">
      <w:pPr>
        <w:spacing w:before="96" w:line="214" w:lineRule="auto"/>
        <w:ind w:left="349"/>
        <w:rPr>
          <w:rFonts w:ascii="宋体" w:eastAsia="宋体" w:hAnsi="宋体" w:cs="宋体"/>
          <w:sz w:val="17"/>
          <w:szCs w:val="17"/>
        </w:rPr>
      </w:pPr>
      <w:r>
        <w:rPr>
          <w:rFonts w:ascii="宋体" w:eastAsia="宋体" w:hAnsi="宋体" w:cs="宋体"/>
          <w:spacing w:val="-11"/>
          <w:sz w:val="17"/>
          <w:szCs w:val="17"/>
        </w:rPr>
        <w:t>注：最大无作用剂量以体重60kg计</w:t>
      </w:r>
    </w:p>
    <w:p w:rsidR="00EA40A3" w:rsidRDefault="00E86C16">
      <w:pPr>
        <w:spacing w:before="59" w:line="219" w:lineRule="auto"/>
        <w:ind w:left="369"/>
        <w:rPr>
          <w:rFonts w:ascii="宋体" w:eastAsia="宋体" w:hAnsi="宋体" w:cs="宋体"/>
          <w:sz w:val="17"/>
          <w:szCs w:val="17"/>
        </w:rPr>
      </w:pPr>
      <w:r>
        <w:rPr>
          <w:rFonts w:ascii="宋体" w:eastAsia="宋体" w:hAnsi="宋体" w:cs="宋体"/>
          <w:spacing w:val="-15"/>
          <w:sz w:val="17"/>
          <w:szCs w:val="17"/>
        </w:rPr>
        <w:t>资源来源：尤新.2000.功能性发酵制品</w:t>
      </w:r>
    </w:p>
    <w:p w:rsidR="00EA40A3" w:rsidRDefault="00E86C16">
      <w:pPr>
        <w:spacing w:before="286" w:line="220" w:lineRule="auto"/>
        <w:ind w:left="10"/>
        <w:rPr>
          <w:rFonts w:ascii="仿宋" w:eastAsia="仿宋" w:hAnsi="仿宋" w:cs="仿宋"/>
          <w:sz w:val="23"/>
          <w:szCs w:val="23"/>
        </w:rPr>
      </w:pPr>
      <w:r>
        <w:rPr>
          <w:rFonts w:ascii="仿宋" w:eastAsia="仿宋" w:hAnsi="仿宋" w:cs="仿宋"/>
          <w:spacing w:val="5"/>
          <w:sz w:val="23"/>
          <w:szCs w:val="23"/>
        </w:rPr>
        <w:t>5.</w:t>
      </w:r>
      <w:r>
        <w:rPr>
          <w:rFonts w:ascii="仿宋" w:eastAsia="仿宋" w:hAnsi="仿宋" w:cs="仿宋"/>
          <w:spacing w:val="-23"/>
          <w:sz w:val="23"/>
          <w:szCs w:val="23"/>
        </w:rPr>
        <w:t xml:space="preserve"> </w:t>
      </w:r>
      <w:r>
        <w:rPr>
          <w:rFonts w:ascii="仿宋" w:eastAsia="仿宋" w:hAnsi="仿宋" w:cs="仿宋"/>
          <w:spacing w:val="5"/>
          <w:sz w:val="23"/>
          <w:szCs w:val="23"/>
        </w:rPr>
        <w:t>功能性低聚糖的膳食来源</w:t>
      </w:r>
    </w:p>
    <w:p w:rsidR="00EA40A3" w:rsidRDefault="00E86C16">
      <w:pPr>
        <w:spacing w:before="218" w:line="264" w:lineRule="auto"/>
        <w:ind w:left="10" w:right="101" w:firstLine="359"/>
        <w:jc w:val="both"/>
        <w:rPr>
          <w:rFonts w:ascii="宋体" w:eastAsia="宋体" w:hAnsi="宋体" w:cs="宋体"/>
          <w:sz w:val="20"/>
          <w:szCs w:val="20"/>
        </w:rPr>
      </w:pPr>
      <w:r>
        <w:rPr>
          <w:rFonts w:ascii="宋体" w:eastAsia="宋体" w:hAnsi="宋体" w:cs="宋体"/>
          <w:spacing w:val="14"/>
          <w:sz w:val="20"/>
          <w:szCs w:val="20"/>
        </w:rPr>
        <w:t>在某些蔬菜、水果中含有天然的低聚糖，如洋葱、大蒜、</w:t>
      </w:r>
      <w:r>
        <w:rPr>
          <w:rFonts w:ascii="宋体" w:eastAsia="宋体" w:hAnsi="宋体" w:cs="宋体"/>
          <w:spacing w:val="13"/>
          <w:sz w:val="20"/>
          <w:szCs w:val="20"/>
        </w:rPr>
        <w:t>葡萄、洋姜、芦</w:t>
      </w:r>
      <w:r>
        <w:rPr>
          <w:rFonts w:ascii="宋体" w:eastAsia="宋体" w:hAnsi="宋体" w:cs="宋体"/>
          <w:sz w:val="20"/>
          <w:szCs w:val="20"/>
        </w:rPr>
        <w:t xml:space="preserve"> </w:t>
      </w:r>
      <w:r>
        <w:rPr>
          <w:rFonts w:ascii="宋体" w:eastAsia="宋体" w:hAnsi="宋体" w:cs="宋体"/>
          <w:spacing w:val="7"/>
          <w:sz w:val="20"/>
          <w:szCs w:val="20"/>
        </w:rPr>
        <w:t>笋、香蕉等含低聚果糖，大豆及一些豆类含水苏糖，甜菜中含棉籽糖，多食这类</w:t>
      </w:r>
      <w:r>
        <w:rPr>
          <w:rFonts w:ascii="宋体" w:eastAsia="宋体" w:hAnsi="宋体" w:cs="宋体"/>
          <w:spacing w:val="2"/>
          <w:sz w:val="20"/>
          <w:szCs w:val="20"/>
        </w:rPr>
        <w:t xml:space="preserve"> </w:t>
      </w:r>
      <w:r>
        <w:rPr>
          <w:rFonts w:ascii="宋体" w:eastAsia="宋体" w:hAnsi="宋体" w:cs="宋体"/>
          <w:spacing w:val="7"/>
          <w:sz w:val="20"/>
          <w:szCs w:val="20"/>
        </w:rPr>
        <w:t>食物对各类人群都是有益的。低聚糖可以从天然物中提取，也可用微生物酶转化</w:t>
      </w:r>
    </w:p>
    <w:p w:rsidR="00EA40A3" w:rsidRDefault="00E86C16">
      <w:pPr>
        <w:spacing w:before="72"/>
        <w:ind w:right="76"/>
        <w:jc w:val="right"/>
        <w:rPr>
          <w:rFonts w:ascii="宋体" w:eastAsia="宋体" w:hAnsi="宋体" w:cs="宋体"/>
          <w:sz w:val="20"/>
          <w:szCs w:val="20"/>
        </w:rPr>
      </w:pPr>
      <w:r>
        <w:rPr>
          <w:rFonts w:ascii="宋体" w:eastAsia="宋体" w:hAnsi="宋体" w:cs="宋体"/>
          <w:spacing w:val="-40"/>
          <w:sz w:val="20"/>
          <w:szCs w:val="20"/>
        </w:rPr>
        <w:t>·</w:t>
      </w:r>
      <w:r>
        <w:rPr>
          <w:rFonts w:ascii="宋体" w:eastAsia="宋体" w:hAnsi="宋体" w:cs="宋体"/>
          <w:spacing w:val="-14"/>
          <w:sz w:val="20"/>
          <w:szCs w:val="20"/>
        </w:rPr>
        <w:t xml:space="preserve"> </w:t>
      </w:r>
      <w:r>
        <w:rPr>
          <w:rFonts w:ascii="宋体" w:eastAsia="宋体" w:hAnsi="宋体" w:cs="宋体"/>
          <w:spacing w:val="-40"/>
          <w:sz w:val="20"/>
          <w:szCs w:val="20"/>
        </w:rPr>
        <w:t>59</w:t>
      </w:r>
      <w:r>
        <w:rPr>
          <w:rFonts w:ascii="宋体" w:eastAsia="宋体" w:hAnsi="宋体" w:cs="宋体"/>
          <w:spacing w:val="36"/>
          <w:sz w:val="20"/>
          <w:szCs w:val="20"/>
        </w:rPr>
        <w:t xml:space="preserve"> </w:t>
      </w:r>
      <w:r>
        <w:rPr>
          <w:rFonts w:ascii="宋体" w:eastAsia="宋体" w:hAnsi="宋体" w:cs="宋体"/>
          <w:spacing w:val="-40"/>
          <w:sz w:val="20"/>
          <w:szCs w:val="20"/>
        </w:rPr>
        <w:t>·</w:t>
      </w:r>
    </w:p>
    <w:p w:rsidR="00EA40A3" w:rsidRDefault="00EA40A3">
      <w:pPr>
        <w:sectPr w:rsidR="00EA40A3">
          <w:pgSz w:w="9220" w:h="13360"/>
          <w:pgMar w:top="400" w:right="939" w:bottom="400" w:left="919" w:header="0" w:footer="0" w:gutter="0"/>
          <w:cols w:space="720"/>
        </w:sectPr>
      </w:pPr>
    </w:p>
    <w:p w:rsidR="00EA40A3" w:rsidRDefault="00EA40A3">
      <w:pPr>
        <w:spacing w:line="279" w:lineRule="auto"/>
      </w:pPr>
    </w:p>
    <w:p w:rsidR="00EA40A3" w:rsidRDefault="00EA40A3">
      <w:pPr>
        <w:spacing w:line="280" w:lineRule="auto"/>
      </w:pPr>
    </w:p>
    <w:p w:rsidR="00EA40A3" w:rsidRDefault="00E86C16">
      <w:pPr>
        <w:spacing w:before="75" w:line="234" w:lineRule="auto"/>
        <w:ind w:right="136"/>
        <w:jc w:val="both"/>
        <w:rPr>
          <w:rFonts w:ascii="宋体" w:eastAsia="宋体" w:hAnsi="宋体" w:cs="宋体"/>
          <w:sz w:val="23"/>
          <w:szCs w:val="23"/>
        </w:rPr>
      </w:pPr>
      <w:r>
        <w:rPr>
          <w:rFonts w:ascii="宋体" w:eastAsia="宋体" w:hAnsi="宋体" w:cs="宋体"/>
          <w:spacing w:val="-17"/>
          <w:sz w:val="23"/>
          <w:szCs w:val="23"/>
        </w:rPr>
        <w:t>或水解法制造，作为功能性基料添加到食品中去，如饮料、糖果、糕点、乳制</w:t>
      </w:r>
      <w:r>
        <w:rPr>
          <w:rFonts w:ascii="宋体" w:eastAsia="宋体" w:hAnsi="宋体" w:cs="宋体"/>
          <w:spacing w:val="5"/>
          <w:sz w:val="23"/>
          <w:szCs w:val="23"/>
        </w:rPr>
        <w:t xml:space="preserve"> </w:t>
      </w:r>
      <w:r>
        <w:rPr>
          <w:rFonts w:ascii="宋体" w:eastAsia="宋体" w:hAnsi="宋体" w:cs="宋体"/>
          <w:spacing w:val="-19"/>
          <w:sz w:val="23"/>
          <w:szCs w:val="23"/>
        </w:rPr>
        <w:t>品、冰淇淋及调味料。用功能性低聚糖开发的食品已达</w:t>
      </w:r>
      <w:r>
        <w:rPr>
          <w:rFonts w:ascii="宋体" w:eastAsia="宋体" w:hAnsi="宋体" w:cs="宋体"/>
          <w:spacing w:val="-20"/>
          <w:sz w:val="23"/>
          <w:szCs w:val="23"/>
        </w:rPr>
        <w:t>500种，人体可从这些食</w:t>
      </w:r>
      <w:r>
        <w:rPr>
          <w:rFonts w:ascii="宋体" w:eastAsia="宋体" w:hAnsi="宋体" w:cs="宋体"/>
          <w:sz w:val="23"/>
          <w:szCs w:val="23"/>
        </w:rPr>
        <w:t xml:space="preserve"> </w:t>
      </w:r>
      <w:r>
        <w:rPr>
          <w:rFonts w:ascii="宋体" w:eastAsia="宋体" w:hAnsi="宋体" w:cs="宋体"/>
          <w:spacing w:val="-25"/>
          <w:sz w:val="23"/>
          <w:szCs w:val="23"/>
        </w:rPr>
        <w:t>品中额外补充低聚糖。</w:t>
      </w:r>
    </w:p>
    <w:p w:rsidR="00EA40A3" w:rsidRDefault="00E86C16">
      <w:pPr>
        <w:spacing w:before="250" w:line="219" w:lineRule="auto"/>
        <w:ind w:left="2849"/>
        <w:rPr>
          <w:rFonts w:ascii="宋体" w:eastAsia="宋体" w:hAnsi="宋体" w:cs="宋体"/>
          <w:sz w:val="31"/>
          <w:szCs w:val="31"/>
        </w:rPr>
      </w:pPr>
      <w:r>
        <w:rPr>
          <w:rFonts w:ascii="宋体" w:eastAsia="宋体" w:hAnsi="宋体" w:cs="宋体"/>
          <w:spacing w:val="-7"/>
          <w:sz w:val="31"/>
          <w:szCs w:val="31"/>
        </w:rPr>
        <w:t>3.3</w:t>
      </w:r>
      <w:r>
        <w:rPr>
          <w:rFonts w:ascii="宋体" w:eastAsia="宋体" w:hAnsi="宋体" w:cs="宋体"/>
          <w:spacing w:val="69"/>
          <w:sz w:val="31"/>
          <w:szCs w:val="31"/>
        </w:rPr>
        <w:t xml:space="preserve"> </w:t>
      </w:r>
      <w:r>
        <w:rPr>
          <w:rFonts w:ascii="宋体" w:eastAsia="宋体" w:hAnsi="宋体" w:cs="宋体"/>
          <w:spacing w:val="-7"/>
          <w:sz w:val="31"/>
          <w:szCs w:val="31"/>
        </w:rPr>
        <w:t>脂</w:t>
      </w:r>
      <w:r>
        <w:rPr>
          <w:rFonts w:ascii="宋体" w:eastAsia="宋体" w:hAnsi="宋体" w:cs="宋体"/>
          <w:spacing w:val="23"/>
          <w:sz w:val="31"/>
          <w:szCs w:val="31"/>
        </w:rPr>
        <w:t xml:space="preserve">   </w:t>
      </w:r>
      <w:r>
        <w:rPr>
          <w:rFonts w:ascii="宋体" w:eastAsia="宋体" w:hAnsi="宋体" w:cs="宋体"/>
          <w:spacing w:val="-7"/>
          <w:sz w:val="31"/>
          <w:szCs w:val="31"/>
        </w:rPr>
        <w:t>类</w:t>
      </w:r>
    </w:p>
    <w:p w:rsidR="00EA40A3" w:rsidRDefault="00E86C16">
      <w:pPr>
        <w:spacing w:before="253" w:line="235" w:lineRule="auto"/>
        <w:ind w:right="134" w:firstLine="439"/>
        <w:jc w:val="both"/>
        <w:rPr>
          <w:rFonts w:ascii="宋体" w:eastAsia="宋体" w:hAnsi="宋体" w:cs="宋体"/>
          <w:sz w:val="23"/>
          <w:szCs w:val="23"/>
        </w:rPr>
      </w:pPr>
      <w:r>
        <w:rPr>
          <w:rFonts w:ascii="宋体" w:eastAsia="宋体" w:hAnsi="宋体" w:cs="宋体"/>
          <w:spacing w:val="-10"/>
          <w:sz w:val="23"/>
          <w:szCs w:val="23"/>
        </w:rPr>
        <w:t>脂类</w:t>
      </w:r>
      <w:r>
        <w:rPr>
          <w:rFonts w:ascii="宋体" w:eastAsia="宋体" w:hAnsi="宋体" w:cs="宋体"/>
          <w:spacing w:val="-15"/>
          <w:sz w:val="23"/>
          <w:szCs w:val="23"/>
        </w:rPr>
        <w:t xml:space="preserve"> </w:t>
      </w:r>
      <w:r>
        <w:rPr>
          <w:rFonts w:ascii="宋体" w:eastAsia="宋体" w:hAnsi="宋体" w:cs="宋体"/>
          <w:spacing w:val="-10"/>
          <w:sz w:val="23"/>
          <w:szCs w:val="23"/>
        </w:rPr>
        <w:t>(lipid)</w:t>
      </w:r>
      <w:r>
        <w:rPr>
          <w:rFonts w:ascii="宋体" w:eastAsia="宋体" w:hAnsi="宋体" w:cs="宋体"/>
          <w:spacing w:val="-46"/>
          <w:sz w:val="23"/>
          <w:szCs w:val="23"/>
        </w:rPr>
        <w:t xml:space="preserve"> </w:t>
      </w:r>
      <w:r>
        <w:rPr>
          <w:rFonts w:ascii="宋体" w:eastAsia="宋体" w:hAnsi="宋体" w:cs="宋体"/>
          <w:spacing w:val="-10"/>
          <w:sz w:val="23"/>
          <w:szCs w:val="23"/>
        </w:rPr>
        <w:t>是人体需要的重要营养素之一，人体所需能量的20</w:t>
      </w:r>
      <w:r>
        <w:rPr>
          <w:rFonts w:ascii="宋体" w:eastAsia="宋体" w:hAnsi="宋体" w:cs="宋体"/>
          <w:spacing w:val="-11"/>
          <w:sz w:val="23"/>
          <w:szCs w:val="23"/>
        </w:rPr>
        <w:t>%～30%</w:t>
      </w:r>
      <w:r>
        <w:rPr>
          <w:rFonts w:ascii="宋体" w:eastAsia="宋体" w:hAnsi="宋体" w:cs="宋体"/>
          <w:sz w:val="23"/>
          <w:szCs w:val="23"/>
        </w:rPr>
        <w:t xml:space="preserve"> </w:t>
      </w:r>
      <w:r>
        <w:rPr>
          <w:rFonts w:ascii="宋体" w:eastAsia="宋体" w:hAnsi="宋体" w:cs="宋体"/>
          <w:spacing w:val="-23"/>
          <w:sz w:val="23"/>
          <w:szCs w:val="23"/>
        </w:rPr>
        <w:t>是由脂类提供的。脂类也是人体细胞组织的组成成分，脂类在血</w:t>
      </w:r>
      <w:r>
        <w:rPr>
          <w:rFonts w:ascii="宋体" w:eastAsia="宋体" w:hAnsi="宋体" w:cs="宋体"/>
          <w:spacing w:val="-24"/>
          <w:sz w:val="23"/>
          <w:szCs w:val="23"/>
        </w:rPr>
        <w:t>浆中的运输情况</w:t>
      </w:r>
      <w:r>
        <w:rPr>
          <w:rFonts w:ascii="宋体" w:eastAsia="宋体" w:hAnsi="宋体" w:cs="宋体"/>
          <w:sz w:val="23"/>
          <w:szCs w:val="23"/>
        </w:rPr>
        <w:t xml:space="preserve"> </w:t>
      </w:r>
      <w:r>
        <w:rPr>
          <w:rFonts w:ascii="宋体" w:eastAsia="宋体" w:hAnsi="宋体" w:cs="宋体"/>
          <w:spacing w:val="-24"/>
          <w:sz w:val="23"/>
          <w:szCs w:val="23"/>
        </w:rPr>
        <w:t>与人体健康有着密切的关系，因此脂类在人类膳食中占有重要地位</w:t>
      </w:r>
      <w:r>
        <w:rPr>
          <w:rFonts w:ascii="宋体" w:eastAsia="宋体" w:hAnsi="宋体" w:cs="宋体"/>
          <w:spacing w:val="-25"/>
          <w:sz w:val="23"/>
          <w:szCs w:val="23"/>
        </w:rPr>
        <w:t>。</w:t>
      </w:r>
    </w:p>
    <w:p w:rsidR="00EA40A3" w:rsidRDefault="00E86C16">
      <w:pPr>
        <w:spacing w:before="131" w:line="221" w:lineRule="auto"/>
        <w:ind w:left="3"/>
        <w:outlineLvl w:val="6"/>
        <w:rPr>
          <w:rFonts w:ascii="黑体" w:eastAsia="黑体" w:hAnsi="黑体" w:cs="黑体"/>
          <w:sz w:val="23"/>
          <w:szCs w:val="23"/>
        </w:rPr>
      </w:pPr>
      <w:r>
        <w:rPr>
          <w:rFonts w:ascii="黑体" w:eastAsia="黑体" w:hAnsi="黑体" w:cs="黑体"/>
          <w:b/>
          <w:bCs/>
          <w:spacing w:val="1"/>
          <w:sz w:val="23"/>
          <w:szCs w:val="23"/>
        </w:rPr>
        <w:t>3.3.1</w:t>
      </w:r>
      <w:r>
        <w:rPr>
          <w:rFonts w:ascii="黑体" w:eastAsia="黑体" w:hAnsi="黑体" w:cs="黑体"/>
          <w:spacing w:val="16"/>
          <w:sz w:val="23"/>
          <w:szCs w:val="23"/>
        </w:rPr>
        <w:t xml:space="preserve">  </w:t>
      </w:r>
      <w:r>
        <w:rPr>
          <w:rFonts w:ascii="黑体" w:eastAsia="黑体" w:hAnsi="黑体" w:cs="黑体"/>
          <w:b/>
          <w:bCs/>
          <w:spacing w:val="1"/>
          <w:sz w:val="23"/>
          <w:szCs w:val="23"/>
        </w:rPr>
        <w:t>食物中的脂类</w:t>
      </w:r>
    </w:p>
    <w:p w:rsidR="00EA40A3" w:rsidRDefault="00E86C16">
      <w:pPr>
        <w:spacing w:before="153" w:line="231" w:lineRule="auto"/>
        <w:ind w:right="92" w:firstLine="439"/>
        <w:jc w:val="both"/>
        <w:rPr>
          <w:rFonts w:ascii="宋体" w:eastAsia="宋体" w:hAnsi="宋体" w:cs="宋体"/>
          <w:sz w:val="23"/>
          <w:szCs w:val="23"/>
        </w:rPr>
      </w:pPr>
      <w:r>
        <w:rPr>
          <w:rFonts w:ascii="宋体" w:eastAsia="宋体" w:hAnsi="宋体" w:cs="宋体"/>
          <w:spacing w:val="-13"/>
          <w:sz w:val="23"/>
          <w:szCs w:val="23"/>
        </w:rPr>
        <w:t>脂类包括脂肪和类脂</w:t>
      </w:r>
      <w:r>
        <w:rPr>
          <w:rFonts w:ascii="宋体" w:eastAsia="宋体" w:hAnsi="宋体" w:cs="宋体"/>
          <w:spacing w:val="-14"/>
          <w:sz w:val="23"/>
          <w:szCs w:val="23"/>
        </w:rPr>
        <w:t>，类脂包括磷脂</w:t>
      </w:r>
      <w:r>
        <w:rPr>
          <w:rFonts w:ascii="宋体" w:eastAsia="宋体" w:hAnsi="宋体" w:cs="宋体"/>
          <w:spacing w:val="-17"/>
          <w:sz w:val="23"/>
          <w:szCs w:val="23"/>
        </w:rPr>
        <w:t xml:space="preserve"> </w:t>
      </w:r>
      <w:r>
        <w:rPr>
          <w:rFonts w:ascii="宋体" w:eastAsia="宋体" w:hAnsi="宋体" w:cs="宋体"/>
          <w:spacing w:val="-14"/>
          <w:sz w:val="23"/>
          <w:szCs w:val="23"/>
        </w:rPr>
        <w:t>(</w:t>
      </w:r>
      <w:r>
        <w:rPr>
          <w:rFonts w:ascii="宋体" w:eastAsia="宋体" w:hAnsi="宋体" w:cs="宋体"/>
          <w:spacing w:val="-13"/>
          <w:sz w:val="23"/>
          <w:szCs w:val="23"/>
        </w:rPr>
        <w:t>phospholipid</w:t>
      </w:r>
      <w:r>
        <w:rPr>
          <w:rFonts w:ascii="宋体" w:eastAsia="宋体" w:hAnsi="宋体" w:cs="宋体"/>
          <w:spacing w:val="-14"/>
          <w:sz w:val="23"/>
          <w:szCs w:val="23"/>
        </w:rPr>
        <w:t>)</w:t>
      </w:r>
      <w:r>
        <w:rPr>
          <w:rFonts w:ascii="宋体" w:eastAsia="宋体" w:hAnsi="宋体" w:cs="宋体"/>
          <w:spacing w:val="-30"/>
          <w:sz w:val="23"/>
          <w:szCs w:val="23"/>
        </w:rPr>
        <w:t xml:space="preserve"> </w:t>
      </w:r>
      <w:r>
        <w:rPr>
          <w:rFonts w:ascii="宋体" w:eastAsia="宋体" w:hAnsi="宋体" w:cs="宋体"/>
          <w:spacing w:val="-14"/>
          <w:sz w:val="23"/>
          <w:szCs w:val="23"/>
        </w:rPr>
        <w:t>和固醇类</w:t>
      </w:r>
      <w:r>
        <w:rPr>
          <w:rFonts w:ascii="宋体" w:eastAsia="宋体" w:hAnsi="宋体" w:cs="宋体"/>
          <w:spacing w:val="-15"/>
          <w:sz w:val="23"/>
          <w:szCs w:val="23"/>
        </w:rPr>
        <w:t xml:space="preserve"> </w:t>
      </w:r>
      <w:r>
        <w:rPr>
          <w:rFonts w:ascii="宋体" w:eastAsia="宋体" w:hAnsi="宋体" w:cs="宋体"/>
          <w:spacing w:val="-14"/>
          <w:sz w:val="23"/>
          <w:szCs w:val="23"/>
        </w:rPr>
        <w:t>(</w:t>
      </w:r>
      <w:r>
        <w:rPr>
          <w:rFonts w:ascii="宋体" w:eastAsia="宋体" w:hAnsi="宋体" w:cs="宋体"/>
          <w:spacing w:val="-13"/>
          <w:sz w:val="23"/>
          <w:szCs w:val="23"/>
        </w:rPr>
        <w:t>sterol</w:t>
      </w:r>
      <w:r>
        <w:rPr>
          <w:rFonts w:ascii="宋体" w:eastAsia="宋体" w:hAnsi="宋体" w:cs="宋体"/>
          <w:spacing w:val="-14"/>
          <w:sz w:val="23"/>
          <w:szCs w:val="23"/>
        </w:rPr>
        <w:t>)</w:t>
      </w:r>
      <w:r>
        <w:rPr>
          <w:rFonts w:ascii="宋体" w:eastAsia="宋体" w:hAnsi="宋体" w:cs="宋体"/>
          <w:sz w:val="23"/>
          <w:szCs w:val="23"/>
        </w:rPr>
        <w:t xml:space="preserve"> </w:t>
      </w:r>
      <w:r>
        <w:rPr>
          <w:rFonts w:ascii="宋体" w:eastAsia="宋体" w:hAnsi="宋体" w:cs="宋体"/>
          <w:spacing w:val="7"/>
          <w:sz w:val="23"/>
          <w:szCs w:val="23"/>
        </w:rPr>
        <w:t>等。食物中脂类95%是脂肪，5%是其他脂类，人体内储存的</w:t>
      </w:r>
      <w:r>
        <w:rPr>
          <w:rFonts w:ascii="宋体" w:eastAsia="宋体" w:hAnsi="宋体" w:cs="宋体"/>
          <w:spacing w:val="6"/>
          <w:sz w:val="23"/>
          <w:szCs w:val="23"/>
        </w:rPr>
        <w:t>脂类中脂肪</w:t>
      </w:r>
      <w:r>
        <w:rPr>
          <w:rFonts w:ascii="宋体" w:eastAsia="宋体" w:hAnsi="宋体" w:cs="宋体"/>
          <w:sz w:val="23"/>
          <w:szCs w:val="23"/>
        </w:rPr>
        <w:t xml:space="preserve"> </w:t>
      </w:r>
      <w:r>
        <w:rPr>
          <w:rFonts w:ascii="宋体" w:eastAsia="宋体" w:hAnsi="宋体" w:cs="宋体"/>
          <w:spacing w:val="1"/>
          <w:sz w:val="23"/>
          <w:szCs w:val="23"/>
        </w:rPr>
        <w:t>占99%。</w:t>
      </w:r>
    </w:p>
    <w:p w:rsidR="00EA40A3" w:rsidRDefault="00E86C16">
      <w:pPr>
        <w:spacing w:before="182" w:line="223"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37"/>
          <w:sz w:val="23"/>
          <w:szCs w:val="23"/>
        </w:rPr>
        <w:t xml:space="preserve"> </w:t>
      </w:r>
      <w:r>
        <w:rPr>
          <w:rFonts w:ascii="仿宋" w:eastAsia="仿宋" w:hAnsi="仿宋" w:cs="仿宋"/>
          <w:spacing w:val="-3"/>
          <w:sz w:val="23"/>
          <w:szCs w:val="23"/>
        </w:rPr>
        <w:t>脂肪</w:t>
      </w:r>
    </w:p>
    <w:p w:rsidR="00EA40A3" w:rsidRDefault="00E86C16">
      <w:pPr>
        <w:spacing w:before="182" w:line="232" w:lineRule="auto"/>
        <w:ind w:firstLine="439"/>
        <w:jc w:val="both"/>
        <w:rPr>
          <w:rFonts w:ascii="宋体" w:eastAsia="宋体" w:hAnsi="宋体" w:cs="宋体"/>
          <w:sz w:val="23"/>
          <w:szCs w:val="23"/>
        </w:rPr>
      </w:pPr>
      <w:r>
        <w:rPr>
          <w:rFonts w:ascii="宋体" w:eastAsia="宋体" w:hAnsi="宋体" w:cs="宋体"/>
          <w:spacing w:val="-19"/>
          <w:sz w:val="23"/>
          <w:szCs w:val="23"/>
        </w:rPr>
        <w:t>脂肪是由一分子甘油和三分子脂肪酸结合而成的甘油三酯</w:t>
      </w:r>
      <w:r>
        <w:rPr>
          <w:rFonts w:ascii="宋体" w:eastAsia="宋体" w:hAnsi="宋体" w:cs="宋体"/>
          <w:spacing w:val="-1"/>
          <w:sz w:val="23"/>
          <w:szCs w:val="23"/>
        </w:rPr>
        <w:t xml:space="preserve"> </w:t>
      </w:r>
      <w:r>
        <w:rPr>
          <w:rFonts w:ascii="宋体" w:eastAsia="宋体" w:hAnsi="宋体" w:cs="宋体"/>
          <w:spacing w:val="-19"/>
          <w:sz w:val="23"/>
          <w:szCs w:val="23"/>
        </w:rPr>
        <w:t>(triglyceride)。</w:t>
      </w:r>
      <w:r>
        <w:rPr>
          <w:rFonts w:ascii="宋体" w:eastAsia="宋体" w:hAnsi="宋体" w:cs="宋体"/>
          <w:sz w:val="23"/>
          <w:szCs w:val="23"/>
        </w:rPr>
        <w:t xml:space="preserve"> </w:t>
      </w:r>
      <w:r>
        <w:rPr>
          <w:rFonts w:ascii="宋体" w:eastAsia="宋体" w:hAnsi="宋体" w:cs="宋体"/>
          <w:spacing w:val="-13"/>
          <w:sz w:val="23"/>
          <w:szCs w:val="23"/>
        </w:rPr>
        <w:t>通常按其在室温下所呈现的状态不同而分别称为油(室温</w:t>
      </w:r>
      <w:r>
        <w:rPr>
          <w:rFonts w:ascii="宋体" w:eastAsia="宋体" w:hAnsi="宋体" w:cs="宋体"/>
          <w:spacing w:val="-14"/>
          <w:sz w:val="23"/>
          <w:szCs w:val="23"/>
        </w:rPr>
        <w:t>下呈液态)和脂肪(室</w:t>
      </w:r>
      <w:r>
        <w:rPr>
          <w:rFonts w:ascii="宋体" w:eastAsia="宋体" w:hAnsi="宋体" w:cs="宋体"/>
          <w:sz w:val="23"/>
          <w:szCs w:val="23"/>
        </w:rPr>
        <w:t xml:space="preserve">  </w:t>
      </w:r>
      <w:r>
        <w:rPr>
          <w:rFonts w:ascii="宋体" w:eastAsia="宋体" w:hAnsi="宋体" w:cs="宋体"/>
          <w:spacing w:val="-14"/>
          <w:sz w:val="23"/>
          <w:szCs w:val="23"/>
        </w:rPr>
        <w:t>温下呈固态),并可将二者统称为油脂。日常食用的动植物油脂如猪油、豆油、</w:t>
      </w:r>
      <w:r>
        <w:rPr>
          <w:rFonts w:ascii="宋体" w:eastAsia="宋体" w:hAnsi="宋体" w:cs="宋体"/>
          <w:spacing w:val="14"/>
          <w:sz w:val="23"/>
          <w:szCs w:val="23"/>
        </w:rPr>
        <w:t xml:space="preserve"> </w:t>
      </w:r>
      <w:r>
        <w:rPr>
          <w:rFonts w:ascii="宋体" w:eastAsia="宋体" w:hAnsi="宋体" w:cs="宋体"/>
          <w:spacing w:val="-20"/>
          <w:sz w:val="23"/>
          <w:szCs w:val="23"/>
        </w:rPr>
        <w:t>花生油、菜籽油等均属此类。三酰甘油酯中，3个脂肪酸基相同者称为简单甘油</w:t>
      </w:r>
      <w:r>
        <w:rPr>
          <w:rFonts w:ascii="宋体" w:eastAsia="宋体" w:hAnsi="宋体" w:cs="宋体"/>
          <w:spacing w:val="8"/>
          <w:sz w:val="23"/>
          <w:szCs w:val="23"/>
        </w:rPr>
        <w:t xml:space="preserve">  </w:t>
      </w:r>
      <w:r>
        <w:rPr>
          <w:rFonts w:ascii="宋体" w:eastAsia="宋体" w:hAnsi="宋体" w:cs="宋体"/>
          <w:spacing w:val="-17"/>
          <w:sz w:val="23"/>
          <w:szCs w:val="23"/>
        </w:rPr>
        <w:t>酯，3个脂肪酸基不同者称为混合甘油酯。简单甘油酯中甘油分子的3个羟基均</w:t>
      </w:r>
      <w:r>
        <w:rPr>
          <w:rFonts w:ascii="宋体" w:eastAsia="宋体" w:hAnsi="宋体" w:cs="宋体"/>
          <w:spacing w:val="9"/>
          <w:sz w:val="23"/>
          <w:szCs w:val="23"/>
        </w:rPr>
        <w:t xml:space="preserve">  </w:t>
      </w:r>
      <w:r>
        <w:rPr>
          <w:rFonts w:ascii="宋体" w:eastAsia="宋体" w:hAnsi="宋体" w:cs="宋体"/>
          <w:spacing w:val="-23"/>
          <w:sz w:val="23"/>
          <w:szCs w:val="23"/>
        </w:rPr>
        <w:t>与相同脂肪酸结合，若仅其中一个或两个羟基与脂肪酸分子结合</w:t>
      </w:r>
      <w:r>
        <w:rPr>
          <w:rFonts w:ascii="宋体" w:eastAsia="宋体" w:hAnsi="宋体" w:cs="宋体"/>
          <w:spacing w:val="-24"/>
          <w:sz w:val="23"/>
          <w:szCs w:val="23"/>
        </w:rPr>
        <w:t>则分别称为单酰</w:t>
      </w:r>
      <w:r>
        <w:rPr>
          <w:rFonts w:ascii="宋体" w:eastAsia="宋体" w:hAnsi="宋体" w:cs="宋体"/>
          <w:sz w:val="23"/>
          <w:szCs w:val="23"/>
        </w:rPr>
        <w:t xml:space="preserve">  </w:t>
      </w:r>
      <w:r>
        <w:rPr>
          <w:rFonts w:ascii="宋体" w:eastAsia="宋体" w:hAnsi="宋体" w:cs="宋体"/>
          <w:spacing w:val="-23"/>
          <w:sz w:val="23"/>
          <w:szCs w:val="23"/>
        </w:rPr>
        <w:t>甘油酯和二酰甘油酯。其中单酰甘油酯具有很强的乳化性能，是食品加工中常用</w:t>
      </w:r>
      <w:r>
        <w:rPr>
          <w:rFonts w:ascii="宋体" w:eastAsia="宋体" w:hAnsi="宋体" w:cs="宋体"/>
          <w:spacing w:val="4"/>
          <w:sz w:val="23"/>
          <w:szCs w:val="23"/>
        </w:rPr>
        <w:t xml:space="preserve">  </w:t>
      </w:r>
      <w:r>
        <w:rPr>
          <w:rFonts w:ascii="宋体" w:eastAsia="宋体" w:hAnsi="宋体" w:cs="宋体"/>
          <w:spacing w:val="-27"/>
          <w:sz w:val="23"/>
          <w:szCs w:val="23"/>
        </w:rPr>
        <w:t>的乳化剂。</w:t>
      </w:r>
    </w:p>
    <w:p w:rsidR="00EA40A3" w:rsidRDefault="00E86C16">
      <w:pPr>
        <w:spacing w:before="235" w:line="221" w:lineRule="auto"/>
        <w:rPr>
          <w:rFonts w:ascii="仿宋" w:eastAsia="仿宋" w:hAnsi="仿宋" w:cs="仿宋"/>
          <w:sz w:val="23"/>
          <w:szCs w:val="23"/>
        </w:rPr>
      </w:pPr>
      <w:r>
        <w:rPr>
          <w:rFonts w:ascii="仿宋" w:eastAsia="仿宋" w:hAnsi="仿宋" w:cs="仿宋"/>
          <w:spacing w:val="2"/>
          <w:sz w:val="23"/>
          <w:szCs w:val="23"/>
        </w:rPr>
        <w:t>2.</w:t>
      </w:r>
      <w:r>
        <w:rPr>
          <w:rFonts w:ascii="仿宋" w:eastAsia="仿宋" w:hAnsi="仿宋" w:cs="仿宋"/>
          <w:spacing w:val="-32"/>
          <w:sz w:val="23"/>
          <w:szCs w:val="23"/>
        </w:rPr>
        <w:t xml:space="preserve"> </w:t>
      </w:r>
      <w:r>
        <w:rPr>
          <w:rFonts w:ascii="仿宋" w:eastAsia="仿宋" w:hAnsi="仿宋" w:cs="仿宋"/>
          <w:spacing w:val="2"/>
          <w:sz w:val="23"/>
          <w:szCs w:val="23"/>
        </w:rPr>
        <w:t>磷脂</w:t>
      </w:r>
    </w:p>
    <w:p w:rsidR="00EA40A3" w:rsidRDefault="00E86C16">
      <w:pPr>
        <w:spacing w:before="200" w:line="228" w:lineRule="auto"/>
        <w:ind w:right="104" w:firstLine="439"/>
        <w:jc w:val="both"/>
        <w:rPr>
          <w:rFonts w:ascii="宋体" w:eastAsia="宋体" w:hAnsi="宋体" w:cs="宋体"/>
          <w:sz w:val="23"/>
          <w:szCs w:val="23"/>
        </w:rPr>
      </w:pPr>
      <w:r>
        <w:rPr>
          <w:rFonts w:ascii="宋体" w:eastAsia="宋体" w:hAnsi="宋体" w:cs="宋体"/>
          <w:spacing w:val="-21"/>
          <w:w w:val="99"/>
          <w:sz w:val="23"/>
          <w:szCs w:val="23"/>
        </w:rPr>
        <w:t>磷脂是指甘油三酯中一个或两个脂肪酸被含磷酸的其他基团所取代的一类脂</w:t>
      </w:r>
      <w:r>
        <w:rPr>
          <w:rFonts w:ascii="宋体" w:eastAsia="宋体" w:hAnsi="宋体" w:cs="宋体"/>
          <w:spacing w:val="18"/>
          <w:sz w:val="23"/>
          <w:szCs w:val="23"/>
        </w:rPr>
        <w:t xml:space="preserve"> </w:t>
      </w:r>
      <w:r>
        <w:rPr>
          <w:rFonts w:ascii="宋体" w:eastAsia="宋体" w:hAnsi="宋体" w:cs="宋体"/>
          <w:spacing w:val="-23"/>
          <w:sz w:val="23"/>
          <w:szCs w:val="23"/>
        </w:rPr>
        <w:t>类物质。所有细胞都含有磷脂，在脑、神经和肝中含量最高，人体中</w:t>
      </w:r>
      <w:r>
        <w:rPr>
          <w:rFonts w:ascii="宋体" w:eastAsia="宋体" w:hAnsi="宋体" w:cs="宋体"/>
          <w:spacing w:val="-24"/>
          <w:sz w:val="23"/>
          <w:szCs w:val="23"/>
        </w:rPr>
        <w:t>重要的磷脂</w:t>
      </w:r>
      <w:r>
        <w:rPr>
          <w:rFonts w:ascii="宋体" w:eastAsia="宋体" w:hAnsi="宋体" w:cs="宋体"/>
          <w:sz w:val="23"/>
          <w:szCs w:val="23"/>
        </w:rPr>
        <w:t xml:space="preserve"> </w:t>
      </w:r>
      <w:r>
        <w:rPr>
          <w:rFonts w:ascii="宋体" w:eastAsia="宋体" w:hAnsi="宋体" w:cs="宋体"/>
          <w:spacing w:val="-19"/>
          <w:sz w:val="23"/>
          <w:szCs w:val="23"/>
        </w:rPr>
        <w:t>有卵磷脂、脑磷脂和神经磷脂.</w:t>
      </w:r>
    </w:p>
    <w:p w:rsidR="00EA40A3" w:rsidRDefault="00E86C16">
      <w:pPr>
        <w:spacing w:before="44" w:line="231" w:lineRule="auto"/>
        <w:ind w:right="105" w:firstLine="439"/>
        <w:jc w:val="both"/>
        <w:rPr>
          <w:rFonts w:ascii="宋体" w:eastAsia="宋体" w:hAnsi="宋体" w:cs="宋体"/>
          <w:sz w:val="23"/>
          <w:szCs w:val="23"/>
        </w:rPr>
      </w:pPr>
      <w:r>
        <w:rPr>
          <w:rFonts w:ascii="宋体" w:eastAsia="宋体" w:hAnsi="宋体" w:cs="宋体"/>
          <w:spacing w:val="-23"/>
          <w:sz w:val="23"/>
          <w:szCs w:val="23"/>
        </w:rPr>
        <w:t>在人体各种磷脂中，卵磷脂含量最高，占磷脂总量的一半左右。卵磷脂由甘</w:t>
      </w:r>
      <w:r>
        <w:rPr>
          <w:rFonts w:ascii="宋体" w:eastAsia="宋体" w:hAnsi="宋体" w:cs="宋体"/>
          <w:spacing w:val="7"/>
          <w:sz w:val="23"/>
          <w:szCs w:val="23"/>
        </w:rPr>
        <w:t xml:space="preserve"> </w:t>
      </w:r>
      <w:r>
        <w:rPr>
          <w:rFonts w:ascii="宋体" w:eastAsia="宋体" w:hAnsi="宋体" w:cs="宋体"/>
          <w:spacing w:val="-23"/>
          <w:sz w:val="23"/>
          <w:szCs w:val="23"/>
        </w:rPr>
        <w:t>油、脂肪酸、胆碱组成，这些成分均可由食物供给。脑磷脂也是由甘油、脂肪酸</w:t>
      </w:r>
      <w:r>
        <w:rPr>
          <w:rFonts w:ascii="宋体" w:eastAsia="宋体" w:hAnsi="宋体" w:cs="宋体"/>
          <w:spacing w:val="13"/>
          <w:sz w:val="23"/>
          <w:szCs w:val="23"/>
        </w:rPr>
        <w:t xml:space="preserve"> </w:t>
      </w:r>
      <w:r>
        <w:rPr>
          <w:rFonts w:ascii="宋体" w:eastAsia="宋体" w:hAnsi="宋体" w:cs="宋体"/>
          <w:spacing w:val="-23"/>
          <w:sz w:val="23"/>
          <w:szCs w:val="23"/>
        </w:rPr>
        <w:t>组成的磷脂，与卵磷脂有密切关系。神经磷脂大量存在于脑和神经组织中，是神</w:t>
      </w:r>
      <w:r>
        <w:rPr>
          <w:rFonts w:ascii="宋体" w:eastAsia="宋体" w:hAnsi="宋体" w:cs="宋体"/>
          <w:sz w:val="23"/>
          <w:szCs w:val="23"/>
        </w:rPr>
        <w:t xml:space="preserve"> </w:t>
      </w:r>
      <w:r>
        <w:rPr>
          <w:rFonts w:ascii="宋体" w:eastAsia="宋体" w:hAnsi="宋体" w:cs="宋体"/>
          <w:spacing w:val="-23"/>
          <w:sz w:val="23"/>
          <w:szCs w:val="23"/>
        </w:rPr>
        <w:t>经鞘的主要组成部分。神经磷脂不含甘油，由脂肪酸、磷酸、胆</w:t>
      </w:r>
      <w:r>
        <w:rPr>
          <w:rFonts w:ascii="宋体" w:eastAsia="宋体" w:hAnsi="宋体" w:cs="宋体"/>
          <w:spacing w:val="-24"/>
          <w:sz w:val="23"/>
          <w:szCs w:val="23"/>
        </w:rPr>
        <w:t>碱及神经氨基醇</w:t>
      </w:r>
      <w:r>
        <w:rPr>
          <w:rFonts w:ascii="宋体" w:eastAsia="宋体" w:hAnsi="宋体" w:cs="宋体"/>
          <w:sz w:val="23"/>
          <w:szCs w:val="23"/>
        </w:rPr>
        <w:t xml:space="preserve"> </w:t>
      </w:r>
      <w:r>
        <w:rPr>
          <w:rFonts w:ascii="宋体" w:eastAsia="宋体" w:hAnsi="宋体" w:cs="宋体"/>
          <w:spacing w:val="-26"/>
          <w:sz w:val="23"/>
          <w:szCs w:val="23"/>
        </w:rPr>
        <w:t>组成。</w:t>
      </w:r>
    </w:p>
    <w:p w:rsidR="00EA40A3" w:rsidRDefault="00E86C16">
      <w:pPr>
        <w:spacing w:before="203" w:line="223" w:lineRule="auto"/>
        <w:rPr>
          <w:rFonts w:ascii="仿宋" w:eastAsia="仿宋" w:hAnsi="仿宋" w:cs="仿宋"/>
          <w:sz w:val="23"/>
          <w:szCs w:val="23"/>
        </w:rPr>
      </w:pPr>
      <w:r>
        <w:rPr>
          <w:rFonts w:ascii="仿宋" w:eastAsia="仿宋" w:hAnsi="仿宋" w:cs="仿宋"/>
          <w:spacing w:val="-13"/>
          <w:sz w:val="23"/>
          <w:szCs w:val="23"/>
        </w:rPr>
        <w:t>3.</w:t>
      </w:r>
      <w:r>
        <w:rPr>
          <w:rFonts w:ascii="仿宋" w:eastAsia="仿宋" w:hAnsi="仿宋" w:cs="仿宋"/>
          <w:spacing w:val="29"/>
          <w:sz w:val="23"/>
          <w:szCs w:val="23"/>
        </w:rPr>
        <w:t xml:space="preserve"> </w:t>
      </w:r>
      <w:r>
        <w:rPr>
          <w:rFonts w:ascii="仿宋" w:eastAsia="仿宋" w:hAnsi="仿宋" w:cs="仿宋"/>
          <w:spacing w:val="-13"/>
          <w:sz w:val="23"/>
          <w:szCs w:val="23"/>
        </w:rPr>
        <w:t>固醇类</w:t>
      </w:r>
    </w:p>
    <w:p w:rsidR="00EA40A3" w:rsidRDefault="00E86C16">
      <w:pPr>
        <w:spacing w:before="204" w:line="225" w:lineRule="auto"/>
        <w:ind w:right="126" w:firstLine="439"/>
        <w:rPr>
          <w:rFonts w:ascii="宋体" w:eastAsia="宋体" w:hAnsi="宋体" w:cs="宋体"/>
          <w:sz w:val="23"/>
          <w:szCs w:val="23"/>
        </w:rPr>
      </w:pPr>
      <w:r>
        <w:rPr>
          <w:rFonts w:ascii="宋体" w:eastAsia="宋体" w:hAnsi="宋体" w:cs="宋体"/>
          <w:spacing w:val="-23"/>
          <w:sz w:val="23"/>
          <w:szCs w:val="23"/>
        </w:rPr>
        <w:t>固醇类是一类含有同样多个环状结构的脂类化</w:t>
      </w:r>
      <w:r>
        <w:rPr>
          <w:rFonts w:ascii="宋体" w:eastAsia="宋体" w:hAnsi="宋体" w:cs="宋体"/>
          <w:spacing w:val="-24"/>
          <w:sz w:val="23"/>
          <w:szCs w:val="23"/>
        </w:rPr>
        <w:t>合物，因其环外结构不同，可</w:t>
      </w:r>
      <w:r>
        <w:rPr>
          <w:rFonts w:ascii="宋体" w:eastAsia="宋体" w:hAnsi="宋体" w:cs="宋体"/>
          <w:sz w:val="23"/>
          <w:szCs w:val="23"/>
        </w:rPr>
        <w:t xml:space="preserve"> </w:t>
      </w:r>
      <w:r>
        <w:rPr>
          <w:rFonts w:ascii="宋体" w:eastAsia="宋体" w:hAnsi="宋体" w:cs="宋体"/>
          <w:spacing w:val="-57"/>
          <w:sz w:val="23"/>
          <w:szCs w:val="23"/>
        </w:rPr>
        <w:t>·</w:t>
      </w:r>
      <w:r>
        <w:rPr>
          <w:rFonts w:ascii="宋体" w:eastAsia="宋体" w:hAnsi="宋体" w:cs="宋体"/>
          <w:spacing w:val="-34"/>
          <w:sz w:val="23"/>
          <w:szCs w:val="23"/>
        </w:rPr>
        <w:t xml:space="preserve"> </w:t>
      </w:r>
      <w:r>
        <w:rPr>
          <w:rFonts w:ascii="宋体" w:eastAsia="宋体" w:hAnsi="宋体" w:cs="宋体"/>
          <w:spacing w:val="-57"/>
          <w:sz w:val="23"/>
          <w:szCs w:val="23"/>
        </w:rPr>
        <w:t>60</w:t>
      </w:r>
      <w:r>
        <w:rPr>
          <w:rFonts w:ascii="宋体" w:eastAsia="宋体" w:hAnsi="宋体" w:cs="宋体"/>
          <w:spacing w:val="16"/>
          <w:sz w:val="23"/>
          <w:szCs w:val="23"/>
        </w:rPr>
        <w:t xml:space="preserve"> </w:t>
      </w:r>
      <w:r>
        <w:rPr>
          <w:rFonts w:ascii="宋体" w:eastAsia="宋体" w:hAnsi="宋体" w:cs="宋体"/>
          <w:spacing w:val="-57"/>
          <w:sz w:val="23"/>
          <w:szCs w:val="23"/>
        </w:rPr>
        <w:t>·</w:t>
      </w:r>
    </w:p>
    <w:p w:rsidR="00EA40A3" w:rsidRDefault="00EA40A3">
      <w:pPr>
        <w:sectPr w:rsidR="00EA40A3">
          <w:pgSz w:w="9220" w:h="13360"/>
          <w:pgMar w:top="400" w:right="1024" w:bottom="400" w:left="809" w:header="0" w:footer="0" w:gutter="0"/>
          <w:cols w:space="720"/>
        </w:sectPr>
      </w:pPr>
    </w:p>
    <w:p w:rsidR="00EA40A3" w:rsidRDefault="00EA40A3">
      <w:pPr>
        <w:spacing w:line="268" w:lineRule="auto"/>
      </w:pPr>
    </w:p>
    <w:p w:rsidR="00EA40A3" w:rsidRDefault="00EA40A3">
      <w:pPr>
        <w:spacing w:line="268" w:lineRule="auto"/>
      </w:pPr>
    </w:p>
    <w:p w:rsidR="00EA40A3" w:rsidRDefault="00E86C16">
      <w:pPr>
        <w:spacing w:before="68" w:line="255" w:lineRule="auto"/>
        <w:ind w:right="40"/>
        <w:jc w:val="both"/>
        <w:rPr>
          <w:rFonts w:ascii="宋体" w:eastAsia="宋体" w:hAnsi="宋体" w:cs="宋体"/>
        </w:rPr>
      </w:pPr>
      <w:r>
        <w:rPr>
          <w:rFonts w:ascii="宋体" w:eastAsia="宋体" w:hAnsi="宋体" w:cs="宋体"/>
          <w:spacing w:val="-3"/>
        </w:rPr>
        <w:t>分为动物固醇和植物固醇。动物体内主要的固醇物</w:t>
      </w:r>
      <w:r>
        <w:rPr>
          <w:rFonts w:ascii="宋体" w:eastAsia="宋体" w:hAnsi="宋体" w:cs="宋体"/>
          <w:spacing w:val="-4"/>
        </w:rPr>
        <w:t>质是胆固醇，在植物性食物中</w:t>
      </w:r>
      <w:r>
        <w:rPr>
          <w:rFonts w:ascii="宋体" w:eastAsia="宋体" w:hAnsi="宋体" w:cs="宋体"/>
        </w:rPr>
        <w:t xml:space="preserve"> </w:t>
      </w:r>
      <w:r>
        <w:rPr>
          <w:rFonts w:ascii="宋体" w:eastAsia="宋体" w:hAnsi="宋体" w:cs="宋体"/>
          <w:spacing w:val="-3"/>
        </w:rPr>
        <w:t>含量较少；植物固醇主要存在于植物的种子及其油料中，常见为</w:t>
      </w:r>
      <w:r>
        <w:rPr>
          <w:rFonts w:ascii="宋体" w:eastAsia="宋体" w:hAnsi="宋体" w:cs="宋体"/>
          <w:spacing w:val="-4"/>
        </w:rPr>
        <w:t>β谷固醇。从化</w:t>
      </w:r>
      <w:r>
        <w:rPr>
          <w:rFonts w:ascii="宋体" w:eastAsia="宋体" w:hAnsi="宋体" w:cs="宋体"/>
        </w:rPr>
        <w:t xml:space="preserve"> </w:t>
      </w:r>
      <w:r>
        <w:rPr>
          <w:rFonts w:ascii="宋体" w:eastAsia="宋体" w:hAnsi="宋体" w:cs="宋体"/>
          <w:spacing w:val="-4"/>
        </w:rPr>
        <w:t>学结构看，植物固醇与胆固醇的区别是前者多了一个侧链。</w:t>
      </w:r>
    </w:p>
    <w:p w:rsidR="00EA40A3" w:rsidRDefault="00E86C16">
      <w:pPr>
        <w:spacing w:before="186" w:line="221" w:lineRule="auto"/>
        <w:ind w:left="3"/>
        <w:outlineLvl w:val="6"/>
        <w:rPr>
          <w:rFonts w:ascii="黑体" w:eastAsia="黑体" w:hAnsi="黑体" w:cs="黑体"/>
          <w:sz w:val="25"/>
          <w:szCs w:val="25"/>
        </w:rPr>
      </w:pPr>
      <w:r>
        <w:rPr>
          <w:rFonts w:ascii="黑体" w:eastAsia="黑体" w:hAnsi="黑体" w:cs="黑体"/>
          <w:b/>
          <w:bCs/>
          <w:spacing w:val="-9"/>
          <w:sz w:val="25"/>
          <w:szCs w:val="25"/>
        </w:rPr>
        <w:t>3.3.2</w:t>
      </w:r>
      <w:r>
        <w:rPr>
          <w:rFonts w:ascii="黑体" w:eastAsia="黑体" w:hAnsi="黑体" w:cs="黑体"/>
          <w:spacing w:val="38"/>
          <w:sz w:val="25"/>
          <w:szCs w:val="25"/>
        </w:rPr>
        <w:t xml:space="preserve">  </w:t>
      </w:r>
      <w:r>
        <w:rPr>
          <w:rFonts w:ascii="黑体" w:eastAsia="黑体" w:hAnsi="黑体" w:cs="黑体"/>
          <w:b/>
          <w:bCs/>
          <w:spacing w:val="-9"/>
          <w:sz w:val="25"/>
          <w:szCs w:val="25"/>
        </w:rPr>
        <w:t>脂类的生理功能</w:t>
      </w:r>
    </w:p>
    <w:p w:rsidR="00EA40A3" w:rsidRDefault="00E86C16">
      <w:pPr>
        <w:spacing w:before="245" w:line="220" w:lineRule="auto"/>
        <w:rPr>
          <w:rFonts w:ascii="宋体" w:eastAsia="宋体" w:hAnsi="宋体" w:cs="宋体"/>
        </w:rPr>
      </w:pPr>
      <w:r>
        <w:rPr>
          <w:rFonts w:ascii="宋体" w:eastAsia="宋体" w:hAnsi="宋体" w:cs="宋体"/>
          <w:spacing w:val="16"/>
        </w:rPr>
        <w:t>1.</w:t>
      </w:r>
      <w:r>
        <w:rPr>
          <w:rFonts w:ascii="宋体" w:eastAsia="宋体" w:hAnsi="宋体" w:cs="宋体"/>
          <w:spacing w:val="-30"/>
        </w:rPr>
        <w:t xml:space="preserve"> </w:t>
      </w:r>
      <w:r>
        <w:rPr>
          <w:rFonts w:ascii="宋体" w:eastAsia="宋体" w:hAnsi="宋体" w:cs="宋体"/>
          <w:spacing w:val="16"/>
        </w:rPr>
        <w:t>脂肪的生理功能</w:t>
      </w:r>
    </w:p>
    <w:p w:rsidR="00EA40A3" w:rsidRDefault="00E86C16">
      <w:pPr>
        <w:spacing w:before="185" w:line="232" w:lineRule="auto"/>
        <w:rPr>
          <w:rFonts w:ascii="楷体" w:eastAsia="楷体" w:hAnsi="楷体" w:cs="楷体"/>
        </w:rPr>
      </w:pPr>
      <w:r>
        <w:rPr>
          <w:rFonts w:ascii="楷体" w:eastAsia="楷体" w:hAnsi="楷体" w:cs="楷体"/>
          <w:spacing w:val="9"/>
        </w:rPr>
        <w:t>1)提供能量</w:t>
      </w:r>
    </w:p>
    <w:p w:rsidR="00EA40A3" w:rsidRDefault="00E86C16">
      <w:pPr>
        <w:spacing w:before="53" w:line="258" w:lineRule="auto"/>
        <w:ind w:right="8" w:firstLine="439"/>
        <w:rPr>
          <w:rFonts w:ascii="宋体" w:eastAsia="宋体" w:hAnsi="宋体" w:cs="宋体"/>
        </w:rPr>
      </w:pPr>
      <w:r>
        <w:rPr>
          <w:rFonts w:ascii="宋体" w:eastAsia="宋体" w:hAnsi="宋体" w:cs="宋体"/>
          <w:spacing w:val="18"/>
        </w:rPr>
        <w:t>脂肪是人体能量的主要来源之一</w:t>
      </w:r>
      <w:r>
        <w:rPr>
          <w:rFonts w:ascii="宋体" w:eastAsia="宋体" w:hAnsi="宋体" w:cs="宋体"/>
          <w:spacing w:val="-57"/>
        </w:rPr>
        <w:t xml:space="preserve"> </w:t>
      </w:r>
      <w:r>
        <w:rPr>
          <w:rFonts w:ascii="宋体" w:eastAsia="宋体" w:hAnsi="宋体" w:cs="宋体"/>
          <w:spacing w:val="18"/>
        </w:rPr>
        <w:t>，人体内每</w:t>
      </w:r>
      <w:r>
        <w:rPr>
          <w:rFonts w:ascii="宋体" w:eastAsia="宋体" w:hAnsi="宋体" w:cs="宋体"/>
          <w:spacing w:val="-26"/>
        </w:rPr>
        <w:t xml:space="preserve"> </w:t>
      </w:r>
      <w:r>
        <w:rPr>
          <w:rFonts w:ascii="宋体" w:eastAsia="宋体" w:hAnsi="宋体" w:cs="宋体"/>
        </w:rPr>
        <w:t>lg</w:t>
      </w:r>
      <w:r>
        <w:rPr>
          <w:rFonts w:ascii="宋体" w:eastAsia="宋体" w:hAnsi="宋体" w:cs="宋体"/>
          <w:spacing w:val="-4"/>
        </w:rPr>
        <w:t xml:space="preserve"> </w:t>
      </w:r>
      <w:r>
        <w:rPr>
          <w:rFonts w:ascii="宋体" w:eastAsia="宋体" w:hAnsi="宋体" w:cs="宋体"/>
          <w:spacing w:val="18"/>
        </w:rPr>
        <w:t>脂肪可产生能</w:t>
      </w:r>
      <w:r>
        <w:rPr>
          <w:rFonts w:ascii="宋体" w:eastAsia="宋体" w:hAnsi="宋体" w:cs="宋体"/>
          <w:spacing w:val="17"/>
        </w:rPr>
        <w:t>量约为</w:t>
      </w:r>
      <w:r>
        <w:rPr>
          <w:rFonts w:ascii="宋体" w:eastAsia="宋体" w:hAnsi="宋体" w:cs="宋体"/>
        </w:rPr>
        <w:t xml:space="preserve"> 39.54kJ(9.45kcal),</w:t>
      </w:r>
      <w:r>
        <w:rPr>
          <w:rFonts w:ascii="宋体" w:eastAsia="宋体" w:hAnsi="宋体" w:cs="宋体"/>
          <w:spacing w:val="15"/>
        </w:rPr>
        <w:t xml:space="preserve"> </w:t>
      </w:r>
      <w:r>
        <w:rPr>
          <w:rFonts w:ascii="宋体" w:eastAsia="宋体" w:hAnsi="宋体" w:cs="宋体"/>
        </w:rPr>
        <w:t xml:space="preserve">相当于碳水化合物和蛋白质的两倍多。当人体摄入热量不 </w:t>
      </w:r>
      <w:r>
        <w:rPr>
          <w:rFonts w:ascii="宋体" w:eastAsia="宋体" w:hAnsi="宋体" w:cs="宋体"/>
          <w:spacing w:val="3"/>
        </w:rPr>
        <w:t>能及时被利用或过多时，就转变为脂肪储存起来；当机体消耗能量大于摄入量</w:t>
      </w:r>
      <w:r>
        <w:rPr>
          <w:rFonts w:ascii="宋体" w:eastAsia="宋体" w:hAnsi="宋体" w:cs="宋体"/>
          <w:spacing w:val="15"/>
        </w:rPr>
        <w:t xml:space="preserve"> </w:t>
      </w:r>
      <w:r>
        <w:rPr>
          <w:rFonts w:ascii="宋体" w:eastAsia="宋体" w:hAnsi="宋体" w:cs="宋体"/>
          <w:spacing w:val="-3"/>
        </w:rPr>
        <w:t>时，储存脂肪可随时补允机体所需能量。脂肪每天向人体提供的能量占能量总需</w:t>
      </w:r>
      <w:r>
        <w:rPr>
          <w:rFonts w:ascii="宋体" w:eastAsia="宋体" w:hAnsi="宋体" w:cs="宋体"/>
          <w:spacing w:val="16"/>
        </w:rPr>
        <w:t xml:space="preserve"> </w:t>
      </w:r>
      <w:r>
        <w:rPr>
          <w:rFonts w:ascii="宋体" w:eastAsia="宋体" w:hAnsi="宋体" w:cs="宋体"/>
          <w:spacing w:val="12"/>
        </w:rPr>
        <w:t>求的20%～30%。机体不能利用脂肪酸分解的含2碳的化合物合成葡萄糖，因</w:t>
      </w:r>
      <w:r>
        <w:rPr>
          <w:rFonts w:ascii="宋体" w:eastAsia="宋体" w:hAnsi="宋体" w:cs="宋体"/>
          <w:spacing w:val="13"/>
        </w:rPr>
        <w:t xml:space="preserve"> </w:t>
      </w:r>
      <w:r>
        <w:rPr>
          <w:rFonts w:ascii="宋体" w:eastAsia="宋体" w:hAnsi="宋体" w:cs="宋体"/>
          <w:spacing w:val="-3"/>
        </w:rPr>
        <w:t>此脂肪不能给脑和神经细胞以及血细胞提供能量，人在饥饿时</w:t>
      </w:r>
      <w:r>
        <w:rPr>
          <w:rFonts w:ascii="宋体" w:eastAsia="宋体" w:hAnsi="宋体" w:cs="宋体"/>
          <w:spacing w:val="-4"/>
        </w:rPr>
        <w:t>就必须消耗肌肉组</w:t>
      </w:r>
      <w:r>
        <w:rPr>
          <w:rFonts w:ascii="宋体" w:eastAsia="宋体" w:hAnsi="宋体" w:cs="宋体"/>
        </w:rPr>
        <w:t xml:space="preserve"> </w:t>
      </w:r>
      <w:r>
        <w:rPr>
          <w:rFonts w:ascii="宋体" w:eastAsia="宋体" w:hAnsi="宋体" w:cs="宋体"/>
          <w:spacing w:val="-4"/>
        </w:rPr>
        <w:t>织中的蛋白质和糖来满足机体能量需要，这也是不提倡“节食减肥”的原因。</w:t>
      </w:r>
    </w:p>
    <w:p w:rsidR="00EA40A3" w:rsidRDefault="00E86C16">
      <w:pPr>
        <w:spacing w:before="93" w:line="229" w:lineRule="auto"/>
        <w:rPr>
          <w:rFonts w:ascii="楷体" w:eastAsia="楷体" w:hAnsi="楷体" w:cs="楷体"/>
        </w:rPr>
      </w:pPr>
      <w:r>
        <w:rPr>
          <w:rFonts w:ascii="楷体" w:eastAsia="楷体" w:hAnsi="楷体" w:cs="楷体"/>
          <w:spacing w:val="9"/>
        </w:rPr>
        <w:t>2)构成机体组织</w:t>
      </w:r>
    </w:p>
    <w:p w:rsidR="00EA40A3" w:rsidRDefault="00E86C16">
      <w:pPr>
        <w:spacing w:before="77" w:line="254" w:lineRule="auto"/>
        <w:ind w:right="11" w:firstLine="439"/>
        <w:rPr>
          <w:rFonts w:ascii="宋体" w:eastAsia="宋体" w:hAnsi="宋体" w:cs="宋体"/>
        </w:rPr>
      </w:pPr>
      <w:r>
        <w:rPr>
          <w:rFonts w:ascii="宋体" w:eastAsia="宋体" w:hAnsi="宋体" w:cs="宋体"/>
          <w:spacing w:val="18"/>
        </w:rPr>
        <w:t>正常人体按体重计算脂类约占14%～19%,胖人约含32%,绝大多数是以</w:t>
      </w:r>
      <w:r>
        <w:rPr>
          <w:rFonts w:ascii="宋体" w:eastAsia="宋体" w:hAnsi="宋体" w:cs="宋体"/>
          <w:spacing w:val="2"/>
        </w:rPr>
        <w:t xml:space="preserve"> </w:t>
      </w:r>
      <w:r>
        <w:rPr>
          <w:rFonts w:ascii="宋体" w:eastAsia="宋体" w:hAnsi="宋体" w:cs="宋体"/>
          <w:spacing w:val="-3"/>
        </w:rPr>
        <w:t>甘油三酯的形式存在于脂肪组织内，称为蓄积脂肪</w:t>
      </w:r>
      <w:r>
        <w:rPr>
          <w:rFonts w:ascii="宋体" w:eastAsia="宋体" w:hAnsi="宋体" w:cs="宋体"/>
          <w:spacing w:val="-18"/>
        </w:rPr>
        <w:t xml:space="preserve"> </w:t>
      </w:r>
      <w:r>
        <w:rPr>
          <w:rFonts w:ascii="宋体" w:eastAsia="宋体" w:hAnsi="宋体" w:cs="宋体"/>
          <w:spacing w:val="-3"/>
        </w:rPr>
        <w:t>(stored</w:t>
      </w:r>
      <w:r>
        <w:rPr>
          <w:rFonts w:ascii="宋体" w:eastAsia="宋体" w:hAnsi="宋体" w:cs="宋体"/>
          <w:spacing w:val="3"/>
        </w:rPr>
        <w:t xml:space="preserve"> </w:t>
      </w:r>
      <w:r>
        <w:rPr>
          <w:rFonts w:ascii="宋体" w:eastAsia="宋体" w:hAnsi="宋体" w:cs="宋体"/>
          <w:spacing w:val="-3"/>
        </w:rPr>
        <w:t>fat)</w:t>
      </w:r>
      <w:r>
        <w:rPr>
          <w:rFonts w:ascii="宋体" w:eastAsia="宋体" w:hAnsi="宋体" w:cs="宋体"/>
          <w:spacing w:val="-4"/>
        </w:rPr>
        <w:t>,</w:t>
      </w:r>
      <w:r>
        <w:rPr>
          <w:rFonts w:ascii="宋体" w:eastAsia="宋体" w:hAnsi="宋体" w:cs="宋体"/>
          <w:spacing w:val="-56"/>
        </w:rPr>
        <w:t xml:space="preserve"> </w:t>
      </w:r>
      <w:r>
        <w:rPr>
          <w:rFonts w:ascii="宋体" w:eastAsia="宋体" w:hAnsi="宋体" w:cs="宋体"/>
          <w:spacing w:val="-4"/>
        </w:rPr>
        <w:t>这类脂肪是体</w:t>
      </w:r>
      <w:r>
        <w:rPr>
          <w:rFonts w:ascii="宋体" w:eastAsia="宋体" w:hAnsi="宋体" w:cs="宋体"/>
        </w:rPr>
        <w:t xml:space="preserve"> </w:t>
      </w:r>
      <w:r>
        <w:rPr>
          <w:rFonts w:ascii="宋体" w:eastAsia="宋体" w:hAnsi="宋体" w:cs="宋体"/>
          <w:spacing w:val="-3"/>
        </w:rPr>
        <w:t>内过剩能量的一种储存方式，当机体需要时可用于机体代谢而释放能量，这类脂</w:t>
      </w:r>
      <w:r>
        <w:rPr>
          <w:rFonts w:ascii="宋体" w:eastAsia="宋体" w:hAnsi="宋体" w:cs="宋体"/>
          <w:spacing w:val="14"/>
        </w:rPr>
        <w:t xml:space="preserve"> </w:t>
      </w:r>
      <w:r>
        <w:rPr>
          <w:rFonts w:ascii="宋体" w:eastAsia="宋体" w:hAnsi="宋体" w:cs="宋体"/>
          <w:spacing w:val="-3"/>
        </w:rPr>
        <w:t>肪因受营养状况和机体活动的影响而增减，变动较大，故又称之为可变脂或动脂</w:t>
      </w:r>
      <w:r>
        <w:rPr>
          <w:rFonts w:ascii="宋体" w:eastAsia="宋体" w:hAnsi="宋体" w:cs="宋体"/>
          <w:spacing w:val="14"/>
        </w:rPr>
        <w:t xml:space="preserve"> </w:t>
      </w:r>
      <w:r>
        <w:rPr>
          <w:rFonts w:ascii="宋体" w:eastAsia="宋体" w:hAnsi="宋体" w:cs="宋体"/>
          <w:spacing w:val="-11"/>
        </w:rPr>
        <w:t>(variable</w:t>
      </w:r>
      <w:r>
        <w:rPr>
          <w:rFonts w:ascii="宋体" w:eastAsia="宋体" w:hAnsi="宋体" w:cs="宋体"/>
          <w:spacing w:val="13"/>
        </w:rPr>
        <w:t xml:space="preserve"> </w:t>
      </w:r>
      <w:r>
        <w:rPr>
          <w:rFonts w:ascii="宋体" w:eastAsia="宋体" w:hAnsi="宋体" w:cs="宋体"/>
          <w:spacing w:val="-11"/>
        </w:rPr>
        <w:t>fat),</w:t>
      </w:r>
      <w:r>
        <w:rPr>
          <w:rFonts w:ascii="宋体" w:eastAsia="宋体" w:hAnsi="宋体" w:cs="宋体"/>
          <w:spacing w:val="-52"/>
        </w:rPr>
        <w:t xml:space="preserve"> </w:t>
      </w:r>
      <w:r>
        <w:rPr>
          <w:rFonts w:ascii="宋体" w:eastAsia="宋体" w:hAnsi="宋体" w:cs="宋体"/>
          <w:spacing w:val="-11"/>
        </w:rPr>
        <w:t>多分布于腹腔、皮下和肌肉纤维之间。</w:t>
      </w:r>
    </w:p>
    <w:p w:rsidR="00EA40A3" w:rsidRDefault="00E86C16">
      <w:pPr>
        <w:spacing w:before="78" w:line="220" w:lineRule="auto"/>
        <w:rPr>
          <w:rFonts w:ascii="楷体" w:eastAsia="楷体" w:hAnsi="楷体" w:cs="楷体"/>
        </w:rPr>
      </w:pPr>
      <w:r>
        <w:rPr>
          <w:rFonts w:ascii="楷体" w:eastAsia="楷体" w:hAnsi="楷体" w:cs="楷体"/>
          <w:spacing w:val="-1"/>
        </w:rPr>
        <w:t>3)提供必需脂肪酸，促进脂溶性维生素吸收</w:t>
      </w:r>
    </w:p>
    <w:p w:rsidR="00EA40A3" w:rsidRDefault="00E86C16">
      <w:pPr>
        <w:spacing w:before="90" w:line="252" w:lineRule="auto"/>
        <w:ind w:firstLine="439"/>
        <w:rPr>
          <w:rFonts w:ascii="宋体" w:eastAsia="宋体" w:hAnsi="宋体" w:cs="宋体"/>
        </w:rPr>
      </w:pPr>
      <w:r>
        <w:rPr>
          <w:rFonts w:ascii="宋体" w:eastAsia="宋体" w:hAnsi="宋体" w:cs="宋体"/>
          <w:spacing w:val="-3"/>
        </w:rPr>
        <w:t>脂肪为机体提供必需脂肪酸和其他具有特殊营养功能的多不饱和脂肪酸，满</w:t>
      </w:r>
      <w:r>
        <w:rPr>
          <w:rFonts w:ascii="宋体" w:eastAsia="宋体" w:hAnsi="宋体" w:cs="宋体"/>
          <w:spacing w:val="7"/>
        </w:rPr>
        <w:t xml:space="preserve"> </w:t>
      </w:r>
      <w:r>
        <w:rPr>
          <w:rFonts w:ascii="宋体" w:eastAsia="宋体" w:hAnsi="宋体" w:cs="宋体"/>
          <w:spacing w:val="-3"/>
        </w:rPr>
        <w:t>足机体正常需要。脂溶性维生素只存在于食物脂肪中，也只有在脂肪存在的环境</w:t>
      </w:r>
      <w:r>
        <w:rPr>
          <w:rFonts w:ascii="宋体" w:eastAsia="宋体" w:hAnsi="宋体" w:cs="宋体"/>
          <w:spacing w:val="12"/>
        </w:rPr>
        <w:t xml:space="preserve"> </w:t>
      </w:r>
      <w:r>
        <w:rPr>
          <w:rFonts w:ascii="宋体" w:eastAsia="宋体" w:hAnsi="宋体" w:cs="宋体"/>
          <w:spacing w:val="-3"/>
        </w:rPr>
        <w:t>下才能被吸收。当饮食中缺乏脂肪时，体内的脂溶性维生素也会缺乏，常表现为</w:t>
      </w:r>
      <w:r>
        <w:rPr>
          <w:rFonts w:ascii="宋体" w:eastAsia="宋体" w:hAnsi="宋体" w:cs="宋体"/>
          <w:spacing w:val="14"/>
        </w:rPr>
        <w:t xml:space="preserve"> </w:t>
      </w:r>
      <w:r>
        <w:rPr>
          <w:rFonts w:ascii="宋体" w:eastAsia="宋体" w:hAnsi="宋体" w:cs="宋体"/>
          <w:spacing w:val="-5"/>
        </w:rPr>
        <w:t>干眼病，机体组织上皮干燥、角质化、增生等病症。</w:t>
      </w:r>
    </w:p>
    <w:p w:rsidR="00EA40A3" w:rsidRDefault="00E86C16">
      <w:pPr>
        <w:spacing w:before="44" w:line="220" w:lineRule="auto"/>
        <w:rPr>
          <w:rFonts w:ascii="楷体" w:eastAsia="楷体" w:hAnsi="楷体" w:cs="楷体"/>
        </w:rPr>
      </w:pPr>
      <w:r>
        <w:rPr>
          <w:rFonts w:ascii="楷体" w:eastAsia="楷体" w:hAnsi="楷体" w:cs="楷体"/>
          <w:spacing w:val="2"/>
        </w:rPr>
        <w:t>4)保护机体，滋润皮肤</w:t>
      </w:r>
    </w:p>
    <w:p w:rsidR="00EA40A3" w:rsidRDefault="00E86C16">
      <w:pPr>
        <w:spacing w:before="99" w:line="252" w:lineRule="auto"/>
        <w:ind w:right="16" w:firstLine="439"/>
        <w:jc w:val="both"/>
        <w:rPr>
          <w:rFonts w:ascii="宋体" w:eastAsia="宋体" w:hAnsi="宋体" w:cs="宋体"/>
        </w:rPr>
      </w:pPr>
      <w:r>
        <w:rPr>
          <w:rFonts w:ascii="宋体" w:eastAsia="宋体" w:hAnsi="宋体" w:cs="宋体"/>
          <w:spacing w:val="-3"/>
        </w:rPr>
        <w:t>机体内所含的脂肪称体脂，体脂是热的不良导</w:t>
      </w:r>
      <w:r>
        <w:rPr>
          <w:rFonts w:ascii="宋体" w:eastAsia="宋体" w:hAnsi="宋体" w:cs="宋体"/>
          <w:spacing w:val="-4"/>
        </w:rPr>
        <w:t>体，能起隔热作用，对维持机</w:t>
      </w:r>
      <w:r>
        <w:rPr>
          <w:rFonts w:ascii="宋体" w:eastAsia="宋体" w:hAnsi="宋体" w:cs="宋体"/>
        </w:rPr>
        <w:t xml:space="preserve"> </w:t>
      </w:r>
      <w:r>
        <w:rPr>
          <w:rFonts w:ascii="宋体" w:eastAsia="宋体" w:hAnsi="宋体" w:cs="宋体"/>
          <w:spacing w:val="-3"/>
        </w:rPr>
        <w:t>体的正常体温有重要作用。同时，体脂在各器官周围像软垫一样，有缓冲机械冲</w:t>
      </w:r>
      <w:r>
        <w:rPr>
          <w:rFonts w:ascii="宋体" w:eastAsia="宋体" w:hAnsi="宋体" w:cs="宋体"/>
          <w:spacing w:val="17"/>
        </w:rPr>
        <w:t xml:space="preserve"> </w:t>
      </w:r>
      <w:r>
        <w:rPr>
          <w:rFonts w:ascii="宋体" w:eastAsia="宋体" w:hAnsi="宋体" w:cs="宋体"/>
          <w:spacing w:val="-3"/>
        </w:rPr>
        <w:t>击的作用，对各种内脏器官及组织、关节起到保护和固定作用。</w:t>
      </w:r>
      <w:r>
        <w:rPr>
          <w:rFonts w:ascii="宋体" w:eastAsia="宋体" w:hAnsi="宋体" w:cs="宋体"/>
          <w:spacing w:val="-4"/>
        </w:rPr>
        <w:t>体脂在皮下适量</w:t>
      </w:r>
      <w:r>
        <w:rPr>
          <w:rFonts w:ascii="宋体" w:eastAsia="宋体" w:hAnsi="宋体" w:cs="宋体"/>
        </w:rPr>
        <w:t xml:space="preserve"> </w:t>
      </w:r>
      <w:r>
        <w:rPr>
          <w:rFonts w:ascii="宋体" w:eastAsia="宋体" w:hAnsi="宋体" w:cs="宋体"/>
          <w:spacing w:val="-4"/>
        </w:rPr>
        <w:t>储存，可滋润皮肤，增加皮肤弹性，延缓皮肤衰老。</w:t>
      </w:r>
    </w:p>
    <w:p w:rsidR="00EA40A3" w:rsidRDefault="00E86C16">
      <w:pPr>
        <w:spacing w:before="62" w:line="219" w:lineRule="auto"/>
        <w:rPr>
          <w:rFonts w:ascii="宋体" w:eastAsia="宋体" w:hAnsi="宋体" w:cs="宋体"/>
        </w:rPr>
      </w:pPr>
      <w:r>
        <w:rPr>
          <w:rFonts w:ascii="宋体" w:eastAsia="宋体" w:hAnsi="宋体" w:cs="宋体"/>
          <w:spacing w:val="5"/>
        </w:rPr>
        <w:t>5)增加饱腹感</w:t>
      </w:r>
    </w:p>
    <w:p w:rsidR="00EA40A3" w:rsidRDefault="00E86C16">
      <w:pPr>
        <w:spacing w:before="80" w:line="258" w:lineRule="auto"/>
        <w:ind w:firstLine="439"/>
        <w:jc w:val="both"/>
        <w:rPr>
          <w:rFonts w:ascii="宋体" w:eastAsia="宋体" w:hAnsi="宋体" w:cs="宋体"/>
        </w:rPr>
      </w:pPr>
      <w:r>
        <w:rPr>
          <w:rFonts w:ascii="宋体" w:eastAsia="宋体" w:hAnsi="宋体" w:cs="宋体"/>
          <w:spacing w:val="-3"/>
        </w:rPr>
        <w:t>食物中的各个成分消化速度不一样，碳水化合物在胃中迅速排空，蛋白质排</w:t>
      </w:r>
      <w:r>
        <w:rPr>
          <w:rFonts w:ascii="宋体" w:eastAsia="宋体" w:hAnsi="宋体" w:cs="宋体"/>
          <w:spacing w:val="6"/>
        </w:rPr>
        <w:t xml:space="preserve"> </w:t>
      </w:r>
      <w:r>
        <w:rPr>
          <w:rFonts w:ascii="宋体" w:eastAsia="宋体" w:hAnsi="宋体" w:cs="宋体"/>
        </w:rPr>
        <w:t>空较慢，脂类在胃中停留时间较长。</w:t>
      </w:r>
      <w:r>
        <w:rPr>
          <w:rFonts w:ascii="宋体" w:eastAsia="宋体" w:hAnsi="宋体" w:cs="宋体"/>
          <w:spacing w:val="44"/>
        </w:rPr>
        <w:t xml:space="preserve"> </w:t>
      </w:r>
      <w:r>
        <w:rPr>
          <w:rFonts w:ascii="宋体" w:eastAsia="宋体" w:hAnsi="宋体" w:cs="宋体"/>
        </w:rPr>
        <w:t>一次进食含50g脂肪的</w:t>
      </w:r>
      <w:r>
        <w:rPr>
          <w:rFonts w:ascii="宋体" w:eastAsia="宋体" w:hAnsi="宋体" w:cs="宋体"/>
          <w:spacing w:val="-1"/>
        </w:rPr>
        <w:t>高脂膳食，需4～6h</w:t>
      </w:r>
      <w:r>
        <w:rPr>
          <w:rFonts w:ascii="宋体" w:eastAsia="宋体" w:hAnsi="宋体" w:cs="宋体"/>
        </w:rPr>
        <w:t xml:space="preserve"> </w:t>
      </w:r>
      <w:r>
        <w:rPr>
          <w:rFonts w:ascii="宋体" w:eastAsia="宋体" w:hAnsi="宋体" w:cs="宋体"/>
          <w:spacing w:val="-3"/>
        </w:rPr>
        <w:t>才能在胃中排空，因而使人有高度饱腹感。此外，脂肪还可改善</w:t>
      </w:r>
      <w:r>
        <w:rPr>
          <w:rFonts w:ascii="宋体" w:eastAsia="宋体" w:hAnsi="宋体" w:cs="宋体"/>
          <w:spacing w:val="-4"/>
        </w:rPr>
        <w:t>食品的感观性状</w:t>
      </w:r>
      <w:r>
        <w:rPr>
          <w:rFonts w:ascii="宋体" w:eastAsia="宋体" w:hAnsi="宋体" w:cs="宋体"/>
        </w:rPr>
        <w:t xml:space="preserve"> </w:t>
      </w:r>
      <w:r>
        <w:rPr>
          <w:rFonts w:ascii="宋体" w:eastAsia="宋体" w:hAnsi="宋体" w:cs="宋体"/>
          <w:spacing w:val="-1"/>
        </w:rPr>
        <w:t>(色、香、味、型等),达到美食和促进食欲的作用。</w:t>
      </w:r>
    </w:p>
    <w:p w:rsidR="00EA40A3" w:rsidRDefault="00E86C16">
      <w:pPr>
        <w:spacing w:before="133"/>
        <w:ind w:right="39"/>
        <w:jc w:val="right"/>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3"/>
          <w:sz w:val="18"/>
          <w:szCs w:val="18"/>
        </w:rPr>
        <w:t xml:space="preserve"> </w:t>
      </w:r>
      <w:r>
        <w:rPr>
          <w:rFonts w:ascii="宋体" w:eastAsia="宋体" w:hAnsi="宋体" w:cs="宋体"/>
          <w:spacing w:val="-28"/>
          <w:sz w:val="18"/>
          <w:szCs w:val="18"/>
        </w:rPr>
        <w:t>61</w:t>
      </w:r>
      <w:r>
        <w:rPr>
          <w:rFonts w:ascii="宋体" w:eastAsia="宋体" w:hAnsi="宋体" w:cs="宋体"/>
          <w:spacing w:val="23"/>
          <w:w w:val="101"/>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80" w:bottom="400" w:left="860" w:header="0" w:footer="0" w:gutter="0"/>
          <w:cols w:space="720"/>
        </w:sectPr>
      </w:pPr>
    </w:p>
    <w:p w:rsidR="00EA40A3" w:rsidRDefault="00EA40A3"/>
    <w:p w:rsidR="00EA40A3" w:rsidRDefault="00EA40A3">
      <w:pPr>
        <w:spacing w:line="241" w:lineRule="auto"/>
      </w:pPr>
    </w:p>
    <w:p w:rsidR="00EA40A3" w:rsidRDefault="00EA40A3">
      <w:pPr>
        <w:spacing w:line="241" w:lineRule="auto"/>
      </w:pPr>
    </w:p>
    <w:p w:rsidR="00EA40A3" w:rsidRDefault="00E86C16">
      <w:pPr>
        <w:spacing w:before="69" w:line="222" w:lineRule="auto"/>
        <w:rPr>
          <w:rFonts w:ascii="仿宋" w:eastAsia="仿宋" w:hAnsi="仿宋" w:cs="仿宋"/>
        </w:rPr>
      </w:pPr>
      <w:r>
        <w:rPr>
          <w:rFonts w:ascii="仿宋" w:eastAsia="仿宋" w:hAnsi="仿宋" w:cs="仿宋"/>
          <w:spacing w:val="24"/>
        </w:rPr>
        <w:t>2.</w:t>
      </w:r>
      <w:r>
        <w:rPr>
          <w:rFonts w:ascii="仿宋" w:eastAsia="仿宋" w:hAnsi="仿宋" w:cs="仿宋"/>
          <w:spacing w:val="-8"/>
        </w:rPr>
        <w:t xml:space="preserve"> </w:t>
      </w:r>
      <w:r>
        <w:rPr>
          <w:rFonts w:ascii="仿宋" w:eastAsia="仿宋" w:hAnsi="仿宋" w:cs="仿宋"/>
          <w:spacing w:val="24"/>
        </w:rPr>
        <w:t>必需脂肪酸及多不饱和脂肪酸的生理功能</w:t>
      </w:r>
    </w:p>
    <w:p w:rsidR="00EA40A3" w:rsidRDefault="00E86C16">
      <w:pPr>
        <w:spacing w:before="187" w:line="257" w:lineRule="auto"/>
        <w:ind w:firstLine="410"/>
        <w:jc w:val="both"/>
        <w:rPr>
          <w:rFonts w:ascii="宋体" w:eastAsia="宋体" w:hAnsi="宋体" w:cs="宋体"/>
        </w:rPr>
      </w:pPr>
      <w:r>
        <w:rPr>
          <w:rFonts w:ascii="宋体" w:eastAsia="宋体" w:hAnsi="宋体" w:cs="宋体"/>
          <w:spacing w:val="-4"/>
        </w:rPr>
        <w:t>脂肪酸</w:t>
      </w:r>
      <w:r>
        <w:rPr>
          <w:rFonts w:ascii="宋体" w:eastAsia="宋体" w:hAnsi="宋体" w:cs="宋体"/>
          <w:spacing w:val="4"/>
        </w:rPr>
        <w:t xml:space="preserve"> </w:t>
      </w:r>
      <w:r>
        <w:rPr>
          <w:rFonts w:ascii="宋体" w:eastAsia="宋体" w:hAnsi="宋体" w:cs="宋体"/>
          <w:spacing w:val="-4"/>
        </w:rPr>
        <w:t>(fatty</w:t>
      </w:r>
      <w:r>
        <w:rPr>
          <w:rFonts w:ascii="宋体" w:eastAsia="宋体" w:hAnsi="宋体" w:cs="宋体"/>
          <w:spacing w:val="-5"/>
        </w:rPr>
        <w:t xml:space="preserve"> </w:t>
      </w:r>
      <w:r>
        <w:rPr>
          <w:rFonts w:ascii="宋体" w:eastAsia="宋体" w:hAnsi="宋体" w:cs="宋体"/>
          <w:spacing w:val="-4"/>
        </w:rPr>
        <w:t>acid)</w:t>
      </w:r>
      <w:r>
        <w:rPr>
          <w:rFonts w:ascii="宋体" w:eastAsia="宋体" w:hAnsi="宋体" w:cs="宋体"/>
          <w:spacing w:val="-56"/>
        </w:rPr>
        <w:t xml:space="preserve"> </w:t>
      </w:r>
      <w:r>
        <w:rPr>
          <w:rFonts w:ascii="宋体" w:eastAsia="宋体" w:hAnsi="宋体" w:cs="宋体"/>
          <w:spacing w:val="-4"/>
        </w:rPr>
        <w:t>是脂肪的水解产物。按脂肪酸碳链中</w:t>
      </w:r>
      <w:r>
        <w:rPr>
          <w:rFonts w:ascii="宋体" w:eastAsia="宋体" w:hAnsi="宋体" w:cs="宋体"/>
          <w:spacing w:val="-5"/>
        </w:rPr>
        <w:t>的双键数量分为：</w:t>
      </w:r>
      <w:r>
        <w:rPr>
          <w:rFonts w:ascii="宋体" w:eastAsia="宋体" w:hAnsi="宋体" w:cs="宋体"/>
        </w:rPr>
        <w:t xml:space="preserve"> </w:t>
      </w:r>
      <w:r>
        <w:rPr>
          <w:rFonts w:ascii="宋体" w:eastAsia="宋体" w:hAnsi="宋体" w:cs="宋体"/>
          <w:spacing w:val="-1"/>
        </w:rPr>
        <w:t>①饱和脂肪酸</w:t>
      </w:r>
      <w:r>
        <w:rPr>
          <w:rFonts w:ascii="宋体" w:eastAsia="宋体" w:hAnsi="宋体" w:cs="宋体"/>
          <w:spacing w:val="24"/>
        </w:rPr>
        <w:t xml:space="preserve"> </w:t>
      </w:r>
      <w:r>
        <w:rPr>
          <w:rFonts w:ascii="Times New Roman" w:eastAsia="Times New Roman" w:hAnsi="Times New Roman" w:cs="Times New Roman"/>
          <w:spacing w:val="-1"/>
        </w:rPr>
        <w:t>(saturated</w:t>
      </w:r>
      <w:r>
        <w:rPr>
          <w:rFonts w:ascii="Times New Roman" w:eastAsia="Times New Roman" w:hAnsi="Times New Roman" w:cs="Times New Roman"/>
        </w:rPr>
        <w:t xml:space="preserve">     </w:t>
      </w:r>
      <w:r>
        <w:rPr>
          <w:rFonts w:ascii="Times New Roman" w:eastAsia="Times New Roman" w:hAnsi="Times New Roman" w:cs="Times New Roman"/>
          <w:spacing w:val="-1"/>
        </w:rPr>
        <w:t>fatty</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acid,SFA):</w:t>
      </w:r>
      <w:r>
        <w:rPr>
          <w:rFonts w:ascii="Times New Roman" w:eastAsia="Times New Roman" w:hAnsi="Times New Roman" w:cs="Times New Roman"/>
          <w:spacing w:val="41"/>
        </w:rPr>
        <w:t xml:space="preserve"> </w:t>
      </w:r>
      <w:r>
        <w:rPr>
          <w:rFonts w:ascii="宋体" w:eastAsia="宋体" w:hAnsi="宋体" w:cs="宋体"/>
          <w:spacing w:val="-1"/>
        </w:rPr>
        <w:t>分子中不含双键，多存在于动物脂</w:t>
      </w:r>
      <w:r>
        <w:rPr>
          <w:rFonts w:ascii="宋体" w:eastAsia="宋体" w:hAnsi="宋体" w:cs="宋体"/>
        </w:rPr>
        <w:t xml:space="preserve">  </w:t>
      </w:r>
      <w:r>
        <w:rPr>
          <w:rFonts w:ascii="宋体" w:eastAsia="宋体" w:hAnsi="宋体" w:cs="宋体"/>
          <w:spacing w:val="-1"/>
        </w:rPr>
        <w:t>肪中；②单不饱和脂肪酸</w:t>
      </w:r>
      <w:r>
        <w:rPr>
          <w:rFonts w:ascii="宋体" w:eastAsia="宋体" w:hAnsi="宋体" w:cs="宋体"/>
          <w:spacing w:val="-15"/>
        </w:rPr>
        <w:t xml:space="preserve"> </w:t>
      </w:r>
      <w:r>
        <w:rPr>
          <w:rFonts w:ascii="宋体" w:eastAsia="宋体" w:hAnsi="宋体" w:cs="宋体"/>
          <w:spacing w:val="-1"/>
        </w:rPr>
        <w:t>(</w:t>
      </w:r>
      <w:r>
        <w:rPr>
          <w:rFonts w:ascii="宋体" w:eastAsia="宋体" w:hAnsi="宋体" w:cs="宋体"/>
        </w:rPr>
        <w:t>monounsaturated</w:t>
      </w:r>
      <w:r>
        <w:rPr>
          <w:rFonts w:ascii="宋体" w:eastAsia="宋体" w:hAnsi="宋体" w:cs="宋体"/>
          <w:spacing w:val="86"/>
        </w:rPr>
        <w:t xml:space="preserve"> </w:t>
      </w:r>
      <w:r>
        <w:rPr>
          <w:rFonts w:ascii="宋体" w:eastAsia="宋体" w:hAnsi="宋体" w:cs="宋体"/>
        </w:rPr>
        <w:t>fatty</w:t>
      </w:r>
      <w:r>
        <w:rPr>
          <w:rFonts w:ascii="宋体" w:eastAsia="宋体" w:hAnsi="宋体" w:cs="宋体"/>
          <w:spacing w:val="83"/>
        </w:rPr>
        <w:t xml:space="preserve"> </w:t>
      </w:r>
      <w:r>
        <w:rPr>
          <w:rFonts w:ascii="宋体" w:eastAsia="宋体" w:hAnsi="宋体" w:cs="宋体"/>
        </w:rPr>
        <w:t>ac</w:t>
      </w:r>
      <w:r>
        <w:rPr>
          <w:rFonts w:ascii="宋体" w:eastAsia="宋体" w:hAnsi="宋体" w:cs="宋体"/>
          <w:spacing w:val="-1"/>
        </w:rPr>
        <w:t>id,MUFA):</w:t>
      </w:r>
      <w:r>
        <w:rPr>
          <w:rFonts w:ascii="宋体" w:eastAsia="宋体" w:hAnsi="宋体" w:cs="宋体"/>
          <w:spacing w:val="-28"/>
        </w:rPr>
        <w:t xml:space="preserve"> </w:t>
      </w:r>
      <w:r>
        <w:rPr>
          <w:rFonts w:ascii="宋体" w:eastAsia="宋体" w:hAnsi="宋体" w:cs="宋体"/>
          <w:spacing w:val="-1"/>
        </w:rPr>
        <w:t>分子中含一</w:t>
      </w:r>
      <w:r>
        <w:rPr>
          <w:rFonts w:ascii="宋体" w:eastAsia="宋体" w:hAnsi="宋体" w:cs="宋体"/>
        </w:rPr>
        <w:t xml:space="preserve">  </w:t>
      </w:r>
      <w:r>
        <w:rPr>
          <w:rFonts w:ascii="宋体" w:eastAsia="宋体" w:hAnsi="宋体" w:cs="宋体"/>
          <w:spacing w:val="-5"/>
        </w:rPr>
        <w:t>个双键，油酸是</w:t>
      </w:r>
      <w:r>
        <w:rPr>
          <w:rFonts w:ascii="宋体" w:eastAsia="宋体" w:hAnsi="宋体" w:cs="宋体"/>
          <w:spacing w:val="-6"/>
        </w:rPr>
        <w:t>最普遍的单不饱和脂肪酸；③多不饱和脂肪酸</w:t>
      </w:r>
      <w:r>
        <w:rPr>
          <w:rFonts w:ascii="宋体" w:eastAsia="宋体" w:hAnsi="宋体" w:cs="宋体"/>
          <w:spacing w:val="-4"/>
        </w:rPr>
        <w:t xml:space="preserve"> </w:t>
      </w:r>
      <w:r>
        <w:rPr>
          <w:rFonts w:ascii="宋体" w:eastAsia="宋体" w:hAnsi="宋体" w:cs="宋体"/>
          <w:spacing w:val="-6"/>
        </w:rPr>
        <w:t>(</w:t>
      </w:r>
      <w:r>
        <w:rPr>
          <w:rFonts w:ascii="宋体" w:eastAsia="宋体" w:hAnsi="宋体" w:cs="宋体"/>
          <w:spacing w:val="-5"/>
        </w:rPr>
        <w:t>polyunsaturated</w:t>
      </w:r>
      <w:r>
        <w:rPr>
          <w:rFonts w:ascii="宋体" w:eastAsia="宋体" w:hAnsi="宋体" w:cs="宋体"/>
        </w:rPr>
        <w:t xml:space="preserve">  fatty</w:t>
      </w:r>
      <w:r>
        <w:rPr>
          <w:rFonts w:ascii="宋体" w:eastAsia="宋体" w:hAnsi="宋体" w:cs="宋体"/>
          <w:spacing w:val="15"/>
        </w:rPr>
        <w:t xml:space="preserve">  </w:t>
      </w:r>
      <w:r>
        <w:rPr>
          <w:rFonts w:ascii="宋体" w:eastAsia="宋体" w:hAnsi="宋体" w:cs="宋体"/>
        </w:rPr>
        <w:t>acid</w:t>
      </w:r>
      <w:r>
        <w:rPr>
          <w:rFonts w:ascii="宋体" w:eastAsia="宋体" w:hAnsi="宋体" w:cs="宋体"/>
          <w:spacing w:val="4"/>
        </w:rPr>
        <w:t>,</w:t>
      </w:r>
      <w:r>
        <w:rPr>
          <w:rFonts w:ascii="宋体" w:eastAsia="宋体" w:hAnsi="宋体" w:cs="宋体"/>
        </w:rPr>
        <w:t>PUFA</w:t>
      </w:r>
      <w:r>
        <w:rPr>
          <w:rFonts w:ascii="宋体" w:eastAsia="宋体" w:hAnsi="宋体" w:cs="宋体"/>
          <w:spacing w:val="4"/>
        </w:rPr>
        <w:t>):分子中含两个以上双键，在植物种子和鱼油中含量较多，</w:t>
      </w:r>
      <w:r>
        <w:rPr>
          <w:rFonts w:ascii="宋体" w:eastAsia="宋体" w:hAnsi="宋体" w:cs="宋体"/>
          <w:spacing w:val="1"/>
        </w:rPr>
        <w:t xml:space="preserve"> </w:t>
      </w:r>
      <w:r>
        <w:rPr>
          <w:rFonts w:ascii="宋体" w:eastAsia="宋体" w:hAnsi="宋体" w:cs="宋体"/>
          <w:spacing w:val="-1"/>
        </w:rPr>
        <w:t>其中有重要生物学意义的是n-3和</w:t>
      </w:r>
      <w:r>
        <w:rPr>
          <w:rFonts w:ascii="宋体" w:eastAsia="宋体" w:hAnsi="宋体" w:cs="宋体"/>
          <w:spacing w:val="-57"/>
        </w:rPr>
        <w:t xml:space="preserve"> </w:t>
      </w:r>
      <w:r>
        <w:rPr>
          <w:rFonts w:ascii="宋体" w:eastAsia="宋体" w:hAnsi="宋体" w:cs="宋体"/>
          <w:spacing w:val="-1"/>
        </w:rPr>
        <w:t>n-6</w:t>
      </w:r>
      <w:r>
        <w:rPr>
          <w:rFonts w:ascii="宋体" w:eastAsia="宋体" w:hAnsi="宋体" w:cs="宋体"/>
          <w:spacing w:val="5"/>
        </w:rPr>
        <w:t xml:space="preserve">  </w:t>
      </w:r>
      <w:r>
        <w:rPr>
          <w:rFonts w:ascii="宋体" w:eastAsia="宋体" w:hAnsi="宋体" w:cs="宋体"/>
          <w:spacing w:val="-1"/>
        </w:rPr>
        <w:t>PUFA。</w:t>
      </w:r>
    </w:p>
    <w:p w:rsidR="00EA40A3" w:rsidRDefault="00E86C16">
      <w:pPr>
        <w:spacing w:before="90" w:line="260" w:lineRule="auto"/>
        <w:ind w:right="64" w:firstLine="410"/>
        <w:jc w:val="both"/>
        <w:rPr>
          <w:rFonts w:ascii="宋体" w:eastAsia="宋体" w:hAnsi="宋体" w:cs="宋体"/>
        </w:rPr>
      </w:pPr>
      <w:r>
        <w:rPr>
          <w:rFonts w:ascii="宋体" w:eastAsia="宋体" w:hAnsi="宋体" w:cs="宋体"/>
          <w:spacing w:val="-2"/>
        </w:rPr>
        <w:t>必需脂肪酸</w:t>
      </w:r>
      <w:r>
        <w:rPr>
          <w:rFonts w:ascii="宋体" w:eastAsia="宋体" w:hAnsi="宋体" w:cs="宋体"/>
          <w:spacing w:val="-9"/>
        </w:rPr>
        <w:t xml:space="preserve"> </w:t>
      </w:r>
      <w:r>
        <w:rPr>
          <w:rFonts w:ascii="宋体" w:eastAsia="宋体" w:hAnsi="宋体" w:cs="宋体"/>
          <w:spacing w:val="-2"/>
        </w:rPr>
        <w:t>(essential</w:t>
      </w:r>
      <w:r>
        <w:rPr>
          <w:rFonts w:ascii="宋体" w:eastAsia="宋体" w:hAnsi="宋体" w:cs="宋体"/>
          <w:spacing w:val="7"/>
        </w:rPr>
        <w:t xml:space="preserve"> </w:t>
      </w:r>
      <w:r>
        <w:rPr>
          <w:rFonts w:ascii="宋体" w:eastAsia="宋体" w:hAnsi="宋体" w:cs="宋体"/>
          <w:spacing w:val="-2"/>
        </w:rPr>
        <w:t>fatty</w:t>
      </w:r>
      <w:r>
        <w:rPr>
          <w:rFonts w:ascii="宋体" w:eastAsia="宋体" w:hAnsi="宋体" w:cs="宋体"/>
          <w:spacing w:val="5"/>
        </w:rPr>
        <w:t xml:space="preserve"> </w:t>
      </w:r>
      <w:r>
        <w:rPr>
          <w:rFonts w:ascii="宋体" w:eastAsia="宋体" w:hAnsi="宋体" w:cs="宋体"/>
          <w:spacing w:val="-2"/>
        </w:rPr>
        <w:t>acid,EFA)</w:t>
      </w:r>
      <w:r>
        <w:rPr>
          <w:rFonts w:ascii="宋体" w:eastAsia="宋体" w:hAnsi="宋体" w:cs="宋体"/>
          <w:spacing w:val="-39"/>
        </w:rPr>
        <w:t xml:space="preserve"> </w:t>
      </w:r>
      <w:r>
        <w:rPr>
          <w:rFonts w:ascii="宋体" w:eastAsia="宋体" w:hAnsi="宋体" w:cs="宋体"/>
          <w:spacing w:val="-2"/>
        </w:rPr>
        <w:t>是指人体不可缺少且不能自身合</w:t>
      </w:r>
      <w:r>
        <w:rPr>
          <w:rFonts w:ascii="宋体" w:eastAsia="宋体" w:hAnsi="宋体" w:cs="宋体"/>
        </w:rPr>
        <w:t xml:space="preserve"> </w:t>
      </w:r>
      <w:r>
        <w:rPr>
          <w:rFonts w:ascii="宋体" w:eastAsia="宋体" w:hAnsi="宋体" w:cs="宋体"/>
          <w:spacing w:val="-1"/>
        </w:rPr>
        <w:t>成，必须通过食物供给的脂肪酸。目前被确认的人体必需脂肪酸是n-3系列中的</w:t>
      </w:r>
      <w:r>
        <w:rPr>
          <w:rFonts w:ascii="宋体" w:eastAsia="宋体" w:hAnsi="宋体" w:cs="宋体"/>
          <w:spacing w:val="17"/>
        </w:rPr>
        <w:t xml:space="preserve"> </w:t>
      </w:r>
      <w:r>
        <w:rPr>
          <w:rFonts w:ascii="宋体" w:eastAsia="宋体" w:hAnsi="宋体" w:cs="宋体"/>
        </w:rPr>
        <w:t>α亚麻酸和n-6</w:t>
      </w:r>
      <w:r>
        <w:rPr>
          <w:rFonts w:ascii="宋体" w:eastAsia="宋体" w:hAnsi="宋体" w:cs="宋体"/>
          <w:spacing w:val="-53"/>
        </w:rPr>
        <w:t xml:space="preserve"> </w:t>
      </w:r>
      <w:r>
        <w:rPr>
          <w:rFonts w:ascii="宋体" w:eastAsia="宋体" w:hAnsi="宋体" w:cs="宋体"/>
        </w:rPr>
        <w:t>系列中的亚油酸。过去曾将花生四烯酸(C</w:t>
      </w:r>
      <w:r>
        <w:rPr>
          <w:rFonts w:ascii="Calibri" w:eastAsia="Calibri" w:hAnsi="Calibri" w:cs="Calibri"/>
        </w:rPr>
        <w:t>₂</w:t>
      </w:r>
      <w:r>
        <w:rPr>
          <w:rFonts w:ascii="宋体" w:eastAsia="宋体" w:hAnsi="宋体" w:cs="宋体"/>
        </w:rPr>
        <w:t>0:4</w:t>
      </w:r>
      <w:r>
        <w:rPr>
          <w:rFonts w:ascii="宋体" w:eastAsia="宋体" w:hAnsi="宋体" w:cs="宋体"/>
          <w:spacing w:val="38"/>
        </w:rPr>
        <w:t xml:space="preserve"> </w:t>
      </w:r>
      <w:r>
        <w:rPr>
          <w:rFonts w:ascii="宋体" w:eastAsia="宋体" w:hAnsi="宋体" w:cs="宋体"/>
        </w:rPr>
        <w:t>n-6)</w:t>
      </w:r>
      <w:r>
        <w:rPr>
          <w:rFonts w:ascii="宋体" w:eastAsia="宋体" w:hAnsi="宋体" w:cs="宋体"/>
          <w:spacing w:val="-41"/>
        </w:rPr>
        <w:t xml:space="preserve"> </w:t>
      </w:r>
      <w:r>
        <w:rPr>
          <w:rFonts w:ascii="宋体" w:eastAsia="宋体" w:hAnsi="宋体" w:cs="宋体"/>
        </w:rPr>
        <w:t xml:space="preserve">列为必需脂 </w:t>
      </w:r>
      <w:r>
        <w:rPr>
          <w:rFonts w:ascii="宋体" w:eastAsia="宋体" w:hAnsi="宋体" w:cs="宋体"/>
          <w:spacing w:val="-3"/>
        </w:rPr>
        <w:t>肪酸，但由于它可以从亚油酸衍生而来，因此现在不再被列为必</w:t>
      </w:r>
      <w:r>
        <w:rPr>
          <w:rFonts w:ascii="宋体" w:eastAsia="宋体" w:hAnsi="宋体" w:cs="宋体"/>
          <w:spacing w:val="-4"/>
        </w:rPr>
        <w:t>需脂肪酸。实际</w:t>
      </w:r>
      <w:r>
        <w:rPr>
          <w:rFonts w:ascii="宋体" w:eastAsia="宋体" w:hAnsi="宋体" w:cs="宋体"/>
        </w:rPr>
        <w:t xml:space="preserve"> </w:t>
      </w:r>
      <w:r>
        <w:rPr>
          <w:rFonts w:ascii="宋体" w:eastAsia="宋体" w:hAnsi="宋体" w:cs="宋体"/>
          <w:spacing w:val="-5"/>
        </w:rPr>
        <w:t>上，像花生四烯酸、二十碳五烯酸</w:t>
      </w:r>
      <w:r>
        <w:rPr>
          <w:rFonts w:ascii="宋体" w:eastAsia="宋体" w:hAnsi="宋体" w:cs="宋体"/>
          <w:spacing w:val="-6"/>
        </w:rPr>
        <w:t xml:space="preserve"> </w:t>
      </w:r>
      <w:r>
        <w:rPr>
          <w:rFonts w:ascii="宋体" w:eastAsia="宋体" w:hAnsi="宋体" w:cs="宋体"/>
          <w:spacing w:val="-5"/>
        </w:rPr>
        <w:t>(EPA)、</w:t>
      </w:r>
      <w:r>
        <w:rPr>
          <w:rFonts w:ascii="宋体" w:eastAsia="宋体" w:hAnsi="宋体" w:cs="宋体"/>
          <w:spacing w:val="2"/>
        </w:rPr>
        <w:t xml:space="preserve">  </w:t>
      </w:r>
      <w:r>
        <w:rPr>
          <w:rFonts w:ascii="宋体" w:eastAsia="宋体" w:hAnsi="宋体" w:cs="宋体"/>
          <w:spacing w:val="-5"/>
        </w:rPr>
        <w:t>二十二碳六烯酸</w:t>
      </w:r>
      <w:r>
        <w:rPr>
          <w:rFonts w:ascii="宋体" w:eastAsia="宋体" w:hAnsi="宋体" w:cs="宋体"/>
          <w:spacing w:val="5"/>
        </w:rPr>
        <w:t xml:space="preserve"> </w:t>
      </w:r>
      <w:r>
        <w:rPr>
          <w:rFonts w:ascii="宋体" w:eastAsia="宋体" w:hAnsi="宋体" w:cs="宋体"/>
          <w:spacing w:val="-5"/>
        </w:rPr>
        <w:t>(DHA)</w:t>
      </w:r>
      <w:r>
        <w:rPr>
          <w:rFonts w:ascii="宋体" w:eastAsia="宋体" w:hAnsi="宋体" w:cs="宋体"/>
          <w:spacing w:val="50"/>
        </w:rPr>
        <w:t xml:space="preserve">  </w:t>
      </w:r>
      <w:r>
        <w:rPr>
          <w:rFonts w:ascii="宋体" w:eastAsia="宋体" w:hAnsi="宋体" w:cs="宋体"/>
          <w:spacing w:val="-5"/>
        </w:rPr>
        <w:t>等都是人</w:t>
      </w:r>
      <w:r>
        <w:rPr>
          <w:rFonts w:ascii="宋体" w:eastAsia="宋体" w:hAnsi="宋体" w:cs="宋体"/>
          <w:spacing w:val="1"/>
        </w:rPr>
        <w:t xml:space="preserve"> </w:t>
      </w:r>
      <w:r>
        <w:rPr>
          <w:rFonts w:ascii="宋体" w:eastAsia="宋体" w:hAnsi="宋体" w:cs="宋体"/>
        </w:rPr>
        <w:t>体不可缺少的脂肪酸[注：脂肪酸命名规则：营养学上对于</w:t>
      </w:r>
      <w:r>
        <w:rPr>
          <w:rFonts w:ascii="宋体" w:eastAsia="宋体" w:hAnsi="宋体" w:cs="宋体"/>
          <w:spacing w:val="-1"/>
        </w:rPr>
        <w:t>多不饱和脂肪酸的命</w:t>
      </w:r>
      <w:r>
        <w:rPr>
          <w:rFonts w:ascii="宋体" w:eastAsia="宋体" w:hAnsi="宋体" w:cs="宋体"/>
        </w:rPr>
        <w:t xml:space="preserve"> </w:t>
      </w:r>
      <w:r>
        <w:rPr>
          <w:rFonts w:ascii="宋体" w:eastAsia="宋体" w:hAnsi="宋体" w:cs="宋体"/>
          <w:spacing w:val="7"/>
        </w:rPr>
        <w:t>名多采用n</w:t>
      </w:r>
      <w:r>
        <w:rPr>
          <w:rFonts w:ascii="宋体" w:eastAsia="宋体" w:hAnsi="宋体" w:cs="宋体"/>
          <w:spacing w:val="-44"/>
        </w:rPr>
        <w:t xml:space="preserve"> </w:t>
      </w:r>
      <w:r>
        <w:rPr>
          <w:rFonts w:ascii="宋体" w:eastAsia="宋体" w:hAnsi="宋体" w:cs="宋体"/>
          <w:spacing w:val="7"/>
        </w:rPr>
        <w:t>编号系统(或w</w:t>
      </w:r>
      <w:r>
        <w:rPr>
          <w:rFonts w:ascii="宋体" w:eastAsia="宋体" w:hAnsi="宋体" w:cs="宋体"/>
          <w:spacing w:val="-19"/>
        </w:rPr>
        <w:t xml:space="preserve"> </w:t>
      </w:r>
      <w:r>
        <w:rPr>
          <w:rFonts w:ascii="宋体" w:eastAsia="宋体" w:hAnsi="宋体" w:cs="宋体"/>
          <w:spacing w:val="7"/>
        </w:rPr>
        <w:t>编号系统),即从脂肪酸碳链的甲基端开始计数为碳</w:t>
      </w:r>
      <w:r>
        <w:rPr>
          <w:rFonts w:ascii="宋体" w:eastAsia="宋体" w:hAnsi="宋体" w:cs="宋体"/>
        </w:rPr>
        <w:t xml:space="preserve"> </w:t>
      </w:r>
      <w:r>
        <w:rPr>
          <w:rFonts w:ascii="宋体" w:eastAsia="宋体" w:hAnsi="宋体" w:cs="宋体"/>
          <w:spacing w:val="-2"/>
        </w:rPr>
        <w:t>原子编号。按n</w:t>
      </w:r>
      <w:r>
        <w:rPr>
          <w:rFonts w:ascii="宋体" w:eastAsia="宋体" w:hAnsi="宋体" w:cs="宋体"/>
          <w:spacing w:val="-34"/>
        </w:rPr>
        <w:t xml:space="preserve"> </w:t>
      </w:r>
      <w:r>
        <w:rPr>
          <w:rFonts w:ascii="宋体" w:eastAsia="宋体" w:hAnsi="宋体" w:cs="宋体"/>
          <w:spacing w:val="-2"/>
        </w:rPr>
        <w:t>编号系统，根据第一个双键所处的位置可将多不饱</w:t>
      </w:r>
      <w:r>
        <w:rPr>
          <w:rFonts w:ascii="宋体" w:eastAsia="宋体" w:hAnsi="宋体" w:cs="宋体"/>
          <w:spacing w:val="-3"/>
        </w:rPr>
        <w:t>和脂肪酸分为</w:t>
      </w:r>
      <w:r>
        <w:rPr>
          <w:rFonts w:ascii="宋体" w:eastAsia="宋体" w:hAnsi="宋体" w:cs="宋体"/>
        </w:rPr>
        <w:t xml:space="preserve"> </w:t>
      </w:r>
      <w:r>
        <w:rPr>
          <w:rFonts w:ascii="宋体" w:eastAsia="宋体" w:hAnsi="宋体" w:cs="宋体"/>
          <w:spacing w:val="6"/>
        </w:rPr>
        <w:t>4个系列，即n3、n6、n7</w:t>
      </w:r>
      <w:r>
        <w:rPr>
          <w:rFonts w:ascii="宋体" w:eastAsia="宋体" w:hAnsi="宋体" w:cs="宋体"/>
          <w:spacing w:val="28"/>
        </w:rPr>
        <w:t xml:space="preserve">  </w:t>
      </w:r>
      <w:r>
        <w:rPr>
          <w:rFonts w:ascii="宋体" w:eastAsia="宋体" w:hAnsi="宋体" w:cs="宋体"/>
          <w:spacing w:val="6"/>
        </w:rPr>
        <w:t>和π9系列，其中π6和n3</w:t>
      </w:r>
      <w:r>
        <w:rPr>
          <w:rFonts w:ascii="宋体" w:eastAsia="宋体" w:hAnsi="宋体" w:cs="宋体"/>
          <w:spacing w:val="42"/>
        </w:rPr>
        <w:t xml:space="preserve"> </w:t>
      </w:r>
      <w:r>
        <w:rPr>
          <w:rFonts w:ascii="宋体" w:eastAsia="宋体" w:hAnsi="宋体" w:cs="宋体"/>
          <w:spacing w:val="6"/>
        </w:rPr>
        <w:t>系列</w:t>
      </w:r>
      <w:r>
        <w:rPr>
          <w:rFonts w:ascii="宋体" w:eastAsia="宋体" w:hAnsi="宋体" w:cs="宋体"/>
        </w:rPr>
        <w:t>PUFA</w:t>
      </w:r>
      <w:r>
        <w:rPr>
          <w:rFonts w:ascii="宋体" w:eastAsia="宋体" w:hAnsi="宋体" w:cs="宋体"/>
          <w:spacing w:val="7"/>
        </w:rPr>
        <w:t xml:space="preserve">  </w:t>
      </w:r>
      <w:r>
        <w:rPr>
          <w:rFonts w:ascii="宋体" w:eastAsia="宋体" w:hAnsi="宋体" w:cs="宋体"/>
          <w:spacing w:val="6"/>
        </w:rPr>
        <w:t>不能从头合</w:t>
      </w:r>
      <w:r>
        <w:rPr>
          <w:rFonts w:ascii="宋体" w:eastAsia="宋体" w:hAnsi="宋体" w:cs="宋体"/>
          <w:spacing w:val="1"/>
        </w:rPr>
        <w:t xml:space="preserve"> </w:t>
      </w:r>
      <w:r>
        <w:rPr>
          <w:rFonts w:ascii="宋体" w:eastAsia="宋体" w:hAnsi="宋体" w:cs="宋体"/>
          <w:spacing w:val="-9"/>
        </w:rPr>
        <w:t>成，</w:t>
      </w:r>
      <w:r>
        <w:rPr>
          <w:rFonts w:ascii="宋体" w:eastAsia="宋体" w:hAnsi="宋体" w:cs="宋体"/>
          <w:spacing w:val="-52"/>
        </w:rPr>
        <w:t xml:space="preserve"> </w:t>
      </w:r>
      <w:r>
        <w:rPr>
          <w:rFonts w:ascii="宋体" w:eastAsia="宋体" w:hAnsi="宋体" w:cs="宋体"/>
          <w:spacing w:val="-9"/>
        </w:rPr>
        <w:t>EFA</w:t>
      </w:r>
      <w:r>
        <w:rPr>
          <w:rFonts w:ascii="宋体" w:eastAsia="宋体" w:hAnsi="宋体" w:cs="宋体"/>
          <w:spacing w:val="56"/>
        </w:rPr>
        <w:t xml:space="preserve"> </w:t>
      </w:r>
      <w:r>
        <w:rPr>
          <w:rFonts w:ascii="宋体" w:eastAsia="宋体" w:hAnsi="宋体" w:cs="宋体"/>
          <w:spacing w:val="-9"/>
        </w:rPr>
        <w:t>属于这两个系列]。</w:t>
      </w:r>
    </w:p>
    <w:p w:rsidR="00EA40A3" w:rsidRDefault="00E86C16">
      <w:pPr>
        <w:spacing w:before="76" w:line="324" w:lineRule="exact"/>
        <w:rPr>
          <w:rFonts w:ascii="楷体" w:eastAsia="楷体" w:hAnsi="楷体" w:cs="楷体"/>
        </w:rPr>
      </w:pPr>
      <w:r>
        <w:rPr>
          <w:rFonts w:ascii="楷体" w:eastAsia="楷体" w:hAnsi="楷体" w:cs="楷体"/>
          <w:spacing w:val="3"/>
          <w:position w:val="8"/>
        </w:rPr>
        <w:t>1)必需脂肪酸的生理功能</w:t>
      </w:r>
    </w:p>
    <w:p w:rsidR="00EA40A3" w:rsidRDefault="00E86C16">
      <w:pPr>
        <w:spacing w:line="219" w:lineRule="auto"/>
        <w:ind w:left="410"/>
        <w:rPr>
          <w:rFonts w:ascii="宋体" w:eastAsia="宋体" w:hAnsi="宋体" w:cs="宋体"/>
        </w:rPr>
      </w:pPr>
      <w:r>
        <w:rPr>
          <w:rFonts w:ascii="宋体" w:eastAsia="宋体" w:hAnsi="宋体" w:cs="宋体"/>
        </w:rPr>
        <w:t>a.磷脂的重要成分</w:t>
      </w:r>
    </w:p>
    <w:p w:rsidR="00EA40A3" w:rsidRDefault="00E86C16">
      <w:pPr>
        <w:spacing w:before="71" w:line="242" w:lineRule="auto"/>
        <w:ind w:right="95" w:firstLine="410"/>
        <w:rPr>
          <w:rFonts w:ascii="宋体" w:eastAsia="宋体" w:hAnsi="宋体" w:cs="宋体"/>
        </w:rPr>
      </w:pPr>
      <w:r>
        <w:rPr>
          <w:rFonts w:ascii="宋体" w:eastAsia="宋体" w:hAnsi="宋体" w:cs="宋体"/>
          <w:spacing w:val="-3"/>
        </w:rPr>
        <w:t>磷脂是线粒体和细胞膜的重要结构成分，必需脂肪酸参与磷脂合成，并</w:t>
      </w:r>
      <w:r>
        <w:rPr>
          <w:rFonts w:ascii="宋体" w:eastAsia="宋体" w:hAnsi="宋体" w:cs="宋体"/>
          <w:spacing w:val="-4"/>
        </w:rPr>
        <w:t>以磷</w:t>
      </w:r>
      <w:r>
        <w:rPr>
          <w:rFonts w:ascii="宋体" w:eastAsia="宋体" w:hAnsi="宋体" w:cs="宋体"/>
        </w:rPr>
        <w:t xml:space="preserve"> </w:t>
      </w:r>
      <w:r>
        <w:rPr>
          <w:rFonts w:ascii="宋体" w:eastAsia="宋体" w:hAnsi="宋体" w:cs="宋体"/>
          <w:spacing w:val="-6"/>
        </w:rPr>
        <w:t>脂形式出现在线粒体和细胞膜中。</w:t>
      </w:r>
    </w:p>
    <w:p w:rsidR="00EA40A3" w:rsidRDefault="00E86C16">
      <w:pPr>
        <w:spacing w:before="59" w:line="219" w:lineRule="auto"/>
        <w:ind w:left="410"/>
        <w:rPr>
          <w:rFonts w:ascii="宋体" w:eastAsia="宋体" w:hAnsi="宋体" w:cs="宋体"/>
        </w:rPr>
      </w:pPr>
      <w:r>
        <w:rPr>
          <w:rFonts w:ascii="宋体" w:eastAsia="宋体" w:hAnsi="宋体" w:cs="宋体"/>
          <w:spacing w:val="1"/>
        </w:rPr>
        <w:t>b.与胆固醇的代谢有关</w:t>
      </w:r>
    </w:p>
    <w:p w:rsidR="00EA40A3" w:rsidRDefault="00E86C16">
      <w:pPr>
        <w:spacing w:before="59" w:line="253" w:lineRule="auto"/>
        <w:ind w:right="92" w:firstLine="410"/>
        <w:rPr>
          <w:rFonts w:ascii="宋体" w:eastAsia="宋体" w:hAnsi="宋体" w:cs="宋体"/>
        </w:rPr>
      </w:pPr>
      <w:r>
        <w:rPr>
          <w:rFonts w:ascii="宋体" w:eastAsia="宋体" w:hAnsi="宋体" w:cs="宋体"/>
          <w:spacing w:val="6"/>
        </w:rPr>
        <w:t>体内约有70%的胆固醇与脂肪酸结合成酯，然后被转运和代谢，如亚油酸</w:t>
      </w:r>
      <w:r>
        <w:rPr>
          <w:rFonts w:ascii="宋体" w:eastAsia="宋体" w:hAnsi="宋体" w:cs="宋体"/>
          <w:spacing w:val="14"/>
        </w:rPr>
        <w:t xml:space="preserve"> </w:t>
      </w:r>
      <w:r>
        <w:rPr>
          <w:rFonts w:ascii="宋体" w:eastAsia="宋体" w:hAnsi="宋体" w:cs="宋体"/>
          <w:spacing w:val="1"/>
        </w:rPr>
        <w:t>和胆固醇结合而成的胆固醇酯由高密度脂蛋白</w:t>
      </w:r>
      <w:r>
        <w:rPr>
          <w:rFonts w:ascii="宋体" w:eastAsia="宋体" w:hAnsi="宋体" w:cs="宋体"/>
          <w:spacing w:val="-12"/>
        </w:rPr>
        <w:t xml:space="preserve"> </w:t>
      </w:r>
      <w:r>
        <w:rPr>
          <w:rFonts w:ascii="宋体" w:eastAsia="宋体" w:hAnsi="宋体" w:cs="宋体"/>
          <w:spacing w:val="1"/>
        </w:rPr>
        <w:t>(</w:t>
      </w:r>
      <w:r>
        <w:rPr>
          <w:rFonts w:ascii="宋体" w:eastAsia="宋体" w:hAnsi="宋体" w:cs="宋体"/>
        </w:rPr>
        <w:t>HDL</w:t>
      </w:r>
      <w:r>
        <w:rPr>
          <w:rFonts w:ascii="宋体" w:eastAsia="宋体" w:hAnsi="宋体" w:cs="宋体"/>
          <w:spacing w:val="1"/>
        </w:rPr>
        <w:t>)</w:t>
      </w:r>
      <w:r>
        <w:rPr>
          <w:rFonts w:ascii="宋体" w:eastAsia="宋体" w:hAnsi="宋体" w:cs="宋体"/>
          <w:spacing w:val="40"/>
        </w:rPr>
        <w:t xml:space="preserve">  </w:t>
      </w:r>
      <w:r>
        <w:rPr>
          <w:rFonts w:ascii="宋体" w:eastAsia="宋体" w:hAnsi="宋体" w:cs="宋体"/>
          <w:spacing w:val="1"/>
        </w:rPr>
        <w:t>从人体各组织携带</w:t>
      </w:r>
      <w:r>
        <w:rPr>
          <w:rFonts w:ascii="宋体" w:eastAsia="宋体" w:hAnsi="宋体" w:cs="宋体"/>
        </w:rPr>
        <w:t xml:space="preserve">致肝 </w:t>
      </w:r>
      <w:r>
        <w:rPr>
          <w:rFonts w:ascii="宋体" w:eastAsia="宋体" w:hAnsi="宋体" w:cs="宋体"/>
          <w:spacing w:val="-3"/>
        </w:rPr>
        <w:t>脏分解代谢，从而具有降血脂作用。如果缺乏必需脂肪酸，胆固醇不能在</w:t>
      </w:r>
      <w:r>
        <w:rPr>
          <w:rFonts w:ascii="宋体" w:eastAsia="宋体" w:hAnsi="宋体" w:cs="宋体"/>
          <w:spacing w:val="-4"/>
        </w:rPr>
        <w:t>体内正</w:t>
      </w:r>
      <w:r>
        <w:rPr>
          <w:rFonts w:ascii="宋体" w:eastAsia="宋体" w:hAnsi="宋体" w:cs="宋体"/>
        </w:rPr>
        <w:t xml:space="preserve"> </w:t>
      </w:r>
      <w:r>
        <w:rPr>
          <w:rFonts w:ascii="宋体" w:eastAsia="宋体" w:hAnsi="宋体" w:cs="宋体"/>
          <w:spacing w:val="-7"/>
        </w:rPr>
        <w:t>常运输，从而沉积在血管内壁。</w:t>
      </w:r>
    </w:p>
    <w:p w:rsidR="00EA40A3" w:rsidRDefault="00E86C16">
      <w:pPr>
        <w:spacing w:before="61" w:line="219" w:lineRule="auto"/>
        <w:ind w:left="410"/>
        <w:rPr>
          <w:rFonts w:ascii="宋体" w:eastAsia="宋体" w:hAnsi="宋体" w:cs="宋体"/>
        </w:rPr>
      </w:pPr>
      <w:r>
        <w:rPr>
          <w:rFonts w:ascii="宋体" w:eastAsia="宋体" w:hAnsi="宋体" w:cs="宋体"/>
          <w:spacing w:val="-1"/>
        </w:rPr>
        <w:t>c.合成前列腺素的原料</w:t>
      </w:r>
    </w:p>
    <w:p w:rsidR="00EA40A3" w:rsidRDefault="00E86C16">
      <w:pPr>
        <w:spacing w:before="64" w:line="245" w:lineRule="auto"/>
        <w:ind w:right="87" w:firstLine="410"/>
        <w:rPr>
          <w:rFonts w:ascii="宋体" w:eastAsia="宋体" w:hAnsi="宋体" w:cs="宋体"/>
        </w:rPr>
      </w:pPr>
      <w:r>
        <w:rPr>
          <w:rFonts w:ascii="宋体" w:eastAsia="宋体" w:hAnsi="宋体" w:cs="宋体"/>
          <w:spacing w:val="-4"/>
        </w:rPr>
        <w:t>亚油酸是合成前列腺素的前体，前列腺素</w:t>
      </w:r>
      <w:r>
        <w:rPr>
          <w:rFonts w:ascii="宋体" w:eastAsia="宋体" w:hAnsi="宋体" w:cs="宋体"/>
          <w:spacing w:val="-5"/>
        </w:rPr>
        <w:t xml:space="preserve"> </w:t>
      </w:r>
      <w:r>
        <w:rPr>
          <w:rFonts w:ascii="宋体" w:eastAsia="宋体" w:hAnsi="宋体" w:cs="宋体"/>
          <w:spacing w:val="-4"/>
        </w:rPr>
        <w:t>(prostaglandin)</w:t>
      </w:r>
      <w:r>
        <w:rPr>
          <w:rFonts w:ascii="宋体" w:eastAsia="宋体" w:hAnsi="宋体" w:cs="宋体"/>
          <w:spacing w:val="-49"/>
        </w:rPr>
        <w:t xml:space="preserve"> </w:t>
      </w:r>
      <w:r>
        <w:rPr>
          <w:rFonts w:ascii="宋体" w:eastAsia="宋体" w:hAnsi="宋体" w:cs="宋体"/>
          <w:spacing w:val="-4"/>
        </w:rPr>
        <w:t>存在于许多器官</w:t>
      </w:r>
      <w:r>
        <w:rPr>
          <w:rFonts w:ascii="宋体" w:eastAsia="宋体" w:hAnsi="宋体" w:cs="宋体"/>
        </w:rPr>
        <w:t xml:space="preserve"> </w:t>
      </w:r>
      <w:r>
        <w:rPr>
          <w:rFonts w:ascii="宋体" w:eastAsia="宋体" w:hAnsi="宋体" w:cs="宋体"/>
          <w:spacing w:val="-3"/>
        </w:rPr>
        <w:t>中，有多种生理功能，如使血管扩张和收缩、神经刺激的传导、作用于肾脏影响</w:t>
      </w:r>
      <w:r>
        <w:rPr>
          <w:rFonts w:ascii="宋体" w:eastAsia="宋体" w:hAnsi="宋体" w:cs="宋体"/>
          <w:spacing w:val="1"/>
        </w:rPr>
        <w:t xml:space="preserve"> </w:t>
      </w:r>
      <w:r>
        <w:rPr>
          <w:rFonts w:ascii="宋体" w:eastAsia="宋体" w:hAnsi="宋体" w:cs="宋体"/>
          <w:spacing w:val="-5"/>
        </w:rPr>
        <w:t>水的排泄等，母乳中的前列腺素可以防止婴儿消化道损伤。</w:t>
      </w:r>
    </w:p>
    <w:p w:rsidR="00EA40A3" w:rsidRDefault="00E86C16">
      <w:pPr>
        <w:spacing w:before="90" w:line="233" w:lineRule="auto"/>
        <w:ind w:right="85" w:firstLine="410"/>
        <w:rPr>
          <w:rFonts w:ascii="宋体" w:eastAsia="宋体" w:hAnsi="宋体" w:cs="宋体"/>
        </w:rPr>
      </w:pPr>
      <w:r>
        <w:rPr>
          <w:rFonts w:ascii="宋体" w:eastAsia="宋体" w:hAnsi="宋体" w:cs="宋体"/>
          <w:spacing w:val="4"/>
        </w:rPr>
        <w:t>必需脂肪酸缺乏，可引起生长迟缓、生殖障碍</w:t>
      </w:r>
      <w:r>
        <w:rPr>
          <w:rFonts w:ascii="宋体" w:eastAsia="宋体" w:hAnsi="宋体" w:cs="宋体"/>
          <w:spacing w:val="3"/>
        </w:rPr>
        <w:t>、皮肤损伤(出现湿疹等)以</w:t>
      </w:r>
      <w:r>
        <w:rPr>
          <w:rFonts w:ascii="宋体" w:eastAsia="宋体" w:hAnsi="宋体" w:cs="宋体"/>
        </w:rPr>
        <w:t xml:space="preserve"> </w:t>
      </w:r>
      <w:r>
        <w:rPr>
          <w:rFonts w:ascii="宋体" w:eastAsia="宋体" w:hAnsi="宋体" w:cs="宋体"/>
          <w:spacing w:val="-7"/>
        </w:rPr>
        <w:t>及肾脏、肝脏、神经和视觉方面的多种疾病。</w:t>
      </w:r>
    </w:p>
    <w:p w:rsidR="00EA40A3" w:rsidRDefault="00E86C16">
      <w:pPr>
        <w:spacing w:before="68" w:line="225" w:lineRule="auto"/>
        <w:rPr>
          <w:rFonts w:ascii="楷体" w:eastAsia="楷体" w:hAnsi="楷体" w:cs="楷体"/>
        </w:rPr>
      </w:pPr>
      <w:r>
        <w:rPr>
          <w:rFonts w:ascii="楷体" w:eastAsia="楷体" w:hAnsi="楷体" w:cs="楷体"/>
          <w:spacing w:val="2"/>
        </w:rPr>
        <w:t>2)其他多不饱和脂肪酸的生理功能</w:t>
      </w:r>
    </w:p>
    <w:p w:rsidR="00EA40A3" w:rsidRDefault="00E86C16">
      <w:pPr>
        <w:spacing w:before="76" w:line="229" w:lineRule="auto"/>
        <w:ind w:right="95" w:firstLine="410"/>
        <w:rPr>
          <w:rFonts w:ascii="宋体" w:eastAsia="宋体" w:hAnsi="宋体" w:cs="宋体"/>
        </w:rPr>
      </w:pPr>
      <w:r>
        <w:rPr>
          <w:rFonts w:ascii="宋体" w:eastAsia="宋体" w:hAnsi="宋体" w:cs="宋体"/>
          <w:spacing w:val="-3"/>
        </w:rPr>
        <w:t>二十二碳六烯酸</w:t>
      </w:r>
      <w:r>
        <w:rPr>
          <w:rFonts w:ascii="宋体" w:eastAsia="宋体" w:hAnsi="宋体" w:cs="宋体"/>
          <w:spacing w:val="-14"/>
        </w:rPr>
        <w:t xml:space="preserve"> </w:t>
      </w:r>
      <w:r>
        <w:rPr>
          <w:rFonts w:ascii="宋体" w:eastAsia="宋体" w:hAnsi="宋体" w:cs="宋体"/>
          <w:spacing w:val="-3"/>
        </w:rPr>
        <w:t>(DHA)</w:t>
      </w:r>
      <w:r>
        <w:rPr>
          <w:rFonts w:ascii="宋体" w:eastAsia="宋体" w:hAnsi="宋体" w:cs="宋体"/>
          <w:spacing w:val="50"/>
        </w:rPr>
        <w:t xml:space="preserve">  </w:t>
      </w:r>
      <w:r>
        <w:rPr>
          <w:rFonts w:ascii="宋体" w:eastAsia="宋体" w:hAnsi="宋体" w:cs="宋体"/>
          <w:spacing w:val="-3"/>
        </w:rPr>
        <w:t>和花生四烯酸</w:t>
      </w:r>
      <w:r>
        <w:rPr>
          <w:rFonts w:ascii="宋体" w:eastAsia="宋体" w:hAnsi="宋体" w:cs="宋体"/>
          <w:spacing w:val="-6"/>
        </w:rPr>
        <w:t xml:space="preserve"> </w:t>
      </w:r>
      <w:r>
        <w:rPr>
          <w:rFonts w:ascii="宋体" w:eastAsia="宋体" w:hAnsi="宋体" w:cs="宋体"/>
          <w:spacing w:val="-3"/>
        </w:rPr>
        <w:t>(AA)</w:t>
      </w:r>
      <w:r>
        <w:rPr>
          <w:rFonts w:ascii="宋体" w:eastAsia="宋体" w:hAnsi="宋体" w:cs="宋体"/>
          <w:spacing w:val="12"/>
        </w:rPr>
        <w:t xml:space="preserve">  </w:t>
      </w:r>
      <w:r>
        <w:rPr>
          <w:rFonts w:ascii="宋体" w:eastAsia="宋体" w:hAnsi="宋体" w:cs="宋体"/>
          <w:spacing w:val="-3"/>
        </w:rPr>
        <w:t>是大脑中最丰富的两种长链</w:t>
      </w:r>
      <w:r>
        <w:rPr>
          <w:rFonts w:ascii="宋体" w:eastAsia="宋体" w:hAnsi="宋体" w:cs="宋体"/>
          <w:spacing w:val="1"/>
        </w:rPr>
        <w:t xml:space="preserve"> </w:t>
      </w:r>
      <w:r>
        <w:rPr>
          <w:rFonts w:ascii="宋体" w:eastAsia="宋体" w:hAnsi="宋体" w:cs="宋体"/>
          <w:spacing w:val="-6"/>
        </w:rPr>
        <w:t>多不饱和脂肪酸，其生理功能如下：</w:t>
      </w:r>
    </w:p>
    <w:p w:rsidR="00EA40A3" w:rsidRDefault="00E86C16">
      <w:pPr>
        <w:spacing w:before="84"/>
        <w:ind w:left="120"/>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62</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05" w:bottom="400" w:left="879" w:header="0" w:footer="0" w:gutter="0"/>
          <w:cols w:space="720"/>
        </w:sectPr>
      </w:pPr>
    </w:p>
    <w:p w:rsidR="00EA40A3" w:rsidRDefault="00EA40A3">
      <w:pPr>
        <w:spacing w:line="270" w:lineRule="auto"/>
      </w:pPr>
    </w:p>
    <w:p w:rsidR="00EA40A3" w:rsidRDefault="00EA40A3">
      <w:pPr>
        <w:spacing w:line="271" w:lineRule="auto"/>
      </w:pPr>
    </w:p>
    <w:p w:rsidR="00EA40A3" w:rsidRDefault="00E86C16">
      <w:pPr>
        <w:spacing w:before="75" w:line="219" w:lineRule="auto"/>
        <w:ind w:left="410"/>
        <w:rPr>
          <w:rFonts w:ascii="宋体" w:eastAsia="宋体" w:hAnsi="宋体" w:cs="宋体"/>
          <w:sz w:val="23"/>
          <w:szCs w:val="23"/>
        </w:rPr>
      </w:pPr>
      <w:r>
        <w:rPr>
          <w:rFonts w:ascii="宋体" w:eastAsia="宋体" w:hAnsi="宋体" w:cs="宋体"/>
          <w:spacing w:val="-13"/>
          <w:sz w:val="23"/>
          <w:szCs w:val="23"/>
        </w:rPr>
        <w:t>a.二十二碳六烯酸</w:t>
      </w:r>
    </w:p>
    <w:p w:rsidR="00EA40A3" w:rsidRDefault="00E86C16">
      <w:pPr>
        <w:spacing w:before="26" w:line="239" w:lineRule="auto"/>
        <w:ind w:right="9" w:firstLine="410"/>
        <w:rPr>
          <w:rFonts w:ascii="宋体" w:eastAsia="宋体" w:hAnsi="宋体" w:cs="宋体"/>
          <w:sz w:val="23"/>
          <w:szCs w:val="23"/>
        </w:rPr>
      </w:pPr>
      <w:r>
        <w:rPr>
          <w:rFonts w:ascii="宋体" w:eastAsia="宋体" w:hAnsi="宋体" w:cs="宋体"/>
          <w:spacing w:val="-21"/>
          <w:sz w:val="23"/>
          <w:szCs w:val="23"/>
        </w:rPr>
        <w:t>DHA</w:t>
      </w:r>
      <w:r>
        <w:rPr>
          <w:rFonts w:ascii="宋体" w:eastAsia="宋体" w:hAnsi="宋体" w:cs="宋体"/>
          <w:spacing w:val="86"/>
          <w:sz w:val="23"/>
          <w:szCs w:val="23"/>
        </w:rPr>
        <w:t xml:space="preserve"> </w:t>
      </w:r>
      <w:r>
        <w:rPr>
          <w:rFonts w:ascii="宋体" w:eastAsia="宋体" w:hAnsi="宋体" w:cs="宋体"/>
          <w:spacing w:val="-21"/>
          <w:sz w:val="23"/>
          <w:szCs w:val="23"/>
        </w:rPr>
        <w:t>是视网膜光感受体中最丰富的多不饱和脂肪酸，它由食物中的α-亚麻</w:t>
      </w:r>
      <w:r>
        <w:rPr>
          <w:rFonts w:ascii="宋体" w:eastAsia="宋体" w:hAnsi="宋体" w:cs="宋体"/>
          <w:sz w:val="23"/>
          <w:szCs w:val="23"/>
        </w:rPr>
        <w:t xml:space="preserve"> </w:t>
      </w:r>
      <w:r>
        <w:rPr>
          <w:rFonts w:ascii="宋体" w:eastAsia="宋体" w:hAnsi="宋体" w:cs="宋体"/>
          <w:spacing w:val="-23"/>
          <w:sz w:val="23"/>
          <w:szCs w:val="23"/>
        </w:rPr>
        <w:t>酸衍生而来。</w:t>
      </w:r>
      <w:r>
        <w:rPr>
          <w:rFonts w:ascii="宋体" w:eastAsia="宋体" w:hAnsi="宋体" w:cs="宋体"/>
          <w:spacing w:val="-51"/>
          <w:sz w:val="23"/>
          <w:szCs w:val="23"/>
        </w:rPr>
        <w:t xml:space="preserve"> </w:t>
      </w:r>
      <w:r>
        <w:rPr>
          <w:rFonts w:ascii="宋体" w:eastAsia="宋体" w:hAnsi="宋体" w:cs="宋体"/>
          <w:spacing w:val="-23"/>
          <w:sz w:val="23"/>
          <w:szCs w:val="23"/>
        </w:rPr>
        <w:t>DHA</w:t>
      </w:r>
      <w:r>
        <w:rPr>
          <w:rFonts w:ascii="宋体" w:eastAsia="宋体" w:hAnsi="宋体" w:cs="宋体"/>
          <w:spacing w:val="85"/>
          <w:sz w:val="23"/>
          <w:szCs w:val="23"/>
        </w:rPr>
        <w:t xml:space="preserve"> </w:t>
      </w:r>
      <w:r>
        <w:rPr>
          <w:rFonts w:ascii="宋体" w:eastAsia="宋体" w:hAnsi="宋体" w:cs="宋体"/>
          <w:spacing w:val="-23"/>
          <w:sz w:val="23"/>
          <w:szCs w:val="23"/>
        </w:rPr>
        <w:t>是维持视敏度所必需的不饱和脂肪酸。胎儿、婴儿期缺乏α-</w:t>
      </w:r>
      <w:r>
        <w:rPr>
          <w:rFonts w:ascii="宋体" w:eastAsia="宋体" w:hAnsi="宋体" w:cs="宋体"/>
          <w:sz w:val="23"/>
          <w:szCs w:val="23"/>
        </w:rPr>
        <w:t xml:space="preserve"> </w:t>
      </w:r>
      <w:r>
        <w:rPr>
          <w:rFonts w:ascii="宋体" w:eastAsia="宋体" w:hAnsi="宋体" w:cs="宋体"/>
          <w:spacing w:val="-18"/>
          <w:sz w:val="23"/>
          <w:szCs w:val="23"/>
        </w:rPr>
        <w:t>亚麻酸和DHA</w:t>
      </w:r>
      <w:r>
        <w:rPr>
          <w:rFonts w:ascii="宋体" w:eastAsia="宋体" w:hAnsi="宋体" w:cs="宋体"/>
          <w:spacing w:val="75"/>
          <w:sz w:val="23"/>
          <w:szCs w:val="23"/>
        </w:rPr>
        <w:t xml:space="preserve"> </w:t>
      </w:r>
      <w:r>
        <w:rPr>
          <w:rFonts w:ascii="宋体" w:eastAsia="宋体" w:hAnsi="宋体" w:cs="宋体"/>
          <w:spacing w:val="-18"/>
          <w:sz w:val="23"/>
          <w:szCs w:val="23"/>
        </w:rPr>
        <w:t>将影响视功能和脑功能的发育。</w:t>
      </w:r>
    </w:p>
    <w:p w:rsidR="00EA40A3" w:rsidRDefault="00E86C16">
      <w:pPr>
        <w:spacing w:before="27" w:line="220" w:lineRule="auto"/>
        <w:ind w:left="410"/>
        <w:rPr>
          <w:rFonts w:ascii="宋体" w:eastAsia="宋体" w:hAnsi="宋体" w:cs="宋体"/>
          <w:sz w:val="23"/>
          <w:szCs w:val="23"/>
        </w:rPr>
      </w:pPr>
      <w:r>
        <w:rPr>
          <w:rFonts w:ascii="宋体" w:eastAsia="宋体" w:hAnsi="宋体" w:cs="宋体"/>
          <w:spacing w:val="-13"/>
          <w:sz w:val="23"/>
          <w:szCs w:val="23"/>
        </w:rPr>
        <w:t>b.二十碳烷酸</w:t>
      </w:r>
    </w:p>
    <w:p w:rsidR="00EA40A3" w:rsidRDefault="00E86C16">
      <w:pPr>
        <w:spacing w:before="36" w:line="239" w:lineRule="auto"/>
        <w:ind w:firstLine="410"/>
        <w:rPr>
          <w:rFonts w:ascii="宋体" w:eastAsia="宋体" w:hAnsi="宋体" w:cs="宋体"/>
          <w:sz w:val="23"/>
          <w:szCs w:val="23"/>
        </w:rPr>
      </w:pPr>
      <w:r>
        <w:rPr>
          <w:rFonts w:ascii="宋体" w:eastAsia="宋体" w:hAnsi="宋体" w:cs="宋体"/>
          <w:spacing w:val="-18"/>
          <w:sz w:val="23"/>
          <w:szCs w:val="23"/>
        </w:rPr>
        <w:t>AA、EPA</w:t>
      </w:r>
      <w:r>
        <w:rPr>
          <w:rFonts w:ascii="宋体" w:eastAsia="宋体" w:hAnsi="宋体" w:cs="宋体"/>
          <w:spacing w:val="71"/>
          <w:sz w:val="23"/>
          <w:szCs w:val="23"/>
        </w:rPr>
        <w:t xml:space="preserve"> </w:t>
      </w:r>
      <w:r>
        <w:rPr>
          <w:rFonts w:ascii="宋体" w:eastAsia="宋体" w:hAnsi="宋体" w:cs="宋体"/>
          <w:spacing w:val="-18"/>
          <w:sz w:val="23"/>
          <w:szCs w:val="23"/>
        </w:rPr>
        <w:t>等脂肪酸的衍生物是最重要的二十碳烷酸，在体内可以合</w:t>
      </w:r>
      <w:r>
        <w:rPr>
          <w:rFonts w:ascii="宋体" w:eastAsia="宋体" w:hAnsi="宋体" w:cs="宋体"/>
          <w:spacing w:val="-19"/>
          <w:sz w:val="23"/>
          <w:szCs w:val="23"/>
        </w:rPr>
        <w:t>成前列</w:t>
      </w:r>
      <w:r>
        <w:rPr>
          <w:rFonts w:ascii="宋体" w:eastAsia="宋体" w:hAnsi="宋体" w:cs="宋体"/>
          <w:sz w:val="23"/>
          <w:szCs w:val="23"/>
        </w:rPr>
        <w:t xml:space="preserve"> </w:t>
      </w:r>
      <w:r>
        <w:rPr>
          <w:rFonts w:ascii="宋体" w:eastAsia="宋体" w:hAnsi="宋体" w:cs="宋体"/>
          <w:spacing w:val="-10"/>
          <w:sz w:val="23"/>
          <w:szCs w:val="23"/>
        </w:rPr>
        <w:t>腺素、白三烯及血栓素等生物活性物质，参与体内免疫系统、炎性反应等的</w:t>
      </w:r>
      <w:r>
        <w:rPr>
          <w:rFonts w:ascii="宋体" w:eastAsia="宋体" w:hAnsi="宋体" w:cs="宋体"/>
          <w:spacing w:val="6"/>
          <w:sz w:val="23"/>
          <w:szCs w:val="23"/>
        </w:rPr>
        <w:t xml:space="preserve"> </w:t>
      </w:r>
      <w:r>
        <w:rPr>
          <w:rFonts w:ascii="宋体" w:eastAsia="宋体" w:hAnsi="宋体" w:cs="宋体"/>
          <w:spacing w:val="-24"/>
          <w:sz w:val="23"/>
          <w:szCs w:val="23"/>
        </w:rPr>
        <w:t>调节。</w:t>
      </w:r>
    </w:p>
    <w:p w:rsidR="00EA40A3" w:rsidRDefault="00E86C16">
      <w:pPr>
        <w:spacing w:before="191" w:line="221" w:lineRule="auto"/>
        <w:rPr>
          <w:rFonts w:ascii="仿宋" w:eastAsia="仿宋" w:hAnsi="仿宋" w:cs="仿宋"/>
          <w:sz w:val="23"/>
          <w:szCs w:val="23"/>
        </w:rPr>
      </w:pPr>
      <w:r>
        <w:rPr>
          <w:rFonts w:ascii="仿宋" w:eastAsia="仿宋" w:hAnsi="仿宋" w:cs="仿宋"/>
          <w:spacing w:val="1"/>
          <w:sz w:val="23"/>
          <w:szCs w:val="23"/>
        </w:rPr>
        <w:t>3.</w:t>
      </w:r>
      <w:r>
        <w:rPr>
          <w:rFonts w:ascii="仿宋" w:eastAsia="仿宋" w:hAnsi="仿宋" w:cs="仿宋"/>
          <w:spacing w:val="-45"/>
          <w:sz w:val="23"/>
          <w:szCs w:val="23"/>
        </w:rPr>
        <w:t xml:space="preserve"> </w:t>
      </w:r>
      <w:r>
        <w:rPr>
          <w:rFonts w:ascii="仿宋" w:eastAsia="仿宋" w:hAnsi="仿宋" w:cs="仿宋"/>
          <w:spacing w:val="1"/>
          <w:sz w:val="23"/>
          <w:szCs w:val="23"/>
        </w:rPr>
        <w:t>磷脂的生理功能</w:t>
      </w:r>
    </w:p>
    <w:p w:rsidR="00EA40A3" w:rsidRDefault="00E86C16">
      <w:pPr>
        <w:spacing w:before="169" w:line="235" w:lineRule="auto"/>
        <w:ind w:right="7" w:firstLine="410"/>
        <w:jc w:val="both"/>
        <w:rPr>
          <w:rFonts w:ascii="宋体" w:eastAsia="宋体" w:hAnsi="宋体" w:cs="宋体"/>
          <w:sz w:val="23"/>
          <w:szCs w:val="23"/>
        </w:rPr>
      </w:pPr>
      <w:r>
        <w:rPr>
          <w:rFonts w:ascii="宋体" w:eastAsia="宋体" w:hAnsi="宋体" w:cs="宋体"/>
          <w:spacing w:val="-23"/>
          <w:sz w:val="23"/>
          <w:szCs w:val="23"/>
        </w:rPr>
        <w:t>磷脂不仅可以和脂肪酸一样提供能量，而且更重要的是其为细胞膜的构成成</w:t>
      </w:r>
      <w:r>
        <w:rPr>
          <w:rFonts w:ascii="宋体" w:eastAsia="宋体" w:hAnsi="宋体" w:cs="宋体"/>
          <w:spacing w:val="17"/>
          <w:sz w:val="23"/>
          <w:szCs w:val="23"/>
        </w:rPr>
        <w:t xml:space="preserve"> </w:t>
      </w:r>
      <w:r>
        <w:rPr>
          <w:rFonts w:ascii="宋体" w:eastAsia="宋体" w:hAnsi="宋体" w:cs="宋体"/>
          <w:spacing w:val="-23"/>
          <w:sz w:val="23"/>
          <w:szCs w:val="23"/>
        </w:rPr>
        <w:t>分。因其具有极性和非极性双重特性，所以可帮助脂类或脂溶性物质，如脂溶性</w:t>
      </w:r>
      <w:r>
        <w:rPr>
          <w:rFonts w:ascii="宋体" w:eastAsia="宋体" w:hAnsi="宋体" w:cs="宋体"/>
          <w:spacing w:val="12"/>
          <w:sz w:val="23"/>
          <w:szCs w:val="23"/>
        </w:rPr>
        <w:t xml:space="preserve"> </w:t>
      </w:r>
      <w:r>
        <w:rPr>
          <w:rFonts w:ascii="宋体" w:eastAsia="宋体" w:hAnsi="宋体" w:cs="宋体"/>
          <w:spacing w:val="-23"/>
          <w:sz w:val="23"/>
          <w:szCs w:val="23"/>
        </w:rPr>
        <w:t>维生素、激素等顺利通过细胞膜，促进细胞内外的物质交换。此外，磷脂作为乳</w:t>
      </w:r>
      <w:r>
        <w:rPr>
          <w:rFonts w:ascii="宋体" w:eastAsia="宋体" w:hAnsi="宋体" w:cs="宋体"/>
          <w:spacing w:val="14"/>
          <w:sz w:val="23"/>
          <w:szCs w:val="23"/>
        </w:rPr>
        <w:t xml:space="preserve"> </w:t>
      </w:r>
      <w:r>
        <w:rPr>
          <w:rFonts w:ascii="宋体" w:eastAsia="宋体" w:hAnsi="宋体" w:cs="宋体"/>
          <w:spacing w:val="-23"/>
          <w:sz w:val="23"/>
          <w:szCs w:val="23"/>
        </w:rPr>
        <w:t>化剂可使体液中的脂肪悬浮在体液中，有利于其吸收、转运和代谢。</w:t>
      </w:r>
    </w:p>
    <w:p w:rsidR="00EA40A3" w:rsidRDefault="00E86C16">
      <w:pPr>
        <w:spacing w:before="47" w:line="234" w:lineRule="auto"/>
        <w:ind w:firstLine="410"/>
        <w:jc w:val="both"/>
        <w:rPr>
          <w:rFonts w:ascii="宋体" w:eastAsia="宋体" w:hAnsi="宋体" w:cs="宋体"/>
          <w:sz w:val="23"/>
          <w:szCs w:val="23"/>
        </w:rPr>
      </w:pPr>
      <w:r>
        <w:rPr>
          <w:rFonts w:ascii="宋体" w:eastAsia="宋体" w:hAnsi="宋体" w:cs="宋体"/>
          <w:spacing w:val="-16"/>
          <w:sz w:val="23"/>
          <w:szCs w:val="23"/>
        </w:rPr>
        <w:t>磷脂的缺乏会造成细胞膜结构受损，出现毛细血管的脆性增加和通透性增</w:t>
      </w:r>
      <w:r>
        <w:rPr>
          <w:rFonts w:ascii="宋体" w:eastAsia="宋体" w:hAnsi="宋体" w:cs="宋体"/>
          <w:spacing w:val="8"/>
          <w:sz w:val="23"/>
          <w:szCs w:val="23"/>
        </w:rPr>
        <w:t xml:space="preserve"> </w:t>
      </w:r>
      <w:r>
        <w:rPr>
          <w:rFonts w:ascii="宋体" w:eastAsia="宋体" w:hAnsi="宋体" w:cs="宋体"/>
          <w:spacing w:val="-23"/>
          <w:sz w:val="23"/>
          <w:szCs w:val="23"/>
        </w:rPr>
        <w:t>加，皮肤细胞对水的通透性增高引起水代谢紊乱，产生皮疹等。</w:t>
      </w:r>
    </w:p>
    <w:p w:rsidR="00EA40A3" w:rsidRDefault="00E86C16">
      <w:pPr>
        <w:spacing w:before="185" w:line="222" w:lineRule="auto"/>
        <w:rPr>
          <w:rFonts w:ascii="仿宋" w:eastAsia="仿宋" w:hAnsi="仿宋" w:cs="仿宋"/>
          <w:sz w:val="23"/>
          <w:szCs w:val="23"/>
        </w:rPr>
      </w:pPr>
      <w:r>
        <w:rPr>
          <w:rFonts w:ascii="仿宋" w:eastAsia="仿宋" w:hAnsi="仿宋" w:cs="仿宋"/>
          <w:spacing w:val="3"/>
          <w:sz w:val="23"/>
          <w:szCs w:val="23"/>
        </w:rPr>
        <w:t>4.</w:t>
      </w:r>
      <w:r>
        <w:rPr>
          <w:rFonts w:ascii="仿宋" w:eastAsia="仿宋" w:hAnsi="仿宋" w:cs="仿宋"/>
          <w:spacing w:val="-66"/>
          <w:sz w:val="23"/>
          <w:szCs w:val="23"/>
        </w:rPr>
        <w:t xml:space="preserve"> </w:t>
      </w:r>
      <w:r>
        <w:rPr>
          <w:rFonts w:ascii="仿宋" w:eastAsia="仿宋" w:hAnsi="仿宋" w:cs="仿宋"/>
          <w:spacing w:val="3"/>
          <w:sz w:val="23"/>
          <w:szCs w:val="23"/>
        </w:rPr>
        <w:t>胆固醇的生理功能</w:t>
      </w:r>
    </w:p>
    <w:p w:rsidR="00EA40A3" w:rsidRDefault="00E86C16">
      <w:pPr>
        <w:spacing w:before="187" w:line="226" w:lineRule="auto"/>
        <w:ind w:right="7" w:firstLine="410"/>
        <w:rPr>
          <w:rFonts w:ascii="宋体" w:eastAsia="宋体" w:hAnsi="宋体" w:cs="宋体"/>
          <w:sz w:val="23"/>
          <w:szCs w:val="23"/>
        </w:rPr>
      </w:pPr>
      <w:r>
        <w:rPr>
          <w:rFonts w:ascii="宋体" w:eastAsia="宋体" w:hAnsi="宋体" w:cs="宋体"/>
          <w:spacing w:val="-20"/>
          <w:sz w:val="23"/>
          <w:szCs w:val="23"/>
        </w:rPr>
        <w:t>胆固醇 (cholesterol)</w:t>
      </w:r>
      <w:r>
        <w:rPr>
          <w:rFonts w:ascii="宋体" w:eastAsia="宋体" w:hAnsi="宋体" w:cs="宋体"/>
          <w:spacing w:val="-57"/>
          <w:sz w:val="23"/>
          <w:szCs w:val="23"/>
        </w:rPr>
        <w:t xml:space="preserve"> </w:t>
      </w:r>
      <w:r>
        <w:rPr>
          <w:rFonts w:ascii="宋体" w:eastAsia="宋体" w:hAnsi="宋体" w:cs="宋体"/>
          <w:spacing w:val="-20"/>
          <w:sz w:val="23"/>
          <w:szCs w:val="23"/>
        </w:rPr>
        <w:t>是人体内最重要的固醇类化合物。它也是细胞膜的重</w:t>
      </w:r>
      <w:r>
        <w:rPr>
          <w:rFonts w:ascii="宋体" w:eastAsia="宋体" w:hAnsi="宋体" w:cs="宋体"/>
          <w:sz w:val="23"/>
          <w:szCs w:val="23"/>
        </w:rPr>
        <w:t xml:space="preserve"> </w:t>
      </w:r>
      <w:r>
        <w:rPr>
          <w:rFonts w:ascii="宋体" w:eastAsia="宋体" w:hAnsi="宋体" w:cs="宋体"/>
          <w:spacing w:val="-15"/>
          <w:sz w:val="23"/>
          <w:szCs w:val="23"/>
        </w:rPr>
        <w:t>要成分，人体内90%的胆固醇存在于细胞之中。</w:t>
      </w:r>
    </w:p>
    <w:p w:rsidR="00EA40A3" w:rsidRDefault="00E86C16">
      <w:pPr>
        <w:spacing w:before="54" w:line="237" w:lineRule="auto"/>
        <w:ind w:right="1" w:firstLine="410"/>
        <w:rPr>
          <w:rFonts w:ascii="宋体" w:eastAsia="宋体" w:hAnsi="宋体" w:cs="宋体"/>
          <w:sz w:val="23"/>
          <w:szCs w:val="23"/>
        </w:rPr>
      </w:pPr>
      <w:r>
        <w:rPr>
          <w:rFonts w:ascii="宋体" w:eastAsia="宋体" w:hAnsi="宋体" w:cs="宋体"/>
          <w:spacing w:val="-14"/>
          <w:sz w:val="23"/>
          <w:szCs w:val="23"/>
        </w:rPr>
        <w:t>胆固醇是体内合成维生素D</w:t>
      </w:r>
      <w:r>
        <w:rPr>
          <w:rFonts w:ascii="Calibri" w:eastAsia="Calibri" w:hAnsi="Calibri" w:cs="Calibri"/>
          <w:spacing w:val="-14"/>
          <w:sz w:val="23"/>
          <w:szCs w:val="23"/>
        </w:rPr>
        <w:t>₃</w:t>
      </w:r>
      <w:r>
        <w:rPr>
          <w:rFonts w:ascii="Calibri" w:eastAsia="Calibri" w:hAnsi="Calibri" w:cs="Calibri"/>
          <w:spacing w:val="4"/>
          <w:sz w:val="23"/>
          <w:szCs w:val="23"/>
        </w:rPr>
        <w:t xml:space="preserve">  </w:t>
      </w:r>
      <w:r>
        <w:rPr>
          <w:rFonts w:ascii="宋体" w:eastAsia="宋体" w:hAnsi="宋体" w:cs="宋体"/>
          <w:spacing w:val="-14"/>
          <w:sz w:val="23"/>
          <w:szCs w:val="23"/>
        </w:rPr>
        <w:t>的前体，维生素</w:t>
      </w:r>
      <w:r>
        <w:rPr>
          <w:rFonts w:ascii="宋体" w:eastAsia="宋体" w:hAnsi="宋体" w:cs="宋体"/>
          <w:spacing w:val="-55"/>
          <w:sz w:val="23"/>
          <w:szCs w:val="23"/>
        </w:rPr>
        <w:t xml:space="preserve"> </w:t>
      </w:r>
      <w:r>
        <w:rPr>
          <w:rFonts w:ascii="宋体" w:eastAsia="宋体" w:hAnsi="宋体" w:cs="宋体"/>
          <w:spacing w:val="-14"/>
          <w:sz w:val="23"/>
          <w:szCs w:val="23"/>
        </w:rPr>
        <w:t>D</w:t>
      </w:r>
      <w:r>
        <w:rPr>
          <w:rFonts w:ascii="Calibri" w:eastAsia="Calibri" w:hAnsi="Calibri" w:cs="Calibri"/>
          <w:spacing w:val="-14"/>
          <w:sz w:val="23"/>
          <w:szCs w:val="23"/>
        </w:rPr>
        <w:t>₃</w:t>
      </w:r>
      <w:r>
        <w:rPr>
          <w:rFonts w:ascii="Calibri" w:eastAsia="Calibri" w:hAnsi="Calibri" w:cs="Calibri"/>
          <w:spacing w:val="41"/>
          <w:sz w:val="23"/>
          <w:szCs w:val="23"/>
        </w:rPr>
        <w:t xml:space="preserve"> </w:t>
      </w:r>
      <w:r>
        <w:rPr>
          <w:rFonts w:ascii="宋体" w:eastAsia="宋体" w:hAnsi="宋体" w:cs="宋体"/>
          <w:spacing w:val="-14"/>
          <w:sz w:val="23"/>
          <w:szCs w:val="23"/>
        </w:rPr>
        <w:t>缺乏是婴</w:t>
      </w:r>
      <w:r>
        <w:rPr>
          <w:rFonts w:ascii="宋体" w:eastAsia="宋体" w:hAnsi="宋体" w:cs="宋体"/>
          <w:spacing w:val="-15"/>
          <w:sz w:val="23"/>
          <w:szCs w:val="23"/>
        </w:rPr>
        <w:t>儿佝偻病的主要</w:t>
      </w:r>
      <w:r>
        <w:rPr>
          <w:rFonts w:ascii="宋体" w:eastAsia="宋体" w:hAnsi="宋体" w:cs="宋体"/>
          <w:sz w:val="23"/>
          <w:szCs w:val="23"/>
        </w:rPr>
        <w:t xml:space="preserve"> </w:t>
      </w:r>
      <w:r>
        <w:rPr>
          <w:rFonts w:ascii="宋体" w:eastAsia="宋体" w:hAnsi="宋体" w:cs="宋体"/>
          <w:spacing w:val="-23"/>
          <w:sz w:val="23"/>
          <w:szCs w:val="23"/>
        </w:rPr>
        <w:t>病因，胆固醇也是合成胆汁酸的前提，胆汁酸能乳化脂类使之与消化</w:t>
      </w:r>
      <w:r>
        <w:rPr>
          <w:rFonts w:ascii="宋体" w:eastAsia="宋体" w:hAnsi="宋体" w:cs="宋体"/>
          <w:spacing w:val="-24"/>
          <w:sz w:val="23"/>
          <w:szCs w:val="23"/>
        </w:rPr>
        <w:t>酶混合，是</w:t>
      </w:r>
      <w:r>
        <w:rPr>
          <w:rFonts w:ascii="宋体" w:eastAsia="宋体" w:hAnsi="宋体" w:cs="宋体"/>
          <w:sz w:val="23"/>
          <w:szCs w:val="23"/>
        </w:rPr>
        <w:t xml:space="preserve"> </w:t>
      </w:r>
      <w:r>
        <w:rPr>
          <w:rFonts w:ascii="宋体" w:eastAsia="宋体" w:hAnsi="宋体" w:cs="宋体"/>
          <w:spacing w:val="-23"/>
          <w:sz w:val="23"/>
          <w:szCs w:val="23"/>
        </w:rPr>
        <w:t>脂类和脂溶性维生素的消化与吸收的必需条件；胆固醇在体内还可以转变成各种</w:t>
      </w:r>
      <w:r>
        <w:rPr>
          <w:rFonts w:ascii="宋体" w:eastAsia="宋体" w:hAnsi="宋体" w:cs="宋体"/>
          <w:sz w:val="23"/>
          <w:szCs w:val="23"/>
        </w:rPr>
        <w:t xml:space="preserve"> </w:t>
      </w:r>
      <w:r>
        <w:rPr>
          <w:rFonts w:ascii="宋体" w:eastAsia="宋体" w:hAnsi="宋体" w:cs="宋体"/>
          <w:spacing w:val="-22"/>
          <w:sz w:val="23"/>
          <w:szCs w:val="23"/>
        </w:rPr>
        <w:t>激素，包括影响蛋白质、糖和脂类代谢的皮质醇</w:t>
      </w:r>
      <w:r>
        <w:rPr>
          <w:rFonts w:ascii="宋体" w:eastAsia="宋体" w:hAnsi="宋体" w:cs="宋体"/>
          <w:spacing w:val="-23"/>
          <w:sz w:val="23"/>
          <w:szCs w:val="23"/>
        </w:rPr>
        <w:t>，与水和电解质体内代谢有关的</w:t>
      </w:r>
      <w:r>
        <w:rPr>
          <w:rFonts w:ascii="宋体" w:eastAsia="宋体" w:hAnsi="宋体" w:cs="宋体"/>
          <w:sz w:val="23"/>
          <w:szCs w:val="23"/>
        </w:rPr>
        <w:t xml:space="preserve"> </w:t>
      </w:r>
      <w:r>
        <w:rPr>
          <w:rFonts w:ascii="宋体" w:eastAsia="宋体" w:hAnsi="宋体" w:cs="宋体"/>
          <w:spacing w:val="-25"/>
          <w:sz w:val="23"/>
          <w:szCs w:val="23"/>
        </w:rPr>
        <w:t>醛固酮，以及性激素睾酮、雌二醇。</w:t>
      </w:r>
    </w:p>
    <w:p w:rsidR="00EA40A3" w:rsidRDefault="00E86C16">
      <w:pPr>
        <w:spacing w:before="58" w:line="228" w:lineRule="auto"/>
        <w:ind w:firstLine="410"/>
        <w:rPr>
          <w:rFonts w:ascii="宋体" w:eastAsia="宋体" w:hAnsi="宋体" w:cs="宋体"/>
          <w:sz w:val="23"/>
          <w:szCs w:val="23"/>
        </w:rPr>
      </w:pPr>
      <w:r>
        <w:rPr>
          <w:rFonts w:ascii="宋体" w:eastAsia="宋体" w:hAnsi="宋体" w:cs="宋体"/>
          <w:spacing w:val="-23"/>
          <w:sz w:val="23"/>
          <w:szCs w:val="23"/>
        </w:rPr>
        <w:t>胆固醇广泛存在于动物性食品之中，人体自身也可以利用内源性胆固醇，所</w:t>
      </w:r>
      <w:r>
        <w:rPr>
          <w:rFonts w:ascii="宋体" w:eastAsia="宋体" w:hAnsi="宋体" w:cs="宋体"/>
          <w:spacing w:val="15"/>
          <w:sz w:val="23"/>
          <w:szCs w:val="23"/>
        </w:rPr>
        <w:t xml:space="preserve"> </w:t>
      </w:r>
      <w:r>
        <w:rPr>
          <w:rFonts w:ascii="宋体" w:eastAsia="宋体" w:hAnsi="宋体" w:cs="宋体"/>
          <w:spacing w:val="-22"/>
          <w:sz w:val="23"/>
          <w:szCs w:val="23"/>
        </w:rPr>
        <w:t>以一般不存在胆固醇缺乏。相反由于它与高血脂症</w:t>
      </w:r>
      <w:r>
        <w:rPr>
          <w:rFonts w:ascii="宋体" w:eastAsia="宋体" w:hAnsi="宋体" w:cs="宋体"/>
          <w:spacing w:val="-23"/>
          <w:sz w:val="23"/>
          <w:szCs w:val="23"/>
        </w:rPr>
        <w:t>、动脉粥样硬化、心脏病等相</w:t>
      </w:r>
      <w:r>
        <w:rPr>
          <w:rFonts w:ascii="宋体" w:eastAsia="宋体" w:hAnsi="宋体" w:cs="宋体"/>
          <w:sz w:val="23"/>
          <w:szCs w:val="23"/>
        </w:rPr>
        <w:t xml:space="preserve"> </w:t>
      </w:r>
      <w:r>
        <w:rPr>
          <w:rFonts w:ascii="宋体" w:eastAsia="宋体" w:hAnsi="宋体" w:cs="宋体"/>
          <w:spacing w:val="-24"/>
          <w:sz w:val="23"/>
          <w:szCs w:val="23"/>
        </w:rPr>
        <w:t>关，人们往往关注体内过多胆固醇的危害性。</w:t>
      </w:r>
    </w:p>
    <w:p w:rsidR="00EA40A3" w:rsidRDefault="00E86C16">
      <w:pPr>
        <w:spacing w:before="221" w:line="221" w:lineRule="auto"/>
        <w:ind w:left="3"/>
        <w:outlineLvl w:val="6"/>
        <w:rPr>
          <w:rFonts w:ascii="黑体" w:eastAsia="黑体" w:hAnsi="黑体" w:cs="黑体"/>
          <w:sz w:val="23"/>
          <w:szCs w:val="23"/>
        </w:rPr>
      </w:pPr>
      <w:r>
        <w:rPr>
          <w:rFonts w:ascii="黑体" w:eastAsia="黑体" w:hAnsi="黑体" w:cs="黑体"/>
          <w:b/>
          <w:bCs/>
          <w:spacing w:val="1"/>
          <w:sz w:val="23"/>
          <w:szCs w:val="23"/>
        </w:rPr>
        <w:t>3.3.3</w:t>
      </w:r>
      <w:r>
        <w:rPr>
          <w:rFonts w:ascii="黑体" w:eastAsia="黑体" w:hAnsi="黑体" w:cs="黑体"/>
          <w:spacing w:val="24"/>
          <w:sz w:val="23"/>
          <w:szCs w:val="23"/>
        </w:rPr>
        <w:t xml:space="preserve">  </w:t>
      </w:r>
      <w:r>
        <w:rPr>
          <w:rFonts w:ascii="黑体" w:eastAsia="黑体" w:hAnsi="黑体" w:cs="黑体"/>
          <w:b/>
          <w:bCs/>
          <w:spacing w:val="1"/>
          <w:sz w:val="23"/>
          <w:szCs w:val="23"/>
        </w:rPr>
        <w:t>脂类的营养价值评价</w:t>
      </w:r>
    </w:p>
    <w:p w:rsidR="00EA40A3" w:rsidRDefault="00E86C16">
      <w:pPr>
        <w:spacing w:before="178" w:line="227" w:lineRule="auto"/>
        <w:ind w:right="48" w:firstLine="410"/>
        <w:rPr>
          <w:rFonts w:ascii="宋体" w:eastAsia="宋体" w:hAnsi="宋体" w:cs="宋体"/>
          <w:sz w:val="23"/>
          <w:szCs w:val="23"/>
        </w:rPr>
      </w:pPr>
      <w:r>
        <w:rPr>
          <w:rFonts w:ascii="宋体" w:eastAsia="宋体" w:hAnsi="宋体" w:cs="宋体"/>
          <w:spacing w:val="-24"/>
          <w:sz w:val="23"/>
          <w:szCs w:val="23"/>
        </w:rPr>
        <w:t>脂肪的营养价值通常取决于脂肪酸的种类与含量、脂肪的消化率、脂溶性维</w:t>
      </w:r>
      <w:r>
        <w:rPr>
          <w:rFonts w:ascii="宋体" w:eastAsia="宋体" w:hAnsi="宋体" w:cs="宋体"/>
          <w:spacing w:val="9"/>
          <w:sz w:val="23"/>
          <w:szCs w:val="23"/>
        </w:rPr>
        <w:t xml:space="preserve"> </w:t>
      </w:r>
      <w:r>
        <w:rPr>
          <w:rFonts w:ascii="宋体" w:eastAsia="宋体" w:hAnsi="宋体" w:cs="宋体"/>
          <w:spacing w:val="-23"/>
          <w:sz w:val="23"/>
          <w:szCs w:val="23"/>
        </w:rPr>
        <w:t>生素的含量以及油脂稳定性等方面。</w:t>
      </w:r>
    </w:p>
    <w:p w:rsidR="00EA40A3" w:rsidRDefault="00E86C16">
      <w:pPr>
        <w:spacing w:before="203" w:line="221"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49"/>
          <w:sz w:val="23"/>
          <w:szCs w:val="23"/>
        </w:rPr>
        <w:t xml:space="preserve"> </w:t>
      </w:r>
      <w:r>
        <w:rPr>
          <w:rFonts w:ascii="仿宋" w:eastAsia="仿宋" w:hAnsi="仿宋" w:cs="仿宋"/>
          <w:spacing w:val="3"/>
          <w:sz w:val="23"/>
          <w:szCs w:val="23"/>
        </w:rPr>
        <w:t>脂肪酸的种类与含量</w:t>
      </w:r>
    </w:p>
    <w:p w:rsidR="00EA40A3" w:rsidRDefault="00E86C16">
      <w:pPr>
        <w:spacing w:before="187" w:line="229" w:lineRule="auto"/>
        <w:ind w:firstLine="410"/>
        <w:rPr>
          <w:rFonts w:ascii="宋体" w:eastAsia="宋体" w:hAnsi="宋体" w:cs="宋体"/>
          <w:sz w:val="23"/>
          <w:szCs w:val="23"/>
        </w:rPr>
      </w:pPr>
      <w:r>
        <w:rPr>
          <w:rFonts w:ascii="宋体" w:eastAsia="宋体" w:hAnsi="宋体" w:cs="宋体"/>
          <w:spacing w:val="-22"/>
          <w:w w:val="98"/>
          <w:sz w:val="23"/>
          <w:szCs w:val="23"/>
        </w:rPr>
        <w:t>脂肪的营养价值与脂肪酸的种类、含量和相互比例有关。</w:t>
      </w:r>
      <w:r>
        <w:rPr>
          <w:rFonts w:ascii="宋体" w:eastAsia="宋体" w:hAnsi="宋体" w:cs="宋体"/>
          <w:spacing w:val="30"/>
          <w:sz w:val="23"/>
          <w:szCs w:val="23"/>
        </w:rPr>
        <w:t xml:space="preserve"> </w:t>
      </w:r>
      <w:r>
        <w:rPr>
          <w:rFonts w:ascii="宋体" w:eastAsia="宋体" w:hAnsi="宋体" w:cs="宋体"/>
          <w:spacing w:val="-22"/>
          <w:w w:val="98"/>
          <w:sz w:val="23"/>
          <w:szCs w:val="23"/>
        </w:rPr>
        <w:t>一般来说，不饱</w:t>
      </w:r>
      <w:r>
        <w:rPr>
          <w:rFonts w:ascii="宋体" w:eastAsia="宋体" w:hAnsi="宋体" w:cs="宋体"/>
          <w:spacing w:val="-23"/>
          <w:w w:val="98"/>
          <w:sz w:val="23"/>
          <w:szCs w:val="23"/>
        </w:rPr>
        <w:t>和</w:t>
      </w:r>
      <w:r>
        <w:rPr>
          <w:rFonts w:ascii="宋体" w:eastAsia="宋体" w:hAnsi="宋体" w:cs="宋体"/>
          <w:sz w:val="23"/>
          <w:szCs w:val="23"/>
        </w:rPr>
        <w:t xml:space="preserve"> </w:t>
      </w:r>
      <w:r>
        <w:rPr>
          <w:rFonts w:ascii="宋体" w:eastAsia="宋体" w:hAnsi="宋体" w:cs="宋体"/>
          <w:spacing w:val="-23"/>
          <w:sz w:val="23"/>
          <w:szCs w:val="23"/>
        </w:rPr>
        <w:t>脂肪酸含量较高的油脂，其营养价值相对较高，植物油较动物油脂中含有较多不</w:t>
      </w:r>
    </w:p>
    <w:p w:rsidR="00EA40A3" w:rsidRDefault="00E86C16">
      <w:pPr>
        <w:spacing w:before="85"/>
        <w:ind w:right="23"/>
        <w:jc w:val="right"/>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63</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62" w:bottom="400" w:left="890" w:header="0" w:footer="0" w:gutter="0"/>
          <w:cols w:space="720"/>
        </w:sectPr>
      </w:pPr>
    </w:p>
    <w:p w:rsidR="00EA40A3" w:rsidRDefault="00EA40A3">
      <w:pPr>
        <w:spacing w:line="283" w:lineRule="auto"/>
      </w:pPr>
    </w:p>
    <w:p w:rsidR="00EA40A3" w:rsidRDefault="00EA40A3">
      <w:pPr>
        <w:spacing w:line="284" w:lineRule="auto"/>
      </w:pPr>
    </w:p>
    <w:p w:rsidR="00EA40A3" w:rsidRDefault="00E86C16">
      <w:pPr>
        <w:spacing w:before="65" w:line="270" w:lineRule="auto"/>
        <w:ind w:right="59"/>
        <w:jc w:val="both"/>
        <w:rPr>
          <w:rFonts w:ascii="宋体" w:eastAsia="宋体" w:hAnsi="宋体" w:cs="宋体"/>
          <w:sz w:val="20"/>
          <w:szCs w:val="20"/>
        </w:rPr>
      </w:pPr>
      <w:r>
        <w:rPr>
          <w:rFonts w:ascii="宋体" w:eastAsia="宋体" w:hAnsi="宋体" w:cs="宋体"/>
          <w:spacing w:val="20"/>
          <w:sz w:val="20"/>
          <w:szCs w:val="20"/>
        </w:rPr>
        <w:t>饱和脂肪酸，是人体必需脂肪酸(亚油酸)的主要来源</w:t>
      </w:r>
      <w:r>
        <w:rPr>
          <w:rFonts w:ascii="宋体" w:eastAsia="宋体" w:hAnsi="宋体" w:cs="宋体"/>
          <w:spacing w:val="19"/>
          <w:sz w:val="20"/>
          <w:szCs w:val="20"/>
        </w:rPr>
        <w:t>，营养价值高于动物油</w:t>
      </w:r>
      <w:r>
        <w:rPr>
          <w:rFonts w:ascii="宋体" w:eastAsia="宋体" w:hAnsi="宋体" w:cs="宋体"/>
          <w:sz w:val="20"/>
          <w:szCs w:val="20"/>
        </w:rPr>
        <w:t xml:space="preserve"> </w:t>
      </w:r>
      <w:r>
        <w:rPr>
          <w:rFonts w:ascii="宋体" w:eastAsia="宋体" w:hAnsi="宋体" w:cs="宋体"/>
          <w:spacing w:val="13"/>
          <w:sz w:val="20"/>
          <w:szCs w:val="20"/>
        </w:rPr>
        <w:t>脂，但动物的心、肝、肾及血中含有较多的亚油酸和花生四烯酸。对于正常人</w:t>
      </w:r>
      <w:r>
        <w:rPr>
          <w:rFonts w:ascii="宋体" w:eastAsia="宋体" w:hAnsi="宋体" w:cs="宋体"/>
          <w:spacing w:val="15"/>
          <w:sz w:val="20"/>
          <w:szCs w:val="20"/>
        </w:rPr>
        <w:t xml:space="preserve"> </w:t>
      </w:r>
      <w:r>
        <w:rPr>
          <w:rFonts w:ascii="宋体" w:eastAsia="宋体" w:hAnsi="宋体" w:cs="宋体"/>
          <w:spacing w:val="13"/>
          <w:sz w:val="20"/>
          <w:szCs w:val="20"/>
        </w:rPr>
        <w:t>体，较理想的膳食脂肪构成是：饱和脂肪酸：单不饱和脂肪酸：多不饱和脂肪</w:t>
      </w:r>
      <w:r>
        <w:rPr>
          <w:rFonts w:ascii="宋体" w:eastAsia="宋体" w:hAnsi="宋体" w:cs="宋体"/>
          <w:spacing w:val="17"/>
          <w:sz w:val="20"/>
          <w:szCs w:val="20"/>
        </w:rPr>
        <w:t xml:space="preserve"> </w:t>
      </w:r>
      <w:r>
        <w:rPr>
          <w:rFonts w:ascii="宋体" w:eastAsia="宋体" w:hAnsi="宋体" w:cs="宋体"/>
          <w:spacing w:val="20"/>
          <w:sz w:val="20"/>
          <w:szCs w:val="20"/>
        </w:rPr>
        <w:t>酸=1:1:1(如按能量计算，三者相等，互相平衡)</w:t>
      </w:r>
      <w:r>
        <w:rPr>
          <w:rFonts w:ascii="宋体" w:eastAsia="宋体" w:hAnsi="宋体" w:cs="宋体"/>
          <w:spacing w:val="19"/>
          <w:sz w:val="20"/>
          <w:szCs w:val="20"/>
        </w:rPr>
        <w:t>。</w:t>
      </w:r>
    </w:p>
    <w:p w:rsidR="00EA40A3" w:rsidRDefault="00E86C16">
      <w:pPr>
        <w:spacing w:before="200" w:line="222" w:lineRule="auto"/>
        <w:rPr>
          <w:rFonts w:ascii="仿宋" w:eastAsia="仿宋" w:hAnsi="仿宋" w:cs="仿宋"/>
          <w:sz w:val="23"/>
          <w:szCs w:val="23"/>
        </w:rPr>
      </w:pPr>
      <w:r>
        <w:rPr>
          <w:rFonts w:ascii="仿宋" w:eastAsia="仿宋" w:hAnsi="仿宋" w:cs="仿宋"/>
          <w:spacing w:val="11"/>
          <w:sz w:val="23"/>
          <w:szCs w:val="23"/>
        </w:rPr>
        <w:t>2.脂肪的消化率</w:t>
      </w:r>
    </w:p>
    <w:p w:rsidR="00EA40A3" w:rsidRDefault="00E86C16">
      <w:pPr>
        <w:spacing w:before="182" w:line="269" w:lineRule="auto"/>
        <w:ind w:right="12" w:firstLine="479"/>
        <w:jc w:val="both"/>
        <w:rPr>
          <w:rFonts w:ascii="宋体" w:eastAsia="宋体" w:hAnsi="宋体" w:cs="宋体"/>
          <w:sz w:val="20"/>
          <w:szCs w:val="20"/>
        </w:rPr>
      </w:pPr>
      <w:r>
        <w:rPr>
          <w:rFonts w:ascii="宋体" w:eastAsia="宋体" w:hAnsi="宋体" w:cs="宋体"/>
          <w:spacing w:val="7"/>
          <w:sz w:val="20"/>
          <w:szCs w:val="20"/>
        </w:rPr>
        <w:t>脂肪的消化率越高，营养价值越高。脂肪的消化率与其熔点有关，脂肪的熔</w:t>
      </w:r>
      <w:r>
        <w:rPr>
          <w:rFonts w:ascii="宋体" w:eastAsia="宋体" w:hAnsi="宋体" w:cs="宋体"/>
          <w:spacing w:val="5"/>
          <w:sz w:val="20"/>
          <w:szCs w:val="20"/>
        </w:rPr>
        <w:t xml:space="preserve"> </w:t>
      </w:r>
      <w:r>
        <w:rPr>
          <w:rFonts w:ascii="宋体" w:eastAsia="宋体" w:hAnsi="宋体" w:cs="宋体"/>
          <w:spacing w:val="20"/>
          <w:sz w:val="20"/>
          <w:szCs w:val="20"/>
        </w:rPr>
        <w:t>点接近或低于人体体温者，其消化率高，可达97%～9</w:t>
      </w:r>
      <w:r>
        <w:rPr>
          <w:rFonts w:ascii="宋体" w:eastAsia="宋体" w:hAnsi="宋体" w:cs="宋体"/>
          <w:spacing w:val="19"/>
          <w:sz w:val="20"/>
          <w:szCs w:val="20"/>
        </w:rPr>
        <w:t>8%,而熔点在50℃以上</w:t>
      </w:r>
      <w:r>
        <w:rPr>
          <w:rFonts w:ascii="宋体" w:eastAsia="宋体" w:hAnsi="宋体" w:cs="宋体"/>
          <w:sz w:val="20"/>
          <w:szCs w:val="20"/>
        </w:rPr>
        <w:t xml:space="preserve">  </w:t>
      </w:r>
      <w:r>
        <w:rPr>
          <w:rFonts w:ascii="宋体" w:eastAsia="宋体" w:hAnsi="宋体" w:cs="宋体"/>
          <w:spacing w:val="13"/>
          <w:sz w:val="20"/>
          <w:szCs w:val="20"/>
        </w:rPr>
        <w:t>者，消化率低，</w:t>
      </w:r>
      <w:r>
        <w:rPr>
          <w:rFonts w:ascii="宋体" w:eastAsia="宋体" w:hAnsi="宋体" w:cs="宋体"/>
          <w:spacing w:val="89"/>
          <w:sz w:val="20"/>
          <w:szCs w:val="20"/>
        </w:rPr>
        <w:t xml:space="preserve"> </w:t>
      </w:r>
      <w:r>
        <w:rPr>
          <w:rFonts w:ascii="宋体" w:eastAsia="宋体" w:hAnsi="宋体" w:cs="宋体"/>
          <w:spacing w:val="13"/>
          <w:sz w:val="20"/>
          <w:szCs w:val="20"/>
        </w:rPr>
        <w:t>一般在80%～90%。熔点又与食物中所含不饱和脂肪酸的种类</w:t>
      </w:r>
      <w:r>
        <w:rPr>
          <w:rFonts w:ascii="宋体" w:eastAsia="宋体" w:hAnsi="宋体" w:cs="宋体"/>
          <w:sz w:val="20"/>
          <w:szCs w:val="20"/>
        </w:rPr>
        <w:t xml:space="preserve"> </w:t>
      </w:r>
      <w:r>
        <w:rPr>
          <w:rFonts w:ascii="宋体" w:eastAsia="宋体" w:hAnsi="宋体" w:cs="宋体"/>
          <w:spacing w:val="7"/>
          <w:sz w:val="20"/>
          <w:szCs w:val="20"/>
        </w:rPr>
        <w:t>和含量有关，含不饱和脂肪酸和短碳链脂肪酸越多，熔点越低，越容易消化。通</w:t>
      </w:r>
      <w:r>
        <w:rPr>
          <w:rFonts w:ascii="宋体" w:eastAsia="宋体" w:hAnsi="宋体" w:cs="宋体"/>
          <w:spacing w:val="11"/>
          <w:sz w:val="20"/>
          <w:szCs w:val="20"/>
        </w:rPr>
        <w:t xml:space="preserve"> </w:t>
      </w:r>
      <w:r>
        <w:rPr>
          <w:rFonts w:ascii="宋体" w:eastAsia="宋体" w:hAnsi="宋体" w:cs="宋体"/>
          <w:spacing w:val="8"/>
          <w:sz w:val="20"/>
          <w:szCs w:val="20"/>
        </w:rPr>
        <w:t>常植物油中不饱和脂肪酸含量高，熔点较低，易于消化，</w:t>
      </w:r>
      <w:r>
        <w:rPr>
          <w:rFonts w:ascii="宋体" w:eastAsia="宋体" w:hAnsi="宋体" w:cs="宋体"/>
          <w:spacing w:val="7"/>
          <w:sz w:val="20"/>
          <w:szCs w:val="20"/>
        </w:rPr>
        <w:t>动物油脂则相反，黄油</w:t>
      </w:r>
      <w:r>
        <w:rPr>
          <w:rFonts w:ascii="宋体" w:eastAsia="宋体" w:hAnsi="宋体" w:cs="宋体"/>
          <w:sz w:val="20"/>
          <w:szCs w:val="20"/>
        </w:rPr>
        <w:t xml:space="preserve"> </w:t>
      </w:r>
      <w:r>
        <w:rPr>
          <w:rFonts w:ascii="宋体" w:eastAsia="宋体" w:hAnsi="宋体" w:cs="宋体"/>
          <w:spacing w:val="7"/>
          <w:sz w:val="20"/>
          <w:szCs w:val="20"/>
        </w:rPr>
        <w:t>和奶油虽含不饱和脂肪酸不多，但是乳融性脂肪消化率也较高，常见油脂的脂肪</w:t>
      </w:r>
      <w:r>
        <w:rPr>
          <w:rFonts w:ascii="宋体" w:eastAsia="宋体" w:hAnsi="宋体" w:cs="宋体"/>
          <w:spacing w:val="13"/>
          <w:sz w:val="20"/>
          <w:szCs w:val="20"/>
        </w:rPr>
        <w:t xml:space="preserve"> </w:t>
      </w:r>
      <w:r>
        <w:rPr>
          <w:rFonts w:ascii="宋体" w:eastAsia="宋体" w:hAnsi="宋体" w:cs="宋体"/>
          <w:spacing w:val="6"/>
          <w:sz w:val="20"/>
          <w:szCs w:val="20"/>
        </w:rPr>
        <w:t>酸含量比例及消化率见表3-11。</w:t>
      </w:r>
    </w:p>
    <w:p w:rsidR="00EA40A3" w:rsidRDefault="00EA40A3">
      <w:pPr>
        <w:spacing w:line="322" w:lineRule="auto"/>
      </w:pPr>
    </w:p>
    <w:p w:rsidR="00EA40A3" w:rsidRDefault="00E86C16">
      <w:pPr>
        <w:spacing w:before="65" w:line="219" w:lineRule="auto"/>
        <w:ind w:left="1802"/>
        <w:rPr>
          <w:rFonts w:ascii="宋体" w:eastAsia="宋体" w:hAnsi="宋体" w:cs="宋体"/>
          <w:sz w:val="20"/>
          <w:szCs w:val="20"/>
        </w:rPr>
      </w:pPr>
      <w:r>
        <w:rPr>
          <w:rFonts w:ascii="宋体" w:eastAsia="宋体" w:hAnsi="宋体" w:cs="宋体"/>
          <w:b/>
          <w:bCs/>
          <w:spacing w:val="-20"/>
          <w:sz w:val="20"/>
          <w:szCs w:val="20"/>
        </w:rPr>
        <w:t>表3-11</w:t>
      </w:r>
      <w:r>
        <w:rPr>
          <w:rFonts w:ascii="宋体" w:eastAsia="宋体" w:hAnsi="宋体" w:cs="宋体"/>
          <w:spacing w:val="76"/>
          <w:sz w:val="20"/>
          <w:szCs w:val="20"/>
        </w:rPr>
        <w:t xml:space="preserve"> </w:t>
      </w:r>
      <w:r>
        <w:rPr>
          <w:rFonts w:ascii="宋体" w:eastAsia="宋体" w:hAnsi="宋体" w:cs="宋体"/>
          <w:b/>
          <w:bCs/>
          <w:spacing w:val="-20"/>
          <w:sz w:val="20"/>
          <w:szCs w:val="20"/>
        </w:rPr>
        <w:t>常用油脂的脂肪酸含量、比例及消化率</w:t>
      </w:r>
    </w:p>
    <w:p w:rsidR="00EA40A3" w:rsidRDefault="00EA40A3">
      <w:pPr>
        <w:spacing w:line="28" w:lineRule="auto"/>
        <w:rPr>
          <w:sz w:val="2"/>
        </w:rPr>
      </w:pPr>
    </w:p>
    <w:tbl>
      <w:tblPr>
        <w:tblStyle w:val="TableNormal"/>
        <w:tblW w:w="7320" w:type="dxa"/>
        <w:tblInd w:w="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60"/>
        <w:gridCol w:w="1055"/>
        <w:gridCol w:w="877"/>
        <w:gridCol w:w="1002"/>
        <w:gridCol w:w="928"/>
        <w:gridCol w:w="1058"/>
        <w:gridCol w:w="1340"/>
      </w:tblGrid>
      <w:tr w:rsidR="00EA40A3">
        <w:trPr>
          <w:trHeight w:val="356"/>
        </w:trPr>
        <w:tc>
          <w:tcPr>
            <w:tcW w:w="1060" w:type="dxa"/>
            <w:vMerge w:val="restart"/>
            <w:tcBorders>
              <w:top w:val="single" w:sz="4" w:space="0" w:color="000000"/>
              <w:bottom w:val="nil"/>
            </w:tcBorders>
          </w:tcPr>
          <w:p w:rsidR="00EA40A3" w:rsidRDefault="00E86C16">
            <w:pPr>
              <w:spacing w:before="232" w:line="219" w:lineRule="auto"/>
              <w:ind w:left="170"/>
              <w:rPr>
                <w:rFonts w:ascii="宋体" w:eastAsia="宋体" w:hAnsi="宋体" w:cs="宋体"/>
                <w:sz w:val="17"/>
                <w:szCs w:val="17"/>
              </w:rPr>
            </w:pPr>
            <w:r>
              <w:rPr>
                <w:rFonts w:ascii="宋体" w:eastAsia="宋体" w:hAnsi="宋体" w:cs="宋体"/>
                <w:spacing w:val="-2"/>
                <w:sz w:val="17"/>
                <w:szCs w:val="17"/>
              </w:rPr>
              <w:t>脂肪种类</w:t>
            </w:r>
          </w:p>
        </w:tc>
        <w:tc>
          <w:tcPr>
            <w:tcW w:w="1055" w:type="dxa"/>
            <w:vMerge w:val="restart"/>
            <w:tcBorders>
              <w:top w:val="single" w:sz="4" w:space="0" w:color="000000"/>
              <w:bottom w:val="nil"/>
            </w:tcBorders>
          </w:tcPr>
          <w:p w:rsidR="00EA40A3" w:rsidRDefault="00EA40A3">
            <w:pPr>
              <w:spacing w:line="395" w:lineRule="auto"/>
            </w:pPr>
          </w:p>
          <w:p w:rsidR="00EA40A3" w:rsidRDefault="00E86C16">
            <w:pPr>
              <w:spacing w:before="56" w:line="196" w:lineRule="auto"/>
              <w:ind w:left="210"/>
              <w:rPr>
                <w:rFonts w:ascii="宋体" w:eastAsia="宋体" w:hAnsi="宋体" w:cs="宋体"/>
                <w:sz w:val="17"/>
                <w:szCs w:val="17"/>
              </w:rPr>
            </w:pPr>
            <w:r>
              <w:rPr>
                <w:rFonts w:ascii="宋体" w:eastAsia="宋体" w:hAnsi="宋体" w:cs="宋体"/>
                <w:spacing w:val="3"/>
                <w:sz w:val="17"/>
                <w:szCs w:val="17"/>
              </w:rPr>
              <w:t>多不饱和</w:t>
            </w:r>
          </w:p>
        </w:tc>
        <w:tc>
          <w:tcPr>
            <w:tcW w:w="1879" w:type="dxa"/>
            <w:gridSpan w:val="2"/>
            <w:tcBorders>
              <w:top w:val="single" w:sz="4" w:space="0" w:color="000000"/>
            </w:tcBorders>
          </w:tcPr>
          <w:p w:rsidR="00EA40A3" w:rsidRDefault="00E86C16">
            <w:pPr>
              <w:spacing w:before="112" w:line="219" w:lineRule="auto"/>
              <w:ind w:left="165"/>
              <w:rPr>
                <w:rFonts w:ascii="宋体" w:eastAsia="宋体" w:hAnsi="宋体" w:cs="宋体"/>
                <w:sz w:val="17"/>
                <w:szCs w:val="17"/>
              </w:rPr>
            </w:pPr>
            <w:r>
              <w:rPr>
                <w:rFonts w:ascii="宋体" w:eastAsia="宋体" w:hAnsi="宋体" w:cs="宋体"/>
                <w:spacing w:val="-1"/>
                <w:sz w:val="17"/>
                <w:szCs w:val="17"/>
              </w:rPr>
              <w:t>脂肪酸种类及含量/%</w:t>
            </w:r>
          </w:p>
        </w:tc>
        <w:tc>
          <w:tcPr>
            <w:tcW w:w="928" w:type="dxa"/>
            <w:vMerge w:val="restart"/>
            <w:tcBorders>
              <w:top w:val="single" w:sz="4" w:space="0" w:color="000000"/>
              <w:bottom w:val="nil"/>
            </w:tcBorders>
          </w:tcPr>
          <w:p w:rsidR="00EA40A3" w:rsidRDefault="00EA40A3">
            <w:pPr>
              <w:spacing w:line="395" w:lineRule="auto"/>
            </w:pPr>
          </w:p>
          <w:p w:rsidR="00EA40A3" w:rsidRDefault="00E86C16">
            <w:pPr>
              <w:spacing w:before="56" w:line="196" w:lineRule="auto"/>
              <w:ind w:left="196"/>
              <w:rPr>
                <w:rFonts w:ascii="宋体" w:eastAsia="宋体" w:hAnsi="宋体" w:cs="宋体"/>
                <w:sz w:val="17"/>
                <w:szCs w:val="17"/>
              </w:rPr>
            </w:pPr>
            <w:r>
              <w:rPr>
                <w:rFonts w:ascii="宋体" w:eastAsia="宋体" w:hAnsi="宋体" w:cs="宋体"/>
                <w:spacing w:val="-2"/>
                <w:sz w:val="17"/>
                <w:szCs w:val="17"/>
              </w:rPr>
              <w:t>亚麻酸</w:t>
            </w:r>
          </w:p>
        </w:tc>
        <w:tc>
          <w:tcPr>
            <w:tcW w:w="1058" w:type="dxa"/>
            <w:vMerge w:val="restart"/>
            <w:tcBorders>
              <w:top w:val="single" w:sz="4" w:space="0" w:color="000000"/>
              <w:bottom w:val="nil"/>
            </w:tcBorders>
          </w:tcPr>
          <w:p w:rsidR="00EA40A3" w:rsidRDefault="00E86C16">
            <w:pPr>
              <w:spacing w:before="232" w:line="219" w:lineRule="auto"/>
              <w:ind w:left="238"/>
              <w:rPr>
                <w:rFonts w:ascii="宋体" w:eastAsia="宋体" w:hAnsi="宋体" w:cs="宋体"/>
                <w:sz w:val="17"/>
                <w:szCs w:val="17"/>
              </w:rPr>
            </w:pPr>
            <w:r>
              <w:rPr>
                <w:rFonts w:ascii="宋体" w:eastAsia="宋体" w:hAnsi="宋体" w:cs="宋体"/>
                <w:spacing w:val="10"/>
                <w:sz w:val="17"/>
                <w:szCs w:val="17"/>
              </w:rPr>
              <w:t>P/S值'</w:t>
            </w:r>
          </w:p>
        </w:tc>
        <w:tc>
          <w:tcPr>
            <w:tcW w:w="1340" w:type="dxa"/>
            <w:vMerge w:val="restart"/>
            <w:tcBorders>
              <w:top w:val="single" w:sz="4" w:space="0" w:color="000000"/>
              <w:bottom w:val="nil"/>
            </w:tcBorders>
          </w:tcPr>
          <w:p w:rsidR="00EA40A3" w:rsidRDefault="00E86C16">
            <w:pPr>
              <w:spacing w:before="232" w:line="219" w:lineRule="auto"/>
              <w:ind w:left="310"/>
              <w:rPr>
                <w:rFonts w:ascii="宋体" w:eastAsia="宋体" w:hAnsi="宋体" w:cs="宋体"/>
                <w:sz w:val="17"/>
                <w:szCs w:val="17"/>
              </w:rPr>
            </w:pPr>
            <w:r>
              <w:rPr>
                <w:rFonts w:ascii="宋体" w:eastAsia="宋体" w:hAnsi="宋体" w:cs="宋体"/>
                <w:spacing w:val="-2"/>
                <w:sz w:val="17"/>
                <w:szCs w:val="17"/>
              </w:rPr>
              <w:t>消化率/%</w:t>
            </w:r>
          </w:p>
        </w:tc>
      </w:tr>
      <w:tr w:rsidR="00EA40A3">
        <w:trPr>
          <w:trHeight w:val="278"/>
        </w:trPr>
        <w:tc>
          <w:tcPr>
            <w:tcW w:w="1060" w:type="dxa"/>
            <w:vMerge/>
            <w:tcBorders>
              <w:top w:val="nil"/>
              <w:bottom w:val="single" w:sz="4" w:space="0" w:color="000000"/>
            </w:tcBorders>
          </w:tcPr>
          <w:p w:rsidR="00EA40A3" w:rsidRDefault="00EA40A3"/>
        </w:tc>
        <w:tc>
          <w:tcPr>
            <w:tcW w:w="1055" w:type="dxa"/>
            <w:vMerge/>
            <w:tcBorders>
              <w:top w:val="nil"/>
              <w:bottom w:val="single" w:sz="4" w:space="0" w:color="000000"/>
            </w:tcBorders>
          </w:tcPr>
          <w:p w:rsidR="00EA40A3" w:rsidRDefault="00EA40A3"/>
        </w:tc>
        <w:tc>
          <w:tcPr>
            <w:tcW w:w="877" w:type="dxa"/>
            <w:tcBorders>
              <w:bottom w:val="single" w:sz="4" w:space="0" w:color="000000"/>
            </w:tcBorders>
          </w:tcPr>
          <w:p w:rsidR="00EA40A3" w:rsidRDefault="00E86C16">
            <w:pPr>
              <w:spacing w:before="78" w:line="217" w:lineRule="auto"/>
              <w:ind w:left="285"/>
              <w:rPr>
                <w:rFonts w:ascii="宋体" w:eastAsia="宋体" w:hAnsi="宋体" w:cs="宋体"/>
                <w:sz w:val="17"/>
                <w:szCs w:val="17"/>
              </w:rPr>
            </w:pPr>
            <w:r>
              <w:rPr>
                <w:rFonts w:ascii="宋体" w:eastAsia="宋体" w:hAnsi="宋体" w:cs="宋体"/>
                <w:spacing w:val="-2"/>
                <w:sz w:val="17"/>
                <w:szCs w:val="17"/>
              </w:rPr>
              <w:t>饱和</w:t>
            </w:r>
          </w:p>
        </w:tc>
        <w:tc>
          <w:tcPr>
            <w:tcW w:w="1002" w:type="dxa"/>
            <w:tcBorders>
              <w:bottom w:val="single" w:sz="4" w:space="0" w:color="000000"/>
            </w:tcBorders>
          </w:tcPr>
          <w:p w:rsidR="00EA40A3" w:rsidRDefault="00E86C16">
            <w:pPr>
              <w:spacing w:before="77" w:line="218" w:lineRule="auto"/>
              <w:ind w:left="268"/>
              <w:rPr>
                <w:rFonts w:ascii="宋体" w:eastAsia="宋体" w:hAnsi="宋体" w:cs="宋体"/>
                <w:sz w:val="17"/>
                <w:szCs w:val="17"/>
              </w:rPr>
            </w:pPr>
            <w:r>
              <w:rPr>
                <w:rFonts w:ascii="宋体" w:eastAsia="宋体" w:hAnsi="宋体" w:cs="宋体"/>
                <w:spacing w:val="-2"/>
                <w:sz w:val="17"/>
                <w:szCs w:val="17"/>
              </w:rPr>
              <w:t>亚油酸</w:t>
            </w:r>
          </w:p>
        </w:tc>
        <w:tc>
          <w:tcPr>
            <w:tcW w:w="928" w:type="dxa"/>
            <w:vMerge/>
            <w:tcBorders>
              <w:top w:val="nil"/>
              <w:bottom w:val="single" w:sz="4" w:space="0" w:color="000000"/>
            </w:tcBorders>
          </w:tcPr>
          <w:p w:rsidR="00EA40A3" w:rsidRDefault="00EA40A3"/>
        </w:tc>
        <w:tc>
          <w:tcPr>
            <w:tcW w:w="1058" w:type="dxa"/>
            <w:vMerge/>
            <w:tcBorders>
              <w:top w:val="nil"/>
              <w:bottom w:val="single" w:sz="4" w:space="0" w:color="000000"/>
            </w:tcBorders>
          </w:tcPr>
          <w:p w:rsidR="00EA40A3" w:rsidRDefault="00EA40A3"/>
        </w:tc>
        <w:tc>
          <w:tcPr>
            <w:tcW w:w="1340" w:type="dxa"/>
            <w:vMerge/>
            <w:tcBorders>
              <w:top w:val="nil"/>
              <w:bottom w:val="single" w:sz="4" w:space="0" w:color="000000"/>
            </w:tcBorders>
          </w:tcPr>
          <w:p w:rsidR="00EA40A3" w:rsidRDefault="00EA40A3"/>
        </w:tc>
      </w:tr>
      <w:tr w:rsidR="00EA40A3">
        <w:trPr>
          <w:trHeight w:val="270"/>
        </w:trPr>
        <w:tc>
          <w:tcPr>
            <w:tcW w:w="1060" w:type="dxa"/>
            <w:tcBorders>
              <w:top w:val="single" w:sz="4" w:space="0" w:color="000000"/>
            </w:tcBorders>
          </w:tcPr>
          <w:p w:rsidR="00EA40A3" w:rsidRDefault="00E86C16">
            <w:pPr>
              <w:spacing w:before="38" w:line="219" w:lineRule="auto"/>
              <w:ind w:left="340"/>
              <w:rPr>
                <w:rFonts w:ascii="宋体" w:eastAsia="宋体" w:hAnsi="宋体" w:cs="宋体"/>
                <w:sz w:val="17"/>
                <w:szCs w:val="17"/>
              </w:rPr>
            </w:pPr>
            <w:r>
              <w:rPr>
                <w:rFonts w:ascii="宋体" w:eastAsia="宋体" w:hAnsi="宋体" w:cs="宋体"/>
                <w:spacing w:val="5"/>
                <w:sz w:val="17"/>
                <w:szCs w:val="17"/>
              </w:rPr>
              <w:t>菜籽油</w:t>
            </w:r>
          </w:p>
        </w:tc>
        <w:tc>
          <w:tcPr>
            <w:tcW w:w="1055" w:type="dxa"/>
            <w:tcBorders>
              <w:top w:val="single" w:sz="4" w:space="0" w:color="000000"/>
            </w:tcBorders>
          </w:tcPr>
          <w:p w:rsidR="00EA40A3" w:rsidRDefault="00E86C16">
            <w:pPr>
              <w:spacing w:before="101" w:line="183" w:lineRule="auto"/>
              <w:ind w:left="380"/>
              <w:rPr>
                <w:rFonts w:ascii="宋体" w:eastAsia="宋体" w:hAnsi="宋体" w:cs="宋体"/>
                <w:sz w:val="17"/>
                <w:szCs w:val="17"/>
              </w:rPr>
            </w:pPr>
            <w:r>
              <w:rPr>
                <w:rFonts w:ascii="宋体" w:eastAsia="宋体" w:hAnsi="宋体" w:cs="宋体"/>
                <w:spacing w:val="-2"/>
                <w:sz w:val="17"/>
                <w:szCs w:val="17"/>
              </w:rPr>
              <w:t>21.5</w:t>
            </w:r>
          </w:p>
        </w:tc>
        <w:tc>
          <w:tcPr>
            <w:tcW w:w="877" w:type="dxa"/>
            <w:tcBorders>
              <w:top w:val="single" w:sz="4" w:space="0" w:color="000000"/>
            </w:tcBorders>
          </w:tcPr>
          <w:p w:rsidR="00EA40A3" w:rsidRDefault="00E86C16">
            <w:pPr>
              <w:spacing w:before="101" w:line="183" w:lineRule="auto"/>
              <w:ind w:left="325"/>
              <w:rPr>
                <w:rFonts w:ascii="宋体" w:eastAsia="宋体" w:hAnsi="宋体" w:cs="宋体"/>
                <w:sz w:val="17"/>
                <w:szCs w:val="17"/>
              </w:rPr>
            </w:pPr>
            <w:r>
              <w:rPr>
                <w:rFonts w:ascii="宋体" w:eastAsia="宋体" w:hAnsi="宋体" w:cs="宋体"/>
                <w:spacing w:val="-2"/>
                <w:sz w:val="17"/>
                <w:szCs w:val="17"/>
              </w:rPr>
              <w:t>4.5</w:t>
            </w:r>
          </w:p>
        </w:tc>
        <w:tc>
          <w:tcPr>
            <w:tcW w:w="1002" w:type="dxa"/>
            <w:tcBorders>
              <w:top w:val="single" w:sz="4" w:space="0" w:color="000000"/>
            </w:tcBorders>
          </w:tcPr>
          <w:p w:rsidR="00EA40A3" w:rsidRDefault="00E86C16">
            <w:pPr>
              <w:spacing w:before="101" w:line="183" w:lineRule="auto"/>
              <w:ind w:left="358"/>
              <w:rPr>
                <w:rFonts w:ascii="宋体" w:eastAsia="宋体" w:hAnsi="宋体" w:cs="宋体"/>
                <w:sz w:val="17"/>
                <w:szCs w:val="17"/>
              </w:rPr>
            </w:pPr>
            <w:r>
              <w:rPr>
                <w:rFonts w:ascii="宋体" w:eastAsia="宋体" w:hAnsi="宋体" w:cs="宋体"/>
                <w:spacing w:val="-4"/>
                <w:sz w:val="17"/>
                <w:szCs w:val="17"/>
              </w:rPr>
              <w:t>14.2</w:t>
            </w:r>
          </w:p>
        </w:tc>
        <w:tc>
          <w:tcPr>
            <w:tcW w:w="928" w:type="dxa"/>
            <w:tcBorders>
              <w:top w:val="single" w:sz="4" w:space="0" w:color="000000"/>
            </w:tcBorders>
          </w:tcPr>
          <w:p w:rsidR="00EA40A3" w:rsidRDefault="00E86C16">
            <w:pPr>
              <w:spacing w:before="121" w:line="161" w:lineRule="auto"/>
              <w:ind w:left="326"/>
              <w:rPr>
                <w:rFonts w:ascii="宋体" w:eastAsia="宋体" w:hAnsi="宋体" w:cs="宋体"/>
                <w:sz w:val="17"/>
                <w:szCs w:val="17"/>
              </w:rPr>
            </w:pPr>
            <w:r>
              <w:rPr>
                <w:rFonts w:ascii="宋体" w:eastAsia="宋体" w:hAnsi="宋体" w:cs="宋体"/>
                <w:spacing w:val="-3"/>
                <w:sz w:val="17"/>
                <w:szCs w:val="17"/>
              </w:rPr>
              <w:t>7.3</w:t>
            </w:r>
          </w:p>
        </w:tc>
        <w:tc>
          <w:tcPr>
            <w:tcW w:w="1058" w:type="dxa"/>
            <w:tcBorders>
              <w:top w:val="single" w:sz="4" w:space="0" w:color="000000"/>
            </w:tcBorders>
          </w:tcPr>
          <w:p w:rsidR="00EA40A3" w:rsidRDefault="00E86C16">
            <w:pPr>
              <w:spacing w:before="121" w:line="161" w:lineRule="auto"/>
              <w:ind w:left="328"/>
              <w:rPr>
                <w:rFonts w:ascii="宋体" w:eastAsia="宋体" w:hAnsi="宋体" w:cs="宋体"/>
                <w:sz w:val="17"/>
                <w:szCs w:val="17"/>
              </w:rPr>
            </w:pPr>
            <w:r>
              <w:rPr>
                <w:rFonts w:ascii="宋体" w:eastAsia="宋体" w:hAnsi="宋体" w:cs="宋体"/>
                <w:spacing w:val="-2"/>
                <w:sz w:val="17"/>
                <w:szCs w:val="17"/>
              </w:rPr>
              <w:t>4.78</w:t>
            </w:r>
          </w:p>
        </w:tc>
        <w:tc>
          <w:tcPr>
            <w:tcW w:w="1340" w:type="dxa"/>
            <w:tcBorders>
              <w:top w:val="single" w:sz="4" w:space="0" w:color="000000"/>
            </w:tcBorders>
          </w:tcPr>
          <w:p w:rsidR="00EA40A3" w:rsidRDefault="00E86C16">
            <w:pPr>
              <w:spacing w:before="121" w:line="161" w:lineRule="auto"/>
              <w:ind w:left="480"/>
              <w:rPr>
                <w:rFonts w:ascii="宋体" w:eastAsia="宋体" w:hAnsi="宋体" w:cs="宋体"/>
                <w:sz w:val="17"/>
                <w:szCs w:val="17"/>
              </w:rPr>
            </w:pPr>
            <w:r>
              <w:rPr>
                <w:rFonts w:ascii="宋体" w:eastAsia="宋体" w:hAnsi="宋体" w:cs="宋体"/>
                <w:spacing w:val="-2"/>
                <w:sz w:val="17"/>
                <w:szCs w:val="17"/>
              </w:rPr>
              <w:t>99.0</w:t>
            </w:r>
          </w:p>
        </w:tc>
      </w:tr>
      <w:tr w:rsidR="00EA40A3">
        <w:trPr>
          <w:trHeight w:val="255"/>
        </w:trPr>
        <w:tc>
          <w:tcPr>
            <w:tcW w:w="1060" w:type="dxa"/>
          </w:tcPr>
          <w:p w:rsidR="00EA40A3" w:rsidRDefault="00E86C16">
            <w:pPr>
              <w:spacing w:before="28" w:line="220" w:lineRule="auto"/>
              <w:ind w:left="340"/>
              <w:rPr>
                <w:rFonts w:ascii="宋体" w:eastAsia="宋体" w:hAnsi="宋体" w:cs="宋体"/>
                <w:sz w:val="17"/>
                <w:szCs w:val="17"/>
              </w:rPr>
            </w:pPr>
            <w:r>
              <w:rPr>
                <w:rFonts w:ascii="宋体" w:eastAsia="宋体" w:hAnsi="宋体" w:cs="宋体"/>
                <w:spacing w:val="5"/>
                <w:sz w:val="17"/>
                <w:szCs w:val="17"/>
              </w:rPr>
              <w:t>大豆油</w:t>
            </w:r>
          </w:p>
        </w:tc>
        <w:tc>
          <w:tcPr>
            <w:tcW w:w="1055" w:type="dxa"/>
          </w:tcPr>
          <w:p w:rsidR="00EA40A3" w:rsidRDefault="00E86C16">
            <w:pPr>
              <w:spacing w:before="81" w:line="183" w:lineRule="auto"/>
              <w:ind w:left="380"/>
              <w:rPr>
                <w:rFonts w:ascii="宋体" w:eastAsia="宋体" w:hAnsi="宋体" w:cs="宋体"/>
                <w:sz w:val="17"/>
                <w:szCs w:val="17"/>
              </w:rPr>
            </w:pPr>
            <w:r>
              <w:rPr>
                <w:rFonts w:ascii="宋体" w:eastAsia="宋体" w:hAnsi="宋体" w:cs="宋体"/>
                <w:spacing w:val="-2"/>
                <w:sz w:val="17"/>
                <w:szCs w:val="17"/>
              </w:rPr>
              <w:t>62.8</w:t>
            </w:r>
          </w:p>
        </w:tc>
        <w:tc>
          <w:tcPr>
            <w:tcW w:w="877" w:type="dxa"/>
          </w:tcPr>
          <w:p w:rsidR="00EA40A3" w:rsidRDefault="00E86C16">
            <w:pPr>
              <w:spacing w:before="101" w:line="167" w:lineRule="auto"/>
              <w:ind w:left="285"/>
              <w:rPr>
                <w:rFonts w:ascii="宋体" w:eastAsia="宋体" w:hAnsi="宋体" w:cs="宋体"/>
                <w:sz w:val="17"/>
                <w:szCs w:val="17"/>
              </w:rPr>
            </w:pPr>
            <w:r>
              <w:rPr>
                <w:rFonts w:ascii="宋体" w:eastAsia="宋体" w:hAnsi="宋体" w:cs="宋体"/>
                <w:spacing w:val="-4"/>
                <w:sz w:val="17"/>
                <w:szCs w:val="17"/>
              </w:rPr>
              <w:t>14.8</w:t>
            </w:r>
          </w:p>
        </w:tc>
        <w:tc>
          <w:tcPr>
            <w:tcW w:w="1002" w:type="dxa"/>
          </w:tcPr>
          <w:p w:rsidR="00EA40A3" w:rsidRDefault="00E86C16">
            <w:pPr>
              <w:spacing w:before="92" w:line="177" w:lineRule="auto"/>
              <w:ind w:left="358"/>
              <w:rPr>
                <w:rFonts w:ascii="宋体" w:eastAsia="宋体" w:hAnsi="宋体" w:cs="宋体"/>
                <w:sz w:val="17"/>
                <w:szCs w:val="17"/>
              </w:rPr>
            </w:pPr>
            <w:r>
              <w:rPr>
                <w:rFonts w:ascii="宋体" w:eastAsia="宋体" w:hAnsi="宋体" w:cs="宋体"/>
                <w:spacing w:val="-2"/>
                <w:sz w:val="17"/>
                <w:szCs w:val="17"/>
              </w:rPr>
              <w:t>52.2</w:t>
            </w:r>
          </w:p>
        </w:tc>
        <w:tc>
          <w:tcPr>
            <w:tcW w:w="928" w:type="dxa"/>
          </w:tcPr>
          <w:p w:rsidR="00EA40A3" w:rsidRDefault="00E86C16">
            <w:pPr>
              <w:spacing w:before="111" w:line="143" w:lineRule="exact"/>
              <w:ind w:left="286"/>
              <w:rPr>
                <w:rFonts w:ascii="宋体" w:eastAsia="宋体" w:hAnsi="宋体" w:cs="宋体"/>
                <w:sz w:val="17"/>
                <w:szCs w:val="17"/>
              </w:rPr>
            </w:pPr>
            <w:r>
              <w:rPr>
                <w:rFonts w:ascii="宋体" w:eastAsia="宋体" w:hAnsi="宋体" w:cs="宋体"/>
                <w:spacing w:val="-4"/>
                <w:position w:val="-2"/>
                <w:sz w:val="17"/>
                <w:szCs w:val="17"/>
              </w:rPr>
              <w:t>10.6</w:t>
            </w:r>
          </w:p>
        </w:tc>
        <w:tc>
          <w:tcPr>
            <w:tcW w:w="1058" w:type="dxa"/>
          </w:tcPr>
          <w:p w:rsidR="00EA40A3" w:rsidRDefault="00E86C16">
            <w:pPr>
              <w:spacing w:before="102" w:line="166" w:lineRule="auto"/>
              <w:ind w:left="328"/>
              <w:rPr>
                <w:rFonts w:ascii="宋体" w:eastAsia="宋体" w:hAnsi="宋体" w:cs="宋体"/>
                <w:sz w:val="17"/>
                <w:szCs w:val="17"/>
              </w:rPr>
            </w:pPr>
            <w:r>
              <w:rPr>
                <w:rFonts w:ascii="宋体" w:eastAsia="宋体" w:hAnsi="宋体" w:cs="宋体"/>
                <w:spacing w:val="-2"/>
                <w:sz w:val="17"/>
                <w:szCs w:val="17"/>
              </w:rPr>
              <w:t>4.24</w:t>
            </w:r>
          </w:p>
        </w:tc>
        <w:tc>
          <w:tcPr>
            <w:tcW w:w="1340" w:type="dxa"/>
          </w:tcPr>
          <w:p w:rsidR="00EA40A3" w:rsidRDefault="00E86C16">
            <w:pPr>
              <w:spacing w:before="102" w:line="166" w:lineRule="auto"/>
              <w:ind w:left="480"/>
              <w:rPr>
                <w:rFonts w:ascii="宋体" w:eastAsia="宋体" w:hAnsi="宋体" w:cs="宋体"/>
                <w:sz w:val="17"/>
                <w:szCs w:val="17"/>
              </w:rPr>
            </w:pPr>
            <w:r>
              <w:rPr>
                <w:rFonts w:ascii="宋体" w:eastAsia="宋体" w:hAnsi="宋体" w:cs="宋体"/>
                <w:spacing w:val="-2"/>
                <w:sz w:val="17"/>
                <w:szCs w:val="17"/>
              </w:rPr>
              <w:t>97.5</w:t>
            </w:r>
          </w:p>
        </w:tc>
      </w:tr>
      <w:tr w:rsidR="00EA40A3">
        <w:trPr>
          <w:trHeight w:val="239"/>
        </w:trPr>
        <w:tc>
          <w:tcPr>
            <w:tcW w:w="1060" w:type="dxa"/>
          </w:tcPr>
          <w:p w:rsidR="00EA40A3" w:rsidRDefault="00E86C16">
            <w:pPr>
              <w:spacing w:before="24" w:line="221" w:lineRule="auto"/>
              <w:ind w:left="340"/>
              <w:rPr>
                <w:rFonts w:ascii="宋体" w:eastAsia="宋体" w:hAnsi="宋体" w:cs="宋体"/>
                <w:sz w:val="17"/>
                <w:szCs w:val="17"/>
              </w:rPr>
            </w:pPr>
            <w:r>
              <w:rPr>
                <w:rFonts w:ascii="宋体" w:eastAsia="宋体" w:hAnsi="宋体" w:cs="宋体"/>
                <w:spacing w:val="5"/>
                <w:sz w:val="17"/>
                <w:szCs w:val="17"/>
              </w:rPr>
              <w:t>芝麻油</w:t>
            </w:r>
          </w:p>
        </w:tc>
        <w:tc>
          <w:tcPr>
            <w:tcW w:w="1055" w:type="dxa"/>
          </w:tcPr>
          <w:p w:rsidR="00EA40A3" w:rsidRDefault="00E86C16">
            <w:pPr>
              <w:spacing w:before="87" w:line="165" w:lineRule="auto"/>
              <w:ind w:left="380"/>
              <w:rPr>
                <w:rFonts w:ascii="宋体" w:eastAsia="宋体" w:hAnsi="宋体" w:cs="宋体"/>
                <w:sz w:val="17"/>
                <w:szCs w:val="17"/>
              </w:rPr>
            </w:pPr>
            <w:r>
              <w:rPr>
                <w:rFonts w:ascii="宋体" w:eastAsia="宋体" w:hAnsi="宋体" w:cs="宋体"/>
                <w:spacing w:val="-2"/>
                <w:sz w:val="17"/>
                <w:szCs w:val="17"/>
              </w:rPr>
              <w:t>46.6</w:t>
            </w:r>
          </w:p>
        </w:tc>
        <w:tc>
          <w:tcPr>
            <w:tcW w:w="877" w:type="dxa"/>
          </w:tcPr>
          <w:p w:rsidR="00EA40A3" w:rsidRDefault="00E86C16">
            <w:pPr>
              <w:spacing w:before="76" w:line="177" w:lineRule="auto"/>
              <w:ind w:left="285"/>
              <w:rPr>
                <w:rFonts w:ascii="宋体" w:eastAsia="宋体" w:hAnsi="宋体" w:cs="宋体"/>
                <w:sz w:val="17"/>
                <w:szCs w:val="17"/>
              </w:rPr>
            </w:pPr>
            <w:r>
              <w:rPr>
                <w:rFonts w:ascii="宋体" w:eastAsia="宋体" w:hAnsi="宋体" w:cs="宋体"/>
                <w:spacing w:val="-4"/>
                <w:sz w:val="17"/>
                <w:szCs w:val="17"/>
              </w:rPr>
              <w:t>12.5</w:t>
            </w:r>
          </w:p>
        </w:tc>
        <w:tc>
          <w:tcPr>
            <w:tcW w:w="1002" w:type="dxa"/>
          </w:tcPr>
          <w:p w:rsidR="00EA40A3" w:rsidRDefault="00E86C16">
            <w:pPr>
              <w:spacing w:before="76" w:line="176" w:lineRule="auto"/>
              <w:ind w:left="358"/>
              <w:rPr>
                <w:rFonts w:ascii="宋体" w:eastAsia="宋体" w:hAnsi="宋体" w:cs="宋体"/>
                <w:sz w:val="17"/>
                <w:szCs w:val="17"/>
              </w:rPr>
            </w:pPr>
            <w:r>
              <w:rPr>
                <w:rFonts w:ascii="宋体" w:eastAsia="宋体" w:hAnsi="宋体" w:cs="宋体"/>
                <w:spacing w:val="-2"/>
                <w:sz w:val="17"/>
                <w:szCs w:val="17"/>
              </w:rPr>
              <w:t>43.7</w:t>
            </w:r>
          </w:p>
        </w:tc>
        <w:tc>
          <w:tcPr>
            <w:tcW w:w="928" w:type="dxa"/>
          </w:tcPr>
          <w:p w:rsidR="00EA40A3" w:rsidRDefault="00E86C16">
            <w:pPr>
              <w:spacing w:before="87" w:line="165" w:lineRule="auto"/>
              <w:ind w:left="326"/>
              <w:rPr>
                <w:rFonts w:ascii="宋体" w:eastAsia="宋体" w:hAnsi="宋体" w:cs="宋体"/>
                <w:sz w:val="17"/>
                <w:szCs w:val="17"/>
              </w:rPr>
            </w:pPr>
            <w:r>
              <w:rPr>
                <w:rFonts w:ascii="宋体" w:eastAsia="宋体" w:hAnsi="宋体" w:cs="宋体"/>
                <w:spacing w:val="-2"/>
                <w:sz w:val="17"/>
                <w:szCs w:val="17"/>
              </w:rPr>
              <w:t>2.9</w:t>
            </w:r>
          </w:p>
        </w:tc>
        <w:tc>
          <w:tcPr>
            <w:tcW w:w="1058" w:type="dxa"/>
          </w:tcPr>
          <w:p w:rsidR="00EA40A3" w:rsidRDefault="00E86C16">
            <w:pPr>
              <w:spacing w:before="87" w:line="165" w:lineRule="auto"/>
              <w:ind w:left="328"/>
              <w:rPr>
                <w:rFonts w:ascii="宋体" w:eastAsia="宋体" w:hAnsi="宋体" w:cs="宋体"/>
                <w:sz w:val="17"/>
                <w:szCs w:val="17"/>
              </w:rPr>
            </w:pPr>
            <w:r>
              <w:rPr>
                <w:rFonts w:ascii="宋体" w:eastAsia="宋体" w:hAnsi="宋体" w:cs="宋体"/>
                <w:spacing w:val="-2"/>
                <w:sz w:val="17"/>
                <w:szCs w:val="17"/>
              </w:rPr>
              <w:t>3.73</w:t>
            </w:r>
          </w:p>
        </w:tc>
        <w:tc>
          <w:tcPr>
            <w:tcW w:w="1340" w:type="dxa"/>
          </w:tcPr>
          <w:p w:rsidR="00EA40A3" w:rsidRDefault="00EA40A3">
            <w:pPr>
              <w:spacing w:line="239" w:lineRule="exact"/>
              <w:rPr>
                <w:sz w:val="20"/>
              </w:rPr>
            </w:pPr>
          </w:p>
        </w:tc>
      </w:tr>
      <w:tr w:rsidR="00EA40A3">
        <w:trPr>
          <w:trHeight w:val="264"/>
        </w:trPr>
        <w:tc>
          <w:tcPr>
            <w:tcW w:w="1060" w:type="dxa"/>
          </w:tcPr>
          <w:p w:rsidR="00EA40A3" w:rsidRDefault="00E86C16">
            <w:pPr>
              <w:spacing w:before="34" w:line="219" w:lineRule="auto"/>
              <w:ind w:left="340"/>
              <w:rPr>
                <w:rFonts w:ascii="宋体" w:eastAsia="宋体" w:hAnsi="宋体" w:cs="宋体"/>
                <w:sz w:val="17"/>
                <w:szCs w:val="17"/>
              </w:rPr>
            </w:pPr>
            <w:r>
              <w:rPr>
                <w:rFonts w:ascii="宋体" w:eastAsia="宋体" w:hAnsi="宋体" w:cs="宋体"/>
                <w:spacing w:val="5"/>
                <w:sz w:val="17"/>
                <w:szCs w:val="17"/>
              </w:rPr>
              <w:t>玉米油</w:t>
            </w:r>
          </w:p>
        </w:tc>
        <w:tc>
          <w:tcPr>
            <w:tcW w:w="1055" w:type="dxa"/>
          </w:tcPr>
          <w:p w:rsidR="00EA40A3" w:rsidRDefault="00E86C16">
            <w:pPr>
              <w:spacing w:before="77" w:line="183" w:lineRule="auto"/>
              <w:ind w:left="380"/>
              <w:rPr>
                <w:rFonts w:ascii="宋体" w:eastAsia="宋体" w:hAnsi="宋体" w:cs="宋体"/>
                <w:sz w:val="17"/>
                <w:szCs w:val="17"/>
              </w:rPr>
            </w:pPr>
            <w:r>
              <w:rPr>
                <w:rFonts w:ascii="宋体" w:eastAsia="宋体" w:hAnsi="宋体" w:cs="宋体"/>
                <w:spacing w:val="-2"/>
                <w:sz w:val="17"/>
                <w:szCs w:val="17"/>
              </w:rPr>
              <w:t>48.3</w:t>
            </w:r>
          </w:p>
        </w:tc>
        <w:tc>
          <w:tcPr>
            <w:tcW w:w="877" w:type="dxa"/>
          </w:tcPr>
          <w:p w:rsidR="00EA40A3" w:rsidRDefault="00E86C16">
            <w:pPr>
              <w:spacing w:before="76" w:line="184" w:lineRule="auto"/>
              <w:ind w:left="285"/>
              <w:rPr>
                <w:rFonts w:ascii="宋体" w:eastAsia="宋体" w:hAnsi="宋体" w:cs="宋体"/>
                <w:sz w:val="17"/>
                <w:szCs w:val="17"/>
              </w:rPr>
            </w:pPr>
            <w:r>
              <w:rPr>
                <w:rFonts w:ascii="宋体" w:eastAsia="宋体" w:hAnsi="宋体" w:cs="宋体"/>
                <w:spacing w:val="-4"/>
                <w:sz w:val="17"/>
                <w:szCs w:val="17"/>
              </w:rPr>
              <w:t>15.2</w:t>
            </w:r>
          </w:p>
        </w:tc>
        <w:tc>
          <w:tcPr>
            <w:tcW w:w="1002" w:type="dxa"/>
          </w:tcPr>
          <w:p w:rsidR="00EA40A3" w:rsidRDefault="00E86C16">
            <w:pPr>
              <w:spacing w:before="107" w:line="170" w:lineRule="auto"/>
              <w:ind w:left="358"/>
              <w:rPr>
                <w:rFonts w:ascii="宋体" w:eastAsia="宋体" w:hAnsi="宋体" w:cs="宋体"/>
                <w:sz w:val="17"/>
                <w:szCs w:val="17"/>
              </w:rPr>
            </w:pPr>
            <w:r>
              <w:rPr>
                <w:rFonts w:ascii="宋体" w:eastAsia="宋体" w:hAnsi="宋体" w:cs="宋体"/>
                <w:spacing w:val="-2"/>
                <w:sz w:val="17"/>
                <w:szCs w:val="17"/>
              </w:rPr>
              <w:t>47.8</w:t>
            </w:r>
          </w:p>
        </w:tc>
        <w:tc>
          <w:tcPr>
            <w:tcW w:w="928" w:type="dxa"/>
          </w:tcPr>
          <w:p w:rsidR="00EA40A3" w:rsidRDefault="00E86C16">
            <w:pPr>
              <w:spacing w:before="98" w:line="180" w:lineRule="auto"/>
              <w:ind w:left="326"/>
              <w:rPr>
                <w:rFonts w:ascii="宋体" w:eastAsia="宋体" w:hAnsi="宋体" w:cs="宋体"/>
                <w:sz w:val="17"/>
                <w:szCs w:val="17"/>
              </w:rPr>
            </w:pPr>
            <w:r>
              <w:rPr>
                <w:rFonts w:ascii="宋体" w:eastAsia="宋体" w:hAnsi="宋体" w:cs="宋体"/>
                <w:spacing w:val="-2"/>
                <w:sz w:val="17"/>
                <w:szCs w:val="17"/>
              </w:rPr>
              <w:t>0.5</w:t>
            </w:r>
          </w:p>
        </w:tc>
        <w:tc>
          <w:tcPr>
            <w:tcW w:w="1058" w:type="dxa"/>
          </w:tcPr>
          <w:p w:rsidR="00EA40A3" w:rsidRDefault="00E86C16">
            <w:pPr>
              <w:spacing w:before="116" w:line="160" w:lineRule="auto"/>
              <w:ind w:left="328"/>
              <w:rPr>
                <w:rFonts w:ascii="宋体" w:eastAsia="宋体" w:hAnsi="宋体" w:cs="宋体"/>
                <w:sz w:val="17"/>
                <w:szCs w:val="17"/>
              </w:rPr>
            </w:pPr>
            <w:r>
              <w:rPr>
                <w:rFonts w:ascii="宋体" w:eastAsia="宋体" w:hAnsi="宋体" w:cs="宋体"/>
                <w:spacing w:val="-2"/>
                <w:sz w:val="17"/>
                <w:szCs w:val="17"/>
              </w:rPr>
              <w:t>3.18</w:t>
            </w:r>
          </w:p>
        </w:tc>
        <w:tc>
          <w:tcPr>
            <w:tcW w:w="1340" w:type="dxa"/>
          </w:tcPr>
          <w:p w:rsidR="00EA40A3" w:rsidRDefault="00E86C16">
            <w:pPr>
              <w:spacing w:before="117" w:line="159" w:lineRule="auto"/>
              <w:ind w:left="480"/>
              <w:rPr>
                <w:rFonts w:ascii="宋体" w:eastAsia="宋体" w:hAnsi="宋体" w:cs="宋体"/>
                <w:sz w:val="17"/>
                <w:szCs w:val="17"/>
              </w:rPr>
            </w:pPr>
            <w:r>
              <w:rPr>
                <w:rFonts w:ascii="宋体" w:eastAsia="宋体" w:hAnsi="宋体" w:cs="宋体"/>
                <w:spacing w:val="-2"/>
                <w:sz w:val="17"/>
                <w:szCs w:val="17"/>
              </w:rPr>
              <w:t>96.8</w:t>
            </w:r>
          </w:p>
        </w:tc>
      </w:tr>
      <w:tr w:rsidR="00EA40A3">
        <w:trPr>
          <w:trHeight w:val="255"/>
        </w:trPr>
        <w:tc>
          <w:tcPr>
            <w:tcW w:w="1060" w:type="dxa"/>
          </w:tcPr>
          <w:p w:rsidR="00EA40A3" w:rsidRDefault="00E86C16">
            <w:pPr>
              <w:spacing w:before="30" w:line="219" w:lineRule="auto"/>
              <w:ind w:left="340"/>
              <w:rPr>
                <w:rFonts w:ascii="宋体" w:eastAsia="宋体" w:hAnsi="宋体" w:cs="宋体"/>
                <w:sz w:val="17"/>
                <w:szCs w:val="17"/>
              </w:rPr>
            </w:pPr>
            <w:r>
              <w:rPr>
                <w:rFonts w:ascii="宋体" w:eastAsia="宋体" w:hAnsi="宋体" w:cs="宋体"/>
                <w:spacing w:val="5"/>
                <w:sz w:val="17"/>
                <w:szCs w:val="17"/>
              </w:rPr>
              <w:t>棉籽油</w:t>
            </w:r>
          </w:p>
        </w:tc>
        <w:tc>
          <w:tcPr>
            <w:tcW w:w="1055" w:type="dxa"/>
          </w:tcPr>
          <w:p w:rsidR="00EA40A3" w:rsidRDefault="00E86C16">
            <w:pPr>
              <w:spacing w:before="83" w:line="183" w:lineRule="auto"/>
              <w:ind w:left="380"/>
              <w:rPr>
                <w:rFonts w:ascii="宋体" w:eastAsia="宋体" w:hAnsi="宋体" w:cs="宋体"/>
                <w:sz w:val="17"/>
                <w:szCs w:val="17"/>
              </w:rPr>
            </w:pPr>
            <w:r>
              <w:rPr>
                <w:rFonts w:ascii="宋体" w:eastAsia="宋体" w:hAnsi="宋体" w:cs="宋体"/>
                <w:spacing w:val="-2"/>
                <w:sz w:val="17"/>
                <w:szCs w:val="17"/>
              </w:rPr>
              <w:t>55.6</w:t>
            </w:r>
          </w:p>
        </w:tc>
        <w:tc>
          <w:tcPr>
            <w:tcW w:w="877" w:type="dxa"/>
          </w:tcPr>
          <w:p w:rsidR="00EA40A3" w:rsidRDefault="00E86C16">
            <w:pPr>
              <w:spacing w:before="83" w:line="183" w:lineRule="auto"/>
              <w:ind w:left="285"/>
              <w:rPr>
                <w:rFonts w:ascii="宋体" w:eastAsia="宋体" w:hAnsi="宋体" w:cs="宋体"/>
                <w:sz w:val="17"/>
                <w:szCs w:val="17"/>
              </w:rPr>
            </w:pPr>
            <w:r>
              <w:rPr>
                <w:rFonts w:ascii="宋体" w:eastAsia="宋体" w:hAnsi="宋体" w:cs="宋体"/>
                <w:spacing w:val="-2"/>
                <w:sz w:val="17"/>
                <w:szCs w:val="17"/>
              </w:rPr>
              <w:t>27.9</w:t>
            </w:r>
          </w:p>
        </w:tc>
        <w:tc>
          <w:tcPr>
            <w:tcW w:w="1002" w:type="dxa"/>
          </w:tcPr>
          <w:p w:rsidR="00EA40A3" w:rsidRDefault="00E86C16">
            <w:pPr>
              <w:spacing w:before="93" w:line="175" w:lineRule="auto"/>
              <w:ind w:left="348"/>
              <w:rPr>
                <w:rFonts w:ascii="宋体" w:eastAsia="宋体" w:hAnsi="宋体" w:cs="宋体"/>
                <w:sz w:val="17"/>
                <w:szCs w:val="17"/>
              </w:rPr>
            </w:pPr>
            <w:r>
              <w:rPr>
                <w:rFonts w:ascii="宋体" w:eastAsia="宋体" w:hAnsi="宋体" w:cs="宋体"/>
                <w:spacing w:val="-2"/>
                <w:sz w:val="17"/>
                <w:szCs w:val="17"/>
              </w:rPr>
              <w:t>55.6</w:t>
            </w:r>
          </w:p>
        </w:tc>
        <w:tc>
          <w:tcPr>
            <w:tcW w:w="928" w:type="dxa"/>
          </w:tcPr>
          <w:p w:rsidR="00EA40A3" w:rsidRDefault="00EA40A3"/>
        </w:tc>
        <w:tc>
          <w:tcPr>
            <w:tcW w:w="1058" w:type="dxa"/>
          </w:tcPr>
          <w:p w:rsidR="00EA40A3" w:rsidRDefault="00E86C16">
            <w:pPr>
              <w:spacing w:before="103" w:line="165" w:lineRule="auto"/>
              <w:ind w:left="328"/>
              <w:rPr>
                <w:rFonts w:ascii="宋体" w:eastAsia="宋体" w:hAnsi="宋体" w:cs="宋体"/>
                <w:sz w:val="17"/>
                <w:szCs w:val="17"/>
              </w:rPr>
            </w:pPr>
            <w:r>
              <w:rPr>
                <w:rFonts w:ascii="宋体" w:eastAsia="宋体" w:hAnsi="宋体" w:cs="宋体"/>
                <w:spacing w:val="-2"/>
                <w:sz w:val="17"/>
                <w:szCs w:val="17"/>
              </w:rPr>
              <w:t>3.11</w:t>
            </w:r>
          </w:p>
        </w:tc>
        <w:tc>
          <w:tcPr>
            <w:tcW w:w="1340" w:type="dxa"/>
          </w:tcPr>
          <w:p w:rsidR="00EA40A3" w:rsidRDefault="00E86C16">
            <w:pPr>
              <w:spacing w:before="103" w:line="164" w:lineRule="auto"/>
              <w:ind w:left="480"/>
              <w:rPr>
                <w:rFonts w:ascii="宋体" w:eastAsia="宋体" w:hAnsi="宋体" w:cs="宋体"/>
                <w:sz w:val="17"/>
                <w:szCs w:val="17"/>
              </w:rPr>
            </w:pPr>
            <w:r>
              <w:rPr>
                <w:rFonts w:ascii="宋体" w:eastAsia="宋体" w:hAnsi="宋体" w:cs="宋体"/>
                <w:spacing w:val="-2"/>
                <w:sz w:val="17"/>
                <w:szCs w:val="17"/>
              </w:rPr>
              <w:t>97.2</w:t>
            </w:r>
          </w:p>
        </w:tc>
      </w:tr>
      <w:tr w:rsidR="00EA40A3">
        <w:trPr>
          <w:trHeight w:val="239"/>
        </w:trPr>
        <w:tc>
          <w:tcPr>
            <w:tcW w:w="1060" w:type="dxa"/>
          </w:tcPr>
          <w:p w:rsidR="00EA40A3" w:rsidRDefault="00E86C16">
            <w:pPr>
              <w:spacing w:before="36" w:line="220" w:lineRule="auto"/>
              <w:ind w:left="340"/>
              <w:rPr>
                <w:rFonts w:ascii="宋体" w:eastAsia="宋体" w:hAnsi="宋体" w:cs="宋体"/>
                <w:sz w:val="17"/>
                <w:szCs w:val="17"/>
              </w:rPr>
            </w:pPr>
            <w:r>
              <w:rPr>
                <w:rFonts w:ascii="宋体" w:eastAsia="宋体" w:hAnsi="宋体" w:cs="宋体"/>
                <w:spacing w:val="5"/>
                <w:sz w:val="17"/>
                <w:szCs w:val="17"/>
              </w:rPr>
              <w:t>花生油</w:t>
            </w:r>
          </w:p>
        </w:tc>
        <w:tc>
          <w:tcPr>
            <w:tcW w:w="1055" w:type="dxa"/>
          </w:tcPr>
          <w:p w:rsidR="00EA40A3" w:rsidRDefault="00E86C16">
            <w:pPr>
              <w:spacing w:before="68" w:line="183" w:lineRule="auto"/>
              <w:ind w:left="380"/>
              <w:rPr>
                <w:rFonts w:ascii="宋体" w:eastAsia="宋体" w:hAnsi="宋体" w:cs="宋体"/>
                <w:sz w:val="17"/>
                <w:szCs w:val="17"/>
              </w:rPr>
            </w:pPr>
            <w:r>
              <w:rPr>
                <w:rFonts w:ascii="宋体" w:eastAsia="宋体" w:hAnsi="宋体" w:cs="宋体"/>
                <w:spacing w:val="-2"/>
                <w:sz w:val="17"/>
                <w:szCs w:val="17"/>
              </w:rPr>
              <w:t>37.6</w:t>
            </w:r>
          </w:p>
        </w:tc>
        <w:tc>
          <w:tcPr>
            <w:tcW w:w="877" w:type="dxa"/>
          </w:tcPr>
          <w:p w:rsidR="00EA40A3" w:rsidRDefault="00E86C16">
            <w:pPr>
              <w:spacing w:before="77" w:line="175" w:lineRule="auto"/>
              <w:ind w:left="285"/>
              <w:rPr>
                <w:rFonts w:ascii="宋体" w:eastAsia="宋体" w:hAnsi="宋体" w:cs="宋体"/>
                <w:sz w:val="17"/>
                <w:szCs w:val="17"/>
              </w:rPr>
            </w:pPr>
            <w:r>
              <w:rPr>
                <w:rFonts w:ascii="宋体" w:eastAsia="宋体" w:hAnsi="宋体" w:cs="宋体"/>
                <w:spacing w:val="-4"/>
                <w:sz w:val="17"/>
                <w:szCs w:val="17"/>
              </w:rPr>
              <w:t>19.9</w:t>
            </w:r>
          </w:p>
        </w:tc>
        <w:tc>
          <w:tcPr>
            <w:tcW w:w="1002" w:type="dxa"/>
          </w:tcPr>
          <w:p w:rsidR="00EA40A3" w:rsidRDefault="00E86C16">
            <w:pPr>
              <w:spacing w:before="58" w:line="183" w:lineRule="auto"/>
              <w:ind w:left="348"/>
              <w:rPr>
                <w:rFonts w:ascii="宋体" w:eastAsia="宋体" w:hAnsi="宋体" w:cs="宋体"/>
                <w:sz w:val="17"/>
                <w:szCs w:val="17"/>
              </w:rPr>
            </w:pPr>
            <w:r>
              <w:rPr>
                <w:rFonts w:ascii="宋体" w:eastAsia="宋体" w:hAnsi="宋体" w:cs="宋体"/>
                <w:spacing w:val="-2"/>
                <w:sz w:val="17"/>
                <w:szCs w:val="17"/>
              </w:rPr>
              <w:t>37.6</w:t>
            </w:r>
          </w:p>
        </w:tc>
        <w:tc>
          <w:tcPr>
            <w:tcW w:w="928" w:type="dxa"/>
          </w:tcPr>
          <w:p w:rsidR="00EA40A3" w:rsidRDefault="00EA40A3">
            <w:pPr>
              <w:spacing w:line="239" w:lineRule="exact"/>
              <w:rPr>
                <w:sz w:val="20"/>
              </w:rPr>
            </w:pPr>
          </w:p>
        </w:tc>
        <w:tc>
          <w:tcPr>
            <w:tcW w:w="1058" w:type="dxa"/>
          </w:tcPr>
          <w:p w:rsidR="00EA40A3" w:rsidRDefault="00E86C16">
            <w:pPr>
              <w:spacing w:before="87" w:line="164" w:lineRule="auto"/>
              <w:ind w:left="328"/>
              <w:rPr>
                <w:rFonts w:ascii="宋体" w:eastAsia="宋体" w:hAnsi="宋体" w:cs="宋体"/>
                <w:sz w:val="17"/>
                <w:szCs w:val="17"/>
              </w:rPr>
            </w:pPr>
            <w:r>
              <w:rPr>
                <w:rFonts w:ascii="宋体" w:eastAsia="宋体" w:hAnsi="宋体" w:cs="宋体"/>
                <w:spacing w:val="-4"/>
                <w:sz w:val="17"/>
                <w:szCs w:val="17"/>
              </w:rPr>
              <w:t>1.89</w:t>
            </w:r>
          </w:p>
        </w:tc>
        <w:tc>
          <w:tcPr>
            <w:tcW w:w="1340" w:type="dxa"/>
          </w:tcPr>
          <w:p w:rsidR="00EA40A3" w:rsidRDefault="00E86C16">
            <w:pPr>
              <w:spacing w:before="98" w:line="141" w:lineRule="exact"/>
              <w:ind w:left="480"/>
              <w:rPr>
                <w:rFonts w:ascii="宋体" w:eastAsia="宋体" w:hAnsi="宋体" w:cs="宋体"/>
                <w:sz w:val="17"/>
                <w:szCs w:val="17"/>
              </w:rPr>
            </w:pPr>
            <w:r>
              <w:rPr>
                <w:rFonts w:ascii="宋体" w:eastAsia="宋体" w:hAnsi="宋体" w:cs="宋体"/>
                <w:spacing w:val="-2"/>
                <w:position w:val="-2"/>
                <w:sz w:val="17"/>
                <w:szCs w:val="17"/>
              </w:rPr>
              <w:t>98.3</w:t>
            </w:r>
          </w:p>
        </w:tc>
      </w:tr>
      <w:tr w:rsidR="00EA40A3">
        <w:trPr>
          <w:trHeight w:val="249"/>
        </w:trPr>
        <w:tc>
          <w:tcPr>
            <w:tcW w:w="1060" w:type="dxa"/>
          </w:tcPr>
          <w:p w:rsidR="00EA40A3" w:rsidRDefault="00E86C16">
            <w:pPr>
              <w:spacing w:before="26" w:line="219" w:lineRule="auto"/>
              <w:ind w:left="340"/>
              <w:rPr>
                <w:rFonts w:ascii="宋体" w:eastAsia="宋体" w:hAnsi="宋体" w:cs="宋体"/>
                <w:sz w:val="17"/>
                <w:szCs w:val="17"/>
              </w:rPr>
            </w:pPr>
            <w:r>
              <w:rPr>
                <w:rFonts w:ascii="宋体" w:eastAsia="宋体" w:hAnsi="宋体" w:cs="宋体"/>
                <w:spacing w:val="5"/>
                <w:sz w:val="17"/>
                <w:szCs w:val="17"/>
              </w:rPr>
              <w:t>米糠油</w:t>
            </w:r>
          </w:p>
        </w:tc>
        <w:tc>
          <w:tcPr>
            <w:tcW w:w="1055" w:type="dxa"/>
          </w:tcPr>
          <w:p w:rsidR="00EA40A3" w:rsidRDefault="00E86C16">
            <w:pPr>
              <w:spacing w:before="69" w:line="183" w:lineRule="auto"/>
              <w:ind w:left="380"/>
              <w:rPr>
                <w:rFonts w:ascii="宋体" w:eastAsia="宋体" w:hAnsi="宋体" w:cs="宋体"/>
                <w:sz w:val="17"/>
                <w:szCs w:val="17"/>
              </w:rPr>
            </w:pPr>
            <w:r>
              <w:rPr>
                <w:rFonts w:ascii="宋体" w:eastAsia="宋体" w:hAnsi="宋体" w:cs="宋体"/>
                <w:spacing w:val="-2"/>
                <w:sz w:val="17"/>
                <w:szCs w:val="17"/>
              </w:rPr>
              <w:t>35.2</w:t>
            </w:r>
          </w:p>
        </w:tc>
        <w:tc>
          <w:tcPr>
            <w:tcW w:w="877" w:type="dxa"/>
          </w:tcPr>
          <w:p w:rsidR="00EA40A3" w:rsidRDefault="00E86C16">
            <w:pPr>
              <w:spacing w:before="69" w:line="183" w:lineRule="auto"/>
              <w:ind w:left="285"/>
              <w:rPr>
                <w:rFonts w:ascii="宋体" w:eastAsia="宋体" w:hAnsi="宋体" w:cs="宋体"/>
                <w:sz w:val="17"/>
                <w:szCs w:val="17"/>
              </w:rPr>
            </w:pPr>
            <w:r>
              <w:rPr>
                <w:rFonts w:ascii="宋体" w:eastAsia="宋体" w:hAnsi="宋体" w:cs="宋体"/>
                <w:spacing w:val="-2"/>
                <w:sz w:val="17"/>
                <w:szCs w:val="17"/>
              </w:rPr>
              <w:t>20.8</w:t>
            </w:r>
          </w:p>
        </w:tc>
        <w:tc>
          <w:tcPr>
            <w:tcW w:w="1002" w:type="dxa"/>
          </w:tcPr>
          <w:p w:rsidR="00EA40A3" w:rsidRDefault="00E86C16">
            <w:pPr>
              <w:spacing w:before="69" w:line="183" w:lineRule="auto"/>
              <w:ind w:left="358"/>
              <w:rPr>
                <w:rFonts w:ascii="宋体" w:eastAsia="宋体" w:hAnsi="宋体" w:cs="宋体"/>
                <w:sz w:val="17"/>
                <w:szCs w:val="17"/>
              </w:rPr>
            </w:pPr>
            <w:r>
              <w:rPr>
                <w:rFonts w:ascii="宋体" w:eastAsia="宋体" w:hAnsi="宋体" w:cs="宋体"/>
                <w:spacing w:val="-2"/>
                <w:sz w:val="17"/>
                <w:szCs w:val="17"/>
              </w:rPr>
              <w:t>34.0</w:t>
            </w:r>
          </w:p>
        </w:tc>
        <w:tc>
          <w:tcPr>
            <w:tcW w:w="928" w:type="dxa"/>
          </w:tcPr>
          <w:p w:rsidR="00EA40A3" w:rsidRDefault="00E86C16">
            <w:pPr>
              <w:spacing w:before="69" w:line="184" w:lineRule="auto"/>
              <w:ind w:left="326"/>
              <w:rPr>
                <w:rFonts w:ascii="宋体" w:eastAsia="宋体" w:hAnsi="宋体" w:cs="宋体"/>
                <w:sz w:val="17"/>
                <w:szCs w:val="17"/>
              </w:rPr>
            </w:pPr>
            <w:r>
              <w:rPr>
                <w:rFonts w:ascii="宋体" w:eastAsia="宋体" w:hAnsi="宋体" w:cs="宋体"/>
                <w:spacing w:val="-5"/>
                <w:sz w:val="17"/>
                <w:szCs w:val="17"/>
              </w:rPr>
              <w:t>1.2</w:t>
            </w:r>
          </w:p>
        </w:tc>
        <w:tc>
          <w:tcPr>
            <w:tcW w:w="1058" w:type="dxa"/>
          </w:tcPr>
          <w:p w:rsidR="00EA40A3" w:rsidRDefault="00E86C16">
            <w:pPr>
              <w:spacing w:before="109" w:line="140" w:lineRule="exact"/>
              <w:ind w:left="328"/>
              <w:rPr>
                <w:rFonts w:ascii="宋体" w:eastAsia="宋体" w:hAnsi="宋体" w:cs="宋体"/>
                <w:sz w:val="17"/>
                <w:szCs w:val="17"/>
              </w:rPr>
            </w:pPr>
            <w:r>
              <w:rPr>
                <w:rFonts w:ascii="宋体" w:eastAsia="宋体" w:hAnsi="宋体" w:cs="宋体"/>
                <w:spacing w:val="-4"/>
                <w:position w:val="-2"/>
                <w:sz w:val="17"/>
                <w:szCs w:val="17"/>
              </w:rPr>
              <w:t>1.67</w:t>
            </w:r>
          </w:p>
        </w:tc>
        <w:tc>
          <w:tcPr>
            <w:tcW w:w="1340" w:type="dxa"/>
          </w:tcPr>
          <w:p w:rsidR="00EA40A3" w:rsidRDefault="00EA40A3"/>
        </w:tc>
      </w:tr>
      <w:tr w:rsidR="00EA40A3">
        <w:trPr>
          <w:trHeight w:val="244"/>
        </w:trPr>
        <w:tc>
          <w:tcPr>
            <w:tcW w:w="1060" w:type="dxa"/>
          </w:tcPr>
          <w:p w:rsidR="00EA40A3" w:rsidRDefault="00E86C16">
            <w:pPr>
              <w:spacing w:before="27" w:line="219" w:lineRule="auto"/>
              <w:ind w:left="340"/>
              <w:rPr>
                <w:rFonts w:ascii="宋体" w:eastAsia="宋体" w:hAnsi="宋体" w:cs="宋体"/>
                <w:sz w:val="17"/>
                <w:szCs w:val="17"/>
              </w:rPr>
            </w:pPr>
            <w:r>
              <w:rPr>
                <w:rFonts w:ascii="宋体" w:eastAsia="宋体" w:hAnsi="宋体" w:cs="宋体"/>
                <w:spacing w:val="5"/>
                <w:sz w:val="17"/>
                <w:szCs w:val="17"/>
              </w:rPr>
              <w:t>棕榈油</w:t>
            </w:r>
          </w:p>
        </w:tc>
        <w:tc>
          <w:tcPr>
            <w:tcW w:w="1055" w:type="dxa"/>
          </w:tcPr>
          <w:p w:rsidR="00EA40A3" w:rsidRDefault="00E86C16">
            <w:pPr>
              <w:spacing w:before="70" w:line="183" w:lineRule="auto"/>
              <w:ind w:left="420"/>
              <w:rPr>
                <w:rFonts w:ascii="宋体" w:eastAsia="宋体" w:hAnsi="宋体" w:cs="宋体"/>
                <w:sz w:val="17"/>
                <w:szCs w:val="17"/>
              </w:rPr>
            </w:pPr>
            <w:r>
              <w:rPr>
                <w:rFonts w:ascii="宋体" w:eastAsia="宋体" w:hAnsi="宋体" w:cs="宋体"/>
                <w:spacing w:val="-2"/>
                <w:sz w:val="17"/>
                <w:szCs w:val="17"/>
              </w:rPr>
              <w:t>9.0</w:t>
            </w:r>
          </w:p>
        </w:tc>
        <w:tc>
          <w:tcPr>
            <w:tcW w:w="877" w:type="dxa"/>
          </w:tcPr>
          <w:p w:rsidR="00EA40A3" w:rsidRDefault="00E86C16">
            <w:pPr>
              <w:spacing w:before="70" w:line="183" w:lineRule="auto"/>
              <w:ind w:left="285"/>
              <w:rPr>
                <w:rFonts w:ascii="宋体" w:eastAsia="宋体" w:hAnsi="宋体" w:cs="宋体"/>
                <w:sz w:val="17"/>
                <w:szCs w:val="17"/>
              </w:rPr>
            </w:pPr>
            <w:r>
              <w:rPr>
                <w:rFonts w:ascii="宋体" w:eastAsia="宋体" w:hAnsi="宋体" w:cs="宋体"/>
                <w:spacing w:val="-2"/>
                <w:sz w:val="17"/>
                <w:szCs w:val="17"/>
              </w:rPr>
              <w:t>53.0</w:t>
            </w:r>
          </w:p>
        </w:tc>
        <w:tc>
          <w:tcPr>
            <w:tcW w:w="1002" w:type="dxa"/>
          </w:tcPr>
          <w:p w:rsidR="00EA40A3" w:rsidRDefault="00E86C16">
            <w:pPr>
              <w:spacing w:before="70" w:line="183" w:lineRule="auto"/>
              <w:ind w:left="348"/>
              <w:rPr>
                <w:rFonts w:ascii="宋体" w:eastAsia="宋体" w:hAnsi="宋体" w:cs="宋体"/>
                <w:sz w:val="17"/>
                <w:szCs w:val="17"/>
              </w:rPr>
            </w:pPr>
            <w:r>
              <w:rPr>
                <w:rFonts w:ascii="宋体" w:eastAsia="宋体" w:hAnsi="宋体" w:cs="宋体"/>
                <w:spacing w:val="-2"/>
                <w:sz w:val="17"/>
                <w:szCs w:val="17"/>
              </w:rPr>
              <w:t>9.0</w:t>
            </w:r>
          </w:p>
        </w:tc>
        <w:tc>
          <w:tcPr>
            <w:tcW w:w="928" w:type="dxa"/>
          </w:tcPr>
          <w:p w:rsidR="00EA40A3" w:rsidRDefault="00EA40A3"/>
        </w:tc>
        <w:tc>
          <w:tcPr>
            <w:tcW w:w="1058" w:type="dxa"/>
          </w:tcPr>
          <w:p w:rsidR="00EA40A3" w:rsidRDefault="00E86C16">
            <w:pPr>
              <w:spacing w:before="100" w:line="144" w:lineRule="exact"/>
              <w:ind w:left="328"/>
              <w:rPr>
                <w:rFonts w:ascii="宋体" w:eastAsia="宋体" w:hAnsi="宋体" w:cs="宋体"/>
                <w:sz w:val="17"/>
                <w:szCs w:val="17"/>
              </w:rPr>
            </w:pPr>
            <w:r>
              <w:rPr>
                <w:rFonts w:ascii="宋体" w:eastAsia="宋体" w:hAnsi="宋体" w:cs="宋体"/>
                <w:spacing w:val="-2"/>
                <w:position w:val="-2"/>
                <w:sz w:val="17"/>
                <w:szCs w:val="17"/>
              </w:rPr>
              <w:t>0.16</w:t>
            </w:r>
          </w:p>
        </w:tc>
        <w:tc>
          <w:tcPr>
            <w:tcW w:w="1340" w:type="dxa"/>
          </w:tcPr>
          <w:p w:rsidR="00EA40A3" w:rsidRDefault="00E86C16">
            <w:pPr>
              <w:spacing w:before="100" w:line="144" w:lineRule="exact"/>
              <w:ind w:left="480"/>
              <w:rPr>
                <w:rFonts w:ascii="宋体" w:eastAsia="宋体" w:hAnsi="宋体" w:cs="宋体"/>
                <w:sz w:val="17"/>
                <w:szCs w:val="17"/>
              </w:rPr>
            </w:pPr>
            <w:r>
              <w:rPr>
                <w:rFonts w:ascii="宋体" w:eastAsia="宋体" w:hAnsi="宋体" w:cs="宋体"/>
                <w:spacing w:val="-2"/>
                <w:position w:val="-2"/>
                <w:sz w:val="17"/>
                <w:szCs w:val="17"/>
              </w:rPr>
              <w:t>98.0</w:t>
            </w:r>
          </w:p>
        </w:tc>
      </w:tr>
      <w:tr w:rsidR="00EA40A3">
        <w:trPr>
          <w:trHeight w:val="265"/>
        </w:trPr>
        <w:tc>
          <w:tcPr>
            <w:tcW w:w="1060" w:type="dxa"/>
          </w:tcPr>
          <w:p w:rsidR="00EA40A3" w:rsidRDefault="00E86C16">
            <w:pPr>
              <w:spacing w:before="33" w:line="220" w:lineRule="auto"/>
              <w:ind w:left="340"/>
              <w:rPr>
                <w:rFonts w:ascii="宋体" w:eastAsia="宋体" w:hAnsi="宋体" w:cs="宋体"/>
                <w:sz w:val="17"/>
                <w:szCs w:val="17"/>
              </w:rPr>
            </w:pPr>
            <w:r>
              <w:rPr>
                <w:rFonts w:ascii="宋体" w:eastAsia="宋体" w:hAnsi="宋体" w:cs="宋体"/>
                <w:spacing w:val="5"/>
                <w:sz w:val="17"/>
                <w:szCs w:val="17"/>
              </w:rPr>
              <w:t>椰子油</w:t>
            </w:r>
          </w:p>
        </w:tc>
        <w:tc>
          <w:tcPr>
            <w:tcW w:w="1055" w:type="dxa"/>
          </w:tcPr>
          <w:p w:rsidR="00EA40A3" w:rsidRDefault="00E86C16">
            <w:pPr>
              <w:spacing w:before="76" w:line="183" w:lineRule="auto"/>
              <w:ind w:left="420"/>
              <w:rPr>
                <w:rFonts w:ascii="宋体" w:eastAsia="宋体" w:hAnsi="宋体" w:cs="宋体"/>
                <w:sz w:val="17"/>
                <w:szCs w:val="17"/>
              </w:rPr>
            </w:pPr>
            <w:r>
              <w:rPr>
                <w:rFonts w:ascii="宋体" w:eastAsia="宋体" w:hAnsi="宋体" w:cs="宋体"/>
                <w:spacing w:val="-2"/>
                <w:sz w:val="17"/>
                <w:szCs w:val="17"/>
              </w:rPr>
              <w:t>8.5</w:t>
            </w:r>
          </w:p>
        </w:tc>
        <w:tc>
          <w:tcPr>
            <w:tcW w:w="877" w:type="dxa"/>
          </w:tcPr>
          <w:p w:rsidR="00EA40A3" w:rsidRDefault="00E86C16">
            <w:pPr>
              <w:spacing w:before="75" w:line="184" w:lineRule="auto"/>
              <w:ind w:left="285"/>
              <w:rPr>
                <w:rFonts w:ascii="宋体" w:eastAsia="宋体" w:hAnsi="宋体" w:cs="宋体"/>
                <w:sz w:val="17"/>
                <w:szCs w:val="17"/>
              </w:rPr>
            </w:pPr>
            <w:r>
              <w:rPr>
                <w:rFonts w:ascii="宋体" w:eastAsia="宋体" w:hAnsi="宋体" w:cs="宋体"/>
                <w:spacing w:val="-2"/>
                <w:sz w:val="17"/>
                <w:szCs w:val="17"/>
              </w:rPr>
              <w:t>91.5</w:t>
            </w:r>
          </w:p>
        </w:tc>
        <w:tc>
          <w:tcPr>
            <w:tcW w:w="1002" w:type="dxa"/>
          </w:tcPr>
          <w:p w:rsidR="00EA40A3" w:rsidRDefault="00E86C16">
            <w:pPr>
              <w:spacing w:before="76" w:line="183" w:lineRule="auto"/>
              <w:ind w:left="398"/>
              <w:rPr>
                <w:rFonts w:ascii="宋体" w:eastAsia="宋体" w:hAnsi="宋体" w:cs="宋体"/>
                <w:sz w:val="17"/>
                <w:szCs w:val="17"/>
              </w:rPr>
            </w:pPr>
            <w:r>
              <w:rPr>
                <w:rFonts w:ascii="宋体" w:eastAsia="宋体" w:hAnsi="宋体" w:cs="宋体"/>
                <w:spacing w:val="-2"/>
                <w:sz w:val="17"/>
                <w:szCs w:val="17"/>
              </w:rPr>
              <w:t>6.0</w:t>
            </w:r>
          </w:p>
        </w:tc>
        <w:tc>
          <w:tcPr>
            <w:tcW w:w="928" w:type="dxa"/>
          </w:tcPr>
          <w:p w:rsidR="00EA40A3" w:rsidRDefault="00E86C16">
            <w:pPr>
              <w:spacing w:before="76" w:line="183" w:lineRule="auto"/>
              <w:ind w:left="326"/>
              <w:rPr>
                <w:rFonts w:ascii="宋体" w:eastAsia="宋体" w:hAnsi="宋体" w:cs="宋体"/>
                <w:sz w:val="17"/>
                <w:szCs w:val="17"/>
              </w:rPr>
            </w:pPr>
            <w:r>
              <w:rPr>
                <w:rFonts w:ascii="宋体" w:eastAsia="宋体" w:hAnsi="宋体" w:cs="宋体"/>
                <w:spacing w:val="-2"/>
                <w:sz w:val="17"/>
                <w:szCs w:val="17"/>
              </w:rPr>
              <w:t>2.0</w:t>
            </w:r>
          </w:p>
        </w:tc>
        <w:tc>
          <w:tcPr>
            <w:tcW w:w="1058" w:type="dxa"/>
          </w:tcPr>
          <w:p w:rsidR="00EA40A3" w:rsidRDefault="00E86C16">
            <w:pPr>
              <w:spacing w:before="106" w:line="172" w:lineRule="auto"/>
              <w:ind w:left="328"/>
              <w:rPr>
                <w:rFonts w:ascii="宋体" w:eastAsia="宋体" w:hAnsi="宋体" w:cs="宋体"/>
                <w:sz w:val="17"/>
                <w:szCs w:val="17"/>
              </w:rPr>
            </w:pPr>
            <w:r>
              <w:rPr>
                <w:rFonts w:ascii="宋体" w:eastAsia="宋体" w:hAnsi="宋体" w:cs="宋体"/>
                <w:spacing w:val="-2"/>
                <w:sz w:val="17"/>
                <w:szCs w:val="17"/>
              </w:rPr>
              <w:t>0.06</w:t>
            </w:r>
          </w:p>
        </w:tc>
        <w:tc>
          <w:tcPr>
            <w:tcW w:w="1340" w:type="dxa"/>
          </w:tcPr>
          <w:p w:rsidR="00EA40A3" w:rsidRDefault="00E86C16">
            <w:pPr>
              <w:spacing w:before="106" w:line="172" w:lineRule="auto"/>
              <w:ind w:left="480"/>
              <w:rPr>
                <w:rFonts w:ascii="宋体" w:eastAsia="宋体" w:hAnsi="宋体" w:cs="宋体"/>
                <w:sz w:val="17"/>
                <w:szCs w:val="17"/>
              </w:rPr>
            </w:pPr>
            <w:r>
              <w:rPr>
                <w:rFonts w:ascii="宋体" w:eastAsia="宋体" w:hAnsi="宋体" w:cs="宋体"/>
                <w:spacing w:val="-2"/>
                <w:sz w:val="17"/>
                <w:szCs w:val="17"/>
              </w:rPr>
              <w:t>97.9</w:t>
            </w:r>
          </w:p>
        </w:tc>
      </w:tr>
      <w:tr w:rsidR="00EA40A3">
        <w:trPr>
          <w:trHeight w:val="235"/>
        </w:trPr>
        <w:tc>
          <w:tcPr>
            <w:tcW w:w="1060" w:type="dxa"/>
          </w:tcPr>
          <w:p w:rsidR="00EA40A3" w:rsidRDefault="00E86C16">
            <w:pPr>
              <w:spacing w:before="48" w:line="203" w:lineRule="auto"/>
              <w:ind w:left="350"/>
              <w:rPr>
                <w:rFonts w:ascii="宋体" w:eastAsia="宋体" w:hAnsi="宋体" w:cs="宋体"/>
                <w:sz w:val="17"/>
                <w:szCs w:val="17"/>
              </w:rPr>
            </w:pPr>
            <w:r>
              <w:rPr>
                <w:rFonts w:ascii="宋体" w:eastAsia="宋体" w:hAnsi="宋体" w:cs="宋体"/>
                <w:spacing w:val="8"/>
                <w:sz w:val="17"/>
                <w:szCs w:val="17"/>
              </w:rPr>
              <w:t>猪油</w:t>
            </w:r>
          </w:p>
        </w:tc>
        <w:tc>
          <w:tcPr>
            <w:tcW w:w="1055" w:type="dxa"/>
          </w:tcPr>
          <w:p w:rsidR="00EA40A3" w:rsidRDefault="00E86C16">
            <w:pPr>
              <w:spacing w:before="72" w:line="177" w:lineRule="auto"/>
              <w:ind w:left="420"/>
              <w:rPr>
                <w:rFonts w:ascii="宋体" w:eastAsia="宋体" w:hAnsi="宋体" w:cs="宋体"/>
                <w:sz w:val="17"/>
                <w:szCs w:val="17"/>
              </w:rPr>
            </w:pPr>
            <w:r>
              <w:rPr>
                <w:rFonts w:ascii="宋体" w:eastAsia="宋体" w:hAnsi="宋体" w:cs="宋体"/>
                <w:spacing w:val="-2"/>
                <w:sz w:val="17"/>
                <w:szCs w:val="17"/>
              </w:rPr>
              <w:t>8.5</w:t>
            </w:r>
          </w:p>
        </w:tc>
        <w:tc>
          <w:tcPr>
            <w:tcW w:w="877" w:type="dxa"/>
          </w:tcPr>
          <w:p w:rsidR="00EA40A3" w:rsidRDefault="00E86C16">
            <w:pPr>
              <w:spacing w:before="71" w:line="178" w:lineRule="auto"/>
              <w:ind w:left="285"/>
              <w:rPr>
                <w:rFonts w:ascii="宋体" w:eastAsia="宋体" w:hAnsi="宋体" w:cs="宋体"/>
                <w:sz w:val="17"/>
                <w:szCs w:val="17"/>
              </w:rPr>
            </w:pPr>
            <w:r>
              <w:rPr>
                <w:rFonts w:ascii="宋体" w:eastAsia="宋体" w:hAnsi="宋体" w:cs="宋体"/>
                <w:spacing w:val="-4"/>
                <w:sz w:val="17"/>
                <w:szCs w:val="17"/>
              </w:rPr>
              <w:t>12.7</w:t>
            </w:r>
          </w:p>
        </w:tc>
        <w:tc>
          <w:tcPr>
            <w:tcW w:w="1002" w:type="dxa"/>
          </w:tcPr>
          <w:p w:rsidR="00EA40A3" w:rsidRDefault="00E86C16">
            <w:pPr>
              <w:spacing w:before="72" w:line="177" w:lineRule="auto"/>
              <w:ind w:left="398"/>
              <w:rPr>
                <w:rFonts w:ascii="宋体" w:eastAsia="宋体" w:hAnsi="宋体" w:cs="宋体"/>
                <w:sz w:val="17"/>
                <w:szCs w:val="17"/>
              </w:rPr>
            </w:pPr>
            <w:r>
              <w:rPr>
                <w:rFonts w:ascii="宋体" w:eastAsia="宋体" w:hAnsi="宋体" w:cs="宋体"/>
                <w:spacing w:val="-2"/>
                <w:sz w:val="17"/>
                <w:szCs w:val="17"/>
              </w:rPr>
              <w:t>8.3</w:t>
            </w:r>
          </w:p>
        </w:tc>
        <w:tc>
          <w:tcPr>
            <w:tcW w:w="928" w:type="dxa"/>
          </w:tcPr>
          <w:p w:rsidR="00EA40A3" w:rsidRDefault="00E86C16">
            <w:pPr>
              <w:spacing w:before="91" w:line="143" w:lineRule="exact"/>
              <w:ind w:left="326"/>
              <w:rPr>
                <w:rFonts w:ascii="宋体" w:eastAsia="宋体" w:hAnsi="宋体" w:cs="宋体"/>
                <w:sz w:val="17"/>
                <w:szCs w:val="17"/>
              </w:rPr>
            </w:pPr>
            <w:r>
              <w:rPr>
                <w:rFonts w:ascii="宋体" w:eastAsia="宋体" w:hAnsi="宋体" w:cs="宋体"/>
                <w:spacing w:val="-2"/>
                <w:position w:val="-2"/>
                <w:sz w:val="17"/>
                <w:szCs w:val="17"/>
              </w:rPr>
              <w:t>0.2</w:t>
            </w:r>
          </w:p>
        </w:tc>
        <w:tc>
          <w:tcPr>
            <w:tcW w:w="1058" w:type="dxa"/>
          </w:tcPr>
          <w:p w:rsidR="00EA40A3" w:rsidRDefault="00E86C16">
            <w:pPr>
              <w:spacing w:before="91" w:line="143" w:lineRule="exact"/>
              <w:ind w:left="328"/>
              <w:rPr>
                <w:rFonts w:ascii="宋体" w:eastAsia="宋体" w:hAnsi="宋体" w:cs="宋体"/>
                <w:sz w:val="17"/>
                <w:szCs w:val="17"/>
              </w:rPr>
            </w:pPr>
            <w:r>
              <w:rPr>
                <w:rFonts w:ascii="宋体" w:eastAsia="宋体" w:hAnsi="宋体" w:cs="宋体"/>
                <w:spacing w:val="-2"/>
                <w:position w:val="-2"/>
                <w:sz w:val="17"/>
                <w:szCs w:val="17"/>
              </w:rPr>
              <w:t>0.20</w:t>
            </w:r>
          </w:p>
        </w:tc>
        <w:tc>
          <w:tcPr>
            <w:tcW w:w="1340" w:type="dxa"/>
          </w:tcPr>
          <w:p w:rsidR="00EA40A3" w:rsidRDefault="00E86C16">
            <w:pPr>
              <w:spacing w:before="91" w:line="143" w:lineRule="exact"/>
              <w:ind w:left="480"/>
              <w:rPr>
                <w:rFonts w:ascii="宋体" w:eastAsia="宋体" w:hAnsi="宋体" w:cs="宋体"/>
                <w:sz w:val="17"/>
                <w:szCs w:val="17"/>
              </w:rPr>
            </w:pPr>
            <w:r>
              <w:rPr>
                <w:rFonts w:ascii="宋体" w:eastAsia="宋体" w:hAnsi="宋体" w:cs="宋体"/>
                <w:spacing w:val="-2"/>
                <w:position w:val="-2"/>
                <w:sz w:val="17"/>
                <w:szCs w:val="17"/>
              </w:rPr>
              <w:t>97.0</w:t>
            </w:r>
          </w:p>
        </w:tc>
      </w:tr>
      <w:tr w:rsidR="00EA40A3">
        <w:trPr>
          <w:trHeight w:val="233"/>
        </w:trPr>
        <w:tc>
          <w:tcPr>
            <w:tcW w:w="1060" w:type="dxa"/>
          </w:tcPr>
          <w:p w:rsidR="00EA40A3" w:rsidRDefault="00E86C16">
            <w:pPr>
              <w:spacing w:before="34" w:line="216" w:lineRule="auto"/>
              <w:ind w:left="340"/>
              <w:rPr>
                <w:rFonts w:ascii="宋体" w:eastAsia="宋体" w:hAnsi="宋体" w:cs="宋体"/>
                <w:sz w:val="17"/>
                <w:szCs w:val="17"/>
              </w:rPr>
            </w:pPr>
            <w:r>
              <w:rPr>
                <w:rFonts w:ascii="宋体" w:eastAsia="宋体" w:hAnsi="宋体" w:cs="宋体"/>
                <w:spacing w:val="8"/>
                <w:sz w:val="17"/>
                <w:szCs w:val="17"/>
              </w:rPr>
              <w:t>牛油</w:t>
            </w:r>
          </w:p>
        </w:tc>
        <w:tc>
          <w:tcPr>
            <w:tcW w:w="1055" w:type="dxa"/>
          </w:tcPr>
          <w:p w:rsidR="00EA40A3" w:rsidRDefault="00E86C16">
            <w:pPr>
              <w:spacing w:before="76" w:line="170" w:lineRule="auto"/>
              <w:ind w:left="420"/>
              <w:rPr>
                <w:rFonts w:ascii="宋体" w:eastAsia="宋体" w:hAnsi="宋体" w:cs="宋体"/>
                <w:sz w:val="17"/>
                <w:szCs w:val="17"/>
              </w:rPr>
            </w:pPr>
            <w:r>
              <w:rPr>
                <w:rFonts w:ascii="宋体" w:eastAsia="宋体" w:hAnsi="宋体" w:cs="宋体"/>
                <w:spacing w:val="-2"/>
                <w:sz w:val="17"/>
                <w:szCs w:val="17"/>
              </w:rPr>
              <w:t>6.3</w:t>
            </w:r>
          </w:p>
        </w:tc>
        <w:tc>
          <w:tcPr>
            <w:tcW w:w="877" w:type="dxa"/>
          </w:tcPr>
          <w:p w:rsidR="00EA40A3" w:rsidRDefault="00E86C16">
            <w:pPr>
              <w:spacing w:before="76" w:line="170" w:lineRule="auto"/>
              <w:ind w:left="285"/>
              <w:rPr>
                <w:rFonts w:ascii="宋体" w:eastAsia="宋体" w:hAnsi="宋体" w:cs="宋体"/>
                <w:sz w:val="17"/>
                <w:szCs w:val="17"/>
              </w:rPr>
            </w:pPr>
            <w:r>
              <w:rPr>
                <w:rFonts w:ascii="宋体" w:eastAsia="宋体" w:hAnsi="宋体" w:cs="宋体"/>
                <w:spacing w:val="-2"/>
                <w:sz w:val="17"/>
                <w:szCs w:val="17"/>
              </w:rPr>
              <w:t>51.6</w:t>
            </w:r>
          </w:p>
        </w:tc>
        <w:tc>
          <w:tcPr>
            <w:tcW w:w="1002" w:type="dxa"/>
          </w:tcPr>
          <w:p w:rsidR="00EA40A3" w:rsidRDefault="00E86C16">
            <w:pPr>
              <w:spacing w:before="86" w:line="159" w:lineRule="auto"/>
              <w:ind w:left="398"/>
              <w:rPr>
                <w:rFonts w:ascii="宋体" w:eastAsia="宋体" w:hAnsi="宋体" w:cs="宋体"/>
                <w:sz w:val="17"/>
                <w:szCs w:val="17"/>
              </w:rPr>
            </w:pPr>
            <w:r>
              <w:rPr>
                <w:rFonts w:ascii="宋体" w:eastAsia="宋体" w:hAnsi="宋体" w:cs="宋体"/>
                <w:spacing w:val="-3"/>
                <w:sz w:val="17"/>
                <w:szCs w:val="17"/>
              </w:rPr>
              <w:t>3.9</w:t>
            </w:r>
          </w:p>
        </w:tc>
        <w:tc>
          <w:tcPr>
            <w:tcW w:w="928" w:type="dxa"/>
          </w:tcPr>
          <w:p w:rsidR="00EA40A3" w:rsidRDefault="00E86C16">
            <w:pPr>
              <w:spacing w:before="86" w:line="159" w:lineRule="auto"/>
              <w:ind w:left="326"/>
              <w:rPr>
                <w:rFonts w:ascii="宋体" w:eastAsia="宋体" w:hAnsi="宋体" w:cs="宋体"/>
                <w:sz w:val="17"/>
                <w:szCs w:val="17"/>
              </w:rPr>
            </w:pPr>
            <w:r>
              <w:rPr>
                <w:rFonts w:ascii="宋体" w:eastAsia="宋体" w:hAnsi="宋体" w:cs="宋体"/>
                <w:spacing w:val="-5"/>
                <w:sz w:val="17"/>
                <w:szCs w:val="17"/>
              </w:rPr>
              <w:t>1.3</w:t>
            </w:r>
          </w:p>
        </w:tc>
        <w:tc>
          <w:tcPr>
            <w:tcW w:w="1058" w:type="dxa"/>
          </w:tcPr>
          <w:p w:rsidR="00EA40A3" w:rsidRDefault="00E86C16">
            <w:pPr>
              <w:spacing w:before="86" w:line="159" w:lineRule="auto"/>
              <w:ind w:left="328"/>
              <w:rPr>
                <w:rFonts w:ascii="宋体" w:eastAsia="宋体" w:hAnsi="宋体" w:cs="宋体"/>
                <w:sz w:val="17"/>
                <w:szCs w:val="17"/>
              </w:rPr>
            </w:pPr>
            <w:r>
              <w:rPr>
                <w:rFonts w:ascii="宋体" w:eastAsia="宋体" w:hAnsi="宋体" w:cs="宋体"/>
                <w:spacing w:val="-2"/>
                <w:sz w:val="17"/>
                <w:szCs w:val="17"/>
              </w:rPr>
              <w:t>0.12</w:t>
            </w:r>
          </w:p>
        </w:tc>
        <w:tc>
          <w:tcPr>
            <w:tcW w:w="1340" w:type="dxa"/>
          </w:tcPr>
          <w:p w:rsidR="00EA40A3" w:rsidRDefault="00E86C16">
            <w:pPr>
              <w:spacing w:before="86" w:line="159" w:lineRule="auto"/>
              <w:ind w:left="480"/>
              <w:rPr>
                <w:rFonts w:ascii="宋体" w:eastAsia="宋体" w:hAnsi="宋体" w:cs="宋体"/>
                <w:sz w:val="17"/>
                <w:szCs w:val="17"/>
              </w:rPr>
            </w:pPr>
            <w:r>
              <w:rPr>
                <w:rFonts w:ascii="宋体" w:eastAsia="宋体" w:hAnsi="宋体" w:cs="宋体"/>
                <w:spacing w:val="-2"/>
                <w:sz w:val="17"/>
                <w:szCs w:val="17"/>
              </w:rPr>
              <w:t>87.0</w:t>
            </w:r>
          </w:p>
        </w:tc>
      </w:tr>
      <w:tr w:rsidR="00EA40A3">
        <w:trPr>
          <w:trHeight w:val="250"/>
        </w:trPr>
        <w:tc>
          <w:tcPr>
            <w:tcW w:w="1060" w:type="dxa"/>
          </w:tcPr>
          <w:p w:rsidR="00EA40A3" w:rsidRDefault="00E86C16">
            <w:pPr>
              <w:spacing w:before="40" w:line="219" w:lineRule="auto"/>
              <w:ind w:left="350"/>
              <w:rPr>
                <w:rFonts w:ascii="宋体" w:eastAsia="宋体" w:hAnsi="宋体" w:cs="宋体"/>
                <w:sz w:val="17"/>
                <w:szCs w:val="17"/>
              </w:rPr>
            </w:pPr>
            <w:r>
              <w:rPr>
                <w:rFonts w:ascii="宋体" w:eastAsia="宋体" w:hAnsi="宋体" w:cs="宋体"/>
                <w:spacing w:val="8"/>
                <w:sz w:val="17"/>
                <w:szCs w:val="17"/>
              </w:rPr>
              <w:t>黄油</w:t>
            </w:r>
          </w:p>
        </w:tc>
        <w:tc>
          <w:tcPr>
            <w:tcW w:w="1055" w:type="dxa"/>
          </w:tcPr>
          <w:p w:rsidR="00EA40A3" w:rsidRDefault="00E86C16">
            <w:pPr>
              <w:spacing w:before="103" w:line="159" w:lineRule="auto"/>
              <w:ind w:left="420"/>
              <w:rPr>
                <w:rFonts w:ascii="宋体" w:eastAsia="宋体" w:hAnsi="宋体" w:cs="宋体"/>
                <w:sz w:val="17"/>
                <w:szCs w:val="17"/>
              </w:rPr>
            </w:pPr>
            <w:r>
              <w:rPr>
                <w:rFonts w:ascii="宋体" w:eastAsia="宋体" w:hAnsi="宋体" w:cs="宋体"/>
                <w:spacing w:val="-3"/>
                <w:sz w:val="17"/>
                <w:szCs w:val="17"/>
              </w:rPr>
              <w:t>5.8</w:t>
            </w:r>
          </w:p>
        </w:tc>
        <w:tc>
          <w:tcPr>
            <w:tcW w:w="877" w:type="dxa"/>
          </w:tcPr>
          <w:p w:rsidR="00EA40A3" w:rsidRDefault="00E86C16">
            <w:pPr>
              <w:spacing w:before="103" w:line="159" w:lineRule="auto"/>
              <w:ind w:left="285"/>
              <w:rPr>
                <w:rFonts w:ascii="宋体" w:eastAsia="宋体" w:hAnsi="宋体" w:cs="宋体"/>
                <w:sz w:val="17"/>
                <w:szCs w:val="17"/>
              </w:rPr>
            </w:pPr>
            <w:r>
              <w:rPr>
                <w:rFonts w:ascii="宋体" w:eastAsia="宋体" w:hAnsi="宋体" w:cs="宋体"/>
                <w:spacing w:val="-2"/>
                <w:sz w:val="17"/>
                <w:szCs w:val="17"/>
              </w:rPr>
              <w:t>58.3</w:t>
            </w:r>
          </w:p>
        </w:tc>
        <w:tc>
          <w:tcPr>
            <w:tcW w:w="1002" w:type="dxa"/>
          </w:tcPr>
          <w:p w:rsidR="00EA40A3" w:rsidRDefault="00E86C16">
            <w:pPr>
              <w:spacing w:before="103" w:line="159" w:lineRule="auto"/>
              <w:ind w:left="398"/>
              <w:rPr>
                <w:rFonts w:ascii="宋体" w:eastAsia="宋体" w:hAnsi="宋体" w:cs="宋体"/>
                <w:sz w:val="17"/>
                <w:szCs w:val="17"/>
              </w:rPr>
            </w:pPr>
            <w:r>
              <w:rPr>
                <w:rFonts w:ascii="宋体" w:eastAsia="宋体" w:hAnsi="宋体" w:cs="宋体"/>
                <w:spacing w:val="-3"/>
                <w:sz w:val="17"/>
                <w:szCs w:val="17"/>
              </w:rPr>
              <w:t>3.6</w:t>
            </w:r>
          </w:p>
        </w:tc>
        <w:tc>
          <w:tcPr>
            <w:tcW w:w="928" w:type="dxa"/>
          </w:tcPr>
          <w:p w:rsidR="00EA40A3" w:rsidRDefault="00E86C16">
            <w:pPr>
              <w:spacing w:before="103" w:line="159" w:lineRule="auto"/>
              <w:ind w:left="326"/>
              <w:rPr>
                <w:rFonts w:ascii="宋体" w:eastAsia="宋体" w:hAnsi="宋体" w:cs="宋体"/>
                <w:sz w:val="17"/>
                <w:szCs w:val="17"/>
              </w:rPr>
            </w:pPr>
            <w:r>
              <w:rPr>
                <w:rFonts w:ascii="宋体" w:eastAsia="宋体" w:hAnsi="宋体" w:cs="宋体"/>
                <w:spacing w:val="-5"/>
                <w:sz w:val="17"/>
                <w:szCs w:val="17"/>
              </w:rPr>
              <w:t>1.3</w:t>
            </w:r>
          </w:p>
        </w:tc>
        <w:tc>
          <w:tcPr>
            <w:tcW w:w="1058" w:type="dxa"/>
          </w:tcPr>
          <w:p w:rsidR="00EA40A3" w:rsidRDefault="00E86C16">
            <w:pPr>
              <w:spacing w:before="103" w:line="159" w:lineRule="auto"/>
              <w:ind w:left="328"/>
              <w:rPr>
                <w:rFonts w:ascii="宋体" w:eastAsia="宋体" w:hAnsi="宋体" w:cs="宋体"/>
                <w:sz w:val="17"/>
                <w:szCs w:val="17"/>
              </w:rPr>
            </w:pPr>
            <w:r>
              <w:rPr>
                <w:rFonts w:ascii="宋体" w:eastAsia="宋体" w:hAnsi="宋体" w:cs="宋体"/>
                <w:spacing w:val="-2"/>
                <w:sz w:val="17"/>
                <w:szCs w:val="17"/>
              </w:rPr>
              <w:t>0.10</w:t>
            </w:r>
          </w:p>
        </w:tc>
        <w:tc>
          <w:tcPr>
            <w:tcW w:w="1340" w:type="dxa"/>
          </w:tcPr>
          <w:p w:rsidR="00EA40A3" w:rsidRDefault="00E86C16">
            <w:pPr>
              <w:spacing w:before="103" w:line="159" w:lineRule="auto"/>
              <w:ind w:left="480"/>
              <w:rPr>
                <w:rFonts w:ascii="宋体" w:eastAsia="宋体" w:hAnsi="宋体" w:cs="宋体"/>
                <w:sz w:val="17"/>
                <w:szCs w:val="17"/>
              </w:rPr>
            </w:pPr>
            <w:r>
              <w:rPr>
                <w:rFonts w:ascii="宋体" w:eastAsia="宋体" w:hAnsi="宋体" w:cs="宋体"/>
                <w:spacing w:val="-2"/>
                <w:sz w:val="17"/>
                <w:szCs w:val="17"/>
              </w:rPr>
              <w:t>98.0</w:t>
            </w:r>
          </w:p>
        </w:tc>
      </w:tr>
      <w:tr w:rsidR="00EA40A3">
        <w:trPr>
          <w:trHeight w:val="228"/>
        </w:trPr>
        <w:tc>
          <w:tcPr>
            <w:tcW w:w="1060" w:type="dxa"/>
            <w:tcBorders>
              <w:bottom w:val="single" w:sz="4" w:space="0" w:color="000000"/>
            </w:tcBorders>
          </w:tcPr>
          <w:p w:rsidR="00EA40A3" w:rsidRDefault="00E86C16">
            <w:pPr>
              <w:spacing w:before="40" w:line="204" w:lineRule="auto"/>
              <w:ind w:left="350"/>
              <w:rPr>
                <w:rFonts w:ascii="宋体" w:eastAsia="宋体" w:hAnsi="宋体" w:cs="宋体"/>
                <w:sz w:val="17"/>
                <w:szCs w:val="17"/>
              </w:rPr>
            </w:pPr>
            <w:r>
              <w:rPr>
                <w:rFonts w:ascii="宋体" w:eastAsia="宋体" w:hAnsi="宋体" w:cs="宋体"/>
                <w:spacing w:val="8"/>
                <w:sz w:val="17"/>
                <w:szCs w:val="17"/>
              </w:rPr>
              <w:t>羊油</w:t>
            </w:r>
          </w:p>
        </w:tc>
        <w:tc>
          <w:tcPr>
            <w:tcW w:w="1055" w:type="dxa"/>
            <w:tcBorders>
              <w:bottom w:val="single" w:sz="4" w:space="0" w:color="000000"/>
            </w:tcBorders>
          </w:tcPr>
          <w:p w:rsidR="00EA40A3" w:rsidRDefault="00E86C16">
            <w:pPr>
              <w:spacing w:before="93" w:line="134" w:lineRule="exact"/>
              <w:ind w:left="420"/>
              <w:rPr>
                <w:rFonts w:ascii="宋体" w:eastAsia="宋体" w:hAnsi="宋体" w:cs="宋体"/>
                <w:sz w:val="17"/>
                <w:szCs w:val="17"/>
              </w:rPr>
            </w:pPr>
            <w:r>
              <w:rPr>
                <w:rFonts w:ascii="宋体" w:eastAsia="宋体" w:hAnsi="宋体" w:cs="宋体"/>
                <w:spacing w:val="-3"/>
                <w:position w:val="-2"/>
                <w:sz w:val="17"/>
                <w:szCs w:val="17"/>
              </w:rPr>
              <w:t>3.4</w:t>
            </w:r>
          </w:p>
        </w:tc>
        <w:tc>
          <w:tcPr>
            <w:tcW w:w="877" w:type="dxa"/>
            <w:tcBorders>
              <w:bottom w:val="single" w:sz="4" w:space="0" w:color="000000"/>
            </w:tcBorders>
          </w:tcPr>
          <w:p w:rsidR="00EA40A3" w:rsidRDefault="00E86C16">
            <w:pPr>
              <w:spacing w:before="93" w:line="134" w:lineRule="exact"/>
              <w:ind w:left="285"/>
              <w:rPr>
                <w:rFonts w:ascii="宋体" w:eastAsia="宋体" w:hAnsi="宋体" w:cs="宋体"/>
                <w:sz w:val="17"/>
                <w:szCs w:val="17"/>
              </w:rPr>
            </w:pPr>
            <w:r>
              <w:rPr>
                <w:rFonts w:ascii="宋体" w:eastAsia="宋体" w:hAnsi="宋体" w:cs="宋体"/>
                <w:spacing w:val="-2"/>
                <w:position w:val="-2"/>
                <w:sz w:val="17"/>
                <w:szCs w:val="17"/>
              </w:rPr>
              <w:t>62.6</w:t>
            </w:r>
          </w:p>
        </w:tc>
        <w:tc>
          <w:tcPr>
            <w:tcW w:w="1002" w:type="dxa"/>
            <w:tcBorders>
              <w:bottom w:val="single" w:sz="4" w:space="0" w:color="000000"/>
            </w:tcBorders>
          </w:tcPr>
          <w:p w:rsidR="00EA40A3" w:rsidRDefault="00E86C16">
            <w:pPr>
              <w:spacing w:before="103" w:line="124" w:lineRule="exact"/>
              <w:ind w:left="398"/>
              <w:rPr>
                <w:rFonts w:ascii="宋体" w:eastAsia="宋体" w:hAnsi="宋体" w:cs="宋体"/>
                <w:sz w:val="17"/>
                <w:szCs w:val="17"/>
              </w:rPr>
            </w:pPr>
            <w:r>
              <w:rPr>
                <w:rFonts w:ascii="宋体" w:eastAsia="宋体" w:hAnsi="宋体" w:cs="宋体"/>
                <w:spacing w:val="-2"/>
                <w:position w:val="-2"/>
                <w:sz w:val="17"/>
                <w:szCs w:val="17"/>
              </w:rPr>
              <w:t>2.0</w:t>
            </w:r>
          </w:p>
        </w:tc>
        <w:tc>
          <w:tcPr>
            <w:tcW w:w="928" w:type="dxa"/>
            <w:tcBorders>
              <w:bottom w:val="single" w:sz="4" w:space="0" w:color="000000"/>
            </w:tcBorders>
          </w:tcPr>
          <w:p w:rsidR="00EA40A3" w:rsidRDefault="00E86C16">
            <w:pPr>
              <w:spacing w:before="103" w:line="124" w:lineRule="exact"/>
              <w:ind w:left="326"/>
              <w:rPr>
                <w:rFonts w:ascii="宋体" w:eastAsia="宋体" w:hAnsi="宋体" w:cs="宋体"/>
                <w:sz w:val="17"/>
                <w:szCs w:val="17"/>
              </w:rPr>
            </w:pPr>
            <w:r>
              <w:rPr>
                <w:rFonts w:ascii="宋体" w:eastAsia="宋体" w:hAnsi="宋体" w:cs="宋体"/>
                <w:spacing w:val="-2"/>
                <w:position w:val="-2"/>
                <w:sz w:val="17"/>
                <w:szCs w:val="17"/>
              </w:rPr>
              <w:t>0.8</w:t>
            </w:r>
          </w:p>
        </w:tc>
        <w:tc>
          <w:tcPr>
            <w:tcW w:w="1058" w:type="dxa"/>
            <w:tcBorders>
              <w:bottom w:val="single" w:sz="4" w:space="0" w:color="000000"/>
            </w:tcBorders>
          </w:tcPr>
          <w:p w:rsidR="00EA40A3" w:rsidRDefault="00E86C16">
            <w:pPr>
              <w:spacing w:before="103" w:line="124" w:lineRule="exact"/>
              <w:ind w:left="328"/>
              <w:rPr>
                <w:rFonts w:ascii="宋体" w:eastAsia="宋体" w:hAnsi="宋体" w:cs="宋体"/>
                <w:sz w:val="17"/>
                <w:szCs w:val="17"/>
              </w:rPr>
            </w:pPr>
            <w:r>
              <w:rPr>
                <w:rFonts w:ascii="宋体" w:eastAsia="宋体" w:hAnsi="宋体" w:cs="宋体"/>
                <w:spacing w:val="-2"/>
                <w:position w:val="-2"/>
                <w:sz w:val="17"/>
                <w:szCs w:val="17"/>
              </w:rPr>
              <w:t>0.05</w:t>
            </w:r>
          </w:p>
        </w:tc>
        <w:tc>
          <w:tcPr>
            <w:tcW w:w="1340" w:type="dxa"/>
            <w:tcBorders>
              <w:bottom w:val="single" w:sz="4" w:space="0" w:color="000000"/>
            </w:tcBorders>
          </w:tcPr>
          <w:p w:rsidR="00EA40A3" w:rsidRDefault="00E86C16">
            <w:pPr>
              <w:spacing w:before="103" w:line="124" w:lineRule="exact"/>
              <w:ind w:left="480"/>
              <w:rPr>
                <w:rFonts w:ascii="宋体" w:eastAsia="宋体" w:hAnsi="宋体" w:cs="宋体"/>
                <w:sz w:val="17"/>
                <w:szCs w:val="17"/>
              </w:rPr>
            </w:pPr>
            <w:r>
              <w:rPr>
                <w:rFonts w:ascii="宋体" w:eastAsia="宋体" w:hAnsi="宋体" w:cs="宋体"/>
                <w:spacing w:val="-2"/>
                <w:position w:val="-2"/>
                <w:sz w:val="17"/>
                <w:szCs w:val="17"/>
              </w:rPr>
              <w:t>88.0</w:t>
            </w:r>
          </w:p>
        </w:tc>
      </w:tr>
    </w:tbl>
    <w:p w:rsidR="00EA40A3" w:rsidRDefault="00E86C16">
      <w:pPr>
        <w:spacing w:before="99" w:line="206" w:lineRule="auto"/>
        <w:ind w:left="369"/>
        <w:rPr>
          <w:rFonts w:ascii="宋体" w:eastAsia="宋体" w:hAnsi="宋体" w:cs="宋体"/>
          <w:sz w:val="20"/>
          <w:szCs w:val="20"/>
        </w:rPr>
      </w:pPr>
      <w:r>
        <w:rPr>
          <w:rFonts w:ascii="宋体" w:eastAsia="宋体" w:hAnsi="宋体" w:cs="宋体"/>
          <w:spacing w:val="-15"/>
          <w:w w:val="91"/>
          <w:sz w:val="20"/>
          <w:szCs w:val="20"/>
        </w:rPr>
        <w:t>,P/S值指多不饱和脂肪酸与饱和脂肪酸之比</w:t>
      </w:r>
    </w:p>
    <w:p w:rsidR="00EA40A3" w:rsidRDefault="00E86C16">
      <w:pPr>
        <w:spacing w:before="1" w:line="219" w:lineRule="auto"/>
        <w:ind w:left="360"/>
        <w:rPr>
          <w:rFonts w:ascii="宋体" w:eastAsia="宋体" w:hAnsi="宋体" w:cs="宋体"/>
          <w:sz w:val="20"/>
          <w:szCs w:val="20"/>
        </w:rPr>
      </w:pPr>
      <w:r>
        <w:rPr>
          <w:rFonts w:ascii="宋体" w:eastAsia="宋体" w:hAnsi="宋体" w:cs="宋体"/>
          <w:spacing w:val="-21"/>
          <w:w w:val="91"/>
          <w:sz w:val="20"/>
          <w:szCs w:val="20"/>
        </w:rPr>
        <w:t>资料来源：王尔茂.2004.食品营养与卫生.北京：中国轻工业出版社</w:t>
      </w:r>
    </w:p>
    <w:p w:rsidR="00EA40A3" w:rsidRDefault="00EA40A3">
      <w:pPr>
        <w:spacing w:line="312" w:lineRule="auto"/>
      </w:pPr>
    </w:p>
    <w:p w:rsidR="00EA40A3" w:rsidRDefault="00E86C16">
      <w:pPr>
        <w:spacing w:before="75" w:line="220" w:lineRule="auto"/>
        <w:rPr>
          <w:rFonts w:ascii="仿宋" w:eastAsia="仿宋" w:hAnsi="仿宋" w:cs="仿宋"/>
          <w:sz w:val="23"/>
          <w:szCs w:val="23"/>
        </w:rPr>
      </w:pPr>
      <w:r>
        <w:rPr>
          <w:rFonts w:ascii="仿宋" w:eastAsia="仿宋" w:hAnsi="仿宋" w:cs="仿宋"/>
          <w:spacing w:val="5"/>
          <w:sz w:val="23"/>
          <w:szCs w:val="23"/>
        </w:rPr>
        <w:t>3.</w:t>
      </w:r>
      <w:r>
        <w:rPr>
          <w:rFonts w:ascii="仿宋" w:eastAsia="仿宋" w:hAnsi="仿宋" w:cs="仿宋"/>
          <w:spacing w:val="-46"/>
          <w:sz w:val="23"/>
          <w:szCs w:val="23"/>
        </w:rPr>
        <w:t xml:space="preserve"> </w:t>
      </w:r>
      <w:r>
        <w:rPr>
          <w:rFonts w:ascii="仿宋" w:eastAsia="仿宋" w:hAnsi="仿宋" w:cs="仿宋"/>
          <w:spacing w:val="5"/>
          <w:sz w:val="23"/>
          <w:szCs w:val="23"/>
        </w:rPr>
        <w:t>脂溶性维生素含量</w:t>
      </w:r>
    </w:p>
    <w:p w:rsidR="00EA40A3" w:rsidRDefault="00E86C16">
      <w:pPr>
        <w:spacing w:before="197" w:line="263" w:lineRule="auto"/>
        <w:ind w:right="39" w:firstLine="430"/>
        <w:jc w:val="both"/>
        <w:rPr>
          <w:rFonts w:ascii="宋体" w:eastAsia="宋体" w:hAnsi="宋体" w:cs="宋体"/>
          <w:sz w:val="20"/>
          <w:szCs w:val="20"/>
        </w:rPr>
      </w:pPr>
      <w:r>
        <w:rPr>
          <w:rFonts w:ascii="宋体" w:eastAsia="宋体" w:hAnsi="宋体" w:cs="宋体"/>
          <w:spacing w:val="8"/>
          <w:sz w:val="20"/>
          <w:szCs w:val="20"/>
        </w:rPr>
        <w:t>脂溶性维生素存在于多数食物的脂肪中，以鲨鱼肝油中的含量为最</w:t>
      </w:r>
      <w:r>
        <w:rPr>
          <w:rFonts w:ascii="宋体" w:eastAsia="宋体" w:hAnsi="宋体" w:cs="宋体"/>
          <w:spacing w:val="7"/>
          <w:sz w:val="20"/>
          <w:szCs w:val="20"/>
        </w:rPr>
        <w:t>多，奶油</w:t>
      </w:r>
      <w:r>
        <w:rPr>
          <w:rFonts w:ascii="宋体" w:eastAsia="宋体" w:hAnsi="宋体" w:cs="宋体"/>
          <w:sz w:val="20"/>
          <w:szCs w:val="20"/>
        </w:rPr>
        <w:t xml:space="preserve"> </w:t>
      </w:r>
      <w:r>
        <w:rPr>
          <w:rFonts w:ascii="宋体" w:eastAsia="宋体" w:hAnsi="宋体" w:cs="宋体"/>
          <w:spacing w:val="6"/>
          <w:sz w:val="20"/>
          <w:szCs w:val="20"/>
        </w:rPr>
        <w:t>次之，猪油中几乎不含维生素</w:t>
      </w:r>
      <w:r>
        <w:rPr>
          <w:rFonts w:ascii="宋体" w:eastAsia="宋体" w:hAnsi="宋体" w:cs="宋体"/>
          <w:spacing w:val="-47"/>
          <w:sz w:val="20"/>
          <w:szCs w:val="20"/>
        </w:rPr>
        <w:t xml:space="preserve"> </w:t>
      </w:r>
      <w:r>
        <w:rPr>
          <w:rFonts w:ascii="宋体" w:eastAsia="宋体" w:hAnsi="宋体" w:cs="宋体"/>
          <w:spacing w:val="6"/>
          <w:sz w:val="20"/>
          <w:szCs w:val="20"/>
        </w:rPr>
        <w:t>A</w:t>
      </w:r>
      <w:r>
        <w:rPr>
          <w:rFonts w:ascii="宋体" w:eastAsia="宋体" w:hAnsi="宋体" w:cs="宋体"/>
          <w:spacing w:val="32"/>
          <w:sz w:val="20"/>
          <w:szCs w:val="20"/>
        </w:rPr>
        <w:t xml:space="preserve"> </w:t>
      </w:r>
      <w:r>
        <w:rPr>
          <w:rFonts w:ascii="宋体" w:eastAsia="宋体" w:hAnsi="宋体" w:cs="宋体"/>
          <w:spacing w:val="6"/>
          <w:sz w:val="20"/>
          <w:szCs w:val="20"/>
        </w:rPr>
        <w:t>和维生素</w:t>
      </w:r>
      <w:r>
        <w:rPr>
          <w:rFonts w:ascii="宋体" w:eastAsia="宋体" w:hAnsi="宋体" w:cs="宋体"/>
          <w:spacing w:val="-59"/>
          <w:sz w:val="20"/>
          <w:szCs w:val="20"/>
        </w:rPr>
        <w:t xml:space="preserve"> </w:t>
      </w:r>
      <w:r>
        <w:rPr>
          <w:rFonts w:ascii="宋体" w:eastAsia="宋体" w:hAnsi="宋体" w:cs="宋体"/>
          <w:spacing w:val="6"/>
          <w:sz w:val="20"/>
          <w:szCs w:val="20"/>
        </w:rPr>
        <w:t>D,</w:t>
      </w:r>
      <w:r>
        <w:rPr>
          <w:rFonts w:ascii="宋体" w:eastAsia="宋体" w:hAnsi="宋体" w:cs="宋体"/>
          <w:spacing w:val="74"/>
          <w:sz w:val="20"/>
          <w:szCs w:val="20"/>
        </w:rPr>
        <w:t xml:space="preserve"> </w:t>
      </w:r>
      <w:r>
        <w:rPr>
          <w:rFonts w:ascii="宋体" w:eastAsia="宋体" w:hAnsi="宋体" w:cs="宋体"/>
          <w:spacing w:val="6"/>
          <w:sz w:val="20"/>
          <w:szCs w:val="20"/>
        </w:rPr>
        <w:t>所以营养价值较低。</w:t>
      </w:r>
      <w:r>
        <w:rPr>
          <w:rFonts w:ascii="宋体" w:eastAsia="宋体" w:hAnsi="宋体" w:cs="宋体"/>
          <w:spacing w:val="54"/>
          <w:sz w:val="20"/>
          <w:szCs w:val="20"/>
        </w:rPr>
        <w:t xml:space="preserve"> </w:t>
      </w:r>
      <w:r>
        <w:rPr>
          <w:rFonts w:ascii="宋体" w:eastAsia="宋体" w:hAnsi="宋体" w:cs="宋体"/>
          <w:spacing w:val="6"/>
          <w:sz w:val="20"/>
          <w:szCs w:val="20"/>
        </w:rPr>
        <w:t>一些海产鱼</w:t>
      </w:r>
      <w:r>
        <w:rPr>
          <w:rFonts w:ascii="宋体" w:eastAsia="宋体" w:hAnsi="宋体" w:cs="宋体"/>
          <w:sz w:val="20"/>
          <w:szCs w:val="20"/>
        </w:rPr>
        <w:t xml:space="preserve"> </w:t>
      </w:r>
      <w:r>
        <w:rPr>
          <w:rFonts w:ascii="宋体" w:eastAsia="宋体" w:hAnsi="宋体" w:cs="宋体"/>
          <w:spacing w:val="8"/>
          <w:sz w:val="20"/>
          <w:szCs w:val="20"/>
        </w:rPr>
        <w:t>类肝脏脂肪中维生素A、</w:t>
      </w:r>
      <w:r>
        <w:rPr>
          <w:rFonts w:ascii="宋体" w:eastAsia="宋体" w:hAnsi="宋体" w:cs="宋体"/>
          <w:spacing w:val="20"/>
          <w:sz w:val="20"/>
          <w:szCs w:val="20"/>
        </w:rPr>
        <w:t xml:space="preserve"> </w:t>
      </w:r>
      <w:r>
        <w:rPr>
          <w:rFonts w:ascii="宋体" w:eastAsia="宋体" w:hAnsi="宋体" w:cs="宋体"/>
          <w:spacing w:val="8"/>
          <w:sz w:val="20"/>
          <w:szCs w:val="20"/>
        </w:rPr>
        <w:t>维生素D</w:t>
      </w:r>
      <w:r>
        <w:rPr>
          <w:rFonts w:ascii="宋体" w:eastAsia="宋体" w:hAnsi="宋体" w:cs="宋体"/>
          <w:spacing w:val="4"/>
          <w:sz w:val="20"/>
          <w:szCs w:val="20"/>
        </w:rPr>
        <w:t xml:space="preserve"> </w:t>
      </w:r>
      <w:r>
        <w:rPr>
          <w:rFonts w:ascii="宋体" w:eastAsia="宋体" w:hAnsi="宋体" w:cs="宋体"/>
          <w:spacing w:val="8"/>
          <w:sz w:val="20"/>
          <w:szCs w:val="20"/>
        </w:rPr>
        <w:t>含量很高，植物油中含有丰富的维生素E,</w:t>
      </w:r>
      <w:r>
        <w:rPr>
          <w:rFonts w:ascii="宋体" w:eastAsia="宋体" w:hAnsi="宋体" w:cs="宋体"/>
          <w:spacing w:val="45"/>
          <w:sz w:val="20"/>
          <w:szCs w:val="20"/>
        </w:rPr>
        <w:t xml:space="preserve"> </w:t>
      </w:r>
      <w:r>
        <w:rPr>
          <w:rFonts w:ascii="宋体" w:eastAsia="宋体" w:hAnsi="宋体" w:cs="宋体"/>
          <w:spacing w:val="8"/>
          <w:sz w:val="20"/>
          <w:szCs w:val="20"/>
        </w:rPr>
        <w:t>谷</w:t>
      </w:r>
      <w:r>
        <w:rPr>
          <w:rFonts w:ascii="宋体" w:eastAsia="宋体" w:hAnsi="宋体" w:cs="宋体"/>
          <w:sz w:val="20"/>
          <w:szCs w:val="20"/>
        </w:rPr>
        <w:t xml:space="preserve"> </w:t>
      </w:r>
      <w:r>
        <w:rPr>
          <w:rFonts w:ascii="宋体" w:eastAsia="宋体" w:hAnsi="宋体" w:cs="宋体"/>
          <w:spacing w:val="6"/>
          <w:sz w:val="20"/>
          <w:szCs w:val="20"/>
        </w:rPr>
        <w:t>类种子的胚中维生素E</w:t>
      </w:r>
      <w:r>
        <w:rPr>
          <w:rFonts w:ascii="宋体" w:eastAsia="宋体" w:hAnsi="宋体" w:cs="宋体"/>
          <w:spacing w:val="14"/>
          <w:sz w:val="20"/>
          <w:szCs w:val="20"/>
        </w:rPr>
        <w:t xml:space="preserve"> </w:t>
      </w:r>
      <w:r>
        <w:rPr>
          <w:rFonts w:ascii="宋体" w:eastAsia="宋体" w:hAnsi="宋体" w:cs="宋体"/>
          <w:spacing w:val="6"/>
          <w:sz w:val="20"/>
          <w:szCs w:val="20"/>
        </w:rPr>
        <w:t>含量也较高。</w:t>
      </w:r>
    </w:p>
    <w:p w:rsidR="00EA40A3" w:rsidRDefault="00E86C16">
      <w:pPr>
        <w:spacing w:before="114"/>
        <w:ind w:left="170"/>
        <w:rPr>
          <w:rFonts w:ascii="宋体" w:eastAsia="宋体" w:hAnsi="宋体" w:cs="宋体"/>
          <w:sz w:val="14"/>
          <w:szCs w:val="14"/>
        </w:rPr>
      </w:pPr>
      <w:r>
        <w:rPr>
          <w:rFonts w:ascii="宋体" w:eastAsia="宋体" w:hAnsi="宋体" w:cs="宋体"/>
          <w:spacing w:val="-16"/>
          <w:sz w:val="14"/>
          <w:szCs w:val="14"/>
        </w:rPr>
        <w:t>·</w:t>
      </w:r>
      <w:r>
        <w:rPr>
          <w:rFonts w:ascii="宋体" w:eastAsia="宋体" w:hAnsi="宋体" w:cs="宋体"/>
          <w:spacing w:val="27"/>
          <w:w w:val="101"/>
          <w:sz w:val="14"/>
          <w:szCs w:val="14"/>
        </w:rPr>
        <w:t xml:space="preserve"> </w:t>
      </w:r>
      <w:r>
        <w:rPr>
          <w:rFonts w:ascii="宋体" w:eastAsia="宋体" w:hAnsi="宋体" w:cs="宋体"/>
          <w:spacing w:val="-16"/>
          <w:sz w:val="14"/>
          <w:szCs w:val="14"/>
        </w:rPr>
        <w:t>64</w:t>
      </w:r>
      <w:r>
        <w:rPr>
          <w:rFonts w:ascii="宋体" w:eastAsia="宋体" w:hAnsi="宋体" w:cs="宋体"/>
          <w:spacing w:val="1"/>
          <w:sz w:val="14"/>
          <w:szCs w:val="14"/>
        </w:rPr>
        <w:t xml:space="preserve">  </w:t>
      </w:r>
      <w:r>
        <w:rPr>
          <w:rFonts w:ascii="宋体" w:eastAsia="宋体" w:hAnsi="宋体" w:cs="宋体"/>
          <w:spacing w:val="-16"/>
          <w:sz w:val="14"/>
          <w:szCs w:val="14"/>
        </w:rPr>
        <w:t>·</w:t>
      </w:r>
    </w:p>
    <w:p w:rsidR="00EA40A3" w:rsidRDefault="00EA40A3">
      <w:pPr>
        <w:sectPr w:rsidR="00EA40A3">
          <w:pgSz w:w="9220" w:h="13360"/>
          <w:pgMar w:top="400" w:right="1020" w:bottom="400" w:left="869" w:header="0" w:footer="0" w:gutter="0"/>
          <w:cols w:space="720"/>
        </w:sectPr>
      </w:pPr>
    </w:p>
    <w:p w:rsidR="00EA40A3" w:rsidRDefault="00EA40A3">
      <w:pPr>
        <w:spacing w:line="266" w:lineRule="auto"/>
      </w:pPr>
    </w:p>
    <w:p w:rsidR="00EA40A3" w:rsidRDefault="00EA40A3">
      <w:pPr>
        <w:spacing w:line="267" w:lineRule="auto"/>
      </w:pPr>
    </w:p>
    <w:p w:rsidR="00EA40A3" w:rsidRDefault="00EA40A3">
      <w:pPr>
        <w:spacing w:line="267" w:lineRule="auto"/>
      </w:pPr>
    </w:p>
    <w:p w:rsidR="00EA40A3" w:rsidRDefault="00E86C16">
      <w:pPr>
        <w:spacing w:before="69" w:line="219" w:lineRule="auto"/>
        <w:ind w:left="50"/>
        <w:rPr>
          <w:rFonts w:ascii="仿宋" w:eastAsia="仿宋" w:hAnsi="仿宋" w:cs="仿宋"/>
        </w:rPr>
      </w:pPr>
      <w:r>
        <w:rPr>
          <w:rFonts w:ascii="仿宋" w:eastAsia="仿宋" w:hAnsi="仿宋" w:cs="仿宋"/>
          <w:spacing w:val="17"/>
        </w:rPr>
        <w:t>4.</w:t>
      </w:r>
      <w:r>
        <w:rPr>
          <w:rFonts w:ascii="仿宋" w:eastAsia="仿宋" w:hAnsi="仿宋" w:cs="仿宋"/>
          <w:spacing w:val="-28"/>
        </w:rPr>
        <w:t xml:space="preserve"> </w:t>
      </w:r>
      <w:r>
        <w:rPr>
          <w:rFonts w:ascii="仿宋" w:eastAsia="仿宋" w:hAnsi="仿宋" w:cs="仿宋"/>
          <w:spacing w:val="17"/>
        </w:rPr>
        <w:t>油脂的稳定性</w:t>
      </w:r>
    </w:p>
    <w:p w:rsidR="00EA40A3" w:rsidRDefault="00E86C16">
      <w:pPr>
        <w:spacing w:before="184" w:line="255" w:lineRule="auto"/>
        <w:ind w:left="50" w:firstLine="419"/>
        <w:jc w:val="both"/>
        <w:rPr>
          <w:rFonts w:ascii="宋体" w:eastAsia="宋体" w:hAnsi="宋体" w:cs="宋体"/>
        </w:rPr>
      </w:pPr>
      <w:r>
        <w:rPr>
          <w:rFonts w:ascii="宋体" w:eastAsia="宋体" w:hAnsi="宋体" w:cs="宋体"/>
          <w:spacing w:val="-3"/>
        </w:rPr>
        <w:t>脂类在食品加工、保藏过程中的变化对其营养价</w:t>
      </w:r>
      <w:r>
        <w:rPr>
          <w:rFonts w:ascii="宋体" w:eastAsia="宋体" w:hAnsi="宋体" w:cs="宋体"/>
          <w:spacing w:val="-4"/>
        </w:rPr>
        <w:t>值的影响日益受到人们的重</w:t>
      </w:r>
      <w:r>
        <w:rPr>
          <w:rFonts w:ascii="宋体" w:eastAsia="宋体" w:hAnsi="宋体" w:cs="宋体"/>
        </w:rPr>
        <w:t xml:space="preserve"> </w:t>
      </w:r>
      <w:r>
        <w:rPr>
          <w:rFonts w:ascii="宋体" w:eastAsia="宋体" w:hAnsi="宋体" w:cs="宋体"/>
          <w:spacing w:val="-3"/>
        </w:rPr>
        <w:t>视，这些变化可能有脂肪的水解、氧化、分解、聚合或其他的降解作</w:t>
      </w:r>
      <w:r>
        <w:rPr>
          <w:rFonts w:ascii="宋体" w:eastAsia="宋体" w:hAnsi="宋体" w:cs="宋体"/>
          <w:spacing w:val="-4"/>
        </w:rPr>
        <w:t>用，导致脂</w:t>
      </w:r>
      <w:r>
        <w:rPr>
          <w:rFonts w:ascii="宋体" w:eastAsia="宋体" w:hAnsi="宋体" w:cs="宋体"/>
        </w:rPr>
        <w:t xml:space="preserve"> </w:t>
      </w:r>
      <w:r>
        <w:rPr>
          <w:rFonts w:ascii="宋体" w:eastAsia="宋体" w:hAnsi="宋体" w:cs="宋体"/>
          <w:spacing w:val="-1"/>
        </w:rPr>
        <w:t>肪的理化性质变化，在某些情况下可以降低能值，呈现一定的毒性和</w:t>
      </w:r>
      <w:r>
        <w:rPr>
          <w:rFonts w:ascii="宋体" w:eastAsia="宋体" w:hAnsi="宋体" w:cs="宋体"/>
          <w:spacing w:val="-2"/>
        </w:rPr>
        <w:t>致癌作用。</w:t>
      </w:r>
      <w:r>
        <w:rPr>
          <w:rFonts w:ascii="宋体" w:eastAsia="宋体" w:hAnsi="宋体" w:cs="宋体"/>
        </w:rPr>
        <w:t xml:space="preserve"> </w:t>
      </w:r>
      <w:r>
        <w:rPr>
          <w:rFonts w:ascii="宋体" w:eastAsia="宋体" w:hAnsi="宋体" w:cs="宋体"/>
          <w:spacing w:val="-3"/>
        </w:rPr>
        <w:t>影响油脂稳定性的因素很多，主要与油脂本身所含的脂肪酸、天然抗氧</w:t>
      </w:r>
      <w:r>
        <w:rPr>
          <w:rFonts w:ascii="宋体" w:eastAsia="宋体" w:hAnsi="宋体" w:cs="宋体"/>
          <w:spacing w:val="-4"/>
        </w:rPr>
        <w:t>化剂以及</w:t>
      </w:r>
      <w:r>
        <w:rPr>
          <w:rFonts w:ascii="宋体" w:eastAsia="宋体" w:hAnsi="宋体" w:cs="宋体"/>
        </w:rPr>
        <w:t xml:space="preserve"> </w:t>
      </w:r>
      <w:r>
        <w:rPr>
          <w:rFonts w:ascii="宋体" w:eastAsia="宋体" w:hAnsi="宋体" w:cs="宋体"/>
          <w:spacing w:val="-6"/>
        </w:rPr>
        <w:t>油脂的储存条件和加工方法等有关。</w:t>
      </w:r>
    </w:p>
    <w:p w:rsidR="00EA40A3" w:rsidRDefault="00E86C16">
      <w:pPr>
        <w:spacing w:before="77" w:line="243" w:lineRule="auto"/>
        <w:ind w:left="50" w:right="71" w:firstLine="419"/>
        <w:jc w:val="both"/>
        <w:rPr>
          <w:rFonts w:ascii="宋体" w:eastAsia="宋体" w:hAnsi="宋体" w:cs="宋体"/>
        </w:rPr>
      </w:pPr>
      <w:r>
        <w:rPr>
          <w:rFonts w:ascii="宋体" w:eastAsia="宋体" w:hAnsi="宋体" w:cs="宋体"/>
          <w:spacing w:val="5"/>
        </w:rPr>
        <w:t>植物油脂中含有丰富的维生素E,</w:t>
      </w:r>
      <w:r>
        <w:rPr>
          <w:rFonts w:ascii="宋体" w:eastAsia="宋体" w:hAnsi="宋体" w:cs="宋体"/>
          <w:spacing w:val="43"/>
        </w:rPr>
        <w:t xml:space="preserve"> </w:t>
      </w:r>
      <w:r>
        <w:rPr>
          <w:rFonts w:ascii="宋体" w:eastAsia="宋体" w:hAnsi="宋体" w:cs="宋体"/>
          <w:spacing w:val="5"/>
        </w:rPr>
        <w:t>它是天然抗氧化剂，使油脂不易氧化变</w:t>
      </w:r>
      <w:r>
        <w:rPr>
          <w:rFonts w:ascii="宋体" w:eastAsia="宋体" w:hAnsi="宋体" w:cs="宋体"/>
        </w:rPr>
        <w:t xml:space="preserve"> </w:t>
      </w:r>
      <w:r>
        <w:rPr>
          <w:rFonts w:ascii="宋体" w:eastAsia="宋体" w:hAnsi="宋体" w:cs="宋体"/>
          <w:spacing w:val="-7"/>
        </w:rPr>
        <w:t>质，有助于提高植物油脂的稳定性。</w:t>
      </w:r>
    </w:p>
    <w:p w:rsidR="00EA40A3" w:rsidRDefault="00E86C16">
      <w:pPr>
        <w:spacing w:before="176" w:line="221" w:lineRule="auto"/>
        <w:ind w:left="53"/>
        <w:outlineLvl w:val="6"/>
        <w:rPr>
          <w:rFonts w:ascii="黑体" w:eastAsia="黑体" w:hAnsi="黑体" w:cs="黑体"/>
          <w:sz w:val="24"/>
          <w:szCs w:val="24"/>
        </w:rPr>
      </w:pPr>
      <w:r>
        <w:rPr>
          <w:rFonts w:ascii="黑体" w:eastAsia="黑体" w:hAnsi="黑体" w:cs="黑体"/>
          <w:b/>
          <w:bCs/>
          <w:spacing w:val="-5"/>
          <w:sz w:val="24"/>
          <w:szCs w:val="24"/>
        </w:rPr>
        <w:t>3.3.4</w:t>
      </w:r>
      <w:r>
        <w:rPr>
          <w:rFonts w:ascii="黑体" w:eastAsia="黑体" w:hAnsi="黑体" w:cs="黑体"/>
          <w:spacing w:val="127"/>
          <w:sz w:val="24"/>
          <w:szCs w:val="24"/>
        </w:rPr>
        <w:t xml:space="preserve"> </w:t>
      </w:r>
      <w:r>
        <w:rPr>
          <w:rFonts w:ascii="黑体" w:eastAsia="黑体" w:hAnsi="黑体" w:cs="黑体"/>
          <w:b/>
          <w:bCs/>
          <w:spacing w:val="-5"/>
          <w:sz w:val="24"/>
          <w:szCs w:val="24"/>
        </w:rPr>
        <w:t>脂肪的适宜摄入量及食物来源</w:t>
      </w:r>
    </w:p>
    <w:p w:rsidR="00EA40A3" w:rsidRDefault="00E86C16">
      <w:pPr>
        <w:spacing w:before="256" w:line="223" w:lineRule="auto"/>
        <w:ind w:left="50"/>
        <w:rPr>
          <w:rFonts w:ascii="仿宋" w:eastAsia="仿宋" w:hAnsi="仿宋" w:cs="仿宋"/>
        </w:rPr>
      </w:pPr>
      <w:r>
        <w:rPr>
          <w:rFonts w:ascii="仿宋" w:eastAsia="仿宋" w:hAnsi="仿宋" w:cs="仿宋"/>
          <w:spacing w:val="18"/>
        </w:rPr>
        <w:t>1.</w:t>
      </w:r>
      <w:r>
        <w:rPr>
          <w:rFonts w:ascii="仿宋" w:eastAsia="仿宋" w:hAnsi="仿宋" w:cs="仿宋"/>
          <w:spacing w:val="-28"/>
        </w:rPr>
        <w:t xml:space="preserve"> </w:t>
      </w:r>
      <w:r>
        <w:rPr>
          <w:rFonts w:ascii="仿宋" w:eastAsia="仿宋" w:hAnsi="仿宋" w:cs="仿宋"/>
          <w:spacing w:val="18"/>
        </w:rPr>
        <w:t>脂肪的适宜摄入量</w:t>
      </w:r>
    </w:p>
    <w:p w:rsidR="00EA40A3" w:rsidRDefault="00E86C16">
      <w:pPr>
        <w:spacing w:before="196" w:line="259" w:lineRule="auto"/>
        <w:ind w:left="50" w:right="66" w:firstLine="419"/>
        <w:jc w:val="both"/>
        <w:rPr>
          <w:rFonts w:ascii="宋体" w:eastAsia="宋体" w:hAnsi="宋体" w:cs="宋体"/>
        </w:rPr>
      </w:pPr>
      <w:r>
        <w:rPr>
          <w:rFonts w:ascii="宋体" w:eastAsia="宋体" w:hAnsi="宋体" w:cs="宋体"/>
          <w:spacing w:val="-3"/>
        </w:rPr>
        <w:t>膳食中脂肪的供给量易受民族和地区饮食习惯、季节和气候</w:t>
      </w:r>
      <w:r>
        <w:rPr>
          <w:rFonts w:ascii="宋体" w:eastAsia="宋体" w:hAnsi="宋体" w:cs="宋体"/>
          <w:spacing w:val="-4"/>
        </w:rPr>
        <w:t>等的影响，变动</w:t>
      </w:r>
      <w:r>
        <w:rPr>
          <w:rFonts w:ascii="宋体" w:eastAsia="宋体" w:hAnsi="宋体" w:cs="宋体"/>
        </w:rPr>
        <w:t xml:space="preserve"> </w:t>
      </w:r>
      <w:r>
        <w:rPr>
          <w:rFonts w:ascii="宋体" w:eastAsia="宋体" w:hAnsi="宋体" w:cs="宋体"/>
          <w:spacing w:val="4"/>
        </w:rPr>
        <w:t>范围较大。</w:t>
      </w:r>
      <w:r>
        <w:rPr>
          <w:rFonts w:ascii="宋体" w:eastAsia="宋体" w:hAnsi="宋体" w:cs="宋体"/>
          <w:spacing w:val="60"/>
        </w:rPr>
        <w:t xml:space="preserve"> </w:t>
      </w:r>
      <w:r>
        <w:rPr>
          <w:rFonts w:ascii="宋体" w:eastAsia="宋体" w:hAnsi="宋体" w:cs="宋体"/>
          <w:spacing w:val="4"/>
        </w:rPr>
        <w:t>一般认为，在人类合理膳食中，人所需热量的20%～30%应由脂肪</w:t>
      </w:r>
      <w:r>
        <w:rPr>
          <w:rFonts w:ascii="宋体" w:eastAsia="宋体" w:hAnsi="宋体" w:cs="宋体"/>
        </w:rPr>
        <w:t xml:space="preserve"> </w:t>
      </w:r>
      <w:r>
        <w:rPr>
          <w:rFonts w:ascii="宋体" w:eastAsia="宋体" w:hAnsi="宋体" w:cs="宋体"/>
          <w:spacing w:val="3"/>
        </w:rPr>
        <w:t>供给，必需脂肪酸的摄入量应不少于总能量的3%。多不饱和脂肪</w:t>
      </w:r>
      <w:r>
        <w:rPr>
          <w:rFonts w:ascii="宋体" w:eastAsia="宋体" w:hAnsi="宋体" w:cs="宋体"/>
          <w:spacing w:val="2"/>
        </w:rPr>
        <w:t>酸对人体健康</w:t>
      </w:r>
      <w:r>
        <w:rPr>
          <w:rFonts w:ascii="宋体" w:eastAsia="宋体" w:hAnsi="宋体" w:cs="宋体"/>
        </w:rPr>
        <w:t xml:space="preserve"> </w:t>
      </w:r>
      <w:r>
        <w:rPr>
          <w:rFonts w:ascii="宋体" w:eastAsia="宋体" w:hAnsi="宋体" w:cs="宋体"/>
          <w:spacing w:val="-3"/>
        </w:rPr>
        <w:t>有很多益处，但也不能忽视其易产生脂质过氧化作用及对机体可能产生的损</w:t>
      </w:r>
      <w:r>
        <w:rPr>
          <w:rFonts w:ascii="宋体" w:eastAsia="宋体" w:hAnsi="宋体" w:cs="宋体"/>
          <w:spacing w:val="-4"/>
        </w:rPr>
        <w:t>害作</w:t>
      </w:r>
      <w:r>
        <w:rPr>
          <w:rFonts w:ascii="宋体" w:eastAsia="宋体" w:hAnsi="宋体" w:cs="宋体"/>
        </w:rPr>
        <w:t xml:space="preserve"> </w:t>
      </w:r>
      <w:r>
        <w:rPr>
          <w:rFonts w:ascii="宋体" w:eastAsia="宋体" w:hAnsi="宋体" w:cs="宋体"/>
          <w:spacing w:val="-3"/>
        </w:rPr>
        <w:t>用，因此在考虑脂肪推荐摄入量时，必须同时考虑饱和脂肪酸、</w:t>
      </w:r>
      <w:r>
        <w:rPr>
          <w:rFonts w:ascii="宋体" w:eastAsia="宋体" w:hAnsi="宋体" w:cs="宋体"/>
          <w:spacing w:val="-4"/>
        </w:rPr>
        <w:t>单不饱和脂肪酸</w:t>
      </w:r>
      <w:r>
        <w:rPr>
          <w:rFonts w:ascii="宋体" w:eastAsia="宋体" w:hAnsi="宋体" w:cs="宋体"/>
        </w:rPr>
        <w:t xml:space="preserve"> 及多不饱和脂肪酸三者之间的合适比例。1991年加拿大政府对π</w:t>
      </w:r>
      <w:r>
        <w:rPr>
          <w:rFonts w:ascii="宋体" w:eastAsia="宋体" w:hAnsi="宋体" w:cs="宋体"/>
          <w:spacing w:val="-1"/>
        </w:rPr>
        <w:t>-3和π6系列脂</w:t>
      </w:r>
      <w:r>
        <w:rPr>
          <w:rFonts w:ascii="宋体" w:eastAsia="宋体" w:hAnsi="宋体" w:cs="宋体"/>
        </w:rPr>
        <w:t xml:space="preserve"> </w:t>
      </w:r>
      <w:r>
        <w:rPr>
          <w:rFonts w:ascii="宋体" w:eastAsia="宋体" w:hAnsi="宋体" w:cs="宋体"/>
          <w:spacing w:val="2"/>
        </w:rPr>
        <w:t>肪酸推荐摄入量做出了规定：</w:t>
      </w:r>
      <w:r>
        <w:rPr>
          <w:rFonts w:ascii="宋体" w:eastAsia="宋体" w:hAnsi="宋体" w:cs="宋体"/>
          <w:spacing w:val="17"/>
        </w:rPr>
        <w:t xml:space="preserve"> </w:t>
      </w:r>
      <w:r>
        <w:rPr>
          <w:rFonts w:ascii="宋体" w:eastAsia="宋体" w:hAnsi="宋体" w:cs="宋体"/>
          <w:spacing w:val="2"/>
        </w:rPr>
        <w:t>n3</w:t>
      </w:r>
      <w:r>
        <w:rPr>
          <w:rFonts w:ascii="宋体" w:eastAsia="宋体" w:hAnsi="宋体" w:cs="宋体"/>
          <w:spacing w:val="21"/>
        </w:rPr>
        <w:t xml:space="preserve"> </w:t>
      </w:r>
      <w:r>
        <w:rPr>
          <w:rFonts w:ascii="宋体" w:eastAsia="宋体" w:hAnsi="宋体" w:cs="宋体"/>
          <w:spacing w:val="2"/>
        </w:rPr>
        <w:t>脂肪酸摄入量不</w:t>
      </w:r>
      <w:r>
        <w:rPr>
          <w:rFonts w:ascii="宋体" w:eastAsia="宋体" w:hAnsi="宋体" w:cs="宋体"/>
          <w:spacing w:val="1"/>
        </w:rPr>
        <w:t>低于总能量摄入的0.5%,n-6</w:t>
      </w:r>
      <w:r>
        <w:rPr>
          <w:rFonts w:ascii="宋体" w:eastAsia="宋体" w:hAnsi="宋体" w:cs="宋体"/>
        </w:rPr>
        <w:t xml:space="preserve"> </w:t>
      </w:r>
      <w:r>
        <w:rPr>
          <w:rFonts w:ascii="宋体" w:eastAsia="宋体" w:hAnsi="宋体" w:cs="宋体"/>
          <w:spacing w:val="11"/>
        </w:rPr>
        <w:t>脂肪酸不低于总能量的3%,二者的比值约为1:6。大多数学者建议</w:t>
      </w:r>
      <w:r>
        <w:rPr>
          <w:rFonts w:ascii="宋体" w:eastAsia="宋体" w:hAnsi="宋体" w:cs="宋体"/>
          <w:spacing w:val="-55"/>
        </w:rPr>
        <w:t xml:space="preserve"> </w:t>
      </w:r>
      <w:r>
        <w:rPr>
          <w:rFonts w:ascii="宋体" w:eastAsia="宋体" w:hAnsi="宋体" w:cs="宋体"/>
          <w:spacing w:val="11"/>
        </w:rPr>
        <w:t>n3</w:t>
      </w:r>
      <w:r>
        <w:rPr>
          <w:rFonts w:ascii="宋体" w:eastAsia="宋体" w:hAnsi="宋体" w:cs="宋体"/>
          <w:spacing w:val="31"/>
        </w:rPr>
        <w:t xml:space="preserve"> </w:t>
      </w:r>
      <w:r>
        <w:rPr>
          <w:rFonts w:ascii="宋体" w:eastAsia="宋体" w:hAnsi="宋体" w:cs="宋体"/>
          <w:spacing w:val="11"/>
        </w:rPr>
        <w:t>与</w:t>
      </w:r>
      <w:r>
        <w:rPr>
          <w:rFonts w:ascii="宋体" w:eastAsia="宋体" w:hAnsi="宋体" w:cs="宋体"/>
          <w:spacing w:val="-43"/>
        </w:rPr>
        <w:t xml:space="preserve"> </w:t>
      </w:r>
      <w:r>
        <w:rPr>
          <w:rFonts w:ascii="宋体" w:eastAsia="宋体" w:hAnsi="宋体" w:cs="宋体"/>
          <w:spacing w:val="10"/>
        </w:rPr>
        <w:t>n6</w:t>
      </w:r>
      <w:r>
        <w:rPr>
          <w:rFonts w:ascii="宋体" w:eastAsia="宋体" w:hAnsi="宋体" w:cs="宋体"/>
        </w:rPr>
        <w:t xml:space="preserve">  </w:t>
      </w:r>
      <w:r>
        <w:rPr>
          <w:rFonts w:ascii="宋体" w:eastAsia="宋体" w:hAnsi="宋体" w:cs="宋体"/>
          <w:spacing w:val="6"/>
        </w:rPr>
        <w:t>脂肪酸摄入比为1:</w:t>
      </w:r>
      <w:r>
        <w:rPr>
          <w:rFonts w:ascii="宋体" w:eastAsia="宋体" w:hAnsi="宋体" w:cs="宋体"/>
          <w:spacing w:val="51"/>
        </w:rPr>
        <w:t xml:space="preserve"> </w:t>
      </w:r>
      <w:r>
        <w:rPr>
          <w:rFonts w:ascii="宋体" w:eastAsia="宋体" w:hAnsi="宋体" w:cs="宋体"/>
          <w:spacing w:val="6"/>
        </w:rPr>
        <w:t>(4～6)较适宜。</w:t>
      </w:r>
    </w:p>
    <w:p w:rsidR="00EA40A3" w:rsidRDefault="00E86C16">
      <w:pPr>
        <w:spacing w:before="109" w:line="245" w:lineRule="auto"/>
        <w:ind w:left="50" w:right="56" w:firstLine="419"/>
        <w:jc w:val="both"/>
        <w:rPr>
          <w:rFonts w:ascii="宋体" w:eastAsia="宋体" w:hAnsi="宋体" w:cs="宋体"/>
        </w:rPr>
      </w:pPr>
      <w:r>
        <w:rPr>
          <w:rFonts w:ascii="宋体" w:eastAsia="宋体" w:hAnsi="宋体" w:cs="宋体"/>
          <w:spacing w:val="2"/>
        </w:rPr>
        <w:t>根据中国膳食营养调查，推荐成人的膳食中脂肪能量占摄入总能量的20%~</w:t>
      </w:r>
      <w:r>
        <w:rPr>
          <w:rFonts w:ascii="宋体" w:eastAsia="宋体" w:hAnsi="宋体" w:cs="宋体"/>
          <w:spacing w:val="10"/>
        </w:rPr>
        <w:t xml:space="preserve"> </w:t>
      </w:r>
      <w:r>
        <w:rPr>
          <w:rFonts w:ascii="宋体" w:eastAsia="宋体" w:hAnsi="宋体" w:cs="宋体"/>
          <w:spacing w:val="29"/>
        </w:rPr>
        <w:t>30%,儿童和青少年可达25%～30%,亚</w:t>
      </w:r>
      <w:r>
        <w:rPr>
          <w:rFonts w:ascii="宋体" w:eastAsia="宋体" w:hAnsi="宋体" w:cs="宋体"/>
          <w:spacing w:val="28"/>
        </w:rPr>
        <w:t>油酸约占6g,</w:t>
      </w:r>
      <w:r>
        <w:rPr>
          <w:rFonts w:ascii="宋体" w:eastAsia="宋体" w:hAnsi="宋体" w:cs="宋体"/>
          <w:spacing w:val="16"/>
        </w:rPr>
        <w:t xml:space="preserve"> </w:t>
      </w:r>
      <w:r>
        <w:rPr>
          <w:rFonts w:ascii="宋体" w:eastAsia="宋体" w:hAnsi="宋体" w:cs="宋体"/>
          <w:spacing w:val="28"/>
        </w:rPr>
        <w:t>胆固醇的摄入量在</w:t>
      </w:r>
      <w:r>
        <w:rPr>
          <w:rFonts w:ascii="宋体" w:eastAsia="宋体" w:hAnsi="宋体" w:cs="宋体"/>
        </w:rPr>
        <w:t xml:space="preserve"> </w:t>
      </w:r>
      <w:r>
        <w:rPr>
          <w:rFonts w:ascii="宋体" w:eastAsia="宋体" w:hAnsi="宋体" w:cs="宋体"/>
          <w:spacing w:val="-4"/>
        </w:rPr>
        <w:t>300mg</w:t>
      </w:r>
      <w:r>
        <w:rPr>
          <w:rFonts w:ascii="宋体" w:eastAsia="宋体" w:hAnsi="宋体" w:cs="宋体"/>
          <w:spacing w:val="26"/>
        </w:rPr>
        <w:t xml:space="preserve"> </w:t>
      </w:r>
      <w:r>
        <w:rPr>
          <w:rFonts w:ascii="宋体" w:eastAsia="宋体" w:hAnsi="宋体" w:cs="宋体"/>
          <w:spacing w:val="-4"/>
        </w:rPr>
        <w:t>以下。中国居民各年龄阶段膳食脂肪适宜摄入量</w:t>
      </w:r>
      <w:r>
        <w:rPr>
          <w:rFonts w:ascii="宋体" w:eastAsia="宋体" w:hAnsi="宋体" w:cs="宋体"/>
          <w:spacing w:val="-24"/>
        </w:rPr>
        <w:t xml:space="preserve"> </w:t>
      </w:r>
      <w:r>
        <w:rPr>
          <w:rFonts w:ascii="宋体" w:eastAsia="宋体" w:hAnsi="宋体" w:cs="宋体"/>
          <w:spacing w:val="-4"/>
        </w:rPr>
        <w:t>(AI)</w:t>
      </w:r>
      <w:r>
        <w:rPr>
          <w:rFonts w:ascii="宋体" w:eastAsia="宋体" w:hAnsi="宋体" w:cs="宋体"/>
          <w:spacing w:val="61"/>
        </w:rPr>
        <w:t xml:space="preserve"> </w:t>
      </w:r>
      <w:r>
        <w:rPr>
          <w:rFonts w:ascii="宋体" w:eastAsia="宋体" w:hAnsi="宋体" w:cs="宋体"/>
          <w:spacing w:val="-4"/>
        </w:rPr>
        <w:t>的建议见表3-12。</w:t>
      </w:r>
    </w:p>
    <w:p w:rsidR="00EA40A3" w:rsidRDefault="00E86C16">
      <w:pPr>
        <w:spacing w:before="162" w:line="212" w:lineRule="auto"/>
        <w:ind w:left="722"/>
        <w:rPr>
          <w:rFonts w:ascii="黑体" w:eastAsia="黑体" w:hAnsi="黑体" w:cs="黑体"/>
          <w:sz w:val="18"/>
          <w:szCs w:val="18"/>
        </w:rPr>
      </w:pPr>
      <w:r>
        <w:rPr>
          <w:rFonts w:ascii="黑体" w:eastAsia="黑体" w:hAnsi="黑体" w:cs="黑体"/>
          <w:b/>
          <w:bCs/>
          <w:spacing w:val="-1"/>
          <w:sz w:val="18"/>
          <w:szCs w:val="18"/>
        </w:rPr>
        <w:t>表3-12</w:t>
      </w:r>
      <w:r>
        <w:rPr>
          <w:rFonts w:ascii="黑体" w:eastAsia="黑体" w:hAnsi="黑体" w:cs="黑体"/>
          <w:spacing w:val="4"/>
          <w:sz w:val="18"/>
          <w:szCs w:val="18"/>
        </w:rPr>
        <w:t xml:space="preserve">  </w:t>
      </w:r>
      <w:r>
        <w:rPr>
          <w:rFonts w:ascii="黑体" w:eastAsia="黑体" w:hAnsi="黑体" w:cs="黑体"/>
          <w:b/>
          <w:bCs/>
          <w:spacing w:val="-1"/>
          <w:sz w:val="18"/>
          <w:szCs w:val="18"/>
        </w:rPr>
        <w:t>中国居民膳食脂肪适宜摄入量</w:t>
      </w:r>
      <w:r>
        <w:rPr>
          <w:rFonts w:ascii="黑体" w:eastAsia="黑体" w:hAnsi="黑体" w:cs="黑体"/>
          <w:spacing w:val="-21"/>
          <w:sz w:val="18"/>
          <w:szCs w:val="18"/>
        </w:rPr>
        <w:t xml:space="preserve"> </w:t>
      </w:r>
      <w:r>
        <w:rPr>
          <w:rFonts w:ascii="Times New Roman" w:eastAsia="Times New Roman" w:hAnsi="Times New Roman" w:cs="Times New Roman"/>
          <w:spacing w:val="-1"/>
          <w:sz w:val="18"/>
          <w:szCs w:val="18"/>
        </w:rPr>
        <w:t>(AI)</w:t>
      </w:r>
      <w:r>
        <w:rPr>
          <w:rFonts w:ascii="Times New Roman" w:eastAsia="Times New Roman" w:hAnsi="Times New Roman" w:cs="Times New Roman"/>
          <w:spacing w:val="11"/>
          <w:sz w:val="18"/>
          <w:szCs w:val="18"/>
        </w:rPr>
        <w:t xml:space="preserve">   </w:t>
      </w:r>
      <w:r>
        <w:rPr>
          <w:rFonts w:ascii="黑体" w:eastAsia="黑体" w:hAnsi="黑体" w:cs="黑体"/>
          <w:spacing w:val="-2"/>
          <w:sz w:val="18"/>
          <w:szCs w:val="18"/>
        </w:rPr>
        <w:t>(脂肪能量占总能量的百分比)</w:t>
      </w:r>
    </w:p>
    <w:p w:rsidR="00EA40A3" w:rsidRDefault="00EA40A3">
      <w:pPr>
        <w:spacing w:line="41" w:lineRule="exact"/>
      </w:pPr>
    </w:p>
    <w:tbl>
      <w:tblPr>
        <w:tblStyle w:val="TableNormal"/>
        <w:tblW w:w="732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00"/>
        <w:gridCol w:w="968"/>
        <w:gridCol w:w="893"/>
        <w:gridCol w:w="926"/>
        <w:gridCol w:w="965"/>
        <w:gridCol w:w="1258"/>
        <w:gridCol w:w="1310"/>
      </w:tblGrid>
      <w:tr w:rsidR="00EA40A3">
        <w:trPr>
          <w:trHeight w:val="333"/>
        </w:trPr>
        <w:tc>
          <w:tcPr>
            <w:tcW w:w="1000" w:type="dxa"/>
            <w:tcBorders>
              <w:top w:val="single" w:sz="4" w:space="0" w:color="000000"/>
              <w:bottom w:val="single" w:sz="4" w:space="0" w:color="000000"/>
            </w:tcBorders>
          </w:tcPr>
          <w:p w:rsidR="00EA40A3" w:rsidRDefault="00E86C16">
            <w:pPr>
              <w:spacing w:before="91" w:line="219" w:lineRule="auto"/>
              <w:ind w:left="210"/>
              <w:rPr>
                <w:rFonts w:ascii="宋体" w:eastAsia="宋体" w:hAnsi="宋体" w:cs="宋体"/>
                <w:sz w:val="16"/>
                <w:szCs w:val="16"/>
              </w:rPr>
            </w:pPr>
            <w:r>
              <w:rPr>
                <w:rFonts w:ascii="宋体" w:eastAsia="宋体" w:hAnsi="宋体" w:cs="宋体"/>
                <w:spacing w:val="5"/>
                <w:sz w:val="16"/>
                <w:szCs w:val="16"/>
              </w:rPr>
              <w:t>年龄/岁</w:t>
            </w:r>
          </w:p>
        </w:tc>
        <w:tc>
          <w:tcPr>
            <w:tcW w:w="968" w:type="dxa"/>
            <w:tcBorders>
              <w:top w:val="single" w:sz="4" w:space="0" w:color="000000"/>
              <w:bottom w:val="single" w:sz="4" w:space="0" w:color="000000"/>
            </w:tcBorders>
          </w:tcPr>
          <w:p w:rsidR="00EA40A3" w:rsidRDefault="00E86C16">
            <w:pPr>
              <w:spacing w:before="92" w:line="220" w:lineRule="auto"/>
              <w:ind w:left="310"/>
              <w:rPr>
                <w:rFonts w:ascii="宋体" w:eastAsia="宋体" w:hAnsi="宋体" w:cs="宋体"/>
                <w:sz w:val="16"/>
                <w:szCs w:val="16"/>
              </w:rPr>
            </w:pPr>
            <w:r>
              <w:rPr>
                <w:rFonts w:ascii="宋体" w:eastAsia="宋体" w:hAnsi="宋体" w:cs="宋体"/>
                <w:spacing w:val="-2"/>
                <w:sz w:val="16"/>
                <w:szCs w:val="16"/>
              </w:rPr>
              <w:t>脂肪</w:t>
            </w:r>
          </w:p>
        </w:tc>
        <w:tc>
          <w:tcPr>
            <w:tcW w:w="893" w:type="dxa"/>
            <w:tcBorders>
              <w:top w:val="single" w:sz="4" w:space="0" w:color="000000"/>
              <w:bottom w:val="single" w:sz="4" w:space="0" w:color="000000"/>
            </w:tcBorders>
          </w:tcPr>
          <w:p w:rsidR="00EA40A3" w:rsidRDefault="00E86C16">
            <w:pPr>
              <w:spacing w:before="131" w:line="185" w:lineRule="auto"/>
              <w:ind w:left="312"/>
              <w:rPr>
                <w:rFonts w:ascii="宋体" w:eastAsia="宋体" w:hAnsi="宋体" w:cs="宋体"/>
                <w:sz w:val="16"/>
                <w:szCs w:val="16"/>
              </w:rPr>
            </w:pPr>
            <w:r>
              <w:rPr>
                <w:rFonts w:ascii="宋体" w:eastAsia="宋体" w:hAnsi="宋体" w:cs="宋体"/>
                <w:spacing w:val="-2"/>
                <w:sz w:val="16"/>
                <w:szCs w:val="16"/>
              </w:rPr>
              <w:t>SFA</w:t>
            </w:r>
          </w:p>
        </w:tc>
        <w:tc>
          <w:tcPr>
            <w:tcW w:w="926" w:type="dxa"/>
            <w:tcBorders>
              <w:top w:val="single" w:sz="4" w:space="0" w:color="000000"/>
              <w:bottom w:val="single" w:sz="4" w:space="0" w:color="000000"/>
            </w:tcBorders>
          </w:tcPr>
          <w:p w:rsidR="00EA40A3" w:rsidRDefault="00E86C16">
            <w:pPr>
              <w:spacing w:before="131" w:line="185" w:lineRule="auto"/>
              <w:ind w:left="319"/>
              <w:rPr>
                <w:rFonts w:ascii="宋体" w:eastAsia="宋体" w:hAnsi="宋体" w:cs="宋体"/>
                <w:sz w:val="16"/>
                <w:szCs w:val="16"/>
              </w:rPr>
            </w:pPr>
            <w:r>
              <w:rPr>
                <w:rFonts w:ascii="宋体" w:eastAsia="宋体" w:hAnsi="宋体" w:cs="宋体"/>
                <w:spacing w:val="-1"/>
                <w:sz w:val="16"/>
                <w:szCs w:val="16"/>
              </w:rPr>
              <w:t>MUFA</w:t>
            </w:r>
          </w:p>
        </w:tc>
        <w:tc>
          <w:tcPr>
            <w:tcW w:w="965" w:type="dxa"/>
            <w:tcBorders>
              <w:top w:val="single" w:sz="4" w:space="0" w:color="000000"/>
              <w:bottom w:val="single" w:sz="4" w:space="0" w:color="000000"/>
            </w:tcBorders>
          </w:tcPr>
          <w:p w:rsidR="00EA40A3" w:rsidRDefault="00E86C16">
            <w:pPr>
              <w:spacing w:before="131" w:line="185" w:lineRule="auto"/>
              <w:ind w:left="333"/>
              <w:rPr>
                <w:rFonts w:ascii="宋体" w:eastAsia="宋体" w:hAnsi="宋体" w:cs="宋体"/>
                <w:sz w:val="16"/>
                <w:szCs w:val="16"/>
              </w:rPr>
            </w:pPr>
            <w:r>
              <w:rPr>
                <w:rFonts w:ascii="宋体" w:eastAsia="宋体" w:hAnsi="宋体" w:cs="宋体"/>
                <w:spacing w:val="-1"/>
                <w:sz w:val="16"/>
                <w:szCs w:val="16"/>
              </w:rPr>
              <w:t>PUFA</w:t>
            </w:r>
          </w:p>
        </w:tc>
        <w:tc>
          <w:tcPr>
            <w:tcW w:w="1258" w:type="dxa"/>
            <w:tcBorders>
              <w:top w:val="single" w:sz="4" w:space="0" w:color="000000"/>
              <w:bottom w:val="single" w:sz="4" w:space="0" w:color="000000"/>
            </w:tcBorders>
          </w:tcPr>
          <w:p w:rsidR="00EA40A3" w:rsidRDefault="00E86C16">
            <w:pPr>
              <w:spacing w:before="94" w:line="222" w:lineRule="auto"/>
              <w:ind w:left="288"/>
              <w:rPr>
                <w:rFonts w:ascii="宋体" w:eastAsia="宋体" w:hAnsi="宋体" w:cs="宋体"/>
                <w:sz w:val="16"/>
                <w:szCs w:val="16"/>
              </w:rPr>
            </w:pPr>
            <w:r>
              <w:rPr>
                <w:rFonts w:ascii="宋体" w:eastAsia="宋体" w:hAnsi="宋体" w:cs="宋体"/>
                <w:spacing w:val="-4"/>
                <w:sz w:val="16"/>
                <w:szCs w:val="16"/>
              </w:rPr>
              <w:t>(r6):(m3)</w:t>
            </w:r>
          </w:p>
        </w:tc>
        <w:tc>
          <w:tcPr>
            <w:tcW w:w="1310" w:type="dxa"/>
            <w:tcBorders>
              <w:top w:val="single" w:sz="4" w:space="0" w:color="000000"/>
              <w:bottom w:val="single" w:sz="4" w:space="0" w:color="000000"/>
            </w:tcBorders>
          </w:tcPr>
          <w:p w:rsidR="00EA40A3" w:rsidRDefault="00E86C16">
            <w:pPr>
              <w:spacing w:before="116" w:line="214" w:lineRule="auto"/>
              <w:ind w:left="319"/>
              <w:rPr>
                <w:rFonts w:ascii="宋体" w:eastAsia="宋体" w:hAnsi="宋体" w:cs="宋体"/>
                <w:sz w:val="16"/>
                <w:szCs w:val="16"/>
              </w:rPr>
            </w:pPr>
            <w:r>
              <w:rPr>
                <w:rFonts w:ascii="宋体" w:eastAsia="宋体" w:hAnsi="宋体" w:cs="宋体"/>
                <w:spacing w:val="-1"/>
                <w:sz w:val="16"/>
                <w:szCs w:val="16"/>
              </w:rPr>
              <w:t>胆固醇/mg</w:t>
            </w:r>
          </w:p>
        </w:tc>
      </w:tr>
      <w:tr w:rsidR="00EA40A3">
        <w:trPr>
          <w:trHeight w:val="1787"/>
        </w:trPr>
        <w:tc>
          <w:tcPr>
            <w:tcW w:w="1000" w:type="dxa"/>
            <w:tcBorders>
              <w:top w:val="single" w:sz="4" w:space="0" w:color="000000"/>
              <w:bottom w:val="single" w:sz="4" w:space="0" w:color="000000"/>
            </w:tcBorders>
          </w:tcPr>
          <w:p w:rsidR="00EA40A3" w:rsidRDefault="00E86C16">
            <w:pPr>
              <w:spacing w:before="79" w:line="290" w:lineRule="exact"/>
              <w:ind w:left="369"/>
              <w:rPr>
                <w:rFonts w:ascii="宋体" w:eastAsia="宋体" w:hAnsi="宋体" w:cs="宋体"/>
                <w:sz w:val="16"/>
                <w:szCs w:val="16"/>
              </w:rPr>
            </w:pPr>
            <w:r>
              <w:rPr>
                <w:rFonts w:ascii="宋体" w:eastAsia="宋体" w:hAnsi="宋体" w:cs="宋体"/>
                <w:spacing w:val="12"/>
                <w:w w:val="122"/>
                <w:position w:val="11"/>
                <w:sz w:val="16"/>
                <w:szCs w:val="16"/>
              </w:rPr>
              <w:t>0~</w:t>
            </w:r>
          </w:p>
          <w:p w:rsidR="00EA40A3" w:rsidRDefault="00E86C16">
            <w:pPr>
              <w:spacing w:line="183" w:lineRule="auto"/>
              <w:ind w:left="290"/>
              <w:rPr>
                <w:rFonts w:ascii="宋体" w:eastAsia="宋体" w:hAnsi="宋体" w:cs="宋体"/>
                <w:sz w:val="16"/>
                <w:szCs w:val="16"/>
              </w:rPr>
            </w:pPr>
            <w:r>
              <w:rPr>
                <w:rFonts w:ascii="宋体" w:eastAsia="宋体" w:hAnsi="宋体" w:cs="宋体"/>
                <w:spacing w:val="14"/>
                <w:sz w:val="16"/>
                <w:szCs w:val="16"/>
              </w:rPr>
              <w:t>0.5~</w:t>
            </w:r>
          </w:p>
          <w:p w:rsidR="00EA40A3" w:rsidRDefault="00E86C16">
            <w:pPr>
              <w:spacing w:before="91" w:line="251" w:lineRule="exact"/>
              <w:ind w:left="369"/>
              <w:rPr>
                <w:rFonts w:ascii="宋体" w:eastAsia="宋体" w:hAnsi="宋体" w:cs="宋体"/>
                <w:sz w:val="16"/>
                <w:szCs w:val="16"/>
              </w:rPr>
            </w:pPr>
            <w:r>
              <w:rPr>
                <w:rFonts w:ascii="宋体" w:eastAsia="宋体" w:hAnsi="宋体" w:cs="宋体"/>
                <w:spacing w:val="13"/>
                <w:w w:val="120"/>
                <w:position w:val="8"/>
                <w:sz w:val="16"/>
                <w:szCs w:val="16"/>
              </w:rPr>
              <w:t>2~</w:t>
            </w:r>
          </w:p>
          <w:p w:rsidR="00EA40A3" w:rsidRDefault="00E86C16">
            <w:pPr>
              <w:spacing w:line="181" w:lineRule="auto"/>
              <w:ind w:left="369"/>
              <w:rPr>
                <w:rFonts w:ascii="宋体" w:eastAsia="宋体" w:hAnsi="宋体" w:cs="宋体"/>
                <w:sz w:val="16"/>
                <w:szCs w:val="16"/>
              </w:rPr>
            </w:pPr>
            <w:r>
              <w:rPr>
                <w:rFonts w:ascii="宋体" w:eastAsia="宋体" w:hAnsi="宋体" w:cs="宋体"/>
                <w:spacing w:val="14"/>
                <w:w w:val="118"/>
                <w:sz w:val="16"/>
                <w:szCs w:val="16"/>
              </w:rPr>
              <w:t>7~</w:t>
            </w:r>
          </w:p>
          <w:p w:rsidR="00EA40A3" w:rsidRDefault="00E86C16">
            <w:pPr>
              <w:spacing w:before="120" w:line="184" w:lineRule="auto"/>
              <w:ind w:left="330"/>
              <w:rPr>
                <w:rFonts w:ascii="宋体" w:eastAsia="宋体" w:hAnsi="宋体" w:cs="宋体"/>
                <w:sz w:val="16"/>
                <w:szCs w:val="16"/>
              </w:rPr>
            </w:pPr>
            <w:r>
              <w:rPr>
                <w:rFonts w:ascii="宋体" w:eastAsia="宋体" w:hAnsi="宋体" w:cs="宋体"/>
                <w:spacing w:val="16"/>
                <w:sz w:val="16"/>
                <w:szCs w:val="16"/>
              </w:rPr>
              <w:t>13~</w:t>
            </w:r>
          </w:p>
          <w:p w:rsidR="00EA40A3" w:rsidRDefault="00E86C16">
            <w:pPr>
              <w:spacing w:before="101" w:line="184" w:lineRule="auto"/>
              <w:ind w:left="330"/>
              <w:rPr>
                <w:rFonts w:ascii="宋体" w:eastAsia="宋体" w:hAnsi="宋体" w:cs="宋体"/>
                <w:sz w:val="16"/>
                <w:szCs w:val="16"/>
              </w:rPr>
            </w:pPr>
            <w:r>
              <w:rPr>
                <w:rFonts w:ascii="宋体" w:eastAsia="宋体" w:hAnsi="宋体" w:cs="宋体"/>
                <w:spacing w:val="16"/>
                <w:sz w:val="16"/>
                <w:szCs w:val="16"/>
              </w:rPr>
              <w:t>18~</w:t>
            </w:r>
          </w:p>
          <w:p w:rsidR="00EA40A3" w:rsidRDefault="00E86C16">
            <w:pPr>
              <w:spacing w:before="81" w:line="158" w:lineRule="auto"/>
              <w:ind w:left="330"/>
              <w:rPr>
                <w:rFonts w:ascii="宋体" w:eastAsia="宋体" w:hAnsi="宋体" w:cs="宋体"/>
                <w:sz w:val="16"/>
                <w:szCs w:val="16"/>
              </w:rPr>
            </w:pPr>
            <w:r>
              <w:rPr>
                <w:rFonts w:ascii="宋体" w:eastAsia="宋体" w:hAnsi="宋体" w:cs="宋体"/>
                <w:spacing w:val="19"/>
                <w:sz w:val="16"/>
                <w:szCs w:val="16"/>
              </w:rPr>
              <w:t>60~</w:t>
            </w:r>
          </w:p>
        </w:tc>
        <w:tc>
          <w:tcPr>
            <w:tcW w:w="968" w:type="dxa"/>
            <w:tcBorders>
              <w:top w:val="single" w:sz="4" w:space="0" w:color="000000"/>
              <w:bottom w:val="single" w:sz="4" w:space="0" w:color="000000"/>
            </w:tcBorders>
          </w:tcPr>
          <w:p w:rsidR="00EA40A3" w:rsidRDefault="00E86C16">
            <w:pPr>
              <w:spacing w:before="109" w:line="260" w:lineRule="exact"/>
              <w:ind w:left="230"/>
              <w:rPr>
                <w:rFonts w:ascii="宋体" w:eastAsia="宋体" w:hAnsi="宋体" w:cs="宋体"/>
                <w:sz w:val="16"/>
                <w:szCs w:val="16"/>
              </w:rPr>
            </w:pPr>
            <w:r>
              <w:rPr>
                <w:rFonts w:ascii="宋体" w:eastAsia="宋体" w:hAnsi="宋体" w:cs="宋体"/>
                <w:spacing w:val="-1"/>
                <w:position w:val="10"/>
                <w:sz w:val="16"/>
                <w:szCs w:val="16"/>
              </w:rPr>
              <w:t>45～50</w:t>
            </w:r>
          </w:p>
          <w:p w:rsidR="00EA40A3" w:rsidRDefault="00E86C16">
            <w:pPr>
              <w:spacing w:line="183" w:lineRule="auto"/>
              <w:ind w:left="230"/>
              <w:rPr>
                <w:rFonts w:ascii="宋体" w:eastAsia="宋体" w:hAnsi="宋体" w:cs="宋体"/>
                <w:sz w:val="16"/>
                <w:szCs w:val="16"/>
              </w:rPr>
            </w:pPr>
            <w:r>
              <w:rPr>
                <w:rFonts w:ascii="宋体" w:eastAsia="宋体" w:hAnsi="宋体" w:cs="宋体"/>
                <w:spacing w:val="-2"/>
                <w:sz w:val="16"/>
                <w:szCs w:val="16"/>
              </w:rPr>
              <w:t>35～10</w:t>
            </w:r>
          </w:p>
          <w:p w:rsidR="00EA40A3" w:rsidRDefault="00E86C16">
            <w:pPr>
              <w:spacing w:before="91" w:line="183" w:lineRule="auto"/>
              <w:ind w:left="230"/>
              <w:rPr>
                <w:rFonts w:ascii="宋体" w:eastAsia="宋体" w:hAnsi="宋体" w:cs="宋体"/>
                <w:sz w:val="16"/>
                <w:szCs w:val="16"/>
              </w:rPr>
            </w:pPr>
            <w:r>
              <w:rPr>
                <w:rFonts w:ascii="宋体" w:eastAsia="宋体" w:hAnsi="宋体" w:cs="宋体"/>
                <w:spacing w:val="-2"/>
                <w:sz w:val="16"/>
                <w:szCs w:val="16"/>
              </w:rPr>
              <w:t>30～35</w:t>
            </w:r>
          </w:p>
          <w:p w:rsidR="00EA40A3" w:rsidRDefault="00E86C16">
            <w:pPr>
              <w:spacing w:before="91" w:line="183" w:lineRule="auto"/>
              <w:ind w:left="230"/>
              <w:rPr>
                <w:rFonts w:ascii="宋体" w:eastAsia="宋体" w:hAnsi="宋体" w:cs="宋体"/>
                <w:sz w:val="16"/>
                <w:szCs w:val="16"/>
              </w:rPr>
            </w:pPr>
            <w:r>
              <w:rPr>
                <w:rFonts w:ascii="宋体" w:eastAsia="宋体" w:hAnsi="宋体" w:cs="宋体"/>
                <w:spacing w:val="-2"/>
                <w:sz w:val="16"/>
                <w:szCs w:val="16"/>
              </w:rPr>
              <w:t>25～30</w:t>
            </w:r>
          </w:p>
          <w:p w:rsidR="00EA40A3" w:rsidRDefault="00E86C16">
            <w:pPr>
              <w:spacing w:before="101" w:line="183" w:lineRule="auto"/>
              <w:ind w:left="230"/>
              <w:rPr>
                <w:rFonts w:ascii="宋体" w:eastAsia="宋体" w:hAnsi="宋体" w:cs="宋体"/>
                <w:sz w:val="16"/>
                <w:szCs w:val="16"/>
              </w:rPr>
            </w:pPr>
            <w:r>
              <w:rPr>
                <w:rFonts w:ascii="宋体" w:eastAsia="宋体" w:hAnsi="宋体" w:cs="宋体"/>
                <w:spacing w:val="-2"/>
                <w:sz w:val="16"/>
                <w:szCs w:val="16"/>
              </w:rPr>
              <w:t>25～30</w:t>
            </w:r>
          </w:p>
          <w:p w:rsidR="00EA40A3" w:rsidRDefault="00E86C16">
            <w:pPr>
              <w:spacing w:before="101" w:line="183" w:lineRule="auto"/>
              <w:ind w:left="230"/>
              <w:rPr>
                <w:rFonts w:ascii="宋体" w:eastAsia="宋体" w:hAnsi="宋体" w:cs="宋体"/>
                <w:sz w:val="16"/>
                <w:szCs w:val="16"/>
              </w:rPr>
            </w:pPr>
            <w:r>
              <w:rPr>
                <w:rFonts w:ascii="宋体" w:eastAsia="宋体" w:hAnsi="宋体" w:cs="宋体"/>
                <w:spacing w:val="-2"/>
                <w:sz w:val="16"/>
                <w:szCs w:val="16"/>
              </w:rPr>
              <w:t>20～30</w:t>
            </w:r>
          </w:p>
          <w:p w:rsidR="00EA40A3" w:rsidRDefault="00E86C16">
            <w:pPr>
              <w:spacing w:before="102" w:line="158" w:lineRule="auto"/>
              <w:ind w:left="230"/>
              <w:rPr>
                <w:rFonts w:ascii="宋体" w:eastAsia="宋体" w:hAnsi="宋体" w:cs="宋体"/>
                <w:sz w:val="16"/>
                <w:szCs w:val="16"/>
              </w:rPr>
            </w:pPr>
            <w:r>
              <w:rPr>
                <w:rFonts w:ascii="宋体" w:eastAsia="宋体" w:hAnsi="宋体" w:cs="宋体"/>
                <w:spacing w:val="-2"/>
                <w:sz w:val="16"/>
                <w:szCs w:val="16"/>
              </w:rPr>
              <w:t>20～30</w:t>
            </w:r>
          </w:p>
        </w:tc>
        <w:tc>
          <w:tcPr>
            <w:tcW w:w="893" w:type="dxa"/>
            <w:tcBorders>
              <w:top w:val="single" w:sz="4" w:space="0" w:color="000000"/>
              <w:bottom w:val="single" w:sz="4" w:space="0" w:color="000000"/>
            </w:tcBorders>
          </w:tcPr>
          <w:p w:rsidR="00EA40A3" w:rsidRDefault="00EA40A3">
            <w:pPr>
              <w:spacing w:line="259" w:lineRule="auto"/>
            </w:pPr>
          </w:p>
          <w:p w:rsidR="00EA40A3" w:rsidRDefault="00EA40A3">
            <w:pPr>
              <w:spacing w:line="259" w:lineRule="auto"/>
            </w:pPr>
          </w:p>
          <w:p w:rsidR="00EA40A3" w:rsidRDefault="00EA40A3">
            <w:pPr>
              <w:spacing w:line="259" w:lineRule="auto"/>
            </w:pPr>
          </w:p>
          <w:p w:rsidR="00EA40A3" w:rsidRDefault="00EA40A3">
            <w:pPr>
              <w:spacing w:line="259" w:lineRule="auto"/>
            </w:pPr>
          </w:p>
          <w:p w:rsidR="00EA40A3" w:rsidRDefault="00E86C16">
            <w:pPr>
              <w:spacing w:before="52" w:line="260" w:lineRule="exact"/>
              <w:ind w:left="312"/>
              <w:rPr>
                <w:rFonts w:ascii="宋体" w:eastAsia="宋体" w:hAnsi="宋体" w:cs="宋体"/>
                <w:sz w:val="16"/>
                <w:szCs w:val="16"/>
              </w:rPr>
            </w:pPr>
            <w:r>
              <w:rPr>
                <w:rFonts w:ascii="宋体" w:eastAsia="宋体" w:hAnsi="宋体" w:cs="宋体"/>
                <w:spacing w:val="-3"/>
                <w:position w:val="7"/>
                <w:sz w:val="16"/>
                <w:szCs w:val="16"/>
              </w:rPr>
              <w:t>&lt;10</w:t>
            </w:r>
          </w:p>
          <w:p w:rsidR="00EA40A3" w:rsidRDefault="00E86C16">
            <w:pPr>
              <w:spacing w:line="239" w:lineRule="auto"/>
              <w:ind w:left="312"/>
              <w:rPr>
                <w:rFonts w:ascii="宋体" w:eastAsia="宋体" w:hAnsi="宋体" w:cs="宋体"/>
                <w:sz w:val="16"/>
                <w:szCs w:val="16"/>
              </w:rPr>
            </w:pPr>
            <w:r>
              <w:rPr>
                <w:rFonts w:ascii="宋体" w:eastAsia="宋体" w:hAnsi="宋体" w:cs="宋体"/>
                <w:spacing w:val="-3"/>
                <w:sz w:val="16"/>
                <w:szCs w:val="16"/>
              </w:rPr>
              <w:t>&lt;10</w:t>
            </w:r>
          </w:p>
          <w:p w:rsidR="00EA40A3" w:rsidRDefault="00E86C16">
            <w:pPr>
              <w:spacing w:before="68" w:line="181" w:lineRule="auto"/>
              <w:ind w:left="271"/>
              <w:rPr>
                <w:rFonts w:ascii="宋体" w:eastAsia="宋体" w:hAnsi="宋体" w:cs="宋体"/>
                <w:sz w:val="16"/>
                <w:szCs w:val="16"/>
              </w:rPr>
            </w:pPr>
            <w:r>
              <w:rPr>
                <w:rFonts w:ascii="宋体" w:eastAsia="宋体" w:hAnsi="宋体" w:cs="宋体"/>
                <w:spacing w:val="-2"/>
                <w:sz w:val="16"/>
                <w:szCs w:val="16"/>
              </w:rPr>
              <w:t>6～8</w:t>
            </w:r>
          </w:p>
        </w:tc>
        <w:tc>
          <w:tcPr>
            <w:tcW w:w="926" w:type="dxa"/>
            <w:tcBorders>
              <w:top w:val="single" w:sz="4" w:space="0" w:color="000000"/>
              <w:bottom w:val="single" w:sz="4" w:space="0" w:color="000000"/>
            </w:tcBorders>
          </w:tcPr>
          <w:p w:rsidR="00EA40A3" w:rsidRDefault="00EA40A3">
            <w:pPr>
              <w:spacing w:line="265" w:lineRule="auto"/>
            </w:pPr>
          </w:p>
          <w:p w:rsidR="00EA40A3" w:rsidRDefault="00EA40A3">
            <w:pPr>
              <w:spacing w:line="265" w:lineRule="auto"/>
            </w:pPr>
          </w:p>
          <w:p w:rsidR="00EA40A3" w:rsidRDefault="00EA40A3">
            <w:pPr>
              <w:spacing w:line="265" w:lineRule="auto"/>
            </w:pPr>
          </w:p>
          <w:p w:rsidR="00EA40A3" w:rsidRDefault="00EA40A3">
            <w:pPr>
              <w:spacing w:line="266" w:lineRule="auto"/>
            </w:pPr>
          </w:p>
          <w:p w:rsidR="00EA40A3" w:rsidRDefault="00E86C16">
            <w:pPr>
              <w:spacing w:before="52" w:line="183" w:lineRule="auto"/>
              <w:ind w:left="439"/>
              <w:rPr>
                <w:rFonts w:ascii="宋体" w:eastAsia="宋体" w:hAnsi="宋体" w:cs="宋体"/>
                <w:sz w:val="16"/>
                <w:szCs w:val="16"/>
              </w:rPr>
            </w:pPr>
            <w:r>
              <w:rPr>
                <w:rFonts w:ascii="宋体" w:eastAsia="宋体" w:hAnsi="宋体" w:cs="宋体"/>
                <w:sz w:val="16"/>
                <w:szCs w:val="16"/>
              </w:rPr>
              <w:t>8</w:t>
            </w:r>
          </w:p>
          <w:p w:rsidR="00EA40A3" w:rsidRDefault="00E86C16">
            <w:pPr>
              <w:spacing w:before="100" w:line="184" w:lineRule="auto"/>
              <w:ind w:left="399"/>
              <w:rPr>
                <w:rFonts w:ascii="宋体" w:eastAsia="宋体" w:hAnsi="宋体" w:cs="宋体"/>
                <w:sz w:val="16"/>
                <w:szCs w:val="16"/>
              </w:rPr>
            </w:pPr>
            <w:r>
              <w:rPr>
                <w:rFonts w:ascii="宋体" w:eastAsia="宋体" w:hAnsi="宋体" w:cs="宋体"/>
                <w:spacing w:val="-5"/>
                <w:sz w:val="16"/>
                <w:szCs w:val="16"/>
              </w:rPr>
              <w:t>10</w:t>
            </w:r>
          </w:p>
          <w:p w:rsidR="00EA40A3" w:rsidRDefault="00E86C16">
            <w:pPr>
              <w:spacing w:before="110" w:line="159" w:lineRule="auto"/>
              <w:ind w:left="399"/>
              <w:rPr>
                <w:rFonts w:ascii="宋体" w:eastAsia="宋体" w:hAnsi="宋体" w:cs="宋体"/>
                <w:sz w:val="16"/>
                <w:szCs w:val="16"/>
              </w:rPr>
            </w:pPr>
            <w:r>
              <w:rPr>
                <w:rFonts w:ascii="宋体" w:eastAsia="宋体" w:hAnsi="宋体" w:cs="宋体"/>
                <w:spacing w:val="-5"/>
                <w:sz w:val="16"/>
                <w:szCs w:val="16"/>
              </w:rPr>
              <w:t>10</w:t>
            </w:r>
          </w:p>
        </w:tc>
        <w:tc>
          <w:tcPr>
            <w:tcW w:w="965" w:type="dxa"/>
            <w:tcBorders>
              <w:top w:val="single" w:sz="4" w:space="0" w:color="000000"/>
              <w:bottom w:val="single" w:sz="4" w:space="0" w:color="000000"/>
            </w:tcBorders>
          </w:tcPr>
          <w:p w:rsidR="00EA40A3" w:rsidRDefault="00EA40A3">
            <w:pPr>
              <w:spacing w:line="267" w:lineRule="auto"/>
            </w:pPr>
          </w:p>
          <w:p w:rsidR="00EA40A3" w:rsidRDefault="00EA40A3">
            <w:pPr>
              <w:spacing w:line="267" w:lineRule="auto"/>
            </w:pPr>
          </w:p>
          <w:p w:rsidR="00EA40A3" w:rsidRDefault="00EA40A3">
            <w:pPr>
              <w:spacing w:line="268" w:lineRule="auto"/>
            </w:pPr>
          </w:p>
          <w:p w:rsidR="00EA40A3" w:rsidRDefault="00EA40A3">
            <w:pPr>
              <w:spacing w:line="268" w:lineRule="auto"/>
            </w:pPr>
          </w:p>
          <w:p w:rsidR="00EA40A3" w:rsidRDefault="00E86C16">
            <w:pPr>
              <w:spacing w:before="52" w:line="184" w:lineRule="auto"/>
              <w:ind w:left="413"/>
              <w:rPr>
                <w:rFonts w:ascii="宋体" w:eastAsia="宋体" w:hAnsi="宋体" w:cs="宋体"/>
                <w:sz w:val="16"/>
                <w:szCs w:val="16"/>
              </w:rPr>
            </w:pPr>
            <w:r>
              <w:rPr>
                <w:rFonts w:ascii="宋体" w:eastAsia="宋体" w:hAnsi="宋体" w:cs="宋体"/>
                <w:spacing w:val="-5"/>
                <w:sz w:val="16"/>
                <w:szCs w:val="16"/>
              </w:rPr>
              <w:t>10</w:t>
            </w:r>
          </w:p>
          <w:p w:rsidR="00EA40A3" w:rsidRDefault="00E86C16">
            <w:pPr>
              <w:spacing w:before="100" w:line="184" w:lineRule="auto"/>
              <w:ind w:left="413"/>
              <w:rPr>
                <w:rFonts w:ascii="宋体" w:eastAsia="宋体" w:hAnsi="宋体" w:cs="宋体"/>
                <w:sz w:val="16"/>
                <w:szCs w:val="16"/>
              </w:rPr>
            </w:pPr>
            <w:r>
              <w:rPr>
                <w:rFonts w:ascii="宋体" w:eastAsia="宋体" w:hAnsi="宋体" w:cs="宋体"/>
                <w:spacing w:val="-5"/>
                <w:sz w:val="16"/>
                <w:szCs w:val="16"/>
              </w:rPr>
              <w:t>10</w:t>
            </w:r>
          </w:p>
          <w:p w:rsidR="00EA40A3" w:rsidRDefault="00E86C16">
            <w:pPr>
              <w:spacing w:before="90" w:line="171" w:lineRule="auto"/>
              <w:ind w:left="293"/>
              <w:rPr>
                <w:rFonts w:ascii="宋体" w:eastAsia="宋体" w:hAnsi="宋体" w:cs="宋体"/>
                <w:sz w:val="16"/>
                <w:szCs w:val="16"/>
              </w:rPr>
            </w:pPr>
            <w:r>
              <w:rPr>
                <w:rFonts w:ascii="宋体" w:eastAsia="宋体" w:hAnsi="宋体" w:cs="宋体"/>
                <w:spacing w:val="-2"/>
                <w:sz w:val="16"/>
                <w:szCs w:val="16"/>
              </w:rPr>
              <w:t>8～10</w:t>
            </w:r>
          </w:p>
        </w:tc>
        <w:tc>
          <w:tcPr>
            <w:tcW w:w="1258" w:type="dxa"/>
            <w:tcBorders>
              <w:top w:val="single" w:sz="4" w:space="0" w:color="000000"/>
              <w:bottom w:val="single" w:sz="4" w:space="0" w:color="000000"/>
            </w:tcBorders>
          </w:tcPr>
          <w:p w:rsidR="00EA40A3" w:rsidRDefault="00E86C16">
            <w:pPr>
              <w:spacing w:before="79" w:line="270" w:lineRule="exact"/>
              <w:ind w:left="488"/>
              <w:rPr>
                <w:rFonts w:ascii="宋体" w:eastAsia="宋体" w:hAnsi="宋体" w:cs="宋体"/>
                <w:sz w:val="16"/>
                <w:szCs w:val="16"/>
              </w:rPr>
            </w:pPr>
            <w:r>
              <w:rPr>
                <w:rFonts w:ascii="宋体" w:eastAsia="宋体" w:hAnsi="宋体" w:cs="宋体"/>
                <w:spacing w:val="-2"/>
                <w:position w:val="10"/>
                <w:sz w:val="16"/>
                <w:szCs w:val="16"/>
              </w:rPr>
              <w:t>4:1</w:t>
            </w:r>
          </w:p>
          <w:p w:rsidR="00EA40A3" w:rsidRDefault="00E86C16">
            <w:pPr>
              <w:spacing w:line="183" w:lineRule="auto"/>
              <w:ind w:left="528"/>
              <w:rPr>
                <w:rFonts w:ascii="宋体" w:eastAsia="宋体" w:hAnsi="宋体" w:cs="宋体"/>
                <w:sz w:val="16"/>
                <w:szCs w:val="16"/>
              </w:rPr>
            </w:pPr>
            <w:r>
              <w:rPr>
                <w:rFonts w:ascii="宋体" w:eastAsia="宋体" w:hAnsi="宋体" w:cs="宋体"/>
                <w:spacing w:val="-2"/>
                <w:sz w:val="16"/>
                <w:szCs w:val="16"/>
              </w:rPr>
              <w:t>4:1</w:t>
            </w:r>
          </w:p>
          <w:p w:rsidR="00EA40A3" w:rsidRDefault="00E86C16">
            <w:pPr>
              <w:spacing w:before="92" w:line="222" w:lineRule="auto"/>
              <w:ind w:left="328"/>
              <w:rPr>
                <w:rFonts w:ascii="宋体" w:eastAsia="宋体" w:hAnsi="宋体" w:cs="宋体"/>
                <w:sz w:val="16"/>
                <w:szCs w:val="16"/>
              </w:rPr>
            </w:pPr>
            <w:r>
              <w:rPr>
                <w:rFonts w:ascii="宋体" w:eastAsia="宋体" w:hAnsi="宋体" w:cs="宋体"/>
                <w:spacing w:val="-5"/>
                <w:sz w:val="16"/>
                <w:szCs w:val="16"/>
              </w:rPr>
              <w:t>(4～6):1</w:t>
            </w:r>
          </w:p>
          <w:p w:rsidR="00EA40A3" w:rsidRDefault="00E86C16">
            <w:pPr>
              <w:spacing w:before="37" w:line="222" w:lineRule="auto"/>
              <w:ind w:left="328"/>
              <w:rPr>
                <w:rFonts w:ascii="宋体" w:eastAsia="宋体" w:hAnsi="宋体" w:cs="宋体"/>
                <w:sz w:val="16"/>
                <w:szCs w:val="16"/>
              </w:rPr>
            </w:pPr>
            <w:r>
              <w:rPr>
                <w:rFonts w:ascii="宋体" w:eastAsia="宋体" w:hAnsi="宋体" w:cs="宋体"/>
                <w:spacing w:val="-5"/>
                <w:sz w:val="16"/>
                <w:szCs w:val="16"/>
              </w:rPr>
              <w:t>(4～6):1</w:t>
            </w:r>
          </w:p>
          <w:p w:rsidR="00EA40A3" w:rsidRDefault="00E86C16">
            <w:pPr>
              <w:spacing w:before="67" w:line="222" w:lineRule="auto"/>
              <w:ind w:left="328"/>
              <w:rPr>
                <w:rFonts w:ascii="宋体" w:eastAsia="宋体" w:hAnsi="宋体" w:cs="宋体"/>
                <w:sz w:val="16"/>
                <w:szCs w:val="16"/>
              </w:rPr>
            </w:pPr>
            <w:r>
              <w:rPr>
                <w:rFonts w:ascii="宋体" w:eastAsia="宋体" w:hAnsi="宋体" w:cs="宋体"/>
                <w:spacing w:val="-5"/>
                <w:sz w:val="16"/>
                <w:szCs w:val="16"/>
              </w:rPr>
              <w:t>(4～6):1</w:t>
            </w:r>
          </w:p>
          <w:p w:rsidR="00EA40A3" w:rsidRDefault="00E86C16">
            <w:pPr>
              <w:spacing w:before="68" w:line="222" w:lineRule="auto"/>
              <w:ind w:left="328"/>
              <w:rPr>
                <w:rFonts w:ascii="宋体" w:eastAsia="宋体" w:hAnsi="宋体" w:cs="宋体"/>
                <w:sz w:val="16"/>
                <w:szCs w:val="16"/>
              </w:rPr>
            </w:pPr>
            <w:r>
              <w:rPr>
                <w:rFonts w:ascii="宋体" w:eastAsia="宋体" w:hAnsi="宋体" w:cs="宋体"/>
                <w:spacing w:val="-5"/>
                <w:sz w:val="16"/>
                <w:szCs w:val="16"/>
              </w:rPr>
              <w:t>(4～6):1</w:t>
            </w:r>
          </w:p>
          <w:p w:rsidR="00EA40A3" w:rsidRDefault="00E86C16">
            <w:pPr>
              <w:spacing w:before="95" w:line="171" w:lineRule="auto"/>
              <w:ind w:left="528"/>
              <w:rPr>
                <w:rFonts w:ascii="宋体" w:eastAsia="宋体" w:hAnsi="宋体" w:cs="宋体"/>
                <w:sz w:val="16"/>
                <w:szCs w:val="16"/>
              </w:rPr>
            </w:pPr>
            <w:r>
              <w:rPr>
                <w:rFonts w:ascii="宋体" w:eastAsia="宋体" w:hAnsi="宋体" w:cs="宋体"/>
                <w:spacing w:val="-2"/>
                <w:sz w:val="16"/>
                <w:szCs w:val="16"/>
              </w:rPr>
              <w:t>4:1</w:t>
            </w:r>
          </w:p>
        </w:tc>
        <w:tc>
          <w:tcPr>
            <w:tcW w:w="1310" w:type="dxa"/>
            <w:tcBorders>
              <w:top w:val="single" w:sz="4" w:space="0" w:color="000000"/>
              <w:bottom w:val="single" w:sz="4" w:space="0" w:color="000000"/>
            </w:tcBorders>
          </w:tcPr>
          <w:p w:rsidR="00EA40A3" w:rsidRDefault="00EA40A3">
            <w:pPr>
              <w:spacing w:line="260" w:lineRule="auto"/>
            </w:pPr>
          </w:p>
          <w:p w:rsidR="00EA40A3" w:rsidRDefault="00EA40A3">
            <w:pPr>
              <w:spacing w:line="261" w:lineRule="auto"/>
            </w:pPr>
          </w:p>
          <w:p w:rsidR="00EA40A3" w:rsidRDefault="00EA40A3">
            <w:pPr>
              <w:spacing w:line="261" w:lineRule="auto"/>
            </w:pPr>
          </w:p>
          <w:p w:rsidR="00EA40A3" w:rsidRDefault="00EA40A3">
            <w:pPr>
              <w:spacing w:line="261" w:lineRule="auto"/>
            </w:pPr>
          </w:p>
          <w:p w:rsidR="00EA40A3" w:rsidRDefault="00EA40A3">
            <w:pPr>
              <w:spacing w:line="261" w:lineRule="auto"/>
            </w:pPr>
          </w:p>
          <w:p w:rsidR="00EA40A3" w:rsidRDefault="00E86C16">
            <w:pPr>
              <w:spacing w:before="52" w:line="260" w:lineRule="exact"/>
              <w:ind w:left="430"/>
              <w:rPr>
                <w:rFonts w:ascii="宋体" w:eastAsia="宋体" w:hAnsi="宋体" w:cs="宋体"/>
                <w:sz w:val="16"/>
                <w:szCs w:val="16"/>
              </w:rPr>
            </w:pPr>
            <w:r>
              <w:rPr>
                <w:rFonts w:ascii="宋体" w:eastAsia="宋体" w:hAnsi="宋体" w:cs="宋体"/>
                <w:spacing w:val="-2"/>
                <w:position w:val="7"/>
                <w:sz w:val="16"/>
                <w:szCs w:val="16"/>
              </w:rPr>
              <w:t>&lt;300</w:t>
            </w:r>
          </w:p>
          <w:p w:rsidR="00EA40A3" w:rsidRDefault="00E86C16">
            <w:pPr>
              <w:spacing w:line="187" w:lineRule="auto"/>
              <w:ind w:left="430"/>
              <w:rPr>
                <w:rFonts w:ascii="宋体" w:eastAsia="宋体" w:hAnsi="宋体" w:cs="宋体"/>
                <w:sz w:val="16"/>
                <w:szCs w:val="16"/>
              </w:rPr>
            </w:pPr>
            <w:r>
              <w:rPr>
                <w:rFonts w:ascii="宋体" w:eastAsia="宋体" w:hAnsi="宋体" w:cs="宋体"/>
                <w:spacing w:val="-2"/>
                <w:sz w:val="16"/>
                <w:szCs w:val="16"/>
              </w:rPr>
              <w:t>&lt;300</w:t>
            </w:r>
          </w:p>
        </w:tc>
      </w:tr>
    </w:tbl>
    <w:p w:rsidR="00EA40A3" w:rsidRDefault="00E86C16">
      <w:pPr>
        <w:spacing w:before="91" w:line="219" w:lineRule="auto"/>
        <w:ind w:left="330"/>
        <w:rPr>
          <w:rFonts w:ascii="宋体" w:eastAsia="宋体" w:hAnsi="宋体" w:cs="宋体"/>
          <w:sz w:val="16"/>
          <w:szCs w:val="16"/>
        </w:rPr>
      </w:pPr>
      <w:r>
        <w:rPr>
          <w:rFonts w:ascii="宋体" w:eastAsia="宋体" w:hAnsi="宋体" w:cs="宋体"/>
          <w:sz w:val="16"/>
          <w:szCs w:val="16"/>
        </w:rPr>
        <w:t>资料来源：中国营养学会.2000.中国居民膳食营养素参考摄入</w:t>
      </w:r>
      <w:r>
        <w:rPr>
          <w:rFonts w:ascii="宋体" w:eastAsia="宋体" w:hAnsi="宋体" w:cs="宋体"/>
          <w:spacing w:val="-1"/>
          <w:sz w:val="16"/>
          <w:szCs w:val="16"/>
        </w:rPr>
        <w:t>量.北京：中国轻工业出版社</w:t>
      </w:r>
    </w:p>
    <w:p w:rsidR="00EA40A3" w:rsidRDefault="00EA40A3">
      <w:pPr>
        <w:sectPr w:rsidR="00EA40A3">
          <w:footerReference w:type="default" r:id="rId52"/>
          <w:pgSz w:w="9220" w:h="13360"/>
          <w:pgMar w:top="400" w:right="959" w:bottom="1234" w:left="899" w:header="0" w:footer="1001" w:gutter="0"/>
          <w:cols w:space="720"/>
        </w:sectPr>
      </w:pPr>
    </w:p>
    <w:p w:rsidR="00EA40A3" w:rsidRDefault="00EA40A3">
      <w:pPr>
        <w:spacing w:line="256" w:lineRule="auto"/>
      </w:pPr>
    </w:p>
    <w:p w:rsidR="00EA40A3" w:rsidRDefault="00EA40A3">
      <w:pPr>
        <w:spacing w:line="256" w:lineRule="auto"/>
      </w:pPr>
    </w:p>
    <w:p w:rsidR="00EA40A3" w:rsidRDefault="00EA40A3">
      <w:pPr>
        <w:spacing w:line="257" w:lineRule="auto"/>
      </w:pPr>
    </w:p>
    <w:p w:rsidR="00EA40A3" w:rsidRDefault="00E86C16">
      <w:pPr>
        <w:spacing w:before="71" w:line="221" w:lineRule="auto"/>
        <w:ind w:left="89"/>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39"/>
          <w:sz w:val="22"/>
          <w:szCs w:val="22"/>
        </w:rPr>
        <w:t xml:space="preserve"> </w:t>
      </w:r>
      <w:r>
        <w:rPr>
          <w:rFonts w:ascii="仿宋" w:eastAsia="仿宋" w:hAnsi="仿宋" w:cs="仿宋"/>
          <w:spacing w:val="14"/>
          <w:sz w:val="22"/>
          <w:szCs w:val="22"/>
        </w:rPr>
        <w:t>脂肪的食物来源</w:t>
      </w:r>
    </w:p>
    <w:p w:rsidR="00EA40A3" w:rsidRDefault="00E86C16">
      <w:pPr>
        <w:spacing w:before="173" w:line="247" w:lineRule="auto"/>
        <w:ind w:left="89" w:firstLine="430"/>
        <w:jc w:val="both"/>
        <w:rPr>
          <w:rFonts w:ascii="宋体" w:eastAsia="宋体" w:hAnsi="宋体" w:cs="宋体"/>
          <w:sz w:val="22"/>
          <w:szCs w:val="22"/>
        </w:rPr>
      </w:pPr>
      <w:r>
        <w:rPr>
          <w:rFonts w:ascii="宋体" w:eastAsia="宋体" w:hAnsi="宋体" w:cs="宋体"/>
          <w:spacing w:val="-12"/>
          <w:sz w:val="22"/>
          <w:szCs w:val="22"/>
        </w:rPr>
        <w:t>各种植物油和炼制过的动物脂肪是膳食脂肪的</w:t>
      </w:r>
      <w:r>
        <w:rPr>
          <w:rFonts w:ascii="宋体" w:eastAsia="宋体" w:hAnsi="宋体" w:cs="宋体"/>
          <w:spacing w:val="-13"/>
          <w:sz w:val="22"/>
          <w:szCs w:val="22"/>
        </w:rPr>
        <w:t>主要来源。植物油含较多的不</w:t>
      </w:r>
      <w:r>
        <w:rPr>
          <w:rFonts w:ascii="宋体" w:eastAsia="宋体" w:hAnsi="宋体" w:cs="宋体"/>
          <w:sz w:val="22"/>
          <w:szCs w:val="22"/>
        </w:rPr>
        <w:t xml:space="preserve"> </w:t>
      </w:r>
      <w:r>
        <w:rPr>
          <w:rFonts w:ascii="宋体" w:eastAsia="宋体" w:hAnsi="宋体" w:cs="宋体"/>
          <w:spacing w:val="-13"/>
          <w:sz w:val="22"/>
          <w:szCs w:val="22"/>
        </w:rPr>
        <w:t>饱和脂肪酸，植物性的油料作物及坚果类食物，如大豆、芝麻、花生、菜籽、葵</w:t>
      </w:r>
      <w:r>
        <w:rPr>
          <w:rFonts w:ascii="宋体" w:eastAsia="宋体" w:hAnsi="宋体" w:cs="宋体"/>
          <w:spacing w:val="3"/>
          <w:sz w:val="22"/>
          <w:szCs w:val="22"/>
        </w:rPr>
        <w:t xml:space="preserve"> 花籽、松籽、榛子中含有丰富的油脂，通常含量达20%～6</w:t>
      </w:r>
      <w:r>
        <w:rPr>
          <w:rFonts w:ascii="宋体" w:eastAsia="宋体" w:hAnsi="宋体" w:cs="宋体"/>
          <w:spacing w:val="2"/>
          <w:sz w:val="22"/>
          <w:szCs w:val="22"/>
        </w:rPr>
        <w:t>0%;动物脂肪相对</w:t>
      </w:r>
      <w:r>
        <w:rPr>
          <w:rFonts w:ascii="宋体" w:eastAsia="宋体" w:hAnsi="宋体" w:cs="宋体"/>
          <w:sz w:val="22"/>
          <w:szCs w:val="22"/>
        </w:rPr>
        <w:t xml:space="preserve"> </w:t>
      </w:r>
      <w:r>
        <w:rPr>
          <w:rFonts w:ascii="宋体" w:eastAsia="宋体" w:hAnsi="宋体" w:cs="宋体"/>
          <w:spacing w:val="-6"/>
          <w:sz w:val="22"/>
          <w:szCs w:val="22"/>
        </w:rPr>
        <w:t>饱和脂肪酸和单不饱和脂肪酸较多(表3-13)。动物性食</w:t>
      </w:r>
      <w:r>
        <w:rPr>
          <w:rFonts w:ascii="宋体" w:eastAsia="宋体" w:hAnsi="宋体" w:cs="宋体"/>
          <w:spacing w:val="-7"/>
          <w:sz w:val="22"/>
          <w:szCs w:val="22"/>
        </w:rPr>
        <w:t>物中以畜肉类脂肪含量</w:t>
      </w:r>
      <w:r>
        <w:rPr>
          <w:rFonts w:ascii="宋体" w:eastAsia="宋体" w:hAnsi="宋体" w:cs="宋体"/>
          <w:sz w:val="22"/>
          <w:szCs w:val="22"/>
        </w:rPr>
        <w:t xml:space="preserve"> </w:t>
      </w:r>
      <w:r>
        <w:rPr>
          <w:rFonts w:ascii="宋体" w:eastAsia="宋体" w:hAnsi="宋体" w:cs="宋体"/>
          <w:spacing w:val="-13"/>
          <w:sz w:val="22"/>
          <w:szCs w:val="22"/>
        </w:rPr>
        <w:t>较高，禽类次之，鱼类较少，蛋黄中脂肪含量也较高。动物的脑、心、肝中含丰</w:t>
      </w:r>
      <w:r>
        <w:rPr>
          <w:rFonts w:ascii="宋体" w:eastAsia="宋体" w:hAnsi="宋体" w:cs="宋体"/>
          <w:spacing w:val="3"/>
          <w:sz w:val="22"/>
          <w:szCs w:val="22"/>
        </w:rPr>
        <w:t xml:space="preserve"> </w:t>
      </w:r>
      <w:r>
        <w:rPr>
          <w:rFonts w:ascii="宋体" w:eastAsia="宋体" w:hAnsi="宋体" w:cs="宋体"/>
          <w:spacing w:val="-13"/>
          <w:sz w:val="22"/>
          <w:szCs w:val="22"/>
        </w:rPr>
        <w:t>富的磷脂和胆固醇；蛋黄也含有较多的磷脂和胆固醇，且易于吸收，是婴幼儿脂</w:t>
      </w:r>
      <w:r>
        <w:rPr>
          <w:rFonts w:ascii="宋体" w:eastAsia="宋体" w:hAnsi="宋体" w:cs="宋体"/>
          <w:spacing w:val="4"/>
          <w:sz w:val="22"/>
          <w:szCs w:val="22"/>
        </w:rPr>
        <w:t xml:space="preserve"> </w:t>
      </w:r>
      <w:r>
        <w:rPr>
          <w:rFonts w:ascii="宋体" w:eastAsia="宋体" w:hAnsi="宋体" w:cs="宋体"/>
          <w:spacing w:val="-17"/>
          <w:sz w:val="22"/>
          <w:szCs w:val="22"/>
        </w:rPr>
        <w:t>类的良好来源。</w:t>
      </w:r>
      <w:r>
        <w:rPr>
          <w:rFonts w:ascii="宋体" w:eastAsia="宋体" w:hAnsi="宋体" w:cs="宋体"/>
          <w:spacing w:val="35"/>
          <w:sz w:val="22"/>
          <w:szCs w:val="22"/>
        </w:rPr>
        <w:t xml:space="preserve"> </w:t>
      </w:r>
      <w:r>
        <w:rPr>
          <w:rFonts w:ascii="宋体" w:eastAsia="宋体" w:hAnsi="宋体" w:cs="宋体"/>
          <w:spacing w:val="-17"/>
          <w:sz w:val="22"/>
          <w:szCs w:val="22"/>
        </w:rPr>
        <w:t>一般认为，植物油中大豆油、花生油、芝麻油、米糠油及动物脂</w:t>
      </w:r>
      <w:r>
        <w:rPr>
          <w:rFonts w:ascii="宋体" w:eastAsia="宋体" w:hAnsi="宋体" w:cs="宋体"/>
          <w:sz w:val="22"/>
          <w:szCs w:val="22"/>
        </w:rPr>
        <w:t xml:space="preserve"> </w:t>
      </w:r>
      <w:r>
        <w:rPr>
          <w:rFonts w:ascii="宋体" w:eastAsia="宋体" w:hAnsi="宋体" w:cs="宋体"/>
          <w:spacing w:val="-14"/>
          <w:sz w:val="22"/>
          <w:szCs w:val="22"/>
        </w:rPr>
        <w:t>肪中奶油、蛋黄、鱼肝油等富含必需脂肪酸和脂溶性维生素，营养价值较高。</w:t>
      </w:r>
    </w:p>
    <w:p w:rsidR="00EA40A3" w:rsidRDefault="00EA40A3">
      <w:pPr>
        <w:spacing w:line="355" w:lineRule="auto"/>
      </w:pPr>
    </w:p>
    <w:p w:rsidR="00EA40A3" w:rsidRDefault="00E86C16">
      <w:pPr>
        <w:spacing w:before="59" w:line="221" w:lineRule="auto"/>
        <w:ind w:left="2482"/>
        <w:rPr>
          <w:rFonts w:ascii="黑体" w:eastAsia="黑体" w:hAnsi="黑体" w:cs="黑体"/>
          <w:sz w:val="18"/>
          <w:szCs w:val="18"/>
        </w:rPr>
      </w:pPr>
      <w:r>
        <w:rPr>
          <w:rFonts w:ascii="黑体" w:eastAsia="黑体" w:hAnsi="黑体" w:cs="黑体"/>
          <w:b/>
          <w:bCs/>
          <w:spacing w:val="-4"/>
          <w:sz w:val="18"/>
          <w:szCs w:val="18"/>
        </w:rPr>
        <w:t>表3-13</w:t>
      </w:r>
      <w:r>
        <w:rPr>
          <w:rFonts w:ascii="黑体" w:eastAsia="黑体" w:hAnsi="黑体" w:cs="黑体"/>
          <w:spacing w:val="97"/>
          <w:w w:val="101"/>
          <w:sz w:val="18"/>
          <w:szCs w:val="18"/>
        </w:rPr>
        <w:t xml:space="preserve"> </w:t>
      </w:r>
      <w:r>
        <w:rPr>
          <w:rFonts w:ascii="黑体" w:eastAsia="黑体" w:hAnsi="黑体" w:cs="黑体"/>
          <w:b/>
          <w:bCs/>
          <w:spacing w:val="-4"/>
          <w:sz w:val="18"/>
          <w:szCs w:val="18"/>
        </w:rPr>
        <w:t>常见脂肪酸的食物来源</w:t>
      </w:r>
    </w:p>
    <w:p w:rsidR="00EA40A3" w:rsidRDefault="00EA40A3">
      <w:pPr>
        <w:spacing w:line="65" w:lineRule="auto"/>
        <w:rPr>
          <w:sz w:val="2"/>
        </w:rPr>
      </w:pPr>
    </w:p>
    <w:tbl>
      <w:tblPr>
        <w:tblStyle w:val="TableNormal"/>
        <w:tblW w:w="735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02"/>
        <w:gridCol w:w="3082"/>
        <w:gridCol w:w="2475"/>
      </w:tblGrid>
      <w:tr w:rsidR="00EA40A3">
        <w:trPr>
          <w:trHeight w:val="324"/>
        </w:trPr>
        <w:tc>
          <w:tcPr>
            <w:tcW w:w="1802" w:type="dxa"/>
            <w:tcBorders>
              <w:top w:val="single" w:sz="4" w:space="0" w:color="000000"/>
              <w:bottom w:val="single" w:sz="4" w:space="0" w:color="000000"/>
            </w:tcBorders>
          </w:tcPr>
          <w:p w:rsidR="00EA40A3" w:rsidRDefault="00E86C16">
            <w:pPr>
              <w:spacing w:before="123" w:line="221" w:lineRule="auto"/>
              <w:ind w:left="540"/>
              <w:rPr>
                <w:rFonts w:ascii="宋体" w:eastAsia="宋体" w:hAnsi="宋体" w:cs="宋体"/>
                <w:sz w:val="15"/>
                <w:szCs w:val="15"/>
              </w:rPr>
            </w:pPr>
            <w:r>
              <w:rPr>
                <w:rFonts w:ascii="宋体" w:eastAsia="宋体" w:hAnsi="宋体" w:cs="宋体"/>
                <w:spacing w:val="-2"/>
                <w:sz w:val="15"/>
                <w:szCs w:val="15"/>
              </w:rPr>
              <w:t>名称</w:t>
            </w:r>
          </w:p>
        </w:tc>
        <w:tc>
          <w:tcPr>
            <w:tcW w:w="3082" w:type="dxa"/>
            <w:tcBorders>
              <w:top w:val="single" w:sz="4" w:space="0" w:color="000000"/>
              <w:bottom w:val="single" w:sz="4" w:space="0" w:color="000000"/>
            </w:tcBorders>
          </w:tcPr>
          <w:p w:rsidR="00EA40A3" w:rsidRDefault="00E86C16">
            <w:pPr>
              <w:spacing w:before="121" w:line="219" w:lineRule="auto"/>
              <w:ind w:left="1757"/>
              <w:rPr>
                <w:rFonts w:ascii="宋体" w:eastAsia="宋体" w:hAnsi="宋体" w:cs="宋体"/>
                <w:sz w:val="15"/>
                <w:szCs w:val="15"/>
              </w:rPr>
            </w:pPr>
            <w:r>
              <w:rPr>
                <w:rFonts w:ascii="宋体" w:eastAsia="宋体" w:hAnsi="宋体" w:cs="宋体"/>
                <w:spacing w:val="19"/>
                <w:sz w:val="15"/>
                <w:szCs w:val="15"/>
              </w:rPr>
              <w:t>代号</w:t>
            </w:r>
          </w:p>
        </w:tc>
        <w:tc>
          <w:tcPr>
            <w:tcW w:w="2475" w:type="dxa"/>
            <w:tcBorders>
              <w:top w:val="single" w:sz="4" w:space="0" w:color="000000"/>
              <w:bottom w:val="single" w:sz="4" w:space="0" w:color="000000"/>
            </w:tcBorders>
          </w:tcPr>
          <w:p w:rsidR="00EA40A3" w:rsidRDefault="00E86C16">
            <w:pPr>
              <w:spacing w:before="131" w:line="219" w:lineRule="auto"/>
              <w:ind w:left="975"/>
              <w:rPr>
                <w:rFonts w:ascii="宋体" w:eastAsia="宋体" w:hAnsi="宋体" w:cs="宋体"/>
                <w:sz w:val="15"/>
                <w:szCs w:val="15"/>
              </w:rPr>
            </w:pPr>
            <w:r>
              <w:rPr>
                <w:rFonts w:ascii="宋体" w:eastAsia="宋体" w:hAnsi="宋体" w:cs="宋体"/>
                <w:spacing w:val="-2"/>
                <w:sz w:val="15"/>
                <w:szCs w:val="15"/>
              </w:rPr>
              <w:t>食物来源</w:t>
            </w:r>
          </w:p>
        </w:tc>
      </w:tr>
      <w:tr w:rsidR="00EA40A3">
        <w:trPr>
          <w:trHeight w:val="275"/>
        </w:trPr>
        <w:tc>
          <w:tcPr>
            <w:tcW w:w="1802" w:type="dxa"/>
            <w:tcBorders>
              <w:top w:val="single" w:sz="4" w:space="0" w:color="000000"/>
            </w:tcBorders>
          </w:tcPr>
          <w:p w:rsidR="00EA40A3" w:rsidRDefault="00E86C16">
            <w:pPr>
              <w:spacing w:before="78" w:line="221" w:lineRule="auto"/>
              <w:ind w:left="130"/>
              <w:rPr>
                <w:rFonts w:ascii="宋体" w:eastAsia="宋体" w:hAnsi="宋体" w:cs="宋体"/>
                <w:sz w:val="15"/>
                <w:szCs w:val="15"/>
              </w:rPr>
            </w:pPr>
            <w:r>
              <w:rPr>
                <w:rFonts w:ascii="宋体" w:eastAsia="宋体" w:hAnsi="宋体" w:cs="宋体"/>
                <w:spacing w:val="-3"/>
                <w:sz w:val="15"/>
                <w:szCs w:val="15"/>
              </w:rPr>
              <w:t>丁酸</w:t>
            </w:r>
          </w:p>
        </w:tc>
        <w:tc>
          <w:tcPr>
            <w:tcW w:w="3082" w:type="dxa"/>
            <w:tcBorders>
              <w:top w:val="single" w:sz="4" w:space="0" w:color="000000"/>
            </w:tcBorders>
          </w:tcPr>
          <w:p w:rsidR="00EA40A3" w:rsidRDefault="00E86C16">
            <w:pPr>
              <w:spacing w:before="90" w:line="183" w:lineRule="auto"/>
              <w:ind w:left="687"/>
              <w:rPr>
                <w:rFonts w:ascii="宋体" w:eastAsia="宋体" w:hAnsi="宋体" w:cs="宋体"/>
                <w:sz w:val="15"/>
                <w:szCs w:val="15"/>
              </w:rPr>
            </w:pPr>
            <w:r>
              <w:rPr>
                <w:rFonts w:ascii="宋体" w:eastAsia="宋体" w:hAnsi="宋体" w:cs="宋体"/>
                <w:spacing w:val="-5"/>
                <w:sz w:val="15"/>
                <w:szCs w:val="15"/>
              </w:rPr>
              <w:t>C</w:t>
            </w:r>
            <w:r>
              <w:rPr>
                <w:rFonts w:ascii="Calibri" w:eastAsia="Calibri" w:hAnsi="Calibri" w:cs="Calibri"/>
                <w:spacing w:val="-5"/>
                <w:sz w:val="15"/>
                <w:szCs w:val="15"/>
              </w:rPr>
              <w:t>₄</w:t>
            </w:r>
            <w:r>
              <w:rPr>
                <w:rFonts w:ascii="Calibri" w:eastAsia="Calibri" w:hAnsi="Calibri" w:cs="Calibri"/>
                <w:spacing w:val="-6"/>
                <w:sz w:val="15"/>
                <w:szCs w:val="15"/>
              </w:rPr>
              <w:t xml:space="preserve"> </w:t>
            </w:r>
            <w:r>
              <w:rPr>
                <w:rFonts w:ascii="宋体" w:eastAsia="宋体" w:hAnsi="宋体" w:cs="宋体"/>
                <w:spacing w:val="-5"/>
                <w:sz w:val="15"/>
                <w:szCs w:val="15"/>
              </w:rPr>
              <w:t>:o</w:t>
            </w:r>
          </w:p>
        </w:tc>
        <w:tc>
          <w:tcPr>
            <w:tcW w:w="2475" w:type="dxa"/>
            <w:tcBorders>
              <w:top w:val="single" w:sz="4" w:space="0" w:color="000000"/>
            </w:tcBorders>
          </w:tcPr>
          <w:p w:rsidR="00EA40A3" w:rsidRDefault="00E86C16">
            <w:pPr>
              <w:spacing w:before="68" w:line="221" w:lineRule="auto"/>
              <w:ind w:left="136"/>
              <w:rPr>
                <w:rFonts w:ascii="宋体" w:eastAsia="宋体" w:hAnsi="宋体" w:cs="宋体"/>
                <w:sz w:val="15"/>
                <w:szCs w:val="15"/>
              </w:rPr>
            </w:pPr>
            <w:r>
              <w:rPr>
                <w:rFonts w:ascii="宋体" w:eastAsia="宋体" w:hAnsi="宋体" w:cs="宋体"/>
                <w:spacing w:val="7"/>
                <w:sz w:val="15"/>
                <w:szCs w:val="15"/>
              </w:rPr>
              <w:t>奶油</w:t>
            </w:r>
          </w:p>
        </w:tc>
      </w:tr>
      <w:tr w:rsidR="00EA40A3">
        <w:trPr>
          <w:trHeight w:val="263"/>
        </w:trPr>
        <w:tc>
          <w:tcPr>
            <w:tcW w:w="1802" w:type="dxa"/>
          </w:tcPr>
          <w:p w:rsidR="00EA40A3" w:rsidRDefault="00E86C16">
            <w:pPr>
              <w:spacing w:before="63" w:line="221" w:lineRule="auto"/>
              <w:ind w:left="130"/>
              <w:rPr>
                <w:rFonts w:ascii="宋体" w:eastAsia="宋体" w:hAnsi="宋体" w:cs="宋体"/>
                <w:sz w:val="15"/>
                <w:szCs w:val="15"/>
              </w:rPr>
            </w:pPr>
            <w:r>
              <w:rPr>
                <w:rFonts w:ascii="宋体" w:eastAsia="宋体" w:hAnsi="宋体" w:cs="宋体"/>
                <w:spacing w:val="3"/>
                <w:sz w:val="15"/>
                <w:szCs w:val="15"/>
              </w:rPr>
              <w:t>已酸</w:t>
            </w:r>
          </w:p>
        </w:tc>
        <w:tc>
          <w:tcPr>
            <w:tcW w:w="3082" w:type="dxa"/>
          </w:tcPr>
          <w:p w:rsidR="00EA40A3" w:rsidRDefault="00E86C16">
            <w:pPr>
              <w:spacing w:before="110" w:line="183" w:lineRule="auto"/>
              <w:ind w:left="687"/>
              <w:rPr>
                <w:rFonts w:ascii="宋体" w:eastAsia="宋体" w:hAnsi="宋体" w:cs="宋体"/>
                <w:sz w:val="15"/>
                <w:szCs w:val="15"/>
              </w:rPr>
            </w:pPr>
            <w:r>
              <w:rPr>
                <w:rFonts w:ascii="宋体" w:eastAsia="宋体" w:hAnsi="宋体" w:cs="宋体"/>
                <w:spacing w:val="-1"/>
                <w:sz w:val="15"/>
                <w:szCs w:val="15"/>
              </w:rPr>
              <w:t>C6:0</w:t>
            </w:r>
          </w:p>
        </w:tc>
        <w:tc>
          <w:tcPr>
            <w:tcW w:w="2475" w:type="dxa"/>
          </w:tcPr>
          <w:p w:rsidR="00EA40A3" w:rsidRDefault="00E86C16">
            <w:pPr>
              <w:spacing w:before="53" w:line="221" w:lineRule="auto"/>
              <w:ind w:left="136"/>
              <w:rPr>
                <w:rFonts w:ascii="宋体" w:eastAsia="宋体" w:hAnsi="宋体" w:cs="宋体"/>
                <w:sz w:val="15"/>
                <w:szCs w:val="15"/>
              </w:rPr>
            </w:pPr>
            <w:r>
              <w:rPr>
                <w:rFonts w:ascii="宋体" w:eastAsia="宋体" w:hAnsi="宋体" w:cs="宋体"/>
                <w:spacing w:val="7"/>
                <w:sz w:val="15"/>
                <w:szCs w:val="15"/>
              </w:rPr>
              <w:t>奶油</w:t>
            </w:r>
          </w:p>
        </w:tc>
      </w:tr>
      <w:tr w:rsidR="00EA40A3">
        <w:trPr>
          <w:trHeight w:val="239"/>
        </w:trPr>
        <w:tc>
          <w:tcPr>
            <w:tcW w:w="1802" w:type="dxa"/>
          </w:tcPr>
          <w:p w:rsidR="00EA40A3" w:rsidRDefault="00E86C16">
            <w:pPr>
              <w:spacing w:before="50" w:line="221" w:lineRule="auto"/>
              <w:ind w:left="130"/>
              <w:rPr>
                <w:rFonts w:ascii="宋体" w:eastAsia="宋体" w:hAnsi="宋体" w:cs="宋体"/>
                <w:sz w:val="15"/>
                <w:szCs w:val="15"/>
              </w:rPr>
            </w:pPr>
            <w:r>
              <w:rPr>
                <w:rFonts w:ascii="宋体" w:eastAsia="宋体" w:hAnsi="宋体" w:cs="宋体"/>
                <w:spacing w:val="-3"/>
                <w:sz w:val="15"/>
                <w:szCs w:val="15"/>
              </w:rPr>
              <w:t>辛酸</w:t>
            </w:r>
          </w:p>
        </w:tc>
        <w:tc>
          <w:tcPr>
            <w:tcW w:w="3082" w:type="dxa"/>
          </w:tcPr>
          <w:p w:rsidR="00EA40A3" w:rsidRDefault="00E86C16">
            <w:pPr>
              <w:spacing w:before="57" w:line="183" w:lineRule="auto"/>
              <w:ind w:left="687"/>
              <w:rPr>
                <w:rFonts w:ascii="宋体" w:eastAsia="宋体" w:hAnsi="宋体" w:cs="宋体"/>
                <w:sz w:val="15"/>
                <w:szCs w:val="15"/>
              </w:rPr>
            </w:pPr>
            <w:r>
              <w:rPr>
                <w:rFonts w:ascii="宋体" w:eastAsia="宋体" w:hAnsi="宋体" w:cs="宋体"/>
                <w:spacing w:val="-1"/>
                <w:sz w:val="15"/>
                <w:szCs w:val="15"/>
              </w:rPr>
              <w:t>Cg:0</w:t>
            </w:r>
          </w:p>
        </w:tc>
        <w:tc>
          <w:tcPr>
            <w:tcW w:w="2475" w:type="dxa"/>
          </w:tcPr>
          <w:p w:rsidR="00EA40A3" w:rsidRDefault="00E86C16">
            <w:pPr>
              <w:spacing w:before="49" w:line="220" w:lineRule="auto"/>
              <w:ind w:left="136"/>
              <w:rPr>
                <w:rFonts w:ascii="宋体" w:eastAsia="宋体" w:hAnsi="宋体" w:cs="宋体"/>
                <w:sz w:val="15"/>
                <w:szCs w:val="15"/>
              </w:rPr>
            </w:pPr>
            <w:r>
              <w:rPr>
                <w:rFonts w:ascii="宋体" w:eastAsia="宋体" w:hAnsi="宋体" w:cs="宋体"/>
                <w:spacing w:val="2"/>
                <w:sz w:val="15"/>
                <w:szCs w:val="15"/>
              </w:rPr>
              <w:t>椰子油、奶油</w:t>
            </w:r>
          </w:p>
        </w:tc>
      </w:tr>
      <w:tr w:rsidR="00EA40A3">
        <w:trPr>
          <w:trHeight w:val="275"/>
        </w:trPr>
        <w:tc>
          <w:tcPr>
            <w:tcW w:w="1802" w:type="dxa"/>
          </w:tcPr>
          <w:p w:rsidR="00EA40A3" w:rsidRDefault="00E86C16">
            <w:pPr>
              <w:spacing w:before="80" w:line="220" w:lineRule="auto"/>
              <w:ind w:left="130"/>
              <w:rPr>
                <w:rFonts w:ascii="宋体" w:eastAsia="宋体" w:hAnsi="宋体" w:cs="宋体"/>
                <w:sz w:val="15"/>
                <w:szCs w:val="15"/>
              </w:rPr>
            </w:pPr>
            <w:r>
              <w:rPr>
                <w:rFonts w:ascii="宋体" w:eastAsia="宋体" w:hAnsi="宋体" w:cs="宋体"/>
                <w:spacing w:val="-2"/>
                <w:sz w:val="15"/>
                <w:szCs w:val="15"/>
              </w:rPr>
              <w:t>癸酸</w:t>
            </w:r>
          </w:p>
        </w:tc>
        <w:tc>
          <w:tcPr>
            <w:tcW w:w="3082" w:type="dxa"/>
          </w:tcPr>
          <w:p w:rsidR="00EA40A3" w:rsidRDefault="00E86C16">
            <w:pPr>
              <w:spacing w:before="128" w:line="180" w:lineRule="auto"/>
              <w:ind w:left="687"/>
              <w:rPr>
                <w:rFonts w:ascii="宋体" w:eastAsia="宋体" w:hAnsi="宋体" w:cs="宋体"/>
                <w:sz w:val="15"/>
                <w:szCs w:val="15"/>
              </w:rPr>
            </w:pPr>
            <w:r>
              <w:rPr>
                <w:rFonts w:ascii="宋体" w:eastAsia="宋体" w:hAnsi="宋体" w:cs="宋体"/>
                <w:spacing w:val="-1"/>
                <w:sz w:val="15"/>
                <w:szCs w:val="15"/>
              </w:rPr>
              <w:t>Cio:0</w:t>
            </w:r>
          </w:p>
        </w:tc>
        <w:tc>
          <w:tcPr>
            <w:tcW w:w="2475" w:type="dxa"/>
          </w:tcPr>
          <w:p w:rsidR="00EA40A3" w:rsidRDefault="00E86C16">
            <w:pPr>
              <w:spacing w:before="50" w:line="219" w:lineRule="auto"/>
              <w:ind w:left="136"/>
              <w:rPr>
                <w:rFonts w:ascii="宋体" w:eastAsia="宋体" w:hAnsi="宋体" w:cs="宋体"/>
                <w:sz w:val="15"/>
                <w:szCs w:val="15"/>
              </w:rPr>
            </w:pPr>
            <w:r>
              <w:rPr>
                <w:rFonts w:ascii="宋体" w:eastAsia="宋体" w:hAnsi="宋体" w:cs="宋体"/>
                <w:spacing w:val="1"/>
                <w:sz w:val="15"/>
                <w:szCs w:val="15"/>
              </w:rPr>
              <w:t>椰子油、奶油、棕榈油</w:t>
            </w:r>
          </w:p>
        </w:tc>
      </w:tr>
      <w:tr w:rsidR="00EA40A3">
        <w:trPr>
          <w:trHeight w:val="249"/>
        </w:trPr>
        <w:tc>
          <w:tcPr>
            <w:tcW w:w="1802" w:type="dxa"/>
          </w:tcPr>
          <w:p w:rsidR="00EA40A3" w:rsidRDefault="00E86C16">
            <w:pPr>
              <w:spacing w:before="55" w:line="219" w:lineRule="auto"/>
              <w:ind w:left="130"/>
              <w:rPr>
                <w:rFonts w:ascii="宋体" w:eastAsia="宋体" w:hAnsi="宋体" w:cs="宋体"/>
                <w:sz w:val="15"/>
                <w:szCs w:val="15"/>
              </w:rPr>
            </w:pPr>
            <w:r>
              <w:rPr>
                <w:rFonts w:ascii="宋体" w:eastAsia="宋体" w:hAnsi="宋体" w:cs="宋体"/>
                <w:spacing w:val="-3"/>
                <w:sz w:val="15"/>
                <w:szCs w:val="15"/>
              </w:rPr>
              <w:t>月桂酸</w:t>
            </w:r>
          </w:p>
        </w:tc>
        <w:tc>
          <w:tcPr>
            <w:tcW w:w="3082" w:type="dxa"/>
          </w:tcPr>
          <w:p w:rsidR="00EA40A3" w:rsidRDefault="00E86C16">
            <w:pPr>
              <w:spacing w:before="93" w:line="183" w:lineRule="auto"/>
              <w:ind w:left="687"/>
              <w:rPr>
                <w:rFonts w:ascii="宋体" w:eastAsia="宋体" w:hAnsi="宋体" w:cs="宋体"/>
                <w:sz w:val="15"/>
                <w:szCs w:val="15"/>
              </w:rPr>
            </w:pPr>
            <w:r>
              <w:rPr>
                <w:rFonts w:ascii="宋体" w:eastAsia="宋体" w:hAnsi="宋体" w:cs="宋体"/>
                <w:spacing w:val="-1"/>
                <w:sz w:val="15"/>
                <w:szCs w:val="15"/>
              </w:rPr>
              <w:t>Ciz:o</w:t>
            </w:r>
          </w:p>
        </w:tc>
        <w:tc>
          <w:tcPr>
            <w:tcW w:w="2475" w:type="dxa"/>
          </w:tcPr>
          <w:p w:rsidR="00EA40A3" w:rsidRDefault="00E86C16">
            <w:pPr>
              <w:spacing w:before="45" w:line="220" w:lineRule="auto"/>
              <w:ind w:left="136"/>
              <w:rPr>
                <w:rFonts w:ascii="宋体" w:eastAsia="宋体" w:hAnsi="宋体" w:cs="宋体"/>
                <w:sz w:val="15"/>
                <w:szCs w:val="15"/>
              </w:rPr>
            </w:pPr>
            <w:r>
              <w:rPr>
                <w:rFonts w:ascii="宋体" w:eastAsia="宋体" w:hAnsi="宋体" w:cs="宋体"/>
                <w:spacing w:val="2"/>
                <w:sz w:val="15"/>
                <w:szCs w:val="15"/>
              </w:rPr>
              <w:t>椰子油、奶油</w:t>
            </w:r>
          </w:p>
        </w:tc>
      </w:tr>
      <w:tr w:rsidR="00EA40A3">
        <w:trPr>
          <w:trHeight w:val="265"/>
        </w:trPr>
        <w:tc>
          <w:tcPr>
            <w:tcW w:w="1802" w:type="dxa"/>
          </w:tcPr>
          <w:p w:rsidR="00EA40A3" w:rsidRDefault="00E86C16">
            <w:pPr>
              <w:spacing w:before="76" w:line="219" w:lineRule="auto"/>
              <w:ind w:left="130"/>
              <w:rPr>
                <w:rFonts w:ascii="宋体" w:eastAsia="宋体" w:hAnsi="宋体" w:cs="宋体"/>
                <w:sz w:val="15"/>
                <w:szCs w:val="15"/>
              </w:rPr>
            </w:pPr>
            <w:r>
              <w:rPr>
                <w:rFonts w:ascii="宋体" w:eastAsia="宋体" w:hAnsi="宋体" w:cs="宋体"/>
                <w:spacing w:val="1"/>
                <w:sz w:val="15"/>
                <w:szCs w:val="15"/>
              </w:rPr>
              <w:t>肉豆蔻酸</w:t>
            </w:r>
          </w:p>
        </w:tc>
        <w:tc>
          <w:tcPr>
            <w:tcW w:w="3082" w:type="dxa"/>
          </w:tcPr>
          <w:p w:rsidR="00EA40A3" w:rsidRDefault="00E86C16">
            <w:pPr>
              <w:spacing w:before="114" w:line="183" w:lineRule="auto"/>
              <w:ind w:left="687"/>
              <w:rPr>
                <w:rFonts w:ascii="宋体" w:eastAsia="宋体" w:hAnsi="宋体" w:cs="宋体"/>
                <w:sz w:val="15"/>
                <w:szCs w:val="15"/>
              </w:rPr>
            </w:pPr>
            <w:r>
              <w:rPr>
                <w:rFonts w:ascii="宋体" w:eastAsia="宋体" w:hAnsi="宋体" w:cs="宋体"/>
                <w:spacing w:val="-2"/>
                <w:sz w:val="15"/>
                <w:szCs w:val="15"/>
              </w:rPr>
              <w:t>C:</w:t>
            </w:r>
          </w:p>
        </w:tc>
        <w:tc>
          <w:tcPr>
            <w:tcW w:w="2475" w:type="dxa"/>
          </w:tcPr>
          <w:p w:rsidR="00EA40A3" w:rsidRDefault="00E86C16">
            <w:pPr>
              <w:spacing w:before="56" w:line="219" w:lineRule="auto"/>
              <w:ind w:left="136"/>
              <w:rPr>
                <w:rFonts w:ascii="宋体" w:eastAsia="宋体" w:hAnsi="宋体" w:cs="宋体"/>
                <w:sz w:val="15"/>
                <w:szCs w:val="15"/>
              </w:rPr>
            </w:pPr>
            <w:r>
              <w:rPr>
                <w:rFonts w:ascii="宋体" w:eastAsia="宋体" w:hAnsi="宋体" w:cs="宋体"/>
                <w:spacing w:val="-1"/>
                <w:sz w:val="15"/>
                <w:szCs w:val="15"/>
              </w:rPr>
              <w:t>椰子油、奶油、肉豆蔻脂肪</w:t>
            </w:r>
          </w:p>
        </w:tc>
      </w:tr>
      <w:tr w:rsidR="00EA40A3">
        <w:trPr>
          <w:trHeight w:val="255"/>
        </w:trPr>
        <w:tc>
          <w:tcPr>
            <w:tcW w:w="1802" w:type="dxa"/>
          </w:tcPr>
          <w:p w:rsidR="00EA40A3" w:rsidRDefault="00E86C16">
            <w:pPr>
              <w:spacing w:before="61" w:line="219" w:lineRule="auto"/>
              <w:ind w:left="130"/>
              <w:rPr>
                <w:rFonts w:ascii="宋体" w:eastAsia="宋体" w:hAnsi="宋体" w:cs="宋体"/>
                <w:sz w:val="15"/>
                <w:szCs w:val="15"/>
              </w:rPr>
            </w:pPr>
            <w:r>
              <w:rPr>
                <w:rFonts w:ascii="宋体" w:eastAsia="宋体" w:hAnsi="宋体" w:cs="宋体"/>
                <w:spacing w:val="-2"/>
                <w:sz w:val="15"/>
                <w:szCs w:val="15"/>
              </w:rPr>
              <w:t>棕榈酸</w:t>
            </w:r>
          </w:p>
        </w:tc>
        <w:tc>
          <w:tcPr>
            <w:tcW w:w="3082" w:type="dxa"/>
          </w:tcPr>
          <w:p w:rsidR="00EA40A3" w:rsidRDefault="00E86C16">
            <w:pPr>
              <w:spacing w:before="89" w:line="184" w:lineRule="auto"/>
              <w:ind w:left="687"/>
              <w:rPr>
                <w:rFonts w:ascii="宋体" w:eastAsia="宋体" w:hAnsi="宋体" w:cs="宋体"/>
                <w:sz w:val="15"/>
                <w:szCs w:val="15"/>
              </w:rPr>
            </w:pPr>
            <w:r>
              <w:rPr>
                <w:rFonts w:ascii="宋体" w:eastAsia="宋体" w:hAnsi="宋体" w:cs="宋体"/>
                <w:spacing w:val="-2"/>
                <w:sz w:val="15"/>
                <w:szCs w:val="15"/>
              </w:rPr>
              <w:t>C16</w:t>
            </w:r>
          </w:p>
        </w:tc>
        <w:tc>
          <w:tcPr>
            <w:tcW w:w="2475" w:type="dxa"/>
          </w:tcPr>
          <w:p w:rsidR="00EA40A3" w:rsidRDefault="00E86C16">
            <w:pPr>
              <w:spacing w:before="51" w:line="219" w:lineRule="auto"/>
              <w:ind w:left="136"/>
              <w:rPr>
                <w:rFonts w:ascii="宋体" w:eastAsia="宋体" w:hAnsi="宋体" w:cs="宋体"/>
                <w:sz w:val="15"/>
                <w:szCs w:val="15"/>
              </w:rPr>
            </w:pPr>
            <w:r>
              <w:rPr>
                <w:rFonts w:ascii="宋体" w:eastAsia="宋体" w:hAnsi="宋体" w:cs="宋体"/>
                <w:spacing w:val="-1"/>
                <w:sz w:val="15"/>
                <w:szCs w:val="15"/>
              </w:rPr>
              <w:t>牛肉、羊肉、猪肉大部分脂肪</w:t>
            </w:r>
          </w:p>
        </w:tc>
      </w:tr>
      <w:tr w:rsidR="00EA40A3">
        <w:trPr>
          <w:trHeight w:val="255"/>
        </w:trPr>
        <w:tc>
          <w:tcPr>
            <w:tcW w:w="1802" w:type="dxa"/>
          </w:tcPr>
          <w:p w:rsidR="00EA40A3" w:rsidRDefault="00E86C16">
            <w:pPr>
              <w:spacing w:before="66" w:line="219" w:lineRule="auto"/>
              <w:ind w:left="130"/>
              <w:rPr>
                <w:rFonts w:ascii="宋体" w:eastAsia="宋体" w:hAnsi="宋体" w:cs="宋体"/>
                <w:sz w:val="15"/>
                <w:szCs w:val="15"/>
              </w:rPr>
            </w:pPr>
            <w:r>
              <w:rPr>
                <w:rFonts w:ascii="宋体" w:eastAsia="宋体" w:hAnsi="宋体" w:cs="宋体"/>
                <w:spacing w:val="-1"/>
                <w:sz w:val="15"/>
                <w:szCs w:val="15"/>
              </w:rPr>
              <w:t>棕榈油酸</w:t>
            </w:r>
          </w:p>
        </w:tc>
        <w:tc>
          <w:tcPr>
            <w:tcW w:w="3082" w:type="dxa"/>
          </w:tcPr>
          <w:p w:rsidR="00EA40A3" w:rsidRDefault="00E86C16">
            <w:pPr>
              <w:spacing w:before="64" w:line="216" w:lineRule="auto"/>
              <w:ind w:left="68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₁</w:t>
            </w:r>
            <w:r>
              <w:rPr>
                <w:rFonts w:ascii="宋体" w:eastAsia="宋体" w:hAnsi="宋体" w:cs="宋体"/>
                <w:spacing w:val="-1"/>
                <w:sz w:val="15"/>
                <w:szCs w:val="15"/>
              </w:rPr>
              <w:t>6:1,r7</w:t>
            </w:r>
            <w:r>
              <w:rPr>
                <w:rFonts w:ascii="宋体" w:eastAsia="宋体" w:hAnsi="宋体" w:cs="宋体"/>
                <w:spacing w:val="28"/>
                <w:w w:val="101"/>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6" w:line="219" w:lineRule="auto"/>
              <w:ind w:left="136"/>
              <w:rPr>
                <w:rFonts w:ascii="宋体" w:eastAsia="宋体" w:hAnsi="宋体" w:cs="宋体"/>
                <w:sz w:val="15"/>
                <w:szCs w:val="15"/>
              </w:rPr>
            </w:pPr>
            <w:r>
              <w:rPr>
                <w:rFonts w:ascii="宋体" w:eastAsia="宋体" w:hAnsi="宋体" w:cs="宋体"/>
                <w:spacing w:val="5"/>
                <w:sz w:val="15"/>
                <w:szCs w:val="15"/>
              </w:rPr>
              <w:t>棕榈油</w:t>
            </w:r>
          </w:p>
        </w:tc>
      </w:tr>
      <w:tr w:rsidR="00EA40A3">
        <w:trPr>
          <w:trHeight w:val="265"/>
        </w:trPr>
        <w:tc>
          <w:tcPr>
            <w:tcW w:w="1802" w:type="dxa"/>
          </w:tcPr>
          <w:p w:rsidR="00EA40A3" w:rsidRDefault="00E86C16">
            <w:pPr>
              <w:spacing w:before="72" w:line="221" w:lineRule="auto"/>
              <w:ind w:left="130"/>
              <w:rPr>
                <w:rFonts w:ascii="宋体" w:eastAsia="宋体" w:hAnsi="宋体" w:cs="宋体"/>
                <w:sz w:val="15"/>
                <w:szCs w:val="15"/>
              </w:rPr>
            </w:pPr>
            <w:r>
              <w:rPr>
                <w:rFonts w:ascii="宋体" w:eastAsia="宋体" w:hAnsi="宋体" w:cs="宋体"/>
                <w:spacing w:val="-2"/>
                <w:sz w:val="15"/>
                <w:szCs w:val="15"/>
              </w:rPr>
              <w:t>硬脂酸</w:t>
            </w:r>
          </w:p>
        </w:tc>
        <w:tc>
          <w:tcPr>
            <w:tcW w:w="3082" w:type="dxa"/>
          </w:tcPr>
          <w:p w:rsidR="00EA40A3" w:rsidRDefault="00E86C16">
            <w:pPr>
              <w:spacing w:before="99" w:line="183" w:lineRule="auto"/>
              <w:ind w:left="687"/>
              <w:rPr>
                <w:rFonts w:ascii="宋体" w:eastAsia="宋体" w:hAnsi="宋体" w:cs="宋体"/>
                <w:sz w:val="15"/>
                <w:szCs w:val="15"/>
              </w:rPr>
            </w:pPr>
            <w:r>
              <w:rPr>
                <w:rFonts w:ascii="宋体" w:eastAsia="宋体" w:hAnsi="宋体" w:cs="宋体"/>
                <w:spacing w:val="-1"/>
                <w:sz w:val="15"/>
                <w:szCs w:val="15"/>
              </w:rPr>
              <w:t>Ci8:0</w:t>
            </w:r>
          </w:p>
        </w:tc>
        <w:tc>
          <w:tcPr>
            <w:tcW w:w="2475" w:type="dxa"/>
          </w:tcPr>
          <w:p w:rsidR="00EA40A3" w:rsidRDefault="00E86C16">
            <w:pPr>
              <w:spacing w:before="51" w:line="219" w:lineRule="auto"/>
              <w:ind w:left="136"/>
              <w:rPr>
                <w:rFonts w:ascii="宋体" w:eastAsia="宋体" w:hAnsi="宋体" w:cs="宋体"/>
                <w:sz w:val="15"/>
                <w:szCs w:val="15"/>
              </w:rPr>
            </w:pPr>
            <w:r>
              <w:rPr>
                <w:rFonts w:ascii="宋体" w:eastAsia="宋体" w:hAnsi="宋体" w:cs="宋体"/>
                <w:spacing w:val="-1"/>
                <w:sz w:val="15"/>
                <w:szCs w:val="15"/>
              </w:rPr>
              <w:t>牛肉、羊肉、猪肉大部分脂肪</w:t>
            </w:r>
          </w:p>
        </w:tc>
      </w:tr>
      <w:tr w:rsidR="00EA40A3">
        <w:trPr>
          <w:trHeight w:val="254"/>
        </w:trPr>
        <w:tc>
          <w:tcPr>
            <w:tcW w:w="1802" w:type="dxa"/>
          </w:tcPr>
          <w:p w:rsidR="00EA40A3" w:rsidRDefault="00E86C16">
            <w:pPr>
              <w:spacing w:before="67" w:line="221" w:lineRule="auto"/>
              <w:ind w:left="130"/>
              <w:rPr>
                <w:rFonts w:ascii="宋体" w:eastAsia="宋体" w:hAnsi="宋体" w:cs="宋体"/>
                <w:sz w:val="15"/>
                <w:szCs w:val="15"/>
              </w:rPr>
            </w:pPr>
            <w:r>
              <w:rPr>
                <w:rFonts w:ascii="宋体" w:eastAsia="宋体" w:hAnsi="宋体" w:cs="宋体"/>
                <w:spacing w:val="-3"/>
                <w:sz w:val="15"/>
                <w:szCs w:val="15"/>
              </w:rPr>
              <w:t>油酸</w:t>
            </w:r>
          </w:p>
        </w:tc>
        <w:tc>
          <w:tcPr>
            <w:tcW w:w="3082" w:type="dxa"/>
          </w:tcPr>
          <w:p w:rsidR="00EA40A3" w:rsidRDefault="00E86C16">
            <w:pPr>
              <w:spacing w:before="54" w:line="216" w:lineRule="auto"/>
              <w:ind w:left="68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₁</w:t>
            </w:r>
            <w:r>
              <w:rPr>
                <w:rFonts w:ascii="宋体" w:eastAsia="宋体" w:hAnsi="宋体" w:cs="宋体"/>
                <w:spacing w:val="-1"/>
                <w:sz w:val="15"/>
                <w:szCs w:val="15"/>
              </w:rPr>
              <w:t>8:1,m9</w:t>
            </w:r>
            <w:r>
              <w:rPr>
                <w:rFonts w:ascii="宋体" w:eastAsia="宋体" w:hAnsi="宋体" w:cs="宋体"/>
                <w:spacing w:val="28"/>
                <w:w w:val="101"/>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6" w:line="219" w:lineRule="auto"/>
              <w:ind w:left="136"/>
              <w:rPr>
                <w:rFonts w:ascii="宋体" w:eastAsia="宋体" w:hAnsi="宋体" w:cs="宋体"/>
                <w:sz w:val="15"/>
                <w:szCs w:val="15"/>
              </w:rPr>
            </w:pPr>
            <w:r>
              <w:rPr>
                <w:rFonts w:ascii="宋体" w:eastAsia="宋体" w:hAnsi="宋体" w:cs="宋体"/>
                <w:spacing w:val="-2"/>
                <w:sz w:val="15"/>
                <w:szCs w:val="15"/>
              </w:rPr>
              <w:t>大多数油脂</w:t>
            </w:r>
          </w:p>
        </w:tc>
      </w:tr>
      <w:tr w:rsidR="00EA40A3">
        <w:trPr>
          <w:trHeight w:val="260"/>
        </w:trPr>
        <w:tc>
          <w:tcPr>
            <w:tcW w:w="1802" w:type="dxa"/>
          </w:tcPr>
          <w:p w:rsidR="00EA40A3" w:rsidRDefault="00E86C16">
            <w:pPr>
              <w:spacing w:before="63" w:line="221" w:lineRule="auto"/>
              <w:ind w:left="130"/>
              <w:rPr>
                <w:rFonts w:ascii="宋体" w:eastAsia="宋体" w:hAnsi="宋体" w:cs="宋体"/>
                <w:sz w:val="15"/>
                <w:szCs w:val="15"/>
              </w:rPr>
            </w:pPr>
            <w:r>
              <w:rPr>
                <w:rFonts w:ascii="宋体" w:eastAsia="宋体" w:hAnsi="宋体" w:cs="宋体"/>
                <w:spacing w:val="-2"/>
                <w:sz w:val="15"/>
                <w:szCs w:val="15"/>
              </w:rPr>
              <w:t>反油酸</w:t>
            </w:r>
          </w:p>
        </w:tc>
        <w:tc>
          <w:tcPr>
            <w:tcW w:w="3082" w:type="dxa"/>
          </w:tcPr>
          <w:p w:rsidR="00EA40A3" w:rsidRDefault="00E86C16">
            <w:pPr>
              <w:spacing w:before="70" w:line="216" w:lineRule="auto"/>
              <w:ind w:left="687"/>
              <w:rPr>
                <w:rFonts w:ascii="宋体" w:eastAsia="宋体" w:hAnsi="宋体" w:cs="宋体"/>
                <w:sz w:val="15"/>
                <w:szCs w:val="15"/>
              </w:rPr>
            </w:pPr>
            <w:r>
              <w:rPr>
                <w:rFonts w:ascii="宋体" w:eastAsia="宋体" w:hAnsi="宋体" w:cs="宋体"/>
                <w:spacing w:val="-1"/>
                <w:sz w:val="15"/>
                <w:szCs w:val="15"/>
              </w:rPr>
              <w:t>Ci8:1,m9</w:t>
            </w:r>
            <w:r>
              <w:rPr>
                <w:rFonts w:ascii="宋体" w:eastAsia="宋体" w:hAnsi="宋体" w:cs="宋体"/>
                <w:spacing w:val="55"/>
                <w:sz w:val="15"/>
                <w:szCs w:val="15"/>
              </w:rPr>
              <w:t xml:space="preserve"> </w:t>
            </w:r>
            <w:r>
              <w:rPr>
                <w:rFonts w:ascii="宋体" w:eastAsia="宋体" w:hAnsi="宋体" w:cs="宋体"/>
                <w:spacing w:val="-1"/>
                <w:sz w:val="15"/>
                <w:szCs w:val="15"/>
              </w:rPr>
              <w:t>trans</w:t>
            </w:r>
          </w:p>
        </w:tc>
        <w:tc>
          <w:tcPr>
            <w:tcW w:w="2475" w:type="dxa"/>
          </w:tcPr>
          <w:p w:rsidR="00EA40A3" w:rsidRDefault="00E86C16">
            <w:pPr>
              <w:spacing w:before="52" w:line="219" w:lineRule="auto"/>
              <w:ind w:left="136"/>
              <w:rPr>
                <w:rFonts w:ascii="宋体" w:eastAsia="宋体" w:hAnsi="宋体" w:cs="宋体"/>
                <w:sz w:val="15"/>
                <w:szCs w:val="15"/>
              </w:rPr>
            </w:pPr>
            <w:r>
              <w:rPr>
                <w:rFonts w:ascii="宋体" w:eastAsia="宋体" w:hAnsi="宋体" w:cs="宋体"/>
                <w:spacing w:val="3"/>
                <w:sz w:val="15"/>
                <w:szCs w:val="15"/>
              </w:rPr>
              <w:t>人造黄油</w:t>
            </w:r>
          </w:p>
        </w:tc>
      </w:tr>
      <w:tr w:rsidR="00EA40A3">
        <w:trPr>
          <w:trHeight w:val="260"/>
        </w:trPr>
        <w:tc>
          <w:tcPr>
            <w:tcW w:w="1802" w:type="dxa"/>
          </w:tcPr>
          <w:p w:rsidR="00EA40A3" w:rsidRDefault="00E86C16">
            <w:pPr>
              <w:spacing w:before="73" w:line="221" w:lineRule="auto"/>
              <w:ind w:left="130"/>
              <w:rPr>
                <w:rFonts w:ascii="宋体" w:eastAsia="宋体" w:hAnsi="宋体" w:cs="宋体"/>
                <w:sz w:val="15"/>
                <w:szCs w:val="15"/>
              </w:rPr>
            </w:pPr>
            <w:r>
              <w:rPr>
                <w:rFonts w:ascii="宋体" w:eastAsia="宋体" w:hAnsi="宋体" w:cs="宋体"/>
                <w:spacing w:val="-2"/>
                <w:sz w:val="15"/>
                <w:szCs w:val="15"/>
              </w:rPr>
              <w:t>亚油酸</w:t>
            </w:r>
          </w:p>
        </w:tc>
        <w:tc>
          <w:tcPr>
            <w:tcW w:w="3082" w:type="dxa"/>
          </w:tcPr>
          <w:p w:rsidR="00EA40A3" w:rsidRDefault="00E86C16">
            <w:pPr>
              <w:spacing w:before="60" w:line="216" w:lineRule="auto"/>
              <w:ind w:left="687"/>
              <w:rPr>
                <w:rFonts w:ascii="宋体" w:eastAsia="宋体" w:hAnsi="宋体" w:cs="宋体"/>
                <w:sz w:val="15"/>
                <w:szCs w:val="15"/>
              </w:rPr>
            </w:pPr>
            <w:r>
              <w:rPr>
                <w:rFonts w:ascii="宋体" w:eastAsia="宋体" w:hAnsi="宋体" w:cs="宋体"/>
                <w:spacing w:val="-2"/>
                <w:sz w:val="15"/>
                <w:szCs w:val="15"/>
              </w:rPr>
              <w:t>C</w:t>
            </w:r>
            <w:r>
              <w:rPr>
                <w:rFonts w:ascii="Calibri" w:eastAsia="Calibri" w:hAnsi="Calibri" w:cs="Calibri"/>
                <w:spacing w:val="-2"/>
                <w:sz w:val="15"/>
                <w:szCs w:val="15"/>
              </w:rPr>
              <w:t>₁</w:t>
            </w:r>
            <w:r>
              <w:rPr>
                <w:rFonts w:ascii="宋体" w:eastAsia="宋体" w:hAnsi="宋体" w:cs="宋体"/>
                <w:spacing w:val="-2"/>
                <w:sz w:val="15"/>
                <w:szCs w:val="15"/>
              </w:rPr>
              <w:t>8:2,n-6,9</w:t>
            </w:r>
            <w:r>
              <w:rPr>
                <w:rFonts w:ascii="宋体" w:eastAsia="宋体" w:hAnsi="宋体" w:cs="宋体"/>
                <w:spacing w:val="86"/>
                <w:w w:val="101"/>
                <w:sz w:val="15"/>
                <w:szCs w:val="15"/>
              </w:rPr>
              <w:t xml:space="preserve"> </w:t>
            </w:r>
            <w:r>
              <w:rPr>
                <w:rFonts w:ascii="宋体" w:eastAsia="宋体" w:hAnsi="宋体" w:cs="宋体"/>
                <w:spacing w:val="-2"/>
                <w:sz w:val="15"/>
                <w:szCs w:val="15"/>
              </w:rPr>
              <w:t>all</w:t>
            </w:r>
            <w:r>
              <w:rPr>
                <w:rFonts w:ascii="宋体" w:eastAsia="宋体" w:hAnsi="宋体" w:cs="宋体"/>
                <w:spacing w:val="73"/>
                <w:sz w:val="15"/>
                <w:szCs w:val="15"/>
              </w:rPr>
              <w:t xml:space="preserve"> </w:t>
            </w:r>
            <w:r>
              <w:rPr>
                <w:rFonts w:ascii="宋体" w:eastAsia="宋体" w:hAnsi="宋体" w:cs="宋体"/>
                <w:spacing w:val="-2"/>
                <w:sz w:val="15"/>
                <w:szCs w:val="15"/>
              </w:rPr>
              <w:t>cis</w:t>
            </w:r>
          </w:p>
        </w:tc>
        <w:tc>
          <w:tcPr>
            <w:tcW w:w="2475" w:type="dxa"/>
          </w:tcPr>
          <w:p w:rsidR="00EA40A3" w:rsidRDefault="00E86C16">
            <w:pPr>
              <w:spacing w:before="52" w:line="219" w:lineRule="auto"/>
              <w:ind w:left="136"/>
              <w:rPr>
                <w:rFonts w:ascii="宋体" w:eastAsia="宋体" w:hAnsi="宋体" w:cs="宋体"/>
                <w:sz w:val="15"/>
                <w:szCs w:val="15"/>
              </w:rPr>
            </w:pPr>
            <w:r>
              <w:rPr>
                <w:rFonts w:ascii="宋体" w:eastAsia="宋体" w:hAnsi="宋体" w:cs="宋体"/>
                <w:spacing w:val="5"/>
                <w:sz w:val="15"/>
                <w:szCs w:val="15"/>
              </w:rPr>
              <w:t>植物油</w:t>
            </w:r>
          </w:p>
        </w:tc>
      </w:tr>
      <w:tr w:rsidR="00EA40A3">
        <w:trPr>
          <w:trHeight w:val="254"/>
        </w:trPr>
        <w:tc>
          <w:tcPr>
            <w:tcW w:w="1802" w:type="dxa"/>
          </w:tcPr>
          <w:p w:rsidR="00EA40A3" w:rsidRDefault="00E86C16">
            <w:pPr>
              <w:spacing w:before="62" w:line="221" w:lineRule="auto"/>
              <w:ind w:left="130"/>
              <w:rPr>
                <w:rFonts w:ascii="宋体" w:eastAsia="宋体" w:hAnsi="宋体" w:cs="宋体"/>
                <w:sz w:val="15"/>
                <w:szCs w:val="15"/>
              </w:rPr>
            </w:pPr>
            <w:r>
              <w:rPr>
                <w:rFonts w:ascii="宋体" w:eastAsia="宋体" w:hAnsi="宋体" w:cs="宋体"/>
                <w:sz w:val="15"/>
                <w:szCs w:val="15"/>
              </w:rPr>
              <w:t>α-亚麻油酸</w:t>
            </w:r>
          </w:p>
        </w:tc>
        <w:tc>
          <w:tcPr>
            <w:tcW w:w="3082" w:type="dxa"/>
          </w:tcPr>
          <w:p w:rsidR="00EA40A3" w:rsidRDefault="00E86C16">
            <w:pPr>
              <w:spacing w:before="50" w:line="216" w:lineRule="auto"/>
              <w:ind w:left="687"/>
              <w:rPr>
                <w:rFonts w:ascii="宋体" w:eastAsia="宋体" w:hAnsi="宋体" w:cs="宋体"/>
                <w:sz w:val="15"/>
                <w:szCs w:val="15"/>
              </w:rPr>
            </w:pPr>
            <w:r>
              <w:rPr>
                <w:rFonts w:ascii="宋体" w:eastAsia="宋体" w:hAnsi="宋体" w:cs="宋体"/>
                <w:spacing w:val="-3"/>
                <w:sz w:val="15"/>
                <w:szCs w:val="15"/>
              </w:rPr>
              <w:t>Ci</w:t>
            </w:r>
            <w:r>
              <w:rPr>
                <w:rFonts w:ascii="Calibri" w:eastAsia="Calibri" w:hAnsi="Calibri" w:cs="Calibri"/>
                <w:spacing w:val="-3"/>
                <w:sz w:val="15"/>
                <w:szCs w:val="15"/>
              </w:rPr>
              <w:t>₈</w:t>
            </w:r>
            <w:r>
              <w:rPr>
                <w:rFonts w:ascii="Calibri" w:eastAsia="Calibri" w:hAnsi="Calibri" w:cs="Calibri"/>
                <w:spacing w:val="4"/>
                <w:sz w:val="15"/>
                <w:szCs w:val="15"/>
              </w:rPr>
              <w:t xml:space="preserve"> </w:t>
            </w:r>
            <w:r>
              <w:rPr>
                <w:rFonts w:ascii="宋体" w:eastAsia="宋体" w:hAnsi="宋体" w:cs="宋体"/>
                <w:spacing w:val="-3"/>
                <w:sz w:val="15"/>
                <w:szCs w:val="15"/>
              </w:rPr>
              <w:t>:3,n-3,6,9</w:t>
            </w:r>
            <w:r>
              <w:rPr>
                <w:rFonts w:ascii="宋体" w:eastAsia="宋体" w:hAnsi="宋体" w:cs="宋体"/>
                <w:spacing w:val="63"/>
                <w:sz w:val="15"/>
                <w:szCs w:val="15"/>
              </w:rPr>
              <w:t xml:space="preserve"> </w:t>
            </w:r>
            <w:r>
              <w:rPr>
                <w:rFonts w:ascii="宋体" w:eastAsia="宋体" w:hAnsi="宋体" w:cs="宋体"/>
                <w:spacing w:val="-3"/>
                <w:sz w:val="15"/>
                <w:szCs w:val="15"/>
              </w:rPr>
              <w:t>all</w:t>
            </w:r>
            <w:r>
              <w:rPr>
                <w:rFonts w:ascii="宋体" w:eastAsia="宋体" w:hAnsi="宋体" w:cs="宋体"/>
                <w:spacing w:val="65"/>
                <w:sz w:val="15"/>
                <w:szCs w:val="15"/>
              </w:rPr>
              <w:t xml:space="preserve"> </w:t>
            </w:r>
            <w:r>
              <w:rPr>
                <w:rFonts w:ascii="宋体" w:eastAsia="宋体" w:hAnsi="宋体" w:cs="宋体"/>
                <w:spacing w:val="-3"/>
                <w:sz w:val="15"/>
                <w:szCs w:val="15"/>
              </w:rPr>
              <w:t>cis</w:t>
            </w:r>
          </w:p>
        </w:tc>
        <w:tc>
          <w:tcPr>
            <w:tcW w:w="2475" w:type="dxa"/>
          </w:tcPr>
          <w:p w:rsidR="00EA40A3" w:rsidRDefault="00E86C16">
            <w:pPr>
              <w:spacing w:before="52" w:line="219" w:lineRule="auto"/>
              <w:ind w:left="136"/>
              <w:rPr>
                <w:rFonts w:ascii="宋体" w:eastAsia="宋体" w:hAnsi="宋体" w:cs="宋体"/>
                <w:sz w:val="15"/>
                <w:szCs w:val="15"/>
              </w:rPr>
            </w:pPr>
            <w:r>
              <w:rPr>
                <w:rFonts w:ascii="宋体" w:eastAsia="宋体" w:hAnsi="宋体" w:cs="宋体"/>
                <w:spacing w:val="5"/>
                <w:sz w:val="15"/>
                <w:szCs w:val="15"/>
              </w:rPr>
              <w:t>植物油</w:t>
            </w:r>
          </w:p>
        </w:tc>
      </w:tr>
      <w:tr w:rsidR="00EA40A3">
        <w:trPr>
          <w:trHeight w:val="265"/>
        </w:trPr>
        <w:tc>
          <w:tcPr>
            <w:tcW w:w="1802" w:type="dxa"/>
          </w:tcPr>
          <w:p w:rsidR="00EA40A3" w:rsidRDefault="00E86C16">
            <w:pPr>
              <w:spacing w:before="78" w:line="221" w:lineRule="auto"/>
              <w:ind w:left="130"/>
              <w:rPr>
                <w:rFonts w:ascii="宋体" w:eastAsia="宋体" w:hAnsi="宋体" w:cs="宋体"/>
                <w:sz w:val="15"/>
                <w:szCs w:val="15"/>
              </w:rPr>
            </w:pPr>
            <w:r>
              <w:rPr>
                <w:rFonts w:ascii="宋体" w:eastAsia="宋体" w:hAnsi="宋体" w:cs="宋体"/>
                <w:spacing w:val="-1"/>
                <w:sz w:val="15"/>
                <w:szCs w:val="15"/>
              </w:rPr>
              <w:t>r-亚麻油酸</w:t>
            </w:r>
          </w:p>
        </w:tc>
        <w:tc>
          <w:tcPr>
            <w:tcW w:w="3082" w:type="dxa"/>
          </w:tcPr>
          <w:p w:rsidR="00EA40A3" w:rsidRDefault="00E86C16">
            <w:pPr>
              <w:spacing w:before="66" w:line="216" w:lineRule="auto"/>
              <w:ind w:left="687"/>
              <w:rPr>
                <w:rFonts w:ascii="宋体" w:eastAsia="宋体" w:hAnsi="宋体" w:cs="宋体"/>
                <w:sz w:val="15"/>
                <w:szCs w:val="15"/>
              </w:rPr>
            </w:pPr>
            <w:r>
              <w:rPr>
                <w:rFonts w:ascii="宋体" w:eastAsia="宋体" w:hAnsi="宋体" w:cs="宋体"/>
                <w:spacing w:val="-1"/>
                <w:sz w:val="15"/>
                <w:szCs w:val="15"/>
              </w:rPr>
              <w:t>C18:3,m-3,6,12</w:t>
            </w:r>
            <w:r>
              <w:rPr>
                <w:rFonts w:ascii="宋体" w:eastAsia="宋体" w:hAnsi="宋体" w:cs="宋体"/>
                <w:spacing w:val="8"/>
                <w:sz w:val="15"/>
                <w:szCs w:val="15"/>
              </w:rPr>
              <w:t xml:space="preserve"> </w:t>
            </w:r>
            <w:r>
              <w:rPr>
                <w:rFonts w:ascii="宋体" w:eastAsia="宋体" w:hAnsi="宋体" w:cs="宋体"/>
                <w:spacing w:val="-1"/>
                <w:sz w:val="15"/>
                <w:szCs w:val="15"/>
              </w:rPr>
              <w:t>all</w:t>
            </w:r>
            <w:r>
              <w:rPr>
                <w:rFonts w:ascii="宋体" w:eastAsia="宋体" w:hAnsi="宋体" w:cs="宋体"/>
                <w:spacing w:val="9"/>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8" w:line="219" w:lineRule="auto"/>
              <w:ind w:left="136"/>
              <w:rPr>
                <w:rFonts w:ascii="宋体" w:eastAsia="宋体" w:hAnsi="宋体" w:cs="宋体"/>
                <w:sz w:val="15"/>
                <w:szCs w:val="15"/>
              </w:rPr>
            </w:pPr>
            <w:r>
              <w:rPr>
                <w:rFonts w:ascii="宋体" w:eastAsia="宋体" w:hAnsi="宋体" w:cs="宋体"/>
                <w:spacing w:val="-1"/>
                <w:sz w:val="15"/>
                <w:szCs w:val="15"/>
              </w:rPr>
              <w:t>微生物发酵</w:t>
            </w:r>
          </w:p>
        </w:tc>
      </w:tr>
      <w:tr w:rsidR="00EA40A3">
        <w:trPr>
          <w:trHeight w:val="249"/>
        </w:trPr>
        <w:tc>
          <w:tcPr>
            <w:tcW w:w="1802" w:type="dxa"/>
          </w:tcPr>
          <w:p w:rsidR="00EA40A3" w:rsidRDefault="00E86C16">
            <w:pPr>
              <w:spacing w:before="54" w:line="221" w:lineRule="auto"/>
              <w:ind w:left="130"/>
              <w:rPr>
                <w:rFonts w:ascii="宋体" w:eastAsia="宋体" w:hAnsi="宋体" w:cs="宋体"/>
                <w:sz w:val="15"/>
                <w:szCs w:val="15"/>
              </w:rPr>
            </w:pPr>
            <w:r>
              <w:rPr>
                <w:rFonts w:ascii="宋体" w:eastAsia="宋体" w:hAnsi="宋体" w:cs="宋体"/>
                <w:spacing w:val="-2"/>
                <w:sz w:val="15"/>
                <w:szCs w:val="15"/>
              </w:rPr>
              <w:t>花生酸</w:t>
            </w:r>
          </w:p>
        </w:tc>
        <w:tc>
          <w:tcPr>
            <w:tcW w:w="3082" w:type="dxa"/>
          </w:tcPr>
          <w:p w:rsidR="00EA40A3" w:rsidRDefault="00E86C16">
            <w:pPr>
              <w:spacing w:before="67" w:line="183" w:lineRule="auto"/>
              <w:ind w:left="68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₂</w:t>
            </w:r>
            <w:r>
              <w:rPr>
                <w:rFonts w:ascii="宋体" w:eastAsia="宋体" w:hAnsi="宋体" w:cs="宋体"/>
                <w:spacing w:val="-1"/>
                <w:sz w:val="15"/>
                <w:szCs w:val="15"/>
              </w:rPr>
              <w:t>o:0</w:t>
            </w:r>
          </w:p>
        </w:tc>
        <w:tc>
          <w:tcPr>
            <w:tcW w:w="2475" w:type="dxa"/>
          </w:tcPr>
          <w:p w:rsidR="00EA40A3" w:rsidRDefault="00E86C16">
            <w:pPr>
              <w:spacing w:before="53" w:line="220" w:lineRule="auto"/>
              <w:ind w:left="136"/>
              <w:rPr>
                <w:rFonts w:ascii="宋体" w:eastAsia="宋体" w:hAnsi="宋体" w:cs="宋体"/>
                <w:sz w:val="15"/>
                <w:szCs w:val="15"/>
              </w:rPr>
            </w:pPr>
            <w:r>
              <w:rPr>
                <w:rFonts w:ascii="宋体" w:eastAsia="宋体" w:hAnsi="宋体" w:cs="宋体"/>
                <w:spacing w:val="2"/>
                <w:sz w:val="15"/>
                <w:szCs w:val="15"/>
              </w:rPr>
              <w:t>花生油、猪油</w:t>
            </w:r>
          </w:p>
        </w:tc>
      </w:tr>
      <w:tr w:rsidR="00EA40A3">
        <w:trPr>
          <w:trHeight w:val="262"/>
        </w:trPr>
        <w:tc>
          <w:tcPr>
            <w:tcW w:w="1802" w:type="dxa"/>
          </w:tcPr>
          <w:p w:rsidR="00EA40A3" w:rsidRDefault="00E86C16">
            <w:pPr>
              <w:spacing w:before="74" w:line="219" w:lineRule="auto"/>
              <w:ind w:left="130"/>
              <w:rPr>
                <w:rFonts w:ascii="宋体" w:eastAsia="宋体" w:hAnsi="宋体" w:cs="宋体"/>
                <w:sz w:val="15"/>
                <w:szCs w:val="15"/>
              </w:rPr>
            </w:pPr>
            <w:r>
              <w:rPr>
                <w:rFonts w:ascii="宋体" w:eastAsia="宋体" w:hAnsi="宋体" w:cs="宋体"/>
                <w:spacing w:val="-2"/>
                <w:sz w:val="15"/>
                <w:szCs w:val="15"/>
              </w:rPr>
              <w:t>花生四烯酸</w:t>
            </w:r>
          </w:p>
        </w:tc>
        <w:tc>
          <w:tcPr>
            <w:tcW w:w="3082" w:type="dxa"/>
          </w:tcPr>
          <w:p w:rsidR="00EA40A3" w:rsidRDefault="00E86C16">
            <w:pPr>
              <w:spacing w:before="62" w:line="216" w:lineRule="auto"/>
              <w:ind w:left="68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₂</w:t>
            </w:r>
            <w:r>
              <w:rPr>
                <w:rFonts w:ascii="宋体" w:eastAsia="宋体" w:hAnsi="宋体" w:cs="宋体"/>
                <w:spacing w:val="-1"/>
                <w:sz w:val="15"/>
                <w:szCs w:val="15"/>
              </w:rPr>
              <w:t>o:4,n-6,9,12,15</w:t>
            </w:r>
            <w:r>
              <w:rPr>
                <w:rFonts w:ascii="宋体" w:eastAsia="宋体" w:hAnsi="宋体" w:cs="宋体"/>
                <w:spacing w:val="69"/>
                <w:sz w:val="15"/>
                <w:szCs w:val="15"/>
              </w:rPr>
              <w:t xml:space="preserve"> </w:t>
            </w:r>
            <w:r>
              <w:rPr>
                <w:rFonts w:ascii="宋体" w:eastAsia="宋体" w:hAnsi="宋体" w:cs="宋体"/>
                <w:spacing w:val="-1"/>
                <w:sz w:val="15"/>
                <w:szCs w:val="15"/>
              </w:rPr>
              <w:t>all</w:t>
            </w:r>
            <w:r>
              <w:rPr>
                <w:rFonts w:ascii="宋体" w:eastAsia="宋体" w:hAnsi="宋体" w:cs="宋体"/>
                <w:spacing w:val="66"/>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64" w:line="219" w:lineRule="auto"/>
              <w:ind w:left="136"/>
              <w:rPr>
                <w:rFonts w:ascii="宋体" w:eastAsia="宋体" w:hAnsi="宋体" w:cs="宋体"/>
                <w:sz w:val="15"/>
                <w:szCs w:val="15"/>
              </w:rPr>
            </w:pPr>
            <w:r>
              <w:rPr>
                <w:rFonts w:ascii="宋体" w:eastAsia="宋体" w:hAnsi="宋体" w:cs="宋体"/>
                <w:spacing w:val="-1"/>
                <w:sz w:val="15"/>
                <w:szCs w:val="15"/>
              </w:rPr>
              <w:t>植物油、微生物发酵</w:t>
            </w:r>
          </w:p>
        </w:tc>
      </w:tr>
      <w:tr w:rsidR="00EA40A3">
        <w:trPr>
          <w:trHeight w:val="242"/>
        </w:trPr>
        <w:tc>
          <w:tcPr>
            <w:tcW w:w="1802" w:type="dxa"/>
          </w:tcPr>
          <w:p w:rsidR="00EA40A3" w:rsidRDefault="00E86C16">
            <w:pPr>
              <w:spacing w:before="62" w:line="219" w:lineRule="auto"/>
              <w:ind w:left="130"/>
              <w:rPr>
                <w:rFonts w:ascii="宋体" w:eastAsia="宋体" w:hAnsi="宋体" w:cs="宋体"/>
                <w:sz w:val="15"/>
                <w:szCs w:val="15"/>
              </w:rPr>
            </w:pPr>
            <w:r>
              <w:rPr>
                <w:rFonts w:ascii="宋体" w:eastAsia="宋体" w:hAnsi="宋体" w:cs="宋体"/>
                <w:spacing w:val="-2"/>
                <w:sz w:val="15"/>
                <w:szCs w:val="15"/>
              </w:rPr>
              <w:t>.十碳五烯酸</w:t>
            </w:r>
          </w:p>
        </w:tc>
        <w:tc>
          <w:tcPr>
            <w:tcW w:w="3082" w:type="dxa"/>
          </w:tcPr>
          <w:p w:rsidR="00EA40A3" w:rsidRDefault="00E86C16">
            <w:pPr>
              <w:spacing w:before="50" w:line="216" w:lineRule="auto"/>
              <w:ind w:left="687"/>
              <w:rPr>
                <w:rFonts w:ascii="宋体" w:eastAsia="宋体" w:hAnsi="宋体" w:cs="宋体"/>
                <w:sz w:val="15"/>
                <w:szCs w:val="15"/>
              </w:rPr>
            </w:pPr>
            <w:r>
              <w:rPr>
                <w:rFonts w:ascii="宋体" w:eastAsia="宋体" w:hAnsi="宋体" w:cs="宋体"/>
                <w:spacing w:val="-1"/>
                <w:sz w:val="15"/>
                <w:szCs w:val="15"/>
              </w:rPr>
              <w:t>C2o:5,n-3,6,9,12,15</w:t>
            </w:r>
            <w:r>
              <w:rPr>
                <w:rFonts w:ascii="宋体" w:eastAsia="宋体" w:hAnsi="宋体" w:cs="宋体"/>
                <w:spacing w:val="13"/>
                <w:sz w:val="15"/>
                <w:szCs w:val="15"/>
              </w:rPr>
              <w:t xml:space="preserve"> </w:t>
            </w:r>
            <w:r>
              <w:rPr>
                <w:rFonts w:ascii="宋体" w:eastAsia="宋体" w:hAnsi="宋体" w:cs="宋体"/>
                <w:spacing w:val="-1"/>
                <w:sz w:val="15"/>
                <w:szCs w:val="15"/>
              </w:rPr>
              <w:t>all</w:t>
            </w:r>
            <w:r>
              <w:rPr>
                <w:rFonts w:ascii="宋体" w:eastAsia="宋体" w:hAnsi="宋体" w:cs="宋体"/>
                <w:spacing w:val="9"/>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5" w:line="224" w:lineRule="auto"/>
              <w:ind w:left="136"/>
              <w:rPr>
                <w:rFonts w:ascii="宋体" w:eastAsia="宋体" w:hAnsi="宋体" w:cs="宋体"/>
                <w:sz w:val="15"/>
                <w:szCs w:val="15"/>
              </w:rPr>
            </w:pPr>
            <w:r>
              <w:rPr>
                <w:rFonts w:ascii="宋体" w:eastAsia="宋体" w:hAnsi="宋体" w:cs="宋体"/>
                <w:spacing w:val="7"/>
                <w:sz w:val="15"/>
                <w:szCs w:val="15"/>
              </w:rPr>
              <w:t>鱼油</w:t>
            </w:r>
          </w:p>
        </w:tc>
      </w:tr>
      <w:tr w:rsidR="00EA40A3">
        <w:trPr>
          <w:trHeight w:val="267"/>
        </w:trPr>
        <w:tc>
          <w:tcPr>
            <w:tcW w:w="1802" w:type="dxa"/>
          </w:tcPr>
          <w:p w:rsidR="00EA40A3" w:rsidRDefault="00E86C16">
            <w:pPr>
              <w:spacing w:before="79" w:line="219" w:lineRule="auto"/>
              <w:ind w:left="130"/>
              <w:rPr>
                <w:rFonts w:ascii="宋体" w:eastAsia="宋体" w:hAnsi="宋体" w:cs="宋体"/>
                <w:sz w:val="15"/>
                <w:szCs w:val="15"/>
              </w:rPr>
            </w:pPr>
            <w:r>
              <w:rPr>
                <w:rFonts w:ascii="宋体" w:eastAsia="宋体" w:hAnsi="宋体" w:cs="宋体"/>
                <w:spacing w:val="-2"/>
                <w:sz w:val="15"/>
                <w:szCs w:val="15"/>
              </w:rPr>
              <w:t>芥子酸</w:t>
            </w:r>
          </w:p>
        </w:tc>
        <w:tc>
          <w:tcPr>
            <w:tcW w:w="3082" w:type="dxa"/>
          </w:tcPr>
          <w:p w:rsidR="00EA40A3" w:rsidRDefault="00E86C16">
            <w:pPr>
              <w:spacing w:before="78" w:line="216" w:lineRule="auto"/>
              <w:ind w:left="68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₂</w:t>
            </w:r>
            <w:r>
              <w:rPr>
                <w:rFonts w:ascii="宋体" w:eastAsia="宋体" w:hAnsi="宋体" w:cs="宋体"/>
                <w:spacing w:val="-1"/>
                <w:sz w:val="15"/>
                <w:szCs w:val="15"/>
              </w:rPr>
              <w:t>z:l,n-9</w:t>
            </w:r>
            <w:r>
              <w:rPr>
                <w:rFonts w:ascii="宋体" w:eastAsia="宋体" w:hAnsi="宋体" w:cs="宋体"/>
                <w:spacing w:val="24"/>
                <w:w w:val="101"/>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0" w:line="219" w:lineRule="auto"/>
              <w:ind w:left="136"/>
              <w:rPr>
                <w:rFonts w:ascii="宋体" w:eastAsia="宋体" w:hAnsi="宋体" w:cs="宋体"/>
                <w:sz w:val="15"/>
                <w:szCs w:val="15"/>
              </w:rPr>
            </w:pPr>
            <w:r>
              <w:rPr>
                <w:rFonts w:ascii="宋体" w:eastAsia="宋体" w:hAnsi="宋体" w:cs="宋体"/>
                <w:spacing w:val="5"/>
                <w:sz w:val="15"/>
                <w:szCs w:val="15"/>
              </w:rPr>
              <w:t>菜籽油</w:t>
            </w:r>
          </w:p>
        </w:tc>
      </w:tr>
      <w:tr w:rsidR="00EA40A3">
        <w:trPr>
          <w:trHeight w:val="260"/>
        </w:trPr>
        <w:tc>
          <w:tcPr>
            <w:tcW w:w="1802" w:type="dxa"/>
          </w:tcPr>
          <w:p w:rsidR="00EA40A3" w:rsidRDefault="00E86C16">
            <w:pPr>
              <w:spacing w:before="63" w:line="219" w:lineRule="auto"/>
              <w:ind w:left="130"/>
              <w:rPr>
                <w:rFonts w:ascii="宋体" w:eastAsia="宋体" w:hAnsi="宋体" w:cs="宋体"/>
                <w:sz w:val="15"/>
                <w:szCs w:val="15"/>
              </w:rPr>
            </w:pPr>
            <w:r>
              <w:rPr>
                <w:rFonts w:ascii="宋体" w:eastAsia="宋体" w:hAnsi="宋体" w:cs="宋体"/>
                <w:spacing w:val="-2"/>
                <w:sz w:val="15"/>
                <w:szCs w:val="15"/>
              </w:rPr>
              <w:t>二十二碳六烯酸</w:t>
            </w:r>
          </w:p>
        </w:tc>
        <w:tc>
          <w:tcPr>
            <w:tcW w:w="3082" w:type="dxa"/>
          </w:tcPr>
          <w:p w:rsidR="00EA40A3" w:rsidRDefault="00E86C16">
            <w:pPr>
              <w:spacing w:before="51" w:line="216" w:lineRule="auto"/>
              <w:ind w:left="637"/>
              <w:rPr>
                <w:rFonts w:ascii="宋体" w:eastAsia="宋体" w:hAnsi="宋体" w:cs="宋体"/>
                <w:sz w:val="15"/>
                <w:szCs w:val="15"/>
              </w:rPr>
            </w:pPr>
            <w:r>
              <w:rPr>
                <w:rFonts w:ascii="宋体" w:eastAsia="宋体" w:hAnsi="宋体" w:cs="宋体"/>
                <w:spacing w:val="-1"/>
                <w:sz w:val="15"/>
                <w:szCs w:val="15"/>
              </w:rPr>
              <w:t>C</w:t>
            </w:r>
            <w:r>
              <w:rPr>
                <w:rFonts w:ascii="Calibri" w:eastAsia="Calibri" w:hAnsi="Calibri" w:cs="Calibri"/>
                <w:spacing w:val="-1"/>
                <w:sz w:val="15"/>
                <w:szCs w:val="15"/>
              </w:rPr>
              <w:t>₂</w:t>
            </w:r>
            <w:r>
              <w:rPr>
                <w:rFonts w:ascii="宋体" w:eastAsia="宋体" w:hAnsi="宋体" w:cs="宋体"/>
                <w:spacing w:val="-1"/>
                <w:sz w:val="15"/>
                <w:szCs w:val="15"/>
              </w:rPr>
              <w:t>z:6,n-3,6,9,12,15,18</w:t>
            </w:r>
            <w:r>
              <w:rPr>
                <w:rFonts w:ascii="宋体" w:eastAsia="宋体" w:hAnsi="宋体" w:cs="宋体"/>
                <w:spacing w:val="66"/>
                <w:sz w:val="15"/>
                <w:szCs w:val="15"/>
              </w:rPr>
              <w:t xml:space="preserve"> </w:t>
            </w:r>
            <w:r>
              <w:rPr>
                <w:rFonts w:ascii="宋体" w:eastAsia="宋体" w:hAnsi="宋体" w:cs="宋体"/>
                <w:spacing w:val="-1"/>
                <w:sz w:val="15"/>
                <w:szCs w:val="15"/>
              </w:rPr>
              <w:t>all</w:t>
            </w:r>
            <w:r>
              <w:rPr>
                <w:rFonts w:ascii="宋体" w:eastAsia="宋体" w:hAnsi="宋体" w:cs="宋体"/>
                <w:spacing w:val="59"/>
                <w:sz w:val="15"/>
                <w:szCs w:val="15"/>
              </w:rPr>
              <w:t xml:space="preserve"> </w:t>
            </w:r>
            <w:r>
              <w:rPr>
                <w:rFonts w:ascii="宋体" w:eastAsia="宋体" w:hAnsi="宋体" w:cs="宋体"/>
                <w:spacing w:val="-1"/>
                <w:sz w:val="15"/>
                <w:szCs w:val="15"/>
              </w:rPr>
              <w:t>cis</w:t>
            </w:r>
          </w:p>
        </w:tc>
        <w:tc>
          <w:tcPr>
            <w:tcW w:w="2475" w:type="dxa"/>
          </w:tcPr>
          <w:p w:rsidR="00EA40A3" w:rsidRDefault="00E86C16">
            <w:pPr>
              <w:spacing w:before="56" w:line="224" w:lineRule="auto"/>
              <w:ind w:left="136"/>
              <w:rPr>
                <w:rFonts w:ascii="宋体" w:eastAsia="宋体" w:hAnsi="宋体" w:cs="宋体"/>
                <w:sz w:val="15"/>
                <w:szCs w:val="15"/>
              </w:rPr>
            </w:pPr>
            <w:r>
              <w:rPr>
                <w:rFonts w:ascii="宋体" w:eastAsia="宋体" w:hAnsi="宋体" w:cs="宋体"/>
                <w:spacing w:val="7"/>
                <w:sz w:val="15"/>
                <w:szCs w:val="15"/>
              </w:rPr>
              <w:t>鱼油</w:t>
            </w:r>
          </w:p>
        </w:tc>
      </w:tr>
      <w:tr w:rsidR="00EA40A3">
        <w:trPr>
          <w:trHeight w:val="242"/>
        </w:trPr>
        <w:tc>
          <w:tcPr>
            <w:tcW w:w="1802" w:type="dxa"/>
            <w:tcBorders>
              <w:bottom w:val="single" w:sz="4" w:space="0" w:color="000000"/>
            </w:tcBorders>
          </w:tcPr>
          <w:p w:rsidR="00EA40A3" w:rsidRDefault="00E86C16">
            <w:pPr>
              <w:spacing w:before="73" w:line="208" w:lineRule="auto"/>
              <w:ind w:left="130"/>
              <w:rPr>
                <w:rFonts w:ascii="宋体" w:eastAsia="宋体" w:hAnsi="宋体" w:cs="宋体"/>
                <w:sz w:val="15"/>
                <w:szCs w:val="15"/>
              </w:rPr>
            </w:pPr>
            <w:r>
              <w:rPr>
                <w:rFonts w:ascii="宋体" w:eastAsia="宋体" w:hAnsi="宋体" w:cs="宋体"/>
                <w:spacing w:val="-2"/>
                <w:sz w:val="15"/>
                <w:szCs w:val="15"/>
              </w:rPr>
              <w:t>神经酸</w:t>
            </w:r>
          </w:p>
        </w:tc>
        <w:tc>
          <w:tcPr>
            <w:tcW w:w="3082" w:type="dxa"/>
            <w:tcBorders>
              <w:bottom w:val="single" w:sz="4" w:space="0" w:color="000000"/>
            </w:tcBorders>
          </w:tcPr>
          <w:p w:rsidR="00EA40A3" w:rsidRDefault="00E86C16">
            <w:pPr>
              <w:spacing w:before="51" w:line="216" w:lineRule="auto"/>
              <w:ind w:left="687"/>
              <w:rPr>
                <w:rFonts w:ascii="宋体" w:eastAsia="宋体" w:hAnsi="宋体" w:cs="宋体"/>
                <w:sz w:val="15"/>
                <w:szCs w:val="15"/>
              </w:rPr>
            </w:pPr>
            <w:r>
              <w:rPr>
                <w:rFonts w:ascii="宋体" w:eastAsia="宋体" w:hAnsi="宋体" w:cs="宋体"/>
                <w:spacing w:val="-1"/>
                <w:sz w:val="15"/>
                <w:szCs w:val="15"/>
              </w:rPr>
              <w:t>C2o:1,m-9</w:t>
            </w:r>
            <w:r>
              <w:rPr>
                <w:rFonts w:ascii="宋体" w:eastAsia="宋体" w:hAnsi="宋体" w:cs="宋体"/>
                <w:spacing w:val="9"/>
                <w:sz w:val="15"/>
                <w:szCs w:val="15"/>
              </w:rPr>
              <w:t xml:space="preserve"> </w:t>
            </w:r>
            <w:r>
              <w:rPr>
                <w:rFonts w:ascii="宋体" w:eastAsia="宋体" w:hAnsi="宋体" w:cs="宋体"/>
                <w:spacing w:val="-1"/>
                <w:sz w:val="15"/>
                <w:szCs w:val="15"/>
              </w:rPr>
              <w:t>cis</w:t>
            </w:r>
          </w:p>
        </w:tc>
        <w:tc>
          <w:tcPr>
            <w:tcW w:w="2475" w:type="dxa"/>
            <w:tcBorders>
              <w:bottom w:val="single" w:sz="4" w:space="0" w:color="000000"/>
            </w:tcBorders>
          </w:tcPr>
          <w:p w:rsidR="00EA40A3" w:rsidRDefault="00E86C16">
            <w:pPr>
              <w:spacing w:before="66" w:line="216" w:lineRule="auto"/>
              <w:ind w:left="136"/>
              <w:rPr>
                <w:rFonts w:ascii="宋体" w:eastAsia="宋体" w:hAnsi="宋体" w:cs="宋体"/>
                <w:sz w:val="15"/>
                <w:szCs w:val="15"/>
              </w:rPr>
            </w:pPr>
            <w:r>
              <w:rPr>
                <w:rFonts w:ascii="宋体" w:eastAsia="宋体" w:hAnsi="宋体" w:cs="宋体"/>
                <w:spacing w:val="7"/>
                <w:sz w:val="15"/>
                <w:szCs w:val="15"/>
              </w:rPr>
              <w:t>鱼油</w:t>
            </w:r>
          </w:p>
        </w:tc>
      </w:tr>
    </w:tbl>
    <w:p w:rsidR="00EA40A3" w:rsidRDefault="00E86C16">
      <w:pPr>
        <w:spacing w:before="85" w:line="214" w:lineRule="auto"/>
        <w:ind w:left="339"/>
        <w:rPr>
          <w:rFonts w:ascii="宋体" w:eastAsia="宋体" w:hAnsi="宋体" w:cs="宋体"/>
          <w:sz w:val="15"/>
          <w:szCs w:val="15"/>
        </w:rPr>
      </w:pPr>
      <w:r>
        <w:rPr>
          <w:rFonts w:ascii="宋体" w:eastAsia="宋体" w:hAnsi="宋体" w:cs="宋体"/>
          <w:spacing w:val="-1"/>
          <w:sz w:val="15"/>
          <w:szCs w:val="15"/>
        </w:rPr>
        <w:t>资料来源：Modern</w:t>
      </w:r>
      <w:r>
        <w:rPr>
          <w:rFonts w:ascii="宋体" w:eastAsia="宋体" w:hAnsi="宋体" w:cs="宋体"/>
          <w:spacing w:val="1"/>
          <w:sz w:val="15"/>
          <w:szCs w:val="15"/>
        </w:rPr>
        <w:t xml:space="preserve"> </w:t>
      </w:r>
      <w:r>
        <w:rPr>
          <w:rFonts w:ascii="宋体" w:eastAsia="宋体" w:hAnsi="宋体" w:cs="宋体"/>
          <w:spacing w:val="-1"/>
          <w:sz w:val="15"/>
          <w:szCs w:val="15"/>
        </w:rPr>
        <w:t>Nutrition</w:t>
      </w:r>
      <w:r>
        <w:rPr>
          <w:rFonts w:ascii="宋体" w:eastAsia="宋体" w:hAnsi="宋体" w:cs="宋体"/>
          <w:spacing w:val="15"/>
          <w:sz w:val="15"/>
          <w:szCs w:val="15"/>
        </w:rPr>
        <w:t xml:space="preserve"> </w:t>
      </w:r>
      <w:r>
        <w:rPr>
          <w:rFonts w:ascii="宋体" w:eastAsia="宋体" w:hAnsi="宋体" w:cs="宋体"/>
          <w:spacing w:val="-1"/>
          <w:sz w:val="15"/>
          <w:szCs w:val="15"/>
        </w:rPr>
        <w:t>in</w:t>
      </w:r>
      <w:r>
        <w:rPr>
          <w:rFonts w:ascii="宋体" w:eastAsia="宋体" w:hAnsi="宋体" w:cs="宋体"/>
          <w:spacing w:val="3"/>
          <w:sz w:val="15"/>
          <w:szCs w:val="15"/>
        </w:rPr>
        <w:t xml:space="preserve"> </w:t>
      </w:r>
      <w:r>
        <w:rPr>
          <w:rFonts w:ascii="宋体" w:eastAsia="宋体" w:hAnsi="宋体" w:cs="宋体"/>
          <w:spacing w:val="-1"/>
          <w:sz w:val="15"/>
          <w:szCs w:val="15"/>
        </w:rPr>
        <w:t>Health</w:t>
      </w:r>
      <w:r>
        <w:rPr>
          <w:rFonts w:ascii="宋体" w:eastAsia="宋体" w:hAnsi="宋体" w:cs="宋体"/>
          <w:spacing w:val="6"/>
          <w:sz w:val="15"/>
          <w:szCs w:val="15"/>
        </w:rPr>
        <w:t xml:space="preserve"> </w:t>
      </w:r>
      <w:r>
        <w:rPr>
          <w:rFonts w:ascii="宋体" w:eastAsia="宋体" w:hAnsi="宋体" w:cs="宋体"/>
          <w:spacing w:val="-1"/>
          <w:sz w:val="15"/>
          <w:szCs w:val="15"/>
        </w:rPr>
        <w:t>and</w:t>
      </w:r>
      <w:r>
        <w:rPr>
          <w:rFonts w:ascii="宋体" w:eastAsia="宋体" w:hAnsi="宋体" w:cs="宋体"/>
          <w:spacing w:val="3"/>
          <w:sz w:val="15"/>
          <w:szCs w:val="15"/>
        </w:rPr>
        <w:t xml:space="preserve"> </w:t>
      </w:r>
      <w:r>
        <w:rPr>
          <w:rFonts w:ascii="宋体" w:eastAsia="宋体" w:hAnsi="宋体" w:cs="宋体"/>
          <w:spacing w:val="-1"/>
          <w:sz w:val="15"/>
          <w:szCs w:val="15"/>
        </w:rPr>
        <w:t>Disease.</w:t>
      </w:r>
      <w:r>
        <w:rPr>
          <w:rFonts w:ascii="宋体" w:eastAsia="宋体" w:hAnsi="宋体" w:cs="宋体"/>
          <w:spacing w:val="17"/>
          <w:sz w:val="15"/>
          <w:szCs w:val="15"/>
        </w:rPr>
        <w:t xml:space="preserve"> </w:t>
      </w:r>
      <w:r>
        <w:rPr>
          <w:rFonts w:ascii="宋体" w:eastAsia="宋体" w:hAnsi="宋体" w:cs="宋体"/>
          <w:spacing w:val="-1"/>
          <w:sz w:val="15"/>
          <w:szCs w:val="15"/>
        </w:rPr>
        <w:t>1999.</w:t>
      </w:r>
      <w:r>
        <w:rPr>
          <w:rFonts w:ascii="宋体" w:eastAsia="宋体" w:hAnsi="宋体" w:cs="宋体"/>
          <w:spacing w:val="1"/>
          <w:sz w:val="15"/>
          <w:szCs w:val="15"/>
        </w:rPr>
        <w:t xml:space="preserve"> </w:t>
      </w:r>
      <w:r>
        <w:rPr>
          <w:rFonts w:ascii="宋体" w:eastAsia="宋体" w:hAnsi="宋体" w:cs="宋体"/>
          <w:spacing w:val="-1"/>
          <w:sz w:val="15"/>
          <w:szCs w:val="15"/>
        </w:rPr>
        <w:t>Williams</w:t>
      </w:r>
      <w:r>
        <w:rPr>
          <w:rFonts w:ascii="宋体" w:eastAsia="宋体" w:hAnsi="宋体" w:cs="宋体"/>
          <w:spacing w:val="2"/>
          <w:sz w:val="15"/>
          <w:szCs w:val="15"/>
        </w:rPr>
        <w:t xml:space="preserve"> </w:t>
      </w:r>
      <w:r>
        <w:rPr>
          <w:rFonts w:ascii="宋体" w:eastAsia="宋体" w:hAnsi="宋体" w:cs="宋体"/>
          <w:spacing w:val="-2"/>
          <w:sz w:val="15"/>
          <w:szCs w:val="15"/>
        </w:rPr>
        <w:t>&amp;.</w:t>
      </w:r>
      <w:r>
        <w:rPr>
          <w:rFonts w:ascii="宋体" w:eastAsia="宋体" w:hAnsi="宋体" w:cs="宋体"/>
          <w:spacing w:val="1"/>
          <w:sz w:val="15"/>
          <w:szCs w:val="15"/>
        </w:rPr>
        <w:t xml:space="preserve"> </w:t>
      </w:r>
      <w:r>
        <w:rPr>
          <w:rFonts w:ascii="宋体" w:eastAsia="宋体" w:hAnsi="宋体" w:cs="宋体"/>
          <w:spacing w:val="-1"/>
          <w:sz w:val="15"/>
          <w:szCs w:val="15"/>
        </w:rPr>
        <w:t>Wilking</w:t>
      </w:r>
    </w:p>
    <w:p w:rsidR="00EA40A3" w:rsidRDefault="00EA40A3">
      <w:pPr>
        <w:spacing w:line="351" w:lineRule="auto"/>
      </w:pPr>
    </w:p>
    <w:p w:rsidR="00EA40A3" w:rsidRDefault="00E86C16">
      <w:pPr>
        <w:spacing w:before="72" w:line="242" w:lineRule="auto"/>
        <w:ind w:left="9" w:right="41" w:firstLine="419"/>
        <w:jc w:val="both"/>
        <w:rPr>
          <w:rFonts w:ascii="宋体" w:eastAsia="宋体" w:hAnsi="宋体" w:cs="宋体"/>
          <w:sz w:val="22"/>
          <w:szCs w:val="22"/>
        </w:rPr>
      </w:pPr>
      <w:r>
        <w:rPr>
          <w:rFonts w:ascii="宋体" w:eastAsia="宋体" w:hAnsi="宋体" w:cs="宋体"/>
          <w:spacing w:val="-13"/>
          <w:sz w:val="22"/>
          <w:szCs w:val="22"/>
        </w:rPr>
        <w:t>由于脂肪在食品加工、烹调中可提高产品的感观性状和适口感，而且良好的</w:t>
      </w:r>
      <w:r>
        <w:rPr>
          <w:rFonts w:ascii="宋体" w:eastAsia="宋体" w:hAnsi="宋体" w:cs="宋体"/>
          <w:spacing w:val="14"/>
          <w:sz w:val="22"/>
          <w:szCs w:val="22"/>
        </w:rPr>
        <w:t xml:space="preserve"> </w:t>
      </w:r>
      <w:r>
        <w:rPr>
          <w:rFonts w:ascii="宋体" w:eastAsia="宋体" w:hAnsi="宋体" w:cs="宋体"/>
          <w:spacing w:val="-13"/>
          <w:sz w:val="22"/>
          <w:szCs w:val="22"/>
        </w:rPr>
        <w:t>风味可刺激人的食欲，使人类易产生对脂肪的嗜好和依赖；而过多摄入脂肪会对</w:t>
      </w:r>
      <w:r>
        <w:rPr>
          <w:rFonts w:ascii="宋体" w:eastAsia="宋体" w:hAnsi="宋体" w:cs="宋体"/>
          <w:spacing w:val="12"/>
          <w:sz w:val="22"/>
          <w:szCs w:val="22"/>
        </w:rPr>
        <w:t xml:space="preserve"> </w:t>
      </w:r>
      <w:r>
        <w:rPr>
          <w:rFonts w:ascii="宋体" w:eastAsia="宋体" w:hAnsi="宋体" w:cs="宋体"/>
          <w:spacing w:val="-14"/>
          <w:sz w:val="22"/>
          <w:szCs w:val="22"/>
        </w:rPr>
        <w:t>人体产生多种危害。为解决这一矛盾，人们开发生产出具有脂肪性状而又不能被</w:t>
      </w:r>
      <w:r>
        <w:rPr>
          <w:rFonts w:ascii="宋体" w:eastAsia="宋体" w:hAnsi="宋体" w:cs="宋体"/>
          <w:spacing w:val="3"/>
          <w:sz w:val="22"/>
          <w:szCs w:val="22"/>
        </w:rPr>
        <w:t xml:space="preserve">  </w:t>
      </w:r>
      <w:r>
        <w:rPr>
          <w:rFonts w:ascii="宋体" w:eastAsia="宋体" w:hAnsi="宋体" w:cs="宋体"/>
          <w:spacing w:val="-13"/>
          <w:sz w:val="22"/>
          <w:szCs w:val="22"/>
        </w:rPr>
        <w:t>人体吸收的脂肪替代品</w:t>
      </w:r>
      <w:r>
        <w:rPr>
          <w:rFonts w:ascii="宋体" w:eastAsia="宋体" w:hAnsi="宋体" w:cs="宋体"/>
          <w:spacing w:val="-32"/>
          <w:sz w:val="22"/>
          <w:szCs w:val="22"/>
        </w:rPr>
        <w:t xml:space="preserve"> </w:t>
      </w:r>
      <w:r>
        <w:rPr>
          <w:rFonts w:ascii="宋体" w:eastAsia="宋体" w:hAnsi="宋体" w:cs="宋体"/>
          <w:spacing w:val="-13"/>
          <w:sz w:val="22"/>
          <w:szCs w:val="22"/>
        </w:rPr>
        <w:t>(fat</w:t>
      </w:r>
      <w:r>
        <w:rPr>
          <w:rFonts w:ascii="宋体" w:eastAsia="宋体" w:hAnsi="宋体" w:cs="宋体"/>
          <w:sz w:val="22"/>
          <w:szCs w:val="22"/>
        </w:rPr>
        <w:t xml:space="preserve"> </w:t>
      </w:r>
      <w:r>
        <w:rPr>
          <w:rFonts w:ascii="宋体" w:eastAsia="宋体" w:hAnsi="宋体" w:cs="宋体"/>
          <w:spacing w:val="-13"/>
          <w:sz w:val="22"/>
          <w:szCs w:val="22"/>
        </w:rPr>
        <w:t>substitute),脂肪替代品一般</w:t>
      </w:r>
      <w:r>
        <w:rPr>
          <w:rFonts w:ascii="宋体" w:eastAsia="宋体" w:hAnsi="宋体" w:cs="宋体"/>
          <w:spacing w:val="-14"/>
          <w:sz w:val="22"/>
          <w:szCs w:val="22"/>
        </w:rPr>
        <w:t>是以天然碳水化合物、</w:t>
      </w:r>
    </w:p>
    <w:p w:rsidR="00EA40A3" w:rsidRDefault="00E86C16">
      <w:pPr>
        <w:spacing w:before="71"/>
        <w:ind w:left="89"/>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2"/>
          <w:sz w:val="18"/>
          <w:szCs w:val="18"/>
        </w:rPr>
        <w:t xml:space="preserve"> </w:t>
      </w:r>
      <w:r>
        <w:rPr>
          <w:rFonts w:ascii="宋体" w:eastAsia="宋体" w:hAnsi="宋体" w:cs="宋体"/>
          <w:spacing w:val="-29"/>
          <w:sz w:val="18"/>
          <w:szCs w:val="18"/>
        </w:rPr>
        <w:t>66</w:t>
      </w:r>
      <w:r>
        <w:rPr>
          <w:rFonts w:ascii="宋体" w:eastAsia="宋体" w:hAnsi="宋体" w:cs="宋体"/>
          <w:spacing w:val="50"/>
          <w:sz w:val="18"/>
          <w:szCs w:val="18"/>
        </w:rPr>
        <w:t xml:space="preserve"> </w:t>
      </w:r>
      <w:r>
        <w:rPr>
          <w:rFonts w:ascii="宋体" w:eastAsia="宋体" w:hAnsi="宋体" w:cs="宋体"/>
          <w:spacing w:val="-29"/>
          <w:sz w:val="18"/>
          <w:szCs w:val="18"/>
        </w:rPr>
        <w:t>·</w:t>
      </w:r>
    </w:p>
    <w:p w:rsidR="00EA40A3" w:rsidRDefault="00EA40A3">
      <w:pPr>
        <w:sectPr w:rsidR="00EA40A3">
          <w:footerReference w:type="default" r:id="rId53"/>
          <w:pgSz w:w="9220" w:h="13360"/>
          <w:pgMar w:top="400" w:right="1028" w:bottom="400" w:left="820" w:header="0" w:footer="0" w:gutter="0"/>
          <w:cols w:space="720"/>
        </w:sectPr>
      </w:pPr>
    </w:p>
    <w:p w:rsidR="00EA40A3" w:rsidRDefault="00EA40A3">
      <w:pPr>
        <w:spacing w:line="279" w:lineRule="auto"/>
      </w:pPr>
    </w:p>
    <w:p w:rsidR="00EA40A3" w:rsidRDefault="00EA40A3">
      <w:pPr>
        <w:spacing w:line="280" w:lineRule="auto"/>
      </w:pPr>
    </w:p>
    <w:p w:rsidR="00EA40A3" w:rsidRDefault="00E86C16">
      <w:pPr>
        <w:spacing w:before="71" w:line="246" w:lineRule="auto"/>
        <w:jc w:val="both"/>
        <w:rPr>
          <w:rFonts w:ascii="宋体" w:eastAsia="宋体" w:hAnsi="宋体" w:cs="宋体"/>
          <w:sz w:val="22"/>
          <w:szCs w:val="22"/>
        </w:rPr>
      </w:pPr>
      <w:r>
        <w:rPr>
          <w:rFonts w:ascii="宋体" w:eastAsia="宋体" w:hAnsi="宋体" w:cs="宋体"/>
          <w:spacing w:val="-11"/>
          <w:sz w:val="22"/>
          <w:szCs w:val="22"/>
        </w:rPr>
        <w:t>脂肪或蛋白质为原料生产。典</w:t>
      </w:r>
      <w:r>
        <w:rPr>
          <w:rFonts w:ascii="宋体" w:eastAsia="宋体" w:hAnsi="宋体" w:cs="宋体"/>
          <w:spacing w:val="-12"/>
          <w:sz w:val="22"/>
          <w:szCs w:val="22"/>
        </w:rPr>
        <w:t>型的产品有蔗糖聚酯</w:t>
      </w:r>
      <w:r>
        <w:rPr>
          <w:rFonts w:ascii="宋体" w:eastAsia="宋体" w:hAnsi="宋体" w:cs="宋体"/>
          <w:spacing w:val="-14"/>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sucrose</w:t>
      </w:r>
      <w:r>
        <w:rPr>
          <w:rFonts w:ascii="宋体" w:eastAsia="宋体" w:hAnsi="宋体" w:cs="宋体"/>
          <w:spacing w:val="-8"/>
          <w:sz w:val="22"/>
          <w:szCs w:val="22"/>
        </w:rPr>
        <w:t xml:space="preserve"> </w:t>
      </w:r>
      <w:r>
        <w:rPr>
          <w:rFonts w:ascii="宋体" w:eastAsia="宋体" w:hAnsi="宋体" w:cs="宋体"/>
          <w:spacing w:val="-11"/>
          <w:sz w:val="22"/>
          <w:szCs w:val="22"/>
        </w:rPr>
        <w:t>polyester</w:t>
      </w:r>
      <w:r>
        <w:rPr>
          <w:rFonts w:ascii="宋体" w:eastAsia="宋体" w:hAnsi="宋体" w:cs="宋体"/>
          <w:spacing w:val="-12"/>
          <w:sz w:val="22"/>
          <w:szCs w:val="22"/>
        </w:rPr>
        <w:t>)</w:t>
      </w:r>
      <w:r>
        <w:rPr>
          <w:rFonts w:ascii="宋体" w:eastAsia="宋体" w:hAnsi="宋体" w:cs="宋体"/>
          <w:spacing w:val="-42"/>
          <w:sz w:val="22"/>
          <w:szCs w:val="22"/>
        </w:rPr>
        <w:t xml:space="preserve"> </w:t>
      </w:r>
      <w:r>
        <w:rPr>
          <w:rFonts w:ascii="宋体" w:eastAsia="宋体" w:hAnsi="宋体" w:cs="宋体"/>
          <w:spacing w:val="-12"/>
          <w:sz w:val="22"/>
          <w:szCs w:val="22"/>
        </w:rPr>
        <w:t>和燕麦</w:t>
      </w:r>
      <w:r>
        <w:rPr>
          <w:rFonts w:ascii="宋体" w:eastAsia="宋体" w:hAnsi="宋体" w:cs="宋体"/>
          <w:sz w:val="22"/>
          <w:szCs w:val="22"/>
        </w:rPr>
        <w:t xml:space="preserve"> </w:t>
      </w:r>
      <w:r>
        <w:rPr>
          <w:rFonts w:ascii="宋体" w:eastAsia="宋体" w:hAnsi="宋体" w:cs="宋体"/>
          <w:spacing w:val="-13"/>
          <w:sz w:val="22"/>
          <w:szCs w:val="22"/>
        </w:rPr>
        <w:t>素。蔗糖聚酯是由蔗糖和脂肪酸为主要原料合成的脂肪替代产品。燕麦</w:t>
      </w:r>
      <w:r>
        <w:rPr>
          <w:rFonts w:ascii="宋体" w:eastAsia="宋体" w:hAnsi="宋体" w:cs="宋体"/>
          <w:spacing w:val="-14"/>
          <w:sz w:val="22"/>
          <w:szCs w:val="22"/>
        </w:rPr>
        <w:t>素是从燕</w:t>
      </w:r>
      <w:r>
        <w:rPr>
          <w:rFonts w:ascii="宋体" w:eastAsia="宋体" w:hAnsi="宋体" w:cs="宋体"/>
          <w:sz w:val="22"/>
          <w:szCs w:val="22"/>
        </w:rPr>
        <w:t xml:space="preserve"> </w:t>
      </w:r>
      <w:r>
        <w:rPr>
          <w:rFonts w:ascii="宋体" w:eastAsia="宋体" w:hAnsi="宋体" w:cs="宋体"/>
          <w:spacing w:val="-13"/>
          <w:sz w:val="22"/>
          <w:szCs w:val="22"/>
        </w:rPr>
        <w:t>麦中提取的脂类物质，该物质对热稳定，口感中有脂肪的细腻感，主要用于冷冻</w:t>
      </w:r>
      <w:r>
        <w:rPr>
          <w:rFonts w:ascii="宋体" w:eastAsia="宋体" w:hAnsi="宋体" w:cs="宋体"/>
          <w:sz w:val="22"/>
          <w:szCs w:val="22"/>
        </w:rPr>
        <w:t xml:space="preserve"> </w:t>
      </w:r>
      <w:r>
        <w:rPr>
          <w:rFonts w:ascii="宋体" w:eastAsia="宋体" w:hAnsi="宋体" w:cs="宋体"/>
          <w:spacing w:val="-13"/>
          <w:sz w:val="22"/>
          <w:szCs w:val="22"/>
        </w:rPr>
        <w:t>食品如冰淇淋、色拉调料和汤料的加工中；由于在生产中保留有</w:t>
      </w:r>
      <w:r>
        <w:rPr>
          <w:rFonts w:ascii="宋体" w:eastAsia="宋体" w:hAnsi="宋体" w:cs="宋体"/>
          <w:spacing w:val="-14"/>
          <w:sz w:val="22"/>
          <w:szCs w:val="22"/>
        </w:rPr>
        <w:t>大量的燕麦纤维</w:t>
      </w:r>
      <w:r>
        <w:rPr>
          <w:rFonts w:ascii="宋体" w:eastAsia="宋体" w:hAnsi="宋体" w:cs="宋体"/>
          <w:sz w:val="22"/>
          <w:szCs w:val="22"/>
        </w:rPr>
        <w:t xml:space="preserve"> </w:t>
      </w:r>
      <w:r>
        <w:rPr>
          <w:rFonts w:ascii="宋体" w:eastAsia="宋体" w:hAnsi="宋体" w:cs="宋体"/>
          <w:spacing w:val="-16"/>
          <w:sz w:val="22"/>
          <w:szCs w:val="22"/>
        </w:rPr>
        <w:t>素，它不仅可作为饱和脂肪酸的代用品，而且有一定的降胆固醇作用。</w:t>
      </w:r>
    </w:p>
    <w:p w:rsidR="00EA40A3" w:rsidRDefault="00EA40A3">
      <w:pPr>
        <w:spacing w:line="259" w:lineRule="auto"/>
      </w:pPr>
    </w:p>
    <w:p w:rsidR="00EA40A3" w:rsidRDefault="00E86C16">
      <w:pPr>
        <w:spacing w:before="91" w:line="220" w:lineRule="auto"/>
        <w:ind w:left="2679"/>
        <w:rPr>
          <w:rFonts w:ascii="宋体" w:eastAsia="宋体" w:hAnsi="宋体" w:cs="宋体"/>
          <w:sz w:val="28"/>
          <w:szCs w:val="28"/>
        </w:rPr>
      </w:pPr>
      <w:r>
        <w:rPr>
          <w:rFonts w:ascii="宋体" w:eastAsia="宋体" w:hAnsi="宋体" w:cs="宋体"/>
          <w:spacing w:val="-15"/>
          <w:sz w:val="28"/>
          <w:szCs w:val="28"/>
        </w:rPr>
        <w:t>3.4</w:t>
      </w:r>
      <w:r>
        <w:rPr>
          <w:rFonts w:ascii="宋体" w:eastAsia="宋体" w:hAnsi="宋体" w:cs="宋体"/>
          <w:spacing w:val="117"/>
          <w:sz w:val="28"/>
          <w:szCs w:val="28"/>
        </w:rPr>
        <w:t xml:space="preserve"> </w:t>
      </w:r>
      <w:r>
        <w:rPr>
          <w:rFonts w:ascii="宋体" w:eastAsia="宋体" w:hAnsi="宋体" w:cs="宋体"/>
          <w:spacing w:val="-15"/>
          <w:sz w:val="28"/>
          <w:szCs w:val="28"/>
        </w:rPr>
        <w:t>蛋</w:t>
      </w:r>
      <w:r>
        <w:rPr>
          <w:rFonts w:ascii="宋体" w:eastAsia="宋体" w:hAnsi="宋体" w:cs="宋体"/>
          <w:spacing w:val="15"/>
          <w:sz w:val="28"/>
          <w:szCs w:val="28"/>
        </w:rPr>
        <w:t xml:space="preserve">  </w:t>
      </w:r>
      <w:r>
        <w:rPr>
          <w:rFonts w:ascii="宋体" w:eastAsia="宋体" w:hAnsi="宋体" w:cs="宋体"/>
          <w:spacing w:val="-15"/>
          <w:sz w:val="28"/>
          <w:szCs w:val="28"/>
        </w:rPr>
        <w:t>白</w:t>
      </w:r>
      <w:r>
        <w:rPr>
          <w:rFonts w:ascii="宋体" w:eastAsia="宋体" w:hAnsi="宋体" w:cs="宋体"/>
          <w:spacing w:val="11"/>
          <w:sz w:val="28"/>
          <w:szCs w:val="28"/>
        </w:rPr>
        <w:t xml:space="preserve">  </w:t>
      </w:r>
      <w:r>
        <w:rPr>
          <w:rFonts w:ascii="宋体" w:eastAsia="宋体" w:hAnsi="宋体" w:cs="宋体"/>
          <w:spacing w:val="-15"/>
          <w:sz w:val="28"/>
          <w:szCs w:val="28"/>
        </w:rPr>
        <w:t>质</w:t>
      </w:r>
    </w:p>
    <w:p w:rsidR="00EA40A3" w:rsidRDefault="00EA40A3">
      <w:pPr>
        <w:spacing w:line="245" w:lineRule="auto"/>
      </w:pPr>
    </w:p>
    <w:p w:rsidR="00EA40A3" w:rsidRDefault="00E86C16">
      <w:pPr>
        <w:spacing w:before="71" w:line="245" w:lineRule="auto"/>
        <w:ind w:right="20" w:firstLine="430"/>
        <w:jc w:val="both"/>
        <w:rPr>
          <w:rFonts w:ascii="宋体" w:eastAsia="宋体" w:hAnsi="宋体" w:cs="宋体"/>
          <w:sz w:val="22"/>
          <w:szCs w:val="22"/>
        </w:rPr>
      </w:pPr>
      <w:r>
        <w:rPr>
          <w:rFonts w:ascii="宋体" w:eastAsia="宋体" w:hAnsi="宋体" w:cs="宋体"/>
          <w:sz w:val="22"/>
          <w:szCs w:val="22"/>
        </w:rPr>
        <w:t>蛋白质</w:t>
      </w:r>
      <w:r>
        <w:rPr>
          <w:rFonts w:ascii="宋体" w:eastAsia="宋体" w:hAnsi="宋体" w:cs="宋体"/>
          <w:spacing w:val="-55"/>
          <w:sz w:val="22"/>
          <w:szCs w:val="22"/>
        </w:rPr>
        <w:t xml:space="preserve"> </w:t>
      </w:r>
      <w:r>
        <w:rPr>
          <w:rFonts w:ascii="宋体" w:eastAsia="宋体" w:hAnsi="宋体" w:cs="宋体"/>
          <w:sz w:val="22"/>
          <w:szCs w:val="22"/>
        </w:rPr>
        <w:t>(protein)</w:t>
      </w:r>
      <w:r>
        <w:rPr>
          <w:rFonts w:ascii="宋体" w:eastAsia="宋体" w:hAnsi="宋体" w:cs="宋体"/>
          <w:spacing w:val="-55"/>
          <w:sz w:val="22"/>
          <w:szCs w:val="22"/>
        </w:rPr>
        <w:t xml:space="preserve"> </w:t>
      </w:r>
      <w:r>
        <w:rPr>
          <w:rFonts w:ascii="宋体" w:eastAsia="宋体" w:hAnsi="宋体" w:cs="宋体"/>
          <w:sz w:val="22"/>
          <w:szCs w:val="22"/>
        </w:rPr>
        <w:t>约占人体体重的16%,人体</w:t>
      </w:r>
      <w:r>
        <w:rPr>
          <w:rFonts w:ascii="宋体" w:eastAsia="宋体" w:hAnsi="宋体" w:cs="宋体"/>
          <w:spacing w:val="-1"/>
          <w:sz w:val="22"/>
          <w:szCs w:val="22"/>
        </w:rPr>
        <w:t>内的蛋白质始终处于不断分</w:t>
      </w:r>
      <w:r>
        <w:rPr>
          <w:rFonts w:ascii="宋体" w:eastAsia="宋体" w:hAnsi="宋体" w:cs="宋体"/>
          <w:sz w:val="22"/>
          <w:szCs w:val="22"/>
        </w:rPr>
        <w:t xml:space="preserve"> </w:t>
      </w:r>
      <w:r>
        <w:rPr>
          <w:rFonts w:ascii="宋体" w:eastAsia="宋体" w:hAnsi="宋体" w:cs="宋体"/>
          <w:spacing w:val="-7"/>
          <w:sz w:val="22"/>
          <w:szCs w:val="22"/>
        </w:rPr>
        <w:t>解又不断合成的动态平衡中，每天约有3%的人体蛋白质被更新。蛋白质是组成</w:t>
      </w:r>
      <w:r>
        <w:rPr>
          <w:rFonts w:ascii="宋体" w:eastAsia="宋体" w:hAnsi="宋体" w:cs="宋体"/>
          <w:spacing w:val="4"/>
          <w:sz w:val="22"/>
          <w:szCs w:val="22"/>
        </w:rPr>
        <w:t xml:space="preserve"> </w:t>
      </w:r>
      <w:r>
        <w:rPr>
          <w:rFonts w:ascii="宋体" w:eastAsia="宋体" w:hAnsi="宋体" w:cs="宋体"/>
          <w:spacing w:val="-2"/>
          <w:sz w:val="22"/>
          <w:szCs w:val="22"/>
        </w:rPr>
        <w:t>人体一切细胞、组织最重要的成分，同时也是参与人体各种生命活动的重要</w:t>
      </w:r>
      <w:r>
        <w:rPr>
          <w:rFonts w:ascii="宋体" w:eastAsia="宋体" w:hAnsi="宋体" w:cs="宋体"/>
          <w:spacing w:val="6"/>
          <w:sz w:val="22"/>
          <w:szCs w:val="22"/>
        </w:rPr>
        <w:t xml:space="preserve"> </w:t>
      </w:r>
      <w:r>
        <w:rPr>
          <w:rFonts w:ascii="宋体" w:eastAsia="宋体" w:hAnsi="宋体" w:cs="宋体"/>
          <w:spacing w:val="-9"/>
          <w:sz w:val="22"/>
          <w:szCs w:val="22"/>
        </w:rPr>
        <w:t>物质。</w:t>
      </w:r>
    </w:p>
    <w:p w:rsidR="00EA40A3" w:rsidRDefault="00E86C16">
      <w:pPr>
        <w:spacing w:before="192" w:line="221" w:lineRule="auto"/>
        <w:ind w:left="3"/>
        <w:outlineLvl w:val="6"/>
        <w:rPr>
          <w:rFonts w:ascii="黑体" w:eastAsia="黑体" w:hAnsi="黑体" w:cs="黑体"/>
          <w:sz w:val="22"/>
          <w:szCs w:val="22"/>
        </w:rPr>
      </w:pPr>
      <w:r>
        <w:rPr>
          <w:rFonts w:ascii="黑体" w:eastAsia="黑体" w:hAnsi="黑体" w:cs="黑体"/>
          <w:b/>
          <w:bCs/>
          <w:spacing w:val="7"/>
          <w:sz w:val="22"/>
          <w:szCs w:val="22"/>
        </w:rPr>
        <w:t>3.4.1</w:t>
      </w:r>
      <w:r>
        <w:rPr>
          <w:rFonts w:ascii="黑体" w:eastAsia="黑体" w:hAnsi="黑体" w:cs="黑体"/>
          <w:spacing w:val="27"/>
          <w:sz w:val="22"/>
          <w:szCs w:val="22"/>
        </w:rPr>
        <w:t xml:space="preserve">  </w:t>
      </w:r>
      <w:r>
        <w:rPr>
          <w:rFonts w:ascii="黑体" w:eastAsia="黑体" w:hAnsi="黑体" w:cs="黑体"/>
          <w:b/>
          <w:bCs/>
          <w:spacing w:val="7"/>
          <w:sz w:val="22"/>
          <w:szCs w:val="22"/>
        </w:rPr>
        <w:t>食物中蛋白质的种类</w:t>
      </w:r>
    </w:p>
    <w:p w:rsidR="00EA40A3" w:rsidRDefault="00E86C16">
      <w:pPr>
        <w:spacing w:before="201" w:line="235" w:lineRule="auto"/>
        <w:ind w:right="18" w:firstLine="430"/>
        <w:rPr>
          <w:rFonts w:ascii="宋体" w:eastAsia="宋体" w:hAnsi="宋体" w:cs="宋体"/>
          <w:sz w:val="22"/>
          <w:szCs w:val="22"/>
        </w:rPr>
      </w:pPr>
      <w:r>
        <w:rPr>
          <w:rFonts w:ascii="宋体" w:eastAsia="宋体" w:hAnsi="宋体" w:cs="宋体"/>
          <w:spacing w:val="-14"/>
          <w:sz w:val="22"/>
          <w:szCs w:val="22"/>
        </w:rPr>
        <w:t>蛋白质是由氨基酸为基本单位、以肽键连接的高分子化合物，分子质量从一</w:t>
      </w:r>
      <w:r>
        <w:rPr>
          <w:rFonts w:ascii="宋体" w:eastAsia="宋体" w:hAnsi="宋体" w:cs="宋体"/>
          <w:spacing w:val="12"/>
          <w:sz w:val="22"/>
          <w:szCs w:val="22"/>
        </w:rPr>
        <w:t xml:space="preserve"> </w:t>
      </w:r>
      <w:r>
        <w:rPr>
          <w:rFonts w:ascii="宋体" w:eastAsia="宋体" w:hAnsi="宋体" w:cs="宋体"/>
          <w:spacing w:val="-15"/>
          <w:sz w:val="22"/>
          <w:szCs w:val="22"/>
        </w:rPr>
        <w:t>万至几十万或几百万甚至上千万道尔顿。</w:t>
      </w:r>
    </w:p>
    <w:p w:rsidR="00EA40A3" w:rsidRDefault="00E86C16">
      <w:pPr>
        <w:spacing w:before="220" w:line="224"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56"/>
          <w:sz w:val="22"/>
          <w:szCs w:val="22"/>
        </w:rPr>
        <w:t xml:space="preserve"> </w:t>
      </w:r>
      <w:r>
        <w:rPr>
          <w:rFonts w:ascii="仿宋" w:eastAsia="仿宋" w:hAnsi="仿宋" w:cs="仿宋"/>
          <w:spacing w:val="8"/>
          <w:sz w:val="22"/>
          <w:szCs w:val="22"/>
        </w:rPr>
        <w:t>按组成成分分类</w:t>
      </w:r>
    </w:p>
    <w:p w:rsidR="00EA40A3" w:rsidRDefault="00E86C16">
      <w:pPr>
        <w:spacing w:before="161" w:line="225" w:lineRule="auto"/>
        <w:rPr>
          <w:rFonts w:ascii="楷体" w:eastAsia="楷体" w:hAnsi="楷体" w:cs="楷体"/>
          <w:sz w:val="22"/>
          <w:szCs w:val="22"/>
        </w:rPr>
      </w:pPr>
      <w:r>
        <w:rPr>
          <w:rFonts w:ascii="楷体" w:eastAsia="楷体" w:hAnsi="楷体" w:cs="楷体"/>
          <w:spacing w:val="-3"/>
          <w:sz w:val="22"/>
          <w:szCs w:val="22"/>
        </w:rPr>
        <w:t>1)单纯蛋白质</w:t>
      </w:r>
    </w:p>
    <w:p w:rsidR="00EA40A3" w:rsidRDefault="00E86C16">
      <w:pPr>
        <w:spacing w:before="66" w:line="237" w:lineRule="auto"/>
        <w:ind w:right="3" w:firstLine="430"/>
        <w:jc w:val="both"/>
        <w:rPr>
          <w:rFonts w:ascii="宋体" w:eastAsia="宋体" w:hAnsi="宋体" w:cs="宋体"/>
          <w:sz w:val="22"/>
          <w:szCs w:val="22"/>
        </w:rPr>
      </w:pPr>
      <w:r>
        <w:rPr>
          <w:rFonts w:ascii="宋体" w:eastAsia="宋体" w:hAnsi="宋体" w:cs="宋体"/>
          <w:spacing w:val="-13"/>
          <w:sz w:val="22"/>
          <w:szCs w:val="22"/>
        </w:rPr>
        <w:t>分子组成中，除氨基酸构成的多肽蛋白成分外，没有任何非蛋白</w:t>
      </w:r>
      <w:r>
        <w:rPr>
          <w:rFonts w:ascii="宋体" w:eastAsia="宋体" w:hAnsi="宋体" w:cs="宋体"/>
          <w:spacing w:val="-14"/>
          <w:sz w:val="22"/>
          <w:szCs w:val="22"/>
        </w:rPr>
        <w:t>成分的蛋白</w:t>
      </w:r>
      <w:r>
        <w:rPr>
          <w:rFonts w:ascii="宋体" w:eastAsia="宋体" w:hAnsi="宋体" w:cs="宋体"/>
          <w:sz w:val="22"/>
          <w:szCs w:val="22"/>
        </w:rPr>
        <w:t xml:space="preserve"> </w:t>
      </w:r>
      <w:r>
        <w:rPr>
          <w:rFonts w:ascii="宋体" w:eastAsia="宋体" w:hAnsi="宋体" w:cs="宋体"/>
          <w:spacing w:val="-15"/>
          <w:sz w:val="22"/>
          <w:szCs w:val="22"/>
        </w:rPr>
        <w:t>质称为单纯蛋白质</w:t>
      </w:r>
      <w:r>
        <w:rPr>
          <w:rFonts w:ascii="宋体" w:eastAsia="宋体" w:hAnsi="宋体" w:cs="宋体"/>
          <w:spacing w:val="-34"/>
          <w:sz w:val="22"/>
          <w:szCs w:val="22"/>
        </w:rPr>
        <w:t xml:space="preserve"> </w:t>
      </w:r>
      <w:r>
        <w:rPr>
          <w:rFonts w:ascii="宋体" w:eastAsia="宋体" w:hAnsi="宋体" w:cs="宋体"/>
          <w:spacing w:val="-15"/>
          <w:sz w:val="22"/>
          <w:szCs w:val="22"/>
        </w:rPr>
        <w:t>(simple</w:t>
      </w:r>
      <w:r>
        <w:rPr>
          <w:rFonts w:ascii="宋体" w:eastAsia="宋体" w:hAnsi="宋体" w:cs="宋体"/>
          <w:spacing w:val="-9"/>
          <w:sz w:val="22"/>
          <w:szCs w:val="22"/>
        </w:rPr>
        <w:t xml:space="preserve"> </w:t>
      </w:r>
      <w:r>
        <w:rPr>
          <w:rFonts w:ascii="宋体" w:eastAsia="宋体" w:hAnsi="宋体" w:cs="宋体"/>
          <w:spacing w:val="-15"/>
          <w:sz w:val="22"/>
          <w:szCs w:val="22"/>
        </w:rPr>
        <w:t>protein)。</w:t>
      </w:r>
      <w:r>
        <w:rPr>
          <w:rFonts w:ascii="宋体" w:eastAsia="宋体" w:hAnsi="宋体" w:cs="宋体"/>
          <w:spacing w:val="-23"/>
          <w:sz w:val="22"/>
          <w:szCs w:val="22"/>
        </w:rPr>
        <w:t xml:space="preserve"> </w:t>
      </w:r>
      <w:r>
        <w:rPr>
          <w:rFonts w:ascii="宋体" w:eastAsia="宋体" w:hAnsi="宋体" w:cs="宋体"/>
          <w:spacing w:val="-15"/>
          <w:sz w:val="22"/>
          <w:szCs w:val="22"/>
        </w:rPr>
        <w:t>自然界中许多蛋白质属</w:t>
      </w:r>
      <w:r>
        <w:rPr>
          <w:rFonts w:ascii="宋体" w:eastAsia="宋体" w:hAnsi="宋体" w:cs="宋体"/>
          <w:spacing w:val="-16"/>
          <w:sz w:val="22"/>
          <w:szCs w:val="22"/>
        </w:rPr>
        <w:t>于此类。单纯蛋白</w:t>
      </w:r>
      <w:r>
        <w:rPr>
          <w:rFonts w:ascii="宋体" w:eastAsia="宋体" w:hAnsi="宋体" w:cs="宋体"/>
          <w:sz w:val="22"/>
          <w:szCs w:val="22"/>
        </w:rPr>
        <w:t xml:space="preserve"> </w:t>
      </w:r>
      <w:r>
        <w:rPr>
          <w:rFonts w:ascii="宋体" w:eastAsia="宋体" w:hAnsi="宋体" w:cs="宋体"/>
          <w:spacing w:val="-13"/>
          <w:sz w:val="22"/>
          <w:szCs w:val="22"/>
        </w:rPr>
        <w:t>质又可分为：清蛋白、球蛋白、谷蛋白、醇溶谷蛋白、硬蛋白、组</w:t>
      </w:r>
      <w:r>
        <w:rPr>
          <w:rFonts w:ascii="宋体" w:eastAsia="宋体" w:hAnsi="宋体" w:cs="宋体"/>
          <w:spacing w:val="-14"/>
          <w:sz w:val="22"/>
          <w:szCs w:val="22"/>
        </w:rPr>
        <w:t>蛋白、鱼精蛋</w:t>
      </w:r>
      <w:r>
        <w:rPr>
          <w:rFonts w:ascii="宋体" w:eastAsia="宋体" w:hAnsi="宋体" w:cs="宋体"/>
          <w:sz w:val="22"/>
          <w:szCs w:val="22"/>
        </w:rPr>
        <w:t xml:space="preserve"> </w:t>
      </w:r>
      <w:r>
        <w:rPr>
          <w:rFonts w:ascii="宋体" w:eastAsia="宋体" w:hAnsi="宋体" w:cs="宋体"/>
          <w:spacing w:val="-17"/>
          <w:sz w:val="22"/>
          <w:szCs w:val="22"/>
        </w:rPr>
        <w:t>白等。</w:t>
      </w:r>
    </w:p>
    <w:p w:rsidR="00EA40A3" w:rsidRDefault="00E86C16">
      <w:pPr>
        <w:spacing w:before="67" w:line="226" w:lineRule="auto"/>
        <w:rPr>
          <w:rFonts w:ascii="楷体" w:eastAsia="楷体" w:hAnsi="楷体" w:cs="楷体"/>
          <w:sz w:val="22"/>
          <w:szCs w:val="22"/>
        </w:rPr>
      </w:pPr>
      <w:r>
        <w:rPr>
          <w:rFonts w:ascii="楷体" w:eastAsia="楷体" w:hAnsi="楷体" w:cs="楷体"/>
          <w:spacing w:val="-1"/>
          <w:sz w:val="22"/>
          <w:szCs w:val="22"/>
        </w:rPr>
        <w:t>2)结合蛋白质</w:t>
      </w:r>
    </w:p>
    <w:p w:rsidR="00EA40A3" w:rsidRDefault="00E86C16">
      <w:pPr>
        <w:spacing w:before="65" w:line="245" w:lineRule="auto"/>
        <w:ind w:right="20" w:firstLine="430"/>
        <w:jc w:val="both"/>
        <w:rPr>
          <w:rFonts w:ascii="宋体" w:eastAsia="宋体" w:hAnsi="宋体" w:cs="宋体"/>
          <w:sz w:val="22"/>
          <w:szCs w:val="22"/>
        </w:rPr>
      </w:pPr>
      <w:r>
        <w:rPr>
          <w:rFonts w:ascii="宋体" w:eastAsia="宋体" w:hAnsi="宋体" w:cs="宋体"/>
          <w:spacing w:val="-12"/>
          <w:sz w:val="22"/>
          <w:szCs w:val="22"/>
        </w:rPr>
        <w:t>结合蛋白质</w:t>
      </w:r>
      <w:r>
        <w:rPr>
          <w:rFonts w:ascii="宋体" w:eastAsia="宋体" w:hAnsi="宋体" w:cs="宋体"/>
          <w:spacing w:val="-7"/>
          <w:sz w:val="22"/>
          <w:szCs w:val="22"/>
        </w:rPr>
        <w:t xml:space="preserve"> </w:t>
      </w:r>
      <w:r>
        <w:rPr>
          <w:rFonts w:ascii="宋体" w:eastAsia="宋体" w:hAnsi="宋体" w:cs="宋体"/>
          <w:spacing w:val="-12"/>
          <w:sz w:val="22"/>
          <w:szCs w:val="22"/>
        </w:rPr>
        <w:t>(conjugated</w:t>
      </w:r>
      <w:r>
        <w:rPr>
          <w:rFonts w:ascii="宋体" w:eastAsia="宋体" w:hAnsi="宋体" w:cs="宋体"/>
          <w:spacing w:val="-9"/>
          <w:sz w:val="22"/>
          <w:szCs w:val="22"/>
        </w:rPr>
        <w:t xml:space="preserve"> </w:t>
      </w:r>
      <w:r>
        <w:rPr>
          <w:rFonts w:ascii="宋体" w:eastAsia="宋体" w:hAnsi="宋体" w:cs="宋体"/>
          <w:spacing w:val="-12"/>
          <w:sz w:val="22"/>
          <w:szCs w:val="22"/>
        </w:rPr>
        <w:t>protein)</w:t>
      </w:r>
      <w:r>
        <w:rPr>
          <w:rFonts w:ascii="宋体" w:eastAsia="宋体" w:hAnsi="宋体" w:cs="宋体"/>
          <w:spacing w:val="-42"/>
          <w:sz w:val="22"/>
          <w:szCs w:val="22"/>
        </w:rPr>
        <w:t xml:space="preserve"> </w:t>
      </w:r>
      <w:r>
        <w:rPr>
          <w:rFonts w:ascii="宋体" w:eastAsia="宋体" w:hAnsi="宋体" w:cs="宋体"/>
          <w:spacing w:val="-12"/>
          <w:sz w:val="22"/>
          <w:szCs w:val="22"/>
        </w:rPr>
        <w:t>是单纯蛋白质与非蛋白质成分(如碳水化</w:t>
      </w:r>
      <w:r>
        <w:rPr>
          <w:rFonts w:ascii="宋体" w:eastAsia="宋体" w:hAnsi="宋体" w:cs="宋体"/>
          <w:sz w:val="22"/>
          <w:szCs w:val="22"/>
        </w:rPr>
        <w:t xml:space="preserve"> </w:t>
      </w:r>
      <w:r>
        <w:rPr>
          <w:rFonts w:ascii="宋体" w:eastAsia="宋体" w:hAnsi="宋体" w:cs="宋体"/>
          <w:spacing w:val="-11"/>
          <w:sz w:val="22"/>
          <w:szCs w:val="22"/>
        </w:rPr>
        <w:t>合物、油脂、核酸、磷酸盐或金属离子)结合而成，后者可作为辅基与蛋白</w:t>
      </w:r>
      <w:r>
        <w:rPr>
          <w:rFonts w:ascii="宋体" w:eastAsia="宋体" w:hAnsi="宋体" w:cs="宋体"/>
          <w:spacing w:val="-12"/>
          <w:sz w:val="22"/>
          <w:szCs w:val="22"/>
        </w:rPr>
        <w:t>质作</w:t>
      </w:r>
      <w:r>
        <w:rPr>
          <w:rFonts w:ascii="宋体" w:eastAsia="宋体" w:hAnsi="宋体" w:cs="宋体"/>
          <w:sz w:val="22"/>
          <w:szCs w:val="22"/>
        </w:rPr>
        <w:t xml:space="preserve"> </w:t>
      </w:r>
      <w:r>
        <w:rPr>
          <w:rFonts w:ascii="宋体" w:eastAsia="宋体" w:hAnsi="宋体" w:cs="宋体"/>
          <w:spacing w:val="-13"/>
          <w:sz w:val="22"/>
          <w:szCs w:val="22"/>
        </w:rPr>
        <w:t>用生成结合蛋白质。按其非蛋白组分的不同可分为糖蛋白、脂蛋白</w:t>
      </w:r>
      <w:r>
        <w:rPr>
          <w:rFonts w:ascii="宋体" w:eastAsia="宋体" w:hAnsi="宋体" w:cs="宋体"/>
          <w:spacing w:val="-14"/>
          <w:sz w:val="22"/>
          <w:szCs w:val="22"/>
        </w:rPr>
        <w:t>、核蛋白、磷</w:t>
      </w:r>
      <w:r>
        <w:rPr>
          <w:rFonts w:ascii="宋体" w:eastAsia="宋体" w:hAnsi="宋体" w:cs="宋体"/>
          <w:sz w:val="22"/>
          <w:szCs w:val="22"/>
        </w:rPr>
        <w:t xml:space="preserve"> </w:t>
      </w:r>
      <w:r>
        <w:rPr>
          <w:rFonts w:ascii="宋体" w:eastAsia="宋体" w:hAnsi="宋体" w:cs="宋体"/>
          <w:spacing w:val="-19"/>
          <w:sz w:val="22"/>
          <w:szCs w:val="22"/>
        </w:rPr>
        <w:t>蛋白及色蛋白等。</w:t>
      </w:r>
    </w:p>
    <w:p w:rsidR="00EA40A3" w:rsidRDefault="00E86C16">
      <w:pPr>
        <w:spacing w:before="208" w:line="222"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20"/>
          <w:sz w:val="22"/>
          <w:szCs w:val="22"/>
        </w:rPr>
        <w:t xml:space="preserve"> </w:t>
      </w:r>
      <w:r>
        <w:rPr>
          <w:rFonts w:ascii="仿宋" w:eastAsia="仿宋" w:hAnsi="仿宋" w:cs="仿宋"/>
          <w:spacing w:val="13"/>
          <w:sz w:val="22"/>
          <w:szCs w:val="22"/>
        </w:rPr>
        <w:t>按蛋白质所含氨基酸组分分类</w:t>
      </w:r>
    </w:p>
    <w:p w:rsidR="00EA40A3" w:rsidRDefault="00E86C16">
      <w:pPr>
        <w:spacing w:before="155" w:line="226" w:lineRule="auto"/>
        <w:rPr>
          <w:rFonts w:ascii="楷体" w:eastAsia="楷体" w:hAnsi="楷体" w:cs="楷体"/>
          <w:sz w:val="22"/>
          <w:szCs w:val="22"/>
        </w:rPr>
      </w:pPr>
      <w:r>
        <w:rPr>
          <w:rFonts w:ascii="楷体" w:eastAsia="楷体" w:hAnsi="楷体" w:cs="楷体"/>
          <w:spacing w:val="-24"/>
          <w:sz w:val="22"/>
          <w:szCs w:val="22"/>
        </w:rPr>
        <w:t>l)</w:t>
      </w:r>
      <w:r>
        <w:rPr>
          <w:rFonts w:ascii="楷体" w:eastAsia="楷体" w:hAnsi="楷体" w:cs="楷体"/>
          <w:spacing w:val="60"/>
          <w:sz w:val="22"/>
          <w:szCs w:val="22"/>
        </w:rPr>
        <w:t xml:space="preserve"> </w:t>
      </w:r>
      <w:r>
        <w:rPr>
          <w:rFonts w:ascii="楷体" w:eastAsia="楷体" w:hAnsi="楷体" w:cs="楷体"/>
          <w:spacing w:val="-24"/>
          <w:sz w:val="22"/>
          <w:szCs w:val="22"/>
        </w:rPr>
        <w:t>完全蛋白质</w:t>
      </w:r>
    </w:p>
    <w:p w:rsidR="00EA40A3" w:rsidRDefault="00E86C16">
      <w:pPr>
        <w:spacing w:before="71" w:line="244" w:lineRule="auto"/>
        <w:ind w:right="20" w:firstLine="430"/>
        <w:jc w:val="both"/>
        <w:rPr>
          <w:rFonts w:ascii="宋体" w:eastAsia="宋体" w:hAnsi="宋体" w:cs="宋体"/>
          <w:sz w:val="22"/>
          <w:szCs w:val="22"/>
        </w:rPr>
      </w:pPr>
      <w:r>
        <w:rPr>
          <w:rFonts w:ascii="宋体" w:eastAsia="宋体" w:hAnsi="宋体" w:cs="宋体"/>
          <w:spacing w:val="-14"/>
          <w:sz w:val="22"/>
          <w:szCs w:val="22"/>
        </w:rPr>
        <w:t>完全蛋白质所含氨基酸种类齐全，数量充足，各种氨基酸的比例与人体所含</w:t>
      </w:r>
      <w:r>
        <w:rPr>
          <w:rFonts w:ascii="宋体" w:eastAsia="宋体" w:hAnsi="宋体" w:cs="宋体"/>
          <w:spacing w:val="10"/>
          <w:sz w:val="22"/>
          <w:szCs w:val="22"/>
        </w:rPr>
        <w:t xml:space="preserve"> </w:t>
      </w:r>
      <w:r>
        <w:rPr>
          <w:rFonts w:ascii="宋体" w:eastAsia="宋体" w:hAnsi="宋体" w:cs="宋体"/>
          <w:spacing w:val="-14"/>
          <w:sz w:val="22"/>
          <w:szCs w:val="22"/>
        </w:rPr>
        <w:t>氨基酸的比例也比较接近，不仅能保证人体正常的生长需要，还可以促</w:t>
      </w:r>
      <w:r>
        <w:rPr>
          <w:rFonts w:ascii="宋体" w:eastAsia="宋体" w:hAnsi="宋体" w:cs="宋体"/>
          <w:spacing w:val="-15"/>
          <w:sz w:val="22"/>
          <w:szCs w:val="22"/>
        </w:rPr>
        <w:t>进儿童的</w:t>
      </w:r>
      <w:r>
        <w:rPr>
          <w:rFonts w:ascii="宋体" w:eastAsia="宋体" w:hAnsi="宋体" w:cs="宋体"/>
          <w:sz w:val="22"/>
          <w:szCs w:val="22"/>
        </w:rPr>
        <w:t xml:space="preserve"> </w:t>
      </w:r>
      <w:r>
        <w:rPr>
          <w:rFonts w:ascii="宋体" w:eastAsia="宋体" w:hAnsi="宋体" w:cs="宋体"/>
          <w:spacing w:val="-7"/>
          <w:sz w:val="22"/>
          <w:szCs w:val="22"/>
        </w:rPr>
        <w:t>生长发育，是一类优质蛋白质。奶类中的乳清蛋白、酪蛋白，蛋类中的卵</w:t>
      </w:r>
      <w:r>
        <w:rPr>
          <w:rFonts w:ascii="宋体" w:eastAsia="宋体" w:hAnsi="宋体" w:cs="宋体"/>
          <w:spacing w:val="-8"/>
          <w:sz w:val="22"/>
          <w:szCs w:val="22"/>
        </w:rPr>
        <w:t>白蛋</w:t>
      </w:r>
      <w:r>
        <w:rPr>
          <w:rFonts w:ascii="宋体" w:eastAsia="宋体" w:hAnsi="宋体" w:cs="宋体"/>
          <w:sz w:val="22"/>
          <w:szCs w:val="22"/>
        </w:rPr>
        <w:t xml:space="preserve"> </w:t>
      </w:r>
      <w:r>
        <w:rPr>
          <w:rFonts w:ascii="宋体" w:eastAsia="宋体" w:hAnsi="宋体" w:cs="宋体"/>
          <w:spacing w:val="-15"/>
          <w:sz w:val="22"/>
          <w:szCs w:val="22"/>
        </w:rPr>
        <w:t>白，鱼类肉类中的肌蛋白，大豆中的大豆球蛋白等都是完全蛋白质。</w:t>
      </w:r>
    </w:p>
    <w:p w:rsidR="00EA40A3" w:rsidRDefault="00EA40A3">
      <w:pPr>
        <w:sectPr w:rsidR="00EA40A3">
          <w:footerReference w:type="default" r:id="rId54"/>
          <w:pgSz w:w="9220" w:h="13360"/>
          <w:pgMar w:top="400" w:right="1019" w:bottom="1244" w:left="939" w:header="0" w:footer="1011" w:gutter="0"/>
          <w:cols w:space="720"/>
        </w:sectPr>
      </w:pPr>
    </w:p>
    <w:p w:rsidR="00EA40A3" w:rsidRDefault="00EA40A3">
      <w:pPr>
        <w:spacing w:line="290" w:lineRule="auto"/>
      </w:pPr>
    </w:p>
    <w:p w:rsidR="00EA40A3" w:rsidRDefault="00EA40A3">
      <w:pPr>
        <w:spacing w:line="291" w:lineRule="auto"/>
      </w:pPr>
    </w:p>
    <w:p w:rsidR="00EA40A3" w:rsidRDefault="00E86C16">
      <w:pPr>
        <w:spacing w:before="72" w:line="226" w:lineRule="auto"/>
        <w:rPr>
          <w:rFonts w:ascii="楷体" w:eastAsia="楷体" w:hAnsi="楷体" w:cs="楷体"/>
          <w:sz w:val="22"/>
          <w:szCs w:val="22"/>
        </w:rPr>
      </w:pPr>
      <w:r>
        <w:rPr>
          <w:rFonts w:ascii="楷体" w:eastAsia="楷体" w:hAnsi="楷体" w:cs="楷体"/>
          <w:spacing w:val="-1"/>
          <w:sz w:val="22"/>
          <w:szCs w:val="22"/>
        </w:rPr>
        <w:t>2)半完全蛋白质</w:t>
      </w:r>
    </w:p>
    <w:p w:rsidR="00EA40A3" w:rsidRDefault="00E86C16">
      <w:pPr>
        <w:spacing w:before="30" w:line="241" w:lineRule="auto"/>
        <w:ind w:right="2" w:firstLine="419"/>
        <w:jc w:val="both"/>
        <w:rPr>
          <w:rFonts w:ascii="宋体" w:eastAsia="宋体" w:hAnsi="宋体" w:cs="宋体"/>
          <w:sz w:val="22"/>
          <w:szCs w:val="22"/>
        </w:rPr>
      </w:pPr>
      <w:r>
        <w:rPr>
          <w:rFonts w:ascii="宋体" w:eastAsia="宋体" w:hAnsi="宋体" w:cs="宋体"/>
          <w:spacing w:val="-7"/>
          <w:sz w:val="22"/>
          <w:szCs w:val="22"/>
        </w:rPr>
        <w:t>半完全蛋白质所含的氨基酸种类比较齐全，但各种氨基酸之间的比例不合</w:t>
      </w:r>
      <w:r>
        <w:rPr>
          <w:rFonts w:ascii="宋体" w:eastAsia="宋体" w:hAnsi="宋体" w:cs="宋体"/>
          <w:spacing w:val="2"/>
          <w:sz w:val="22"/>
          <w:szCs w:val="22"/>
        </w:rPr>
        <w:t xml:space="preserve"> </w:t>
      </w:r>
      <w:r>
        <w:rPr>
          <w:rFonts w:ascii="宋体" w:eastAsia="宋体" w:hAnsi="宋体" w:cs="宋体"/>
          <w:spacing w:val="-13"/>
          <w:sz w:val="22"/>
          <w:szCs w:val="22"/>
        </w:rPr>
        <w:t>适，不能满足人体的需要。如果把这类蛋白质作为唯一的蛋白质来源时，只能维</w:t>
      </w:r>
      <w:r>
        <w:rPr>
          <w:rFonts w:ascii="宋体" w:eastAsia="宋体" w:hAnsi="宋体" w:cs="宋体"/>
          <w:spacing w:val="12"/>
          <w:sz w:val="22"/>
          <w:szCs w:val="22"/>
        </w:rPr>
        <w:t xml:space="preserve"> </w:t>
      </w:r>
      <w:r>
        <w:rPr>
          <w:rFonts w:ascii="宋体" w:eastAsia="宋体" w:hAnsi="宋体" w:cs="宋体"/>
          <w:spacing w:val="-16"/>
          <w:sz w:val="22"/>
          <w:szCs w:val="22"/>
        </w:rPr>
        <w:t>持生命，不能促进生长发育，如谷蛋白、玉米蛋白等。</w:t>
      </w:r>
    </w:p>
    <w:p w:rsidR="00EA40A3" w:rsidRDefault="00E86C16">
      <w:pPr>
        <w:spacing w:before="48" w:line="226" w:lineRule="auto"/>
        <w:rPr>
          <w:rFonts w:ascii="楷体" w:eastAsia="楷体" w:hAnsi="楷体" w:cs="楷体"/>
          <w:sz w:val="22"/>
          <w:szCs w:val="22"/>
        </w:rPr>
      </w:pPr>
      <w:r>
        <w:rPr>
          <w:rFonts w:ascii="楷体" w:eastAsia="楷体" w:hAnsi="楷体" w:cs="楷体"/>
          <w:spacing w:val="-1"/>
          <w:sz w:val="22"/>
          <w:szCs w:val="22"/>
        </w:rPr>
        <w:t>3)不完全蛋白质</w:t>
      </w:r>
    </w:p>
    <w:p w:rsidR="00EA40A3" w:rsidRDefault="00E86C16">
      <w:pPr>
        <w:spacing w:before="50" w:line="242" w:lineRule="auto"/>
        <w:ind w:right="22" w:firstLine="419"/>
        <w:jc w:val="both"/>
        <w:rPr>
          <w:rFonts w:ascii="宋体" w:eastAsia="宋体" w:hAnsi="宋体" w:cs="宋体"/>
          <w:sz w:val="22"/>
          <w:szCs w:val="22"/>
        </w:rPr>
      </w:pPr>
      <w:r>
        <w:rPr>
          <w:rFonts w:ascii="宋体" w:eastAsia="宋体" w:hAnsi="宋体" w:cs="宋体"/>
          <w:spacing w:val="-13"/>
          <w:sz w:val="22"/>
          <w:szCs w:val="22"/>
        </w:rPr>
        <w:t>不完全蛋白质不能提供人体所需要的全部必需氨</w:t>
      </w:r>
      <w:r>
        <w:rPr>
          <w:rFonts w:ascii="宋体" w:eastAsia="宋体" w:hAnsi="宋体" w:cs="宋体"/>
          <w:spacing w:val="-14"/>
          <w:sz w:val="22"/>
          <w:szCs w:val="22"/>
        </w:rPr>
        <w:t>基酸，如果把它作为膳食蛋</w:t>
      </w:r>
      <w:r>
        <w:rPr>
          <w:rFonts w:ascii="宋体" w:eastAsia="宋体" w:hAnsi="宋体" w:cs="宋体"/>
          <w:sz w:val="22"/>
          <w:szCs w:val="22"/>
        </w:rPr>
        <w:t xml:space="preserve"> </w:t>
      </w:r>
      <w:r>
        <w:rPr>
          <w:rFonts w:ascii="宋体" w:eastAsia="宋体" w:hAnsi="宋体" w:cs="宋体"/>
          <w:spacing w:val="-14"/>
          <w:sz w:val="22"/>
          <w:szCs w:val="22"/>
        </w:rPr>
        <w:t>白质的唯一来源时，既不能促进生长发育，也不能维持生命，如肉皮中的胶原蛋</w:t>
      </w:r>
      <w:r>
        <w:rPr>
          <w:rFonts w:ascii="宋体" w:eastAsia="宋体" w:hAnsi="宋体" w:cs="宋体"/>
          <w:spacing w:val="8"/>
          <w:sz w:val="22"/>
          <w:szCs w:val="22"/>
        </w:rPr>
        <w:t xml:space="preserve"> </w:t>
      </w:r>
      <w:r>
        <w:rPr>
          <w:rFonts w:ascii="宋体" w:eastAsia="宋体" w:hAnsi="宋体" w:cs="宋体"/>
          <w:spacing w:val="-17"/>
          <w:sz w:val="22"/>
          <w:szCs w:val="22"/>
        </w:rPr>
        <w:t>白质。</w:t>
      </w:r>
    </w:p>
    <w:p w:rsidR="00EA40A3" w:rsidRDefault="00E86C16">
      <w:pPr>
        <w:spacing w:before="214" w:line="222" w:lineRule="auto"/>
        <w:ind w:left="3"/>
        <w:outlineLvl w:val="6"/>
        <w:rPr>
          <w:rFonts w:ascii="黑体" w:eastAsia="黑体" w:hAnsi="黑体" w:cs="黑体"/>
          <w:sz w:val="22"/>
          <w:szCs w:val="22"/>
        </w:rPr>
      </w:pPr>
      <w:r>
        <w:rPr>
          <w:rFonts w:ascii="黑体" w:eastAsia="黑体" w:hAnsi="黑体" w:cs="黑体"/>
          <w:b/>
          <w:bCs/>
          <w:spacing w:val="7"/>
          <w:sz w:val="22"/>
          <w:szCs w:val="22"/>
        </w:rPr>
        <w:t>3.4.2</w:t>
      </w:r>
      <w:r>
        <w:rPr>
          <w:rFonts w:ascii="黑体" w:eastAsia="黑体" w:hAnsi="黑体" w:cs="黑体"/>
          <w:spacing w:val="31"/>
          <w:sz w:val="22"/>
          <w:szCs w:val="22"/>
        </w:rPr>
        <w:t xml:space="preserve">  </w:t>
      </w:r>
      <w:r>
        <w:rPr>
          <w:rFonts w:ascii="黑体" w:eastAsia="黑体" w:hAnsi="黑体" w:cs="黑体"/>
          <w:b/>
          <w:bCs/>
          <w:spacing w:val="7"/>
          <w:sz w:val="22"/>
          <w:szCs w:val="22"/>
        </w:rPr>
        <w:t>蛋白质的生理功能</w:t>
      </w:r>
    </w:p>
    <w:p w:rsidR="00EA40A3" w:rsidRDefault="00E86C16">
      <w:pPr>
        <w:spacing w:before="197" w:line="236" w:lineRule="auto"/>
        <w:ind w:right="23" w:firstLine="419"/>
        <w:rPr>
          <w:rFonts w:ascii="宋体" w:eastAsia="宋体" w:hAnsi="宋体" w:cs="宋体"/>
          <w:sz w:val="22"/>
          <w:szCs w:val="22"/>
        </w:rPr>
      </w:pPr>
      <w:r>
        <w:rPr>
          <w:rFonts w:ascii="宋体" w:eastAsia="宋体" w:hAnsi="宋体" w:cs="宋体"/>
          <w:spacing w:val="-13"/>
          <w:sz w:val="22"/>
          <w:szCs w:val="22"/>
        </w:rPr>
        <w:t>蛋白质是人体的主要构成物质，又是生命活动</w:t>
      </w:r>
      <w:r>
        <w:rPr>
          <w:rFonts w:ascii="宋体" w:eastAsia="宋体" w:hAnsi="宋体" w:cs="宋体"/>
          <w:spacing w:val="-14"/>
          <w:sz w:val="22"/>
          <w:szCs w:val="22"/>
        </w:rPr>
        <w:t>的主要物质。它具有其他任何</w:t>
      </w:r>
      <w:r>
        <w:rPr>
          <w:rFonts w:ascii="宋体" w:eastAsia="宋体" w:hAnsi="宋体" w:cs="宋体"/>
          <w:sz w:val="22"/>
          <w:szCs w:val="22"/>
        </w:rPr>
        <w:t xml:space="preserve"> </w:t>
      </w:r>
      <w:r>
        <w:rPr>
          <w:rFonts w:ascii="宋体" w:eastAsia="宋体" w:hAnsi="宋体" w:cs="宋体"/>
          <w:spacing w:val="-13"/>
          <w:sz w:val="22"/>
          <w:szCs w:val="22"/>
        </w:rPr>
        <w:t>营养素都不能代替的重要功能，概括起来，蛋白质有以下生理功能。</w:t>
      </w:r>
    </w:p>
    <w:p w:rsidR="00EA40A3" w:rsidRDefault="00E86C16">
      <w:pPr>
        <w:spacing w:before="187" w:line="222"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47"/>
          <w:sz w:val="22"/>
          <w:szCs w:val="22"/>
        </w:rPr>
        <w:t xml:space="preserve"> </w:t>
      </w:r>
      <w:r>
        <w:rPr>
          <w:rFonts w:ascii="仿宋" w:eastAsia="仿宋" w:hAnsi="仿宋" w:cs="仿宋"/>
          <w:spacing w:val="12"/>
          <w:sz w:val="22"/>
          <w:szCs w:val="22"/>
        </w:rPr>
        <w:t>构成和修复人体组织</w:t>
      </w:r>
    </w:p>
    <w:p w:rsidR="00EA40A3" w:rsidRDefault="00E86C16">
      <w:pPr>
        <w:spacing w:before="208" w:line="245" w:lineRule="auto"/>
        <w:ind w:firstLine="419"/>
        <w:jc w:val="both"/>
        <w:rPr>
          <w:rFonts w:ascii="宋体" w:eastAsia="宋体" w:hAnsi="宋体" w:cs="宋体"/>
          <w:sz w:val="22"/>
          <w:szCs w:val="22"/>
        </w:rPr>
      </w:pPr>
      <w:r>
        <w:rPr>
          <w:rFonts w:ascii="宋体" w:eastAsia="宋体" w:hAnsi="宋体" w:cs="宋体"/>
          <w:spacing w:val="-3"/>
          <w:sz w:val="22"/>
          <w:szCs w:val="22"/>
        </w:rPr>
        <w:t>蛋白质是构成机体所有组织、细胞的重要成分，约占人体体重的18%。机</w:t>
      </w:r>
      <w:r>
        <w:rPr>
          <w:rFonts w:ascii="宋体" w:eastAsia="宋体" w:hAnsi="宋体" w:cs="宋体"/>
          <w:spacing w:val="6"/>
          <w:sz w:val="22"/>
          <w:szCs w:val="22"/>
        </w:rPr>
        <w:t xml:space="preserve"> </w:t>
      </w:r>
      <w:r>
        <w:rPr>
          <w:rFonts w:ascii="宋体" w:eastAsia="宋体" w:hAnsi="宋体" w:cs="宋体"/>
          <w:spacing w:val="-7"/>
          <w:sz w:val="22"/>
          <w:szCs w:val="22"/>
        </w:rPr>
        <w:t>体所有重要的组成部分都需要蛋白质的参与，人体内的神经、肌肉、内脏、骨</w:t>
      </w:r>
      <w:r>
        <w:rPr>
          <w:rFonts w:ascii="宋体" w:eastAsia="宋体" w:hAnsi="宋体" w:cs="宋体"/>
          <w:spacing w:val="18"/>
          <w:sz w:val="22"/>
          <w:szCs w:val="22"/>
        </w:rPr>
        <w:t xml:space="preserve"> </w:t>
      </w:r>
      <w:r>
        <w:rPr>
          <w:rFonts w:ascii="宋体" w:eastAsia="宋体" w:hAnsi="宋体" w:cs="宋体"/>
          <w:spacing w:val="-13"/>
          <w:sz w:val="22"/>
          <w:szCs w:val="22"/>
        </w:rPr>
        <w:t>骼、指甲和头发，没有一处不含蛋白质。人体的生长发育、组织的新陈代</w:t>
      </w:r>
      <w:r>
        <w:rPr>
          <w:rFonts w:ascii="宋体" w:eastAsia="宋体" w:hAnsi="宋体" w:cs="宋体"/>
          <w:spacing w:val="-14"/>
          <w:sz w:val="22"/>
          <w:szCs w:val="22"/>
        </w:rPr>
        <w:t>谢都离</w:t>
      </w:r>
      <w:r>
        <w:rPr>
          <w:rFonts w:ascii="宋体" w:eastAsia="宋体" w:hAnsi="宋体" w:cs="宋体"/>
          <w:sz w:val="22"/>
          <w:szCs w:val="22"/>
        </w:rPr>
        <w:t xml:space="preserve"> </w:t>
      </w:r>
      <w:r>
        <w:rPr>
          <w:rFonts w:ascii="宋体" w:eastAsia="宋体" w:hAnsi="宋体" w:cs="宋体"/>
          <w:spacing w:val="-13"/>
          <w:sz w:val="22"/>
          <w:szCs w:val="22"/>
        </w:rPr>
        <w:t>不开蛋白质，这对儿童的生长发育尤为重要。人体内的蛋白质</w:t>
      </w:r>
      <w:r>
        <w:rPr>
          <w:rFonts w:ascii="宋体" w:eastAsia="宋体" w:hAnsi="宋体" w:cs="宋体"/>
          <w:spacing w:val="-14"/>
          <w:sz w:val="22"/>
          <w:szCs w:val="22"/>
        </w:rPr>
        <w:t>始终处于不断分解</w:t>
      </w:r>
      <w:r>
        <w:rPr>
          <w:rFonts w:ascii="宋体" w:eastAsia="宋体" w:hAnsi="宋体" w:cs="宋体"/>
          <w:sz w:val="22"/>
          <w:szCs w:val="22"/>
        </w:rPr>
        <w:t xml:space="preserve"> </w:t>
      </w:r>
      <w:r>
        <w:rPr>
          <w:rFonts w:ascii="宋体" w:eastAsia="宋体" w:hAnsi="宋体" w:cs="宋体"/>
          <w:spacing w:val="-14"/>
          <w:sz w:val="22"/>
          <w:szCs w:val="22"/>
        </w:rPr>
        <w:t>又不断合成的动态平衡之中，达到组织蛋白的不断更新和修复的目</w:t>
      </w:r>
      <w:r>
        <w:rPr>
          <w:rFonts w:ascii="宋体" w:eastAsia="宋体" w:hAnsi="宋体" w:cs="宋体"/>
          <w:spacing w:val="-15"/>
          <w:sz w:val="22"/>
          <w:szCs w:val="22"/>
        </w:rPr>
        <w:t>的。</w:t>
      </w:r>
    </w:p>
    <w:p w:rsidR="00EA40A3" w:rsidRDefault="00E86C16">
      <w:pPr>
        <w:spacing w:before="206"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19"/>
          <w:sz w:val="22"/>
          <w:szCs w:val="22"/>
        </w:rPr>
        <w:t xml:space="preserve"> </w:t>
      </w:r>
      <w:r>
        <w:rPr>
          <w:rFonts w:ascii="仿宋" w:eastAsia="仿宋" w:hAnsi="仿宋" w:cs="仿宋"/>
          <w:spacing w:val="13"/>
          <w:sz w:val="22"/>
          <w:szCs w:val="22"/>
        </w:rPr>
        <w:t>调节人体重要的生命活动</w:t>
      </w:r>
    </w:p>
    <w:p w:rsidR="00EA40A3" w:rsidRDefault="00E86C16">
      <w:pPr>
        <w:spacing w:before="205" w:line="248" w:lineRule="auto"/>
        <w:ind w:right="3" w:firstLine="419"/>
        <w:jc w:val="both"/>
        <w:rPr>
          <w:rFonts w:ascii="宋体" w:eastAsia="宋体" w:hAnsi="宋体" w:cs="宋体"/>
          <w:sz w:val="22"/>
          <w:szCs w:val="22"/>
        </w:rPr>
      </w:pPr>
      <w:r>
        <w:rPr>
          <w:rFonts w:ascii="宋体" w:eastAsia="宋体" w:hAnsi="宋体" w:cs="宋体"/>
          <w:spacing w:val="-13"/>
          <w:sz w:val="22"/>
          <w:szCs w:val="22"/>
        </w:rPr>
        <w:t>蛋白质通过构成人体多种生理活性物质来调节人体重要的生命活动。人体进</w:t>
      </w:r>
      <w:r>
        <w:rPr>
          <w:rFonts w:ascii="宋体" w:eastAsia="宋体" w:hAnsi="宋体" w:cs="宋体"/>
          <w:spacing w:val="6"/>
          <w:sz w:val="22"/>
          <w:szCs w:val="22"/>
        </w:rPr>
        <w:t xml:space="preserve"> </w:t>
      </w:r>
      <w:r>
        <w:rPr>
          <w:rFonts w:ascii="宋体" w:eastAsia="宋体" w:hAnsi="宋体" w:cs="宋体"/>
          <w:spacing w:val="-14"/>
          <w:sz w:val="22"/>
          <w:szCs w:val="22"/>
        </w:rPr>
        <w:t>行新陈代谢中的化学变化绝大多数都借助于酶的催化作用迅速进行，这些酶类的</w:t>
      </w:r>
      <w:r>
        <w:rPr>
          <w:rFonts w:ascii="宋体" w:eastAsia="宋体" w:hAnsi="宋体" w:cs="宋体"/>
          <w:spacing w:val="15"/>
          <w:sz w:val="22"/>
          <w:szCs w:val="22"/>
        </w:rPr>
        <w:t xml:space="preserve"> </w:t>
      </w:r>
      <w:r>
        <w:rPr>
          <w:rFonts w:ascii="宋体" w:eastAsia="宋体" w:hAnsi="宋体" w:cs="宋体"/>
          <w:spacing w:val="-13"/>
          <w:sz w:val="22"/>
          <w:szCs w:val="22"/>
        </w:rPr>
        <w:t>化学本质为蛋白质；调节机体生理活动并保持内环境稳定的激素</w:t>
      </w:r>
      <w:r>
        <w:rPr>
          <w:rFonts w:ascii="宋体" w:eastAsia="宋体" w:hAnsi="宋体" w:cs="宋体"/>
          <w:spacing w:val="-14"/>
          <w:sz w:val="22"/>
          <w:szCs w:val="22"/>
        </w:rPr>
        <w:t>，如胰岛素、促</w:t>
      </w:r>
      <w:r>
        <w:rPr>
          <w:rFonts w:ascii="宋体" w:eastAsia="宋体" w:hAnsi="宋体" w:cs="宋体"/>
          <w:sz w:val="22"/>
          <w:szCs w:val="22"/>
        </w:rPr>
        <w:t xml:space="preserve"> </w:t>
      </w:r>
      <w:r>
        <w:rPr>
          <w:rFonts w:ascii="宋体" w:eastAsia="宋体" w:hAnsi="宋体" w:cs="宋体"/>
          <w:spacing w:val="-7"/>
          <w:sz w:val="22"/>
          <w:szCs w:val="22"/>
        </w:rPr>
        <w:t>性腺激素等也属蛋白质；人体内抗体可以抵御外来微生物及其他有害物</w:t>
      </w:r>
      <w:r>
        <w:rPr>
          <w:rFonts w:ascii="宋体" w:eastAsia="宋体" w:hAnsi="宋体" w:cs="宋体"/>
          <w:spacing w:val="-8"/>
          <w:sz w:val="22"/>
          <w:szCs w:val="22"/>
        </w:rPr>
        <w:t>质的入</w:t>
      </w:r>
      <w:r>
        <w:rPr>
          <w:rFonts w:ascii="宋体" w:eastAsia="宋体" w:hAnsi="宋体" w:cs="宋体"/>
          <w:sz w:val="22"/>
          <w:szCs w:val="22"/>
        </w:rPr>
        <w:t xml:space="preserve"> </w:t>
      </w:r>
      <w:r>
        <w:rPr>
          <w:rFonts w:ascii="宋体" w:eastAsia="宋体" w:hAnsi="宋体" w:cs="宋体"/>
          <w:spacing w:val="-13"/>
          <w:sz w:val="22"/>
          <w:szCs w:val="22"/>
        </w:rPr>
        <w:t>侵，即发生免疫反应，抗体是一种糖和蛋白质的复合物；人体生物氧</w:t>
      </w:r>
      <w:r>
        <w:rPr>
          <w:rFonts w:ascii="宋体" w:eastAsia="宋体" w:hAnsi="宋体" w:cs="宋体"/>
          <w:spacing w:val="-14"/>
          <w:sz w:val="22"/>
          <w:szCs w:val="22"/>
        </w:rPr>
        <w:t>化和细胞代</w:t>
      </w:r>
      <w:r>
        <w:rPr>
          <w:rFonts w:ascii="宋体" w:eastAsia="宋体" w:hAnsi="宋体" w:cs="宋体"/>
          <w:sz w:val="22"/>
          <w:szCs w:val="22"/>
        </w:rPr>
        <w:t xml:space="preserve"> </w:t>
      </w:r>
      <w:r>
        <w:rPr>
          <w:rFonts w:ascii="宋体" w:eastAsia="宋体" w:hAnsi="宋体" w:cs="宋体"/>
          <w:spacing w:val="-13"/>
          <w:sz w:val="22"/>
          <w:szCs w:val="22"/>
        </w:rPr>
        <w:t>谢过程中所需要的氧和多种物质也是以蛋白质为载体进行运输的</w:t>
      </w:r>
      <w:r>
        <w:rPr>
          <w:rFonts w:ascii="宋体" w:eastAsia="宋体" w:hAnsi="宋体" w:cs="宋体"/>
          <w:spacing w:val="-14"/>
          <w:sz w:val="22"/>
          <w:szCs w:val="22"/>
        </w:rPr>
        <w:t>；机体的一切机</w:t>
      </w:r>
      <w:r>
        <w:rPr>
          <w:rFonts w:ascii="宋体" w:eastAsia="宋体" w:hAnsi="宋体" w:cs="宋体"/>
          <w:sz w:val="22"/>
          <w:szCs w:val="22"/>
        </w:rPr>
        <w:t xml:space="preserve"> </w:t>
      </w:r>
      <w:r>
        <w:rPr>
          <w:rFonts w:ascii="宋体" w:eastAsia="宋体" w:hAnsi="宋体" w:cs="宋体"/>
          <w:spacing w:val="-13"/>
          <w:sz w:val="22"/>
          <w:szCs w:val="22"/>
        </w:rPr>
        <w:t>械运动及各种脏器的重要生理功能是由肌动球蛋白来完成的；此外</w:t>
      </w:r>
      <w:r>
        <w:rPr>
          <w:rFonts w:ascii="宋体" w:eastAsia="宋体" w:hAnsi="宋体" w:cs="宋体"/>
          <w:spacing w:val="-14"/>
          <w:sz w:val="22"/>
          <w:szCs w:val="22"/>
        </w:rPr>
        <w:t>，体内酸碱平</w:t>
      </w:r>
      <w:r>
        <w:rPr>
          <w:rFonts w:ascii="宋体" w:eastAsia="宋体" w:hAnsi="宋体" w:cs="宋体"/>
          <w:sz w:val="22"/>
          <w:szCs w:val="22"/>
        </w:rPr>
        <w:t xml:space="preserve"> </w:t>
      </w:r>
      <w:r>
        <w:rPr>
          <w:rFonts w:ascii="宋体" w:eastAsia="宋体" w:hAnsi="宋体" w:cs="宋体"/>
          <w:spacing w:val="-13"/>
          <w:sz w:val="22"/>
          <w:szCs w:val="22"/>
        </w:rPr>
        <w:t>衡的维持、水分的正常分布，以及血液的凝固、视觉的形成等都与蛋白质有</w:t>
      </w:r>
      <w:r>
        <w:rPr>
          <w:rFonts w:ascii="宋体" w:eastAsia="宋体" w:hAnsi="宋体" w:cs="宋体"/>
          <w:spacing w:val="-14"/>
          <w:sz w:val="22"/>
          <w:szCs w:val="22"/>
        </w:rPr>
        <w:t>关。</w:t>
      </w:r>
    </w:p>
    <w:p w:rsidR="00EA40A3" w:rsidRDefault="00E86C16">
      <w:pPr>
        <w:spacing w:before="227" w:line="222" w:lineRule="auto"/>
        <w:rPr>
          <w:rFonts w:ascii="仿宋" w:eastAsia="仿宋" w:hAnsi="仿宋" w:cs="仿宋"/>
          <w:sz w:val="22"/>
          <w:szCs w:val="22"/>
        </w:rPr>
      </w:pPr>
      <w:r>
        <w:rPr>
          <w:rFonts w:ascii="仿宋" w:eastAsia="仿宋" w:hAnsi="仿宋" w:cs="仿宋"/>
          <w:spacing w:val="9"/>
          <w:sz w:val="22"/>
          <w:szCs w:val="22"/>
        </w:rPr>
        <w:t>3.</w:t>
      </w:r>
      <w:r>
        <w:rPr>
          <w:rFonts w:ascii="仿宋" w:eastAsia="仿宋" w:hAnsi="仿宋" w:cs="仿宋"/>
          <w:spacing w:val="-36"/>
          <w:sz w:val="22"/>
          <w:szCs w:val="22"/>
        </w:rPr>
        <w:t xml:space="preserve"> </w:t>
      </w:r>
      <w:r>
        <w:rPr>
          <w:rFonts w:ascii="仿宋" w:eastAsia="仿宋" w:hAnsi="仿宋" w:cs="仿宋"/>
          <w:spacing w:val="9"/>
          <w:sz w:val="22"/>
          <w:szCs w:val="22"/>
        </w:rPr>
        <w:t>供给能量</w:t>
      </w:r>
    </w:p>
    <w:p w:rsidR="00EA40A3" w:rsidRDefault="00E86C16">
      <w:pPr>
        <w:spacing w:before="208" w:line="230" w:lineRule="auto"/>
        <w:ind w:firstLine="419"/>
        <w:rPr>
          <w:rFonts w:ascii="宋体" w:eastAsia="宋体" w:hAnsi="宋体" w:cs="宋体"/>
          <w:sz w:val="22"/>
          <w:szCs w:val="22"/>
        </w:rPr>
      </w:pPr>
      <w:r>
        <w:rPr>
          <w:rFonts w:ascii="宋体" w:eastAsia="宋体" w:hAnsi="宋体" w:cs="宋体"/>
          <w:spacing w:val="-6"/>
          <w:sz w:val="22"/>
          <w:szCs w:val="22"/>
        </w:rPr>
        <w:t>在碳水化合物和脂肪供给能量不足时，蛋白质可以被代</w:t>
      </w:r>
      <w:r>
        <w:rPr>
          <w:rFonts w:ascii="宋体" w:eastAsia="宋体" w:hAnsi="宋体" w:cs="宋体"/>
          <w:spacing w:val="-7"/>
          <w:sz w:val="22"/>
          <w:szCs w:val="22"/>
        </w:rPr>
        <w:t>谢分解，释放出能</w:t>
      </w:r>
      <w:r>
        <w:rPr>
          <w:rFonts w:ascii="宋体" w:eastAsia="宋体" w:hAnsi="宋体" w:cs="宋体"/>
          <w:sz w:val="22"/>
          <w:szCs w:val="22"/>
        </w:rPr>
        <w:t xml:space="preserve"> </w:t>
      </w:r>
      <w:r>
        <w:rPr>
          <w:rFonts w:ascii="宋体" w:eastAsia="宋体" w:hAnsi="宋体" w:cs="宋体"/>
          <w:spacing w:val="-8"/>
          <w:sz w:val="22"/>
          <w:szCs w:val="22"/>
        </w:rPr>
        <w:t>量。</w:t>
      </w:r>
      <w:r>
        <w:rPr>
          <w:rFonts w:ascii="宋体" w:eastAsia="宋体" w:hAnsi="宋体" w:cs="宋体"/>
          <w:spacing w:val="-4"/>
          <w:sz w:val="22"/>
          <w:szCs w:val="22"/>
        </w:rPr>
        <w:t xml:space="preserve"> </w:t>
      </w:r>
      <w:r>
        <w:rPr>
          <w:rFonts w:ascii="宋体" w:eastAsia="宋体" w:hAnsi="宋体" w:cs="宋体"/>
          <w:spacing w:val="-8"/>
          <w:sz w:val="22"/>
          <w:szCs w:val="22"/>
        </w:rPr>
        <w:t>1g食物蛋白质在体内约产生16.7kJ(4.0kcal)</w:t>
      </w:r>
      <w:r>
        <w:rPr>
          <w:rFonts w:ascii="宋体" w:eastAsia="宋体" w:hAnsi="宋体" w:cs="宋体"/>
          <w:spacing w:val="-33"/>
          <w:sz w:val="22"/>
          <w:szCs w:val="22"/>
        </w:rPr>
        <w:t xml:space="preserve"> </w:t>
      </w:r>
      <w:r>
        <w:rPr>
          <w:rFonts w:ascii="宋体" w:eastAsia="宋体" w:hAnsi="宋体" w:cs="宋体"/>
          <w:spacing w:val="-8"/>
          <w:sz w:val="22"/>
          <w:szCs w:val="22"/>
        </w:rPr>
        <w:t>的能量。</w:t>
      </w:r>
    </w:p>
    <w:p w:rsidR="00EA40A3" w:rsidRDefault="00E86C16">
      <w:pPr>
        <w:spacing w:before="73"/>
        <w:ind w:right="6" w:firstLine="419"/>
        <w:rPr>
          <w:rFonts w:ascii="宋体" w:eastAsia="宋体" w:hAnsi="宋体" w:cs="宋体"/>
          <w:sz w:val="22"/>
          <w:szCs w:val="22"/>
        </w:rPr>
      </w:pPr>
      <w:r>
        <w:rPr>
          <w:rFonts w:ascii="宋体" w:eastAsia="宋体" w:hAnsi="宋体" w:cs="宋体"/>
          <w:spacing w:val="-13"/>
          <w:sz w:val="22"/>
          <w:szCs w:val="22"/>
        </w:rPr>
        <w:t>此外，蛋白质可以赋予食品良好的感观性状和重要的功能特性。例如，在</w:t>
      </w:r>
      <w:r>
        <w:rPr>
          <w:rFonts w:ascii="宋体" w:eastAsia="宋体" w:hAnsi="宋体" w:cs="宋体"/>
          <w:spacing w:val="-14"/>
          <w:sz w:val="22"/>
          <w:szCs w:val="22"/>
        </w:rPr>
        <w:t>肉</w:t>
      </w:r>
      <w:r>
        <w:rPr>
          <w:rFonts w:ascii="宋体" w:eastAsia="宋体" w:hAnsi="宋体" w:cs="宋体"/>
          <w:sz w:val="22"/>
          <w:szCs w:val="22"/>
        </w:rPr>
        <w:t xml:space="preserve"> </w:t>
      </w:r>
      <w:r>
        <w:rPr>
          <w:rFonts w:ascii="宋体" w:eastAsia="宋体" w:hAnsi="宋体" w:cs="宋体"/>
          <w:spacing w:val="-13"/>
          <w:sz w:val="22"/>
          <w:szCs w:val="22"/>
        </w:rPr>
        <w:t>品加工中，肉类成熟后持水性和嫩度增加，这与肌肉蛋白质的变化密切相关；另</w:t>
      </w:r>
      <w:r>
        <w:rPr>
          <w:rFonts w:ascii="宋体" w:eastAsia="宋体" w:hAnsi="宋体" w:cs="宋体"/>
          <w:spacing w:val="9"/>
          <w:sz w:val="22"/>
          <w:szCs w:val="22"/>
        </w:rPr>
        <w:t xml:space="preserve"> </w:t>
      </w:r>
      <w:r>
        <w:rPr>
          <w:rFonts w:ascii="宋体" w:eastAsia="宋体" w:hAnsi="宋体" w:cs="宋体"/>
          <w:spacing w:val="-14"/>
          <w:sz w:val="22"/>
          <w:szCs w:val="22"/>
        </w:rPr>
        <w:t>外蛋白质具有起泡性，在食品加工中被用于糕点和冰淇淋等的生产。</w:t>
      </w:r>
    </w:p>
    <w:p w:rsidR="00EA40A3" w:rsidRDefault="00E86C16">
      <w:pPr>
        <w:spacing w:before="66"/>
        <w:ind w:left="130"/>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3"/>
          <w:sz w:val="17"/>
          <w:szCs w:val="17"/>
        </w:rPr>
        <w:t xml:space="preserve"> </w:t>
      </w:r>
      <w:r>
        <w:rPr>
          <w:rFonts w:ascii="宋体" w:eastAsia="宋体" w:hAnsi="宋体" w:cs="宋体"/>
          <w:spacing w:val="-24"/>
          <w:sz w:val="17"/>
          <w:szCs w:val="17"/>
        </w:rPr>
        <w:t>68</w:t>
      </w:r>
      <w:r>
        <w:rPr>
          <w:rFonts w:ascii="宋体" w:eastAsia="宋体" w:hAnsi="宋体" w:cs="宋体"/>
          <w:spacing w:val="55"/>
          <w:sz w:val="17"/>
          <w:szCs w:val="17"/>
        </w:rPr>
        <w:t xml:space="preserve"> </w:t>
      </w:r>
      <w:r>
        <w:rPr>
          <w:rFonts w:ascii="宋体" w:eastAsia="宋体" w:hAnsi="宋体" w:cs="宋体"/>
          <w:spacing w:val="-24"/>
          <w:sz w:val="17"/>
          <w:szCs w:val="17"/>
        </w:rPr>
        <w:t>·</w:t>
      </w:r>
    </w:p>
    <w:p w:rsidR="00EA40A3" w:rsidRDefault="00EA40A3">
      <w:pPr>
        <w:sectPr w:rsidR="00EA40A3">
          <w:footerReference w:type="default" r:id="rId55"/>
          <w:pgSz w:w="9220" w:h="13360"/>
          <w:pgMar w:top="400" w:right="1118" w:bottom="400" w:left="840" w:header="0" w:footer="0" w:gutter="0"/>
          <w:cols w:space="720"/>
        </w:sectPr>
      </w:pPr>
    </w:p>
    <w:p w:rsidR="00EA40A3" w:rsidRDefault="00EA40A3">
      <w:pPr>
        <w:spacing w:line="344" w:lineRule="auto"/>
      </w:pPr>
    </w:p>
    <w:p w:rsidR="00EA40A3" w:rsidRDefault="00EA40A3">
      <w:pPr>
        <w:spacing w:line="345" w:lineRule="auto"/>
      </w:pPr>
    </w:p>
    <w:p w:rsidR="00EA40A3" w:rsidRDefault="00E86C16">
      <w:pPr>
        <w:spacing w:before="81" w:line="222" w:lineRule="auto"/>
        <w:ind w:left="3"/>
        <w:outlineLvl w:val="6"/>
        <w:rPr>
          <w:rFonts w:ascii="黑体" w:eastAsia="黑体" w:hAnsi="黑体" w:cs="黑体"/>
          <w:sz w:val="25"/>
          <w:szCs w:val="25"/>
        </w:rPr>
      </w:pPr>
      <w:bookmarkStart w:id="18" w:name="_bookmark22"/>
      <w:bookmarkEnd w:id="18"/>
      <w:r>
        <w:rPr>
          <w:rFonts w:ascii="黑体" w:eastAsia="黑体" w:hAnsi="黑体" w:cs="黑体"/>
          <w:b/>
          <w:bCs/>
          <w:spacing w:val="-7"/>
          <w:sz w:val="25"/>
          <w:szCs w:val="25"/>
        </w:rPr>
        <w:t>3.4.3</w:t>
      </w:r>
      <w:r>
        <w:rPr>
          <w:rFonts w:ascii="黑体" w:eastAsia="黑体" w:hAnsi="黑体" w:cs="黑体"/>
          <w:spacing w:val="17"/>
          <w:sz w:val="25"/>
          <w:szCs w:val="25"/>
        </w:rPr>
        <w:t xml:space="preserve">  </w:t>
      </w:r>
      <w:r>
        <w:rPr>
          <w:rFonts w:ascii="黑体" w:eastAsia="黑体" w:hAnsi="黑体" w:cs="黑体"/>
          <w:b/>
          <w:bCs/>
          <w:spacing w:val="-7"/>
          <w:sz w:val="25"/>
          <w:szCs w:val="25"/>
        </w:rPr>
        <w:t>氮平衡</w:t>
      </w:r>
    </w:p>
    <w:p w:rsidR="00EA40A3" w:rsidRDefault="00E86C16">
      <w:pPr>
        <w:spacing w:before="175" w:line="244" w:lineRule="auto"/>
        <w:ind w:right="94" w:firstLine="430"/>
        <w:rPr>
          <w:rFonts w:ascii="宋体" w:eastAsia="宋体" w:hAnsi="宋体" w:cs="宋体"/>
        </w:rPr>
      </w:pPr>
      <w:r>
        <w:rPr>
          <w:rFonts w:ascii="宋体" w:eastAsia="宋体" w:hAnsi="宋体" w:cs="宋体"/>
        </w:rPr>
        <w:t>氮平衡</w:t>
      </w:r>
      <w:r>
        <w:rPr>
          <w:rFonts w:ascii="宋体" w:eastAsia="宋体" w:hAnsi="宋体" w:cs="宋体"/>
          <w:spacing w:val="-6"/>
        </w:rPr>
        <w:t xml:space="preserve"> </w:t>
      </w:r>
      <w:r>
        <w:rPr>
          <w:rFonts w:ascii="宋体" w:eastAsia="宋体" w:hAnsi="宋体" w:cs="宋体"/>
        </w:rPr>
        <w:t>(nitrogen</w:t>
      </w:r>
      <w:r>
        <w:rPr>
          <w:rFonts w:ascii="宋体" w:eastAsia="宋体" w:hAnsi="宋体" w:cs="宋体"/>
          <w:spacing w:val="51"/>
        </w:rPr>
        <w:t xml:space="preserve"> </w:t>
      </w:r>
      <w:r>
        <w:rPr>
          <w:rFonts w:ascii="宋体" w:eastAsia="宋体" w:hAnsi="宋体" w:cs="宋体"/>
        </w:rPr>
        <w:t>balance,NB)</w:t>
      </w:r>
      <w:r>
        <w:rPr>
          <w:rFonts w:ascii="宋体" w:eastAsia="宋体" w:hAnsi="宋体" w:cs="宋体"/>
          <w:spacing w:val="-51"/>
        </w:rPr>
        <w:t xml:space="preserve"> </w:t>
      </w:r>
      <w:r>
        <w:rPr>
          <w:rFonts w:ascii="宋体" w:eastAsia="宋体" w:hAnsi="宋体" w:cs="宋体"/>
        </w:rPr>
        <w:t xml:space="preserve">是研究蛋白质代谢的一个重要指标，它是 </w:t>
      </w:r>
      <w:r>
        <w:rPr>
          <w:rFonts w:ascii="宋体" w:eastAsia="宋体" w:hAnsi="宋体" w:cs="宋体"/>
          <w:spacing w:val="-6"/>
        </w:rPr>
        <w:t>反映机体摄入氮</w:t>
      </w:r>
      <w:r>
        <w:rPr>
          <w:rFonts w:ascii="宋体" w:eastAsia="宋体" w:hAnsi="宋体" w:cs="宋体"/>
          <w:spacing w:val="6"/>
        </w:rPr>
        <w:t xml:space="preserve"> </w:t>
      </w:r>
      <w:r>
        <w:rPr>
          <w:rFonts w:ascii="宋体" w:eastAsia="宋体" w:hAnsi="宋体" w:cs="宋体"/>
          <w:spacing w:val="-6"/>
        </w:rPr>
        <w:t>(I)</w:t>
      </w:r>
      <w:r>
        <w:rPr>
          <w:rFonts w:ascii="宋体" w:eastAsia="宋体" w:hAnsi="宋体" w:cs="宋体"/>
          <w:spacing w:val="25"/>
        </w:rPr>
        <w:t xml:space="preserve"> </w:t>
      </w:r>
      <w:r>
        <w:rPr>
          <w:rFonts w:ascii="宋体" w:eastAsia="宋体" w:hAnsi="宋体" w:cs="宋体"/>
          <w:spacing w:val="-6"/>
        </w:rPr>
        <w:t>和排出氮</w:t>
      </w:r>
      <w:r>
        <w:rPr>
          <w:rFonts w:ascii="宋体" w:eastAsia="宋体" w:hAnsi="宋体" w:cs="宋体"/>
          <w:spacing w:val="4"/>
        </w:rPr>
        <w:t xml:space="preserve"> </w:t>
      </w:r>
      <w:r>
        <w:rPr>
          <w:rFonts w:ascii="宋体" w:eastAsia="宋体" w:hAnsi="宋体" w:cs="宋体"/>
          <w:spacing w:val="-6"/>
        </w:rPr>
        <w:t>(E)</w:t>
      </w:r>
      <w:r>
        <w:rPr>
          <w:rFonts w:ascii="宋体" w:eastAsia="宋体" w:hAnsi="宋体" w:cs="宋体"/>
          <w:spacing w:val="65"/>
        </w:rPr>
        <w:t xml:space="preserve"> </w:t>
      </w:r>
      <w:r>
        <w:rPr>
          <w:rFonts w:ascii="宋体" w:eastAsia="宋体" w:hAnsi="宋体" w:cs="宋体"/>
          <w:spacing w:val="-6"/>
        </w:rPr>
        <w:t>之间的</w:t>
      </w:r>
      <w:r>
        <w:rPr>
          <w:rFonts w:ascii="宋体" w:eastAsia="宋体" w:hAnsi="宋体" w:cs="宋体"/>
          <w:spacing w:val="-7"/>
        </w:rPr>
        <w:t>关系，可用下面数学式表示：</w:t>
      </w:r>
    </w:p>
    <w:p w:rsidR="00EA40A3" w:rsidRDefault="00E86C16">
      <w:pPr>
        <w:spacing w:before="50" w:line="192" w:lineRule="auto"/>
        <w:ind w:left="2410"/>
        <w:rPr>
          <w:rFonts w:ascii="Times New Roman" w:eastAsia="Times New Roman" w:hAnsi="Times New Roman" w:cs="Times New Roman"/>
        </w:rPr>
      </w:pPr>
      <w:r>
        <w:rPr>
          <w:rFonts w:ascii="Times New Roman" w:eastAsia="Times New Roman" w:hAnsi="Times New Roman" w:cs="Times New Roman"/>
        </w:rPr>
        <w:t>NB=I-E=I-(F+U+S)</w:t>
      </w:r>
    </w:p>
    <w:p w:rsidR="00EA40A3" w:rsidRDefault="00E86C16">
      <w:pPr>
        <w:spacing w:before="130" w:line="253" w:lineRule="auto"/>
        <w:ind w:right="20" w:firstLine="430"/>
        <w:jc w:val="both"/>
        <w:rPr>
          <w:rFonts w:ascii="宋体" w:eastAsia="宋体" w:hAnsi="宋体" w:cs="宋体"/>
        </w:rPr>
      </w:pPr>
      <w:r>
        <w:rPr>
          <w:rFonts w:ascii="宋体" w:eastAsia="宋体" w:hAnsi="宋体" w:cs="宋体"/>
          <w:spacing w:val="4"/>
        </w:rPr>
        <w:t>摄入氮可根据食品蛋白质摄入量计算，排出氮即未被吸收的氮，包括粪氮</w:t>
      </w:r>
      <w:r>
        <w:rPr>
          <w:rFonts w:ascii="宋体" w:eastAsia="宋体" w:hAnsi="宋体" w:cs="宋体"/>
        </w:rPr>
        <w:t xml:space="preserve"> (F)、</w:t>
      </w:r>
      <w:r>
        <w:rPr>
          <w:rFonts w:ascii="宋体" w:eastAsia="宋体" w:hAnsi="宋体" w:cs="宋体"/>
          <w:spacing w:val="-2"/>
        </w:rPr>
        <w:t xml:space="preserve"> </w:t>
      </w:r>
      <w:r>
        <w:rPr>
          <w:rFonts w:ascii="宋体" w:eastAsia="宋体" w:hAnsi="宋体" w:cs="宋体"/>
        </w:rPr>
        <w:t>尿氮</w:t>
      </w:r>
      <w:r>
        <w:rPr>
          <w:rFonts w:ascii="宋体" w:eastAsia="宋体" w:hAnsi="宋体" w:cs="宋体"/>
          <w:spacing w:val="12"/>
        </w:rPr>
        <w:t xml:space="preserve"> </w:t>
      </w:r>
      <w:r>
        <w:rPr>
          <w:rFonts w:ascii="宋体" w:eastAsia="宋体" w:hAnsi="宋体" w:cs="宋体"/>
        </w:rPr>
        <w:t>(U)</w:t>
      </w:r>
      <w:r>
        <w:rPr>
          <w:rFonts w:ascii="宋体" w:eastAsia="宋体" w:hAnsi="宋体" w:cs="宋体"/>
          <w:spacing w:val="95"/>
        </w:rPr>
        <w:t xml:space="preserve"> </w:t>
      </w:r>
      <w:r>
        <w:rPr>
          <w:rFonts w:ascii="宋体" w:eastAsia="宋体" w:hAnsi="宋体" w:cs="宋体"/>
        </w:rPr>
        <w:t>以及皮肤氮</w:t>
      </w:r>
      <w:r>
        <w:rPr>
          <w:rFonts w:ascii="宋体" w:eastAsia="宋体" w:hAnsi="宋体" w:cs="宋体"/>
          <w:spacing w:val="5"/>
        </w:rPr>
        <w:t xml:space="preserve"> </w:t>
      </w:r>
      <w:r>
        <w:rPr>
          <w:rFonts w:ascii="宋体" w:eastAsia="宋体" w:hAnsi="宋体" w:cs="宋体"/>
        </w:rPr>
        <w:t>(S)</w:t>
      </w:r>
      <w:r>
        <w:rPr>
          <w:rFonts w:ascii="宋体" w:eastAsia="宋体" w:hAnsi="宋体" w:cs="宋体"/>
          <w:spacing w:val="76"/>
        </w:rPr>
        <w:t xml:space="preserve"> </w:t>
      </w:r>
      <w:r>
        <w:rPr>
          <w:rFonts w:ascii="宋体" w:eastAsia="宋体" w:hAnsi="宋体" w:cs="宋体"/>
        </w:rPr>
        <w:t>等排出氮。粪氮除了未被消化的食物氮</w:t>
      </w:r>
      <w:r>
        <w:rPr>
          <w:rFonts w:ascii="宋体" w:eastAsia="宋体" w:hAnsi="宋体" w:cs="宋体"/>
          <w:spacing w:val="-1"/>
        </w:rPr>
        <w:t>外，</w:t>
      </w:r>
      <w:r>
        <w:rPr>
          <w:rFonts w:ascii="宋体" w:eastAsia="宋体" w:hAnsi="宋体" w:cs="宋体"/>
        </w:rPr>
        <w:t xml:space="preserve"> </w:t>
      </w:r>
      <w:r>
        <w:rPr>
          <w:rFonts w:ascii="宋体" w:eastAsia="宋体" w:hAnsi="宋体" w:cs="宋体"/>
          <w:spacing w:val="3"/>
        </w:rPr>
        <w:t>还包括肠道死亡微生物、消化液及肠黏膜脱落细胞氮，这部分氮称为粪代谢氮</w:t>
      </w:r>
      <w:r>
        <w:rPr>
          <w:rFonts w:ascii="宋体" w:eastAsia="宋体" w:hAnsi="宋体" w:cs="宋体"/>
          <w:spacing w:val="5"/>
        </w:rPr>
        <w:t xml:space="preserve"> </w:t>
      </w:r>
      <w:r>
        <w:rPr>
          <w:rFonts w:ascii="宋体" w:eastAsia="宋体" w:hAnsi="宋体" w:cs="宋体"/>
          <w:spacing w:val="2"/>
        </w:rPr>
        <w:t>(</w:t>
      </w:r>
      <w:r>
        <w:rPr>
          <w:rFonts w:ascii="宋体" w:eastAsia="宋体" w:hAnsi="宋体" w:cs="宋体"/>
        </w:rPr>
        <w:t>Fm</w:t>
      </w:r>
      <w:r>
        <w:rPr>
          <w:rFonts w:ascii="宋体" w:eastAsia="宋体" w:hAnsi="宋体" w:cs="宋体"/>
          <w:spacing w:val="2"/>
        </w:rPr>
        <w:t>);</w:t>
      </w:r>
      <w:r>
        <w:rPr>
          <w:rFonts w:ascii="宋体" w:eastAsia="宋体" w:hAnsi="宋体" w:cs="宋体"/>
          <w:spacing w:val="35"/>
        </w:rPr>
        <w:t xml:space="preserve"> </w:t>
      </w:r>
      <w:r>
        <w:rPr>
          <w:rFonts w:ascii="宋体" w:eastAsia="宋体" w:hAnsi="宋体" w:cs="宋体"/>
          <w:spacing w:val="2"/>
        </w:rPr>
        <w:t>尿氮除了机体利用过的氮外，还包括尿道</w:t>
      </w:r>
      <w:r>
        <w:rPr>
          <w:rFonts w:ascii="宋体" w:eastAsia="宋体" w:hAnsi="宋体" w:cs="宋体"/>
          <w:spacing w:val="1"/>
        </w:rPr>
        <w:t>黏膜脱落细胞氮，这部分氮称</w:t>
      </w:r>
      <w:r>
        <w:rPr>
          <w:rFonts w:ascii="宋体" w:eastAsia="宋体" w:hAnsi="宋体" w:cs="宋体"/>
        </w:rPr>
        <w:t xml:space="preserve">  </w:t>
      </w:r>
      <w:r>
        <w:rPr>
          <w:rFonts w:ascii="宋体" w:eastAsia="宋体" w:hAnsi="宋体" w:cs="宋体"/>
          <w:spacing w:val="-9"/>
        </w:rPr>
        <w:t>为尿内源氮</w:t>
      </w:r>
      <w:r>
        <w:rPr>
          <w:rFonts w:ascii="宋体" w:eastAsia="宋体" w:hAnsi="宋体" w:cs="宋体"/>
          <w:spacing w:val="13"/>
        </w:rPr>
        <w:t xml:space="preserve"> </w:t>
      </w:r>
      <w:r>
        <w:rPr>
          <w:rFonts w:ascii="宋体" w:eastAsia="宋体" w:hAnsi="宋体" w:cs="宋体"/>
          <w:spacing w:val="-9"/>
        </w:rPr>
        <w:t>(Um)。</w:t>
      </w:r>
      <w:r>
        <w:rPr>
          <w:rFonts w:ascii="宋体" w:eastAsia="宋体" w:hAnsi="宋体" w:cs="宋体"/>
          <w:spacing w:val="45"/>
        </w:rPr>
        <w:t xml:space="preserve"> </w:t>
      </w:r>
      <w:r>
        <w:rPr>
          <w:rFonts w:ascii="宋体" w:eastAsia="宋体" w:hAnsi="宋体" w:cs="宋体"/>
          <w:spacing w:val="-9"/>
        </w:rPr>
        <w:t>机体每天由皮肤、毛发、</w:t>
      </w:r>
      <w:r>
        <w:rPr>
          <w:rFonts w:ascii="宋体" w:eastAsia="宋体" w:hAnsi="宋体" w:cs="宋体"/>
          <w:spacing w:val="42"/>
        </w:rPr>
        <w:t xml:space="preserve"> </w:t>
      </w:r>
      <w:r>
        <w:rPr>
          <w:rFonts w:ascii="宋体" w:eastAsia="宋体" w:hAnsi="宋体" w:cs="宋体"/>
          <w:spacing w:val="-9"/>
        </w:rPr>
        <w:t>一切分泌物等排出的氮，以及粪代</w:t>
      </w:r>
      <w:r>
        <w:rPr>
          <w:rFonts w:ascii="宋体" w:eastAsia="宋体" w:hAnsi="宋体" w:cs="宋体"/>
        </w:rPr>
        <w:t xml:space="preserve">  </w:t>
      </w:r>
      <w:r>
        <w:rPr>
          <w:rFonts w:ascii="宋体" w:eastAsia="宋体" w:hAnsi="宋体" w:cs="宋体"/>
          <w:spacing w:val="2"/>
        </w:rPr>
        <w:t>谢氮、尿内源氮总共约为3.5g,</w:t>
      </w:r>
      <w:r>
        <w:rPr>
          <w:rFonts w:ascii="宋体" w:eastAsia="宋体" w:hAnsi="宋体" w:cs="宋体"/>
          <w:spacing w:val="17"/>
        </w:rPr>
        <w:t xml:space="preserve"> </w:t>
      </w:r>
      <w:r>
        <w:rPr>
          <w:rFonts w:ascii="宋体" w:eastAsia="宋体" w:hAnsi="宋体" w:cs="宋体"/>
          <w:spacing w:val="2"/>
        </w:rPr>
        <w:t>这是机体不可避免的氮消耗，称为必要氮损失</w:t>
      </w:r>
      <w:r>
        <w:rPr>
          <w:rFonts w:ascii="宋体" w:eastAsia="宋体" w:hAnsi="宋体" w:cs="宋体"/>
        </w:rPr>
        <w:t xml:space="preserve">  </w:t>
      </w:r>
      <w:r>
        <w:rPr>
          <w:rFonts w:ascii="Times New Roman" w:eastAsia="Times New Roman" w:hAnsi="Times New Roman" w:cs="Times New Roman"/>
          <w:spacing w:val="-1"/>
        </w:rPr>
        <w:t>(obligatory</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nitrogen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loss,ONL)</w:t>
      </w:r>
      <w:r>
        <w:rPr>
          <w:rFonts w:ascii="宋体" w:eastAsia="宋体" w:hAnsi="宋体" w:cs="宋体"/>
          <w:spacing w:val="-1"/>
        </w:rPr>
        <w:t>。</w:t>
      </w:r>
    </w:p>
    <w:p w:rsidR="00EA40A3" w:rsidRDefault="00E86C16">
      <w:pPr>
        <w:spacing w:before="129" w:line="257" w:lineRule="auto"/>
        <w:ind w:firstLine="430"/>
        <w:jc w:val="both"/>
        <w:rPr>
          <w:rFonts w:ascii="宋体" w:eastAsia="宋体" w:hAnsi="宋体" w:cs="宋体"/>
        </w:rPr>
      </w:pPr>
      <w:r>
        <w:rPr>
          <w:rFonts w:ascii="宋体" w:eastAsia="宋体" w:hAnsi="宋体" w:cs="宋体"/>
          <w:spacing w:val="-6"/>
        </w:rPr>
        <w:t>当摄入氮和排出氮</w:t>
      </w:r>
      <w:r>
        <w:rPr>
          <w:rFonts w:ascii="宋体" w:eastAsia="宋体" w:hAnsi="宋体" w:cs="宋体"/>
          <w:spacing w:val="-7"/>
        </w:rPr>
        <w:t>相等时，为零氮平衡</w:t>
      </w:r>
      <w:r>
        <w:rPr>
          <w:rFonts w:ascii="宋体" w:eastAsia="宋体" w:hAnsi="宋体" w:cs="宋体"/>
          <w:spacing w:val="-4"/>
        </w:rPr>
        <w:t xml:space="preserve"> </w:t>
      </w:r>
      <w:r>
        <w:rPr>
          <w:rFonts w:ascii="宋体" w:eastAsia="宋体" w:hAnsi="宋体" w:cs="宋体"/>
          <w:spacing w:val="-7"/>
        </w:rPr>
        <w:t>(</w:t>
      </w:r>
      <w:r>
        <w:rPr>
          <w:rFonts w:ascii="宋体" w:eastAsia="宋体" w:hAnsi="宋体" w:cs="宋体"/>
          <w:spacing w:val="-6"/>
        </w:rPr>
        <w:t>zero</w:t>
      </w:r>
      <w:r>
        <w:rPr>
          <w:rFonts w:ascii="宋体" w:eastAsia="宋体" w:hAnsi="宋体" w:cs="宋体"/>
          <w:spacing w:val="-3"/>
        </w:rPr>
        <w:t xml:space="preserve"> </w:t>
      </w:r>
      <w:r>
        <w:rPr>
          <w:rFonts w:ascii="宋体" w:eastAsia="宋体" w:hAnsi="宋体" w:cs="宋体"/>
          <w:spacing w:val="-6"/>
        </w:rPr>
        <w:t>nitrogen</w:t>
      </w:r>
      <w:r>
        <w:rPr>
          <w:rFonts w:ascii="宋体" w:eastAsia="宋体" w:hAnsi="宋体" w:cs="宋体"/>
          <w:spacing w:val="-4"/>
        </w:rPr>
        <w:t xml:space="preserve"> </w:t>
      </w:r>
      <w:r>
        <w:rPr>
          <w:rFonts w:ascii="宋体" w:eastAsia="宋体" w:hAnsi="宋体" w:cs="宋体"/>
          <w:spacing w:val="-6"/>
        </w:rPr>
        <w:t>balance</w:t>
      </w:r>
      <w:r>
        <w:rPr>
          <w:rFonts w:ascii="宋体" w:eastAsia="宋体" w:hAnsi="宋体" w:cs="宋体"/>
          <w:spacing w:val="-7"/>
        </w:rPr>
        <w:t>),</w:t>
      </w:r>
      <w:r>
        <w:rPr>
          <w:rFonts w:ascii="宋体" w:eastAsia="宋体" w:hAnsi="宋体" w:cs="宋体"/>
          <w:spacing w:val="-45"/>
        </w:rPr>
        <w:t xml:space="preserve"> </w:t>
      </w:r>
      <w:r>
        <w:rPr>
          <w:rFonts w:ascii="宋体" w:eastAsia="宋体" w:hAnsi="宋体" w:cs="宋体"/>
          <w:spacing w:val="-7"/>
        </w:rPr>
        <w:t>健康的成</w:t>
      </w:r>
      <w:r>
        <w:rPr>
          <w:rFonts w:ascii="宋体" w:eastAsia="宋体" w:hAnsi="宋体" w:cs="宋体"/>
        </w:rPr>
        <w:t xml:space="preserve">  </w:t>
      </w:r>
      <w:r>
        <w:rPr>
          <w:rFonts w:ascii="宋体" w:eastAsia="宋体" w:hAnsi="宋体" w:cs="宋体"/>
          <w:spacing w:val="3"/>
        </w:rPr>
        <w:t>人应维持在0～5%。如摄入氮大于排出氮，则为正氮平衡</w:t>
      </w:r>
      <w:r>
        <w:rPr>
          <w:rFonts w:ascii="宋体" w:eastAsia="宋体" w:hAnsi="宋体" w:cs="宋体"/>
          <w:spacing w:val="10"/>
        </w:rPr>
        <w:t xml:space="preserve"> </w:t>
      </w:r>
      <w:r>
        <w:rPr>
          <w:rFonts w:ascii="宋体" w:eastAsia="宋体" w:hAnsi="宋体" w:cs="宋体"/>
          <w:spacing w:val="3"/>
        </w:rPr>
        <w:t>(</w:t>
      </w:r>
      <w:r>
        <w:rPr>
          <w:rFonts w:ascii="宋体" w:eastAsia="宋体" w:hAnsi="宋体" w:cs="宋体"/>
        </w:rPr>
        <w:t>positive</w:t>
      </w:r>
      <w:r>
        <w:rPr>
          <w:rFonts w:ascii="宋体" w:eastAsia="宋体" w:hAnsi="宋体" w:cs="宋体"/>
          <w:spacing w:val="-7"/>
        </w:rPr>
        <w:t xml:space="preserve"> </w:t>
      </w:r>
      <w:r>
        <w:rPr>
          <w:rFonts w:ascii="宋体" w:eastAsia="宋体" w:hAnsi="宋体" w:cs="宋体"/>
        </w:rPr>
        <w:t xml:space="preserve">nitrogen  </w:t>
      </w:r>
      <w:r>
        <w:rPr>
          <w:rFonts w:ascii="宋体" w:eastAsia="宋体" w:hAnsi="宋体" w:cs="宋体"/>
          <w:spacing w:val="-5"/>
        </w:rPr>
        <w:t>balance)。</w:t>
      </w:r>
      <w:r>
        <w:rPr>
          <w:rFonts w:ascii="宋体" w:eastAsia="宋体" w:hAnsi="宋体" w:cs="宋体"/>
          <w:spacing w:val="-24"/>
        </w:rPr>
        <w:t xml:space="preserve"> </w:t>
      </w:r>
      <w:r>
        <w:rPr>
          <w:rFonts w:ascii="宋体" w:eastAsia="宋体" w:hAnsi="宋体" w:cs="宋体"/>
          <w:spacing w:val="-5"/>
        </w:rPr>
        <w:t>处于生长期的儿童、孕妇、康复期的病人以及需要增加肌肉的运动员</w:t>
      </w:r>
      <w:r>
        <w:rPr>
          <w:rFonts w:ascii="宋体" w:eastAsia="宋体" w:hAnsi="宋体" w:cs="宋体"/>
        </w:rPr>
        <w:t xml:space="preserve">  </w:t>
      </w:r>
      <w:r>
        <w:rPr>
          <w:rFonts w:ascii="宋体" w:eastAsia="宋体" w:hAnsi="宋体" w:cs="宋体"/>
          <w:spacing w:val="-3"/>
        </w:rPr>
        <w:t>等，应保证适当的正氮平衡，满足机体对蛋白质的额外需要。而摄入氮小于排出</w:t>
      </w:r>
      <w:r>
        <w:rPr>
          <w:rFonts w:ascii="宋体" w:eastAsia="宋体" w:hAnsi="宋体" w:cs="宋体"/>
        </w:rPr>
        <w:t xml:space="preserve">  </w:t>
      </w:r>
      <w:r>
        <w:rPr>
          <w:rFonts w:ascii="宋体" w:eastAsia="宋体" w:hAnsi="宋体" w:cs="宋体"/>
          <w:spacing w:val="-3"/>
        </w:rPr>
        <w:t>氮时，为负氮平衡</w:t>
      </w:r>
      <w:r>
        <w:rPr>
          <w:rFonts w:ascii="宋体" w:eastAsia="宋体" w:hAnsi="宋体" w:cs="宋体"/>
          <w:spacing w:val="-15"/>
        </w:rPr>
        <w:t xml:space="preserve"> </w:t>
      </w:r>
      <w:r>
        <w:rPr>
          <w:rFonts w:ascii="宋体" w:eastAsia="宋体" w:hAnsi="宋体" w:cs="宋体"/>
          <w:spacing w:val="-3"/>
        </w:rPr>
        <w:t>(negative</w:t>
      </w:r>
      <w:r>
        <w:rPr>
          <w:rFonts w:ascii="宋体" w:eastAsia="宋体" w:hAnsi="宋体" w:cs="宋体"/>
          <w:spacing w:val="-2"/>
        </w:rPr>
        <w:t xml:space="preserve"> </w:t>
      </w:r>
      <w:r>
        <w:rPr>
          <w:rFonts w:ascii="宋体" w:eastAsia="宋体" w:hAnsi="宋体" w:cs="宋体"/>
          <w:spacing w:val="-3"/>
        </w:rPr>
        <w:t>nitrogen</w:t>
      </w:r>
      <w:r>
        <w:rPr>
          <w:rFonts w:ascii="宋体" w:eastAsia="宋体" w:hAnsi="宋体" w:cs="宋体"/>
          <w:spacing w:val="-4"/>
        </w:rPr>
        <w:t xml:space="preserve"> </w:t>
      </w:r>
      <w:r>
        <w:rPr>
          <w:rFonts w:ascii="宋体" w:eastAsia="宋体" w:hAnsi="宋体" w:cs="宋体"/>
          <w:spacing w:val="-3"/>
        </w:rPr>
        <w:t>balance),</w:t>
      </w:r>
      <w:r>
        <w:rPr>
          <w:rFonts w:ascii="宋体" w:eastAsia="宋体" w:hAnsi="宋体" w:cs="宋体"/>
          <w:spacing w:val="-44"/>
        </w:rPr>
        <w:t xml:space="preserve"> </w:t>
      </w:r>
      <w:r>
        <w:rPr>
          <w:rFonts w:ascii="宋体" w:eastAsia="宋体" w:hAnsi="宋体" w:cs="宋体"/>
          <w:spacing w:val="-3"/>
        </w:rPr>
        <w:t>人体在</w:t>
      </w:r>
      <w:r>
        <w:rPr>
          <w:rFonts w:ascii="宋体" w:eastAsia="宋体" w:hAnsi="宋体" w:cs="宋体"/>
          <w:spacing w:val="-4"/>
        </w:rPr>
        <w:t>饥饿、疾病及老年时，</w:t>
      </w:r>
      <w:r>
        <w:rPr>
          <w:rFonts w:ascii="宋体" w:eastAsia="宋体" w:hAnsi="宋体" w:cs="宋体"/>
        </w:rPr>
        <w:t xml:space="preserve"> </w:t>
      </w:r>
      <w:r>
        <w:rPr>
          <w:rFonts w:ascii="宋体" w:eastAsia="宋体" w:hAnsi="宋体" w:cs="宋体"/>
          <w:spacing w:val="-10"/>
        </w:rPr>
        <w:t>一般处于这种状况下。</w:t>
      </w:r>
    </w:p>
    <w:p w:rsidR="00EA40A3" w:rsidRDefault="00E86C16">
      <w:pPr>
        <w:spacing w:before="89" w:line="237" w:lineRule="auto"/>
        <w:ind w:right="95" w:firstLine="430"/>
        <w:jc w:val="both"/>
        <w:rPr>
          <w:rFonts w:ascii="宋体" w:eastAsia="宋体" w:hAnsi="宋体" w:cs="宋体"/>
        </w:rPr>
      </w:pPr>
      <w:r>
        <w:rPr>
          <w:rFonts w:ascii="宋体" w:eastAsia="宋体" w:hAnsi="宋体" w:cs="宋体"/>
          <w:spacing w:val="-3"/>
        </w:rPr>
        <w:t>当碳水化合物供给不足时，或处于病态、紧张状</w:t>
      </w:r>
      <w:r>
        <w:rPr>
          <w:rFonts w:ascii="宋体" w:eastAsia="宋体" w:hAnsi="宋体" w:cs="宋体"/>
          <w:spacing w:val="-4"/>
        </w:rPr>
        <w:t>态时，都会影响机体的氮平</w:t>
      </w:r>
      <w:r>
        <w:rPr>
          <w:rFonts w:ascii="宋体" w:eastAsia="宋体" w:hAnsi="宋体" w:cs="宋体"/>
        </w:rPr>
        <w:t xml:space="preserve"> </w:t>
      </w:r>
      <w:r>
        <w:rPr>
          <w:rFonts w:ascii="宋体" w:eastAsia="宋体" w:hAnsi="宋体" w:cs="宋体"/>
          <w:spacing w:val="-5"/>
        </w:rPr>
        <w:t>衡。当长期处于负氮平衡时，将引起蛋白质缺乏、体重减轻、机体抵抗力下降。</w:t>
      </w:r>
    </w:p>
    <w:p w:rsidR="00EA40A3" w:rsidRDefault="00E86C16">
      <w:pPr>
        <w:spacing w:before="177" w:line="220" w:lineRule="auto"/>
        <w:ind w:left="3"/>
        <w:outlineLvl w:val="6"/>
        <w:rPr>
          <w:rFonts w:ascii="黑体" w:eastAsia="黑体" w:hAnsi="黑体" w:cs="黑体"/>
          <w:sz w:val="25"/>
          <w:szCs w:val="25"/>
        </w:rPr>
      </w:pPr>
      <w:r>
        <w:rPr>
          <w:rFonts w:ascii="黑体" w:eastAsia="黑体" w:hAnsi="黑体" w:cs="黑体"/>
          <w:b/>
          <w:bCs/>
          <w:spacing w:val="-12"/>
          <w:sz w:val="25"/>
          <w:szCs w:val="25"/>
        </w:rPr>
        <w:t>3.4.4</w:t>
      </w:r>
      <w:r>
        <w:rPr>
          <w:rFonts w:ascii="黑体" w:eastAsia="黑体" w:hAnsi="黑体" w:cs="黑体"/>
          <w:spacing w:val="6"/>
          <w:sz w:val="25"/>
          <w:szCs w:val="25"/>
        </w:rPr>
        <w:t xml:space="preserve">  </w:t>
      </w:r>
      <w:r>
        <w:rPr>
          <w:rFonts w:ascii="黑体" w:eastAsia="黑体" w:hAnsi="黑体" w:cs="黑体"/>
          <w:b/>
          <w:bCs/>
          <w:spacing w:val="-12"/>
          <w:sz w:val="25"/>
          <w:szCs w:val="25"/>
        </w:rPr>
        <w:t>必需氨基酸</w:t>
      </w:r>
    </w:p>
    <w:p w:rsidR="00EA40A3" w:rsidRDefault="00E86C16">
      <w:pPr>
        <w:spacing w:before="209" w:line="248" w:lineRule="auto"/>
        <w:ind w:right="58" w:firstLine="430"/>
        <w:jc w:val="both"/>
        <w:rPr>
          <w:rFonts w:ascii="宋体" w:eastAsia="宋体" w:hAnsi="宋体" w:cs="宋体"/>
        </w:rPr>
      </w:pPr>
      <w:r>
        <w:rPr>
          <w:rFonts w:ascii="宋体" w:eastAsia="宋体" w:hAnsi="宋体" w:cs="宋体"/>
          <w:spacing w:val="-2"/>
        </w:rPr>
        <w:t>构成人体蛋白质的氨基酸有20种，在营养上分为“必需”和“非</w:t>
      </w:r>
      <w:r>
        <w:rPr>
          <w:rFonts w:ascii="宋体" w:eastAsia="宋体" w:hAnsi="宋体" w:cs="宋体"/>
          <w:spacing w:val="-3"/>
        </w:rPr>
        <w:t>必需”。必</w:t>
      </w:r>
      <w:r>
        <w:rPr>
          <w:rFonts w:ascii="宋体" w:eastAsia="宋体" w:hAnsi="宋体" w:cs="宋体"/>
        </w:rPr>
        <w:t xml:space="preserve"> </w:t>
      </w:r>
      <w:r>
        <w:rPr>
          <w:rFonts w:ascii="宋体" w:eastAsia="宋体" w:hAnsi="宋体" w:cs="宋体"/>
          <w:spacing w:val="-1"/>
        </w:rPr>
        <w:t>需氨基</w:t>
      </w:r>
      <w:r>
        <w:rPr>
          <w:rFonts w:ascii="宋体" w:eastAsia="宋体" w:hAnsi="宋体" w:cs="宋体"/>
          <w:spacing w:val="-2"/>
        </w:rPr>
        <w:t>酸</w:t>
      </w:r>
      <w:r>
        <w:rPr>
          <w:rFonts w:ascii="宋体" w:eastAsia="宋体" w:hAnsi="宋体" w:cs="宋体"/>
          <w:spacing w:val="-15"/>
        </w:rPr>
        <w:t xml:space="preserve"> </w:t>
      </w:r>
      <w:r>
        <w:rPr>
          <w:rFonts w:ascii="宋体" w:eastAsia="宋体" w:hAnsi="宋体" w:cs="宋体"/>
          <w:spacing w:val="-2"/>
        </w:rPr>
        <w:t>(</w:t>
      </w:r>
      <w:r>
        <w:rPr>
          <w:rFonts w:ascii="宋体" w:eastAsia="宋体" w:hAnsi="宋体" w:cs="宋体"/>
          <w:spacing w:val="-1"/>
        </w:rPr>
        <w:t>essential</w:t>
      </w:r>
      <w:r>
        <w:rPr>
          <w:rFonts w:ascii="宋体" w:eastAsia="宋体" w:hAnsi="宋体" w:cs="宋体"/>
          <w:spacing w:val="9"/>
        </w:rPr>
        <w:t xml:space="preserve"> </w:t>
      </w:r>
      <w:r>
        <w:rPr>
          <w:rFonts w:ascii="宋体" w:eastAsia="宋体" w:hAnsi="宋体" w:cs="宋体"/>
          <w:spacing w:val="-1"/>
        </w:rPr>
        <w:t>amina</w:t>
      </w:r>
      <w:r>
        <w:rPr>
          <w:rFonts w:ascii="宋体" w:eastAsia="宋体" w:hAnsi="宋体" w:cs="宋体"/>
          <w:spacing w:val="9"/>
        </w:rPr>
        <w:t xml:space="preserve"> </w:t>
      </w:r>
      <w:r>
        <w:rPr>
          <w:rFonts w:ascii="宋体" w:eastAsia="宋体" w:hAnsi="宋体" w:cs="宋体"/>
          <w:spacing w:val="-1"/>
        </w:rPr>
        <w:t>acid</w:t>
      </w:r>
      <w:r>
        <w:rPr>
          <w:rFonts w:ascii="宋体" w:eastAsia="宋体" w:hAnsi="宋体" w:cs="宋体"/>
          <w:spacing w:val="-2"/>
        </w:rPr>
        <w:t>,</w:t>
      </w:r>
      <w:r>
        <w:rPr>
          <w:rFonts w:ascii="宋体" w:eastAsia="宋体" w:hAnsi="宋体" w:cs="宋体"/>
          <w:spacing w:val="-1"/>
        </w:rPr>
        <w:t>EAA</w:t>
      </w:r>
      <w:r>
        <w:rPr>
          <w:rFonts w:ascii="宋体" w:eastAsia="宋体" w:hAnsi="宋体" w:cs="宋体"/>
          <w:spacing w:val="-2"/>
        </w:rPr>
        <w:t>)</w:t>
      </w:r>
      <w:r>
        <w:rPr>
          <w:rFonts w:ascii="宋体" w:eastAsia="宋体" w:hAnsi="宋体" w:cs="宋体"/>
          <w:spacing w:val="-50"/>
        </w:rPr>
        <w:t xml:space="preserve"> </w:t>
      </w:r>
      <w:r>
        <w:rPr>
          <w:rFonts w:ascii="宋体" w:eastAsia="宋体" w:hAnsi="宋体" w:cs="宋体"/>
          <w:spacing w:val="-2"/>
        </w:rPr>
        <w:t>是人体不能合成或合成速度不能满足机</w:t>
      </w:r>
      <w:r>
        <w:rPr>
          <w:rFonts w:ascii="宋体" w:eastAsia="宋体" w:hAnsi="宋体" w:cs="宋体"/>
        </w:rPr>
        <w:t xml:space="preserve"> </w:t>
      </w:r>
      <w:r>
        <w:rPr>
          <w:rFonts w:ascii="宋体" w:eastAsia="宋体" w:hAnsi="宋体" w:cs="宋体"/>
          <w:spacing w:val="-6"/>
        </w:rPr>
        <w:t>体需要，必须从食物中获得的氨基酸；非必</w:t>
      </w:r>
      <w:r>
        <w:rPr>
          <w:rFonts w:ascii="宋体" w:eastAsia="宋体" w:hAnsi="宋体" w:cs="宋体"/>
          <w:spacing w:val="-7"/>
        </w:rPr>
        <w:t>需氨基酸</w:t>
      </w:r>
      <w:r>
        <w:rPr>
          <w:rFonts w:ascii="宋体" w:eastAsia="宋体" w:hAnsi="宋体" w:cs="宋体"/>
          <w:spacing w:val="3"/>
        </w:rPr>
        <w:t xml:space="preserve"> </w:t>
      </w:r>
      <w:r>
        <w:rPr>
          <w:rFonts w:ascii="宋体" w:eastAsia="宋体" w:hAnsi="宋体" w:cs="宋体"/>
          <w:spacing w:val="-7"/>
        </w:rPr>
        <w:t>(</w:t>
      </w:r>
      <w:r>
        <w:rPr>
          <w:rFonts w:ascii="宋体" w:eastAsia="宋体" w:hAnsi="宋体" w:cs="宋体"/>
          <w:spacing w:val="-6"/>
        </w:rPr>
        <w:t>nonessential</w:t>
      </w:r>
      <w:r>
        <w:rPr>
          <w:rFonts w:ascii="宋体" w:eastAsia="宋体" w:hAnsi="宋体" w:cs="宋体"/>
          <w:spacing w:val="-2"/>
        </w:rPr>
        <w:t xml:space="preserve"> </w:t>
      </w:r>
      <w:r>
        <w:rPr>
          <w:rFonts w:ascii="宋体" w:eastAsia="宋体" w:hAnsi="宋体" w:cs="宋体"/>
          <w:spacing w:val="-6"/>
        </w:rPr>
        <w:t>amino</w:t>
      </w:r>
      <w:r>
        <w:rPr>
          <w:rFonts w:ascii="宋体" w:eastAsia="宋体" w:hAnsi="宋体" w:cs="宋体"/>
          <w:spacing w:val="-1"/>
        </w:rPr>
        <w:t xml:space="preserve"> </w:t>
      </w:r>
      <w:r>
        <w:rPr>
          <w:rFonts w:ascii="宋体" w:eastAsia="宋体" w:hAnsi="宋体" w:cs="宋体"/>
          <w:spacing w:val="-6"/>
        </w:rPr>
        <w:t>acid</w:t>
      </w:r>
      <w:r>
        <w:rPr>
          <w:rFonts w:ascii="宋体" w:eastAsia="宋体" w:hAnsi="宋体" w:cs="宋体"/>
          <w:spacing w:val="-7"/>
        </w:rPr>
        <w:t>,</w:t>
      </w:r>
      <w:r>
        <w:rPr>
          <w:rFonts w:ascii="宋体" w:eastAsia="宋体" w:hAnsi="宋体" w:cs="宋体"/>
        </w:rPr>
        <w:t xml:space="preserve"> NAA</w:t>
      </w:r>
      <w:r>
        <w:rPr>
          <w:rFonts w:ascii="宋体" w:eastAsia="宋体" w:hAnsi="宋体" w:cs="宋体"/>
          <w:spacing w:val="9"/>
        </w:rPr>
        <w:t>)</w:t>
      </w:r>
      <w:r>
        <w:rPr>
          <w:rFonts w:ascii="宋体" w:eastAsia="宋体" w:hAnsi="宋体" w:cs="宋体"/>
          <w:spacing w:val="15"/>
        </w:rPr>
        <w:t xml:space="preserve">  </w:t>
      </w:r>
      <w:r>
        <w:rPr>
          <w:rFonts w:ascii="宋体" w:eastAsia="宋体" w:hAnsi="宋体" w:cs="宋体"/>
          <w:spacing w:val="9"/>
        </w:rPr>
        <w:t>是人体可以利用体内已有的物质合成，不一定</w:t>
      </w:r>
      <w:r>
        <w:rPr>
          <w:rFonts w:ascii="宋体" w:eastAsia="宋体" w:hAnsi="宋体" w:cs="宋体"/>
          <w:spacing w:val="8"/>
        </w:rPr>
        <w:t>必须从食物中获得的氨</w:t>
      </w:r>
      <w:r>
        <w:rPr>
          <w:rFonts w:ascii="宋体" w:eastAsia="宋体" w:hAnsi="宋体" w:cs="宋体"/>
          <w:spacing w:val="1"/>
        </w:rPr>
        <w:t xml:space="preserve"> </w:t>
      </w:r>
      <w:r>
        <w:rPr>
          <w:rFonts w:ascii="宋体" w:eastAsia="宋体" w:hAnsi="宋体" w:cs="宋体"/>
          <w:spacing w:val="-9"/>
        </w:rPr>
        <w:t>基酸。</w:t>
      </w:r>
    </w:p>
    <w:p w:rsidR="00EA40A3" w:rsidRDefault="00E86C16">
      <w:pPr>
        <w:spacing w:before="256" w:line="222" w:lineRule="auto"/>
        <w:rPr>
          <w:rFonts w:ascii="仿宋" w:eastAsia="仿宋" w:hAnsi="仿宋" w:cs="仿宋"/>
        </w:rPr>
      </w:pPr>
      <w:r>
        <w:rPr>
          <w:rFonts w:ascii="仿宋" w:eastAsia="仿宋" w:hAnsi="仿宋" w:cs="仿宋"/>
          <w:spacing w:val="14"/>
        </w:rPr>
        <w:t>1.</w:t>
      </w:r>
      <w:r>
        <w:rPr>
          <w:rFonts w:ascii="仿宋" w:eastAsia="仿宋" w:hAnsi="仿宋" w:cs="仿宋"/>
          <w:spacing w:val="-21"/>
        </w:rPr>
        <w:t xml:space="preserve"> </w:t>
      </w:r>
      <w:r>
        <w:rPr>
          <w:rFonts w:ascii="仿宋" w:eastAsia="仿宋" w:hAnsi="仿宋" w:cs="仿宋"/>
          <w:spacing w:val="14"/>
        </w:rPr>
        <w:t>必需氨基酸</w:t>
      </w:r>
    </w:p>
    <w:p w:rsidR="00EA40A3" w:rsidRDefault="00E86C16">
      <w:pPr>
        <w:spacing w:before="215" w:line="255" w:lineRule="auto"/>
        <w:ind w:right="113" w:firstLine="430"/>
        <w:jc w:val="both"/>
        <w:rPr>
          <w:rFonts w:ascii="宋体" w:eastAsia="宋体" w:hAnsi="宋体" w:cs="宋体"/>
        </w:rPr>
      </w:pPr>
      <w:r>
        <w:rPr>
          <w:rFonts w:ascii="宋体" w:eastAsia="宋体" w:hAnsi="宋体" w:cs="宋体"/>
          <w:spacing w:val="-3"/>
        </w:rPr>
        <w:t>人体的必需氨基酸有9种，分别</w:t>
      </w:r>
      <w:r>
        <w:rPr>
          <w:rFonts w:ascii="宋体" w:eastAsia="宋体" w:hAnsi="宋体" w:cs="宋体"/>
          <w:spacing w:val="-4"/>
        </w:rPr>
        <w:t>是苯丙氨酸</w:t>
      </w:r>
      <w:r>
        <w:rPr>
          <w:rFonts w:ascii="宋体" w:eastAsia="宋体" w:hAnsi="宋体" w:cs="宋体"/>
          <w:spacing w:val="-15"/>
        </w:rPr>
        <w:t xml:space="preserve"> </w:t>
      </w:r>
      <w:r>
        <w:rPr>
          <w:rFonts w:ascii="宋体" w:eastAsia="宋体" w:hAnsi="宋体" w:cs="宋体"/>
          <w:spacing w:val="-4"/>
        </w:rPr>
        <w:t>(</w:t>
      </w:r>
      <w:r>
        <w:rPr>
          <w:rFonts w:ascii="宋体" w:eastAsia="宋体" w:hAnsi="宋体" w:cs="宋体"/>
          <w:spacing w:val="-3"/>
        </w:rPr>
        <w:t>phenylalanine</w:t>
      </w:r>
      <w:r>
        <w:rPr>
          <w:rFonts w:ascii="宋体" w:eastAsia="宋体" w:hAnsi="宋体" w:cs="宋体"/>
          <w:spacing w:val="-4"/>
        </w:rPr>
        <w:t>,</w:t>
      </w:r>
      <w:r>
        <w:rPr>
          <w:rFonts w:ascii="宋体" w:eastAsia="宋体" w:hAnsi="宋体" w:cs="宋体"/>
          <w:spacing w:val="-3"/>
        </w:rPr>
        <w:t>Phe</w:t>
      </w:r>
      <w:r>
        <w:rPr>
          <w:rFonts w:ascii="宋体" w:eastAsia="宋体" w:hAnsi="宋体" w:cs="宋体"/>
          <w:spacing w:val="-4"/>
        </w:rPr>
        <w:t>)、</w:t>
      </w:r>
      <w:r>
        <w:rPr>
          <w:rFonts w:ascii="宋体" w:eastAsia="宋体" w:hAnsi="宋体" w:cs="宋体"/>
          <w:spacing w:val="21"/>
        </w:rPr>
        <w:t xml:space="preserve"> </w:t>
      </w:r>
      <w:r>
        <w:rPr>
          <w:rFonts w:ascii="宋体" w:eastAsia="宋体" w:hAnsi="宋体" w:cs="宋体"/>
          <w:spacing w:val="-4"/>
        </w:rPr>
        <w:t>亮氨酸</w:t>
      </w:r>
      <w:r>
        <w:rPr>
          <w:rFonts w:ascii="宋体" w:eastAsia="宋体" w:hAnsi="宋体" w:cs="宋体"/>
        </w:rPr>
        <w:t xml:space="preserve"> </w:t>
      </w:r>
      <w:r>
        <w:rPr>
          <w:rFonts w:ascii="宋体" w:eastAsia="宋体" w:hAnsi="宋体" w:cs="宋体"/>
          <w:spacing w:val="-7"/>
        </w:rPr>
        <w:t>(</w:t>
      </w:r>
      <w:r>
        <w:rPr>
          <w:rFonts w:ascii="宋体" w:eastAsia="宋体" w:hAnsi="宋体" w:cs="宋体"/>
          <w:spacing w:val="-6"/>
        </w:rPr>
        <w:t>leucine</w:t>
      </w:r>
      <w:r>
        <w:rPr>
          <w:rFonts w:ascii="宋体" w:eastAsia="宋体" w:hAnsi="宋体" w:cs="宋体"/>
          <w:spacing w:val="-7"/>
        </w:rPr>
        <w:t>,</w:t>
      </w:r>
      <w:r>
        <w:rPr>
          <w:rFonts w:ascii="宋体" w:eastAsia="宋体" w:hAnsi="宋体" w:cs="宋体"/>
          <w:spacing w:val="-6"/>
        </w:rPr>
        <w:t>Leu</w:t>
      </w:r>
      <w:r>
        <w:rPr>
          <w:rFonts w:ascii="宋体" w:eastAsia="宋体" w:hAnsi="宋体" w:cs="宋体"/>
          <w:spacing w:val="-7"/>
        </w:rPr>
        <w:t>)、</w:t>
      </w:r>
      <w:r>
        <w:rPr>
          <w:rFonts w:ascii="宋体" w:eastAsia="宋体" w:hAnsi="宋体" w:cs="宋体"/>
          <w:spacing w:val="10"/>
        </w:rPr>
        <w:t xml:space="preserve"> </w:t>
      </w:r>
      <w:r>
        <w:rPr>
          <w:rFonts w:ascii="宋体" w:eastAsia="宋体" w:hAnsi="宋体" w:cs="宋体"/>
          <w:spacing w:val="-7"/>
        </w:rPr>
        <w:t>赖氨酸</w:t>
      </w:r>
      <w:r>
        <w:rPr>
          <w:rFonts w:ascii="宋体" w:eastAsia="宋体" w:hAnsi="宋体" w:cs="宋体"/>
          <w:spacing w:val="-14"/>
        </w:rPr>
        <w:t xml:space="preserve"> </w:t>
      </w:r>
      <w:r>
        <w:rPr>
          <w:rFonts w:ascii="宋体" w:eastAsia="宋体" w:hAnsi="宋体" w:cs="宋体"/>
          <w:spacing w:val="-7"/>
        </w:rPr>
        <w:t>(</w:t>
      </w:r>
      <w:r>
        <w:rPr>
          <w:rFonts w:ascii="宋体" w:eastAsia="宋体" w:hAnsi="宋体" w:cs="宋体"/>
          <w:spacing w:val="-6"/>
        </w:rPr>
        <w:t>lysine</w:t>
      </w:r>
      <w:r>
        <w:rPr>
          <w:rFonts w:ascii="宋体" w:eastAsia="宋体" w:hAnsi="宋体" w:cs="宋体"/>
          <w:spacing w:val="-7"/>
        </w:rPr>
        <w:t>,</w:t>
      </w:r>
      <w:r>
        <w:rPr>
          <w:rFonts w:ascii="宋体" w:eastAsia="宋体" w:hAnsi="宋体" w:cs="宋体"/>
          <w:spacing w:val="-6"/>
        </w:rPr>
        <w:t>Lys</w:t>
      </w:r>
      <w:r>
        <w:rPr>
          <w:rFonts w:ascii="宋体" w:eastAsia="宋体" w:hAnsi="宋体" w:cs="宋体"/>
          <w:spacing w:val="64"/>
        </w:rPr>
        <w:t xml:space="preserve"> </w:t>
      </w:r>
      <w:r>
        <w:rPr>
          <w:rFonts w:ascii="宋体" w:eastAsia="宋体" w:hAnsi="宋体" w:cs="宋体"/>
          <w:spacing w:val="-7"/>
        </w:rPr>
        <w:t>)、蛋氨酸</w:t>
      </w:r>
      <w:r>
        <w:rPr>
          <w:rFonts w:ascii="宋体" w:eastAsia="宋体" w:hAnsi="宋体" w:cs="宋体"/>
          <w:spacing w:val="-4"/>
        </w:rPr>
        <w:t xml:space="preserve"> </w:t>
      </w:r>
      <w:r>
        <w:rPr>
          <w:rFonts w:ascii="宋体" w:eastAsia="宋体" w:hAnsi="宋体" w:cs="宋体"/>
          <w:spacing w:val="-7"/>
        </w:rPr>
        <w:t>(</w:t>
      </w:r>
      <w:r>
        <w:rPr>
          <w:rFonts w:ascii="宋体" w:eastAsia="宋体" w:hAnsi="宋体" w:cs="宋体"/>
          <w:spacing w:val="-6"/>
        </w:rPr>
        <w:t>methionine</w:t>
      </w:r>
      <w:r>
        <w:rPr>
          <w:rFonts w:ascii="宋体" w:eastAsia="宋体" w:hAnsi="宋体" w:cs="宋体"/>
          <w:spacing w:val="-7"/>
        </w:rPr>
        <w:t>,Met)、</w:t>
      </w:r>
      <w:r>
        <w:rPr>
          <w:rFonts w:ascii="宋体" w:eastAsia="宋体" w:hAnsi="宋体" w:cs="宋体"/>
          <w:spacing w:val="30"/>
        </w:rPr>
        <w:t xml:space="preserve">  </w:t>
      </w:r>
      <w:r>
        <w:rPr>
          <w:rFonts w:ascii="宋体" w:eastAsia="宋体" w:hAnsi="宋体" w:cs="宋体"/>
          <w:spacing w:val="-7"/>
        </w:rPr>
        <w:t>异亮氨</w:t>
      </w:r>
      <w:r>
        <w:rPr>
          <w:rFonts w:ascii="宋体" w:eastAsia="宋体" w:hAnsi="宋体" w:cs="宋体"/>
          <w:spacing w:val="1"/>
        </w:rPr>
        <w:t xml:space="preserve"> </w:t>
      </w:r>
      <w:r>
        <w:rPr>
          <w:rFonts w:ascii="宋体" w:eastAsia="宋体" w:hAnsi="宋体" w:cs="宋体"/>
          <w:spacing w:val="-10"/>
        </w:rPr>
        <w:t>酸</w:t>
      </w:r>
      <w:r>
        <w:rPr>
          <w:rFonts w:ascii="宋体" w:eastAsia="宋体" w:hAnsi="宋体" w:cs="宋体"/>
          <w:spacing w:val="-6"/>
        </w:rPr>
        <w:t xml:space="preserve"> </w:t>
      </w:r>
      <w:r>
        <w:rPr>
          <w:rFonts w:ascii="宋体" w:eastAsia="宋体" w:hAnsi="宋体" w:cs="宋体"/>
          <w:spacing w:val="-11"/>
        </w:rPr>
        <w:t>(</w:t>
      </w:r>
      <w:r>
        <w:rPr>
          <w:rFonts w:ascii="宋体" w:eastAsia="宋体" w:hAnsi="宋体" w:cs="宋体"/>
          <w:spacing w:val="-10"/>
        </w:rPr>
        <w:t>isoleucine</w:t>
      </w:r>
      <w:r>
        <w:rPr>
          <w:rFonts w:ascii="宋体" w:eastAsia="宋体" w:hAnsi="宋体" w:cs="宋体"/>
          <w:spacing w:val="-11"/>
        </w:rPr>
        <w:t>,</w:t>
      </w:r>
      <w:r>
        <w:rPr>
          <w:rFonts w:ascii="宋体" w:eastAsia="宋体" w:hAnsi="宋体" w:cs="宋体"/>
          <w:spacing w:val="-10"/>
        </w:rPr>
        <w:t>lle</w:t>
      </w:r>
      <w:r>
        <w:rPr>
          <w:rFonts w:ascii="宋体" w:eastAsia="宋体" w:hAnsi="宋体" w:cs="宋体"/>
          <w:spacing w:val="-11"/>
        </w:rPr>
        <w:t>)、</w:t>
      </w:r>
      <w:r>
        <w:rPr>
          <w:rFonts w:ascii="宋体" w:eastAsia="宋体" w:hAnsi="宋体" w:cs="宋体"/>
          <w:spacing w:val="-29"/>
        </w:rPr>
        <w:t xml:space="preserve"> </w:t>
      </w:r>
      <w:r>
        <w:rPr>
          <w:rFonts w:ascii="宋体" w:eastAsia="宋体" w:hAnsi="宋体" w:cs="宋体"/>
          <w:spacing w:val="-11"/>
        </w:rPr>
        <w:t>缬氨酸</w:t>
      </w:r>
      <w:r>
        <w:rPr>
          <w:rFonts w:ascii="宋体" w:eastAsia="宋体" w:hAnsi="宋体" w:cs="宋体"/>
          <w:spacing w:val="-14"/>
        </w:rPr>
        <w:t xml:space="preserve"> </w:t>
      </w:r>
      <w:r>
        <w:rPr>
          <w:rFonts w:ascii="宋体" w:eastAsia="宋体" w:hAnsi="宋体" w:cs="宋体"/>
          <w:spacing w:val="-11"/>
        </w:rPr>
        <w:t>(</w:t>
      </w:r>
      <w:r>
        <w:rPr>
          <w:rFonts w:ascii="宋体" w:eastAsia="宋体" w:hAnsi="宋体" w:cs="宋体"/>
          <w:spacing w:val="-10"/>
        </w:rPr>
        <w:t>valine</w:t>
      </w:r>
      <w:r>
        <w:rPr>
          <w:rFonts w:ascii="宋体" w:eastAsia="宋体" w:hAnsi="宋体" w:cs="宋体"/>
          <w:spacing w:val="-11"/>
        </w:rPr>
        <w:t>,</w:t>
      </w:r>
      <w:r>
        <w:rPr>
          <w:rFonts w:ascii="宋体" w:eastAsia="宋体" w:hAnsi="宋体" w:cs="宋体"/>
          <w:spacing w:val="-10"/>
        </w:rPr>
        <w:t>Val</w:t>
      </w:r>
      <w:r>
        <w:rPr>
          <w:rFonts w:ascii="宋体" w:eastAsia="宋体" w:hAnsi="宋体" w:cs="宋体"/>
          <w:spacing w:val="-11"/>
        </w:rPr>
        <w:t>)、</w:t>
      </w:r>
      <w:r>
        <w:rPr>
          <w:rFonts w:ascii="宋体" w:eastAsia="宋体" w:hAnsi="宋体" w:cs="宋体"/>
          <w:spacing w:val="75"/>
        </w:rPr>
        <w:t xml:space="preserve"> </w:t>
      </w:r>
      <w:r>
        <w:rPr>
          <w:rFonts w:ascii="宋体" w:eastAsia="宋体" w:hAnsi="宋体" w:cs="宋体"/>
          <w:spacing w:val="-11"/>
        </w:rPr>
        <w:t>苏氨酸</w:t>
      </w:r>
      <w:r>
        <w:rPr>
          <w:rFonts w:ascii="宋体" w:eastAsia="宋体" w:hAnsi="宋体" w:cs="宋体"/>
          <w:spacing w:val="-24"/>
        </w:rPr>
        <w:t xml:space="preserve"> </w:t>
      </w:r>
      <w:r>
        <w:rPr>
          <w:rFonts w:ascii="宋体" w:eastAsia="宋体" w:hAnsi="宋体" w:cs="宋体"/>
          <w:spacing w:val="-11"/>
        </w:rPr>
        <w:t>(</w:t>
      </w:r>
      <w:r>
        <w:rPr>
          <w:rFonts w:ascii="宋体" w:eastAsia="宋体" w:hAnsi="宋体" w:cs="宋体"/>
          <w:spacing w:val="-10"/>
        </w:rPr>
        <w:t>threonine</w:t>
      </w:r>
      <w:r>
        <w:rPr>
          <w:rFonts w:ascii="宋体" w:eastAsia="宋体" w:hAnsi="宋体" w:cs="宋体"/>
          <w:spacing w:val="-11"/>
        </w:rPr>
        <w:t>,</w:t>
      </w:r>
      <w:r>
        <w:rPr>
          <w:rFonts w:ascii="宋体" w:eastAsia="宋体" w:hAnsi="宋体" w:cs="宋体"/>
          <w:spacing w:val="-10"/>
        </w:rPr>
        <w:t>Thr</w:t>
      </w:r>
      <w:r>
        <w:rPr>
          <w:rFonts w:ascii="宋体" w:eastAsia="宋体" w:hAnsi="宋体" w:cs="宋体"/>
          <w:spacing w:val="-11"/>
        </w:rPr>
        <w:t>)、</w:t>
      </w:r>
      <w:r>
        <w:rPr>
          <w:rFonts w:ascii="宋体" w:eastAsia="宋体" w:hAnsi="宋体" w:cs="宋体"/>
          <w:spacing w:val="13"/>
        </w:rPr>
        <w:t xml:space="preserve">  </w:t>
      </w:r>
      <w:r>
        <w:rPr>
          <w:rFonts w:ascii="宋体" w:eastAsia="宋体" w:hAnsi="宋体" w:cs="宋体"/>
          <w:spacing w:val="-11"/>
        </w:rPr>
        <w:t>色氨</w:t>
      </w:r>
      <w:r>
        <w:rPr>
          <w:rFonts w:ascii="宋体" w:eastAsia="宋体" w:hAnsi="宋体" w:cs="宋体"/>
        </w:rPr>
        <w:t xml:space="preserve"> </w:t>
      </w:r>
      <w:r>
        <w:rPr>
          <w:rFonts w:ascii="宋体" w:eastAsia="宋体" w:hAnsi="宋体" w:cs="宋体"/>
          <w:spacing w:val="1"/>
        </w:rPr>
        <w:t>酸</w:t>
      </w:r>
      <w:r>
        <w:rPr>
          <w:rFonts w:ascii="宋体" w:eastAsia="宋体" w:hAnsi="宋体" w:cs="宋体"/>
          <w:spacing w:val="8"/>
        </w:rPr>
        <w:t xml:space="preserve"> </w:t>
      </w:r>
      <w:r>
        <w:rPr>
          <w:rFonts w:ascii="宋体" w:eastAsia="宋体" w:hAnsi="宋体" w:cs="宋体"/>
          <w:spacing w:val="1"/>
        </w:rPr>
        <w:t>(</w:t>
      </w:r>
      <w:r>
        <w:rPr>
          <w:rFonts w:ascii="宋体" w:eastAsia="宋体" w:hAnsi="宋体" w:cs="宋体"/>
        </w:rPr>
        <w:t>tryptophan</w:t>
      </w:r>
      <w:r>
        <w:rPr>
          <w:rFonts w:ascii="宋体" w:eastAsia="宋体" w:hAnsi="宋体" w:cs="宋体"/>
          <w:spacing w:val="1"/>
        </w:rPr>
        <w:t>,</w:t>
      </w:r>
      <w:r>
        <w:rPr>
          <w:rFonts w:ascii="宋体" w:eastAsia="宋体" w:hAnsi="宋体" w:cs="宋体"/>
        </w:rPr>
        <w:t>Trp</w:t>
      </w:r>
      <w:r>
        <w:rPr>
          <w:rFonts w:ascii="宋体" w:eastAsia="宋体" w:hAnsi="宋体" w:cs="宋体"/>
          <w:spacing w:val="1"/>
        </w:rPr>
        <w:t>),</w:t>
      </w:r>
      <w:r>
        <w:rPr>
          <w:rFonts w:ascii="宋体" w:eastAsia="宋体" w:hAnsi="宋体" w:cs="宋体"/>
          <w:spacing w:val="95"/>
        </w:rPr>
        <w:t xml:space="preserve"> </w:t>
      </w:r>
      <w:r>
        <w:rPr>
          <w:rFonts w:ascii="宋体" w:eastAsia="宋体" w:hAnsi="宋体" w:cs="宋体"/>
          <w:spacing w:val="1"/>
        </w:rPr>
        <w:t>另外组氨酸</w:t>
      </w:r>
      <w:r>
        <w:rPr>
          <w:rFonts w:ascii="宋体" w:eastAsia="宋体" w:hAnsi="宋体" w:cs="宋体"/>
          <w:spacing w:val="-14"/>
        </w:rPr>
        <w:t xml:space="preserve"> </w:t>
      </w:r>
      <w:r>
        <w:rPr>
          <w:rFonts w:ascii="宋体" w:eastAsia="宋体" w:hAnsi="宋体" w:cs="宋体"/>
          <w:spacing w:val="1"/>
        </w:rPr>
        <w:t>(</w:t>
      </w:r>
      <w:r>
        <w:rPr>
          <w:rFonts w:ascii="宋体" w:eastAsia="宋体" w:hAnsi="宋体" w:cs="宋体"/>
        </w:rPr>
        <w:t>histidine</w:t>
      </w:r>
      <w:r>
        <w:rPr>
          <w:rFonts w:ascii="宋体" w:eastAsia="宋体" w:hAnsi="宋体" w:cs="宋体"/>
          <w:spacing w:val="1"/>
        </w:rPr>
        <w:t>,</w:t>
      </w:r>
      <w:r>
        <w:rPr>
          <w:rFonts w:ascii="宋体" w:eastAsia="宋体" w:hAnsi="宋体" w:cs="宋体"/>
        </w:rPr>
        <w:t>His</w:t>
      </w:r>
      <w:r>
        <w:rPr>
          <w:rFonts w:ascii="宋体" w:eastAsia="宋体" w:hAnsi="宋体" w:cs="宋体"/>
          <w:spacing w:val="1"/>
        </w:rPr>
        <w:t>)</w:t>
      </w:r>
      <w:r>
        <w:rPr>
          <w:rFonts w:ascii="宋体" w:eastAsia="宋体" w:hAnsi="宋体" w:cs="宋体"/>
          <w:spacing w:val="-24"/>
        </w:rPr>
        <w:t xml:space="preserve"> </w:t>
      </w:r>
      <w:r>
        <w:rPr>
          <w:rFonts w:ascii="宋体" w:eastAsia="宋体" w:hAnsi="宋体" w:cs="宋体"/>
          <w:spacing w:val="1"/>
        </w:rPr>
        <w:t>是婴儿体内的必需氨基</w:t>
      </w:r>
      <w:r>
        <w:rPr>
          <w:rFonts w:ascii="宋体" w:eastAsia="宋体" w:hAnsi="宋体" w:cs="宋体"/>
        </w:rPr>
        <w:t xml:space="preserve"> </w:t>
      </w:r>
      <w:r>
        <w:rPr>
          <w:rFonts w:ascii="宋体" w:eastAsia="宋体" w:hAnsi="宋体" w:cs="宋体"/>
          <w:spacing w:val="-4"/>
        </w:rPr>
        <w:t>酸。人体每千克体重每日氨基酸需要量估计值见表3-14。</w:t>
      </w:r>
    </w:p>
    <w:p w:rsidR="00EA40A3" w:rsidRDefault="00EA40A3">
      <w:pPr>
        <w:sectPr w:rsidR="00EA40A3">
          <w:footerReference w:type="default" r:id="rId56"/>
          <w:pgSz w:w="9220" w:h="13360"/>
          <w:pgMar w:top="400" w:right="914" w:bottom="1280" w:left="959" w:header="0" w:footer="1007" w:gutter="0"/>
          <w:cols w:space="720"/>
        </w:sectPr>
      </w:pPr>
    </w:p>
    <w:p w:rsidR="00EA40A3" w:rsidRDefault="00EA40A3">
      <w:pPr>
        <w:spacing w:line="274" w:lineRule="auto"/>
      </w:pPr>
    </w:p>
    <w:p w:rsidR="00EA40A3" w:rsidRDefault="00EA40A3">
      <w:pPr>
        <w:spacing w:line="275" w:lineRule="auto"/>
      </w:pPr>
    </w:p>
    <w:p w:rsidR="00EA40A3" w:rsidRDefault="00E86C16">
      <w:pPr>
        <w:spacing w:before="69" w:line="214" w:lineRule="auto"/>
        <w:ind w:left="1822"/>
        <w:rPr>
          <w:rFonts w:ascii="宋体" w:eastAsia="宋体" w:hAnsi="宋体" w:cs="宋体"/>
        </w:rPr>
      </w:pPr>
      <w:r>
        <w:rPr>
          <w:rFonts w:ascii="黑体" w:eastAsia="黑体" w:hAnsi="黑体" w:cs="黑体"/>
          <w:b/>
          <w:bCs/>
          <w:spacing w:val="-6"/>
          <w:sz w:val="18"/>
          <w:szCs w:val="18"/>
        </w:rPr>
        <w:t>表3-14</w:t>
      </w:r>
      <w:r>
        <w:rPr>
          <w:rFonts w:ascii="黑体" w:eastAsia="黑体" w:hAnsi="黑体" w:cs="黑体"/>
          <w:spacing w:val="79"/>
          <w:sz w:val="18"/>
          <w:szCs w:val="18"/>
        </w:rPr>
        <w:t xml:space="preserve"> </w:t>
      </w:r>
      <w:r>
        <w:rPr>
          <w:rFonts w:ascii="黑体" w:eastAsia="黑体" w:hAnsi="黑体" w:cs="黑体"/>
          <w:b/>
          <w:bCs/>
          <w:spacing w:val="-6"/>
          <w:sz w:val="18"/>
          <w:szCs w:val="18"/>
        </w:rPr>
        <w:t>人体每公斤体重每日氨基酸需要量估计值</w:t>
      </w:r>
      <w:r>
        <w:rPr>
          <w:rFonts w:ascii="黑体" w:eastAsia="黑体" w:hAnsi="黑体" w:cs="黑体"/>
          <w:spacing w:val="29"/>
          <w:sz w:val="18"/>
          <w:szCs w:val="18"/>
        </w:rPr>
        <w:t xml:space="preserve">   </w:t>
      </w:r>
      <w:r>
        <w:rPr>
          <w:rFonts w:ascii="宋体" w:eastAsia="宋体" w:hAnsi="宋体" w:cs="宋体"/>
          <w:spacing w:val="-6"/>
          <w:position w:val="-1"/>
        </w:rPr>
        <w:t>(单位：mg)</w:t>
      </w:r>
    </w:p>
    <w:p w:rsidR="00EA40A3" w:rsidRDefault="00EA40A3">
      <w:pPr>
        <w:spacing w:line="20" w:lineRule="exact"/>
      </w:pPr>
    </w:p>
    <w:tbl>
      <w:tblPr>
        <w:tblStyle w:val="TableNormal"/>
        <w:tblW w:w="7350" w:type="dxa"/>
        <w:tblInd w:w="8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492"/>
        <w:gridCol w:w="1015"/>
        <w:gridCol w:w="1308"/>
        <w:gridCol w:w="1935"/>
        <w:gridCol w:w="1600"/>
      </w:tblGrid>
      <w:tr w:rsidR="00EA40A3">
        <w:trPr>
          <w:trHeight w:val="334"/>
        </w:trPr>
        <w:tc>
          <w:tcPr>
            <w:tcW w:w="1492" w:type="dxa"/>
            <w:tcBorders>
              <w:top w:val="single" w:sz="4" w:space="0" w:color="000000"/>
              <w:bottom w:val="single" w:sz="4" w:space="0" w:color="000000"/>
            </w:tcBorders>
          </w:tcPr>
          <w:p w:rsidR="00EA40A3" w:rsidRDefault="00E86C16">
            <w:pPr>
              <w:spacing w:before="142" w:line="220" w:lineRule="auto"/>
              <w:ind w:left="479"/>
              <w:rPr>
                <w:rFonts w:ascii="宋体" w:eastAsia="宋体" w:hAnsi="宋体" w:cs="宋体"/>
                <w:sz w:val="16"/>
                <w:szCs w:val="16"/>
              </w:rPr>
            </w:pPr>
            <w:r>
              <w:rPr>
                <w:rFonts w:ascii="宋体" w:eastAsia="宋体" w:hAnsi="宋体" w:cs="宋体"/>
                <w:spacing w:val="-2"/>
                <w:sz w:val="16"/>
                <w:szCs w:val="16"/>
              </w:rPr>
              <w:t>氨基酸</w:t>
            </w:r>
          </w:p>
        </w:tc>
        <w:tc>
          <w:tcPr>
            <w:tcW w:w="1015" w:type="dxa"/>
            <w:tcBorders>
              <w:top w:val="single" w:sz="4" w:space="0" w:color="000000"/>
              <w:bottom w:val="single" w:sz="4" w:space="0" w:color="000000"/>
            </w:tcBorders>
          </w:tcPr>
          <w:p w:rsidR="00EA40A3" w:rsidRDefault="00E86C16">
            <w:pPr>
              <w:spacing w:before="131" w:line="219" w:lineRule="auto"/>
              <w:ind w:left="387"/>
              <w:rPr>
                <w:rFonts w:ascii="宋体" w:eastAsia="宋体" w:hAnsi="宋体" w:cs="宋体"/>
                <w:sz w:val="16"/>
                <w:szCs w:val="16"/>
              </w:rPr>
            </w:pPr>
            <w:r>
              <w:rPr>
                <w:rFonts w:ascii="宋体" w:eastAsia="宋体" w:hAnsi="宋体" w:cs="宋体"/>
                <w:spacing w:val="-3"/>
                <w:sz w:val="16"/>
                <w:szCs w:val="16"/>
              </w:rPr>
              <w:t>婴儿</w:t>
            </w:r>
          </w:p>
        </w:tc>
        <w:tc>
          <w:tcPr>
            <w:tcW w:w="1308" w:type="dxa"/>
            <w:tcBorders>
              <w:top w:val="single" w:sz="4" w:space="0" w:color="000000"/>
              <w:bottom w:val="single" w:sz="4" w:space="0" w:color="000000"/>
            </w:tcBorders>
          </w:tcPr>
          <w:p w:rsidR="00EA40A3" w:rsidRDefault="00E86C16">
            <w:pPr>
              <w:spacing w:before="91" w:line="219" w:lineRule="auto"/>
              <w:ind w:left="322"/>
              <w:rPr>
                <w:rFonts w:ascii="宋体" w:eastAsia="宋体" w:hAnsi="宋体" w:cs="宋体"/>
                <w:sz w:val="16"/>
                <w:szCs w:val="16"/>
              </w:rPr>
            </w:pPr>
            <w:r>
              <w:rPr>
                <w:rFonts w:ascii="宋体" w:eastAsia="宋体" w:hAnsi="宋体" w:cs="宋体"/>
                <w:spacing w:val="5"/>
                <w:sz w:val="16"/>
                <w:szCs w:val="16"/>
              </w:rPr>
              <w:t>幼儿(2岁)</w:t>
            </w:r>
          </w:p>
        </w:tc>
        <w:tc>
          <w:tcPr>
            <w:tcW w:w="1935" w:type="dxa"/>
            <w:tcBorders>
              <w:top w:val="single" w:sz="4" w:space="0" w:color="000000"/>
              <w:bottom w:val="single" w:sz="4" w:space="0" w:color="000000"/>
            </w:tcBorders>
          </w:tcPr>
          <w:p w:rsidR="00EA40A3" w:rsidRDefault="00E86C16">
            <w:pPr>
              <w:spacing w:before="91" w:line="219" w:lineRule="auto"/>
              <w:ind w:left="264"/>
              <w:rPr>
                <w:rFonts w:ascii="宋体" w:eastAsia="宋体" w:hAnsi="宋体" w:cs="宋体"/>
                <w:sz w:val="16"/>
                <w:szCs w:val="16"/>
              </w:rPr>
            </w:pPr>
            <w:r>
              <w:rPr>
                <w:rFonts w:ascii="宋体" w:eastAsia="宋体" w:hAnsi="宋体" w:cs="宋体"/>
                <w:spacing w:val="3"/>
                <w:sz w:val="16"/>
                <w:szCs w:val="16"/>
              </w:rPr>
              <w:t>儿童(10～12岁)</w:t>
            </w:r>
          </w:p>
        </w:tc>
        <w:tc>
          <w:tcPr>
            <w:tcW w:w="1600" w:type="dxa"/>
            <w:tcBorders>
              <w:top w:val="single" w:sz="4" w:space="0" w:color="000000"/>
              <w:bottom w:val="single" w:sz="4" w:space="0" w:color="000000"/>
            </w:tcBorders>
          </w:tcPr>
          <w:p w:rsidR="00EA40A3" w:rsidRDefault="00E86C16">
            <w:pPr>
              <w:spacing w:before="92" w:line="221" w:lineRule="auto"/>
              <w:ind w:left="549"/>
              <w:rPr>
                <w:rFonts w:ascii="宋体" w:eastAsia="宋体" w:hAnsi="宋体" w:cs="宋体"/>
                <w:sz w:val="16"/>
                <w:szCs w:val="16"/>
              </w:rPr>
            </w:pPr>
            <w:r>
              <w:rPr>
                <w:rFonts w:ascii="宋体" w:eastAsia="宋体" w:hAnsi="宋体" w:cs="宋体"/>
                <w:spacing w:val="-2"/>
                <w:sz w:val="16"/>
                <w:szCs w:val="16"/>
              </w:rPr>
              <w:t>成人</w:t>
            </w:r>
          </w:p>
        </w:tc>
      </w:tr>
      <w:tr w:rsidR="00EA40A3">
        <w:trPr>
          <w:trHeight w:val="264"/>
        </w:trPr>
        <w:tc>
          <w:tcPr>
            <w:tcW w:w="1492" w:type="dxa"/>
            <w:tcBorders>
              <w:top w:val="single" w:sz="4" w:space="0" w:color="000000"/>
            </w:tcBorders>
          </w:tcPr>
          <w:p w:rsidR="00EA40A3" w:rsidRDefault="00E86C16">
            <w:pPr>
              <w:spacing w:before="46" w:line="219" w:lineRule="auto"/>
              <w:ind w:left="159"/>
              <w:rPr>
                <w:rFonts w:ascii="宋体" w:eastAsia="宋体" w:hAnsi="宋体" w:cs="宋体"/>
                <w:sz w:val="16"/>
                <w:szCs w:val="16"/>
              </w:rPr>
            </w:pPr>
            <w:r>
              <w:rPr>
                <w:rFonts w:ascii="宋体" w:eastAsia="宋体" w:hAnsi="宋体" w:cs="宋体"/>
                <w:spacing w:val="-1"/>
                <w:sz w:val="16"/>
                <w:szCs w:val="16"/>
              </w:rPr>
              <w:t>苯丙(酪)氨酸</w:t>
            </w:r>
          </w:p>
        </w:tc>
        <w:tc>
          <w:tcPr>
            <w:tcW w:w="1015" w:type="dxa"/>
            <w:tcBorders>
              <w:top w:val="single" w:sz="4" w:space="0" w:color="000000"/>
            </w:tcBorders>
          </w:tcPr>
          <w:p w:rsidR="00EA40A3" w:rsidRDefault="00E86C16">
            <w:pPr>
              <w:spacing w:before="87" w:line="184" w:lineRule="auto"/>
              <w:ind w:left="467"/>
              <w:rPr>
                <w:rFonts w:ascii="宋体" w:eastAsia="宋体" w:hAnsi="宋体" w:cs="宋体"/>
                <w:sz w:val="16"/>
                <w:szCs w:val="16"/>
              </w:rPr>
            </w:pPr>
            <w:r>
              <w:rPr>
                <w:rFonts w:ascii="宋体" w:eastAsia="宋体" w:hAnsi="宋体" w:cs="宋体"/>
                <w:spacing w:val="-5"/>
                <w:sz w:val="16"/>
                <w:szCs w:val="16"/>
              </w:rPr>
              <w:t>125</w:t>
            </w:r>
          </w:p>
        </w:tc>
        <w:tc>
          <w:tcPr>
            <w:tcW w:w="1308" w:type="dxa"/>
            <w:tcBorders>
              <w:top w:val="single" w:sz="4" w:space="0" w:color="000000"/>
            </w:tcBorders>
          </w:tcPr>
          <w:p w:rsidR="00EA40A3" w:rsidRDefault="00E86C16">
            <w:pPr>
              <w:spacing w:before="88" w:line="183" w:lineRule="auto"/>
              <w:ind w:left="602"/>
              <w:rPr>
                <w:rFonts w:ascii="宋体" w:eastAsia="宋体" w:hAnsi="宋体" w:cs="宋体"/>
                <w:sz w:val="16"/>
                <w:szCs w:val="16"/>
              </w:rPr>
            </w:pPr>
            <w:r>
              <w:rPr>
                <w:rFonts w:ascii="宋体" w:eastAsia="宋体" w:hAnsi="宋体" w:cs="宋体"/>
                <w:spacing w:val="-2"/>
                <w:sz w:val="16"/>
                <w:szCs w:val="16"/>
              </w:rPr>
              <w:t>69</w:t>
            </w:r>
          </w:p>
        </w:tc>
        <w:tc>
          <w:tcPr>
            <w:tcW w:w="1935" w:type="dxa"/>
            <w:tcBorders>
              <w:top w:val="single" w:sz="4" w:space="0" w:color="000000"/>
            </w:tcBorders>
          </w:tcPr>
          <w:p w:rsidR="00EA40A3" w:rsidRDefault="00E86C16">
            <w:pPr>
              <w:spacing w:before="88" w:line="183" w:lineRule="auto"/>
              <w:ind w:left="724"/>
              <w:rPr>
                <w:rFonts w:ascii="宋体" w:eastAsia="宋体" w:hAnsi="宋体" w:cs="宋体"/>
                <w:sz w:val="16"/>
                <w:szCs w:val="16"/>
              </w:rPr>
            </w:pPr>
            <w:r>
              <w:rPr>
                <w:rFonts w:ascii="宋体" w:eastAsia="宋体" w:hAnsi="宋体" w:cs="宋体"/>
                <w:spacing w:val="-3"/>
                <w:sz w:val="16"/>
                <w:szCs w:val="16"/>
              </w:rPr>
              <w:t>27</w:t>
            </w:r>
          </w:p>
        </w:tc>
        <w:tc>
          <w:tcPr>
            <w:tcW w:w="1600" w:type="dxa"/>
            <w:tcBorders>
              <w:top w:val="single" w:sz="4" w:space="0" w:color="000000"/>
            </w:tcBorders>
          </w:tcPr>
          <w:p w:rsidR="00EA40A3" w:rsidRDefault="00E86C16">
            <w:pPr>
              <w:spacing w:before="87" w:line="184" w:lineRule="auto"/>
              <w:ind w:left="549"/>
              <w:rPr>
                <w:rFonts w:ascii="宋体" w:eastAsia="宋体" w:hAnsi="宋体" w:cs="宋体"/>
                <w:sz w:val="16"/>
                <w:szCs w:val="16"/>
              </w:rPr>
            </w:pPr>
            <w:r>
              <w:rPr>
                <w:rFonts w:ascii="宋体" w:eastAsia="宋体" w:hAnsi="宋体" w:cs="宋体"/>
                <w:spacing w:val="-5"/>
                <w:sz w:val="16"/>
                <w:szCs w:val="16"/>
              </w:rPr>
              <w:t>14</w:t>
            </w:r>
          </w:p>
        </w:tc>
      </w:tr>
      <w:tr w:rsidR="00EA40A3">
        <w:trPr>
          <w:trHeight w:val="259"/>
        </w:trPr>
        <w:tc>
          <w:tcPr>
            <w:tcW w:w="1492" w:type="dxa"/>
          </w:tcPr>
          <w:p w:rsidR="00EA40A3" w:rsidRDefault="00E86C16">
            <w:pPr>
              <w:spacing w:before="63" w:line="219" w:lineRule="auto"/>
              <w:ind w:left="159"/>
              <w:rPr>
                <w:rFonts w:ascii="宋体" w:eastAsia="宋体" w:hAnsi="宋体" w:cs="宋体"/>
                <w:sz w:val="16"/>
                <w:szCs w:val="16"/>
              </w:rPr>
            </w:pPr>
            <w:r>
              <w:rPr>
                <w:rFonts w:ascii="宋体" w:eastAsia="宋体" w:hAnsi="宋体" w:cs="宋体"/>
                <w:spacing w:val="-2"/>
                <w:sz w:val="16"/>
                <w:szCs w:val="16"/>
              </w:rPr>
              <w:t>亮氨酸</w:t>
            </w:r>
          </w:p>
        </w:tc>
        <w:tc>
          <w:tcPr>
            <w:tcW w:w="1015" w:type="dxa"/>
          </w:tcPr>
          <w:p w:rsidR="00EA40A3" w:rsidRDefault="00E86C16">
            <w:pPr>
              <w:spacing w:before="93" w:line="184" w:lineRule="auto"/>
              <w:ind w:left="467"/>
              <w:rPr>
                <w:rFonts w:ascii="宋体" w:eastAsia="宋体" w:hAnsi="宋体" w:cs="宋体"/>
                <w:sz w:val="16"/>
                <w:szCs w:val="16"/>
              </w:rPr>
            </w:pPr>
            <w:r>
              <w:rPr>
                <w:rFonts w:ascii="宋体" w:eastAsia="宋体" w:hAnsi="宋体" w:cs="宋体"/>
                <w:spacing w:val="-5"/>
                <w:sz w:val="16"/>
                <w:szCs w:val="16"/>
              </w:rPr>
              <w:t>161</w:t>
            </w:r>
          </w:p>
        </w:tc>
        <w:tc>
          <w:tcPr>
            <w:tcW w:w="1308" w:type="dxa"/>
          </w:tcPr>
          <w:p w:rsidR="00EA40A3" w:rsidRDefault="00E86C16">
            <w:pPr>
              <w:spacing w:before="94" w:line="183" w:lineRule="auto"/>
              <w:ind w:left="602"/>
              <w:rPr>
                <w:rFonts w:ascii="宋体" w:eastAsia="宋体" w:hAnsi="宋体" w:cs="宋体"/>
                <w:sz w:val="16"/>
                <w:szCs w:val="16"/>
              </w:rPr>
            </w:pPr>
            <w:r>
              <w:rPr>
                <w:rFonts w:ascii="宋体" w:eastAsia="宋体" w:hAnsi="宋体" w:cs="宋体"/>
                <w:spacing w:val="-3"/>
                <w:sz w:val="16"/>
                <w:szCs w:val="16"/>
              </w:rPr>
              <w:t>73</w:t>
            </w:r>
          </w:p>
        </w:tc>
        <w:tc>
          <w:tcPr>
            <w:tcW w:w="1935" w:type="dxa"/>
          </w:tcPr>
          <w:p w:rsidR="00EA40A3" w:rsidRDefault="00E86C16">
            <w:pPr>
              <w:spacing w:before="84" w:line="183" w:lineRule="auto"/>
              <w:ind w:left="724"/>
              <w:rPr>
                <w:rFonts w:ascii="宋体" w:eastAsia="宋体" w:hAnsi="宋体" w:cs="宋体"/>
                <w:sz w:val="16"/>
                <w:szCs w:val="16"/>
              </w:rPr>
            </w:pPr>
            <w:r>
              <w:rPr>
                <w:rFonts w:ascii="宋体" w:eastAsia="宋体" w:hAnsi="宋体" w:cs="宋体"/>
                <w:spacing w:val="-2"/>
                <w:sz w:val="16"/>
                <w:szCs w:val="16"/>
              </w:rPr>
              <w:t>45</w:t>
            </w:r>
          </w:p>
        </w:tc>
        <w:tc>
          <w:tcPr>
            <w:tcW w:w="1600" w:type="dxa"/>
          </w:tcPr>
          <w:p w:rsidR="00EA40A3" w:rsidRDefault="00E86C16">
            <w:pPr>
              <w:spacing w:before="73" w:line="184" w:lineRule="auto"/>
              <w:ind w:left="549"/>
              <w:rPr>
                <w:rFonts w:ascii="宋体" w:eastAsia="宋体" w:hAnsi="宋体" w:cs="宋体"/>
                <w:sz w:val="16"/>
                <w:szCs w:val="16"/>
              </w:rPr>
            </w:pPr>
            <w:r>
              <w:rPr>
                <w:rFonts w:ascii="宋体" w:eastAsia="宋体" w:hAnsi="宋体" w:cs="宋体"/>
                <w:spacing w:val="-5"/>
                <w:sz w:val="16"/>
                <w:szCs w:val="16"/>
              </w:rPr>
              <w:t>14</w:t>
            </w:r>
          </w:p>
        </w:tc>
      </w:tr>
      <w:tr w:rsidR="00EA40A3">
        <w:trPr>
          <w:trHeight w:val="244"/>
        </w:trPr>
        <w:tc>
          <w:tcPr>
            <w:tcW w:w="1492" w:type="dxa"/>
          </w:tcPr>
          <w:p w:rsidR="00EA40A3" w:rsidRDefault="00E86C16">
            <w:pPr>
              <w:spacing w:before="45" w:line="220" w:lineRule="auto"/>
              <w:ind w:left="159"/>
              <w:rPr>
                <w:rFonts w:ascii="宋体" w:eastAsia="宋体" w:hAnsi="宋体" w:cs="宋体"/>
                <w:sz w:val="16"/>
                <w:szCs w:val="16"/>
              </w:rPr>
            </w:pPr>
            <w:r>
              <w:rPr>
                <w:rFonts w:ascii="宋体" w:eastAsia="宋体" w:hAnsi="宋体" w:cs="宋体"/>
                <w:spacing w:val="-2"/>
                <w:sz w:val="16"/>
                <w:szCs w:val="16"/>
              </w:rPr>
              <w:t>蛋(半胱)氨酸</w:t>
            </w:r>
          </w:p>
        </w:tc>
        <w:tc>
          <w:tcPr>
            <w:tcW w:w="1015" w:type="dxa"/>
          </w:tcPr>
          <w:p w:rsidR="00EA40A3" w:rsidRDefault="00E86C16">
            <w:pPr>
              <w:spacing w:before="75" w:line="183" w:lineRule="auto"/>
              <w:ind w:left="548"/>
              <w:rPr>
                <w:rFonts w:ascii="宋体" w:eastAsia="宋体" w:hAnsi="宋体" w:cs="宋体"/>
                <w:sz w:val="16"/>
                <w:szCs w:val="16"/>
              </w:rPr>
            </w:pPr>
            <w:r>
              <w:rPr>
                <w:rFonts w:ascii="宋体" w:eastAsia="宋体" w:hAnsi="宋体" w:cs="宋体"/>
                <w:spacing w:val="-3"/>
                <w:sz w:val="16"/>
                <w:szCs w:val="16"/>
              </w:rPr>
              <w:t>58</w:t>
            </w:r>
          </w:p>
        </w:tc>
        <w:tc>
          <w:tcPr>
            <w:tcW w:w="1308" w:type="dxa"/>
          </w:tcPr>
          <w:p w:rsidR="00EA40A3" w:rsidRDefault="00E86C16">
            <w:pPr>
              <w:spacing w:before="75" w:line="183" w:lineRule="auto"/>
              <w:ind w:left="602"/>
              <w:rPr>
                <w:rFonts w:ascii="宋体" w:eastAsia="宋体" w:hAnsi="宋体" w:cs="宋体"/>
                <w:sz w:val="16"/>
                <w:szCs w:val="16"/>
              </w:rPr>
            </w:pPr>
            <w:r>
              <w:rPr>
                <w:rFonts w:ascii="宋体" w:eastAsia="宋体" w:hAnsi="宋体" w:cs="宋体"/>
                <w:spacing w:val="-3"/>
                <w:sz w:val="16"/>
                <w:szCs w:val="16"/>
              </w:rPr>
              <w:t>27</w:t>
            </w:r>
          </w:p>
        </w:tc>
        <w:tc>
          <w:tcPr>
            <w:tcW w:w="1935" w:type="dxa"/>
          </w:tcPr>
          <w:p w:rsidR="00EA40A3" w:rsidRDefault="00E86C16">
            <w:pPr>
              <w:spacing w:before="65" w:line="183" w:lineRule="auto"/>
              <w:ind w:left="724"/>
              <w:rPr>
                <w:rFonts w:ascii="宋体" w:eastAsia="宋体" w:hAnsi="宋体" w:cs="宋体"/>
                <w:sz w:val="16"/>
                <w:szCs w:val="16"/>
              </w:rPr>
            </w:pPr>
            <w:r>
              <w:rPr>
                <w:rFonts w:ascii="宋体" w:eastAsia="宋体" w:hAnsi="宋体" w:cs="宋体"/>
                <w:spacing w:val="-3"/>
                <w:sz w:val="16"/>
                <w:szCs w:val="16"/>
              </w:rPr>
              <w:t>27</w:t>
            </w:r>
          </w:p>
        </w:tc>
        <w:tc>
          <w:tcPr>
            <w:tcW w:w="1600" w:type="dxa"/>
          </w:tcPr>
          <w:p w:rsidR="00EA40A3" w:rsidRDefault="00E86C16">
            <w:pPr>
              <w:spacing w:before="64" w:line="184" w:lineRule="auto"/>
              <w:ind w:left="549"/>
              <w:rPr>
                <w:rFonts w:ascii="宋体" w:eastAsia="宋体" w:hAnsi="宋体" w:cs="宋体"/>
                <w:sz w:val="16"/>
                <w:szCs w:val="16"/>
              </w:rPr>
            </w:pPr>
            <w:r>
              <w:rPr>
                <w:rFonts w:ascii="宋体" w:eastAsia="宋体" w:hAnsi="宋体" w:cs="宋体"/>
                <w:spacing w:val="-5"/>
                <w:sz w:val="16"/>
                <w:szCs w:val="16"/>
              </w:rPr>
              <w:t>13</w:t>
            </w:r>
          </w:p>
        </w:tc>
      </w:tr>
      <w:tr w:rsidR="00EA40A3">
        <w:trPr>
          <w:trHeight w:val="234"/>
        </w:trPr>
        <w:tc>
          <w:tcPr>
            <w:tcW w:w="1492" w:type="dxa"/>
          </w:tcPr>
          <w:p w:rsidR="00EA40A3" w:rsidRDefault="00E86C16">
            <w:pPr>
              <w:spacing w:before="50" w:line="212" w:lineRule="auto"/>
              <w:ind w:left="159"/>
              <w:rPr>
                <w:rFonts w:ascii="宋体" w:eastAsia="宋体" w:hAnsi="宋体" w:cs="宋体"/>
                <w:sz w:val="16"/>
                <w:szCs w:val="16"/>
              </w:rPr>
            </w:pPr>
            <w:r>
              <w:rPr>
                <w:rFonts w:ascii="宋体" w:eastAsia="宋体" w:hAnsi="宋体" w:cs="宋体"/>
                <w:spacing w:val="-2"/>
                <w:sz w:val="16"/>
                <w:szCs w:val="16"/>
              </w:rPr>
              <w:t>赖氨酸</w:t>
            </w:r>
          </w:p>
        </w:tc>
        <w:tc>
          <w:tcPr>
            <w:tcW w:w="1015" w:type="dxa"/>
          </w:tcPr>
          <w:p w:rsidR="00EA40A3" w:rsidRDefault="00E86C16">
            <w:pPr>
              <w:spacing w:before="81" w:line="176" w:lineRule="auto"/>
              <w:ind w:left="467"/>
              <w:rPr>
                <w:rFonts w:ascii="宋体" w:eastAsia="宋体" w:hAnsi="宋体" w:cs="宋体"/>
                <w:sz w:val="16"/>
                <w:szCs w:val="16"/>
              </w:rPr>
            </w:pPr>
            <w:r>
              <w:rPr>
                <w:rFonts w:ascii="宋体" w:eastAsia="宋体" w:hAnsi="宋体" w:cs="宋体"/>
                <w:spacing w:val="-5"/>
                <w:sz w:val="16"/>
                <w:szCs w:val="16"/>
              </w:rPr>
              <w:t>103</w:t>
            </w:r>
          </w:p>
        </w:tc>
        <w:tc>
          <w:tcPr>
            <w:tcW w:w="1308" w:type="dxa"/>
          </w:tcPr>
          <w:p w:rsidR="00EA40A3" w:rsidRDefault="00E86C16">
            <w:pPr>
              <w:spacing w:before="81" w:line="176" w:lineRule="auto"/>
              <w:ind w:left="602"/>
              <w:rPr>
                <w:rFonts w:ascii="宋体" w:eastAsia="宋体" w:hAnsi="宋体" w:cs="宋体"/>
                <w:sz w:val="16"/>
                <w:szCs w:val="16"/>
              </w:rPr>
            </w:pPr>
            <w:r>
              <w:rPr>
                <w:rFonts w:ascii="宋体" w:eastAsia="宋体" w:hAnsi="宋体" w:cs="宋体"/>
                <w:spacing w:val="-2"/>
                <w:sz w:val="16"/>
                <w:szCs w:val="16"/>
              </w:rPr>
              <w:t>64</w:t>
            </w:r>
          </w:p>
        </w:tc>
        <w:tc>
          <w:tcPr>
            <w:tcW w:w="1935" w:type="dxa"/>
          </w:tcPr>
          <w:p w:rsidR="00EA40A3" w:rsidRDefault="00E86C16">
            <w:pPr>
              <w:spacing w:before="81" w:line="176" w:lineRule="auto"/>
              <w:ind w:left="724"/>
              <w:rPr>
                <w:rFonts w:ascii="宋体" w:eastAsia="宋体" w:hAnsi="宋体" w:cs="宋体"/>
                <w:sz w:val="16"/>
                <w:szCs w:val="16"/>
              </w:rPr>
            </w:pPr>
            <w:r>
              <w:rPr>
                <w:rFonts w:ascii="宋体" w:eastAsia="宋体" w:hAnsi="宋体" w:cs="宋体"/>
                <w:spacing w:val="-2"/>
                <w:sz w:val="16"/>
                <w:szCs w:val="16"/>
              </w:rPr>
              <w:t>60</w:t>
            </w:r>
          </w:p>
        </w:tc>
        <w:tc>
          <w:tcPr>
            <w:tcW w:w="1600" w:type="dxa"/>
          </w:tcPr>
          <w:p w:rsidR="00EA40A3" w:rsidRDefault="00E86C16">
            <w:pPr>
              <w:spacing w:before="60" w:line="184" w:lineRule="auto"/>
              <w:ind w:left="549"/>
              <w:rPr>
                <w:rFonts w:ascii="宋体" w:eastAsia="宋体" w:hAnsi="宋体" w:cs="宋体"/>
                <w:sz w:val="16"/>
                <w:szCs w:val="16"/>
              </w:rPr>
            </w:pPr>
            <w:r>
              <w:rPr>
                <w:rFonts w:ascii="宋体" w:eastAsia="宋体" w:hAnsi="宋体" w:cs="宋体"/>
                <w:spacing w:val="-5"/>
                <w:sz w:val="16"/>
                <w:szCs w:val="16"/>
              </w:rPr>
              <w:t>12</w:t>
            </w:r>
          </w:p>
        </w:tc>
      </w:tr>
      <w:tr w:rsidR="00EA40A3">
        <w:trPr>
          <w:trHeight w:val="248"/>
        </w:trPr>
        <w:tc>
          <w:tcPr>
            <w:tcW w:w="1492" w:type="dxa"/>
          </w:tcPr>
          <w:p w:rsidR="00EA40A3" w:rsidRDefault="00E86C16">
            <w:pPr>
              <w:spacing w:before="36" w:line="219" w:lineRule="auto"/>
              <w:ind w:left="159"/>
              <w:rPr>
                <w:rFonts w:ascii="宋体" w:eastAsia="宋体" w:hAnsi="宋体" w:cs="宋体"/>
                <w:sz w:val="16"/>
                <w:szCs w:val="16"/>
              </w:rPr>
            </w:pPr>
            <w:r>
              <w:rPr>
                <w:rFonts w:ascii="宋体" w:eastAsia="宋体" w:hAnsi="宋体" w:cs="宋体"/>
                <w:spacing w:val="-2"/>
                <w:sz w:val="16"/>
                <w:szCs w:val="16"/>
              </w:rPr>
              <w:t>异亮氨酸</w:t>
            </w:r>
          </w:p>
        </w:tc>
        <w:tc>
          <w:tcPr>
            <w:tcW w:w="1015" w:type="dxa"/>
          </w:tcPr>
          <w:p w:rsidR="00EA40A3" w:rsidRDefault="00E86C16">
            <w:pPr>
              <w:spacing w:before="98" w:line="173" w:lineRule="auto"/>
              <w:ind w:left="548"/>
              <w:rPr>
                <w:rFonts w:ascii="宋体" w:eastAsia="宋体" w:hAnsi="宋体" w:cs="宋体"/>
                <w:sz w:val="16"/>
                <w:szCs w:val="16"/>
              </w:rPr>
            </w:pPr>
            <w:r>
              <w:rPr>
                <w:rFonts w:ascii="宋体" w:eastAsia="宋体" w:hAnsi="宋体" w:cs="宋体"/>
                <w:spacing w:val="-3"/>
                <w:sz w:val="16"/>
                <w:szCs w:val="16"/>
              </w:rPr>
              <w:t>70</w:t>
            </w:r>
          </w:p>
        </w:tc>
        <w:tc>
          <w:tcPr>
            <w:tcW w:w="1308" w:type="dxa"/>
          </w:tcPr>
          <w:p w:rsidR="00EA40A3" w:rsidRDefault="00E86C16">
            <w:pPr>
              <w:spacing w:before="106" w:line="163" w:lineRule="auto"/>
              <w:ind w:left="602"/>
              <w:rPr>
                <w:rFonts w:ascii="宋体" w:eastAsia="宋体" w:hAnsi="宋体" w:cs="宋体"/>
                <w:sz w:val="16"/>
                <w:szCs w:val="16"/>
              </w:rPr>
            </w:pPr>
            <w:r>
              <w:rPr>
                <w:rFonts w:ascii="宋体" w:eastAsia="宋体" w:hAnsi="宋体" w:cs="宋体"/>
                <w:spacing w:val="-3"/>
                <w:sz w:val="16"/>
                <w:szCs w:val="16"/>
              </w:rPr>
              <w:t>31</w:t>
            </w:r>
          </w:p>
        </w:tc>
        <w:tc>
          <w:tcPr>
            <w:tcW w:w="1935" w:type="dxa"/>
          </w:tcPr>
          <w:p w:rsidR="00EA40A3" w:rsidRDefault="00E86C16">
            <w:pPr>
              <w:spacing w:before="98" w:line="173" w:lineRule="auto"/>
              <w:ind w:left="724"/>
              <w:rPr>
                <w:rFonts w:ascii="宋体" w:eastAsia="宋体" w:hAnsi="宋体" w:cs="宋体"/>
                <w:sz w:val="16"/>
                <w:szCs w:val="16"/>
              </w:rPr>
            </w:pPr>
            <w:r>
              <w:rPr>
                <w:rFonts w:ascii="宋体" w:eastAsia="宋体" w:hAnsi="宋体" w:cs="宋体"/>
                <w:spacing w:val="-3"/>
                <w:sz w:val="16"/>
                <w:szCs w:val="16"/>
              </w:rPr>
              <w:t>30</w:t>
            </w:r>
          </w:p>
        </w:tc>
        <w:tc>
          <w:tcPr>
            <w:tcW w:w="1600" w:type="dxa"/>
          </w:tcPr>
          <w:p w:rsidR="00EA40A3" w:rsidRDefault="00E86C16">
            <w:pPr>
              <w:spacing w:before="106" w:line="163" w:lineRule="auto"/>
              <w:ind w:left="549"/>
              <w:rPr>
                <w:rFonts w:ascii="宋体" w:eastAsia="宋体" w:hAnsi="宋体" w:cs="宋体"/>
                <w:sz w:val="16"/>
                <w:szCs w:val="16"/>
              </w:rPr>
            </w:pPr>
            <w:r>
              <w:rPr>
                <w:rFonts w:ascii="宋体" w:eastAsia="宋体" w:hAnsi="宋体" w:cs="宋体"/>
                <w:spacing w:val="-5"/>
                <w:sz w:val="16"/>
                <w:szCs w:val="16"/>
              </w:rPr>
              <w:t>10</w:t>
            </w:r>
          </w:p>
        </w:tc>
      </w:tr>
      <w:tr w:rsidR="00EA40A3">
        <w:trPr>
          <w:trHeight w:val="254"/>
        </w:trPr>
        <w:tc>
          <w:tcPr>
            <w:tcW w:w="1492" w:type="dxa"/>
          </w:tcPr>
          <w:p w:rsidR="00EA40A3" w:rsidRDefault="00E86C16">
            <w:pPr>
              <w:spacing w:before="38" w:line="219" w:lineRule="auto"/>
              <w:ind w:left="159"/>
              <w:rPr>
                <w:rFonts w:ascii="宋体" w:eastAsia="宋体" w:hAnsi="宋体" w:cs="宋体"/>
                <w:sz w:val="16"/>
                <w:szCs w:val="16"/>
              </w:rPr>
            </w:pPr>
            <w:r>
              <w:rPr>
                <w:rFonts w:ascii="宋体" w:eastAsia="宋体" w:hAnsi="宋体" w:cs="宋体"/>
                <w:spacing w:val="-2"/>
                <w:sz w:val="16"/>
                <w:szCs w:val="16"/>
              </w:rPr>
              <w:t>缀氨酸</w:t>
            </w:r>
          </w:p>
        </w:tc>
        <w:tc>
          <w:tcPr>
            <w:tcW w:w="1015" w:type="dxa"/>
          </w:tcPr>
          <w:p w:rsidR="00EA40A3" w:rsidRDefault="00E86C16">
            <w:pPr>
              <w:spacing w:before="99" w:line="178" w:lineRule="auto"/>
              <w:ind w:left="548"/>
              <w:rPr>
                <w:rFonts w:ascii="宋体" w:eastAsia="宋体" w:hAnsi="宋体" w:cs="宋体"/>
                <w:sz w:val="16"/>
                <w:szCs w:val="16"/>
              </w:rPr>
            </w:pPr>
            <w:r>
              <w:rPr>
                <w:rFonts w:ascii="宋体" w:eastAsia="宋体" w:hAnsi="宋体" w:cs="宋体"/>
                <w:spacing w:val="-2"/>
                <w:sz w:val="16"/>
                <w:szCs w:val="16"/>
              </w:rPr>
              <w:t>93</w:t>
            </w:r>
          </w:p>
        </w:tc>
        <w:tc>
          <w:tcPr>
            <w:tcW w:w="1308" w:type="dxa"/>
          </w:tcPr>
          <w:p w:rsidR="00EA40A3" w:rsidRDefault="00E86C16">
            <w:pPr>
              <w:spacing w:before="99" w:line="178" w:lineRule="auto"/>
              <w:ind w:left="602"/>
              <w:rPr>
                <w:rFonts w:ascii="宋体" w:eastAsia="宋体" w:hAnsi="宋体" w:cs="宋体"/>
                <w:sz w:val="16"/>
                <w:szCs w:val="16"/>
              </w:rPr>
            </w:pPr>
            <w:r>
              <w:rPr>
                <w:rFonts w:ascii="宋体" w:eastAsia="宋体" w:hAnsi="宋体" w:cs="宋体"/>
                <w:spacing w:val="-3"/>
                <w:sz w:val="16"/>
                <w:szCs w:val="16"/>
              </w:rPr>
              <w:t>38</w:t>
            </w:r>
          </w:p>
        </w:tc>
        <w:tc>
          <w:tcPr>
            <w:tcW w:w="1935" w:type="dxa"/>
          </w:tcPr>
          <w:p w:rsidR="00EA40A3" w:rsidRDefault="00E86C16">
            <w:pPr>
              <w:spacing w:before="99" w:line="178" w:lineRule="auto"/>
              <w:ind w:left="724"/>
              <w:rPr>
                <w:rFonts w:ascii="宋体" w:eastAsia="宋体" w:hAnsi="宋体" w:cs="宋体"/>
                <w:sz w:val="16"/>
                <w:szCs w:val="16"/>
              </w:rPr>
            </w:pPr>
            <w:r>
              <w:rPr>
                <w:rFonts w:ascii="宋体" w:eastAsia="宋体" w:hAnsi="宋体" w:cs="宋体"/>
                <w:spacing w:val="-3"/>
                <w:sz w:val="16"/>
                <w:szCs w:val="16"/>
              </w:rPr>
              <w:t>33</w:t>
            </w:r>
          </w:p>
        </w:tc>
        <w:tc>
          <w:tcPr>
            <w:tcW w:w="1600" w:type="dxa"/>
          </w:tcPr>
          <w:p w:rsidR="00EA40A3" w:rsidRDefault="00E86C16">
            <w:pPr>
              <w:spacing w:before="98" w:line="179" w:lineRule="auto"/>
              <w:ind w:left="549"/>
              <w:rPr>
                <w:rFonts w:ascii="宋体" w:eastAsia="宋体" w:hAnsi="宋体" w:cs="宋体"/>
                <w:sz w:val="16"/>
                <w:szCs w:val="16"/>
              </w:rPr>
            </w:pPr>
            <w:r>
              <w:rPr>
                <w:rFonts w:ascii="宋体" w:eastAsia="宋体" w:hAnsi="宋体" w:cs="宋体"/>
                <w:spacing w:val="-5"/>
                <w:sz w:val="16"/>
                <w:szCs w:val="16"/>
              </w:rPr>
              <w:t>10</w:t>
            </w:r>
          </w:p>
        </w:tc>
      </w:tr>
      <w:tr w:rsidR="00EA40A3">
        <w:trPr>
          <w:trHeight w:val="244"/>
        </w:trPr>
        <w:tc>
          <w:tcPr>
            <w:tcW w:w="1492" w:type="dxa"/>
          </w:tcPr>
          <w:p w:rsidR="00EA40A3" w:rsidRDefault="00E86C16">
            <w:pPr>
              <w:spacing w:before="55" w:line="218" w:lineRule="auto"/>
              <w:ind w:left="159"/>
              <w:rPr>
                <w:rFonts w:ascii="宋体" w:eastAsia="宋体" w:hAnsi="宋体" w:cs="宋体"/>
                <w:sz w:val="16"/>
                <w:szCs w:val="16"/>
              </w:rPr>
            </w:pPr>
            <w:r>
              <w:rPr>
                <w:rFonts w:ascii="宋体" w:eastAsia="宋体" w:hAnsi="宋体" w:cs="宋体"/>
                <w:spacing w:val="-3"/>
                <w:sz w:val="16"/>
                <w:szCs w:val="16"/>
              </w:rPr>
              <w:t>苏氨酸</w:t>
            </w:r>
          </w:p>
        </w:tc>
        <w:tc>
          <w:tcPr>
            <w:tcW w:w="1015" w:type="dxa"/>
          </w:tcPr>
          <w:p w:rsidR="00EA40A3" w:rsidRDefault="00E86C16">
            <w:pPr>
              <w:spacing w:before="85" w:line="183" w:lineRule="auto"/>
              <w:ind w:left="548"/>
              <w:rPr>
                <w:rFonts w:ascii="宋体" w:eastAsia="宋体" w:hAnsi="宋体" w:cs="宋体"/>
                <w:sz w:val="16"/>
                <w:szCs w:val="16"/>
              </w:rPr>
            </w:pPr>
            <w:r>
              <w:rPr>
                <w:rFonts w:ascii="宋体" w:eastAsia="宋体" w:hAnsi="宋体" w:cs="宋体"/>
                <w:spacing w:val="-2"/>
                <w:sz w:val="16"/>
                <w:szCs w:val="16"/>
              </w:rPr>
              <w:t>87</w:t>
            </w:r>
          </w:p>
        </w:tc>
        <w:tc>
          <w:tcPr>
            <w:tcW w:w="1308" w:type="dxa"/>
          </w:tcPr>
          <w:p w:rsidR="00EA40A3" w:rsidRDefault="00E86C16">
            <w:pPr>
              <w:spacing w:before="85" w:line="183" w:lineRule="auto"/>
              <w:ind w:left="602"/>
              <w:rPr>
                <w:rFonts w:ascii="宋体" w:eastAsia="宋体" w:hAnsi="宋体" w:cs="宋体"/>
                <w:sz w:val="16"/>
                <w:szCs w:val="16"/>
              </w:rPr>
            </w:pPr>
            <w:r>
              <w:rPr>
                <w:rFonts w:ascii="宋体" w:eastAsia="宋体" w:hAnsi="宋体" w:cs="宋体"/>
                <w:spacing w:val="-3"/>
                <w:sz w:val="16"/>
                <w:szCs w:val="16"/>
              </w:rPr>
              <w:t>37</w:t>
            </w:r>
          </w:p>
        </w:tc>
        <w:tc>
          <w:tcPr>
            <w:tcW w:w="1935" w:type="dxa"/>
          </w:tcPr>
          <w:p w:rsidR="00EA40A3" w:rsidRDefault="00E86C16">
            <w:pPr>
              <w:spacing w:before="85" w:line="183" w:lineRule="auto"/>
              <w:ind w:left="724"/>
              <w:rPr>
                <w:rFonts w:ascii="宋体" w:eastAsia="宋体" w:hAnsi="宋体" w:cs="宋体"/>
                <w:sz w:val="16"/>
                <w:szCs w:val="16"/>
              </w:rPr>
            </w:pPr>
            <w:r>
              <w:rPr>
                <w:rFonts w:ascii="宋体" w:eastAsia="宋体" w:hAnsi="宋体" w:cs="宋体"/>
                <w:spacing w:val="-3"/>
                <w:sz w:val="16"/>
                <w:szCs w:val="16"/>
              </w:rPr>
              <w:t>35</w:t>
            </w:r>
          </w:p>
        </w:tc>
        <w:tc>
          <w:tcPr>
            <w:tcW w:w="1600" w:type="dxa"/>
          </w:tcPr>
          <w:p w:rsidR="00EA40A3" w:rsidRDefault="00E86C16">
            <w:pPr>
              <w:spacing w:before="87" w:line="181" w:lineRule="auto"/>
              <w:ind w:left="549"/>
              <w:rPr>
                <w:rFonts w:ascii="宋体" w:eastAsia="宋体" w:hAnsi="宋体" w:cs="宋体"/>
                <w:sz w:val="16"/>
                <w:szCs w:val="16"/>
              </w:rPr>
            </w:pPr>
            <w:r>
              <w:rPr>
                <w:rFonts w:ascii="宋体" w:eastAsia="宋体" w:hAnsi="宋体" w:cs="宋体"/>
                <w:sz w:val="16"/>
                <w:szCs w:val="16"/>
              </w:rPr>
              <w:t>7</w:t>
            </w:r>
          </w:p>
        </w:tc>
      </w:tr>
      <w:tr w:rsidR="00EA40A3">
        <w:trPr>
          <w:trHeight w:val="243"/>
        </w:trPr>
        <w:tc>
          <w:tcPr>
            <w:tcW w:w="1492" w:type="dxa"/>
          </w:tcPr>
          <w:p w:rsidR="00EA40A3" w:rsidRDefault="00E86C16">
            <w:pPr>
              <w:spacing w:before="51" w:line="220" w:lineRule="auto"/>
              <w:ind w:left="159"/>
              <w:rPr>
                <w:rFonts w:ascii="宋体" w:eastAsia="宋体" w:hAnsi="宋体" w:cs="宋体"/>
                <w:sz w:val="16"/>
                <w:szCs w:val="16"/>
              </w:rPr>
            </w:pPr>
            <w:r>
              <w:rPr>
                <w:rFonts w:ascii="宋体" w:eastAsia="宋体" w:hAnsi="宋体" w:cs="宋体"/>
                <w:spacing w:val="-2"/>
                <w:sz w:val="16"/>
                <w:szCs w:val="16"/>
              </w:rPr>
              <w:t>色氨酸</w:t>
            </w:r>
          </w:p>
        </w:tc>
        <w:tc>
          <w:tcPr>
            <w:tcW w:w="1015" w:type="dxa"/>
          </w:tcPr>
          <w:p w:rsidR="00EA40A3" w:rsidRDefault="00E86C16">
            <w:pPr>
              <w:spacing w:before="80" w:line="184" w:lineRule="auto"/>
              <w:ind w:left="548"/>
              <w:rPr>
                <w:rFonts w:ascii="宋体" w:eastAsia="宋体" w:hAnsi="宋体" w:cs="宋体"/>
                <w:sz w:val="16"/>
                <w:szCs w:val="16"/>
              </w:rPr>
            </w:pPr>
            <w:r>
              <w:rPr>
                <w:rFonts w:ascii="宋体" w:eastAsia="宋体" w:hAnsi="宋体" w:cs="宋体"/>
                <w:spacing w:val="-5"/>
                <w:sz w:val="16"/>
                <w:szCs w:val="16"/>
              </w:rPr>
              <w:t>17</w:t>
            </w:r>
          </w:p>
        </w:tc>
        <w:tc>
          <w:tcPr>
            <w:tcW w:w="1308" w:type="dxa"/>
          </w:tcPr>
          <w:p w:rsidR="00EA40A3" w:rsidRDefault="00E86C16">
            <w:pPr>
              <w:spacing w:before="91" w:line="175" w:lineRule="auto"/>
              <w:ind w:left="522"/>
              <w:rPr>
                <w:rFonts w:ascii="宋体" w:eastAsia="宋体" w:hAnsi="宋体" w:cs="宋体"/>
                <w:sz w:val="16"/>
                <w:szCs w:val="16"/>
              </w:rPr>
            </w:pPr>
            <w:r>
              <w:rPr>
                <w:rFonts w:ascii="宋体" w:eastAsia="宋体" w:hAnsi="宋体" w:cs="宋体"/>
                <w:spacing w:val="-4"/>
                <w:sz w:val="16"/>
                <w:szCs w:val="16"/>
              </w:rPr>
              <w:t>12.5</w:t>
            </w:r>
          </w:p>
        </w:tc>
        <w:tc>
          <w:tcPr>
            <w:tcW w:w="1935" w:type="dxa"/>
          </w:tcPr>
          <w:p w:rsidR="00EA40A3" w:rsidRDefault="00E86C16">
            <w:pPr>
              <w:spacing w:before="101" w:line="163" w:lineRule="auto"/>
              <w:ind w:left="724"/>
              <w:rPr>
                <w:rFonts w:ascii="宋体" w:eastAsia="宋体" w:hAnsi="宋体" w:cs="宋体"/>
                <w:sz w:val="16"/>
                <w:szCs w:val="16"/>
              </w:rPr>
            </w:pPr>
            <w:r>
              <w:rPr>
                <w:rFonts w:ascii="宋体" w:eastAsia="宋体" w:hAnsi="宋体" w:cs="宋体"/>
                <w:sz w:val="16"/>
                <w:szCs w:val="16"/>
              </w:rPr>
              <w:t>4</w:t>
            </w:r>
          </w:p>
        </w:tc>
        <w:tc>
          <w:tcPr>
            <w:tcW w:w="1600" w:type="dxa"/>
          </w:tcPr>
          <w:p w:rsidR="00EA40A3" w:rsidRDefault="00E86C16">
            <w:pPr>
              <w:spacing w:before="81" w:line="183" w:lineRule="auto"/>
              <w:ind w:left="549"/>
              <w:rPr>
                <w:rFonts w:ascii="宋体" w:eastAsia="宋体" w:hAnsi="宋体" w:cs="宋体"/>
                <w:sz w:val="16"/>
                <w:szCs w:val="16"/>
              </w:rPr>
            </w:pPr>
            <w:r>
              <w:rPr>
                <w:rFonts w:ascii="宋体" w:eastAsia="宋体" w:hAnsi="宋体" w:cs="宋体"/>
                <w:spacing w:val="-3"/>
                <w:sz w:val="16"/>
                <w:szCs w:val="16"/>
              </w:rPr>
              <w:t>3.5</w:t>
            </w:r>
          </w:p>
        </w:tc>
      </w:tr>
      <w:tr w:rsidR="00EA40A3">
        <w:trPr>
          <w:trHeight w:val="235"/>
        </w:trPr>
        <w:tc>
          <w:tcPr>
            <w:tcW w:w="1492" w:type="dxa"/>
            <w:tcBorders>
              <w:bottom w:val="single" w:sz="4" w:space="0" w:color="000000"/>
            </w:tcBorders>
          </w:tcPr>
          <w:p w:rsidR="00EA40A3" w:rsidRDefault="00E86C16">
            <w:pPr>
              <w:spacing w:before="47" w:line="216" w:lineRule="auto"/>
              <w:ind w:left="159"/>
              <w:rPr>
                <w:rFonts w:ascii="宋体" w:eastAsia="宋体" w:hAnsi="宋体" w:cs="宋体"/>
                <w:sz w:val="16"/>
                <w:szCs w:val="16"/>
              </w:rPr>
            </w:pPr>
            <w:r>
              <w:rPr>
                <w:rFonts w:ascii="宋体" w:eastAsia="宋体" w:hAnsi="宋体" w:cs="宋体"/>
                <w:spacing w:val="-2"/>
                <w:sz w:val="16"/>
                <w:szCs w:val="16"/>
              </w:rPr>
              <w:t>组氨酸</w:t>
            </w:r>
          </w:p>
        </w:tc>
        <w:tc>
          <w:tcPr>
            <w:tcW w:w="1015" w:type="dxa"/>
            <w:tcBorders>
              <w:bottom w:val="single" w:sz="4" w:space="0" w:color="000000"/>
            </w:tcBorders>
          </w:tcPr>
          <w:p w:rsidR="00EA40A3" w:rsidRDefault="00E86C16">
            <w:pPr>
              <w:spacing w:before="88" w:line="169" w:lineRule="auto"/>
              <w:ind w:left="548"/>
              <w:rPr>
                <w:rFonts w:ascii="宋体" w:eastAsia="宋体" w:hAnsi="宋体" w:cs="宋体"/>
                <w:sz w:val="16"/>
                <w:szCs w:val="16"/>
              </w:rPr>
            </w:pPr>
            <w:r>
              <w:rPr>
                <w:rFonts w:ascii="宋体" w:eastAsia="宋体" w:hAnsi="宋体" w:cs="宋体"/>
                <w:spacing w:val="-3"/>
                <w:sz w:val="16"/>
                <w:szCs w:val="16"/>
              </w:rPr>
              <w:t>28</w:t>
            </w:r>
          </w:p>
        </w:tc>
        <w:tc>
          <w:tcPr>
            <w:tcW w:w="1308" w:type="dxa"/>
            <w:tcBorders>
              <w:bottom w:val="single" w:sz="4" w:space="0" w:color="000000"/>
            </w:tcBorders>
          </w:tcPr>
          <w:p w:rsidR="00EA40A3" w:rsidRDefault="00EA40A3">
            <w:pPr>
              <w:spacing w:line="235" w:lineRule="exact"/>
              <w:rPr>
                <w:sz w:val="20"/>
              </w:rPr>
            </w:pPr>
          </w:p>
        </w:tc>
        <w:tc>
          <w:tcPr>
            <w:tcW w:w="1935" w:type="dxa"/>
            <w:tcBorders>
              <w:bottom w:val="single" w:sz="4" w:space="0" w:color="000000"/>
            </w:tcBorders>
          </w:tcPr>
          <w:p w:rsidR="00EA40A3" w:rsidRDefault="00EA40A3">
            <w:pPr>
              <w:spacing w:line="235" w:lineRule="exact"/>
              <w:rPr>
                <w:sz w:val="20"/>
              </w:rPr>
            </w:pPr>
          </w:p>
        </w:tc>
        <w:tc>
          <w:tcPr>
            <w:tcW w:w="1600" w:type="dxa"/>
            <w:tcBorders>
              <w:bottom w:val="single" w:sz="4" w:space="0" w:color="000000"/>
            </w:tcBorders>
          </w:tcPr>
          <w:p w:rsidR="00EA40A3" w:rsidRDefault="00EA40A3">
            <w:pPr>
              <w:spacing w:line="235" w:lineRule="exact"/>
              <w:rPr>
                <w:sz w:val="20"/>
              </w:rPr>
            </w:pPr>
          </w:p>
        </w:tc>
      </w:tr>
    </w:tbl>
    <w:p w:rsidR="00EA40A3" w:rsidRDefault="00E86C16">
      <w:pPr>
        <w:spacing w:before="102" w:line="219" w:lineRule="auto"/>
        <w:ind w:left="430"/>
        <w:rPr>
          <w:rFonts w:ascii="宋体" w:eastAsia="宋体" w:hAnsi="宋体" w:cs="宋体"/>
          <w:sz w:val="18"/>
          <w:szCs w:val="18"/>
        </w:rPr>
      </w:pPr>
      <w:r>
        <w:rPr>
          <w:rFonts w:ascii="宋体" w:eastAsia="宋体" w:hAnsi="宋体" w:cs="宋体"/>
          <w:spacing w:val="-16"/>
          <w:sz w:val="18"/>
          <w:szCs w:val="18"/>
        </w:rPr>
        <w:t>资料来源：姚汉亭.1985.食品营养学</w:t>
      </w:r>
    </w:p>
    <w:p w:rsidR="00EA40A3" w:rsidRDefault="00EA40A3">
      <w:pPr>
        <w:spacing w:line="298" w:lineRule="auto"/>
      </w:pPr>
    </w:p>
    <w:p w:rsidR="00EA40A3" w:rsidRDefault="00E86C16">
      <w:pPr>
        <w:spacing w:before="69" w:line="256" w:lineRule="auto"/>
        <w:ind w:left="69" w:right="90" w:firstLine="360"/>
        <w:jc w:val="both"/>
        <w:rPr>
          <w:rFonts w:ascii="宋体" w:eastAsia="宋体" w:hAnsi="宋体" w:cs="宋体"/>
        </w:rPr>
      </w:pPr>
      <w:r>
        <w:rPr>
          <w:rFonts w:ascii="宋体" w:eastAsia="宋体" w:hAnsi="宋体" w:cs="宋体"/>
          <w:spacing w:val="-2"/>
        </w:rPr>
        <w:t>半胱氨酸和酪氨酸在体内分别由蛋氨酸和苯丙氨酸转变而成，如果</w:t>
      </w:r>
      <w:r>
        <w:rPr>
          <w:rFonts w:ascii="宋体" w:eastAsia="宋体" w:hAnsi="宋体" w:cs="宋体"/>
          <w:spacing w:val="-3"/>
        </w:rPr>
        <w:t>膳食中能</w:t>
      </w:r>
      <w:r>
        <w:rPr>
          <w:rFonts w:ascii="宋体" w:eastAsia="宋体" w:hAnsi="宋体" w:cs="宋体"/>
        </w:rPr>
        <w:t xml:space="preserve"> </w:t>
      </w:r>
      <w:r>
        <w:rPr>
          <w:rFonts w:ascii="宋体" w:eastAsia="宋体" w:hAnsi="宋体" w:cs="宋体"/>
          <w:spacing w:val="6"/>
        </w:rPr>
        <w:t>直接提供这两种氨基酸，则人体对蛋氨酸和苯丙氨酸的需要可分别减少30%和</w:t>
      </w:r>
      <w:r>
        <w:rPr>
          <w:rFonts w:ascii="宋体" w:eastAsia="宋体" w:hAnsi="宋体" w:cs="宋体"/>
          <w:spacing w:val="11"/>
        </w:rPr>
        <w:t xml:space="preserve"> </w:t>
      </w:r>
      <w:r>
        <w:rPr>
          <w:rFonts w:ascii="宋体" w:eastAsia="宋体" w:hAnsi="宋体" w:cs="宋体"/>
          <w:spacing w:val="4"/>
        </w:rPr>
        <w:t>50%,所以半胱氨酸和酪氨酸这类可减少某些</w:t>
      </w:r>
      <w:r>
        <w:rPr>
          <w:rFonts w:ascii="宋体" w:eastAsia="宋体" w:hAnsi="宋体" w:cs="宋体"/>
          <w:spacing w:val="3"/>
        </w:rPr>
        <w:t>必需氨基酸需要量的氨基酸称为半</w:t>
      </w:r>
      <w:r>
        <w:rPr>
          <w:rFonts w:ascii="宋体" w:eastAsia="宋体" w:hAnsi="宋体" w:cs="宋体"/>
        </w:rPr>
        <w:t xml:space="preserve"> </w:t>
      </w:r>
      <w:r>
        <w:rPr>
          <w:rFonts w:ascii="宋体" w:eastAsia="宋体" w:hAnsi="宋体" w:cs="宋体"/>
          <w:spacing w:val="-7"/>
        </w:rPr>
        <w:t>必需氨基酸</w:t>
      </w:r>
      <w:r>
        <w:rPr>
          <w:rFonts w:ascii="宋体" w:eastAsia="宋体" w:hAnsi="宋体" w:cs="宋体"/>
          <w:spacing w:val="-15"/>
        </w:rPr>
        <w:t xml:space="preserve"> </w:t>
      </w:r>
      <w:r>
        <w:rPr>
          <w:rFonts w:ascii="宋体" w:eastAsia="宋体" w:hAnsi="宋体" w:cs="宋体"/>
          <w:spacing w:val="-7"/>
        </w:rPr>
        <w:t>(</w:t>
      </w:r>
      <w:r>
        <w:rPr>
          <w:rFonts w:ascii="宋体" w:eastAsia="宋体" w:hAnsi="宋体" w:cs="宋体"/>
          <w:spacing w:val="-6"/>
        </w:rPr>
        <w:t>semiessential</w:t>
      </w:r>
      <w:r>
        <w:rPr>
          <w:rFonts w:ascii="宋体" w:eastAsia="宋体" w:hAnsi="宋体" w:cs="宋体"/>
          <w:spacing w:val="3"/>
        </w:rPr>
        <w:t xml:space="preserve"> </w:t>
      </w:r>
      <w:r>
        <w:rPr>
          <w:rFonts w:ascii="宋体" w:eastAsia="宋体" w:hAnsi="宋体" w:cs="宋体"/>
          <w:spacing w:val="-6"/>
        </w:rPr>
        <w:t>amino</w:t>
      </w:r>
      <w:r>
        <w:rPr>
          <w:rFonts w:ascii="宋体" w:eastAsia="宋体" w:hAnsi="宋体" w:cs="宋体"/>
          <w:spacing w:val="4"/>
        </w:rPr>
        <w:t xml:space="preserve"> </w:t>
      </w:r>
      <w:r>
        <w:rPr>
          <w:rFonts w:ascii="宋体" w:eastAsia="宋体" w:hAnsi="宋体" w:cs="宋体"/>
          <w:spacing w:val="-6"/>
        </w:rPr>
        <w:t>acid</w:t>
      </w:r>
      <w:r>
        <w:rPr>
          <w:rFonts w:ascii="宋体" w:eastAsia="宋体" w:hAnsi="宋体" w:cs="宋体"/>
          <w:spacing w:val="-7"/>
        </w:rPr>
        <w:t>)</w:t>
      </w:r>
      <w:r>
        <w:rPr>
          <w:rFonts w:ascii="宋体" w:eastAsia="宋体" w:hAnsi="宋体" w:cs="宋体"/>
          <w:spacing w:val="-49"/>
        </w:rPr>
        <w:t xml:space="preserve"> </w:t>
      </w:r>
      <w:r>
        <w:rPr>
          <w:rFonts w:ascii="宋体" w:eastAsia="宋体" w:hAnsi="宋体" w:cs="宋体"/>
          <w:spacing w:val="-7"/>
        </w:rPr>
        <w:t>或条件必需氨基酸</w:t>
      </w:r>
      <w:r>
        <w:rPr>
          <w:rFonts w:ascii="宋体" w:eastAsia="宋体" w:hAnsi="宋体" w:cs="宋体"/>
          <w:spacing w:val="-14"/>
        </w:rPr>
        <w:t xml:space="preserve"> </w:t>
      </w:r>
      <w:r>
        <w:rPr>
          <w:rFonts w:ascii="宋体" w:eastAsia="宋体" w:hAnsi="宋体" w:cs="宋体"/>
          <w:spacing w:val="-7"/>
        </w:rPr>
        <w:t>(</w:t>
      </w:r>
      <w:r>
        <w:rPr>
          <w:rFonts w:ascii="宋体" w:eastAsia="宋体" w:hAnsi="宋体" w:cs="宋体"/>
          <w:spacing w:val="-6"/>
        </w:rPr>
        <w:t>conditiona</w:t>
      </w:r>
      <w:r>
        <w:rPr>
          <w:rFonts w:ascii="宋体" w:eastAsia="宋体" w:hAnsi="宋体" w:cs="宋体"/>
          <w:spacing w:val="-7"/>
        </w:rPr>
        <w:t>lly</w:t>
      </w:r>
      <w:r>
        <w:rPr>
          <w:rFonts w:ascii="宋体" w:eastAsia="宋体" w:hAnsi="宋体" w:cs="宋体"/>
          <w:spacing w:val="-3"/>
        </w:rPr>
        <w:t xml:space="preserve"> </w:t>
      </w:r>
      <w:r>
        <w:rPr>
          <w:rFonts w:ascii="宋体" w:eastAsia="宋体" w:hAnsi="宋体" w:cs="宋体"/>
          <w:spacing w:val="-7"/>
        </w:rPr>
        <w:t>es-</w:t>
      </w:r>
      <w:r>
        <w:rPr>
          <w:rFonts w:ascii="宋体" w:eastAsia="宋体" w:hAnsi="宋体" w:cs="宋体"/>
        </w:rPr>
        <w:t xml:space="preserve"> </w:t>
      </w:r>
      <w:r>
        <w:rPr>
          <w:rFonts w:ascii="Times New Roman" w:eastAsia="Times New Roman" w:hAnsi="Times New Roman" w:cs="Times New Roman"/>
          <w:spacing w:val="-2"/>
        </w:rPr>
        <w:t>sential</w:t>
      </w:r>
      <w:r>
        <w:rPr>
          <w:rFonts w:ascii="Times New Roman" w:eastAsia="Times New Roman" w:hAnsi="Times New Roman" w:cs="Times New Roman"/>
          <w:spacing w:val="50"/>
        </w:rPr>
        <w:t xml:space="preserve"> </w:t>
      </w:r>
      <w:r>
        <w:rPr>
          <w:rFonts w:ascii="Times New Roman" w:eastAsia="Times New Roman" w:hAnsi="Times New Roman" w:cs="Times New Roman"/>
          <w:spacing w:val="-2"/>
        </w:rPr>
        <w:t>amino</w:t>
      </w:r>
      <w:r>
        <w:rPr>
          <w:rFonts w:ascii="Times New Roman" w:eastAsia="Times New Roman" w:hAnsi="Times New Roman" w:cs="Times New Roman"/>
          <w:spacing w:val="42"/>
          <w:w w:val="101"/>
        </w:rPr>
        <w:t xml:space="preserve"> </w:t>
      </w:r>
      <w:r>
        <w:rPr>
          <w:rFonts w:ascii="Times New Roman" w:eastAsia="Times New Roman" w:hAnsi="Times New Roman" w:cs="Times New Roman"/>
          <w:spacing w:val="-2"/>
        </w:rPr>
        <w:t>acid)</w:t>
      </w:r>
      <w:r>
        <w:rPr>
          <w:rFonts w:ascii="宋体" w:eastAsia="宋体" w:hAnsi="宋体" w:cs="宋体"/>
          <w:spacing w:val="-2"/>
        </w:rPr>
        <w:t>。</w:t>
      </w:r>
    </w:p>
    <w:p w:rsidR="00EA40A3" w:rsidRDefault="00E86C16">
      <w:pPr>
        <w:spacing w:before="269" w:line="222" w:lineRule="auto"/>
        <w:ind w:left="69"/>
        <w:rPr>
          <w:rFonts w:ascii="仿宋" w:eastAsia="仿宋" w:hAnsi="仿宋" w:cs="仿宋"/>
        </w:rPr>
      </w:pPr>
      <w:r>
        <w:rPr>
          <w:rFonts w:ascii="仿宋" w:eastAsia="仿宋" w:hAnsi="仿宋" w:cs="仿宋"/>
          <w:spacing w:val="21"/>
        </w:rPr>
        <w:t>2.</w:t>
      </w:r>
      <w:r>
        <w:rPr>
          <w:rFonts w:ascii="仿宋" w:eastAsia="仿宋" w:hAnsi="仿宋" w:cs="仿宋"/>
          <w:spacing w:val="-6"/>
        </w:rPr>
        <w:t xml:space="preserve"> </w:t>
      </w:r>
      <w:r>
        <w:rPr>
          <w:rFonts w:ascii="仿宋" w:eastAsia="仿宋" w:hAnsi="仿宋" w:cs="仿宋"/>
          <w:spacing w:val="21"/>
        </w:rPr>
        <w:t>氨基酸模式和限制氨基酸</w:t>
      </w:r>
    </w:p>
    <w:p w:rsidR="00EA40A3" w:rsidRDefault="00E86C16">
      <w:pPr>
        <w:spacing w:before="193" w:line="256" w:lineRule="auto"/>
        <w:ind w:left="69" w:right="90" w:firstLine="360"/>
        <w:jc w:val="both"/>
        <w:rPr>
          <w:rFonts w:ascii="宋体" w:eastAsia="宋体" w:hAnsi="宋体" w:cs="宋体"/>
        </w:rPr>
      </w:pPr>
      <w:r>
        <w:rPr>
          <w:rFonts w:ascii="宋体" w:eastAsia="宋体" w:hAnsi="宋体" w:cs="宋体"/>
          <w:spacing w:val="-5"/>
        </w:rPr>
        <w:t>氨基酸模式</w:t>
      </w:r>
      <w:r>
        <w:rPr>
          <w:rFonts w:ascii="宋体" w:eastAsia="宋体" w:hAnsi="宋体" w:cs="宋体"/>
          <w:spacing w:val="-7"/>
        </w:rPr>
        <w:t xml:space="preserve"> </w:t>
      </w:r>
      <w:r>
        <w:rPr>
          <w:rFonts w:ascii="宋体" w:eastAsia="宋体" w:hAnsi="宋体" w:cs="宋体"/>
          <w:spacing w:val="-6"/>
        </w:rPr>
        <w:t>(</w:t>
      </w:r>
      <w:r>
        <w:rPr>
          <w:rFonts w:ascii="宋体" w:eastAsia="宋体" w:hAnsi="宋体" w:cs="宋体"/>
          <w:spacing w:val="-5"/>
        </w:rPr>
        <w:t>amino</w:t>
      </w:r>
      <w:r>
        <w:rPr>
          <w:rFonts w:ascii="宋体" w:eastAsia="宋体" w:hAnsi="宋体" w:cs="宋体"/>
        </w:rPr>
        <w:t xml:space="preserve"> </w:t>
      </w:r>
      <w:r>
        <w:rPr>
          <w:rFonts w:ascii="宋体" w:eastAsia="宋体" w:hAnsi="宋体" w:cs="宋体"/>
          <w:spacing w:val="-5"/>
        </w:rPr>
        <w:t>acid</w:t>
      </w:r>
      <w:r>
        <w:rPr>
          <w:rFonts w:ascii="宋体" w:eastAsia="宋体" w:hAnsi="宋体" w:cs="宋体"/>
          <w:spacing w:val="-4"/>
        </w:rPr>
        <w:t xml:space="preserve"> </w:t>
      </w:r>
      <w:r>
        <w:rPr>
          <w:rFonts w:ascii="宋体" w:eastAsia="宋体" w:hAnsi="宋体" w:cs="宋体"/>
          <w:spacing w:val="-5"/>
        </w:rPr>
        <w:t>pattern</w:t>
      </w:r>
      <w:r>
        <w:rPr>
          <w:rFonts w:ascii="宋体" w:eastAsia="宋体" w:hAnsi="宋体" w:cs="宋体"/>
          <w:spacing w:val="-6"/>
        </w:rPr>
        <w:t>)</w:t>
      </w:r>
      <w:r>
        <w:rPr>
          <w:rFonts w:ascii="宋体" w:eastAsia="宋体" w:hAnsi="宋体" w:cs="宋体"/>
          <w:spacing w:val="-47"/>
        </w:rPr>
        <w:t xml:space="preserve"> </w:t>
      </w:r>
      <w:r>
        <w:rPr>
          <w:rFonts w:ascii="宋体" w:eastAsia="宋体" w:hAnsi="宋体" w:cs="宋体"/>
          <w:spacing w:val="-6"/>
        </w:rPr>
        <w:t>是指某种蛋白质中各种必需氨基酸的构成</w:t>
      </w:r>
      <w:r>
        <w:rPr>
          <w:rFonts w:ascii="宋体" w:eastAsia="宋体" w:hAnsi="宋体" w:cs="宋体"/>
        </w:rPr>
        <w:t xml:space="preserve"> </w:t>
      </w:r>
      <w:r>
        <w:rPr>
          <w:rFonts w:ascii="宋体" w:eastAsia="宋体" w:hAnsi="宋体" w:cs="宋体"/>
          <w:spacing w:val="3"/>
        </w:rPr>
        <w:t>比例，用来反映人体蛋白质及食物蛋白质在必需氨基酸种类和数量上存在的差</w:t>
      </w:r>
      <w:r>
        <w:rPr>
          <w:rFonts w:ascii="宋体" w:eastAsia="宋体" w:hAnsi="宋体" w:cs="宋体"/>
          <w:spacing w:val="8"/>
        </w:rPr>
        <w:t xml:space="preserve"> </w:t>
      </w:r>
      <w:r>
        <w:rPr>
          <w:rFonts w:ascii="宋体" w:eastAsia="宋体" w:hAnsi="宋体" w:cs="宋体"/>
          <w:spacing w:val="4"/>
        </w:rPr>
        <w:t>异。计算方法是将该种蛋白质中的色氨酸含量定为1,</w:t>
      </w:r>
      <w:r>
        <w:rPr>
          <w:rFonts w:ascii="宋体" w:eastAsia="宋体" w:hAnsi="宋体" w:cs="宋体"/>
          <w:spacing w:val="3"/>
        </w:rPr>
        <w:t>分别计算出其他必需氨基</w:t>
      </w:r>
      <w:r>
        <w:rPr>
          <w:rFonts w:ascii="宋体" w:eastAsia="宋体" w:hAnsi="宋体" w:cs="宋体"/>
        </w:rPr>
        <w:t xml:space="preserve"> </w:t>
      </w:r>
      <w:r>
        <w:rPr>
          <w:rFonts w:ascii="宋体" w:eastAsia="宋体" w:hAnsi="宋体" w:cs="宋体"/>
          <w:spacing w:val="-3"/>
        </w:rPr>
        <w:t>酸的相应比值，这一系列的比值就是该种蛋白质的氨基酸模式，几种食品蛋白质</w:t>
      </w:r>
      <w:r>
        <w:rPr>
          <w:rFonts w:ascii="宋体" w:eastAsia="宋体" w:hAnsi="宋体" w:cs="宋体"/>
          <w:spacing w:val="17"/>
        </w:rPr>
        <w:t xml:space="preserve"> </w:t>
      </w:r>
      <w:r>
        <w:rPr>
          <w:rFonts w:ascii="宋体" w:eastAsia="宋体" w:hAnsi="宋体" w:cs="宋体"/>
          <w:spacing w:val="-3"/>
        </w:rPr>
        <w:t>中必需氨基酸模式见表3-15。</w:t>
      </w:r>
    </w:p>
    <w:p w:rsidR="00EA40A3" w:rsidRDefault="00EA40A3">
      <w:pPr>
        <w:spacing w:line="305" w:lineRule="auto"/>
      </w:pPr>
    </w:p>
    <w:p w:rsidR="00EA40A3" w:rsidRDefault="00E86C16">
      <w:pPr>
        <w:spacing w:before="68" w:line="220" w:lineRule="auto"/>
        <w:ind w:left="1712"/>
        <w:rPr>
          <w:rFonts w:ascii="黑体" w:eastAsia="黑体" w:hAnsi="黑体" w:cs="黑体"/>
        </w:rPr>
      </w:pPr>
      <w:r>
        <w:rPr>
          <w:rFonts w:ascii="黑体" w:eastAsia="黑体" w:hAnsi="黑体" w:cs="黑体"/>
          <w:b/>
          <w:bCs/>
          <w:spacing w:val="-18"/>
          <w:w w:val="94"/>
        </w:rPr>
        <w:t>表3-15</w:t>
      </w:r>
      <w:r>
        <w:rPr>
          <w:rFonts w:ascii="黑体" w:eastAsia="黑体" w:hAnsi="黑体" w:cs="黑体"/>
          <w:spacing w:val="66"/>
        </w:rPr>
        <w:t xml:space="preserve"> </w:t>
      </w:r>
      <w:r>
        <w:rPr>
          <w:rFonts w:ascii="黑体" w:eastAsia="黑体" w:hAnsi="黑体" w:cs="黑体"/>
          <w:b/>
          <w:bCs/>
          <w:spacing w:val="-18"/>
          <w:w w:val="94"/>
        </w:rPr>
        <w:t>人体及几种食物蛋白质中必需氨基酸模式</w:t>
      </w:r>
    </w:p>
    <w:p w:rsidR="00EA40A3" w:rsidRDefault="00EA40A3">
      <w:pPr>
        <w:spacing w:line="42" w:lineRule="exact"/>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917"/>
        <w:gridCol w:w="1001"/>
        <w:gridCol w:w="970"/>
        <w:gridCol w:w="833"/>
        <w:gridCol w:w="861"/>
        <w:gridCol w:w="866"/>
        <w:gridCol w:w="881"/>
      </w:tblGrid>
      <w:tr w:rsidR="00EA40A3">
        <w:trPr>
          <w:trHeight w:val="334"/>
        </w:trPr>
        <w:tc>
          <w:tcPr>
            <w:tcW w:w="1917" w:type="dxa"/>
            <w:tcBorders>
              <w:top w:val="single" w:sz="4" w:space="0" w:color="000000"/>
              <w:bottom w:val="single" w:sz="4" w:space="0" w:color="000000"/>
            </w:tcBorders>
          </w:tcPr>
          <w:p w:rsidR="00EA40A3" w:rsidRDefault="00E86C16">
            <w:pPr>
              <w:spacing w:before="92" w:line="220" w:lineRule="auto"/>
              <w:ind w:left="690"/>
              <w:rPr>
                <w:rFonts w:ascii="宋体" w:eastAsia="宋体" w:hAnsi="宋体" w:cs="宋体"/>
                <w:sz w:val="16"/>
                <w:szCs w:val="16"/>
              </w:rPr>
            </w:pPr>
            <w:r>
              <w:rPr>
                <w:rFonts w:ascii="宋体" w:eastAsia="宋体" w:hAnsi="宋体" w:cs="宋体"/>
                <w:spacing w:val="-2"/>
                <w:sz w:val="16"/>
                <w:szCs w:val="16"/>
              </w:rPr>
              <w:t>必需氨基酸</w:t>
            </w:r>
          </w:p>
        </w:tc>
        <w:tc>
          <w:tcPr>
            <w:tcW w:w="1001" w:type="dxa"/>
            <w:tcBorders>
              <w:top w:val="single" w:sz="4" w:space="0" w:color="000000"/>
              <w:bottom w:val="single" w:sz="4" w:space="0" w:color="000000"/>
            </w:tcBorders>
          </w:tcPr>
          <w:p w:rsidR="00EA40A3" w:rsidRDefault="00E86C16">
            <w:pPr>
              <w:spacing w:before="92" w:line="221" w:lineRule="auto"/>
              <w:ind w:left="443"/>
              <w:rPr>
                <w:rFonts w:ascii="宋体" w:eastAsia="宋体" w:hAnsi="宋体" w:cs="宋体"/>
                <w:sz w:val="16"/>
                <w:szCs w:val="16"/>
              </w:rPr>
            </w:pPr>
            <w:r>
              <w:rPr>
                <w:rFonts w:ascii="宋体" w:eastAsia="宋体" w:hAnsi="宋体" w:cs="宋体"/>
                <w:spacing w:val="-2"/>
                <w:sz w:val="16"/>
                <w:szCs w:val="16"/>
              </w:rPr>
              <w:t>人体</w:t>
            </w:r>
          </w:p>
        </w:tc>
        <w:tc>
          <w:tcPr>
            <w:tcW w:w="970" w:type="dxa"/>
            <w:tcBorders>
              <w:top w:val="single" w:sz="4" w:space="0" w:color="000000"/>
              <w:bottom w:val="single" w:sz="4" w:space="0" w:color="000000"/>
            </w:tcBorders>
          </w:tcPr>
          <w:p w:rsidR="00EA40A3" w:rsidRDefault="00E86C16">
            <w:pPr>
              <w:spacing w:before="92" w:line="220" w:lineRule="auto"/>
              <w:ind w:left="252"/>
              <w:rPr>
                <w:rFonts w:ascii="宋体" w:eastAsia="宋体" w:hAnsi="宋体" w:cs="宋体"/>
                <w:sz w:val="16"/>
                <w:szCs w:val="16"/>
              </w:rPr>
            </w:pPr>
            <w:r>
              <w:rPr>
                <w:rFonts w:ascii="宋体" w:eastAsia="宋体" w:hAnsi="宋体" w:cs="宋体"/>
                <w:spacing w:val="-2"/>
                <w:sz w:val="16"/>
                <w:szCs w:val="16"/>
              </w:rPr>
              <w:t>全鸡蛋</w:t>
            </w:r>
          </w:p>
        </w:tc>
        <w:tc>
          <w:tcPr>
            <w:tcW w:w="833" w:type="dxa"/>
            <w:tcBorders>
              <w:top w:val="single" w:sz="4" w:space="0" w:color="000000"/>
              <w:bottom w:val="single" w:sz="4" w:space="0" w:color="000000"/>
            </w:tcBorders>
          </w:tcPr>
          <w:p w:rsidR="00EA40A3" w:rsidRDefault="00E86C16">
            <w:pPr>
              <w:spacing w:before="92" w:line="221" w:lineRule="auto"/>
              <w:ind w:left="251"/>
              <w:rPr>
                <w:rFonts w:ascii="宋体" w:eastAsia="宋体" w:hAnsi="宋体" w:cs="宋体"/>
                <w:sz w:val="16"/>
                <w:szCs w:val="16"/>
              </w:rPr>
            </w:pPr>
            <w:r>
              <w:rPr>
                <w:rFonts w:ascii="宋体" w:eastAsia="宋体" w:hAnsi="宋体" w:cs="宋体"/>
                <w:spacing w:val="-3"/>
                <w:sz w:val="16"/>
                <w:szCs w:val="16"/>
              </w:rPr>
              <w:t>牛奶</w:t>
            </w:r>
          </w:p>
        </w:tc>
        <w:tc>
          <w:tcPr>
            <w:tcW w:w="861" w:type="dxa"/>
            <w:tcBorders>
              <w:top w:val="single" w:sz="4" w:space="0" w:color="000000"/>
              <w:bottom w:val="single" w:sz="4" w:space="0" w:color="000000"/>
            </w:tcBorders>
          </w:tcPr>
          <w:p w:rsidR="00EA40A3" w:rsidRDefault="00E86C16">
            <w:pPr>
              <w:spacing w:before="92" w:line="220" w:lineRule="auto"/>
              <w:ind w:left="279"/>
              <w:rPr>
                <w:rFonts w:ascii="宋体" w:eastAsia="宋体" w:hAnsi="宋体" w:cs="宋体"/>
                <w:sz w:val="16"/>
                <w:szCs w:val="16"/>
              </w:rPr>
            </w:pPr>
            <w:r>
              <w:rPr>
                <w:rFonts w:ascii="宋体" w:eastAsia="宋体" w:hAnsi="宋体" w:cs="宋体"/>
                <w:spacing w:val="-3"/>
                <w:sz w:val="16"/>
                <w:szCs w:val="16"/>
              </w:rPr>
              <w:t>大豆</w:t>
            </w:r>
          </w:p>
        </w:tc>
        <w:tc>
          <w:tcPr>
            <w:tcW w:w="866" w:type="dxa"/>
            <w:tcBorders>
              <w:top w:val="single" w:sz="4" w:space="0" w:color="000000"/>
              <w:bottom w:val="single" w:sz="4" w:space="0" w:color="000000"/>
            </w:tcBorders>
          </w:tcPr>
          <w:p w:rsidR="00EA40A3" w:rsidRDefault="00E86C16">
            <w:pPr>
              <w:spacing w:before="91" w:line="219" w:lineRule="auto"/>
              <w:ind w:left="278"/>
              <w:rPr>
                <w:rFonts w:ascii="宋体" w:eastAsia="宋体" w:hAnsi="宋体" w:cs="宋体"/>
                <w:sz w:val="16"/>
                <w:szCs w:val="16"/>
              </w:rPr>
            </w:pPr>
            <w:r>
              <w:rPr>
                <w:rFonts w:ascii="宋体" w:eastAsia="宋体" w:hAnsi="宋体" w:cs="宋体"/>
                <w:spacing w:val="-2"/>
                <w:sz w:val="16"/>
                <w:szCs w:val="16"/>
              </w:rPr>
              <w:t>面粉</w:t>
            </w:r>
          </w:p>
        </w:tc>
        <w:tc>
          <w:tcPr>
            <w:tcW w:w="881" w:type="dxa"/>
            <w:tcBorders>
              <w:top w:val="single" w:sz="4" w:space="0" w:color="000000"/>
              <w:bottom w:val="single" w:sz="4" w:space="0" w:color="000000"/>
            </w:tcBorders>
          </w:tcPr>
          <w:p w:rsidR="00EA40A3" w:rsidRDefault="00E86C16">
            <w:pPr>
              <w:spacing w:before="91" w:line="219" w:lineRule="auto"/>
              <w:ind w:left="282"/>
              <w:rPr>
                <w:rFonts w:ascii="宋体" w:eastAsia="宋体" w:hAnsi="宋体" w:cs="宋体"/>
                <w:sz w:val="16"/>
                <w:szCs w:val="16"/>
              </w:rPr>
            </w:pPr>
            <w:r>
              <w:rPr>
                <w:rFonts w:ascii="宋体" w:eastAsia="宋体" w:hAnsi="宋体" w:cs="宋体"/>
                <w:spacing w:val="-3"/>
                <w:sz w:val="16"/>
                <w:szCs w:val="16"/>
              </w:rPr>
              <w:t>大米</w:t>
            </w:r>
          </w:p>
        </w:tc>
      </w:tr>
      <w:tr w:rsidR="00EA40A3">
        <w:trPr>
          <w:trHeight w:val="274"/>
        </w:trPr>
        <w:tc>
          <w:tcPr>
            <w:tcW w:w="1917" w:type="dxa"/>
            <w:tcBorders>
              <w:top w:val="single" w:sz="4" w:space="0" w:color="000000"/>
            </w:tcBorders>
          </w:tcPr>
          <w:p w:rsidR="00EA40A3" w:rsidRDefault="00E86C16">
            <w:pPr>
              <w:spacing w:before="76" w:line="219" w:lineRule="auto"/>
              <w:ind w:left="380"/>
              <w:rPr>
                <w:rFonts w:ascii="宋体" w:eastAsia="宋体" w:hAnsi="宋体" w:cs="宋体"/>
                <w:sz w:val="16"/>
                <w:szCs w:val="16"/>
              </w:rPr>
            </w:pPr>
            <w:r>
              <w:rPr>
                <w:rFonts w:ascii="宋体" w:eastAsia="宋体" w:hAnsi="宋体" w:cs="宋体"/>
                <w:spacing w:val="-1"/>
                <w:sz w:val="16"/>
                <w:szCs w:val="16"/>
              </w:rPr>
              <w:t>苯丙(酪)氨酸</w:t>
            </w:r>
          </w:p>
        </w:tc>
        <w:tc>
          <w:tcPr>
            <w:tcW w:w="1001" w:type="dxa"/>
            <w:tcBorders>
              <w:top w:val="single" w:sz="4" w:space="0" w:color="000000"/>
            </w:tcBorders>
          </w:tcPr>
          <w:p w:rsidR="00EA40A3" w:rsidRDefault="00E86C16">
            <w:pPr>
              <w:spacing w:before="108" w:line="183" w:lineRule="auto"/>
              <w:ind w:left="522"/>
              <w:rPr>
                <w:rFonts w:ascii="宋体" w:eastAsia="宋体" w:hAnsi="宋体" w:cs="宋体"/>
                <w:sz w:val="16"/>
                <w:szCs w:val="16"/>
              </w:rPr>
            </w:pPr>
            <w:r>
              <w:rPr>
                <w:rFonts w:ascii="宋体" w:eastAsia="宋体" w:hAnsi="宋体" w:cs="宋体"/>
                <w:spacing w:val="-2"/>
                <w:sz w:val="16"/>
                <w:szCs w:val="16"/>
              </w:rPr>
              <w:t>6.0</w:t>
            </w:r>
          </w:p>
        </w:tc>
        <w:tc>
          <w:tcPr>
            <w:tcW w:w="970" w:type="dxa"/>
            <w:tcBorders>
              <w:top w:val="single" w:sz="4" w:space="0" w:color="000000"/>
            </w:tcBorders>
          </w:tcPr>
          <w:p w:rsidR="00EA40A3" w:rsidRDefault="00E86C16">
            <w:pPr>
              <w:spacing w:before="98" w:line="183" w:lineRule="auto"/>
              <w:ind w:left="371"/>
              <w:rPr>
                <w:rFonts w:ascii="宋体" w:eastAsia="宋体" w:hAnsi="宋体" w:cs="宋体"/>
                <w:sz w:val="16"/>
                <w:szCs w:val="16"/>
              </w:rPr>
            </w:pPr>
            <w:r>
              <w:rPr>
                <w:rFonts w:ascii="宋体" w:eastAsia="宋体" w:hAnsi="宋体" w:cs="宋体"/>
                <w:spacing w:val="-3"/>
                <w:sz w:val="16"/>
                <w:szCs w:val="16"/>
              </w:rPr>
              <w:t>3.6</w:t>
            </w:r>
          </w:p>
        </w:tc>
        <w:tc>
          <w:tcPr>
            <w:tcW w:w="833" w:type="dxa"/>
            <w:tcBorders>
              <w:top w:val="single" w:sz="4" w:space="0" w:color="000000"/>
            </w:tcBorders>
          </w:tcPr>
          <w:p w:rsidR="00EA40A3" w:rsidRDefault="00E86C16">
            <w:pPr>
              <w:spacing w:before="108" w:line="184" w:lineRule="auto"/>
              <w:ind w:left="251"/>
              <w:rPr>
                <w:rFonts w:ascii="宋体" w:eastAsia="宋体" w:hAnsi="宋体" w:cs="宋体"/>
                <w:sz w:val="16"/>
                <w:szCs w:val="16"/>
              </w:rPr>
            </w:pPr>
            <w:r>
              <w:rPr>
                <w:rFonts w:ascii="宋体" w:eastAsia="宋体" w:hAnsi="宋体" w:cs="宋体"/>
                <w:spacing w:val="-3"/>
                <w:sz w:val="16"/>
                <w:szCs w:val="16"/>
              </w:rPr>
              <w:t>5.1</w:t>
            </w:r>
          </w:p>
        </w:tc>
        <w:tc>
          <w:tcPr>
            <w:tcW w:w="861" w:type="dxa"/>
            <w:tcBorders>
              <w:top w:val="single" w:sz="4" w:space="0" w:color="000000"/>
            </w:tcBorders>
          </w:tcPr>
          <w:p w:rsidR="00EA40A3" w:rsidRDefault="00E86C16">
            <w:pPr>
              <w:spacing w:before="118" w:line="179" w:lineRule="auto"/>
              <w:ind w:left="319"/>
              <w:rPr>
                <w:rFonts w:ascii="宋体" w:eastAsia="宋体" w:hAnsi="宋体" w:cs="宋体"/>
                <w:sz w:val="16"/>
                <w:szCs w:val="16"/>
              </w:rPr>
            </w:pPr>
            <w:r>
              <w:rPr>
                <w:rFonts w:ascii="宋体" w:eastAsia="宋体" w:hAnsi="宋体" w:cs="宋体"/>
                <w:spacing w:val="-2"/>
                <w:sz w:val="16"/>
                <w:szCs w:val="16"/>
              </w:rPr>
              <w:t>6.4</w:t>
            </w:r>
          </w:p>
        </w:tc>
        <w:tc>
          <w:tcPr>
            <w:tcW w:w="866" w:type="dxa"/>
            <w:tcBorders>
              <w:top w:val="single" w:sz="4" w:space="0" w:color="000000"/>
            </w:tcBorders>
          </w:tcPr>
          <w:p w:rsidR="00EA40A3" w:rsidRDefault="00E86C16">
            <w:pPr>
              <w:spacing w:before="98" w:line="184" w:lineRule="auto"/>
              <w:ind w:left="317"/>
              <w:rPr>
                <w:rFonts w:ascii="宋体" w:eastAsia="宋体" w:hAnsi="宋体" w:cs="宋体"/>
                <w:sz w:val="16"/>
                <w:szCs w:val="16"/>
              </w:rPr>
            </w:pPr>
            <w:r>
              <w:rPr>
                <w:rFonts w:ascii="宋体" w:eastAsia="宋体" w:hAnsi="宋体" w:cs="宋体"/>
                <w:spacing w:val="-3"/>
                <w:sz w:val="16"/>
                <w:szCs w:val="16"/>
              </w:rPr>
              <w:t>5.1</w:t>
            </w:r>
          </w:p>
        </w:tc>
        <w:tc>
          <w:tcPr>
            <w:tcW w:w="881" w:type="dxa"/>
            <w:tcBorders>
              <w:top w:val="single" w:sz="4" w:space="0" w:color="000000"/>
            </w:tcBorders>
          </w:tcPr>
          <w:p w:rsidR="00EA40A3" w:rsidRDefault="00E86C16">
            <w:pPr>
              <w:spacing w:before="98" w:line="183" w:lineRule="auto"/>
              <w:ind w:left="321"/>
              <w:rPr>
                <w:rFonts w:ascii="宋体" w:eastAsia="宋体" w:hAnsi="宋体" w:cs="宋体"/>
                <w:sz w:val="16"/>
                <w:szCs w:val="16"/>
              </w:rPr>
            </w:pPr>
            <w:r>
              <w:rPr>
                <w:rFonts w:ascii="宋体" w:eastAsia="宋体" w:hAnsi="宋体" w:cs="宋体"/>
                <w:spacing w:val="-3"/>
                <w:sz w:val="16"/>
                <w:szCs w:val="16"/>
              </w:rPr>
              <w:t>5.8</w:t>
            </w:r>
          </w:p>
        </w:tc>
      </w:tr>
      <w:tr w:rsidR="00EA40A3">
        <w:trPr>
          <w:trHeight w:val="244"/>
        </w:trPr>
        <w:tc>
          <w:tcPr>
            <w:tcW w:w="1917" w:type="dxa"/>
          </w:tcPr>
          <w:p w:rsidR="00EA40A3" w:rsidRDefault="00E86C16">
            <w:pPr>
              <w:spacing w:before="43" w:line="219" w:lineRule="auto"/>
              <w:ind w:left="380"/>
              <w:rPr>
                <w:rFonts w:ascii="宋体" w:eastAsia="宋体" w:hAnsi="宋体" w:cs="宋体"/>
                <w:sz w:val="16"/>
                <w:szCs w:val="16"/>
              </w:rPr>
            </w:pPr>
            <w:r>
              <w:rPr>
                <w:rFonts w:ascii="宋体" w:eastAsia="宋体" w:hAnsi="宋体" w:cs="宋体"/>
                <w:spacing w:val="-2"/>
                <w:sz w:val="16"/>
                <w:szCs w:val="16"/>
              </w:rPr>
              <w:t>亮氨酸</w:t>
            </w:r>
          </w:p>
        </w:tc>
        <w:tc>
          <w:tcPr>
            <w:tcW w:w="1001" w:type="dxa"/>
          </w:tcPr>
          <w:p w:rsidR="00EA40A3" w:rsidRDefault="00E86C16">
            <w:pPr>
              <w:spacing w:before="74" w:line="183" w:lineRule="auto"/>
              <w:ind w:left="522"/>
              <w:rPr>
                <w:rFonts w:ascii="宋体" w:eastAsia="宋体" w:hAnsi="宋体" w:cs="宋体"/>
                <w:sz w:val="16"/>
                <w:szCs w:val="16"/>
              </w:rPr>
            </w:pPr>
            <w:r>
              <w:rPr>
                <w:rFonts w:ascii="宋体" w:eastAsia="宋体" w:hAnsi="宋体" w:cs="宋体"/>
                <w:spacing w:val="-3"/>
                <w:sz w:val="16"/>
                <w:szCs w:val="16"/>
              </w:rPr>
              <w:t>7.0</w:t>
            </w:r>
          </w:p>
        </w:tc>
        <w:tc>
          <w:tcPr>
            <w:tcW w:w="970" w:type="dxa"/>
          </w:tcPr>
          <w:p w:rsidR="00EA40A3" w:rsidRDefault="00E86C16">
            <w:pPr>
              <w:spacing w:before="74" w:line="183" w:lineRule="auto"/>
              <w:ind w:left="371"/>
              <w:rPr>
                <w:rFonts w:ascii="宋体" w:eastAsia="宋体" w:hAnsi="宋体" w:cs="宋体"/>
                <w:sz w:val="16"/>
                <w:szCs w:val="16"/>
              </w:rPr>
            </w:pPr>
            <w:r>
              <w:rPr>
                <w:rFonts w:ascii="宋体" w:eastAsia="宋体" w:hAnsi="宋体" w:cs="宋体"/>
                <w:spacing w:val="-2"/>
                <w:sz w:val="16"/>
                <w:szCs w:val="16"/>
              </w:rPr>
              <w:t>4.0</w:t>
            </w:r>
          </w:p>
        </w:tc>
        <w:tc>
          <w:tcPr>
            <w:tcW w:w="833" w:type="dxa"/>
          </w:tcPr>
          <w:p w:rsidR="00EA40A3" w:rsidRDefault="00E86C16">
            <w:pPr>
              <w:spacing w:before="74" w:line="183" w:lineRule="auto"/>
              <w:ind w:left="251"/>
              <w:rPr>
                <w:rFonts w:ascii="宋体" w:eastAsia="宋体" w:hAnsi="宋体" w:cs="宋体"/>
                <w:sz w:val="16"/>
                <w:szCs w:val="16"/>
              </w:rPr>
            </w:pPr>
            <w:r>
              <w:rPr>
                <w:rFonts w:ascii="宋体" w:eastAsia="宋体" w:hAnsi="宋体" w:cs="宋体"/>
                <w:spacing w:val="-2"/>
                <w:sz w:val="16"/>
                <w:szCs w:val="16"/>
              </w:rPr>
              <w:t>6.4</w:t>
            </w:r>
          </w:p>
        </w:tc>
        <w:tc>
          <w:tcPr>
            <w:tcW w:w="861" w:type="dxa"/>
          </w:tcPr>
          <w:p w:rsidR="00EA40A3" w:rsidRDefault="00E86C16">
            <w:pPr>
              <w:spacing w:before="74" w:line="184" w:lineRule="auto"/>
              <w:ind w:left="319"/>
              <w:rPr>
                <w:rFonts w:ascii="宋体" w:eastAsia="宋体" w:hAnsi="宋体" w:cs="宋体"/>
                <w:sz w:val="16"/>
                <w:szCs w:val="16"/>
              </w:rPr>
            </w:pPr>
            <w:r>
              <w:rPr>
                <w:rFonts w:ascii="宋体" w:eastAsia="宋体" w:hAnsi="宋体" w:cs="宋体"/>
                <w:spacing w:val="-3"/>
                <w:sz w:val="16"/>
                <w:szCs w:val="16"/>
              </w:rPr>
              <w:t>5.1</w:t>
            </w:r>
          </w:p>
        </w:tc>
        <w:tc>
          <w:tcPr>
            <w:tcW w:w="866" w:type="dxa"/>
          </w:tcPr>
          <w:p w:rsidR="00EA40A3" w:rsidRDefault="00E86C16">
            <w:pPr>
              <w:spacing w:before="74" w:line="183" w:lineRule="auto"/>
              <w:ind w:left="317"/>
              <w:rPr>
                <w:rFonts w:ascii="宋体" w:eastAsia="宋体" w:hAnsi="宋体" w:cs="宋体"/>
                <w:sz w:val="16"/>
                <w:szCs w:val="16"/>
              </w:rPr>
            </w:pPr>
            <w:r>
              <w:rPr>
                <w:rFonts w:ascii="宋体" w:eastAsia="宋体" w:hAnsi="宋体" w:cs="宋体"/>
                <w:spacing w:val="-2"/>
                <w:sz w:val="16"/>
                <w:szCs w:val="16"/>
              </w:rPr>
              <w:t>4.4</w:t>
            </w:r>
          </w:p>
        </w:tc>
        <w:tc>
          <w:tcPr>
            <w:tcW w:w="881" w:type="dxa"/>
          </w:tcPr>
          <w:p w:rsidR="00EA40A3" w:rsidRDefault="00E86C16">
            <w:pPr>
              <w:spacing w:before="64" w:line="184" w:lineRule="auto"/>
              <w:ind w:left="321"/>
              <w:rPr>
                <w:rFonts w:ascii="宋体" w:eastAsia="宋体" w:hAnsi="宋体" w:cs="宋体"/>
                <w:sz w:val="16"/>
                <w:szCs w:val="16"/>
              </w:rPr>
            </w:pPr>
            <w:r>
              <w:rPr>
                <w:rFonts w:ascii="宋体" w:eastAsia="宋体" w:hAnsi="宋体" w:cs="宋体"/>
                <w:spacing w:val="-3"/>
                <w:sz w:val="16"/>
                <w:szCs w:val="16"/>
              </w:rPr>
              <w:t>5.1</w:t>
            </w:r>
          </w:p>
        </w:tc>
      </w:tr>
      <w:tr w:rsidR="00EA40A3">
        <w:trPr>
          <w:trHeight w:val="244"/>
        </w:trPr>
        <w:tc>
          <w:tcPr>
            <w:tcW w:w="1917" w:type="dxa"/>
          </w:tcPr>
          <w:p w:rsidR="00EA40A3" w:rsidRDefault="00E86C16">
            <w:pPr>
              <w:spacing w:before="50" w:line="220" w:lineRule="auto"/>
              <w:ind w:left="380"/>
              <w:rPr>
                <w:rFonts w:ascii="宋体" w:eastAsia="宋体" w:hAnsi="宋体" w:cs="宋体"/>
                <w:sz w:val="16"/>
                <w:szCs w:val="16"/>
              </w:rPr>
            </w:pPr>
            <w:r>
              <w:rPr>
                <w:rFonts w:ascii="宋体" w:eastAsia="宋体" w:hAnsi="宋体" w:cs="宋体"/>
                <w:spacing w:val="-2"/>
                <w:sz w:val="16"/>
                <w:szCs w:val="16"/>
              </w:rPr>
              <w:t>蛋(半胱)氨酸</w:t>
            </w:r>
          </w:p>
        </w:tc>
        <w:tc>
          <w:tcPr>
            <w:tcW w:w="1001" w:type="dxa"/>
          </w:tcPr>
          <w:p w:rsidR="00EA40A3" w:rsidRDefault="00E86C16">
            <w:pPr>
              <w:spacing w:before="80" w:line="183" w:lineRule="auto"/>
              <w:ind w:left="522"/>
              <w:rPr>
                <w:rFonts w:ascii="宋体" w:eastAsia="宋体" w:hAnsi="宋体" w:cs="宋体"/>
                <w:sz w:val="16"/>
                <w:szCs w:val="16"/>
              </w:rPr>
            </w:pPr>
            <w:r>
              <w:rPr>
                <w:rFonts w:ascii="宋体" w:eastAsia="宋体" w:hAnsi="宋体" w:cs="宋体"/>
                <w:spacing w:val="-3"/>
                <w:sz w:val="16"/>
                <w:szCs w:val="16"/>
              </w:rPr>
              <w:t>3.5</w:t>
            </w:r>
          </w:p>
        </w:tc>
        <w:tc>
          <w:tcPr>
            <w:tcW w:w="970" w:type="dxa"/>
          </w:tcPr>
          <w:p w:rsidR="00EA40A3" w:rsidRDefault="00E86C16">
            <w:pPr>
              <w:spacing w:before="70" w:line="183" w:lineRule="auto"/>
              <w:ind w:left="371"/>
              <w:rPr>
                <w:rFonts w:ascii="宋体" w:eastAsia="宋体" w:hAnsi="宋体" w:cs="宋体"/>
                <w:sz w:val="16"/>
                <w:szCs w:val="16"/>
              </w:rPr>
            </w:pPr>
            <w:r>
              <w:rPr>
                <w:rFonts w:ascii="宋体" w:eastAsia="宋体" w:hAnsi="宋体" w:cs="宋体"/>
                <w:spacing w:val="-2"/>
                <w:sz w:val="16"/>
                <w:szCs w:val="16"/>
              </w:rPr>
              <w:t>2.3</w:t>
            </w:r>
          </w:p>
        </w:tc>
        <w:tc>
          <w:tcPr>
            <w:tcW w:w="833" w:type="dxa"/>
          </w:tcPr>
          <w:p w:rsidR="00EA40A3" w:rsidRDefault="00E86C16">
            <w:pPr>
              <w:spacing w:before="80" w:line="183" w:lineRule="auto"/>
              <w:ind w:left="251"/>
              <w:rPr>
                <w:rFonts w:ascii="宋体" w:eastAsia="宋体" w:hAnsi="宋体" w:cs="宋体"/>
                <w:sz w:val="16"/>
                <w:szCs w:val="16"/>
              </w:rPr>
            </w:pPr>
            <w:r>
              <w:rPr>
                <w:rFonts w:ascii="宋体" w:eastAsia="宋体" w:hAnsi="宋体" w:cs="宋体"/>
                <w:spacing w:val="-2"/>
                <w:sz w:val="16"/>
                <w:szCs w:val="16"/>
              </w:rPr>
              <w:t>2.4</w:t>
            </w:r>
          </w:p>
        </w:tc>
        <w:tc>
          <w:tcPr>
            <w:tcW w:w="861" w:type="dxa"/>
          </w:tcPr>
          <w:p w:rsidR="00EA40A3" w:rsidRDefault="00E86C16">
            <w:pPr>
              <w:spacing w:before="70" w:line="184" w:lineRule="auto"/>
              <w:ind w:left="319"/>
              <w:rPr>
                <w:rFonts w:ascii="宋体" w:eastAsia="宋体" w:hAnsi="宋体" w:cs="宋体"/>
                <w:sz w:val="16"/>
                <w:szCs w:val="16"/>
              </w:rPr>
            </w:pPr>
            <w:r>
              <w:rPr>
                <w:rFonts w:ascii="宋体" w:eastAsia="宋体" w:hAnsi="宋体" w:cs="宋体"/>
                <w:spacing w:val="-5"/>
                <w:sz w:val="16"/>
                <w:szCs w:val="16"/>
              </w:rPr>
              <w:t>1.7</w:t>
            </w:r>
          </w:p>
        </w:tc>
        <w:tc>
          <w:tcPr>
            <w:tcW w:w="866" w:type="dxa"/>
          </w:tcPr>
          <w:p w:rsidR="00EA40A3" w:rsidRDefault="00E86C16">
            <w:pPr>
              <w:spacing w:before="70" w:line="183" w:lineRule="auto"/>
              <w:ind w:left="317"/>
              <w:rPr>
                <w:rFonts w:ascii="宋体" w:eastAsia="宋体" w:hAnsi="宋体" w:cs="宋体"/>
                <w:sz w:val="16"/>
                <w:szCs w:val="16"/>
              </w:rPr>
            </w:pPr>
            <w:r>
              <w:rPr>
                <w:rFonts w:ascii="宋体" w:eastAsia="宋体" w:hAnsi="宋体" w:cs="宋体"/>
                <w:spacing w:val="-2"/>
                <w:sz w:val="16"/>
                <w:szCs w:val="16"/>
              </w:rPr>
              <w:t>2.7</w:t>
            </w:r>
          </w:p>
        </w:tc>
        <w:tc>
          <w:tcPr>
            <w:tcW w:w="881" w:type="dxa"/>
          </w:tcPr>
          <w:p w:rsidR="00EA40A3" w:rsidRDefault="00E86C16">
            <w:pPr>
              <w:spacing w:before="70" w:line="183" w:lineRule="auto"/>
              <w:ind w:left="321"/>
              <w:rPr>
                <w:rFonts w:ascii="宋体" w:eastAsia="宋体" w:hAnsi="宋体" w:cs="宋体"/>
                <w:sz w:val="16"/>
                <w:szCs w:val="16"/>
              </w:rPr>
            </w:pPr>
            <w:r>
              <w:rPr>
                <w:rFonts w:ascii="宋体" w:eastAsia="宋体" w:hAnsi="宋体" w:cs="宋体"/>
                <w:spacing w:val="-2"/>
                <w:sz w:val="16"/>
                <w:szCs w:val="16"/>
              </w:rPr>
              <w:t>2.4</w:t>
            </w:r>
          </w:p>
        </w:tc>
      </w:tr>
      <w:tr w:rsidR="00EA40A3">
        <w:trPr>
          <w:trHeight w:val="249"/>
        </w:trPr>
        <w:tc>
          <w:tcPr>
            <w:tcW w:w="1917" w:type="dxa"/>
          </w:tcPr>
          <w:p w:rsidR="00EA40A3" w:rsidRDefault="00E86C16">
            <w:pPr>
              <w:spacing w:before="45" w:line="219" w:lineRule="auto"/>
              <w:ind w:left="380"/>
              <w:rPr>
                <w:rFonts w:ascii="宋体" w:eastAsia="宋体" w:hAnsi="宋体" w:cs="宋体"/>
                <w:sz w:val="16"/>
                <w:szCs w:val="16"/>
              </w:rPr>
            </w:pPr>
            <w:r>
              <w:rPr>
                <w:rFonts w:ascii="宋体" w:eastAsia="宋体" w:hAnsi="宋体" w:cs="宋体"/>
                <w:spacing w:val="-2"/>
                <w:sz w:val="16"/>
                <w:szCs w:val="16"/>
              </w:rPr>
              <w:t>赖氨酸</w:t>
            </w:r>
          </w:p>
        </w:tc>
        <w:tc>
          <w:tcPr>
            <w:tcW w:w="1001" w:type="dxa"/>
          </w:tcPr>
          <w:p w:rsidR="00EA40A3" w:rsidRDefault="00E86C16">
            <w:pPr>
              <w:spacing w:before="98" w:line="174" w:lineRule="auto"/>
              <w:ind w:left="522"/>
              <w:rPr>
                <w:rFonts w:ascii="宋体" w:eastAsia="宋体" w:hAnsi="宋体" w:cs="宋体"/>
                <w:sz w:val="16"/>
                <w:szCs w:val="16"/>
              </w:rPr>
            </w:pPr>
            <w:r>
              <w:rPr>
                <w:rFonts w:ascii="宋体" w:eastAsia="宋体" w:hAnsi="宋体" w:cs="宋体"/>
                <w:spacing w:val="-3"/>
                <w:sz w:val="16"/>
                <w:szCs w:val="16"/>
              </w:rPr>
              <w:t>5.5</w:t>
            </w:r>
          </w:p>
        </w:tc>
        <w:tc>
          <w:tcPr>
            <w:tcW w:w="970" w:type="dxa"/>
          </w:tcPr>
          <w:p w:rsidR="00EA40A3" w:rsidRDefault="00E86C16">
            <w:pPr>
              <w:spacing w:before="96" w:line="176" w:lineRule="auto"/>
              <w:ind w:left="371"/>
              <w:rPr>
                <w:rFonts w:ascii="宋体" w:eastAsia="宋体" w:hAnsi="宋体" w:cs="宋体"/>
                <w:sz w:val="16"/>
                <w:szCs w:val="16"/>
              </w:rPr>
            </w:pPr>
            <w:r>
              <w:rPr>
                <w:rFonts w:ascii="宋体" w:eastAsia="宋体" w:hAnsi="宋体" w:cs="宋体"/>
                <w:spacing w:val="-3"/>
                <w:sz w:val="16"/>
                <w:szCs w:val="16"/>
              </w:rPr>
              <w:t>3.1</w:t>
            </w:r>
          </w:p>
        </w:tc>
        <w:tc>
          <w:tcPr>
            <w:tcW w:w="833" w:type="dxa"/>
          </w:tcPr>
          <w:p w:rsidR="00EA40A3" w:rsidRDefault="00E86C16">
            <w:pPr>
              <w:spacing w:before="86" w:line="183" w:lineRule="auto"/>
              <w:ind w:left="251"/>
              <w:rPr>
                <w:rFonts w:ascii="宋体" w:eastAsia="宋体" w:hAnsi="宋体" w:cs="宋体"/>
                <w:sz w:val="16"/>
                <w:szCs w:val="16"/>
              </w:rPr>
            </w:pPr>
            <w:r>
              <w:rPr>
                <w:rFonts w:ascii="宋体" w:eastAsia="宋体" w:hAnsi="宋体" w:cs="宋体"/>
                <w:spacing w:val="-3"/>
                <w:sz w:val="16"/>
                <w:szCs w:val="16"/>
              </w:rPr>
              <w:t>5.4</w:t>
            </w:r>
          </w:p>
        </w:tc>
        <w:tc>
          <w:tcPr>
            <w:tcW w:w="861" w:type="dxa"/>
          </w:tcPr>
          <w:p w:rsidR="00EA40A3" w:rsidRDefault="00E86C16">
            <w:pPr>
              <w:spacing w:before="106" w:line="164" w:lineRule="auto"/>
              <w:ind w:left="319"/>
              <w:rPr>
                <w:rFonts w:ascii="宋体" w:eastAsia="宋体" w:hAnsi="宋体" w:cs="宋体"/>
                <w:sz w:val="16"/>
                <w:szCs w:val="16"/>
              </w:rPr>
            </w:pPr>
            <w:r>
              <w:rPr>
                <w:rFonts w:ascii="宋体" w:eastAsia="宋体" w:hAnsi="宋体" w:cs="宋体"/>
                <w:spacing w:val="-2"/>
                <w:sz w:val="16"/>
                <w:szCs w:val="16"/>
              </w:rPr>
              <w:t>4.4</w:t>
            </w:r>
          </w:p>
        </w:tc>
        <w:tc>
          <w:tcPr>
            <w:tcW w:w="866" w:type="dxa"/>
          </w:tcPr>
          <w:p w:rsidR="00EA40A3" w:rsidRDefault="00E86C16">
            <w:pPr>
              <w:spacing w:before="96" w:line="176" w:lineRule="auto"/>
              <w:ind w:left="317"/>
              <w:rPr>
                <w:rFonts w:ascii="宋体" w:eastAsia="宋体" w:hAnsi="宋体" w:cs="宋体"/>
                <w:sz w:val="16"/>
                <w:szCs w:val="16"/>
              </w:rPr>
            </w:pPr>
            <w:r>
              <w:rPr>
                <w:rFonts w:ascii="宋体" w:eastAsia="宋体" w:hAnsi="宋体" w:cs="宋体"/>
                <w:spacing w:val="-5"/>
                <w:sz w:val="16"/>
                <w:szCs w:val="16"/>
              </w:rPr>
              <w:t>1.5</w:t>
            </w:r>
          </w:p>
        </w:tc>
        <w:tc>
          <w:tcPr>
            <w:tcW w:w="881" w:type="dxa"/>
          </w:tcPr>
          <w:p w:rsidR="00EA40A3" w:rsidRDefault="00E86C16">
            <w:pPr>
              <w:spacing w:before="86" w:line="183" w:lineRule="auto"/>
              <w:ind w:left="321"/>
              <w:rPr>
                <w:rFonts w:ascii="宋体" w:eastAsia="宋体" w:hAnsi="宋体" w:cs="宋体"/>
                <w:sz w:val="16"/>
                <w:szCs w:val="16"/>
              </w:rPr>
            </w:pPr>
            <w:r>
              <w:rPr>
                <w:rFonts w:ascii="宋体" w:eastAsia="宋体" w:hAnsi="宋体" w:cs="宋体"/>
                <w:spacing w:val="-2"/>
                <w:sz w:val="16"/>
                <w:szCs w:val="16"/>
              </w:rPr>
              <w:t>2.3</w:t>
            </w:r>
          </w:p>
        </w:tc>
      </w:tr>
      <w:tr w:rsidR="00EA40A3">
        <w:trPr>
          <w:trHeight w:val="254"/>
        </w:trPr>
        <w:tc>
          <w:tcPr>
            <w:tcW w:w="1917" w:type="dxa"/>
          </w:tcPr>
          <w:p w:rsidR="00EA40A3" w:rsidRDefault="00E86C16">
            <w:pPr>
              <w:spacing w:before="36" w:line="219" w:lineRule="auto"/>
              <w:ind w:left="380"/>
              <w:rPr>
                <w:rFonts w:ascii="宋体" w:eastAsia="宋体" w:hAnsi="宋体" w:cs="宋体"/>
                <w:sz w:val="16"/>
                <w:szCs w:val="16"/>
              </w:rPr>
            </w:pPr>
            <w:r>
              <w:rPr>
                <w:rFonts w:ascii="宋体" w:eastAsia="宋体" w:hAnsi="宋体" w:cs="宋体"/>
                <w:spacing w:val="-2"/>
                <w:sz w:val="16"/>
                <w:szCs w:val="16"/>
              </w:rPr>
              <w:t>异亮氨酸</w:t>
            </w:r>
          </w:p>
        </w:tc>
        <w:tc>
          <w:tcPr>
            <w:tcW w:w="1001" w:type="dxa"/>
          </w:tcPr>
          <w:p w:rsidR="00EA40A3" w:rsidRDefault="00E86C16">
            <w:pPr>
              <w:spacing w:before="107" w:line="169" w:lineRule="auto"/>
              <w:ind w:left="522"/>
              <w:rPr>
                <w:rFonts w:ascii="宋体" w:eastAsia="宋体" w:hAnsi="宋体" w:cs="宋体"/>
                <w:sz w:val="16"/>
                <w:szCs w:val="16"/>
              </w:rPr>
            </w:pPr>
            <w:r>
              <w:rPr>
                <w:rFonts w:ascii="宋体" w:eastAsia="宋体" w:hAnsi="宋体" w:cs="宋体"/>
                <w:spacing w:val="-2"/>
                <w:sz w:val="16"/>
                <w:szCs w:val="16"/>
              </w:rPr>
              <w:t>4.0</w:t>
            </w:r>
          </w:p>
        </w:tc>
        <w:tc>
          <w:tcPr>
            <w:tcW w:w="970" w:type="dxa"/>
          </w:tcPr>
          <w:p w:rsidR="00EA40A3" w:rsidRDefault="00E86C16">
            <w:pPr>
              <w:spacing w:before="77" w:line="183" w:lineRule="auto"/>
              <w:ind w:left="371"/>
              <w:rPr>
                <w:rFonts w:ascii="宋体" w:eastAsia="宋体" w:hAnsi="宋体" w:cs="宋体"/>
                <w:sz w:val="16"/>
                <w:szCs w:val="16"/>
              </w:rPr>
            </w:pPr>
            <w:r>
              <w:rPr>
                <w:rFonts w:ascii="宋体" w:eastAsia="宋体" w:hAnsi="宋体" w:cs="宋体"/>
                <w:spacing w:val="-2"/>
                <w:sz w:val="16"/>
                <w:szCs w:val="16"/>
              </w:rPr>
              <w:t>2.5</w:t>
            </w:r>
          </w:p>
        </w:tc>
        <w:tc>
          <w:tcPr>
            <w:tcW w:w="833" w:type="dxa"/>
          </w:tcPr>
          <w:p w:rsidR="00EA40A3" w:rsidRDefault="00E86C16">
            <w:pPr>
              <w:spacing w:before="97" w:line="180" w:lineRule="auto"/>
              <w:ind w:left="251"/>
              <w:rPr>
                <w:rFonts w:ascii="宋体" w:eastAsia="宋体" w:hAnsi="宋体" w:cs="宋体"/>
                <w:sz w:val="16"/>
                <w:szCs w:val="16"/>
              </w:rPr>
            </w:pPr>
            <w:r>
              <w:rPr>
                <w:rFonts w:ascii="宋体" w:eastAsia="宋体" w:hAnsi="宋体" w:cs="宋体"/>
                <w:spacing w:val="-3"/>
                <w:sz w:val="16"/>
                <w:szCs w:val="16"/>
              </w:rPr>
              <w:t>3.0</w:t>
            </w:r>
          </w:p>
        </w:tc>
        <w:tc>
          <w:tcPr>
            <w:tcW w:w="861" w:type="dxa"/>
          </w:tcPr>
          <w:p w:rsidR="00EA40A3" w:rsidRDefault="00E86C16">
            <w:pPr>
              <w:spacing w:before="87" w:line="183" w:lineRule="auto"/>
              <w:ind w:left="319"/>
              <w:rPr>
                <w:rFonts w:ascii="宋体" w:eastAsia="宋体" w:hAnsi="宋体" w:cs="宋体"/>
                <w:sz w:val="16"/>
                <w:szCs w:val="16"/>
              </w:rPr>
            </w:pPr>
            <w:r>
              <w:rPr>
                <w:rFonts w:ascii="宋体" w:eastAsia="宋体" w:hAnsi="宋体" w:cs="宋体"/>
                <w:spacing w:val="-3"/>
                <w:sz w:val="16"/>
                <w:szCs w:val="16"/>
              </w:rPr>
              <w:t>3.0</w:t>
            </w:r>
          </w:p>
        </w:tc>
        <w:tc>
          <w:tcPr>
            <w:tcW w:w="866" w:type="dxa"/>
          </w:tcPr>
          <w:p w:rsidR="00EA40A3" w:rsidRDefault="00E86C16">
            <w:pPr>
              <w:spacing w:before="87" w:line="183" w:lineRule="auto"/>
              <w:ind w:left="317"/>
              <w:rPr>
                <w:rFonts w:ascii="宋体" w:eastAsia="宋体" w:hAnsi="宋体" w:cs="宋体"/>
                <w:sz w:val="16"/>
                <w:szCs w:val="16"/>
              </w:rPr>
            </w:pPr>
            <w:r>
              <w:rPr>
                <w:rFonts w:ascii="宋体" w:eastAsia="宋体" w:hAnsi="宋体" w:cs="宋体"/>
                <w:spacing w:val="-2"/>
                <w:sz w:val="16"/>
                <w:szCs w:val="16"/>
              </w:rPr>
              <w:t>2.3</w:t>
            </w:r>
          </w:p>
        </w:tc>
        <w:tc>
          <w:tcPr>
            <w:tcW w:w="881" w:type="dxa"/>
          </w:tcPr>
          <w:p w:rsidR="00EA40A3" w:rsidRDefault="00E86C16">
            <w:pPr>
              <w:spacing w:before="87" w:line="183" w:lineRule="auto"/>
              <w:ind w:left="321"/>
              <w:rPr>
                <w:rFonts w:ascii="宋体" w:eastAsia="宋体" w:hAnsi="宋体" w:cs="宋体"/>
                <w:sz w:val="16"/>
                <w:szCs w:val="16"/>
              </w:rPr>
            </w:pPr>
            <w:r>
              <w:rPr>
                <w:rFonts w:ascii="宋体" w:eastAsia="宋体" w:hAnsi="宋体" w:cs="宋体"/>
                <w:spacing w:val="-2"/>
                <w:sz w:val="16"/>
                <w:szCs w:val="16"/>
              </w:rPr>
              <w:t>2.5</w:t>
            </w:r>
          </w:p>
        </w:tc>
      </w:tr>
      <w:tr w:rsidR="00EA40A3">
        <w:trPr>
          <w:trHeight w:val="234"/>
        </w:trPr>
        <w:tc>
          <w:tcPr>
            <w:tcW w:w="1917" w:type="dxa"/>
          </w:tcPr>
          <w:p w:rsidR="00EA40A3" w:rsidRDefault="00E86C16">
            <w:pPr>
              <w:spacing w:before="43" w:line="220" w:lineRule="auto"/>
              <w:ind w:left="380"/>
              <w:rPr>
                <w:rFonts w:ascii="宋体" w:eastAsia="宋体" w:hAnsi="宋体" w:cs="宋体"/>
                <w:sz w:val="16"/>
                <w:szCs w:val="16"/>
              </w:rPr>
            </w:pPr>
            <w:r>
              <w:rPr>
                <w:rFonts w:ascii="宋体" w:eastAsia="宋体" w:hAnsi="宋体" w:cs="宋体"/>
                <w:spacing w:val="-2"/>
                <w:sz w:val="16"/>
                <w:szCs w:val="16"/>
              </w:rPr>
              <w:t>缬氨酸</w:t>
            </w:r>
          </w:p>
        </w:tc>
        <w:tc>
          <w:tcPr>
            <w:tcW w:w="1001" w:type="dxa"/>
          </w:tcPr>
          <w:p w:rsidR="00EA40A3" w:rsidRDefault="00E86C16">
            <w:pPr>
              <w:spacing w:before="73" w:line="183" w:lineRule="auto"/>
              <w:ind w:left="522"/>
              <w:rPr>
                <w:rFonts w:ascii="宋体" w:eastAsia="宋体" w:hAnsi="宋体" w:cs="宋体"/>
                <w:sz w:val="16"/>
                <w:szCs w:val="16"/>
              </w:rPr>
            </w:pPr>
            <w:r>
              <w:rPr>
                <w:rFonts w:ascii="宋体" w:eastAsia="宋体" w:hAnsi="宋体" w:cs="宋体"/>
                <w:spacing w:val="-3"/>
                <w:sz w:val="16"/>
                <w:szCs w:val="16"/>
              </w:rPr>
              <w:t>5.0</w:t>
            </w:r>
          </w:p>
        </w:tc>
        <w:tc>
          <w:tcPr>
            <w:tcW w:w="970" w:type="dxa"/>
          </w:tcPr>
          <w:p w:rsidR="00EA40A3" w:rsidRDefault="00E86C16">
            <w:pPr>
              <w:spacing w:before="73" w:line="183" w:lineRule="auto"/>
              <w:ind w:left="371"/>
              <w:rPr>
                <w:rFonts w:ascii="宋体" w:eastAsia="宋体" w:hAnsi="宋体" w:cs="宋体"/>
                <w:sz w:val="16"/>
                <w:szCs w:val="16"/>
              </w:rPr>
            </w:pPr>
            <w:r>
              <w:rPr>
                <w:rFonts w:ascii="宋体" w:eastAsia="宋体" w:hAnsi="宋体" w:cs="宋体"/>
                <w:spacing w:val="-2"/>
                <w:sz w:val="16"/>
                <w:szCs w:val="16"/>
              </w:rPr>
              <w:t>2.5</w:t>
            </w:r>
          </w:p>
        </w:tc>
        <w:tc>
          <w:tcPr>
            <w:tcW w:w="833" w:type="dxa"/>
          </w:tcPr>
          <w:p w:rsidR="00EA40A3" w:rsidRDefault="00E86C16">
            <w:pPr>
              <w:spacing w:before="84" w:line="173" w:lineRule="auto"/>
              <w:ind w:left="251"/>
              <w:rPr>
                <w:rFonts w:ascii="宋体" w:eastAsia="宋体" w:hAnsi="宋体" w:cs="宋体"/>
                <w:sz w:val="16"/>
                <w:szCs w:val="16"/>
              </w:rPr>
            </w:pPr>
            <w:r>
              <w:rPr>
                <w:rFonts w:ascii="宋体" w:eastAsia="宋体" w:hAnsi="宋体" w:cs="宋体"/>
                <w:spacing w:val="-3"/>
                <w:sz w:val="16"/>
                <w:szCs w:val="16"/>
              </w:rPr>
              <w:t>3.5</w:t>
            </w:r>
          </w:p>
        </w:tc>
        <w:tc>
          <w:tcPr>
            <w:tcW w:w="861" w:type="dxa"/>
          </w:tcPr>
          <w:p w:rsidR="00EA40A3" w:rsidRDefault="00E86C16">
            <w:pPr>
              <w:spacing w:before="84" w:line="173" w:lineRule="auto"/>
              <w:ind w:left="319"/>
              <w:rPr>
                <w:rFonts w:ascii="宋体" w:eastAsia="宋体" w:hAnsi="宋体" w:cs="宋体"/>
                <w:sz w:val="16"/>
                <w:szCs w:val="16"/>
              </w:rPr>
            </w:pPr>
            <w:r>
              <w:rPr>
                <w:rFonts w:ascii="宋体" w:eastAsia="宋体" w:hAnsi="宋体" w:cs="宋体"/>
                <w:spacing w:val="-3"/>
                <w:sz w:val="16"/>
                <w:szCs w:val="16"/>
              </w:rPr>
              <w:t>3.5</w:t>
            </w:r>
          </w:p>
        </w:tc>
        <w:tc>
          <w:tcPr>
            <w:tcW w:w="866" w:type="dxa"/>
          </w:tcPr>
          <w:p w:rsidR="00EA40A3" w:rsidRDefault="00E86C16">
            <w:pPr>
              <w:spacing w:before="73" w:line="183" w:lineRule="auto"/>
              <w:ind w:left="317"/>
              <w:rPr>
                <w:rFonts w:ascii="宋体" w:eastAsia="宋体" w:hAnsi="宋体" w:cs="宋体"/>
                <w:sz w:val="16"/>
                <w:szCs w:val="16"/>
              </w:rPr>
            </w:pPr>
            <w:r>
              <w:rPr>
                <w:rFonts w:ascii="宋体" w:eastAsia="宋体" w:hAnsi="宋体" w:cs="宋体"/>
                <w:spacing w:val="-2"/>
                <w:sz w:val="16"/>
                <w:szCs w:val="16"/>
              </w:rPr>
              <w:t>2.7</w:t>
            </w:r>
          </w:p>
        </w:tc>
        <w:tc>
          <w:tcPr>
            <w:tcW w:w="881" w:type="dxa"/>
          </w:tcPr>
          <w:p w:rsidR="00EA40A3" w:rsidRDefault="00E86C16">
            <w:pPr>
              <w:spacing w:before="84" w:line="173" w:lineRule="auto"/>
              <w:ind w:left="321"/>
              <w:rPr>
                <w:rFonts w:ascii="宋体" w:eastAsia="宋体" w:hAnsi="宋体" w:cs="宋体"/>
                <w:sz w:val="16"/>
                <w:szCs w:val="16"/>
              </w:rPr>
            </w:pPr>
            <w:r>
              <w:rPr>
                <w:rFonts w:ascii="宋体" w:eastAsia="宋体" w:hAnsi="宋体" w:cs="宋体"/>
                <w:spacing w:val="-3"/>
                <w:sz w:val="16"/>
                <w:szCs w:val="16"/>
              </w:rPr>
              <w:t>3.4</w:t>
            </w:r>
          </w:p>
        </w:tc>
      </w:tr>
      <w:tr w:rsidR="00EA40A3">
        <w:trPr>
          <w:trHeight w:val="253"/>
        </w:trPr>
        <w:tc>
          <w:tcPr>
            <w:tcW w:w="1917" w:type="dxa"/>
          </w:tcPr>
          <w:p w:rsidR="00EA40A3" w:rsidRDefault="00E86C16">
            <w:pPr>
              <w:spacing w:before="49" w:line="220" w:lineRule="auto"/>
              <w:ind w:left="380"/>
              <w:rPr>
                <w:rFonts w:ascii="宋体" w:eastAsia="宋体" w:hAnsi="宋体" w:cs="宋体"/>
                <w:sz w:val="16"/>
                <w:szCs w:val="16"/>
              </w:rPr>
            </w:pPr>
            <w:r>
              <w:rPr>
                <w:rFonts w:ascii="宋体" w:eastAsia="宋体" w:hAnsi="宋体" w:cs="宋体"/>
                <w:spacing w:val="-3"/>
                <w:sz w:val="16"/>
                <w:szCs w:val="16"/>
              </w:rPr>
              <w:t>苏氨酸</w:t>
            </w:r>
          </w:p>
        </w:tc>
        <w:tc>
          <w:tcPr>
            <w:tcW w:w="1001" w:type="dxa"/>
          </w:tcPr>
          <w:p w:rsidR="00EA40A3" w:rsidRDefault="00E86C16">
            <w:pPr>
              <w:spacing w:before="89" w:line="183" w:lineRule="auto"/>
              <w:ind w:left="522"/>
              <w:rPr>
                <w:rFonts w:ascii="宋体" w:eastAsia="宋体" w:hAnsi="宋体" w:cs="宋体"/>
                <w:sz w:val="16"/>
                <w:szCs w:val="16"/>
              </w:rPr>
            </w:pPr>
            <w:r>
              <w:rPr>
                <w:rFonts w:ascii="宋体" w:eastAsia="宋体" w:hAnsi="宋体" w:cs="宋体"/>
                <w:spacing w:val="-2"/>
                <w:sz w:val="16"/>
                <w:szCs w:val="16"/>
              </w:rPr>
              <w:t>4.0</w:t>
            </w:r>
          </w:p>
        </w:tc>
        <w:tc>
          <w:tcPr>
            <w:tcW w:w="970" w:type="dxa"/>
          </w:tcPr>
          <w:p w:rsidR="00EA40A3" w:rsidRDefault="00E86C16">
            <w:pPr>
              <w:spacing w:before="79" w:line="184" w:lineRule="auto"/>
              <w:ind w:left="371"/>
              <w:rPr>
                <w:rFonts w:ascii="宋体" w:eastAsia="宋体" w:hAnsi="宋体" w:cs="宋体"/>
                <w:sz w:val="16"/>
                <w:szCs w:val="16"/>
              </w:rPr>
            </w:pPr>
            <w:r>
              <w:rPr>
                <w:rFonts w:ascii="宋体" w:eastAsia="宋体" w:hAnsi="宋体" w:cs="宋体"/>
                <w:spacing w:val="-2"/>
                <w:sz w:val="16"/>
                <w:szCs w:val="16"/>
              </w:rPr>
              <w:t>2.1</w:t>
            </w:r>
          </w:p>
        </w:tc>
        <w:tc>
          <w:tcPr>
            <w:tcW w:w="833" w:type="dxa"/>
          </w:tcPr>
          <w:p w:rsidR="00EA40A3" w:rsidRDefault="00E86C16">
            <w:pPr>
              <w:spacing w:before="79" w:line="183" w:lineRule="auto"/>
              <w:ind w:left="251"/>
              <w:rPr>
                <w:rFonts w:ascii="宋体" w:eastAsia="宋体" w:hAnsi="宋体" w:cs="宋体"/>
                <w:sz w:val="16"/>
                <w:szCs w:val="16"/>
              </w:rPr>
            </w:pPr>
            <w:r>
              <w:rPr>
                <w:rFonts w:ascii="宋体" w:eastAsia="宋体" w:hAnsi="宋体" w:cs="宋体"/>
                <w:spacing w:val="-2"/>
                <w:sz w:val="16"/>
                <w:szCs w:val="16"/>
              </w:rPr>
              <w:t>2.7</w:t>
            </w:r>
          </w:p>
        </w:tc>
        <w:tc>
          <w:tcPr>
            <w:tcW w:w="861" w:type="dxa"/>
          </w:tcPr>
          <w:p w:rsidR="00EA40A3" w:rsidRDefault="00E86C16">
            <w:pPr>
              <w:spacing w:before="89" w:line="183" w:lineRule="auto"/>
              <w:ind w:left="319"/>
              <w:rPr>
                <w:rFonts w:ascii="宋体" w:eastAsia="宋体" w:hAnsi="宋体" w:cs="宋体"/>
                <w:sz w:val="16"/>
                <w:szCs w:val="16"/>
              </w:rPr>
            </w:pPr>
            <w:r>
              <w:rPr>
                <w:rFonts w:ascii="宋体" w:eastAsia="宋体" w:hAnsi="宋体" w:cs="宋体"/>
                <w:spacing w:val="-2"/>
                <w:sz w:val="16"/>
                <w:szCs w:val="16"/>
              </w:rPr>
              <w:t>2.7</w:t>
            </w:r>
          </w:p>
        </w:tc>
        <w:tc>
          <w:tcPr>
            <w:tcW w:w="866" w:type="dxa"/>
          </w:tcPr>
          <w:p w:rsidR="00EA40A3" w:rsidRDefault="00E86C16">
            <w:pPr>
              <w:spacing w:before="89" w:line="184" w:lineRule="auto"/>
              <w:ind w:left="317"/>
              <w:rPr>
                <w:rFonts w:ascii="宋体" w:eastAsia="宋体" w:hAnsi="宋体" w:cs="宋体"/>
                <w:sz w:val="16"/>
                <w:szCs w:val="16"/>
              </w:rPr>
            </w:pPr>
            <w:r>
              <w:rPr>
                <w:rFonts w:ascii="宋体" w:eastAsia="宋体" w:hAnsi="宋体" w:cs="宋体"/>
                <w:spacing w:val="-5"/>
                <w:sz w:val="16"/>
                <w:szCs w:val="16"/>
              </w:rPr>
              <w:t>1.8</w:t>
            </w:r>
          </w:p>
        </w:tc>
        <w:tc>
          <w:tcPr>
            <w:tcW w:w="881" w:type="dxa"/>
          </w:tcPr>
          <w:p w:rsidR="00EA40A3" w:rsidRDefault="00E86C16">
            <w:pPr>
              <w:spacing w:before="110" w:line="165" w:lineRule="auto"/>
              <w:ind w:left="321"/>
              <w:rPr>
                <w:rFonts w:ascii="宋体" w:eastAsia="宋体" w:hAnsi="宋体" w:cs="宋体"/>
                <w:sz w:val="16"/>
                <w:szCs w:val="16"/>
              </w:rPr>
            </w:pPr>
            <w:r>
              <w:rPr>
                <w:rFonts w:ascii="宋体" w:eastAsia="宋体" w:hAnsi="宋体" w:cs="宋体"/>
                <w:spacing w:val="-2"/>
                <w:sz w:val="16"/>
                <w:szCs w:val="16"/>
              </w:rPr>
              <w:t>2.3</w:t>
            </w:r>
          </w:p>
        </w:tc>
      </w:tr>
      <w:tr w:rsidR="00EA40A3">
        <w:trPr>
          <w:trHeight w:val="214"/>
        </w:trPr>
        <w:tc>
          <w:tcPr>
            <w:tcW w:w="1917" w:type="dxa"/>
            <w:tcBorders>
              <w:bottom w:val="single" w:sz="4" w:space="0" w:color="000000"/>
            </w:tcBorders>
          </w:tcPr>
          <w:p w:rsidR="00EA40A3" w:rsidRDefault="00E86C16">
            <w:pPr>
              <w:spacing w:before="45" w:line="194" w:lineRule="auto"/>
              <w:ind w:left="380"/>
              <w:rPr>
                <w:rFonts w:ascii="宋体" w:eastAsia="宋体" w:hAnsi="宋体" w:cs="宋体"/>
                <w:sz w:val="16"/>
                <w:szCs w:val="16"/>
              </w:rPr>
            </w:pPr>
            <w:r>
              <w:rPr>
                <w:rFonts w:ascii="宋体" w:eastAsia="宋体" w:hAnsi="宋体" w:cs="宋体"/>
                <w:spacing w:val="-2"/>
                <w:sz w:val="16"/>
                <w:szCs w:val="16"/>
              </w:rPr>
              <w:t>色氨酸</w:t>
            </w:r>
          </w:p>
        </w:tc>
        <w:tc>
          <w:tcPr>
            <w:tcW w:w="1001" w:type="dxa"/>
            <w:tcBorders>
              <w:bottom w:val="single" w:sz="4" w:space="0" w:color="000000"/>
            </w:tcBorders>
          </w:tcPr>
          <w:p w:rsidR="00EA40A3" w:rsidRDefault="00E86C16">
            <w:pPr>
              <w:spacing w:before="106" w:line="107" w:lineRule="exact"/>
              <w:ind w:left="522"/>
              <w:rPr>
                <w:rFonts w:ascii="宋体" w:eastAsia="宋体" w:hAnsi="宋体" w:cs="宋体"/>
                <w:sz w:val="15"/>
                <w:szCs w:val="15"/>
              </w:rPr>
            </w:pPr>
            <w:r>
              <w:rPr>
                <w:rFonts w:ascii="宋体" w:eastAsia="宋体" w:hAnsi="宋体" w:cs="宋体"/>
                <w:spacing w:val="-1"/>
                <w:position w:val="-2"/>
                <w:sz w:val="15"/>
                <w:szCs w:val="15"/>
              </w:rPr>
              <w:t>1.0</w:t>
            </w:r>
          </w:p>
        </w:tc>
        <w:tc>
          <w:tcPr>
            <w:tcW w:w="970" w:type="dxa"/>
            <w:tcBorders>
              <w:bottom w:val="single" w:sz="4" w:space="0" w:color="000000"/>
            </w:tcBorders>
          </w:tcPr>
          <w:p w:rsidR="00EA40A3" w:rsidRDefault="00E86C16">
            <w:pPr>
              <w:spacing w:before="96" w:line="117" w:lineRule="exact"/>
              <w:ind w:left="371"/>
              <w:rPr>
                <w:rFonts w:ascii="宋体" w:eastAsia="宋体" w:hAnsi="宋体" w:cs="宋体"/>
                <w:sz w:val="16"/>
                <w:szCs w:val="16"/>
              </w:rPr>
            </w:pPr>
            <w:r>
              <w:rPr>
                <w:rFonts w:ascii="宋体" w:eastAsia="宋体" w:hAnsi="宋体" w:cs="宋体"/>
                <w:spacing w:val="-5"/>
                <w:position w:val="-2"/>
                <w:sz w:val="16"/>
                <w:szCs w:val="16"/>
              </w:rPr>
              <w:t>1.0</w:t>
            </w:r>
          </w:p>
        </w:tc>
        <w:tc>
          <w:tcPr>
            <w:tcW w:w="833" w:type="dxa"/>
            <w:tcBorders>
              <w:bottom w:val="single" w:sz="4" w:space="0" w:color="000000"/>
            </w:tcBorders>
          </w:tcPr>
          <w:p w:rsidR="00EA40A3" w:rsidRDefault="00E86C16">
            <w:pPr>
              <w:spacing w:before="59" w:line="190" w:lineRule="auto"/>
              <w:ind w:left="251"/>
              <w:rPr>
                <w:rFonts w:ascii="宋体" w:eastAsia="宋体" w:hAnsi="宋体" w:cs="宋体"/>
                <w:sz w:val="15"/>
                <w:szCs w:val="15"/>
              </w:rPr>
            </w:pPr>
            <w:r>
              <w:rPr>
                <w:rFonts w:ascii="宋体" w:eastAsia="宋体" w:hAnsi="宋体" w:cs="宋体"/>
                <w:spacing w:val="1"/>
                <w:sz w:val="15"/>
                <w:szCs w:val="15"/>
              </w:rPr>
              <w:t>].0</w:t>
            </w:r>
          </w:p>
        </w:tc>
        <w:tc>
          <w:tcPr>
            <w:tcW w:w="861" w:type="dxa"/>
            <w:tcBorders>
              <w:bottom w:val="single" w:sz="4" w:space="0" w:color="000000"/>
            </w:tcBorders>
          </w:tcPr>
          <w:p w:rsidR="00EA40A3" w:rsidRDefault="00E86C16">
            <w:pPr>
              <w:spacing w:before="96" w:line="117" w:lineRule="exact"/>
              <w:ind w:left="319"/>
              <w:rPr>
                <w:rFonts w:ascii="宋体" w:eastAsia="宋体" w:hAnsi="宋体" w:cs="宋体"/>
                <w:sz w:val="16"/>
                <w:szCs w:val="16"/>
              </w:rPr>
            </w:pPr>
            <w:r>
              <w:rPr>
                <w:rFonts w:ascii="宋体" w:eastAsia="宋体" w:hAnsi="宋体" w:cs="宋体"/>
                <w:spacing w:val="-5"/>
                <w:position w:val="-2"/>
                <w:sz w:val="16"/>
                <w:szCs w:val="16"/>
              </w:rPr>
              <w:t>1.0</w:t>
            </w:r>
          </w:p>
        </w:tc>
        <w:tc>
          <w:tcPr>
            <w:tcW w:w="866" w:type="dxa"/>
            <w:tcBorders>
              <w:bottom w:val="single" w:sz="4" w:space="0" w:color="000000"/>
            </w:tcBorders>
          </w:tcPr>
          <w:p w:rsidR="00EA40A3" w:rsidRDefault="00E86C16">
            <w:pPr>
              <w:spacing w:before="96" w:line="117" w:lineRule="exact"/>
              <w:ind w:left="317"/>
              <w:rPr>
                <w:rFonts w:ascii="宋体" w:eastAsia="宋体" w:hAnsi="宋体" w:cs="宋体"/>
                <w:sz w:val="16"/>
                <w:szCs w:val="16"/>
              </w:rPr>
            </w:pPr>
            <w:r>
              <w:rPr>
                <w:rFonts w:ascii="宋体" w:eastAsia="宋体" w:hAnsi="宋体" w:cs="宋体"/>
                <w:spacing w:val="-5"/>
                <w:position w:val="-2"/>
                <w:sz w:val="16"/>
                <w:szCs w:val="16"/>
              </w:rPr>
              <w:t>1.0</w:t>
            </w:r>
          </w:p>
        </w:tc>
        <w:tc>
          <w:tcPr>
            <w:tcW w:w="881" w:type="dxa"/>
            <w:tcBorders>
              <w:bottom w:val="single" w:sz="4" w:space="0" w:color="000000"/>
            </w:tcBorders>
          </w:tcPr>
          <w:p w:rsidR="00EA40A3" w:rsidRDefault="00E86C16">
            <w:pPr>
              <w:spacing w:before="96" w:line="117" w:lineRule="exact"/>
              <w:ind w:left="321"/>
              <w:rPr>
                <w:rFonts w:ascii="宋体" w:eastAsia="宋体" w:hAnsi="宋体" w:cs="宋体"/>
                <w:sz w:val="16"/>
                <w:szCs w:val="16"/>
              </w:rPr>
            </w:pPr>
            <w:r>
              <w:rPr>
                <w:rFonts w:ascii="宋体" w:eastAsia="宋体" w:hAnsi="宋体" w:cs="宋体"/>
                <w:spacing w:val="-5"/>
                <w:position w:val="-2"/>
                <w:sz w:val="16"/>
                <w:szCs w:val="16"/>
              </w:rPr>
              <w:t>1.0</w:t>
            </w:r>
          </w:p>
        </w:tc>
      </w:tr>
    </w:tbl>
    <w:p w:rsidR="00EA40A3" w:rsidRDefault="00E86C16">
      <w:pPr>
        <w:spacing w:before="101" w:line="219" w:lineRule="auto"/>
        <w:ind w:left="340"/>
        <w:rPr>
          <w:rFonts w:ascii="宋体" w:eastAsia="宋体" w:hAnsi="宋体" w:cs="宋体"/>
          <w:sz w:val="16"/>
          <w:szCs w:val="16"/>
        </w:rPr>
      </w:pPr>
      <w:r>
        <w:rPr>
          <w:rFonts w:ascii="宋体" w:eastAsia="宋体" w:hAnsi="宋体" w:cs="宋体"/>
          <w:sz w:val="16"/>
          <w:szCs w:val="16"/>
        </w:rPr>
        <w:t>资料来源：吴坤.2003.营养与食品卫生学</w:t>
      </w:r>
    </w:p>
    <w:p w:rsidR="00EA40A3" w:rsidRDefault="00E86C16">
      <w:pPr>
        <w:spacing w:before="303" w:line="219" w:lineRule="auto"/>
        <w:ind w:left="430"/>
        <w:rPr>
          <w:rFonts w:ascii="宋体" w:eastAsia="宋体" w:hAnsi="宋体" w:cs="宋体"/>
        </w:rPr>
      </w:pPr>
      <w:r>
        <w:rPr>
          <w:rFonts w:ascii="宋体" w:eastAsia="宋体" w:hAnsi="宋体" w:cs="宋体"/>
          <w:spacing w:val="-3"/>
        </w:rPr>
        <w:t>食物蛋白质氨基酸模式与人体蛋白质氨基酸越接近，人体对蛋白质的利用程</w:t>
      </w:r>
    </w:p>
    <w:p w:rsidR="00EA40A3" w:rsidRDefault="00E86C16">
      <w:pPr>
        <w:spacing w:before="1"/>
        <w:ind w:left="69"/>
        <w:rPr>
          <w:rFonts w:ascii="宋体" w:eastAsia="宋体" w:hAnsi="宋体" w:cs="宋体"/>
        </w:rPr>
      </w:pPr>
      <w:r>
        <w:rPr>
          <w:rFonts w:ascii="宋体" w:eastAsia="宋体" w:hAnsi="宋体" w:cs="宋体"/>
          <w:spacing w:val="-47"/>
        </w:rPr>
        <w:t>·</w:t>
      </w:r>
      <w:r>
        <w:rPr>
          <w:rFonts w:ascii="宋体" w:eastAsia="宋体" w:hAnsi="宋体" w:cs="宋体"/>
          <w:spacing w:val="-18"/>
        </w:rPr>
        <w:t xml:space="preserve"> </w:t>
      </w:r>
      <w:r>
        <w:rPr>
          <w:rFonts w:ascii="宋体" w:eastAsia="宋体" w:hAnsi="宋体" w:cs="宋体"/>
          <w:spacing w:val="-47"/>
        </w:rPr>
        <w:t>70</w:t>
      </w:r>
      <w:r>
        <w:rPr>
          <w:rFonts w:ascii="宋体" w:eastAsia="宋体" w:hAnsi="宋体" w:cs="宋体"/>
          <w:spacing w:val="29"/>
        </w:rPr>
        <w:t xml:space="preserve"> </w:t>
      </w:r>
      <w:r>
        <w:rPr>
          <w:rFonts w:ascii="宋体" w:eastAsia="宋体" w:hAnsi="宋体" w:cs="宋体"/>
          <w:spacing w:val="-47"/>
        </w:rPr>
        <w:t>·</w:t>
      </w:r>
    </w:p>
    <w:p w:rsidR="00EA40A3" w:rsidRDefault="00EA40A3">
      <w:pPr>
        <w:sectPr w:rsidR="00EA40A3">
          <w:footerReference w:type="default" r:id="rId57"/>
          <w:pgSz w:w="9220" w:h="13360"/>
          <w:pgMar w:top="400" w:right="1049" w:bottom="400" w:left="739" w:header="0" w:footer="0" w:gutter="0"/>
          <w:cols w:space="720"/>
        </w:sectPr>
      </w:pPr>
    </w:p>
    <w:p w:rsidR="00EA40A3" w:rsidRDefault="00EA40A3">
      <w:pPr>
        <w:spacing w:line="295" w:lineRule="auto"/>
      </w:pPr>
    </w:p>
    <w:p w:rsidR="00EA40A3" w:rsidRDefault="00EA40A3">
      <w:pPr>
        <w:spacing w:line="296" w:lineRule="auto"/>
      </w:pPr>
    </w:p>
    <w:p w:rsidR="00EA40A3" w:rsidRDefault="00E86C16">
      <w:pPr>
        <w:spacing w:before="72" w:line="237" w:lineRule="auto"/>
        <w:ind w:right="16"/>
        <w:jc w:val="both"/>
        <w:rPr>
          <w:rFonts w:ascii="宋体" w:eastAsia="宋体" w:hAnsi="宋体" w:cs="宋体"/>
          <w:sz w:val="22"/>
          <w:szCs w:val="22"/>
        </w:rPr>
      </w:pPr>
      <w:bookmarkStart w:id="19" w:name="_bookmark23"/>
      <w:bookmarkEnd w:id="19"/>
      <w:r>
        <w:rPr>
          <w:rFonts w:ascii="宋体" w:eastAsia="宋体" w:hAnsi="宋体" w:cs="宋体"/>
          <w:spacing w:val="-7"/>
          <w:sz w:val="22"/>
          <w:szCs w:val="22"/>
        </w:rPr>
        <w:t>度就越高，该种蛋白质的营养价值就越高。动物性蛋白质中蛋、奶、鱼、肉以</w:t>
      </w:r>
      <w:r>
        <w:rPr>
          <w:rFonts w:ascii="宋体" w:eastAsia="宋体" w:hAnsi="宋体" w:cs="宋体"/>
          <w:spacing w:val="6"/>
          <w:sz w:val="22"/>
          <w:szCs w:val="22"/>
        </w:rPr>
        <w:t xml:space="preserve"> </w:t>
      </w:r>
      <w:r>
        <w:rPr>
          <w:rFonts w:ascii="宋体" w:eastAsia="宋体" w:hAnsi="宋体" w:cs="宋体"/>
          <w:spacing w:val="-13"/>
          <w:sz w:val="22"/>
          <w:szCs w:val="22"/>
        </w:rPr>
        <w:t>及大豆的氨基酸模式能满足人体需要，称为优质蛋白质或完全蛋白</w:t>
      </w:r>
      <w:r>
        <w:rPr>
          <w:rFonts w:ascii="宋体" w:eastAsia="宋体" w:hAnsi="宋体" w:cs="宋体"/>
          <w:spacing w:val="-14"/>
          <w:sz w:val="22"/>
          <w:szCs w:val="22"/>
        </w:rPr>
        <w:t>质。其中鸡蛋</w:t>
      </w:r>
      <w:r>
        <w:rPr>
          <w:rFonts w:ascii="宋体" w:eastAsia="宋体" w:hAnsi="宋体" w:cs="宋体"/>
          <w:sz w:val="22"/>
          <w:szCs w:val="22"/>
        </w:rPr>
        <w:t xml:space="preserve"> </w:t>
      </w:r>
      <w:r>
        <w:rPr>
          <w:rFonts w:ascii="宋体" w:eastAsia="宋体" w:hAnsi="宋体" w:cs="宋体"/>
          <w:spacing w:val="-11"/>
          <w:sz w:val="22"/>
          <w:szCs w:val="22"/>
        </w:rPr>
        <w:t>蛋白质与人体蛋白质氨基酸模式最接近，在实验</w:t>
      </w:r>
      <w:r>
        <w:rPr>
          <w:rFonts w:ascii="宋体" w:eastAsia="宋体" w:hAnsi="宋体" w:cs="宋体"/>
          <w:spacing w:val="-12"/>
          <w:sz w:val="22"/>
          <w:szCs w:val="22"/>
        </w:rPr>
        <w:t>中常以它作为参考蛋白质</w:t>
      </w:r>
      <w:r>
        <w:rPr>
          <w:rFonts w:ascii="宋体" w:eastAsia="宋体" w:hAnsi="宋体" w:cs="宋体"/>
          <w:spacing w:val="-24"/>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ref</w:t>
      </w:r>
      <w:r>
        <w:rPr>
          <w:rFonts w:ascii="宋体" w:eastAsia="宋体" w:hAnsi="宋体" w:cs="宋体"/>
          <w:spacing w:val="-12"/>
          <w:sz w:val="22"/>
          <w:szCs w:val="22"/>
        </w:rPr>
        <w:t>-</w:t>
      </w:r>
      <w:r>
        <w:rPr>
          <w:rFonts w:ascii="宋体" w:eastAsia="宋体" w:hAnsi="宋体" w:cs="宋体"/>
          <w:sz w:val="22"/>
          <w:szCs w:val="22"/>
        </w:rPr>
        <w:t xml:space="preserve"> </w:t>
      </w:r>
      <w:r>
        <w:rPr>
          <w:rFonts w:ascii="Times New Roman" w:eastAsia="Times New Roman" w:hAnsi="Times New Roman" w:cs="Times New Roman"/>
          <w:spacing w:val="-1"/>
          <w:sz w:val="22"/>
          <w:szCs w:val="22"/>
        </w:rPr>
        <w:t>erence</w:t>
      </w:r>
      <w:r>
        <w:rPr>
          <w:rFonts w:ascii="Times New Roman" w:eastAsia="Times New Roman" w:hAnsi="Times New Roman" w:cs="Times New Roman"/>
          <w:spacing w:val="4"/>
          <w:sz w:val="22"/>
          <w:szCs w:val="22"/>
        </w:rPr>
        <w:t xml:space="preserve"> </w:t>
      </w:r>
      <w:r>
        <w:rPr>
          <w:rFonts w:ascii="Times New Roman" w:eastAsia="Times New Roman" w:hAnsi="Times New Roman" w:cs="Times New Roman"/>
          <w:spacing w:val="-1"/>
          <w:sz w:val="22"/>
          <w:szCs w:val="22"/>
        </w:rPr>
        <w:t>protein)</w:t>
      </w:r>
      <w:r>
        <w:rPr>
          <w:rFonts w:ascii="宋体" w:eastAsia="宋体" w:hAnsi="宋体" w:cs="宋体"/>
          <w:spacing w:val="-1"/>
          <w:sz w:val="22"/>
          <w:szCs w:val="22"/>
        </w:rPr>
        <w:t>。</w:t>
      </w:r>
    </w:p>
    <w:p w:rsidR="00EA40A3" w:rsidRDefault="00E86C16">
      <w:pPr>
        <w:spacing w:before="84" w:line="246" w:lineRule="auto"/>
        <w:ind w:right="13" w:firstLine="429"/>
        <w:jc w:val="both"/>
        <w:rPr>
          <w:rFonts w:ascii="宋体" w:eastAsia="宋体" w:hAnsi="宋体" w:cs="宋体"/>
          <w:sz w:val="22"/>
          <w:szCs w:val="22"/>
        </w:rPr>
      </w:pPr>
      <w:r>
        <w:rPr>
          <w:rFonts w:ascii="宋体" w:eastAsia="宋体" w:hAnsi="宋体" w:cs="宋体"/>
          <w:spacing w:val="-13"/>
          <w:sz w:val="22"/>
          <w:szCs w:val="22"/>
        </w:rPr>
        <w:t>当食物蛋白质中一种或几种必需氨基酸的相对含量较低或缺乏时，就</w:t>
      </w:r>
      <w:r>
        <w:rPr>
          <w:rFonts w:ascii="宋体" w:eastAsia="宋体" w:hAnsi="宋体" w:cs="宋体"/>
          <w:spacing w:val="-14"/>
          <w:sz w:val="22"/>
          <w:szCs w:val="22"/>
        </w:rPr>
        <w:t>会导致</w:t>
      </w:r>
      <w:r>
        <w:rPr>
          <w:rFonts w:ascii="宋体" w:eastAsia="宋体" w:hAnsi="宋体" w:cs="宋体"/>
          <w:sz w:val="22"/>
          <w:szCs w:val="22"/>
        </w:rPr>
        <w:t xml:space="preserve"> </w:t>
      </w:r>
      <w:r>
        <w:rPr>
          <w:rFonts w:ascii="宋体" w:eastAsia="宋体" w:hAnsi="宋体" w:cs="宋体"/>
          <w:spacing w:val="-13"/>
          <w:sz w:val="22"/>
          <w:szCs w:val="22"/>
        </w:rPr>
        <w:t>其他的氨基酸在体内不能被充分利用，造成其营养价值下降，这些含量相对</w:t>
      </w:r>
      <w:r>
        <w:rPr>
          <w:rFonts w:ascii="宋体" w:eastAsia="宋体" w:hAnsi="宋体" w:cs="宋体"/>
          <w:spacing w:val="-14"/>
          <w:sz w:val="22"/>
          <w:szCs w:val="22"/>
        </w:rPr>
        <w:t>较低</w:t>
      </w:r>
      <w:r>
        <w:rPr>
          <w:rFonts w:ascii="宋体" w:eastAsia="宋体" w:hAnsi="宋体" w:cs="宋体"/>
          <w:sz w:val="22"/>
          <w:szCs w:val="22"/>
        </w:rPr>
        <w:t xml:space="preserve"> </w:t>
      </w:r>
      <w:r>
        <w:rPr>
          <w:rFonts w:ascii="宋体" w:eastAsia="宋体" w:hAnsi="宋体" w:cs="宋体"/>
          <w:spacing w:val="-13"/>
          <w:sz w:val="22"/>
          <w:szCs w:val="22"/>
        </w:rPr>
        <w:t>的氨基酸称为限制氨基酸</w:t>
      </w:r>
      <w:r>
        <w:rPr>
          <w:rFonts w:ascii="宋体" w:eastAsia="宋体" w:hAnsi="宋体" w:cs="宋体"/>
          <w:spacing w:val="-30"/>
          <w:sz w:val="22"/>
          <w:szCs w:val="22"/>
        </w:rPr>
        <w:t xml:space="preserve"> </w:t>
      </w:r>
      <w:r>
        <w:rPr>
          <w:rFonts w:ascii="宋体" w:eastAsia="宋体" w:hAnsi="宋体" w:cs="宋体"/>
          <w:spacing w:val="-13"/>
          <w:sz w:val="22"/>
          <w:szCs w:val="22"/>
        </w:rPr>
        <w:t>(limiting</w:t>
      </w:r>
      <w:r>
        <w:rPr>
          <w:rFonts w:ascii="宋体" w:eastAsia="宋体" w:hAnsi="宋体" w:cs="宋体"/>
          <w:spacing w:val="-6"/>
          <w:sz w:val="22"/>
          <w:szCs w:val="22"/>
        </w:rPr>
        <w:t xml:space="preserve"> </w:t>
      </w:r>
      <w:r>
        <w:rPr>
          <w:rFonts w:ascii="宋体" w:eastAsia="宋体" w:hAnsi="宋体" w:cs="宋体"/>
          <w:spacing w:val="-13"/>
          <w:sz w:val="22"/>
          <w:szCs w:val="22"/>
        </w:rPr>
        <w:t>amino</w:t>
      </w:r>
      <w:r>
        <w:rPr>
          <w:rFonts w:ascii="宋体" w:eastAsia="宋体" w:hAnsi="宋体" w:cs="宋体"/>
          <w:spacing w:val="-6"/>
          <w:sz w:val="22"/>
          <w:szCs w:val="22"/>
        </w:rPr>
        <w:t xml:space="preserve"> </w:t>
      </w:r>
      <w:r>
        <w:rPr>
          <w:rFonts w:ascii="宋体" w:eastAsia="宋体" w:hAnsi="宋体" w:cs="宋体"/>
          <w:spacing w:val="-13"/>
          <w:sz w:val="22"/>
          <w:szCs w:val="22"/>
        </w:rPr>
        <w:t>acid),</w:t>
      </w:r>
      <w:r>
        <w:rPr>
          <w:rFonts w:ascii="宋体" w:eastAsia="宋体" w:hAnsi="宋体" w:cs="宋体"/>
          <w:spacing w:val="-49"/>
          <w:sz w:val="22"/>
          <w:szCs w:val="22"/>
        </w:rPr>
        <w:t xml:space="preserve"> </w:t>
      </w:r>
      <w:r>
        <w:rPr>
          <w:rFonts w:ascii="宋体" w:eastAsia="宋体" w:hAnsi="宋体" w:cs="宋体"/>
          <w:spacing w:val="-13"/>
          <w:sz w:val="22"/>
          <w:szCs w:val="22"/>
        </w:rPr>
        <w:t>其中含</w:t>
      </w:r>
      <w:r>
        <w:rPr>
          <w:rFonts w:ascii="宋体" w:eastAsia="宋体" w:hAnsi="宋体" w:cs="宋体"/>
          <w:spacing w:val="-14"/>
          <w:sz w:val="22"/>
          <w:szCs w:val="22"/>
        </w:rPr>
        <w:t>量最低的称为第一限制</w:t>
      </w:r>
      <w:r>
        <w:rPr>
          <w:rFonts w:ascii="宋体" w:eastAsia="宋体" w:hAnsi="宋体" w:cs="宋体"/>
          <w:sz w:val="22"/>
          <w:szCs w:val="22"/>
        </w:rPr>
        <w:t xml:space="preserve"> </w:t>
      </w:r>
      <w:r>
        <w:rPr>
          <w:rFonts w:ascii="宋体" w:eastAsia="宋体" w:hAnsi="宋体" w:cs="宋体"/>
          <w:spacing w:val="-13"/>
          <w:sz w:val="22"/>
          <w:szCs w:val="22"/>
        </w:rPr>
        <w:t>氨基酸，第二低的为第二限制氨基酸，其他以此类推。食物中主要的限制氨基酸</w:t>
      </w:r>
      <w:r>
        <w:rPr>
          <w:rFonts w:ascii="宋体" w:eastAsia="宋体" w:hAnsi="宋体" w:cs="宋体"/>
          <w:spacing w:val="12"/>
          <w:sz w:val="22"/>
          <w:szCs w:val="22"/>
        </w:rPr>
        <w:t xml:space="preserve"> </w:t>
      </w:r>
      <w:r>
        <w:rPr>
          <w:rFonts w:ascii="宋体" w:eastAsia="宋体" w:hAnsi="宋体" w:cs="宋体"/>
          <w:spacing w:val="-13"/>
          <w:sz w:val="22"/>
          <w:szCs w:val="22"/>
        </w:rPr>
        <w:t>为赖氨酸和蛋氨酸。赖氨酸在谷物蛋白质和一些其他植物蛋白质中含量较低，蛋</w:t>
      </w:r>
      <w:r>
        <w:rPr>
          <w:rFonts w:ascii="宋体" w:eastAsia="宋体" w:hAnsi="宋体" w:cs="宋体"/>
          <w:spacing w:val="13"/>
          <w:sz w:val="22"/>
          <w:szCs w:val="22"/>
        </w:rPr>
        <w:t xml:space="preserve"> </w:t>
      </w:r>
      <w:r>
        <w:rPr>
          <w:rFonts w:ascii="宋体" w:eastAsia="宋体" w:hAnsi="宋体" w:cs="宋体"/>
          <w:spacing w:val="-15"/>
          <w:sz w:val="22"/>
          <w:szCs w:val="22"/>
        </w:rPr>
        <w:t>氨酸在大豆、花生、牛奶和肉类蛋白质中相对不足。</w:t>
      </w:r>
    </w:p>
    <w:p w:rsidR="00EA40A3" w:rsidRDefault="00E86C16">
      <w:pPr>
        <w:spacing w:before="77" w:line="244" w:lineRule="auto"/>
        <w:ind w:right="7" w:firstLine="429"/>
        <w:jc w:val="both"/>
        <w:rPr>
          <w:rFonts w:ascii="宋体" w:eastAsia="宋体" w:hAnsi="宋体" w:cs="宋体"/>
          <w:sz w:val="22"/>
          <w:szCs w:val="22"/>
        </w:rPr>
      </w:pPr>
      <w:r>
        <w:rPr>
          <w:rFonts w:ascii="宋体" w:eastAsia="宋体" w:hAnsi="宋体" w:cs="宋体"/>
          <w:spacing w:val="-13"/>
          <w:sz w:val="22"/>
          <w:szCs w:val="22"/>
        </w:rPr>
        <w:t>为了提高蛋白质的营养价值，往往将两种或两种以上的食物混合食用。这种</w:t>
      </w:r>
      <w:r>
        <w:rPr>
          <w:rFonts w:ascii="宋体" w:eastAsia="宋体" w:hAnsi="宋体" w:cs="宋体"/>
          <w:spacing w:val="3"/>
          <w:sz w:val="22"/>
          <w:szCs w:val="22"/>
        </w:rPr>
        <w:t xml:space="preserve"> </w:t>
      </w:r>
      <w:r>
        <w:rPr>
          <w:rFonts w:ascii="宋体" w:eastAsia="宋体" w:hAnsi="宋体" w:cs="宋体"/>
          <w:spacing w:val="-8"/>
          <w:sz w:val="22"/>
          <w:szCs w:val="22"/>
        </w:rPr>
        <w:t>不同食物间相互补充其必需氨基酸不足的作用称为蛋白质的互补作</w:t>
      </w:r>
      <w:r>
        <w:rPr>
          <w:rFonts w:ascii="宋体" w:eastAsia="宋体" w:hAnsi="宋体" w:cs="宋体"/>
          <w:spacing w:val="-9"/>
          <w:sz w:val="22"/>
          <w:szCs w:val="22"/>
        </w:rPr>
        <w:t>用</w:t>
      </w:r>
      <w:r>
        <w:rPr>
          <w:rFonts w:ascii="宋体" w:eastAsia="宋体" w:hAnsi="宋体" w:cs="宋体"/>
          <w:spacing w:val="-26"/>
          <w:sz w:val="22"/>
          <w:szCs w:val="22"/>
        </w:rPr>
        <w:t xml:space="preserve"> </w:t>
      </w:r>
      <w:r>
        <w:rPr>
          <w:rFonts w:ascii="宋体" w:eastAsia="宋体" w:hAnsi="宋体" w:cs="宋体"/>
          <w:spacing w:val="-9"/>
          <w:sz w:val="22"/>
          <w:szCs w:val="22"/>
        </w:rPr>
        <w:t>(</w:t>
      </w:r>
      <w:r>
        <w:rPr>
          <w:rFonts w:ascii="宋体" w:eastAsia="宋体" w:hAnsi="宋体" w:cs="宋体"/>
          <w:spacing w:val="-8"/>
          <w:sz w:val="22"/>
          <w:szCs w:val="22"/>
        </w:rPr>
        <w:t>comple</w:t>
      </w:r>
      <w:r>
        <w:rPr>
          <w:rFonts w:ascii="宋体" w:eastAsia="宋体" w:hAnsi="宋体" w:cs="宋体"/>
          <w:spacing w:val="-9"/>
          <w:sz w:val="22"/>
          <w:szCs w:val="22"/>
        </w:rPr>
        <w:t>-</w:t>
      </w:r>
      <w:r>
        <w:rPr>
          <w:rFonts w:ascii="宋体" w:eastAsia="宋体" w:hAnsi="宋体" w:cs="宋体"/>
          <w:sz w:val="22"/>
          <w:szCs w:val="22"/>
        </w:rPr>
        <w:t xml:space="preserve"> </w:t>
      </w:r>
      <w:r>
        <w:rPr>
          <w:rFonts w:ascii="宋体" w:eastAsia="宋体" w:hAnsi="宋体" w:cs="宋体"/>
          <w:spacing w:val="-15"/>
          <w:sz w:val="22"/>
          <w:szCs w:val="22"/>
        </w:rPr>
        <w:t>mentary</w:t>
      </w:r>
      <w:r>
        <w:rPr>
          <w:rFonts w:ascii="宋体" w:eastAsia="宋体" w:hAnsi="宋体" w:cs="宋体"/>
          <w:spacing w:val="4"/>
          <w:sz w:val="22"/>
          <w:szCs w:val="22"/>
        </w:rPr>
        <w:t xml:space="preserve"> </w:t>
      </w:r>
      <w:r>
        <w:rPr>
          <w:rFonts w:ascii="宋体" w:eastAsia="宋体" w:hAnsi="宋体" w:cs="宋体"/>
          <w:spacing w:val="-15"/>
          <w:sz w:val="22"/>
          <w:szCs w:val="22"/>
        </w:rPr>
        <w:t>action)。</w:t>
      </w:r>
      <w:r>
        <w:rPr>
          <w:rFonts w:ascii="宋体" w:eastAsia="宋体" w:hAnsi="宋体" w:cs="宋体"/>
          <w:spacing w:val="-37"/>
          <w:sz w:val="22"/>
          <w:szCs w:val="22"/>
        </w:rPr>
        <w:t xml:space="preserve"> </w:t>
      </w:r>
      <w:r>
        <w:rPr>
          <w:rFonts w:ascii="宋体" w:eastAsia="宋体" w:hAnsi="宋体" w:cs="宋体"/>
          <w:spacing w:val="-15"/>
          <w:sz w:val="22"/>
          <w:szCs w:val="22"/>
        </w:rPr>
        <w:t>比如将大豆和大米同时食用，大豆蛋白可以弥补大米中赖氨酸</w:t>
      </w:r>
      <w:r>
        <w:rPr>
          <w:rFonts w:ascii="宋体" w:eastAsia="宋体" w:hAnsi="宋体" w:cs="宋体"/>
          <w:sz w:val="22"/>
          <w:szCs w:val="22"/>
        </w:rPr>
        <w:t xml:space="preserve"> </w:t>
      </w:r>
      <w:r>
        <w:rPr>
          <w:rFonts w:ascii="宋体" w:eastAsia="宋体" w:hAnsi="宋体" w:cs="宋体"/>
          <w:spacing w:val="-14"/>
          <w:sz w:val="22"/>
          <w:szCs w:val="22"/>
        </w:rPr>
        <w:t>的不足，大米可以补充大豆中蛋氨酸的不足。</w:t>
      </w:r>
    </w:p>
    <w:p w:rsidR="00EA40A3" w:rsidRDefault="00E86C16">
      <w:pPr>
        <w:spacing w:before="213" w:line="220" w:lineRule="auto"/>
        <w:ind w:left="3"/>
        <w:outlineLvl w:val="6"/>
        <w:rPr>
          <w:rFonts w:ascii="黑体" w:eastAsia="黑体" w:hAnsi="黑体" w:cs="黑体"/>
          <w:sz w:val="22"/>
          <w:szCs w:val="22"/>
        </w:rPr>
      </w:pPr>
      <w:r>
        <w:rPr>
          <w:rFonts w:ascii="黑体" w:eastAsia="黑体" w:hAnsi="黑体" w:cs="黑体"/>
          <w:b/>
          <w:bCs/>
          <w:spacing w:val="9"/>
          <w:sz w:val="22"/>
          <w:szCs w:val="22"/>
        </w:rPr>
        <w:t>3.4.5</w:t>
      </w:r>
      <w:r>
        <w:rPr>
          <w:rFonts w:ascii="黑体" w:eastAsia="黑体" w:hAnsi="黑体" w:cs="黑体"/>
          <w:spacing w:val="13"/>
          <w:sz w:val="22"/>
          <w:szCs w:val="22"/>
        </w:rPr>
        <w:t xml:space="preserve">   </w:t>
      </w:r>
      <w:r>
        <w:rPr>
          <w:rFonts w:ascii="黑体" w:eastAsia="黑体" w:hAnsi="黑体" w:cs="黑体"/>
          <w:b/>
          <w:bCs/>
          <w:spacing w:val="9"/>
          <w:sz w:val="22"/>
          <w:szCs w:val="22"/>
        </w:rPr>
        <w:t>功能性氨基酸和功能性肽</w:t>
      </w:r>
    </w:p>
    <w:p w:rsidR="00EA40A3" w:rsidRDefault="00E86C16">
      <w:pPr>
        <w:spacing w:before="202" w:line="239" w:lineRule="auto"/>
        <w:ind w:right="14" w:firstLine="429"/>
        <w:jc w:val="both"/>
        <w:rPr>
          <w:rFonts w:ascii="宋体" w:eastAsia="宋体" w:hAnsi="宋体" w:cs="宋体"/>
          <w:sz w:val="22"/>
          <w:szCs w:val="22"/>
        </w:rPr>
      </w:pPr>
      <w:r>
        <w:rPr>
          <w:rFonts w:ascii="宋体" w:eastAsia="宋体" w:hAnsi="宋体" w:cs="宋体"/>
          <w:spacing w:val="-13"/>
          <w:sz w:val="22"/>
          <w:szCs w:val="22"/>
        </w:rPr>
        <w:t>随着对蛋白质研究的深入，人们已经从单纯以蛋白质的消化性、氨</w:t>
      </w:r>
      <w:r>
        <w:rPr>
          <w:rFonts w:ascii="宋体" w:eastAsia="宋体" w:hAnsi="宋体" w:cs="宋体"/>
          <w:spacing w:val="-14"/>
          <w:sz w:val="22"/>
          <w:szCs w:val="22"/>
        </w:rPr>
        <w:t>基酸的组</w:t>
      </w:r>
      <w:r>
        <w:rPr>
          <w:rFonts w:ascii="宋体" w:eastAsia="宋体" w:hAnsi="宋体" w:cs="宋体"/>
          <w:sz w:val="22"/>
          <w:szCs w:val="22"/>
        </w:rPr>
        <w:t xml:space="preserve"> </w:t>
      </w:r>
      <w:r>
        <w:rPr>
          <w:rFonts w:ascii="宋体" w:eastAsia="宋体" w:hAnsi="宋体" w:cs="宋体"/>
          <w:spacing w:val="-13"/>
          <w:sz w:val="22"/>
          <w:szCs w:val="22"/>
        </w:rPr>
        <w:t>成及含量来评价蛋白质的营养价值，发展到更加重视蛋白质序列中的低肽和氨基</w:t>
      </w:r>
      <w:r>
        <w:rPr>
          <w:rFonts w:ascii="宋体" w:eastAsia="宋体" w:hAnsi="宋体" w:cs="宋体"/>
          <w:spacing w:val="12"/>
          <w:sz w:val="22"/>
          <w:szCs w:val="22"/>
        </w:rPr>
        <w:t xml:space="preserve"> </w:t>
      </w:r>
      <w:r>
        <w:rPr>
          <w:rFonts w:ascii="宋体" w:eastAsia="宋体" w:hAnsi="宋体" w:cs="宋体"/>
          <w:spacing w:val="-14"/>
          <w:sz w:val="22"/>
          <w:szCs w:val="22"/>
        </w:rPr>
        <w:t>酸的生理保健功能，它们不仅能提供人体生长、发育所需的营养物质，同时还具</w:t>
      </w:r>
      <w:r>
        <w:rPr>
          <w:rFonts w:ascii="宋体" w:eastAsia="宋体" w:hAnsi="宋体" w:cs="宋体"/>
          <w:spacing w:val="10"/>
          <w:sz w:val="22"/>
          <w:szCs w:val="22"/>
        </w:rPr>
        <w:t xml:space="preserve"> </w:t>
      </w:r>
      <w:r>
        <w:rPr>
          <w:rFonts w:ascii="宋体" w:eastAsia="宋体" w:hAnsi="宋体" w:cs="宋体"/>
          <w:sz w:val="22"/>
          <w:szCs w:val="22"/>
        </w:rPr>
        <w:t>有防病治病、调节生理机能的作用。下面介绍几种有</w:t>
      </w:r>
      <w:r>
        <w:rPr>
          <w:rFonts w:ascii="宋体" w:eastAsia="宋体" w:hAnsi="宋体" w:cs="宋体"/>
          <w:spacing w:val="-1"/>
          <w:sz w:val="22"/>
          <w:szCs w:val="22"/>
        </w:rPr>
        <w:t>特殊生理功能的氨基酸</w:t>
      </w:r>
      <w:r>
        <w:rPr>
          <w:rFonts w:ascii="宋体" w:eastAsia="宋体" w:hAnsi="宋体" w:cs="宋体"/>
          <w:sz w:val="22"/>
          <w:szCs w:val="22"/>
        </w:rPr>
        <w:t xml:space="preserve"> </w:t>
      </w:r>
      <w:r>
        <w:rPr>
          <w:rFonts w:ascii="宋体" w:eastAsia="宋体" w:hAnsi="宋体" w:cs="宋体"/>
          <w:spacing w:val="-18"/>
          <w:sz w:val="22"/>
          <w:szCs w:val="22"/>
        </w:rPr>
        <w:t>和肽。</w:t>
      </w:r>
    </w:p>
    <w:p w:rsidR="00EA40A3" w:rsidRDefault="00E86C16">
      <w:pPr>
        <w:spacing w:before="235" w:line="222"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43"/>
          <w:sz w:val="22"/>
          <w:szCs w:val="22"/>
        </w:rPr>
        <w:t xml:space="preserve"> </w:t>
      </w:r>
      <w:r>
        <w:rPr>
          <w:rFonts w:ascii="仿宋" w:eastAsia="仿宋" w:hAnsi="仿宋" w:cs="仿宋"/>
          <w:spacing w:val="-11"/>
          <w:sz w:val="22"/>
          <w:szCs w:val="22"/>
        </w:rPr>
        <w:t>牛磺酸</w:t>
      </w:r>
    </w:p>
    <w:p w:rsidR="00EA40A3" w:rsidRDefault="00E86C16">
      <w:pPr>
        <w:spacing w:before="224" w:line="236" w:lineRule="auto"/>
        <w:ind w:right="32" w:firstLine="429"/>
        <w:jc w:val="both"/>
        <w:rPr>
          <w:rFonts w:ascii="宋体" w:eastAsia="宋体" w:hAnsi="宋体" w:cs="宋体"/>
          <w:sz w:val="22"/>
          <w:szCs w:val="22"/>
        </w:rPr>
      </w:pPr>
      <w:r>
        <w:rPr>
          <w:rFonts w:ascii="宋体" w:eastAsia="宋体" w:hAnsi="宋体" w:cs="宋体"/>
          <w:spacing w:val="-8"/>
          <w:sz w:val="22"/>
          <w:szCs w:val="22"/>
        </w:rPr>
        <w:t>牛磺酸</w:t>
      </w:r>
      <w:r>
        <w:rPr>
          <w:rFonts w:ascii="宋体" w:eastAsia="宋体" w:hAnsi="宋体" w:cs="宋体"/>
          <w:spacing w:val="-34"/>
          <w:sz w:val="22"/>
          <w:szCs w:val="22"/>
        </w:rPr>
        <w:t xml:space="preserve"> </w:t>
      </w:r>
      <w:r>
        <w:rPr>
          <w:rFonts w:ascii="宋体" w:eastAsia="宋体" w:hAnsi="宋体" w:cs="宋体"/>
          <w:spacing w:val="-8"/>
          <w:sz w:val="22"/>
          <w:szCs w:val="22"/>
        </w:rPr>
        <w:t>(taurine,Tau)</w:t>
      </w:r>
      <w:r>
        <w:rPr>
          <w:rFonts w:ascii="宋体" w:eastAsia="宋体" w:hAnsi="宋体" w:cs="宋体"/>
          <w:spacing w:val="-3"/>
          <w:sz w:val="22"/>
          <w:szCs w:val="22"/>
        </w:rPr>
        <w:t xml:space="preserve"> </w:t>
      </w:r>
      <w:r>
        <w:rPr>
          <w:rFonts w:ascii="宋体" w:eastAsia="宋体" w:hAnsi="宋体" w:cs="宋体"/>
          <w:spacing w:val="-8"/>
          <w:sz w:val="22"/>
          <w:szCs w:val="22"/>
        </w:rPr>
        <w:t>是生物体内的一种含硫氨基酸，由半胱氨酸代谢而</w:t>
      </w:r>
      <w:r>
        <w:rPr>
          <w:rFonts w:ascii="宋体" w:eastAsia="宋体" w:hAnsi="宋体" w:cs="宋体"/>
          <w:sz w:val="22"/>
          <w:szCs w:val="22"/>
        </w:rPr>
        <w:t xml:space="preserve"> </w:t>
      </w:r>
      <w:r>
        <w:rPr>
          <w:rFonts w:ascii="宋体" w:eastAsia="宋体" w:hAnsi="宋体" w:cs="宋体"/>
          <w:spacing w:val="-13"/>
          <w:sz w:val="22"/>
          <w:szCs w:val="22"/>
        </w:rPr>
        <w:t>来。牛磺酸广泛存在于动物乳汁、脑和心脏中，在肌肉中含量最</w:t>
      </w:r>
      <w:r>
        <w:rPr>
          <w:rFonts w:ascii="宋体" w:eastAsia="宋体" w:hAnsi="宋体" w:cs="宋体"/>
          <w:spacing w:val="-14"/>
          <w:sz w:val="22"/>
          <w:szCs w:val="22"/>
        </w:rPr>
        <w:t>高，以游离形式</w:t>
      </w:r>
      <w:r>
        <w:rPr>
          <w:rFonts w:ascii="宋体" w:eastAsia="宋体" w:hAnsi="宋体" w:cs="宋体"/>
          <w:sz w:val="22"/>
          <w:szCs w:val="22"/>
        </w:rPr>
        <w:t xml:space="preserve"> </w:t>
      </w:r>
      <w:r>
        <w:rPr>
          <w:rFonts w:ascii="宋体" w:eastAsia="宋体" w:hAnsi="宋体" w:cs="宋体"/>
          <w:spacing w:val="-14"/>
          <w:sz w:val="22"/>
          <w:szCs w:val="22"/>
        </w:rPr>
        <w:t>存在，不参与蛋白质的代谢，植物中仅存于藻类。</w:t>
      </w:r>
    </w:p>
    <w:p w:rsidR="00EA40A3" w:rsidRDefault="00E86C16">
      <w:pPr>
        <w:spacing w:before="40" w:line="221" w:lineRule="auto"/>
        <w:rPr>
          <w:rFonts w:ascii="宋体" w:eastAsia="宋体" w:hAnsi="宋体" w:cs="宋体"/>
          <w:sz w:val="22"/>
          <w:szCs w:val="22"/>
        </w:rPr>
      </w:pPr>
      <w:r>
        <w:rPr>
          <w:rFonts w:ascii="宋体" w:eastAsia="宋体" w:hAnsi="宋体" w:cs="宋体"/>
          <w:spacing w:val="-6"/>
          <w:sz w:val="22"/>
          <w:szCs w:val="22"/>
        </w:rPr>
        <w:t>1)牛磺酸的生理功能</w:t>
      </w:r>
    </w:p>
    <w:p w:rsidR="00EA40A3" w:rsidRDefault="00E86C16">
      <w:pPr>
        <w:spacing w:before="74" w:line="244" w:lineRule="auto"/>
        <w:ind w:right="14" w:firstLine="429"/>
        <w:jc w:val="both"/>
        <w:rPr>
          <w:rFonts w:ascii="宋体" w:eastAsia="宋体" w:hAnsi="宋体" w:cs="宋体"/>
          <w:sz w:val="22"/>
          <w:szCs w:val="22"/>
        </w:rPr>
      </w:pPr>
      <w:r>
        <w:rPr>
          <w:rFonts w:ascii="宋体" w:eastAsia="宋体" w:hAnsi="宋体" w:cs="宋体"/>
          <w:spacing w:val="-10"/>
          <w:sz w:val="22"/>
          <w:szCs w:val="22"/>
        </w:rPr>
        <w:t>(1)促进脂肪乳化：在肝中牛磺酸与胆汁酸结合形成牛磺胆酸，促进脂肪类</w:t>
      </w:r>
      <w:r>
        <w:rPr>
          <w:rFonts w:ascii="宋体" w:eastAsia="宋体" w:hAnsi="宋体" w:cs="宋体"/>
          <w:spacing w:val="18"/>
          <w:sz w:val="22"/>
          <w:szCs w:val="22"/>
        </w:rPr>
        <w:t xml:space="preserve"> </w:t>
      </w:r>
      <w:r>
        <w:rPr>
          <w:rFonts w:ascii="宋体" w:eastAsia="宋体" w:hAnsi="宋体" w:cs="宋体"/>
          <w:spacing w:val="-13"/>
          <w:sz w:val="22"/>
          <w:szCs w:val="22"/>
        </w:rPr>
        <w:t>物质的消化吸收，增加脂质和胆固醇的溶解性，预防胆固醇性结石的形成，增加</w:t>
      </w:r>
      <w:r>
        <w:rPr>
          <w:rFonts w:ascii="宋体" w:eastAsia="宋体" w:hAnsi="宋体" w:cs="宋体"/>
          <w:sz w:val="22"/>
          <w:szCs w:val="22"/>
        </w:rPr>
        <w:t xml:space="preserve"> </w:t>
      </w:r>
      <w:r>
        <w:rPr>
          <w:rFonts w:ascii="宋体" w:eastAsia="宋体" w:hAnsi="宋体" w:cs="宋体"/>
          <w:spacing w:val="-13"/>
          <w:sz w:val="22"/>
          <w:szCs w:val="22"/>
        </w:rPr>
        <w:t>胆汁流量等。食物中若缺乏牛磺酸就会影响脂类物质的吸收，特别是用不含牛磺</w:t>
      </w:r>
      <w:r>
        <w:rPr>
          <w:rFonts w:ascii="宋体" w:eastAsia="宋体" w:hAnsi="宋体" w:cs="宋体"/>
          <w:spacing w:val="11"/>
          <w:sz w:val="22"/>
          <w:szCs w:val="22"/>
        </w:rPr>
        <w:t xml:space="preserve"> </w:t>
      </w:r>
      <w:r>
        <w:rPr>
          <w:rFonts w:ascii="宋体" w:eastAsia="宋体" w:hAnsi="宋体" w:cs="宋体"/>
          <w:spacing w:val="-14"/>
          <w:sz w:val="22"/>
          <w:szCs w:val="22"/>
        </w:rPr>
        <w:t>酸的代乳品喂养婴儿，常出现吐奶、消化不良等现象。</w:t>
      </w:r>
    </w:p>
    <w:p w:rsidR="00EA40A3" w:rsidRDefault="00E86C16">
      <w:pPr>
        <w:spacing w:before="38" w:line="244" w:lineRule="auto"/>
        <w:ind w:right="10" w:firstLine="429"/>
        <w:jc w:val="both"/>
        <w:rPr>
          <w:rFonts w:ascii="宋体" w:eastAsia="宋体" w:hAnsi="宋体" w:cs="宋体"/>
          <w:sz w:val="22"/>
          <w:szCs w:val="22"/>
        </w:rPr>
      </w:pPr>
      <w:r>
        <w:rPr>
          <w:rFonts w:ascii="宋体" w:eastAsia="宋体" w:hAnsi="宋体" w:cs="宋体"/>
          <w:spacing w:val="-9"/>
          <w:sz w:val="22"/>
          <w:szCs w:val="22"/>
        </w:rPr>
        <w:t>(2)保护心血管系统：牛磺酸是心脏中含量最丰</w:t>
      </w:r>
      <w:r>
        <w:rPr>
          <w:rFonts w:ascii="宋体" w:eastAsia="宋体" w:hAnsi="宋体" w:cs="宋体"/>
          <w:spacing w:val="-10"/>
          <w:sz w:val="22"/>
          <w:szCs w:val="22"/>
        </w:rPr>
        <w:t>富的游离氨基酸，约占游离</w:t>
      </w:r>
      <w:r>
        <w:rPr>
          <w:rFonts w:ascii="宋体" w:eastAsia="宋体" w:hAnsi="宋体" w:cs="宋体"/>
          <w:sz w:val="22"/>
          <w:szCs w:val="22"/>
        </w:rPr>
        <w:t xml:space="preserve"> </w:t>
      </w:r>
      <w:r>
        <w:rPr>
          <w:rFonts w:ascii="宋体" w:eastAsia="宋体" w:hAnsi="宋体" w:cs="宋体"/>
          <w:spacing w:val="-3"/>
          <w:sz w:val="22"/>
          <w:szCs w:val="22"/>
        </w:rPr>
        <w:t>氨基酸总量的60%。牛磺酸与心肌钙及心肌收缩有密切关系，能增</w:t>
      </w:r>
      <w:r>
        <w:rPr>
          <w:rFonts w:ascii="宋体" w:eastAsia="宋体" w:hAnsi="宋体" w:cs="宋体"/>
          <w:spacing w:val="-4"/>
          <w:sz w:val="22"/>
          <w:szCs w:val="22"/>
        </w:rPr>
        <w:t>加心肌收缩</w:t>
      </w:r>
      <w:r>
        <w:rPr>
          <w:rFonts w:ascii="宋体" w:eastAsia="宋体" w:hAnsi="宋体" w:cs="宋体"/>
          <w:sz w:val="22"/>
          <w:szCs w:val="22"/>
        </w:rPr>
        <w:t xml:space="preserve"> </w:t>
      </w:r>
      <w:r>
        <w:rPr>
          <w:rFonts w:ascii="宋体" w:eastAsia="宋体" w:hAnsi="宋体" w:cs="宋体"/>
          <w:spacing w:val="-13"/>
          <w:sz w:val="22"/>
          <w:szCs w:val="22"/>
        </w:rPr>
        <w:t>期钙的利用、预防钙超载引起的心肌损伤，并且具有抗心律失常、抗心肌缺血等</w:t>
      </w:r>
      <w:r>
        <w:rPr>
          <w:rFonts w:ascii="宋体" w:eastAsia="宋体" w:hAnsi="宋体" w:cs="宋体"/>
          <w:spacing w:val="13"/>
          <w:sz w:val="22"/>
          <w:szCs w:val="22"/>
        </w:rPr>
        <w:t xml:space="preserve"> </w:t>
      </w:r>
      <w:r>
        <w:rPr>
          <w:rFonts w:ascii="宋体" w:eastAsia="宋体" w:hAnsi="宋体" w:cs="宋体"/>
          <w:spacing w:val="-18"/>
          <w:sz w:val="22"/>
          <w:szCs w:val="22"/>
        </w:rPr>
        <w:t>作用。</w:t>
      </w:r>
    </w:p>
    <w:p w:rsidR="00EA40A3" w:rsidRDefault="00E86C16">
      <w:pPr>
        <w:spacing w:before="36" w:line="219" w:lineRule="auto"/>
        <w:ind w:left="429"/>
        <w:rPr>
          <w:rFonts w:ascii="宋体" w:eastAsia="宋体" w:hAnsi="宋体" w:cs="宋体"/>
          <w:sz w:val="22"/>
          <w:szCs w:val="22"/>
        </w:rPr>
      </w:pPr>
      <w:r>
        <w:rPr>
          <w:rFonts w:ascii="宋体" w:eastAsia="宋体" w:hAnsi="宋体" w:cs="宋体"/>
          <w:spacing w:val="-9"/>
          <w:sz w:val="22"/>
          <w:szCs w:val="22"/>
        </w:rPr>
        <w:t>(3)改善视功能：大量研究显示牛磺酸对视觉感受器发育、视功能改善有</w:t>
      </w:r>
      <w:r>
        <w:rPr>
          <w:rFonts w:ascii="宋体" w:eastAsia="宋体" w:hAnsi="宋体" w:cs="宋体"/>
          <w:spacing w:val="-10"/>
          <w:sz w:val="22"/>
          <w:szCs w:val="22"/>
        </w:rPr>
        <w:t>明</w:t>
      </w:r>
    </w:p>
    <w:p w:rsidR="00EA40A3" w:rsidRDefault="00E86C16">
      <w:pPr>
        <w:spacing w:before="163"/>
        <w:ind w:right="63"/>
        <w:jc w:val="right"/>
        <w:rPr>
          <w:rFonts w:ascii="宋体" w:eastAsia="宋体" w:hAnsi="宋体" w:cs="宋体"/>
          <w:sz w:val="16"/>
          <w:szCs w:val="16"/>
        </w:rPr>
      </w:pPr>
      <w:r>
        <w:rPr>
          <w:rFonts w:ascii="宋体" w:eastAsia="宋体" w:hAnsi="宋体" w:cs="宋体"/>
          <w:spacing w:val="-18"/>
          <w:sz w:val="16"/>
          <w:szCs w:val="16"/>
        </w:rPr>
        <w:t>·</w:t>
      </w:r>
      <w:r>
        <w:rPr>
          <w:rFonts w:ascii="宋体" w:eastAsia="宋体" w:hAnsi="宋体" w:cs="宋体"/>
          <w:spacing w:val="10"/>
          <w:sz w:val="16"/>
          <w:szCs w:val="16"/>
        </w:rPr>
        <w:t xml:space="preserve"> </w:t>
      </w:r>
      <w:r>
        <w:rPr>
          <w:rFonts w:ascii="宋体" w:eastAsia="宋体" w:hAnsi="宋体" w:cs="宋体"/>
          <w:spacing w:val="-18"/>
          <w:sz w:val="16"/>
          <w:szCs w:val="16"/>
        </w:rPr>
        <w:t>71</w:t>
      </w:r>
      <w:r>
        <w:rPr>
          <w:rFonts w:ascii="宋体" w:eastAsia="宋体" w:hAnsi="宋体" w:cs="宋体"/>
          <w:spacing w:val="31"/>
          <w:sz w:val="16"/>
          <w:szCs w:val="16"/>
        </w:rPr>
        <w:t xml:space="preserve"> </w:t>
      </w:r>
      <w:r>
        <w:rPr>
          <w:rFonts w:ascii="宋体" w:eastAsia="宋体" w:hAnsi="宋体" w:cs="宋体"/>
          <w:spacing w:val="-18"/>
          <w:sz w:val="16"/>
          <w:szCs w:val="16"/>
        </w:rPr>
        <w:t>·</w:t>
      </w:r>
    </w:p>
    <w:p w:rsidR="00EA40A3" w:rsidRDefault="00EA40A3">
      <w:pPr>
        <w:sectPr w:rsidR="00EA40A3">
          <w:pgSz w:w="9220" w:h="13360"/>
          <w:pgMar w:top="400" w:right="1086" w:bottom="400" w:left="860" w:header="0" w:footer="0" w:gutter="0"/>
          <w:cols w:space="720"/>
        </w:sectPr>
      </w:pPr>
    </w:p>
    <w:p w:rsidR="00EA40A3" w:rsidRDefault="00EA40A3">
      <w:pPr>
        <w:spacing w:line="288" w:lineRule="auto"/>
      </w:pPr>
    </w:p>
    <w:p w:rsidR="00EA40A3" w:rsidRDefault="00EA40A3">
      <w:pPr>
        <w:spacing w:line="289" w:lineRule="auto"/>
      </w:pPr>
    </w:p>
    <w:p w:rsidR="00EA40A3" w:rsidRDefault="00E86C16">
      <w:pPr>
        <w:spacing w:before="69" w:line="249" w:lineRule="auto"/>
        <w:ind w:left="9" w:right="54"/>
        <w:jc w:val="both"/>
        <w:rPr>
          <w:rFonts w:ascii="宋体" w:eastAsia="宋体" w:hAnsi="宋体" w:cs="宋体"/>
        </w:rPr>
      </w:pPr>
      <w:bookmarkStart w:id="20" w:name="_bookmark24"/>
      <w:bookmarkEnd w:id="20"/>
      <w:r>
        <w:rPr>
          <w:rFonts w:ascii="宋体" w:eastAsia="宋体" w:hAnsi="宋体" w:cs="宋体"/>
          <w:spacing w:val="-4"/>
        </w:rPr>
        <w:t>显效果。人体视网膜中含有大量牛磺酸，但是在应激状态下也有缺乏的可能。当</w:t>
      </w:r>
      <w:r>
        <w:rPr>
          <w:rFonts w:ascii="宋体" w:eastAsia="宋体" w:hAnsi="宋体" w:cs="宋体"/>
          <w:spacing w:val="18"/>
        </w:rPr>
        <w:t xml:space="preserve"> </w:t>
      </w:r>
      <w:r>
        <w:rPr>
          <w:rFonts w:ascii="宋体" w:eastAsia="宋体" w:hAnsi="宋体" w:cs="宋体"/>
          <w:spacing w:val="-3"/>
        </w:rPr>
        <w:t>视网膜中的牛磺酸降低时，会出现视网膜结构和功能的变化，人体</w:t>
      </w:r>
      <w:r>
        <w:rPr>
          <w:rFonts w:ascii="宋体" w:eastAsia="宋体" w:hAnsi="宋体" w:cs="宋体"/>
          <w:spacing w:val="-4"/>
        </w:rPr>
        <w:t>色素性视网膜</w:t>
      </w:r>
      <w:r>
        <w:rPr>
          <w:rFonts w:ascii="宋体" w:eastAsia="宋体" w:hAnsi="宋体" w:cs="宋体"/>
        </w:rPr>
        <w:t xml:space="preserve"> </w:t>
      </w:r>
      <w:r>
        <w:rPr>
          <w:rFonts w:ascii="宋体" w:eastAsia="宋体" w:hAnsi="宋体" w:cs="宋体"/>
          <w:spacing w:val="-9"/>
        </w:rPr>
        <w:t>炎可能与牛磺酸缺乏有关。</w:t>
      </w:r>
    </w:p>
    <w:p w:rsidR="00EA40A3" w:rsidRDefault="00E86C16">
      <w:pPr>
        <w:spacing w:before="57" w:line="242" w:lineRule="auto"/>
        <w:ind w:left="9" w:firstLine="479"/>
        <w:rPr>
          <w:rFonts w:ascii="宋体" w:eastAsia="宋体" w:hAnsi="宋体" w:cs="宋体"/>
        </w:rPr>
      </w:pPr>
      <w:r>
        <w:rPr>
          <w:rFonts w:ascii="宋体" w:eastAsia="宋体" w:hAnsi="宋体" w:cs="宋体"/>
        </w:rPr>
        <w:t>(4)增强免疫力：牛磺酸可以结合白细胞中的次氯</w:t>
      </w:r>
      <w:r>
        <w:rPr>
          <w:rFonts w:ascii="宋体" w:eastAsia="宋体" w:hAnsi="宋体" w:cs="宋体"/>
          <w:spacing w:val="-1"/>
        </w:rPr>
        <w:t>酸生成无毒性物质，降低</w:t>
      </w:r>
      <w:r>
        <w:rPr>
          <w:rFonts w:ascii="宋体" w:eastAsia="宋体" w:hAnsi="宋体" w:cs="宋体"/>
        </w:rPr>
        <w:t xml:space="preserve"> </w:t>
      </w:r>
      <w:r>
        <w:rPr>
          <w:rFonts w:ascii="宋体" w:eastAsia="宋体" w:hAnsi="宋体" w:cs="宋体"/>
          <w:spacing w:val="-4"/>
        </w:rPr>
        <w:t>次氯酸对白细胞自身的破坏，从而提高人体免疫力。</w:t>
      </w:r>
    </w:p>
    <w:p w:rsidR="00EA40A3" w:rsidRDefault="00E86C16">
      <w:pPr>
        <w:spacing w:before="68" w:line="253" w:lineRule="auto"/>
        <w:ind w:left="9" w:right="1" w:firstLine="470"/>
        <w:rPr>
          <w:rFonts w:ascii="宋体" w:eastAsia="宋体" w:hAnsi="宋体" w:cs="宋体"/>
        </w:rPr>
      </w:pPr>
      <w:r>
        <w:rPr>
          <w:rFonts w:ascii="宋体" w:eastAsia="宋体" w:hAnsi="宋体" w:cs="宋体"/>
          <w:spacing w:val="-3"/>
        </w:rPr>
        <w:t>牛磺酸在人体内可由蛋氨酸、半胱氨酸通过脱羧、氧化</w:t>
      </w:r>
      <w:r>
        <w:rPr>
          <w:rFonts w:ascii="宋体" w:eastAsia="宋体" w:hAnsi="宋体" w:cs="宋体"/>
          <w:spacing w:val="-4"/>
        </w:rPr>
        <w:t>作用合成，当体内牛</w:t>
      </w:r>
      <w:r>
        <w:rPr>
          <w:rFonts w:ascii="宋体" w:eastAsia="宋体" w:hAnsi="宋体" w:cs="宋体"/>
        </w:rPr>
        <w:t xml:space="preserve"> </w:t>
      </w:r>
      <w:r>
        <w:rPr>
          <w:rFonts w:ascii="宋体" w:eastAsia="宋体" w:hAnsi="宋体" w:cs="宋体"/>
          <w:spacing w:val="-2"/>
        </w:rPr>
        <w:t>磺酸不足时还可通过肾脏重吸收和减少排泄，以维持</w:t>
      </w:r>
      <w:r>
        <w:rPr>
          <w:rFonts w:ascii="宋体" w:eastAsia="宋体" w:hAnsi="宋体" w:cs="宋体"/>
          <w:spacing w:val="-3"/>
        </w:rPr>
        <w:t>体内含量的稳定，成人一般</w:t>
      </w:r>
      <w:r>
        <w:rPr>
          <w:rFonts w:ascii="宋体" w:eastAsia="宋体" w:hAnsi="宋体" w:cs="宋体"/>
        </w:rPr>
        <w:t xml:space="preserve"> </w:t>
      </w:r>
      <w:r>
        <w:rPr>
          <w:rFonts w:ascii="宋体" w:eastAsia="宋体" w:hAnsi="宋体" w:cs="宋体"/>
          <w:spacing w:val="-2"/>
        </w:rPr>
        <w:t>不会缺乏。婴幼儿由于体内牛磺酸合成所需的半胱亚磺</w:t>
      </w:r>
      <w:r>
        <w:rPr>
          <w:rFonts w:ascii="宋体" w:eastAsia="宋体" w:hAnsi="宋体" w:cs="宋体"/>
          <w:spacing w:val="-3"/>
        </w:rPr>
        <w:t>酸脱羧酶活性较低，合成</w:t>
      </w:r>
      <w:r>
        <w:rPr>
          <w:rFonts w:ascii="宋体" w:eastAsia="宋体" w:hAnsi="宋体" w:cs="宋体"/>
        </w:rPr>
        <w:t xml:space="preserve"> </w:t>
      </w:r>
      <w:r>
        <w:rPr>
          <w:rFonts w:ascii="宋体" w:eastAsia="宋体" w:hAnsi="宋体" w:cs="宋体"/>
          <w:spacing w:val="-9"/>
        </w:rPr>
        <w:t>量不能满足需要，故需补充。</w:t>
      </w:r>
    </w:p>
    <w:p w:rsidR="00EA40A3" w:rsidRDefault="00E86C16">
      <w:pPr>
        <w:spacing w:before="57" w:line="224" w:lineRule="auto"/>
        <w:ind w:left="9"/>
        <w:rPr>
          <w:rFonts w:ascii="楷体" w:eastAsia="楷体" w:hAnsi="楷体" w:cs="楷体"/>
        </w:rPr>
      </w:pPr>
      <w:r>
        <w:rPr>
          <w:rFonts w:ascii="楷体" w:eastAsia="楷体" w:hAnsi="楷体" w:cs="楷体"/>
          <w:spacing w:val="5"/>
        </w:rPr>
        <w:t>2)牛磺酸的食物来源</w:t>
      </w:r>
    </w:p>
    <w:p w:rsidR="00EA40A3" w:rsidRDefault="00E86C16">
      <w:pPr>
        <w:spacing w:before="58" w:line="246" w:lineRule="auto"/>
        <w:ind w:left="9" w:right="26" w:firstLine="419"/>
        <w:rPr>
          <w:rFonts w:ascii="宋体" w:eastAsia="宋体" w:hAnsi="宋体" w:cs="宋体"/>
        </w:rPr>
      </w:pPr>
      <w:r>
        <w:rPr>
          <w:rFonts w:ascii="宋体" w:eastAsia="宋体" w:hAnsi="宋体" w:cs="宋体"/>
          <w:spacing w:val="-3"/>
        </w:rPr>
        <w:t>牛磺酸主要由食物供给。人体若缺乏牛磺酸，各器官系统都会受到影响，特</w:t>
      </w:r>
      <w:r>
        <w:rPr>
          <w:rFonts w:ascii="宋体" w:eastAsia="宋体" w:hAnsi="宋体" w:cs="宋体"/>
          <w:spacing w:val="15"/>
        </w:rPr>
        <w:t xml:space="preserve"> </w:t>
      </w:r>
      <w:r>
        <w:rPr>
          <w:rFonts w:ascii="宋体" w:eastAsia="宋体" w:hAnsi="宋体" w:cs="宋体"/>
          <w:spacing w:val="-2"/>
        </w:rPr>
        <w:t>别是婴幼儿和老年人。常见食品中牛磺酸含量见表3-16。</w:t>
      </w:r>
    </w:p>
    <w:p w:rsidR="00EA40A3" w:rsidRDefault="00EA40A3">
      <w:pPr>
        <w:spacing w:line="266" w:lineRule="auto"/>
      </w:pPr>
    </w:p>
    <w:p w:rsidR="00EA40A3" w:rsidRDefault="00E86C16">
      <w:pPr>
        <w:spacing w:before="59" w:line="219" w:lineRule="auto"/>
        <w:ind w:left="1772"/>
        <w:rPr>
          <w:rFonts w:ascii="宋体" w:eastAsia="宋体" w:hAnsi="宋体" w:cs="宋体"/>
          <w:sz w:val="18"/>
          <w:szCs w:val="18"/>
        </w:rPr>
      </w:pPr>
      <w:r>
        <w:rPr>
          <w:rFonts w:ascii="宋体" w:eastAsia="宋体" w:hAnsi="宋体" w:cs="宋体"/>
          <w:b/>
          <w:bCs/>
          <w:spacing w:val="-3"/>
          <w:sz w:val="18"/>
          <w:szCs w:val="18"/>
        </w:rPr>
        <w:t>表3-16畜禽、水产类、奶类食品中牛磺酸含量</w:t>
      </w:r>
    </w:p>
    <w:p w:rsidR="00EA40A3" w:rsidRDefault="00EA40A3">
      <w:pPr>
        <w:spacing w:line="97" w:lineRule="exact"/>
      </w:pPr>
    </w:p>
    <w:tbl>
      <w:tblPr>
        <w:tblStyle w:val="TableNormal"/>
        <w:tblW w:w="72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422"/>
        <w:gridCol w:w="1081"/>
        <w:gridCol w:w="1106"/>
        <w:gridCol w:w="1420"/>
        <w:gridCol w:w="1099"/>
        <w:gridCol w:w="1121"/>
      </w:tblGrid>
      <w:tr w:rsidR="00EA40A3">
        <w:trPr>
          <w:trHeight w:val="562"/>
        </w:trPr>
        <w:tc>
          <w:tcPr>
            <w:tcW w:w="1422" w:type="dxa"/>
            <w:tcBorders>
              <w:top w:val="single" w:sz="4" w:space="0" w:color="000000"/>
              <w:bottom w:val="single" w:sz="4" w:space="0" w:color="000000"/>
            </w:tcBorders>
          </w:tcPr>
          <w:p w:rsidR="00EA40A3" w:rsidRDefault="00E86C16">
            <w:pPr>
              <w:spacing w:before="221" w:line="219" w:lineRule="auto"/>
              <w:ind w:left="109"/>
              <w:rPr>
                <w:rFonts w:ascii="宋体" w:eastAsia="宋体" w:hAnsi="宋体" w:cs="宋体"/>
                <w:sz w:val="16"/>
                <w:szCs w:val="16"/>
              </w:rPr>
            </w:pPr>
            <w:r>
              <w:rPr>
                <w:rFonts w:ascii="宋体" w:eastAsia="宋体" w:hAnsi="宋体" w:cs="宋体"/>
                <w:spacing w:val="2"/>
                <w:sz w:val="16"/>
                <w:szCs w:val="16"/>
              </w:rPr>
              <w:t>禽畜水产食品</w:t>
            </w:r>
          </w:p>
        </w:tc>
        <w:tc>
          <w:tcPr>
            <w:tcW w:w="1081" w:type="dxa"/>
            <w:tcBorders>
              <w:top w:val="single" w:sz="4" w:space="0" w:color="000000"/>
              <w:bottom w:val="single" w:sz="4" w:space="0" w:color="000000"/>
            </w:tcBorders>
          </w:tcPr>
          <w:p w:rsidR="00EA40A3" w:rsidRDefault="00E86C16">
            <w:pPr>
              <w:spacing w:before="212" w:line="220" w:lineRule="auto"/>
              <w:ind w:left="317"/>
              <w:rPr>
                <w:rFonts w:ascii="宋体" w:eastAsia="宋体" w:hAnsi="宋体" w:cs="宋体"/>
                <w:sz w:val="16"/>
                <w:szCs w:val="16"/>
              </w:rPr>
            </w:pPr>
            <w:r>
              <w:rPr>
                <w:rFonts w:ascii="宋体" w:eastAsia="宋体" w:hAnsi="宋体" w:cs="宋体"/>
                <w:spacing w:val="-2"/>
                <w:sz w:val="16"/>
                <w:szCs w:val="16"/>
              </w:rPr>
              <w:t>制备方法</w:t>
            </w:r>
          </w:p>
        </w:tc>
        <w:tc>
          <w:tcPr>
            <w:tcW w:w="1106" w:type="dxa"/>
            <w:tcBorders>
              <w:top w:val="single" w:sz="4" w:space="0" w:color="000000"/>
              <w:bottom w:val="single" w:sz="4" w:space="0" w:color="000000"/>
              <w:right w:val="single" w:sz="4" w:space="0" w:color="000000"/>
            </w:tcBorders>
          </w:tcPr>
          <w:p w:rsidR="00EA40A3" w:rsidRDefault="00E86C16">
            <w:pPr>
              <w:spacing w:before="81" w:line="254" w:lineRule="auto"/>
              <w:ind w:left="196" w:right="94" w:hanging="60"/>
              <w:rPr>
                <w:rFonts w:ascii="宋体" w:eastAsia="宋体" w:hAnsi="宋体" w:cs="宋体"/>
                <w:sz w:val="16"/>
                <w:szCs w:val="16"/>
              </w:rPr>
            </w:pPr>
            <w:r>
              <w:rPr>
                <w:rFonts w:ascii="宋体" w:eastAsia="宋体" w:hAnsi="宋体" w:cs="宋体"/>
                <w:spacing w:val="-2"/>
                <w:sz w:val="16"/>
                <w:szCs w:val="16"/>
              </w:rPr>
              <w:t>牛磺酸含量/</w:t>
            </w:r>
            <w:r>
              <w:rPr>
                <w:rFonts w:ascii="宋体" w:eastAsia="宋体" w:hAnsi="宋体" w:cs="宋体"/>
                <w:sz w:val="16"/>
                <w:szCs w:val="16"/>
              </w:rPr>
              <w:t xml:space="preserve"> </w:t>
            </w:r>
            <w:r>
              <w:rPr>
                <w:rFonts w:ascii="宋体" w:eastAsia="宋体" w:hAnsi="宋体" w:cs="宋体"/>
                <w:spacing w:val="-4"/>
                <w:sz w:val="16"/>
                <w:szCs w:val="16"/>
              </w:rPr>
              <w:t>(mg/100g)</w:t>
            </w:r>
          </w:p>
        </w:tc>
        <w:tc>
          <w:tcPr>
            <w:tcW w:w="1420" w:type="dxa"/>
            <w:tcBorders>
              <w:top w:val="single" w:sz="4" w:space="0" w:color="000000"/>
              <w:left w:val="single" w:sz="4" w:space="0" w:color="000000"/>
              <w:bottom w:val="single" w:sz="4" w:space="0" w:color="000000"/>
            </w:tcBorders>
          </w:tcPr>
          <w:p w:rsidR="00EA40A3" w:rsidRDefault="00E86C16">
            <w:pPr>
              <w:spacing w:before="211" w:line="219" w:lineRule="auto"/>
              <w:ind w:left="126"/>
              <w:rPr>
                <w:rFonts w:ascii="宋体" w:eastAsia="宋体" w:hAnsi="宋体" w:cs="宋体"/>
                <w:sz w:val="16"/>
                <w:szCs w:val="16"/>
              </w:rPr>
            </w:pPr>
            <w:r>
              <w:rPr>
                <w:rFonts w:ascii="宋体" w:eastAsia="宋体" w:hAnsi="宋体" w:cs="宋体"/>
                <w:spacing w:val="2"/>
                <w:sz w:val="16"/>
                <w:szCs w:val="16"/>
              </w:rPr>
              <w:t>禽畜水产食品</w:t>
            </w:r>
          </w:p>
        </w:tc>
        <w:tc>
          <w:tcPr>
            <w:tcW w:w="1099" w:type="dxa"/>
            <w:tcBorders>
              <w:top w:val="single" w:sz="4" w:space="0" w:color="000000"/>
              <w:bottom w:val="single" w:sz="4" w:space="0" w:color="000000"/>
            </w:tcBorders>
          </w:tcPr>
          <w:p w:rsidR="00EA40A3" w:rsidRDefault="00E86C16">
            <w:pPr>
              <w:spacing w:before="212" w:line="220" w:lineRule="auto"/>
              <w:ind w:left="330"/>
              <w:rPr>
                <w:rFonts w:ascii="宋体" w:eastAsia="宋体" w:hAnsi="宋体" w:cs="宋体"/>
                <w:sz w:val="16"/>
                <w:szCs w:val="16"/>
              </w:rPr>
            </w:pPr>
            <w:r>
              <w:rPr>
                <w:rFonts w:ascii="宋体" w:eastAsia="宋体" w:hAnsi="宋体" w:cs="宋体"/>
                <w:spacing w:val="-2"/>
                <w:sz w:val="16"/>
                <w:szCs w:val="16"/>
              </w:rPr>
              <w:t>制备方法</w:t>
            </w:r>
          </w:p>
        </w:tc>
        <w:tc>
          <w:tcPr>
            <w:tcW w:w="1121" w:type="dxa"/>
            <w:tcBorders>
              <w:top w:val="single" w:sz="4" w:space="0" w:color="000000"/>
              <w:bottom w:val="single" w:sz="4" w:space="0" w:color="000000"/>
            </w:tcBorders>
          </w:tcPr>
          <w:p w:rsidR="00EA40A3" w:rsidRDefault="00E86C16">
            <w:pPr>
              <w:spacing w:before="80" w:line="260" w:lineRule="auto"/>
              <w:ind w:left="201" w:right="109" w:hanging="60"/>
              <w:rPr>
                <w:rFonts w:ascii="宋体" w:eastAsia="宋体" w:hAnsi="宋体" w:cs="宋体"/>
                <w:sz w:val="16"/>
                <w:szCs w:val="16"/>
              </w:rPr>
            </w:pPr>
            <w:r>
              <w:rPr>
                <w:rFonts w:ascii="宋体" w:eastAsia="宋体" w:hAnsi="宋体" w:cs="宋体"/>
                <w:spacing w:val="-2"/>
                <w:sz w:val="16"/>
                <w:szCs w:val="16"/>
              </w:rPr>
              <w:t>牛磺酸含量/</w:t>
            </w:r>
            <w:r>
              <w:rPr>
                <w:rFonts w:ascii="宋体" w:eastAsia="宋体" w:hAnsi="宋体" w:cs="宋体"/>
                <w:sz w:val="16"/>
                <w:szCs w:val="16"/>
              </w:rPr>
              <w:t xml:space="preserve"> </w:t>
            </w:r>
            <w:r>
              <w:rPr>
                <w:rFonts w:ascii="宋体" w:eastAsia="宋体" w:hAnsi="宋体" w:cs="宋体"/>
                <w:spacing w:val="-4"/>
                <w:sz w:val="16"/>
                <w:szCs w:val="16"/>
              </w:rPr>
              <w:t>(mg/100g)</w:t>
            </w:r>
          </w:p>
        </w:tc>
      </w:tr>
      <w:tr w:rsidR="00EA40A3">
        <w:trPr>
          <w:trHeight w:val="249"/>
        </w:trPr>
        <w:tc>
          <w:tcPr>
            <w:tcW w:w="1422" w:type="dxa"/>
            <w:tcBorders>
              <w:top w:val="single" w:sz="4" w:space="0" w:color="000000"/>
            </w:tcBorders>
          </w:tcPr>
          <w:p w:rsidR="00EA40A3" w:rsidRDefault="00E86C16">
            <w:pPr>
              <w:spacing w:before="49" w:line="219" w:lineRule="auto"/>
              <w:ind w:left="99"/>
              <w:rPr>
                <w:rFonts w:ascii="宋体" w:eastAsia="宋体" w:hAnsi="宋体" w:cs="宋体"/>
                <w:sz w:val="16"/>
                <w:szCs w:val="16"/>
              </w:rPr>
            </w:pPr>
            <w:r>
              <w:rPr>
                <w:rFonts w:ascii="宋体" w:eastAsia="宋体" w:hAnsi="宋体" w:cs="宋体"/>
                <w:spacing w:val="-2"/>
                <w:sz w:val="16"/>
                <w:szCs w:val="16"/>
              </w:rPr>
              <w:t>禽类</w:t>
            </w:r>
          </w:p>
        </w:tc>
        <w:tc>
          <w:tcPr>
            <w:tcW w:w="1081" w:type="dxa"/>
            <w:tcBorders>
              <w:top w:val="single" w:sz="4" w:space="0" w:color="000000"/>
            </w:tcBorders>
          </w:tcPr>
          <w:p w:rsidR="00EA40A3" w:rsidRDefault="00EA40A3"/>
        </w:tc>
        <w:tc>
          <w:tcPr>
            <w:tcW w:w="1106" w:type="dxa"/>
            <w:tcBorders>
              <w:top w:val="single" w:sz="4" w:space="0" w:color="000000"/>
              <w:right w:val="single" w:sz="4" w:space="0" w:color="000000"/>
            </w:tcBorders>
          </w:tcPr>
          <w:p w:rsidR="00EA40A3" w:rsidRDefault="00EA40A3"/>
        </w:tc>
        <w:tc>
          <w:tcPr>
            <w:tcW w:w="1420" w:type="dxa"/>
            <w:tcBorders>
              <w:top w:val="single" w:sz="4" w:space="0" w:color="000000"/>
              <w:left w:val="single" w:sz="4" w:space="0" w:color="000000"/>
            </w:tcBorders>
          </w:tcPr>
          <w:p w:rsidR="00EA40A3" w:rsidRDefault="00E86C16">
            <w:pPr>
              <w:spacing w:before="49" w:line="219" w:lineRule="auto"/>
              <w:ind w:left="105"/>
              <w:rPr>
                <w:rFonts w:ascii="宋体" w:eastAsia="宋体" w:hAnsi="宋体" w:cs="宋体"/>
                <w:sz w:val="16"/>
                <w:szCs w:val="16"/>
              </w:rPr>
            </w:pPr>
            <w:r>
              <w:rPr>
                <w:rFonts w:ascii="宋体" w:eastAsia="宋体" w:hAnsi="宋体" w:cs="宋体"/>
                <w:spacing w:val="5"/>
                <w:sz w:val="16"/>
                <w:szCs w:val="16"/>
              </w:rPr>
              <w:t>水产品</w:t>
            </w:r>
          </w:p>
        </w:tc>
        <w:tc>
          <w:tcPr>
            <w:tcW w:w="1099" w:type="dxa"/>
            <w:tcBorders>
              <w:top w:val="single" w:sz="4" w:space="0" w:color="000000"/>
            </w:tcBorders>
          </w:tcPr>
          <w:p w:rsidR="00EA40A3" w:rsidRDefault="00EA40A3"/>
        </w:tc>
        <w:tc>
          <w:tcPr>
            <w:tcW w:w="1121" w:type="dxa"/>
            <w:tcBorders>
              <w:top w:val="single" w:sz="4" w:space="0" w:color="000000"/>
            </w:tcBorders>
          </w:tcPr>
          <w:p w:rsidR="00EA40A3" w:rsidRDefault="00EA40A3"/>
        </w:tc>
      </w:tr>
      <w:tr w:rsidR="00EA40A3">
        <w:trPr>
          <w:trHeight w:val="513"/>
        </w:trPr>
        <w:tc>
          <w:tcPr>
            <w:tcW w:w="1422" w:type="dxa"/>
          </w:tcPr>
          <w:p w:rsidR="00EA40A3" w:rsidRDefault="00E86C16">
            <w:pPr>
              <w:spacing w:before="61" w:line="221" w:lineRule="auto"/>
              <w:ind w:left="99"/>
              <w:rPr>
                <w:rFonts w:ascii="宋体" w:eastAsia="宋体" w:hAnsi="宋体" w:cs="宋体"/>
                <w:sz w:val="16"/>
                <w:szCs w:val="16"/>
              </w:rPr>
            </w:pPr>
            <w:r>
              <w:rPr>
                <w:rFonts w:ascii="宋体" w:eastAsia="宋体" w:hAnsi="宋体" w:cs="宋体"/>
                <w:spacing w:val="3"/>
                <w:sz w:val="16"/>
                <w:szCs w:val="16"/>
              </w:rPr>
              <w:t>鸡，白肉</w:t>
            </w:r>
          </w:p>
        </w:tc>
        <w:tc>
          <w:tcPr>
            <w:tcW w:w="1081" w:type="dxa"/>
          </w:tcPr>
          <w:p w:rsidR="00EA40A3" w:rsidRDefault="00E86C16">
            <w:pPr>
              <w:spacing w:before="69" w:line="241" w:lineRule="exact"/>
              <w:ind w:left="537"/>
              <w:rPr>
                <w:rFonts w:ascii="宋体" w:eastAsia="宋体" w:hAnsi="宋体" w:cs="宋体"/>
                <w:sz w:val="16"/>
                <w:szCs w:val="16"/>
              </w:rPr>
            </w:pPr>
            <w:r>
              <w:rPr>
                <w:rFonts w:ascii="宋体" w:eastAsia="宋体" w:hAnsi="宋体" w:cs="宋体"/>
                <w:position w:val="5"/>
                <w:sz w:val="16"/>
                <w:szCs w:val="16"/>
              </w:rPr>
              <w:t>生</w:t>
            </w:r>
          </w:p>
          <w:p w:rsidR="00EA40A3" w:rsidRDefault="00E86C16">
            <w:pPr>
              <w:spacing w:line="219" w:lineRule="auto"/>
              <w:ind w:left="45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84" w:line="252" w:lineRule="exact"/>
              <w:ind w:left="326"/>
              <w:rPr>
                <w:rFonts w:ascii="宋体" w:eastAsia="宋体" w:hAnsi="宋体" w:cs="宋体"/>
                <w:sz w:val="16"/>
                <w:szCs w:val="16"/>
              </w:rPr>
            </w:pPr>
            <w:r>
              <w:rPr>
                <w:rFonts w:ascii="宋体" w:eastAsia="宋体" w:hAnsi="宋体" w:cs="宋体"/>
                <w:spacing w:val="-4"/>
                <w:position w:val="6"/>
                <w:sz w:val="16"/>
                <w:szCs w:val="16"/>
              </w:rPr>
              <w:t>18±3</w:t>
            </w:r>
          </w:p>
          <w:p w:rsidR="00EA40A3" w:rsidRDefault="00E86C16">
            <w:pPr>
              <w:spacing w:line="204" w:lineRule="auto"/>
              <w:ind w:left="326"/>
              <w:rPr>
                <w:rFonts w:ascii="宋体" w:eastAsia="宋体" w:hAnsi="宋体" w:cs="宋体"/>
                <w:sz w:val="16"/>
                <w:szCs w:val="16"/>
              </w:rPr>
            </w:pPr>
            <w:r>
              <w:rPr>
                <w:rFonts w:ascii="宋体" w:eastAsia="宋体" w:hAnsi="宋体" w:cs="宋体"/>
                <w:spacing w:val="1"/>
                <w:sz w:val="16"/>
                <w:szCs w:val="16"/>
              </w:rPr>
              <w:t>15土4</w:t>
            </w:r>
          </w:p>
        </w:tc>
        <w:tc>
          <w:tcPr>
            <w:tcW w:w="1420" w:type="dxa"/>
            <w:tcBorders>
              <w:left w:val="single" w:sz="4" w:space="0" w:color="000000"/>
            </w:tcBorders>
          </w:tcPr>
          <w:p w:rsidR="00EA40A3" w:rsidRDefault="00E86C16">
            <w:pPr>
              <w:spacing w:before="60" w:line="270" w:lineRule="exact"/>
              <w:ind w:left="105"/>
              <w:rPr>
                <w:rFonts w:ascii="宋体" w:eastAsia="宋体" w:hAnsi="宋体" w:cs="宋体"/>
                <w:sz w:val="16"/>
                <w:szCs w:val="16"/>
              </w:rPr>
            </w:pPr>
            <w:r>
              <w:rPr>
                <w:rFonts w:ascii="宋体" w:eastAsia="宋体" w:hAnsi="宋体" w:cs="宋体"/>
                <w:spacing w:val="-2"/>
                <w:position w:val="8"/>
                <w:sz w:val="16"/>
                <w:szCs w:val="16"/>
              </w:rPr>
              <w:t>金枪鱼</w:t>
            </w:r>
          </w:p>
          <w:p w:rsidR="00EA40A3" w:rsidRDefault="00E86C16">
            <w:pPr>
              <w:spacing w:line="210" w:lineRule="auto"/>
              <w:ind w:left="115"/>
              <w:rPr>
                <w:rFonts w:ascii="宋体" w:eastAsia="宋体" w:hAnsi="宋体" w:cs="宋体"/>
                <w:sz w:val="16"/>
                <w:szCs w:val="16"/>
              </w:rPr>
            </w:pPr>
            <w:r>
              <w:rPr>
                <w:rFonts w:ascii="宋体" w:eastAsia="宋体" w:hAnsi="宋体" w:cs="宋体"/>
                <w:spacing w:val="-2"/>
                <w:sz w:val="16"/>
                <w:szCs w:val="16"/>
              </w:rPr>
              <w:t>金枪鱼</w:t>
            </w:r>
          </w:p>
        </w:tc>
        <w:tc>
          <w:tcPr>
            <w:tcW w:w="1099" w:type="dxa"/>
          </w:tcPr>
          <w:p w:rsidR="00EA40A3" w:rsidRDefault="00E86C16">
            <w:pPr>
              <w:spacing w:before="50" w:line="289" w:lineRule="exact"/>
              <w:ind w:left="470"/>
              <w:rPr>
                <w:rFonts w:ascii="宋体" w:eastAsia="宋体" w:hAnsi="宋体" w:cs="宋体"/>
                <w:sz w:val="16"/>
                <w:szCs w:val="16"/>
              </w:rPr>
            </w:pPr>
            <w:r>
              <w:rPr>
                <w:rFonts w:ascii="宋体" w:eastAsia="宋体" w:hAnsi="宋体" w:cs="宋体"/>
                <w:spacing w:val="-2"/>
                <w:position w:val="9"/>
                <w:sz w:val="16"/>
                <w:szCs w:val="16"/>
              </w:rPr>
              <w:t>罐装</w:t>
            </w:r>
          </w:p>
          <w:p w:rsidR="00EA40A3" w:rsidRDefault="00E86C16">
            <w:pPr>
              <w:spacing w:line="200" w:lineRule="auto"/>
              <w:ind w:left="570"/>
              <w:rPr>
                <w:rFonts w:ascii="宋体" w:eastAsia="宋体" w:hAnsi="宋体" w:cs="宋体"/>
                <w:sz w:val="16"/>
                <w:szCs w:val="16"/>
              </w:rPr>
            </w:pPr>
            <w:r>
              <w:rPr>
                <w:rFonts w:ascii="宋体" w:eastAsia="宋体" w:hAnsi="宋体" w:cs="宋体"/>
                <w:sz w:val="16"/>
                <w:szCs w:val="16"/>
              </w:rPr>
              <w:t>生</w:t>
            </w:r>
          </w:p>
        </w:tc>
        <w:tc>
          <w:tcPr>
            <w:tcW w:w="1121" w:type="dxa"/>
          </w:tcPr>
          <w:p w:rsidR="00EA40A3" w:rsidRDefault="00E86C16">
            <w:pPr>
              <w:spacing w:before="74" w:line="260" w:lineRule="exact"/>
              <w:ind w:left="341"/>
              <w:rPr>
                <w:rFonts w:ascii="宋体" w:eastAsia="宋体" w:hAnsi="宋体" w:cs="宋体"/>
                <w:sz w:val="16"/>
                <w:szCs w:val="16"/>
              </w:rPr>
            </w:pPr>
            <w:r>
              <w:rPr>
                <w:rFonts w:ascii="宋体" w:eastAsia="宋体" w:hAnsi="宋体" w:cs="宋体"/>
                <w:spacing w:val="-1"/>
                <w:position w:val="7"/>
                <w:sz w:val="16"/>
                <w:szCs w:val="16"/>
              </w:rPr>
              <w:t>42±13</w:t>
            </w:r>
          </w:p>
          <w:p w:rsidR="00EA40A3" w:rsidRDefault="00E86C16">
            <w:pPr>
              <w:spacing w:line="206" w:lineRule="auto"/>
              <w:ind w:left="341"/>
              <w:rPr>
                <w:rFonts w:ascii="宋体" w:eastAsia="宋体" w:hAnsi="宋体" w:cs="宋体"/>
                <w:sz w:val="16"/>
                <w:szCs w:val="16"/>
              </w:rPr>
            </w:pPr>
            <w:r>
              <w:rPr>
                <w:rFonts w:ascii="宋体" w:eastAsia="宋体" w:hAnsi="宋体" w:cs="宋体"/>
                <w:spacing w:val="-2"/>
                <w:sz w:val="16"/>
                <w:szCs w:val="16"/>
              </w:rPr>
              <w:t>39±13</w:t>
            </w:r>
          </w:p>
        </w:tc>
      </w:tr>
      <w:tr w:rsidR="00EA40A3">
        <w:trPr>
          <w:trHeight w:val="519"/>
        </w:trPr>
        <w:tc>
          <w:tcPr>
            <w:tcW w:w="1422" w:type="dxa"/>
          </w:tcPr>
          <w:p w:rsidR="00EA40A3" w:rsidRDefault="00E86C16">
            <w:pPr>
              <w:spacing w:before="57" w:line="219" w:lineRule="auto"/>
              <w:ind w:left="99"/>
              <w:rPr>
                <w:rFonts w:ascii="宋体" w:eastAsia="宋体" w:hAnsi="宋体" w:cs="宋体"/>
                <w:sz w:val="16"/>
                <w:szCs w:val="16"/>
              </w:rPr>
            </w:pPr>
            <w:r>
              <w:rPr>
                <w:rFonts w:ascii="宋体" w:eastAsia="宋体" w:hAnsi="宋体" w:cs="宋体"/>
                <w:spacing w:val="2"/>
                <w:sz w:val="16"/>
                <w:szCs w:val="16"/>
              </w:rPr>
              <w:t>火鸡，乌鸡肉</w:t>
            </w:r>
          </w:p>
        </w:tc>
        <w:tc>
          <w:tcPr>
            <w:tcW w:w="1081" w:type="dxa"/>
          </w:tcPr>
          <w:p w:rsidR="00EA40A3" w:rsidRDefault="00E86C16">
            <w:pPr>
              <w:spacing w:before="76" w:line="241" w:lineRule="exact"/>
              <w:ind w:left="527"/>
              <w:rPr>
                <w:rFonts w:ascii="宋体" w:eastAsia="宋体" w:hAnsi="宋体" w:cs="宋体"/>
                <w:sz w:val="16"/>
                <w:szCs w:val="16"/>
              </w:rPr>
            </w:pPr>
            <w:r>
              <w:rPr>
                <w:rFonts w:ascii="宋体" w:eastAsia="宋体" w:hAnsi="宋体" w:cs="宋体"/>
                <w:position w:val="5"/>
                <w:sz w:val="16"/>
                <w:szCs w:val="16"/>
              </w:rPr>
              <w:t>生</w:t>
            </w:r>
          </w:p>
          <w:p w:rsidR="00EA40A3" w:rsidRDefault="00E86C16">
            <w:pPr>
              <w:spacing w:line="219" w:lineRule="auto"/>
              <w:ind w:left="45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81" w:line="260" w:lineRule="exact"/>
              <w:ind w:left="296"/>
              <w:rPr>
                <w:rFonts w:ascii="宋体" w:eastAsia="宋体" w:hAnsi="宋体" w:cs="宋体"/>
                <w:sz w:val="16"/>
                <w:szCs w:val="16"/>
              </w:rPr>
            </w:pPr>
            <w:r>
              <w:rPr>
                <w:rFonts w:ascii="宋体" w:eastAsia="宋体" w:hAnsi="宋体" w:cs="宋体"/>
                <w:spacing w:val="-3"/>
                <w:position w:val="7"/>
                <w:sz w:val="16"/>
                <w:szCs w:val="16"/>
              </w:rPr>
              <w:t>169±37</w:t>
            </w:r>
          </w:p>
          <w:p w:rsidR="00EA40A3" w:rsidRDefault="00E86C16">
            <w:pPr>
              <w:spacing w:line="205" w:lineRule="auto"/>
              <w:ind w:left="306"/>
              <w:rPr>
                <w:rFonts w:ascii="宋体" w:eastAsia="宋体" w:hAnsi="宋体" w:cs="宋体"/>
                <w:sz w:val="16"/>
                <w:szCs w:val="16"/>
              </w:rPr>
            </w:pPr>
            <w:r>
              <w:rPr>
                <w:rFonts w:ascii="宋体" w:eastAsia="宋体" w:hAnsi="宋体" w:cs="宋体"/>
                <w:spacing w:val="-3"/>
                <w:sz w:val="16"/>
                <w:szCs w:val="16"/>
              </w:rPr>
              <w:t>199±27</w:t>
            </w:r>
          </w:p>
        </w:tc>
        <w:tc>
          <w:tcPr>
            <w:tcW w:w="1420" w:type="dxa"/>
            <w:tcBorders>
              <w:left w:val="single" w:sz="4" w:space="0" w:color="000000"/>
            </w:tcBorders>
          </w:tcPr>
          <w:p w:rsidR="00EA40A3" w:rsidRDefault="00E86C16">
            <w:pPr>
              <w:spacing w:before="79" w:line="240" w:lineRule="exact"/>
              <w:ind w:left="105"/>
              <w:rPr>
                <w:rFonts w:ascii="宋体" w:eastAsia="宋体" w:hAnsi="宋体" w:cs="宋体"/>
                <w:sz w:val="16"/>
                <w:szCs w:val="16"/>
              </w:rPr>
            </w:pPr>
            <w:r>
              <w:rPr>
                <w:rFonts w:ascii="宋体" w:eastAsia="宋体" w:hAnsi="宋体" w:cs="宋体"/>
                <w:spacing w:val="8"/>
                <w:position w:val="5"/>
                <w:sz w:val="16"/>
                <w:szCs w:val="16"/>
              </w:rPr>
              <w:t>白鱼</w:t>
            </w:r>
          </w:p>
          <w:p w:rsidR="00EA40A3" w:rsidRDefault="00E86C16">
            <w:pPr>
              <w:spacing w:line="222" w:lineRule="auto"/>
              <w:ind w:left="105"/>
              <w:rPr>
                <w:rFonts w:ascii="宋体" w:eastAsia="宋体" w:hAnsi="宋体" w:cs="宋体"/>
                <w:sz w:val="16"/>
                <w:szCs w:val="16"/>
              </w:rPr>
            </w:pPr>
            <w:r>
              <w:rPr>
                <w:rFonts w:ascii="宋体" w:eastAsia="宋体" w:hAnsi="宋体" w:cs="宋体"/>
                <w:spacing w:val="8"/>
                <w:sz w:val="16"/>
                <w:szCs w:val="16"/>
              </w:rPr>
              <w:t>白鱼</w:t>
            </w:r>
          </w:p>
        </w:tc>
        <w:tc>
          <w:tcPr>
            <w:tcW w:w="1099" w:type="dxa"/>
          </w:tcPr>
          <w:p w:rsidR="00EA40A3" w:rsidRDefault="00E86C16">
            <w:pPr>
              <w:spacing w:before="76" w:line="243" w:lineRule="exact"/>
              <w:ind w:left="570"/>
              <w:rPr>
                <w:rFonts w:ascii="宋体" w:eastAsia="宋体" w:hAnsi="宋体" w:cs="宋体"/>
                <w:sz w:val="16"/>
                <w:szCs w:val="16"/>
              </w:rPr>
            </w:pPr>
            <w:r>
              <w:rPr>
                <w:rFonts w:ascii="宋体" w:eastAsia="宋体" w:hAnsi="宋体" w:cs="宋体"/>
                <w:position w:val="5"/>
                <w:sz w:val="16"/>
                <w:szCs w:val="16"/>
              </w:rPr>
              <w:t>生</w:t>
            </w:r>
          </w:p>
          <w:p w:rsidR="00EA40A3" w:rsidRDefault="00E86C16">
            <w:pPr>
              <w:spacing w:line="221" w:lineRule="auto"/>
              <w:ind w:left="480"/>
              <w:rPr>
                <w:rFonts w:ascii="宋体" w:eastAsia="宋体" w:hAnsi="宋体" w:cs="宋体"/>
                <w:sz w:val="16"/>
                <w:szCs w:val="16"/>
              </w:rPr>
            </w:pPr>
            <w:r>
              <w:rPr>
                <w:rFonts w:ascii="宋体" w:eastAsia="宋体" w:hAnsi="宋体" w:cs="宋体"/>
                <w:spacing w:val="-3"/>
                <w:sz w:val="16"/>
                <w:szCs w:val="16"/>
              </w:rPr>
              <w:t>煮熟</w:t>
            </w:r>
          </w:p>
        </w:tc>
        <w:tc>
          <w:tcPr>
            <w:tcW w:w="1121" w:type="dxa"/>
          </w:tcPr>
          <w:p w:rsidR="00EA40A3" w:rsidRDefault="00E86C16">
            <w:pPr>
              <w:spacing w:before="81" w:line="260" w:lineRule="exact"/>
              <w:ind w:left="261"/>
              <w:rPr>
                <w:rFonts w:ascii="宋体" w:eastAsia="宋体" w:hAnsi="宋体" w:cs="宋体"/>
                <w:sz w:val="16"/>
                <w:szCs w:val="16"/>
              </w:rPr>
            </w:pPr>
            <w:r>
              <w:rPr>
                <w:rFonts w:ascii="宋体" w:eastAsia="宋体" w:hAnsi="宋体" w:cs="宋体"/>
                <w:spacing w:val="-3"/>
                <w:position w:val="7"/>
                <w:sz w:val="16"/>
                <w:szCs w:val="16"/>
              </w:rPr>
              <w:t>151±23</w:t>
            </w:r>
          </w:p>
          <w:p w:rsidR="00EA40A3" w:rsidRDefault="00E86C16">
            <w:pPr>
              <w:spacing w:line="205" w:lineRule="auto"/>
              <w:ind w:left="261"/>
              <w:rPr>
                <w:rFonts w:ascii="宋体" w:eastAsia="宋体" w:hAnsi="宋体" w:cs="宋体"/>
                <w:sz w:val="16"/>
                <w:szCs w:val="16"/>
              </w:rPr>
            </w:pPr>
            <w:r>
              <w:rPr>
                <w:rFonts w:ascii="宋体" w:eastAsia="宋体" w:hAnsi="宋体" w:cs="宋体"/>
                <w:spacing w:val="-3"/>
                <w:sz w:val="16"/>
                <w:szCs w:val="16"/>
              </w:rPr>
              <w:t>172±54</w:t>
            </w:r>
          </w:p>
        </w:tc>
      </w:tr>
      <w:tr w:rsidR="00EA40A3">
        <w:trPr>
          <w:trHeight w:val="516"/>
        </w:trPr>
        <w:tc>
          <w:tcPr>
            <w:tcW w:w="1422" w:type="dxa"/>
          </w:tcPr>
          <w:p w:rsidR="00EA40A3" w:rsidRDefault="00E86C16">
            <w:pPr>
              <w:spacing w:before="68" w:line="219" w:lineRule="auto"/>
              <w:ind w:left="99"/>
              <w:rPr>
                <w:rFonts w:ascii="宋体" w:eastAsia="宋体" w:hAnsi="宋体" w:cs="宋体"/>
                <w:sz w:val="16"/>
                <w:szCs w:val="16"/>
              </w:rPr>
            </w:pPr>
            <w:r>
              <w:rPr>
                <w:rFonts w:ascii="宋体" w:eastAsia="宋体" w:hAnsi="宋体" w:cs="宋体"/>
                <w:spacing w:val="3"/>
                <w:sz w:val="16"/>
                <w:szCs w:val="16"/>
              </w:rPr>
              <w:t>火鸡，白肉</w:t>
            </w:r>
          </w:p>
        </w:tc>
        <w:tc>
          <w:tcPr>
            <w:tcW w:w="1081" w:type="dxa"/>
          </w:tcPr>
          <w:p w:rsidR="00EA40A3" w:rsidRDefault="00E86C16">
            <w:pPr>
              <w:spacing w:before="67" w:line="261" w:lineRule="exact"/>
              <w:ind w:left="537"/>
              <w:rPr>
                <w:rFonts w:ascii="宋体" w:eastAsia="宋体" w:hAnsi="宋体" w:cs="宋体"/>
                <w:sz w:val="16"/>
                <w:szCs w:val="16"/>
              </w:rPr>
            </w:pPr>
            <w:r>
              <w:rPr>
                <w:rFonts w:ascii="宋体" w:eastAsia="宋体" w:hAnsi="宋体" w:cs="宋体"/>
                <w:position w:val="7"/>
                <w:sz w:val="16"/>
                <w:szCs w:val="16"/>
              </w:rPr>
              <w:t>生</w:t>
            </w:r>
          </w:p>
          <w:p w:rsidR="00EA40A3" w:rsidRDefault="00E86C16">
            <w:pPr>
              <w:spacing w:line="216" w:lineRule="auto"/>
              <w:ind w:left="45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82" w:line="260" w:lineRule="exact"/>
              <w:ind w:left="326"/>
              <w:rPr>
                <w:rFonts w:ascii="宋体" w:eastAsia="宋体" w:hAnsi="宋体" w:cs="宋体"/>
                <w:sz w:val="16"/>
                <w:szCs w:val="16"/>
              </w:rPr>
            </w:pPr>
            <w:r>
              <w:rPr>
                <w:rFonts w:ascii="宋体" w:eastAsia="宋体" w:hAnsi="宋体" w:cs="宋体"/>
                <w:spacing w:val="-2"/>
                <w:position w:val="7"/>
                <w:sz w:val="16"/>
                <w:szCs w:val="16"/>
              </w:rPr>
              <w:t>30±7</w:t>
            </w:r>
          </w:p>
          <w:p w:rsidR="00EA40A3" w:rsidRDefault="00E86C16">
            <w:pPr>
              <w:spacing w:line="200" w:lineRule="auto"/>
              <w:ind w:left="326"/>
              <w:rPr>
                <w:rFonts w:ascii="宋体" w:eastAsia="宋体" w:hAnsi="宋体" w:cs="宋体"/>
                <w:sz w:val="16"/>
                <w:szCs w:val="16"/>
              </w:rPr>
            </w:pPr>
            <w:r>
              <w:rPr>
                <w:rFonts w:ascii="宋体" w:eastAsia="宋体" w:hAnsi="宋体" w:cs="宋体"/>
                <w:spacing w:val="-4"/>
                <w:sz w:val="16"/>
                <w:szCs w:val="16"/>
              </w:rPr>
              <w:t>11±1</w:t>
            </w:r>
          </w:p>
        </w:tc>
        <w:tc>
          <w:tcPr>
            <w:tcW w:w="1420" w:type="dxa"/>
            <w:tcBorders>
              <w:left w:val="single" w:sz="4" w:space="0" w:color="000000"/>
            </w:tcBorders>
          </w:tcPr>
          <w:p w:rsidR="00EA40A3" w:rsidRDefault="00E86C16">
            <w:pPr>
              <w:spacing w:before="69" w:line="220" w:lineRule="auto"/>
              <w:ind w:left="105"/>
              <w:rPr>
                <w:rFonts w:ascii="宋体" w:eastAsia="宋体" w:hAnsi="宋体" w:cs="宋体"/>
                <w:sz w:val="16"/>
                <w:szCs w:val="16"/>
              </w:rPr>
            </w:pPr>
            <w:r>
              <w:rPr>
                <w:rFonts w:ascii="宋体" w:eastAsia="宋体" w:hAnsi="宋体" w:cs="宋体"/>
                <w:spacing w:val="-2"/>
                <w:sz w:val="16"/>
                <w:szCs w:val="16"/>
              </w:rPr>
              <w:t>虾，小</w:t>
            </w:r>
          </w:p>
          <w:p w:rsidR="00EA40A3" w:rsidRDefault="00E86C16">
            <w:pPr>
              <w:spacing w:before="69" w:line="216" w:lineRule="auto"/>
              <w:ind w:left="105"/>
              <w:rPr>
                <w:rFonts w:ascii="宋体" w:eastAsia="宋体" w:hAnsi="宋体" w:cs="宋体"/>
                <w:sz w:val="16"/>
                <w:szCs w:val="16"/>
              </w:rPr>
            </w:pPr>
            <w:r>
              <w:rPr>
                <w:rFonts w:ascii="宋体" w:eastAsia="宋体" w:hAnsi="宋体" w:cs="宋体"/>
                <w:spacing w:val="-2"/>
                <w:sz w:val="16"/>
                <w:szCs w:val="16"/>
              </w:rPr>
              <w:t>虾，中等</w:t>
            </w:r>
          </w:p>
        </w:tc>
        <w:tc>
          <w:tcPr>
            <w:tcW w:w="1099" w:type="dxa"/>
          </w:tcPr>
          <w:p w:rsidR="00EA40A3" w:rsidRDefault="00E86C16">
            <w:pPr>
              <w:spacing w:before="50" w:line="287" w:lineRule="exact"/>
              <w:ind w:left="480"/>
              <w:rPr>
                <w:rFonts w:ascii="宋体" w:eastAsia="宋体" w:hAnsi="宋体" w:cs="宋体"/>
                <w:sz w:val="16"/>
                <w:szCs w:val="16"/>
              </w:rPr>
            </w:pPr>
            <w:r>
              <w:rPr>
                <w:rFonts w:ascii="宋体" w:eastAsia="宋体" w:hAnsi="宋体" w:cs="宋体"/>
                <w:spacing w:val="-3"/>
                <w:position w:val="9"/>
                <w:sz w:val="16"/>
                <w:szCs w:val="16"/>
              </w:rPr>
              <w:t>煮熟</w:t>
            </w:r>
          </w:p>
          <w:p w:rsidR="00EA40A3" w:rsidRDefault="00E86C16">
            <w:pPr>
              <w:spacing w:line="206" w:lineRule="auto"/>
              <w:ind w:left="570"/>
              <w:rPr>
                <w:rFonts w:ascii="宋体" w:eastAsia="宋体" w:hAnsi="宋体" w:cs="宋体"/>
                <w:sz w:val="16"/>
                <w:szCs w:val="16"/>
              </w:rPr>
            </w:pPr>
            <w:r>
              <w:rPr>
                <w:rFonts w:ascii="宋体" w:eastAsia="宋体" w:hAnsi="宋体" w:cs="宋体"/>
                <w:sz w:val="16"/>
                <w:szCs w:val="16"/>
              </w:rPr>
              <w:t>生</w:t>
            </w:r>
          </w:p>
        </w:tc>
        <w:tc>
          <w:tcPr>
            <w:tcW w:w="1121" w:type="dxa"/>
          </w:tcPr>
          <w:p w:rsidR="00EA40A3" w:rsidRDefault="00E86C16">
            <w:pPr>
              <w:spacing w:before="72" w:line="270" w:lineRule="exact"/>
              <w:ind w:left="421"/>
              <w:rPr>
                <w:rFonts w:ascii="宋体" w:eastAsia="宋体" w:hAnsi="宋体" w:cs="宋体"/>
                <w:sz w:val="16"/>
                <w:szCs w:val="16"/>
              </w:rPr>
            </w:pPr>
            <w:r>
              <w:rPr>
                <w:rFonts w:ascii="宋体" w:eastAsia="宋体" w:hAnsi="宋体" w:cs="宋体"/>
                <w:spacing w:val="-4"/>
                <w:position w:val="8"/>
                <w:sz w:val="16"/>
                <w:szCs w:val="16"/>
              </w:rPr>
              <w:t>11±1</w:t>
            </w:r>
          </w:p>
          <w:p w:rsidR="00EA40A3" w:rsidRDefault="00E86C16">
            <w:pPr>
              <w:spacing w:line="200" w:lineRule="auto"/>
              <w:ind w:left="341"/>
              <w:rPr>
                <w:rFonts w:ascii="宋体" w:eastAsia="宋体" w:hAnsi="宋体" w:cs="宋体"/>
                <w:sz w:val="16"/>
                <w:szCs w:val="16"/>
              </w:rPr>
            </w:pPr>
            <w:r>
              <w:rPr>
                <w:rFonts w:ascii="宋体" w:eastAsia="宋体" w:hAnsi="宋体" w:cs="宋体"/>
                <w:spacing w:val="-2"/>
                <w:sz w:val="16"/>
                <w:szCs w:val="16"/>
              </w:rPr>
              <w:t>39±13</w:t>
            </w:r>
          </w:p>
        </w:tc>
      </w:tr>
      <w:tr w:rsidR="00EA40A3">
        <w:trPr>
          <w:trHeight w:val="518"/>
        </w:trPr>
        <w:tc>
          <w:tcPr>
            <w:tcW w:w="1422" w:type="dxa"/>
          </w:tcPr>
          <w:p w:rsidR="00EA40A3" w:rsidRDefault="00E86C16">
            <w:pPr>
              <w:spacing w:before="52" w:line="219" w:lineRule="auto"/>
              <w:ind w:left="99"/>
              <w:rPr>
                <w:rFonts w:ascii="宋体" w:eastAsia="宋体" w:hAnsi="宋体" w:cs="宋体"/>
                <w:sz w:val="16"/>
                <w:szCs w:val="16"/>
              </w:rPr>
            </w:pPr>
            <w:r>
              <w:rPr>
                <w:rFonts w:ascii="宋体" w:eastAsia="宋体" w:hAnsi="宋体" w:cs="宋体"/>
                <w:spacing w:val="3"/>
                <w:sz w:val="16"/>
                <w:szCs w:val="16"/>
              </w:rPr>
              <w:t>火鸡，熏肉</w:t>
            </w:r>
          </w:p>
        </w:tc>
        <w:tc>
          <w:tcPr>
            <w:tcW w:w="1081" w:type="dxa"/>
          </w:tcPr>
          <w:p w:rsidR="00EA40A3" w:rsidRDefault="00E86C16">
            <w:pPr>
              <w:spacing w:before="91" w:line="231" w:lineRule="exact"/>
              <w:ind w:left="527"/>
              <w:rPr>
                <w:rFonts w:ascii="宋体" w:eastAsia="宋体" w:hAnsi="宋体" w:cs="宋体"/>
                <w:sz w:val="16"/>
                <w:szCs w:val="16"/>
              </w:rPr>
            </w:pPr>
            <w:r>
              <w:rPr>
                <w:rFonts w:ascii="宋体" w:eastAsia="宋体" w:hAnsi="宋体" w:cs="宋体"/>
                <w:position w:val="4"/>
                <w:sz w:val="16"/>
                <w:szCs w:val="16"/>
              </w:rPr>
              <w:t>生</w:t>
            </w:r>
          </w:p>
          <w:p w:rsidR="00EA40A3" w:rsidRDefault="00E86C16">
            <w:pPr>
              <w:spacing w:line="219" w:lineRule="auto"/>
              <w:ind w:left="46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86" w:line="260" w:lineRule="exact"/>
              <w:ind w:left="296"/>
              <w:rPr>
                <w:rFonts w:ascii="宋体" w:eastAsia="宋体" w:hAnsi="宋体" w:cs="宋体"/>
                <w:sz w:val="16"/>
                <w:szCs w:val="16"/>
              </w:rPr>
            </w:pPr>
            <w:r>
              <w:rPr>
                <w:rFonts w:ascii="宋体" w:eastAsia="宋体" w:hAnsi="宋体" w:cs="宋体"/>
                <w:spacing w:val="-2"/>
                <w:position w:val="7"/>
                <w:sz w:val="16"/>
                <w:szCs w:val="16"/>
              </w:rPr>
              <w:t>306±69</w:t>
            </w:r>
          </w:p>
          <w:p w:rsidR="00EA40A3" w:rsidRDefault="00E86C16">
            <w:pPr>
              <w:spacing w:line="198" w:lineRule="auto"/>
              <w:ind w:left="286"/>
              <w:rPr>
                <w:rFonts w:ascii="宋体" w:eastAsia="宋体" w:hAnsi="宋体" w:cs="宋体"/>
                <w:sz w:val="16"/>
                <w:szCs w:val="16"/>
              </w:rPr>
            </w:pPr>
            <w:r>
              <w:rPr>
                <w:rFonts w:ascii="宋体" w:eastAsia="宋体" w:hAnsi="宋体" w:cs="宋体"/>
                <w:spacing w:val="-2"/>
                <w:sz w:val="16"/>
                <w:szCs w:val="16"/>
              </w:rPr>
              <w:t>299±52</w:t>
            </w:r>
          </w:p>
        </w:tc>
        <w:tc>
          <w:tcPr>
            <w:tcW w:w="1420" w:type="dxa"/>
            <w:tcBorders>
              <w:left w:val="single" w:sz="4" w:space="0" w:color="000000"/>
            </w:tcBorders>
          </w:tcPr>
          <w:p w:rsidR="00EA40A3" w:rsidRDefault="00E86C16">
            <w:pPr>
              <w:spacing w:before="72" w:line="250" w:lineRule="exact"/>
              <w:ind w:left="105"/>
              <w:rPr>
                <w:rFonts w:ascii="宋体" w:eastAsia="宋体" w:hAnsi="宋体" w:cs="宋体"/>
                <w:sz w:val="16"/>
                <w:szCs w:val="16"/>
              </w:rPr>
            </w:pPr>
            <w:r>
              <w:rPr>
                <w:rFonts w:ascii="宋体" w:eastAsia="宋体" w:hAnsi="宋体" w:cs="宋体"/>
                <w:spacing w:val="-2"/>
                <w:position w:val="6"/>
                <w:sz w:val="16"/>
                <w:szCs w:val="16"/>
              </w:rPr>
              <w:t>牡蛎</w:t>
            </w:r>
          </w:p>
          <w:p w:rsidR="00EA40A3" w:rsidRDefault="00E86C16">
            <w:pPr>
              <w:spacing w:line="220" w:lineRule="auto"/>
              <w:ind w:left="105"/>
              <w:rPr>
                <w:rFonts w:ascii="宋体" w:eastAsia="宋体" w:hAnsi="宋体" w:cs="宋体"/>
                <w:sz w:val="16"/>
                <w:szCs w:val="16"/>
              </w:rPr>
            </w:pPr>
            <w:r>
              <w:rPr>
                <w:rFonts w:ascii="宋体" w:eastAsia="宋体" w:hAnsi="宋体" w:cs="宋体"/>
                <w:spacing w:val="-2"/>
                <w:sz w:val="16"/>
                <w:szCs w:val="16"/>
              </w:rPr>
              <w:t>蛤蜊</w:t>
            </w:r>
          </w:p>
        </w:tc>
        <w:tc>
          <w:tcPr>
            <w:tcW w:w="1099" w:type="dxa"/>
          </w:tcPr>
          <w:p w:rsidR="00EA40A3" w:rsidRDefault="00E86C16">
            <w:pPr>
              <w:spacing w:before="81" w:line="260" w:lineRule="exact"/>
              <w:ind w:left="570"/>
              <w:rPr>
                <w:rFonts w:ascii="宋体" w:eastAsia="宋体" w:hAnsi="宋体" w:cs="宋体"/>
                <w:sz w:val="16"/>
                <w:szCs w:val="16"/>
              </w:rPr>
            </w:pPr>
            <w:r>
              <w:rPr>
                <w:rFonts w:ascii="宋体" w:eastAsia="宋体" w:hAnsi="宋体" w:cs="宋体"/>
                <w:position w:val="7"/>
                <w:sz w:val="16"/>
                <w:szCs w:val="16"/>
              </w:rPr>
              <w:t>生</w:t>
            </w:r>
          </w:p>
          <w:p w:rsidR="00EA40A3" w:rsidRDefault="00E86C16">
            <w:pPr>
              <w:spacing w:line="204" w:lineRule="auto"/>
              <w:ind w:left="570"/>
              <w:rPr>
                <w:rFonts w:ascii="宋体" w:eastAsia="宋体" w:hAnsi="宋体" w:cs="宋体"/>
                <w:sz w:val="16"/>
                <w:szCs w:val="16"/>
              </w:rPr>
            </w:pPr>
            <w:r>
              <w:rPr>
                <w:rFonts w:ascii="宋体" w:eastAsia="宋体" w:hAnsi="宋体" w:cs="宋体"/>
                <w:sz w:val="16"/>
                <w:szCs w:val="16"/>
              </w:rPr>
              <w:t>生</w:t>
            </w:r>
          </w:p>
        </w:tc>
        <w:tc>
          <w:tcPr>
            <w:tcW w:w="1121" w:type="dxa"/>
          </w:tcPr>
          <w:p w:rsidR="00EA40A3" w:rsidRDefault="00E86C16">
            <w:pPr>
              <w:spacing w:before="86" w:line="260" w:lineRule="exact"/>
              <w:ind w:left="261"/>
              <w:rPr>
                <w:rFonts w:ascii="宋体" w:eastAsia="宋体" w:hAnsi="宋体" w:cs="宋体"/>
                <w:sz w:val="16"/>
                <w:szCs w:val="16"/>
              </w:rPr>
            </w:pPr>
            <w:r>
              <w:rPr>
                <w:rFonts w:ascii="宋体" w:eastAsia="宋体" w:hAnsi="宋体" w:cs="宋体"/>
                <w:spacing w:val="-2"/>
                <w:position w:val="7"/>
                <w:sz w:val="16"/>
                <w:szCs w:val="16"/>
              </w:rPr>
              <w:t>396±29</w:t>
            </w:r>
          </w:p>
          <w:p w:rsidR="00EA40A3" w:rsidRDefault="00E86C16">
            <w:pPr>
              <w:spacing w:line="198" w:lineRule="auto"/>
              <w:ind w:left="261"/>
              <w:rPr>
                <w:rFonts w:ascii="宋体" w:eastAsia="宋体" w:hAnsi="宋体" w:cs="宋体"/>
                <w:sz w:val="16"/>
                <w:szCs w:val="16"/>
              </w:rPr>
            </w:pPr>
            <w:r>
              <w:rPr>
                <w:rFonts w:ascii="宋体" w:eastAsia="宋体" w:hAnsi="宋体" w:cs="宋体"/>
                <w:spacing w:val="-2"/>
                <w:sz w:val="16"/>
                <w:szCs w:val="16"/>
              </w:rPr>
              <w:t>520±97</w:t>
            </w:r>
          </w:p>
        </w:tc>
      </w:tr>
      <w:tr w:rsidR="00EA40A3">
        <w:trPr>
          <w:trHeight w:val="263"/>
        </w:trPr>
        <w:tc>
          <w:tcPr>
            <w:tcW w:w="1422" w:type="dxa"/>
          </w:tcPr>
          <w:p w:rsidR="00EA40A3" w:rsidRDefault="00E86C16">
            <w:pPr>
              <w:spacing w:before="55" w:line="220" w:lineRule="auto"/>
              <w:ind w:left="99"/>
              <w:rPr>
                <w:rFonts w:ascii="宋体" w:eastAsia="宋体" w:hAnsi="宋体" w:cs="宋体"/>
                <w:sz w:val="16"/>
                <w:szCs w:val="16"/>
              </w:rPr>
            </w:pPr>
            <w:r>
              <w:rPr>
                <w:rFonts w:ascii="宋体" w:eastAsia="宋体" w:hAnsi="宋体" w:cs="宋体"/>
                <w:spacing w:val="3"/>
                <w:sz w:val="16"/>
                <w:szCs w:val="16"/>
              </w:rPr>
              <w:t>牛肉与猪肉</w:t>
            </w:r>
          </w:p>
        </w:tc>
        <w:tc>
          <w:tcPr>
            <w:tcW w:w="1081" w:type="dxa"/>
          </w:tcPr>
          <w:p w:rsidR="00EA40A3" w:rsidRDefault="00EA40A3"/>
        </w:tc>
        <w:tc>
          <w:tcPr>
            <w:tcW w:w="1106" w:type="dxa"/>
            <w:tcBorders>
              <w:right w:val="single" w:sz="4" w:space="0" w:color="000000"/>
            </w:tcBorders>
          </w:tcPr>
          <w:p w:rsidR="00EA40A3" w:rsidRDefault="00EA40A3"/>
        </w:tc>
        <w:tc>
          <w:tcPr>
            <w:tcW w:w="1420" w:type="dxa"/>
            <w:tcBorders>
              <w:left w:val="single" w:sz="4" w:space="0" w:color="000000"/>
            </w:tcBorders>
          </w:tcPr>
          <w:p w:rsidR="00EA40A3" w:rsidRDefault="00E86C16">
            <w:pPr>
              <w:spacing w:before="53" w:line="219" w:lineRule="auto"/>
              <w:ind w:left="95"/>
              <w:rPr>
                <w:rFonts w:ascii="宋体" w:eastAsia="宋体" w:hAnsi="宋体" w:cs="宋体"/>
                <w:sz w:val="16"/>
                <w:szCs w:val="16"/>
              </w:rPr>
            </w:pPr>
            <w:r>
              <w:rPr>
                <w:rFonts w:ascii="宋体" w:eastAsia="宋体" w:hAnsi="宋体" w:cs="宋体"/>
                <w:spacing w:val="-3"/>
                <w:sz w:val="16"/>
                <w:szCs w:val="16"/>
              </w:rPr>
              <w:t>淡菜</w:t>
            </w:r>
          </w:p>
        </w:tc>
        <w:tc>
          <w:tcPr>
            <w:tcW w:w="1099" w:type="dxa"/>
          </w:tcPr>
          <w:p w:rsidR="00EA40A3" w:rsidRDefault="00E86C16">
            <w:pPr>
              <w:spacing w:before="73" w:line="219" w:lineRule="auto"/>
              <w:ind w:left="570"/>
              <w:rPr>
                <w:rFonts w:ascii="宋体" w:eastAsia="宋体" w:hAnsi="宋体" w:cs="宋体"/>
                <w:sz w:val="16"/>
                <w:szCs w:val="16"/>
              </w:rPr>
            </w:pPr>
            <w:r>
              <w:rPr>
                <w:rFonts w:ascii="宋体" w:eastAsia="宋体" w:hAnsi="宋体" w:cs="宋体"/>
                <w:sz w:val="16"/>
                <w:szCs w:val="16"/>
              </w:rPr>
              <w:t>生</w:t>
            </w:r>
          </w:p>
        </w:tc>
        <w:tc>
          <w:tcPr>
            <w:tcW w:w="1121" w:type="dxa"/>
          </w:tcPr>
          <w:p w:rsidR="00EA40A3" w:rsidRDefault="00E86C16">
            <w:pPr>
              <w:spacing w:before="67" w:line="225" w:lineRule="auto"/>
              <w:ind w:left="261"/>
              <w:rPr>
                <w:rFonts w:ascii="宋体" w:eastAsia="宋体" w:hAnsi="宋体" w:cs="宋体"/>
                <w:sz w:val="16"/>
                <w:szCs w:val="16"/>
              </w:rPr>
            </w:pPr>
            <w:r>
              <w:rPr>
                <w:rFonts w:ascii="宋体" w:eastAsia="宋体" w:hAnsi="宋体" w:cs="宋体"/>
                <w:spacing w:val="-2"/>
                <w:sz w:val="16"/>
                <w:szCs w:val="16"/>
              </w:rPr>
              <w:t>655±72</w:t>
            </w:r>
          </w:p>
        </w:tc>
      </w:tr>
      <w:tr w:rsidR="00EA40A3">
        <w:trPr>
          <w:trHeight w:val="494"/>
        </w:trPr>
        <w:tc>
          <w:tcPr>
            <w:tcW w:w="1422" w:type="dxa"/>
          </w:tcPr>
          <w:p w:rsidR="00EA40A3" w:rsidRDefault="00E86C16">
            <w:pPr>
              <w:spacing w:before="72" w:line="221" w:lineRule="auto"/>
              <w:ind w:left="99"/>
              <w:rPr>
                <w:rFonts w:ascii="宋体" w:eastAsia="宋体" w:hAnsi="宋体" w:cs="宋体"/>
                <w:sz w:val="16"/>
                <w:szCs w:val="16"/>
              </w:rPr>
            </w:pPr>
            <w:r>
              <w:rPr>
                <w:rFonts w:ascii="宋体" w:eastAsia="宋体" w:hAnsi="宋体" w:cs="宋体"/>
                <w:spacing w:val="7"/>
                <w:sz w:val="16"/>
                <w:szCs w:val="16"/>
              </w:rPr>
              <w:t>牛肉</w:t>
            </w:r>
          </w:p>
        </w:tc>
        <w:tc>
          <w:tcPr>
            <w:tcW w:w="1081" w:type="dxa"/>
          </w:tcPr>
          <w:p w:rsidR="00EA40A3" w:rsidRDefault="00E86C16">
            <w:pPr>
              <w:spacing w:before="70" w:line="241" w:lineRule="exact"/>
              <w:ind w:left="527"/>
              <w:rPr>
                <w:rFonts w:ascii="宋体" w:eastAsia="宋体" w:hAnsi="宋体" w:cs="宋体"/>
                <w:sz w:val="16"/>
                <w:szCs w:val="16"/>
              </w:rPr>
            </w:pPr>
            <w:r>
              <w:rPr>
                <w:rFonts w:ascii="宋体" w:eastAsia="宋体" w:hAnsi="宋体" w:cs="宋体"/>
                <w:position w:val="5"/>
                <w:sz w:val="16"/>
                <w:szCs w:val="16"/>
              </w:rPr>
              <w:t>生</w:t>
            </w:r>
          </w:p>
          <w:p w:rsidR="00EA40A3" w:rsidRDefault="00E86C16">
            <w:pPr>
              <w:spacing w:line="210" w:lineRule="auto"/>
              <w:ind w:left="45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85" w:line="249" w:lineRule="exact"/>
              <w:ind w:left="326"/>
              <w:rPr>
                <w:rFonts w:ascii="宋体" w:eastAsia="宋体" w:hAnsi="宋体" w:cs="宋体"/>
                <w:sz w:val="15"/>
                <w:szCs w:val="15"/>
              </w:rPr>
            </w:pPr>
            <w:r>
              <w:rPr>
                <w:rFonts w:ascii="宋体" w:eastAsia="宋体" w:hAnsi="宋体" w:cs="宋体"/>
                <w:spacing w:val="4"/>
                <w:position w:val="7"/>
                <w:sz w:val="15"/>
                <w:szCs w:val="15"/>
              </w:rPr>
              <w:t>43±8</w:t>
            </w:r>
          </w:p>
          <w:p w:rsidR="00EA40A3" w:rsidRDefault="00E86C16">
            <w:pPr>
              <w:spacing w:line="196" w:lineRule="auto"/>
              <w:ind w:left="336"/>
              <w:rPr>
                <w:rFonts w:ascii="宋体" w:eastAsia="宋体" w:hAnsi="宋体" w:cs="宋体"/>
                <w:sz w:val="15"/>
                <w:szCs w:val="15"/>
              </w:rPr>
            </w:pPr>
            <w:r>
              <w:rPr>
                <w:rFonts w:ascii="宋体" w:eastAsia="宋体" w:hAnsi="宋体" w:cs="宋体"/>
                <w:spacing w:val="4"/>
                <w:sz w:val="15"/>
                <w:szCs w:val="15"/>
              </w:rPr>
              <w:t>38±10</w:t>
            </w:r>
          </w:p>
        </w:tc>
        <w:tc>
          <w:tcPr>
            <w:tcW w:w="1420" w:type="dxa"/>
            <w:tcBorders>
              <w:left w:val="single" w:sz="4" w:space="0" w:color="000000"/>
            </w:tcBorders>
          </w:tcPr>
          <w:p w:rsidR="00EA40A3" w:rsidRDefault="00E86C16">
            <w:pPr>
              <w:spacing w:before="73" w:line="248" w:lineRule="exact"/>
              <w:ind w:left="105"/>
              <w:rPr>
                <w:rFonts w:ascii="宋体" w:eastAsia="宋体" w:hAnsi="宋体" w:cs="宋体"/>
                <w:sz w:val="16"/>
                <w:szCs w:val="16"/>
              </w:rPr>
            </w:pPr>
            <w:r>
              <w:rPr>
                <w:rFonts w:ascii="宋体" w:eastAsia="宋体" w:hAnsi="宋体" w:cs="宋体"/>
                <w:spacing w:val="9"/>
                <w:position w:val="6"/>
                <w:sz w:val="16"/>
                <w:szCs w:val="16"/>
              </w:rPr>
              <w:t>扇贝</w:t>
            </w:r>
          </w:p>
          <w:p w:rsidR="00EA40A3" w:rsidRDefault="00E86C16">
            <w:pPr>
              <w:spacing w:line="198" w:lineRule="auto"/>
              <w:ind w:left="105"/>
              <w:rPr>
                <w:rFonts w:ascii="宋体" w:eastAsia="宋体" w:hAnsi="宋体" w:cs="宋体"/>
                <w:sz w:val="16"/>
                <w:szCs w:val="16"/>
              </w:rPr>
            </w:pPr>
            <w:r>
              <w:rPr>
                <w:rFonts w:ascii="宋体" w:eastAsia="宋体" w:hAnsi="宋体" w:cs="宋体"/>
                <w:spacing w:val="-2"/>
                <w:sz w:val="16"/>
                <w:szCs w:val="16"/>
              </w:rPr>
              <w:t>鱿鱼</w:t>
            </w:r>
          </w:p>
        </w:tc>
        <w:tc>
          <w:tcPr>
            <w:tcW w:w="1099" w:type="dxa"/>
          </w:tcPr>
          <w:p w:rsidR="00EA40A3" w:rsidRDefault="00E86C16">
            <w:pPr>
              <w:spacing w:before="70" w:line="250" w:lineRule="exact"/>
              <w:ind w:left="570"/>
              <w:rPr>
                <w:rFonts w:ascii="宋体" w:eastAsia="宋体" w:hAnsi="宋体" w:cs="宋体"/>
                <w:sz w:val="16"/>
                <w:szCs w:val="16"/>
              </w:rPr>
            </w:pPr>
            <w:r>
              <w:rPr>
                <w:rFonts w:ascii="宋体" w:eastAsia="宋体" w:hAnsi="宋体" w:cs="宋体"/>
                <w:position w:val="6"/>
                <w:sz w:val="16"/>
                <w:szCs w:val="16"/>
              </w:rPr>
              <w:t>生</w:t>
            </w:r>
          </w:p>
          <w:p w:rsidR="00EA40A3" w:rsidRDefault="00E86C16">
            <w:pPr>
              <w:spacing w:line="200" w:lineRule="auto"/>
              <w:ind w:left="560"/>
              <w:rPr>
                <w:rFonts w:ascii="宋体" w:eastAsia="宋体" w:hAnsi="宋体" w:cs="宋体"/>
                <w:sz w:val="16"/>
                <w:szCs w:val="16"/>
              </w:rPr>
            </w:pPr>
            <w:r>
              <w:rPr>
                <w:rFonts w:ascii="宋体" w:eastAsia="宋体" w:hAnsi="宋体" w:cs="宋体"/>
                <w:sz w:val="16"/>
                <w:szCs w:val="16"/>
              </w:rPr>
              <w:t>生</w:t>
            </w:r>
          </w:p>
        </w:tc>
        <w:tc>
          <w:tcPr>
            <w:tcW w:w="1121" w:type="dxa"/>
          </w:tcPr>
          <w:p w:rsidR="00EA40A3" w:rsidRDefault="00E86C16">
            <w:pPr>
              <w:spacing w:before="85" w:line="249" w:lineRule="exact"/>
              <w:ind w:left="261"/>
              <w:rPr>
                <w:rFonts w:ascii="宋体" w:eastAsia="宋体" w:hAnsi="宋体" w:cs="宋体"/>
                <w:sz w:val="15"/>
                <w:szCs w:val="15"/>
              </w:rPr>
            </w:pPr>
            <w:r>
              <w:rPr>
                <w:rFonts w:ascii="宋体" w:eastAsia="宋体" w:hAnsi="宋体" w:cs="宋体"/>
                <w:spacing w:val="4"/>
                <w:position w:val="7"/>
                <w:sz w:val="15"/>
                <w:szCs w:val="15"/>
              </w:rPr>
              <w:t>827±15</w:t>
            </w:r>
          </w:p>
          <w:p w:rsidR="00EA40A3" w:rsidRDefault="00E86C16">
            <w:pPr>
              <w:spacing w:line="196" w:lineRule="auto"/>
              <w:ind w:left="261"/>
              <w:rPr>
                <w:rFonts w:ascii="宋体" w:eastAsia="宋体" w:hAnsi="宋体" w:cs="宋体"/>
                <w:sz w:val="15"/>
                <w:szCs w:val="15"/>
              </w:rPr>
            </w:pPr>
            <w:r>
              <w:rPr>
                <w:rFonts w:ascii="宋体" w:eastAsia="宋体" w:hAnsi="宋体" w:cs="宋体"/>
                <w:spacing w:val="4"/>
                <w:sz w:val="15"/>
                <w:szCs w:val="15"/>
              </w:rPr>
              <w:t>356±95</w:t>
            </w:r>
          </w:p>
        </w:tc>
      </w:tr>
      <w:tr w:rsidR="00EA40A3">
        <w:trPr>
          <w:trHeight w:val="528"/>
        </w:trPr>
        <w:tc>
          <w:tcPr>
            <w:tcW w:w="1422" w:type="dxa"/>
          </w:tcPr>
          <w:p w:rsidR="00EA40A3" w:rsidRDefault="00E86C16">
            <w:pPr>
              <w:spacing w:before="58" w:line="221" w:lineRule="auto"/>
              <w:ind w:left="89"/>
              <w:rPr>
                <w:rFonts w:ascii="宋体" w:eastAsia="宋体" w:hAnsi="宋体" w:cs="宋体"/>
                <w:sz w:val="16"/>
                <w:szCs w:val="16"/>
              </w:rPr>
            </w:pPr>
            <w:r>
              <w:rPr>
                <w:rFonts w:ascii="宋体" w:eastAsia="宋体" w:hAnsi="宋体" w:cs="宋体"/>
                <w:spacing w:val="5"/>
                <w:sz w:val="16"/>
                <w:szCs w:val="16"/>
              </w:rPr>
              <w:t>小牛肉</w:t>
            </w:r>
          </w:p>
        </w:tc>
        <w:tc>
          <w:tcPr>
            <w:tcW w:w="1081" w:type="dxa"/>
          </w:tcPr>
          <w:p w:rsidR="00EA40A3" w:rsidRDefault="00E86C16">
            <w:pPr>
              <w:spacing w:before="86" w:line="251" w:lineRule="exact"/>
              <w:ind w:left="527"/>
              <w:rPr>
                <w:rFonts w:ascii="宋体" w:eastAsia="宋体" w:hAnsi="宋体" w:cs="宋体"/>
                <w:sz w:val="16"/>
                <w:szCs w:val="16"/>
              </w:rPr>
            </w:pPr>
            <w:r>
              <w:rPr>
                <w:rFonts w:ascii="宋体" w:eastAsia="宋体" w:hAnsi="宋体" w:cs="宋体"/>
                <w:position w:val="6"/>
                <w:sz w:val="16"/>
                <w:szCs w:val="16"/>
              </w:rPr>
              <w:t>生</w:t>
            </w:r>
          </w:p>
          <w:p w:rsidR="00EA40A3" w:rsidRDefault="00E86C16">
            <w:pPr>
              <w:spacing w:line="219" w:lineRule="auto"/>
              <w:ind w:left="448"/>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71" w:line="280" w:lineRule="exact"/>
              <w:ind w:left="246"/>
              <w:rPr>
                <w:rFonts w:ascii="宋体" w:eastAsia="宋体" w:hAnsi="宋体" w:cs="宋体"/>
                <w:sz w:val="16"/>
                <w:szCs w:val="16"/>
              </w:rPr>
            </w:pPr>
            <w:r>
              <w:rPr>
                <w:rFonts w:ascii="宋体" w:eastAsia="宋体" w:hAnsi="宋体" w:cs="宋体"/>
                <w:spacing w:val="-1"/>
                <w:position w:val="9"/>
                <w:sz w:val="16"/>
                <w:szCs w:val="16"/>
              </w:rPr>
              <w:t>40±13</w:t>
            </w:r>
          </w:p>
          <w:p w:rsidR="00EA40A3" w:rsidRDefault="00E86C16">
            <w:pPr>
              <w:spacing w:line="204" w:lineRule="auto"/>
              <w:ind w:left="246"/>
              <w:rPr>
                <w:rFonts w:ascii="宋体" w:eastAsia="宋体" w:hAnsi="宋体" w:cs="宋体"/>
                <w:sz w:val="16"/>
                <w:szCs w:val="16"/>
              </w:rPr>
            </w:pPr>
            <w:r>
              <w:rPr>
                <w:rFonts w:ascii="宋体" w:eastAsia="宋体" w:hAnsi="宋体" w:cs="宋体"/>
                <w:spacing w:val="-1"/>
                <w:sz w:val="16"/>
                <w:szCs w:val="16"/>
              </w:rPr>
              <w:t>47±10</w:t>
            </w:r>
          </w:p>
        </w:tc>
        <w:tc>
          <w:tcPr>
            <w:tcW w:w="1420" w:type="dxa"/>
            <w:tcBorders>
              <w:left w:val="single" w:sz="4" w:space="0" w:color="000000"/>
            </w:tcBorders>
          </w:tcPr>
          <w:p w:rsidR="00EA40A3" w:rsidRDefault="00E86C16">
            <w:pPr>
              <w:spacing w:before="68" w:line="221" w:lineRule="auto"/>
              <w:ind w:left="105"/>
              <w:rPr>
                <w:rFonts w:ascii="宋体" w:eastAsia="宋体" w:hAnsi="宋体" w:cs="宋体"/>
                <w:sz w:val="16"/>
                <w:szCs w:val="16"/>
              </w:rPr>
            </w:pPr>
            <w:r>
              <w:rPr>
                <w:rFonts w:ascii="宋体" w:eastAsia="宋体" w:hAnsi="宋体" w:cs="宋体"/>
                <w:spacing w:val="-3"/>
                <w:sz w:val="16"/>
                <w:szCs w:val="16"/>
              </w:rPr>
              <w:t>牛奶</w:t>
            </w:r>
          </w:p>
          <w:p w:rsidR="00EA40A3" w:rsidRDefault="00E86C16">
            <w:pPr>
              <w:spacing w:before="88" w:line="207" w:lineRule="auto"/>
              <w:ind w:left="115"/>
              <w:rPr>
                <w:rFonts w:ascii="宋体" w:eastAsia="宋体" w:hAnsi="宋体" w:cs="宋体"/>
                <w:sz w:val="16"/>
                <w:szCs w:val="16"/>
              </w:rPr>
            </w:pPr>
            <w:r>
              <w:rPr>
                <w:rFonts w:ascii="宋体" w:eastAsia="宋体" w:hAnsi="宋体" w:cs="宋体"/>
                <w:spacing w:val="-2"/>
                <w:sz w:val="16"/>
                <w:szCs w:val="16"/>
              </w:rPr>
              <w:t>全脂奶</w:t>
            </w:r>
          </w:p>
        </w:tc>
        <w:tc>
          <w:tcPr>
            <w:tcW w:w="1099" w:type="dxa"/>
          </w:tcPr>
          <w:p w:rsidR="00EA40A3" w:rsidRDefault="00EA40A3"/>
        </w:tc>
        <w:tc>
          <w:tcPr>
            <w:tcW w:w="1121" w:type="dxa"/>
          </w:tcPr>
          <w:p w:rsidR="00EA40A3" w:rsidRDefault="00EA40A3">
            <w:pPr>
              <w:spacing w:line="287" w:lineRule="auto"/>
            </w:pPr>
          </w:p>
          <w:p w:rsidR="00EA40A3" w:rsidRDefault="00E86C16">
            <w:pPr>
              <w:spacing w:before="52" w:line="216" w:lineRule="auto"/>
              <w:ind w:left="181"/>
              <w:rPr>
                <w:rFonts w:ascii="宋体" w:eastAsia="宋体" w:hAnsi="宋体" w:cs="宋体"/>
                <w:sz w:val="16"/>
                <w:szCs w:val="16"/>
              </w:rPr>
            </w:pPr>
            <w:r>
              <w:rPr>
                <w:rFonts w:ascii="宋体" w:eastAsia="宋体" w:hAnsi="宋体" w:cs="宋体"/>
                <w:spacing w:val="-2"/>
                <w:sz w:val="16"/>
                <w:szCs w:val="16"/>
              </w:rPr>
              <w:t>2.4士0.3</w:t>
            </w:r>
          </w:p>
        </w:tc>
      </w:tr>
      <w:tr w:rsidR="00EA40A3">
        <w:trPr>
          <w:trHeight w:val="517"/>
        </w:trPr>
        <w:tc>
          <w:tcPr>
            <w:tcW w:w="1422" w:type="dxa"/>
          </w:tcPr>
          <w:p w:rsidR="00EA40A3" w:rsidRDefault="00E86C16">
            <w:pPr>
              <w:spacing w:before="69" w:line="219" w:lineRule="auto"/>
              <w:ind w:left="99"/>
              <w:rPr>
                <w:rFonts w:ascii="宋体" w:eastAsia="宋体" w:hAnsi="宋体" w:cs="宋体"/>
                <w:sz w:val="16"/>
                <w:szCs w:val="16"/>
              </w:rPr>
            </w:pPr>
            <w:r>
              <w:rPr>
                <w:rFonts w:ascii="宋体" w:eastAsia="宋体" w:hAnsi="宋体" w:cs="宋体"/>
                <w:spacing w:val="-1"/>
                <w:sz w:val="16"/>
                <w:szCs w:val="16"/>
              </w:rPr>
              <w:t>猪肉、腰部</w:t>
            </w:r>
          </w:p>
        </w:tc>
        <w:tc>
          <w:tcPr>
            <w:tcW w:w="1081" w:type="dxa"/>
          </w:tcPr>
          <w:p w:rsidR="00EA40A3" w:rsidRDefault="00E86C16">
            <w:pPr>
              <w:spacing w:before="98" w:line="231" w:lineRule="exact"/>
              <w:ind w:left="537"/>
              <w:rPr>
                <w:rFonts w:ascii="宋体" w:eastAsia="宋体" w:hAnsi="宋体" w:cs="宋体"/>
                <w:sz w:val="16"/>
                <w:szCs w:val="16"/>
              </w:rPr>
            </w:pPr>
            <w:r>
              <w:rPr>
                <w:rFonts w:ascii="宋体" w:eastAsia="宋体" w:hAnsi="宋体" w:cs="宋体"/>
                <w:position w:val="4"/>
                <w:sz w:val="16"/>
                <w:szCs w:val="16"/>
              </w:rPr>
              <w:t>生</w:t>
            </w:r>
          </w:p>
          <w:p w:rsidR="00EA40A3" w:rsidRDefault="00E86C16">
            <w:pPr>
              <w:spacing w:line="216" w:lineRule="auto"/>
              <w:ind w:left="457"/>
              <w:rPr>
                <w:rFonts w:ascii="宋体" w:eastAsia="宋体" w:hAnsi="宋体" w:cs="宋体"/>
                <w:sz w:val="16"/>
                <w:szCs w:val="16"/>
              </w:rPr>
            </w:pPr>
            <w:r>
              <w:rPr>
                <w:rFonts w:ascii="宋体" w:eastAsia="宋体" w:hAnsi="宋体" w:cs="宋体"/>
                <w:spacing w:val="-2"/>
                <w:sz w:val="16"/>
                <w:szCs w:val="16"/>
              </w:rPr>
              <w:t>焙烤</w:t>
            </w:r>
          </w:p>
        </w:tc>
        <w:tc>
          <w:tcPr>
            <w:tcW w:w="1106" w:type="dxa"/>
            <w:tcBorders>
              <w:right w:val="single" w:sz="4" w:space="0" w:color="000000"/>
            </w:tcBorders>
          </w:tcPr>
          <w:p w:rsidR="00EA40A3" w:rsidRDefault="00E86C16">
            <w:pPr>
              <w:spacing w:before="93" w:line="240" w:lineRule="exact"/>
              <w:ind w:left="246"/>
              <w:rPr>
                <w:rFonts w:ascii="宋体" w:eastAsia="宋体" w:hAnsi="宋体" w:cs="宋体"/>
                <w:sz w:val="16"/>
                <w:szCs w:val="16"/>
              </w:rPr>
            </w:pPr>
            <w:r>
              <w:rPr>
                <w:rFonts w:ascii="宋体" w:eastAsia="宋体" w:hAnsi="宋体" w:cs="宋体"/>
                <w:spacing w:val="-2"/>
                <w:position w:val="5"/>
                <w:sz w:val="16"/>
                <w:szCs w:val="16"/>
              </w:rPr>
              <w:t>61±11</w:t>
            </w:r>
          </w:p>
          <w:p w:rsidR="00EA40A3" w:rsidRDefault="00E86C16">
            <w:pPr>
              <w:spacing w:line="212" w:lineRule="auto"/>
              <w:ind w:left="246"/>
              <w:rPr>
                <w:rFonts w:ascii="宋体" w:eastAsia="宋体" w:hAnsi="宋体" w:cs="宋体"/>
                <w:sz w:val="16"/>
                <w:szCs w:val="16"/>
              </w:rPr>
            </w:pPr>
            <w:r>
              <w:rPr>
                <w:rFonts w:ascii="宋体" w:eastAsia="宋体" w:hAnsi="宋体" w:cs="宋体"/>
                <w:spacing w:val="-2"/>
                <w:sz w:val="16"/>
                <w:szCs w:val="16"/>
              </w:rPr>
              <w:t>57±12</w:t>
            </w:r>
          </w:p>
        </w:tc>
        <w:tc>
          <w:tcPr>
            <w:tcW w:w="1420" w:type="dxa"/>
            <w:tcBorders>
              <w:left w:val="single" w:sz="4" w:space="0" w:color="000000"/>
            </w:tcBorders>
          </w:tcPr>
          <w:p w:rsidR="00EA40A3" w:rsidRDefault="00E86C16">
            <w:pPr>
              <w:spacing w:before="60" w:line="280" w:lineRule="exact"/>
              <w:ind w:left="95"/>
              <w:rPr>
                <w:rFonts w:ascii="宋体" w:eastAsia="宋体" w:hAnsi="宋体" w:cs="宋体"/>
                <w:sz w:val="16"/>
                <w:szCs w:val="16"/>
              </w:rPr>
            </w:pPr>
            <w:r>
              <w:rPr>
                <w:rFonts w:ascii="宋体" w:eastAsia="宋体" w:hAnsi="宋体" w:cs="宋体"/>
                <w:spacing w:val="-2"/>
                <w:position w:val="9"/>
                <w:sz w:val="16"/>
                <w:szCs w:val="16"/>
              </w:rPr>
              <w:t>低脂奶</w:t>
            </w:r>
          </w:p>
          <w:p w:rsidR="00EA40A3" w:rsidRDefault="00E86C16">
            <w:pPr>
              <w:spacing w:line="203" w:lineRule="auto"/>
              <w:ind w:left="105"/>
              <w:rPr>
                <w:rFonts w:ascii="宋体" w:eastAsia="宋体" w:hAnsi="宋体" w:cs="宋体"/>
                <w:sz w:val="16"/>
                <w:szCs w:val="16"/>
              </w:rPr>
            </w:pPr>
            <w:r>
              <w:rPr>
                <w:rFonts w:ascii="宋体" w:eastAsia="宋体" w:hAnsi="宋体" w:cs="宋体"/>
                <w:spacing w:val="-2"/>
                <w:sz w:val="16"/>
                <w:szCs w:val="16"/>
              </w:rPr>
              <w:t>脱脂奶</w:t>
            </w:r>
          </w:p>
        </w:tc>
        <w:tc>
          <w:tcPr>
            <w:tcW w:w="1099" w:type="dxa"/>
          </w:tcPr>
          <w:p w:rsidR="00EA40A3" w:rsidRDefault="00EA40A3"/>
        </w:tc>
        <w:tc>
          <w:tcPr>
            <w:tcW w:w="1121" w:type="dxa"/>
          </w:tcPr>
          <w:p w:rsidR="00EA40A3" w:rsidRDefault="00E86C16">
            <w:pPr>
              <w:spacing w:before="93" w:line="260" w:lineRule="exact"/>
              <w:ind w:left="181"/>
              <w:rPr>
                <w:rFonts w:ascii="宋体" w:eastAsia="宋体" w:hAnsi="宋体" w:cs="宋体"/>
                <w:sz w:val="16"/>
                <w:szCs w:val="16"/>
              </w:rPr>
            </w:pPr>
            <w:r>
              <w:rPr>
                <w:rFonts w:ascii="宋体" w:eastAsia="宋体" w:hAnsi="宋体" w:cs="宋体"/>
                <w:spacing w:val="-2"/>
                <w:position w:val="7"/>
                <w:sz w:val="16"/>
                <w:szCs w:val="16"/>
              </w:rPr>
              <w:t>2.3±0.2</w:t>
            </w:r>
          </w:p>
          <w:p w:rsidR="00EA40A3" w:rsidRDefault="00E86C16">
            <w:pPr>
              <w:spacing w:line="189" w:lineRule="auto"/>
              <w:ind w:left="181"/>
              <w:rPr>
                <w:rFonts w:ascii="宋体" w:eastAsia="宋体" w:hAnsi="宋体" w:cs="宋体"/>
                <w:sz w:val="16"/>
                <w:szCs w:val="16"/>
              </w:rPr>
            </w:pPr>
            <w:r>
              <w:rPr>
                <w:rFonts w:ascii="宋体" w:eastAsia="宋体" w:hAnsi="宋体" w:cs="宋体"/>
                <w:spacing w:val="-4"/>
                <w:sz w:val="16"/>
                <w:szCs w:val="16"/>
              </w:rPr>
              <w:t>2</w:t>
            </w:r>
            <w:r>
              <w:rPr>
                <w:rFonts w:ascii="宋体" w:eastAsia="宋体" w:hAnsi="宋体" w:cs="宋体"/>
                <w:spacing w:val="10"/>
                <w:sz w:val="16"/>
                <w:szCs w:val="16"/>
              </w:rPr>
              <w:t xml:space="preserve"> </w:t>
            </w:r>
            <w:r>
              <w:rPr>
                <w:rFonts w:ascii="宋体" w:eastAsia="宋体" w:hAnsi="宋体" w:cs="宋体"/>
                <w:spacing w:val="-4"/>
                <w:sz w:val="16"/>
                <w:szCs w:val="16"/>
              </w:rPr>
              <w:t>5±0</w:t>
            </w:r>
            <w:r>
              <w:rPr>
                <w:rFonts w:ascii="宋体" w:eastAsia="宋体" w:hAnsi="宋体" w:cs="宋体"/>
                <w:spacing w:val="10"/>
                <w:sz w:val="16"/>
                <w:szCs w:val="16"/>
              </w:rPr>
              <w:t xml:space="preserve"> </w:t>
            </w:r>
            <w:r>
              <w:rPr>
                <w:rFonts w:ascii="宋体" w:eastAsia="宋体" w:hAnsi="宋体" w:cs="宋体"/>
                <w:spacing w:val="-4"/>
                <w:sz w:val="16"/>
                <w:szCs w:val="16"/>
              </w:rPr>
              <w:t>3</w:t>
            </w:r>
          </w:p>
        </w:tc>
      </w:tr>
      <w:tr w:rsidR="00EA40A3">
        <w:trPr>
          <w:trHeight w:val="263"/>
        </w:trPr>
        <w:tc>
          <w:tcPr>
            <w:tcW w:w="1422" w:type="dxa"/>
          </w:tcPr>
          <w:p w:rsidR="00EA40A3" w:rsidRDefault="00E86C16">
            <w:pPr>
              <w:spacing w:before="72" w:line="219" w:lineRule="auto"/>
              <w:ind w:left="109"/>
              <w:rPr>
                <w:rFonts w:ascii="宋体" w:eastAsia="宋体" w:hAnsi="宋体" w:cs="宋体"/>
                <w:sz w:val="16"/>
                <w:szCs w:val="16"/>
              </w:rPr>
            </w:pPr>
            <w:r>
              <w:rPr>
                <w:rFonts w:ascii="宋体" w:eastAsia="宋体" w:hAnsi="宋体" w:cs="宋体"/>
                <w:spacing w:val="-1"/>
                <w:sz w:val="16"/>
                <w:szCs w:val="16"/>
              </w:rPr>
              <w:t>加工的肉类</w:t>
            </w:r>
          </w:p>
        </w:tc>
        <w:tc>
          <w:tcPr>
            <w:tcW w:w="1081" w:type="dxa"/>
          </w:tcPr>
          <w:p w:rsidR="00EA40A3" w:rsidRDefault="00EA40A3"/>
        </w:tc>
        <w:tc>
          <w:tcPr>
            <w:tcW w:w="1106" w:type="dxa"/>
            <w:tcBorders>
              <w:right w:val="single" w:sz="4" w:space="0" w:color="000000"/>
            </w:tcBorders>
          </w:tcPr>
          <w:p w:rsidR="00EA40A3" w:rsidRDefault="00EA40A3"/>
        </w:tc>
        <w:tc>
          <w:tcPr>
            <w:tcW w:w="1420" w:type="dxa"/>
            <w:tcBorders>
              <w:left w:val="single" w:sz="4" w:space="0" w:color="000000"/>
            </w:tcBorders>
          </w:tcPr>
          <w:p w:rsidR="00EA40A3" w:rsidRDefault="00E86C16">
            <w:pPr>
              <w:spacing w:before="83" w:line="207" w:lineRule="auto"/>
              <w:ind w:left="105"/>
              <w:rPr>
                <w:rFonts w:ascii="宋体" w:eastAsia="宋体" w:hAnsi="宋体" w:cs="宋体"/>
                <w:sz w:val="16"/>
                <w:szCs w:val="16"/>
              </w:rPr>
            </w:pPr>
            <w:r>
              <w:rPr>
                <w:rFonts w:ascii="宋体" w:eastAsia="宋体" w:hAnsi="宋体" w:cs="宋体"/>
                <w:spacing w:val="-2"/>
                <w:sz w:val="16"/>
                <w:szCs w:val="16"/>
              </w:rPr>
              <w:t>启达乳酪</w:t>
            </w:r>
          </w:p>
        </w:tc>
        <w:tc>
          <w:tcPr>
            <w:tcW w:w="1099" w:type="dxa"/>
          </w:tcPr>
          <w:p w:rsidR="00EA40A3" w:rsidRDefault="00EA40A3"/>
        </w:tc>
        <w:tc>
          <w:tcPr>
            <w:tcW w:w="1121" w:type="dxa"/>
          </w:tcPr>
          <w:p w:rsidR="00EA40A3" w:rsidRDefault="00E86C16">
            <w:pPr>
              <w:spacing w:before="82" w:line="208" w:lineRule="auto"/>
              <w:ind w:left="501"/>
              <w:rPr>
                <w:rFonts w:ascii="宋体" w:eastAsia="宋体" w:hAnsi="宋体" w:cs="宋体"/>
                <w:sz w:val="16"/>
                <w:szCs w:val="16"/>
              </w:rPr>
            </w:pPr>
            <w:r>
              <w:rPr>
                <w:rFonts w:ascii="宋体" w:eastAsia="宋体" w:hAnsi="宋体" w:cs="宋体"/>
                <w:spacing w:val="-3"/>
                <w:sz w:val="16"/>
                <w:szCs w:val="16"/>
              </w:rPr>
              <w:t>没有</w:t>
            </w:r>
          </w:p>
        </w:tc>
      </w:tr>
      <w:tr w:rsidR="00EA40A3">
        <w:trPr>
          <w:trHeight w:val="264"/>
        </w:trPr>
        <w:tc>
          <w:tcPr>
            <w:tcW w:w="1422" w:type="dxa"/>
          </w:tcPr>
          <w:p w:rsidR="00EA40A3" w:rsidRDefault="00E86C16">
            <w:pPr>
              <w:spacing w:before="49" w:line="219" w:lineRule="auto"/>
              <w:ind w:left="99"/>
              <w:rPr>
                <w:rFonts w:ascii="宋体" w:eastAsia="宋体" w:hAnsi="宋体" w:cs="宋体"/>
                <w:sz w:val="16"/>
                <w:szCs w:val="16"/>
              </w:rPr>
            </w:pPr>
            <w:r>
              <w:rPr>
                <w:rFonts w:ascii="宋体" w:eastAsia="宋体" w:hAnsi="宋体" w:cs="宋体"/>
                <w:spacing w:val="-2"/>
                <w:sz w:val="16"/>
                <w:szCs w:val="16"/>
              </w:rPr>
              <w:t>火腿</w:t>
            </w:r>
          </w:p>
        </w:tc>
        <w:tc>
          <w:tcPr>
            <w:tcW w:w="1081" w:type="dxa"/>
          </w:tcPr>
          <w:p w:rsidR="00EA40A3" w:rsidRDefault="00E86C16">
            <w:pPr>
              <w:spacing w:before="59" w:line="219" w:lineRule="auto"/>
              <w:ind w:left="537"/>
              <w:rPr>
                <w:rFonts w:ascii="宋体" w:eastAsia="宋体" w:hAnsi="宋体" w:cs="宋体"/>
                <w:sz w:val="16"/>
                <w:szCs w:val="16"/>
              </w:rPr>
            </w:pPr>
            <w:r>
              <w:rPr>
                <w:rFonts w:ascii="宋体" w:eastAsia="宋体" w:hAnsi="宋体" w:cs="宋体"/>
                <w:sz w:val="16"/>
                <w:szCs w:val="16"/>
              </w:rPr>
              <w:t>烤</w:t>
            </w:r>
          </w:p>
        </w:tc>
        <w:tc>
          <w:tcPr>
            <w:tcW w:w="1106" w:type="dxa"/>
            <w:tcBorders>
              <w:right w:val="single" w:sz="4" w:space="0" w:color="000000"/>
            </w:tcBorders>
          </w:tcPr>
          <w:p w:rsidR="00EA40A3" w:rsidRDefault="00E86C16">
            <w:pPr>
              <w:spacing w:before="64" w:line="230" w:lineRule="auto"/>
              <w:ind w:left="326"/>
              <w:rPr>
                <w:rFonts w:ascii="宋体" w:eastAsia="宋体" w:hAnsi="宋体" w:cs="宋体"/>
                <w:sz w:val="16"/>
                <w:szCs w:val="16"/>
              </w:rPr>
            </w:pPr>
            <w:r>
              <w:rPr>
                <w:rFonts w:ascii="宋体" w:eastAsia="宋体" w:hAnsi="宋体" w:cs="宋体"/>
                <w:spacing w:val="-2"/>
                <w:sz w:val="16"/>
                <w:szCs w:val="16"/>
              </w:rPr>
              <w:t>50土6</w:t>
            </w:r>
          </w:p>
        </w:tc>
        <w:tc>
          <w:tcPr>
            <w:tcW w:w="1420" w:type="dxa"/>
            <w:tcBorders>
              <w:left w:val="single" w:sz="4" w:space="0" w:color="000000"/>
            </w:tcBorders>
          </w:tcPr>
          <w:p w:rsidR="00EA40A3" w:rsidRDefault="00E86C16">
            <w:pPr>
              <w:spacing w:before="80" w:line="212" w:lineRule="auto"/>
              <w:ind w:left="105"/>
              <w:rPr>
                <w:rFonts w:ascii="宋体" w:eastAsia="宋体" w:hAnsi="宋体" w:cs="宋体"/>
                <w:sz w:val="16"/>
                <w:szCs w:val="16"/>
              </w:rPr>
            </w:pPr>
            <w:r>
              <w:rPr>
                <w:rFonts w:ascii="宋体" w:eastAsia="宋体" w:hAnsi="宋体" w:cs="宋体"/>
                <w:spacing w:val="-2"/>
                <w:sz w:val="16"/>
                <w:szCs w:val="16"/>
              </w:rPr>
              <w:t>瑞士乳酪</w:t>
            </w:r>
          </w:p>
        </w:tc>
        <w:tc>
          <w:tcPr>
            <w:tcW w:w="1099" w:type="dxa"/>
          </w:tcPr>
          <w:p w:rsidR="00EA40A3" w:rsidRDefault="00EA40A3"/>
        </w:tc>
        <w:tc>
          <w:tcPr>
            <w:tcW w:w="1121" w:type="dxa"/>
          </w:tcPr>
          <w:p w:rsidR="00EA40A3" w:rsidRDefault="00E86C16">
            <w:pPr>
              <w:spacing w:before="80" w:line="212" w:lineRule="auto"/>
              <w:ind w:left="411"/>
              <w:rPr>
                <w:rFonts w:ascii="宋体" w:eastAsia="宋体" w:hAnsi="宋体" w:cs="宋体"/>
                <w:sz w:val="16"/>
                <w:szCs w:val="16"/>
              </w:rPr>
            </w:pPr>
            <w:r>
              <w:rPr>
                <w:rFonts w:ascii="宋体" w:eastAsia="宋体" w:hAnsi="宋体" w:cs="宋体"/>
                <w:spacing w:val="-3"/>
                <w:sz w:val="16"/>
                <w:szCs w:val="16"/>
              </w:rPr>
              <w:t>没有</w:t>
            </w:r>
          </w:p>
        </w:tc>
      </w:tr>
      <w:tr w:rsidR="00EA40A3">
        <w:trPr>
          <w:trHeight w:val="253"/>
        </w:trPr>
        <w:tc>
          <w:tcPr>
            <w:tcW w:w="1422" w:type="dxa"/>
          </w:tcPr>
          <w:p w:rsidR="00EA40A3" w:rsidRDefault="00E86C16">
            <w:pPr>
              <w:spacing w:before="65" w:line="216" w:lineRule="auto"/>
              <w:ind w:left="109"/>
              <w:rPr>
                <w:rFonts w:ascii="宋体" w:eastAsia="宋体" w:hAnsi="宋体" w:cs="宋体"/>
                <w:sz w:val="16"/>
                <w:szCs w:val="16"/>
              </w:rPr>
            </w:pPr>
            <w:r>
              <w:rPr>
                <w:rFonts w:ascii="宋体" w:eastAsia="宋体" w:hAnsi="宋体" w:cs="宋体"/>
                <w:spacing w:val="-2"/>
                <w:sz w:val="16"/>
                <w:szCs w:val="16"/>
              </w:rPr>
              <w:t>意大利香肠</w:t>
            </w:r>
          </w:p>
        </w:tc>
        <w:tc>
          <w:tcPr>
            <w:tcW w:w="1081" w:type="dxa"/>
          </w:tcPr>
          <w:p w:rsidR="00EA40A3" w:rsidRDefault="00E86C16">
            <w:pPr>
              <w:spacing w:before="55" w:line="220" w:lineRule="auto"/>
              <w:ind w:left="448"/>
              <w:rPr>
                <w:rFonts w:ascii="宋体" w:eastAsia="宋体" w:hAnsi="宋体" w:cs="宋体"/>
                <w:sz w:val="16"/>
                <w:szCs w:val="16"/>
              </w:rPr>
            </w:pPr>
            <w:r>
              <w:rPr>
                <w:rFonts w:ascii="宋体" w:eastAsia="宋体" w:hAnsi="宋体" w:cs="宋体"/>
                <w:spacing w:val="-2"/>
                <w:sz w:val="16"/>
                <w:szCs w:val="16"/>
              </w:rPr>
              <w:t>腌制</w:t>
            </w:r>
          </w:p>
        </w:tc>
        <w:tc>
          <w:tcPr>
            <w:tcW w:w="1106" w:type="dxa"/>
            <w:tcBorders>
              <w:right w:val="single" w:sz="4" w:space="0" w:color="000000"/>
            </w:tcBorders>
          </w:tcPr>
          <w:p w:rsidR="00EA40A3" w:rsidRDefault="00E86C16">
            <w:pPr>
              <w:spacing w:before="89" w:line="189" w:lineRule="auto"/>
              <w:ind w:left="326"/>
              <w:rPr>
                <w:rFonts w:ascii="宋体" w:eastAsia="宋体" w:hAnsi="宋体" w:cs="宋体"/>
                <w:sz w:val="16"/>
                <w:szCs w:val="16"/>
              </w:rPr>
            </w:pPr>
            <w:r>
              <w:rPr>
                <w:rFonts w:ascii="宋体" w:eastAsia="宋体" w:hAnsi="宋体" w:cs="宋体"/>
                <w:spacing w:val="-2"/>
                <w:sz w:val="16"/>
                <w:szCs w:val="16"/>
              </w:rPr>
              <w:t>59±8</w:t>
            </w:r>
          </w:p>
        </w:tc>
        <w:tc>
          <w:tcPr>
            <w:tcW w:w="1420" w:type="dxa"/>
            <w:tcBorders>
              <w:left w:val="single" w:sz="4" w:space="0" w:color="000000"/>
            </w:tcBorders>
          </w:tcPr>
          <w:p w:rsidR="00EA40A3" w:rsidRDefault="00E86C16">
            <w:pPr>
              <w:spacing w:before="66" w:line="215" w:lineRule="auto"/>
              <w:ind w:left="105"/>
              <w:rPr>
                <w:rFonts w:ascii="宋体" w:eastAsia="宋体" w:hAnsi="宋体" w:cs="宋体"/>
                <w:sz w:val="16"/>
                <w:szCs w:val="16"/>
              </w:rPr>
            </w:pPr>
            <w:r>
              <w:rPr>
                <w:rFonts w:ascii="宋体" w:eastAsia="宋体" w:hAnsi="宋体" w:cs="宋体"/>
                <w:spacing w:val="-2"/>
                <w:sz w:val="16"/>
                <w:szCs w:val="16"/>
              </w:rPr>
              <w:t>低脂酸奶</w:t>
            </w:r>
          </w:p>
        </w:tc>
        <w:tc>
          <w:tcPr>
            <w:tcW w:w="1099" w:type="dxa"/>
          </w:tcPr>
          <w:p w:rsidR="00EA40A3" w:rsidRDefault="00EA40A3"/>
        </w:tc>
        <w:tc>
          <w:tcPr>
            <w:tcW w:w="1121" w:type="dxa"/>
          </w:tcPr>
          <w:p w:rsidR="00EA40A3" w:rsidRDefault="00E86C16">
            <w:pPr>
              <w:spacing w:before="58" w:line="224" w:lineRule="auto"/>
              <w:ind w:left="181"/>
              <w:rPr>
                <w:rFonts w:ascii="宋体" w:eastAsia="宋体" w:hAnsi="宋体" w:cs="宋体"/>
                <w:sz w:val="16"/>
                <w:szCs w:val="16"/>
              </w:rPr>
            </w:pPr>
            <w:r>
              <w:rPr>
                <w:rFonts w:ascii="宋体" w:eastAsia="宋体" w:hAnsi="宋体" w:cs="宋体"/>
                <w:spacing w:val="-2"/>
                <w:sz w:val="16"/>
                <w:szCs w:val="16"/>
              </w:rPr>
              <w:t>3.3±0.5</w:t>
            </w:r>
          </w:p>
        </w:tc>
      </w:tr>
      <w:tr w:rsidR="00EA40A3">
        <w:trPr>
          <w:trHeight w:val="252"/>
        </w:trPr>
        <w:tc>
          <w:tcPr>
            <w:tcW w:w="1422" w:type="dxa"/>
          </w:tcPr>
          <w:p w:rsidR="00EA40A3" w:rsidRDefault="00E86C16">
            <w:pPr>
              <w:spacing w:before="53" w:line="220" w:lineRule="auto"/>
              <w:ind w:left="79"/>
              <w:rPr>
                <w:rFonts w:ascii="宋体" w:eastAsia="宋体" w:hAnsi="宋体" w:cs="宋体"/>
                <w:sz w:val="16"/>
                <w:szCs w:val="16"/>
              </w:rPr>
            </w:pPr>
            <w:r>
              <w:rPr>
                <w:rFonts w:ascii="宋体" w:eastAsia="宋体" w:hAnsi="宋体" w:cs="宋体"/>
                <w:spacing w:val="-1"/>
                <w:sz w:val="16"/>
                <w:szCs w:val="16"/>
              </w:rPr>
              <w:t>猪肉/牛肉红肠</w:t>
            </w:r>
          </w:p>
        </w:tc>
        <w:tc>
          <w:tcPr>
            <w:tcW w:w="1081" w:type="dxa"/>
          </w:tcPr>
          <w:p w:rsidR="00EA40A3" w:rsidRDefault="00E86C16">
            <w:pPr>
              <w:spacing w:before="63" w:line="218" w:lineRule="auto"/>
              <w:ind w:left="457"/>
              <w:rPr>
                <w:rFonts w:ascii="宋体" w:eastAsia="宋体" w:hAnsi="宋体" w:cs="宋体"/>
                <w:sz w:val="16"/>
                <w:szCs w:val="16"/>
              </w:rPr>
            </w:pPr>
            <w:r>
              <w:rPr>
                <w:rFonts w:ascii="宋体" w:eastAsia="宋体" w:hAnsi="宋体" w:cs="宋体"/>
                <w:spacing w:val="6"/>
                <w:sz w:val="16"/>
                <w:szCs w:val="16"/>
              </w:rPr>
              <w:t>腌制</w:t>
            </w:r>
          </w:p>
        </w:tc>
        <w:tc>
          <w:tcPr>
            <w:tcW w:w="1106" w:type="dxa"/>
            <w:tcBorders>
              <w:right w:val="single" w:sz="4" w:space="0" w:color="000000"/>
            </w:tcBorders>
          </w:tcPr>
          <w:p w:rsidR="00EA40A3" w:rsidRDefault="00E86C16">
            <w:pPr>
              <w:spacing w:before="86" w:line="191" w:lineRule="auto"/>
              <w:ind w:left="326"/>
              <w:rPr>
                <w:rFonts w:ascii="宋体" w:eastAsia="宋体" w:hAnsi="宋体" w:cs="宋体"/>
                <w:sz w:val="16"/>
                <w:szCs w:val="16"/>
              </w:rPr>
            </w:pPr>
            <w:r>
              <w:rPr>
                <w:rFonts w:ascii="宋体" w:eastAsia="宋体" w:hAnsi="宋体" w:cs="宋体"/>
                <w:spacing w:val="-2"/>
                <w:sz w:val="16"/>
                <w:szCs w:val="16"/>
              </w:rPr>
              <w:t>31±4</w:t>
            </w:r>
          </w:p>
        </w:tc>
        <w:tc>
          <w:tcPr>
            <w:tcW w:w="1420" w:type="dxa"/>
            <w:tcBorders>
              <w:left w:val="single" w:sz="4" w:space="0" w:color="000000"/>
            </w:tcBorders>
          </w:tcPr>
          <w:p w:rsidR="00EA40A3" w:rsidRDefault="00E86C16">
            <w:pPr>
              <w:spacing w:before="52" w:line="219" w:lineRule="auto"/>
              <w:ind w:left="95"/>
              <w:rPr>
                <w:rFonts w:ascii="宋体" w:eastAsia="宋体" w:hAnsi="宋体" w:cs="宋体"/>
                <w:sz w:val="16"/>
                <w:szCs w:val="16"/>
              </w:rPr>
            </w:pPr>
            <w:r>
              <w:rPr>
                <w:rFonts w:ascii="宋体" w:eastAsia="宋体" w:hAnsi="宋体" w:cs="宋体"/>
                <w:spacing w:val="-1"/>
                <w:sz w:val="16"/>
                <w:szCs w:val="16"/>
              </w:rPr>
              <w:t>低脂桃子酸奶</w:t>
            </w:r>
          </w:p>
        </w:tc>
        <w:tc>
          <w:tcPr>
            <w:tcW w:w="1099" w:type="dxa"/>
          </w:tcPr>
          <w:p w:rsidR="00EA40A3" w:rsidRDefault="00EA40A3"/>
        </w:tc>
        <w:tc>
          <w:tcPr>
            <w:tcW w:w="1121" w:type="dxa"/>
          </w:tcPr>
          <w:p w:rsidR="00EA40A3" w:rsidRDefault="00E86C16">
            <w:pPr>
              <w:spacing w:before="95" w:line="192" w:lineRule="auto"/>
              <w:ind w:left="181"/>
              <w:rPr>
                <w:rFonts w:ascii="宋体" w:eastAsia="宋体" w:hAnsi="宋体" w:cs="宋体"/>
                <w:sz w:val="15"/>
                <w:szCs w:val="15"/>
              </w:rPr>
            </w:pPr>
            <w:r>
              <w:rPr>
                <w:rFonts w:ascii="宋体" w:eastAsia="宋体" w:hAnsi="宋体" w:cs="宋体"/>
                <w:spacing w:val="1"/>
                <w:sz w:val="15"/>
                <w:szCs w:val="15"/>
              </w:rPr>
              <w:t>7</w:t>
            </w:r>
            <w:r>
              <w:rPr>
                <w:rFonts w:ascii="宋体" w:eastAsia="宋体" w:hAnsi="宋体" w:cs="宋体"/>
                <w:spacing w:val="13"/>
                <w:sz w:val="15"/>
                <w:szCs w:val="15"/>
              </w:rPr>
              <w:t xml:space="preserve"> </w:t>
            </w:r>
            <w:r>
              <w:rPr>
                <w:rFonts w:ascii="宋体" w:eastAsia="宋体" w:hAnsi="宋体" w:cs="宋体"/>
                <w:spacing w:val="1"/>
                <w:sz w:val="15"/>
                <w:szCs w:val="15"/>
              </w:rPr>
              <w:t>8±0</w:t>
            </w:r>
            <w:r>
              <w:rPr>
                <w:rFonts w:ascii="宋体" w:eastAsia="宋体" w:hAnsi="宋体" w:cs="宋体"/>
                <w:spacing w:val="12"/>
                <w:sz w:val="15"/>
                <w:szCs w:val="15"/>
              </w:rPr>
              <w:t xml:space="preserve"> </w:t>
            </w:r>
            <w:r>
              <w:rPr>
                <w:rFonts w:ascii="宋体" w:eastAsia="宋体" w:hAnsi="宋体" w:cs="宋体"/>
                <w:spacing w:val="1"/>
                <w:sz w:val="15"/>
                <w:szCs w:val="15"/>
              </w:rPr>
              <w:t>9</w:t>
            </w:r>
          </w:p>
        </w:tc>
      </w:tr>
      <w:tr w:rsidR="00EA40A3">
        <w:trPr>
          <w:trHeight w:val="258"/>
        </w:trPr>
        <w:tc>
          <w:tcPr>
            <w:tcW w:w="1422" w:type="dxa"/>
            <w:tcBorders>
              <w:bottom w:val="single" w:sz="4" w:space="0" w:color="000000"/>
            </w:tcBorders>
          </w:tcPr>
          <w:p w:rsidR="00EA40A3" w:rsidRDefault="00E86C16">
            <w:pPr>
              <w:spacing w:before="50" w:line="219" w:lineRule="auto"/>
              <w:ind w:left="69"/>
              <w:rPr>
                <w:rFonts w:ascii="宋体" w:eastAsia="宋体" w:hAnsi="宋体" w:cs="宋体"/>
                <w:sz w:val="16"/>
                <w:szCs w:val="16"/>
              </w:rPr>
            </w:pPr>
            <w:r>
              <w:rPr>
                <w:rFonts w:ascii="宋体" w:eastAsia="宋体" w:hAnsi="宋体" w:cs="宋体"/>
                <w:spacing w:val="-2"/>
                <w:sz w:val="16"/>
                <w:szCs w:val="16"/>
              </w:rPr>
              <w:t>火鸡红肠</w:t>
            </w:r>
          </w:p>
        </w:tc>
        <w:tc>
          <w:tcPr>
            <w:tcW w:w="1081" w:type="dxa"/>
            <w:tcBorders>
              <w:bottom w:val="single" w:sz="4" w:space="0" w:color="000000"/>
            </w:tcBorders>
          </w:tcPr>
          <w:p w:rsidR="00EA40A3" w:rsidRDefault="00E86C16">
            <w:pPr>
              <w:spacing w:before="61" w:line="220" w:lineRule="auto"/>
              <w:ind w:left="448"/>
              <w:rPr>
                <w:rFonts w:ascii="宋体" w:eastAsia="宋体" w:hAnsi="宋体" w:cs="宋体"/>
                <w:sz w:val="16"/>
                <w:szCs w:val="16"/>
              </w:rPr>
            </w:pPr>
            <w:r>
              <w:rPr>
                <w:rFonts w:ascii="宋体" w:eastAsia="宋体" w:hAnsi="宋体" w:cs="宋体"/>
                <w:spacing w:val="-2"/>
                <w:sz w:val="16"/>
                <w:szCs w:val="16"/>
              </w:rPr>
              <w:t>腌制</w:t>
            </w:r>
          </w:p>
        </w:tc>
        <w:tc>
          <w:tcPr>
            <w:tcW w:w="1106" w:type="dxa"/>
            <w:tcBorders>
              <w:bottom w:val="single" w:sz="4" w:space="0" w:color="000000"/>
              <w:right w:val="single" w:sz="4" w:space="0" w:color="000000"/>
            </w:tcBorders>
          </w:tcPr>
          <w:p w:rsidR="00EA40A3" w:rsidRDefault="00E86C16">
            <w:pPr>
              <w:spacing w:before="94" w:line="189" w:lineRule="auto"/>
              <w:ind w:left="336"/>
              <w:rPr>
                <w:rFonts w:ascii="宋体" w:eastAsia="宋体" w:hAnsi="宋体" w:cs="宋体"/>
                <w:sz w:val="16"/>
                <w:szCs w:val="16"/>
              </w:rPr>
            </w:pPr>
            <w:r>
              <w:rPr>
                <w:rFonts w:ascii="宋体" w:eastAsia="宋体" w:hAnsi="宋体" w:cs="宋体"/>
                <w:spacing w:val="-4"/>
                <w:sz w:val="16"/>
                <w:szCs w:val="16"/>
              </w:rPr>
              <w:t>123±5</w:t>
            </w:r>
          </w:p>
        </w:tc>
        <w:tc>
          <w:tcPr>
            <w:tcW w:w="1420" w:type="dxa"/>
            <w:tcBorders>
              <w:left w:val="single" w:sz="4" w:space="0" w:color="000000"/>
              <w:bottom w:val="single" w:sz="4" w:space="0" w:color="000000"/>
            </w:tcBorders>
          </w:tcPr>
          <w:p w:rsidR="00EA40A3" w:rsidRDefault="00E86C16">
            <w:pPr>
              <w:spacing w:before="59" w:line="218" w:lineRule="auto"/>
              <w:ind w:left="95"/>
              <w:rPr>
                <w:rFonts w:ascii="宋体" w:eastAsia="宋体" w:hAnsi="宋体" w:cs="宋体"/>
                <w:sz w:val="16"/>
                <w:szCs w:val="16"/>
              </w:rPr>
            </w:pPr>
            <w:r>
              <w:rPr>
                <w:rFonts w:ascii="宋体" w:eastAsia="宋体" w:hAnsi="宋体" w:cs="宋体"/>
                <w:spacing w:val="-2"/>
                <w:sz w:val="16"/>
                <w:szCs w:val="16"/>
              </w:rPr>
              <w:t>香草冰淇淋</w:t>
            </w:r>
          </w:p>
        </w:tc>
        <w:tc>
          <w:tcPr>
            <w:tcW w:w="1099" w:type="dxa"/>
            <w:tcBorders>
              <w:bottom w:val="single" w:sz="4" w:space="0" w:color="000000"/>
            </w:tcBorders>
          </w:tcPr>
          <w:p w:rsidR="00EA40A3" w:rsidRDefault="00EA40A3"/>
        </w:tc>
        <w:tc>
          <w:tcPr>
            <w:tcW w:w="1121" w:type="dxa"/>
            <w:tcBorders>
              <w:bottom w:val="single" w:sz="4" w:space="0" w:color="000000"/>
            </w:tcBorders>
          </w:tcPr>
          <w:p w:rsidR="00EA40A3" w:rsidRDefault="00E86C16">
            <w:pPr>
              <w:spacing w:before="111" w:line="169" w:lineRule="auto"/>
              <w:ind w:left="441"/>
              <w:rPr>
                <w:rFonts w:ascii="宋体" w:eastAsia="宋体" w:hAnsi="宋体" w:cs="宋体"/>
                <w:sz w:val="16"/>
                <w:szCs w:val="16"/>
              </w:rPr>
            </w:pPr>
            <w:r>
              <w:rPr>
                <w:rFonts w:ascii="宋体" w:eastAsia="宋体" w:hAnsi="宋体" w:cs="宋体"/>
                <w:spacing w:val="-5"/>
                <w:sz w:val="16"/>
                <w:szCs w:val="16"/>
              </w:rPr>
              <w:t>1.9</w:t>
            </w:r>
          </w:p>
        </w:tc>
      </w:tr>
    </w:tbl>
    <w:p w:rsidR="00EA40A3" w:rsidRDefault="00E86C16">
      <w:pPr>
        <w:spacing w:before="80" w:line="219" w:lineRule="auto"/>
        <w:ind w:left="260"/>
        <w:rPr>
          <w:rFonts w:ascii="宋体" w:eastAsia="宋体" w:hAnsi="宋体" w:cs="宋体"/>
          <w:sz w:val="14"/>
          <w:szCs w:val="14"/>
        </w:rPr>
      </w:pPr>
      <w:r>
        <w:rPr>
          <w:rFonts w:ascii="宋体" w:eastAsia="宋体" w:hAnsi="宋体" w:cs="宋体"/>
          <w:sz w:val="14"/>
          <w:szCs w:val="14"/>
        </w:rPr>
        <w:t>资料来源：陈仁惇.1999.现代临床营养学</w:t>
      </w:r>
      <w:r>
        <w:rPr>
          <w:rFonts w:ascii="宋体" w:eastAsia="宋体" w:hAnsi="宋体" w:cs="宋体"/>
          <w:spacing w:val="-1"/>
          <w:sz w:val="14"/>
          <w:szCs w:val="14"/>
        </w:rPr>
        <w:t>.北京：人民军医出版社</w:t>
      </w:r>
    </w:p>
    <w:p w:rsidR="00EA40A3" w:rsidRDefault="00EA40A3">
      <w:pPr>
        <w:sectPr w:rsidR="00EA40A3">
          <w:footerReference w:type="default" r:id="rId58"/>
          <w:pgSz w:w="9220" w:h="13360"/>
          <w:pgMar w:top="400" w:right="1055" w:bottom="1296" w:left="860" w:header="0" w:footer="1075" w:gutter="0"/>
          <w:cols w:space="720"/>
        </w:sectPr>
      </w:pPr>
    </w:p>
    <w:p w:rsidR="00EA40A3" w:rsidRDefault="00EA40A3">
      <w:pPr>
        <w:spacing w:line="289" w:lineRule="auto"/>
      </w:pPr>
    </w:p>
    <w:p w:rsidR="00EA40A3" w:rsidRDefault="00EA40A3">
      <w:pPr>
        <w:spacing w:line="289" w:lineRule="auto"/>
      </w:pPr>
    </w:p>
    <w:p w:rsidR="00EA40A3" w:rsidRDefault="00E86C16">
      <w:pPr>
        <w:spacing w:before="68" w:line="252" w:lineRule="auto"/>
        <w:ind w:right="76" w:firstLine="430"/>
        <w:jc w:val="both"/>
        <w:rPr>
          <w:rFonts w:ascii="宋体" w:eastAsia="宋体" w:hAnsi="宋体" w:cs="宋体"/>
        </w:rPr>
      </w:pPr>
      <w:r>
        <w:rPr>
          <w:rFonts w:ascii="宋体" w:eastAsia="宋体" w:hAnsi="宋体" w:cs="宋体"/>
          <w:spacing w:val="-3"/>
        </w:rPr>
        <w:t>由于婴儿合成牛磺酸的能力有限，因此在婴儿</w:t>
      </w:r>
      <w:r>
        <w:rPr>
          <w:rFonts w:ascii="宋体" w:eastAsia="宋体" w:hAnsi="宋体" w:cs="宋体"/>
          <w:spacing w:val="-4"/>
        </w:rPr>
        <w:t>配方奶粉中添加牛磺酸就显得</w:t>
      </w:r>
      <w:r>
        <w:rPr>
          <w:rFonts w:ascii="宋体" w:eastAsia="宋体" w:hAnsi="宋体" w:cs="宋体"/>
        </w:rPr>
        <w:t xml:space="preserve"> </w:t>
      </w:r>
      <w:r>
        <w:rPr>
          <w:rFonts w:ascii="宋体" w:eastAsia="宋体" w:hAnsi="宋体" w:cs="宋体"/>
          <w:spacing w:val="2"/>
        </w:rPr>
        <w:t>非常重要。由表3-16可见：禽畜类、水产品和奶制品中含有牛磺酸，其中海产</w:t>
      </w:r>
      <w:r>
        <w:rPr>
          <w:rFonts w:ascii="宋体" w:eastAsia="宋体" w:hAnsi="宋体" w:cs="宋体"/>
        </w:rPr>
        <w:t xml:space="preserve"> </w:t>
      </w:r>
      <w:r>
        <w:rPr>
          <w:rFonts w:ascii="宋体" w:eastAsia="宋体" w:hAnsi="宋体" w:cs="宋体"/>
          <w:spacing w:val="-4"/>
        </w:rPr>
        <w:t>品中牛磺酸含量最高，如牡蛎、蛤蜊、扇贝等；禽类中黑肉比白肉含量高，奶制</w:t>
      </w:r>
      <w:r>
        <w:rPr>
          <w:rFonts w:ascii="宋体" w:eastAsia="宋体" w:hAnsi="宋体" w:cs="宋体"/>
          <w:spacing w:val="6"/>
        </w:rPr>
        <w:t xml:space="preserve"> </w:t>
      </w:r>
      <w:r>
        <w:rPr>
          <w:rFonts w:ascii="宋体" w:eastAsia="宋体" w:hAnsi="宋体" w:cs="宋体"/>
          <w:spacing w:val="-6"/>
        </w:rPr>
        <w:t>品中的含量很低；蔬菜、水果、谷类、干果类</w:t>
      </w:r>
      <w:r>
        <w:rPr>
          <w:rFonts w:ascii="宋体" w:eastAsia="宋体" w:hAnsi="宋体" w:cs="宋体"/>
          <w:spacing w:val="-7"/>
        </w:rPr>
        <w:t>都不含牛磺酸。</w:t>
      </w:r>
    </w:p>
    <w:p w:rsidR="00EA40A3" w:rsidRDefault="00E86C16">
      <w:pPr>
        <w:spacing w:before="230" w:line="222" w:lineRule="auto"/>
        <w:rPr>
          <w:rFonts w:ascii="仿宋" w:eastAsia="仿宋" w:hAnsi="仿宋" w:cs="仿宋"/>
        </w:rPr>
      </w:pPr>
      <w:r>
        <w:rPr>
          <w:rFonts w:ascii="仿宋" w:eastAsia="仿宋" w:hAnsi="仿宋" w:cs="仿宋"/>
          <w:spacing w:val="8"/>
        </w:rPr>
        <w:t>2.</w:t>
      </w:r>
      <w:r>
        <w:rPr>
          <w:rFonts w:ascii="仿宋" w:eastAsia="仿宋" w:hAnsi="仿宋" w:cs="仿宋"/>
          <w:spacing w:val="-3"/>
        </w:rPr>
        <w:t xml:space="preserve"> </w:t>
      </w:r>
      <w:r>
        <w:rPr>
          <w:rFonts w:ascii="仿宋" w:eastAsia="仿宋" w:hAnsi="仿宋" w:cs="仿宋"/>
          <w:spacing w:val="8"/>
        </w:rPr>
        <w:t>精氨酸</w:t>
      </w:r>
    </w:p>
    <w:p w:rsidR="00EA40A3" w:rsidRDefault="00E86C16">
      <w:pPr>
        <w:spacing w:before="202" w:line="256" w:lineRule="auto"/>
        <w:ind w:right="19" w:firstLine="430"/>
        <w:jc w:val="both"/>
        <w:rPr>
          <w:rFonts w:ascii="宋体" w:eastAsia="宋体" w:hAnsi="宋体" w:cs="宋体"/>
        </w:rPr>
      </w:pPr>
      <w:r>
        <w:rPr>
          <w:rFonts w:ascii="宋体" w:eastAsia="宋体" w:hAnsi="宋体" w:cs="宋体"/>
          <w:spacing w:val="-2"/>
        </w:rPr>
        <w:t>精氨酸</w:t>
      </w:r>
      <w:r>
        <w:rPr>
          <w:rFonts w:ascii="宋体" w:eastAsia="宋体" w:hAnsi="宋体" w:cs="宋体"/>
          <w:spacing w:val="3"/>
        </w:rPr>
        <w:t xml:space="preserve"> </w:t>
      </w:r>
      <w:r>
        <w:rPr>
          <w:rFonts w:ascii="宋体" w:eastAsia="宋体" w:hAnsi="宋体" w:cs="宋体"/>
          <w:spacing w:val="-2"/>
        </w:rPr>
        <w:t>(arginine,Arg)</w:t>
      </w:r>
      <w:r>
        <w:rPr>
          <w:rFonts w:ascii="宋体" w:eastAsia="宋体" w:hAnsi="宋体" w:cs="宋体"/>
          <w:spacing w:val="30"/>
        </w:rPr>
        <w:t xml:space="preserve"> </w:t>
      </w:r>
      <w:r>
        <w:rPr>
          <w:rFonts w:ascii="宋体" w:eastAsia="宋体" w:hAnsi="宋体" w:cs="宋体"/>
          <w:spacing w:val="-2"/>
        </w:rPr>
        <w:t>是一种含双氨基的条件必</w:t>
      </w:r>
      <w:r>
        <w:rPr>
          <w:rFonts w:ascii="宋体" w:eastAsia="宋体" w:hAnsi="宋体" w:cs="宋体"/>
          <w:spacing w:val="-3"/>
        </w:rPr>
        <w:t>需氨基酸。对成人来说，</w:t>
      </w:r>
      <w:r>
        <w:rPr>
          <w:rFonts w:ascii="宋体" w:eastAsia="宋体" w:hAnsi="宋体" w:cs="宋体"/>
        </w:rPr>
        <w:t xml:space="preserve"> </w:t>
      </w:r>
      <w:r>
        <w:rPr>
          <w:rFonts w:ascii="宋体" w:eastAsia="宋体" w:hAnsi="宋体" w:cs="宋体"/>
          <w:spacing w:val="-3"/>
        </w:rPr>
        <w:t>精氨酸不是必需氨基酸，但是成人在发育不成熟或在严重应激条件下，或婴儿在</w:t>
      </w:r>
      <w:r>
        <w:rPr>
          <w:rFonts w:ascii="宋体" w:eastAsia="宋体" w:hAnsi="宋体" w:cs="宋体"/>
          <w:spacing w:val="5"/>
        </w:rPr>
        <w:t xml:space="preserve"> </w:t>
      </w:r>
      <w:r>
        <w:rPr>
          <w:rFonts w:ascii="宋体" w:eastAsia="宋体" w:hAnsi="宋体" w:cs="宋体"/>
          <w:spacing w:val="-4"/>
        </w:rPr>
        <w:t>先天性缺乏尿素循环的某些酶时，精氨酸则成为必需氨基酸，此时如果缺乏，机</w:t>
      </w:r>
      <w:r>
        <w:rPr>
          <w:rFonts w:ascii="宋体" w:eastAsia="宋体" w:hAnsi="宋体" w:cs="宋体"/>
          <w:spacing w:val="17"/>
        </w:rPr>
        <w:t xml:space="preserve"> </w:t>
      </w:r>
      <w:r>
        <w:rPr>
          <w:rFonts w:ascii="宋体" w:eastAsia="宋体" w:hAnsi="宋体" w:cs="宋体"/>
          <w:spacing w:val="-8"/>
        </w:rPr>
        <w:t>体就不能维持正氮平衡与正常的生理功能。</w:t>
      </w:r>
      <w:r>
        <w:rPr>
          <w:rFonts w:ascii="宋体" w:eastAsia="宋体" w:hAnsi="宋体" w:cs="宋体"/>
          <w:spacing w:val="39"/>
        </w:rPr>
        <w:t xml:space="preserve"> </w:t>
      </w:r>
      <w:r>
        <w:rPr>
          <w:rFonts w:ascii="宋体" w:eastAsia="宋体" w:hAnsi="宋体" w:cs="宋体"/>
          <w:spacing w:val="-8"/>
        </w:rPr>
        <w:t>一般认为，对婴儿</w:t>
      </w:r>
      <w:r>
        <w:rPr>
          <w:rFonts w:ascii="宋体" w:eastAsia="宋体" w:hAnsi="宋体" w:cs="宋体"/>
          <w:spacing w:val="-9"/>
        </w:rPr>
        <w:t>来说，精氨酸和组</w:t>
      </w:r>
      <w:r>
        <w:rPr>
          <w:rFonts w:ascii="宋体" w:eastAsia="宋体" w:hAnsi="宋体" w:cs="宋体"/>
        </w:rPr>
        <w:t xml:space="preserve">  </w:t>
      </w:r>
      <w:r>
        <w:rPr>
          <w:rFonts w:ascii="宋体" w:eastAsia="宋体" w:hAnsi="宋体" w:cs="宋体"/>
          <w:spacing w:val="-9"/>
        </w:rPr>
        <w:t>氨酸都是必需氨基酸。</w:t>
      </w:r>
    </w:p>
    <w:p w:rsidR="00EA40A3" w:rsidRDefault="00E86C16">
      <w:pPr>
        <w:spacing w:before="58" w:line="311" w:lineRule="exact"/>
        <w:rPr>
          <w:rFonts w:ascii="楷体" w:eastAsia="楷体" w:hAnsi="楷体" w:cs="楷体"/>
        </w:rPr>
      </w:pPr>
      <w:r>
        <w:rPr>
          <w:rFonts w:ascii="楷体" w:eastAsia="楷体" w:hAnsi="楷体" w:cs="楷体"/>
          <w:spacing w:val="5"/>
          <w:position w:val="6"/>
        </w:rPr>
        <w:t>1)精氨酸的生理功能</w:t>
      </w:r>
    </w:p>
    <w:p w:rsidR="00EA40A3" w:rsidRDefault="00E86C16">
      <w:pPr>
        <w:spacing w:line="218" w:lineRule="auto"/>
        <w:ind w:left="430"/>
        <w:rPr>
          <w:rFonts w:ascii="宋体" w:eastAsia="宋体" w:hAnsi="宋体" w:cs="宋体"/>
        </w:rPr>
      </w:pPr>
      <w:r>
        <w:rPr>
          <w:rFonts w:ascii="宋体" w:eastAsia="宋体" w:hAnsi="宋体" w:cs="宋体"/>
          <w:spacing w:val="-9"/>
        </w:rPr>
        <w:t>a.</w:t>
      </w:r>
      <w:r>
        <w:rPr>
          <w:rFonts w:ascii="宋体" w:eastAsia="宋体" w:hAnsi="宋体" w:cs="宋体"/>
          <w:spacing w:val="-45"/>
        </w:rPr>
        <w:t xml:space="preserve"> </w:t>
      </w:r>
      <w:r>
        <w:rPr>
          <w:rFonts w:ascii="宋体" w:eastAsia="宋体" w:hAnsi="宋体" w:cs="宋体"/>
          <w:spacing w:val="-9"/>
        </w:rPr>
        <w:t>促进伤口的愈合</w:t>
      </w:r>
    </w:p>
    <w:p w:rsidR="00EA40A3" w:rsidRDefault="00E86C16">
      <w:pPr>
        <w:spacing w:before="71" w:line="246" w:lineRule="auto"/>
        <w:ind w:right="69" w:firstLine="430"/>
        <w:rPr>
          <w:rFonts w:ascii="宋体" w:eastAsia="宋体" w:hAnsi="宋体" w:cs="宋体"/>
        </w:rPr>
      </w:pPr>
      <w:r>
        <w:rPr>
          <w:rFonts w:ascii="宋体" w:eastAsia="宋体" w:hAnsi="宋体" w:cs="宋体"/>
          <w:spacing w:val="3"/>
        </w:rPr>
        <w:t>精氨酸可促进胶原组织的合成，对伤口起修复作用；并能通过一系列酶反</w:t>
      </w:r>
      <w:r>
        <w:rPr>
          <w:rFonts w:ascii="宋体" w:eastAsia="宋体" w:hAnsi="宋体" w:cs="宋体"/>
        </w:rPr>
        <w:t xml:space="preserve"> </w:t>
      </w:r>
      <w:r>
        <w:rPr>
          <w:rFonts w:ascii="宋体" w:eastAsia="宋体" w:hAnsi="宋体" w:cs="宋体"/>
          <w:spacing w:val="-3"/>
        </w:rPr>
        <w:t>应，形成一氧化氮来活化巨噬细胞和中性细胞，对伤口起消炎作用；此外由于精</w:t>
      </w:r>
      <w:r>
        <w:rPr>
          <w:rFonts w:ascii="宋体" w:eastAsia="宋体" w:hAnsi="宋体" w:cs="宋体"/>
          <w:spacing w:val="4"/>
        </w:rPr>
        <w:t xml:space="preserve"> </w:t>
      </w:r>
      <w:r>
        <w:rPr>
          <w:rFonts w:ascii="宋体" w:eastAsia="宋体" w:hAnsi="宋体" w:cs="宋体"/>
          <w:spacing w:val="-3"/>
        </w:rPr>
        <w:t>氨酸还是形成一氧化氮的前体，而一氧化氮可在内皮细胞合成松弛因子，因此它</w:t>
      </w:r>
      <w:r>
        <w:rPr>
          <w:rFonts w:ascii="宋体" w:eastAsia="宋体" w:hAnsi="宋体" w:cs="宋体"/>
          <w:spacing w:val="9"/>
        </w:rPr>
        <w:t xml:space="preserve"> </w:t>
      </w:r>
      <w:r>
        <w:rPr>
          <w:rFonts w:ascii="宋体" w:eastAsia="宋体" w:hAnsi="宋体" w:cs="宋体"/>
          <w:spacing w:val="-7"/>
        </w:rPr>
        <w:t>可促进伤口周围的微循环，加速伤口恢复。</w:t>
      </w:r>
    </w:p>
    <w:p w:rsidR="00EA40A3" w:rsidRDefault="00E86C16">
      <w:pPr>
        <w:spacing w:before="83" w:line="220" w:lineRule="auto"/>
        <w:ind w:left="430"/>
        <w:rPr>
          <w:rFonts w:ascii="宋体" w:eastAsia="宋体" w:hAnsi="宋体" w:cs="宋体"/>
        </w:rPr>
      </w:pPr>
      <w:r>
        <w:rPr>
          <w:rFonts w:ascii="宋体" w:eastAsia="宋体" w:hAnsi="宋体" w:cs="宋体"/>
          <w:spacing w:val="2"/>
        </w:rPr>
        <w:t>b.免疫调节功能</w:t>
      </w:r>
    </w:p>
    <w:p w:rsidR="00EA40A3" w:rsidRDefault="00E86C16">
      <w:pPr>
        <w:spacing w:before="87" w:line="243" w:lineRule="auto"/>
        <w:ind w:right="3" w:firstLine="430"/>
        <w:rPr>
          <w:rFonts w:ascii="宋体" w:eastAsia="宋体" w:hAnsi="宋体" w:cs="宋体"/>
        </w:rPr>
      </w:pPr>
      <w:r>
        <w:rPr>
          <w:rFonts w:ascii="宋体" w:eastAsia="宋体" w:hAnsi="宋体" w:cs="宋体"/>
          <w:spacing w:val="-1"/>
        </w:rPr>
        <w:t>精氨酸能防止胸腺的退化，增加胸腺的质量，促进胸腺中淋巴</w:t>
      </w:r>
      <w:r>
        <w:rPr>
          <w:rFonts w:ascii="宋体" w:eastAsia="宋体" w:hAnsi="宋体" w:cs="宋体"/>
          <w:spacing w:val="-2"/>
        </w:rPr>
        <w:t>细胞的增长。</w:t>
      </w:r>
      <w:r>
        <w:rPr>
          <w:rFonts w:ascii="宋体" w:eastAsia="宋体" w:hAnsi="宋体" w:cs="宋体"/>
        </w:rPr>
        <w:t xml:space="preserve"> </w:t>
      </w:r>
      <w:r>
        <w:rPr>
          <w:rFonts w:ascii="宋体" w:eastAsia="宋体" w:hAnsi="宋体" w:cs="宋体"/>
          <w:spacing w:val="-4"/>
        </w:rPr>
        <w:t>在成人中若胸腺已萎缩，精氨酸还能刺激人体周围血液中单核白细胞对抗原与细</w:t>
      </w:r>
      <w:r>
        <w:rPr>
          <w:rFonts w:ascii="宋体" w:eastAsia="宋体" w:hAnsi="宋体" w:cs="宋体"/>
        </w:rPr>
        <w:t xml:space="preserve">  </w:t>
      </w:r>
      <w:r>
        <w:rPr>
          <w:rFonts w:ascii="宋体" w:eastAsia="宋体" w:hAnsi="宋体" w:cs="宋体"/>
          <w:spacing w:val="-5"/>
        </w:rPr>
        <w:t>胞分裂的反应，增强吞噬细胞的活力，以杀死肿瘤细胞或细菌等靶细胞。</w:t>
      </w:r>
    </w:p>
    <w:p w:rsidR="00EA40A3" w:rsidRDefault="00E86C16">
      <w:pPr>
        <w:spacing w:before="73" w:line="219" w:lineRule="auto"/>
        <w:ind w:left="430"/>
        <w:rPr>
          <w:rFonts w:ascii="宋体" w:eastAsia="宋体" w:hAnsi="宋体" w:cs="宋体"/>
        </w:rPr>
      </w:pPr>
      <w:r>
        <w:rPr>
          <w:rFonts w:ascii="宋体" w:eastAsia="宋体" w:hAnsi="宋体" w:cs="宋体"/>
          <w:spacing w:val="-3"/>
        </w:rPr>
        <w:t>c.</w:t>
      </w:r>
      <w:r>
        <w:rPr>
          <w:rFonts w:ascii="宋体" w:eastAsia="宋体" w:hAnsi="宋体" w:cs="宋体"/>
          <w:spacing w:val="-62"/>
        </w:rPr>
        <w:t xml:space="preserve"> </w:t>
      </w:r>
      <w:r>
        <w:rPr>
          <w:rFonts w:ascii="宋体" w:eastAsia="宋体" w:hAnsi="宋体" w:cs="宋体"/>
          <w:spacing w:val="-3"/>
        </w:rPr>
        <w:t>抗肿瘤作用</w:t>
      </w:r>
    </w:p>
    <w:p w:rsidR="00EA40A3" w:rsidRDefault="00E86C16">
      <w:pPr>
        <w:spacing w:before="69" w:line="253" w:lineRule="auto"/>
        <w:ind w:right="73" w:firstLine="430"/>
        <w:rPr>
          <w:rFonts w:ascii="宋体" w:eastAsia="宋体" w:hAnsi="宋体" w:cs="宋体"/>
        </w:rPr>
      </w:pPr>
      <w:r>
        <w:rPr>
          <w:rFonts w:ascii="宋体" w:eastAsia="宋体" w:hAnsi="宋体" w:cs="宋体"/>
          <w:spacing w:val="-3"/>
        </w:rPr>
        <w:t>动物试验表明，补充精氨酸能减少患肿瘤动物的肿瘤</w:t>
      </w:r>
      <w:r>
        <w:rPr>
          <w:rFonts w:ascii="宋体" w:eastAsia="宋体" w:hAnsi="宋体" w:cs="宋体"/>
          <w:spacing w:val="-4"/>
        </w:rPr>
        <w:t>体积，降低肿瘤的转移</w:t>
      </w:r>
      <w:r>
        <w:rPr>
          <w:rFonts w:ascii="宋体" w:eastAsia="宋体" w:hAnsi="宋体" w:cs="宋体"/>
        </w:rPr>
        <w:t xml:space="preserve"> </w:t>
      </w:r>
      <w:r>
        <w:rPr>
          <w:rFonts w:ascii="宋体" w:eastAsia="宋体" w:hAnsi="宋体" w:cs="宋体"/>
          <w:spacing w:val="-4"/>
        </w:rPr>
        <w:t>率，提高动物的存活时间与存活率。对于败血病患者，其血浆中的精氨酸含量</w:t>
      </w:r>
      <w:r>
        <w:rPr>
          <w:rFonts w:ascii="宋体" w:eastAsia="宋体" w:hAnsi="宋体" w:cs="宋体"/>
          <w:spacing w:val="-5"/>
        </w:rPr>
        <w:t>大</w:t>
      </w:r>
      <w:r>
        <w:rPr>
          <w:rFonts w:ascii="宋体" w:eastAsia="宋体" w:hAnsi="宋体" w:cs="宋体"/>
        </w:rPr>
        <w:t xml:space="preserve"> </w:t>
      </w:r>
      <w:r>
        <w:rPr>
          <w:rFonts w:ascii="宋体" w:eastAsia="宋体" w:hAnsi="宋体" w:cs="宋体"/>
          <w:spacing w:val="-4"/>
        </w:rPr>
        <w:t>大降低，说明其精氨酸已经被大量利用，这一现象可用来判断败血症病人患病的</w:t>
      </w:r>
      <w:r>
        <w:rPr>
          <w:rFonts w:ascii="宋体" w:eastAsia="宋体" w:hAnsi="宋体" w:cs="宋体"/>
          <w:spacing w:val="5"/>
        </w:rPr>
        <w:t xml:space="preserve"> </w:t>
      </w:r>
      <w:r>
        <w:rPr>
          <w:rFonts w:ascii="宋体" w:eastAsia="宋体" w:hAnsi="宋体" w:cs="宋体"/>
          <w:spacing w:val="-4"/>
        </w:rPr>
        <w:t>严重程度，作为败血症患者痊愈或恶化的预后指标。</w:t>
      </w:r>
    </w:p>
    <w:p w:rsidR="00EA40A3" w:rsidRDefault="00E86C16">
      <w:pPr>
        <w:spacing w:before="61" w:line="219" w:lineRule="auto"/>
        <w:ind w:left="430"/>
        <w:rPr>
          <w:rFonts w:ascii="宋体" w:eastAsia="宋体" w:hAnsi="宋体" w:cs="宋体"/>
        </w:rPr>
      </w:pPr>
      <w:r>
        <w:rPr>
          <w:rFonts w:ascii="宋体" w:eastAsia="宋体" w:hAnsi="宋体" w:cs="宋体"/>
          <w:spacing w:val="1"/>
        </w:rPr>
        <w:t>d.抗冠心病的作用</w:t>
      </w:r>
    </w:p>
    <w:p w:rsidR="00EA40A3" w:rsidRDefault="00E86C16">
      <w:pPr>
        <w:spacing w:before="70" w:line="246" w:lineRule="auto"/>
        <w:ind w:right="71" w:firstLine="430"/>
        <w:rPr>
          <w:rFonts w:ascii="宋体" w:eastAsia="宋体" w:hAnsi="宋体" w:cs="宋体"/>
        </w:rPr>
      </w:pPr>
      <w:r>
        <w:rPr>
          <w:rFonts w:ascii="宋体" w:eastAsia="宋体" w:hAnsi="宋体" w:cs="宋体"/>
          <w:spacing w:val="2"/>
        </w:rPr>
        <w:t>给动物补充</w:t>
      </w:r>
      <w:r>
        <w:rPr>
          <w:rFonts w:ascii="宋体" w:eastAsia="宋体" w:hAnsi="宋体" w:cs="宋体"/>
          <w:spacing w:val="-56"/>
        </w:rPr>
        <w:t xml:space="preserve"> </w:t>
      </w:r>
      <w:r>
        <w:rPr>
          <w:rFonts w:ascii="宋体" w:eastAsia="宋体" w:hAnsi="宋体" w:cs="宋体"/>
          <w:spacing w:val="2"/>
        </w:rPr>
        <w:t>L-精氨酸可以改善血管的内皮依赖</w:t>
      </w:r>
      <w:r>
        <w:rPr>
          <w:rFonts w:ascii="宋体" w:eastAsia="宋体" w:hAnsi="宋体" w:cs="宋体"/>
          <w:spacing w:val="1"/>
        </w:rPr>
        <w:t>性舒张，减轻试验动物冠心</w:t>
      </w:r>
      <w:r>
        <w:rPr>
          <w:rFonts w:ascii="宋体" w:eastAsia="宋体" w:hAnsi="宋体" w:cs="宋体"/>
        </w:rPr>
        <w:t xml:space="preserve"> </w:t>
      </w:r>
      <w:r>
        <w:rPr>
          <w:rFonts w:ascii="宋体" w:eastAsia="宋体" w:hAnsi="宋体" w:cs="宋体"/>
          <w:spacing w:val="-3"/>
        </w:rPr>
        <w:t>病的发病程度。体外试验表明：由于精氨酸是形成一氧化氮的前体，而一氧化氮</w:t>
      </w:r>
      <w:r>
        <w:rPr>
          <w:rFonts w:ascii="宋体" w:eastAsia="宋体" w:hAnsi="宋体" w:cs="宋体"/>
          <w:spacing w:val="2"/>
        </w:rPr>
        <w:t xml:space="preserve"> </w:t>
      </w:r>
      <w:r>
        <w:rPr>
          <w:rFonts w:ascii="宋体" w:eastAsia="宋体" w:hAnsi="宋体" w:cs="宋体"/>
          <w:spacing w:val="-4"/>
        </w:rPr>
        <w:t>可抑制细胞和血小板的黏附和聚集，抑制血管平滑肌细胞增殖，因此精氨酸</w:t>
      </w:r>
      <w:r>
        <w:rPr>
          <w:rFonts w:ascii="宋体" w:eastAsia="宋体" w:hAnsi="宋体" w:cs="宋体"/>
          <w:spacing w:val="-5"/>
        </w:rPr>
        <w:t>可通</w:t>
      </w:r>
      <w:r>
        <w:rPr>
          <w:rFonts w:ascii="宋体" w:eastAsia="宋体" w:hAnsi="宋体" w:cs="宋体"/>
        </w:rPr>
        <w:t xml:space="preserve"> </w:t>
      </w:r>
      <w:r>
        <w:rPr>
          <w:rFonts w:ascii="宋体" w:eastAsia="宋体" w:hAnsi="宋体" w:cs="宋体"/>
          <w:spacing w:val="-5"/>
        </w:rPr>
        <w:t>过多种环节发挥抗冠心病的作用。</w:t>
      </w:r>
    </w:p>
    <w:p w:rsidR="00EA40A3" w:rsidRDefault="00E86C16">
      <w:pPr>
        <w:spacing w:before="110" w:line="237" w:lineRule="auto"/>
        <w:ind w:right="75" w:firstLine="430"/>
        <w:rPr>
          <w:rFonts w:ascii="宋体" w:eastAsia="宋体" w:hAnsi="宋体" w:cs="宋体"/>
        </w:rPr>
      </w:pPr>
      <w:r>
        <w:rPr>
          <w:rFonts w:ascii="宋体" w:eastAsia="宋体" w:hAnsi="宋体" w:cs="宋体"/>
          <w:spacing w:val="-3"/>
        </w:rPr>
        <w:t>此外，精氨酸还可促进多种激素如脑下垂体的</w:t>
      </w:r>
      <w:r>
        <w:rPr>
          <w:rFonts w:ascii="宋体" w:eastAsia="宋体" w:hAnsi="宋体" w:cs="宋体"/>
          <w:spacing w:val="-4"/>
        </w:rPr>
        <w:t>生长激素、催乳素、胰腺的胰</w:t>
      </w:r>
      <w:r>
        <w:rPr>
          <w:rFonts w:ascii="宋体" w:eastAsia="宋体" w:hAnsi="宋体" w:cs="宋体"/>
        </w:rPr>
        <w:t xml:space="preserve"> </w:t>
      </w:r>
      <w:r>
        <w:rPr>
          <w:rFonts w:ascii="宋体" w:eastAsia="宋体" w:hAnsi="宋体" w:cs="宋体"/>
          <w:spacing w:val="-4"/>
        </w:rPr>
        <w:t>岛素和胰高血糖素分泌，对促进生长和提高体内的免疫功能有重要</w:t>
      </w:r>
      <w:r>
        <w:rPr>
          <w:rFonts w:ascii="宋体" w:eastAsia="宋体" w:hAnsi="宋体" w:cs="宋体"/>
          <w:spacing w:val="-5"/>
        </w:rPr>
        <w:t>作用。</w:t>
      </w:r>
    </w:p>
    <w:p w:rsidR="00EA40A3" w:rsidRDefault="00E86C16">
      <w:pPr>
        <w:spacing w:before="29" w:line="224" w:lineRule="auto"/>
        <w:rPr>
          <w:rFonts w:ascii="楷体" w:eastAsia="楷体" w:hAnsi="楷体" w:cs="楷体"/>
        </w:rPr>
      </w:pPr>
      <w:r>
        <w:rPr>
          <w:rFonts w:ascii="楷体" w:eastAsia="楷体" w:hAnsi="楷体" w:cs="楷体"/>
          <w:spacing w:val="3"/>
        </w:rPr>
        <w:t>2)精氨酸的食物来源</w:t>
      </w:r>
    </w:p>
    <w:p w:rsidR="00EA40A3" w:rsidRDefault="00E86C16">
      <w:pPr>
        <w:spacing w:before="88" w:line="232" w:lineRule="auto"/>
        <w:ind w:firstLine="430"/>
        <w:rPr>
          <w:rFonts w:ascii="宋体" w:eastAsia="宋体" w:hAnsi="宋体" w:cs="宋体"/>
        </w:rPr>
      </w:pPr>
      <w:r>
        <w:rPr>
          <w:rFonts w:ascii="宋体" w:eastAsia="宋体" w:hAnsi="宋体" w:cs="宋体"/>
          <w:spacing w:val="5"/>
        </w:rPr>
        <w:t>日常食物中，精氨酸含量在2%以上的食物有蚕豆、黄豆、豆制品、核桃、</w:t>
      </w:r>
      <w:r>
        <w:rPr>
          <w:rFonts w:ascii="宋体" w:eastAsia="宋体" w:hAnsi="宋体" w:cs="宋体"/>
          <w:spacing w:val="8"/>
        </w:rPr>
        <w:t xml:space="preserve"> </w:t>
      </w:r>
      <w:r>
        <w:rPr>
          <w:rFonts w:ascii="宋体" w:eastAsia="宋体" w:hAnsi="宋体" w:cs="宋体"/>
          <w:spacing w:val="-6"/>
        </w:rPr>
        <w:t>花生、牛肉、鸡肉、鸡蛋、干贝、墨鱼与虾等。</w:t>
      </w:r>
    </w:p>
    <w:p w:rsidR="00EA40A3" w:rsidRDefault="00E86C16">
      <w:pPr>
        <w:spacing w:before="127"/>
        <w:ind w:right="75"/>
        <w:jc w:val="right"/>
        <w:rPr>
          <w:rFonts w:ascii="宋体" w:eastAsia="宋体" w:hAnsi="宋体" w:cs="宋体"/>
          <w:sz w:val="17"/>
          <w:szCs w:val="17"/>
        </w:rPr>
      </w:pPr>
      <w:r>
        <w:rPr>
          <w:rFonts w:ascii="宋体" w:eastAsia="宋体" w:hAnsi="宋体" w:cs="宋体"/>
          <w:spacing w:val="-19"/>
          <w:sz w:val="17"/>
          <w:szCs w:val="17"/>
        </w:rPr>
        <w:t>·</w:t>
      </w:r>
      <w:r>
        <w:rPr>
          <w:rFonts w:ascii="宋体" w:eastAsia="宋体" w:hAnsi="宋体" w:cs="宋体"/>
          <w:spacing w:val="-20"/>
          <w:sz w:val="17"/>
          <w:szCs w:val="17"/>
        </w:rPr>
        <w:t xml:space="preserve"> </w:t>
      </w:r>
      <w:r>
        <w:rPr>
          <w:rFonts w:ascii="宋体" w:eastAsia="宋体" w:hAnsi="宋体" w:cs="宋体"/>
          <w:spacing w:val="-19"/>
          <w:sz w:val="17"/>
          <w:szCs w:val="17"/>
        </w:rPr>
        <w:t>73</w:t>
      </w:r>
      <w:r>
        <w:rPr>
          <w:rFonts w:ascii="宋体" w:eastAsia="宋体" w:hAnsi="宋体" w:cs="宋体"/>
          <w:spacing w:val="65"/>
          <w:sz w:val="17"/>
          <w:szCs w:val="17"/>
        </w:rPr>
        <w:t xml:space="preserve"> </w:t>
      </w:r>
      <w:r>
        <w:rPr>
          <w:rFonts w:ascii="宋体" w:eastAsia="宋体" w:hAnsi="宋体" w:cs="宋体"/>
          <w:spacing w:val="-19"/>
          <w:sz w:val="17"/>
          <w:szCs w:val="17"/>
        </w:rPr>
        <w:t>·</w:t>
      </w:r>
    </w:p>
    <w:p w:rsidR="00EA40A3" w:rsidRDefault="00EA40A3">
      <w:pPr>
        <w:sectPr w:rsidR="00EA40A3">
          <w:footerReference w:type="default" r:id="rId59"/>
          <w:pgSz w:w="9220" w:h="13360"/>
          <w:pgMar w:top="400" w:right="1005" w:bottom="400" w:left="890" w:header="0" w:footer="0" w:gutter="0"/>
          <w:cols w:space="720"/>
        </w:sectPr>
      </w:pPr>
    </w:p>
    <w:p w:rsidR="00EA40A3" w:rsidRDefault="00EA40A3">
      <w:pPr>
        <w:spacing w:line="247" w:lineRule="auto"/>
      </w:pPr>
    </w:p>
    <w:p w:rsidR="00EA40A3" w:rsidRDefault="00EA40A3">
      <w:pPr>
        <w:spacing w:line="247" w:lineRule="auto"/>
      </w:pPr>
    </w:p>
    <w:p w:rsidR="00EA40A3" w:rsidRDefault="00EA40A3">
      <w:pPr>
        <w:spacing w:line="248" w:lineRule="auto"/>
      </w:pPr>
    </w:p>
    <w:p w:rsidR="00EA40A3" w:rsidRDefault="00E86C16">
      <w:pPr>
        <w:spacing w:before="71" w:line="223" w:lineRule="auto"/>
        <w:rPr>
          <w:rFonts w:ascii="仿宋" w:eastAsia="仿宋" w:hAnsi="仿宋" w:cs="仿宋"/>
          <w:sz w:val="22"/>
          <w:szCs w:val="22"/>
        </w:rPr>
      </w:pPr>
      <w:bookmarkStart w:id="21" w:name="_bookmark26"/>
      <w:bookmarkStart w:id="22" w:name="_bookmark25"/>
      <w:bookmarkEnd w:id="21"/>
      <w:bookmarkEnd w:id="22"/>
      <w:r>
        <w:rPr>
          <w:rFonts w:ascii="仿宋" w:eastAsia="仿宋" w:hAnsi="仿宋" w:cs="仿宋"/>
          <w:spacing w:val="9"/>
          <w:sz w:val="22"/>
          <w:szCs w:val="22"/>
        </w:rPr>
        <w:t>3.</w:t>
      </w:r>
      <w:r>
        <w:rPr>
          <w:rFonts w:ascii="仿宋" w:eastAsia="仿宋" w:hAnsi="仿宋" w:cs="仿宋"/>
          <w:spacing w:val="-38"/>
          <w:sz w:val="22"/>
          <w:szCs w:val="22"/>
        </w:rPr>
        <w:t xml:space="preserve"> </w:t>
      </w:r>
      <w:r>
        <w:rPr>
          <w:rFonts w:ascii="仿宋" w:eastAsia="仿宋" w:hAnsi="仿宋" w:cs="仿宋"/>
          <w:spacing w:val="9"/>
          <w:sz w:val="22"/>
          <w:szCs w:val="22"/>
        </w:rPr>
        <w:t>谷氨酰胺</w:t>
      </w:r>
    </w:p>
    <w:p w:rsidR="00EA40A3" w:rsidRDefault="00E86C16">
      <w:pPr>
        <w:spacing w:before="156" w:line="247" w:lineRule="auto"/>
        <w:ind w:right="82" w:firstLine="430"/>
        <w:jc w:val="both"/>
        <w:rPr>
          <w:rFonts w:ascii="宋体" w:eastAsia="宋体" w:hAnsi="宋体" w:cs="宋体"/>
          <w:sz w:val="22"/>
          <w:szCs w:val="22"/>
        </w:rPr>
      </w:pPr>
      <w:r>
        <w:rPr>
          <w:rFonts w:ascii="宋体" w:eastAsia="宋体" w:hAnsi="宋体" w:cs="宋体"/>
          <w:spacing w:val="-2"/>
          <w:sz w:val="22"/>
          <w:szCs w:val="22"/>
        </w:rPr>
        <w:t>谷氨酰胺</w:t>
      </w:r>
      <w:r>
        <w:rPr>
          <w:rFonts w:ascii="宋体" w:eastAsia="宋体" w:hAnsi="宋体" w:cs="宋体"/>
          <w:spacing w:val="-35"/>
          <w:sz w:val="22"/>
          <w:szCs w:val="22"/>
        </w:rPr>
        <w:t xml:space="preserve"> </w:t>
      </w:r>
      <w:r>
        <w:rPr>
          <w:rFonts w:ascii="宋体" w:eastAsia="宋体" w:hAnsi="宋体" w:cs="宋体"/>
          <w:spacing w:val="-2"/>
          <w:sz w:val="22"/>
          <w:szCs w:val="22"/>
        </w:rPr>
        <w:t>(glutamine,Glu)</w:t>
      </w:r>
      <w:r>
        <w:rPr>
          <w:rFonts w:ascii="宋体" w:eastAsia="宋体" w:hAnsi="宋体" w:cs="宋体"/>
          <w:spacing w:val="17"/>
          <w:sz w:val="22"/>
          <w:szCs w:val="22"/>
        </w:rPr>
        <w:t xml:space="preserve"> </w:t>
      </w:r>
      <w:r>
        <w:rPr>
          <w:rFonts w:ascii="宋体" w:eastAsia="宋体" w:hAnsi="宋体" w:cs="宋体"/>
          <w:spacing w:val="-2"/>
          <w:sz w:val="22"/>
          <w:szCs w:val="22"/>
        </w:rPr>
        <w:t>是人体中含量最高的氨基酸。在正常的情况</w:t>
      </w:r>
      <w:r>
        <w:rPr>
          <w:rFonts w:ascii="宋体" w:eastAsia="宋体" w:hAnsi="宋体" w:cs="宋体"/>
          <w:sz w:val="22"/>
          <w:szCs w:val="22"/>
        </w:rPr>
        <w:t xml:space="preserve"> </w:t>
      </w:r>
      <w:r>
        <w:rPr>
          <w:rFonts w:ascii="宋体" w:eastAsia="宋体" w:hAnsi="宋体" w:cs="宋体"/>
          <w:spacing w:val="-13"/>
          <w:sz w:val="22"/>
          <w:szCs w:val="22"/>
        </w:rPr>
        <w:t>下，它是一种非必需氨基酸，但在剧烈运动、受伤、感染等应激情况下，机体对</w:t>
      </w:r>
      <w:r>
        <w:rPr>
          <w:rFonts w:ascii="宋体" w:eastAsia="宋体" w:hAnsi="宋体" w:cs="宋体"/>
          <w:spacing w:val="2"/>
          <w:sz w:val="22"/>
          <w:szCs w:val="22"/>
        </w:rPr>
        <w:t xml:space="preserve"> </w:t>
      </w:r>
      <w:r>
        <w:rPr>
          <w:rFonts w:ascii="宋体" w:eastAsia="宋体" w:hAnsi="宋体" w:cs="宋体"/>
          <w:spacing w:val="-13"/>
          <w:sz w:val="22"/>
          <w:szCs w:val="22"/>
        </w:rPr>
        <w:t>谷氨酰胺的需要量大大超过了机体合成谷氨酰胺的能力，体内的谷氨酰胺含量降</w:t>
      </w:r>
      <w:r>
        <w:rPr>
          <w:rFonts w:ascii="宋体" w:eastAsia="宋体" w:hAnsi="宋体" w:cs="宋体"/>
          <w:spacing w:val="4"/>
          <w:sz w:val="22"/>
          <w:szCs w:val="22"/>
        </w:rPr>
        <w:t xml:space="preserve"> </w:t>
      </w:r>
      <w:r>
        <w:rPr>
          <w:rFonts w:ascii="宋体" w:eastAsia="宋体" w:hAnsi="宋体" w:cs="宋体"/>
          <w:spacing w:val="-13"/>
          <w:sz w:val="22"/>
          <w:szCs w:val="22"/>
        </w:rPr>
        <w:t>低，使蛋白质合成减少，出现小肠黏膜萎缩和免疫功能下降</w:t>
      </w:r>
      <w:r>
        <w:rPr>
          <w:rFonts w:ascii="宋体" w:eastAsia="宋体" w:hAnsi="宋体" w:cs="宋体"/>
          <w:spacing w:val="-14"/>
          <w:sz w:val="22"/>
          <w:szCs w:val="22"/>
        </w:rPr>
        <w:t>的现象。谷氨酰胺的</w:t>
      </w:r>
      <w:r>
        <w:rPr>
          <w:rFonts w:ascii="宋体" w:eastAsia="宋体" w:hAnsi="宋体" w:cs="宋体"/>
          <w:sz w:val="22"/>
          <w:szCs w:val="22"/>
        </w:rPr>
        <w:t xml:space="preserve"> </w:t>
      </w:r>
      <w:r>
        <w:rPr>
          <w:rFonts w:ascii="宋体" w:eastAsia="宋体" w:hAnsi="宋体" w:cs="宋体"/>
          <w:spacing w:val="-20"/>
          <w:sz w:val="22"/>
          <w:szCs w:val="22"/>
        </w:rPr>
        <w:t>主要生理功能有：</w:t>
      </w:r>
    </w:p>
    <w:p w:rsidR="00EA40A3" w:rsidRDefault="00E86C16">
      <w:pPr>
        <w:spacing w:before="54" w:line="224" w:lineRule="auto"/>
        <w:rPr>
          <w:rFonts w:ascii="楷体" w:eastAsia="楷体" w:hAnsi="楷体" w:cs="楷体"/>
          <w:sz w:val="22"/>
          <w:szCs w:val="22"/>
        </w:rPr>
      </w:pPr>
      <w:r>
        <w:rPr>
          <w:rFonts w:ascii="楷体" w:eastAsia="楷体" w:hAnsi="楷体" w:cs="楷体"/>
          <w:spacing w:val="-6"/>
          <w:sz w:val="22"/>
          <w:szCs w:val="22"/>
        </w:rPr>
        <w:t>1)谷氨酰胺对小肠的营养</w:t>
      </w:r>
    </w:p>
    <w:p w:rsidR="00EA40A3" w:rsidRDefault="00E86C16">
      <w:pPr>
        <w:spacing w:before="47" w:line="243" w:lineRule="auto"/>
        <w:ind w:firstLine="430"/>
        <w:jc w:val="both"/>
        <w:rPr>
          <w:rFonts w:ascii="宋体" w:eastAsia="宋体" w:hAnsi="宋体" w:cs="宋体"/>
          <w:sz w:val="22"/>
          <w:szCs w:val="22"/>
        </w:rPr>
      </w:pPr>
      <w:r>
        <w:rPr>
          <w:rFonts w:ascii="宋体" w:eastAsia="宋体" w:hAnsi="宋体" w:cs="宋体"/>
          <w:spacing w:val="-13"/>
          <w:sz w:val="22"/>
          <w:szCs w:val="22"/>
        </w:rPr>
        <w:t>谷氨酰胺在维持小肠代谢、结构和功能上起着重要</w:t>
      </w:r>
      <w:r>
        <w:rPr>
          <w:rFonts w:ascii="宋体" w:eastAsia="宋体" w:hAnsi="宋体" w:cs="宋体"/>
          <w:spacing w:val="-14"/>
          <w:sz w:val="22"/>
          <w:szCs w:val="22"/>
        </w:rPr>
        <w:t>作用。谷氨酰胺既能作为</w:t>
      </w:r>
      <w:r>
        <w:rPr>
          <w:rFonts w:ascii="宋体" w:eastAsia="宋体" w:hAnsi="宋体" w:cs="宋体"/>
          <w:sz w:val="22"/>
          <w:szCs w:val="22"/>
        </w:rPr>
        <w:t xml:space="preserve">  </w:t>
      </w:r>
      <w:r>
        <w:rPr>
          <w:rFonts w:ascii="宋体" w:eastAsia="宋体" w:hAnsi="宋体" w:cs="宋体"/>
          <w:spacing w:val="-13"/>
          <w:sz w:val="22"/>
          <w:szCs w:val="22"/>
        </w:rPr>
        <w:t>肠黏膜细胞能量代谢的底物，又能为快速周转的蛋白质和核酸提供原料。谷氨酰</w:t>
      </w:r>
      <w:r>
        <w:rPr>
          <w:rFonts w:ascii="宋体" w:eastAsia="宋体" w:hAnsi="宋体" w:cs="宋体"/>
          <w:spacing w:val="1"/>
          <w:sz w:val="22"/>
          <w:szCs w:val="22"/>
        </w:rPr>
        <w:t xml:space="preserve">  </w:t>
      </w:r>
      <w:r>
        <w:rPr>
          <w:rFonts w:ascii="宋体" w:eastAsia="宋体" w:hAnsi="宋体" w:cs="宋体"/>
          <w:spacing w:val="-10"/>
          <w:sz w:val="22"/>
          <w:szCs w:val="22"/>
        </w:rPr>
        <w:t>胺利用率下降会降低细胞增殖率，只有小肠上皮细胞谷氨酰胺利用率相当高时</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6"/>
          <w:sz w:val="22"/>
          <w:szCs w:val="22"/>
        </w:rPr>
        <w:t>才能确保细胞分化和黏膜细胞的更新。</w:t>
      </w:r>
    </w:p>
    <w:p w:rsidR="00EA40A3" w:rsidRDefault="00E86C16">
      <w:pPr>
        <w:spacing w:before="45" w:line="223" w:lineRule="auto"/>
        <w:rPr>
          <w:rFonts w:ascii="楷体" w:eastAsia="楷体" w:hAnsi="楷体" w:cs="楷体"/>
          <w:sz w:val="22"/>
          <w:szCs w:val="22"/>
        </w:rPr>
      </w:pPr>
      <w:r>
        <w:rPr>
          <w:rFonts w:ascii="楷体" w:eastAsia="楷体" w:hAnsi="楷体" w:cs="楷体"/>
          <w:spacing w:val="-1"/>
          <w:sz w:val="22"/>
          <w:szCs w:val="22"/>
        </w:rPr>
        <w:t>2)对胰腺的作用</w:t>
      </w:r>
    </w:p>
    <w:p w:rsidR="00EA40A3" w:rsidRDefault="00E86C16">
      <w:pPr>
        <w:spacing w:before="59" w:line="241" w:lineRule="auto"/>
        <w:ind w:right="81" w:firstLine="430"/>
        <w:jc w:val="both"/>
        <w:rPr>
          <w:rFonts w:ascii="宋体" w:eastAsia="宋体" w:hAnsi="宋体" w:cs="宋体"/>
          <w:sz w:val="22"/>
          <w:szCs w:val="22"/>
        </w:rPr>
      </w:pPr>
      <w:r>
        <w:rPr>
          <w:rFonts w:ascii="宋体" w:eastAsia="宋体" w:hAnsi="宋体" w:cs="宋体"/>
          <w:spacing w:val="-3"/>
          <w:sz w:val="22"/>
          <w:szCs w:val="22"/>
        </w:rPr>
        <w:t>Helton等给小肠切除60%的大鼠输入含谷氨酰胺的全氨基酸营养液，发现</w:t>
      </w:r>
      <w:r>
        <w:rPr>
          <w:rFonts w:ascii="宋体" w:eastAsia="宋体" w:hAnsi="宋体" w:cs="宋体"/>
          <w:spacing w:val="15"/>
          <w:sz w:val="22"/>
          <w:szCs w:val="22"/>
        </w:rPr>
        <w:t xml:space="preserve"> </w:t>
      </w:r>
      <w:r>
        <w:rPr>
          <w:rFonts w:ascii="宋体" w:eastAsia="宋体" w:hAnsi="宋体" w:cs="宋体"/>
          <w:spacing w:val="-9"/>
          <w:sz w:val="22"/>
          <w:szCs w:val="22"/>
        </w:rPr>
        <w:t>大鼠外分泌腺的质量明显增加。而且DNA</w:t>
      </w:r>
      <w:r>
        <w:rPr>
          <w:rFonts w:ascii="宋体" w:eastAsia="宋体" w:hAnsi="宋体" w:cs="宋体"/>
          <w:spacing w:val="94"/>
          <w:sz w:val="22"/>
          <w:szCs w:val="22"/>
        </w:rPr>
        <w:t xml:space="preserve"> </w:t>
      </w:r>
      <w:r>
        <w:rPr>
          <w:rFonts w:ascii="宋体" w:eastAsia="宋体" w:hAnsi="宋体" w:cs="宋体"/>
          <w:spacing w:val="-9"/>
          <w:sz w:val="22"/>
          <w:szCs w:val="22"/>
        </w:rPr>
        <w:t>和蛋白质含量都增加，胰蛋白</w:t>
      </w:r>
      <w:r>
        <w:rPr>
          <w:rFonts w:ascii="宋体" w:eastAsia="宋体" w:hAnsi="宋体" w:cs="宋体"/>
          <w:spacing w:val="-10"/>
          <w:sz w:val="22"/>
          <w:szCs w:val="22"/>
        </w:rPr>
        <w:t>酶原和</w:t>
      </w:r>
      <w:r>
        <w:rPr>
          <w:rFonts w:ascii="宋体" w:eastAsia="宋体" w:hAnsi="宋体" w:cs="宋体"/>
          <w:sz w:val="22"/>
          <w:szCs w:val="22"/>
        </w:rPr>
        <w:t xml:space="preserve"> </w:t>
      </w:r>
      <w:r>
        <w:rPr>
          <w:rFonts w:ascii="宋体" w:eastAsia="宋体" w:hAnsi="宋体" w:cs="宋体"/>
          <w:spacing w:val="-15"/>
          <w:sz w:val="22"/>
          <w:szCs w:val="22"/>
        </w:rPr>
        <w:t>脂酶含量也增加，表明谷氨酰胺有加强胰腺的功能。</w:t>
      </w:r>
    </w:p>
    <w:p w:rsidR="00EA40A3" w:rsidRDefault="00E86C16">
      <w:pPr>
        <w:spacing w:before="61" w:line="232" w:lineRule="auto"/>
        <w:rPr>
          <w:rFonts w:ascii="楷体" w:eastAsia="楷体" w:hAnsi="楷体" w:cs="楷体"/>
          <w:sz w:val="19"/>
          <w:szCs w:val="19"/>
        </w:rPr>
      </w:pPr>
      <w:r>
        <w:rPr>
          <w:rFonts w:ascii="楷体" w:eastAsia="楷体" w:hAnsi="楷体" w:cs="楷体"/>
          <w:spacing w:val="-3"/>
          <w:sz w:val="19"/>
          <w:szCs w:val="19"/>
        </w:rPr>
        <w:t>3)</w:t>
      </w:r>
      <w:r>
        <w:rPr>
          <w:rFonts w:ascii="楷体" w:eastAsia="楷体" w:hAnsi="楷体" w:cs="楷体"/>
          <w:spacing w:val="93"/>
          <w:sz w:val="19"/>
          <w:szCs w:val="19"/>
        </w:rPr>
        <w:t xml:space="preserve"> </w:t>
      </w:r>
      <w:r>
        <w:rPr>
          <w:rFonts w:ascii="楷体" w:eastAsia="楷体" w:hAnsi="楷体" w:cs="楷体"/>
          <w:spacing w:val="-3"/>
          <w:sz w:val="19"/>
          <w:szCs w:val="19"/>
        </w:rPr>
        <w:t>免疫功能</w:t>
      </w:r>
    </w:p>
    <w:p w:rsidR="00EA40A3" w:rsidRDefault="00E86C16">
      <w:pPr>
        <w:spacing w:before="76" w:line="228" w:lineRule="auto"/>
        <w:ind w:right="99" w:firstLine="430"/>
        <w:rPr>
          <w:rFonts w:ascii="宋体" w:eastAsia="宋体" w:hAnsi="宋体" w:cs="宋体"/>
          <w:sz w:val="22"/>
          <w:szCs w:val="22"/>
        </w:rPr>
      </w:pPr>
      <w:r>
        <w:rPr>
          <w:rFonts w:ascii="宋体" w:eastAsia="宋体" w:hAnsi="宋体" w:cs="宋体"/>
          <w:spacing w:val="-13"/>
          <w:sz w:val="22"/>
          <w:szCs w:val="22"/>
        </w:rPr>
        <w:t>谷氨酰胺可促进淋巴细胞和巨噬细胞的增长，对预</w:t>
      </w:r>
      <w:r>
        <w:rPr>
          <w:rFonts w:ascii="宋体" w:eastAsia="宋体" w:hAnsi="宋体" w:cs="宋体"/>
          <w:spacing w:val="-14"/>
          <w:sz w:val="22"/>
          <w:szCs w:val="22"/>
        </w:rPr>
        <w:t>防和限制感染、促进伤口</w:t>
      </w:r>
      <w:r>
        <w:rPr>
          <w:rFonts w:ascii="宋体" w:eastAsia="宋体" w:hAnsi="宋体" w:cs="宋体"/>
          <w:sz w:val="22"/>
          <w:szCs w:val="22"/>
        </w:rPr>
        <w:t xml:space="preserve"> </w:t>
      </w:r>
      <w:r>
        <w:rPr>
          <w:rFonts w:ascii="宋体" w:eastAsia="宋体" w:hAnsi="宋体" w:cs="宋体"/>
          <w:spacing w:val="-16"/>
          <w:sz w:val="22"/>
          <w:szCs w:val="22"/>
        </w:rPr>
        <w:t>修复起着重要作用。</w:t>
      </w:r>
    </w:p>
    <w:p w:rsidR="00EA40A3" w:rsidRDefault="00E86C16">
      <w:pPr>
        <w:spacing w:before="57" w:line="237" w:lineRule="auto"/>
        <w:ind w:right="87" w:firstLine="430"/>
        <w:rPr>
          <w:rFonts w:ascii="宋体" w:eastAsia="宋体" w:hAnsi="宋体" w:cs="宋体"/>
          <w:sz w:val="22"/>
          <w:szCs w:val="22"/>
        </w:rPr>
      </w:pPr>
      <w:r>
        <w:rPr>
          <w:rFonts w:ascii="宋体" w:eastAsia="宋体" w:hAnsi="宋体" w:cs="宋体"/>
          <w:spacing w:val="-13"/>
          <w:sz w:val="22"/>
          <w:szCs w:val="22"/>
        </w:rPr>
        <w:t>此外，谷氨酰胺还可调节机体酸碱平衡，在保护机体、防止代谢性酸中毒中</w:t>
      </w:r>
      <w:r>
        <w:rPr>
          <w:rFonts w:ascii="宋体" w:eastAsia="宋体" w:hAnsi="宋体" w:cs="宋体"/>
          <w:sz w:val="22"/>
          <w:szCs w:val="22"/>
        </w:rPr>
        <w:t xml:space="preserve"> </w:t>
      </w:r>
      <w:r>
        <w:rPr>
          <w:rFonts w:ascii="宋体" w:eastAsia="宋体" w:hAnsi="宋体" w:cs="宋体"/>
          <w:spacing w:val="-20"/>
          <w:sz w:val="22"/>
          <w:szCs w:val="22"/>
        </w:rPr>
        <w:t>具有重要作用。</w:t>
      </w:r>
    </w:p>
    <w:p w:rsidR="00EA40A3" w:rsidRDefault="00E86C16">
      <w:pPr>
        <w:spacing w:before="206" w:line="222" w:lineRule="auto"/>
        <w:rPr>
          <w:rFonts w:ascii="仿宋" w:eastAsia="仿宋" w:hAnsi="仿宋" w:cs="仿宋"/>
          <w:sz w:val="22"/>
          <w:szCs w:val="22"/>
        </w:rPr>
      </w:pPr>
      <w:r>
        <w:rPr>
          <w:rFonts w:ascii="仿宋" w:eastAsia="仿宋" w:hAnsi="仿宋" w:cs="仿宋"/>
          <w:spacing w:val="7"/>
          <w:sz w:val="22"/>
          <w:szCs w:val="22"/>
        </w:rPr>
        <w:t>4.</w:t>
      </w:r>
      <w:r>
        <w:rPr>
          <w:rFonts w:ascii="仿宋" w:eastAsia="仿宋" w:hAnsi="仿宋" w:cs="仿宋"/>
          <w:spacing w:val="-30"/>
          <w:sz w:val="22"/>
          <w:szCs w:val="22"/>
        </w:rPr>
        <w:t xml:space="preserve"> </w:t>
      </w:r>
      <w:r>
        <w:rPr>
          <w:rFonts w:ascii="仿宋" w:eastAsia="仿宋" w:hAnsi="仿宋" w:cs="仿宋"/>
          <w:spacing w:val="7"/>
          <w:sz w:val="22"/>
          <w:szCs w:val="22"/>
        </w:rPr>
        <w:t>谷胱甘肽</w:t>
      </w:r>
    </w:p>
    <w:p w:rsidR="00EA40A3" w:rsidRDefault="00E86C16">
      <w:pPr>
        <w:spacing w:before="191" w:line="245" w:lineRule="auto"/>
        <w:ind w:right="100" w:firstLine="430"/>
        <w:jc w:val="both"/>
        <w:rPr>
          <w:rFonts w:ascii="宋体" w:eastAsia="宋体" w:hAnsi="宋体" w:cs="宋体"/>
          <w:sz w:val="22"/>
          <w:szCs w:val="22"/>
        </w:rPr>
      </w:pPr>
      <w:r>
        <w:rPr>
          <w:rFonts w:ascii="宋体" w:eastAsia="宋体" w:hAnsi="宋体" w:cs="宋体"/>
          <w:spacing w:val="-8"/>
          <w:sz w:val="22"/>
          <w:szCs w:val="22"/>
        </w:rPr>
        <w:t>谷胱甘肽</w:t>
      </w:r>
      <w:r>
        <w:rPr>
          <w:rFonts w:ascii="宋体" w:eastAsia="宋体" w:hAnsi="宋体" w:cs="宋体"/>
          <w:spacing w:val="-41"/>
          <w:sz w:val="22"/>
          <w:szCs w:val="22"/>
        </w:rPr>
        <w:t xml:space="preserve"> </w:t>
      </w:r>
      <w:r>
        <w:rPr>
          <w:rFonts w:ascii="宋体" w:eastAsia="宋体" w:hAnsi="宋体" w:cs="宋体"/>
          <w:spacing w:val="-8"/>
          <w:sz w:val="22"/>
          <w:szCs w:val="22"/>
        </w:rPr>
        <w:t>(glutathione,GSH)</w:t>
      </w:r>
      <w:r>
        <w:rPr>
          <w:rFonts w:ascii="宋体" w:eastAsia="宋体" w:hAnsi="宋体" w:cs="宋体"/>
          <w:spacing w:val="28"/>
          <w:sz w:val="22"/>
          <w:szCs w:val="22"/>
        </w:rPr>
        <w:t xml:space="preserve"> </w:t>
      </w:r>
      <w:r>
        <w:rPr>
          <w:rFonts w:ascii="宋体" w:eastAsia="宋体" w:hAnsi="宋体" w:cs="宋体"/>
          <w:spacing w:val="-8"/>
          <w:sz w:val="22"/>
          <w:szCs w:val="22"/>
        </w:rPr>
        <w:t>是由谷氨酸、半胱氨酸和甘氨酸通过肽键连</w:t>
      </w:r>
      <w:r>
        <w:rPr>
          <w:rFonts w:ascii="宋体" w:eastAsia="宋体" w:hAnsi="宋体" w:cs="宋体"/>
          <w:sz w:val="22"/>
          <w:szCs w:val="22"/>
        </w:rPr>
        <w:t xml:space="preserve"> </w:t>
      </w:r>
      <w:r>
        <w:rPr>
          <w:rFonts w:ascii="宋体" w:eastAsia="宋体" w:hAnsi="宋体" w:cs="宋体"/>
          <w:spacing w:val="-14"/>
          <w:sz w:val="22"/>
          <w:szCs w:val="22"/>
        </w:rPr>
        <w:t>接而成的三肽，化学名称为γ-L-谷氨酸-L-半胱</w:t>
      </w:r>
      <w:r>
        <w:rPr>
          <w:rFonts w:ascii="宋体" w:eastAsia="宋体" w:hAnsi="宋体" w:cs="宋体"/>
          <w:spacing w:val="-15"/>
          <w:sz w:val="22"/>
          <w:szCs w:val="22"/>
        </w:rPr>
        <w:t>氨酰-甘氨酸。谷胱甘肽分子中含</w:t>
      </w:r>
      <w:r>
        <w:rPr>
          <w:rFonts w:ascii="宋体" w:eastAsia="宋体" w:hAnsi="宋体" w:cs="宋体"/>
          <w:sz w:val="22"/>
          <w:szCs w:val="22"/>
        </w:rPr>
        <w:t xml:space="preserve"> </w:t>
      </w:r>
      <w:r>
        <w:rPr>
          <w:rFonts w:ascii="宋体" w:eastAsia="宋体" w:hAnsi="宋体" w:cs="宋体"/>
          <w:spacing w:val="-10"/>
          <w:sz w:val="22"/>
          <w:szCs w:val="22"/>
        </w:rPr>
        <w:t>有一个活泼的巯基(一SH),</w:t>
      </w:r>
      <w:r>
        <w:rPr>
          <w:rFonts w:ascii="宋体" w:eastAsia="宋体" w:hAnsi="宋体" w:cs="宋体"/>
          <w:spacing w:val="61"/>
          <w:sz w:val="22"/>
          <w:szCs w:val="22"/>
        </w:rPr>
        <w:t xml:space="preserve"> </w:t>
      </w:r>
      <w:r>
        <w:rPr>
          <w:rFonts w:ascii="宋体" w:eastAsia="宋体" w:hAnsi="宋体" w:cs="宋体"/>
          <w:spacing w:val="-10"/>
          <w:sz w:val="22"/>
          <w:szCs w:val="22"/>
        </w:rPr>
        <w:t>易被脱氢氧化转变为氧化型谷胱甘肽</w:t>
      </w:r>
      <w:r>
        <w:rPr>
          <w:rFonts w:ascii="宋体" w:eastAsia="宋体" w:hAnsi="宋体" w:cs="宋体"/>
          <w:spacing w:val="-12"/>
          <w:sz w:val="22"/>
          <w:szCs w:val="22"/>
        </w:rPr>
        <w:t xml:space="preserve"> </w:t>
      </w:r>
      <w:r>
        <w:rPr>
          <w:rFonts w:ascii="宋体" w:eastAsia="宋体" w:hAnsi="宋体" w:cs="宋体"/>
          <w:spacing w:val="-10"/>
          <w:sz w:val="22"/>
          <w:szCs w:val="22"/>
        </w:rPr>
        <w:t>(GSSG)。</w:t>
      </w:r>
      <w:r>
        <w:rPr>
          <w:rFonts w:ascii="宋体" w:eastAsia="宋体" w:hAnsi="宋体" w:cs="宋体"/>
          <w:spacing w:val="92"/>
          <w:sz w:val="22"/>
          <w:szCs w:val="22"/>
        </w:rPr>
        <w:t xml:space="preserve"> </w:t>
      </w:r>
      <w:r>
        <w:rPr>
          <w:rFonts w:ascii="宋体" w:eastAsia="宋体" w:hAnsi="宋体" w:cs="宋体"/>
          <w:spacing w:val="-10"/>
          <w:sz w:val="22"/>
          <w:szCs w:val="22"/>
        </w:rPr>
        <w:t>在</w:t>
      </w:r>
      <w:r>
        <w:rPr>
          <w:rFonts w:ascii="宋体" w:eastAsia="宋体" w:hAnsi="宋体" w:cs="宋体"/>
          <w:sz w:val="22"/>
          <w:szCs w:val="22"/>
        </w:rPr>
        <w:t xml:space="preserve"> </w:t>
      </w:r>
      <w:r>
        <w:rPr>
          <w:rFonts w:ascii="宋体" w:eastAsia="宋体" w:hAnsi="宋体" w:cs="宋体"/>
          <w:spacing w:val="-15"/>
          <w:sz w:val="22"/>
          <w:szCs w:val="22"/>
        </w:rPr>
        <w:t>生物体中起重要生理功能的是还原型谷胱甘肽。</w:t>
      </w:r>
    </w:p>
    <w:p w:rsidR="00EA40A3" w:rsidRDefault="00E86C16">
      <w:pPr>
        <w:spacing w:before="42" w:line="315" w:lineRule="exact"/>
        <w:rPr>
          <w:rFonts w:ascii="楷体" w:eastAsia="楷体" w:hAnsi="楷体" w:cs="楷体"/>
          <w:sz w:val="22"/>
          <w:szCs w:val="22"/>
        </w:rPr>
      </w:pPr>
      <w:r>
        <w:rPr>
          <w:rFonts w:ascii="楷体" w:eastAsia="楷体" w:hAnsi="楷体" w:cs="楷体"/>
          <w:spacing w:val="-2"/>
          <w:position w:val="6"/>
          <w:sz w:val="22"/>
          <w:szCs w:val="22"/>
        </w:rPr>
        <w:t>1)谷胱甘肽的生理功能</w:t>
      </w:r>
    </w:p>
    <w:p w:rsidR="00EA40A3" w:rsidRDefault="00E86C16">
      <w:pPr>
        <w:spacing w:before="1" w:line="219" w:lineRule="auto"/>
        <w:ind w:left="430"/>
        <w:rPr>
          <w:rFonts w:ascii="宋体" w:eastAsia="宋体" w:hAnsi="宋体" w:cs="宋体"/>
          <w:sz w:val="22"/>
          <w:szCs w:val="22"/>
        </w:rPr>
      </w:pPr>
      <w:r>
        <w:rPr>
          <w:rFonts w:ascii="宋体" w:eastAsia="宋体" w:hAnsi="宋体" w:cs="宋体"/>
          <w:spacing w:val="-15"/>
          <w:sz w:val="22"/>
          <w:szCs w:val="22"/>
        </w:rPr>
        <w:t>a.</w:t>
      </w:r>
      <w:r>
        <w:rPr>
          <w:rFonts w:ascii="宋体" w:eastAsia="宋体" w:hAnsi="宋体" w:cs="宋体"/>
          <w:spacing w:val="-46"/>
          <w:sz w:val="22"/>
          <w:szCs w:val="22"/>
        </w:rPr>
        <w:t xml:space="preserve"> </w:t>
      </w:r>
      <w:r>
        <w:rPr>
          <w:rFonts w:ascii="宋体" w:eastAsia="宋体" w:hAnsi="宋体" w:cs="宋体"/>
          <w:spacing w:val="-15"/>
          <w:sz w:val="22"/>
          <w:szCs w:val="22"/>
        </w:rPr>
        <w:t>清除自由基</w:t>
      </w:r>
    </w:p>
    <w:p w:rsidR="00EA40A3" w:rsidRDefault="00E86C16">
      <w:pPr>
        <w:spacing w:before="66" w:line="236" w:lineRule="auto"/>
        <w:ind w:right="79" w:firstLine="430"/>
        <w:rPr>
          <w:rFonts w:ascii="宋体" w:eastAsia="宋体" w:hAnsi="宋体" w:cs="宋体"/>
          <w:sz w:val="22"/>
          <w:szCs w:val="22"/>
        </w:rPr>
      </w:pPr>
      <w:r>
        <w:rPr>
          <w:rFonts w:ascii="宋体" w:eastAsia="宋体" w:hAnsi="宋体" w:cs="宋体"/>
          <w:spacing w:val="-4"/>
          <w:sz w:val="22"/>
          <w:szCs w:val="22"/>
        </w:rPr>
        <w:t>GSH</w:t>
      </w:r>
      <w:r>
        <w:rPr>
          <w:rFonts w:ascii="宋体" w:eastAsia="宋体" w:hAnsi="宋体" w:cs="宋体"/>
          <w:spacing w:val="81"/>
          <w:sz w:val="22"/>
          <w:szCs w:val="22"/>
        </w:rPr>
        <w:t xml:space="preserve"> </w:t>
      </w:r>
      <w:r>
        <w:rPr>
          <w:rFonts w:ascii="宋体" w:eastAsia="宋体" w:hAnsi="宋体" w:cs="宋体"/>
          <w:spacing w:val="-4"/>
          <w:sz w:val="22"/>
          <w:szCs w:val="22"/>
        </w:rPr>
        <w:t>含活泼的巯基一SH,</w:t>
      </w:r>
      <w:r>
        <w:rPr>
          <w:rFonts w:ascii="宋体" w:eastAsia="宋体" w:hAnsi="宋体" w:cs="宋体"/>
          <w:spacing w:val="70"/>
          <w:sz w:val="22"/>
          <w:szCs w:val="22"/>
        </w:rPr>
        <w:t xml:space="preserve"> </w:t>
      </w:r>
      <w:r>
        <w:rPr>
          <w:rFonts w:ascii="宋体" w:eastAsia="宋体" w:hAnsi="宋体" w:cs="宋体"/>
          <w:spacing w:val="-4"/>
          <w:sz w:val="22"/>
          <w:szCs w:val="22"/>
        </w:rPr>
        <w:t>能将人体细胞新陈代谢生成的过氧化氢还原成</w:t>
      </w:r>
      <w:r>
        <w:rPr>
          <w:rFonts w:ascii="宋体" w:eastAsia="宋体" w:hAnsi="宋体" w:cs="宋体"/>
          <w:sz w:val="22"/>
          <w:szCs w:val="22"/>
        </w:rPr>
        <w:t xml:space="preserve"> </w:t>
      </w:r>
      <w:r>
        <w:rPr>
          <w:rFonts w:ascii="宋体" w:eastAsia="宋体" w:hAnsi="宋体" w:cs="宋体"/>
          <w:spacing w:val="-13"/>
          <w:sz w:val="22"/>
          <w:szCs w:val="22"/>
        </w:rPr>
        <w:t>水，清除人体内的自由基，还能改善皮肤的抗氧化能力，</w:t>
      </w:r>
      <w:r>
        <w:rPr>
          <w:rFonts w:ascii="宋体" w:eastAsia="宋体" w:hAnsi="宋体" w:cs="宋体"/>
          <w:spacing w:val="-14"/>
          <w:sz w:val="22"/>
          <w:szCs w:val="22"/>
        </w:rPr>
        <w:t>使皮肤产生光泽。</w:t>
      </w:r>
    </w:p>
    <w:p w:rsidR="00EA40A3" w:rsidRDefault="00E86C16">
      <w:pPr>
        <w:spacing w:before="30" w:line="219" w:lineRule="auto"/>
        <w:ind w:left="430"/>
        <w:rPr>
          <w:rFonts w:ascii="宋体" w:eastAsia="宋体" w:hAnsi="宋体" w:cs="宋体"/>
          <w:sz w:val="22"/>
          <w:szCs w:val="22"/>
        </w:rPr>
      </w:pPr>
      <w:r>
        <w:rPr>
          <w:rFonts w:ascii="宋体" w:eastAsia="宋体" w:hAnsi="宋体" w:cs="宋体"/>
          <w:spacing w:val="2"/>
          <w:sz w:val="22"/>
          <w:szCs w:val="22"/>
        </w:rPr>
        <w:t>b.解毒作用</w:t>
      </w:r>
    </w:p>
    <w:p w:rsidR="00EA40A3" w:rsidRDefault="00E86C16">
      <w:pPr>
        <w:spacing w:before="58" w:line="238" w:lineRule="auto"/>
        <w:ind w:right="80" w:firstLine="430"/>
        <w:rPr>
          <w:rFonts w:ascii="宋体" w:eastAsia="宋体" w:hAnsi="宋体" w:cs="宋体"/>
          <w:sz w:val="22"/>
          <w:szCs w:val="22"/>
        </w:rPr>
      </w:pPr>
      <w:r>
        <w:rPr>
          <w:rFonts w:ascii="宋体" w:eastAsia="宋体" w:hAnsi="宋体" w:cs="宋体"/>
          <w:spacing w:val="-6"/>
          <w:sz w:val="22"/>
          <w:szCs w:val="22"/>
        </w:rPr>
        <w:t>谷胱甘肽有广谱的解毒作用，能与进入机体的有毒化</w:t>
      </w:r>
      <w:r>
        <w:rPr>
          <w:rFonts w:ascii="宋体" w:eastAsia="宋体" w:hAnsi="宋体" w:cs="宋体"/>
          <w:spacing w:val="-7"/>
          <w:sz w:val="22"/>
          <w:szCs w:val="22"/>
        </w:rPr>
        <w:t>合物如丙烯腈、氟化</w:t>
      </w:r>
      <w:r>
        <w:rPr>
          <w:rFonts w:ascii="宋体" w:eastAsia="宋体" w:hAnsi="宋体" w:cs="宋体"/>
          <w:sz w:val="22"/>
          <w:szCs w:val="22"/>
        </w:rPr>
        <w:t xml:space="preserve"> </w:t>
      </w:r>
      <w:r>
        <w:rPr>
          <w:rFonts w:ascii="宋体" w:eastAsia="宋体" w:hAnsi="宋体" w:cs="宋体"/>
          <w:spacing w:val="-15"/>
          <w:sz w:val="22"/>
          <w:szCs w:val="22"/>
        </w:rPr>
        <w:t>物、</w:t>
      </w:r>
      <w:r>
        <w:rPr>
          <w:rFonts w:ascii="宋体" w:eastAsia="宋体" w:hAnsi="宋体" w:cs="宋体"/>
          <w:spacing w:val="-38"/>
          <w:sz w:val="22"/>
          <w:szCs w:val="22"/>
        </w:rPr>
        <w:t xml:space="preserve"> </w:t>
      </w:r>
      <w:r>
        <w:rPr>
          <w:rFonts w:ascii="宋体" w:eastAsia="宋体" w:hAnsi="宋体" w:cs="宋体"/>
          <w:spacing w:val="-15"/>
          <w:sz w:val="22"/>
          <w:szCs w:val="22"/>
        </w:rPr>
        <w:t>一氧化碳、重金属离子或致癌物质等相结合，并促其排出体外，可用于上述</w:t>
      </w:r>
      <w:r>
        <w:rPr>
          <w:rFonts w:ascii="宋体" w:eastAsia="宋体" w:hAnsi="宋体" w:cs="宋体"/>
          <w:sz w:val="22"/>
          <w:szCs w:val="22"/>
        </w:rPr>
        <w:t xml:space="preserve"> </w:t>
      </w:r>
      <w:r>
        <w:rPr>
          <w:rFonts w:ascii="宋体" w:eastAsia="宋体" w:hAnsi="宋体" w:cs="宋体"/>
          <w:spacing w:val="-13"/>
          <w:sz w:val="22"/>
          <w:szCs w:val="22"/>
        </w:rPr>
        <w:t>物质中毒的治疗。另外，谷胱甘肽对放射线、抗肿瘤药物所引起的白细胞减少症</w:t>
      </w:r>
      <w:r>
        <w:rPr>
          <w:rFonts w:ascii="宋体" w:eastAsia="宋体" w:hAnsi="宋体" w:cs="宋体"/>
          <w:spacing w:val="4"/>
          <w:sz w:val="22"/>
          <w:szCs w:val="22"/>
        </w:rPr>
        <w:t xml:space="preserve"> </w:t>
      </w:r>
      <w:r>
        <w:rPr>
          <w:rFonts w:ascii="宋体" w:eastAsia="宋体" w:hAnsi="宋体" w:cs="宋体"/>
          <w:spacing w:val="-17"/>
          <w:sz w:val="22"/>
          <w:szCs w:val="22"/>
        </w:rPr>
        <w:t>有恢复保护作用。</w:t>
      </w:r>
    </w:p>
    <w:p w:rsidR="00EA40A3" w:rsidRDefault="00E86C16">
      <w:pPr>
        <w:spacing w:before="74"/>
        <w:rPr>
          <w:rFonts w:ascii="宋体" w:eastAsia="宋体" w:hAnsi="宋体" w:cs="宋体"/>
          <w:sz w:val="19"/>
          <w:szCs w:val="19"/>
        </w:rPr>
      </w:pPr>
      <w:r>
        <w:rPr>
          <w:rFonts w:ascii="宋体" w:eastAsia="宋体" w:hAnsi="宋体" w:cs="宋体"/>
          <w:spacing w:val="-37"/>
          <w:sz w:val="19"/>
          <w:szCs w:val="19"/>
        </w:rPr>
        <w:t>·</w:t>
      </w:r>
      <w:r>
        <w:rPr>
          <w:rFonts w:ascii="宋体" w:eastAsia="宋体" w:hAnsi="宋体" w:cs="宋体"/>
          <w:spacing w:val="-8"/>
          <w:sz w:val="19"/>
          <w:szCs w:val="19"/>
        </w:rPr>
        <w:t xml:space="preserve"> </w:t>
      </w:r>
      <w:r>
        <w:rPr>
          <w:rFonts w:ascii="宋体" w:eastAsia="宋体" w:hAnsi="宋体" w:cs="宋体"/>
          <w:spacing w:val="-37"/>
          <w:sz w:val="19"/>
          <w:szCs w:val="19"/>
        </w:rPr>
        <w:t>74</w:t>
      </w:r>
      <w:r>
        <w:rPr>
          <w:rFonts w:ascii="宋体" w:eastAsia="宋体" w:hAnsi="宋体" w:cs="宋体"/>
          <w:spacing w:val="39"/>
          <w:sz w:val="19"/>
          <w:szCs w:val="19"/>
        </w:rPr>
        <w:t xml:space="preserve"> </w:t>
      </w:r>
      <w:r>
        <w:rPr>
          <w:rFonts w:ascii="宋体" w:eastAsia="宋体" w:hAnsi="宋体" w:cs="宋体"/>
          <w:spacing w:val="-37"/>
          <w:sz w:val="19"/>
          <w:szCs w:val="19"/>
        </w:rPr>
        <w:t>·</w:t>
      </w:r>
    </w:p>
    <w:p w:rsidR="00EA40A3" w:rsidRDefault="00EA40A3">
      <w:pPr>
        <w:sectPr w:rsidR="00EA40A3">
          <w:pgSz w:w="9220" w:h="13360"/>
          <w:pgMar w:top="400" w:right="1070" w:bottom="400" w:left="800" w:header="0" w:footer="0" w:gutter="0"/>
          <w:cols w:space="720"/>
        </w:sectPr>
      </w:pPr>
    </w:p>
    <w:p w:rsidR="00EA40A3" w:rsidRDefault="00EA40A3">
      <w:pPr>
        <w:spacing w:line="272" w:lineRule="auto"/>
      </w:pPr>
    </w:p>
    <w:p w:rsidR="00EA40A3" w:rsidRDefault="00EA40A3">
      <w:pPr>
        <w:spacing w:line="272" w:lineRule="auto"/>
      </w:pPr>
    </w:p>
    <w:p w:rsidR="00EA40A3" w:rsidRDefault="00E86C16">
      <w:pPr>
        <w:spacing w:before="71" w:line="219" w:lineRule="auto"/>
        <w:ind w:left="400"/>
        <w:rPr>
          <w:rFonts w:ascii="宋体" w:eastAsia="宋体" w:hAnsi="宋体" w:cs="宋体"/>
          <w:sz w:val="22"/>
          <w:szCs w:val="22"/>
        </w:rPr>
      </w:pPr>
      <w:r>
        <w:rPr>
          <w:rFonts w:ascii="宋体" w:eastAsia="宋体" w:hAnsi="宋体" w:cs="宋体"/>
          <w:spacing w:val="-6"/>
          <w:sz w:val="22"/>
          <w:szCs w:val="22"/>
        </w:rPr>
        <w:t>c.保护巯基酶</w:t>
      </w:r>
    </w:p>
    <w:p w:rsidR="00EA40A3" w:rsidRDefault="00E86C16">
      <w:pPr>
        <w:spacing w:before="36" w:line="245" w:lineRule="auto"/>
        <w:ind w:firstLine="400"/>
        <w:rPr>
          <w:rFonts w:ascii="楷体" w:eastAsia="楷体" w:hAnsi="楷体" w:cs="楷体"/>
          <w:sz w:val="22"/>
          <w:szCs w:val="22"/>
        </w:rPr>
      </w:pPr>
      <w:r>
        <w:rPr>
          <w:rFonts w:ascii="宋体" w:eastAsia="宋体" w:hAnsi="宋体" w:cs="宋体"/>
          <w:spacing w:val="-7"/>
          <w:sz w:val="22"/>
          <w:szCs w:val="22"/>
        </w:rPr>
        <w:t>GSH</w:t>
      </w:r>
      <w:r>
        <w:rPr>
          <w:rFonts w:ascii="宋体" w:eastAsia="宋体" w:hAnsi="宋体" w:cs="宋体"/>
          <w:spacing w:val="75"/>
          <w:sz w:val="22"/>
          <w:szCs w:val="22"/>
        </w:rPr>
        <w:t xml:space="preserve"> </w:t>
      </w:r>
      <w:r>
        <w:rPr>
          <w:rFonts w:ascii="宋体" w:eastAsia="宋体" w:hAnsi="宋体" w:cs="宋体"/>
          <w:spacing w:val="-7"/>
          <w:sz w:val="22"/>
          <w:szCs w:val="22"/>
        </w:rPr>
        <w:t>还能保护含巯基的酶分子活性的发挥，并</w:t>
      </w:r>
      <w:r>
        <w:rPr>
          <w:rFonts w:ascii="宋体" w:eastAsia="宋体" w:hAnsi="宋体" w:cs="宋体"/>
          <w:spacing w:val="-8"/>
          <w:sz w:val="22"/>
          <w:szCs w:val="22"/>
        </w:rPr>
        <w:t>能恢复已被破坏的酶分子中</w:t>
      </w:r>
      <w:r>
        <w:rPr>
          <w:rFonts w:ascii="宋体" w:eastAsia="宋体" w:hAnsi="宋体" w:cs="宋体"/>
          <w:sz w:val="22"/>
          <w:szCs w:val="22"/>
        </w:rPr>
        <w:t xml:space="preserve"> </w:t>
      </w:r>
      <w:r>
        <w:rPr>
          <w:rFonts w:ascii="宋体" w:eastAsia="宋体" w:hAnsi="宋体" w:cs="宋体"/>
          <w:spacing w:val="-13"/>
          <w:sz w:val="22"/>
          <w:szCs w:val="22"/>
        </w:rPr>
        <w:t>—SH</w:t>
      </w:r>
      <w:r>
        <w:rPr>
          <w:rFonts w:ascii="宋体" w:eastAsia="宋体" w:hAnsi="宋体" w:cs="宋体"/>
          <w:spacing w:val="-4"/>
          <w:sz w:val="22"/>
          <w:szCs w:val="22"/>
        </w:rPr>
        <w:t xml:space="preserve"> </w:t>
      </w:r>
      <w:r>
        <w:rPr>
          <w:rFonts w:ascii="宋体" w:eastAsia="宋体" w:hAnsi="宋体" w:cs="宋体"/>
          <w:spacing w:val="-13"/>
          <w:sz w:val="22"/>
          <w:szCs w:val="22"/>
        </w:rPr>
        <w:t>的活性功能，使酶复活。此外，</w:t>
      </w:r>
      <w:r>
        <w:rPr>
          <w:rFonts w:ascii="宋体" w:eastAsia="宋体" w:hAnsi="宋体" w:cs="宋体"/>
          <w:spacing w:val="-50"/>
          <w:sz w:val="22"/>
          <w:szCs w:val="22"/>
        </w:rPr>
        <w:t xml:space="preserve"> </w:t>
      </w:r>
      <w:r>
        <w:rPr>
          <w:rFonts w:ascii="宋体" w:eastAsia="宋体" w:hAnsi="宋体" w:cs="宋体"/>
          <w:spacing w:val="-13"/>
          <w:sz w:val="22"/>
          <w:szCs w:val="22"/>
        </w:rPr>
        <w:t>GSH</w:t>
      </w:r>
      <w:r>
        <w:rPr>
          <w:rFonts w:ascii="宋体" w:eastAsia="宋体" w:hAnsi="宋体" w:cs="宋体"/>
          <w:spacing w:val="66"/>
          <w:sz w:val="22"/>
          <w:szCs w:val="22"/>
        </w:rPr>
        <w:t xml:space="preserve"> </w:t>
      </w:r>
      <w:r>
        <w:rPr>
          <w:rFonts w:ascii="宋体" w:eastAsia="宋体" w:hAnsi="宋体" w:cs="宋体"/>
          <w:spacing w:val="-13"/>
          <w:sz w:val="22"/>
          <w:szCs w:val="22"/>
        </w:rPr>
        <w:t>还可抑制乙醇侵袭肝脏产</w:t>
      </w:r>
      <w:r>
        <w:rPr>
          <w:rFonts w:ascii="宋体" w:eastAsia="宋体" w:hAnsi="宋体" w:cs="宋体"/>
          <w:spacing w:val="-14"/>
          <w:sz w:val="22"/>
          <w:szCs w:val="22"/>
        </w:rPr>
        <w:t>生脂肪肝。</w:t>
      </w:r>
      <w:r>
        <w:rPr>
          <w:rFonts w:ascii="宋体" w:eastAsia="宋体" w:hAnsi="宋体" w:cs="宋体"/>
          <w:sz w:val="22"/>
          <w:szCs w:val="22"/>
        </w:rPr>
        <w:t xml:space="preserve"> </w:t>
      </w:r>
      <w:r>
        <w:rPr>
          <w:rFonts w:ascii="楷体" w:eastAsia="楷体" w:hAnsi="楷体" w:cs="楷体"/>
          <w:spacing w:val="-4"/>
          <w:sz w:val="22"/>
          <w:szCs w:val="22"/>
        </w:rPr>
        <w:t>2)谷胱甘肽的食物来源</w:t>
      </w:r>
    </w:p>
    <w:p w:rsidR="00EA40A3" w:rsidRDefault="00E86C16">
      <w:pPr>
        <w:spacing w:before="44" w:line="244" w:lineRule="auto"/>
        <w:ind w:right="32" w:firstLine="400"/>
        <w:rPr>
          <w:rFonts w:ascii="宋体" w:eastAsia="宋体" w:hAnsi="宋体" w:cs="宋体"/>
          <w:sz w:val="22"/>
          <w:szCs w:val="22"/>
        </w:rPr>
      </w:pPr>
      <w:r>
        <w:rPr>
          <w:rFonts w:ascii="宋体" w:eastAsia="宋体" w:hAnsi="宋体" w:cs="宋体"/>
          <w:spacing w:val="-13"/>
          <w:sz w:val="22"/>
          <w:szCs w:val="22"/>
        </w:rPr>
        <w:t>谷胱甘肽广泛存在于动植物中，在面包酵母、</w:t>
      </w:r>
      <w:r>
        <w:rPr>
          <w:rFonts w:ascii="宋体" w:eastAsia="宋体" w:hAnsi="宋体" w:cs="宋体"/>
          <w:spacing w:val="-14"/>
          <w:sz w:val="22"/>
          <w:szCs w:val="22"/>
        </w:rPr>
        <w:t>小麦胚芽和动物肝脏中的含量</w:t>
      </w:r>
      <w:r>
        <w:rPr>
          <w:rFonts w:ascii="宋体" w:eastAsia="宋体" w:hAnsi="宋体" w:cs="宋体"/>
          <w:sz w:val="22"/>
          <w:szCs w:val="22"/>
        </w:rPr>
        <w:t xml:space="preserve"> </w:t>
      </w:r>
      <w:r>
        <w:rPr>
          <w:rFonts w:ascii="宋体" w:eastAsia="宋体" w:hAnsi="宋体" w:cs="宋体"/>
          <w:spacing w:val="4"/>
          <w:sz w:val="22"/>
          <w:szCs w:val="22"/>
        </w:rPr>
        <w:t>较高，达(100～1000)</w:t>
      </w:r>
      <w:r>
        <w:rPr>
          <w:rFonts w:ascii="宋体" w:eastAsia="宋体" w:hAnsi="宋体" w:cs="宋体"/>
          <w:sz w:val="22"/>
          <w:szCs w:val="22"/>
        </w:rPr>
        <w:t>mg</w:t>
      </w:r>
      <w:r>
        <w:rPr>
          <w:rFonts w:ascii="宋体" w:eastAsia="宋体" w:hAnsi="宋体" w:cs="宋体"/>
          <w:spacing w:val="4"/>
          <w:sz w:val="22"/>
          <w:szCs w:val="22"/>
        </w:rPr>
        <w:t>/100g;</w:t>
      </w:r>
      <w:r>
        <w:rPr>
          <w:rFonts w:ascii="宋体" w:eastAsia="宋体" w:hAnsi="宋体" w:cs="宋体"/>
          <w:spacing w:val="47"/>
          <w:sz w:val="22"/>
          <w:szCs w:val="22"/>
        </w:rPr>
        <w:t xml:space="preserve"> </w:t>
      </w:r>
      <w:r>
        <w:rPr>
          <w:rFonts w:ascii="宋体" w:eastAsia="宋体" w:hAnsi="宋体" w:cs="宋体"/>
          <w:spacing w:val="4"/>
          <w:sz w:val="22"/>
          <w:szCs w:val="22"/>
        </w:rPr>
        <w:t>在动物血液中含量也较丰富，如鸡血中含</w:t>
      </w:r>
      <w:r>
        <w:rPr>
          <w:rFonts w:ascii="宋体" w:eastAsia="宋体" w:hAnsi="宋体" w:cs="宋体"/>
          <w:sz w:val="22"/>
          <w:szCs w:val="22"/>
        </w:rPr>
        <w:t xml:space="preserve"> </w:t>
      </w:r>
      <w:r>
        <w:rPr>
          <w:rFonts w:ascii="宋体" w:eastAsia="宋体" w:hAnsi="宋体" w:cs="宋体"/>
          <w:spacing w:val="-4"/>
          <w:sz w:val="22"/>
          <w:szCs w:val="22"/>
        </w:rPr>
        <w:t>(58～73)mg/100g、</w:t>
      </w:r>
      <w:r>
        <w:rPr>
          <w:rFonts w:ascii="宋体" w:eastAsia="宋体" w:hAnsi="宋体" w:cs="宋体"/>
          <w:spacing w:val="3"/>
          <w:sz w:val="22"/>
          <w:szCs w:val="22"/>
        </w:rPr>
        <w:t xml:space="preserve"> </w:t>
      </w:r>
      <w:r>
        <w:rPr>
          <w:rFonts w:ascii="宋体" w:eastAsia="宋体" w:hAnsi="宋体" w:cs="宋体"/>
          <w:spacing w:val="-4"/>
          <w:sz w:val="22"/>
          <w:szCs w:val="22"/>
        </w:rPr>
        <w:t>猪血中含(10～15)mg/100g;</w:t>
      </w:r>
      <w:r>
        <w:rPr>
          <w:rFonts w:ascii="宋体" w:eastAsia="宋体" w:hAnsi="宋体" w:cs="宋体"/>
          <w:spacing w:val="32"/>
          <w:sz w:val="22"/>
          <w:szCs w:val="22"/>
        </w:rPr>
        <w:t xml:space="preserve"> </w:t>
      </w:r>
      <w:r>
        <w:rPr>
          <w:rFonts w:ascii="宋体" w:eastAsia="宋体" w:hAnsi="宋体" w:cs="宋体"/>
          <w:spacing w:val="-4"/>
          <w:sz w:val="22"/>
          <w:szCs w:val="22"/>
        </w:rPr>
        <w:t>许多蔬菜、薯类和谷物中也</w:t>
      </w:r>
      <w:r>
        <w:rPr>
          <w:rFonts w:ascii="宋体" w:eastAsia="宋体" w:hAnsi="宋体" w:cs="宋体"/>
          <w:sz w:val="22"/>
          <w:szCs w:val="22"/>
        </w:rPr>
        <w:t xml:space="preserve"> </w:t>
      </w:r>
      <w:r>
        <w:rPr>
          <w:rFonts w:ascii="宋体" w:eastAsia="宋体" w:hAnsi="宋体" w:cs="宋体"/>
          <w:spacing w:val="-15"/>
          <w:sz w:val="22"/>
          <w:szCs w:val="22"/>
        </w:rPr>
        <w:t>含有谷胱甘肽，如菠菜、黄瓜、茄子、大豆等。</w:t>
      </w:r>
    </w:p>
    <w:p w:rsidR="00EA40A3" w:rsidRDefault="00E86C16">
      <w:pPr>
        <w:spacing w:before="203" w:line="221" w:lineRule="auto"/>
        <w:ind w:left="3"/>
        <w:outlineLvl w:val="6"/>
        <w:rPr>
          <w:rFonts w:ascii="黑体" w:eastAsia="黑体" w:hAnsi="黑体" w:cs="黑体"/>
          <w:sz w:val="22"/>
          <w:szCs w:val="22"/>
        </w:rPr>
      </w:pPr>
      <w:r>
        <w:rPr>
          <w:rFonts w:ascii="黑体" w:eastAsia="黑体" w:hAnsi="黑体" w:cs="黑体"/>
          <w:b/>
          <w:bCs/>
          <w:spacing w:val="7"/>
          <w:sz w:val="22"/>
          <w:szCs w:val="22"/>
        </w:rPr>
        <w:t>3.4.6</w:t>
      </w:r>
      <w:r>
        <w:rPr>
          <w:rFonts w:ascii="黑体" w:eastAsia="黑体" w:hAnsi="黑体" w:cs="黑体"/>
          <w:spacing w:val="35"/>
          <w:sz w:val="22"/>
          <w:szCs w:val="22"/>
        </w:rPr>
        <w:t xml:space="preserve">  </w:t>
      </w:r>
      <w:r>
        <w:rPr>
          <w:rFonts w:ascii="黑体" w:eastAsia="黑体" w:hAnsi="黑体" w:cs="黑体"/>
          <w:b/>
          <w:bCs/>
          <w:spacing w:val="7"/>
          <w:sz w:val="22"/>
          <w:szCs w:val="22"/>
        </w:rPr>
        <w:t>蛋白质营养价值的评价</w:t>
      </w:r>
    </w:p>
    <w:p w:rsidR="00EA40A3" w:rsidRDefault="00E86C16">
      <w:pPr>
        <w:spacing w:before="201" w:line="246" w:lineRule="auto"/>
        <w:ind w:right="6" w:firstLine="400"/>
        <w:jc w:val="both"/>
        <w:rPr>
          <w:rFonts w:ascii="宋体" w:eastAsia="宋体" w:hAnsi="宋体" w:cs="宋体"/>
          <w:sz w:val="22"/>
          <w:szCs w:val="22"/>
        </w:rPr>
      </w:pPr>
      <w:r>
        <w:rPr>
          <w:rFonts w:ascii="宋体" w:eastAsia="宋体" w:hAnsi="宋体" w:cs="宋体"/>
          <w:spacing w:val="-13"/>
          <w:sz w:val="22"/>
          <w:szCs w:val="22"/>
        </w:rPr>
        <w:t>评价食物蛋白质的营养价值，对于食品品质的鉴定、新的食品资源的研究和</w:t>
      </w:r>
      <w:r>
        <w:rPr>
          <w:rFonts w:ascii="宋体" w:eastAsia="宋体" w:hAnsi="宋体" w:cs="宋体"/>
          <w:spacing w:val="15"/>
          <w:sz w:val="22"/>
          <w:szCs w:val="22"/>
        </w:rPr>
        <w:t xml:space="preserve"> </w:t>
      </w:r>
      <w:r>
        <w:rPr>
          <w:rFonts w:ascii="宋体" w:eastAsia="宋体" w:hAnsi="宋体" w:cs="宋体"/>
          <w:spacing w:val="-13"/>
          <w:sz w:val="22"/>
          <w:szCs w:val="22"/>
        </w:rPr>
        <w:t>开发、指导人群膳食等许多方面具有重要意义。各种食品的蛋白</w:t>
      </w:r>
      <w:r>
        <w:rPr>
          <w:rFonts w:ascii="宋体" w:eastAsia="宋体" w:hAnsi="宋体" w:cs="宋体"/>
          <w:spacing w:val="-14"/>
          <w:sz w:val="22"/>
          <w:szCs w:val="22"/>
        </w:rPr>
        <w:t>质含量、氨基酸</w:t>
      </w:r>
      <w:r>
        <w:rPr>
          <w:rFonts w:ascii="宋体" w:eastAsia="宋体" w:hAnsi="宋体" w:cs="宋体"/>
          <w:sz w:val="22"/>
          <w:szCs w:val="22"/>
        </w:rPr>
        <w:t xml:space="preserve"> </w:t>
      </w:r>
      <w:r>
        <w:rPr>
          <w:rFonts w:ascii="宋体" w:eastAsia="宋体" w:hAnsi="宋体" w:cs="宋体"/>
          <w:spacing w:val="-13"/>
          <w:sz w:val="22"/>
          <w:szCs w:val="22"/>
        </w:rPr>
        <w:t>模式等都不一样，人体对不同蛋白质的消化、吸收和利用程度也</w:t>
      </w:r>
      <w:r>
        <w:rPr>
          <w:rFonts w:ascii="宋体" w:eastAsia="宋体" w:hAnsi="宋体" w:cs="宋体"/>
          <w:spacing w:val="-14"/>
          <w:sz w:val="22"/>
          <w:szCs w:val="22"/>
        </w:rPr>
        <w:t>存在差异。评价</w:t>
      </w:r>
      <w:r>
        <w:rPr>
          <w:rFonts w:ascii="宋体" w:eastAsia="宋体" w:hAnsi="宋体" w:cs="宋体"/>
          <w:sz w:val="22"/>
          <w:szCs w:val="22"/>
        </w:rPr>
        <w:t xml:space="preserve"> </w:t>
      </w:r>
      <w:r>
        <w:rPr>
          <w:rFonts w:ascii="宋体" w:eastAsia="宋体" w:hAnsi="宋体" w:cs="宋体"/>
          <w:spacing w:val="-13"/>
          <w:sz w:val="22"/>
          <w:szCs w:val="22"/>
        </w:rPr>
        <w:t>蛋白质质量的方法有很多种，但就某一种评价方法而言，只能以某一</w:t>
      </w:r>
      <w:r>
        <w:rPr>
          <w:rFonts w:ascii="宋体" w:eastAsia="宋体" w:hAnsi="宋体" w:cs="宋体"/>
          <w:spacing w:val="-14"/>
          <w:sz w:val="22"/>
          <w:szCs w:val="22"/>
        </w:rPr>
        <w:t>种现象作为</w:t>
      </w:r>
      <w:r>
        <w:rPr>
          <w:rFonts w:ascii="宋体" w:eastAsia="宋体" w:hAnsi="宋体" w:cs="宋体"/>
          <w:sz w:val="22"/>
          <w:szCs w:val="22"/>
        </w:rPr>
        <w:t xml:space="preserve"> </w:t>
      </w:r>
      <w:r>
        <w:rPr>
          <w:rFonts w:ascii="宋体" w:eastAsia="宋体" w:hAnsi="宋体" w:cs="宋体"/>
          <w:spacing w:val="-12"/>
          <w:sz w:val="22"/>
          <w:szCs w:val="22"/>
        </w:rPr>
        <w:t>观察评定指标，所以都有一定局限性。综合起来</w:t>
      </w:r>
      <w:r>
        <w:rPr>
          <w:rFonts w:ascii="宋体" w:eastAsia="宋体" w:hAnsi="宋体" w:cs="宋体"/>
          <w:spacing w:val="-13"/>
          <w:sz w:val="22"/>
          <w:szCs w:val="22"/>
        </w:rPr>
        <w:t>，营养学上主要从食物蛋白质的</w:t>
      </w:r>
      <w:r>
        <w:rPr>
          <w:rFonts w:ascii="宋体" w:eastAsia="宋体" w:hAnsi="宋体" w:cs="宋体"/>
          <w:sz w:val="22"/>
          <w:szCs w:val="22"/>
        </w:rPr>
        <w:t xml:space="preserve"> </w:t>
      </w:r>
      <w:r>
        <w:rPr>
          <w:rFonts w:ascii="宋体" w:eastAsia="宋体" w:hAnsi="宋体" w:cs="宋体"/>
          <w:spacing w:val="-11"/>
          <w:sz w:val="22"/>
          <w:szCs w:val="22"/>
        </w:rPr>
        <w:t>含量、消化吸收的程度和人体利用程度3方面全面地进行评价。</w:t>
      </w:r>
    </w:p>
    <w:p w:rsidR="00EA40A3" w:rsidRDefault="00E86C16">
      <w:pPr>
        <w:spacing w:before="218" w:line="221"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42"/>
          <w:sz w:val="22"/>
          <w:szCs w:val="22"/>
        </w:rPr>
        <w:t xml:space="preserve"> </w:t>
      </w:r>
      <w:r>
        <w:rPr>
          <w:rFonts w:ascii="仿宋" w:eastAsia="仿宋" w:hAnsi="仿宋" w:cs="仿宋"/>
          <w:spacing w:val="10"/>
          <w:sz w:val="22"/>
          <w:szCs w:val="22"/>
        </w:rPr>
        <w:t>食物蛋白质的含量</w:t>
      </w:r>
    </w:p>
    <w:p w:rsidR="00EA40A3" w:rsidRDefault="00E86C16">
      <w:pPr>
        <w:spacing w:before="187" w:line="238" w:lineRule="auto"/>
        <w:ind w:right="26" w:firstLine="400"/>
        <w:jc w:val="both"/>
        <w:rPr>
          <w:rFonts w:ascii="宋体" w:eastAsia="宋体" w:hAnsi="宋体" w:cs="宋体"/>
          <w:sz w:val="22"/>
          <w:szCs w:val="22"/>
        </w:rPr>
      </w:pPr>
      <w:r>
        <w:rPr>
          <w:rFonts w:ascii="宋体" w:eastAsia="宋体" w:hAnsi="宋体" w:cs="宋体"/>
          <w:spacing w:val="-13"/>
          <w:sz w:val="22"/>
          <w:szCs w:val="22"/>
        </w:rPr>
        <w:t>蛋白质含量是食物蛋白质营养价值的基础，如果没有一定的数量，再好的蛋</w:t>
      </w:r>
      <w:r>
        <w:rPr>
          <w:rFonts w:ascii="宋体" w:eastAsia="宋体" w:hAnsi="宋体" w:cs="宋体"/>
          <w:spacing w:val="7"/>
          <w:sz w:val="22"/>
          <w:szCs w:val="22"/>
        </w:rPr>
        <w:t xml:space="preserve"> </w:t>
      </w:r>
      <w:r>
        <w:rPr>
          <w:rFonts w:ascii="宋体" w:eastAsia="宋体" w:hAnsi="宋体" w:cs="宋体"/>
          <w:spacing w:val="-7"/>
          <w:sz w:val="22"/>
          <w:szCs w:val="22"/>
        </w:rPr>
        <w:t>白质其营养价值也是有限的。各种蛋白质含氮量比较接近，约占蛋白质质量的</w:t>
      </w:r>
      <w:r>
        <w:rPr>
          <w:rFonts w:ascii="宋体" w:eastAsia="宋体" w:hAnsi="宋体" w:cs="宋体"/>
          <w:spacing w:val="3"/>
          <w:sz w:val="22"/>
          <w:szCs w:val="22"/>
        </w:rPr>
        <w:t xml:space="preserve"> </w:t>
      </w:r>
      <w:r>
        <w:rPr>
          <w:rFonts w:ascii="宋体" w:eastAsia="宋体" w:hAnsi="宋体" w:cs="宋体"/>
          <w:spacing w:val="-1"/>
          <w:sz w:val="22"/>
          <w:szCs w:val="22"/>
        </w:rPr>
        <w:t>16%,食物蛋白质含量</w:t>
      </w:r>
      <w:r>
        <w:rPr>
          <w:rFonts w:ascii="宋体" w:eastAsia="宋体" w:hAnsi="宋体" w:cs="宋体"/>
          <w:sz w:val="22"/>
          <w:szCs w:val="22"/>
        </w:rPr>
        <w:t xml:space="preserve"> </w:t>
      </w:r>
      <w:r>
        <w:rPr>
          <w:rFonts w:ascii="宋体" w:eastAsia="宋体" w:hAnsi="宋体" w:cs="宋体"/>
          <w:spacing w:val="-1"/>
          <w:sz w:val="22"/>
          <w:szCs w:val="22"/>
        </w:rPr>
        <w:t>(g/100g)</w:t>
      </w:r>
      <w:r>
        <w:rPr>
          <w:rFonts w:ascii="宋体" w:eastAsia="宋体" w:hAnsi="宋体" w:cs="宋体"/>
          <w:spacing w:val="-13"/>
          <w:sz w:val="22"/>
          <w:szCs w:val="22"/>
        </w:rPr>
        <w:t xml:space="preserve"> </w:t>
      </w:r>
      <w:r>
        <w:rPr>
          <w:rFonts w:ascii="宋体" w:eastAsia="宋体" w:hAnsi="宋体" w:cs="宋体"/>
          <w:spacing w:val="-1"/>
          <w:sz w:val="22"/>
          <w:szCs w:val="22"/>
        </w:rPr>
        <w:t>计算公式为</w:t>
      </w:r>
    </w:p>
    <w:p w:rsidR="00EA40A3" w:rsidRDefault="00E86C16">
      <w:pPr>
        <w:spacing w:before="64" w:line="440" w:lineRule="exact"/>
        <w:ind w:firstLine="1910"/>
        <w:textAlignment w:val="center"/>
      </w:pPr>
      <w:r>
        <w:rPr>
          <w:noProof/>
        </w:rPr>
        <w:drawing>
          <wp:inline distT="0" distB="0" distL="0" distR="0">
            <wp:extent cx="2241550" cy="27876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60"/>
                    <a:stretch>
                      <a:fillRect/>
                    </a:stretch>
                  </pic:blipFill>
                  <pic:spPr>
                    <a:xfrm>
                      <a:off x="0" y="0"/>
                      <a:ext cx="2241588" cy="279365"/>
                    </a:xfrm>
                    <a:prstGeom prst="rect">
                      <a:avLst/>
                    </a:prstGeom>
                  </pic:spPr>
                </pic:pic>
              </a:graphicData>
            </a:graphic>
          </wp:inline>
        </w:drawing>
      </w:r>
    </w:p>
    <w:p w:rsidR="00EA40A3" w:rsidRDefault="00E86C16">
      <w:pPr>
        <w:spacing w:before="77" w:line="219" w:lineRule="auto"/>
        <w:ind w:left="400"/>
        <w:rPr>
          <w:rFonts w:ascii="宋体" w:eastAsia="宋体" w:hAnsi="宋体" w:cs="宋体"/>
          <w:sz w:val="22"/>
          <w:szCs w:val="22"/>
        </w:rPr>
      </w:pPr>
      <w:r>
        <w:rPr>
          <w:rFonts w:ascii="宋体" w:eastAsia="宋体" w:hAnsi="宋体" w:cs="宋体"/>
          <w:spacing w:val="-16"/>
          <w:sz w:val="22"/>
          <w:szCs w:val="22"/>
        </w:rPr>
        <w:t>食物含氮量测定的经典方法是凯氏定氮法。</w:t>
      </w:r>
    </w:p>
    <w:p w:rsidR="00EA40A3" w:rsidRDefault="00E86C16">
      <w:pPr>
        <w:spacing w:before="198" w:line="222" w:lineRule="auto"/>
        <w:rPr>
          <w:rFonts w:ascii="仿宋" w:eastAsia="仿宋" w:hAnsi="仿宋" w:cs="仿宋"/>
          <w:sz w:val="22"/>
          <w:szCs w:val="22"/>
        </w:rPr>
      </w:pPr>
      <w:r>
        <w:rPr>
          <w:rFonts w:ascii="仿宋" w:eastAsia="仿宋" w:hAnsi="仿宋" w:cs="仿宋"/>
          <w:spacing w:val="7"/>
          <w:sz w:val="22"/>
          <w:szCs w:val="22"/>
        </w:rPr>
        <w:t>2.</w:t>
      </w:r>
      <w:r>
        <w:rPr>
          <w:rFonts w:ascii="仿宋" w:eastAsia="仿宋" w:hAnsi="仿宋" w:cs="仿宋"/>
          <w:spacing w:val="-28"/>
          <w:sz w:val="22"/>
          <w:szCs w:val="22"/>
        </w:rPr>
        <w:t xml:space="preserve"> </w:t>
      </w:r>
      <w:r>
        <w:rPr>
          <w:rFonts w:ascii="仿宋" w:eastAsia="仿宋" w:hAnsi="仿宋" w:cs="仿宋"/>
          <w:spacing w:val="7"/>
          <w:sz w:val="22"/>
          <w:szCs w:val="22"/>
        </w:rPr>
        <w:t>蛋白质消化率</w:t>
      </w:r>
    </w:p>
    <w:p w:rsidR="00EA40A3" w:rsidRDefault="00E86C16">
      <w:pPr>
        <w:spacing w:before="192" w:line="242" w:lineRule="auto"/>
        <w:ind w:right="33" w:firstLine="400"/>
        <w:jc w:val="both"/>
        <w:rPr>
          <w:rFonts w:ascii="宋体" w:eastAsia="宋体" w:hAnsi="宋体" w:cs="宋体"/>
          <w:sz w:val="22"/>
          <w:szCs w:val="22"/>
        </w:rPr>
      </w:pPr>
      <w:r>
        <w:rPr>
          <w:rFonts w:ascii="宋体" w:eastAsia="宋体" w:hAnsi="宋体" w:cs="宋体"/>
          <w:spacing w:val="-17"/>
          <w:sz w:val="22"/>
          <w:szCs w:val="22"/>
        </w:rPr>
        <w:t>蛋白质消化率</w:t>
      </w:r>
      <w:r>
        <w:rPr>
          <w:rFonts w:ascii="宋体" w:eastAsia="宋体" w:hAnsi="宋体" w:cs="宋体"/>
          <w:spacing w:val="-31"/>
          <w:sz w:val="22"/>
          <w:szCs w:val="22"/>
        </w:rPr>
        <w:t xml:space="preserve"> </w:t>
      </w:r>
      <w:r>
        <w:rPr>
          <w:rFonts w:ascii="宋体" w:eastAsia="宋体" w:hAnsi="宋体" w:cs="宋体"/>
          <w:spacing w:val="-17"/>
          <w:sz w:val="22"/>
          <w:szCs w:val="22"/>
        </w:rPr>
        <w:t>(protein</w:t>
      </w:r>
      <w:r>
        <w:rPr>
          <w:rFonts w:ascii="宋体" w:eastAsia="宋体" w:hAnsi="宋体" w:cs="宋体"/>
          <w:spacing w:val="-10"/>
          <w:sz w:val="22"/>
          <w:szCs w:val="22"/>
        </w:rPr>
        <w:t xml:space="preserve"> </w:t>
      </w:r>
      <w:r>
        <w:rPr>
          <w:rFonts w:ascii="宋体" w:eastAsia="宋体" w:hAnsi="宋体" w:cs="宋体"/>
          <w:spacing w:val="-17"/>
          <w:sz w:val="22"/>
          <w:szCs w:val="22"/>
        </w:rPr>
        <w:t>digestibility),</w:t>
      </w:r>
      <w:r>
        <w:rPr>
          <w:rFonts w:ascii="宋体" w:eastAsia="宋体" w:hAnsi="宋体" w:cs="宋体"/>
          <w:spacing w:val="-45"/>
          <w:sz w:val="22"/>
          <w:szCs w:val="22"/>
        </w:rPr>
        <w:t xml:space="preserve"> </w:t>
      </w:r>
      <w:r>
        <w:rPr>
          <w:rFonts w:ascii="宋体" w:eastAsia="宋体" w:hAnsi="宋体" w:cs="宋体"/>
          <w:spacing w:val="-17"/>
          <w:sz w:val="22"/>
          <w:szCs w:val="22"/>
        </w:rPr>
        <w:t>是指蛋</w:t>
      </w:r>
      <w:r>
        <w:rPr>
          <w:rFonts w:ascii="宋体" w:eastAsia="宋体" w:hAnsi="宋体" w:cs="宋体"/>
          <w:spacing w:val="-18"/>
          <w:sz w:val="22"/>
          <w:szCs w:val="22"/>
        </w:rPr>
        <w:t>白质被消化酶水解后吸收的程</w:t>
      </w:r>
      <w:r>
        <w:rPr>
          <w:rFonts w:ascii="宋体" w:eastAsia="宋体" w:hAnsi="宋体" w:cs="宋体"/>
          <w:sz w:val="22"/>
          <w:szCs w:val="22"/>
        </w:rPr>
        <w:t xml:space="preserve"> </w:t>
      </w:r>
      <w:r>
        <w:rPr>
          <w:rFonts w:ascii="宋体" w:eastAsia="宋体" w:hAnsi="宋体" w:cs="宋体"/>
          <w:spacing w:val="-7"/>
          <w:sz w:val="22"/>
          <w:szCs w:val="22"/>
        </w:rPr>
        <w:t>度，即吸收氮与摄入氮(食物氮)的比值。蛋白质消化率越高，被机体吸收的可</w:t>
      </w:r>
      <w:r>
        <w:rPr>
          <w:rFonts w:ascii="宋体" w:eastAsia="宋体" w:hAnsi="宋体" w:cs="宋体"/>
          <w:spacing w:val="3"/>
          <w:sz w:val="22"/>
          <w:szCs w:val="22"/>
        </w:rPr>
        <w:t xml:space="preserve"> </w:t>
      </w:r>
      <w:r>
        <w:rPr>
          <w:rFonts w:ascii="宋体" w:eastAsia="宋体" w:hAnsi="宋体" w:cs="宋体"/>
          <w:spacing w:val="-16"/>
          <w:sz w:val="22"/>
          <w:szCs w:val="22"/>
        </w:rPr>
        <w:t>能性</w:t>
      </w:r>
      <w:r>
        <w:rPr>
          <w:rFonts w:ascii="宋体" w:eastAsia="宋体" w:hAnsi="宋体" w:cs="宋体"/>
          <w:spacing w:val="-17"/>
          <w:sz w:val="22"/>
          <w:szCs w:val="22"/>
        </w:rPr>
        <w:t>越大，营养价值也越高。蛋白质消化率有表观消化率</w:t>
      </w:r>
      <w:r>
        <w:rPr>
          <w:rFonts w:ascii="宋体" w:eastAsia="宋体" w:hAnsi="宋体" w:cs="宋体"/>
          <w:spacing w:val="-21"/>
          <w:sz w:val="22"/>
          <w:szCs w:val="22"/>
        </w:rPr>
        <w:t xml:space="preserve"> </w:t>
      </w:r>
      <w:r>
        <w:rPr>
          <w:rFonts w:ascii="宋体" w:eastAsia="宋体" w:hAnsi="宋体" w:cs="宋体"/>
          <w:spacing w:val="-17"/>
          <w:sz w:val="22"/>
          <w:szCs w:val="22"/>
        </w:rPr>
        <w:t>(</w:t>
      </w:r>
      <w:r>
        <w:rPr>
          <w:rFonts w:ascii="宋体" w:eastAsia="宋体" w:hAnsi="宋体" w:cs="宋体"/>
          <w:spacing w:val="-16"/>
          <w:sz w:val="22"/>
          <w:szCs w:val="22"/>
        </w:rPr>
        <w:t>apparent</w:t>
      </w:r>
      <w:r>
        <w:rPr>
          <w:rFonts w:ascii="宋体" w:eastAsia="宋体" w:hAnsi="宋体" w:cs="宋体"/>
          <w:spacing w:val="-13"/>
          <w:sz w:val="22"/>
          <w:szCs w:val="22"/>
        </w:rPr>
        <w:t xml:space="preserve"> </w:t>
      </w:r>
      <w:r>
        <w:rPr>
          <w:rFonts w:ascii="宋体" w:eastAsia="宋体" w:hAnsi="宋体" w:cs="宋体"/>
          <w:spacing w:val="-16"/>
          <w:sz w:val="22"/>
          <w:szCs w:val="22"/>
        </w:rPr>
        <w:t>digestibili</w:t>
      </w:r>
      <w:r>
        <w:rPr>
          <w:rFonts w:ascii="宋体" w:eastAsia="宋体" w:hAnsi="宋体" w:cs="宋体"/>
          <w:spacing w:val="-17"/>
          <w:sz w:val="22"/>
          <w:szCs w:val="22"/>
        </w:rPr>
        <w:t>-</w:t>
      </w:r>
      <w:r>
        <w:rPr>
          <w:rFonts w:ascii="宋体" w:eastAsia="宋体" w:hAnsi="宋体" w:cs="宋体"/>
          <w:sz w:val="22"/>
          <w:szCs w:val="22"/>
        </w:rPr>
        <w:t xml:space="preserve"> </w:t>
      </w:r>
      <w:r>
        <w:rPr>
          <w:rFonts w:ascii="宋体" w:eastAsia="宋体" w:hAnsi="宋体" w:cs="宋体"/>
          <w:spacing w:val="-11"/>
          <w:sz w:val="22"/>
          <w:szCs w:val="22"/>
        </w:rPr>
        <w:t>ty,AD)</w:t>
      </w:r>
      <w:r>
        <w:rPr>
          <w:rFonts w:ascii="宋体" w:eastAsia="宋体" w:hAnsi="宋体" w:cs="宋体"/>
          <w:spacing w:val="3"/>
          <w:sz w:val="22"/>
          <w:szCs w:val="22"/>
        </w:rPr>
        <w:t xml:space="preserve">  </w:t>
      </w:r>
      <w:r>
        <w:rPr>
          <w:rFonts w:ascii="宋体" w:eastAsia="宋体" w:hAnsi="宋体" w:cs="宋体"/>
          <w:spacing w:val="-11"/>
          <w:sz w:val="22"/>
          <w:szCs w:val="22"/>
        </w:rPr>
        <w:t>和真消化率</w:t>
      </w:r>
      <w:r>
        <w:rPr>
          <w:rFonts w:ascii="宋体" w:eastAsia="宋体" w:hAnsi="宋体" w:cs="宋体"/>
          <w:spacing w:val="-30"/>
          <w:sz w:val="22"/>
          <w:szCs w:val="22"/>
        </w:rPr>
        <w:t xml:space="preserve"> </w:t>
      </w:r>
      <w:r>
        <w:rPr>
          <w:rFonts w:ascii="宋体" w:eastAsia="宋体" w:hAnsi="宋体" w:cs="宋体"/>
          <w:spacing w:val="-11"/>
          <w:sz w:val="22"/>
          <w:szCs w:val="22"/>
        </w:rPr>
        <w:t>(true</w:t>
      </w:r>
      <w:r>
        <w:rPr>
          <w:rFonts w:ascii="宋体" w:eastAsia="宋体" w:hAnsi="宋体" w:cs="宋体"/>
          <w:spacing w:val="1"/>
          <w:sz w:val="22"/>
          <w:szCs w:val="22"/>
        </w:rPr>
        <w:t xml:space="preserve"> </w:t>
      </w:r>
      <w:r>
        <w:rPr>
          <w:rFonts w:ascii="宋体" w:eastAsia="宋体" w:hAnsi="宋体" w:cs="宋体"/>
          <w:spacing w:val="-11"/>
          <w:sz w:val="22"/>
          <w:szCs w:val="22"/>
        </w:rPr>
        <w:t>digestibility,TD),</w:t>
      </w:r>
      <w:r>
        <w:rPr>
          <w:rFonts w:ascii="宋体" w:eastAsia="宋体" w:hAnsi="宋体" w:cs="宋体"/>
          <w:spacing w:val="-62"/>
          <w:sz w:val="22"/>
          <w:szCs w:val="22"/>
        </w:rPr>
        <w:t xml:space="preserve"> </w:t>
      </w:r>
      <w:r>
        <w:rPr>
          <w:rFonts w:ascii="宋体" w:eastAsia="宋体" w:hAnsi="宋体" w:cs="宋体"/>
          <w:spacing w:val="-11"/>
          <w:sz w:val="22"/>
          <w:szCs w:val="22"/>
        </w:rPr>
        <w:t>计算公式如下：</w:t>
      </w:r>
    </w:p>
    <w:p w:rsidR="00EA40A3" w:rsidRDefault="00E86C16">
      <w:pPr>
        <w:spacing w:before="74" w:line="440" w:lineRule="exact"/>
        <w:ind w:firstLine="1310"/>
        <w:textAlignment w:val="center"/>
      </w:pPr>
      <w:r>
        <w:rPr>
          <w:noProof/>
        </w:rPr>
        <w:drawing>
          <wp:inline distT="0" distB="0" distL="0" distR="0">
            <wp:extent cx="2488565" cy="27940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61"/>
                    <a:stretch>
                      <a:fillRect/>
                    </a:stretch>
                  </pic:blipFill>
                  <pic:spPr>
                    <a:xfrm>
                      <a:off x="0" y="0"/>
                      <a:ext cx="2489183" cy="279449"/>
                    </a:xfrm>
                    <a:prstGeom prst="rect">
                      <a:avLst/>
                    </a:prstGeom>
                  </pic:spPr>
                </pic:pic>
              </a:graphicData>
            </a:graphic>
          </wp:inline>
        </w:drawing>
      </w:r>
    </w:p>
    <w:p w:rsidR="00EA40A3" w:rsidRDefault="00E86C16">
      <w:pPr>
        <w:spacing w:before="90" w:line="450" w:lineRule="exact"/>
        <w:ind w:firstLine="1310"/>
        <w:textAlignment w:val="center"/>
      </w:pPr>
      <w:r>
        <w:rPr>
          <w:noProof/>
        </w:rPr>
        <w:drawing>
          <wp:inline distT="0" distB="0" distL="0" distR="0">
            <wp:extent cx="3218815" cy="28575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62"/>
                    <a:stretch>
                      <a:fillRect/>
                    </a:stretch>
                  </pic:blipFill>
                  <pic:spPr>
                    <a:xfrm>
                      <a:off x="0" y="0"/>
                      <a:ext cx="3219440" cy="285812"/>
                    </a:xfrm>
                    <a:prstGeom prst="rect">
                      <a:avLst/>
                    </a:prstGeom>
                  </pic:spPr>
                </pic:pic>
              </a:graphicData>
            </a:graphic>
          </wp:inline>
        </w:drawing>
      </w:r>
    </w:p>
    <w:p w:rsidR="00EA40A3" w:rsidRDefault="00E86C16">
      <w:pPr>
        <w:spacing w:before="79" w:line="227" w:lineRule="auto"/>
        <w:ind w:right="35" w:firstLine="400"/>
        <w:rPr>
          <w:rFonts w:ascii="宋体" w:eastAsia="宋体" w:hAnsi="宋体" w:cs="宋体"/>
          <w:sz w:val="22"/>
          <w:szCs w:val="22"/>
        </w:rPr>
      </w:pPr>
      <w:r>
        <w:rPr>
          <w:rFonts w:ascii="宋体" w:eastAsia="宋体" w:hAnsi="宋体" w:cs="宋体"/>
          <w:spacing w:val="-13"/>
          <w:sz w:val="22"/>
          <w:szCs w:val="22"/>
        </w:rPr>
        <w:t>在实际应用中，往往不考虑粪代谢氮，这样不仅实验方法简单，而且所测得</w:t>
      </w:r>
      <w:r>
        <w:rPr>
          <w:rFonts w:ascii="宋体" w:eastAsia="宋体" w:hAnsi="宋体" w:cs="宋体"/>
          <w:spacing w:val="6"/>
          <w:sz w:val="22"/>
          <w:szCs w:val="22"/>
        </w:rPr>
        <w:t xml:space="preserve"> </w:t>
      </w:r>
      <w:r>
        <w:rPr>
          <w:rFonts w:ascii="宋体" w:eastAsia="宋体" w:hAnsi="宋体" w:cs="宋体"/>
          <w:spacing w:val="-14"/>
          <w:sz w:val="22"/>
          <w:szCs w:val="22"/>
        </w:rPr>
        <w:t>的结果比真消化率低，对人体具有一定安全性。</w:t>
      </w:r>
    </w:p>
    <w:p w:rsidR="00EA40A3" w:rsidRDefault="00E86C16">
      <w:pPr>
        <w:spacing w:before="57" w:line="219" w:lineRule="auto"/>
        <w:ind w:left="400"/>
        <w:rPr>
          <w:rFonts w:ascii="宋体" w:eastAsia="宋体" w:hAnsi="宋体" w:cs="宋体"/>
          <w:sz w:val="22"/>
          <w:szCs w:val="22"/>
        </w:rPr>
      </w:pPr>
      <w:r>
        <w:rPr>
          <w:rFonts w:ascii="宋体" w:eastAsia="宋体" w:hAnsi="宋体" w:cs="宋体"/>
          <w:spacing w:val="-12"/>
          <w:sz w:val="22"/>
          <w:szCs w:val="22"/>
        </w:rPr>
        <w:t>蛋白质的消化率除了受蛋白质本身的性质影响外，还受人体和</w:t>
      </w:r>
      <w:r>
        <w:rPr>
          <w:rFonts w:ascii="宋体" w:eastAsia="宋体" w:hAnsi="宋体" w:cs="宋体"/>
          <w:spacing w:val="-13"/>
          <w:sz w:val="22"/>
          <w:szCs w:val="22"/>
        </w:rPr>
        <w:t>食物两方面的</w:t>
      </w:r>
    </w:p>
    <w:p w:rsidR="00EA40A3" w:rsidRDefault="00E86C16">
      <w:pPr>
        <w:spacing w:before="97"/>
        <w:ind w:right="29"/>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3"/>
          <w:sz w:val="18"/>
          <w:szCs w:val="18"/>
        </w:rPr>
        <w:t xml:space="preserve"> </w:t>
      </w:r>
      <w:r>
        <w:rPr>
          <w:rFonts w:ascii="宋体" w:eastAsia="宋体" w:hAnsi="宋体" w:cs="宋体"/>
          <w:spacing w:val="-30"/>
          <w:sz w:val="18"/>
          <w:szCs w:val="18"/>
        </w:rPr>
        <w:t>75</w:t>
      </w:r>
      <w:r>
        <w:rPr>
          <w:rFonts w:ascii="宋体" w:eastAsia="宋体" w:hAnsi="宋体" w:cs="宋体"/>
          <w:spacing w:val="46"/>
          <w:sz w:val="18"/>
          <w:szCs w:val="18"/>
        </w:rPr>
        <w:t xml:space="preserve"> </w:t>
      </w:r>
      <w:r>
        <w:rPr>
          <w:rFonts w:ascii="宋体" w:eastAsia="宋体" w:hAnsi="宋体" w:cs="宋体"/>
          <w:spacing w:val="-30"/>
          <w:sz w:val="18"/>
          <w:szCs w:val="18"/>
        </w:rPr>
        <w:t>·</w:t>
      </w:r>
    </w:p>
    <w:p w:rsidR="00EA40A3" w:rsidRDefault="00EA40A3">
      <w:pPr>
        <w:sectPr w:rsidR="00EA40A3">
          <w:pgSz w:w="9220" w:h="13360"/>
          <w:pgMar w:top="400" w:right="1066" w:bottom="400" w:left="879" w:header="0" w:footer="0" w:gutter="0"/>
          <w:cols w:space="720"/>
        </w:sectPr>
      </w:pPr>
    </w:p>
    <w:p w:rsidR="00EA40A3" w:rsidRDefault="00EA40A3">
      <w:pPr>
        <w:spacing w:line="284" w:lineRule="auto"/>
      </w:pPr>
    </w:p>
    <w:p w:rsidR="00EA40A3" w:rsidRDefault="00EA40A3">
      <w:pPr>
        <w:spacing w:line="284" w:lineRule="auto"/>
      </w:pPr>
    </w:p>
    <w:p w:rsidR="00EA40A3" w:rsidRDefault="00E86C16">
      <w:pPr>
        <w:spacing w:before="65" w:line="258" w:lineRule="auto"/>
        <w:ind w:left="69"/>
        <w:rPr>
          <w:rFonts w:ascii="宋体" w:eastAsia="宋体" w:hAnsi="宋体" w:cs="宋体"/>
          <w:sz w:val="20"/>
          <w:szCs w:val="20"/>
        </w:rPr>
      </w:pPr>
      <w:r>
        <w:rPr>
          <w:rFonts w:ascii="宋体" w:eastAsia="宋体" w:hAnsi="宋体" w:cs="宋体"/>
          <w:spacing w:val="8"/>
          <w:sz w:val="20"/>
          <w:szCs w:val="20"/>
        </w:rPr>
        <w:t>影响，前者如全身状态、消化功能、精神情绪、饮食习惯和心理因素</w:t>
      </w:r>
      <w:r>
        <w:rPr>
          <w:rFonts w:ascii="宋体" w:eastAsia="宋体" w:hAnsi="宋体" w:cs="宋体"/>
          <w:spacing w:val="7"/>
          <w:sz w:val="20"/>
          <w:szCs w:val="20"/>
        </w:rPr>
        <w:t>等；后者如</w:t>
      </w:r>
      <w:r>
        <w:rPr>
          <w:rFonts w:ascii="宋体" w:eastAsia="宋体" w:hAnsi="宋体" w:cs="宋体"/>
          <w:sz w:val="20"/>
          <w:szCs w:val="20"/>
        </w:rPr>
        <w:t xml:space="preserve"> </w:t>
      </w:r>
      <w:r>
        <w:rPr>
          <w:rFonts w:ascii="宋体" w:eastAsia="宋体" w:hAnsi="宋体" w:cs="宋体"/>
          <w:spacing w:val="6"/>
          <w:sz w:val="20"/>
          <w:szCs w:val="20"/>
        </w:rPr>
        <w:t>食物的属性、膳食纤维的含量、烹调加工方法</w:t>
      </w:r>
      <w:r>
        <w:rPr>
          <w:rFonts w:ascii="宋体" w:eastAsia="宋体" w:hAnsi="宋体" w:cs="宋体"/>
          <w:spacing w:val="5"/>
          <w:sz w:val="20"/>
          <w:szCs w:val="20"/>
        </w:rPr>
        <w:t>和同时进食其他食物的影响等。</w:t>
      </w:r>
    </w:p>
    <w:p w:rsidR="00EA40A3" w:rsidRDefault="00E86C16">
      <w:pPr>
        <w:spacing w:before="239" w:line="221" w:lineRule="auto"/>
        <w:ind w:left="49"/>
        <w:rPr>
          <w:rFonts w:ascii="仿宋" w:eastAsia="仿宋" w:hAnsi="仿宋" w:cs="仿宋"/>
          <w:sz w:val="20"/>
          <w:szCs w:val="20"/>
        </w:rPr>
      </w:pPr>
      <w:r>
        <w:rPr>
          <w:rFonts w:ascii="仿宋" w:eastAsia="仿宋" w:hAnsi="仿宋" w:cs="仿宋"/>
          <w:spacing w:val="-16"/>
          <w:sz w:val="20"/>
          <w:szCs w:val="20"/>
        </w:rPr>
        <w:t>3.</w:t>
      </w:r>
      <w:r>
        <w:rPr>
          <w:rFonts w:ascii="仿宋" w:eastAsia="仿宋" w:hAnsi="仿宋" w:cs="仿宋"/>
          <w:spacing w:val="-9"/>
          <w:sz w:val="20"/>
          <w:szCs w:val="20"/>
        </w:rPr>
        <w:t xml:space="preserve"> </w:t>
      </w:r>
      <w:r>
        <w:rPr>
          <w:rFonts w:ascii="仿宋" w:eastAsia="仿宋" w:hAnsi="仿宋" w:cs="仿宋"/>
          <w:spacing w:val="-16"/>
          <w:sz w:val="20"/>
          <w:szCs w:val="20"/>
        </w:rPr>
        <w:t>蛋</w:t>
      </w:r>
      <w:r>
        <w:rPr>
          <w:rFonts w:ascii="仿宋" w:eastAsia="仿宋" w:hAnsi="仿宋" w:cs="仿宋"/>
          <w:spacing w:val="-7"/>
          <w:sz w:val="20"/>
          <w:szCs w:val="20"/>
        </w:rPr>
        <w:t xml:space="preserve"> </w:t>
      </w:r>
      <w:r>
        <w:rPr>
          <w:rFonts w:ascii="仿宋" w:eastAsia="仿宋" w:hAnsi="仿宋" w:cs="仿宋"/>
          <w:spacing w:val="-16"/>
          <w:sz w:val="20"/>
          <w:szCs w:val="20"/>
        </w:rPr>
        <w:t>白</w:t>
      </w:r>
      <w:r>
        <w:rPr>
          <w:rFonts w:ascii="仿宋" w:eastAsia="仿宋" w:hAnsi="仿宋" w:cs="仿宋"/>
          <w:spacing w:val="-33"/>
          <w:sz w:val="20"/>
          <w:szCs w:val="20"/>
        </w:rPr>
        <w:t xml:space="preserve"> </w:t>
      </w:r>
      <w:r>
        <w:rPr>
          <w:rFonts w:ascii="仿宋" w:eastAsia="仿宋" w:hAnsi="仿宋" w:cs="仿宋"/>
          <w:spacing w:val="-16"/>
          <w:sz w:val="20"/>
          <w:szCs w:val="20"/>
        </w:rPr>
        <w:t>质</w:t>
      </w:r>
      <w:r>
        <w:rPr>
          <w:rFonts w:ascii="仿宋" w:eastAsia="仿宋" w:hAnsi="仿宋" w:cs="仿宋"/>
          <w:spacing w:val="-25"/>
          <w:sz w:val="20"/>
          <w:szCs w:val="20"/>
        </w:rPr>
        <w:t xml:space="preserve"> </w:t>
      </w:r>
      <w:r>
        <w:rPr>
          <w:rFonts w:ascii="仿宋" w:eastAsia="仿宋" w:hAnsi="仿宋" w:cs="仿宋"/>
          <w:spacing w:val="-16"/>
          <w:sz w:val="20"/>
          <w:szCs w:val="20"/>
        </w:rPr>
        <w:t>生</w:t>
      </w:r>
      <w:r>
        <w:rPr>
          <w:rFonts w:ascii="仿宋" w:eastAsia="仿宋" w:hAnsi="仿宋" w:cs="仿宋"/>
          <w:spacing w:val="-36"/>
          <w:sz w:val="20"/>
          <w:szCs w:val="20"/>
        </w:rPr>
        <w:t xml:space="preserve"> </w:t>
      </w:r>
      <w:r>
        <w:rPr>
          <w:rFonts w:ascii="仿宋" w:eastAsia="仿宋" w:hAnsi="仿宋" w:cs="仿宋"/>
          <w:spacing w:val="-16"/>
          <w:sz w:val="20"/>
          <w:szCs w:val="20"/>
        </w:rPr>
        <w:t>物</w:t>
      </w:r>
      <w:r>
        <w:rPr>
          <w:rFonts w:ascii="仿宋" w:eastAsia="仿宋" w:hAnsi="仿宋" w:cs="仿宋"/>
          <w:spacing w:val="-36"/>
          <w:sz w:val="20"/>
          <w:szCs w:val="20"/>
        </w:rPr>
        <w:t xml:space="preserve"> </w:t>
      </w:r>
      <w:r>
        <w:rPr>
          <w:rFonts w:ascii="仿宋" w:eastAsia="仿宋" w:hAnsi="仿宋" w:cs="仿宋"/>
          <w:spacing w:val="-16"/>
          <w:sz w:val="20"/>
          <w:szCs w:val="20"/>
        </w:rPr>
        <w:t>价</w:t>
      </w:r>
    </w:p>
    <w:p w:rsidR="00EA40A3" w:rsidRDefault="00E86C16">
      <w:pPr>
        <w:spacing w:before="196" w:line="256" w:lineRule="auto"/>
        <w:ind w:left="60" w:right="37" w:firstLine="410"/>
        <w:rPr>
          <w:rFonts w:ascii="宋体" w:eastAsia="宋体" w:hAnsi="宋体" w:cs="宋体"/>
          <w:sz w:val="20"/>
          <w:szCs w:val="20"/>
        </w:rPr>
      </w:pPr>
      <w:r>
        <w:rPr>
          <w:rFonts w:ascii="宋体" w:eastAsia="宋体" w:hAnsi="宋体" w:cs="宋体"/>
          <w:spacing w:val="8"/>
          <w:sz w:val="20"/>
          <w:szCs w:val="20"/>
        </w:rPr>
        <w:t>蛋白质生物价</w:t>
      </w:r>
      <w:r>
        <w:rPr>
          <w:rFonts w:ascii="宋体" w:eastAsia="宋体" w:hAnsi="宋体" w:cs="宋体"/>
          <w:spacing w:val="6"/>
          <w:sz w:val="20"/>
          <w:szCs w:val="20"/>
        </w:rPr>
        <w:t xml:space="preserve"> </w:t>
      </w:r>
      <w:r>
        <w:rPr>
          <w:rFonts w:ascii="宋体" w:eastAsia="宋体" w:hAnsi="宋体" w:cs="宋体"/>
          <w:spacing w:val="8"/>
          <w:sz w:val="20"/>
          <w:szCs w:val="20"/>
        </w:rPr>
        <w:t>(</w:t>
      </w:r>
      <w:r>
        <w:rPr>
          <w:rFonts w:ascii="宋体" w:eastAsia="宋体" w:hAnsi="宋体" w:cs="宋体"/>
          <w:sz w:val="20"/>
          <w:szCs w:val="20"/>
        </w:rPr>
        <w:t>biological</w:t>
      </w:r>
      <w:r>
        <w:rPr>
          <w:rFonts w:ascii="宋体" w:eastAsia="宋体" w:hAnsi="宋体" w:cs="宋体"/>
          <w:spacing w:val="25"/>
          <w:sz w:val="20"/>
          <w:szCs w:val="20"/>
        </w:rPr>
        <w:t xml:space="preserve"> </w:t>
      </w:r>
      <w:r>
        <w:rPr>
          <w:rFonts w:ascii="宋体" w:eastAsia="宋体" w:hAnsi="宋体" w:cs="宋体"/>
          <w:sz w:val="20"/>
          <w:szCs w:val="20"/>
        </w:rPr>
        <w:t>value</w:t>
      </w:r>
      <w:r>
        <w:rPr>
          <w:rFonts w:ascii="宋体" w:eastAsia="宋体" w:hAnsi="宋体" w:cs="宋体"/>
          <w:spacing w:val="8"/>
          <w:sz w:val="20"/>
          <w:szCs w:val="20"/>
        </w:rPr>
        <w:t>,</w:t>
      </w:r>
      <w:r>
        <w:rPr>
          <w:rFonts w:ascii="宋体" w:eastAsia="宋体" w:hAnsi="宋体" w:cs="宋体"/>
          <w:sz w:val="20"/>
          <w:szCs w:val="20"/>
        </w:rPr>
        <w:t>BV</w:t>
      </w:r>
      <w:r>
        <w:rPr>
          <w:rFonts w:ascii="宋体" w:eastAsia="宋体" w:hAnsi="宋体" w:cs="宋体"/>
          <w:spacing w:val="27"/>
          <w:sz w:val="20"/>
          <w:szCs w:val="20"/>
        </w:rPr>
        <w:t xml:space="preserve"> </w:t>
      </w:r>
      <w:r>
        <w:rPr>
          <w:rFonts w:ascii="宋体" w:eastAsia="宋体" w:hAnsi="宋体" w:cs="宋体"/>
          <w:spacing w:val="8"/>
          <w:sz w:val="20"/>
          <w:szCs w:val="20"/>
        </w:rPr>
        <w:t>)</w:t>
      </w:r>
      <w:r>
        <w:rPr>
          <w:rFonts w:ascii="宋体" w:eastAsia="宋体" w:hAnsi="宋体" w:cs="宋体"/>
          <w:spacing w:val="-14"/>
          <w:sz w:val="20"/>
          <w:szCs w:val="20"/>
        </w:rPr>
        <w:t xml:space="preserve"> </w:t>
      </w:r>
      <w:r>
        <w:rPr>
          <w:rFonts w:ascii="宋体" w:eastAsia="宋体" w:hAnsi="宋体" w:cs="宋体"/>
          <w:spacing w:val="8"/>
          <w:sz w:val="20"/>
          <w:szCs w:val="20"/>
        </w:rPr>
        <w:t>是反映被消化吸收后的蛋白质被机</w:t>
      </w:r>
      <w:r>
        <w:rPr>
          <w:rFonts w:ascii="宋体" w:eastAsia="宋体" w:hAnsi="宋体" w:cs="宋体"/>
          <w:sz w:val="20"/>
          <w:szCs w:val="20"/>
        </w:rPr>
        <w:t xml:space="preserve"> </w:t>
      </w:r>
      <w:r>
        <w:rPr>
          <w:rFonts w:ascii="宋体" w:eastAsia="宋体" w:hAnsi="宋体" w:cs="宋体"/>
          <w:spacing w:val="3"/>
          <w:sz w:val="20"/>
          <w:szCs w:val="20"/>
        </w:rPr>
        <w:t>体利用的程度。计算公式如下：</w:t>
      </w:r>
    </w:p>
    <w:p w:rsidR="00EA40A3" w:rsidRDefault="00E86C16">
      <w:pPr>
        <w:spacing w:before="54" w:line="440" w:lineRule="exact"/>
        <w:ind w:firstLine="2690"/>
        <w:textAlignment w:val="center"/>
      </w:pPr>
      <w:r>
        <w:rPr>
          <w:noProof/>
        </w:rPr>
        <w:drawing>
          <wp:inline distT="0" distB="0" distL="0" distR="0">
            <wp:extent cx="1275715" cy="278765"/>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63"/>
                    <a:stretch>
                      <a:fillRect/>
                    </a:stretch>
                  </pic:blipFill>
                  <pic:spPr>
                    <a:xfrm>
                      <a:off x="0" y="0"/>
                      <a:ext cx="1276324" cy="279365"/>
                    </a:xfrm>
                    <a:prstGeom prst="rect">
                      <a:avLst/>
                    </a:prstGeom>
                  </pic:spPr>
                </pic:pic>
              </a:graphicData>
            </a:graphic>
          </wp:inline>
        </w:drawing>
      </w:r>
    </w:p>
    <w:p w:rsidR="00EA40A3" w:rsidRDefault="00E86C16">
      <w:pPr>
        <w:spacing w:before="97" w:line="320" w:lineRule="exact"/>
        <w:ind w:left="1979"/>
        <w:rPr>
          <w:rFonts w:ascii="宋体" w:eastAsia="宋体" w:hAnsi="宋体" w:cs="宋体"/>
          <w:sz w:val="20"/>
          <w:szCs w:val="20"/>
        </w:rPr>
      </w:pPr>
      <w:r>
        <w:rPr>
          <w:rFonts w:ascii="宋体" w:eastAsia="宋体" w:hAnsi="宋体" w:cs="宋体"/>
          <w:spacing w:val="20"/>
          <w:position w:val="8"/>
          <w:sz w:val="20"/>
          <w:szCs w:val="20"/>
        </w:rPr>
        <w:t>吸收氮=食物氮-</w:t>
      </w:r>
      <w:r>
        <w:rPr>
          <w:rFonts w:ascii="宋体" w:eastAsia="宋体" w:hAnsi="宋体" w:cs="宋体"/>
          <w:spacing w:val="-19"/>
          <w:position w:val="8"/>
          <w:sz w:val="20"/>
          <w:szCs w:val="20"/>
        </w:rPr>
        <w:t xml:space="preserve"> </w:t>
      </w:r>
      <w:r>
        <w:rPr>
          <w:rFonts w:ascii="宋体" w:eastAsia="宋体" w:hAnsi="宋体" w:cs="宋体"/>
          <w:spacing w:val="20"/>
          <w:position w:val="8"/>
          <w:sz w:val="20"/>
          <w:szCs w:val="20"/>
        </w:rPr>
        <w:t>(粪氮</w:t>
      </w:r>
      <w:r>
        <w:rPr>
          <w:rFonts w:ascii="宋体" w:eastAsia="宋体" w:hAnsi="宋体" w:cs="宋体"/>
          <w:spacing w:val="-59"/>
          <w:position w:val="8"/>
          <w:sz w:val="20"/>
          <w:szCs w:val="20"/>
        </w:rPr>
        <w:t xml:space="preserve"> </w:t>
      </w:r>
      <w:r>
        <w:rPr>
          <w:rFonts w:ascii="宋体" w:eastAsia="宋体" w:hAnsi="宋体" w:cs="宋体"/>
          <w:spacing w:val="20"/>
          <w:position w:val="8"/>
          <w:sz w:val="20"/>
          <w:szCs w:val="20"/>
        </w:rPr>
        <w:t>一粪代谢氮)</w:t>
      </w:r>
    </w:p>
    <w:p w:rsidR="00EA40A3" w:rsidRDefault="00E86C16">
      <w:pPr>
        <w:spacing w:line="218" w:lineRule="auto"/>
        <w:ind w:left="1959"/>
        <w:rPr>
          <w:rFonts w:ascii="宋体" w:eastAsia="宋体" w:hAnsi="宋体" w:cs="宋体"/>
          <w:sz w:val="20"/>
          <w:szCs w:val="20"/>
        </w:rPr>
      </w:pPr>
      <w:r>
        <w:rPr>
          <w:rFonts w:ascii="宋体" w:eastAsia="宋体" w:hAnsi="宋体" w:cs="宋体"/>
          <w:spacing w:val="15"/>
          <w:sz w:val="20"/>
          <w:szCs w:val="20"/>
        </w:rPr>
        <w:t>储留氮=吸收氮</w:t>
      </w:r>
      <w:r>
        <w:rPr>
          <w:rFonts w:ascii="宋体" w:eastAsia="宋体" w:hAnsi="宋体" w:cs="宋体"/>
          <w:spacing w:val="-68"/>
          <w:sz w:val="20"/>
          <w:szCs w:val="20"/>
        </w:rPr>
        <w:t xml:space="preserve"> </w:t>
      </w:r>
      <w:r>
        <w:rPr>
          <w:rFonts w:ascii="宋体" w:eastAsia="宋体" w:hAnsi="宋体" w:cs="宋体"/>
          <w:spacing w:val="15"/>
          <w:sz w:val="20"/>
          <w:szCs w:val="20"/>
        </w:rPr>
        <w:t>—</w:t>
      </w:r>
      <w:r>
        <w:rPr>
          <w:rFonts w:ascii="宋体" w:eastAsia="宋体" w:hAnsi="宋体" w:cs="宋体"/>
          <w:spacing w:val="-35"/>
          <w:sz w:val="20"/>
          <w:szCs w:val="20"/>
        </w:rPr>
        <w:t xml:space="preserve"> </w:t>
      </w:r>
      <w:r>
        <w:rPr>
          <w:rFonts w:ascii="宋体" w:eastAsia="宋体" w:hAnsi="宋体" w:cs="宋体"/>
          <w:spacing w:val="15"/>
          <w:sz w:val="20"/>
          <w:szCs w:val="20"/>
        </w:rPr>
        <w:t>(尿氮一尿内源氮)</w:t>
      </w:r>
    </w:p>
    <w:p w:rsidR="00EA40A3" w:rsidRDefault="00E86C16">
      <w:pPr>
        <w:spacing w:before="52" w:line="253" w:lineRule="auto"/>
        <w:ind w:left="49" w:right="34" w:firstLine="420"/>
        <w:rPr>
          <w:rFonts w:ascii="宋体" w:eastAsia="宋体" w:hAnsi="宋体" w:cs="宋体"/>
          <w:sz w:val="20"/>
          <w:szCs w:val="20"/>
        </w:rPr>
      </w:pPr>
      <w:r>
        <w:rPr>
          <w:rFonts w:ascii="宋体" w:eastAsia="宋体" w:hAnsi="宋体" w:cs="宋体"/>
          <w:spacing w:val="7"/>
          <w:sz w:val="20"/>
          <w:szCs w:val="20"/>
        </w:rPr>
        <w:t>生物价高表明食物蛋白质中氨基酸主要用来合成人体蛋白，极少有过多的氨</w:t>
      </w:r>
      <w:r>
        <w:rPr>
          <w:rFonts w:ascii="宋体" w:eastAsia="宋体" w:hAnsi="宋体" w:cs="宋体"/>
          <w:spacing w:val="8"/>
          <w:sz w:val="20"/>
          <w:szCs w:val="20"/>
        </w:rPr>
        <w:t xml:space="preserve"> </w:t>
      </w:r>
      <w:r>
        <w:rPr>
          <w:rFonts w:ascii="宋体" w:eastAsia="宋体" w:hAnsi="宋体" w:cs="宋体"/>
          <w:spacing w:val="6"/>
          <w:sz w:val="20"/>
          <w:szCs w:val="20"/>
        </w:rPr>
        <w:t>基酸经肝、肾代谢而释放能量或由尿排出多余的氮，从而大大减少肝肾的负担。</w:t>
      </w:r>
    </w:p>
    <w:p w:rsidR="00EA40A3" w:rsidRDefault="00E86C16">
      <w:pPr>
        <w:spacing w:before="222" w:line="222" w:lineRule="auto"/>
        <w:ind w:left="49"/>
        <w:rPr>
          <w:rFonts w:ascii="仿宋" w:eastAsia="仿宋" w:hAnsi="仿宋" w:cs="仿宋"/>
          <w:sz w:val="20"/>
          <w:szCs w:val="20"/>
        </w:rPr>
      </w:pPr>
      <w:r>
        <w:rPr>
          <w:rFonts w:ascii="仿宋" w:eastAsia="仿宋" w:hAnsi="仿宋" w:cs="仿宋"/>
          <w:spacing w:val="23"/>
          <w:sz w:val="20"/>
          <w:szCs w:val="20"/>
        </w:rPr>
        <w:t>4.</w:t>
      </w:r>
      <w:r>
        <w:rPr>
          <w:rFonts w:ascii="仿宋" w:eastAsia="仿宋" w:hAnsi="仿宋" w:cs="仿宋"/>
          <w:spacing w:val="10"/>
          <w:sz w:val="20"/>
          <w:szCs w:val="20"/>
        </w:rPr>
        <w:t xml:space="preserve"> </w:t>
      </w:r>
      <w:r>
        <w:rPr>
          <w:rFonts w:ascii="仿宋" w:eastAsia="仿宋" w:hAnsi="仿宋" w:cs="仿宋"/>
          <w:spacing w:val="23"/>
          <w:sz w:val="20"/>
          <w:szCs w:val="20"/>
        </w:rPr>
        <w:t>蛋白质净利用率</w:t>
      </w:r>
    </w:p>
    <w:p w:rsidR="00EA40A3" w:rsidRDefault="00E86C16">
      <w:pPr>
        <w:spacing w:before="207" w:line="262" w:lineRule="auto"/>
        <w:ind w:left="29" w:right="40" w:firstLine="420"/>
        <w:jc w:val="both"/>
        <w:rPr>
          <w:rFonts w:ascii="宋体" w:eastAsia="宋体" w:hAnsi="宋体" w:cs="宋体"/>
          <w:sz w:val="20"/>
          <w:szCs w:val="20"/>
        </w:rPr>
      </w:pPr>
      <w:r>
        <w:rPr>
          <w:rFonts w:ascii="宋体" w:eastAsia="宋体" w:hAnsi="宋体" w:cs="宋体"/>
          <w:spacing w:val="10"/>
          <w:sz w:val="20"/>
          <w:szCs w:val="20"/>
        </w:rPr>
        <w:t>蛋白质净利用率</w:t>
      </w:r>
      <w:r>
        <w:rPr>
          <w:rFonts w:ascii="宋体" w:eastAsia="宋体" w:hAnsi="宋体" w:cs="宋体"/>
          <w:spacing w:val="3"/>
          <w:sz w:val="20"/>
          <w:szCs w:val="20"/>
        </w:rPr>
        <w:t xml:space="preserve"> </w:t>
      </w:r>
      <w:r>
        <w:rPr>
          <w:rFonts w:ascii="Times New Roman" w:eastAsia="Times New Roman" w:hAnsi="Times New Roman" w:cs="Times New Roman"/>
          <w:spacing w:val="10"/>
          <w:sz w:val="20"/>
          <w:szCs w:val="20"/>
        </w:rPr>
        <w:t>(</w:t>
      </w:r>
      <w:r>
        <w:rPr>
          <w:rFonts w:ascii="Times New Roman" w:eastAsia="Times New Roman" w:hAnsi="Times New Roman" w:cs="Times New Roman"/>
          <w:sz w:val="20"/>
          <w:szCs w:val="20"/>
        </w:rPr>
        <w:t>net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protein</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utilization</w:t>
      </w:r>
      <w:r>
        <w:rPr>
          <w:rFonts w:ascii="Times New Roman" w:eastAsia="Times New Roman" w:hAnsi="Times New Roman" w:cs="Times New Roman"/>
          <w:spacing w:val="10"/>
          <w:sz w:val="20"/>
          <w:szCs w:val="20"/>
        </w:rPr>
        <w:t>,</w:t>
      </w:r>
      <w:r>
        <w:rPr>
          <w:rFonts w:ascii="Times New Roman" w:eastAsia="Times New Roman" w:hAnsi="Times New Roman" w:cs="Times New Roman"/>
          <w:sz w:val="20"/>
          <w:szCs w:val="20"/>
        </w:rPr>
        <w:t>NPU</w:t>
      </w:r>
      <w:r>
        <w:rPr>
          <w:rFonts w:ascii="Times New Roman" w:eastAsia="Times New Roman" w:hAnsi="Times New Roman" w:cs="Times New Roman"/>
          <w:spacing w:val="10"/>
          <w:sz w:val="20"/>
          <w:szCs w:val="20"/>
        </w:rPr>
        <w:t>)</w:t>
      </w:r>
      <w:r>
        <w:rPr>
          <w:rFonts w:ascii="Times New Roman" w:eastAsia="Times New Roman" w:hAnsi="Times New Roman" w:cs="Times New Roman"/>
          <w:spacing w:val="8"/>
          <w:sz w:val="20"/>
          <w:szCs w:val="20"/>
        </w:rPr>
        <w:t xml:space="preserve">  </w:t>
      </w:r>
      <w:r>
        <w:rPr>
          <w:rFonts w:ascii="宋体" w:eastAsia="宋体" w:hAnsi="宋体" w:cs="宋体"/>
          <w:spacing w:val="10"/>
          <w:sz w:val="20"/>
          <w:szCs w:val="20"/>
        </w:rPr>
        <w:t>是反映食物中蛋白质被利</w:t>
      </w:r>
      <w:r>
        <w:rPr>
          <w:rFonts w:ascii="宋体" w:eastAsia="宋体" w:hAnsi="宋体" w:cs="宋体"/>
          <w:spacing w:val="1"/>
          <w:sz w:val="20"/>
          <w:szCs w:val="20"/>
        </w:rPr>
        <w:t xml:space="preserve"> </w:t>
      </w:r>
      <w:r>
        <w:rPr>
          <w:rFonts w:ascii="宋体" w:eastAsia="宋体" w:hAnsi="宋体" w:cs="宋体"/>
          <w:spacing w:val="8"/>
          <w:sz w:val="20"/>
          <w:szCs w:val="20"/>
        </w:rPr>
        <w:t>用的程度，它把食物蛋白质的消化和利用两个方面都</w:t>
      </w:r>
      <w:r>
        <w:rPr>
          <w:rFonts w:ascii="宋体" w:eastAsia="宋体" w:hAnsi="宋体" w:cs="宋体"/>
          <w:spacing w:val="7"/>
          <w:sz w:val="20"/>
          <w:szCs w:val="20"/>
        </w:rPr>
        <w:t>包括了，因此更为全面，计</w:t>
      </w:r>
      <w:r>
        <w:rPr>
          <w:rFonts w:ascii="宋体" w:eastAsia="宋体" w:hAnsi="宋体" w:cs="宋体"/>
          <w:sz w:val="20"/>
          <w:szCs w:val="20"/>
        </w:rPr>
        <w:t xml:space="preserve"> </w:t>
      </w:r>
      <w:r>
        <w:rPr>
          <w:rFonts w:ascii="宋体" w:eastAsia="宋体" w:hAnsi="宋体" w:cs="宋体"/>
          <w:spacing w:val="1"/>
          <w:sz w:val="20"/>
          <w:szCs w:val="20"/>
        </w:rPr>
        <w:t>算公式如下：</w:t>
      </w:r>
    </w:p>
    <w:p w:rsidR="00EA40A3" w:rsidRDefault="00E86C16">
      <w:pPr>
        <w:spacing w:before="65" w:line="440" w:lineRule="exact"/>
        <w:ind w:left="1340"/>
      </w:pPr>
      <w:r>
        <w:rPr>
          <w:noProof/>
          <w:position w:val="-9"/>
        </w:rPr>
        <w:drawing>
          <wp:inline distT="0" distB="0" distL="0" distR="0">
            <wp:extent cx="2964815" cy="27876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64"/>
                    <a:stretch>
                      <a:fillRect/>
                    </a:stretch>
                  </pic:blipFill>
                  <pic:spPr>
                    <a:xfrm>
                      <a:off x="0" y="0"/>
                      <a:ext cx="2965405" cy="279365"/>
                    </a:xfrm>
                    <a:prstGeom prst="rect">
                      <a:avLst/>
                    </a:prstGeom>
                  </pic:spPr>
                </pic:pic>
              </a:graphicData>
            </a:graphic>
          </wp:inline>
        </w:drawing>
      </w:r>
    </w:p>
    <w:p w:rsidR="00EA40A3" w:rsidRDefault="00E86C16">
      <w:pPr>
        <w:spacing w:before="257" w:line="223" w:lineRule="auto"/>
        <w:ind w:left="40"/>
        <w:rPr>
          <w:rFonts w:ascii="仿宋" w:eastAsia="仿宋" w:hAnsi="仿宋" w:cs="仿宋"/>
          <w:sz w:val="20"/>
          <w:szCs w:val="20"/>
        </w:rPr>
      </w:pPr>
      <w:r>
        <w:rPr>
          <w:rFonts w:ascii="仿宋" w:eastAsia="仿宋" w:hAnsi="仿宋" w:cs="仿宋"/>
          <w:spacing w:val="25"/>
          <w:sz w:val="20"/>
          <w:szCs w:val="20"/>
        </w:rPr>
        <w:t>5.</w:t>
      </w:r>
      <w:r>
        <w:rPr>
          <w:rFonts w:ascii="仿宋" w:eastAsia="仿宋" w:hAnsi="仿宋" w:cs="仿宋"/>
          <w:spacing w:val="7"/>
          <w:sz w:val="20"/>
          <w:szCs w:val="20"/>
        </w:rPr>
        <w:t xml:space="preserve"> </w:t>
      </w:r>
      <w:r>
        <w:rPr>
          <w:rFonts w:ascii="仿宋" w:eastAsia="仿宋" w:hAnsi="仿宋" w:cs="仿宋"/>
          <w:spacing w:val="25"/>
          <w:sz w:val="20"/>
          <w:szCs w:val="20"/>
        </w:rPr>
        <w:t>蛋白质功效比值</w:t>
      </w:r>
    </w:p>
    <w:p w:rsidR="00EA40A3" w:rsidRDefault="00E86C16">
      <w:pPr>
        <w:spacing w:before="199" w:line="271" w:lineRule="auto"/>
        <w:ind w:left="9" w:right="51" w:firstLine="440"/>
        <w:jc w:val="both"/>
        <w:rPr>
          <w:rFonts w:ascii="宋体" w:eastAsia="宋体" w:hAnsi="宋体" w:cs="宋体"/>
          <w:sz w:val="20"/>
          <w:szCs w:val="20"/>
        </w:rPr>
      </w:pPr>
      <w:r>
        <w:rPr>
          <w:rFonts w:ascii="宋体" w:eastAsia="宋体" w:hAnsi="宋体" w:cs="宋体"/>
          <w:spacing w:val="10"/>
          <w:sz w:val="20"/>
          <w:szCs w:val="20"/>
        </w:rPr>
        <w:t>蛋白质功效比值</w:t>
      </w:r>
      <w:r>
        <w:rPr>
          <w:rFonts w:ascii="宋体" w:eastAsia="宋体" w:hAnsi="宋体" w:cs="宋体"/>
          <w:spacing w:val="27"/>
          <w:sz w:val="20"/>
          <w:szCs w:val="20"/>
        </w:rPr>
        <w:t xml:space="preserve"> </w:t>
      </w:r>
      <w:r>
        <w:rPr>
          <w:rFonts w:ascii="Times New Roman" w:eastAsia="Times New Roman" w:hAnsi="Times New Roman" w:cs="Times New Roman"/>
          <w:spacing w:val="10"/>
          <w:sz w:val="20"/>
          <w:szCs w:val="20"/>
        </w:rPr>
        <w:t>(</w:t>
      </w:r>
      <w:r>
        <w:rPr>
          <w:rFonts w:ascii="Times New Roman" w:eastAsia="Times New Roman" w:hAnsi="Times New Roman" w:cs="Times New Roman"/>
          <w:sz w:val="20"/>
          <w:szCs w:val="20"/>
        </w:rPr>
        <w:t>protein</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efficiency</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ratio</w:t>
      </w:r>
      <w:r>
        <w:rPr>
          <w:rFonts w:ascii="Times New Roman" w:eastAsia="Times New Roman" w:hAnsi="Times New Roman" w:cs="Times New Roman"/>
          <w:spacing w:val="10"/>
          <w:sz w:val="20"/>
          <w:szCs w:val="20"/>
        </w:rPr>
        <w:t>,</w:t>
      </w:r>
      <w:r>
        <w:rPr>
          <w:rFonts w:ascii="Times New Roman" w:eastAsia="Times New Roman" w:hAnsi="Times New Roman" w:cs="Times New Roman"/>
          <w:sz w:val="20"/>
          <w:szCs w:val="20"/>
        </w:rPr>
        <w:t>PER</w:t>
      </w:r>
      <w:r>
        <w:rPr>
          <w:rFonts w:ascii="Times New Roman" w:eastAsia="Times New Roman" w:hAnsi="Times New Roman" w:cs="Times New Roman"/>
          <w:spacing w:val="10"/>
          <w:sz w:val="20"/>
          <w:szCs w:val="20"/>
        </w:rPr>
        <w:t>)</w:t>
      </w:r>
      <w:r>
        <w:rPr>
          <w:rFonts w:ascii="Times New Roman" w:eastAsia="Times New Roman" w:hAnsi="Times New Roman" w:cs="Times New Roman"/>
          <w:spacing w:val="46"/>
          <w:w w:val="101"/>
          <w:sz w:val="20"/>
          <w:szCs w:val="20"/>
        </w:rPr>
        <w:t xml:space="preserve"> </w:t>
      </w:r>
      <w:r>
        <w:rPr>
          <w:rFonts w:ascii="宋体" w:eastAsia="宋体" w:hAnsi="宋体" w:cs="宋体"/>
          <w:spacing w:val="10"/>
          <w:sz w:val="20"/>
          <w:szCs w:val="20"/>
        </w:rPr>
        <w:t>是指平均每摄入</w:t>
      </w:r>
      <w:r>
        <w:rPr>
          <w:rFonts w:ascii="宋体" w:eastAsia="宋体" w:hAnsi="宋体" w:cs="宋体"/>
          <w:spacing w:val="-49"/>
          <w:sz w:val="20"/>
          <w:szCs w:val="20"/>
        </w:rPr>
        <w:t xml:space="preserve"> </w:t>
      </w:r>
      <w:r>
        <w:rPr>
          <w:rFonts w:ascii="Times New Roman" w:eastAsia="Times New Roman" w:hAnsi="Times New Roman" w:cs="Times New Roman"/>
          <w:sz w:val="20"/>
          <w:szCs w:val="20"/>
        </w:rPr>
        <w:t>lg</w:t>
      </w:r>
      <w:r>
        <w:rPr>
          <w:rFonts w:ascii="Times New Roman" w:eastAsia="Times New Roman" w:hAnsi="Times New Roman" w:cs="Times New Roman"/>
          <w:spacing w:val="10"/>
          <w:sz w:val="20"/>
          <w:szCs w:val="20"/>
        </w:rPr>
        <w:t xml:space="preserve">  </w:t>
      </w:r>
      <w:r>
        <w:rPr>
          <w:rFonts w:ascii="宋体" w:eastAsia="宋体" w:hAnsi="宋体" w:cs="宋体"/>
          <w:spacing w:val="10"/>
          <w:sz w:val="20"/>
          <w:szCs w:val="20"/>
        </w:rPr>
        <w:t>蛋白</w:t>
      </w:r>
      <w:r>
        <w:rPr>
          <w:rFonts w:ascii="宋体" w:eastAsia="宋体" w:hAnsi="宋体" w:cs="宋体"/>
          <w:spacing w:val="1"/>
          <w:sz w:val="20"/>
          <w:szCs w:val="20"/>
        </w:rPr>
        <w:t xml:space="preserve"> </w:t>
      </w:r>
      <w:r>
        <w:rPr>
          <w:rFonts w:ascii="宋体" w:eastAsia="宋体" w:hAnsi="宋体" w:cs="宋体"/>
          <w:spacing w:val="8"/>
          <w:sz w:val="20"/>
          <w:szCs w:val="20"/>
        </w:rPr>
        <w:t>质能增加动物体重的量。由于所测蛋白质主要用来提</w:t>
      </w:r>
      <w:r>
        <w:rPr>
          <w:rFonts w:ascii="宋体" w:eastAsia="宋体" w:hAnsi="宋体" w:cs="宋体"/>
          <w:spacing w:val="7"/>
          <w:sz w:val="20"/>
          <w:szCs w:val="20"/>
        </w:rPr>
        <w:t>供生长之需要，所以该指标</w:t>
      </w:r>
      <w:r>
        <w:rPr>
          <w:rFonts w:ascii="宋体" w:eastAsia="宋体" w:hAnsi="宋体" w:cs="宋体"/>
          <w:sz w:val="20"/>
          <w:szCs w:val="20"/>
        </w:rPr>
        <w:t xml:space="preserve"> </w:t>
      </w:r>
      <w:r>
        <w:rPr>
          <w:rFonts w:ascii="宋体" w:eastAsia="宋体" w:hAnsi="宋体" w:cs="宋体"/>
          <w:spacing w:val="8"/>
          <w:sz w:val="20"/>
          <w:szCs w:val="20"/>
        </w:rPr>
        <w:t>被广泛用作婴儿食品中蛋白质的评价指标。实验一般</w:t>
      </w:r>
      <w:r>
        <w:rPr>
          <w:rFonts w:ascii="宋体" w:eastAsia="宋体" w:hAnsi="宋体" w:cs="宋体"/>
          <w:spacing w:val="7"/>
          <w:sz w:val="20"/>
          <w:szCs w:val="20"/>
        </w:rPr>
        <w:t>采用刚断乳的雄性大鼠，以</w:t>
      </w:r>
      <w:r>
        <w:rPr>
          <w:rFonts w:ascii="宋体" w:eastAsia="宋体" w:hAnsi="宋体" w:cs="宋体"/>
          <w:sz w:val="20"/>
          <w:szCs w:val="20"/>
        </w:rPr>
        <w:t xml:space="preserve"> </w:t>
      </w:r>
      <w:r>
        <w:rPr>
          <w:rFonts w:ascii="宋体" w:eastAsia="宋体" w:hAnsi="宋体" w:cs="宋体"/>
          <w:spacing w:val="21"/>
          <w:sz w:val="20"/>
          <w:szCs w:val="20"/>
        </w:rPr>
        <w:t>含10%待测蛋白的膳食喂养4周，同时以经过标定的酪蛋白</w:t>
      </w:r>
      <w:r>
        <w:rPr>
          <w:rFonts w:ascii="宋体" w:eastAsia="宋体" w:hAnsi="宋体" w:cs="宋体"/>
          <w:spacing w:val="-16"/>
          <w:sz w:val="20"/>
          <w:szCs w:val="20"/>
        </w:rPr>
        <w:t xml:space="preserve"> </w:t>
      </w:r>
      <w:r>
        <w:rPr>
          <w:rFonts w:ascii="Times New Roman" w:eastAsia="Times New Roman" w:hAnsi="Times New Roman" w:cs="Times New Roman"/>
          <w:spacing w:val="20"/>
          <w:sz w:val="20"/>
          <w:szCs w:val="20"/>
        </w:rPr>
        <w:t>(</w:t>
      </w:r>
      <w:r>
        <w:rPr>
          <w:rFonts w:ascii="Times New Roman" w:eastAsia="Times New Roman" w:hAnsi="Times New Roman" w:cs="Times New Roman"/>
          <w:sz w:val="20"/>
          <w:szCs w:val="20"/>
        </w:rPr>
        <w:t>PER</w:t>
      </w:r>
      <w:r>
        <w:rPr>
          <w:rFonts w:ascii="Times New Roman" w:eastAsia="Times New Roman" w:hAnsi="Times New Roman" w:cs="Times New Roman"/>
          <w:spacing w:val="21"/>
          <w:w w:val="101"/>
          <w:sz w:val="20"/>
          <w:szCs w:val="20"/>
        </w:rPr>
        <w:t xml:space="preserve">  </w:t>
      </w:r>
      <w:r>
        <w:rPr>
          <w:rFonts w:ascii="宋体" w:eastAsia="宋体" w:hAnsi="宋体" w:cs="宋体"/>
          <w:spacing w:val="20"/>
          <w:sz w:val="20"/>
          <w:szCs w:val="20"/>
        </w:rPr>
        <w:t>为2</w:t>
      </w:r>
      <w:r>
        <w:rPr>
          <w:rFonts w:ascii="宋体" w:eastAsia="宋体" w:hAnsi="宋体" w:cs="宋体"/>
          <w:spacing w:val="-42"/>
          <w:sz w:val="20"/>
          <w:szCs w:val="20"/>
        </w:rPr>
        <w:t xml:space="preserve"> </w:t>
      </w:r>
      <w:r>
        <w:rPr>
          <w:rFonts w:ascii="宋体" w:eastAsia="宋体" w:hAnsi="宋体" w:cs="宋体"/>
          <w:spacing w:val="20"/>
          <w:sz w:val="20"/>
          <w:szCs w:val="20"/>
        </w:rPr>
        <w:t>.</w:t>
      </w:r>
      <w:r>
        <w:rPr>
          <w:rFonts w:ascii="宋体" w:eastAsia="宋体" w:hAnsi="宋体" w:cs="宋体"/>
          <w:spacing w:val="-44"/>
          <w:sz w:val="20"/>
          <w:szCs w:val="20"/>
        </w:rPr>
        <w:t xml:space="preserve"> </w:t>
      </w:r>
      <w:r>
        <w:rPr>
          <w:rFonts w:ascii="宋体" w:eastAsia="宋体" w:hAnsi="宋体" w:cs="宋体"/>
          <w:spacing w:val="20"/>
          <w:sz w:val="20"/>
          <w:szCs w:val="20"/>
        </w:rPr>
        <w:t>5)作</w:t>
      </w:r>
      <w:r>
        <w:rPr>
          <w:rFonts w:ascii="宋体" w:eastAsia="宋体" w:hAnsi="宋体" w:cs="宋体"/>
          <w:sz w:val="20"/>
          <w:szCs w:val="20"/>
        </w:rPr>
        <w:t xml:space="preserve"> </w:t>
      </w:r>
      <w:r>
        <w:rPr>
          <w:rFonts w:ascii="宋体" w:eastAsia="宋体" w:hAnsi="宋体" w:cs="宋体"/>
          <w:spacing w:val="6"/>
          <w:sz w:val="20"/>
          <w:szCs w:val="20"/>
        </w:rPr>
        <w:t>为参考蛋白，在同样条件下作为对照进行测定</w:t>
      </w:r>
      <w:r>
        <w:rPr>
          <w:rFonts w:ascii="宋体" w:eastAsia="宋体" w:hAnsi="宋体" w:cs="宋体"/>
          <w:spacing w:val="5"/>
          <w:sz w:val="20"/>
          <w:szCs w:val="20"/>
        </w:rPr>
        <w:t>，计算公式如下：</w:t>
      </w:r>
    </w:p>
    <w:p w:rsidR="00EA40A3" w:rsidRDefault="00E86C16">
      <w:pPr>
        <w:spacing w:before="64" w:line="450" w:lineRule="exact"/>
        <w:ind w:firstLine="1979"/>
        <w:textAlignment w:val="center"/>
      </w:pPr>
      <w:r>
        <w:rPr>
          <w:noProof/>
        </w:rPr>
        <w:drawing>
          <wp:inline distT="0" distB="0" distL="0" distR="0">
            <wp:extent cx="2108200" cy="285115"/>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65"/>
                    <a:stretch>
                      <a:fillRect/>
                    </a:stretch>
                  </pic:blipFill>
                  <pic:spPr>
                    <a:xfrm>
                      <a:off x="0" y="0"/>
                      <a:ext cx="2108218" cy="285727"/>
                    </a:xfrm>
                    <a:prstGeom prst="rect">
                      <a:avLst/>
                    </a:prstGeom>
                  </pic:spPr>
                </pic:pic>
              </a:graphicData>
            </a:graphic>
          </wp:inline>
        </w:drawing>
      </w:r>
    </w:p>
    <w:p w:rsidR="00EA40A3" w:rsidRDefault="00E86C16">
      <w:pPr>
        <w:spacing w:before="255" w:line="222" w:lineRule="auto"/>
        <w:rPr>
          <w:rFonts w:ascii="仿宋" w:eastAsia="仿宋" w:hAnsi="仿宋" w:cs="仿宋"/>
          <w:sz w:val="20"/>
          <w:szCs w:val="20"/>
        </w:rPr>
      </w:pPr>
      <w:r>
        <w:rPr>
          <w:rFonts w:ascii="仿宋" w:eastAsia="仿宋" w:hAnsi="仿宋" w:cs="仿宋"/>
          <w:spacing w:val="32"/>
          <w:sz w:val="20"/>
          <w:szCs w:val="20"/>
        </w:rPr>
        <w:t>6.</w:t>
      </w:r>
      <w:r>
        <w:rPr>
          <w:rFonts w:ascii="仿宋" w:eastAsia="仿宋" w:hAnsi="仿宋" w:cs="仿宋"/>
          <w:spacing w:val="31"/>
          <w:sz w:val="20"/>
          <w:szCs w:val="20"/>
        </w:rPr>
        <w:t xml:space="preserve"> </w:t>
      </w:r>
      <w:r>
        <w:rPr>
          <w:rFonts w:ascii="仿宋" w:eastAsia="仿宋" w:hAnsi="仿宋" w:cs="仿宋"/>
          <w:spacing w:val="32"/>
          <w:sz w:val="20"/>
          <w:szCs w:val="20"/>
        </w:rPr>
        <w:t>氨基酸评分和经消化率修正的氨基酸评分</w:t>
      </w:r>
    </w:p>
    <w:p w:rsidR="00EA40A3" w:rsidRDefault="00E86C16">
      <w:pPr>
        <w:spacing w:before="210" w:line="269" w:lineRule="auto"/>
        <w:ind w:left="9" w:right="73" w:firstLine="420"/>
        <w:jc w:val="both"/>
        <w:rPr>
          <w:rFonts w:ascii="宋体" w:eastAsia="宋体" w:hAnsi="宋体" w:cs="宋体"/>
          <w:sz w:val="20"/>
          <w:szCs w:val="20"/>
        </w:rPr>
      </w:pPr>
      <w:r>
        <w:rPr>
          <w:rFonts w:ascii="宋体" w:eastAsia="宋体" w:hAnsi="宋体" w:cs="宋体"/>
          <w:spacing w:val="7"/>
          <w:sz w:val="20"/>
          <w:szCs w:val="20"/>
        </w:rPr>
        <w:t>以生物学价值最高的鸡蛋蛋白质作为参考蛋白质，将每克待评食物蛋白质中</w:t>
      </w:r>
      <w:r>
        <w:rPr>
          <w:rFonts w:ascii="宋体" w:eastAsia="宋体" w:hAnsi="宋体" w:cs="宋体"/>
          <w:spacing w:val="9"/>
          <w:sz w:val="20"/>
          <w:szCs w:val="20"/>
        </w:rPr>
        <w:t xml:space="preserve"> </w:t>
      </w:r>
      <w:r>
        <w:rPr>
          <w:rFonts w:ascii="宋体" w:eastAsia="宋体" w:hAnsi="宋体" w:cs="宋体"/>
          <w:spacing w:val="7"/>
          <w:sz w:val="20"/>
          <w:szCs w:val="20"/>
        </w:rPr>
        <w:t>每种必需氨基酸的含量占等量参考蛋白质中该氨基酸含量的百分数计算出来，此</w:t>
      </w:r>
      <w:r>
        <w:rPr>
          <w:rFonts w:ascii="宋体" w:eastAsia="宋体" w:hAnsi="宋体" w:cs="宋体"/>
          <w:spacing w:val="11"/>
          <w:sz w:val="20"/>
          <w:szCs w:val="20"/>
        </w:rPr>
        <w:t xml:space="preserve"> </w:t>
      </w:r>
      <w:r>
        <w:rPr>
          <w:rFonts w:ascii="宋体" w:eastAsia="宋体" w:hAnsi="宋体" w:cs="宋体"/>
          <w:spacing w:val="5"/>
          <w:sz w:val="20"/>
          <w:szCs w:val="20"/>
        </w:rPr>
        <w:t>百分数即氨基酸评分</w:t>
      </w:r>
      <w:r>
        <w:rPr>
          <w:rFonts w:ascii="宋体" w:eastAsia="宋体" w:hAnsi="宋体" w:cs="宋体"/>
          <w:spacing w:val="-9"/>
          <w:sz w:val="20"/>
          <w:szCs w:val="20"/>
        </w:rPr>
        <w:t xml:space="preserve"> </w:t>
      </w:r>
      <w:r>
        <w:rPr>
          <w:rFonts w:ascii="Times New Roman" w:eastAsia="Times New Roman" w:hAnsi="Times New Roman" w:cs="Times New Roman"/>
          <w:spacing w:val="5"/>
          <w:sz w:val="20"/>
          <w:szCs w:val="20"/>
        </w:rPr>
        <w:t>(</w:t>
      </w:r>
      <w:r>
        <w:rPr>
          <w:rFonts w:ascii="Times New Roman" w:eastAsia="Times New Roman" w:hAnsi="Times New Roman" w:cs="Times New Roman"/>
          <w:sz w:val="20"/>
          <w:szCs w:val="20"/>
        </w:rPr>
        <w:t>amino</w:t>
      </w:r>
      <w:r>
        <w:rPr>
          <w:rFonts w:ascii="Times New Roman" w:eastAsia="Times New Roman" w:hAnsi="Times New Roman" w:cs="Times New Roman"/>
          <w:spacing w:val="22"/>
          <w:sz w:val="20"/>
          <w:szCs w:val="20"/>
        </w:rPr>
        <w:t xml:space="preserve">  </w:t>
      </w:r>
      <w:r>
        <w:rPr>
          <w:rFonts w:ascii="Times New Roman" w:eastAsia="Times New Roman" w:hAnsi="Times New Roman" w:cs="Times New Roman"/>
          <w:sz w:val="20"/>
          <w:szCs w:val="20"/>
        </w:rPr>
        <w:t>acid</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score</w:t>
      </w:r>
      <w:r>
        <w:rPr>
          <w:rFonts w:ascii="Times New Roman" w:eastAsia="Times New Roman" w:hAnsi="Times New Roman" w:cs="Times New Roman"/>
          <w:spacing w:val="19"/>
          <w:w w:val="101"/>
          <w:sz w:val="20"/>
          <w:szCs w:val="20"/>
        </w:rPr>
        <w:t xml:space="preserve">  </w:t>
      </w:r>
      <w:r>
        <w:rPr>
          <w:rFonts w:ascii="Times New Roman" w:eastAsia="Times New Roman" w:hAnsi="Times New Roman" w:cs="Times New Roman"/>
          <w:sz w:val="20"/>
          <w:szCs w:val="20"/>
        </w:rPr>
        <w:t>AAS</w:t>
      </w:r>
      <w:r>
        <w:rPr>
          <w:rFonts w:ascii="Times New Roman" w:eastAsia="Times New Roman" w:hAnsi="Times New Roman" w:cs="Times New Roman"/>
          <w:spacing w:val="5"/>
          <w:sz w:val="20"/>
          <w:szCs w:val="20"/>
        </w:rPr>
        <w:t>)</w:t>
      </w:r>
      <w:r>
        <w:rPr>
          <w:rFonts w:ascii="宋体" w:eastAsia="宋体" w:hAnsi="宋体" w:cs="宋体"/>
          <w:spacing w:val="5"/>
          <w:sz w:val="20"/>
          <w:szCs w:val="20"/>
        </w:rPr>
        <w:t>。食物蛋白质氨基酸模式与人体蛋</w:t>
      </w:r>
      <w:r>
        <w:rPr>
          <w:rFonts w:ascii="宋体" w:eastAsia="宋体" w:hAnsi="宋体" w:cs="宋体"/>
          <w:sz w:val="20"/>
          <w:szCs w:val="20"/>
        </w:rPr>
        <w:t xml:space="preserve"> </w:t>
      </w:r>
      <w:r>
        <w:rPr>
          <w:rFonts w:ascii="宋体" w:eastAsia="宋体" w:hAnsi="宋体" w:cs="宋体"/>
          <w:spacing w:val="7"/>
          <w:sz w:val="20"/>
          <w:szCs w:val="20"/>
        </w:rPr>
        <w:t>白质构成模式越接近，其营养价值越高。氨基酸评分能评价其接近程度，是一</w:t>
      </w:r>
      <w:r>
        <w:rPr>
          <w:rFonts w:ascii="宋体" w:eastAsia="宋体" w:hAnsi="宋体" w:cs="宋体"/>
          <w:spacing w:val="6"/>
          <w:sz w:val="20"/>
          <w:szCs w:val="20"/>
        </w:rPr>
        <w:t>种</w:t>
      </w:r>
      <w:r>
        <w:rPr>
          <w:rFonts w:ascii="宋体" w:eastAsia="宋体" w:hAnsi="宋体" w:cs="宋体"/>
          <w:sz w:val="20"/>
          <w:szCs w:val="20"/>
        </w:rPr>
        <w:t xml:space="preserve"> </w:t>
      </w:r>
      <w:r>
        <w:rPr>
          <w:rFonts w:ascii="宋体" w:eastAsia="宋体" w:hAnsi="宋体" w:cs="宋体"/>
          <w:spacing w:val="5"/>
          <w:sz w:val="20"/>
          <w:szCs w:val="20"/>
        </w:rPr>
        <w:t>广为采用的食物蛋白质营养价值评价方法，计算公式如下：</w:t>
      </w:r>
    </w:p>
    <w:p w:rsidR="00EA40A3" w:rsidRDefault="00E86C16">
      <w:pPr>
        <w:spacing w:before="58" w:line="490" w:lineRule="exact"/>
        <w:ind w:firstLine="159"/>
        <w:textAlignment w:val="center"/>
      </w:pPr>
      <w:r>
        <w:rPr>
          <w:noProof/>
        </w:rPr>
        <w:drawing>
          <wp:inline distT="0" distB="0" distL="0" distR="0">
            <wp:extent cx="4413250" cy="31115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66"/>
                    <a:stretch>
                      <a:fillRect/>
                    </a:stretch>
                  </pic:blipFill>
                  <pic:spPr>
                    <a:xfrm>
                      <a:off x="0" y="0"/>
                      <a:ext cx="4413272" cy="311178"/>
                    </a:xfrm>
                    <a:prstGeom prst="rect">
                      <a:avLst/>
                    </a:prstGeom>
                  </pic:spPr>
                </pic:pic>
              </a:graphicData>
            </a:graphic>
          </wp:inline>
        </w:drawing>
      </w:r>
    </w:p>
    <w:p w:rsidR="00EA40A3" w:rsidRDefault="00E86C16">
      <w:pPr>
        <w:spacing w:before="109"/>
        <w:ind w:left="130"/>
        <w:rPr>
          <w:rFonts w:ascii="宋体" w:eastAsia="宋体" w:hAnsi="宋体" w:cs="宋体"/>
          <w:sz w:val="14"/>
          <w:szCs w:val="14"/>
        </w:rPr>
      </w:pPr>
      <w:r>
        <w:rPr>
          <w:rFonts w:ascii="宋体" w:eastAsia="宋体" w:hAnsi="宋体" w:cs="宋体"/>
          <w:spacing w:val="-16"/>
          <w:sz w:val="14"/>
          <w:szCs w:val="14"/>
        </w:rPr>
        <w:t>·</w:t>
      </w:r>
      <w:r>
        <w:rPr>
          <w:rFonts w:ascii="宋体" w:eastAsia="宋体" w:hAnsi="宋体" w:cs="宋体"/>
          <w:spacing w:val="33"/>
          <w:sz w:val="14"/>
          <w:szCs w:val="14"/>
        </w:rPr>
        <w:t xml:space="preserve"> </w:t>
      </w:r>
      <w:r>
        <w:rPr>
          <w:rFonts w:ascii="宋体" w:eastAsia="宋体" w:hAnsi="宋体" w:cs="宋体"/>
          <w:spacing w:val="-16"/>
          <w:sz w:val="14"/>
          <w:szCs w:val="14"/>
        </w:rPr>
        <w:t>76</w:t>
      </w:r>
      <w:r>
        <w:rPr>
          <w:rFonts w:ascii="宋体" w:eastAsia="宋体" w:hAnsi="宋体" w:cs="宋体"/>
          <w:spacing w:val="3"/>
          <w:sz w:val="14"/>
          <w:szCs w:val="14"/>
        </w:rPr>
        <w:t xml:space="preserve">  </w:t>
      </w:r>
      <w:r>
        <w:rPr>
          <w:rFonts w:ascii="宋体" w:eastAsia="宋体" w:hAnsi="宋体" w:cs="宋体"/>
          <w:spacing w:val="-16"/>
          <w:sz w:val="14"/>
          <w:szCs w:val="14"/>
        </w:rPr>
        <w:t>·</w:t>
      </w:r>
    </w:p>
    <w:p w:rsidR="00EA40A3" w:rsidRDefault="00EA40A3">
      <w:pPr>
        <w:sectPr w:rsidR="00EA40A3">
          <w:pgSz w:w="9220" w:h="13360"/>
          <w:pgMar w:top="400" w:right="1004" w:bottom="400" w:left="869" w:header="0" w:footer="0" w:gutter="0"/>
          <w:cols w:space="720"/>
        </w:sectPr>
      </w:pPr>
    </w:p>
    <w:p w:rsidR="00EA40A3" w:rsidRDefault="00EA40A3">
      <w:pPr>
        <w:spacing w:line="283" w:lineRule="auto"/>
      </w:pPr>
    </w:p>
    <w:p w:rsidR="00EA40A3" w:rsidRDefault="00EA40A3">
      <w:pPr>
        <w:spacing w:line="284" w:lineRule="auto"/>
      </w:pPr>
    </w:p>
    <w:p w:rsidR="00EA40A3" w:rsidRDefault="00E86C16">
      <w:pPr>
        <w:spacing w:before="68" w:line="255" w:lineRule="auto"/>
        <w:ind w:right="70" w:firstLine="430"/>
        <w:jc w:val="both"/>
        <w:rPr>
          <w:rFonts w:ascii="宋体" w:eastAsia="宋体" w:hAnsi="宋体" w:cs="宋体"/>
        </w:rPr>
      </w:pPr>
      <w:r>
        <w:rPr>
          <w:rFonts w:ascii="宋体" w:eastAsia="宋体" w:hAnsi="宋体" w:cs="宋体"/>
          <w:spacing w:val="-2"/>
        </w:rPr>
        <w:t>在进行食物氨基酸强化时，应根据食物蛋白质氨基酸</w:t>
      </w:r>
      <w:r>
        <w:rPr>
          <w:rFonts w:ascii="宋体" w:eastAsia="宋体" w:hAnsi="宋体" w:cs="宋体"/>
          <w:spacing w:val="-3"/>
        </w:rPr>
        <w:t>模式的特点，同时考虑</w:t>
      </w:r>
      <w:r>
        <w:rPr>
          <w:rFonts w:ascii="宋体" w:eastAsia="宋体" w:hAnsi="宋体" w:cs="宋体"/>
        </w:rPr>
        <w:t xml:space="preserve"> </w:t>
      </w:r>
      <w:r>
        <w:rPr>
          <w:rFonts w:ascii="宋体" w:eastAsia="宋体" w:hAnsi="宋体" w:cs="宋体"/>
          <w:spacing w:val="-5"/>
        </w:rPr>
        <w:t>第一、第二、</w:t>
      </w:r>
      <w:r>
        <w:rPr>
          <w:rFonts w:ascii="宋体" w:eastAsia="宋体" w:hAnsi="宋体" w:cs="宋体"/>
          <w:spacing w:val="-20"/>
        </w:rPr>
        <w:t xml:space="preserve"> </w:t>
      </w:r>
      <w:r>
        <w:rPr>
          <w:rFonts w:ascii="宋体" w:eastAsia="宋体" w:hAnsi="宋体" w:cs="宋体"/>
          <w:spacing w:val="-5"/>
        </w:rPr>
        <w:t>第三限制氨基酸的补充量，否则不仅无效，而且还可能导致新的氨</w:t>
      </w:r>
      <w:r>
        <w:rPr>
          <w:rFonts w:ascii="宋体" w:eastAsia="宋体" w:hAnsi="宋体" w:cs="宋体"/>
        </w:rPr>
        <w:t xml:space="preserve"> </w:t>
      </w:r>
      <w:r>
        <w:rPr>
          <w:rFonts w:ascii="宋体" w:eastAsia="宋体" w:hAnsi="宋体" w:cs="宋体"/>
          <w:spacing w:val="-6"/>
        </w:rPr>
        <w:t>基酸不平衡。</w:t>
      </w:r>
    </w:p>
    <w:p w:rsidR="00EA40A3" w:rsidRDefault="00E86C16">
      <w:pPr>
        <w:spacing w:before="60" w:line="254" w:lineRule="auto"/>
        <w:ind w:firstLine="430"/>
        <w:jc w:val="both"/>
        <w:rPr>
          <w:rFonts w:ascii="宋体" w:eastAsia="宋体" w:hAnsi="宋体" w:cs="宋体"/>
        </w:rPr>
      </w:pPr>
      <w:r>
        <w:rPr>
          <w:rFonts w:ascii="宋体" w:eastAsia="宋体" w:hAnsi="宋体" w:cs="宋体"/>
        </w:rPr>
        <w:t>氨基酸评分的方法比较简单，缺点是没有考虑食物蛋白质的消</w:t>
      </w:r>
      <w:r>
        <w:rPr>
          <w:rFonts w:ascii="宋体" w:eastAsia="宋体" w:hAnsi="宋体" w:cs="宋体"/>
          <w:spacing w:val="-1"/>
        </w:rPr>
        <w:t>化率。因此，</w:t>
      </w:r>
      <w:r>
        <w:rPr>
          <w:rFonts w:ascii="宋体" w:eastAsia="宋体" w:hAnsi="宋体" w:cs="宋体"/>
        </w:rPr>
        <w:t xml:space="preserve"> </w:t>
      </w:r>
      <w:r>
        <w:rPr>
          <w:rFonts w:ascii="宋体" w:eastAsia="宋体" w:hAnsi="宋体" w:cs="宋体"/>
          <w:spacing w:val="8"/>
        </w:rPr>
        <w:t>在20世纪90年代初</w:t>
      </w:r>
      <w:r>
        <w:rPr>
          <w:rFonts w:ascii="宋体" w:eastAsia="宋体" w:hAnsi="宋体" w:cs="宋体"/>
        </w:rPr>
        <w:t>FAO</w:t>
      </w:r>
      <w:r>
        <w:rPr>
          <w:rFonts w:ascii="宋体" w:eastAsia="宋体" w:hAnsi="宋体" w:cs="宋体"/>
          <w:spacing w:val="8"/>
        </w:rPr>
        <w:t>/</w:t>
      </w:r>
      <w:r>
        <w:rPr>
          <w:rFonts w:ascii="宋体" w:eastAsia="宋体" w:hAnsi="宋体" w:cs="宋体"/>
        </w:rPr>
        <w:t>WHO</w:t>
      </w:r>
      <w:r>
        <w:rPr>
          <w:rFonts w:ascii="宋体" w:eastAsia="宋体" w:hAnsi="宋体" w:cs="宋体"/>
          <w:spacing w:val="28"/>
        </w:rPr>
        <w:t xml:space="preserve">   </w:t>
      </w:r>
      <w:r>
        <w:rPr>
          <w:rFonts w:ascii="宋体" w:eastAsia="宋体" w:hAnsi="宋体" w:cs="宋体"/>
          <w:spacing w:val="8"/>
        </w:rPr>
        <w:t>通过了一种新的方法，即经消化率修</w:t>
      </w:r>
      <w:r>
        <w:rPr>
          <w:rFonts w:ascii="宋体" w:eastAsia="宋体" w:hAnsi="宋体" w:cs="宋体"/>
          <w:spacing w:val="7"/>
        </w:rPr>
        <w:t>正的氨基</w:t>
      </w:r>
      <w:r>
        <w:rPr>
          <w:rFonts w:ascii="宋体" w:eastAsia="宋体" w:hAnsi="宋体" w:cs="宋体"/>
        </w:rPr>
        <w:t xml:space="preserve">  </w:t>
      </w:r>
      <w:r>
        <w:rPr>
          <w:rFonts w:ascii="宋体" w:eastAsia="宋体" w:hAnsi="宋体" w:cs="宋体"/>
          <w:spacing w:val="-10"/>
        </w:rPr>
        <w:t>酸评分</w:t>
      </w:r>
      <w:r>
        <w:rPr>
          <w:rFonts w:ascii="宋体" w:eastAsia="宋体" w:hAnsi="宋体" w:cs="宋体"/>
          <w:spacing w:val="-15"/>
        </w:rPr>
        <w:t xml:space="preserve"> </w:t>
      </w:r>
      <w:r>
        <w:rPr>
          <w:rFonts w:ascii="宋体" w:eastAsia="宋体" w:hAnsi="宋体" w:cs="宋体"/>
          <w:spacing w:val="-10"/>
        </w:rPr>
        <w:t>(protein</w:t>
      </w:r>
      <w:r>
        <w:rPr>
          <w:rFonts w:ascii="宋体" w:eastAsia="宋体" w:hAnsi="宋体" w:cs="宋体"/>
          <w:spacing w:val="4"/>
        </w:rPr>
        <w:t xml:space="preserve"> </w:t>
      </w:r>
      <w:r>
        <w:rPr>
          <w:rFonts w:ascii="宋体" w:eastAsia="宋体" w:hAnsi="宋体" w:cs="宋体"/>
          <w:spacing w:val="-10"/>
        </w:rPr>
        <w:t>digestibility</w:t>
      </w:r>
      <w:r>
        <w:rPr>
          <w:rFonts w:ascii="宋体" w:eastAsia="宋体" w:hAnsi="宋体" w:cs="宋体"/>
          <w:spacing w:val="3"/>
        </w:rPr>
        <w:t xml:space="preserve"> </w:t>
      </w:r>
      <w:r>
        <w:rPr>
          <w:rFonts w:ascii="宋体" w:eastAsia="宋体" w:hAnsi="宋体" w:cs="宋体"/>
          <w:spacing w:val="-10"/>
        </w:rPr>
        <w:t>corrected</w:t>
      </w:r>
      <w:r>
        <w:rPr>
          <w:rFonts w:ascii="宋体" w:eastAsia="宋体" w:hAnsi="宋体" w:cs="宋体"/>
          <w:spacing w:val="1"/>
        </w:rPr>
        <w:t xml:space="preserve"> </w:t>
      </w:r>
      <w:r>
        <w:rPr>
          <w:rFonts w:ascii="宋体" w:eastAsia="宋体" w:hAnsi="宋体" w:cs="宋体"/>
          <w:spacing w:val="-10"/>
        </w:rPr>
        <w:t>amino</w:t>
      </w:r>
      <w:r>
        <w:rPr>
          <w:rFonts w:ascii="宋体" w:eastAsia="宋体" w:hAnsi="宋体" w:cs="宋体"/>
        </w:rPr>
        <w:t xml:space="preserve"> </w:t>
      </w:r>
      <w:r>
        <w:rPr>
          <w:rFonts w:ascii="宋体" w:eastAsia="宋体" w:hAnsi="宋体" w:cs="宋体"/>
          <w:spacing w:val="-10"/>
        </w:rPr>
        <w:t>acid</w:t>
      </w:r>
      <w:r>
        <w:rPr>
          <w:rFonts w:ascii="宋体" w:eastAsia="宋体" w:hAnsi="宋体" w:cs="宋体"/>
          <w:spacing w:val="8"/>
        </w:rPr>
        <w:t xml:space="preserve"> </w:t>
      </w:r>
      <w:r>
        <w:rPr>
          <w:rFonts w:ascii="宋体" w:eastAsia="宋体" w:hAnsi="宋体" w:cs="宋体"/>
          <w:spacing w:val="-10"/>
        </w:rPr>
        <w:t>score</w:t>
      </w:r>
      <w:r>
        <w:rPr>
          <w:rFonts w:ascii="宋体" w:eastAsia="宋体" w:hAnsi="宋体" w:cs="宋体"/>
          <w:spacing w:val="-11"/>
        </w:rPr>
        <w:t>,</w:t>
      </w:r>
      <w:r>
        <w:rPr>
          <w:rFonts w:ascii="宋体" w:eastAsia="宋体" w:hAnsi="宋体" w:cs="宋体"/>
          <w:spacing w:val="-10"/>
        </w:rPr>
        <w:t>PDCAAS</w:t>
      </w:r>
      <w:r>
        <w:rPr>
          <w:rFonts w:ascii="宋体" w:eastAsia="宋体" w:hAnsi="宋体" w:cs="宋体"/>
          <w:spacing w:val="-11"/>
        </w:rPr>
        <w:t>)。</w:t>
      </w:r>
      <w:r>
        <w:rPr>
          <w:rFonts w:ascii="宋体" w:eastAsia="宋体" w:hAnsi="宋体" w:cs="宋体"/>
          <w:spacing w:val="-30"/>
        </w:rPr>
        <w:t xml:space="preserve"> </w:t>
      </w:r>
      <w:r>
        <w:rPr>
          <w:rFonts w:ascii="宋体" w:eastAsia="宋体" w:hAnsi="宋体" w:cs="宋体"/>
          <w:spacing w:val="-11"/>
        </w:rPr>
        <w:t>这种方法</w:t>
      </w:r>
      <w:r>
        <w:rPr>
          <w:rFonts w:ascii="宋体" w:eastAsia="宋体" w:hAnsi="宋体" w:cs="宋体"/>
        </w:rPr>
        <w:t xml:space="preserve">  可代替蛋白质功效比，适用于除孕妇和1岁以下婴儿以外的所有人群的食物蛋白</w:t>
      </w:r>
      <w:r>
        <w:rPr>
          <w:rFonts w:ascii="宋体" w:eastAsia="宋体" w:hAnsi="宋体" w:cs="宋体"/>
          <w:spacing w:val="5"/>
        </w:rPr>
        <w:t xml:space="preserve">  </w:t>
      </w:r>
      <w:r>
        <w:rPr>
          <w:rFonts w:ascii="宋体" w:eastAsia="宋体" w:hAnsi="宋体" w:cs="宋体"/>
          <w:spacing w:val="-7"/>
        </w:rPr>
        <w:t>质评价，表3-17是几种食物蛋白质的经消化率修正的氨基酸评分，计算公式如下</w:t>
      </w:r>
      <w:r>
        <w:rPr>
          <w:rFonts w:ascii="宋体" w:eastAsia="宋体" w:hAnsi="宋体" w:cs="宋体"/>
          <w:spacing w:val="-8"/>
        </w:rPr>
        <w:t>：</w:t>
      </w:r>
    </w:p>
    <w:p w:rsidR="00EA40A3" w:rsidRDefault="00E86C16">
      <w:pPr>
        <w:spacing w:before="53" w:line="219" w:lineRule="auto"/>
        <w:ind w:left="2120"/>
        <w:rPr>
          <w:rFonts w:ascii="宋体" w:eastAsia="宋体" w:hAnsi="宋体" w:cs="宋体"/>
        </w:rPr>
      </w:pPr>
      <w:r>
        <w:rPr>
          <w:rFonts w:ascii="宋体" w:eastAsia="宋体" w:hAnsi="宋体" w:cs="宋体"/>
          <w:spacing w:val="-3"/>
        </w:rPr>
        <w:t>PDCAAS</w:t>
      </w:r>
      <w:r>
        <w:rPr>
          <w:rFonts w:ascii="宋体" w:eastAsia="宋体" w:hAnsi="宋体" w:cs="宋体"/>
          <w:spacing w:val="23"/>
        </w:rPr>
        <w:t xml:space="preserve">   </w:t>
      </w:r>
      <w:r>
        <w:rPr>
          <w:rFonts w:ascii="宋体" w:eastAsia="宋体" w:hAnsi="宋体" w:cs="宋体"/>
          <w:spacing w:val="-3"/>
        </w:rPr>
        <w:t>=</w:t>
      </w:r>
      <w:r>
        <w:rPr>
          <w:rFonts w:ascii="宋体" w:eastAsia="宋体" w:hAnsi="宋体" w:cs="宋体"/>
          <w:spacing w:val="-42"/>
        </w:rPr>
        <w:t xml:space="preserve"> </w:t>
      </w:r>
      <w:r>
        <w:rPr>
          <w:rFonts w:ascii="宋体" w:eastAsia="宋体" w:hAnsi="宋体" w:cs="宋体"/>
          <w:spacing w:val="-3"/>
        </w:rPr>
        <w:t>氨基酸评分×真消化率</w:t>
      </w:r>
    </w:p>
    <w:p w:rsidR="00EA40A3" w:rsidRDefault="00EA40A3">
      <w:pPr>
        <w:spacing w:line="357" w:lineRule="auto"/>
      </w:pPr>
    </w:p>
    <w:p w:rsidR="00EA40A3" w:rsidRDefault="00E86C16">
      <w:pPr>
        <w:spacing w:before="56" w:line="220" w:lineRule="auto"/>
        <w:ind w:left="1662"/>
        <w:rPr>
          <w:rFonts w:ascii="黑体" w:eastAsia="黑体" w:hAnsi="黑体" w:cs="黑体"/>
          <w:sz w:val="17"/>
          <w:szCs w:val="17"/>
        </w:rPr>
      </w:pPr>
      <w:r>
        <w:rPr>
          <w:rFonts w:ascii="黑体" w:eastAsia="黑体" w:hAnsi="黑体" w:cs="黑体"/>
          <w:b/>
          <w:bCs/>
          <w:spacing w:val="6"/>
          <w:sz w:val="17"/>
          <w:szCs w:val="17"/>
        </w:rPr>
        <w:t>表3-17</w:t>
      </w:r>
      <w:r>
        <w:rPr>
          <w:rFonts w:ascii="黑体" w:eastAsia="黑体" w:hAnsi="黑体" w:cs="黑体"/>
          <w:spacing w:val="98"/>
          <w:sz w:val="17"/>
          <w:szCs w:val="17"/>
        </w:rPr>
        <w:t xml:space="preserve"> </w:t>
      </w:r>
      <w:r>
        <w:rPr>
          <w:rFonts w:ascii="黑体" w:eastAsia="黑体" w:hAnsi="黑体" w:cs="黑体"/>
          <w:b/>
          <w:bCs/>
          <w:spacing w:val="6"/>
          <w:sz w:val="17"/>
          <w:szCs w:val="17"/>
        </w:rPr>
        <w:t>几种食物蛋白质经消化率修正的氨基酸评分</w:t>
      </w:r>
    </w:p>
    <w:p w:rsidR="00EA40A3" w:rsidRDefault="00EA40A3">
      <w:pPr>
        <w:spacing w:line="69" w:lineRule="exact"/>
      </w:pPr>
    </w:p>
    <w:tbl>
      <w:tblPr>
        <w:tblStyle w:val="TableNormal"/>
        <w:tblW w:w="7249" w:type="dxa"/>
        <w:tblInd w:w="10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030"/>
        <w:gridCol w:w="1580"/>
        <w:gridCol w:w="1995"/>
        <w:gridCol w:w="1644"/>
      </w:tblGrid>
      <w:tr w:rsidR="00EA40A3">
        <w:trPr>
          <w:trHeight w:val="303"/>
        </w:trPr>
        <w:tc>
          <w:tcPr>
            <w:tcW w:w="2030" w:type="dxa"/>
            <w:tcBorders>
              <w:top w:val="single" w:sz="4" w:space="0" w:color="000000"/>
              <w:bottom w:val="single" w:sz="4" w:space="0" w:color="000000"/>
            </w:tcBorders>
          </w:tcPr>
          <w:p w:rsidR="00EA40A3" w:rsidRDefault="00E86C16">
            <w:pPr>
              <w:spacing w:before="92" w:line="220" w:lineRule="auto"/>
              <w:ind w:left="709"/>
              <w:rPr>
                <w:rFonts w:ascii="宋体" w:eastAsia="宋体" w:hAnsi="宋体" w:cs="宋体"/>
                <w:sz w:val="16"/>
                <w:szCs w:val="16"/>
              </w:rPr>
            </w:pPr>
            <w:r>
              <w:rPr>
                <w:rFonts w:ascii="宋体" w:eastAsia="宋体" w:hAnsi="宋体" w:cs="宋体"/>
                <w:spacing w:val="5"/>
                <w:sz w:val="16"/>
                <w:szCs w:val="16"/>
              </w:rPr>
              <w:t>食物蛋白</w:t>
            </w:r>
          </w:p>
        </w:tc>
        <w:tc>
          <w:tcPr>
            <w:tcW w:w="1580" w:type="dxa"/>
            <w:tcBorders>
              <w:top w:val="single" w:sz="4" w:space="0" w:color="000000"/>
              <w:bottom w:val="single" w:sz="4" w:space="0" w:color="000000"/>
              <w:right w:val="single" w:sz="4" w:space="0" w:color="000000"/>
            </w:tcBorders>
          </w:tcPr>
          <w:p w:rsidR="00EA40A3" w:rsidRDefault="00E86C16">
            <w:pPr>
              <w:spacing w:before="121" w:line="185" w:lineRule="auto"/>
              <w:ind w:left="499"/>
              <w:rPr>
                <w:rFonts w:ascii="宋体" w:eastAsia="宋体" w:hAnsi="宋体" w:cs="宋体"/>
                <w:sz w:val="16"/>
                <w:szCs w:val="16"/>
              </w:rPr>
            </w:pPr>
            <w:r>
              <w:rPr>
                <w:rFonts w:ascii="宋体" w:eastAsia="宋体" w:hAnsi="宋体" w:cs="宋体"/>
                <w:spacing w:val="-1"/>
                <w:sz w:val="16"/>
                <w:szCs w:val="16"/>
              </w:rPr>
              <w:t>PDCAAS</w:t>
            </w:r>
          </w:p>
        </w:tc>
        <w:tc>
          <w:tcPr>
            <w:tcW w:w="1995" w:type="dxa"/>
            <w:tcBorders>
              <w:top w:val="single" w:sz="4" w:space="0" w:color="000000"/>
              <w:left w:val="single" w:sz="4" w:space="0" w:color="000000"/>
              <w:bottom w:val="single" w:sz="4" w:space="0" w:color="000000"/>
            </w:tcBorders>
          </w:tcPr>
          <w:p w:rsidR="00EA40A3" w:rsidRDefault="00E86C16">
            <w:pPr>
              <w:spacing w:before="82" w:line="220" w:lineRule="auto"/>
              <w:ind w:left="784"/>
              <w:rPr>
                <w:rFonts w:ascii="宋体" w:eastAsia="宋体" w:hAnsi="宋体" w:cs="宋体"/>
                <w:sz w:val="16"/>
                <w:szCs w:val="16"/>
              </w:rPr>
            </w:pPr>
            <w:r>
              <w:rPr>
                <w:rFonts w:ascii="宋体" w:eastAsia="宋体" w:hAnsi="宋体" w:cs="宋体"/>
                <w:spacing w:val="5"/>
                <w:sz w:val="16"/>
                <w:szCs w:val="16"/>
              </w:rPr>
              <w:t>食物蛋白</w:t>
            </w:r>
          </w:p>
        </w:tc>
        <w:tc>
          <w:tcPr>
            <w:tcW w:w="1644" w:type="dxa"/>
            <w:tcBorders>
              <w:top w:val="single" w:sz="4" w:space="0" w:color="000000"/>
              <w:bottom w:val="single" w:sz="4" w:space="0" w:color="000000"/>
            </w:tcBorders>
          </w:tcPr>
          <w:p w:rsidR="00EA40A3" w:rsidRDefault="00E86C16">
            <w:pPr>
              <w:spacing w:before="121" w:line="185" w:lineRule="auto"/>
              <w:ind w:left="565"/>
              <w:rPr>
                <w:rFonts w:ascii="宋体" w:eastAsia="宋体" w:hAnsi="宋体" w:cs="宋体"/>
                <w:sz w:val="16"/>
                <w:szCs w:val="16"/>
              </w:rPr>
            </w:pPr>
            <w:r>
              <w:rPr>
                <w:rFonts w:ascii="宋体" w:eastAsia="宋体" w:hAnsi="宋体" w:cs="宋体"/>
                <w:spacing w:val="-1"/>
                <w:sz w:val="16"/>
                <w:szCs w:val="16"/>
              </w:rPr>
              <w:t>PDCAAS</w:t>
            </w:r>
          </w:p>
        </w:tc>
      </w:tr>
      <w:tr w:rsidR="00EA40A3">
        <w:trPr>
          <w:trHeight w:val="273"/>
        </w:trPr>
        <w:tc>
          <w:tcPr>
            <w:tcW w:w="2030" w:type="dxa"/>
            <w:tcBorders>
              <w:top w:val="single" w:sz="4" w:space="0" w:color="000000"/>
            </w:tcBorders>
          </w:tcPr>
          <w:p w:rsidR="00EA40A3" w:rsidRDefault="00E86C16">
            <w:pPr>
              <w:spacing w:before="69" w:line="220" w:lineRule="auto"/>
              <w:ind w:left="829"/>
              <w:rPr>
                <w:rFonts w:ascii="宋体" w:eastAsia="宋体" w:hAnsi="宋体" w:cs="宋体"/>
                <w:sz w:val="16"/>
                <w:szCs w:val="16"/>
              </w:rPr>
            </w:pPr>
            <w:r>
              <w:rPr>
                <w:rFonts w:ascii="宋体" w:eastAsia="宋体" w:hAnsi="宋体" w:cs="宋体"/>
                <w:spacing w:val="6"/>
                <w:sz w:val="16"/>
                <w:szCs w:val="16"/>
              </w:rPr>
              <w:t>酪蛋白</w:t>
            </w:r>
          </w:p>
        </w:tc>
        <w:tc>
          <w:tcPr>
            <w:tcW w:w="1580" w:type="dxa"/>
            <w:tcBorders>
              <w:top w:val="single" w:sz="4" w:space="0" w:color="000000"/>
              <w:right w:val="single" w:sz="4" w:space="0" w:color="000000"/>
            </w:tcBorders>
          </w:tcPr>
          <w:p w:rsidR="00EA40A3" w:rsidRDefault="00E86C16">
            <w:pPr>
              <w:spacing w:before="109" w:line="184" w:lineRule="auto"/>
              <w:ind w:left="640"/>
              <w:rPr>
                <w:rFonts w:ascii="宋体" w:eastAsia="宋体" w:hAnsi="宋体" w:cs="宋体"/>
                <w:sz w:val="16"/>
                <w:szCs w:val="16"/>
              </w:rPr>
            </w:pPr>
            <w:r>
              <w:rPr>
                <w:rFonts w:ascii="宋体" w:eastAsia="宋体" w:hAnsi="宋体" w:cs="宋体"/>
                <w:spacing w:val="-4"/>
                <w:sz w:val="16"/>
                <w:szCs w:val="16"/>
              </w:rPr>
              <w:t>1.00</w:t>
            </w:r>
          </w:p>
        </w:tc>
        <w:tc>
          <w:tcPr>
            <w:tcW w:w="1995" w:type="dxa"/>
            <w:tcBorders>
              <w:top w:val="single" w:sz="4" w:space="0" w:color="000000"/>
              <w:left w:val="single" w:sz="4" w:space="0" w:color="000000"/>
            </w:tcBorders>
          </w:tcPr>
          <w:p w:rsidR="00EA40A3" w:rsidRDefault="00E86C16">
            <w:pPr>
              <w:spacing w:before="76" w:line="227" w:lineRule="auto"/>
              <w:ind w:left="874"/>
              <w:rPr>
                <w:rFonts w:ascii="宋体" w:eastAsia="宋体" w:hAnsi="宋体" w:cs="宋体"/>
                <w:sz w:val="16"/>
                <w:szCs w:val="16"/>
              </w:rPr>
            </w:pPr>
            <w:r>
              <w:rPr>
                <w:rFonts w:ascii="宋体" w:eastAsia="宋体" w:hAnsi="宋体" w:cs="宋体"/>
                <w:spacing w:val="-2"/>
                <w:sz w:val="16"/>
                <w:szCs w:val="16"/>
              </w:rPr>
              <w:t>豇豆</w:t>
            </w:r>
          </w:p>
        </w:tc>
        <w:tc>
          <w:tcPr>
            <w:tcW w:w="1644" w:type="dxa"/>
            <w:tcBorders>
              <w:top w:val="single" w:sz="4" w:space="0" w:color="000000"/>
            </w:tcBorders>
          </w:tcPr>
          <w:p w:rsidR="00EA40A3" w:rsidRDefault="00E86C16">
            <w:pPr>
              <w:spacing w:before="119" w:line="177" w:lineRule="auto"/>
              <w:ind w:left="714"/>
              <w:rPr>
                <w:rFonts w:ascii="宋体" w:eastAsia="宋体" w:hAnsi="宋体" w:cs="宋体"/>
                <w:sz w:val="16"/>
                <w:szCs w:val="16"/>
              </w:rPr>
            </w:pPr>
            <w:r>
              <w:rPr>
                <w:rFonts w:ascii="宋体" w:eastAsia="宋体" w:hAnsi="宋体" w:cs="宋体"/>
                <w:spacing w:val="-2"/>
                <w:sz w:val="16"/>
                <w:szCs w:val="16"/>
              </w:rPr>
              <w:t>0.63</w:t>
            </w:r>
          </w:p>
        </w:tc>
      </w:tr>
      <w:tr w:rsidR="00EA40A3">
        <w:trPr>
          <w:trHeight w:val="249"/>
        </w:trPr>
        <w:tc>
          <w:tcPr>
            <w:tcW w:w="2030" w:type="dxa"/>
          </w:tcPr>
          <w:p w:rsidR="00EA40A3" w:rsidRDefault="00E86C16">
            <w:pPr>
              <w:spacing w:before="56" w:line="220" w:lineRule="auto"/>
              <w:ind w:left="829"/>
              <w:rPr>
                <w:rFonts w:ascii="宋体" w:eastAsia="宋体" w:hAnsi="宋体" w:cs="宋体"/>
                <w:sz w:val="16"/>
                <w:szCs w:val="16"/>
              </w:rPr>
            </w:pPr>
            <w:r>
              <w:rPr>
                <w:rFonts w:ascii="宋体" w:eastAsia="宋体" w:hAnsi="宋体" w:cs="宋体"/>
                <w:spacing w:val="-2"/>
                <w:sz w:val="16"/>
                <w:szCs w:val="16"/>
              </w:rPr>
              <w:t>鸡蛋</w:t>
            </w:r>
          </w:p>
        </w:tc>
        <w:tc>
          <w:tcPr>
            <w:tcW w:w="1580" w:type="dxa"/>
            <w:tcBorders>
              <w:right w:val="single" w:sz="4" w:space="0" w:color="000000"/>
            </w:tcBorders>
          </w:tcPr>
          <w:p w:rsidR="00EA40A3" w:rsidRDefault="00E86C16">
            <w:pPr>
              <w:spacing w:before="85" w:line="184" w:lineRule="auto"/>
              <w:ind w:left="640"/>
              <w:rPr>
                <w:rFonts w:ascii="宋体" w:eastAsia="宋体" w:hAnsi="宋体" w:cs="宋体"/>
                <w:sz w:val="16"/>
                <w:szCs w:val="16"/>
              </w:rPr>
            </w:pPr>
            <w:r>
              <w:rPr>
                <w:rFonts w:ascii="宋体" w:eastAsia="宋体" w:hAnsi="宋体" w:cs="宋体"/>
                <w:spacing w:val="-4"/>
                <w:sz w:val="16"/>
                <w:szCs w:val="16"/>
              </w:rPr>
              <w:t>1.00</w:t>
            </w:r>
          </w:p>
        </w:tc>
        <w:tc>
          <w:tcPr>
            <w:tcW w:w="1995" w:type="dxa"/>
            <w:tcBorders>
              <w:left w:val="single" w:sz="4" w:space="0" w:color="000000"/>
            </w:tcBorders>
          </w:tcPr>
          <w:p w:rsidR="00EA40A3" w:rsidRDefault="00E86C16">
            <w:pPr>
              <w:spacing w:before="44" w:line="219" w:lineRule="auto"/>
              <w:ind w:left="784"/>
              <w:rPr>
                <w:rFonts w:ascii="宋体" w:eastAsia="宋体" w:hAnsi="宋体" w:cs="宋体"/>
                <w:sz w:val="16"/>
                <w:szCs w:val="16"/>
              </w:rPr>
            </w:pPr>
            <w:r>
              <w:rPr>
                <w:rFonts w:ascii="宋体" w:eastAsia="宋体" w:hAnsi="宋体" w:cs="宋体"/>
                <w:spacing w:val="-2"/>
                <w:sz w:val="16"/>
                <w:szCs w:val="16"/>
              </w:rPr>
              <w:t>燕麦粉</w:t>
            </w:r>
          </w:p>
        </w:tc>
        <w:tc>
          <w:tcPr>
            <w:tcW w:w="1644" w:type="dxa"/>
          </w:tcPr>
          <w:p w:rsidR="00EA40A3" w:rsidRDefault="00E86C16">
            <w:pPr>
              <w:spacing w:before="96" w:line="176" w:lineRule="auto"/>
              <w:ind w:left="704"/>
              <w:rPr>
                <w:rFonts w:ascii="宋体" w:eastAsia="宋体" w:hAnsi="宋体" w:cs="宋体"/>
                <w:sz w:val="16"/>
                <w:szCs w:val="16"/>
              </w:rPr>
            </w:pPr>
            <w:r>
              <w:rPr>
                <w:rFonts w:ascii="宋体" w:eastAsia="宋体" w:hAnsi="宋体" w:cs="宋体"/>
                <w:spacing w:val="-2"/>
                <w:sz w:val="16"/>
                <w:szCs w:val="16"/>
              </w:rPr>
              <w:t>0.57</w:t>
            </w:r>
          </w:p>
        </w:tc>
      </w:tr>
      <w:tr w:rsidR="00EA40A3">
        <w:trPr>
          <w:trHeight w:val="268"/>
        </w:trPr>
        <w:tc>
          <w:tcPr>
            <w:tcW w:w="2030" w:type="dxa"/>
          </w:tcPr>
          <w:p w:rsidR="00EA40A3" w:rsidRDefault="00E86C16">
            <w:pPr>
              <w:spacing w:before="67" w:line="220" w:lineRule="auto"/>
              <w:ind w:left="569"/>
              <w:rPr>
                <w:rFonts w:ascii="宋体" w:eastAsia="宋体" w:hAnsi="宋体" w:cs="宋体"/>
                <w:sz w:val="16"/>
                <w:szCs w:val="16"/>
              </w:rPr>
            </w:pPr>
            <w:r>
              <w:rPr>
                <w:rFonts w:ascii="宋体" w:eastAsia="宋体" w:hAnsi="宋体" w:cs="宋体"/>
                <w:spacing w:val="3"/>
                <w:sz w:val="16"/>
                <w:szCs w:val="16"/>
              </w:rPr>
              <w:t>大豆分离蛋白</w:t>
            </w:r>
          </w:p>
        </w:tc>
        <w:tc>
          <w:tcPr>
            <w:tcW w:w="1580" w:type="dxa"/>
            <w:tcBorders>
              <w:right w:val="single" w:sz="4" w:space="0" w:color="000000"/>
            </w:tcBorders>
          </w:tcPr>
          <w:p w:rsidR="00EA40A3" w:rsidRDefault="00E86C16">
            <w:pPr>
              <w:spacing w:before="107" w:line="183" w:lineRule="auto"/>
              <w:ind w:left="640"/>
              <w:rPr>
                <w:rFonts w:ascii="宋体" w:eastAsia="宋体" w:hAnsi="宋体" w:cs="宋体"/>
                <w:sz w:val="16"/>
                <w:szCs w:val="16"/>
              </w:rPr>
            </w:pPr>
            <w:r>
              <w:rPr>
                <w:rFonts w:ascii="宋体" w:eastAsia="宋体" w:hAnsi="宋体" w:cs="宋体"/>
                <w:spacing w:val="-2"/>
                <w:sz w:val="16"/>
                <w:szCs w:val="16"/>
              </w:rPr>
              <w:t>0.99</w:t>
            </w:r>
          </w:p>
        </w:tc>
        <w:tc>
          <w:tcPr>
            <w:tcW w:w="1995" w:type="dxa"/>
            <w:tcBorders>
              <w:left w:val="single" w:sz="4" w:space="0" w:color="000000"/>
            </w:tcBorders>
          </w:tcPr>
          <w:p w:rsidR="00EA40A3" w:rsidRDefault="00E86C16">
            <w:pPr>
              <w:spacing w:before="46" w:line="219" w:lineRule="auto"/>
              <w:ind w:left="784"/>
              <w:rPr>
                <w:rFonts w:ascii="宋体" w:eastAsia="宋体" w:hAnsi="宋体" w:cs="宋体"/>
                <w:sz w:val="16"/>
                <w:szCs w:val="16"/>
              </w:rPr>
            </w:pPr>
            <w:r>
              <w:rPr>
                <w:rFonts w:ascii="宋体" w:eastAsia="宋体" w:hAnsi="宋体" w:cs="宋体"/>
                <w:spacing w:val="-2"/>
                <w:sz w:val="16"/>
                <w:szCs w:val="16"/>
              </w:rPr>
              <w:t>花生粉</w:t>
            </w:r>
          </w:p>
        </w:tc>
        <w:tc>
          <w:tcPr>
            <w:tcW w:w="1644" w:type="dxa"/>
          </w:tcPr>
          <w:p w:rsidR="00EA40A3" w:rsidRDefault="00E86C16">
            <w:pPr>
              <w:spacing w:before="118" w:line="173" w:lineRule="auto"/>
              <w:ind w:left="704"/>
              <w:rPr>
                <w:rFonts w:ascii="宋体" w:eastAsia="宋体" w:hAnsi="宋体" w:cs="宋体"/>
                <w:sz w:val="16"/>
                <w:szCs w:val="16"/>
              </w:rPr>
            </w:pPr>
            <w:r>
              <w:rPr>
                <w:rFonts w:ascii="宋体" w:eastAsia="宋体" w:hAnsi="宋体" w:cs="宋体"/>
                <w:spacing w:val="-2"/>
                <w:sz w:val="16"/>
                <w:szCs w:val="16"/>
              </w:rPr>
              <w:t>0.52</w:t>
            </w:r>
          </w:p>
        </w:tc>
      </w:tr>
      <w:tr w:rsidR="00EA40A3">
        <w:trPr>
          <w:trHeight w:val="246"/>
        </w:trPr>
        <w:tc>
          <w:tcPr>
            <w:tcW w:w="2030" w:type="dxa"/>
          </w:tcPr>
          <w:p w:rsidR="00EA40A3" w:rsidRDefault="00E86C16">
            <w:pPr>
              <w:spacing w:before="59" w:line="215" w:lineRule="auto"/>
              <w:ind w:left="829"/>
              <w:rPr>
                <w:rFonts w:ascii="宋体" w:eastAsia="宋体" w:hAnsi="宋体" w:cs="宋体"/>
                <w:sz w:val="16"/>
                <w:szCs w:val="16"/>
              </w:rPr>
            </w:pPr>
            <w:r>
              <w:rPr>
                <w:rFonts w:ascii="宋体" w:eastAsia="宋体" w:hAnsi="宋体" w:cs="宋体"/>
                <w:spacing w:val="7"/>
                <w:sz w:val="16"/>
                <w:szCs w:val="16"/>
              </w:rPr>
              <w:t>牛肉</w:t>
            </w:r>
          </w:p>
        </w:tc>
        <w:tc>
          <w:tcPr>
            <w:tcW w:w="1580" w:type="dxa"/>
            <w:tcBorders>
              <w:right w:val="single" w:sz="4" w:space="0" w:color="000000"/>
            </w:tcBorders>
          </w:tcPr>
          <w:p w:rsidR="00EA40A3" w:rsidRDefault="00E86C16">
            <w:pPr>
              <w:spacing w:before="89" w:line="180" w:lineRule="auto"/>
              <w:ind w:left="629"/>
              <w:rPr>
                <w:rFonts w:ascii="宋体" w:eastAsia="宋体" w:hAnsi="宋体" w:cs="宋体"/>
                <w:sz w:val="16"/>
                <w:szCs w:val="16"/>
              </w:rPr>
            </w:pPr>
            <w:r>
              <w:rPr>
                <w:rFonts w:ascii="宋体" w:eastAsia="宋体" w:hAnsi="宋体" w:cs="宋体"/>
                <w:spacing w:val="-2"/>
                <w:sz w:val="16"/>
                <w:szCs w:val="16"/>
              </w:rPr>
              <w:t>0.92</w:t>
            </w:r>
          </w:p>
        </w:tc>
        <w:tc>
          <w:tcPr>
            <w:tcW w:w="1995" w:type="dxa"/>
            <w:tcBorders>
              <w:left w:val="single" w:sz="4" w:space="0" w:color="000000"/>
            </w:tcBorders>
          </w:tcPr>
          <w:p w:rsidR="00EA40A3" w:rsidRDefault="00E86C16">
            <w:pPr>
              <w:spacing w:before="49" w:line="220" w:lineRule="auto"/>
              <w:ind w:left="784"/>
              <w:rPr>
                <w:rFonts w:ascii="宋体" w:eastAsia="宋体" w:hAnsi="宋体" w:cs="宋体"/>
                <w:sz w:val="16"/>
                <w:szCs w:val="16"/>
              </w:rPr>
            </w:pPr>
            <w:r>
              <w:rPr>
                <w:rFonts w:ascii="宋体" w:eastAsia="宋体" w:hAnsi="宋体" w:cs="宋体"/>
                <w:spacing w:val="-3"/>
                <w:sz w:val="16"/>
                <w:szCs w:val="16"/>
              </w:rPr>
              <w:t>小扁豆</w:t>
            </w:r>
          </w:p>
        </w:tc>
        <w:tc>
          <w:tcPr>
            <w:tcW w:w="1644" w:type="dxa"/>
          </w:tcPr>
          <w:p w:rsidR="00EA40A3" w:rsidRDefault="00E86C16">
            <w:pPr>
              <w:spacing w:before="99" w:line="169" w:lineRule="auto"/>
              <w:ind w:left="714"/>
              <w:rPr>
                <w:rFonts w:ascii="宋体" w:eastAsia="宋体" w:hAnsi="宋体" w:cs="宋体"/>
                <w:sz w:val="16"/>
                <w:szCs w:val="16"/>
              </w:rPr>
            </w:pPr>
            <w:r>
              <w:rPr>
                <w:rFonts w:ascii="宋体" w:eastAsia="宋体" w:hAnsi="宋体" w:cs="宋体"/>
                <w:spacing w:val="-2"/>
                <w:sz w:val="16"/>
                <w:szCs w:val="16"/>
              </w:rPr>
              <w:t>0.52</w:t>
            </w:r>
          </w:p>
        </w:tc>
      </w:tr>
      <w:tr w:rsidR="00EA40A3">
        <w:trPr>
          <w:trHeight w:val="271"/>
        </w:trPr>
        <w:tc>
          <w:tcPr>
            <w:tcW w:w="2030" w:type="dxa"/>
          </w:tcPr>
          <w:p w:rsidR="00EA40A3" w:rsidRDefault="00E86C16">
            <w:pPr>
              <w:spacing w:before="44" w:line="221" w:lineRule="auto"/>
              <w:ind w:left="829"/>
              <w:rPr>
                <w:rFonts w:ascii="宋体" w:eastAsia="宋体" w:hAnsi="宋体" w:cs="宋体"/>
                <w:sz w:val="16"/>
                <w:szCs w:val="16"/>
              </w:rPr>
            </w:pPr>
            <w:r>
              <w:rPr>
                <w:rFonts w:ascii="宋体" w:eastAsia="宋体" w:hAnsi="宋体" w:cs="宋体"/>
                <w:spacing w:val="-2"/>
                <w:sz w:val="16"/>
                <w:szCs w:val="16"/>
              </w:rPr>
              <w:t>豌豆</w:t>
            </w:r>
          </w:p>
        </w:tc>
        <w:tc>
          <w:tcPr>
            <w:tcW w:w="1580" w:type="dxa"/>
            <w:tcBorders>
              <w:right w:val="single" w:sz="4" w:space="0" w:color="000000"/>
            </w:tcBorders>
          </w:tcPr>
          <w:p w:rsidR="00EA40A3" w:rsidRDefault="00E86C16">
            <w:pPr>
              <w:spacing w:before="103" w:line="183" w:lineRule="auto"/>
              <w:ind w:left="620"/>
              <w:rPr>
                <w:rFonts w:ascii="宋体" w:eastAsia="宋体" w:hAnsi="宋体" w:cs="宋体"/>
                <w:sz w:val="16"/>
                <w:szCs w:val="16"/>
              </w:rPr>
            </w:pPr>
            <w:r>
              <w:rPr>
                <w:rFonts w:ascii="宋体" w:eastAsia="宋体" w:hAnsi="宋体" w:cs="宋体"/>
                <w:spacing w:val="-2"/>
                <w:sz w:val="16"/>
                <w:szCs w:val="16"/>
              </w:rPr>
              <w:t>0.69</w:t>
            </w:r>
          </w:p>
        </w:tc>
        <w:tc>
          <w:tcPr>
            <w:tcW w:w="1995" w:type="dxa"/>
            <w:tcBorders>
              <w:left w:val="single" w:sz="4" w:space="0" w:color="000000"/>
            </w:tcBorders>
          </w:tcPr>
          <w:p w:rsidR="00EA40A3" w:rsidRDefault="00E86C16">
            <w:pPr>
              <w:spacing w:before="51" w:line="219" w:lineRule="auto"/>
              <w:ind w:left="784"/>
              <w:rPr>
                <w:rFonts w:ascii="宋体" w:eastAsia="宋体" w:hAnsi="宋体" w:cs="宋体"/>
                <w:sz w:val="16"/>
                <w:szCs w:val="16"/>
              </w:rPr>
            </w:pPr>
            <w:r>
              <w:rPr>
                <w:rFonts w:ascii="宋体" w:eastAsia="宋体" w:hAnsi="宋体" w:cs="宋体"/>
                <w:spacing w:val="-2"/>
                <w:sz w:val="16"/>
                <w:szCs w:val="16"/>
              </w:rPr>
              <w:t>全麦</w:t>
            </w:r>
          </w:p>
        </w:tc>
        <w:tc>
          <w:tcPr>
            <w:tcW w:w="1644" w:type="dxa"/>
          </w:tcPr>
          <w:p w:rsidR="00EA40A3" w:rsidRDefault="00E86C16">
            <w:pPr>
              <w:spacing w:before="134" w:line="158" w:lineRule="auto"/>
              <w:ind w:left="704"/>
              <w:rPr>
                <w:rFonts w:ascii="宋体" w:eastAsia="宋体" w:hAnsi="宋体" w:cs="宋体"/>
                <w:sz w:val="16"/>
                <w:szCs w:val="16"/>
              </w:rPr>
            </w:pPr>
            <w:r>
              <w:rPr>
                <w:rFonts w:ascii="宋体" w:eastAsia="宋体" w:hAnsi="宋体" w:cs="宋体"/>
                <w:spacing w:val="-2"/>
                <w:sz w:val="16"/>
                <w:szCs w:val="16"/>
              </w:rPr>
              <w:t>0.40</w:t>
            </w:r>
          </w:p>
        </w:tc>
      </w:tr>
      <w:tr w:rsidR="00EA40A3">
        <w:trPr>
          <w:trHeight w:val="229"/>
        </w:trPr>
        <w:tc>
          <w:tcPr>
            <w:tcW w:w="2030" w:type="dxa"/>
            <w:tcBorders>
              <w:bottom w:val="single" w:sz="4" w:space="0" w:color="000000"/>
            </w:tcBorders>
          </w:tcPr>
          <w:p w:rsidR="00EA40A3" w:rsidRDefault="00E86C16">
            <w:pPr>
              <w:spacing w:before="41" w:line="216" w:lineRule="auto"/>
              <w:ind w:left="829"/>
              <w:rPr>
                <w:rFonts w:ascii="宋体" w:eastAsia="宋体" w:hAnsi="宋体" w:cs="宋体"/>
                <w:sz w:val="16"/>
                <w:szCs w:val="16"/>
              </w:rPr>
            </w:pPr>
            <w:r>
              <w:rPr>
                <w:rFonts w:ascii="宋体" w:eastAsia="宋体" w:hAnsi="宋体" w:cs="宋体"/>
                <w:spacing w:val="-2"/>
                <w:sz w:val="16"/>
                <w:szCs w:val="16"/>
              </w:rPr>
              <w:t>菜豆</w:t>
            </w:r>
          </w:p>
        </w:tc>
        <w:tc>
          <w:tcPr>
            <w:tcW w:w="1580" w:type="dxa"/>
            <w:tcBorders>
              <w:bottom w:val="single" w:sz="4" w:space="0" w:color="000000"/>
              <w:right w:val="single" w:sz="4" w:space="0" w:color="000000"/>
            </w:tcBorders>
          </w:tcPr>
          <w:p w:rsidR="00EA40A3" w:rsidRDefault="00E86C16">
            <w:pPr>
              <w:spacing w:before="112" w:line="117" w:lineRule="exact"/>
              <w:ind w:left="640"/>
              <w:rPr>
                <w:rFonts w:ascii="宋体" w:eastAsia="宋体" w:hAnsi="宋体" w:cs="宋体"/>
                <w:sz w:val="16"/>
                <w:szCs w:val="16"/>
              </w:rPr>
            </w:pPr>
            <w:r>
              <w:rPr>
                <w:rFonts w:ascii="宋体" w:eastAsia="宋体" w:hAnsi="宋体" w:cs="宋体"/>
                <w:spacing w:val="-2"/>
                <w:position w:val="-2"/>
                <w:sz w:val="16"/>
                <w:szCs w:val="16"/>
              </w:rPr>
              <w:t>0.68</w:t>
            </w:r>
          </w:p>
        </w:tc>
        <w:tc>
          <w:tcPr>
            <w:tcW w:w="1995" w:type="dxa"/>
            <w:tcBorders>
              <w:left w:val="single" w:sz="4" w:space="0" w:color="000000"/>
              <w:bottom w:val="single" w:sz="4" w:space="0" w:color="000000"/>
            </w:tcBorders>
          </w:tcPr>
          <w:p w:rsidR="00EA40A3" w:rsidRDefault="00EA40A3">
            <w:pPr>
              <w:spacing w:line="229" w:lineRule="exact"/>
              <w:rPr>
                <w:sz w:val="19"/>
              </w:rPr>
            </w:pPr>
          </w:p>
        </w:tc>
        <w:tc>
          <w:tcPr>
            <w:tcW w:w="1644" w:type="dxa"/>
            <w:tcBorders>
              <w:bottom w:val="single" w:sz="4" w:space="0" w:color="000000"/>
            </w:tcBorders>
          </w:tcPr>
          <w:p w:rsidR="00EA40A3" w:rsidRDefault="00EA40A3">
            <w:pPr>
              <w:spacing w:line="229" w:lineRule="exact"/>
              <w:rPr>
                <w:sz w:val="19"/>
              </w:rPr>
            </w:pPr>
          </w:p>
        </w:tc>
      </w:tr>
    </w:tbl>
    <w:p w:rsidR="00EA40A3" w:rsidRDefault="00E86C16">
      <w:pPr>
        <w:spacing w:before="81" w:line="219" w:lineRule="auto"/>
        <w:ind w:left="380"/>
        <w:rPr>
          <w:rFonts w:ascii="宋体" w:eastAsia="宋体" w:hAnsi="宋体" w:cs="宋体"/>
          <w:sz w:val="15"/>
          <w:szCs w:val="15"/>
        </w:rPr>
      </w:pPr>
      <w:r>
        <w:rPr>
          <w:rFonts w:ascii="宋体" w:eastAsia="宋体" w:hAnsi="宋体" w:cs="宋体"/>
          <w:sz w:val="15"/>
          <w:szCs w:val="15"/>
        </w:rPr>
        <w:t>资料来源：陈炳卿.1999.营养与食品卫生</w:t>
      </w:r>
      <w:r>
        <w:rPr>
          <w:rFonts w:ascii="宋体" w:eastAsia="宋体" w:hAnsi="宋体" w:cs="宋体"/>
          <w:spacing w:val="-1"/>
          <w:sz w:val="15"/>
          <w:szCs w:val="15"/>
        </w:rPr>
        <w:t>学.北京：人民卫生出版社</w:t>
      </w:r>
    </w:p>
    <w:p w:rsidR="00EA40A3" w:rsidRDefault="00EA40A3">
      <w:pPr>
        <w:spacing w:line="427" w:lineRule="auto"/>
      </w:pPr>
    </w:p>
    <w:p w:rsidR="00EA40A3" w:rsidRDefault="00E86C16">
      <w:pPr>
        <w:spacing w:before="81" w:line="221" w:lineRule="auto"/>
        <w:ind w:left="3"/>
        <w:outlineLvl w:val="6"/>
        <w:rPr>
          <w:rFonts w:ascii="黑体" w:eastAsia="黑体" w:hAnsi="黑体" w:cs="黑体"/>
          <w:sz w:val="25"/>
          <w:szCs w:val="25"/>
        </w:rPr>
      </w:pPr>
      <w:r>
        <w:rPr>
          <w:rFonts w:ascii="黑体" w:eastAsia="黑体" w:hAnsi="黑体" w:cs="黑体"/>
          <w:b/>
          <w:bCs/>
          <w:spacing w:val="-12"/>
          <w:sz w:val="25"/>
          <w:szCs w:val="25"/>
        </w:rPr>
        <w:t>3.4.7</w:t>
      </w:r>
      <w:r>
        <w:rPr>
          <w:rFonts w:ascii="黑体" w:eastAsia="黑体" w:hAnsi="黑体" w:cs="黑体"/>
          <w:spacing w:val="11"/>
          <w:sz w:val="25"/>
          <w:szCs w:val="25"/>
        </w:rPr>
        <w:t xml:space="preserve">  </w:t>
      </w:r>
      <w:r>
        <w:rPr>
          <w:rFonts w:ascii="黑体" w:eastAsia="黑体" w:hAnsi="黑体" w:cs="黑体"/>
          <w:b/>
          <w:bCs/>
          <w:spacing w:val="-12"/>
          <w:sz w:val="25"/>
          <w:szCs w:val="25"/>
        </w:rPr>
        <w:t>蛋白质营养不良</w:t>
      </w:r>
    </w:p>
    <w:p w:rsidR="00EA40A3" w:rsidRDefault="00E86C16">
      <w:pPr>
        <w:spacing w:before="272" w:line="221" w:lineRule="auto"/>
        <w:rPr>
          <w:rFonts w:ascii="仿宋" w:eastAsia="仿宋" w:hAnsi="仿宋" w:cs="仿宋"/>
        </w:rPr>
      </w:pPr>
      <w:r>
        <w:rPr>
          <w:rFonts w:ascii="仿宋" w:eastAsia="仿宋" w:hAnsi="仿宋" w:cs="仿宋"/>
          <w:spacing w:val="11"/>
        </w:rPr>
        <w:t>1.</w:t>
      </w:r>
      <w:r>
        <w:rPr>
          <w:rFonts w:ascii="仿宋" w:eastAsia="仿宋" w:hAnsi="仿宋" w:cs="仿宋"/>
          <w:spacing w:val="-2"/>
        </w:rPr>
        <w:t xml:space="preserve"> </w:t>
      </w:r>
      <w:r>
        <w:rPr>
          <w:rFonts w:ascii="仿宋" w:eastAsia="仿宋" w:hAnsi="仿宋" w:cs="仿宋"/>
          <w:spacing w:val="11"/>
        </w:rPr>
        <w:t>蛋白质-</w:t>
      </w:r>
      <w:r>
        <w:rPr>
          <w:rFonts w:ascii="仿宋" w:eastAsia="仿宋" w:hAnsi="仿宋" w:cs="仿宋"/>
          <w:spacing w:val="-53"/>
        </w:rPr>
        <w:t xml:space="preserve"> </w:t>
      </w:r>
      <w:r>
        <w:rPr>
          <w:rFonts w:ascii="仿宋" w:eastAsia="仿宋" w:hAnsi="仿宋" w:cs="仿宋"/>
          <w:spacing w:val="11"/>
        </w:rPr>
        <w:t>能量营养不良</w:t>
      </w:r>
    </w:p>
    <w:p w:rsidR="00EA40A3" w:rsidRDefault="00E86C16">
      <w:pPr>
        <w:spacing w:before="185" w:line="256" w:lineRule="auto"/>
        <w:ind w:right="78" w:firstLine="430"/>
        <w:jc w:val="both"/>
        <w:rPr>
          <w:rFonts w:ascii="宋体" w:eastAsia="宋体" w:hAnsi="宋体" w:cs="宋体"/>
        </w:rPr>
      </w:pPr>
      <w:r>
        <w:rPr>
          <w:rFonts w:ascii="宋体" w:eastAsia="宋体" w:hAnsi="宋体" w:cs="宋体"/>
          <w:spacing w:val="-3"/>
        </w:rPr>
        <w:t>蛋白质缺乏常与能量缺乏同时</w:t>
      </w:r>
      <w:r>
        <w:rPr>
          <w:rFonts w:ascii="宋体" w:eastAsia="宋体" w:hAnsi="宋体" w:cs="宋体"/>
          <w:spacing w:val="-4"/>
        </w:rPr>
        <w:t>存在。蛋白质-能量营养不良</w:t>
      </w:r>
      <w:r>
        <w:rPr>
          <w:rFonts w:ascii="宋体" w:eastAsia="宋体" w:hAnsi="宋体" w:cs="宋体"/>
          <w:spacing w:val="-52"/>
        </w:rPr>
        <w:t xml:space="preserve"> </w:t>
      </w:r>
      <w:r>
        <w:rPr>
          <w:rFonts w:ascii="宋体" w:eastAsia="宋体" w:hAnsi="宋体" w:cs="宋体"/>
          <w:spacing w:val="-4"/>
        </w:rPr>
        <w:t>(</w:t>
      </w:r>
      <w:r>
        <w:rPr>
          <w:rFonts w:ascii="宋体" w:eastAsia="宋体" w:hAnsi="宋体" w:cs="宋体"/>
          <w:spacing w:val="-3"/>
        </w:rPr>
        <w:t>protein</w:t>
      </w:r>
      <w:r>
        <w:rPr>
          <w:rFonts w:ascii="宋体" w:eastAsia="宋体" w:hAnsi="宋体" w:cs="宋体"/>
          <w:spacing w:val="-4"/>
        </w:rPr>
        <w:t>-</w:t>
      </w:r>
      <w:r>
        <w:rPr>
          <w:rFonts w:ascii="宋体" w:eastAsia="宋体" w:hAnsi="宋体" w:cs="宋体"/>
          <w:spacing w:val="-3"/>
        </w:rPr>
        <w:t>energy</w:t>
      </w:r>
      <w:r>
        <w:rPr>
          <w:rFonts w:ascii="宋体" w:eastAsia="宋体" w:hAnsi="宋体" w:cs="宋体"/>
        </w:rPr>
        <w:t xml:space="preserve"> malnutrition</w:t>
      </w:r>
      <w:r>
        <w:rPr>
          <w:rFonts w:ascii="宋体" w:eastAsia="宋体" w:hAnsi="宋体" w:cs="宋体"/>
          <w:spacing w:val="3"/>
        </w:rPr>
        <w:t>,</w:t>
      </w:r>
      <w:r>
        <w:rPr>
          <w:rFonts w:ascii="宋体" w:eastAsia="宋体" w:hAnsi="宋体" w:cs="宋体"/>
        </w:rPr>
        <w:t>PEM</w:t>
      </w:r>
      <w:r>
        <w:rPr>
          <w:rFonts w:ascii="宋体" w:eastAsia="宋体" w:hAnsi="宋体" w:cs="宋体"/>
          <w:spacing w:val="3"/>
        </w:rPr>
        <w:t>)</w:t>
      </w:r>
      <w:r>
        <w:rPr>
          <w:rFonts w:ascii="宋体" w:eastAsia="宋体" w:hAnsi="宋体" w:cs="宋体"/>
          <w:spacing w:val="37"/>
        </w:rPr>
        <w:t xml:space="preserve"> </w:t>
      </w:r>
      <w:r>
        <w:rPr>
          <w:rFonts w:ascii="宋体" w:eastAsia="宋体" w:hAnsi="宋体" w:cs="宋体"/>
          <w:spacing w:val="3"/>
        </w:rPr>
        <w:t>是现今世界上最普遍的营养不良形式。据世界卫生组织估</w:t>
      </w:r>
      <w:r>
        <w:rPr>
          <w:rFonts w:ascii="宋体" w:eastAsia="宋体" w:hAnsi="宋体" w:cs="宋体"/>
        </w:rPr>
        <w:t xml:space="preserve"> </w:t>
      </w:r>
      <w:r>
        <w:rPr>
          <w:rFonts w:ascii="宋体" w:eastAsia="宋体" w:hAnsi="宋体" w:cs="宋体"/>
          <w:spacing w:val="3"/>
        </w:rPr>
        <w:t>计，目前世界上大约有500万儿童患蛋白质-能量营养不良，其中大多数是因为</w:t>
      </w:r>
      <w:r>
        <w:rPr>
          <w:rFonts w:ascii="宋体" w:eastAsia="宋体" w:hAnsi="宋体" w:cs="宋体"/>
          <w:spacing w:val="11"/>
        </w:rPr>
        <w:t xml:space="preserve"> </w:t>
      </w:r>
      <w:r>
        <w:rPr>
          <w:rFonts w:ascii="宋体" w:eastAsia="宋体" w:hAnsi="宋体" w:cs="宋体"/>
          <w:spacing w:val="3"/>
        </w:rPr>
        <w:t>贫困和饥饿引起的，主要分布在非洲、中美洲、南美洲、中东、东亚和南亚地</w:t>
      </w:r>
      <w:r>
        <w:rPr>
          <w:rFonts w:ascii="宋体" w:eastAsia="宋体" w:hAnsi="宋体" w:cs="宋体"/>
          <w:spacing w:val="15"/>
        </w:rPr>
        <w:t xml:space="preserve"> </w:t>
      </w:r>
      <w:r>
        <w:rPr>
          <w:rFonts w:ascii="宋体" w:eastAsia="宋体" w:hAnsi="宋体" w:cs="宋体"/>
          <w:spacing w:val="-8"/>
        </w:rPr>
        <w:t>区。PEM</w:t>
      </w:r>
      <w:r>
        <w:rPr>
          <w:rFonts w:ascii="宋体" w:eastAsia="宋体" w:hAnsi="宋体" w:cs="宋体"/>
          <w:spacing w:val="97"/>
        </w:rPr>
        <w:t xml:space="preserve"> </w:t>
      </w:r>
      <w:r>
        <w:rPr>
          <w:rFonts w:ascii="宋体" w:eastAsia="宋体" w:hAnsi="宋体" w:cs="宋体"/>
          <w:spacing w:val="-8"/>
        </w:rPr>
        <w:t>根据临床表现可分为两类：</w:t>
      </w:r>
    </w:p>
    <w:p w:rsidR="00EA40A3" w:rsidRDefault="00E86C16">
      <w:pPr>
        <w:spacing w:before="96" w:line="247" w:lineRule="auto"/>
        <w:ind w:right="92" w:firstLine="430"/>
        <w:jc w:val="both"/>
        <w:rPr>
          <w:rFonts w:ascii="宋体" w:eastAsia="宋体" w:hAnsi="宋体" w:cs="宋体"/>
        </w:rPr>
      </w:pPr>
      <w:r>
        <w:rPr>
          <w:rFonts w:ascii="宋体" w:eastAsia="宋体" w:hAnsi="宋体" w:cs="宋体"/>
          <w:spacing w:val="15"/>
        </w:rPr>
        <w:t>一种称</w:t>
      </w:r>
      <w:r>
        <w:rPr>
          <w:rFonts w:ascii="宋体" w:eastAsia="宋体" w:hAnsi="宋体" w:cs="宋体"/>
        </w:rPr>
        <w:t>Kwashiorker</w:t>
      </w:r>
      <w:r>
        <w:rPr>
          <w:rFonts w:ascii="宋体" w:eastAsia="宋体" w:hAnsi="宋体" w:cs="宋体"/>
          <w:spacing w:val="-6"/>
        </w:rPr>
        <w:t xml:space="preserve"> </w:t>
      </w:r>
      <w:r>
        <w:rPr>
          <w:rFonts w:ascii="宋体" w:eastAsia="宋体" w:hAnsi="宋体" w:cs="宋体"/>
          <w:spacing w:val="15"/>
        </w:rPr>
        <w:t>(来自加纳语),即水肿型(图3-1),</w:t>
      </w:r>
      <w:r>
        <w:rPr>
          <w:rFonts w:ascii="宋体" w:eastAsia="宋体" w:hAnsi="宋体" w:cs="宋体"/>
          <w:spacing w:val="14"/>
        </w:rPr>
        <w:t>是由于蛋白质严</w:t>
      </w:r>
      <w:r>
        <w:rPr>
          <w:rFonts w:ascii="宋体" w:eastAsia="宋体" w:hAnsi="宋体" w:cs="宋体"/>
        </w:rPr>
        <w:t xml:space="preserve"> </w:t>
      </w:r>
      <w:r>
        <w:rPr>
          <w:rFonts w:ascii="宋体" w:eastAsia="宋体" w:hAnsi="宋体" w:cs="宋体"/>
          <w:spacing w:val="-3"/>
        </w:rPr>
        <w:t>重缺乏而能量供应能维持最低需要水平的极度营养不良症，多见于断乳期的婴幼</w:t>
      </w:r>
      <w:r>
        <w:rPr>
          <w:rFonts w:ascii="宋体" w:eastAsia="宋体" w:hAnsi="宋体" w:cs="宋体"/>
          <w:spacing w:val="16"/>
        </w:rPr>
        <w:t xml:space="preserve"> </w:t>
      </w:r>
      <w:r>
        <w:rPr>
          <w:rFonts w:ascii="宋体" w:eastAsia="宋体" w:hAnsi="宋体" w:cs="宋体"/>
          <w:spacing w:val="-3"/>
        </w:rPr>
        <w:t>儿。主要表现为腹、腿部水肿，虚弱，表情淡漠，生长滞缓，头发变色、变脆和</w:t>
      </w:r>
      <w:r>
        <w:rPr>
          <w:rFonts w:ascii="宋体" w:eastAsia="宋体" w:hAnsi="宋体" w:cs="宋体"/>
          <w:spacing w:val="1"/>
        </w:rPr>
        <w:t xml:space="preserve"> </w:t>
      </w:r>
      <w:r>
        <w:rPr>
          <w:rFonts w:ascii="宋体" w:eastAsia="宋体" w:hAnsi="宋体" w:cs="宋体"/>
          <w:spacing w:val="-7"/>
        </w:rPr>
        <w:t>易脱落，易感染其他疾病等。</w:t>
      </w:r>
    </w:p>
    <w:p w:rsidR="00EA40A3" w:rsidRDefault="00E86C16">
      <w:pPr>
        <w:spacing w:before="99" w:line="253" w:lineRule="auto"/>
        <w:ind w:right="95" w:firstLine="430"/>
        <w:jc w:val="both"/>
        <w:rPr>
          <w:rFonts w:ascii="宋体" w:eastAsia="宋体" w:hAnsi="宋体" w:cs="宋体"/>
        </w:rPr>
      </w:pPr>
      <w:r>
        <w:rPr>
          <w:rFonts w:ascii="宋体" w:eastAsia="宋体" w:hAnsi="宋体" w:cs="宋体"/>
          <w:spacing w:val="7"/>
        </w:rPr>
        <w:t>一种叫</w:t>
      </w:r>
      <w:r>
        <w:rPr>
          <w:rFonts w:ascii="宋体" w:eastAsia="宋体" w:hAnsi="宋体" w:cs="宋体"/>
        </w:rPr>
        <w:t>Marasmus</w:t>
      </w:r>
      <w:r>
        <w:rPr>
          <w:rFonts w:ascii="宋体" w:eastAsia="宋体" w:hAnsi="宋体" w:cs="宋体"/>
          <w:spacing w:val="7"/>
        </w:rPr>
        <w:t>,</w:t>
      </w:r>
      <w:r>
        <w:rPr>
          <w:rFonts w:ascii="宋体" w:eastAsia="宋体" w:hAnsi="宋体" w:cs="宋体"/>
          <w:spacing w:val="107"/>
        </w:rPr>
        <w:t xml:space="preserve"> </w:t>
      </w:r>
      <w:r>
        <w:rPr>
          <w:rFonts w:ascii="宋体" w:eastAsia="宋体" w:hAnsi="宋体" w:cs="宋体"/>
          <w:spacing w:val="7"/>
        </w:rPr>
        <w:t>即消瘦型(图3-2),是由于蛋白质和能量均长期严重缺</w:t>
      </w:r>
      <w:r>
        <w:rPr>
          <w:rFonts w:ascii="宋体" w:eastAsia="宋体" w:hAnsi="宋体" w:cs="宋体"/>
        </w:rPr>
        <w:t xml:space="preserve"> </w:t>
      </w:r>
      <w:r>
        <w:rPr>
          <w:rFonts w:ascii="宋体" w:eastAsia="宋体" w:hAnsi="宋体" w:cs="宋体"/>
          <w:spacing w:val="3"/>
        </w:rPr>
        <w:t>乏时出现的疾病。患儿消瘦无力，易感染其他疾病而死亡。临床表现为精神萎</w:t>
      </w:r>
      <w:r>
        <w:rPr>
          <w:rFonts w:ascii="宋体" w:eastAsia="宋体" w:hAnsi="宋体" w:cs="宋体"/>
          <w:spacing w:val="16"/>
        </w:rPr>
        <w:t xml:space="preserve"> </w:t>
      </w:r>
      <w:r>
        <w:rPr>
          <w:rFonts w:ascii="宋体" w:eastAsia="宋体" w:hAnsi="宋体" w:cs="宋体"/>
          <w:spacing w:val="3"/>
        </w:rPr>
        <w:t>靡、体重减轻、皮下脂肪减少或消失、肌肉萎缩、毛发细黄而无光泽，常有腹</w:t>
      </w:r>
      <w:r>
        <w:rPr>
          <w:rFonts w:ascii="宋体" w:eastAsia="宋体" w:hAnsi="宋体" w:cs="宋体"/>
          <w:spacing w:val="16"/>
        </w:rPr>
        <w:t xml:space="preserve"> </w:t>
      </w:r>
      <w:r>
        <w:rPr>
          <w:rFonts w:ascii="宋体" w:eastAsia="宋体" w:hAnsi="宋体" w:cs="宋体"/>
          <w:spacing w:val="-5"/>
        </w:rPr>
        <w:t>泻、脱水、全身抵抗力下降，但无浮肿。</w:t>
      </w:r>
    </w:p>
    <w:p w:rsidR="00EA40A3" w:rsidRDefault="00EA40A3">
      <w:pPr>
        <w:sectPr w:rsidR="00EA40A3">
          <w:footerReference w:type="default" r:id="rId67"/>
          <w:pgSz w:w="9220" w:h="13360"/>
          <w:pgMar w:top="400" w:right="1035" w:bottom="1236" w:left="829" w:header="0" w:footer="1015" w:gutter="0"/>
          <w:cols w:space="720"/>
        </w:sectPr>
      </w:pPr>
    </w:p>
    <w:p w:rsidR="00EA40A3" w:rsidRDefault="00EA40A3"/>
    <w:p w:rsidR="00EA40A3" w:rsidRDefault="00EA40A3"/>
    <w:p w:rsidR="00EA40A3" w:rsidRDefault="00EA40A3"/>
    <w:p w:rsidR="00EA40A3" w:rsidRDefault="00EA40A3">
      <w:pPr>
        <w:spacing w:line="35" w:lineRule="exact"/>
      </w:pPr>
    </w:p>
    <w:p w:rsidR="00EA40A3" w:rsidRDefault="00EA40A3">
      <w:pPr>
        <w:sectPr w:rsidR="00EA40A3">
          <w:footerReference w:type="default" r:id="rId68"/>
          <w:pgSz w:w="9220" w:h="13370"/>
          <w:pgMar w:top="400" w:right="1020" w:bottom="400" w:left="869" w:header="0" w:footer="0" w:gutter="0"/>
          <w:cols w:space="720" w:equalWidth="0">
            <w:col w:w="7330"/>
          </w:cols>
        </w:sectPr>
      </w:pPr>
    </w:p>
    <w:p w:rsidR="00EA40A3" w:rsidRDefault="00E86C16">
      <w:pPr>
        <w:spacing w:before="20" w:line="3640" w:lineRule="exact"/>
        <w:ind w:firstLine="269"/>
        <w:textAlignment w:val="center"/>
      </w:pPr>
      <w:r>
        <w:rPr>
          <w:noProof/>
        </w:rPr>
        <w:drawing>
          <wp:inline distT="0" distB="0" distL="0" distR="0">
            <wp:extent cx="1860550" cy="2310765"/>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69"/>
                    <a:stretch>
                      <a:fillRect/>
                    </a:stretch>
                  </pic:blipFill>
                  <pic:spPr>
                    <a:xfrm>
                      <a:off x="0" y="0"/>
                      <a:ext cx="1860565" cy="2311388"/>
                    </a:xfrm>
                    <a:prstGeom prst="rect">
                      <a:avLst/>
                    </a:prstGeom>
                  </pic:spPr>
                </pic:pic>
              </a:graphicData>
            </a:graphic>
          </wp:inline>
        </w:drawing>
      </w:r>
    </w:p>
    <w:p w:rsidR="00EA40A3" w:rsidRDefault="00E86C16">
      <w:pPr>
        <w:spacing w:before="256" w:line="187" w:lineRule="auto"/>
        <w:ind w:left="950"/>
        <w:rPr>
          <w:rFonts w:ascii="宋体" w:eastAsia="宋体" w:hAnsi="宋体" w:cs="宋体"/>
          <w:sz w:val="16"/>
          <w:szCs w:val="16"/>
        </w:rPr>
      </w:pPr>
      <w:r>
        <w:rPr>
          <w:rFonts w:ascii="宋体" w:eastAsia="宋体" w:hAnsi="宋体" w:cs="宋体"/>
          <w:spacing w:val="1"/>
          <w:sz w:val="16"/>
          <w:szCs w:val="16"/>
        </w:rPr>
        <w:t>图3-</w:t>
      </w:r>
      <w:r>
        <w:rPr>
          <w:rFonts w:ascii="宋体" w:eastAsia="宋体" w:hAnsi="宋体" w:cs="宋体"/>
          <w:spacing w:val="-40"/>
          <w:sz w:val="16"/>
          <w:szCs w:val="16"/>
        </w:rPr>
        <w:t xml:space="preserve"> </w:t>
      </w:r>
      <w:r>
        <w:rPr>
          <w:rFonts w:ascii="宋体" w:eastAsia="宋体" w:hAnsi="宋体" w:cs="宋体"/>
          <w:spacing w:val="1"/>
          <w:sz w:val="16"/>
          <w:szCs w:val="16"/>
        </w:rPr>
        <w:t>1</w:t>
      </w:r>
      <w:r>
        <w:rPr>
          <w:rFonts w:ascii="宋体" w:eastAsia="宋体" w:hAnsi="宋体" w:cs="宋体"/>
          <w:spacing w:val="73"/>
          <w:w w:val="101"/>
          <w:sz w:val="16"/>
          <w:szCs w:val="16"/>
        </w:rPr>
        <w:t xml:space="preserve"> </w:t>
      </w:r>
      <w:r>
        <w:rPr>
          <w:rFonts w:ascii="宋体" w:eastAsia="宋体" w:hAnsi="宋体" w:cs="宋体"/>
          <w:spacing w:val="1"/>
          <w:sz w:val="16"/>
          <w:szCs w:val="16"/>
        </w:rPr>
        <w:t>水</w:t>
      </w:r>
      <w:r>
        <w:rPr>
          <w:rFonts w:ascii="宋体" w:eastAsia="宋体" w:hAnsi="宋体" w:cs="宋体"/>
          <w:spacing w:val="-30"/>
          <w:sz w:val="16"/>
          <w:szCs w:val="16"/>
        </w:rPr>
        <w:t xml:space="preserve"> </w:t>
      </w:r>
      <w:r>
        <w:rPr>
          <w:rFonts w:ascii="宋体" w:eastAsia="宋体" w:hAnsi="宋体" w:cs="宋体"/>
          <w:spacing w:val="1"/>
          <w:sz w:val="16"/>
          <w:szCs w:val="16"/>
        </w:rPr>
        <w:t>肿</w:t>
      </w:r>
      <w:r>
        <w:rPr>
          <w:rFonts w:ascii="宋体" w:eastAsia="宋体" w:hAnsi="宋体" w:cs="宋体"/>
          <w:spacing w:val="-25"/>
          <w:sz w:val="16"/>
          <w:szCs w:val="16"/>
        </w:rPr>
        <w:t xml:space="preserve"> </w:t>
      </w:r>
      <w:r>
        <w:rPr>
          <w:rFonts w:ascii="宋体" w:eastAsia="宋体" w:hAnsi="宋体" w:cs="宋体"/>
          <w:spacing w:val="1"/>
          <w:sz w:val="16"/>
          <w:szCs w:val="16"/>
        </w:rPr>
        <w:t>型</w:t>
      </w:r>
      <w:r>
        <w:rPr>
          <w:rFonts w:ascii="宋体" w:eastAsia="宋体" w:hAnsi="宋体" w:cs="宋体"/>
          <w:sz w:val="16"/>
          <w:szCs w:val="16"/>
        </w:rPr>
        <w:t>PEM</w:t>
      </w:r>
    </w:p>
    <w:p w:rsidR="00EA40A3" w:rsidRDefault="00E86C16">
      <w:pPr>
        <w:spacing w:line="14" w:lineRule="auto"/>
        <w:rPr>
          <w:sz w:val="2"/>
        </w:rPr>
      </w:pPr>
      <w:r>
        <w:rPr>
          <w:sz w:val="2"/>
          <w:szCs w:val="2"/>
        </w:rPr>
        <w:br w:type="column"/>
      </w:r>
    </w:p>
    <w:p w:rsidR="00EA40A3" w:rsidRDefault="00E86C16">
      <w:pPr>
        <w:spacing w:line="3668" w:lineRule="exact"/>
        <w:textAlignment w:val="center"/>
      </w:pPr>
      <w:r>
        <w:rPr>
          <w:noProof/>
        </w:rPr>
        <w:drawing>
          <wp:inline distT="0" distB="0" distL="0" distR="0">
            <wp:extent cx="1840865" cy="232918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70"/>
                    <a:stretch>
                      <a:fillRect/>
                    </a:stretch>
                  </pic:blipFill>
                  <pic:spPr>
                    <a:xfrm>
                      <a:off x="0" y="0"/>
                      <a:ext cx="1841478" cy="2329615"/>
                    </a:xfrm>
                    <a:prstGeom prst="rect">
                      <a:avLst/>
                    </a:prstGeom>
                  </pic:spPr>
                </pic:pic>
              </a:graphicData>
            </a:graphic>
          </wp:inline>
        </w:drawing>
      </w:r>
    </w:p>
    <w:p w:rsidR="00EA40A3" w:rsidRDefault="00E86C16">
      <w:pPr>
        <w:spacing w:before="189" w:line="184" w:lineRule="auto"/>
        <w:ind w:left="679"/>
        <w:rPr>
          <w:rFonts w:ascii="宋体" w:eastAsia="宋体" w:hAnsi="宋体" w:cs="宋体"/>
          <w:sz w:val="22"/>
          <w:szCs w:val="22"/>
        </w:rPr>
      </w:pPr>
      <w:r>
        <w:rPr>
          <w:rFonts w:ascii="宋体" w:eastAsia="宋体" w:hAnsi="宋体" w:cs="宋体"/>
          <w:spacing w:val="-19"/>
          <w:sz w:val="22"/>
          <w:szCs w:val="22"/>
        </w:rPr>
        <w:t>图3-2</w:t>
      </w:r>
      <w:r>
        <w:rPr>
          <w:rFonts w:ascii="宋体" w:eastAsia="宋体" w:hAnsi="宋体" w:cs="宋体"/>
          <w:spacing w:val="45"/>
          <w:sz w:val="22"/>
          <w:szCs w:val="22"/>
        </w:rPr>
        <w:t xml:space="preserve"> </w:t>
      </w:r>
      <w:r>
        <w:rPr>
          <w:rFonts w:ascii="宋体" w:eastAsia="宋体" w:hAnsi="宋体" w:cs="宋体"/>
          <w:spacing w:val="-19"/>
          <w:sz w:val="22"/>
          <w:szCs w:val="22"/>
        </w:rPr>
        <w:t>消瘦型PEM</w:t>
      </w:r>
    </w:p>
    <w:p w:rsidR="00EA40A3" w:rsidRDefault="00EA40A3">
      <w:pPr>
        <w:sectPr w:rsidR="00EA40A3">
          <w:type w:val="continuous"/>
          <w:pgSz w:w="9220" w:h="13370"/>
          <w:pgMar w:top="400" w:right="1020" w:bottom="400" w:left="869" w:header="0" w:footer="0" w:gutter="0"/>
          <w:cols w:num="2" w:space="720" w:equalWidth="0">
            <w:col w:w="4091" w:space="100"/>
            <w:col w:w="3140"/>
          </w:cols>
        </w:sectPr>
      </w:pPr>
    </w:p>
    <w:p w:rsidR="00EA40A3" w:rsidRDefault="00E86C16">
      <w:pPr>
        <w:spacing w:before="279"/>
        <w:ind w:right="60" w:firstLine="430"/>
        <w:rPr>
          <w:rFonts w:ascii="宋体" w:eastAsia="宋体" w:hAnsi="宋体" w:cs="宋体"/>
          <w:sz w:val="22"/>
          <w:szCs w:val="22"/>
        </w:rPr>
      </w:pPr>
      <w:r>
        <w:rPr>
          <w:rFonts w:ascii="宋体" w:eastAsia="宋体" w:hAnsi="宋体" w:cs="宋体"/>
          <w:spacing w:val="-10"/>
          <w:sz w:val="22"/>
          <w:szCs w:val="22"/>
        </w:rPr>
        <w:t>也有人认为这两种营养不良症是蛋白质-能量营养不良的两个不同阶段。对</w:t>
      </w:r>
      <w:r>
        <w:rPr>
          <w:rFonts w:ascii="宋体" w:eastAsia="宋体" w:hAnsi="宋体" w:cs="宋体"/>
          <w:spacing w:val="18"/>
          <w:sz w:val="22"/>
          <w:szCs w:val="22"/>
        </w:rPr>
        <w:t xml:space="preserve"> </w:t>
      </w:r>
      <w:r>
        <w:rPr>
          <w:rFonts w:ascii="宋体" w:eastAsia="宋体" w:hAnsi="宋体" w:cs="宋体"/>
          <w:spacing w:val="-13"/>
          <w:sz w:val="22"/>
          <w:szCs w:val="22"/>
        </w:rPr>
        <w:t>成人来说，蛋白质摄入不足，同样可引起体力下降、浮肿、抗病力减弱等现</w:t>
      </w:r>
      <w:r>
        <w:rPr>
          <w:rFonts w:ascii="宋体" w:eastAsia="宋体" w:hAnsi="宋体" w:cs="宋体"/>
          <w:spacing w:val="-14"/>
          <w:sz w:val="22"/>
          <w:szCs w:val="22"/>
        </w:rPr>
        <w:t>象。</w:t>
      </w:r>
    </w:p>
    <w:p w:rsidR="00EA40A3" w:rsidRDefault="00E86C16">
      <w:pPr>
        <w:spacing w:before="197" w:line="223"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19"/>
          <w:sz w:val="22"/>
          <w:szCs w:val="22"/>
        </w:rPr>
        <w:t xml:space="preserve"> </w:t>
      </w:r>
      <w:r>
        <w:rPr>
          <w:rFonts w:ascii="仿宋" w:eastAsia="仿宋" w:hAnsi="仿宋" w:cs="仿宋"/>
          <w:spacing w:val="13"/>
          <w:sz w:val="22"/>
          <w:szCs w:val="22"/>
        </w:rPr>
        <w:t>蛋白质摄入过量</w:t>
      </w:r>
    </w:p>
    <w:p w:rsidR="00EA40A3" w:rsidRDefault="00E86C16">
      <w:pPr>
        <w:spacing w:before="181" w:line="248" w:lineRule="auto"/>
        <w:ind w:firstLine="430"/>
        <w:jc w:val="both"/>
        <w:rPr>
          <w:rFonts w:ascii="宋体" w:eastAsia="宋体" w:hAnsi="宋体" w:cs="宋体"/>
          <w:sz w:val="22"/>
          <w:szCs w:val="22"/>
        </w:rPr>
      </w:pPr>
      <w:r>
        <w:rPr>
          <w:rFonts w:ascii="宋体" w:eastAsia="宋体" w:hAnsi="宋体" w:cs="宋体"/>
          <w:spacing w:val="-12"/>
          <w:sz w:val="22"/>
          <w:szCs w:val="22"/>
        </w:rPr>
        <w:t>蛋白质，尤其是动物性蛋白质摄入过量，对人体同</w:t>
      </w:r>
      <w:r>
        <w:rPr>
          <w:rFonts w:ascii="宋体" w:eastAsia="宋体" w:hAnsi="宋体" w:cs="宋体"/>
          <w:spacing w:val="-13"/>
          <w:sz w:val="22"/>
          <w:szCs w:val="22"/>
        </w:rPr>
        <w:t>样有不利作用。高蛋白质</w:t>
      </w:r>
      <w:r>
        <w:rPr>
          <w:rFonts w:ascii="宋体" w:eastAsia="宋体" w:hAnsi="宋体" w:cs="宋体"/>
          <w:sz w:val="22"/>
          <w:szCs w:val="22"/>
        </w:rPr>
        <w:t xml:space="preserve"> </w:t>
      </w:r>
      <w:r>
        <w:rPr>
          <w:rFonts w:ascii="宋体" w:eastAsia="宋体" w:hAnsi="宋体" w:cs="宋体"/>
          <w:spacing w:val="-12"/>
          <w:sz w:val="22"/>
          <w:szCs w:val="22"/>
        </w:rPr>
        <w:t>的食品往往也是高脂肪含量的，摄入过多的动物蛋白，就</w:t>
      </w:r>
      <w:r>
        <w:rPr>
          <w:rFonts w:ascii="宋体" w:eastAsia="宋体" w:hAnsi="宋体" w:cs="宋体"/>
          <w:spacing w:val="-13"/>
          <w:sz w:val="22"/>
          <w:szCs w:val="22"/>
        </w:rPr>
        <w:t>伴随着较多的动物脂肪</w:t>
      </w:r>
      <w:r>
        <w:rPr>
          <w:rFonts w:ascii="宋体" w:eastAsia="宋体" w:hAnsi="宋体" w:cs="宋体"/>
          <w:sz w:val="22"/>
          <w:szCs w:val="22"/>
        </w:rPr>
        <w:t xml:space="preserve"> </w:t>
      </w:r>
      <w:r>
        <w:rPr>
          <w:rFonts w:ascii="宋体" w:eastAsia="宋体" w:hAnsi="宋体" w:cs="宋体"/>
          <w:spacing w:val="-11"/>
          <w:sz w:val="22"/>
          <w:szCs w:val="22"/>
        </w:rPr>
        <w:t>和胆固醇的摄入；实验证明，摄入动物性高蛋白食品，特别是伴随低钙饮食时，</w:t>
      </w:r>
      <w:r>
        <w:rPr>
          <w:rFonts w:ascii="宋体" w:eastAsia="宋体" w:hAnsi="宋体" w:cs="宋体"/>
          <w:spacing w:val="13"/>
          <w:sz w:val="22"/>
          <w:szCs w:val="22"/>
        </w:rPr>
        <w:t xml:space="preserve"> </w:t>
      </w:r>
      <w:r>
        <w:rPr>
          <w:rFonts w:ascii="宋体" w:eastAsia="宋体" w:hAnsi="宋体" w:cs="宋体"/>
          <w:spacing w:val="-12"/>
          <w:sz w:val="22"/>
          <w:szCs w:val="22"/>
        </w:rPr>
        <w:t>将加速骨质疏松，过多的动物蛋白摄入造成含硫氨基酸摄入过多，加速</w:t>
      </w:r>
      <w:r>
        <w:rPr>
          <w:rFonts w:ascii="宋体" w:eastAsia="宋体" w:hAnsi="宋体" w:cs="宋体"/>
          <w:spacing w:val="-13"/>
          <w:sz w:val="22"/>
          <w:szCs w:val="22"/>
        </w:rPr>
        <w:t>骨骼中的</w:t>
      </w:r>
      <w:r>
        <w:rPr>
          <w:rFonts w:ascii="宋体" w:eastAsia="宋体" w:hAnsi="宋体" w:cs="宋体"/>
          <w:sz w:val="22"/>
          <w:szCs w:val="22"/>
        </w:rPr>
        <w:t xml:space="preserve"> </w:t>
      </w:r>
      <w:r>
        <w:rPr>
          <w:rFonts w:ascii="宋体" w:eastAsia="宋体" w:hAnsi="宋体" w:cs="宋体"/>
          <w:spacing w:val="-6"/>
          <w:sz w:val="22"/>
          <w:szCs w:val="22"/>
        </w:rPr>
        <w:t>钙质丢失，因此，摄入过多动物性蛋白质和骨折有关；由于蛋</w:t>
      </w:r>
      <w:r>
        <w:rPr>
          <w:rFonts w:ascii="宋体" w:eastAsia="宋体" w:hAnsi="宋体" w:cs="宋体"/>
          <w:spacing w:val="-7"/>
          <w:sz w:val="22"/>
          <w:szCs w:val="22"/>
        </w:rPr>
        <w:t>白质不在体内储</w:t>
      </w:r>
      <w:r>
        <w:rPr>
          <w:rFonts w:ascii="宋体" w:eastAsia="宋体" w:hAnsi="宋体" w:cs="宋体"/>
          <w:sz w:val="22"/>
          <w:szCs w:val="22"/>
        </w:rPr>
        <w:t xml:space="preserve"> </w:t>
      </w:r>
      <w:r>
        <w:rPr>
          <w:rFonts w:ascii="宋体" w:eastAsia="宋体" w:hAnsi="宋体" w:cs="宋体"/>
          <w:spacing w:val="-6"/>
          <w:sz w:val="22"/>
          <w:szCs w:val="22"/>
        </w:rPr>
        <w:t>存，过多摄入的蛋白质必须经脱氨分解才能排出体外，这一过程</w:t>
      </w:r>
      <w:r>
        <w:rPr>
          <w:rFonts w:ascii="宋体" w:eastAsia="宋体" w:hAnsi="宋体" w:cs="宋体"/>
          <w:spacing w:val="-7"/>
          <w:sz w:val="22"/>
          <w:szCs w:val="22"/>
        </w:rPr>
        <w:t>需要大量的水</w:t>
      </w:r>
      <w:r>
        <w:rPr>
          <w:rFonts w:ascii="宋体" w:eastAsia="宋体" w:hAnsi="宋体" w:cs="宋体"/>
          <w:sz w:val="22"/>
          <w:szCs w:val="22"/>
        </w:rPr>
        <w:t xml:space="preserve"> </w:t>
      </w:r>
      <w:r>
        <w:rPr>
          <w:rFonts w:ascii="宋体" w:eastAsia="宋体" w:hAnsi="宋体" w:cs="宋体"/>
          <w:spacing w:val="-12"/>
          <w:sz w:val="22"/>
          <w:szCs w:val="22"/>
        </w:rPr>
        <w:t>分，从而加重肾脏负担。所以，应根据机体需要，摄</w:t>
      </w:r>
      <w:r>
        <w:rPr>
          <w:rFonts w:ascii="宋体" w:eastAsia="宋体" w:hAnsi="宋体" w:cs="宋体"/>
          <w:spacing w:val="-13"/>
          <w:sz w:val="22"/>
          <w:szCs w:val="22"/>
        </w:rPr>
        <w:t>入适量的蛋白质，维持人体</w:t>
      </w:r>
      <w:r>
        <w:rPr>
          <w:rFonts w:ascii="宋体" w:eastAsia="宋体" w:hAnsi="宋体" w:cs="宋体"/>
          <w:sz w:val="22"/>
          <w:szCs w:val="22"/>
        </w:rPr>
        <w:t xml:space="preserve"> </w:t>
      </w:r>
      <w:r>
        <w:rPr>
          <w:rFonts w:ascii="宋体" w:eastAsia="宋体" w:hAnsi="宋体" w:cs="宋体"/>
          <w:spacing w:val="-14"/>
          <w:sz w:val="22"/>
          <w:szCs w:val="22"/>
        </w:rPr>
        <w:t>内的氮平衡。</w:t>
      </w:r>
    </w:p>
    <w:p w:rsidR="00EA40A3" w:rsidRDefault="00E86C16">
      <w:pPr>
        <w:spacing w:before="205" w:line="221" w:lineRule="auto"/>
        <w:ind w:left="3"/>
        <w:outlineLvl w:val="6"/>
        <w:rPr>
          <w:rFonts w:ascii="黑体" w:eastAsia="黑体" w:hAnsi="黑体" w:cs="黑体"/>
          <w:sz w:val="22"/>
          <w:szCs w:val="22"/>
        </w:rPr>
      </w:pPr>
      <w:r>
        <w:rPr>
          <w:rFonts w:ascii="黑体" w:eastAsia="黑体" w:hAnsi="黑体" w:cs="黑体"/>
          <w:b/>
          <w:bCs/>
          <w:spacing w:val="10"/>
          <w:sz w:val="22"/>
          <w:szCs w:val="22"/>
        </w:rPr>
        <w:t>3.4.8</w:t>
      </w:r>
      <w:r>
        <w:rPr>
          <w:rFonts w:ascii="黑体" w:eastAsia="黑体" w:hAnsi="黑体" w:cs="黑体"/>
          <w:spacing w:val="48"/>
          <w:sz w:val="22"/>
          <w:szCs w:val="22"/>
        </w:rPr>
        <w:t xml:space="preserve">  </w:t>
      </w:r>
      <w:r>
        <w:rPr>
          <w:rFonts w:ascii="黑体" w:eastAsia="黑体" w:hAnsi="黑体" w:cs="黑体"/>
          <w:b/>
          <w:bCs/>
          <w:spacing w:val="10"/>
          <w:sz w:val="22"/>
          <w:szCs w:val="22"/>
        </w:rPr>
        <w:t>蛋白质的推荐摄入量及食物来源</w:t>
      </w:r>
    </w:p>
    <w:p w:rsidR="00EA40A3" w:rsidRDefault="00E86C16">
      <w:pPr>
        <w:spacing w:before="250" w:line="222"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14"/>
          <w:sz w:val="22"/>
          <w:szCs w:val="22"/>
        </w:rPr>
        <w:t xml:space="preserve"> </w:t>
      </w:r>
      <w:r>
        <w:rPr>
          <w:rFonts w:ascii="仿宋" w:eastAsia="仿宋" w:hAnsi="仿宋" w:cs="仿宋"/>
          <w:spacing w:val="12"/>
          <w:sz w:val="22"/>
          <w:szCs w:val="22"/>
        </w:rPr>
        <w:t>蛋白质的推荐摄入量</w:t>
      </w:r>
    </w:p>
    <w:p w:rsidR="00EA40A3" w:rsidRDefault="00E86C16">
      <w:pPr>
        <w:spacing w:before="188" w:line="245" w:lineRule="auto"/>
        <w:ind w:right="57" w:firstLine="430"/>
        <w:jc w:val="both"/>
        <w:rPr>
          <w:rFonts w:ascii="宋体" w:eastAsia="宋体" w:hAnsi="宋体" w:cs="宋体"/>
          <w:sz w:val="22"/>
          <w:szCs w:val="22"/>
        </w:rPr>
      </w:pPr>
      <w:r>
        <w:rPr>
          <w:rFonts w:ascii="宋体" w:eastAsia="宋体" w:hAnsi="宋体" w:cs="宋体"/>
          <w:spacing w:val="-13"/>
          <w:sz w:val="22"/>
          <w:szCs w:val="22"/>
        </w:rPr>
        <w:t>人体蛋白质需要量的衡量依照年龄的不同有不同的方法：对成人，要根据年</w:t>
      </w:r>
      <w:r>
        <w:rPr>
          <w:rFonts w:ascii="宋体" w:eastAsia="宋体" w:hAnsi="宋体" w:cs="宋体"/>
          <w:spacing w:val="6"/>
          <w:sz w:val="22"/>
          <w:szCs w:val="22"/>
        </w:rPr>
        <w:t xml:space="preserve"> </w:t>
      </w:r>
      <w:r>
        <w:rPr>
          <w:rFonts w:ascii="宋体" w:eastAsia="宋体" w:hAnsi="宋体" w:cs="宋体"/>
          <w:spacing w:val="-12"/>
          <w:sz w:val="22"/>
          <w:szCs w:val="22"/>
        </w:rPr>
        <w:t>龄、性别、劳动强度和健康状况而定，并因食物来源而有所不</w:t>
      </w:r>
      <w:r>
        <w:rPr>
          <w:rFonts w:ascii="宋体" w:eastAsia="宋体" w:hAnsi="宋体" w:cs="宋体"/>
          <w:spacing w:val="-13"/>
          <w:sz w:val="22"/>
          <w:szCs w:val="22"/>
        </w:rPr>
        <w:t>同；新生儿、婴幼</w:t>
      </w:r>
      <w:r>
        <w:rPr>
          <w:rFonts w:ascii="宋体" w:eastAsia="宋体" w:hAnsi="宋体" w:cs="宋体"/>
          <w:sz w:val="22"/>
          <w:szCs w:val="22"/>
        </w:rPr>
        <w:t xml:space="preserve"> </w:t>
      </w:r>
      <w:r>
        <w:rPr>
          <w:rFonts w:ascii="宋体" w:eastAsia="宋体" w:hAnsi="宋体" w:cs="宋体"/>
          <w:spacing w:val="-14"/>
          <w:sz w:val="22"/>
          <w:szCs w:val="22"/>
        </w:rPr>
        <w:t>儿、儿童以及青少年期对于蛋白质的需求量，按每千克体重来讲要远远高于成年</w:t>
      </w:r>
      <w:r>
        <w:rPr>
          <w:rFonts w:ascii="宋体" w:eastAsia="宋体" w:hAnsi="宋体" w:cs="宋体"/>
          <w:spacing w:val="17"/>
          <w:sz w:val="22"/>
          <w:szCs w:val="22"/>
        </w:rPr>
        <w:t xml:space="preserve"> </w:t>
      </w:r>
      <w:r>
        <w:rPr>
          <w:rFonts w:ascii="宋体" w:eastAsia="宋体" w:hAnsi="宋体" w:cs="宋体"/>
          <w:spacing w:val="-14"/>
          <w:sz w:val="22"/>
          <w:szCs w:val="22"/>
        </w:rPr>
        <w:t>人，因为不但需要蛋白质来维持机体正常的生理需要，而且还要保证有足够的蛋</w:t>
      </w:r>
      <w:r>
        <w:rPr>
          <w:rFonts w:ascii="宋体" w:eastAsia="宋体" w:hAnsi="宋体" w:cs="宋体"/>
          <w:spacing w:val="18"/>
          <w:sz w:val="22"/>
          <w:szCs w:val="22"/>
        </w:rPr>
        <w:t xml:space="preserve"> </w:t>
      </w:r>
      <w:r>
        <w:rPr>
          <w:rFonts w:ascii="宋体" w:eastAsia="宋体" w:hAnsi="宋体" w:cs="宋体"/>
          <w:spacing w:val="-14"/>
          <w:sz w:val="22"/>
          <w:szCs w:val="22"/>
        </w:rPr>
        <w:t>白质来满足身体迅速生长和发育的需要。</w:t>
      </w:r>
    </w:p>
    <w:p w:rsidR="00EA40A3" w:rsidRDefault="00E86C16">
      <w:pPr>
        <w:spacing w:before="62" w:line="214" w:lineRule="auto"/>
        <w:ind w:left="430"/>
        <w:rPr>
          <w:rFonts w:ascii="宋体" w:eastAsia="宋体" w:hAnsi="宋体" w:cs="宋体"/>
          <w:sz w:val="22"/>
          <w:szCs w:val="22"/>
        </w:rPr>
      </w:pPr>
      <w:r>
        <w:rPr>
          <w:rFonts w:ascii="宋体" w:eastAsia="宋体" w:hAnsi="宋体" w:cs="宋体"/>
          <w:spacing w:val="-12"/>
          <w:sz w:val="22"/>
          <w:szCs w:val="22"/>
        </w:rPr>
        <w:t>发达国家成人的蛋白质摄入量，</w:t>
      </w:r>
      <w:r>
        <w:rPr>
          <w:rFonts w:ascii="宋体" w:eastAsia="宋体" w:hAnsi="宋体" w:cs="宋体"/>
          <w:spacing w:val="55"/>
          <w:sz w:val="22"/>
          <w:szCs w:val="22"/>
        </w:rPr>
        <w:t xml:space="preserve"> </w:t>
      </w:r>
      <w:r>
        <w:rPr>
          <w:rFonts w:ascii="宋体" w:eastAsia="宋体" w:hAnsi="宋体" w:cs="宋体"/>
          <w:spacing w:val="-12"/>
          <w:sz w:val="22"/>
          <w:szCs w:val="22"/>
        </w:rPr>
        <w:t>一直认为按每千克体</w:t>
      </w:r>
      <w:r>
        <w:rPr>
          <w:rFonts w:ascii="宋体" w:eastAsia="宋体" w:hAnsi="宋体" w:cs="宋体"/>
          <w:spacing w:val="-13"/>
          <w:sz w:val="22"/>
          <w:szCs w:val="22"/>
        </w:rPr>
        <w:t>重摄入0.8g</w:t>
      </w:r>
      <w:r>
        <w:rPr>
          <w:rFonts w:ascii="宋体" w:eastAsia="宋体" w:hAnsi="宋体" w:cs="宋体"/>
          <w:spacing w:val="-48"/>
          <w:sz w:val="22"/>
          <w:szCs w:val="22"/>
        </w:rPr>
        <w:t xml:space="preserve"> </w:t>
      </w:r>
      <w:r>
        <w:rPr>
          <w:rFonts w:ascii="宋体" w:eastAsia="宋体" w:hAnsi="宋体" w:cs="宋体"/>
          <w:spacing w:val="-13"/>
          <w:sz w:val="22"/>
          <w:szCs w:val="22"/>
        </w:rPr>
        <w:t>蛋白质可</w:t>
      </w:r>
    </w:p>
    <w:p w:rsidR="00EA40A3" w:rsidRDefault="00E86C16">
      <w:pPr>
        <w:spacing w:before="20" w:line="184" w:lineRule="auto"/>
        <w:ind w:left="150"/>
        <w:rPr>
          <w:rFonts w:ascii="宋体" w:eastAsia="宋体" w:hAnsi="宋体" w:cs="宋体"/>
          <w:sz w:val="19"/>
          <w:szCs w:val="19"/>
        </w:rPr>
      </w:pPr>
      <w:r>
        <w:rPr>
          <w:rFonts w:ascii="宋体" w:eastAsia="宋体" w:hAnsi="宋体" w:cs="宋体"/>
          <w:spacing w:val="-35"/>
          <w:sz w:val="19"/>
          <w:szCs w:val="19"/>
        </w:rPr>
        <w:t>·</w:t>
      </w:r>
      <w:r>
        <w:rPr>
          <w:rFonts w:ascii="宋体" w:eastAsia="宋体" w:hAnsi="宋体" w:cs="宋体"/>
          <w:spacing w:val="-8"/>
          <w:sz w:val="19"/>
          <w:szCs w:val="19"/>
        </w:rPr>
        <w:t xml:space="preserve"> </w:t>
      </w:r>
      <w:r>
        <w:rPr>
          <w:rFonts w:ascii="宋体" w:eastAsia="宋体" w:hAnsi="宋体" w:cs="宋体"/>
          <w:spacing w:val="-35"/>
          <w:sz w:val="19"/>
          <w:szCs w:val="19"/>
        </w:rPr>
        <w:t>78</w:t>
      </w:r>
      <w:r>
        <w:rPr>
          <w:rFonts w:ascii="宋体" w:eastAsia="宋体" w:hAnsi="宋体" w:cs="宋体"/>
          <w:spacing w:val="41"/>
          <w:sz w:val="19"/>
          <w:szCs w:val="19"/>
        </w:rPr>
        <w:t xml:space="preserve"> </w:t>
      </w:r>
      <w:r>
        <w:rPr>
          <w:rFonts w:ascii="宋体" w:eastAsia="宋体" w:hAnsi="宋体" w:cs="宋体"/>
          <w:spacing w:val="-35"/>
          <w:sz w:val="19"/>
          <w:szCs w:val="19"/>
        </w:rPr>
        <w:t>·</w:t>
      </w:r>
    </w:p>
    <w:p w:rsidR="00EA40A3" w:rsidRDefault="00EA40A3">
      <w:pPr>
        <w:sectPr w:rsidR="00EA40A3">
          <w:type w:val="continuous"/>
          <w:pgSz w:w="9220" w:h="13370"/>
          <w:pgMar w:top="400" w:right="1020" w:bottom="400" w:left="869" w:header="0" w:footer="0" w:gutter="0"/>
          <w:cols w:space="720" w:equalWidth="0">
            <w:col w:w="7330"/>
          </w:cols>
        </w:sectPr>
      </w:pPr>
    </w:p>
    <w:p w:rsidR="00EA40A3" w:rsidRDefault="00EA40A3">
      <w:pPr>
        <w:spacing w:line="283" w:lineRule="auto"/>
      </w:pPr>
    </w:p>
    <w:p w:rsidR="00EA40A3" w:rsidRDefault="00EA40A3">
      <w:pPr>
        <w:spacing w:line="283" w:lineRule="auto"/>
      </w:pPr>
    </w:p>
    <w:p w:rsidR="00EA40A3" w:rsidRDefault="00E86C16">
      <w:pPr>
        <w:spacing w:before="72" w:line="247" w:lineRule="auto"/>
        <w:ind w:right="72"/>
        <w:jc w:val="both"/>
        <w:rPr>
          <w:rFonts w:ascii="宋体" w:eastAsia="宋体" w:hAnsi="宋体" w:cs="宋体"/>
          <w:sz w:val="22"/>
          <w:szCs w:val="22"/>
        </w:rPr>
      </w:pPr>
      <w:r>
        <w:rPr>
          <w:rFonts w:ascii="宋体" w:eastAsia="宋体" w:hAnsi="宋体" w:cs="宋体"/>
          <w:spacing w:val="-6"/>
          <w:sz w:val="22"/>
          <w:szCs w:val="22"/>
        </w:rPr>
        <w:t>满足人体需要。中国以植物性食物为主，所以供给量为每千克体重1.0～1.2g,</w:t>
      </w:r>
      <w:r>
        <w:rPr>
          <w:rFonts w:ascii="宋体" w:eastAsia="宋体" w:hAnsi="宋体" w:cs="宋体"/>
          <w:spacing w:val="14"/>
          <w:sz w:val="22"/>
          <w:szCs w:val="22"/>
        </w:rPr>
        <w:t xml:space="preserve"> </w:t>
      </w:r>
      <w:r>
        <w:rPr>
          <w:rFonts w:ascii="宋体" w:eastAsia="宋体" w:hAnsi="宋体" w:cs="宋体"/>
          <w:spacing w:val="-10"/>
          <w:sz w:val="22"/>
          <w:szCs w:val="22"/>
        </w:rPr>
        <w:t>通常按北京地区标准1.16g/(kg</w:t>
      </w:r>
      <w:r>
        <w:rPr>
          <w:rFonts w:ascii="宋体" w:eastAsia="宋体" w:hAnsi="宋体" w:cs="宋体"/>
          <w:spacing w:val="-26"/>
          <w:sz w:val="22"/>
          <w:szCs w:val="22"/>
        </w:rPr>
        <w:t xml:space="preserve"> </w:t>
      </w:r>
      <w:r>
        <w:rPr>
          <w:rFonts w:ascii="宋体" w:eastAsia="宋体" w:hAnsi="宋体" w:cs="宋体"/>
          <w:spacing w:val="-10"/>
          <w:sz w:val="22"/>
          <w:szCs w:val="22"/>
        </w:rPr>
        <w:t>·d)</w:t>
      </w:r>
      <w:r>
        <w:rPr>
          <w:rFonts w:ascii="宋体" w:eastAsia="宋体" w:hAnsi="宋体" w:cs="宋体"/>
          <w:spacing w:val="-18"/>
          <w:sz w:val="22"/>
          <w:szCs w:val="22"/>
        </w:rPr>
        <w:t xml:space="preserve"> </w:t>
      </w:r>
      <w:r>
        <w:rPr>
          <w:rFonts w:ascii="宋体" w:eastAsia="宋体" w:hAnsi="宋体" w:cs="宋体"/>
          <w:spacing w:val="-10"/>
          <w:sz w:val="22"/>
          <w:szCs w:val="22"/>
        </w:rPr>
        <w:t>计算。</w:t>
      </w:r>
      <w:r>
        <w:rPr>
          <w:rFonts w:ascii="宋体" w:eastAsia="宋体" w:hAnsi="宋体" w:cs="宋体"/>
          <w:spacing w:val="-14"/>
          <w:sz w:val="22"/>
          <w:szCs w:val="22"/>
        </w:rPr>
        <w:t xml:space="preserve"> </w:t>
      </w:r>
      <w:r>
        <w:rPr>
          <w:rFonts w:ascii="宋体" w:eastAsia="宋体" w:hAnsi="宋体" w:cs="宋体"/>
          <w:spacing w:val="-11"/>
          <w:sz w:val="22"/>
          <w:szCs w:val="22"/>
        </w:rPr>
        <w:t>一般估量成年男女的平均体重男性</w:t>
      </w:r>
      <w:r>
        <w:rPr>
          <w:rFonts w:ascii="宋体" w:eastAsia="宋体" w:hAnsi="宋体" w:cs="宋体"/>
          <w:sz w:val="22"/>
          <w:szCs w:val="22"/>
        </w:rPr>
        <w:t xml:space="preserve"> </w:t>
      </w:r>
      <w:r>
        <w:rPr>
          <w:rFonts w:ascii="宋体" w:eastAsia="宋体" w:hAnsi="宋体" w:cs="宋体"/>
          <w:spacing w:val="-6"/>
          <w:sz w:val="22"/>
          <w:szCs w:val="22"/>
        </w:rPr>
        <w:t>为63kg,</w:t>
      </w:r>
      <w:r>
        <w:rPr>
          <w:rFonts w:ascii="宋体" w:eastAsia="宋体" w:hAnsi="宋体" w:cs="宋体"/>
          <w:spacing w:val="6"/>
          <w:sz w:val="22"/>
          <w:szCs w:val="22"/>
        </w:rPr>
        <w:t xml:space="preserve"> </w:t>
      </w:r>
      <w:r>
        <w:rPr>
          <w:rFonts w:ascii="宋体" w:eastAsia="宋体" w:hAnsi="宋体" w:cs="宋体"/>
          <w:spacing w:val="-6"/>
          <w:sz w:val="22"/>
          <w:szCs w:val="22"/>
        </w:rPr>
        <w:t>女性为56kg,</w:t>
      </w:r>
      <w:r>
        <w:rPr>
          <w:rFonts w:ascii="宋体" w:eastAsia="宋体" w:hAnsi="宋体" w:cs="宋体"/>
          <w:spacing w:val="-4"/>
          <w:sz w:val="22"/>
          <w:szCs w:val="22"/>
        </w:rPr>
        <w:t xml:space="preserve"> </w:t>
      </w:r>
      <w:r>
        <w:rPr>
          <w:rFonts w:ascii="宋体" w:eastAsia="宋体" w:hAnsi="宋体" w:cs="宋体"/>
          <w:spacing w:val="-6"/>
          <w:sz w:val="22"/>
          <w:szCs w:val="22"/>
        </w:rPr>
        <w:t>因而对成年轻劳动者的蛋白质推荐供给量男性为75g/d,</w:t>
      </w:r>
      <w:r>
        <w:rPr>
          <w:rFonts w:ascii="宋体" w:eastAsia="宋体" w:hAnsi="宋体" w:cs="宋体"/>
          <w:sz w:val="22"/>
          <w:szCs w:val="22"/>
        </w:rPr>
        <w:t xml:space="preserve"> </w:t>
      </w:r>
      <w:r>
        <w:rPr>
          <w:rFonts w:ascii="宋体" w:eastAsia="宋体" w:hAnsi="宋体" w:cs="宋体"/>
          <w:spacing w:val="-1"/>
          <w:sz w:val="22"/>
          <w:szCs w:val="22"/>
        </w:rPr>
        <w:t>女性为65g/d;</w:t>
      </w:r>
      <w:r>
        <w:rPr>
          <w:rFonts w:ascii="宋体" w:eastAsia="宋体" w:hAnsi="宋体" w:cs="宋体"/>
          <w:spacing w:val="-28"/>
          <w:sz w:val="22"/>
          <w:szCs w:val="22"/>
        </w:rPr>
        <w:t xml:space="preserve"> </w:t>
      </w:r>
      <w:r>
        <w:rPr>
          <w:rFonts w:ascii="宋体" w:eastAsia="宋体" w:hAnsi="宋体" w:cs="宋体"/>
          <w:spacing w:val="-1"/>
          <w:sz w:val="22"/>
          <w:szCs w:val="22"/>
        </w:rPr>
        <w:t>重体力劳动者的蛋白质转换率增加，将其PDCAAS</w:t>
      </w:r>
      <w:r>
        <w:rPr>
          <w:rFonts w:ascii="宋体" w:eastAsia="宋体" w:hAnsi="宋体" w:cs="宋体"/>
          <w:spacing w:val="12"/>
          <w:sz w:val="22"/>
          <w:szCs w:val="22"/>
        </w:rPr>
        <w:t xml:space="preserve">  </w:t>
      </w:r>
      <w:r>
        <w:rPr>
          <w:rFonts w:ascii="宋体" w:eastAsia="宋体" w:hAnsi="宋体" w:cs="宋体"/>
          <w:spacing w:val="-1"/>
          <w:sz w:val="22"/>
          <w:szCs w:val="22"/>
        </w:rPr>
        <w:t>记分</w:t>
      </w:r>
      <w:r>
        <w:rPr>
          <w:rFonts w:ascii="宋体" w:eastAsia="宋体" w:hAnsi="宋体" w:cs="宋体"/>
          <w:spacing w:val="-2"/>
          <w:sz w:val="22"/>
          <w:szCs w:val="22"/>
        </w:rPr>
        <w:t>从70%</w:t>
      </w:r>
      <w:r>
        <w:rPr>
          <w:rFonts w:ascii="宋体" w:eastAsia="宋体" w:hAnsi="宋体" w:cs="宋体"/>
          <w:spacing w:val="1"/>
          <w:sz w:val="22"/>
          <w:szCs w:val="22"/>
        </w:rPr>
        <w:t xml:space="preserve"> </w:t>
      </w:r>
      <w:r>
        <w:rPr>
          <w:rFonts w:ascii="宋体" w:eastAsia="宋体" w:hAnsi="宋体" w:cs="宋体"/>
          <w:spacing w:val="18"/>
          <w:sz w:val="22"/>
          <w:szCs w:val="22"/>
        </w:rPr>
        <w:t>(中国居民的膳食蛋白质消化利用率在70%左右)调到100%,可以计算为</w:t>
      </w:r>
      <w:r>
        <w:rPr>
          <w:rFonts w:ascii="宋体" w:eastAsia="宋体" w:hAnsi="宋体" w:cs="宋体"/>
          <w:spacing w:val="10"/>
          <w:sz w:val="22"/>
          <w:szCs w:val="22"/>
        </w:rPr>
        <w:t xml:space="preserve"> </w:t>
      </w:r>
      <w:r>
        <w:rPr>
          <w:rFonts w:ascii="宋体" w:eastAsia="宋体" w:hAnsi="宋体" w:cs="宋体"/>
          <w:spacing w:val="-5"/>
          <w:sz w:val="22"/>
          <w:szCs w:val="22"/>
        </w:rPr>
        <w:t>1.16g×1.3=1.5g,</w:t>
      </w:r>
      <w:r>
        <w:rPr>
          <w:rFonts w:ascii="宋体" w:eastAsia="宋体" w:hAnsi="宋体" w:cs="宋体"/>
          <w:spacing w:val="17"/>
          <w:sz w:val="22"/>
          <w:szCs w:val="22"/>
        </w:rPr>
        <w:t xml:space="preserve"> </w:t>
      </w:r>
      <w:r>
        <w:rPr>
          <w:rFonts w:ascii="宋体" w:eastAsia="宋体" w:hAnsi="宋体" w:cs="宋体"/>
          <w:spacing w:val="-5"/>
          <w:sz w:val="22"/>
          <w:szCs w:val="22"/>
        </w:rPr>
        <w:t>按每千克体重1.5g</w:t>
      </w:r>
      <w:r>
        <w:rPr>
          <w:rFonts w:ascii="宋体" w:eastAsia="宋体" w:hAnsi="宋体" w:cs="宋体"/>
          <w:spacing w:val="-48"/>
          <w:sz w:val="22"/>
          <w:szCs w:val="22"/>
        </w:rPr>
        <w:t xml:space="preserve"> </w:t>
      </w:r>
      <w:r>
        <w:rPr>
          <w:rFonts w:ascii="宋体" w:eastAsia="宋体" w:hAnsi="宋体" w:cs="宋体"/>
          <w:spacing w:val="-5"/>
          <w:sz w:val="22"/>
          <w:szCs w:val="22"/>
        </w:rPr>
        <w:t>蛋白质计算，则重体力劳动者供给量为</w:t>
      </w:r>
      <w:r>
        <w:rPr>
          <w:rFonts w:ascii="宋体" w:eastAsia="宋体" w:hAnsi="宋体" w:cs="宋体"/>
          <w:sz w:val="22"/>
          <w:szCs w:val="22"/>
        </w:rPr>
        <w:t xml:space="preserve"> </w:t>
      </w:r>
      <w:r>
        <w:rPr>
          <w:rFonts w:ascii="宋体" w:eastAsia="宋体" w:hAnsi="宋体" w:cs="宋体"/>
          <w:spacing w:val="-5"/>
          <w:sz w:val="22"/>
          <w:szCs w:val="22"/>
        </w:rPr>
        <w:t>男性90g/d,</w:t>
      </w:r>
      <w:r>
        <w:rPr>
          <w:rFonts w:ascii="宋体" w:eastAsia="宋体" w:hAnsi="宋体" w:cs="宋体"/>
          <w:spacing w:val="-28"/>
          <w:sz w:val="22"/>
          <w:szCs w:val="22"/>
        </w:rPr>
        <w:t xml:space="preserve"> </w:t>
      </w:r>
      <w:r>
        <w:rPr>
          <w:rFonts w:ascii="宋体" w:eastAsia="宋体" w:hAnsi="宋体" w:cs="宋体"/>
          <w:spacing w:val="-5"/>
          <w:sz w:val="22"/>
          <w:szCs w:val="22"/>
        </w:rPr>
        <w:t>女性为80g/d;</w:t>
      </w:r>
      <w:r>
        <w:rPr>
          <w:rFonts w:ascii="宋体" w:eastAsia="宋体" w:hAnsi="宋体" w:cs="宋体"/>
          <w:spacing w:val="-18"/>
          <w:sz w:val="22"/>
          <w:szCs w:val="22"/>
        </w:rPr>
        <w:t xml:space="preserve"> </w:t>
      </w:r>
      <w:r>
        <w:rPr>
          <w:rFonts w:ascii="宋体" w:eastAsia="宋体" w:hAnsi="宋体" w:cs="宋体"/>
          <w:spacing w:val="-5"/>
          <w:sz w:val="22"/>
          <w:szCs w:val="22"/>
        </w:rPr>
        <w:t>而中等劳动介于重和轻劳动之间，男、女性分别为</w:t>
      </w:r>
      <w:r>
        <w:rPr>
          <w:rFonts w:ascii="宋体" w:eastAsia="宋体" w:hAnsi="宋体" w:cs="宋体"/>
          <w:sz w:val="22"/>
          <w:szCs w:val="22"/>
        </w:rPr>
        <w:t xml:space="preserve"> </w:t>
      </w:r>
      <w:r>
        <w:rPr>
          <w:rFonts w:ascii="宋体" w:eastAsia="宋体" w:hAnsi="宋体" w:cs="宋体"/>
          <w:spacing w:val="-3"/>
          <w:sz w:val="22"/>
          <w:szCs w:val="22"/>
        </w:rPr>
        <w:t>80g/d</w:t>
      </w:r>
      <w:r>
        <w:rPr>
          <w:rFonts w:ascii="宋体" w:eastAsia="宋体" w:hAnsi="宋体" w:cs="宋体"/>
          <w:spacing w:val="-61"/>
          <w:sz w:val="22"/>
          <w:szCs w:val="22"/>
        </w:rPr>
        <w:t xml:space="preserve"> </w:t>
      </w:r>
      <w:r>
        <w:rPr>
          <w:rFonts w:ascii="宋体" w:eastAsia="宋体" w:hAnsi="宋体" w:cs="宋体"/>
          <w:spacing w:val="-3"/>
          <w:sz w:val="22"/>
          <w:szCs w:val="22"/>
        </w:rPr>
        <w:t>和70g/d。</w:t>
      </w:r>
    </w:p>
    <w:p w:rsidR="00EA40A3" w:rsidRDefault="00E86C16">
      <w:pPr>
        <w:spacing w:before="91" w:line="229" w:lineRule="auto"/>
        <w:ind w:right="101" w:firstLine="420"/>
        <w:rPr>
          <w:rFonts w:ascii="宋体" w:eastAsia="宋体" w:hAnsi="宋体" w:cs="宋体"/>
          <w:sz w:val="22"/>
          <w:szCs w:val="22"/>
        </w:rPr>
      </w:pPr>
      <w:r>
        <w:rPr>
          <w:rFonts w:ascii="宋体" w:eastAsia="宋体" w:hAnsi="宋体" w:cs="宋体"/>
          <w:spacing w:val="-7"/>
          <w:sz w:val="22"/>
          <w:szCs w:val="22"/>
        </w:rPr>
        <w:t>中国营养学会根据上述标准在2000年提出中国居民膳食蛋白质推荐摄入量</w:t>
      </w:r>
      <w:r>
        <w:rPr>
          <w:rFonts w:ascii="宋体" w:eastAsia="宋体" w:hAnsi="宋体" w:cs="宋体"/>
          <w:spacing w:val="15"/>
          <w:sz w:val="22"/>
          <w:szCs w:val="22"/>
        </w:rPr>
        <w:t xml:space="preserve"> </w:t>
      </w:r>
      <w:r>
        <w:rPr>
          <w:rFonts w:ascii="宋体" w:eastAsia="宋体" w:hAnsi="宋体" w:cs="宋体"/>
          <w:spacing w:val="-13"/>
          <w:sz w:val="22"/>
          <w:szCs w:val="22"/>
        </w:rPr>
        <w:t>(RNI),</w:t>
      </w:r>
      <w:r>
        <w:rPr>
          <w:rFonts w:ascii="宋体" w:eastAsia="宋体" w:hAnsi="宋体" w:cs="宋体"/>
          <w:spacing w:val="62"/>
          <w:sz w:val="22"/>
          <w:szCs w:val="22"/>
        </w:rPr>
        <w:t xml:space="preserve"> </w:t>
      </w:r>
      <w:r>
        <w:rPr>
          <w:rFonts w:ascii="宋体" w:eastAsia="宋体" w:hAnsi="宋体" w:cs="宋体"/>
          <w:spacing w:val="-13"/>
          <w:sz w:val="22"/>
          <w:szCs w:val="22"/>
        </w:rPr>
        <w:t>按此推荐量摄入蛋白质是较为安全和可靠的。</w:t>
      </w:r>
    </w:p>
    <w:p w:rsidR="00EA40A3" w:rsidRDefault="00E86C16">
      <w:pPr>
        <w:spacing w:before="201" w:line="221"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33"/>
          <w:sz w:val="22"/>
          <w:szCs w:val="22"/>
        </w:rPr>
        <w:t xml:space="preserve"> </w:t>
      </w:r>
      <w:r>
        <w:rPr>
          <w:rFonts w:ascii="仿宋" w:eastAsia="仿宋" w:hAnsi="仿宋" w:cs="仿宋"/>
          <w:spacing w:val="11"/>
          <w:sz w:val="22"/>
          <w:szCs w:val="22"/>
        </w:rPr>
        <w:t>蛋白质的食物来源</w:t>
      </w:r>
    </w:p>
    <w:p w:rsidR="00EA40A3" w:rsidRDefault="00E86C16">
      <w:pPr>
        <w:spacing w:before="208" w:line="244" w:lineRule="auto"/>
        <w:ind w:firstLine="420"/>
        <w:jc w:val="both"/>
        <w:rPr>
          <w:rFonts w:ascii="宋体" w:eastAsia="宋体" w:hAnsi="宋体" w:cs="宋体"/>
          <w:sz w:val="22"/>
          <w:szCs w:val="22"/>
        </w:rPr>
      </w:pPr>
      <w:r>
        <w:rPr>
          <w:rFonts w:ascii="宋体" w:eastAsia="宋体" w:hAnsi="宋体" w:cs="宋体"/>
          <w:spacing w:val="-13"/>
          <w:sz w:val="22"/>
          <w:szCs w:val="22"/>
        </w:rPr>
        <w:t>蛋白质广泛存在于动植物性食物中，在畜、禽、鱼、肉、豆类中含有大量优</w:t>
      </w:r>
      <w:r>
        <w:rPr>
          <w:rFonts w:ascii="宋体" w:eastAsia="宋体" w:hAnsi="宋体" w:cs="宋体"/>
          <w:spacing w:val="6"/>
          <w:sz w:val="22"/>
          <w:szCs w:val="22"/>
        </w:rPr>
        <w:t xml:space="preserve"> </w:t>
      </w:r>
      <w:r>
        <w:rPr>
          <w:rFonts w:ascii="宋体" w:eastAsia="宋体" w:hAnsi="宋体" w:cs="宋体"/>
          <w:spacing w:val="9"/>
          <w:sz w:val="22"/>
          <w:szCs w:val="22"/>
        </w:rPr>
        <w:t>质蛋白质，含量一般为10%～20%。奶类中蛋白质含量较低为1.5%～3.8%,</w:t>
      </w:r>
      <w:r>
        <w:rPr>
          <w:rFonts w:ascii="宋体" w:eastAsia="宋体" w:hAnsi="宋体" w:cs="宋体"/>
          <w:spacing w:val="16"/>
          <w:sz w:val="22"/>
          <w:szCs w:val="22"/>
        </w:rPr>
        <w:t xml:space="preserve"> </w:t>
      </w:r>
      <w:r>
        <w:rPr>
          <w:rFonts w:ascii="宋体" w:eastAsia="宋体" w:hAnsi="宋体" w:cs="宋体"/>
          <w:spacing w:val="24"/>
          <w:sz w:val="22"/>
          <w:szCs w:val="22"/>
        </w:rPr>
        <w:t>蛋类11%～14%,干豆类20%～24%,其中大豆高达40%、谷类6%～10%</w:t>
      </w:r>
      <w:r>
        <w:rPr>
          <w:rFonts w:ascii="宋体" w:eastAsia="宋体" w:hAnsi="宋体" w:cs="宋体"/>
          <w:spacing w:val="23"/>
          <w:sz w:val="22"/>
          <w:szCs w:val="22"/>
        </w:rPr>
        <w:t>、</w:t>
      </w:r>
      <w:r>
        <w:rPr>
          <w:rFonts w:ascii="宋体" w:eastAsia="宋体" w:hAnsi="宋体" w:cs="宋体"/>
          <w:sz w:val="22"/>
          <w:szCs w:val="22"/>
        </w:rPr>
        <w:t xml:space="preserve"> </w:t>
      </w:r>
      <w:r>
        <w:rPr>
          <w:rFonts w:ascii="宋体" w:eastAsia="宋体" w:hAnsi="宋体" w:cs="宋体"/>
          <w:spacing w:val="17"/>
          <w:sz w:val="22"/>
          <w:szCs w:val="22"/>
        </w:rPr>
        <w:t>薯类2%～3%。</w:t>
      </w:r>
    </w:p>
    <w:p w:rsidR="00EA40A3" w:rsidRDefault="00E86C16">
      <w:pPr>
        <w:spacing w:before="60" w:line="245" w:lineRule="auto"/>
        <w:ind w:right="93" w:firstLine="420"/>
        <w:jc w:val="both"/>
        <w:rPr>
          <w:rFonts w:ascii="宋体" w:eastAsia="宋体" w:hAnsi="宋体" w:cs="宋体"/>
          <w:sz w:val="22"/>
          <w:szCs w:val="22"/>
        </w:rPr>
      </w:pPr>
      <w:r>
        <w:rPr>
          <w:rFonts w:ascii="宋体" w:eastAsia="宋体" w:hAnsi="宋体" w:cs="宋体"/>
          <w:spacing w:val="-13"/>
          <w:sz w:val="22"/>
          <w:szCs w:val="22"/>
        </w:rPr>
        <w:t>动物性蛋白质质量好、利用率高，但同时富含饱和</w:t>
      </w:r>
      <w:r>
        <w:rPr>
          <w:rFonts w:ascii="宋体" w:eastAsia="宋体" w:hAnsi="宋体" w:cs="宋体"/>
          <w:spacing w:val="-14"/>
          <w:sz w:val="22"/>
          <w:szCs w:val="22"/>
        </w:rPr>
        <w:t>脂肪酸和胆固醇，而植物</w:t>
      </w:r>
      <w:r>
        <w:rPr>
          <w:rFonts w:ascii="宋体" w:eastAsia="宋体" w:hAnsi="宋体" w:cs="宋体"/>
          <w:sz w:val="22"/>
          <w:szCs w:val="22"/>
        </w:rPr>
        <w:t xml:space="preserve"> </w:t>
      </w:r>
      <w:r>
        <w:rPr>
          <w:rFonts w:ascii="宋体" w:eastAsia="宋体" w:hAnsi="宋体" w:cs="宋体"/>
          <w:spacing w:val="-13"/>
          <w:sz w:val="22"/>
          <w:szCs w:val="22"/>
        </w:rPr>
        <w:t>性蛋白质的利用率低。中国居民所需要的蛋白质主要来源于植物</w:t>
      </w:r>
      <w:r>
        <w:rPr>
          <w:rFonts w:ascii="宋体" w:eastAsia="宋体" w:hAnsi="宋体" w:cs="宋体"/>
          <w:spacing w:val="-14"/>
          <w:sz w:val="22"/>
          <w:szCs w:val="22"/>
        </w:rPr>
        <w:t>，有一半是由粮</w:t>
      </w:r>
      <w:r>
        <w:rPr>
          <w:rFonts w:ascii="宋体" w:eastAsia="宋体" w:hAnsi="宋体" w:cs="宋体"/>
          <w:sz w:val="22"/>
          <w:szCs w:val="22"/>
        </w:rPr>
        <w:t xml:space="preserve"> </w:t>
      </w:r>
      <w:r>
        <w:rPr>
          <w:rFonts w:ascii="宋体" w:eastAsia="宋体" w:hAnsi="宋体" w:cs="宋体"/>
          <w:spacing w:val="-13"/>
          <w:sz w:val="22"/>
          <w:szCs w:val="22"/>
        </w:rPr>
        <w:t>谷类提供。从营养学的角度讲，单纯摄入谷类蛋白是不合理的，应注意蛋白质的</w:t>
      </w:r>
      <w:r>
        <w:rPr>
          <w:rFonts w:ascii="宋体" w:eastAsia="宋体" w:hAnsi="宋体" w:cs="宋体"/>
          <w:sz w:val="22"/>
          <w:szCs w:val="22"/>
        </w:rPr>
        <w:t xml:space="preserve"> </w:t>
      </w:r>
      <w:r>
        <w:rPr>
          <w:rFonts w:ascii="宋体" w:eastAsia="宋体" w:hAnsi="宋体" w:cs="宋体"/>
          <w:spacing w:val="-13"/>
          <w:sz w:val="22"/>
          <w:szCs w:val="22"/>
        </w:rPr>
        <w:t>相互补充作用，适当提供动物性蛋白质。大豆可以提供丰富的优质</w:t>
      </w:r>
      <w:r>
        <w:rPr>
          <w:rFonts w:ascii="宋体" w:eastAsia="宋体" w:hAnsi="宋体" w:cs="宋体"/>
          <w:spacing w:val="-14"/>
          <w:sz w:val="22"/>
          <w:szCs w:val="22"/>
        </w:rPr>
        <w:t>蛋白质，牛奶</w:t>
      </w:r>
      <w:r>
        <w:rPr>
          <w:rFonts w:ascii="宋体" w:eastAsia="宋体" w:hAnsi="宋体" w:cs="宋体"/>
          <w:sz w:val="22"/>
          <w:szCs w:val="22"/>
        </w:rPr>
        <w:t xml:space="preserve"> </w:t>
      </w:r>
      <w:r>
        <w:rPr>
          <w:rFonts w:ascii="宋体" w:eastAsia="宋体" w:hAnsi="宋体" w:cs="宋体"/>
          <w:spacing w:val="-13"/>
          <w:sz w:val="22"/>
          <w:szCs w:val="22"/>
        </w:rPr>
        <w:t>富含多种营养素，应大力提倡中国各类人群对牛奶和大豆制品</w:t>
      </w:r>
      <w:r>
        <w:rPr>
          <w:rFonts w:ascii="宋体" w:eastAsia="宋体" w:hAnsi="宋体" w:cs="宋体"/>
          <w:spacing w:val="-14"/>
          <w:sz w:val="22"/>
          <w:szCs w:val="22"/>
        </w:rPr>
        <w:t>的消费。</w:t>
      </w:r>
    </w:p>
    <w:p w:rsidR="00EA40A3" w:rsidRDefault="00E86C16">
      <w:pPr>
        <w:spacing w:before="86" w:line="239" w:lineRule="auto"/>
        <w:ind w:firstLine="420"/>
        <w:jc w:val="both"/>
        <w:rPr>
          <w:rFonts w:ascii="宋体" w:eastAsia="宋体" w:hAnsi="宋体" w:cs="宋体"/>
          <w:sz w:val="22"/>
          <w:szCs w:val="22"/>
        </w:rPr>
      </w:pPr>
      <w:r>
        <w:rPr>
          <w:rFonts w:ascii="宋体" w:eastAsia="宋体" w:hAnsi="宋体" w:cs="宋体"/>
          <w:spacing w:val="-14"/>
          <w:sz w:val="22"/>
          <w:szCs w:val="22"/>
        </w:rPr>
        <w:t>人类在生产大量传统的动植物及其制品之外，开发出了许多非传统的新食品</w:t>
      </w:r>
      <w:r>
        <w:rPr>
          <w:rFonts w:ascii="宋体" w:eastAsia="宋体" w:hAnsi="宋体" w:cs="宋体"/>
          <w:spacing w:val="6"/>
          <w:sz w:val="22"/>
          <w:szCs w:val="22"/>
        </w:rPr>
        <w:t xml:space="preserve">  </w:t>
      </w:r>
      <w:r>
        <w:rPr>
          <w:rFonts w:ascii="宋体" w:eastAsia="宋体" w:hAnsi="宋体" w:cs="宋体"/>
          <w:spacing w:val="-10"/>
          <w:sz w:val="22"/>
          <w:szCs w:val="22"/>
        </w:rPr>
        <w:t>蛋白质资源。如对单细胞蛋白质</w:t>
      </w:r>
      <w:r>
        <w:rPr>
          <w:rFonts w:ascii="宋体" w:eastAsia="宋体" w:hAnsi="宋体" w:cs="宋体"/>
          <w:spacing w:val="-34"/>
          <w:sz w:val="22"/>
          <w:szCs w:val="22"/>
        </w:rPr>
        <w:t xml:space="preserve"> </w:t>
      </w:r>
      <w:r>
        <w:rPr>
          <w:rFonts w:ascii="宋体" w:eastAsia="宋体" w:hAnsi="宋体" w:cs="宋体"/>
          <w:spacing w:val="-10"/>
          <w:sz w:val="22"/>
          <w:szCs w:val="22"/>
        </w:rPr>
        <w:t>(SCP)</w:t>
      </w:r>
      <w:r>
        <w:rPr>
          <w:rFonts w:ascii="宋体" w:eastAsia="宋体" w:hAnsi="宋体" w:cs="宋体"/>
          <w:spacing w:val="57"/>
          <w:sz w:val="22"/>
          <w:szCs w:val="22"/>
        </w:rPr>
        <w:t xml:space="preserve"> </w:t>
      </w:r>
      <w:r>
        <w:rPr>
          <w:rFonts w:ascii="宋体" w:eastAsia="宋体" w:hAnsi="宋体" w:cs="宋体"/>
          <w:spacing w:val="-10"/>
          <w:sz w:val="22"/>
          <w:szCs w:val="22"/>
        </w:rPr>
        <w:t>的开发</w:t>
      </w:r>
      <w:r>
        <w:rPr>
          <w:rFonts w:ascii="宋体" w:eastAsia="宋体" w:hAnsi="宋体" w:cs="宋体"/>
          <w:spacing w:val="-11"/>
          <w:sz w:val="22"/>
          <w:szCs w:val="22"/>
        </w:rPr>
        <w:t>利用，单细胞蛋白质多是由微生</w:t>
      </w:r>
      <w:r>
        <w:rPr>
          <w:rFonts w:ascii="宋体" w:eastAsia="宋体" w:hAnsi="宋体" w:cs="宋体"/>
          <w:sz w:val="22"/>
          <w:szCs w:val="22"/>
        </w:rPr>
        <w:t xml:space="preserve">  </w:t>
      </w:r>
      <w:r>
        <w:rPr>
          <w:rFonts w:ascii="宋体" w:eastAsia="宋体" w:hAnsi="宋体" w:cs="宋体"/>
          <w:spacing w:val="-4"/>
          <w:sz w:val="22"/>
          <w:szCs w:val="22"/>
        </w:rPr>
        <w:t>物培养制成，其蛋白质含量一般可在50%以上，并含有丰富的必需氨基酸。此</w:t>
      </w:r>
      <w:r>
        <w:rPr>
          <w:rFonts w:ascii="宋体" w:eastAsia="宋体" w:hAnsi="宋体" w:cs="宋体"/>
          <w:spacing w:val="3"/>
          <w:sz w:val="22"/>
          <w:szCs w:val="22"/>
        </w:rPr>
        <w:t xml:space="preserve">  </w:t>
      </w:r>
      <w:r>
        <w:rPr>
          <w:rFonts w:ascii="宋体" w:eastAsia="宋体" w:hAnsi="宋体" w:cs="宋体"/>
          <w:spacing w:val="-10"/>
          <w:sz w:val="22"/>
          <w:szCs w:val="22"/>
        </w:rPr>
        <w:t>外，还有对昆虫及昆虫蛋白质的研究，昆虫的蛋白质含量</w:t>
      </w:r>
      <w:r>
        <w:rPr>
          <w:rFonts w:ascii="宋体" w:eastAsia="宋体" w:hAnsi="宋体" w:cs="宋体"/>
          <w:spacing w:val="-11"/>
          <w:sz w:val="22"/>
          <w:szCs w:val="22"/>
        </w:rPr>
        <w:t>高，脂肪和胆固醇低，</w:t>
      </w:r>
      <w:r>
        <w:rPr>
          <w:rFonts w:ascii="宋体" w:eastAsia="宋体" w:hAnsi="宋体" w:cs="宋体"/>
          <w:sz w:val="22"/>
          <w:szCs w:val="22"/>
        </w:rPr>
        <w:t xml:space="preserve"> </w:t>
      </w:r>
      <w:r>
        <w:rPr>
          <w:rFonts w:ascii="宋体" w:eastAsia="宋体" w:hAnsi="宋体" w:cs="宋体"/>
          <w:spacing w:val="-14"/>
          <w:sz w:val="22"/>
          <w:szCs w:val="22"/>
        </w:rPr>
        <w:t>有的昆虫蛋白质还含有有益人体营养保健的功能成分。</w:t>
      </w:r>
    </w:p>
    <w:p w:rsidR="00EA40A3" w:rsidRDefault="00EA40A3">
      <w:pPr>
        <w:spacing w:line="253" w:lineRule="auto"/>
      </w:pPr>
    </w:p>
    <w:p w:rsidR="00EA40A3" w:rsidRDefault="00E86C16">
      <w:pPr>
        <w:spacing w:before="97" w:line="219" w:lineRule="auto"/>
        <w:ind w:left="3199"/>
        <w:rPr>
          <w:rFonts w:ascii="宋体" w:eastAsia="宋体" w:hAnsi="宋体" w:cs="宋体"/>
          <w:sz w:val="30"/>
          <w:szCs w:val="30"/>
        </w:rPr>
      </w:pPr>
      <w:r>
        <w:rPr>
          <w:rFonts w:ascii="宋体" w:eastAsia="宋体" w:hAnsi="宋体" w:cs="宋体"/>
          <w:spacing w:val="-5"/>
          <w:sz w:val="30"/>
          <w:szCs w:val="30"/>
        </w:rPr>
        <w:t>3.5</w:t>
      </w:r>
      <w:r>
        <w:rPr>
          <w:rFonts w:ascii="宋体" w:eastAsia="宋体" w:hAnsi="宋体" w:cs="宋体"/>
          <w:spacing w:val="79"/>
          <w:sz w:val="30"/>
          <w:szCs w:val="30"/>
        </w:rPr>
        <w:t xml:space="preserve"> </w:t>
      </w:r>
      <w:r>
        <w:rPr>
          <w:rFonts w:ascii="宋体" w:eastAsia="宋体" w:hAnsi="宋体" w:cs="宋体"/>
          <w:spacing w:val="-5"/>
          <w:sz w:val="30"/>
          <w:szCs w:val="30"/>
        </w:rPr>
        <w:t>水</w:t>
      </w:r>
    </w:p>
    <w:p w:rsidR="00EA40A3" w:rsidRDefault="00EA40A3">
      <w:pPr>
        <w:spacing w:line="249" w:lineRule="auto"/>
      </w:pPr>
    </w:p>
    <w:p w:rsidR="00EA40A3" w:rsidRDefault="00E86C16">
      <w:pPr>
        <w:spacing w:before="72" w:line="237" w:lineRule="auto"/>
        <w:ind w:right="91" w:firstLine="420"/>
        <w:jc w:val="both"/>
        <w:rPr>
          <w:rFonts w:ascii="宋体" w:eastAsia="宋体" w:hAnsi="宋体" w:cs="宋体"/>
          <w:sz w:val="22"/>
          <w:szCs w:val="22"/>
        </w:rPr>
      </w:pPr>
      <w:r>
        <w:rPr>
          <w:rFonts w:ascii="宋体" w:eastAsia="宋体" w:hAnsi="宋体" w:cs="宋体"/>
          <w:spacing w:val="-13"/>
          <w:sz w:val="22"/>
          <w:szCs w:val="22"/>
        </w:rPr>
        <w:t>水是人体赖以维持生命活动的最基本物质，是一种重要</w:t>
      </w:r>
      <w:r>
        <w:rPr>
          <w:rFonts w:ascii="宋体" w:eastAsia="宋体" w:hAnsi="宋体" w:cs="宋体"/>
          <w:spacing w:val="-14"/>
          <w:sz w:val="22"/>
          <w:szCs w:val="22"/>
        </w:rPr>
        <w:t>的宏量营养素。由于</w:t>
      </w:r>
      <w:r>
        <w:rPr>
          <w:rFonts w:ascii="宋体" w:eastAsia="宋体" w:hAnsi="宋体" w:cs="宋体"/>
          <w:sz w:val="22"/>
          <w:szCs w:val="22"/>
        </w:rPr>
        <w:t xml:space="preserve"> </w:t>
      </w:r>
      <w:r>
        <w:rPr>
          <w:rFonts w:ascii="宋体" w:eastAsia="宋体" w:hAnsi="宋体" w:cs="宋体"/>
          <w:spacing w:val="-13"/>
          <w:sz w:val="22"/>
          <w:szCs w:val="22"/>
        </w:rPr>
        <w:t>水相对容易获取，人们往往忽视它的重要性。水是机体的重要组</w:t>
      </w:r>
      <w:r>
        <w:rPr>
          <w:rFonts w:ascii="宋体" w:eastAsia="宋体" w:hAnsi="宋体" w:cs="宋体"/>
          <w:spacing w:val="-14"/>
          <w:sz w:val="22"/>
          <w:szCs w:val="22"/>
        </w:rPr>
        <w:t>成物质，占人体</w:t>
      </w:r>
      <w:r>
        <w:rPr>
          <w:rFonts w:ascii="宋体" w:eastAsia="宋体" w:hAnsi="宋体" w:cs="宋体"/>
          <w:sz w:val="22"/>
          <w:szCs w:val="22"/>
        </w:rPr>
        <w:t xml:space="preserve"> 组成的50%～80%。水不仅可以作为各种物质的溶</w:t>
      </w:r>
      <w:r>
        <w:rPr>
          <w:rFonts w:ascii="宋体" w:eastAsia="宋体" w:hAnsi="宋体" w:cs="宋体"/>
          <w:spacing w:val="-1"/>
          <w:sz w:val="22"/>
          <w:szCs w:val="22"/>
        </w:rPr>
        <w:t>媒参与细胞代谢，而且也构</w:t>
      </w:r>
      <w:r>
        <w:rPr>
          <w:rFonts w:ascii="宋体" w:eastAsia="宋体" w:hAnsi="宋体" w:cs="宋体"/>
          <w:sz w:val="22"/>
          <w:szCs w:val="22"/>
        </w:rPr>
        <w:t xml:space="preserve"> </w:t>
      </w:r>
      <w:r>
        <w:rPr>
          <w:rFonts w:ascii="宋体" w:eastAsia="宋体" w:hAnsi="宋体" w:cs="宋体"/>
          <w:spacing w:val="-14"/>
          <w:sz w:val="22"/>
          <w:szCs w:val="22"/>
        </w:rPr>
        <w:t>成细胞赖以生存的外环境。</w:t>
      </w:r>
    </w:p>
    <w:p w:rsidR="00EA40A3" w:rsidRDefault="00E86C16">
      <w:pPr>
        <w:spacing w:before="214" w:line="222" w:lineRule="auto"/>
        <w:ind w:left="3"/>
        <w:outlineLvl w:val="6"/>
        <w:rPr>
          <w:rFonts w:ascii="黑体" w:eastAsia="黑体" w:hAnsi="黑体" w:cs="黑体"/>
          <w:sz w:val="22"/>
          <w:szCs w:val="22"/>
        </w:rPr>
      </w:pPr>
      <w:r>
        <w:rPr>
          <w:rFonts w:ascii="黑体" w:eastAsia="黑体" w:hAnsi="黑体" w:cs="黑体"/>
          <w:b/>
          <w:bCs/>
          <w:spacing w:val="-7"/>
          <w:sz w:val="22"/>
          <w:szCs w:val="22"/>
        </w:rPr>
        <w:t>3.5.1</w:t>
      </w:r>
      <w:r>
        <w:rPr>
          <w:rFonts w:ascii="黑体" w:eastAsia="黑体" w:hAnsi="黑体" w:cs="黑体"/>
          <w:spacing w:val="39"/>
          <w:sz w:val="22"/>
          <w:szCs w:val="22"/>
        </w:rPr>
        <w:t xml:space="preserve">   </w:t>
      </w:r>
      <w:r>
        <w:rPr>
          <w:rFonts w:ascii="黑体" w:eastAsia="黑体" w:hAnsi="黑体" w:cs="黑体"/>
          <w:b/>
          <w:bCs/>
          <w:spacing w:val="-7"/>
          <w:sz w:val="22"/>
          <w:szCs w:val="22"/>
        </w:rPr>
        <w:t>水在体内的分布</w:t>
      </w:r>
    </w:p>
    <w:p w:rsidR="00EA40A3" w:rsidRDefault="00E86C16">
      <w:pPr>
        <w:spacing w:before="219" w:line="219" w:lineRule="auto"/>
        <w:ind w:left="420"/>
        <w:rPr>
          <w:rFonts w:ascii="宋体" w:eastAsia="宋体" w:hAnsi="宋体" w:cs="宋体"/>
          <w:sz w:val="22"/>
          <w:szCs w:val="22"/>
        </w:rPr>
      </w:pPr>
      <w:r>
        <w:rPr>
          <w:rFonts w:ascii="宋体" w:eastAsia="宋体" w:hAnsi="宋体" w:cs="宋体"/>
          <w:spacing w:val="-13"/>
          <w:sz w:val="22"/>
          <w:szCs w:val="22"/>
        </w:rPr>
        <w:t>水是人体最多和最重要的成分，分布于细胞、细胞外液和身体的固态支持</w:t>
      </w:r>
      <w:r>
        <w:rPr>
          <w:rFonts w:ascii="宋体" w:eastAsia="宋体" w:hAnsi="宋体" w:cs="宋体"/>
          <w:spacing w:val="-14"/>
          <w:sz w:val="22"/>
          <w:szCs w:val="22"/>
        </w:rPr>
        <w:t>组</w:t>
      </w:r>
    </w:p>
    <w:p w:rsidR="00EA40A3" w:rsidRDefault="00EA40A3">
      <w:pPr>
        <w:sectPr w:rsidR="00EA40A3">
          <w:footerReference w:type="default" r:id="rId71"/>
          <w:pgSz w:w="9220" w:h="13360"/>
          <w:pgMar w:top="400" w:right="1069" w:bottom="1236" w:left="809" w:header="0" w:footer="1015" w:gutter="0"/>
          <w:cols w:space="720"/>
        </w:sectPr>
      </w:pPr>
    </w:p>
    <w:p w:rsidR="00EA40A3" w:rsidRDefault="00EA40A3">
      <w:pPr>
        <w:spacing w:line="280" w:lineRule="auto"/>
      </w:pPr>
    </w:p>
    <w:p w:rsidR="00EA40A3" w:rsidRDefault="00EA40A3">
      <w:pPr>
        <w:spacing w:line="281" w:lineRule="auto"/>
      </w:pPr>
    </w:p>
    <w:p w:rsidR="00EA40A3" w:rsidRDefault="00E86C16">
      <w:pPr>
        <w:spacing w:before="75" w:line="237" w:lineRule="auto"/>
        <w:ind w:left="59" w:right="85"/>
        <w:jc w:val="both"/>
        <w:rPr>
          <w:rFonts w:ascii="宋体" w:eastAsia="宋体" w:hAnsi="宋体" w:cs="宋体"/>
          <w:sz w:val="23"/>
          <w:szCs w:val="23"/>
        </w:rPr>
      </w:pPr>
      <w:r>
        <w:rPr>
          <w:rFonts w:ascii="宋体" w:eastAsia="宋体" w:hAnsi="宋体" w:cs="宋体"/>
          <w:spacing w:val="-23"/>
          <w:sz w:val="23"/>
          <w:szCs w:val="23"/>
        </w:rPr>
        <w:t>织中，在代谢活跃的肌肉和内脏细胞中，水的含量较高，而在不活跃的</w:t>
      </w:r>
      <w:r>
        <w:rPr>
          <w:rFonts w:ascii="宋体" w:eastAsia="宋体" w:hAnsi="宋体" w:cs="宋体"/>
          <w:spacing w:val="-24"/>
          <w:sz w:val="23"/>
          <w:szCs w:val="23"/>
        </w:rPr>
        <w:t>组织或稳</w:t>
      </w:r>
      <w:r>
        <w:rPr>
          <w:rFonts w:ascii="宋体" w:eastAsia="宋体" w:hAnsi="宋体" w:cs="宋体"/>
          <w:sz w:val="23"/>
          <w:szCs w:val="23"/>
        </w:rPr>
        <w:t xml:space="preserve"> </w:t>
      </w:r>
      <w:r>
        <w:rPr>
          <w:rFonts w:ascii="宋体" w:eastAsia="宋体" w:hAnsi="宋体" w:cs="宋体"/>
          <w:spacing w:val="-6"/>
          <w:sz w:val="23"/>
          <w:szCs w:val="23"/>
        </w:rPr>
        <w:t>定的支持组织中含量较低。如肝、脑、肾等含水70%～80%,皮肤含水约70%,</w:t>
      </w:r>
      <w:r>
        <w:rPr>
          <w:rFonts w:ascii="宋体" w:eastAsia="宋体" w:hAnsi="宋体" w:cs="宋体"/>
          <w:spacing w:val="11"/>
          <w:sz w:val="23"/>
          <w:szCs w:val="23"/>
        </w:rPr>
        <w:t xml:space="preserve"> </w:t>
      </w:r>
      <w:r>
        <w:rPr>
          <w:rFonts w:ascii="宋体" w:eastAsia="宋体" w:hAnsi="宋体" w:cs="宋体"/>
          <w:spacing w:val="-8"/>
          <w:sz w:val="23"/>
          <w:szCs w:val="23"/>
        </w:rPr>
        <w:t>骨骼约为20%,脂肪组织含水较少，仅为10%,而血液中含量最多，约为85%。</w:t>
      </w:r>
    </w:p>
    <w:p w:rsidR="00EA40A3" w:rsidRDefault="00E86C16">
      <w:pPr>
        <w:spacing w:before="15" w:line="244" w:lineRule="auto"/>
        <w:ind w:left="59" w:right="44" w:firstLine="420"/>
        <w:jc w:val="both"/>
        <w:rPr>
          <w:rFonts w:ascii="宋体" w:eastAsia="宋体" w:hAnsi="宋体" w:cs="宋体"/>
          <w:sz w:val="23"/>
          <w:szCs w:val="23"/>
        </w:rPr>
      </w:pPr>
      <w:r>
        <w:rPr>
          <w:rFonts w:ascii="宋体" w:eastAsia="宋体" w:hAnsi="宋体" w:cs="宋体"/>
          <w:spacing w:val="-30"/>
          <w:sz w:val="23"/>
          <w:szCs w:val="23"/>
        </w:rPr>
        <w:t>人体内水的含量，因年龄、性别、体形、职业不同而不同，</w:t>
      </w:r>
      <w:r>
        <w:rPr>
          <w:rFonts w:ascii="宋体" w:eastAsia="宋体" w:hAnsi="宋体" w:cs="宋体"/>
          <w:spacing w:val="62"/>
          <w:sz w:val="23"/>
          <w:szCs w:val="23"/>
        </w:rPr>
        <w:t xml:space="preserve"> </w:t>
      </w:r>
      <w:r>
        <w:rPr>
          <w:rFonts w:ascii="宋体" w:eastAsia="宋体" w:hAnsi="宋体" w:cs="宋体"/>
          <w:spacing w:val="-30"/>
          <w:sz w:val="23"/>
          <w:szCs w:val="23"/>
        </w:rPr>
        <w:t>一般来讲，随年</w:t>
      </w:r>
      <w:r>
        <w:rPr>
          <w:rFonts w:ascii="宋体" w:eastAsia="宋体" w:hAnsi="宋体" w:cs="宋体"/>
          <w:sz w:val="23"/>
          <w:szCs w:val="23"/>
        </w:rPr>
        <w:t xml:space="preserve">  </w:t>
      </w:r>
      <w:r>
        <w:rPr>
          <w:rFonts w:ascii="宋体" w:eastAsia="宋体" w:hAnsi="宋体" w:cs="宋体"/>
          <w:spacing w:val="-2"/>
          <w:sz w:val="23"/>
          <w:szCs w:val="23"/>
        </w:rPr>
        <w:t>龄增加，水的含量降低。新生儿含水量约为体重的80%,成年男子约为60%,</w:t>
      </w:r>
      <w:r>
        <w:rPr>
          <w:rFonts w:ascii="宋体" w:eastAsia="宋体" w:hAnsi="宋体" w:cs="宋体"/>
          <w:spacing w:val="11"/>
          <w:sz w:val="23"/>
          <w:szCs w:val="23"/>
        </w:rPr>
        <w:t xml:space="preserve"> </w:t>
      </w:r>
      <w:r>
        <w:rPr>
          <w:rFonts w:ascii="宋体" w:eastAsia="宋体" w:hAnsi="宋体" w:cs="宋体"/>
          <w:spacing w:val="2"/>
          <w:sz w:val="23"/>
          <w:szCs w:val="23"/>
        </w:rPr>
        <w:t>成年女子约为50%～55%.</w:t>
      </w:r>
    </w:p>
    <w:p w:rsidR="00EA40A3" w:rsidRDefault="00E86C16">
      <w:pPr>
        <w:spacing w:before="162" w:line="222" w:lineRule="auto"/>
        <w:ind w:left="63"/>
        <w:outlineLvl w:val="6"/>
        <w:rPr>
          <w:rFonts w:ascii="黑体" w:eastAsia="黑体" w:hAnsi="黑体" w:cs="黑体"/>
          <w:sz w:val="23"/>
          <w:szCs w:val="23"/>
        </w:rPr>
      </w:pPr>
      <w:r>
        <w:rPr>
          <w:rFonts w:ascii="黑体" w:eastAsia="黑体" w:hAnsi="黑体" w:cs="黑体"/>
          <w:b/>
          <w:bCs/>
          <w:sz w:val="23"/>
          <w:szCs w:val="23"/>
        </w:rPr>
        <w:t>3.5.2</w:t>
      </w:r>
      <w:r>
        <w:rPr>
          <w:rFonts w:ascii="黑体" w:eastAsia="黑体" w:hAnsi="黑体" w:cs="黑体"/>
          <w:spacing w:val="22"/>
          <w:sz w:val="23"/>
          <w:szCs w:val="23"/>
        </w:rPr>
        <w:t xml:space="preserve">  </w:t>
      </w:r>
      <w:r>
        <w:rPr>
          <w:rFonts w:ascii="黑体" w:eastAsia="黑体" w:hAnsi="黑体" w:cs="黑体"/>
          <w:b/>
          <w:bCs/>
          <w:sz w:val="23"/>
          <w:szCs w:val="23"/>
        </w:rPr>
        <w:t>水的生理功能</w:t>
      </w:r>
    </w:p>
    <w:p w:rsidR="00EA40A3" w:rsidRDefault="00E86C16">
      <w:pPr>
        <w:spacing w:before="137" w:line="231" w:lineRule="auto"/>
        <w:ind w:left="59" w:right="105" w:firstLine="420"/>
        <w:rPr>
          <w:rFonts w:ascii="宋体" w:eastAsia="宋体" w:hAnsi="宋体" w:cs="宋体"/>
          <w:sz w:val="23"/>
          <w:szCs w:val="23"/>
        </w:rPr>
      </w:pPr>
      <w:r>
        <w:rPr>
          <w:rFonts w:ascii="宋体" w:eastAsia="宋体" w:hAnsi="宋体" w:cs="宋体"/>
          <w:spacing w:val="-19"/>
          <w:sz w:val="23"/>
          <w:szCs w:val="23"/>
        </w:rPr>
        <w:t>(1)水是机体的重要组成成分，是维持生命、保持细</w:t>
      </w:r>
      <w:r>
        <w:rPr>
          <w:rFonts w:ascii="宋体" w:eastAsia="宋体" w:hAnsi="宋体" w:cs="宋体"/>
          <w:spacing w:val="-20"/>
          <w:sz w:val="23"/>
          <w:szCs w:val="23"/>
        </w:rPr>
        <w:t>胞外形、构成各种体液</w:t>
      </w:r>
      <w:r>
        <w:rPr>
          <w:rFonts w:ascii="宋体" w:eastAsia="宋体" w:hAnsi="宋体" w:cs="宋体"/>
          <w:sz w:val="23"/>
          <w:szCs w:val="23"/>
        </w:rPr>
        <w:t xml:space="preserve"> </w:t>
      </w:r>
      <w:r>
        <w:rPr>
          <w:rFonts w:ascii="宋体" w:eastAsia="宋体" w:hAnsi="宋体" w:cs="宋体"/>
          <w:spacing w:val="-30"/>
          <w:sz w:val="23"/>
          <w:szCs w:val="23"/>
        </w:rPr>
        <w:t>所必需的，</w:t>
      </w:r>
    </w:p>
    <w:p w:rsidR="00EA40A3" w:rsidRDefault="00E86C16">
      <w:pPr>
        <w:spacing w:before="25" w:line="229" w:lineRule="auto"/>
        <w:ind w:left="59" w:right="103" w:firstLine="420"/>
        <w:rPr>
          <w:rFonts w:ascii="宋体" w:eastAsia="宋体" w:hAnsi="宋体" w:cs="宋体"/>
          <w:sz w:val="23"/>
          <w:szCs w:val="23"/>
        </w:rPr>
      </w:pPr>
      <w:r>
        <w:rPr>
          <w:rFonts w:ascii="宋体" w:eastAsia="宋体" w:hAnsi="宋体" w:cs="宋体"/>
          <w:spacing w:val="-19"/>
          <w:sz w:val="23"/>
          <w:szCs w:val="23"/>
        </w:rPr>
        <w:t>(2)参与物质代谢：营养物质的吸收、运输、代谢废物的</w:t>
      </w:r>
      <w:r>
        <w:rPr>
          <w:rFonts w:ascii="宋体" w:eastAsia="宋体" w:hAnsi="宋体" w:cs="宋体"/>
          <w:spacing w:val="-20"/>
          <w:sz w:val="23"/>
          <w:szCs w:val="23"/>
        </w:rPr>
        <w:t>排出都需要溶解在</w:t>
      </w:r>
      <w:r>
        <w:rPr>
          <w:rFonts w:ascii="宋体" w:eastAsia="宋体" w:hAnsi="宋体" w:cs="宋体"/>
          <w:sz w:val="23"/>
          <w:szCs w:val="23"/>
        </w:rPr>
        <w:t xml:space="preserve"> </w:t>
      </w:r>
      <w:r>
        <w:rPr>
          <w:rFonts w:ascii="宋体" w:eastAsia="宋体" w:hAnsi="宋体" w:cs="宋体"/>
          <w:spacing w:val="-23"/>
          <w:sz w:val="23"/>
          <w:szCs w:val="23"/>
        </w:rPr>
        <w:t>水中才能进行，这关系到消化、吸收、分泌及排泄等所有的代谢过程。</w:t>
      </w:r>
    </w:p>
    <w:p w:rsidR="00EA40A3" w:rsidRDefault="00E86C16">
      <w:pPr>
        <w:spacing w:before="29" w:line="233" w:lineRule="auto"/>
        <w:ind w:left="59" w:firstLine="420"/>
        <w:rPr>
          <w:rFonts w:ascii="宋体" w:eastAsia="宋体" w:hAnsi="宋体" w:cs="宋体"/>
          <w:sz w:val="23"/>
          <w:szCs w:val="23"/>
        </w:rPr>
      </w:pPr>
      <w:r>
        <w:rPr>
          <w:rFonts w:ascii="宋体" w:eastAsia="宋体" w:hAnsi="宋体" w:cs="宋体"/>
          <w:spacing w:val="-16"/>
          <w:sz w:val="23"/>
          <w:szCs w:val="23"/>
        </w:rPr>
        <w:t>(3)调节体温：水在调节体温方面效率很高。水的比热高于</w:t>
      </w:r>
      <w:r>
        <w:rPr>
          <w:rFonts w:ascii="宋体" w:eastAsia="宋体" w:hAnsi="宋体" w:cs="宋体"/>
          <w:spacing w:val="-17"/>
          <w:sz w:val="23"/>
          <w:szCs w:val="23"/>
        </w:rPr>
        <w:t>体内其他物质，</w:t>
      </w:r>
      <w:r>
        <w:rPr>
          <w:rFonts w:ascii="宋体" w:eastAsia="宋体" w:hAnsi="宋体" w:cs="宋体"/>
          <w:sz w:val="23"/>
          <w:szCs w:val="23"/>
        </w:rPr>
        <w:t xml:space="preserve"> </w:t>
      </w:r>
      <w:r>
        <w:rPr>
          <w:rFonts w:ascii="宋体" w:eastAsia="宋体" w:hAnsi="宋体" w:cs="宋体"/>
          <w:spacing w:val="-23"/>
          <w:sz w:val="23"/>
          <w:szCs w:val="23"/>
        </w:rPr>
        <w:t>体内含有大量的水，所以在代谢过程中所产生的能量多被水吸收，</w:t>
      </w:r>
      <w:r>
        <w:rPr>
          <w:rFonts w:ascii="宋体" w:eastAsia="宋体" w:hAnsi="宋体" w:cs="宋体"/>
          <w:spacing w:val="-24"/>
          <w:sz w:val="23"/>
          <w:szCs w:val="23"/>
        </w:rPr>
        <w:t>保持体温的恒</w:t>
      </w:r>
      <w:r>
        <w:rPr>
          <w:rFonts w:ascii="宋体" w:eastAsia="宋体" w:hAnsi="宋体" w:cs="宋体"/>
          <w:sz w:val="23"/>
          <w:szCs w:val="23"/>
        </w:rPr>
        <w:t xml:space="preserve">  </w:t>
      </w:r>
      <w:r>
        <w:rPr>
          <w:rFonts w:ascii="宋体" w:eastAsia="宋体" w:hAnsi="宋体" w:cs="宋体"/>
          <w:spacing w:val="-23"/>
          <w:sz w:val="23"/>
          <w:szCs w:val="23"/>
        </w:rPr>
        <w:t>定；同时，水具有很高的蒸发热，蒸发少量的汗即可散发大量的</w:t>
      </w:r>
      <w:r>
        <w:rPr>
          <w:rFonts w:ascii="宋体" w:eastAsia="宋体" w:hAnsi="宋体" w:cs="宋体"/>
          <w:spacing w:val="-24"/>
          <w:sz w:val="23"/>
          <w:szCs w:val="23"/>
        </w:rPr>
        <w:t>热。</w:t>
      </w:r>
    </w:p>
    <w:p w:rsidR="00EA40A3" w:rsidRDefault="00E86C16">
      <w:pPr>
        <w:spacing w:before="27" w:line="231" w:lineRule="auto"/>
        <w:ind w:left="59" w:right="104" w:firstLine="420"/>
        <w:rPr>
          <w:rFonts w:ascii="宋体" w:eastAsia="宋体" w:hAnsi="宋体" w:cs="宋体"/>
          <w:sz w:val="23"/>
          <w:szCs w:val="23"/>
        </w:rPr>
      </w:pPr>
      <w:r>
        <w:rPr>
          <w:rFonts w:ascii="宋体" w:eastAsia="宋体" w:hAnsi="宋体" w:cs="宋体"/>
          <w:spacing w:val="-19"/>
          <w:sz w:val="23"/>
          <w:szCs w:val="23"/>
        </w:rPr>
        <w:t>(4)润滑作用：水可以减少关节或体内内脏的摩擦，防</w:t>
      </w:r>
      <w:r>
        <w:rPr>
          <w:rFonts w:ascii="宋体" w:eastAsia="宋体" w:hAnsi="宋体" w:cs="宋体"/>
          <w:spacing w:val="-20"/>
          <w:sz w:val="23"/>
          <w:szCs w:val="23"/>
        </w:rPr>
        <w:t>止机体损伤，并可使</w:t>
      </w:r>
      <w:r>
        <w:rPr>
          <w:rFonts w:ascii="宋体" w:eastAsia="宋体" w:hAnsi="宋体" w:cs="宋体"/>
          <w:sz w:val="23"/>
          <w:szCs w:val="23"/>
        </w:rPr>
        <w:t xml:space="preserve"> </w:t>
      </w:r>
      <w:r>
        <w:rPr>
          <w:rFonts w:ascii="宋体" w:eastAsia="宋体" w:hAnsi="宋体" w:cs="宋体"/>
          <w:spacing w:val="-27"/>
          <w:sz w:val="23"/>
          <w:szCs w:val="23"/>
        </w:rPr>
        <w:t>器官运动灵活。</w:t>
      </w:r>
    </w:p>
    <w:p w:rsidR="00EA40A3" w:rsidRDefault="00E86C16">
      <w:pPr>
        <w:spacing w:before="27" w:line="235" w:lineRule="auto"/>
        <w:ind w:left="59" w:right="91" w:firstLine="420"/>
        <w:rPr>
          <w:rFonts w:ascii="宋体" w:eastAsia="宋体" w:hAnsi="宋体" w:cs="宋体"/>
          <w:sz w:val="23"/>
          <w:szCs w:val="23"/>
        </w:rPr>
      </w:pPr>
      <w:r>
        <w:rPr>
          <w:rFonts w:ascii="宋体" w:eastAsia="宋体" w:hAnsi="宋体" w:cs="宋体"/>
          <w:spacing w:val="-19"/>
          <w:sz w:val="23"/>
          <w:szCs w:val="23"/>
        </w:rPr>
        <w:t>(5)食品的重要成分：水是动、植物食品的重要成分，它对食品的营养品质</w:t>
      </w:r>
      <w:r>
        <w:rPr>
          <w:rFonts w:ascii="宋体" w:eastAsia="宋体" w:hAnsi="宋体" w:cs="宋体"/>
          <w:spacing w:val="3"/>
          <w:sz w:val="23"/>
          <w:szCs w:val="23"/>
        </w:rPr>
        <w:t xml:space="preserve"> </w:t>
      </w:r>
      <w:r>
        <w:rPr>
          <w:rFonts w:ascii="宋体" w:eastAsia="宋体" w:hAnsi="宋体" w:cs="宋体"/>
          <w:spacing w:val="-23"/>
          <w:sz w:val="23"/>
          <w:szCs w:val="23"/>
        </w:rPr>
        <w:t>及加工性能有重要作用。水分对食品的鲜度、硬度、流动性、呈味性、保藏和加</w:t>
      </w:r>
      <w:r>
        <w:rPr>
          <w:rFonts w:ascii="宋体" w:eastAsia="宋体" w:hAnsi="宋体" w:cs="宋体"/>
          <w:sz w:val="23"/>
          <w:szCs w:val="23"/>
        </w:rPr>
        <w:t xml:space="preserve"> </w:t>
      </w:r>
      <w:r>
        <w:rPr>
          <w:rFonts w:ascii="宋体" w:eastAsia="宋体" w:hAnsi="宋体" w:cs="宋体"/>
          <w:spacing w:val="-17"/>
          <w:sz w:val="23"/>
          <w:szCs w:val="23"/>
        </w:rPr>
        <w:t>工等方面具有重要影响；在食品加工过程中，水起着膨润、浸透呈味物质的作</w:t>
      </w:r>
      <w:r>
        <w:rPr>
          <w:rFonts w:ascii="宋体" w:eastAsia="宋体" w:hAnsi="宋体" w:cs="宋体"/>
          <w:spacing w:val="1"/>
          <w:sz w:val="23"/>
          <w:szCs w:val="23"/>
        </w:rPr>
        <w:t xml:space="preserve"> </w:t>
      </w:r>
      <w:r>
        <w:rPr>
          <w:rFonts w:ascii="宋体" w:eastAsia="宋体" w:hAnsi="宋体" w:cs="宋体"/>
          <w:spacing w:val="-23"/>
          <w:sz w:val="23"/>
          <w:szCs w:val="23"/>
        </w:rPr>
        <w:t>用；水的沸点、冰点及水分活度等理化性质对食品加工有重要意义。</w:t>
      </w:r>
    </w:p>
    <w:p w:rsidR="00EA40A3" w:rsidRDefault="00E86C16">
      <w:pPr>
        <w:spacing w:before="263" w:line="222" w:lineRule="auto"/>
        <w:ind w:left="63"/>
        <w:outlineLvl w:val="6"/>
        <w:rPr>
          <w:rFonts w:ascii="黑体" w:eastAsia="黑体" w:hAnsi="黑体" w:cs="黑体"/>
          <w:sz w:val="23"/>
          <w:szCs w:val="23"/>
        </w:rPr>
      </w:pPr>
      <w:r>
        <w:rPr>
          <w:rFonts w:ascii="黑体" w:eastAsia="黑体" w:hAnsi="黑体" w:cs="黑体"/>
          <w:b/>
          <w:bCs/>
          <w:sz w:val="23"/>
          <w:szCs w:val="23"/>
        </w:rPr>
        <w:t>3.5.3</w:t>
      </w:r>
      <w:r>
        <w:rPr>
          <w:rFonts w:ascii="黑体" w:eastAsia="黑体" w:hAnsi="黑体" w:cs="黑体"/>
          <w:spacing w:val="21"/>
          <w:sz w:val="23"/>
          <w:szCs w:val="23"/>
        </w:rPr>
        <w:t xml:space="preserve">  </w:t>
      </w:r>
      <w:r>
        <w:rPr>
          <w:rFonts w:ascii="黑体" w:eastAsia="黑体" w:hAnsi="黑体" w:cs="黑体"/>
          <w:b/>
          <w:bCs/>
          <w:sz w:val="23"/>
          <w:szCs w:val="23"/>
        </w:rPr>
        <w:t>水的缺乏与过量</w:t>
      </w:r>
    </w:p>
    <w:p w:rsidR="00EA40A3" w:rsidRDefault="00E86C16">
      <w:pPr>
        <w:spacing w:before="225" w:line="222" w:lineRule="auto"/>
        <w:ind w:left="59"/>
        <w:rPr>
          <w:rFonts w:ascii="仿宋" w:eastAsia="仿宋" w:hAnsi="仿宋" w:cs="仿宋"/>
          <w:sz w:val="23"/>
          <w:szCs w:val="23"/>
        </w:rPr>
      </w:pPr>
      <w:r>
        <w:rPr>
          <w:rFonts w:ascii="仿宋" w:eastAsia="仿宋" w:hAnsi="仿宋" w:cs="仿宋"/>
          <w:spacing w:val="5"/>
          <w:sz w:val="23"/>
          <w:szCs w:val="23"/>
        </w:rPr>
        <w:t>1.水的平衡</w:t>
      </w:r>
    </w:p>
    <w:p w:rsidR="00EA40A3" w:rsidRDefault="00E86C16">
      <w:pPr>
        <w:spacing w:before="164" w:line="239" w:lineRule="auto"/>
        <w:ind w:left="59" w:right="104" w:firstLine="420"/>
        <w:jc w:val="both"/>
        <w:rPr>
          <w:rFonts w:ascii="宋体" w:eastAsia="宋体" w:hAnsi="宋体" w:cs="宋体"/>
          <w:sz w:val="23"/>
          <w:szCs w:val="23"/>
        </w:rPr>
      </w:pPr>
      <w:r>
        <w:rPr>
          <w:rFonts w:ascii="宋体" w:eastAsia="宋体" w:hAnsi="宋体" w:cs="宋体"/>
          <w:spacing w:val="-24"/>
          <w:sz w:val="23"/>
          <w:szCs w:val="23"/>
        </w:rPr>
        <w:t>体内水的来源包括饮水、食物中水及内生水三大部分。通常每人每日饮水约</w:t>
      </w:r>
      <w:r>
        <w:rPr>
          <w:rFonts w:ascii="宋体" w:eastAsia="宋体" w:hAnsi="宋体" w:cs="宋体"/>
          <w:spacing w:val="9"/>
          <w:sz w:val="23"/>
          <w:szCs w:val="23"/>
        </w:rPr>
        <w:t xml:space="preserve"> </w:t>
      </w:r>
      <w:r>
        <w:rPr>
          <w:rFonts w:ascii="宋体" w:eastAsia="宋体" w:hAnsi="宋体" w:cs="宋体"/>
          <w:spacing w:val="-8"/>
          <w:sz w:val="23"/>
          <w:szCs w:val="23"/>
        </w:rPr>
        <w:t>1200mL,</w:t>
      </w:r>
      <w:r>
        <w:rPr>
          <w:rFonts w:ascii="宋体" w:eastAsia="宋体" w:hAnsi="宋体" w:cs="宋体"/>
          <w:spacing w:val="85"/>
          <w:sz w:val="23"/>
          <w:szCs w:val="23"/>
        </w:rPr>
        <w:t xml:space="preserve"> </w:t>
      </w:r>
      <w:r>
        <w:rPr>
          <w:rFonts w:ascii="宋体" w:eastAsia="宋体" w:hAnsi="宋体" w:cs="宋体"/>
          <w:spacing w:val="-8"/>
          <w:sz w:val="23"/>
          <w:szCs w:val="23"/>
        </w:rPr>
        <w:t>食物中含水约1000mL,</w:t>
      </w:r>
      <w:r>
        <w:rPr>
          <w:rFonts w:ascii="宋体" w:eastAsia="宋体" w:hAnsi="宋体" w:cs="宋体"/>
          <w:spacing w:val="63"/>
          <w:sz w:val="23"/>
          <w:szCs w:val="23"/>
        </w:rPr>
        <w:t xml:space="preserve"> </w:t>
      </w:r>
      <w:r>
        <w:rPr>
          <w:rFonts w:ascii="宋体" w:eastAsia="宋体" w:hAnsi="宋体" w:cs="宋体"/>
          <w:spacing w:val="-8"/>
          <w:sz w:val="23"/>
          <w:szCs w:val="23"/>
        </w:rPr>
        <w:t>内生水约300mL</w:t>
      </w:r>
      <w:r>
        <w:rPr>
          <w:rFonts w:ascii="宋体" w:eastAsia="宋体" w:hAnsi="宋体" w:cs="宋体"/>
          <w:spacing w:val="78"/>
          <w:sz w:val="23"/>
          <w:szCs w:val="23"/>
        </w:rPr>
        <w:t xml:space="preserve"> </w:t>
      </w:r>
      <w:r>
        <w:rPr>
          <w:rFonts w:ascii="宋体" w:eastAsia="宋体" w:hAnsi="宋体" w:cs="宋体"/>
          <w:spacing w:val="-8"/>
          <w:sz w:val="23"/>
          <w:szCs w:val="23"/>
        </w:rPr>
        <w:t>(表3-18)。内生</w:t>
      </w:r>
      <w:r>
        <w:rPr>
          <w:rFonts w:ascii="宋体" w:eastAsia="宋体" w:hAnsi="宋体" w:cs="宋体"/>
          <w:spacing w:val="-9"/>
          <w:sz w:val="23"/>
          <w:szCs w:val="23"/>
        </w:rPr>
        <w:t>水主要来</w:t>
      </w:r>
      <w:r>
        <w:rPr>
          <w:rFonts w:ascii="宋体" w:eastAsia="宋体" w:hAnsi="宋体" w:cs="宋体"/>
          <w:sz w:val="23"/>
          <w:szCs w:val="23"/>
        </w:rPr>
        <w:t xml:space="preserve"> </w:t>
      </w:r>
      <w:r>
        <w:rPr>
          <w:rFonts w:ascii="宋体" w:eastAsia="宋体" w:hAnsi="宋体" w:cs="宋体"/>
          <w:spacing w:val="-23"/>
          <w:sz w:val="23"/>
          <w:szCs w:val="23"/>
        </w:rPr>
        <w:t>源于蛋白质、脂肪和碳水化合物代谢时产生的水，每克蛋白质产生的</w:t>
      </w:r>
      <w:r>
        <w:rPr>
          <w:rFonts w:ascii="宋体" w:eastAsia="宋体" w:hAnsi="宋体" w:cs="宋体"/>
          <w:spacing w:val="-24"/>
          <w:sz w:val="23"/>
          <w:szCs w:val="23"/>
        </w:rPr>
        <w:t>代谢水约为</w:t>
      </w:r>
      <w:r>
        <w:rPr>
          <w:rFonts w:ascii="宋体" w:eastAsia="宋体" w:hAnsi="宋体" w:cs="宋体"/>
          <w:sz w:val="23"/>
          <w:szCs w:val="23"/>
        </w:rPr>
        <w:t xml:space="preserve"> </w:t>
      </w:r>
      <w:r>
        <w:rPr>
          <w:rFonts w:ascii="宋体" w:eastAsia="宋体" w:hAnsi="宋体" w:cs="宋体"/>
          <w:spacing w:val="-12"/>
          <w:sz w:val="23"/>
          <w:szCs w:val="23"/>
        </w:rPr>
        <w:t>0.41g、脂肪为1.07g、碳水化合物为0.60g</w:t>
      </w:r>
      <w:r>
        <w:rPr>
          <w:rFonts w:ascii="宋体" w:eastAsia="宋体" w:hAnsi="宋体" w:cs="宋体"/>
          <w:spacing w:val="-13"/>
          <w:sz w:val="23"/>
          <w:szCs w:val="23"/>
        </w:rPr>
        <w:t>。</w:t>
      </w:r>
    </w:p>
    <w:p w:rsidR="00EA40A3" w:rsidRDefault="00E86C16">
      <w:pPr>
        <w:spacing w:before="236" w:line="222" w:lineRule="auto"/>
        <w:ind w:left="2532"/>
        <w:rPr>
          <w:rFonts w:ascii="黑体" w:eastAsia="黑体" w:hAnsi="黑体" w:cs="黑体"/>
          <w:sz w:val="19"/>
          <w:szCs w:val="19"/>
        </w:rPr>
      </w:pPr>
      <w:r>
        <w:rPr>
          <w:rFonts w:ascii="黑体" w:eastAsia="黑体" w:hAnsi="黑体" w:cs="黑体"/>
          <w:b/>
          <w:bCs/>
          <w:spacing w:val="-9"/>
          <w:sz w:val="19"/>
          <w:szCs w:val="19"/>
        </w:rPr>
        <w:t>表3-18</w:t>
      </w:r>
      <w:r>
        <w:rPr>
          <w:rFonts w:ascii="黑体" w:eastAsia="黑体" w:hAnsi="黑体" w:cs="黑体"/>
          <w:spacing w:val="54"/>
          <w:sz w:val="19"/>
          <w:szCs w:val="19"/>
        </w:rPr>
        <w:t xml:space="preserve"> </w:t>
      </w:r>
      <w:r>
        <w:rPr>
          <w:rFonts w:ascii="黑体" w:eastAsia="黑体" w:hAnsi="黑体" w:cs="黑体"/>
          <w:b/>
          <w:bCs/>
          <w:spacing w:val="-9"/>
          <w:sz w:val="19"/>
          <w:szCs w:val="19"/>
        </w:rPr>
        <w:t>成年人一日水平衡量</w:t>
      </w:r>
    </w:p>
    <w:p w:rsidR="00EA40A3" w:rsidRDefault="00EA40A3">
      <w:pPr>
        <w:spacing w:line="22" w:lineRule="exact"/>
      </w:pPr>
    </w:p>
    <w:tbl>
      <w:tblPr>
        <w:tblStyle w:val="TableNormal"/>
        <w:tblW w:w="733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474"/>
        <w:gridCol w:w="1660"/>
        <w:gridCol w:w="1930"/>
        <w:gridCol w:w="2275"/>
      </w:tblGrid>
      <w:tr w:rsidR="00EA40A3">
        <w:trPr>
          <w:trHeight w:val="333"/>
        </w:trPr>
        <w:tc>
          <w:tcPr>
            <w:tcW w:w="1474" w:type="dxa"/>
            <w:tcBorders>
              <w:top w:val="single" w:sz="4" w:space="0" w:color="000000"/>
              <w:bottom w:val="single" w:sz="4" w:space="0" w:color="000000"/>
            </w:tcBorders>
          </w:tcPr>
          <w:p w:rsidR="00EA40A3" w:rsidRDefault="00E86C16">
            <w:pPr>
              <w:spacing w:before="91" w:line="219" w:lineRule="auto"/>
              <w:ind w:left="679"/>
              <w:rPr>
                <w:rFonts w:ascii="宋体" w:eastAsia="宋体" w:hAnsi="宋体" w:cs="宋体"/>
                <w:sz w:val="16"/>
                <w:szCs w:val="16"/>
              </w:rPr>
            </w:pPr>
            <w:r>
              <w:rPr>
                <w:rFonts w:ascii="宋体" w:eastAsia="宋体" w:hAnsi="宋体" w:cs="宋体"/>
                <w:spacing w:val="-2"/>
                <w:sz w:val="16"/>
                <w:szCs w:val="16"/>
              </w:rPr>
              <w:t>来源</w:t>
            </w:r>
          </w:p>
        </w:tc>
        <w:tc>
          <w:tcPr>
            <w:tcW w:w="1660" w:type="dxa"/>
            <w:tcBorders>
              <w:top w:val="single" w:sz="4" w:space="0" w:color="000000"/>
              <w:bottom w:val="single" w:sz="4" w:space="0" w:color="000000"/>
            </w:tcBorders>
          </w:tcPr>
          <w:p w:rsidR="00EA40A3" w:rsidRDefault="00E86C16">
            <w:pPr>
              <w:spacing w:before="94" w:line="222" w:lineRule="auto"/>
              <w:ind w:left="475"/>
              <w:rPr>
                <w:rFonts w:ascii="宋体" w:eastAsia="宋体" w:hAnsi="宋体" w:cs="宋体"/>
                <w:sz w:val="16"/>
                <w:szCs w:val="16"/>
              </w:rPr>
            </w:pPr>
            <w:r>
              <w:rPr>
                <w:rFonts w:ascii="宋体" w:eastAsia="宋体" w:hAnsi="宋体" w:cs="宋体"/>
                <w:spacing w:val="12"/>
                <w:sz w:val="16"/>
                <w:szCs w:val="16"/>
              </w:rPr>
              <w:t>摄入量/</w:t>
            </w:r>
            <w:r>
              <w:rPr>
                <w:rFonts w:ascii="宋体" w:eastAsia="宋体" w:hAnsi="宋体" w:cs="宋体"/>
                <w:sz w:val="16"/>
                <w:szCs w:val="16"/>
              </w:rPr>
              <w:t>ml</w:t>
            </w:r>
            <w:r>
              <w:rPr>
                <w:rFonts w:ascii="宋体" w:eastAsia="宋体" w:hAnsi="宋体" w:cs="宋体"/>
                <w:spacing w:val="12"/>
                <w:sz w:val="16"/>
                <w:szCs w:val="16"/>
              </w:rPr>
              <w:t>.</w:t>
            </w:r>
          </w:p>
        </w:tc>
        <w:tc>
          <w:tcPr>
            <w:tcW w:w="1930" w:type="dxa"/>
            <w:tcBorders>
              <w:top w:val="single" w:sz="4" w:space="0" w:color="000000"/>
              <w:bottom w:val="single" w:sz="4" w:space="0" w:color="000000"/>
            </w:tcBorders>
          </w:tcPr>
          <w:p w:rsidR="00EA40A3" w:rsidRDefault="00E86C16">
            <w:pPr>
              <w:spacing w:before="121" w:line="219" w:lineRule="auto"/>
              <w:ind w:left="386"/>
              <w:rPr>
                <w:rFonts w:ascii="宋体" w:eastAsia="宋体" w:hAnsi="宋体" w:cs="宋体"/>
                <w:sz w:val="16"/>
                <w:szCs w:val="16"/>
              </w:rPr>
            </w:pPr>
            <w:r>
              <w:rPr>
                <w:rFonts w:ascii="宋体" w:eastAsia="宋体" w:hAnsi="宋体" w:cs="宋体"/>
                <w:spacing w:val="-2"/>
                <w:sz w:val="16"/>
                <w:szCs w:val="16"/>
              </w:rPr>
              <w:t>排出部位</w:t>
            </w:r>
          </w:p>
        </w:tc>
        <w:tc>
          <w:tcPr>
            <w:tcW w:w="2275" w:type="dxa"/>
            <w:tcBorders>
              <w:top w:val="single" w:sz="4" w:space="0" w:color="000000"/>
              <w:bottom w:val="single" w:sz="4" w:space="0" w:color="000000"/>
            </w:tcBorders>
          </w:tcPr>
          <w:p w:rsidR="00EA40A3" w:rsidRDefault="00E86C16">
            <w:pPr>
              <w:spacing w:before="93" w:line="221" w:lineRule="auto"/>
              <w:ind w:left="745"/>
              <w:rPr>
                <w:rFonts w:ascii="宋体" w:eastAsia="宋体" w:hAnsi="宋体" w:cs="宋体"/>
                <w:sz w:val="16"/>
                <w:szCs w:val="16"/>
              </w:rPr>
            </w:pPr>
            <w:r>
              <w:rPr>
                <w:rFonts w:ascii="宋体" w:eastAsia="宋体" w:hAnsi="宋体" w:cs="宋体"/>
                <w:spacing w:val="12"/>
                <w:sz w:val="16"/>
                <w:szCs w:val="16"/>
              </w:rPr>
              <w:t>排出量/</w:t>
            </w:r>
            <w:r>
              <w:rPr>
                <w:rFonts w:ascii="宋体" w:eastAsia="宋体" w:hAnsi="宋体" w:cs="宋体"/>
                <w:sz w:val="16"/>
                <w:szCs w:val="16"/>
              </w:rPr>
              <w:t>ml</w:t>
            </w:r>
            <w:r>
              <w:rPr>
                <w:rFonts w:ascii="宋体" w:eastAsia="宋体" w:hAnsi="宋体" w:cs="宋体"/>
                <w:spacing w:val="12"/>
                <w:sz w:val="16"/>
                <w:szCs w:val="16"/>
              </w:rPr>
              <w:t>.</w:t>
            </w:r>
          </w:p>
        </w:tc>
      </w:tr>
      <w:tr w:rsidR="00EA40A3">
        <w:trPr>
          <w:trHeight w:val="244"/>
        </w:trPr>
        <w:tc>
          <w:tcPr>
            <w:tcW w:w="1474" w:type="dxa"/>
            <w:tcBorders>
              <w:top w:val="single" w:sz="4" w:space="0" w:color="000000"/>
            </w:tcBorders>
          </w:tcPr>
          <w:p w:rsidR="00EA40A3" w:rsidRDefault="00E86C16">
            <w:pPr>
              <w:spacing w:before="49" w:line="220" w:lineRule="auto"/>
              <w:ind w:left="679"/>
              <w:rPr>
                <w:rFonts w:ascii="宋体" w:eastAsia="宋体" w:hAnsi="宋体" w:cs="宋体"/>
                <w:sz w:val="16"/>
                <w:szCs w:val="16"/>
              </w:rPr>
            </w:pPr>
            <w:r>
              <w:rPr>
                <w:rFonts w:ascii="宋体" w:eastAsia="宋体" w:hAnsi="宋体" w:cs="宋体"/>
                <w:spacing w:val="-2"/>
                <w:sz w:val="16"/>
                <w:szCs w:val="16"/>
              </w:rPr>
              <w:t>饮料</w:t>
            </w:r>
          </w:p>
        </w:tc>
        <w:tc>
          <w:tcPr>
            <w:tcW w:w="1660" w:type="dxa"/>
            <w:tcBorders>
              <w:top w:val="single" w:sz="4" w:space="0" w:color="000000"/>
            </w:tcBorders>
          </w:tcPr>
          <w:p w:rsidR="00EA40A3" w:rsidRDefault="00E86C16">
            <w:pPr>
              <w:spacing w:before="119" w:line="124" w:lineRule="exact"/>
              <w:ind w:left="715"/>
              <w:rPr>
                <w:rFonts w:ascii="宋体" w:eastAsia="宋体" w:hAnsi="宋体" w:cs="宋体"/>
                <w:sz w:val="16"/>
                <w:szCs w:val="16"/>
              </w:rPr>
            </w:pPr>
            <w:r>
              <w:rPr>
                <w:rFonts w:ascii="宋体" w:eastAsia="宋体" w:hAnsi="宋体" w:cs="宋体"/>
                <w:spacing w:val="-4"/>
                <w:position w:val="-2"/>
                <w:sz w:val="16"/>
                <w:szCs w:val="16"/>
              </w:rPr>
              <w:t>1200</w:t>
            </w:r>
          </w:p>
        </w:tc>
        <w:tc>
          <w:tcPr>
            <w:tcW w:w="1930" w:type="dxa"/>
            <w:tcBorders>
              <w:top w:val="single" w:sz="4" w:space="0" w:color="000000"/>
            </w:tcBorders>
          </w:tcPr>
          <w:p w:rsidR="00EA40A3" w:rsidRDefault="00E86C16">
            <w:pPr>
              <w:spacing w:before="48" w:line="219" w:lineRule="auto"/>
              <w:ind w:left="386"/>
              <w:rPr>
                <w:rFonts w:ascii="宋体" w:eastAsia="宋体" w:hAnsi="宋体" w:cs="宋体"/>
                <w:sz w:val="16"/>
                <w:szCs w:val="16"/>
              </w:rPr>
            </w:pPr>
            <w:r>
              <w:rPr>
                <w:rFonts w:ascii="宋体" w:eastAsia="宋体" w:hAnsi="宋体" w:cs="宋体"/>
                <w:spacing w:val="7"/>
                <w:sz w:val="16"/>
                <w:szCs w:val="16"/>
              </w:rPr>
              <w:t>肾脏(尿)</w:t>
            </w:r>
          </w:p>
        </w:tc>
        <w:tc>
          <w:tcPr>
            <w:tcW w:w="2275" w:type="dxa"/>
            <w:tcBorders>
              <w:top w:val="single" w:sz="4" w:space="0" w:color="000000"/>
            </w:tcBorders>
          </w:tcPr>
          <w:p w:rsidR="00EA40A3" w:rsidRDefault="00E86C16">
            <w:pPr>
              <w:spacing w:before="109" w:line="134" w:lineRule="exact"/>
              <w:ind w:left="1095"/>
              <w:rPr>
                <w:rFonts w:ascii="宋体" w:eastAsia="宋体" w:hAnsi="宋体" w:cs="宋体"/>
                <w:sz w:val="16"/>
                <w:szCs w:val="16"/>
              </w:rPr>
            </w:pPr>
            <w:r>
              <w:rPr>
                <w:rFonts w:ascii="宋体" w:eastAsia="宋体" w:hAnsi="宋体" w:cs="宋体"/>
                <w:spacing w:val="-4"/>
                <w:position w:val="-2"/>
                <w:sz w:val="16"/>
                <w:szCs w:val="16"/>
              </w:rPr>
              <w:t>1500</w:t>
            </w:r>
          </w:p>
        </w:tc>
      </w:tr>
      <w:tr w:rsidR="00EA40A3">
        <w:trPr>
          <w:trHeight w:val="243"/>
        </w:trPr>
        <w:tc>
          <w:tcPr>
            <w:tcW w:w="1474" w:type="dxa"/>
          </w:tcPr>
          <w:p w:rsidR="00EA40A3" w:rsidRDefault="00E86C16">
            <w:pPr>
              <w:spacing w:before="45" w:line="220" w:lineRule="auto"/>
              <w:ind w:left="679"/>
              <w:rPr>
                <w:rFonts w:ascii="宋体" w:eastAsia="宋体" w:hAnsi="宋体" w:cs="宋体"/>
                <w:sz w:val="16"/>
                <w:szCs w:val="16"/>
              </w:rPr>
            </w:pPr>
            <w:r>
              <w:rPr>
                <w:rFonts w:ascii="宋体" w:eastAsia="宋体" w:hAnsi="宋体" w:cs="宋体"/>
                <w:spacing w:val="-2"/>
                <w:sz w:val="16"/>
                <w:szCs w:val="16"/>
              </w:rPr>
              <w:t>食物</w:t>
            </w:r>
          </w:p>
        </w:tc>
        <w:tc>
          <w:tcPr>
            <w:tcW w:w="1660" w:type="dxa"/>
          </w:tcPr>
          <w:p w:rsidR="00EA40A3" w:rsidRDefault="00E86C16">
            <w:pPr>
              <w:spacing w:before="105" w:line="159" w:lineRule="auto"/>
              <w:ind w:left="715"/>
              <w:rPr>
                <w:rFonts w:ascii="宋体" w:eastAsia="宋体" w:hAnsi="宋体" w:cs="宋体"/>
                <w:sz w:val="16"/>
                <w:szCs w:val="16"/>
              </w:rPr>
            </w:pPr>
            <w:r>
              <w:rPr>
                <w:rFonts w:ascii="宋体" w:eastAsia="宋体" w:hAnsi="宋体" w:cs="宋体"/>
                <w:spacing w:val="-4"/>
                <w:sz w:val="16"/>
                <w:szCs w:val="16"/>
              </w:rPr>
              <w:t>1000</w:t>
            </w:r>
          </w:p>
        </w:tc>
        <w:tc>
          <w:tcPr>
            <w:tcW w:w="1930" w:type="dxa"/>
          </w:tcPr>
          <w:p w:rsidR="00EA40A3" w:rsidRDefault="00E86C16">
            <w:pPr>
              <w:spacing w:before="45" w:line="220" w:lineRule="auto"/>
              <w:ind w:left="386"/>
              <w:rPr>
                <w:rFonts w:ascii="宋体" w:eastAsia="宋体" w:hAnsi="宋体" w:cs="宋体"/>
                <w:sz w:val="16"/>
                <w:szCs w:val="16"/>
              </w:rPr>
            </w:pPr>
            <w:r>
              <w:rPr>
                <w:rFonts w:ascii="宋体" w:eastAsia="宋体" w:hAnsi="宋体" w:cs="宋体"/>
                <w:spacing w:val="5"/>
                <w:sz w:val="16"/>
                <w:szCs w:val="16"/>
              </w:rPr>
              <w:t>皮肤(蒸发)</w:t>
            </w:r>
          </w:p>
        </w:tc>
        <w:tc>
          <w:tcPr>
            <w:tcW w:w="2275" w:type="dxa"/>
          </w:tcPr>
          <w:p w:rsidR="00EA40A3" w:rsidRDefault="00E86C16">
            <w:pPr>
              <w:spacing w:before="95" w:line="170" w:lineRule="auto"/>
              <w:ind w:left="1025"/>
              <w:rPr>
                <w:rFonts w:ascii="宋体" w:eastAsia="宋体" w:hAnsi="宋体" w:cs="宋体"/>
                <w:sz w:val="16"/>
                <w:szCs w:val="16"/>
              </w:rPr>
            </w:pPr>
            <w:r>
              <w:rPr>
                <w:rFonts w:ascii="宋体" w:eastAsia="宋体" w:hAnsi="宋体" w:cs="宋体"/>
                <w:spacing w:val="-3"/>
                <w:sz w:val="16"/>
                <w:szCs w:val="16"/>
              </w:rPr>
              <w:t>500</w:t>
            </w:r>
          </w:p>
        </w:tc>
      </w:tr>
      <w:tr w:rsidR="00EA40A3">
        <w:trPr>
          <w:trHeight w:val="453"/>
        </w:trPr>
        <w:tc>
          <w:tcPr>
            <w:tcW w:w="1474" w:type="dxa"/>
          </w:tcPr>
          <w:p w:rsidR="00EA40A3" w:rsidRDefault="00E86C16">
            <w:pPr>
              <w:spacing w:before="51" w:line="219" w:lineRule="auto"/>
              <w:ind w:left="520"/>
              <w:rPr>
                <w:rFonts w:ascii="宋体" w:eastAsia="宋体" w:hAnsi="宋体" w:cs="宋体"/>
                <w:sz w:val="16"/>
                <w:szCs w:val="16"/>
              </w:rPr>
            </w:pPr>
            <w:r>
              <w:rPr>
                <w:rFonts w:ascii="宋体" w:eastAsia="宋体" w:hAnsi="宋体" w:cs="宋体"/>
                <w:spacing w:val="2"/>
                <w:sz w:val="16"/>
                <w:szCs w:val="16"/>
              </w:rPr>
              <w:t>内生水</w:t>
            </w:r>
          </w:p>
        </w:tc>
        <w:tc>
          <w:tcPr>
            <w:tcW w:w="1660" w:type="dxa"/>
          </w:tcPr>
          <w:p w:rsidR="00EA40A3" w:rsidRDefault="00E86C16">
            <w:pPr>
              <w:spacing w:before="92" w:line="183" w:lineRule="auto"/>
              <w:ind w:left="755"/>
              <w:rPr>
                <w:rFonts w:ascii="宋体" w:eastAsia="宋体" w:hAnsi="宋体" w:cs="宋体"/>
                <w:sz w:val="16"/>
                <w:szCs w:val="16"/>
              </w:rPr>
            </w:pPr>
            <w:r>
              <w:rPr>
                <w:rFonts w:ascii="宋体" w:eastAsia="宋体" w:hAnsi="宋体" w:cs="宋体"/>
                <w:spacing w:val="-3"/>
                <w:sz w:val="16"/>
                <w:szCs w:val="16"/>
              </w:rPr>
              <w:t>300</w:t>
            </w:r>
          </w:p>
        </w:tc>
        <w:tc>
          <w:tcPr>
            <w:tcW w:w="1930" w:type="dxa"/>
          </w:tcPr>
          <w:p w:rsidR="00EA40A3" w:rsidRDefault="00E86C16">
            <w:pPr>
              <w:spacing w:before="52" w:line="221" w:lineRule="auto"/>
              <w:ind w:left="386"/>
              <w:rPr>
                <w:rFonts w:ascii="宋体" w:eastAsia="宋体" w:hAnsi="宋体" w:cs="宋体"/>
                <w:sz w:val="16"/>
                <w:szCs w:val="16"/>
              </w:rPr>
            </w:pPr>
            <w:r>
              <w:rPr>
                <w:rFonts w:ascii="宋体" w:eastAsia="宋体" w:hAnsi="宋体" w:cs="宋体"/>
                <w:spacing w:val="7"/>
                <w:sz w:val="16"/>
                <w:szCs w:val="16"/>
              </w:rPr>
              <w:t>肺(呼气)</w:t>
            </w:r>
          </w:p>
          <w:p w:rsidR="00EA40A3" w:rsidRDefault="00E86C16">
            <w:pPr>
              <w:spacing w:before="27" w:line="209" w:lineRule="auto"/>
              <w:ind w:left="386"/>
              <w:rPr>
                <w:rFonts w:ascii="宋体" w:eastAsia="宋体" w:hAnsi="宋体" w:cs="宋体"/>
                <w:sz w:val="16"/>
                <w:szCs w:val="16"/>
              </w:rPr>
            </w:pPr>
            <w:r>
              <w:rPr>
                <w:rFonts w:ascii="宋体" w:eastAsia="宋体" w:hAnsi="宋体" w:cs="宋体"/>
                <w:spacing w:val="5"/>
                <w:sz w:val="16"/>
                <w:szCs w:val="16"/>
              </w:rPr>
              <w:t>大肠(粪便)</w:t>
            </w:r>
          </w:p>
        </w:tc>
        <w:tc>
          <w:tcPr>
            <w:tcW w:w="2275" w:type="dxa"/>
          </w:tcPr>
          <w:p w:rsidR="00EA40A3" w:rsidRDefault="00E86C16">
            <w:pPr>
              <w:spacing w:before="92" w:line="183" w:lineRule="auto"/>
              <w:ind w:left="1025"/>
              <w:rPr>
                <w:rFonts w:ascii="宋体" w:eastAsia="宋体" w:hAnsi="宋体" w:cs="宋体"/>
                <w:sz w:val="16"/>
                <w:szCs w:val="16"/>
              </w:rPr>
            </w:pPr>
            <w:r>
              <w:rPr>
                <w:rFonts w:ascii="宋体" w:eastAsia="宋体" w:hAnsi="宋体" w:cs="宋体"/>
                <w:spacing w:val="-3"/>
                <w:sz w:val="16"/>
                <w:szCs w:val="16"/>
              </w:rPr>
              <w:t>350</w:t>
            </w:r>
          </w:p>
          <w:p w:rsidR="00EA40A3" w:rsidRDefault="00E86C16">
            <w:pPr>
              <w:spacing w:before="70" w:line="131" w:lineRule="exact"/>
              <w:ind w:left="1115"/>
              <w:rPr>
                <w:rFonts w:ascii="宋体" w:eastAsia="宋体" w:hAnsi="宋体" w:cs="宋体"/>
                <w:sz w:val="16"/>
                <w:szCs w:val="16"/>
              </w:rPr>
            </w:pPr>
            <w:r>
              <w:rPr>
                <w:rFonts w:ascii="宋体" w:eastAsia="宋体" w:hAnsi="宋体" w:cs="宋体"/>
                <w:spacing w:val="-5"/>
                <w:position w:val="-2"/>
                <w:sz w:val="16"/>
                <w:szCs w:val="16"/>
              </w:rPr>
              <w:t>150</w:t>
            </w:r>
          </w:p>
        </w:tc>
      </w:tr>
      <w:tr w:rsidR="00EA40A3">
        <w:trPr>
          <w:trHeight w:val="217"/>
        </w:trPr>
        <w:tc>
          <w:tcPr>
            <w:tcW w:w="1474" w:type="dxa"/>
            <w:tcBorders>
              <w:bottom w:val="single" w:sz="4" w:space="0" w:color="000000"/>
            </w:tcBorders>
          </w:tcPr>
          <w:p w:rsidR="00EA40A3" w:rsidRDefault="00E86C16">
            <w:pPr>
              <w:spacing w:before="39" w:line="205" w:lineRule="auto"/>
              <w:ind w:left="679"/>
              <w:rPr>
                <w:rFonts w:ascii="宋体" w:eastAsia="宋体" w:hAnsi="宋体" w:cs="宋体"/>
                <w:sz w:val="16"/>
                <w:szCs w:val="16"/>
              </w:rPr>
            </w:pPr>
            <w:r>
              <w:rPr>
                <w:rFonts w:ascii="宋体" w:eastAsia="宋体" w:hAnsi="宋体" w:cs="宋体"/>
                <w:spacing w:val="-2"/>
                <w:sz w:val="16"/>
                <w:szCs w:val="16"/>
              </w:rPr>
              <w:t>合计</w:t>
            </w:r>
          </w:p>
        </w:tc>
        <w:tc>
          <w:tcPr>
            <w:tcW w:w="1660" w:type="dxa"/>
            <w:tcBorders>
              <w:bottom w:val="single" w:sz="4" w:space="0" w:color="000000"/>
            </w:tcBorders>
          </w:tcPr>
          <w:p w:rsidR="00EA40A3" w:rsidRDefault="00E86C16">
            <w:pPr>
              <w:spacing w:before="109" w:line="107" w:lineRule="exact"/>
              <w:ind w:left="715"/>
              <w:rPr>
                <w:rFonts w:ascii="宋体" w:eastAsia="宋体" w:hAnsi="宋体" w:cs="宋体"/>
                <w:sz w:val="15"/>
                <w:szCs w:val="15"/>
              </w:rPr>
            </w:pPr>
            <w:r>
              <w:rPr>
                <w:rFonts w:ascii="宋体" w:eastAsia="宋体" w:hAnsi="宋体" w:cs="宋体"/>
                <w:spacing w:val="2"/>
                <w:position w:val="-2"/>
                <w:sz w:val="15"/>
                <w:szCs w:val="15"/>
              </w:rPr>
              <w:t>2500</w:t>
            </w:r>
          </w:p>
        </w:tc>
        <w:tc>
          <w:tcPr>
            <w:tcW w:w="1930" w:type="dxa"/>
            <w:tcBorders>
              <w:bottom w:val="single" w:sz="4" w:space="0" w:color="000000"/>
            </w:tcBorders>
          </w:tcPr>
          <w:p w:rsidR="00EA40A3" w:rsidRDefault="00E86C16">
            <w:pPr>
              <w:spacing w:before="39" w:line="205" w:lineRule="auto"/>
              <w:ind w:left="386"/>
              <w:rPr>
                <w:rFonts w:ascii="宋体" w:eastAsia="宋体" w:hAnsi="宋体" w:cs="宋体"/>
                <w:sz w:val="16"/>
                <w:szCs w:val="16"/>
              </w:rPr>
            </w:pPr>
            <w:r>
              <w:rPr>
                <w:rFonts w:ascii="宋体" w:eastAsia="宋体" w:hAnsi="宋体" w:cs="宋体"/>
                <w:spacing w:val="-2"/>
                <w:sz w:val="16"/>
                <w:szCs w:val="16"/>
              </w:rPr>
              <w:t>合计</w:t>
            </w:r>
          </w:p>
        </w:tc>
        <w:tc>
          <w:tcPr>
            <w:tcW w:w="2275" w:type="dxa"/>
            <w:tcBorders>
              <w:bottom w:val="single" w:sz="4" w:space="0" w:color="000000"/>
            </w:tcBorders>
          </w:tcPr>
          <w:p w:rsidR="00EA40A3" w:rsidRDefault="00E86C16">
            <w:pPr>
              <w:spacing w:before="99" w:line="117" w:lineRule="exact"/>
              <w:ind w:left="985"/>
              <w:rPr>
                <w:rFonts w:ascii="宋体" w:eastAsia="宋体" w:hAnsi="宋体" w:cs="宋体"/>
                <w:sz w:val="16"/>
                <w:szCs w:val="16"/>
              </w:rPr>
            </w:pPr>
            <w:r>
              <w:rPr>
                <w:rFonts w:ascii="宋体" w:eastAsia="宋体" w:hAnsi="宋体" w:cs="宋体"/>
                <w:spacing w:val="-2"/>
                <w:position w:val="-2"/>
                <w:sz w:val="16"/>
                <w:szCs w:val="16"/>
              </w:rPr>
              <w:t>2500</w:t>
            </w:r>
          </w:p>
        </w:tc>
      </w:tr>
    </w:tbl>
    <w:p w:rsidR="00EA40A3" w:rsidRDefault="00E86C16">
      <w:pPr>
        <w:spacing w:before="91" w:line="219" w:lineRule="auto"/>
        <w:ind w:left="349"/>
        <w:rPr>
          <w:rFonts w:ascii="宋体" w:eastAsia="宋体" w:hAnsi="宋体" w:cs="宋体"/>
          <w:sz w:val="16"/>
          <w:szCs w:val="16"/>
        </w:rPr>
      </w:pPr>
      <w:r>
        <w:rPr>
          <w:rFonts w:ascii="宋体" w:eastAsia="宋体" w:hAnsi="宋体" w:cs="宋体"/>
          <w:sz w:val="16"/>
          <w:szCs w:val="16"/>
        </w:rPr>
        <w:t>资料来源：中国营养学会.2000.中国居民膳食营养素参考摄入</w:t>
      </w:r>
      <w:r>
        <w:rPr>
          <w:rFonts w:ascii="宋体" w:eastAsia="宋体" w:hAnsi="宋体" w:cs="宋体"/>
          <w:spacing w:val="-1"/>
          <w:sz w:val="16"/>
          <w:szCs w:val="16"/>
        </w:rPr>
        <w:t>量.北京：中国轻工业出版社</w:t>
      </w:r>
    </w:p>
    <w:p w:rsidR="00EA40A3" w:rsidRDefault="00E86C16">
      <w:pPr>
        <w:spacing w:before="91"/>
        <w:ind w:left="169"/>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pacing w:val="-10"/>
          <w:sz w:val="19"/>
          <w:szCs w:val="19"/>
        </w:rPr>
        <w:t xml:space="preserve"> </w:t>
      </w:r>
      <w:r>
        <w:rPr>
          <w:rFonts w:ascii="宋体" w:eastAsia="宋体" w:hAnsi="宋体" w:cs="宋体"/>
          <w:spacing w:val="-33"/>
          <w:sz w:val="19"/>
          <w:szCs w:val="19"/>
        </w:rPr>
        <w:t>80</w:t>
      </w:r>
      <w:r>
        <w:rPr>
          <w:rFonts w:ascii="宋体" w:eastAsia="宋体" w:hAnsi="宋体" w:cs="宋体"/>
          <w:spacing w:val="44"/>
          <w:sz w:val="19"/>
          <w:szCs w:val="19"/>
        </w:rPr>
        <w:t xml:space="preserve"> </w:t>
      </w:r>
      <w:r>
        <w:rPr>
          <w:rFonts w:ascii="宋体" w:eastAsia="宋体" w:hAnsi="宋体" w:cs="宋体"/>
          <w:spacing w:val="-33"/>
          <w:sz w:val="19"/>
          <w:szCs w:val="19"/>
        </w:rPr>
        <w:t>·</w:t>
      </w:r>
    </w:p>
    <w:p w:rsidR="00EA40A3" w:rsidRDefault="00EA40A3">
      <w:pPr>
        <w:sectPr w:rsidR="00EA40A3">
          <w:footerReference w:type="default" r:id="rId72"/>
          <w:pgSz w:w="9220" w:h="13360"/>
          <w:pgMar w:top="400" w:right="974" w:bottom="400" w:left="840" w:header="0" w:footer="0" w:gutter="0"/>
          <w:cols w:space="720"/>
        </w:sectPr>
      </w:pPr>
    </w:p>
    <w:p w:rsidR="00EA40A3" w:rsidRDefault="00EA40A3">
      <w:pPr>
        <w:spacing w:line="306" w:lineRule="auto"/>
      </w:pPr>
    </w:p>
    <w:p w:rsidR="00EA40A3" w:rsidRDefault="00EA40A3">
      <w:pPr>
        <w:spacing w:line="306" w:lineRule="auto"/>
      </w:pPr>
    </w:p>
    <w:p w:rsidR="00EA40A3" w:rsidRDefault="00E86C16">
      <w:pPr>
        <w:spacing w:before="68" w:line="252" w:lineRule="auto"/>
        <w:ind w:left="40" w:firstLine="430"/>
        <w:rPr>
          <w:rFonts w:ascii="宋体" w:eastAsia="宋体" w:hAnsi="宋体" w:cs="宋体"/>
        </w:rPr>
      </w:pPr>
      <w:r>
        <w:rPr>
          <w:rFonts w:ascii="宋体" w:eastAsia="宋体" w:hAnsi="宋体" w:cs="宋体"/>
          <w:spacing w:val="10"/>
        </w:rPr>
        <w:t>体内水的排出以经肾脏为主，约占60%,其次是经肺、皮肤和粪便。水的</w:t>
      </w:r>
      <w:r>
        <w:rPr>
          <w:rFonts w:ascii="宋体" w:eastAsia="宋体" w:hAnsi="宋体" w:cs="宋体"/>
          <w:spacing w:val="15"/>
        </w:rPr>
        <w:t xml:space="preserve"> </w:t>
      </w:r>
      <w:r>
        <w:rPr>
          <w:rFonts w:ascii="宋体" w:eastAsia="宋体" w:hAnsi="宋体" w:cs="宋体"/>
          <w:spacing w:val="-1"/>
        </w:rPr>
        <w:t>来源和排出量维持在每天2500</w:t>
      </w:r>
      <w:r>
        <w:rPr>
          <w:rFonts w:ascii="宋体" w:eastAsia="宋体" w:hAnsi="宋体" w:cs="宋体"/>
          <w:spacing w:val="-12"/>
        </w:rPr>
        <w:t xml:space="preserve"> </w:t>
      </w:r>
      <w:r>
        <w:rPr>
          <w:rFonts w:ascii="宋体" w:eastAsia="宋体" w:hAnsi="宋体" w:cs="宋体"/>
          <w:spacing w:val="-1"/>
        </w:rPr>
        <w:t>mL</w:t>
      </w:r>
      <w:r>
        <w:rPr>
          <w:rFonts w:ascii="宋体" w:eastAsia="宋体" w:hAnsi="宋体" w:cs="宋体"/>
          <w:spacing w:val="17"/>
        </w:rPr>
        <w:t xml:space="preserve"> </w:t>
      </w:r>
      <w:r>
        <w:rPr>
          <w:rFonts w:ascii="宋体" w:eastAsia="宋体" w:hAnsi="宋体" w:cs="宋体"/>
          <w:spacing w:val="-1"/>
        </w:rPr>
        <w:t>左右。</w:t>
      </w:r>
    </w:p>
    <w:p w:rsidR="00EA40A3" w:rsidRDefault="00E86C16">
      <w:pPr>
        <w:spacing w:before="199" w:line="223" w:lineRule="auto"/>
        <w:ind w:left="40"/>
        <w:rPr>
          <w:rFonts w:ascii="仿宋" w:eastAsia="仿宋" w:hAnsi="仿宋" w:cs="仿宋"/>
        </w:rPr>
      </w:pPr>
      <w:r>
        <w:rPr>
          <w:rFonts w:ascii="仿宋" w:eastAsia="仿宋" w:hAnsi="仿宋" w:cs="仿宋"/>
          <w:spacing w:val="19"/>
        </w:rPr>
        <w:t>2.</w:t>
      </w:r>
      <w:r>
        <w:rPr>
          <w:rFonts w:ascii="仿宋" w:eastAsia="仿宋" w:hAnsi="仿宋" w:cs="仿宋"/>
          <w:spacing w:val="-29"/>
        </w:rPr>
        <w:t xml:space="preserve"> </w:t>
      </w:r>
      <w:r>
        <w:rPr>
          <w:rFonts w:ascii="仿宋" w:eastAsia="仿宋" w:hAnsi="仿宋" w:cs="仿宋"/>
          <w:spacing w:val="19"/>
        </w:rPr>
        <w:t>水的缺乏或过量</w:t>
      </w:r>
    </w:p>
    <w:p w:rsidR="00EA40A3" w:rsidRDefault="00E86C16">
      <w:pPr>
        <w:spacing w:before="186" w:line="255" w:lineRule="auto"/>
        <w:ind w:left="40" w:right="26" w:firstLine="430"/>
        <w:rPr>
          <w:rFonts w:ascii="宋体" w:eastAsia="宋体" w:hAnsi="宋体" w:cs="宋体"/>
        </w:rPr>
      </w:pPr>
      <w:r>
        <w:rPr>
          <w:rFonts w:ascii="宋体" w:eastAsia="宋体" w:hAnsi="宋体" w:cs="宋体"/>
          <w:spacing w:val="3"/>
        </w:rPr>
        <w:t>在正常情况下，人体排出的水和摄入的水是平衡的，体内不储存多余的水</w:t>
      </w:r>
      <w:r>
        <w:rPr>
          <w:rFonts w:ascii="宋体" w:eastAsia="宋体" w:hAnsi="宋体" w:cs="宋体"/>
          <w:spacing w:val="12"/>
        </w:rPr>
        <w:t xml:space="preserve"> </w:t>
      </w:r>
      <w:r>
        <w:rPr>
          <w:rFonts w:ascii="宋体" w:eastAsia="宋体" w:hAnsi="宋体" w:cs="宋体"/>
          <w:spacing w:val="-8"/>
        </w:rPr>
        <w:t>分，但也不能缺少水分。</w:t>
      </w:r>
    </w:p>
    <w:p w:rsidR="00EA40A3" w:rsidRDefault="00E86C16">
      <w:pPr>
        <w:spacing w:before="62" w:line="232" w:lineRule="auto"/>
        <w:ind w:left="40"/>
        <w:rPr>
          <w:rFonts w:ascii="楷体" w:eastAsia="楷体" w:hAnsi="楷体" w:cs="楷体"/>
          <w:sz w:val="17"/>
          <w:szCs w:val="17"/>
        </w:rPr>
      </w:pPr>
      <w:r>
        <w:rPr>
          <w:rFonts w:ascii="楷体" w:eastAsia="楷体" w:hAnsi="楷体" w:cs="楷体"/>
          <w:spacing w:val="-8"/>
          <w:sz w:val="17"/>
          <w:szCs w:val="17"/>
        </w:rPr>
        <w:t>1</w:t>
      </w:r>
      <w:r>
        <w:rPr>
          <w:rFonts w:ascii="楷体" w:eastAsia="楷体" w:hAnsi="楷体" w:cs="楷体"/>
          <w:spacing w:val="-21"/>
          <w:sz w:val="17"/>
          <w:szCs w:val="17"/>
        </w:rPr>
        <w:t xml:space="preserve"> </w:t>
      </w:r>
      <w:r>
        <w:rPr>
          <w:rFonts w:ascii="楷体" w:eastAsia="楷体" w:hAnsi="楷体" w:cs="楷体"/>
          <w:spacing w:val="-8"/>
          <w:sz w:val="17"/>
          <w:szCs w:val="17"/>
        </w:rPr>
        <w:t>)</w:t>
      </w:r>
      <w:r>
        <w:rPr>
          <w:rFonts w:ascii="楷体" w:eastAsia="楷体" w:hAnsi="楷体" w:cs="楷体"/>
          <w:spacing w:val="-18"/>
          <w:sz w:val="17"/>
          <w:szCs w:val="17"/>
        </w:rPr>
        <w:t xml:space="preserve"> </w:t>
      </w:r>
      <w:r>
        <w:rPr>
          <w:rFonts w:ascii="楷体" w:eastAsia="楷体" w:hAnsi="楷体" w:cs="楷体"/>
          <w:spacing w:val="-8"/>
          <w:sz w:val="17"/>
          <w:szCs w:val="17"/>
        </w:rPr>
        <w:t>水</w:t>
      </w:r>
      <w:r>
        <w:rPr>
          <w:rFonts w:ascii="楷体" w:eastAsia="楷体" w:hAnsi="楷体" w:cs="楷体"/>
          <w:spacing w:val="-23"/>
          <w:sz w:val="17"/>
          <w:szCs w:val="17"/>
        </w:rPr>
        <w:t xml:space="preserve"> </w:t>
      </w:r>
      <w:r>
        <w:rPr>
          <w:rFonts w:ascii="楷体" w:eastAsia="楷体" w:hAnsi="楷体" w:cs="楷体"/>
          <w:spacing w:val="-8"/>
          <w:sz w:val="17"/>
          <w:szCs w:val="17"/>
        </w:rPr>
        <w:t>缺</w:t>
      </w:r>
      <w:r>
        <w:rPr>
          <w:rFonts w:ascii="楷体" w:eastAsia="楷体" w:hAnsi="楷体" w:cs="楷体"/>
          <w:spacing w:val="-17"/>
          <w:sz w:val="17"/>
          <w:szCs w:val="17"/>
        </w:rPr>
        <w:t xml:space="preserve"> </w:t>
      </w:r>
      <w:r>
        <w:rPr>
          <w:rFonts w:ascii="楷体" w:eastAsia="楷体" w:hAnsi="楷体" w:cs="楷体"/>
          <w:spacing w:val="-8"/>
          <w:sz w:val="17"/>
          <w:szCs w:val="17"/>
        </w:rPr>
        <w:t>乏</w:t>
      </w:r>
    </w:p>
    <w:p w:rsidR="00EA40A3" w:rsidRDefault="00E86C16">
      <w:pPr>
        <w:spacing w:before="73" w:line="253" w:lineRule="auto"/>
        <w:ind w:left="40" w:right="19" w:firstLine="430"/>
        <w:jc w:val="both"/>
        <w:rPr>
          <w:rFonts w:ascii="宋体" w:eastAsia="宋体" w:hAnsi="宋体" w:cs="宋体"/>
        </w:rPr>
      </w:pPr>
      <w:r>
        <w:rPr>
          <w:rFonts w:ascii="宋体" w:eastAsia="宋体" w:hAnsi="宋体" w:cs="宋体"/>
          <w:spacing w:val="5"/>
        </w:rPr>
        <w:t>水摄入不足或丢失过多，可引起机体失水。</w:t>
      </w:r>
      <w:r>
        <w:rPr>
          <w:rFonts w:ascii="宋体" w:eastAsia="宋体" w:hAnsi="宋体" w:cs="宋体"/>
          <w:spacing w:val="65"/>
        </w:rPr>
        <w:t xml:space="preserve"> </w:t>
      </w:r>
      <w:r>
        <w:rPr>
          <w:rFonts w:ascii="宋体" w:eastAsia="宋体" w:hAnsi="宋体" w:cs="宋体"/>
          <w:spacing w:val="5"/>
        </w:rPr>
        <w:t>一般情况下，失水达体重的</w:t>
      </w:r>
      <w:r>
        <w:rPr>
          <w:rFonts w:ascii="宋体" w:eastAsia="宋体" w:hAnsi="宋体" w:cs="宋体"/>
        </w:rPr>
        <w:t xml:space="preserve"> </w:t>
      </w:r>
      <w:r>
        <w:rPr>
          <w:rFonts w:ascii="宋体" w:eastAsia="宋体" w:hAnsi="宋体" w:cs="宋体"/>
          <w:spacing w:val="9"/>
        </w:rPr>
        <w:t>2%,可感到口渴、食欲降低、消化功能减弱、</w:t>
      </w:r>
      <w:r>
        <w:rPr>
          <w:rFonts w:ascii="宋体" w:eastAsia="宋体" w:hAnsi="宋体" w:cs="宋体"/>
          <w:spacing w:val="8"/>
        </w:rPr>
        <w:t>出现少尿；失水达体重10%以上</w:t>
      </w:r>
      <w:r>
        <w:rPr>
          <w:rFonts w:ascii="宋体" w:eastAsia="宋体" w:hAnsi="宋体" w:cs="宋体"/>
        </w:rPr>
        <w:t xml:space="preserve"> </w:t>
      </w:r>
      <w:r>
        <w:rPr>
          <w:rFonts w:ascii="宋体" w:eastAsia="宋体" w:hAnsi="宋体" w:cs="宋体"/>
          <w:spacing w:val="-3"/>
        </w:rPr>
        <w:t>时，可出现烦躁、眼球内陷、皮肤失去弹性、全身无力、体温脉搏增加、血压下</w:t>
      </w:r>
      <w:r>
        <w:rPr>
          <w:rFonts w:ascii="宋体" w:eastAsia="宋体" w:hAnsi="宋体" w:cs="宋体"/>
          <w:spacing w:val="17"/>
        </w:rPr>
        <w:t xml:space="preserve"> </w:t>
      </w:r>
      <w:r>
        <w:rPr>
          <w:rFonts w:ascii="宋体" w:eastAsia="宋体" w:hAnsi="宋体" w:cs="宋体"/>
          <w:spacing w:val="3"/>
        </w:rPr>
        <w:t>降；失水超过20%以上时，可引起死亡。</w:t>
      </w:r>
    </w:p>
    <w:p w:rsidR="00EA40A3" w:rsidRDefault="00E86C16">
      <w:pPr>
        <w:spacing w:before="55" w:line="232" w:lineRule="auto"/>
        <w:ind w:left="40"/>
        <w:rPr>
          <w:rFonts w:ascii="楷体" w:eastAsia="楷体" w:hAnsi="楷体" w:cs="楷体"/>
        </w:rPr>
      </w:pPr>
      <w:r>
        <w:rPr>
          <w:rFonts w:ascii="楷体" w:eastAsia="楷体" w:hAnsi="楷体" w:cs="楷体"/>
          <w:spacing w:val="12"/>
        </w:rPr>
        <w:t>2)水过量</w:t>
      </w:r>
    </w:p>
    <w:p w:rsidR="00EA40A3" w:rsidRDefault="00E86C16">
      <w:pPr>
        <w:spacing w:before="41" w:line="255" w:lineRule="auto"/>
        <w:ind w:left="40" w:right="25" w:firstLine="430"/>
        <w:jc w:val="both"/>
        <w:rPr>
          <w:rFonts w:ascii="宋体" w:eastAsia="宋体" w:hAnsi="宋体" w:cs="宋体"/>
        </w:rPr>
      </w:pPr>
      <w:r>
        <w:rPr>
          <w:rFonts w:ascii="宋体" w:eastAsia="宋体" w:hAnsi="宋体" w:cs="宋体"/>
          <w:spacing w:val="-3"/>
        </w:rPr>
        <w:t>水摄入量超过肾脏排出的能力，可引起体内水过量或水中毒。这种情况多</w:t>
      </w:r>
      <w:r>
        <w:rPr>
          <w:rFonts w:ascii="宋体" w:eastAsia="宋体" w:hAnsi="宋体" w:cs="宋体"/>
          <w:spacing w:val="-4"/>
        </w:rPr>
        <w:t>见</w:t>
      </w:r>
      <w:r>
        <w:rPr>
          <w:rFonts w:ascii="宋体" w:eastAsia="宋体" w:hAnsi="宋体" w:cs="宋体"/>
        </w:rPr>
        <w:t xml:space="preserve"> </w:t>
      </w:r>
      <w:r>
        <w:rPr>
          <w:rFonts w:ascii="宋体" w:eastAsia="宋体" w:hAnsi="宋体" w:cs="宋体"/>
          <w:spacing w:val="-3"/>
        </w:rPr>
        <w:t>于疾病，如肾脏疾病、肝脏病、充血性心力衰竭等。正常人极少</w:t>
      </w:r>
      <w:r>
        <w:rPr>
          <w:rFonts w:ascii="宋体" w:eastAsia="宋体" w:hAnsi="宋体" w:cs="宋体"/>
          <w:spacing w:val="-4"/>
        </w:rPr>
        <w:t>见水中毒，但严</w:t>
      </w:r>
      <w:r>
        <w:rPr>
          <w:rFonts w:ascii="宋体" w:eastAsia="宋体" w:hAnsi="宋体" w:cs="宋体"/>
        </w:rPr>
        <w:t xml:space="preserve"> </w:t>
      </w:r>
      <w:r>
        <w:rPr>
          <w:rFonts w:ascii="宋体" w:eastAsia="宋体" w:hAnsi="宋体" w:cs="宋体"/>
          <w:spacing w:val="-6"/>
        </w:rPr>
        <w:t>重脱水且补水方法不当时也可发生。</w:t>
      </w:r>
    </w:p>
    <w:p w:rsidR="00EA40A3" w:rsidRDefault="00E86C16">
      <w:pPr>
        <w:spacing w:before="69" w:line="253" w:lineRule="auto"/>
        <w:ind w:left="40" w:right="25" w:firstLine="430"/>
        <w:jc w:val="both"/>
        <w:rPr>
          <w:rFonts w:ascii="宋体" w:eastAsia="宋体" w:hAnsi="宋体" w:cs="宋体"/>
        </w:rPr>
      </w:pPr>
      <w:r>
        <w:rPr>
          <w:rFonts w:ascii="宋体" w:eastAsia="宋体" w:hAnsi="宋体" w:cs="宋体"/>
          <w:spacing w:val="-3"/>
        </w:rPr>
        <w:t>水的需要量受年龄、体重、气候、劳动条件、疾病和损伤等方面的影</w:t>
      </w:r>
      <w:r>
        <w:rPr>
          <w:rFonts w:ascii="宋体" w:eastAsia="宋体" w:hAnsi="宋体" w:cs="宋体"/>
          <w:spacing w:val="-4"/>
        </w:rPr>
        <w:t>响。年</w:t>
      </w:r>
      <w:r>
        <w:rPr>
          <w:rFonts w:ascii="宋体" w:eastAsia="宋体" w:hAnsi="宋体" w:cs="宋体"/>
        </w:rPr>
        <w:t xml:space="preserve"> </w:t>
      </w:r>
      <w:r>
        <w:rPr>
          <w:rFonts w:ascii="宋体" w:eastAsia="宋体" w:hAnsi="宋体" w:cs="宋体"/>
          <w:spacing w:val="10"/>
        </w:rPr>
        <w:t>龄越大，每千克体重需要的水相对较小。正常人每日每千克体重需水量约为</w:t>
      </w:r>
      <w:r>
        <w:rPr>
          <w:rFonts w:ascii="宋体" w:eastAsia="宋体" w:hAnsi="宋体" w:cs="宋体"/>
        </w:rPr>
        <w:t xml:space="preserve"> </w:t>
      </w:r>
      <w:r>
        <w:rPr>
          <w:rFonts w:ascii="宋体" w:eastAsia="宋体" w:hAnsi="宋体" w:cs="宋体"/>
          <w:spacing w:val="11"/>
        </w:rPr>
        <w:t>40</w:t>
      </w:r>
      <w:r>
        <w:rPr>
          <w:rFonts w:ascii="宋体" w:eastAsia="宋体" w:hAnsi="宋体" w:cs="宋体"/>
        </w:rPr>
        <w:t>mL</w:t>
      </w:r>
      <w:r>
        <w:rPr>
          <w:rFonts w:ascii="宋体" w:eastAsia="宋体" w:hAnsi="宋体" w:cs="宋体"/>
          <w:spacing w:val="11"/>
        </w:rPr>
        <w:t>,</w:t>
      </w:r>
      <w:r>
        <w:rPr>
          <w:rFonts w:ascii="宋体" w:eastAsia="宋体" w:hAnsi="宋体" w:cs="宋体"/>
          <w:spacing w:val="73"/>
        </w:rPr>
        <w:t xml:space="preserve"> </w:t>
      </w:r>
      <w:r>
        <w:rPr>
          <w:rFonts w:ascii="宋体" w:eastAsia="宋体" w:hAnsi="宋体" w:cs="宋体"/>
          <w:spacing w:val="11"/>
        </w:rPr>
        <w:t>即60</w:t>
      </w:r>
      <w:r>
        <w:rPr>
          <w:rFonts w:ascii="宋体" w:eastAsia="宋体" w:hAnsi="宋体" w:cs="宋体"/>
        </w:rPr>
        <w:t>kg</w:t>
      </w:r>
      <w:r>
        <w:rPr>
          <w:rFonts w:ascii="宋体" w:eastAsia="宋体" w:hAnsi="宋体" w:cs="宋体"/>
          <w:spacing w:val="-59"/>
        </w:rPr>
        <w:t xml:space="preserve"> </w:t>
      </w:r>
      <w:r>
        <w:rPr>
          <w:rFonts w:ascii="宋体" w:eastAsia="宋体" w:hAnsi="宋体" w:cs="宋体"/>
          <w:spacing w:val="11"/>
        </w:rPr>
        <w:t>体重的成人每天需水2500</w:t>
      </w:r>
      <w:r>
        <w:rPr>
          <w:rFonts w:ascii="宋体" w:eastAsia="宋体" w:hAnsi="宋体" w:cs="宋体"/>
          <w:spacing w:val="10"/>
        </w:rPr>
        <w:t xml:space="preserve"> </w:t>
      </w:r>
      <w:r>
        <w:rPr>
          <w:rFonts w:ascii="宋体" w:eastAsia="宋体" w:hAnsi="宋体" w:cs="宋体"/>
        </w:rPr>
        <w:t>mL</w:t>
      </w:r>
      <w:r>
        <w:rPr>
          <w:rFonts w:ascii="宋体" w:eastAsia="宋体" w:hAnsi="宋体" w:cs="宋体"/>
          <w:spacing w:val="11"/>
        </w:rPr>
        <w:t>。</w:t>
      </w:r>
      <w:r>
        <w:rPr>
          <w:rFonts w:ascii="宋体" w:eastAsia="宋体" w:hAnsi="宋体" w:cs="宋体"/>
          <w:spacing w:val="44"/>
        </w:rPr>
        <w:t xml:space="preserve"> </w:t>
      </w:r>
      <w:r>
        <w:rPr>
          <w:rFonts w:ascii="宋体" w:eastAsia="宋体" w:hAnsi="宋体" w:cs="宋体"/>
          <w:spacing w:val="11"/>
        </w:rPr>
        <w:t>婴儿的需水量为成人的3或4</w:t>
      </w:r>
      <w:r>
        <w:rPr>
          <w:rFonts w:ascii="宋体" w:eastAsia="宋体" w:hAnsi="宋体" w:cs="宋体"/>
        </w:rPr>
        <w:t xml:space="preserve"> </w:t>
      </w:r>
      <w:r>
        <w:rPr>
          <w:rFonts w:ascii="宋体" w:eastAsia="宋体" w:hAnsi="宋体" w:cs="宋体"/>
          <w:spacing w:val="-4"/>
        </w:rPr>
        <w:t>倍。不同年龄人体每日需水量如表3-19。</w:t>
      </w:r>
    </w:p>
    <w:p w:rsidR="00EA40A3" w:rsidRDefault="00EA40A3"/>
    <w:p w:rsidR="00EA40A3" w:rsidRDefault="00EA40A3">
      <w:pPr>
        <w:spacing w:line="52" w:lineRule="exact"/>
      </w:pPr>
    </w:p>
    <w:p w:rsidR="00EA40A3" w:rsidRDefault="00EA40A3">
      <w:pPr>
        <w:sectPr w:rsidR="00EA40A3">
          <w:footerReference w:type="default" r:id="rId73"/>
          <w:pgSz w:w="9220" w:h="13360"/>
          <w:pgMar w:top="400" w:right="953" w:bottom="1206" w:left="939" w:header="0" w:footer="985" w:gutter="0"/>
          <w:cols w:space="720" w:equalWidth="0">
            <w:col w:w="7327"/>
          </w:cols>
        </w:sectPr>
      </w:pPr>
    </w:p>
    <w:p w:rsidR="00EA40A3" w:rsidRDefault="00E86C16">
      <w:pPr>
        <w:spacing w:before="43" w:line="217" w:lineRule="auto"/>
        <w:ind w:left="2492"/>
        <w:rPr>
          <w:rFonts w:ascii="黑体" w:eastAsia="黑体" w:hAnsi="黑体" w:cs="黑体"/>
        </w:rPr>
      </w:pPr>
      <w:r>
        <w:rPr>
          <w:rFonts w:ascii="黑体" w:eastAsia="黑体" w:hAnsi="黑体" w:cs="黑体"/>
          <w:b/>
          <w:bCs/>
          <w:spacing w:val="-25"/>
        </w:rPr>
        <w:t>表3-19</w:t>
      </w:r>
      <w:r>
        <w:rPr>
          <w:rFonts w:ascii="黑体" w:eastAsia="黑体" w:hAnsi="黑体" w:cs="黑体"/>
          <w:spacing w:val="40"/>
        </w:rPr>
        <w:t xml:space="preserve"> </w:t>
      </w:r>
      <w:r>
        <w:rPr>
          <w:rFonts w:ascii="黑体" w:eastAsia="黑体" w:hAnsi="黑体" w:cs="黑体"/>
          <w:b/>
          <w:bCs/>
          <w:spacing w:val="-25"/>
        </w:rPr>
        <w:t>人体每日需要的水量</w:t>
      </w:r>
    </w:p>
    <w:p w:rsidR="00EA40A3" w:rsidRDefault="00E86C16">
      <w:pPr>
        <w:spacing w:line="14" w:lineRule="auto"/>
        <w:rPr>
          <w:sz w:val="2"/>
        </w:rPr>
      </w:pPr>
      <w:r>
        <w:rPr>
          <w:sz w:val="2"/>
          <w:szCs w:val="2"/>
        </w:rPr>
        <w:br w:type="column"/>
      </w:r>
    </w:p>
    <w:p w:rsidR="00EA40A3" w:rsidRDefault="00E86C16">
      <w:pPr>
        <w:spacing w:before="119" w:line="184" w:lineRule="auto"/>
        <w:rPr>
          <w:rFonts w:ascii="宋体" w:eastAsia="宋体" w:hAnsi="宋体" w:cs="宋体"/>
          <w:sz w:val="17"/>
          <w:szCs w:val="17"/>
        </w:rPr>
      </w:pPr>
      <w:r>
        <w:rPr>
          <w:rFonts w:ascii="宋体" w:eastAsia="宋体" w:hAnsi="宋体" w:cs="宋体"/>
          <w:spacing w:val="-8"/>
          <w:sz w:val="17"/>
          <w:szCs w:val="17"/>
        </w:rPr>
        <w:t>(</w:t>
      </w:r>
      <w:r>
        <w:rPr>
          <w:rFonts w:ascii="宋体" w:eastAsia="宋体" w:hAnsi="宋体" w:cs="宋体"/>
          <w:spacing w:val="-34"/>
          <w:sz w:val="17"/>
          <w:szCs w:val="17"/>
        </w:rPr>
        <w:t xml:space="preserve"> </w:t>
      </w:r>
      <w:r>
        <w:rPr>
          <w:rFonts w:ascii="宋体" w:eastAsia="宋体" w:hAnsi="宋体" w:cs="宋体"/>
          <w:spacing w:val="-8"/>
          <w:sz w:val="17"/>
          <w:szCs w:val="17"/>
        </w:rPr>
        <w:t>单</w:t>
      </w:r>
      <w:r>
        <w:rPr>
          <w:rFonts w:ascii="宋体" w:eastAsia="宋体" w:hAnsi="宋体" w:cs="宋体"/>
          <w:spacing w:val="-36"/>
          <w:sz w:val="17"/>
          <w:szCs w:val="17"/>
        </w:rPr>
        <w:t xml:space="preserve"> </w:t>
      </w:r>
      <w:r>
        <w:rPr>
          <w:rFonts w:ascii="宋体" w:eastAsia="宋体" w:hAnsi="宋体" w:cs="宋体"/>
          <w:spacing w:val="-8"/>
          <w:sz w:val="17"/>
          <w:szCs w:val="17"/>
        </w:rPr>
        <w:t>位</w:t>
      </w:r>
      <w:r>
        <w:rPr>
          <w:rFonts w:ascii="宋体" w:eastAsia="宋体" w:hAnsi="宋体" w:cs="宋体"/>
          <w:spacing w:val="-43"/>
          <w:sz w:val="17"/>
          <w:szCs w:val="17"/>
        </w:rPr>
        <w:t xml:space="preserve"> </w:t>
      </w:r>
      <w:r>
        <w:rPr>
          <w:rFonts w:ascii="宋体" w:eastAsia="宋体" w:hAnsi="宋体" w:cs="宋体"/>
          <w:spacing w:val="-8"/>
          <w:sz w:val="17"/>
          <w:szCs w:val="17"/>
        </w:rPr>
        <w:t>：mL/kg)</w:t>
      </w:r>
    </w:p>
    <w:p w:rsidR="00EA40A3" w:rsidRDefault="00EA40A3">
      <w:pPr>
        <w:sectPr w:rsidR="00EA40A3">
          <w:type w:val="continuous"/>
          <w:pgSz w:w="9220" w:h="13360"/>
          <w:pgMar w:top="400" w:right="953" w:bottom="1206" w:left="939" w:header="0" w:footer="985" w:gutter="0"/>
          <w:cols w:num="2" w:space="720" w:equalWidth="0">
            <w:col w:w="5600" w:space="100"/>
            <w:col w:w="1627"/>
          </w:cols>
        </w:sectPr>
      </w:pPr>
    </w:p>
    <w:p w:rsidR="00EA40A3" w:rsidRDefault="00EA40A3">
      <w:pPr>
        <w:spacing w:line="83" w:lineRule="exact"/>
      </w:pPr>
    </w:p>
    <w:tbl>
      <w:tblPr>
        <w:tblStyle w:val="TableNormal"/>
        <w:tblW w:w="725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52"/>
        <w:gridCol w:w="973"/>
        <w:gridCol w:w="1895"/>
        <w:gridCol w:w="1765"/>
        <w:gridCol w:w="1865"/>
      </w:tblGrid>
      <w:tr w:rsidR="00EA40A3">
        <w:trPr>
          <w:trHeight w:val="302"/>
        </w:trPr>
        <w:tc>
          <w:tcPr>
            <w:tcW w:w="752" w:type="dxa"/>
            <w:tcBorders>
              <w:top w:val="single" w:sz="4" w:space="0" w:color="000000"/>
              <w:bottom w:val="single" w:sz="4" w:space="0" w:color="000000"/>
            </w:tcBorders>
          </w:tcPr>
          <w:p w:rsidR="00EA40A3" w:rsidRDefault="00E86C16">
            <w:pPr>
              <w:spacing w:before="61" w:line="219" w:lineRule="auto"/>
              <w:ind w:left="510"/>
              <w:rPr>
                <w:rFonts w:ascii="宋体" w:eastAsia="宋体" w:hAnsi="宋体" w:cs="宋体"/>
                <w:sz w:val="16"/>
                <w:szCs w:val="16"/>
              </w:rPr>
            </w:pPr>
            <w:r>
              <w:rPr>
                <w:rFonts w:ascii="宋体" w:eastAsia="宋体" w:hAnsi="宋体" w:cs="宋体"/>
                <w:sz w:val="16"/>
                <w:szCs w:val="16"/>
              </w:rPr>
              <w:t>年</w:t>
            </w:r>
          </w:p>
        </w:tc>
        <w:tc>
          <w:tcPr>
            <w:tcW w:w="973" w:type="dxa"/>
            <w:tcBorders>
              <w:top w:val="single" w:sz="4" w:space="0" w:color="000000"/>
              <w:bottom w:val="single" w:sz="4" w:space="0" w:color="000000"/>
            </w:tcBorders>
          </w:tcPr>
          <w:p w:rsidR="00EA40A3" w:rsidRDefault="00E86C16">
            <w:pPr>
              <w:spacing w:before="61" w:line="222" w:lineRule="auto"/>
              <w:ind w:left="156"/>
              <w:rPr>
                <w:rFonts w:ascii="宋体" w:eastAsia="宋体" w:hAnsi="宋体" w:cs="宋体"/>
                <w:sz w:val="16"/>
                <w:szCs w:val="16"/>
              </w:rPr>
            </w:pPr>
            <w:r>
              <w:rPr>
                <w:rFonts w:ascii="宋体" w:eastAsia="宋体" w:hAnsi="宋体" w:cs="宋体"/>
                <w:sz w:val="16"/>
                <w:szCs w:val="16"/>
              </w:rPr>
              <w:t>龄</w:t>
            </w:r>
          </w:p>
        </w:tc>
        <w:tc>
          <w:tcPr>
            <w:tcW w:w="1895" w:type="dxa"/>
            <w:tcBorders>
              <w:top w:val="single" w:sz="4" w:space="0" w:color="000000"/>
              <w:bottom w:val="single" w:sz="4" w:space="0" w:color="000000"/>
              <w:right w:val="single" w:sz="4" w:space="0" w:color="000000"/>
            </w:tcBorders>
          </w:tcPr>
          <w:p w:rsidR="00EA40A3" w:rsidRDefault="00E86C16">
            <w:pPr>
              <w:spacing w:before="61" w:line="219" w:lineRule="auto"/>
              <w:ind w:left="655"/>
              <w:rPr>
                <w:rFonts w:ascii="宋体" w:eastAsia="宋体" w:hAnsi="宋体" w:cs="宋体"/>
                <w:sz w:val="16"/>
                <w:szCs w:val="16"/>
              </w:rPr>
            </w:pPr>
            <w:r>
              <w:rPr>
                <w:rFonts w:ascii="宋体" w:eastAsia="宋体" w:hAnsi="宋体" w:cs="宋体"/>
                <w:spacing w:val="2"/>
                <w:sz w:val="16"/>
                <w:szCs w:val="16"/>
              </w:rPr>
              <w:t>需水量</w:t>
            </w:r>
          </w:p>
        </w:tc>
        <w:tc>
          <w:tcPr>
            <w:tcW w:w="1765" w:type="dxa"/>
            <w:tcBorders>
              <w:top w:val="single" w:sz="4" w:space="0" w:color="000000"/>
              <w:left w:val="single" w:sz="4" w:space="0" w:color="000000"/>
              <w:bottom w:val="single" w:sz="4" w:space="0" w:color="000000"/>
            </w:tcBorders>
          </w:tcPr>
          <w:p w:rsidR="00EA40A3" w:rsidRDefault="00E86C16">
            <w:pPr>
              <w:spacing w:before="71" w:line="219" w:lineRule="auto"/>
              <w:ind w:left="534"/>
              <w:rPr>
                <w:rFonts w:ascii="宋体" w:eastAsia="宋体" w:hAnsi="宋体" w:cs="宋体"/>
                <w:sz w:val="16"/>
                <w:szCs w:val="16"/>
              </w:rPr>
            </w:pPr>
            <w:r>
              <w:rPr>
                <w:rFonts w:ascii="宋体" w:eastAsia="宋体" w:hAnsi="宋体" w:cs="宋体"/>
                <w:spacing w:val="-4"/>
                <w:sz w:val="16"/>
                <w:szCs w:val="16"/>
              </w:rPr>
              <w:t>年</w:t>
            </w:r>
            <w:r>
              <w:rPr>
                <w:rFonts w:ascii="宋体" w:eastAsia="宋体" w:hAnsi="宋体" w:cs="宋体"/>
                <w:spacing w:val="1"/>
                <w:sz w:val="16"/>
                <w:szCs w:val="16"/>
              </w:rPr>
              <w:t xml:space="preserve">   </w:t>
            </w:r>
            <w:r>
              <w:rPr>
                <w:rFonts w:ascii="宋体" w:eastAsia="宋体" w:hAnsi="宋体" w:cs="宋体"/>
                <w:spacing w:val="-4"/>
                <w:sz w:val="16"/>
                <w:szCs w:val="16"/>
              </w:rPr>
              <w:t>龄</w:t>
            </w:r>
          </w:p>
        </w:tc>
        <w:tc>
          <w:tcPr>
            <w:tcW w:w="1865" w:type="dxa"/>
            <w:tcBorders>
              <w:top w:val="single" w:sz="4" w:space="0" w:color="000000"/>
              <w:bottom w:val="single" w:sz="4" w:space="0" w:color="000000"/>
            </w:tcBorders>
          </w:tcPr>
          <w:p w:rsidR="00EA40A3" w:rsidRDefault="00E86C16">
            <w:pPr>
              <w:spacing w:before="71" w:line="219" w:lineRule="auto"/>
              <w:ind w:left="615"/>
              <w:rPr>
                <w:rFonts w:ascii="宋体" w:eastAsia="宋体" w:hAnsi="宋体" w:cs="宋体"/>
                <w:sz w:val="16"/>
                <w:szCs w:val="16"/>
              </w:rPr>
            </w:pPr>
            <w:r>
              <w:rPr>
                <w:rFonts w:ascii="宋体" w:eastAsia="宋体" w:hAnsi="宋体" w:cs="宋体"/>
                <w:spacing w:val="2"/>
                <w:sz w:val="16"/>
                <w:szCs w:val="16"/>
              </w:rPr>
              <w:t>需水量</w:t>
            </w:r>
          </w:p>
        </w:tc>
      </w:tr>
      <w:tr w:rsidR="00EA40A3">
        <w:trPr>
          <w:trHeight w:val="248"/>
        </w:trPr>
        <w:tc>
          <w:tcPr>
            <w:tcW w:w="752" w:type="dxa"/>
            <w:tcBorders>
              <w:top w:val="single" w:sz="4" w:space="0" w:color="000000"/>
            </w:tcBorders>
          </w:tcPr>
          <w:p w:rsidR="00EA40A3" w:rsidRDefault="00E86C16">
            <w:pPr>
              <w:spacing w:before="40" w:line="222" w:lineRule="auto"/>
              <w:ind w:left="510"/>
              <w:rPr>
                <w:rFonts w:ascii="宋体" w:eastAsia="宋体" w:hAnsi="宋体" w:cs="宋体"/>
                <w:sz w:val="16"/>
                <w:szCs w:val="16"/>
              </w:rPr>
            </w:pPr>
            <w:r>
              <w:rPr>
                <w:rFonts w:ascii="宋体" w:eastAsia="宋体" w:hAnsi="宋体" w:cs="宋体"/>
                <w:spacing w:val="-2"/>
                <w:sz w:val="16"/>
                <w:szCs w:val="16"/>
              </w:rPr>
              <w:t>1周</w:t>
            </w:r>
          </w:p>
        </w:tc>
        <w:tc>
          <w:tcPr>
            <w:tcW w:w="973" w:type="dxa"/>
            <w:tcBorders>
              <w:top w:val="single" w:sz="4" w:space="0" w:color="000000"/>
            </w:tcBorders>
          </w:tcPr>
          <w:p w:rsidR="00EA40A3" w:rsidRDefault="00E86C16">
            <w:pPr>
              <w:spacing w:before="40" w:line="221" w:lineRule="auto"/>
              <w:ind w:left="11"/>
              <w:rPr>
                <w:rFonts w:ascii="宋体" w:eastAsia="宋体" w:hAnsi="宋体" w:cs="宋体"/>
                <w:sz w:val="16"/>
                <w:szCs w:val="16"/>
              </w:rPr>
            </w:pPr>
            <w:r>
              <w:rPr>
                <w:rFonts w:ascii="宋体" w:eastAsia="宋体" w:hAnsi="宋体" w:cs="宋体"/>
                <w:spacing w:val="22"/>
                <w:sz w:val="16"/>
                <w:szCs w:val="16"/>
              </w:rPr>
              <w:t>~1岁</w:t>
            </w:r>
          </w:p>
        </w:tc>
        <w:tc>
          <w:tcPr>
            <w:tcW w:w="1895" w:type="dxa"/>
            <w:tcBorders>
              <w:top w:val="single" w:sz="4" w:space="0" w:color="000000"/>
              <w:right w:val="single" w:sz="4" w:space="0" w:color="000000"/>
            </w:tcBorders>
          </w:tcPr>
          <w:p w:rsidR="00EA40A3" w:rsidRDefault="00E86C16">
            <w:pPr>
              <w:spacing w:before="90" w:line="182" w:lineRule="auto"/>
              <w:ind w:left="575"/>
              <w:rPr>
                <w:rFonts w:ascii="宋体" w:eastAsia="宋体" w:hAnsi="宋体" w:cs="宋体"/>
                <w:sz w:val="16"/>
                <w:szCs w:val="16"/>
              </w:rPr>
            </w:pPr>
            <w:r>
              <w:rPr>
                <w:rFonts w:ascii="宋体" w:eastAsia="宋体" w:hAnsi="宋体" w:cs="宋体"/>
                <w:spacing w:val="-3"/>
                <w:sz w:val="16"/>
                <w:szCs w:val="16"/>
              </w:rPr>
              <w:t>120～160</w:t>
            </w:r>
          </w:p>
        </w:tc>
        <w:tc>
          <w:tcPr>
            <w:tcW w:w="1765" w:type="dxa"/>
            <w:tcBorders>
              <w:top w:val="single" w:sz="4" w:space="0" w:color="000000"/>
              <w:left w:val="single" w:sz="4" w:space="0" w:color="000000"/>
            </w:tcBorders>
          </w:tcPr>
          <w:p w:rsidR="00EA40A3" w:rsidRDefault="00E86C16">
            <w:pPr>
              <w:spacing w:before="50" w:line="221" w:lineRule="auto"/>
              <w:ind w:left="534"/>
              <w:rPr>
                <w:rFonts w:ascii="宋体" w:eastAsia="宋体" w:hAnsi="宋体" w:cs="宋体"/>
                <w:sz w:val="16"/>
                <w:szCs w:val="16"/>
              </w:rPr>
            </w:pPr>
            <w:r>
              <w:rPr>
                <w:rFonts w:ascii="宋体" w:eastAsia="宋体" w:hAnsi="宋体" w:cs="宋体"/>
                <w:spacing w:val="5"/>
                <w:sz w:val="16"/>
                <w:szCs w:val="16"/>
              </w:rPr>
              <w:t>8～9岁</w:t>
            </w:r>
          </w:p>
        </w:tc>
        <w:tc>
          <w:tcPr>
            <w:tcW w:w="1865" w:type="dxa"/>
            <w:tcBorders>
              <w:top w:val="single" w:sz="4" w:space="0" w:color="000000"/>
            </w:tcBorders>
          </w:tcPr>
          <w:p w:rsidR="00EA40A3" w:rsidRDefault="00E86C16">
            <w:pPr>
              <w:spacing w:before="99" w:line="171" w:lineRule="auto"/>
              <w:ind w:left="585"/>
              <w:rPr>
                <w:rFonts w:ascii="宋体" w:eastAsia="宋体" w:hAnsi="宋体" w:cs="宋体"/>
                <w:sz w:val="16"/>
                <w:szCs w:val="16"/>
              </w:rPr>
            </w:pPr>
            <w:r>
              <w:rPr>
                <w:rFonts w:ascii="宋体" w:eastAsia="宋体" w:hAnsi="宋体" w:cs="宋体"/>
                <w:spacing w:val="-2"/>
                <w:sz w:val="16"/>
                <w:szCs w:val="16"/>
              </w:rPr>
              <w:t>70～100</w:t>
            </w:r>
          </w:p>
        </w:tc>
      </w:tr>
      <w:tr w:rsidR="00EA40A3">
        <w:trPr>
          <w:trHeight w:val="261"/>
        </w:trPr>
        <w:tc>
          <w:tcPr>
            <w:tcW w:w="752" w:type="dxa"/>
          </w:tcPr>
          <w:p w:rsidR="00EA40A3" w:rsidRDefault="00E86C16">
            <w:pPr>
              <w:spacing w:before="67" w:line="183" w:lineRule="auto"/>
              <w:ind w:left="510"/>
              <w:rPr>
                <w:rFonts w:ascii="宋体" w:eastAsia="宋体" w:hAnsi="宋体" w:cs="宋体"/>
                <w:sz w:val="16"/>
                <w:szCs w:val="16"/>
              </w:rPr>
            </w:pPr>
            <w:r>
              <w:rPr>
                <w:rFonts w:ascii="宋体" w:eastAsia="宋体" w:hAnsi="宋体" w:cs="宋体"/>
                <w:spacing w:val="14"/>
                <w:w w:val="125"/>
                <w:sz w:val="16"/>
                <w:szCs w:val="16"/>
              </w:rPr>
              <w:t>2~</w:t>
            </w:r>
          </w:p>
        </w:tc>
        <w:tc>
          <w:tcPr>
            <w:tcW w:w="973" w:type="dxa"/>
          </w:tcPr>
          <w:p w:rsidR="00EA40A3" w:rsidRDefault="00E86C16">
            <w:pPr>
              <w:spacing w:before="42" w:line="221" w:lineRule="auto"/>
              <w:ind w:left="19"/>
              <w:rPr>
                <w:rFonts w:ascii="宋体" w:eastAsia="宋体" w:hAnsi="宋体" w:cs="宋体"/>
                <w:sz w:val="16"/>
                <w:szCs w:val="16"/>
              </w:rPr>
            </w:pPr>
            <w:r>
              <w:rPr>
                <w:rFonts w:ascii="宋体" w:eastAsia="宋体" w:hAnsi="宋体" w:cs="宋体"/>
                <w:sz w:val="16"/>
                <w:szCs w:val="16"/>
              </w:rPr>
              <w:t>3岁</w:t>
            </w:r>
          </w:p>
        </w:tc>
        <w:tc>
          <w:tcPr>
            <w:tcW w:w="1895" w:type="dxa"/>
            <w:tcBorders>
              <w:right w:val="single" w:sz="4" w:space="0" w:color="000000"/>
            </w:tcBorders>
          </w:tcPr>
          <w:p w:rsidR="00EA40A3" w:rsidRDefault="00E86C16">
            <w:pPr>
              <w:spacing w:before="102" w:line="183" w:lineRule="auto"/>
              <w:ind w:left="575"/>
              <w:rPr>
                <w:rFonts w:ascii="宋体" w:eastAsia="宋体" w:hAnsi="宋体" w:cs="宋体"/>
                <w:sz w:val="16"/>
                <w:szCs w:val="16"/>
              </w:rPr>
            </w:pPr>
            <w:r>
              <w:rPr>
                <w:rFonts w:ascii="宋体" w:eastAsia="宋体" w:hAnsi="宋体" w:cs="宋体"/>
                <w:spacing w:val="-3"/>
                <w:sz w:val="16"/>
                <w:szCs w:val="16"/>
              </w:rPr>
              <w:t>100～140</w:t>
            </w:r>
          </w:p>
        </w:tc>
        <w:tc>
          <w:tcPr>
            <w:tcW w:w="1765" w:type="dxa"/>
            <w:tcBorders>
              <w:left w:val="single" w:sz="4" w:space="0" w:color="000000"/>
            </w:tcBorders>
          </w:tcPr>
          <w:p w:rsidR="00EA40A3" w:rsidRDefault="00E86C16">
            <w:pPr>
              <w:spacing w:before="62" w:line="221" w:lineRule="auto"/>
              <w:ind w:left="534"/>
              <w:rPr>
                <w:rFonts w:ascii="宋体" w:eastAsia="宋体" w:hAnsi="宋体" w:cs="宋体"/>
                <w:sz w:val="16"/>
                <w:szCs w:val="16"/>
              </w:rPr>
            </w:pPr>
            <w:r>
              <w:rPr>
                <w:rFonts w:ascii="宋体" w:eastAsia="宋体" w:hAnsi="宋体" w:cs="宋体"/>
                <w:spacing w:val="3"/>
                <w:sz w:val="16"/>
                <w:szCs w:val="16"/>
              </w:rPr>
              <w:t>10～14岁</w:t>
            </w:r>
          </w:p>
        </w:tc>
        <w:tc>
          <w:tcPr>
            <w:tcW w:w="1865" w:type="dxa"/>
          </w:tcPr>
          <w:p w:rsidR="00EA40A3" w:rsidRDefault="00E86C16">
            <w:pPr>
              <w:spacing w:before="112" w:line="171" w:lineRule="auto"/>
              <w:ind w:left="615"/>
              <w:rPr>
                <w:rFonts w:ascii="宋体" w:eastAsia="宋体" w:hAnsi="宋体" w:cs="宋体"/>
                <w:sz w:val="16"/>
                <w:szCs w:val="16"/>
              </w:rPr>
            </w:pPr>
            <w:r>
              <w:rPr>
                <w:rFonts w:ascii="宋体" w:eastAsia="宋体" w:hAnsi="宋体" w:cs="宋体"/>
                <w:spacing w:val="-2"/>
                <w:sz w:val="16"/>
                <w:szCs w:val="16"/>
              </w:rPr>
              <w:t>50～80</w:t>
            </w:r>
          </w:p>
        </w:tc>
      </w:tr>
      <w:tr w:rsidR="00EA40A3">
        <w:trPr>
          <w:trHeight w:val="249"/>
        </w:trPr>
        <w:tc>
          <w:tcPr>
            <w:tcW w:w="752" w:type="dxa"/>
            <w:tcBorders>
              <w:bottom w:val="single" w:sz="4" w:space="0" w:color="000000"/>
            </w:tcBorders>
          </w:tcPr>
          <w:p w:rsidR="00EA40A3" w:rsidRDefault="00E86C16">
            <w:pPr>
              <w:spacing w:before="97" w:line="175" w:lineRule="auto"/>
              <w:ind w:left="510"/>
              <w:rPr>
                <w:rFonts w:ascii="宋体" w:eastAsia="宋体" w:hAnsi="宋体" w:cs="宋体"/>
                <w:sz w:val="16"/>
                <w:szCs w:val="16"/>
              </w:rPr>
            </w:pPr>
            <w:r>
              <w:rPr>
                <w:rFonts w:ascii="宋体" w:eastAsia="宋体" w:hAnsi="宋体" w:cs="宋体"/>
                <w:spacing w:val="15"/>
                <w:w w:val="125"/>
                <w:sz w:val="16"/>
                <w:szCs w:val="16"/>
              </w:rPr>
              <w:t>4~</w:t>
            </w:r>
          </w:p>
        </w:tc>
        <w:tc>
          <w:tcPr>
            <w:tcW w:w="973" w:type="dxa"/>
            <w:tcBorders>
              <w:bottom w:val="single" w:sz="4" w:space="0" w:color="000000"/>
            </w:tcBorders>
          </w:tcPr>
          <w:p w:rsidR="00EA40A3" w:rsidRDefault="00E86C16">
            <w:pPr>
              <w:spacing w:before="71" w:line="205" w:lineRule="auto"/>
              <w:ind w:left="20"/>
              <w:rPr>
                <w:rFonts w:ascii="宋体" w:eastAsia="宋体" w:hAnsi="宋体" w:cs="宋体"/>
                <w:sz w:val="16"/>
                <w:szCs w:val="16"/>
              </w:rPr>
            </w:pPr>
            <w:r>
              <w:rPr>
                <w:rFonts w:ascii="宋体" w:eastAsia="宋体" w:hAnsi="宋体" w:cs="宋体"/>
                <w:spacing w:val="-1"/>
                <w:sz w:val="16"/>
                <w:szCs w:val="16"/>
              </w:rPr>
              <w:t>7岁</w:t>
            </w:r>
          </w:p>
        </w:tc>
        <w:tc>
          <w:tcPr>
            <w:tcW w:w="1895" w:type="dxa"/>
            <w:tcBorders>
              <w:bottom w:val="single" w:sz="4" w:space="0" w:color="000000"/>
              <w:right w:val="single" w:sz="4" w:space="0" w:color="000000"/>
            </w:tcBorders>
          </w:tcPr>
          <w:p w:rsidR="00EA40A3" w:rsidRDefault="00E86C16">
            <w:pPr>
              <w:spacing w:before="100" w:line="171" w:lineRule="auto"/>
              <w:ind w:left="595"/>
              <w:rPr>
                <w:rFonts w:ascii="宋体" w:eastAsia="宋体" w:hAnsi="宋体" w:cs="宋体"/>
                <w:sz w:val="16"/>
                <w:szCs w:val="16"/>
              </w:rPr>
            </w:pPr>
            <w:r>
              <w:rPr>
                <w:rFonts w:ascii="宋体" w:eastAsia="宋体" w:hAnsi="宋体" w:cs="宋体"/>
                <w:spacing w:val="-1"/>
                <w:sz w:val="16"/>
                <w:szCs w:val="16"/>
              </w:rPr>
              <w:t>90～110</w:t>
            </w:r>
          </w:p>
        </w:tc>
        <w:tc>
          <w:tcPr>
            <w:tcW w:w="1765" w:type="dxa"/>
            <w:tcBorders>
              <w:left w:val="single" w:sz="4" w:space="0" w:color="000000"/>
              <w:bottom w:val="single" w:sz="4" w:space="0" w:color="000000"/>
            </w:tcBorders>
          </w:tcPr>
          <w:p w:rsidR="00EA40A3" w:rsidRDefault="00E86C16">
            <w:pPr>
              <w:spacing w:before="50" w:line="219" w:lineRule="auto"/>
              <w:ind w:left="534"/>
              <w:rPr>
                <w:rFonts w:ascii="宋体" w:eastAsia="宋体" w:hAnsi="宋体" w:cs="宋体"/>
                <w:sz w:val="16"/>
                <w:szCs w:val="16"/>
              </w:rPr>
            </w:pPr>
            <w:r>
              <w:rPr>
                <w:rFonts w:ascii="宋体" w:eastAsia="宋体" w:hAnsi="宋体" w:cs="宋体"/>
                <w:spacing w:val="-2"/>
                <w:sz w:val="16"/>
                <w:szCs w:val="16"/>
              </w:rPr>
              <w:t>成年人</w:t>
            </w:r>
          </w:p>
        </w:tc>
        <w:tc>
          <w:tcPr>
            <w:tcW w:w="1865" w:type="dxa"/>
            <w:tcBorders>
              <w:bottom w:val="single" w:sz="4" w:space="0" w:color="000000"/>
            </w:tcBorders>
          </w:tcPr>
          <w:p w:rsidR="00EA40A3" w:rsidRDefault="00E86C16">
            <w:pPr>
              <w:spacing w:before="121" w:line="127" w:lineRule="exact"/>
              <w:ind w:left="774"/>
              <w:rPr>
                <w:rFonts w:ascii="宋体" w:eastAsia="宋体" w:hAnsi="宋体" w:cs="宋体"/>
                <w:sz w:val="16"/>
                <w:szCs w:val="16"/>
              </w:rPr>
            </w:pPr>
            <w:r>
              <w:rPr>
                <w:rFonts w:ascii="宋体" w:eastAsia="宋体" w:hAnsi="宋体" w:cs="宋体"/>
                <w:spacing w:val="-2"/>
                <w:position w:val="-2"/>
                <w:sz w:val="16"/>
                <w:szCs w:val="16"/>
              </w:rPr>
              <w:t>40</w:t>
            </w:r>
          </w:p>
        </w:tc>
      </w:tr>
    </w:tbl>
    <w:p w:rsidR="00EA40A3" w:rsidRDefault="00E86C16">
      <w:pPr>
        <w:spacing w:before="70" w:line="219" w:lineRule="auto"/>
        <w:rPr>
          <w:rFonts w:ascii="宋体" w:eastAsia="宋体" w:hAnsi="宋体" w:cs="宋体"/>
          <w:sz w:val="15"/>
          <w:szCs w:val="15"/>
        </w:rPr>
      </w:pPr>
      <w:r>
        <w:rPr>
          <w:rFonts w:ascii="宋体" w:eastAsia="宋体" w:hAnsi="宋体" w:cs="宋体"/>
          <w:spacing w:val="-1"/>
          <w:sz w:val="15"/>
          <w:szCs w:val="15"/>
        </w:rPr>
        <w:t>资料来源：陈学存.1984.应用营养学.北京：人民卫生出版社</w:t>
      </w:r>
    </w:p>
    <w:p w:rsidR="00EA40A3" w:rsidRDefault="00EA40A3">
      <w:pPr>
        <w:spacing w:line="323" w:lineRule="auto"/>
      </w:pPr>
    </w:p>
    <w:p w:rsidR="00EA40A3" w:rsidRDefault="00E86C16">
      <w:pPr>
        <w:spacing w:before="69" w:line="241" w:lineRule="auto"/>
        <w:ind w:left="20" w:right="457" w:firstLine="20"/>
        <w:rPr>
          <w:rFonts w:ascii="宋体" w:eastAsia="宋体" w:hAnsi="宋体" w:cs="宋体"/>
        </w:rPr>
      </w:pPr>
      <w:r>
        <w:rPr>
          <w:rFonts w:ascii="宋体" w:eastAsia="宋体" w:hAnsi="宋体" w:cs="宋体"/>
          <w:spacing w:val="-8"/>
        </w:rPr>
        <w:t>同时，人体每日水所需要量也可按能量摄取的情况估计。</w:t>
      </w:r>
      <w:r>
        <w:rPr>
          <w:rFonts w:ascii="宋体" w:eastAsia="宋体" w:hAnsi="宋体" w:cs="宋体"/>
          <w:spacing w:val="56"/>
        </w:rPr>
        <w:t xml:space="preserve"> </w:t>
      </w:r>
      <w:r>
        <w:rPr>
          <w:rFonts w:ascii="宋体" w:eastAsia="宋体" w:hAnsi="宋体" w:cs="宋体"/>
          <w:spacing w:val="-8"/>
        </w:rPr>
        <w:t>一般来说，成人每</w:t>
      </w:r>
      <w:r>
        <w:rPr>
          <w:rFonts w:ascii="宋体" w:eastAsia="宋体" w:hAnsi="宋体" w:cs="宋体"/>
        </w:rPr>
        <w:t xml:space="preserve"> </w:t>
      </w:r>
      <w:r>
        <w:rPr>
          <w:rFonts w:ascii="宋体" w:eastAsia="宋体" w:hAnsi="宋体" w:cs="宋体"/>
          <w:spacing w:val="1"/>
        </w:rPr>
        <w:t>日摄取4.184</w:t>
      </w:r>
      <w:r>
        <w:rPr>
          <w:rFonts w:ascii="宋体" w:eastAsia="宋体" w:hAnsi="宋体" w:cs="宋体"/>
        </w:rPr>
        <w:t>kJ</w:t>
      </w:r>
      <w:r>
        <w:rPr>
          <w:rFonts w:ascii="宋体" w:eastAsia="宋体" w:hAnsi="宋体" w:cs="宋体"/>
          <w:spacing w:val="1"/>
        </w:rPr>
        <w:t>(1</w:t>
      </w:r>
      <w:r>
        <w:rPr>
          <w:rFonts w:ascii="宋体" w:eastAsia="宋体" w:hAnsi="宋体" w:cs="宋体"/>
        </w:rPr>
        <w:t>kcal</w:t>
      </w:r>
      <w:r>
        <w:rPr>
          <w:rFonts w:ascii="宋体" w:eastAsia="宋体" w:hAnsi="宋体" w:cs="宋体"/>
          <w:spacing w:val="1"/>
        </w:rPr>
        <w:t>)</w:t>
      </w:r>
      <w:r>
        <w:rPr>
          <w:rFonts w:ascii="宋体" w:eastAsia="宋体" w:hAnsi="宋体" w:cs="宋体"/>
          <w:spacing w:val="39"/>
        </w:rPr>
        <w:t xml:space="preserve"> </w:t>
      </w:r>
      <w:r>
        <w:rPr>
          <w:rFonts w:ascii="宋体" w:eastAsia="宋体" w:hAnsi="宋体" w:cs="宋体"/>
          <w:spacing w:val="1"/>
        </w:rPr>
        <w:t>的能量约需水1</w:t>
      </w:r>
      <w:r>
        <w:rPr>
          <w:rFonts w:ascii="宋体" w:eastAsia="宋体" w:hAnsi="宋体" w:cs="宋体"/>
        </w:rPr>
        <w:t>mL</w:t>
      </w:r>
      <w:r>
        <w:rPr>
          <w:rFonts w:ascii="宋体" w:eastAsia="宋体" w:hAnsi="宋体" w:cs="宋体"/>
          <w:spacing w:val="1"/>
        </w:rPr>
        <w:t>。</w:t>
      </w:r>
    </w:p>
    <w:p w:rsidR="00EA40A3" w:rsidRDefault="00E86C16">
      <w:pPr>
        <w:spacing w:before="221" w:line="222" w:lineRule="auto"/>
        <w:ind w:left="3123"/>
        <w:rPr>
          <w:rFonts w:ascii="黑体" w:eastAsia="黑体" w:hAnsi="黑体" w:cs="黑体"/>
        </w:rPr>
      </w:pPr>
      <w:r>
        <w:rPr>
          <w:rFonts w:ascii="黑体" w:eastAsia="黑体" w:hAnsi="黑体" w:cs="黑体"/>
          <w:b/>
          <w:bCs/>
          <w:spacing w:val="-8"/>
        </w:rPr>
        <w:t>思</w:t>
      </w:r>
      <w:r>
        <w:rPr>
          <w:rFonts w:ascii="黑体" w:eastAsia="黑体" w:hAnsi="黑体" w:cs="黑体"/>
          <w:spacing w:val="83"/>
        </w:rPr>
        <w:t xml:space="preserve"> </w:t>
      </w:r>
      <w:r>
        <w:rPr>
          <w:rFonts w:ascii="黑体" w:eastAsia="黑体" w:hAnsi="黑体" w:cs="黑体"/>
          <w:b/>
          <w:bCs/>
          <w:spacing w:val="-8"/>
        </w:rPr>
        <w:t>考</w:t>
      </w:r>
      <w:r>
        <w:rPr>
          <w:rFonts w:ascii="黑体" w:eastAsia="黑体" w:hAnsi="黑体" w:cs="黑体"/>
          <w:spacing w:val="103"/>
        </w:rPr>
        <w:t xml:space="preserve"> </w:t>
      </w:r>
      <w:r>
        <w:rPr>
          <w:rFonts w:ascii="黑体" w:eastAsia="黑体" w:hAnsi="黑体" w:cs="黑体"/>
          <w:b/>
          <w:bCs/>
          <w:spacing w:val="-8"/>
        </w:rPr>
        <w:t>题</w:t>
      </w:r>
    </w:p>
    <w:p w:rsidR="00EA40A3" w:rsidRDefault="00E86C16">
      <w:pPr>
        <w:spacing w:before="161" w:line="221" w:lineRule="auto"/>
        <w:ind w:left="40"/>
        <w:rPr>
          <w:rFonts w:ascii="宋体" w:eastAsia="宋体" w:hAnsi="宋体" w:cs="宋体"/>
        </w:rPr>
      </w:pPr>
      <w:r>
        <w:rPr>
          <w:rFonts w:ascii="宋体" w:eastAsia="宋体" w:hAnsi="宋体" w:cs="宋体"/>
          <w:spacing w:val="-36"/>
        </w:rPr>
        <w:t>·</w:t>
      </w:r>
      <w:r>
        <w:rPr>
          <w:rFonts w:ascii="宋体" w:eastAsia="宋体" w:hAnsi="宋体" w:cs="宋体"/>
          <w:spacing w:val="-90"/>
        </w:rPr>
        <w:t xml:space="preserve"> </w:t>
      </w:r>
      <w:r>
        <w:rPr>
          <w:rFonts w:ascii="宋体" w:eastAsia="宋体" w:hAnsi="宋体" w:cs="宋体"/>
          <w:spacing w:val="-36"/>
        </w:rPr>
        <w:t>能量</w:t>
      </w:r>
    </w:p>
    <w:p w:rsidR="00EA40A3" w:rsidRDefault="00E86C16">
      <w:pPr>
        <w:spacing w:before="87" w:line="220" w:lineRule="auto"/>
        <w:ind w:left="40"/>
        <w:rPr>
          <w:rFonts w:ascii="宋体" w:eastAsia="宋体" w:hAnsi="宋体" w:cs="宋体"/>
          <w:sz w:val="17"/>
          <w:szCs w:val="17"/>
        </w:rPr>
      </w:pPr>
      <w:r>
        <w:rPr>
          <w:rFonts w:ascii="宋体" w:eastAsia="宋体" w:hAnsi="宋体" w:cs="宋体"/>
          <w:spacing w:val="1"/>
          <w:sz w:val="17"/>
          <w:szCs w:val="17"/>
        </w:rPr>
        <w:t>1.</w:t>
      </w:r>
      <w:r>
        <w:rPr>
          <w:rFonts w:ascii="宋体" w:eastAsia="宋体" w:hAnsi="宋体" w:cs="宋体"/>
          <w:spacing w:val="22"/>
          <w:w w:val="101"/>
          <w:sz w:val="17"/>
          <w:szCs w:val="17"/>
        </w:rPr>
        <w:t xml:space="preserve"> </w:t>
      </w:r>
      <w:r>
        <w:rPr>
          <w:rFonts w:ascii="宋体" w:eastAsia="宋体" w:hAnsi="宋体" w:cs="宋体"/>
          <w:spacing w:val="1"/>
          <w:sz w:val="17"/>
          <w:szCs w:val="17"/>
        </w:rPr>
        <w:t>试述能量的作用和生物学意义，</w:t>
      </w:r>
    </w:p>
    <w:p w:rsidR="00EA40A3" w:rsidRDefault="00E86C16">
      <w:pPr>
        <w:spacing w:before="67" w:line="219" w:lineRule="auto"/>
        <w:ind w:left="40"/>
        <w:rPr>
          <w:rFonts w:ascii="宋体" w:eastAsia="宋体" w:hAnsi="宋体" w:cs="宋体"/>
          <w:sz w:val="17"/>
          <w:szCs w:val="17"/>
        </w:rPr>
      </w:pPr>
      <w:r>
        <w:rPr>
          <w:rFonts w:ascii="宋体" w:eastAsia="宋体" w:hAnsi="宋体" w:cs="宋体"/>
          <w:spacing w:val="6"/>
          <w:sz w:val="17"/>
          <w:szCs w:val="17"/>
        </w:rPr>
        <w:t>2.</w:t>
      </w:r>
      <w:r>
        <w:rPr>
          <w:rFonts w:ascii="宋体" w:eastAsia="宋体" w:hAnsi="宋体" w:cs="宋体"/>
          <w:spacing w:val="-6"/>
          <w:sz w:val="17"/>
          <w:szCs w:val="17"/>
        </w:rPr>
        <w:t xml:space="preserve"> </w:t>
      </w:r>
      <w:r>
        <w:rPr>
          <w:rFonts w:ascii="宋体" w:eastAsia="宋体" w:hAnsi="宋体" w:cs="宋体"/>
          <w:spacing w:val="6"/>
          <w:sz w:val="17"/>
          <w:szCs w:val="17"/>
        </w:rPr>
        <w:t>试分析影响不同生理人群能量需要量的主要因素。</w:t>
      </w:r>
    </w:p>
    <w:p w:rsidR="00EA40A3" w:rsidRDefault="00E86C16">
      <w:pPr>
        <w:spacing w:before="66" w:line="218" w:lineRule="auto"/>
        <w:ind w:left="40"/>
        <w:rPr>
          <w:rFonts w:ascii="宋体" w:eastAsia="宋体" w:hAnsi="宋体" w:cs="宋体"/>
          <w:sz w:val="17"/>
          <w:szCs w:val="17"/>
        </w:rPr>
      </w:pPr>
      <w:r>
        <w:rPr>
          <w:rFonts w:ascii="宋体" w:eastAsia="宋体" w:hAnsi="宋体" w:cs="宋体"/>
          <w:spacing w:val="5"/>
          <w:sz w:val="17"/>
          <w:szCs w:val="17"/>
        </w:rPr>
        <w:t>3.</w:t>
      </w:r>
      <w:r>
        <w:rPr>
          <w:rFonts w:ascii="宋体" w:eastAsia="宋体" w:hAnsi="宋体" w:cs="宋体"/>
          <w:spacing w:val="-2"/>
          <w:sz w:val="17"/>
          <w:szCs w:val="17"/>
        </w:rPr>
        <w:t xml:space="preserve"> </w:t>
      </w:r>
      <w:r>
        <w:rPr>
          <w:rFonts w:ascii="宋体" w:eastAsia="宋体" w:hAnsi="宋体" w:cs="宋体"/>
          <w:spacing w:val="5"/>
          <w:sz w:val="17"/>
          <w:szCs w:val="17"/>
        </w:rPr>
        <w:t>你如何测定或估算某一人体或人群的能量消耗量。</w:t>
      </w:r>
    </w:p>
    <w:p w:rsidR="00EA40A3" w:rsidRDefault="00E86C16">
      <w:pPr>
        <w:spacing w:before="71" w:line="184" w:lineRule="auto"/>
        <w:ind w:left="40"/>
        <w:rPr>
          <w:rFonts w:ascii="宋体" w:eastAsia="宋体" w:hAnsi="宋体" w:cs="宋体"/>
          <w:sz w:val="17"/>
          <w:szCs w:val="17"/>
        </w:rPr>
      </w:pPr>
      <w:r>
        <w:rPr>
          <w:rFonts w:ascii="宋体" w:eastAsia="宋体" w:hAnsi="宋体" w:cs="宋体"/>
          <w:spacing w:val="6"/>
          <w:sz w:val="17"/>
          <w:szCs w:val="17"/>
        </w:rPr>
        <w:t>4.</w:t>
      </w:r>
      <w:r>
        <w:rPr>
          <w:rFonts w:ascii="宋体" w:eastAsia="宋体" w:hAnsi="宋体" w:cs="宋体"/>
          <w:spacing w:val="-28"/>
          <w:sz w:val="17"/>
          <w:szCs w:val="17"/>
        </w:rPr>
        <w:t xml:space="preserve"> </w:t>
      </w:r>
      <w:r>
        <w:rPr>
          <w:rFonts w:ascii="宋体" w:eastAsia="宋体" w:hAnsi="宋体" w:cs="宋体"/>
          <w:spacing w:val="6"/>
          <w:sz w:val="17"/>
          <w:szCs w:val="17"/>
        </w:rPr>
        <w:t>怎样通过合理膳食防止人体能量失衡及相应疾病发生。</w:t>
      </w:r>
    </w:p>
    <w:p w:rsidR="00EA40A3" w:rsidRDefault="00EA40A3">
      <w:pPr>
        <w:sectPr w:rsidR="00EA40A3">
          <w:type w:val="continuous"/>
          <w:pgSz w:w="9220" w:h="13360"/>
          <w:pgMar w:top="400" w:right="953" w:bottom="1206" w:left="939" w:header="0" w:footer="985" w:gutter="0"/>
          <w:cols w:space="720" w:equalWidth="0">
            <w:col w:w="7327"/>
          </w:cols>
        </w:sectPr>
      </w:pPr>
    </w:p>
    <w:p w:rsidR="00EA40A3" w:rsidRDefault="00EA40A3">
      <w:pPr>
        <w:spacing w:line="312" w:lineRule="auto"/>
      </w:pPr>
    </w:p>
    <w:p w:rsidR="00EA40A3" w:rsidRDefault="00EA40A3">
      <w:pPr>
        <w:spacing w:line="312" w:lineRule="auto"/>
      </w:pPr>
    </w:p>
    <w:p w:rsidR="00EA40A3" w:rsidRDefault="00E86C16">
      <w:pPr>
        <w:spacing w:before="56" w:line="221" w:lineRule="auto"/>
        <w:ind w:left="399"/>
        <w:rPr>
          <w:rFonts w:ascii="仿宋" w:eastAsia="仿宋" w:hAnsi="仿宋" w:cs="仿宋"/>
          <w:sz w:val="17"/>
          <w:szCs w:val="17"/>
        </w:rPr>
      </w:pPr>
      <w:r>
        <w:rPr>
          <w:rFonts w:ascii="仿宋" w:eastAsia="仿宋" w:hAnsi="仿宋" w:cs="仿宋"/>
          <w:spacing w:val="2"/>
          <w:sz w:val="17"/>
          <w:szCs w:val="17"/>
        </w:rPr>
        <w:t>·</w:t>
      </w:r>
      <w:r>
        <w:rPr>
          <w:rFonts w:ascii="仿宋" w:eastAsia="仿宋" w:hAnsi="仿宋" w:cs="仿宋"/>
          <w:spacing w:val="-46"/>
          <w:sz w:val="17"/>
          <w:szCs w:val="17"/>
        </w:rPr>
        <w:t xml:space="preserve"> </w:t>
      </w:r>
      <w:r>
        <w:rPr>
          <w:rFonts w:ascii="仿宋" w:eastAsia="仿宋" w:hAnsi="仿宋" w:cs="仿宋"/>
          <w:spacing w:val="2"/>
          <w:sz w:val="17"/>
          <w:szCs w:val="17"/>
        </w:rPr>
        <w:t>碳水化合物</w:t>
      </w:r>
    </w:p>
    <w:p w:rsidR="00EA40A3" w:rsidRDefault="00E86C16">
      <w:pPr>
        <w:spacing w:before="39" w:line="219" w:lineRule="auto"/>
        <w:ind w:left="399"/>
        <w:rPr>
          <w:rFonts w:ascii="宋体" w:eastAsia="宋体" w:hAnsi="宋体" w:cs="宋体"/>
          <w:sz w:val="17"/>
          <w:szCs w:val="17"/>
        </w:rPr>
      </w:pPr>
      <w:r>
        <w:rPr>
          <w:rFonts w:ascii="宋体" w:eastAsia="宋体" w:hAnsi="宋体" w:cs="宋体"/>
          <w:spacing w:val="5"/>
          <w:sz w:val="17"/>
          <w:szCs w:val="17"/>
        </w:rPr>
        <w:t>1.</w:t>
      </w:r>
      <w:r>
        <w:rPr>
          <w:rFonts w:ascii="宋体" w:eastAsia="宋体" w:hAnsi="宋体" w:cs="宋体"/>
          <w:spacing w:val="-36"/>
          <w:sz w:val="17"/>
          <w:szCs w:val="17"/>
        </w:rPr>
        <w:t xml:space="preserve"> </w:t>
      </w:r>
      <w:r>
        <w:rPr>
          <w:rFonts w:ascii="宋体" w:eastAsia="宋体" w:hAnsi="宋体" w:cs="宋体"/>
          <w:spacing w:val="5"/>
          <w:sz w:val="17"/>
          <w:szCs w:val="17"/>
        </w:rPr>
        <w:t>试述碳水化合物的主要生理功能。</w:t>
      </w:r>
    </w:p>
    <w:p w:rsidR="00EA40A3" w:rsidRDefault="00E86C16">
      <w:pPr>
        <w:spacing w:before="87" w:line="219" w:lineRule="auto"/>
        <w:ind w:left="399"/>
        <w:rPr>
          <w:rFonts w:ascii="宋体" w:eastAsia="宋体" w:hAnsi="宋体" w:cs="宋体"/>
          <w:sz w:val="17"/>
          <w:szCs w:val="17"/>
        </w:rPr>
      </w:pPr>
      <w:r>
        <w:rPr>
          <w:rFonts w:ascii="宋体" w:eastAsia="宋体" w:hAnsi="宋体" w:cs="宋体"/>
          <w:spacing w:val="7"/>
          <w:sz w:val="17"/>
          <w:szCs w:val="17"/>
        </w:rPr>
        <w:t>2.</w:t>
      </w:r>
      <w:r>
        <w:rPr>
          <w:rFonts w:ascii="宋体" w:eastAsia="宋体" w:hAnsi="宋体" w:cs="宋体"/>
          <w:spacing w:val="-15"/>
          <w:sz w:val="17"/>
          <w:szCs w:val="17"/>
        </w:rPr>
        <w:t xml:space="preserve"> </w:t>
      </w:r>
      <w:r>
        <w:rPr>
          <w:rFonts w:ascii="宋体" w:eastAsia="宋体" w:hAnsi="宋体" w:cs="宋体"/>
          <w:spacing w:val="7"/>
          <w:sz w:val="17"/>
          <w:szCs w:val="17"/>
        </w:rPr>
        <w:t>试分别介绍几种功能性低聚糖和多糖的功能。</w:t>
      </w:r>
    </w:p>
    <w:p w:rsidR="00EA40A3" w:rsidRDefault="00E86C16">
      <w:pPr>
        <w:spacing w:before="88" w:line="262" w:lineRule="auto"/>
        <w:ind w:left="399" w:right="5148"/>
        <w:rPr>
          <w:rFonts w:ascii="宋体" w:eastAsia="宋体" w:hAnsi="宋体" w:cs="宋体"/>
          <w:sz w:val="17"/>
          <w:szCs w:val="17"/>
        </w:rPr>
      </w:pPr>
      <w:r>
        <w:rPr>
          <w:rFonts w:ascii="宋体" w:eastAsia="宋体" w:hAnsi="宋体" w:cs="宋体"/>
          <w:spacing w:val="5"/>
          <w:sz w:val="17"/>
          <w:szCs w:val="17"/>
        </w:rPr>
        <w:t>3.</w:t>
      </w:r>
      <w:r>
        <w:rPr>
          <w:rFonts w:ascii="宋体" w:eastAsia="宋体" w:hAnsi="宋体" w:cs="宋体"/>
          <w:spacing w:val="-28"/>
          <w:sz w:val="17"/>
          <w:szCs w:val="17"/>
        </w:rPr>
        <w:t xml:space="preserve"> </w:t>
      </w:r>
      <w:r>
        <w:rPr>
          <w:rFonts w:ascii="宋体" w:eastAsia="宋体" w:hAnsi="宋体" w:cs="宋体"/>
          <w:spacing w:val="5"/>
          <w:sz w:val="17"/>
          <w:szCs w:val="17"/>
        </w:rPr>
        <w:t>何谓血糖生成指数?</w:t>
      </w:r>
      <w:r>
        <w:rPr>
          <w:rFonts w:ascii="宋体" w:eastAsia="宋体" w:hAnsi="宋体" w:cs="宋体"/>
          <w:sz w:val="17"/>
          <w:szCs w:val="17"/>
        </w:rPr>
        <w:t xml:space="preserve"> </w:t>
      </w:r>
      <w:r>
        <w:rPr>
          <w:rFonts w:ascii="宋体" w:eastAsia="宋体" w:hAnsi="宋体" w:cs="宋体"/>
          <w:spacing w:val="-25"/>
          <w:sz w:val="17"/>
          <w:szCs w:val="17"/>
        </w:rPr>
        <w:t>·</w:t>
      </w:r>
      <w:r>
        <w:rPr>
          <w:rFonts w:ascii="宋体" w:eastAsia="宋体" w:hAnsi="宋体" w:cs="宋体"/>
          <w:spacing w:val="-35"/>
          <w:sz w:val="17"/>
          <w:szCs w:val="17"/>
        </w:rPr>
        <w:t xml:space="preserve"> </w:t>
      </w:r>
      <w:r>
        <w:rPr>
          <w:rFonts w:ascii="宋体" w:eastAsia="宋体" w:hAnsi="宋体" w:cs="宋体"/>
          <w:spacing w:val="-25"/>
          <w:sz w:val="17"/>
          <w:szCs w:val="17"/>
        </w:rPr>
        <w:t>脂</w:t>
      </w:r>
      <w:r>
        <w:rPr>
          <w:rFonts w:ascii="宋体" w:eastAsia="宋体" w:hAnsi="宋体" w:cs="宋体"/>
          <w:spacing w:val="-38"/>
          <w:sz w:val="17"/>
          <w:szCs w:val="17"/>
        </w:rPr>
        <w:t xml:space="preserve"> </w:t>
      </w:r>
      <w:r>
        <w:rPr>
          <w:rFonts w:ascii="宋体" w:eastAsia="宋体" w:hAnsi="宋体" w:cs="宋体"/>
          <w:spacing w:val="-25"/>
          <w:sz w:val="17"/>
          <w:szCs w:val="17"/>
        </w:rPr>
        <w:t>类</w:t>
      </w:r>
    </w:p>
    <w:p w:rsidR="00EA40A3" w:rsidRDefault="00E86C16">
      <w:pPr>
        <w:spacing w:before="48" w:line="219" w:lineRule="auto"/>
        <w:ind w:left="399"/>
        <w:rPr>
          <w:rFonts w:ascii="宋体" w:eastAsia="宋体" w:hAnsi="宋体" w:cs="宋体"/>
          <w:sz w:val="17"/>
          <w:szCs w:val="17"/>
        </w:rPr>
      </w:pPr>
      <w:r>
        <w:rPr>
          <w:rFonts w:ascii="宋体" w:eastAsia="宋体" w:hAnsi="宋体" w:cs="宋体"/>
          <w:spacing w:val="10"/>
          <w:sz w:val="17"/>
          <w:szCs w:val="17"/>
        </w:rPr>
        <w:t>1.</w:t>
      </w:r>
      <w:r>
        <w:rPr>
          <w:rFonts w:ascii="宋体" w:eastAsia="宋体" w:hAnsi="宋体" w:cs="宋体"/>
          <w:spacing w:val="-46"/>
          <w:sz w:val="17"/>
          <w:szCs w:val="17"/>
        </w:rPr>
        <w:t xml:space="preserve"> </w:t>
      </w:r>
      <w:r>
        <w:rPr>
          <w:rFonts w:ascii="宋体" w:eastAsia="宋体" w:hAnsi="宋体" w:cs="宋体"/>
          <w:spacing w:val="10"/>
          <w:sz w:val="17"/>
          <w:szCs w:val="17"/>
        </w:rPr>
        <w:t>食物中含有哪些脂类?试述其主要生理功能</w:t>
      </w:r>
      <w:r>
        <w:rPr>
          <w:rFonts w:ascii="宋体" w:eastAsia="宋体" w:hAnsi="宋体" w:cs="宋体"/>
          <w:spacing w:val="9"/>
          <w:sz w:val="17"/>
          <w:szCs w:val="17"/>
        </w:rPr>
        <w:t>?</w:t>
      </w:r>
    </w:p>
    <w:p w:rsidR="00EA40A3" w:rsidRDefault="00E86C16">
      <w:pPr>
        <w:spacing w:before="78" w:line="219" w:lineRule="auto"/>
        <w:ind w:left="399"/>
        <w:rPr>
          <w:rFonts w:ascii="宋体" w:eastAsia="宋体" w:hAnsi="宋体" w:cs="宋体"/>
          <w:sz w:val="17"/>
          <w:szCs w:val="17"/>
        </w:rPr>
      </w:pPr>
      <w:r>
        <w:rPr>
          <w:rFonts w:ascii="宋体" w:eastAsia="宋体" w:hAnsi="宋体" w:cs="宋体"/>
          <w:spacing w:val="10"/>
          <w:sz w:val="17"/>
          <w:szCs w:val="17"/>
        </w:rPr>
        <w:t>2.</w:t>
      </w:r>
      <w:r>
        <w:rPr>
          <w:rFonts w:ascii="宋体" w:eastAsia="宋体" w:hAnsi="宋体" w:cs="宋体"/>
          <w:spacing w:val="-8"/>
          <w:sz w:val="17"/>
          <w:szCs w:val="17"/>
        </w:rPr>
        <w:t xml:space="preserve"> </w:t>
      </w:r>
      <w:r>
        <w:rPr>
          <w:rFonts w:ascii="宋体" w:eastAsia="宋体" w:hAnsi="宋体" w:cs="宋体"/>
          <w:spacing w:val="10"/>
          <w:sz w:val="17"/>
          <w:szCs w:val="17"/>
        </w:rPr>
        <w:t>何谓必需脂肪酸?必需脂肪酸有什么生理功能?</w:t>
      </w:r>
    </w:p>
    <w:p w:rsidR="00EA40A3" w:rsidRDefault="00E86C16">
      <w:pPr>
        <w:spacing w:before="77" w:line="218" w:lineRule="auto"/>
        <w:ind w:left="399"/>
        <w:rPr>
          <w:rFonts w:ascii="宋体" w:eastAsia="宋体" w:hAnsi="宋体" w:cs="宋体"/>
          <w:sz w:val="17"/>
          <w:szCs w:val="17"/>
        </w:rPr>
      </w:pPr>
      <w:r>
        <w:rPr>
          <w:rFonts w:ascii="宋体" w:eastAsia="宋体" w:hAnsi="宋体" w:cs="宋体"/>
          <w:spacing w:val="10"/>
          <w:sz w:val="17"/>
          <w:szCs w:val="17"/>
        </w:rPr>
        <w:t>3.</w:t>
      </w:r>
      <w:r>
        <w:rPr>
          <w:rFonts w:ascii="宋体" w:eastAsia="宋体" w:hAnsi="宋体" w:cs="宋体"/>
          <w:spacing w:val="-26"/>
          <w:sz w:val="17"/>
          <w:szCs w:val="17"/>
        </w:rPr>
        <w:t xml:space="preserve"> </w:t>
      </w:r>
      <w:r>
        <w:rPr>
          <w:rFonts w:ascii="宋体" w:eastAsia="宋体" w:hAnsi="宋体" w:cs="宋体"/>
          <w:spacing w:val="10"/>
          <w:sz w:val="17"/>
          <w:szCs w:val="17"/>
        </w:rPr>
        <w:t>从哪些方面评价脂肪的营养价值?试评价一种食用油的营养价值。</w:t>
      </w:r>
    </w:p>
    <w:p w:rsidR="00EA40A3" w:rsidRDefault="00E86C16">
      <w:pPr>
        <w:spacing w:before="91" w:line="220" w:lineRule="auto"/>
        <w:ind w:left="399"/>
        <w:rPr>
          <w:rFonts w:ascii="宋体" w:eastAsia="宋体" w:hAnsi="宋体" w:cs="宋体"/>
          <w:sz w:val="17"/>
          <w:szCs w:val="17"/>
        </w:rPr>
      </w:pPr>
      <w:r>
        <w:rPr>
          <w:rFonts w:ascii="宋体" w:eastAsia="宋体" w:hAnsi="宋体" w:cs="宋体"/>
          <w:spacing w:val="-2"/>
          <w:sz w:val="17"/>
          <w:szCs w:val="17"/>
        </w:rPr>
        <w:t>·</w:t>
      </w:r>
      <w:r>
        <w:rPr>
          <w:rFonts w:ascii="宋体" w:eastAsia="宋体" w:hAnsi="宋体" w:cs="宋体"/>
          <w:spacing w:val="-39"/>
          <w:sz w:val="17"/>
          <w:szCs w:val="17"/>
        </w:rPr>
        <w:t xml:space="preserve"> </w:t>
      </w:r>
      <w:r>
        <w:rPr>
          <w:rFonts w:ascii="宋体" w:eastAsia="宋体" w:hAnsi="宋体" w:cs="宋体"/>
          <w:spacing w:val="-2"/>
          <w:sz w:val="17"/>
          <w:szCs w:val="17"/>
        </w:rPr>
        <w:t>蛋白质</w:t>
      </w:r>
    </w:p>
    <w:p w:rsidR="00EA40A3" w:rsidRDefault="00E86C16">
      <w:pPr>
        <w:spacing w:before="47" w:line="220" w:lineRule="auto"/>
        <w:ind w:left="399"/>
        <w:rPr>
          <w:rFonts w:ascii="宋体" w:eastAsia="宋体" w:hAnsi="宋体" w:cs="宋体"/>
          <w:sz w:val="17"/>
          <w:szCs w:val="17"/>
        </w:rPr>
      </w:pPr>
      <w:r>
        <w:rPr>
          <w:rFonts w:ascii="宋体" w:eastAsia="宋体" w:hAnsi="宋体" w:cs="宋体"/>
          <w:spacing w:val="5"/>
          <w:sz w:val="17"/>
          <w:szCs w:val="17"/>
        </w:rPr>
        <w:t>1.</w:t>
      </w:r>
      <w:r>
        <w:rPr>
          <w:rFonts w:ascii="宋体" w:eastAsia="宋体" w:hAnsi="宋体" w:cs="宋体"/>
          <w:spacing w:val="-38"/>
          <w:sz w:val="17"/>
          <w:szCs w:val="17"/>
        </w:rPr>
        <w:t xml:space="preserve"> </w:t>
      </w:r>
      <w:r>
        <w:rPr>
          <w:rFonts w:ascii="宋体" w:eastAsia="宋体" w:hAnsi="宋体" w:cs="宋体"/>
          <w:spacing w:val="5"/>
          <w:sz w:val="17"/>
          <w:szCs w:val="17"/>
        </w:rPr>
        <w:t>蛋白质有哪些生理功能?</w:t>
      </w:r>
    </w:p>
    <w:p w:rsidR="00EA40A3" w:rsidRDefault="00E86C16">
      <w:pPr>
        <w:spacing w:before="68" w:line="220" w:lineRule="auto"/>
        <w:ind w:left="399"/>
        <w:rPr>
          <w:rFonts w:ascii="宋体" w:eastAsia="宋体" w:hAnsi="宋体" w:cs="宋体"/>
          <w:sz w:val="17"/>
          <w:szCs w:val="17"/>
        </w:rPr>
      </w:pPr>
      <w:r>
        <w:rPr>
          <w:rFonts w:ascii="宋体" w:eastAsia="宋体" w:hAnsi="宋体" w:cs="宋体"/>
          <w:spacing w:val="11"/>
          <w:sz w:val="17"/>
          <w:szCs w:val="17"/>
        </w:rPr>
        <w:t>2.</w:t>
      </w:r>
      <w:r>
        <w:rPr>
          <w:rFonts w:ascii="宋体" w:eastAsia="宋体" w:hAnsi="宋体" w:cs="宋体"/>
          <w:spacing w:val="1"/>
          <w:sz w:val="17"/>
          <w:szCs w:val="17"/>
        </w:rPr>
        <w:t xml:space="preserve"> </w:t>
      </w:r>
      <w:r>
        <w:rPr>
          <w:rFonts w:ascii="宋体" w:eastAsia="宋体" w:hAnsi="宋体" w:cs="宋体"/>
          <w:spacing w:val="11"/>
          <w:sz w:val="17"/>
          <w:szCs w:val="17"/>
        </w:rPr>
        <w:t>何谓必需氨基酸?人体有哪些必需氨基酸?</w:t>
      </w:r>
    </w:p>
    <w:p w:rsidR="00EA40A3" w:rsidRDefault="00E86C16">
      <w:pPr>
        <w:spacing w:before="65" w:line="219" w:lineRule="auto"/>
        <w:ind w:left="399"/>
        <w:rPr>
          <w:rFonts w:ascii="宋体" w:eastAsia="宋体" w:hAnsi="宋体" w:cs="宋体"/>
          <w:sz w:val="17"/>
          <w:szCs w:val="17"/>
        </w:rPr>
      </w:pPr>
      <w:r>
        <w:rPr>
          <w:rFonts w:ascii="宋体" w:eastAsia="宋体" w:hAnsi="宋体" w:cs="宋体"/>
          <w:spacing w:val="6"/>
          <w:sz w:val="17"/>
          <w:szCs w:val="17"/>
        </w:rPr>
        <w:t>3.</w:t>
      </w:r>
      <w:r>
        <w:rPr>
          <w:rFonts w:ascii="宋体" w:eastAsia="宋体" w:hAnsi="宋体" w:cs="宋体"/>
          <w:spacing w:val="-20"/>
          <w:sz w:val="17"/>
          <w:szCs w:val="17"/>
        </w:rPr>
        <w:t xml:space="preserve"> </w:t>
      </w:r>
      <w:r>
        <w:rPr>
          <w:rFonts w:ascii="宋体" w:eastAsia="宋体" w:hAnsi="宋体" w:cs="宋体"/>
          <w:spacing w:val="6"/>
          <w:sz w:val="17"/>
          <w:szCs w:val="17"/>
        </w:rPr>
        <w:t>简述牛磺酸、精氨酸、谷氨酰胺、谷胱甘肽的营养学意义。</w:t>
      </w:r>
    </w:p>
    <w:p w:rsidR="00EA40A3" w:rsidRDefault="00E86C16">
      <w:pPr>
        <w:spacing w:before="68" w:line="218" w:lineRule="auto"/>
        <w:ind w:left="399"/>
        <w:rPr>
          <w:rFonts w:ascii="宋体" w:eastAsia="宋体" w:hAnsi="宋体" w:cs="宋体"/>
          <w:sz w:val="17"/>
          <w:szCs w:val="17"/>
        </w:rPr>
      </w:pPr>
      <w:r>
        <w:rPr>
          <w:rFonts w:ascii="宋体" w:eastAsia="宋体" w:hAnsi="宋体" w:cs="宋体"/>
          <w:spacing w:val="7"/>
          <w:sz w:val="17"/>
          <w:szCs w:val="17"/>
        </w:rPr>
        <w:t>4.</w:t>
      </w:r>
      <w:r>
        <w:rPr>
          <w:rFonts w:ascii="宋体" w:eastAsia="宋体" w:hAnsi="宋体" w:cs="宋体"/>
          <w:spacing w:val="-39"/>
          <w:sz w:val="17"/>
          <w:szCs w:val="17"/>
        </w:rPr>
        <w:t xml:space="preserve"> </w:t>
      </w:r>
      <w:r>
        <w:rPr>
          <w:rFonts w:ascii="宋体" w:eastAsia="宋体" w:hAnsi="宋体" w:cs="宋体"/>
          <w:spacing w:val="7"/>
          <w:sz w:val="17"/>
          <w:szCs w:val="17"/>
        </w:rPr>
        <w:t>从哪些方面评价蛋白质的营养价值?</w:t>
      </w:r>
    </w:p>
    <w:p w:rsidR="00EA40A3" w:rsidRDefault="00E86C16">
      <w:pPr>
        <w:spacing w:before="69" w:line="257" w:lineRule="auto"/>
        <w:ind w:left="399" w:right="972"/>
        <w:rPr>
          <w:rFonts w:ascii="宋体" w:eastAsia="宋体" w:hAnsi="宋体" w:cs="宋体"/>
          <w:sz w:val="17"/>
          <w:szCs w:val="17"/>
        </w:rPr>
      </w:pPr>
      <w:r>
        <w:rPr>
          <w:rFonts w:ascii="宋体" w:eastAsia="宋体" w:hAnsi="宋体" w:cs="宋体"/>
          <w:spacing w:val="7"/>
          <w:sz w:val="17"/>
          <w:szCs w:val="17"/>
        </w:rPr>
        <w:t>5.</w:t>
      </w:r>
      <w:r>
        <w:rPr>
          <w:rFonts w:ascii="宋体" w:eastAsia="宋体" w:hAnsi="宋体" w:cs="宋体"/>
          <w:spacing w:val="-29"/>
          <w:sz w:val="17"/>
          <w:szCs w:val="17"/>
        </w:rPr>
        <w:t xml:space="preserve"> </w:t>
      </w:r>
      <w:r>
        <w:rPr>
          <w:rFonts w:ascii="宋体" w:eastAsia="宋体" w:hAnsi="宋体" w:cs="宋体"/>
          <w:spacing w:val="7"/>
          <w:sz w:val="17"/>
          <w:szCs w:val="17"/>
        </w:rPr>
        <w:t>试根据谷类食物的蛋白质构成特点，分析提高谷类食物营养价值的途径。</w:t>
      </w:r>
      <w:r>
        <w:rPr>
          <w:rFonts w:ascii="宋体" w:eastAsia="宋体" w:hAnsi="宋体" w:cs="宋体"/>
          <w:sz w:val="17"/>
          <w:szCs w:val="17"/>
        </w:rPr>
        <w:t xml:space="preserve"> </w:t>
      </w:r>
      <w:r>
        <w:rPr>
          <w:rFonts w:ascii="宋体" w:eastAsia="宋体" w:hAnsi="宋体" w:cs="宋体"/>
          <w:spacing w:val="-33"/>
          <w:sz w:val="17"/>
          <w:szCs w:val="17"/>
        </w:rPr>
        <w:t>·</w:t>
      </w:r>
      <w:r>
        <w:rPr>
          <w:rFonts w:ascii="宋体" w:eastAsia="宋体" w:hAnsi="宋体" w:cs="宋体"/>
          <w:spacing w:val="-4"/>
          <w:sz w:val="17"/>
          <w:szCs w:val="17"/>
        </w:rPr>
        <w:t xml:space="preserve"> </w:t>
      </w:r>
      <w:r>
        <w:rPr>
          <w:rFonts w:ascii="宋体" w:eastAsia="宋体" w:hAnsi="宋体" w:cs="宋体"/>
          <w:spacing w:val="-33"/>
          <w:sz w:val="17"/>
          <w:szCs w:val="17"/>
        </w:rPr>
        <w:t>水</w:t>
      </w:r>
    </w:p>
    <w:p w:rsidR="00EA40A3" w:rsidRDefault="00E86C16">
      <w:pPr>
        <w:spacing w:before="69" w:line="219" w:lineRule="auto"/>
        <w:ind w:left="399"/>
        <w:rPr>
          <w:rFonts w:ascii="宋体" w:eastAsia="宋体" w:hAnsi="宋体" w:cs="宋体"/>
          <w:sz w:val="17"/>
          <w:szCs w:val="17"/>
        </w:rPr>
      </w:pPr>
      <w:r>
        <w:rPr>
          <w:rFonts w:ascii="宋体" w:eastAsia="宋体" w:hAnsi="宋体" w:cs="宋体"/>
          <w:spacing w:val="5"/>
          <w:sz w:val="17"/>
          <w:szCs w:val="17"/>
        </w:rPr>
        <w:t>1.</w:t>
      </w:r>
      <w:r>
        <w:rPr>
          <w:rFonts w:ascii="宋体" w:eastAsia="宋体" w:hAnsi="宋体" w:cs="宋体"/>
          <w:spacing w:val="-28"/>
          <w:sz w:val="17"/>
          <w:szCs w:val="17"/>
        </w:rPr>
        <w:t xml:space="preserve"> </w:t>
      </w:r>
      <w:r>
        <w:rPr>
          <w:rFonts w:ascii="宋体" w:eastAsia="宋体" w:hAnsi="宋体" w:cs="宋体"/>
          <w:spacing w:val="5"/>
          <w:sz w:val="17"/>
          <w:szCs w:val="17"/>
        </w:rPr>
        <w:t>水有哪些生理功能?</w:t>
      </w:r>
    </w:p>
    <w:p w:rsidR="00EA40A3" w:rsidRDefault="00E86C16">
      <w:pPr>
        <w:spacing w:before="68" w:line="219" w:lineRule="auto"/>
        <w:ind w:left="399"/>
        <w:rPr>
          <w:rFonts w:ascii="宋体" w:eastAsia="宋体" w:hAnsi="宋体" w:cs="宋体"/>
          <w:sz w:val="17"/>
          <w:szCs w:val="17"/>
        </w:rPr>
      </w:pPr>
      <w:r>
        <w:rPr>
          <w:rFonts w:ascii="宋体" w:eastAsia="宋体" w:hAnsi="宋体" w:cs="宋体"/>
          <w:spacing w:val="7"/>
          <w:sz w:val="17"/>
          <w:szCs w:val="17"/>
        </w:rPr>
        <w:t>2.</w:t>
      </w:r>
      <w:r>
        <w:rPr>
          <w:rFonts w:ascii="宋体" w:eastAsia="宋体" w:hAnsi="宋体" w:cs="宋体"/>
          <w:spacing w:val="-3"/>
          <w:sz w:val="17"/>
          <w:szCs w:val="17"/>
        </w:rPr>
        <w:t xml:space="preserve"> </w:t>
      </w:r>
      <w:r>
        <w:rPr>
          <w:rFonts w:ascii="宋体" w:eastAsia="宋体" w:hAnsi="宋体" w:cs="宋体"/>
          <w:spacing w:val="7"/>
          <w:sz w:val="17"/>
          <w:szCs w:val="17"/>
        </w:rPr>
        <w:t>摄入水过多或水缺乏对人体有什么影响?</w:t>
      </w:r>
    </w:p>
    <w:p w:rsidR="00EA40A3" w:rsidRDefault="00EA40A3">
      <w:pPr>
        <w:spacing w:line="343" w:lineRule="auto"/>
      </w:pPr>
    </w:p>
    <w:p w:rsidR="00EA40A3" w:rsidRDefault="00E86C16">
      <w:pPr>
        <w:spacing w:before="69" w:line="222" w:lineRule="auto"/>
        <w:ind w:right="293"/>
        <w:jc w:val="right"/>
        <w:rPr>
          <w:rFonts w:ascii="楷体" w:eastAsia="楷体" w:hAnsi="楷体" w:cs="楷体"/>
        </w:rPr>
      </w:pPr>
      <w:r>
        <w:rPr>
          <w:rFonts w:ascii="楷体" w:eastAsia="楷体" w:hAnsi="楷体" w:cs="楷体"/>
          <w:spacing w:val="3"/>
        </w:rPr>
        <w:t>[本章编写人：陈义伦</w:t>
      </w:r>
      <w:r>
        <w:rPr>
          <w:rFonts w:ascii="楷体" w:eastAsia="楷体" w:hAnsi="楷体" w:cs="楷体"/>
          <w:spacing w:val="85"/>
        </w:rPr>
        <w:t xml:space="preserve"> </w:t>
      </w:r>
      <w:r>
        <w:rPr>
          <w:rFonts w:ascii="楷体" w:eastAsia="楷体" w:hAnsi="楷体" w:cs="楷体"/>
          <w:spacing w:val="3"/>
        </w:rPr>
        <w:t>周才琼(多糖及低聚糖部分)]</w:t>
      </w:r>
    </w:p>
    <w:p w:rsidR="00EA40A3" w:rsidRDefault="00E86C16">
      <w:pPr>
        <w:spacing w:before="201" w:line="219" w:lineRule="auto"/>
        <w:ind w:left="3082"/>
        <w:rPr>
          <w:rFonts w:ascii="宋体" w:eastAsia="宋体" w:hAnsi="宋体" w:cs="宋体"/>
        </w:rPr>
      </w:pPr>
      <w:r>
        <w:rPr>
          <w:rFonts w:ascii="宋体" w:eastAsia="宋体" w:hAnsi="宋体" w:cs="宋体"/>
          <w:b/>
          <w:bCs/>
          <w:spacing w:val="-9"/>
        </w:rPr>
        <w:t>主要参考文献</w:t>
      </w:r>
    </w:p>
    <w:p w:rsidR="00EA40A3" w:rsidRDefault="00E86C16">
      <w:pPr>
        <w:spacing w:before="211" w:line="250" w:lineRule="exact"/>
        <w:rPr>
          <w:rFonts w:ascii="宋体" w:eastAsia="宋体" w:hAnsi="宋体" w:cs="宋体"/>
          <w:sz w:val="17"/>
          <w:szCs w:val="17"/>
        </w:rPr>
      </w:pPr>
      <w:r>
        <w:rPr>
          <w:rFonts w:ascii="宋体" w:eastAsia="宋体" w:hAnsi="宋体" w:cs="宋体"/>
          <w:spacing w:val="-4"/>
          <w:position w:val="5"/>
          <w:sz w:val="17"/>
          <w:szCs w:val="17"/>
        </w:rPr>
        <w:t>车振明.2004.虫草多糖生物活性研究进展及其应用前景.食用菌，</w:t>
      </w:r>
      <w:r>
        <w:rPr>
          <w:rFonts w:ascii="宋体" w:eastAsia="宋体" w:hAnsi="宋体" w:cs="宋体"/>
          <w:spacing w:val="-5"/>
          <w:position w:val="5"/>
          <w:sz w:val="17"/>
          <w:szCs w:val="17"/>
        </w:rPr>
        <w:t>6:3～5</w:t>
      </w:r>
    </w:p>
    <w:p w:rsidR="00EA40A3" w:rsidRDefault="00E86C16">
      <w:pPr>
        <w:spacing w:before="1" w:line="218" w:lineRule="auto"/>
        <w:rPr>
          <w:rFonts w:ascii="宋体" w:eastAsia="宋体" w:hAnsi="宋体" w:cs="宋体"/>
          <w:sz w:val="17"/>
          <w:szCs w:val="17"/>
        </w:rPr>
      </w:pPr>
      <w:r>
        <w:rPr>
          <w:rFonts w:ascii="宋体" w:eastAsia="宋体" w:hAnsi="宋体" w:cs="宋体"/>
          <w:spacing w:val="-1"/>
          <w:sz w:val="17"/>
          <w:szCs w:val="17"/>
        </w:rPr>
        <w:t>陈炳卿.2000.营养与食品卫生学.第4版.北京：人民卫生出版社</w:t>
      </w:r>
    </w:p>
    <w:p w:rsidR="00EA40A3" w:rsidRDefault="00E86C16">
      <w:pPr>
        <w:spacing w:before="48" w:line="250" w:lineRule="exact"/>
        <w:rPr>
          <w:rFonts w:ascii="宋体" w:eastAsia="宋体" w:hAnsi="宋体" w:cs="宋体"/>
          <w:sz w:val="17"/>
          <w:szCs w:val="17"/>
        </w:rPr>
      </w:pPr>
      <w:r>
        <w:rPr>
          <w:rFonts w:ascii="宋体" w:eastAsia="宋体" w:hAnsi="宋体" w:cs="宋体"/>
          <w:spacing w:val="-2"/>
          <w:position w:val="5"/>
          <w:sz w:val="17"/>
          <w:szCs w:val="17"/>
        </w:rPr>
        <w:t>陈庆伟，陈志桃.2005.枸杞多糖药理作用研究进展.海峡药学，17(4):4～7</w:t>
      </w:r>
    </w:p>
    <w:p w:rsidR="00EA40A3" w:rsidRDefault="00E86C16">
      <w:pPr>
        <w:spacing w:before="1" w:line="218" w:lineRule="auto"/>
        <w:rPr>
          <w:rFonts w:ascii="宋体" w:eastAsia="宋体" w:hAnsi="宋体" w:cs="宋体"/>
          <w:sz w:val="17"/>
          <w:szCs w:val="17"/>
        </w:rPr>
      </w:pPr>
      <w:r>
        <w:rPr>
          <w:rFonts w:ascii="宋体" w:eastAsia="宋体" w:hAnsi="宋体" w:cs="宋体"/>
          <w:spacing w:val="-5"/>
          <w:sz w:val="17"/>
          <w:szCs w:val="17"/>
        </w:rPr>
        <w:t>陈仁惇.1999.现代临床营养学.北京：人民军医出版社</w:t>
      </w:r>
    </w:p>
    <w:p w:rsidR="00EA40A3" w:rsidRDefault="00E86C16">
      <w:pPr>
        <w:spacing w:before="48" w:line="252" w:lineRule="auto"/>
        <w:ind w:left="199" w:right="12" w:hanging="199"/>
        <w:rPr>
          <w:rFonts w:ascii="宋体" w:eastAsia="宋体" w:hAnsi="宋体" w:cs="宋体"/>
          <w:sz w:val="17"/>
          <w:szCs w:val="17"/>
        </w:rPr>
      </w:pPr>
      <w:r>
        <w:rPr>
          <w:rFonts w:ascii="宋体" w:eastAsia="宋体" w:hAnsi="宋体" w:cs="宋体"/>
          <w:spacing w:val="7"/>
          <w:sz w:val="17"/>
          <w:szCs w:val="17"/>
        </w:rPr>
        <w:t>陈秀敏，傅德贤，欧阳藩.2001.魔芋葡甘</w:t>
      </w:r>
      <w:r>
        <w:rPr>
          <w:rFonts w:ascii="宋体" w:eastAsia="宋体" w:hAnsi="宋体" w:cs="宋体"/>
          <w:spacing w:val="6"/>
          <w:sz w:val="17"/>
          <w:szCs w:val="17"/>
        </w:rPr>
        <w:t>露聚糖的应用研究进展.</w:t>
      </w:r>
      <w:r>
        <w:rPr>
          <w:rFonts w:ascii="宋体" w:eastAsia="宋体" w:hAnsi="宋体" w:cs="宋体"/>
          <w:spacing w:val="-9"/>
          <w:sz w:val="17"/>
          <w:szCs w:val="17"/>
        </w:rPr>
        <w:t xml:space="preserve"> </w:t>
      </w:r>
      <w:r>
        <w:rPr>
          <w:rFonts w:ascii="宋体" w:eastAsia="宋体" w:hAnsi="宋体" w:cs="宋体"/>
          <w:spacing w:val="6"/>
          <w:sz w:val="17"/>
          <w:szCs w:val="17"/>
        </w:rPr>
        <w:t>中国生化药物杂志，22(6):</w:t>
      </w:r>
      <w:r>
        <w:rPr>
          <w:rFonts w:ascii="宋体" w:eastAsia="宋体" w:hAnsi="宋体" w:cs="宋体"/>
          <w:sz w:val="17"/>
          <w:szCs w:val="17"/>
        </w:rPr>
        <w:t xml:space="preserve"> </w:t>
      </w:r>
      <w:r>
        <w:rPr>
          <w:rFonts w:ascii="宋体" w:eastAsia="宋体" w:hAnsi="宋体" w:cs="宋体"/>
          <w:spacing w:val="-10"/>
          <w:sz w:val="17"/>
          <w:szCs w:val="17"/>
        </w:rPr>
        <w:t>318～320</w:t>
      </w:r>
    </w:p>
    <w:p w:rsidR="00EA40A3" w:rsidRDefault="00E86C16">
      <w:pPr>
        <w:spacing w:before="66" w:line="219" w:lineRule="auto"/>
        <w:rPr>
          <w:rFonts w:ascii="宋体" w:eastAsia="宋体" w:hAnsi="宋体" w:cs="宋体"/>
          <w:sz w:val="17"/>
          <w:szCs w:val="17"/>
        </w:rPr>
      </w:pPr>
      <w:r>
        <w:rPr>
          <w:rFonts w:ascii="宋体" w:eastAsia="宋体" w:hAnsi="宋体" w:cs="宋体"/>
          <w:spacing w:val="-7"/>
          <w:sz w:val="17"/>
          <w:szCs w:val="17"/>
        </w:rPr>
        <w:t>陈学存.</w:t>
      </w:r>
      <w:r>
        <w:rPr>
          <w:rFonts w:ascii="宋体" w:eastAsia="宋体" w:hAnsi="宋体" w:cs="宋体"/>
          <w:spacing w:val="14"/>
          <w:sz w:val="17"/>
          <w:szCs w:val="17"/>
        </w:rPr>
        <w:t xml:space="preserve"> </w:t>
      </w:r>
      <w:r>
        <w:rPr>
          <w:rFonts w:ascii="宋体" w:eastAsia="宋体" w:hAnsi="宋体" w:cs="宋体"/>
          <w:spacing w:val="-7"/>
          <w:sz w:val="17"/>
          <w:szCs w:val="17"/>
        </w:rPr>
        <w:t>1984.应用营养学.北京：人民</w:t>
      </w:r>
      <w:r>
        <w:rPr>
          <w:rFonts w:ascii="宋体" w:eastAsia="宋体" w:hAnsi="宋体" w:cs="宋体"/>
          <w:spacing w:val="-8"/>
          <w:sz w:val="17"/>
          <w:szCs w:val="17"/>
        </w:rPr>
        <w:t>卫生出版社</w:t>
      </w:r>
    </w:p>
    <w:p w:rsidR="00EA40A3" w:rsidRDefault="00E86C16">
      <w:pPr>
        <w:spacing w:before="48" w:line="219" w:lineRule="auto"/>
        <w:rPr>
          <w:rFonts w:ascii="宋体" w:eastAsia="宋体" w:hAnsi="宋体" w:cs="宋体"/>
          <w:sz w:val="17"/>
          <w:szCs w:val="17"/>
        </w:rPr>
      </w:pPr>
      <w:r>
        <w:rPr>
          <w:rFonts w:ascii="宋体" w:eastAsia="宋体" w:hAnsi="宋体" w:cs="宋体"/>
          <w:spacing w:val="-2"/>
          <w:sz w:val="17"/>
          <w:szCs w:val="17"/>
        </w:rPr>
        <w:t>方积年，王顺春.1997.香菇多糖的研究进展</w:t>
      </w:r>
      <w:r>
        <w:rPr>
          <w:rFonts w:ascii="宋体" w:eastAsia="宋体" w:hAnsi="宋体" w:cs="宋体"/>
          <w:spacing w:val="-3"/>
          <w:sz w:val="17"/>
          <w:szCs w:val="17"/>
        </w:rPr>
        <w:t>.中国药学杂志，32(6):332～334</w:t>
      </w:r>
    </w:p>
    <w:p w:rsidR="00EA40A3" w:rsidRDefault="00E86C16">
      <w:pPr>
        <w:spacing w:before="49" w:line="245" w:lineRule="auto"/>
        <w:ind w:right="776"/>
        <w:rPr>
          <w:rFonts w:ascii="宋体" w:eastAsia="宋体" w:hAnsi="宋体" w:cs="宋体"/>
          <w:sz w:val="17"/>
          <w:szCs w:val="17"/>
        </w:rPr>
      </w:pPr>
      <w:r>
        <w:rPr>
          <w:rFonts w:ascii="宋体" w:eastAsia="宋体" w:hAnsi="宋体" w:cs="宋体"/>
          <w:spacing w:val="-3"/>
          <w:sz w:val="17"/>
          <w:szCs w:val="17"/>
        </w:rPr>
        <w:t>高宁国，程秀兰，杨敬等.1999.肝素结构与功能的研究进展.生物工程进展，19(5):4～13</w:t>
      </w:r>
      <w:r>
        <w:rPr>
          <w:rFonts w:ascii="宋体" w:eastAsia="宋体" w:hAnsi="宋体" w:cs="宋体"/>
          <w:spacing w:val="10"/>
          <w:sz w:val="17"/>
          <w:szCs w:val="17"/>
        </w:rPr>
        <w:t xml:space="preserve"> </w:t>
      </w:r>
      <w:r>
        <w:rPr>
          <w:rFonts w:ascii="宋体" w:eastAsia="宋体" w:hAnsi="宋体" w:cs="宋体"/>
          <w:spacing w:val="-6"/>
          <w:sz w:val="17"/>
          <w:szCs w:val="17"/>
        </w:rPr>
        <w:t>葛可佑.2004.中国营养科学全书.北京：人民卫生出版社</w:t>
      </w:r>
    </w:p>
    <w:p w:rsidR="00EA40A3" w:rsidRDefault="00E86C16">
      <w:pPr>
        <w:spacing w:before="49" w:line="219" w:lineRule="auto"/>
        <w:rPr>
          <w:rFonts w:ascii="宋体" w:eastAsia="宋体" w:hAnsi="宋体" w:cs="宋体"/>
          <w:sz w:val="17"/>
          <w:szCs w:val="17"/>
        </w:rPr>
      </w:pPr>
      <w:r>
        <w:rPr>
          <w:rFonts w:ascii="宋体" w:eastAsia="宋体" w:hAnsi="宋体" w:cs="宋体"/>
          <w:spacing w:val="-6"/>
          <w:sz w:val="17"/>
          <w:szCs w:val="17"/>
        </w:rPr>
        <w:t>葛可佑.2005.中国营养师培训教材.北京：人民卫生出版社</w:t>
      </w:r>
    </w:p>
    <w:p w:rsidR="00EA40A3" w:rsidRDefault="00E86C16">
      <w:pPr>
        <w:spacing w:before="49" w:line="245" w:lineRule="auto"/>
        <w:ind w:right="1367"/>
        <w:rPr>
          <w:rFonts w:ascii="宋体" w:eastAsia="宋体" w:hAnsi="宋体" w:cs="宋体"/>
          <w:sz w:val="17"/>
          <w:szCs w:val="17"/>
        </w:rPr>
      </w:pPr>
      <w:r>
        <w:rPr>
          <w:rFonts w:ascii="宋体" w:eastAsia="宋体" w:hAnsi="宋体" w:cs="宋体"/>
          <w:spacing w:val="-3"/>
          <w:sz w:val="17"/>
          <w:szCs w:val="17"/>
        </w:rPr>
        <w:t>古元冬，史建勋，胡卓逸.1999.魔芋多糖的抗衰老作用.中草药，30(2):127～128</w:t>
      </w:r>
      <w:r>
        <w:rPr>
          <w:rFonts w:ascii="宋体" w:eastAsia="宋体" w:hAnsi="宋体" w:cs="宋体"/>
          <w:spacing w:val="8"/>
          <w:sz w:val="17"/>
          <w:szCs w:val="17"/>
        </w:rPr>
        <w:t xml:space="preserve"> </w:t>
      </w:r>
      <w:r>
        <w:rPr>
          <w:rFonts w:ascii="宋体" w:eastAsia="宋体" w:hAnsi="宋体" w:cs="宋体"/>
          <w:sz w:val="17"/>
          <w:szCs w:val="17"/>
        </w:rPr>
        <w:t>韩雅姗.2001.食品化学.第2版.北京：中国</w:t>
      </w:r>
      <w:r>
        <w:rPr>
          <w:rFonts w:ascii="宋体" w:eastAsia="宋体" w:hAnsi="宋体" w:cs="宋体"/>
          <w:spacing w:val="-1"/>
          <w:sz w:val="17"/>
          <w:szCs w:val="17"/>
        </w:rPr>
        <w:t>农业大学出版社</w:t>
      </w:r>
    </w:p>
    <w:p w:rsidR="00EA40A3" w:rsidRDefault="00E86C16">
      <w:pPr>
        <w:spacing w:before="49" w:line="219" w:lineRule="auto"/>
        <w:rPr>
          <w:rFonts w:ascii="宋体" w:eastAsia="宋体" w:hAnsi="宋体" w:cs="宋体"/>
          <w:sz w:val="17"/>
          <w:szCs w:val="17"/>
        </w:rPr>
      </w:pPr>
      <w:r>
        <w:rPr>
          <w:rFonts w:ascii="宋体" w:eastAsia="宋体" w:hAnsi="宋体" w:cs="宋体"/>
          <w:spacing w:val="-7"/>
          <w:sz w:val="17"/>
          <w:szCs w:val="17"/>
        </w:rPr>
        <w:t>黄承钰。2003.医学营养学.北京：人民卫生出版社</w:t>
      </w:r>
    </w:p>
    <w:p w:rsidR="00EA40A3" w:rsidRDefault="00E86C16">
      <w:pPr>
        <w:spacing w:before="48" w:line="251" w:lineRule="auto"/>
        <w:ind w:left="159" w:right="12" w:hanging="159"/>
        <w:rPr>
          <w:rFonts w:ascii="宋体" w:eastAsia="宋体" w:hAnsi="宋体" w:cs="宋体"/>
          <w:sz w:val="17"/>
          <w:szCs w:val="17"/>
        </w:rPr>
      </w:pPr>
      <w:r>
        <w:rPr>
          <w:rFonts w:ascii="宋体" w:eastAsia="宋体" w:hAnsi="宋体" w:cs="宋体"/>
          <w:spacing w:val="8"/>
          <w:sz w:val="17"/>
          <w:szCs w:val="17"/>
        </w:rPr>
        <w:t>黄纯，高向东，庞秀炳.2005.灵芝多糖的提纯、组成及活性研究.中国生化药物杂志，26(4):</w:t>
      </w:r>
      <w:r>
        <w:rPr>
          <w:rFonts w:ascii="宋体" w:eastAsia="宋体" w:hAnsi="宋体" w:cs="宋体"/>
          <w:spacing w:val="2"/>
          <w:sz w:val="17"/>
          <w:szCs w:val="17"/>
        </w:rPr>
        <w:t xml:space="preserve"> </w:t>
      </w:r>
      <w:r>
        <w:rPr>
          <w:rFonts w:ascii="宋体" w:eastAsia="宋体" w:hAnsi="宋体" w:cs="宋体"/>
          <w:spacing w:val="-9"/>
          <w:sz w:val="17"/>
          <w:szCs w:val="17"/>
        </w:rPr>
        <w:t>221～223</w:t>
      </w:r>
    </w:p>
    <w:p w:rsidR="00EA40A3" w:rsidRDefault="00E86C16">
      <w:pPr>
        <w:spacing w:before="88" w:line="219" w:lineRule="auto"/>
        <w:rPr>
          <w:rFonts w:ascii="宋体" w:eastAsia="宋体" w:hAnsi="宋体" w:cs="宋体"/>
          <w:sz w:val="17"/>
          <w:szCs w:val="17"/>
        </w:rPr>
      </w:pPr>
      <w:r>
        <w:rPr>
          <w:rFonts w:ascii="宋体" w:eastAsia="宋体" w:hAnsi="宋体" w:cs="宋体"/>
          <w:spacing w:val="-3"/>
          <w:sz w:val="17"/>
          <w:szCs w:val="17"/>
        </w:rPr>
        <w:t>刘佩瑛.2004.魔芋学.北京：中国农业出版社</w:t>
      </w:r>
    </w:p>
    <w:p w:rsidR="00EA40A3" w:rsidRDefault="00E86C16">
      <w:pPr>
        <w:spacing w:before="47" w:line="219" w:lineRule="auto"/>
        <w:rPr>
          <w:rFonts w:ascii="宋体" w:eastAsia="宋体" w:hAnsi="宋体" w:cs="宋体"/>
          <w:sz w:val="17"/>
          <w:szCs w:val="17"/>
        </w:rPr>
      </w:pPr>
      <w:r>
        <w:rPr>
          <w:rFonts w:ascii="宋体" w:eastAsia="宋体" w:hAnsi="宋体" w:cs="宋体"/>
          <w:sz w:val="17"/>
          <w:szCs w:val="17"/>
        </w:rPr>
        <w:t>刘志皋.2004.食品营养学.第2版.北京：中国</w:t>
      </w:r>
      <w:r>
        <w:rPr>
          <w:rFonts w:ascii="宋体" w:eastAsia="宋体" w:hAnsi="宋体" w:cs="宋体"/>
          <w:spacing w:val="-1"/>
          <w:sz w:val="17"/>
          <w:szCs w:val="17"/>
        </w:rPr>
        <w:t>轻工业出版社</w:t>
      </w:r>
    </w:p>
    <w:p w:rsidR="00EA40A3" w:rsidRDefault="00E86C16">
      <w:pPr>
        <w:spacing w:before="48" w:line="219" w:lineRule="auto"/>
        <w:rPr>
          <w:rFonts w:ascii="宋体" w:eastAsia="宋体" w:hAnsi="宋体" w:cs="宋体"/>
          <w:sz w:val="17"/>
          <w:szCs w:val="17"/>
        </w:rPr>
      </w:pPr>
      <w:r>
        <w:rPr>
          <w:rFonts w:ascii="宋体" w:eastAsia="宋体" w:hAnsi="宋体" w:cs="宋体"/>
          <w:spacing w:val="-7"/>
          <w:sz w:val="17"/>
          <w:szCs w:val="17"/>
        </w:rPr>
        <w:t>孟协中，席金冲，李力平等.</w:t>
      </w:r>
      <w:r>
        <w:rPr>
          <w:rFonts w:ascii="宋体" w:eastAsia="宋体" w:hAnsi="宋体" w:cs="宋体"/>
          <w:spacing w:val="21"/>
          <w:sz w:val="17"/>
          <w:szCs w:val="17"/>
        </w:rPr>
        <w:t xml:space="preserve"> </w:t>
      </w:r>
      <w:r>
        <w:rPr>
          <w:rFonts w:ascii="宋体" w:eastAsia="宋体" w:hAnsi="宋体" w:cs="宋体"/>
          <w:spacing w:val="-7"/>
          <w:sz w:val="17"/>
          <w:szCs w:val="17"/>
        </w:rPr>
        <w:t>1999.枸杞多糖化学研究的现状.宁夏农林科技，4:22～25</w:t>
      </w:r>
    </w:p>
    <w:p w:rsidR="00EA40A3" w:rsidRDefault="00E86C16">
      <w:pPr>
        <w:spacing w:before="47" w:line="216" w:lineRule="auto"/>
        <w:rPr>
          <w:rFonts w:ascii="宋体" w:eastAsia="宋体" w:hAnsi="宋体" w:cs="宋体"/>
          <w:sz w:val="17"/>
          <w:szCs w:val="17"/>
        </w:rPr>
      </w:pPr>
      <w:r>
        <w:rPr>
          <w:rFonts w:ascii="宋体" w:eastAsia="宋体" w:hAnsi="宋体" w:cs="宋体"/>
          <w:spacing w:val="-4"/>
          <w:sz w:val="17"/>
          <w:szCs w:val="17"/>
        </w:rPr>
        <w:t>塞泽尔</w:t>
      </w:r>
      <w:r>
        <w:rPr>
          <w:rFonts w:ascii="宋体" w:eastAsia="宋体" w:hAnsi="宋体" w:cs="宋体"/>
          <w:spacing w:val="-39"/>
          <w:sz w:val="17"/>
          <w:szCs w:val="17"/>
        </w:rPr>
        <w:t xml:space="preserve"> </w:t>
      </w:r>
      <w:r>
        <w:rPr>
          <w:rFonts w:ascii="宋体" w:eastAsia="宋体" w:hAnsi="宋体" w:cs="宋体"/>
          <w:spacing w:val="-4"/>
          <w:sz w:val="17"/>
          <w:szCs w:val="17"/>
        </w:rPr>
        <w:t>F</w:t>
      </w:r>
      <w:r>
        <w:rPr>
          <w:rFonts w:ascii="宋体" w:eastAsia="宋体" w:hAnsi="宋体" w:cs="宋体"/>
          <w:spacing w:val="7"/>
          <w:sz w:val="17"/>
          <w:szCs w:val="17"/>
        </w:rPr>
        <w:t xml:space="preserve"> </w:t>
      </w:r>
      <w:r>
        <w:rPr>
          <w:rFonts w:ascii="宋体" w:eastAsia="宋体" w:hAnsi="宋体" w:cs="宋体"/>
          <w:spacing w:val="-4"/>
          <w:sz w:val="17"/>
          <w:szCs w:val="17"/>
        </w:rPr>
        <w:t>S,</w:t>
      </w:r>
      <w:r>
        <w:rPr>
          <w:rFonts w:ascii="宋体" w:eastAsia="宋体" w:hAnsi="宋体" w:cs="宋体"/>
          <w:spacing w:val="-31"/>
          <w:sz w:val="17"/>
          <w:szCs w:val="17"/>
        </w:rPr>
        <w:t xml:space="preserve"> </w:t>
      </w:r>
      <w:r>
        <w:rPr>
          <w:rFonts w:ascii="宋体" w:eastAsia="宋体" w:hAnsi="宋体" w:cs="宋体"/>
          <w:spacing w:val="-4"/>
          <w:sz w:val="17"/>
          <w:szCs w:val="17"/>
        </w:rPr>
        <w:t>惠特尼E</w:t>
      </w:r>
      <w:r>
        <w:rPr>
          <w:rFonts w:ascii="宋体" w:eastAsia="宋体" w:hAnsi="宋体" w:cs="宋体"/>
          <w:spacing w:val="85"/>
          <w:sz w:val="17"/>
          <w:szCs w:val="17"/>
        </w:rPr>
        <w:t xml:space="preserve"> </w:t>
      </w:r>
      <w:r>
        <w:rPr>
          <w:rFonts w:ascii="宋体" w:eastAsia="宋体" w:hAnsi="宋体" w:cs="宋体"/>
          <w:spacing w:val="-4"/>
          <w:sz w:val="17"/>
          <w:szCs w:val="17"/>
        </w:rPr>
        <w:t>N.2004.</w:t>
      </w:r>
      <w:r>
        <w:rPr>
          <w:rFonts w:ascii="宋体" w:eastAsia="宋体" w:hAnsi="宋体" w:cs="宋体"/>
          <w:spacing w:val="-19"/>
          <w:sz w:val="17"/>
          <w:szCs w:val="17"/>
        </w:rPr>
        <w:t xml:space="preserve"> </w:t>
      </w:r>
      <w:r>
        <w:rPr>
          <w:rFonts w:ascii="宋体" w:eastAsia="宋体" w:hAnsi="宋体" w:cs="宋体"/>
          <w:spacing w:val="-4"/>
          <w:sz w:val="17"/>
          <w:szCs w:val="17"/>
        </w:rPr>
        <w:t>营养学</w:t>
      </w:r>
      <w:r>
        <w:rPr>
          <w:rFonts w:ascii="宋体" w:eastAsia="宋体" w:hAnsi="宋体" w:cs="宋体"/>
          <w:spacing w:val="-73"/>
          <w:sz w:val="17"/>
          <w:szCs w:val="17"/>
        </w:rPr>
        <w:t xml:space="preserve"> </w:t>
      </w:r>
      <w:r>
        <w:rPr>
          <w:rFonts w:ascii="宋体" w:eastAsia="宋体" w:hAnsi="宋体" w:cs="宋体"/>
          <w:spacing w:val="7"/>
          <w:sz w:val="17"/>
          <w:szCs w:val="17"/>
          <w:u w:val="single"/>
        </w:rPr>
        <w:t xml:space="preserve">     </w:t>
      </w:r>
      <w:r>
        <w:rPr>
          <w:rFonts w:ascii="宋体" w:eastAsia="宋体" w:hAnsi="宋体" w:cs="宋体"/>
          <w:spacing w:val="-65"/>
          <w:sz w:val="17"/>
          <w:szCs w:val="17"/>
        </w:rPr>
        <w:t xml:space="preserve"> </w:t>
      </w:r>
      <w:r>
        <w:rPr>
          <w:rFonts w:ascii="宋体" w:eastAsia="宋体" w:hAnsi="宋体" w:cs="宋体"/>
          <w:spacing w:val="-4"/>
          <w:sz w:val="17"/>
          <w:szCs w:val="17"/>
        </w:rPr>
        <w:t>概念与争论.第8版.王希成主译.北京：清华</w:t>
      </w:r>
      <w:r>
        <w:rPr>
          <w:rFonts w:ascii="宋体" w:eastAsia="宋体" w:hAnsi="宋体" w:cs="宋体"/>
          <w:spacing w:val="-5"/>
          <w:sz w:val="17"/>
          <w:szCs w:val="17"/>
        </w:rPr>
        <w:t>大学出版社</w:t>
      </w:r>
    </w:p>
    <w:p w:rsidR="00EA40A3" w:rsidRDefault="00E86C16">
      <w:pPr>
        <w:spacing w:before="100"/>
        <w:ind w:left="159"/>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82</w:t>
      </w:r>
      <w:r>
        <w:rPr>
          <w:rFonts w:ascii="宋体" w:eastAsia="宋体" w:hAnsi="宋体" w:cs="宋体"/>
          <w:spacing w:val="49"/>
          <w:sz w:val="17"/>
          <w:szCs w:val="17"/>
        </w:rPr>
        <w:t xml:space="preserve"> </w:t>
      </w:r>
      <w:r>
        <w:rPr>
          <w:rFonts w:ascii="宋体" w:eastAsia="宋体" w:hAnsi="宋体" w:cs="宋体"/>
          <w:spacing w:val="-26"/>
          <w:sz w:val="17"/>
          <w:szCs w:val="17"/>
        </w:rPr>
        <w:t>·</w:t>
      </w:r>
    </w:p>
    <w:p w:rsidR="00EA40A3" w:rsidRDefault="00EA40A3">
      <w:pPr>
        <w:sectPr w:rsidR="00EA40A3">
          <w:footerReference w:type="default" r:id="rId74"/>
          <w:pgSz w:w="9220" w:h="13360"/>
          <w:pgMar w:top="400" w:right="1102" w:bottom="400" w:left="840" w:header="0" w:footer="0" w:gutter="0"/>
          <w:cols w:space="720"/>
        </w:sectPr>
      </w:pPr>
    </w:p>
    <w:p w:rsidR="00EA40A3" w:rsidRDefault="00EA40A3">
      <w:pPr>
        <w:spacing w:line="269" w:lineRule="auto"/>
      </w:pPr>
    </w:p>
    <w:p w:rsidR="00EA40A3" w:rsidRDefault="00EA40A3">
      <w:pPr>
        <w:spacing w:line="270" w:lineRule="auto"/>
      </w:pPr>
    </w:p>
    <w:p w:rsidR="00EA40A3" w:rsidRDefault="00E86C16">
      <w:pPr>
        <w:spacing w:before="52" w:line="269" w:lineRule="auto"/>
        <w:ind w:left="170" w:hanging="170"/>
        <w:rPr>
          <w:rFonts w:ascii="宋体" w:eastAsia="宋体" w:hAnsi="宋体" w:cs="宋体"/>
          <w:sz w:val="16"/>
          <w:szCs w:val="16"/>
        </w:rPr>
      </w:pPr>
      <w:r>
        <w:rPr>
          <w:rFonts w:ascii="宋体" w:eastAsia="宋体" w:hAnsi="宋体" w:cs="宋体"/>
          <w:spacing w:val="1"/>
          <w:sz w:val="16"/>
          <w:szCs w:val="16"/>
        </w:rPr>
        <w:t>石峰，姬胜利，迟延青等.2003.低分子肝素的制备方法及其结构与生物活性的关系.</w:t>
      </w:r>
      <w:r>
        <w:rPr>
          <w:rFonts w:ascii="宋体" w:eastAsia="宋体" w:hAnsi="宋体" w:cs="宋体"/>
          <w:sz w:val="16"/>
          <w:szCs w:val="16"/>
        </w:rPr>
        <w:t xml:space="preserve">中国生化药物杂志， </w:t>
      </w:r>
      <w:r>
        <w:rPr>
          <w:rFonts w:ascii="宋体" w:eastAsia="宋体" w:hAnsi="宋体" w:cs="宋体"/>
          <w:spacing w:val="-1"/>
          <w:sz w:val="16"/>
          <w:szCs w:val="16"/>
        </w:rPr>
        <w:t>24(2):101～105</w:t>
      </w:r>
    </w:p>
    <w:p w:rsidR="00EA40A3" w:rsidRDefault="00E86C16">
      <w:pPr>
        <w:spacing w:before="55" w:line="219" w:lineRule="auto"/>
        <w:rPr>
          <w:rFonts w:ascii="宋体" w:eastAsia="宋体" w:hAnsi="宋体" w:cs="宋体"/>
          <w:sz w:val="16"/>
          <w:szCs w:val="16"/>
        </w:rPr>
      </w:pPr>
      <w:r>
        <w:rPr>
          <w:rFonts w:ascii="宋体" w:eastAsia="宋体" w:hAnsi="宋体" w:cs="宋体"/>
          <w:spacing w:val="3"/>
          <w:sz w:val="16"/>
          <w:szCs w:val="16"/>
        </w:rPr>
        <w:t>孙远明，余群力.2002.食品营养学.北京：中国农业大学出版社</w:t>
      </w:r>
    </w:p>
    <w:p w:rsidR="00EA40A3" w:rsidRDefault="00E86C16">
      <w:pPr>
        <w:spacing w:before="59" w:line="250" w:lineRule="exact"/>
        <w:rPr>
          <w:rFonts w:ascii="宋体" w:eastAsia="宋体" w:hAnsi="宋体" w:cs="宋体"/>
          <w:sz w:val="16"/>
          <w:szCs w:val="16"/>
        </w:rPr>
      </w:pPr>
      <w:r>
        <w:rPr>
          <w:rFonts w:ascii="宋体" w:eastAsia="宋体" w:hAnsi="宋体" w:cs="宋体"/>
          <w:spacing w:val="9"/>
          <w:position w:val="6"/>
          <w:sz w:val="16"/>
          <w:szCs w:val="16"/>
        </w:rPr>
        <w:t>汪玲玲，钟士清等.2003.虫草多糖研究综述</w:t>
      </w:r>
      <w:r>
        <w:rPr>
          <w:rFonts w:ascii="宋体" w:eastAsia="宋体" w:hAnsi="宋体" w:cs="宋体"/>
          <w:spacing w:val="8"/>
          <w:position w:val="6"/>
          <w:sz w:val="16"/>
          <w:szCs w:val="16"/>
        </w:rPr>
        <w:t>.微生物学杂志，23(1):43~45</w:t>
      </w:r>
    </w:p>
    <w:p w:rsidR="00EA40A3" w:rsidRDefault="00E86C16">
      <w:pPr>
        <w:spacing w:line="219" w:lineRule="auto"/>
        <w:rPr>
          <w:rFonts w:ascii="宋体" w:eastAsia="宋体" w:hAnsi="宋体" w:cs="宋体"/>
          <w:sz w:val="16"/>
          <w:szCs w:val="16"/>
        </w:rPr>
      </w:pPr>
      <w:r>
        <w:rPr>
          <w:rFonts w:ascii="宋体" w:eastAsia="宋体" w:hAnsi="宋体" w:cs="宋体"/>
          <w:spacing w:val="3"/>
          <w:sz w:val="16"/>
          <w:szCs w:val="16"/>
        </w:rPr>
        <w:t>王尔茂.2004.食品营养与卫生.北京：中国轻工业出版社</w:t>
      </w:r>
    </w:p>
    <w:p w:rsidR="00EA40A3" w:rsidRDefault="00E86C16">
      <w:pPr>
        <w:spacing w:before="59" w:line="257" w:lineRule="auto"/>
        <w:ind w:left="170" w:right="20" w:hanging="170"/>
        <w:rPr>
          <w:rFonts w:ascii="宋体" w:eastAsia="宋体" w:hAnsi="宋体" w:cs="宋体"/>
          <w:sz w:val="16"/>
          <w:szCs w:val="16"/>
        </w:rPr>
      </w:pPr>
      <w:r>
        <w:rPr>
          <w:rFonts w:ascii="宋体" w:eastAsia="宋体" w:hAnsi="宋体" w:cs="宋体"/>
          <w:spacing w:val="11"/>
          <w:sz w:val="16"/>
          <w:szCs w:val="16"/>
        </w:rPr>
        <w:t>王建华，王汉中，张民等.2002.枸杞多糖组分3对小鼠抗脂质过氧化作用的影响.</w:t>
      </w:r>
      <w:r>
        <w:rPr>
          <w:rFonts w:ascii="宋体" w:eastAsia="宋体" w:hAnsi="宋体" w:cs="宋体"/>
          <w:spacing w:val="-1"/>
          <w:sz w:val="16"/>
          <w:szCs w:val="16"/>
        </w:rPr>
        <w:t xml:space="preserve"> </w:t>
      </w:r>
      <w:r>
        <w:rPr>
          <w:rFonts w:ascii="宋体" w:eastAsia="宋体" w:hAnsi="宋体" w:cs="宋体"/>
          <w:spacing w:val="11"/>
          <w:sz w:val="16"/>
          <w:szCs w:val="16"/>
        </w:rPr>
        <w:t>中</w:t>
      </w:r>
      <w:r>
        <w:rPr>
          <w:rFonts w:ascii="宋体" w:eastAsia="宋体" w:hAnsi="宋体" w:cs="宋体"/>
          <w:spacing w:val="10"/>
          <w:sz w:val="16"/>
          <w:szCs w:val="16"/>
        </w:rPr>
        <w:t>国兽医学报，</w:t>
      </w:r>
      <w:r>
        <w:rPr>
          <w:rFonts w:ascii="宋体" w:eastAsia="宋体" w:hAnsi="宋体" w:cs="宋体"/>
          <w:sz w:val="16"/>
          <w:szCs w:val="16"/>
        </w:rPr>
        <w:t xml:space="preserve"> </w:t>
      </w:r>
      <w:r>
        <w:rPr>
          <w:rFonts w:ascii="宋体" w:eastAsia="宋体" w:hAnsi="宋体" w:cs="宋体"/>
          <w:spacing w:val="-1"/>
          <w:sz w:val="16"/>
          <w:szCs w:val="16"/>
        </w:rPr>
        <w:t>22(3):267～268</w:t>
      </w:r>
    </w:p>
    <w:p w:rsidR="00EA40A3" w:rsidRDefault="00E86C16">
      <w:pPr>
        <w:spacing w:before="85" w:line="250" w:lineRule="exact"/>
        <w:rPr>
          <w:rFonts w:ascii="宋体" w:eastAsia="宋体" w:hAnsi="宋体" w:cs="宋体"/>
          <w:sz w:val="16"/>
          <w:szCs w:val="16"/>
        </w:rPr>
      </w:pPr>
      <w:r>
        <w:rPr>
          <w:rFonts w:ascii="宋体" w:eastAsia="宋体" w:hAnsi="宋体" w:cs="宋体"/>
          <w:spacing w:val="2"/>
          <w:position w:val="6"/>
          <w:sz w:val="16"/>
          <w:szCs w:val="16"/>
        </w:rPr>
        <w:t>王昕，李建桥，吕子珍.2003.饮食健康与饮食文化.北京：化</w:t>
      </w:r>
      <w:r>
        <w:rPr>
          <w:rFonts w:ascii="宋体" w:eastAsia="宋体" w:hAnsi="宋体" w:cs="宋体"/>
          <w:spacing w:val="1"/>
          <w:position w:val="6"/>
          <w:sz w:val="16"/>
          <w:szCs w:val="16"/>
        </w:rPr>
        <w:t>学工业出版社</w:t>
      </w:r>
    </w:p>
    <w:p w:rsidR="00EA40A3" w:rsidRDefault="00E86C16">
      <w:pPr>
        <w:spacing w:before="1" w:line="219" w:lineRule="auto"/>
        <w:rPr>
          <w:rFonts w:ascii="宋体" w:eastAsia="宋体" w:hAnsi="宋体" w:cs="宋体"/>
          <w:sz w:val="16"/>
          <w:szCs w:val="16"/>
        </w:rPr>
      </w:pPr>
      <w:r>
        <w:rPr>
          <w:rFonts w:ascii="宋体" w:eastAsia="宋体" w:hAnsi="宋体" w:cs="宋体"/>
          <w:spacing w:val="8"/>
          <w:sz w:val="16"/>
          <w:szCs w:val="16"/>
        </w:rPr>
        <w:t>吴坤.2003.营养与食品卫生学.第5版.北京：人民卫生出版社</w:t>
      </w:r>
    </w:p>
    <w:p w:rsidR="00EA40A3" w:rsidRDefault="00E86C16">
      <w:pPr>
        <w:spacing w:before="59" w:line="254" w:lineRule="auto"/>
        <w:ind w:right="999"/>
        <w:rPr>
          <w:rFonts w:ascii="宋体" w:eastAsia="宋体" w:hAnsi="宋体" w:cs="宋体"/>
          <w:sz w:val="16"/>
          <w:szCs w:val="16"/>
        </w:rPr>
      </w:pPr>
      <w:r>
        <w:rPr>
          <w:rFonts w:ascii="宋体" w:eastAsia="宋体" w:hAnsi="宋体" w:cs="宋体"/>
          <w:spacing w:val="5"/>
          <w:sz w:val="16"/>
          <w:szCs w:val="16"/>
        </w:rPr>
        <w:t>徐庆阳，黎兴荣，石墨等。2004.硫酸软骨素研究现状.生物技术通讯，15(6):633～635</w:t>
      </w:r>
      <w:r>
        <w:rPr>
          <w:rFonts w:ascii="宋体" w:eastAsia="宋体" w:hAnsi="宋体" w:cs="宋体"/>
          <w:spacing w:val="4"/>
          <w:sz w:val="16"/>
          <w:szCs w:val="16"/>
        </w:rPr>
        <w:t xml:space="preserve"> </w:t>
      </w:r>
      <w:r>
        <w:rPr>
          <w:rFonts w:ascii="宋体" w:eastAsia="宋体" w:hAnsi="宋体" w:cs="宋体"/>
          <w:spacing w:val="5"/>
          <w:sz w:val="16"/>
          <w:szCs w:val="16"/>
        </w:rPr>
        <w:t>姚汉亭.1992.食品营养学.北京：中国农业出版社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3"/>
          <w:sz w:val="16"/>
          <w:szCs w:val="16"/>
        </w:rPr>
        <w:t>易美华等.2000.食品营养与健康.北京：中国轻工业出版社</w:t>
      </w:r>
    </w:p>
    <w:p w:rsidR="00EA40A3" w:rsidRDefault="00E86C16">
      <w:pPr>
        <w:spacing w:before="60" w:line="260" w:lineRule="auto"/>
        <w:ind w:left="170" w:right="27" w:hanging="170"/>
        <w:rPr>
          <w:rFonts w:ascii="宋体" w:eastAsia="宋体" w:hAnsi="宋体" w:cs="宋体"/>
          <w:sz w:val="16"/>
          <w:szCs w:val="16"/>
        </w:rPr>
      </w:pPr>
      <w:r>
        <w:rPr>
          <w:rFonts w:ascii="宋体" w:eastAsia="宋体" w:hAnsi="宋体" w:cs="宋体"/>
          <w:spacing w:val="13"/>
          <w:sz w:val="16"/>
          <w:szCs w:val="16"/>
        </w:rPr>
        <w:t>张民，王建华，甘璐等.2003.枸杞多糖-4组成分析及其生理活性研究.食品与发酵工业，29(2):</w:t>
      </w:r>
      <w:r>
        <w:rPr>
          <w:rFonts w:ascii="宋体" w:eastAsia="宋体" w:hAnsi="宋体" w:cs="宋体"/>
          <w:spacing w:val="14"/>
          <w:sz w:val="16"/>
          <w:szCs w:val="16"/>
        </w:rPr>
        <w:t xml:space="preserve"> </w:t>
      </w:r>
      <w:r>
        <w:rPr>
          <w:rFonts w:ascii="宋体" w:eastAsia="宋体" w:hAnsi="宋体" w:cs="宋体"/>
          <w:spacing w:val="-2"/>
          <w:sz w:val="16"/>
          <w:szCs w:val="16"/>
        </w:rPr>
        <w:t>22～25</w:t>
      </w:r>
    </w:p>
    <w:p w:rsidR="00EA40A3" w:rsidRDefault="00E86C16">
      <w:pPr>
        <w:spacing w:before="90" w:line="219" w:lineRule="auto"/>
        <w:rPr>
          <w:rFonts w:ascii="宋体" w:eastAsia="宋体" w:hAnsi="宋体" w:cs="宋体"/>
          <w:sz w:val="16"/>
          <w:szCs w:val="16"/>
        </w:rPr>
      </w:pPr>
      <w:r>
        <w:rPr>
          <w:rFonts w:ascii="宋体" w:eastAsia="宋体" w:hAnsi="宋体" w:cs="宋体"/>
          <w:spacing w:val="8"/>
          <w:sz w:val="16"/>
          <w:szCs w:val="16"/>
        </w:rPr>
        <w:t>郑建仙.1999.功能性食品.第2版.北京：中国轻工业出版社</w:t>
      </w:r>
    </w:p>
    <w:p w:rsidR="00EA40A3" w:rsidRDefault="00E86C16">
      <w:pPr>
        <w:spacing w:before="69" w:line="219" w:lineRule="auto"/>
        <w:rPr>
          <w:rFonts w:ascii="宋体" w:eastAsia="宋体" w:hAnsi="宋体" w:cs="宋体"/>
          <w:sz w:val="16"/>
          <w:szCs w:val="16"/>
        </w:rPr>
      </w:pPr>
      <w:r>
        <w:rPr>
          <w:rFonts w:ascii="宋体" w:eastAsia="宋体" w:hAnsi="宋体" w:cs="宋体"/>
          <w:sz w:val="16"/>
          <w:szCs w:val="16"/>
        </w:rPr>
        <w:t>中国营养学会.2000.中国居民膳食营养</w:t>
      </w:r>
      <w:r>
        <w:rPr>
          <w:rFonts w:ascii="宋体" w:eastAsia="宋体" w:hAnsi="宋体" w:cs="宋体"/>
          <w:spacing w:val="-1"/>
          <w:sz w:val="16"/>
          <w:szCs w:val="16"/>
        </w:rPr>
        <w:t>素参考摄入量</w:t>
      </w:r>
      <w:r>
        <w:rPr>
          <w:rFonts w:ascii="宋体" w:eastAsia="宋体" w:hAnsi="宋体" w:cs="宋体"/>
          <w:spacing w:val="-7"/>
          <w:sz w:val="16"/>
          <w:szCs w:val="16"/>
        </w:rPr>
        <w:t xml:space="preserve"> </w:t>
      </w:r>
      <w:r>
        <w:rPr>
          <w:rFonts w:ascii="宋体" w:eastAsia="宋体" w:hAnsi="宋体" w:cs="宋体"/>
          <w:spacing w:val="-1"/>
          <w:sz w:val="16"/>
          <w:szCs w:val="16"/>
        </w:rPr>
        <w:t>(</w:t>
      </w:r>
      <w:r>
        <w:rPr>
          <w:rFonts w:ascii="宋体" w:eastAsia="宋体" w:hAnsi="宋体" w:cs="宋体"/>
          <w:sz w:val="16"/>
          <w:szCs w:val="16"/>
        </w:rPr>
        <w:t>Chinese</w:t>
      </w:r>
      <w:r>
        <w:rPr>
          <w:rFonts w:ascii="宋体" w:eastAsia="宋体" w:hAnsi="宋体" w:cs="宋体"/>
          <w:spacing w:val="3"/>
          <w:sz w:val="16"/>
          <w:szCs w:val="16"/>
        </w:rPr>
        <w:t xml:space="preserve"> </w:t>
      </w:r>
      <w:r>
        <w:rPr>
          <w:rFonts w:ascii="宋体" w:eastAsia="宋体" w:hAnsi="宋体" w:cs="宋体"/>
          <w:sz w:val="16"/>
          <w:szCs w:val="16"/>
        </w:rPr>
        <w:t>DRIs</w:t>
      </w:r>
      <w:r>
        <w:rPr>
          <w:rFonts w:ascii="宋体" w:eastAsia="宋体" w:hAnsi="宋体" w:cs="宋体"/>
          <w:spacing w:val="-1"/>
          <w:sz w:val="16"/>
          <w:szCs w:val="16"/>
        </w:rPr>
        <w:t>).</w:t>
      </w:r>
      <w:r>
        <w:rPr>
          <w:rFonts w:ascii="宋体" w:eastAsia="宋体" w:hAnsi="宋体" w:cs="宋体"/>
          <w:spacing w:val="-46"/>
          <w:sz w:val="16"/>
          <w:szCs w:val="16"/>
        </w:rPr>
        <w:t xml:space="preserve"> </w:t>
      </w:r>
      <w:r>
        <w:rPr>
          <w:rFonts w:ascii="宋体" w:eastAsia="宋体" w:hAnsi="宋体" w:cs="宋体"/>
          <w:spacing w:val="-1"/>
          <w:sz w:val="16"/>
          <w:szCs w:val="16"/>
        </w:rPr>
        <w:t>北京：中国轻工业出版社</w:t>
      </w:r>
    </w:p>
    <w:p w:rsidR="00EA40A3" w:rsidRDefault="00E86C16">
      <w:pPr>
        <w:spacing w:before="77" w:line="266" w:lineRule="auto"/>
        <w:ind w:left="170" w:right="79" w:hanging="170"/>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Cataldo</w:t>
      </w:r>
      <w:r>
        <w:rPr>
          <w:rFonts w:ascii="Times New Roman" w:eastAsia="Times New Roman" w:hAnsi="Times New Roman" w:cs="Times New Roman"/>
          <w:spacing w:val="19"/>
          <w:sz w:val="16"/>
          <w:szCs w:val="16"/>
        </w:rPr>
        <w:t xml:space="preserve">  </w:t>
      </w:r>
      <w:r>
        <w:rPr>
          <w:rFonts w:ascii="Times New Roman" w:eastAsia="Times New Roman" w:hAnsi="Times New Roman" w:cs="Times New Roman"/>
          <w:spacing w:val="-1"/>
          <w:sz w:val="16"/>
          <w:szCs w:val="16"/>
        </w:rPr>
        <w:t>C</w:t>
      </w:r>
      <w:r>
        <w:rPr>
          <w:rFonts w:ascii="Times New Roman" w:eastAsia="Times New Roman" w:hAnsi="Times New Roman" w:cs="Times New Roman"/>
          <w:spacing w:val="15"/>
          <w:sz w:val="16"/>
          <w:szCs w:val="16"/>
        </w:rPr>
        <w:t xml:space="preserve">  </w:t>
      </w:r>
      <w:r>
        <w:rPr>
          <w:rFonts w:ascii="Times New Roman" w:eastAsia="Times New Roman" w:hAnsi="Times New Roman" w:cs="Times New Roman"/>
          <w:spacing w:val="-1"/>
          <w:sz w:val="16"/>
          <w:szCs w:val="16"/>
        </w:rPr>
        <w:t>B.</w:t>
      </w:r>
      <w:r>
        <w:rPr>
          <w:rFonts w:ascii="Times New Roman" w:eastAsia="Times New Roman" w:hAnsi="Times New Roman" w:cs="Times New Roman"/>
          <w:spacing w:val="12"/>
          <w:w w:val="101"/>
          <w:sz w:val="16"/>
          <w:szCs w:val="16"/>
        </w:rPr>
        <w:t xml:space="preserve">  </w:t>
      </w:r>
      <w:r>
        <w:rPr>
          <w:rFonts w:ascii="Times New Roman" w:eastAsia="Times New Roman" w:hAnsi="Times New Roman" w:cs="Times New Roman"/>
          <w:spacing w:val="-1"/>
          <w:sz w:val="16"/>
          <w:szCs w:val="16"/>
        </w:rPr>
        <w:t>Nyenhuis</w:t>
      </w:r>
      <w:r>
        <w:rPr>
          <w:rFonts w:ascii="Times New Roman" w:eastAsia="Times New Roman" w:hAnsi="Times New Roman" w:cs="Times New Roman"/>
          <w:spacing w:val="15"/>
          <w:w w:val="101"/>
          <w:sz w:val="16"/>
          <w:szCs w:val="16"/>
        </w:rPr>
        <w:t xml:space="preserve">  </w:t>
      </w:r>
      <w:r>
        <w:rPr>
          <w:rFonts w:ascii="Times New Roman" w:eastAsia="Times New Roman" w:hAnsi="Times New Roman" w:cs="Times New Roman"/>
          <w:spacing w:val="-1"/>
          <w:sz w:val="16"/>
          <w:szCs w:val="16"/>
        </w:rPr>
        <w:t>J</w:t>
      </w:r>
      <w:r>
        <w:rPr>
          <w:rFonts w:ascii="Times New Roman" w:eastAsia="Times New Roman" w:hAnsi="Times New Roman" w:cs="Times New Roman"/>
          <w:spacing w:val="15"/>
          <w:sz w:val="16"/>
          <w:szCs w:val="16"/>
        </w:rPr>
        <w:t xml:space="preserve">  </w:t>
      </w:r>
      <w:r>
        <w:rPr>
          <w:rFonts w:ascii="Times New Roman" w:eastAsia="Times New Roman" w:hAnsi="Times New Roman" w:cs="Times New Roman"/>
          <w:spacing w:val="-1"/>
          <w:sz w:val="16"/>
          <w:szCs w:val="16"/>
        </w:rPr>
        <w:t>R.</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1989.</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Nutrition</w:t>
      </w:r>
      <w:r>
        <w:rPr>
          <w:rFonts w:ascii="Times New Roman" w:eastAsia="Times New Roman" w:hAnsi="Times New Roman" w:cs="Times New Roman"/>
          <w:spacing w:val="12"/>
          <w:w w:val="101"/>
          <w:sz w:val="16"/>
          <w:szCs w:val="16"/>
        </w:rPr>
        <w:t xml:space="preserve">   </w:t>
      </w:r>
      <w:r>
        <w:rPr>
          <w:rFonts w:ascii="Times New Roman" w:eastAsia="Times New Roman" w:hAnsi="Times New Roman" w:cs="Times New Roman"/>
          <w:spacing w:val="-1"/>
          <w:sz w:val="16"/>
          <w:szCs w:val="16"/>
        </w:rPr>
        <w:t>&amp;</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pacing w:val="-1"/>
          <w:sz w:val="16"/>
          <w:szCs w:val="16"/>
        </w:rPr>
        <w:t>diet</w:t>
      </w:r>
      <w:r>
        <w:rPr>
          <w:rFonts w:ascii="Times New Roman" w:eastAsia="Times New Roman" w:hAnsi="Times New Roman" w:cs="Times New Roman"/>
          <w:spacing w:val="10"/>
          <w:w w:val="101"/>
          <w:sz w:val="16"/>
          <w:szCs w:val="16"/>
        </w:rPr>
        <w:t xml:space="preserve">   </w:t>
      </w:r>
      <w:r>
        <w:rPr>
          <w:rFonts w:ascii="Times New Roman" w:eastAsia="Times New Roman" w:hAnsi="Times New Roman" w:cs="Times New Roman"/>
          <w:spacing w:val="-1"/>
          <w:sz w:val="16"/>
          <w:szCs w:val="16"/>
        </w:rPr>
        <w:t>therapy.</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Second</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pacing w:val="-1"/>
          <w:sz w:val="16"/>
          <w:szCs w:val="16"/>
        </w:rPr>
        <w:t>edition.</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New</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York:West</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Publishing</w:t>
      </w:r>
      <w:r>
        <w:rPr>
          <w:rFonts w:ascii="Times New Roman" w:eastAsia="Times New Roman" w:hAnsi="Times New Roman" w:cs="Times New Roman"/>
          <w:spacing w:val="13"/>
          <w:sz w:val="16"/>
          <w:szCs w:val="16"/>
        </w:rPr>
        <w:t xml:space="preserve"> </w:t>
      </w:r>
      <w:r>
        <w:rPr>
          <w:rFonts w:ascii="Times New Roman" w:eastAsia="Times New Roman" w:hAnsi="Times New Roman" w:cs="Times New Roman"/>
          <w:spacing w:val="-1"/>
          <w:sz w:val="16"/>
          <w:szCs w:val="16"/>
        </w:rPr>
        <w:t>Company</w:t>
      </w:r>
    </w:p>
    <w:p w:rsidR="00EA40A3" w:rsidRDefault="00E86C16">
      <w:pPr>
        <w:spacing w:before="113" w:line="255" w:lineRule="auto"/>
        <w:ind w:left="170" w:right="73" w:hanging="170"/>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Robinson</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C</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H,Lawler</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M</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R</w:t>
      </w:r>
      <w:r>
        <w:rPr>
          <w:rFonts w:ascii="Times New Roman" w:eastAsia="Times New Roman" w:hAnsi="Times New Roman" w:cs="Times New Roman"/>
          <w:spacing w:val="-2"/>
          <w:sz w:val="16"/>
          <w:szCs w:val="16"/>
        </w:rPr>
        <w:t>,</w:t>
      </w:r>
      <w:r>
        <w:rPr>
          <w:rFonts w:ascii="Times New Roman" w:eastAsia="Times New Roman" w:hAnsi="Times New Roman" w:cs="Times New Roman"/>
          <w:spacing w:val="-1"/>
          <w:sz w:val="16"/>
          <w:szCs w:val="16"/>
        </w:rPr>
        <w:t>Chenoweth</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W</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L</w:t>
      </w:r>
      <w:r>
        <w:rPr>
          <w:rFonts w:ascii="Times New Roman" w:eastAsia="Times New Roman" w:hAnsi="Times New Roman" w:cs="Times New Roman"/>
          <w:spacing w:val="-18"/>
          <w:sz w:val="16"/>
          <w:szCs w:val="16"/>
        </w:rPr>
        <w:t xml:space="preserve"> </w:t>
      </w:r>
      <w:r>
        <w:rPr>
          <w:rFonts w:ascii="宋体" w:eastAsia="宋体" w:hAnsi="宋体" w:cs="宋体"/>
          <w:spacing w:val="-2"/>
          <w:sz w:val="16"/>
          <w:szCs w:val="16"/>
        </w:rPr>
        <w:t>。</w:t>
      </w:r>
      <w:r>
        <w:rPr>
          <w:rFonts w:ascii="宋体" w:eastAsia="宋体" w:hAnsi="宋体" w:cs="宋体"/>
          <w:spacing w:val="30"/>
          <w:sz w:val="16"/>
          <w:szCs w:val="16"/>
        </w:rPr>
        <w:t xml:space="preserve"> </w:t>
      </w:r>
      <w:r>
        <w:rPr>
          <w:rFonts w:ascii="Times New Roman" w:eastAsia="Times New Roman" w:hAnsi="Times New Roman" w:cs="Times New Roman"/>
          <w:spacing w:val="-2"/>
          <w:sz w:val="16"/>
          <w:szCs w:val="16"/>
        </w:rPr>
        <w:t>1986.</w:t>
      </w:r>
      <w:r>
        <w:rPr>
          <w:rFonts w:ascii="Times New Roman" w:eastAsia="Times New Roman" w:hAnsi="Times New Roman" w:cs="Times New Roman"/>
          <w:spacing w:val="-1"/>
          <w:sz w:val="16"/>
          <w:szCs w:val="16"/>
        </w:rPr>
        <w:t>Normal</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therapeutic</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nutrition</w:t>
      </w:r>
      <w:r>
        <w:rPr>
          <w:rFonts w:ascii="Times New Roman" w:eastAsia="Times New Roman" w:hAnsi="Times New Roman" w:cs="Times New Roman"/>
          <w:spacing w:val="-2"/>
          <w:sz w:val="16"/>
          <w:szCs w:val="16"/>
        </w:rPr>
        <w:t>.</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Seventeenth</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edi</w:t>
      </w:r>
      <w:r>
        <w:rPr>
          <w:rFonts w:ascii="Times New Roman" w:eastAsia="Times New Roman" w:hAnsi="Times New Roman" w:cs="Times New Roman"/>
          <w:spacing w:val="-2"/>
          <w:sz w:val="16"/>
          <w:szCs w:val="16"/>
        </w:rPr>
        <w:t>-</w:t>
      </w:r>
      <w:r>
        <w:rPr>
          <w:rFonts w:ascii="Times New Roman" w:eastAsia="Times New Roman" w:hAnsi="Times New Roman" w:cs="Times New Roman"/>
          <w:sz w:val="16"/>
          <w:szCs w:val="16"/>
        </w:rPr>
        <w:t xml:space="preserve"> tion</w:t>
      </w:r>
      <w:r>
        <w:rPr>
          <w:rFonts w:ascii="Times New Roman" w:eastAsia="Times New Roman" w:hAnsi="Times New Roman" w:cs="Times New Roman"/>
          <w:spacing w:val="-1"/>
          <w:sz w:val="16"/>
          <w:szCs w:val="16"/>
        </w:rPr>
        <w:t>.</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London</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Cillier</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Macmillan</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P</w:t>
      </w:r>
      <w:r>
        <w:rPr>
          <w:rFonts w:ascii="Times New Roman" w:eastAsia="Times New Roman" w:hAnsi="Times New Roman" w:cs="Times New Roman"/>
          <w:spacing w:val="-1"/>
          <w:sz w:val="16"/>
          <w:szCs w:val="16"/>
        </w:rPr>
        <w:t>ublishing</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Company</w:t>
      </w: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5" w:lineRule="auto"/>
      </w:pPr>
    </w:p>
    <w:p w:rsidR="00EA40A3" w:rsidRDefault="00EA40A3">
      <w:pPr>
        <w:spacing w:line="245" w:lineRule="auto"/>
      </w:pPr>
    </w:p>
    <w:p w:rsidR="00EA40A3" w:rsidRDefault="00EA40A3">
      <w:pPr>
        <w:spacing w:line="245" w:lineRule="auto"/>
      </w:pPr>
    </w:p>
    <w:p w:rsidR="00EA40A3" w:rsidRDefault="00EA40A3">
      <w:pPr>
        <w:spacing w:line="245" w:lineRule="auto"/>
      </w:pPr>
    </w:p>
    <w:p w:rsidR="00EA40A3" w:rsidRDefault="00E86C16">
      <w:pPr>
        <w:spacing w:before="76"/>
        <w:ind w:right="288"/>
        <w:jc w:val="right"/>
        <w:rPr>
          <w:rFonts w:ascii="宋体" w:eastAsia="宋体" w:hAnsi="宋体" w:cs="宋体"/>
          <w:sz w:val="23"/>
          <w:szCs w:val="23"/>
        </w:rPr>
      </w:pPr>
      <w:r>
        <w:rPr>
          <w:rFonts w:ascii="宋体" w:eastAsia="宋体" w:hAnsi="宋体" w:cs="宋体"/>
          <w:spacing w:val="-32"/>
          <w:sz w:val="23"/>
          <w:szCs w:val="23"/>
        </w:rPr>
        <w:t>·</w:t>
      </w:r>
      <w:r>
        <w:rPr>
          <w:rFonts w:ascii="宋体" w:eastAsia="宋体" w:hAnsi="宋体" w:cs="宋体"/>
          <w:spacing w:val="11"/>
          <w:sz w:val="23"/>
          <w:szCs w:val="23"/>
        </w:rPr>
        <w:t xml:space="preserve"> </w:t>
      </w:r>
      <w:r>
        <w:rPr>
          <w:rFonts w:ascii="宋体" w:eastAsia="宋体" w:hAnsi="宋体" w:cs="宋体"/>
          <w:spacing w:val="-32"/>
          <w:sz w:val="23"/>
          <w:szCs w:val="23"/>
        </w:rPr>
        <w:t>83</w:t>
      </w:r>
    </w:p>
    <w:p w:rsidR="00EA40A3" w:rsidRDefault="00EA40A3">
      <w:pPr>
        <w:sectPr w:rsidR="00EA40A3">
          <w:pgSz w:w="9220" w:h="13360"/>
          <w:pgMar w:top="400" w:right="920" w:bottom="400" w:left="979" w:header="0" w:footer="0" w:gutter="0"/>
          <w:cols w:space="720"/>
        </w:sectPr>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A40A3">
      <w:pPr>
        <w:spacing w:line="282" w:lineRule="auto"/>
      </w:pPr>
    </w:p>
    <w:p w:rsidR="00EA40A3" w:rsidRDefault="00E86C16">
      <w:pPr>
        <w:spacing w:before="97" w:line="219" w:lineRule="auto"/>
        <w:ind w:left="2304"/>
        <w:rPr>
          <w:rFonts w:ascii="宋体" w:eastAsia="宋体" w:hAnsi="宋体" w:cs="宋体"/>
          <w:sz w:val="30"/>
          <w:szCs w:val="30"/>
        </w:rPr>
      </w:pPr>
      <w:r>
        <w:rPr>
          <w:rFonts w:ascii="宋体" w:eastAsia="宋体" w:hAnsi="宋体" w:cs="宋体"/>
          <w:b/>
          <w:bCs/>
          <w:spacing w:val="-2"/>
          <w:sz w:val="30"/>
          <w:szCs w:val="30"/>
        </w:rPr>
        <w:t>第</w:t>
      </w:r>
      <w:r>
        <w:rPr>
          <w:rFonts w:ascii="宋体" w:eastAsia="宋体" w:hAnsi="宋体" w:cs="宋体"/>
          <w:spacing w:val="-41"/>
          <w:sz w:val="30"/>
          <w:szCs w:val="30"/>
        </w:rPr>
        <w:t xml:space="preserve"> </w:t>
      </w:r>
      <w:r>
        <w:rPr>
          <w:rFonts w:ascii="宋体" w:eastAsia="宋体" w:hAnsi="宋体" w:cs="宋体"/>
          <w:b/>
          <w:bCs/>
          <w:spacing w:val="-2"/>
          <w:sz w:val="30"/>
          <w:szCs w:val="30"/>
        </w:rPr>
        <w:t>4</w:t>
      </w:r>
      <w:r>
        <w:rPr>
          <w:rFonts w:ascii="宋体" w:eastAsia="宋体" w:hAnsi="宋体" w:cs="宋体"/>
          <w:spacing w:val="-31"/>
          <w:sz w:val="30"/>
          <w:szCs w:val="30"/>
        </w:rPr>
        <w:t xml:space="preserve"> </w:t>
      </w:r>
      <w:r>
        <w:rPr>
          <w:rFonts w:ascii="宋体" w:eastAsia="宋体" w:hAnsi="宋体" w:cs="宋体"/>
          <w:b/>
          <w:bCs/>
          <w:spacing w:val="-2"/>
          <w:sz w:val="30"/>
          <w:szCs w:val="30"/>
        </w:rPr>
        <w:t>章</w:t>
      </w:r>
      <w:r>
        <w:rPr>
          <w:rFonts w:ascii="宋体" w:eastAsia="宋体" w:hAnsi="宋体" w:cs="宋体"/>
          <w:spacing w:val="137"/>
          <w:sz w:val="30"/>
          <w:szCs w:val="30"/>
        </w:rPr>
        <w:t xml:space="preserve"> </w:t>
      </w:r>
      <w:r>
        <w:rPr>
          <w:rFonts w:ascii="宋体" w:eastAsia="宋体" w:hAnsi="宋体" w:cs="宋体"/>
          <w:b/>
          <w:bCs/>
          <w:spacing w:val="-2"/>
          <w:sz w:val="30"/>
          <w:szCs w:val="30"/>
        </w:rPr>
        <w:t>微量营养素</w:t>
      </w:r>
    </w:p>
    <w:p w:rsidR="00EA40A3" w:rsidRDefault="00EA40A3">
      <w:pPr>
        <w:spacing w:line="387" w:lineRule="auto"/>
      </w:pPr>
    </w:p>
    <w:p w:rsidR="00EA40A3" w:rsidRDefault="00E86C16">
      <w:pPr>
        <w:spacing w:before="72" w:line="221" w:lineRule="auto"/>
        <w:ind w:left="3183"/>
        <w:rPr>
          <w:rFonts w:ascii="黑体" w:eastAsia="黑体" w:hAnsi="黑体" w:cs="黑体"/>
          <w:sz w:val="22"/>
          <w:szCs w:val="22"/>
        </w:rPr>
      </w:pPr>
      <w:r>
        <w:rPr>
          <w:rFonts w:ascii="黑体" w:eastAsia="黑体" w:hAnsi="黑体" w:cs="黑体"/>
          <w:b/>
          <w:bCs/>
          <w:spacing w:val="32"/>
          <w:sz w:val="22"/>
          <w:szCs w:val="22"/>
        </w:rPr>
        <w:t>教学目标</w:t>
      </w:r>
    </w:p>
    <w:p w:rsidR="00EA40A3" w:rsidRDefault="00E86C16">
      <w:pPr>
        <w:spacing w:before="186" w:line="243" w:lineRule="auto"/>
        <w:ind w:right="5" w:firstLine="540"/>
        <w:rPr>
          <w:rFonts w:ascii="楷体" w:eastAsia="楷体" w:hAnsi="楷体" w:cs="楷体"/>
          <w:sz w:val="22"/>
          <w:szCs w:val="22"/>
        </w:rPr>
      </w:pPr>
      <w:r>
        <w:rPr>
          <w:rFonts w:ascii="楷体" w:eastAsia="楷体" w:hAnsi="楷体" w:cs="楷体"/>
          <w:spacing w:val="-11"/>
          <w:sz w:val="22"/>
          <w:szCs w:val="22"/>
        </w:rPr>
        <w:t>·</w:t>
      </w:r>
      <w:r>
        <w:rPr>
          <w:rFonts w:ascii="楷体" w:eastAsia="楷体" w:hAnsi="楷体" w:cs="楷体"/>
          <w:spacing w:val="-55"/>
          <w:sz w:val="22"/>
          <w:szCs w:val="22"/>
        </w:rPr>
        <w:t xml:space="preserve"> </w:t>
      </w:r>
      <w:r>
        <w:rPr>
          <w:rFonts w:ascii="楷体" w:eastAsia="楷体" w:hAnsi="楷体" w:cs="楷体"/>
          <w:spacing w:val="-11"/>
          <w:sz w:val="22"/>
          <w:szCs w:val="22"/>
        </w:rPr>
        <w:t>了解并掌握人体中重要的常量及微量矿物营养素的种类、生理功能、吸</w:t>
      </w:r>
      <w:r>
        <w:rPr>
          <w:rFonts w:ascii="楷体" w:eastAsia="楷体" w:hAnsi="楷体" w:cs="楷体"/>
          <w:sz w:val="22"/>
          <w:szCs w:val="22"/>
        </w:rPr>
        <w:t xml:space="preserve"> </w:t>
      </w:r>
      <w:r>
        <w:rPr>
          <w:rFonts w:ascii="楷体" w:eastAsia="楷体" w:hAnsi="楷体" w:cs="楷体"/>
          <w:spacing w:val="-21"/>
          <w:sz w:val="22"/>
          <w:szCs w:val="22"/>
        </w:rPr>
        <w:t>收代谢特性、缺乏症、</w:t>
      </w:r>
      <w:r>
        <w:rPr>
          <w:rFonts w:ascii="楷体" w:eastAsia="楷体" w:hAnsi="楷体" w:cs="楷体"/>
          <w:spacing w:val="1"/>
          <w:sz w:val="22"/>
          <w:szCs w:val="22"/>
        </w:rPr>
        <w:t xml:space="preserve"> </w:t>
      </w:r>
      <w:r>
        <w:rPr>
          <w:rFonts w:ascii="楷体" w:eastAsia="楷体" w:hAnsi="楷体" w:cs="楷体"/>
          <w:spacing w:val="-21"/>
          <w:sz w:val="22"/>
          <w:szCs w:val="22"/>
        </w:rPr>
        <w:t>DRI</w:t>
      </w:r>
      <w:r>
        <w:rPr>
          <w:rFonts w:ascii="楷体" w:eastAsia="楷体" w:hAnsi="楷体" w:cs="楷体"/>
          <w:spacing w:val="-10"/>
          <w:sz w:val="22"/>
          <w:szCs w:val="22"/>
        </w:rPr>
        <w:t xml:space="preserve"> </w:t>
      </w:r>
      <w:r>
        <w:rPr>
          <w:rFonts w:ascii="楷体" w:eastAsia="楷体" w:hAnsi="楷体" w:cs="楷体"/>
          <w:spacing w:val="-21"/>
          <w:sz w:val="22"/>
          <w:szCs w:val="22"/>
        </w:rPr>
        <w:t>及食物来源。</w:t>
      </w:r>
    </w:p>
    <w:p w:rsidR="00EA40A3" w:rsidRDefault="00E86C16">
      <w:pPr>
        <w:spacing w:before="40" w:line="222" w:lineRule="auto"/>
        <w:ind w:left="540"/>
        <w:rPr>
          <w:rFonts w:ascii="楷体" w:eastAsia="楷体" w:hAnsi="楷体" w:cs="楷体"/>
          <w:sz w:val="22"/>
          <w:szCs w:val="22"/>
        </w:rPr>
      </w:pPr>
      <w:r>
        <w:rPr>
          <w:rFonts w:ascii="楷体" w:eastAsia="楷体" w:hAnsi="楷体" w:cs="楷体"/>
          <w:spacing w:val="-16"/>
          <w:sz w:val="22"/>
          <w:szCs w:val="22"/>
        </w:rPr>
        <w:t>·</w:t>
      </w:r>
      <w:r>
        <w:rPr>
          <w:rFonts w:ascii="楷体" w:eastAsia="楷体" w:hAnsi="楷体" w:cs="楷体"/>
          <w:spacing w:val="-62"/>
          <w:sz w:val="22"/>
          <w:szCs w:val="22"/>
        </w:rPr>
        <w:t xml:space="preserve"> </w:t>
      </w:r>
      <w:r>
        <w:rPr>
          <w:rFonts w:ascii="楷体" w:eastAsia="楷体" w:hAnsi="楷体" w:cs="楷体"/>
          <w:spacing w:val="-16"/>
          <w:sz w:val="22"/>
          <w:szCs w:val="22"/>
        </w:rPr>
        <w:t>了解并掌握维生素的概念及共同特点。</w:t>
      </w:r>
    </w:p>
    <w:p w:rsidR="00EA40A3" w:rsidRDefault="00E86C16">
      <w:pPr>
        <w:spacing w:before="46" w:line="224" w:lineRule="auto"/>
        <w:ind w:left="540"/>
        <w:rPr>
          <w:rFonts w:ascii="楷体" w:eastAsia="楷体" w:hAnsi="楷体" w:cs="楷体"/>
          <w:sz w:val="22"/>
          <w:szCs w:val="22"/>
        </w:rPr>
      </w:pPr>
      <w:r>
        <w:rPr>
          <w:rFonts w:ascii="楷体" w:eastAsia="楷体" w:hAnsi="楷体" w:cs="楷体"/>
          <w:spacing w:val="-14"/>
          <w:sz w:val="22"/>
          <w:szCs w:val="22"/>
        </w:rPr>
        <w:t>·</w:t>
      </w:r>
      <w:r>
        <w:rPr>
          <w:rFonts w:ascii="楷体" w:eastAsia="楷体" w:hAnsi="楷体" w:cs="楷体"/>
          <w:spacing w:val="-72"/>
          <w:sz w:val="22"/>
          <w:szCs w:val="22"/>
        </w:rPr>
        <w:t xml:space="preserve"> </w:t>
      </w:r>
      <w:r>
        <w:rPr>
          <w:rFonts w:ascii="楷体" w:eastAsia="楷体" w:hAnsi="楷体" w:cs="楷体"/>
          <w:spacing w:val="-14"/>
          <w:sz w:val="22"/>
          <w:szCs w:val="22"/>
        </w:rPr>
        <w:t>掌握各种维生素的主要性质、生理功能、缺乏和过量危害及食物来源。</w:t>
      </w:r>
    </w:p>
    <w:p w:rsidR="00EA40A3" w:rsidRDefault="00EA40A3">
      <w:pPr>
        <w:spacing w:line="260" w:lineRule="auto"/>
      </w:pPr>
    </w:p>
    <w:p w:rsidR="00EA40A3" w:rsidRDefault="00EA40A3">
      <w:pPr>
        <w:spacing w:line="260" w:lineRule="auto"/>
      </w:pPr>
    </w:p>
    <w:p w:rsidR="00EA40A3" w:rsidRDefault="00E86C16">
      <w:pPr>
        <w:spacing w:before="98" w:line="219" w:lineRule="auto"/>
        <w:ind w:left="2659"/>
        <w:rPr>
          <w:rFonts w:ascii="宋体" w:eastAsia="宋体" w:hAnsi="宋体" w:cs="宋体"/>
          <w:sz w:val="30"/>
          <w:szCs w:val="30"/>
        </w:rPr>
      </w:pPr>
      <w:r>
        <w:rPr>
          <w:rFonts w:ascii="宋体" w:eastAsia="宋体" w:hAnsi="宋体" w:cs="宋体"/>
          <w:spacing w:val="-6"/>
          <w:sz w:val="30"/>
          <w:szCs w:val="30"/>
        </w:rPr>
        <w:t>4.1</w:t>
      </w:r>
      <w:r>
        <w:rPr>
          <w:rFonts w:ascii="宋体" w:eastAsia="宋体" w:hAnsi="宋体" w:cs="宋体"/>
          <w:spacing w:val="72"/>
          <w:sz w:val="30"/>
          <w:szCs w:val="30"/>
        </w:rPr>
        <w:t xml:space="preserve"> </w:t>
      </w:r>
      <w:r>
        <w:rPr>
          <w:rFonts w:ascii="宋体" w:eastAsia="宋体" w:hAnsi="宋体" w:cs="宋体"/>
          <w:spacing w:val="-6"/>
          <w:sz w:val="30"/>
          <w:szCs w:val="30"/>
        </w:rPr>
        <w:t>矿</w:t>
      </w:r>
      <w:r>
        <w:rPr>
          <w:rFonts w:ascii="宋体" w:eastAsia="宋体" w:hAnsi="宋体" w:cs="宋体"/>
          <w:spacing w:val="121"/>
          <w:sz w:val="30"/>
          <w:szCs w:val="30"/>
        </w:rPr>
        <w:t xml:space="preserve"> </w:t>
      </w:r>
      <w:r>
        <w:rPr>
          <w:rFonts w:ascii="宋体" w:eastAsia="宋体" w:hAnsi="宋体" w:cs="宋体"/>
          <w:spacing w:val="-6"/>
          <w:sz w:val="30"/>
          <w:szCs w:val="30"/>
        </w:rPr>
        <w:t>物</w:t>
      </w:r>
      <w:r>
        <w:rPr>
          <w:rFonts w:ascii="宋体" w:eastAsia="宋体" w:hAnsi="宋体" w:cs="宋体"/>
          <w:spacing w:val="111"/>
          <w:sz w:val="30"/>
          <w:szCs w:val="30"/>
        </w:rPr>
        <w:t xml:space="preserve"> </w:t>
      </w:r>
      <w:r>
        <w:rPr>
          <w:rFonts w:ascii="宋体" w:eastAsia="宋体" w:hAnsi="宋体" w:cs="宋体"/>
          <w:spacing w:val="-6"/>
          <w:sz w:val="30"/>
          <w:szCs w:val="30"/>
        </w:rPr>
        <w:t>质</w:t>
      </w:r>
    </w:p>
    <w:p w:rsidR="00EA40A3" w:rsidRDefault="00E86C16">
      <w:pPr>
        <w:spacing w:before="116" w:line="221" w:lineRule="auto"/>
        <w:ind w:left="3"/>
        <w:outlineLvl w:val="6"/>
        <w:rPr>
          <w:rFonts w:ascii="黑体" w:eastAsia="黑体" w:hAnsi="黑体" w:cs="黑体"/>
          <w:sz w:val="26"/>
          <w:szCs w:val="26"/>
        </w:rPr>
      </w:pPr>
      <w:r>
        <w:rPr>
          <w:rFonts w:ascii="黑体" w:eastAsia="黑体" w:hAnsi="黑体" w:cs="黑体"/>
          <w:b/>
          <w:bCs/>
          <w:spacing w:val="-11"/>
          <w:sz w:val="26"/>
          <w:szCs w:val="26"/>
        </w:rPr>
        <w:t>4.1.1</w:t>
      </w:r>
      <w:r>
        <w:rPr>
          <w:rFonts w:ascii="黑体" w:eastAsia="黑体" w:hAnsi="黑体" w:cs="黑体"/>
          <w:spacing w:val="67"/>
          <w:sz w:val="26"/>
          <w:szCs w:val="26"/>
        </w:rPr>
        <w:t xml:space="preserve"> </w:t>
      </w:r>
      <w:r>
        <w:rPr>
          <w:rFonts w:ascii="黑体" w:eastAsia="黑体" w:hAnsi="黑体" w:cs="黑体"/>
          <w:b/>
          <w:bCs/>
          <w:spacing w:val="-11"/>
          <w:sz w:val="26"/>
          <w:szCs w:val="26"/>
        </w:rPr>
        <w:t>概述</w:t>
      </w:r>
    </w:p>
    <w:p w:rsidR="00EA40A3" w:rsidRDefault="00E86C16">
      <w:pPr>
        <w:spacing w:before="240" w:line="221"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39"/>
          <w:sz w:val="22"/>
          <w:szCs w:val="22"/>
        </w:rPr>
        <w:t xml:space="preserve"> </w:t>
      </w:r>
      <w:r>
        <w:rPr>
          <w:rFonts w:ascii="仿宋" w:eastAsia="仿宋" w:hAnsi="仿宋" w:cs="仿宋"/>
          <w:spacing w:val="12"/>
          <w:sz w:val="22"/>
          <w:szCs w:val="22"/>
        </w:rPr>
        <w:t>人体需要的矿物质种类</w:t>
      </w:r>
    </w:p>
    <w:p w:rsidR="00EA40A3" w:rsidRDefault="00E86C16">
      <w:pPr>
        <w:spacing w:before="193" w:line="254" w:lineRule="auto"/>
        <w:ind w:firstLine="500"/>
        <w:jc w:val="both"/>
        <w:rPr>
          <w:rFonts w:ascii="宋体" w:eastAsia="宋体" w:hAnsi="宋体" w:cs="宋体"/>
          <w:sz w:val="22"/>
          <w:szCs w:val="22"/>
        </w:rPr>
      </w:pPr>
      <w:r>
        <w:rPr>
          <w:rFonts w:ascii="宋体" w:eastAsia="宋体" w:hAnsi="宋体" w:cs="宋体"/>
          <w:spacing w:val="-1"/>
          <w:sz w:val="22"/>
          <w:szCs w:val="22"/>
        </w:rPr>
        <w:t>人体质量的95%～96%是由碳、氢、氧、氮等构成的有机物和水分，其余</w:t>
      </w:r>
      <w:r>
        <w:rPr>
          <w:rFonts w:ascii="宋体" w:eastAsia="宋体" w:hAnsi="宋体" w:cs="宋体"/>
          <w:spacing w:val="2"/>
          <w:sz w:val="22"/>
          <w:szCs w:val="22"/>
        </w:rPr>
        <w:t xml:space="preserve"> </w:t>
      </w:r>
      <w:r>
        <w:rPr>
          <w:rFonts w:ascii="宋体" w:eastAsia="宋体" w:hAnsi="宋体" w:cs="宋体"/>
          <w:sz w:val="22"/>
          <w:szCs w:val="22"/>
        </w:rPr>
        <w:t>4%～5%则由多种不同的无机元素组成。构成人体的60多种元</w:t>
      </w:r>
      <w:r>
        <w:rPr>
          <w:rFonts w:ascii="宋体" w:eastAsia="宋体" w:hAnsi="宋体" w:cs="宋体"/>
          <w:spacing w:val="-1"/>
          <w:sz w:val="22"/>
          <w:szCs w:val="22"/>
        </w:rPr>
        <w:t>素中，有20多种</w:t>
      </w:r>
      <w:r>
        <w:rPr>
          <w:rFonts w:ascii="宋体" w:eastAsia="宋体" w:hAnsi="宋体" w:cs="宋体"/>
          <w:sz w:val="22"/>
          <w:szCs w:val="22"/>
        </w:rPr>
        <w:t xml:space="preserve"> </w:t>
      </w:r>
      <w:r>
        <w:rPr>
          <w:rFonts w:ascii="宋体" w:eastAsia="宋体" w:hAnsi="宋体" w:cs="宋体"/>
          <w:spacing w:val="-13"/>
          <w:sz w:val="22"/>
          <w:szCs w:val="22"/>
        </w:rPr>
        <w:t>是维持机体正常生物功能所必需的元素，称为生物必需元素或生命必需元素。生</w:t>
      </w:r>
      <w:r>
        <w:rPr>
          <w:rFonts w:ascii="宋体" w:eastAsia="宋体" w:hAnsi="宋体" w:cs="宋体"/>
          <w:spacing w:val="13"/>
          <w:sz w:val="22"/>
          <w:szCs w:val="22"/>
        </w:rPr>
        <w:t xml:space="preserve"> </w:t>
      </w:r>
      <w:r>
        <w:rPr>
          <w:rFonts w:ascii="宋体" w:eastAsia="宋体" w:hAnsi="宋体" w:cs="宋体"/>
          <w:spacing w:val="-13"/>
          <w:sz w:val="22"/>
          <w:szCs w:val="22"/>
        </w:rPr>
        <w:t>物必需元素中，除碳、氢、氧、氮主要以有机物质形式存在外，其余各元素均为</w:t>
      </w:r>
      <w:r>
        <w:rPr>
          <w:rFonts w:ascii="宋体" w:eastAsia="宋体" w:hAnsi="宋体" w:cs="宋体"/>
          <w:spacing w:val="14"/>
          <w:sz w:val="22"/>
          <w:szCs w:val="22"/>
        </w:rPr>
        <w:t xml:space="preserve"> </w:t>
      </w:r>
      <w:r>
        <w:rPr>
          <w:rFonts w:ascii="宋体" w:eastAsia="宋体" w:hAnsi="宋体" w:cs="宋体"/>
          <w:spacing w:val="-3"/>
          <w:sz w:val="22"/>
          <w:szCs w:val="22"/>
        </w:rPr>
        <w:t>无机物，营养学中称这类无机营养素为矿物质</w:t>
      </w:r>
      <w:r>
        <w:rPr>
          <w:rFonts w:ascii="宋体" w:eastAsia="宋体" w:hAnsi="宋体" w:cs="宋体"/>
          <w:spacing w:val="-25"/>
          <w:sz w:val="22"/>
          <w:szCs w:val="22"/>
        </w:rPr>
        <w:t xml:space="preserve"> </w:t>
      </w:r>
      <w:r>
        <w:rPr>
          <w:rFonts w:ascii="宋体" w:eastAsia="宋体" w:hAnsi="宋体" w:cs="宋体"/>
          <w:spacing w:val="-3"/>
          <w:sz w:val="22"/>
          <w:szCs w:val="22"/>
        </w:rPr>
        <w:t>(mineral),也称矿</w:t>
      </w:r>
      <w:r>
        <w:rPr>
          <w:rFonts w:ascii="宋体" w:eastAsia="宋体" w:hAnsi="宋体" w:cs="宋体"/>
          <w:spacing w:val="-4"/>
          <w:sz w:val="22"/>
          <w:szCs w:val="22"/>
        </w:rPr>
        <w:t>物盐或无机</w:t>
      </w:r>
      <w:r>
        <w:rPr>
          <w:rFonts w:ascii="宋体" w:eastAsia="宋体" w:hAnsi="宋体" w:cs="宋体"/>
          <w:sz w:val="22"/>
          <w:szCs w:val="22"/>
        </w:rPr>
        <w:t xml:space="preserve"> </w:t>
      </w:r>
      <w:r>
        <w:rPr>
          <w:rFonts w:ascii="宋体" w:eastAsia="宋体" w:hAnsi="宋体" w:cs="宋体"/>
          <w:spacing w:val="-7"/>
          <w:sz w:val="22"/>
          <w:szCs w:val="22"/>
        </w:rPr>
        <w:t>盐。基于在体内的含量和人体需要量的不同，矿物质可分成常量元素</w:t>
      </w:r>
      <w:r>
        <w:rPr>
          <w:rFonts w:ascii="宋体" w:eastAsia="宋体" w:hAnsi="宋体" w:cs="宋体"/>
          <w:spacing w:val="15"/>
          <w:sz w:val="22"/>
          <w:szCs w:val="22"/>
        </w:rPr>
        <w:t xml:space="preserve"> </w:t>
      </w:r>
      <w:r>
        <w:rPr>
          <w:rFonts w:ascii="宋体" w:eastAsia="宋体" w:hAnsi="宋体" w:cs="宋体"/>
          <w:spacing w:val="-7"/>
          <w:sz w:val="22"/>
          <w:szCs w:val="22"/>
        </w:rPr>
        <w:t>(macro-</w:t>
      </w:r>
      <w:r>
        <w:rPr>
          <w:rFonts w:ascii="宋体" w:eastAsia="宋体" w:hAnsi="宋体" w:cs="宋体"/>
          <w:sz w:val="22"/>
          <w:szCs w:val="22"/>
        </w:rPr>
        <w:t xml:space="preserve"> </w:t>
      </w:r>
      <w:r>
        <w:rPr>
          <w:rFonts w:ascii="宋体" w:eastAsia="宋体" w:hAnsi="宋体" w:cs="宋体"/>
          <w:spacing w:val="-9"/>
          <w:sz w:val="22"/>
          <w:szCs w:val="22"/>
        </w:rPr>
        <w:t>element</w:t>
      </w:r>
      <w:r>
        <w:rPr>
          <w:rFonts w:ascii="宋体" w:eastAsia="宋体" w:hAnsi="宋体" w:cs="宋体"/>
          <w:spacing w:val="-10"/>
          <w:sz w:val="22"/>
          <w:szCs w:val="22"/>
        </w:rPr>
        <w:t>)</w:t>
      </w:r>
      <w:r>
        <w:rPr>
          <w:rFonts w:ascii="宋体" w:eastAsia="宋体" w:hAnsi="宋体" w:cs="宋体"/>
          <w:spacing w:val="-46"/>
          <w:sz w:val="22"/>
          <w:szCs w:val="22"/>
        </w:rPr>
        <w:t xml:space="preserve"> </w:t>
      </w:r>
      <w:r>
        <w:rPr>
          <w:rFonts w:ascii="宋体" w:eastAsia="宋体" w:hAnsi="宋体" w:cs="宋体"/>
          <w:spacing w:val="-10"/>
          <w:sz w:val="22"/>
          <w:szCs w:val="22"/>
        </w:rPr>
        <w:t>和微量元素 (</w:t>
      </w:r>
      <w:r>
        <w:rPr>
          <w:rFonts w:ascii="宋体" w:eastAsia="宋体" w:hAnsi="宋体" w:cs="宋体"/>
          <w:spacing w:val="-9"/>
          <w:sz w:val="22"/>
          <w:szCs w:val="22"/>
        </w:rPr>
        <w:t>microelement</w:t>
      </w:r>
      <w:r>
        <w:rPr>
          <w:rFonts w:ascii="宋体" w:eastAsia="宋体" w:hAnsi="宋体" w:cs="宋体"/>
          <w:spacing w:val="-65"/>
          <w:sz w:val="22"/>
          <w:szCs w:val="22"/>
        </w:rPr>
        <w:t xml:space="preserve"> </w:t>
      </w:r>
      <w:r>
        <w:rPr>
          <w:rFonts w:ascii="宋体" w:eastAsia="宋体" w:hAnsi="宋体" w:cs="宋体"/>
          <w:spacing w:val="-10"/>
          <w:sz w:val="22"/>
          <w:szCs w:val="22"/>
        </w:rPr>
        <w:t>或</w:t>
      </w:r>
      <w:r>
        <w:rPr>
          <w:rFonts w:ascii="宋体" w:eastAsia="宋体" w:hAnsi="宋体" w:cs="宋体"/>
          <w:spacing w:val="-49"/>
          <w:sz w:val="22"/>
          <w:szCs w:val="22"/>
        </w:rPr>
        <w:t xml:space="preserve"> </w:t>
      </w:r>
      <w:r>
        <w:rPr>
          <w:rFonts w:ascii="宋体" w:eastAsia="宋体" w:hAnsi="宋体" w:cs="宋体"/>
          <w:spacing w:val="-9"/>
          <w:sz w:val="22"/>
          <w:szCs w:val="22"/>
        </w:rPr>
        <w:t>t</w:t>
      </w:r>
      <w:r>
        <w:rPr>
          <w:rFonts w:ascii="宋体" w:eastAsia="宋体" w:hAnsi="宋体" w:cs="宋体"/>
          <w:spacing w:val="-10"/>
          <w:sz w:val="22"/>
          <w:szCs w:val="22"/>
        </w:rPr>
        <w:t>race</w:t>
      </w:r>
      <w:r>
        <w:rPr>
          <w:rFonts w:ascii="宋体" w:eastAsia="宋体" w:hAnsi="宋体" w:cs="宋体"/>
          <w:sz w:val="22"/>
          <w:szCs w:val="22"/>
        </w:rPr>
        <w:t xml:space="preserve"> </w:t>
      </w:r>
      <w:r>
        <w:rPr>
          <w:rFonts w:ascii="宋体" w:eastAsia="宋体" w:hAnsi="宋体" w:cs="宋体"/>
          <w:spacing w:val="-10"/>
          <w:sz w:val="22"/>
          <w:szCs w:val="22"/>
        </w:rPr>
        <w:t>element)</w:t>
      </w:r>
      <w:r>
        <w:rPr>
          <w:rFonts w:ascii="宋体" w:eastAsia="宋体" w:hAnsi="宋体" w:cs="宋体"/>
          <w:spacing w:val="-33"/>
          <w:sz w:val="22"/>
          <w:szCs w:val="22"/>
        </w:rPr>
        <w:t xml:space="preserve"> </w:t>
      </w:r>
      <w:r>
        <w:rPr>
          <w:rFonts w:ascii="宋体" w:eastAsia="宋体" w:hAnsi="宋体" w:cs="宋体"/>
          <w:spacing w:val="-10"/>
          <w:sz w:val="22"/>
          <w:szCs w:val="22"/>
        </w:rPr>
        <w:t>两大类。常量元素包括</w:t>
      </w:r>
      <w:r>
        <w:rPr>
          <w:rFonts w:ascii="宋体" w:eastAsia="宋体" w:hAnsi="宋体" w:cs="宋体"/>
          <w:sz w:val="22"/>
          <w:szCs w:val="22"/>
        </w:rPr>
        <w:t xml:space="preserve"> </w:t>
      </w:r>
      <w:r>
        <w:rPr>
          <w:rFonts w:ascii="宋体" w:eastAsia="宋体" w:hAnsi="宋体" w:cs="宋体"/>
          <w:spacing w:val="10"/>
          <w:sz w:val="22"/>
          <w:szCs w:val="22"/>
        </w:rPr>
        <w:t>钙、磷、硫、钾、钠、氯、镁7种元素，其在体内的含量一般大于体重的</w:t>
      </w:r>
      <w:r>
        <w:rPr>
          <w:rFonts w:ascii="宋体" w:eastAsia="宋体" w:hAnsi="宋体" w:cs="宋体"/>
          <w:spacing w:val="16"/>
          <w:sz w:val="22"/>
          <w:szCs w:val="22"/>
        </w:rPr>
        <w:t xml:space="preserve"> </w:t>
      </w:r>
      <w:r>
        <w:rPr>
          <w:rFonts w:ascii="宋体" w:eastAsia="宋体" w:hAnsi="宋体" w:cs="宋体"/>
          <w:spacing w:val="6"/>
          <w:sz w:val="22"/>
          <w:szCs w:val="22"/>
        </w:rPr>
        <w:t>0.01%,每日需要量在100</w:t>
      </w:r>
      <w:r>
        <w:rPr>
          <w:rFonts w:ascii="宋体" w:eastAsia="宋体" w:hAnsi="宋体" w:cs="宋体"/>
          <w:sz w:val="22"/>
          <w:szCs w:val="22"/>
        </w:rPr>
        <w:t>mg</w:t>
      </w:r>
      <w:r>
        <w:rPr>
          <w:rFonts w:ascii="宋体" w:eastAsia="宋体" w:hAnsi="宋体" w:cs="宋体"/>
          <w:spacing w:val="-6"/>
          <w:sz w:val="22"/>
          <w:szCs w:val="22"/>
        </w:rPr>
        <w:t xml:space="preserve"> </w:t>
      </w:r>
      <w:r>
        <w:rPr>
          <w:rFonts w:ascii="宋体" w:eastAsia="宋体" w:hAnsi="宋体" w:cs="宋体"/>
          <w:spacing w:val="6"/>
          <w:sz w:val="22"/>
          <w:szCs w:val="22"/>
        </w:rPr>
        <w:t>以上；微量元素在体内含量小于0.01%,每日需</w:t>
      </w:r>
    </w:p>
    <w:p w:rsidR="00EA40A3" w:rsidRDefault="00E86C16">
      <w:pPr>
        <w:spacing w:before="55" w:line="214" w:lineRule="auto"/>
        <w:rPr>
          <w:rFonts w:ascii="宋体" w:eastAsia="宋体" w:hAnsi="宋体" w:cs="宋体"/>
          <w:sz w:val="22"/>
          <w:szCs w:val="22"/>
        </w:rPr>
      </w:pPr>
      <w:r>
        <w:rPr>
          <w:rFonts w:ascii="宋体" w:eastAsia="宋体" w:hAnsi="宋体" w:cs="宋体"/>
          <w:spacing w:val="-1"/>
          <w:sz w:val="22"/>
          <w:szCs w:val="22"/>
        </w:rPr>
        <w:t>要量在100</w:t>
      </w:r>
      <w:r>
        <w:rPr>
          <w:rFonts w:ascii="宋体" w:eastAsia="宋体" w:hAnsi="宋体" w:cs="宋体"/>
          <w:spacing w:val="-61"/>
          <w:sz w:val="22"/>
          <w:szCs w:val="22"/>
        </w:rPr>
        <w:t xml:space="preserve"> </w:t>
      </w:r>
      <w:r>
        <w:rPr>
          <w:rFonts w:ascii="宋体" w:eastAsia="宋体" w:hAnsi="宋体" w:cs="宋体"/>
          <w:spacing w:val="-1"/>
          <w:sz w:val="22"/>
          <w:szCs w:val="22"/>
        </w:rPr>
        <w:t>mg</w:t>
      </w:r>
      <w:r>
        <w:rPr>
          <w:rFonts w:ascii="宋体" w:eastAsia="宋体" w:hAnsi="宋体" w:cs="宋体"/>
          <w:spacing w:val="12"/>
          <w:sz w:val="22"/>
          <w:szCs w:val="22"/>
        </w:rPr>
        <w:t xml:space="preserve"> </w:t>
      </w:r>
      <w:r>
        <w:rPr>
          <w:rFonts w:ascii="宋体" w:eastAsia="宋体" w:hAnsi="宋体" w:cs="宋体"/>
          <w:spacing w:val="-1"/>
          <w:sz w:val="22"/>
          <w:szCs w:val="22"/>
        </w:rPr>
        <w:t>以下，甚至以微克计。1990年FAO、IAEP、WHO</w:t>
      </w:r>
      <w:r>
        <w:rPr>
          <w:rFonts w:ascii="宋体" w:eastAsia="宋体" w:hAnsi="宋体" w:cs="宋体"/>
          <w:spacing w:val="31"/>
          <w:sz w:val="22"/>
          <w:szCs w:val="22"/>
        </w:rPr>
        <w:t xml:space="preserve">   </w:t>
      </w:r>
      <w:r>
        <w:rPr>
          <w:rFonts w:ascii="宋体" w:eastAsia="宋体" w:hAnsi="宋体" w:cs="宋体"/>
          <w:spacing w:val="-1"/>
          <w:sz w:val="22"/>
          <w:szCs w:val="22"/>
        </w:rPr>
        <w:t>三个国际组</w:t>
      </w:r>
    </w:p>
    <w:p w:rsidR="00EA40A3" w:rsidRDefault="00E86C16">
      <w:pPr>
        <w:spacing w:before="62" w:line="250" w:lineRule="auto"/>
        <w:ind w:right="22"/>
        <w:jc w:val="both"/>
        <w:rPr>
          <w:rFonts w:ascii="宋体" w:eastAsia="宋体" w:hAnsi="宋体" w:cs="宋体"/>
          <w:sz w:val="22"/>
          <w:szCs w:val="22"/>
        </w:rPr>
      </w:pPr>
      <w:r>
        <w:rPr>
          <w:rFonts w:ascii="宋体" w:eastAsia="宋体" w:hAnsi="宋体" w:cs="宋体"/>
          <w:spacing w:val="-12"/>
          <w:sz w:val="22"/>
          <w:szCs w:val="22"/>
        </w:rPr>
        <w:t>织的专家委员会重新界定了必需微量元素的定义</w:t>
      </w:r>
      <w:r>
        <w:rPr>
          <w:rFonts w:ascii="宋体" w:eastAsia="宋体" w:hAnsi="宋体" w:cs="宋体"/>
          <w:spacing w:val="-13"/>
          <w:sz w:val="22"/>
          <w:szCs w:val="22"/>
        </w:rPr>
        <w:t>，认为维持正常人体生命活动必</w:t>
      </w:r>
      <w:r>
        <w:rPr>
          <w:rFonts w:ascii="宋体" w:eastAsia="宋体" w:hAnsi="宋体" w:cs="宋体"/>
          <w:sz w:val="22"/>
          <w:szCs w:val="22"/>
        </w:rPr>
        <w:t xml:space="preserve"> </w:t>
      </w:r>
      <w:r>
        <w:rPr>
          <w:rFonts w:ascii="宋体" w:eastAsia="宋体" w:hAnsi="宋体" w:cs="宋体"/>
          <w:spacing w:val="-10"/>
          <w:sz w:val="22"/>
          <w:szCs w:val="22"/>
        </w:rPr>
        <w:t>不可少的必需微量元素共有8种，包括铁、锌、硒、铜、碘、钼、钴及铬；人体</w:t>
      </w:r>
      <w:r>
        <w:rPr>
          <w:rFonts w:ascii="宋体" w:eastAsia="宋体" w:hAnsi="宋体" w:cs="宋体"/>
          <w:spacing w:val="18"/>
          <w:sz w:val="22"/>
          <w:szCs w:val="22"/>
        </w:rPr>
        <w:t xml:space="preserve"> </w:t>
      </w:r>
      <w:r>
        <w:rPr>
          <w:rFonts w:ascii="宋体" w:eastAsia="宋体" w:hAnsi="宋体" w:cs="宋体"/>
          <w:spacing w:val="-9"/>
          <w:sz w:val="22"/>
          <w:szCs w:val="22"/>
        </w:rPr>
        <w:t>可能必需的元素有5种，包括锰、硅、硼、矾及镍</w:t>
      </w:r>
      <w:r>
        <w:rPr>
          <w:rFonts w:ascii="宋体" w:eastAsia="宋体" w:hAnsi="宋体" w:cs="宋体"/>
          <w:spacing w:val="-10"/>
          <w:sz w:val="22"/>
          <w:szCs w:val="22"/>
        </w:rPr>
        <w:t>；具有潜在的毒性，但在低剂</w:t>
      </w:r>
      <w:r>
        <w:rPr>
          <w:rFonts w:ascii="宋体" w:eastAsia="宋体" w:hAnsi="宋体" w:cs="宋体"/>
          <w:sz w:val="22"/>
          <w:szCs w:val="22"/>
        </w:rPr>
        <w:t xml:space="preserve"> </w:t>
      </w:r>
      <w:r>
        <w:rPr>
          <w:rFonts w:ascii="宋体" w:eastAsia="宋体" w:hAnsi="宋体" w:cs="宋体"/>
          <w:spacing w:val="-10"/>
          <w:sz w:val="22"/>
          <w:szCs w:val="22"/>
        </w:rPr>
        <w:t>量时可能具有功能作用的元素有8种，包括铅、氟、镉、汞、砷、铝、锂及锡。</w:t>
      </w:r>
    </w:p>
    <w:p w:rsidR="00EA40A3" w:rsidRDefault="00E86C16">
      <w:pPr>
        <w:spacing w:before="195"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32"/>
          <w:sz w:val="22"/>
          <w:szCs w:val="22"/>
        </w:rPr>
        <w:t xml:space="preserve"> </w:t>
      </w:r>
      <w:r>
        <w:rPr>
          <w:rFonts w:ascii="仿宋" w:eastAsia="仿宋" w:hAnsi="仿宋" w:cs="仿宋"/>
          <w:spacing w:val="12"/>
          <w:sz w:val="22"/>
          <w:szCs w:val="22"/>
        </w:rPr>
        <w:t>矿物质的生理功能</w:t>
      </w:r>
    </w:p>
    <w:p w:rsidR="00EA40A3" w:rsidRDefault="00E86C16">
      <w:pPr>
        <w:spacing w:before="209" w:line="236" w:lineRule="auto"/>
        <w:ind w:right="27" w:firstLine="429"/>
        <w:rPr>
          <w:rFonts w:ascii="宋体" w:eastAsia="宋体" w:hAnsi="宋体" w:cs="宋体"/>
          <w:sz w:val="22"/>
          <w:szCs w:val="22"/>
        </w:rPr>
      </w:pPr>
      <w:r>
        <w:rPr>
          <w:rFonts w:ascii="宋体" w:eastAsia="宋体" w:hAnsi="宋体" w:cs="宋体"/>
          <w:spacing w:val="-7"/>
          <w:sz w:val="22"/>
          <w:szCs w:val="22"/>
        </w:rPr>
        <w:t>常量元素是人体组成和体现生命的必需元素，其分布几乎遍及身体各个部</w:t>
      </w:r>
      <w:r>
        <w:rPr>
          <w:rFonts w:ascii="宋体" w:eastAsia="宋体" w:hAnsi="宋体" w:cs="宋体"/>
          <w:spacing w:val="14"/>
          <w:sz w:val="22"/>
          <w:szCs w:val="22"/>
        </w:rPr>
        <w:t xml:space="preserve"> </w:t>
      </w:r>
      <w:r>
        <w:rPr>
          <w:rFonts w:ascii="宋体" w:eastAsia="宋体" w:hAnsi="宋体" w:cs="宋体"/>
          <w:spacing w:val="-13"/>
          <w:sz w:val="22"/>
          <w:szCs w:val="22"/>
        </w:rPr>
        <w:t>位，发挥着多种多样的作用；人体必需微量元素在体内的数量尽管极少，但却也</w:t>
      </w:r>
    </w:p>
    <w:p w:rsidR="00EA40A3" w:rsidRDefault="00E86C16">
      <w:pPr>
        <w:spacing w:before="74"/>
        <w:ind w:left="150"/>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84</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110" w:bottom="400" w:left="820" w:header="0" w:footer="0" w:gutter="0"/>
          <w:cols w:space="720"/>
        </w:sectPr>
      </w:pPr>
    </w:p>
    <w:p w:rsidR="00EA40A3" w:rsidRDefault="00EA40A3">
      <w:pPr>
        <w:spacing w:line="293" w:lineRule="auto"/>
      </w:pPr>
    </w:p>
    <w:p w:rsidR="00EA40A3" w:rsidRDefault="00EA40A3">
      <w:pPr>
        <w:spacing w:line="294" w:lineRule="auto"/>
      </w:pPr>
    </w:p>
    <w:p w:rsidR="00EA40A3" w:rsidRDefault="00E86C16">
      <w:pPr>
        <w:spacing w:before="68" w:line="220" w:lineRule="auto"/>
        <w:rPr>
          <w:rFonts w:ascii="宋体" w:eastAsia="宋体" w:hAnsi="宋体" w:cs="宋体"/>
        </w:rPr>
      </w:pPr>
      <w:r>
        <w:rPr>
          <w:rFonts w:ascii="宋体" w:eastAsia="宋体" w:hAnsi="宋体" w:cs="宋体"/>
          <w:spacing w:val="-8"/>
        </w:rPr>
        <w:t>有十分重要的生理功能。</w:t>
      </w:r>
    </w:p>
    <w:p w:rsidR="00EA40A3" w:rsidRDefault="00E86C16">
      <w:pPr>
        <w:spacing w:before="60" w:line="249" w:lineRule="auto"/>
        <w:ind w:right="108" w:firstLine="419"/>
        <w:rPr>
          <w:rFonts w:ascii="宋体" w:eastAsia="宋体" w:hAnsi="宋体" w:cs="宋体"/>
        </w:rPr>
      </w:pPr>
      <w:r>
        <w:rPr>
          <w:rFonts w:ascii="宋体" w:eastAsia="宋体" w:hAnsi="宋体" w:cs="宋体"/>
        </w:rPr>
        <w:t>(1)构成人体组织的重要成分。如骨骼和牙齿等硬组织，大部分</w:t>
      </w:r>
      <w:r>
        <w:rPr>
          <w:rFonts w:ascii="宋体" w:eastAsia="宋体" w:hAnsi="宋体" w:cs="宋体"/>
          <w:spacing w:val="-1"/>
        </w:rPr>
        <w:t>是由钙、磷</w:t>
      </w:r>
      <w:r>
        <w:rPr>
          <w:rFonts w:ascii="宋体" w:eastAsia="宋体" w:hAnsi="宋体" w:cs="宋体"/>
        </w:rPr>
        <w:t xml:space="preserve"> </w:t>
      </w:r>
      <w:r>
        <w:rPr>
          <w:rFonts w:ascii="宋体" w:eastAsia="宋体" w:hAnsi="宋体" w:cs="宋体"/>
          <w:spacing w:val="-3"/>
        </w:rPr>
        <w:t>和镁组成，而软组织含钾较多，蛋白质中则含有硫、磷、氯等，也是构成人体的</w:t>
      </w:r>
      <w:r>
        <w:rPr>
          <w:rFonts w:ascii="宋体" w:eastAsia="宋体" w:hAnsi="宋体" w:cs="宋体"/>
        </w:rPr>
        <w:t xml:space="preserve"> </w:t>
      </w:r>
      <w:r>
        <w:rPr>
          <w:rFonts w:ascii="宋体" w:eastAsia="宋体" w:hAnsi="宋体" w:cs="宋体"/>
          <w:spacing w:val="-7"/>
        </w:rPr>
        <w:t>重要组分。</w:t>
      </w:r>
    </w:p>
    <w:p w:rsidR="00EA40A3" w:rsidRDefault="00E86C16">
      <w:pPr>
        <w:spacing w:before="50" w:line="253" w:lineRule="auto"/>
        <w:ind w:right="93" w:firstLine="419"/>
        <w:rPr>
          <w:rFonts w:ascii="宋体" w:eastAsia="宋体" w:hAnsi="宋体" w:cs="宋体"/>
        </w:rPr>
      </w:pPr>
      <w:r>
        <w:rPr>
          <w:rFonts w:ascii="宋体" w:eastAsia="宋体" w:hAnsi="宋体" w:cs="宋体"/>
        </w:rPr>
        <w:t>(2)存在于细胞内外液中，如钾离子主要存在于细胞内液，钠与</w:t>
      </w:r>
      <w:r>
        <w:rPr>
          <w:rFonts w:ascii="宋体" w:eastAsia="宋体" w:hAnsi="宋体" w:cs="宋体"/>
          <w:spacing w:val="-1"/>
        </w:rPr>
        <w:t>氯离子主要</w:t>
      </w:r>
      <w:r>
        <w:rPr>
          <w:rFonts w:ascii="宋体" w:eastAsia="宋体" w:hAnsi="宋体" w:cs="宋体"/>
        </w:rPr>
        <w:t xml:space="preserve"> </w:t>
      </w:r>
      <w:r>
        <w:rPr>
          <w:rFonts w:ascii="宋体" w:eastAsia="宋体" w:hAnsi="宋体" w:cs="宋体"/>
          <w:spacing w:val="-3"/>
        </w:rPr>
        <w:t>存在于细胞外液，它们与蛋白质一起调节细胞膜的通透性，控制水分，维持正常</w:t>
      </w:r>
      <w:r>
        <w:rPr>
          <w:rFonts w:ascii="宋体" w:eastAsia="宋体" w:hAnsi="宋体" w:cs="宋体"/>
          <w:spacing w:val="15"/>
        </w:rPr>
        <w:t xml:space="preserve"> </w:t>
      </w:r>
      <w:r>
        <w:rPr>
          <w:rFonts w:ascii="宋体" w:eastAsia="宋体" w:hAnsi="宋体" w:cs="宋体"/>
          <w:spacing w:val="6"/>
        </w:rPr>
        <w:t>的渗透压和酸碱平衡(磷、氯为酸性元素，钠、钾、镁为碱性元素),维持神经</w:t>
      </w:r>
      <w:r>
        <w:rPr>
          <w:rFonts w:ascii="宋体" w:eastAsia="宋体" w:hAnsi="宋体" w:cs="宋体"/>
          <w:spacing w:val="13"/>
        </w:rPr>
        <w:t xml:space="preserve"> </w:t>
      </w:r>
      <w:r>
        <w:rPr>
          <w:rFonts w:ascii="宋体" w:eastAsia="宋体" w:hAnsi="宋体" w:cs="宋体"/>
          <w:spacing w:val="-12"/>
        </w:rPr>
        <w:t>肌肉兴奋性。</w:t>
      </w:r>
    </w:p>
    <w:p w:rsidR="00EA40A3" w:rsidRDefault="00E86C16">
      <w:pPr>
        <w:spacing w:before="45" w:line="249" w:lineRule="auto"/>
        <w:ind w:right="96" w:firstLine="419"/>
        <w:rPr>
          <w:rFonts w:ascii="宋体" w:eastAsia="宋体" w:hAnsi="宋体" w:cs="宋体"/>
        </w:rPr>
      </w:pPr>
      <w:r>
        <w:rPr>
          <w:rFonts w:ascii="宋体" w:eastAsia="宋体" w:hAnsi="宋体" w:cs="宋体"/>
        </w:rPr>
        <w:t>(3)构成酶的成分或激活酶的活性，参与体内物质代谢。如盐酸对胃蛋白酶</w:t>
      </w:r>
      <w:r>
        <w:rPr>
          <w:rFonts w:ascii="宋体" w:eastAsia="宋体" w:hAnsi="宋体" w:cs="宋体"/>
          <w:spacing w:val="11"/>
        </w:rPr>
        <w:t xml:space="preserve"> </w:t>
      </w:r>
      <w:r>
        <w:rPr>
          <w:rFonts w:ascii="宋体" w:eastAsia="宋体" w:hAnsi="宋体" w:cs="宋体"/>
          <w:spacing w:val="-3"/>
        </w:rPr>
        <w:t>原，氯离子对唾液淀粉酶，镁离子对磷酸转移酶等均有作用。许多酶含有微量金</w:t>
      </w:r>
      <w:r>
        <w:rPr>
          <w:rFonts w:ascii="宋体" w:eastAsia="宋体" w:hAnsi="宋体" w:cs="宋体"/>
          <w:spacing w:val="12"/>
        </w:rPr>
        <w:t xml:space="preserve"> </w:t>
      </w:r>
      <w:r>
        <w:rPr>
          <w:rFonts w:ascii="宋体" w:eastAsia="宋体" w:hAnsi="宋体" w:cs="宋体"/>
          <w:spacing w:val="-4"/>
        </w:rPr>
        <w:t>属元素，如碳酸酐酶含有锌、呼吸酶含铁和铜、谷胱甘肽过氧化酶含有硒等。</w:t>
      </w:r>
    </w:p>
    <w:p w:rsidR="00EA40A3" w:rsidRDefault="00E86C16">
      <w:pPr>
        <w:spacing w:before="50" w:line="242" w:lineRule="auto"/>
        <w:ind w:right="94" w:firstLine="419"/>
        <w:rPr>
          <w:rFonts w:ascii="宋体" w:eastAsia="宋体" w:hAnsi="宋体" w:cs="宋体"/>
        </w:rPr>
      </w:pPr>
      <w:r>
        <w:rPr>
          <w:rFonts w:ascii="宋体" w:eastAsia="宋体" w:hAnsi="宋体" w:cs="宋体"/>
        </w:rPr>
        <w:t>(4)构成某些激素或参与激素的作用。如甲状腺素含碘，胰岛素含锌，铬是</w:t>
      </w:r>
      <w:r>
        <w:rPr>
          <w:rFonts w:ascii="宋体" w:eastAsia="宋体" w:hAnsi="宋体" w:cs="宋体"/>
          <w:spacing w:val="14"/>
        </w:rPr>
        <w:t xml:space="preserve"> </w:t>
      </w:r>
      <w:r>
        <w:rPr>
          <w:rFonts w:ascii="宋体" w:eastAsia="宋体" w:hAnsi="宋体" w:cs="宋体"/>
          <w:spacing w:val="-5"/>
        </w:rPr>
        <w:t>葡萄糖耐量因子的重要组成成分，铜参与肾上腺类固醇的生成等。</w:t>
      </w:r>
    </w:p>
    <w:p w:rsidR="00EA40A3" w:rsidRDefault="00E86C16">
      <w:pPr>
        <w:spacing w:before="53" w:line="253" w:lineRule="auto"/>
        <w:ind w:right="92" w:firstLine="419"/>
        <w:rPr>
          <w:rFonts w:ascii="宋体" w:eastAsia="宋体" w:hAnsi="宋体" w:cs="宋体"/>
        </w:rPr>
      </w:pPr>
      <w:r>
        <w:rPr>
          <w:rFonts w:ascii="宋体" w:eastAsia="宋体" w:hAnsi="宋体" w:cs="宋体"/>
        </w:rPr>
        <w:t>(5)参与核酸代谢。核酸是遗传信息的携带者，含有多种微量元素，并需要</w:t>
      </w:r>
      <w:r>
        <w:rPr>
          <w:rFonts w:ascii="宋体" w:eastAsia="宋体" w:hAnsi="宋体" w:cs="宋体"/>
          <w:spacing w:val="14"/>
        </w:rPr>
        <w:t xml:space="preserve"> </w:t>
      </w:r>
      <w:r>
        <w:rPr>
          <w:rFonts w:ascii="宋体" w:eastAsia="宋体" w:hAnsi="宋体" w:cs="宋体"/>
          <w:spacing w:val="-3"/>
        </w:rPr>
        <w:t>铬、锰、钴、锌、铜等维持核酸的正常功能。微量元素含量不足或过多可影响核</w:t>
      </w:r>
      <w:r>
        <w:rPr>
          <w:rFonts w:ascii="宋体" w:eastAsia="宋体" w:hAnsi="宋体" w:cs="宋体"/>
          <w:spacing w:val="16"/>
        </w:rPr>
        <w:t xml:space="preserve"> </w:t>
      </w:r>
      <w:r>
        <w:rPr>
          <w:rFonts w:ascii="宋体" w:eastAsia="宋体" w:hAnsi="宋体" w:cs="宋体"/>
          <w:spacing w:val="-3"/>
        </w:rPr>
        <w:t>酸遗传信息的携带，如发生在生殖细胞，常可表现为畸形；发生在体细胞将形成</w:t>
      </w:r>
      <w:r>
        <w:rPr>
          <w:rFonts w:ascii="宋体" w:eastAsia="宋体" w:hAnsi="宋体" w:cs="宋体"/>
          <w:spacing w:val="13"/>
        </w:rPr>
        <w:t xml:space="preserve"> </w:t>
      </w:r>
      <w:r>
        <w:rPr>
          <w:rFonts w:ascii="宋体" w:eastAsia="宋体" w:hAnsi="宋体" w:cs="宋体"/>
          <w:spacing w:val="-9"/>
        </w:rPr>
        <w:t>肿瘤。</w:t>
      </w:r>
    </w:p>
    <w:p w:rsidR="00EA40A3" w:rsidRDefault="00E86C16">
      <w:pPr>
        <w:spacing w:before="147" w:line="254" w:lineRule="auto"/>
        <w:ind w:firstLine="419"/>
        <w:jc w:val="both"/>
        <w:rPr>
          <w:rFonts w:ascii="宋体" w:eastAsia="宋体" w:hAnsi="宋体" w:cs="宋体"/>
        </w:rPr>
      </w:pPr>
      <w:r>
        <w:rPr>
          <w:rFonts w:ascii="宋体" w:eastAsia="宋体" w:hAnsi="宋体" w:cs="宋体"/>
          <w:spacing w:val="7"/>
        </w:rPr>
        <w:t>由于各种常量元素在人体新陈代谢中，每日都有一</w:t>
      </w:r>
      <w:r>
        <w:rPr>
          <w:rFonts w:ascii="宋体" w:eastAsia="宋体" w:hAnsi="宋体" w:cs="宋体"/>
          <w:spacing w:val="6"/>
        </w:rPr>
        <w:t>定量由各种途径如粪、</w:t>
      </w:r>
      <w:r>
        <w:rPr>
          <w:rFonts w:ascii="宋体" w:eastAsia="宋体" w:hAnsi="宋体" w:cs="宋体"/>
        </w:rPr>
        <w:t xml:space="preserve"> 尿、汗、头发、指甲、皮肤及黏膜的脱落等排出体外，因此必须通过膳食补充。</w:t>
      </w:r>
      <w:r>
        <w:rPr>
          <w:rFonts w:ascii="宋体" w:eastAsia="宋体" w:hAnsi="宋体" w:cs="宋体"/>
          <w:spacing w:val="4"/>
        </w:rPr>
        <w:t xml:space="preserve"> </w:t>
      </w:r>
      <w:r>
        <w:rPr>
          <w:rFonts w:ascii="宋体" w:eastAsia="宋体" w:hAnsi="宋体" w:cs="宋体"/>
        </w:rPr>
        <w:t>对钙、磷、镁、钠、钾、氯6种常量元素，许多国家都制定有参考摄入量或适宜</w:t>
      </w:r>
      <w:r>
        <w:rPr>
          <w:rFonts w:ascii="宋体" w:eastAsia="宋体" w:hAnsi="宋体" w:cs="宋体"/>
          <w:spacing w:val="8"/>
        </w:rPr>
        <w:t xml:space="preserve">  </w:t>
      </w:r>
      <w:r>
        <w:rPr>
          <w:rFonts w:ascii="宋体" w:eastAsia="宋体" w:hAnsi="宋体" w:cs="宋体"/>
          <w:spacing w:val="1"/>
        </w:rPr>
        <w:t>摄入量.</w:t>
      </w:r>
    </w:p>
    <w:p w:rsidR="00EA40A3" w:rsidRDefault="00E86C16">
      <w:pPr>
        <w:spacing w:before="74" w:line="249" w:lineRule="auto"/>
        <w:ind w:right="95" w:firstLine="419"/>
        <w:jc w:val="both"/>
        <w:rPr>
          <w:rFonts w:ascii="宋体" w:eastAsia="宋体" w:hAnsi="宋体" w:cs="宋体"/>
        </w:rPr>
      </w:pPr>
      <w:r>
        <w:rPr>
          <w:rFonts w:ascii="宋体" w:eastAsia="宋体" w:hAnsi="宋体" w:cs="宋体"/>
          <w:spacing w:val="-3"/>
        </w:rPr>
        <w:t>必需微量元素缺乏和过量都会对人体产生有害影响，并可成为某些疾病的重</w:t>
      </w:r>
      <w:r>
        <w:rPr>
          <w:rFonts w:ascii="宋体" w:eastAsia="宋体" w:hAnsi="宋体" w:cs="宋体"/>
          <w:spacing w:val="7"/>
        </w:rPr>
        <w:t xml:space="preserve"> </w:t>
      </w:r>
      <w:r>
        <w:rPr>
          <w:rFonts w:ascii="宋体" w:eastAsia="宋体" w:hAnsi="宋体" w:cs="宋体"/>
          <w:spacing w:val="-4"/>
        </w:rPr>
        <w:t>要原因，还能影响人体生长、发育和寿命，在保健和防病方面也有重要作用。因</w:t>
      </w:r>
      <w:r>
        <w:rPr>
          <w:rFonts w:ascii="宋体" w:eastAsia="宋体" w:hAnsi="宋体" w:cs="宋体"/>
          <w:spacing w:val="10"/>
        </w:rPr>
        <w:t xml:space="preserve"> 此，必需微量元素也有一定的参考摄入量或适宜摄入量，也有可耐受最</w:t>
      </w:r>
      <w:r>
        <w:rPr>
          <w:rFonts w:ascii="宋体" w:eastAsia="宋体" w:hAnsi="宋体" w:cs="宋体"/>
          <w:spacing w:val="9"/>
        </w:rPr>
        <w:t>高摄</w:t>
      </w:r>
      <w:r>
        <w:rPr>
          <w:rFonts w:ascii="宋体" w:eastAsia="宋体" w:hAnsi="宋体" w:cs="宋体"/>
        </w:rPr>
        <w:t xml:space="preserve"> </w:t>
      </w:r>
      <w:r>
        <w:rPr>
          <w:rFonts w:ascii="宋体" w:eastAsia="宋体" w:hAnsi="宋体" w:cs="宋体"/>
          <w:spacing w:val="-9"/>
        </w:rPr>
        <w:t>入量。</w:t>
      </w:r>
    </w:p>
    <w:p w:rsidR="00EA40A3" w:rsidRDefault="00E86C16">
      <w:pPr>
        <w:spacing w:before="215" w:line="223" w:lineRule="auto"/>
        <w:ind w:left="3"/>
        <w:outlineLvl w:val="6"/>
        <w:rPr>
          <w:rFonts w:ascii="黑体" w:eastAsia="黑体" w:hAnsi="黑体" w:cs="黑体"/>
        </w:rPr>
      </w:pPr>
      <w:r>
        <w:rPr>
          <w:rFonts w:ascii="黑体" w:eastAsia="黑体" w:hAnsi="黑体" w:cs="黑体"/>
          <w:b/>
          <w:bCs/>
          <w:spacing w:val="-3"/>
        </w:rPr>
        <w:t>4.1.2</w:t>
      </w:r>
      <w:r>
        <w:rPr>
          <w:rFonts w:ascii="黑体" w:eastAsia="黑体" w:hAnsi="黑体" w:cs="黑体"/>
          <w:spacing w:val="4"/>
        </w:rPr>
        <w:t xml:space="preserve">   </w:t>
      </w:r>
      <w:r>
        <w:rPr>
          <w:rFonts w:ascii="黑体" w:eastAsia="黑体" w:hAnsi="黑体" w:cs="黑体"/>
          <w:b/>
          <w:bCs/>
          <w:spacing w:val="-3"/>
        </w:rPr>
        <w:t>钙</w:t>
      </w:r>
    </w:p>
    <w:p w:rsidR="00EA40A3" w:rsidRDefault="00E86C16">
      <w:pPr>
        <w:spacing w:before="217" w:line="249" w:lineRule="auto"/>
        <w:ind w:right="95" w:firstLine="419"/>
        <w:jc w:val="both"/>
        <w:rPr>
          <w:rFonts w:ascii="宋体" w:eastAsia="宋体" w:hAnsi="宋体" w:cs="宋体"/>
        </w:rPr>
      </w:pPr>
      <w:r>
        <w:rPr>
          <w:rFonts w:ascii="宋体" w:eastAsia="宋体" w:hAnsi="宋体" w:cs="宋体"/>
          <w:spacing w:val="12"/>
        </w:rPr>
        <w:t>钙 (</w:t>
      </w:r>
      <w:r>
        <w:rPr>
          <w:rFonts w:ascii="宋体" w:eastAsia="宋体" w:hAnsi="宋体" w:cs="宋体"/>
        </w:rPr>
        <w:t>calcium</w:t>
      </w:r>
      <w:r>
        <w:rPr>
          <w:rFonts w:ascii="宋体" w:eastAsia="宋体" w:hAnsi="宋体" w:cs="宋体"/>
          <w:spacing w:val="12"/>
        </w:rPr>
        <w:t>)</w:t>
      </w:r>
      <w:r>
        <w:rPr>
          <w:rFonts w:ascii="宋体" w:eastAsia="宋体" w:hAnsi="宋体" w:cs="宋体"/>
          <w:spacing w:val="-45"/>
        </w:rPr>
        <w:t xml:space="preserve"> </w:t>
      </w:r>
      <w:r>
        <w:rPr>
          <w:rFonts w:ascii="宋体" w:eastAsia="宋体" w:hAnsi="宋体" w:cs="宋体"/>
          <w:spacing w:val="12"/>
        </w:rPr>
        <w:t>是人体中含量最丰富的矿物元素，约占成人</w:t>
      </w:r>
      <w:r>
        <w:rPr>
          <w:rFonts w:ascii="宋体" w:eastAsia="宋体" w:hAnsi="宋体" w:cs="宋体"/>
          <w:spacing w:val="11"/>
        </w:rPr>
        <w:t>体重的1.5%~</w:t>
      </w:r>
      <w:r>
        <w:rPr>
          <w:rFonts w:ascii="宋体" w:eastAsia="宋体" w:hAnsi="宋体" w:cs="宋体"/>
        </w:rPr>
        <w:t xml:space="preserve"> </w:t>
      </w:r>
      <w:r>
        <w:rPr>
          <w:rFonts w:ascii="宋体" w:eastAsia="宋体" w:hAnsi="宋体" w:cs="宋体"/>
          <w:spacing w:val="8"/>
        </w:rPr>
        <w:t xml:space="preserve">2.0%,达1000～1200g。钙不仅是构成机体完整性不可缺少的组成部分，而且 </w:t>
      </w:r>
      <w:r>
        <w:rPr>
          <w:rFonts w:ascii="宋体" w:eastAsia="宋体" w:hAnsi="宋体" w:cs="宋体"/>
          <w:spacing w:val="-4"/>
        </w:rPr>
        <w:t>在机体各种生理和生化过程中起着极为重要的作用。</w:t>
      </w:r>
    </w:p>
    <w:p w:rsidR="00EA40A3" w:rsidRDefault="00E86C16">
      <w:pPr>
        <w:spacing w:before="219" w:line="222" w:lineRule="auto"/>
        <w:rPr>
          <w:rFonts w:ascii="仿宋" w:eastAsia="仿宋" w:hAnsi="仿宋" w:cs="仿宋"/>
        </w:rPr>
      </w:pPr>
      <w:r>
        <w:rPr>
          <w:rFonts w:ascii="仿宋" w:eastAsia="仿宋" w:hAnsi="仿宋" w:cs="仿宋"/>
          <w:spacing w:val="7"/>
        </w:rPr>
        <w:t>1.</w:t>
      </w:r>
      <w:r>
        <w:rPr>
          <w:rFonts w:ascii="仿宋" w:eastAsia="仿宋" w:hAnsi="仿宋" w:cs="仿宋"/>
          <w:spacing w:val="47"/>
        </w:rPr>
        <w:t xml:space="preserve"> </w:t>
      </w:r>
      <w:r>
        <w:rPr>
          <w:rFonts w:ascii="仿宋" w:eastAsia="仿宋" w:hAnsi="仿宋" w:cs="仿宋"/>
          <w:spacing w:val="7"/>
        </w:rPr>
        <w:t>钙的生理功能</w:t>
      </w:r>
    </w:p>
    <w:p w:rsidR="00EA40A3" w:rsidRDefault="00E86C16">
      <w:pPr>
        <w:spacing w:before="209" w:line="219" w:lineRule="auto"/>
        <w:ind w:left="419"/>
        <w:rPr>
          <w:rFonts w:ascii="宋体" w:eastAsia="宋体" w:hAnsi="宋体" w:cs="宋体"/>
        </w:rPr>
      </w:pPr>
      <w:r>
        <w:rPr>
          <w:rFonts w:ascii="宋体" w:eastAsia="宋体" w:hAnsi="宋体" w:cs="宋体"/>
          <w:spacing w:val="1"/>
        </w:rPr>
        <w:t>(1)钙是构成机体骨骼和牙齿的主要成分。钙是构成骨骼的重要组分，骨</w:t>
      </w:r>
      <w:r>
        <w:rPr>
          <w:rFonts w:ascii="宋体" w:eastAsia="宋体" w:hAnsi="宋体" w:cs="宋体"/>
        </w:rPr>
        <w:t>骼</w:t>
      </w:r>
    </w:p>
    <w:p w:rsidR="00EA40A3" w:rsidRDefault="00E86C16">
      <w:pPr>
        <w:spacing w:before="49" w:line="243" w:lineRule="auto"/>
        <w:ind w:right="96"/>
        <w:rPr>
          <w:rFonts w:ascii="宋体" w:eastAsia="宋体" w:hAnsi="宋体" w:cs="宋体"/>
        </w:rPr>
      </w:pPr>
      <w:r>
        <w:rPr>
          <w:rFonts w:ascii="宋体" w:eastAsia="宋体" w:hAnsi="宋体" w:cs="宋体"/>
          <w:spacing w:val="12"/>
        </w:rPr>
        <w:t>中的钙占干体重的25%和总灰分的40%,钙对保证骨骼的正常生长发育和维持</w:t>
      </w:r>
      <w:r>
        <w:rPr>
          <w:rFonts w:ascii="宋体" w:eastAsia="宋体" w:hAnsi="宋体" w:cs="宋体"/>
        </w:rPr>
        <w:t xml:space="preserve"> </w:t>
      </w:r>
      <w:r>
        <w:rPr>
          <w:rFonts w:ascii="宋体" w:eastAsia="宋体" w:hAnsi="宋体" w:cs="宋体"/>
          <w:spacing w:val="-3"/>
        </w:rPr>
        <w:t>骨健康起着至关重要的作用。</w:t>
      </w:r>
    </w:p>
    <w:p w:rsidR="00EA40A3" w:rsidRDefault="00E86C16">
      <w:pPr>
        <w:spacing w:before="53" w:line="214" w:lineRule="auto"/>
        <w:ind w:left="419"/>
        <w:rPr>
          <w:rFonts w:ascii="宋体" w:eastAsia="宋体" w:hAnsi="宋体" w:cs="宋体"/>
        </w:rPr>
      </w:pPr>
      <w:r>
        <w:rPr>
          <w:rFonts w:ascii="宋体" w:eastAsia="宋体" w:hAnsi="宋体" w:cs="宋体"/>
          <w:spacing w:val="-2"/>
        </w:rPr>
        <w:t>骨骼通过成骨作用</w:t>
      </w:r>
      <w:r>
        <w:rPr>
          <w:rFonts w:ascii="宋体" w:eastAsia="宋体" w:hAnsi="宋体" w:cs="宋体"/>
          <w:spacing w:val="-31"/>
        </w:rPr>
        <w:t xml:space="preserve"> </w:t>
      </w:r>
      <w:r>
        <w:rPr>
          <w:rFonts w:ascii="宋体" w:eastAsia="宋体" w:hAnsi="宋体" w:cs="宋体"/>
          <w:spacing w:val="-2"/>
        </w:rPr>
        <w:t>(osteogenesis,</w:t>
      </w:r>
      <w:r>
        <w:rPr>
          <w:rFonts w:ascii="宋体" w:eastAsia="宋体" w:hAnsi="宋体" w:cs="宋体"/>
          <w:spacing w:val="-47"/>
        </w:rPr>
        <w:t xml:space="preserve"> </w:t>
      </w:r>
      <w:r>
        <w:rPr>
          <w:rFonts w:ascii="宋体" w:eastAsia="宋体" w:hAnsi="宋体" w:cs="宋体"/>
          <w:spacing w:val="-2"/>
        </w:rPr>
        <w:t>即新骨不断生成)和溶骨</w:t>
      </w:r>
      <w:r>
        <w:rPr>
          <w:rFonts w:ascii="宋体" w:eastAsia="宋体" w:hAnsi="宋体" w:cs="宋体"/>
          <w:spacing w:val="-3"/>
        </w:rPr>
        <w:t>作用</w:t>
      </w:r>
      <w:r>
        <w:rPr>
          <w:rFonts w:ascii="宋体" w:eastAsia="宋体" w:hAnsi="宋体" w:cs="宋体"/>
          <w:spacing w:val="-30"/>
        </w:rPr>
        <w:t xml:space="preserve"> </w:t>
      </w:r>
      <w:r>
        <w:rPr>
          <w:rFonts w:ascii="宋体" w:eastAsia="宋体" w:hAnsi="宋体" w:cs="宋体"/>
          <w:spacing w:val="-3"/>
        </w:rPr>
        <w:t>(</w:t>
      </w:r>
      <w:r>
        <w:rPr>
          <w:rFonts w:ascii="宋体" w:eastAsia="宋体" w:hAnsi="宋体" w:cs="宋体"/>
          <w:spacing w:val="-2"/>
        </w:rPr>
        <w:t>osteoly</w:t>
      </w:r>
      <w:r>
        <w:rPr>
          <w:rFonts w:ascii="宋体" w:eastAsia="宋体" w:hAnsi="宋体" w:cs="宋体"/>
          <w:spacing w:val="-3"/>
        </w:rPr>
        <w:t>-</w:t>
      </w:r>
    </w:p>
    <w:p w:rsidR="00EA40A3" w:rsidRDefault="00E86C16">
      <w:pPr>
        <w:spacing w:before="129"/>
        <w:ind w:right="90"/>
        <w:jc w:val="right"/>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85</w:t>
      </w:r>
      <w:r>
        <w:rPr>
          <w:rFonts w:ascii="宋体" w:eastAsia="宋体" w:hAnsi="宋体" w:cs="宋体"/>
          <w:spacing w:val="49"/>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934" w:bottom="400" w:left="930" w:header="0" w:footer="0" w:gutter="0"/>
          <w:cols w:space="720"/>
        </w:sectPr>
      </w:pPr>
    </w:p>
    <w:p w:rsidR="00EA40A3" w:rsidRDefault="00EA40A3">
      <w:pPr>
        <w:spacing w:line="302" w:lineRule="auto"/>
      </w:pPr>
    </w:p>
    <w:p w:rsidR="00EA40A3" w:rsidRDefault="00EA40A3">
      <w:pPr>
        <w:spacing w:line="302" w:lineRule="auto"/>
      </w:pPr>
    </w:p>
    <w:p w:rsidR="00EA40A3" w:rsidRDefault="00E86C16">
      <w:pPr>
        <w:spacing w:before="68" w:line="250" w:lineRule="auto"/>
        <w:ind w:right="91"/>
        <w:jc w:val="both"/>
        <w:rPr>
          <w:rFonts w:ascii="宋体" w:eastAsia="宋体" w:hAnsi="宋体" w:cs="宋体"/>
        </w:rPr>
      </w:pPr>
      <w:r>
        <w:rPr>
          <w:rFonts w:ascii="宋体" w:eastAsia="宋体" w:hAnsi="宋体" w:cs="宋体"/>
        </w:rPr>
        <w:t>sis</w:t>
      </w:r>
      <w:r>
        <w:rPr>
          <w:rFonts w:ascii="宋体" w:eastAsia="宋体" w:hAnsi="宋体" w:cs="宋体"/>
          <w:spacing w:val="1"/>
        </w:rPr>
        <w:t>,</w:t>
      </w:r>
      <w:r>
        <w:rPr>
          <w:rFonts w:ascii="宋体" w:eastAsia="宋体" w:hAnsi="宋体" w:cs="宋体"/>
          <w:spacing w:val="-37"/>
        </w:rPr>
        <w:t xml:space="preserve"> </w:t>
      </w:r>
      <w:r>
        <w:rPr>
          <w:rFonts w:ascii="宋体" w:eastAsia="宋体" w:hAnsi="宋体" w:cs="宋体"/>
          <w:spacing w:val="1"/>
        </w:rPr>
        <w:t>即旧骨不断吸收),使其各种组分与血液间保持动态平衡。骨骼中的成骨细</w:t>
      </w:r>
      <w:r>
        <w:rPr>
          <w:rFonts w:ascii="宋体" w:eastAsia="宋体" w:hAnsi="宋体" w:cs="宋体"/>
        </w:rPr>
        <w:t xml:space="preserve"> </w:t>
      </w:r>
      <w:r>
        <w:rPr>
          <w:rFonts w:ascii="宋体" w:eastAsia="宋体" w:hAnsi="宋体" w:cs="宋体"/>
          <w:spacing w:val="-3"/>
        </w:rPr>
        <w:t>胞参与骨质成分的合成，破骨细胞参与骨的吸收，使骨基质释放</w:t>
      </w:r>
      <w:r>
        <w:rPr>
          <w:rFonts w:ascii="宋体" w:eastAsia="宋体" w:hAnsi="宋体" w:cs="宋体"/>
          <w:spacing w:val="-4"/>
        </w:rPr>
        <w:t>出钙，并将其运</w:t>
      </w:r>
      <w:r>
        <w:rPr>
          <w:rFonts w:ascii="宋体" w:eastAsia="宋体" w:hAnsi="宋体" w:cs="宋体"/>
        </w:rPr>
        <w:t xml:space="preserve"> </w:t>
      </w:r>
      <w:r>
        <w:rPr>
          <w:rFonts w:ascii="宋体" w:eastAsia="宋体" w:hAnsi="宋体" w:cs="宋体"/>
          <w:spacing w:val="-6"/>
        </w:rPr>
        <w:t>送进血液。</w:t>
      </w:r>
    </w:p>
    <w:p w:rsidR="00EA40A3" w:rsidRDefault="00E86C16">
      <w:pPr>
        <w:spacing w:before="74" w:line="269" w:lineRule="auto"/>
        <w:ind w:firstLine="460"/>
        <w:rPr>
          <w:rFonts w:ascii="宋体" w:eastAsia="宋体" w:hAnsi="宋体" w:cs="宋体"/>
        </w:rPr>
      </w:pPr>
      <w:r>
        <w:rPr>
          <w:rFonts w:ascii="宋体" w:eastAsia="宋体" w:hAnsi="宋体" w:cs="宋体"/>
          <w:spacing w:val="-3"/>
        </w:rPr>
        <w:t>骨钙的更新速率，因年龄而变化。妊娠早期，胎儿</w:t>
      </w:r>
      <w:r>
        <w:rPr>
          <w:rFonts w:ascii="宋体" w:eastAsia="宋体" w:hAnsi="宋体" w:cs="宋体"/>
          <w:spacing w:val="-4"/>
        </w:rPr>
        <w:t>仅有少量钙沉积，以后钙</w:t>
      </w:r>
      <w:r>
        <w:rPr>
          <w:rFonts w:ascii="宋体" w:eastAsia="宋体" w:hAnsi="宋体" w:cs="宋体"/>
        </w:rPr>
        <w:t xml:space="preserve"> </w:t>
      </w:r>
      <w:r>
        <w:rPr>
          <w:rFonts w:ascii="宋体" w:eastAsia="宋体" w:hAnsi="宋体" w:cs="宋体"/>
          <w:spacing w:val="3"/>
        </w:rPr>
        <w:t>浓度很快升高至胎儿体重的0.5%。妊娠后期，胎儿从母体约取得20g</w:t>
      </w:r>
      <w:r>
        <w:rPr>
          <w:rFonts w:ascii="宋体" w:eastAsia="宋体" w:hAnsi="宋体" w:cs="宋体"/>
          <w:spacing w:val="-38"/>
        </w:rPr>
        <w:t xml:space="preserve"> </w:t>
      </w:r>
      <w:r>
        <w:rPr>
          <w:rFonts w:ascii="宋体" w:eastAsia="宋体" w:hAnsi="宋体" w:cs="宋体"/>
          <w:spacing w:val="3"/>
        </w:rPr>
        <w:t>的钙，足</w:t>
      </w:r>
      <w:r>
        <w:rPr>
          <w:rFonts w:ascii="宋体" w:eastAsia="宋体" w:hAnsi="宋体" w:cs="宋体"/>
        </w:rPr>
        <w:t xml:space="preserve">  </w:t>
      </w:r>
      <w:r>
        <w:rPr>
          <w:rFonts w:ascii="宋体" w:eastAsia="宋体" w:hAnsi="宋体" w:cs="宋体"/>
          <w:spacing w:val="10"/>
        </w:rPr>
        <w:t>月新生儿钙相当于其体重的1%。1岁以前婴儿每年转换100%,以后稍渐降低，</w:t>
      </w:r>
      <w:r>
        <w:rPr>
          <w:rFonts w:ascii="宋体" w:eastAsia="宋体" w:hAnsi="宋体" w:cs="宋体"/>
          <w:spacing w:val="13"/>
        </w:rPr>
        <w:t xml:space="preserve"> </w:t>
      </w:r>
      <w:r>
        <w:rPr>
          <w:rFonts w:ascii="宋体" w:eastAsia="宋体" w:hAnsi="宋体" w:cs="宋体"/>
          <w:spacing w:val="14"/>
        </w:rPr>
        <w:t>每年可转换50%,即每两年骨钙可更新一次。儿童阶段每年转换10%,由于儿</w:t>
      </w:r>
      <w:r>
        <w:rPr>
          <w:rFonts w:ascii="宋体" w:eastAsia="宋体" w:hAnsi="宋体" w:cs="宋体"/>
          <w:spacing w:val="6"/>
        </w:rPr>
        <w:t xml:space="preserve">  </w:t>
      </w:r>
      <w:r>
        <w:rPr>
          <w:rFonts w:ascii="宋体" w:eastAsia="宋体" w:hAnsi="宋体" w:cs="宋体"/>
          <w:spacing w:val="-3"/>
        </w:rPr>
        <w:t>童时期生长发育旺盛，对钙需要量多，如长期摄入钙不足，并常</w:t>
      </w:r>
      <w:r>
        <w:rPr>
          <w:rFonts w:ascii="宋体" w:eastAsia="宋体" w:hAnsi="宋体" w:cs="宋体"/>
          <w:spacing w:val="-4"/>
        </w:rPr>
        <w:t>伴随蛋白质和维</w:t>
      </w:r>
      <w:r>
        <w:rPr>
          <w:rFonts w:ascii="宋体" w:eastAsia="宋体" w:hAnsi="宋体" w:cs="宋体"/>
        </w:rPr>
        <w:t xml:space="preserve">  </w:t>
      </w:r>
      <w:r>
        <w:rPr>
          <w:rFonts w:ascii="宋体" w:eastAsia="宋体" w:hAnsi="宋体" w:cs="宋体"/>
          <w:spacing w:val="2"/>
        </w:rPr>
        <w:t>生素</w:t>
      </w:r>
      <w:r>
        <w:rPr>
          <w:rFonts w:ascii="宋体" w:eastAsia="宋体" w:hAnsi="宋体" w:cs="宋体"/>
          <w:spacing w:val="-56"/>
        </w:rPr>
        <w:t xml:space="preserve"> </w:t>
      </w:r>
      <w:r>
        <w:rPr>
          <w:rFonts w:ascii="宋体" w:eastAsia="宋体" w:hAnsi="宋体" w:cs="宋体"/>
          <w:spacing w:val="2"/>
        </w:rPr>
        <w:t>D</w:t>
      </w:r>
      <w:r>
        <w:rPr>
          <w:rFonts w:ascii="宋体" w:eastAsia="宋体" w:hAnsi="宋体" w:cs="宋体"/>
          <w:spacing w:val="-6"/>
        </w:rPr>
        <w:t xml:space="preserve"> </w:t>
      </w:r>
      <w:r>
        <w:rPr>
          <w:rFonts w:ascii="宋体" w:eastAsia="宋体" w:hAnsi="宋体" w:cs="宋体"/>
          <w:spacing w:val="2"/>
        </w:rPr>
        <w:t>缺乏，可引起生长迟缓、新骨结构异常、</w:t>
      </w:r>
      <w:r>
        <w:rPr>
          <w:rFonts w:ascii="宋体" w:eastAsia="宋体" w:hAnsi="宋体" w:cs="宋体"/>
          <w:spacing w:val="1"/>
        </w:rPr>
        <w:t>骨钙化不良、骨骼变形，发生</w:t>
      </w:r>
      <w:r>
        <w:rPr>
          <w:rFonts w:ascii="宋体" w:eastAsia="宋体" w:hAnsi="宋体" w:cs="宋体"/>
        </w:rPr>
        <w:t xml:space="preserve">  </w:t>
      </w:r>
      <w:r>
        <w:rPr>
          <w:rFonts w:ascii="宋体" w:eastAsia="宋体" w:hAnsi="宋体" w:cs="宋体"/>
          <w:spacing w:val="3"/>
        </w:rPr>
        <w:t>佝偻病</w:t>
      </w:r>
      <w:r>
        <w:rPr>
          <w:rFonts w:ascii="宋体" w:eastAsia="宋体" w:hAnsi="宋体" w:cs="宋体"/>
          <w:spacing w:val="-20"/>
        </w:rPr>
        <w:t xml:space="preserve"> </w:t>
      </w:r>
      <w:r>
        <w:rPr>
          <w:rFonts w:ascii="宋体" w:eastAsia="宋体" w:hAnsi="宋体" w:cs="宋体"/>
          <w:spacing w:val="3"/>
        </w:rPr>
        <w:t>(</w:t>
      </w:r>
      <w:r>
        <w:rPr>
          <w:rFonts w:ascii="宋体" w:eastAsia="宋体" w:hAnsi="宋体" w:cs="宋体"/>
        </w:rPr>
        <w:t>rickets</w:t>
      </w:r>
      <w:r>
        <w:rPr>
          <w:rFonts w:ascii="宋体" w:eastAsia="宋体" w:hAnsi="宋体" w:cs="宋体"/>
          <w:spacing w:val="3"/>
        </w:rPr>
        <w:t>)。</w:t>
      </w:r>
      <w:r>
        <w:rPr>
          <w:rFonts w:ascii="宋体" w:eastAsia="宋体" w:hAnsi="宋体" w:cs="宋体"/>
          <w:spacing w:val="-62"/>
        </w:rPr>
        <w:t xml:space="preserve"> </w:t>
      </w:r>
      <w:r>
        <w:rPr>
          <w:rFonts w:ascii="宋体" w:eastAsia="宋体" w:hAnsi="宋体" w:cs="宋体"/>
          <w:spacing w:val="3"/>
        </w:rPr>
        <w:t>健康年轻成人骨吸收与形成维持平衡，每年转变5</w:t>
      </w:r>
      <w:r>
        <w:rPr>
          <w:rFonts w:ascii="宋体" w:eastAsia="宋体" w:hAnsi="宋体" w:cs="宋体"/>
          <w:spacing w:val="2"/>
        </w:rPr>
        <w:t>%。40岁</w:t>
      </w:r>
      <w:r>
        <w:rPr>
          <w:rFonts w:ascii="宋体" w:eastAsia="宋体" w:hAnsi="宋体" w:cs="宋体"/>
        </w:rPr>
        <w:t xml:space="preserve"> </w:t>
      </w:r>
      <w:r>
        <w:rPr>
          <w:rFonts w:ascii="宋体" w:eastAsia="宋体" w:hAnsi="宋体" w:cs="宋体"/>
          <w:spacing w:val="6"/>
        </w:rPr>
        <w:t>以后骨形成明显减弱，转换速率为每年0.7%,绝</w:t>
      </w:r>
      <w:r>
        <w:rPr>
          <w:rFonts w:ascii="宋体" w:eastAsia="宋体" w:hAnsi="宋体" w:cs="宋体"/>
          <w:spacing w:val="5"/>
        </w:rPr>
        <w:t>经后的妇女和老年男女，其体</w:t>
      </w:r>
      <w:r>
        <w:rPr>
          <w:rFonts w:ascii="宋体" w:eastAsia="宋体" w:hAnsi="宋体" w:cs="宋体"/>
        </w:rPr>
        <w:t xml:space="preserve">  </w:t>
      </w:r>
      <w:r>
        <w:rPr>
          <w:rFonts w:ascii="宋体" w:eastAsia="宋体" w:hAnsi="宋体" w:cs="宋体"/>
          <w:spacing w:val="3"/>
        </w:rPr>
        <w:t>内钙吸收更占优势。人在20岁以前，主要为骨的生长阶段，其后的10余年骨质</w:t>
      </w:r>
      <w:r>
        <w:rPr>
          <w:rFonts w:ascii="宋体" w:eastAsia="宋体" w:hAnsi="宋体" w:cs="宋体"/>
          <w:spacing w:val="5"/>
        </w:rPr>
        <w:t xml:space="preserve"> </w:t>
      </w:r>
      <w:r>
        <w:rPr>
          <w:rFonts w:ascii="宋体" w:eastAsia="宋体" w:hAnsi="宋体" w:cs="宋体"/>
          <w:spacing w:val="3"/>
        </w:rPr>
        <w:t>继续增加，约在35～40岁，单位体积内的骨质达到顶峰，称峰值骨密度</w:t>
      </w:r>
      <w:r>
        <w:rPr>
          <w:rFonts w:ascii="宋体" w:eastAsia="宋体" w:hAnsi="宋体" w:cs="宋体"/>
          <w:spacing w:val="2"/>
        </w:rPr>
        <w:t>。此后</w:t>
      </w:r>
      <w:r>
        <w:rPr>
          <w:rFonts w:ascii="宋体" w:eastAsia="宋体" w:hAnsi="宋体" w:cs="宋体"/>
        </w:rPr>
        <w:t xml:space="preserve">  </w:t>
      </w:r>
      <w:r>
        <w:rPr>
          <w:rFonts w:ascii="宋体" w:eastAsia="宋体" w:hAnsi="宋体" w:cs="宋体"/>
          <w:spacing w:val="-1"/>
        </w:rPr>
        <w:t>骨质逐渐丢失。妇女绝经以后，骨质丢失速度加快，骨密度降低到一定程度时，</w:t>
      </w:r>
      <w:r>
        <w:rPr>
          <w:rFonts w:ascii="宋体" w:eastAsia="宋体" w:hAnsi="宋体" w:cs="宋体"/>
          <w:spacing w:val="18"/>
        </w:rPr>
        <w:t xml:space="preserve"> </w:t>
      </w:r>
      <w:r>
        <w:rPr>
          <w:rFonts w:ascii="宋体" w:eastAsia="宋体" w:hAnsi="宋体" w:cs="宋体"/>
          <w:spacing w:val="-1"/>
        </w:rPr>
        <w:t>就不能保持骨骼结构的完整，甚至压缩变形，以致在很小外力下即可发生骨折，</w:t>
      </w:r>
      <w:r>
        <w:rPr>
          <w:rFonts w:ascii="宋体" w:eastAsia="宋体" w:hAnsi="宋体" w:cs="宋体"/>
          <w:spacing w:val="18"/>
        </w:rPr>
        <w:t xml:space="preserve"> </w:t>
      </w:r>
      <w:r>
        <w:rPr>
          <w:rFonts w:ascii="宋体" w:eastAsia="宋体" w:hAnsi="宋体" w:cs="宋体"/>
          <w:spacing w:val="-7"/>
        </w:rPr>
        <w:t>即为骨质疏松症</w:t>
      </w:r>
      <w:r>
        <w:rPr>
          <w:rFonts w:ascii="宋体" w:eastAsia="宋体" w:hAnsi="宋体" w:cs="宋体"/>
          <w:spacing w:val="5"/>
        </w:rPr>
        <w:t xml:space="preserve"> </w:t>
      </w:r>
      <w:r>
        <w:rPr>
          <w:rFonts w:ascii="宋体" w:eastAsia="宋体" w:hAnsi="宋体" w:cs="宋体"/>
          <w:spacing w:val="-7"/>
        </w:rPr>
        <w:t>(osteoporosis)。</w:t>
      </w:r>
      <w:r>
        <w:rPr>
          <w:rFonts w:ascii="宋体" w:eastAsia="宋体" w:hAnsi="宋体" w:cs="宋体"/>
          <w:spacing w:val="-31"/>
        </w:rPr>
        <w:t xml:space="preserve"> </w:t>
      </w:r>
      <w:r>
        <w:rPr>
          <w:rFonts w:ascii="宋体" w:eastAsia="宋体" w:hAnsi="宋体" w:cs="宋体"/>
          <w:spacing w:val="-7"/>
        </w:rPr>
        <w:t>骨骼成熟时所达到的骨骼峰值，是决定骨质疏</w:t>
      </w:r>
      <w:r>
        <w:rPr>
          <w:rFonts w:ascii="宋体" w:eastAsia="宋体" w:hAnsi="宋体" w:cs="宋体"/>
        </w:rPr>
        <w:t xml:space="preserve">  </w:t>
      </w:r>
      <w:r>
        <w:rPr>
          <w:rFonts w:ascii="宋体" w:eastAsia="宋体" w:hAnsi="宋体" w:cs="宋体"/>
          <w:spacing w:val="-6"/>
        </w:rPr>
        <w:t>松危险性的主要因素。</w:t>
      </w:r>
    </w:p>
    <w:p w:rsidR="00EA40A3" w:rsidRDefault="00E86C16">
      <w:pPr>
        <w:spacing w:before="100" w:line="246" w:lineRule="auto"/>
        <w:ind w:right="41" w:firstLine="460"/>
        <w:rPr>
          <w:rFonts w:ascii="宋体" w:eastAsia="宋体" w:hAnsi="宋体" w:cs="宋体"/>
        </w:rPr>
      </w:pPr>
      <w:r>
        <w:rPr>
          <w:rFonts w:ascii="宋体" w:eastAsia="宋体" w:hAnsi="宋体" w:cs="宋体"/>
          <w:spacing w:val="-3"/>
        </w:rPr>
        <w:t>牙本质是牙的主体，其化学组成类似骨，但组织结构和骨差别很大，牙本质</w:t>
      </w:r>
      <w:r>
        <w:rPr>
          <w:rFonts w:ascii="宋体" w:eastAsia="宋体" w:hAnsi="宋体" w:cs="宋体"/>
          <w:spacing w:val="1"/>
        </w:rPr>
        <w:t xml:space="preserve"> </w:t>
      </w:r>
      <w:r>
        <w:rPr>
          <w:rFonts w:ascii="宋体" w:eastAsia="宋体" w:hAnsi="宋体" w:cs="宋体"/>
          <w:spacing w:val="-3"/>
        </w:rPr>
        <w:t>没有细胞、血管和神经，因此牙齿中的矿物质</w:t>
      </w:r>
      <w:r>
        <w:rPr>
          <w:rFonts w:ascii="宋体" w:eastAsia="宋体" w:hAnsi="宋体" w:cs="宋体"/>
          <w:spacing w:val="-4"/>
        </w:rPr>
        <w:t>无更新转换过程。</w:t>
      </w:r>
    </w:p>
    <w:p w:rsidR="00EA40A3" w:rsidRDefault="00E86C16">
      <w:pPr>
        <w:spacing w:before="70" w:line="258" w:lineRule="auto"/>
        <w:ind w:right="47" w:firstLine="460"/>
        <w:rPr>
          <w:rFonts w:ascii="宋体" w:eastAsia="宋体" w:hAnsi="宋体" w:cs="宋体"/>
        </w:rPr>
      </w:pPr>
      <w:r>
        <w:rPr>
          <w:rFonts w:ascii="宋体" w:eastAsia="宋体" w:hAnsi="宋体" w:cs="宋体"/>
        </w:rPr>
        <w:t>(2)维持多种正常生理功能。分布在体液和其他组织中的钙</w:t>
      </w:r>
      <w:r>
        <w:rPr>
          <w:rFonts w:ascii="宋体" w:eastAsia="宋体" w:hAnsi="宋体" w:cs="宋体"/>
          <w:spacing w:val="-1"/>
        </w:rPr>
        <w:t>，虽然还不到体</w:t>
      </w:r>
      <w:r>
        <w:rPr>
          <w:rFonts w:ascii="宋体" w:eastAsia="宋体" w:hAnsi="宋体" w:cs="宋体"/>
        </w:rPr>
        <w:t xml:space="preserve"> </w:t>
      </w:r>
      <w:r>
        <w:rPr>
          <w:rFonts w:ascii="宋体" w:eastAsia="宋体" w:hAnsi="宋体" w:cs="宋体"/>
          <w:spacing w:val="6"/>
        </w:rPr>
        <w:t>内总钙量的1%,但在机体内多方面的生理活动和生物化学过程中起着重要的调</w:t>
      </w:r>
      <w:r>
        <w:rPr>
          <w:rFonts w:ascii="宋体" w:eastAsia="宋体" w:hAnsi="宋体" w:cs="宋体"/>
          <w:spacing w:val="1"/>
        </w:rPr>
        <w:t xml:space="preserve"> </w:t>
      </w:r>
      <w:r>
        <w:rPr>
          <w:rFonts w:ascii="宋体" w:eastAsia="宋体" w:hAnsi="宋体" w:cs="宋体"/>
          <w:spacing w:val="14"/>
        </w:rPr>
        <w:t>节作用。细胞外液的钙约1g,</w:t>
      </w:r>
      <w:r>
        <w:rPr>
          <w:rFonts w:ascii="宋体" w:eastAsia="宋体" w:hAnsi="宋体" w:cs="宋体"/>
          <w:spacing w:val="36"/>
        </w:rPr>
        <w:t xml:space="preserve"> </w:t>
      </w:r>
      <w:r>
        <w:rPr>
          <w:rFonts w:ascii="宋体" w:eastAsia="宋体" w:hAnsi="宋体" w:cs="宋体"/>
          <w:spacing w:val="14"/>
        </w:rPr>
        <w:t>占总钙的0</w:t>
      </w:r>
      <w:r>
        <w:rPr>
          <w:rFonts w:ascii="宋体" w:eastAsia="宋体" w:hAnsi="宋体" w:cs="宋体"/>
          <w:spacing w:val="-58"/>
        </w:rPr>
        <w:t xml:space="preserve"> </w:t>
      </w:r>
      <w:r>
        <w:rPr>
          <w:rFonts w:ascii="宋体" w:eastAsia="宋体" w:hAnsi="宋体" w:cs="宋体"/>
          <w:spacing w:val="14"/>
        </w:rPr>
        <w:t>.</w:t>
      </w:r>
      <w:r>
        <w:rPr>
          <w:rFonts w:ascii="宋体" w:eastAsia="宋体" w:hAnsi="宋体" w:cs="宋体"/>
          <w:spacing w:val="-49"/>
        </w:rPr>
        <w:t xml:space="preserve"> </w:t>
      </w:r>
      <w:r>
        <w:rPr>
          <w:rFonts w:ascii="宋体" w:eastAsia="宋体" w:hAnsi="宋体" w:cs="宋体"/>
          <w:spacing w:val="14"/>
        </w:rPr>
        <w:t>1%;细胞内</w:t>
      </w:r>
      <w:r>
        <w:rPr>
          <w:rFonts w:ascii="宋体" w:eastAsia="宋体" w:hAnsi="宋体" w:cs="宋体"/>
          <w:spacing w:val="13"/>
        </w:rPr>
        <w:t>的钙约7g,</w:t>
      </w:r>
      <w:r>
        <w:rPr>
          <w:rFonts w:ascii="宋体" w:eastAsia="宋体" w:hAnsi="宋体" w:cs="宋体"/>
          <w:spacing w:val="37"/>
        </w:rPr>
        <w:t xml:space="preserve"> </w:t>
      </w:r>
      <w:r>
        <w:rPr>
          <w:rFonts w:ascii="宋体" w:eastAsia="宋体" w:hAnsi="宋体" w:cs="宋体"/>
          <w:spacing w:val="13"/>
        </w:rPr>
        <w:t>占总钙的</w:t>
      </w:r>
      <w:r>
        <w:rPr>
          <w:rFonts w:ascii="宋体" w:eastAsia="宋体" w:hAnsi="宋体" w:cs="宋体"/>
        </w:rPr>
        <w:t xml:space="preserve"> </w:t>
      </w:r>
      <w:r>
        <w:rPr>
          <w:rFonts w:ascii="宋体" w:eastAsia="宋体" w:hAnsi="宋体" w:cs="宋体"/>
          <w:spacing w:val="3"/>
        </w:rPr>
        <w:t>0.6%。血钙较稳定，正常浓度为2.25～2.75</w:t>
      </w:r>
      <w:r>
        <w:rPr>
          <w:rFonts w:ascii="宋体" w:eastAsia="宋体" w:hAnsi="宋体" w:cs="宋体"/>
        </w:rPr>
        <w:t>mmol</w:t>
      </w:r>
      <w:r>
        <w:rPr>
          <w:rFonts w:ascii="宋体" w:eastAsia="宋体" w:hAnsi="宋体" w:cs="宋体"/>
          <w:spacing w:val="3"/>
        </w:rPr>
        <w:t>/L(90～110</w:t>
      </w:r>
      <w:r>
        <w:rPr>
          <w:rFonts w:ascii="宋体" w:eastAsia="宋体" w:hAnsi="宋体" w:cs="宋体"/>
        </w:rPr>
        <w:t>mg</w:t>
      </w:r>
      <w:r>
        <w:rPr>
          <w:rFonts w:ascii="宋体" w:eastAsia="宋体" w:hAnsi="宋体" w:cs="宋体"/>
          <w:spacing w:val="3"/>
        </w:rPr>
        <w:t>/L),</w:t>
      </w:r>
      <w:r>
        <w:rPr>
          <w:rFonts w:ascii="宋体" w:eastAsia="宋体" w:hAnsi="宋体" w:cs="宋体"/>
          <w:spacing w:val="4"/>
        </w:rPr>
        <w:t xml:space="preserve">    </w:t>
      </w:r>
      <w:r>
        <w:rPr>
          <w:rFonts w:ascii="宋体" w:eastAsia="宋体" w:hAnsi="宋体" w:cs="宋体"/>
          <w:spacing w:val="3"/>
        </w:rPr>
        <w:t>占总钙</w:t>
      </w:r>
      <w:r>
        <w:rPr>
          <w:rFonts w:ascii="宋体" w:eastAsia="宋体" w:hAnsi="宋体" w:cs="宋体"/>
        </w:rPr>
        <w:t xml:space="preserve"> </w:t>
      </w:r>
      <w:r>
        <w:rPr>
          <w:rFonts w:ascii="宋体" w:eastAsia="宋体" w:hAnsi="宋体" w:cs="宋体"/>
          <w:spacing w:val="7"/>
        </w:rPr>
        <w:t>的0.03%。血液中的钙可分为扩散性和非扩散性钙两部分。非扩散性钙是指与</w:t>
      </w:r>
      <w:r>
        <w:rPr>
          <w:rFonts w:ascii="宋体" w:eastAsia="宋体" w:hAnsi="宋体" w:cs="宋体"/>
        </w:rPr>
        <w:t xml:space="preserve"> </w:t>
      </w:r>
      <w:r>
        <w:rPr>
          <w:rFonts w:ascii="宋体" w:eastAsia="宋体" w:hAnsi="宋体" w:cs="宋体"/>
          <w:spacing w:val="4"/>
        </w:rPr>
        <w:t>血浆蛋白(主要是白蛋白)结合的钙，它们不易透过毛细血管壁，也不具</w:t>
      </w:r>
      <w:r>
        <w:rPr>
          <w:rFonts w:ascii="宋体" w:eastAsia="宋体" w:hAnsi="宋体" w:cs="宋体"/>
          <w:spacing w:val="3"/>
        </w:rPr>
        <w:t>有生理</w:t>
      </w:r>
      <w:r>
        <w:rPr>
          <w:rFonts w:ascii="宋体" w:eastAsia="宋体" w:hAnsi="宋体" w:cs="宋体"/>
        </w:rPr>
        <w:t xml:space="preserve"> </w:t>
      </w:r>
      <w:r>
        <w:rPr>
          <w:rFonts w:ascii="宋体" w:eastAsia="宋体" w:hAnsi="宋体" w:cs="宋体"/>
          <w:spacing w:val="-7"/>
        </w:rPr>
        <w:t>活性。在扩散性钙中，</w:t>
      </w:r>
      <w:r>
        <w:rPr>
          <w:rFonts w:ascii="宋体" w:eastAsia="宋体" w:hAnsi="宋体" w:cs="宋体"/>
          <w:spacing w:val="69"/>
        </w:rPr>
        <w:t xml:space="preserve"> </w:t>
      </w:r>
      <w:r>
        <w:rPr>
          <w:rFonts w:ascii="宋体" w:eastAsia="宋体" w:hAnsi="宋体" w:cs="宋体"/>
          <w:spacing w:val="-7"/>
        </w:rPr>
        <w:t>一部分是与有机酸或无机酸结合的复合钙，另一部分则是</w:t>
      </w:r>
      <w:r>
        <w:rPr>
          <w:rFonts w:ascii="宋体" w:eastAsia="宋体" w:hAnsi="宋体" w:cs="宋体"/>
        </w:rPr>
        <w:t xml:space="preserve"> </w:t>
      </w:r>
      <w:r>
        <w:rPr>
          <w:rFonts w:ascii="宋体" w:eastAsia="宋体" w:hAnsi="宋体" w:cs="宋体"/>
          <w:spacing w:val="-4"/>
        </w:rPr>
        <w:t>游离状态的钙离子。只有离子钙才具有生理活性。</w:t>
      </w:r>
    </w:p>
    <w:p w:rsidR="00EA40A3" w:rsidRDefault="00E86C16">
      <w:pPr>
        <w:spacing w:before="148" w:line="274" w:lineRule="auto"/>
        <w:ind w:right="47" w:firstLine="460"/>
        <w:jc w:val="both"/>
        <w:rPr>
          <w:rFonts w:ascii="宋体" w:eastAsia="宋体" w:hAnsi="宋体" w:cs="宋体"/>
        </w:rPr>
      </w:pPr>
      <w:r>
        <w:rPr>
          <w:rFonts w:ascii="宋体" w:eastAsia="宋体" w:hAnsi="宋体" w:cs="宋体"/>
          <w:spacing w:val="2"/>
        </w:rPr>
        <w:t>离子钙的生理功能涉及诸多方面：</w:t>
      </w:r>
      <w:r>
        <w:rPr>
          <w:rFonts w:ascii="宋体" w:eastAsia="宋体" w:hAnsi="宋体" w:cs="宋体"/>
          <w:spacing w:val="-56"/>
        </w:rPr>
        <w:t xml:space="preserve"> </w:t>
      </w:r>
      <w:r>
        <w:rPr>
          <w:rFonts w:ascii="宋体" w:eastAsia="宋体" w:hAnsi="宋体" w:cs="宋体"/>
        </w:rPr>
        <w:t>Ca</w:t>
      </w:r>
      <w:r>
        <w:rPr>
          <w:rFonts w:ascii="宋体" w:eastAsia="宋体" w:hAnsi="宋体" w:cs="宋体"/>
          <w:spacing w:val="2"/>
        </w:rPr>
        <w:t>²+参与调节神经、肌</w:t>
      </w:r>
      <w:r>
        <w:rPr>
          <w:rFonts w:ascii="宋体" w:eastAsia="宋体" w:hAnsi="宋体" w:cs="宋体"/>
          <w:spacing w:val="1"/>
        </w:rPr>
        <w:t>肉兴奋性，并调</w:t>
      </w:r>
      <w:r>
        <w:rPr>
          <w:rFonts w:ascii="宋体" w:eastAsia="宋体" w:hAnsi="宋体" w:cs="宋体"/>
        </w:rPr>
        <w:t xml:space="preserve"> </w:t>
      </w:r>
      <w:r>
        <w:rPr>
          <w:rFonts w:ascii="宋体" w:eastAsia="宋体" w:hAnsi="宋体" w:cs="宋体"/>
          <w:spacing w:val="1"/>
        </w:rPr>
        <w:t>节肌肉以及细胞内微丝、微管等的收缩；</w:t>
      </w:r>
      <w:r>
        <w:rPr>
          <w:rFonts w:ascii="宋体" w:eastAsia="宋体" w:hAnsi="宋体" w:cs="宋体"/>
          <w:spacing w:val="7"/>
        </w:rPr>
        <w:t xml:space="preserve"> </w:t>
      </w:r>
      <w:r>
        <w:rPr>
          <w:rFonts w:ascii="宋体" w:eastAsia="宋体" w:hAnsi="宋体" w:cs="宋体"/>
        </w:rPr>
        <w:t>Ca</w:t>
      </w:r>
      <w:r>
        <w:rPr>
          <w:rFonts w:ascii="宋体" w:eastAsia="宋体" w:hAnsi="宋体" w:cs="宋体"/>
          <w:spacing w:val="1"/>
        </w:rPr>
        <w:t>²+影响毛细血管通透性，并参与调</w:t>
      </w:r>
      <w:r>
        <w:rPr>
          <w:rFonts w:ascii="宋体" w:eastAsia="宋体" w:hAnsi="宋体" w:cs="宋体"/>
        </w:rPr>
        <w:t xml:space="preserve"> </w:t>
      </w:r>
      <w:r>
        <w:rPr>
          <w:rFonts w:ascii="宋体" w:eastAsia="宋体" w:hAnsi="宋体" w:cs="宋体"/>
          <w:spacing w:val="3"/>
        </w:rPr>
        <w:t>节生物膜的完整性和质膜的通透性及其转换过程；</w:t>
      </w:r>
      <w:r>
        <w:rPr>
          <w:rFonts w:ascii="宋体" w:eastAsia="宋体" w:hAnsi="宋体" w:cs="宋体"/>
        </w:rPr>
        <w:t>Ca</w:t>
      </w:r>
      <w:r>
        <w:rPr>
          <w:rFonts w:ascii="宋体" w:eastAsia="宋体" w:hAnsi="宋体" w:cs="宋体"/>
          <w:spacing w:val="3"/>
        </w:rPr>
        <w:t xml:space="preserve">²+参与调节多种激素和神 </w:t>
      </w:r>
      <w:r>
        <w:rPr>
          <w:rFonts w:ascii="宋体" w:eastAsia="宋体" w:hAnsi="宋体" w:cs="宋体"/>
        </w:rPr>
        <w:t>经递质的释放，</w:t>
      </w:r>
      <w:r>
        <w:rPr>
          <w:rFonts w:ascii="宋体" w:eastAsia="宋体" w:hAnsi="宋体" w:cs="宋体"/>
          <w:spacing w:val="-5"/>
        </w:rPr>
        <w:t xml:space="preserve"> </w:t>
      </w:r>
      <w:r>
        <w:rPr>
          <w:rFonts w:ascii="宋体" w:eastAsia="宋体" w:hAnsi="宋体" w:cs="宋体"/>
        </w:rPr>
        <w:t>Ca²+的重要作用之一是作为细胞内第二信使，介导激素的调节 作用；</w:t>
      </w:r>
      <w:r>
        <w:rPr>
          <w:rFonts w:ascii="宋体" w:eastAsia="宋体" w:hAnsi="宋体" w:cs="宋体"/>
          <w:spacing w:val="-36"/>
        </w:rPr>
        <w:t xml:space="preserve"> </w:t>
      </w:r>
      <w:r>
        <w:rPr>
          <w:rFonts w:ascii="宋体" w:eastAsia="宋体" w:hAnsi="宋体" w:cs="宋体"/>
        </w:rPr>
        <w:t>Ca²+能直接参与脂肪酶、</w:t>
      </w:r>
      <w:r>
        <w:rPr>
          <w:rFonts w:ascii="宋体" w:eastAsia="宋体" w:hAnsi="宋体" w:cs="宋体"/>
          <w:spacing w:val="-5"/>
        </w:rPr>
        <w:t xml:space="preserve"> </w:t>
      </w:r>
      <w:r>
        <w:rPr>
          <w:rFonts w:ascii="宋体" w:eastAsia="宋体" w:hAnsi="宋体" w:cs="宋体"/>
        </w:rPr>
        <w:t>ATP</w:t>
      </w:r>
      <w:r>
        <w:rPr>
          <w:rFonts w:ascii="宋体" w:eastAsia="宋体" w:hAnsi="宋体" w:cs="宋体"/>
          <w:spacing w:val="91"/>
        </w:rPr>
        <w:t xml:space="preserve"> </w:t>
      </w:r>
      <w:r>
        <w:rPr>
          <w:rFonts w:ascii="宋体" w:eastAsia="宋体" w:hAnsi="宋体" w:cs="宋体"/>
        </w:rPr>
        <w:t>酶等</w:t>
      </w:r>
      <w:r>
        <w:rPr>
          <w:rFonts w:ascii="宋体" w:eastAsia="宋体" w:hAnsi="宋体" w:cs="宋体"/>
          <w:spacing w:val="-1"/>
        </w:rPr>
        <w:t>的活性调节，还能激活多种酶(腺苷</w:t>
      </w:r>
      <w:r>
        <w:rPr>
          <w:rFonts w:ascii="宋体" w:eastAsia="宋体" w:hAnsi="宋体" w:cs="宋体"/>
        </w:rPr>
        <w:t xml:space="preserve"> </w:t>
      </w:r>
      <w:r>
        <w:rPr>
          <w:rFonts w:ascii="宋体" w:eastAsia="宋体" w:hAnsi="宋体" w:cs="宋体"/>
          <w:spacing w:val="3"/>
        </w:rPr>
        <w:t>酸环化酶、鸟苷酸环化酶及钙调蛋白等),调节代谢过程及一系列细胞内生命活</w:t>
      </w:r>
      <w:r>
        <w:rPr>
          <w:rFonts w:ascii="宋体" w:eastAsia="宋体" w:hAnsi="宋体" w:cs="宋体"/>
          <w:spacing w:val="12"/>
        </w:rPr>
        <w:t xml:space="preserve"> </w:t>
      </w:r>
      <w:r>
        <w:rPr>
          <w:rFonts w:ascii="宋体" w:eastAsia="宋体" w:hAnsi="宋体" w:cs="宋体"/>
        </w:rPr>
        <w:t>动</w:t>
      </w:r>
      <w:r>
        <w:rPr>
          <w:rFonts w:ascii="宋体" w:eastAsia="宋体" w:hAnsi="宋体" w:cs="宋体"/>
          <w:spacing w:val="-22"/>
        </w:rPr>
        <w:t xml:space="preserve"> </w:t>
      </w:r>
      <w:r>
        <w:rPr>
          <w:rFonts w:ascii="宋体" w:eastAsia="宋体" w:hAnsi="宋体" w:cs="宋体"/>
        </w:rPr>
        <w:t>；Ca²+与细胞的吞噬、分泌、分裂等活</w:t>
      </w:r>
      <w:r>
        <w:rPr>
          <w:rFonts w:ascii="宋体" w:eastAsia="宋体" w:hAnsi="宋体" w:cs="宋体"/>
          <w:spacing w:val="-1"/>
        </w:rPr>
        <w:t>动密切相关；</w:t>
      </w:r>
      <w:r>
        <w:rPr>
          <w:rFonts w:ascii="宋体" w:eastAsia="宋体" w:hAnsi="宋体" w:cs="宋体"/>
          <w:spacing w:val="-35"/>
        </w:rPr>
        <w:t xml:space="preserve"> </w:t>
      </w:r>
      <w:r>
        <w:rPr>
          <w:rFonts w:ascii="宋体" w:eastAsia="宋体" w:hAnsi="宋体" w:cs="宋体"/>
        </w:rPr>
        <w:t>Ca</w:t>
      </w:r>
      <w:r>
        <w:rPr>
          <w:rFonts w:ascii="宋体" w:eastAsia="宋体" w:hAnsi="宋体" w:cs="宋体"/>
          <w:spacing w:val="-1"/>
        </w:rPr>
        <w:t>²+是血液凝固过程所</w:t>
      </w:r>
      <w:r>
        <w:rPr>
          <w:rFonts w:ascii="宋体" w:eastAsia="宋体" w:hAnsi="宋体" w:cs="宋体"/>
        </w:rPr>
        <w:t xml:space="preserve"> </w:t>
      </w:r>
      <w:r>
        <w:rPr>
          <w:rFonts w:ascii="宋体" w:eastAsia="宋体" w:hAnsi="宋体" w:cs="宋体"/>
          <w:spacing w:val="-4"/>
        </w:rPr>
        <w:t>必需的凝血因子，可使可溶性纤维蛋白原转变成纤维蛋白。</w:t>
      </w:r>
    </w:p>
    <w:p w:rsidR="00EA40A3" w:rsidRDefault="00E86C16">
      <w:pPr>
        <w:spacing w:before="97"/>
        <w:rPr>
          <w:rFonts w:ascii="宋体" w:eastAsia="宋体" w:hAnsi="宋体" w:cs="宋体"/>
          <w:sz w:val="18"/>
          <w:szCs w:val="18"/>
        </w:rPr>
      </w:pPr>
      <w:r>
        <w:rPr>
          <w:rFonts w:ascii="宋体" w:eastAsia="宋体" w:hAnsi="宋体" w:cs="宋体"/>
          <w:spacing w:val="-31"/>
          <w:sz w:val="18"/>
          <w:szCs w:val="18"/>
        </w:rPr>
        <w:t>·</w:t>
      </w:r>
      <w:r>
        <w:rPr>
          <w:rFonts w:ascii="宋体" w:eastAsia="宋体" w:hAnsi="宋体" w:cs="宋体"/>
          <w:spacing w:val="-7"/>
          <w:sz w:val="18"/>
          <w:szCs w:val="18"/>
        </w:rPr>
        <w:t xml:space="preserve"> </w:t>
      </w:r>
      <w:r>
        <w:rPr>
          <w:rFonts w:ascii="宋体" w:eastAsia="宋体" w:hAnsi="宋体" w:cs="宋体"/>
          <w:spacing w:val="-31"/>
          <w:sz w:val="18"/>
          <w:szCs w:val="18"/>
        </w:rPr>
        <w:t>86</w:t>
      </w:r>
      <w:r>
        <w:rPr>
          <w:rFonts w:ascii="宋体" w:eastAsia="宋体" w:hAnsi="宋体" w:cs="宋体"/>
          <w:spacing w:val="44"/>
          <w:sz w:val="18"/>
          <w:szCs w:val="18"/>
        </w:rPr>
        <w:t xml:space="preserve"> </w:t>
      </w:r>
      <w:r>
        <w:rPr>
          <w:rFonts w:ascii="宋体" w:eastAsia="宋体" w:hAnsi="宋体" w:cs="宋体"/>
          <w:spacing w:val="-31"/>
          <w:sz w:val="18"/>
          <w:szCs w:val="18"/>
        </w:rPr>
        <w:t>·</w:t>
      </w:r>
    </w:p>
    <w:p w:rsidR="00EA40A3" w:rsidRDefault="00EA40A3">
      <w:pPr>
        <w:sectPr w:rsidR="00EA40A3">
          <w:pgSz w:w="9220" w:h="13360"/>
          <w:pgMar w:top="400" w:right="1115" w:bottom="400" w:left="769" w:header="0" w:footer="0" w:gutter="0"/>
          <w:cols w:space="720"/>
        </w:sectPr>
      </w:pPr>
    </w:p>
    <w:p w:rsidR="00EA40A3" w:rsidRDefault="00EA40A3">
      <w:pPr>
        <w:spacing w:line="251" w:lineRule="auto"/>
      </w:pPr>
    </w:p>
    <w:p w:rsidR="00EA40A3" w:rsidRDefault="00EA40A3">
      <w:pPr>
        <w:spacing w:line="251" w:lineRule="auto"/>
      </w:pPr>
    </w:p>
    <w:p w:rsidR="00EA40A3" w:rsidRDefault="00EA40A3">
      <w:pPr>
        <w:spacing w:line="252" w:lineRule="auto"/>
      </w:pPr>
    </w:p>
    <w:p w:rsidR="00EA40A3" w:rsidRDefault="00E86C16">
      <w:pPr>
        <w:spacing w:before="69" w:line="223" w:lineRule="auto"/>
        <w:rPr>
          <w:rFonts w:ascii="仿宋" w:eastAsia="仿宋" w:hAnsi="仿宋" w:cs="仿宋"/>
        </w:rPr>
      </w:pPr>
      <w:r>
        <w:rPr>
          <w:rFonts w:ascii="仿宋" w:eastAsia="仿宋" w:hAnsi="仿宋" w:cs="仿宋"/>
          <w:spacing w:val="20"/>
        </w:rPr>
        <w:t>2.</w:t>
      </w:r>
      <w:r>
        <w:rPr>
          <w:rFonts w:ascii="仿宋" w:eastAsia="仿宋" w:hAnsi="仿宋" w:cs="仿宋"/>
          <w:spacing w:val="-20"/>
        </w:rPr>
        <w:t xml:space="preserve"> </w:t>
      </w:r>
      <w:r>
        <w:rPr>
          <w:rFonts w:ascii="仿宋" w:eastAsia="仿宋" w:hAnsi="仿宋" w:cs="仿宋"/>
          <w:spacing w:val="20"/>
        </w:rPr>
        <w:t>钙的吸收及代谢</w:t>
      </w:r>
    </w:p>
    <w:p w:rsidR="00EA40A3" w:rsidRDefault="00E86C16">
      <w:pPr>
        <w:spacing w:before="185" w:line="227" w:lineRule="auto"/>
        <w:rPr>
          <w:rFonts w:ascii="楷体" w:eastAsia="楷体" w:hAnsi="楷体" w:cs="楷体"/>
        </w:rPr>
      </w:pPr>
      <w:r>
        <w:rPr>
          <w:rFonts w:ascii="楷体" w:eastAsia="楷体" w:hAnsi="楷体" w:cs="楷体"/>
          <w:spacing w:val="5"/>
        </w:rPr>
        <w:t>1)钙的吸收</w:t>
      </w:r>
    </w:p>
    <w:p w:rsidR="00EA40A3" w:rsidRDefault="00E86C16">
      <w:pPr>
        <w:spacing w:before="53" w:line="219" w:lineRule="auto"/>
        <w:ind w:left="450"/>
        <w:rPr>
          <w:rFonts w:ascii="宋体" w:eastAsia="宋体" w:hAnsi="宋体" w:cs="宋体"/>
        </w:rPr>
      </w:pPr>
      <w:r>
        <w:rPr>
          <w:rFonts w:ascii="宋体" w:eastAsia="宋体" w:hAnsi="宋体" w:cs="宋体"/>
          <w:spacing w:val="-1"/>
        </w:rPr>
        <w:t>a.钙的吸收途径</w:t>
      </w:r>
    </w:p>
    <w:p w:rsidR="00EA40A3" w:rsidRDefault="00E86C16">
      <w:pPr>
        <w:spacing w:before="50" w:line="249" w:lineRule="auto"/>
        <w:ind w:right="76" w:firstLine="450"/>
        <w:rPr>
          <w:rFonts w:ascii="宋体" w:eastAsia="宋体" w:hAnsi="宋体" w:cs="宋体"/>
        </w:rPr>
      </w:pPr>
      <w:r>
        <w:rPr>
          <w:rFonts w:ascii="宋体" w:eastAsia="宋体" w:hAnsi="宋体" w:cs="宋体"/>
          <w:spacing w:val="-4"/>
        </w:rPr>
        <w:t>在膳食的消化过程中，钙通常由复合物中游离出来，被释放成为一种可溶性</w:t>
      </w:r>
      <w:r>
        <w:rPr>
          <w:rFonts w:ascii="宋体" w:eastAsia="宋体" w:hAnsi="宋体" w:cs="宋体"/>
          <w:spacing w:val="9"/>
        </w:rPr>
        <w:t xml:space="preserve"> </w:t>
      </w:r>
      <w:r>
        <w:rPr>
          <w:rFonts w:ascii="宋体" w:eastAsia="宋体" w:hAnsi="宋体" w:cs="宋体"/>
          <w:spacing w:val="-3"/>
        </w:rPr>
        <w:t>离子化状态，以便于吸收。钙的吸收有主动吸收和被动吸收两种</w:t>
      </w:r>
      <w:r>
        <w:rPr>
          <w:rFonts w:ascii="宋体" w:eastAsia="宋体" w:hAnsi="宋体" w:cs="宋体"/>
          <w:spacing w:val="-4"/>
        </w:rPr>
        <w:t>途径。吸收的机</w:t>
      </w:r>
      <w:r>
        <w:rPr>
          <w:rFonts w:ascii="宋体" w:eastAsia="宋体" w:hAnsi="宋体" w:cs="宋体"/>
        </w:rPr>
        <w:t xml:space="preserve"> </w:t>
      </w:r>
      <w:r>
        <w:rPr>
          <w:rFonts w:ascii="宋体" w:eastAsia="宋体" w:hAnsi="宋体" w:cs="宋体"/>
          <w:spacing w:val="-5"/>
        </w:rPr>
        <w:t>制因摄入量多少与需要量的高低而有所不同。</w:t>
      </w:r>
    </w:p>
    <w:p w:rsidR="00EA40A3" w:rsidRDefault="00E86C16">
      <w:pPr>
        <w:spacing w:before="82" w:line="256" w:lineRule="auto"/>
        <w:ind w:right="56" w:firstLine="450"/>
        <w:rPr>
          <w:rFonts w:ascii="宋体" w:eastAsia="宋体" w:hAnsi="宋体" w:cs="宋体"/>
        </w:rPr>
      </w:pPr>
      <w:r>
        <w:rPr>
          <w:rFonts w:ascii="宋体" w:eastAsia="宋体" w:hAnsi="宋体" w:cs="宋体"/>
        </w:rPr>
        <w:t>(1)主动吸收。当机体对钙的需要量高或摄入量较低时，肠道对钙的主动吸</w:t>
      </w:r>
      <w:r>
        <w:rPr>
          <w:rFonts w:ascii="宋体" w:eastAsia="宋体" w:hAnsi="宋体" w:cs="宋体"/>
          <w:spacing w:val="2"/>
        </w:rPr>
        <w:t xml:space="preserve"> </w:t>
      </w:r>
      <w:r>
        <w:rPr>
          <w:rFonts w:ascii="宋体" w:eastAsia="宋体" w:hAnsi="宋体" w:cs="宋体"/>
          <w:spacing w:val="-3"/>
        </w:rPr>
        <w:t>收机制最活跃。这是一个逆浓度梯度的运载过程，所以是一个需要能量的主动吸</w:t>
      </w:r>
      <w:r>
        <w:rPr>
          <w:rFonts w:ascii="宋体" w:eastAsia="宋体" w:hAnsi="宋体" w:cs="宋体"/>
          <w:spacing w:val="12"/>
        </w:rPr>
        <w:t xml:space="preserve"> </w:t>
      </w:r>
      <w:r>
        <w:rPr>
          <w:rFonts w:ascii="宋体" w:eastAsia="宋体" w:hAnsi="宋体" w:cs="宋体"/>
          <w:spacing w:val="5"/>
        </w:rPr>
        <w:t>收过程。这一过程需要钙结合蛋白的参与，也需要1,25</w:t>
      </w:r>
      <w:r>
        <w:rPr>
          <w:rFonts w:ascii="宋体" w:eastAsia="宋体" w:hAnsi="宋体" w:cs="宋体"/>
          <w:spacing w:val="4"/>
        </w:rPr>
        <w:t>-二羟胆钙化醇[1,25-</w:t>
      </w:r>
      <w:r>
        <w:rPr>
          <w:rFonts w:ascii="宋体" w:eastAsia="宋体" w:hAnsi="宋体" w:cs="宋体"/>
        </w:rPr>
        <w:t xml:space="preserve"> </w:t>
      </w:r>
      <w:r>
        <w:rPr>
          <w:rFonts w:ascii="宋体" w:eastAsia="宋体" w:hAnsi="宋体" w:cs="宋体"/>
          <w:spacing w:val="12"/>
        </w:rPr>
        <w:t>(</w:t>
      </w:r>
      <w:r>
        <w:rPr>
          <w:rFonts w:ascii="宋体" w:eastAsia="宋体" w:hAnsi="宋体" w:cs="宋体"/>
        </w:rPr>
        <w:t>OH</w:t>
      </w:r>
      <w:r>
        <w:rPr>
          <w:rFonts w:ascii="宋体" w:eastAsia="宋体" w:hAnsi="宋体" w:cs="宋体"/>
          <w:spacing w:val="12"/>
        </w:rPr>
        <w:t>)</w:t>
      </w:r>
      <w:r>
        <w:rPr>
          <w:rFonts w:ascii="Calibri" w:eastAsia="Calibri" w:hAnsi="Calibri" w:cs="Calibri"/>
          <w:spacing w:val="12"/>
        </w:rPr>
        <w:t>₂</w:t>
      </w:r>
      <w:r>
        <w:rPr>
          <w:rFonts w:ascii="宋体" w:eastAsia="宋体" w:hAnsi="宋体" w:cs="宋体"/>
          <w:spacing w:val="12"/>
        </w:rPr>
        <w:t>D</w:t>
      </w:r>
      <w:r>
        <w:rPr>
          <w:rFonts w:ascii="Calibri" w:eastAsia="Calibri" w:hAnsi="Calibri" w:cs="Calibri"/>
          <w:spacing w:val="12"/>
        </w:rPr>
        <w:t>₃</w:t>
      </w:r>
      <w:r>
        <w:rPr>
          <w:rFonts w:ascii="宋体" w:eastAsia="宋体" w:hAnsi="宋体" w:cs="宋体"/>
          <w:spacing w:val="12"/>
        </w:rPr>
        <w:t>]</w:t>
      </w:r>
      <w:r>
        <w:rPr>
          <w:rFonts w:ascii="宋体" w:eastAsia="宋体" w:hAnsi="宋体" w:cs="宋体"/>
          <w:spacing w:val="2"/>
        </w:rPr>
        <w:t xml:space="preserve">  </w:t>
      </w:r>
      <w:r>
        <w:rPr>
          <w:rFonts w:ascii="宋体" w:eastAsia="宋体" w:hAnsi="宋体" w:cs="宋体"/>
          <w:spacing w:val="12"/>
        </w:rPr>
        <w:t>作为调节剂。主动吸收在十二指</w:t>
      </w:r>
      <w:r>
        <w:rPr>
          <w:rFonts w:ascii="宋体" w:eastAsia="宋体" w:hAnsi="宋体" w:cs="宋体"/>
          <w:spacing w:val="11"/>
        </w:rPr>
        <w:t>肠上部效率较高，那里</w:t>
      </w:r>
      <w:r>
        <w:rPr>
          <w:rFonts w:ascii="宋体" w:eastAsia="宋体" w:hAnsi="宋体" w:cs="宋体"/>
          <w:spacing w:val="-45"/>
        </w:rPr>
        <w:t xml:space="preserve"> </w:t>
      </w:r>
      <w:r>
        <w:rPr>
          <w:rFonts w:ascii="宋体" w:eastAsia="宋体" w:hAnsi="宋体" w:cs="宋体"/>
        </w:rPr>
        <w:t>pH</w:t>
      </w:r>
      <w:r>
        <w:rPr>
          <w:rFonts w:ascii="宋体" w:eastAsia="宋体" w:hAnsi="宋体" w:cs="宋体"/>
          <w:spacing w:val="51"/>
        </w:rPr>
        <w:t xml:space="preserve"> </w:t>
      </w:r>
      <w:r>
        <w:rPr>
          <w:rFonts w:ascii="宋体" w:eastAsia="宋体" w:hAnsi="宋体" w:cs="宋体"/>
          <w:spacing w:val="11"/>
        </w:rPr>
        <w:t>较低</w:t>
      </w:r>
      <w:r>
        <w:rPr>
          <w:rFonts w:ascii="宋体" w:eastAsia="宋体" w:hAnsi="宋体" w:cs="宋体"/>
        </w:rPr>
        <w:t xml:space="preserve"> </w:t>
      </w:r>
      <w:r>
        <w:rPr>
          <w:rFonts w:ascii="宋体" w:eastAsia="宋体" w:hAnsi="宋体" w:cs="宋体"/>
          <w:spacing w:val="-2"/>
        </w:rPr>
        <w:t>(pH6.0),</w:t>
      </w:r>
      <w:r>
        <w:rPr>
          <w:rFonts w:ascii="宋体" w:eastAsia="宋体" w:hAnsi="宋体" w:cs="宋体"/>
          <w:spacing w:val="80"/>
        </w:rPr>
        <w:t xml:space="preserve"> </w:t>
      </w:r>
      <w:r>
        <w:rPr>
          <w:rFonts w:ascii="宋体" w:eastAsia="宋体" w:hAnsi="宋体" w:cs="宋体"/>
          <w:spacing w:val="-2"/>
        </w:rPr>
        <w:t>结合蛋白也存在，但在回肠吸收较多，因在那里停留</w:t>
      </w:r>
      <w:r>
        <w:rPr>
          <w:rFonts w:ascii="宋体" w:eastAsia="宋体" w:hAnsi="宋体" w:cs="宋体"/>
          <w:spacing w:val="-3"/>
        </w:rPr>
        <w:t>时间最长。由结</w:t>
      </w:r>
      <w:r>
        <w:rPr>
          <w:rFonts w:ascii="宋体" w:eastAsia="宋体" w:hAnsi="宋体" w:cs="宋体"/>
        </w:rPr>
        <w:t xml:space="preserve"> </w:t>
      </w:r>
      <w:r>
        <w:rPr>
          <w:rFonts w:ascii="宋体" w:eastAsia="宋体" w:hAnsi="宋体" w:cs="宋体"/>
          <w:spacing w:val="2"/>
        </w:rPr>
        <w:t>肠吸收的比重在正常人约为总吸收量的5%。</w:t>
      </w:r>
    </w:p>
    <w:p w:rsidR="00EA40A3" w:rsidRDefault="00E86C16">
      <w:pPr>
        <w:spacing w:before="52" w:line="249" w:lineRule="auto"/>
        <w:ind w:firstLine="450"/>
        <w:rPr>
          <w:rFonts w:ascii="宋体" w:eastAsia="宋体" w:hAnsi="宋体" w:cs="宋体"/>
        </w:rPr>
      </w:pPr>
      <w:r>
        <w:rPr>
          <w:rFonts w:ascii="宋体" w:eastAsia="宋体" w:hAnsi="宋体" w:cs="宋体"/>
          <w:spacing w:val="2"/>
        </w:rPr>
        <w:t>(2)被动吸收。当钙摄入量较高时，则大部分由被动的</w:t>
      </w:r>
      <w:r>
        <w:rPr>
          <w:rFonts w:ascii="宋体" w:eastAsia="宋体" w:hAnsi="宋体" w:cs="宋体"/>
          <w:spacing w:val="1"/>
        </w:rPr>
        <w:t>离子扩散方式吸收。</w:t>
      </w:r>
      <w:r>
        <w:rPr>
          <w:rFonts w:ascii="宋体" w:eastAsia="宋体" w:hAnsi="宋体" w:cs="宋体"/>
        </w:rPr>
        <w:t xml:space="preserve"> </w:t>
      </w:r>
      <w:r>
        <w:rPr>
          <w:rFonts w:ascii="宋体" w:eastAsia="宋体" w:hAnsi="宋体" w:cs="宋体"/>
          <w:spacing w:val="-2"/>
        </w:rPr>
        <w:t>这一过程可能也需要1,25-(OH)</w:t>
      </w:r>
      <w:r>
        <w:rPr>
          <w:rFonts w:ascii="Calibri" w:eastAsia="Calibri" w:hAnsi="Calibri" w:cs="Calibri"/>
          <w:spacing w:val="-2"/>
        </w:rPr>
        <w:t>₂</w:t>
      </w:r>
      <w:r>
        <w:rPr>
          <w:rFonts w:ascii="宋体" w:eastAsia="宋体" w:hAnsi="宋体" w:cs="宋体"/>
          <w:spacing w:val="-2"/>
        </w:rPr>
        <w:t>D</w:t>
      </w:r>
      <w:r>
        <w:rPr>
          <w:rFonts w:ascii="Calibri" w:eastAsia="Calibri" w:hAnsi="Calibri" w:cs="Calibri"/>
          <w:spacing w:val="-2"/>
        </w:rPr>
        <w:t>₃</w:t>
      </w:r>
      <w:r>
        <w:rPr>
          <w:rFonts w:ascii="Calibri" w:eastAsia="Calibri" w:hAnsi="Calibri" w:cs="Calibri"/>
          <w:spacing w:val="3"/>
        </w:rPr>
        <w:t xml:space="preserve">     </w:t>
      </w:r>
      <w:r>
        <w:rPr>
          <w:rFonts w:ascii="宋体" w:eastAsia="宋体" w:hAnsi="宋体" w:cs="宋体"/>
          <w:spacing w:val="-2"/>
        </w:rPr>
        <w:t>的作用，但更主要取决于肠腔与浆膜间钙的</w:t>
      </w:r>
      <w:r>
        <w:rPr>
          <w:rFonts w:ascii="宋体" w:eastAsia="宋体" w:hAnsi="宋体" w:cs="宋体"/>
          <w:spacing w:val="1"/>
        </w:rPr>
        <w:t xml:space="preserve">  </w:t>
      </w:r>
      <w:r>
        <w:rPr>
          <w:rFonts w:ascii="宋体" w:eastAsia="宋体" w:hAnsi="宋体" w:cs="宋体"/>
          <w:spacing w:val="-7"/>
        </w:rPr>
        <w:t>浓度梯度。</w:t>
      </w:r>
    </w:p>
    <w:p w:rsidR="00EA40A3" w:rsidRDefault="00E86C16">
      <w:pPr>
        <w:spacing w:before="99" w:line="219" w:lineRule="auto"/>
        <w:ind w:left="450"/>
        <w:rPr>
          <w:rFonts w:ascii="宋体" w:eastAsia="宋体" w:hAnsi="宋体" w:cs="宋体"/>
        </w:rPr>
      </w:pPr>
      <w:r>
        <w:rPr>
          <w:rFonts w:ascii="宋体" w:eastAsia="宋体" w:hAnsi="宋体" w:cs="宋体"/>
          <w:spacing w:val="-2"/>
        </w:rPr>
        <w:t>b.影响钙吸收的因素</w:t>
      </w:r>
    </w:p>
    <w:p w:rsidR="00EA40A3" w:rsidRDefault="00E86C16">
      <w:pPr>
        <w:spacing w:before="59" w:line="219" w:lineRule="auto"/>
        <w:ind w:left="450"/>
        <w:rPr>
          <w:rFonts w:ascii="宋体" w:eastAsia="宋体" w:hAnsi="宋体" w:cs="宋体"/>
        </w:rPr>
      </w:pPr>
      <w:r>
        <w:rPr>
          <w:rFonts w:ascii="宋体" w:eastAsia="宋体" w:hAnsi="宋体" w:cs="宋体"/>
          <w:spacing w:val="-4"/>
        </w:rPr>
        <w:t>影响钙吸收的因素很多，主要包括机体与膳食两个方面</w:t>
      </w:r>
      <w:r>
        <w:rPr>
          <w:rFonts w:ascii="宋体" w:eastAsia="宋体" w:hAnsi="宋体" w:cs="宋体"/>
          <w:spacing w:val="-5"/>
        </w:rPr>
        <w:t>。</w:t>
      </w:r>
    </w:p>
    <w:p w:rsidR="00EA40A3" w:rsidRDefault="00E86C16">
      <w:pPr>
        <w:spacing w:before="63" w:line="260" w:lineRule="auto"/>
        <w:ind w:firstLine="450"/>
        <w:rPr>
          <w:rFonts w:ascii="宋体" w:eastAsia="宋体" w:hAnsi="宋体" w:cs="宋体"/>
        </w:rPr>
      </w:pPr>
      <w:r>
        <w:rPr>
          <w:rFonts w:ascii="宋体" w:eastAsia="宋体" w:hAnsi="宋体" w:cs="宋体"/>
        </w:rPr>
        <w:t>(1)机体因素。因钙的吸收与机体的需要程度密切相关，故而生命周期的各</w:t>
      </w:r>
      <w:r>
        <w:rPr>
          <w:rFonts w:ascii="宋体" w:eastAsia="宋体" w:hAnsi="宋体" w:cs="宋体"/>
          <w:spacing w:val="4"/>
        </w:rPr>
        <w:t xml:space="preserve"> </w:t>
      </w:r>
      <w:r>
        <w:rPr>
          <w:rFonts w:ascii="宋体" w:eastAsia="宋体" w:hAnsi="宋体" w:cs="宋体"/>
          <w:spacing w:val="9"/>
        </w:rPr>
        <w:t>个阶段钙的吸收情况不同。婴儿时期因需要量大，吸收率可高达60%,儿童约</w:t>
      </w:r>
      <w:r>
        <w:rPr>
          <w:rFonts w:ascii="宋体" w:eastAsia="宋体" w:hAnsi="宋体" w:cs="宋体"/>
          <w:spacing w:val="1"/>
        </w:rPr>
        <w:t xml:space="preserve">  </w:t>
      </w:r>
      <w:r>
        <w:rPr>
          <w:rFonts w:ascii="宋体" w:eastAsia="宋体" w:hAnsi="宋体" w:cs="宋体"/>
          <w:spacing w:val="14"/>
        </w:rPr>
        <w:t>为40%,年轻成人停留在25%上下，成年人仅为20%左右。钙吸收率随年龄增</w:t>
      </w:r>
      <w:r>
        <w:rPr>
          <w:rFonts w:ascii="宋体" w:eastAsia="宋体" w:hAnsi="宋体" w:cs="宋体"/>
          <w:spacing w:val="4"/>
        </w:rPr>
        <w:t xml:space="preserve">  </w:t>
      </w:r>
      <w:r>
        <w:rPr>
          <w:rFonts w:ascii="宋体" w:eastAsia="宋体" w:hAnsi="宋体" w:cs="宋体"/>
          <w:spacing w:val="11"/>
        </w:rPr>
        <w:t>长而渐减，平均年龄每增长10岁，钙吸收率减少5%～10%。妊娠期主动和被</w:t>
      </w:r>
      <w:r>
        <w:rPr>
          <w:rFonts w:ascii="宋体" w:eastAsia="宋体" w:hAnsi="宋体" w:cs="宋体"/>
          <w:spacing w:val="8"/>
        </w:rPr>
        <w:t xml:space="preserve">  </w:t>
      </w:r>
      <w:r>
        <w:rPr>
          <w:rFonts w:ascii="宋体" w:eastAsia="宋体" w:hAnsi="宋体" w:cs="宋体"/>
          <w:spacing w:val="2"/>
        </w:rPr>
        <w:t>动钙吸收率均增加，孕前期、孕早期、孕中期和孕晚期的钙吸收率分别为36%、</w:t>
      </w:r>
      <w:r>
        <w:rPr>
          <w:rFonts w:ascii="宋体" w:eastAsia="宋体" w:hAnsi="宋体" w:cs="宋体"/>
          <w:spacing w:val="17"/>
        </w:rPr>
        <w:t xml:space="preserve"> </w:t>
      </w:r>
      <w:r>
        <w:rPr>
          <w:rFonts w:ascii="宋体" w:eastAsia="宋体" w:hAnsi="宋体" w:cs="宋体"/>
          <w:spacing w:val="13"/>
        </w:rPr>
        <w:t>40%、56%和60%。女性因绝经原因，吸收率每年下降2.2%,增龄与绝经的联</w:t>
      </w:r>
      <w:r>
        <w:rPr>
          <w:rFonts w:ascii="宋体" w:eastAsia="宋体" w:hAnsi="宋体" w:cs="宋体"/>
          <w:spacing w:val="5"/>
        </w:rPr>
        <w:t xml:space="preserve">  </w:t>
      </w:r>
      <w:r>
        <w:rPr>
          <w:rFonts w:ascii="宋体" w:eastAsia="宋体" w:hAnsi="宋体" w:cs="宋体"/>
          <w:spacing w:val="8"/>
        </w:rPr>
        <w:t>合作用，导致女性从40岁到60岁，钙吸收率下降2</w:t>
      </w:r>
      <w:r>
        <w:rPr>
          <w:rFonts w:ascii="宋体" w:eastAsia="宋体" w:hAnsi="宋体" w:cs="宋体"/>
          <w:spacing w:val="7"/>
        </w:rPr>
        <w:t>0%～25%。机体维生素D</w:t>
      </w:r>
      <w:r>
        <w:rPr>
          <w:rFonts w:ascii="宋体" w:eastAsia="宋体" w:hAnsi="宋体" w:cs="宋体"/>
          <w:spacing w:val="4"/>
        </w:rPr>
        <w:t xml:space="preserve"> </w:t>
      </w:r>
      <w:r>
        <w:rPr>
          <w:rFonts w:ascii="宋体" w:eastAsia="宋体" w:hAnsi="宋体" w:cs="宋体"/>
          <w:spacing w:val="7"/>
        </w:rPr>
        <w:t>的</w:t>
      </w:r>
      <w:r>
        <w:rPr>
          <w:rFonts w:ascii="宋体" w:eastAsia="宋体" w:hAnsi="宋体" w:cs="宋体"/>
        </w:rPr>
        <w:t xml:space="preserve">  </w:t>
      </w:r>
      <w:r>
        <w:rPr>
          <w:rFonts w:ascii="宋体" w:eastAsia="宋体" w:hAnsi="宋体" w:cs="宋体"/>
          <w:spacing w:val="-5"/>
        </w:rPr>
        <w:t>状态会影响1,25-(OH)</w:t>
      </w:r>
      <w:r>
        <w:rPr>
          <w:rFonts w:ascii="Calibri" w:eastAsia="Calibri" w:hAnsi="Calibri" w:cs="Calibri"/>
          <w:spacing w:val="-5"/>
        </w:rPr>
        <w:t>₂</w:t>
      </w:r>
      <w:r>
        <w:rPr>
          <w:rFonts w:ascii="宋体" w:eastAsia="宋体" w:hAnsi="宋体" w:cs="宋体"/>
          <w:spacing w:val="-5"/>
        </w:rPr>
        <w:t>D</w:t>
      </w:r>
      <w:r>
        <w:rPr>
          <w:rFonts w:ascii="Calibri" w:eastAsia="Calibri" w:hAnsi="Calibri" w:cs="Calibri"/>
          <w:spacing w:val="-5"/>
        </w:rPr>
        <w:t>₃</w:t>
      </w:r>
      <w:r>
        <w:rPr>
          <w:rFonts w:ascii="Calibri" w:eastAsia="Calibri" w:hAnsi="Calibri" w:cs="Calibri"/>
          <w:spacing w:val="14"/>
        </w:rPr>
        <w:t xml:space="preserve">    </w:t>
      </w:r>
      <w:r>
        <w:rPr>
          <w:rFonts w:ascii="宋体" w:eastAsia="宋体" w:hAnsi="宋体" w:cs="宋体"/>
          <w:spacing w:val="-5"/>
        </w:rPr>
        <w:t>的水平，磷缺乏可增加1,25-(OH)</w:t>
      </w:r>
      <w:r>
        <w:rPr>
          <w:rFonts w:ascii="Calibri" w:eastAsia="Calibri" w:hAnsi="Calibri" w:cs="Calibri"/>
          <w:spacing w:val="-5"/>
        </w:rPr>
        <w:t>₂</w:t>
      </w:r>
      <w:r>
        <w:rPr>
          <w:rFonts w:ascii="宋体" w:eastAsia="宋体" w:hAnsi="宋体" w:cs="宋体"/>
          <w:spacing w:val="-5"/>
        </w:rPr>
        <w:t>D</w:t>
      </w:r>
      <w:r>
        <w:rPr>
          <w:rFonts w:ascii="Calibri" w:eastAsia="Calibri" w:hAnsi="Calibri" w:cs="Calibri"/>
          <w:spacing w:val="-5"/>
        </w:rPr>
        <w:t>₃</w:t>
      </w:r>
      <w:r>
        <w:rPr>
          <w:rFonts w:ascii="Calibri" w:eastAsia="Calibri" w:hAnsi="Calibri" w:cs="Calibri"/>
          <w:spacing w:val="10"/>
        </w:rPr>
        <w:t xml:space="preserve">    </w:t>
      </w:r>
      <w:r>
        <w:rPr>
          <w:rFonts w:ascii="宋体" w:eastAsia="宋体" w:hAnsi="宋体" w:cs="宋体"/>
          <w:spacing w:val="-5"/>
        </w:rPr>
        <w:t>水平而提高钙吸</w:t>
      </w:r>
      <w:r>
        <w:rPr>
          <w:rFonts w:ascii="宋体" w:eastAsia="宋体" w:hAnsi="宋体" w:cs="宋体"/>
        </w:rPr>
        <w:t xml:space="preserve">  </w:t>
      </w:r>
      <w:r>
        <w:rPr>
          <w:rFonts w:ascii="宋体" w:eastAsia="宋体" w:hAnsi="宋体" w:cs="宋体"/>
          <w:spacing w:val="-3"/>
        </w:rPr>
        <w:t>收。钙在肠道的通过时间和黏膜接触面积大小可影响钙吸收。胃酸降低</w:t>
      </w:r>
      <w:r>
        <w:rPr>
          <w:rFonts w:ascii="宋体" w:eastAsia="宋体" w:hAnsi="宋体" w:cs="宋体"/>
          <w:spacing w:val="-4"/>
        </w:rPr>
        <w:t>会降低不</w:t>
      </w:r>
      <w:r>
        <w:rPr>
          <w:rFonts w:ascii="宋体" w:eastAsia="宋体" w:hAnsi="宋体" w:cs="宋体"/>
        </w:rPr>
        <w:t xml:space="preserve">  </w:t>
      </w:r>
      <w:r>
        <w:rPr>
          <w:rFonts w:ascii="宋体" w:eastAsia="宋体" w:hAnsi="宋体" w:cs="宋体"/>
          <w:spacing w:val="-3"/>
        </w:rPr>
        <w:t>易溶性钙盐的溶解度而降低钙吸收。体力活动可促进钙吸收，活动很少或长期卧</w:t>
      </w:r>
      <w:r>
        <w:rPr>
          <w:rFonts w:ascii="宋体" w:eastAsia="宋体" w:hAnsi="宋体" w:cs="宋体"/>
        </w:rPr>
        <w:t xml:space="preserve">  </w:t>
      </w:r>
      <w:r>
        <w:rPr>
          <w:rFonts w:ascii="宋体" w:eastAsia="宋体" w:hAnsi="宋体" w:cs="宋体"/>
          <w:spacing w:val="-3"/>
        </w:rPr>
        <w:t>床的老人、病人钙吸收率会降低，因而常发生负钙平衡。此外还</w:t>
      </w:r>
      <w:r>
        <w:rPr>
          <w:rFonts w:ascii="宋体" w:eastAsia="宋体" w:hAnsi="宋体" w:cs="宋体"/>
          <w:spacing w:val="-4"/>
        </w:rPr>
        <w:t>有种族因素也会</w:t>
      </w:r>
      <w:r>
        <w:rPr>
          <w:rFonts w:ascii="宋体" w:eastAsia="宋体" w:hAnsi="宋体" w:cs="宋体"/>
        </w:rPr>
        <w:t xml:space="preserve">  </w:t>
      </w:r>
      <w:r>
        <w:rPr>
          <w:rFonts w:ascii="宋体" w:eastAsia="宋体" w:hAnsi="宋体" w:cs="宋体"/>
          <w:spacing w:val="-2"/>
        </w:rPr>
        <w:t>影响钙代谢的差异。有关因素见表4-1。</w:t>
      </w:r>
    </w:p>
    <w:p w:rsidR="00EA40A3" w:rsidRDefault="00E86C16">
      <w:pPr>
        <w:spacing w:before="50" w:line="255" w:lineRule="auto"/>
        <w:ind w:firstLine="450"/>
        <w:rPr>
          <w:rFonts w:ascii="宋体" w:eastAsia="宋体" w:hAnsi="宋体" w:cs="宋体"/>
        </w:rPr>
      </w:pPr>
      <w:r>
        <w:rPr>
          <w:rFonts w:ascii="宋体" w:eastAsia="宋体" w:hAnsi="宋体" w:cs="宋体"/>
          <w:spacing w:val="-1"/>
        </w:rPr>
        <w:t>(2)膳食因素。①膳食中钙的摄入量，摄入量高，吸收量相应也高，但吸收</w:t>
      </w:r>
      <w:r>
        <w:rPr>
          <w:rFonts w:ascii="宋体" w:eastAsia="宋体" w:hAnsi="宋体" w:cs="宋体"/>
          <w:spacing w:val="16"/>
        </w:rPr>
        <w:t xml:space="preserve"> </w:t>
      </w:r>
      <w:r>
        <w:rPr>
          <w:rFonts w:ascii="宋体" w:eastAsia="宋体" w:hAnsi="宋体" w:cs="宋体"/>
          <w:spacing w:val="5"/>
        </w:rPr>
        <w:t>量与摄入量并不成正比，摄入量增加时，吸收率相对降低。②膳食中维生素D</w:t>
      </w:r>
      <w:r>
        <w:rPr>
          <w:rFonts w:ascii="宋体" w:eastAsia="宋体" w:hAnsi="宋体" w:cs="宋体"/>
          <w:spacing w:val="2"/>
        </w:rPr>
        <w:t xml:space="preserve">  </w:t>
      </w:r>
      <w:r>
        <w:rPr>
          <w:rFonts w:ascii="宋体" w:eastAsia="宋体" w:hAnsi="宋体" w:cs="宋体"/>
          <w:spacing w:val="-1"/>
        </w:rPr>
        <w:t>的存在与量多少，对钙的吸收有明显影响。③乳糖与钙形成可溶性低分子物质，</w:t>
      </w:r>
      <w:r>
        <w:rPr>
          <w:rFonts w:ascii="宋体" w:eastAsia="宋体" w:hAnsi="宋体" w:cs="宋体"/>
          <w:spacing w:val="18"/>
        </w:rPr>
        <w:t xml:space="preserve"> </w:t>
      </w:r>
      <w:r>
        <w:rPr>
          <w:rFonts w:ascii="宋体" w:eastAsia="宋体" w:hAnsi="宋体" w:cs="宋体"/>
          <w:spacing w:val="-1"/>
        </w:rPr>
        <w:t>以及在糖被肠道菌分解发酵产酸时，肠道pH</w:t>
      </w:r>
      <w:r>
        <w:rPr>
          <w:rFonts w:ascii="宋体" w:eastAsia="宋体" w:hAnsi="宋体" w:cs="宋体"/>
          <w:spacing w:val="34"/>
        </w:rPr>
        <w:t xml:space="preserve"> </w:t>
      </w:r>
      <w:r>
        <w:rPr>
          <w:rFonts w:ascii="宋体" w:eastAsia="宋体" w:hAnsi="宋体" w:cs="宋体"/>
          <w:spacing w:val="-1"/>
        </w:rPr>
        <w:t>降低，均有利于钙吸收。④小肠中</w:t>
      </w:r>
      <w:r>
        <w:rPr>
          <w:rFonts w:ascii="宋体" w:eastAsia="宋体" w:hAnsi="宋体" w:cs="宋体"/>
        </w:rPr>
        <w:t xml:space="preserve">  含有一定量的蛋白质水解产物——某些多肽(如酪蛋白酶解产物中含有的酪蛋白</w:t>
      </w:r>
    </w:p>
    <w:p w:rsidR="00EA40A3" w:rsidRDefault="00E86C16">
      <w:pPr>
        <w:spacing w:before="149" w:line="219" w:lineRule="auto"/>
        <w:rPr>
          <w:rFonts w:ascii="宋体" w:eastAsia="宋体" w:hAnsi="宋体" w:cs="宋体"/>
        </w:rPr>
      </w:pPr>
      <w:r>
        <w:rPr>
          <w:rFonts w:ascii="宋体" w:eastAsia="宋体" w:hAnsi="宋体" w:cs="宋体"/>
          <w:spacing w:val="12"/>
        </w:rPr>
        <w:t>磷酸肽)和氨基酸(如赖氨酸、精氨酸等)也可与钙形成可</w:t>
      </w:r>
      <w:r>
        <w:rPr>
          <w:rFonts w:ascii="宋体" w:eastAsia="宋体" w:hAnsi="宋体" w:cs="宋体"/>
          <w:spacing w:val="11"/>
        </w:rPr>
        <w:t>溶性的络合物而利</w:t>
      </w:r>
    </w:p>
    <w:p w:rsidR="00EA40A3" w:rsidRDefault="00E86C16">
      <w:pPr>
        <w:spacing w:before="63"/>
        <w:ind w:right="50"/>
        <w:jc w:val="right"/>
        <w:rPr>
          <w:rFonts w:ascii="宋体" w:eastAsia="宋体" w:hAnsi="宋体" w:cs="宋体"/>
        </w:rPr>
      </w:pPr>
      <w:r>
        <w:rPr>
          <w:rFonts w:ascii="宋体" w:eastAsia="宋体" w:hAnsi="宋体" w:cs="宋体"/>
          <w:spacing w:val="-46"/>
        </w:rPr>
        <w:t>·</w:t>
      </w:r>
      <w:r>
        <w:rPr>
          <w:rFonts w:ascii="宋体" w:eastAsia="宋体" w:hAnsi="宋体" w:cs="宋体"/>
          <w:spacing w:val="-22"/>
        </w:rPr>
        <w:t xml:space="preserve"> </w:t>
      </w:r>
      <w:r>
        <w:rPr>
          <w:rFonts w:ascii="宋体" w:eastAsia="宋体" w:hAnsi="宋体" w:cs="宋体"/>
          <w:spacing w:val="-46"/>
        </w:rPr>
        <w:t>87</w:t>
      </w:r>
      <w:r>
        <w:rPr>
          <w:rFonts w:ascii="宋体" w:eastAsia="宋体" w:hAnsi="宋体" w:cs="宋体"/>
          <w:spacing w:val="29"/>
        </w:rPr>
        <w:t xml:space="preserve"> </w:t>
      </w:r>
      <w:r>
        <w:rPr>
          <w:rFonts w:ascii="宋体" w:eastAsia="宋体" w:hAnsi="宋体" w:cs="宋体"/>
          <w:spacing w:val="-46"/>
        </w:rPr>
        <w:t>·</w:t>
      </w:r>
    </w:p>
    <w:p w:rsidR="00EA40A3" w:rsidRDefault="00EA40A3">
      <w:pPr>
        <w:sectPr w:rsidR="00EA40A3">
          <w:pgSz w:w="9220" w:h="13360"/>
          <w:pgMar w:top="400" w:right="924" w:bottom="400" w:left="959" w:header="0" w:footer="0" w:gutter="0"/>
          <w:cols w:space="720"/>
        </w:sectPr>
      </w:pPr>
    </w:p>
    <w:p w:rsidR="00EA40A3" w:rsidRDefault="00EA40A3">
      <w:pPr>
        <w:spacing w:line="89" w:lineRule="exact"/>
      </w:pPr>
    </w:p>
    <w:p w:rsidR="00EA40A3" w:rsidRDefault="00EA40A3">
      <w:pPr>
        <w:sectPr w:rsidR="00EA40A3">
          <w:headerReference w:type="default" r:id="rId75"/>
          <w:pgSz w:w="9220" w:h="13360"/>
          <w:pgMar w:top="1324" w:right="1029" w:bottom="400" w:left="780" w:header="1064" w:footer="0" w:gutter="0"/>
          <w:cols w:space="720" w:equalWidth="0">
            <w:col w:w="7411"/>
          </w:cols>
        </w:sectPr>
      </w:pPr>
    </w:p>
    <w:p w:rsidR="00EA40A3" w:rsidRDefault="00E86C16">
      <w:pPr>
        <w:spacing w:before="31" w:line="196" w:lineRule="auto"/>
        <w:ind w:left="1249"/>
        <w:rPr>
          <w:rFonts w:ascii="宋体" w:eastAsia="宋体" w:hAnsi="宋体" w:cs="宋体"/>
          <w:sz w:val="16"/>
          <w:szCs w:val="16"/>
        </w:rPr>
      </w:pPr>
      <w:r>
        <w:rPr>
          <w:rFonts w:ascii="宋体" w:eastAsia="宋体" w:hAnsi="宋体" w:cs="宋体"/>
          <w:spacing w:val="-2"/>
          <w:sz w:val="16"/>
          <w:szCs w:val="16"/>
        </w:rPr>
        <w:t>增加吸收</w:t>
      </w:r>
    </w:p>
    <w:p w:rsidR="00EA40A3" w:rsidRDefault="00E86C16">
      <w:pPr>
        <w:spacing w:line="14" w:lineRule="auto"/>
        <w:rPr>
          <w:sz w:val="2"/>
        </w:rPr>
      </w:pPr>
      <w:r>
        <w:rPr>
          <w:sz w:val="2"/>
          <w:szCs w:val="2"/>
        </w:rPr>
        <w:br w:type="column"/>
      </w:r>
    </w:p>
    <w:p w:rsidR="00EA40A3" w:rsidRDefault="00E86C16">
      <w:pPr>
        <w:spacing w:before="40" w:line="184" w:lineRule="auto"/>
        <w:rPr>
          <w:rFonts w:ascii="宋体" w:eastAsia="宋体" w:hAnsi="宋体" w:cs="宋体"/>
          <w:sz w:val="16"/>
          <w:szCs w:val="16"/>
        </w:rPr>
      </w:pPr>
      <w:r>
        <w:rPr>
          <w:rFonts w:ascii="宋体" w:eastAsia="宋体" w:hAnsi="宋体" w:cs="宋体"/>
          <w:spacing w:val="1"/>
          <w:sz w:val="16"/>
          <w:szCs w:val="16"/>
        </w:rPr>
        <w:t>降低吸收</w:t>
      </w:r>
    </w:p>
    <w:p w:rsidR="00EA40A3" w:rsidRDefault="00EA40A3">
      <w:pPr>
        <w:sectPr w:rsidR="00EA40A3">
          <w:type w:val="continuous"/>
          <w:pgSz w:w="9220" w:h="13360"/>
          <w:pgMar w:top="1324" w:right="1029" w:bottom="400" w:left="780" w:header="1064" w:footer="0" w:gutter="0"/>
          <w:cols w:num="2" w:space="720" w:equalWidth="0">
            <w:col w:w="4771" w:space="100"/>
            <w:col w:w="2541"/>
          </w:cols>
        </w:sectPr>
      </w:pPr>
    </w:p>
    <w:p w:rsidR="00EA40A3" w:rsidRDefault="00EA40A3">
      <w:pPr>
        <w:spacing w:line="28" w:lineRule="exact"/>
      </w:pPr>
    </w:p>
    <w:tbl>
      <w:tblPr>
        <w:tblStyle w:val="TableNormal"/>
        <w:tblW w:w="7329" w:type="dxa"/>
        <w:tblInd w:w="8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291"/>
        <w:gridCol w:w="4038"/>
      </w:tblGrid>
      <w:tr w:rsidR="00EA40A3">
        <w:trPr>
          <w:trHeight w:val="283"/>
        </w:trPr>
        <w:tc>
          <w:tcPr>
            <w:tcW w:w="3291" w:type="dxa"/>
            <w:tcBorders>
              <w:top w:val="single" w:sz="4" w:space="0" w:color="000000"/>
            </w:tcBorders>
          </w:tcPr>
          <w:p w:rsidR="00EA40A3" w:rsidRDefault="00E86C16">
            <w:pPr>
              <w:spacing w:before="61" w:line="219" w:lineRule="auto"/>
              <w:ind w:left="849"/>
              <w:rPr>
                <w:rFonts w:ascii="宋体" w:eastAsia="宋体" w:hAnsi="宋体" w:cs="宋体"/>
                <w:sz w:val="16"/>
                <w:szCs w:val="16"/>
              </w:rPr>
            </w:pPr>
            <w:r>
              <w:rPr>
                <w:rFonts w:ascii="宋体" w:eastAsia="宋体" w:hAnsi="宋体" w:cs="宋体"/>
                <w:spacing w:val="-1"/>
                <w:sz w:val="16"/>
                <w:szCs w:val="16"/>
              </w:rPr>
              <w:t>维生素D状况适宜</w:t>
            </w:r>
          </w:p>
        </w:tc>
        <w:tc>
          <w:tcPr>
            <w:tcW w:w="4038" w:type="dxa"/>
            <w:tcBorders>
              <w:top w:val="single" w:sz="4" w:space="0" w:color="000000"/>
            </w:tcBorders>
          </w:tcPr>
          <w:p w:rsidR="00EA40A3" w:rsidRDefault="00E86C16">
            <w:pPr>
              <w:spacing w:before="61" w:line="219" w:lineRule="auto"/>
              <w:ind w:left="1178"/>
              <w:rPr>
                <w:rFonts w:ascii="宋体" w:eastAsia="宋体" w:hAnsi="宋体" w:cs="宋体"/>
                <w:sz w:val="16"/>
                <w:szCs w:val="16"/>
              </w:rPr>
            </w:pPr>
            <w:r>
              <w:rPr>
                <w:rFonts w:ascii="宋体" w:eastAsia="宋体" w:hAnsi="宋体" w:cs="宋体"/>
                <w:spacing w:val="-2"/>
                <w:sz w:val="16"/>
                <w:szCs w:val="16"/>
              </w:rPr>
              <w:t>维生素D缺乏</w:t>
            </w:r>
          </w:p>
        </w:tc>
      </w:tr>
      <w:tr w:rsidR="00EA40A3">
        <w:trPr>
          <w:trHeight w:val="261"/>
        </w:trPr>
        <w:tc>
          <w:tcPr>
            <w:tcW w:w="3291" w:type="dxa"/>
          </w:tcPr>
          <w:p w:rsidR="00EA40A3" w:rsidRDefault="00E86C16">
            <w:pPr>
              <w:spacing w:before="69" w:line="220" w:lineRule="auto"/>
              <w:ind w:left="849"/>
              <w:rPr>
                <w:rFonts w:ascii="宋体" w:eastAsia="宋体" w:hAnsi="宋体" w:cs="宋体"/>
                <w:sz w:val="16"/>
                <w:szCs w:val="16"/>
              </w:rPr>
            </w:pPr>
            <w:r>
              <w:rPr>
                <w:rFonts w:ascii="宋体" w:eastAsia="宋体" w:hAnsi="宋体" w:cs="宋体"/>
                <w:spacing w:val="-1"/>
                <w:sz w:val="16"/>
                <w:szCs w:val="16"/>
              </w:rPr>
              <w:t>增加黏膜接触面积</w:t>
            </w:r>
          </w:p>
        </w:tc>
        <w:tc>
          <w:tcPr>
            <w:tcW w:w="4038" w:type="dxa"/>
          </w:tcPr>
          <w:p w:rsidR="00EA40A3" w:rsidRDefault="00E86C16">
            <w:pPr>
              <w:spacing w:before="68" w:line="219" w:lineRule="auto"/>
              <w:ind w:left="1178"/>
              <w:rPr>
                <w:rFonts w:ascii="宋体" w:eastAsia="宋体" w:hAnsi="宋体" w:cs="宋体"/>
                <w:sz w:val="16"/>
                <w:szCs w:val="16"/>
              </w:rPr>
            </w:pPr>
            <w:r>
              <w:rPr>
                <w:rFonts w:ascii="宋体" w:eastAsia="宋体" w:hAnsi="宋体" w:cs="宋体"/>
                <w:spacing w:val="1"/>
                <w:sz w:val="16"/>
                <w:szCs w:val="16"/>
              </w:rPr>
              <w:t>降低黏膜接触面积</w:t>
            </w:r>
          </w:p>
        </w:tc>
      </w:tr>
      <w:tr w:rsidR="00EA40A3">
        <w:trPr>
          <w:trHeight w:val="241"/>
        </w:trPr>
        <w:tc>
          <w:tcPr>
            <w:tcW w:w="3291" w:type="dxa"/>
          </w:tcPr>
          <w:p w:rsidR="00EA40A3" w:rsidRDefault="00E86C16">
            <w:pPr>
              <w:spacing w:before="48" w:line="220" w:lineRule="auto"/>
              <w:ind w:left="849"/>
              <w:rPr>
                <w:rFonts w:ascii="宋体" w:eastAsia="宋体" w:hAnsi="宋体" w:cs="宋体"/>
                <w:sz w:val="16"/>
                <w:szCs w:val="16"/>
              </w:rPr>
            </w:pPr>
            <w:r>
              <w:rPr>
                <w:rFonts w:ascii="宋体" w:eastAsia="宋体" w:hAnsi="宋体" w:cs="宋体"/>
                <w:spacing w:val="-2"/>
                <w:sz w:val="16"/>
                <w:szCs w:val="16"/>
              </w:rPr>
              <w:t>钙缺乏</w:t>
            </w:r>
          </w:p>
        </w:tc>
        <w:tc>
          <w:tcPr>
            <w:tcW w:w="4038" w:type="dxa"/>
          </w:tcPr>
          <w:p w:rsidR="00EA40A3" w:rsidRDefault="00E86C16">
            <w:pPr>
              <w:spacing w:before="42" w:line="225" w:lineRule="auto"/>
              <w:ind w:left="1178"/>
              <w:rPr>
                <w:rFonts w:ascii="宋体" w:eastAsia="宋体" w:hAnsi="宋体" w:cs="宋体"/>
                <w:sz w:val="16"/>
                <w:szCs w:val="16"/>
              </w:rPr>
            </w:pPr>
            <w:r>
              <w:rPr>
                <w:rFonts w:ascii="宋体" w:eastAsia="宋体" w:hAnsi="宋体" w:cs="宋体"/>
                <w:spacing w:val="-2"/>
                <w:sz w:val="16"/>
                <w:szCs w:val="16"/>
              </w:rPr>
              <w:t>绝经</w:t>
            </w:r>
          </w:p>
        </w:tc>
      </w:tr>
      <w:tr w:rsidR="00EA40A3">
        <w:trPr>
          <w:trHeight w:val="255"/>
        </w:trPr>
        <w:tc>
          <w:tcPr>
            <w:tcW w:w="3291" w:type="dxa"/>
          </w:tcPr>
          <w:p w:rsidR="00EA40A3" w:rsidRDefault="00E86C16">
            <w:pPr>
              <w:spacing w:before="56" w:line="219" w:lineRule="auto"/>
              <w:ind w:left="849"/>
              <w:rPr>
                <w:rFonts w:ascii="宋体" w:eastAsia="宋体" w:hAnsi="宋体" w:cs="宋体"/>
                <w:sz w:val="16"/>
                <w:szCs w:val="16"/>
              </w:rPr>
            </w:pPr>
            <w:r>
              <w:rPr>
                <w:rFonts w:ascii="宋体" w:eastAsia="宋体" w:hAnsi="宋体" w:cs="宋体"/>
                <w:spacing w:val="-2"/>
                <w:sz w:val="16"/>
                <w:szCs w:val="16"/>
              </w:rPr>
              <w:t>磷缺乏</w:t>
            </w:r>
          </w:p>
        </w:tc>
        <w:tc>
          <w:tcPr>
            <w:tcW w:w="4038" w:type="dxa"/>
          </w:tcPr>
          <w:p w:rsidR="00EA40A3" w:rsidRDefault="00E86C16">
            <w:pPr>
              <w:spacing w:before="46" w:line="219" w:lineRule="auto"/>
              <w:ind w:left="1178"/>
              <w:rPr>
                <w:rFonts w:ascii="宋体" w:eastAsia="宋体" w:hAnsi="宋体" w:cs="宋体"/>
                <w:sz w:val="16"/>
                <w:szCs w:val="16"/>
              </w:rPr>
            </w:pPr>
            <w:r>
              <w:rPr>
                <w:rFonts w:ascii="宋体" w:eastAsia="宋体" w:hAnsi="宋体" w:cs="宋体"/>
                <w:spacing w:val="-3"/>
                <w:sz w:val="16"/>
                <w:szCs w:val="16"/>
              </w:rPr>
              <w:t>老年</w:t>
            </w:r>
          </w:p>
        </w:tc>
      </w:tr>
      <w:tr w:rsidR="00EA40A3">
        <w:trPr>
          <w:trHeight w:val="262"/>
        </w:trPr>
        <w:tc>
          <w:tcPr>
            <w:tcW w:w="3291" w:type="dxa"/>
          </w:tcPr>
          <w:p w:rsidR="00EA40A3" w:rsidRDefault="00E86C16">
            <w:pPr>
              <w:spacing w:before="53" w:line="221" w:lineRule="auto"/>
              <w:ind w:left="849"/>
              <w:rPr>
                <w:rFonts w:ascii="宋体" w:eastAsia="宋体" w:hAnsi="宋体" w:cs="宋体"/>
                <w:sz w:val="16"/>
                <w:szCs w:val="16"/>
              </w:rPr>
            </w:pPr>
            <w:r>
              <w:rPr>
                <w:rFonts w:ascii="宋体" w:eastAsia="宋体" w:hAnsi="宋体" w:cs="宋体"/>
                <w:spacing w:val="-2"/>
                <w:sz w:val="16"/>
                <w:szCs w:val="16"/>
              </w:rPr>
              <w:t>妊娠</w:t>
            </w:r>
          </w:p>
        </w:tc>
        <w:tc>
          <w:tcPr>
            <w:tcW w:w="4038" w:type="dxa"/>
          </w:tcPr>
          <w:p w:rsidR="00EA40A3" w:rsidRDefault="00E86C16">
            <w:pPr>
              <w:spacing w:before="60" w:line="219" w:lineRule="auto"/>
              <w:ind w:left="1178"/>
              <w:rPr>
                <w:rFonts w:ascii="宋体" w:eastAsia="宋体" w:hAnsi="宋体" w:cs="宋体"/>
                <w:sz w:val="16"/>
                <w:szCs w:val="16"/>
              </w:rPr>
            </w:pPr>
            <w:r>
              <w:rPr>
                <w:rFonts w:ascii="宋体" w:eastAsia="宋体" w:hAnsi="宋体" w:cs="宋体"/>
                <w:spacing w:val="2"/>
                <w:sz w:val="16"/>
                <w:szCs w:val="16"/>
              </w:rPr>
              <w:t>胃酸降低</w:t>
            </w:r>
          </w:p>
        </w:tc>
      </w:tr>
      <w:tr w:rsidR="00EA40A3">
        <w:trPr>
          <w:trHeight w:val="248"/>
        </w:trPr>
        <w:tc>
          <w:tcPr>
            <w:tcW w:w="3291" w:type="dxa"/>
            <w:tcBorders>
              <w:bottom w:val="single" w:sz="4" w:space="0" w:color="000000"/>
            </w:tcBorders>
          </w:tcPr>
          <w:p w:rsidR="00EA40A3" w:rsidRDefault="00E86C16">
            <w:pPr>
              <w:spacing w:before="59" w:line="217" w:lineRule="auto"/>
              <w:ind w:left="849"/>
              <w:rPr>
                <w:rFonts w:ascii="宋体" w:eastAsia="宋体" w:hAnsi="宋体" w:cs="宋体"/>
                <w:sz w:val="16"/>
                <w:szCs w:val="16"/>
              </w:rPr>
            </w:pPr>
            <w:r>
              <w:rPr>
                <w:rFonts w:ascii="宋体" w:eastAsia="宋体" w:hAnsi="宋体" w:cs="宋体"/>
                <w:spacing w:val="-2"/>
                <w:sz w:val="16"/>
                <w:szCs w:val="16"/>
              </w:rPr>
              <w:t>黏膜渗透性大</w:t>
            </w:r>
          </w:p>
        </w:tc>
        <w:tc>
          <w:tcPr>
            <w:tcW w:w="4038" w:type="dxa"/>
            <w:tcBorders>
              <w:bottom w:val="single" w:sz="4" w:space="0" w:color="000000"/>
            </w:tcBorders>
          </w:tcPr>
          <w:p w:rsidR="00EA40A3" w:rsidRDefault="00E86C16">
            <w:pPr>
              <w:spacing w:before="59" w:line="217" w:lineRule="auto"/>
              <w:ind w:left="1178"/>
              <w:rPr>
                <w:rFonts w:ascii="宋体" w:eastAsia="宋体" w:hAnsi="宋体" w:cs="宋体"/>
                <w:sz w:val="16"/>
                <w:szCs w:val="16"/>
              </w:rPr>
            </w:pPr>
            <w:r>
              <w:rPr>
                <w:rFonts w:ascii="宋体" w:eastAsia="宋体" w:hAnsi="宋体" w:cs="宋体"/>
                <w:spacing w:val="-1"/>
                <w:sz w:val="16"/>
                <w:szCs w:val="16"/>
              </w:rPr>
              <w:t>通过肠道时间快</w:t>
            </w:r>
          </w:p>
        </w:tc>
      </w:tr>
    </w:tbl>
    <w:p w:rsidR="00EA40A3" w:rsidRDefault="00E86C16">
      <w:pPr>
        <w:spacing w:before="101" w:line="219" w:lineRule="auto"/>
        <w:ind w:left="450"/>
        <w:rPr>
          <w:rFonts w:ascii="宋体" w:eastAsia="宋体" w:hAnsi="宋体" w:cs="宋体"/>
          <w:sz w:val="18"/>
          <w:szCs w:val="18"/>
        </w:rPr>
      </w:pPr>
      <w:r>
        <w:rPr>
          <w:rFonts w:ascii="宋体" w:eastAsia="宋体" w:hAnsi="宋体" w:cs="宋体"/>
          <w:spacing w:val="-20"/>
          <w:sz w:val="18"/>
          <w:szCs w:val="18"/>
        </w:rPr>
        <w:t>资料来源：葛可佑.2004.中国营养科学全书.</w:t>
      </w:r>
      <w:r>
        <w:rPr>
          <w:rFonts w:ascii="宋体" w:eastAsia="宋体" w:hAnsi="宋体" w:cs="宋体"/>
          <w:spacing w:val="-21"/>
          <w:sz w:val="18"/>
          <w:szCs w:val="18"/>
        </w:rPr>
        <w:t>北京：人民卫生出版社</w:t>
      </w:r>
    </w:p>
    <w:p w:rsidR="00EA40A3" w:rsidRDefault="00EA40A3">
      <w:pPr>
        <w:spacing w:line="286" w:lineRule="auto"/>
      </w:pPr>
    </w:p>
    <w:p w:rsidR="00EA40A3" w:rsidRDefault="00E86C16">
      <w:pPr>
        <w:spacing w:before="69" w:line="259" w:lineRule="auto"/>
        <w:ind w:right="65"/>
        <w:jc w:val="both"/>
        <w:rPr>
          <w:rFonts w:ascii="宋体" w:eastAsia="宋体" w:hAnsi="宋体" w:cs="宋体"/>
        </w:rPr>
      </w:pPr>
      <w:r>
        <w:rPr>
          <w:rFonts w:ascii="宋体" w:eastAsia="宋体" w:hAnsi="宋体" w:cs="宋体"/>
          <w:spacing w:val="-3"/>
        </w:rPr>
        <w:t>于钙的吸收，但当蛋白质超过推荐摄入量时，则未见进一步的有利影响。⑤高脂</w:t>
      </w:r>
      <w:r>
        <w:rPr>
          <w:rFonts w:ascii="宋体" w:eastAsia="宋体" w:hAnsi="宋体" w:cs="宋体"/>
          <w:spacing w:val="2"/>
        </w:rPr>
        <w:t xml:space="preserve">  </w:t>
      </w:r>
      <w:r>
        <w:rPr>
          <w:rFonts w:ascii="宋体" w:eastAsia="宋体" w:hAnsi="宋体" w:cs="宋体"/>
          <w:spacing w:val="-3"/>
        </w:rPr>
        <w:t>膳食可延长肠道停留和钙与黏膜接触时间，可使钙吸收有所增加，但脂肪酸与钙</w:t>
      </w:r>
      <w:r>
        <w:rPr>
          <w:rFonts w:ascii="宋体" w:eastAsia="宋体" w:hAnsi="宋体" w:cs="宋体"/>
          <w:spacing w:val="2"/>
        </w:rPr>
        <w:t xml:space="preserve">  </w:t>
      </w:r>
      <w:r>
        <w:rPr>
          <w:rFonts w:ascii="宋体" w:eastAsia="宋体" w:hAnsi="宋体" w:cs="宋体"/>
          <w:spacing w:val="-3"/>
        </w:rPr>
        <w:t>结合形成脂肪酸钙，则影响钙吸收。⑥钙磷比例适宜有利于钙吸收，食物中碱性</w:t>
      </w:r>
      <w:r>
        <w:rPr>
          <w:rFonts w:ascii="宋体" w:eastAsia="宋体" w:hAnsi="宋体" w:cs="宋体"/>
          <w:spacing w:val="1"/>
        </w:rPr>
        <w:t xml:space="preserve">  </w:t>
      </w:r>
      <w:r>
        <w:rPr>
          <w:rFonts w:ascii="宋体" w:eastAsia="宋体" w:hAnsi="宋体" w:cs="宋体"/>
          <w:spacing w:val="-3"/>
        </w:rPr>
        <w:t>磷酸盐可与钙形成不溶解的钙盐而影响钙吸收。⑦一些植物性食物中植酸和草酸</w:t>
      </w:r>
      <w:r>
        <w:rPr>
          <w:rFonts w:ascii="宋体" w:eastAsia="宋体" w:hAnsi="宋体" w:cs="宋体"/>
          <w:spacing w:val="1"/>
        </w:rPr>
        <w:t xml:space="preserve">  </w:t>
      </w:r>
      <w:r>
        <w:rPr>
          <w:rFonts w:ascii="宋体" w:eastAsia="宋体" w:hAnsi="宋体" w:cs="宋体"/>
        </w:rPr>
        <w:t>含量高，易与钙形成难溶的植酸钙和草酸钙，不利于钙吸收。有的</w:t>
      </w:r>
      <w:r>
        <w:rPr>
          <w:rFonts w:ascii="宋体" w:eastAsia="宋体" w:hAnsi="宋体" w:cs="宋体"/>
          <w:spacing w:val="-1"/>
        </w:rPr>
        <w:t>蔬菜如苋菜、</w:t>
      </w:r>
      <w:r>
        <w:rPr>
          <w:rFonts w:ascii="宋体" w:eastAsia="宋体" w:hAnsi="宋体" w:cs="宋体"/>
        </w:rPr>
        <w:t xml:space="preserve"> </w:t>
      </w:r>
      <w:r>
        <w:rPr>
          <w:rFonts w:ascii="宋体" w:eastAsia="宋体" w:hAnsi="宋体" w:cs="宋体"/>
          <w:spacing w:val="-3"/>
        </w:rPr>
        <w:t>圆叶菠菜等草酸含量甚至高于钙含量，烹制时应先焯后炒。⑧膳食纤维中的糖醛</w:t>
      </w:r>
      <w:r>
        <w:rPr>
          <w:rFonts w:ascii="宋体" w:eastAsia="宋体" w:hAnsi="宋体" w:cs="宋体"/>
          <w:spacing w:val="1"/>
        </w:rPr>
        <w:t xml:space="preserve">  </w:t>
      </w:r>
      <w:r>
        <w:rPr>
          <w:rFonts w:ascii="宋体" w:eastAsia="宋体" w:hAnsi="宋体" w:cs="宋体"/>
          <w:spacing w:val="-3"/>
        </w:rPr>
        <w:t>酸残基与钙螯合而干扰钙吸收。另据报道一些药物如青霉素和新霉素能增加钙吸</w:t>
      </w:r>
      <w:r>
        <w:rPr>
          <w:rFonts w:ascii="宋体" w:eastAsia="宋体" w:hAnsi="宋体" w:cs="宋体"/>
          <w:spacing w:val="1"/>
        </w:rPr>
        <w:t xml:space="preserve">  </w:t>
      </w:r>
      <w:r>
        <w:rPr>
          <w:rFonts w:ascii="宋体" w:eastAsia="宋体" w:hAnsi="宋体" w:cs="宋体"/>
          <w:spacing w:val="-3"/>
        </w:rPr>
        <w:t>收，而一些碱性药物如抗酸药、四环素、肝素等</w:t>
      </w:r>
      <w:r>
        <w:rPr>
          <w:rFonts w:ascii="宋体" w:eastAsia="宋体" w:hAnsi="宋体" w:cs="宋体"/>
          <w:spacing w:val="-4"/>
        </w:rPr>
        <w:t>可干扰钙吸收。影响钙吸收的主</w:t>
      </w:r>
      <w:r>
        <w:rPr>
          <w:rFonts w:ascii="宋体" w:eastAsia="宋体" w:hAnsi="宋体" w:cs="宋体"/>
        </w:rPr>
        <w:t xml:space="preserve">  </w:t>
      </w:r>
      <w:r>
        <w:rPr>
          <w:rFonts w:ascii="宋体" w:eastAsia="宋体" w:hAnsi="宋体" w:cs="宋体"/>
          <w:spacing w:val="-1"/>
        </w:rPr>
        <w:t>要膳食因素见表4-2.</w:t>
      </w:r>
    </w:p>
    <w:p w:rsidR="00EA40A3" w:rsidRDefault="00EA40A3">
      <w:pPr>
        <w:spacing w:line="384" w:lineRule="auto"/>
      </w:pPr>
    </w:p>
    <w:p w:rsidR="00EA40A3" w:rsidRDefault="00E86C16">
      <w:pPr>
        <w:spacing w:before="59" w:line="222" w:lineRule="auto"/>
        <w:ind w:left="2312"/>
        <w:rPr>
          <w:rFonts w:ascii="黑体" w:eastAsia="黑体" w:hAnsi="黑体" w:cs="黑体"/>
          <w:sz w:val="18"/>
          <w:szCs w:val="18"/>
        </w:rPr>
      </w:pPr>
      <w:r>
        <w:rPr>
          <w:rFonts w:ascii="黑体" w:eastAsia="黑体" w:hAnsi="黑体" w:cs="黑体"/>
          <w:b/>
          <w:bCs/>
          <w:spacing w:val="-3"/>
          <w:sz w:val="18"/>
          <w:szCs w:val="18"/>
        </w:rPr>
        <w:t>表4-2</w:t>
      </w:r>
      <w:r>
        <w:rPr>
          <w:rFonts w:ascii="黑体" w:eastAsia="黑体" w:hAnsi="黑体" w:cs="黑体"/>
          <w:spacing w:val="77"/>
          <w:sz w:val="18"/>
          <w:szCs w:val="18"/>
        </w:rPr>
        <w:t xml:space="preserve"> </w:t>
      </w:r>
      <w:r>
        <w:rPr>
          <w:rFonts w:ascii="黑体" w:eastAsia="黑体" w:hAnsi="黑体" w:cs="黑体"/>
          <w:b/>
          <w:bCs/>
          <w:spacing w:val="-3"/>
          <w:sz w:val="18"/>
          <w:szCs w:val="18"/>
        </w:rPr>
        <w:t>影响钙吸收的主要膳食因素</w:t>
      </w:r>
    </w:p>
    <w:p w:rsidR="00EA40A3" w:rsidRDefault="00EA40A3">
      <w:pPr>
        <w:spacing w:line="25" w:lineRule="exact"/>
      </w:pPr>
    </w:p>
    <w:tbl>
      <w:tblPr>
        <w:tblStyle w:val="TableNormal"/>
        <w:tblW w:w="730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038"/>
        <w:gridCol w:w="4271"/>
      </w:tblGrid>
      <w:tr w:rsidR="00EA40A3">
        <w:trPr>
          <w:trHeight w:val="322"/>
        </w:trPr>
        <w:tc>
          <w:tcPr>
            <w:tcW w:w="3038" w:type="dxa"/>
            <w:tcBorders>
              <w:top w:val="single" w:sz="4" w:space="0" w:color="000000"/>
              <w:bottom w:val="single" w:sz="4" w:space="0" w:color="000000"/>
            </w:tcBorders>
          </w:tcPr>
          <w:p w:rsidR="00EA40A3" w:rsidRDefault="00E86C16">
            <w:pPr>
              <w:spacing w:before="111" w:line="219" w:lineRule="auto"/>
              <w:ind w:left="839"/>
              <w:rPr>
                <w:rFonts w:ascii="宋体" w:eastAsia="宋体" w:hAnsi="宋体" w:cs="宋体"/>
                <w:sz w:val="16"/>
                <w:szCs w:val="16"/>
              </w:rPr>
            </w:pPr>
            <w:r>
              <w:rPr>
                <w:rFonts w:ascii="宋体" w:eastAsia="宋体" w:hAnsi="宋体" w:cs="宋体"/>
                <w:spacing w:val="-2"/>
                <w:sz w:val="16"/>
                <w:szCs w:val="16"/>
              </w:rPr>
              <w:t>增加吸收</w:t>
            </w:r>
          </w:p>
        </w:tc>
        <w:tc>
          <w:tcPr>
            <w:tcW w:w="4271" w:type="dxa"/>
            <w:tcBorders>
              <w:top w:val="single" w:sz="4" w:space="0" w:color="000000"/>
              <w:bottom w:val="single" w:sz="4" w:space="0" w:color="000000"/>
            </w:tcBorders>
          </w:tcPr>
          <w:p w:rsidR="00EA40A3" w:rsidRDefault="00E86C16">
            <w:pPr>
              <w:spacing w:before="121" w:line="219" w:lineRule="auto"/>
              <w:ind w:left="1411"/>
              <w:rPr>
                <w:rFonts w:ascii="宋体" w:eastAsia="宋体" w:hAnsi="宋体" w:cs="宋体"/>
                <w:sz w:val="16"/>
                <w:szCs w:val="16"/>
              </w:rPr>
            </w:pPr>
            <w:r>
              <w:rPr>
                <w:rFonts w:ascii="宋体" w:eastAsia="宋体" w:hAnsi="宋体" w:cs="宋体"/>
                <w:spacing w:val="1"/>
                <w:sz w:val="16"/>
                <w:szCs w:val="16"/>
              </w:rPr>
              <w:t>降低吸收</w:t>
            </w:r>
          </w:p>
        </w:tc>
      </w:tr>
      <w:tr w:rsidR="00EA40A3">
        <w:trPr>
          <w:trHeight w:val="269"/>
        </w:trPr>
        <w:tc>
          <w:tcPr>
            <w:tcW w:w="3038" w:type="dxa"/>
            <w:tcBorders>
              <w:top w:val="single" w:sz="4" w:space="0" w:color="000000"/>
            </w:tcBorders>
          </w:tcPr>
          <w:p w:rsidR="00EA40A3" w:rsidRDefault="00E86C16">
            <w:pPr>
              <w:spacing w:before="79" w:line="219" w:lineRule="auto"/>
              <w:ind w:left="839"/>
              <w:rPr>
                <w:rFonts w:ascii="宋体" w:eastAsia="宋体" w:hAnsi="宋体" w:cs="宋体"/>
                <w:sz w:val="16"/>
                <w:szCs w:val="16"/>
              </w:rPr>
            </w:pPr>
            <w:r>
              <w:rPr>
                <w:rFonts w:ascii="宋体" w:eastAsia="宋体" w:hAnsi="宋体" w:cs="宋体"/>
                <w:spacing w:val="-2"/>
                <w:sz w:val="16"/>
                <w:szCs w:val="16"/>
              </w:rPr>
              <w:t>维生素D</w:t>
            </w:r>
          </w:p>
        </w:tc>
        <w:tc>
          <w:tcPr>
            <w:tcW w:w="4271" w:type="dxa"/>
            <w:tcBorders>
              <w:top w:val="single" w:sz="4" w:space="0" w:color="000000"/>
            </w:tcBorders>
          </w:tcPr>
          <w:p w:rsidR="00EA40A3" w:rsidRDefault="00E86C16">
            <w:pPr>
              <w:spacing w:before="69" w:line="219" w:lineRule="auto"/>
              <w:ind w:left="1411"/>
              <w:rPr>
                <w:rFonts w:ascii="宋体" w:eastAsia="宋体" w:hAnsi="宋体" w:cs="宋体"/>
                <w:sz w:val="16"/>
                <w:szCs w:val="16"/>
              </w:rPr>
            </w:pPr>
            <w:r>
              <w:rPr>
                <w:rFonts w:ascii="宋体" w:eastAsia="宋体" w:hAnsi="宋体" w:cs="宋体"/>
                <w:spacing w:val="-2"/>
                <w:sz w:val="16"/>
                <w:szCs w:val="16"/>
              </w:rPr>
              <w:t>植酸</w:t>
            </w:r>
          </w:p>
        </w:tc>
      </w:tr>
      <w:tr w:rsidR="00EA40A3">
        <w:trPr>
          <w:trHeight w:val="257"/>
        </w:trPr>
        <w:tc>
          <w:tcPr>
            <w:tcW w:w="3038" w:type="dxa"/>
          </w:tcPr>
          <w:p w:rsidR="00EA40A3" w:rsidRDefault="00E86C16">
            <w:pPr>
              <w:spacing w:before="41" w:line="220" w:lineRule="auto"/>
              <w:ind w:left="839"/>
              <w:rPr>
                <w:rFonts w:ascii="宋体" w:eastAsia="宋体" w:hAnsi="宋体" w:cs="宋体"/>
                <w:sz w:val="16"/>
                <w:szCs w:val="16"/>
              </w:rPr>
            </w:pPr>
            <w:r>
              <w:rPr>
                <w:rFonts w:ascii="宋体" w:eastAsia="宋体" w:hAnsi="宋体" w:cs="宋体"/>
                <w:spacing w:val="-2"/>
                <w:sz w:val="16"/>
                <w:szCs w:val="16"/>
              </w:rPr>
              <w:t>乳糖</w:t>
            </w:r>
          </w:p>
        </w:tc>
        <w:tc>
          <w:tcPr>
            <w:tcW w:w="4271" w:type="dxa"/>
          </w:tcPr>
          <w:p w:rsidR="00EA40A3" w:rsidRDefault="00E86C16">
            <w:pPr>
              <w:spacing w:before="50" w:line="219" w:lineRule="auto"/>
              <w:ind w:left="1411"/>
              <w:rPr>
                <w:rFonts w:ascii="宋体" w:eastAsia="宋体" w:hAnsi="宋体" w:cs="宋体"/>
                <w:sz w:val="16"/>
                <w:szCs w:val="16"/>
              </w:rPr>
            </w:pPr>
            <w:r>
              <w:rPr>
                <w:rFonts w:ascii="宋体" w:eastAsia="宋体" w:hAnsi="宋体" w:cs="宋体"/>
                <w:spacing w:val="-2"/>
                <w:sz w:val="16"/>
                <w:szCs w:val="16"/>
              </w:rPr>
              <w:t>草酸</w:t>
            </w:r>
          </w:p>
        </w:tc>
      </w:tr>
      <w:tr w:rsidR="00EA40A3">
        <w:trPr>
          <w:trHeight w:val="253"/>
        </w:trPr>
        <w:tc>
          <w:tcPr>
            <w:tcW w:w="3038" w:type="dxa"/>
          </w:tcPr>
          <w:p w:rsidR="00EA40A3" w:rsidRDefault="00E86C16">
            <w:pPr>
              <w:spacing w:before="64" w:line="218" w:lineRule="auto"/>
              <w:ind w:left="839"/>
              <w:rPr>
                <w:rFonts w:ascii="宋体" w:eastAsia="宋体" w:hAnsi="宋体" w:cs="宋体"/>
                <w:sz w:val="16"/>
                <w:szCs w:val="16"/>
              </w:rPr>
            </w:pPr>
            <w:r>
              <w:rPr>
                <w:rFonts w:ascii="宋体" w:eastAsia="宋体" w:hAnsi="宋体" w:cs="宋体"/>
                <w:spacing w:val="-2"/>
                <w:sz w:val="16"/>
                <w:szCs w:val="16"/>
              </w:rPr>
              <w:t>酸性氨基酸</w:t>
            </w:r>
          </w:p>
        </w:tc>
        <w:tc>
          <w:tcPr>
            <w:tcW w:w="4271" w:type="dxa"/>
          </w:tcPr>
          <w:p w:rsidR="00EA40A3" w:rsidRDefault="00E86C16">
            <w:pPr>
              <w:spacing w:before="63" w:line="219" w:lineRule="auto"/>
              <w:ind w:left="1411"/>
              <w:rPr>
                <w:rFonts w:ascii="宋体" w:eastAsia="宋体" w:hAnsi="宋体" w:cs="宋体"/>
                <w:sz w:val="16"/>
                <w:szCs w:val="16"/>
              </w:rPr>
            </w:pPr>
            <w:r>
              <w:rPr>
                <w:rFonts w:ascii="宋体" w:eastAsia="宋体" w:hAnsi="宋体" w:cs="宋体"/>
                <w:spacing w:val="-2"/>
                <w:sz w:val="16"/>
                <w:szCs w:val="16"/>
              </w:rPr>
              <w:t>膳食纤维</w:t>
            </w:r>
          </w:p>
        </w:tc>
      </w:tr>
      <w:tr w:rsidR="00EA40A3">
        <w:trPr>
          <w:trHeight w:val="248"/>
        </w:trPr>
        <w:tc>
          <w:tcPr>
            <w:tcW w:w="3038" w:type="dxa"/>
            <w:tcBorders>
              <w:bottom w:val="single" w:sz="4" w:space="0" w:color="000000"/>
            </w:tcBorders>
          </w:tcPr>
          <w:p w:rsidR="00EA40A3" w:rsidRDefault="00E86C16">
            <w:pPr>
              <w:spacing w:before="50" w:line="219" w:lineRule="auto"/>
              <w:ind w:left="839"/>
              <w:rPr>
                <w:rFonts w:ascii="宋体" w:eastAsia="宋体" w:hAnsi="宋体" w:cs="宋体"/>
                <w:sz w:val="16"/>
                <w:szCs w:val="16"/>
              </w:rPr>
            </w:pPr>
            <w:r>
              <w:rPr>
                <w:rFonts w:ascii="宋体" w:eastAsia="宋体" w:hAnsi="宋体" w:cs="宋体"/>
                <w:spacing w:val="-2"/>
                <w:sz w:val="16"/>
                <w:szCs w:val="16"/>
              </w:rPr>
              <w:t>低磷</w:t>
            </w:r>
          </w:p>
        </w:tc>
        <w:tc>
          <w:tcPr>
            <w:tcW w:w="4271" w:type="dxa"/>
            <w:tcBorders>
              <w:bottom w:val="single" w:sz="4" w:space="0" w:color="000000"/>
            </w:tcBorders>
          </w:tcPr>
          <w:p w:rsidR="00EA40A3" w:rsidRDefault="00E86C16">
            <w:pPr>
              <w:spacing w:before="71" w:line="204" w:lineRule="auto"/>
              <w:ind w:left="1411"/>
              <w:rPr>
                <w:rFonts w:ascii="宋体" w:eastAsia="宋体" w:hAnsi="宋体" w:cs="宋体"/>
                <w:sz w:val="16"/>
                <w:szCs w:val="16"/>
              </w:rPr>
            </w:pPr>
            <w:r>
              <w:rPr>
                <w:rFonts w:ascii="宋体" w:eastAsia="宋体" w:hAnsi="宋体" w:cs="宋体"/>
                <w:spacing w:val="-2"/>
                <w:sz w:val="16"/>
                <w:szCs w:val="16"/>
              </w:rPr>
              <w:t>脂肪酸</w:t>
            </w:r>
          </w:p>
        </w:tc>
      </w:tr>
    </w:tbl>
    <w:p w:rsidR="00EA40A3" w:rsidRDefault="00E86C16">
      <w:pPr>
        <w:spacing w:before="91" w:line="219" w:lineRule="auto"/>
        <w:ind w:left="359"/>
        <w:rPr>
          <w:rFonts w:ascii="宋体" w:eastAsia="宋体" w:hAnsi="宋体" w:cs="宋体"/>
          <w:sz w:val="16"/>
          <w:szCs w:val="16"/>
        </w:rPr>
      </w:pPr>
      <w:r>
        <w:rPr>
          <w:rFonts w:ascii="宋体" w:eastAsia="宋体" w:hAnsi="宋体" w:cs="宋体"/>
          <w:sz w:val="16"/>
          <w:szCs w:val="16"/>
        </w:rPr>
        <w:t>资料来源：葛可佑.2004.中国营养科学</w:t>
      </w:r>
      <w:r>
        <w:rPr>
          <w:rFonts w:ascii="宋体" w:eastAsia="宋体" w:hAnsi="宋体" w:cs="宋体"/>
          <w:spacing w:val="-1"/>
          <w:sz w:val="16"/>
          <w:szCs w:val="16"/>
        </w:rPr>
        <w:t>全书.北京：人民卫生出版社</w:t>
      </w:r>
    </w:p>
    <w:p w:rsidR="00EA40A3" w:rsidRDefault="00EA40A3">
      <w:pPr>
        <w:spacing w:line="323" w:lineRule="auto"/>
      </w:pPr>
    </w:p>
    <w:p w:rsidR="00EA40A3" w:rsidRDefault="00E86C16">
      <w:pPr>
        <w:spacing w:before="68" w:line="219" w:lineRule="auto"/>
        <w:rPr>
          <w:rFonts w:ascii="宋体" w:eastAsia="宋体" w:hAnsi="宋体" w:cs="宋体"/>
        </w:rPr>
      </w:pPr>
      <w:r>
        <w:rPr>
          <w:rFonts w:ascii="宋体" w:eastAsia="宋体" w:hAnsi="宋体" w:cs="宋体"/>
          <w:spacing w:val="7"/>
        </w:rPr>
        <w:t>2)钙的代谢</w:t>
      </w:r>
    </w:p>
    <w:p w:rsidR="00EA40A3" w:rsidRDefault="00E86C16">
      <w:pPr>
        <w:spacing w:before="70" w:line="246" w:lineRule="auto"/>
        <w:ind w:right="127" w:firstLine="450"/>
        <w:rPr>
          <w:rFonts w:ascii="宋体" w:eastAsia="宋体" w:hAnsi="宋体" w:cs="宋体"/>
        </w:rPr>
      </w:pPr>
      <w:r>
        <w:rPr>
          <w:rFonts w:ascii="宋体" w:eastAsia="宋体" w:hAnsi="宋体" w:cs="宋体"/>
          <w:spacing w:val="-3"/>
        </w:rPr>
        <w:t>钙在体内代谢的过程，就是维持体内钙内环境稳定的过程。人体内有一个灵</w:t>
      </w:r>
      <w:r>
        <w:rPr>
          <w:rFonts w:ascii="宋体" w:eastAsia="宋体" w:hAnsi="宋体" w:cs="宋体"/>
        </w:rPr>
        <w:t xml:space="preserve"> </w:t>
      </w:r>
      <w:r>
        <w:rPr>
          <w:rFonts w:ascii="宋体" w:eastAsia="宋体" w:hAnsi="宋体" w:cs="宋体"/>
          <w:spacing w:val="-3"/>
        </w:rPr>
        <w:t>敏的维持钙内环境稳定性的生物控制系统。整个系统涉及两种激素，即甲状旁腺</w:t>
      </w:r>
    </w:p>
    <w:p w:rsidR="00EA40A3" w:rsidRDefault="00E86C16">
      <w:pPr>
        <w:spacing w:before="56" w:line="214" w:lineRule="auto"/>
        <w:rPr>
          <w:rFonts w:ascii="宋体" w:eastAsia="宋体" w:hAnsi="宋体" w:cs="宋体"/>
        </w:rPr>
      </w:pPr>
      <w:r>
        <w:rPr>
          <w:rFonts w:ascii="宋体" w:eastAsia="宋体" w:hAnsi="宋体" w:cs="宋体"/>
          <w:spacing w:val="1"/>
        </w:rPr>
        <w:t>激素 (</w:t>
      </w:r>
      <w:r>
        <w:rPr>
          <w:rFonts w:ascii="宋体" w:eastAsia="宋体" w:hAnsi="宋体" w:cs="宋体"/>
        </w:rPr>
        <w:t>parathormone</w:t>
      </w:r>
      <w:r>
        <w:rPr>
          <w:rFonts w:ascii="宋体" w:eastAsia="宋体" w:hAnsi="宋体" w:cs="宋体"/>
          <w:spacing w:val="1"/>
        </w:rPr>
        <w:t>,</w:t>
      </w:r>
      <w:r>
        <w:rPr>
          <w:rFonts w:ascii="宋体" w:eastAsia="宋体" w:hAnsi="宋体" w:cs="宋体"/>
        </w:rPr>
        <w:t>PTH</w:t>
      </w:r>
      <w:r>
        <w:rPr>
          <w:rFonts w:ascii="宋体" w:eastAsia="宋体" w:hAnsi="宋体" w:cs="宋体"/>
          <w:spacing w:val="1"/>
        </w:rPr>
        <w:t>)</w:t>
      </w:r>
      <w:r>
        <w:rPr>
          <w:rFonts w:ascii="宋体" w:eastAsia="宋体" w:hAnsi="宋体" w:cs="宋体"/>
          <w:spacing w:val="23"/>
        </w:rPr>
        <w:t xml:space="preserve">   </w:t>
      </w:r>
      <w:r>
        <w:rPr>
          <w:rFonts w:ascii="宋体" w:eastAsia="宋体" w:hAnsi="宋体" w:cs="宋体"/>
          <w:spacing w:val="1"/>
        </w:rPr>
        <w:t>和降钙素</w:t>
      </w:r>
      <w:r>
        <w:rPr>
          <w:rFonts w:ascii="宋体" w:eastAsia="宋体" w:hAnsi="宋体" w:cs="宋体"/>
          <w:spacing w:val="-3"/>
        </w:rPr>
        <w:t xml:space="preserve"> </w:t>
      </w:r>
      <w:r>
        <w:rPr>
          <w:rFonts w:ascii="宋体" w:eastAsia="宋体" w:hAnsi="宋体" w:cs="宋体"/>
          <w:spacing w:val="1"/>
        </w:rPr>
        <w:t>(</w:t>
      </w:r>
      <w:r>
        <w:rPr>
          <w:rFonts w:ascii="宋体" w:eastAsia="宋体" w:hAnsi="宋体" w:cs="宋体"/>
        </w:rPr>
        <w:t>calcitonin</w:t>
      </w:r>
      <w:r>
        <w:rPr>
          <w:rFonts w:ascii="宋体" w:eastAsia="宋体" w:hAnsi="宋体" w:cs="宋体"/>
          <w:spacing w:val="1"/>
        </w:rPr>
        <w:t>,</w:t>
      </w:r>
      <w:r>
        <w:rPr>
          <w:rFonts w:ascii="宋体" w:eastAsia="宋体" w:hAnsi="宋体" w:cs="宋体"/>
        </w:rPr>
        <w:t>CT</w:t>
      </w:r>
      <w:r>
        <w:rPr>
          <w:rFonts w:ascii="宋体" w:eastAsia="宋体" w:hAnsi="宋体" w:cs="宋体"/>
          <w:spacing w:val="1"/>
        </w:rPr>
        <w:t>),</w:t>
      </w:r>
      <w:r>
        <w:rPr>
          <w:rFonts w:ascii="宋体" w:eastAsia="宋体" w:hAnsi="宋体" w:cs="宋体"/>
          <w:spacing w:val="50"/>
        </w:rPr>
        <w:t xml:space="preserve"> </w:t>
      </w:r>
      <w:r>
        <w:rPr>
          <w:rFonts w:ascii="宋体" w:eastAsia="宋体" w:hAnsi="宋体" w:cs="宋体"/>
          <w:spacing w:val="1"/>
        </w:rPr>
        <w:t>与维生素</w:t>
      </w:r>
      <w:r>
        <w:rPr>
          <w:rFonts w:ascii="宋体" w:eastAsia="宋体" w:hAnsi="宋体" w:cs="宋体"/>
          <w:spacing w:val="-55"/>
        </w:rPr>
        <w:t xml:space="preserve"> </w:t>
      </w:r>
      <w:r>
        <w:rPr>
          <w:rFonts w:ascii="宋体" w:eastAsia="宋体" w:hAnsi="宋体" w:cs="宋体"/>
          <w:spacing w:val="1"/>
        </w:rPr>
        <w:t>D[1,25-</w:t>
      </w:r>
    </w:p>
    <w:p w:rsidR="00EA40A3" w:rsidRDefault="00E86C16">
      <w:pPr>
        <w:spacing w:before="71" w:line="262" w:lineRule="auto"/>
        <w:ind w:right="84"/>
        <w:jc w:val="both"/>
        <w:rPr>
          <w:rFonts w:ascii="宋体" w:eastAsia="宋体" w:hAnsi="宋体" w:cs="宋体"/>
        </w:rPr>
      </w:pPr>
      <w:r>
        <w:rPr>
          <w:rFonts w:ascii="宋体" w:eastAsia="宋体" w:hAnsi="宋体" w:cs="宋体"/>
          <w:spacing w:val="-5"/>
        </w:rPr>
        <w:t>(OH)</w:t>
      </w:r>
      <w:r>
        <w:rPr>
          <w:rFonts w:ascii="Calibri" w:eastAsia="Calibri" w:hAnsi="Calibri" w:cs="Calibri"/>
          <w:spacing w:val="-5"/>
        </w:rPr>
        <w:t>₂</w:t>
      </w:r>
      <w:r>
        <w:rPr>
          <w:rFonts w:ascii="宋体" w:eastAsia="宋体" w:hAnsi="宋体" w:cs="宋体"/>
          <w:spacing w:val="-5"/>
        </w:rPr>
        <w:t>D</w:t>
      </w:r>
      <w:r>
        <w:rPr>
          <w:rFonts w:ascii="Calibri" w:eastAsia="Calibri" w:hAnsi="Calibri" w:cs="Calibri"/>
          <w:spacing w:val="-5"/>
        </w:rPr>
        <w:t>₃</w:t>
      </w:r>
      <w:r>
        <w:rPr>
          <w:rFonts w:ascii="宋体" w:eastAsia="宋体" w:hAnsi="宋体" w:cs="宋体"/>
          <w:spacing w:val="-5"/>
        </w:rPr>
        <w:t>]</w:t>
      </w:r>
      <w:r>
        <w:rPr>
          <w:rFonts w:ascii="宋体" w:eastAsia="宋体" w:hAnsi="宋体" w:cs="宋体"/>
          <w:spacing w:val="20"/>
        </w:rPr>
        <w:t xml:space="preserve">  </w:t>
      </w:r>
      <w:r>
        <w:rPr>
          <w:rFonts w:ascii="宋体" w:eastAsia="宋体" w:hAnsi="宋体" w:cs="宋体"/>
          <w:spacing w:val="-5"/>
        </w:rPr>
        <w:t>的活性。当血钙下降时，</w:t>
      </w:r>
      <w:r>
        <w:rPr>
          <w:rFonts w:ascii="宋体" w:eastAsia="宋体" w:hAnsi="宋体" w:cs="宋体"/>
          <w:spacing w:val="-4"/>
        </w:rPr>
        <w:t xml:space="preserve"> </w:t>
      </w:r>
      <w:r>
        <w:rPr>
          <w:rFonts w:ascii="宋体" w:eastAsia="宋体" w:hAnsi="宋体" w:cs="宋体"/>
          <w:spacing w:val="-5"/>
        </w:rPr>
        <w:t>PTH</w:t>
      </w:r>
      <w:r>
        <w:rPr>
          <w:rFonts w:ascii="宋体" w:eastAsia="宋体" w:hAnsi="宋体" w:cs="宋体"/>
          <w:spacing w:val="94"/>
        </w:rPr>
        <w:t xml:space="preserve"> </w:t>
      </w:r>
      <w:r>
        <w:rPr>
          <w:rFonts w:ascii="宋体" w:eastAsia="宋体" w:hAnsi="宋体" w:cs="宋体"/>
          <w:spacing w:val="-5"/>
        </w:rPr>
        <w:t>分泌增加，而CT</w:t>
      </w:r>
      <w:r>
        <w:rPr>
          <w:rFonts w:ascii="宋体" w:eastAsia="宋体" w:hAnsi="宋体" w:cs="宋体"/>
          <w:spacing w:val="32"/>
        </w:rPr>
        <w:t xml:space="preserve"> </w:t>
      </w:r>
      <w:r>
        <w:rPr>
          <w:rFonts w:ascii="宋体" w:eastAsia="宋体" w:hAnsi="宋体" w:cs="宋体"/>
          <w:spacing w:val="-5"/>
        </w:rPr>
        <w:t>分泌减少，进而骨钙</w:t>
      </w:r>
      <w:r>
        <w:rPr>
          <w:rFonts w:ascii="宋体" w:eastAsia="宋体" w:hAnsi="宋体" w:cs="宋体"/>
        </w:rPr>
        <w:t xml:space="preserve"> </w:t>
      </w:r>
      <w:r>
        <w:rPr>
          <w:rFonts w:ascii="宋体" w:eastAsia="宋体" w:hAnsi="宋体" w:cs="宋体"/>
          <w:spacing w:val="1"/>
        </w:rPr>
        <w:t>溶出增加和肾钙排泄减少，以及通过</w:t>
      </w:r>
      <w:r>
        <w:rPr>
          <w:rFonts w:ascii="宋体" w:eastAsia="宋体" w:hAnsi="宋体" w:cs="宋体"/>
        </w:rPr>
        <w:t>PTH</w:t>
      </w:r>
      <w:r>
        <w:rPr>
          <w:rFonts w:ascii="宋体" w:eastAsia="宋体" w:hAnsi="宋体" w:cs="宋体"/>
          <w:spacing w:val="104"/>
        </w:rPr>
        <w:t xml:space="preserve"> </w:t>
      </w:r>
      <w:r>
        <w:rPr>
          <w:rFonts w:ascii="宋体" w:eastAsia="宋体" w:hAnsi="宋体" w:cs="宋体"/>
          <w:spacing w:val="1"/>
        </w:rPr>
        <w:t>刺激1,25-(</w:t>
      </w:r>
      <w:r>
        <w:rPr>
          <w:rFonts w:ascii="宋体" w:eastAsia="宋体" w:hAnsi="宋体" w:cs="宋体"/>
        </w:rPr>
        <w:t>OH</w:t>
      </w:r>
      <w:r>
        <w:rPr>
          <w:rFonts w:ascii="宋体" w:eastAsia="宋体" w:hAnsi="宋体" w:cs="宋体"/>
          <w:spacing w:val="1"/>
        </w:rPr>
        <w:t>)</w:t>
      </w:r>
      <w:r>
        <w:rPr>
          <w:rFonts w:ascii="Calibri" w:eastAsia="Calibri" w:hAnsi="Calibri" w:cs="Calibri"/>
        </w:rPr>
        <w:t>₂</w:t>
      </w:r>
      <w:r>
        <w:rPr>
          <w:rFonts w:ascii="宋体" w:eastAsia="宋体" w:hAnsi="宋体" w:cs="宋体"/>
        </w:rPr>
        <w:t>D</w:t>
      </w:r>
      <w:r>
        <w:rPr>
          <w:rFonts w:ascii="Calibri" w:eastAsia="Calibri" w:hAnsi="Calibri" w:cs="Calibri"/>
        </w:rPr>
        <w:t xml:space="preserve">₂     </w:t>
      </w:r>
      <w:r>
        <w:rPr>
          <w:rFonts w:ascii="宋体" w:eastAsia="宋体" w:hAnsi="宋体" w:cs="宋体"/>
        </w:rPr>
        <w:t>合成增加，进而</w:t>
      </w:r>
      <w:r>
        <w:rPr>
          <w:rFonts w:ascii="宋体" w:eastAsia="宋体" w:hAnsi="宋体" w:cs="宋体"/>
          <w:spacing w:val="1"/>
        </w:rPr>
        <w:t xml:space="preserve">  </w:t>
      </w:r>
      <w:r>
        <w:rPr>
          <w:rFonts w:ascii="宋体" w:eastAsia="宋体" w:hAnsi="宋体" w:cs="宋体"/>
          <w:spacing w:val="-1"/>
        </w:rPr>
        <w:t>使肠吸收钙增加。而血钙浓度增加到高于生理学水平时，则抑制PTH</w:t>
      </w:r>
      <w:r>
        <w:rPr>
          <w:rFonts w:ascii="宋体" w:eastAsia="宋体" w:hAnsi="宋体" w:cs="宋体"/>
          <w:spacing w:val="123"/>
        </w:rPr>
        <w:t xml:space="preserve"> </w:t>
      </w:r>
      <w:r>
        <w:rPr>
          <w:rFonts w:ascii="宋体" w:eastAsia="宋体" w:hAnsi="宋体" w:cs="宋体"/>
          <w:spacing w:val="-1"/>
        </w:rPr>
        <w:t>分泌和刺</w:t>
      </w:r>
      <w:r>
        <w:rPr>
          <w:rFonts w:ascii="宋体" w:eastAsia="宋体" w:hAnsi="宋体" w:cs="宋体"/>
        </w:rPr>
        <w:t xml:space="preserve">  激</w:t>
      </w:r>
      <w:r>
        <w:rPr>
          <w:rFonts w:ascii="宋体" w:eastAsia="宋体" w:hAnsi="宋体" w:cs="宋体"/>
          <w:spacing w:val="-58"/>
        </w:rPr>
        <w:t xml:space="preserve"> </w:t>
      </w:r>
      <w:r>
        <w:rPr>
          <w:rFonts w:ascii="宋体" w:eastAsia="宋体" w:hAnsi="宋体" w:cs="宋体"/>
        </w:rPr>
        <w:t>CT</w:t>
      </w:r>
      <w:r>
        <w:rPr>
          <w:rFonts w:ascii="宋体" w:eastAsia="宋体" w:hAnsi="宋体" w:cs="宋体"/>
          <w:spacing w:val="32"/>
        </w:rPr>
        <w:t xml:space="preserve"> </w:t>
      </w:r>
      <w:r>
        <w:rPr>
          <w:rFonts w:ascii="宋体" w:eastAsia="宋体" w:hAnsi="宋体" w:cs="宋体"/>
        </w:rPr>
        <w:t xml:space="preserve">分泌，这些变化则使骨钙溶出减少，肾钙排泄增加，以及肠钙吸收减少。 </w:t>
      </w:r>
      <w:r>
        <w:rPr>
          <w:rFonts w:ascii="宋体" w:eastAsia="宋体" w:hAnsi="宋体" w:cs="宋体"/>
          <w:spacing w:val="-4"/>
        </w:rPr>
        <w:t>如此不断重复，以维持血钙浓度在极小的生理浓度范围内波动。</w:t>
      </w:r>
    </w:p>
    <w:p w:rsidR="00EA40A3" w:rsidRDefault="00E86C16">
      <w:pPr>
        <w:spacing w:before="32" w:line="184" w:lineRule="auto"/>
        <w:rPr>
          <w:rFonts w:ascii="宋体" w:eastAsia="宋体" w:hAnsi="宋体" w:cs="宋体"/>
        </w:rPr>
      </w:pPr>
      <w:r>
        <w:rPr>
          <w:rFonts w:ascii="宋体" w:eastAsia="宋体" w:hAnsi="宋体" w:cs="宋体"/>
          <w:spacing w:val="-46"/>
        </w:rPr>
        <w:t>·</w:t>
      </w:r>
      <w:r>
        <w:rPr>
          <w:rFonts w:ascii="宋体" w:eastAsia="宋体" w:hAnsi="宋体" w:cs="宋体"/>
          <w:spacing w:val="-22"/>
        </w:rPr>
        <w:t xml:space="preserve"> </w:t>
      </w:r>
      <w:r>
        <w:rPr>
          <w:rFonts w:ascii="宋体" w:eastAsia="宋体" w:hAnsi="宋体" w:cs="宋体"/>
          <w:spacing w:val="-46"/>
        </w:rPr>
        <w:t>88</w:t>
      </w:r>
      <w:r>
        <w:rPr>
          <w:rFonts w:ascii="宋体" w:eastAsia="宋体" w:hAnsi="宋体" w:cs="宋体"/>
          <w:spacing w:val="29"/>
        </w:rPr>
        <w:t xml:space="preserve"> </w:t>
      </w:r>
      <w:r>
        <w:rPr>
          <w:rFonts w:ascii="宋体" w:eastAsia="宋体" w:hAnsi="宋体" w:cs="宋体"/>
          <w:spacing w:val="-46"/>
        </w:rPr>
        <w:t>·</w:t>
      </w:r>
    </w:p>
    <w:p w:rsidR="00EA40A3" w:rsidRDefault="00EA40A3">
      <w:pPr>
        <w:sectPr w:rsidR="00EA40A3">
          <w:type w:val="continuous"/>
          <w:pgSz w:w="9220" w:h="13360"/>
          <w:pgMar w:top="1324" w:right="1029" w:bottom="400" w:left="780" w:header="1064" w:footer="0" w:gutter="0"/>
          <w:cols w:space="720" w:equalWidth="0">
            <w:col w:w="7411"/>
          </w:cols>
        </w:sectPr>
      </w:pPr>
    </w:p>
    <w:p w:rsidR="00EA40A3" w:rsidRDefault="00EA40A3">
      <w:pPr>
        <w:spacing w:line="299" w:lineRule="auto"/>
      </w:pPr>
    </w:p>
    <w:p w:rsidR="00EA40A3" w:rsidRDefault="00EA40A3">
      <w:pPr>
        <w:spacing w:line="300" w:lineRule="auto"/>
      </w:pPr>
    </w:p>
    <w:p w:rsidR="00EA40A3" w:rsidRDefault="00E86C16">
      <w:pPr>
        <w:spacing w:before="71" w:line="249" w:lineRule="auto"/>
        <w:ind w:right="29" w:firstLine="419"/>
        <w:jc w:val="both"/>
        <w:rPr>
          <w:rFonts w:ascii="宋体" w:eastAsia="宋体" w:hAnsi="宋体" w:cs="宋体"/>
          <w:sz w:val="22"/>
          <w:szCs w:val="22"/>
        </w:rPr>
      </w:pPr>
      <w:r>
        <w:rPr>
          <w:rFonts w:ascii="宋体" w:eastAsia="宋体" w:hAnsi="宋体" w:cs="宋体"/>
          <w:spacing w:val="-13"/>
          <w:sz w:val="22"/>
          <w:szCs w:val="22"/>
        </w:rPr>
        <w:t>钙的排泄主要通过肠道和泌尿系统，也有少量经汗液排出。人体每日摄入</w:t>
      </w:r>
      <w:r>
        <w:rPr>
          <w:rFonts w:ascii="宋体" w:eastAsia="宋体" w:hAnsi="宋体" w:cs="宋体"/>
          <w:spacing w:val="-14"/>
          <w:sz w:val="22"/>
          <w:szCs w:val="22"/>
        </w:rPr>
        <w:t>钙</w:t>
      </w:r>
      <w:r>
        <w:rPr>
          <w:rFonts w:ascii="宋体" w:eastAsia="宋体" w:hAnsi="宋体" w:cs="宋体"/>
          <w:sz w:val="22"/>
          <w:szCs w:val="22"/>
        </w:rPr>
        <w:t xml:space="preserve"> </w:t>
      </w:r>
      <w:r>
        <w:rPr>
          <w:rFonts w:ascii="宋体" w:eastAsia="宋体" w:hAnsi="宋体" w:cs="宋体"/>
          <w:spacing w:val="7"/>
          <w:sz w:val="22"/>
          <w:szCs w:val="22"/>
        </w:rPr>
        <w:t>的10%～20%从肾脏排出，80%～90%经肠道排出。经肠道排泄的钙即粪钙，</w:t>
      </w:r>
      <w:r>
        <w:rPr>
          <w:rFonts w:ascii="宋体" w:eastAsia="宋体" w:hAnsi="宋体" w:cs="宋体"/>
          <w:spacing w:val="13"/>
          <w:sz w:val="22"/>
          <w:szCs w:val="22"/>
        </w:rPr>
        <w:t xml:space="preserve"> </w:t>
      </w:r>
      <w:r>
        <w:rPr>
          <w:rFonts w:ascii="宋体" w:eastAsia="宋体" w:hAnsi="宋体" w:cs="宋体"/>
          <w:spacing w:val="-16"/>
          <w:sz w:val="22"/>
          <w:szCs w:val="22"/>
        </w:rPr>
        <w:t>其来源包括两部分，</w:t>
      </w:r>
      <w:r>
        <w:rPr>
          <w:rFonts w:ascii="宋体" w:eastAsia="宋体" w:hAnsi="宋体" w:cs="宋体"/>
          <w:spacing w:val="53"/>
          <w:sz w:val="22"/>
          <w:szCs w:val="22"/>
        </w:rPr>
        <w:t xml:space="preserve"> </w:t>
      </w:r>
      <w:r>
        <w:rPr>
          <w:rFonts w:ascii="宋体" w:eastAsia="宋体" w:hAnsi="宋体" w:cs="宋体"/>
          <w:spacing w:val="-16"/>
          <w:sz w:val="22"/>
          <w:szCs w:val="22"/>
        </w:rPr>
        <w:t>一是膳食中未被吸收的钙，其多寡与影响吸收的因</w:t>
      </w:r>
      <w:r>
        <w:rPr>
          <w:rFonts w:ascii="宋体" w:eastAsia="宋体" w:hAnsi="宋体" w:cs="宋体"/>
          <w:spacing w:val="-17"/>
          <w:sz w:val="22"/>
          <w:szCs w:val="22"/>
        </w:rPr>
        <w:t>素有关，</w:t>
      </w:r>
      <w:r>
        <w:rPr>
          <w:rFonts w:ascii="宋体" w:eastAsia="宋体" w:hAnsi="宋体" w:cs="宋体"/>
          <w:sz w:val="22"/>
          <w:szCs w:val="22"/>
        </w:rPr>
        <w:t xml:space="preserve"> </w:t>
      </w:r>
      <w:r>
        <w:rPr>
          <w:rFonts w:ascii="宋体" w:eastAsia="宋体" w:hAnsi="宋体" w:cs="宋体"/>
          <w:spacing w:val="-7"/>
          <w:sz w:val="22"/>
          <w:szCs w:val="22"/>
        </w:rPr>
        <w:t>另一部分是由黏膜、细胞、唾液、胰腺和胆汁来源进入肠内的钙，称为内源性</w:t>
      </w:r>
      <w:r>
        <w:rPr>
          <w:rFonts w:ascii="宋体" w:eastAsia="宋体" w:hAnsi="宋体" w:cs="宋体"/>
          <w:spacing w:val="5"/>
          <w:sz w:val="22"/>
          <w:szCs w:val="22"/>
        </w:rPr>
        <w:t xml:space="preserve"> </w:t>
      </w:r>
      <w:r>
        <w:rPr>
          <w:rFonts w:ascii="宋体" w:eastAsia="宋体" w:hAnsi="宋体" w:cs="宋体"/>
          <w:spacing w:val="-7"/>
          <w:sz w:val="22"/>
          <w:szCs w:val="22"/>
        </w:rPr>
        <w:t>钙，这部分钙比较稳定，每日约为100</w:t>
      </w:r>
      <w:r>
        <w:rPr>
          <w:rFonts w:ascii="宋体" w:eastAsia="宋体" w:hAnsi="宋体" w:cs="宋体"/>
          <w:spacing w:val="-8"/>
          <w:sz w:val="22"/>
          <w:szCs w:val="22"/>
        </w:rPr>
        <w:t>～120</w:t>
      </w:r>
      <w:r>
        <w:rPr>
          <w:rFonts w:ascii="宋体" w:eastAsia="宋体" w:hAnsi="宋体" w:cs="宋体"/>
          <w:spacing w:val="-7"/>
          <w:sz w:val="22"/>
          <w:szCs w:val="22"/>
        </w:rPr>
        <w:t>mg</w:t>
      </w:r>
      <w:r>
        <w:rPr>
          <w:rFonts w:ascii="宋体" w:eastAsia="宋体" w:hAnsi="宋体" w:cs="宋体"/>
          <w:spacing w:val="-8"/>
          <w:sz w:val="22"/>
          <w:szCs w:val="22"/>
        </w:rPr>
        <w:t>,</w:t>
      </w:r>
      <w:r>
        <w:rPr>
          <w:rFonts w:ascii="宋体" w:eastAsia="宋体" w:hAnsi="宋体" w:cs="宋体"/>
          <w:spacing w:val="52"/>
          <w:sz w:val="22"/>
          <w:szCs w:val="22"/>
        </w:rPr>
        <w:t xml:space="preserve"> </w:t>
      </w:r>
      <w:r>
        <w:rPr>
          <w:rFonts w:ascii="宋体" w:eastAsia="宋体" w:hAnsi="宋体" w:cs="宋体"/>
          <w:spacing w:val="-8"/>
          <w:sz w:val="22"/>
          <w:szCs w:val="22"/>
        </w:rPr>
        <w:t>因年龄变化的差异不明显。影</w:t>
      </w:r>
      <w:r>
        <w:rPr>
          <w:rFonts w:ascii="宋体" w:eastAsia="宋体" w:hAnsi="宋体" w:cs="宋体"/>
          <w:sz w:val="22"/>
          <w:szCs w:val="22"/>
        </w:rPr>
        <w:t xml:space="preserve"> </w:t>
      </w:r>
      <w:r>
        <w:rPr>
          <w:rFonts w:ascii="宋体" w:eastAsia="宋体" w:hAnsi="宋体" w:cs="宋体"/>
          <w:spacing w:val="-7"/>
          <w:sz w:val="22"/>
          <w:szCs w:val="22"/>
        </w:rPr>
        <w:t>响体内钙平衡最主要的途径是肾对钙的排出，每日从肾小球滤过的钙总量可达</w:t>
      </w:r>
      <w:r>
        <w:rPr>
          <w:rFonts w:ascii="宋体" w:eastAsia="宋体" w:hAnsi="宋体" w:cs="宋体"/>
          <w:spacing w:val="5"/>
          <w:sz w:val="22"/>
          <w:szCs w:val="22"/>
        </w:rPr>
        <w:t xml:space="preserve"> </w:t>
      </w:r>
      <w:r>
        <w:rPr>
          <w:rFonts w:ascii="宋体" w:eastAsia="宋体" w:hAnsi="宋体" w:cs="宋体"/>
          <w:spacing w:val="-6"/>
          <w:sz w:val="22"/>
          <w:szCs w:val="22"/>
        </w:rPr>
        <w:t>10g,</w:t>
      </w:r>
      <w:r>
        <w:rPr>
          <w:rFonts w:ascii="宋体" w:eastAsia="宋体" w:hAnsi="宋体" w:cs="宋体"/>
          <w:spacing w:val="-7"/>
          <w:sz w:val="22"/>
          <w:szCs w:val="22"/>
        </w:rPr>
        <w:t xml:space="preserve"> </w:t>
      </w:r>
      <w:r>
        <w:rPr>
          <w:rFonts w:ascii="宋体" w:eastAsia="宋体" w:hAnsi="宋体" w:cs="宋体"/>
          <w:spacing w:val="-6"/>
          <w:sz w:val="22"/>
          <w:szCs w:val="22"/>
        </w:rPr>
        <w:t>在肾小管各段钙的重吸收率达99%。肾对钙的滤过量和重吸收量均取决于</w:t>
      </w:r>
      <w:r>
        <w:rPr>
          <w:rFonts w:ascii="宋体" w:eastAsia="宋体" w:hAnsi="宋体" w:cs="宋体"/>
          <w:sz w:val="22"/>
          <w:szCs w:val="22"/>
        </w:rPr>
        <w:t xml:space="preserve"> </w:t>
      </w:r>
      <w:r>
        <w:rPr>
          <w:rFonts w:ascii="宋体" w:eastAsia="宋体" w:hAnsi="宋体" w:cs="宋体"/>
          <w:spacing w:val="1"/>
          <w:sz w:val="22"/>
          <w:szCs w:val="22"/>
        </w:rPr>
        <w:t>血钙浓度，当血钙低于1.88</w:t>
      </w:r>
      <w:r>
        <w:rPr>
          <w:rFonts w:ascii="宋体" w:eastAsia="宋体" w:hAnsi="宋体" w:cs="宋体"/>
          <w:sz w:val="22"/>
          <w:szCs w:val="22"/>
        </w:rPr>
        <w:t>mmol</w:t>
      </w:r>
      <w:r>
        <w:rPr>
          <w:rFonts w:ascii="宋体" w:eastAsia="宋体" w:hAnsi="宋体" w:cs="宋体"/>
          <w:spacing w:val="1"/>
          <w:sz w:val="22"/>
          <w:szCs w:val="22"/>
        </w:rPr>
        <w:t>/L(75</w:t>
      </w:r>
      <w:r>
        <w:rPr>
          <w:rFonts w:ascii="宋体" w:eastAsia="宋体" w:hAnsi="宋体" w:cs="宋体"/>
          <w:sz w:val="22"/>
          <w:szCs w:val="22"/>
        </w:rPr>
        <w:t>mg</w:t>
      </w:r>
      <w:r>
        <w:rPr>
          <w:rFonts w:ascii="宋体" w:eastAsia="宋体" w:hAnsi="宋体" w:cs="宋体"/>
          <w:spacing w:val="1"/>
          <w:sz w:val="22"/>
          <w:szCs w:val="22"/>
        </w:rPr>
        <w:t>/L)</w:t>
      </w:r>
      <w:r>
        <w:rPr>
          <w:rFonts w:ascii="宋体" w:eastAsia="宋体" w:hAnsi="宋体" w:cs="宋体"/>
          <w:spacing w:val="30"/>
          <w:sz w:val="22"/>
          <w:szCs w:val="22"/>
        </w:rPr>
        <w:t xml:space="preserve">  </w:t>
      </w:r>
      <w:r>
        <w:rPr>
          <w:rFonts w:ascii="宋体" w:eastAsia="宋体" w:hAnsi="宋体" w:cs="宋体"/>
          <w:spacing w:val="1"/>
          <w:sz w:val="22"/>
          <w:szCs w:val="22"/>
        </w:rPr>
        <w:t>时，钙重吸收率达100%,则尿</w:t>
      </w:r>
      <w:r>
        <w:rPr>
          <w:rFonts w:ascii="宋体" w:eastAsia="宋体" w:hAnsi="宋体" w:cs="宋体"/>
          <w:sz w:val="22"/>
          <w:szCs w:val="22"/>
        </w:rPr>
        <w:t xml:space="preserve"> </w:t>
      </w:r>
      <w:r>
        <w:rPr>
          <w:rFonts w:ascii="宋体" w:eastAsia="宋体" w:hAnsi="宋体" w:cs="宋体"/>
          <w:spacing w:val="-13"/>
          <w:sz w:val="22"/>
          <w:szCs w:val="22"/>
        </w:rPr>
        <w:t>中无钙排出。若骨钙溶出增多，而使血钙升高时，则尿</w:t>
      </w:r>
      <w:r>
        <w:rPr>
          <w:rFonts w:ascii="宋体" w:eastAsia="宋体" w:hAnsi="宋体" w:cs="宋体"/>
          <w:spacing w:val="-14"/>
          <w:sz w:val="22"/>
          <w:szCs w:val="22"/>
        </w:rPr>
        <w:t>钙排出增加。成人每日由</w:t>
      </w:r>
      <w:r>
        <w:rPr>
          <w:rFonts w:ascii="宋体" w:eastAsia="宋体" w:hAnsi="宋体" w:cs="宋体"/>
          <w:sz w:val="22"/>
          <w:szCs w:val="22"/>
        </w:rPr>
        <w:t xml:space="preserve"> </w:t>
      </w:r>
      <w:r>
        <w:rPr>
          <w:rFonts w:ascii="宋体" w:eastAsia="宋体" w:hAnsi="宋体" w:cs="宋体"/>
          <w:spacing w:val="-2"/>
          <w:sz w:val="22"/>
          <w:szCs w:val="22"/>
        </w:rPr>
        <w:t>尿排出钙约为100～200mg,</w:t>
      </w:r>
      <w:r>
        <w:rPr>
          <w:rFonts w:ascii="宋体" w:eastAsia="宋体" w:hAnsi="宋体" w:cs="宋体"/>
          <w:spacing w:val="42"/>
          <w:sz w:val="22"/>
          <w:szCs w:val="22"/>
        </w:rPr>
        <w:t xml:space="preserve"> </w:t>
      </w:r>
      <w:r>
        <w:rPr>
          <w:rFonts w:ascii="宋体" w:eastAsia="宋体" w:hAnsi="宋体" w:cs="宋体"/>
          <w:spacing w:val="-2"/>
          <w:sz w:val="22"/>
          <w:szCs w:val="22"/>
        </w:rPr>
        <w:t>由汗液排出的钙约为16～24mg,</w:t>
      </w:r>
      <w:r>
        <w:rPr>
          <w:rFonts w:ascii="宋体" w:eastAsia="宋体" w:hAnsi="宋体" w:cs="宋体"/>
          <w:spacing w:val="32"/>
          <w:sz w:val="22"/>
          <w:szCs w:val="22"/>
        </w:rPr>
        <w:t xml:space="preserve"> </w:t>
      </w:r>
      <w:r>
        <w:rPr>
          <w:rFonts w:ascii="宋体" w:eastAsia="宋体" w:hAnsi="宋体" w:cs="宋体"/>
          <w:spacing w:val="-2"/>
          <w:sz w:val="22"/>
          <w:szCs w:val="22"/>
        </w:rPr>
        <w:t>此外由皮</w:t>
      </w:r>
      <w:r>
        <w:rPr>
          <w:rFonts w:ascii="宋体" w:eastAsia="宋体" w:hAnsi="宋体" w:cs="宋体"/>
          <w:spacing w:val="-3"/>
          <w:sz w:val="22"/>
          <w:szCs w:val="22"/>
        </w:rPr>
        <w:t>肤、头</w:t>
      </w:r>
      <w:r>
        <w:rPr>
          <w:rFonts w:ascii="宋体" w:eastAsia="宋体" w:hAnsi="宋体" w:cs="宋体"/>
          <w:sz w:val="22"/>
          <w:szCs w:val="22"/>
        </w:rPr>
        <w:t xml:space="preserve"> </w:t>
      </w:r>
      <w:r>
        <w:rPr>
          <w:rFonts w:ascii="宋体" w:eastAsia="宋体" w:hAnsi="宋体" w:cs="宋体"/>
          <w:spacing w:val="5"/>
          <w:sz w:val="22"/>
          <w:szCs w:val="22"/>
        </w:rPr>
        <w:t>发和指甲等每日约排出钙60</w:t>
      </w:r>
      <w:r>
        <w:rPr>
          <w:rFonts w:ascii="宋体" w:eastAsia="宋体" w:hAnsi="宋体" w:cs="宋体"/>
          <w:sz w:val="22"/>
          <w:szCs w:val="22"/>
        </w:rPr>
        <w:t>mg</w:t>
      </w:r>
      <w:r>
        <w:rPr>
          <w:rFonts w:ascii="宋体" w:eastAsia="宋体" w:hAnsi="宋体" w:cs="宋体"/>
          <w:spacing w:val="5"/>
          <w:sz w:val="22"/>
          <w:szCs w:val="22"/>
        </w:rPr>
        <w:t>,</w:t>
      </w:r>
      <w:r>
        <w:rPr>
          <w:rFonts w:ascii="宋体" w:eastAsia="宋体" w:hAnsi="宋体" w:cs="宋体"/>
          <w:spacing w:val="50"/>
          <w:sz w:val="22"/>
          <w:szCs w:val="22"/>
        </w:rPr>
        <w:t xml:space="preserve"> </w:t>
      </w:r>
      <w:r>
        <w:rPr>
          <w:rFonts w:ascii="宋体" w:eastAsia="宋体" w:hAnsi="宋体" w:cs="宋体"/>
          <w:spacing w:val="5"/>
          <w:sz w:val="22"/>
          <w:szCs w:val="22"/>
        </w:rPr>
        <w:t>女性特殊生理状态下，乳汁也有一定量钙</w:t>
      </w:r>
      <w:r>
        <w:rPr>
          <w:rFonts w:ascii="宋体" w:eastAsia="宋体" w:hAnsi="宋体" w:cs="宋体"/>
          <w:sz w:val="22"/>
          <w:szCs w:val="22"/>
        </w:rPr>
        <w:t xml:space="preserve"> </w:t>
      </w:r>
      <w:r>
        <w:rPr>
          <w:rFonts w:ascii="宋体" w:eastAsia="宋体" w:hAnsi="宋体" w:cs="宋体"/>
          <w:spacing w:val="-16"/>
          <w:sz w:val="22"/>
          <w:szCs w:val="22"/>
        </w:rPr>
        <w:t>排出。</w:t>
      </w:r>
    </w:p>
    <w:p w:rsidR="00EA40A3" w:rsidRDefault="00E86C16">
      <w:pPr>
        <w:spacing w:before="253" w:line="224" w:lineRule="auto"/>
        <w:rPr>
          <w:rFonts w:ascii="仿宋" w:eastAsia="仿宋" w:hAnsi="仿宋" w:cs="仿宋"/>
          <w:sz w:val="22"/>
          <w:szCs w:val="22"/>
        </w:rPr>
      </w:pPr>
      <w:r>
        <w:rPr>
          <w:rFonts w:ascii="仿宋" w:eastAsia="仿宋" w:hAnsi="仿宋" w:cs="仿宋"/>
          <w:spacing w:val="-1"/>
          <w:sz w:val="22"/>
          <w:szCs w:val="22"/>
        </w:rPr>
        <w:t>3.</w:t>
      </w:r>
      <w:r>
        <w:rPr>
          <w:rFonts w:ascii="仿宋" w:eastAsia="仿宋" w:hAnsi="仿宋" w:cs="仿宋"/>
          <w:spacing w:val="46"/>
          <w:sz w:val="22"/>
          <w:szCs w:val="22"/>
        </w:rPr>
        <w:t xml:space="preserve"> </w:t>
      </w:r>
      <w:r>
        <w:rPr>
          <w:rFonts w:ascii="仿宋" w:eastAsia="仿宋" w:hAnsi="仿宋" w:cs="仿宋"/>
          <w:spacing w:val="-1"/>
          <w:sz w:val="22"/>
          <w:szCs w:val="22"/>
        </w:rPr>
        <w:t>钙缺乏与过量</w:t>
      </w:r>
    </w:p>
    <w:p w:rsidR="00EA40A3" w:rsidRDefault="00E86C16">
      <w:pPr>
        <w:spacing w:before="183" w:line="250" w:lineRule="auto"/>
        <w:ind w:firstLine="419"/>
        <w:jc w:val="both"/>
        <w:rPr>
          <w:rFonts w:ascii="宋体" w:eastAsia="宋体" w:hAnsi="宋体" w:cs="宋体"/>
          <w:sz w:val="22"/>
          <w:szCs w:val="22"/>
        </w:rPr>
      </w:pPr>
      <w:r>
        <w:rPr>
          <w:rFonts w:ascii="宋体" w:eastAsia="宋体" w:hAnsi="宋体" w:cs="宋体"/>
          <w:spacing w:val="-13"/>
          <w:sz w:val="22"/>
          <w:szCs w:val="22"/>
        </w:rPr>
        <w:t>钙缺乏症是较常见的营养性疾病，主要表现为骨骼的病变。①佝偻病。</w:t>
      </w:r>
      <w:r>
        <w:rPr>
          <w:rFonts w:ascii="宋体" w:eastAsia="宋体" w:hAnsi="宋体" w:cs="宋体"/>
          <w:spacing w:val="-14"/>
          <w:sz w:val="22"/>
          <w:szCs w:val="22"/>
        </w:rPr>
        <w:t>生长</w:t>
      </w:r>
      <w:r>
        <w:rPr>
          <w:rFonts w:ascii="宋体" w:eastAsia="宋体" w:hAnsi="宋体" w:cs="宋体"/>
          <w:sz w:val="22"/>
          <w:szCs w:val="22"/>
        </w:rPr>
        <w:t xml:space="preserve">  </w:t>
      </w:r>
      <w:r>
        <w:rPr>
          <w:rFonts w:ascii="宋体" w:eastAsia="宋体" w:hAnsi="宋体" w:cs="宋体"/>
          <w:spacing w:val="-13"/>
          <w:sz w:val="22"/>
          <w:szCs w:val="22"/>
        </w:rPr>
        <w:t>期婴幼儿缺钙时，可表现出生长发育迟缓、骨和牙质差，严重时造成骨骼畸形即</w:t>
      </w:r>
      <w:r>
        <w:rPr>
          <w:rFonts w:ascii="宋体" w:eastAsia="宋体" w:hAnsi="宋体" w:cs="宋体"/>
          <w:spacing w:val="15"/>
          <w:sz w:val="22"/>
          <w:szCs w:val="22"/>
        </w:rPr>
        <w:t xml:space="preserve"> </w:t>
      </w:r>
      <w:r>
        <w:rPr>
          <w:rFonts w:ascii="宋体" w:eastAsia="宋体" w:hAnsi="宋体" w:cs="宋体"/>
          <w:sz w:val="22"/>
          <w:szCs w:val="22"/>
        </w:rPr>
        <w:t>佝偻病。我国南方地区发病率在20%左右，北方更高，有些</w:t>
      </w:r>
      <w:r>
        <w:rPr>
          <w:rFonts w:ascii="宋体" w:eastAsia="宋体" w:hAnsi="宋体" w:cs="宋体"/>
          <w:spacing w:val="-1"/>
          <w:sz w:val="22"/>
          <w:szCs w:val="22"/>
        </w:rPr>
        <w:t>地区可达50%。该</w:t>
      </w:r>
      <w:r>
        <w:rPr>
          <w:rFonts w:ascii="宋体" w:eastAsia="宋体" w:hAnsi="宋体" w:cs="宋体"/>
          <w:sz w:val="22"/>
          <w:szCs w:val="22"/>
        </w:rPr>
        <w:t xml:space="preserve">  </w:t>
      </w:r>
      <w:r>
        <w:rPr>
          <w:rFonts w:ascii="宋体" w:eastAsia="宋体" w:hAnsi="宋体" w:cs="宋体"/>
          <w:spacing w:val="-13"/>
          <w:sz w:val="22"/>
          <w:szCs w:val="22"/>
        </w:rPr>
        <w:t>病多见于两岁以下婴幼儿，故应对孕妇、乳母以及婴幼儿补充足量的钙及维生素</w:t>
      </w:r>
      <w:r>
        <w:rPr>
          <w:rFonts w:ascii="宋体" w:eastAsia="宋体" w:hAnsi="宋体" w:cs="宋体"/>
          <w:spacing w:val="1"/>
          <w:sz w:val="22"/>
          <w:szCs w:val="22"/>
        </w:rPr>
        <w:t xml:space="preserve">  </w:t>
      </w:r>
      <w:r>
        <w:rPr>
          <w:rFonts w:ascii="宋体" w:eastAsia="宋体" w:hAnsi="宋体" w:cs="宋体"/>
          <w:spacing w:val="3"/>
          <w:sz w:val="22"/>
          <w:szCs w:val="22"/>
        </w:rPr>
        <w:t>D,</w:t>
      </w:r>
      <w:r>
        <w:rPr>
          <w:rFonts w:ascii="宋体" w:eastAsia="宋体" w:hAnsi="宋体" w:cs="宋体"/>
          <w:spacing w:val="14"/>
          <w:sz w:val="22"/>
          <w:szCs w:val="22"/>
        </w:rPr>
        <w:t xml:space="preserve"> </w:t>
      </w:r>
      <w:r>
        <w:rPr>
          <w:rFonts w:ascii="宋体" w:eastAsia="宋体" w:hAnsi="宋体" w:cs="宋体"/>
          <w:spacing w:val="3"/>
          <w:sz w:val="22"/>
          <w:szCs w:val="22"/>
        </w:rPr>
        <w:t>并要求钙、磷比例适宜。婴儿钙：磷以(1.6～1.8):1为</w:t>
      </w:r>
      <w:r>
        <w:rPr>
          <w:rFonts w:ascii="宋体" w:eastAsia="宋体" w:hAnsi="宋体" w:cs="宋体"/>
          <w:spacing w:val="2"/>
          <w:sz w:val="22"/>
          <w:szCs w:val="22"/>
        </w:rPr>
        <w:t>宜。②骨质疏松</w:t>
      </w:r>
      <w:r>
        <w:rPr>
          <w:rFonts w:ascii="宋体" w:eastAsia="宋体" w:hAnsi="宋体" w:cs="宋体"/>
          <w:sz w:val="22"/>
          <w:szCs w:val="22"/>
        </w:rPr>
        <w:t xml:space="preserve"> </w:t>
      </w:r>
      <w:r>
        <w:rPr>
          <w:rFonts w:ascii="宋体" w:eastAsia="宋体" w:hAnsi="宋体" w:cs="宋体"/>
          <w:spacing w:val="-6"/>
          <w:sz w:val="22"/>
          <w:szCs w:val="22"/>
        </w:rPr>
        <w:t>症。人在20岁以前主要为骨的生长阶段，其后的10余年骨质仍继续增加，约在</w:t>
      </w:r>
      <w:r>
        <w:rPr>
          <w:rFonts w:ascii="宋体" w:eastAsia="宋体" w:hAnsi="宋体" w:cs="宋体"/>
          <w:spacing w:val="6"/>
          <w:sz w:val="22"/>
          <w:szCs w:val="22"/>
        </w:rPr>
        <w:t xml:space="preserve"> </w:t>
      </w:r>
      <w:r>
        <w:rPr>
          <w:rFonts w:ascii="宋体" w:eastAsia="宋体" w:hAnsi="宋体" w:cs="宋体"/>
          <w:spacing w:val="-4"/>
          <w:sz w:val="22"/>
          <w:szCs w:val="22"/>
        </w:rPr>
        <w:t>35～40岁左右，单位体积内的骨质达到顶峰，此时的骨密度称为峰值骨密度。</w:t>
      </w:r>
      <w:r>
        <w:rPr>
          <w:rFonts w:ascii="宋体" w:eastAsia="宋体" w:hAnsi="宋体" w:cs="宋体"/>
          <w:spacing w:val="12"/>
          <w:sz w:val="22"/>
          <w:szCs w:val="22"/>
        </w:rPr>
        <w:t xml:space="preserve"> </w:t>
      </w:r>
      <w:r>
        <w:rPr>
          <w:rFonts w:ascii="宋体" w:eastAsia="宋体" w:hAnsi="宋体" w:cs="宋体"/>
          <w:spacing w:val="-11"/>
          <w:sz w:val="22"/>
          <w:szCs w:val="22"/>
        </w:rPr>
        <w:t>此后骨质逐渐丢失。妇女绝经以后，由于雌激素分泌减少，骨质丢失速度加快。</w:t>
      </w:r>
      <w:r>
        <w:rPr>
          <w:rFonts w:ascii="宋体" w:eastAsia="宋体" w:hAnsi="宋体" w:cs="宋体"/>
          <w:spacing w:val="3"/>
          <w:sz w:val="22"/>
          <w:szCs w:val="22"/>
        </w:rPr>
        <w:t xml:space="preserve"> </w:t>
      </w:r>
      <w:r>
        <w:rPr>
          <w:rFonts w:ascii="宋体" w:eastAsia="宋体" w:hAnsi="宋体" w:cs="宋体"/>
          <w:spacing w:val="-13"/>
          <w:sz w:val="22"/>
          <w:szCs w:val="22"/>
        </w:rPr>
        <w:t>骨密度降低到一定程度时，就不能保持骨骼结构的完整，甚至压缩变形，以致在</w:t>
      </w:r>
      <w:r>
        <w:rPr>
          <w:rFonts w:ascii="宋体" w:eastAsia="宋体" w:hAnsi="宋体" w:cs="宋体"/>
          <w:spacing w:val="2"/>
          <w:sz w:val="22"/>
          <w:szCs w:val="22"/>
        </w:rPr>
        <w:t xml:space="preserve">  </w:t>
      </w:r>
      <w:r>
        <w:rPr>
          <w:rFonts w:ascii="宋体" w:eastAsia="宋体" w:hAnsi="宋体" w:cs="宋体"/>
          <w:spacing w:val="-13"/>
          <w:sz w:val="22"/>
          <w:szCs w:val="22"/>
        </w:rPr>
        <w:t>很小外力下即可发生骨折，此即为骨质疏松症。持续的骨质丢失，必然发展为骨</w:t>
      </w:r>
      <w:r>
        <w:rPr>
          <w:rFonts w:ascii="宋体" w:eastAsia="宋体" w:hAnsi="宋体" w:cs="宋体"/>
          <w:spacing w:val="2"/>
          <w:sz w:val="22"/>
          <w:szCs w:val="22"/>
        </w:rPr>
        <w:t xml:space="preserve">  </w:t>
      </w:r>
      <w:r>
        <w:rPr>
          <w:rFonts w:ascii="宋体" w:eastAsia="宋体" w:hAnsi="宋体" w:cs="宋体"/>
          <w:spacing w:val="-13"/>
          <w:sz w:val="22"/>
          <w:szCs w:val="22"/>
        </w:rPr>
        <w:t>质疏松症，补救措施也只限于减缓骨质丢失，而不能达到骨质的复原。因此，根</w:t>
      </w:r>
      <w:r>
        <w:rPr>
          <w:rFonts w:ascii="宋体" w:eastAsia="宋体" w:hAnsi="宋体" w:cs="宋体"/>
          <w:spacing w:val="1"/>
          <w:sz w:val="22"/>
          <w:szCs w:val="22"/>
        </w:rPr>
        <w:t xml:space="preserve">  </w:t>
      </w:r>
      <w:r>
        <w:rPr>
          <w:rFonts w:ascii="宋体" w:eastAsia="宋体" w:hAnsi="宋体" w:cs="宋体"/>
          <w:spacing w:val="-7"/>
          <w:sz w:val="22"/>
          <w:szCs w:val="22"/>
        </w:rPr>
        <w:t>本的问题是预防，特别要注意对青春发育期到40岁前后的妇女，即形成骨密度</w:t>
      </w:r>
      <w:r>
        <w:rPr>
          <w:rFonts w:ascii="宋体" w:eastAsia="宋体" w:hAnsi="宋体" w:cs="宋体"/>
          <w:spacing w:val="8"/>
          <w:sz w:val="22"/>
          <w:szCs w:val="22"/>
        </w:rPr>
        <w:t xml:space="preserve">  </w:t>
      </w:r>
      <w:r>
        <w:rPr>
          <w:rFonts w:ascii="宋体" w:eastAsia="宋体" w:hAnsi="宋体" w:cs="宋体"/>
          <w:spacing w:val="-13"/>
          <w:sz w:val="22"/>
          <w:szCs w:val="22"/>
        </w:rPr>
        <w:t>高峰期的妇女，要摄入足够的钙，关键的预防措施是提高奶制品的摄人量。③钙</w:t>
      </w:r>
      <w:r>
        <w:rPr>
          <w:rFonts w:ascii="宋体" w:eastAsia="宋体" w:hAnsi="宋体" w:cs="宋体"/>
          <w:spacing w:val="2"/>
          <w:sz w:val="22"/>
          <w:szCs w:val="22"/>
        </w:rPr>
        <w:t xml:space="preserve">  </w:t>
      </w:r>
      <w:r>
        <w:rPr>
          <w:rFonts w:ascii="宋体" w:eastAsia="宋体" w:hAnsi="宋体" w:cs="宋体"/>
          <w:spacing w:val="-9"/>
          <w:sz w:val="22"/>
          <w:szCs w:val="22"/>
        </w:rPr>
        <w:t>不足至血钙低于1.75mmol/L</w:t>
      </w:r>
      <w:r>
        <w:rPr>
          <w:rFonts w:ascii="宋体" w:eastAsia="宋体" w:hAnsi="宋体" w:cs="宋体"/>
          <w:spacing w:val="13"/>
          <w:sz w:val="22"/>
          <w:szCs w:val="22"/>
        </w:rPr>
        <w:t xml:space="preserve"> </w:t>
      </w:r>
      <w:r>
        <w:rPr>
          <w:rFonts w:ascii="宋体" w:eastAsia="宋体" w:hAnsi="宋体" w:cs="宋体"/>
          <w:spacing w:val="-9"/>
          <w:sz w:val="22"/>
          <w:szCs w:val="22"/>
        </w:rPr>
        <w:t>时，神经肌肉的兴奋性升高，可出现抽搐等症状。</w:t>
      </w:r>
    </w:p>
    <w:p w:rsidR="00EA40A3" w:rsidRDefault="00E86C16">
      <w:pPr>
        <w:spacing w:before="129" w:line="235" w:lineRule="auto"/>
        <w:ind w:right="88" w:firstLine="419"/>
        <w:jc w:val="both"/>
        <w:rPr>
          <w:rFonts w:ascii="宋体" w:eastAsia="宋体" w:hAnsi="宋体" w:cs="宋体"/>
          <w:sz w:val="22"/>
          <w:szCs w:val="22"/>
        </w:rPr>
      </w:pPr>
      <w:r>
        <w:rPr>
          <w:rFonts w:ascii="宋体" w:eastAsia="宋体" w:hAnsi="宋体" w:cs="宋体"/>
          <w:spacing w:val="-6"/>
          <w:sz w:val="22"/>
          <w:szCs w:val="22"/>
        </w:rPr>
        <w:t>钙摄入量过多，与肾结石患病率增加有直接关系。肾结石</w:t>
      </w:r>
      <w:r>
        <w:rPr>
          <w:rFonts w:ascii="宋体" w:eastAsia="宋体" w:hAnsi="宋体" w:cs="宋体"/>
          <w:spacing w:val="-7"/>
          <w:sz w:val="22"/>
          <w:szCs w:val="22"/>
        </w:rPr>
        <w:t>病多见于西方国</w:t>
      </w:r>
      <w:r>
        <w:rPr>
          <w:rFonts w:ascii="宋体" w:eastAsia="宋体" w:hAnsi="宋体" w:cs="宋体"/>
          <w:sz w:val="22"/>
          <w:szCs w:val="22"/>
        </w:rPr>
        <w:t xml:space="preserve"> </w:t>
      </w:r>
      <w:r>
        <w:rPr>
          <w:rFonts w:ascii="宋体" w:eastAsia="宋体" w:hAnsi="宋体" w:cs="宋体"/>
          <w:spacing w:val="-4"/>
          <w:sz w:val="22"/>
          <w:szCs w:val="22"/>
        </w:rPr>
        <w:t>家，美国人约12%的人患有肾结石，可能与钙摄入过多有关。此外，高钙摄入</w:t>
      </w:r>
      <w:r>
        <w:rPr>
          <w:rFonts w:ascii="宋体" w:eastAsia="宋体" w:hAnsi="宋体" w:cs="宋体"/>
          <w:spacing w:val="18"/>
          <w:sz w:val="22"/>
          <w:szCs w:val="22"/>
        </w:rPr>
        <w:t xml:space="preserve"> </w:t>
      </w:r>
      <w:r>
        <w:rPr>
          <w:rFonts w:ascii="宋体" w:eastAsia="宋体" w:hAnsi="宋体" w:cs="宋体"/>
          <w:spacing w:val="-14"/>
          <w:sz w:val="22"/>
          <w:szCs w:val="22"/>
        </w:rPr>
        <w:t>还可能影响铁、锌、镁等必需矿物质的生物利用率。</w:t>
      </w:r>
    </w:p>
    <w:p w:rsidR="00EA40A3" w:rsidRDefault="00E86C16">
      <w:pPr>
        <w:spacing w:before="186" w:line="224" w:lineRule="auto"/>
        <w:rPr>
          <w:rFonts w:ascii="楷体" w:eastAsia="楷体" w:hAnsi="楷体" w:cs="楷体"/>
          <w:sz w:val="22"/>
          <w:szCs w:val="22"/>
        </w:rPr>
      </w:pPr>
      <w:r>
        <w:rPr>
          <w:rFonts w:ascii="楷体" w:eastAsia="楷体" w:hAnsi="楷体" w:cs="楷体"/>
          <w:spacing w:val="14"/>
          <w:sz w:val="22"/>
          <w:szCs w:val="22"/>
        </w:rPr>
        <w:t>4.</w:t>
      </w:r>
      <w:r>
        <w:rPr>
          <w:rFonts w:ascii="楷体" w:eastAsia="楷体" w:hAnsi="楷体" w:cs="楷体"/>
          <w:spacing w:val="-33"/>
          <w:sz w:val="22"/>
          <w:szCs w:val="22"/>
        </w:rPr>
        <w:t xml:space="preserve"> </w:t>
      </w:r>
      <w:r>
        <w:rPr>
          <w:rFonts w:ascii="楷体" w:eastAsia="楷体" w:hAnsi="楷体" w:cs="楷体"/>
          <w:spacing w:val="14"/>
          <w:sz w:val="22"/>
          <w:szCs w:val="22"/>
        </w:rPr>
        <w:t>钙的参考摄入量与食物来源</w:t>
      </w:r>
    </w:p>
    <w:p w:rsidR="00EA40A3" w:rsidRDefault="00E86C16">
      <w:pPr>
        <w:spacing w:before="191" w:line="224" w:lineRule="auto"/>
        <w:rPr>
          <w:rFonts w:ascii="楷体" w:eastAsia="楷体" w:hAnsi="楷体" w:cs="楷体"/>
          <w:sz w:val="22"/>
          <w:szCs w:val="22"/>
        </w:rPr>
      </w:pPr>
      <w:r>
        <w:rPr>
          <w:rFonts w:ascii="楷体" w:eastAsia="楷体" w:hAnsi="楷体" w:cs="楷体"/>
          <w:spacing w:val="-5"/>
          <w:sz w:val="22"/>
          <w:szCs w:val="22"/>
        </w:rPr>
        <w:t>1)钙需要量与参考摄入量</w:t>
      </w:r>
    </w:p>
    <w:p w:rsidR="00EA40A3" w:rsidRDefault="00E86C16">
      <w:pPr>
        <w:spacing w:before="68" w:line="239" w:lineRule="auto"/>
        <w:ind w:right="97" w:firstLine="419"/>
        <w:rPr>
          <w:rFonts w:ascii="宋体" w:eastAsia="宋体" w:hAnsi="宋体" w:cs="宋体"/>
          <w:sz w:val="22"/>
          <w:szCs w:val="22"/>
        </w:rPr>
      </w:pPr>
      <w:r>
        <w:rPr>
          <w:rFonts w:ascii="宋体" w:eastAsia="宋体" w:hAnsi="宋体" w:cs="宋体"/>
          <w:spacing w:val="-13"/>
          <w:sz w:val="22"/>
          <w:szCs w:val="22"/>
        </w:rPr>
        <w:t>钙的需要量是指能弥补由尿、粪、汗等丢失的钙，并加上满足于骨骼生长时</w:t>
      </w:r>
      <w:r>
        <w:rPr>
          <w:rFonts w:ascii="宋体" w:eastAsia="宋体" w:hAnsi="宋体" w:cs="宋体"/>
          <w:sz w:val="22"/>
          <w:szCs w:val="22"/>
        </w:rPr>
        <w:t xml:space="preserve"> </w:t>
      </w:r>
      <w:r>
        <w:rPr>
          <w:rFonts w:ascii="宋体" w:eastAsia="宋体" w:hAnsi="宋体" w:cs="宋体"/>
          <w:spacing w:val="-13"/>
          <w:sz w:val="22"/>
          <w:szCs w:val="22"/>
        </w:rPr>
        <w:t>期骨加速增长所需要的钙量，即一般所谓的能维持机体适宜营养与健康状况的生</w:t>
      </w:r>
    </w:p>
    <w:p w:rsidR="00EA40A3" w:rsidRDefault="00E86C16">
      <w:pPr>
        <w:spacing w:before="87"/>
        <w:ind w:right="106"/>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89</w:t>
      </w:r>
      <w:r>
        <w:rPr>
          <w:rFonts w:ascii="宋体" w:eastAsia="宋体" w:hAnsi="宋体" w:cs="宋体"/>
          <w:spacing w:val="46"/>
          <w:sz w:val="18"/>
          <w:szCs w:val="18"/>
        </w:rPr>
        <w:t xml:space="preserve"> </w:t>
      </w:r>
      <w:r>
        <w:rPr>
          <w:rFonts w:ascii="宋体" w:eastAsia="宋体" w:hAnsi="宋体" w:cs="宋体"/>
          <w:spacing w:val="-30"/>
          <w:sz w:val="18"/>
          <w:szCs w:val="18"/>
        </w:rPr>
        <w:t>·</w:t>
      </w:r>
    </w:p>
    <w:p w:rsidR="00EA40A3" w:rsidRDefault="00EA40A3">
      <w:pPr>
        <w:sectPr w:rsidR="00EA40A3">
          <w:headerReference w:type="default" r:id="rId76"/>
          <w:pgSz w:w="9220" w:h="13360"/>
          <w:pgMar w:top="400" w:right="1010" w:bottom="400" w:left="860" w:header="0" w:footer="0" w:gutter="0"/>
          <w:cols w:space="720"/>
        </w:sectPr>
      </w:pPr>
    </w:p>
    <w:p w:rsidR="00EA40A3" w:rsidRDefault="00EA40A3">
      <w:pPr>
        <w:spacing w:line="301" w:lineRule="auto"/>
      </w:pPr>
    </w:p>
    <w:p w:rsidR="00EA40A3" w:rsidRDefault="00EA40A3">
      <w:pPr>
        <w:spacing w:line="301" w:lineRule="auto"/>
      </w:pPr>
    </w:p>
    <w:p w:rsidR="00EA40A3" w:rsidRDefault="00E86C16">
      <w:pPr>
        <w:spacing w:before="72"/>
        <w:ind w:right="77"/>
        <w:rPr>
          <w:rFonts w:ascii="宋体" w:eastAsia="宋体" w:hAnsi="宋体" w:cs="宋体"/>
          <w:sz w:val="22"/>
          <w:szCs w:val="22"/>
        </w:rPr>
      </w:pPr>
      <w:r>
        <w:rPr>
          <w:rFonts w:ascii="宋体" w:eastAsia="宋体" w:hAnsi="宋体" w:cs="宋体"/>
          <w:spacing w:val="-13"/>
          <w:sz w:val="22"/>
          <w:szCs w:val="22"/>
        </w:rPr>
        <w:t>理需要量。不同年龄因骨生长情况不同，钙的吸收与代谢情况也有差异，故钙需</w:t>
      </w:r>
      <w:r>
        <w:rPr>
          <w:rFonts w:ascii="宋体" w:eastAsia="宋体" w:hAnsi="宋体" w:cs="宋体"/>
          <w:spacing w:val="6"/>
          <w:sz w:val="22"/>
          <w:szCs w:val="22"/>
        </w:rPr>
        <w:t xml:space="preserve"> </w:t>
      </w:r>
      <w:r>
        <w:rPr>
          <w:rFonts w:ascii="宋体" w:eastAsia="宋体" w:hAnsi="宋体" w:cs="宋体"/>
          <w:spacing w:val="-15"/>
          <w:sz w:val="22"/>
          <w:szCs w:val="22"/>
        </w:rPr>
        <w:t>要量在整个生命周期各阶段是不一致的。</w:t>
      </w:r>
    </w:p>
    <w:p w:rsidR="00EA40A3" w:rsidRDefault="00E86C16">
      <w:pPr>
        <w:spacing w:before="38" w:line="247" w:lineRule="auto"/>
        <w:ind w:right="42" w:firstLine="429"/>
        <w:jc w:val="both"/>
        <w:rPr>
          <w:rFonts w:ascii="宋体" w:eastAsia="宋体" w:hAnsi="宋体" w:cs="宋体"/>
          <w:sz w:val="22"/>
          <w:szCs w:val="22"/>
        </w:rPr>
      </w:pPr>
      <w:r>
        <w:rPr>
          <w:rFonts w:ascii="宋体" w:eastAsia="宋体" w:hAnsi="宋体" w:cs="宋体"/>
          <w:spacing w:val="-14"/>
          <w:sz w:val="22"/>
          <w:szCs w:val="22"/>
        </w:rPr>
        <w:t>由于当前一般的膳食结构不能满足人体对钙的需要，尤其对一些特殊人群如</w:t>
      </w:r>
      <w:r>
        <w:rPr>
          <w:rFonts w:ascii="宋体" w:eastAsia="宋体" w:hAnsi="宋体" w:cs="宋体"/>
          <w:spacing w:val="6"/>
          <w:sz w:val="22"/>
          <w:szCs w:val="22"/>
        </w:rPr>
        <w:t xml:space="preserve"> </w:t>
      </w:r>
      <w:r>
        <w:rPr>
          <w:rFonts w:ascii="宋体" w:eastAsia="宋体" w:hAnsi="宋体" w:cs="宋体"/>
          <w:spacing w:val="-14"/>
          <w:sz w:val="22"/>
          <w:szCs w:val="22"/>
        </w:rPr>
        <w:t>婴幼儿、中老年妇女、孕妇和乳母，因此采用一些钙补充剂是必要的，但以下</w:t>
      </w:r>
      <w:r>
        <w:rPr>
          <w:rFonts w:ascii="宋体" w:eastAsia="宋体" w:hAnsi="宋体" w:cs="宋体"/>
          <w:spacing w:val="-15"/>
          <w:sz w:val="22"/>
          <w:szCs w:val="22"/>
        </w:rPr>
        <w:t>两</w:t>
      </w:r>
      <w:r>
        <w:rPr>
          <w:rFonts w:ascii="宋体" w:eastAsia="宋体" w:hAnsi="宋体" w:cs="宋体"/>
          <w:sz w:val="22"/>
          <w:szCs w:val="22"/>
        </w:rPr>
        <w:t xml:space="preserve"> </w:t>
      </w:r>
      <w:r>
        <w:rPr>
          <w:rFonts w:ascii="宋体" w:eastAsia="宋体" w:hAnsi="宋体" w:cs="宋体"/>
          <w:spacing w:val="-8"/>
          <w:sz w:val="22"/>
          <w:szCs w:val="22"/>
        </w:rPr>
        <w:t>点需注意考虑：①对每日钙的摄入量，要控制在UL(20</w:t>
      </w:r>
      <w:r>
        <w:rPr>
          <w:rFonts w:ascii="宋体" w:eastAsia="宋体" w:hAnsi="宋体" w:cs="宋体"/>
          <w:spacing w:val="-9"/>
          <w:sz w:val="22"/>
          <w:szCs w:val="22"/>
        </w:rPr>
        <w:t>00</w:t>
      </w:r>
      <w:r>
        <w:rPr>
          <w:rFonts w:ascii="宋体" w:eastAsia="宋体" w:hAnsi="宋体" w:cs="宋体"/>
          <w:spacing w:val="-8"/>
          <w:sz w:val="22"/>
          <w:szCs w:val="22"/>
        </w:rPr>
        <w:t>mg</w:t>
      </w:r>
      <w:r>
        <w:rPr>
          <w:rFonts w:ascii="宋体" w:eastAsia="宋体" w:hAnsi="宋体" w:cs="宋体"/>
          <w:spacing w:val="-9"/>
          <w:sz w:val="22"/>
          <w:szCs w:val="22"/>
        </w:rPr>
        <w:t>/d)</w:t>
      </w:r>
      <w:r>
        <w:rPr>
          <w:rFonts w:ascii="宋体" w:eastAsia="宋体" w:hAnsi="宋体" w:cs="宋体"/>
          <w:spacing w:val="46"/>
          <w:sz w:val="22"/>
          <w:szCs w:val="22"/>
        </w:rPr>
        <w:t xml:space="preserve">  </w:t>
      </w:r>
      <w:r>
        <w:rPr>
          <w:rFonts w:ascii="宋体" w:eastAsia="宋体" w:hAnsi="宋体" w:cs="宋体"/>
          <w:spacing w:val="-9"/>
          <w:sz w:val="22"/>
          <w:szCs w:val="22"/>
        </w:rPr>
        <w:t>以下。非食物</w:t>
      </w:r>
      <w:r>
        <w:rPr>
          <w:rFonts w:ascii="宋体" w:eastAsia="宋体" w:hAnsi="宋体" w:cs="宋体"/>
          <w:sz w:val="22"/>
          <w:szCs w:val="22"/>
        </w:rPr>
        <w:t xml:space="preserve"> </w:t>
      </w:r>
      <w:r>
        <w:rPr>
          <w:rFonts w:ascii="宋体" w:eastAsia="宋体" w:hAnsi="宋体" w:cs="宋体"/>
          <w:spacing w:val="-7"/>
          <w:sz w:val="22"/>
          <w:szCs w:val="22"/>
        </w:rPr>
        <w:t>来源的钙补充剂，应至多是其一半，即每天不超过1000mg。</w:t>
      </w:r>
      <w:r>
        <w:rPr>
          <w:rFonts w:ascii="宋体" w:eastAsia="宋体" w:hAnsi="宋体" w:cs="宋体"/>
          <w:spacing w:val="-8"/>
          <w:sz w:val="22"/>
          <w:szCs w:val="22"/>
        </w:rPr>
        <w:t>②</w:t>
      </w:r>
      <w:r>
        <w:rPr>
          <w:rFonts w:ascii="宋体" w:eastAsia="宋体" w:hAnsi="宋体" w:cs="宋体"/>
          <w:spacing w:val="-68"/>
          <w:sz w:val="22"/>
          <w:szCs w:val="22"/>
        </w:rPr>
        <w:t xml:space="preserve"> </w:t>
      </w:r>
      <w:r>
        <w:rPr>
          <w:rFonts w:ascii="宋体" w:eastAsia="宋体" w:hAnsi="宋体" w:cs="宋体"/>
          <w:spacing w:val="-8"/>
          <w:sz w:val="22"/>
          <w:szCs w:val="22"/>
        </w:rPr>
        <w:t>不同化学形式的</w:t>
      </w:r>
      <w:r>
        <w:rPr>
          <w:rFonts w:ascii="宋体" w:eastAsia="宋体" w:hAnsi="宋体" w:cs="宋体"/>
          <w:sz w:val="22"/>
          <w:szCs w:val="22"/>
        </w:rPr>
        <w:t xml:space="preserve"> 钙补充剂钙含量不同，吸收率也不尽相同。以钙含量计，碳酸</w:t>
      </w:r>
      <w:r>
        <w:rPr>
          <w:rFonts w:ascii="宋体" w:eastAsia="宋体" w:hAnsi="宋体" w:cs="宋体"/>
          <w:spacing w:val="-1"/>
          <w:sz w:val="22"/>
          <w:szCs w:val="22"/>
        </w:rPr>
        <w:t>钙约为40%,氯</w:t>
      </w:r>
      <w:r>
        <w:rPr>
          <w:rFonts w:ascii="宋体" w:eastAsia="宋体" w:hAnsi="宋体" w:cs="宋体"/>
          <w:sz w:val="22"/>
          <w:szCs w:val="22"/>
        </w:rPr>
        <w:t xml:space="preserve"> </w:t>
      </w:r>
      <w:r>
        <w:rPr>
          <w:rFonts w:ascii="宋体" w:eastAsia="宋体" w:hAnsi="宋体" w:cs="宋体"/>
          <w:spacing w:val="12"/>
          <w:sz w:val="22"/>
          <w:szCs w:val="22"/>
        </w:rPr>
        <w:t>化钙37%,磷酸氢钙23%,乳酸钙13%;吸收率试验，含250</w:t>
      </w:r>
      <w:r>
        <w:rPr>
          <w:rFonts w:ascii="宋体" w:eastAsia="宋体" w:hAnsi="宋体" w:cs="宋体"/>
          <w:sz w:val="22"/>
          <w:szCs w:val="22"/>
        </w:rPr>
        <w:t>mg</w:t>
      </w:r>
      <w:r>
        <w:rPr>
          <w:rFonts w:ascii="宋体" w:eastAsia="宋体" w:hAnsi="宋体" w:cs="宋体"/>
          <w:spacing w:val="-6"/>
          <w:sz w:val="22"/>
          <w:szCs w:val="22"/>
        </w:rPr>
        <w:t xml:space="preserve"> </w:t>
      </w:r>
      <w:r>
        <w:rPr>
          <w:rFonts w:ascii="宋体" w:eastAsia="宋体" w:hAnsi="宋体" w:cs="宋体"/>
          <w:spacing w:val="12"/>
          <w:sz w:val="22"/>
          <w:szCs w:val="22"/>
        </w:rPr>
        <w:t>元素钙的不同</w:t>
      </w:r>
      <w:r>
        <w:rPr>
          <w:rFonts w:ascii="宋体" w:eastAsia="宋体" w:hAnsi="宋体" w:cs="宋体"/>
          <w:sz w:val="22"/>
          <w:szCs w:val="22"/>
        </w:rPr>
        <w:t xml:space="preserve"> </w:t>
      </w:r>
      <w:r>
        <w:rPr>
          <w:rFonts w:ascii="宋体" w:eastAsia="宋体" w:hAnsi="宋体" w:cs="宋体"/>
          <w:spacing w:val="1"/>
          <w:sz w:val="22"/>
          <w:szCs w:val="22"/>
        </w:rPr>
        <w:t>钙制剂与一标准化早餐同时服用，吸收率分别为：苹果酸、柠</w:t>
      </w:r>
      <w:r>
        <w:rPr>
          <w:rFonts w:ascii="宋体" w:eastAsia="宋体" w:hAnsi="宋体" w:cs="宋体"/>
          <w:sz w:val="22"/>
          <w:szCs w:val="22"/>
        </w:rPr>
        <w:t xml:space="preserve">檬酸钙盐35%, </w:t>
      </w:r>
      <w:r>
        <w:rPr>
          <w:rFonts w:ascii="宋体" w:eastAsia="宋体" w:hAnsi="宋体" w:cs="宋体"/>
          <w:spacing w:val="16"/>
          <w:sz w:val="22"/>
          <w:szCs w:val="22"/>
        </w:rPr>
        <w:t>碳酸钙盐27%,磷酸钙25%。</w:t>
      </w:r>
    </w:p>
    <w:p w:rsidR="00EA40A3" w:rsidRDefault="00E86C16">
      <w:pPr>
        <w:spacing w:before="100" w:line="233" w:lineRule="auto"/>
        <w:ind w:right="59" w:firstLine="429"/>
        <w:rPr>
          <w:rFonts w:ascii="宋体" w:eastAsia="宋体" w:hAnsi="宋体" w:cs="宋体"/>
          <w:sz w:val="22"/>
          <w:szCs w:val="22"/>
        </w:rPr>
      </w:pPr>
      <w:r>
        <w:rPr>
          <w:rFonts w:ascii="宋体" w:eastAsia="宋体" w:hAnsi="宋体" w:cs="宋体"/>
          <w:spacing w:val="9"/>
          <w:sz w:val="22"/>
          <w:szCs w:val="22"/>
        </w:rPr>
        <w:t>我国居民各年龄组钙的</w:t>
      </w:r>
      <w:r>
        <w:rPr>
          <w:rFonts w:ascii="宋体" w:eastAsia="宋体" w:hAnsi="宋体" w:cs="宋体"/>
          <w:sz w:val="22"/>
          <w:szCs w:val="22"/>
        </w:rPr>
        <w:t>Al</w:t>
      </w:r>
      <w:r>
        <w:rPr>
          <w:rFonts w:ascii="宋体" w:eastAsia="宋体" w:hAnsi="宋体" w:cs="宋体"/>
          <w:spacing w:val="9"/>
          <w:sz w:val="22"/>
          <w:szCs w:val="22"/>
        </w:rPr>
        <w:t>(</w:t>
      </w:r>
      <w:r>
        <w:rPr>
          <w:rFonts w:ascii="宋体" w:eastAsia="宋体" w:hAnsi="宋体" w:cs="宋体"/>
          <w:sz w:val="22"/>
          <w:szCs w:val="22"/>
        </w:rPr>
        <w:t>mg</w:t>
      </w:r>
      <w:r>
        <w:rPr>
          <w:rFonts w:ascii="宋体" w:eastAsia="宋体" w:hAnsi="宋体" w:cs="宋体"/>
          <w:spacing w:val="9"/>
          <w:sz w:val="22"/>
          <w:szCs w:val="22"/>
        </w:rPr>
        <w:t>/d)</w:t>
      </w:r>
      <w:r>
        <w:rPr>
          <w:rFonts w:ascii="宋体" w:eastAsia="宋体" w:hAnsi="宋体" w:cs="宋体"/>
          <w:spacing w:val="25"/>
          <w:sz w:val="22"/>
          <w:szCs w:val="22"/>
        </w:rPr>
        <w:t xml:space="preserve">  </w:t>
      </w:r>
      <w:r>
        <w:rPr>
          <w:rFonts w:ascii="宋体" w:eastAsia="宋体" w:hAnsi="宋体" w:cs="宋体"/>
          <w:spacing w:val="9"/>
          <w:sz w:val="22"/>
          <w:szCs w:val="22"/>
        </w:rPr>
        <w:t>分别为：0岁约300,1</w:t>
      </w:r>
      <w:r>
        <w:rPr>
          <w:rFonts w:ascii="宋体" w:eastAsia="宋体" w:hAnsi="宋体" w:cs="宋体"/>
          <w:spacing w:val="8"/>
          <w:sz w:val="22"/>
          <w:szCs w:val="22"/>
        </w:rPr>
        <w:t>岁约400,4岁</w:t>
      </w:r>
      <w:r>
        <w:rPr>
          <w:rFonts w:ascii="宋体" w:eastAsia="宋体" w:hAnsi="宋体" w:cs="宋体"/>
          <w:spacing w:val="1"/>
          <w:sz w:val="22"/>
          <w:szCs w:val="22"/>
        </w:rPr>
        <w:t xml:space="preserve"> </w:t>
      </w:r>
      <w:r>
        <w:rPr>
          <w:rFonts w:ascii="宋体" w:eastAsia="宋体" w:hAnsi="宋体" w:cs="宋体"/>
          <w:spacing w:val="25"/>
          <w:sz w:val="22"/>
          <w:szCs w:val="22"/>
        </w:rPr>
        <w:t>约800,7岁约800,11岁约1000,18岁约1000,50岁约1000,孕妇中期</w:t>
      </w:r>
      <w:r>
        <w:rPr>
          <w:rFonts w:ascii="宋体" w:eastAsia="宋体" w:hAnsi="宋体" w:cs="宋体"/>
          <w:spacing w:val="18"/>
          <w:sz w:val="22"/>
          <w:szCs w:val="22"/>
        </w:rPr>
        <w:t xml:space="preserve"> </w:t>
      </w:r>
      <w:r>
        <w:rPr>
          <w:rFonts w:ascii="宋体" w:eastAsia="宋体" w:hAnsi="宋体" w:cs="宋体"/>
          <w:spacing w:val="-1"/>
          <w:sz w:val="22"/>
          <w:szCs w:val="22"/>
        </w:rPr>
        <w:t>1000,孕妇后期和乳母1200。1岁以上各人群钙的UL</w:t>
      </w:r>
      <w:r>
        <w:rPr>
          <w:rFonts w:ascii="宋体" w:eastAsia="宋体" w:hAnsi="宋体" w:cs="宋体"/>
          <w:spacing w:val="47"/>
          <w:sz w:val="22"/>
          <w:szCs w:val="22"/>
        </w:rPr>
        <w:t xml:space="preserve"> </w:t>
      </w:r>
      <w:r>
        <w:rPr>
          <w:rFonts w:ascii="宋体" w:eastAsia="宋体" w:hAnsi="宋体" w:cs="宋体"/>
          <w:spacing w:val="-1"/>
          <w:sz w:val="22"/>
          <w:szCs w:val="22"/>
        </w:rPr>
        <w:t>为2000mg/d。</w:t>
      </w:r>
    </w:p>
    <w:p w:rsidR="00EA40A3" w:rsidRDefault="00E86C16">
      <w:pPr>
        <w:spacing w:before="59" w:line="224" w:lineRule="auto"/>
        <w:rPr>
          <w:rFonts w:ascii="楷体" w:eastAsia="楷体" w:hAnsi="楷体" w:cs="楷体"/>
          <w:sz w:val="22"/>
          <w:szCs w:val="22"/>
        </w:rPr>
      </w:pPr>
      <w:r>
        <w:rPr>
          <w:rFonts w:ascii="楷体" w:eastAsia="楷体" w:hAnsi="楷体" w:cs="楷体"/>
          <w:spacing w:val="2"/>
          <w:sz w:val="22"/>
          <w:szCs w:val="22"/>
        </w:rPr>
        <w:t>2)食物来源</w:t>
      </w:r>
    </w:p>
    <w:p w:rsidR="00EA40A3" w:rsidRDefault="00E86C16">
      <w:pPr>
        <w:spacing w:before="53" w:line="247" w:lineRule="auto"/>
        <w:ind w:right="73" w:firstLine="429"/>
        <w:rPr>
          <w:rFonts w:ascii="宋体" w:eastAsia="宋体" w:hAnsi="宋体" w:cs="宋体"/>
          <w:sz w:val="22"/>
          <w:szCs w:val="22"/>
        </w:rPr>
      </w:pPr>
      <w:r>
        <w:rPr>
          <w:rFonts w:ascii="宋体" w:eastAsia="宋体" w:hAnsi="宋体" w:cs="宋体"/>
          <w:spacing w:val="-10"/>
          <w:sz w:val="22"/>
          <w:szCs w:val="22"/>
        </w:rPr>
        <w:t>(1)食物中的钙以奶及奶类制品最好，不但含量丰富而且吸收率高，是理想</w:t>
      </w:r>
      <w:r>
        <w:rPr>
          <w:rFonts w:ascii="宋体" w:eastAsia="宋体" w:hAnsi="宋体" w:cs="宋体"/>
          <w:spacing w:val="14"/>
          <w:sz w:val="22"/>
          <w:szCs w:val="22"/>
        </w:rPr>
        <w:t xml:space="preserve"> </w:t>
      </w:r>
      <w:r>
        <w:rPr>
          <w:rFonts w:ascii="宋体" w:eastAsia="宋体" w:hAnsi="宋体" w:cs="宋体"/>
          <w:spacing w:val="-7"/>
          <w:sz w:val="22"/>
          <w:szCs w:val="22"/>
        </w:rPr>
        <w:t>的补钙食品。牛乳中的酪蛋白在肠道蛋白酶的作用下会生成部分酪蛋白磷酸肽</w:t>
      </w:r>
      <w:r>
        <w:rPr>
          <w:rFonts w:ascii="宋体" w:eastAsia="宋体" w:hAnsi="宋体" w:cs="宋体"/>
          <w:spacing w:val="8"/>
          <w:sz w:val="22"/>
          <w:szCs w:val="22"/>
        </w:rPr>
        <w:t xml:space="preserve"> </w:t>
      </w:r>
      <w:r>
        <w:rPr>
          <w:rFonts w:ascii="宋体" w:eastAsia="宋体" w:hAnsi="宋体" w:cs="宋体"/>
          <w:spacing w:val="-3"/>
          <w:sz w:val="22"/>
          <w:szCs w:val="22"/>
        </w:rPr>
        <w:t>(casein</w:t>
      </w:r>
      <w:r>
        <w:rPr>
          <w:rFonts w:ascii="宋体" w:eastAsia="宋体" w:hAnsi="宋体" w:cs="宋体"/>
          <w:spacing w:val="23"/>
          <w:sz w:val="22"/>
          <w:szCs w:val="22"/>
        </w:rPr>
        <w:t xml:space="preserve"> </w:t>
      </w:r>
      <w:r>
        <w:rPr>
          <w:rFonts w:ascii="宋体" w:eastAsia="宋体" w:hAnsi="宋体" w:cs="宋体"/>
          <w:spacing w:val="-3"/>
          <w:sz w:val="22"/>
          <w:szCs w:val="22"/>
        </w:rPr>
        <w:t>phosphopeptide,CPP),CPP可螯合钙、铁、锌等二价矿物营养素，使</w:t>
      </w:r>
      <w:r>
        <w:rPr>
          <w:rFonts w:ascii="宋体" w:eastAsia="宋体" w:hAnsi="宋体" w:cs="宋体"/>
          <w:sz w:val="22"/>
          <w:szCs w:val="22"/>
        </w:rPr>
        <w:t xml:space="preserve"> </w:t>
      </w:r>
      <w:r>
        <w:rPr>
          <w:rFonts w:ascii="宋体" w:eastAsia="宋体" w:hAnsi="宋体" w:cs="宋体"/>
          <w:spacing w:val="-13"/>
          <w:sz w:val="22"/>
          <w:szCs w:val="22"/>
        </w:rPr>
        <w:t>其在肠道内保持溶解状态，从而促进这些营养素的吸收和利用，此即为牛乳中的</w:t>
      </w:r>
      <w:r>
        <w:rPr>
          <w:rFonts w:ascii="宋体" w:eastAsia="宋体" w:hAnsi="宋体" w:cs="宋体"/>
          <w:spacing w:val="10"/>
          <w:sz w:val="22"/>
          <w:szCs w:val="22"/>
        </w:rPr>
        <w:t xml:space="preserve"> </w:t>
      </w:r>
      <w:r>
        <w:rPr>
          <w:rFonts w:ascii="宋体" w:eastAsia="宋体" w:hAnsi="宋体" w:cs="宋体"/>
          <w:spacing w:val="-7"/>
          <w:sz w:val="22"/>
          <w:szCs w:val="22"/>
        </w:rPr>
        <w:t>矿物质吸收利用率高的原因之一。目前CPP</w:t>
      </w:r>
      <w:r>
        <w:rPr>
          <w:rFonts w:ascii="宋体" w:eastAsia="宋体" w:hAnsi="宋体" w:cs="宋体"/>
          <w:spacing w:val="16"/>
          <w:sz w:val="22"/>
          <w:szCs w:val="22"/>
        </w:rPr>
        <w:t xml:space="preserve"> </w:t>
      </w:r>
      <w:r>
        <w:rPr>
          <w:rFonts w:ascii="宋体" w:eastAsia="宋体" w:hAnsi="宋体" w:cs="宋体"/>
          <w:spacing w:val="-7"/>
          <w:sz w:val="22"/>
          <w:szCs w:val="22"/>
        </w:rPr>
        <w:t>已实现工业化生产并在钙、</w:t>
      </w:r>
      <w:r>
        <w:rPr>
          <w:rFonts w:ascii="宋体" w:eastAsia="宋体" w:hAnsi="宋体" w:cs="宋体"/>
          <w:spacing w:val="-8"/>
          <w:sz w:val="22"/>
          <w:szCs w:val="22"/>
        </w:rPr>
        <w:t>铁强化</w:t>
      </w:r>
      <w:r>
        <w:rPr>
          <w:rFonts w:ascii="宋体" w:eastAsia="宋体" w:hAnsi="宋体" w:cs="宋体"/>
          <w:sz w:val="22"/>
          <w:szCs w:val="22"/>
        </w:rPr>
        <w:t xml:space="preserve"> </w:t>
      </w:r>
      <w:r>
        <w:rPr>
          <w:rFonts w:ascii="宋体" w:eastAsia="宋体" w:hAnsi="宋体" w:cs="宋体"/>
          <w:spacing w:val="-15"/>
          <w:sz w:val="22"/>
          <w:szCs w:val="22"/>
        </w:rPr>
        <w:t>食品中广泛应用。</w:t>
      </w:r>
    </w:p>
    <w:p w:rsidR="00EA40A3" w:rsidRDefault="00E86C16">
      <w:pPr>
        <w:spacing w:before="83" w:line="248" w:lineRule="auto"/>
        <w:ind w:right="66" w:firstLine="429"/>
        <w:rPr>
          <w:rFonts w:ascii="宋体" w:eastAsia="宋体" w:hAnsi="宋体" w:cs="宋体"/>
          <w:sz w:val="22"/>
          <w:szCs w:val="22"/>
        </w:rPr>
      </w:pPr>
      <w:r>
        <w:rPr>
          <w:rFonts w:ascii="宋体" w:eastAsia="宋体" w:hAnsi="宋体" w:cs="宋体"/>
          <w:spacing w:val="-1"/>
          <w:sz w:val="22"/>
          <w:szCs w:val="22"/>
        </w:rPr>
        <w:t>牛奶中钙含量一般约为1mg/g,</w:t>
      </w:r>
      <w:r>
        <w:rPr>
          <w:rFonts w:ascii="宋体" w:eastAsia="宋体" w:hAnsi="宋体" w:cs="宋体"/>
          <w:spacing w:val="52"/>
          <w:sz w:val="22"/>
          <w:szCs w:val="22"/>
        </w:rPr>
        <w:t xml:space="preserve"> </w:t>
      </w:r>
      <w:r>
        <w:rPr>
          <w:rFonts w:ascii="宋体" w:eastAsia="宋体" w:hAnsi="宋体" w:cs="宋体"/>
          <w:spacing w:val="-1"/>
          <w:sz w:val="22"/>
          <w:szCs w:val="22"/>
        </w:rPr>
        <w:t>因此</w:t>
      </w:r>
      <w:r>
        <w:rPr>
          <w:rFonts w:ascii="宋体" w:eastAsia="宋体" w:hAnsi="宋体" w:cs="宋体"/>
          <w:spacing w:val="-2"/>
          <w:sz w:val="22"/>
          <w:szCs w:val="22"/>
        </w:rPr>
        <w:t>每天喝1瓶奶，即可获得约250</w:t>
      </w:r>
      <w:r>
        <w:rPr>
          <w:rFonts w:ascii="宋体" w:eastAsia="宋体" w:hAnsi="宋体" w:cs="宋体"/>
          <w:spacing w:val="-1"/>
          <w:sz w:val="22"/>
          <w:szCs w:val="22"/>
        </w:rPr>
        <w:t>mg</w:t>
      </w:r>
      <w:r>
        <w:rPr>
          <w:rFonts w:ascii="宋体" w:eastAsia="宋体" w:hAnsi="宋体" w:cs="宋体"/>
          <w:spacing w:val="2"/>
          <w:sz w:val="22"/>
          <w:szCs w:val="22"/>
        </w:rPr>
        <w:t xml:space="preserve"> </w:t>
      </w:r>
      <w:r>
        <w:rPr>
          <w:rFonts w:ascii="宋体" w:eastAsia="宋体" w:hAnsi="宋体" w:cs="宋体"/>
          <w:spacing w:val="-2"/>
          <w:sz w:val="22"/>
          <w:szCs w:val="22"/>
        </w:rPr>
        <w:t>的</w:t>
      </w:r>
      <w:r>
        <w:rPr>
          <w:rFonts w:ascii="宋体" w:eastAsia="宋体" w:hAnsi="宋体" w:cs="宋体"/>
          <w:sz w:val="22"/>
          <w:szCs w:val="22"/>
        </w:rPr>
        <w:t xml:space="preserve"> </w:t>
      </w:r>
      <w:r>
        <w:rPr>
          <w:rFonts w:ascii="宋体" w:eastAsia="宋体" w:hAnsi="宋体" w:cs="宋体"/>
          <w:spacing w:val="-3"/>
          <w:sz w:val="22"/>
          <w:szCs w:val="22"/>
        </w:rPr>
        <w:t>钙，而我国1992年营养调查显示，全国平均每人每天摄入奶类仅约15g,</w:t>
      </w:r>
      <w:r>
        <w:rPr>
          <w:rFonts w:ascii="宋体" w:eastAsia="宋体" w:hAnsi="宋体" w:cs="宋体"/>
          <w:sz w:val="22"/>
          <w:szCs w:val="22"/>
        </w:rPr>
        <w:t xml:space="preserve"> </w:t>
      </w:r>
      <w:r>
        <w:rPr>
          <w:rFonts w:ascii="宋体" w:eastAsia="宋体" w:hAnsi="宋体" w:cs="宋体"/>
          <w:spacing w:val="-3"/>
          <w:sz w:val="22"/>
          <w:szCs w:val="22"/>
        </w:rPr>
        <w:t>而西</w:t>
      </w:r>
      <w:r>
        <w:rPr>
          <w:rFonts w:ascii="宋体" w:eastAsia="宋体" w:hAnsi="宋体" w:cs="宋体"/>
          <w:sz w:val="22"/>
          <w:szCs w:val="22"/>
        </w:rPr>
        <w:t xml:space="preserve"> </w:t>
      </w:r>
      <w:r>
        <w:rPr>
          <w:rFonts w:ascii="宋体" w:eastAsia="宋体" w:hAnsi="宋体" w:cs="宋体"/>
          <w:spacing w:val="-1"/>
          <w:sz w:val="22"/>
          <w:szCs w:val="22"/>
        </w:rPr>
        <w:t>方国家膳食模式，每日至少两餐各有1份奶(约240g),</w:t>
      </w:r>
      <w:r>
        <w:rPr>
          <w:rFonts w:ascii="宋体" w:eastAsia="宋体" w:hAnsi="宋体" w:cs="宋体"/>
          <w:spacing w:val="-18"/>
          <w:sz w:val="22"/>
          <w:szCs w:val="22"/>
        </w:rPr>
        <w:t xml:space="preserve"> </w:t>
      </w:r>
      <w:r>
        <w:rPr>
          <w:rFonts w:ascii="宋体" w:eastAsia="宋体" w:hAnsi="宋体" w:cs="宋体"/>
          <w:spacing w:val="-1"/>
          <w:sz w:val="22"/>
          <w:szCs w:val="22"/>
        </w:rPr>
        <w:t>可获得钙约500mg,</w:t>
      </w:r>
      <w:r>
        <w:rPr>
          <w:rFonts w:ascii="宋体" w:eastAsia="宋体" w:hAnsi="宋体" w:cs="宋体"/>
          <w:spacing w:val="52"/>
          <w:sz w:val="22"/>
          <w:szCs w:val="22"/>
        </w:rPr>
        <w:t xml:space="preserve"> </w:t>
      </w:r>
      <w:r>
        <w:rPr>
          <w:rFonts w:ascii="宋体" w:eastAsia="宋体" w:hAnsi="宋体" w:cs="宋体"/>
          <w:spacing w:val="-2"/>
          <w:sz w:val="22"/>
          <w:szCs w:val="22"/>
        </w:rPr>
        <w:t>即</w:t>
      </w:r>
      <w:r>
        <w:rPr>
          <w:rFonts w:ascii="宋体" w:eastAsia="宋体" w:hAnsi="宋体" w:cs="宋体"/>
          <w:sz w:val="22"/>
          <w:szCs w:val="22"/>
        </w:rPr>
        <w:t xml:space="preserve"> </w:t>
      </w:r>
      <w:r>
        <w:rPr>
          <w:rFonts w:ascii="宋体" w:eastAsia="宋体" w:hAnsi="宋体" w:cs="宋体"/>
          <w:spacing w:val="-9"/>
          <w:sz w:val="22"/>
          <w:szCs w:val="22"/>
        </w:rPr>
        <w:t>每日钙摄人量有1/2来自于奶类。可见奶类摄</w:t>
      </w:r>
      <w:r>
        <w:rPr>
          <w:rFonts w:ascii="宋体" w:eastAsia="宋体" w:hAnsi="宋体" w:cs="宋体"/>
          <w:spacing w:val="-10"/>
          <w:sz w:val="22"/>
          <w:szCs w:val="22"/>
        </w:rPr>
        <w:t>入不足是我国居民钙摄人量低的主</w:t>
      </w:r>
      <w:r>
        <w:rPr>
          <w:rFonts w:ascii="宋体" w:eastAsia="宋体" w:hAnsi="宋体" w:cs="宋体"/>
          <w:sz w:val="22"/>
          <w:szCs w:val="22"/>
        </w:rPr>
        <w:t xml:space="preserve"> </w:t>
      </w:r>
      <w:r>
        <w:rPr>
          <w:rFonts w:ascii="宋体" w:eastAsia="宋体" w:hAnsi="宋体" w:cs="宋体"/>
          <w:spacing w:val="-13"/>
          <w:sz w:val="22"/>
          <w:szCs w:val="22"/>
        </w:rPr>
        <w:t>要原因。此外，奶类中钙的吸收率较高，在饮用牛奶的同时，不仅得到了充足的</w:t>
      </w:r>
      <w:r>
        <w:rPr>
          <w:rFonts w:ascii="宋体" w:eastAsia="宋体" w:hAnsi="宋体" w:cs="宋体"/>
          <w:spacing w:val="10"/>
          <w:sz w:val="22"/>
          <w:szCs w:val="22"/>
        </w:rPr>
        <w:t xml:space="preserve"> </w:t>
      </w:r>
      <w:r>
        <w:rPr>
          <w:rFonts w:ascii="宋体" w:eastAsia="宋体" w:hAnsi="宋体" w:cs="宋体"/>
          <w:spacing w:val="-10"/>
          <w:sz w:val="22"/>
          <w:szCs w:val="22"/>
        </w:rPr>
        <w:t>钙，还提供了其他的营养素，如维生素A、</w:t>
      </w:r>
      <w:r>
        <w:rPr>
          <w:rFonts w:ascii="宋体" w:eastAsia="宋体" w:hAnsi="宋体" w:cs="宋体"/>
          <w:spacing w:val="-13"/>
          <w:sz w:val="22"/>
          <w:szCs w:val="22"/>
        </w:rPr>
        <w:t xml:space="preserve"> </w:t>
      </w:r>
      <w:r>
        <w:rPr>
          <w:rFonts w:ascii="宋体" w:eastAsia="宋体" w:hAnsi="宋体" w:cs="宋体"/>
          <w:spacing w:val="-10"/>
          <w:sz w:val="22"/>
          <w:szCs w:val="22"/>
        </w:rPr>
        <w:t>叶酸</w:t>
      </w:r>
      <w:r>
        <w:rPr>
          <w:rFonts w:ascii="宋体" w:eastAsia="宋体" w:hAnsi="宋体" w:cs="宋体"/>
          <w:spacing w:val="-11"/>
          <w:sz w:val="22"/>
          <w:szCs w:val="22"/>
        </w:rPr>
        <w:t>、维生素B、</w:t>
      </w:r>
      <w:r>
        <w:rPr>
          <w:rFonts w:ascii="宋体" w:eastAsia="宋体" w:hAnsi="宋体" w:cs="宋体"/>
          <w:spacing w:val="-61"/>
          <w:sz w:val="22"/>
          <w:szCs w:val="22"/>
        </w:rPr>
        <w:t xml:space="preserve"> </w:t>
      </w:r>
      <w:r>
        <w:rPr>
          <w:rFonts w:ascii="宋体" w:eastAsia="宋体" w:hAnsi="宋体" w:cs="宋体"/>
          <w:spacing w:val="-11"/>
          <w:sz w:val="22"/>
          <w:szCs w:val="22"/>
        </w:rPr>
        <w:t>镁和钾等，而其中</w:t>
      </w:r>
      <w:r>
        <w:rPr>
          <w:rFonts w:ascii="宋体" w:eastAsia="宋体" w:hAnsi="宋体" w:cs="宋体"/>
          <w:sz w:val="22"/>
          <w:szCs w:val="22"/>
        </w:rPr>
        <w:t xml:space="preserve"> </w:t>
      </w:r>
      <w:r>
        <w:rPr>
          <w:rFonts w:ascii="宋体" w:eastAsia="宋体" w:hAnsi="宋体" w:cs="宋体"/>
          <w:spacing w:val="-13"/>
          <w:sz w:val="22"/>
          <w:szCs w:val="22"/>
        </w:rPr>
        <w:t>有的营养素正是中国居民膳食中常易缺乏的。所以大力倡导提高奶类的消费，是</w:t>
      </w:r>
      <w:r>
        <w:rPr>
          <w:rFonts w:ascii="宋体" w:eastAsia="宋体" w:hAnsi="宋体" w:cs="宋体"/>
          <w:spacing w:val="4"/>
          <w:sz w:val="22"/>
          <w:szCs w:val="22"/>
        </w:rPr>
        <w:t xml:space="preserve"> </w:t>
      </w:r>
      <w:r>
        <w:rPr>
          <w:rFonts w:ascii="宋体" w:eastAsia="宋体" w:hAnsi="宋体" w:cs="宋体"/>
          <w:spacing w:val="-15"/>
          <w:sz w:val="22"/>
          <w:szCs w:val="22"/>
        </w:rPr>
        <w:t>改善居民膳食结构、解决钙不足的重要途径。</w:t>
      </w:r>
    </w:p>
    <w:p w:rsidR="00EA40A3" w:rsidRDefault="00E86C16">
      <w:pPr>
        <w:spacing w:before="91" w:line="246" w:lineRule="auto"/>
        <w:ind w:firstLine="429"/>
        <w:jc w:val="both"/>
        <w:rPr>
          <w:rFonts w:ascii="宋体" w:eastAsia="宋体" w:hAnsi="宋体" w:cs="宋体"/>
          <w:sz w:val="22"/>
          <w:szCs w:val="22"/>
        </w:rPr>
      </w:pPr>
      <w:r>
        <w:rPr>
          <w:rFonts w:ascii="宋体" w:eastAsia="宋体" w:hAnsi="宋体" w:cs="宋体"/>
          <w:spacing w:val="-10"/>
          <w:sz w:val="22"/>
          <w:szCs w:val="22"/>
        </w:rPr>
        <w:t>(2)豆类、坚果类，可连骨吃的小鱼、小虾及一些绿色蔬菜类也是钙的较好</w:t>
      </w:r>
      <w:r>
        <w:rPr>
          <w:rFonts w:ascii="宋体" w:eastAsia="宋体" w:hAnsi="宋体" w:cs="宋体"/>
          <w:spacing w:val="7"/>
          <w:sz w:val="22"/>
          <w:szCs w:val="22"/>
        </w:rPr>
        <w:t xml:space="preserve"> </w:t>
      </w:r>
      <w:r>
        <w:rPr>
          <w:rFonts w:ascii="宋体" w:eastAsia="宋体" w:hAnsi="宋体" w:cs="宋体"/>
          <w:spacing w:val="-6"/>
          <w:sz w:val="22"/>
          <w:szCs w:val="22"/>
        </w:rPr>
        <w:t>来源。</w:t>
      </w:r>
      <w:r>
        <w:rPr>
          <w:rFonts w:ascii="宋体" w:eastAsia="宋体" w:hAnsi="宋体" w:cs="宋体"/>
          <w:spacing w:val="-12"/>
          <w:sz w:val="22"/>
          <w:szCs w:val="22"/>
        </w:rPr>
        <w:t xml:space="preserve"> </w:t>
      </w:r>
      <w:r>
        <w:rPr>
          <w:rFonts w:ascii="宋体" w:eastAsia="宋体" w:hAnsi="宋体" w:cs="宋体"/>
          <w:spacing w:val="-6"/>
          <w:sz w:val="22"/>
          <w:szCs w:val="22"/>
        </w:rPr>
        <w:t>一些常见食物中的钙含量见表4-3。在选用蔬菜时</w:t>
      </w:r>
      <w:r>
        <w:rPr>
          <w:rFonts w:ascii="宋体" w:eastAsia="宋体" w:hAnsi="宋体" w:cs="宋体"/>
          <w:spacing w:val="-7"/>
          <w:sz w:val="22"/>
          <w:szCs w:val="22"/>
        </w:rPr>
        <w:t>，应注意其中草酸含</w:t>
      </w:r>
      <w:r>
        <w:rPr>
          <w:rFonts w:ascii="宋体" w:eastAsia="宋体" w:hAnsi="宋体" w:cs="宋体"/>
          <w:sz w:val="22"/>
          <w:szCs w:val="22"/>
        </w:rPr>
        <w:t xml:space="preserve"> </w:t>
      </w:r>
      <w:r>
        <w:rPr>
          <w:rFonts w:ascii="宋体" w:eastAsia="宋体" w:hAnsi="宋体" w:cs="宋体"/>
          <w:spacing w:val="-9"/>
          <w:sz w:val="22"/>
          <w:szCs w:val="22"/>
        </w:rPr>
        <w:t>量。可采用适当措施去除妨碍钙吸收、利用的因素，如先焯后炒(</w:t>
      </w:r>
      <w:r>
        <w:rPr>
          <w:rFonts w:ascii="宋体" w:eastAsia="宋体" w:hAnsi="宋体" w:cs="宋体"/>
          <w:spacing w:val="-10"/>
          <w:sz w:val="22"/>
          <w:szCs w:val="22"/>
        </w:rPr>
        <w:t>使部分草酸溶</w:t>
      </w:r>
      <w:r>
        <w:rPr>
          <w:rFonts w:ascii="宋体" w:eastAsia="宋体" w:hAnsi="宋体" w:cs="宋体"/>
          <w:sz w:val="22"/>
          <w:szCs w:val="22"/>
        </w:rPr>
        <w:t xml:space="preserve"> </w:t>
      </w:r>
      <w:r>
        <w:rPr>
          <w:rFonts w:ascii="宋体" w:eastAsia="宋体" w:hAnsi="宋体" w:cs="宋体"/>
          <w:spacing w:val="-4"/>
          <w:sz w:val="22"/>
          <w:szCs w:val="22"/>
        </w:rPr>
        <w:t>于水),洗大米时加以浸泡以使植酸酶活跃；面粉经过</w:t>
      </w:r>
      <w:r>
        <w:rPr>
          <w:rFonts w:ascii="宋体" w:eastAsia="宋体" w:hAnsi="宋体" w:cs="宋体"/>
          <w:spacing w:val="-5"/>
          <w:sz w:val="22"/>
          <w:szCs w:val="22"/>
        </w:rPr>
        <w:t>发酵，可减少植酸含量。</w:t>
      </w:r>
      <w:r>
        <w:rPr>
          <w:rFonts w:ascii="宋体" w:eastAsia="宋体" w:hAnsi="宋体" w:cs="宋体"/>
          <w:sz w:val="22"/>
          <w:szCs w:val="22"/>
        </w:rPr>
        <w:t xml:space="preserve"> </w:t>
      </w:r>
      <w:r>
        <w:rPr>
          <w:rFonts w:ascii="宋体" w:eastAsia="宋体" w:hAnsi="宋体" w:cs="宋体"/>
          <w:spacing w:val="-13"/>
          <w:sz w:val="22"/>
          <w:szCs w:val="22"/>
        </w:rPr>
        <w:t>此外还应采用合理烹调处理方法，避免食物中钙的损失。常见蔬菜中钙和草酸含</w:t>
      </w:r>
      <w:r>
        <w:rPr>
          <w:rFonts w:ascii="宋体" w:eastAsia="宋体" w:hAnsi="宋体" w:cs="宋体"/>
          <w:spacing w:val="3"/>
          <w:sz w:val="22"/>
          <w:szCs w:val="22"/>
        </w:rPr>
        <w:t xml:space="preserve"> </w:t>
      </w:r>
      <w:r>
        <w:rPr>
          <w:rFonts w:ascii="宋体" w:eastAsia="宋体" w:hAnsi="宋体" w:cs="宋体"/>
          <w:spacing w:val="-9"/>
          <w:sz w:val="22"/>
          <w:szCs w:val="22"/>
        </w:rPr>
        <w:t>量见表4-4。</w:t>
      </w:r>
    </w:p>
    <w:p w:rsidR="00EA40A3" w:rsidRDefault="00E86C16">
      <w:pPr>
        <w:spacing w:before="38" w:line="236" w:lineRule="auto"/>
        <w:ind w:right="80" w:firstLine="429"/>
        <w:jc w:val="both"/>
        <w:rPr>
          <w:rFonts w:ascii="宋体" w:eastAsia="宋体" w:hAnsi="宋体" w:cs="宋体"/>
          <w:sz w:val="22"/>
          <w:szCs w:val="22"/>
        </w:rPr>
      </w:pPr>
      <w:r>
        <w:rPr>
          <w:rFonts w:ascii="宋体" w:eastAsia="宋体" w:hAnsi="宋体" w:cs="宋体"/>
          <w:spacing w:val="-10"/>
          <w:sz w:val="22"/>
          <w:szCs w:val="22"/>
        </w:rPr>
        <w:t>(3)硬水中含有相当量的钙，也不失为一种钙的来源。在西方国家，每人每</w:t>
      </w:r>
      <w:r>
        <w:rPr>
          <w:rFonts w:ascii="宋体" w:eastAsia="宋体" w:hAnsi="宋体" w:cs="宋体"/>
          <w:spacing w:val="8"/>
          <w:sz w:val="22"/>
          <w:szCs w:val="22"/>
        </w:rPr>
        <w:t xml:space="preserve"> </w:t>
      </w:r>
      <w:r>
        <w:rPr>
          <w:rFonts w:ascii="宋体" w:eastAsia="宋体" w:hAnsi="宋体" w:cs="宋体"/>
          <w:spacing w:val="-9"/>
          <w:sz w:val="22"/>
          <w:szCs w:val="22"/>
        </w:rPr>
        <w:t>日所摄入的钙量，有1/3来自于水。</w:t>
      </w:r>
    </w:p>
    <w:p w:rsidR="00EA40A3" w:rsidRDefault="00E86C16">
      <w:pPr>
        <w:spacing w:before="83"/>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90</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pgSz w:w="9220" w:h="13360"/>
          <w:pgMar w:top="400" w:right="1049" w:bottom="400" w:left="840" w:header="0" w:footer="0" w:gutter="0"/>
          <w:cols w:space="720"/>
        </w:sectPr>
      </w:pPr>
    </w:p>
    <w:p w:rsidR="00EA40A3" w:rsidRDefault="00EA40A3"/>
    <w:p w:rsidR="00EA40A3" w:rsidRDefault="00EA40A3"/>
    <w:p w:rsidR="00EA40A3" w:rsidRDefault="00EA40A3">
      <w:pPr>
        <w:spacing w:line="151" w:lineRule="exact"/>
      </w:pPr>
    </w:p>
    <w:p w:rsidR="00EA40A3" w:rsidRDefault="00EA40A3">
      <w:pPr>
        <w:sectPr w:rsidR="00EA40A3">
          <w:footerReference w:type="default" r:id="rId77"/>
          <w:pgSz w:w="9410" w:h="13490"/>
          <w:pgMar w:top="400" w:right="1130" w:bottom="1363" w:left="979" w:header="0" w:footer="1116" w:gutter="0"/>
          <w:cols w:space="720" w:equalWidth="0">
            <w:col w:w="7300"/>
          </w:cols>
        </w:sectPr>
      </w:pPr>
    </w:p>
    <w:p w:rsidR="00EA40A3" w:rsidRDefault="00E86C16">
      <w:pPr>
        <w:spacing w:before="80" w:line="222" w:lineRule="auto"/>
        <w:ind w:left="672"/>
        <w:rPr>
          <w:rFonts w:ascii="黑体" w:eastAsia="黑体" w:hAnsi="黑体" w:cs="黑体"/>
          <w:sz w:val="19"/>
          <w:szCs w:val="19"/>
        </w:rPr>
      </w:pPr>
      <w:r>
        <w:rPr>
          <w:rFonts w:ascii="黑体" w:eastAsia="黑体" w:hAnsi="黑体" w:cs="黑体"/>
          <w:b/>
          <w:bCs/>
          <w:spacing w:val="-10"/>
          <w:sz w:val="19"/>
          <w:szCs w:val="19"/>
        </w:rPr>
        <w:t>表4-3</w:t>
      </w:r>
      <w:r>
        <w:rPr>
          <w:rFonts w:ascii="黑体" w:eastAsia="黑体" w:hAnsi="黑体" w:cs="黑体"/>
          <w:spacing w:val="70"/>
          <w:sz w:val="19"/>
          <w:szCs w:val="19"/>
        </w:rPr>
        <w:t xml:space="preserve"> </w:t>
      </w:r>
      <w:r>
        <w:rPr>
          <w:rFonts w:ascii="黑体" w:eastAsia="黑体" w:hAnsi="黑体" w:cs="黑体"/>
          <w:b/>
          <w:bCs/>
          <w:spacing w:val="-10"/>
          <w:sz w:val="19"/>
          <w:szCs w:val="19"/>
        </w:rPr>
        <w:t>一些食物中的钙含量</w:t>
      </w:r>
    </w:p>
    <w:p w:rsidR="00EA40A3" w:rsidRDefault="00E86C16">
      <w:pPr>
        <w:spacing w:before="77" w:line="214" w:lineRule="auto"/>
        <w:ind w:left="1730"/>
        <w:rPr>
          <w:rFonts w:ascii="宋体" w:eastAsia="宋体" w:hAnsi="宋体" w:cs="宋体"/>
          <w:sz w:val="16"/>
          <w:szCs w:val="16"/>
        </w:rPr>
      </w:pPr>
      <w:r>
        <w:rPr>
          <w:rFonts w:ascii="宋体" w:eastAsia="宋体" w:hAnsi="宋体" w:cs="宋体"/>
          <w:spacing w:val="-7"/>
          <w:sz w:val="16"/>
          <w:szCs w:val="16"/>
        </w:rPr>
        <w:t>(单位：</w:t>
      </w:r>
      <w:r>
        <w:rPr>
          <w:rFonts w:ascii="宋体" w:eastAsia="宋体" w:hAnsi="宋体" w:cs="宋体"/>
          <w:spacing w:val="11"/>
          <w:sz w:val="16"/>
          <w:szCs w:val="16"/>
        </w:rPr>
        <w:t xml:space="preserve"> </w:t>
      </w:r>
      <w:r>
        <w:rPr>
          <w:rFonts w:ascii="宋体" w:eastAsia="宋体" w:hAnsi="宋体" w:cs="宋体"/>
          <w:spacing w:val="-7"/>
          <w:sz w:val="16"/>
          <w:szCs w:val="16"/>
        </w:rPr>
        <w:t>mg/100g)</w:t>
      </w:r>
    </w:p>
    <w:p w:rsidR="00EA40A3" w:rsidRDefault="00EA40A3">
      <w:pPr>
        <w:spacing w:line="78" w:lineRule="exact"/>
      </w:pPr>
    </w:p>
    <w:tbl>
      <w:tblPr>
        <w:tblStyle w:val="TableNormal"/>
        <w:tblW w:w="344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34"/>
        <w:gridCol w:w="685"/>
        <w:gridCol w:w="965"/>
        <w:gridCol w:w="765"/>
      </w:tblGrid>
      <w:tr w:rsidR="00EA40A3">
        <w:trPr>
          <w:trHeight w:val="324"/>
        </w:trPr>
        <w:tc>
          <w:tcPr>
            <w:tcW w:w="1034" w:type="dxa"/>
            <w:tcBorders>
              <w:top w:val="single" w:sz="4" w:space="0" w:color="000000"/>
              <w:bottom w:val="single" w:sz="4" w:space="0" w:color="000000"/>
            </w:tcBorders>
          </w:tcPr>
          <w:p w:rsidR="00EA40A3" w:rsidRDefault="00E86C16">
            <w:pPr>
              <w:spacing w:before="72" w:line="220" w:lineRule="auto"/>
              <w:ind w:left="89"/>
              <w:rPr>
                <w:rFonts w:ascii="宋体" w:eastAsia="宋体" w:hAnsi="宋体" w:cs="宋体"/>
                <w:sz w:val="16"/>
                <w:szCs w:val="16"/>
              </w:rPr>
            </w:pPr>
            <w:r>
              <w:rPr>
                <w:rFonts w:ascii="宋体" w:eastAsia="宋体" w:hAnsi="宋体" w:cs="宋体"/>
                <w:spacing w:val="-2"/>
                <w:sz w:val="16"/>
                <w:szCs w:val="16"/>
              </w:rPr>
              <w:t>食物名称</w:t>
            </w:r>
          </w:p>
        </w:tc>
        <w:tc>
          <w:tcPr>
            <w:tcW w:w="685" w:type="dxa"/>
            <w:tcBorders>
              <w:top w:val="single" w:sz="4" w:space="0" w:color="000000"/>
              <w:bottom w:val="single" w:sz="4" w:space="0" w:color="000000"/>
              <w:right w:val="single" w:sz="4" w:space="0" w:color="000000"/>
            </w:tcBorders>
          </w:tcPr>
          <w:p w:rsidR="00EA40A3" w:rsidRDefault="00E86C16">
            <w:pPr>
              <w:spacing w:before="71" w:line="219" w:lineRule="auto"/>
              <w:ind w:left="145"/>
              <w:rPr>
                <w:rFonts w:ascii="宋体" w:eastAsia="宋体" w:hAnsi="宋体" w:cs="宋体"/>
                <w:sz w:val="16"/>
                <w:szCs w:val="16"/>
              </w:rPr>
            </w:pPr>
            <w:r>
              <w:rPr>
                <w:rFonts w:ascii="宋体" w:eastAsia="宋体" w:hAnsi="宋体" w:cs="宋体"/>
                <w:spacing w:val="-2"/>
                <w:sz w:val="16"/>
                <w:szCs w:val="16"/>
              </w:rPr>
              <w:t>含钙量</w:t>
            </w:r>
          </w:p>
        </w:tc>
        <w:tc>
          <w:tcPr>
            <w:tcW w:w="965" w:type="dxa"/>
            <w:tcBorders>
              <w:top w:val="single" w:sz="4" w:space="0" w:color="000000"/>
              <w:left w:val="single" w:sz="4" w:space="0" w:color="000000"/>
              <w:bottom w:val="single" w:sz="4" w:space="0" w:color="000000"/>
            </w:tcBorders>
          </w:tcPr>
          <w:p w:rsidR="00EA40A3" w:rsidRDefault="00E86C16">
            <w:pPr>
              <w:spacing w:before="62" w:line="220" w:lineRule="auto"/>
              <w:ind w:left="95"/>
              <w:rPr>
                <w:rFonts w:ascii="宋体" w:eastAsia="宋体" w:hAnsi="宋体" w:cs="宋体"/>
                <w:sz w:val="16"/>
                <w:szCs w:val="16"/>
              </w:rPr>
            </w:pPr>
            <w:r>
              <w:rPr>
                <w:rFonts w:ascii="宋体" w:eastAsia="宋体" w:hAnsi="宋体" w:cs="宋体"/>
                <w:spacing w:val="-2"/>
                <w:sz w:val="16"/>
                <w:szCs w:val="16"/>
              </w:rPr>
              <w:t>食物名称</w:t>
            </w:r>
          </w:p>
        </w:tc>
        <w:tc>
          <w:tcPr>
            <w:tcW w:w="765" w:type="dxa"/>
            <w:tcBorders>
              <w:top w:val="single" w:sz="4" w:space="0" w:color="000000"/>
              <w:bottom w:val="single" w:sz="4" w:space="0" w:color="000000"/>
            </w:tcBorders>
          </w:tcPr>
          <w:p w:rsidR="00EA40A3" w:rsidRDefault="00E86C16">
            <w:pPr>
              <w:spacing w:before="41" w:line="219" w:lineRule="auto"/>
              <w:ind w:left="225"/>
              <w:rPr>
                <w:rFonts w:ascii="宋体" w:eastAsia="宋体" w:hAnsi="宋体" w:cs="宋体"/>
                <w:sz w:val="16"/>
                <w:szCs w:val="16"/>
              </w:rPr>
            </w:pPr>
            <w:r>
              <w:rPr>
                <w:rFonts w:ascii="宋体" w:eastAsia="宋体" w:hAnsi="宋体" w:cs="宋体"/>
                <w:spacing w:val="-2"/>
                <w:sz w:val="16"/>
                <w:szCs w:val="16"/>
              </w:rPr>
              <w:t>含钙量</w:t>
            </w:r>
          </w:p>
        </w:tc>
      </w:tr>
      <w:tr w:rsidR="00EA40A3">
        <w:trPr>
          <w:trHeight w:val="315"/>
        </w:trPr>
        <w:tc>
          <w:tcPr>
            <w:tcW w:w="1034" w:type="dxa"/>
            <w:tcBorders>
              <w:top w:val="single" w:sz="4" w:space="0" w:color="000000"/>
            </w:tcBorders>
          </w:tcPr>
          <w:p w:rsidR="00EA40A3" w:rsidRDefault="00E86C16">
            <w:pPr>
              <w:spacing w:before="78" w:line="221" w:lineRule="auto"/>
              <w:ind w:left="89"/>
              <w:rPr>
                <w:rFonts w:ascii="宋体" w:eastAsia="宋体" w:hAnsi="宋体" w:cs="宋体"/>
                <w:sz w:val="16"/>
                <w:szCs w:val="16"/>
              </w:rPr>
            </w:pPr>
            <w:r>
              <w:rPr>
                <w:rFonts w:ascii="宋体" w:eastAsia="宋体" w:hAnsi="宋体" w:cs="宋体"/>
                <w:spacing w:val="-2"/>
                <w:sz w:val="16"/>
                <w:szCs w:val="16"/>
              </w:rPr>
              <w:t>人奶</w:t>
            </w:r>
          </w:p>
        </w:tc>
        <w:tc>
          <w:tcPr>
            <w:tcW w:w="685" w:type="dxa"/>
            <w:tcBorders>
              <w:top w:val="single" w:sz="4" w:space="0" w:color="000000"/>
              <w:right w:val="single" w:sz="4" w:space="0" w:color="000000"/>
            </w:tcBorders>
          </w:tcPr>
          <w:p w:rsidR="00EA40A3" w:rsidRDefault="00E86C16">
            <w:pPr>
              <w:spacing w:before="128" w:line="183" w:lineRule="auto"/>
              <w:ind w:left="285"/>
              <w:rPr>
                <w:rFonts w:ascii="宋体" w:eastAsia="宋体" w:hAnsi="宋体" w:cs="宋体"/>
                <w:sz w:val="16"/>
                <w:szCs w:val="16"/>
              </w:rPr>
            </w:pPr>
            <w:r>
              <w:rPr>
                <w:rFonts w:ascii="宋体" w:eastAsia="宋体" w:hAnsi="宋体" w:cs="宋体"/>
                <w:spacing w:val="-3"/>
                <w:sz w:val="16"/>
                <w:szCs w:val="16"/>
              </w:rPr>
              <w:t>30</w:t>
            </w:r>
          </w:p>
        </w:tc>
        <w:tc>
          <w:tcPr>
            <w:tcW w:w="965" w:type="dxa"/>
            <w:tcBorders>
              <w:top w:val="single" w:sz="4" w:space="0" w:color="000000"/>
              <w:left w:val="single" w:sz="4" w:space="0" w:color="000000"/>
            </w:tcBorders>
          </w:tcPr>
          <w:p w:rsidR="00EA40A3" w:rsidRDefault="00E86C16">
            <w:pPr>
              <w:spacing w:before="68" w:line="220" w:lineRule="auto"/>
              <w:ind w:left="95"/>
              <w:rPr>
                <w:rFonts w:ascii="宋体" w:eastAsia="宋体" w:hAnsi="宋体" w:cs="宋体"/>
                <w:sz w:val="16"/>
                <w:szCs w:val="16"/>
              </w:rPr>
            </w:pPr>
            <w:r>
              <w:rPr>
                <w:rFonts w:ascii="宋体" w:eastAsia="宋体" w:hAnsi="宋体" w:cs="宋体"/>
                <w:spacing w:val="-3"/>
                <w:sz w:val="16"/>
                <w:szCs w:val="16"/>
              </w:rPr>
              <w:t>大豆</w:t>
            </w:r>
          </w:p>
        </w:tc>
        <w:tc>
          <w:tcPr>
            <w:tcW w:w="765" w:type="dxa"/>
            <w:tcBorders>
              <w:top w:val="single" w:sz="4" w:space="0" w:color="000000"/>
            </w:tcBorders>
          </w:tcPr>
          <w:p w:rsidR="00EA40A3" w:rsidRDefault="00E86C16">
            <w:pPr>
              <w:spacing w:before="117" w:line="184" w:lineRule="auto"/>
              <w:ind w:left="345"/>
              <w:rPr>
                <w:rFonts w:ascii="宋体" w:eastAsia="宋体" w:hAnsi="宋体" w:cs="宋体"/>
                <w:sz w:val="16"/>
                <w:szCs w:val="16"/>
              </w:rPr>
            </w:pPr>
            <w:r>
              <w:rPr>
                <w:rFonts w:ascii="宋体" w:eastAsia="宋体" w:hAnsi="宋体" w:cs="宋体"/>
                <w:spacing w:val="-5"/>
                <w:sz w:val="16"/>
                <w:szCs w:val="16"/>
              </w:rPr>
              <w:t>191</w:t>
            </w:r>
          </w:p>
        </w:tc>
      </w:tr>
      <w:tr w:rsidR="00EA40A3">
        <w:trPr>
          <w:trHeight w:val="329"/>
        </w:trPr>
        <w:tc>
          <w:tcPr>
            <w:tcW w:w="1034" w:type="dxa"/>
          </w:tcPr>
          <w:p w:rsidR="00EA40A3" w:rsidRDefault="00E86C16">
            <w:pPr>
              <w:spacing w:before="73" w:line="221" w:lineRule="auto"/>
              <w:ind w:left="89"/>
              <w:rPr>
                <w:rFonts w:ascii="宋体" w:eastAsia="宋体" w:hAnsi="宋体" w:cs="宋体"/>
                <w:sz w:val="16"/>
                <w:szCs w:val="16"/>
              </w:rPr>
            </w:pPr>
            <w:r>
              <w:rPr>
                <w:rFonts w:ascii="宋体" w:eastAsia="宋体" w:hAnsi="宋体" w:cs="宋体"/>
                <w:spacing w:val="-3"/>
                <w:sz w:val="16"/>
                <w:szCs w:val="16"/>
              </w:rPr>
              <w:t>牛奶</w:t>
            </w:r>
          </w:p>
        </w:tc>
        <w:tc>
          <w:tcPr>
            <w:tcW w:w="685" w:type="dxa"/>
            <w:tcBorders>
              <w:right w:val="single" w:sz="4" w:space="0" w:color="000000"/>
            </w:tcBorders>
          </w:tcPr>
          <w:p w:rsidR="00EA40A3" w:rsidRDefault="00E86C16">
            <w:pPr>
              <w:spacing w:before="132" w:line="184" w:lineRule="auto"/>
              <w:ind w:left="225"/>
              <w:rPr>
                <w:rFonts w:ascii="宋体" w:eastAsia="宋体" w:hAnsi="宋体" w:cs="宋体"/>
                <w:sz w:val="16"/>
                <w:szCs w:val="16"/>
              </w:rPr>
            </w:pPr>
            <w:r>
              <w:rPr>
                <w:rFonts w:ascii="宋体" w:eastAsia="宋体" w:hAnsi="宋体" w:cs="宋体"/>
                <w:spacing w:val="-5"/>
                <w:sz w:val="16"/>
                <w:szCs w:val="16"/>
              </w:rPr>
              <w:t>104</w:t>
            </w:r>
          </w:p>
        </w:tc>
        <w:tc>
          <w:tcPr>
            <w:tcW w:w="965" w:type="dxa"/>
            <w:tcBorders>
              <w:left w:val="single" w:sz="4" w:space="0" w:color="000000"/>
            </w:tcBorders>
          </w:tcPr>
          <w:p w:rsidR="00EA40A3" w:rsidRDefault="00E86C16">
            <w:pPr>
              <w:spacing w:before="82" w:line="219" w:lineRule="auto"/>
              <w:ind w:left="95"/>
              <w:rPr>
                <w:rFonts w:ascii="宋体" w:eastAsia="宋体" w:hAnsi="宋体" w:cs="宋体"/>
                <w:sz w:val="16"/>
                <w:szCs w:val="16"/>
              </w:rPr>
            </w:pPr>
            <w:r>
              <w:rPr>
                <w:rFonts w:ascii="宋体" w:eastAsia="宋体" w:hAnsi="宋体" w:cs="宋体"/>
                <w:spacing w:val="-2"/>
                <w:sz w:val="16"/>
                <w:szCs w:val="16"/>
              </w:rPr>
              <w:t>豆腐</w:t>
            </w:r>
          </w:p>
        </w:tc>
        <w:tc>
          <w:tcPr>
            <w:tcW w:w="765" w:type="dxa"/>
          </w:tcPr>
          <w:p w:rsidR="00EA40A3" w:rsidRDefault="00E86C16">
            <w:pPr>
              <w:spacing w:before="132" w:line="184" w:lineRule="auto"/>
              <w:ind w:left="345"/>
              <w:rPr>
                <w:rFonts w:ascii="宋体" w:eastAsia="宋体" w:hAnsi="宋体" w:cs="宋体"/>
                <w:sz w:val="16"/>
                <w:szCs w:val="16"/>
              </w:rPr>
            </w:pPr>
            <w:r>
              <w:rPr>
                <w:rFonts w:ascii="宋体" w:eastAsia="宋体" w:hAnsi="宋体" w:cs="宋体"/>
                <w:spacing w:val="-5"/>
                <w:sz w:val="16"/>
                <w:szCs w:val="16"/>
              </w:rPr>
              <w:t>164</w:t>
            </w:r>
          </w:p>
        </w:tc>
      </w:tr>
      <w:tr w:rsidR="00EA40A3">
        <w:trPr>
          <w:trHeight w:val="314"/>
        </w:trPr>
        <w:tc>
          <w:tcPr>
            <w:tcW w:w="1034" w:type="dxa"/>
          </w:tcPr>
          <w:p w:rsidR="00EA40A3" w:rsidRDefault="00E86C16">
            <w:pPr>
              <w:spacing w:before="82" w:line="219" w:lineRule="auto"/>
              <w:ind w:left="89"/>
              <w:rPr>
                <w:rFonts w:ascii="宋体" w:eastAsia="宋体" w:hAnsi="宋体" w:cs="宋体"/>
                <w:sz w:val="16"/>
                <w:szCs w:val="16"/>
              </w:rPr>
            </w:pPr>
            <w:r>
              <w:rPr>
                <w:rFonts w:ascii="宋体" w:eastAsia="宋体" w:hAnsi="宋体" w:cs="宋体"/>
                <w:spacing w:val="-2"/>
                <w:sz w:val="16"/>
                <w:szCs w:val="16"/>
              </w:rPr>
              <w:t>干酪</w:t>
            </w:r>
          </w:p>
        </w:tc>
        <w:tc>
          <w:tcPr>
            <w:tcW w:w="685" w:type="dxa"/>
            <w:tcBorders>
              <w:right w:val="single" w:sz="4" w:space="0" w:color="000000"/>
            </w:tcBorders>
          </w:tcPr>
          <w:p w:rsidR="00EA40A3" w:rsidRDefault="00E86C16">
            <w:pPr>
              <w:spacing w:before="124" w:line="183" w:lineRule="auto"/>
              <w:ind w:left="235"/>
              <w:rPr>
                <w:rFonts w:ascii="宋体" w:eastAsia="宋体" w:hAnsi="宋体" w:cs="宋体"/>
                <w:sz w:val="16"/>
                <w:szCs w:val="16"/>
              </w:rPr>
            </w:pPr>
            <w:r>
              <w:rPr>
                <w:rFonts w:ascii="宋体" w:eastAsia="宋体" w:hAnsi="宋体" w:cs="宋体"/>
                <w:spacing w:val="-3"/>
                <w:sz w:val="16"/>
                <w:szCs w:val="16"/>
              </w:rPr>
              <w:t>799</w:t>
            </w:r>
          </w:p>
        </w:tc>
        <w:tc>
          <w:tcPr>
            <w:tcW w:w="965" w:type="dxa"/>
            <w:tcBorders>
              <w:left w:val="single" w:sz="4" w:space="0" w:color="000000"/>
            </w:tcBorders>
          </w:tcPr>
          <w:p w:rsidR="00EA40A3" w:rsidRDefault="00E86C16">
            <w:pPr>
              <w:spacing w:before="88" w:line="224" w:lineRule="auto"/>
              <w:ind w:left="95"/>
              <w:rPr>
                <w:rFonts w:ascii="宋体" w:eastAsia="宋体" w:hAnsi="宋体" w:cs="宋体"/>
                <w:sz w:val="16"/>
                <w:szCs w:val="16"/>
              </w:rPr>
            </w:pPr>
            <w:r>
              <w:rPr>
                <w:rFonts w:ascii="宋体" w:eastAsia="宋体" w:hAnsi="宋体" w:cs="宋体"/>
                <w:spacing w:val="-3"/>
                <w:sz w:val="16"/>
                <w:szCs w:val="16"/>
              </w:rPr>
              <w:t>黑豆</w:t>
            </w:r>
          </w:p>
        </w:tc>
        <w:tc>
          <w:tcPr>
            <w:tcW w:w="765" w:type="dxa"/>
          </w:tcPr>
          <w:p w:rsidR="00EA40A3" w:rsidRDefault="00E86C16">
            <w:pPr>
              <w:spacing w:before="124" w:line="183" w:lineRule="auto"/>
              <w:ind w:left="345"/>
              <w:rPr>
                <w:rFonts w:ascii="宋体" w:eastAsia="宋体" w:hAnsi="宋体" w:cs="宋体"/>
                <w:sz w:val="16"/>
                <w:szCs w:val="16"/>
              </w:rPr>
            </w:pPr>
            <w:r>
              <w:rPr>
                <w:rFonts w:ascii="宋体" w:eastAsia="宋体" w:hAnsi="宋体" w:cs="宋体"/>
                <w:spacing w:val="-2"/>
                <w:sz w:val="16"/>
                <w:szCs w:val="16"/>
              </w:rPr>
              <w:t>224</w:t>
            </w:r>
          </w:p>
        </w:tc>
      </w:tr>
      <w:tr w:rsidR="00EA40A3">
        <w:trPr>
          <w:trHeight w:val="331"/>
        </w:trPr>
        <w:tc>
          <w:tcPr>
            <w:tcW w:w="1034" w:type="dxa"/>
          </w:tcPr>
          <w:p w:rsidR="00EA40A3" w:rsidRDefault="00E86C16">
            <w:pPr>
              <w:spacing w:before="89" w:line="219" w:lineRule="auto"/>
              <w:ind w:left="89"/>
              <w:rPr>
                <w:rFonts w:ascii="宋体" w:eastAsia="宋体" w:hAnsi="宋体" w:cs="宋体"/>
                <w:sz w:val="16"/>
                <w:szCs w:val="16"/>
              </w:rPr>
            </w:pPr>
            <w:r>
              <w:rPr>
                <w:rFonts w:ascii="宋体" w:eastAsia="宋体" w:hAnsi="宋体" w:cs="宋体"/>
                <w:spacing w:val="-3"/>
                <w:sz w:val="16"/>
                <w:szCs w:val="16"/>
              </w:rPr>
              <w:t>蛋黄</w:t>
            </w:r>
          </w:p>
        </w:tc>
        <w:tc>
          <w:tcPr>
            <w:tcW w:w="685" w:type="dxa"/>
            <w:tcBorders>
              <w:right w:val="single" w:sz="4" w:space="0" w:color="000000"/>
            </w:tcBorders>
          </w:tcPr>
          <w:p w:rsidR="00EA40A3" w:rsidRDefault="00E86C16">
            <w:pPr>
              <w:spacing w:before="129" w:line="184" w:lineRule="auto"/>
              <w:ind w:left="225"/>
              <w:rPr>
                <w:rFonts w:ascii="宋体" w:eastAsia="宋体" w:hAnsi="宋体" w:cs="宋体"/>
                <w:sz w:val="16"/>
                <w:szCs w:val="16"/>
              </w:rPr>
            </w:pPr>
            <w:r>
              <w:rPr>
                <w:rFonts w:ascii="宋体" w:eastAsia="宋体" w:hAnsi="宋体" w:cs="宋体"/>
                <w:spacing w:val="-5"/>
                <w:sz w:val="16"/>
                <w:szCs w:val="16"/>
              </w:rPr>
              <w:t>112</w:t>
            </w:r>
          </w:p>
        </w:tc>
        <w:tc>
          <w:tcPr>
            <w:tcW w:w="965" w:type="dxa"/>
            <w:tcBorders>
              <w:left w:val="single" w:sz="4" w:space="0" w:color="000000"/>
            </w:tcBorders>
          </w:tcPr>
          <w:p w:rsidR="00EA40A3" w:rsidRDefault="00E86C16">
            <w:pPr>
              <w:spacing w:before="78" w:line="219" w:lineRule="auto"/>
              <w:ind w:left="95"/>
              <w:rPr>
                <w:rFonts w:ascii="宋体" w:eastAsia="宋体" w:hAnsi="宋体" w:cs="宋体"/>
                <w:sz w:val="16"/>
                <w:szCs w:val="16"/>
              </w:rPr>
            </w:pPr>
            <w:r>
              <w:rPr>
                <w:rFonts w:ascii="宋体" w:eastAsia="宋体" w:hAnsi="宋体" w:cs="宋体"/>
                <w:spacing w:val="-2"/>
                <w:sz w:val="16"/>
                <w:szCs w:val="16"/>
              </w:rPr>
              <w:t>青豆</w:t>
            </w:r>
          </w:p>
        </w:tc>
        <w:tc>
          <w:tcPr>
            <w:tcW w:w="765" w:type="dxa"/>
          </w:tcPr>
          <w:p w:rsidR="00EA40A3" w:rsidRDefault="00E86C16">
            <w:pPr>
              <w:spacing w:before="140" w:line="183" w:lineRule="auto"/>
              <w:ind w:left="325"/>
              <w:rPr>
                <w:rFonts w:ascii="宋体" w:eastAsia="宋体" w:hAnsi="宋体" w:cs="宋体"/>
                <w:sz w:val="16"/>
                <w:szCs w:val="16"/>
              </w:rPr>
            </w:pPr>
            <w:r>
              <w:rPr>
                <w:rFonts w:ascii="宋体" w:eastAsia="宋体" w:hAnsi="宋体" w:cs="宋体"/>
                <w:spacing w:val="-2"/>
                <w:sz w:val="16"/>
                <w:szCs w:val="16"/>
              </w:rPr>
              <w:t>200</w:t>
            </w:r>
          </w:p>
        </w:tc>
      </w:tr>
      <w:tr w:rsidR="00EA40A3">
        <w:trPr>
          <w:trHeight w:val="322"/>
        </w:trPr>
        <w:tc>
          <w:tcPr>
            <w:tcW w:w="1034" w:type="dxa"/>
          </w:tcPr>
          <w:p w:rsidR="00EA40A3" w:rsidRDefault="00E86C16">
            <w:pPr>
              <w:spacing w:before="88" w:line="219" w:lineRule="auto"/>
              <w:ind w:left="89"/>
              <w:rPr>
                <w:rFonts w:ascii="宋体" w:eastAsia="宋体" w:hAnsi="宋体" w:cs="宋体"/>
                <w:sz w:val="16"/>
                <w:szCs w:val="16"/>
              </w:rPr>
            </w:pPr>
            <w:r>
              <w:rPr>
                <w:rFonts w:ascii="宋体" w:eastAsia="宋体" w:hAnsi="宋体" w:cs="宋体"/>
                <w:spacing w:val="-3"/>
                <w:sz w:val="16"/>
                <w:szCs w:val="16"/>
              </w:rPr>
              <w:t>大米</w:t>
            </w:r>
          </w:p>
        </w:tc>
        <w:tc>
          <w:tcPr>
            <w:tcW w:w="685" w:type="dxa"/>
            <w:tcBorders>
              <w:right w:val="single" w:sz="4" w:space="0" w:color="000000"/>
            </w:tcBorders>
          </w:tcPr>
          <w:p w:rsidR="00EA40A3" w:rsidRDefault="00E86C16">
            <w:pPr>
              <w:spacing w:before="128" w:line="184" w:lineRule="auto"/>
              <w:ind w:left="295"/>
              <w:rPr>
                <w:rFonts w:ascii="宋体" w:eastAsia="宋体" w:hAnsi="宋体" w:cs="宋体"/>
                <w:sz w:val="16"/>
                <w:szCs w:val="16"/>
              </w:rPr>
            </w:pPr>
            <w:r>
              <w:rPr>
                <w:rFonts w:ascii="宋体" w:eastAsia="宋体" w:hAnsi="宋体" w:cs="宋体"/>
                <w:spacing w:val="-5"/>
                <w:sz w:val="16"/>
                <w:szCs w:val="16"/>
              </w:rPr>
              <w:t>13</w:t>
            </w:r>
          </w:p>
        </w:tc>
        <w:tc>
          <w:tcPr>
            <w:tcW w:w="965" w:type="dxa"/>
            <w:tcBorders>
              <w:left w:val="single" w:sz="4" w:space="0" w:color="000000"/>
            </w:tcBorders>
          </w:tcPr>
          <w:p w:rsidR="00EA40A3" w:rsidRDefault="00E86C16">
            <w:pPr>
              <w:spacing w:before="80" w:line="221" w:lineRule="auto"/>
              <w:ind w:left="95"/>
              <w:rPr>
                <w:rFonts w:ascii="宋体" w:eastAsia="宋体" w:hAnsi="宋体" w:cs="宋体"/>
                <w:sz w:val="16"/>
                <w:szCs w:val="16"/>
              </w:rPr>
            </w:pPr>
            <w:r>
              <w:rPr>
                <w:rFonts w:ascii="宋体" w:eastAsia="宋体" w:hAnsi="宋体" w:cs="宋体"/>
                <w:spacing w:val="-2"/>
                <w:sz w:val="16"/>
                <w:szCs w:val="16"/>
              </w:rPr>
              <w:t>豌豆</w:t>
            </w:r>
          </w:p>
        </w:tc>
        <w:tc>
          <w:tcPr>
            <w:tcW w:w="765" w:type="dxa"/>
          </w:tcPr>
          <w:p w:rsidR="00EA40A3" w:rsidRDefault="00E86C16">
            <w:pPr>
              <w:spacing w:before="139" w:line="183" w:lineRule="auto"/>
              <w:ind w:left="415"/>
              <w:rPr>
                <w:rFonts w:ascii="宋体" w:eastAsia="宋体" w:hAnsi="宋体" w:cs="宋体"/>
                <w:sz w:val="16"/>
                <w:szCs w:val="16"/>
              </w:rPr>
            </w:pPr>
            <w:r>
              <w:rPr>
                <w:rFonts w:ascii="宋体" w:eastAsia="宋体" w:hAnsi="宋体" w:cs="宋体"/>
                <w:spacing w:val="-2"/>
                <w:sz w:val="16"/>
                <w:szCs w:val="16"/>
              </w:rPr>
              <w:t>67</w:t>
            </w:r>
          </w:p>
        </w:tc>
      </w:tr>
      <w:tr w:rsidR="00EA40A3">
        <w:trPr>
          <w:trHeight w:val="335"/>
        </w:trPr>
        <w:tc>
          <w:tcPr>
            <w:tcW w:w="1034" w:type="dxa"/>
          </w:tcPr>
          <w:p w:rsidR="00EA40A3" w:rsidRDefault="00E86C16">
            <w:pPr>
              <w:spacing w:before="76" w:line="219" w:lineRule="auto"/>
              <w:ind w:left="89"/>
              <w:rPr>
                <w:rFonts w:ascii="宋体" w:eastAsia="宋体" w:hAnsi="宋体" w:cs="宋体"/>
                <w:sz w:val="16"/>
                <w:szCs w:val="16"/>
              </w:rPr>
            </w:pPr>
            <w:r>
              <w:rPr>
                <w:rFonts w:ascii="宋体" w:eastAsia="宋体" w:hAnsi="宋体" w:cs="宋体"/>
                <w:spacing w:val="-2"/>
                <w:sz w:val="16"/>
                <w:szCs w:val="16"/>
              </w:rPr>
              <w:t>标准粉</w:t>
            </w:r>
          </w:p>
        </w:tc>
        <w:tc>
          <w:tcPr>
            <w:tcW w:w="685" w:type="dxa"/>
            <w:tcBorders>
              <w:right w:val="single" w:sz="4" w:space="0" w:color="000000"/>
            </w:tcBorders>
          </w:tcPr>
          <w:p w:rsidR="00EA40A3" w:rsidRDefault="00E86C16">
            <w:pPr>
              <w:spacing w:before="136" w:line="184" w:lineRule="auto"/>
              <w:ind w:left="295"/>
              <w:rPr>
                <w:rFonts w:ascii="宋体" w:eastAsia="宋体" w:hAnsi="宋体" w:cs="宋体"/>
                <w:sz w:val="16"/>
                <w:szCs w:val="16"/>
              </w:rPr>
            </w:pPr>
            <w:r>
              <w:rPr>
                <w:rFonts w:ascii="宋体" w:eastAsia="宋体" w:hAnsi="宋体" w:cs="宋体"/>
                <w:spacing w:val="-3"/>
                <w:sz w:val="16"/>
                <w:szCs w:val="16"/>
              </w:rPr>
              <w:t>31</w:t>
            </w:r>
          </w:p>
        </w:tc>
        <w:tc>
          <w:tcPr>
            <w:tcW w:w="965" w:type="dxa"/>
            <w:tcBorders>
              <w:left w:val="single" w:sz="4" w:space="0" w:color="000000"/>
            </w:tcBorders>
          </w:tcPr>
          <w:p w:rsidR="00EA40A3" w:rsidRDefault="00E86C16">
            <w:pPr>
              <w:spacing w:before="85" w:line="219" w:lineRule="auto"/>
              <w:ind w:left="95"/>
              <w:rPr>
                <w:rFonts w:ascii="宋体" w:eastAsia="宋体" w:hAnsi="宋体" w:cs="宋体"/>
                <w:sz w:val="16"/>
                <w:szCs w:val="16"/>
              </w:rPr>
            </w:pPr>
            <w:r>
              <w:rPr>
                <w:rFonts w:ascii="宋体" w:eastAsia="宋体" w:hAnsi="宋体" w:cs="宋体"/>
                <w:spacing w:val="7"/>
                <w:sz w:val="16"/>
                <w:szCs w:val="16"/>
              </w:rPr>
              <w:t>豌豆(干)</w:t>
            </w:r>
          </w:p>
        </w:tc>
        <w:tc>
          <w:tcPr>
            <w:tcW w:w="765" w:type="dxa"/>
          </w:tcPr>
          <w:p w:rsidR="00EA40A3" w:rsidRDefault="00E86C16">
            <w:pPr>
              <w:spacing w:before="146" w:line="184" w:lineRule="auto"/>
              <w:ind w:left="345"/>
              <w:rPr>
                <w:rFonts w:ascii="宋体" w:eastAsia="宋体" w:hAnsi="宋体" w:cs="宋体"/>
                <w:sz w:val="16"/>
                <w:szCs w:val="16"/>
              </w:rPr>
            </w:pPr>
            <w:r>
              <w:rPr>
                <w:rFonts w:ascii="宋体" w:eastAsia="宋体" w:hAnsi="宋体" w:cs="宋体"/>
                <w:spacing w:val="-5"/>
                <w:sz w:val="16"/>
                <w:szCs w:val="16"/>
              </w:rPr>
              <w:t>195</w:t>
            </w:r>
          </w:p>
        </w:tc>
      </w:tr>
      <w:tr w:rsidR="00EA40A3">
        <w:trPr>
          <w:trHeight w:val="329"/>
        </w:trPr>
        <w:tc>
          <w:tcPr>
            <w:tcW w:w="1034" w:type="dxa"/>
          </w:tcPr>
          <w:p w:rsidR="00EA40A3" w:rsidRDefault="00E86C16">
            <w:pPr>
              <w:spacing w:before="91" w:line="219" w:lineRule="auto"/>
              <w:ind w:left="89"/>
              <w:rPr>
                <w:rFonts w:ascii="宋体" w:eastAsia="宋体" w:hAnsi="宋体" w:cs="宋体"/>
                <w:sz w:val="16"/>
                <w:szCs w:val="16"/>
              </w:rPr>
            </w:pPr>
            <w:r>
              <w:rPr>
                <w:rFonts w:ascii="宋体" w:eastAsia="宋体" w:hAnsi="宋体" w:cs="宋体"/>
                <w:spacing w:val="7"/>
                <w:sz w:val="16"/>
                <w:szCs w:val="16"/>
              </w:rPr>
              <w:t>猪肉(瘦)</w:t>
            </w:r>
          </w:p>
        </w:tc>
        <w:tc>
          <w:tcPr>
            <w:tcW w:w="685" w:type="dxa"/>
            <w:tcBorders>
              <w:right w:val="single" w:sz="4" w:space="0" w:color="000000"/>
            </w:tcBorders>
          </w:tcPr>
          <w:p w:rsidR="00EA40A3" w:rsidRDefault="00E86C16">
            <w:pPr>
              <w:spacing w:before="132" w:line="183" w:lineRule="auto"/>
              <w:ind w:left="365"/>
              <w:rPr>
                <w:rFonts w:ascii="宋体" w:eastAsia="宋体" w:hAnsi="宋体" w:cs="宋体"/>
                <w:sz w:val="16"/>
                <w:szCs w:val="16"/>
              </w:rPr>
            </w:pPr>
            <w:r>
              <w:rPr>
                <w:rFonts w:ascii="宋体" w:eastAsia="宋体" w:hAnsi="宋体" w:cs="宋体"/>
                <w:sz w:val="16"/>
                <w:szCs w:val="16"/>
              </w:rPr>
              <w:t>6</w:t>
            </w:r>
          </w:p>
        </w:tc>
        <w:tc>
          <w:tcPr>
            <w:tcW w:w="965" w:type="dxa"/>
            <w:tcBorders>
              <w:left w:val="single" w:sz="4" w:space="0" w:color="000000"/>
            </w:tcBorders>
          </w:tcPr>
          <w:p w:rsidR="00EA40A3" w:rsidRDefault="00E86C16">
            <w:pPr>
              <w:spacing w:before="82" w:line="220" w:lineRule="auto"/>
              <w:ind w:left="95"/>
              <w:rPr>
                <w:rFonts w:ascii="宋体" w:eastAsia="宋体" w:hAnsi="宋体" w:cs="宋体"/>
                <w:sz w:val="16"/>
                <w:szCs w:val="16"/>
              </w:rPr>
            </w:pPr>
            <w:r>
              <w:rPr>
                <w:rFonts w:ascii="宋体" w:eastAsia="宋体" w:hAnsi="宋体" w:cs="宋体"/>
                <w:spacing w:val="-2"/>
                <w:sz w:val="16"/>
                <w:szCs w:val="16"/>
              </w:rPr>
              <w:t>榛子</w:t>
            </w:r>
          </w:p>
        </w:tc>
        <w:tc>
          <w:tcPr>
            <w:tcW w:w="765" w:type="dxa"/>
          </w:tcPr>
          <w:p w:rsidR="00EA40A3" w:rsidRDefault="00E86C16">
            <w:pPr>
              <w:spacing w:before="152" w:line="184" w:lineRule="auto"/>
              <w:ind w:left="355"/>
              <w:rPr>
                <w:rFonts w:ascii="宋体" w:eastAsia="宋体" w:hAnsi="宋体" w:cs="宋体"/>
                <w:sz w:val="16"/>
                <w:szCs w:val="16"/>
              </w:rPr>
            </w:pPr>
            <w:r>
              <w:rPr>
                <w:rFonts w:ascii="宋体" w:eastAsia="宋体" w:hAnsi="宋体" w:cs="宋体"/>
                <w:spacing w:val="-5"/>
                <w:sz w:val="16"/>
                <w:szCs w:val="16"/>
              </w:rPr>
              <w:t>104</w:t>
            </w:r>
          </w:p>
        </w:tc>
      </w:tr>
      <w:tr w:rsidR="00EA40A3">
        <w:trPr>
          <w:trHeight w:val="324"/>
        </w:trPr>
        <w:tc>
          <w:tcPr>
            <w:tcW w:w="1034" w:type="dxa"/>
          </w:tcPr>
          <w:p w:rsidR="00EA40A3" w:rsidRDefault="00E86C16">
            <w:pPr>
              <w:spacing w:before="82" w:line="219" w:lineRule="auto"/>
              <w:ind w:left="89"/>
              <w:rPr>
                <w:rFonts w:ascii="宋体" w:eastAsia="宋体" w:hAnsi="宋体" w:cs="宋体"/>
                <w:sz w:val="16"/>
                <w:szCs w:val="16"/>
              </w:rPr>
            </w:pPr>
            <w:r>
              <w:rPr>
                <w:rFonts w:ascii="宋体" w:eastAsia="宋体" w:hAnsi="宋体" w:cs="宋体"/>
                <w:spacing w:val="7"/>
                <w:sz w:val="16"/>
                <w:szCs w:val="16"/>
              </w:rPr>
              <w:t>牛肉(瘦)</w:t>
            </w:r>
          </w:p>
        </w:tc>
        <w:tc>
          <w:tcPr>
            <w:tcW w:w="685" w:type="dxa"/>
            <w:tcBorders>
              <w:right w:val="single" w:sz="4" w:space="0" w:color="000000"/>
            </w:tcBorders>
          </w:tcPr>
          <w:p w:rsidR="00EA40A3" w:rsidRDefault="00E86C16">
            <w:pPr>
              <w:spacing w:before="143" w:line="183" w:lineRule="auto"/>
              <w:ind w:left="355"/>
              <w:rPr>
                <w:rFonts w:ascii="宋体" w:eastAsia="宋体" w:hAnsi="宋体" w:cs="宋体"/>
                <w:sz w:val="16"/>
                <w:szCs w:val="16"/>
              </w:rPr>
            </w:pPr>
            <w:r>
              <w:rPr>
                <w:rFonts w:ascii="宋体" w:eastAsia="宋体" w:hAnsi="宋体" w:cs="宋体"/>
                <w:sz w:val="16"/>
                <w:szCs w:val="16"/>
              </w:rPr>
              <w:t>9</w:t>
            </w:r>
          </w:p>
        </w:tc>
        <w:tc>
          <w:tcPr>
            <w:tcW w:w="965" w:type="dxa"/>
            <w:tcBorders>
              <w:left w:val="single" w:sz="4" w:space="0" w:color="000000"/>
            </w:tcBorders>
          </w:tcPr>
          <w:p w:rsidR="00EA40A3" w:rsidRDefault="00E86C16">
            <w:pPr>
              <w:spacing w:before="73" w:line="220" w:lineRule="auto"/>
              <w:ind w:left="95"/>
              <w:rPr>
                <w:rFonts w:ascii="宋体" w:eastAsia="宋体" w:hAnsi="宋体" w:cs="宋体"/>
                <w:sz w:val="16"/>
                <w:szCs w:val="16"/>
              </w:rPr>
            </w:pPr>
            <w:r>
              <w:rPr>
                <w:rFonts w:ascii="宋体" w:eastAsia="宋体" w:hAnsi="宋体" w:cs="宋体"/>
                <w:spacing w:val="-2"/>
                <w:sz w:val="16"/>
                <w:szCs w:val="16"/>
              </w:rPr>
              <w:t>杏仁</w:t>
            </w:r>
          </w:p>
        </w:tc>
        <w:tc>
          <w:tcPr>
            <w:tcW w:w="765" w:type="dxa"/>
          </w:tcPr>
          <w:p w:rsidR="00EA40A3" w:rsidRDefault="00E86C16">
            <w:pPr>
              <w:spacing w:before="123" w:line="184" w:lineRule="auto"/>
              <w:ind w:left="395"/>
              <w:rPr>
                <w:rFonts w:ascii="宋体" w:eastAsia="宋体" w:hAnsi="宋体" w:cs="宋体"/>
                <w:sz w:val="16"/>
                <w:szCs w:val="16"/>
              </w:rPr>
            </w:pPr>
            <w:r>
              <w:rPr>
                <w:rFonts w:ascii="宋体" w:eastAsia="宋体" w:hAnsi="宋体" w:cs="宋体"/>
                <w:spacing w:val="-3"/>
                <w:sz w:val="16"/>
                <w:szCs w:val="16"/>
              </w:rPr>
              <w:t>71</w:t>
            </w:r>
          </w:p>
        </w:tc>
      </w:tr>
      <w:tr w:rsidR="00EA40A3">
        <w:trPr>
          <w:trHeight w:val="315"/>
        </w:trPr>
        <w:tc>
          <w:tcPr>
            <w:tcW w:w="1034" w:type="dxa"/>
          </w:tcPr>
          <w:p w:rsidR="00EA40A3" w:rsidRDefault="00E86C16">
            <w:pPr>
              <w:spacing w:before="88" w:line="219" w:lineRule="auto"/>
              <w:ind w:left="89"/>
              <w:rPr>
                <w:rFonts w:ascii="宋体" w:eastAsia="宋体" w:hAnsi="宋体" w:cs="宋体"/>
                <w:sz w:val="16"/>
                <w:szCs w:val="16"/>
              </w:rPr>
            </w:pPr>
            <w:r>
              <w:rPr>
                <w:rFonts w:ascii="宋体" w:eastAsia="宋体" w:hAnsi="宋体" w:cs="宋体"/>
                <w:spacing w:val="7"/>
                <w:sz w:val="16"/>
                <w:szCs w:val="16"/>
              </w:rPr>
              <w:t>羊肉(瘦)</w:t>
            </w:r>
          </w:p>
        </w:tc>
        <w:tc>
          <w:tcPr>
            <w:tcW w:w="685" w:type="dxa"/>
            <w:tcBorders>
              <w:right w:val="single" w:sz="4" w:space="0" w:color="000000"/>
            </w:tcBorders>
          </w:tcPr>
          <w:p w:rsidR="00EA40A3" w:rsidRDefault="00E86C16">
            <w:pPr>
              <w:spacing w:before="119" w:line="183" w:lineRule="auto"/>
              <w:ind w:left="355"/>
              <w:rPr>
                <w:rFonts w:ascii="宋体" w:eastAsia="宋体" w:hAnsi="宋体" w:cs="宋体"/>
                <w:sz w:val="16"/>
                <w:szCs w:val="16"/>
              </w:rPr>
            </w:pPr>
            <w:r>
              <w:rPr>
                <w:rFonts w:ascii="宋体" w:eastAsia="宋体" w:hAnsi="宋体" w:cs="宋体"/>
                <w:sz w:val="16"/>
                <w:szCs w:val="16"/>
              </w:rPr>
              <w:t>9</w:t>
            </w:r>
          </w:p>
        </w:tc>
        <w:tc>
          <w:tcPr>
            <w:tcW w:w="965" w:type="dxa"/>
            <w:tcBorders>
              <w:left w:val="single" w:sz="4" w:space="0" w:color="000000"/>
            </w:tcBorders>
          </w:tcPr>
          <w:p w:rsidR="00EA40A3" w:rsidRDefault="00E86C16">
            <w:pPr>
              <w:spacing w:before="79" w:line="220" w:lineRule="auto"/>
              <w:ind w:left="95"/>
              <w:rPr>
                <w:rFonts w:ascii="宋体" w:eastAsia="宋体" w:hAnsi="宋体" w:cs="宋体"/>
                <w:sz w:val="16"/>
                <w:szCs w:val="16"/>
              </w:rPr>
            </w:pPr>
            <w:r>
              <w:rPr>
                <w:rFonts w:ascii="宋体" w:eastAsia="宋体" w:hAnsi="宋体" w:cs="宋体"/>
                <w:spacing w:val="-2"/>
                <w:sz w:val="16"/>
                <w:szCs w:val="16"/>
              </w:rPr>
              <w:t>花生仁</w:t>
            </w:r>
          </w:p>
        </w:tc>
        <w:tc>
          <w:tcPr>
            <w:tcW w:w="765" w:type="dxa"/>
          </w:tcPr>
          <w:p w:rsidR="00EA40A3" w:rsidRDefault="00E86C16">
            <w:pPr>
              <w:spacing w:before="129" w:line="183" w:lineRule="auto"/>
              <w:ind w:left="345"/>
              <w:rPr>
                <w:rFonts w:ascii="宋体" w:eastAsia="宋体" w:hAnsi="宋体" w:cs="宋体"/>
                <w:sz w:val="16"/>
                <w:szCs w:val="16"/>
              </w:rPr>
            </w:pPr>
            <w:r>
              <w:rPr>
                <w:rFonts w:ascii="宋体" w:eastAsia="宋体" w:hAnsi="宋体" w:cs="宋体"/>
                <w:spacing w:val="-2"/>
                <w:sz w:val="16"/>
                <w:szCs w:val="16"/>
              </w:rPr>
              <w:t>284</w:t>
            </w:r>
          </w:p>
        </w:tc>
      </w:tr>
      <w:tr w:rsidR="00EA40A3">
        <w:trPr>
          <w:trHeight w:val="329"/>
        </w:trPr>
        <w:tc>
          <w:tcPr>
            <w:tcW w:w="1034" w:type="dxa"/>
          </w:tcPr>
          <w:p w:rsidR="00EA40A3" w:rsidRDefault="00E86C16">
            <w:pPr>
              <w:spacing w:before="83" w:line="219" w:lineRule="auto"/>
              <w:ind w:left="89"/>
              <w:rPr>
                <w:rFonts w:ascii="宋体" w:eastAsia="宋体" w:hAnsi="宋体" w:cs="宋体"/>
                <w:sz w:val="16"/>
                <w:szCs w:val="16"/>
              </w:rPr>
            </w:pPr>
            <w:r>
              <w:rPr>
                <w:rFonts w:ascii="宋体" w:eastAsia="宋体" w:hAnsi="宋体" w:cs="宋体"/>
                <w:spacing w:val="5"/>
                <w:sz w:val="16"/>
                <w:szCs w:val="16"/>
              </w:rPr>
              <w:t>鸡肉(带皮)</w:t>
            </w:r>
          </w:p>
        </w:tc>
        <w:tc>
          <w:tcPr>
            <w:tcW w:w="685" w:type="dxa"/>
            <w:tcBorders>
              <w:right w:val="single" w:sz="4" w:space="0" w:color="000000"/>
            </w:tcBorders>
          </w:tcPr>
          <w:p w:rsidR="00EA40A3" w:rsidRDefault="00E86C16">
            <w:pPr>
              <w:spacing w:before="134" w:line="183" w:lineRule="auto"/>
              <w:ind w:left="355"/>
              <w:rPr>
                <w:rFonts w:ascii="宋体" w:eastAsia="宋体" w:hAnsi="宋体" w:cs="宋体"/>
                <w:sz w:val="16"/>
                <w:szCs w:val="16"/>
              </w:rPr>
            </w:pPr>
            <w:r>
              <w:rPr>
                <w:rFonts w:ascii="宋体" w:eastAsia="宋体" w:hAnsi="宋体" w:cs="宋体"/>
                <w:sz w:val="16"/>
                <w:szCs w:val="16"/>
              </w:rPr>
              <w:t>9</w:t>
            </w:r>
          </w:p>
        </w:tc>
        <w:tc>
          <w:tcPr>
            <w:tcW w:w="965" w:type="dxa"/>
            <w:tcBorders>
              <w:left w:val="single" w:sz="4" w:space="0" w:color="000000"/>
            </w:tcBorders>
          </w:tcPr>
          <w:p w:rsidR="00EA40A3" w:rsidRDefault="00E86C16">
            <w:pPr>
              <w:spacing w:before="83" w:line="219" w:lineRule="auto"/>
              <w:ind w:left="95"/>
              <w:rPr>
                <w:rFonts w:ascii="宋体" w:eastAsia="宋体" w:hAnsi="宋体" w:cs="宋体"/>
                <w:sz w:val="16"/>
                <w:szCs w:val="16"/>
              </w:rPr>
            </w:pPr>
            <w:r>
              <w:rPr>
                <w:rFonts w:ascii="宋体" w:eastAsia="宋体" w:hAnsi="宋体" w:cs="宋体"/>
                <w:spacing w:val="-2"/>
                <w:sz w:val="16"/>
                <w:szCs w:val="16"/>
              </w:rPr>
              <w:t>荠菜</w:t>
            </w:r>
          </w:p>
        </w:tc>
        <w:tc>
          <w:tcPr>
            <w:tcW w:w="765" w:type="dxa"/>
          </w:tcPr>
          <w:p w:rsidR="00EA40A3" w:rsidRDefault="00E86C16">
            <w:pPr>
              <w:spacing w:before="154" w:line="183" w:lineRule="auto"/>
              <w:ind w:left="345"/>
              <w:rPr>
                <w:rFonts w:ascii="宋体" w:eastAsia="宋体" w:hAnsi="宋体" w:cs="宋体"/>
                <w:sz w:val="16"/>
                <w:szCs w:val="16"/>
              </w:rPr>
            </w:pPr>
            <w:r>
              <w:rPr>
                <w:rFonts w:ascii="宋体" w:eastAsia="宋体" w:hAnsi="宋体" w:cs="宋体"/>
                <w:spacing w:val="-2"/>
                <w:sz w:val="16"/>
                <w:szCs w:val="16"/>
              </w:rPr>
              <w:t>294</w:t>
            </w:r>
          </w:p>
        </w:tc>
      </w:tr>
      <w:tr w:rsidR="00EA40A3">
        <w:trPr>
          <w:trHeight w:val="309"/>
        </w:trPr>
        <w:tc>
          <w:tcPr>
            <w:tcW w:w="1034" w:type="dxa"/>
          </w:tcPr>
          <w:p w:rsidR="00EA40A3" w:rsidRDefault="00E86C16">
            <w:pPr>
              <w:spacing w:before="73" w:line="219" w:lineRule="auto"/>
              <w:ind w:left="89"/>
              <w:rPr>
                <w:rFonts w:ascii="宋体" w:eastAsia="宋体" w:hAnsi="宋体" w:cs="宋体"/>
                <w:sz w:val="16"/>
                <w:szCs w:val="16"/>
              </w:rPr>
            </w:pPr>
            <w:r>
              <w:rPr>
                <w:rFonts w:ascii="宋体" w:eastAsia="宋体" w:hAnsi="宋体" w:cs="宋体"/>
                <w:spacing w:val="7"/>
                <w:sz w:val="16"/>
                <w:szCs w:val="16"/>
              </w:rPr>
              <w:t>海带(干)</w:t>
            </w:r>
          </w:p>
        </w:tc>
        <w:tc>
          <w:tcPr>
            <w:tcW w:w="685" w:type="dxa"/>
            <w:tcBorders>
              <w:right w:val="single" w:sz="4" w:space="0" w:color="000000"/>
            </w:tcBorders>
          </w:tcPr>
          <w:p w:rsidR="00EA40A3" w:rsidRDefault="00E86C16">
            <w:pPr>
              <w:spacing w:before="135" w:line="183" w:lineRule="auto"/>
              <w:ind w:left="225"/>
              <w:rPr>
                <w:rFonts w:ascii="宋体" w:eastAsia="宋体" w:hAnsi="宋体" w:cs="宋体"/>
                <w:sz w:val="16"/>
                <w:szCs w:val="16"/>
              </w:rPr>
            </w:pPr>
            <w:r>
              <w:rPr>
                <w:rFonts w:ascii="宋体" w:eastAsia="宋体" w:hAnsi="宋体" w:cs="宋体"/>
                <w:spacing w:val="-3"/>
                <w:sz w:val="16"/>
                <w:szCs w:val="16"/>
              </w:rPr>
              <w:t>348</w:t>
            </w:r>
          </w:p>
        </w:tc>
        <w:tc>
          <w:tcPr>
            <w:tcW w:w="965" w:type="dxa"/>
            <w:tcBorders>
              <w:left w:val="single" w:sz="4" w:space="0" w:color="000000"/>
            </w:tcBorders>
          </w:tcPr>
          <w:p w:rsidR="00EA40A3" w:rsidRDefault="00E86C16">
            <w:pPr>
              <w:spacing w:before="74" w:line="219" w:lineRule="auto"/>
              <w:ind w:left="95"/>
              <w:rPr>
                <w:rFonts w:ascii="宋体" w:eastAsia="宋体" w:hAnsi="宋体" w:cs="宋体"/>
                <w:sz w:val="16"/>
                <w:szCs w:val="16"/>
              </w:rPr>
            </w:pPr>
            <w:r>
              <w:rPr>
                <w:rFonts w:ascii="宋体" w:eastAsia="宋体" w:hAnsi="宋体" w:cs="宋体"/>
                <w:spacing w:val="7"/>
                <w:sz w:val="16"/>
                <w:szCs w:val="16"/>
              </w:rPr>
              <w:t>苜蓿(炒)</w:t>
            </w:r>
          </w:p>
        </w:tc>
        <w:tc>
          <w:tcPr>
            <w:tcW w:w="765" w:type="dxa"/>
          </w:tcPr>
          <w:p w:rsidR="00EA40A3" w:rsidRDefault="00E86C16">
            <w:pPr>
              <w:spacing w:before="124" w:line="184" w:lineRule="auto"/>
              <w:ind w:left="345"/>
              <w:rPr>
                <w:rFonts w:ascii="宋体" w:eastAsia="宋体" w:hAnsi="宋体" w:cs="宋体"/>
                <w:sz w:val="16"/>
                <w:szCs w:val="16"/>
              </w:rPr>
            </w:pPr>
            <w:r>
              <w:rPr>
                <w:rFonts w:ascii="宋体" w:eastAsia="宋体" w:hAnsi="宋体" w:cs="宋体"/>
                <w:spacing w:val="-3"/>
                <w:sz w:val="16"/>
                <w:szCs w:val="16"/>
              </w:rPr>
              <w:t>713</w:t>
            </w:r>
          </w:p>
        </w:tc>
      </w:tr>
      <w:tr w:rsidR="00EA40A3">
        <w:trPr>
          <w:trHeight w:val="306"/>
        </w:trPr>
        <w:tc>
          <w:tcPr>
            <w:tcW w:w="1034" w:type="dxa"/>
          </w:tcPr>
          <w:p w:rsidR="00EA40A3" w:rsidRDefault="00E86C16">
            <w:pPr>
              <w:spacing w:before="75" w:line="219" w:lineRule="auto"/>
              <w:ind w:left="89"/>
              <w:rPr>
                <w:rFonts w:ascii="宋体" w:eastAsia="宋体" w:hAnsi="宋体" w:cs="宋体"/>
                <w:sz w:val="16"/>
                <w:szCs w:val="16"/>
              </w:rPr>
            </w:pPr>
            <w:r>
              <w:rPr>
                <w:rFonts w:ascii="宋体" w:eastAsia="宋体" w:hAnsi="宋体" w:cs="宋体"/>
                <w:spacing w:val="-3"/>
                <w:sz w:val="16"/>
                <w:szCs w:val="16"/>
              </w:rPr>
              <w:t>紫菜</w:t>
            </w:r>
          </w:p>
        </w:tc>
        <w:tc>
          <w:tcPr>
            <w:tcW w:w="685" w:type="dxa"/>
            <w:tcBorders>
              <w:right w:val="single" w:sz="4" w:space="0" w:color="000000"/>
            </w:tcBorders>
          </w:tcPr>
          <w:p w:rsidR="00EA40A3" w:rsidRDefault="00E86C16">
            <w:pPr>
              <w:spacing w:before="126" w:line="183" w:lineRule="auto"/>
              <w:ind w:left="225"/>
              <w:rPr>
                <w:rFonts w:ascii="宋体" w:eastAsia="宋体" w:hAnsi="宋体" w:cs="宋体"/>
                <w:sz w:val="16"/>
                <w:szCs w:val="16"/>
              </w:rPr>
            </w:pPr>
            <w:r>
              <w:rPr>
                <w:rFonts w:ascii="宋体" w:eastAsia="宋体" w:hAnsi="宋体" w:cs="宋体"/>
                <w:spacing w:val="-2"/>
                <w:sz w:val="16"/>
                <w:szCs w:val="16"/>
              </w:rPr>
              <w:t>264</w:t>
            </w:r>
          </w:p>
        </w:tc>
        <w:tc>
          <w:tcPr>
            <w:tcW w:w="965" w:type="dxa"/>
            <w:tcBorders>
              <w:left w:val="single" w:sz="4" w:space="0" w:color="000000"/>
            </w:tcBorders>
          </w:tcPr>
          <w:p w:rsidR="00EA40A3" w:rsidRDefault="00E86C16">
            <w:pPr>
              <w:spacing w:before="75" w:line="219" w:lineRule="auto"/>
              <w:ind w:left="95"/>
              <w:rPr>
                <w:rFonts w:ascii="宋体" w:eastAsia="宋体" w:hAnsi="宋体" w:cs="宋体"/>
                <w:sz w:val="16"/>
                <w:szCs w:val="16"/>
              </w:rPr>
            </w:pPr>
            <w:r>
              <w:rPr>
                <w:rFonts w:ascii="宋体" w:eastAsia="宋体" w:hAnsi="宋体" w:cs="宋体"/>
                <w:spacing w:val="-3"/>
                <w:sz w:val="16"/>
                <w:szCs w:val="16"/>
              </w:rPr>
              <w:t>油菜</w:t>
            </w:r>
          </w:p>
        </w:tc>
        <w:tc>
          <w:tcPr>
            <w:tcW w:w="765" w:type="dxa"/>
          </w:tcPr>
          <w:p w:rsidR="00EA40A3" w:rsidRDefault="00E86C16">
            <w:pPr>
              <w:spacing w:before="125" w:line="184" w:lineRule="auto"/>
              <w:ind w:left="355"/>
              <w:rPr>
                <w:rFonts w:ascii="宋体" w:eastAsia="宋体" w:hAnsi="宋体" w:cs="宋体"/>
                <w:sz w:val="16"/>
                <w:szCs w:val="16"/>
              </w:rPr>
            </w:pPr>
            <w:r>
              <w:rPr>
                <w:rFonts w:ascii="宋体" w:eastAsia="宋体" w:hAnsi="宋体" w:cs="宋体"/>
                <w:spacing w:val="-5"/>
                <w:sz w:val="16"/>
                <w:szCs w:val="16"/>
              </w:rPr>
              <w:t>108</w:t>
            </w:r>
          </w:p>
        </w:tc>
      </w:tr>
      <w:tr w:rsidR="00EA40A3">
        <w:trPr>
          <w:trHeight w:val="314"/>
        </w:trPr>
        <w:tc>
          <w:tcPr>
            <w:tcW w:w="1034" w:type="dxa"/>
          </w:tcPr>
          <w:p w:rsidR="00EA40A3" w:rsidRDefault="00E86C16">
            <w:pPr>
              <w:spacing w:before="90" w:line="221" w:lineRule="auto"/>
              <w:ind w:left="89"/>
              <w:rPr>
                <w:rFonts w:ascii="宋体" w:eastAsia="宋体" w:hAnsi="宋体" w:cs="宋体"/>
                <w:sz w:val="16"/>
                <w:szCs w:val="16"/>
              </w:rPr>
            </w:pPr>
            <w:r>
              <w:rPr>
                <w:rFonts w:ascii="宋体" w:eastAsia="宋体" w:hAnsi="宋体" w:cs="宋体"/>
                <w:spacing w:val="-2"/>
                <w:sz w:val="16"/>
                <w:szCs w:val="16"/>
              </w:rPr>
              <w:t>银耳</w:t>
            </w:r>
          </w:p>
        </w:tc>
        <w:tc>
          <w:tcPr>
            <w:tcW w:w="685" w:type="dxa"/>
            <w:tcBorders>
              <w:right w:val="single" w:sz="4" w:space="0" w:color="000000"/>
            </w:tcBorders>
          </w:tcPr>
          <w:p w:rsidR="00EA40A3" w:rsidRDefault="00E86C16">
            <w:pPr>
              <w:spacing w:before="130" w:line="183" w:lineRule="auto"/>
              <w:ind w:left="285"/>
              <w:rPr>
                <w:rFonts w:ascii="宋体" w:eastAsia="宋体" w:hAnsi="宋体" w:cs="宋体"/>
                <w:sz w:val="16"/>
                <w:szCs w:val="16"/>
              </w:rPr>
            </w:pPr>
            <w:r>
              <w:rPr>
                <w:rFonts w:ascii="宋体" w:eastAsia="宋体" w:hAnsi="宋体" w:cs="宋体"/>
                <w:spacing w:val="-3"/>
                <w:sz w:val="16"/>
                <w:szCs w:val="16"/>
              </w:rPr>
              <w:t>36</w:t>
            </w:r>
          </w:p>
        </w:tc>
        <w:tc>
          <w:tcPr>
            <w:tcW w:w="965" w:type="dxa"/>
            <w:tcBorders>
              <w:left w:val="single" w:sz="4" w:space="0" w:color="000000"/>
            </w:tcBorders>
          </w:tcPr>
          <w:p w:rsidR="00EA40A3" w:rsidRDefault="00E86C16">
            <w:pPr>
              <w:spacing w:before="81" w:line="221" w:lineRule="auto"/>
              <w:ind w:left="95"/>
              <w:rPr>
                <w:rFonts w:ascii="宋体" w:eastAsia="宋体" w:hAnsi="宋体" w:cs="宋体"/>
                <w:sz w:val="16"/>
                <w:szCs w:val="16"/>
              </w:rPr>
            </w:pPr>
            <w:r>
              <w:rPr>
                <w:rFonts w:ascii="宋体" w:eastAsia="宋体" w:hAnsi="宋体" w:cs="宋体"/>
                <w:spacing w:val="2"/>
                <w:sz w:val="16"/>
                <w:szCs w:val="16"/>
              </w:rPr>
              <w:t>雪里燕</w:t>
            </w:r>
          </w:p>
        </w:tc>
        <w:tc>
          <w:tcPr>
            <w:tcW w:w="765" w:type="dxa"/>
          </w:tcPr>
          <w:p w:rsidR="00EA40A3" w:rsidRDefault="00E86C16">
            <w:pPr>
              <w:spacing w:before="140" w:line="183" w:lineRule="auto"/>
              <w:ind w:left="345"/>
              <w:rPr>
                <w:rFonts w:ascii="宋体" w:eastAsia="宋体" w:hAnsi="宋体" w:cs="宋体"/>
                <w:sz w:val="16"/>
                <w:szCs w:val="16"/>
              </w:rPr>
            </w:pPr>
            <w:r>
              <w:rPr>
                <w:rFonts w:ascii="宋体" w:eastAsia="宋体" w:hAnsi="宋体" w:cs="宋体"/>
                <w:spacing w:val="-2"/>
                <w:sz w:val="16"/>
                <w:szCs w:val="16"/>
              </w:rPr>
              <w:t>230</w:t>
            </w:r>
          </w:p>
        </w:tc>
      </w:tr>
      <w:tr w:rsidR="00EA40A3">
        <w:trPr>
          <w:trHeight w:val="303"/>
        </w:trPr>
        <w:tc>
          <w:tcPr>
            <w:tcW w:w="1034" w:type="dxa"/>
          </w:tcPr>
          <w:p w:rsidR="00EA40A3" w:rsidRDefault="00E86C16">
            <w:pPr>
              <w:spacing w:before="76" w:line="220" w:lineRule="auto"/>
              <w:ind w:left="89"/>
              <w:rPr>
                <w:rFonts w:ascii="宋体" w:eastAsia="宋体" w:hAnsi="宋体" w:cs="宋体"/>
                <w:sz w:val="16"/>
                <w:szCs w:val="16"/>
              </w:rPr>
            </w:pPr>
            <w:r>
              <w:rPr>
                <w:rFonts w:ascii="宋体" w:eastAsia="宋体" w:hAnsi="宋体" w:cs="宋体"/>
                <w:spacing w:val="-2"/>
                <w:sz w:val="16"/>
                <w:szCs w:val="16"/>
              </w:rPr>
              <w:t>木耳</w:t>
            </w:r>
          </w:p>
        </w:tc>
        <w:tc>
          <w:tcPr>
            <w:tcW w:w="685" w:type="dxa"/>
            <w:tcBorders>
              <w:right w:val="single" w:sz="4" w:space="0" w:color="000000"/>
            </w:tcBorders>
          </w:tcPr>
          <w:p w:rsidR="00EA40A3" w:rsidRDefault="00E86C16">
            <w:pPr>
              <w:spacing w:before="126" w:line="183" w:lineRule="auto"/>
              <w:ind w:left="215"/>
              <w:rPr>
                <w:rFonts w:ascii="宋体" w:eastAsia="宋体" w:hAnsi="宋体" w:cs="宋体"/>
                <w:sz w:val="16"/>
                <w:szCs w:val="16"/>
              </w:rPr>
            </w:pPr>
            <w:r>
              <w:rPr>
                <w:rFonts w:ascii="宋体" w:eastAsia="宋体" w:hAnsi="宋体" w:cs="宋体"/>
                <w:spacing w:val="-2"/>
                <w:sz w:val="16"/>
                <w:szCs w:val="16"/>
              </w:rPr>
              <w:t>247</w:t>
            </w:r>
          </w:p>
        </w:tc>
        <w:tc>
          <w:tcPr>
            <w:tcW w:w="965" w:type="dxa"/>
            <w:tcBorders>
              <w:left w:val="single" w:sz="4" w:space="0" w:color="000000"/>
            </w:tcBorders>
          </w:tcPr>
          <w:p w:rsidR="00EA40A3" w:rsidRDefault="00E86C16">
            <w:pPr>
              <w:spacing w:before="85" w:line="219" w:lineRule="auto"/>
              <w:ind w:left="95"/>
              <w:rPr>
                <w:rFonts w:ascii="宋体" w:eastAsia="宋体" w:hAnsi="宋体" w:cs="宋体"/>
                <w:sz w:val="16"/>
                <w:szCs w:val="16"/>
              </w:rPr>
            </w:pPr>
            <w:r>
              <w:rPr>
                <w:rFonts w:ascii="宋体" w:eastAsia="宋体" w:hAnsi="宋体" w:cs="宋体"/>
                <w:spacing w:val="7"/>
                <w:sz w:val="16"/>
                <w:szCs w:val="16"/>
              </w:rPr>
              <w:t>苋菜(红)</w:t>
            </w:r>
          </w:p>
        </w:tc>
        <w:tc>
          <w:tcPr>
            <w:tcW w:w="765" w:type="dxa"/>
          </w:tcPr>
          <w:p w:rsidR="00EA40A3" w:rsidRDefault="00E86C16">
            <w:pPr>
              <w:spacing w:before="135" w:line="184" w:lineRule="auto"/>
              <w:ind w:left="355"/>
              <w:rPr>
                <w:rFonts w:ascii="宋体" w:eastAsia="宋体" w:hAnsi="宋体" w:cs="宋体"/>
                <w:sz w:val="16"/>
                <w:szCs w:val="16"/>
              </w:rPr>
            </w:pPr>
            <w:r>
              <w:rPr>
                <w:rFonts w:ascii="宋体" w:eastAsia="宋体" w:hAnsi="宋体" w:cs="宋体"/>
                <w:spacing w:val="-5"/>
                <w:sz w:val="16"/>
                <w:szCs w:val="16"/>
              </w:rPr>
              <w:t>178</w:t>
            </w:r>
          </w:p>
        </w:tc>
      </w:tr>
      <w:tr w:rsidR="00EA40A3">
        <w:trPr>
          <w:trHeight w:val="315"/>
        </w:trPr>
        <w:tc>
          <w:tcPr>
            <w:tcW w:w="1034" w:type="dxa"/>
          </w:tcPr>
          <w:p w:rsidR="00EA40A3" w:rsidRDefault="00E86C16">
            <w:pPr>
              <w:spacing w:before="93" w:line="220" w:lineRule="auto"/>
              <w:ind w:left="89"/>
              <w:rPr>
                <w:rFonts w:ascii="宋体" w:eastAsia="宋体" w:hAnsi="宋体" w:cs="宋体"/>
                <w:sz w:val="16"/>
                <w:szCs w:val="16"/>
              </w:rPr>
            </w:pPr>
            <w:r>
              <w:rPr>
                <w:rFonts w:ascii="宋体" w:eastAsia="宋体" w:hAnsi="宋体" w:cs="宋体"/>
                <w:spacing w:val="-2"/>
                <w:sz w:val="16"/>
                <w:szCs w:val="16"/>
              </w:rPr>
              <w:t>虾皮</w:t>
            </w:r>
          </w:p>
        </w:tc>
        <w:tc>
          <w:tcPr>
            <w:tcW w:w="685" w:type="dxa"/>
            <w:tcBorders>
              <w:right w:val="single" w:sz="4" w:space="0" w:color="000000"/>
            </w:tcBorders>
          </w:tcPr>
          <w:p w:rsidR="00EA40A3" w:rsidRDefault="00E86C16">
            <w:pPr>
              <w:spacing w:before="142" w:line="184" w:lineRule="auto"/>
              <w:ind w:left="215"/>
              <w:rPr>
                <w:rFonts w:ascii="宋体" w:eastAsia="宋体" w:hAnsi="宋体" w:cs="宋体"/>
                <w:sz w:val="16"/>
                <w:szCs w:val="16"/>
              </w:rPr>
            </w:pPr>
            <w:r>
              <w:rPr>
                <w:rFonts w:ascii="宋体" w:eastAsia="宋体" w:hAnsi="宋体" w:cs="宋体"/>
                <w:spacing w:val="-2"/>
                <w:sz w:val="16"/>
                <w:szCs w:val="16"/>
              </w:rPr>
              <w:t>991</w:t>
            </w:r>
          </w:p>
        </w:tc>
        <w:tc>
          <w:tcPr>
            <w:tcW w:w="965" w:type="dxa"/>
            <w:tcBorders>
              <w:left w:val="single" w:sz="4" w:space="0" w:color="000000"/>
            </w:tcBorders>
          </w:tcPr>
          <w:p w:rsidR="00EA40A3" w:rsidRDefault="00E86C16">
            <w:pPr>
              <w:spacing w:before="72" w:line="219" w:lineRule="auto"/>
              <w:ind w:left="95"/>
              <w:rPr>
                <w:rFonts w:ascii="宋体" w:eastAsia="宋体" w:hAnsi="宋体" w:cs="宋体"/>
                <w:sz w:val="16"/>
                <w:szCs w:val="16"/>
              </w:rPr>
            </w:pPr>
            <w:r>
              <w:rPr>
                <w:rFonts w:ascii="宋体" w:eastAsia="宋体" w:hAnsi="宋体" w:cs="宋体"/>
                <w:spacing w:val="-2"/>
                <w:sz w:val="16"/>
                <w:szCs w:val="16"/>
              </w:rPr>
              <w:t>柠檬</w:t>
            </w:r>
          </w:p>
        </w:tc>
        <w:tc>
          <w:tcPr>
            <w:tcW w:w="765" w:type="dxa"/>
          </w:tcPr>
          <w:p w:rsidR="00EA40A3" w:rsidRDefault="00E86C16">
            <w:pPr>
              <w:spacing w:before="132" w:line="184" w:lineRule="auto"/>
              <w:ind w:left="345"/>
              <w:rPr>
                <w:rFonts w:ascii="宋体" w:eastAsia="宋体" w:hAnsi="宋体" w:cs="宋体"/>
                <w:sz w:val="16"/>
                <w:szCs w:val="16"/>
              </w:rPr>
            </w:pPr>
            <w:r>
              <w:rPr>
                <w:rFonts w:ascii="宋体" w:eastAsia="宋体" w:hAnsi="宋体" w:cs="宋体"/>
                <w:spacing w:val="-5"/>
                <w:sz w:val="16"/>
                <w:szCs w:val="16"/>
              </w:rPr>
              <w:t>101</w:t>
            </w:r>
          </w:p>
        </w:tc>
      </w:tr>
      <w:tr w:rsidR="00EA40A3">
        <w:trPr>
          <w:trHeight w:val="305"/>
        </w:trPr>
        <w:tc>
          <w:tcPr>
            <w:tcW w:w="1034" w:type="dxa"/>
            <w:tcBorders>
              <w:bottom w:val="single" w:sz="4" w:space="0" w:color="000000"/>
            </w:tcBorders>
          </w:tcPr>
          <w:p w:rsidR="00EA40A3" w:rsidRDefault="00E86C16">
            <w:pPr>
              <w:spacing w:before="77" w:line="219" w:lineRule="auto"/>
              <w:ind w:left="89"/>
              <w:rPr>
                <w:rFonts w:ascii="宋体" w:eastAsia="宋体" w:hAnsi="宋体" w:cs="宋体"/>
                <w:sz w:val="16"/>
                <w:szCs w:val="16"/>
              </w:rPr>
            </w:pPr>
            <w:r>
              <w:rPr>
                <w:rFonts w:ascii="宋体" w:eastAsia="宋体" w:hAnsi="宋体" w:cs="宋体"/>
                <w:spacing w:val="7"/>
                <w:sz w:val="16"/>
                <w:szCs w:val="16"/>
              </w:rPr>
              <w:t>蚌肉</w:t>
            </w:r>
          </w:p>
        </w:tc>
        <w:tc>
          <w:tcPr>
            <w:tcW w:w="685" w:type="dxa"/>
            <w:tcBorders>
              <w:bottom w:val="single" w:sz="4" w:space="0" w:color="000000"/>
              <w:right w:val="single" w:sz="4" w:space="0" w:color="000000"/>
            </w:tcBorders>
          </w:tcPr>
          <w:p w:rsidR="00EA40A3" w:rsidRDefault="00E86C16">
            <w:pPr>
              <w:spacing w:before="127" w:line="184" w:lineRule="auto"/>
              <w:ind w:left="235"/>
              <w:rPr>
                <w:rFonts w:ascii="宋体" w:eastAsia="宋体" w:hAnsi="宋体" w:cs="宋体"/>
                <w:sz w:val="16"/>
                <w:szCs w:val="16"/>
              </w:rPr>
            </w:pPr>
            <w:r>
              <w:rPr>
                <w:rFonts w:ascii="宋体" w:eastAsia="宋体" w:hAnsi="宋体" w:cs="宋体"/>
                <w:spacing w:val="-5"/>
                <w:sz w:val="16"/>
                <w:szCs w:val="16"/>
              </w:rPr>
              <w:t>190</w:t>
            </w:r>
          </w:p>
        </w:tc>
        <w:tc>
          <w:tcPr>
            <w:tcW w:w="965" w:type="dxa"/>
            <w:tcBorders>
              <w:left w:val="single" w:sz="4" w:space="0" w:color="000000"/>
              <w:bottom w:val="single" w:sz="4" w:space="0" w:color="000000"/>
            </w:tcBorders>
          </w:tcPr>
          <w:p w:rsidR="00EA40A3" w:rsidRDefault="00E86C16">
            <w:pPr>
              <w:spacing w:before="90" w:line="223" w:lineRule="auto"/>
              <w:ind w:left="95"/>
              <w:rPr>
                <w:rFonts w:ascii="宋体" w:eastAsia="宋体" w:hAnsi="宋体" w:cs="宋体"/>
                <w:sz w:val="16"/>
                <w:szCs w:val="16"/>
              </w:rPr>
            </w:pPr>
            <w:r>
              <w:rPr>
                <w:rFonts w:ascii="宋体" w:eastAsia="宋体" w:hAnsi="宋体" w:cs="宋体"/>
                <w:sz w:val="16"/>
                <w:szCs w:val="16"/>
              </w:rPr>
              <w:t>枣</w:t>
            </w:r>
          </w:p>
        </w:tc>
        <w:tc>
          <w:tcPr>
            <w:tcW w:w="765" w:type="dxa"/>
            <w:tcBorders>
              <w:bottom w:val="single" w:sz="4" w:space="0" w:color="000000"/>
            </w:tcBorders>
          </w:tcPr>
          <w:p w:rsidR="00EA40A3" w:rsidRDefault="00E86C16">
            <w:pPr>
              <w:spacing w:before="138" w:line="183" w:lineRule="auto"/>
              <w:ind w:left="405"/>
              <w:rPr>
                <w:rFonts w:ascii="宋体" w:eastAsia="宋体" w:hAnsi="宋体" w:cs="宋体"/>
                <w:sz w:val="16"/>
                <w:szCs w:val="16"/>
              </w:rPr>
            </w:pPr>
            <w:r>
              <w:rPr>
                <w:rFonts w:ascii="宋体" w:eastAsia="宋体" w:hAnsi="宋体" w:cs="宋体"/>
                <w:spacing w:val="-2"/>
                <w:sz w:val="16"/>
                <w:szCs w:val="16"/>
              </w:rPr>
              <w:t>80</w:t>
            </w:r>
          </w:p>
        </w:tc>
      </w:tr>
    </w:tbl>
    <w:p w:rsidR="00EA40A3" w:rsidRDefault="00E86C16">
      <w:pPr>
        <w:spacing w:before="70" w:line="219" w:lineRule="auto"/>
        <w:ind w:left="330"/>
        <w:rPr>
          <w:rFonts w:ascii="宋体" w:eastAsia="宋体" w:hAnsi="宋体" w:cs="宋体"/>
          <w:sz w:val="15"/>
          <w:szCs w:val="15"/>
        </w:rPr>
      </w:pPr>
      <w:r>
        <w:rPr>
          <w:rFonts w:ascii="宋体" w:eastAsia="宋体" w:hAnsi="宋体" w:cs="宋体"/>
          <w:spacing w:val="-1"/>
          <w:sz w:val="15"/>
          <w:szCs w:val="15"/>
        </w:rPr>
        <w:t>资料来源：中国预防医学科学院营养与食品卫</w:t>
      </w:r>
    </w:p>
    <w:p w:rsidR="00EA40A3" w:rsidRDefault="00E86C16">
      <w:pPr>
        <w:spacing w:before="83" w:line="219" w:lineRule="auto"/>
        <w:ind w:left="330" w:right="102"/>
        <w:rPr>
          <w:rFonts w:ascii="宋体" w:eastAsia="宋体" w:hAnsi="宋体" w:cs="宋体"/>
          <w:sz w:val="19"/>
          <w:szCs w:val="19"/>
        </w:rPr>
      </w:pPr>
      <w:r>
        <w:rPr>
          <w:rFonts w:ascii="宋体" w:eastAsia="宋体" w:hAnsi="宋体" w:cs="宋体"/>
          <w:spacing w:val="-20"/>
          <w:w w:val="98"/>
          <w:sz w:val="19"/>
          <w:szCs w:val="19"/>
        </w:rPr>
        <w:t>生研究所.1991.食物成分表.北京：人民卫生</w:t>
      </w:r>
      <w:r>
        <w:rPr>
          <w:rFonts w:ascii="宋体" w:eastAsia="宋体" w:hAnsi="宋体" w:cs="宋体"/>
          <w:spacing w:val="15"/>
          <w:sz w:val="19"/>
          <w:szCs w:val="19"/>
        </w:rPr>
        <w:t xml:space="preserve"> </w:t>
      </w:r>
      <w:r>
        <w:rPr>
          <w:rFonts w:ascii="宋体" w:eastAsia="宋体" w:hAnsi="宋体" w:cs="宋体"/>
          <w:spacing w:val="-24"/>
          <w:w w:val="98"/>
          <w:sz w:val="19"/>
          <w:szCs w:val="19"/>
        </w:rPr>
        <w:t>出版社</w:t>
      </w:r>
    </w:p>
    <w:p w:rsidR="00EA40A3" w:rsidRDefault="00E86C16">
      <w:pPr>
        <w:spacing w:line="14" w:lineRule="auto"/>
        <w:rPr>
          <w:sz w:val="2"/>
        </w:rPr>
      </w:pPr>
      <w:r>
        <w:rPr>
          <w:sz w:val="2"/>
          <w:szCs w:val="2"/>
        </w:rPr>
        <w:br w:type="column"/>
      </w:r>
    </w:p>
    <w:p w:rsidR="00EA40A3" w:rsidRDefault="00E86C16">
      <w:pPr>
        <w:spacing w:before="37" w:line="221" w:lineRule="auto"/>
        <w:ind w:left="512"/>
        <w:rPr>
          <w:rFonts w:ascii="黑体" w:eastAsia="黑体" w:hAnsi="黑体" w:cs="黑体"/>
          <w:sz w:val="19"/>
          <w:szCs w:val="19"/>
        </w:rPr>
      </w:pPr>
      <w:r>
        <w:rPr>
          <w:rFonts w:ascii="黑体" w:eastAsia="黑体" w:hAnsi="黑体" w:cs="黑体"/>
          <w:b/>
          <w:bCs/>
          <w:spacing w:val="-11"/>
          <w:sz w:val="19"/>
          <w:szCs w:val="19"/>
        </w:rPr>
        <w:t>表4-4</w:t>
      </w:r>
      <w:r>
        <w:rPr>
          <w:rFonts w:ascii="黑体" w:eastAsia="黑体" w:hAnsi="黑体" w:cs="黑体"/>
          <w:spacing w:val="81"/>
          <w:sz w:val="19"/>
          <w:szCs w:val="19"/>
        </w:rPr>
        <w:t xml:space="preserve"> </w:t>
      </w:r>
      <w:r>
        <w:rPr>
          <w:rFonts w:ascii="黑体" w:eastAsia="黑体" w:hAnsi="黑体" w:cs="黑体"/>
          <w:b/>
          <w:bCs/>
          <w:spacing w:val="-11"/>
          <w:sz w:val="19"/>
          <w:szCs w:val="19"/>
        </w:rPr>
        <w:t>常见蔬菜中钙和草酸含量</w:t>
      </w:r>
    </w:p>
    <w:p w:rsidR="00EA40A3" w:rsidRDefault="00E86C16">
      <w:pPr>
        <w:spacing w:before="40" w:line="214" w:lineRule="auto"/>
        <w:ind w:left="1920"/>
        <w:rPr>
          <w:rFonts w:ascii="宋体" w:eastAsia="宋体" w:hAnsi="宋体" w:cs="宋体"/>
          <w:sz w:val="19"/>
          <w:szCs w:val="19"/>
        </w:rPr>
      </w:pPr>
      <w:r>
        <w:rPr>
          <w:rFonts w:ascii="宋体" w:eastAsia="宋体" w:hAnsi="宋体" w:cs="宋体"/>
          <w:spacing w:val="-12"/>
          <w:sz w:val="19"/>
          <w:szCs w:val="19"/>
        </w:rPr>
        <w:t>(单位：mg/100g)</w:t>
      </w:r>
    </w:p>
    <w:p w:rsidR="00EA40A3" w:rsidRDefault="00EA40A3">
      <w:pPr>
        <w:spacing w:line="33" w:lineRule="exact"/>
      </w:pPr>
    </w:p>
    <w:tbl>
      <w:tblPr>
        <w:tblStyle w:val="TableNormal"/>
        <w:tblW w:w="357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95"/>
        <w:gridCol w:w="648"/>
        <w:gridCol w:w="510"/>
        <w:gridCol w:w="1126"/>
      </w:tblGrid>
      <w:tr w:rsidR="00EA40A3">
        <w:trPr>
          <w:trHeight w:val="559"/>
        </w:trPr>
        <w:tc>
          <w:tcPr>
            <w:tcW w:w="1295" w:type="dxa"/>
            <w:tcBorders>
              <w:top w:val="single" w:sz="4" w:space="0" w:color="000000"/>
            </w:tcBorders>
          </w:tcPr>
          <w:p w:rsidR="00EA40A3" w:rsidRDefault="00E86C16">
            <w:pPr>
              <w:spacing w:before="232" w:line="220" w:lineRule="auto"/>
              <w:ind w:left="70"/>
              <w:rPr>
                <w:rFonts w:ascii="宋体" w:eastAsia="宋体" w:hAnsi="宋体" w:cs="宋体"/>
                <w:sz w:val="16"/>
                <w:szCs w:val="16"/>
              </w:rPr>
            </w:pPr>
            <w:r>
              <w:rPr>
                <w:rFonts w:ascii="宋体" w:eastAsia="宋体" w:hAnsi="宋体" w:cs="宋体"/>
                <w:spacing w:val="-2"/>
                <w:sz w:val="16"/>
                <w:szCs w:val="16"/>
              </w:rPr>
              <w:t>食物名称</w:t>
            </w:r>
          </w:p>
        </w:tc>
        <w:tc>
          <w:tcPr>
            <w:tcW w:w="648" w:type="dxa"/>
            <w:tcBorders>
              <w:top w:val="single" w:sz="4" w:space="0" w:color="000000"/>
            </w:tcBorders>
          </w:tcPr>
          <w:p w:rsidR="00EA40A3" w:rsidRDefault="00E86C16">
            <w:pPr>
              <w:spacing w:before="221" w:line="219" w:lineRule="auto"/>
              <w:ind w:left="75"/>
              <w:rPr>
                <w:rFonts w:ascii="宋体" w:eastAsia="宋体" w:hAnsi="宋体" w:cs="宋体"/>
                <w:sz w:val="16"/>
                <w:szCs w:val="16"/>
              </w:rPr>
            </w:pPr>
            <w:r>
              <w:rPr>
                <w:rFonts w:ascii="宋体" w:eastAsia="宋体" w:hAnsi="宋体" w:cs="宋体"/>
                <w:spacing w:val="-2"/>
                <w:sz w:val="16"/>
                <w:szCs w:val="16"/>
              </w:rPr>
              <w:t>含钙量</w:t>
            </w:r>
          </w:p>
        </w:tc>
        <w:tc>
          <w:tcPr>
            <w:tcW w:w="510" w:type="dxa"/>
            <w:tcBorders>
              <w:top w:val="single" w:sz="4" w:space="0" w:color="000000"/>
            </w:tcBorders>
          </w:tcPr>
          <w:p w:rsidR="00EA40A3" w:rsidRDefault="00E86C16">
            <w:pPr>
              <w:spacing w:before="91" w:line="261" w:lineRule="auto"/>
              <w:ind w:left="106" w:right="89"/>
              <w:rPr>
                <w:rFonts w:ascii="宋体" w:eastAsia="宋体" w:hAnsi="宋体" w:cs="宋体"/>
                <w:sz w:val="16"/>
                <w:szCs w:val="16"/>
              </w:rPr>
            </w:pPr>
            <w:r>
              <w:rPr>
                <w:rFonts w:ascii="宋体" w:eastAsia="宋体" w:hAnsi="宋体" w:cs="宋体"/>
                <w:spacing w:val="-4"/>
                <w:sz w:val="16"/>
                <w:szCs w:val="16"/>
              </w:rPr>
              <w:t>含草</w:t>
            </w:r>
            <w:r>
              <w:rPr>
                <w:rFonts w:ascii="宋体" w:eastAsia="宋体" w:hAnsi="宋体" w:cs="宋体"/>
                <w:sz w:val="16"/>
                <w:szCs w:val="16"/>
              </w:rPr>
              <w:t xml:space="preserve"> </w:t>
            </w:r>
            <w:r>
              <w:rPr>
                <w:rFonts w:ascii="宋体" w:eastAsia="宋体" w:hAnsi="宋体" w:cs="宋体"/>
                <w:spacing w:val="-4"/>
                <w:sz w:val="16"/>
                <w:szCs w:val="16"/>
              </w:rPr>
              <w:t>酸量</w:t>
            </w:r>
          </w:p>
        </w:tc>
        <w:tc>
          <w:tcPr>
            <w:tcW w:w="1126" w:type="dxa"/>
            <w:tcBorders>
              <w:top w:val="single" w:sz="4" w:space="0" w:color="000000"/>
            </w:tcBorders>
          </w:tcPr>
          <w:p w:rsidR="00EA40A3" w:rsidRDefault="00E86C16">
            <w:pPr>
              <w:spacing w:before="80" w:line="273" w:lineRule="auto"/>
              <w:ind w:left="207" w:right="47" w:hanging="110"/>
              <w:rPr>
                <w:rFonts w:ascii="宋体" w:eastAsia="宋体" w:hAnsi="宋体" w:cs="宋体"/>
                <w:sz w:val="16"/>
                <w:szCs w:val="16"/>
              </w:rPr>
            </w:pPr>
            <w:r>
              <w:rPr>
                <w:rFonts w:ascii="宋体" w:eastAsia="宋体" w:hAnsi="宋体" w:cs="宋体"/>
                <w:spacing w:val="3"/>
                <w:sz w:val="16"/>
                <w:szCs w:val="16"/>
              </w:rPr>
              <w:t>理论上计算司</w:t>
            </w:r>
            <w:r>
              <w:rPr>
                <w:rFonts w:ascii="宋体" w:eastAsia="宋体" w:hAnsi="宋体" w:cs="宋体"/>
                <w:spacing w:val="2"/>
                <w:sz w:val="16"/>
                <w:szCs w:val="16"/>
              </w:rPr>
              <w:t xml:space="preserve"> </w:t>
            </w:r>
            <w:r>
              <w:rPr>
                <w:rFonts w:ascii="宋体" w:eastAsia="宋体" w:hAnsi="宋体" w:cs="宋体"/>
                <w:spacing w:val="-2"/>
                <w:sz w:val="16"/>
                <w:szCs w:val="16"/>
              </w:rPr>
              <w:t>利用的钙量</w:t>
            </w:r>
          </w:p>
        </w:tc>
      </w:tr>
      <w:tr w:rsidR="00EA40A3">
        <w:trPr>
          <w:trHeight w:val="234"/>
        </w:trPr>
        <w:tc>
          <w:tcPr>
            <w:tcW w:w="1295" w:type="dxa"/>
          </w:tcPr>
          <w:p w:rsidR="00EA40A3" w:rsidRDefault="00E86C16">
            <w:pPr>
              <w:spacing w:before="42" w:line="219" w:lineRule="auto"/>
              <w:ind w:left="70"/>
              <w:rPr>
                <w:rFonts w:ascii="宋体" w:eastAsia="宋体" w:hAnsi="宋体" w:cs="宋体"/>
                <w:sz w:val="16"/>
                <w:szCs w:val="16"/>
              </w:rPr>
            </w:pPr>
            <w:r>
              <w:rPr>
                <w:rFonts w:ascii="宋体" w:eastAsia="宋体" w:hAnsi="宋体" w:cs="宋体"/>
                <w:spacing w:val="-3"/>
                <w:sz w:val="16"/>
                <w:szCs w:val="16"/>
              </w:rPr>
              <w:t>冬苋菜</w:t>
            </w:r>
          </w:p>
        </w:tc>
        <w:tc>
          <w:tcPr>
            <w:tcW w:w="648" w:type="dxa"/>
          </w:tcPr>
          <w:p w:rsidR="00EA40A3" w:rsidRDefault="00E86C16">
            <w:pPr>
              <w:spacing w:before="93" w:line="162" w:lineRule="auto"/>
              <w:ind w:left="194"/>
              <w:rPr>
                <w:rFonts w:ascii="宋体" w:eastAsia="宋体" w:hAnsi="宋体" w:cs="宋体"/>
                <w:sz w:val="16"/>
                <w:szCs w:val="16"/>
              </w:rPr>
            </w:pPr>
            <w:r>
              <w:rPr>
                <w:rFonts w:ascii="宋体" w:eastAsia="宋体" w:hAnsi="宋体" w:cs="宋体"/>
                <w:spacing w:val="-2"/>
                <w:sz w:val="16"/>
                <w:szCs w:val="16"/>
              </w:rPr>
              <w:t>230</w:t>
            </w:r>
          </w:p>
        </w:tc>
        <w:tc>
          <w:tcPr>
            <w:tcW w:w="510" w:type="dxa"/>
          </w:tcPr>
          <w:p w:rsidR="00EA40A3" w:rsidRDefault="00E86C16">
            <w:pPr>
              <w:spacing w:before="93" w:line="162" w:lineRule="auto"/>
              <w:ind w:left="186"/>
              <w:rPr>
                <w:rFonts w:ascii="宋体" w:eastAsia="宋体" w:hAnsi="宋体" w:cs="宋体"/>
                <w:sz w:val="16"/>
                <w:szCs w:val="16"/>
              </w:rPr>
            </w:pPr>
            <w:r>
              <w:rPr>
                <w:rFonts w:ascii="宋体" w:eastAsia="宋体" w:hAnsi="宋体" w:cs="宋体"/>
                <w:spacing w:val="-5"/>
                <w:sz w:val="16"/>
                <w:szCs w:val="16"/>
              </w:rPr>
              <w:t>161</w:t>
            </w:r>
          </w:p>
        </w:tc>
        <w:tc>
          <w:tcPr>
            <w:tcW w:w="1126" w:type="dxa"/>
          </w:tcPr>
          <w:p w:rsidR="00EA40A3" w:rsidRDefault="00E86C16">
            <w:pPr>
              <w:spacing w:before="93" w:line="162" w:lineRule="auto"/>
              <w:ind w:left="486"/>
              <w:rPr>
                <w:rFonts w:ascii="宋体" w:eastAsia="宋体" w:hAnsi="宋体" w:cs="宋体"/>
                <w:sz w:val="16"/>
                <w:szCs w:val="16"/>
              </w:rPr>
            </w:pPr>
            <w:r>
              <w:rPr>
                <w:rFonts w:ascii="宋体" w:eastAsia="宋体" w:hAnsi="宋体" w:cs="宋体"/>
                <w:spacing w:val="-5"/>
                <w:sz w:val="16"/>
                <w:szCs w:val="16"/>
              </w:rPr>
              <w:t>160</w:t>
            </w:r>
          </w:p>
        </w:tc>
      </w:tr>
      <w:tr w:rsidR="00EA40A3">
        <w:trPr>
          <w:trHeight w:val="210"/>
        </w:trPr>
        <w:tc>
          <w:tcPr>
            <w:tcW w:w="1295" w:type="dxa"/>
          </w:tcPr>
          <w:p w:rsidR="00EA40A3" w:rsidRDefault="00E86C16">
            <w:pPr>
              <w:spacing w:before="28" w:line="210" w:lineRule="auto"/>
              <w:ind w:left="70"/>
              <w:rPr>
                <w:rFonts w:ascii="宋体" w:eastAsia="宋体" w:hAnsi="宋体" w:cs="宋体"/>
                <w:sz w:val="16"/>
                <w:szCs w:val="16"/>
              </w:rPr>
            </w:pPr>
            <w:r>
              <w:rPr>
                <w:rFonts w:ascii="宋体" w:eastAsia="宋体" w:hAnsi="宋体" w:cs="宋体"/>
                <w:spacing w:val="-2"/>
                <w:sz w:val="16"/>
                <w:szCs w:val="16"/>
              </w:rPr>
              <w:t>芫荽</w:t>
            </w:r>
          </w:p>
        </w:tc>
        <w:tc>
          <w:tcPr>
            <w:tcW w:w="648" w:type="dxa"/>
          </w:tcPr>
          <w:p w:rsidR="00EA40A3" w:rsidRDefault="00E86C16">
            <w:pPr>
              <w:spacing w:before="69" w:line="162" w:lineRule="auto"/>
              <w:ind w:left="194"/>
              <w:rPr>
                <w:rFonts w:ascii="宋体" w:eastAsia="宋体" w:hAnsi="宋体" w:cs="宋体"/>
                <w:sz w:val="16"/>
                <w:szCs w:val="16"/>
              </w:rPr>
            </w:pPr>
            <w:r>
              <w:rPr>
                <w:rFonts w:ascii="宋体" w:eastAsia="宋体" w:hAnsi="宋体" w:cs="宋体"/>
                <w:spacing w:val="-2"/>
                <w:sz w:val="16"/>
                <w:szCs w:val="16"/>
              </w:rPr>
              <w:t>252</w:t>
            </w:r>
          </w:p>
        </w:tc>
        <w:tc>
          <w:tcPr>
            <w:tcW w:w="510" w:type="dxa"/>
          </w:tcPr>
          <w:p w:rsidR="00EA40A3" w:rsidRDefault="00E86C16">
            <w:pPr>
              <w:spacing w:before="68" w:line="163" w:lineRule="auto"/>
              <w:ind w:left="186"/>
              <w:rPr>
                <w:rFonts w:ascii="宋体" w:eastAsia="宋体" w:hAnsi="宋体" w:cs="宋体"/>
                <w:sz w:val="16"/>
                <w:szCs w:val="16"/>
              </w:rPr>
            </w:pPr>
            <w:r>
              <w:rPr>
                <w:rFonts w:ascii="宋体" w:eastAsia="宋体" w:hAnsi="宋体" w:cs="宋体"/>
                <w:spacing w:val="-2"/>
                <w:sz w:val="16"/>
                <w:szCs w:val="16"/>
              </w:rPr>
              <w:t>231</w:t>
            </w:r>
          </w:p>
        </w:tc>
        <w:tc>
          <w:tcPr>
            <w:tcW w:w="1126" w:type="dxa"/>
          </w:tcPr>
          <w:p w:rsidR="00EA40A3" w:rsidRDefault="00E86C16">
            <w:pPr>
              <w:spacing w:before="38" w:line="184" w:lineRule="auto"/>
              <w:ind w:left="486"/>
              <w:rPr>
                <w:rFonts w:ascii="宋体" w:eastAsia="宋体" w:hAnsi="宋体" w:cs="宋体"/>
                <w:sz w:val="16"/>
                <w:szCs w:val="16"/>
              </w:rPr>
            </w:pPr>
            <w:r>
              <w:rPr>
                <w:rFonts w:ascii="宋体" w:eastAsia="宋体" w:hAnsi="宋体" w:cs="宋体"/>
                <w:spacing w:val="-5"/>
                <w:sz w:val="16"/>
                <w:szCs w:val="16"/>
              </w:rPr>
              <w:t>150</w:t>
            </w:r>
          </w:p>
        </w:tc>
      </w:tr>
      <w:tr w:rsidR="00EA40A3">
        <w:trPr>
          <w:trHeight w:val="209"/>
        </w:trPr>
        <w:tc>
          <w:tcPr>
            <w:tcW w:w="1295" w:type="dxa"/>
          </w:tcPr>
          <w:p w:rsidR="00EA40A3" w:rsidRDefault="00E86C16">
            <w:pPr>
              <w:spacing w:before="27" w:line="209" w:lineRule="auto"/>
              <w:ind w:left="70"/>
              <w:rPr>
                <w:rFonts w:ascii="宋体" w:eastAsia="宋体" w:hAnsi="宋体" w:cs="宋体"/>
                <w:sz w:val="16"/>
                <w:szCs w:val="16"/>
              </w:rPr>
            </w:pPr>
            <w:r>
              <w:rPr>
                <w:rFonts w:ascii="宋体" w:eastAsia="宋体" w:hAnsi="宋体" w:cs="宋体"/>
                <w:spacing w:val="-2"/>
                <w:sz w:val="16"/>
                <w:szCs w:val="16"/>
              </w:rPr>
              <w:t>红萝卜缨</w:t>
            </w:r>
          </w:p>
        </w:tc>
        <w:tc>
          <w:tcPr>
            <w:tcW w:w="648" w:type="dxa"/>
          </w:tcPr>
          <w:p w:rsidR="00EA40A3" w:rsidRDefault="00E86C16">
            <w:pPr>
              <w:spacing w:before="69" w:line="161" w:lineRule="auto"/>
              <w:ind w:left="194"/>
              <w:rPr>
                <w:rFonts w:ascii="宋体" w:eastAsia="宋体" w:hAnsi="宋体" w:cs="宋体"/>
                <w:sz w:val="16"/>
                <w:szCs w:val="16"/>
              </w:rPr>
            </w:pPr>
            <w:r>
              <w:rPr>
                <w:rFonts w:ascii="宋体" w:eastAsia="宋体" w:hAnsi="宋体" w:cs="宋体"/>
                <w:spacing w:val="-5"/>
                <w:sz w:val="16"/>
                <w:szCs w:val="16"/>
              </w:rPr>
              <w:t>163</w:t>
            </w:r>
          </w:p>
        </w:tc>
        <w:tc>
          <w:tcPr>
            <w:tcW w:w="510" w:type="dxa"/>
          </w:tcPr>
          <w:p w:rsidR="00EA40A3" w:rsidRDefault="00E86C16">
            <w:pPr>
              <w:spacing w:before="60" w:line="171" w:lineRule="auto"/>
              <w:ind w:left="267"/>
              <w:rPr>
                <w:rFonts w:ascii="宋体" w:eastAsia="宋体" w:hAnsi="宋体" w:cs="宋体"/>
                <w:sz w:val="16"/>
                <w:szCs w:val="16"/>
              </w:rPr>
            </w:pPr>
            <w:r>
              <w:rPr>
                <w:rFonts w:ascii="宋体" w:eastAsia="宋体" w:hAnsi="宋体" w:cs="宋体"/>
                <w:spacing w:val="-3"/>
                <w:sz w:val="16"/>
                <w:szCs w:val="16"/>
              </w:rPr>
              <w:t>75</w:t>
            </w:r>
          </w:p>
        </w:tc>
        <w:tc>
          <w:tcPr>
            <w:tcW w:w="1126" w:type="dxa"/>
          </w:tcPr>
          <w:p w:rsidR="00EA40A3" w:rsidRDefault="00E86C16">
            <w:pPr>
              <w:spacing w:before="48" w:line="184" w:lineRule="auto"/>
              <w:ind w:left="486"/>
              <w:rPr>
                <w:rFonts w:ascii="宋体" w:eastAsia="宋体" w:hAnsi="宋体" w:cs="宋体"/>
                <w:sz w:val="16"/>
                <w:szCs w:val="16"/>
              </w:rPr>
            </w:pPr>
            <w:r>
              <w:rPr>
                <w:rFonts w:ascii="宋体" w:eastAsia="宋体" w:hAnsi="宋体" w:cs="宋体"/>
                <w:spacing w:val="-5"/>
                <w:sz w:val="16"/>
                <w:szCs w:val="16"/>
              </w:rPr>
              <w:t>130</w:t>
            </w:r>
          </w:p>
        </w:tc>
      </w:tr>
      <w:tr w:rsidR="00EA40A3">
        <w:trPr>
          <w:trHeight w:val="205"/>
        </w:trPr>
        <w:tc>
          <w:tcPr>
            <w:tcW w:w="1295" w:type="dxa"/>
          </w:tcPr>
          <w:p w:rsidR="00EA40A3" w:rsidRDefault="00E86C16">
            <w:pPr>
              <w:spacing w:before="29" w:line="203" w:lineRule="auto"/>
              <w:ind w:left="100"/>
              <w:rPr>
                <w:rFonts w:ascii="宋体" w:eastAsia="宋体" w:hAnsi="宋体" w:cs="宋体"/>
                <w:sz w:val="16"/>
                <w:szCs w:val="16"/>
              </w:rPr>
            </w:pPr>
            <w:r>
              <w:rPr>
                <w:rFonts w:ascii="宋体" w:eastAsia="宋体" w:hAnsi="宋体" w:cs="宋体"/>
                <w:spacing w:val="4"/>
                <w:sz w:val="16"/>
                <w:szCs w:val="16"/>
              </w:rPr>
              <w:t>圆白菜(未卷心)</w:t>
            </w:r>
          </w:p>
        </w:tc>
        <w:tc>
          <w:tcPr>
            <w:tcW w:w="648" w:type="dxa"/>
          </w:tcPr>
          <w:p w:rsidR="00EA40A3" w:rsidRDefault="00E86C16">
            <w:pPr>
              <w:spacing w:before="60" w:line="167" w:lineRule="auto"/>
              <w:ind w:left="194"/>
              <w:rPr>
                <w:rFonts w:ascii="宋体" w:eastAsia="宋体" w:hAnsi="宋体" w:cs="宋体"/>
                <w:sz w:val="16"/>
                <w:szCs w:val="16"/>
              </w:rPr>
            </w:pPr>
            <w:r>
              <w:rPr>
                <w:rFonts w:ascii="宋体" w:eastAsia="宋体" w:hAnsi="宋体" w:cs="宋体"/>
                <w:spacing w:val="-5"/>
                <w:sz w:val="16"/>
                <w:szCs w:val="16"/>
              </w:rPr>
              <w:t>123</w:t>
            </w:r>
          </w:p>
        </w:tc>
        <w:tc>
          <w:tcPr>
            <w:tcW w:w="510" w:type="dxa"/>
          </w:tcPr>
          <w:p w:rsidR="00EA40A3" w:rsidRDefault="00E86C16">
            <w:pPr>
              <w:spacing w:before="50" w:line="178" w:lineRule="auto"/>
              <w:ind w:left="267"/>
              <w:rPr>
                <w:rFonts w:ascii="宋体" w:eastAsia="宋体" w:hAnsi="宋体" w:cs="宋体"/>
                <w:sz w:val="16"/>
                <w:szCs w:val="16"/>
              </w:rPr>
            </w:pPr>
            <w:r>
              <w:rPr>
                <w:rFonts w:ascii="宋体" w:eastAsia="宋体" w:hAnsi="宋体" w:cs="宋体"/>
                <w:spacing w:val="-3"/>
                <w:sz w:val="16"/>
                <w:szCs w:val="16"/>
              </w:rPr>
              <w:t>22</w:t>
            </w:r>
          </w:p>
        </w:tc>
        <w:tc>
          <w:tcPr>
            <w:tcW w:w="1126" w:type="dxa"/>
          </w:tcPr>
          <w:p w:rsidR="00EA40A3" w:rsidRDefault="00E86C16">
            <w:pPr>
              <w:spacing w:before="49" w:line="179" w:lineRule="auto"/>
              <w:ind w:left="486"/>
              <w:rPr>
                <w:rFonts w:ascii="宋体" w:eastAsia="宋体" w:hAnsi="宋体" w:cs="宋体"/>
                <w:sz w:val="16"/>
                <w:szCs w:val="16"/>
              </w:rPr>
            </w:pPr>
            <w:r>
              <w:rPr>
                <w:rFonts w:ascii="宋体" w:eastAsia="宋体" w:hAnsi="宋体" w:cs="宋体"/>
                <w:spacing w:val="-5"/>
                <w:sz w:val="16"/>
                <w:szCs w:val="16"/>
              </w:rPr>
              <w:t>114</w:t>
            </w:r>
          </w:p>
        </w:tc>
      </w:tr>
      <w:tr w:rsidR="00EA40A3">
        <w:trPr>
          <w:trHeight w:val="200"/>
        </w:trPr>
        <w:tc>
          <w:tcPr>
            <w:tcW w:w="1295" w:type="dxa"/>
          </w:tcPr>
          <w:p w:rsidR="00EA40A3" w:rsidRDefault="00E86C16">
            <w:pPr>
              <w:spacing w:before="24" w:line="202" w:lineRule="auto"/>
              <w:ind w:left="70"/>
              <w:rPr>
                <w:rFonts w:ascii="宋体" w:eastAsia="宋体" w:hAnsi="宋体" w:cs="宋体"/>
                <w:sz w:val="16"/>
                <w:szCs w:val="16"/>
              </w:rPr>
            </w:pPr>
            <w:r>
              <w:rPr>
                <w:rFonts w:ascii="宋体" w:eastAsia="宋体" w:hAnsi="宋体" w:cs="宋体"/>
                <w:spacing w:val="6"/>
                <w:sz w:val="16"/>
                <w:szCs w:val="16"/>
              </w:rPr>
              <w:t>乌鸡白</w:t>
            </w:r>
          </w:p>
        </w:tc>
        <w:tc>
          <w:tcPr>
            <w:tcW w:w="648" w:type="dxa"/>
          </w:tcPr>
          <w:p w:rsidR="00EA40A3" w:rsidRDefault="00E86C16">
            <w:pPr>
              <w:spacing w:before="65" w:line="135" w:lineRule="exact"/>
              <w:ind w:left="194"/>
              <w:rPr>
                <w:rFonts w:ascii="宋体" w:eastAsia="宋体" w:hAnsi="宋体" w:cs="宋体"/>
                <w:sz w:val="16"/>
                <w:szCs w:val="16"/>
              </w:rPr>
            </w:pPr>
            <w:r>
              <w:rPr>
                <w:rFonts w:ascii="宋体" w:eastAsia="宋体" w:hAnsi="宋体" w:cs="宋体"/>
                <w:spacing w:val="-5"/>
                <w:position w:val="-2"/>
                <w:sz w:val="16"/>
                <w:szCs w:val="16"/>
              </w:rPr>
              <w:t>137</w:t>
            </w:r>
          </w:p>
        </w:tc>
        <w:tc>
          <w:tcPr>
            <w:tcW w:w="510" w:type="dxa"/>
          </w:tcPr>
          <w:p w:rsidR="00EA40A3" w:rsidRDefault="00E86C16">
            <w:pPr>
              <w:spacing w:before="45" w:line="178" w:lineRule="auto"/>
              <w:ind w:left="267"/>
              <w:rPr>
                <w:rFonts w:ascii="宋体" w:eastAsia="宋体" w:hAnsi="宋体" w:cs="宋体"/>
                <w:sz w:val="16"/>
                <w:szCs w:val="16"/>
              </w:rPr>
            </w:pPr>
            <w:r>
              <w:rPr>
                <w:rFonts w:ascii="宋体" w:eastAsia="宋体" w:hAnsi="宋体" w:cs="宋体"/>
                <w:spacing w:val="-3"/>
                <w:sz w:val="16"/>
                <w:szCs w:val="16"/>
              </w:rPr>
              <w:t>76</w:t>
            </w:r>
          </w:p>
        </w:tc>
        <w:tc>
          <w:tcPr>
            <w:tcW w:w="1126" w:type="dxa"/>
          </w:tcPr>
          <w:p w:rsidR="00EA40A3" w:rsidRDefault="00E86C16">
            <w:pPr>
              <w:spacing w:before="55" w:line="167" w:lineRule="auto"/>
              <w:ind w:left="486"/>
              <w:rPr>
                <w:rFonts w:ascii="宋体" w:eastAsia="宋体" w:hAnsi="宋体" w:cs="宋体"/>
                <w:sz w:val="16"/>
                <w:szCs w:val="16"/>
              </w:rPr>
            </w:pPr>
            <w:r>
              <w:rPr>
                <w:rFonts w:ascii="宋体" w:eastAsia="宋体" w:hAnsi="宋体" w:cs="宋体"/>
                <w:spacing w:val="-5"/>
                <w:sz w:val="16"/>
                <w:szCs w:val="16"/>
              </w:rPr>
              <w:t>104</w:t>
            </w:r>
          </w:p>
        </w:tc>
      </w:tr>
      <w:tr w:rsidR="00EA40A3">
        <w:trPr>
          <w:trHeight w:val="214"/>
        </w:trPr>
        <w:tc>
          <w:tcPr>
            <w:tcW w:w="1295" w:type="dxa"/>
          </w:tcPr>
          <w:p w:rsidR="00EA40A3" w:rsidRDefault="00E86C16">
            <w:pPr>
              <w:spacing w:before="24" w:line="219" w:lineRule="auto"/>
              <w:ind w:left="70"/>
              <w:rPr>
                <w:rFonts w:ascii="宋体" w:eastAsia="宋体" w:hAnsi="宋体" w:cs="宋体"/>
                <w:sz w:val="16"/>
                <w:szCs w:val="16"/>
              </w:rPr>
            </w:pPr>
            <w:r>
              <w:rPr>
                <w:rFonts w:ascii="宋体" w:eastAsia="宋体" w:hAnsi="宋体" w:cs="宋体"/>
                <w:spacing w:val="-3"/>
                <w:sz w:val="16"/>
                <w:szCs w:val="16"/>
              </w:rPr>
              <w:t>小白菜</w:t>
            </w:r>
          </w:p>
        </w:tc>
        <w:tc>
          <w:tcPr>
            <w:tcW w:w="648" w:type="dxa"/>
          </w:tcPr>
          <w:p w:rsidR="00EA40A3" w:rsidRDefault="00E86C16">
            <w:pPr>
              <w:spacing w:before="75" w:line="160" w:lineRule="auto"/>
              <w:ind w:left="194"/>
              <w:rPr>
                <w:rFonts w:ascii="宋体" w:eastAsia="宋体" w:hAnsi="宋体" w:cs="宋体"/>
                <w:sz w:val="16"/>
                <w:szCs w:val="16"/>
              </w:rPr>
            </w:pPr>
            <w:r>
              <w:rPr>
                <w:rFonts w:ascii="宋体" w:eastAsia="宋体" w:hAnsi="宋体" w:cs="宋体"/>
                <w:spacing w:val="-5"/>
                <w:sz w:val="16"/>
                <w:szCs w:val="16"/>
              </w:rPr>
              <w:t>159</w:t>
            </w:r>
          </w:p>
        </w:tc>
        <w:tc>
          <w:tcPr>
            <w:tcW w:w="510" w:type="dxa"/>
          </w:tcPr>
          <w:p w:rsidR="00EA40A3" w:rsidRDefault="00E86C16">
            <w:pPr>
              <w:spacing w:before="64" w:line="172" w:lineRule="auto"/>
              <w:ind w:left="186"/>
              <w:rPr>
                <w:rFonts w:ascii="宋体" w:eastAsia="宋体" w:hAnsi="宋体" w:cs="宋体"/>
                <w:sz w:val="16"/>
                <w:szCs w:val="16"/>
              </w:rPr>
            </w:pPr>
            <w:r>
              <w:rPr>
                <w:rFonts w:ascii="宋体" w:eastAsia="宋体" w:hAnsi="宋体" w:cs="宋体"/>
                <w:spacing w:val="-5"/>
                <w:sz w:val="16"/>
                <w:szCs w:val="16"/>
              </w:rPr>
              <w:t>133</w:t>
            </w:r>
          </w:p>
        </w:tc>
        <w:tc>
          <w:tcPr>
            <w:tcW w:w="1126" w:type="dxa"/>
          </w:tcPr>
          <w:p w:rsidR="00EA40A3" w:rsidRDefault="00E86C16">
            <w:pPr>
              <w:spacing w:before="55" w:line="183" w:lineRule="auto"/>
              <w:ind w:left="486"/>
              <w:rPr>
                <w:rFonts w:ascii="宋体" w:eastAsia="宋体" w:hAnsi="宋体" w:cs="宋体"/>
                <w:sz w:val="16"/>
                <w:szCs w:val="16"/>
              </w:rPr>
            </w:pPr>
            <w:r>
              <w:rPr>
                <w:rFonts w:ascii="宋体" w:eastAsia="宋体" w:hAnsi="宋体" w:cs="宋体"/>
                <w:spacing w:val="-5"/>
                <w:sz w:val="16"/>
                <w:szCs w:val="16"/>
              </w:rPr>
              <w:t>100</w:t>
            </w:r>
          </w:p>
        </w:tc>
      </w:tr>
      <w:tr w:rsidR="00EA40A3">
        <w:trPr>
          <w:trHeight w:val="205"/>
        </w:trPr>
        <w:tc>
          <w:tcPr>
            <w:tcW w:w="1295" w:type="dxa"/>
          </w:tcPr>
          <w:p w:rsidR="00EA40A3" w:rsidRDefault="00E86C16">
            <w:pPr>
              <w:spacing w:before="30" w:line="201" w:lineRule="auto"/>
              <w:ind w:left="70"/>
              <w:rPr>
                <w:rFonts w:ascii="宋体" w:eastAsia="宋体" w:hAnsi="宋体" w:cs="宋体"/>
                <w:sz w:val="16"/>
                <w:szCs w:val="16"/>
              </w:rPr>
            </w:pPr>
            <w:r>
              <w:rPr>
                <w:rFonts w:ascii="宋体" w:eastAsia="宋体" w:hAnsi="宋体" w:cs="宋体"/>
                <w:spacing w:val="3"/>
                <w:sz w:val="16"/>
                <w:szCs w:val="16"/>
              </w:rPr>
              <w:t>马铃薯</w:t>
            </w:r>
          </w:p>
        </w:tc>
        <w:tc>
          <w:tcPr>
            <w:tcW w:w="648" w:type="dxa"/>
          </w:tcPr>
          <w:p w:rsidR="00EA40A3" w:rsidRDefault="00E86C16">
            <w:pPr>
              <w:spacing w:before="71" w:line="133" w:lineRule="exact"/>
              <w:ind w:left="194"/>
              <w:rPr>
                <w:rFonts w:ascii="宋体" w:eastAsia="宋体" w:hAnsi="宋体" w:cs="宋体"/>
                <w:sz w:val="16"/>
                <w:szCs w:val="16"/>
              </w:rPr>
            </w:pPr>
            <w:r>
              <w:rPr>
                <w:rFonts w:ascii="宋体" w:eastAsia="宋体" w:hAnsi="宋体" w:cs="宋体"/>
                <w:spacing w:val="-5"/>
                <w:position w:val="-2"/>
                <w:sz w:val="16"/>
                <w:szCs w:val="16"/>
              </w:rPr>
              <w:t>149</w:t>
            </w:r>
          </w:p>
        </w:tc>
        <w:tc>
          <w:tcPr>
            <w:tcW w:w="510" w:type="dxa"/>
          </w:tcPr>
          <w:p w:rsidR="00EA40A3" w:rsidRDefault="00E86C16">
            <w:pPr>
              <w:spacing w:before="51" w:line="177" w:lineRule="auto"/>
              <w:ind w:left="267"/>
              <w:rPr>
                <w:rFonts w:ascii="宋体" w:eastAsia="宋体" w:hAnsi="宋体" w:cs="宋体"/>
                <w:sz w:val="16"/>
                <w:szCs w:val="16"/>
              </w:rPr>
            </w:pPr>
            <w:r>
              <w:rPr>
                <w:rFonts w:ascii="宋体" w:eastAsia="宋体" w:hAnsi="宋体" w:cs="宋体"/>
                <w:spacing w:val="-2"/>
                <w:sz w:val="16"/>
                <w:szCs w:val="16"/>
              </w:rPr>
              <w:t>99</w:t>
            </w:r>
          </w:p>
        </w:tc>
        <w:tc>
          <w:tcPr>
            <w:tcW w:w="1126" w:type="dxa"/>
          </w:tcPr>
          <w:p w:rsidR="00EA40A3" w:rsidRDefault="00E86C16">
            <w:pPr>
              <w:spacing w:before="51" w:line="177" w:lineRule="auto"/>
              <w:ind w:left="566"/>
              <w:rPr>
                <w:rFonts w:ascii="宋体" w:eastAsia="宋体" w:hAnsi="宋体" w:cs="宋体"/>
                <w:sz w:val="16"/>
                <w:szCs w:val="16"/>
              </w:rPr>
            </w:pPr>
            <w:r>
              <w:rPr>
                <w:rFonts w:ascii="宋体" w:eastAsia="宋体" w:hAnsi="宋体" w:cs="宋体"/>
                <w:spacing w:val="-2"/>
                <w:sz w:val="16"/>
                <w:szCs w:val="16"/>
              </w:rPr>
              <w:t>99</w:t>
            </w:r>
          </w:p>
        </w:tc>
      </w:tr>
      <w:tr w:rsidR="00EA40A3">
        <w:trPr>
          <w:trHeight w:val="205"/>
        </w:trPr>
        <w:tc>
          <w:tcPr>
            <w:tcW w:w="1295" w:type="dxa"/>
          </w:tcPr>
          <w:p w:rsidR="00EA40A3" w:rsidRDefault="00E86C16">
            <w:pPr>
              <w:spacing w:before="24" w:line="208" w:lineRule="auto"/>
              <w:ind w:left="70"/>
              <w:rPr>
                <w:rFonts w:ascii="宋体" w:eastAsia="宋体" w:hAnsi="宋体" w:cs="宋体"/>
                <w:sz w:val="16"/>
                <w:szCs w:val="16"/>
              </w:rPr>
            </w:pPr>
            <w:r>
              <w:rPr>
                <w:rFonts w:ascii="宋体" w:eastAsia="宋体" w:hAnsi="宋体" w:cs="宋体"/>
                <w:spacing w:val="-2"/>
                <w:sz w:val="16"/>
                <w:szCs w:val="16"/>
              </w:rPr>
              <w:t>青菜</w:t>
            </w:r>
          </w:p>
        </w:tc>
        <w:tc>
          <w:tcPr>
            <w:tcW w:w="648" w:type="dxa"/>
          </w:tcPr>
          <w:p w:rsidR="00EA40A3" w:rsidRDefault="00E86C16">
            <w:pPr>
              <w:spacing w:before="66" w:line="160" w:lineRule="auto"/>
              <w:ind w:left="194"/>
              <w:rPr>
                <w:rFonts w:ascii="宋体" w:eastAsia="宋体" w:hAnsi="宋体" w:cs="宋体"/>
                <w:sz w:val="16"/>
                <w:szCs w:val="16"/>
              </w:rPr>
            </w:pPr>
            <w:r>
              <w:rPr>
                <w:rFonts w:ascii="宋体" w:eastAsia="宋体" w:hAnsi="宋体" w:cs="宋体"/>
                <w:spacing w:val="-5"/>
                <w:sz w:val="16"/>
                <w:szCs w:val="16"/>
              </w:rPr>
              <w:t>149</w:t>
            </w:r>
          </w:p>
        </w:tc>
        <w:tc>
          <w:tcPr>
            <w:tcW w:w="510" w:type="dxa"/>
          </w:tcPr>
          <w:p w:rsidR="00EA40A3" w:rsidRDefault="00E86C16">
            <w:pPr>
              <w:spacing w:before="66" w:line="160" w:lineRule="auto"/>
              <w:ind w:left="186"/>
              <w:rPr>
                <w:rFonts w:ascii="宋体" w:eastAsia="宋体" w:hAnsi="宋体" w:cs="宋体"/>
                <w:sz w:val="16"/>
                <w:szCs w:val="16"/>
              </w:rPr>
            </w:pPr>
            <w:r>
              <w:rPr>
                <w:rFonts w:ascii="宋体" w:eastAsia="宋体" w:hAnsi="宋体" w:cs="宋体"/>
                <w:spacing w:val="-5"/>
                <w:sz w:val="16"/>
                <w:szCs w:val="16"/>
              </w:rPr>
              <w:t>109</w:t>
            </w:r>
          </w:p>
        </w:tc>
        <w:tc>
          <w:tcPr>
            <w:tcW w:w="1126" w:type="dxa"/>
          </w:tcPr>
          <w:p w:rsidR="00EA40A3" w:rsidRDefault="00E86C16">
            <w:pPr>
              <w:spacing w:before="56" w:line="171" w:lineRule="auto"/>
              <w:ind w:left="566"/>
              <w:rPr>
                <w:rFonts w:ascii="宋体" w:eastAsia="宋体" w:hAnsi="宋体" w:cs="宋体"/>
                <w:sz w:val="16"/>
                <w:szCs w:val="16"/>
              </w:rPr>
            </w:pPr>
            <w:r>
              <w:rPr>
                <w:rFonts w:ascii="宋体" w:eastAsia="宋体" w:hAnsi="宋体" w:cs="宋体"/>
                <w:spacing w:val="-2"/>
                <w:sz w:val="16"/>
                <w:szCs w:val="16"/>
              </w:rPr>
              <w:t>86</w:t>
            </w:r>
          </w:p>
        </w:tc>
      </w:tr>
      <w:tr w:rsidR="00EA40A3">
        <w:trPr>
          <w:trHeight w:val="210"/>
        </w:trPr>
        <w:tc>
          <w:tcPr>
            <w:tcW w:w="1295" w:type="dxa"/>
          </w:tcPr>
          <w:p w:rsidR="00EA40A3" w:rsidRDefault="00E86C16">
            <w:pPr>
              <w:spacing w:before="29" w:line="208" w:lineRule="auto"/>
              <w:ind w:left="70"/>
              <w:rPr>
                <w:rFonts w:ascii="宋体" w:eastAsia="宋体" w:hAnsi="宋体" w:cs="宋体"/>
                <w:sz w:val="16"/>
                <w:szCs w:val="16"/>
              </w:rPr>
            </w:pPr>
            <w:r>
              <w:rPr>
                <w:rFonts w:ascii="宋体" w:eastAsia="宋体" w:hAnsi="宋体" w:cs="宋体"/>
                <w:spacing w:val="-3"/>
                <w:sz w:val="16"/>
                <w:szCs w:val="16"/>
              </w:rPr>
              <w:t>芹菜</w:t>
            </w:r>
          </w:p>
        </w:tc>
        <w:tc>
          <w:tcPr>
            <w:tcW w:w="648" w:type="dxa"/>
          </w:tcPr>
          <w:p w:rsidR="00EA40A3" w:rsidRDefault="00E86C16">
            <w:pPr>
              <w:spacing w:before="60" w:line="172" w:lineRule="auto"/>
              <w:ind w:left="194"/>
              <w:rPr>
                <w:rFonts w:ascii="宋体" w:eastAsia="宋体" w:hAnsi="宋体" w:cs="宋体"/>
                <w:sz w:val="16"/>
                <w:szCs w:val="16"/>
              </w:rPr>
            </w:pPr>
            <w:r>
              <w:rPr>
                <w:rFonts w:ascii="宋体" w:eastAsia="宋体" w:hAnsi="宋体" w:cs="宋体"/>
                <w:spacing w:val="-5"/>
                <w:sz w:val="16"/>
                <w:szCs w:val="16"/>
              </w:rPr>
              <w:t>191</w:t>
            </w:r>
          </w:p>
        </w:tc>
        <w:tc>
          <w:tcPr>
            <w:tcW w:w="510" w:type="dxa"/>
          </w:tcPr>
          <w:p w:rsidR="00EA40A3" w:rsidRDefault="00E86C16">
            <w:pPr>
              <w:spacing w:before="60" w:line="172" w:lineRule="auto"/>
              <w:ind w:left="186"/>
              <w:rPr>
                <w:rFonts w:ascii="宋体" w:eastAsia="宋体" w:hAnsi="宋体" w:cs="宋体"/>
                <w:sz w:val="16"/>
                <w:szCs w:val="16"/>
              </w:rPr>
            </w:pPr>
            <w:r>
              <w:rPr>
                <w:rFonts w:ascii="宋体" w:eastAsia="宋体" w:hAnsi="宋体" w:cs="宋体"/>
                <w:spacing w:val="-2"/>
                <w:sz w:val="16"/>
                <w:szCs w:val="16"/>
              </w:rPr>
              <w:t>231</w:t>
            </w:r>
          </w:p>
        </w:tc>
        <w:tc>
          <w:tcPr>
            <w:tcW w:w="1126" w:type="dxa"/>
          </w:tcPr>
          <w:p w:rsidR="00EA40A3" w:rsidRDefault="00E86C16">
            <w:pPr>
              <w:spacing w:before="61" w:line="171" w:lineRule="auto"/>
              <w:ind w:left="566"/>
              <w:rPr>
                <w:rFonts w:ascii="宋体" w:eastAsia="宋体" w:hAnsi="宋体" w:cs="宋体"/>
                <w:sz w:val="16"/>
                <w:szCs w:val="16"/>
              </w:rPr>
            </w:pPr>
            <w:r>
              <w:rPr>
                <w:rFonts w:ascii="宋体" w:eastAsia="宋体" w:hAnsi="宋体" w:cs="宋体"/>
                <w:spacing w:val="-3"/>
                <w:sz w:val="16"/>
                <w:szCs w:val="16"/>
              </w:rPr>
              <w:t>79</w:t>
            </w:r>
          </w:p>
        </w:tc>
      </w:tr>
      <w:tr w:rsidR="00EA40A3">
        <w:trPr>
          <w:trHeight w:val="205"/>
        </w:trPr>
        <w:tc>
          <w:tcPr>
            <w:tcW w:w="1295" w:type="dxa"/>
          </w:tcPr>
          <w:p w:rsidR="00EA40A3" w:rsidRDefault="00E86C16">
            <w:pPr>
              <w:spacing w:before="30" w:line="201" w:lineRule="auto"/>
              <w:ind w:left="70"/>
              <w:rPr>
                <w:rFonts w:ascii="宋体" w:eastAsia="宋体" w:hAnsi="宋体" w:cs="宋体"/>
                <w:sz w:val="16"/>
                <w:szCs w:val="16"/>
              </w:rPr>
            </w:pPr>
            <w:r>
              <w:rPr>
                <w:rFonts w:ascii="宋体" w:eastAsia="宋体" w:hAnsi="宋体" w:cs="宋体"/>
                <w:spacing w:val="-3"/>
                <w:sz w:val="16"/>
                <w:szCs w:val="16"/>
              </w:rPr>
              <w:t>红油菜</w:t>
            </w:r>
          </w:p>
        </w:tc>
        <w:tc>
          <w:tcPr>
            <w:tcW w:w="648" w:type="dxa"/>
          </w:tcPr>
          <w:p w:rsidR="00EA40A3" w:rsidRDefault="00E86C16">
            <w:pPr>
              <w:spacing w:before="71" w:line="133" w:lineRule="exact"/>
              <w:ind w:left="194"/>
              <w:rPr>
                <w:rFonts w:ascii="宋体" w:eastAsia="宋体" w:hAnsi="宋体" w:cs="宋体"/>
                <w:sz w:val="16"/>
                <w:szCs w:val="16"/>
              </w:rPr>
            </w:pPr>
            <w:r>
              <w:rPr>
                <w:rFonts w:ascii="宋体" w:eastAsia="宋体" w:hAnsi="宋体" w:cs="宋体"/>
                <w:spacing w:val="-5"/>
                <w:position w:val="-2"/>
                <w:sz w:val="16"/>
                <w:szCs w:val="16"/>
              </w:rPr>
              <w:t>116</w:t>
            </w:r>
          </w:p>
        </w:tc>
        <w:tc>
          <w:tcPr>
            <w:tcW w:w="510" w:type="dxa"/>
          </w:tcPr>
          <w:p w:rsidR="00EA40A3" w:rsidRDefault="00E86C16">
            <w:pPr>
              <w:spacing w:before="51" w:line="177" w:lineRule="auto"/>
              <w:ind w:left="267"/>
              <w:rPr>
                <w:rFonts w:ascii="宋体" w:eastAsia="宋体" w:hAnsi="宋体" w:cs="宋体"/>
                <w:sz w:val="16"/>
                <w:szCs w:val="16"/>
              </w:rPr>
            </w:pPr>
            <w:r>
              <w:rPr>
                <w:rFonts w:ascii="宋体" w:eastAsia="宋体" w:hAnsi="宋体" w:cs="宋体"/>
                <w:spacing w:val="-2"/>
                <w:sz w:val="16"/>
                <w:szCs w:val="16"/>
              </w:rPr>
              <w:t>94</w:t>
            </w:r>
          </w:p>
        </w:tc>
        <w:tc>
          <w:tcPr>
            <w:tcW w:w="1126" w:type="dxa"/>
          </w:tcPr>
          <w:p w:rsidR="00EA40A3" w:rsidRDefault="00E86C16">
            <w:pPr>
              <w:spacing w:before="51" w:line="177" w:lineRule="auto"/>
              <w:ind w:left="566"/>
              <w:rPr>
                <w:rFonts w:ascii="宋体" w:eastAsia="宋体" w:hAnsi="宋体" w:cs="宋体"/>
                <w:sz w:val="16"/>
                <w:szCs w:val="16"/>
              </w:rPr>
            </w:pPr>
            <w:r>
              <w:rPr>
                <w:rFonts w:ascii="宋体" w:eastAsia="宋体" w:hAnsi="宋体" w:cs="宋体"/>
                <w:spacing w:val="-3"/>
                <w:sz w:val="16"/>
                <w:szCs w:val="16"/>
              </w:rPr>
              <w:t>74</w:t>
            </w:r>
          </w:p>
        </w:tc>
      </w:tr>
      <w:tr w:rsidR="00EA40A3">
        <w:trPr>
          <w:trHeight w:val="200"/>
        </w:trPr>
        <w:tc>
          <w:tcPr>
            <w:tcW w:w="1295" w:type="dxa"/>
          </w:tcPr>
          <w:p w:rsidR="00EA40A3" w:rsidRDefault="00E86C16">
            <w:pPr>
              <w:spacing w:before="25" w:line="201" w:lineRule="auto"/>
              <w:ind w:left="70"/>
              <w:rPr>
                <w:rFonts w:ascii="宋体" w:eastAsia="宋体" w:hAnsi="宋体" w:cs="宋体"/>
                <w:sz w:val="16"/>
                <w:szCs w:val="16"/>
              </w:rPr>
            </w:pPr>
            <w:r>
              <w:rPr>
                <w:rFonts w:ascii="宋体" w:eastAsia="宋体" w:hAnsi="宋体" w:cs="宋体"/>
                <w:spacing w:val="5"/>
                <w:sz w:val="16"/>
                <w:szCs w:val="16"/>
              </w:rPr>
              <w:t>商蒿</w:t>
            </w:r>
          </w:p>
        </w:tc>
        <w:tc>
          <w:tcPr>
            <w:tcW w:w="648" w:type="dxa"/>
          </w:tcPr>
          <w:p w:rsidR="00EA40A3" w:rsidRDefault="00E86C16">
            <w:pPr>
              <w:spacing w:before="66" w:line="133" w:lineRule="exact"/>
              <w:ind w:left="194"/>
              <w:rPr>
                <w:rFonts w:ascii="宋体" w:eastAsia="宋体" w:hAnsi="宋体" w:cs="宋体"/>
                <w:sz w:val="16"/>
                <w:szCs w:val="16"/>
              </w:rPr>
            </w:pPr>
            <w:r>
              <w:rPr>
                <w:rFonts w:ascii="宋体" w:eastAsia="宋体" w:hAnsi="宋体" w:cs="宋体"/>
                <w:spacing w:val="-5"/>
                <w:position w:val="-2"/>
                <w:sz w:val="16"/>
                <w:szCs w:val="16"/>
              </w:rPr>
              <w:t>108</w:t>
            </w:r>
          </w:p>
        </w:tc>
        <w:tc>
          <w:tcPr>
            <w:tcW w:w="510" w:type="dxa"/>
          </w:tcPr>
          <w:p w:rsidR="00EA40A3" w:rsidRDefault="00E86C16">
            <w:pPr>
              <w:spacing w:before="66" w:line="133" w:lineRule="exact"/>
              <w:ind w:left="186"/>
              <w:rPr>
                <w:rFonts w:ascii="宋体" w:eastAsia="宋体" w:hAnsi="宋体" w:cs="宋体"/>
                <w:sz w:val="16"/>
                <w:szCs w:val="16"/>
              </w:rPr>
            </w:pPr>
            <w:r>
              <w:rPr>
                <w:rFonts w:ascii="宋体" w:eastAsia="宋体" w:hAnsi="宋体" w:cs="宋体"/>
                <w:spacing w:val="-5"/>
                <w:position w:val="-2"/>
                <w:sz w:val="16"/>
                <w:szCs w:val="16"/>
              </w:rPr>
              <w:t>106</w:t>
            </w:r>
          </w:p>
        </w:tc>
        <w:tc>
          <w:tcPr>
            <w:tcW w:w="1126" w:type="dxa"/>
          </w:tcPr>
          <w:p w:rsidR="00EA40A3" w:rsidRDefault="00E86C16">
            <w:pPr>
              <w:spacing w:before="56" w:line="166" w:lineRule="auto"/>
              <w:ind w:left="566"/>
              <w:rPr>
                <w:rFonts w:ascii="宋体" w:eastAsia="宋体" w:hAnsi="宋体" w:cs="宋体"/>
                <w:sz w:val="16"/>
                <w:szCs w:val="16"/>
              </w:rPr>
            </w:pPr>
            <w:r>
              <w:rPr>
                <w:rFonts w:ascii="宋体" w:eastAsia="宋体" w:hAnsi="宋体" w:cs="宋体"/>
                <w:spacing w:val="-2"/>
                <w:sz w:val="16"/>
                <w:szCs w:val="16"/>
              </w:rPr>
              <w:t>61</w:t>
            </w:r>
          </w:p>
        </w:tc>
      </w:tr>
      <w:tr w:rsidR="00EA40A3">
        <w:trPr>
          <w:trHeight w:val="205"/>
        </w:trPr>
        <w:tc>
          <w:tcPr>
            <w:tcW w:w="1295" w:type="dxa"/>
          </w:tcPr>
          <w:p w:rsidR="00EA40A3" w:rsidRDefault="00E86C16">
            <w:pPr>
              <w:spacing w:before="25" w:line="207" w:lineRule="auto"/>
              <w:ind w:left="70"/>
              <w:rPr>
                <w:rFonts w:ascii="宋体" w:eastAsia="宋体" w:hAnsi="宋体" w:cs="宋体"/>
                <w:sz w:val="16"/>
                <w:szCs w:val="16"/>
              </w:rPr>
            </w:pPr>
            <w:r>
              <w:rPr>
                <w:rFonts w:ascii="宋体" w:eastAsia="宋体" w:hAnsi="宋体" w:cs="宋体"/>
                <w:spacing w:val="-2"/>
                <w:sz w:val="16"/>
                <w:szCs w:val="16"/>
              </w:rPr>
              <w:t>绿豆芽</w:t>
            </w:r>
          </w:p>
        </w:tc>
        <w:tc>
          <w:tcPr>
            <w:tcW w:w="648" w:type="dxa"/>
          </w:tcPr>
          <w:p w:rsidR="00EA40A3" w:rsidRDefault="00E86C16">
            <w:pPr>
              <w:spacing w:before="67" w:line="159" w:lineRule="auto"/>
              <w:ind w:left="234"/>
              <w:rPr>
                <w:rFonts w:ascii="宋体" w:eastAsia="宋体" w:hAnsi="宋体" w:cs="宋体"/>
                <w:sz w:val="16"/>
                <w:szCs w:val="16"/>
              </w:rPr>
            </w:pPr>
            <w:r>
              <w:rPr>
                <w:rFonts w:ascii="宋体" w:eastAsia="宋体" w:hAnsi="宋体" w:cs="宋体"/>
                <w:spacing w:val="-3"/>
                <w:sz w:val="16"/>
                <w:szCs w:val="16"/>
              </w:rPr>
              <w:t>53</w:t>
            </w:r>
          </w:p>
        </w:tc>
        <w:tc>
          <w:tcPr>
            <w:tcW w:w="510" w:type="dxa"/>
          </w:tcPr>
          <w:p w:rsidR="00EA40A3" w:rsidRDefault="00E86C16">
            <w:pPr>
              <w:spacing w:before="66" w:line="160" w:lineRule="auto"/>
              <w:ind w:left="267"/>
              <w:rPr>
                <w:rFonts w:ascii="宋体" w:eastAsia="宋体" w:hAnsi="宋体" w:cs="宋体"/>
                <w:sz w:val="16"/>
                <w:szCs w:val="16"/>
              </w:rPr>
            </w:pPr>
            <w:r>
              <w:rPr>
                <w:rFonts w:ascii="宋体" w:eastAsia="宋体" w:hAnsi="宋体" w:cs="宋体"/>
                <w:spacing w:val="-5"/>
                <w:sz w:val="16"/>
                <w:szCs w:val="16"/>
              </w:rPr>
              <w:t>19</w:t>
            </w:r>
          </w:p>
        </w:tc>
        <w:tc>
          <w:tcPr>
            <w:tcW w:w="1126" w:type="dxa"/>
          </w:tcPr>
          <w:p w:rsidR="00EA40A3" w:rsidRDefault="00E86C16">
            <w:pPr>
              <w:spacing w:before="56" w:line="171" w:lineRule="auto"/>
              <w:ind w:left="566"/>
              <w:rPr>
                <w:rFonts w:ascii="宋体" w:eastAsia="宋体" w:hAnsi="宋体" w:cs="宋体"/>
                <w:sz w:val="16"/>
                <w:szCs w:val="16"/>
              </w:rPr>
            </w:pPr>
            <w:r>
              <w:rPr>
                <w:rFonts w:ascii="宋体" w:eastAsia="宋体" w:hAnsi="宋体" w:cs="宋体"/>
                <w:spacing w:val="-2"/>
                <w:sz w:val="16"/>
                <w:szCs w:val="16"/>
              </w:rPr>
              <w:t>45</w:t>
            </w:r>
          </w:p>
        </w:tc>
      </w:tr>
      <w:tr w:rsidR="00EA40A3">
        <w:trPr>
          <w:trHeight w:val="222"/>
        </w:trPr>
        <w:tc>
          <w:tcPr>
            <w:tcW w:w="1295" w:type="dxa"/>
          </w:tcPr>
          <w:p w:rsidR="00EA40A3" w:rsidRDefault="00E86C16">
            <w:pPr>
              <w:spacing w:before="30" w:line="219" w:lineRule="auto"/>
              <w:ind w:left="70"/>
              <w:rPr>
                <w:rFonts w:ascii="宋体" w:eastAsia="宋体" w:hAnsi="宋体" w:cs="宋体"/>
                <w:sz w:val="16"/>
                <w:szCs w:val="16"/>
              </w:rPr>
            </w:pPr>
            <w:r>
              <w:rPr>
                <w:rFonts w:ascii="宋体" w:eastAsia="宋体" w:hAnsi="宋体" w:cs="宋体"/>
                <w:spacing w:val="-3"/>
                <w:sz w:val="16"/>
                <w:szCs w:val="16"/>
              </w:rPr>
              <w:t>芋头</w:t>
            </w:r>
          </w:p>
        </w:tc>
        <w:tc>
          <w:tcPr>
            <w:tcW w:w="648" w:type="dxa"/>
          </w:tcPr>
          <w:p w:rsidR="00EA40A3" w:rsidRDefault="00E86C16">
            <w:pPr>
              <w:spacing w:before="72" w:line="173" w:lineRule="auto"/>
              <w:ind w:left="234"/>
              <w:rPr>
                <w:rFonts w:ascii="宋体" w:eastAsia="宋体" w:hAnsi="宋体" w:cs="宋体"/>
                <w:sz w:val="16"/>
                <w:szCs w:val="16"/>
              </w:rPr>
            </w:pPr>
            <w:r>
              <w:rPr>
                <w:rFonts w:ascii="宋体" w:eastAsia="宋体" w:hAnsi="宋体" w:cs="宋体"/>
                <w:spacing w:val="-3"/>
                <w:sz w:val="16"/>
                <w:szCs w:val="16"/>
              </w:rPr>
              <w:t>73</w:t>
            </w:r>
          </w:p>
        </w:tc>
        <w:tc>
          <w:tcPr>
            <w:tcW w:w="510" w:type="dxa"/>
          </w:tcPr>
          <w:p w:rsidR="00EA40A3" w:rsidRDefault="00E86C16">
            <w:pPr>
              <w:spacing w:before="81" w:line="162" w:lineRule="auto"/>
              <w:ind w:left="267"/>
              <w:rPr>
                <w:rFonts w:ascii="宋体" w:eastAsia="宋体" w:hAnsi="宋体" w:cs="宋体"/>
                <w:sz w:val="16"/>
                <w:szCs w:val="16"/>
              </w:rPr>
            </w:pPr>
            <w:r>
              <w:rPr>
                <w:rFonts w:ascii="宋体" w:eastAsia="宋体" w:hAnsi="宋体" w:cs="宋体"/>
                <w:spacing w:val="-2"/>
                <w:sz w:val="16"/>
                <w:szCs w:val="16"/>
              </w:rPr>
              <w:t>63</w:t>
            </w:r>
          </w:p>
        </w:tc>
        <w:tc>
          <w:tcPr>
            <w:tcW w:w="1126" w:type="dxa"/>
          </w:tcPr>
          <w:p w:rsidR="00EA40A3" w:rsidRDefault="00E86C16">
            <w:pPr>
              <w:spacing w:before="61" w:line="183" w:lineRule="auto"/>
              <w:ind w:left="566"/>
              <w:rPr>
                <w:rFonts w:ascii="宋体" w:eastAsia="宋体" w:hAnsi="宋体" w:cs="宋体"/>
                <w:sz w:val="16"/>
                <w:szCs w:val="16"/>
              </w:rPr>
            </w:pPr>
            <w:r>
              <w:rPr>
                <w:rFonts w:ascii="宋体" w:eastAsia="宋体" w:hAnsi="宋体" w:cs="宋体"/>
                <w:spacing w:val="-2"/>
                <w:sz w:val="16"/>
                <w:szCs w:val="16"/>
              </w:rPr>
              <w:t>45</w:t>
            </w:r>
          </w:p>
        </w:tc>
      </w:tr>
      <w:tr w:rsidR="00EA40A3">
        <w:trPr>
          <w:trHeight w:val="202"/>
        </w:trPr>
        <w:tc>
          <w:tcPr>
            <w:tcW w:w="1295" w:type="dxa"/>
          </w:tcPr>
          <w:p w:rsidR="00EA40A3" w:rsidRDefault="00E86C16">
            <w:pPr>
              <w:spacing w:before="35" w:line="192" w:lineRule="auto"/>
              <w:ind w:left="70"/>
              <w:rPr>
                <w:rFonts w:ascii="宋体" w:eastAsia="宋体" w:hAnsi="宋体" w:cs="宋体"/>
                <w:sz w:val="16"/>
                <w:szCs w:val="16"/>
              </w:rPr>
            </w:pPr>
            <w:r>
              <w:rPr>
                <w:rFonts w:ascii="宋体" w:eastAsia="宋体" w:hAnsi="宋体" w:cs="宋体"/>
                <w:sz w:val="16"/>
                <w:szCs w:val="16"/>
              </w:rPr>
              <w:t>葱</w:t>
            </w:r>
          </w:p>
        </w:tc>
        <w:tc>
          <w:tcPr>
            <w:tcW w:w="648" w:type="dxa"/>
          </w:tcPr>
          <w:p w:rsidR="00EA40A3" w:rsidRDefault="00E86C16">
            <w:pPr>
              <w:spacing w:before="59" w:line="164" w:lineRule="auto"/>
              <w:ind w:left="234"/>
              <w:rPr>
                <w:rFonts w:ascii="宋体" w:eastAsia="宋体" w:hAnsi="宋体" w:cs="宋体"/>
                <w:sz w:val="16"/>
                <w:szCs w:val="16"/>
              </w:rPr>
            </w:pPr>
            <w:r>
              <w:rPr>
                <w:rFonts w:ascii="宋体" w:eastAsia="宋体" w:hAnsi="宋体" w:cs="宋体"/>
                <w:spacing w:val="-2"/>
                <w:sz w:val="16"/>
                <w:szCs w:val="16"/>
              </w:rPr>
              <w:t>95</w:t>
            </w:r>
          </w:p>
        </w:tc>
        <w:tc>
          <w:tcPr>
            <w:tcW w:w="510" w:type="dxa"/>
          </w:tcPr>
          <w:p w:rsidR="00EA40A3" w:rsidRDefault="00E86C16">
            <w:pPr>
              <w:spacing w:before="59" w:line="165" w:lineRule="auto"/>
              <w:ind w:left="186"/>
              <w:rPr>
                <w:rFonts w:ascii="宋体" w:eastAsia="宋体" w:hAnsi="宋体" w:cs="宋体"/>
                <w:sz w:val="16"/>
                <w:szCs w:val="16"/>
              </w:rPr>
            </w:pPr>
            <w:r>
              <w:rPr>
                <w:rFonts w:ascii="宋体" w:eastAsia="宋体" w:hAnsi="宋体" w:cs="宋体"/>
                <w:spacing w:val="-5"/>
                <w:sz w:val="16"/>
                <w:szCs w:val="16"/>
              </w:rPr>
              <w:t>115</w:t>
            </w:r>
          </w:p>
        </w:tc>
        <w:tc>
          <w:tcPr>
            <w:tcW w:w="1126" w:type="dxa"/>
          </w:tcPr>
          <w:p w:rsidR="00EA40A3" w:rsidRDefault="00E86C16">
            <w:pPr>
              <w:spacing w:before="49" w:line="176" w:lineRule="auto"/>
              <w:ind w:left="566"/>
              <w:rPr>
                <w:rFonts w:ascii="宋体" w:eastAsia="宋体" w:hAnsi="宋体" w:cs="宋体"/>
                <w:sz w:val="16"/>
                <w:szCs w:val="16"/>
              </w:rPr>
            </w:pPr>
            <w:r>
              <w:rPr>
                <w:rFonts w:ascii="宋体" w:eastAsia="宋体" w:hAnsi="宋体" w:cs="宋体"/>
                <w:spacing w:val="-2"/>
                <w:sz w:val="16"/>
                <w:szCs w:val="16"/>
              </w:rPr>
              <w:t>44</w:t>
            </w:r>
          </w:p>
        </w:tc>
      </w:tr>
      <w:tr w:rsidR="00EA40A3">
        <w:trPr>
          <w:trHeight w:val="204"/>
        </w:trPr>
        <w:tc>
          <w:tcPr>
            <w:tcW w:w="1295" w:type="dxa"/>
          </w:tcPr>
          <w:p w:rsidR="00EA40A3" w:rsidRDefault="00E86C16">
            <w:pPr>
              <w:spacing w:before="28" w:line="203" w:lineRule="auto"/>
              <w:ind w:left="70"/>
              <w:rPr>
                <w:rFonts w:ascii="宋体" w:eastAsia="宋体" w:hAnsi="宋体" w:cs="宋体"/>
                <w:sz w:val="16"/>
                <w:szCs w:val="16"/>
              </w:rPr>
            </w:pPr>
            <w:r>
              <w:rPr>
                <w:rFonts w:ascii="宋体" w:eastAsia="宋体" w:hAnsi="宋体" w:cs="宋体"/>
                <w:sz w:val="16"/>
                <w:szCs w:val="16"/>
              </w:rPr>
              <w:t>蒜</w:t>
            </w:r>
          </w:p>
        </w:tc>
        <w:tc>
          <w:tcPr>
            <w:tcW w:w="648" w:type="dxa"/>
          </w:tcPr>
          <w:p w:rsidR="00EA40A3" w:rsidRDefault="00E86C16">
            <w:pPr>
              <w:spacing w:before="57" w:line="169" w:lineRule="auto"/>
              <w:ind w:left="234"/>
              <w:rPr>
                <w:rFonts w:ascii="宋体" w:eastAsia="宋体" w:hAnsi="宋体" w:cs="宋体"/>
                <w:sz w:val="16"/>
                <w:szCs w:val="16"/>
              </w:rPr>
            </w:pPr>
            <w:r>
              <w:rPr>
                <w:rFonts w:ascii="宋体" w:eastAsia="宋体" w:hAnsi="宋体" w:cs="宋体"/>
                <w:spacing w:val="-2"/>
                <w:sz w:val="16"/>
                <w:szCs w:val="16"/>
              </w:rPr>
              <w:t>65</w:t>
            </w:r>
          </w:p>
        </w:tc>
        <w:tc>
          <w:tcPr>
            <w:tcW w:w="510" w:type="dxa"/>
          </w:tcPr>
          <w:p w:rsidR="00EA40A3" w:rsidRDefault="00E86C16">
            <w:pPr>
              <w:spacing w:before="57" w:line="169" w:lineRule="auto"/>
              <w:ind w:left="267"/>
              <w:rPr>
                <w:rFonts w:ascii="宋体" w:eastAsia="宋体" w:hAnsi="宋体" w:cs="宋体"/>
                <w:sz w:val="16"/>
                <w:szCs w:val="16"/>
              </w:rPr>
            </w:pPr>
            <w:r>
              <w:rPr>
                <w:rFonts w:ascii="宋体" w:eastAsia="宋体" w:hAnsi="宋体" w:cs="宋体"/>
                <w:spacing w:val="-2"/>
                <w:sz w:val="16"/>
                <w:szCs w:val="16"/>
              </w:rPr>
              <w:t>42</w:t>
            </w:r>
          </w:p>
        </w:tc>
        <w:tc>
          <w:tcPr>
            <w:tcW w:w="1126" w:type="dxa"/>
          </w:tcPr>
          <w:p w:rsidR="00EA40A3" w:rsidRDefault="00E86C16">
            <w:pPr>
              <w:spacing w:before="48" w:line="180" w:lineRule="auto"/>
              <w:ind w:left="566"/>
              <w:rPr>
                <w:rFonts w:ascii="宋体" w:eastAsia="宋体" w:hAnsi="宋体" w:cs="宋体"/>
                <w:sz w:val="16"/>
                <w:szCs w:val="16"/>
              </w:rPr>
            </w:pPr>
            <w:r>
              <w:rPr>
                <w:rFonts w:ascii="宋体" w:eastAsia="宋体" w:hAnsi="宋体" w:cs="宋体"/>
                <w:spacing w:val="-2"/>
                <w:sz w:val="16"/>
                <w:szCs w:val="16"/>
              </w:rPr>
              <w:t>44</w:t>
            </w:r>
          </w:p>
        </w:tc>
      </w:tr>
      <w:tr w:rsidR="00EA40A3">
        <w:trPr>
          <w:trHeight w:val="204"/>
        </w:trPr>
        <w:tc>
          <w:tcPr>
            <w:tcW w:w="1295" w:type="dxa"/>
          </w:tcPr>
          <w:p w:rsidR="00EA40A3" w:rsidRDefault="00E86C16">
            <w:pPr>
              <w:spacing w:before="33" w:line="197" w:lineRule="auto"/>
              <w:ind w:left="70"/>
              <w:rPr>
                <w:rFonts w:ascii="宋体" w:eastAsia="宋体" w:hAnsi="宋体" w:cs="宋体"/>
                <w:sz w:val="16"/>
                <w:szCs w:val="16"/>
              </w:rPr>
            </w:pPr>
            <w:r>
              <w:rPr>
                <w:rFonts w:ascii="宋体" w:eastAsia="宋体" w:hAnsi="宋体" w:cs="宋体"/>
                <w:spacing w:val="-2"/>
                <w:sz w:val="16"/>
                <w:szCs w:val="16"/>
              </w:rPr>
              <w:t>球茎甘蓝</w:t>
            </w:r>
          </w:p>
        </w:tc>
        <w:tc>
          <w:tcPr>
            <w:tcW w:w="648" w:type="dxa"/>
          </w:tcPr>
          <w:p w:rsidR="00EA40A3" w:rsidRDefault="00E86C16">
            <w:pPr>
              <w:spacing w:before="63" w:line="162" w:lineRule="auto"/>
              <w:ind w:left="234"/>
              <w:rPr>
                <w:rFonts w:ascii="宋体" w:eastAsia="宋体" w:hAnsi="宋体" w:cs="宋体"/>
                <w:sz w:val="16"/>
                <w:szCs w:val="16"/>
              </w:rPr>
            </w:pPr>
            <w:r>
              <w:rPr>
                <w:rFonts w:ascii="宋体" w:eastAsia="宋体" w:hAnsi="宋体" w:cs="宋体"/>
                <w:spacing w:val="-2"/>
                <w:sz w:val="16"/>
                <w:szCs w:val="16"/>
              </w:rPr>
              <w:t>85</w:t>
            </w:r>
          </w:p>
        </w:tc>
        <w:tc>
          <w:tcPr>
            <w:tcW w:w="510" w:type="dxa"/>
          </w:tcPr>
          <w:p w:rsidR="00EA40A3" w:rsidRDefault="00E86C16">
            <w:pPr>
              <w:spacing w:before="54" w:line="173" w:lineRule="auto"/>
              <w:ind w:left="267"/>
              <w:rPr>
                <w:rFonts w:ascii="宋体" w:eastAsia="宋体" w:hAnsi="宋体" w:cs="宋体"/>
                <w:sz w:val="16"/>
                <w:szCs w:val="16"/>
              </w:rPr>
            </w:pPr>
            <w:r>
              <w:rPr>
                <w:rFonts w:ascii="宋体" w:eastAsia="宋体" w:hAnsi="宋体" w:cs="宋体"/>
                <w:spacing w:val="-2"/>
                <w:sz w:val="16"/>
                <w:szCs w:val="16"/>
              </w:rPr>
              <w:t>99</w:t>
            </w:r>
          </w:p>
        </w:tc>
        <w:tc>
          <w:tcPr>
            <w:tcW w:w="1126" w:type="dxa"/>
          </w:tcPr>
          <w:p w:rsidR="00EA40A3" w:rsidRDefault="00E86C16">
            <w:pPr>
              <w:spacing w:before="42" w:line="184" w:lineRule="auto"/>
              <w:ind w:left="566"/>
              <w:rPr>
                <w:rFonts w:ascii="宋体" w:eastAsia="宋体" w:hAnsi="宋体" w:cs="宋体"/>
                <w:sz w:val="16"/>
                <w:szCs w:val="16"/>
              </w:rPr>
            </w:pPr>
            <w:r>
              <w:rPr>
                <w:rFonts w:ascii="宋体" w:eastAsia="宋体" w:hAnsi="宋体" w:cs="宋体"/>
                <w:spacing w:val="-2"/>
                <w:sz w:val="16"/>
                <w:szCs w:val="16"/>
              </w:rPr>
              <w:t>41</w:t>
            </w:r>
          </w:p>
        </w:tc>
      </w:tr>
      <w:tr w:rsidR="00EA40A3">
        <w:trPr>
          <w:trHeight w:val="195"/>
        </w:trPr>
        <w:tc>
          <w:tcPr>
            <w:tcW w:w="1295" w:type="dxa"/>
          </w:tcPr>
          <w:p w:rsidR="00EA40A3" w:rsidRDefault="00E86C16">
            <w:pPr>
              <w:spacing w:before="28" w:line="192" w:lineRule="auto"/>
              <w:ind w:left="70"/>
              <w:rPr>
                <w:rFonts w:ascii="宋体" w:eastAsia="宋体" w:hAnsi="宋体" w:cs="宋体"/>
                <w:sz w:val="16"/>
                <w:szCs w:val="16"/>
              </w:rPr>
            </w:pPr>
            <w:r>
              <w:rPr>
                <w:rFonts w:ascii="宋体" w:eastAsia="宋体" w:hAnsi="宋体" w:cs="宋体"/>
                <w:spacing w:val="5"/>
                <w:sz w:val="16"/>
                <w:szCs w:val="16"/>
              </w:rPr>
              <w:t>豌豆(连英)</w:t>
            </w:r>
          </w:p>
        </w:tc>
        <w:tc>
          <w:tcPr>
            <w:tcW w:w="648" w:type="dxa"/>
          </w:tcPr>
          <w:p w:rsidR="00EA40A3" w:rsidRDefault="00E86C16">
            <w:pPr>
              <w:spacing w:before="69" w:line="126" w:lineRule="exact"/>
              <w:ind w:left="194"/>
              <w:rPr>
                <w:rFonts w:ascii="宋体" w:eastAsia="宋体" w:hAnsi="宋体" w:cs="宋体"/>
                <w:sz w:val="16"/>
                <w:szCs w:val="16"/>
              </w:rPr>
            </w:pPr>
            <w:r>
              <w:rPr>
                <w:rFonts w:ascii="宋体" w:eastAsia="宋体" w:hAnsi="宋体" w:cs="宋体"/>
                <w:spacing w:val="-5"/>
                <w:position w:val="-2"/>
                <w:sz w:val="16"/>
                <w:szCs w:val="16"/>
              </w:rPr>
              <w:t>102</w:t>
            </w:r>
          </w:p>
        </w:tc>
        <w:tc>
          <w:tcPr>
            <w:tcW w:w="510" w:type="dxa"/>
          </w:tcPr>
          <w:p w:rsidR="00EA40A3" w:rsidRDefault="00E86C16">
            <w:pPr>
              <w:spacing w:before="58" w:line="157" w:lineRule="auto"/>
              <w:ind w:left="186"/>
              <w:rPr>
                <w:rFonts w:ascii="宋体" w:eastAsia="宋体" w:hAnsi="宋体" w:cs="宋体"/>
                <w:sz w:val="16"/>
                <w:szCs w:val="16"/>
              </w:rPr>
            </w:pPr>
            <w:r>
              <w:rPr>
                <w:rFonts w:ascii="宋体" w:eastAsia="宋体" w:hAnsi="宋体" w:cs="宋体"/>
                <w:spacing w:val="-5"/>
                <w:sz w:val="16"/>
                <w:szCs w:val="16"/>
              </w:rPr>
              <w:t>142</w:t>
            </w:r>
          </w:p>
        </w:tc>
        <w:tc>
          <w:tcPr>
            <w:tcW w:w="1126" w:type="dxa"/>
          </w:tcPr>
          <w:p w:rsidR="00EA40A3" w:rsidRDefault="00E86C16">
            <w:pPr>
              <w:spacing w:before="49" w:line="168" w:lineRule="auto"/>
              <w:ind w:left="566"/>
              <w:rPr>
                <w:rFonts w:ascii="宋体" w:eastAsia="宋体" w:hAnsi="宋体" w:cs="宋体"/>
                <w:sz w:val="16"/>
                <w:szCs w:val="16"/>
              </w:rPr>
            </w:pPr>
            <w:r>
              <w:rPr>
                <w:rFonts w:ascii="宋体" w:eastAsia="宋体" w:hAnsi="宋体" w:cs="宋体"/>
                <w:spacing w:val="-3"/>
                <w:sz w:val="16"/>
                <w:szCs w:val="16"/>
              </w:rPr>
              <w:t>39</w:t>
            </w:r>
          </w:p>
        </w:tc>
      </w:tr>
      <w:tr w:rsidR="00EA40A3">
        <w:trPr>
          <w:trHeight w:val="209"/>
        </w:trPr>
        <w:tc>
          <w:tcPr>
            <w:tcW w:w="1295" w:type="dxa"/>
          </w:tcPr>
          <w:p w:rsidR="00EA40A3" w:rsidRDefault="00E86C16">
            <w:pPr>
              <w:spacing w:before="23" w:line="214" w:lineRule="auto"/>
              <w:ind w:left="70"/>
              <w:rPr>
                <w:rFonts w:ascii="宋体" w:eastAsia="宋体" w:hAnsi="宋体" w:cs="宋体"/>
                <w:sz w:val="16"/>
                <w:szCs w:val="16"/>
              </w:rPr>
            </w:pPr>
            <w:r>
              <w:rPr>
                <w:rFonts w:ascii="宋体" w:eastAsia="宋体" w:hAnsi="宋体" w:cs="宋体"/>
                <w:spacing w:val="-2"/>
                <w:sz w:val="16"/>
                <w:szCs w:val="16"/>
              </w:rPr>
              <w:t>大白菜</w:t>
            </w:r>
          </w:p>
        </w:tc>
        <w:tc>
          <w:tcPr>
            <w:tcW w:w="648" w:type="dxa"/>
          </w:tcPr>
          <w:p w:rsidR="00EA40A3" w:rsidRDefault="00E86C16">
            <w:pPr>
              <w:spacing w:before="65" w:line="166" w:lineRule="auto"/>
              <w:ind w:left="234"/>
              <w:rPr>
                <w:rFonts w:ascii="宋体" w:eastAsia="宋体" w:hAnsi="宋体" w:cs="宋体"/>
                <w:sz w:val="16"/>
                <w:szCs w:val="16"/>
              </w:rPr>
            </w:pPr>
            <w:r>
              <w:rPr>
                <w:rFonts w:ascii="宋体" w:eastAsia="宋体" w:hAnsi="宋体" w:cs="宋体"/>
                <w:spacing w:val="-2"/>
                <w:sz w:val="16"/>
                <w:szCs w:val="16"/>
              </w:rPr>
              <w:t>67</w:t>
            </w:r>
          </w:p>
        </w:tc>
        <w:tc>
          <w:tcPr>
            <w:tcW w:w="510" w:type="dxa"/>
          </w:tcPr>
          <w:p w:rsidR="00EA40A3" w:rsidRDefault="00E86C16">
            <w:pPr>
              <w:spacing w:before="74" w:line="135" w:lineRule="exact"/>
              <w:ind w:left="267"/>
              <w:rPr>
                <w:rFonts w:ascii="宋体" w:eastAsia="宋体" w:hAnsi="宋体" w:cs="宋体"/>
                <w:sz w:val="16"/>
                <w:szCs w:val="16"/>
              </w:rPr>
            </w:pPr>
            <w:r>
              <w:rPr>
                <w:rFonts w:ascii="宋体" w:eastAsia="宋体" w:hAnsi="宋体" w:cs="宋体"/>
                <w:spacing w:val="-2"/>
                <w:position w:val="-2"/>
                <w:sz w:val="16"/>
                <w:szCs w:val="16"/>
              </w:rPr>
              <w:t>60</w:t>
            </w:r>
          </w:p>
        </w:tc>
        <w:tc>
          <w:tcPr>
            <w:tcW w:w="1126" w:type="dxa"/>
          </w:tcPr>
          <w:p w:rsidR="00EA40A3" w:rsidRDefault="00E86C16">
            <w:pPr>
              <w:spacing w:before="65" w:line="166" w:lineRule="auto"/>
              <w:ind w:left="566"/>
              <w:rPr>
                <w:rFonts w:ascii="宋体" w:eastAsia="宋体" w:hAnsi="宋体" w:cs="宋体"/>
                <w:sz w:val="16"/>
                <w:szCs w:val="16"/>
              </w:rPr>
            </w:pPr>
            <w:r>
              <w:rPr>
                <w:rFonts w:ascii="宋体" w:eastAsia="宋体" w:hAnsi="宋体" w:cs="宋体"/>
                <w:spacing w:val="-3"/>
                <w:sz w:val="16"/>
                <w:szCs w:val="16"/>
              </w:rPr>
              <w:t>38</w:t>
            </w:r>
          </w:p>
        </w:tc>
      </w:tr>
      <w:tr w:rsidR="00EA40A3">
        <w:trPr>
          <w:trHeight w:val="204"/>
        </w:trPr>
        <w:tc>
          <w:tcPr>
            <w:tcW w:w="1295" w:type="dxa"/>
          </w:tcPr>
          <w:p w:rsidR="00EA40A3" w:rsidRDefault="00E86C16">
            <w:pPr>
              <w:spacing w:before="35" w:line="195" w:lineRule="auto"/>
              <w:ind w:left="70"/>
              <w:rPr>
                <w:rFonts w:ascii="宋体" w:eastAsia="宋体" w:hAnsi="宋体" w:cs="宋体"/>
                <w:sz w:val="16"/>
                <w:szCs w:val="16"/>
              </w:rPr>
            </w:pPr>
            <w:r>
              <w:rPr>
                <w:rFonts w:ascii="宋体" w:eastAsia="宋体" w:hAnsi="宋体" w:cs="宋体"/>
                <w:spacing w:val="-2"/>
                <w:sz w:val="16"/>
                <w:szCs w:val="16"/>
              </w:rPr>
              <w:t>蒜苗</w:t>
            </w:r>
          </w:p>
        </w:tc>
        <w:tc>
          <w:tcPr>
            <w:tcW w:w="648" w:type="dxa"/>
          </w:tcPr>
          <w:p w:rsidR="00EA40A3" w:rsidRDefault="00E86C16">
            <w:pPr>
              <w:spacing w:before="85" w:line="119" w:lineRule="exact"/>
              <w:ind w:left="194"/>
              <w:rPr>
                <w:rFonts w:ascii="宋体" w:eastAsia="宋体" w:hAnsi="宋体" w:cs="宋体"/>
                <w:sz w:val="16"/>
                <w:szCs w:val="16"/>
              </w:rPr>
            </w:pPr>
            <w:r>
              <w:rPr>
                <w:rFonts w:ascii="宋体" w:eastAsia="宋体" w:hAnsi="宋体" w:cs="宋体"/>
                <w:spacing w:val="-5"/>
                <w:position w:val="-2"/>
                <w:sz w:val="16"/>
                <w:szCs w:val="16"/>
              </w:rPr>
              <w:t>105</w:t>
            </w:r>
          </w:p>
        </w:tc>
        <w:tc>
          <w:tcPr>
            <w:tcW w:w="510" w:type="dxa"/>
          </w:tcPr>
          <w:p w:rsidR="00EA40A3" w:rsidRDefault="00E86C16">
            <w:pPr>
              <w:spacing w:before="85" w:line="119" w:lineRule="exact"/>
              <w:ind w:left="186"/>
              <w:rPr>
                <w:rFonts w:ascii="宋体" w:eastAsia="宋体" w:hAnsi="宋体" w:cs="宋体"/>
                <w:sz w:val="16"/>
                <w:szCs w:val="16"/>
              </w:rPr>
            </w:pPr>
            <w:r>
              <w:rPr>
                <w:rFonts w:ascii="宋体" w:eastAsia="宋体" w:hAnsi="宋体" w:cs="宋体"/>
                <w:spacing w:val="-5"/>
                <w:position w:val="-2"/>
                <w:sz w:val="16"/>
                <w:szCs w:val="16"/>
              </w:rPr>
              <w:t>151</w:t>
            </w:r>
          </w:p>
        </w:tc>
        <w:tc>
          <w:tcPr>
            <w:tcW w:w="1126" w:type="dxa"/>
          </w:tcPr>
          <w:p w:rsidR="00EA40A3" w:rsidRDefault="00E86C16">
            <w:pPr>
              <w:spacing w:before="55" w:line="171" w:lineRule="auto"/>
              <w:ind w:left="566"/>
              <w:rPr>
                <w:rFonts w:ascii="宋体" w:eastAsia="宋体" w:hAnsi="宋体" w:cs="宋体"/>
                <w:sz w:val="16"/>
                <w:szCs w:val="16"/>
              </w:rPr>
            </w:pPr>
            <w:r>
              <w:rPr>
                <w:rFonts w:ascii="宋体" w:eastAsia="宋体" w:hAnsi="宋体" w:cs="宋体"/>
                <w:spacing w:val="-3"/>
                <w:sz w:val="16"/>
                <w:szCs w:val="16"/>
              </w:rPr>
              <w:t>38</w:t>
            </w:r>
          </w:p>
        </w:tc>
      </w:tr>
      <w:tr w:rsidR="00EA40A3">
        <w:trPr>
          <w:trHeight w:val="214"/>
        </w:trPr>
        <w:tc>
          <w:tcPr>
            <w:tcW w:w="1295" w:type="dxa"/>
          </w:tcPr>
          <w:p w:rsidR="00EA40A3" w:rsidRDefault="00E86C16">
            <w:pPr>
              <w:spacing w:before="19" w:line="219" w:lineRule="auto"/>
              <w:ind w:left="70"/>
              <w:rPr>
                <w:rFonts w:ascii="宋体" w:eastAsia="宋体" w:hAnsi="宋体" w:cs="宋体"/>
                <w:sz w:val="16"/>
                <w:szCs w:val="16"/>
              </w:rPr>
            </w:pPr>
            <w:r>
              <w:rPr>
                <w:rFonts w:ascii="宋体" w:eastAsia="宋体" w:hAnsi="宋体" w:cs="宋体"/>
                <w:spacing w:val="-3"/>
                <w:sz w:val="16"/>
                <w:szCs w:val="16"/>
              </w:rPr>
              <w:t>小白萝</w:t>
            </w:r>
          </w:p>
        </w:tc>
        <w:tc>
          <w:tcPr>
            <w:tcW w:w="648" w:type="dxa"/>
          </w:tcPr>
          <w:p w:rsidR="00EA40A3" w:rsidRDefault="00E86C16">
            <w:pPr>
              <w:spacing w:before="81" w:line="133" w:lineRule="exact"/>
              <w:ind w:left="234"/>
              <w:rPr>
                <w:rFonts w:ascii="宋体" w:eastAsia="宋体" w:hAnsi="宋体" w:cs="宋体"/>
                <w:sz w:val="16"/>
                <w:szCs w:val="16"/>
              </w:rPr>
            </w:pPr>
            <w:r>
              <w:rPr>
                <w:rFonts w:ascii="宋体" w:eastAsia="宋体" w:hAnsi="宋体" w:cs="宋体"/>
                <w:spacing w:val="-2"/>
                <w:position w:val="-2"/>
                <w:sz w:val="16"/>
                <w:szCs w:val="16"/>
              </w:rPr>
              <w:t>49</w:t>
            </w:r>
          </w:p>
        </w:tc>
        <w:tc>
          <w:tcPr>
            <w:tcW w:w="510" w:type="dxa"/>
          </w:tcPr>
          <w:p w:rsidR="00EA40A3" w:rsidRDefault="00E86C16">
            <w:pPr>
              <w:spacing w:before="81" w:line="133" w:lineRule="exact"/>
              <w:ind w:left="267"/>
              <w:rPr>
                <w:rFonts w:ascii="宋体" w:eastAsia="宋体" w:hAnsi="宋体" w:cs="宋体"/>
                <w:sz w:val="16"/>
                <w:szCs w:val="16"/>
              </w:rPr>
            </w:pPr>
            <w:r>
              <w:rPr>
                <w:rFonts w:ascii="宋体" w:eastAsia="宋体" w:hAnsi="宋体" w:cs="宋体"/>
                <w:spacing w:val="-3"/>
                <w:position w:val="-2"/>
                <w:sz w:val="16"/>
                <w:szCs w:val="16"/>
              </w:rPr>
              <w:t>27</w:t>
            </w:r>
          </w:p>
        </w:tc>
        <w:tc>
          <w:tcPr>
            <w:tcW w:w="1126" w:type="dxa"/>
          </w:tcPr>
          <w:p w:rsidR="00EA40A3" w:rsidRDefault="00E86C16">
            <w:pPr>
              <w:spacing w:before="71" w:line="164" w:lineRule="auto"/>
              <w:ind w:left="566"/>
              <w:rPr>
                <w:rFonts w:ascii="宋体" w:eastAsia="宋体" w:hAnsi="宋体" w:cs="宋体"/>
                <w:sz w:val="16"/>
                <w:szCs w:val="16"/>
              </w:rPr>
            </w:pPr>
            <w:r>
              <w:rPr>
                <w:rFonts w:ascii="宋体" w:eastAsia="宋体" w:hAnsi="宋体" w:cs="宋体"/>
                <w:spacing w:val="-3"/>
                <w:sz w:val="16"/>
                <w:szCs w:val="16"/>
              </w:rPr>
              <w:t>37</w:t>
            </w:r>
          </w:p>
        </w:tc>
      </w:tr>
      <w:tr w:rsidR="00EA40A3">
        <w:trPr>
          <w:trHeight w:val="200"/>
        </w:trPr>
        <w:tc>
          <w:tcPr>
            <w:tcW w:w="1295" w:type="dxa"/>
          </w:tcPr>
          <w:p w:rsidR="00EA40A3" w:rsidRDefault="00E86C16">
            <w:pPr>
              <w:spacing w:before="36" w:line="189" w:lineRule="auto"/>
              <w:ind w:left="70"/>
              <w:rPr>
                <w:rFonts w:ascii="宋体" w:eastAsia="宋体" w:hAnsi="宋体" w:cs="宋体"/>
                <w:sz w:val="16"/>
                <w:szCs w:val="16"/>
              </w:rPr>
            </w:pPr>
            <w:r>
              <w:rPr>
                <w:rFonts w:ascii="宋体" w:eastAsia="宋体" w:hAnsi="宋体" w:cs="宋体"/>
                <w:spacing w:val="-3"/>
                <w:sz w:val="16"/>
                <w:szCs w:val="16"/>
              </w:rPr>
              <w:t>韭菜</w:t>
            </w:r>
          </w:p>
        </w:tc>
        <w:tc>
          <w:tcPr>
            <w:tcW w:w="648" w:type="dxa"/>
          </w:tcPr>
          <w:p w:rsidR="00EA40A3" w:rsidRDefault="00E86C16">
            <w:pPr>
              <w:spacing w:before="67" w:line="133" w:lineRule="exact"/>
              <w:ind w:left="194"/>
              <w:rPr>
                <w:rFonts w:ascii="宋体" w:eastAsia="宋体" w:hAnsi="宋体" w:cs="宋体"/>
                <w:sz w:val="16"/>
                <w:szCs w:val="16"/>
              </w:rPr>
            </w:pPr>
            <w:r>
              <w:rPr>
                <w:rFonts w:ascii="宋体" w:eastAsia="宋体" w:hAnsi="宋体" w:cs="宋体"/>
                <w:spacing w:val="-5"/>
                <w:position w:val="-2"/>
                <w:sz w:val="16"/>
                <w:szCs w:val="16"/>
              </w:rPr>
              <w:t>105</w:t>
            </w:r>
          </w:p>
        </w:tc>
        <w:tc>
          <w:tcPr>
            <w:tcW w:w="510" w:type="dxa"/>
          </w:tcPr>
          <w:p w:rsidR="00EA40A3" w:rsidRDefault="00E86C16">
            <w:pPr>
              <w:spacing w:before="67" w:line="133" w:lineRule="exact"/>
              <w:ind w:left="186"/>
              <w:rPr>
                <w:rFonts w:ascii="宋体" w:eastAsia="宋体" w:hAnsi="宋体" w:cs="宋体"/>
                <w:sz w:val="16"/>
                <w:szCs w:val="16"/>
              </w:rPr>
            </w:pPr>
            <w:r>
              <w:rPr>
                <w:rFonts w:ascii="宋体" w:eastAsia="宋体" w:hAnsi="宋体" w:cs="宋体"/>
                <w:spacing w:val="-5"/>
                <w:position w:val="-2"/>
                <w:sz w:val="16"/>
                <w:szCs w:val="16"/>
              </w:rPr>
              <w:t>162</w:t>
            </w:r>
          </w:p>
        </w:tc>
        <w:tc>
          <w:tcPr>
            <w:tcW w:w="1126" w:type="dxa"/>
          </w:tcPr>
          <w:p w:rsidR="00EA40A3" w:rsidRDefault="00E86C16">
            <w:pPr>
              <w:spacing w:before="67" w:line="133" w:lineRule="exact"/>
              <w:ind w:left="566"/>
              <w:rPr>
                <w:rFonts w:ascii="宋体" w:eastAsia="宋体" w:hAnsi="宋体" w:cs="宋体"/>
                <w:sz w:val="16"/>
                <w:szCs w:val="16"/>
              </w:rPr>
            </w:pPr>
            <w:r>
              <w:rPr>
                <w:rFonts w:ascii="宋体" w:eastAsia="宋体" w:hAnsi="宋体" w:cs="宋体"/>
                <w:spacing w:val="-3"/>
                <w:position w:val="-2"/>
                <w:sz w:val="16"/>
                <w:szCs w:val="16"/>
              </w:rPr>
              <w:t>34</w:t>
            </w:r>
          </w:p>
        </w:tc>
      </w:tr>
      <w:tr w:rsidR="00EA40A3">
        <w:trPr>
          <w:trHeight w:val="214"/>
        </w:trPr>
        <w:tc>
          <w:tcPr>
            <w:tcW w:w="1295" w:type="dxa"/>
          </w:tcPr>
          <w:p w:rsidR="00EA40A3" w:rsidRDefault="00E86C16">
            <w:pPr>
              <w:spacing w:before="25" w:line="217" w:lineRule="auto"/>
              <w:ind w:left="70"/>
              <w:rPr>
                <w:rFonts w:ascii="宋体" w:eastAsia="宋体" w:hAnsi="宋体" w:cs="宋体"/>
                <w:sz w:val="16"/>
                <w:szCs w:val="16"/>
              </w:rPr>
            </w:pPr>
            <w:r>
              <w:rPr>
                <w:rFonts w:ascii="宋体" w:eastAsia="宋体" w:hAnsi="宋体" w:cs="宋体"/>
                <w:spacing w:val="-2"/>
                <w:sz w:val="16"/>
                <w:szCs w:val="16"/>
              </w:rPr>
              <w:t>大薤菜</w:t>
            </w:r>
          </w:p>
        </w:tc>
        <w:tc>
          <w:tcPr>
            <w:tcW w:w="648" w:type="dxa"/>
          </w:tcPr>
          <w:p w:rsidR="00EA40A3" w:rsidRDefault="00E86C16">
            <w:pPr>
              <w:spacing w:before="87" w:line="127" w:lineRule="exact"/>
              <w:ind w:left="194"/>
              <w:rPr>
                <w:rFonts w:ascii="宋体" w:eastAsia="宋体" w:hAnsi="宋体" w:cs="宋体"/>
                <w:sz w:val="16"/>
                <w:szCs w:val="16"/>
              </w:rPr>
            </w:pPr>
            <w:r>
              <w:rPr>
                <w:rFonts w:ascii="宋体" w:eastAsia="宋体" w:hAnsi="宋体" w:cs="宋体"/>
                <w:spacing w:val="-2"/>
                <w:position w:val="-2"/>
                <w:sz w:val="16"/>
                <w:szCs w:val="16"/>
              </w:rPr>
              <w:t>224</w:t>
            </w:r>
          </w:p>
        </w:tc>
        <w:tc>
          <w:tcPr>
            <w:tcW w:w="510" w:type="dxa"/>
          </w:tcPr>
          <w:p w:rsidR="00EA40A3" w:rsidRDefault="00E86C16">
            <w:pPr>
              <w:spacing w:before="87" w:line="127" w:lineRule="exact"/>
              <w:ind w:left="186"/>
              <w:rPr>
                <w:rFonts w:ascii="宋体" w:eastAsia="宋体" w:hAnsi="宋体" w:cs="宋体"/>
                <w:sz w:val="16"/>
                <w:szCs w:val="16"/>
              </w:rPr>
            </w:pPr>
            <w:r>
              <w:rPr>
                <w:rFonts w:ascii="宋体" w:eastAsia="宋体" w:hAnsi="宋体" w:cs="宋体"/>
                <w:spacing w:val="-2"/>
                <w:position w:val="-2"/>
                <w:sz w:val="16"/>
                <w:szCs w:val="16"/>
              </w:rPr>
              <w:t>691</w:t>
            </w:r>
          </w:p>
        </w:tc>
        <w:tc>
          <w:tcPr>
            <w:tcW w:w="1126" w:type="dxa"/>
          </w:tcPr>
          <w:p w:rsidR="00EA40A3" w:rsidRDefault="00E86C16">
            <w:pPr>
              <w:spacing w:before="87" w:line="127" w:lineRule="exact"/>
              <w:ind w:left="486"/>
              <w:rPr>
                <w:rFonts w:ascii="宋体" w:eastAsia="宋体" w:hAnsi="宋体" w:cs="宋体"/>
                <w:sz w:val="16"/>
                <w:szCs w:val="16"/>
              </w:rPr>
            </w:pPr>
            <w:r>
              <w:rPr>
                <w:rFonts w:ascii="宋体" w:eastAsia="宋体" w:hAnsi="宋体" w:cs="宋体"/>
                <w:spacing w:val="-2"/>
                <w:position w:val="-2"/>
                <w:sz w:val="16"/>
                <w:szCs w:val="16"/>
              </w:rPr>
              <w:t>-83</w:t>
            </w:r>
          </w:p>
        </w:tc>
      </w:tr>
      <w:tr w:rsidR="00EA40A3">
        <w:trPr>
          <w:trHeight w:val="210"/>
        </w:trPr>
        <w:tc>
          <w:tcPr>
            <w:tcW w:w="1295" w:type="dxa"/>
          </w:tcPr>
          <w:p w:rsidR="00EA40A3" w:rsidRDefault="00E86C16">
            <w:pPr>
              <w:spacing w:before="32" w:line="205" w:lineRule="auto"/>
              <w:ind w:left="70"/>
              <w:rPr>
                <w:rFonts w:ascii="宋体" w:eastAsia="宋体" w:hAnsi="宋体" w:cs="宋体"/>
                <w:sz w:val="16"/>
                <w:szCs w:val="16"/>
              </w:rPr>
            </w:pPr>
            <w:r>
              <w:rPr>
                <w:rFonts w:ascii="宋体" w:eastAsia="宋体" w:hAnsi="宋体" w:cs="宋体"/>
                <w:spacing w:val="-3"/>
                <w:sz w:val="16"/>
                <w:szCs w:val="16"/>
              </w:rPr>
              <w:t>厚皮菜</w:t>
            </w:r>
          </w:p>
        </w:tc>
        <w:tc>
          <w:tcPr>
            <w:tcW w:w="648" w:type="dxa"/>
          </w:tcPr>
          <w:p w:rsidR="00EA40A3" w:rsidRDefault="00E86C16">
            <w:pPr>
              <w:spacing w:before="83" w:line="126" w:lineRule="exact"/>
              <w:ind w:left="234"/>
              <w:rPr>
                <w:rFonts w:ascii="宋体" w:eastAsia="宋体" w:hAnsi="宋体" w:cs="宋体"/>
                <w:sz w:val="16"/>
                <w:szCs w:val="16"/>
              </w:rPr>
            </w:pPr>
            <w:r>
              <w:rPr>
                <w:rFonts w:ascii="宋体" w:eastAsia="宋体" w:hAnsi="宋体" w:cs="宋体"/>
                <w:spacing w:val="-2"/>
                <w:position w:val="-2"/>
                <w:sz w:val="16"/>
                <w:szCs w:val="16"/>
              </w:rPr>
              <w:t>64</w:t>
            </w:r>
          </w:p>
        </w:tc>
        <w:tc>
          <w:tcPr>
            <w:tcW w:w="510" w:type="dxa"/>
          </w:tcPr>
          <w:p w:rsidR="00EA40A3" w:rsidRDefault="00E86C16">
            <w:pPr>
              <w:spacing w:before="83" w:line="126" w:lineRule="exact"/>
              <w:ind w:left="186"/>
              <w:rPr>
                <w:rFonts w:ascii="宋体" w:eastAsia="宋体" w:hAnsi="宋体" w:cs="宋体"/>
                <w:sz w:val="16"/>
                <w:szCs w:val="16"/>
              </w:rPr>
            </w:pPr>
            <w:r>
              <w:rPr>
                <w:rFonts w:ascii="宋体" w:eastAsia="宋体" w:hAnsi="宋体" w:cs="宋体"/>
                <w:spacing w:val="-2"/>
                <w:position w:val="-2"/>
                <w:sz w:val="16"/>
                <w:szCs w:val="16"/>
              </w:rPr>
              <w:t>471</w:t>
            </w:r>
          </w:p>
        </w:tc>
        <w:tc>
          <w:tcPr>
            <w:tcW w:w="1126" w:type="dxa"/>
          </w:tcPr>
          <w:p w:rsidR="00EA40A3" w:rsidRDefault="00E86C16">
            <w:pPr>
              <w:spacing w:before="83" w:line="126" w:lineRule="exact"/>
              <w:ind w:left="406"/>
              <w:rPr>
                <w:rFonts w:ascii="宋体" w:eastAsia="宋体" w:hAnsi="宋体" w:cs="宋体"/>
                <w:sz w:val="16"/>
                <w:szCs w:val="16"/>
              </w:rPr>
            </w:pPr>
            <w:r>
              <w:rPr>
                <w:rFonts w:ascii="宋体" w:eastAsia="宋体" w:hAnsi="宋体" w:cs="宋体"/>
                <w:position w:val="-2"/>
                <w:sz w:val="16"/>
                <w:szCs w:val="16"/>
              </w:rPr>
              <w:t>-145</w:t>
            </w:r>
          </w:p>
        </w:tc>
      </w:tr>
      <w:tr w:rsidR="00EA40A3">
        <w:trPr>
          <w:trHeight w:val="210"/>
        </w:trPr>
        <w:tc>
          <w:tcPr>
            <w:tcW w:w="1295" w:type="dxa"/>
            <w:tcBorders>
              <w:bottom w:val="single" w:sz="4" w:space="0" w:color="000000"/>
            </w:tcBorders>
          </w:tcPr>
          <w:p w:rsidR="00EA40A3" w:rsidRDefault="00E86C16">
            <w:pPr>
              <w:spacing w:before="32" w:line="205" w:lineRule="auto"/>
              <w:ind w:left="70"/>
              <w:rPr>
                <w:rFonts w:ascii="宋体" w:eastAsia="宋体" w:hAnsi="宋体" w:cs="宋体"/>
                <w:sz w:val="16"/>
                <w:szCs w:val="16"/>
              </w:rPr>
            </w:pPr>
            <w:r>
              <w:rPr>
                <w:rFonts w:ascii="宋体" w:eastAsia="宋体" w:hAnsi="宋体" w:cs="宋体"/>
                <w:spacing w:val="1"/>
                <w:sz w:val="16"/>
                <w:szCs w:val="16"/>
              </w:rPr>
              <w:t>圆叶菠菜</w:t>
            </w:r>
          </w:p>
        </w:tc>
        <w:tc>
          <w:tcPr>
            <w:tcW w:w="648" w:type="dxa"/>
            <w:tcBorders>
              <w:bottom w:val="single" w:sz="4" w:space="0" w:color="000000"/>
            </w:tcBorders>
          </w:tcPr>
          <w:p w:rsidR="00EA40A3" w:rsidRDefault="00E86C16">
            <w:pPr>
              <w:spacing w:before="93" w:line="116" w:lineRule="exact"/>
              <w:ind w:left="194"/>
              <w:rPr>
                <w:rFonts w:ascii="宋体" w:eastAsia="宋体" w:hAnsi="宋体" w:cs="宋体"/>
                <w:sz w:val="16"/>
                <w:szCs w:val="16"/>
              </w:rPr>
            </w:pPr>
            <w:r>
              <w:rPr>
                <w:rFonts w:ascii="宋体" w:eastAsia="宋体" w:hAnsi="宋体" w:cs="宋体"/>
                <w:spacing w:val="-5"/>
                <w:position w:val="-2"/>
                <w:sz w:val="16"/>
                <w:szCs w:val="16"/>
              </w:rPr>
              <w:t>102</w:t>
            </w:r>
          </w:p>
        </w:tc>
        <w:tc>
          <w:tcPr>
            <w:tcW w:w="510" w:type="dxa"/>
            <w:tcBorders>
              <w:bottom w:val="single" w:sz="4" w:space="0" w:color="000000"/>
            </w:tcBorders>
          </w:tcPr>
          <w:p w:rsidR="00EA40A3" w:rsidRDefault="00E86C16">
            <w:pPr>
              <w:spacing w:before="73" w:line="157" w:lineRule="auto"/>
              <w:ind w:left="186"/>
              <w:rPr>
                <w:rFonts w:ascii="宋体" w:eastAsia="宋体" w:hAnsi="宋体" w:cs="宋体"/>
                <w:sz w:val="16"/>
                <w:szCs w:val="16"/>
              </w:rPr>
            </w:pPr>
            <w:r>
              <w:rPr>
                <w:rFonts w:ascii="宋体" w:eastAsia="宋体" w:hAnsi="宋体" w:cs="宋体"/>
                <w:spacing w:val="-2"/>
                <w:sz w:val="16"/>
                <w:szCs w:val="16"/>
              </w:rPr>
              <w:t>606</w:t>
            </w:r>
          </w:p>
        </w:tc>
        <w:tc>
          <w:tcPr>
            <w:tcW w:w="1126" w:type="dxa"/>
            <w:tcBorders>
              <w:bottom w:val="single" w:sz="4" w:space="0" w:color="000000"/>
            </w:tcBorders>
          </w:tcPr>
          <w:p w:rsidR="00EA40A3" w:rsidRDefault="00E86C16">
            <w:pPr>
              <w:spacing w:before="93" w:line="116" w:lineRule="exact"/>
              <w:ind w:left="406"/>
              <w:rPr>
                <w:rFonts w:ascii="宋体" w:eastAsia="宋体" w:hAnsi="宋体" w:cs="宋体"/>
                <w:sz w:val="16"/>
                <w:szCs w:val="16"/>
              </w:rPr>
            </w:pPr>
            <w:r>
              <w:rPr>
                <w:rFonts w:ascii="宋体" w:eastAsia="宋体" w:hAnsi="宋体" w:cs="宋体"/>
                <w:position w:val="-2"/>
                <w:sz w:val="16"/>
                <w:szCs w:val="16"/>
              </w:rPr>
              <w:t>-165</w:t>
            </w:r>
          </w:p>
        </w:tc>
      </w:tr>
    </w:tbl>
    <w:p w:rsidR="00EA40A3" w:rsidRDefault="00E86C16">
      <w:pPr>
        <w:spacing w:before="73" w:line="230" w:lineRule="auto"/>
        <w:ind w:left="339" w:right="42"/>
        <w:rPr>
          <w:rFonts w:ascii="宋体" w:eastAsia="宋体" w:hAnsi="宋体" w:cs="宋体"/>
          <w:sz w:val="19"/>
          <w:szCs w:val="19"/>
        </w:rPr>
      </w:pPr>
      <w:r>
        <w:rPr>
          <w:rFonts w:ascii="宋体" w:eastAsia="宋体" w:hAnsi="宋体" w:cs="宋体"/>
          <w:spacing w:val="-18"/>
          <w:w w:val="95"/>
          <w:sz w:val="19"/>
          <w:szCs w:val="19"/>
        </w:rPr>
        <w:t>资料来源：关桂梧等.1986.营养学基础与临床</w:t>
      </w:r>
      <w:r>
        <w:rPr>
          <w:rFonts w:ascii="宋体" w:eastAsia="宋体" w:hAnsi="宋体" w:cs="宋体"/>
          <w:sz w:val="19"/>
          <w:szCs w:val="19"/>
        </w:rPr>
        <w:t xml:space="preserve"> </w:t>
      </w:r>
      <w:r>
        <w:rPr>
          <w:rFonts w:ascii="宋体" w:eastAsia="宋体" w:hAnsi="宋体" w:cs="宋体"/>
          <w:spacing w:val="-20"/>
          <w:w w:val="94"/>
          <w:sz w:val="19"/>
          <w:szCs w:val="19"/>
        </w:rPr>
        <w:t>实践.北京：北京科学技术出版社</w:t>
      </w:r>
    </w:p>
    <w:p w:rsidR="00EA40A3" w:rsidRDefault="00EA40A3">
      <w:pPr>
        <w:sectPr w:rsidR="00EA40A3">
          <w:type w:val="continuous"/>
          <w:pgSz w:w="9410" w:h="13490"/>
          <w:pgMar w:top="400" w:right="1130" w:bottom="1363" w:left="979" w:header="0" w:footer="1116" w:gutter="0"/>
          <w:cols w:num="2" w:space="720" w:equalWidth="0">
            <w:col w:w="3621" w:space="100"/>
            <w:col w:w="3580"/>
          </w:cols>
        </w:sectPr>
      </w:pPr>
    </w:p>
    <w:p w:rsidR="00EA40A3" w:rsidRDefault="00EA40A3">
      <w:pPr>
        <w:spacing w:line="256" w:lineRule="auto"/>
      </w:pPr>
    </w:p>
    <w:p w:rsidR="00EA40A3" w:rsidRDefault="00EA40A3">
      <w:pPr>
        <w:spacing w:line="256" w:lineRule="auto"/>
      </w:pPr>
    </w:p>
    <w:p w:rsidR="00EA40A3" w:rsidRDefault="00E86C16">
      <w:pPr>
        <w:spacing w:before="63" w:line="219" w:lineRule="auto"/>
        <w:ind w:left="2"/>
        <w:outlineLvl w:val="6"/>
        <w:rPr>
          <w:rFonts w:ascii="宋体" w:eastAsia="宋体" w:hAnsi="宋体" w:cs="宋体"/>
          <w:sz w:val="19"/>
          <w:szCs w:val="19"/>
        </w:rPr>
      </w:pPr>
      <w:r>
        <w:rPr>
          <w:rFonts w:ascii="宋体" w:eastAsia="宋体" w:hAnsi="宋体" w:cs="宋体"/>
          <w:b/>
          <w:bCs/>
          <w:spacing w:val="-4"/>
          <w:sz w:val="19"/>
          <w:szCs w:val="19"/>
        </w:rPr>
        <w:t>4.1.3</w:t>
      </w:r>
      <w:r>
        <w:rPr>
          <w:rFonts w:ascii="宋体" w:eastAsia="宋体" w:hAnsi="宋体" w:cs="宋体"/>
          <w:spacing w:val="20"/>
          <w:sz w:val="19"/>
          <w:szCs w:val="19"/>
        </w:rPr>
        <w:t xml:space="preserve">   </w:t>
      </w:r>
      <w:r>
        <w:rPr>
          <w:rFonts w:ascii="宋体" w:eastAsia="宋体" w:hAnsi="宋体" w:cs="宋体"/>
          <w:b/>
          <w:bCs/>
          <w:spacing w:val="-4"/>
          <w:sz w:val="19"/>
          <w:szCs w:val="19"/>
        </w:rPr>
        <w:t>磷</w:t>
      </w:r>
    </w:p>
    <w:p w:rsidR="00EA40A3" w:rsidRDefault="00E86C16">
      <w:pPr>
        <w:spacing w:before="181" w:line="282" w:lineRule="auto"/>
        <w:ind w:right="41" w:firstLine="330"/>
        <w:rPr>
          <w:rFonts w:ascii="宋体" w:eastAsia="宋体" w:hAnsi="宋体" w:cs="宋体"/>
          <w:sz w:val="19"/>
          <w:szCs w:val="19"/>
        </w:rPr>
      </w:pPr>
      <w:r>
        <w:rPr>
          <w:rFonts w:ascii="宋体" w:eastAsia="宋体" w:hAnsi="宋体" w:cs="宋体"/>
          <w:spacing w:val="24"/>
          <w:sz w:val="19"/>
          <w:szCs w:val="19"/>
        </w:rPr>
        <w:t>成人体内约含磷</w:t>
      </w:r>
      <w:r>
        <w:rPr>
          <w:rFonts w:ascii="宋体" w:eastAsia="宋体" w:hAnsi="宋体" w:cs="宋体"/>
          <w:spacing w:val="-41"/>
          <w:sz w:val="19"/>
          <w:szCs w:val="19"/>
        </w:rPr>
        <w:t xml:space="preserve"> </w:t>
      </w:r>
      <w:r>
        <w:rPr>
          <w:rFonts w:ascii="宋体" w:eastAsia="宋体" w:hAnsi="宋体" w:cs="宋体"/>
          <w:spacing w:val="24"/>
          <w:sz w:val="19"/>
          <w:szCs w:val="19"/>
        </w:rPr>
        <w:t>(</w:t>
      </w:r>
      <w:r>
        <w:rPr>
          <w:rFonts w:ascii="宋体" w:eastAsia="宋体" w:hAnsi="宋体" w:cs="宋体"/>
          <w:sz w:val="19"/>
          <w:szCs w:val="19"/>
        </w:rPr>
        <w:t>phosphorus</w:t>
      </w:r>
      <w:r>
        <w:rPr>
          <w:rFonts w:ascii="宋体" w:eastAsia="宋体" w:hAnsi="宋体" w:cs="宋体"/>
          <w:spacing w:val="24"/>
          <w:sz w:val="19"/>
          <w:szCs w:val="19"/>
        </w:rPr>
        <w:t>)650g,</w:t>
      </w:r>
      <w:r>
        <w:rPr>
          <w:rFonts w:ascii="宋体" w:eastAsia="宋体" w:hAnsi="宋体" w:cs="宋体"/>
          <w:spacing w:val="4"/>
          <w:sz w:val="19"/>
          <w:szCs w:val="19"/>
        </w:rPr>
        <w:t xml:space="preserve">    </w:t>
      </w:r>
      <w:r>
        <w:rPr>
          <w:rFonts w:ascii="宋体" w:eastAsia="宋体" w:hAnsi="宋体" w:cs="宋体"/>
          <w:spacing w:val="24"/>
          <w:sz w:val="19"/>
          <w:szCs w:val="19"/>
        </w:rPr>
        <w:t>占体重1%左右，其中85%～90%的</w:t>
      </w:r>
      <w:r>
        <w:rPr>
          <w:rFonts w:ascii="宋体" w:eastAsia="宋体" w:hAnsi="宋体" w:cs="宋体"/>
          <w:sz w:val="19"/>
          <w:szCs w:val="19"/>
        </w:rPr>
        <w:t xml:space="preserve">  </w:t>
      </w:r>
      <w:r>
        <w:rPr>
          <w:rFonts w:ascii="宋体" w:eastAsia="宋体" w:hAnsi="宋体" w:cs="宋体"/>
          <w:spacing w:val="19"/>
          <w:sz w:val="19"/>
          <w:szCs w:val="19"/>
        </w:rPr>
        <w:t>磷与钙结合存在于骨、牙中，10%的磷与蛋白质、脂肪等有机物结合参与构成软</w:t>
      </w:r>
      <w:r>
        <w:rPr>
          <w:rFonts w:ascii="宋体" w:eastAsia="宋体" w:hAnsi="宋体" w:cs="宋体"/>
          <w:spacing w:val="18"/>
          <w:sz w:val="19"/>
          <w:szCs w:val="19"/>
        </w:rPr>
        <w:t xml:space="preserve"> </w:t>
      </w:r>
      <w:r>
        <w:rPr>
          <w:rFonts w:ascii="宋体" w:eastAsia="宋体" w:hAnsi="宋体" w:cs="宋体"/>
          <w:spacing w:val="16"/>
          <w:sz w:val="19"/>
          <w:szCs w:val="19"/>
        </w:rPr>
        <w:t>组织，其余部分广泛分布于体内多种含磷的化合物中。</w:t>
      </w:r>
    </w:p>
    <w:p w:rsidR="00EA40A3" w:rsidRDefault="00E86C16">
      <w:pPr>
        <w:spacing w:before="233" w:line="221"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16"/>
          <w:sz w:val="22"/>
          <w:szCs w:val="22"/>
        </w:rPr>
        <w:t xml:space="preserve"> </w:t>
      </w:r>
      <w:r>
        <w:rPr>
          <w:rFonts w:ascii="仿宋" w:eastAsia="仿宋" w:hAnsi="仿宋" w:cs="仿宋"/>
          <w:spacing w:val="8"/>
          <w:sz w:val="22"/>
          <w:szCs w:val="22"/>
        </w:rPr>
        <w:t>磷的生理功能</w:t>
      </w:r>
    </w:p>
    <w:p w:rsidR="00EA40A3" w:rsidRDefault="00E86C16">
      <w:pPr>
        <w:spacing w:before="188" w:line="260" w:lineRule="auto"/>
        <w:ind w:right="151" w:firstLine="330"/>
        <w:rPr>
          <w:rFonts w:ascii="宋体" w:eastAsia="宋体" w:hAnsi="宋体" w:cs="宋体"/>
          <w:sz w:val="19"/>
          <w:szCs w:val="19"/>
        </w:rPr>
      </w:pPr>
      <w:r>
        <w:rPr>
          <w:rFonts w:ascii="宋体" w:eastAsia="宋体" w:hAnsi="宋体" w:cs="宋体"/>
          <w:spacing w:val="19"/>
          <w:sz w:val="19"/>
          <w:szCs w:val="19"/>
        </w:rPr>
        <w:t>磷一方面是构成骨及牙的重要成分，另一方面也参与大分子的组成(如核酸</w:t>
      </w:r>
      <w:r>
        <w:rPr>
          <w:rFonts w:ascii="宋体" w:eastAsia="宋体" w:hAnsi="宋体" w:cs="宋体"/>
          <w:spacing w:val="15"/>
          <w:sz w:val="19"/>
          <w:szCs w:val="19"/>
        </w:rPr>
        <w:t xml:space="preserve"> </w:t>
      </w:r>
      <w:r>
        <w:rPr>
          <w:rFonts w:ascii="宋体" w:eastAsia="宋体" w:hAnsi="宋体" w:cs="宋体"/>
          <w:spacing w:val="18"/>
          <w:sz w:val="19"/>
          <w:szCs w:val="19"/>
        </w:rPr>
        <w:t>和蛋白质)和体内的重要代谢过程，是机体很重要的一种元素。</w:t>
      </w:r>
    </w:p>
    <w:p w:rsidR="00EA40A3" w:rsidRDefault="00E86C16">
      <w:pPr>
        <w:spacing w:before="75" w:line="269" w:lineRule="auto"/>
        <w:ind w:right="62" w:firstLine="330"/>
        <w:rPr>
          <w:rFonts w:ascii="宋体" w:eastAsia="宋体" w:hAnsi="宋体" w:cs="宋体"/>
          <w:sz w:val="19"/>
          <w:szCs w:val="19"/>
        </w:rPr>
      </w:pPr>
      <w:r>
        <w:rPr>
          <w:rFonts w:ascii="宋体" w:eastAsia="宋体" w:hAnsi="宋体" w:cs="宋体"/>
          <w:spacing w:val="19"/>
          <w:sz w:val="19"/>
          <w:szCs w:val="19"/>
        </w:rPr>
        <w:t>(1)构成骨骼和牙齿。磷与钙形成的难溶性无机磷酸盐，使骨及牙齿结</w:t>
      </w:r>
      <w:r>
        <w:rPr>
          <w:rFonts w:ascii="宋体" w:eastAsia="宋体" w:hAnsi="宋体" w:cs="宋体"/>
          <w:spacing w:val="18"/>
          <w:sz w:val="19"/>
          <w:szCs w:val="19"/>
        </w:rPr>
        <w:t>构坚</w:t>
      </w:r>
      <w:r>
        <w:rPr>
          <w:rFonts w:ascii="宋体" w:eastAsia="宋体" w:hAnsi="宋体" w:cs="宋体"/>
          <w:sz w:val="19"/>
          <w:szCs w:val="19"/>
        </w:rPr>
        <w:t xml:space="preserve">  </w:t>
      </w:r>
      <w:r>
        <w:rPr>
          <w:rFonts w:ascii="宋体" w:eastAsia="宋体" w:hAnsi="宋体" w:cs="宋体"/>
          <w:spacing w:val="17"/>
          <w:sz w:val="19"/>
          <w:szCs w:val="19"/>
        </w:rPr>
        <w:t>固，磷酸盐与胶原纤维共价结合，在骨的沉积及骨的溶出中起</w:t>
      </w:r>
      <w:r>
        <w:rPr>
          <w:rFonts w:ascii="宋体" w:eastAsia="宋体" w:hAnsi="宋体" w:cs="宋体"/>
          <w:spacing w:val="16"/>
          <w:sz w:val="19"/>
          <w:szCs w:val="19"/>
        </w:rPr>
        <w:t>决定性作用，因此</w:t>
      </w:r>
      <w:r>
        <w:rPr>
          <w:rFonts w:ascii="宋体" w:eastAsia="宋体" w:hAnsi="宋体" w:cs="宋体"/>
          <w:sz w:val="19"/>
          <w:szCs w:val="19"/>
        </w:rPr>
        <w:t xml:space="preserve"> </w:t>
      </w:r>
      <w:r>
        <w:rPr>
          <w:rFonts w:ascii="宋体" w:eastAsia="宋体" w:hAnsi="宋体" w:cs="宋体"/>
          <w:spacing w:val="15"/>
          <w:sz w:val="19"/>
          <w:szCs w:val="19"/>
        </w:rPr>
        <w:t>磷的重要性与骨、牙齿中钙盐作用相同。</w:t>
      </w:r>
    </w:p>
    <w:p w:rsidR="00EA40A3" w:rsidRDefault="00EA40A3">
      <w:pPr>
        <w:sectPr w:rsidR="00EA40A3">
          <w:type w:val="continuous"/>
          <w:pgSz w:w="9410" w:h="13490"/>
          <w:pgMar w:top="400" w:right="1130" w:bottom="1363" w:left="979" w:header="0" w:footer="1116" w:gutter="0"/>
          <w:cols w:space="720" w:equalWidth="0">
            <w:col w:w="7300"/>
          </w:cols>
        </w:sectPr>
      </w:pPr>
    </w:p>
    <w:p w:rsidR="00EA40A3" w:rsidRDefault="00EA40A3">
      <w:pPr>
        <w:spacing w:line="286" w:lineRule="auto"/>
      </w:pPr>
    </w:p>
    <w:p w:rsidR="00EA40A3" w:rsidRDefault="00EA40A3">
      <w:pPr>
        <w:spacing w:line="286" w:lineRule="auto"/>
      </w:pPr>
    </w:p>
    <w:p w:rsidR="00EA40A3" w:rsidRDefault="00E86C16">
      <w:pPr>
        <w:spacing w:before="72" w:line="236" w:lineRule="auto"/>
        <w:ind w:right="49" w:firstLine="399"/>
        <w:rPr>
          <w:rFonts w:ascii="宋体" w:eastAsia="宋体" w:hAnsi="宋体" w:cs="宋体"/>
          <w:sz w:val="22"/>
          <w:szCs w:val="22"/>
        </w:rPr>
      </w:pPr>
      <w:r>
        <w:rPr>
          <w:rFonts w:ascii="宋体" w:eastAsia="宋体" w:hAnsi="宋体" w:cs="宋体"/>
          <w:spacing w:val="-8"/>
          <w:sz w:val="22"/>
          <w:szCs w:val="22"/>
        </w:rPr>
        <w:t>(2)磷酸组成生命的重要物质。磷酸是核酸、磷蛋白、磷脂、大多数辅酶或</w:t>
      </w:r>
      <w:r>
        <w:rPr>
          <w:rFonts w:ascii="宋体" w:eastAsia="宋体" w:hAnsi="宋体" w:cs="宋体"/>
          <w:spacing w:val="11"/>
          <w:sz w:val="22"/>
          <w:szCs w:val="22"/>
        </w:rPr>
        <w:t xml:space="preserve"> </w:t>
      </w:r>
      <w:r>
        <w:rPr>
          <w:rFonts w:ascii="宋体" w:eastAsia="宋体" w:hAnsi="宋体" w:cs="宋体"/>
          <w:spacing w:val="-13"/>
          <w:sz w:val="22"/>
          <w:szCs w:val="22"/>
        </w:rPr>
        <w:t>辅基及环腺苷酸</w:t>
      </w:r>
      <w:r>
        <w:rPr>
          <w:rFonts w:ascii="宋体" w:eastAsia="宋体" w:hAnsi="宋体" w:cs="宋体"/>
          <w:spacing w:val="-9"/>
          <w:sz w:val="22"/>
          <w:szCs w:val="22"/>
        </w:rPr>
        <w:t xml:space="preserve"> </w:t>
      </w:r>
      <w:r>
        <w:rPr>
          <w:rFonts w:ascii="宋体" w:eastAsia="宋体" w:hAnsi="宋体" w:cs="宋体"/>
          <w:spacing w:val="-13"/>
          <w:sz w:val="22"/>
          <w:szCs w:val="22"/>
        </w:rPr>
        <w:t>(cAMP)、</w:t>
      </w:r>
      <w:r>
        <w:rPr>
          <w:rFonts w:ascii="宋体" w:eastAsia="宋体" w:hAnsi="宋体" w:cs="宋体"/>
          <w:sz w:val="22"/>
          <w:szCs w:val="22"/>
        </w:rPr>
        <w:t xml:space="preserve">  </w:t>
      </w:r>
      <w:r>
        <w:rPr>
          <w:rFonts w:ascii="宋体" w:eastAsia="宋体" w:hAnsi="宋体" w:cs="宋体"/>
          <w:spacing w:val="-13"/>
          <w:sz w:val="22"/>
          <w:szCs w:val="22"/>
        </w:rPr>
        <w:t>环鸟苷酸</w:t>
      </w:r>
      <w:r>
        <w:rPr>
          <w:rFonts w:ascii="宋体" w:eastAsia="宋体" w:hAnsi="宋体" w:cs="宋体"/>
          <w:spacing w:val="-20"/>
          <w:sz w:val="22"/>
          <w:szCs w:val="22"/>
        </w:rPr>
        <w:t xml:space="preserve"> </w:t>
      </w:r>
      <w:r>
        <w:rPr>
          <w:rFonts w:ascii="宋体" w:eastAsia="宋体" w:hAnsi="宋体" w:cs="宋体"/>
          <w:spacing w:val="-13"/>
          <w:sz w:val="22"/>
          <w:szCs w:val="22"/>
        </w:rPr>
        <w:t>(cGMP)</w:t>
      </w:r>
      <w:r>
        <w:rPr>
          <w:rFonts w:ascii="宋体" w:eastAsia="宋体" w:hAnsi="宋体" w:cs="宋体"/>
          <w:spacing w:val="8"/>
          <w:sz w:val="22"/>
          <w:szCs w:val="22"/>
        </w:rPr>
        <w:t xml:space="preserve">  </w:t>
      </w:r>
      <w:r>
        <w:rPr>
          <w:rFonts w:ascii="宋体" w:eastAsia="宋体" w:hAnsi="宋体" w:cs="宋体"/>
          <w:spacing w:val="-13"/>
          <w:sz w:val="22"/>
          <w:szCs w:val="22"/>
        </w:rPr>
        <w:t>等生命体重</w:t>
      </w:r>
      <w:r>
        <w:rPr>
          <w:rFonts w:ascii="宋体" w:eastAsia="宋体" w:hAnsi="宋体" w:cs="宋体"/>
          <w:spacing w:val="-14"/>
          <w:sz w:val="22"/>
          <w:szCs w:val="22"/>
        </w:rPr>
        <w:t>要物质的组成成分。</w:t>
      </w:r>
    </w:p>
    <w:p w:rsidR="00EA40A3" w:rsidRDefault="00E86C16">
      <w:pPr>
        <w:spacing w:before="38" w:line="241" w:lineRule="auto"/>
        <w:ind w:right="69" w:firstLine="399"/>
        <w:rPr>
          <w:rFonts w:ascii="宋体" w:eastAsia="宋体" w:hAnsi="宋体" w:cs="宋体"/>
          <w:sz w:val="22"/>
          <w:szCs w:val="22"/>
        </w:rPr>
      </w:pPr>
      <w:r>
        <w:rPr>
          <w:rFonts w:ascii="宋体" w:eastAsia="宋体" w:hAnsi="宋体" w:cs="宋体"/>
          <w:spacing w:val="-9"/>
          <w:sz w:val="22"/>
          <w:szCs w:val="22"/>
        </w:rPr>
        <w:t>(3)参与代谢过程。体内的磷以有机磷酸酯的形式参与代谢过程</w:t>
      </w:r>
      <w:r>
        <w:rPr>
          <w:rFonts w:ascii="宋体" w:eastAsia="宋体" w:hAnsi="宋体" w:cs="宋体"/>
          <w:spacing w:val="-10"/>
          <w:sz w:val="22"/>
          <w:szCs w:val="22"/>
        </w:rPr>
        <w:t>。高能磷酸</w:t>
      </w:r>
      <w:r>
        <w:rPr>
          <w:rFonts w:ascii="宋体" w:eastAsia="宋体" w:hAnsi="宋体" w:cs="宋体"/>
          <w:sz w:val="22"/>
          <w:szCs w:val="22"/>
        </w:rPr>
        <w:t xml:space="preserve"> </w:t>
      </w:r>
      <w:r>
        <w:rPr>
          <w:rFonts w:ascii="宋体" w:eastAsia="宋体" w:hAnsi="宋体" w:cs="宋体"/>
          <w:spacing w:val="-12"/>
          <w:sz w:val="22"/>
          <w:szCs w:val="22"/>
        </w:rPr>
        <w:t>化合物如三磷酸腺苷及磷酸肌酸等为能量载体，在细胞</w:t>
      </w:r>
      <w:r>
        <w:rPr>
          <w:rFonts w:ascii="宋体" w:eastAsia="宋体" w:hAnsi="宋体" w:cs="宋体"/>
          <w:spacing w:val="-13"/>
          <w:sz w:val="22"/>
          <w:szCs w:val="22"/>
        </w:rPr>
        <w:t>内能量的转换、代谢中。</w:t>
      </w:r>
      <w:r>
        <w:rPr>
          <w:rFonts w:ascii="宋体" w:eastAsia="宋体" w:hAnsi="宋体" w:cs="宋体"/>
          <w:sz w:val="22"/>
          <w:szCs w:val="22"/>
        </w:rPr>
        <w:t xml:space="preserve"> </w:t>
      </w:r>
      <w:r>
        <w:rPr>
          <w:rFonts w:ascii="宋体" w:eastAsia="宋体" w:hAnsi="宋体" w:cs="宋体"/>
          <w:spacing w:val="-15"/>
          <w:sz w:val="22"/>
          <w:szCs w:val="22"/>
        </w:rPr>
        <w:t>以及作为能源物质在生命活动中起着重要作用。</w:t>
      </w:r>
    </w:p>
    <w:p w:rsidR="00EA40A3" w:rsidRDefault="00E86C16">
      <w:pPr>
        <w:spacing w:before="38" w:line="237" w:lineRule="auto"/>
        <w:ind w:right="95" w:firstLine="399"/>
        <w:rPr>
          <w:rFonts w:ascii="宋体" w:eastAsia="宋体" w:hAnsi="宋体" w:cs="宋体"/>
          <w:sz w:val="22"/>
          <w:szCs w:val="22"/>
        </w:rPr>
      </w:pPr>
      <w:r>
        <w:rPr>
          <w:rFonts w:ascii="宋体" w:eastAsia="宋体" w:hAnsi="宋体" w:cs="宋体"/>
          <w:spacing w:val="-3"/>
          <w:sz w:val="22"/>
          <w:szCs w:val="22"/>
        </w:rPr>
        <w:t>(4)参与酸碱平衡的调节。磷酸盐缓冲体系接近中性，是体内重要的缓冲</w:t>
      </w:r>
      <w:r>
        <w:rPr>
          <w:rFonts w:ascii="宋体" w:eastAsia="宋体" w:hAnsi="宋体" w:cs="宋体"/>
          <w:spacing w:val="12"/>
          <w:sz w:val="22"/>
          <w:szCs w:val="22"/>
        </w:rPr>
        <w:t xml:space="preserve"> </w:t>
      </w:r>
      <w:r>
        <w:rPr>
          <w:rFonts w:ascii="宋体" w:eastAsia="宋体" w:hAnsi="宋体" w:cs="宋体"/>
          <w:spacing w:val="-16"/>
          <w:sz w:val="22"/>
          <w:szCs w:val="22"/>
        </w:rPr>
        <w:t>体系。</w:t>
      </w:r>
    </w:p>
    <w:p w:rsidR="00EA40A3" w:rsidRDefault="00E86C16">
      <w:pPr>
        <w:spacing w:before="211"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42"/>
          <w:sz w:val="22"/>
          <w:szCs w:val="22"/>
        </w:rPr>
        <w:t xml:space="preserve"> </w:t>
      </w:r>
      <w:r>
        <w:rPr>
          <w:rFonts w:ascii="仿宋" w:eastAsia="仿宋" w:hAnsi="仿宋" w:cs="仿宋"/>
          <w:spacing w:val="12"/>
          <w:sz w:val="22"/>
          <w:szCs w:val="22"/>
        </w:rPr>
        <w:t>磷的吸收与代谢</w:t>
      </w:r>
    </w:p>
    <w:p w:rsidR="00EA40A3" w:rsidRDefault="00E86C16">
      <w:pPr>
        <w:spacing w:before="210" w:line="232" w:lineRule="auto"/>
        <w:ind w:right="101" w:firstLine="399"/>
        <w:rPr>
          <w:rFonts w:ascii="宋体" w:eastAsia="宋体" w:hAnsi="宋体" w:cs="宋体"/>
          <w:sz w:val="22"/>
          <w:szCs w:val="22"/>
        </w:rPr>
      </w:pPr>
      <w:r>
        <w:rPr>
          <w:rFonts w:ascii="宋体" w:eastAsia="宋体" w:hAnsi="宋体" w:cs="宋体"/>
          <w:spacing w:val="-13"/>
          <w:sz w:val="22"/>
          <w:szCs w:val="22"/>
        </w:rPr>
        <w:t>体内磷的平衡取决于体内和体外环境之间磷的交换，即磷的摄入、吸收和排</w:t>
      </w:r>
      <w:r>
        <w:rPr>
          <w:rFonts w:ascii="宋体" w:eastAsia="宋体" w:hAnsi="宋体" w:cs="宋体"/>
          <w:spacing w:val="6"/>
          <w:sz w:val="22"/>
          <w:szCs w:val="22"/>
        </w:rPr>
        <w:t xml:space="preserve"> </w:t>
      </w:r>
      <w:r>
        <w:rPr>
          <w:rFonts w:ascii="宋体" w:eastAsia="宋体" w:hAnsi="宋体" w:cs="宋体"/>
          <w:spacing w:val="-17"/>
          <w:sz w:val="22"/>
          <w:szCs w:val="22"/>
        </w:rPr>
        <w:t>泄三者之间的相对平衡。</w:t>
      </w:r>
    </w:p>
    <w:p w:rsidR="00EA40A3" w:rsidRDefault="00E86C16">
      <w:pPr>
        <w:spacing w:before="60" w:line="232" w:lineRule="auto"/>
        <w:rPr>
          <w:rFonts w:ascii="楷体" w:eastAsia="楷体" w:hAnsi="楷体" w:cs="楷体"/>
          <w:sz w:val="17"/>
          <w:szCs w:val="17"/>
        </w:rPr>
      </w:pPr>
      <w:r>
        <w:rPr>
          <w:rFonts w:ascii="楷体" w:eastAsia="楷体" w:hAnsi="楷体" w:cs="楷体"/>
          <w:spacing w:val="-8"/>
          <w:sz w:val="17"/>
          <w:szCs w:val="17"/>
        </w:rPr>
        <w:t>1</w:t>
      </w:r>
      <w:r>
        <w:rPr>
          <w:rFonts w:ascii="楷体" w:eastAsia="楷体" w:hAnsi="楷体" w:cs="楷体"/>
          <w:spacing w:val="-18"/>
          <w:sz w:val="17"/>
          <w:szCs w:val="17"/>
        </w:rPr>
        <w:t xml:space="preserve"> </w:t>
      </w:r>
      <w:r>
        <w:rPr>
          <w:rFonts w:ascii="楷体" w:eastAsia="楷体" w:hAnsi="楷体" w:cs="楷体"/>
          <w:spacing w:val="-8"/>
          <w:sz w:val="17"/>
          <w:szCs w:val="17"/>
        </w:rPr>
        <w:t>)</w:t>
      </w:r>
      <w:r>
        <w:rPr>
          <w:rFonts w:ascii="楷体" w:eastAsia="楷体" w:hAnsi="楷体" w:cs="楷体"/>
          <w:spacing w:val="-12"/>
          <w:sz w:val="17"/>
          <w:szCs w:val="17"/>
        </w:rPr>
        <w:t xml:space="preserve"> </w:t>
      </w:r>
      <w:r>
        <w:rPr>
          <w:rFonts w:ascii="楷体" w:eastAsia="楷体" w:hAnsi="楷体" w:cs="楷体"/>
          <w:spacing w:val="-8"/>
          <w:sz w:val="17"/>
          <w:szCs w:val="17"/>
        </w:rPr>
        <w:t>吸</w:t>
      </w:r>
      <w:r>
        <w:rPr>
          <w:rFonts w:ascii="楷体" w:eastAsia="楷体" w:hAnsi="楷体" w:cs="楷体"/>
          <w:spacing w:val="-11"/>
          <w:sz w:val="17"/>
          <w:szCs w:val="17"/>
        </w:rPr>
        <w:t xml:space="preserve"> </w:t>
      </w:r>
      <w:r>
        <w:rPr>
          <w:rFonts w:ascii="楷体" w:eastAsia="楷体" w:hAnsi="楷体" w:cs="楷体"/>
          <w:spacing w:val="-8"/>
          <w:sz w:val="17"/>
          <w:szCs w:val="17"/>
        </w:rPr>
        <w:t>收</w:t>
      </w:r>
    </w:p>
    <w:p w:rsidR="00EA40A3" w:rsidRDefault="00E86C16">
      <w:pPr>
        <w:spacing w:before="94" w:line="248" w:lineRule="auto"/>
        <w:ind w:firstLine="399"/>
        <w:jc w:val="both"/>
        <w:rPr>
          <w:rFonts w:ascii="宋体" w:eastAsia="宋体" w:hAnsi="宋体" w:cs="宋体"/>
          <w:sz w:val="22"/>
          <w:szCs w:val="22"/>
        </w:rPr>
      </w:pPr>
      <w:r>
        <w:rPr>
          <w:rFonts w:ascii="宋体" w:eastAsia="宋体" w:hAnsi="宋体" w:cs="宋体"/>
          <w:spacing w:val="-13"/>
          <w:sz w:val="22"/>
          <w:szCs w:val="22"/>
        </w:rPr>
        <w:t>磷的吸收部位在小肠，其中以十二指肠及空肠部位吸收最快，回肠较差。磷</w:t>
      </w:r>
      <w:r>
        <w:rPr>
          <w:rFonts w:ascii="宋体" w:eastAsia="宋体" w:hAnsi="宋体" w:cs="宋体"/>
          <w:spacing w:val="3"/>
          <w:sz w:val="22"/>
          <w:szCs w:val="22"/>
        </w:rPr>
        <w:t xml:space="preserve">  </w:t>
      </w:r>
      <w:r>
        <w:rPr>
          <w:rFonts w:ascii="宋体" w:eastAsia="宋体" w:hAnsi="宋体" w:cs="宋体"/>
          <w:spacing w:val="-13"/>
          <w:sz w:val="22"/>
          <w:szCs w:val="22"/>
        </w:rPr>
        <w:t>的吸收分为通过载体需能的主动吸收和扩散被动吸收两种机制。</w:t>
      </w:r>
      <w:r>
        <w:rPr>
          <w:rFonts w:ascii="宋体" w:eastAsia="宋体" w:hAnsi="宋体" w:cs="宋体"/>
          <w:spacing w:val="-14"/>
          <w:sz w:val="22"/>
          <w:szCs w:val="22"/>
        </w:rPr>
        <w:t>磷在肠道的吸收</w:t>
      </w:r>
      <w:r>
        <w:rPr>
          <w:rFonts w:ascii="宋体" w:eastAsia="宋体" w:hAnsi="宋体" w:cs="宋体"/>
          <w:sz w:val="22"/>
          <w:szCs w:val="22"/>
        </w:rPr>
        <w:t xml:space="preserve">  </w:t>
      </w:r>
      <w:r>
        <w:rPr>
          <w:rFonts w:ascii="宋体" w:eastAsia="宋体" w:hAnsi="宋体" w:cs="宋体"/>
          <w:spacing w:val="-13"/>
          <w:sz w:val="22"/>
          <w:szCs w:val="22"/>
        </w:rPr>
        <w:t>率常因食物磷的存在形式与量多少而变动。大多数食物中含磷化</w:t>
      </w:r>
      <w:r>
        <w:rPr>
          <w:rFonts w:ascii="宋体" w:eastAsia="宋体" w:hAnsi="宋体" w:cs="宋体"/>
          <w:spacing w:val="-14"/>
          <w:sz w:val="22"/>
          <w:szCs w:val="22"/>
        </w:rPr>
        <w:t>合物以有机磷酸</w:t>
      </w:r>
      <w:r>
        <w:rPr>
          <w:rFonts w:ascii="宋体" w:eastAsia="宋体" w:hAnsi="宋体" w:cs="宋体"/>
          <w:sz w:val="22"/>
          <w:szCs w:val="22"/>
        </w:rPr>
        <w:t xml:space="preserve">  </w:t>
      </w:r>
      <w:r>
        <w:rPr>
          <w:rFonts w:ascii="宋体" w:eastAsia="宋体" w:hAnsi="宋体" w:cs="宋体"/>
          <w:spacing w:val="-13"/>
          <w:sz w:val="22"/>
          <w:szCs w:val="22"/>
        </w:rPr>
        <w:t>酯和磷脂为主，这些磷酸酯在消化道经酶促水解形成酸性无机磷</w:t>
      </w:r>
      <w:r>
        <w:rPr>
          <w:rFonts w:ascii="宋体" w:eastAsia="宋体" w:hAnsi="宋体" w:cs="宋体"/>
          <w:spacing w:val="-14"/>
          <w:sz w:val="22"/>
          <w:szCs w:val="22"/>
        </w:rPr>
        <w:t>酸盐后才易被吸</w:t>
      </w:r>
      <w:r>
        <w:rPr>
          <w:rFonts w:ascii="宋体" w:eastAsia="宋体" w:hAnsi="宋体" w:cs="宋体"/>
          <w:sz w:val="22"/>
          <w:szCs w:val="22"/>
        </w:rPr>
        <w:t xml:space="preserve">  </w:t>
      </w:r>
      <w:r>
        <w:rPr>
          <w:rFonts w:ascii="宋体" w:eastAsia="宋体" w:hAnsi="宋体" w:cs="宋体"/>
          <w:spacing w:val="-13"/>
          <w:sz w:val="22"/>
          <w:szCs w:val="22"/>
        </w:rPr>
        <w:t>收，而乳类食品中则含较多无机磷酸盐，其中酸性无机磷酸盐溶解度最高，故易</w:t>
      </w:r>
      <w:r>
        <w:rPr>
          <w:rFonts w:ascii="宋体" w:eastAsia="宋体" w:hAnsi="宋体" w:cs="宋体"/>
          <w:spacing w:val="5"/>
          <w:sz w:val="22"/>
          <w:szCs w:val="22"/>
        </w:rPr>
        <w:t xml:space="preserve"> 于吸收。普通膳食中磷吸收率约70%,而在低磷膳食时，吸收率可增至90%。</w:t>
      </w:r>
      <w:r>
        <w:rPr>
          <w:rFonts w:ascii="宋体" w:eastAsia="宋体" w:hAnsi="宋体" w:cs="宋体"/>
          <w:spacing w:val="8"/>
          <w:sz w:val="22"/>
          <w:szCs w:val="22"/>
        </w:rPr>
        <w:t xml:space="preserve"> </w:t>
      </w:r>
      <w:r>
        <w:rPr>
          <w:rFonts w:ascii="宋体" w:eastAsia="宋体" w:hAnsi="宋体" w:cs="宋体"/>
          <w:spacing w:val="-10"/>
          <w:sz w:val="22"/>
          <w:szCs w:val="22"/>
        </w:rPr>
        <w:t>膳食中磷的来源及膳食中有机磷的性质</w:t>
      </w:r>
      <w:r>
        <w:rPr>
          <w:rFonts w:ascii="宋体" w:eastAsia="宋体" w:hAnsi="宋体" w:cs="宋体"/>
          <w:spacing w:val="-11"/>
          <w:sz w:val="22"/>
          <w:szCs w:val="22"/>
        </w:rPr>
        <w:t>可影响磷的吸收，如植酸</w:t>
      </w:r>
      <w:r>
        <w:rPr>
          <w:rFonts w:ascii="宋体" w:eastAsia="宋体" w:hAnsi="宋体" w:cs="宋体"/>
          <w:spacing w:val="-10"/>
          <w:sz w:val="22"/>
          <w:szCs w:val="22"/>
        </w:rPr>
        <w:t xml:space="preserve"> </w:t>
      </w:r>
      <w:r>
        <w:rPr>
          <w:rFonts w:ascii="宋体" w:eastAsia="宋体" w:hAnsi="宋体" w:cs="宋体"/>
          <w:spacing w:val="-11"/>
          <w:sz w:val="22"/>
          <w:szCs w:val="22"/>
        </w:rPr>
        <w:t>(</w:t>
      </w:r>
      <w:r>
        <w:rPr>
          <w:rFonts w:ascii="宋体" w:eastAsia="宋体" w:hAnsi="宋体" w:cs="宋体"/>
          <w:spacing w:val="-10"/>
          <w:sz w:val="22"/>
          <w:szCs w:val="22"/>
        </w:rPr>
        <w:t>phytic</w:t>
      </w:r>
      <w:r>
        <w:rPr>
          <w:rFonts w:ascii="宋体" w:eastAsia="宋体" w:hAnsi="宋体" w:cs="宋体"/>
          <w:spacing w:val="-7"/>
          <w:sz w:val="22"/>
          <w:szCs w:val="22"/>
        </w:rPr>
        <w:t xml:space="preserve"> </w:t>
      </w:r>
      <w:r>
        <w:rPr>
          <w:rFonts w:ascii="宋体" w:eastAsia="宋体" w:hAnsi="宋体" w:cs="宋体"/>
          <w:spacing w:val="-10"/>
          <w:sz w:val="22"/>
          <w:szCs w:val="22"/>
        </w:rPr>
        <w:t>acid</w:t>
      </w:r>
      <w:r>
        <w:rPr>
          <w:rFonts w:ascii="宋体" w:eastAsia="宋体" w:hAnsi="宋体" w:cs="宋体"/>
          <w:spacing w:val="-11"/>
          <w:sz w:val="22"/>
          <w:szCs w:val="22"/>
        </w:rPr>
        <w:t>)</w:t>
      </w:r>
      <w:r>
        <w:rPr>
          <w:rFonts w:ascii="宋体" w:eastAsia="宋体" w:hAnsi="宋体" w:cs="宋体"/>
          <w:sz w:val="22"/>
          <w:szCs w:val="22"/>
        </w:rPr>
        <w:t xml:space="preserve"> 存在于谷胚中，由于人体肠黏膜缺乏植酸酶，故所形成的</w:t>
      </w:r>
      <w:r>
        <w:rPr>
          <w:rFonts w:ascii="宋体" w:eastAsia="宋体" w:hAnsi="宋体" w:cs="宋体"/>
          <w:spacing w:val="-1"/>
          <w:sz w:val="22"/>
          <w:szCs w:val="22"/>
        </w:rPr>
        <w:t>植酸盐不能为人体</w:t>
      </w:r>
      <w:r>
        <w:rPr>
          <w:rFonts w:ascii="宋体" w:eastAsia="宋体" w:hAnsi="宋体" w:cs="宋体"/>
          <w:sz w:val="22"/>
          <w:szCs w:val="22"/>
        </w:rPr>
        <w:t xml:space="preserve"> </w:t>
      </w:r>
      <w:r>
        <w:rPr>
          <w:rFonts w:ascii="宋体" w:eastAsia="宋体" w:hAnsi="宋体" w:cs="宋体"/>
          <w:spacing w:val="-16"/>
          <w:sz w:val="22"/>
          <w:szCs w:val="22"/>
        </w:rPr>
        <w:t>吸收。</w:t>
      </w:r>
    </w:p>
    <w:p w:rsidR="00EA40A3" w:rsidRDefault="00E86C16">
      <w:pPr>
        <w:spacing w:before="89" w:line="245" w:lineRule="auto"/>
        <w:ind w:firstLine="399"/>
        <w:jc w:val="both"/>
        <w:rPr>
          <w:rFonts w:ascii="宋体" w:eastAsia="宋体" w:hAnsi="宋体" w:cs="宋体"/>
          <w:sz w:val="22"/>
          <w:szCs w:val="22"/>
        </w:rPr>
      </w:pPr>
      <w:r>
        <w:rPr>
          <w:rFonts w:ascii="宋体" w:eastAsia="宋体" w:hAnsi="宋体" w:cs="宋体"/>
          <w:spacing w:val="-6"/>
          <w:sz w:val="22"/>
          <w:szCs w:val="22"/>
        </w:rPr>
        <w:t>在机体活跃的生长发育阶段，磷的运转效率高于成年期</w:t>
      </w:r>
      <w:r>
        <w:rPr>
          <w:rFonts w:ascii="宋体" w:eastAsia="宋体" w:hAnsi="宋体" w:cs="宋体"/>
          <w:spacing w:val="-7"/>
          <w:sz w:val="22"/>
          <w:szCs w:val="22"/>
        </w:rPr>
        <w:t>，以母乳喂养的婴</w:t>
      </w:r>
      <w:r>
        <w:rPr>
          <w:rFonts w:ascii="宋体" w:eastAsia="宋体" w:hAnsi="宋体" w:cs="宋体"/>
          <w:sz w:val="22"/>
          <w:szCs w:val="22"/>
        </w:rPr>
        <w:t xml:space="preserve">  </w:t>
      </w:r>
      <w:r>
        <w:rPr>
          <w:rFonts w:ascii="宋体" w:eastAsia="宋体" w:hAnsi="宋体" w:cs="宋体"/>
          <w:spacing w:val="8"/>
          <w:sz w:val="22"/>
          <w:szCs w:val="22"/>
        </w:rPr>
        <w:t>儿，磷吸收率为85%～90%,学龄儿童或成人吸收</w:t>
      </w:r>
      <w:r>
        <w:rPr>
          <w:rFonts w:ascii="宋体" w:eastAsia="宋体" w:hAnsi="宋体" w:cs="宋体"/>
          <w:spacing w:val="7"/>
          <w:sz w:val="22"/>
          <w:szCs w:val="22"/>
        </w:rPr>
        <w:t>率为50%～70%。此外肠道</w:t>
      </w:r>
      <w:r>
        <w:rPr>
          <w:rFonts w:ascii="宋体" w:eastAsia="宋体" w:hAnsi="宋体" w:cs="宋体"/>
          <w:sz w:val="22"/>
          <w:szCs w:val="22"/>
        </w:rPr>
        <w:t xml:space="preserve">  </w:t>
      </w:r>
      <w:r>
        <w:rPr>
          <w:rFonts w:ascii="宋体" w:eastAsia="宋体" w:hAnsi="宋体" w:cs="宋体"/>
          <w:spacing w:val="-4"/>
          <w:sz w:val="22"/>
          <w:szCs w:val="22"/>
        </w:rPr>
        <w:t>酸度增加，有利于磷的吸收，当肠道中一些金属的阳离子存在时，</w:t>
      </w:r>
      <w:r>
        <w:rPr>
          <w:rFonts w:ascii="宋体" w:eastAsia="宋体" w:hAnsi="宋体" w:cs="宋体"/>
          <w:spacing w:val="-5"/>
          <w:sz w:val="22"/>
          <w:szCs w:val="22"/>
        </w:rPr>
        <w:t>如钙、镁、</w:t>
      </w:r>
      <w:r>
        <w:rPr>
          <w:rFonts w:ascii="宋体" w:eastAsia="宋体" w:hAnsi="宋体" w:cs="宋体"/>
          <w:sz w:val="22"/>
          <w:szCs w:val="22"/>
        </w:rPr>
        <w:t xml:space="preserve"> </w:t>
      </w:r>
      <w:r>
        <w:rPr>
          <w:rFonts w:ascii="宋体" w:eastAsia="宋体" w:hAnsi="宋体" w:cs="宋体"/>
          <w:spacing w:val="-13"/>
          <w:sz w:val="22"/>
          <w:szCs w:val="22"/>
        </w:rPr>
        <w:t>铁、铝等，因与磷酸根形成不溶性磷酸盐，而不利于磷的吸收。肠</w:t>
      </w:r>
      <w:r>
        <w:rPr>
          <w:rFonts w:ascii="宋体" w:eastAsia="宋体" w:hAnsi="宋体" w:cs="宋体"/>
          <w:spacing w:val="-14"/>
          <w:sz w:val="22"/>
          <w:szCs w:val="22"/>
        </w:rPr>
        <w:t>道中活性维生</w:t>
      </w:r>
      <w:r>
        <w:rPr>
          <w:rFonts w:ascii="宋体" w:eastAsia="宋体" w:hAnsi="宋体" w:cs="宋体"/>
          <w:sz w:val="22"/>
          <w:szCs w:val="22"/>
        </w:rPr>
        <w:t xml:space="preserve">  </w:t>
      </w:r>
      <w:r>
        <w:rPr>
          <w:rFonts w:ascii="宋体" w:eastAsia="宋体" w:hAnsi="宋体" w:cs="宋体"/>
          <w:spacing w:val="-17"/>
          <w:sz w:val="22"/>
          <w:szCs w:val="22"/>
        </w:rPr>
        <w:t>素</w:t>
      </w:r>
      <w:r>
        <w:rPr>
          <w:rFonts w:ascii="宋体" w:eastAsia="宋体" w:hAnsi="宋体" w:cs="宋体"/>
          <w:spacing w:val="-56"/>
          <w:sz w:val="22"/>
          <w:szCs w:val="22"/>
        </w:rPr>
        <w:t xml:space="preserve"> </w:t>
      </w:r>
      <w:r>
        <w:rPr>
          <w:rFonts w:ascii="宋体" w:eastAsia="宋体" w:hAnsi="宋体" w:cs="宋体"/>
          <w:spacing w:val="-17"/>
          <w:sz w:val="22"/>
          <w:szCs w:val="22"/>
        </w:rPr>
        <w:t>D</w:t>
      </w:r>
      <w:r>
        <w:rPr>
          <w:rFonts w:ascii="宋体" w:eastAsia="宋体" w:hAnsi="宋体" w:cs="宋体"/>
          <w:spacing w:val="-16"/>
          <w:sz w:val="22"/>
          <w:szCs w:val="22"/>
        </w:rPr>
        <w:t xml:space="preserve"> </w:t>
      </w:r>
      <w:r>
        <w:rPr>
          <w:rFonts w:ascii="宋体" w:eastAsia="宋体" w:hAnsi="宋体" w:cs="宋体"/>
          <w:spacing w:val="-17"/>
          <w:sz w:val="22"/>
          <w:szCs w:val="22"/>
        </w:rPr>
        <w:t>能有效地促进磷吸收。</w:t>
      </w:r>
    </w:p>
    <w:p w:rsidR="00EA40A3" w:rsidRDefault="00E86C16">
      <w:pPr>
        <w:spacing w:before="41" w:line="219" w:lineRule="auto"/>
        <w:rPr>
          <w:rFonts w:ascii="宋体" w:eastAsia="宋体" w:hAnsi="宋体" w:cs="宋体"/>
          <w:sz w:val="22"/>
          <w:szCs w:val="22"/>
        </w:rPr>
      </w:pPr>
      <w:r>
        <w:rPr>
          <w:rFonts w:ascii="宋体" w:eastAsia="宋体" w:hAnsi="宋体" w:cs="宋体"/>
          <w:spacing w:val="11"/>
          <w:sz w:val="22"/>
          <w:szCs w:val="22"/>
        </w:rPr>
        <w:t>2)代谢</w:t>
      </w:r>
    </w:p>
    <w:p w:rsidR="00EA40A3" w:rsidRDefault="00E86C16">
      <w:pPr>
        <w:spacing w:before="79" w:line="242" w:lineRule="auto"/>
        <w:ind w:right="19" w:firstLine="399"/>
        <w:jc w:val="both"/>
        <w:rPr>
          <w:rFonts w:ascii="宋体" w:eastAsia="宋体" w:hAnsi="宋体" w:cs="宋体"/>
          <w:sz w:val="22"/>
          <w:szCs w:val="22"/>
        </w:rPr>
      </w:pPr>
      <w:r>
        <w:rPr>
          <w:rFonts w:ascii="宋体" w:eastAsia="宋体" w:hAnsi="宋体" w:cs="宋体"/>
          <w:spacing w:val="-13"/>
          <w:sz w:val="22"/>
          <w:szCs w:val="22"/>
        </w:rPr>
        <w:t>膳食中摄入的磷未经肠道吸收的从粪便排出，这部分平均约占机体每日摄磷</w:t>
      </w:r>
      <w:r>
        <w:rPr>
          <w:rFonts w:ascii="宋体" w:eastAsia="宋体" w:hAnsi="宋体" w:cs="宋体"/>
          <w:spacing w:val="7"/>
          <w:sz w:val="22"/>
          <w:szCs w:val="22"/>
        </w:rPr>
        <w:t xml:space="preserve"> </w:t>
      </w:r>
      <w:r>
        <w:rPr>
          <w:rFonts w:ascii="宋体" w:eastAsia="宋体" w:hAnsi="宋体" w:cs="宋体"/>
          <w:spacing w:val="5"/>
          <w:sz w:val="22"/>
          <w:szCs w:val="22"/>
        </w:rPr>
        <w:t>量的30%,其余70%经由肾以可溶性磷酸盐形式排出，</w:t>
      </w:r>
      <w:r>
        <w:rPr>
          <w:rFonts w:ascii="宋体" w:eastAsia="宋体" w:hAnsi="宋体" w:cs="宋体"/>
          <w:spacing w:val="4"/>
          <w:sz w:val="22"/>
          <w:szCs w:val="22"/>
        </w:rPr>
        <w:t>少量也可由汗液排出。</w:t>
      </w:r>
      <w:r>
        <w:rPr>
          <w:rFonts w:ascii="宋体" w:eastAsia="宋体" w:hAnsi="宋体" w:cs="宋体"/>
          <w:sz w:val="22"/>
          <w:szCs w:val="22"/>
        </w:rPr>
        <w:t xml:space="preserve"> </w:t>
      </w:r>
      <w:r>
        <w:rPr>
          <w:rFonts w:ascii="宋体" w:eastAsia="宋体" w:hAnsi="宋体" w:cs="宋体"/>
          <w:spacing w:val="-4"/>
          <w:sz w:val="22"/>
          <w:szCs w:val="22"/>
        </w:rPr>
        <w:t>故机体控制和排、留磷的主要脏器是肾脏。血液流经肾小球时，约有90%的血</w:t>
      </w:r>
      <w:r>
        <w:rPr>
          <w:rFonts w:ascii="宋体" w:eastAsia="宋体" w:hAnsi="宋体" w:cs="宋体"/>
          <w:spacing w:val="8"/>
          <w:sz w:val="22"/>
          <w:szCs w:val="22"/>
        </w:rPr>
        <w:t xml:space="preserve"> </w:t>
      </w:r>
      <w:r>
        <w:rPr>
          <w:rFonts w:ascii="宋体" w:eastAsia="宋体" w:hAnsi="宋体" w:cs="宋体"/>
          <w:spacing w:val="-3"/>
          <w:sz w:val="22"/>
          <w:szCs w:val="22"/>
        </w:rPr>
        <w:t>浆无机磷滤过基底膜，滤过的磷酸盐可被肾小管重吸收85%～90%,</w:t>
      </w:r>
    </w:p>
    <w:p w:rsidR="00EA40A3" w:rsidRDefault="00E86C16">
      <w:pPr>
        <w:spacing w:before="55"/>
        <w:ind w:right="100" w:firstLine="399"/>
        <w:jc w:val="both"/>
        <w:rPr>
          <w:rFonts w:ascii="宋体" w:eastAsia="宋体" w:hAnsi="宋体" w:cs="宋体"/>
          <w:sz w:val="22"/>
          <w:szCs w:val="22"/>
        </w:rPr>
      </w:pPr>
      <w:r>
        <w:rPr>
          <w:rFonts w:ascii="宋体" w:eastAsia="宋体" w:hAnsi="宋体" w:cs="宋体"/>
          <w:spacing w:val="-9"/>
          <w:sz w:val="22"/>
          <w:szCs w:val="22"/>
        </w:rPr>
        <w:t>肾对磷的吸收和排泄受以下因素调节，</w:t>
      </w:r>
      <w:r>
        <w:rPr>
          <w:rFonts w:ascii="宋体" w:eastAsia="宋体" w:hAnsi="宋体" w:cs="宋体"/>
          <w:spacing w:val="-61"/>
          <w:sz w:val="22"/>
          <w:szCs w:val="22"/>
        </w:rPr>
        <w:t xml:space="preserve"> </w:t>
      </w:r>
      <w:r>
        <w:rPr>
          <w:rFonts w:ascii="宋体" w:eastAsia="宋体" w:hAnsi="宋体" w:cs="宋体"/>
          <w:spacing w:val="-9"/>
          <w:sz w:val="22"/>
          <w:szCs w:val="22"/>
        </w:rPr>
        <w:t>PTH</w:t>
      </w:r>
      <w:r>
        <w:rPr>
          <w:rFonts w:ascii="宋体" w:eastAsia="宋体" w:hAnsi="宋体" w:cs="宋体"/>
          <w:spacing w:val="86"/>
          <w:sz w:val="22"/>
          <w:szCs w:val="22"/>
        </w:rPr>
        <w:t xml:space="preserve"> </w:t>
      </w:r>
      <w:r>
        <w:rPr>
          <w:rFonts w:ascii="宋体" w:eastAsia="宋体" w:hAnsi="宋体" w:cs="宋体"/>
          <w:spacing w:val="-9"/>
          <w:sz w:val="22"/>
          <w:szCs w:val="22"/>
        </w:rPr>
        <w:t>和</w:t>
      </w:r>
      <w:r>
        <w:rPr>
          <w:rFonts w:ascii="宋体" w:eastAsia="宋体" w:hAnsi="宋体" w:cs="宋体"/>
          <w:spacing w:val="-61"/>
          <w:sz w:val="22"/>
          <w:szCs w:val="22"/>
        </w:rPr>
        <w:t xml:space="preserve"> </w:t>
      </w:r>
      <w:r>
        <w:rPr>
          <w:rFonts w:ascii="宋体" w:eastAsia="宋体" w:hAnsi="宋体" w:cs="宋体"/>
          <w:spacing w:val="-9"/>
          <w:sz w:val="22"/>
          <w:szCs w:val="22"/>
        </w:rPr>
        <w:t>CT</w:t>
      </w:r>
      <w:r>
        <w:rPr>
          <w:rFonts w:ascii="宋体" w:eastAsia="宋体" w:hAnsi="宋体" w:cs="宋体"/>
          <w:spacing w:val="27"/>
          <w:sz w:val="22"/>
          <w:szCs w:val="22"/>
        </w:rPr>
        <w:t xml:space="preserve"> </w:t>
      </w:r>
      <w:r>
        <w:rPr>
          <w:rFonts w:ascii="宋体" w:eastAsia="宋体" w:hAnsi="宋体" w:cs="宋体"/>
          <w:spacing w:val="-9"/>
          <w:sz w:val="22"/>
          <w:szCs w:val="22"/>
        </w:rPr>
        <w:t>促进尿磷</w:t>
      </w:r>
      <w:r>
        <w:rPr>
          <w:rFonts w:ascii="宋体" w:eastAsia="宋体" w:hAnsi="宋体" w:cs="宋体"/>
          <w:spacing w:val="-10"/>
          <w:sz w:val="22"/>
          <w:szCs w:val="22"/>
        </w:rPr>
        <w:t>排泄，活性维</w:t>
      </w:r>
      <w:r>
        <w:rPr>
          <w:rFonts w:ascii="宋体" w:eastAsia="宋体" w:hAnsi="宋体" w:cs="宋体"/>
          <w:sz w:val="22"/>
          <w:szCs w:val="22"/>
        </w:rPr>
        <w:t xml:space="preserve"> </w:t>
      </w:r>
      <w:r>
        <w:rPr>
          <w:rFonts w:ascii="宋体" w:eastAsia="宋体" w:hAnsi="宋体" w:cs="宋体"/>
          <w:spacing w:val="-11"/>
          <w:sz w:val="22"/>
          <w:szCs w:val="22"/>
        </w:rPr>
        <w:t>生素D</w:t>
      </w:r>
      <w:r>
        <w:rPr>
          <w:rFonts w:ascii="宋体" w:eastAsia="宋体" w:hAnsi="宋体" w:cs="宋体"/>
          <w:spacing w:val="-16"/>
          <w:sz w:val="22"/>
          <w:szCs w:val="22"/>
        </w:rPr>
        <w:t xml:space="preserve"> </w:t>
      </w:r>
      <w:r>
        <w:rPr>
          <w:rFonts w:ascii="宋体" w:eastAsia="宋体" w:hAnsi="宋体" w:cs="宋体"/>
          <w:spacing w:val="-11"/>
          <w:sz w:val="22"/>
          <w:szCs w:val="22"/>
        </w:rPr>
        <w:t>减少尿磷排泄，此外血液浓度、血液酸度也影响</w:t>
      </w:r>
      <w:r>
        <w:rPr>
          <w:rFonts w:ascii="宋体" w:eastAsia="宋体" w:hAnsi="宋体" w:cs="宋体"/>
          <w:spacing w:val="-12"/>
          <w:sz w:val="22"/>
          <w:szCs w:val="22"/>
        </w:rPr>
        <w:t>肾脏对磷的重吸收。</w:t>
      </w:r>
    </w:p>
    <w:p w:rsidR="00EA40A3" w:rsidRDefault="00E86C16">
      <w:pPr>
        <w:spacing w:before="195" w:line="221" w:lineRule="auto"/>
        <w:rPr>
          <w:rFonts w:ascii="仿宋" w:eastAsia="仿宋" w:hAnsi="仿宋" w:cs="仿宋"/>
          <w:sz w:val="22"/>
          <w:szCs w:val="22"/>
        </w:rPr>
      </w:pPr>
      <w:r>
        <w:rPr>
          <w:rFonts w:ascii="仿宋" w:eastAsia="仿宋" w:hAnsi="仿宋" w:cs="仿宋"/>
          <w:spacing w:val="12"/>
          <w:sz w:val="22"/>
          <w:szCs w:val="22"/>
        </w:rPr>
        <w:t>3.</w:t>
      </w:r>
      <w:r>
        <w:rPr>
          <w:rFonts w:ascii="仿宋" w:eastAsia="仿宋" w:hAnsi="仿宋" w:cs="仿宋"/>
          <w:spacing w:val="-32"/>
          <w:sz w:val="22"/>
          <w:szCs w:val="22"/>
        </w:rPr>
        <w:t xml:space="preserve"> </w:t>
      </w:r>
      <w:r>
        <w:rPr>
          <w:rFonts w:ascii="仿宋" w:eastAsia="仿宋" w:hAnsi="仿宋" w:cs="仿宋"/>
          <w:spacing w:val="12"/>
          <w:sz w:val="22"/>
          <w:szCs w:val="22"/>
        </w:rPr>
        <w:t>磷缺乏与低磷血症</w:t>
      </w:r>
    </w:p>
    <w:p w:rsidR="00EA40A3" w:rsidRDefault="00E86C16">
      <w:pPr>
        <w:spacing w:before="209" w:line="219" w:lineRule="auto"/>
        <w:ind w:left="399"/>
        <w:rPr>
          <w:rFonts w:ascii="宋体" w:eastAsia="宋体" w:hAnsi="宋体" w:cs="宋体"/>
          <w:sz w:val="22"/>
          <w:szCs w:val="22"/>
        </w:rPr>
      </w:pPr>
      <w:r>
        <w:rPr>
          <w:rFonts w:ascii="宋体" w:eastAsia="宋体" w:hAnsi="宋体" w:cs="宋体"/>
          <w:spacing w:val="-6"/>
          <w:sz w:val="22"/>
          <w:szCs w:val="22"/>
        </w:rPr>
        <w:t>一般不会由于膳食原因引起营养性磷缺乏，只有在一些特殊情况下才会出</w:t>
      </w:r>
    </w:p>
    <w:p w:rsidR="00EA40A3" w:rsidRDefault="00E86C16">
      <w:pPr>
        <w:spacing w:before="45"/>
        <w:ind w:left="130"/>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92</w:t>
      </w:r>
      <w:r>
        <w:rPr>
          <w:rFonts w:ascii="宋体" w:eastAsia="宋体" w:hAnsi="宋体" w:cs="宋体"/>
          <w:spacing w:val="51"/>
          <w:sz w:val="17"/>
          <w:szCs w:val="17"/>
        </w:rPr>
        <w:t xml:space="preserve"> </w:t>
      </w:r>
      <w:r>
        <w:rPr>
          <w:rFonts w:ascii="宋体" w:eastAsia="宋体" w:hAnsi="宋体" w:cs="宋体"/>
          <w:spacing w:val="-25"/>
          <w:sz w:val="17"/>
          <w:szCs w:val="17"/>
        </w:rPr>
        <w:t>·</w:t>
      </w:r>
    </w:p>
    <w:p w:rsidR="00EA40A3" w:rsidRDefault="00EA40A3">
      <w:pPr>
        <w:sectPr w:rsidR="00EA40A3">
          <w:footerReference w:type="default" r:id="rId78"/>
          <w:pgSz w:w="9220" w:h="13360"/>
          <w:pgMar w:top="400" w:right="1010" w:bottom="400" w:left="869" w:header="0" w:footer="0" w:gutter="0"/>
          <w:cols w:space="720"/>
        </w:sectPr>
      </w:pPr>
    </w:p>
    <w:p w:rsidR="00EA40A3" w:rsidRDefault="00EA40A3">
      <w:pPr>
        <w:spacing w:line="287" w:lineRule="auto"/>
      </w:pPr>
    </w:p>
    <w:p w:rsidR="00EA40A3" w:rsidRDefault="00EA40A3">
      <w:pPr>
        <w:spacing w:line="288" w:lineRule="auto"/>
      </w:pPr>
    </w:p>
    <w:p w:rsidR="00EA40A3" w:rsidRDefault="00E86C16">
      <w:pPr>
        <w:spacing w:before="68" w:line="261" w:lineRule="auto"/>
        <w:ind w:left="9" w:right="88"/>
        <w:jc w:val="both"/>
        <w:rPr>
          <w:rFonts w:ascii="宋体" w:eastAsia="宋体" w:hAnsi="宋体" w:cs="宋体"/>
        </w:rPr>
      </w:pPr>
      <w:r>
        <w:rPr>
          <w:rFonts w:ascii="宋体" w:eastAsia="宋体" w:hAnsi="宋体" w:cs="宋体"/>
          <w:spacing w:val="-3"/>
        </w:rPr>
        <w:t>现。如早产儿若仅喂以母乳，因人乳含磷量较低，不足以满足早产儿骨磷沉积的</w:t>
      </w:r>
      <w:r>
        <w:rPr>
          <w:rFonts w:ascii="宋体" w:eastAsia="宋体" w:hAnsi="宋体" w:cs="宋体"/>
          <w:spacing w:val="10"/>
        </w:rPr>
        <w:t xml:space="preserve"> </w:t>
      </w:r>
      <w:r>
        <w:rPr>
          <w:rFonts w:ascii="宋体" w:eastAsia="宋体" w:hAnsi="宋体" w:cs="宋体"/>
          <w:spacing w:val="-3"/>
        </w:rPr>
        <w:t>需要，可发生磷缺乏，出现佝偻病样骨骼异常。磷缺乏也可见于使用静脉营养过</w:t>
      </w:r>
      <w:r>
        <w:rPr>
          <w:rFonts w:ascii="宋体" w:eastAsia="宋体" w:hAnsi="宋体" w:cs="宋体"/>
          <w:spacing w:val="2"/>
        </w:rPr>
        <w:t xml:space="preserve"> </w:t>
      </w:r>
      <w:r>
        <w:rPr>
          <w:rFonts w:ascii="宋体" w:eastAsia="宋体" w:hAnsi="宋体" w:cs="宋体"/>
          <w:spacing w:val="-10"/>
        </w:rPr>
        <w:t>度未补充磷的病人。</w:t>
      </w:r>
    </w:p>
    <w:p w:rsidR="00EA40A3" w:rsidRDefault="00E86C16">
      <w:pPr>
        <w:spacing w:before="38" w:line="255" w:lineRule="auto"/>
        <w:ind w:left="9" w:right="42" w:firstLine="479"/>
        <w:jc w:val="both"/>
        <w:rPr>
          <w:rFonts w:ascii="宋体" w:eastAsia="宋体" w:hAnsi="宋体" w:cs="宋体"/>
        </w:rPr>
      </w:pPr>
      <w:r>
        <w:rPr>
          <w:rFonts w:ascii="宋体" w:eastAsia="宋体" w:hAnsi="宋体" w:cs="宋体"/>
          <w:spacing w:val="25"/>
        </w:rPr>
        <w:t>在严重磷缺乏和磷耗竭时，可发生低磷血症即血清有机磷浓度低于</w:t>
      </w:r>
      <w:r>
        <w:rPr>
          <w:rFonts w:ascii="宋体" w:eastAsia="宋体" w:hAnsi="宋体" w:cs="宋体"/>
          <w:spacing w:val="6"/>
        </w:rPr>
        <w:t xml:space="preserve"> </w:t>
      </w:r>
      <w:r>
        <w:rPr>
          <w:rFonts w:ascii="宋体" w:eastAsia="宋体" w:hAnsi="宋体" w:cs="宋体"/>
          <w:spacing w:val="-2"/>
        </w:rPr>
        <w:t>0.83mmol/L(25mg/L)。</w:t>
      </w:r>
      <w:r>
        <w:rPr>
          <w:rFonts w:ascii="宋体" w:eastAsia="宋体" w:hAnsi="宋体" w:cs="宋体"/>
          <w:spacing w:val="1"/>
        </w:rPr>
        <w:t xml:space="preserve">    </w:t>
      </w:r>
      <w:r>
        <w:rPr>
          <w:rFonts w:ascii="宋体" w:eastAsia="宋体" w:hAnsi="宋体" w:cs="宋体"/>
          <w:spacing w:val="-2"/>
        </w:rPr>
        <w:t>其症状可包括厌食</w:t>
      </w:r>
      <w:r>
        <w:rPr>
          <w:rFonts w:ascii="宋体" w:eastAsia="宋体" w:hAnsi="宋体" w:cs="宋体"/>
          <w:spacing w:val="-3"/>
        </w:rPr>
        <w:t>、贫血、肌无力、骨痛、佝偻病和</w:t>
      </w:r>
      <w:r>
        <w:rPr>
          <w:rFonts w:ascii="宋体" w:eastAsia="宋体" w:hAnsi="宋体" w:cs="宋体"/>
          <w:spacing w:val="1"/>
        </w:rPr>
        <w:t xml:space="preserve"> </w:t>
      </w:r>
      <w:r>
        <w:rPr>
          <w:rFonts w:ascii="宋体" w:eastAsia="宋体" w:hAnsi="宋体" w:cs="宋体"/>
          <w:spacing w:val="-3"/>
        </w:rPr>
        <w:t>骨软化、全身虚弱、对传染病的易感性增加、感觉异常</w:t>
      </w:r>
      <w:r>
        <w:rPr>
          <w:rFonts w:ascii="宋体" w:eastAsia="宋体" w:hAnsi="宋体" w:cs="宋体"/>
          <w:spacing w:val="-4"/>
        </w:rPr>
        <w:t>、精神错乱甚至死亡。</w:t>
      </w:r>
    </w:p>
    <w:p w:rsidR="00EA40A3" w:rsidRDefault="00E86C16">
      <w:pPr>
        <w:spacing w:before="248" w:line="221" w:lineRule="auto"/>
        <w:ind w:left="9"/>
        <w:rPr>
          <w:rFonts w:ascii="仿宋" w:eastAsia="仿宋" w:hAnsi="仿宋" w:cs="仿宋"/>
        </w:rPr>
      </w:pPr>
      <w:r>
        <w:rPr>
          <w:rFonts w:ascii="仿宋" w:eastAsia="仿宋" w:hAnsi="仿宋" w:cs="仿宋"/>
          <w:spacing w:val="22"/>
        </w:rPr>
        <w:t>4.</w:t>
      </w:r>
      <w:r>
        <w:rPr>
          <w:rFonts w:ascii="仿宋" w:eastAsia="仿宋" w:hAnsi="仿宋" w:cs="仿宋"/>
          <w:spacing w:val="-27"/>
        </w:rPr>
        <w:t xml:space="preserve"> </w:t>
      </w:r>
      <w:r>
        <w:rPr>
          <w:rFonts w:ascii="仿宋" w:eastAsia="仿宋" w:hAnsi="仿宋" w:cs="仿宋"/>
          <w:spacing w:val="22"/>
        </w:rPr>
        <w:t>磷的参考摄入量与食物来源</w:t>
      </w:r>
    </w:p>
    <w:p w:rsidR="00EA40A3" w:rsidRDefault="00E86C16">
      <w:pPr>
        <w:spacing w:before="182" w:line="264" w:lineRule="auto"/>
        <w:ind w:left="9" w:firstLine="479"/>
        <w:rPr>
          <w:rFonts w:ascii="宋体" w:eastAsia="宋体" w:hAnsi="宋体" w:cs="宋体"/>
        </w:rPr>
      </w:pPr>
      <w:r>
        <w:rPr>
          <w:rFonts w:ascii="宋体" w:eastAsia="宋体" w:hAnsi="宋体" w:cs="宋体"/>
          <w:spacing w:val="-3"/>
        </w:rPr>
        <w:t>以往因为食物中含磷普遍而丰富，很少因为膳</w:t>
      </w:r>
      <w:r>
        <w:rPr>
          <w:rFonts w:ascii="宋体" w:eastAsia="宋体" w:hAnsi="宋体" w:cs="宋体"/>
          <w:spacing w:val="-4"/>
        </w:rPr>
        <w:t>食原因引起营养性磷缺乏，故</w:t>
      </w:r>
      <w:r>
        <w:rPr>
          <w:rFonts w:ascii="宋体" w:eastAsia="宋体" w:hAnsi="宋体" w:cs="宋体"/>
        </w:rPr>
        <w:t xml:space="preserve"> </w:t>
      </w:r>
      <w:r>
        <w:rPr>
          <w:rFonts w:ascii="宋体" w:eastAsia="宋体" w:hAnsi="宋体" w:cs="宋体"/>
          <w:spacing w:val="6"/>
        </w:rPr>
        <w:t>很少注意研究磷的需要量，更缺乏用于磷需要量的指标，</w:t>
      </w:r>
      <w:r>
        <w:rPr>
          <w:rFonts w:ascii="宋体" w:eastAsia="宋体" w:hAnsi="宋体" w:cs="宋体"/>
          <w:spacing w:val="5"/>
        </w:rPr>
        <w:t>因而，2000年以前，</w:t>
      </w:r>
      <w:r>
        <w:rPr>
          <w:rFonts w:ascii="宋体" w:eastAsia="宋体" w:hAnsi="宋体" w:cs="宋体"/>
        </w:rPr>
        <w:t xml:space="preserve"> </w:t>
      </w:r>
      <w:r>
        <w:rPr>
          <w:rFonts w:ascii="宋体" w:eastAsia="宋体" w:hAnsi="宋体" w:cs="宋体"/>
          <w:spacing w:val="3"/>
        </w:rPr>
        <w:t>我国和其他许多国家都未明确规定磷的供给标准。在2000年发布的《中国居民</w:t>
      </w:r>
      <w:r>
        <w:rPr>
          <w:rFonts w:ascii="宋体" w:eastAsia="宋体" w:hAnsi="宋体" w:cs="宋体"/>
          <w:spacing w:val="1"/>
        </w:rPr>
        <w:t xml:space="preserve">  </w:t>
      </w:r>
      <w:r>
        <w:rPr>
          <w:rFonts w:ascii="宋体" w:eastAsia="宋体" w:hAnsi="宋体" w:cs="宋体"/>
          <w:spacing w:val="-3"/>
        </w:rPr>
        <w:t>膳食营养素参考摄入量 (DRI)》</w:t>
      </w:r>
      <w:r>
        <w:rPr>
          <w:rFonts w:ascii="宋体" w:eastAsia="宋体" w:hAnsi="宋体" w:cs="宋体"/>
          <w:spacing w:val="53"/>
        </w:rPr>
        <w:t xml:space="preserve"> </w:t>
      </w:r>
      <w:r>
        <w:rPr>
          <w:rFonts w:ascii="宋体" w:eastAsia="宋体" w:hAnsi="宋体" w:cs="宋体"/>
          <w:spacing w:val="-3"/>
        </w:rPr>
        <w:t>中规定，居民膳食磷的AI(mg/d)</w:t>
      </w:r>
      <w:r>
        <w:rPr>
          <w:rFonts w:ascii="宋体" w:eastAsia="宋体" w:hAnsi="宋体" w:cs="宋体"/>
          <w:spacing w:val="2"/>
        </w:rPr>
        <w:t xml:space="preserve">   </w:t>
      </w:r>
      <w:r>
        <w:rPr>
          <w:rFonts w:ascii="宋体" w:eastAsia="宋体" w:hAnsi="宋体" w:cs="宋体"/>
          <w:spacing w:val="-3"/>
        </w:rPr>
        <w:t>分别定为：</w:t>
      </w:r>
      <w:r>
        <w:rPr>
          <w:rFonts w:ascii="宋体" w:eastAsia="宋体" w:hAnsi="宋体" w:cs="宋体"/>
          <w:spacing w:val="1"/>
        </w:rPr>
        <w:t xml:space="preserve"> </w:t>
      </w:r>
      <w:r>
        <w:rPr>
          <w:rFonts w:ascii="宋体" w:eastAsia="宋体" w:hAnsi="宋体" w:cs="宋体"/>
          <w:spacing w:val="26"/>
        </w:rPr>
        <w:t>0岁约150,0.5岁约300,1岁约450,4岁约800,7岁约700,11岁约1000,</w:t>
      </w:r>
      <w:r>
        <w:rPr>
          <w:rFonts w:ascii="宋体" w:eastAsia="宋体" w:hAnsi="宋体" w:cs="宋体"/>
          <w:spacing w:val="18"/>
        </w:rPr>
        <w:t xml:space="preserve"> </w:t>
      </w:r>
      <w:r>
        <w:rPr>
          <w:rFonts w:ascii="宋体" w:eastAsia="宋体" w:hAnsi="宋体" w:cs="宋体"/>
          <w:spacing w:val="14"/>
        </w:rPr>
        <w:t>18岁以上人群(含孕妇、乳母)700。1～10岁磷的</w:t>
      </w:r>
      <w:r>
        <w:rPr>
          <w:rFonts w:ascii="宋体" w:eastAsia="宋体" w:hAnsi="宋体" w:cs="宋体"/>
        </w:rPr>
        <w:t>UL</w:t>
      </w:r>
      <w:r>
        <w:rPr>
          <w:rFonts w:ascii="宋体" w:eastAsia="宋体" w:hAnsi="宋体" w:cs="宋体"/>
          <w:spacing w:val="14"/>
        </w:rPr>
        <w:t>(</w:t>
      </w:r>
      <w:r>
        <w:rPr>
          <w:rFonts w:ascii="宋体" w:eastAsia="宋体" w:hAnsi="宋体" w:cs="宋体"/>
        </w:rPr>
        <w:t>mg</w:t>
      </w:r>
      <w:r>
        <w:rPr>
          <w:rFonts w:ascii="宋体" w:eastAsia="宋体" w:hAnsi="宋体" w:cs="宋体"/>
          <w:spacing w:val="14"/>
        </w:rPr>
        <w:t>/d)</w:t>
      </w:r>
      <w:r>
        <w:rPr>
          <w:rFonts w:ascii="宋体" w:eastAsia="宋体" w:hAnsi="宋体" w:cs="宋体"/>
          <w:spacing w:val="26"/>
        </w:rPr>
        <w:t xml:space="preserve">   </w:t>
      </w:r>
      <w:r>
        <w:rPr>
          <w:rFonts w:ascii="宋体" w:eastAsia="宋体" w:hAnsi="宋体" w:cs="宋体"/>
          <w:spacing w:val="14"/>
        </w:rPr>
        <w:t>为3000,11~</w:t>
      </w:r>
      <w:r>
        <w:rPr>
          <w:rFonts w:ascii="宋体" w:eastAsia="宋体" w:hAnsi="宋体" w:cs="宋体"/>
        </w:rPr>
        <w:t xml:space="preserve">  </w:t>
      </w:r>
      <w:r>
        <w:rPr>
          <w:rFonts w:ascii="宋体" w:eastAsia="宋体" w:hAnsi="宋体" w:cs="宋体"/>
          <w:spacing w:val="16"/>
        </w:rPr>
        <w:t>60岁为3500,60岁约3000,孕妇3000,乳母3500。</w:t>
      </w:r>
    </w:p>
    <w:p w:rsidR="00EA40A3" w:rsidRDefault="00E86C16">
      <w:pPr>
        <w:spacing w:before="48" w:line="259" w:lineRule="auto"/>
        <w:ind w:left="9" w:firstLine="439"/>
        <w:rPr>
          <w:rFonts w:ascii="宋体" w:eastAsia="宋体" w:hAnsi="宋体" w:cs="宋体"/>
        </w:rPr>
      </w:pPr>
      <w:r>
        <w:rPr>
          <w:rFonts w:ascii="宋体" w:eastAsia="宋体" w:hAnsi="宋体" w:cs="宋体"/>
          <w:spacing w:val="-4"/>
        </w:rPr>
        <w:t>过去相当强调膳食中的钙、磷比值，尤其在婴儿营养方面，这一概念在快速</w:t>
      </w:r>
      <w:r>
        <w:rPr>
          <w:rFonts w:ascii="宋体" w:eastAsia="宋体" w:hAnsi="宋体" w:cs="宋体"/>
          <w:spacing w:val="4"/>
        </w:rPr>
        <w:t xml:space="preserve">  </w:t>
      </w:r>
      <w:r>
        <w:rPr>
          <w:rFonts w:ascii="宋体" w:eastAsia="宋体" w:hAnsi="宋体" w:cs="宋体"/>
          <w:spacing w:val="2"/>
        </w:rPr>
        <w:t>生长情况下，有一定用处，但在成人则无明显价值。理论上膳食中</w:t>
      </w:r>
      <w:r>
        <w:rPr>
          <w:rFonts w:ascii="宋体" w:eastAsia="宋体" w:hAnsi="宋体" w:cs="宋体"/>
          <w:spacing w:val="1"/>
        </w:rPr>
        <w:t>的</w:t>
      </w:r>
      <w:r>
        <w:rPr>
          <w:rFonts w:ascii="宋体" w:eastAsia="宋体" w:hAnsi="宋体" w:cs="宋体"/>
        </w:rPr>
        <w:t>Ca</w:t>
      </w:r>
      <w:r>
        <w:rPr>
          <w:rFonts w:ascii="宋体" w:eastAsia="宋体" w:hAnsi="宋体" w:cs="宋体"/>
          <w:spacing w:val="1"/>
        </w:rPr>
        <w:t>:P</w:t>
      </w:r>
      <w:r>
        <w:rPr>
          <w:rFonts w:ascii="宋体" w:eastAsia="宋体" w:hAnsi="宋体" w:cs="宋体"/>
          <w:spacing w:val="28"/>
        </w:rPr>
        <w:t xml:space="preserve">  </w:t>
      </w:r>
      <w:r>
        <w:rPr>
          <w:rFonts w:ascii="宋体" w:eastAsia="宋体" w:hAnsi="宋体" w:cs="宋体"/>
          <w:spacing w:val="1"/>
        </w:rPr>
        <w:t>比</w:t>
      </w:r>
      <w:r>
        <w:rPr>
          <w:rFonts w:ascii="宋体" w:eastAsia="宋体" w:hAnsi="宋体" w:cs="宋体"/>
        </w:rPr>
        <w:t xml:space="preserve">  </w:t>
      </w:r>
      <w:r>
        <w:rPr>
          <w:rFonts w:ascii="宋体" w:eastAsia="宋体" w:hAnsi="宋体" w:cs="宋体"/>
          <w:spacing w:val="11"/>
        </w:rPr>
        <w:t>值在(1～1.5):1之间较好，但目前的观点，已不过分强调二者的比值关系，</w:t>
      </w:r>
      <w:r>
        <w:rPr>
          <w:rFonts w:ascii="宋体" w:eastAsia="宋体" w:hAnsi="宋体" w:cs="宋体"/>
          <w:spacing w:val="7"/>
        </w:rPr>
        <w:t xml:space="preserve"> </w:t>
      </w:r>
      <w:r>
        <w:rPr>
          <w:rFonts w:ascii="宋体" w:eastAsia="宋体" w:hAnsi="宋体" w:cs="宋体"/>
          <w:spacing w:val="-4"/>
        </w:rPr>
        <w:t>就钙与磷来讲，更重要的是钙的量要适宜。</w:t>
      </w:r>
    </w:p>
    <w:p w:rsidR="00EA40A3" w:rsidRDefault="00E86C16">
      <w:pPr>
        <w:spacing w:before="61" w:line="255" w:lineRule="auto"/>
        <w:ind w:left="9" w:right="20" w:firstLine="419"/>
        <w:rPr>
          <w:rFonts w:ascii="宋体" w:eastAsia="宋体" w:hAnsi="宋体" w:cs="宋体"/>
        </w:rPr>
      </w:pPr>
      <w:r>
        <w:rPr>
          <w:rFonts w:ascii="宋体" w:eastAsia="宋体" w:hAnsi="宋体" w:cs="宋体"/>
          <w:spacing w:val="-3"/>
        </w:rPr>
        <w:t>磷在食物中分布很广泛，无论动物性食物或植物性食物，在其细胞中，</w:t>
      </w:r>
      <w:r>
        <w:rPr>
          <w:rFonts w:ascii="宋体" w:eastAsia="宋体" w:hAnsi="宋体" w:cs="宋体"/>
          <w:spacing w:val="-4"/>
        </w:rPr>
        <w:t>都含</w:t>
      </w:r>
      <w:r>
        <w:rPr>
          <w:rFonts w:ascii="宋体" w:eastAsia="宋体" w:hAnsi="宋体" w:cs="宋体"/>
        </w:rPr>
        <w:t xml:space="preserve"> </w:t>
      </w:r>
      <w:r>
        <w:rPr>
          <w:rFonts w:ascii="宋体" w:eastAsia="宋体" w:hAnsi="宋体" w:cs="宋体"/>
          <w:spacing w:val="-1"/>
        </w:rPr>
        <w:t>有丰富的磷，动物的乳汁中也含有磷。瘦肉、蛋、奶、动物的肝肾含量都很高，</w:t>
      </w:r>
      <w:r>
        <w:rPr>
          <w:rFonts w:ascii="宋体" w:eastAsia="宋体" w:hAnsi="宋体" w:cs="宋体"/>
          <w:spacing w:val="8"/>
        </w:rPr>
        <w:t xml:space="preserve"> </w:t>
      </w:r>
      <w:r>
        <w:rPr>
          <w:rFonts w:ascii="宋体" w:eastAsia="宋体" w:hAnsi="宋体" w:cs="宋体"/>
          <w:spacing w:val="-3"/>
        </w:rPr>
        <w:t>而且易吸收。海带、紫菜、芝麻酱、花生、干豆类、坚果粗粮含磷也较丰富。但</w:t>
      </w:r>
      <w:r>
        <w:rPr>
          <w:rFonts w:ascii="宋体" w:eastAsia="宋体" w:hAnsi="宋体" w:cs="宋体"/>
          <w:spacing w:val="2"/>
        </w:rPr>
        <w:t xml:space="preserve"> </w:t>
      </w:r>
      <w:r>
        <w:rPr>
          <w:rFonts w:ascii="宋体" w:eastAsia="宋体" w:hAnsi="宋体" w:cs="宋体"/>
          <w:spacing w:val="-3"/>
        </w:rPr>
        <w:t>粮谷中的磷为植酸磷，不经过加工处理，吸收利用率低。典型含磷丰富的食物如</w:t>
      </w:r>
      <w:r>
        <w:rPr>
          <w:rFonts w:ascii="宋体" w:eastAsia="宋体" w:hAnsi="宋体" w:cs="宋体"/>
          <w:spacing w:val="9"/>
        </w:rPr>
        <w:t xml:space="preserve"> </w:t>
      </w:r>
      <w:r>
        <w:rPr>
          <w:rFonts w:ascii="宋体" w:eastAsia="宋体" w:hAnsi="宋体" w:cs="宋体"/>
          <w:spacing w:val="-4"/>
        </w:rPr>
        <w:t>表4-5所示。</w:t>
      </w:r>
    </w:p>
    <w:p w:rsidR="00EA40A3" w:rsidRDefault="00EA40A3">
      <w:pPr>
        <w:spacing w:line="343" w:lineRule="auto"/>
      </w:pPr>
    </w:p>
    <w:p w:rsidR="00EA40A3" w:rsidRDefault="00E86C16">
      <w:pPr>
        <w:spacing w:before="59" w:line="232" w:lineRule="auto"/>
        <w:ind w:left="2352"/>
        <w:rPr>
          <w:rFonts w:ascii="宋体" w:eastAsia="宋体" w:hAnsi="宋体" w:cs="宋体"/>
          <w:sz w:val="18"/>
          <w:szCs w:val="18"/>
        </w:rPr>
      </w:pPr>
      <w:r>
        <w:rPr>
          <w:rFonts w:ascii="黑体" w:eastAsia="黑体" w:hAnsi="黑体" w:cs="黑体"/>
          <w:b/>
          <w:bCs/>
          <w:spacing w:val="-5"/>
          <w:sz w:val="18"/>
          <w:szCs w:val="18"/>
        </w:rPr>
        <w:t>表4-5</w:t>
      </w:r>
      <w:r>
        <w:rPr>
          <w:rFonts w:ascii="黑体" w:eastAsia="黑体" w:hAnsi="黑体" w:cs="黑体"/>
          <w:spacing w:val="86"/>
          <w:sz w:val="18"/>
          <w:szCs w:val="18"/>
        </w:rPr>
        <w:t xml:space="preserve"> </w:t>
      </w:r>
      <w:r>
        <w:rPr>
          <w:rFonts w:ascii="黑体" w:eastAsia="黑体" w:hAnsi="黑体" w:cs="黑体"/>
          <w:b/>
          <w:bCs/>
          <w:spacing w:val="-5"/>
          <w:sz w:val="18"/>
          <w:szCs w:val="18"/>
        </w:rPr>
        <w:t>磷含量较丰富的常见食物</w:t>
      </w:r>
      <w:r>
        <w:rPr>
          <w:rFonts w:ascii="黑体" w:eastAsia="黑体" w:hAnsi="黑体" w:cs="黑体"/>
          <w:spacing w:val="10"/>
          <w:sz w:val="18"/>
          <w:szCs w:val="18"/>
        </w:rPr>
        <w:t xml:space="preserve">      </w:t>
      </w:r>
      <w:r>
        <w:rPr>
          <w:rFonts w:ascii="宋体" w:eastAsia="宋体" w:hAnsi="宋体" w:cs="宋体"/>
          <w:spacing w:val="-5"/>
          <w:sz w:val="18"/>
          <w:szCs w:val="18"/>
        </w:rPr>
        <w:t>(单位：</w:t>
      </w:r>
      <w:r>
        <w:rPr>
          <w:rFonts w:ascii="宋体" w:eastAsia="宋体" w:hAnsi="宋体" w:cs="宋体"/>
          <w:spacing w:val="15"/>
          <w:sz w:val="18"/>
          <w:szCs w:val="18"/>
        </w:rPr>
        <w:t xml:space="preserve"> </w:t>
      </w:r>
      <w:r>
        <w:rPr>
          <w:rFonts w:ascii="宋体" w:eastAsia="宋体" w:hAnsi="宋体" w:cs="宋体"/>
          <w:spacing w:val="-5"/>
          <w:sz w:val="18"/>
          <w:szCs w:val="18"/>
        </w:rPr>
        <w:t>mg/100g)</w:t>
      </w:r>
    </w:p>
    <w:p w:rsidR="00EA40A3" w:rsidRDefault="00EA40A3">
      <w:pPr>
        <w:spacing w:line="66" w:lineRule="exact"/>
      </w:pPr>
    </w:p>
    <w:tbl>
      <w:tblPr>
        <w:tblStyle w:val="TableNormal"/>
        <w:tblW w:w="72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45"/>
        <w:gridCol w:w="1765"/>
        <w:gridCol w:w="1945"/>
        <w:gridCol w:w="1694"/>
      </w:tblGrid>
      <w:tr w:rsidR="00EA40A3">
        <w:trPr>
          <w:trHeight w:val="304"/>
        </w:trPr>
        <w:tc>
          <w:tcPr>
            <w:tcW w:w="1845" w:type="dxa"/>
            <w:tcBorders>
              <w:top w:val="single" w:sz="4" w:space="0" w:color="000000"/>
              <w:bottom w:val="single" w:sz="4" w:space="0" w:color="000000"/>
            </w:tcBorders>
          </w:tcPr>
          <w:p w:rsidR="00EA40A3" w:rsidRDefault="00E86C16">
            <w:pPr>
              <w:spacing w:before="82" w:line="220" w:lineRule="auto"/>
              <w:ind w:left="449"/>
              <w:rPr>
                <w:rFonts w:ascii="宋体" w:eastAsia="宋体" w:hAnsi="宋体" w:cs="宋体"/>
                <w:sz w:val="16"/>
                <w:szCs w:val="16"/>
              </w:rPr>
            </w:pPr>
            <w:r>
              <w:rPr>
                <w:rFonts w:ascii="宋体" w:eastAsia="宋体" w:hAnsi="宋体" w:cs="宋体"/>
                <w:spacing w:val="-2"/>
                <w:sz w:val="16"/>
                <w:szCs w:val="16"/>
              </w:rPr>
              <w:t>食物</w:t>
            </w:r>
          </w:p>
        </w:tc>
        <w:tc>
          <w:tcPr>
            <w:tcW w:w="1765" w:type="dxa"/>
            <w:tcBorders>
              <w:top w:val="single" w:sz="4" w:space="0" w:color="000000"/>
              <w:bottom w:val="single" w:sz="4" w:space="0" w:color="000000"/>
              <w:right w:val="single" w:sz="4" w:space="0" w:color="000000"/>
            </w:tcBorders>
          </w:tcPr>
          <w:p w:rsidR="00EA40A3" w:rsidRDefault="00E86C16">
            <w:pPr>
              <w:spacing w:before="81" w:line="219" w:lineRule="auto"/>
              <w:ind w:left="754"/>
              <w:rPr>
                <w:rFonts w:ascii="宋体" w:eastAsia="宋体" w:hAnsi="宋体" w:cs="宋体"/>
                <w:sz w:val="16"/>
                <w:szCs w:val="16"/>
              </w:rPr>
            </w:pPr>
            <w:r>
              <w:rPr>
                <w:rFonts w:ascii="宋体" w:eastAsia="宋体" w:hAnsi="宋体" w:cs="宋体"/>
                <w:spacing w:val="-2"/>
                <w:sz w:val="16"/>
                <w:szCs w:val="16"/>
              </w:rPr>
              <w:t>磷含量</w:t>
            </w:r>
          </w:p>
        </w:tc>
        <w:tc>
          <w:tcPr>
            <w:tcW w:w="1945" w:type="dxa"/>
            <w:tcBorders>
              <w:top w:val="single" w:sz="4" w:space="0" w:color="000000"/>
              <w:left w:val="single" w:sz="4" w:space="0" w:color="000000"/>
              <w:bottom w:val="single" w:sz="4" w:space="0" w:color="000000"/>
            </w:tcBorders>
          </w:tcPr>
          <w:p w:rsidR="00EA40A3" w:rsidRDefault="00E86C16">
            <w:pPr>
              <w:spacing w:before="72" w:line="220" w:lineRule="auto"/>
              <w:ind w:left="454"/>
              <w:rPr>
                <w:rFonts w:ascii="宋体" w:eastAsia="宋体" w:hAnsi="宋体" w:cs="宋体"/>
                <w:sz w:val="16"/>
                <w:szCs w:val="16"/>
              </w:rPr>
            </w:pPr>
            <w:r>
              <w:rPr>
                <w:rFonts w:ascii="宋体" w:eastAsia="宋体" w:hAnsi="宋体" w:cs="宋体"/>
                <w:spacing w:val="-2"/>
                <w:sz w:val="16"/>
                <w:szCs w:val="16"/>
              </w:rPr>
              <w:t>食物</w:t>
            </w:r>
          </w:p>
        </w:tc>
        <w:tc>
          <w:tcPr>
            <w:tcW w:w="1694" w:type="dxa"/>
            <w:tcBorders>
              <w:top w:val="single" w:sz="4" w:space="0" w:color="000000"/>
              <w:bottom w:val="single" w:sz="4" w:space="0" w:color="000000"/>
            </w:tcBorders>
          </w:tcPr>
          <w:p w:rsidR="00EA40A3" w:rsidRDefault="00E86C16">
            <w:pPr>
              <w:spacing w:before="61" w:line="219" w:lineRule="auto"/>
              <w:ind w:left="685"/>
              <w:rPr>
                <w:rFonts w:ascii="宋体" w:eastAsia="宋体" w:hAnsi="宋体" w:cs="宋体"/>
                <w:sz w:val="16"/>
                <w:szCs w:val="16"/>
              </w:rPr>
            </w:pPr>
            <w:r>
              <w:rPr>
                <w:rFonts w:ascii="宋体" w:eastAsia="宋体" w:hAnsi="宋体" w:cs="宋体"/>
                <w:spacing w:val="-2"/>
                <w:sz w:val="16"/>
                <w:szCs w:val="16"/>
              </w:rPr>
              <w:t>磷含量</w:t>
            </w:r>
          </w:p>
        </w:tc>
      </w:tr>
      <w:tr w:rsidR="00EA40A3">
        <w:trPr>
          <w:trHeight w:val="255"/>
        </w:trPr>
        <w:tc>
          <w:tcPr>
            <w:tcW w:w="1845" w:type="dxa"/>
            <w:tcBorders>
              <w:top w:val="single" w:sz="4" w:space="0" w:color="000000"/>
            </w:tcBorders>
          </w:tcPr>
          <w:p w:rsidR="00EA40A3" w:rsidRDefault="00E86C16">
            <w:pPr>
              <w:spacing w:before="58" w:line="220" w:lineRule="auto"/>
              <w:ind w:left="449"/>
              <w:rPr>
                <w:rFonts w:ascii="宋体" w:eastAsia="宋体" w:hAnsi="宋体" w:cs="宋体"/>
                <w:sz w:val="16"/>
                <w:szCs w:val="16"/>
              </w:rPr>
            </w:pPr>
            <w:r>
              <w:rPr>
                <w:rFonts w:ascii="宋体" w:eastAsia="宋体" w:hAnsi="宋体" w:cs="宋体"/>
                <w:spacing w:val="-2"/>
                <w:sz w:val="16"/>
                <w:szCs w:val="16"/>
              </w:rPr>
              <w:t>南瓜子仁</w:t>
            </w:r>
          </w:p>
        </w:tc>
        <w:tc>
          <w:tcPr>
            <w:tcW w:w="1765" w:type="dxa"/>
            <w:tcBorders>
              <w:top w:val="single" w:sz="4" w:space="0" w:color="000000"/>
              <w:right w:val="single" w:sz="4" w:space="0" w:color="000000"/>
            </w:tcBorders>
          </w:tcPr>
          <w:p w:rsidR="00EA40A3" w:rsidRDefault="00E86C16">
            <w:pPr>
              <w:spacing w:before="98" w:line="181" w:lineRule="auto"/>
              <w:ind w:left="854"/>
              <w:rPr>
                <w:rFonts w:ascii="宋体" w:eastAsia="宋体" w:hAnsi="宋体" w:cs="宋体"/>
                <w:sz w:val="16"/>
                <w:szCs w:val="16"/>
              </w:rPr>
            </w:pPr>
            <w:r>
              <w:rPr>
                <w:rFonts w:ascii="宋体" w:eastAsia="宋体" w:hAnsi="宋体" w:cs="宋体"/>
                <w:spacing w:val="-4"/>
                <w:sz w:val="16"/>
                <w:szCs w:val="16"/>
              </w:rPr>
              <w:t>1159</w:t>
            </w:r>
          </w:p>
        </w:tc>
        <w:tc>
          <w:tcPr>
            <w:tcW w:w="1945" w:type="dxa"/>
            <w:tcBorders>
              <w:top w:val="single" w:sz="4" w:space="0" w:color="000000"/>
              <w:left w:val="single" w:sz="4" w:space="0" w:color="000000"/>
            </w:tcBorders>
          </w:tcPr>
          <w:p w:rsidR="00EA40A3" w:rsidRDefault="00E86C16">
            <w:pPr>
              <w:spacing w:before="58" w:line="221" w:lineRule="auto"/>
              <w:ind w:left="454"/>
              <w:rPr>
                <w:rFonts w:ascii="宋体" w:eastAsia="宋体" w:hAnsi="宋体" w:cs="宋体"/>
                <w:sz w:val="16"/>
                <w:szCs w:val="16"/>
              </w:rPr>
            </w:pPr>
            <w:r>
              <w:rPr>
                <w:rFonts w:ascii="宋体" w:eastAsia="宋体" w:hAnsi="宋体" w:cs="宋体"/>
                <w:spacing w:val="7"/>
                <w:sz w:val="16"/>
                <w:szCs w:val="16"/>
              </w:rPr>
              <w:t>花生(炒)</w:t>
            </w:r>
          </w:p>
        </w:tc>
        <w:tc>
          <w:tcPr>
            <w:tcW w:w="1694" w:type="dxa"/>
            <w:tcBorders>
              <w:top w:val="single" w:sz="4" w:space="0" w:color="000000"/>
            </w:tcBorders>
          </w:tcPr>
          <w:p w:rsidR="00EA40A3" w:rsidRDefault="00E86C16">
            <w:pPr>
              <w:spacing w:before="88" w:line="183" w:lineRule="auto"/>
              <w:ind w:left="794"/>
              <w:rPr>
                <w:rFonts w:ascii="宋体" w:eastAsia="宋体" w:hAnsi="宋体" w:cs="宋体"/>
                <w:sz w:val="16"/>
                <w:szCs w:val="16"/>
              </w:rPr>
            </w:pPr>
            <w:r>
              <w:rPr>
                <w:rFonts w:ascii="宋体" w:eastAsia="宋体" w:hAnsi="宋体" w:cs="宋体"/>
                <w:spacing w:val="-3"/>
                <w:sz w:val="16"/>
                <w:szCs w:val="16"/>
              </w:rPr>
              <w:t>326</w:t>
            </w:r>
          </w:p>
        </w:tc>
      </w:tr>
      <w:tr w:rsidR="00EA40A3">
        <w:trPr>
          <w:trHeight w:val="258"/>
        </w:trPr>
        <w:tc>
          <w:tcPr>
            <w:tcW w:w="1845" w:type="dxa"/>
          </w:tcPr>
          <w:p w:rsidR="00EA40A3" w:rsidRDefault="00E86C16">
            <w:pPr>
              <w:spacing w:before="62" w:line="219" w:lineRule="auto"/>
              <w:ind w:left="449"/>
              <w:rPr>
                <w:rFonts w:ascii="宋体" w:eastAsia="宋体" w:hAnsi="宋体" w:cs="宋体"/>
                <w:sz w:val="16"/>
                <w:szCs w:val="16"/>
              </w:rPr>
            </w:pPr>
            <w:r>
              <w:rPr>
                <w:rFonts w:ascii="宋体" w:eastAsia="宋体" w:hAnsi="宋体" w:cs="宋体"/>
                <w:spacing w:val="-2"/>
                <w:sz w:val="16"/>
                <w:szCs w:val="16"/>
              </w:rPr>
              <w:t>黄豆</w:t>
            </w:r>
          </w:p>
        </w:tc>
        <w:tc>
          <w:tcPr>
            <w:tcW w:w="1765" w:type="dxa"/>
            <w:tcBorders>
              <w:right w:val="single" w:sz="4" w:space="0" w:color="000000"/>
            </w:tcBorders>
          </w:tcPr>
          <w:p w:rsidR="00EA40A3" w:rsidRDefault="00E86C16">
            <w:pPr>
              <w:spacing w:before="103" w:line="178" w:lineRule="auto"/>
              <w:ind w:left="904"/>
              <w:rPr>
                <w:rFonts w:ascii="宋体" w:eastAsia="宋体" w:hAnsi="宋体" w:cs="宋体"/>
                <w:sz w:val="16"/>
                <w:szCs w:val="16"/>
              </w:rPr>
            </w:pPr>
            <w:r>
              <w:rPr>
                <w:rFonts w:ascii="宋体" w:eastAsia="宋体" w:hAnsi="宋体" w:cs="宋体"/>
                <w:spacing w:val="-2"/>
                <w:sz w:val="16"/>
                <w:szCs w:val="16"/>
              </w:rPr>
              <w:t>465</w:t>
            </w:r>
          </w:p>
        </w:tc>
        <w:tc>
          <w:tcPr>
            <w:tcW w:w="1945" w:type="dxa"/>
            <w:tcBorders>
              <w:left w:val="single" w:sz="4" w:space="0" w:color="000000"/>
            </w:tcBorders>
          </w:tcPr>
          <w:p w:rsidR="00EA40A3" w:rsidRDefault="00E86C16">
            <w:pPr>
              <w:spacing w:before="42" w:line="219" w:lineRule="auto"/>
              <w:ind w:left="454"/>
              <w:rPr>
                <w:rFonts w:ascii="宋体" w:eastAsia="宋体" w:hAnsi="宋体" w:cs="宋体"/>
                <w:sz w:val="16"/>
                <w:szCs w:val="16"/>
              </w:rPr>
            </w:pPr>
            <w:r>
              <w:rPr>
                <w:rFonts w:ascii="宋体" w:eastAsia="宋体" w:hAnsi="宋体" w:cs="宋体"/>
                <w:spacing w:val="5"/>
                <w:sz w:val="16"/>
                <w:szCs w:val="16"/>
              </w:rPr>
              <w:t>葵花籽(炒)</w:t>
            </w:r>
          </w:p>
        </w:tc>
        <w:tc>
          <w:tcPr>
            <w:tcW w:w="1694" w:type="dxa"/>
          </w:tcPr>
          <w:p w:rsidR="00EA40A3" w:rsidRDefault="00E86C16">
            <w:pPr>
              <w:spacing w:before="103" w:line="178" w:lineRule="auto"/>
              <w:ind w:left="804"/>
              <w:rPr>
                <w:rFonts w:ascii="宋体" w:eastAsia="宋体" w:hAnsi="宋体" w:cs="宋体"/>
                <w:sz w:val="16"/>
                <w:szCs w:val="16"/>
              </w:rPr>
            </w:pPr>
            <w:r>
              <w:rPr>
                <w:rFonts w:ascii="宋体" w:eastAsia="宋体" w:hAnsi="宋体" w:cs="宋体"/>
                <w:spacing w:val="-3"/>
                <w:sz w:val="16"/>
                <w:szCs w:val="16"/>
              </w:rPr>
              <w:t>564</w:t>
            </w:r>
          </w:p>
        </w:tc>
      </w:tr>
      <w:tr w:rsidR="00EA40A3">
        <w:trPr>
          <w:trHeight w:val="264"/>
        </w:trPr>
        <w:tc>
          <w:tcPr>
            <w:tcW w:w="1845" w:type="dxa"/>
          </w:tcPr>
          <w:p w:rsidR="00EA40A3" w:rsidRDefault="00E86C16">
            <w:pPr>
              <w:spacing w:before="64" w:line="219" w:lineRule="auto"/>
              <w:ind w:left="449"/>
              <w:rPr>
                <w:rFonts w:ascii="宋体" w:eastAsia="宋体" w:hAnsi="宋体" w:cs="宋体"/>
                <w:sz w:val="16"/>
                <w:szCs w:val="16"/>
              </w:rPr>
            </w:pPr>
            <w:r>
              <w:rPr>
                <w:rFonts w:ascii="宋体" w:eastAsia="宋体" w:hAnsi="宋体" w:cs="宋体"/>
                <w:spacing w:val="-2"/>
                <w:sz w:val="16"/>
                <w:szCs w:val="16"/>
              </w:rPr>
              <w:t>籼米</w:t>
            </w:r>
          </w:p>
        </w:tc>
        <w:tc>
          <w:tcPr>
            <w:tcW w:w="1765" w:type="dxa"/>
            <w:tcBorders>
              <w:right w:val="single" w:sz="4" w:space="0" w:color="000000"/>
            </w:tcBorders>
          </w:tcPr>
          <w:p w:rsidR="00EA40A3" w:rsidRDefault="00E86C16">
            <w:pPr>
              <w:spacing w:before="105" w:line="183" w:lineRule="auto"/>
              <w:ind w:left="904"/>
              <w:rPr>
                <w:rFonts w:ascii="宋体" w:eastAsia="宋体" w:hAnsi="宋体" w:cs="宋体"/>
                <w:sz w:val="16"/>
                <w:szCs w:val="16"/>
              </w:rPr>
            </w:pPr>
            <w:r>
              <w:rPr>
                <w:rFonts w:ascii="宋体" w:eastAsia="宋体" w:hAnsi="宋体" w:cs="宋体"/>
                <w:spacing w:val="-5"/>
                <w:sz w:val="16"/>
                <w:szCs w:val="16"/>
              </w:rPr>
              <w:t>112</w:t>
            </w:r>
          </w:p>
        </w:tc>
        <w:tc>
          <w:tcPr>
            <w:tcW w:w="1945" w:type="dxa"/>
            <w:tcBorders>
              <w:left w:val="single" w:sz="4" w:space="0" w:color="000000"/>
            </w:tcBorders>
          </w:tcPr>
          <w:p w:rsidR="00EA40A3" w:rsidRDefault="00E86C16">
            <w:pPr>
              <w:spacing w:before="44" w:line="219" w:lineRule="auto"/>
              <w:ind w:left="454"/>
              <w:rPr>
                <w:rFonts w:ascii="宋体" w:eastAsia="宋体" w:hAnsi="宋体" w:cs="宋体"/>
                <w:sz w:val="16"/>
                <w:szCs w:val="16"/>
              </w:rPr>
            </w:pPr>
            <w:r>
              <w:rPr>
                <w:rFonts w:ascii="宋体" w:eastAsia="宋体" w:hAnsi="宋体" w:cs="宋体"/>
                <w:spacing w:val="-3"/>
                <w:sz w:val="16"/>
                <w:szCs w:val="16"/>
              </w:rPr>
              <w:t>核桃</w:t>
            </w:r>
          </w:p>
        </w:tc>
        <w:tc>
          <w:tcPr>
            <w:tcW w:w="1694" w:type="dxa"/>
          </w:tcPr>
          <w:p w:rsidR="00EA40A3" w:rsidRDefault="00E86C16">
            <w:pPr>
              <w:spacing w:before="85" w:line="183" w:lineRule="auto"/>
              <w:ind w:left="804"/>
              <w:rPr>
                <w:rFonts w:ascii="宋体" w:eastAsia="宋体" w:hAnsi="宋体" w:cs="宋体"/>
                <w:sz w:val="16"/>
                <w:szCs w:val="16"/>
              </w:rPr>
            </w:pPr>
            <w:r>
              <w:rPr>
                <w:rFonts w:ascii="宋体" w:eastAsia="宋体" w:hAnsi="宋体" w:cs="宋体"/>
                <w:spacing w:val="-2"/>
                <w:sz w:val="16"/>
                <w:szCs w:val="16"/>
              </w:rPr>
              <w:t>294</w:t>
            </w:r>
          </w:p>
        </w:tc>
      </w:tr>
      <w:tr w:rsidR="00EA40A3">
        <w:trPr>
          <w:trHeight w:val="250"/>
        </w:trPr>
        <w:tc>
          <w:tcPr>
            <w:tcW w:w="1845" w:type="dxa"/>
          </w:tcPr>
          <w:p w:rsidR="00EA40A3" w:rsidRDefault="00E86C16">
            <w:pPr>
              <w:spacing w:before="50" w:line="219" w:lineRule="auto"/>
              <w:ind w:left="449"/>
              <w:rPr>
                <w:rFonts w:ascii="宋体" w:eastAsia="宋体" w:hAnsi="宋体" w:cs="宋体"/>
                <w:sz w:val="16"/>
                <w:szCs w:val="16"/>
              </w:rPr>
            </w:pPr>
            <w:r>
              <w:rPr>
                <w:rFonts w:ascii="宋体" w:eastAsia="宋体" w:hAnsi="宋体" w:cs="宋体"/>
                <w:spacing w:val="-2"/>
                <w:sz w:val="16"/>
                <w:szCs w:val="16"/>
              </w:rPr>
              <w:t>标准粉</w:t>
            </w:r>
          </w:p>
        </w:tc>
        <w:tc>
          <w:tcPr>
            <w:tcW w:w="1765" w:type="dxa"/>
            <w:tcBorders>
              <w:right w:val="single" w:sz="4" w:space="0" w:color="000000"/>
            </w:tcBorders>
          </w:tcPr>
          <w:p w:rsidR="00EA40A3" w:rsidRDefault="00E86C16">
            <w:pPr>
              <w:spacing w:before="91" w:line="183" w:lineRule="auto"/>
              <w:ind w:left="914"/>
              <w:rPr>
                <w:rFonts w:ascii="宋体" w:eastAsia="宋体" w:hAnsi="宋体" w:cs="宋体"/>
                <w:sz w:val="16"/>
                <w:szCs w:val="16"/>
              </w:rPr>
            </w:pPr>
            <w:r>
              <w:rPr>
                <w:rFonts w:ascii="宋体" w:eastAsia="宋体" w:hAnsi="宋体" w:cs="宋体"/>
                <w:spacing w:val="-5"/>
                <w:sz w:val="16"/>
                <w:szCs w:val="16"/>
              </w:rPr>
              <w:t>188</w:t>
            </w:r>
          </w:p>
        </w:tc>
        <w:tc>
          <w:tcPr>
            <w:tcW w:w="1945" w:type="dxa"/>
            <w:tcBorders>
              <w:left w:val="single" w:sz="4" w:space="0" w:color="000000"/>
            </w:tcBorders>
          </w:tcPr>
          <w:p w:rsidR="00EA40A3" w:rsidRDefault="00E86C16">
            <w:pPr>
              <w:spacing w:before="50" w:line="219" w:lineRule="auto"/>
              <w:ind w:left="454"/>
              <w:rPr>
                <w:rFonts w:ascii="宋体" w:eastAsia="宋体" w:hAnsi="宋体" w:cs="宋体"/>
                <w:sz w:val="16"/>
                <w:szCs w:val="16"/>
              </w:rPr>
            </w:pPr>
            <w:r>
              <w:rPr>
                <w:rFonts w:ascii="宋体" w:eastAsia="宋体" w:hAnsi="宋体" w:cs="宋体"/>
                <w:spacing w:val="7"/>
                <w:sz w:val="16"/>
                <w:szCs w:val="16"/>
              </w:rPr>
              <w:t>瘦肉</w:t>
            </w:r>
          </w:p>
        </w:tc>
        <w:tc>
          <w:tcPr>
            <w:tcW w:w="1694" w:type="dxa"/>
          </w:tcPr>
          <w:p w:rsidR="00EA40A3" w:rsidRDefault="00E86C16">
            <w:pPr>
              <w:spacing w:before="81" w:line="184" w:lineRule="auto"/>
              <w:ind w:left="814"/>
              <w:rPr>
                <w:rFonts w:ascii="宋体" w:eastAsia="宋体" w:hAnsi="宋体" w:cs="宋体"/>
                <w:sz w:val="16"/>
                <w:szCs w:val="16"/>
              </w:rPr>
            </w:pPr>
            <w:r>
              <w:rPr>
                <w:rFonts w:ascii="宋体" w:eastAsia="宋体" w:hAnsi="宋体" w:cs="宋体"/>
                <w:spacing w:val="-5"/>
                <w:sz w:val="16"/>
                <w:szCs w:val="16"/>
              </w:rPr>
              <w:t>189</w:t>
            </w:r>
          </w:p>
        </w:tc>
      </w:tr>
      <w:tr w:rsidR="00EA40A3">
        <w:trPr>
          <w:trHeight w:val="260"/>
        </w:trPr>
        <w:tc>
          <w:tcPr>
            <w:tcW w:w="1845" w:type="dxa"/>
          </w:tcPr>
          <w:p w:rsidR="00EA40A3" w:rsidRDefault="00E86C16">
            <w:pPr>
              <w:spacing w:before="60" w:line="219" w:lineRule="auto"/>
              <w:ind w:left="449"/>
              <w:rPr>
                <w:rFonts w:ascii="宋体" w:eastAsia="宋体" w:hAnsi="宋体" w:cs="宋体"/>
                <w:sz w:val="16"/>
                <w:szCs w:val="16"/>
              </w:rPr>
            </w:pPr>
            <w:r>
              <w:rPr>
                <w:rFonts w:ascii="宋体" w:eastAsia="宋体" w:hAnsi="宋体" w:cs="宋体"/>
                <w:spacing w:val="-2"/>
                <w:sz w:val="16"/>
                <w:szCs w:val="16"/>
              </w:rPr>
              <w:t>大蒜头</w:t>
            </w:r>
          </w:p>
        </w:tc>
        <w:tc>
          <w:tcPr>
            <w:tcW w:w="1765" w:type="dxa"/>
            <w:tcBorders>
              <w:right w:val="single" w:sz="4" w:space="0" w:color="000000"/>
            </w:tcBorders>
          </w:tcPr>
          <w:p w:rsidR="00EA40A3" w:rsidRDefault="00E86C16">
            <w:pPr>
              <w:spacing w:before="101" w:line="183" w:lineRule="auto"/>
              <w:ind w:left="924"/>
              <w:rPr>
                <w:rFonts w:ascii="宋体" w:eastAsia="宋体" w:hAnsi="宋体" w:cs="宋体"/>
                <w:sz w:val="16"/>
                <w:szCs w:val="16"/>
              </w:rPr>
            </w:pPr>
            <w:r>
              <w:rPr>
                <w:rFonts w:ascii="宋体" w:eastAsia="宋体" w:hAnsi="宋体" w:cs="宋体"/>
                <w:spacing w:val="-5"/>
                <w:sz w:val="16"/>
                <w:szCs w:val="16"/>
              </w:rPr>
              <w:t>117</w:t>
            </w:r>
          </w:p>
        </w:tc>
        <w:tc>
          <w:tcPr>
            <w:tcW w:w="1945" w:type="dxa"/>
            <w:tcBorders>
              <w:left w:val="single" w:sz="4" w:space="0" w:color="000000"/>
            </w:tcBorders>
          </w:tcPr>
          <w:p w:rsidR="00EA40A3" w:rsidRDefault="00E86C16">
            <w:pPr>
              <w:spacing w:before="50" w:line="219" w:lineRule="auto"/>
              <w:ind w:left="454"/>
              <w:rPr>
                <w:rFonts w:ascii="宋体" w:eastAsia="宋体" w:hAnsi="宋体" w:cs="宋体"/>
                <w:sz w:val="16"/>
                <w:szCs w:val="16"/>
              </w:rPr>
            </w:pPr>
            <w:r>
              <w:rPr>
                <w:rFonts w:ascii="宋体" w:eastAsia="宋体" w:hAnsi="宋体" w:cs="宋体"/>
                <w:spacing w:val="-2"/>
                <w:sz w:val="16"/>
                <w:szCs w:val="16"/>
              </w:rPr>
              <w:t>猪肾</w:t>
            </w:r>
          </w:p>
        </w:tc>
        <w:tc>
          <w:tcPr>
            <w:tcW w:w="1694" w:type="dxa"/>
          </w:tcPr>
          <w:p w:rsidR="00EA40A3" w:rsidRDefault="00E86C16">
            <w:pPr>
              <w:spacing w:before="91" w:line="184" w:lineRule="auto"/>
              <w:ind w:left="794"/>
              <w:rPr>
                <w:rFonts w:ascii="宋体" w:eastAsia="宋体" w:hAnsi="宋体" w:cs="宋体"/>
                <w:sz w:val="16"/>
                <w:szCs w:val="16"/>
              </w:rPr>
            </w:pPr>
            <w:r>
              <w:rPr>
                <w:rFonts w:ascii="宋体" w:eastAsia="宋体" w:hAnsi="宋体" w:cs="宋体"/>
                <w:spacing w:val="-2"/>
                <w:sz w:val="16"/>
                <w:szCs w:val="16"/>
              </w:rPr>
              <w:t>215</w:t>
            </w:r>
          </w:p>
        </w:tc>
      </w:tr>
      <w:tr w:rsidR="00EA40A3">
        <w:trPr>
          <w:trHeight w:val="262"/>
        </w:trPr>
        <w:tc>
          <w:tcPr>
            <w:tcW w:w="1845" w:type="dxa"/>
          </w:tcPr>
          <w:p w:rsidR="00EA40A3" w:rsidRDefault="00E86C16">
            <w:pPr>
              <w:spacing w:before="59" w:line="219" w:lineRule="auto"/>
              <w:ind w:left="449"/>
              <w:rPr>
                <w:rFonts w:ascii="宋体" w:eastAsia="宋体" w:hAnsi="宋体" w:cs="宋体"/>
                <w:sz w:val="16"/>
                <w:szCs w:val="16"/>
              </w:rPr>
            </w:pPr>
            <w:r>
              <w:rPr>
                <w:rFonts w:ascii="宋体" w:eastAsia="宋体" w:hAnsi="宋体" w:cs="宋体"/>
                <w:spacing w:val="7"/>
                <w:sz w:val="16"/>
                <w:szCs w:val="16"/>
              </w:rPr>
              <w:t>香菇(干)</w:t>
            </w:r>
          </w:p>
        </w:tc>
        <w:tc>
          <w:tcPr>
            <w:tcW w:w="1765" w:type="dxa"/>
            <w:tcBorders>
              <w:right w:val="single" w:sz="4" w:space="0" w:color="000000"/>
            </w:tcBorders>
          </w:tcPr>
          <w:p w:rsidR="00EA40A3" w:rsidRDefault="00E86C16">
            <w:pPr>
              <w:spacing w:before="112" w:line="173" w:lineRule="auto"/>
              <w:ind w:left="904"/>
              <w:rPr>
                <w:rFonts w:ascii="宋体" w:eastAsia="宋体" w:hAnsi="宋体" w:cs="宋体"/>
                <w:sz w:val="16"/>
                <w:szCs w:val="16"/>
              </w:rPr>
            </w:pPr>
            <w:r>
              <w:rPr>
                <w:rFonts w:ascii="宋体" w:eastAsia="宋体" w:hAnsi="宋体" w:cs="宋体"/>
                <w:spacing w:val="-2"/>
                <w:sz w:val="16"/>
                <w:szCs w:val="16"/>
              </w:rPr>
              <w:t>258</w:t>
            </w:r>
          </w:p>
        </w:tc>
        <w:tc>
          <w:tcPr>
            <w:tcW w:w="1945" w:type="dxa"/>
            <w:tcBorders>
              <w:left w:val="single" w:sz="4" w:space="0" w:color="000000"/>
            </w:tcBorders>
          </w:tcPr>
          <w:p w:rsidR="00EA40A3" w:rsidRDefault="00E86C16">
            <w:pPr>
              <w:spacing w:before="51" w:line="220" w:lineRule="auto"/>
              <w:ind w:left="454"/>
              <w:rPr>
                <w:rFonts w:ascii="宋体" w:eastAsia="宋体" w:hAnsi="宋体" w:cs="宋体"/>
                <w:sz w:val="16"/>
                <w:szCs w:val="16"/>
              </w:rPr>
            </w:pPr>
            <w:r>
              <w:rPr>
                <w:rFonts w:ascii="宋体" w:eastAsia="宋体" w:hAnsi="宋体" w:cs="宋体"/>
                <w:spacing w:val="-2"/>
                <w:sz w:val="16"/>
                <w:szCs w:val="16"/>
              </w:rPr>
              <w:t>猪肝</w:t>
            </w:r>
          </w:p>
        </w:tc>
        <w:tc>
          <w:tcPr>
            <w:tcW w:w="1694" w:type="dxa"/>
          </w:tcPr>
          <w:p w:rsidR="00EA40A3" w:rsidRDefault="00E86C16">
            <w:pPr>
              <w:spacing w:before="101" w:line="184" w:lineRule="auto"/>
              <w:ind w:left="804"/>
              <w:rPr>
                <w:rFonts w:ascii="宋体" w:eastAsia="宋体" w:hAnsi="宋体" w:cs="宋体"/>
                <w:sz w:val="16"/>
                <w:szCs w:val="16"/>
              </w:rPr>
            </w:pPr>
            <w:r>
              <w:rPr>
                <w:rFonts w:ascii="宋体" w:eastAsia="宋体" w:hAnsi="宋体" w:cs="宋体"/>
                <w:spacing w:val="-3"/>
                <w:sz w:val="16"/>
                <w:szCs w:val="16"/>
              </w:rPr>
              <w:t>310</w:t>
            </w:r>
          </w:p>
        </w:tc>
      </w:tr>
      <w:tr w:rsidR="00EA40A3">
        <w:trPr>
          <w:trHeight w:val="264"/>
        </w:trPr>
        <w:tc>
          <w:tcPr>
            <w:tcW w:w="1845" w:type="dxa"/>
          </w:tcPr>
          <w:p w:rsidR="00EA40A3" w:rsidRDefault="00E86C16">
            <w:pPr>
              <w:spacing w:before="48" w:line="219" w:lineRule="auto"/>
              <w:ind w:left="449"/>
              <w:rPr>
                <w:rFonts w:ascii="宋体" w:eastAsia="宋体" w:hAnsi="宋体" w:cs="宋体"/>
                <w:sz w:val="16"/>
                <w:szCs w:val="16"/>
              </w:rPr>
            </w:pPr>
            <w:r>
              <w:rPr>
                <w:rFonts w:ascii="宋体" w:eastAsia="宋体" w:hAnsi="宋体" w:cs="宋体"/>
                <w:spacing w:val="-3"/>
                <w:sz w:val="16"/>
                <w:szCs w:val="16"/>
              </w:rPr>
              <w:t>紫菜</w:t>
            </w:r>
          </w:p>
        </w:tc>
        <w:tc>
          <w:tcPr>
            <w:tcW w:w="1765" w:type="dxa"/>
            <w:tcBorders>
              <w:right w:val="single" w:sz="4" w:space="0" w:color="000000"/>
            </w:tcBorders>
          </w:tcPr>
          <w:p w:rsidR="00EA40A3" w:rsidRDefault="00E86C16">
            <w:pPr>
              <w:spacing w:before="109" w:line="178" w:lineRule="auto"/>
              <w:ind w:left="914"/>
              <w:rPr>
                <w:rFonts w:ascii="宋体" w:eastAsia="宋体" w:hAnsi="宋体" w:cs="宋体"/>
                <w:sz w:val="16"/>
                <w:szCs w:val="16"/>
              </w:rPr>
            </w:pPr>
            <w:r>
              <w:rPr>
                <w:rFonts w:ascii="宋体" w:eastAsia="宋体" w:hAnsi="宋体" w:cs="宋体"/>
                <w:spacing w:val="-3"/>
                <w:sz w:val="16"/>
                <w:szCs w:val="16"/>
              </w:rPr>
              <w:t>350</w:t>
            </w:r>
          </w:p>
        </w:tc>
        <w:tc>
          <w:tcPr>
            <w:tcW w:w="1945" w:type="dxa"/>
            <w:tcBorders>
              <w:left w:val="single" w:sz="4" w:space="0" w:color="000000"/>
            </w:tcBorders>
          </w:tcPr>
          <w:p w:rsidR="00EA40A3" w:rsidRDefault="00E86C16">
            <w:pPr>
              <w:spacing w:before="49" w:line="221" w:lineRule="auto"/>
              <w:ind w:left="454"/>
              <w:rPr>
                <w:rFonts w:ascii="宋体" w:eastAsia="宋体" w:hAnsi="宋体" w:cs="宋体"/>
                <w:sz w:val="16"/>
                <w:szCs w:val="16"/>
              </w:rPr>
            </w:pPr>
            <w:r>
              <w:rPr>
                <w:rFonts w:ascii="宋体" w:eastAsia="宋体" w:hAnsi="宋体" w:cs="宋体"/>
                <w:spacing w:val="-3"/>
                <w:sz w:val="16"/>
                <w:szCs w:val="16"/>
              </w:rPr>
              <w:t>牛乳</w:t>
            </w:r>
          </w:p>
        </w:tc>
        <w:tc>
          <w:tcPr>
            <w:tcW w:w="1694" w:type="dxa"/>
          </w:tcPr>
          <w:p w:rsidR="00EA40A3" w:rsidRDefault="00E86C16">
            <w:pPr>
              <w:spacing w:before="89" w:line="183" w:lineRule="auto"/>
              <w:ind w:left="874"/>
              <w:rPr>
                <w:rFonts w:ascii="宋体" w:eastAsia="宋体" w:hAnsi="宋体" w:cs="宋体"/>
                <w:sz w:val="16"/>
                <w:szCs w:val="16"/>
              </w:rPr>
            </w:pPr>
            <w:r>
              <w:rPr>
                <w:rFonts w:ascii="宋体" w:eastAsia="宋体" w:hAnsi="宋体" w:cs="宋体"/>
                <w:spacing w:val="-3"/>
                <w:sz w:val="16"/>
                <w:szCs w:val="16"/>
              </w:rPr>
              <w:t>73</w:t>
            </w:r>
          </w:p>
        </w:tc>
      </w:tr>
      <w:tr w:rsidR="00EA40A3">
        <w:trPr>
          <w:trHeight w:val="259"/>
        </w:trPr>
        <w:tc>
          <w:tcPr>
            <w:tcW w:w="1845" w:type="dxa"/>
          </w:tcPr>
          <w:p w:rsidR="00EA40A3" w:rsidRDefault="00E86C16">
            <w:pPr>
              <w:spacing w:before="55" w:line="221" w:lineRule="auto"/>
              <w:ind w:left="449"/>
              <w:rPr>
                <w:rFonts w:ascii="宋体" w:eastAsia="宋体" w:hAnsi="宋体" w:cs="宋体"/>
                <w:sz w:val="16"/>
                <w:szCs w:val="16"/>
              </w:rPr>
            </w:pPr>
            <w:r>
              <w:rPr>
                <w:rFonts w:ascii="宋体" w:eastAsia="宋体" w:hAnsi="宋体" w:cs="宋体"/>
                <w:spacing w:val="-2"/>
                <w:sz w:val="16"/>
                <w:szCs w:val="16"/>
              </w:rPr>
              <w:t>银耳</w:t>
            </w:r>
          </w:p>
        </w:tc>
        <w:tc>
          <w:tcPr>
            <w:tcW w:w="1765" w:type="dxa"/>
            <w:tcBorders>
              <w:right w:val="single" w:sz="4" w:space="0" w:color="000000"/>
            </w:tcBorders>
          </w:tcPr>
          <w:p w:rsidR="00EA40A3" w:rsidRDefault="00E86C16">
            <w:pPr>
              <w:spacing w:before="115" w:line="165" w:lineRule="auto"/>
              <w:ind w:left="924"/>
              <w:rPr>
                <w:rFonts w:ascii="宋体" w:eastAsia="宋体" w:hAnsi="宋体" w:cs="宋体"/>
                <w:sz w:val="16"/>
                <w:szCs w:val="16"/>
              </w:rPr>
            </w:pPr>
            <w:r>
              <w:rPr>
                <w:rFonts w:ascii="宋体" w:eastAsia="宋体" w:hAnsi="宋体" w:cs="宋体"/>
                <w:spacing w:val="-3"/>
                <w:sz w:val="16"/>
                <w:szCs w:val="16"/>
              </w:rPr>
              <w:t>369</w:t>
            </w:r>
          </w:p>
        </w:tc>
        <w:tc>
          <w:tcPr>
            <w:tcW w:w="1945" w:type="dxa"/>
            <w:tcBorders>
              <w:left w:val="single" w:sz="4" w:space="0" w:color="000000"/>
            </w:tcBorders>
          </w:tcPr>
          <w:p w:rsidR="00EA40A3" w:rsidRDefault="00E86C16">
            <w:pPr>
              <w:spacing w:before="54" w:line="219" w:lineRule="auto"/>
              <w:ind w:left="454"/>
              <w:rPr>
                <w:rFonts w:ascii="宋体" w:eastAsia="宋体" w:hAnsi="宋体" w:cs="宋体"/>
                <w:sz w:val="16"/>
                <w:szCs w:val="16"/>
              </w:rPr>
            </w:pPr>
            <w:r>
              <w:rPr>
                <w:rFonts w:ascii="宋体" w:eastAsia="宋体" w:hAnsi="宋体" w:cs="宋体"/>
                <w:spacing w:val="-2"/>
                <w:sz w:val="16"/>
                <w:szCs w:val="16"/>
              </w:rPr>
              <w:t>河蚌</w:t>
            </w:r>
          </w:p>
        </w:tc>
        <w:tc>
          <w:tcPr>
            <w:tcW w:w="1694" w:type="dxa"/>
          </w:tcPr>
          <w:p w:rsidR="00EA40A3" w:rsidRDefault="00E86C16">
            <w:pPr>
              <w:spacing w:before="95" w:line="184" w:lineRule="auto"/>
              <w:ind w:left="794"/>
              <w:rPr>
                <w:rFonts w:ascii="宋体" w:eastAsia="宋体" w:hAnsi="宋体" w:cs="宋体"/>
                <w:sz w:val="16"/>
                <w:szCs w:val="16"/>
              </w:rPr>
            </w:pPr>
            <w:r>
              <w:rPr>
                <w:rFonts w:ascii="宋体" w:eastAsia="宋体" w:hAnsi="宋体" w:cs="宋体"/>
                <w:spacing w:val="-3"/>
                <w:sz w:val="16"/>
                <w:szCs w:val="16"/>
              </w:rPr>
              <w:t>319</w:t>
            </w:r>
          </w:p>
        </w:tc>
      </w:tr>
      <w:tr w:rsidR="00EA40A3">
        <w:trPr>
          <w:trHeight w:val="244"/>
        </w:trPr>
        <w:tc>
          <w:tcPr>
            <w:tcW w:w="1845" w:type="dxa"/>
            <w:tcBorders>
              <w:bottom w:val="single" w:sz="4" w:space="0" w:color="000000"/>
            </w:tcBorders>
          </w:tcPr>
          <w:p w:rsidR="00EA40A3" w:rsidRDefault="00E86C16">
            <w:pPr>
              <w:spacing w:before="46" w:line="220" w:lineRule="auto"/>
              <w:ind w:left="449"/>
              <w:rPr>
                <w:rFonts w:ascii="宋体" w:eastAsia="宋体" w:hAnsi="宋体" w:cs="宋体"/>
                <w:sz w:val="16"/>
                <w:szCs w:val="16"/>
              </w:rPr>
            </w:pPr>
            <w:r>
              <w:rPr>
                <w:rFonts w:ascii="宋体" w:eastAsia="宋体" w:hAnsi="宋体" w:cs="宋体"/>
                <w:spacing w:val="-2"/>
                <w:sz w:val="16"/>
                <w:szCs w:val="16"/>
              </w:rPr>
              <w:t>鲫鱼</w:t>
            </w:r>
          </w:p>
        </w:tc>
        <w:tc>
          <w:tcPr>
            <w:tcW w:w="1765" w:type="dxa"/>
            <w:tcBorders>
              <w:bottom w:val="single" w:sz="4" w:space="0" w:color="000000"/>
              <w:right w:val="single" w:sz="4" w:space="0" w:color="000000"/>
            </w:tcBorders>
          </w:tcPr>
          <w:p w:rsidR="00EA40A3" w:rsidRDefault="00E86C16">
            <w:pPr>
              <w:spacing w:before="95" w:line="171" w:lineRule="auto"/>
              <w:ind w:left="934"/>
              <w:rPr>
                <w:rFonts w:ascii="宋体" w:eastAsia="宋体" w:hAnsi="宋体" w:cs="宋体"/>
                <w:sz w:val="16"/>
                <w:szCs w:val="16"/>
              </w:rPr>
            </w:pPr>
            <w:r>
              <w:rPr>
                <w:rFonts w:ascii="宋体" w:eastAsia="宋体" w:hAnsi="宋体" w:cs="宋体"/>
                <w:spacing w:val="-5"/>
                <w:sz w:val="16"/>
                <w:szCs w:val="16"/>
              </w:rPr>
              <w:t>193</w:t>
            </w:r>
          </w:p>
        </w:tc>
        <w:tc>
          <w:tcPr>
            <w:tcW w:w="1945" w:type="dxa"/>
            <w:tcBorders>
              <w:left w:val="single" w:sz="4" w:space="0" w:color="000000"/>
              <w:bottom w:val="single" w:sz="4" w:space="0" w:color="000000"/>
            </w:tcBorders>
          </w:tcPr>
          <w:p w:rsidR="00EA40A3" w:rsidRDefault="00E86C16">
            <w:pPr>
              <w:spacing w:before="46" w:line="220" w:lineRule="auto"/>
              <w:ind w:left="454"/>
              <w:rPr>
                <w:rFonts w:ascii="宋体" w:eastAsia="宋体" w:hAnsi="宋体" w:cs="宋体"/>
                <w:sz w:val="16"/>
                <w:szCs w:val="16"/>
              </w:rPr>
            </w:pPr>
            <w:r>
              <w:rPr>
                <w:rFonts w:ascii="宋体" w:eastAsia="宋体" w:hAnsi="宋体" w:cs="宋体"/>
                <w:spacing w:val="-2"/>
                <w:sz w:val="16"/>
                <w:szCs w:val="16"/>
              </w:rPr>
              <w:t>虾皮</w:t>
            </w:r>
          </w:p>
        </w:tc>
        <w:tc>
          <w:tcPr>
            <w:tcW w:w="1694" w:type="dxa"/>
            <w:tcBorders>
              <w:bottom w:val="single" w:sz="4" w:space="0" w:color="000000"/>
            </w:tcBorders>
          </w:tcPr>
          <w:p w:rsidR="00EA40A3" w:rsidRDefault="00E86C16">
            <w:pPr>
              <w:spacing w:before="96" w:line="170" w:lineRule="auto"/>
              <w:ind w:left="804"/>
              <w:rPr>
                <w:rFonts w:ascii="宋体" w:eastAsia="宋体" w:hAnsi="宋体" w:cs="宋体"/>
                <w:sz w:val="16"/>
                <w:szCs w:val="16"/>
              </w:rPr>
            </w:pPr>
            <w:r>
              <w:rPr>
                <w:rFonts w:ascii="宋体" w:eastAsia="宋体" w:hAnsi="宋体" w:cs="宋体"/>
                <w:spacing w:val="-3"/>
                <w:sz w:val="16"/>
                <w:szCs w:val="16"/>
              </w:rPr>
              <w:t>582</w:t>
            </w:r>
          </w:p>
        </w:tc>
      </w:tr>
    </w:tbl>
    <w:p w:rsidR="00EA40A3" w:rsidRDefault="00E86C16">
      <w:pPr>
        <w:spacing w:before="71" w:line="219" w:lineRule="auto"/>
        <w:ind w:left="279"/>
        <w:rPr>
          <w:rFonts w:ascii="宋体" w:eastAsia="宋体" w:hAnsi="宋体" w:cs="宋体"/>
          <w:sz w:val="18"/>
          <w:szCs w:val="18"/>
        </w:rPr>
      </w:pPr>
      <w:r>
        <w:rPr>
          <w:rFonts w:ascii="宋体" w:eastAsia="宋体" w:hAnsi="宋体" w:cs="宋体"/>
          <w:spacing w:val="-20"/>
          <w:sz w:val="18"/>
          <w:szCs w:val="18"/>
        </w:rPr>
        <w:t>资料来源：葛可佑.2004.中国营养科学全书.北京：人民卫生出版社</w:t>
      </w:r>
    </w:p>
    <w:p w:rsidR="00EA40A3" w:rsidRDefault="00E86C16">
      <w:pPr>
        <w:spacing w:before="69"/>
        <w:ind w:right="101"/>
        <w:jc w:val="right"/>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93</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pgSz w:w="9220" w:h="13360"/>
          <w:pgMar w:top="400" w:right="1004" w:bottom="400" w:left="860" w:header="0" w:footer="0" w:gutter="0"/>
          <w:cols w:space="720"/>
        </w:sectPr>
      </w:pPr>
    </w:p>
    <w:p w:rsidR="00EA40A3" w:rsidRDefault="00EA40A3">
      <w:pPr>
        <w:spacing w:line="255" w:lineRule="auto"/>
      </w:pPr>
    </w:p>
    <w:p w:rsidR="00EA40A3" w:rsidRDefault="00EA40A3">
      <w:pPr>
        <w:spacing w:line="255" w:lineRule="auto"/>
      </w:pPr>
    </w:p>
    <w:p w:rsidR="00EA40A3" w:rsidRDefault="00EA40A3">
      <w:pPr>
        <w:spacing w:line="256" w:lineRule="auto"/>
      </w:pPr>
    </w:p>
    <w:p w:rsidR="00EA40A3" w:rsidRDefault="00EA40A3">
      <w:pPr>
        <w:spacing w:line="256" w:lineRule="auto"/>
      </w:pPr>
    </w:p>
    <w:p w:rsidR="00EA40A3" w:rsidRDefault="00E86C16">
      <w:pPr>
        <w:spacing w:before="68" w:line="221" w:lineRule="auto"/>
        <w:ind w:left="3"/>
        <w:outlineLvl w:val="6"/>
        <w:rPr>
          <w:rFonts w:ascii="宋体" w:eastAsia="宋体" w:hAnsi="宋体" w:cs="宋体"/>
        </w:rPr>
      </w:pPr>
      <w:r>
        <w:rPr>
          <w:rFonts w:ascii="宋体" w:eastAsia="宋体" w:hAnsi="宋体" w:cs="宋体"/>
          <w:b/>
          <w:bCs/>
          <w:spacing w:val="-4"/>
        </w:rPr>
        <w:t>4.1.4</w:t>
      </w:r>
      <w:r>
        <w:rPr>
          <w:rFonts w:ascii="宋体" w:eastAsia="宋体" w:hAnsi="宋体" w:cs="宋体"/>
          <w:spacing w:val="1"/>
        </w:rPr>
        <w:t xml:space="preserve">    </w:t>
      </w:r>
      <w:r>
        <w:rPr>
          <w:rFonts w:ascii="宋体" w:eastAsia="宋体" w:hAnsi="宋体" w:cs="宋体"/>
          <w:b/>
          <w:bCs/>
          <w:spacing w:val="-4"/>
        </w:rPr>
        <w:t>钠</w:t>
      </w:r>
    </w:p>
    <w:p w:rsidR="00EA40A3" w:rsidRDefault="00E86C16">
      <w:pPr>
        <w:spacing w:before="203" w:line="254" w:lineRule="auto"/>
        <w:ind w:firstLine="420"/>
        <w:jc w:val="both"/>
        <w:rPr>
          <w:rFonts w:ascii="宋体" w:eastAsia="宋体" w:hAnsi="宋体" w:cs="宋体"/>
        </w:rPr>
      </w:pPr>
      <w:r>
        <w:rPr>
          <w:rFonts w:ascii="宋体" w:eastAsia="宋体" w:hAnsi="宋体" w:cs="宋体"/>
          <w:spacing w:val="7"/>
        </w:rPr>
        <w:t>人体内钠</w:t>
      </w:r>
      <w:r>
        <w:rPr>
          <w:rFonts w:ascii="宋体" w:eastAsia="宋体" w:hAnsi="宋体" w:cs="宋体"/>
          <w:spacing w:val="-11"/>
        </w:rPr>
        <w:t xml:space="preserve"> </w:t>
      </w:r>
      <w:r>
        <w:rPr>
          <w:rFonts w:ascii="宋体" w:eastAsia="宋体" w:hAnsi="宋体" w:cs="宋体"/>
          <w:spacing w:val="7"/>
        </w:rPr>
        <w:t>(</w:t>
      </w:r>
      <w:r>
        <w:rPr>
          <w:rFonts w:ascii="宋体" w:eastAsia="宋体" w:hAnsi="宋体" w:cs="宋体"/>
        </w:rPr>
        <w:t>natrium</w:t>
      </w:r>
      <w:r>
        <w:rPr>
          <w:rFonts w:ascii="宋体" w:eastAsia="宋体" w:hAnsi="宋体" w:cs="宋体"/>
          <w:spacing w:val="7"/>
        </w:rPr>
        <w:t>)</w:t>
      </w:r>
      <w:r>
        <w:rPr>
          <w:rFonts w:ascii="宋体" w:eastAsia="宋体" w:hAnsi="宋体" w:cs="宋体"/>
          <w:spacing w:val="-5"/>
        </w:rPr>
        <w:t xml:space="preserve"> </w:t>
      </w:r>
      <w:r>
        <w:rPr>
          <w:rFonts w:ascii="宋体" w:eastAsia="宋体" w:hAnsi="宋体" w:cs="宋体"/>
          <w:spacing w:val="7"/>
        </w:rPr>
        <w:t>的含量约为每千克体重1.4g, 其中44%～50%在细胞</w:t>
      </w:r>
      <w:r>
        <w:rPr>
          <w:rFonts w:ascii="宋体" w:eastAsia="宋体" w:hAnsi="宋体" w:cs="宋体"/>
        </w:rPr>
        <w:t xml:space="preserve"> </w:t>
      </w:r>
      <w:r>
        <w:rPr>
          <w:rFonts w:ascii="宋体" w:eastAsia="宋体" w:hAnsi="宋体" w:cs="宋体"/>
          <w:spacing w:val="12"/>
        </w:rPr>
        <w:t>外液，9%～10%在细胞内液，40%～47%在</w:t>
      </w:r>
      <w:r>
        <w:rPr>
          <w:rFonts w:ascii="宋体" w:eastAsia="宋体" w:hAnsi="宋体" w:cs="宋体"/>
          <w:spacing w:val="11"/>
        </w:rPr>
        <w:t>骨骼中。体内的钠分为可交换钠和</w:t>
      </w:r>
      <w:r>
        <w:rPr>
          <w:rFonts w:ascii="宋体" w:eastAsia="宋体" w:hAnsi="宋体" w:cs="宋体"/>
        </w:rPr>
        <w:t xml:space="preserve"> </w:t>
      </w:r>
      <w:r>
        <w:rPr>
          <w:rFonts w:ascii="宋体" w:eastAsia="宋体" w:hAnsi="宋体" w:cs="宋体"/>
          <w:spacing w:val="9"/>
        </w:rPr>
        <w:t>不可交换钠两部分，前者占总体钠的70%,包括细胞内、外液和骨骼中近半数</w:t>
      </w:r>
      <w:r>
        <w:rPr>
          <w:rFonts w:ascii="宋体" w:eastAsia="宋体" w:hAnsi="宋体" w:cs="宋体"/>
          <w:spacing w:val="13"/>
        </w:rPr>
        <w:t xml:space="preserve"> </w:t>
      </w:r>
      <w:r>
        <w:rPr>
          <w:rFonts w:ascii="宋体" w:eastAsia="宋体" w:hAnsi="宋体" w:cs="宋体"/>
          <w:spacing w:val="-3"/>
        </w:rPr>
        <w:t>的钠，其余为不可交换钠，主要与骨骼相结合。</w:t>
      </w:r>
    </w:p>
    <w:p w:rsidR="00EA40A3" w:rsidRDefault="00E86C16">
      <w:pPr>
        <w:spacing w:before="227" w:line="222" w:lineRule="auto"/>
        <w:rPr>
          <w:rFonts w:ascii="仿宋" w:eastAsia="仿宋" w:hAnsi="仿宋" w:cs="仿宋"/>
        </w:rPr>
      </w:pPr>
      <w:r>
        <w:rPr>
          <w:rFonts w:ascii="仿宋" w:eastAsia="仿宋" w:hAnsi="仿宋" w:cs="仿宋"/>
          <w:spacing w:val="15"/>
        </w:rPr>
        <w:t>1.</w:t>
      </w:r>
      <w:r>
        <w:rPr>
          <w:rFonts w:ascii="仿宋" w:eastAsia="仿宋" w:hAnsi="仿宋" w:cs="仿宋"/>
          <w:spacing w:val="-18"/>
        </w:rPr>
        <w:t xml:space="preserve"> </w:t>
      </w:r>
      <w:r>
        <w:rPr>
          <w:rFonts w:ascii="仿宋" w:eastAsia="仿宋" w:hAnsi="仿宋" w:cs="仿宋"/>
          <w:spacing w:val="15"/>
        </w:rPr>
        <w:t>钠的生理功能</w:t>
      </w:r>
    </w:p>
    <w:p w:rsidR="00EA40A3" w:rsidRDefault="00E86C16">
      <w:pPr>
        <w:spacing w:before="212" w:line="256" w:lineRule="auto"/>
        <w:ind w:right="4" w:firstLine="420"/>
        <w:rPr>
          <w:rFonts w:ascii="宋体" w:eastAsia="宋体" w:hAnsi="宋体" w:cs="宋体"/>
        </w:rPr>
      </w:pPr>
      <w:r>
        <w:rPr>
          <w:rFonts w:ascii="宋体" w:eastAsia="宋体" w:hAnsi="宋体" w:cs="宋体"/>
          <w:spacing w:val="7"/>
        </w:rPr>
        <w:t>(1)构成细胞外液渗透压，保持细胞外液容量。钠是细胞外液的</w:t>
      </w:r>
      <w:r>
        <w:rPr>
          <w:rFonts w:ascii="宋体" w:eastAsia="宋体" w:hAnsi="宋体" w:cs="宋体"/>
          <w:spacing w:val="6"/>
        </w:rPr>
        <w:t>主要阳离</w:t>
      </w:r>
      <w:r>
        <w:rPr>
          <w:rFonts w:ascii="宋体" w:eastAsia="宋体" w:hAnsi="宋体" w:cs="宋体"/>
        </w:rPr>
        <w:t xml:space="preserve"> </w:t>
      </w:r>
      <w:r>
        <w:rPr>
          <w:rFonts w:ascii="宋体" w:eastAsia="宋体" w:hAnsi="宋体" w:cs="宋体"/>
          <w:spacing w:val="6"/>
        </w:rPr>
        <w:t>子，占阳离子含量的90%左右。它与相对应的阴离子一起所产生的渗透压，在</w:t>
      </w:r>
      <w:r>
        <w:rPr>
          <w:rFonts w:ascii="宋体" w:eastAsia="宋体" w:hAnsi="宋体" w:cs="宋体"/>
          <w:spacing w:val="15"/>
        </w:rPr>
        <w:t xml:space="preserve"> </w:t>
      </w:r>
      <w:r>
        <w:rPr>
          <w:rFonts w:ascii="宋体" w:eastAsia="宋体" w:hAnsi="宋体" w:cs="宋体"/>
          <w:spacing w:val="5"/>
        </w:rPr>
        <w:t>细胞外液中也占总渗透压的90%左右，因此钠对细胞外液的容量和渗透</w:t>
      </w:r>
      <w:r>
        <w:rPr>
          <w:rFonts w:ascii="宋体" w:eastAsia="宋体" w:hAnsi="宋体" w:cs="宋体"/>
          <w:spacing w:val="4"/>
        </w:rPr>
        <w:t>压就占</w:t>
      </w:r>
      <w:r>
        <w:rPr>
          <w:rFonts w:ascii="宋体" w:eastAsia="宋体" w:hAnsi="宋体" w:cs="宋体"/>
        </w:rPr>
        <w:t xml:space="preserve"> </w:t>
      </w:r>
      <w:r>
        <w:rPr>
          <w:rFonts w:ascii="宋体" w:eastAsia="宋体" w:hAnsi="宋体" w:cs="宋体"/>
          <w:spacing w:val="-3"/>
        </w:rPr>
        <w:t>有举足轻重的地位。同样，在细胞内液的钾也构成类似渗透压，使水保留在细胞</w:t>
      </w:r>
      <w:r>
        <w:rPr>
          <w:rFonts w:ascii="宋体" w:eastAsia="宋体" w:hAnsi="宋体" w:cs="宋体"/>
          <w:spacing w:val="12"/>
        </w:rPr>
        <w:t xml:space="preserve"> </w:t>
      </w:r>
      <w:r>
        <w:rPr>
          <w:rFonts w:ascii="宋体" w:eastAsia="宋体" w:hAnsi="宋体" w:cs="宋体"/>
          <w:spacing w:val="-3"/>
        </w:rPr>
        <w:t>内，当钠或钾的含量不平衡时，水就转移入细胞或移出细胞。正</w:t>
      </w:r>
      <w:r>
        <w:rPr>
          <w:rFonts w:ascii="宋体" w:eastAsia="宋体" w:hAnsi="宋体" w:cs="宋体"/>
          <w:spacing w:val="-4"/>
        </w:rPr>
        <w:t>常人体能使细胞</w:t>
      </w:r>
      <w:r>
        <w:rPr>
          <w:rFonts w:ascii="宋体" w:eastAsia="宋体" w:hAnsi="宋体" w:cs="宋体"/>
        </w:rPr>
        <w:t xml:space="preserve"> </w:t>
      </w:r>
      <w:r>
        <w:rPr>
          <w:rFonts w:ascii="宋体" w:eastAsia="宋体" w:hAnsi="宋体" w:cs="宋体"/>
          <w:spacing w:val="3"/>
        </w:rPr>
        <w:t>外钠与细胞内钾之间维持适当的平衡，钠钾离子的主动运转，由</w:t>
      </w:r>
      <w:r>
        <w:rPr>
          <w:rFonts w:ascii="宋体" w:eastAsia="宋体" w:hAnsi="宋体" w:cs="宋体"/>
        </w:rPr>
        <w:t>Na</w:t>
      </w:r>
      <w:r>
        <w:rPr>
          <w:rFonts w:ascii="宋体" w:eastAsia="宋体" w:hAnsi="宋体" w:cs="宋体"/>
          <w:spacing w:val="3"/>
        </w:rPr>
        <w:t>+-K+</w:t>
      </w:r>
      <w:r>
        <w:rPr>
          <w:rFonts w:ascii="宋体" w:eastAsia="宋体" w:hAnsi="宋体" w:cs="宋体"/>
          <w:spacing w:val="2"/>
        </w:rPr>
        <w:t>-</w:t>
      </w:r>
      <w:r>
        <w:rPr>
          <w:rFonts w:ascii="宋体" w:eastAsia="宋体" w:hAnsi="宋体" w:cs="宋体"/>
        </w:rPr>
        <w:t>ATP</w:t>
      </w:r>
    </w:p>
    <w:p w:rsidR="00EA40A3" w:rsidRDefault="00E86C16">
      <w:pPr>
        <w:spacing w:before="51" w:line="242" w:lineRule="auto"/>
        <w:ind w:right="7"/>
        <w:rPr>
          <w:rFonts w:ascii="宋体" w:eastAsia="宋体" w:hAnsi="宋体" w:cs="宋体"/>
        </w:rPr>
      </w:pPr>
      <w:r>
        <w:rPr>
          <w:rFonts w:ascii="宋体" w:eastAsia="宋体" w:hAnsi="宋体" w:cs="宋体"/>
          <w:spacing w:val="-3"/>
        </w:rPr>
        <w:t>酶驱动，使钠离子主动从细胞内排出，以维持细胞内外液渗透压平衡，并调节水</w:t>
      </w:r>
      <w:r>
        <w:rPr>
          <w:rFonts w:ascii="宋体" w:eastAsia="宋体" w:hAnsi="宋体" w:cs="宋体"/>
          <w:spacing w:val="13"/>
        </w:rPr>
        <w:t xml:space="preserve"> </w:t>
      </w:r>
      <w:r>
        <w:rPr>
          <w:rFonts w:ascii="宋体" w:eastAsia="宋体" w:hAnsi="宋体" w:cs="宋体"/>
          <w:spacing w:val="-9"/>
        </w:rPr>
        <w:t>平衡。</w:t>
      </w:r>
    </w:p>
    <w:p w:rsidR="00EA40A3" w:rsidRDefault="00E86C16">
      <w:pPr>
        <w:spacing w:before="47" w:line="250" w:lineRule="auto"/>
        <w:ind w:right="6" w:firstLine="420"/>
        <w:rPr>
          <w:rFonts w:ascii="宋体" w:eastAsia="宋体" w:hAnsi="宋体" w:cs="宋体"/>
        </w:rPr>
      </w:pPr>
      <w:r>
        <w:rPr>
          <w:rFonts w:ascii="宋体" w:eastAsia="宋体" w:hAnsi="宋体" w:cs="宋体"/>
        </w:rPr>
        <w:t>(2)维持体液的酸碱平衡。人体各组织细胞需要适宜的氢离</w:t>
      </w:r>
      <w:r>
        <w:rPr>
          <w:rFonts w:ascii="宋体" w:eastAsia="宋体" w:hAnsi="宋体" w:cs="宋体"/>
          <w:spacing w:val="-1"/>
        </w:rPr>
        <w:t>子浓度才能维持</w:t>
      </w:r>
      <w:r>
        <w:rPr>
          <w:rFonts w:ascii="宋体" w:eastAsia="宋体" w:hAnsi="宋体" w:cs="宋体"/>
        </w:rPr>
        <w:t xml:space="preserve"> </w:t>
      </w:r>
      <w:r>
        <w:rPr>
          <w:rFonts w:ascii="宋体" w:eastAsia="宋体" w:hAnsi="宋体" w:cs="宋体"/>
          <w:spacing w:val="-3"/>
        </w:rPr>
        <w:t>各种酶的正常活动。在缓冲系统中，主要的缓冲碱碳酸氢盐，常受钠离子量增减</w:t>
      </w:r>
      <w:r>
        <w:rPr>
          <w:rFonts w:ascii="宋体" w:eastAsia="宋体" w:hAnsi="宋体" w:cs="宋体"/>
          <w:spacing w:val="14"/>
        </w:rPr>
        <w:t xml:space="preserve"> </w:t>
      </w:r>
      <w:r>
        <w:rPr>
          <w:rFonts w:ascii="宋体" w:eastAsia="宋体" w:hAnsi="宋体" w:cs="宋体"/>
          <w:spacing w:val="-5"/>
        </w:rPr>
        <w:t>的影响而消长，故</w:t>
      </w:r>
      <w:r>
        <w:rPr>
          <w:rFonts w:ascii="宋体" w:eastAsia="宋体" w:hAnsi="宋体" w:cs="宋体"/>
          <w:spacing w:val="-47"/>
        </w:rPr>
        <w:t xml:space="preserve"> </w:t>
      </w:r>
      <w:r>
        <w:rPr>
          <w:rFonts w:ascii="宋体" w:eastAsia="宋体" w:hAnsi="宋体" w:cs="宋体"/>
          <w:spacing w:val="-5"/>
        </w:rPr>
        <w:t>Na+</w:t>
      </w:r>
      <w:r>
        <w:rPr>
          <w:rFonts w:ascii="宋体" w:eastAsia="宋体" w:hAnsi="宋体" w:cs="宋体"/>
          <w:spacing w:val="-18"/>
        </w:rPr>
        <w:t xml:space="preserve"> </w:t>
      </w:r>
      <w:r>
        <w:rPr>
          <w:rFonts w:ascii="宋体" w:eastAsia="宋体" w:hAnsi="宋体" w:cs="宋体"/>
          <w:spacing w:val="-5"/>
        </w:rPr>
        <w:t>总量对体液酸碱平衡也具有重要作用，</w:t>
      </w:r>
    </w:p>
    <w:p w:rsidR="00EA40A3" w:rsidRDefault="00E86C16">
      <w:pPr>
        <w:spacing w:before="48" w:line="242" w:lineRule="auto"/>
        <w:ind w:right="20" w:firstLine="420"/>
        <w:rPr>
          <w:rFonts w:ascii="宋体" w:eastAsia="宋体" w:hAnsi="宋体" w:cs="宋体"/>
        </w:rPr>
      </w:pPr>
      <w:r>
        <w:rPr>
          <w:rFonts w:ascii="宋体" w:eastAsia="宋体" w:hAnsi="宋体" w:cs="宋体"/>
        </w:rPr>
        <w:t xml:space="preserve">(3)增强神经肌肉兴奋性。钠、钾、钙、镁等离子的浓度平衡，对于维护神 </w:t>
      </w:r>
      <w:r>
        <w:rPr>
          <w:rFonts w:ascii="宋体" w:eastAsia="宋体" w:hAnsi="宋体" w:cs="宋体"/>
          <w:spacing w:val="-4"/>
        </w:rPr>
        <w:t>经肌肉的应激性都是必需的，钠离子的正常浓度是保证这一功能的重要因素，</w:t>
      </w:r>
    </w:p>
    <w:p w:rsidR="00EA40A3" w:rsidRDefault="00E86C16">
      <w:pPr>
        <w:spacing w:before="50" w:line="241" w:lineRule="auto"/>
        <w:ind w:right="27" w:firstLine="420"/>
        <w:rPr>
          <w:rFonts w:ascii="宋体" w:eastAsia="宋体" w:hAnsi="宋体" w:cs="宋体"/>
        </w:rPr>
      </w:pPr>
      <w:r>
        <w:rPr>
          <w:rFonts w:ascii="宋体" w:eastAsia="宋体" w:hAnsi="宋体" w:cs="宋体"/>
          <w:spacing w:val="4"/>
        </w:rPr>
        <w:t>(4)其他。钠与</w:t>
      </w:r>
      <w:r>
        <w:rPr>
          <w:rFonts w:ascii="宋体" w:eastAsia="宋体" w:hAnsi="宋体" w:cs="宋体"/>
        </w:rPr>
        <w:t>ATP</w:t>
      </w:r>
      <w:r>
        <w:rPr>
          <w:rFonts w:ascii="宋体" w:eastAsia="宋体" w:hAnsi="宋体" w:cs="宋体"/>
          <w:spacing w:val="81"/>
        </w:rPr>
        <w:t xml:space="preserve"> </w:t>
      </w:r>
      <w:r>
        <w:rPr>
          <w:rFonts w:ascii="宋体" w:eastAsia="宋体" w:hAnsi="宋体" w:cs="宋体"/>
          <w:spacing w:val="4"/>
        </w:rPr>
        <w:t>的生成和利用、肌肉运动、心血管功能、能量代</w:t>
      </w:r>
      <w:r>
        <w:rPr>
          <w:rFonts w:ascii="宋体" w:eastAsia="宋体" w:hAnsi="宋体" w:cs="宋体"/>
          <w:spacing w:val="3"/>
        </w:rPr>
        <w:t>谢都</w:t>
      </w:r>
      <w:r>
        <w:rPr>
          <w:rFonts w:ascii="宋体" w:eastAsia="宋体" w:hAnsi="宋体" w:cs="宋体"/>
        </w:rPr>
        <w:t xml:space="preserve"> </w:t>
      </w:r>
      <w:r>
        <w:rPr>
          <w:rFonts w:ascii="宋体" w:eastAsia="宋体" w:hAnsi="宋体" w:cs="宋体"/>
          <w:spacing w:val="-7"/>
        </w:rPr>
        <w:t>有关系，此外，糖代谢、氧的利用也需有钠的参与。</w:t>
      </w:r>
    </w:p>
    <w:p w:rsidR="00EA40A3" w:rsidRDefault="00E86C16">
      <w:pPr>
        <w:spacing w:before="282" w:line="223" w:lineRule="auto"/>
        <w:rPr>
          <w:rFonts w:ascii="仿宋" w:eastAsia="仿宋" w:hAnsi="仿宋" w:cs="仿宋"/>
        </w:rPr>
      </w:pPr>
      <w:r>
        <w:rPr>
          <w:rFonts w:ascii="仿宋" w:eastAsia="仿宋" w:hAnsi="仿宋" w:cs="仿宋"/>
          <w:spacing w:val="11"/>
        </w:rPr>
        <w:t>2.</w:t>
      </w:r>
      <w:r>
        <w:rPr>
          <w:rFonts w:ascii="仿宋" w:eastAsia="仿宋" w:hAnsi="仿宋" w:cs="仿宋"/>
          <w:spacing w:val="51"/>
        </w:rPr>
        <w:t xml:space="preserve"> </w:t>
      </w:r>
      <w:r>
        <w:rPr>
          <w:rFonts w:ascii="仿宋" w:eastAsia="仿宋" w:hAnsi="仿宋" w:cs="仿宋"/>
          <w:spacing w:val="11"/>
        </w:rPr>
        <w:t>钠的吸收和代谢</w:t>
      </w:r>
    </w:p>
    <w:p w:rsidR="00EA40A3" w:rsidRDefault="00E86C16">
      <w:pPr>
        <w:spacing w:before="225" w:line="249" w:lineRule="auto"/>
        <w:ind w:right="2" w:firstLine="420"/>
        <w:jc w:val="both"/>
        <w:rPr>
          <w:rFonts w:ascii="宋体" w:eastAsia="宋体" w:hAnsi="宋体" w:cs="宋体"/>
        </w:rPr>
      </w:pPr>
      <w:r>
        <w:rPr>
          <w:rFonts w:ascii="宋体" w:eastAsia="宋体" w:hAnsi="宋体" w:cs="宋体"/>
          <w:spacing w:val="-3"/>
        </w:rPr>
        <w:t>钠的吸收主要在小肠，吸收率极高，几乎全部被吸收。消化道吸收的钠包括</w:t>
      </w:r>
      <w:r>
        <w:rPr>
          <w:rFonts w:ascii="宋体" w:eastAsia="宋体" w:hAnsi="宋体" w:cs="宋体"/>
          <w:spacing w:val="6"/>
        </w:rPr>
        <w:t xml:space="preserve"> </w:t>
      </w:r>
      <w:r>
        <w:rPr>
          <w:rFonts w:ascii="宋体" w:eastAsia="宋体" w:hAnsi="宋体" w:cs="宋体"/>
          <w:spacing w:val="-3"/>
        </w:rPr>
        <w:t>食物的钠和消化道分泌液中的钠。在空肠，钠的吸收主要是与糖和氨基酸的主动</w:t>
      </w:r>
      <w:r>
        <w:rPr>
          <w:rFonts w:ascii="宋体" w:eastAsia="宋体" w:hAnsi="宋体" w:cs="宋体"/>
          <w:spacing w:val="18"/>
        </w:rPr>
        <w:t xml:space="preserve"> </w:t>
      </w:r>
      <w:r>
        <w:rPr>
          <w:rFonts w:ascii="宋体" w:eastAsia="宋体" w:hAnsi="宋体" w:cs="宋体"/>
          <w:spacing w:val="-4"/>
        </w:rPr>
        <w:t>转运相偶联进行的被动性过程，而在回肠则大部分钠是主动性吸收</w:t>
      </w:r>
      <w:r>
        <w:rPr>
          <w:rFonts w:ascii="宋体" w:eastAsia="宋体" w:hAnsi="宋体" w:cs="宋体"/>
          <w:spacing w:val="-5"/>
        </w:rPr>
        <w:t>。</w:t>
      </w:r>
    </w:p>
    <w:p w:rsidR="00EA40A3" w:rsidRDefault="00E86C16">
      <w:pPr>
        <w:spacing w:before="73" w:line="252" w:lineRule="auto"/>
        <w:ind w:right="7" w:firstLine="420"/>
        <w:jc w:val="both"/>
        <w:rPr>
          <w:rFonts w:ascii="宋体" w:eastAsia="宋体" w:hAnsi="宋体" w:cs="宋体"/>
        </w:rPr>
      </w:pPr>
      <w:r>
        <w:rPr>
          <w:rFonts w:ascii="宋体" w:eastAsia="宋体" w:hAnsi="宋体" w:cs="宋体"/>
          <w:spacing w:val="-3"/>
        </w:rPr>
        <w:t>在正常情况下，每日摄入的钠只有小部分是身体所需，大部分通过肾脏从尿</w:t>
      </w:r>
      <w:r>
        <w:rPr>
          <w:rFonts w:ascii="宋体" w:eastAsia="宋体" w:hAnsi="宋体" w:cs="宋体"/>
          <w:spacing w:val="6"/>
        </w:rPr>
        <w:t xml:space="preserve"> </w:t>
      </w:r>
      <w:r>
        <w:rPr>
          <w:rFonts w:ascii="宋体" w:eastAsia="宋体" w:hAnsi="宋体" w:cs="宋体"/>
          <w:spacing w:val="36"/>
        </w:rPr>
        <w:t>排出。肾脏对钠的吸收较完善。每天由肾小球滤过的钠可达20000~</w:t>
      </w:r>
      <w:r>
        <w:rPr>
          <w:rFonts w:ascii="宋体" w:eastAsia="宋体" w:hAnsi="宋体" w:cs="宋体"/>
          <w:spacing w:val="7"/>
        </w:rPr>
        <w:t xml:space="preserve"> 40000</w:t>
      </w:r>
      <w:r>
        <w:rPr>
          <w:rFonts w:ascii="宋体" w:eastAsia="宋体" w:hAnsi="宋体" w:cs="宋体"/>
        </w:rPr>
        <w:t>mmol</w:t>
      </w:r>
      <w:r>
        <w:rPr>
          <w:rFonts w:ascii="宋体" w:eastAsia="宋体" w:hAnsi="宋体" w:cs="宋体"/>
          <w:spacing w:val="7"/>
        </w:rPr>
        <w:t>,</w:t>
      </w:r>
      <w:r>
        <w:rPr>
          <w:rFonts w:ascii="宋体" w:eastAsia="宋体" w:hAnsi="宋体" w:cs="宋体"/>
          <w:spacing w:val="108"/>
        </w:rPr>
        <w:t xml:space="preserve"> </w:t>
      </w:r>
      <w:r>
        <w:rPr>
          <w:rFonts w:ascii="宋体" w:eastAsia="宋体" w:hAnsi="宋体" w:cs="宋体"/>
          <w:spacing w:val="7"/>
        </w:rPr>
        <w:t>而每日尿排出仅10～200</w:t>
      </w:r>
      <w:r>
        <w:rPr>
          <w:rFonts w:ascii="宋体" w:eastAsia="宋体" w:hAnsi="宋体" w:cs="宋体"/>
        </w:rPr>
        <w:t>mmol</w:t>
      </w:r>
      <w:r>
        <w:rPr>
          <w:rFonts w:ascii="宋体" w:eastAsia="宋体" w:hAnsi="宋体" w:cs="宋体"/>
          <w:spacing w:val="7"/>
        </w:rPr>
        <w:t>,</w:t>
      </w:r>
      <w:r>
        <w:rPr>
          <w:rFonts w:ascii="宋体" w:eastAsia="宋体" w:hAnsi="宋体" w:cs="宋体"/>
          <w:spacing w:val="73"/>
        </w:rPr>
        <w:t xml:space="preserve"> </w:t>
      </w:r>
      <w:r>
        <w:rPr>
          <w:rFonts w:ascii="宋体" w:eastAsia="宋体" w:hAnsi="宋体" w:cs="宋体"/>
          <w:spacing w:val="7"/>
        </w:rPr>
        <w:t>吸收率达99.5%。当摄入无钠饮</w:t>
      </w:r>
      <w:r>
        <w:rPr>
          <w:rFonts w:ascii="宋体" w:eastAsia="宋体" w:hAnsi="宋体" w:cs="宋体"/>
        </w:rPr>
        <w:t xml:space="preserve"> </w:t>
      </w:r>
      <w:r>
        <w:rPr>
          <w:rFonts w:ascii="宋体" w:eastAsia="宋体" w:hAnsi="宋体" w:cs="宋体"/>
          <w:spacing w:val="-5"/>
        </w:rPr>
        <w:t>食时，钠在尿中几乎可完全消失；摄入过多，能完全由肾排出。</w:t>
      </w:r>
    </w:p>
    <w:p w:rsidR="00EA40A3" w:rsidRDefault="00E86C16">
      <w:pPr>
        <w:spacing w:before="77" w:line="235" w:lineRule="auto"/>
        <w:ind w:right="2" w:firstLine="420"/>
        <w:jc w:val="both"/>
        <w:rPr>
          <w:rFonts w:ascii="宋体" w:eastAsia="宋体" w:hAnsi="宋体" w:cs="宋体"/>
        </w:rPr>
      </w:pPr>
      <w:r>
        <w:rPr>
          <w:rFonts w:ascii="宋体" w:eastAsia="宋体" w:hAnsi="宋体" w:cs="宋体"/>
          <w:spacing w:val="-2"/>
        </w:rPr>
        <w:t>钠还从汗液中排出，汗液中平均含钠盐</w:t>
      </w:r>
      <w:r>
        <w:rPr>
          <w:rFonts w:ascii="宋体" w:eastAsia="宋体" w:hAnsi="宋体" w:cs="宋体"/>
          <w:spacing w:val="12"/>
        </w:rPr>
        <w:t xml:space="preserve"> </w:t>
      </w:r>
      <w:r>
        <w:rPr>
          <w:rFonts w:ascii="宋体" w:eastAsia="宋体" w:hAnsi="宋体" w:cs="宋体"/>
          <w:spacing w:val="-2"/>
        </w:rPr>
        <w:t>(NaCl)2.5g/L</w:t>
      </w:r>
      <w:r>
        <w:rPr>
          <w:rFonts w:ascii="宋体" w:eastAsia="宋体" w:hAnsi="宋体" w:cs="宋体"/>
          <w:spacing w:val="28"/>
        </w:rPr>
        <w:t xml:space="preserve">  </w:t>
      </w:r>
      <w:r>
        <w:rPr>
          <w:rFonts w:ascii="宋体" w:eastAsia="宋体" w:hAnsi="宋体" w:cs="宋体"/>
          <w:spacing w:val="-2"/>
        </w:rPr>
        <w:t>左右，最大含盐浓</w:t>
      </w:r>
      <w:r>
        <w:rPr>
          <w:rFonts w:ascii="宋体" w:eastAsia="宋体" w:hAnsi="宋体" w:cs="宋体"/>
        </w:rPr>
        <w:t xml:space="preserve"> </w:t>
      </w:r>
      <w:r>
        <w:rPr>
          <w:rFonts w:ascii="宋体" w:eastAsia="宋体" w:hAnsi="宋体" w:cs="宋体"/>
          <w:spacing w:val="1"/>
        </w:rPr>
        <w:t>度可达3.7g/L。</w:t>
      </w:r>
      <w:r>
        <w:rPr>
          <w:rFonts w:ascii="宋体" w:eastAsia="宋体" w:hAnsi="宋体" w:cs="宋体"/>
          <w:spacing w:val="-13"/>
        </w:rPr>
        <w:t xml:space="preserve"> </w:t>
      </w:r>
      <w:r>
        <w:rPr>
          <w:rFonts w:ascii="宋体" w:eastAsia="宋体" w:hAnsi="宋体" w:cs="宋体"/>
          <w:spacing w:val="1"/>
        </w:rPr>
        <w:t>在热环境下由于大量出汗可丢失大量钠盐，如在中</w:t>
      </w:r>
      <w:r>
        <w:rPr>
          <w:rFonts w:ascii="宋体" w:eastAsia="宋体" w:hAnsi="宋体" w:cs="宋体"/>
        </w:rPr>
        <w:t>等强度劳动 4h</w:t>
      </w:r>
      <w:r>
        <w:rPr>
          <w:rFonts w:ascii="宋体" w:eastAsia="宋体" w:hAnsi="宋体" w:cs="宋体"/>
          <w:spacing w:val="12"/>
        </w:rPr>
        <w:t xml:space="preserve"> </w:t>
      </w:r>
      <w:r>
        <w:rPr>
          <w:rFonts w:ascii="宋体" w:eastAsia="宋体" w:hAnsi="宋体" w:cs="宋体"/>
        </w:rPr>
        <w:t>即可丢失钠盐7～12g.</w:t>
      </w:r>
    </w:p>
    <w:p w:rsidR="00EA40A3" w:rsidRDefault="00E86C16">
      <w:pPr>
        <w:spacing w:before="89"/>
        <w:rPr>
          <w:rFonts w:ascii="宋体" w:eastAsia="宋体" w:hAnsi="宋体" w:cs="宋体"/>
          <w:sz w:val="17"/>
          <w:szCs w:val="17"/>
        </w:rPr>
      </w:pPr>
      <w:r>
        <w:rPr>
          <w:rFonts w:ascii="宋体" w:eastAsia="宋体" w:hAnsi="宋体" w:cs="宋体"/>
          <w:spacing w:val="-27"/>
          <w:sz w:val="17"/>
          <w:szCs w:val="17"/>
        </w:rPr>
        <w:t>·</w:t>
      </w:r>
      <w:r>
        <w:rPr>
          <w:rFonts w:ascii="宋体" w:eastAsia="宋体" w:hAnsi="宋体" w:cs="宋体"/>
          <w:spacing w:val="-4"/>
          <w:sz w:val="17"/>
          <w:szCs w:val="17"/>
        </w:rPr>
        <w:t xml:space="preserve"> </w:t>
      </w:r>
      <w:r>
        <w:rPr>
          <w:rFonts w:ascii="宋体" w:eastAsia="宋体" w:hAnsi="宋体" w:cs="宋体"/>
          <w:spacing w:val="-27"/>
          <w:sz w:val="17"/>
          <w:szCs w:val="17"/>
        </w:rPr>
        <w:t>94</w:t>
      </w:r>
      <w:r>
        <w:rPr>
          <w:rFonts w:ascii="宋体" w:eastAsia="宋体" w:hAnsi="宋体" w:cs="宋体"/>
          <w:spacing w:val="46"/>
          <w:sz w:val="17"/>
          <w:szCs w:val="17"/>
        </w:rPr>
        <w:t xml:space="preserve"> </w:t>
      </w:r>
      <w:r>
        <w:rPr>
          <w:rFonts w:ascii="宋体" w:eastAsia="宋体" w:hAnsi="宋体" w:cs="宋体"/>
          <w:spacing w:val="-27"/>
          <w:sz w:val="17"/>
          <w:szCs w:val="17"/>
        </w:rPr>
        <w:t>·</w:t>
      </w:r>
    </w:p>
    <w:p w:rsidR="00EA40A3" w:rsidRDefault="00EA40A3">
      <w:pPr>
        <w:sectPr w:rsidR="00EA40A3">
          <w:pgSz w:w="9220" w:h="13360"/>
          <w:pgMar w:top="400" w:right="1073" w:bottom="400" w:left="879" w:header="0" w:footer="0" w:gutter="0"/>
          <w:cols w:space="720"/>
        </w:sectPr>
      </w:pPr>
    </w:p>
    <w:p w:rsidR="00EA40A3" w:rsidRDefault="00EA40A3">
      <w:pPr>
        <w:spacing w:line="248" w:lineRule="auto"/>
      </w:pPr>
    </w:p>
    <w:p w:rsidR="00EA40A3" w:rsidRDefault="00EA40A3">
      <w:pPr>
        <w:spacing w:line="249" w:lineRule="auto"/>
      </w:pPr>
    </w:p>
    <w:p w:rsidR="00EA40A3" w:rsidRDefault="00EA40A3">
      <w:pPr>
        <w:spacing w:line="249" w:lineRule="auto"/>
      </w:pPr>
    </w:p>
    <w:p w:rsidR="00EA40A3" w:rsidRDefault="00E86C16">
      <w:pPr>
        <w:spacing w:before="69" w:line="224" w:lineRule="auto"/>
        <w:rPr>
          <w:rFonts w:ascii="仿宋" w:eastAsia="仿宋" w:hAnsi="仿宋" w:cs="仿宋"/>
        </w:rPr>
      </w:pPr>
      <w:r>
        <w:rPr>
          <w:rFonts w:ascii="仿宋" w:eastAsia="仿宋" w:hAnsi="仿宋" w:cs="仿宋"/>
          <w:spacing w:val="19"/>
        </w:rPr>
        <w:t>3.</w:t>
      </w:r>
      <w:r>
        <w:rPr>
          <w:rFonts w:ascii="仿宋" w:eastAsia="仿宋" w:hAnsi="仿宋" w:cs="仿宋"/>
          <w:spacing w:val="-20"/>
        </w:rPr>
        <w:t xml:space="preserve"> </w:t>
      </w:r>
      <w:r>
        <w:rPr>
          <w:rFonts w:ascii="仿宋" w:eastAsia="仿宋" w:hAnsi="仿宋" w:cs="仿宋"/>
          <w:spacing w:val="19"/>
        </w:rPr>
        <w:t>钠缺乏与过量</w:t>
      </w:r>
    </w:p>
    <w:p w:rsidR="00EA40A3" w:rsidRDefault="00E86C16">
      <w:pPr>
        <w:spacing w:before="207" w:line="232" w:lineRule="auto"/>
        <w:rPr>
          <w:rFonts w:ascii="楷体" w:eastAsia="楷体" w:hAnsi="楷体" w:cs="楷体"/>
          <w:sz w:val="17"/>
          <w:szCs w:val="17"/>
        </w:rPr>
      </w:pPr>
      <w:r>
        <w:rPr>
          <w:rFonts w:ascii="楷体" w:eastAsia="楷体" w:hAnsi="楷体" w:cs="楷体"/>
          <w:spacing w:val="-6"/>
          <w:sz w:val="17"/>
          <w:szCs w:val="17"/>
        </w:rPr>
        <w:t>1</w:t>
      </w:r>
      <w:r>
        <w:rPr>
          <w:rFonts w:ascii="楷体" w:eastAsia="楷体" w:hAnsi="楷体" w:cs="楷体"/>
          <w:spacing w:val="-23"/>
          <w:sz w:val="17"/>
          <w:szCs w:val="17"/>
        </w:rPr>
        <w:t xml:space="preserve"> </w:t>
      </w:r>
      <w:r>
        <w:rPr>
          <w:rFonts w:ascii="楷体" w:eastAsia="楷体" w:hAnsi="楷体" w:cs="楷体"/>
          <w:spacing w:val="-6"/>
          <w:sz w:val="17"/>
          <w:szCs w:val="17"/>
        </w:rPr>
        <w:t>)</w:t>
      </w:r>
      <w:r>
        <w:rPr>
          <w:rFonts w:ascii="楷体" w:eastAsia="楷体" w:hAnsi="楷体" w:cs="楷体"/>
          <w:spacing w:val="-26"/>
          <w:sz w:val="17"/>
          <w:szCs w:val="17"/>
        </w:rPr>
        <w:t xml:space="preserve"> </w:t>
      </w:r>
      <w:r>
        <w:rPr>
          <w:rFonts w:ascii="楷体" w:eastAsia="楷体" w:hAnsi="楷体" w:cs="楷体"/>
          <w:spacing w:val="-6"/>
          <w:sz w:val="17"/>
          <w:szCs w:val="17"/>
        </w:rPr>
        <w:t>钠</w:t>
      </w:r>
      <w:r>
        <w:rPr>
          <w:rFonts w:ascii="楷体" w:eastAsia="楷体" w:hAnsi="楷体" w:cs="楷体"/>
          <w:spacing w:val="-23"/>
          <w:sz w:val="17"/>
          <w:szCs w:val="17"/>
        </w:rPr>
        <w:t xml:space="preserve"> </w:t>
      </w:r>
      <w:r>
        <w:rPr>
          <w:rFonts w:ascii="楷体" w:eastAsia="楷体" w:hAnsi="楷体" w:cs="楷体"/>
          <w:spacing w:val="-6"/>
          <w:sz w:val="17"/>
          <w:szCs w:val="17"/>
        </w:rPr>
        <w:t>缺</w:t>
      </w:r>
      <w:r>
        <w:rPr>
          <w:rFonts w:ascii="楷体" w:eastAsia="楷体" w:hAnsi="楷体" w:cs="楷体"/>
          <w:spacing w:val="-17"/>
          <w:sz w:val="17"/>
          <w:szCs w:val="17"/>
        </w:rPr>
        <w:t xml:space="preserve"> </w:t>
      </w:r>
      <w:r>
        <w:rPr>
          <w:rFonts w:ascii="楷体" w:eastAsia="楷体" w:hAnsi="楷体" w:cs="楷体"/>
          <w:spacing w:val="-6"/>
          <w:sz w:val="17"/>
          <w:szCs w:val="17"/>
        </w:rPr>
        <w:t>乏</w:t>
      </w:r>
    </w:p>
    <w:p w:rsidR="00EA40A3" w:rsidRDefault="00E86C16">
      <w:pPr>
        <w:spacing w:before="64" w:line="257" w:lineRule="auto"/>
        <w:ind w:right="37" w:firstLine="429"/>
        <w:jc w:val="both"/>
        <w:rPr>
          <w:rFonts w:ascii="宋体" w:eastAsia="宋体" w:hAnsi="宋体" w:cs="宋体"/>
        </w:rPr>
      </w:pPr>
      <w:r>
        <w:rPr>
          <w:rFonts w:ascii="宋体" w:eastAsia="宋体" w:hAnsi="宋体" w:cs="宋体"/>
          <w:spacing w:val="-4"/>
        </w:rPr>
        <w:t>一般饮食中含钠充足，不至于引起钠缺乏，而且在正常情况下，血浆钠轻度</w:t>
      </w:r>
      <w:r>
        <w:rPr>
          <w:rFonts w:ascii="宋体" w:eastAsia="宋体" w:hAnsi="宋体" w:cs="宋体"/>
          <w:spacing w:val="13"/>
        </w:rPr>
        <w:t xml:space="preserve"> </w:t>
      </w:r>
      <w:r>
        <w:rPr>
          <w:rFonts w:ascii="宋体" w:eastAsia="宋体" w:hAnsi="宋体" w:cs="宋体"/>
          <w:spacing w:val="-4"/>
        </w:rPr>
        <w:t>降低并伴有渗透压减少，即可引起稀释尿的排出，直至血浆钠恢复正常。钠缺乏</w:t>
      </w:r>
      <w:r>
        <w:rPr>
          <w:rFonts w:ascii="宋体" w:eastAsia="宋体" w:hAnsi="宋体" w:cs="宋体"/>
          <w:spacing w:val="8"/>
        </w:rPr>
        <w:t xml:space="preserve"> </w:t>
      </w:r>
      <w:r>
        <w:rPr>
          <w:rFonts w:ascii="宋体" w:eastAsia="宋体" w:hAnsi="宋体" w:cs="宋体"/>
          <w:spacing w:val="3"/>
        </w:rPr>
        <w:t>常引起低钠血症(血浆钠水平135</w:t>
      </w:r>
      <w:r>
        <w:rPr>
          <w:rFonts w:ascii="宋体" w:eastAsia="宋体" w:hAnsi="宋体" w:cs="宋体"/>
        </w:rPr>
        <w:t>mmol</w:t>
      </w:r>
      <w:r>
        <w:rPr>
          <w:rFonts w:ascii="宋体" w:eastAsia="宋体" w:hAnsi="宋体" w:cs="宋体"/>
          <w:spacing w:val="3"/>
        </w:rPr>
        <w:t>/L),</w:t>
      </w:r>
      <w:r>
        <w:rPr>
          <w:rFonts w:ascii="宋体" w:eastAsia="宋体" w:hAnsi="宋体" w:cs="宋体"/>
          <w:spacing w:val="106"/>
        </w:rPr>
        <w:t xml:space="preserve"> </w:t>
      </w:r>
      <w:r>
        <w:rPr>
          <w:rFonts w:ascii="宋体" w:eastAsia="宋体" w:hAnsi="宋体" w:cs="宋体"/>
          <w:spacing w:val="3"/>
        </w:rPr>
        <w:t>但血浆钠也可正常或过高。如下原</w:t>
      </w:r>
      <w:r>
        <w:rPr>
          <w:rFonts w:ascii="宋体" w:eastAsia="宋体" w:hAnsi="宋体" w:cs="宋体"/>
        </w:rPr>
        <w:t xml:space="preserve"> </w:t>
      </w:r>
      <w:r>
        <w:rPr>
          <w:rFonts w:ascii="宋体" w:eastAsia="宋体" w:hAnsi="宋体" w:cs="宋体"/>
          <w:spacing w:val="-2"/>
        </w:rPr>
        <w:t>因可引起钠缺乏：①胃肠道消化液丧失：如腹泻、呕吐、引流等。②皮肤</w:t>
      </w:r>
      <w:r>
        <w:rPr>
          <w:rFonts w:ascii="宋体" w:eastAsia="宋体" w:hAnsi="宋体" w:cs="宋体"/>
          <w:spacing w:val="-3"/>
        </w:rPr>
        <w:t>丢失：</w:t>
      </w:r>
      <w:r>
        <w:rPr>
          <w:rFonts w:ascii="宋体" w:eastAsia="宋体" w:hAnsi="宋体" w:cs="宋体"/>
        </w:rPr>
        <w:t xml:space="preserve"> </w:t>
      </w:r>
      <w:r>
        <w:rPr>
          <w:rFonts w:ascii="宋体" w:eastAsia="宋体" w:hAnsi="宋体" w:cs="宋体"/>
          <w:spacing w:val="-3"/>
        </w:rPr>
        <w:t>如大量出汗、大面积烧伤、胰腺纤维性囊肿等。③体液积聚在间</w:t>
      </w:r>
      <w:r>
        <w:rPr>
          <w:rFonts w:ascii="宋体" w:eastAsia="宋体" w:hAnsi="宋体" w:cs="宋体"/>
          <w:spacing w:val="-4"/>
        </w:rPr>
        <w:t>隔内：如小肠梗</w:t>
      </w:r>
      <w:r>
        <w:rPr>
          <w:rFonts w:ascii="宋体" w:eastAsia="宋体" w:hAnsi="宋体" w:cs="宋体"/>
        </w:rPr>
        <w:t xml:space="preserve"> </w:t>
      </w:r>
      <w:r>
        <w:rPr>
          <w:rFonts w:ascii="宋体" w:eastAsia="宋体" w:hAnsi="宋体" w:cs="宋体"/>
          <w:spacing w:val="-3"/>
        </w:rPr>
        <w:t>阻、腹膜炎、弥漫性疏松结缔组织炎等。④肾性失钠：如慢性肾</w:t>
      </w:r>
      <w:r>
        <w:rPr>
          <w:rFonts w:ascii="宋体" w:eastAsia="宋体" w:hAnsi="宋体" w:cs="宋体"/>
          <w:spacing w:val="-4"/>
        </w:rPr>
        <w:t>脏疾病、肾上腺</w:t>
      </w:r>
      <w:r>
        <w:rPr>
          <w:rFonts w:ascii="宋体" w:eastAsia="宋体" w:hAnsi="宋体" w:cs="宋体"/>
        </w:rPr>
        <w:t xml:space="preserve"> </w:t>
      </w:r>
      <w:r>
        <w:rPr>
          <w:rFonts w:ascii="宋体" w:eastAsia="宋体" w:hAnsi="宋体" w:cs="宋体"/>
          <w:spacing w:val="-6"/>
        </w:rPr>
        <w:t>皮质功能不全、糖尿病、酸中毒、利尿剂的应用等。</w:t>
      </w:r>
    </w:p>
    <w:p w:rsidR="00EA40A3" w:rsidRDefault="00E86C16">
      <w:pPr>
        <w:spacing w:before="102" w:line="256" w:lineRule="auto"/>
        <w:ind w:right="48" w:firstLine="429"/>
        <w:jc w:val="both"/>
        <w:rPr>
          <w:rFonts w:ascii="宋体" w:eastAsia="宋体" w:hAnsi="宋体" w:cs="宋体"/>
        </w:rPr>
      </w:pPr>
      <w:r>
        <w:rPr>
          <w:rFonts w:ascii="宋体" w:eastAsia="宋体" w:hAnsi="宋体" w:cs="宋体"/>
          <w:spacing w:val="4"/>
        </w:rPr>
        <w:t>钠缺乏的临床表现，按缺钠程度，可分为3等级：①轻至中度：缺</w:t>
      </w:r>
      <w:r>
        <w:rPr>
          <w:rFonts w:ascii="宋体" w:eastAsia="宋体" w:hAnsi="宋体" w:cs="宋体"/>
        </w:rPr>
        <w:t>NaCl</w:t>
      </w:r>
      <w:r>
        <w:rPr>
          <w:rFonts w:ascii="宋体" w:eastAsia="宋体" w:hAnsi="宋体" w:cs="宋体"/>
          <w:spacing w:val="-4"/>
        </w:rPr>
        <w:t xml:space="preserve"> </w:t>
      </w:r>
      <w:r>
        <w:rPr>
          <w:rFonts w:ascii="宋体" w:eastAsia="宋体" w:hAnsi="宋体" w:cs="宋体"/>
          <w:spacing w:val="4"/>
        </w:rPr>
        <w:t>约</w:t>
      </w:r>
      <w:r>
        <w:rPr>
          <w:rFonts w:ascii="宋体" w:eastAsia="宋体" w:hAnsi="宋体" w:cs="宋体"/>
        </w:rPr>
        <w:t xml:space="preserve"> 0.5g/kg,</w:t>
      </w:r>
      <w:r>
        <w:rPr>
          <w:rFonts w:ascii="宋体" w:eastAsia="宋体" w:hAnsi="宋体" w:cs="宋体"/>
          <w:spacing w:val="14"/>
        </w:rPr>
        <w:t xml:space="preserve"> </w:t>
      </w:r>
      <w:r>
        <w:rPr>
          <w:rFonts w:ascii="宋体" w:eastAsia="宋体" w:hAnsi="宋体" w:cs="宋体"/>
        </w:rPr>
        <w:t>尿中氯化物含量减少，患者</w:t>
      </w:r>
      <w:r>
        <w:rPr>
          <w:rFonts w:ascii="宋体" w:eastAsia="宋体" w:hAnsi="宋体" w:cs="宋体"/>
          <w:spacing w:val="-1"/>
        </w:rPr>
        <w:t>倦怠、淡漠、无神、起立时昏倒。②中至</w:t>
      </w:r>
      <w:r>
        <w:rPr>
          <w:rFonts w:ascii="宋体" w:eastAsia="宋体" w:hAnsi="宋体" w:cs="宋体"/>
        </w:rPr>
        <w:t xml:space="preserve"> </w:t>
      </w:r>
      <w:r>
        <w:rPr>
          <w:rFonts w:ascii="宋体" w:eastAsia="宋体" w:hAnsi="宋体" w:cs="宋体"/>
          <w:spacing w:val="3"/>
        </w:rPr>
        <w:t>重度：缺</w:t>
      </w:r>
      <w:r>
        <w:rPr>
          <w:rFonts w:ascii="宋体" w:eastAsia="宋体" w:hAnsi="宋体" w:cs="宋体"/>
        </w:rPr>
        <w:t>NaCl</w:t>
      </w:r>
      <w:r>
        <w:rPr>
          <w:rFonts w:ascii="宋体" w:eastAsia="宋体" w:hAnsi="宋体" w:cs="宋体"/>
          <w:spacing w:val="-28"/>
        </w:rPr>
        <w:t xml:space="preserve"> </w:t>
      </w:r>
      <w:r>
        <w:rPr>
          <w:rFonts w:ascii="宋体" w:eastAsia="宋体" w:hAnsi="宋体" w:cs="宋体"/>
          <w:spacing w:val="3"/>
        </w:rPr>
        <w:t>约(0.5～0.75)g/</w:t>
      </w:r>
      <w:r>
        <w:rPr>
          <w:rFonts w:ascii="宋体" w:eastAsia="宋体" w:hAnsi="宋体" w:cs="宋体"/>
        </w:rPr>
        <w:t>kg</w:t>
      </w:r>
      <w:r>
        <w:rPr>
          <w:rFonts w:ascii="宋体" w:eastAsia="宋体" w:hAnsi="宋体" w:cs="宋体"/>
          <w:spacing w:val="3"/>
        </w:rPr>
        <w:t>,</w:t>
      </w:r>
      <w:r>
        <w:rPr>
          <w:rFonts w:ascii="宋体" w:eastAsia="宋体" w:hAnsi="宋体" w:cs="宋体"/>
          <w:spacing w:val="11"/>
        </w:rPr>
        <w:t xml:space="preserve"> </w:t>
      </w:r>
      <w:r>
        <w:rPr>
          <w:rFonts w:ascii="宋体" w:eastAsia="宋体" w:hAnsi="宋体" w:cs="宋体"/>
          <w:spacing w:val="3"/>
        </w:rPr>
        <w:t>尿中无氯化物，出现恶心、呕吐、脉细而</w:t>
      </w:r>
      <w:r>
        <w:rPr>
          <w:rFonts w:ascii="宋体" w:eastAsia="宋体" w:hAnsi="宋体" w:cs="宋体"/>
        </w:rPr>
        <w:t xml:space="preserve"> </w:t>
      </w:r>
      <w:r>
        <w:rPr>
          <w:rFonts w:ascii="宋体" w:eastAsia="宋体" w:hAnsi="宋体" w:cs="宋体"/>
          <w:spacing w:val="17"/>
        </w:rPr>
        <w:t>速、血压下降及痛性肌肉痉挛等症状。③重度至极度：缺</w:t>
      </w:r>
      <w:r>
        <w:rPr>
          <w:rFonts w:ascii="宋体" w:eastAsia="宋体" w:hAnsi="宋体" w:cs="宋体"/>
          <w:spacing w:val="-42"/>
        </w:rPr>
        <w:t xml:space="preserve"> </w:t>
      </w:r>
      <w:r>
        <w:rPr>
          <w:rFonts w:ascii="宋体" w:eastAsia="宋体" w:hAnsi="宋体" w:cs="宋体"/>
        </w:rPr>
        <w:t>NaCl</w:t>
      </w:r>
      <w:r>
        <w:rPr>
          <w:rFonts w:ascii="宋体" w:eastAsia="宋体" w:hAnsi="宋体" w:cs="宋体"/>
          <w:spacing w:val="6"/>
        </w:rPr>
        <w:t xml:space="preserve"> </w:t>
      </w:r>
      <w:r>
        <w:rPr>
          <w:rFonts w:ascii="宋体" w:eastAsia="宋体" w:hAnsi="宋体" w:cs="宋体"/>
          <w:spacing w:val="17"/>
        </w:rPr>
        <w:t>约(0.75~</w:t>
      </w:r>
      <w:r>
        <w:rPr>
          <w:rFonts w:ascii="宋体" w:eastAsia="宋体" w:hAnsi="宋体" w:cs="宋体"/>
        </w:rPr>
        <w:t xml:space="preserve"> </w:t>
      </w:r>
      <w:r>
        <w:rPr>
          <w:rFonts w:ascii="宋体" w:eastAsia="宋体" w:hAnsi="宋体" w:cs="宋体"/>
          <w:spacing w:val="-1"/>
        </w:rPr>
        <w:t>1.25)g/kg,</w:t>
      </w:r>
      <w:r>
        <w:rPr>
          <w:rFonts w:ascii="宋体" w:eastAsia="宋体" w:hAnsi="宋体" w:cs="宋体"/>
          <w:spacing w:val="34"/>
        </w:rPr>
        <w:t xml:space="preserve"> </w:t>
      </w:r>
      <w:r>
        <w:rPr>
          <w:rFonts w:ascii="宋体" w:eastAsia="宋体" w:hAnsi="宋体" w:cs="宋体"/>
          <w:spacing w:val="-1"/>
        </w:rPr>
        <w:t>出现淡漠无情、木僵、昏迷、周围循环衰竭，严重时可发生休克及</w:t>
      </w:r>
      <w:r>
        <w:rPr>
          <w:rFonts w:ascii="宋体" w:eastAsia="宋体" w:hAnsi="宋体" w:cs="宋体"/>
        </w:rPr>
        <w:t xml:space="preserve"> </w:t>
      </w:r>
      <w:r>
        <w:rPr>
          <w:rFonts w:ascii="宋体" w:eastAsia="宋体" w:hAnsi="宋体" w:cs="宋体"/>
          <w:spacing w:val="-10"/>
        </w:rPr>
        <w:t>急性肾功能衰竭而死亡。</w:t>
      </w:r>
    </w:p>
    <w:p w:rsidR="00EA40A3" w:rsidRDefault="00E86C16">
      <w:pPr>
        <w:spacing w:before="51" w:line="224" w:lineRule="auto"/>
        <w:rPr>
          <w:rFonts w:ascii="仿宋" w:eastAsia="仿宋" w:hAnsi="仿宋" w:cs="仿宋"/>
        </w:rPr>
      </w:pPr>
      <w:r>
        <w:rPr>
          <w:rFonts w:ascii="仿宋" w:eastAsia="仿宋" w:hAnsi="仿宋" w:cs="仿宋"/>
          <w:spacing w:val="13"/>
        </w:rPr>
        <w:t>2)钠过量</w:t>
      </w:r>
    </w:p>
    <w:p w:rsidR="00EA40A3" w:rsidRDefault="00E86C16">
      <w:pPr>
        <w:spacing w:before="85" w:line="255" w:lineRule="auto"/>
        <w:ind w:right="56" w:firstLine="429"/>
        <w:rPr>
          <w:rFonts w:ascii="宋体" w:eastAsia="宋体" w:hAnsi="宋体" w:cs="宋体"/>
        </w:rPr>
      </w:pPr>
      <w:r>
        <w:rPr>
          <w:rFonts w:ascii="宋体" w:eastAsia="宋体" w:hAnsi="宋体" w:cs="宋体"/>
          <w:spacing w:val="-3"/>
        </w:rPr>
        <w:t>正常人摄入钠过多并不蓄积，但某些疾病可引起体内钠过多。当血浆</w:t>
      </w:r>
      <w:r>
        <w:rPr>
          <w:rFonts w:ascii="宋体" w:eastAsia="宋体" w:hAnsi="宋体" w:cs="宋体"/>
          <w:spacing w:val="-4"/>
        </w:rPr>
        <w:t>钠超过</w:t>
      </w:r>
      <w:r>
        <w:rPr>
          <w:rFonts w:ascii="宋体" w:eastAsia="宋体" w:hAnsi="宋体" w:cs="宋体"/>
        </w:rPr>
        <w:t xml:space="preserve"> </w:t>
      </w:r>
      <w:r>
        <w:rPr>
          <w:rFonts w:ascii="宋体" w:eastAsia="宋体" w:hAnsi="宋体" w:cs="宋体"/>
          <w:spacing w:val="2"/>
        </w:rPr>
        <w:t>150</w:t>
      </w:r>
      <w:r>
        <w:rPr>
          <w:rFonts w:ascii="宋体" w:eastAsia="宋体" w:hAnsi="宋体" w:cs="宋体"/>
        </w:rPr>
        <w:t>mmol</w:t>
      </w:r>
      <w:r>
        <w:rPr>
          <w:rFonts w:ascii="宋体" w:eastAsia="宋体" w:hAnsi="宋体" w:cs="宋体"/>
          <w:spacing w:val="31"/>
        </w:rPr>
        <w:t xml:space="preserve"> </w:t>
      </w:r>
      <w:r>
        <w:rPr>
          <w:rFonts w:ascii="宋体" w:eastAsia="宋体" w:hAnsi="宋体" w:cs="宋体"/>
          <w:spacing w:val="2"/>
        </w:rPr>
        <w:t>时称为高钠血症。心源性水肿、肝硬化腹水期、肾病综合征、肾上腺</w:t>
      </w:r>
      <w:r>
        <w:rPr>
          <w:rFonts w:ascii="宋体" w:eastAsia="宋体" w:hAnsi="宋体" w:cs="宋体"/>
        </w:rPr>
        <w:t xml:space="preserve"> </w:t>
      </w:r>
      <w:r>
        <w:rPr>
          <w:rFonts w:ascii="宋体" w:eastAsia="宋体" w:hAnsi="宋体" w:cs="宋体"/>
          <w:spacing w:val="-3"/>
        </w:rPr>
        <w:t>皮质功能亢进、某些脑部病变、脑瘤等都能出现高钠血症。临床</w:t>
      </w:r>
      <w:r>
        <w:rPr>
          <w:rFonts w:ascii="宋体" w:eastAsia="宋体" w:hAnsi="宋体" w:cs="宋体"/>
          <w:spacing w:val="-4"/>
        </w:rPr>
        <w:t>症状除原有症状</w:t>
      </w:r>
      <w:r>
        <w:rPr>
          <w:rFonts w:ascii="宋体" w:eastAsia="宋体" w:hAnsi="宋体" w:cs="宋体"/>
        </w:rPr>
        <w:t xml:space="preserve"> </w:t>
      </w:r>
      <w:r>
        <w:rPr>
          <w:rFonts w:ascii="宋体" w:eastAsia="宋体" w:hAnsi="宋体" w:cs="宋体"/>
          <w:spacing w:val="-3"/>
        </w:rPr>
        <w:t>外，以水肿为主，还可见体重增加、血容量增大、血压偏高、脉搏加快、心音增</w:t>
      </w:r>
      <w:r>
        <w:rPr>
          <w:rFonts w:ascii="宋体" w:eastAsia="宋体" w:hAnsi="宋体" w:cs="宋体"/>
        </w:rPr>
        <w:t xml:space="preserve"> </w:t>
      </w:r>
      <w:r>
        <w:rPr>
          <w:rFonts w:ascii="宋体" w:eastAsia="宋体" w:hAnsi="宋体" w:cs="宋体"/>
          <w:spacing w:val="-10"/>
        </w:rPr>
        <w:t>强等。</w:t>
      </w:r>
    </w:p>
    <w:p w:rsidR="00EA40A3" w:rsidRDefault="00E86C16">
      <w:pPr>
        <w:spacing w:before="65" w:line="244" w:lineRule="auto"/>
        <w:ind w:right="59" w:firstLine="429"/>
        <w:rPr>
          <w:rFonts w:ascii="宋体" w:eastAsia="宋体" w:hAnsi="宋体" w:cs="宋体"/>
        </w:rPr>
      </w:pPr>
      <w:r>
        <w:rPr>
          <w:rFonts w:ascii="宋体" w:eastAsia="宋体" w:hAnsi="宋体" w:cs="宋体"/>
          <w:spacing w:val="3"/>
        </w:rPr>
        <w:t>一般每人每日摄入5～10g</w:t>
      </w:r>
      <w:r>
        <w:rPr>
          <w:rFonts w:ascii="宋体" w:eastAsia="宋体" w:hAnsi="宋体" w:cs="宋体"/>
          <w:spacing w:val="-59"/>
        </w:rPr>
        <w:t xml:space="preserve"> </w:t>
      </w:r>
      <w:r>
        <w:rPr>
          <w:rFonts w:ascii="宋体" w:eastAsia="宋体" w:hAnsi="宋体" w:cs="宋体"/>
          <w:spacing w:val="3"/>
        </w:rPr>
        <w:t>食盐，若摄入35～40g</w:t>
      </w:r>
      <w:r>
        <w:rPr>
          <w:rFonts w:ascii="宋体" w:eastAsia="宋体" w:hAnsi="宋体" w:cs="宋体"/>
          <w:spacing w:val="-39"/>
        </w:rPr>
        <w:t xml:space="preserve"> </w:t>
      </w:r>
      <w:r>
        <w:rPr>
          <w:rFonts w:ascii="宋体" w:eastAsia="宋体" w:hAnsi="宋体" w:cs="宋体"/>
          <w:spacing w:val="2"/>
        </w:rPr>
        <w:t>食盐可引起急性中毒，出</w:t>
      </w:r>
      <w:r>
        <w:rPr>
          <w:rFonts w:ascii="宋体" w:eastAsia="宋体" w:hAnsi="宋体" w:cs="宋体"/>
        </w:rPr>
        <w:t xml:space="preserve"> </w:t>
      </w:r>
      <w:r>
        <w:rPr>
          <w:rFonts w:ascii="宋体" w:eastAsia="宋体" w:hAnsi="宋体" w:cs="宋体"/>
          <w:spacing w:val="1"/>
        </w:rPr>
        <w:t>现水肿。意外盐中毒发生高钠血症的病死率为43%。</w:t>
      </w:r>
    </w:p>
    <w:p w:rsidR="00EA40A3" w:rsidRDefault="00E86C16">
      <w:pPr>
        <w:spacing w:before="59" w:line="242" w:lineRule="auto"/>
        <w:ind w:firstLine="429"/>
        <w:rPr>
          <w:rFonts w:ascii="宋体" w:eastAsia="宋体" w:hAnsi="宋体" w:cs="宋体"/>
        </w:rPr>
      </w:pPr>
      <w:r>
        <w:rPr>
          <w:rFonts w:ascii="宋体" w:eastAsia="宋体" w:hAnsi="宋体" w:cs="宋体"/>
          <w:spacing w:val="1"/>
        </w:rPr>
        <w:t>饮食中钠摄入量与</w:t>
      </w:r>
      <w:r>
        <w:rPr>
          <w:rFonts w:ascii="宋体" w:eastAsia="宋体" w:hAnsi="宋体" w:cs="宋体"/>
        </w:rPr>
        <w:t>Na</w:t>
      </w:r>
      <w:r>
        <w:rPr>
          <w:rFonts w:ascii="宋体" w:eastAsia="宋体" w:hAnsi="宋体" w:cs="宋体"/>
          <w:spacing w:val="1"/>
        </w:rPr>
        <w:t>/K</w:t>
      </w:r>
      <w:r>
        <w:rPr>
          <w:rFonts w:ascii="宋体" w:eastAsia="宋体" w:hAnsi="宋体" w:cs="宋体"/>
          <w:spacing w:val="36"/>
        </w:rPr>
        <w:t xml:space="preserve"> </w:t>
      </w:r>
      <w:r>
        <w:rPr>
          <w:rFonts w:ascii="宋体" w:eastAsia="宋体" w:hAnsi="宋体" w:cs="宋体"/>
          <w:spacing w:val="1"/>
        </w:rPr>
        <w:t>值是影响人群血压水平及产生</w:t>
      </w:r>
      <w:r>
        <w:rPr>
          <w:rFonts w:ascii="宋体" w:eastAsia="宋体" w:hAnsi="宋体" w:cs="宋体"/>
        </w:rPr>
        <w:t xml:space="preserve">高血压的重要因素， </w:t>
      </w:r>
      <w:r>
        <w:rPr>
          <w:rFonts w:ascii="宋体" w:eastAsia="宋体" w:hAnsi="宋体" w:cs="宋体"/>
          <w:spacing w:val="-5"/>
        </w:rPr>
        <w:t>减少钠或增加钾摄入量对预防高血压有重要意义。</w:t>
      </w:r>
    </w:p>
    <w:p w:rsidR="00EA40A3" w:rsidRDefault="00E86C16">
      <w:pPr>
        <w:spacing w:before="217" w:line="221" w:lineRule="auto"/>
        <w:rPr>
          <w:rFonts w:ascii="仿宋" w:eastAsia="仿宋" w:hAnsi="仿宋" w:cs="仿宋"/>
        </w:rPr>
      </w:pPr>
      <w:r>
        <w:rPr>
          <w:rFonts w:ascii="仿宋" w:eastAsia="仿宋" w:hAnsi="仿宋" w:cs="仿宋"/>
          <w:spacing w:val="19"/>
        </w:rPr>
        <w:t>4.</w:t>
      </w:r>
      <w:r>
        <w:rPr>
          <w:rFonts w:ascii="仿宋" w:eastAsia="仿宋" w:hAnsi="仿宋" w:cs="仿宋"/>
          <w:spacing w:val="13"/>
        </w:rPr>
        <w:t xml:space="preserve"> </w:t>
      </w:r>
      <w:r>
        <w:rPr>
          <w:rFonts w:ascii="仿宋" w:eastAsia="仿宋" w:hAnsi="仿宋" w:cs="仿宋"/>
          <w:spacing w:val="19"/>
        </w:rPr>
        <w:t>钠的需要量及食物来源</w:t>
      </w:r>
    </w:p>
    <w:p w:rsidR="00EA40A3" w:rsidRDefault="00E86C16">
      <w:pPr>
        <w:spacing w:before="221" w:line="253" w:lineRule="auto"/>
        <w:ind w:right="53" w:firstLine="429"/>
        <w:jc w:val="both"/>
        <w:rPr>
          <w:rFonts w:ascii="宋体" w:eastAsia="宋体" w:hAnsi="宋体" w:cs="宋体"/>
        </w:rPr>
      </w:pPr>
      <w:r>
        <w:rPr>
          <w:rFonts w:ascii="宋体" w:eastAsia="宋体" w:hAnsi="宋体" w:cs="宋体"/>
          <w:spacing w:val="-3"/>
        </w:rPr>
        <w:t>钠的需要量取决于生长的需要、环境温度、出汗或其他分泌丢失的钠量以及</w:t>
      </w:r>
      <w:r>
        <w:rPr>
          <w:rFonts w:ascii="宋体" w:eastAsia="宋体" w:hAnsi="宋体" w:cs="宋体"/>
        </w:rPr>
        <w:t xml:space="preserve"> </w:t>
      </w:r>
      <w:r>
        <w:rPr>
          <w:rFonts w:ascii="宋体" w:eastAsia="宋体" w:hAnsi="宋体" w:cs="宋体"/>
          <w:spacing w:val="15"/>
        </w:rPr>
        <w:t>膳食中钾的含量。有的学者估计每日最低钠需要量为115</w:t>
      </w:r>
      <w:r>
        <w:rPr>
          <w:rFonts w:ascii="宋体" w:eastAsia="宋体" w:hAnsi="宋体" w:cs="宋体"/>
        </w:rPr>
        <w:t>mg</w:t>
      </w:r>
      <w:r>
        <w:rPr>
          <w:rFonts w:ascii="宋体" w:eastAsia="宋体" w:hAnsi="宋体" w:cs="宋体"/>
          <w:spacing w:val="104"/>
        </w:rPr>
        <w:t xml:space="preserve"> </w:t>
      </w:r>
      <w:r>
        <w:rPr>
          <w:rFonts w:ascii="宋体" w:eastAsia="宋体" w:hAnsi="宋体" w:cs="宋体"/>
          <w:spacing w:val="15"/>
        </w:rPr>
        <w:t>(相当于</w:t>
      </w:r>
      <w:r>
        <w:rPr>
          <w:rFonts w:ascii="宋体" w:eastAsia="宋体" w:hAnsi="宋体" w:cs="宋体"/>
          <w:spacing w:val="-37"/>
        </w:rPr>
        <w:t xml:space="preserve"> </w:t>
      </w:r>
      <w:r>
        <w:rPr>
          <w:rFonts w:ascii="宋体" w:eastAsia="宋体" w:hAnsi="宋体" w:cs="宋体"/>
        </w:rPr>
        <w:t xml:space="preserve">NaCl </w:t>
      </w:r>
      <w:r>
        <w:rPr>
          <w:rFonts w:ascii="宋体" w:eastAsia="宋体" w:hAnsi="宋体" w:cs="宋体"/>
          <w:spacing w:val="-1"/>
        </w:rPr>
        <w:t>0.3g),</w:t>
      </w:r>
      <w:r>
        <w:rPr>
          <w:rFonts w:ascii="宋体" w:eastAsia="宋体" w:hAnsi="宋体" w:cs="宋体"/>
          <w:spacing w:val="8"/>
        </w:rPr>
        <w:t xml:space="preserve"> </w:t>
      </w:r>
      <w:r>
        <w:rPr>
          <w:rFonts w:ascii="宋体" w:eastAsia="宋体" w:hAnsi="宋体" w:cs="宋体"/>
          <w:spacing w:val="-1"/>
        </w:rPr>
        <w:t>但在299mg(NaCl0.8g)</w:t>
      </w:r>
      <w:r>
        <w:rPr>
          <w:rFonts w:ascii="宋体" w:eastAsia="宋体" w:hAnsi="宋体" w:cs="宋体"/>
          <w:spacing w:val="9"/>
        </w:rPr>
        <w:t xml:space="preserve">   </w:t>
      </w:r>
      <w:r>
        <w:rPr>
          <w:rFonts w:ascii="宋体" w:eastAsia="宋体" w:hAnsi="宋体" w:cs="宋体"/>
          <w:spacing w:val="-1"/>
        </w:rPr>
        <w:t>以下的膳食是极不可口的，故实际上一般摄入</w:t>
      </w:r>
      <w:r>
        <w:rPr>
          <w:rFonts w:ascii="宋体" w:eastAsia="宋体" w:hAnsi="宋体" w:cs="宋体"/>
        </w:rPr>
        <w:t xml:space="preserve"> </w:t>
      </w:r>
      <w:r>
        <w:rPr>
          <w:rFonts w:ascii="宋体" w:eastAsia="宋体" w:hAnsi="宋体" w:cs="宋体"/>
          <w:spacing w:val="-4"/>
        </w:rPr>
        <w:t>量远远超过最低需要量。</w:t>
      </w:r>
    </w:p>
    <w:p w:rsidR="00EA40A3" w:rsidRDefault="00E86C16">
      <w:pPr>
        <w:spacing w:before="64" w:line="251" w:lineRule="auto"/>
        <w:ind w:right="74" w:firstLine="429"/>
        <w:jc w:val="both"/>
        <w:rPr>
          <w:rFonts w:ascii="宋体" w:eastAsia="宋体" w:hAnsi="宋体" w:cs="宋体"/>
        </w:rPr>
      </w:pPr>
      <w:r>
        <w:rPr>
          <w:rFonts w:ascii="宋体" w:eastAsia="宋体" w:hAnsi="宋体" w:cs="宋体"/>
        </w:rPr>
        <w:t>我国每人每天食盐摄入量要超过12g。199</w:t>
      </w:r>
      <w:r>
        <w:rPr>
          <w:rFonts w:ascii="宋体" w:eastAsia="宋体" w:hAnsi="宋体" w:cs="宋体"/>
          <w:spacing w:val="-1"/>
        </w:rPr>
        <w:t>1年全国营养与疾病学术会议认为</w:t>
      </w:r>
      <w:r>
        <w:rPr>
          <w:rFonts w:ascii="宋体" w:eastAsia="宋体" w:hAnsi="宋体" w:cs="宋体"/>
        </w:rPr>
        <w:t xml:space="preserve"> </w:t>
      </w:r>
      <w:r>
        <w:rPr>
          <w:rFonts w:ascii="宋体" w:eastAsia="宋体" w:hAnsi="宋体" w:cs="宋体"/>
          <w:spacing w:val="1"/>
        </w:rPr>
        <w:t>我国当前食盐摄入量以不超过10g</w:t>
      </w:r>
      <w:r>
        <w:rPr>
          <w:rFonts w:ascii="宋体" w:eastAsia="宋体" w:hAnsi="宋体" w:cs="宋体"/>
          <w:spacing w:val="-57"/>
        </w:rPr>
        <w:t xml:space="preserve"> </w:t>
      </w:r>
      <w:r>
        <w:rPr>
          <w:rFonts w:ascii="宋体" w:eastAsia="宋体" w:hAnsi="宋体" w:cs="宋体"/>
          <w:spacing w:val="1"/>
        </w:rPr>
        <w:t>为宜，最好控制在7～8g。另有研究表明，若</w:t>
      </w:r>
      <w:r>
        <w:rPr>
          <w:rFonts w:ascii="宋体" w:eastAsia="宋体" w:hAnsi="宋体" w:cs="宋体"/>
        </w:rPr>
        <w:t xml:space="preserve"> </w:t>
      </w:r>
      <w:r>
        <w:rPr>
          <w:rFonts w:ascii="宋体" w:eastAsia="宋体" w:hAnsi="宋体" w:cs="宋体"/>
          <w:spacing w:val="-3"/>
        </w:rPr>
        <w:t>在热环境下进行体力活动时，由于汗盐排出增加，每人每天摄入</w:t>
      </w:r>
      <w:r>
        <w:rPr>
          <w:rFonts w:ascii="宋体" w:eastAsia="宋体" w:hAnsi="宋体" w:cs="宋体"/>
          <w:spacing w:val="-4"/>
        </w:rPr>
        <w:t>食盐量在轻度活</w:t>
      </w:r>
      <w:r>
        <w:rPr>
          <w:rFonts w:ascii="宋体" w:eastAsia="宋体" w:hAnsi="宋体" w:cs="宋体"/>
        </w:rPr>
        <w:t xml:space="preserve"> 动时为15g,</w:t>
      </w:r>
      <w:r>
        <w:rPr>
          <w:rFonts w:ascii="宋体" w:eastAsia="宋体" w:hAnsi="宋体" w:cs="宋体"/>
          <w:spacing w:val="25"/>
        </w:rPr>
        <w:t xml:space="preserve"> </w:t>
      </w:r>
      <w:r>
        <w:rPr>
          <w:rFonts w:ascii="宋体" w:eastAsia="宋体" w:hAnsi="宋体" w:cs="宋体"/>
        </w:rPr>
        <w:t>中、重度活动时摄入20～25g</w:t>
      </w:r>
      <w:r>
        <w:rPr>
          <w:rFonts w:ascii="宋体" w:eastAsia="宋体" w:hAnsi="宋体" w:cs="宋体"/>
          <w:spacing w:val="-59"/>
        </w:rPr>
        <w:t xml:space="preserve"> </w:t>
      </w:r>
      <w:r>
        <w:rPr>
          <w:rFonts w:ascii="宋体" w:eastAsia="宋体" w:hAnsi="宋体" w:cs="宋体"/>
        </w:rPr>
        <w:t>为宜。</w:t>
      </w:r>
    </w:p>
    <w:p w:rsidR="00EA40A3" w:rsidRDefault="00E86C16">
      <w:pPr>
        <w:spacing w:before="115"/>
        <w:ind w:right="51"/>
        <w:jc w:val="right"/>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95</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pgSz w:w="9220" w:h="13360"/>
          <w:pgMar w:top="400" w:right="1085" w:bottom="400" w:left="820" w:header="0" w:footer="0" w:gutter="0"/>
          <w:cols w:space="720"/>
        </w:sectPr>
      </w:pPr>
    </w:p>
    <w:p w:rsidR="00EA40A3" w:rsidRDefault="00EA40A3">
      <w:pPr>
        <w:spacing w:line="288" w:lineRule="auto"/>
      </w:pPr>
    </w:p>
    <w:p w:rsidR="00EA40A3" w:rsidRDefault="00EA40A3">
      <w:pPr>
        <w:spacing w:line="288" w:lineRule="auto"/>
      </w:pPr>
    </w:p>
    <w:p w:rsidR="00EA40A3" w:rsidRDefault="00E86C16">
      <w:pPr>
        <w:spacing w:before="72" w:line="244" w:lineRule="auto"/>
        <w:ind w:right="94" w:firstLine="399"/>
        <w:jc w:val="both"/>
        <w:rPr>
          <w:rFonts w:ascii="宋体" w:eastAsia="宋体" w:hAnsi="宋体" w:cs="宋体"/>
          <w:sz w:val="22"/>
          <w:szCs w:val="22"/>
        </w:rPr>
      </w:pPr>
      <w:r>
        <w:rPr>
          <w:rFonts w:ascii="宋体" w:eastAsia="宋体" w:hAnsi="宋体" w:cs="宋体"/>
          <w:spacing w:val="-13"/>
          <w:sz w:val="22"/>
          <w:szCs w:val="22"/>
        </w:rPr>
        <w:t>食物中钠的来源可分为两大类，即天然存在于食</w:t>
      </w:r>
      <w:r>
        <w:rPr>
          <w:rFonts w:ascii="宋体" w:eastAsia="宋体" w:hAnsi="宋体" w:cs="宋体"/>
          <w:spacing w:val="-14"/>
          <w:sz w:val="22"/>
          <w:szCs w:val="22"/>
        </w:rPr>
        <w:t>物中的钠和在加工、制备食</w:t>
      </w:r>
      <w:r>
        <w:rPr>
          <w:rFonts w:ascii="宋体" w:eastAsia="宋体" w:hAnsi="宋体" w:cs="宋体"/>
          <w:sz w:val="22"/>
          <w:szCs w:val="22"/>
        </w:rPr>
        <w:t xml:space="preserve"> </w:t>
      </w:r>
      <w:r>
        <w:rPr>
          <w:rFonts w:ascii="宋体" w:eastAsia="宋体" w:hAnsi="宋体" w:cs="宋体"/>
          <w:spacing w:val="-18"/>
          <w:sz w:val="22"/>
          <w:szCs w:val="22"/>
        </w:rPr>
        <w:t>物过程或餐桌上随意加入的盐。天然存在于食物中的钠含量有很大差异，</w:t>
      </w:r>
      <w:r>
        <w:rPr>
          <w:rFonts w:ascii="宋体" w:eastAsia="宋体" w:hAnsi="宋体" w:cs="宋体"/>
          <w:spacing w:val="63"/>
          <w:sz w:val="22"/>
          <w:szCs w:val="22"/>
        </w:rPr>
        <w:t xml:space="preserve"> </w:t>
      </w:r>
      <w:r>
        <w:rPr>
          <w:rFonts w:ascii="宋体" w:eastAsia="宋体" w:hAnsi="宋体" w:cs="宋体"/>
          <w:spacing w:val="-18"/>
          <w:sz w:val="22"/>
          <w:szCs w:val="22"/>
        </w:rPr>
        <w:t>一般动</w:t>
      </w:r>
      <w:r>
        <w:rPr>
          <w:rFonts w:ascii="宋体" w:eastAsia="宋体" w:hAnsi="宋体" w:cs="宋体"/>
          <w:sz w:val="22"/>
          <w:szCs w:val="22"/>
        </w:rPr>
        <w:t xml:space="preserve"> </w:t>
      </w:r>
      <w:r>
        <w:rPr>
          <w:rFonts w:ascii="宋体" w:eastAsia="宋体" w:hAnsi="宋体" w:cs="宋体"/>
          <w:spacing w:val="-13"/>
          <w:sz w:val="22"/>
          <w:szCs w:val="22"/>
        </w:rPr>
        <w:t>物性食物钠含量高于植物性食物。每日膳食中钠摄入量包括食物本身含盐量和加</w:t>
      </w:r>
      <w:r>
        <w:rPr>
          <w:rFonts w:ascii="宋体" w:eastAsia="宋体" w:hAnsi="宋体" w:cs="宋体"/>
          <w:sz w:val="22"/>
          <w:szCs w:val="22"/>
        </w:rPr>
        <w:t xml:space="preserve"> </w:t>
      </w:r>
      <w:r>
        <w:rPr>
          <w:rFonts w:ascii="宋体" w:eastAsia="宋体" w:hAnsi="宋体" w:cs="宋体"/>
          <w:spacing w:val="-7"/>
          <w:sz w:val="22"/>
          <w:szCs w:val="22"/>
        </w:rPr>
        <w:t>工处理时加入的盐或含钠的复合物(如谷氨酸钠、发酵粉等)。某些地区饮用水</w:t>
      </w:r>
      <w:r>
        <w:rPr>
          <w:rFonts w:ascii="宋体" w:eastAsia="宋体" w:hAnsi="宋体" w:cs="宋体"/>
          <w:spacing w:val="4"/>
          <w:sz w:val="22"/>
          <w:szCs w:val="22"/>
        </w:rPr>
        <w:t xml:space="preserve"> </w:t>
      </w:r>
      <w:r>
        <w:rPr>
          <w:rFonts w:ascii="宋体" w:eastAsia="宋体" w:hAnsi="宋体" w:cs="宋体"/>
          <w:spacing w:val="-4"/>
          <w:sz w:val="22"/>
          <w:szCs w:val="22"/>
        </w:rPr>
        <w:t>的钠含量可能很高(高达220mg/L),</w:t>
      </w:r>
      <w:r>
        <w:rPr>
          <w:rFonts w:ascii="宋体" w:eastAsia="宋体" w:hAnsi="宋体" w:cs="宋体"/>
          <w:spacing w:val="32"/>
          <w:sz w:val="22"/>
          <w:szCs w:val="22"/>
        </w:rPr>
        <w:t xml:space="preserve"> </w:t>
      </w:r>
      <w:r>
        <w:rPr>
          <w:rFonts w:ascii="宋体" w:eastAsia="宋体" w:hAnsi="宋体" w:cs="宋体"/>
          <w:spacing w:val="-4"/>
          <w:sz w:val="22"/>
          <w:szCs w:val="22"/>
        </w:rPr>
        <w:t>但一般来说，大</w:t>
      </w:r>
      <w:r>
        <w:rPr>
          <w:rFonts w:ascii="宋体" w:eastAsia="宋体" w:hAnsi="宋体" w:cs="宋体"/>
          <w:spacing w:val="-5"/>
          <w:sz w:val="22"/>
          <w:szCs w:val="22"/>
        </w:rPr>
        <w:t>多数地区所提供水的钠含</w:t>
      </w:r>
      <w:r>
        <w:rPr>
          <w:rFonts w:ascii="宋体" w:eastAsia="宋体" w:hAnsi="宋体" w:cs="宋体"/>
          <w:sz w:val="22"/>
          <w:szCs w:val="22"/>
        </w:rPr>
        <w:t xml:space="preserve"> </w:t>
      </w:r>
      <w:r>
        <w:rPr>
          <w:rFonts w:ascii="宋体" w:eastAsia="宋体" w:hAnsi="宋体" w:cs="宋体"/>
          <w:spacing w:val="-4"/>
          <w:sz w:val="22"/>
          <w:szCs w:val="22"/>
        </w:rPr>
        <w:t>量低于20mg/L。</w:t>
      </w:r>
    </w:p>
    <w:p w:rsidR="00EA40A3" w:rsidRDefault="00E86C16">
      <w:pPr>
        <w:spacing w:before="182" w:line="224" w:lineRule="auto"/>
        <w:ind w:left="3"/>
        <w:outlineLvl w:val="6"/>
        <w:rPr>
          <w:rFonts w:ascii="黑体" w:eastAsia="黑体" w:hAnsi="黑体" w:cs="黑体"/>
          <w:sz w:val="22"/>
          <w:szCs w:val="22"/>
        </w:rPr>
      </w:pPr>
      <w:r>
        <w:rPr>
          <w:rFonts w:ascii="黑体" w:eastAsia="黑体" w:hAnsi="黑体" w:cs="黑体"/>
          <w:b/>
          <w:bCs/>
          <w:spacing w:val="-3"/>
          <w:sz w:val="22"/>
          <w:szCs w:val="22"/>
        </w:rPr>
        <w:t>4.1.5</w:t>
      </w:r>
      <w:r>
        <w:rPr>
          <w:rFonts w:ascii="黑体" w:eastAsia="黑体" w:hAnsi="黑体" w:cs="黑体"/>
          <w:spacing w:val="11"/>
          <w:sz w:val="22"/>
          <w:szCs w:val="22"/>
        </w:rPr>
        <w:t xml:space="preserve">   </w:t>
      </w:r>
      <w:r>
        <w:rPr>
          <w:rFonts w:ascii="黑体" w:eastAsia="黑体" w:hAnsi="黑体" w:cs="黑体"/>
          <w:b/>
          <w:bCs/>
          <w:spacing w:val="-3"/>
          <w:sz w:val="22"/>
          <w:szCs w:val="22"/>
        </w:rPr>
        <w:t>钾</w:t>
      </w:r>
    </w:p>
    <w:p w:rsidR="00EA40A3" w:rsidRDefault="00E86C16">
      <w:pPr>
        <w:spacing w:before="158"/>
        <w:ind w:firstLine="399"/>
        <w:jc w:val="both"/>
        <w:rPr>
          <w:rFonts w:ascii="宋体" w:eastAsia="宋体" w:hAnsi="宋体" w:cs="宋体"/>
          <w:sz w:val="22"/>
          <w:szCs w:val="22"/>
        </w:rPr>
      </w:pPr>
      <w:r>
        <w:rPr>
          <w:rFonts w:ascii="宋体" w:eastAsia="宋体" w:hAnsi="宋体" w:cs="宋体"/>
          <w:spacing w:val="-2"/>
          <w:sz w:val="22"/>
          <w:szCs w:val="22"/>
        </w:rPr>
        <w:t>钾</w:t>
      </w:r>
      <w:r>
        <w:rPr>
          <w:rFonts w:ascii="宋体" w:eastAsia="宋体" w:hAnsi="宋体" w:cs="宋体"/>
          <w:spacing w:val="15"/>
          <w:sz w:val="22"/>
          <w:szCs w:val="22"/>
        </w:rPr>
        <w:t xml:space="preserve"> </w:t>
      </w:r>
      <w:r>
        <w:rPr>
          <w:rFonts w:ascii="宋体" w:eastAsia="宋体" w:hAnsi="宋体" w:cs="宋体"/>
          <w:spacing w:val="-2"/>
          <w:sz w:val="22"/>
          <w:szCs w:val="22"/>
        </w:rPr>
        <w:t>(kalium)</w:t>
      </w:r>
      <w:r>
        <w:rPr>
          <w:rFonts w:ascii="宋体" w:eastAsia="宋体" w:hAnsi="宋体" w:cs="宋体"/>
          <w:spacing w:val="-23"/>
          <w:sz w:val="22"/>
          <w:szCs w:val="22"/>
        </w:rPr>
        <w:t xml:space="preserve"> </w:t>
      </w:r>
      <w:r>
        <w:rPr>
          <w:rFonts w:ascii="宋体" w:eastAsia="宋体" w:hAnsi="宋体" w:cs="宋体"/>
          <w:spacing w:val="-2"/>
          <w:sz w:val="22"/>
          <w:szCs w:val="22"/>
        </w:rPr>
        <w:t>占人体无机盐的5%,其化学性质虽与钠相似，但生理作用却</w:t>
      </w:r>
      <w:r>
        <w:rPr>
          <w:rFonts w:ascii="宋体" w:eastAsia="宋体" w:hAnsi="宋体" w:cs="宋体"/>
          <w:sz w:val="22"/>
          <w:szCs w:val="22"/>
        </w:rPr>
        <w:t xml:space="preserve"> </w:t>
      </w:r>
      <w:r>
        <w:rPr>
          <w:rFonts w:ascii="宋体" w:eastAsia="宋体" w:hAnsi="宋体" w:cs="宋体"/>
          <w:spacing w:val="-4"/>
          <w:sz w:val="22"/>
          <w:szCs w:val="22"/>
        </w:rPr>
        <w:t>与钠相反，钾主要存在于细胞内。细胞内钠与钾的比例是1:10,而细胞外液则</w:t>
      </w:r>
      <w:r>
        <w:rPr>
          <w:rFonts w:ascii="宋体" w:eastAsia="宋体" w:hAnsi="宋体" w:cs="宋体"/>
          <w:spacing w:val="1"/>
          <w:sz w:val="22"/>
          <w:szCs w:val="22"/>
        </w:rPr>
        <w:t xml:space="preserve">  </w:t>
      </w:r>
      <w:r>
        <w:rPr>
          <w:rFonts w:ascii="宋体" w:eastAsia="宋体" w:hAnsi="宋体" w:cs="宋体"/>
          <w:spacing w:val="2"/>
          <w:sz w:val="22"/>
          <w:szCs w:val="22"/>
        </w:rPr>
        <w:t>是28:1。70%的体钾储存在肌肉，10%在皮肤，其余在红细胞、脑脊髓和肝、</w:t>
      </w:r>
      <w:r>
        <w:rPr>
          <w:rFonts w:ascii="宋体" w:eastAsia="宋体" w:hAnsi="宋体" w:cs="宋体"/>
          <w:spacing w:val="3"/>
          <w:sz w:val="22"/>
          <w:szCs w:val="22"/>
        </w:rPr>
        <w:t xml:space="preserve"> </w:t>
      </w:r>
      <w:r>
        <w:rPr>
          <w:rFonts w:ascii="宋体" w:eastAsia="宋体" w:hAnsi="宋体" w:cs="宋体"/>
          <w:spacing w:val="-8"/>
          <w:sz w:val="22"/>
          <w:szCs w:val="22"/>
        </w:rPr>
        <w:t>心、肾中，骨骼中较少。细胞内钾浓度约为150mmol</w:t>
      </w:r>
      <w:r>
        <w:rPr>
          <w:rFonts w:ascii="宋体" w:eastAsia="宋体" w:hAnsi="宋体" w:cs="宋体"/>
          <w:spacing w:val="-9"/>
          <w:sz w:val="22"/>
          <w:szCs w:val="22"/>
        </w:rPr>
        <w:t>/L,</w:t>
      </w:r>
      <w:r>
        <w:rPr>
          <w:rFonts w:ascii="宋体" w:eastAsia="宋体" w:hAnsi="宋体" w:cs="宋体"/>
          <w:spacing w:val="72"/>
          <w:sz w:val="22"/>
          <w:szCs w:val="22"/>
        </w:rPr>
        <w:t xml:space="preserve"> </w:t>
      </w:r>
      <w:r>
        <w:rPr>
          <w:rFonts w:ascii="宋体" w:eastAsia="宋体" w:hAnsi="宋体" w:cs="宋体"/>
          <w:spacing w:val="-9"/>
          <w:sz w:val="22"/>
          <w:szCs w:val="22"/>
        </w:rPr>
        <w:t>除离子态外，</w:t>
      </w:r>
      <w:r>
        <w:rPr>
          <w:rFonts w:ascii="宋体" w:eastAsia="宋体" w:hAnsi="宋体" w:cs="宋体"/>
          <w:spacing w:val="22"/>
          <w:sz w:val="22"/>
          <w:szCs w:val="22"/>
        </w:rPr>
        <w:t xml:space="preserve"> </w:t>
      </w:r>
      <w:r>
        <w:rPr>
          <w:rFonts w:ascii="宋体" w:eastAsia="宋体" w:hAnsi="宋体" w:cs="宋体"/>
          <w:spacing w:val="-9"/>
          <w:sz w:val="22"/>
          <w:szCs w:val="22"/>
        </w:rPr>
        <w:t>一部分</w:t>
      </w:r>
      <w:r>
        <w:rPr>
          <w:rFonts w:ascii="宋体" w:eastAsia="宋体" w:hAnsi="宋体" w:cs="宋体"/>
          <w:sz w:val="22"/>
          <w:szCs w:val="22"/>
        </w:rPr>
        <w:t xml:space="preserve"> </w:t>
      </w:r>
      <w:r>
        <w:rPr>
          <w:rFonts w:ascii="宋体" w:eastAsia="宋体" w:hAnsi="宋体" w:cs="宋体"/>
          <w:spacing w:val="-17"/>
          <w:sz w:val="22"/>
          <w:szCs w:val="22"/>
        </w:rPr>
        <w:t>与蛋白质结合，</w:t>
      </w:r>
      <w:r>
        <w:rPr>
          <w:rFonts w:ascii="宋体" w:eastAsia="宋体" w:hAnsi="宋体" w:cs="宋体"/>
          <w:spacing w:val="30"/>
          <w:sz w:val="22"/>
          <w:szCs w:val="22"/>
        </w:rPr>
        <w:t xml:space="preserve"> </w:t>
      </w:r>
      <w:r>
        <w:rPr>
          <w:rFonts w:ascii="宋体" w:eastAsia="宋体" w:hAnsi="宋体" w:cs="宋体"/>
          <w:spacing w:val="-17"/>
          <w:sz w:val="22"/>
          <w:szCs w:val="22"/>
        </w:rPr>
        <w:t>一部分与糖、磷酸盐相结合。细胞外钾主要以离子态存在。钾和</w:t>
      </w:r>
      <w:r>
        <w:rPr>
          <w:rFonts w:ascii="宋体" w:eastAsia="宋体" w:hAnsi="宋体" w:cs="宋体"/>
          <w:sz w:val="22"/>
          <w:szCs w:val="22"/>
        </w:rPr>
        <w:t xml:space="preserve">  </w:t>
      </w:r>
      <w:r>
        <w:rPr>
          <w:rFonts w:ascii="宋体" w:eastAsia="宋体" w:hAnsi="宋体" w:cs="宋体"/>
          <w:spacing w:val="-15"/>
          <w:sz w:val="22"/>
          <w:szCs w:val="22"/>
        </w:rPr>
        <w:t>钠离子都能通过细胞膜，以维持其间动态平衡。</w:t>
      </w:r>
    </w:p>
    <w:p w:rsidR="00EA40A3" w:rsidRDefault="00E86C16">
      <w:pPr>
        <w:spacing w:before="195" w:line="222"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22"/>
          <w:sz w:val="22"/>
          <w:szCs w:val="22"/>
        </w:rPr>
        <w:t xml:space="preserve"> </w:t>
      </w:r>
      <w:r>
        <w:rPr>
          <w:rFonts w:ascii="仿宋" w:eastAsia="仿宋" w:hAnsi="仿宋" w:cs="仿宋"/>
          <w:spacing w:val="10"/>
          <w:sz w:val="22"/>
          <w:szCs w:val="22"/>
        </w:rPr>
        <w:t>钾的生理功能</w:t>
      </w:r>
    </w:p>
    <w:p w:rsidR="00EA40A3" w:rsidRDefault="00E86C16">
      <w:pPr>
        <w:spacing w:before="190" w:line="238" w:lineRule="auto"/>
        <w:ind w:right="80" w:firstLine="399"/>
        <w:jc w:val="both"/>
        <w:rPr>
          <w:rFonts w:ascii="宋体" w:eastAsia="宋体" w:hAnsi="宋体" w:cs="宋体"/>
          <w:sz w:val="22"/>
          <w:szCs w:val="22"/>
        </w:rPr>
      </w:pPr>
      <w:r>
        <w:rPr>
          <w:rFonts w:ascii="宋体" w:eastAsia="宋体" w:hAnsi="宋体" w:cs="宋体"/>
          <w:spacing w:val="-10"/>
          <w:sz w:val="22"/>
          <w:szCs w:val="22"/>
        </w:rPr>
        <w:t>(1)参与细胞新陈代谢和酶促反应。钾与细胞新陈代谢密切相关。糖原和蛋</w:t>
      </w:r>
      <w:r>
        <w:rPr>
          <w:rFonts w:ascii="宋体" w:eastAsia="宋体" w:hAnsi="宋体" w:cs="宋体"/>
          <w:spacing w:val="8"/>
          <w:sz w:val="22"/>
          <w:szCs w:val="22"/>
        </w:rPr>
        <w:t xml:space="preserve"> </w:t>
      </w:r>
      <w:r>
        <w:rPr>
          <w:rFonts w:ascii="宋体" w:eastAsia="宋体" w:hAnsi="宋体" w:cs="宋体"/>
          <w:spacing w:val="-8"/>
          <w:sz w:val="22"/>
          <w:szCs w:val="22"/>
        </w:rPr>
        <w:t>白质的合成、能量的释放和ATP</w:t>
      </w:r>
      <w:r>
        <w:rPr>
          <w:rFonts w:ascii="宋体" w:eastAsia="宋体" w:hAnsi="宋体" w:cs="宋体"/>
          <w:spacing w:val="61"/>
          <w:sz w:val="22"/>
          <w:szCs w:val="22"/>
        </w:rPr>
        <w:t xml:space="preserve"> </w:t>
      </w:r>
      <w:r>
        <w:rPr>
          <w:rFonts w:ascii="宋体" w:eastAsia="宋体" w:hAnsi="宋体" w:cs="宋体"/>
          <w:spacing w:val="-8"/>
          <w:sz w:val="22"/>
          <w:szCs w:val="22"/>
        </w:rPr>
        <w:t>的生成等都需要钾在其中起催化作</w:t>
      </w:r>
      <w:r>
        <w:rPr>
          <w:rFonts w:ascii="宋体" w:eastAsia="宋体" w:hAnsi="宋体" w:cs="宋体"/>
          <w:spacing w:val="-9"/>
          <w:sz w:val="22"/>
          <w:szCs w:val="22"/>
        </w:rPr>
        <w:t>用。合成1g</w:t>
      </w:r>
      <w:r>
        <w:rPr>
          <w:rFonts w:ascii="宋体" w:eastAsia="宋体" w:hAnsi="宋体" w:cs="宋体"/>
          <w:sz w:val="22"/>
          <w:szCs w:val="22"/>
        </w:rPr>
        <w:t xml:space="preserve"> </w:t>
      </w:r>
      <w:r>
        <w:rPr>
          <w:rFonts w:ascii="宋体" w:eastAsia="宋体" w:hAnsi="宋体" w:cs="宋体"/>
          <w:spacing w:val="-1"/>
          <w:sz w:val="22"/>
          <w:szCs w:val="22"/>
        </w:rPr>
        <w:t>糖原约需0.15mmol</w:t>
      </w:r>
      <w:r>
        <w:rPr>
          <w:rFonts w:ascii="宋体" w:eastAsia="宋体" w:hAnsi="宋体" w:cs="宋体"/>
          <w:spacing w:val="-8"/>
          <w:sz w:val="22"/>
          <w:szCs w:val="22"/>
        </w:rPr>
        <w:t xml:space="preserve"> </w:t>
      </w:r>
      <w:r>
        <w:rPr>
          <w:rFonts w:ascii="宋体" w:eastAsia="宋体" w:hAnsi="宋体" w:cs="宋体"/>
          <w:spacing w:val="-1"/>
          <w:sz w:val="22"/>
          <w:szCs w:val="22"/>
        </w:rPr>
        <w:t>钾，合成lg</w:t>
      </w:r>
      <w:r>
        <w:rPr>
          <w:rFonts w:ascii="宋体" w:eastAsia="宋体" w:hAnsi="宋体" w:cs="宋体"/>
          <w:spacing w:val="-39"/>
          <w:sz w:val="22"/>
          <w:szCs w:val="22"/>
        </w:rPr>
        <w:t xml:space="preserve"> </w:t>
      </w:r>
      <w:r>
        <w:rPr>
          <w:rFonts w:ascii="宋体" w:eastAsia="宋体" w:hAnsi="宋体" w:cs="宋体"/>
          <w:spacing w:val="-1"/>
          <w:sz w:val="22"/>
          <w:szCs w:val="22"/>
        </w:rPr>
        <w:t>蛋白</w:t>
      </w:r>
      <w:r>
        <w:rPr>
          <w:rFonts w:ascii="宋体" w:eastAsia="宋体" w:hAnsi="宋体" w:cs="宋体"/>
          <w:spacing w:val="-2"/>
          <w:sz w:val="22"/>
          <w:szCs w:val="22"/>
        </w:rPr>
        <w:t>质约需0.45</w:t>
      </w:r>
      <w:r>
        <w:rPr>
          <w:rFonts w:ascii="宋体" w:eastAsia="宋体" w:hAnsi="宋体" w:cs="宋体"/>
          <w:spacing w:val="-1"/>
          <w:sz w:val="22"/>
          <w:szCs w:val="22"/>
        </w:rPr>
        <w:t>mmol</w:t>
      </w:r>
      <w:r>
        <w:rPr>
          <w:rFonts w:ascii="宋体" w:eastAsia="宋体" w:hAnsi="宋体" w:cs="宋体"/>
          <w:spacing w:val="-7"/>
          <w:sz w:val="22"/>
          <w:szCs w:val="22"/>
        </w:rPr>
        <w:t xml:space="preserve"> </w:t>
      </w:r>
      <w:r>
        <w:rPr>
          <w:rFonts w:ascii="宋体" w:eastAsia="宋体" w:hAnsi="宋体" w:cs="宋体"/>
          <w:spacing w:val="-2"/>
          <w:sz w:val="22"/>
          <w:szCs w:val="22"/>
        </w:rPr>
        <w:t>钾。线粒体的氧化磷酸</w:t>
      </w:r>
      <w:r>
        <w:rPr>
          <w:rFonts w:ascii="宋体" w:eastAsia="宋体" w:hAnsi="宋体" w:cs="宋体"/>
          <w:sz w:val="22"/>
          <w:szCs w:val="22"/>
        </w:rPr>
        <w:t xml:space="preserve"> </w:t>
      </w:r>
      <w:r>
        <w:rPr>
          <w:rFonts w:ascii="宋体" w:eastAsia="宋体" w:hAnsi="宋体" w:cs="宋体"/>
          <w:spacing w:val="-13"/>
          <w:sz w:val="22"/>
          <w:szCs w:val="22"/>
        </w:rPr>
        <w:t>化作用及有些酶活动也需要钾的参与才能正常进行。当细胞内钠浓度增加时，将</w:t>
      </w:r>
      <w:r>
        <w:rPr>
          <w:rFonts w:ascii="宋体" w:eastAsia="宋体" w:hAnsi="宋体" w:cs="宋体"/>
          <w:spacing w:val="13"/>
          <w:sz w:val="22"/>
          <w:szCs w:val="22"/>
        </w:rPr>
        <w:t xml:space="preserve"> </w:t>
      </w:r>
      <w:r>
        <w:rPr>
          <w:rFonts w:ascii="宋体" w:eastAsia="宋体" w:hAnsi="宋体" w:cs="宋体"/>
          <w:spacing w:val="-14"/>
          <w:sz w:val="22"/>
          <w:szCs w:val="22"/>
        </w:rPr>
        <w:t>对抗钾的催化作用，使细胞代谢尤其是蛋白质的合成受</w:t>
      </w:r>
      <w:r>
        <w:rPr>
          <w:rFonts w:ascii="宋体" w:eastAsia="宋体" w:hAnsi="宋体" w:cs="宋体"/>
          <w:spacing w:val="-15"/>
          <w:sz w:val="22"/>
          <w:szCs w:val="22"/>
        </w:rPr>
        <w:t>到干扰。</w:t>
      </w:r>
    </w:p>
    <w:p w:rsidR="00EA40A3" w:rsidRDefault="00E86C16">
      <w:pPr>
        <w:spacing w:before="29" w:line="236" w:lineRule="auto"/>
        <w:ind w:right="97" w:firstLine="399"/>
        <w:jc w:val="both"/>
        <w:rPr>
          <w:rFonts w:ascii="宋体" w:eastAsia="宋体" w:hAnsi="宋体" w:cs="宋体"/>
          <w:sz w:val="22"/>
          <w:szCs w:val="22"/>
        </w:rPr>
      </w:pPr>
      <w:r>
        <w:rPr>
          <w:rFonts w:ascii="宋体" w:eastAsia="宋体" w:hAnsi="宋体" w:cs="宋体"/>
          <w:spacing w:val="3"/>
          <w:sz w:val="22"/>
          <w:szCs w:val="22"/>
        </w:rPr>
        <w:t>(2)维持渗透压和酸碱平衡。由于钾是细胞内主要阳离子，其浓度可达</w:t>
      </w:r>
      <w:r>
        <w:rPr>
          <w:rFonts w:ascii="宋体" w:eastAsia="宋体" w:hAnsi="宋体" w:cs="宋体"/>
          <w:spacing w:val="11"/>
          <w:sz w:val="22"/>
          <w:szCs w:val="22"/>
        </w:rPr>
        <w:t xml:space="preserve"> </w:t>
      </w:r>
      <w:r>
        <w:rPr>
          <w:rFonts w:ascii="宋体" w:eastAsia="宋体" w:hAnsi="宋体" w:cs="宋体"/>
          <w:spacing w:val="-5"/>
          <w:sz w:val="22"/>
          <w:szCs w:val="22"/>
        </w:rPr>
        <w:t>150mmol/L,</w:t>
      </w:r>
      <w:r>
        <w:rPr>
          <w:rFonts w:ascii="宋体" w:eastAsia="宋体" w:hAnsi="宋体" w:cs="宋体"/>
          <w:spacing w:val="62"/>
          <w:sz w:val="22"/>
          <w:szCs w:val="22"/>
        </w:rPr>
        <w:t xml:space="preserve"> </w:t>
      </w:r>
      <w:r>
        <w:rPr>
          <w:rFonts w:ascii="宋体" w:eastAsia="宋体" w:hAnsi="宋体" w:cs="宋体"/>
          <w:spacing w:val="-5"/>
          <w:sz w:val="22"/>
          <w:szCs w:val="22"/>
        </w:rPr>
        <w:t>因此是细胞内液渗透压的基础。钾离子又能通过细胞膜与细胞外</w:t>
      </w:r>
      <w:r>
        <w:rPr>
          <w:rFonts w:ascii="宋体" w:eastAsia="宋体" w:hAnsi="宋体" w:cs="宋体"/>
          <w:sz w:val="22"/>
          <w:szCs w:val="22"/>
        </w:rPr>
        <w:t xml:space="preserve"> </w:t>
      </w:r>
      <w:r>
        <w:rPr>
          <w:rFonts w:ascii="宋体" w:eastAsia="宋体" w:hAnsi="宋体" w:cs="宋体"/>
          <w:spacing w:val="-10"/>
          <w:sz w:val="22"/>
          <w:szCs w:val="22"/>
        </w:rPr>
        <w:t>H+-Na+</w:t>
      </w:r>
      <w:r>
        <w:rPr>
          <w:rFonts w:ascii="宋体" w:eastAsia="宋体" w:hAnsi="宋体" w:cs="宋体"/>
          <w:spacing w:val="6"/>
          <w:sz w:val="22"/>
          <w:szCs w:val="22"/>
        </w:rPr>
        <w:t xml:space="preserve"> </w:t>
      </w:r>
      <w:r>
        <w:rPr>
          <w:rFonts w:ascii="宋体" w:eastAsia="宋体" w:hAnsi="宋体" w:cs="宋体"/>
          <w:spacing w:val="-10"/>
          <w:sz w:val="22"/>
          <w:szCs w:val="22"/>
        </w:rPr>
        <w:t>交换，调节酸碱平衡。</w:t>
      </w:r>
    </w:p>
    <w:p w:rsidR="00EA40A3" w:rsidRDefault="00E86C16">
      <w:pPr>
        <w:spacing w:before="28" w:line="239" w:lineRule="auto"/>
        <w:ind w:right="93" w:firstLine="399"/>
        <w:jc w:val="both"/>
        <w:rPr>
          <w:rFonts w:ascii="宋体" w:eastAsia="宋体" w:hAnsi="宋体" w:cs="宋体"/>
          <w:sz w:val="22"/>
          <w:szCs w:val="22"/>
        </w:rPr>
      </w:pPr>
      <w:r>
        <w:rPr>
          <w:rFonts w:ascii="宋体" w:eastAsia="宋体" w:hAnsi="宋体" w:cs="宋体"/>
          <w:spacing w:val="-10"/>
          <w:sz w:val="22"/>
          <w:szCs w:val="22"/>
        </w:rPr>
        <w:t>(3)维持跨膜电位，保持细胞应激功能。细胞内、外钾浓度的比例是形成跨</w:t>
      </w:r>
      <w:r>
        <w:rPr>
          <w:rFonts w:ascii="宋体" w:eastAsia="宋体" w:hAnsi="宋体" w:cs="宋体"/>
          <w:spacing w:val="7"/>
          <w:sz w:val="22"/>
          <w:szCs w:val="22"/>
        </w:rPr>
        <w:t xml:space="preserve"> </w:t>
      </w:r>
      <w:r>
        <w:rPr>
          <w:rFonts w:ascii="宋体" w:eastAsia="宋体" w:hAnsi="宋体" w:cs="宋体"/>
          <w:spacing w:val="-13"/>
          <w:sz w:val="22"/>
          <w:szCs w:val="22"/>
        </w:rPr>
        <w:t>膜静息电位的重要决定因素。静息电位主要是细胞内钾顺其浓</w:t>
      </w:r>
      <w:r>
        <w:rPr>
          <w:rFonts w:ascii="宋体" w:eastAsia="宋体" w:hAnsi="宋体" w:cs="宋体"/>
          <w:spacing w:val="-14"/>
          <w:sz w:val="22"/>
          <w:szCs w:val="22"/>
        </w:rPr>
        <w:t>度梯度扩散到细胞</w:t>
      </w:r>
      <w:r>
        <w:rPr>
          <w:rFonts w:ascii="宋体" w:eastAsia="宋体" w:hAnsi="宋体" w:cs="宋体"/>
          <w:sz w:val="22"/>
          <w:szCs w:val="22"/>
        </w:rPr>
        <w:t xml:space="preserve"> </w:t>
      </w:r>
      <w:r>
        <w:rPr>
          <w:rFonts w:ascii="宋体" w:eastAsia="宋体" w:hAnsi="宋体" w:cs="宋体"/>
          <w:spacing w:val="-13"/>
          <w:sz w:val="22"/>
          <w:szCs w:val="22"/>
        </w:rPr>
        <w:t>外产生的。静息电位的建立是产生动作电位的基础，而神经与肌肉功能活动又必</w:t>
      </w:r>
      <w:r>
        <w:rPr>
          <w:rFonts w:ascii="宋体" w:eastAsia="宋体" w:hAnsi="宋体" w:cs="宋体"/>
          <w:sz w:val="22"/>
          <w:szCs w:val="22"/>
        </w:rPr>
        <w:t xml:space="preserve"> </w:t>
      </w:r>
      <w:r>
        <w:rPr>
          <w:rFonts w:ascii="宋体" w:eastAsia="宋体" w:hAnsi="宋体" w:cs="宋体"/>
          <w:spacing w:val="-10"/>
          <w:sz w:val="22"/>
          <w:szCs w:val="22"/>
        </w:rPr>
        <w:t>须有动作电位发生。故细胞内、外钾浓度改变可影响神经肌肉细胞的兴奋性(</w:t>
      </w:r>
      <w:r>
        <w:rPr>
          <w:rFonts w:ascii="宋体" w:eastAsia="宋体" w:hAnsi="宋体" w:cs="宋体"/>
          <w:spacing w:val="-11"/>
          <w:sz w:val="22"/>
          <w:szCs w:val="22"/>
        </w:rPr>
        <w:t>应</w:t>
      </w:r>
      <w:r>
        <w:rPr>
          <w:rFonts w:ascii="宋体" w:eastAsia="宋体" w:hAnsi="宋体" w:cs="宋体"/>
          <w:sz w:val="22"/>
          <w:szCs w:val="22"/>
        </w:rPr>
        <w:t xml:space="preserve"> </w:t>
      </w:r>
      <w:r>
        <w:rPr>
          <w:rFonts w:ascii="宋体" w:eastAsia="宋体" w:hAnsi="宋体" w:cs="宋体"/>
          <w:spacing w:val="-18"/>
          <w:sz w:val="22"/>
          <w:szCs w:val="22"/>
        </w:rPr>
        <w:t>激性)。</w:t>
      </w:r>
    </w:p>
    <w:p w:rsidR="00EA40A3" w:rsidRDefault="00E86C16">
      <w:pPr>
        <w:spacing w:before="22" w:line="239" w:lineRule="auto"/>
        <w:ind w:right="50" w:firstLine="399"/>
        <w:jc w:val="both"/>
        <w:rPr>
          <w:rFonts w:ascii="宋体" w:eastAsia="宋体" w:hAnsi="宋体" w:cs="宋体"/>
          <w:sz w:val="22"/>
          <w:szCs w:val="22"/>
        </w:rPr>
      </w:pPr>
      <w:r>
        <w:rPr>
          <w:rFonts w:ascii="宋体" w:eastAsia="宋体" w:hAnsi="宋体" w:cs="宋体"/>
          <w:spacing w:val="-9"/>
          <w:sz w:val="22"/>
          <w:szCs w:val="22"/>
        </w:rPr>
        <w:t>(4)其他。钾对水和体液平衡起调节作用，当体内需要保钠和水时，</w:t>
      </w:r>
      <w:r>
        <w:rPr>
          <w:rFonts w:ascii="宋体" w:eastAsia="宋体" w:hAnsi="宋体" w:cs="宋体"/>
          <w:spacing w:val="-10"/>
          <w:sz w:val="22"/>
          <w:szCs w:val="22"/>
        </w:rPr>
        <w:t>肾小管</w:t>
      </w:r>
      <w:r>
        <w:rPr>
          <w:rFonts w:ascii="宋体" w:eastAsia="宋体" w:hAnsi="宋体" w:cs="宋体"/>
          <w:sz w:val="22"/>
          <w:szCs w:val="22"/>
        </w:rPr>
        <w:t xml:space="preserve"> </w:t>
      </w:r>
      <w:r>
        <w:rPr>
          <w:rFonts w:ascii="宋体" w:eastAsia="宋体" w:hAnsi="宋体" w:cs="宋体"/>
          <w:spacing w:val="-9"/>
          <w:sz w:val="22"/>
          <w:szCs w:val="22"/>
        </w:rPr>
        <w:t>就排出K*</w:t>
      </w:r>
      <w:r>
        <w:rPr>
          <w:rFonts w:ascii="宋体" w:eastAsia="宋体" w:hAnsi="宋体" w:cs="宋体"/>
          <w:spacing w:val="-35"/>
          <w:sz w:val="22"/>
          <w:szCs w:val="22"/>
        </w:rPr>
        <w:t xml:space="preserve"> </w:t>
      </w:r>
      <w:r>
        <w:rPr>
          <w:rFonts w:ascii="宋体" w:eastAsia="宋体" w:hAnsi="宋体" w:cs="宋体"/>
          <w:spacing w:val="-9"/>
          <w:sz w:val="22"/>
          <w:szCs w:val="22"/>
        </w:rPr>
        <w:t>换回Na+。</w:t>
      </w:r>
      <w:r>
        <w:rPr>
          <w:rFonts w:ascii="宋体" w:eastAsia="宋体" w:hAnsi="宋体" w:cs="宋体"/>
          <w:spacing w:val="16"/>
          <w:sz w:val="22"/>
          <w:szCs w:val="22"/>
        </w:rPr>
        <w:t xml:space="preserve"> </w:t>
      </w:r>
      <w:r>
        <w:rPr>
          <w:rFonts w:ascii="宋体" w:eastAsia="宋体" w:hAnsi="宋体" w:cs="宋体"/>
          <w:spacing w:val="-9"/>
          <w:sz w:val="22"/>
          <w:szCs w:val="22"/>
        </w:rPr>
        <w:t>钾与钠相对抗，适当的钠与钾比例摄</w:t>
      </w:r>
      <w:r>
        <w:rPr>
          <w:rFonts w:ascii="宋体" w:eastAsia="宋体" w:hAnsi="宋体" w:cs="宋体"/>
          <w:spacing w:val="-10"/>
          <w:sz w:val="22"/>
          <w:szCs w:val="22"/>
        </w:rPr>
        <w:t>入量可减轻因高钠摄</w:t>
      </w:r>
      <w:r>
        <w:rPr>
          <w:rFonts w:ascii="宋体" w:eastAsia="宋体" w:hAnsi="宋体" w:cs="宋体"/>
          <w:sz w:val="22"/>
          <w:szCs w:val="22"/>
        </w:rPr>
        <w:t xml:space="preserve"> </w:t>
      </w:r>
      <w:r>
        <w:rPr>
          <w:rFonts w:ascii="宋体" w:eastAsia="宋体" w:hAnsi="宋体" w:cs="宋体"/>
          <w:spacing w:val="-12"/>
          <w:sz w:val="22"/>
          <w:szCs w:val="22"/>
        </w:rPr>
        <w:t>入产生的不良影响。钾也有扩张血管的作用，因此钾能对抗食盐引起的高血压，</w:t>
      </w:r>
      <w:r>
        <w:rPr>
          <w:rFonts w:ascii="宋体" w:eastAsia="宋体" w:hAnsi="宋体" w:cs="宋体"/>
          <w:spacing w:val="9"/>
          <w:sz w:val="22"/>
          <w:szCs w:val="22"/>
        </w:rPr>
        <w:t xml:space="preserve"> </w:t>
      </w:r>
      <w:r>
        <w:rPr>
          <w:rFonts w:ascii="宋体" w:eastAsia="宋体" w:hAnsi="宋体" w:cs="宋体"/>
          <w:spacing w:val="-13"/>
          <w:sz w:val="22"/>
          <w:szCs w:val="22"/>
        </w:rPr>
        <w:t>对轻症高血压及有高血压因素的某些正常血压者有降压作用。钾还</w:t>
      </w:r>
      <w:r>
        <w:rPr>
          <w:rFonts w:ascii="宋体" w:eastAsia="宋体" w:hAnsi="宋体" w:cs="宋体"/>
          <w:spacing w:val="-14"/>
          <w:sz w:val="22"/>
          <w:szCs w:val="22"/>
        </w:rPr>
        <w:t>具有使胰岛素</w:t>
      </w:r>
      <w:r>
        <w:rPr>
          <w:rFonts w:ascii="宋体" w:eastAsia="宋体" w:hAnsi="宋体" w:cs="宋体"/>
          <w:sz w:val="22"/>
          <w:szCs w:val="22"/>
        </w:rPr>
        <w:t xml:space="preserve"> </w:t>
      </w:r>
      <w:r>
        <w:rPr>
          <w:rFonts w:ascii="宋体" w:eastAsia="宋体" w:hAnsi="宋体" w:cs="宋体"/>
          <w:spacing w:val="-19"/>
          <w:sz w:val="22"/>
          <w:szCs w:val="22"/>
        </w:rPr>
        <w:t>释放的作用。</w:t>
      </w:r>
    </w:p>
    <w:p w:rsidR="00EA40A3" w:rsidRDefault="00EA40A3">
      <w:pPr>
        <w:spacing w:line="264"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4"/>
          <w:sz w:val="22"/>
          <w:szCs w:val="22"/>
        </w:rPr>
        <w:t>2.</w:t>
      </w:r>
      <w:r>
        <w:rPr>
          <w:rFonts w:ascii="仿宋" w:eastAsia="仿宋" w:hAnsi="仿宋" w:cs="仿宋"/>
          <w:spacing w:val="20"/>
          <w:sz w:val="22"/>
          <w:szCs w:val="22"/>
        </w:rPr>
        <w:t xml:space="preserve"> </w:t>
      </w:r>
      <w:r>
        <w:rPr>
          <w:rFonts w:ascii="仿宋" w:eastAsia="仿宋" w:hAnsi="仿宋" w:cs="仿宋"/>
          <w:spacing w:val="4"/>
          <w:sz w:val="22"/>
          <w:szCs w:val="22"/>
        </w:rPr>
        <w:t>钾的吸收和代谢</w:t>
      </w:r>
    </w:p>
    <w:p w:rsidR="00EA40A3" w:rsidRDefault="00E86C16">
      <w:pPr>
        <w:spacing w:before="207" w:line="219" w:lineRule="auto"/>
        <w:ind w:left="399"/>
        <w:rPr>
          <w:rFonts w:ascii="宋体" w:eastAsia="宋体" w:hAnsi="宋体" w:cs="宋体"/>
          <w:sz w:val="22"/>
          <w:szCs w:val="22"/>
        </w:rPr>
      </w:pPr>
      <w:r>
        <w:rPr>
          <w:rFonts w:ascii="宋体" w:eastAsia="宋体" w:hAnsi="宋体" w:cs="宋体"/>
          <w:spacing w:val="-6"/>
          <w:sz w:val="22"/>
          <w:szCs w:val="22"/>
        </w:rPr>
        <w:t>钾的主要吸收部位在空肠和回肠。在正常情况下，80%～90%摄入的钾由肾</w:t>
      </w:r>
    </w:p>
    <w:p w:rsidR="00EA40A3" w:rsidRDefault="00E86C16">
      <w:pPr>
        <w:spacing w:before="35"/>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96</w:t>
      </w:r>
      <w:r>
        <w:rPr>
          <w:rFonts w:ascii="宋体" w:eastAsia="宋体" w:hAnsi="宋体" w:cs="宋体"/>
          <w:spacing w:val="46"/>
          <w:sz w:val="18"/>
          <w:szCs w:val="18"/>
        </w:rPr>
        <w:t xml:space="preserve"> </w:t>
      </w:r>
      <w:r>
        <w:rPr>
          <w:rFonts w:ascii="宋体" w:eastAsia="宋体" w:hAnsi="宋体" w:cs="宋体"/>
          <w:spacing w:val="-30"/>
          <w:sz w:val="18"/>
          <w:szCs w:val="18"/>
        </w:rPr>
        <w:t>·</w:t>
      </w:r>
    </w:p>
    <w:p w:rsidR="00EA40A3" w:rsidRDefault="00EA40A3">
      <w:pPr>
        <w:sectPr w:rsidR="00EA40A3">
          <w:pgSz w:w="9220" w:h="13360"/>
          <w:pgMar w:top="400" w:right="969" w:bottom="400" w:left="910" w:header="0" w:footer="0" w:gutter="0"/>
          <w:cols w:space="720"/>
        </w:sectPr>
      </w:pPr>
    </w:p>
    <w:p w:rsidR="00EA40A3" w:rsidRDefault="00EA40A3">
      <w:pPr>
        <w:spacing w:line="286" w:lineRule="auto"/>
      </w:pPr>
    </w:p>
    <w:p w:rsidR="00EA40A3" w:rsidRDefault="00EA40A3">
      <w:pPr>
        <w:spacing w:line="286" w:lineRule="auto"/>
      </w:pPr>
    </w:p>
    <w:p w:rsidR="00EA40A3" w:rsidRDefault="00E86C16">
      <w:pPr>
        <w:spacing w:before="71" w:line="247" w:lineRule="auto"/>
        <w:ind w:right="90"/>
        <w:jc w:val="both"/>
        <w:rPr>
          <w:rFonts w:ascii="宋体" w:eastAsia="宋体" w:hAnsi="宋体" w:cs="宋体"/>
          <w:sz w:val="22"/>
          <w:szCs w:val="22"/>
        </w:rPr>
      </w:pPr>
      <w:r>
        <w:rPr>
          <w:rFonts w:ascii="宋体" w:eastAsia="宋体" w:hAnsi="宋体" w:cs="宋体"/>
          <w:spacing w:val="27"/>
          <w:sz w:val="22"/>
          <w:szCs w:val="22"/>
        </w:rPr>
        <w:t>脏排出，10%～20%由粪便排出。皮肤通常排钾甚少，汗液含钾仅约</w:t>
      </w:r>
      <w:r>
        <w:rPr>
          <w:rFonts w:ascii="宋体" w:eastAsia="宋体" w:hAnsi="宋体" w:cs="宋体"/>
          <w:spacing w:val="4"/>
          <w:sz w:val="22"/>
          <w:szCs w:val="22"/>
        </w:rPr>
        <w:t xml:space="preserve"> </w:t>
      </w:r>
      <w:r>
        <w:rPr>
          <w:rFonts w:ascii="宋体" w:eastAsia="宋体" w:hAnsi="宋体" w:cs="宋体"/>
          <w:spacing w:val="-8"/>
          <w:sz w:val="22"/>
          <w:szCs w:val="22"/>
        </w:rPr>
        <w:t>5.6mmol/L,</w:t>
      </w:r>
      <w:r>
        <w:rPr>
          <w:rFonts w:ascii="宋体" w:eastAsia="宋体" w:hAnsi="宋体" w:cs="宋体"/>
          <w:spacing w:val="-40"/>
          <w:sz w:val="22"/>
          <w:szCs w:val="22"/>
        </w:rPr>
        <w:t xml:space="preserve"> </w:t>
      </w:r>
      <w:r>
        <w:rPr>
          <w:rFonts w:ascii="宋体" w:eastAsia="宋体" w:hAnsi="宋体" w:cs="宋体"/>
          <w:spacing w:val="-8"/>
          <w:sz w:val="22"/>
          <w:szCs w:val="22"/>
        </w:rPr>
        <w:t>但在热环境中从事体力活动，大量出汗时，汗钾排出量可占钾摄入</w:t>
      </w:r>
      <w:r>
        <w:rPr>
          <w:rFonts w:ascii="宋体" w:eastAsia="宋体" w:hAnsi="宋体" w:cs="宋体"/>
          <w:sz w:val="22"/>
          <w:szCs w:val="22"/>
        </w:rPr>
        <w:t xml:space="preserve"> </w:t>
      </w:r>
      <w:r>
        <w:rPr>
          <w:rFonts w:ascii="宋体" w:eastAsia="宋体" w:hAnsi="宋体" w:cs="宋体"/>
          <w:spacing w:val="-8"/>
          <w:sz w:val="22"/>
          <w:szCs w:val="22"/>
        </w:rPr>
        <w:t>量的50%左右。此外，在钾摄入极少甚至不进食钾时，肾仍排出一</w:t>
      </w:r>
      <w:r>
        <w:rPr>
          <w:rFonts w:ascii="宋体" w:eastAsia="宋体" w:hAnsi="宋体" w:cs="宋体"/>
          <w:spacing w:val="-9"/>
          <w:sz w:val="22"/>
          <w:szCs w:val="22"/>
        </w:rPr>
        <w:t>定量的钾。</w:t>
      </w:r>
    </w:p>
    <w:p w:rsidR="00EA40A3" w:rsidRDefault="00E86C16">
      <w:pPr>
        <w:spacing w:before="217" w:line="222"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42"/>
          <w:sz w:val="22"/>
          <w:szCs w:val="22"/>
        </w:rPr>
        <w:t xml:space="preserve"> </w:t>
      </w:r>
      <w:r>
        <w:rPr>
          <w:rFonts w:ascii="仿宋" w:eastAsia="仿宋" w:hAnsi="仿宋" w:cs="仿宋"/>
          <w:spacing w:val="10"/>
          <w:sz w:val="22"/>
          <w:szCs w:val="22"/>
        </w:rPr>
        <w:t>钾缺乏与过量</w:t>
      </w:r>
    </w:p>
    <w:p w:rsidR="00EA40A3" w:rsidRDefault="00E86C16">
      <w:pPr>
        <w:spacing w:before="183" w:line="224" w:lineRule="auto"/>
        <w:rPr>
          <w:rFonts w:ascii="楷体" w:eastAsia="楷体" w:hAnsi="楷体" w:cs="楷体"/>
          <w:sz w:val="22"/>
          <w:szCs w:val="22"/>
        </w:rPr>
      </w:pPr>
      <w:r>
        <w:rPr>
          <w:rFonts w:ascii="楷体" w:eastAsia="楷体" w:hAnsi="楷体" w:cs="楷体"/>
          <w:spacing w:val="-5"/>
          <w:sz w:val="22"/>
          <w:szCs w:val="22"/>
        </w:rPr>
        <w:t>1)钾缺乏与低钾血症</w:t>
      </w:r>
    </w:p>
    <w:p w:rsidR="00EA40A3" w:rsidRDefault="00E86C16">
      <w:pPr>
        <w:spacing w:before="44" w:line="244" w:lineRule="auto"/>
        <w:ind w:firstLine="450"/>
        <w:jc w:val="both"/>
        <w:rPr>
          <w:rFonts w:ascii="宋体" w:eastAsia="宋体" w:hAnsi="宋体" w:cs="宋体"/>
          <w:sz w:val="22"/>
          <w:szCs w:val="22"/>
        </w:rPr>
      </w:pPr>
      <w:r>
        <w:rPr>
          <w:rFonts w:ascii="宋体" w:eastAsia="宋体" w:hAnsi="宋体" w:cs="宋体"/>
          <w:spacing w:val="-5"/>
          <w:sz w:val="22"/>
          <w:szCs w:val="22"/>
        </w:rPr>
        <w:t>体内钾总量减少称为钾缺乏，血清钾低于3.5mmol/L</w:t>
      </w:r>
      <w:r>
        <w:rPr>
          <w:rFonts w:ascii="宋体" w:eastAsia="宋体" w:hAnsi="宋体" w:cs="宋体"/>
          <w:spacing w:val="29"/>
          <w:sz w:val="22"/>
          <w:szCs w:val="22"/>
        </w:rPr>
        <w:t xml:space="preserve"> </w:t>
      </w:r>
      <w:r>
        <w:rPr>
          <w:rFonts w:ascii="宋体" w:eastAsia="宋体" w:hAnsi="宋体" w:cs="宋体"/>
          <w:spacing w:val="-5"/>
          <w:sz w:val="22"/>
          <w:szCs w:val="22"/>
        </w:rPr>
        <w:t>时，称为低钾血症。</w:t>
      </w:r>
      <w:r>
        <w:rPr>
          <w:rFonts w:ascii="宋体" w:eastAsia="宋体" w:hAnsi="宋体" w:cs="宋体"/>
          <w:sz w:val="22"/>
          <w:szCs w:val="22"/>
        </w:rPr>
        <w:t xml:space="preserve"> </w:t>
      </w:r>
      <w:r>
        <w:rPr>
          <w:rFonts w:ascii="宋体" w:eastAsia="宋体" w:hAnsi="宋体" w:cs="宋体"/>
          <w:spacing w:val="-13"/>
          <w:sz w:val="22"/>
          <w:szCs w:val="22"/>
        </w:rPr>
        <w:t>由于血液水含量和钾在细胞内外分布的变动，使总体钾和血钾的变化有</w:t>
      </w:r>
      <w:r>
        <w:rPr>
          <w:rFonts w:ascii="宋体" w:eastAsia="宋体" w:hAnsi="宋体" w:cs="宋体"/>
          <w:spacing w:val="-14"/>
          <w:sz w:val="22"/>
          <w:szCs w:val="22"/>
        </w:rPr>
        <w:t>时并不一</w:t>
      </w:r>
      <w:r>
        <w:rPr>
          <w:rFonts w:ascii="宋体" w:eastAsia="宋体" w:hAnsi="宋体" w:cs="宋体"/>
          <w:sz w:val="22"/>
          <w:szCs w:val="22"/>
        </w:rPr>
        <w:t xml:space="preserve">  </w:t>
      </w:r>
      <w:r>
        <w:rPr>
          <w:rFonts w:ascii="宋体" w:eastAsia="宋体" w:hAnsi="宋体" w:cs="宋体"/>
          <w:spacing w:val="-13"/>
          <w:sz w:val="22"/>
          <w:szCs w:val="22"/>
        </w:rPr>
        <w:t>致。在某些情况下，高血钾可见于总体钾缺乏，相反，低血钾可存在于总</w:t>
      </w:r>
      <w:r>
        <w:rPr>
          <w:rFonts w:ascii="宋体" w:eastAsia="宋体" w:hAnsi="宋体" w:cs="宋体"/>
          <w:spacing w:val="-14"/>
          <w:sz w:val="22"/>
          <w:szCs w:val="22"/>
        </w:rPr>
        <w:t>体钾正</w:t>
      </w:r>
      <w:r>
        <w:rPr>
          <w:rFonts w:ascii="宋体" w:eastAsia="宋体" w:hAnsi="宋体" w:cs="宋体"/>
          <w:sz w:val="22"/>
          <w:szCs w:val="22"/>
        </w:rPr>
        <w:t xml:space="preserve">  </w:t>
      </w:r>
      <w:r>
        <w:rPr>
          <w:rFonts w:ascii="宋体" w:eastAsia="宋体" w:hAnsi="宋体" w:cs="宋体"/>
          <w:spacing w:val="-14"/>
          <w:sz w:val="22"/>
          <w:szCs w:val="22"/>
        </w:rPr>
        <w:t>常情况时。但除少数情况外，低血钾病人大多有总体钾丧失。</w:t>
      </w:r>
    </w:p>
    <w:p w:rsidR="00EA40A3" w:rsidRDefault="00E86C16">
      <w:pPr>
        <w:spacing w:before="56" w:line="249" w:lineRule="auto"/>
        <w:ind w:firstLine="450"/>
        <w:jc w:val="both"/>
        <w:rPr>
          <w:rFonts w:ascii="宋体" w:eastAsia="宋体" w:hAnsi="宋体" w:cs="宋体"/>
          <w:sz w:val="22"/>
          <w:szCs w:val="22"/>
        </w:rPr>
      </w:pPr>
      <w:r>
        <w:rPr>
          <w:rFonts w:ascii="宋体" w:eastAsia="宋体" w:hAnsi="宋体" w:cs="宋体"/>
          <w:spacing w:val="-13"/>
          <w:sz w:val="22"/>
          <w:szCs w:val="22"/>
        </w:rPr>
        <w:t>钾缺乏原因有摄入不足和排出增加。如有长期禁食、少食或厌食、偏食等情</w:t>
      </w:r>
      <w:r>
        <w:rPr>
          <w:rFonts w:ascii="宋体" w:eastAsia="宋体" w:hAnsi="宋体" w:cs="宋体"/>
          <w:spacing w:val="17"/>
          <w:sz w:val="22"/>
          <w:szCs w:val="22"/>
        </w:rPr>
        <w:t xml:space="preserve"> </w:t>
      </w:r>
      <w:r>
        <w:rPr>
          <w:rFonts w:ascii="宋体" w:eastAsia="宋体" w:hAnsi="宋体" w:cs="宋体"/>
          <w:spacing w:val="-13"/>
          <w:sz w:val="22"/>
          <w:szCs w:val="22"/>
        </w:rPr>
        <w:t>况，而肾脏保钾的功能较差，仍不断排钾，即可由于摄入不足而</w:t>
      </w:r>
      <w:r>
        <w:rPr>
          <w:rFonts w:ascii="宋体" w:eastAsia="宋体" w:hAnsi="宋体" w:cs="宋体"/>
          <w:spacing w:val="-14"/>
          <w:sz w:val="22"/>
          <w:szCs w:val="22"/>
        </w:rPr>
        <w:t>引起钾缺乏。造</w:t>
      </w:r>
      <w:r>
        <w:rPr>
          <w:rFonts w:ascii="宋体" w:eastAsia="宋体" w:hAnsi="宋体" w:cs="宋体"/>
          <w:sz w:val="22"/>
          <w:szCs w:val="22"/>
        </w:rPr>
        <w:t xml:space="preserve">  </w:t>
      </w:r>
      <w:r>
        <w:rPr>
          <w:rFonts w:ascii="宋体" w:eastAsia="宋体" w:hAnsi="宋体" w:cs="宋体"/>
          <w:spacing w:val="-13"/>
          <w:sz w:val="22"/>
          <w:szCs w:val="22"/>
        </w:rPr>
        <w:t>成钾排出增加的原因较多：①经消化道失钾：如呕吐、胃肠引流、腹泻、肠瘘或</w:t>
      </w:r>
      <w:r>
        <w:rPr>
          <w:rFonts w:ascii="宋体" w:eastAsia="宋体" w:hAnsi="宋体" w:cs="宋体"/>
          <w:spacing w:val="13"/>
          <w:sz w:val="22"/>
          <w:szCs w:val="22"/>
        </w:rPr>
        <w:t xml:space="preserve"> </w:t>
      </w:r>
      <w:r>
        <w:rPr>
          <w:rFonts w:ascii="宋体" w:eastAsia="宋体" w:hAnsi="宋体" w:cs="宋体"/>
          <w:spacing w:val="-13"/>
          <w:sz w:val="22"/>
          <w:szCs w:val="22"/>
        </w:rPr>
        <w:t>长期用泻剂等，造成失钾。②肾脏失钾过多：如各种肾小管功能</w:t>
      </w:r>
      <w:r>
        <w:rPr>
          <w:rFonts w:ascii="宋体" w:eastAsia="宋体" w:hAnsi="宋体" w:cs="宋体"/>
          <w:spacing w:val="-14"/>
          <w:sz w:val="22"/>
          <w:szCs w:val="22"/>
        </w:rPr>
        <w:t>障碍为主的肾脏</w:t>
      </w:r>
      <w:r>
        <w:rPr>
          <w:rFonts w:ascii="宋体" w:eastAsia="宋体" w:hAnsi="宋体" w:cs="宋体"/>
          <w:sz w:val="22"/>
          <w:szCs w:val="22"/>
        </w:rPr>
        <w:t xml:space="preserve">  </w:t>
      </w:r>
      <w:r>
        <w:rPr>
          <w:rFonts w:ascii="宋体" w:eastAsia="宋体" w:hAnsi="宋体" w:cs="宋体"/>
          <w:spacing w:val="-10"/>
          <w:sz w:val="22"/>
          <w:szCs w:val="22"/>
        </w:rPr>
        <w:t>疾病或应用利尿剂，脱水、慢性缺氧、摄入钠过多均可出</w:t>
      </w:r>
      <w:r>
        <w:rPr>
          <w:rFonts w:ascii="宋体" w:eastAsia="宋体" w:hAnsi="宋体" w:cs="宋体"/>
          <w:spacing w:val="-11"/>
          <w:sz w:val="22"/>
          <w:szCs w:val="22"/>
        </w:rPr>
        <w:t>现细胞内钾释出增加，</w:t>
      </w:r>
      <w:r>
        <w:rPr>
          <w:rFonts w:ascii="宋体" w:eastAsia="宋体" w:hAnsi="宋体" w:cs="宋体"/>
          <w:sz w:val="22"/>
          <w:szCs w:val="22"/>
        </w:rPr>
        <w:t xml:space="preserve"> </w:t>
      </w:r>
      <w:r>
        <w:rPr>
          <w:rFonts w:ascii="宋体" w:eastAsia="宋体" w:hAnsi="宋体" w:cs="宋体"/>
          <w:spacing w:val="-13"/>
          <w:sz w:val="22"/>
          <w:szCs w:val="22"/>
        </w:rPr>
        <w:t>进而引起尿钾排出增加。③肾上腺皮质功能亢进时，或长期应用肾</w:t>
      </w:r>
      <w:r>
        <w:rPr>
          <w:rFonts w:ascii="宋体" w:eastAsia="宋体" w:hAnsi="宋体" w:cs="宋体"/>
          <w:spacing w:val="-14"/>
          <w:sz w:val="22"/>
          <w:szCs w:val="22"/>
        </w:rPr>
        <w:t>上腺皮质激素</w:t>
      </w:r>
      <w:r>
        <w:rPr>
          <w:rFonts w:ascii="宋体" w:eastAsia="宋体" w:hAnsi="宋体" w:cs="宋体"/>
          <w:sz w:val="22"/>
          <w:szCs w:val="22"/>
        </w:rPr>
        <w:t xml:space="preserve">  </w:t>
      </w:r>
      <w:r>
        <w:rPr>
          <w:rFonts w:ascii="宋体" w:eastAsia="宋体" w:hAnsi="宋体" w:cs="宋体"/>
          <w:spacing w:val="-13"/>
          <w:sz w:val="22"/>
          <w:szCs w:val="22"/>
        </w:rPr>
        <w:t>治疗，都可促使钾的排泄增多。④经汗液丢失：持续强体力活动或较长期在热环</w:t>
      </w:r>
      <w:r>
        <w:rPr>
          <w:rFonts w:ascii="宋体" w:eastAsia="宋体" w:hAnsi="宋体" w:cs="宋体"/>
          <w:spacing w:val="14"/>
          <w:sz w:val="22"/>
          <w:szCs w:val="22"/>
        </w:rPr>
        <w:t xml:space="preserve"> </w:t>
      </w:r>
      <w:r>
        <w:rPr>
          <w:rFonts w:ascii="宋体" w:eastAsia="宋体" w:hAnsi="宋体" w:cs="宋体"/>
          <w:spacing w:val="-13"/>
          <w:sz w:val="22"/>
          <w:szCs w:val="22"/>
        </w:rPr>
        <w:t>境下进行体力活动，由于大量出汗可增加钾的丢失，如果此时摄入也较低则可产</w:t>
      </w:r>
      <w:r>
        <w:rPr>
          <w:rFonts w:ascii="宋体" w:eastAsia="宋体" w:hAnsi="宋体" w:cs="宋体"/>
          <w:spacing w:val="16"/>
          <w:sz w:val="22"/>
          <w:szCs w:val="22"/>
        </w:rPr>
        <w:t xml:space="preserve"> </w:t>
      </w:r>
      <w:r>
        <w:rPr>
          <w:rFonts w:ascii="宋体" w:eastAsia="宋体" w:hAnsi="宋体" w:cs="宋体"/>
          <w:spacing w:val="-13"/>
          <w:sz w:val="22"/>
          <w:szCs w:val="22"/>
        </w:rPr>
        <w:t>生负钾平衡。⑤钾向细胞内转移：大量注射葡萄糖或应用胰岛素时、周期性瘫痪</w:t>
      </w:r>
      <w:r>
        <w:rPr>
          <w:rFonts w:ascii="宋体" w:eastAsia="宋体" w:hAnsi="宋体" w:cs="宋体"/>
          <w:spacing w:val="13"/>
          <w:sz w:val="22"/>
          <w:szCs w:val="22"/>
        </w:rPr>
        <w:t xml:space="preserve"> </w:t>
      </w:r>
      <w:r>
        <w:rPr>
          <w:rFonts w:ascii="宋体" w:eastAsia="宋体" w:hAnsi="宋体" w:cs="宋体"/>
          <w:spacing w:val="-7"/>
          <w:sz w:val="22"/>
          <w:szCs w:val="22"/>
        </w:rPr>
        <w:t>发作时、烧伤愈合期蛋白质合成增加时以及碱中毒时，均可发生钾转</w:t>
      </w:r>
      <w:r>
        <w:rPr>
          <w:rFonts w:ascii="宋体" w:eastAsia="宋体" w:hAnsi="宋体" w:cs="宋体"/>
          <w:spacing w:val="-8"/>
          <w:sz w:val="22"/>
          <w:szCs w:val="22"/>
        </w:rPr>
        <w:t>移入细胞</w:t>
      </w:r>
      <w:r>
        <w:rPr>
          <w:rFonts w:ascii="宋体" w:eastAsia="宋体" w:hAnsi="宋体" w:cs="宋体"/>
          <w:sz w:val="22"/>
          <w:szCs w:val="22"/>
        </w:rPr>
        <w:t xml:space="preserve">  </w:t>
      </w:r>
      <w:r>
        <w:rPr>
          <w:rFonts w:ascii="宋体" w:eastAsia="宋体" w:hAnsi="宋体" w:cs="宋体"/>
          <w:spacing w:val="-14"/>
          <w:sz w:val="22"/>
          <w:szCs w:val="22"/>
        </w:rPr>
        <w:t>内，可出现血钾过低，但总体钾不减少。</w:t>
      </w:r>
    </w:p>
    <w:p w:rsidR="00EA40A3" w:rsidRDefault="00E86C16">
      <w:pPr>
        <w:spacing w:before="104" w:line="248" w:lineRule="auto"/>
        <w:ind w:right="58" w:firstLine="450"/>
        <w:jc w:val="both"/>
        <w:rPr>
          <w:rFonts w:ascii="宋体" w:eastAsia="宋体" w:hAnsi="宋体" w:cs="宋体"/>
          <w:sz w:val="22"/>
          <w:szCs w:val="22"/>
        </w:rPr>
      </w:pPr>
      <w:r>
        <w:rPr>
          <w:rFonts w:ascii="宋体" w:eastAsia="宋体" w:hAnsi="宋体" w:cs="宋体"/>
          <w:spacing w:val="-3"/>
          <w:sz w:val="22"/>
          <w:szCs w:val="22"/>
        </w:rPr>
        <w:t>轻度或急性中度钾缺乏无明显症状。体钾缺乏达10%以上时症状明显，失</w:t>
      </w:r>
      <w:r>
        <w:rPr>
          <w:rFonts w:ascii="宋体" w:eastAsia="宋体" w:hAnsi="宋体" w:cs="宋体"/>
          <w:sz w:val="22"/>
          <w:szCs w:val="22"/>
        </w:rPr>
        <w:t xml:space="preserve"> </w:t>
      </w:r>
      <w:r>
        <w:rPr>
          <w:rFonts w:ascii="宋体" w:eastAsia="宋体" w:hAnsi="宋体" w:cs="宋体"/>
          <w:spacing w:val="-13"/>
          <w:sz w:val="22"/>
          <w:szCs w:val="22"/>
        </w:rPr>
        <w:t>钾速率越快，症状越明显。钾缺乏使神经肌肉应激性降低，肌肉无力，重者可出</w:t>
      </w:r>
      <w:r>
        <w:rPr>
          <w:rFonts w:ascii="宋体" w:eastAsia="宋体" w:hAnsi="宋体" w:cs="宋体"/>
          <w:spacing w:val="9"/>
          <w:sz w:val="22"/>
          <w:szCs w:val="22"/>
        </w:rPr>
        <w:t xml:space="preserve"> </w:t>
      </w:r>
      <w:r>
        <w:rPr>
          <w:rFonts w:ascii="宋体" w:eastAsia="宋体" w:hAnsi="宋体" w:cs="宋体"/>
          <w:spacing w:val="-13"/>
          <w:sz w:val="22"/>
          <w:szCs w:val="22"/>
        </w:rPr>
        <w:t>现软瘫；肋间肌、横膈肌无力，可出现呼吸困难、缺氧、窒息；</w:t>
      </w:r>
      <w:r>
        <w:rPr>
          <w:rFonts w:ascii="宋体" w:eastAsia="宋体" w:hAnsi="宋体" w:cs="宋体"/>
          <w:spacing w:val="-14"/>
          <w:sz w:val="22"/>
          <w:szCs w:val="22"/>
        </w:rPr>
        <w:t>平滑肌无力则致</w:t>
      </w:r>
      <w:r>
        <w:rPr>
          <w:rFonts w:ascii="宋体" w:eastAsia="宋体" w:hAnsi="宋体" w:cs="宋体"/>
          <w:sz w:val="22"/>
          <w:szCs w:val="22"/>
        </w:rPr>
        <w:t xml:space="preserve"> </w:t>
      </w:r>
      <w:r>
        <w:rPr>
          <w:rFonts w:ascii="宋体" w:eastAsia="宋体" w:hAnsi="宋体" w:cs="宋体"/>
          <w:spacing w:val="-13"/>
          <w:sz w:val="22"/>
          <w:szCs w:val="22"/>
        </w:rPr>
        <w:t>腹膨胀、肠梗阻和肠麻痹。缺钾使心肌应激性增高、心音低钝、心率</w:t>
      </w:r>
      <w:r>
        <w:rPr>
          <w:rFonts w:ascii="宋体" w:eastAsia="宋体" w:hAnsi="宋体" w:cs="宋体"/>
          <w:spacing w:val="-14"/>
          <w:sz w:val="22"/>
          <w:szCs w:val="22"/>
        </w:rPr>
        <w:t>快、心律失</w:t>
      </w:r>
      <w:r>
        <w:rPr>
          <w:rFonts w:ascii="宋体" w:eastAsia="宋体" w:hAnsi="宋体" w:cs="宋体"/>
          <w:sz w:val="22"/>
          <w:szCs w:val="22"/>
        </w:rPr>
        <w:t xml:space="preserve"> </w:t>
      </w:r>
      <w:r>
        <w:rPr>
          <w:rFonts w:ascii="宋体" w:eastAsia="宋体" w:hAnsi="宋体" w:cs="宋体"/>
          <w:spacing w:val="-12"/>
          <w:sz w:val="22"/>
          <w:szCs w:val="22"/>
        </w:rPr>
        <w:t>常。泌尿系统可出现肾血流量减少，输尿管和膀胱</w:t>
      </w:r>
      <w:r>
        <w:rPr>
          <w:rFonts w:ascii="宋体" w:eastAsia="宋体" w:hAnsi="宋体" w:cs="宋体"/>
          <w:spacing w:val="-13"/>
          <w:sz w:val="22"/>
          <w:szCs w:val="22"/>
        </w:rPr>
        <w:t>功能不良，排尿困难，甚至少</w:t>
      </w:r>
      <w:r>
        <w:rPr>
          <w:rFonts w:ascii="宋体" w:eastAsia="宋体" w:hAnsi="宋体" w:cs="宋体"/>
          <w:sz w:val="22"/>
          <w:szCs w:val="22"/>
        </w:rPr>
        <w:t xml:space="preserve"> </w:t>
      </w:r>
      <w:r>
        <w:rPr>
          <w:rFonts w:ascii="宋体" w:eastAsia="宋体" w:hAnsi="宋体" w:cs="宋体"/>
          <w:spacing w:val="-13"/>
          <w:sz w:val="22"/>
          <w:szCs w:val="22"/>
        </w:rPr>
        <w:t>尿或无尿。消化系统可出现消化功能紊乱，食欲不振、恶心、呕吐。神经系统出</w:t>
      </w:r>
      <w:r>
        <w:rPr>
          <w:rFonts w:ascii="宋体" w:eastAsia="宋体" w:hAnsi="宋体" w:cs="宋体"/>
          <w:spacing w:val="9"/>
          <w:sz w:val="22"/>
          <w:szCs w:val="22"/>
        </w:rPr>
        <w:t xml:space="preserve"> </w:t>
      </w:r>
      <w:r>
        <w:rPr>
          <w:rFonts w:ascii="宋体" w:eastAsia="宋体" w:hAnsi="宋体" w:cs="宋体"/>
          <w:spacing w:val="-13"/>
          <w:sz w:val="22"/>
          <w:szCs w:val="22"/>
        </w:rPr>
        <w:t>现烦躁不安、倦怠、肌腱反射消失、头晕、淡漠。重者神志不清，水盐代谢及酸</w:t>
      </w:r>
      <w:r>
        <w:rPr>
          <w:rFonts w:ascii="宋体" w:eastAsia="宋体" w:hAnsi="宋体" w:cs="宋体"/>
          <w:spacing w:val="12"/>
          <w:sz w:val="22"/>
          <w:szCs w:val="22"/>
        </w:rPr>
        <w:t xml:space="preserve"> </w:t>
      </w:r>
      <w:r>
        <w:rPr>
          <w:rFonts w:ascii="宋体" w:eastAsia="宋体" w:hAnsi="宋体" w:cs="宋体"/>
          <w:spacing w:val="-15"/>
          <w:sz w:val="22"/>
          <w:szCs w:val="22"/>
        </w:rPr>
        <w:t>碱平衡紊乱，血管麻痹可发生休克。</w:t>
      </w:r>
    </w:p>
    <w:p w:rsidR="00EA40A3" w:rsidRDefault="00E86C16">
      <w:pPr>
        <w:spacing w:before="37" w:line="224" w:lineRule="auto"/>
        <w:rPr>
          <w:rFonts w:ascii="楷体" w:eastAsia="楷体" w:hAnsi="楷体" w:cs="楷体"/>
          <w:sz w:val="22"/>
          <w:szCs w:val="22"/>
        </w:rPr>
      </w:pPr>
      <w:r>
        <w:rPr>
          <w:rFonts w:ascii="楷体" w:eastAsia="楷体" w:hAnsi="楷体" w:cs="楷体"/>
          <w:spacing w:val="5"/>
          <w:sz w:val="22"/>
          <w:szCs w:val="22"/>
        </w:rPr>
        <w:t>2)钾过量</w:t>
      </w:r>
    </w:p>
    <w:p w:rsidR="00EA40A3" w:rsidRDefault="00E86C16">
      <w:pPr>
        <w:spacing w:before="73" w:line="253" w:lineRule="auto"/>
        <w:ind w:firstLine="450"/>
        <w:jc w:val="both"/>
        <w:rPr>
          <w:rFonts w:ascii="宋体" w:eastAsia="宋体" w:hAnsi="宋体" w:cs="宋体"/>
          <w:sz w:val="22"/>
          <w:szCs w:val="22"/>
        </w:rPr>
      </w:pPr>
      <w:r>
        <w:rPr>
          <w:rFonts w:ascii="宋体" w:eastAsia="宋体" w:hAnsi="宋体" w:cs="宋体"/>
          <w:spacing w:val="-6"/>
          <w:sz w:val="22"/>
          <w:szCs w:val="22"/>
        </w:rPr>
        <w:t>血钾浓度高于5.5mmol/L</w:t>
      </w:r>
      <w:r>
        <w:rPr>
          <w:rFonts w:ascii="宋体" w:eastAsia="宋体" w:hAnsi="宋体" w:cs="宋体"/>
          <w:spacing w:val="3"/>
          <w:sz w:val="22"/>
          <w:szCs w:val="22"/>
        </w:rPr>
        <w:t xml:space="preserve"> </w:t>
      </w:r>
      <w:r>
        <w:rPr>
          <w:rFonts w:ascii="宋体" w:eastAsia="宋体" w:hAnsi="宋体" w:cs="宋体"/>
          <w:spacing w:val="-6"/>
          <w:sz w:val="22"/>
          <w:szCs w:val="22"/>
        </w:rPr>
        <w:t>时，可出现毒性反应，称为高钾血症。主要表现</w:t>
      </w:r>
      <w:r>
        <w:rPr>
          <w:rFonts w:ascii="宋体" w:eastAsia="宋体" w:hAnsi="宋体" w:cs="宋体"/>
          <w:sz w:val="22"/>
          <w:szCs w:val="22"/>
        </w:rPr>
        <w:t xml:space="preserve"> </w:t>
      </w:r>
      <w:r>
        <w:rPr>
          <w:rFonts w:ascii="宋体" w:eastAsia="宋体" w:hAnsi="宋体" w:cs="宋体"/>
          <w:spacing w:val="-10"/>
          <w:sz w:val="22"/>
          <w:szCs w:val="22"/>
        </w:rPr>
        <w:t>为患者全身软弱无力、躯干和四肢感觉异常、面色苍白、</w:t>
      </w:r>
      <w:r>
        <w:rPr>
          <w:rFonts w:ascii="宋体" w:eastAsia="宋体" w:hAnsi="宋体" w:cs="宋体"/>
          <w:spacing w:val="-11"/>
          <w:sz w:val="22"/>
          <w:szCs w:val="22"/>
        </w:rPr>
        <w:t>肌肉酸痛、肢体寒冷、</w:t>
      </w:r>
      <w:r>
        <w:rPr>
          <w:rFonts w:ascii="宋体" w:eastAsia="宋体" w:hAnsi="宋体" w:cs="宋体"/>
          <w:sz w:val="22"/>
          <w:szCs w:val="22"/>
        </w:rPr>
        <w:t xml:space="preserve"> </w:t>
      </w:r>
      <w:r>
        <w:rPr>
          <w:rFonts w:ascii="宋体" w:eastAsia="宋体" w:hAnsi="宋体" w:cs="宋体"/>
          <w:spacing w:val="-13"/>
          <w:sz w:val="22"/>
          <w:szCs w:val="22"/>
        </w:rPr>
        <w:t>动作迟钝、嗜睡、神志模糊，进而弛缓性瘫痪、呼吸肌瘫痪，窒</w:t>
      </w:r>
      <w:r>
        <w:rPr>
          <w:rFonts w:ascii="宋体" w:eastAsia="宋体" w:hAnsi="宋体" w:cs="宋体"/>
          <w:spacing w:val="-14"/>
          <w:sz w:val="22"/>
          <w:szCs w:val="22"/>
        </w:rPr>
        <w:t>息。引起高钾血</w:t>
      </w:r>
      <w:r>
        <w:rPr>
          <w:rFonts w:ascii="宋体" w:eastAsia="宋体" w:hAnsi="宋体" w:cs="宋体"/>
          <w:sz w:val="22"/>
          <w:szCs w:val="22"/>
        </w:rPr>
        <w:t xml:space="preserve">  </w:t>
      </w:r>
      <w:r>
        <w:rPr>
          <w:rFonts w:ascii="宋体" w:eastAsia="宋体" w:hAnsi="宋体" w:cs="宋体"/>
          <w:spacing w:val="-12"/>
          <w:sz w:val="22"/>
          <w:szCs w:val="22"/>
        </w:rPr>
        <w:t>症的原因：①钾摄入过多：肾功能减退的病人，摄入过</w:t>
      </w:r>
      <w:r>
        <w:rPr>
          <w:rFonts w:ascii="宋体" w:eastAsia="宋体" w:hAnsi="宋体" w:cs="宋体"/>
          <w:spacing w:val="-13"/>
          <w:sz w:val="22"/>
          <w:szCs w:val="22"/>
        </w:rPr>
        <w:t>多的钾；静脉内输入过多</w:t>
      </w:r>
      <w:r>
        <w:rPr>
          <w:rFonts w:ascii="宋体" w:eastAsia="宋体" w:hAnsi="宋体" w:cs="宋体"/>
          <w:sz w:val="22"/>
          <w:szCs w:val="22"/>
        </w:rPr>
        <w:t xml:space="preserve"> </w:t>
      </w:r>
      <w:r>
        <w:rPr>
          <w:rFonts w:ascii="宋体" w:eastAsia="宋体" w:hAnsi="宋体" w:cs="宋体"/>
          <w:spacing w:val="-7"/>
          <w:sz w:val="22"/>
          <w:szCs w:val="22"/>
        </w:rPr>
        <w:t>钾盐。②排出减少：肾功能衰竭、肾上腺皮质功能减退或肾小管代谢性酸中</w:t>
      </w:r>
      <w:r>
        <w:rPr>
          <w:rFonts w:ascii="宋体" w:eastAsia="宋体" w:hAnsi="宋体" w:cs="宋体"/>
          <w:spacing w:val="-8"/>
          <w:sz w:val="22"/>
          <w:szCs w:val="22"/>
        </w:rPr>
        <w:t>毒</w:t>
      </w:r>
      <w:r>
        <w:rPr>
          <w:rFonts w:ascii="宋体" w:eastAsia="宋体" w:hAnsi="宋体" w:cs="宋体"/>
          <w:sz w:val="22"/>
          <w:szCs w:val="22"/>
        </w:rPr>
        <w:t xml:space="preserve">  </w:t>
      </w:r>
      <w:r>
        <w:rPr>
          <w:rFonts w:ascii="宋体" w:eastAsia="宋体" w:hAnsi="宋体" w:cs="宋体"/>
          <w:spacing w:val="-13"/>
          <w:sz w:val="22"/>
          <w:szCs w:val="22"/>
        </w:rPr>
        <w:t>时，可使肾排钾能力降低。③细胞内钾外移：急性酸中毒，重度溶血性反应，组</w:t>
      </w:r>
    </w:p>
    <w:p w:rsidR="00EA40A3" w:rsidRDefault="00E86C16">
      <w:pPr>
        <w:spacing w:before="99"/>
        <w:ind w:right="95"/>
        <w:jc w:val="right"/>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97</w:t>
      </w:r>
      <w:r>
        <w:rPr>
          <w:rFonts w:ascii="宋体" w:eastAsia="宋体" w:hAnsi="宋体" w:cs="宋体"/>
          <w:spacing w:val="49"/>
          <w:sz w:val="17"/>
          <w:szCs w:val="17"/>
        </w:rPr>
        <w:t xml:space="preserve"> </w:t>
      </w:r>
      <w:r>
        <w:rPr>
          <w:rFonts w:ascii="宋体" w:eastAsia="宋体" w:hAnsi="宋体" w:cs="宋体"/>
          <w:spacing w:val="-26"/>
          <w:sz w:val="17"/>
          <w:szCs w:val="17"/>
        </w:rPr>
        <w:t>·</w:t>
      </w:r>
    </w:p>
    <w:p w:rsidR="00EA40A3" w:rsidRDefault="00EA40A3">
      <w:pPr>
        <w:sectPr w:rsidR="00EA40A3">
          <w:pgSz w:w="9220" w:h="13360"/>
          <w:pgMar w:top="400" w:right="999" w:bottom="400" w:left="879" w:header="0" w:footer="0" w:gutter="0"/>
          <w:cols w:space="720"/>
        </w:sectPr>
      </w:pPr>
    </w:p>
    <w:p w:rsidR="00EA40A3" w:rsidRDefault="00EA40A3">
      <w:pPr>
        <w:spacing w:line="302" w:lineRule="auto"/>
      </w:pPr>
    </w:p>
    <w:p w:rsidR="00EA40A3" w:rsidRDefault="00EA40A3">
      <w:pPr>
        <w:spacing w:line="303" w:lineRule="auto"/>
      </w:pPr>
    </w:p>
    <w:p w:rsidR="00EA40A3" w:rsidRDefault="00E86C16">
      <w:pPr>
        <w:spacing w:before="68" w:line="219" w:lineRule="auto"/>
        <w:rPr>
          <w:rFonts w:ascii="宋体" w:eastAsia="宋体" w:hAnsi="宋体" w:cs="宋体"/>
        </w:rPr>
      </w:pPr>
      <w:r>
        <w:rPr>
          <w:rFonts w:ascii="宋体" w:eastAsia="宋体" w:hAnsi="宋体" w:cs="宋体"/>
          <w:spacing w:val="-5"/>
        </w:rPr>
        <w:t>织创伤、缺氧，应用某些药物，运动过度等情况。</w:t>
      </w:r>
    </w:p>
    <w:p w:rsidR="00EA40A3" w:rsidRDefault="00E86C16">
      <w:pPr>
        <w:spacing w:before="208" w:line="221" w:lineRule="auto"/>
        <w:rPr>
          <w:rFonts w:ascii="仿宋" w:eastAsia="仿宋" w:hAnsi="仿宋" w:cs="仿宋"/>
        </w:rPr>
      </w:pPr>
      <w:r>
        <w:rPr>
          <w:rFonts w:ascii="仿宋" w:eastAsia="仿宋" w:hAnsi="仿宋" w:cs="仿宋"/>
          <w:spacing w:val="21"/>
        </w:rPr>
        <w:t>4.</w:t>
      </w:r>
      <w:r>
        <w:rPr>
          <w:rFonts w:ascii="仿宋" w:eastAsia="仿宋" w:hAnsi="仿宋" w:cs="仿宋"/>
          <w:spacing w:val="-31"/>
        </w:rPr>
        <w:t xml:space="preserve"> </w:t>
      </w:r>
      <w:r>
        <w:rPr>
          <w:rFonts w:ascii="仿宋" w:eastAsia="仿宋" w:hAnsi="仿宋" w:cs="仿宋"/>
          <w:spacing w:val="21"/>
        </w:rPr>
        <w:t>钾的需要量及食物来源</w:t>
      </w:r>
    </w:p>
    <w:p w:rsidR="00EA40A3" w:rsidRDefault="00E86C16">
      <w:pPr>
        <w:spacing w:before="195" w:line="256" w:lineRule="auto"/>
        <w:ind w:firstLine="520"/>
        <w:rPr>
          <w:rFonts w:ascii="宋体" w:eastAsia="宋体" w:hAnsi="宋体" w:cs="宋体"/>
        </w:rPr>
      </w:pPr>
      <w:r>
        <w:rPr>
          <w:rFonts w:ascii="宋体" w:eastAsia="宋体" w:hAnsi="宋体" w:cs="宋体"/>
          <w:spacing w:val="-2"/>
        </w:rPr>
        <w:t>我国居民一般可从膳食摄入钾40～95mmol/d(1560～</w:t>
      </w:r>
      <w:r>
        <w:rPr>
          <w:rFonts w:ascii="宋体" w:eastAsia="宋体" w:hAnsi="宋体" w:cs="宋体"/>
          <w:spacing w:val="-3"/>
        </w:rPr>
        <w:t>3705</w:t>
      </w:r>
      <w:r>
        <w:rPr>
          <w:rFonts w:ascii="宋体" w:eastAsia="宋体" w:hAnsi="宋体" w:cs="宋体"/>
          <w:spacing w:val="-2"/>
        </w:rPr>
        <w:t>mg</w:t>
      </w:r>
      <w:r>
        <w:rPr>
          <w:rFonts w:ascii="宋体" w:eastAsia="宋体" w:hAnsi="宋体" w:cs="宋体"/>
          <w:spacing w:val="-3"/>
        </w:rPr>
        <w:t>/d)。</w:t>
      </w:r>
      <w:r>
        <w:rPr>
          <w:rFonts w:ascii="宋体" w:eastAsia="宋体" w:hAnsi="宋体" w:cs="宋体"/>
          <w:spacing w:val="27"/>
        </w:rPr>
        <w:t xml:space="preserve">   </w:t>
      </w:r>
      <w:r>
        <w:rPr>
          <w:rFonts w:ascii="宋体" w:eastAsia="宋体" w:hAnsi="宋体" w:cs="宋体"/>
          <w:spacing w:val="-3"/>
        </w:rPr>
        <w:t>根据人</w:t>
      </w:r>
      <w:r>
        <w:rPr>
          <w:rFonts w:ascii="宋体" w:eastAsia="宋体" w:hAnsi="宋体" w:cs="宋体"/>
          <w:spacing w:val="1"/>
        </w:rPr>
        <w:t xml:space="preserve"> </w:t>
      </w:r>
      <w:r>
        <w:rPr>
          <w:rFonts w:ascii="宋体" w:eastAsia="宋体" w:hAnsi="宋体" w:cs="宋体"/>
        </w:rPr>
        <w:t>体钾平衡研究结果，在轻体力活动、出汗甚少的情况下，40mmol/d</w:t>
      </w:r>
      <w:r>
        <w:rPr>
          <w:rFonts w:ascii="宋体" w:eastAsia="宋体" w:hAnsi="宋体" w:cs="宋体"/>
          <w:spacing w:val="37"/>
        </w:rPr>
        <w:t xml:space="preserve"> </w:t>
      </w:r>
      <w:r>
        <w:rPr>
          <w:rFonts w:ascii="宋体" w:eastAsia="宋体" w:hAnsi="宋体" w:cs="宋体"/>
        </w:rPr>
        <w:t>的</w:t>
      </w:r>
      <w:r>
        <w:rPr>
          <w:rFonts w:ascii="宋体" w:eastAsia="宋体" w:hAnsi="宋体" w:cs="宋体"/>
          <w:spacing w:val="-1"/>
        </w:rPr>
        <w:t>钾</w:t>
      </w:r>
      <w:r>
        <w:rPr>
          <w:rFonts w:ascii="宋体" w:eastAsia="宋体" w:hAnsi="宋体" w:cs="宋体"/>
          <w:spacing w:val="-2"/>
        </w:rPr>
        <w:t xml:space="preserve"> </w:t>
      </w:r>
      <w:r>
        <w:rPr>
          <w:rFonts w:ascii="宋体" w:eastAsia="宋体" w:hAnsi="宋体" w:cs="宋体"/>
          <w:spacing w:val="-1"/>
        </w:rPr>
        <w:t>(</w:t>
      </w:r>
      <w:r>
        <w:rPr>
          <w:rFonts w:ascii="宋体" w:eastAsia="宋体" w:hAnsi="宋体" w:cs="宋体"/>
        </w:rPr>
        <w:t xml:space="preserve">KCl  </w:t>
      </w:r>
      <w:r>
        <w:rPr>
          <w:rFonts w:ascii="宋体" w:eastAsia="宋体" w:hAnsi="宋体" w:cs="宋体"/>
          <w:spacing w:val="7"/>
        </w:rPr>
        <w:t>3g)</w:t>
      </w:r>
      <w:r>
        <w:rPr>
          <w:rFonts w:ascii="宋体" w:eastAsia="宋体" w:hAnsi="宋体" w:cs="宋体"/>
          <w:spacing w:val="-2"/>
        </w:rPr>
        <w:t xml:space="preserve"> </w:t>
      </w:r>
      <w:r>
        <w:rPr>
          <w:rFonts w:ascii="宋体" w:eastAsia="宋体" w:hAnsi="宋体" w:cs="宋体"/>
          <w:spacing w:val="7"/>
        </w:rPr>
        <w:t>足以维持生理需要，但在热环境下从事中度体力活动时，则需60</w:t>
      </w:r>
      <w:r>
        <w:rPr>
          <w:rFonts w:ascii="宋体" w:eastAsia="宋体" w:hAnsi="宋体" w:cs="宋体"/>
        </w:rPr>
        <w:t>mmol</w:t>
      </w:r>
      <w:r>
        <w:rPr>
          <w:rFonts w:ascii="宋体" w:eastAsia="宋体" w:hAnsi="宋体" w:cs="宋体"/>
          <w:spacing w:val="7"/>
        </w:rPr>
        <w:t>/d</w:t>
      </w:r>
      <w:r>
        <w:rPr>
          <w:rFonts w:ascii="宋体" w:eastAsia="宋体" w:hAnsi="宋体" w:cs="宋体"/>
        </w:rPr>
        <w:t xml:space="preserve">  </w:t>
      </w:r>
      <w:r>
        <w:rPr>
          <w:rFonts w:ascii="宋体" w:eastAsia="宋体" w:hAnsi="宋体" w:cs="宋体"/>
          <w:spacing w:val="2"/>
        </w:rPr>
        <w:t>(</w:t>
      </w:r>
      <w:r>
        <w:rPr>
          <w:rFonts w:ascii="宋体" w:eastAsia="宋体" w:hAnsi="宋体" w:cs="宋体"/>
        </w:rPr>
        <w:t>KCl</w:t>
      </w:r>
      <w:r>
        <w:rPr>
          <w:rFonts w:ascii="宋体" w:eastAsia="宋体" w:hAnsi="宋体" w:cs="宋体"/>
          <w:spacing w:val="2"/>
        </w:rPr>
        <w:t>4.5g)</w:t>
      </w:r>
      <w:r>
        <w:rPr>
          <w:rFonts w:ascii="宋体" w:eastAsia="宋体" w:hAnsi="宋体" w:cs="宋体"/>
          <w:spacing w:val="12"/>
        </w:rPr>
        <w:t xml:space="preserve">  </w:t>
      </w:r>
      <w:r>
        <w:rPr>
          <w:rFonts w:ascii="宋体" w:eastAsia="宋体" w:hAnsi="宋体" w:cs="宋体"/>
          <w:spacing w:val="2"/>
        </w:rPr>
        <w:t>才能维持钾平衡，而供给量以80</w:t>
      </w:r>
      <w:r>
        <w:rPr>
          <w:rFonts w:ascii="宋体" w:eastAsia="宋体" w:hAnsi="宋体" w:cs="宋体"/>
        </w:rPr>
        <w:t>mmol</w:t>
      </w:r>
      <w:r>
        <w:rPr>
          <w:rFonts w:ascii="宋体" w:eastAsia="宋体" w:hAnsi="宋体" w:cs="宋体"/>
          <w:spacing w:val="2"/>
        </w:rPr>
        <w:t>/d(</w:t>
      </w:r>
      <w:r>
        <w:rPr>
          <w:rFonts w:ascii="宋体" w:eastAsia="宋体" w:hAnsi="宋体" w:cs="宋体"/>
        </w:rPr>
        <w:t>KCl</w:t>
      </w:r>
      <w:r>
        <w:rPr>
          <w:rFonts w:ascii="宋体" w:eastAsia="宋体" w:hAnsi="宋体" w:cs="宋体"/>
          <w:spacing w:val="2"/>
        </w:rPr>
        <w:t>6g)</w:t>
      </w:r>
      <w:r>
        <w:rPr>
          <w:rFonts w:ascii="宋体" w:eastAsia="宋体" w:hAnsi="宋体" w:cs="宋体"/>
          <w:spacing w:val="31"/>
        </w:rPr>
        <w:t xml:space="preserve">   </w:t>
      </w:r>
      <w:r>
        <w:rPr>
          <w:rFonts w:ascii="宋体" w:eastAsia="宋体" w:hAnsi="宋体" w:cs="宋体"/>
          <w:spacing w:val="2"/>
        </w:rPr>
        <w:t>为宜，若膳食</w:t>
      </w:r>
      <w:r>
        <w:rPr>
          <w:rFonts w:ascii="宋体" w:eastAsia="宋体" w:hAnsi="宋体" w:cs="宋体"/>
        </w:rPr>
        <w:t xml:space="preserve">  </w:t>
      </w:r>
      <w:r>
        <w:rPr>
          <w:rFonts w:ascii="宋体" w:eastAsia="宋体" w:hAnsi="宋体" w:cs="宋体"/>
          <w:spacing w:val="-5"/>
        </w:rPr>
        <w:t>中钾摄入量偏低，可在此基础上适当补充以防缺钾。</w:t>
      </w:r>
    </w:p>
    <w:p w:rsidR="00EA40A3" w:rsidRDefault="00E86C16">
      <w:pPr>
        <w:spacing w:before="82" w:line="261" w:lineRule="auto"/>
        <w:ind w:right="11" w:firstLine="500"/>
        <w:rPr>
          <w:rFonts w:ascii="宋体" w:eastAsia="宋体" w:hAnsi="宋体" w:cs="宋体"/>
        </w:rPr>
      </w:pPr>
      <w:r>
        <w:rPr>
          <w:rFonts w:ascii="宋体" w:eastAsia="宋体" w:hAnsi="宋体" w:cs="宋体"/>
          <w:spacing w:val="1"/>
        </w:rPr>
        <w:t>大部分食物都含有钾，但蔬菜和水果是钾最好的来源。每100g</w:t>
      </w:r>
      <w:r>
        <w:rPr>
          <w:rFonts w:ascii="宋体" w:eastAsia="宋体" w:hAnsi="宋体" w:cs="宋体"/>
          <w:spacing w:val="-40"/>
        </w:rPr>
        <w:t xml:space="preserve"> </w:t>
      </w:r>
      <w:r>
        <w:rPr>
          <w:rFonts w:ascii="宋体" w:eastAsia="宋体" w:hAnsi="宋体" w:cs="宋体"/>
          <w:spacing w:val="1"/>
        </w:rPr>
        <w:t>谷类中含钾</w:t>
      </w:r>
      <w:r>
        <w:rPr>
          <w:rFonts w:ascii="宋体" w:eastAsia="宋体" w:hAnsi="宋体" w:cs="宋体"/>
        </w:rPr>
        <w:t xml:space="preserve"> </w:t>
      </w:r>
      <w:r>
        <w:rPr>
          <w:rFonts w:ascii="宋体" w:eastAsia="宋体" w:hAnsi="宋体" w:cs="宋体"/>
          <w:spacing w:val="-2"/>
        </w:rPr>
        <w:t>100～200mg、</w:t>
      </w:r>
      <w:r>
        <w:rPr>
          <w:rFonts w:ascii="宋体" w:eastAsia="宋体" w:hAnsi="宋体" w:cs="宋体"/>
          <w:spacing w:val="94"/>
        </w:rPr>
        <w:t xml:space="preserve"> </w:t>
      </w:r>
      <w:r>
        <w:rPr>
          <w:rFonts w:ascii="宋体" w:eastAsia="宋体" w:hAnsi="宋体" w:cs="宋体"/>
          <w:spacing w:val="-2"/>
        </w:rPr>
        <w:t>豆类中600～8</w:t>
      </w:r>
      <w:r>
        <w:rPr>
          <w:rFonts w:ascii="宋体" w:eastAsia="宋体" w:hAnsi="宋体" w:cs="宋体"/>
          <w:spacing w:val="-3"/>
        </w:rPr>
        <w:t>00</w:t>
      </w:r>
      <w:r>
        <w:rPr>
          <w:rFonts w:ascii="宋体" w:eastAsia="宋体" w:hAnsi="宋体" w:cs="宋体"/>
          <w:spacing w:val="-2"/>
        </w:rPr>
        <w:t>mg</w:t>
      </w:r>
      <w:r>
        <w:rPr>
          <w:rFonts w:ascii="宋体" w:eastAsia="宋体" w:hAnsi="宋体" w:cs="宋体"/>
          <w:spacing w:val="-3"/>
        </w:rPr>
        <w:t>、</w:t>
      </w:r>
      <w:r>
        <w:rPr>
          <w:rFonts w:ascii="宋体" w:eastAsia="宋体" w:hAnsi="宋体" w:cs="宋体"/>
          <w:spacing w:val="3"/>
        </w:rPr>
        <w:t xml:space="preserve"> </w:t>
      </w:r>
      <w:r>
        <w:rPr>
          <w:rFonts w:ascii="宋体" w:eastAsia="宋体" w:hAnsi="宋体" w:cs="宋体"/>
          <w:spacing w:val="-3"/>
        </w:rPr>
        <w:t>蔬菜和水果中200～500</w:t>
      </w:r>
      <w:r>
        <w:rPr>
          <w:rFonts w:ascii="宋体" w:eastAsia="宋体" w:hAnsi="宋体" w:cs="宋体"/>
          <w:spacing w:val="-2"/>
        </w:rPr>
        <w:t>mg</w:t>
      </w:r>
      <w:r>
        <w:rPr>
          <w:rFonts w:ascii="宋体" w:eastAsia="宋体" w:hAnsi="宋体" w:cs="宋体"/>
          <w:spacing w:val="-3"/>
        </w:rPr>
        <w:t>、</w:t>
      </w:r>
      <w:r>
        <w:rPr>
          <w:rFonts w:ascii="宋体" w:eastAsia="宋体" w:hAnsi="宋体" w:cs="宋体"/>
          <w:spacing w:val="28"/>
        </w:rPr>
        <w:t xml:space="preserve"> </w:t>
      </w:r>
      <w:r>
        <w:rPr>
          <w:rFonts w:ascii="宋体" w:eastAsia="宋体" w:hAnsi="宋体" w:cs="宋体"/>
          <w:spacing w:val="-3"/>
        </w:rPr>
        <w:t>肉类中含量约</w:t>
      </w:r>
      <w:r>
        <w:rPr>
          <w:rFonts w:ascii="宋体" w:eastAsia="宋体" w:hAnsi="宋体" w:cs="宋体"/>
        </w:rPr>
        <w:t xml:space="preserve"> 为150～300mg、</w:t>
      </w:r>
      <w:r>
        <w:rPr>
          <w:rFonts w:ascii="宋体" w:eastAsia="宋体" w:hAnsi="宋体" w:cs="宋体"/>
          <w:spacing w:val="41"/>
        </w:rPr>
        <w:t xml:space="preserve"> </w:t>
      </w:r>
      <w:r>
        <w:rPr>
          <w:rFonts w:ascii="宋体" w:eastAsia="宋体" w:hAnsi="宋体" w:cs="宋体"/>
        </w:rPr>
        <w:t>鱼类中200～300mg。</w:t>
      </w:r>
      <w:r>
        <w:rPr>
          <w:rFonts w:ascii="宋体" w:eastAsia="宋体" w:hAnsi="宋体" w:cs="宋体"/>
          <w:spacing w:val="3"/>
        </w:rPr>
        <w:t xml:space="preserve"> </w:t>
      </w:r>
      <w:r>
        <w:rPr>
          <w:rFonts w:ascii="宋体" w:eastAsia="宋体" w:hAnsi="宋体" w:cs="宋体"/>
        </w:rPr>
        <w:t>每100g</w:t>
      </w:r>
      <w:r>
        <w:rPr>
          <w:rFonts w:ascii="宋体" w:eastAsia="宋体" w:hAnsi="宋体" w:cs="宋体"/>
          <w:spacing w:val="-48"/>
        </w:rPr>
        <w:t xml:space="preserve"> </w:t>
      </w:r>
      <w:r>
        <w:rPr>
          <w:rFonts w:ascii="宋体" w:eastAsia="宋体" w:hAnsi="宋体" w:cs="宋体"/>
        </w:rPr>
        <w:t>食物中含量高于800mg</w:t>
      </w:r>
      <w:r>
        <w:rPr>
          <w:rFonts w:ascii="宋体" w:eastAsia="宋体" w:hAnsi="宋体" w:cs="宋体"/>
          <w:spacing w:val="7"/>
        </w:rPr>
        <w:t xml:space="preserve"> </w:t>
      </w:r>
      <w:r>
        <w:rPr>
          <w:rFonts w:ascii="宋体" w:eastAsia="宋体" w:hAnsi="宋体" w:cs="宋体"/>
        </w:rPr>
        <w:t xml:space="preserve">以上的食 </w:t>
      </w:r>
      <w:r>
        <w:rPr>
          <w:rFonts w:ascii="宋体" w:eastAsia="宋体" w:hAnsi="宋体" w:cs="宋体"/>
          <w:spacing w:val="-2"/>
        </w:rPr>
        <w:t>物有紫菜、黄豆、冬菇、小豆等。常见食物中钾含量见表4-6。</w:t>
      </w:r>
    </w:p>
    <w:p w:rsidR="00EA40A3" w:rsidRDefault="00EA40A3">
      <w:pPr>
        <w:spacing w:line="275" w:lineRule="auto"/>
      </w:pPr>
    </w:p>
    <w:p w:rsidR="00EA40A3" w:rsidRDefault="00E86C16">
      <w:pPr>
        <w:spacing w:before="68" w:line="221" w:lineRule="auto"/>
        <w:ind w:right="331"/>
        <w:jc w:val="right"/>
        <w:rPr>
          <w:rFonts w:ascii="宋体" w:eastAsia="宋体" w:hAnsi="宋体" w:cs="宋体"/>
        </w:rPr>
      </w:pPr>
      <w:r>
        <w:rPr>
          <w:rFonts w:ascii="黑体" w:eastAsia="黑体" w:hAnsi="黑体" w:cs="黑体"/>
          <w:b/>
          <w:bCs/>
          <w:spacing w:val="-18"/>
          <w:w w:val="97"/>
        </w:rPr>
        <w:t>表4-6</w:t>
      </w:r>
      <w:r>
        <w:rPr>
          <w:rFonts w:ascii="黑体" w:eastAsia="黑体" w:hAnsi="黑体" w:cs="黑体"/>
          <w:spacing w:val="69"/>
        </w:rPr>
        <w:t xml:space="preserve"> </w:t>
      </w:r>
      <w:r>
        <w:rPr>
          <w:rFonts w:ascii="黑体" w:eastAsia="黑体" w:hAnsi="黑体" w:cs="黑体"/>
          <w:b/>
          <w:bCs/>
          <w:spacing w:val="-18"/>
          <w:w w:val="97"/>
        </w:rPr>
        <w:t>常见食物中钾含量</w:t>
      </w:r>
      <w:r>
        <w:rPr>
          <w:rFonts w:ascii="黑体" w:eastAsia="黑体" w:hAnsi="黑体" w:cs="黑体"/>
          <w:spacing w:val="3"/>
        </w:rPr>
        <w:t xml:space="preserve">        </w:t>
      </w:r>
      <w:r>
        <w:rPr>
          <w:rFonts w:ascii="宋体" w:eastAsia="宋体" w:hAnsi="宋体" w:cs="宋体"/>
          <w:spacing w:val="-18"/>
          <w:w w:val="97"/>
        </w:rPr>
        <w:t>(单位：mg/100g)</w:t>
      </w:r>
    </w:p>
    <w:p w:rsidR="00EA40A3" w:rsidRDefault="00EA40A3">
      <w:pPr>
        <w:spacing w:line="61" w:lineRule="exact"/>
      </w:pPr>
    </w:p>
    <w:tbl>
      <w:tblPr>
        <w:tblStyle w:val="TableNormal"/>
        <w:tblW w:w="7229" w:type="dxa"/>
        <w:tblInd w:w="6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00"/>
        <w:gridCol w:w="800"/>
        <w:gridCol w:w="1090"/>
        <w:gridCol w:w="720"/>
        <w:gridCol w:w="1005"/>
        <w:gridCol w:w="805"/>
        <w:gridCol w:w="1078"/>
        <w:gridCol w:w="731"/>
      </w:tblGrid>
      <w:tr w:rsidR="00EA40A3">
        <w:trPr>
          <w:trHeight w:val="304"/>
        </w:trPr>
        <w:tc>
          <w:tcPr>
            <w:tcW w:w="1000" w:type="dxa"/>
            <w:tcBorders>
              <w:top w:val="single" w:sz="4" w:space="0" w:color="000000"/>
              <w:bottom w:val="single" w:sz="4" w:space="0" w:color="000000"/>
            </w:tcBorders>
          </w:tcPr>
          <w:p w:rsidR="00EA40A3" w:rsidRDefault="00E86C16">
            <w:pPr>
              <w:spacing w:before="72" w:line="220" w:lineRule="auto"/>
              <w:ind w:left="100"/>
              <w:rPr>
                <w:rFonts w:ascii="宋体" w:eastAsia="宋体" w:hAnsi="宋体" w:cs="宋体"/>
                <w:sz w:val="16"/>
                <w:szCs w:val="16"/>
              </w:rPr>
            </w:pPr>
            <w:r>
              <w:rPr>
                <w:rFonts w:ascii="宋体" w:eastAsia="宋体" w:hAnsi="宋体" w:cs="宋体"/>
                <w:spacing w:val="-2"/>
                <w:sz w:val="16"/>
                <w:szCs w:val="16"/>
              </w:rPr>
              <w:t>食物名称</w:t>
            </w:r>
          </w:p>
        </w:tc>
        <w:tc>
          <w:tcPr>
            <w:tcW w:w="800" w:type="dxa"/>
            <w:tcBorders>
              <w:top w:val="single" w:sz="4" w:space="0" w:color="000000"/>
              <w:bottom w:val="single" w:sz="4" w:space="0" w:color="000000"/>
              <w:right w:val="single" w:sz="4" w:space="0" w:color="000000"/>
            </w:tcBorders>
          </w:tcPr>
          <w:p w:rsidR="00EA40A3" w:rsidRDefault="00E86C16">
            <w:pPr>
              <w:spacing w:before="71" w:line="219" w:lineRule="auto"/>
              <w:ind w:left="260"/>
              <w:rPr>
                <w:rFonts w:ascii="宋体" w:eastAsia="宋体" w:hAnsi="宋体" w:cs="宋体"/>
                <w:sz w:val="16"/>
                <w:szCs w:val="16"/>
              </w:rPr>
            </w:pPr>
            <w:r>
              <w:rPr>
                <w:rFonts w:ascii="宋体" w:eastAsia="宋体" w:hAnsi="宋体" w:cs="宋体"/>
                <w:spacing w:val="-2"/>
                <w:sz w:val="16"/>
                <w:szCs w:val="16"/>
              </w:rPr>
              <w:t>含量</w:t>
            </w:r>
          </w:p>
        </w:tc>
        <w:tc>
          <w:tcPr>
            <w:tcW w:w="1090" w:type="dxa"/>
            <w:tcBorders>
              <w:top w:val="single" w:sz="4" w:space="0" w:color="000000"/>
              <w:left w:val="single" w:sz="4" w:space="0" w:color="000000"/>
              <w:bottom w:val="single" w:sz="4" w:space="0" w:color="000000"/>
            </w:tcBorders>
          </w:tcPr>
          <w:p w:rsidR="00EA40A3" w:rsidRDefault="00E86C16">
            <w:pPr>
              <w:spacing w:before="72" w:line="220" w:lineRule="auto"/>
              <w:ind w:left="105"/>
              <w:rPr>
                <w:rFonts w:ascii="宋体" w:eastAsia="宋体" w:hAnsi="宋体" w:cs="宋体"/>
                <w:sz w:val="16"/>
                <w:szCs w:val="16"/>
              </w:rPr>
            </w:pPr>
            <w:r>
              <w:rPr>
                <w:rFonts w:ascii="宋体" w:eastAsia="宋体" w:hAnsi="宋体" w:cs="宋体"/>
                <w:spacing w:val="-2"/>
                <w:sz w:val="16"/>
                <w:szCs w:val="16"/>
              </w:rPr>
              <w:t>食物名称</w:t>
            </w:r>
          </w:p>
        </w:tc>
        <w:tc>
          <w:tcPr>
            <w:tcW w:w="720" w:type="dxa"/>
            <w:tcBorders>
              <w:top w:val="single" w:sz="4" w:space="0" w:color="000000"/>
              <w:bottom w:val="single" w:sz="4" w:space="0" w:color="000000"/>
              <w:right w:val="single" w:sz="4" w:space="0" w:color="000000"/>
            </w:tcBorders>
          </w:tcPr>
          <w:p w:rsidR="00EA40A3" w:rsidRDefault="00E86C16">
            <w:pPr>
              <w:spacing w:before="51" w:line="219" w:lineRule="auto"/>
              <w:ind w:left="179"/>
              <w:rPr>
                <w:rFonts w:ascii="宋体" w:eastAsia="宋体" w:hAnsi="宋体" w:cs="宋体"/>
                <w:sz w:val="16"/>
                <w:szCs w:val="16"/>
              </w:rPr>
            </w:pPr>
            <w:r>
              <w:rPr>
                <w:rFonts w:ascii="宋体" w:eastAsia="宋体" w:hAnsi="宋体" w:cs="宋体"/>
                <w:spacing w:val="-2"/>
                <w:sz w:val="16"/>
                <w:szCs w:val="16"/>
              </w:rPr>
              <w:t>含量</w:t>
            </w:r>
          </w:p>
        </w:tc>
        <w:tc>
          <w:tcPr>
            <w:tcW w:w="1005" w:type="dxa"/>
            <w:tcBorders>
              <w:top w:val="single" w:sz="4" w:space="0" w:color="000000"/>
              <w:left w:val="single" w:sz="4" w:space="0" w:color="000000"/>
              <w:bottom w:val="single" w:sz="4" w:space="0" w:color="000000"/>
            </w:tcBorders>
          </w:tcPr>
          <w:p w:rsidR="00EA40A3" w:rsidRDefault="00E86C16">
            <w:pPr>
              <w:spacing w:before="82" w:line="220" w:lineRule="auto"/>
              <w:ind w:left="95"/>
              <w:rPr>
                <w:rFonts w:ascii="宋体" w:eastAsia="宋体" w:hAnsi="宋体" w:cs="宋体"/>
                <w:sz w:val="16"/>
                <w:szCs w:val="16"/>
              </w:rPr>
            </w:pPr>
            <w:r>
              <w:rPr>
                <w:rFonts w:ascii="宋体" w:eastAsia="宋体" w:hAnsi="宋体" w:cs="宋体"/>
                <w:spacing w:val="-2"/>
                <w:sz w:val="16"/>
                <w:szCs w:val="16"/>
              </w:rPr>
              <w:t>食物名称</w:t>
            </w:r>
          </w:p>
        </w:tc>
        <w:tc>
          <w:tcPr>
            <w:tcW w:w="805" w:type="dxa"/>
            <w:tcBorders>
              <w:top w:val="single" w:sz="4" w:space="0" w:color="000000"/>
              <w:bottom w:val="single" w:sz="4" w:space="0" w:color="000000"/>
              <w:right w:val="single" w:sz="4" w:space="0" w:color="000000"/>
            </w:tcBorders>
          </w:tcPr>
          <w:p w:rsidR="00EA40A3" w:rsidRDefault="00E86C16">
            <w:pPr>
              <w:spacing w:before="71" w:line="219" w:lineRule="auto"/>
              <w:ind w:left="264"/>
              <w:rPr>
                <w:rFonts w:ascii="宋体" w:eastAsia="宋体" w:hAnsi="宋体" w:cs="宋体"/>
                <w:sz w:val="16"/>
                <w:szCs w:val="16"/>
              </w:rPr>
            </w:pPr>
            <w:r>
              <w:rPr>
                <w:rFonts w:ascii="宋体" w:eastAsia="宋体" w:hAnsi="宋体" w:cs="宋体"/>
                <w:spacing w:val="-2"/>
                <w:sz w:val="16"/>
                <w:szCs w:val="16"/>
              </w:rPr>
              <w:t>含量</w:t>
            </w:r>
          </w:p>
        </w:tc>
        <w:tc>
          <w:tcPr>
            <w:tcW w:w="1078" w:type="dxa"/>
            <w:tcBorders>
              <w:top w:val="single" w:sz="4" w:space="0" w:color="000000"/>
              <w:left w:val="single" w:sz="4" w:space="0" w:color="000000"/>
              <w:bottom w:val="single" w:sz="4" w:space="0" w:color="000000"/>
            </w:tcBorders>
          </w:tcPr>
          <w:p w:rsidR="00EA40A3" w:rsidRDefault="00E86C16">
            <w:pPr>
              <w:spacing w:before="82" w:line="220" w:lineRule="auto"/>
              <w:ind w:left="95"/>
              <w:rPr>
                <w:rFonts w:ascii="宋体" w:eastAsia="宋体" w:hAnsi="宋体" w:cs="宋体"/>
                <w:sz w:val="16"/>
                <w:szCs w:val="16"/>
              </w:rPr>
            </w:pPr>
            <w:r>
              <w:rPr>
                <w:rFonts w:ascii="宋体" w:eastAsia="宋体" w:hAnsi="宋体" w:cs="宋体"/>
                <w:spacing w:val="-2"/>
                <w:sz w:val="16"/>
                <w:szCs w:val="16"/>
              </w:rPr>
              <w:t>食物名称</w:t>
            </w:r>
          </w:p>
        </w:tc>
        <w:tc>
          <w:tcPr>
            <w:tcW w:w="731" w:type="dxa"/>
            <w:tcBorders>
              <w:top w:val="single" w:sz="4" w:space="0" w:color="000000"/>
              <w:bottom w:val="single" w:sz="4" w:space="0" w:color="000000"/>
            </w:tcBorders>
          </w:tcPr>
          <w:p w:rsidR="00EA40A3" w:rsidRDefault="00E86C16">
            <w:pPr>
              <w:spacing w:before="51" w:line="219" w:lineRule="auto"/>
              <w:ind w:left="192"/>
              <w:rPr>
                <w:rFonts w:ascii="宋体" w:eastAsia="宋体" w:hAnsi="宋体" w:cs="宋体"/>
                <w:sz w:val="16"/>
                <w:szCs w:val="16"/>
              </w:rPr>
            </w:pPr>
            <w:r>
              <w:rPr>
                <w:rFonts w:ascii="宋体" w:eastAsia="宋体" w:hAnsi="宋体" w:cs="宋体"/>
                <w:spacing w:val="-2"/>
                <w:sz w:val="16"/>
                <w:szCs w:val="16"/>
              </w:rPr>
              <w:t>含量</w:t>
            </w:r>
          </w:p>
        </w:tc>
      </w:tr>
      <w:tr w:rsidR="00EA40A3">
        <w:trPr>
          <w:trHeight w:val="259"/>
        </w:trPr>
        <w:tc>
          <w:tcPr>
            <w:tcW w:w="1000" w:type="dxa"/>
            <w:tcBorders>
              <w:top w:val="single" w:sz="4" w:space="0" w:color="000000"/>
            </w:tcBorders>
          </w:tcPr>
          <w:p w:rsidR="00EA40A3" w:rsidRDefault="00E86C16">
            <w:pPr>
              <w:spacing w:before="47" w:line="219" w:lineRule="auto"/>
              <w:ind w:left="100"/>
              <w:rPr>
                <w:rFonts w:ascii="宋体" w:eastAsia="宋体" w:hAnsi="宋体" w:cs="宋体"/>
                <w:sz w:val="16"/>
                <w:szCs w:val="16"/>
              </w:rPr>
            </w:pPr>
            <w:r>
              <w:rPr>
                <w:rFonts w:ascii="宋体" w:eastAsia="宋体" w:hAnsi="宋体" w:cs="宋体"/>
                <w:spacing w:val="-3"/>
                <w:sz w:val="16"/>
                <w:szCs w:val="16"/>
              </w:rPr>
              <w:t>紫菜</w:t>
            </w:r>
          </w:p>
        </w:tc>
        <w:tc>
          <w:tcPr>
            <w:tcW w:w="800" w:type="dxa"/>
            <w:tcBorders>
              <w:top w:val="single" w:sz="4" w:space="0" w:color="000000"/>
              <w:right w:val="single" w:sz="4" w:space="0" w:color="000000"/>
            </w:tcBorders>
          </w:tcPr>
          <w:p w:rsidR="00EA40A3" w:rsidRDefault="00E86C16">
            <w:pPr>
              <w:spacing w:before="108" w:line="174" w:lineRule="auto"/>
              <w:ind w:left="269"/>
              <w:rPr>
                <w:rFonts w:ascii="宋体" w:eastAsia="宋体" w:hAnsi="宋体" w:cs="宋体"/>
                <w:sz w:val="16"/>
                <w:szCs w:val="16"/>
              </w:rPr>
            </w:pPr>
            <w:r>
              <w:rPr>
                <w:rFonts w:ascii="宋体" w:eastAsia="宋体" w:hAnsi="宋体" w:cs="宋体"/>
                <w:spacing w:val="-4"/>
                <w:sz w:val="16"/>
                <w:szCs w:val="16"/>
              </w:rPr>
              <w:t>1796</w:t>
            </w:r>
          </w:p>
        </w:tc>
        <w:tc>
          <w:tcPr>
            <w:tcW w:w="1090" w:type="dxa"/>
            <w:tcBorders>
              <w:top w:val="single" w:sz="4" w:space="0" w:color="000000"/>
              <w:left w:val="single" w:sz="4" w:space="0" w:color="000000"/>
            </w:tcBorders>
          </w:tcPr>
          <w:p w:rsidR="00EA40A3" w:rsidRDefault="00E86C16">
            <w:pPr>
              <w:spacing w:before="60" w:line="222" w:lineRule="auto"/>
              <w:ind w:left="105"/>
              <w:rPr>
                <w:rFonts w:ascii="宋体" w:eastAsia="宋体" w:hAnsi="宋体" w:cs="宋体"/>
                <w:sz w:val="16"/>
                <w:szCs w:val="16"/>
              </w:rPr>
            </w:pPr>
            <w:r>
              <w:rPr>
                <w:rFonts w:ascii="宋体" w:eastAsia="宋体" w:hAnsi="宋体" w:cs="宋体"/>
                <w:spacing w:val="-2"/>
                <w:sz w:val="16"/>
                <w:szCs w:val="16"/>
              </w:rPr>
              <w:t>鲳鱼</w:t>
            </w:r>
          </w:p>
        </w:tc>
        <w:tc>
          <w:tcPr>
            <w:tcW w:w="720" w:type="dxa"/>
            <w:tcBorders>
              <w:top w:val="single" w:sz="4" w:space="0" w:color="000000"/>
              <w:right w:val="single" w:sz="4" w:space="0" w:color="000000"/>
            </w:tcBorders>
          </w:tcPr>
          <w:p w:rsidR="00EA40A3" w:rsidRDefault="00E86C16">
            <w:pPr>
              <w:spacing w:before="109" w:line="173" w:lineRule="auto"/>
              <w:ind w:left="229"/>
              <w:rPr>
                <w:rFonts w:ascii="宋体" w:eastAsia="宋体" w:hAnsi="宋体" w:cs="宋体"/>
                <w:sz w:val="16"/>
                <w:szCs w:val="16"/>
              </w:rPr>
            </w:pPr>
            <w:r>
              <w:rPr>
                <w:rFonts w:ascii="宋体" w:eastAsia="宋体" w:hAnsi="宋体" w:cs="宋体"/>
                <w:spacing w:val="-3"/>
                <w:sz w:val="16"/>
                <w:szCs w:val="16"/>
              </w:rPr>
              <w:t>328</w:t>
            </w:r>
          </w:p>
        </w:tc>
        <w:tc>
          <w:tcPr>
            <w:tcW w:w="1005" w:type="dxa"/>
            <w:tcBorders>
              <w:top w:val="single" w:sz="4" w:space="0" w:color="000000"/>
              <w:left w:val="single" w:sz="4" w:space="0" w:color="000000"/>
            </w:tcBorders>
          </w:tcPr>
          <w:p w:rsidR="00EA40A3" w:rsidRDefault="00E86C16">
            <w:pPr>
              <w:spacing w:before="56" w:line="219" w:lineRule="auto"/>
              <w:ind w:left="95"/>
              <w:rPr>
                <w:rFonts w:ascii="宋体" w:eastAsia="宋体" w:hAnsi="宋体" w:cs="宋体"/>
                <w:sz w:val="16"/>
                <w:szCs w:val="16"/>
              </w:rPr>
            </w:pPr>
            <w:r>
              <w:rPr>
                <w:rFonts w:ascii="宋体" w:eastAsia="宋体" w:hAnsi="宋体" w:cs="宋体"/>
                <w:spacing w:val="3"/>
                <w:sz w:val="16"/>
                <w:szCs w:val="16"/>
              </w:rPr>
              <w:t>肥瘦牛肉</w:t>
            </w:r>
          </w:p>
        </w:tc>
        <w:tc>
          <w:tcPr>
            <w:tcW w:w="805" w:type="dxa"/>
            <w:tcBorders>
              <w:top w:val="single" w:sz="4" w:space="0" w:color="000000"/>
              <w:right w:val="single" w:sz="4" w:space="0" w:color="000000"/>
            </w:tcBorders>
          </w:tcPr>
          <w:p w:rsidR="00EA40A3" w:rsidRDefault="00E86C16">
            <w:pPr>
              <w:spacing w:before="97" w:line="184" w:lineRule="auto"/>
              <w:ind w:left="304"/>
              <w:rPr>
                <w:rFonts w:ascii="宋体" w:eastAsia="宋体" w:hAnsi="宋体" w:cs="宋体"/>
                <w:sz w:val="16"/>
                <w:szCs w:val="16"/>
              </w:rPr>
            </w:pPr>
            <w:r>
              <w:rPr>
                <w:rFonts w:ascii="宋体" w:eastAsia="宋体" w:hAnsi="宋体" w:cs="宋体"/>
                <w:spacing w:val="-2"/>
                <w:sz w:val="16"/>
                <w:szCs w:val="16"/>
              </w:rPr>
              <w:t>211</w:t>
            </w:r>
          </w:p>
        </w:tc>
        <w:tc>
          <w:tcPr>
            <w:tcW w:w="1078" w:type="dxa"/>
            <w:tcBorders>
              <w:top w:val="single" w:sz="4" w:space="0" w:color="000000"/>
              <w:left w:val="single" w:sz="4" w:space="0" w:color="000000"/>
            </w:tcBorders>
          </w:tcPr>
          <w:p w:rsidR="00EA40A3" w:rsidRDefault="00E86C16">
            <w:pPr>
              <w:spacing w:before="47" w:line="219" w:lineRule="auto"/>
              <w:ind w:left="95"/>
              <w:rPr>
                <w:rFonts w:ascii="宋体" w:eastAsia="宋体" w:hAnsi="宋体" w:cs="宋体"/>
                <w:sz w:val="16"/>
                <w:szCs w:val="16"/>
              </w:rPr>
            </w:pPr>
            <w:r>
              <w:rPr>
                <w:rFonts w:ascii="宋体" w:eastAsia="宋体" w:hAnsi="宋体" w:cs="宋体"/>
                <w:spacing w:val="-2"/>
                <w:sz w:val="16"/>
                <w:szCs w:val="16"/>
              </w:rPr>
              <w:t>大白菜</w:t>
            </w:r>
          </w:p>
        </w:tc>
        <w:tc>
          <w:tcPr>
            <w:tcW w:w="731" w:type="dxa"/>
            <w:tcBorders>
              <w:top w:val="single" w:sz="4" w:space="0" w:color="000000"/>
            </w:tcBorders>
          </w:tcPr>
          <w:p w:rsidR="00EA40A3" w:rsidRDefault="00E86C16">
            <w:pPr>
              <w:spacing w:before="87" w:line="184" w:lineRule="auto"/>
              <w:ind w:left="251"/>
              <w:rPr>
                <w:rFonts w:ascii="宋体" w:eastAsia="宋体" w:hAnsi="宋体" w:cs="宋体"/>
                <w:sz w:val="16"/>
                <w:szCs w:val="16"/>
              </w:rPr>
            </w:pPr>
            <w:r>
              <w:rPr>
                <w:rFonts w:ascii="宋体" w:eastAsia="宋体" w:hAnsi="宋体" w:cs="宋体"/>
                <w:spacing w:val="-5"/>
                <w:sz w:val="16"/>
                <w:szCs w:val="16"/>
              </w:rPr>
              <w:t>137</w:t>
            </w:r>
          </w:p>
        </w:tc>
      </w:tr>
      <w:tr w:rsidR="00EA40A3">
        <w:trPr>
          <w:trHeight w:val="250"/>
        </w:trPr>
        <w:tc>
          <w:tcPr>
            <w:tcW w:w="1000" w:type="dxa"/>
          </w:tcPr>
          <w:p w:rsidR="00EA40A3" w:rsidRDefault="00E86C16">
            <w:pPr>
              <w:spacing w:before="38" w:line="219" w:lineRule="auto"/>
              <w:ind w:left="100"/>
              <w:rPr>
                <w:rFonts w:ascii="宋体" w:eastAsia="宋体" w:hAnsi="宋体" w:cs="宋体"/>
                <w:sz w:val="16"/>
                <w:szCs w:val="16"/>
              </w:rPr>
            </w:pPr>
            <w:r>
              <w:rPr>
                <w:rFonts w:ascii="宋体" w:eastAsia="宋体" w:hAnsi="宋体" w:cs="宋体"/>
                <w:spacing w:val="-2"/>
                <w:sz w:val="16"/>
                <w:szCs w:val="16"/>
              </w:rPr>
              <w:t>黄豆</w:t>
            </w:r>
          </w:p>
        </w:tc>
        <w:tc>
          <w:tcPr>
            <w:tcW w:w="800" w:type="dxa"/>
            <w:tcBorders>
              <w:right w:val="single" w:sz="4" w:space="0" w:color="000000"/>
            </w:tcBorders>
          </w:tcPr>
          <w:p w:rsidR="00EA40A3" w:rsidRDefault="00E86C16">
            <w:pPr>
              <w:spacing w:before="88" w:line="184" w:lineRule="auto"/>
              <w:ind w:left="260"/>
              <w:rPr>
                <w:rFonts w:ascii="宋体" w:eastAsia="宋体" w:hAnsi="宋体" w:cs="宋体"/>
                <w:sz w:val="16"/>
                <w:szCs w:val="16"/>
              </w:rPr>
            </w:pPr>
            <w:r>
              <w:rPr>
                <w:rFonts w:ascii="宋体" w:eastAsia="宋体" w:hAnsi="宋体" w:cs="宋体"/>
                <w:spacing w:val="-4"/>
                <w:sz w:val="16"/>
                <w:szCs w:val="16"/>
              </w:rPr>
              <w:t>1503</w:t>
            </w:r>
          </w:p>
        </w:tc>
        <w:tc>
          <w:tcPr>
            <w:tcW w:w="1090" w:type="dxa"/>
            <w:tcBorders>
              <w:left w:val="single" w:sz="4" w:space="0" w:color="000000"/>
            </w:tcBorders>
          </w:tcPr>
          <w:p w:rsidR="00EA40A3" w:rsidRDefault="00E86C16">
            <w:pPr>
              <w:spacing w:before="47" w:line="219" w:lineRule="auto"/>
              <w:ind w:left="105"/>
              <w:rPr>
                <w:rFonts w:ascii="宋体" w:eastAsia="宋体" w:hAnsi="宋体" w:cs="宋体"/>
                <w:sz w:val="16"/>
                <w:szCs w:val="16"/>
              </w:rPr>
            </w:pPr>
            <w:r>
              <w:rPr>
                <w:rFonts w:ascii="宋体" w:eastAsia="宋体" w:hAnsi="宋体" w:cs="宋体"/>
                <w:spacing w:val="-2"/>
                <w:sz w:val="16"/>
                <w:szCs w:val="16"/>
              </w:rPr>
              <w:t>青鱼</w:t>
            </w:r>
          </w:p>
        </w:tc>
        <w:tc>
          <w:tcPr>
            <w:tcW w:w="720" w:type="dxa"/>
            <w:tcBorders>
              <w:right w:val="single" w:sz="4" w:space="0" w:color="000000"/>
            </w:tcBorders>
          </w:tcPr>
          <w:p w:rsidR="00EA40A3" w:rsidRDefault="00E86C16">
            <w:pPr>
              <w:spacing w:before="100" w:line="173" w:lineRule="auto"/>
              <w:ind w:left="229"/>
              <w:rPr>
                <w:rFonts w:ascii="宋体" w:eastAsia="宋体" w:hAnsi="宋体" w:cs="宋体"/>
                <w:sz w:val="16"/>
                <w:szCs w:val="16"/>
              </w:rPr>
            </w:pPr>
            <w:r>
              <w:rPr>
                <w:rFonts w:ascii="宋体" w:eastAsia="宋体" w:hAnsi="宋体" w:cs="宋体"/>
                <w:spacing w:val="-3"/>
                <w:sz w:val="16"/>
                <w:szCs w:val="16"/>
              </w:rPr>
              <w:t>325</w:t>
            </w:r>
          </w:p>
        </w:tc>
        <w:tc>
          <w:tcPr>
            <w:tcW w:w="1005" w:type="dxa"/>
            <w:tcBorders>
              <w:left w:val="single" w:sz="4" w:space="0" w:color="000000"/>
            </w:tcBorders>
          </w:tcPr>
          <w:p w:rsidR="00EA40A3" w:rsidRDefault="00E86C16">
            <w:pPr>
              <w:spacing w:before="38" w:line="219" w:lineRule="auto"/>
              <w:ind w:left="95"/>
              <w:rPr>
                <w:rFonts w:ascii="宋体" w:eastAsia="宋体" w:hAnsi="宋体" w:cs="宋体"/>
                <w:sz w:val="16"/>
                <w:szCs w:val="16"/>
              </w:rPr>
            </w:pPr>
            <w:r>
              <w:rPr>
                <w:rFonts w:ascii="宋体" w:eastAsia="宋体" w:hAnsi="宋体" w:cs="宋体"/>
                <w:spacing w:val="-3"/>
                <w:sz w:val="16"/>
                <w:szCs w:val="16"/>
              </w:rPr>
              <w:t>油菜</w:t>
            </w:r>
          </w:p>
        </w:tc>
        <w:tc>
          <w:tcPr>
            <w:tcW w:w="805" w:type="dxa"/>
            <w:tcBorders>
              <w:right w:val="single" w:sz="4" w:space="0" w:color="000000"/>
            </w:tcBorders>
          </w:tcPr>
          <w:p w:rsidR="00EA40A3" w:rsidRDefault="00E86C16">
            <w:pPr>
              <w:spacing w:before="88" w:line="184" w:lineRule="auto"/>
              <w:ind w:left="304"/>
              <w:rPr>
                <w:rFonts w:ascii="宋体" w:eastAsia="宋体" w:hAnsi="宋体" w:cs="宋体"/>
                <w:sz w:val="16"/>
                <w:szCs w:val="16"/>
              </w:rPr>
            </w:pPr>
            <w:r>
              <w:rPr>
                <w:rFonts w:ascii="宋体" w:eastAsia="宋体" w:hAnsi="宋体" w:cs="宋体"/>
                <w:spacing w:val="-2"/>
                <w:sz w:val="16"/>
                <w:szCs w:val="16"/>
              </w:rPr>
              <w:t>210</w:t>
            </w:r>
          </w:p>
        </w:tc>
        <w:tc>
          <w:tcPr>
            <w:tcW w:w="1078" w:type="dxa"/>
            <w:tcBorders>
              <w:left w:val="single" w:sz="4" w:space="0" w:color="000000"/>
            </w:tcBorders>
          </w:tcPr>
          <w:p w:rsidR="00EA40A3" w:rsidRDefault="00E86C16">
            <w:pPr>
              <w:spacing w:before="39" w:line="220" w:lineRule="auto"/>
              <w:ind w:left="95"/>
              <w:rPr>
                <w:rFonts w:ascii="宋体" w:eastAsia="宋体" w:hAnsi="宋体" w:cs="宋体"/>
                <w:sz w:val="16"/>
                <w:szCs w:val="16"/>
              </w:rPr>
            </w:pPr>
            <w:r>
              <w:rPr>
                <w:rFonts w:ascii="宋体" w:eastAsia="宋体" w:hAnsi="宋体" w:cs="宋体"/>
                <w:spacing w:val="-2"/>
                <w:sz w:val="16"/>
                <w:szCs w:val="16"/>
              </w:rPr>
              <w:t>长茄子</w:t>
            </w:r>
          </w:p>
        </w:tc>
        <w:tc>
          <w:tcPr>
            <w:tcW w:w="731" w:type="dxa"/>
          </w:tcPr>
          <w:p w:rsidR="00EA40A3" w:rsidRDefault="00E86C16">
            <w:pPr>
              <w:spacing w:before="78" w:line="184" w:lineRule="auto"/>
              <w:ind w:left="251"/>
              <w:rPr>
                <w:rFonts w:ascii="宋体" w:eastAsia="宋体" w:hAnsi="宋体" w:cs="宋体"/>
                <w:sz w:val="16"/>
                <w:szCs w:val="16"/>
              </w:rPr>
            </w:pPr>
            <w:r>
              <w:rPr>
                <w:rFonts w:ascii="宋体" w:eastAsia="宋体" w:hAnsi="宋体" w:cs="宋体"/>
                <w:spacing w:val="-5"/>
                <w:sz w:val="16"/>
                <w:szCs w:val="16"/>
              </w:rPr>
              <w:t>136</w:t>
            </w:r>
          </w:p>
        </w:tc>
      </w:tr>
      <w:tr w:rsidR="00EA40A3">
        <w:trPr>
          <w:trHeight w:val="255"/>
        </w:trPr>
        <w:tc>
          <w:tcPr>
            <w:tcW w:w="1000" w:type="dxa"/>
          </w:tcPr>
          <w:p w:rsidR="00EA40A3" w:rsidRDefault="00E86C16">
            <w:pPr>
              <w:spacing w:before="48" w:line="219" w:lineRule="auto"/>
              <w:ind w:left="100"/>
              <w:rPr>
                <w:rFonts w:ascii="宋体" w:eastAsia="宋体" w:hAnsi="宋体" w:cs="宋体"/>
                <w:sz w:val="16"/>
                <w:szCs w:val="16"/>
              </w:rPr>
            </w:pPr>
            <w:r>
              <w:rPr>
                <w:rFonts w:ascii="宋体" w:eastAsia="宋体" w:hAnsi="宋体" w:cs="宋体"/>
                <w:spacing w:val="-3"/>
                <w:sz w:val="16"/>
                <w:szCs w:val="16"/>
              </w:rPr>
              <w:t>冬菇</w:t>
            </w:r>
          </w:p>
        </w:tc>
        <w:tc>
          <w:tcPr>
            <w:tcW w:w="800" w:type="dxa"/>
            <w:tcBorders>
              <w:right w:val="single" w:sz="4" w:space="0" w:color="000000"/>
            </w:tcBorders>
          </w:tcPr>
          <w:p w:rsidR="00EA40A3" w:rsidRDefault="00E86C16">
            <w:pPr>
              <w:spacing w:before="109" w:line="168" w:lineRule="auto"/>
              <w:ind w:left="269"/>
              <w:rPr>
                <w:rFonts w:ascii="宋体" w:eastAsia="宋体" w:hAnsi="宋体" w:cs="宋体"/>
                <w:sz w:val="16"/>
                <w:szCs w:val="16"/>
              </w:rPr>
            </w:pPr>
            <w:r>
              <w:rPr>
                <w:rFonts w:ascii="宋体" w:eastAsia="宋体" w:hAnsi="宋体" w:cs="宋体"/>
                <w:spacing w:val="-4"/>
                <w:sz w:val="16"/>
                <w:szCs w:val="16"/>
              </w:rPr>
              <w:t>1155</w:t>
            </w:r>
          </w:p>
        </w:tc>
        <w:tc>
          <w:tcPr>
            <w:tcW w:w="1090" w:type="dxa"/>
            <w:tcBorders>
              <w:left w:val="single" w:sz="4" w:space="0" w:color="000000"/>
            </w:tcBorders>
          </w:tcPr>
          <w:p w:rsidR="00EA40A3" w:rsidRDefault="00E86C16">
            <w:pPr>
              <w:spacing w:before="58" w:line="219" w:lineRule="auto"/>
              <w:ind w:left="105"/>
              <w:rPr>
                <w:rFonts w:ascii="宋体" w:eastAsia="宋体" w:hAnsi="宋体" w:cs="宋体"/>
                <w:sz w:val="16"/>
                <w:szCs w:val="16"/>
              </w:rPr>
            </w:pPr>
            <w:r>
              <w:rPr>
                <w:rFonts w:ascii="宋体" w:eastAsia="宋体" w:hAnsi="宋体" w:cs="宋体"/>
                <w:spacing w:val="5"/>
                <w:sz w:val="16"/>
                <w:szCs w:val="16"/>
              </w:rPr>
              <w:t>瘦猪肉</w:t>
            </w:r>
          </w:p>
        </w:tc>
        <w:tc>
          <w:tcPr>
            <w:tcW w:w="720" w:type="dxa"/>
            <w:tcBorders>
              <w:right w:val="single" w:sz="4" w:space="0" w:color="000000"/>
            </w:tcBorders>
          </w:tcPr>
          <w:p w:rsidR="00EA40A3" w:rsidRDefault="00E86C16">
            <w:pPr>
              <w:spacing w:before="109" w:line="168" w:lineRule="auto"/>
              <w:ind w:left="219"/>
              <w:rPr>
                <w:rFonts w:ascii="宋体" w:eastAsia="宋体" w:hAnsi="宋体" w:cs="宋体"/>
                <w:sz w:val="16"/>
                <w:szCs w:val="16"/>
              </w:rPr>
            </w:pPr>
            <w:r>
              <w:rPr>
                <w:rFonts w:ascii="宋体" w:eastAsia="宋体" w:hAnsi="宋体" w:cs="宋体"/>
                <w:spacing w:val="-2"/>
                <w:sz w:val="16"/>
                <w:szCs w:val="16"/>
              </w:rPr>
              <w:t>295</w:t>
            </w:r>
          </w:p>
        </w:tc>
        <w:tc>
          <w:tcPr>
            <w:tcW w:w="1005" w:type="dxa"/>
            <w:tcBorders>
              <w:left w:val="single" w:sz="4" w:space="0" w:color="000000"/>
            </w:tcBorders>
          </w:tcPr>
          <w:p w:rsidR="00EA40A3" w:rsidRDefault="00E86C16">
            <w:pPr>
              <w:spacing w:before="47" w:line="219" w:lineRule="auto"/>
              <w:ind w:left="95"/>
              <w:rPr>
                <w:rFonts w:ascii="宋体" w:eastAsia="宋体" w:hAnsi="宋体" w:cs="宋体"/>
                <w:sz w:val="16"/>
                <w:szCs w:val="16"/>
              </w:rPr>
            </w:pPr>
            <w:r>
              <w:rPr>
                <w:rFonts w:ascii="宋体" w:eastAsia="宋体" w:hAnsi="宋体" w:cs="宋体"/>
                <w:spacing w:val="9"/>
                <w:sz w:val="16"/>
                <w:szCs w:val="16"/>
              </w:rPr>
              <w:t>豆角</w:t>
            </w:r>
          </w:p>
        </w:tc>
        <w:tc>
          <w:tcPr>
            <w:tcW w:w="805" w:type="dxa"/>
            <w:tcBorders>
              <w:right w:val="single" w:sz="4" w:space="0" w:color="000000"/>
            </w:tcBorders>
          </w:tcPr>
          <w:p w:rsidR="00EA40A3" w:rsidRDefault="00E86C16">
            <w:pPr>
              <w:spacing w:before="109" w:line="168" w:lineRule="auto"/>
              <w:ind w:left="304"/>
              <w:rPr>
                <w:rFonts w:ascii="宋体" w:eastAsia="宋体" w:hAnsi="宋体" w:cs="宋体"/>
                <w:sz w:val="16"/>
                <w:szCs w:val="16"/>
              </w:rPr>
            </w:pPr>
            <w:r>
              <w:rPr>
                <w:rFonts w:ascii="宋体" w:eastAsia="宋体" w:hAnsi="宋体" w:cs="宋体"/>
                <w:spacing w:val="-2"/>
                <w:sz w:val="16"/>
                <w:szCs w:val="16"/>
              </w:rPr>
              <w:t>207</w:t>
            </w:r>
          </w:p>
        </w:tc>
        <w:tc>
          <w:tcPr>
            <w:tcW w:w="1078" w:type="dxa"/>
            <w:tcBorders>
              <w:left w:val="single" w:sz="4" w:space="0" w:color="000000"/>
            </w:tcBorders>
          </w:tcPr>
          <w:p w:rsidR="00EA40A3" w:rsidRDefault="00E86C16">
            <w:pPr>
              <w:spacing w:before="58" w:line="219" w:lineRule="auto"/>
              <w:ind w:left="95"/>
              <w:rPr>
                <w:rFonts w:ascii="宋体" w:eastAsia="宋体" w:hAnsi="宋体" w:cs="宋体"/>
                <w:sz w:val="16"/>
                <w:szCs w:val="16"/>
              </w:rPr>
            </w:pPr>
            <w:r>
              <w:rPr>
                <w:rFonts w:ascii="宋体" w:eastAsia="宋体" w:hAnsi="宋体" w:cs="宋体"/>
                <w:spacing w:val="-2"/>
                <w:sz w:val="16"/>
                <w:szCs w:val="16"/>
              </w:rPr>
              <w:t>甘薯</w:t>
            </w:r>
          </w:p>
        </w:tc>
        <w:tc>
          <w:tcPr>
            <w:tcW w:w="731" w:type="dxa"/>
          </w:tcPr>
          <w:p w:rsidR="00EA40A3" w:rsidRDefault="00E86C16">
            <w:pPr>
              <w:spacing w:before="99" w:line="180" w:lineRule="auto"/>
              <w:ind w:left="262"/>
              <w:rPr>
                <w:rFonts w:ascii="宋体" w:eastAsia="宋体" w:hAnsi="宋体" w:cs="宋体"/>
                <w:sz w:val="16"/>
                <w:szCs w:val="16"/>
              </w:rPr>
            </w:pPr>
            <w:r>
              <w:rPr>
                <w:rFonts w:ascii="宋体" w:eastAsia="宋体" w:hAnsi="宋体" w:cs="宋体"/>
                <w:spacing w:val="-5"/>
                <w:sz w:val="16"/>
                <w:szCs w:val="16"/>
              </w:rPr>
              <w:t>130</w:t>
            </w:r>
          </w:p>
        </w:tc>
      </w:tr>
      <w:tr w:rsidR="00EA40A3">
        <w:trPr>
          <w:trHeight w:val="265"/>
        </w:trPr>
        <w:tc>
          <w:tcPr>
            <w:tcW w:w="1000" w:type="dxa"/>
          </w:tcPr>
          <w:p w:rsidR="00EA40A3" w:rsidRDefault="00E86C16">
            <w:pPr>
              <w:spacing w:before="55" w:line="221" w:lineRule="auto"/>
              <w:ind w:left="100"/>
              <w:rPr>
                <w:rFonts w:ascii="宋体" w:eastAsia="宋体" w:hAnsi="宋体" w:cs="宋体"/>
                <w:sz w:val="16"/>
                <w:szCs w:val="16"/>
              </w:rPr>
            </w:pPr>
            <w:r>
              <w:rPr>
                <w:rFonts w:ascii="宋体" w:eastAsia="宋体" w:hAnsi="宋体" w:cs="宋体"/>
                <w:spacing w:val="-3"/>
                <w:sz w:val="16"/>
                <w:szCs w:val="16"/>
              </w:rPr>
              <w:t>小豆</w:t>
            </w:r>
          </w:p>
        </w:tc>
        <w:tc>
          <w:tcPr>
            <w:tcW w:w="800" w:type="dxa"/>
            <w:tcBorders>
              <w:right w:val="single" w:sz="4" w:space="0" w:color="000000"/>
            </w:tcBorders>
          </w:tcPr>
          <w:p w:rsidR="00EA40A3" w:rsidRDefault="00E86C16">
            <w:pPr>
              <w:spacing w:before="104" w:line="183" w:lineRule="auto"/>
              <w:ind w:left="349"/>
              <w:rPr>
                <w:rFonts w:ascii="宋体" w:eastAsia="宋体" w:hAnsi="宋体" w:cs="宋体"/>
                <w:sz w:val="16"/>
                <w:szCs w:val="16"/>
              </w:rPr>
            </w:pPr>
            <w:r>
              <w:rPr>
                <w:rFonts w:ascii="宋体" w:eastAsia="宋体" w:hAnsi="宋体" w:cs="宋体"/>
                <w:spacing w:val="-2"/>
                <w:sz w:val="16"/>
                <w:szCs w:val="16"/>
              </w:rPr>
              <w:t>860</w:t>
            </w:r>
          </w:p>
        </w:tc>
        <w:tc>
          <w:tcPr>
            <w:tcW w:w="1090" w:type="dxa"/>
            <w:tcBorders>
              <w:left w:val="single" w:sz="4" w:space="0" w:color="000000"/>
            </w:tcBorders>
          </w:tcPr>
          <w:p w:rsidR="00EA40A3" w:rsidRDefault="00E86C16">
            <w:pPr>
              <w:spacing w:before="63" w:line="219" w:lineRule="auto"/>
              <w:ind w:left="105"/>
              <w:rPr>
                <w:rFonts w:ascii="宋体" w:eastAsia="宋体" w:hAnsi="宋体" w:cs="宋体"/>
                <w:sz w:val="16"/>
                <w:szCs w:val="16"/>
              </w:rPr>
            </w:pPr>
            <w:r>
              <w:rPr>
                <w:rFonts w:ascii="宋体" w:eastAsia="宋体" w:hAnsi="宋体" w:cs="宋体"/>
                <w:spacing w:val="-3"/>
                <w:sz w:val="16"/>
                <w:szCs w:val="16"/>
              </w:rPr>
              <w:t>小米</w:t>
            </w:r>
          </w:p>
        </w:tc>
        <w:tc>
          <w:tcPr>
            <w:tcW w:w="720" w:type="dxa"/>
            <w:tcBorders>
              <w:right w:val="single" w:sz="4" w:space="0" w:color="000000"/>
            </w:tcBorders>
          </w:tcPr>
          <w:p w:rsidR="00EA40A3" w:rsidRDefault="00E86C16">
            <w:pPr>
              <w:spacing w:before="115" w:line="173" w:lineRule="auto"/>
              <w:ind w:left="219"/>
              <w:rPr>
                <w:rFonts w:ascii="宋体" w:eastAsia="宋体" w:hAnsi="宋体" w:cs="宋体"/>
                <w:sz w:val="16"/>
                <w:szCs w:val="16"/>
              </w:rPr>
            </w:pPr>
            <w:r>
              <w:rPr>
                <w:rFonts w:ascii="宋体" w:eastAsia="宋体" w:hAnsi="宋体" w:cs="宋体"/>
                <w:spacing w:val="-2"/>
                <w:sz w:val="16"/>
                <w:szCs w:val="16"/>
              </w:rPr>
              <w:t>284</w:t>
            </w:r>
          </w:p>
        </w:tc>
        <w:tc>
          <w:tcPr>
            <w:tcW w:w="1005" w:type="dxa"/>
            <w:tcBorders>
              <w:left w:val="single" w:sz="4" w:space="0" w:color="000000"/>
            </w:tcBorders>
          </w:tcPr>
          <w:p w:rsidR="00EA40A3" w:rsidRDefault="00E86C16">
            <w:pPr>
              <w:spacing w:before="62" w:line="219" w:lineRule="auto"/>
              <w:ind w:left="95"/>
              <w:rPr>
                <w:rFonts w:ascii="宋体" w:eastAsia="宋体" w:hAnsi="宋体" w:cs="宋体"/>
                <w:sz w:val="16"/>
                <w:szCs w:val="16"/>
              </w:rPr>
            </w:pPr>
            <w:r>
              <w:rPr>
                <w:rFonts w:ascii="宋体" w:eastAsia="宋体" w:hAnsi="宋体" w:cs="宋体"/>
                <w:spacing w:val="7"/>
                <w:sz w:val="16"/>
                <w:szCs w:val="16"/>
              </w:rPr>
              <w:t>芹菜(茎)</w:t>
            </w:r>
          </w:p>
        </w:tc>
        <w:tc>
          <w:tcPr>
            <w:tcW w:w="805" w:type="dxa"/>
            <w:tcBorders>
              <w:right w:val="single" w:sz="4" w:space="0" w:color="000000"/>
            </w:tcBorders>
          </w:tcPr>
          <w:p w:rsidR="00EA40A3" w:rsidRDefault="00E86C16">
            <w:pPr>
              <w:spacing w:before="115" w:line="173" w:lineRule="auto"/>
              <w:ind w:left="304"/>
              <w:rPr>
                <w:rFonts w:ascii="宋体" w:eastAsia="宋体" w:hAnsi="宋体" w:cs="宋体"/>
                <w:sz w:val="16"/>
                <w:szCs w:val="16"/>
              </w:rPr>
            </w:pPr>
            <w:r>
              <w:rPr>
                <w:rFonts w:ascii="宋体" w:eastAsia="宋体" w:hAnsi="宋体" w:cs="宋体"/>
                <w:spacing w:val="-2"/>
                <w:sz w:val="16"/>
                <w:szCs w:val="16"/>
              </w:rPr>
              <w:t>206</w:t>
            </w:r>
          </w:p>
        </w:tc>
        <w:tc>
          <w:tcPr>
            <w:tcW w:w="1078" w:type="dxa"/>
            <w:tcBorders>
              <w:left w:val="single" w:sz="4" w:space="0" w:color="000000"/>
            </w:tcBorders>
          </w:tcPr>
          <w:p w:rsidR="00EA40A3" w:rsidRDefault="00E86C16">
            <w:pPr>
              <w:spacing w:before="43" w:line="220" w:lineRule="auto"/>
              <w:ind w:left="95"/>
              <w:rPr>
                <w:rFonts w:ascii="宋体" w:eastAsia="宋体" w:hAnsi="宋体" w:cs="宋体"/>
                <w:sz w:val="16"/>
                <w:szCs w:val="16"/>
              </w:rPr>
            </w:pPr>
            <w:r>
              <w:rPr>
                <w:rFonts w:ascii="宋体" w:eastAsia="宋体" w:hAnsi="宋体" w:cs="宋体"/>
                <w:spacing w:val="-2"/>
                <w:sz w:val="16"/>
                <w:szCs w:val="16"/>
              </w:rPr>
              <w:t>苹果</w:t>
            </w:r>
          </w:p>
        </w:tc>
        <w:tc>
          <w:tcPr>
            <w:tcW w:w="731" w:type="dxa"/>
          </w:tcPr>
          <w:p w:rsidR="00EA40A3" w:rsidRDefault="00E86C16">
            <w:pPr>
              <w:spacing w:before="83" w:line="184" w:lineRule="auto"/>
              <w:ind w:left="251"/>
              <w:rPr>
                <w:rFonts w:ascii="宋体" w:eastAsia="宋体" w:hAnsi="宋体" w:cs="宋体"/>
                <w:sz w:val="16"/>
                <w:szCs w:val="16"/>
              </w:rPr>
            </w:pPr>
            <w:r>
              <w:rPr>
                <w:rFonts w:ascii="宋体" w:eastAsia="宋体" w:hAnsi="宋体" w:cs="宋体"/>
                <w:spacing w:val="-5"/>
                <w:sz w:val="16"/>
                <w:szCs w:val="16"/>
              </w:rPr>
              <w:t>119</w:t>
            </w:r>
          </w:p>
        </w:tc>
      </w:tr>
      <w:tr w:rsidR="00EA40A3">
        <w:trPr>
          <w:trHeight w:val="263"/>
        </w:trPr>
        <w:tc>
          <w:tcPr>
            <w:tcW w:w="1000" w:type="dxa"/>
          </w:tcPr>
          <w:p w:rsidR="00EA40A3" w:rsidRDefault="00E86C16">
            <w:pPr>
              <w:spacing w:before="49" w:line="221" w:lineRule="auto"/>
              <w:ind w:left="100"/>
              <w:rPr>
                <w:rFonts w:ascii="宋体" w:eastAsia="宋体" w:hAnsi="宋体" w:cs="宋体"/>
                <w:sz w:val="16"/>
                <w:szCs w:val="16"/>
              </w:rPr>
            </w:pPr>
            <w:r>
              <w:rPr>
                <w:rFonts w:ascii="宋体" w:eastAsia="宋体" w:hAnsi="宋体" w:cs="宋体"/>
                <w:spacing w:val="-2"/>
                <w:sz w:val="16"/>
                <w:szCs w:val="16"/>
              </w:rPr>
              <w:t>绿豆</w:t>
            </w:r>
          </w:p>
        </w:tc>
        <w:tc>
          <w:tcPr>
            <w:tcW w:w="800" w:type="dxa"/>
            <w:tcBorders>
              <w:right w:val="single" w:sz="4" w:space="0" w:color="000000"/>
            </w:tcBorders>
          </w:tcPr>
          <w:p w:rsidR="00EA40A3" w:rsidRDefault="00E86C16">
            <w:pPr>
              <w:spacing w:before="99" w:line="183" w:lineRule="auto"/>
              <w:ind w:left="349"/>
              <w:rPr>
                <w:rFonts w:ascii="宋体" w:eastAsia="宋体" w:hAnsi="宋体" w:cs="宋体"/>
                <w:sz w:val="16"/>
                <w:szCs w:val="16"/>
              </w:rPr>
            </w:pPr>
            <w:r>
              <w:rPr>
                <w:rFonts w:ascii="宋体" w:eastAsia="宋体" w:hAnsi="宋体" w:cs="宋体"/>
                <w:spacing w:val="-3"/>
                <w:sz w:val="16"/>
                <w:szCs w:val="16"/>
              </w:rPr>
              <w:t>787</w:t>
            </w:r>
          </w:p>
        </w:tc>
        <w:tc>
          <w:tcPr>
            <w:tcW w:w="1090" w:type="dxa"/>
            <w:tcBorders>
              <w:left w:val="single" w:sz="4" w:space="0" w:color="000000"/>
            </w:tcBorders>
          </w:tcPr>
          <w:p w:rsidR="00EA40A3" w:rsidRDefault="00E86C16">
            <w:pPr>
              <w:spacing w:before="58" w:line="219" w:lineRule="auto"/>
              <w:ind w:left="105"/>
              <w:rPr>
                <w:rFonts w:ascii="宋体" w:eastAsia="宋体" w:hAnsi="宋体" w:cs="宋体"/>
                <w:sz w:val="16"/>
                <w:szCs w:val="16"/>
              </w:rPr>
            </w:pPr>
            <w:r>
              <w:rPr>
                <w:rFonts w:ascii="宋体" w:eastAsia="宋体" w:hAnsi="宋体" w:cs="宋体"/>
                <w:spacing w:val="7"/>
                <w:sz w:val="16"/>
                <w:szCs w:val="16"/>
              </w:rPr>
              <w:t>牛肉(瘦)</w:t>
            </w:r>
          </w:p>
        </w:tc>
        <w:tc>
          <w:tcPr>
            <w:tcW w:w="720" w:type="dxa"/>
            <w:tcBorders>
              <w:right w:val="single" w:sz="4" w:space="0" w:color="000000"/>
            </w:tcBorders>
          </w:tcPr>
          <w:p w:rsidR="00EA40A3" w:rsidRDefault="00E86C16">
            <w:pPr>
              <w:spacing w:before="109" w:line="177" w:lineRule="auto"/>
              <w:ind w:left="219"/>
              <w:rPr>
                <w:rFonts w:ascii="宋体" w:eastAsia="宋体" w:hAnsi="宋体" w:cs="宋体"/>
                <w:sz w:val="16"/>
                <w:szCs w:val="16"/>
              </w:rPr>
            </w:pPr>
            <w:r>
              <w:rPr>
                <w:rFonts w:ascii="宋体" w:eastAsia="宋体" w:hAnsi="宋体" w:cs="宋体"/>
                <w:spacing w:val="-2"/>
                <w:sz w:val="16"/>
                <w:szCs w:val="16"/>
              </w:rPr>
              <w:t>284</w:t>
            </w:r>
          </w:p>
        </w:tc>
        <w:tc>
          <w:tcPr>
            <w:tcW w:w="1005" w:type="dxa"/>
            <w:tcBorders>
              <w:left w:val="single" w:sz="4" w:space="0" w:color="000000"/>
            </w:tcBorders>
          </w:tcPr>
          <w:p w:rsidR="00EA40A3" w:rsidRDefault="00E86C16">
            <w:pPr>
              <w:spacing w:before="59" w:line="220" w:lineRule="auto"/>
              <w:ind w:left="95"/>
              <w:rPr>
                <w:rFonts w:ascii="宋体" w:eastAsia="宋体" w:hAnsi="宋体" w:cs="宋体"/>
                <w:sz w:val="16"/>
                <w:szCs w:val="16"/>
              </w:rPr>
            </w:pPr>
            <w:r>
              <w:rPr>
                <w:rFonts w:ascii="宋体" w:eastAsia="宋体" w:hAnsi="宋体" w:cs="宋体"/>
                <w:spacing w:val="7"/>
                <w:sz w:val="16"/>
                <w:szCs w:val="16"/>
              </w:rPr>
              <w:t>猪肉</w:t>
            </w:r>
          </w:p>
        </w:tc>
        <w:tc>
          <w:tcPr>
            <w:tcW w:w="805" w:type="dxa"/>
            <w:tcBorders>
              <w:right w:val="single" w:sz="4" w:space="0" w:color="000000"/>
            </w:tcBorders>
          </w:tcPr>
          <w:p w:rsidR="00EA40A3" w:rsidRDefault="00E86C16">
            <w:pPr>
              <w:spacing w:before="99" w:line="183" w:lineRule="auto"/>
              <w:ind w:left="304"/>
              <w:rPr>
                <w:rFonts w:ascii="宋体" w:eastAsia="宋体" w:hAnsi="宋体" w:cs="宋体"/>
                <w:sz w:val="16"/>
                <w:szCs w:val="16"/>
              </w:rPr>
            </w:pPr>
            <w:r>
              <w:rPr>
                <w:rFonts w:ascii="宋体" w:eastAsia="宋体" w:hAnsi="宋体" w:cs="宋体"/>
                <w:spacing w:val="-2"/>
                <w:sz w:val="16"/>
                <w:szCs w:val="16"/>
              </w:rPr>
              <w:t>204</w:t>
            </w:r>
          </w:p>
        </w:tc>
        <w:tc>
          <w:tcPr>
            <w:tcW w:w="1078" w:type="dxa"/>
            <w:tcBorders>
              <w:left w:val="single" w:sz="4" w:space="0" w:color="000000"/>
            </w:tcBorders>
          </w:tcPr>
          <w:p w:rsidR="00EA40A3" w:rsidRDefault="00E86C16">
            <w:pPr>
              <w:spacing w:before="51" w:line="222" w:lineRule="auto"/>
              <w:ind w:left="95"/>
              <w:rPr>
                <w:rFonts w:ascii="宋体" w:eastAsia="宋体" w:hAnsi="宋体" w:cs="宋体"/>
                <w:sz w:val="16"/>
                <w:szCs w:val="16"/>
              </w:rPr>
            </w:pPr>
            <w:r>
              <w:rPr>
                <w:rFonts w:ascii="宋体" w:eastAsia="宋体" w:hAnsi="宋体" w:cs="宋体"/>
                <w:spacing w:val="-2"/>
                <w:sz w:val="16"/>
                <w:szCs w:val="16"/>
              </w:rPr>
              <w:t>丝瓜</w:t>
            </w:r>
          </w:p>
        </w:tc>
        <w:tc>
          <w:tcPr>
            <w:tcW w:w="731" w:type="dxa"/>
          </w:tcPr>
          <w:p w:rsidR="00EA40A3" w:rsidRDefault="00E86C16">
            <w:pPr>
              <w:spacing w:before="79" w:line="184" w:lineRule="auto"/>
              <w:ind w:left="231"/>
              <w:rPr>
                <w:rFonts w:ascii="宋体" w:eastAsia="宋体" w:hAnsi="宋体" w:cs="宋体"/>
                <w:sz w:val="16"/>
                <w:szCs w:val="16"/>
              </w:rPr>
            </w:pPr>
            <w:r>
              <w:rPr>
                <w:rFonts w:ascii="宋体" w:eastAsia="宋体" w:hAnsi="宋体" w:cs="宋体"/>
                <w:spacing w:val="-5"/>
                <w:sz w:val="16"/>
                <w:szCs w:val="16"/>
              </w:rPr>
              <w:t>115</w:t>
            </w:r>
          </w:p>
        </w:tc>
      </w:tr>
      <w:tr w:rsidR="00EA40A3">
        <w:trPr>
          <w:trHeight w:val="260"/>
        </w:trPr>
        <w:tc>
          <w:tcPr>
            <w:tcW w:w="1000" w:type="dxa"/>
          </w:tcPr>
          <w:p w:rsidR="00EA40A3" w:rsidRDefault="00E86C16">
            <w:pPr>
              <w:spacing w:before="46" w:line="220" w:lineRule="auto"/>
              <w:ind w:left="100"/>
              <w:rPr>
                <w:rFonts w:ascii="宋体" w:eastAsia="宋体" w:hAnsi="宋体" w:cs="宋体"/>
                <w:sz w:val="16"/>
                <w:szCs w:val="16"/>
              </w:rPr>
            </w:pPr>
            <w:r>
              <w:rPr>
                <w:rFonts w:ascii="宋体" w:eastAsia="宋体" w:hAnsi="宋体" w:cs="宋体"/>
                <w:spacing w:val="-3"/>
                <w:sz w:val="16"/>
                <w:szCs w:val="16"/>
              </w:rPr>
              <w:t>黑木耳</w:t>
            </w:r>
          </w:p>
        </w:tc>
        <w:tc>
          <w:tcPr>
            <w:tcW w:w="800" w:type="dxa"/>
            <w:tcBorders>
              <w:right w:val="single" w:sz="4" w:space="0" w:color="000000"/>
            </w:tcBorders>
          </w:tcPr>
          <w:p w:rsidR="00EA40A3" w:rsidRDefault="00E86C16">
            <w:pPr>
              <w:spacing w:before="97" w:line="182" w:lineRule="auto"/>
              <w:ind w:left="349"/>
              <w:rPr>
                <w:rFonts w:ascii="宋体" w:eastAsia="宋体" w:hAnsi="宋体" w:cs="宋体"/>
                <w:sz w:val="16"/>
                <w:szCs w:val="16"/>
              </w:rPr>
            </w:pPr>
            <w:r>
              <w:rPr>
                <w:rFonts w:ascii="宋体" w:eastAsia="宋体" w:hAnsi="宋体" w:cs="宋体"/>
                <w:spacing w:val="-3"/>
                <w:sz w:val="16"/>
                <w:szCs w:val="16"/>
              </w:rPr>
              <w:t>757</w:t>
            </w:r>
          </w:p>
        </w:tc>
        <w:tc>
          <w:tcPr>
            <w:tcW w:w="1090" w:type="dxa"/>
            <w:tcBorders>
              <w:left w:val="single" w:sz="4" w:space="0" w:color="000000"/>
            </w:tcBorders>
          </w:tcPr>
          <w:p w:rsidR="00EA40A3" w:rsidRDefault="00E86C16">
            <w:pPr>
              <w:spacing w:before="45" w:line="219" w:lineRule="auto"/>
              <w:ind w:left="105"/>
              <w:rPr>
                <w:rFonts w:ascii="宋体" w:eastAsia="宋体" w:hAnsi="宋体" w:cs="宋体"/>
                <w:sz w:val="16"/>
                <w:szCs w:val="16"/>
              </w:rPr>
            </w:pPr>
            <w:r>
              <w:rPr>
                <w:rFonts w:ascii="宋体" w:eastAsia="宋体" w:hAnsi="宋体" w:cs="宋体"/>
                <w:spacing w:val="-3"/>
                <w:sz w:val="16"/>
                <w:szCs w:val="16"/>
              </w:rPr>
              <w:t>带鱼</w:t>
            </w:r>
          </w:p>
        </w:tc>
        <w:tc>
          <w:tcPr>
            <w:tcW w:w="720" w:type="dxa"/>
            <w:tcBorders>
              <w:right w:val="single" w:sz="4" w:space="0" w:color="000000"/>
            </w:tcBorders>
          </w:tcPr>
          <w:p w:rsidR="00EA40A3" w:rsidRDefault="00E86C16">
            <w:pPr>
              <w:spacing w:before="126" w:line="133" w:lineRule="exact"/>
              <w:ind w:left="229"/>
              <w:rPr>
                <w:rFonts w:ascii="宋体" w:eastAsia="宋体" w:hAnsi="宋体" w:cs="宋体"/>
                <w:sz w:val="16"/>
                <w:szCs w:val="16"/>
              </w:rPr>
            </w:pPr>
            <w:r>
              <w:rPr>
                <w:rFonts w:ascii="宋体" w:eastAsia="宋体" w:hAnsi="宋体" w:cs="宋体"/>
                <w:spacing w:val="-2"/>
                <w:position w:val="-2"/>
                <w:sz w:val="16"/>
                <w:szCs w:val="16"/>
              </w:rPr>
              <w:t>280</w:t>
            </w:r>
          </w:p>
        </w:tc>
        <w:tc>
          <w:tcPr>
            <w:tcW w:w="1005" w:type="dxa"/>
            <w:tcBorders>
              <w:left w:val="single" w:sz="4" w:space="0" w:color="000000"/>
            </w:tcBorders>
          </w:tcPr>
          <w:p w:rsidR="00EA40A3" w:rsidRDefault="00E86C16">
            <w:pPr>
              <w:spacing w:before="54" w:line="219" w:lineRule="auto"/>
              <w:ind w:left="95"/>
              <w:rPr>
                <w:rFonts w:ascii="宋体" w:eastAsia="宋体" w:hAnsi="宋体" w:cs="宋体"/>
                <w:sz w:val="16"/>
                <w:szCs w:val="16"/>
              </w:rPr>
            </w:pPr>
            <w:r>
              <w:rPr>
                <w:rFonts w:ascii="宋体" w:eastAsia="宋体" w:hAnsi="宋体" w:cs="宋体"/>
                <w:spacing w:val="9"/>
                <w:sz w:val="16"/>
                <w:szCs w:val="16"/>
              </w:rPr>
              <w:t>胡萝卜</w:t>
            </w:r>
          </w:p>
        </w:tc>
        <w:tc>
          <w:tcPr>
            <w:tcW w:w="805" w:type="dxa"/>
            <w:tcBorders>
              <w:right w:val="single" w:sz="4" w:space="0" w:color="000000"/>
            </w:tcBorders>
          </w:tcPr>
          <w:p w:rsidR="00EA40A3" w:rsidRDefault="00E86C16">
            <w:pPr>
              <w:spacing w:before="105" w:line="178" w:lineRule="auto"/>
              <w:ind w:left="315"/>
              <w:rPr>
                <w:rFonts w:ascii="宋体" w:eastAsia="宋体" w:hAnsi="宋体" w:cs="宋体"/>
                <w:sz w:val="16"/>
                <w:szCs w:val="16"/>
              </w:rPr>
            </w:pPr>
            <w:r>
              <w:rPr>
                <w:rFonts w:ascii="宋体" w:eastAsia="宋体" w:hAnsi="宋体" w:cs="宋体"/>
                <w:spacing w:val="-5"/>
                <w:sz w:val="16"/>
                <w:szCs w:val="16"/>
              </w:rPr>
              <w:t>193</w:t>
            </w:r>
          </w:p>
        </w:tc>
        <w:tc>
          <w:tcPr>
            <w:tcW w:w="1078" w:type="dxa"/>
            <w:tcBorders>
              <w:left w:val="single" w:sz="4" w:space="0" w:color="000000"/>
            </w:tcBorders>
          </w:tcPr>
          <w:p w:rsidR="00EA40A3" w:rsidRDefault="00E86C16">
            <w:pPr>
              <w:spacing w:before="65" w:line="219" w:lineRule="auto"/>
              <w:ind w:left="95"/>
              <w:rPr>
                <w:rFonts w:ascii="宋体" w:eastAsia="宋体" w:hAnsi="宋体" w:cs="宋体"/>
                <w:sz w:val="16"/>
                <w:szCs w:val="16"/>
              </w:rPr>
            </w:pPr>
            <w:r>
              <w:rPr>
                <w:rFonts w:ascii="宋体" w:eastAsia="宋体" w:hAnsi="宋体" w:cs="宋体"/>
                <w:spacing w:val="-2"/>
                <w:sz w:val="16"/>
                <w:szCs w:val="16"/>
              </w:rPr>
              <w:t>八宝菜</w:t>
            </w:r>
          </w:p>
        </w:tc>
        <w:tc>
          <w:tcPr>
            <w:tcW w:w="731" w:type="dxa"/>
          </w:tcPr>
          <w:p w:rsidR="00EA40A3" w:rsidRDefault="00E86C16">
            <w:pPr>
              <w:spacing w:before="86" w:line="184" w:lineRule="auto"/>
              <w:ind w:left="231"/>
              <w:rPr>
                <w:rFonts w:ascii="宋体" w:eastAsia="宋体" w:hAnsi="宋体" w:cs="宋体"/>
                <w:sz w:val="16"/>
                <w:szCs w:val="16"/>
              </w:rPr>
            </w:pPr>
            <w:r>
              <w:rPr>
                <w:rFonts w:ascii="宋体" w:eastAsia="宋体" w:hAnsi="宋体" w:cs="宋体"/>
                <w:spacing w:val="-5"/>
                <w:sz w:val="16"/>
                <w:szCs w:val="16"/>
              </w:rPr>
              <w:t>109</w:t>
            </w:r>
          </w:p>
        </w:tc>
      </w:tr>
      <w:tr w:rsidR="00EA40A3">
        <w:trPr>
          <w:trHeight w:val="254"/>
        </w:trPr>
        <w:tc>
          <w:tcPr>
            <w:tcW w:w="1000" w:type="dxa"/>
          </w:tcPr>
          <w:p w:rsidR="00EA40A3" w:rsidRDefault="00E86C16">
            <w:pPr>
              <w:spacing w:before="46" w:line="220" w:lineRule="auto"/>
              <w:ind w:left="100"/>
              <w:rPr>
                <w:rFonts w:ascii="宋体" w:eastAsia="宋体" w:hAnsi="宋体" w:cs="宋体"/>
                <w:sz w:val="16"/>
                <w:szCs w:val="16"/>
              </w:rPr>
            </w:pPr>
            <w:r>
              <w:rPr>
                <w:rFonts w:ascii="宋体" w:eastAsia="宋体" w:hAnsi="宋体" w:cs="宋体"/>
                <w:spacing w:val="-2"/>
                <w:sz w:val="16"/>
                <w:szCs w:val="16"/>
              </w:rPr>
              <w:t>花生仁</w:t>
            </w:r>
          </w:p>
        </w:tc>
        <w:tc>
          <w:tcPr>
            <w:tcW w:w="800" w:type="dxa"/>
            <w:tcBorders>
              <w:right w:val="single" w:sz="4" w:space="0" w:color="000000"/>
            </w:tcBorders>
          </w:tcPr>
          <w:p w:rsidR="00EA40A3" w:rsidRDefault="00E86C16">
            <w:pPr>
              <w:spacing w:before="97" w:line="181" w:lineRule="auto"/>
              <w:ind w:left="349"/>
              <w:rPr>
                <w:rFonts w:ascii="宋体" w:eastAsia="宋体" w:hAnsi="宋体" w:cs="宋体"/>
                <w:sz w:val="16"/>
                <w:szCs w:val="16"/>
              </w:rPr>
            </w:pPr>
            <w:r>
              <w:rPr>
                <w:rFonts w:ascii="宋体" w:eastAsia="宋体" w:hAnsi="宋体" w:cs="宋体"/>
                <w:spacing w:val="-3"/>
                <w:sz w:val="16"/>
                <w:szCs w:val="16"/>
              </w:rPr>
              <w:t>587</w:t>
            </w:r>
          </w:p>
        </w:tc>
        <w:tc>
          <w:tcPr>
            <w:tcW w:w="1090" w:type="dxa"/>
            <w:tcBorders>
              <w:left w:val="single" w:sz="4" w:space="0" w:color="000000"/>
            </w:tcBorders>
          </w:tcPr>
          <w:p w:rsidR="00EA40A3" w:rsidRDefault="00E86C16">
            <w:pPr>
              <w:spacing w:before="55" w:line="219" w:lineRule="auto"/>
              <w:ind w:left="105"/>
              <w:rPr>
                <w:rFonts w:ascii="宋体" w:eastAsia="宋体" w:hAnsi="宋体" w:cs="宋体"/>
                <w:sz w:val="16"/>
                <w:szCs w:val="16"/>
              </w:rPr>
            </w:pPr>
            <w:r>
              <w:rPr>
                <w:rFonts w:ascii="宋体" w:eastAsia="宋体" w:hAnsi="宋体" w:cs="宋体"/>
                <w:spacing w:val="-2"/>
                <w:sz w:val="16"/>
                <w:szCs w:val="16"/>
              </w:rPr>
              <w:t>黄鳝</w:t>
            </w:r>
          </w:p>
        </w:tc>
        <w:tc>
          <w:tcPr>
            <w:tcW w:w="720" w:type="dxa"/>
            <w:tcBorders>
              <w:right w:val="single" w:sz="4" w:space="0" w:color="000000"/>
            </w:tcBorders>
          </w:tcPr>
          <w:p w:rsidR="00EA40A3" w:rsidRDefault="00E86C16">
            <w:pPr>
              <w:spacing w:before="106" w:line="170" w:lineRule="auto"/>
              <w:ind w:left="229"/>
              <w:rPr>
                <w:rFonts w:ascii="宋体" w:eastAsia="宋体" w:hAnsi="宋体" w:cs="宋体"/>
                <w:sz w:val="16"/>
                <w:szCs w:val="16"/>
              </w:rPr>
            </w:pPr>
            <w:r>
              <w:rPr>
                <w:rFonts w:ascii="宋体" w:eastAsia="宋体" w:hAnsi="宋体" w:cs="宋体"/>
                <w:spacing w:val="-2"/>
                <w:sz w:val="16"/>
                <w:szCs w:val="16"/>
              </w:rPr>
              <w:t>278</w:t>
            </w:r>
          </w:p>
        </w:tc>
        <w:tc>
          <w:tcPr>
            <w:tcW w:w="1005" w:type="dxa"/>
            <w:tcBorders>
              <w:left w:val="single" w:sz="4" w:space="0" w:color="000000"/>
            </w:tcBorders>
          </w:tcPr>
          <w:p w:rsidR="00EA40A3" w:rsidRDefault="00E86C16">
            <w:pPr>
              <w:spacing w:before="55" w:line="219" w:lineRule="auto"/>
              <w:ind w:left="95"/>
              <w:rPr>
                <w:rFonts w:ascii="宋体" w:eastAsia="宋体" w:hAnsi="宋体" w:cs="宋体"/>
                <w:sz w:val="16"/>
                <w:szCs w:val="16"/>
              </w:rPr>
            </w:pPr>
            <w:r>
              <w:rPr>
                <w:rFonts w:ascii="宋体" w:eastAsia="宋体" w:hAnsi="宋体" w:cs="宋体"/>
                <w:spacing w:val="-2"/>
                <w:sz w:val="16"/>
                <w:szCs w:val="16"/>
              </w:rPr>
              <w:t>标准粉</w:t>
            </w:r>
          </w:p>
        </w:tc>
        <w:tc>
          <w:tcPr>
            <w:tcW w:w="805" w:type="dxa"/>
            <w:tcBorders>
              <w:right w:val="single" w:sz="4" w:space="0" w:color="000000"/>
            </w:tcBorders>
          </w:tcPr>
          <w:p w:rsidR="00EA40A3" w:rsidRDefault="00E86C16">
            <w:pPr>
              <w:spacing w:before="105" w:line="171" w:lineRule="auto"/>
              <w:ind w:left="315"/>
              <w:rPr>
                <w:rFonts w:ascii="宋体" w:eastAsia="宋体" w:hAnsi="宋体" w:cs="宋体"/>
                <w:sz w:val="16"/>
                <w:szCs w:val="16"/>
              </w:rPr>
            </w:pPr>
            <w:r>
              <w:rPr>
                <w:rFonts w:ascii="宋体" w:eastAsia="宋体" w:hAnsi="宋体" w:cs="宋体"/>
                <w:spacing w:val="-5"/>
                <w:sz w:val="16"/>
                <w:szCs w:val="16"/>
              </w:rPr>
              <w:t>190</w:t>
            </w:r>
          </w:p>
        </w:tc>
        <w:tc>
          <w:tcPr>
            <w:tcW w:w="1078" w:type="dxa"/>
            <w:tcBorders>
              <w:left w:val="single" w:sz="4" w:space="0" w:color="000000"/>
            </w:tcBorders>
          </w:tcPr>
          <w:p w:rsidR="00EA40A3" w:rsidRDefault="00E86C16">
            <w:pPr>
              <w:spacing w:before="56" w:line="221" w:lineRule="auto"/>
              <w:ind w:left="95"/>
              <w:rPr>
                <w:rFonts w:ascii="宋体" w:eastAsia="宋体" w:hAnsi="宋体" w:cs="宋体"/>
                <w:sz w:val="16"/>
                <w:szCs w:val="16"/>
              </w:rPr>
            </w:pPr>
            <w:r>
              <w:rPr>
                <w:rFonts w:ascii="宋体" w:eastAsia="宋体" w:hAnsi="宋体" w:cs="宋体"/>
                <w:spacing w:val="-3"/>
                <w:sz w:val="16"/>
                <w:szCs w:val="16"/>
              </w:rPr>
              <w:t>牛乳</w:t>
            </w:r>
          </w:p>
        </w:tc>
        <w:tc>
          <w:tcPr>
            <w:tcW w:w="731" w:type="dxa"/>
          </w:tcPr>
          <w:p w:rsidR="00EA40A3" w:rsidRDefault="00E86C16">
            <w:pPr>
              <w:spacing w:before="96" w:line="182" w:lineRule="auto"/>
              <w:ind w:left="242"/>
              <w:rPr>
                <w:rFonts w:ascii="宋体" w:eastAsia="宋体" w:hAnsi="宋体" w:cs="宋体"/>
                <w:sz w:val="16"/>
                <w:szCs w:val="16"/>
              </w:rPr>
            </w:pPr>
            <w:r>
              <w:rPr>
                <w:rFonts w:ascii="宋体" w:eastAsia="宋体" w:hAnsi="宋体" w:cs="宋体"/>
                <w:spacing w:val="-5"/>
                <w:sz w:val="16"/>
                <w:szCs w:val="16"/>
              </w:rPr>
              <w:t>109</w:t>
            </w:r>
          </w:p>
        </w:tc>
      </w:tr>
      <w:tr w:rsidR="00EA40A3">
        <w:trPr>
          <w:trHeight w:val="249"/>
        </w:trPr>
        <w:tc>
          <w:tcPr>
            <w:tcW w:w="1000" w:type="dxa"/>
          </w:tcPr>
          <w:p w:rsidR="00EA40A3" w:rsidRDefault="00E86C16">
            <w:pPr>
              <w:spacing w:before="50" w:line="219" w:lineRule="auto"/>
              <w:ind w:left="100"/>
              <w:rPr>
                <w:rFonts w:ascii="宋体" w:eastAsia="宋体" w:hAnsi="宋体" w:cs="宋体"/>
                <w:sz w:val="16"/>
                <w:szCs w:val="16"/>
              </w:rPr>
            </w:pPr>
            <w:r>
              <w:rPr>
                <w:rFonts w:ascii="宋体" w:eastAsia="宋体" w:hAnsi="宋体" w:cs="宋体"/>
                <w:spacing w:val="8"/>
                <w:sz w:val="16"/>
                <w:szCs w:val="16"/>
              </w:rPr>
              <w:t>枣(干)</w:t>
            </w:r>
          </w:p>
        </w:tc>
        <w:tc>
          <w:tcPr>
            <w:tcW w:w="800" w:type="dxa"/>
            <w:tcBorders>
              <w:right w:val="single" w:sz="4" w:space="0" w:color="000000"/>
            </w:tcBorders>
          </w:tcPr>
          <w:p w:rsidR="00EA40A3" w:rsidRDefault="00E86C16">
            <w:pPr>
              <w:spacing w:before="112" w:line="158" w:lineRule="auto"/>
              <w:ind w:left="349"/>
              <w:rPr>
                <w:rFonts w:ascii="宋体" w:eastAsia="宋体" w:hAnsi="宋体" w:cs="宋体"/>
                <w:sz w:val="16"/>
                <w:szCs w:val="16"/>
              </w:rPr>
            </w:pPr>
            <w:r>
              <w:rPr>
                <w:rFonts w:ascii="宋体" w:eastAsia="宋体" w:hAnsi="宋体" w:cs="宋体"/>
                <w:spacing w:val="-3"/>
                <w:sz w:val="16"/>
                <w:szCs w:val="16"/>
              </w:rPr>
              <w:t>521</w:t>
            </w:r>
          </w:p>
        </w:tc>
        <w:tc>
          <w:tcPr>
            <w:tcW w:w="1090" w:type="dxa"/>
            <w:tcBorders>
              <w:left w:val="single" w:sz="4" w:space="0" w:color="000000"/>
            </w:tcBorders>
          </w:tcPr>
          <w:p w:rsidR="00EA40A3" w:rsidRDefault="00E86C16">
            <w:pPr>
              <w:spacing w:before="55" w:line="223" w:lineRule="auto"/>
              <w:ind w:left="105"/>
              <w:rPr>
                <w:rFonts w:ascii="宋体" w:eastAsia="宋体" w:hAnsi="宋体" w:cs="宋体"/>
                <w:sz w:val="16"/>
                <w:szCs w:val="16"/>
              </w:rPr>
            </w:pPr>
            <w:r>
              <w:rPr>
                <w:rFonts w:ascii="宋体" w:eastAsia="宋体" w:hAnsi="宋体" w:cs="宋体"/>
                <w:spacing w:val="-2"/>
                <w:sz w:val="16"/>
                <w:szCs w:val="16"/>
              </w:rPr>
              <w:t>鲢鱼</w:t>
            </w:r>
          </w:p>
        </w:tc>
        <w:tc>
          <w:tcPr>
            <w:tcW w:w="720" w:type="dxa"/>
            <w:tcBorders>
              <w:right w:val="single" w:sz="4" w:space="0" w:color="000000"/>
            </w:tcBorders>
          </w:tcPr>
          <w:p w:rsidR="00EA40A3" w:rsidRDefault="00E86C16">
            <w:pPr>
              <w:spacing w:before="102" w:line="169" w:lineRule="auto"/>
              <w:ind w:left="219"/>
              <w:rPr>
                <w:rFonts w:ascii="宋体" w:eastAsia="宋体" w:hAnsi="宋体" w:cs="宋体"/>
                <w:sz w:val="16"/>
                <w:szCs w:val="16"/>
              </w:rPr>
            </w:pPr>
            <w:r>
              <w:rPr>
                <w:rFonts w:ascii="宋体" w:eastAsia="宋体" w:hAnsi="宋体" w:cs="宋体"/>
                <w:spacing w:val="-2"/>
                <w:sz w:val="16"/>
                <w:szCs w:val="16"/>
              </w:rPr>
              <w:t>277</w:t>
            </w:r>
          </w:p>
        </w:tc>
        <w:tc>
          <w:tcPr>
            <w:tcW w:w="1005" w:type="dxa"/>
            <w:tcBorders>
              <w:left w:val="single" w:sz="4" w:space="0" w:color="000000"/>
            </w:tcBorders>
          </w:tcPr>
          <w:p w:rsidR="00EA40A3" w:rsidRDefault="00E86C16">
            <w:pPr>
              <w:spacing w:before="61" w:line="216" w:lineRule="auto"/>
              <w:ind w:left="95"/>
              <w:rPr>
                <w:rFonts w:ascii="宋体" w:eastAsia="宋体" w:hAnsi="宋体" w:cs="宋体"/>
                <w:sz w:val="16"/>
                <w:szCs w:val="16"/>
              </w:rPr>
            </w:pPr>
            <w:r>
              <w:rPr>
                <w:rFonts w:ascii="宋体" w:eastAsia="宋体" w:hAnsi="宋体" w:cs="宋体"/>
                <w:spacing w:val="-2"/>
                <w:sz w:val="16"/>
                <w:szCs w:val="16"/>
              </w:rPr>
              <w:t>标二稻米</w:t>
            </w:r>
          </w:p>
        </w:tc>
        <w:tc>
          <w:tcPr>
            <w:tcW w:w="805" w:type="dxa"/>
            <w:tcBorders>
              <w:right w:val="single" w:sz="4" w:space="0" w:color="000000"/>
            </w:tcBorders>
          </w:tcPr>
          <w:p w:rsidR="00EA40A3" w:rsidRDefault="00E86C16">
            <w:pPr>
              <w:spacing w:before="92" w:line="181" w:lineRule="auto"/>
              <w:ind w:left="315"/>
              <w:rPr>
                <w:rFonts w:ascii="宋体" w:eastAsia="宋体" w:hAnsi="宋体" w:cs="宋体"/>
                <w:sz w:val="16"/>
                <w:szCs w:val="16"/>
              </w:rPr>
            </w:pPr>
            <w:r>
              <w:rPr>
                <w:rFonts w:ascii="宋体" w:eastAsia="宋体" w:hAnsi="宋体" w:cs="宋体"/>
                <w:spacing w:val="-5"/>
                <w:sz w:val="16"/>
                <w:szCs w:val="16"/>
              </w:rPr>
              <w:t>171</w:t>
            </w:r>
          </w:p>
        </w:tc>
        <w:tc>
          <w:tcPr>
            <w:tcW w:w="1078" w:type="dxa"/>
            <w:tcBorders>
              <w:left w:val="single" w:sz="4" w:space="0" w:color="000000"/>
            </w:tcBorders>
          </w:tcPr>
          <w:p w:rsidR="00EA40A3" w:rsidRDefault="00E86C16">
            <w:pPr>
              <w:spacing w:before="51" w:line="219" w:lineRule="auto"/>
              <w:ind w:left="95"/>
              <w:rPr>
                <w:rFonts w:ascii="宋体" w:eastAsia="宋体" w:hAnsi="宋体" w:cs="宋体"/>
                <w:sz w:val="16"/>
                <w:szCs w:val="16"/>
              </w:rPr>
            </w:pPr>
            <w:r>
              <w:rPr>
                <w:rFonts w:ascii="宋体" w:eastAsia="宋体" w:hAnsi="宋体" w:cs="宋体"/>
                <w:spacing w:val="-3"/>
                <w:sz w:val="16"/>
                <w:szCs w:val="16"/>
              </w:rPr>
              <w:t>发菜</w:t>
            </w:r>
          </w:p>
        </w:tc>
        <w:tc>
          <w:tcPr>
            <w:tcW w:w="731" w:type="dxa"/>
          </w:tcPr>
          <w:p w:rsidR="00EA40A3" w:rsidRDefault="00E86C16">
            <w:pPr>
              <w:spacing w:before="92" w:line="181" w:lineRule="auto"/>
              <w:ind w:left="251"/>
              <w:rPr>
                <w:rFonts w:ascii="宋体" w:eastAsia="宋体" w:hAnsi="宋体" w:cs="宋体"/>
                <w:sz w:val="16"/>
                <w:szCs w:val="16"/>
              </w:rPr>
            </w:pPr>
            <w:r>
              <w:rPr>
                <w:rFonts w:ascii="宋体" w:eastAsia="宋体" w:hAnsi="宋体" w:cs="宋体"/>
                <w:spacing w:val="-5"/>
                <w:sz w:val="16"/>
                <w:szCs w:val="16"/>
              </w:rPr>
              <w:t>108</w:t>
            </w:r>
          </w:p>
        </w:tc>
      </w:tr>
      <w:tr w:rsidR="00EA40A3">
        <w:trPr>
          <w:trHeight w:val="273"/>
        </w:trPr>
        <w:tc>
          <w:tcPr>
            <w:tcW w:w="1000" w:type="dxa"/>
          </w:tcPr>
          <w:p w:rsidR="00EA40A3" w:rsidRDefault="00E86C16">
            <w:pPr>
              <w:spacing w:before="69" w:line="227" w:lineRule="auto"/>
              <w:ind w:left="100"/>
              <w:rPr>
                <w:rFonts w:ascii="宋体" w:eastAsia="宋体" w:hAnsi="宋体" w:cs="宋体"/>
                <w:sz w:val="16"/>
                <w:szCs w:val="16"/>
              </w:rPr>
            </w:pPr>
            <w:r>
              <w:rPr>
                <w:rFonts w:ascii="宋体" w:eastAsia="宋体" w:hAnsi="宋体" w:cs="宋体"/>
                <w:spacing w:val="-2"/>
                <w:sz w:val="16"/>
                <w:szCs w:val="16"/>
              </w:rPr>
              <w:t>毛豆</w:t>
            </w:r>
          </w:p>
        </w:tc>
        <w:tc>
          <w:tcPr>
            <w:tcW w:w="800" w:type="dxa"/>
            <w:tcBorders>
              <w:right w:val="single" w:sz="4" w:space="0" w:color="000000"/>
            </w:tcBorders>
          </w:tcPr>
          <w:p w:rsidR="00EA40A3" w:rsidRDefault="00E86C16">
            <w:pPr>
              <w:spacing w:before="123" w:line="172" w:lineRule="auto"/>
              <w:ind w:left="349"/>
              <w:rPr>
                <w:rFonts w:ascii="宋体" w:eastAsia="宋体" w:hAnsi="宋体" w:cs="宋体"/>
                <w:sz w:val="16"/>
                <w:szCs w:val="16"/>
              </w:rPr>
            </w:pPr>
            <w:r>
              <w:rPr>
                <w:rFonts w:ascii="宋体" w:eastAsia="宋体" w:hAnsi="宋体" w:cs="宋体"/>
                <w:spacing w:val="-2"/>
                <w:sz w:val="16"/>
                <w:szCs w:val="16"/>
              </w:rPr>
              <w:t>478</w:t>
            </w:r>
          </w:p>
        </w:tc>
        <w:tc>
          <w:tcPr>
            <w:tcW w:w="1090" w:type="dxa"/>
            <w:tcBorders>
              <w:left w:val="single" w:sz="4" w:space="0" w:color="000000"/>
            </w:tcBorders>
          </w:tcPr>
          <w:p w:rsidR="00EA40A3" w:rsidRDefault="00E86C16">
            <w:pPr>
              <w:spacing w:before="42" w:line="219" w:lineRule="auto"/>
              <w:ind w:left="105"/>
              <w:rPr>
                <w:rFonts w:ascii="宋体" w:eastAsia="宋体" w:hAnsi="宋体" w:cs="宋体"/>
                <w:sz w:val="16"/>
                <w:szCs w:val="16"/>
              </w:rPr>
            </w:pPr>
            <w:r>
              <w:rPr>
                <w:rFonts w:ascii="宋体" w:eastAsia="宋体" w:hAnsi="宋体" w:cs="宋体"/>
                <w:spacing w:val="7"/>
                <w:sz w:val="16"/>
                <w:szCs w:val="16"/>
              </w:rPr>
              <w:t>玉米(白)</w:t>
            </w:r>
          </w:p>
        </w:tc>
        <w:tc>
          <w:tcPr>
            <w:tcW w:w="720" w:type="dxa"/>
            <w:tcBorders>
              <w:right w:val="single" w:sz="4" w:space="0" w:color="000000"/>
            </w:tcBorders>
          </w:tcPr>
          <w:p w:rsidR="00EA40A3" w:rsidRDefault="00E86C16">
            <w:pPr>
              <w:spacing w:before="123" w:line="172" w:lineRule="auto"/>
              <w:ind w:left="229"/>
              <w:rPr>
                <w:rFonts w:ascii="宋体" w:eastAsia="宋体" w:hAnsi="宋体" w:cs="宋体"/>
                <w:sz w:val="16"/>
                <w:szCs w:val="16"/>
              </w:rPr>
            </w:pPr>
            <w:r>
              <w:rPr>
                <w:rFonts w:ascii="宋体" w:eastAsia="宋体" w:hAnsi="宋体" w:cs="宋体"/>
                <w:spacing w:val="-2"/>
                <w:sz w:val="16"/>
                <w:szCs w:val="16"/>
              </w:rPr>
              <w:t>262</w:t>
            </w:r>
          </w:p>
        </w:tc>
        <w:tc>
          <w:tcPr>
            <w:tcW w:w="1005" w:type="dxa"/>
            <w:tcBorders>
              <w:left w:val="single" w:sz="4" w:space="0" w:color="000000"/>
            </w:tcBorders>
          </w:tcPr>
          <w:p w:rsidR="00EA40A3" w:rsidRDefault="00E86C16">
            <w:pPr>
              <w:spacing w:before="71" w:line="219" w:lineRule="auto"/>
              <w:ind w:left="95"/>
              <w:rPr>
                <w:rFonts w:ascii="宋体" w:eastAsia="宋体" w:hAnsi="宋体" w:cs="宋体"/>
                <w:sz w:val="16"/>
                <w:szCs w:val="16"/>
              </w:rPr>
            </w:pPr>
            <w:r>
              <w:rPr>
                <w:rFonts w:ascii="宋体" w:eastAsia="宋体" w:hAnsi="宋体" w:cs="宋体"/>
                <w:sz w:val="16"/>
                <w:szCs w:val="16"/>
              </w:rPr>
              <w:t>橙</w:t>
            </w:r>
          </w:p>
        </w:tc>
        <w:tc>
          <w:tcPr>
            <w:tcW w:w="805" w:type="dxa"/>
            <w:tcBorders>
              <w:right w:val="single" w:sz="4" w:space="0" w:color="000000"/>
            </w:tcBorders>
          </w:tcPr>
          <w:p w:rsidR="00EA40A3" w:rsidRDefault="00E86C16">
            <w:pPr>
              <w:spacing w:before="112" w:line="184" w:lineRule="auto"/>
              <w:ind w:left="315"/>
              <w:rPr>
                <w:rFonts w:ascii="宋体" w:eastAsia="宋体" w:hAnsi="宋体" w:cs="宋体"/>
                <w:sz w:val="16"/>
                <w:szCs w:val="16"/>
              </w:rPr>
            </w:pPr>
            <w:r>
              <w:rPr>
                <w:rFonts w:ascii="宋体" w:eastAsia="宋体" w:hAnsi="宋体" w:cs="宋体"/>
                <w:spacing w:val="-5"/>
                <w:sz w:val="16"/>
                <w:szCs w:val="16"/>
              </w:rPr>
              <w:t>159</w:t>
            </w:r>
          </w:p>
        </w:tc>
        <w:tc>
          <w:tcPr>
            <w:tcW w:w="1078" w:type="dxa"/>
            <w:tcBorders>
              <w:left w:val="single" w:sz="4" w:space="0" w:color="000000"/>
            </w:tcBorders>
          </w:tcPr>
          <w:p w:rsidR="00EA40A3" w:rsidRDefault="00E86C16">
            <w:pPr>
              <w:spacing w:before="43" w:line="220" w:lineRule="auto"/>
              <w:ind w:left="95"/>
              <w:rPr>
                <w:rFonts w:ascii="宋体" w:eastAsia="宋体" w:hAnsi="宋体" w:cs="宋体"/>
                <w:sz w:val="16"/>
                <w:szCs w:val="16"/>
              </w:rPr>
            </w:pPr>
            <w:r>
              <w:rPr>
                <w:rFonts w:ascii="宋体" w:eastAsia="宋体" w:hAnsi="宋体" w:cs="宋体"/>
                <w:spacing w:val="-2"/>
                <w:sz w:val="16"/>
                <w:szCs w:val="16"/>
              </w:rPr>
              <w:t>葡萄</w:t>
            </w:r>
          </w:p>
        </w:tc>
        <w:tc>
          <w:tcPr>
            <w:tcW w:w="731" w:type="dxa"/>
          </w:tcPr>
          <w:p w:rsidR="00EA40A3" w:rsidRDefault="00E86C16">
            <w:pPr>
              <w:spacing w:before="112" w:line="184" w:lineRule="auto"/>
              <w:ind w:left="251"/>
              <w:rPr>
                <w:rFonts w:ascii="宋体" w:eastAsia="宋体" w:hAnsi="宋体" w:cs="宋体"/>
                <w:sz w:val="16"/>
                <w:szCs w:val="16"/>
              </w:rPr>
            </w:pPr>
            <w:r>
              <w:rPr>
                <w:rFonts w:ascii="宋体" w:eastAsia="宋体" w:hAnsi="宋体" w:cs="宋体"/>
                <w:spacing w:val="-5"/>
                <w:sz w:val="16"/>
                <w:szCs w:val="16"/>
              </w:rPr>
              <w:t>104</w:t>
            </w:r>
          </w:p>
        </w:tc>
      </w:tr>
      <w:tr w:rsidR="00EA40A3">
        <w:trPr>
          <w:trHeight w:val="255"/>
        </w:trPr>
        <w:tc>
          <w:tcPr>
            <w:tcW w:w="1000" w:type="dxa"/>
          </w:tcPr>
          <w:p w:rsidR="00EA40A3" w:rsidRDefault="00E86C16">
            <w:pPr>
              <w:spacing w:before="50" w:line="220" w:lineRule="auto"/>
              <w:ind w:left="100"/>
              <w:rPr>
                <w:rFonts w:ascii="宋体" w:eastAsia="宋体" w:hAnsi="宋体" w:cs="宋体"/>
                <w:sz w:val="16"/>
                <w:szCs w:val="16"/>
              </w:rPr>
            </w:pPr>
            <w:r>
              <w:rPr>
                <w:rFonts w:ascii="宋体" w:eastAsia="宋体" w:hAnsi="宋体" w:cs="宋体"/>
                <w:spacing w:val="-2"/>
                <w:sz w:val="16"/>
                <w:szCs w:val="16"/>
              </w:rPr>
              <w:t>扁豆</w:t>
            </w:r>
          </w:p>
        </w:tc>
        <w:tc>
          <w:tcPr>
            <w:tcW w:w="800" w:type="dxa"/>
            <w:tcBorders>
              <w:right w:val="single" w:sz="4" w:space="0" w:color="000000"/>
            </w:tcBorders>
          </w:tcPr>
          <w:p w:rsidR="00EA40A3" w:rsidRDefault="00E86C16">
            <w:pPr>
              <w:spacing w:before="111" w:line="166" w:lineRule="auto"/>
              <w:ind w:left="349"/>
              <w:rPr>
                <w:rFonts w:ascii="宋体" w:eastAsia="宋体" w:hAnsi="宋体" w:cs="宋体"/>
                <w:sz w:val="16"/>
                <w:szCs w:val="16"/>
              </w:rPr>
            </w:pPr>
            <w:r>
              <w:rPr>
                <w:rFonts w:ascii="宋体" w:eastAsia="宋体" w:hAnsi="宋体" w:cs="宋体"/>
                <w:spacing w:val="-2"/>
                <w:sz w:val="16"/>
                <w:szCs w:val="16"/>
              </w:rPr>
              <w:t>439</w:t>
            </w:r>
          </w:p>
        </w:tc>
        <w:tc>
          <w:tcPr>
            <w:tcW w:w="1090" w:type="dxa"/>
            <w:tcBorders>
              <w:left w:val="single" w:sz="4" w:space="0" w:color="000000"/>
            </w:tcBorders>
          </w:tcPr>
          <w:p w:rsidR="00EA40A3" w:rsidRDefault="00E86C16">
            <w:pPr>
              <w:spacing w:before="60" w:line="221" w:lineRule="auto"/>
              <w:ind w:left="105"/>
              <w:rPr>
                <w:rFonts w:ascii="宋体" w:eastAsia="宋体" w:hAnsi="宋体" w:cs="宋体"/>
                <w:sz w:val="16"/>
                <w:szCs w:val="16"/>
              </w:rPr>
            </w:pPr>
            <w:r>
              <w:rPr>
                <w:rFonts w:ascii="宋体" w:eastAsia="宋体" w:hAnsi="宋体" w:cs="宋体"/>
                <w:sz w:val="16"/>
                <w:szCs w:val="16"/>
              </w:rPr>
              <w:t>鸡</w:t>
            </w:r>
          </w:p>
        </w:tc>
        <w:tc>
          <w:tcPr>
            <w:tcW w:w="720" w:type="dxa"/>
            <w:tcBorders>
              <w:right w:val="single" w:sz="4" w:space="0" w:color="000000"/>
            </w:tcBorders>
          </w:tcPr>
          <w:p w:rsidR="00EA40A3" w:rsidRDefault="00E86C16">
            <w:pPr>
              <w:spacing w:before="99" w:line="179" w:lineRule="auto"/>
              <w:ind w:left="219"/>
              <w:rPr>
                <w:rFonts w:ascii="宋体" w:eastAsia="宋体" w:hAnsi="宋体" w:cs="宋体"/>
                <w:sz w:val="16"/>
                <w:szCs w:val="16"/>
              </w:rPr>
            </w:pPr>
            <w:r>
              <w:rPr>
                <w:rFonts w:ascii="宋体" w:eastAsia="宋体" w:hAnsi="宋体" w:cs="宋体"/>
                <w:spacing w:val="-2"/>
                <w:sz w:val="16"/>
                <w:szCs w:val="16"/>
              </w:rPr>
              <w:t>251</w:t>
            </w:r>
          </w:p>
        </w:tc>
        <w:tc>
          <w:tcPr>
            <w:tcW w:w="1005" w:type="dxa"/>
            <w:tcBorders>
              <w:left w:val="single" w:sz="4" w:space="0" w:color="000000"/>
            </w:tcBorders>
          </w:tcPr>
          <w:p w:rsidR="00EA40A3" w:rsidRDefault="00E86C16">
            <w:pPr>
              <w:spacing w:before="48" w:line="219" w:lineRule="auto"/>
              <w:ind w:left="95"/>
              <w:rPr>
                <w:rFonts w:ascii="宋体" w:eastAsia="宋体" w:hAnsi="宋体" w:cs="宋体"/>
                <w:sz w:val="16"/>
                <w:szCs w:val="16"/>
              </w:rPr>
            </w:pPr>
            <w:r>
              <w:rPr>
                <w:rFonts w:ascii="宋体" w:eastAsia="宋体" w:hAnsi="宋体" w:cs="宋体"/>
                <w:spacing w:val="-3"/>
                <w:sz w:val="16"/>
                <w:szCs w:val="16"/>
              </w:rPr>
              <w:t>芹菜</w:t>
            </w:r>
          </w:p>
        </w:tc>
        <w:tc>
          <w:tcPr>
            <w:tcW w:w="805" w:type="dxa"/>
            <w:tcBorders>
              <w:right w:val="single" w:sz="4" w:space="0" w:color="000000"/>
            </w:tcBorders>
          </w:tcPr>
          <w:p w:rsidR="00EA40A3" w:rsidRDefault="00E86C16">
            <w:pPr>
              <w:spacing w:before="89" w:line="184" w:lineRule="auto"/>
              <w:ind w:left="315"/>
              <w:rPr>
                <w:rFonts w:ascii="宋体" w:eastAsia="宋体" w:hAnsi="宋体" w:cs="宋体"/>
                <w:sz w:val="16"/>
                <w:szCs w:val="16"/>
              </w:rPr>
            </w:pPr>
            <w:r>
              <w:rPr>
                <w:rFonts w:ascii="宋体" w:eastAsia="宋体" w:hAnsi="宋体" w:cs="宋体"/>
                <w:spacing w:val="-5"/>
                <w:sz w:val="16"/>
                <w:szCs w:val="16"/>
              </w:rPr>
              <w:t>154</w:t>
            </w:r>
          </w:p>
        </w:tc>
        <w:tc>
          <w:tcPr>
            <w:tcW w:w="1078" w:type="dxa"/>
            <w:tcBorders>
              <w:left w:val="single" w:sz="4" w:space="0" w:color="000000"/>
            </w:tcBorders>
          </w:tcPr>
          <w:p w:rsidR="00EA40A3" w:rsidRDefault="00E86C16">
            <w:pPr>
              <w:spacing w:before="49" w:line="219" w:lineRule="auto"/>
              <w:ind w:left="95"/>
              <w:rPr>
                <w:rFonts w:ascii="宋体" w:eastAsia="宋体" w:hAnsi="宋体" w:cs="宋体"/>
                <w:sz w:val="16"/>
                <w:szCs w:val="16"/>
              </w:rPr>
            </w:pPr>
            <w:r>
              <w:rPr>
                <w:rFonts w:ascii="宋体" w:eastAsia="宋体" w:hAnsi="宋体" w:cs="宋体"/>
                <w:spacing w:val="-2"/>
                <w:sz w:val="16"/>
                <w:szCs w:val="16"/>
              </w:rPr>
              <w:t>黄瓜</w:t>
            </w:r>
          </w:p>
        </w:tc>
        <w:tc>
          <w:tcPr>
            <w:tcW w:w="731" w:type="dxa"/>
          </w:tcPr>
          <w:p w:rsidR="00EA40A3" w:rsidRDefault="00E86C16">
            <w:pPr>
              <w:spacing w:before="89" w:line="184" w:lineRule="auto"/>
              <w:ind w:left="251"/>
              <w:rPr>
                <w:rFonts w:ascii="宋体" w:eastAsia="宋体" w:hAnsi="宋体" w:cs="宋体"/>
                <w:sz w:val="16"/>
                <w:szCs w:val="16"/>
              </w:rPr>
            </w:pPr>
            <w:r>
              <w:rPr>
                <w:rFonts w:ascii="宋体" w:eastAsia="宋体" w:hAnsi="宋体" w:cs="宋体"/>
                <w:spacing w:val="-5"/>
                <w:sz w:val="16"/>
                <w:szCs w:val="16"/>
              </w:rPr>
              <w:t>102</w:t>
            </w:r>
          </w:p>
        </w:tc>
      </w:tr>
      <w:tr w:rsidR="00EA40A3">
        <w:trPr>
          <w:trHeight w:val="249"/>
        </w:trPr>
        <w:tc>
          <w:tcPr>
            <w:tcW w:w="1000" w:type="dxa"/>
          </w:tcPr>
          <w:p w:rsidR="00EA40A3" w:rsidRDefault="00E86C16">
            <w:pPr>
              <w:spacing w:before="54" w:line="219" w:lineRule="auto"/>
              <w:ind w:left="100"/>
              <w:rPr>
                <w:rFonts w:ascii="宋体" w:eastAsia="宋体" w:hAnsi="宋体" w:cs="宋体"/>
                <w:sz w:val="16"/>
                <w:szCs w:val="16"/>
              </w:rPr>
            </w:pPr>
            <w:r>
              <w:rPr>
                <w:rFonts w:ascii="宋体" w:eastAsia="宋体" w:hAnsi="宋体" w:cs="宋体"/>
                <w:spacing w:val="7"/>
                <w:sz w:val="16"/>
                <w:szCs w:val="16"/>
              </w:rPr>
              <w:t>羊肉(瘦)</w:t>
            </w:r>
          </w:p>
        </w:tc>
        <w:tc>
          <w:tcPr>
            <w:tcW w:w="800" w:type="dxa"/>
            <w:tcBorders>
              <w:right w:val="single" w:sz="4" w:space="0" w:color="000000"/>
            </w:tcBorders>
          </w:tcPr>
          <w:p w:rsidR="00EA40A3" w:rsidRDefault="00E86C16">
            <w:pPr>
              <w:spacing w:before="95" w:line="177" w:lineRule="auto"/>
              <w:ind w:left="349"/>
              <w:rPr>
                <w:rFonts w:ascii="宋体" w:eastAsia="宋体" w:hAnsi="宋体" w:cs="宋体"/>
                <w:sz w:val="16"/>
                <w:szCs w:val="16"/>
              </w:rPr>
            </w:pPr>
            <w:r>
              <w:rPr>
                <w:rFonts w:ascii="宋体" w:eastAsia="宋体" w:hAnsi="宋体" w:cs="宋体"/>
                <w:spacing w:val="-2"/>
                <w:sz w:val="16"/>
                <w:szCs w:val="16"/>
              </w:rPr>
              <w:t>403</w:t>
            </w:r>
          </w:p>
        </w:tc>
        <w:tc>
          <w:tcPr>
            <w:tcW w:w="1090" w:type="dxa"/>
            <w:tcBorders>
              <w:left w:val="single" w:sz="4" w:space="0" w:color="000000"/>
            </w:tcBorders>
          </w:tcPr>
          <w:p w:rsidR="00EA40A3" w:rsidRDefault="00E86C16">
            <w:pPr>
              <w:spacing w:before="54" w:line="219" w:lineRule="auto"/>
              <w:ind w:left="105"/>
              <w:rPr>
                <w:rFonts w:ascii="宋体" w:eastAsia="宋体" w:hAnsi="宋体" w:cs="宋体"/>
                <w:sz w:val="16"/>
                <w:szCs w:val="16"/>
              </w:rPr>
            </w:pPr>
            <w:r>
              <w:rPr>
                <w:rFonts w:ascii="宋体" w:eastAsia="宋体" w:hAnsi="宋体" w:cs="宋体"/>
                <w:spacing w:val="-3"/>
                <w:sz w:val="16"/>
                <w:szCs w:val="16"/>
              </w:rPr>
              <w:t>韭菜</w:t>
            </w:r>
          </w:p>
        </w:tc>
        <w:tc>
          <w:tcPr>
            <w:tcW w:w="720" w:type="dxa"/>
            <w:tcBorders>
              <w:right w:val="single" w:sz="4" w:space="0" w:color="000000"/>
            </w:tcBorders>
          </w:tcPr>
          <w:p w:rsidR="00EA40A3" w:rsidRDefault="00E86C16">
            <w:pPr>
              <w:spacing w:before="105" w:line="165" w:lineRule="auto"/>
              <w:ind w:left="219"/>
              <w:rPr>
                <w:rFonts w:ascii="宋体" w:eastAsia="宋体" w:hAnsi="宋体" w:cs="宋体"/>
                <w:sz w:val="16"/>
                <w:szCs w:val="16"/>
              </w:rPr>
            </w:pPr>
            <w:r>
              <w:rPr>
                <w:rFonts w:ascii="宋体" w:eastAsia="宋体" w:hAnsi="宋体" w:cs="宋体"/>
                <w:spacing w:val="-2"/>
                <w:sz w:val="16"/>
                <w:szCs w:val="16"/>
              </w:rPr>
              <w:t>247</w:t>
            </w:r>
          </w:p>
        </w:tc>
        <w:tc>
          <w:tcPr>
            <w:tcW w:w="1005" w:type="dxa"/>
            <w:tcBorders>
              <w:left w:val="single" w:sz="4" w:space="0" w:color="000000"/>
            </w:tcBorders>
          </w:tcPr>
          <w:p w:rsidR="00EA40A3" w:rsidRDefault="00E86C16">
            <w:pPr>
              <w:spacing w:before="54" w:line="219" w:lineRule="auto"/>
              <w:ind w:left="95"/>
              <w:rPr>
                <w:rFonts w:ascii="宋体" w:eastAsia="宋体" w:hAnsi="宋体" w:cs="宋体"/>
                <w:sz w:val="16"/>
                <w:szCs w:val="16"/>
              </w:rPr>
            </w:pPr>
            <w:r>
              <w:rPr>
                <w:rFonts w:ascii="宋体" w:eastAsia="宋体" w:hAnsi="宋体" w:cs="宋体"/>
                <w:sz w:val="16"/>
                <w:szCs w:val="16"/>
              </w:rPr>
              <w:t>柑</w:t>
            </w:r>
          </w:p>
        </w:tc>
        <w:tc>
          <w:tcPr>
            <w:tcW w:w="805" w:type="dxa"/>
            <w:tcBorders>
              <w:right w:val="single" w:sz="4" w:space="0" w:color="000000"/>
            </w:tcBorders>
          </w:tcPr>
          <w:p w:rsidR="00EA40A3" w:rsidRDefault="00E86C16">
            <w:pPr>
              <w:spacing w:before="94" w:line="178" w:lineRule="auto"/>
              <w:ind w:left="315"/>
              <w:rPr>
                <w:rFonts w:ascii="宋体" w:eastAsia="宋体" w:hAnsi="宋体" w:cs="宋体"/>
                <w:sz w:val="16"/>
                <w:szCs w:val="16"/>
              </w:rPr>
            </w:pPr>
            <w:r>
              <w:rPr>
                <w:rFonts w:ascii="宋体" w:eastAsia="宋体" w:hAnsi="宋体" w:cs="宋体"/>
                <w:spacing w:val="-5"/>
                <w:sz w:val="16"/>
                <w:szCs w:val="16"/>
              </w:rPr>
              <w:t>154</w:t>
            </w:r>
          </w:p>
        </w:tc>
        <w:tc>
          <w:tcPr>
            <w:tcW w:w="1078" w:type="dxa"/>
            <w:tcBorders>
              <w:left w:val="single" w:sz="4" w:space="0" w:color="000000"/>
            </w:tcBorders>
          </w:tcPr>
          <w:p w:rsidR="00EA40A3" w:rsidRDefault="00E86C16">
            <w:pPr>
              <w:spacing w:before="55" w:line="220" w:lineRule="auto"/>
              <w:ind w:left="95"/>
              <w:rPr>
                <w:rFonts w:ascii="宋体" w:eastAsia="宋体" w:hAnsi="宋体" w:cs="宋体"/>
                <w:sz w:val="16"/>
                <w:szCs w:val="16"/>
              </w:rPr>
            </w:pPr>
            <w:r>
              <w:rPr>
                <w:rFonts w:ascii="宋体" w:eastAsia="宋体" w:hAnsi="宋体" w:cs="宋体"/>
                <w:spacing w:val="-2"/>
                <w:sz w:val="16"/>
                <w:szCs w:val="16"/>
              </w:rPr>
              <w:t>鸡蛋</w:t>
            </w:r>
          </w:p>
        </w:tc>
        <w:tc>
          <w:tcPr>
            <w:tcW w:w="731" w:type="dxa"/>
          </w:tcPr>
          <w:p w:rsidR="00EA40A3" w:rsidRDefault="00E86C16">
            <w:pPr>
              <w:spacing w:before="95" w:line="177" w:lineRule="auto"/>
              <w:ind w:left="322"/>
              <w:rPr>
                <w:rFonts w:ascii="宋体" w:eastAsia="宋体" w:hAnsi="宋体" w:cs="宋体"/>
                <w:sz w:val="16"/>
                <w:szCs w:val="16"/>
              </w:rPr>
            </w:pPr>
            <w:r>
              <w:rPr>
                <w:rFonts w:ascii="宋体" w:eastAsia="宋体" w:hAnsi="宋体" w:cs="宋体"/>
                <w:spacing w:val="-2"/>
                <w:sz w:val="16"/>
                <w:szCs w:val="16"/>
              </w:rPr>
              <w:t>98</w:t>
            </w:r>
          </w:p>
        </w:tc>
      </w:tr>
      <w:tr w:rsidR="00EA40A3">
        <w:trPr>
          <w:trHeight w:val="254"/>
        </w:trPr>
        <w:tc>
          <w:tcPr>
            <w:tcW w:w="1000" w:type="dxa"/>
          </w:tcPr>
          <w:p w:rsidR="00EA40A3" w:rsidRDefault="00E86C16">
            <w:pPr>
              <w:spacing w:before="65" w:line="217" w:lineRule="auto"/>
              <w:ind w:left="100"/>
              <w:rPr>
                <w:rFonts w:ascii="宋体" w:eastAsia="宋体" w:hAnsi="宋体" w:cs="宋体"/>
                <w:sz w:val="16"/>
                <w:szCs w:val="16"/>
              </w:rPr>
            </w:pPr>
            <w:r>
              <w:rPr>
                <w:rFonts w:ascii="宋体" w:eastAsia="宋体" w:hAnsi="宋体" w:cs="宋体"/>
                <w:spacing w:val="8"/>
                <w:sz w:val="16"/>
                <w:szCs w:val="16"/>
              </w:rPr>
              <w:t>枣(鲜)</w:t>
            </w:r>
          </w:p>
        </w:tc>
        <w:tc>
          <w:tcPr>
            <w:tcW w:w="800" w:type="dxa"/>
            <w:tcBorders>
              <w:right w:val="single" w:sz="4" w:space="0" w:color="000000"/>
            </w:tcBorders>
          </w:tcPr>
          <w:p w:rsidR="00EA40A3" w:rsidRDefault="00E86C16">
            <w:pPr>
              <w:spacing w:before="106" w:line="170" w:lineRule="auto"/>
              <w:ind w:left="320"/>
              <w:rPr>
                <w:rFonts w:ascii="宋体" w:eastAsia="宋体" w:hAnsi="宋体" w:cs="宋体"/>
                <w:sz w:val="16"/>
                <w:szCs w:val="16"/>
              </w:rPr>
            </w:pPr>
            <w:r>
              <w:rPr>
                <w:rFonts w:ascii="宋体" w:eastAsia="宋体" w:hAnsi="宋体" w:cs="宋体"/>
                <w:spacing w:val="-3"/>
                <w:sz w:val="16"/>
                <w:szCs w:val="16"/>
              </w:rPr>
              <w:t>375</w:t>
            </w:r>
          </w:p>
        </w:tc>
        <w:tc>
          <w:tcPr>
            <w:tcW w:w="1090" w:type="dxa"/>
            <w:tcBorders>
              <w:left w:val="single" w:sz="4" w:space="0" w:color="000000"/>
            </w:tcBorders>
          </w:tcPr>
          <w:p w:rsidR="00EA40A3" w:rsidRDefault="00E86C16">
            <w:pPr>
              <w:spacing w:before="65" w:line="217" w:lineRule="auto"/>
              <w:ind w:left="105"/>
              <w:rPr>
                <w:rFonts w:ascii="宋体" w:eastAsia="宋体" w:hAnsi="宋体" w:cs="宋体"/>
                <w:sz w:val="16"/>
                <w:szCs w:val="16"/>
              </w:rPr>
            </w:pPr>
            <w:r>
              <w:rPr>
                <w:rFonts w:ascii="宋体" w:eastAsia="宋体" w:hAnsi="宋体" w:cs="宋体"/>
                <w:spacing w:val="-2"/>
                <w:sz w:val="16"/>
                <w:szCs w:val="16"/>
              </w:rPr>
              <w:t>猪肝</w:t>
            </w:r>
          </w:p>
        </w:tc>
        <w:tc>
          <w:tcPr>
            <w:tcW w:w="720" w:type="dxa"/>
            <w:tcBorders>
              <w:right w:val="single" w:sz="4" w:space="0" w:color="000000"/>
            </w:tcBorders>
          </w:tcPr>
          <w:p w:rsidR="00EA40A3" w:rsidRDefault="00E86C16">
            <w:pPr>
              <w:spacing w:before="117" w:line="158" w:lineRule="auto"/>
              <w:ind w:left="229"/>
              <w:rPr>
                <w:rFonts w:ascii="宋体" w:eastAsia="宋体" w:hAnsi="宋体" w:cs="宋体"/>
                <w:sz w:val="16"/>
                <w:szCs w:val="16"/>
              </w:rPr>
            </w:pPr>
            <w:r>
              <w:rPr>
                <w:rFonts w:ascii="宋体" w:eastAsia="宋体" w:hAnsi="宋体" w:cs="宋体"/>
                <w:spacing w:val="-2"/>
                <w:sz w:val="16"/>
                <w:szCs w:val="16"/>
              </w:rPr>
              <w:t>235</w:t>
            </w:r>
          </w:p>
        </w:tc>
        <w:tc>
          <w:tcPr>
            <w:tcW w:w="1005" w:type="dxa"/>
            <w:tcBorders>
              <w:left w:val="single" w:sz="4" w:space="0" w:color="000000"/>
            </w:tcBorders>
          </w:tcPr>
          <w:p w:rsidR="00EA40A3" w:rsidRDefault="00E86C16">
            <w:pPr>
              <w:spacing w:before="75" w:line="206" w:lineRule="auto"/>
              <w:ind w:left="95"/>
              <w:rPr>
                <w:rFonts w:ascii="宋体" w:eastAsia="宋体" w:hAnsi="宋体" w:cs="宋体"/>
                <w:sz w:val="16"/>
                <w:szCs w:val="16"/>
              </w:rPr>
            </w:pPr>
            <w:r>
              <w:rPr>
                <w:rFonts w:ascii="宋体" w:eastAsia="宋体" w:hAnsi="宋体" w:cs="宋体"/>
                <w:sz w:val="16"/>
                <w:szCs w:val="16"/>
              </w:rPr>
              <w:t>柿</w:t>
            </w:r>
          </w:p>
        </w:tc>
        <w:tc>
          <w:tcPr>
            <w:tcW w:w="805" w:type="dxa"/>
            <w:tcBorders>
              <w:right w:val="single" w:sz="4" w:space="0" w:color="000000"/>
            </w:tcBorders>
          </w:tcPr>
          <w:p w:rsidR="00EA40A3" w:rsidRDefault="00E86C16">
            <w:pPr>
              <w:spacing w:before="105" w:line="171" w:lineRule="auto"/>
              <w:ind w:left="315"/>
              <w:rPr>
                <w:rFonts w:ascii="宋体" w:eastAsia="宋体" w:hAnsi="宋体" w:cs="宋体"/>
                <w:sz w:val="16"/>
                <w:szCs w:val="16"/>
              </w:rPr>
            </w:pPr>
            <w:r>
              <w:rPr>
                <w:rFonts w:ascii="宋体" w:eastAsia="宋体" w:hAnsi="宋体" w:cs="宋体"/>
                <w:spacing w:val="-5"/>
                <w:sz w:val="16"/>
                <w:szCs w:val="16"/>
              </w:rPr>
              <w:t>151</w:t>
            </w:r>
          </w:p>
        </w:tc>
        <w:tc>
          <w:tcPr>
            <w:tcW w:w="1078" w:type="dxa"/>
            <w:tcBorders>
              <w:left w:val="single" w:sz="4" w:space="0" w:color="000000"/>
            </w:tcBorders>
          </w:tcPr>
          <w:p w:rsidR="00EA40A3" w:rsidRDefault="00E86C16">
            <w:pPr>
              <w:spacing w:before="55" w:line="219" w:lineRule="auto"/>
              <w:ind w:left="95"/>
              <w:rPr>
                <w:rFonts w:ascii="宋体" w:eastAsia="宋体" w:hAnsi="宋体" w:cs="宋体"/>
                <w:sz w:val="16"/>
                <w:szCs w:val="16"/>
              </w:rPr>
            </w:pPr>
            <w:r>
              <w:rPr>
                <w:rFonts w:ascii="宋体" w:eastAsia="宋体" w:hAnsi="宋体" w:cs="宋体"/>
                <w:sz w:val="16"/>
                <w:szCs w:val="16"/>
              </w:rPr>
              <w:t>梨</w:t>
            </w:r>
          </w:p>
        </w:tc>
        <w:tc>
          <w:tcPr>
            <w:tcW w:w="731" w:type="dxa"/>
          </w:tcPr>
          <w:p w:rsidR="00EA40A3" w:rsidRDefault="00E86C16">
            <w:pPr>
              <w:spacing w:before="106" w:line="170" w:lineRule="auto"/>
              <w:ind w:left="311"/>
              <w:rPr>
                <w:rFonts w:ascii="宋体" w:eastAsia="宋体" w:hAnsi="宋体" w:cs="宋体"/>
                <w:sz w:val="16"/>
                <w:szCs w:val="16"/>
              </w:rPr>
            </w:pPr>
            <w:r>
              <w:rPr>
                <w:rFonts w:ascii="宋体" w:eastAsia="宋体" w:hAnsi="宋体" w:cs="宋体"/>
                <w:spacing w:val="-2"/>
                <w:sz w:val="16"/>
                <w:szCs w:val="16"/>
              </w:rPr>
              <w:t>97</w:t>
            </w:r>
          </w:p>
        </w:tc>
      </w:tr>
      <w:tr w:rsidR="00EA40A3">
        <w:trPr>
          <w:trHeight w:val="257"/>
        </w:trPr>
        <w:tc>
          <w:tcPr>
            <w:tcW w:w="1000" w:type="dxa"/>
          </w:tcPr>
          <w:p w:rsidR="00EA40A3" w:rsidRDefault="00E86C16">
            <w:pPr>
              <w:spacing w:before="61" w:line="219" w:lineRule="auto"/>
              <w:ind w:left="100"/>
              <w:rPr>
                <w:rFonts w:ascii="宋体" w:eastAsia="宋体" w:hAnsi="宋体" w:cs="宋体"/>
                <w:sz w:val="16"/>
                <w:szCs w:val="16"/>
              </w:rPr>
            </w:pPr>
            <w:r>
              <w:rPr>
                <w:rFonts w:ascii="宋体" w:eastAsia="宋体" w:hAnsi="宋体" w:cs="宋体"/>
                <w:spacing w:val="3"/>
                <w:sz w:val="16"/>
                <w:szCs w:val="16"/>
              </w:rPr>
              <w:t>马铃薯</w:t>
            </w:r>
          </w:p>
        </w:tc>
        <w:tc>
          <w:tcPr>
            <w:tcW w:w="800" w:type="dxa"/>
            <w:tcBorders>
              <w:right w:val="single" w:sz="4" w:space="0" w:color="000000"/>
            </w:tcBorders>
          </w:tcPr>
          <w:p w:rsidR="00EA40A3" w:rsidRDefault="00E86C16">
            <w:pPr>
              <w:spacing w:before="113" w:line="166" w:lineRule="auto"/>
              <w:ind w:left="340"/>
              <w:rPr>
                <w:rFonts w:ascii="宋体" w:eastAsia="宋体" w:hAnsi="宋体" w:cs="宋体"/>
                <w:sz w:val="16"/>
                <w:szCs w:val="16"/>
              </w:rPr>
            </w:pPr>
            <w:r>
              <w:rPr>
                <w:rFonts w:ascii="宋体" w:eastAsia="宋体" w:hAnsi="宋体" w:cs="宋体"/>
                <w:spacing w:val="-3"/>
                <w:sz w:val="16"/>
                <w:szCs w:val="16"/>
              </w:rPr>
              <w:t>3.2</w:t>
            </w:r>
          </w:p>
        </w:tc>
        <w:tc>
          <w:tcPr>
            <w:tcW w:w="1090" w:type="dxa"/>
            <w:tcBorders>
              <w:left w:val="single" w:sz="4" w:space="0" w:color="000000"/>
            </w:tcBorders>
          </w:tcPr>
          <w:p w:rsidR="00EA40A3" w:rsidRDefault="00E86C16">
            <w:pPr>
              <w:spacing w:before="70" w:line="215" w:lineRule="auto"/>
              <w:ind w:left="105"/>
              <w:rPr>
                <w:rFonts w:ascii="宋体" w:eastAsia="宋体" w:hAnsi="宋体" w:cs="宋体"/>
                <w:sz w:val="16"/>
                <w:szCs w:val="16"/>
              </w:rPr>
            </w:pPr>
            <w:r>
              <w:rPr>
                <w:rFonts w:ascii="宋体" w:eastAsia="宋体" w:hAnsi="宋体" w:cs="宋体"/>
                <w:spacing w:val="5"/>
                <w:sz w:val="16"/>
                <w:szCs w:val="16"/>
              </w:rPr>
              <w:t>羊肉(肥瘦)</w:t>
            </w:r>
          </w:p>
        </w:tc>
        <w:tc>
          <w:tcPr>
            <w:tcW w:w="720" w:type="dxa"/>
            <w:tcBorders>
              <w:right w:val="single" w:sz="4" w:space="0" w:color="000000"/>
            </w:tcBorders>
          </w:tcPr>
          <w:p w:rsidR="00EA40A3" w:rsidRDefault="00E86C16">
            <w:pPr>
              <w:spacing w:before="122" w:line="135" w:lineRule="exact"/>
              <w:ind w:left="229"/>
              <w:rPr>
                <w:rFonts w:ascii="宋体" w:eastAsia="宋体" w:hAnsi="宋体" w:cs="宋体"/>
                <w:sz w:val="16"/>
                <w:szCs w:val="16"/>
              </w:rPr>
            </w:pPr>
            <w:r>
              <w:rPr>
                <w:rFonts w:ascii="宋体" w:eastAsia="宋体" w:hAnsi="宋体" w:cs="宋体"/>
                <w:spacing w:val="-2"/>
                <w:position w:val="-2"/>
                <w:sz w:val="16"/>
                <w:szCs w:val="16"/>
              </w:rPr>
              <w:t>232</w:t>
            </w:r>
          </w:p>
        </w:tc>
        <w:tc>
          <w:tcPr>
            <w:tcW w:w="1005" w:type="dxa"/>
            <w:tcBorders>
              <w:left w:val="single" w:sz="4" w:space="0" w:color="000000"/>
            </w:tcBorders>
          </w:tcPr>
          <w:p w:rsidR="00EA40A3" w:rsidRDefault="00E86C16">
            <w:pPr>
              <w:spacing w:before="73" w:line="212" w:lineRule="auto"/>
              <w:ind w:left="95"/>
              <w:rPr>
                <w:rFonts w:ascii="宋体" w:eastAsia="宋体" w:hAnsi="宋体" w:cs="宋体"/>
                <w:sz w:val="16"/>
                <w:szCs w:val="16"/>
              </w:rPr>
            </w:pPr>
            <w:r>
              <w:rPr>
                <w:rFonts w:ascii="宋体" w:eastAsia="宋体" w:hAnsi="宋体" w:cs="宋体"/>
                <w:spacing w:val="-3"/>
                <w:sz w:val="16"/>
                <w:szCs w:val="16"/>
              </w:rPr>
              <w:t>南瓜</w:t>
            </w:r>
          </w:p>
        </w:tc>
        <w:tc>
          <w:tcPr>
            <w:tcW w:w="805" w:type="dxa"/>
            <w:tcBorders>
              <w:right w:val="single" w:sz="4" w:space="0" w:color="000000"/>
            </w:tcBorders>
          </w:tcPr>
          <w:p w:rsidR="00EA40A3" w:rsidRDefault="00E86C16">
            <w:pPr>
              <w:spacing w:before="112" w:line="167" w:lineRule="auto"/>
              <w:ind w:left="315"/>
              <w:rPr>
                <w:rFonts w:ascii="宋体" w:eastAsia="宋体" w:hAnsi="宋体" w:cs="宋体"/>
                <w:sz w:val="16"/>
                <w:szCs w:val="16"/>
              </w:rPr>
            </w:pPr>
            <w:r>
              <w:rPr>
                <w:rFonts w:ascii="宋体" w:eastAsia="宋体" w:hAnsi="宋体" w:cs="宋体"/>
                <w:spacing w:val="-5"/>
                <w:sz w:val="16"/>
                <w:szCs w:val="16"/>
              </w:rPr>
              <w:t>145</w:t>
            </w:r>
          </w:p>
        </w:tc>
        <w:tc>
          <w:tcPr>
            <w:tcW w:w="1078" w:type="dxa"/>
            <w:tcBorders>
              <w:left w:val="single" w:sz="4" w:space="0" w:color="000000"/>
            </w:tcBorders>
          </w:tcPr>
          <w:p w:rsidR="00EA40A3" w:rsidRDefault="00E86C16">
            <w:pPr>
              <w:spacing w:before="39" w:line="217" w:lineRule="auto"/>
              <w:ind w:left="95"/>
              <w:rPr>
                <w:rFonts w:ascii="宋体" w:eastAsia="宋体" w:hAnsi="宋体" w:cs="宋体"/>
                <w:sz w:val="16"/>
                <w:szCs w:val="16"/>
              </w:rPr>
            </w:pPr>
            <w:r>
              <w:rPr>
                <w:rFonts w:ascii="宋体" w:eastAsia="宋体" w:hAnsi="宋体" w:cs="宋体"/>
                <w:spacing w:val="-1"/>
                <w:sz w:val="16"/>
                <w:szCs w:val="16"/>
              </w:rPr>
              <w:t>粳标二稻米</w:t>
            </w:r>
          </w:p>
        </w:tc>
        <w:tc>
          <w:tcPr>
            <w:tcW w:w="731" w:type="dxa"/>
          </w:tcPr>
          <w:p w:rsidR="00EA40A3" w:rsidRDefault="00E86C16">
            <w:pPr>
              <w:spacing w:before="102" w:line="178" w:lineRule="auto"/>
              <w:ind w:left="331"/>
              <w:rPr>
                <w:rFonts w:ascii="宋体" w:eastAsia="宋体" w:hAnsi="宋体" w:cs="宋体"/>
                <w:sz w:val="16"/>
                <w:szCs w:val="16"/>
              </w:rPr>
            </w:pPr>
            <w:r>
              <w:rPr>
                <w:rFonts w:ascii="宋体" w:eastAsia="宋体" w:hAnsi="宋体" w:cs="宋体"/>
                <w:spacing w:val="-3"/>
                <w:sz w:val="16"/>
                <w:szCs w:val="16"/>
              </w:rPr>
              <w:t>78</w:t>
            </w:r>
          </w:p>
        </w:tc>
      </w:tr>
      <w:tr w:rsidR="00EA40A3">
        <w:trPr>
          <w:trHeight w:val="253"/>
        </w:trPr>
        <w:tc>
          <w:tcPr>
            <w:tcW w:w="1000" w:type="dxa"/>
          </w:tcPr>
          <w:p w:rsidR="00EA40A3" w:rsidRDefault="00E86C16">
            <w:pPr>
              <w:spacing w:before="70" w:line="210" w:lineRule="auto"/>
              <w:ind w:left="100"/>
              <w:rPr>
                <w:rFonts w:ascii="宋体" w:eastAsia="宋体" w:hAnsi="宋体" w:cs="宋体"/>
                <w:sz w:val="16"/>
                <w:szCs w:val="16"/>
              </w:rPr>
            </w:pPr>
            <w:r>
              <w:rPr>
                <w:rFonts w:ascii="宋体" w:eastAsia="宋体" w:hAnsi="宋体" w:cs="宋体"/>
                <w:spacing w:val="-2"/>
                <w:sz w:val="16"/>
                <w:szCs w:val="16"/>
              </w:rPr>
              <w:t>鲤鱼</w:t>
            </w:r>
          </w:p>
        </w:tc>
        <w:tc>
          <w:tcPr>
            <w:tcW w:w="800" w:type="dxa"/>
            <w:tcBorders>
              <w:right w:val="single" w:sz="4" w:space="0" w:color="000000"/>
            </w:tcBorders>
          </w:tcPr>
          <w:p w:rsidR="00EA40A3" w:rsidRDefault="00E86C16">
            <w:pPr>
              <w:spacing w:before="125" w:line="127" w:lineRule="exact"/>
              <w:ind w:left="329"/>
              <w:rPr>
                <w:rFonts w:ascii="宋体" w:eastAsia="宋体" w:hAnsi="宋体" w:cs="宋体"/>
                <w:sz w:val="16"/>
                <w:szCs w:val="16"/>
              </w:rPr>
            </w:pPr>
            <w:r>
              <w:rPr>
                <w:rFonts w:ascii="宋体" w:eastAsia="宋体" w:hAnsi="宋体" w:cs="宋体"/>
                <w:spacing w:val="-3"/>
                <w:position w:val="-2"/>
                <w:sz w:val="16"/>
                <w:szCs w:val="16"/>
              </w:rPr>
              <w:t>334</w:t>
            </w:r>
          </w:p>
        </w:tc>
        <w:tc>
          <w:tcPr>
            <w:tcW w:w="1090" w:type="dxa"/>
            <w:tcBorders>
              <w:left w:val="single" w:sz="4" w:space="0" w:color="000000"/>
            </w:tcBorders>
          </w:tcPr>
          <w:p w:rsidR="00EA40A3" w:rsidRDefault="00E86C16">
            <w:pPr>
              <w:spacing w:before="64" w:line="217" w:lineRule="auto"/>
              <w:ind w:left="105"/>
              <w:rPr>
                <w:rFonts w:ascii="宋体" w:eastAsia="宋体" w:hAnsi="宋体" w:cs="宋体"/>
                <w:sz w:val="16"/>
                <w:szCs w:val="16"/>
              </w:rPr>
            </w:pPr>
            <w:r>
              <w:rPr>
                <w:rFonts w:ascii="宋体" w:eastAsia="宋体" w:hAnsi="宋体" w:cs="宋体"/>
                <w:spacing w:val="-2"/>
                <w:sz w:val="16"/>
                <w:szCs w:val="16"/>
              </w:rPr>
              <w:t>海虾</w:t>
            </w:r>
          </w:p>
        </w:tc>
        <w:tc>
          <w:tcPr>
            <w:tcW w:w="720" w:type="dxa"/>
            <w:tcBorders>
              <w:right w:val="single" w:sz="4" w:space="0" w:color="000000"/>
            </w:tcBorders>
          </w:tcPr>
          <w:p w:rsidR="00EA40A3" w:rsidRDefault="00E86C16">
            <w:pPr>
              <w:spacing w:before="116" w:line="158" w:lineRule="auto"/>
              <w:ind w:left="229"/>
              <w:rPr>
                <w:rFonts w:ascii="宋体" w:eastAsia="宋体" w:hAnsi="宋体" w:cs="宋体"/>
                <w:sz w:val="16"/>
                <w:szCs w:val="16"/>
              </w:rPr>
            </w:pPr>
            <w:r>
              <w:rPr>
                <w:rFonts w:ascii="宋体" w:eastAsia="宋体" w:hAnsi="宋体" w:cs="宋体"/>
                <w:spacing w:val="-2"/>
                <w:sz w:val="16"/>
                <w:szCs w:val="16"/>
              </w:rPr>
              <w:t>228</w:t>
            </w:r>
          </w:p>
        </w:tc>
        <w:tc>
          <w:tcPr>
            <w:tcW w:w="1005" w:type="dxa"/>
            <w:tcBorders>
              <w:left w:val="single" w:sz="4" w:space="0" w:color="000000"/>
            </w:tcBorders>
          </w:tcPr>
          <w:p w:rsidR="00EA40A3" w:rsidRDefault="00E86C16">
            <w:pPr>
              <w:spacing w:before="64" w:line="217" w:lineRule="auto"/>
              <w:ind w:left="95"/>
              <w:rPr>
                <w:rFonts w:ascii="宋体" w:eastAsia="宋体" w:hAnsi="宋体" w:cs="宋体"/>
                <w:sz w:val="16"/>
                <w:szCs w:val="16"/>
              </w:rPr>
            </w:pPr>
            <w:r>
              <w:rPr>
                <w:rFonts w:ascii="宋体" w:eastAsia="宋体" w:hAnsi="宋体" w:cs="宋体"/>
                <w:spacing w:val="-2"/>
                <w:sz w:val="16"/>
                <w:szCs w:val="16"/>
              </w:rPr>
              <w:t>茄子</w:t>
            </w:r>
          </w:p>
        </w:tc>
        <w:tc>
          <w:tcPr>
            <w:tcW w:w="805" w:type="dxa"/>
            <w:tcBorders>
              <w:right w:val="single" w:sz="4" w:space="0" w:color="000000"/>
            </w:tcBorders>
          </w:tcPr>
          <w:p w:rsidR="00EA40A3" w:rsidRDefault="00E86C16">
            <w:pPr>
              <w:spacing w:before="104" w:line="171" w:lineRule="auto"/>
              <w:ind w:left="324"/>
              <w:rPr>
                <w:rFonts w:ascii="宋体" w:eastAsia="宋体" w:hAnsi="宋体" w:cs="宋体"/>
                <w:sz w:val="16"/>
                <w:szCs w:val="16"/>
              </w:rPr>
            </w:pPr>
            <w:r>
              <w:rPr>
                <w:rFonts w:ascii="宋体" w:eastAsia="宋体" w:hAnsi="宋体" w:cs="宋体"/>
                <w:spacing w:val="-5"/>
                <w:sz w:val="16"/>
                <w:szCs w:val="16"/>
              </w:rPr>
              <w:t>142</w:t>
            </w:r>
          </w:p>
        </w:tc>
        <w:tc>
          <w:tcPr>
            <w:tcW w:w="1078" w:type="dxa"/>
            <w:tcBorders>
              <w:left w:val="single" w:sz="4" w:space="0" w:color="000000"/>
            </w:tcBorders>
          </w:tcPr>
          <w:p w:rsidR="00EA40A3" w:rsidRDefault="00E86C16">
            <w:pPr>
              <w:spacing w:before="57" w:line="222" w:lineRule="auto"/>
              <w:ind w:left="95"/>
              <w:rPr>
                <w:rFonts w:ascii="宋体" w:eastAsia="宋体" w:hAnsi="宋体" w:cs="宋体"/>
                <w:sz w:val="16"/>
                <w:szCs w:val="16"/>
              </w:rPr>
            </w:pPr>
            <w:r>
              <w:rPr>
                <w:rFonts w:ascii="宋体" w:eastAsia="宋体" w:hAnsi="宋体" w:cs="宋体"/>
                <w:spacing w:val="-3"/>
                <w:sz w:val="16"/>
                <w:szCs w:val="16"/>
              </w:rPr>
              <w:t>冬瓜</w:t>
            </w:r>
          </w:p>
        </w:tc>
        <w:tc>
          <w:tcPr>
            <w:tcW w:w="731" w:type="dxa"/>
          </w:tcPr>
          <w:p w:rsidR="00EA40A3" w:rsidRDefault="00E86C16">
            <w:pPr>
              <w:spacing w:before="105" w:line="170" w:lineRule="auto"/>
              <w:ind w:left="322"/>
              <w:rPr>
                <w:rFonts w:ascii="宋体" w:eastAsia="宋体" w:hAnsi="宋体" w:cs="宋体"/>
                <w:sz w:val="16"/>
                <w:szCs w:val="16"/>
              </w:rPr>
            </w:pPr>
            <w:r>
              <w:rPr>
                <w:rFonts w:ascii="宋体" w:eastAsia="宋体" w:hAnsi="宋体" w:cs="宋体"/>
                <w:spacing w:val="-3"/>
                <w:sz w:val="16"/>
                <w:szCs w:val="16"/>
              </w:rPr>
              <w:t>78</w:t>
            </w:r>
          </w:p>
        </w:tc>
      </w:tr>
      <w:tr w:rsidR="00EA40A3">
        <w:trPr>
          <w:trHeight w:val="259"/>
        </w:trPr>
        <w:tc>
          <w:tcPr>
            <w:tcW w:w="1000" w:type="dxa"/>
            <w:tcBorders>
              <w:bottom w:val="single" w:sz="4" w:space="0" w:color="000000"/>
            </w:tcBorders>
          </w:tcPr>
          <w:p w:rsidR="00EA40A3" w:rsidRDefault="00E86C16">
            <w:pPr>
              <w:spacing w:before="32" w:line="220" w:lineRule="auto"/>
              <w:ind w:left="100"/>
              <w:rPr>
                <w:rFonts w:ascii="宋体" w:eastAsia="宋体" w:hAnsi="宋体" w:cs="宋体"/>
                <w:sz w:val="16"/>
                <w:szCs w:val="16"/>
              </w:rPr>
            </w:pPr>
            <w:r>
              <w:rPr>
                <w:rFonts w:ascii="宋体" w:eastAsia="宋体" w:hAnsi="宋体" w:cs="宋体"/>
                <w:spacing w:val="-2"/>
                <w:sz w:val="16"/>
                <w:szCs w:val="16"/>
              </w:rPr>
              <w:t>河虾</w:t>
            </w:r>
          </w:p>
        </w:tc>
        <w:tc>
          <w:tcPr>
            <w:tcW w:w="800" w:type="dxa"/>
            <w:tcBorders>
              <w:bottom w:val="single" w:sz="4" w:space="0" w:color="000000"/>
              <w:right w:val="single" w:sz="4" w:space="0" w:color="000000"/>
            </w:tcBorders>
          </w:tcPr>
          <w:p w:rsidR="00EA40A3" w:rsidRDefault="00E86C16">
            <w:pPr>
              <w:spacing w:before="132" w:line="126" w:lineRule="exact"/>
              <w:ind w:left="329"/>
              <w:rPr>
                <w:rFonts w:ascii="宋体" w:eastAsia="宋体" w:hAnsi="宋体" w:cs="宋体"/>
                <w:sz w:val="16"/>
                <w:szCs w:val="16"/>
              </w:rPr>
            </w:pPr>
            <w:r>
              <w:rPr>
                <w:rFonts w:ascii="宋体" w:eastAsia="宋体" w:hAnsi="宋体" w:cs="宋体"/>
                <w:spacing w:val="-3"/>
                <w:position w:val="-2"/>
                <w:sz w:val="16"/>
                <w:szCs w:val="16"/>
              </w:rPr>
              <w:t>329</w:t>
            </w:r>
          </w:p>
        </w:tc>
        <w:tc>
          <w:tcPr>
            <w:tcW w:w="1090" w:type="dxa"/>
            <w:tcBorders>
              <w:left w:val="single" w:sz="4" w:space="0" w:color="000000"/>
              <w:bottom w:val="single" w:sz="4" w:space="0" w:color="000000"/>
            </w:tcBorders>
          </w:tcPr>
          <w:p w:rsidR="00EA40A3" w:rsidRDefault="00E86C16">
            <w:pPr>
              <w:spacing w:before="83" w:line="203" w:lineRule="auto"/>
              <w:ind w:left="105"/>
              <w:rPr>
                <w:rFonts w:ascii="宋体" w:eastAsia="宋体" w:hAnsi="宋体" w:cs="宋体"/>
                <w:sz w:val="16"/>
                <w:szCs w:val="16"/>
              </w:rPr>
            </w:pPr>
            <w:r>
              <w:rPr>
                <w:rFonts w:ascii="宋体" w:eastAsia="宋体" w:hAnsi="宋体" w:cs="宋体"/>
                <w:sz w:val="16"/>
                <w:szCs w:val="16"/>
              </w:rPr>
              <w:t>杏</w:t>
            </w:r>
          </w:p>
        </w:tc>
        <w:tc>
          <w:tcPr>
            <w:tcW w:w="720" w:type="dxa"/>
            <w:tcBorders>
              <w:bottom w:val="single" w:sz="4" w:space="0" w:color="000000"/>
              <w:right w:val="single" w:sz="4" w:space="0" w:color="000000"/>
            </w:tcBorders>
          </w:tcPr>
          <w:p w:rsidR="00EA40A3" w:rsidRDefault="00E86C16">
            <w:pPr>
              <w:spacing w:before="132" w:line="126" w:lineRule="exact"/>
              <w:ind w:left="229"/>
              <w:rPr>
                <w:rFonts w:ascii="宋体" w:eastAsia="宋体" w:hAnsi="宋体" w:cs="宋体"/>
                <w:sz w:val="16"/>
                <w:szCs w:val="16"/>
              </w:rPr>
            </w:pPr>
            <w:r>
              <w:rPr>
                <w:rFonts w:ascii="宋体" w:eastAsia="宋体" w:hAnsi="宋体" w:cs="宋体"/>
                <w:spacing w:val="-2"/>
                <w:position w:val="-2"/>
                <w:sz w:val="16"/>
                <w:szCs w:val="16"/>
              </w:rPr>
              <w:t>226</w:t>
            </w:r>
          </w:p>
        </w:tc>
        <w:tc>
          <w:tcPr>
            <w:tcW w:w="1005" w:type="dxa"/>
            <w:tcBorders>
              <w:left w:val="single" w:sz="4" w:space="0" w:color="000000"/>
              <w:bottom w:val="single" w:sz="4" w:space="0" w:color="000000"/>
            </w:tcBorders>
          </w:tcPr>
          <w:p w:rsidR="00EA40A3" w:rsidRDefault="00E86C16">
            <w:pPr>
              <w:spacing w:before="80" w:line="206" w:lineRule="auto"/>
              <w:ind w:left="95"/>
              <w:rPr>
                <w:rFonts w:ascii="宋体" w:eastAsia="宋体" w:hAnsi="宋体" w:cs="宋体"/>
                <w:sz w:val="16"/>
                <w:szCs w:val="16"/>
              </w:rPr>
            </w:pPr>
            <w:r>
              <w:rPr>
                <w:rFonts w:ascii="宋体" w:eastAsia="宋体" w:hAnsi="宋体" w:cs="宋体"/>
                <w:spacing w:val="-2"/>
                <w:sz w:val="16"/>
                <w:szCs w:val="16"/>
              </w:rPr>
              <w:t>豆腐干</w:t>
            </w:r>
          </w:p>
        </w:tc>
        <w:tc>
          <w:tcPr>
            <w:tcW w:w="805" w:type="dxa"/>
            <w:tcBorders>
              <w:bottom w:val="single" w:sz="4" w:space="0" w:color="000000"/>
              <w:right w:val="single" w:sz="4" w:space="0" w:color="000000"/>
            </w:tcBorders>
          </w:tcPr>
          <w:p w:rsidR="00EA40A3" w:rsidRDefault="00E86C16">
            <w:pPr>
              <w:spacing w:before="102" w:line="181" w:lineRule="auto"/>
              <w:ind w:left="315"/>
              <w:rPr>
                <w:rFonts w:ascii="宋体" w:eastAsia="宋体" w:hAnsi="宋体" w:cs="宋体"/>
                <w:sz w:val="16"/>
                <w:szCs w:val="16"/>
              </w:rPr>
            </w:pPr>
            <w:r>
              <w:rPr>
                <w:rFonts w:ascii="宋体" w:eastAsia="宋体" w:hAnsi="宋体" w:cs="宋体"/>
                <w:spacing w:val="-5"/>
                <w:sz w:val="16"/>
                <w:szCs w:val="16"/>
              </w:rPr>
              <w:t>140</w:t>
            </w:r>
          </w:p>
        </w:tc>
        <w:tc>
          <w:tcPr>
            <w:tcW w:w="1078" w:type="dxa"/>
            <w:tcBorders>
              <w:left w:val="single" w:sz="4" w:space="0" w:color="000000"/>
              <w:bottom w:val="single" w:sz="4" w:space="0" w:color="000000"/>
            </w:tcBorders>
          </w:tcPr>
          <w:p w:rsidR="00EA40A3" w:rsidRDefault="00E86C16">
            <w:pPr>
              <w:spacing w:before="70" w:line="217" w:lineRule="auto"/>
              <w:ind w:left="95"/>
              <w:rPr>
                <w:rFonts w:ascii="宋体" w:eastAsia="宋体" w:hAnsi="宋体" w:cs="宋体"/>
                <w:sz w:val="16"/>
                <w:szCs w:val="16"/>
              </w:rPr>
            </w:pPr>
            <w:r>
              <w:rPr>
                <w:rFonts w:ascii="宋体" w:eastAsia="宋体" w:hAnsi="宋体" w:cs="宋体"/>
                <w:spacing w:val="5"/>
                <w:sz w:val="16"/>
                <w:szCs w:val="16"/>
              </w:rPr>
              <w:t>肥猪肉</w:t>
            </w:r>
          </w:p>
        </w:tc>
        <w:tc>
          <w:tcPr>
            <w:tcW w:w="731" w:type="dxa"/>
            <w:tcBorders>
              <w:bottom w:val="single" w:sz="4" w:space="0" w:color="000000"/>
            </w:tcBorders>
          </w:tcPr>
          <w:p w:rsidR="00EA40A3" w:rsidRDefault="00E86C16">
            <w:pPr>
              <w:spacing w:before="112" w:line="169" w:lineRule="auto"/>
              <w:ind w:left="322"/>
              <w:rPr>
                <w:rFonts w:ascii="宋体" w:eastAsia="宋体" w:hAnsi="宋体" w:cs="宋体"/>
                <w:sz w:val="16"/>
                <w:szCs w:val="16"/>
              </w:rPr>
            </w:pPr>
            <w:r>
              <w:rPr>
                <w:rFonts w:ascii="宋体" w:eastAsia="宋体" w:hAnsi="宋体" w:cs="宋体"/>
                <w:spacing w:val="-3"/>
                <w:sz w:val="16"/>
                <w:szCs w:val="16"/>
              </w:rPr>
              <w:t>23</w:t>
            </w:r>
          </w:p>
        </w:tc>
      </w:tr>
    </w:tbl>
    <w:p w:rsidR="00EA40A3" w:rsidRDefault="00E86C16">
      <w:pPr>
        <w:spacing w:before="90" w:line="219" w:lineRule="auto"/>
        <w:ind w:left="349"/>
        <w:rPr>
          <w:rFonts w:ascii="宋体" w:eastAsia="宋体" w:hAnsi="宋体" w:cs="宋体"/>
          <w:sz w:val="15"/>
          <w:szCs w:val="15"/>
        </w:rPr>
      </w:pPr>
      <w:r>
        <w:rPr>
          <w:rFonts w:ascii="宋体" w:eastAsia="宋体" w:hAnsi="宋体" w:cs="宋体"/>
          <w:sz w:val="15"/>
          <w:szCs w:val="15"/>
        </w:rPr>
        <w:t>资料来源：中国预防医学科学院营养与食品卫生研究所.1991.食物成分</w:t>
      </w:r>
      <w:r>
        <w:rPr>
          <w:rFonts w:ascii="宋体" w:eastAsia="宋体" w:hAnsi="宋体" w:cs="宋体"/>
          <w:spacing w:val="-1"/>
          <w:sz w:val="15"/>
          <w:szCs w:val="15"/>
        </w:rPr>
        <w:t>表.北京：人民卫生出版社</w:t>
      </w:r>
    </w:p>
    <w:p w:rsidR="00EA40A3" w:rsidRDefault="00EA40A3">
      <w:pPr>
        <w:spacing w:line="244" w:lineRule="auto"/>
      </w:pPr>
    </w:p>
    <w:p w:rsidR="00EA40A3" w:rsidRDefault="00EA40A3">
      <w:pPr>
        <w:spacing w:line="245" w:lineRule="auto"/>
      </w:pPr>
    </w:p>
    <w:p w:rsidR="00EA40A3" w:rsidRDefault="00E86C16">
      <w:pPr>
        <w:spacing w:before="69" w:line="222" w:lineRule="auto"/>
        <w:ind w:left="3"/>
        <w:outlineLvl w:val="6"/>
        <w:rPr>
          <w:rFonts w:ascii="黑体" w:eastAsia="黑体" w:hAnsi="黑体" w:cs="黑体"/>
        </w:rPr>
      </w:pPr>
      <w:r>
        <w:rPr>
          <w:rFonts w:ascii="黑体" w:eastAsia="黑体" w:hAnsi="黑体" w:cs="黑体"/>
          <w:b/>
          <w:bCs/>
          <w:spacing w:val="-3"/>
        </w:rPr>
        <w:t>4.1.6</w:t>
      </w:r>
      <w:r>
        <w:rPr>
          <w:rFonts w:ascii="黑体" w:eastAsia="黑体" w:hAnsi="黑体" w:cs="黑体"/>
          <w:spacing w:val="49"/>
        </w:rPr>
        <w:t xml:space="preserve">  </w:t>
      </w:r>
      <w:r>
        <w:rPr>
          <w:rFonts w:ascii="黑体" w:eastAsia="黑体" w:hAnsi="黑体" w:cs="黑体"/>
          <w:b/>
          <w:bCs/>
          <w:spacing w:val="-3"/>
        </w:rPr>
        <w:t>镁</w:t>
      </w:r>
    </w:p>
    <w:p w:rsidR="00EA40A3" w:rsidRDefault="00E86C16">
      <w:pPr>
        <w:spacing w:before="205" w:line="254" w:lineRule="auto"/>
        <w:ind w:right="63" w:firstLine="450"/>
        <w:jc w:val="both"/>
        <w:rPr>
          <w:rFonts w:ascii="宋体" w:eastAsia="宋体" w:hAnsi="宋体" w:cs="宋体"/>
        </w:rPr>
      </w:pPr>
      <w:r>
        <w:rPr>
          <w:rFonts w:ascii="宋体" w:eastAsia="宋体" w:hAnsi="宋体" w:cs="宋体"/>
          <w:spacing w:val="2"/>
        </w:rPr>
        <w:t>人体内含镁</w:t>
      </w:r>
      <w:r>
        <w:rPr>
          <w:rFonts w:ascii="宋体" w:eastAsia="宋体" w:hAnsi="宋体" w:cs="宋体"/>
          <w:spacing w:val="-29"/>
        </w:rPr>
        <w:t xml:space="preserve"> </w:t>
      </w:r>
      <w:r>
        <w:rPr>
          <w:rFonts w:ascii="宋体" w:eastAsia="宋体" w:hAnsi="宋体" w:cs="宋体"/>
          <w:spacing w:val="2"/>
        </w:rPr>
        <w:t>(</w:t>
      </w:r>
      <w:r>
        <w:rPr>
          <w:rFonts w:ascii="宋体" w:eastAsia="宋体" w:hAnsi="宋体" w:cs="宋体"/>
        </w:rPr>
        <w:t>magnesium</w:t>
      </w:r>
      <w:r>
        <w:rPr>
          <w:rFonts w:ascii="宋体" w:eastAsia="宋体" w:hAnsi="宋体" w:cs="宋体"/>
          <w:spacing w:val="2"/>
        </w:rPr>
        <w:t>)20～28g,</w:t>
      </w:r>
      <w:r>
        <w:rPr>
          <w:rFonts w:ascii="宋体" w:eastAsia="宋体" w:hAnsi="宋体" w:cs="宋体"/>
          <w:spacing w:val="30"/>
        </w:rPr>
        <w:t xml:space="preserve">  </w:t>
      </w:r>
      <w:r>
        <w:rPr>
          <w:rFonts w:ascii="宋体" w:eastAsia="宋体" w:hAnsi="宋体" w:cs="宋体"/>
          <w:spacing w:val="2"/>
        </w:rPr>
        <w:t>其中3/5集中在骨骼和牙齿，2/5分散</w:t>
      </w:r>
      <w:r>
        <w:rPr>
          <w:rFonts w:ascii="宋体" w:eastAsia="宋体" w:hAnsi="宋体" w:cs="宋体"/>
        </w:rPr>
        <w:t xml:space="preserve"> </w:t>
      </w:r>
      <w:r>
        <w:rPr>
          <w:rFonts w:ascii="宋体" w:eastAsia="宋体" w:hAnsi="宋体" w:cs="宋体"/>
          <w:spacing w:val="3"/>
        </w:rPr>
        <w:t>在肌肉和软组织。镁同钾一样主要集中在细胞内，细胞外液的镁不超过1%。在</w:t>
      </w:r>
      <w:r>
        <w:rPr>
          <w:rFonts w:ascii="宋体" w:eastAsia="宋体" w:hAnsi="宋体" w:cs="宋体"/>
          <w:spacing w:val="5"/>
        </w:rPr>
        <w:t xml:space="preserve"> </w:t>
      </w:r>
      <w:r>
        <w:rPr>
          <w:rFonts w:ascii="宋体" w:eastAsia="宋体" w:hAnsi="宋体" w:cs="宋体"/>
          <w:spacing w:val="3"/>
        </w:rPr>
        <w:t>血液中镁主要集中在红细胞内。镁在人体生理、病理及临床治疗中占有重要地</w:t>
      </w:r>
      <w:r>
        <w:rPr>
          <w:rFonts w:ascii="宋体" w:eastAsia="宋体" w:hAnsi="宋体" w:cs="宋体"/>
          <w:spacing w:val="5"/>
        </w:rPr>
        <w:t xml:space="preserve"> </w:t>
      </w:r>
      <w:r>
        <w:rPr>
          <w:rFonts w:ascii="宋体" w:eastAsia="宋体" w:hAnsi="宋体" w:cs="宋体"/>
          <w:spacing w:val="-6"/>
        </w:rPr>
        <w:t>位，近年来已被引起广泛的注意。</w:t>
      </w:r>
    </w:p>
    <w:p w:rsidR="00EA40A3" w:rsidRDefault="00E86C16">
      <w:pPr>
        <w:spacing w:before="62"/>
        <w:ind w:left="140"/>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98</w:t>
      </w:r>
      <w:r>
        <w:rPr>
          <w:rFonts w:ascii="宋体" w:eastAsia="宋体" w:hAnsi="宋体" w:cs="宋体"/>
          <w:spacing w:val="31"/>
        </w:rPr>
        <w:t xml:space="preserve"> </w:t>
      </w:r>
      <w:r>
        <w:rPr>
          <w:rFonts w:ascii="宋体" w:eastAsia="宋体" w:hAnsi="宋体" w:cs="宋体"/>
          <w:spacing w:val="-45"/>
        </w:rPr>
        <w:t>·</w:t>
      </w:r>
    </w:p>
    <w:p w:rsidR="00EA40A3" w:rsidRDefault="00EA40A3">
      <w:pPr>
        <w:sectPr w:rsidR="00EA40A3">
          <w:pgSz w:w="9220" w:h="13360"/>
          <w:pgMar w:top="400" w:right="1058" w:bottom="400" w:left="829" w:header="0" w:footer="0" w:gutter="0"/>
          <w:cols w:space="720"/>
        </w:sectPr>
      </w:pPr>
    </w:p>
    <w:p w:rsidR="00EA40A3" w:rsidRDefault="00EA40A3">
      <w:pPr>
        <w:spacing w:line="256" w:lineRule="auto"/>
      </w:pPr>
    </w:p>
    <w:p w:rsidR="00EA40A3" w:rsidRDefault="00EA40A3">
      <w:pPr>
        <w:spacing w:line="256" w:lineRule="auto"/>
      </w:pPr>
    </w:p>
    <w:p w:rsidR="00EA40A3" w:rsidRDefault="00EA40A3">
      <w:pPr>
        <w:spacing w:line="257"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42"/>
          <w:sz w:val="22"/>
          <w:szCs w:val="22"/>
        </w:rPr>
        <w:t xml:space="preserve"> </w:t>
      </w:r>
      <w:r>
        <w:rPr>
          <w:rFonts w:ascii="仿宋" w:eastAsia="仿宋" w:hAnsi="仿宋" w:cs="仿宋"/>
          <w:spacing w:val="10"/>
          <w:sz w:val="22"/>
          <w:szCs w:val="22"/>
        </w:rPr>
        <w:t>镁的生理功能</w:t>
      </w:r>
    </w:p>
    <w:p w:rsidR="00EA40A3" w:rsidRDefault="00E86C16">
      <w:pPr>
        <w:spacing w:before="176" w:line="241" w:lineRule="auto"/>
        <w:ind w:firstLine="419"/>
        <w:jc w:val="both"/>
        <w:rPr>
          <w:rFonts w:ascii="宋体" w:eastAsia="宋体" w:hAnsi="宋体" w:cs="宋体"/>
          <w:sz w:val="22"/>
          <w:szCs w:val="22"/>
        </w:rPr>
      </w:pPr>
      <w:r>
        <w:rPr>
          <w:rFonts w:ascii="宋体" w:eastAsia="宋体" w:hAnsi="宋体" w:cs="宋体"/>
          <w:spacing w:val="-3"/>
          <w:sz w:val="22"/>
          <w:szCs w:val="22"/>
        </w:rPr>
        <w:t>(1)激活多种酶的活性。镁作为多种酶的激</w:t>
      </w:r>
      <w:r>
        <w:rPr>
          <w:rFonts w:ascii="宋体" w:eastAsia="宋体" w:hAnsi="宋体" w:cs="宋体"/>
          <w:spacing w:val="-4"/>
          <w:sz w:val="22"/>
          <w:szCs w:val="22"/>
        </w:rPr>
        <w:t>活剂，参与300余种酶促反应。</w:t>
      </w:r>
      <w:r>
        <w:rPr>
          <w:rFonts w:ascii="宋体" w:eastAsia="宋体" w:hAnsi="宋体" w:cs="宋体"/>
          <w:sz w:val="22"/>
          <w:szCs w:val="22"/>
        </w:rPr>
        <w:t xml:space="preserve"> </w:t>
      </w:r>
      <w:r>
        <w:rPr>
          <w:rFonts w:ascii="宋体" w:eastAsia="宋体" w:hAnsi="宋体" w:cs="宋体"/>
          <w:spacing w:val="-13"/>
          <w:sz w:val="22"/>
          <w:szCs w:val="22"/>
        </w:rPr>
        <w:t>镁能与细胞内许多重要成分，如三磷酸腺苷等形成复合物而激活酶系，或直</w:t>
      </w:r>
      <w:r>
        <w:rPr>
          <w:rFonts w:ascii="宋体" w:eastAsia="宋体" w:hAnsi="宋体" w:cs="宋体"/>
          <w:spacing w:val="-14"/>
          <w:sz w:val="22"/>
          <w:szCs w:val="22"/>
        </w:rPr>
        <w:t>接作</w:t>
      </w:r>
      <w:r>
        <w:rPr>
          <w:rFonts w:ascii="宋体" w:eastAsia="宋体" w:hAnsi="宋体" w:cs="宋体"/>
          <w:sz w:val="22"/>
          <w:szCs w:val="22"/>
        </w:rPr>
        <w:t xml:space="preserve">  </w:t>
      </w:r>
      <w:r>
        <w:rPr>
          <w:rFonts w:ascii="宋体" w:eastAsia="宋体" w:hAnsi="宋体" w:cs="宋体"/>
          <w:spacing w:val="-19"/>
          <w:sz w:val="22"/>
          <w:szCs w:val="22"/>
        </w:rPr>
        <w:t>为酶的激活剂激活酶系，</w:t>
      </w:r>
    </w:p>
    <w:p w:rsidR="00EA40A3" w:rsidRDefault="00E86C16">
      <w:pPr>
        <w:spacing w:before="39" w:line="241" w:lineRule="auto"/>
        <w:ind w:right="100" w:firstLine="419"/>
        <w:jc w:val="both"/>
        <w:rPr>
          <w:rFonts w:ascii="宋体" w:eastAsia="宋体" w:hAnsi="宋体" w:cs="宋体"/>
          <w:sz w:val="22"/>
          <w:szCs w:val="22"/>
        </w:rPr>
      </w:pPr>
      <w:r>
        <w:rPr>
          <w:rFonts w:ascii="宋体" w:eastAsia="宋体" w:hAnsi="宋体" w:cs="宋体"/>
          <w:spacing w:val="-10"/>
          <w:sz w:val="22"/>
          <w:szCs w:val="22"/>
        </w:rPr>
        <w:t>(2)维护骨骼生长。镁是骨细胞结构和功能所必需的元素，镁可影响骨钙溶</w:t>
      </w:r>
      <w:r>
        <w:rPr>
          <w:rFonts w:ascii="宋体" w:eastAsia="宋体" w:hAnsi="宋体" w:cs="宋体"/>
          <w:spacing w:val="9"/>
          <w:sz w:val="22"/>
          <w:szCs w:val="22"/>
        </w:rPr>
        <w:t xml:space="preserve"> </w:t>
      </w:r>
      <w:r>
        <w:rPr>
          <w:rFonts w:ascii="宋体" w:eastAsia="宋体" w:hAnsi="宋体" w:cs="宋体"/>
          <w:spacing w:val="-13"/>
          <w:sz w:val="22"/>
          <w:szCs w:val="22"/>
        </w:rPr>
        <w:t>出。在极度低镁时，甲状旁腺功能低下而引起低血钙，骨培养于低</w:t>
      </w:r>
      <w:r>
        <w:rPr>
          <w:rFonts w:ascii="宋体" w:eastAsia="宋体" w:hAnsi="宋体" w:cs="宋体"/>
          <w:spacing w:val="-14"/>
          <w:sz w:val="22"/>
          <w:szCs w:val="22"/>
        </w:rPr>
        <w:t>镁溶液中，可</w:t>
      </w:r>
      <w:r>
        <w:rPr>
          <w:rFonts w:ascii="宋体" w:eastAsia="宋体" w:hAnsi="宋体" w:cs="宋体"/>
          <w:sz w:val="22"/>
          <w:szCs w:val="22"/>
        </w:rPr>
        <w:t xml:space="preserve"> </w:t>
      </w:r>
      <w:r>
        <w:rPr>
          <w:rFonts w:ascii="宋体" w:eastAsia="宋体" w:hAnsi="宋体" w:cs="宋体"/>
          <w:spacing w:val="-17"/>
          <w:sz w:val="22"/>
          <w:szCs w:val="22"/>
        </w:rPr>
        <w:t>使骨钙溶出降低。</w:t>
      </w:r>
    </w:p>
    <w:p w:rsidR="00EA40A3" w:rsidRDefault="00E86C16">
      <w:pPr>
        <w:spacing w:before="40" w:line="243" w:lineRule="auto"/>
        <w:ind w:right="94" w:firstLine="419"/>
        <w:jc w:val="both"/>
        <w:rPr>
          <w:rFonts w:ascii="宋体" w:eastAsia="宋体" w:hAnsi="宋体" w:cs="宋体"/>
          <w:sz w:val="22"/>
          <w:szCs w:val="22"/>
        </w:rPr>
      </w:pPr>
      <w:r>
        <w:rPr>
          <w:rFonts w:ascii="宋体" w:eastAsia="宋体" w:hAnsi="宋体" w:cs="宋体"/>
          <w:spacing w:val="-10"/>
          <w:sz w:val="22"/>
          <w:szCs w:val="22"/>
        </w:rPr>
        <w:t>(3)维持神经肌肉的兴奋性。镁与钙使神经肌肉兴奋和抑制的作用相同，不</w:t>
      </w:r>
      <w:r>
        <w:rPr>
          <w:rFonts w:ascii="宋体" w:eastAsia="宋体" w:hAnsi="宋体" w:cs="宋体"/>
          <w:spacing w:val="10"/>
          <w:sz w:val="22"/>
          <w:szCs w:val="22"/>
        </w:rPr>
        <w:t xml:space="preserve"> </w:t>
      </w:r>
      <w:r>
        <w:rPr>
          <w:rFonts w:ascii="宋体" w:eastAsia="宋体" w:hAnsi="宋体" w:cs="宋体"/>
          <w:spacing w:val="-13"/>
          <w:sz w:val="22"/>
          <w:szCs w:val="22"/>
        </w:rPr>
        <w:t>论血中镁或钙过低，神经肌肉兴奋性均增高，反之则有镇静作用。但</w:t>
      </w:r>
      <w:r>
        <w:rPr>
          <w:rFonts w:ascii="宋体" w:eastAsia="宋体" w:hAnsi="宋体" w:cs="宋体"/>
          <w:spacing w:val="-14"/>
          <w:sz w:val="22"/>
          <w:szCs w:val="22"/>
        </w:rPr>
        <w:t>镁和钙又有</w:t>
      </w:r>
      <w:r>
        <w:rPr>
          <w:rFonts w:ascii="宋体" w:eastAsia="宋体" w:hAnsi="宋体" w:cs="宋体"/>
          <w:sz w:val="22"/>
          <w:szCs w:val="22"/>
        </w:rPr>
        <w:t xml:space="preserve"> </w:t>
      </w:r>
      <w:r>
        <w:rPr>
          <w:rFonts w:ascii="宋体" w:eastAsia="宋体" w:hAnsi="宋体" w:cs="宋体"/>
          <w:spacing w:val="-13"/>
          <w:sz w:val="22"/>
          <w:szCs w:val="22"/>
        </w:rPr>
        <w:t>拮抗作用，竞争性地与某些酶结合，在神经肌肉功能方面表现出相反的作用，如</w:t>
      </w:r>
      <w:r>
        <w:rPr>
          <w:rFonts w:ascii="宋体" w:eastAsia="宋体" w:hAnsi="宋体" w:cs="宋体"/>
          <w:sz w:val="22"/>
          <w:szCs w:val="22"/>
        </w:rPr>
        <w:t xml:space="preserve"> </w:t>
      </w:r>
      <w:r>
        <w:rPr>
          <w:rFonts w:ascii="宋体" w:eastAsia="宋体" w:hAnsi="宋体" w:cs="宋体"/>
          <w:spacing w:val="-14"/>
          <w:sz w:val="22"/>
          <w:szCs w:val="22"/>
        </w:rPr>
        <w:t>由镁引起的中枢神经和肌肉接点处的传导阻滞可被钙拮抗。</w:t>
      </w:r>
    </w:p>
    <w:p w:rsidR="00EA40A3" w:rsidRDefault="00E86C16">
      <w:pPr>
        <w:spacing w:before="40" w:line="244" w:lineRule="auto"/>
        <w:ind w:right="71" w:firstLine="419"/>
        <w:jc w:val="both"/>
        <w:rPr>
          <w:rFonts w:ascii="宋体" w:eastAsia="宋体" w:hAnsi="宋体" w:cs="宋体"/>
          <w:sz w:val="22"/>
          <w:szCs w:val="22"/>
        </w:rPr>
      </w:pPr>
      <w:r>
        <w:rPr>
          <w:rFonts w:ascii="宋体" w:eastAsia="宋体" w:hAnsi="宋体" w:cs="宋体"/>
          <w:spacing w:val="-10"/>
          <w:sz w:val="22"/>
          <w:szCs w:val="22"/>
        </w:rPr>
        <w:t>(4)维护胃肠道功能。低硫酸镁溶液经十二指肠时，能促使胆囊排空，具有</w:t>
      </w:r>
      <w:r>
        <w:rPr>
          <w:rFonts w:ascii="宋体" w:eastAsia="宋体" w:hAnsi="宋体" w:cs="宋体"/>
          <w:spacing w:val="9"/>
          <w:sz w:val="22"/>
          <w:szCs w:val="22"/>
        </w:rPr>
        <w:t xml:space="preserve"> </w:t>
      </w:r>
      <w:r>
        <w:rPr>
          <w:rFonts w:ascii="宋体" w:eastAsia="宋体" w:hAnsi="宋体" w:cs="宋体"/>
          <w:spacing w:val="-13"/>
          <w:sz w:val="22"/>
          <w:szCs w:val="22"/>
        </w:rPr>
        <w:t>利胆作用。碱性镁盐可中和胃酸。镁离子在肠道中吸收缓慢，促使水分</w:t>
      </w:r>
      <w:r>
        <w:rPr>
          <w:rFonts w:ascii="宋体" w:eastAsia="宋体" w:hAnsi="宋体" w:cs="宋体"/>
          <w:spacing w:val="-14"/>
          <w:sz w:val="22"/>
          <w:szCs w:val="22"/>
        </w:rPr>
        <w:t>滞留，具</w:t>
      </w:r>
      <w:r>
        <w:rPr>
          <w:rFonts w:ascii="宋体" w:eastAsia="宋体" w:hAnsi="宋体" w:cs="宋体"/>
          <w:sz w:val="22"/>
          <w:szCs w:val="22"/>
        </w:rPr>
        <w:t xml:space="preserve"> </w:t>
      </w:r>
      <w:r>
        <w:rPr>
          <w:rFonts w:ascii="宋体" w:eastAsia="宋体" w:hAnsi="宋体" w:cs="宋体"/>
          <w:spacing w:val="-12"/>
          <w:sz w:val="22"/>
          <w:szCs w:val="22"/>
        </w:rPr>
        <w:t>有导泻作用。低浓度镁可减少肠壁张力和蠕动，有解</w:t>
      </w:r>
      <w:r>
        <w:rPr>
          <w:rFonts w:ascii="宋体" w:eastAsia="宋体" w:hAnsi="宋体" w:cs="宋体"/>
          <w:spacing w:val="-13"/>
          <w:sz w:val="22"/>
          <w:szCs w:val="22"/>
        </w:rPr>
        <w:t>痉作用，并有对抗毒扁豆碱</w:t>
      </w:r>
      <w:r>
        <w:rPr>
          <w:rFonts w:ascii="宋体" w:eastAsia="宋体" w:hAnsi="宋体" w:cs="宋体"/>
          <w:sz w:val="22"/>
          <w:szCs w:val="22"/>
        </w:rPr>
        <w:t xml:space="preserve"> </w:t>
      </w:r>
      <w:r>
        <w:rPr>
          <w:rFonts w:ascii="宋体" w:eastAsia="宋体" w:hAnsi="宋体" w:cs="宋体"/>
          <w:spacing w:val="-19"/>
          <w:sz w:val="22"/>
          <w:szCs w:val="22"/>
        </w:rPr>
        <w:t>的作用。</w:t>
      </w:r>
    </w:p>
    <w:p w:rsidR="00EA40A3" w:rsidRDefault="00E86C16">
      <w:pPr>
        <w:spacing w:before="35" w:line="244" w:lineRule="auto"/>
        <w:ind w:right="8" w:firstLine="419"/>
        <w:jc w:val="both"/>
        <w:rPr>
          <w:rFonts w:ascii="宋体" w:eastAsia="宋体" w:hAnsi="宋体" w:cs="宋体"/>
          <w:sz w:val="22"/>
          <w:szCs w:val="22"/>
        </w:rPr>
      </w:pPr>
      <w:r>
        <w:rPr>
          <w:rFonts w:ascii="宋体" w:eastAsia="宋体" w:hAnsi="宋体" w:cs="宋体"/>
          <w:spacing w:val="-8"/>
          <w:sz w:val="22"/>
          <w:szCs w:val="22"/>
        </w:rPr>
        <w:t>(5)对激素的作用。血浆镁的变化直接影响甲状旁腺激素</w:t>
      </w:r>
      <w:r>
        <w:rPr>
          <w:rFonts w:ascii="宋体" w:eastAsia="宋体" w:hAnsi="宋体" w:cs="宋体"/>
          <w:spacing w:val="-11"/>
          <w:sz w:val="22"/>
          <w:szCs w:val="22"/>
        </w:rPr>
        <w:t xml:space="preserve"> </w:t>
      </w:r>
      <w:r>
        <w:rPr>
          <w:rFonts w:ascii="宋体" w:eastAsia="宋体" w:hAnsi="宋体" w:cs="宋体"/>
          <w:spacing w:val="-9"/>
          <w:sz w:val="22"/>
          <w:szCs w:val="22"/>
        </w:rPr>
        <w:t>(</w:t>
      </w:r>
      <w:r>
        <w:rPr>
          <w:rFonts w:ascii="宋体" w:eastAsia="宋体" w:hAnsi="宋体" w:cs="宋体"/>
          <w:spacing w:val="-8"/>
          <w:sz w:val="22"/>
          <w:szCs w:val="22"/>
        </w:rPr>
        <w:t>PTH</w:t>
      </w:r>
      <w:r>
        <w:rPr>
          <w:rFonts w:ascii="宋体" w:eastAsia="宋体" w:hAnsi="宋体" w:cs="宋体"/>
          <w:spacing w:val="-9"/>
          <w:sz w:val="22"/>
          <w:szCs w:val="22"/>
        </w:rPr>
        <w:t>)</w:t>
      </w:r>
      <w:r>
        <w:rPr>
          <w:rFonts w:ascii="宋体" w:eastAsia="宋体" w:hAnsi="宋体" w:cs="宋体"/>
          <w:spacing w:val="28"/>
          <w:sz w:val="22"/>
          <w:szCs w:val="22"/>
        </w:rPr>
        <w:t xml:space="preserve">  </w:t>
      </w:r>
      <w:r>
        <w:rPr>
          <w:rFonts w:ascii="宋体" w:eastAsia="宋体" w:hAnsi="宋体" w:cs="宋体"/>
          <w:spacing w:val="-9"/>
          <w:sz w:val="22"/>
          <w:szCs w:val="22"/>
        </w:rPr>
        <w:t>的分泌。</w:t>
      </w:r>
      <w:r>
        <w:rPr>
          <w:rFonts w:ascii="宋体" w:eastAsia="宋体" w:hAnsi="宋体" w:cs="宋体"/>
          <w:spacing w:val="1"/>
          <w:sz w:val="22"/>
          <w:szCs w:val="22"/>
        </w:rPr>
        <w:t xml:space="preserve"> </w:t>
      </w:r>
      <w:r>
        <w:rPr>
          <w:rFonts w:ascii="宋体" w:eastAsia="宋体" w:hAnsi="宋体" w:cs="宋体"/>
          <w:spacing w:val="-9"/>
          <w:sz w:val="22"/>
          <w:szCs w:val="22"/>
        </w:rPr>
        <w:t>在正常情况下，当血浆镁增加时可抑制PTH</w:t>
      </w:r>
      <w:r>
        <w:rPr>
          <w:rFonts w:ascii="宋体" w:eastAsia="宋体" w:hAnsi="宋体" w:cs="宋体"/>
          <w:spacing w:val="75"/>
          <w:sz w:val="22"/>
          <w:szCs w:val="22"/>
        </w:rPr>
        <w:t xml:space="preserve"> </w:t>
      </w:r>
      <w:r>
        <w:rPr>
          <w:rFonts w:ascii="宋体" w:eastAsia="宋体" w:hAnsi="宋体" w:cs="宋体"/>
          <w:spacing w:val="-9"/>
          <w:sz w:val="22"/>
          <w:szCs w:val="22"/>
        </w:rPr>
        <w:t>分泌，血浆镁水平下降时则可兴奋</w:t>
      </w:r>
      <w:r>
        <w:rPr>
          <w:rFonts w:ascii="宋体" w:eastAsia="宋体" w:hAnsi="宋体" w:cs="宋体"/>
          <w:sz w:val="22"/>
          <w:szCs w:val="22"/>
        </w:rPr>
        <w:t xml:space="preserve">  </w:t>
      </w:r>
      <w:r>
        <w:rPr>
          <w:rFonts w:ascii="宋体" w:eastAsia="宋体" w:hAnsi="宋体" w:cs="宋体"/>
          <w:spacing w:val="-13"/>
          <w:sz w:val="22"/>
          <w:szCs w:val="22"/>
        </w:rPr>
        <w:t>甲状旁腺，促使镁自骨骼、肾脏、肠道转移至血中，但其量甚微。当</w:t>
      </w:r>
      <w:r>
        <w:rPr>
          <w:rFonts w:ascii="宋体" w:eastAsia="宋体" w:hAnsi="宋体" w:cs="宋体"/>
          <w:spacing w:val="-14"/>
          <w:sz w:val="22"/>
          <w:szCs w:val="22"/>
        </w:rPr>
        <w:t>镁水平极端</w:t>
      </w:r>
      <w:r>
        <w:rPr>
          <w:rFonts w:ascii="宋体" w:eastAsia="宋体" w:hAnsi="宋体" w:cs="宋体"/>
          <w:sz w:val="22"/>
          <w:szCs w:val="22"/>
        </w:rPr>
        <w:t xml:space="preserve">  </w:t>
      </w:r>
      <w:r>
        <w:rPr>
          <w:rFonts w:ascii="宋体" w:eastAsia="宋体" w:hAnsi="宋体" w:cs="宋体"/>
          <w:spacing w:val="-13"/>
          <w:sz w:val="22"/>
          <w:szCs w:val="22"/>
        </w:rPr>
        <w:t>低下时，可使甲状旁腺功能反而低下，经补充镁后即可恢复。</w:t>
      </w:r>
    </w:p>
    <w:p w:rsidR="00EA40A3" w:rsidRDefault="00EA40A3">
      <w:pPr>
        <w:spacing w:line="254" w:lineRule="auto"/>
      </w:pPr>
    </w:p>
    <w:p w:rsidR="00EA40A3" w:rsidRDefault="00E86C16">
      <w:pPr>
        <w:spacing w:before="72" w:line="223"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34"/>
          <w:sz w:val="22"/>
          <w:szCs w:val="22"/>
        </w:rPr>
        <w:t xml:space="preserve"> </w:t>
      </w:r>
      <w:r>
        <w:rPr>
          <w:rFonts w:ascii="仿宋" w:eastAsia="仿宋" w:hAnsi="仿宋" w:cs="仿宋"/>
          <w:spacing w:val="10"/>
          <w:sz w:val="22"/>
          <w:szCs w:val="22"/>
        </w:rPr>
        <w:t>镁的吸收与代谢</w:t>
      </w:r>
    </w:p>
    <w:p w:rsidR="00EA40A3" w:rsidRDefault="00E86C16">
      <w:pPr>
        <w:spacing w:before="185" w:line="239" w:lineRule="auto"/>
        <w:ind w:firstLine="419"/>
        <w:rPr>
          <w:rFonts w:ascii="宋体" w:eastAsia="宋体" w:hAnsi="宋体" w:cs="宋体"/>
          <w:sz w:val="22"/>
          <w:szCs w:val="22"/>
        </w:rPr>
      </w:pPr>
      <w:r>
        <w:rPr>
          <w:rFonts w:ascii="宋体" w:eastAsia="宋体" w:hAnsi="宋体" w:cs="宋体"/>
          <w:spacing w:val="-10"/>
          <w:sz w:val="22"/>
          <w:szCs w:val="22"/>
        </w:rPr>
        <w:t>食物中的镁在整个肠道均可被吸收，但主要是在空肠</w:t>
      </w:r>
      <w:r>
        <w:rPr>
          <w:rFonts w:ascii="宋体" w:eastAsia="宋体" w:hAnsi="宋体" w:cs="宋体"/>
          <w:spacing w:val="-11"/>
          <w:sz w:val="22"/>
          <w:szCs w:val="22"/>
        </w:rPr>
        <w:t>末端与回肠部位吸收，</w:t>
      </w:r>
      <w:r>
        <w:rPr>
          <w:rFonts w:ascii="宋体" w:eastAsia="宋体" w:hAnsi="宋体" w:cs="宋体"/>
          <w:sz w:val="22"/>
          <w:szCs w:val="22"/>
        </w:rPr>
        <w:t xml:space="preserve"> </w:t>
      </w:r>
      <w:r>
        <w:rPr>
          <w:rFonts w:ascii="宋体" w:eastAsia="宋体" w:hAnsi="宋体" w:cs="宋体"/>
          <w:spacing w:val="-5"/>
          <w:sz w:val="22"/>
          <w:szCs w:val="22"/>
        </w:rPr>
        <w:t>吸收率一般约为30%;可通过被动扩散和耗能的主动吸收两种机制吸收。</w:t>
      </w:r>
    </w:p>
    <w:p w:rsidR="00EA40A3" w:rsidRDefault="00E86C16">
      <w:pPr>
        <w:spacing w:before="40" w:line="247" w:lineRule="auto"/>
        <w:ind w:right="20" w:firstLine="419"/>
        <w:rPr>
          <w:rFonts w:ascii="宋体" w:eastAsia="宋体" w:hAnsi="宋体" w:cs="宋体"/>
          <w:sz w:val="22"/>
          <w:szCs w:val="22"/>
        </w:rPr>
      </w:pPr>
      <w:r>
        <w:rPr>
          <w:rFonts w:ascii="宋体" w:eastAsia="宋体" w:hAnsi="宋体" w:cs="宋体"/>
          <w:spacing w:val="-9"/>
          <w:sz w:val="22"/>
          <w:szCs w:val="22"/>
        </w:rPr>
        <w:t>影响镁吸收的因素很多，首先是受镁摄入量的影响，摄入少时吸收率增加</w:t>
      </w:r>
      <w:r>
        <w:rPr>
          <w:rFonts w:ascii="宋体" w:eastAsia="宋体" w:hAnsi="宋体" w:cs="宋体"/>
          <w:spacing w:val="6"/>
          <w:sz w:val="22"/>
          <w:szCs w:val="22"/>
        </w:rPr>
        <w:t xml:space="preserve">  </w:t>
      </w:r>
      <w:r>
        <w:rPr>
          <w:rFonts w:ascii="宋体" w:eastAsia="宋体" w:hAnsi="宋体" w:cs="宋体"/>
          <w:spacing w:val="-6"/>
          <w:sz w:val="22"/>
          <w:szCs w:val="22"/>
        </w:rPr>
        <w:t>摄入多时吸收率降低。膳食成分对镁吸收也有很大影响，既有促</w:t>
      </w:r>
      <w:r>
        <w:rPr>
          <w:rFonts w:ascii="宋体" w:eastAsia="宋体" w:hAnsi="宋体" w:cs="宋体"/>
          <w:spacing w:val="-7"/>
          <w:sz w:val="22"/>
          <w:szCs w:val="22"/>
        </w:rPr>
        <w:t>进镁吸收的成</w:t>
      </w:r>
      <w:r>
        <w:rPr>
          <w:rFonts w:ascii="宋体" w:eastAsia="宋体" w:hAnsi="宋体" w:cs="宋体"/>
          <w:sz w:val="22"/>
          <w:szCs w:val="22"/>
        </w:rPr>
        <w:t xml:space="preserve"> </w:t>
      </w:r>
      <w:r>
        <w:rPr>
          <w:rFonts w:ascii="宋体" w:eastAsia="宋体" w:hAnsi="宋体" w:cs="宋体"/>
          <w:spacing w:val="-11"/>
          <w:sz w:val="22"/>
          <w:szCs w:val="22"/>
        </w:rPr>
        <w:t>分，又有抑制镁吸收的成分。膳食中促进镁吸</w:t>
      </w:r>
      <w:r>
        <w:rPr>
          <w:rFonts w:ascii="宋体" w:eastAsia="宋体" w:hAnsi="宋体" w:cs="宋体"/>
          <w:spacing w:val="-12"/>
          <w:sz w:val="22"/>
          <w:szCs w:val="22"/>
        </w:rPr>
        <w:t>收的成分主要有氨基酸、乳糖等，</w:t>
      </w:r>
      <w:r>
        <w:rPr>
          <w:rFonts w:ascii="宋体" w:eastAsia="宋体" w:hAnsi="宋体" w:cs="宋体"/>
          <w:sz w:val="22"/>
          <w:szCs w:val="22"/>
        </w:rPr>
        <w:t xml:space="preserve"> </w:t>
      </w:r>
      <w:r>
        <w:rPr>
          <w:rFonts w:ascii="宋体" w:eastAsia="宋体" w:hAnsi="宋体" w:cs="宋体"/>
          <w:spacing w:val="-14"/>
          <w:sz w:val="22"/>
          <w:szCs w:val="22"/>
        </w:rPr>
        <w:t>氨基酸可增加难溶性镁盐的溶解度，所以蛋白质可促进镁的吸收；抑制镁吸收的</w:t>
      </w:r>
      <w:r>
        <w:rPr>
          <w:rFonts w:ascii="宋体" w:eastAsia="宋体" w:hAnsi="宋体" w:cs="宋体"/>
          <w:spacing w:val="7"/>
          <w:sz w:val="22"/>
          <w:szCs w:val="22"/>
        </w:rPr>
        <w:t xml:space="preserve">  </w:t>
      </w:r>
      <w:r>
        <w:rPr>
          <w:rFonts w:ascii="宋体" w:eastAsia="宋体" w:hAnsi="宋体" w:cs="宋体"/>
          <w:spacing w:val="-14"/>
          <w:sz w:val="22"/>
          <w:szCs w:val="22"/>
        </w:rPr>
        <w:t>主要成分有过多的磷、草酸、植酸和膳食纤维等。另外，镁的吸收还与饮水量有</w:t>
      </w:r>
      <w:r>
        <w:rPr>
          <w:rFonts w:ascii="宋体" w:eastAsia="宋体" w:hAnsi="宋体" w:cs="宋体"/>
          <w:spacing w:val="4"/>
          <w:sz w:val="22"/>
          <w:szCs w:val="22"/>
        </w:rPr>
        <w:t xml:space="preserve">  </w:t>
      </w:r>
      <w:r>
        <w:rPr>
          <w:rFonts w:ascii="宋体" w:eastAsia="宋体" w:hAnsi="宋体" w:cs="宋体"/>
          <w:spacing w:val="-11"/>
          <w:sz w:val="22"/>
          <w:szCs w:val="22"/>
        </w:rPr>
        <w:t>关，饮水多时对镁离子的吸收有明显的促进作用。由于镁与钙的吸收途径相同，</w:t>
      </w:r>
      <w:r>
        <w:rPr>
          <w:rFonts w:ascii="宋体" w:eastAsia="宋体" w:hAnsi="宋体" w:cs="宋体"/>
          <w:spacing w:val="4"/>
          <w:sz w:val="22"/>
          <w:szCs w:val="22"/>
        </w:rPr>
        <w:t xml:space="preserve"> </w:t>
      </w:r>
      <w:r>
        <w:rPr>
          <w:rFonts w:ascii="宋体" w:eastAsia="宋体" w:hAnsi="宋体" w:cs="宋体"/>
          <w:spacing w:val="-14"/>
          <w:sz w:val="22"/>
          <w:szCs w:val="22"/>
        </w:rPr>
        <w:t>二者在肠道竞争吸收，因此，也有相互干扰的问题。</w:t>
      </w:r>
    </w:p>
    <w:p w:rsidR="00EA40A3" w:rsidRDefault="00E86C16">
      <w:pPr>
        <w:spacing w:before="92" w:line="243" w:lineRule="auto"/>
        <w:ind w:right="69" w:firstLine="419"/>
        <w:jc w:val="both"/>
        <w:rPr>
          <w:rFonts w:ascii="宋体" w:eastAsia="宋体" w:hAnsi="宋体" w:cs="宋体"/>
          <w:sz w:val="22"/>
          <w:szCs w:val="22"/>
        </w:rPr>
      </w:pPr>
      <w:r>
        <w:rPr>
          <w:rFonts w:ascii="宋体" w:eastAsia="宋体" w:hAnsi="宋体" w:cs="宋体"/>
          <w:sz w:val="22"/>
          <w:szCs w:val="22"/>
        </w:rPr>
        <w:t xml:space="preserve">肾脏是排镁的主要器官，滤过的镁大约85%～95%被重吸收。血清镁水平 </w:t>
      </w:r>
      <w:r>
        <w:rPr>
          <w:rFonts w:ascii="宋体" w:eastAsia="宋体" w:hAnsi="宋体" w:cs="宋体"/>
          <w:spacing w:val="-13"/>
          <w:sz w:val="22"/>
          <w:szCs w:val="22"/>
        </w:rPr>
        <w:t>高，肾小管重吸收减少；血清镁水平低，肾小管重吸收增加，此</w:t>
      </w:r>
      <w:r>
        <w:rPr>
          <w:rFonts w:ascii="宋体" w:eastAsia="宋体" w:hAnsi="宋体" w:cs="宋体"/>
          <w:spacing w:val="-14"/>
          <w:sz w:val="22"/>
          <w:szCs w:val="22"/>
        </w:rPr>
        <w:t>调节过程有甲状</w:t>
      </w:r>
      <w:r>
        <w:rPr>
          <w:rFonts w:ascii="宋体" w:eastAsia="宋体" w:hAnsi="宋体" w:cs="宋体"/>
          <w:sz w:val="22"/>
          <w:szCs w:val="22"/>
        </w:rPr>
        <w:t xml:space="preserve"> 旁腺激素参与。消化液中含有镁，但正常情况下60%～70%被重吸收，故粪便</w:t>
      </w:r>
      <w:r>
        <w:rPr>
          <w:rFonts w:ascii="宋体" w:eastAsia="宋体" w:hAnsi="宋体" w:cs="宋体"/>
          <w:spacing w:val="9"/>
          <w:sz w:val="22"/>
          <w:szCs w:val="22"/>
        </w:rPr>
        <w:t xml:space="preserve"> </w:t>
      </w:r>
      <w:r>
        <w:rPr>
          <w:rFonts w:ascii="宋体" w:eastAsia="宋体" w:hAnsi="宋体" w:cs="宋体"/>
          <w:spacing w:val="-14"/>
          <w:sz w:val="22"/>
          <w:szCs w:val="22"/>
        </w:rPr>
        <w:t>只排出少量内源性镁。汗液也可排出少量镁。</w:t>
      </w:r>
    </w:p>
    <w:p w:rsidR="00EA40A3" w:rsidRDefault="00EA40A3">
      <w:pPr>
        <w:sectPr w:rsidR="00EA40A3">
          <w:footerReference w:type="default" r:id="rId79"/>
          <w:pgSz w:w="9220" w:h="13360"/>
          <w:pgMar w:top="400" w:right="899" w:bottom="1214" w:left="979" w:header="0" w:footer="981" w:gutter="0"/>
          <w:cols w:space="720"/>
        </w:sectPr>
      </w:pPr>
    </w:p>
    <w:p w:rsidR="00EA40A3" w:rsidRDefault="00EA40A3">
      <w:pPr>
        <w:spacing w:line="264" w:lineRule="auto"/>
      </w:pPr>
    </w:p>
    <w:p w:rsidR="00EA40A3" w:rsidRDefault="00EA40A3">
      <w:pPr>
        <w:spacing w:line="264" w:lineRule="auto"/>
      </w:pPr>
    </w:p>
    <w:p w:rsidR="00EA40A3" w:rsidRDefault="00EA40A3">
      <w:pPr>
        <w:spacing w:line="264" w:lineRule="auto"/>
      </w:pPr>
    </w:p>
    <w:p w:rsidR="00EA40A3" w:rsidRDefault="00E86C16">
      <w:pPr>
        <w:spacing w:before="71" w:line="224"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35"/>
          <w:sz w:val="22"/>
          <w:szCs w:val="22"/>
        </w:rPr>
        <w:t xml:space="preserve"> </w:t>
      </w:r>
      <w:r>
        <w:rPr>
          <w:rFonts w:ascii="仿宋" w:eastAsia="仿宋" w:hAnsi="仿宋" w:cs="仿宋"/>
          <w:spacing w:val="10"/>
          <w:sz w:val="22"/>
          <w:szCs w:val="22"/>
        </w:rPr>
        <w:t>镁的缺乏</w:t>
      </w:r>
    </w:p>
    <w:p w:rsidR="00EA40A3" w:rsidRDefault="00E86C16">
      <w:pPr>
        <w:spacing w:before="168" w:line="223" w:lineRule="auto"/>
        <w:rPr>
          <w:rFonts w:ascii="楷体" w:eastAsia="楷体" w:hAnsi="楷体" w:cs="楷体"/>
          <w:sz w:val="22"/>
          <w:szCs w:val="22"/>
        </w:rPr>
      </w:pPr>
      <w:r>
        <w:rPr>
          <w:rFonts w:ascii="楷体" w:eastAsia="楷体" w:hAnsi="楷体" w:cs="楷体"/>
          <w:spacing w:val="-5"/>
          <w:sz w:val="22"/>
          <w:szCs w:val="22"/>
        </w:rPr>
        <w:t>1)镁缺乏对机体的影响</w:t>
      </w:r>
    </w:p>
    <w:p w:rsidR="00EA40A3" w:rsidRDefault="00E86C16">
      <w:pPr>
        <w:spacing w:before="58" w:line="236" w:lineRule="auto"/>
        <w:ind w:right="100" w:firstLine="419"/>
        <w:rPr>
          <w:rFonts w:ascii="宋体" w:eastAsia="宋体" w:hAnsi="宋体" w:cs="宋体"/>
          <w:sz w:val="22"/>
          <w:szCs w:val="22"/>
        </w:rPr>
      </w:pPr>
      <w:r>
        <w:rPr>
          <w:rFonts w:ascii="宋体" w:eastAsia="宋体" w:hAnsi="宋体" w:cs="宋体"/>
          <w:spacing w:val="-10"/>
          <w:sz w:val="22"/>
          <w:szCs w:val="22"/>
        </w:rPr>
        <w:t>(1)对钙代谢的影响。低钙血症患者常有显著的镁缺乏表现，而镁耗竭也可</w:t>
      </w:r>
      <w:r>
        <w:rPr>
          <w:rFonts w:ascii="宋体" w:eastAsia="宋体" w:hAnsi="宋体" w:cs="宋体"/>
          <w:spacing w:val="8"/>
          <w:sz w:val="22"/>
          <w:szCs w:val="22"/>
        </w:rPr>
        <w:t xml:space="preserve"> </w:t>
      </w:r>
      <w:r>
        <w:rPr>
          <w:rFonts w:ascii="宋体" w:eastAsia="宋体" w:hAnsi="宋体" w:cs="宋体"/>
          <w:spacing w:val="-15"/>
          <w:sz w:val="22"/>
          <w:szCs w:val="22"/>
        </w:rPr>
        <w:t>导致血清钙浓度显著下降。</w:t>
      </w:r>
    </w:p>
    <w:p w:rsidR="00EA40A3" w:rsidRDefault="00E86C16">
      <w:pPr>
        <w:spacing w:before="40" w:line="243" w:lineRule="auto"/>
        <w:ind w:right="79" w:firstLine="419"/>
        <w:rPr>
          <w:rFonts w:ascii="宋体" w:eastAsia="宋体" w:hAnsi="宋体" w:cs="宋体"/>
          <w:sz w:val="22"/>
          <w:szCs w:val="22"/>
        </w:rPr>
      </w:pPr>
      <w:r>
        <w:rPr>
          <w:rFonts w:ascii="宋体" w:eastAsia="宋体" w:hAnsi="宋体" w:cs="宋体"/>
          <w:spacing w:val="-9"/>
          <w:sz w:val="22"/>
          <w:szCs w:val="22"/>
        </w:rPr>
        <w:t>(2)对神经肌肉兴奋性的影响。低血钙可以引起神经肌肉的临床表</w:t>
      </w:r>
      <w:r>
        <w:rPr>
          <w:rFonts w:ascii="宋体" w:eastAsia="宋体" w:hAnsi="宋体" w:cs="宋体"/>
          <w:spacing w:val="-10"/>
          <w:sz w:val="22"/>
          <w:szCs w:val="22"/>
        </w:rPr>
        <w:t>现，但是</w:t>
      </w:r>
      <w:r>
        <w:rPr>
          <w:rFonts w:ascii="宋体" w:eastAsia="宋体" w:hAnsi="宋体" w:cs="宋体"/>
          <w:sz w:val="22"/>
          <w:szCs w:val="22"/>
        </w:rPr>
        <w:t xml:space="preserve"> </w:t>
      </w:r>
      <w:r>
        <w:rPr>
          <w:rFonts w:ascii="宋体" w:eastAsia="宋体" w:hAnsi="宋体" w:cs="宋体"/>
          <w:spacing w:val="-13"/>
          <w:sz w:val="22"/>
          <w:szCs w:val="22"/>
        </w:rPr>
        <w:t>无低血钙的低镁血症患者也可出现神经肌肉的兴奋性亢进。神经肌肉兴奋性亢进</w:t>
      </w:r>
      <w:r>
        <w:rPr>
          <w:rFonts w:ascii="宋体" w:eastAsia="宋体" w:hAnsi="宋体" w:cs="宋体"/>
          <w:spacing w:val="12"/>
          <w:sz w:val="22"/>
          <w:szCs w:val="22"/>
        </w:rPr>
        <w:t xml:space="preserve"> </w:t>
      </w:r>
      <w:r>
        <w:rPr>
          <w:rFonts w:ascii="宋体" w:eastAsia="宋体" w:hAnsi="宋体" w:cs="宋体"/>
          <w:spacing w:val="-13"/>
          <w:sz w:val="22"/>
          <w:szCs w:val="22"/>
        </w:rPr>
        <w:t>是镁缺乏症的最初表现，常见肌肉震颤、手足抽搐、反射亢进，有时出现听觉过</w:t>
      </w:r>
      <w:r>
        <w:rPr>
          <w:rFonts w:ascii="宋体" w:eastAsia="宋体" w:hAnsi="宋体" w:cs="宋体"/>
          <w:spacing w:val="12"/>
          <w:sz w:val="22"/>
          <w:szCs w:val="22"/>
        </w:rPr>
        <w:t xml:space="preserve"> </w:t>
      </w:r>
      <w:r>
        <w:rPr>
          <w:rFonts w:ascii="宋体" w:eastAsia="宋体" w:hAnsi="宋体" w:cs="宋体"/>
          <w:spacing w:val="-14"/>
          <w:sz w:val="22"/>
          <w:szCs w:val="22"/>
        </w:rPr>
        <w:t>敏和幻觉，严重时出现精神错乱、定向力失常，甚至惊厥、昏迷。</w:t>
      </w:r>
    </w:p>
    <w:p w:rsidR="00EA40A3" w:rsidRDefault="00E86C16">
      <w:pPr>
        <w:spacing w:before="39" w:line="236" w:lineRule="auto"/>
        <w:ind w:right="72" w:firstLine="419"/>
        <w:rPr>
          <w:rFonts w:ascii="宋体" w:eastAsia="宋体" w:hAnsi="宋体" w:cs="宋体"/>
          <w:sz w:val="22"/>
          <w:szCs w:val="22"/>
        </w:rPr>
      </w:pPr>
      <w:r>
        <w:rPr>
          <w:rFonts w:ascii="宋体" w:eastAsia="宋体" w:hAnsi="宋体" w:cs="宋体"/>
          <w:spacing w:val="-9"/>
          <w:sz w:val="22"/>
          <w:szCs w:val="22"/>
        </w:rPr>
        <w:t>(3)对骨骼的影响。镁能直接影响骨细胞功能，以及羟磷灰石晶体的形成与</w:t>
      </w:r>
      <w:r>
        <w:rPr>
          <w:rFonts w:ascii="宋体" w:eastAsia="宋体" w:hAnsi="宋体" w:cs="宋体"/>
          <w:spacing w:val="2"/>
          <w:sz w:val="22"/>
          <w:szCs w:val="22"/>
        </w:rPr>
        <w:t xml:space="preserve"> </w:t>
      </w:r>
      <w:r>
        <w:rPr>
          <w:rFonts w:ascii="宋体" w:eastAsia="宋体" w:hAnsi="宋体" w:cs="宋体"/>
          <w:spacing w:val="-14"/>
          <w:sz w:val="22"/>
          <w:szCs w:val="22"/>
        </w:rPr>
        <w:t>增大。镁缺乏可能是绝经后骨质疏松症的一种危险因素。</w:t>
      </w:r>
    </w:p>
    <w:p w:rsidR="00EA40A3" w:rsidRDefault="00E86C16">
      <w:pPr>
        <w:spacing w:before="40" w:line="241" w:lineRule="auto"/>
        <w:ind w:right="80" w:firstLine="419"/>
        <w:rPr>
          <w:rFonts w:ascii="宋体" w:eastAsia="宋体" w:hAnsi="宋体" w:cs="宋体"/>
          <w:sz w:val="22"/>
          <w:szCs w:val="22"/>
        </w:rPr>
      </w:pPr>
      <w:r>
        <w:rPr>
          <w:rFonts w:ascii="宋体" w:eastAsia="宋体" w:hAnsi="宋体" w:cs="宋体"/>
          <w:spacing w:val="-9"/>
          <w:sz w:val="22"/>
          <w:szCs w:val="22"/>
        </w:rPr>
        <w:t>(4)其他。镁缺乏对血管功能可能有潜在的影响，动脉粥样硬化</w:t>
      </w:r>
      <w:r>
        <w:rPr>
          <w:rFonts w:ascii="宋体" w:eastAsia="宋体" w:hAnsi="宋体" w:cs="宋体"/>
          <w:spacing w:val="-10"/>
          <w:sz w:val="22"/>
          <w:szCs w:val="22"/>
        </w:rPr>
        <w:t>的发生与镁</w:t>
      </w:r>
      <w:r>
        <w:rPr>
          <w:rFonts w:ascii="宋体" w:eastAsia="宋体" w:hAnsi="宋体" w:cs="宋体"/>
          <w:sz w:val="22"/>
          <w:szCs w:val="22"/>
        </w:rPr>
        <w:t xml:space="preserve"> </w:t>
      </w:r>
      <w:r>
        <w:rPr>
          <w:rFonts w:ascii="宋体" w:eastAsia="宋体" w:hAnsi="宋体" w:cs="宋体"/>
          <w:spacing w:val="-13"/>
          <w:sz w:val="22"/>
          <w:szCs w:val="22"/>
        </w:rPr>
        <w:t>有关，镁在血压调节方面也起重要作用，镁耗竭还可以导致胰岛素抵抗及胰岛素</w:t>
      </w:r>
      <w:r>
        <w:rPr>
          <w:rFonts w:ascii="宋体" w:eastAsia="宋体" w:hAnsi="宋体" w:cs="宋体"/>
          <w:spacing w:val="13"/>
          <w:sz w:val="22"/>
          <w:szCs w:val="22"/>
        </w:rPr>
        <w:t xml:space="preserve"> </w:t>
      </w:r>
      <w:r>
        <w:rPr>
          <w:rFonts w:ascii="宋体" w:eastAsia="宋体" w:hAnsi="宋体" w:cs="宋体"/>
          <w:spacing w:val="-16"/>
          <w:sz w:val="22"/>
          <w:szCs w:val="22"/>
        </w:rPr>
        <w:t>分泌损害。</w:t>
      </w:r>
    </w:p>
    <w:p w:rsidR="00EA40A3" w:rsidRDefault="00E86C16">
      <w:pPr>
        <w:spacing w:before="75" w:line="227" w:lineRule="auto"/>
        <w:rPr>
          <w:rFonts w:ascii="楷体" w:eastAsia="楷体" w:hAnsi="楷体" w:cs="楷体"/>
          <w:sz w:val="22"/>
          <w:szCs w:val="22"/>
        </w:rPr>
      </w:pPr>
      <w:r>
        <w:rPr>
          <w:rFonts w:ascii="楷体" w:eastAsia="楷体" w:hAnsi="楷体" w:cs="楷体"/>
          <w:spacing w:val="-1"/>
          <w:sz w:val="22"/>
          <w:szCs w:val="22"/>
        </w:rPr>
        <w:t>2)引起镁缺乏的原因</w:t>
      </w:r>
    </w:p>
    <w:p w:rsidR="00EA40A3" w:rsidRDefault="00E86C16">
      <w:pPr>
        <w:spacing w:before="49" w:line="236" w:lineRule="auto"/>
        <w:ind w:right="80" w:firstLine="419"/>
        <w:rPr>
          <w:rFonts w:ascii="宋体" w:eastAsia="宋体" w:hAnsi="宋体" w:cs="宋体"/>
          <w:sz w:val="22"/>
          <w:szCs w:val="22"/>
        </w:rPr>
      </w:pPr>
      <w:r>
        <w:rPr>
          <w:rFonts w:ascii="宋体" w:eastAsia="宋体" w:hAnsi="宋体" w:cs="宋体"/>
          <w:spacing w:val="-13"/>
          <w:sz w:val="22"/>
          <w:szCs w:val="22"/>
        </w:rPr>
        <w:t>引起镁缺乏的原因主要有：镁摄入不足、吸收障碍、丢失过多以及多种临床</w:t>
      </w:r>
      <w:r>
        <w:rPr>
          <w:rFonts w:ascii="宋体" w:eastAsia="宋体" w:hAnsi="宋体" w:cs="宋体"/>
          <w:spacing w:val="7"/>
          <w:sz w:val="22"/>
          <w:szCs w:val="22"/>
        </w:rPr>
        <w:t xml:space="preserve"> </w:t>
      </w:r>
      <w:r>
        <w:rPr>
          <w:rFonts w:ascii="宋体" w:eastAsia="宋体" w:hAnsi="宋体" w:cs="宋体"/>
          <w:spacing w:val="-15"/>
          <w:sz w:val="22"/>
          <w:szCs w:val="22"/>
        </w:rPr>
        <w:t>疾病等。</w:t>
      </w:r>
    </w:p>
    <w:p w:rsidR="00EA40A3" w:rsidRDefault="00E86C16">
      <w:pPr>
        <w:spacing w:before="57" w:line="241" w:lineRule="auto"/>
        <w:ind w:right="78" w:firstLine="419"/>
        <w:rPr>
          <w:rFonts w:ascii="宋体" w:eastAsia="宋体" w:hAnsi="宋体" w:cs="宋体"/>
          <w:sz w:val="22"/>
          <w:szCs w:val="22"/>
        </w:rPr>
      </w:pPr>
      <w:r>
        <w:rPr>
          <w:rFonts w:ascii="宋体" w:eastAsia="宋体" w:hAnsi="宋体" w:cs="宋体"/>
          <w:spacing w:val="-9"/>
          <w:sz w:val="22"/>
          <w:szCs w:val="22"/>
        </w:rPr>
        <w:t>(1)摄入不足。最常见的摄入不足是饥饿，饥饿不但</w:t>
      </w:r>
      <w:r>
        <w:rPr>
          <w:rFonts w:ascii="宋体" w:eastAsia="宋体" w:hAnsi="宋体" w:cs="宋体"/>
          <w:spacing w:val="-10"/>
          <w:sz w:val="22"/>
          <w:szCs w:val="22"/>
        </w:rPr>
        <w:t>使镁摄人减少，而且由</w:t>
      </w:r>
      <w:r>
        <w:rPr>
          <w:rFonts w:ascii="宋体" w:eastAsia="宋体" w:hAnsi="宋体" w:cs="宋体"/>
          <w:sz w:val="22"/>
          <w:szCs w:val="22"/>
        </w:rPr>
        <w:t xml:space="preserve"> </w:t>
      </w:r>
      <w:r>
        <w:rPr>
          <w:rFonts w:ascii="宋体" w:eastAsia="宋体" w:hAnsi="宋体" w:cs="宋体"/>
          <w:spacing w:val="-9"/>
          <w:sz w:val="22"/>
          <w:szCs w:val="22"/>
        </w:rPr>
        <w:t>于继发的代谢性酸中毒可使肾脏排镁增多。蛋白</w:t>
      </w:r>
      <w:r>
        <w:rPr>
          <w:rFonts w:ascii="宋体" w:eastAsia="宋体" w:hAnsi="宋体" w:cs="宋体"/>
          <w:spacing w:val="-10"/>
          <w:sz w:val="22"/>
          <w:szCs w:val="22"/>
        </w:rPr>
        <w:t>质-能量营养不良的患儿，全部</w:t>
      </w:r>
      <w:r>
        <w:rPr>
          <w:rFonts w:ascii="宋体" w:eastAsia="宋体" w:hAnsi="宋体" w:cs="宋体"/>
          <w:sz w:val="22"/>
          <w:szCs w:val="22"/>
        </w:rPr>
        <w:t xml:space="preserve"> </w:t>
      </w:r>
      <w:r>
        <w:rPr>
          <w:rFonts w:ascii="宋体" w:eastAsia="宋体" w:hAnsi="宋体" w:cs="宋体"/>
          <w:spacing w:val="-15"/>
          <w:sz w:val="22"/>
          <w:szCs w:val="22"/>
        </w:rPr>
        <w:t>都有镁缺乏症，补镁可明显促使患儿康复。</w:t>
      </w:r>
    </w:p>
    <w:p w:rsidR="00EA40A3" w:rsidRDefault="00E86C16">
      <w:pPr>
        <w:spacing w:before="39" w:line="236" w:lineRule="auto"/>
        <w:ind w:firstLine="419"/>
        <w:rPr>
          <w:rFonts w:ascii="宋体" w:eastAsia="宋体" w:hAnsi="宋体" w:cs="宋体"/>
          <w:sz w:val="22"/>
          <w:szCs w:val="22"/>
        </w:rPr>
      </w:pPr>
      <w:r>
        <w:rPr>
          <w:rFonts w:ascii="宋体" w:eastAsia="宋体" w:hAnsi="宋体" w:cs="宋体"/>
          <w:spacing w:val="-7"/>
          <w:sz w:val="22"/>
          <w:szCs w:val="22"/>
        </w:rPr>
        <w:t>(2)吸收障碍。如胃肠道感染、炎症性肠道疾患、口炎性腹泻、胆汁缺乏、</w:t>
      </w:r>
      <w:r>
        <w:rPr>
          <w:rFonts w:ascii="宋体" w:eastAsia="宋体" w:hAnsi="宋体" w:cs="宋体"/>
          <w:spacing w:val="6"/>
          <w:sz w:val="22"/>
          <w:szCs w:val="22"/>
        </w:rPr>
        <w:t xml:space="preserve"> </w:t>
      </w:r>
      <w:r>
        <w:rPr>
          <w:rFonts w:ascii="宋体" w:eastAsia="宋体" w:hAnsi="宋体" w:cs="宋体"/>
          <w:spacing w:val="-13"/>
          <w:sz w:val="22"/>
          <w:szCs w:val="22"/>
        </w:rPr>
        <w:t>肠瘘、肠切除等均可导致镁吸收障碍。</w:t>
      </w:r>
    </w:p>
    <w:p w:rsidR="00EA40A3" w:rsidRDefault="00E86C16">
      <w:pPr>
        <w:spacing w:before="39" w:line="242" w:lineRule="auto"/>
        <w:ind w:right="86" w:firstLine="419"/>
        <w:rPr>
          <w:rFonts w:ascii="宋体" w:eastAsia="宋体" w:hAnsi="宋体" w:cs="宋体"/>
          <w:sz w:val="22"/>
          <w:szCs w:val="22"/>
        </w:rPr>
      </w:pPr>
      <w:r>
        <w:rPr>
          <w:rFonts w:ascii="宋体" w:eastAsia="宋体" w:hAnsi="宋体" w:cs="宋体"/>
          <w:spacing w:val="-9"/>
          <w:sz w:val="22"/>
          <w:szCs w:val="22"/>
        </w:rPr>
        <w:t>(3)丢失过多。肾小管疾病、某些内分泌疾病、肾</w:t>
      </w:r>
      <w:r>
        <w:rPr>
          <w:rFonts w:ascii="宋体" w:eastAsia="宋体" w:hAnsi="宋体" w:cs="宋体"/>
          <w:spacing w:val="-10"/>
          <w:sz w:val="22"/>
          <w:szCs w:val="22"/>
        </w:rPr>
        <w:t>毒性药物以及慢性酒精中</w:t>
      </w:r>
      <w:r>
        <w:rPr>
          <w:rFonts w:ascii="宋体" w:eastAsia="宋体" w:hAnsi="宋体" w:cs="宋体"/>
          <w:sz w:val="22"/>
          <w:szCs w:val="22"/>
        </w:rPr>
        <w:t xml:space="preserve"> 毒等均可造成镁丢失过多。慢性酒精中毒主要是因</w:t>
      </w:r>
      <w:r>
        <w:rPr>
          <w:rFonts w:ascii="宋体" w:eastAsia="宋体" w:hAnsi="宋体" w:cs="宋体"/>
          <w:spacing w:val="-1"/>
          <w:sz w:val="22"/>
          <w:szCs w:val="22"/>
        </w:rPr>
        <w:t>为酗酒、呕吐、腹泻使镁</w:t>
      </w:r>
      <w:r>
        <w:rPr>
          <w:rFonts w:ascii="宋体" w:eastAsia="宋体" w:hAnsi="宋体" w:cs="宋体"/>
          <w:sz w:val="22"/>
          <w:szCs w:val="22"/>
        </w:rPr>
        <w:t xml:space="preserve"> </w:t>
      </w:r>
      <w:r>
        <w:rPr>
          <w:rFonts w:ascii="宋体" w:eastAsia="宋体" w:hAnsi="宋体" w:cs="宋体"/>
          <w:spacing w:val="-16"/>
          <w:sz w:val="22"/>
          <w:szCs w:val="22"/>
        </w:rPr>
        <w:t>丢失。</w:t>
      </w:r>
    </w:p>
    <w:p w:rsidR="00EA40A3" w:rsidRDefault="00E86C16">
      <w:pPr>
        <w:spacing w:before="231" w:line="221"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24"/>
          <w:sz w:val="22"/>
          <w:szCs w:val="22"/>
        </w:rPr>
        <w:t xml:space="preserve"> </w:t>
      </w:r>
      <w:r>
        <w:rPr>
          <w:rFonts w:ascii="仿宋" w:eastAsia="仿宋" w:hAnsi="仿宋" w:cs="仿宋"/>
          <w:spacing w:val="15"/>
          <w:sz w:val="22"/>
          <w:szCs w:val="22"/>
        </w:rPr>
        <w:t>镁的膳食参考摄入量及食物来源</w:t>
      </w:r>
    </w:p>
    <w:p w:rsidR="00EA40A3" w:rsidRDefault="00E86C16">
      <w:pPr>
        <w:spacing w:before="193" w:line="233" w:lineRule="auto"/>
        <w:ind w:right="80" w:firstLine="419"/>
        <w:rPr>
          <w:rFonts w:ascii="宋体" w:eastAsia="宋体" w:hAnsi="宋体" w:cs="宋体"/>
          <w:sz w:val="22"/>
          <w:szCs w:val="22"/>
        </w:rPr>
      </w:pPr>
      <w:r>
        <w:rPr>
          <w:rFonts w:ascii="宋体" w:eastAsia="宋体" w:hAnsi="宋体" w:cs="宋体"/>
          <w:spacing w:val="-5"/>
          <w:sz w:val="22"/>
          <w:szCs w:val="22"/>
        </w:rPr>
        <w:t>中国居民膳食镁元素参考摄入量中，镁的AI</w:t>
      </w:r>
      <w:r>
        <w:rPr>
          <w:rFonts w:ascii="宋体" w:eastAsia="宋体" w:hAnsi="宋体" w:cs="宋体"/>
          <w:spacing w:val="-45"/>
          <w:sz w:val="22"/>
          <w:szCs w:val="22"/>
        </w:rPr>
        <w:t xml:space="preserve"> </w:t>
      </w:r>
      <w:r>
        <w:rPr>
          <w:rFonts w:ascii="宋体" w:eastAsia="宋体" w:hAnsi="宋体" w:cs="宋体"/>
          <w:spacing w:val="-5"/>
          <w:sz w:val="22"/>
          <w:szCs w:val="22"/>
        </w:rPr>
        <w:t>值为350mg/d,</w:t>
      </w:r>
      <w:r>
        <w:rPr>
          <w:rFonts w:ascii="宋体" w:eastAsia="宋体" w:hAnsi="宋体" w:cs="宋体"/>
          <w:spacing w:val="23"/>
          <w:sz w:val="22"/>
          <w:szCs w:val="22"/>
        </w:rPr>
        <w:t xml:space="preserve"> </w:t>
      </w:r>
      <w:r>
        <w:rPr>
          <w:rFonts w:ascii="宋体" w:eastAsia="宋体" w:hAnsi="宋体" w:cs="宋体"/>
          <w:spacing w:val="-5"/>
          <w:sz w:val="22"/>
          <w:szCs w:val="22"/>
        </w:rPr>
        <w:t>孕妇和乳母应</w:t>
      </w:r>
      <w:r>
        <w:rPr>
          <w:rFonts w:ascii="宋体" w:eastAsia="宋体" w:hAnsi="宋体" w:cs="宋体"/>
          <w:sz w:val="22"/>
          <w:szCs w:val="22"/>
        </w:rPr>
        <w:t xml:space="preserve"> </w:t>
      </w:r>
      <w:r>
        <w:rPr>
          <w:rFonts w:ascii="宋体" w:eastAsia="宋体" w:hAnsi="宋体" w:cs="宋体"/>
          <w:spacing w:val="-3"/>
          <w:sz w:val="22"/>
          <w:szCs w:val="22"/>
        </w:rPr>
        <w:t>增加到400</w:t>
      </w:r>
      <w:r>
        <w:rPr>
          <w:rFonts w:ascii="宋体" w:eastAsia="宋体" w:hAnsi="宋体" w:cs="宋体"/>
          <w:spacing w:val="15"/>
          <w:sz w:val="22"/>
          <w:szCs w:val="22"/>
        </w:rPr>
        <w:t xml:space="preserve"> </w:t>
      </w:r>
      <w:r>
        <w:rPr>
          <w:rFonts w:ascii="宋体" w:eastAsia="宋体" w:hAnsi="宋体" w:cs="宋体"/>
          <w:spacing w:val="-3"/>
          <w:sz w:val="22"/>
          <w:szCs w:val="22"/>
        </w:rPr>
        <w:t>mg/d,</w:t>
      </w:r>
      <w:r>
        <w:rPr>
          <w:rFonts w:ascii="宋体" w:eastAsia="宋体" w:hAnsi="宋体" w:cs="宋体"/>
          <w:spacing w:val="22"/>
          <w:sz w:val="22"/>
          <w:szCs w:val="22"/>
        </w:rPr>
        <w:t xml:space="preserve"> </w:t>
      </w:r>
      <w:r>
        <w:rPr>
          <w:rFonts w:ascii="宋体" w:eastAsia="宋体" w:hAnsi="宋体" w:cs="宋体"/>
          <w:spacing w:val="-3"/>
          <w:sz w:val="22"/>
          <w:szCs w:val="22"/>
        </w:rPr>
        <w:t>成年人镁的UL</w:t>
      </w:r>
      <w:r>
        <w:rPr>
          <w:rFonts w:ascii="宋体" w:eastAsia="宋体" w:hAnsi="宋体" w:cs="宋体"/>
          <w:spacing w:val="14"/>
          <w:sz w:val="22"/>
          <w:szCs w:val="22"/>
        </w:rPr>
        <w:t xml:space="preserve"> </w:t>
      </w:r>
      <w:r>
        <w:rPr>
          <w:rFonts w:ascii="宋体" w:eastAsia="宋体" w:hAnsi="宋体" w:cs="宋体"/>
          <w:spacing w:val="-3"/>
          <w:sz w:val="22"/>
          <w:szCs w:val="22"/>
        </w:rPr>
        <w:t>值为700</w:t>
      </w:r>
      <w:r>
        <w:rPr>
          <w:rFonts w:ascii="宋体" w:eastAsia="宋体" w:hAnsi="宋体" w:cs="宋体"/>
          <w:spacing w:val="-1"/>
          <w:sz w:val="22"/>
          <w:szCs w:val="22"/>
        </w:rPr>
        <w:t xml:space="preserve"> </w:t>
      </w:r>
      <w:r>
        <w:rPr>
          <w:rFonts w:ascii="宋体" w:eastAsia="宋体" w:hAnsi="宋体" w:cs="宋体"/>
          <w:spacing w:val="-3"/>
          <w:sz w:val="22"/>
          <w:szCs w:val="22"/>
        </w:rPr>
        <w:t>mg/d。</w:t>
      </w:r>
    </w:p>
    <w:p w:rsidR="00EA40A3" w:rsidRDefault="00E86C16">
      <w:pPr>
        <w:spacing w:before="64" w:line="243" w:lineRule="auto"/>
        <w:ind w:firstLine="419"/>
        <w:rPr>
          <w:rFonts w:ascii="宋体" w:eastAsia="宋体" w:hAnsi="宋体" w:cs="宋体"/>
          <w:sz w:val="22"/>
          <w:szCs w:val="22"/>
        </w:rPr>
      </w:pPr>
      <w:r>
        <w:rPr>
          <w:rFonts w:ascii="宋体" w:eastAsia="宋体" w:hAnsi="宋体" w:cs="宋体"/>
          <w:spacing w:val="-12"/>
          <w:sz w:val="22"/>
          <w:szCs w:val="22"/>
        </w:rPr>
        <w:t>镁虽然普遍存在于食物，但食物中的镁含量差别甚大。由于叶</w:t>
      </w:r>
      <w:r>
        <w:rPr>
          <w:rFonts w:ascii="宋体" w:eastAsia="宋体" w:hAnsi="宋体" w:cs="宋体"/>
          <w:spacing w:val="-13"/>
          <w:sz w:val="22"/>
          <w:szCs w:val="22"/>
        </w:rPr>
        <w:t>绿素是镁卟啉</w:t>
      </w:r>
      <w:r>
        <w:rPr>
          <w:rFonts w:ascii="宋体" w:eastAsia="宋体" w:hAnsi="宋体" w:cs="宋体"/>
          <w:sz w:val="22"/>
          <w:szCs w:val="22"/>
        </w:rPr>
        <w:t xml:space="preserve"> </w:t>
      </w:r>
      <w:r>
        <w:rPr>
          <w:rFonts w:ascii="宋体" w:eastAsia="宋体" w:hAnsi="宋体" w:cs="宋体"/>
          <w:spacing w:val="-12"/>
          <w:sz w:val="22"/>
          <w:szCs w:val="22"/>
        </w:rPr>
        <w:t>的螯合物，所以绿叶蔬菜是富含镁的食物。食物</w:t>
      </w:r>
      <w:r>
        <w:rPr>
          <w:rFonts w:ascii="宋体" w:eastAsia="宋体" w:hAnsi="宋体" w:cs="宋体"/>
          <w:spacing w:val="-13"/>
          <w:sz w:val="22"/>
          <w:szCs w:val="22"/>
        </w:rPr>
        <w:t>中诸如糙粮、坚果也含有丰富的</w:t>
      </w:r>
      <w:r>
        <w:rPr>
          <w:rFonts w:ascii="宋体" w:eastAsia="宋体" w:hAnsi="宋体" w:cs="宋体"/>
          <w:sz w:val="22"/>
          <w:szCs w:val="22"/>
        </w:rPr>
        <w:t xml:space="preserve"> </w:t>
      </w:r>
      <w:r>
        <w:rPr>
          <w:rFonts w:ascii="宋体" w:eastAsia="宋体" w:hAnsi="宋体" w:cs="宋体"/>
          <w:spacing w:val="-12"/>
          <w:sz w:val="22"/>
          <w:szCs w:val="22"/>
        </w:rPr>
        <w:t>镁，而肉类、淀粉类食物及牛奶中的镁含量却属中等。精制食品的镁含量一般是</w:t>
      </w:r>
      <w:r>
        <w:rPr>
          <w:rFonts w:ascii="宋体" w:eastAsia="宋体" w:hAnsi="宋体" w:cs="宋体"/>
          <w:sz w:val="22"/>
          <w:szCs w:val="22"/>
        </w:rPr>
        <w:t xml:space="preserve"> </w:t>
      </w:r>
      <w:r>
        <w:rPr>
          <w:rFonts w:ascii="宋体" w:eastAsia="宋体" w:hAnsi="宋体" w:cs="宋体"/>
          <w:spacing w:val="-16"/>
          <w:sz w:val="22"/>
          <w:szCs w:val="22"/>
        </w:rPr>
        <w:t>很低的，随着精制的和(或)加工食品消耗量的增加，膳食镁的摄入量呈减少趋势。</w:t>
      </w:r>
    </w:p>
    <w:p w:rsidR="00EA40A3" w:rsidRDefault="00E86C16">
      <w:pPr>
        <w:spacing w:before="61" w:line="235" w:lineRule="auto"/>
        <w:ind w:firstLine="419"/>
        <w:rPr>
          <w:rFonts w:ascii="宋体" w:eastAsia="宋体" w:hAnsi="宋体" w:cs="宋体"/>
          <w:sz w:val="22"/>
          <w:szCs w:val="22"/>
        </w:rPr>
      </w:pPr>
      <w:r>
        <w:rPr>
          <w:rFonts w:ascii="宋体" w:eastAsia="宋体" w:hAnsi="宋体" w:cs="宋体"/>
          <w:spacing w:val="-10"/>
          <w:sz w:val="22"/>
          <w:szCs w:val="22"/>
        </w:rPr>
        <w:t>除了食物之外，从饮水中也可以获得少量镁，但饮</w:t>
      </w:r>
      <w:r>
        <w:rPr>
          <w:rFonts w:ascii="宋体" w:eastAsia="宋体" w:hAnsi="宋体" w:cs="宋体"/>
          <w:spacing w:val="-11"/>
          <w:sz w:val="22"/>
          <w:szCs w:val="22"/>
        </w:rPr>
        <w:t>水中镁的含量差异很大。</w:t>
      </w:r>
      <w:r>
        <w:rPr>
          <w:rFonts w:ascii="宋体" w:eastAsia="宋体" w:hAnsi="宋体" w:cs="宋体"/>
          <w:sz w:val="22"/>
          <w:szCs w:val="22"/>
        </w:rPr>
        <w:t xml:space="preserve"> </w:t>
      </w:r>
      <w:r>
        <w:rPr>
          <w:rFonts w:ascii="宋体" w:eastAsia="宋体" w:hAnsi="宋体" w:cs="宋体"/>
          <w:spacing w:val="-7"/>
          <w:sz w:val="22"/>
          <w:szCs w:val="22"/>
        </w:rPr>
        <w:t>如硬水中含有较高的镁盐，软水中含量相对较低，因此水中镁的摄入量难以估</w:t>
      </w:r>
      <w:r>
        <w:rPr>
          <w:rFonts w:ascii="宋体" w:eastAsia="宋体" w:hAnsi="宋体" w:cs="宋体"/>
          <w:spacing w:val="16"/>
          <w:sz w:val="22"/>
          <w:szCs w:val="22"/>
        </w:rPr>
        <w:t xml:space="preserve"> </w:t>
      </w:r>
      <w:r>
        <w:rPr>
          <w:rFonts w:ascii="宋体" w:eastAsia="宋体" w:hAnsi="宋体" w:cs="宋体"/>
          <w:spacing w:val="-11"/>
          <w:sz w:val="22"/>
          <w:szCs w:val="22"/>
        </w:rPr>
        <w:t>计。常见含镁较丰富的食物见表4-7。</w:t>
      </w:r>
    </w:p>
    <w:p w:rsidR="00EA40A3" w:rsidRDefault="00E86C16">
      <w:pPr>
        <w:spacing w:before="83"/>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100</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footerReference w:type="default" r:id="rId80"/>
          <w:pgSz w:w="9220" w:h="13360"/>
          <w:pgMar w:top="400" w:right="1120" w:bottom="400" w:left="760" w:header="0" w:footer="0" w:gutter="0"/>
          <w:cols w:space="720"/>
        </w:sectPr>
      </w:pPr>
    </w:p>
    <w:p w:rsidR="00EA40A3" w:rsidRDefault="00EA40A3">
      <w:pPr>
        <w:spacing w:line="260" w:lineRule="auto"/>
      </w:pPr>
    </w:p>
    <w:p w:rsidR="00EA40A3" w:rsidRDefault="00EA40A3">
      <w:pPr>
        <w:spacing w:line="260" w:lineRule="auto"/>
      </w:pPr>
    </w:p>
    <w:p w:rsidR="00EA40A3" w:rsidRDefault="00E86C16">
      <w:pPr>
        <w:spacing w:before="68" w:line="225" w:lineRule="auto"/>
        <w:ind w:right="366"/>
        <w:jc w:val="right"/>
        <w:rPr>
          <w:rFonts w:ascii="宋体" w:eastAsia="宋体" w:hAnsi="宋体" w:cs="宋体"/>
        </w:rPr>
      </w:pPr>
      <w:r>
        <w:rPr>
          <w:rFonts w:ascii="黑体" w:eastAsia="黑体" w:hAnsi="黑体" w:cs="黑体"/>
          <w:b/>
          <w:bCs/>
          <w:spacing w:val="-9"/>
          <w:position w:val="-2"/>
          <w:sz w:val="18"/>
          <w:szCs w:val="18"/>
        </w:rPr>
        <w:t>表4-7</w:t>
      </w:r>
      <w:r>
        <w:rPr>
          <w:rFonts w:ascii="黑体" w:eastAsia="黑体" w:hAnsi="黑体" w:cs="黑体"/>
          <w:spacing w:val="86"/>
          <w:position w:val="-2"/>
          <w:sz w:val="18"/>
          <w:szCs w:val="18"/>
        </w:rPr>
        <w:t xml:space="preserve"> </w:t>
      </w:r>
      <w:r>
        <w:rPr>
          <w:rFonts w:ascii="黑体" w:eastAsia="黑体" w:hAnsi="黑体" w:cs="黑体"/>
          <w:b/>
          <w:bCs/>
          <w:spacing w:val="-9"/>
          <w:position w:val="-2"/>
          <w:sz w:val="18"/>
          <w:szCs w:val="18"/>
        </w:rPr>
        <w:t>常见含镁较丰富的食物</w:t>
      </w:r>
      <w:r>
        <w:rPr>
          <w:rFonts w:ascii="黑体" w:eastAsia="黑体" w:hAnsi="黑体" w:cs="黑体"/>
          <w:spacing w:val="11"/>
          <w:position w:val="-2"/>
          <w:sz w:val="18"/>
          <w:szCs w:val="18"/>
        </w:rPr>
        <w:t xml:space="preserve">       </w:t>
      </w:r>
      <w:r>
        <w:rPr>
          <w:rFonts w:ascii="宋体" w:eastAsia="宋体" w:hAnsi="宋体" w:cs="宋体"/>
          <w:spacing w:val="-9"/>
          <w:position w:val="1"/>
        </w:rPr>
        <w:t>(单位：mg/100g)</w:t>
      </w:r>
    </w:p>
    <w:p w:rsidR="00EA40A3" w:rsidRDefault="00EA40A3">
      <w:pPr>
        <w:spacing w:line="76" w:lineRule="exact"/>
      </w:pPr>
    </w:p>
    <w:tbl>
      <w:tblPr>
        <w:tblStyle w:val="TableNormal"/>
        <w:tblW w:w="7260"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60"/>
        <w:gridCol w:w="1760"/>
        <w:gridCol w:w="1890"/>
        <w:gridCol w:w="1750"/>
      </w:tblGrid>
      <w:tr w:rsidR="00EA40A3">
        <w:trPr>
          <w:trHeight w:val="303"/>
        </w:trPr>
        <w:tc>
          <w:tcPr>
            <w:tcW w:w="1860" w:type="dxa"/>
            <w:tcBorders>
              <w:top w:val="single" w:sz="4" w:space="0" w:color="000000"/>
              <w:bottom w:val="single" w:sz="4" w:space="0" w:color="000000"/>
            </w:tcBorders>
          </w:tcPr>
          <w:p w:rsidR="00EA40A3" w:rsidRDefault="00E86C16">
            <w:pPr>
              <w:spacing w:before="72" w:line="220" w:lineRule="auto"/>
              <w:ind w:left="410"/>
              <w:rPr>
                <w:rFonts w:ascii="宋体" w:eastAsia="宋体" w:hAnsi="宋体" w:cs="宋体"/>
                <w:sz w:val="16"/>
                <w:szCs w:val="16"/>
              </w:rPr>
            </w:pPr>
            <w:r>
              <w:rPr>
                <w:rFonts w:ascii="宋体" w:eastAsia="宋体" w:hAnsi="宋体" w:cs="宋体"/>
                <w:spacing w:val="-2"/>
                <w:sz w:val="16"/>
                <w:szCs w:val="16"/>
              </w:rPr>
              <w:t>食物名称</w:t>
            </w:r>
          </w:p>
        </w:tc>
        <w:tc>
          <w:tcPr>
            <w:tcW w:w="1760" w:type="dxa"/>
            <w:tcBorders>
              <w:top w:val="single" w:sz="4" w:space="0" w:color="000000"/>
              <w:bottom w:val="single" w:sz="4" w:space="0" w:color="000000"/>
              <w:right w:val="single" w:sz="4" w:space="0" w:color="000000"/>
            </w:tcBorders>
          </w:tcPr>
          <w:p w:rsidR="00EA40A3" w:rsidRDefault="00E86C16">
            <w:pPr>
              <w:spacing w:before="71" w:line="219" w:lineRule="auto"/>
              <w:ind w:left="739"/>
              <w:rPr>
                <w:rFonts w:ascii="宋体" w:eastAsia="宋体" w:hAnsi="宋体" w:cs="宋体"/>
                <w:sz w:val="16"/>
                <w:szCs w:val="16"/>
              </w:rPr>
            </w:pPr>
            <w:r>
              <w:rPr>
                <w:rFonts w:ascii="宋体" w:eastAsia="宋体" w:hAnsi="宋体" w:cs="宋体"/>
                <w:spacing w:val="-2"/>
                <w:sz w:val="16"/>
                <w:szCs w:val="16"/>
              </w:rPr>
              <w:t>含量</w:t>
            </w:r>
          </w:p>
        </w:tc>
        <w:tc>
          <w:tcPr>
            <w:tcW w:w="1890" w:type="dxa"/>
            <w:tcBorders>
              <w:top w:val="single" w:sz="4" w:space="0" w:color="000000"/>
              <w:left w:val="single" w:sz="4" w:space="0" w:color="000000"/>
              <w:bottom w:val="single" w:sz="4" w:space="0" w:color="000000"/>
            </w:tcBorders>
          </w:tcPr>
          <w:p w:rsidR="00EA40A3" w:rsidRDefault="00E86C16">
            <w:pPr>
              <w:spacing w:before="72" w:line="220" w:lineRule="auto"/>
              <w:ind w:left="334"/>
              <w:rPr>
                <w:rFonts w:ascii="宋体" w:eastAsia="宋体" w:hAnsi="宋体" w:cs="宋体"/>
                <w:sz w:val="16"/>
                <w:szCs w:val="16"/>
              </w:rPr>
            </w:pPr>
            <w:r>
              <w:rPr>
                <w:rFonts w:ascii="宋体" w:eastAsia="宋体" w:hAnsi="宋体" w:cs="宋体"/>
                <w:spacing w:val="-2"/>
                <w:sz w:val="16"/>
                <w:szCs w:val="16"/>
              </w:rPr>
              <w:t>食物名称</w:t>
            </w:r>
          </w:p>
        </w:tc>
        <w:tc>
          <w:tcPr>
            <w:tcW w:w="1750" w:type="dxa"/>
            <w:tcBorders>
              <w:top w:val="single" w:sz="4" w:space="0" w:color="000000"/>
              <w:bottom w:val="single" w:sz="4" w:space="0" w:color="000000"/>
            </w:tcBorders>
          </w:tcPr>
          <w:p w:rsidR="00EA40A3" w:rsidRDefault="00E86C16">
            <w:pPr>
              <w:spacing w:before="81" w:line="219" w:lineRule="auto"/>
              <w:ind w:left="750"/>
              <w:rPr>
                <w:rFonts w:ascii="宋体" w:eastAsia="宋体" w:hAnsi="宋体" w:cs="宋体"/>
                <w:sz w:val="16"/>
                <w:szCs w:val="16"/>
              </w:rPr>
            </w:pPr>
            <w:r>
              <w:rPr>
                <w:rFonts w:ascii="宋体" w:eastAsia="宋体" w:hAnsi="宋体" w:cs="宋体"/>
                <w:spacing w:val="-4"/>
                <w:sz w:val="16"/>
                <w:szCs w:val="16"/>
              </w:rPr>
              <w:t>含</w:t>
            </w:r>
            <w:r>
              <w:rPr>
                <w:rFonts w:ascii="宋体" w:eastAsia="宋体" w:hAnsi="宋体" w:cs="宋体"/>
                <w:spacing w:val="3"/>
                <w:sz w:val="16"/>
                <w:szCs w:val="16"/>
              </w:rPr>
              <w:t xml:space="preserve">  </w:t>
            </w:r>
            <w:r>
              <w:rPr>
                <w:rFonts w:ascii="宋体" w:eastAsia="宋体" w:hAnsi="宋体" w:cs="宋体"/>
                <w:spacing w:val="-4"/>
                <w:sz w:val="16"/>
                <w:szCs w:val="16"/>
              </w:rPr>
              <w:t>量</w:t>
            </w:r>
          </w:p>
        </w:tc>
      </w:tr>
      <w:tr w:rsidR="00EA40A3">
        <w:trPr>
          <w:trHeight w:val="264"/>
        </w:trPr>
        <w:tc>
          <w:tcPr>
            <w:tcW w:w="1860" w:type="dxa"/>
            <w:tcBorders>
              <w:top w:val="single" w:sz="4" w:space="0" w:color="000000"/>
            </w:tcBorders>
          </w:tcPr>
          <w:p w:rsidR="00EA40A3" w:rsidRDefault="00E86C16">
            <w:pPr>
              <w:spacing w:before="68" w:line="219" w:lineRule="auto"/>
              <w:ind w:left="319"/>
              <w:rPr>
                <w:rFonts w:ascii="宋体" w:eastAsia="宋体" w:hAnsi="宋体" w:cs="宋体"/>
                <w:sz w:val="16"/>
                <w:szCs w:val="16"/>
              </w:rPr>
            </w:pPr>
            <w:r>
              <w:rPr>
                <w:rFonts w:ascii="宋体" w:eastAsia="宋体" w:hAnsi="宋体" w:cs="宋体"/>
                <w:spacing w:val="-2"/>
                <w:sz w:val="16"/>
                <w:szCs w:val="16"/>
              </w:rPr>
              <w:t>大黄米</w:t>
            </w:r>
          </w:p>
        </w:tc>
        <w:tc>
          <w:tcPr>
            <w:tcW w:w="1760" w:type="dxa"/>
            <w:tcBorders>
              <w:top w:val="single" w:sz="4" w:space="0" w:color="000000"/>
              <w:right w:val="single" w:sz="4" w:space="0" w:color="000000"/>
            </w:tcBorders>
          </w:tcPr>
          <w:p w:rsidR="00EA40A3" w:rsidRDefault="00E86C16">
            <w:pPr>
              <w:spacing w:before="98" w:line="184" w:lineRule="auto"/>
              <w:ind w:left="879"/>
              <w:rPr>
                <w:rFonts w:ascii="宋体" w:eastAsia="宋体" w:hAnsi="宋体" w:cs="宋体"/>
                <w:sz w:val="16"/>
                <w:szCs w:val="16"/>
              </w:rPr>
            </w:pPr>
            <w:r>
              <w:rPr>
                <w:rFonts w:ascii="宋体" w:eastAsia="宋体" w:hAnsi="宋体" w:cs="宋体"/>
                <w:spacing w:val="-5"/>
                <w:sz w:val="16"/>
                <w:szCs w:val="16"/>
              </w:rPr>
              <w:t>116</w:t>
            </w:r>
          </w:p>
        </w:tc>
        <w:tc>
          <w:tcPr>
            <w:tcW w:w="1890" w:type="dxa"/>
            <w:tcBorders>
              <w:top w:val="single" w:sz="4" w:space="0" w:color="000000"/>
              <w:left w:val="single" w:sz="4" w:space="0" w:color="000000"/>
            </w:tcBorders>
          </w:tcPr>
          <w:p w:rsidR="00EA40A3" w:rsidRDefault="00E86C16">
            <w:pPr>
              <w:spacing w:before="38" w:line="219" w:lineRule="auto"/>
              <w:ind w:left="334"/>
              <w:rPr>
                <w:rFonts w:ascii="宋体" w:eastAsia="宋体" w:hAnsi="宋体" w:cs="宋体"/>
                <w:sz w:val="16"/>
                <w:szCs w:val="16"/>
              </w:rPr>
            </w:pPr>
            <w:r>
              <w:rPr>
                <w:rFonts w:ascii="宋体" w:eastAsia="宋体" w:hAnsi="宋体" w:cs="宋体"/>
                <w:spacing w:val="7"/>
                <w:sz w:val="16"/>
                <w:szCs w:val="16"/>
              </w:rPr>
              <w:t>苋菜(绿)</w:t>
            </w:r>
          </w:p>
        </w:tc>
        <w:tc>
          <w:tcPr>
            <w:tcW w:w="1750" w:type="dxa"/>
            <w:tcBorders>
              <w:top w:val="single" w:sz="4" w:space="0" w:color="000000"/>
            </w:tcBorders>
          </w:tcPr>
          <w:p w:rsidR="00EA40A3" w:rsidRDefault="00E86C16">
            <w:pPr>
              <w:spacing w:before="88" w:line="184" w:lineRule="auto"/>
              <w:ind w:left="849"/>
              <w:rPr>
                <w:rFonts w:ascii="宋体" w:eastAsia="宋体" w:hAnsi="宋体" w:cs="宋体"/>
                <w:sz w:val="16"/>
                <w:szCs w:val="16"/>
              </w:rPr>
            </w:pPr>
            <w:r>
              <w:rPr>
                <w:rFonts w:ascii="宋体" w:eastAsia="宋体" w:hAnsi="宋体" w:cs="宋体"/>
                <w:spacing w:val="-5"/>
                <w:sz w:val="16"/>
                <w:szCs w:val="16"/>
              </w:rPr>
              <w:t>119</w:t>
            </w:r>
          </w:p>
        </w:tc>
      </w:tr>
      <w:tr w:rsidR="00EA40A3">
        <w:trPr>
          <w:trHeight w:val="258"/>
        </w:trPr>
        <w:tc>
          <w:tcPr>
            <w:tcW w:w="1860" w:type="dxa"/>
          </w:tcPr>
          <w:p w:rsidR="00EA40A3" w:rsidRDefault="00E86C16">
            <w:pPr>
              <w:spacing w:before="63" w:line="219" w:lineRule="auto"/>
              <w:ind w:left="319"/>
              <w:rPr>
                <w:rFonts w:ascii="宋体" w:eastAsia="宋体" w:hAnsi="宋体" w:cs="宋体"/>
                <w:sz w:val="16"/>
                <w:szCs w:val="16"/>
              </w:rPr>
            </w:pPr>
            <w:r>
              <w:rPr>
                <w:rFonts w:ascii="宋体" w:eastAsia="宋体" w:hAnsi="宋体" w:cs="宋体"/>
                <w:spacing w:val="5"/>
                <w:sz w:val="16"/>
                <w:szCs w:val="16"/>
              </w:rPr>
              <w:t>大麦(元麦)</w:t>
            </w:r>
          </w:p>
        </w:tc>
        <w:tc>
          <w:tcPr>
            <w:tcW w:w="1760" w:type="dxa"/>
            <w:tcBorders>
              <w:right w:val="single" w:sz="4" w:space="0" w:color="000000"/>
            </w:tcBorders>
          </w:tcPr>
          <w:p w:rsidR="00EA40A3" w:rsidRDefault="00E86C16">
            <w:pPr>
              <w:spacing w:before="84" w:line="184" w:lineRule="auto"/>
              <w:ind w:left="869"/>
              <w:rPr>
                <w:rFonts w:ascii="宋体" w:eastAsia="宋体" w:hAnsi="宋体" w:cs="宋体"/>
                <w:sz w:val="16"/>
                <w:szCs w:val="16"/>
              </w:rPr>
            </w:pPr>
            <w:r>
              <w:rPr>
                <w:rFonts w:ascii="宋体" w:eastAsia="宋体" w:hAnsi="宋体" w:cs="宋体"/>
                <w:spacing w:val="-5"/>
                <w:sz w:val="16"/>
                <w:szCs w:val="16"/>
              </w:rPr>
              <w:t>158</w:t>
            </w:r>
          </w:p>
        </w:tc>
        <w:tc>
          <w:tcPr>
            <w:tcW w:w="1890" w:type="dxa"/>
            <w:tcBorders>
              <w:left w:val="single" w:sz="4" w:space="0" w:color="000000"/>
            </w:tcBorders>
          </w:tcPr>
          <w:p w:rsidR="00EA40A3" w:rsidRDefault="00E86C16">
            <w:pPr>
              <w:spacing w:before="45" w:line="220" w:lineRule="auto"/>
              <w:ind w:left="334"/>
              <w:rPr>
                <w:rFonts w:ascii="宋体" w:eastAsia="宋体" w:hAnsi="宋体" w:cs="宋体"/>
                <w:sz w:val="16"/>
                <w:szCs w:val="16"/>
              </w:rPr>
            </w:pPr>
            <w:r>
              <w:rPr>
                <w:rFonts w:ascii="宋体" w:eastAsia="宋体" w:hAnsi="宋体" w:cs="宋体"/>
                <w:spacing w:val="5"/>
                <w:sz w:val="16"/>
                <w:szCs w:val="16"/>
              </w:rPr>
              <w:t>口蘑(白蘑)</w:t>
            </w:r>
          </w:p>
        </w:tc>
        <w:tc>
          <w:tcPr>
            <w:tcW w:w="1750" w:type="dxa"/>
          </w:tcPr>
          <w:p w:rsidR="00EA40A3" w:rsidRDefault="00E86C16">
            <w:pPr>
              <w:spacing w:before="84" w:line="184" w:lineRule="auto"/>
              <w:ind w:left="849"/>
              <w:rPr>
                <w:rFonts w:ascii="宋体" w:eastAsia="宋体" w:hAnsi="宋体" w:cs="宋体"/>
                <w:sz w:val="16"/>
                <w:szCs w:val="16"/>
              </w:rPr>
            </w:pPr>
            <w:r>
              <w:rPr>
                <w:rFonts w:ascii="宋体" w:eastAsia="宋体" w:hAnsi="宋体" w:cs="宋体"/>
                <w:spacing w:val="-5"/>
                <w:sz w:val="16"/>
                <w:szCs w:val="16"/>
              </w:rPr>
              <w:t>167</w:t>
            </w:r>
          </w:p>
        </w:tc>
      </w:tr>
      <w:tr w:rsidR="00EA40A3">
        <w:trPr>
          <w:trHeight w:val="247"/>
        </w:trPr>
        <w:tc>
          <w:tcPr>
            <w:tcW w:w="1860" w:type="dxa"/>
          </w:tcPr>
          <w:p w:rsidR="00EA40A3" w:rsidRDefault="00E86C16">
            <w:pPr>
              <w:spacing w:before="46" w:line="219" w:lineRule="auto"/>
              <w:ind w:left="319"/>
              <w:rPr>
                <w:rFonts w:ascii="宋体" w:eastAsia="宋体" w:hAnsi="宋体" w:cs="宋体"/>
                <w:sz w:val="16"/>
                <w:szCs w:val="16"/>
              </w:rPr>
            </w:pPr>
            <w:r>
              <w:rPr>
                <w:rFonts w:ascii="宋体" w:eastAsia="宋体" w:hAnsi="宋体" w:cs="宋体"/>
                <w:spacing w:val="-3"/>
                <w:sz w:val="16"/>
                <w:szCs w:val="16"/>
              </w:rPr>
              <w:t>黑米</w:t>
            </w:r>
          </w:p>
        </w:tc>
        <w:tc>
          <w:tcPr>
            <w:tcW w:w="1760" w:type="dxa"/>
            <w:tcBorders>
              <w:right w:val="single" w:sz="4" w:space="0" w:color="000000"/>
            </w:tcBorders>
          </w:tcPr>
          <w:p w:rsidR="00EA40A3" w:rsidRDefault="00E86C16">
            <w:pPr>
              <w:spacing w:before="86" w:line="184" w:lineRule="auto"/>
              <w:ind w:left="869"/>
              <w:rPr>
                <w:rFonts w:ascii="宋体" w:eastAsia="宋体" w:hAnsi="宋体" w:cs="宋体"/>
                <w:sz w:val="16"/>
                <w:szCs w:val="16"/>
              </w:rPr>
            </w:pPr>
            <w:r>
              <w:rPr>
                <w:rFonts w:ascii="宋体" w:eastAsia="宋体" w:hAnsi="宋体" w:cs="宋体"/>
                <w:spacing w:val="-5"/>
                <w:sz w:val="16"/>
                <w:szCs w:val="16"/>
              </w:rPr>
              <w:t>147</w:t>
            </w:r>
          </w:p>
        </w:tc>
        <w:tc>
          <w:tcPr>
            <w:tcW w:w="1890" w:type="dxa"/>
            <w:tcBorders>
              <w:left w:val="single" w:sz="4" w:space="0" w:color="000000"/>
            </w:tcBorders>
          </w:tcPr>
          <w:p w:rsidR="00EA40A3" w:rsidRDefault="00E86C16">
            <w:pPr>
              <w:spacing w:before="45" w:line="219" w:lineRule="auto"/>
              <w:ind w:left="334"/>
              <w:rPr>
                <w:rFonts w:ascii="宋体" w:eastAsia="宋体" w:hAnsi="宋体" w:cs="宋体"/>
                <w:sz w:val="16"/>
                <w:szCs w:val="16"/>
              </w:rPr>
            </w:pPr>
            <w:r>
              <w:rPr>
                <w:rFonts w:ascii="宋体" w:eastAsia="宋体" w:hAnsi="宋体" w:cs="宋体"/>
                <w:spacing w:val="7"/>
                <w:sz w:val="16"/>
                <w:szCs w:val="16"/>
              </w:rPr>
              <w:t>木耳(干)</w:t>
            </w:r>
          </w:p>
        </w:tc>
        <w:tc>
          <w:tcPr>
            <w:tcW w:w="1750" w:type="dxa"/>
          </w:tcPr>
          <w:p w:rsidR="00EA40A3" w:rsidRDefault="00E86C16">
            <w:pPr>
              <w:spacing w:before="97" w:line="173" w:lineRule="auto"/>
              <w:ind w:left="849"/>
              <w:rPr>
                <w:rFonts w:ascii="宋体" w:eastAsia="宋体" w:hAnsi="宋体" w:cs="宋体"/>
                <w:sz w:val="16"/>
                <w:szCs w:val="16"/>
              </w:rPr>
            </w:pPr>
            <w:r>
              <w:rPr>
                <w:rFonts w:ascii="宋体" w:eastAsia="宋体" w:hAnsi="宋体" w:cs="宋体"/>
                <w:spacing w:val="-5"/>
                <w:sz w:val="16"/>
                <w:szCs w:val="16"/>
              </w:rPr>
              <w:t>152</w:t>
            </w:r>
          </w:p>
        </w:tc>
      </w:tr>
      <w:tr w:rsidR="00EA40A3">
        <w:trPr>
          <w:trHeight w:val="259"/>
        </w:trPr>
        <w:tc>
          <w:tcPr>
            <w:tcW w:w="1860" w:type="dxa"/>
          </w:tcPr>
          <w:p w:rsidR="00EA40A3" w:rsidRDefault="00E86C16">
            <w:pPr>
              <w:spacing w:before="48" w:line="219" w:lineRule="auto"/>
              <w:ind w:left="319"/>
              <w:rPr>
                <w:rFonts w:ascii="宋体" w:eastAsia="宋体" w:hAnsi="宋体" w:cs="宋体"/>
                <w:sz w:val="16"/>
                <w:szCs w:val="16"/>
              </w:rPr>
            </w:pPr>
            <w:r>
              <w:rPr>
                <w:rFonts w:ascii="宋体" w:eastAsia="宋体" w:hAnsi="宋体" w:cs="宋体"/>
                <w:spacing w:val="-2"/>
                <w:sz w:val="16"/>
                <w:szCs w:val="16"/>
              </w:rPr>
              <w:t>荞麦</w:t>
            </w:r>
          </w:p>
        </w:tc>
        <w:tc>
          <w:tcPr>
            <w:tcW w:w="1760" w:type="dxa"/>
            <w:tcBorders>
              <w:right w:val="single" w:sz="4" w:space="0" w:color="000000"/>
            </w:tcBorders>
          </w:tcPr>
          <w:p w:rsidR="00EA40A3" w:rsidRDefault="00E86C16">
            <w:pPr>
              <w:spacing w:before="90" w:line="183" w:lineRule="auto"/>
              <w:ind w:left="849"/>
              <w:rPr>
                <w:rFonts w:ascii="宋体" w:eastAsia="宋体" w:hAnsi="宋体" w:cs="宋体"/>
                <w:sz w:val="16"/>
                <w:szCs w:val="16"/>
              </w:rPr>
            </w:pPr>
            <w:r>
              <w:rPr>
                <w:rFonts w:ascii="宋体" w:eastAsia="宋体" w:hAnsi="宋体" w:cs="宋体"/>
                <w:spacing w:val="-2"/>
                <w:sz w:val="16"/>
                <w:szCs w:val="16"/>
              </w:rPr>
              <w:t>258</w:t>
            </w:r>
          </w:p>
        </w:tc>
        <w:tc>
          <w:tcPr>
            <w:tcW w:w="1890" w:type="dxa"/>
            <w:tcBorders>
              <w:left w:val="single" w:sz="4" w:space="0" w:color="000000"/>
            </w:tcBorders>
          </w:tcPr>
          <w:p w:rsidR="00EA40A3" w:rsidRDefault="00E86C16">
            <w:pPr>
              <w:spacing w:before="48" w:line="219" w:lineRule="auto"/>
              <w:ind w:left="334"/>
              <w:rPr>
                <w:rFonts w:ascii="宋体" w:eastAsia="宋体" w:hAnsi="宋体" w:cs="宋体"/>
                <w:sz w:val="16"/>
                <w:szCs w:val="16"/>
              </w:rPr>
            </w:pPr>
            <w:r>
              <w:rPr>
                <w:rFonts w:ascii="宋体" w:eastAsia="宋体" w:hAnsi="宋体" w:cs="宋体"/>
                <w:spacing w:val="7"/>
                <w:sz w:val="16"/>
                <w:szCs w:val="16"/>
              </w:rPr>
              <w:t>香菇(干)</w:t>
            </w:r>
          </w:p>
        </w:tc>
        <w:tc>
          <w:tcPr>
            <w:tcW w:w="1750" w:type="dxa"/>
          </w:tcPr>
          <w:p w:rsidR="00EA40A3" w:rsidRDefault="00E86C16">
            <w:pPr>
              <w:spacing w:before="109" w:line="172" w:lineRule="auto"/>
              <w:ind w:left="849"/>
              <w:rPr>
                <w:rFonts w:ascii="宋体" w:eastAsia="宋体" w:hAnsi="宋体" w:cs="宋体"/>
                <w:sz w:val="16"/>
                <w:szCs w:val="16"/>
              </w:rPr>
            </w:pPr>
            <w:r>
              <w:rPr>
                <w:rFonts w:ascii="宋体" w:eastAsia="宋体" w:hAnsi="宋体" w:cs="宋体"/>
                <w:spacing w:val="-5"/>
                <w:sz w:val="16"/>
                <w:szCs w:val="16"/>
              </w:rPr>
              <w:t>147</w:t>
            </w:r>
          </w:p>
        </w:tc>
      </w:tr>
      <w:tr w:rsidR="00EA40A3">
        <w:trPr>
          <w:trHeight w:val="259"/>
        </w:trPr>
        <w:tc>
          <w:tcPr>
            <w:tcW w:w="1860" w:type="dxa"/>
          </w:tcPr>
          <w:p w:rsidR="00EA40A3" w:rsidRDefault="00E86C16">
            <w:pPr>
              <w:spacing w:before="51" w:line="220" w:lineRule="auto"/>
              <w:ind w:left="319"/>
              <w:rPr>
                <w:rFonts w:ascii="宋体" w:eastAsia="宋体" w:hAnsi="宋体" w:cs="宋体"/>
                <w:sz w:val="16"/>
                <w:szCs w:val="16"/>
              </w:rPr>
            </w:pPr>
            <w:r>
              <w:rPr>
                <w:rFonts w:ascii="宋体" w:eastAsia="宋体" w:hAnsi="宋体" w:cs="宋体"/>
                <w:spacing w:val="-2"/>
                <w:sz w:val="16"/>
                <w:szCs w:val="16"/>
              </w:rPr>
              <w:t>麸皮</w:t>
            </w:r>
          </w:p>
        </w:tc>
        <w:tc>
          <w:tcPr>
            <w:tcW w:w="1760" w:type="dxa"/>
            <w:tcBorders>
              <w:right w:val="single" w:sz="4" w:space="0" w:color="000000"/>
            </w:tcBorders>
          </w:tcPr>
          <w:p w:rsidR="00EA40A3" w:rsidRDefault="00E86C16">
            <w:pPr>
              <w:spacing w:before="102" w:line="181" w:lineRule="auto"/>
              <w:ind w:left="849"/>
              <w:rPr>
                <w:rFonts w:ascii="宋体" w:eastAsia="宋体" w:hAnsi="宋体" w:cs="宋体"/>
                <w:sz w:val="16"/>
                <w:szCs w:val="16"/>
              </w:rPr>
            </w:pPr>
            <w:r>
              <w:rPr>
                <w:rFonts w:ascii="宋体" w:eastAsia="宋体" w:hAnsi="宋体" w:cs="宋体"/>
                <w:spacing w:val="-3"/>
                <w:sz w:val="16"/>
                <w:szCs w:val="16"/>
              </w:rPr>
              <w:t>382</w:t>
            </w:r>
          </w:p>
        </w:tc>
        <w:tc>
          <w:tcPr>
            <w:tcW w:w="1890" w:type="dxa"/>
            <w:tcBorders>
              <w:left w:val="single" w:sz="4" w:space="0" w:color="000000"/>
            </w:tcBorders>
          </w:tcPr>
          <w:p w:rsidR="00EA40A3" w:rsidRDefault="00E86C16">
            <w:pPr>
              <w:spacing w:before="49" w:line="219" w:lineRule="auto"/>
              <w:ind w:left="334"/>
              <w:rPr>
                <w:rFonts w:ascii="宋体" w:eastAsia="宋体" w:hAnsi="宋体" w:cs="宋体"/>
                <w:sz w:val="16"/>
                <w:szCs w:val="16"/>
              </w:rPr>
            </w:pPr>
            <w:r>
              <w:rPr>
                <w:rFonts w:ascii="宋体" w:eastAsia="宋体" w:hAnsi="宋体" w:cs="宋体"/>
                <w:spacing w:val="7"/>
                <w:sz w:val="16"/>
                <w:szCs w:val="16"/>
              </w:rPr>
              <w:t>发才(干)</w:t>
            </w:r>
          </w:p>
        </w:tc>
        <w:tc>
          <w:tcPr>
            <w:tcW w:w="1750" w:type="dxa"/>
          </w:tcPr>
          <w:p w:rsidR="00EA40A3" w:rsidRDefault="00E86C16">
            <w:pPr>
              <w:spacing w:before="110" w:line="171" w:lineRule="auto"/>
              <w:ind w:left="849"/>
              <w:rPr>
                <w:rFonts w:ascii="宋体" w:eastAsia="宋体" w:hAnsi="宋体" w:cs="宋体"/>
                <w:sz w:val="16"/>
                <w:szCs w:val="16"/>
              </w:rPr>
            </w:pPr>
            <w:r>
              <w:rPr>
                <w:rFonts w:ascii="宋体" w:eastAsia="宋体" w:hAnsi="宋体" w:cs="宋体"/>
                <w:spacing w:val="-5"/>
                <w:sz w:val="16"/>
                <w:szCs w:val="16"/>
              </w:rPr>
              <w:t>129</w:t>
            </w:r>
          </w:p>
        </w:tc>
      </w:tr>
      <w:tr w:rsidR="00EA40A3">
        <w:trPr>
          <w:trHeight w:val="249"/>
        </w:trPr>
        <w:tc>
          <w:tcPr>
            <w:tcW w:w="1860" w:type="dxa"/>
            <w:tcBorders>
              <w:bottom w:val="single" w:sz="4" w:space="0" w:color="000000"/>
            </w:tcBorders>
          </w:tcPr>
          <w:p w:rsidR="00EA40A3" w:rsidRDefault="00E86C16">
            <w:pPr>
              <w:spacing w:before="51" w:line="219" w:lineRule="auto"/>
              <w:ind w:left="319"/>
              <w:rPr>
                <w:rFonts w:ascii="宋体" w:eastAsia="宋体" w:hAnsi="宋体" w:cs="宋体"/>
                <w:sz w:val="16"/>
                <w:szCs w:val="16"/>
              </w:rPr>
            </w:pPr>
            <w:r>
              <w:rPr>
                <w:rFonts w:ascii="宋体" w:eastAsia="宋体" w:hAnsi="宋体" w:cs="宋体"/>
                <w:spacing w:val="-2"/>
                <w:sz w:val="16"/>
                <w:szCs w:val="16"/>
              </w:rPr>
              <w:t>黄豆</w:t>
            </w:r>
          </w:p>
        </w:tc>
        <w:tc>
          <w:tcPr>
            <w:tcW w:w="1760" w:type="dxa"/>
            <w:tcBorders>
              <w:bottom w:val="single" w:sz="4" w:space="0" w:color="000000"/>
              <w:right w:val="single" w:sz="4" w:space="0" w:color="000000"/>
            </w:tcBorders>
          </w:tcPr>
          <w:p w:rsidR="00EA40A3" w:rsidRDefault="00E86C16">
            <w:pPr>
              <w:spacing w:before="112" w:line="158" w:lineRule="auto"/>
              <w:ind w:left="859"/>
              <w:rPr>
                <w:rFonts w:ascii="宋体" w:eastAsia="宋体" w:hAnsi="宋体" w:cs="宋体"/>
                <w:sz w:val="16"/>
                <w:szCs w:val="16"/>
              </w:rPr>
            </w:pPr>
            <w:r>
              <w:rPr>
                <w:rFonts w:ascii="宋体" w:eastAsia="宋体" w:hAnsi="宋体" w:cs="宋体"/>
                <w:spacing w:val="-5"/>
                <w:sz w:val="16"/>
                <w:szCs w:val="16"/>
              </w:rPr>
              <w:t>199</w:t>
            </w:r>
          </w:p>
        </w:tc>
        <w:tc>
          <w:tcPr>
            <w:tcW w:w="1890" w:type="dxa"/>
            <w:tcBorders>
              <w:left w:val="single" w:sz="4" w:space="0" w:color="000000"/>
              <w:bottom w:val="single" w:sz="4" w:space="0" w:color="000000"/>
            </w:tcBorders>
          </w:tcPr>
          <w:p w:rsidR="00EA40A3" w:rsidRDefault="00E86C16">
            <w:pPr>
              <w:spacing w:before="70" w:line="206" w:lineRule="auto"/>
              <w:ind w:left="334"/>
              <w:rPr>
                <w:rFonts w:ascii="宋体" w:eastAsia="宋体" w:hAnsi="宋体" w:cs="宋体"/>
                <w:sz w:val="16"/>
                <w:szCs w:val="16"/>
              </w:rPr>
            </w:pPr>
            <w:r>
              <w:rPr>
                <w:rFonts w:ascii="宋体" w:eastAsia="宋体" w:hAnsi="宋体" w:cs="宋体"/>
                <w:spacing w:val="7"/>
                <w:sz w:val="16"/>
                <w:szCs w:val="16"/>
              </w:rPr>
              <w:t>苔菜(干)</w:t>
            </w:r>
          </w:p>
        </w:tc>
        <w:tc>
          <w:tcPr>
            <w:tcW w:w="1750" w:type="dxa"/>
            <w:tcBorders>
              <w:bottom w:val="single" w:sz="4" w:space="0" w:color="000000"/>
            </w:tcBorders>
          </w:tcPr>
          <w:p w:rsidR="00EA40A3" w:rsidRDefault="00E86C16">
            <w:pPr>
              <w:spacing w:before="122" w:line="127" w:lineRule="exact"/>
              <w:ind w:left="779"/>
              <w:rPr>
                <w:rFonts w:ascii="宋体" w:eastAsia="宋体" w:hAnsi="宋体" w:cs="宋体"/>
                <w:sz w:val="16"/>
                <w:szCs w:val="16"/>
              </w:rPr>
            </w:pPr>
            <w:r>
              <w:rPr>
                <w:rFonts w:ascii="宋体" w:eastAsia="宋体" w:hAnsi="宋体" w:cs="宋体"/>
                <w:spacing w:val="-4"/>
                <w:position w:val="-2"/>
                <w:sz w:val="16"/>
                <w:szCs w:val="16"/>
              </w:rPr>
              <w:t>1257</w:t>
            </w:r>
          </w:p>
        </w:tc>
      </w:tr>
    </w:tbl>
    <w:p w:rsidR="00EA40A3" w:rsidRDefault="00E86C16">
      <w:pPr>
        <w:spacing w:before="81" w:line="219" w:lineRule="auto"/>
        <w:ind w:left="340"/>
        <w:rPr>
          <w:rFonts w:ascii="宋体" w:eastAsia="宋体" w:hAnsi="宋体" w:cs="宋体"/>
          <w:sz w:val="18"/>
          <w:szCs w:val="18"/>
        </w:rPr>
      </w:pPr>
      <w:r>
        <w:rPr>
          <w:rFonts w:ascii="宋体" w:eastAsia="宋体" w:hAnsi="宋体" w:cs="宋体"/>
          <w:spacing w:val="-18"/>
          <w:sz w:val="18"/>
          <w:szCs w:val="18"/>
        </w:rPr>
        <w:t>资料来源：葛可佑.2004.中国营养科学全书.北京</w:t>
      </w:r>
      <w:r>
        <w:rPr>
          <w:rFonts w:ascii="宋体" w:eastAsia="宋体" w:hAnsi="宋体" w:cs="宋体"/>
          <w:spacing w:val="-19"/>
          <w:sz w:val="18"/>
          <w:szCs w:val="18"/>
        </w:rPr>
        <w:t>：人民卫生出版社</w:t>
      </w:r>
    </w:p>
    <w:p w:rsidR="00EA40A3" w:rsidRDefault="00EA40A3">
      <w:pPr>
        <w:spacing w:line="475" w:lineRule="auto"/>
      </w:pPr>
    </w:p>
    <w:p w:rsidR="00EA40A3" w:rsidRDefault="00E86C16">
      <w:pPr>
        <w:spacing w:before="69" w:line="224" w:lineRule="auto"/>
        <w:ind w:left="3"/>
        <w:outlineLvl w:val="6"/>
        <w:rPr>
          <w:rFonts w:ascii="黑体" w:eastAsia="黑体" w:hAnsi="黑体" w:cs="黑体"/>
        </w:rPr>
      </w:pPr>
      <w:r>
        <w:rPr>
          <w:rFonts w:ascii="黑体" w:eastAsia="黑体" w:hAnsi="黑体" w:cs="黑体"/>
          <w:b/>
          <w:bCs/>
          <w:spacing w:val="-3"/>
        </w:rPr>
        <w:t>4.1.7</w:t>
      </w:r>
      <w:r>
        <w:rPr>
          <w:rFonts w:ascii="黑体" w:eastAsia="黑体" w:hAnsi="黑体" w:cs="黑体"/>
          <w:spacing w:val="4"/>
        </w:rPr>
        <w:t xml:space="preserve">   </w:t>
      </w:r>
      <w:r>
        <w:rPr>
          <w:rFonts w:ascii="黑体" w:eastAsia="黑体" w:hAnsi="黑体" w:cs="黑体"/>
          <w:b/>
          <w:bCs/>
          <w:spacing w:val="-3"/>
        </w:rPr>
        <w:t>铁</w:t>
      </w:r>
    </w:p>
    <w:p w:rsidR="00EA40A3" w:rsidRDefault="00E86C16">
      <w:pPr>
        <w:spacing w:before="184" w:line="264" w:lineRule="auto"/>
        <w:ind w:right="96" w:firstLine="450"/>
        <w:jc w:val="both"/>
        <w:rPr>
          <w:rFonts w:ascii="宋体" w:eastAsia="宋体" w:hAnsi="宋体" w:cs="宋体"/>
        </w:rPr>
      </w:pPr>
      <w:r>
        <w:rPr>
          <w:rFonts w:ascii="宋体" w:eastAsia="宋体" w:hAnsi="宋体" w:cs="宋体"/>
          <w:spacing w:val="-2"/>
        </w:rPr>
        <w:t>铁</w:t>
      </w:r>
      <w:r>
        <w:rPr>
          <w:rFonts w:ascii="宋体" w:eastAsia="宋体" w:hAnsi="宋体" w:cs="宋体"/>
          <w:spacing w:val="-8"/>
        </w:rPr>
        <w:t xml:space="preserve"> </w:t>
      </w:r>
      <w:r>
        <w:rPr>
          <w:rFonts w:ascii="宋体" w:eastAsia="宋体" w:hAnsi="宋体" w:cs="宋体"/>
          <w:spacing w:val="-2"/>
        </w:rPr>
        <w:t>(iron)</w:t>
      </w:r>
      <w:r>
        <w:rPr>
          <w:rFonts w:ascii="宋体" w:eastAsia="宋体" w:hAnsi="宋体" w:cs="宋体"/>
          <w:spacing w:val="-30"/>
        </w:rPr>
        <w:t xml:space="preserve"> </w:t>
      </w:r>
      <w:r>
        <w:rPr>
          <w:rFonts w:ascii="宋体" w:eastAsia="宋体" w:hAnsi="宋体" w:cs="宋体"/>
          <w:spacing w:val="-2"/>
        </w:rPr>
        <w:t>是研究最多和了解最深的人体必需微量元素之一，而同</w:t>
      </w:r>
      <w:r>
        <w:rPr>
          <w:rFonts w:ascii="宋体" w:eastAsia="宋体" w:hAnsi="宋体" w:cs="宋体"/>
          <w:spacing w:val="-3"/>
        </w:rPr>
        <w:t>时铁缺乏</w:t>
      </w:r>
      <w:r>
        <w:rPr>
          <w:rFonts w:ascii="宋体" w:eastAsia="宋体" w:hAnsi="宋体" w:cs="宋体"/>
        </w:rPr>
        <w:t xml:space="preserve"> 又是全球特别是发展中国家最主要的营养问题之一。成人体内含铁3～</w:t>
      </w:r>
      <w:r>
        <w:rPr>
          <w:rFonts w:ascii="宋体" w:eastAsia="宋体" w:hAnsi="宋体" w:cs="宋体"/>
          <w:spacing w:val="-1"/>
        </w:rPr>
        <w:t>5g,</w:t>
      </w:r>
      <w:r>
        <w:rPr>
          <w:rFonts w:ascii="宋体" w:eastAsia="宋体" w:hAnsi="宋体" w:cs="宋体"/>
          <w:spacing w:val="6"/>
        </w:rPr>
        <w:t xml:space="preserve"> </w:t>
      </w:r>
      <w:r>
        <w:rPr>
          <w:rFonts w:ascii="宋体" w:eastAsia="宋体" w:hAnsi="宋体" w:cs="宋体"/>
          <w:spacing w:val="-1"/>
        </w:rPr>
        <w:t>约占</w:t>
      </w:r>
      <w:r>
        <w:rPr>
          <w:rFonts w:ascii="宋体" w:eastAsia="宋体" w:hAnsi="宋体" w:cs="宋体"/>
        </w:rPr>
        <w:t xml:space="preserve"> </w:t>
      </w:r>
      <w:r>
        <w:rPr>
          <w:rFonts w:ascii="宋体" w:eastAsia="宋体" w:hAnsi="宋体" w:cs="宋体"/>
          <w:spacing w:val="8"/>
        </w:rPr>
        <w:t>体重的0.004%。体内铁分功能铁和储备铁，功能铁约占70%,它们大部分存在</w:t>
      </w:r>
      <w:r>
        <w:rPr>
          <w:rFonts w:ascii="宋体" w:eastAsia="宋体" w:hAnsi="宋体" w:cs="宋体"/>
          <w:spacing w:val="6"/>
        </w:rPr>
        <w:t xml:space="preserve"> </w:t>
      </w:r>
      <w:r>
        <w:rPr>
          <w:rFonts w:ascii="宋体" w:eastAsia="宋体" w:hAnsi="宋体" w:cs="宋体"/>
          <w:spacing w:val="-3"/>
        </w:rPr>
        <w:t>于血红蛋白和肌红蛋白中，少部分存在于含铁的酶和运输铁中。</w:t>
      </w:r>
      <w:r>
        <w:rPr>
          <w:rFonts w:ascii="宋体" w:eastAsia="宋体" w:hAnsi="宋体" w:cs="宋体"/>
          <w:spacing w:val="-4"/>
        </w:rPr>
        <w:t>储备铁约占总铁</w:t>
      </w:r>
      <w:r>
        <w:rPr>
          <w:rFonts w:ascii="宋体" w:eastAsia="宋体" w:hAnsi="宋体" w:cs="宋体"/>
        </w:rPr>
        <w:t xml:space="preserve"> </w:t>
      </w:r>
      <w:r>
        <w:rPr>
          <w:rFonts w:ascii="宋体" w:eastAsia="宋体" w:hAnsi="宋体" w:cs="宋体"/>
          <w:spacing w:val="3"/>
        </w:rPr>
        <w:t>含量的30%,主要以铁蛋白</w:t>
      </w:r>
      <w:r>
        <w:rPr>
          <w:rFonts w:ascii="宋体" w:eastAsia="宋体" w:hAnsi="宋体" w:cs="宋体"/>
          <w:spacing w:val="-23"/>
        </w:rPr>
        <w:t xml:space="preserve"> </w:t>
      </w:r>
      <w:r>
        <w:rPr>
          <w:rFonts w:ascii="宋体" w:eastAsia="宋体" w:hAnsi="宋体" w:cs="宋体"/>
          <w:spacing w:val="3"/>
        </w:rPr>
        <w:t>(</w:t>
      </w:r>
      <w:r>
        <w:rPr>
          <w:rFonts w:ascii="宋体" w:eastAsia="宋体" w:hAnsi="宋体" w:cs="宋体"/>
        </w:rPr>
        <w:t>ferritin</w:t>
      </w:r>
      <w:r>
        <w:rPr>
          <w:rFonts w:ascii="宋体" w:eastAsia="宋体" w:hAnsi="宋体" w:cs="宋体"/>
          <w:spacing w:val="3"/>
        </w:rPr>
        <w:t>)</w:t>
      </w:r>
      <w:r>
        <w:rPr>
          <w:rFonts w:ascii="宋体" w:eastAsia="宋体" w:hAnsi="宋体" w:cs="宋体"/>
          <w:spacing w:val="-26"/>
        </w:rPr>
        <w:t xml:space="preserve"> </w:t>
      </w:r>
      <w:r>
        <w:rPr>
          <w:rFonts w:ascii="宋体" w:eastAsia="宋体" w:hAnsi="宋体" w:cs="宋体"/>
          <w:spacing w:val="3"/>
        </w:rPr>
        <w:t>和含铁血黄素</w:t>
      </w:r>
      <w:r>
        <w:rPr>
          <w:rFonts w:ascii="宋体" w:eastAsia="宋体" w:hAnsi="宋体" w:cs="宋体"/>
          <w:spacing w:val="-5"/>
        </w:rPr>
        <w:t xml:space="preserve"> </w:t>
      </w:r>
      <w:r>
        <w:rPr>
          <w:rFonts w:ascii="宋体" w:eastAsia="宋体" w:hAnsi="宋体" w:cs="宋体"/>
          <w:spacing w:val="3"/>
        </w:rPr>
        <w:t>(</w:t>
      </w:r>
      <w:r>
        <w:rPr>
          <w:rFonts w:ascii="宋体" w:eastAsia="宋体" w:hAnsi="宋体" w:cs="宋体"/>
        </w:rPr>
        <w:t>hemosiderin</w:t>
      </w:r>
      <w:r>
        <w:rPr>
          <w:rFonts w:ascii="宋体" w:eastAsia="宋体" w:hAnsi="宋体" w:cs="宋体"/>
          <w:spacing w:val="3"/>
        </w:rPr>
        <w:t>)</w:t>
      </w:r>
      <w:r>
        <w:rPr>
          <w:rFonts w:ascii="宋体" w:eastAsia="宋体" w:hAnsi="宋体" w:cs="宋体"/>
          <w:spacing w:val="-34"/>
        </w:rPr>
        <w:t xml:space="preserve"> </w:t>
      </w:r>
      <w:r>
        <w:rPr>
          <w:rFonts w:ascii="宋体" w:eastAsia="宋体" w:hAnsi="宋体" w:cs="宋体"/>
          <w:spacing w:val="3"/>
        </w:rPr>
        <w:t>的形式存</w:t>
      </w:r>
      <w:r>
        <w:rPr>
          <w:rFonts w:ascii="宋体" w:eastAsia="宋体" w:hAnsi="宋体" w:cs="宋体"/>
        </w:rPr>
        <w:t xml:space="preserve"> </w:t>
      </w:r>
      <w:r>
        <w:rPr>
          <w:rFonts w:ascii="宋体" w:eastAsia="宋体" w:hAnsi="宋体" w:cs="宋体"/>
          <w:spacing w:val="-8"/>
        </w:rPr>
        <w:t>在于肝、脾和骨髓中。</w:t>
      </w:r>
    </w:p>
    <w:p w:rsidR="00EA40A3" w:rsidRDefault="00E86C16">
      <w:pPr>
        <w:spacing w:before="227" w:line="222" w:lineRule="auto"/>
        <w:rPr>
          <w:rFonts w:ascii="仿宋" w:eastAsia="仿宋" w:hAnsi="仿宋" w:cs="仿宋"/>
        </w:rPr>
      </w:pPr>
      <w:r>
        <w:rPr>
          <w:rFonts w:ascii="仿宋" w:eastAsia="仿宋" w:hAnsi="仿宋" w:cs="仿宋"/>
          <w:spacing w:val="15"/>
        </w:rPr>
        <w:t>1.</w:t>
      </w:r>
      <w:r>
        <w:rPr>
          <w:rFonts w:ascii="仿宋" w:eastAsia="仿宋" w:hAnsi="仿宋" w:cs="仿宋"/>
          <w:spacing w:val="-28"/>
        </w:rPr>
        <w:t xml:space="preserve"> </w:t>
      </w:r>
      <w:r>
        <w:rPr>
          <w:rFonts w:ascii="仿宋" w:eastAsia="仿宋" w:hAnsi="仿宋" w:cs="仿宋"/>
          <w:spacing w:val="15"/>
        </w:rPr>
        <w:t>铁的生理功能</w:t>
      </w:r>
    </w:p>
    <w:p w:rsidR="00EA40A3" w:rsidRDefault="00E86C16">
      <w:pPr>
        <w:spacing w:before="198" w:line="264" w:lineRule="auto"/>
        <w:ind w:firstLine="450"/>
        <w:jc w:val="both"/>
        <w:rPr>
          <w:rFonts w:ascii="宋体" w:eastAsia="宋体" w:hAnsi="宋体" w:cs="宋体"/>
        </w:rPr>
      </w:pPr>
      <w:r>
        <w:rPr>
          <w:rFonts w:ascii="宋体" w:eastAsia="宋体" w:hAnsi="宋体" w:cs="宋体"/>
          <w:spacing w:val="-1"/>
        </w:rPr>
        <w:t>铁在体内主要作为血红蛋白、肌红蛋白的组成</w:t>
      </w:r>
      <w:r>
        <w:rPr>
          <w:rFonts w:ascii="宋体" w:eastAsia="宋体" w:hAnsi="宋体" w:cs="宋体"/>
          <w:spacing w:val="-2"/>
        </w:rPr>
        <w:t>成分参与</w:t>
      </w:r>
      <w:r>
        <w:rPr>
          <w:rFonts w:ascii="宋体" w:eastAsia="宋体" w:hAnsi="宋体" w:cs="宋体"/>
          <w:spacing w:val="-48"/>
        </w:rPr>
        <w:t xml:space="preserve"> </w:t>
      </w:r>
      <w:r>
        <w:rPr>
          <w:rFonts w:ascii="宋体" w:eastAsia="宋体" w:hAnsi="宋体" w:cs="宋体"/>
          <w:spacing w:val="-2"/>
        </w:rPr>
        <w:t>O</w:t>
      </w:r>
      <w:r>
        <w:rPr>
          <w:rFonts w:ascii="Calibri" w:eastAsia="Calibri" w:hAnsi="Calibri" w:cs="Calibri"/>
          <w:spacing w:val="-2"/>
        </w:rPr>
        <w:t>₂</w:t>
      </w:r>
      <w:r>
        <w:rPr>
          <w:rFonts w:ascii="Calibri" w:eastAsia="Calibri" w:hAnsi="Calibri" w:cs="Calibri"/>
          <w:spacing w:val="18"/>
          <w:w w:val="101"/>
        </w:rPr>
        <w:t xml:space="preserve">  </w:t>
      </w:r>
      <w:r>
        <w:rPr>
          <w:rFonts w:ascii="宋体" w:eastAsia="宋体" w:hAnsi="宋体" w:cs="宋体"/>
          <w:spacing w:val="-2"/>
        </w:rPr>
        <w:t>和</w:t>
      </w:r>
      <w:r>
        <w:rPr>
          <w:rFonts w:ascii="宋体" w:eastAsia="宋体" w:hAnsi="宋体" w:cs="宋体"/>
          <w:spacing w:val="-46"/>
        </w:rPr>
        <w:t xml:space="preserve"> </w:t>
      </w:r>
      <w:r>
        <w:rPr>
          <w:rFonts w:ascii="宋体" w:eastAsia="宋体" w:hAnsi="宋体" w:cs="宋体"/>
          <w:spacing w:val="-1"/>
        </w:rPr>
        <w:t>CO</w:t>
      </w:r>
      <w:r>
        <w:rPr>
          <w:rFonts w:ascii="Calibri" w:eastAsia="Calibri" w:hAnsi="Calibri" w:cs="Calibri"/>
          <w:spacing w:val="-2"/>
        </w:rPr>
        <w:t>₂</w:t>
      </w:r>
      <w:r>
        <w:rPr>
          <w:rFonts w:ascii="Calibri" w:eastAsia="Calibri" w:hAnsi="Calibri" w:cs="Calibri"/>
          <w:spacing w:val="7"/>
        </w:rPr>
        <w:t xml:space="preserve">   </w:t>
      </w:r>
      <w:r>
        <w:rPr>
          <w:rFonts w:ascii="宋体" w:eastAsia="宋体" w:hAnsi="宋体" w:cs="宋体"/>
          <w:spacing w:val="-2"/>
        </w:rPr>
        <w:t>的运输，</w:t>
      </w:r>
      <w:r>
        <w:rPr>
          <w:rFonts w:ascii="宋体" w:eastAsia="宋体" w:hAnsi="宋体" w:cs="宋体"/>
          <w:spacing w:val="2"/>
        </w:rPr>
        <w:t xml:space="preserve"> </w:t>
      </w:r>
      <w:r>
        <w:rPr>
          <w:rFonts w:ascii="宋体" w:eastAsia="宋体" w:hAnsi="宋体" w:cs="宋体"/>
          <w:spacing w:val="-2"/>
        </w:rPr>
        <w:t>铁又是细胞色素系统、过氧化氢酶和过氧化物酶的组</w:t>
      </w:r>
      <w:r>
        <w:rPr>
          <w:rFonts w:ascii="宋体" w:eastAsia="宋体" w:hAnsi="宋体" w:cs="宋体"/>
          <w:spacing w:val="-3"/>
        </w:rPr>
        <w:t>成成分，在呼吸和生物氧化</w:t>
      </w:r>
      <w:r>
        <w:rPr>
          <w:rFonts w:ascii="宋体" w:eastAsia="宋体" w:hAnsi="宋体" w:cs="宋体"/>
        </w:rPr>
        <w:t xml:space="preserve">  </w:t>
      </w:r>
      <w:r>
        <w:rPr>
          <w:rFonts w:ascii="宋体" w:eastAsia="宋体" w:hAnsi="宋体" w:cs="宋体"/>
          <w:spacing w:val="-2"/>
        </w:rPr>
        <w:t>过程中起重要作用。如血红蛋白可与氧可逆地结合，</w:t>
      </w:r>
      <w:r>
        <w:rPr>
          <w:rFonts w:ascii="宋体" w:eastAsia="宋体" w:hAnsi="宋体" w:cs="宋体"/>
          <w:spacing w:val="-3"/>
        </w:rPr>
        <w:t>当血液流经氧分压较高的肺</w:t>
      </w:r>
      <w:r>
        <w:rPr>
          <w:rFonts w:ascii="宋体" w:eastAsia="宋体" w:hAnsi="宋体" w:cs="宋体"/>
        </w:rPr>
        <w:t xml:space="preserve">  </w:t>
      </w:r>
      <w:r>
        <w:rPr>
          <w:rFonts w:ascii="宋体" w:eastAsia="宋体" w:hAnsi="宋体" w:cs="宋体"/>
          <w:spacing w:val="-3"/>
        </w:rPr>
        <w:t>泡时，血红蛋白能与氧结合成为氧合血红蛋白，而当血液流经氧分压较</w:t>
      </w:r>
      <w:r>
        <w:rPr>
          <w:rFonts w:ascii="宋体" w:eastAsia="宋体" w:hAnsi="宋体" w:cs="宋体"/>
          <w:spacing w:val="-4"/>
        </w:rPr>
        <w:t>低的组织</w:t>
      </w:r>
      <w:r>
        <w:rPr>
          <w:rFonts w:ascii="宋体" w:eastAsia="宋体" w:hAnsi="宋体" w:cs="宋体"/>
        </w:rPr>
        <w:t xml:space="preserve">  </w:t>
      </w:r>
      <w:r>
        <w:rPr>
          <w:rFonts w:ascii="宋体" w:eastAsia="宋体" w:hAnsi="宋体" w:cs="宋体"/>
          <w:spacing w:val="9"/>
        </w:rPr>
        <w:t xml:space="preserve">时，氧合血红蛋白又离解成血红蛋白和氧，从而完成把氧从肺泡送至组织的  </w:t>
      </w:r>
      <w:r>
        <w:rPr>
          <w:rFonts w:ascii="宋体" w:eastAsia="宋体" w:hAnsi="宋体" w:cs="宋体"/>
          <w:spacing w:val="-9"/>
        </w:rPr>
        <w:t>任务。</w:t>
      </w:r>
    </w:p>
    <w:p w:rsidR="00EA40A3" w:rsidRDefault="00E86C16">
      <w:pPr>
        <w:spacing w:before="131" w:line="159" w:lineRule="auto"/>
        <w:ind w:left="2560"/>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Hb+O₂&lt;—HbO₂</w:t>
      </w:r>
    </w:p>
    <w:p w:rsidR="00EA40A3" w:rsidRDefault="00E86C16">
      <w:pPr>
        <w:spacing w:before="1" w:line="218" w:lineRule="auto"/>
        <w:ind w:left="2520"/>
        <w:rPr>
          <w:rFonts w:ascii="宋体" w:eastAsia="宋体" w:hAnsi="宋体" w:cs="宋体"/>
          <w:sz w:val="18"/>
          <w:szCs w:val="18"/>
        </w:rPr>
      </w:pPr>
      <w:r>
        <w:rPr>
          <w:rFonts w:ascii="宋体" w:eastAsia="宋体" w:hAnsi="宋体" w:cs="宋体"/>
          <w:spacing w:val="-17"/>
          <w:sz w:val="18"/>
          <w:szCs w:val="18"/>
        </w:rPr>
        <w:t>(血红蛋白)</w:t>
      </w:r>
      <w:r>
        <w:rPr>
          <w:rFonts w:ascii="宋体" w:eastAsia="宋体" w:hAnsi="宋体" w:cs="宋体"/>
          <w:spacing w:val="5"/>
          <w:sz w:val="18"/>
          <w:szCs w:val="18"/>
        </w:rPr>
        <w:t xml:space="preserve">    </w:t>
      </w:r>
      <w:r>
        <w:rPr>
          <w:rFonts w:ascii="宋体" w:eastAsia="宋体" w:hAnsi="宋体" w:cs="宋体"/>
          <w:spacing w:val="-17"/>
          <w:sz w:val="18"/>
          <w:szCs w:val="18"/>
        </w:rPr>
        <w:t>(氧合血红蛋白)</w:t>
      </w:r>
    </w:p>
    <w:p w:rsidR="00EA40A3" w:rsidRDefault="00E86C16">
      <w:pPr>
        <w:spacing w:before="9" w:line="259" w:lineRule="auto"/>
        <w:ind w:right="61" w:firstLine="450"/>
        <w:jc w:val="both"/>
        <w:rPr>
          <w:rFonts w:ascii="宋体" w:eastAsia="宋体" w:hAnsi="宋体" w:cs="宋体"/>
        </w:rPr>
      </w:pPr>
      <w:r>
        <w:rPr>
          <w:rFonts w:ascii="宋体" w:eastAsia="宋体" w:hAnsi="宋体" w:cs="宋体"/>
          <w:spacing w:val="-2"/>
        </w:rPr>
        <w:t>肌红蛋白能在组织中储存氧，细胞色素能在细胞呼</w:t>
      </w:r>
      <w:r>
        <w:rPr>
          <w:rFonts w:ascii="宋体" w:eastAsia="宋体" w:hAnsi="宋体" w:cs="宋体"/>
          <w:spacing w:val="-3"/>
        </w:rPr>
        <w:t>吸过程中起传递电子的作</w:t>
      </w:r>
      <w:r>
        <w:rPr>
          <w:rFonts w:ascii="宋体" w:eastAsia="宋体" w:hAnsi="宋体" w:cs="宋体"/>
        </w:rPr>
        <w:t xml:space="preserve"> </w:t>
      </w:r>
      <w:r>
        <w:rPr>
          <w:rFonts w:ascii="宋体" w:eastAsia="宋体" w:hAnsi="宋体" w:cs="宋体"/>
          <w:spacing w:val="-3"/>
        </w:rPr>
        <w:t>用。许多与杀菌有关的酶的活性、淋巴细胞的转化、中性粒细胞吞噬功能</w:t>
      </w:r>
      <w:r>
        <w:rPr>
          <w:rFonts w:ascii="宋体" w:eastAsia="宋体" w:hAnsi="宋体" w:cs="宋体"/>
          <w:spacing w:val="-4"/>
        </w:rPr>
        <w:t>等，也</w:t>
      </w:r>
      <w:r>
        <w:rPr>
          <w:rFonts w:ascii="宋体" w:eastAsia="宋体" w:hAnsi="宋体" w:cs="宋体"/>
        </w:rPr>
        <w:t xml:space="preserve"> </w:t>
      </w:r>
      <w:r>
        <w:rPr>
          <w:rFonts w:ascii="宋体" w:eastAsia="宋体" w:hAnsi="宋体" w:cs="宋体"/>
          <w:spacing w:val="-3"/>
        </w:rPr>
        <w:t>均与铁水平有关。此外，铁还具有催化促进β胡萝卜素转化为维生素A、</w:t>
      </w:r>
      <w:r>
        <w:rPr>
          <w:rFonts w:ascii="宋体" w:eastAsia="宋体" w:hAnsi="宋体" w:cs="宋体"/>
          <w:spacing w:val="-15"/>
        </w:rPr>
        <w:t xml:space="preserve"> </w:t>
      </w:r>
      <w:r>
        <w:rPr>
          <w:rFonts w:ascii="宋体" w:eastAsia="宋体" w:hAnsi="宋体" w:cs="宋体"/>
          <w:spacing w:val="-3"/>
        </w:rPr>
        <w:t>抗体的</w:t>
      </w:r>
      <w:r>
        <w:rPr>
          <w:rFonts w:ascii="宋体" w:eastAsia="宋体" w:hAnsi="宋体" w:cs="宋体"/>
        </w:rPr>
        <w:t xml:space="preserve"> </w:t>
      </w:r>
      <w:r>
        <w:rPr>
          <w:rFonts w:ascii="宋体" w:eastAsia="宋体" w:hAnsi="宋体" w:cs="宋体"/>
          <w:spacing w:val="-7"/>
        </w:rPr>
        <w:t>产生以及药物在肝脏的解毒等功能。</w:t>
      </w:r>
    </w:p>
    <w:p w:rsidR="00EA40A3" w:rsidRDefault="00E86C16">
      <w:pPr>
        <w:spacing w:before="230" w:line="223" w:lineRule="auto"/>
        <w:rPr>
          <w:rFonts w:ascii="仿宋" w:eastAsia="仿宋" w:hAnsi="仿宋" w:cs="仿宋"/>
        </w:rPr>
      </w:pPr>
      <w:r>
        <w:rPr>
          <w:rFonts w:ascii="仿宋" w:eastAsia="仿宋" w:hAnsi="仿宋" w:cs="仿宋"/>
          <w:spacing w:val="18"/>
        </w:rPr>
        <w:t>2.</w:t>
      </w:r>
      <w:r>
        <w:rPr>
          <w:rFonts w:ascii="仿宋" w:eastAsia="仿宋" w:hAnsi="仿宋" w:cs="仿宋"/>
          <w:spacing w:val="-22"/>
        </w:rPr>
        <w:t xml:space="preserve"> </w:t>
      </w:r>
      <w:r>
        <w:rPr>
          <w:rFonts w:ascii="仿宋" w:eastAsia="仿宋" w:hAnsi="仿宋" w:cs="仿宋"/>
          <w:spacing w:val="18"/>
        </w:rPr>
        <w:t>铁的吸收与代谢</w:t>
      </w:r>
    </w:p>
    <w:p w:rsidR="00EA40A3" w:rsidRDefault="00E86C16">
      <w:pPr>
        <w:spacing w:before="178" w:line="219" w:lineRule="auto"/>
        <w:rPr>
          <w:rFonts w:ascii="宋体" w:eastAsia="宋体" w:hAnsi="宋体" w:cs="宋体"/>
        </w:rPr>
      </w:pPr>
      <w:r>
        <w:rPr>
          <w:rFonts w:ascii="宋体" w:eastAsia="宋体" w:hAnsi="宋体" w:cs="宋体"/>
          <w:spacing w:val="8"/>
        </w:rPr>
        <w:t>1)铁的吸收</w:t>
      </w:r>
    </w:p>
    <w:p w:rsidR="00EA40A3" w:rsidRDefault="00E86C16">
      <w:pPr>
        <w:spacing w:before="69" w:line="251" w:lineRule="auto"/>
        <w:ind w:right="109" w:firstLine="410"/>
        <w:rPr>
          <w:rFonts w:ascii="宋体" w:eastAsia="宋体" w:hAnsi="宋体" w:cs="宋体"/>
        </w:rPr>
      </w:pPr>
      <w:r>
        <w:rPr>
          <w:rFonts w:ascii="宋体" w:eastAsia="宋体" w:hAnsi="宋体" w:cs="宋体"/>
          <w:spacing w:val="-3"/>
        </w:rPr>
        <w:t>食物中的铁主要是三价铁的无机物或有机物，它们进入体内后需在胃酸作用</w:t>
      </w:r>
      <w:r>
        <w:rPr>
          <w:rFonts w:ascii="宋体" w:eastAsia="宋体" w:hAnsi="宋体" w:cs="宋体"/>
          <w:spacing w:val="13"/>
        </w:rPr>
        <w:t xml:space="preserve"> </w:t>
      </w:r>
      <w:r>
        <w:rPr>
          <w:rFonts w:ascii="宋体" w:eastAsia="宋体" w:hAnsi="宋体" w:cs="宋体"/>
          <w:spacing w:val="1"/>
        </w:rPr>
        <w:t>下溶出，或通过食物中的还原性物质如维生素</w:t>
      </w:r>
      <w:r>
        <w:rPr>
          <w:rFonts w:ascii="宋体" w:eastAsia="宋体" w:hAnsi="宋体" w:cs="宋体"/>
          <w:spacing w:val="-37"/>
        </w:rPr>
        <w:t xml:space="preserve"> </w:t>
      </w:r>
      <w:r>
        <w:rPr>
          <w:rFonts w:ascii="宋体" w:eastAsia="宋体" w:hAnsi="宋体" w:cs="宋体"/>
          <w:spacing w:val="1"/>
        </w:rPr>
        <w:t>C</w:t>
      </w:r>
      <w:r>
        <w:rPr>
          <w:rFonts w:ascii="宋体" w:eastAsia="宋体" w:hAnsi="宋体" w:cs="宋体"/>
          <w:spacing w:val="-4"/>
        </w:rPr>
        <w:t xml:space="preserve"> </w:t>
      </w:r>
      <w:r>
        <w:rPr>
          <w:rFonts w:ascii="宋体" w:eastAsia="宋体" w:hAnsi="宋体" w:cs="宋体"/>
          <w:spacing w:val="1"/>
        </w:rPr>
        <w:t>和巯基化合物等作用，形成亚</w:t>
      </w:r>
    </w:p>
    <w:p w:rsidR="00EA40A3" w:rsidRDefault="00E86C16">
      <w:pPr>
        <w:spacing w:before="77"/>
        <w:ind w:right="110"/>
        <w:jc w:val="right"/>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3"/>
          <w:sz w:val="18"/>
          <w:szCs w:val="18"/>
        </w:rPr>
        <w:t xml:space="preserve"> </w:t>
      </w:r>
      <w:r>
        <w:rPr>
          <w:rFonts w:ascii="宋体" w:eastAsia="宋体" w:hAnsi="宋体" w:cs="宋体"/>
          <w:spacing w:val="-29"/>
          <w:sz w:val="18"/>
          <w:szCs w:val="18"/>
        </w:rPr>
        <w:t>101</w:t>
      </w:r>
      <w:r>
        <w:rPr>
          <w:rFonts w:ascii="宋体" w:eastAsia="宋体" w:hAnsi="宋体" w:cs="宋体"/>
          <w:spacing w:val="45"/>
          <w:sz w:val="18"/>
          <w:szCs w:val="18"/>
        </w:rPr>
        <w:t xml:space="preserve"> </w:t>
      </w:r>
      <w:r>
        <w:rPr>
          <w:rFonts w:ascii="宋体" w:eastAsia="宋体" w:hAnsi="宋体" w:cs="宋体"/>
          <w:spacing w:val="-29"/>
          <w:sz w:val="18"/>
          <w:szCs w:val="18"/>
        </w:rPr>
        <w:t>·</w:t>
      </w:r>
    </w:p>
    <w:p w:rsidR="00EA40A3" w:rsidRDefault="00EA40A3">
      <w:pPr>
        <w:sectPr w:rsidR="00EA40A3">
          <w:pgSz w:w="9220" w:h="13360"/>
          <w:pgMar w:top="400" w:right="834" w:bottom="400" w:left="1020" w:header="0" w:footer="0" w:gutter="0"/>
          <w:cols w:space="720"/>
        </w:sectPr>
      </w:pPr>
    </w:p>
    <w:p w:rsidR="00EA40A3" w:rsidRDefault="00EA40A3">
      <w:pPr>
        <w:spacing w:line="272" w:lineRule="auto"/>
      </w:pPr>
    </w:p>
    <w:p w:rsidR="00EA40A3" w:rsidRDefault="00EA40A3">
      <w:pPr>
        <w:spacing w:line="273" w:lineRule="auto"/>
      </w:pPr>
    </w:p>
    <w:p w:rsidR="00EA40A3" w:rsidRDefault="00E86C16">
      <w:pPr>
        <w:spacing w:before="69" w:line="219" w:lineRule="auto"/>
        <w:rPr>
          <w:rFonts w:ascii="宋体" w:eastAsia="宋体" w:hAnsi="宋体" w:cs="宋体"/>
        </w:rPr>
      </w:pPr>
      <w:r>
        <w:rPr>
          <w:rFonts w:ascii="宋体" w:eastAsia="宋体" w:hAnsi="宋体" w:cs="宋体"/>
          <w:spacing w:val="-5"/>
        </w:rPr>
        <w:t>铁离子或可溶性络合物后才能被小肠黏膜细胞吸收。</w:t>
      </w:r>
    </w:p>
    <w:p w:rsidR="00EA40A3" w:rsidRDefault="00E86C16">
      <w:pPr>
        <w:spacing w:before="42" w:line="260" w:lineRule="auto"/>
        <w:ind w:firstLine="420"/>
        <w:jc w:val="both"/>
        <w:rPr>
          <w:rFonts w:ascii="宋体" w:eastAsia="宋体" w:hAnsi="宋体" w:cs="宋体"/>
        </w:rPr>
      </w:pPr>
      <w:r>
        <w:rPr>
          <w:rFonts w:ascii="宋体" w:eastAsia="宋体" w:hAnsi="宋体" w:cs="宋体"/>
          <w:spacing w:val="-3"/>
        </w:rPr>
        <w:t>铁吸收的确切机理还不清楚，但一般认为决定是否吸收铁的信号是在小肠黏</w:t>
      </w:r>
      <w:r>
        <w:rPr>
          <w:rFonts w:ascii="宋体" w:eastAsia="宋体" w:hAnsi="宋体" w:cs="宋体"/>
          <w:spacing w:val="7"/>
        </w:rPr>
        <w:t xml:space="preserve"> </w:t>
      </w:r>
      <w:r>
        <w:rPr>
          <w:rFonts w:ascii="宋体" w:eastAsia="宋体" w:hAnsi="宋体" w:cs="宋体"/>
          <w:spacing w:val="-3"/>
        </w:rPr>
        <w:t>膜细胞内产生的，被吸收入黏膜细胞的铁与一种或一种以上的特</w:t>
      </w:r>
      <w:r>
        <w:rPr>
          <w:rFonts w:ascii="宋体" w:eastAsia="宋体" w:hAnsi="宋体" w:cs="宋体"/>
          <w:spacing w:val="-4"/>
        </w:rPr>
        <w:t>异载体结合，这</w:t>
      </w:r>
      <w:r>
        <w:rPr>
          <w:rFonts w:ascii="宋体" w:eastAsia="宋体" w:hAnsi="宋体" w:cs="宋体"/>
        </w:rPr>
        <w:t xml:space="preserve">  </w:t>
      </w:r>
      <w:r>
        <w:rPr>
          <w:rFonts w:ascii="宋体" w:eastAsia="宋体" w:hAnsi="宋体" w:cs="宋体"/>
          <w:spacing w:val="-3"/>
        </w:rPr>
        <w:t>些载体对铁通过黏膜细胞到达血液起调节作用。若进入细胞的铁超过载体系统的</w:t>
      </w:r>
      <w:r>
        <w:rPr>
          <w:rFonts w:ascii="宋体" w:eastAsia="宋体" w:hAnsi="宋体" w:cs="宋体"/>
        </w:rPr>
        <w:t xml:space="preserve">  </w:t>
      </w:r>
      <w:r>
        <w:rPr>
          <w:rFonts w:ascii="宋体" w:eastAsia="宋体" w:hAnsi="宋体" w:cs="宋体"/>
          <w:spacing w:val="6"/>
        </w:rPr>
        <w:t>结合能力，过多的铁便以</w:t>
      </w:r>
      <w:r>
        <w:rPr>
          <w:rFonts w:ascii="宋体" w:eastAsia="宋体" w:hAnsi="宋体" w:cs="宋体"/>
        </w:rPr>
        <w:t>Fe</w:t>
      </w:r>
      <w:r>
        <w:rPr>
          <w:rFonts w:ascii="宋体" w:eastAsia="宋体" w:hAnsi="宋体" w:cs="宋体"/>
          <w:spacing w:val="6"/>
        </w:rPr>
        <w:t>³+形式掺入铁蛋白作为储备</w:t>
      </w:r>
      <w:r>
        <w:rPr>
          <w:rFonts w:ascii="宋体" w:eastAsia="宋体" w:hAnsi="宋体" w:cs="宋体"/>
          <w:spacing w:val="5"/>
        </w:rPr>
        <w:t>铁保存在黏膜细胞内。</w:t>
      </w:r>
      <w:r>
        <w:rPr>
          <w:rFonts w:ascii="宋体" w:eastAsia="宋体" w:hAnsi="宋体" w:cs="宋体"/>
        </w:rPr>
        <w:t xml:space="preserve"> </w:t>
      </w:r>
      <w:r>
        <w:rPr>
          <w:rFonts w:ascii="宋体" w:eastAsia="宋体" w:hAnsi="宋体" w:cs="宋体"/>
          <w:spacing w:val="-3"/>
        </w:rPr>
        <w:t>从黏膜细胞释放进入体内的铁在血浆中迅速与运铁蛋白</w:t>
      </w:r>
      <w:r>
        <w:rPr>
          <w:rFonts w:ascii="宋体" w:eastAsia="宋体" w:hAnsi="宋体" w:cs="宋体"/>
          <w:spacing w:val="-60"/>
        </w:rPr>
        <w:t xml:space="preserve"> </w:t>
      </w:r>
      <w:r>
        <w:rPr>
          <w:rFonts w:ascii="宋体" w:eastAsia="宋体" w:hAnsi="宋体" w:cs="宋体"/>
          <w:spacing w:val="-3"/>
        </w:rPr>
        <w:t>(transferrin)</w:t>
      </w:r>
      <w:r>
        <w:rPr>
          <w:rFonts w:ascii="宋体" w:eastAsia="宋体" w:hAnsi="宋体" w:cs="宋体"/>
          <w:spacing w:val="-47"/>
        </w:rPr>
        <w:t xml:space="preserve"> </w:t>
      </w:r>
      <w:r>
        <w:rPr>
          <w:rFonts w:ascii="宋体" w:eastAsia="宋体" w:hAnsi="宋体" w:cs="宋体"/>
          <w:spacing w:val="-3"/>
        </w:rPr>
        <w:t>结合带入</w:t>
      </w:r>
      <w:r>
        <w:rPr>
          <w:rFonts w:ascii="宋体" w:eastAsia="宋体" w:hAnsi="宋体" w:cs="宋体"/>
        </w:rPr>
        <w:t xml:space="preserve">  </w:t>
      </w:r>
      <w:r>
        <w:rPr>
          <w:rFonts w:ascii="宋体" w:eastAsia="宋体" w:hAnsi="宋体" w:cs="宋体"/>
          <w:spacing w:val="-3"/>
        </w:rPr>
        <w:t>血循环，送至骨髓用于合成血红蛋白或运至组织细胞供合成含铁酶之需要，或运</w:t>
      </w:r>
      <w:r>
        <w:rPr>
          <w:rFonts w:ascii="宋体" w:eastAsia="宋体" w:hAnsi="宋体" w:cs="宋体"/>
          <w:spacing w:val="12"/>
        </w:rPr>
        <w:t xml:space="preserve"> </w:t>
      </w:r>
      <w:r>
        <w:rPr>
          <w:rFonts w:ascii="宋体" w:eastAsia="宋体" w:hAnsi="宋体" w:cs="宋体"/>
          <w:spacing w:val="-3"/>
        </w:rPr>
        <w:t>至肝、脾及骨髓中以铁蛋白的形式储存。当血液中运铁蛋白饱和度由于体内的各</w:t>
      </w:r>
      <w:r>
        <w:rPr>
          <w:rFonts w:ascii="宋体" w:eastAsia="宋体" w:hAnsi="宋体" w:cs="宋体"/>
          <w:spacing w:val="13"/>
        </w:rPr>
        <w:t xml:space="preserve"> </w:t>
      </w:r>
      <w:r>
        <w:rPr>
          <w:rFonts w:ascii="宋体" w:eastAsia="宋体" w:hAnsi="宋体" w:cs="宋体"/>
          <w:spacing w:val="-3"/>
        </w:rPr>
        <w:t>种消耗而降低时，肠黏膜中的铁蛋白便将铁离子转移至血液中的运铁蛋白，这时</w:t>
      </w:r>
      <w:r>
        <w:rPr>
          <w:rFonts w:ascii="宋体" w:eastAsia="宋体" w:hAnsi="宋体" w:cs="宋体"/>
          <w:spacing w:val="16"/>
        </w:rPr>
        <w:t xml:space="preserve"> </w:t>
      </w:r>
      <w:r>
        <w:rPr>
          <w:rFonts w:ascii="宋体" w:eastAsia="宋体" w:hAnsi="宋体" w:cs="宋体"/>
          <w:spacing w:val="-3"/>
        </w:rPr>
        <w:t>又引起铁的吸收。现在已知运铁蛋白是一种糖蛋白，每个运铁蛋白的分子可结合</w:t>
      </w:r>
      <w:r>
        <w:rPr>
          <w:rFonts w:ascii="宋体" w:eastAsia="宋体" w:hAnsi="宋体" w:cs="宋体"/>
          <w:spacing w:val="13"/>
        </w:rPr>
        <w:t xml:space="preserve"> </w:t>
      </w:r>
      <w:r>
        <w:rPr>
          <w:rFonts w:ascii="宋体" w:eastAsia="宋体" w:hAnsi="宋体" w:cs="宋体"/>
          <w:spacing w:val="3"/>
        </w:rPr>
        <w:t>两个三价铁离子。而铁蛋白则是一个由24个相同的蛋白质亚基组成的酷似核桃</w:t>
      </w:r>
      <w:r>
        <w:rPr>
          <w:rFonts w:ascii="宋体" w:eastAsia="宋体" w:hAnsi="宋体" w:cs="宋体"/>
          <w:spacing w:val="16"/>
        </w:rPr>
        <w:t xml:space="preserve"> </w:t>
      </w:r>
      <w:r>
        <w:rPr>
          <w:rFonts w:ascii="宋体" w:eastAsia="宋体" w:hAnsi="宋体" w:cs="宋体"/>
        </w:rPr>
        <w:t>的壳，中心可储积0～4500个聚集状态的三价铁离子，正常机体内多数铁蛋白均</w:t>
      </w:r>
      <w:r>
        <w:rPr>
          <w:rFonts w:ascii="宋体" w:eastAsia="宋体" w:hAnsi="宋体" w:cs="宋体"/>
          <w:spacing w:val="18"/>
        </w:rPr>
        <w:t xml:space="preserve"> </w:t>
      </w:r>
      <w:r>
        <w:rPr>
          <w:rFonts w:ascii="宋体" w:eastAsia="宋体" w:hAnsi="宋体" w:cs="宋体"/>
          <w:spacing w:val="-9"/>
        </w:rPr>
        <w:t>处于不饱和状态。</w:t>
      </w:r>
    </w:p>
    <w:p w:rsidR="00EA40A3" w:rsidRDefault="00E86C16">
      <w:pPr>
        <w:spacing w:before="125" w:line="223" w:lineRule="auto"/>
        <w:rPr>
          <w:rFonts w:ascii="楷体" w:eastAsia="楷体" w:hAnsi="楷体" w:cs="楷体"/>
        </w:rPr>
      </w:pPr>
      <w:r>
        <w:rPr>
          <w:rFonts w:ascii="楷体" w:eastAsia="楷体" w:hAnsi="楷体" w:cs="楷体"/>
          <w:spacing w:val="4"/>
        </w:rPr>
        <w:t>2)影响铁吸收的因素</w:t>
      </w:r>
    </w:p>
    <w:p w:rsidR="00EA40A3" w:rsidRDefault="00E86C16">
      <w:pPr>
        <w:spacing w:before="65" w:line="257" w:lineRule="auto"/>
        <w:ind w:firstLine="420"/>
        <w:jc w:val="both"/>
        <w:rPr>
          <w:rFonts w:ascii="宋体" w:eastAsia="宋体" w:hAnsi="宋体" w:cs="宋体"/>
        </w:rPr>
      </w:pPr>
      <w:r>
        <w:rPr>
          <w:rFonts w:ascii="宋体" w:eastAsia="宋体" w:hAnsi="宋体" w:cs="宋体"/>
          <w:spacing w:val="-3"/>
        </w:rPr>
        <w:t>铁在食物中的存在形式对其吸收率影响很大。食物中的铁可分为血红素铁和</w:t>
      </w:r>
      <w:r>
        <w:rPr>
          <w:rFonts w:ascii="宋体" w:eastAsia="宋体" w:hAnsi="宋体" w:cs="宋体"/>
          <w:spacing w:val="15"/>
        </w:rPr>
        <w:t xml:space="preserve"> </w:t>
      </w:r>
      <w:r>
        <w:rPr>
          <w:rFonts w:ascii="宋体" w:eastAsia="宋体" w:hAnsi="宋体" w:cs="宋体"/>
        </w:rPr>
        <w:t>非血红素铁两类，它们被吸收的方式不同。血</w:t>
      </w:r>
      <w:r>
        <w:rPr>
          <w:rFonts w:ascii="宋体" w:eastAsia="宋体" w:hAnsi="宋体" w:cs="宋体"/>
          <w:spacing w:val="-1"/>
        </w:rPr>
        <w:t>红素铁主要存在于动物性食品中，</w:t>
      </w:r>
      <w:r>
        <w:rPr>
          <w:rFonts w:ascii="宋体" w:eastAsia="宋体" w:hAnsi="宋体" w:cs="宋体"/>
        </w:rPr>
        <w:t xml:space="preserve"> </w:t>
      </w:r>
      <w:r>
        <w:rPr>
          <w:rFonts w:ascii="宋体" w:eastAsia="宋体" w:hAnsi="宋体" w:cs="宋体"/>
          <w:spacing w:val="-2"/>
        </w:rPr>
        <w:t>能以完整的卟啉铁复合物形式直接被小肠黏膜细</w:t>
      </w:r>
      <w:r>
        <w:rPr>
          <w:rFonts w:ascii="宋体" w:eastAsia="宋体" w:hAnsi="宋体" w:cs="宋体"/>
          <w:spacing w:val="-3"/>
        </w:rPr>
        <w:t>胞吸收，再分离出铁并和脱铁的</w:t>
      </w:r>
      <w:r>
        <w:rPr>
          <w:rFonts w:ascii="宋体" w:eastAsia="宋体" w:hAnsi="宋体" w:cs="宋体"/>
        </w:rPr>
        <w:t xml:space="preserve"> 运铁蛋白结合，其吸收率比非血红素铁高，吸</w:t>
      </w:r>
      <w:r>
        <w:rPr>
          <w:rFonts w:ascii="宋体" w:eastAsia="宋体" w:hAnsi="宋体" w:cs="宋体"/>
          <w:spacing w:val="-1"/>
        </w:rPr>
        <w:t>收过程不受其他膳食因素的干扰。</w:t>
      </w:r>
      <w:r>
        <w:rPr>
          <w:rFonts w:ascii="宋体" w:eastAsia="宋体" w:hAnsi="宋体" w:cs="宋体"/>
        </w:rPr>
        <w:t xml:space="preserve"> </w:t>
      </w:r>
      <w:r>
        <w:rPr>
          <w:rFonts w:ascii="宋体" w:eastAsia="宋体" w:hAnsi="宋体" w:cs="宋体"/>
          <w:spacing w:val="19"/>
        </w:rPr>
        <w:t>如各种肉类、脏器中铁吸收率约为22%,动物血为25%,鱼类为11%,各种肉</w:t>
      </w:r>
      <w:r>
        <w:rPr>
          <w:rFonts w:ascii="宋体" w:eastAsia="宋体" w:hAnsi="宋体" w:cs="宋体"/>
          <w:spacing w:val="8"/>
        </w:rPr>
        <w:t xml:space="preserve">  </w:t>
      </w:r>
      <w:r>
        <w:rPr>
          <w:rFonts w:ascii="宋体" w:eastAsia="宋体" w:hAnsi="宋体" w:cs="宋体"/>
          <w:spacing w:val="6"/>
        </w:rPr>
        <w:t>类中总铁的1/3为血红素铁。非血红素铁主要存在于植物性食品中，吸收率较</w:t>
      </w:r>
      <w:r>
        <w:rPr>
          <w:rFonts w:ascii="宋体" w:eastAsia="宋体" w:hAnsi="宋体" w:cs="宋体"/>
          <w:spacing w:val="13"/>
        </w:rPr>
        <w:t xml:space="preserve"> </w:t>
      </w:r>
      <w:r>
        <w:rPr>
          <w:rFonts w:ascii="宋体" w:eastAsia="宋体" w:hAnsi="宋体" w:cs="宋体"/>
          <w:spacing w:val="6"/>
        </w:rPr>
        <w:t>低，而且常受其他膳食因素的干扰。大米、玉米、小麦中铁的吸收率仅为1%~</w:t>
      </w:r>
      <w:r>
        <w:rPr>
          <w:rFonts w:ascii="宋体" w:eastAsia="宋体" w:hAnsi="宋体" w:cs="宋体"/>
          <w:spacing w:val="2"/>
        </w:rPr>
        <w:t xml:space="preserve">  </w:t>
      </w:r>
      <w:r>
        <w:rPr>
          <w:rFonts w:ascii="宋体" w:eastAsia="宋体" w:hAnsi="宋体" w:cs="宋体"/>
          <w:spacing w:val="23"/>
        </w:rPr>
        <w:t>5%,黄豆稍高，约为7%。</w:t>
      </w:r>
    </w:p>
    <w:p w:rsidR="00EA40A3" w:rsidRDefault="00E86C16">
      <w:pPr>
        <w:spacing w:before="106" w:line="255" w:lineRule="auto"/>
        <w:ind w:right="72" w:firstLine="420"/>
        <w:jc w:val="both"/>
        <w:rPr>
          <w:rFonts w:ascii="宋体" w:eastAsia="宋体" w:hAnsi="宋体" w:cs="宋体"/>
        </w:rPr>
      </w:pPr>
      <w:r>
        <w:rPr>
          <w:rFonts w:ascii="宋体" w:eastAsia="宋体" w:hAnsi="宋体" w:cs="宋体"/>
          <w:spacing w:val="-2"/>
        </w:rPr>
        <w:t>膳食中影响铁吸收的因素很多，若存在维生素C、</w:t>
      </w:r>
      <w:r>
        <w:rPr>
          <w:rFonts w:ascii="宋体" w:eastAsia="宋体" w:hAnsi="宋体" w:cs="宋体"/>
          <w:spacing w:val="-23"/>
        </w:rPr>
        <w:t xml:space="preserve"> </w:t>
      </w:r>
      <w:r>
        <w:rPr>
          <w:rFonts w:ascii="宋体" w:eastAsia="宋体" w:hAnsi="宋体" w:cs="宋体"/>
          <w:spacing w:val="-3"/>
        </w:rPr>
        <w:t>胱氨酸、赖氨酸、葡萄糖</w:t>
      </w:r>
      <w:r>
        <w:rPr>
          <w:rFonts w:ascii="宋体" w:eastAsia="宋体" w:hAnsi="宋体" w:cs="宋体"/>
        </w:rPr>
        <w:t xml:space="preserve"> </w:t>
      </w:r>
      <w:r>
        <w:rPr>
          <w:rFonts w:ascii="宋体" w:eastAsia="宋体" w:hAnsi="宋体" w:cs="宋体"/>
          <w:spacing w:val="-3"/>
        </w:rPr>
        <w:t>及柠檬酸等，能与铁螯合成可溶性络合物，对植物性铁的吸收有利；植物性食品</w:t>
      </w:r>
      <w:r>
        <w:rPr>
          <w:rFonts w:ascii="宋体" w:eastAsia="宋体" w:hAnsi="宋体" w:cs="宋体"/>
          <w:spacing w:val="5"/>
        </w:rPr>
        <w:t xml:space="preserve"> </w:t>
      </w:r>
      <w:r>
        <w:rPr>
          <w:rFonts w:ascii="宋体" w:eastAsia="宋体" w:hAnsi="宋体" w:cs="宋体"/>
          <w:spacing w:val="-3"/>
        </w:rPr>
        <w:t>中存在有草酸、磷酸、膳食纤维及饮茶、饮咖啡等均可对铁吸收起抑制作用。蛋</w:t>
      </w:r>
      <w:r>
        <w:rPr>
          <w:rFonts w:ascii="宋体" w:eastAsia="宋体" w:hAnsi="宋体" w:cs="宋体"/>
          <w:spacing w:val="13"/>
        </w:rPr>
        <w:t xml:space="preserve"> </w:t>
      </w:r>
      <w:r>
        <w:rPr>
          <w:rFonts w:ascii="宋体" w:eastAsia="宋体" w:hAnsi="宋体" w:cs="宋体"/>
          <w:spacing w:val="6"/>
        </w:rPr>
        <w:t>黄所含铁的吸收率仅为3%,原因是鸡蛋黄中所含的铁与卵黄高磷蛋白牢固地结</w:t>
      </w:r>
      <w:r>
        <w:rPr>
          <w:rFonts w:ascii="宋体" w:eastAsia="宋体" w:hAnsi="宋体" w:cs="宋体"/>
          <w:spacing w:val="16"/>
        </w:rPr>
        <w:t xml:space="preserve"> </w:t>
      </w:r>
      <w:r>
        <w:rPr>
          <w:rFonts w:ascii="宋体" w:eastAsia="宋体" w:hAnsi="宋体" w:cs="宋体"/>
          <w:spacing w:val="-6"/>
        </w:rPr>
        <w:t>合，成为人体消化道不易消化吸收的物质。</w:t>
      </w:r>
    </w:p>
    <w:p w:rsidR="00EA40A3" w:rsidRDefault="00E86C16">
      <w:pPr>
        <w:spacing w:before="99" w:line="242" w:lineRule="auto"/>
        <w:ind w:right="20" w:firstLine="420"/>
        <w:jc w:val="both"/>
        <w:rPr>
          <w:rFonts w:ascii="宋体" w:eastAsia="宋体" w:hAnsi="宋体" w:cs="宋体"/>
        </w:rPr>
      </w:pPr>
      <w:r>
        <w:rPr>
          <w:rFonts w:ascii="宋体" w:eastAsia="宋体" w:hAnsi="宋体" w:cs="宋体"/>
          <w:spacing w:val="-1"/>
        </w:rPr>
        <w:t>人体生理状况及体内铁的储备多少非常显著地影响铁的吸</w:t>
      </w:r>
      <w:r>
        <w:rPr>
          <w:rFonts w:ascii="宋体" w:eastAsia="宋体" w:hAnsi="宋体" w:cs="宋体"/>
          <w:spacing w:val="-2"/>
        </w:rPr>
        <w:t>收。如由于生长、</w:t>
      </w:r>
      <w:r>
        <w:rPr>
          <w:rFonts w:ascii="宋体" w:eastAsia="宋体" w:hAnsi="宋体" w:cs="宋体"/>
        </w:rPr>
        <w:t xml:space="preserve"> </w:t>
      </w:r>
      <w:r>
        <w:rPr>
          <w:rFonts w:ascii="宋体" w:eastAsia="宋体" w:hAnsi="宋体" w:cs="宋体"/>
          <w:spacing w:val="-1"/>
        </w:rPr>
        <w:t>月经和妊娠引起人体对铁需要增加时，铁的吸收比平时增多。体内储存铁丰富，</w:t>
      </w:r>
    </w:p>
    <w:p w:rsidR="00EA40A3" w:rsidRDefault="00E86C16">
      <w:pPr>
        <w:spacing w:before="50" w:line="283" w:lineRule="exact"/>
        <w:rPr>
          <w:rFonts w:ascii="宋体" w:eastAsia="宋体" w:hAnsi="宋体" w:cs="宋体"/>
        </w:rPr>
      </w:pPr>
      <w:r>
        <w:rPr>
          <w:rFonts w:ascii="宋体" w:eastAsia="宋体" w:hAnsi="宋体" w:cs="宋体"/>
          <w:spacing w:val="-5"/>
          <w:position w:val="5"/>
        </w:rPr>
        <w:t>吸收减少，体内铁储存较少时吸收增加。</w:t>
      </w:r>
    </w:p>
    <w:p w:rsidR="00EA40A3" w:rsidRDefault="00E86C16">
      <w:pPr>
        <w:spacing w:line="229" w:lineRule="auto"/>
        <w:rPr>
          <w:rFonts w:ascii="楷体" w:eastAsia="楷体" w:hAnsi="楷体" w:cs="楷体"/>
        </w:rPr>
      </w:pPr>
      <w:r>
        <w:rPr>
          <w:rFonts w:ascii="楷体" w:eastAsia="楷体" w:hAnsi="楷体" w:cs="楷体"/>
          <w:spacing w:val="9"/>
        </w:rPr>
        <w:t>3)铁的代谢</w:t>
      </w:r>
    </w:p>
    <w:p w:rsidR="00EA40A3" w:rsidRDefault="00E86C16">
      <w:pPr>
        <w:spacing w:before="77" w:line="249" w:lineRule="auto"/>
        <w:ind w:right="68" w:firstLine="420"/>
        <w:jc w:val="both"/>
        <w:rPr>
          <w:rFonts w:ascii="宋体" w:eastAsia="宋体" w:hAnsi="宋体" w:cs="宋体"/>
        </w:rPr>
      </w:pPr>
      <w:r>
        <w:rPr>
          <w:rFonts w:ascii="宋体" w:eastAsia="宋体" w:hAnsi="宋体" w:cs="宋体"/>
          <w:spacing w:val="4"/>
        </w:rPr>
        <w:t>铁代谢的特征是在封闭系统中进行，即铁的吸收很少</w:t>
      </w:r>
      <w:r>
        <w:rPr>
          <w:rFonts w:ascii="宋体" w:eastAsia="宋体" w:hAnsi="宋体" w:cs="宋体"/>
          <w:spacing w:val="3"/>
        </w:rPr>
        <w:t>，由尿排出的量也极</w:t>
      </w:r>
      <w:r>
        <w:rPr>
          <w:rFonts w:ascii="宋体" w:eastAsia="宋体" w:hAnsi="宋体" w:cs="宋体"/>
        </w:rPr>
        <w:t xml:space="preserve"> </w:t>
      </w:r>
      <w:r>
        <w:rPr>
          <w:rFonts w:ascii="宋体" w:eastAsia="宋体" w:hAnsi="宋体" w:cs="宋体"/>
          <w:spacing w:val="-2"/>
        </w:rPr>
        <w:t>少，体内总铁量的大部分继续在全身几个代谢区</w:t>
      </w:r>
      <w:r>
        <w:rPr>
          <w:rFonts w:ascii="宋体" w:eastAsia="宋体" w:hAnsi="宋体" w:cs="宋体"/>
          <w:spacing w:val="-3"/>
        </w:rPr>
        <w:t>再分配。因为没有排泄多余铁的</w:t>
      </w:r>
      <w:r>
        <w:rPr>
          <w:rFonts w:ascii="宋体" w:eastAsia="宋体" w:hAnsi="宋体" w:cs="宋体"/>
        </w:rPr>
        <w:t xml:space="preserve"> </w:t>
      </w:r>
      <w:r>
        <w:rPr>
          <w:rFonts w:ascii="宋体" w:eastAsia="宋体" w:hAnsi="宋体" w:cs="宋体"/>
          <w:spacing w:val="-3"/>
        </w:rPr>
        <w:t>途径，小肠吸收铁必须受到控制，以免中毒量</w:t>
      </w:r>
      <w:r>
        <w:rPr>
          <w:rFonts w:ascii="宋体" w:eastAsia="宋体" w:hAnsi="宋体" w:cs="宋体"/>
          <w:spacing w:val="-4"/>
        </w:rPr>
        <w:t>的铁积聚于组织。</w:t>
      </w:r>
    </w:p>
    <w:p w:rsidR="00EA40A3" w:rsidRDefault="00E86C16">
      <w:pPr>
        <w:spacing w:before="69" w:line="236" w:lineRule="auto"/>
        <w:ind w:right="74" w:firstLine="420"/>
        <w:jc w:val="both"/>
        <w:rPr>
          <w:rFonts w:ascii="宋体" w:eastAsia="宋体" w:hAnsi="宋体" w:cs="宋体"/>
        </w:rPr>
      </w:pPr>
      <w:r>
        <w:rPr>
          <w:rFonts w:ascii="宋体" w:eastAsia="宋体" w:hAnsi="宋体" w:cs="宋体"/>
          <w:spacing w:val="4"/>
        </w:rPr>
        <w:t>以铁蛋白形式储存在肝、脾、骨髓及肠黏膜细胞中的铁</w:t>
      </w:r>
      <w:r>
        <w:rPr>
          <w:rFonts w:ascii="宋体" w:eastAsia="宋体" w:hAnsi="宋体" w:cs="宋体"/>
          <w:spacing w:val="3"/>
        </w:rPr>
        <w:t>总量，成年男子为</w:t>
      </w:r>
      <w:r>
        <w:rPr>
          <w:rFonts w:ascii="宋体" w:eastAsia="宋体" w:hAnsi="宋体" w:cs="宋体"/>
        </w:rPr>
        <w:t xml:space="preserve"> </w:t>
      </w:r>
      <w:r>
        <w:rPr>
          <w:rFonts w:ascii="宋体" w:eastAsia="宋体" w:hAnsi="宋体" w:cs="宋体"/>
          <w:spacing w:val="-1"/>
        </w:rPr>
        <w:t>1000</w:t>
      </w:r>
      <w:r>
        <w:rPr>
          <w:rFonts w:ascii="宋体" w:eastAsia="宋体" w:hAnsi="宋体" w:cs="宋体"/>
          <w:spacing w:val="92"/>
        </w:rPr>
        <w:t xml:space="preserve"> </w:t>
      </w:r>
      <w:r>
        <w:rPr>
          <w:rFonts w:ascii="宋体" w:eastAsia="宋体" w:hAnsi="宋体" w:cs="宋体"/>
          <w:spacing w:val="-1"/>
        </w:rPr>
        <w:t>mg,女子为300mg。</w:t>
      </w:r>
      <w:r>
        <w:rPr>
          <w:rFonts w:ascii="宋体" w:eastAsia="宋体" w:hAnsi="宋体" w:cs="宋体"/>
          <w:spacing w:val="3"/>
        </w:rPr>
        <w:t xml:space="preserve"> </w:t>
      </w:r>
      <w:r>
        <w:rPr>
          <w:rFonts w:ascii="宋体" w:eastAsia="宋体" w:hAnsi="宋体" w:cs="宋体"/>
          <w:spacing w:val="-1"/>
        </w:rPr>
        <w:t>红细胞因无细胞分裂能力，平均寿命120d,</w:t>
      </w:r>
      <w:r>
        <w:rPr>
          <w:rFonts w:ascii="宋体" w:eastAsia="宋体" w:hAnsi="宋体" w:cs="宋体"/>
          <w:spacing w:val="58"/>
        </w:rPr>
        <w:t xml:space="preserve"> </w:t>
      </w:r>
      <w:r>
        <w:rPr>
          <w:rFonts w:ascii="宋体" w:eastAsia="宋体" w:hAnsi="宋体" w:cs="宋体"/>
          <w:spacing w:val="-1"/>
        </w:rPr>
        <w:t>衰老的红</w:t>
      </w:r>
    </w:p>
    <w:p w:rsidR="00EA40A3" w:rsidRDefault="00E86C16">
      <w:pPr>
        <w:spacing w:before="69"/>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8"/>
          <w:sz w:val="17"/>
          <w:szCs w:val="17"/>
        </w:rPr>
        <w:t xml:space="preserve"> </w:t>
      </w:r>
      <w:r>
        <w:rPr>
          <w:rFonts w:ascii="宋体" w:eastAsia="宋体" w:hAnsi="宋体" w:cs="宋体"/>
          <w:spacing w:val="-24"/>
          <w:sz w:val="17"/>
          <w:szCs w:val="17"/>
        </w:rPr>
        <w:t>102</w:t>
      </w:r>
      <w:r>
        <w:rPr>
          <w:rFonts w:ascii="宋体" w:eastAsia="宋体" w:hAnsi="宋体" w:cs="宋体"/>
          <w:spacing w:val="50"/>
          <w:sz w:val="17"/>
          <w:szCs w:val="17"/>
        </w:rPr>
        <w:t xml:space="preserve"> </w:t>
      </w:r>
      <w:r>
        <w:rPr>
          <w:rFonts w:ascii="宋体" w:eastAsia="宋体" w:hAnsi="宋体" w:cs="宋体"/>
          <w:spacing w:val="-24"/>
          <w:sz w:val="17"/>
          <w:szCs w:val="17"/>
        </w:rPr>
        <w:t>·</w:t>
      </w:r>
    </w:p>
    <w:p w:rsidR="00EA40A3" w:rsidRDefault="00EA40A3">
      <w:pPr>
        <w:sectPr w:rsidR="00EA40A3">
          <w:pgSz w:w="9220" w:h="13360"/>
          <w:pgMar w:top="400" w:right="1184" w:bottom="400" w:left="699" w:header="0" w:footer="0" w:gutter="0"/>
          <w:cols w:space="720"/>
        </w:sectPr>
      </w:pPr>
    </w:p>
    <w:p w:rsidR="00EA40A3" w:rsidRDefault="00EA40A3">
      <w:pPr>
        <w:spacing w:line="268" w:lineRule="auto"/>
      </w:pPr>
    </w:p>
    <w:p w:rsidR="00EA40A3" w:rsidRDefault="00EA40A3">
      <w:pPr>
        <w:spacing w:line="269" w:lineRule="auto"/>
      </w:pPr>
    </w:p>
    <w:p w:rsidR="00EA40A3" w:rsidRDefault="00E86C16">
      <w:pPr>
        <w:spacing w:before="68" w:line="245" w:lineRule="auto"/>
        <w:ind w:right="95"/>
        <w:jc w:val="both"/>
        <w:rPr>
          <w:rFonts w:ascii="宋体" w:eastAsia="宋体" w:hAnsi="宋体" w:cs="宋体"/>
        </w:rPr>
      </w:pPr>
      <w:r>
        <w:rPr>
          <w:rFonts w:ascii="宋体" w:eastAsia="宋体" w:hAnsi="宋体" w:cs="宋体"/>
          <w:spacing w:val="-3"/>
        </w:rPr>
        <w:t>细胞被破坏分解为胆红素、氨基酸及铁，铁又通过血液循环运输到</w:t>
      </w:r>
      <w:r>
        <w:rPr>
          <w:rFonts w:ascii="宋体" w:eastAsia="宋体" w:hAnsi="宋体" w:cs="宋体"/>
          <w:spacing w:val="-4"/>
        </w:rPr>
        <w:t>红骨髓再合成</w:t>
      </w:r>
      <w:r>
        <w:rPr>
          <w:rFonts w:ascii="宋体" w:eastAsia="宋体" w:hAnsi="宋体" w:cs="宋体"/>
        </w:rPr>
        <w:t xml:space="preserve"> </w:t>
      </w:r>
      <w:r>
        <w:rPr>
          <w:rFonts w:ascii="宋体" w:eastAsia="宋体" w:hAnsi="宋体" w:cs="宋体"/>
          <w:spacing w:val="-2"/>
        </w:rPr>
        <w:t>新的红细胞，这样的铁每日约20～25</w:t>
      </w:r>
      <w:r>
        <w:rPr>
          <w:rFonts w:ascii="宋体" w:eastAsia="宋体" w:hAnsi="宋体" w:cs="宋体"/>
          <w:spacing w:val="14"/>
        </w:rPr>
        <w:t xml:space="preserve"> </w:t>
      </w:r>
      <w:r>
        <w:rPr>
          <w:rFonts w:ascii="宋体" w:eastAsia="宋体" w:hAnsi="宋体" w:cs="宋体"/>
          <w:spacing w:val="-2"/>
        </w:rPr>
        <w:t>mg,</w:t>
      </w:r>
      <w:r>
        <w:rPr>
          <w:rFonts w:ascii="宋体" w:eastAsia="宋体" w:hAnsi="宋体" w:cs="宋体"/>
          <w:spacing w:val="53"/>
        </w:rPr>
        <w:t xml:space="preserve"> </w:t>
      </w:r>
      <w:r>
        <w:rPr>
          <w:rFonts w:ascii="宋体" w:eastAsia="宋体" w:hAnsi="宋体" w:cs="宋体"/>
          <w:spacing w:val="-2"/>
        </w:rPr>
        <w:t>除肠道分泌以及皮肤、消化道、尿道</w:t>
      </w:r>
      <w:r>
        <w:rPr>
          <w:rFonts w:ascii="宋体" w:eastAsia="宋体" w:hAnsi="宋体" w:cs="宋体"/>
        </w:rPr>
        <w:t xml:space="preserve"> </w:t>
      </w:r>
      <w:r>
        <w:rPr>
          <w:rFonts w:ascii="宋体" w:eastAsia="宋体" w:hAnsi="宋体" w:cs="宋体"/>
          <w:spacing w:val="-3"/>
        </w:rPr>
        <w:t>等的上皮脱落可造成约1</w:t>
      </w:r>
      <w:r>
        <w:rPr>
          <w:rFonts w:ascii="宋体" w:eastAsia="宋体" w:hAnsi="宋体" w:cs="宋体"/>
          <w:spacing w:val="-57"/>
        </w:rPr>
        <w:t xml:space="preserve"> </w:t>
      </w:r>
      <w:r>
        <w:rPr>
          <w:rFonts w:ascii="宋体" w:eastAsia="宋体" w:hAnsi="宋体" w:cs="宋体"/>
          <w:spacing w:val="-3"/>
        </w:rPr>
        <w:t>mg/d</w:t>
      </w:r>
      <w:r>
        <w:rPr>
          <w:rFonts w:ascii="宋体" w:eastAsia="宋体" w:hAnsi="宋体" w:cs="宋体"/>
          <w:spacing w:val="28"/>
        </w:rPr>
        <w:t xml:space="preserve"> </w:t>
      </w:r>
      <w:r>
        <w:rPr>
          <w:rFonts w:ascii="宋体" w:eastAsia="宋体" w:hAnsi="宋体" w:cs="宋体"/>
          <w:spacing w:val="-3"/>
        </w:rPr>
        <w:t>的铁损失外，几乎不</w:t>
      </w:r>
      <w:r>
        <w:rPr>
          <w:rFonts w:ascii="宋体" w:eastAsia="宋体" w:hAnsi="宋体" w:cs="宋体"/>
          <w:spacing w:val="-4"/>
        </w:rPr>
        <w:t>从其他途径流失。</w:t>
      </w:r>
    </w:p>
    <w:p w:rsidR="00EA40A3" w:rsidRDefault="00E86C16">
      <w:pPr>
        <w:spacing w:before="74" w:line="259" w:lineRule="auto"/>
        <w:ind w:right="88" w:firstLine="430"/>
        <w:jc w:val="both"/>
        <w:rPr>
          <w:rFonts w:ascii="宋体" w:eastAsia="宋体" w:hAnsi="宋体" w:cs="宋体"/>
        </w:rPr>
      </w:pPr>
      <w:r>
        <w:rPr>
          <w:rFonts w:ascii="宋体" w:eastAsia="宋体" w:hAnsi="宋体" w:cs="宋体"/>
          <w:spacing w:val="-4"/>
        </w:rPr>
        <w:t>生育期的妇女铁的损失比男性大，因此对铁的需要量比正常人明显增多。妇</w:t>
      </w:r>
      <w:r>
        <w:rPr>
          <w:rFonts w:ascii="宋体" w:eastAsia="宋体" w:hAnsi="宋体" w:cs="宋体"/>
          <w:spacing w:val="18"/>
        </w:rPr>
        <w:t xml:space="preserve"> </w:t>
      </w:r>
      <w:r>
        <w:rPr>
          <w:rFonts w:ascii="宋体" w:eastAsia="宋体" w:hAnsi="宋体" w:cs="宋体"/>
          <w:spacing w:val="3"/>
        </w:rPr>
        <w:t>女在月经期每天损失铁增至1.4～2.0</w:t>
      </w:r>
      <w:r>
        <w:rPr>
          <w:rFonts w:ascii="宋体" w:eastAsia="宋体" w:hAnsi="宋体" w:cs="宋体"/>
          <w:spacing w:val="-56"/>
        </w:rPr>
        <w:t xml:space="preserve"> </w:t>
      </w:r>
      <w:r>
        <w:rPr>
          <w:rFonts w:ascii="宋体" w:eastAsia="宋体" w:hAnsi="宋体" w:cs="宋体"/>
        </w:rPr>
        <w:t>mg</w:t>
      </w:r>
      <w:r>
        <w:rPr>
          <w:rFonts w:ascii="宋体" w:eastAsia="宋体" w:hAnsi="宋体" w:cs="宋体"/>
          <w:spacing w:val="3"/>
        </w:rPr>
        <w:t>,</w:t>
      </w:r>
      <w:r>
        <w:rPr>
          <w:rFonts w:ascii="宋体" w:eastAsia="宋体" w:hAnsi="宋体" w:cs="宋体"/>
          <w:spacing w:val="73"/>
        </w:rPr>
        <w:t xml:space="preserve"> </w:t>
      </w:r>
      <w:r>
        <w:rPr>
          <w:rFonts w:ascii="宋体" w:eastAsia="宋体" w:hAnsi="宋体" w:cs="宋体"/>
          <w:spacing w:val="3"/>
        </w:rPr>
        <w:t>孕妇每日给胎儿提供1.3</w:t>
      </w:r>
      <w:r>
        <w:rPr>
          <w:rFonts w:ascii="宋体" w:eastAsia="宋体" w:hAnsi="宋体" w:cs="宋体"/>
          <w:spacing w:val="-48"/>
        </w:rPr>
        <w:t xml:space="preserve"> </w:t>
      </w:r>
      <w:r>
        <w:rPr>
          <w:rFonts w:ascii="宋体" w:eastAsia="宋体" w:hAnsi="宋体" w:cs="宋体"/>
        </w:rPr>
        <w:t>mg</w:t>
      </w:r>
      <w:r>
        <w:rPr>
          <w:rFonts w:ascii="宋体" w:eastAsia="宋体" w:hAnsi="宋体" w:cs="宋体"/>
          <w:spacing w:val="7"/>
        </w:rPr>
        <w:t xml:space="preserve"> </w:t>
      </w:r>
      <w:r>
        <w:rPr>
          <w:rFonts w:ascii="宋体" w:eastAsia="宋体" w:hAnsi="宋体" w:cs="宋体"/>
          <w:spacing w:val="3"/>
        </w:rPr>
        <w:t>铁，再</w:t>
      </w:r>
      <w:r>
        <w:rPr>
          <w:rFonts w:ascii="宋体" w:eastAsia="宋体" w:hAnsi="宋体" w:cs="宋体"/>
        </w:rPr>
        <w:t xml:space="preserve"> </w:t>
      </w:r>
      <w:r>
        <w:rPr>
          <w:rFonts w:ascii="宋体" w:eastAsia="宋体" w:hAnsi="宋体" w:cs="宋体"/>
          <w:spacing w:val="-1"/>
        </w:rPr>
        <w:t>加上胎盘及分娩失血约175</w:t>
      </w:r>
      <w:r>
        <w:rPr>
          <w:rFonts w:ascii="宋体" w:eastAsia="宋体" w:hAnsi="宋体" w:cs="宋体"/>
          <w:spacing w:val="23"/>
        </w:rPr>
        <w:t xml:space="preserve"> </w:t>
      </w:r>
      <w:r>
        <w:rPr>
          <w:rFonts w:ascii="宋体" w:eastAsia="宋体" w:hAnsi="宋体" w:cs="宋体"/>
          <w:spacing w:val="-1"/>
        </w:rPr>
        <w:t>mg;</w:t>
      </w:r>
      <w:r>
        <w:rPr>
          <w:rFonts w:ascii="宋体" w:eastAsia="宋体" w:hAnsi="宋体" w:cs="宋体"/>
          <w:spacing w:val="42"/>
        </w:rPr>
        <w:t xml:space="preserve"> </w:t>
      </w:r>
      <w:r>
        <w:rPr>
          <w:rFonts w:ascii="宋体" w:eastAsia="宋体" w:hAnsi="宋体" w:cs="宋体"/>
          <w:spacing w:val="-1"/>
        </w:rPr>
        <w:t>乳汁中铁含量约0.5</w:t>
      </w:r>
      <w:r>
        <w:rPr>
          <w:rFonts w:ascii="宋体" w:eastAsia="宋体" w:hAnsi="宋体" w:cs="宋体"/>
          <w:spacing w:val="-36"/>
        </w:rPr>
        <w:t xml:space="preserve"> </w:t>
      </w:r>
      <w:r>
        <w:rPr>
          <w:rFonts w:ascii="宋体" w:eastAsia="宋体" w:hAnsi="宋体" w:cs="宋体"/>
          <w:spacing w:val="-1"/>
        </w:rPr>
        <w:t>μg/mL,</w:t>
      </w:r>
      <w:r>
        <w:rPr>
          <w:rFonts w:ascii="宋体" w:eastAsia="宋体" w:hAnsi="宋体" w:cs="宋体"/>
          <w:spacing w:val="3"/>
        </w:rPr>
        <w:t xml:space="preserve">  </w:t>
      </w:r>
      <w:r>
        <w:rPr>
          <w:rFonts w:ascii="宋体" w:eastAsia="宋体" w:hAnsi="宋体" w:cs="宋体"/>
          <w:spacing w:val="-1"/>
        </w:rPr>
        <w:t>初乳的含铁量比</w:t>
      </w:r>
      <w:r>
        <w:rPr>
          <w:rFonts w:ascii="宋体" w:eastAsia="宋体" w:hAnsi="宋体" w:cs="宋体"/>
          <w:spacing w:val="1"/>
        </w:rPr>
        <w:t xml:space="preserve"> </w:t>
      </w:r>
      <w:r>
        <w:rPr>
          <w:rFonts w:ascii="宋体" w:eastAsia="宋体" w:hAnsi="宋体" w:cs="宋体"/>
          <w:spacing w:val="2"/>
        </w:rPr>
        <w:t>成熟乳高5倍。</w:t>
      </w:r>
    </w:p>
    <w:p w:rsidR="00EA40A3" w:rsidRDefault="00E86C16">
      <w:pPr>
        <w:spacing w:before="216" w:line="220" w:lineRule="auto"/>
        <w:rPr>
          <w:rFonts w:ascii="仿宋" w:eastAsia="仿宋" w:hAnsi="仿宋" w:cs="仿宋"/>
        </w:rPr>
      </w:pPr>
      <w:r>
        <w:rPr>
          <w:rFonts w:ascii="仿宋" w:eastAsia="仿宋" w:hAnsi="仿宋" w:cs="仿宋"/>
          <w:spacing w:val="19"/>
        </w:rPr>
        <w:t>3.</w:t>
      </w:r>
      <w:r>
        <w:rPr>
          <w:rFonts w:ascii="仿宋" w:eastAsia="仿宋" w:hAnsi="仿宋" w:cs="仿宋"/>
          <w:spacing w:val="-23"/>
        </w:rPr>
        <w:t xml:space="preserve"> </w:t>
      </w:r>
      <w:r>
        <w:rPr>
          <w:rFonts w:ascii="仿宋" w:eastAsia="仿宋" w:hAnsi="仿宋" w:cs="仿宋"/>
          <w:spacing w:val="19"/>
        </w:rPr>
        <w:t>铁缺乏及缺铁性贫血</w:t>
      </w:r>
    </w:p>
    <w:p w:rsidR="00EA40A3" w:rsidRDefault="00E86C16">
      <w:pPr>
        <w:spacing w:before="194" w:line="228" w:lineRule="auto"/>
        <w:rPr>
          <w:rFonts w:ascii="楷体" w:eastAsia="楷体" w:hAnsi="楷体" w:cs="楷体"/>
        </w:rPr>
      </w:pPr>
      <w:r>
        <w:rPr>
          <w:rFonts w:ascii="楷体" w:eastAsia="楷体" w:hAnsi="楷体" w:cs="楷体"/>
          <w:spacing w:val="2"/>
        </w:rPr>
        <w:t>1)铁缺乏及缺铁性贫血</w:t>
      </w:r>
    </w:p>
    <w:p w:rsidR="00EA40A3" w:rsidRDefault="00E86C16">
      <w:pPr>
        <w:spacing w:before="53" w:line="259" w:lineRule="auto"/>
        <w:ind w:right="76" w:firstLine="430"/>
        <w:jc w:val="both"/>
        <w:rPr>
          <w:rFonts w:ascii="宋体" w:eastAsia="宋体" w:hAnsi="宋体" w:cs="宋体"/>
        </w:rPr>
      </w:pPr>
      <w:r>
        <w:rPr>
          <w:rFonts w:ascii="宋体" w:eastAsia="宋体" w:hAnsi="宋体" w:cs="宋体"/>
          <w:spacing w:val="-3"/>
        </w:rPr>
        <w:t>铁缺乏是较广泛存在的贫血的重要原因，当体内缺铁时，铁损耗可分</w:t>
      </w:r>
      <w:r>
        <w:rPr>
          <w:rFonts w:ascii="宋体" w:eastAsia="宋体" w:hAnsi="宋体" w:cs="宋体"/>
          <w:spacing w:val="-4"/>
        </w:rPr>
        <w:t>三个阶</w:t>
      </w:r>
      <w:r>
        <w:rPr>
          <w:rFonts w:ascii="宋体" w:eastAsia="宋体" w:hAnsi="宋体" w:cs="宋体"/>
        </w:rPr>
        <w:t xml:space="preserve"> </w:t>
      </w:r>
      <w:r>
        <w:rPr>
          <w:rFonts w:ascii="宋体" w:eastAsia="宋体" w:hAnsi="宋体" w:cs="宋体"/>
          <w:spacing w:val="-4"/>
        </w:rPr>
        <w:t>段。第一阶段为铁减少期，此时储存铁耗竭，血清铁蛋白浓度下降；第二阶段为</w:t>
      </w:r>
      <w:r>
        <w:rPr>
          <w:rFonts w:ascii="宋体" w:eastAsia="宋体" w:hAnsi="宋体" w:cs="宋体"/>
          <w:spacing w:val="9"/>
        </w:rPr>
        <w:t xml:space="preserve"> </w:t>
      </w:r>
      <w:r>
        <w:rPr>
          <w:rFonts w:ascii="宋体" w:eastAsia="宋体" w:hAnsi="宋体" w:cs="宋体"/>
          <w:spacing w:val="-3"/>
        </w:rPr>
        <w:t>红细胞生成缺铁期，此时除血清铁蛋白下降外，血清铁也下降；</w:t>
      </w:r>
      <w:r>
        <w:rPr>
          <w:rFonts w:ascii="宋体" w:eastAsia="宋体" w:hAnsi="宋体" w:cs="宋体"/>
          <w:spacing w:val="-4"/>
        </w:rPr>
        <w:t>第三阶段为缺铁</w:t>
      </w:r>
      <w:r>
        <w:rPr>
          <w:rFonts w:ascii="宋体" w:eastAsia="宋体" w:hAnsi="宋体" w:cs="宋体"/>
        </w:rPr>
        <w:t xml:space="preserve"> </w:t>
      </w:r>
      <w:r>
        <w:rPr>
          <w:rFonts w:ascii="宋体" w:eastAsia="宋体" w:hAnsi="宋体" w:cs="宋体"/>
          <w:spacing w:val="-3"/>
        </w:rPr>
        <w:t>性贫血期，血红蛋白和血细胞比容下降。长时间的铁的负平衡，致</w:t>
      </w:r>
      <w:r>
        <w:rPr>
          <w:rFonts w:ascii="宋体" w:eastAsia="宋体" w:hAnsi="宋体" w:cs="宋体"/>
          <w:spacing w:val="-4"/>
        </w:rPr>
        <w:t>使体内铁储备</w:t>
      </w:r>
      <w:r>
        <w:rPr>
          <w:rFonts w:ascii="宋体" w:eastAsia="宋体" w:hAnsi="宋体" w:cs="宋体"/>
        </w:rPr>
        <w:t xml:space="preserve"> </w:t>
      </w:r>
      <w:r>
        <w:rPr>
          <w:rFonts w:ascii="宋体" w:eastAsia="宋体" w:hAnsi="宋体" w:cs="宋体"/>
          <w:spacing w:val="-3"/>
        </w:rPr>
        <w:t>减少，以致耗尽。体内铁缺乏，引起含铁酶减少或铁依赖酶活性降</w:t>
      </w:r>
      <w:r>
        <w:rPr>
          <w:rFonts w:ascii="宋体" w:eastAsia="宋体" w:hAnsi="宋体" w:cs="宋体"/>
          <w:spacing w:val="-4"/>
        </w:rPr>
        <w:t>低，使细胞呼</w:t>
      </w:r>
      <w:r>
        <w:rPr>
          <w:rFonts w:ascii="宋体" w:eastAsia="宋体" w:hAnsi="宋体" w:cs="宋体"/>
        </w:rPr>
        <w:t xml:space="preserve"> </w:t>
      </w:r>
      <w:r>
        <w:rPr>
          <w:rFonts w:ascii="宋体" w:eastAsia="宋体" w:hAnsi="宋体" w:cs="宋体"/>
          <w:spacing w:val="-3"/>
        </w:rPr>
        <w:t>吸障碍，从而影响组织器官功能，出现食欲低下，严重者可有渗</w:t>
      </w:r>
      <w:r>
        <w:rPr>
          <w:rFonts w:ascii="宋体" w:eastAsia="宋体" w:hAnsi="宋体" w:cs="宋体"/>
          <w:spacing w:val="-4"/>
        </w:rPr>
        <w:t>出性肠病变及吸</w:t>
      </w:r>
      <w:r>
        <w:rPr>
          <w:rFonts w:ascii="宋体" w:eastAsia="宋体" w:hAnsi="宋体" w:cs="宋体"/>
        </w:rPr>
        <w:t xml:space="preserve"> </w:t>
      </w:r>
      <w:r>
        <w:rPr>
          <w:rFonts w:ascii="宋体" w:eastAsia="宋体" w:hAnsi="宋体" w:cs="宋体"/>
          <w:spacing w:val="-3"/>
        </w:rPr>
        <w:t>收不良综合征等。铁缺乏的儿童易烦躁，对周围不感兴趣，成人则冷漠呆板。当</w:t>
      </w:r>
      <w:r>
        <w:rPr>
          <w:rFonts w:ascii="宋体" w:eastAsia="宋体" w:hAnsi="宋体" w:cs="宋体"/>
          <w:spacing w:val="3"/>
        </w:rPr>
        <w:t xml:space="preserve"> </w:t>
      </w:r>
      <w:r>
        <w:rPr>
          <w:rFonts w:ascii="宋体" w:eastAsia="宋体" w:hAnsi="宋体" w:cs="宋体"/>
          <w:spacing w:val="-3"/>
        </w:rPr>
        <w:t>血红蛋白继续降低，则出现面色苍白，口唇黏膜和眼结膜苍白，有疲劳乏</w:t>
      </w:r>
      <w:r>
        <w:rPr>
          <w:rFonts w:ascii="宋体" w:eastAsia="宋体" w:hAnsi="宋体" w:cs="宋体"/>
          <w:spacing w:val="-4"/>
        </w:rPr>
        <w:t>力、头</w:t>
      </w:r>
      <w:r>
        <w:rPr>
          <w:rFonts w:ascii="宋体" w:eastAsia="宋体" w:hAnsi="宋体" w:cs="宋体"/>
        </w:rPr>
        <w:t xml:space="preserve"> </w:t>
      </w:r>
      <w:r>
        <w:rPr>
          <w:rFonts w:ascii="宋体" w:eastAsia="宋体" w:hAnsi="宋体" w:cs="宋体"/>
          <w:spacing w:val="-3"/>
        </w:rPr>
        <w:t>晕、心悸、指甲脆薄、反甲等。儿童少年身体发育受阻，体力下降</w:t>
      </w:r>
      <w:r>
        <w:rPr>
          <w:rFonts w:ascii="宋体" w:eastAsia="宋体" w:hAnsi="宋体" w:cs="宋体"/>
          <w:spacing w:val="-4"/>
        </w:rPr>
        <w:t>，注意力与记</w:t>
      </w:r>
      <w:r>
        <w:rPr>
          <w:rFonts w:ascii="宋体" w:eastAsia="宋体" w:hAnsi="宋体" w:cs="宋体"/>
        </w:rPr>
        <w:t xml:space="preserve"> </w:t>
      </w:r>
      <w:r>
        <w:rPr>
          <w:rFonts w:ascii="宋体" w:eastAsia="宋体" w:hAnsi="宋体" w:cs="宋体"/>
          <w:spacing w:val="-6"/>
        </w:rPr>
        <w:t>忆力调节过程障碍，学习能力降低现象。</w:t>
      </w:r>
    </w:p>
    <w:p w:rsidR="00EA40A3" w:rsidRDefault="00E86C16">
      <w:pPr>
        <w:spacing w:before="100" w:line="255" w:lineRule="auto"/>
        <w:ind w:right="25" w:firstLine="430"/>
        <w:rPr>
          <w:rFonts w:ascii="宋体" w:eastAsia="宋体" w:hAnsi="宋体" w:cs="宋体"/>
        </w:rPr>
      </w:pPr>
      <w:r>
        <w:rPr>
          <w:rFonts w:ascii="宋体" w:eastAsia="宋体" w:hAnsi="宋体" w:cs="宋体"/>
          <w:spacing w:val="-4"/>
        </w:rPr>
        <w:t>婴幼儿与孕妇贫血尚需特别注意，早产、低出生体重儿及胎儿死亡与孕早期</w:t>
      </w:r>
      <w:r>
        <w:rPr>
          <w:rFonts w:ascii="宋体" w:eastAsia="宋体" w:hAnsi="宋体" w:cs="宋体"/>
          <w:spacing w:val="14"/>
        </w:rPr>
        <w:t xml:space="preserve"> </w:t>
      </w:r>
      <w:r>
        <w:rPr>
          <w:rFonts w:ascii="宋体" w:eastAsia="宋体" w:hAnsi="宋体" w:cs="宋体"/>
          <w:spacing w:val="-1"/>
        </w:rPr>
        <w:t>贫血有关，铁缺乏尚可损害儿童的认知能力，且在以后补充铁后，</w:t>
      </w:r>
      <w:r>
        <w:rPr>
          <w:rFonts w:ascii="宋体" w:eastAsia="宋体" w:hAnsi="宋体" w:cs="宋体"/>
          <w:spacing w:val="-2"/>
        </w:rPr>
        <w:t>也难以恢复。</w:t>
      </w:r>
      <w:r>
        <w:rPr>
          <w:rFonts w:ascii="宋体" w:eastAsia="宋体" w:hAnsi="宋体" w:cs="宋体"/>
        </w:rPr>
        <w:t xml:space="preserve"> </w:t>
      </w:r>
      <w:r>
        <w:rPr>
          <w:rFonts w:ascii="宋体" w:eastAsia="宋体" w:hAnsi="宋体" w:cs="宋体"/>
          <w:spacing w:val="-5"/>
        </w:rPr>
        <w:t>铁缺乏也可引起心理活动和智力发育的损害及行为改变。</w:t>
      </w:r>
    </w:p>
    <w:p w:rsidR="00EA40A3" w:rsidRDefault="00E86C16">
      <w:pPr>
        <w:spacing w:before="68" w:line="250" w:lineRule="auto"/>
        <w:ind w:right="74" w:firstLine="430"/>
        <w:rPr>
          <w:rFonts w:ascii="宋体" w:eastAsia="宋体" w:hAnsi="宋体" w:cs="宋体"/>
        </w:rPr>
      </w:pPr>
      <w:r>
        <w:rPr>
          <w:rFonts w:ascii="宋体" w:eastAsia="宋体" w:hAnsi="宋体" w:cs="宋体"/>
          <w:spacing w:val="3"/>
        </w:rPr>
        <w:t>铁缺乏可出现抵抗感染的能力降低，缺铁可使T</w:t>
      </w:r>
      <w:r>
        <w:rPr>
          <w:rFonts w:ascii="宋体" w:eastAsia="宋体" w:hAnsi="宋体" w:cs="宋体"/>
          <w:spacing w:val="13"/>
        </w:rPr>
        <w:t xml:space="preserve"> </w:t>
      </w:r>
      <w:r>
        <w:rPr>
          <w:rFonts w:ascii="宋体" w:eastAsia="宋体" w:hAnsi="宋体" w:cs="宋体"/>
          <w:spacing w:val="3"/>
        </w:rPr>
        <w:t>淋巴细胞数量减少，免疫</w:t>
      </w:r>
      <w:r>
        <w:rPr>
          <w:rFonts w:ascii="宋体" w:eastAsia="宋体" w:hAnsi="宋体" w:cs="宋体"/>
        </w:rPr>
        <w:t xml:space="preserve"> </w:t>
      </w:r>
      <w:r>
        <w:rPr>
          <w:rFonts w:ascii="宋体" w:eastAsia="宋体" w:hAnsi="宋体" w:cs="宋体"/>
          <w:spacing w:val="-3"/>
        </w:rPr>
        <w:t>反应缺陷，淋巴细胞转化不良，中性粒细胞功能异常，杀菌能力减弱等。经铁治</w:t>
      </w:r>
      <w:r>
        <w:rPr>
          <w:rFonts w:ascii="宋体" w:eastAsia="宋体" w:hAnsi="宋体" w:cs="宋体"/>
          <w:spacing w:val="1"/>
        </w:rPr>
        <w:t xml:space="preserve"> </w:t>
      </w:r>
      <w:r>
        <w:rPr>
          <w:rFonts w:ascii="宋体" w:eastAsia="宋体" w:hAnsi="宋体" w:cs="宋体"/>
          <w:spacing w:val="-9"/>
        </w:rPr>
        <w:t>疗能恢复正常反应。</w:t>
      </w:r>
    </w:p>
    <w:p w:rsidR="00EA40A3" w:rsidRDefault="00E86C16">
      <w:pPr>
        <w:spacing w:before="68" w:line="245" w:lineRule="auto"/>
        <w:ind w:right="77" w:firstLine="430"/>
        <w:rPr>
          <w:rFonts w:ascii="宋体" w:eastAsia="宋体" w:hAnsi="宋体" w:cs="宋体"/>
        </w:rPr>
      </w:pPr>
      <w:r>
        <w:rPr>
          <w:rFonts w:ascii="宋体" w:eastAsia="宋体" w:hAnsi="宋体" w:cs="宋体"/>
          <w:spacing w:val="-3"/>
        </w:rPr>
        <w:t>铁缺乏增加铅的吸收，国外调查发现，铁缺乏的幼儿铅中毒的发生率</w:t>
      </w:r>
      <w:r>
        <w:rPr>
          <w:rFonts w:ascii="宋体" w:eastAsia="宋体" w:hAnsi="宋体" w:cs="宋体"/>
          <w:spacing w:val="-4"/>
        </w:rPr>
        <w:t>比无铁</w:t>
      </w:r>
      <w:r>
        <w:rPr>
          <w:rFonts w:ascii="宋体" w:eastAsia="宋体" w:hAnsi="宋体" w:cs="宋体"/>
        </w:rPr>
        <w:t xml:space="preserve"> </w:t>
      </w:r>
      <w:r>
        <w:rPr>
          <w:rFonts w:ascii="宋体" w:eastAsia="宋体" w:hAnsi="宋体" w:cs="宋体"/>
          <w:spacing w:val="2"/>
        </w:rPr>
        <w:t>缺乏儿童高3或4倍，这是由于缺铁导致对二价金属吸收率增高的后果。</w:t>
      </w:r>
    </w:p>
    <w:p w:rsidR="00EA40A3" w:rsidRDefault="00E86C16">
      <w:pPr>
        <w:spacing w:before="23" w:line="227" w:lineRule="auto"/>
        <w:rPr>
          <w:rFonts w:ascii="楷体" w:eastAsia="楷体" w:hAnsi="楷体" w:cs="楷体"/>
        </w:rPr>
      </w:pPr>
      <w:r>
        <w:rPr>
          <w:rFonts w:ascii="楷体" w:eastAsia="楷体" w:hAnsi="楷体" w:cs="楷体"/>
          <w:spacing w:val="7"/>
        </w:rPr>
        <w:t>2)铁缺乏原因</w:t>
      </w:r>
    </w:p>
    <w:p w:rsidR="00EA40A3" w:rsidRDefault="00E86C16">
      <w:pPr>
        <w:spacing w:before="91" w:line="246" w:lineRule="auto"/>
        <w:ind w:firstLine="430"/>
        <w:rPr>
          <w:rFonts w:ascii="宋体" w:eastAsia="宋体" w:hAnsi="宋体" w:cs="宋体"/>
        </w:rPr>
      </w:pPr>
      <w:r>
        <w:rPr>
          <w:rFonts w:ascii="宋体" w:eastAsia="宋体" w:hAnsi="宋体" w:cs="宋体"/>
          <w:spacing w:val="-3"/>
        </w:rPr>
        <w:t>铁在人体内的储存不多，如长期摄入不足特别是膳食中可利用铁不足，</w:t>
      </w:r>
      <w:r>
        <w:rPr>
          <w:rFonts w:ascii="宋体" w:eastAsia="宋体" w:hAnsi="宋体" w:cs="宋体"/>
          <w:spacing w:val="-4"/>
        </w:rPr>
        <w:t>膳食</w:t>
      </w:r>
      <w:r>
        <w:rPr>
          <w:rFonts w:ascii="宋体" w:eastAsia="宋体" w:hAnsi="宋体" w:cs="宋体"/>
        </w:rPr>
        <w:t xml:space="preserve"> </w:t>
      </w:r>
      <w:r>
        <w:rPr>
          <w:rFonts w:ascii="宋体" w:eastAsia="宋体" w:hAnsi="宋体" w:cs="宋体"/>
          <w:spacing w:val="3"/>
        </w:rPr>
        <w:t>中干扰铁吸收因素的存在，或机体(生理性或病理性)对铁的需要增加，储存的</w:t>
      </w:r>
      <w:r>
        <w:rPr>
          <w:rFonts w:ascii="宋体" w:eastAsia="宋体" w:hAnsi="宋体" w:cs="宋体"/>
        </w:rPr>
        <w:t xml:space="preserve">  铁就难于满足机体的需要，而易造成造血原料</w:t>
      </w:r>
      <w:r>
        <w:rPr>
          <w:rFonts w:ascii="宋体" w:eastAsia="宋体" w:hAnsi="宋体" w:cs="宋体"/>
          <w:spacing w:val="-1"/>
        </w:rPr>
        <w:t>的不足，进而可导致缺铁性贫血。</w:t>
      </w:r>
      <w:r>
        <w:rPr>
          <w:rFonts w:ascii="宋体" w:eastAsia="宋体" w:hAnsi="宋体" w:cs="宋体"/>
        </w:rPr>
        <w:t xml:space="preserve"> </w:t>
      </w:r>
      <w:r>
        <w:rPr>
          <w:rFonts w:ascii="宋体" w:eastAsia="宋体" w:hAnsi="宋体" w:cs="宋体"/>
          <w:spacing w:val="-8"/>
        </w:rPr>
        <w:t>主要原因，概括有以下几方面：</w:t>
      </w:r>
    </w:p>
    <w:p w:rsidR="00EA40A3" w:rsidRDefault="00E86C16">
      <w:pPr>
        <w:spacing w:before="112" w:line="243" w:lineRule="auto"/>
        <w:ind w:right="97" w:firstLine="430"/>
        <w:jc w:val="both"/>
        <w:rPr>
          <w:rFonts w:ascii="宋体" w:eastAsia="宋体" w:hAnsi="宋体" w:cs="宋体"/>
        </w:rPr>
      </w:pPr>
      <w:r>
        <w:rPr>
          <w:rFonts w:ascii="宋体" w:eastAsia="宋体" w:hAnsi="宋体" w:cs="宋体"/>
          <w:spacing w:val="-1"/>
        </w:rPr>
        <w:t>(1)铁摄入不足。从食物中摄取的铁不能满足机体需要，食物选择不当、铁</w:t>
      </w:r>
      <w:r>
        <w:rPr>
          <w:rFonts w:ascii="宋体" w:eastAsia="宋体" w:hAnsi="宋体" w:cs="宋体"/>
          <w:spacing w:val="16"/>
        </w:rPr>
        <w:t xml:space="preserve"> </w:t>
      </w:r>
      <w:r>
        <w:rPr>
          <w:rFonts w:ascii="宋体" w:eastAsia="宋体" w:hAnsi="宋体" w:cs="宋体"/>
          <w:spacing w:val="-4"/>
        </w:rPr>
        <w:t>含量较低；不良的饮食习惯如偏食、挑食，影响了摄入食物的种类与数量，从而</w:t>
      </w:r>
      <w:r>
        <w:rPr>
          <w:rFonts w:ascii="宋体" w:eastAsia="宋体" w:hAnsi="宋体" w:cs="宋体"/>
          <w:spacing w:val="9"/>
        </w:rPr>
        <w:t xml:space="preserve"> </w:t>
      </w:r>
      <w:r>
        <w:rPr>
          <w:rFonts w:ascii="宋体" w:eastAsia="宋体" w:hAnsi="宋体" w:cs="宋体"/>
          <w:spacing w:val="-4"/>
        </w:rPr>
        <w:t>限制了含铁丰富的食物的摄入，如含铁丰富的肉类食品摄入较少等。</w:t>
      </w:r>
    </w:p>
    <w:p w:rsidR="00EA40A3" w:rsidRDefault="00E86C16">
      <w:pPr>
        <w:spacing w:before="106"/>
        <w:ind w:right="102"/>
        <w:jc w:val="right"/>
        <w:rPr>
          <w:rFonts w:ascii="宋体" w:eastAsia="宋体" w:hAnsi="宋体" w:cs="宋体"/>
          <w:sz w:val="17"/>
          <w:szCs w:val="17"/>
        </w:rPr>
      </w:pPr>
      <w:r>
        <w:rPr>
          <w:rFonts w:ascii="宋体" w:eastAsia="宋体" w:hAnsi="宋体" w:cs="宋体"/>
          <w:spacing w:val="-20"/>
          <w:sz w:val="17"/>
          <w:szCs w:val="17"/>
        </w:rPr>
        <w:t>· 103</w:t>
      </w:r>
      <w:r>
        <w:rPr>
          <w:rFonts w:ascii="宋体" w:eastAsia="宋体" w:hAnsi="宋体" w:cs="宋体"/>
          <w:spacing w:val="56"/>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84" w:bottom="400" w:left="899" w:header="0" w:footer="0" w:gutter="0"/>
          <w:cols w:space="720"/>
        </w:sectPr>
      </w:pPr>
    </w:p>
    <w:p w:rsidR="00EA40A3" w:rsidRDefault="00EA40A3">
      <w:pPr>
        <w:spacing w:line="287" w:lineRule="auto"/>
      </w:pPr>
    </w:p>
    <w:p w:rsidR="00EA40A3" w:rsidRDefault="00EA40A3">
      <w:pPr>
        <w:spacing w:line="288" w:lineRule="auto"/>
      </w:pPr>
    </w:p>
    <w:p w:rsidR="00EA40A3" w:rsidRDefault="00E86C16">
      <w:pPr>
        <w:spacing w:before="68" w:line="242" w:lineRule="auto"/>
        <w:ind w:left="69" w:right="66" w:firstLine="440"/>
        <w:rPr>
          <w:rFonts w:ascii="宋体" w:eastAsia="宋体" w:hAnsi="宋体" w:cs="宋体"/>
        </w:rPr>
      </w:pPr>
      <w:r>
        <w:rPr>
          <w:rFonts w:ascii="宋体" w:eastAsia="宋体" w:hAnsi="宋体" w:cs="宋体"/>
        </w:rPr>
        <w:t>(2)膳食铁的生物利用率低。食物中铁的含量，特别是吸收</w:t>
      </w:r>
      <w:r>
        <w:rPr>
          <w:rFonts w:ascii="宋体" w:eastAsia="宋体" w:hAnsi="宋体" w:cs="宋体"/>
          <w:spacing w:val="-1"/>
        </w:rPr>
        <w:t>率较低，是铁缺</w:t>
      </w:r>
      <w:r>
        <w:rPr>
          <w:rFonts w:ascii="宋体" w:eastAsia="宋体" w:hAnsi="宋体" w:cs="宋体"/>
        </w:rPr>
        <w:t xml:space="preserve"> </w:t>
      </w:r>
      <w:r>
        <w:rPr>
          <w:rFonts w:ascii="宋体" w:eastAsia="宋体" w:hAnsi="宋体" w:cs="宋体"/>
          <w:spacing w:val="-4"/>
        </w:rPr>
        <w:t>乏最主要的原因。铁生物利用率受多种膳食因素的影响</w:t>
      </w:r>
      <w:r>
        <w:rPr>
          <w:rFonts w:ascii="宋体" w:eastAsia="宋体" w:hAnsi="宋体" w:cs="宋体"/>
          <w:spacing w:val="-5"/>
        </w:rPr>
        <w:t>。</w:t>
      </w:r>
    </w:p>
    <w:p w:rsidR="00EA40A3" w:rsidRDefault="00E86C16">
      <w:pPr>
        <w:spacing w:before="53" w:line="258" w:lineRule="auto"/>
        <w:ind w:left="69" w:firstLine="440"/>
        <w:rPr>
          <w:rFonts w:ascii="宋体" w:eastAsia="宋体" w:hAnsi="宋体" w:cs="宋体"/>
        </w:rPr>
      </w:pPr>
      <w:r>
        <w:rPr>
          <w:rFonts w:ascii="宋体" w:eastAsia="宋体" w:hAnsi="宋体" w:cs="宋体"/>
        </w:rPr>
        <w:t>(3)机体对铁的需要量增加。当机体对铁的需要量增加，而</w:t>
      </w:r>
      <w:r>
        <w:rPr>
          <w:rFonts w:ascii="宋体" w:eastAsia="宋体" w:hAnsi="宋体" w:cs="宋体"/>
          <w:spacing w:val="-1"/>
        </w:rPr>
        <w:t>摄入或吸收的铁</w:t>
      </w:r>
      <w:r>
        <w:rPr>
          <w:rFonts w:ascii="宋体" w:eastAsia="宋体" w:hAnsi="宋体" w:cs="宋体"/>
        </w:rPr>
        <w:t xml:space="preserve"> </w:t>
      </w:r>
      <w:r>
        <w:rPr>
          <w:rFonts w:ascii="宋体" w:eastAsia="宋体" w:hAnsi="宋体" w:cs="宋体"/>
          <w:spacing w:val="-1"/>
        </w:rPr>
        <w:t>量未能相应增加，可造成机体铁缺乏。如处在生长发育期的儿童，随体重增加，</w:t>
      </w:r>
      <w:r>
        <w:rPr>
          <w:rFonts w:ascii="宋体" w:eastAsia="宋体" w:hAnsi="宋体" w:cs="宋体"/>
          <w:spacing w:val="8"/>
        </w:rPr>
        <w:t xml:space="preserve"> </w:t>
      </w:r>
      <w:r>
        <w:rPr>
          <w:rFonts w:ascii="宋体" w:eastAsia="宋体" w:hAnsi="宋体" w:cs="宋体"/>
          <w:spacing w:val="-4"/>
        </w:rPr>
        <w:t>血容量及组织铁相对增加，且生长发育愈快，铁的需要也愈大。</w:t>
      </w:r>
      <w:r>
        <w:rPr>
          <w:rFonts w:ascii="宋体" w:eastAsia="宋体" w:hAnsi="宋体" w:cs="宋体"/>
          <w:spacing w:val="56"/>
        </w:rPr>
        <w:t xml:space="preserve"> </w:t>
      </w:r>
      <w:r>
        <w:rPr>
          <w:rFonts w:ascii="宋体" w:eastAsia="宋体" w:hAnsi="宋体" w:cs="宋体"/>
          <w:spacing w:val="-4"/>
        </w:rPr>
        <w:t>一般每增加1kg</w:t>
      </w:r>
      <w:r>
        <w:rPr>
          <w:rFonts w:ascii="宋体" w:eastAsia="宋体" w:hAnsi="宋体" w:cs="宋体"/>
        </w:rPr>
        <w:t xml:space="preserve"> </w:t>
      </w:r>
      <w:r>
        <w:rPr>
          <w:rFonts w:ascii="宋体" w:eastAsia="宋体" w:hAnsi="宋体" w:cs="宋体"/>
          <w:spacing w:val="3"/>
        </w:rPr>
        <w:t>体重约需增加铁35～45</w:t>
      </w:r>
      <w:r>
        <w:rPr>
          <w:rFonts w:ascii="宋体" w:eastAsia="宋体" w:hAnsi="宋体" w:cs="宋体"/>
        </w:rPr>
        <w:t>mg</w:t>
      </w:r>
      <w:r>
        <w:rPr>
          <w:rFonts w:ascii="宋体" w:eastAsia="宋体" w:hAnsi="宋体" w:cs="宋体"/>
          <w:spacing w:val="3"/>
        </w:rPr>
        <w:t>,</w:t>
      </w:r>
      <w:r>
        <w:rPr>
          <w:rFonts w:ascii="宋体" w:eastAsia="宋体" w:hAnsi="宋体" w:cs="宋体"/>
          <w:spacing w:val="59"/>
        </w:rPr>
        <w:t xml:space="preserve"> </w:t>
      </w:r>
      <w:r>
        <w:rPr>
          <w:rFonts w:ascii="宋体" w:eastAsia="宋体" w:hAnsi="宋体" w:cs="宋体"/>
          <w:spacing w:val="3"/>
        </w:rPr>
        <w:t>足月儿第一年内需补充外源性铁200</w:t>
      </w:r>
      <w:r>
        <w:rPr>
          <w:rFonts w:ascii="宋体" w:eastAsia="宋体" w:hAnsi="宋体" w:cs="宋体"/>
        </w:rPr>
        <w:t>mg</w:t>
      </w:r>
      <w:r>
        <w:rPr>
          <w:rFonts w:ascii="宋体" w:eastAsia="宋体" w:hAnsi="宋体" w:cs="宋体"/>
          <w:spacing w:val="3"/>
        </w:rPr>
        <w:t>;</w:t>
      </w:r>
      <w:r>
        <w:rPr>
          <w:rFonts w:ascii="宋体" w:eastAsia="宋体" w:hAnsi="宋体" w:cs="宋体"/>
          <w:spacing w:val="62"/>
        </w:rPr>
        <w:t xml:space="preserve"> </w:t>
      </w:r>
      <w:r>
        <w:rPr>
          <w:rFonts w:ascii="宋体" w:eastAsia="宋体" w:hAnsi="宋体" w:cs="宋体"/>
          <w:spacing w:val="3"/>
        </w:rPr>
        <w:t>低出生体</w:t>
      </w:r>
      <w:r>
        <w:rPr>
          <w:rFonts w:ascii="宋体" w:eastAsia="宋体" w:hAnsi="宋体" w:cs="宋体"/>
        </w:rPr>
        <w:t xml:space="preserve"> </w:t>
      </w:r>
      <w:r>
        <w:rPr>
          <w:rFonts w:ascii="宋体" w:eastAsia="宋体" w:hAnsi="宋体" w:cs="宋体"/>
          <w:spacing w:val="3"/>
        </w:rPr>
        <w:t>重儿，由于储铁较少、生长发育又较快，需补充的铁量较足月儿高，约为280~</w:t>
      </w:r>
      <w:r>
        <w:rPr>
          <w:rFonts w:ascii="宋体" w:eastAsia="宋体" w:hAnsi="宋体" w:cs="宋体"/>
          <w:spacing w:val="1"/>
        </w:rPr>
        <w:t xml:space="preserve"> </w:t>
      </w:r>
      <w:r>
        <w:rPr>
          <w:rFonts w:ascii="宋体" w:eastAsia="宋体" w:hAnsi="宋体" w:cs="宋体"/>
          <w:spacing w:val="-4"/>
        </w:rPr>
        <w:t>350mg。</w:t>
      </w:r>
      <w:r>
        <w:rPr>
          <w:rFonts w:ascii="宋体" w:eastAsia="宋体" w:hAnsi="宋体" w:cs="宋体"/>
          <w:spacing w:val="65"/>
        </w:rPr>
        <w:t xml:space="preserve"> </w:t>
      </w:r>
      <w:r>
        <w:rPr>
          <w:rFonts w:ascii="宋体" w:eastAsia="宋体" w:hAnsi="宋体" w:cs="宋体"/>
          <w:spacing w:val="-4"/>
        </w:rPr>
        <w:t>因此，婴儿期尤其是低出生体重儿更易于发生缺</w:t>
      </w:r>
      <w:r>
        <w:rPr>
          <w:rFonts w:ascii="宋体" w:eastAsia="宋体" w:hAnsi="宋体" w:cs="宋体"/>
          <w:spacing w:val="-5"/>
        </w:rPr>
        <w:t>铁性贫血。育龄期女性</w:t>
      </w:r>
      <w:r>
        <w:rPr>
          <w:rFonts w:ascii="宋体" w:eastAsia="宋体" w:hAnsi="宋体" w:cs="宋体"/>
        </w:rPr>
        <w:t xml:space="preserve"> </w:t>
      </w:r>
      <w:r>
        <w:rPr>
          <w:rFonts w:ascii="宋体" w:eastAsia="宋体" w:hAnsi="宋体" w:cs="宋体"/>
          <w:spacing w:val="2"/>
        </w:rPr>
        <w:t>月经量过多、妊娠(多次妊娠)、哺乳，及宫内置节育环也增加铁的丢失，若铁</w:t>
      </w:r>
      <w:r>
        <w:rPr>
          <w:rFonts w:ascii="宋体" w:eastAsia="宋体" w:hAnsi="宋体" w:cs="宋体"/>
          <w:spacing w:val="8"/>
        </w:rPr>
        <w:t xml:space="preserve">  </w:t>
      </w:r>
      <w:r>
        <w:rPr>
          <w:rFonts w:ascii="宋体" w:eastAsia="宋体" w:hAnsi="宋体" w:cs="宋体"/>
          <w:spacing w:val="-4"/>
        </w:rPr>
        <w:t>摄入未相应增加，均能导致铁的缺乏。</w:t>
      </w:r>
    </w:p>
    <w:p w:rsidR="00EA40A3" w:rsidRDefault="00E86C16">
      <w:pPr>
        <w:spacing w:before="48" w:line="241" w:lineRule="auto"/>
        <w:ind w:left="69" w:right="64" w:firstLine="440"/>
        <w:rPr>
          <w:rFonts w:ascii="宋体" w:eastAsia="宋体" w:hAnsi="宋体" w:cs="宋体"/>
        </w:rPr>
      </w:pPr>
      <w:r>
        <w:rPr>
          <w:rFonts w:ascii="宋体" w:eastAsia="宋体" w:hAnsi="宋体" w:cs="宋体"/>
        </w:rPr>
        <w:t>(4)某些疾病。如萎缩性胃炎、胃酸缺乏或过多服用抗酸药时，</w:t>
      </w:r>
      <w:r>
        <w:rPr>
          <w:rFonts w:ascii="宋体" w:eastAsia="宋体" w:hAnsi="宋体" w:cs="宋体"/>
          <w:spacing w:val="-1"/>
        </w:rPr>
        <w:t>影响铁离子</w:t>
      </w:r>
      <w:r>
        <w:rPr>
          <w:rFonts w:ascii="宋体" w:eastAsia="宋体" w:hAnsi="宋体" w:cs="宋体"/>
        </w:rPr>
        <w:t xml:space="preserve"> </w:t>
      </w:r>
      <w:r>
        <w:rPr>
          <w:rFonts w:ascii="宋体" w:eastAsia="宋体" w:hAnsi="宋体" w:cs="宋体"/>
          <w:spacing w:val="-4"/>
        </w:rPr>
        <w:t>释放；慢性腹泻、胃大部切除以及钩虫感染等。</w:t>
      </w:r>
    </w:p>
    <w:p w:rsidR="00EA40A3" w:rsidRDefault="00E86C16">
      <w:pPr>
        <w:spacing w:before="209" w:line="221" w:lineRule="auto"/>
        <w:ind w:left="69"/>
        <w:rPr>
          <w:rFonts w:ascii="仿宋" w:eastAsia="仿宋" w:hAnsi="仿宋" w:cs="仿宋"/>
          <w:sz w:val="24"/>
          <w:szCs w:val="24"/>
        </w:rPr>
      </w:pPr>
      <w:r>
        <w:rPr>
          <w:rFonts w:ascii="仿宋" w:eastAsia="仿宋" w:hAnsi="仿宋" w:cs="仿宋"/>
          <w:spacing w:val="1"/>
          <w:sz w:val="24"/>
          <w:szCs w:val="24"/>
        </w:rPr>
        <w:t>4.铁的参考摄入量与食物来源</w:t>
      </w:r>
    </w:p>
    <w:p w:rsidR="00EA40A3" w:rsidRDefault="00E86C16">
      <w:pPr>
        <w:spacing w:before="197" w:line="258" w:lineRule="auto"/>
        <w:ind w:left="69" w:right="39" w:firstLine="440"/>
        <w:jc w:val="both"/>
        <w:rPr>
          <w:rFonts w:ascii="宋体" w:eastAsia="宋体" w:hAnsi="宋体" w:cs="宋体"/>
        </w:rPr>
      </w:pPr>
      <w:r>
        <w:rPr>
          <w:rFonts w:ascii="宋体" w:eastAsia="宋体" w:hAnsi="宋体" w:cs="宋体"/>
          <w:spacing w:val="-8"/>
        </w:rPr>
        <w:t>铁在体内代谢中可被机体反复利用，</w:t>
      </w:r>
      <w:r>
        <w:rPr>
          <w:rFonts w:ascii="宋体" w:eastAsia="宋体" w:hAnsi="宋体" w:cs="宋体"/>
          <w:spacing w:val="67"/>
        </w:rPr>
        <w:t xml:space="preserve"> </w:t>
      </w:r>
      <w:r>
        <w:rPr>
          <w:rFonts w:ascii="宋体" w:eastAsia="宋体" w:hAnsi="宋体" w:cs="宋体"/>
          <w:spacing w:val="-8"/>
        </w:rPr>
        <w:t>一般除肠道分泌和皮肤、消化道、尿道</w:t>
      </w:r>
      <w:r>
        <w:rPr>
          <w:rFonts w:ascii="宋体" w:eastAsia="宋体" w:hAnsi="宋体" w:cs="宋体"/>
        </w:rPr>
        <w:t xml:space="preserve"> </w:t>
      </w:r>
      <w:r>
        <w:rPr>
          <w:rFonts w:ascii="宋体" w:eastAsia="宋体" w:hAnsi="宋体" w:cs="宋体"/>
          <w:spacing w:val="-4"/>
        </w:rPr>
        <w:t>上皮脱落损失少量外，排出的铁量很少。只要从食物中吸收加以弥补，即可</w:t>
      </w:r>
      <w:r>
        <w:rPr>
          <w:rFonts w:ascii="宋体" w:eastAsia="宋体" w:hAnsi="宋体" w:cs="宋体"/>
          <w:spacing w:val="-5"/>
        </w:rPr>
        <w:t>满足</w:t>
      </w:r>
      <w:r>
        <w:rPr>
          <w:rFonts w:ascii="宋体" w:eastAsia="宋体" w:hAnsi="宋体" w:cs="宋体"/>
        </w:rPr>
        <w:t xml:space="preserve"> </w:t>
      </w:r>
      <w:r>
        <w:rPr>
          <w:rFonts w:ascii="宋体" w:eastAsia="宋体" w:hAnsi="宋体" w:cs="宋体"/>
          <w:spacing w:val="-3"/>
        </w:rPr>
        <w:t>机体需要。婴幼儿由于生长较快，需要量相对较多，需从食物中获得铁的比例大</w:t>
      </w:r>
      <w:r>
        <w:rPr>
          <w:rFonts w:ascii="宋体" w:eastAsia="宋体" w:hAnsi="宋体" w:cs="宋体"/>
          <w:spacing w:val="13"/>
        </w:rPr>
        <w:t xml:space="preserve"> </w:t>
      </w:r>
      <w:r>
        <w:rPr>
          <w:rFonts w:ascii="宋体" w:eastAsia="宋体" w:hAnsi="宋体" w:cs="宋体"/>
          <w:spacing w:val="8"/>
        </w:rPr>
        <w:t>于成人；妇女月经期铁损失较多，供应量应适当增加。男子每日损失约1</w:t>
      </w:r>
      <w:r>
        <w:rPr>
          <w:rFonts w:ascii="宋体" w:eastAsia="宋体" w:hAnsi="宋体" w:cs="宋体"/>
        </w:rPr>
        <w:t>mg</w:t>
      </w:r>
      <w:r>
        <w:rPr>
          <w:rFonts w:ascii="宋体" w:eastAsia="宋体" w:hAnsi="宋体" w:cs="宋体"/>
          <w:spacing w:val="8"/>
        </w:rPr>
        <w:t>,</w:t>
      </w:r>
      <w:r>
        <w:rPr>
          <w:rFonts w:ascii="宋体" w:eastAsia="宋体" w:hAnsi="宋体" w:cs="宋体"/>
          <w:spacing w:val="7"/>
        </w:rPr>
        <w:t xml:space="preserve"> 女子为0.8</w:t>
      </w:r>
      <w:r>
        <w:rPr>
          <w:rFonts w:ascii="宋体" w:eastAsia="宋体" w:hAnsi="宋体" w:cs="宋体"/>
        </w:rPr>
        <w:t>mg</w:t>
      </w:r>
      <w:r>
        <w:rPr>
          <w:rFonts w:ascii="宋体" w:eastAsia="宋体" w:hAnsi="宋体" w:cs="宋体"/>
          <w:spacing w:val="7"/>
        </w:rPr>
        <w:t>,</w:t>
      </w:r>
      <w:r>
        <w:rPr>
          <w:rFonts w:ascii="宋体" w:eastAsia="宋体" w:hAnsi="宋体" w:cs="宋体"/>
          <w:spacing w:val="42"/>
        </w:rPr>
        <w:t xml:space="preserve"> </w:t>
      </w:r>
      <w:r>
        <w:rPr>
          <w:rFonts w:ascii="宋体" w:eastAsia="宋体" w:hAnsi="宋体" w:cs="宋体"/>
          <w:spacing w:val="7"/>
        </w:rPr>
        <w:t>但月经期损失平均每日为1.4</w:t>
      </w:r>
      <w:r>
        <w:rPr>
          <w:rFonts w:ascii="宋体" w:eastAsia="宋体" w:hAnsi="宋体" w:cs="宋体"/>
        </w:rPr>
        <w:t>mg</w:t>
      </w:r>
      <w:r>
        <w:rPr>
          <w:rFonts w:ascii="宋体" w:eastAsia="宋体" w:hAnsi="宋体" w:cs="宋体"/>
          <w:spacing w:val="7"/>
        </w:rPr>
        <w:t>,</w:t>
      </w:r>
      <w:r>
        <w:rPr>
          <w:rFonts w:ascii="宋体" w:eastAsia="宋体" w:hAnsi="宋体" w:cs="宋体"/>
          <w:spacing w:val="52"/>
        </w:rPr>
        <w:t xml:space="preserve"> </w:t>
      </w:r>
      <w:r>
        <w:rPr>
          <w:rFonts w:ascii="宋体" w:eastAsia="宋体" w:hAnsi="宋体" w:cs="宋体"/>
          <w:spacing w:val="7"/>
        </w:rPr>
        <w:t>不同人群铁损失与需</w:t>
      </w:r>
      <w:r>
        <w:rPr>
          <w:rFonts w:ascii="宋体" w:eastAsia="宋体" w:hAnsi="宋体" w:cs="宋体"/>
          <w:spacing w:val="6"/>
        </w:rPr>
        <w:t>要量见</w:t>
      </w:r>
      <w:r>
        <w:rPr>
          <w:rFonts w:ascii="宋体" w:eastAsia="宋体" w:hAnsi="宋体" w:cs="宋体"/>
        </w:rPr>
        <w:t xml:space="preserve"> </w:t>
      </w:r>
      <w:r>
        <w:rPr>
          <w:rFonts w:ascii="宋体" w:eastAsia="宋体" w:hAnsi="宋体" w:cs="宋体"/>
          <w:spacing w:val="7"/>
        </w:rPr>
        <w:t>表4-8。铁的吸收小于10%,估计成人铁供应量应大于10</w:t>
      </w:r>
      <w:r>
        <w:rPr>
          <w:rFonts w:ascii="宋体" w:eastAsia="宋体" w:hAnsi="宋体" w:cs="宋体"/>
        </w:rPr>
        <w:t>mg</w:t>
      </w:r>
      <w:r>
        <w:rPr>
          <w:rFonts w:ascii="宋体" w:eastAsia="宋体" w:hAnsi="宋体" w:cs="宋体"/>
          <w:spacing w:val="7"/>
        </w:rPr>
        <w:t>/d。</w:t>
      </w:r>
      <w:r>
        <w:rPr>
          <w:rFonts w:ascii="宋体" w:eastAsia="宋体" w:hAnsi="宋体" w:cs="宋体"/>
          <w:spacing w:val="69"/>
        </w:rPr>
        <w:t xml:space="preserve"> </w:t>
      </w:r>
      <w:r>
        <w:rPr>
          <w:rFonts w:ascii="宋体" w:eastAsia="宋体" w:hAnsi="宋体" w:cs="宋体"/>
          <w:spacing w:val="7"/>
        </w:rPr>
        <w:t>中国营养学会</w:t>
      </w:r>
      <w:r>
        <w:rPr>
          <w:rFonts w:ascii="宋体" w:eastAsia="宋体" w:hAnsi="宋体" w:cs="宋体"/>
        </w:rPr>
        <w:t xml:space="preserve"> </w:t>
      </w:r>
      <w:r>
        <w:rPr>
          <w:rFonts w:ascii="宋体" w:eastAsia="宋体" w:hAnsi="宋体" w:cs="宋体"/>
          <w:spacing w:val="15"/>
        </w:rPr>
        <w:t>推荐我国居民膳食铁的</w:t>
      </w:r>
      <w:r>
        <w:rPr>
          <w:rFonts w:ascii="宋体" w:eastAsia="宋体" w:hAnsi="宋体" w:cs="宋体"/>
        </w:rPr>
        <w:t>AI</w:t>
      </w:r>
      <w:r>
        <w:rPr>
          <w:rFonts w:ascii="宋体" w:eastAsia="宋体" w:hAnsi="宋体" w:cs="宋体"/>
          <w:spacing w:val="15"/>
        </w:rPr>
        <w:t>(</w:t>
      </w:r>
      <w:r>
        <w:rPr>
          <w:rFonts w:ascii="宋体" w:eastAsia="宋体" w:hAnsi="宋体" w:cs="宋体"/>
        </w:rPr>
        <w:t>mg</w:t>
      </w:r>
      <w:r>
        <w:rPr>
          <w:rFonts w:ascii="宋体" w:eastAsia="宋体" w:hAnsi="宋体" w:cs="宋体"/>
          <w:spacing w:val="15"/>
        </w:rPr>
        <w:t>/d)</w:t>
      </w:r>
      <w:r>
        <w:rPr>
          <w:rFonts w:ascii="宋体" w:eastAsia="宋体" w:hAnsi="宋体" w:cs="宋体"/>
          <w:spacing w:val="2"/>
        </w:rPr>
        <w:t xml:space="preserve">   </w:t>
      </w:r>
      <w:r>
        <w:rPr>
          <w:rFonts w:ascii="宋体" w:eastAsia="宋体" w:hAnsi="宋体" w:cs="宋体"/>
          <w:spacing w:val="15"/>
        </w:rPr>
        <w:t>定为：0～0.5岁为0.</w:t>
      </w:r>
      <w:r>
        <w:rPr>
          <w:rFonts w:ascii="宋体" w:eastAsia="宋体" w:hAnsi="宋体" w:cs="宋体"/>
          <w:spacing w:val="14"/>
        </w:rPr>
        <w:t>3,0.5～1岁为10,</w:t>
      </w:r>
      <w:r>
        <w:rPr>
          <w:rFonts w:ascii="宋体" w:eastAsia="宋体" w:hAnsi="宋体" w:cs="宋体"/>
        </w:rPr>
        <w:t xml:space="preserve"> </w:t>
      </w:r>
      <w:r>
        <w:rPr>
          <w:rFonts w:ascii="宋体" w:eastAsia="宋体" w:hAnsi="宋体" w:cs="宋体"/>
          <w:spacing w:val="16"/>
        </w:rPr>
        <w:t>1～11岁为12,11岁以上男性为16,11岁以上女性为18,14岁以上男性为</w:t>
      </w:r>
      <w:r>
        <w:rPr>
          <w:rFonts w:ascii="宋体" w:eastAsia="宋体" w:hAnsi="宋体" w:cs="宋体"/>
          <w:spacing w:val="15"/>
        </w:rPr>
        <w:t>20,</w:t>
      </w:r>
      <w:r>
        <w:rPr>
          <w:rFonts w:ascii="宋体" w:eastAsia="宋体" w:hAnsi="宋体" w:cs="宋体"/>
        </w:rPr>
        <w:t xml:space="preserve"> </w:t>
      </w:r>
      <w:r>
        <w:rPr>
          <w:rFonts w:ascii="宋体" w:eastAsia="宋体" w:hAnsi="宋体" w:cs="宋体"/>
          <w:spacing w:val="21"/>
        </w:rPr>
        <w:t>14岁以上女性为25,18岁以上男性为15,18岁以上女性为20,50岁以上为</w:t>
      </w:r>
    </w:p>
    <w:p w:rsidR="00EA40A3" w:rsidRDefault="00E86C16">
      <w:pPr>
        <w:spacing w:before="50" w:line="214" w:lineRule="auto"/>
        <w:ind w:left="69"/>
        <w:rPr>
          <w:rFonts w:ascii="宋体" w:eastAsia="宋体" w:hAnsi="宋体" w:cs="宋体"/>
        </w:rPr>
      </w:pPr>
      <w:r>
        <w:rPr>
          <w:rFonts w:ascii="宋体" w:eastAsia="宋体" w:hAnsi="宋体" w:cs="宋体"/>
          <w:spacing w:val="13"/>
        </w:rPr>
        <w:t>15,妊娠中期为25,妊娠后期为35,乳母为25。居民铁的</w:t>
      </w:r>
      <w:r>
        <w:rPr>
          <w:rFonts w:ascii="宋体" w:eastAsia="宋体" w:hAnsi="宋体" w:cs="宋体"/>
        </w:rPr>
        <w:t>UL</w:t>
      </w:r>
      <w:r>
        <w:rPr>
          <w:rFonts w:ascii="宋体" w:eastAsia="宋体" w:hAnsi="宋体" w:cs="宋体"/>
          <w:spacing w:val="13"/>
        </w:rPr>
        <w:t>(</w:t>
      </w:r>
      <w:r>
        <w:rPr>
          <w:rFonts w:ascii="宋体" w:eastAsia="宋体" w:hAnsi="宋体" w:cs="宋体"/>
        </w:rPr>
        <w:t>mg</w:t>
      </w:r>
      <w:r>
        <w:rPr>
          <w:rFonts w:ascii="宋体" w:eastAsia="宋体" w:hAnsi="宋体" w:cs="宋体"/>
          <w:spacing w:val="13"/>
        </w:rPr>
        <w:t>/d)</w:t>
      </w:r>
      <w:r>
        <w:rPr>
          <w:rFonts w:ascii="宋体" w:eastAsia="宋体" w:hAnsi="宋体" w:cs="宋体"/>
          <w:spacing w:val="24"/>
        </w:rPr>
        <w:t xml:space="preserve">   </w:t>
      </w:r>
      <w:r>
        <w:rPr>
          <w:rFonts w:ascii="宋体" w:eastAsia="宋体" w:hAnsi="宋体" w:cs="宋体"/>
          <w:spacing w:val="13"/>
        </w:rPr>
        <w:t>分别定</w:t>
      </w:r>
    </w:p>
    <w:p w:rsidR="00EA40A3" w:rsidRDefault="00E86C16">
      <w:pPr>
        <w:spacing w:before="61" w:line="216" w:lineRule="auto"/>
        <w:ind w:left="69"/>
        <w:rPr>
          <w:rFonts w:ascii="宋体" w:eastAsia="宋体" w:hAnsi="宋体" w:cs="宋体"/>
        </w:rPr>
      </w:pPr>
      <w:r>
        <w:rPr>
          <w:rFonts w:ascii="宋体" w:eastAsia="宋体" w:hAnsi="宋体" w:cs="宋体"/>
          <w:spacing w:val="16"/>
        </w:rPr>
        <w:t>为：0岁为10,1～10岁为30,11岁以上及乳母为50,孕妇为60。</w:t>
      </w:r>
    </w:p>
    <w:p w:rsidR="00EA40A3" w:rsidRDefault="00EA40A3">
      <w:pPr>
        <w:spacing w:line="293" w:lineRule="auto"/>
      </w:pPr>
    </w:p>
    <w:p w:rsidR="00EA40A3" w:rsidRDefault="00E86C16">
      <w:pPr>
        <w:spacing w:before="69" w:line="225" w:lineRule="auto"/>
        <w:ind w:left="2832"/>
        <w:rPr>
          <w:rFonts w:ascii="宋体" w:eastAsia="宋体" w:hAnsi="宋体" w:cs="宋体"/>
          <w:sz w:val="16"/>
          <w:szCs w:val="16"/>
        </w:rPr>
      </w:pPr>
      <w:r>
        <w:rPr>
          <w:rFonts w:ascii="黑体" w:eastAsia="黑体" w:hAnsi="黑体" w:cs="黑体"/>
          <w:b/>
          <w:bCs/>
          <w:spacing w:val="-13"/>
        </w:rPr>
        <w:t>表4-8</w:t>
      </w:r>
      <w:r>
        <w:rPr>
          <w:rFonts w:ascii="黑体" w:eastAsia="黑体" w:hAnsi="黑体" w:cs="黑体"/>
          <w:spacing w:val="64"/>
        </w:rPr>
        <w:t xml:space="preserve"> </w:t>
      </w:r>
      <w:r>
        <w:rPr>
          <w:rFonts w:ascii="黑体" w:eastAsia="黑体" w:hAnsi="黑体" w:cs="黑体"/>
          <w:b/>
          <w:bCs/>
          <w:spacing w:val="-13"/>
        </w:rPr>
        <w:t>铁需要量汇总</w:t>
      </w:r>
      <w:r>
        <w:rPr>
          <w:rFonts w:ascii="黑体" w:eastAsia="黑体" w:hAnsi="黑体" w:cs="黑体"/>
        </w:rPr>
        <w:t xml:space="preserve">              </w:t>
      </w:r>
      <w:r>
        <w:rPr>
          <w:rFonts w:ascii="宋体" w:eastAsia="宋体" w:hAnsi="宋体" w:cs="宋体"/>
          <w:spacing w:val="-13"/>
          <w:sz w:val="16"/>
          <w:szCs w:val="16"/>
        </w:rPr>
        <w:t>(单位：mg/d)</w:t>
      </w:r>
    </w:p>
    <w:p w:rsidR="00EA40A3" w:rsidRDefault="00EA40A3">
      <w:pPr>
        <w:spacing w:line="45" w:lineRule="auto"/>
        <w:rPr>
          <w:sz w:val="2"/>
        </w:rPr>
      </w:pP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53"/>
        <w:gridCol w:w="2332"/>
        <w:gridCol w:w="2012"/>
        <w:gridCol w:w="1243"/>
      </w:tblGrid>
      <w:tr w:rsidR="00EA40A3">
        <w:trPr>
          <w:trHeight w:val="300"/>
        </w:trPr>
        <w:tc>
          <w:tcPr>
            <w:tcW w:w="1753" w:type="dxa"/>
            <w:tcBorders>
              <w:top w:val="single" w:sz="4" w:space="0" w:color="000000"/>
              <w:bottom w:val="single" w:sz="4" w:space="0" w:color="000000"/>
            </w:tcBorders>
          </w:tcPr>
          <w:p w:rsidR="00EA40A3" w:rsidRDefault="00E86C16">
            <w:pPr>
              <w:spacing w:before="71" w:line="219" w:lineRule="auto"/>
              <w:ind w:left="369"/>
              <w:rPr>
                <w:rFonts w:ascii="宋体" w:eastAsia="宋体" w:hAnsi="宋体" w:cs="宋体"/>
                <w:sz w:val="16"/>
                <w:szCs w:val="16"/>
              </w:rPr>
            </w:pPr>
            <w:r>
              <w:rPr>
                <w:rFonts w:ascii="宋体" w:eastAsia="宋体" w:hAnsi="宋体" w:cs="宋体"/>
                <w:spacing w:val="-4"/>
                <w:sz w:val="16"/>
                <w:szCs w:val="16"/>
              </w:rPr>
              <w:t>人</w:t>
            </w:r>
            <w:r>
              <w:rPr>
                <w:rFonts w:ascii="宋体" w:eastAsia="宋体" w:hAnsi="宋体" w:cs="宋体"/>
                <w:spacing w:val="3"/>
                <w:sz w:val="16"/>
                <w:szCs w:val="16"/>
              </w:rPr>
              <w:t xml:space="preserve">  </w:t>
            </w:r>
            <w:r>
              <w:rPr>
                <w:rFonts w:ascii="宋体" w:eastAsia="宋体" w:hAnsi="宋体" w:cs="宋体"/>
                <w:spacing w:val="-4"/>
                <w:sz w:val="16"/>
                <w:szCs w:val="16"/>
              </w:rPr>
              <w:t>群</w:t>
            </w:r>
          </w:p>
        </w:tc>
        <w:tc>
          <w:tcPr>
            <w:tcW w:w="2332" w:type="dxa"/>
            <w:tcBorders>
              <w:top w:val="single" w:sz="4" w:space="0" w:color="000000"/>
              <w:bottom w:val="single" w:sz="4" w:space="0" w:color="000000"/>
            </w:tcBorders>
          </w:tcPr>
          <w:p w:rsidR="00EA40A3" w:rsidRDefault="00E86C16">
            <w:pPr>
              <w:spacing w:before="72" w:line="221" w:lineRule="auto"/>
              <w:ind w:left="127"/>
              <w:rPr>
                <w:rFonts w:ascii="宋体" w:eastAsia="宋体" w:hAnsi="宋体" w:cs="宋体"/>
                <w:sz w:val="16"/>
                <w:szCs w:val="16"/>
              </w:rPr>
            </w:pPr>
            <w:r>
              <w:rPr>
                <w:rFonts w:ascii="宋体" w:eastAsia="宋体" w:hAnsi="宋体" w:cs="宋体"/>
                <w:spacing w:val="-2"/>
                <w:sz w:val="16"/>
                <w:szCs w:val="16"/>
              </w:rPr>
              <w:t>损失</w:t>
            </w:r>
          </w:p>
        </w:tc>
        <w:tc>
          <w:tcPr>
            <w:tcW w:w="2012" w:type="dxa"/>
            <w:tcBorders>
              <w:top w:val="single" w:sz="4" w:space="0" w:color="000000"/>
              <w:bottom w:val="single" w:sz="4" w:space="0" w:color="000000"/>
            </w:tcBorders>
          </w:tcPr>
          <w:p w:rsidR="00EA40A3" w:rsidRDefault="00E86C16">
            <w:pPr>
              <w:spacing w:before="111" w:line="217" w:lineRule="auto"/>
              <w:ind w:left="865"/>
              <w:rPr>
                <w:rFonts w:ascii="宋体" w:eastAsia="宋体" w:hAnsi="宋体" w:cs="宋体"/>
                <w:sz w:val="16"/>
                <w:szCs w:val="16"/>
              </w:rPr>
            </w:pPr>
            <w:r>
              <w:rPr>
                <w:rFonts w:ascii="宋体" w:eastAsia="宋体" w:hAnsi="宋体" w:cs="宋体"/>
                <w:spacing w:val="4"/>
                <w:sz w:val="16"/>
                <w:szCs w:val="16"/>
              </w:rPr>
              <w:t>需要</w:t>
            </w:r>
          </w:p>
        </w:tc>
        <w:tc>
          <w:tcPr>
            <w:tcW w:w="1243" w:type="dxa"/>
            <w:tcBorders>
              <w:top w:val="single" w:sz="4" w:space="0" w:color="000000"/>
              <w:bottom w:val="single" w:sz="4" w:space="0" w:color="000000"/>
            </w:tcBorders>
          </w:tcPr>
          <w:p w:rsidR="00EA40A3" w:rsidRDefault="00EA40A3"/>
        </w:tc>
      </w:tr>
      <w:tr w:rsidR="00EA40A3">
        <w:trPr>
          <w:trHeight w:val="300"/>
        </w:trPr>
        <w:tc>
          <w:tcPr>
            <w:tcW w:w="1753" w:type="dxa"/>
            <w:tcBorders>
              <w:top w:val="single" w:sz="4" w:space="0" w:color="000000"/>
              <w:bottom w:val="single" w:sz="4" w:space="0" w:color="000000"/>
            </w:tcBorders>
          </w:tcPr>
          <w:p w:rsidR="00EA40A3" w:rsidRDefault="00E86C16">
            <w:pPr>
              <w:spacing w:before="71" w:line="219" w:lineRule="auto"/>
              <w:ind w:left="1479"/>
              <w:rPr>
                <w:rFonts w:ascii="宋体" w:eastAsia="宋体" w:hAnsi="宋体" w:cs="宋体"/>
                <w:sz w:val="16"/>
                <w:szCs w:val="16"/>
              </w:rPr>
            </w:pPr>
            <w:r>
              <w:rPr>
                <w:rFonts w:ascii="宋体" w:eastAsia="宋体" w:hAnsi="宋体" w:cs="宋体"/>
                <w:sz w:val="16"/>
                <w:szCs w:val="16"/>
              </w:rPr>
              <w:t>粪</w:t>
            </w:r>
          </w:p>
        </w:tc>
        <w:tc>
          <w:tcPr>
            <w:tcW w:w="2332" w:type="dxa"/>
            <w:tcBorders>
              <w:top w:val="single" w:sz="4" w:space="0" w:color="000000"/>
              <w:bottom w:val="single" w:sz="4" w:space="0" w:color="000000"/>
            </w:tcBorders>
          </w:tcPr>
          <w:p w:rsidR="00EA40A3" w:rsidRDefault="00E86C16">
            <w:pPr>
              <w:spacing w:before="71" w:line="219" w:lineRule="auto"/>
              <w:ind w:left="347"/>
              <w:rPr>
                <w:rFonts w:ascii="宋体" w:eastAsia="宋体" w:hAnsi="宋体" w:cs="宋体"/>
                <w:sz w:val="16"/>
                <w:szCs w:val="16"/>
              </w:rPr>
            </w:pPr>
            <w:r>
              <w:rPr>
                <w:rFonts w:ascii="宋体" w:eastAsia="宋体" w:hAnsi="宋体" w:cs="宋体"/>
                <w:spacing w:val="3"/>
                <w:sz w:val="16"/>
                <w:szCs w:val="16"/>
              </w:rPr>
              <w:t>尿、汗、脱屑</w:t>
            </w:r>
            <w:r>
              <w:rPr>
                <w:rFonts w:ascii="宋体" w:eastAsia="宋体" w:hAnsi="宋体" w:cs="宋体"/>
                <w:spacing w:val="17"/>
                <w:sz w:val="16"/>
                <w:szCs w:val="16"/>
              </w:rPr>
              <w:t xml:space="preserve">   </w:t>
            </w:r>
            <w:r>
              <w:rPr>
                <w:rFonts w:ascii="宋体" w:eastAsia="宋体" w:hAnsi="宋体" w:cs="宋体"/>
                <w:spacing w:val="3"/>
                <w:sz w:val="16"/>
                <w:szCs w:val="16"/>
              </w:rPr>
              <w:t>月经期</w:t>
            </w:r>
          </w:p>
        </w:tc>
        <w:tc>
          <w:tcPr>
            <w:tcW w:w="2012" w:type="dxa"/>
            <w:tcBorders>
              <w:top w:val="single" w:sz="4" w:space="0" w:color="000000"/>
              <w:bottom w:val="single" w:sz="4" w:space="0" w:color="000000"/>
            </w:tcBorders>
          </w:tcPr>
          <w:p w:rsidR="00EA40A3" w:rsidRDefault="00E86C16">
            <w:pPr>
              <w:spacing w:before="72" w:line="220" w:lineRule="auto"/>
              <w:ind w:left="235"/>
              <w:rPr>
                <w:rFonts w:ascii="宋体" w:eastAsia="宋体" w:hAnsi="宋体" w:cs="宋体"/>
                <w:sz w:val="16"/>
                <w:szCs w:val="16"/>
              </w:rPr>
            </w:pPr>
            <w:r>
              <w:rPr>
                <w:rFonts w:ascii="宋体" w:eastAsia="宋体" w:hAnsi="宋体" w:cs="宋体"/>
                <w:spacing w:val="-2"/>
                <w:sz w:val="16"/>
                <w:szCs w:val="16"/>
              </w:rPr>
              <w:t>生长期</w:t>
            </w:r>
            <w:r>
              <w:rPr>
                <w:rFonts w:ascii="宋体" w:eastAsia="宋体" w:hAnsi="宋体" w:cs="宋体"/>
                <w:spacing w:val="16"/>
                <w:sz w:val="16"/>
                <w:szCs w:val="16"/>
              </w:rPr>
              <w:t xml:space="preserve">    </w:t>
            </w:r>
            <w:r>
              <w:rPr>
                <w:rFonts w:ascii="宋体" w:eastAsia="宋体" w:hAnsi="宋体" w:cs="宋体"/>
                <w:spacing w:val="-2"/>
                <w:sz w:val="16"/>
                <w:szCs w:val="16"/>
              </w:rPr>
              <w:t>妊娠期</w:t>
            </w:r>
          </w:p>
        </w:tc>
        <w:tc>
          <w:tcPr>
            <w:tcW w:w="1243" w:type="dxa"/>
            <w:tcBorders>
              <w:top w:val="single" w:sz="4" w:space="0" w:color="000000"/>
              <w:bottom w:val="single" w:sz="4" w:space="0" w:color="000000"/>
            </w:tcBorders>
          </w:tcPr>
          <w:p w:rsidR="00EA40A3" w:rsidRDefault="00E86C16">
            <w:pPr>
              <w:spacing w:before="116" w:line="212" w:lineRule="auto"/>
              <w:ind w:left="452"/>
              <w:rPr>
                <w:rFonts w:ascii="宋体" w:eastAsia="宋体" w:hAnsi="宋体" w:cs="宋体"/>
                <w:sz w:val="16"/>
                <w:szCs w:val="16"/>
              </w:rPr>
            </w:pPr>
            <w:r>
              <w:rPr>
                <w:rFonts w:ascii="宋体" w:eastAsia="宋体" w:hAnsi="宋体" w:cs="宋体"/>
                <w:spacing w:val="-3"/>
                <w:sz w:val="16"/>
                <w:szCs w:val="16"/>
              </w:rPr>
              <w:t>总量</w:t>
            </w:r>
          </w:p>
        </w:tc>
      </w:tr>
    </w:tbl>
    <w:p w:rsidR="00EA40A3" w:rsidRDefault="00EA40A3">
      <w:pPr>
        <w:spacing w:line="81" w:lineRule="exact"/>
      </w:pPr>
    </w:p>
    <w:tbl>
      <w:tblPr>
        <w:tblStyle w:val="TableNormal"/>
        <w:tblW w:w="6742" w:type="dxa"/>
        <w:tblInd w:w="28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798"/>
        <w:gridCol w:w="1018"/>
        <w:gridCol w:w="926"/>
      </w:tblGrid>
      <w:tr w:rsidR="00EA40A3">
        <w:trPr>
          <w:trHeight w:val="211"/>
        </w:trPr>
        <w:tc>
          <w:tcPr>
            <w:tcW w:w="4798" w:type="dxa"/>
          </w:tcPr>
          <w:p w:rsidR="00EA40A3" w:rsidRDefault="00E86C16">
            <w:pPr>
              <w:spacing w:line="219" w:lineRule="auto"/>
              <w:ind w:left="170"/>
              <w:rPr>
                <w:rFonts w:ascii="宋体" w:eastAsia="宋体" w:hAnsi="宋体" w:cs="宋体"/>
                <w:sz w:val="16"/>
                <w:szCs w:val="16"/>
              </w:rPr>
            </w:pPr>
            <w:r>
              <w:rPr>
                <w:rFonts w:ascii="宋体" w:eastAsia="宋体" w:hAnsi="宋体" w:cs="宋体"/>
                <w:position w:val="1"/>
                <w:sz w:val="16"/>
                <w:szCs w:val="16"/>
              </w:rPr>
              <w:t>成年男</w:t>
            </w:r>
            <w:r>
              <w:rPr>
                <w:rFonts w:ascii="宋体" w:eastAsia="宋体" w:hAnsi="宋体" w:cs="宋体"/>
                <w:spacing w:val="3"/>
                <w:position w:val="1"/>
                <w:sz w:val="16"/>
                <w:szCs w:val="16"/>
              </w:rPr>
              <w:t xml:space="preserve">      </w:t>
            </w:r>
            <w:r>
              <w:rPr>
                <w:rFonts w:ascii="宋体" w:eastAsia="宋体" w:hAnsi="宋体" w:cs="宋体"/>
                <w:position w:val="-1"/>
                <w:sz w:val="16"/>
                <w:szCs w:val="16"/>
              </w:rPr>
              <w:t>0.5</w:t>
            </w:r>
            <w:r>
              <w:rPr>
                <w:rFonts w:ascii="宋体" w:eastAsia="宋体" w:hAnsi="宋体" w:cs="宋体"/>
                <w:spacing w:val="5"/>
                <w:position w:val="-1"/>
                <w:sz w:val="16"/>
                <w:szCs w:val="16"/>
              </w:rPr>
              <w:t xml:space="preserve">      </w:t>
            </w:r>
            <w:r>
              <w:rPr>
                <w:rFonts w:ascii="宋体" w:eastAsia="宋体" w:hAnsi="宋体" w:cs="宋体"/>
                <w:sz w:val="16"/>
                <w:szCs w:val="16"/>
              </w:rPr>
              <w:t>0.2～0.5</w:t>
            </w:r>
          </w:p>
        </w:tc>
        <w:tc>
          <w:tcPr>
            <w:tcW w:w="1018" w:type="dxa"/>
          </w:tcPr>
          <w:p w:rsidR="00EA40A3" w:rsidRDefault="00EA40A3">
            <w:pPr>
              <w:spacing w:line="211" w:lineRule="exact"/>
              <w:rPr>
                <w:sz w:val="18"/>
              </w:rPr>
            </w:pPr>
          </w:p>
        </w:tc>
        <w:tc>
          <w:tcPr>
            <w:tcW w:w="926" w:type="dxa"/>
          </w:tcPr>
          <w:p w:rsidR="00EA40A3" w:rsidRDefault="00E86C16">
            <w:pPr>
              <w:spacing w:before="21" w:line="192" w:lineRule="auto"/>
              <w:ind w:left="294"/>
              <w:rPr>
                <w:rFonts w:ascii="宋体" w:eastAsia="宋体" w:hAnsi="宋体" w:cs="宋体"/>
                <w:sz w:val="15"/>
                <w:szCs w:val="15"/>
              </w:rPr>
            </w:pPr>
            <w:r>
              <w:rPr>
                <w:rFonts w:ascii="宋体" w:eastAsia="宋体" w:hAnsi="宋体" w:cs="宋体"/>
                <w:spacing w:val="4"/>
                <w:sz w:val="15"/>
                <w:szCs w:val="15"/>
              </w:rPr>
              <w:t>0.7～1.0</w:t>
            </w:r>
          </w:p>
        </w:tc>
      </w:tr>
      <w:tr w:rsidR="00EA40A3">
        <w:trPr>
          <w:trHeight w:val="250"/>
        </w:trPr>
        <w:tc>
          <w:tcPr>
            <w:tcW w:w="4798" w:type="dxa"/>
          </w:tcPr>
          <w:p w:rsidR="00EA40A3" w:rsidRDefault="00E86C16">
            <w:pPr>
              <w:spacing w:before="49" w:line="219" w:lineRule="auto"/>
              <w:ind w:left="170"/>
              <w:rPr>
                <w:rFonts w:ascii="宋体" w:eastAsia="宋体" w:hAnsi="宋体" w:cs="宋体"/>
                <w:sz w:val="16"/>
                <w:szCs w:val="16"/>
              </w:rPr>
            </w:pPr>
            <w:r>
              <w:rPr>
                <w:rFonts w:ascii="宋体" w:eastAsia="宋体" w:hAnsi="宋体" w:cs="宋体"/>
                <w:spacing w:val="-2"/>
                <w:position w:val="1"/>
                <w:sz w:val="16"/>
                <w:szCs w:val="16"/>
              </w:rPr>
              <w:t>成年女</w:t>
            </w:r>
            <w:r>
              <w:rPr>
                <w:rFonts w:ascii="宋体" w:eastAsia="宋体" w:hAnsi="宋体" w:cs="宋体"/>
                <w:spacing w:val="7"/>
                <w:position w:val="1"/>
                <w:sz w:val="16"/>
                <w:szCs w:val="16"/>
              </w:rPr>
              <w:t xml:space="preserve">      </w:t>
            </w:r>
            <w:r>
              <w:rPr>
                <w:rFonts w:ascii="宋体" w:eastAsia="宋体" w:hAnsi="宋体" w:cs="宋体"/>
                <w:spacing w:val="-2"/>
                <w:sz w:val="16"/>
                <w:szCs w:val="16"/>
              </w:rPr>
              <w:t>0.5</w:t>
            </w:r>
            <w:r>
              <w:rPr>
                <w:rFonts w:ascii="宋体" w:eastAsia="宋体" w:hAnsi="宋体" w:cs="宋体"/>
                <w:spacing w:val="6"/>
                <w:sz w:val="16"/>
                <w:szCs w:val="16"/>
              </w:rPr>
              <w:t xml:space="preserve">      </w:t>
            </w:r>
            <w:r>
              <w:rPr>
                <w:rFonts w:ascii="宋体" w:eastAsia="宋体" w:hAnsi="宋体" w:cs="宋体"/>
                <w:spacing w:val="-2"/>
                <w:sz w:val="16"/>
                <w:szCs w:val="16"/>
              </w:rPr>
              <w:t>0.2～0.5</w:t>
            </w:r>
            <w:r>
              <w:rPr>
                <w:rFonts w:ascii="宋体" w:eastAsia="宋体" w:hAnsi="宋体" w:cs="宋体"/>
                <w:spacing w:val="10"/>
                <w:sz w:val="16"/>
                <w:szCs w:val="16"/>
              </w:rPr>
              <w:t xml:space="preserve">     </w:t>
            </w:r>
            <w:r>
              <w:rPr>
                <w:rFonts w:ascii="宋体" w:eastAsia="宋体" w:hAnsi="宋体" w:cs="宋体"/>
                <w:spacing w:val="-2"/>
                <w:sz w:val="16"/>
                <w:szCs w:val="16"/>
              </w:rPr>
              <w:t>0.5～1.0</w:t>
            </w:r>
          </w:p>
        </w:tc>
        <w:tc>
          <w:tcPr>
            <w:tcW w:w="1018" w:type="dxa"/>
          </w:tcPr>
          <w:p w:rsidR="00EA40A3" w:rsidRDefault="00EA40A3"/>
        </w:tc>
        <w:tc>
          <w:tcPr>
            <w:tcW w:w="926" w:type="dxa"/>
          </w:tcPr>
          <w:p w:rsidR="00EA40A3" w:rsidRDefault="00E86C16">
            <w:pPr>
              <w:spacing w:before="100" w:line="173" w:lineRule="auto"/>
              <w:ind w:left="294"/>
              <w:rPr>
                <w:rFonts w:ascii="宋体" w:eastAsia="宋体" w:hAnsi="宋体" w:cs="宋体"/>
                <w:sz w:val="16"/>
                <w:szCs w:val="16"/>
              </w:rPr>
            </w:pPr>
            <w:r>
              <w:rPr>
                <w:rFonts w:ascii="宋体" w:eastAsia="宋体" w:hAnsi="宋体" w:cs="宋体"/>
                <w:spacing w:val="-3"/>
                <w:sz w:val="16"/>
                <w:szCs w:val="16"/>
              </w:rPr>
              <w:t>1.2～2.0</w:t>
            </w:r>
          </w:p>
        </w:tc>
      </w:tr>
      <w:tr w:rsidR="00EA40A3">
        <w:trPr>
          <w:trHeight w:val="305"/>
        </w:trPr>
        <w:tc>
          <w:tcPr>
            <w:tcW w:w="4798" w:type="dxa"/>
          </w:tcPr>
          <w:p w:rsidR="00EA40A3" w:rsidRDefault="00E86C16">
            <w:pPr>
              <w:spacing w:before="40" w:line="218" w:lineRule="auto"/>
              <w:ind w:left="170"/>
              <w:rPr>
                <w:rFonts w:ascii="宋体" w:eastAsia="宋体" w:hAnsi="宋体" w:cs="宋体"/>
                <w:sz w:val="16"/>
                <w:szCs w:val="16"/>
              </w:rPr>
            </w:pPr>
            <w:r>
              <w:rPr>
                <w:rFonts w:ascii="宋体" w:eastAsia="宋体" w:hAnsi="宋体" w:cs="宋体"/>
                <w:spacing w:val="-1"/>
                <w:position w:val="2"/>
                <w:sz w:val="16"/>
                <w:szCs w:val="16"/>
              </w:rPr>
              <w:t>孕妇</w:t>
            </w:r>
            <w:r>
              <w:rPr>
                <w:rFonts w:ascii="宋体" w:eastAsia="宋体" w:hAnsi="宋体" w:cs="宋体"/>
                <w:spacing w:val="3"/>
                <w:position w:val="2"/>
                <w:sz w:val="16"/>
                <w:szCs w:val="16"/>
              </w:rPr>
              <w:t xml:space="preserve">        </w:t>
            </w:r>
            <w:r>
              <w:rPr>
                <w:rFonts w:ascii="宋体" w:eastAsia="宋体" w:hAnsi="宋体" w:cs="宋体"/>
                <w:spacing w:val="-1"/>
                <w:position w:val="-1"/>
                <w:sz w:val="16"/>
                <w:szCs w:val="16"/>
              </w:rPr>
              <w:t>0.5</w:t>
            </w:r>
            <w:r>
              <w:rPr>
                <w:rFonts w:ascii="宋体" w:eastAsia="宋体" w:hAnsi="宋体" w:cs="宋体"/>
                <w:spacing w:val="4"/>
                <w:position w:val="-1"/>
                <w:sz w:val="16"/>
                <w:szCs w:val="16"/>
              </w:rPr>
              <w:t xml:space="preserve">      </w:t>
            </w:r>
            <w:r>
              <w:rPr>
                <w:rFonts w:ascii="宋体" w:eastAsia="宋体" w:hAnsi="宋体" w:cs="宋体"/>
                <w:spacing w:val="-1"/>
                <w:position w:val="-1"/>
                <w:sz w:val="16"/>
                <w:szCs w:val="16"/>
              </w:rPr>
              <w:t>0.2～0.5</w:t>
            </w:r>
          </w:p>
        </w:tc>
        <w:tc>
          <w:tcPr>
            <w:tcW w:w="1018" w:type="dxa"/>
          </w:tcPr>
          <w:p w:rsidR="00EA40A3" w:rsidRDefault="00E86C16">
            <w:pPr>
              <w:spacing w:before="189" w:line="116" w:lineRule="exact"/>
              <w:ind w:left="101"/>
              <w:rPr>
                <w:rFonts w:ascii="宋体" w:eastAsia="宋体" w:hAnsi="宋体" w:cs="宋体"/>
                <w:sz w:val="16"/>
                <w:szCs w:val="16"/>
              </w:rPr>
            </w:pPr>
            <w:r>
              <w:rPr>
                <w:rFonts w:ascii="宋体" w:eastAsia="宋体" w:hAnsi="宋体" w:cs="宋体"/>
                <w:spacing w:val="-3"/>
                <w:position w:val="-2"/>
                <w:sz w:val="16"/>
                <w:szCs w:val="16"/>
              </w:rPr>
              <w:t>1.0～2.0</w:t>
            </w:r>
          </w:p>
        </w:tc>
        <w:tc>
          <w:tcPr>
            <w:tcW w:w="926" w:type="dxa"/>
          </w:tcPr>
          <w:p w:rsidR="00EA40A3" w:rsidRDefault="00E86C16">
            <w:pPr>
              <w:spacing w:before="109" w:line="184" w:lineRule="auto"/>
              <w:ind w:left="294"/>
              <w:rPr>
                <w:rFonts w:ascii="宋体" w:eastAsia="宋体" w:hAnsi="宋体" w:cs="宋体"/>
                <w:sz w:val="16"/>
                <w:szCs w:val="16"/>
              </w:rPr>
            </w:pPr>
            <w:r>
              <w:rPr>
                <w:rFonts w:ascii="宋体" w:eastAsia="宋体" w:hAnsi="宋体" w:cs="宋体"/>
                <w:spacing w:val="-3"/>
                <w:sz w:val="16"/>
                <w:szCs w:val="16"/>
              </w:rPr>
              <w:t>1.7～3.0</w:t>
            </w:r>
          </w:p>
        </w:tc>
      </w:tr>
      <w:tr w:rsidR="00EA40A3">
        <w:trPr>
          <w:trHeight w:val="215"/>
        </w:trPr>
        <w:tc>
          <w:tcPr>
            <w:tcW w:w="4798" w:type="dxa"/>
          </w:tcPr>
          <w:p w:rsidR="00EA40A3" w:rsidRDefault="00E86C16">
            <w:pPr>
              <w:spacing w:before="4" w:line="219" w:lineRule="auto"/>
              <w:ind w:left="170"/>
              <w:rPr>
                <w:rFonts w:ascii="宋体" w:eastAsia="宋体" w:hAnsi="宋体" w:cs="宋体"/>
                <w:sz w:val="16"/>
                <w:szCs w:val="16"/>
              </w:rPr>
            </w:pPr>
            <w:r>
              <w:rPr>
                <w:rFonts w:ascii="宋体" w:eastAsia="宋体" w:hAnsi="宋体" w:cs="宋体"/>
                <w:spacing w:val="-2"/>
                <w:position w:val="1"/>
                <w:sz w:val="16"/>
                <w:szCs w:val="16"/>
              </w:rPr>
              <w:t>儿童</w:t>
            </w:r>
            <w:r>
              <w:rPr>
                <w:rFonts w:ascii="宋体" w:eastAsia="宋体" w:hAnsi="宋体" w:cs="宋体"/>
                <w:spacing w:val="3"/>
                <w:position w:val="1"/>
                <w:sz w:val="16"/>
                <w:szCs w:val="16"/>
              </w:rPr>
              <w:t xml:space="preserve">        </w:t>
            </w:r>
            <w:r>
              <w:rPr>
                <w:rFonts w:ascii="宋体" w:eastAsia="宋体" w:hAnsi="宋体" w:cs="宋体"/>
                <w:spacing w:val="-2"/>
                <w:sz w:val="16"/>
                <w:szCs w:val="16"/>
              </w:rPr>
              <w:t>0.5</w:t>
            </w:r>
            <w:r>
              <w:rPr>
                <w:rFonts w:ascii="宋体" w:eastAsia="宋体" w:hAnsi="宋体" w:cs="宋体"/>
                <w:spacing w:val="2"/>
                <w:sz w:val="16"/>
                <w:szCs w:val="16"/>
              </w:rPr>
              <w:t xml:space="preserve">      </w:t>
            </w:r>
            <w:r>
              <w:rPr>
                <w:rFonts w:ascii="宋体" w:eastAsia="宋体" w:hAnsi="宋体" w:cs="宋体"/>
                <w:spacing w:val="-2"/>
                <w:sz w:val="16"/>
                <w:szCs w:val="16"/>
              </w:rPr>
              <w:t>0.2～0.5</w:t>
            </w:r>
            <w:r>
              <w:rPr>
                <w:rFonts w:ascii="宋体" w:eastAsia="宋体" w:hAnsi="宋体" w:cs="宋体"/>
                <w:spacing w:val="1"/>
                <w:sz w:val="16"/>
                <w:szCs w:val="16"/>
              </w:rPr>
              <w:t xml:space="preserve">                    </w:t>
            </w:r>
            <w:r>
              <w:rPr>
                <w:rFonts w:ascii="宋体" w:eastAsia="宋体" w:hAnsi="宋体" w:cs="宋体"/>
                <w:spacing w:val="-2"/>
                <w:position w:val="-1"/>
                <w:sz w:val="16"/>
                <w:szCs w:val="16"/>
              </w:rPr>
              <w:t>0.6</w:t>
            </w:r>
          </w:p>
        </w:tc>
        <w:tc>
          <w:tcPr>
            <w:tcW w:w="1018" w:type="dxa"/>
          </w:tcPr>
          <w:p w:rsidR="00EA40A3" w:rsidRDefault="00EA40A3">
            <w:pPr>
              <w:spacing w:line="215" w:lineRule="exact"/>
              <w:rPr>
                <w:sz w:val="18"/>
              </w:rPr>
            </w:pPr>
          </w:p>
        </w:tc>
        <w:tc>
          <w:tcPr>
            <w:tcW w:w="926" w:type="dxa"/>
          </w:tcPr>
          <w:p w:rsidR="00EA40A3" w:rsidRDefault="00E86C16">
            <w:pPr>
              <w:spacing w:before="65" w:line="173" w:lineRule="auto"/>
              <w:ind w:left="294"/>
              <w:rPr>
                <w:rFonts w:ascii="宋体" w:eastAsia="宋体" w:hAnsi="宋体" w:cs="宋体"/>
                <w:sz w:val="16"/>
                <w:szCs w:val="16"/>
              </w:rPr>
            </w:pPr>
            <w:r>
              <w:rPr>
                <w:rFonts w:ascii="宋体" w:eastAsia="宋体" w:hAnsi="宋体" w:cs="宋体"/>
                <w:spacing w:val="-3"/>
                <w:sz w:val="16"/>
                <w:szCs w:val="16"/>
              </w:rPr>
              <w:t>1.3～1.6</w:t>
            </w:r>
          </w:p>
        </w:tc>
      </w:tr>
      <w:tr w:rsidR="00EA40A3">
        <w:trPr>
          <w:trHeight w:val="270"/>
        </w:trPr>
        <w:tc>
          <w:tcPr>
            <w:tcW w:w="4798" w:type="dxa"/>
          </w:tcPr>
          <w:p w:rsidR="00EA40A3" w:rsidRDefault="00E86C16">
            <w:pPr>
              <w:spacing w:before="38" w:line="220" w:lineRule="auto"/>
              <w:rPr>
                <w:rFonts w:ascii="宋体" w:eastAsia="宋体" w:hAnsi="宋体" w:cs="宋体"/>
                <w:sz w:val="16"/>
                <w:szCs w:val="16"/>
              </w:rPr>
            </w:pPr>
            <w:r>
              <w:rPr>
                <w:rFonts w:ascii="宋体" w:eastAsia="宋体" w:hAnsi="宋体" w:cs="宋体"/>
                <w:spacing w:val="-2"/>
                <w:position w:val="2"/>
                <w:sz w:val="16"/>
                <w:szCs w:val="16"/>
              </w:rPr>
              <w:t>女青少年</w:t>
            </w:r>
            <w:r>
              <w:rPr>
                <w:rFonts w:ascii="宋体" w:eastAsia="宋体" w:hAnsi="宋体" w:cs="宋体"/>
                <w:spacing w:val="6"/>
                <w:position w:val="2"/>
                <w:sz w:val="16"/>
                <w:szCs w:val="16"/>
              </w:rPr>
              <w:t xml:space="preserve">      </w:t>
            </w:r>
            <w:r>
              <w:rPr>
                <w:rFonts w:ascii="宋体" w:eastAsia="宋体" w:hAnsi="宋体" w:cs="宋体"/>
                <w:spacing w:val="-2"/>
                <w:position w:val="-1"/>
                <w:sz w:val="16"/>
                <w:szCs w:val="16"/>
              </w:rPr>
              <w:t>0.5</w:t>
            </w:r>
            <w:r>
              <w:rPr>
                <w:rFonts w:ascii="宋体" w:eastAsia="宋体" w:hAnsi="宋体" w:cs="宋体"/>
                <w:spacing w:val="5"/>
                <w:position w:val="-1"/>
                <w:sz w:val="16"/>
                <w:szCs w:val="16"/>
              </w:rPr>
              <w:t xml:space="preserve">      </w:t>
            </w:r>
            <w:r>
              <w:rPr>
                <w:rFonts w:ascii="宋体" w:eastAsia="宋体" w:hAnsi="宋体" w:cs="宋体"/>
                <w:spacing w:val="-2"/>
                <w:sz w:val="16"/>
                <w:szCs w:val="16"/>
              </w:rPr>
              <w:t>0.2～0.5</w:t>
            </w:r>
            <w:r>
              <w:rPr>
                <w:rFonts w:ascii="宋体" w:eastAsia="宋体" w:hAnsi="宋体" w:cs="宋体"/>
                <w:spacing w:val="11"/>
                <w:sz w:val="16"/>
                <w:szCs w:val="16"/>
              </w:rPr>
              <w:t xml:space="preserve">     </w:t>
            </w:r>
            <w:r>
              <w:rPr>
                <w:rFonts w:ascii="宋体" w:eastAsia="宋体" w:hAnsi="宋体" w:cs="宋体"/>
                <w:spacing w:val="-2"/>
                <w:sz w:val="16"/>
                <w:szCs w:val="16"/>
              </w:rPr>
              <w:t>0.5～1.0</w:t>
            </w:r>
            <w:r>
              <w:rPr>
                <w:rFonts w:ascii="宋体" w:eastAsia="宋体" w:hAnsi="宋体" w:cs="宋体"/>
                <w:spacing w:val="6"/>
                <w:sz w:val="16"/>
                <w:szCs w:val="16"/>
              </w:rPr>
              <w:t xml:space="preserve">      </w:t>
            </w:r>
            <w:r>
              <w:rPr>
                <w:rFonts w:ascii="宋体" w:eastAsia="宋体" w:hAnsi="宋体" w:cs="宋体"/>
                <w:spacing w:val="-2"/>
                <w:position w:val="-1"/>
                <w:sz w:val="16"/>
                <w:szCs w:val="16"/>
              </w:rPr>
              <w:t>0.6</w:t>
            </w:r>
          </w:p>
        </w:tc>
        <w:tc>
          <w:tcPr>
            <w:tcW w:w="1018" w:type="dxa"/>
          </w:tcPr>
          <w:p w:rsidR="00EA40A3" w:rsidRDefault="00EA40A3"/>
        </w:tc>
        <w:tc>
          <w:tcPr>
            <w:tcW w:w="926" w:type="dxa"/>
          </w:tcPr>
          <w:p w:rsidR="00EA40A3" w:rsidRDefault="00E86C16">
            <w:pPr>
              <w:spacing w:before="109" w:line="184" w:lineRule="auto"/>
              <w:ind w:left="294"/>
              <w:rPr>
                <w:rFonts w:ascii="宋体" w:eastAsia="宋体" w:hAnsi="宋体" w:cs="宋体"/>
                <w:sz w:val="16"/>
                <w:szCs w:val="16"/>
              </w:rPr>
            </w:pPr>
            <w:r>
              <w:rPr>
                <w:rFonts w:ascii="宋体" w:eastAsia="宋体" w:hAnsi="宋体" w:cs="宋体"/>
                <w:spacing w:val="-3"/>
                <w:sz w:val="16"/>
                <w:szCs w:val="16"/>
              </w:rPr>
              <w:t>1.8～2.6</w:t>
            </w:r>
          </w:p>
        </w:tc>
      </w:tr>
      <w:tr w:rsidR="00EA40A3">
        <w:trPr>
          <w:trHeight w:val="208"/>
        </w:trPr>
        <w:tc>
          <w:tcPr>
            <w:tcW w:w="4798" w:type="dxa"/>
          </w:tcPr>
          <w:p w:rsidR="00EA40A3" w:rsidRDefault="00E86C16">
            <w:pPr>
              <w:spacing w:before="48" w:line="196" w:lineRule="auto"/>
              <w:ind w:left="60"/>
              <w:rPr>
                <w:rFonts w:ascii="宋体" w:eastAsia="宋体" w:hAnsi="宋体" w:cs="宋体"/>
                <w:sz w:val="15"/>
                <w:szCs w:val="15"/>
              </w:rPr>
            </w:pPr>
            <w:r>
              <w:rPr>
                <w:rFonts w:ascii="宋体" w:eastAsia="宋体" w:hAnsi="宋体" w:cs="宋体"/>
                <w:spacing w:val="6"/>
                <w:sz w:val="15"/>
                <w:szCs w:val="15"/>
              </w:rPr>
              <w:t>资料来源：葛可佑.2004.中国营养科学全书.北京：人民卫生出版社</w:t>
            </w:r>
          </w:p>
        </w:tc>
        <w:tc>
          <w:tcPr>
            <w:tcW w:w="1018" w:type="dxa"/>
          </w:tcPr>
          <w:p w:rsidR="00EA40A3" w:rsidRDefault="00EA40A3">
            <w:pPr>
              <w:spacing w:line="208" w:lineRule="exact"/>
              <w:rPr>
                <w:sz w:val="18"/>
              </w:rPr>
            </w:pPr>
          </w:p>
        </w:tc>
        <w:tc>
          <w:tcPr>
            <w:tcW w:w="926" w:type="dxa"/>
          </w:tcPr>
          <w:p w:rsidR="00EA40A3" w:rsidRDefault="00EA40A3">
            <w:pPr>
              <w:spacing w:line="208" w:lineRule="exact"/>
              <w:rPr>
                <w:sz w:val="18"/>
              </w:rPr>
            </w:pPr>
          </w:p>
        </w:tc>
      </w:tr>
    </w:tbl>
    <w:p w:rsidR="00EA40A3" w:rsidRDefault="00EA40A3">
      <w:pPr>
        <w:spacing w:line="361" w:lineRule="auto"/>
      </w:pPr>
    </w:p>
    <w:p w:rsidR="00EA40A3" w:rsidRDefault="00E86C16">
      <w:pPr>
        <w:spacing w:before="68" w:line="219" w:lineRule="auto"/>
        <w:ind w:left="69"/>
        <w:rPr>
          <w:rFonts w:ascii="宋体" w:eastAsia="宋体" w:hAnsi="宋体" w:cs="宋体"/>
        </w:rPr>
      </w:pPr>
      <w:r>
        <w:rPr>
          <w:rFonts w:ascii="宋体" w:eastAsia="宋体" w:hAnsi="宋体" w:cs="宋体"/>
          <w:spacing w:val="-7"/>
        </w:rPr>
        <w:t>铁广泛存在于各种食物中，但分布极不均衡，吸收率相差也极大，</w:t>
      </w:r>
      <w:r>
        <w:rPr>
          <w:rFonts w:ascii="宋体" w:eastAsia="宋体" w:hAnsi="宋体" w:cs="宋体"/>
          <w:spacing w:val="59"/>
        </w:rPr>
        <w:t xml:space="preserve"> </w:t>
      </w:r>
      <w:r>
        <w:rPr>
          <w:rFonts w:ascii="宋体" w:eastAsia="宋体" w:hAnsi="宋体" w:cs="宋体"/>
          <w:spacing w:val="-7"/>
        </w:rPr>
        <w:t>一般动物</w:t>
      </w:r>
    </w:p>
    <w:p w:rsidR="00EA40A3" w:rsidRDefault="00E86C16">
      <w:pPr>
        <w:spacing w:before="46"/>
        <w:ind w:left="69"/>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104</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1015" w:bottom="400" w:left="809" w:header="0" w:footer="0" w:gutter="0"/>
          <w:cols w:space="720"/>
        </w:sectPr>
      </w:pPr>
    </w:p>
    <w:p w:rsidR="00EA40A3" w:rsidRDefault="00EA40A3">
      <w:pPr>
        <w:spacing w:line="287" w:lineRule="auto"/>
      </w:pPr>
    </w:p>
    <w:p w:rsidR="00EA40A3" w:rsidRDefault="00EA40A3">
      <w:pPr>
        <w:spacing w:line="288" w:lineRule="auto"/>
      </w:pPr>
    </w:p>
    <w:p w:rsidR="00EA40A3" w:rsidRDefault="00E86C16">
      <w:pPr>
        <w:spacing w:before="69" w:line="255" w:lineRule="auto"/>
        <w:ind w:right="110"/>
        <w:jc w:val="both"/>
        <w:rPr>
          <w:rFonts w:ascii="宋体" w:eastAsia="宋体" w:hAnsi="宋体" w:cs="宋体"/>
        </w:rPr>
      </w:pPr>
      <w:r>
        <w:rPr>
          <w:rFonts w:ascii="宋体" w:eastAsia="宋体" w:hAnsi="宋体" w:cs="宋体"/>
          <w:spacing w:val="-4"/>
        </w:rPr>
        <w:t>性食物的含量和吸收率均较高。因此膳食中铁的良好来源，主要为动物肝脏、动</w:t>
      </w:r>
      <w:r>
        <w:rPr>
          <w:rFonts w:ascii="宋体" w:eastAsia="宋体" w:hAnsi="宋体" w:cs="宋体"/>
          <w:spacing w:val="13"/>
        </w:rPr>
        <w:t xml:space="preserve"> </w:t>
      </w:r>
      <w:r>
        <w:rPr>
          <w:rFonts w:ascii="宋体" w:eastAsia="宋体" w:hAnsi="宋体" w:cs="宋体"/>
          <w:spacing w:val="-3"/>
        </w:rPr>
        <w:t>物全血、畜禽肉类、鱼类。蔬菜中含铁量不高，油菜、苋菜、菠菜、韭菜等蔬菜</w:t>
      </w:r>
      <w:r>
        <w:rPr>
          <w:rFonts w:ascii="宋体" w:eastAsia="宋体" w:hAnsi="宋体" w:cs="宋体"/>
          <w:spacing w:val="13"/>
        </w:rPr>
        <w:t xml:space="preserve"> </w:t>
      </w:r>
      <w:r>
        <w:rPr>
          <w:rFonts w:ascii="宋体" w:eastAsia="宋体" w:hAnsi="宋体" w:cs="宋体"/>
          <w:spacing w:val="-3"/>
        </w:rPr>
        <w:t>中铁的利用率不高。常见食物中的铁含量见表4-9。</w:t>
      </w:r>
    </w:p>
    <w:p w:rsidR="00EA40A3" w:rsidRDefault="00EA40A3">
      <w:pPr>
        <w:spacing w:line="245" w:lineRule="auto"/>
      </w:pPr>
    </w:p>
    <w:p w:rsidR="00EA40A3" w:rsidRDefault="00E86C16">
      <w:pPr>
        <w:spacing w:before="68" w:line="221" w:lineRule="auto"/>
        <w:ind w:right="323"/>
        <w:jc w:val="right"/>
        <w:rPr>
          <w:rFonts w:ascii="宋体" w:eastAsia="宋体" w:hAnsi="宋体" w:cs="宋体"/>
        </w:rPr>
      </w:pPr>
      <w:r>
        <w:rPr>
          <w:rFonts w:ascii="黑体" w:eastAsia="黑体" w:hAnsi="黑体" w:cs="黑体"/>
          <w:b/>
          <w:bCs/>
          <w:spacing w:val="-18"/>
          <w:w w:val="96"/>
        </w:rPr>
        <w:t>表4-9</w:t>
      </w:r>
      <w:r>
        <w:rPr>
          <w:rFonts w:ascii="黑体" w:eastAsia="黑体" w:hAnsi="黑体" w:cs="黑体"/>
          <w:spacing w:val="66"/>
        </w:rPr>
        <w:t xml:space="preserve"> </w:t>
      </w:r>
      <w:r>
        <w:rPr>
          <w:rFonts w:ascii="黑体" w:eastAsia="黑体" w:hAnsi="黑体" w:cs="黑体"/>
          <w:b/>
          <w:bCs/>
          <w:spacing w:val="-18"/>
          <w:w w:val="96"/>
        </w:rPr>
        <w:t>常见食物中铁含量</w:t>
      </w:r>
      <w:r>
        <w:rPr>
          <w:rFonts w:ascii="黑体" w:eastAsia="黑体" w:hAnsi="黑体" w:cs="黑体"/>
          <w:spacing w:val="1"/>
        </w:rPr>
        <w:t xml:space="preserve">        </w:t>
      </w:r>
      <w:r>
        <w:rPr>
          <w:rFonts w:ascii="宋体" w:eastAsia="宋体" w:hAnsi="宋体" w:cs="宋体"/>
          <w:spacing w:val="-18"/>
          <w:w w:val="96"/>
        </w:rPr>
        <w:t>(单位：</w:t>
      </w:r>
      <w:r>
        <w:rPr>
          <w:rFonts w:ascii="宋体" w:eastAsia="宋体" w:hAnsi="宋体" w:cs="宋体"/>
          <w:spacing w:val="-45"/>
        </w:rPr>
        <w:t xml:space="preserve"> </w:t>
      </w:r>
      <w:r>
        <w:rPr>
          <w:rFonts w:ascii="宋体" w:eastAsia="宋体" w:hAnsi="宋体" w:cs="宋体"/>
          <w:spacing w:val="-18"/>
          <w:w w:val="96"/>
        </w:rPr>
        <w:t>mg/100g)</w:t>
      </w:r>
    </w:p>
    <w:p w:rsidR="00EA40A3" w:rsidRDefault="00EA40A3">
      <w:pPr>
        <w:spacing w:line="70" w:lineRule="exact"/>
      </w:pPr>
    </w:p>
    <w:tbl>
      <w:tblPr>
        <w:tblStyle w:val="TableNormal"/>
        <w:tblW w:w="7249" w:type="dxa"/>
        <w:tblInd w:w="11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75"/>
        <w:gridCol w:w="1075"/>
        <w:gridCol w:w="1330"/>
        <w:gridCol w:w="1040"/>
        <w:gridCol w:w="1278"/>
        <w:gridCol w:w="1251"/>
      </w:tblGrid>
      <w:tr w:rsidR="00EA40A3">
        <w:trPr>
          <w:trHeight w:val="304"/>
        </w:trPr>
        <w:tc>
          <w:tcPr>
            <w:tcW w:w="1275" w:type="dxa"/>
            <w:tcBorders>
              <w:top w:val="single" w:sz="4" w:space="0" w:color="000000"/>
              <w:bottom w:val="single" w:sz="4" w:space="0" w:color="000000"/>
            </w:tcBorders>
          </w:tcPr>
          <w:p w:rsidR="00EA40A3" w:rsidRDefault="00E86C16">
            <w:pPr>
              <w:spacing w:before="72" w:line="220" w:lineRule="auto"/>
              <w:ind w:left="450"/>
              <w:rPr>
                <w:rFonts w:ascii="宋体" w:eastAsia="宋体" w:hAnsi="宋体" w:cs="宋体"/>
                <w:sz w:val="16"/>
                <w:szCs w:val="16"/>
              </w:rPr>
            </w:pPr>
            <w:r>
              <w:rPr>
                <w:rFonts w:ascii="宋体" w:eastAsia="宋体" w:hAnsi="宋体" w:cs="宋体"/>
                <w:spacing w:val="-2"/>
                <w:sz w:val="16"/>
                <w:szCs w:val="16"/>
              </w:rPr>
              <w:t>食物</w:t>
            </w:r>
          </w:p>
        </w:tc>
        <w:tc>
          <w:tcPr>
            <w:tcW w:w="1075" w:type="dxa"/>
            <w:tcBorders>
              <w:top w:val="single" w:sz="4" w:space="0" w:color="000000"/>
              <w:bottom w:val="single" w:sz="4" w:space="0" w:color="000000"/>
              <w:right w:val="single" w:sz="4" w:space="0" w:color="000000"/>
            </w:tcBorders>
          </w:tcPr>
          <w:p w:rsidR="00EA40A3" w:rsidRDefault="00E86C16">
            <w:pPr>
              <w:spacing w:before="71" w:line="219" w:lineRule="auto"/>
              <w:ind w:left="305"/>
              <w:rPr>
                <w:rFonts w:ascii="宋体" w:eastAsia="宋体" w:hAnsi="宋体" w:cs="宋体"/>
                <w:sz w:val="16"/>
                <w:szCs w:val="16"/>
              </w:rPr>
            </w:pPr>
            <w:r>
              <w:rPr>
                <w:rFonts w:ascii="宋体" w:eastAsia="宋体" w:hAnsi="宋体" w:cs="宋体"/>
                <w:spacing w:val="-2"/>
                <w:sz w:val="16"/>
                <w:szCs w:val="16"/>
              </w:rPr>
              <w:t>含铁量</w:t>
            </w:r>
          </w:p>
        </w:tc>
        <w:tc>
          <w:tcPr>
            <w:tcW w:w="1330" w:type="dxa"/>
            <w:tcBorders>
              <w:top w:val="single" w:sz="4" w:space="0" w:color="000000"/>
              <w:left w:val="single" w:sz="4" w:space="0" w:color="000000"/>
              <w:bottom w:val="single" w:sz="4" w:space="0" w:color="000000"/>
            </w:tcBorders>
          </w:tcPr>
          <w:p w:rsidR="00EA40A3" w:rsidRDefault="00E86C16">
            <w:pPr>
              <w:spacing w:before="72" w:line="220" w:lineRule="auto"/>
              <w:ind w:left="465"/>
              <w:rPr>
                <w:rFonts w:ascii="宋体" w:eastAsia="宋体" w:hAnsi="宋体" w:cs="宋体"/>
                <w:sz w:val="16"/>
                <w:szCs w:val="16"/>
              </w:rPr>
            </w:pPr>
            <w:r>
              <w:rPr>
                <w:rFonts w:ascii="宋体" w:eastAsia="宋体" w:hAnsi="宋体" w:cs="宋体"/>
                <w:spacing w:val="-2"/>
                <w:sz w:val="16"/>
                <w:szCs w:val="16"/>
              </w:rPr>
              <w:t>食物</w:t>
            </w:r>
          </w:p>
        </w:tc>
        <w:tc>
          <w:tcPr>
            <w:tcW w:w="1040" w:type="dxa"/>
            <w:tcBorders>
              <w:top w:val="single" w:sz="4" w:space="0" w:color="000000"/>
              <w:bottom w:val="single" w:sz="4" w:space="0" w:color="000000"/>
              <w:right w:val="single" w:sz="4" w:space="0" w:color="000000"/>
            </w:tcBorders>
          </w:tcPr>
          <w:p w:rsidR="00EA40A3" w:rsidRDefault="00E86C16">
            <w:pPr>
              <w:spacing w:before="71" w:line="219" w:lineRule="auto"/>
              <w:ind w:left="270"/>
              <w:rPr>
                <w:rFonts w:ascii="宋体" w:eastAsia="宋体" w:hAnsi="宋体" w:cs="宋体"/>
                <w:sz w:val="16"/>
                <w:szCs w:val="16"/>
              </w:rPr>
            </w:pPr>
            <w:r>
              <w:rPr>
                <w:rFonts w:ascii="宋体" w:eastAsia="宋体" w:hAnsi="宋体" w:cs="宋体"/>
                <w:spacing w:val="-2"/>
                <w:sz w:val="16"/>
                <w:szCs w:val="16"/>
              </w:rPr>
              <w:t>含铁量</w:t>
            </w:r>
          </w:p>
        </w:tc>
        <w:tc>
          <w:tcPr>
            <w:tcW w:w="1278" w:type="dxa"/>
            <w:tcBorders>
              <w:top w:val="single" w:sz="4" w:space="0" w:color="000000"/>
              <w:left w:val="single" w:sz="4" w:space="0" w:color="000000"/>
              <w:bottom w:val="single" w:sz="4" w:space="0" w:color="000000"/>
            </w:tcBorders>
          </w:tcPr>
          <w:p w:rsidR="00EA40A3" w:rsidRDefault="00E86C16">
            <w:pPr>
              <w:spacing w:before="61" w:line="220" w:lineRule="auto"/>
              <w:ind w:left="405"/>
              <w:rPr>
                <w:rFonts w:ascii="宋体" w:eastAsia="宋体" w:hAnsi="宋体" w:cs="宋体"/>
                <w:sz w:val="16"/>
                <w:szCs w:val="16"/>
              </w:rPr>
            </w:pPr>
            <w:r>
              <w:rPr>
                <w:rFonts w:ascii="宋体" w:eastAsia="宋体" w:hAnsi="宋体" w:cs="宋体"/>
                <w:spacing w:val="-2"/>
                <w:sz w:val="16"/>
                <w:szCs w:val="16"/>
              </w:rPr>
              <w:t>食物</w:t>
            </w:r>
          </w:p>
        </w:tc>
        <w:tc>
          <w:tcPr>
            <w:tcW w:w="1251" w:type="dxa"/>
            <w:tcBorders>
              <w:top w:val="single" w:sz="4" w:space="0" w:color="000000"/>
              <w:bottom w:val="single" w:sz="4" w:space="0" w:color="000000"/>
            </w:tcBorders>
          </w:tcPr>
          <w:p w:rsidR="00EA40A3" w:rsidRDefault="00E86C16">
            <w:pPr>
              <w:spacing w:before="61" w:line="219" w:lineRule="auto"/>
              <w:ind w:left="401"/>
              <w:rPr>
                <w:rFonts w:ascii="宋体" w:eastAsia="宋体" w:hAnsi="宋体" w:cs="宋体"/>
                <w:sz w:val="16"/>
                <w:szCs w:val="16"/>
              </w:rPr>
            </w:pPr>
            <w:r>
              <w:rPr>
                <w:rFonts w:ascii="宋体" w:eastAsia="宋体" w:hAnsi="宋体" w:cs="宋体"/>
                <w:spacing w:val="-2"/>
                <w:sz w:val="16"/>
                <w:szCs w:val="16"/>
              </w:rPr>
              <w:t>含铁量</w:t>
            </w:r>
          </w:p>
        </w:tc>
      </w:tr>
      <w:tr w:rsidR="00EA40A3">
        <w:trPr>
          <w:trHeight w:val="254"/>
        </w:trPr>
        <w:tc>
          <w:tcPr>
            <w:tcW w:w="1275" w:type="dxa"/>
            <w:tcBorders>
              <w:top w:val="single" w:sz="4" w:space="0" w:color="000000"/>
            </w:tcBorders>
          </w:tcPr>
          <w:p w:rsidR="00EA40A3" w:rsidRDefault="00E86C16">
            <w:pPr>
              <w:spacing w:before="37" w:line="219" w:lineRule="auto"/>
              <w:ind w:left="450"/>
              <w:rPr>
                <w:rFonts w:ascii="宋体" w:eastAsia="宋体" w:hAnsi="宋体" w:cs="宋体"/>
                <w:sz w:val="16"/>
                <w:szCs w:val="16"/>
              </w:rPr>
            </w:pPr>
            <w:r>
              <w:rPr>
                <w:rFonts w:ascii="宋体" w:eastAsia="宋体" w:hAnsi="宋体" w:cs="宋体"/>
                <w:spacing w:val="-2"/>
                <w:sz w:val="16"/>
                <w:szCs w:val="16"/>
              </w:rPr>
              <w:t>稻米</w:t>
            </w:r>
          </w:p>
        </w:tc>
        <w:tc>
          <w:tcPr>
            <w:tcW w:w="1075" w:type="dxa"/>
            <w:tcBorders>
              <w:top w:val="single" w:sz="4" w:space="0" w:color="000000"/>
              <w:right w:val="single" w:sz="4" w:space="0" w:color="000000"/>
            </w:tcBorders>
          </w:tcPr>
          <w:p w:rsidR="00EA40A3" w:rsidRDefault="00E86C16">
            <w:pPr>
              <w:spacing w:before="88" w:line="183" w:lineRule="auto"/>
              <w:ind w:left="415"/>
              <w:rPr>
                <w:rFonts w:ascii="宋体" w:eastAsia="宋体" w:hAnsi="宋体" w:cs="宋体"/>
                <w:sz w:val="16"/>
                <w:szCs w:val="16"/>
              </w:rPr>
            </w:pPr>
            <w:r>
              <w:rPr>
                <w:rFonts w:ascii="宋体" w:eastAsia="宋体" w:hAnsi="宋体" w:cs="宋体"/>
                <w:spacing w:val="-2"/>
                <w:sz w:val="16"/>
                <w:szCs w:val="16"/>
              </w:rPr>
              <w:t>2.3</w:t>
            </w:r>
          </w:p>
        </w:tc>
        <w:tc>
          <w:tcPr>
            <w:tcW w:w="1330" w:type="dxa"/>
            <w:tcBorders>
              <w:top w:val="single" w:sz="4" w:space="0" w:color="000000"/>
              <w:left w:val="single" w:sz="4" w:space="0" w:color="000000"/>
            </w:tcBorders>
          </w:tcPr>
          <w:p w:rsidR="00EA40A3" w:rsidRDefault="00E86C16">
            <w:pPr>
              <w:spacing w:before="56" w:line="219" w:lineRule="auto"/>
              <w:ind w:left="254"/>
              <w:rPr>
                <w:rFonts w:ascii="宋体" w:eastAsia="宋体" w:hAnsi="宋体" w:cs="宋体"/>
                <w:sz w:val="16"/>
                <w:szCs w:val="16"/>
              </w:rPr>
            </w:pPr>
            <w:r>
              <w:rPr>
                <w:rFonts w:ascii="宋体" w:eastAsia="宋体" w:hAnsi="宋体" w:cs="宋体"/>
                <w:spacing w:val="5"/>
                <w:sz w:val="16"/>
                <w:szCs w:val="16"/>
              </w:rPr>
              <w:t>黑木耳(干)</w:t>
            </w:r>
          </w:p>
        </w:tc>
        <w:tc>
          <w:tcPr>
            <w:tcW w:w="1040" w:type="dxa"/>
            <w:tcBorders>
              <w:top w:val="single" w:sz="4" w:space="0" w:color="000000"/>
              <w:right w:val="single" w:sz="4" w:space="0" w:color="000000"/>
            </w:tcBorders>
          </w:tcPr>
          <w:p w:rsidR="00EA40A3" w:rsidRDefault="00E86C16">
            <w:pPr>
              <w:spacing w:before="98" w:line="179" w:lineRule="auto"/>
              <w:ind w:left="349"/>
              <w:rPr>
                <w:rFonts w:ascii="宋体" w:eastAsia="宋体" w:hAnsi="宋体" w:cs="宋体"/>
                <w:sz w:val="16"/>
                <w:szCs w:val="16"/>
              </w:rPr>
            </w:pPr>
            <w:r>
              <w:rPr>
                <w:rFonts w:ascii="宋体" w:eastAsia="宋体" w:hAnsi="宋体" w:cs="宋体"/>
                <w:spacing w:val="-2"/>
                <w:sz w:val="16"/>
                <w:szCs w:val="16"/>
              </w:rPr>
              <w:t>97.4</w:t>
            </w:r>
          </w:p>
        </w:tc>
        <w:tc>
          <w:tcPr>
            <w:tcW w:w="1278" w:type="dxa"/>
            <w:tcBorders>
              <w:top w:val="single" w:sz="4" w:space="0" w:color="000000"/>
              <w:left w:val="single" w:sz="4" w:space="0" w:color="000000"/>
            </w:tcBorders>
          </w:tcPr>
          <w:p w:rsidR="00EA40A3" w:rsidRDefault="00E86C16">
            <w:pPr>
              <w:spacing w:before="36" w:line="219" w:lineRule="auto"/>
              <w:ind w:left="405"/>
              <w:rPr>
                <w:rFonts w:ascii="宋体" w:eastAsia="宋体" w:hAnsi="宋体" w:cs="宋体"/>
                <w:sz w:val="16"/>
                <w:szCs w:val="16"/>
              </w:rPr>
            </w:pPr>
            <w:r>
              <w:rPr>
                <w:rFonts w:ascii="宋体" w:eastAsia="宋体" w:hAnsi="宋体" w:cs="宋体"/>
                <w:spacing w:val="-3"/>
                <w:sz w:val="16"/>
                <w:szCs w:val="16"/>
              </w:rPr>
              <w:t>芹菜</w:t>
            </w:r>
          </w:p>
        </w:tc>
        <w:tc>
          <w:tcPr>
            <w:tcW w:w="1251" w:type="dxa"/>
            <w:tcBorders>
              <w:top w:val="single" w:sz="4" w:space="0" w:color="000000"/>
            </w:tcBorders>
          </w:tcPr>
          <w:p w:rsidR="00EA40A3" w:rsidRDefault="00E86C16">
            <w:pPr>
              <w:spacing w:before="98" w:line="179" w:lineRule="auto"/>
              <w:ind w:left="502"/>
              <w:rPr>
                <w:rFonts w:ascii="宋体" w:eastAsia="宋体" w:hAnsi="宋体" w:cs="宋体"/>
                <w:sz w:val="16"/>
                <w:szCs w:val="16"/>
              </w:rPr>
            </w:pPr>
            <w:r>
              <w:rPr>
                <w:rFonts w:ascii="宋体" w:eastAsia="宋体" w:hAnsi="宋体" w:cs="宋体"/>
                <w:spacing w:val="-2"/>
                <w:sz w:val="16"/>
                <w:szCs w:val="16"/>
              </w:rPr>
              <w:t>0.8</w:t>
            </w:r>
          </w:p>
        </w:tc>
      </w:tr>
      <w:tr w:rsidR="00EA40A3">
        <w:trPr>
          <w:trHeight w:val="254"/>
        </w:trPr>
        <w:tc>
          <w:tcPr>
            <w:tcW w:w="1275" w:type="dxa"/>
          </w:tcPr>
          <w:p w:rsidR="00EA40A3" w:rsidRDefault="00E86C16">
            <w:pPr>
              <w:spacing w:before="53" w:line="219" w:lineRule="auto"/>
              <w:ind w:left="450"/>
              <w:rPr>
                <w:rFonts w:ascii="宋体" w:eastAsia="宋体" w:hAnsi="宋体" w:cs="宋体"/>
                <w:sz w:val="16"/>
                <w:szCs w:val="16"/>
              </w:rPr>
            </w:pPr>
            <w:r>
              <w:rPr>
                <w:rFonts w:ascii="宋体" w:eastAsia="宋体" w:hAnsi="宋体" w:cs="宋体"/>
                <w:spacing w:val="-2"/>
                <w:sz w:val="16"/>
                <w:szCs w:val="16"/>
              </w:rPr>
              <w:t>标准粉</w:t>
            </w:r>
          </w:p>
        </w:tc>
        <w:tc>
          <w:tcPr>
            <w:tcW w:w="1075" w:type="dxa"/>
            <w:tcBorders>
              <w:right w:val="single" w:sz="4" w:space="0" w:color="000000"/>
            </w:tcBorders>
          </w:tcPr>
          <w:p w:rsidR="00EA40A3" w:rsidRDefault="00E86C16">
            <w:pPr>
              <w:spacing w:before="94" w:line="183" w:lineRule="auto"/>
              <w:ind w:left="415"/>
              <w:rPr>
                <w:rFonts w:ascii="宋体" w:eastAsia="宋体" w:hAnsi="宋体" w:cs="宋体"/>
                <w:sz w:val="16"/>
                <w:szCs w:val="16"/>
              </w:rPr>
            </w:pPr>
            <w:r>
              <w:rPr>
                <w:rFonts w:ascii="宋体" w:eastAsia="宋体" w:hAnsi="宋体" w:cs="宋体"/>
                <w:spacing w:val="-3"/>
                <w:sz w:val="16"/>
                <w:szCs w:val="16"/>
              </w:rPr>
              <w:t>3.5</w:t>
            </w:r>
          </w:p>
        </w:tc>
        <w:tc>
          <w:tcPr>
            <w:tcW w:w="1330" w:type="dxa"/>
            <w:tcBorders>
              <w:left w:val="single" w:sz="4" w:space="0" w:color="000000"/>
            </w:tcBorders>
          </w:tcPr>
          <w:p w:rsidR="00EA40A3" w:rsidRDefault="00E86C16">
            <w:pPr>
              <w:spacing w:before="43" w:line="219" w:lineRule="auto"/>
              <w:ind w:left="335"/>
              <w:rPr>
                <w:rFonts w:ascii="宋体" w:eastAsia="宋体" w:hAnsi="宋体" w:cs="宋体"/>
                <w:sz w:val="16"/>
                <w:szCs w:val="16"/>
              </w:rPr>
            </w:pPr>
            <w:r>
              <w:rPr>
                <w:rFonts w:ascii="宋体" w:eastAsia="宋体" w:hAnsi="宋体" w:cs="宋体"/>
                <w:spacing w:val="7"/>
                <w:sz w:val="16"/>
                <w:szCs w:val="16"/>
              </w:rPr>
              <w:t>猪肉(瘦)</w:t>
            </w:r>
          </w:p>
        </w:tc>
        <w:tc>
          <w:tcPr>
            <w:tcW w:w="1040" w:type="dxa"/>
            <w:tcBorders>
              <w:right w:val="single" w:sz="4" w:space="0" w:color="000000"/>
            </w:tcBorders>
          </w:tcPr>
          <w:p w:rsidR="00EA40A3" w:rsidRDefault="00E86C16">
            <w:pPr>
              <w:spacing w:before="104" w:line="172" w:lineRule="auto"/>
              <w:ind w:left="380"/>
              <w:rPr>
                <w:rFonts w:ascii="宋体" w:eastAsia="宋体" w:hAnsi="宋体" w:cs="宋体"/>
                <w:sz w:val="16"/>
                <w:szCs w:val="16"/>
              </w:rPr>
            </w:pPr>
            <w:r>
              <w:rPr>
                <w:rFonts w:ascii="宋体" w:eastAsia="宋体" w:hAnsi="宋体" w:cs="宋体"/>
                <w:spacing w:val="-3"/>
                <w:sz w:val="16"/>
                <w:szCs w:val="16"/>
              </w:rPr>
              <w:t>3.0</w:t>
            </w:r>
          </w:p>
        </w:tc>
        <w:tc>
          <w:tcPr>
            <w:tcW w:w="1278" w:type="dxa"/>
            <w:tcBorders>
              <w:left w:val="single" w:sz="4" w:space="0" w:color="000000"/>
            </w:tcBorders>
          </w:tcPr>
          <w:p w:rsidR="00EA40A3" w:rsidRDefault="00E86C16">
            <w:pPr>
              <w:spacing w:before="53" w:line="219" w:lineRule="auto"/>
              <w:ind w:left="405"/>
              <w:rPr>
                <w:rFonts w:ascii="宋体" w:eastAsia="宋体" w:hAnsi="宋体" w:cs="宋体"/>
                <w:sz w:val="16"/>
                <w:szCs w:val="16"/>
              </w:rPr>
            </w:pPr>
            <w:r>
              <w:rPr>
                <w:rFonts w:ascii="宋体" w:eastAsia="宋体" w:hAnsi="宋体" w:cs="宋体"/>
                <w:spacing w:val="-2"/>
                <w:sz w:val="16"/>
                <w:szCs w:val="16"/>
              </w:rPr>
              <w:t>大油菜</w:t>
            </w:r>
          </w:p>
        </w:tc>
        <w:tc>
          <w:tcPr>
            <w:tcW w:w="1251" w:type="dxa"/>
          </w:tcPr>
          <w:p w:rsidR="00EA40A3" w:rsidRDefault="00E86C16">
            <w:pPr>
              <w:spacing w:before="104" w:line="172" w:lineRule="auto"/>
              <w:ind w:left="531"/>
              <w:rPr>
                <w:rFonts w:ascii="宋体" w:eastAsia="宋体" w:hAnsi="宋体" w:cs="宋体"/>
                <w:sz w:val="16"/>
                <w:szCs w:val="16"/>
              </w:rPr>
            </w:pPr>
            <w:r>
              <w:rPr>
                <w:rFonts w:ascii="宋体" w:eastAsia="宋体" w:hAnsi="宋体" w:cs="宋体"/>
                <w:spacing w:val="-3"/>
                <w:sz w:val="16"/>
                <w:szCs w:val="16"/>
              </w:rPr>
              <w:t>7.0</w:t>
            </w:r>
          </w:p>
        </w:tc>
      </w:tr>
      <w:tr w:rsidR="00EA40A3">
        <w:trPr>
          <w:trHeight w:val="264"/>
        </w:trPr>
        <w:tc>
          <w:tcPr>
            <w:tcW w:w="1275" w:type="dxa"/>
          </w:tcPr>
          <w:p w:rsidR="00EA40A3" w:rsidRDefault="00E86C16">
            <w:pPr>
              <w:spacing w:before="39" w:line="219" w:lineRule="auto"/>
              <w:ind w:left="450"/>
              <w:rPr>
                <w:rFonts w:ascii="宋体" w:eastAsia="宋体" w:hAnsi="宋体" w:cs="宋体"/>
                <w:sz w:val="16"/>
                <w:szCs w:val="16"/>
              </w:rPr>
            </w:pPr>
            <w:r>
              <w:rPr>
                <w:rFonts w:ascii="宋体" w:eastAsia="宋体" w:hAnsi="宋体" w:cs="宋体"/>
                <w:spacing w:val="-3"/>
                <w:sz w:val="16"/>
                <w:szCs w:val="16"/>
              </w:rPr>
              <w:t>小米</w:t>
            </w:r>
          </w:p>
        </w:tc>
        <w:tc>
          <w:tcPr>
            <w:tcW w:w="1075" w:type="dxa"/>
            <w:tcBorders>
              <w:right w:val="single" w:sz="4" w:space="0" w:color="000000"/>
            </w:tcBorders>
          </w:tcPr>
          <w:p w:rsidR="00EA40A3" w:rsidRDefault="00E86C16">
            <w:pPr>
              <w:spacing w:before="99" w:line="184" w:lineRule="auto"/>
              <w:ind w:left="415"/>
              <w:rPr>
                <w:rFonts w:ascii="宋体" w:eastAsia="宋体" w:hAnsi="宋体" w:cs="宋体"/>
                <w:sz w:val="16"/>
                <w:szCs w:val="16"/>
              </w:rPr>
            </w:pPr>
            <w:r>
              <w:rPr>
                <w:rFonts w:ascii="宋体" w:eastAsia="宋体" w:hAnsi="宋体" w:cs="宋体"/>
                <w:spacing w:val="-3"/>
                <w:sz w:val="16"/>
                <w:szCs w:val="16"/>
              </w:rPr>
              <w:t>5.1</w:t>
            </w:r>
          </w:p>
        </w:tc>
        <w:tc>
          <w:tcPr>
            <w:tcW w:w="1330" w:type="dxa"/>
            <w:tcBorders>
              <w:left w:val="single" w:sz="4" w:space="0" w:color="000000"/>
            </w:tcBorders>
          </w:tcPr>
          <w:p w:rsidR="00EA40A3" w:rsidRDefault="00E86C16">
            <w:pPr>
              <w:spacing w:before="39" w:line="220" w:lineRule="auto"/>
              <w:ind w:left="465"/>
              <w:rPr>
                <w:rFonts w:ascii="宋体" w:eastAsia="宋体" w:hAnsi="宋体" w:cs="宋体"/>
                <w:sz w:val="16"/>
                <w:szCs w:val="16"/>
              </w:rPr>
            </w:pPr>
            <w:r>
              <w:rPr>
                <w:rFonts w:ascii="宋体" w:eastAsia="宋体" w:hAnsi="宋体" w:cs="宋体"/>
                <w:spacing w:val="-2"/>
                <w:sz w:val="16"/>
                <w:szCs w:val="16"/>
              </w:rPr>
              <w:t>猪肝</w:t>
            </w:r>
          </w:p>
        </w:tc>
        <w:tc>
          <w:tcPr>
            <w:tcW w:w="1040" w:type="dxa"/>
            <w:tcBorders>
              <w:right w:val="single" w:sz="4" w:space="0" w:color="000000"/>
            </w:tcBorders>
          </w:tcPr>
          <w:p w:rsidR="00EA40A3" w:rsidRDefault="00E86C16">
            <w:pPr>
              <w:spacing w:before="121" w:line="165" w:lineRule="auto"/>
              <w:ind w:left="340"/>
              <w:rPr>
                <w:rFonts w:ascii="宋体" w:eastAsia="宋体" w:hAnsi="宋体" w:cs="宋体"/>
                <w:sz w:val="16"/>
                <w:szCs w:val="16"/>
              </w:rPr>
            </w:pPr>
            <w:r>
              <w:rPr>
                <w:rFonts w:ascii="宋体" w:eastAsia="宋体" w:hAnsi="宋体" w:cs="宋体"/>
                <w:spacing w:val="-2"/>
                <w:sz w:val="16"/>
                <w:szCs w:val="16"/>
              </w:rPr>
              <w:t>22.6</w:t>
            </w:r>
          </w:p>
        </w:tc>
        <w:tc>
          <w:tcPr>
            <w:tcW w:w="1278" w:type="dxa"/>
            <w:tcBorders>
              <w:left w:val="single" w:sz="4" w:space="0" w:color="000000"/>
            </w:tcBorders>
          </w:tcPr>
          <w:p w:rsidR="00EA40A3" w:rsidRDefault="00E86C16">
            <w:pPr>
              <w:spacing w:before="69" w:line="219" w:lineRule="auto"/>
              <w:ind w:left="405"/>
              <w:rPr>
                <w:rFonts w:ascii="宋体" w:eastAsia="宋体" w:hAnsi="宋体" w:cs="宋体"/>
                <w:sz w:val="16"/>
                <w:szCs w:val="16"/>
              </w:rPr>
            </w:pPr>
            <w:r>
              <w:rPr>
                <w:rFonts w:ascii="宋体" w:eastAsia="宋体" w:hAnsi="宋体" w:cs="宋体"/>
                <w:spacing w:val="-2"/>
                <w:sz w:val="16"/>
                <w:szCs w:val="16"/>
              </w:rPr>
              <w:t>大白菜</w:t>
            </w:r>
          </w:p>
        </w:tc>
        <w:tc>
          <w:tcPr>
            <w:tcW w:w="1251" w:type="dxa"/>
          </w:tcPr>
          <w:p w:rsidR="00EA40A3" w:rsidRDefault="00E86C16">
            <w:pPr>
              <w:spacing w:before="110" w:line="177" w:lineRule="auto"/>
              <w:ind w:left="511"/>
              <w:rPr>
                <w:rFonts w:ascii="宋体" w:eastAsia="宋体" w:hAnsi="宋体" w:cs="宋体"/>
                <w:sz w:val="16"/>
                <w:szCs w:val="16"/>
              </w:rPr>
            </w:pPr>
            <w:r>
              <w:rPr>
                <w:rFonts w:ascii="宋体" w:eastAsia="宋体" w:hAnsi="宋体" w:cs="宋体"/>
                <w:spacing w:val="-2"/>
                <w:sz w:val="16"/>
                <w:szCs w:val="16"/>
              </w:rPr>
              <w:t>4.4</w:t>
            </w:r>
          </w:p>
        </w:tc>
      </w:tr>
      <w:tr w:rsidR="00EA40A3">
        <w:trPr>
          <w:trHeight w:val="254"/>
        </w:trPr>
        <w:tc>
          <w:tcPr>
            <w:tcW w:w="1275" w:type="dxa"/>
          </w:tcPr>
          <w:p w:rsidR="00EA40A3" w:rsidRDefault="00E86C16">
            <w:pPr>
              <w:spacing w:before="55" w:line="219" w:lineRule="auto"/>
              <w:ind w:left="329"/>
              <w:rPr>
                <w:rFonts w:ascii="宋体" w:eastAsia="宋体" w:hAnsi="宋体" w:cs="宋体"/>
                <w:sz w:val="16"/>
                <w:szCs w:val="16"/>
              </w:rPr>
            </w:pPr>
            <w:r>
              <w:rPr>
                <w:rFonts w:ascii="宋体" w:eastAsia="宋体" w:hAnsi="宋体" w:cs="宋体"/>
                <w:spacing w:val="7"/>
                <w:sz w:val="16"/>
                <w:szCs w:val="16"/>
              </w:rPr>
              <w:t>玉米(鲜)</w:t>
            </w:r>
          </w:p>
        </w:tc>
        <w:tc>
          <w:tcPr>
            <w:tcW w:w="1075" w:type="dxa"/>
            <w:tcBorders>
              <w:right w:val="single" w:sz="4" w:space="0" w:color="000000"/>
            </w:tcBorders>
          </w:tcPr>
          <w:p w:rsidR="00EA40A3" w:rsidRDefault="00E86C16">
            <w:pPr>
              <w:spacing w:before="85" w:line="184" w:lineRule="auto"/>
              <w:ind w:left="424"/>
              <w:rPr>
                <w:rFonts w:ascii="宋体" w:eastAsia="宋体" w:hAnsi="宋体" w:cs="宋体"/>
                <w:sz w:val="16"/>
                <w:szCs w:val="16"/>
              </w:rPr>
            </w:pPr>
            <w:r>
              <w:rPr>
                <w:rFonts w:ascii="宋体" w:eastAsia="宋体" w:hAnsi="宋体" w:cs="宋体"/>
                <w:spacing w:val="-5"/>
                <w:sz w:val="16"/>
                <w:szCs w:val="16"/>
              </w:rPr>
              <w:t>1.1</w:t>
            </w:r>
          </w:p>
        </w:tc>
        <w:tc>
          <w:tcPr>
            <w:tcW w:w="1330" w:type="dxa"/>
            <w:tcBorders>
              <w:left w:val="single" w:sz="4" w:space="0" w:color="000000"/>
            </w:tcBorders>
          </w:tcPr>
          <w:p w:rsidR="00EA40A3" w:rsidRDefault="00E86C16">
            <w:pPr>
              <w:spacing w:before="36" w:line="221" w:lineRule="auto"/>
              <w:ind w:left="465"/>
              <w:rPr>
                <w:rFonts w:ascii="宋体" w:eastAsia="宋体" w:hAnsi="宋体" w:cs="宋体"/>
                <w:sz w:val="16"/>
                <w:szCs w:val="16"/>
              </w:rPr>
            </w:pPr>
            <w:r>
              <w:rPr>
                <w:rFonts w:ascii="宋体" w:eastAsia="宋体" w:hAnsi="宋体" w:cs="宋体"/>
                <w:spacing w:val="-2"/>
                <w:sz w:val="16"/>
                <w:szCs w:val="16"/>
              </w:rPr>
              <w:t>鸡肝</w:t>
            </w:r>
          </w:p>
        </w:tc>
        <w:tc>
          <w:tcPr>
            <w:tcW w:w="1040" w:type="dxa"/>
            <w:tcBorders>
              <w:right w:val="single" w:sz="4" w:space="0" w:color="000000"/>
            </w:tcBorders>
          </w:tcPr>
          <w:p w:rsidR="00EA40A3" w:rsidRDefault="00E86C16">
            <w:pPr>
              <w:spacing w:before="86" w:line="183" w:lineRule="auto"/>
              <w:ind w:left="380"/>
              <w:rPr>
                <w:rFonts w:ascii="宋体" w:eastAsia="宋体" w:hAnsi="宋体" w:cs="宋体"/>
                <w:sz w:val="16"/>
                <w:szCs w:val="16"/>
              </w:rPr>
            </w:pPr>
            <w:r>
              <w:rPr>
                <w:rFonts w:ascii="宋体" w:eastAsia="宋体" w:hAnsi="宋体" w:cs="宋体"/>
                <w:spacing w:val="-2"/>
                <w:sz w:val="16"/>
                <w:szCs w:val="16"/>
              </w:rPr>
              <w:t>8.2</w:t>
            </w:r>
          </w:p>
        </w:tc>
        <w:tc>
          <w:tcPr>
            <w:tcW w:w="1278" w:type="dxa"/>
            <w:tcBorders>
              <w:left w:val="single" w:sz="4" w:space="0" w:color="000000"/>
            </w:tcBorders>
          </w:tcPr>
          <w:p w:rsidR="00EA40A3" w:rsidRDefault="00E86C16">
            <w:pPr>
              <w:spacing w:before="35" w:line="219" w:lineRule="auto"/>
              <w:ind w:left="405"/>
              <w:rPr>
                <w:rFonts w:ascii="宋体" w:eastAsia="宋体" w:hAnsi="宋体" w:cs="宋体"/>
                <w:sz w:val="16"/>
                <w:szCs w:val="16"/>
              </w:rPr>
            </w:pPr>
            <w:r>
              <w:rPr>
                <w:rFonts w:ascii="宋体" w:eastAsia="宋体" w:hAnsi="宋体" w:cs="宋体"/>
                <w:spacing w:val="-3"/>
                <w:sz w:val="16"/>
                <w:szCs w:val="16"/>
              </w:rPr>
              <w:t>菠菜</w:t>
            </w:r>
          </w:p>
        </w:tc>
        <w:tc>
          <w:tcPr>
            <w:tcW w:w="1251" w:type="dxa"/>
          </w:tcPr>
          <w:p w:rsidR="00EA40A3" w:rsidRDefault="00E86C16">
            <w:pPr>
              <w:spacing w:before="97" w:line="181" w:lineRule="auto"/>
              <w:ind w:left="502"/>
              <w:rPr>
                <w:rFonts w:ascii="宋体" w:eastAsia="宋体" w:hAnsi="宋体" w:cs="宋体"/>
                <w:sz w:val="16"/>
                <w:szCs w:val="16"/>
              </w:rPr>
            </w:pPr>
            <w:r>
              <w:rPr>
                <w:rFonts w:ascii="宋体" w:eastAsia="宋体" w:hAnsi="宋体" w:cs="宋体"/>
                <w:spacing w:val="-2"/>
                <w:sz w:val="16"/>
                <w:szCs w:val="16"/>
              </w:rPr>
              <w:t>2.5</w:t>
            </w:r>
          </w:p>
        </w:tc>
      </w:tr>
      <w:tr w:rsidR="00EA40A3">
        <w:trPr>
          <w:trHeight w:val="258"/>
        </w:trPr>
        <w:tc>
          <w:tcPr>
            <w:tcW w:w="1275" w:type="dxa"/>
          </w:tcPr>
          <w:p w:rsidR="00EA40A3" w:rsidRDefault="00E86C16">
            <w:pPr>
              <w:spacing w:before="51" w:line="220" w:lineRule="auto"/>
              <w:ind w:left="450"/>
              <w:rPr>
                <w:rFonts w:ascii="宋体" w:eastAsia="宋体" w:hAnsi="宋体" w:cs="宋体"/>
                <w:sz w:val="16"/>
                <w:szCs w:val="16"/>
              </w:rPr>
            </w:pPr>
            <w:r>
              <w:rPr>
                <w:rFonts w:ascii="宋体" w:eastAsia="宋体" w:hAnsi="宋体" w:cs="宋体"/>
                <w:spacing w:val="-3"/>
                <w:sz w:val="16"/>
                <w:szCs w:val="16"/>
              </w:rPr>
              <w:t>大豆</w:t>
            </w:r>
          </w:p>
        </w:tc>
        <w:tc>
          <w:tcPr>
            <w:tcW w:w="1075" w:type="dxa"/>
            <w:tcBorders>
              <w:right w:val="single" w:sz="4" w:space="0" w:color="000000"/>
            </w:tcBorders>
          </w:tcPr>
          <w:p w:rsidR="00EA40A3" w:rsidRDefault="00E86C16">
            <w:pPr>
              <w:spacing w:before="102" w:line="179" w:lineRule="auto"/>
              <w:ind w:left="415"/>
              <w:rPr>
                <w:rFonts w:ascii="宋体" w:eastAsia="宋体" w:hAnsi="宋体" w:cs="宋体"/>
                <w:sz w:val="16"/>
                <w:szCs w:val="16"/>
              </w:rPr>
            </w:pPr>
            <w:r>
              <w:rPr>
                <w:rFonts w:ascii="宋体" w:eastAsia="宋体" w:hAnsi="宋体" w:cs="宋体"/>
                <w:spacing w:val="-2"/>
                <w:sz w:val="16"/>
                <w:szCs w:val="16"/>
              </w:rPr>
              <w:t>8.2</w:t>
            </w:r>
          </w:p>
        </w:tc>
        <w:tc>
          <w:tcPr>
            <w:tcW w:w="1330" w:type="dxa"/>
            <w:tcBorders>
              <w:left w:val="single" w:sz="4" w:space="0" w:color="000000"/>
            </w:tcBorders>
          </w:tcPr>
          <w:p w:rsidR="00EA40A3" w:rsidRDefault="00E86C16">
            <w:pPr>
              <w:spacing w:before="51" w:line="220" w:lineRule="auto"/>
              <w:ind w:left="465"/>
              <w:rPr>
                <w:rFonts w:ascii="宋体" w:eastAsia="宋体" w:hAnsi="宋体" w:cs="宋体"/>
                <w:sz w:val="16"/>
                <w:szCs w:val="16"/>
              </w:rPr>
            </w:pPr>
            <w:r>
              <w:rPr>
                <w:rFonts w:ascii="宋体" w:eastAsia="宋体" w:hAnsi="宋体" w:cs="宋体"/>
                <w:spacing w:val="-2"/>
                <w:sz w:val="16"/>
                <w:szCs w:val="16"/>
              </w:rPr>
              <w:t>鸡蛋</w:t>
            </w:r>
          </w:p>
        </w:tc>
        <w:tc>
          <w:tcPr>
            <w:tcW w:w="1040" w:type="dxa"/>
            <w:tcBorders>
              <w:right w:val="single" w:sz="4" w:space="0" w:color="000000"/>
            </w:tcBorders>
          </w:tcPr>
          <w:p w:rsidR="00EA40A3" w:rsidRDefault="00E86C16">
            <w:pPr>
              <w:spacing w:before="102" w:line="179" w:lineRule="auto"/>
              <w:ind w:left="380"/>
              <w:rPr>
                <w:rFonts w:ascii="宋体" w:eastAsia="宋体" w:hAnsi="宋体" w:cs="宋体"/>
                <w:sz w:val="16"/>
                <w:szCs w:val="16"/>
              </w:rPr>
            </w:pPr>
            <w:r>
              <w:rPr>
                <w:rFonts w:ascii="宋体" w:eastAsia="宋体" w:hAnsi="宋体" w:cs="宋体"/>
                <w:spacing w:val="-2"/>
                <w:sz w:val="16"/>
                <w:szCs w:val="16"/>
              </w:rPr>
              <w:t>2.0</w:t>
            </w:r>
          </w:p>
        </w:tc>
        <w:tc>
          <w:tcPr>
            <w:tcW w:w="1278" w:type="dxa"/>
            <w:tcBorders>
              <w:left w:val="single" w:sz="4" w:space="0" w:color="000000"/>
            </w:tcBorders>
          </w:tcPr>
          <w:p w:rsidR="00EA40A3" w:rsidRDefault="00E86C16">
            <w:pPr>
              <w:spacing w:before="50" w:line="219" w:lineRule="auto"/>
              <w:ind w:left="405"/>
              <w:rPr>
                <w:rFonts w:ascii="宋体" w:eastAsia="宋体" w:hAnsi="宋体" w:cs="宋体"/>
                <w:sz w:val="16"/>
                <w:szCs w:val="16"/>
              </w:rPr>
            </w:pPr>
            <w:r>
              <w:rPr>
                <w:rFonts w:ascii="宋体" w:eastAsia="宋体" w:hAnsi="宋体" w:cs="宋体"/>
                <w:spacing w:val="-2"/>
                <w:sz w:val="16"/>
                <w:szCs w:val="16"/>
              </w:rPr>
              <w:t>干红枣</w:t>
            </w:r>
          </w:p>
        </w:tc>
        <w:tc>
          <w:tcPr>
            <w:tcW w:w="1251" w:type="dxa"/>
          </w:tcPr>
          <w:p w:rsidR="00EA40A3" w:rsidRDefault="00E86C16">
            <w:pPr>
              <w:spacing w:before="101" w:line="180" w:lineRule="auto"/>
              <w:ind w:left="522"/>
              <w:rPr>
                <w:rFonts w:ascii="宋体" w:eastAsia="宋体" w:hAnsi="宋体" w:cs="宋体"/>
                <w:sz w:val="16"/>
                <w:szCs w:val="16"/>
              </w:rPr>
            </w:pPr>
            <w:r>
              <w:rPr>
                <w:rFonts w:ascii="宋体" w:eastAsia="宋体" w:hAnsi="宋体" w:cs="宋体"/>
                <w:spacing w:val="-5"/>
                <w:sz w:val="16"/>
                <w:szCs w:val="16"/>
              </w:rPr>
              <w:t>1.6</w:t>
            </w:r>
          </w:p>
        </w:tc>
      </w:tr>
      <w:tr w:rsidR="00EA40A3">
        <w:trPr>
          <w:trHeight w:val="259"/>
        </w:trPr>
        <w:tc>
          <w:tcPr>
            <w:tcW w:w="1275" w:type="dxa"/>
          </w:tcPr>
          <w:p w:rsidR="00EA40A3" w:rsidRDefault="00E86C16">
            <w:pPr>
              <w:spacing w:before="55" w:line="221" w:lineRule="auto"/>
              <w:ind w:left="450"/>
              <w:rPr>
                <w:rFonts w:ascii="宋体" w:eastAsia="宋体" w:hAnsi="宋体" w:cs="宋体"/>
                <w:sz w:val="16"/>
                <w:szCs w:val="16"/>
              </w:rPr>
            </w:pPr>
            <w:r>
              <w:rPr>
                <w:rFonts w:ascii="宋体" w:eastAsia="宋体" w:hAnsi="宋体" w:cs="宋体"/>
                <w:spacing w:val="-3"/>
                <w:sz w:val="16"/>
                <w:szCs w:val="16"/>
              </w:rPr>
              <w:t>红小豆</w:t>
            </w:r>
          </w:p>
        </w:tc>
        <w:tc>
          <w:tcPr>
            <w:tcW w:w="1075" w:type="dxa"/>
            <w:tcBorders>
              <w:right w:val="single" w:sz="4" w:space="0" w:color="000000"/>
            </w:tcBorders>
          </w:tcPr>
          <w:p w:rsidR="00EA40A3" w:rsidRDefault="00E86C16">
            <w:pPr>
              <w:spacing w:before="104" w:line="178" w:lineRule="auto"/>
              <w:ind w:left="415"/>
              <w:rPr>
                <w:rFonts w:ascii="宋体" w:eastAsia="宋体" w:hAnsi="宋体" w:cs="宋体"/>
                <w:sz w:val="16"/>
                <w:szCs w:val="16"/>
              </w:rPr>
            </w:pPr>
            <w:r>
              <w:rPr>
                <w:rFonts w:ascii="宋体" w:eastAsia="宋体" w:hAnsi="宋体" w:cs="宋体"/>
                <w:spacing w:val="-3"/>
                <w:sz w:val="16"/>
                <w:szCs w:val="16"/>
              </w:rPr>
              <w:t>7.4</w:t>
            </w:r>
          </w:p>
        </w:tc>
        <w:tc>
          <w:tcPr>
            <w:tcW w:w="1330" w:type="dxa"/>
            <w:tcBorders>
              <w:left w:val="single" w:sz="4" w:space="0" w:color="000000"/>
            </w:tcBorders>
          </w:tcPr>
          <w:p w:rsidR="00EA40A3" w:rsidRDefault="00E86C16">
            <w:pPr>
              <w:spacing w:before="53" w:line="219" w:lineRule="auto"/>
              <w:ind w:left="465"/>
              <w:rPr>
                <w:rFonts w:ascii="宋体" w:eastAsia="宋体" w:hAnsi="宋体" w:cs="宋体"/>
                <w:sz w:val="16"/>
                <w:szCs w:val="16"/>
              </w:rPr>
            </w:pPr>
            <w:r>
              <w:rPr>
                <w:rFonts w:ascii="宋体" w:eastAsia="宋体" w:hAnsi="宋体" w:cs="宋体"/>
                <w:spacing w:val="-2"/>
                <w:sz w:val="16"/>
                <w:szCs w:val="16"/>
              </w:rPr>
              <w:t>虾米</w:t>
            </w:r>
          </w:p>
        </w:tc>
        <w:tc>
          <w:tcPr>
            <w:tcW w:w="1040" w:type="dxa"/>
            <w:tcBorders>
              <w:right w:val="single" w:sz="4" w:space="0" w:color="000000"/>
            </w:tcBorders>
          </w:tcPr>
          <w:p w:rsidR="00EA40A3" w:rsidRDefault="00E86C16">
            <w:pPr>
              <w:spacing w:before="114" w:line="167" w:lineRule="auto"/>
              <w:ind w:left="340"/>
              <w:rPr>
                <w:rFonts w:ascii="宋体" w:eastAsia="宋体" w:hAnsi="宋体" w:cs="宋体"/>
                <w:sz w:val="16"/>
                <w:szCs w:val="16"/>
              </w:rPr>
            </w:pPr>
            <w:r>
              <w:rPr>
                <w:rFonts w:ascii="宋体" w:eastAsia="宋体" w:hAnsi="宋体" w:cs="宋体"/>
                <w:spacing w:val="-4"/>
                <w:sz w:val="16"/>
                <w:szCs w:val="16"/>
              </w:rPr>
              <w:t>11.0</w:t>
            </w:r>
          </w:p>
        </w:tc>
        <w:tc>
          <w:tcPr>
            <w:tcW w:w="1278" w:type="dxa"/>
            <w:tcBorders>
              <w:left w:val="single" w:sz="4" w:space="0" w:color="000000"/>
            </w:tcBorders>
          </w:tcPr>
          <w:p w:rsidR="00EA40A3" w:rsidRDefault="00E86C16">
            <w:pPr>
              <w:spacing w:before="52" w:line="219" w:lineRule="auto"/>
              <w:ind w:left="405"/>
              <w:rPr>
                <w:rFonts w:ascii="宋体" w:eastAsia="宋体" w:hAnsi="宋体" w:cs="宋体"/>
                <w:sz w:val="16"/>
                <w:szCs w:val="16"/>
              </w:rPr>
            </w:pPr>
            <w:r>
              <w:rPr>
                <w:rFonts w:ascii="宋体" w:eastAsia="宋体" w:hAnsi="宋体" w:cs="宋体"/>
                <w:spacing w:val="-2"/>
                <w:sz w:val="16"/>
                <w:szCs w:val="16"/>
              </w:rPr>
              <w:t>葡萄干</w:t>
            </w:r>
          </w:p>
        </w:tc>
        <w:tc>
          <w:tcPr>
            <w:tcW w:w="1251" w:type="dxa"/>
          </w:tcPr>
          <w:p w:rsidR="00EA40A3" w:rsidRDefault="00E86C16">
            <w:pPr>
              <w:spacing w:before="115" w:line="166" w:lineRule="auto"/>
              <w:ind w:left="502"/>
              <w:rPr>
                <w:rFonts w:ascii="宋体" w:eastAsia="宋体" w:hAnsi="宋体" w:cs="宋体"/>
                <w:sz w:val="16"/>
                <w:szCs w:val="16"/>
              </w:rPr>
            </w:pPr>
            <w:r>
              <w:rPr>
                <w:rFonts w:ascii="宋体" w:eastAsia="宋体" w:hAnsi="宋体" w:cs="宋体"/>
                <w:spacing w:val="-2"/>
                <w:sz w:val="16"/>
                <w:szCs w:val="16"/>
              </w:rPr>
              <w:t>0.4</w:t>
            </w:r>
          </w:p>
        </w:tc>
      </w:tr>
      <w:tr w:rsidR="00EA40A3">
        <w:trPr>
          <w:trHeight w:val="254"/>
        </w:trPr>
        <w:tc>
          <w:tcPr>
            <w:tcW w:w="1275" w:type="dxa"/>
          </w:tcPr>
          <w:p w:rsidR="00EA40A3" w:rsidRDefault="00E86C16">
            <w:pPr>
              <w:spacing w:before="45" w:line="221" w:lineRule="auto"/>
              <w:ind w:left="450"/>
              <w:rPr>
                <w:rFonts w:ascii="宋体" w:eastAsia="宋体" w:hAnsi="宋体" w:cs="宋体"/>
                <w:sz w:val="16"/>
                <w:szCs w:val="16"/>
              </w:rPr>
            </w:pPr>
            <w:r>
              <w:rPr>
                <w:rFonts w:ascii="宋体" w:eastAsia="宋体" w:hAnsi="宋体" w:cs="宋体"/>
                <w:spacing w:val="-2"/>
                <w:sz w:val="16"/>
                <w:szCs w:val="16"/>
              </w:rPr>
              <w:t>绿豆</w:t>
            </w:r>
          </w:p>
        </w:tc>
        <w:tc>
          <w:tcPr>
            <w:tcW w:w="1075" w:type="dxa"/>
            <w:tcBorders>
              <w:right w:val="single" w:sz="4" w:space="0" w:color="000000"/>
            </w:tcBorders>
          </w:tcPr>
          <w:p w:rsidR="00EA40A3" w:rsidRDefault="00E86C16">
            <w:pPr>
              <w:spacing w:before="85" w:line="183" w:lineRule="auto"/>
              <w:ind w:left="424"/>
              <w:rPr>
                <w:rFonts w:ascii="宋体" w:eastAsia="宋体" w:hAnsi="宋体" w:cs="宋体"/>
                <w:sz w:val="16"/>
                <w:szCs w:val="16"/>
              </w:rPr>
            </w:pPr>
            <w:r>
              <w:rPr>
                <w:rFonts w:ascii="宋体" w:eastAsia="宋体" w:hAnsi="宋体" w:cs="宋体"/>
                <w:spacing w:val="-2"/>
                <w:sz w:val="16"/>
                <w:szCs w:val="16"/>
              </w:rPr>
              <w:t>6.5</w:t>
            </w:r>
          </w:p>
        </w:tc>
        <w:tc>
          <w:tcPr>
            <w:tcW w:w="1330" w:type="dxa"/>
            <w:tcBorders>
              <w:left w:val="single" w:sz="4" w:space="0" w:color="000000"/>
            </w:tcBorders>
          </w:tcPr>
          <w:p w:rsidR="00EA40A3" w:rsidRDefault="00E86C16">
            <w:pPr>
              <w:spacing w:before="43" w:line="219" w:lineRule="auto"/>
              <w:ind w:left="324"/>
              <w:rPr>
                <w:rFonts w:ascii="宋体" w:eastAsia="宋体" w:hAnsi="宋体" w:cs="宋体"/>
                <w:sz w:val="16"/>
                <w:szCs w:val="16"/>
              </w:rPr>
            </w:pPr>
            <w:r>
              <w:rPr>
                <w:rFonts w:ascii="宋体" w:eastAsia="宋体" w:hAnsi="宋体" w:cs="宋体"/>
                <w:spacing w:val="7"/>
                <w:sz w:val="16"/>
                <w:szCs w:val="16"/>
              </w:rPr>
              <w:t>海带(干)</w:t>
            </w:r>
          </w:p>
        </w:tc>
        <w:tc>
          <w:tcPr>
            <w:tcW w:w="1040" w:type="dxa"/>
            <w:tcBorders>
              <w:right w:val="single" w:sz="4" w:space="0" w:color="000000"/>
            </w:tcBorders>
          </w:tcPr>
          <w:p w:rsidR="00EA40A3" w:rsidRDefault="00E86C16">
            <w:pPr>
              <w:spacing w:before="96" w:line="182" w:lineRule="auto"/>
              <w:ind w:left="380"/>
              <w:rPr>
                <w:rFonts w:ascii="宋体" w:eastAsia="宋体" w:hAnsi="宋体" w:cs="宋体"/>
                <w:sz w:val="16"/>
                <w:szCs w:val="16"/>
              </w:rPr>
            </w:pPr>
            <w:r>
              <w:rPr>
                <w:rFonts w:ascii="宋体" w:eastAsia="宋体" w:hAnsi="宋体" w:cs="宋体"/>
                <w:spacing w:val="-2"/>
                <w:sz w:val="16"/>
                <w:szCs w:val="16"/>
              </w:rPr>
              <w:t>4.7</w:t>
            </w:r>
          </w:p>
        </w:tc>
        <w:tc>
          <w:tcPr>
            <w:tcW w:w="1278" w:type="dxa"/>
            <w:tcBorders>
              <w:left w:val="single" w:sz="4" w:space="0" w:color="000000"/>
            </w:tcBorders>
          </w:tcPr>
          <w:p w:rsidR="00EA40A3" w:rsidRDefault="00E86C16">
            <w:pPr>
              <w:spacing w:before="64" w:line="219" w:lineRule="auto"/>
              <w:ind w:left="405"/>
              <w:rPr>
                <w:rFonts w:ascii="宋体" w:eastAsia="宋体" w:hAnsi="宋体" w:cs="宋体"/>
                <w:sz w:val="16"/>
                <w:szCs w:val="16"/>
              </w:rPr>
            </w:pPr>
            <w:r>
              <w:rPr>
                <w:rFonts w:ascii="宋体" w:eastAsia="宋体" w:hAnsi="宋体" w:cs="宋体"/>
                <w:spacing w:val="-2"/>
                <w:sz w:val="16"/>
                <w:szCs w:val="16"/>
              </w:rPr>
              <w:t>核桃仁</w:t>
            </w:r>
          </w:p>
        </w:tc>
        <w:tc>
          <w:tcPr>
            <w:tcW w:w="1251" w:type="dxa"/>
          </w:tcPr>
          <w:p w:rsidR="00EA40A3" w:rsidRDefault="00E86C16">
            <w:pPr>
              <w:spacing w:before="105" w:line="171" w:lineRule="auto"/>
              <w:ind w:left="511"/>
              <w:rPr>
                <w:rFonts w:ascii="宋体" w:eastAsia="宋体" w:hAnsi="宋体" w:cs="宋体"/>
                <w:sz w:val="16"/>
                <w:szCs w:val="16"/>
              </w:rPr>
            </w:pPr>
            <w:r>
              <w:rPr>
                <w:rFonts w:ascii="宋体" w:eastAsia="宋体" w:hAnsi="宋体" w:cs="宋体"/>
                <w:spacing w:val="-3"/>
                <w:sz w:val="16"/>
                <w:szCs w:val="16"/>
              </w:rPr>
              <w:t>3.5</w:t>
            </w:r>
          </w:p>
        </w:tc>
      </w:tr>
      <w:tr w:rsidR="00EA40A3">
        <w:trPr>
          <w:trHeight w:val="248"/>
        </w:trPr>
        <w:tc>
          <w:tcPr>
            <w:tcW w:w="1275" w:type="dxa"/>
            <w:tcBorders>
              <w:bottom w:val="single" w:sz="4" w:space="0" w:color="000000"/>
            </w:tcBorders>
          </w:tcPr>
          <w:p w:rsidR="00EA40A3" w:rsidRDefault="00E86C16">
            <w:pPr>
              <w:spacing w:before="51" w:line="221" w:lineRule="auto"/>
              <w:ind w:left="450"/>
              <w:rPr>
                <w:rFonts w:ascii="宋体" w:eastAsia="宋体" w:hAnsi="宋体" w:cs="宋体"/>
                <w:sz w:val="16"/>
                <w:szCs w:val="16"/>
              </w:rPr>
            </w:pPr>
            <w:r>
              <w:rPr>
                <w:rFonts w:ascii="宋体" w:eastAsia="宋体" w:hAnsi="宋体" w:cs="宋体"/>
                <w:spacing w:val="-3"/>
                <w:sz w:val="16"/>
                <w:szCs w:val="16"/>
              </w:rPr>
              <w:t>芝麻凿</w:t>
            </w:r>
          </w:p>
        </w:tc>
        <w:tc>
          <w:tcPr>
            <w:tcW w:w="1075" w:type="dxa"/>
            <w:tcBorders>
              <w:bottom w:val="single" w:sz="4" w:space="0" w:color="000000"/>
              <w:right w:val="single" w:sz="4" w:space="0" w:color="000000"/>
            </w:tcBorders>
          </w:tcPr>
          <w:p w:rsidR="00EA40A3" w:rsidRDefault="00E86C16">
            <w:pPr>
              <w:spacing w:before="101" w:line="169" w:lineRule="auto"/>
              <w:ind w:left="384"/>
              <w:rPr>
                <w:rFonts w:ascii="宋体" w:eastAsia="宋体" w:hAnsi="宋体" w:cs="宋体"/>
                <w:sz w:val="16"/>
                <w:szCs w:val="16"/>
              </w:rPr>
            </w:pPr>
            <w:r>
              <w:rPr>
                <w:rFonts w:ascii="宋体" w:eastAsia="宋体" w:hAnsi="宋体" w:cs="宋体"/>
                <w:spacing w:val="-2"/>
                <w:sz w:val="16"/>
                <w:szCs w:val="16"/>
              </w:rPr>
              <w:t>58.0</w:t>
            </w:r>
          </w:p>
        </w:tc>
        <w:tc>
          <w:tcPr>
            <w:tcW w:w="1330" w:type="dxa"/>
            <w:tcBorders>
              <w:left w:val="single" w:sz="4" w:space="0" w:color="000000"/>
              <w:bottom w:val="single" w:sz="4" w:space="0" w:color="000000"/>
            </w:tcBorders>
          </w:tcPr>
          <w:p w:rsidR="00EA40A3" w:rsidRDefault="00E86C16">
            <w:pPr>
              <w:spacing w:before="50" w:line="219" w:lineRule="auto"/>
              <w:ind w:left="465"/>
              <w:rPr>
                <w:rFonts w:ascii="宋体" w:eastAsia="宋体" w:hAnsi="宋体" w:cs="宋体"/>
                <w:sz w:val="16"/>
                <w:szCs w:val="16"/>
              </w:rPr>
            </w:pPr>
            <w:r>
              <w:rPr>
                <w:rFonts w:ascii="宋体" w:eastAsia="宋体" w:hAnsi="宋体" w:cs="宋体"/>
                <w:spacing w:val="-3"/>
                <w:sz w:val="16"/>
                <w:szCs w:val="16"/>
              </w:rPr>
              <w:t>带鱼</w:t>
            </w:r>
          </w:p>
        </w:tc>
        <w:tc>
          <w:tcPr>
            <w:tcW w:w="1040" w:type="dxa"/>
            <w:tcBorders>
              <w:bottom w:val="single" w:sz="4" w:space="0" w:color="000000"/>
              <w:right w:val="single" w:sz="4" w:space="0" w:color="000000"/>
            </w:tcBorders>
          </w:tcPr>
          <w:p w:rsidR="00EA40A3" w:rsidRDefault="00E86C16">
            <w:pPr>
              <w:spacing w:before="91" w:line="181" w:lineRule="auto"/>
              <w:ind w:left="380"/>
              <w:rPr>
                <w:rFonts w:ascii="宋体" w:eastAsia="宋体" w:hAnsi="宋体" w:cs="宋体"/>
                <w:sz w:val="16"/>
                <w:szCs w:val="16"/>
              </w:rPr>
            </w:pPr>
            <w:r>
              <w:rPr>
                <w:rFonts w:ascii="宋体" w:eastAsia="宋体" w:hAnsi="宋体" w:cs="宋体"/>
                <w:spacing w:val="-5"/>
                <w:sz w:val="16"/>
                <w:szCs w:val="16"/>
              </w:rPr>
              <w:t>1.2</w:t>
            </w:r>
          </w:p>
        </w:tc>
        <w:tc>
          <w:tcPr>
            <w:tcW w:w="1278" w:type="dxa"/>
            <w:tcBorders>
              <w:left w:val="single" w:sz="4" w:space="0" w:color="000000"/>
              <w:bottom w:val="single" w:sz="4" w:space="0" w:color="000000"/>
            </w:tcBorders>
          </w:tcPr>
          <w:p w:rsidR="00EA40A3" w:rsidRDefault="00E86C16">
            <w:pPr>
              <w:spacing w:before="50" w:line="219" w:lineRule="auto"/>
              <w:ind w:left="405"/>
              <w:rPr>
                <w:rFonts w:ascii="宋体" w:eastAsia="宋体" w:hAnsi="宋体" w:cs="宋体"/>
                <w:sz w:val="16"/>
                <w:szCs w:val="16"/>
              </w:rPr>
            </w:pPr>
            <w:r>
              <w:rPr>
                <w:rFonts w:ascii="宋体" w:eastAsia="宋体" w:hAnsi="宋体" w:cs="宋体"/>
                <w:spacing w:val="7"/>
                <w:sz w:val="16"/>
                <w:szCs w:val="16"/>
              </w:rPr>
              <w:t>桂圆</w:t>
            </w:r>
          </w:p>
        </w:tc>
        <w:tc>
          <w:tcPr>
            <w:tcW w:w="1251" w:type="dxa"/>
            <w:tcBorders>
              <w:bottom w:val="single" w:sz="4" w:space="0" w:color="000000"/>
            </w:tcBorders>
          </w:tcPr>
          <w:p w:rsidR="00EA40A3" w:rsidRDefault="00E86C16">
            <w:pPr>
              <w:spacing w:before="111" w:line="157" w:lineRule="auto"/>
              <w:ind w:left="472"/>
              <w:rPr>
                <w:rFonts w:ascii="宋体" w:eastAsia="宋体" w:hAnsi="宋体" w:cs="宋体"/>
                <w:sz w:val="16"/>
                <w:szCs w:val="16"/>
              </w:rPr>
            </w:pPr>
            <w:r>
              <w:rPr>
                <w:rFonts w:ascii="宋体" w:eastAsia="宋体" w:hAnsi="宋体" w:cs="宋体"/>
                <w:spacing w:val="-2"/>
                <w:sz w:val="16"/>
                <w:szCs w:val="16"/>
              </w:rPr>
              <w:t>44.0</w:t>
            </w:r>
          </w:p>
        </w:tc>
      </w:tr>
    </w:tbl>
    <w:p w:rsidR="00EA40A3" w:rsidRDefault="00E86C16">
      <w:pPr>
        <w:spacing w:before="70" w:line="219" w:lineRule="auto"/>
        <w:ind w:left="399"/>
        <w:rPr>
          <w:rFonts w:ascii="宋体" w:eastAsia="宋体" w:hAnsi="宋体" w:cs="宋体"/>
          <w:sz w:val="15"/>
          <w:szCs w:val="15"/>
        </w:rPr>
      </w:pPr>
      <w:r>
        <w:rPr>
          <w:rFonts w:ascii="宋体" w:eastAsia="宋体" w:hAnsi="宋体" w:cs="宋体"/>
          <w:sz w:val="15"/>
          <w:szCs w:val="15"/>
        </w:rPr>
        <w:t>资料来源：葛可佑.2004.中国营养科学全</w:t>
      </w:r>
      <w:r>
        <w:rPr>
          <w:rFonts w:ascii="宋体" w:eastAsia="宋体" w:hAnsi="宋体" w:cs="宋体"/>
          <w:spacing w:val="-1"/>
          <w:sz w:val="15"/>
          <w:szCs w:val="15"/>
        </w:rPr>
        <w:t>书.北京：人民卫生出版社</w:t>
      </w:r>
    </w:p>
    <w:p w:rsidR="00EA40A3" w:rsidRDefault="00EA40A3">
      <w:pPr>
        <w:spacing w:line="244" w:lineRule="auto"/>
      </w:pPr>
    </w:p>
    <w:p w:rsidR="00EA40A3" w:rsidRDefault="00EA40A3">
      <w:pPr>
        <w:spacing w:line="245" w:lineRule="auto"/>
      </w:pPr>
    </w:p>
    <w:p w:rsidR="00EA40A3" w:rsidRDefault="00E86C16">
      <w:pPr>
        <w:spacing w:before="68" w:line="221" w:lineRule="auto"/>
        <w:ind w:left="3"/>
        <w:outlineLvl w:val="6"/>
        <w:rPr>
          <w:rFonts w:ascii="黑体" w:eastAsia="黑体" w:hAnsi="黑体" w:cs="黑体"/>
        </w:rPr>
      </w:pPr>
      <w:r>
        <w:rPr>
          <w:rFonts w:ascii="黑体" w:eastAsia="黑体" w:hAnsi="黑体" w:cs="黑体"/>
          <w:b/>
          <w:bCs/>
          <w:spacing w:val="-3"/>
        </w:rPr>
        <w:t>4.1.8</w:t>
      </w:r>
      <w:r>
        <w:rPr>
          <w:rFonts w:ascii="黑体" w:eastAsia="黑体" w:hAnsi="黑体" w:cs="黑体"/>
          <w:spacing w:val="21"/>
        </w:rPr>
        <w:t xml:space="preserve">   </w:t>
      </w:r>
      <w:r>
        <w:rPr>
          <w:rFonts w:ascii="黑体" w:eastAsia="黑体" w:hAnsi="黑体" w:cs="黑体"/>
          <w:b/>
          <w:bCs/>
          <w:spacing w:val="-3"/>
        </w:rPr>
        <w:t>锌</w:t>
      </w:r>
    </w:p>
    <w:p w:rsidR="00EA40A3" w:rsidRDefault="00E86C16">
      <w:pPr>
        <w:spacing w:before="217" w:line="254" w:lineRule="auto"/>
        <w:ind w:right="89" w:firstLine="439"/>
        <w:jc w:val="both"/>
        <w:rPr>
          <w:rFonts w:ascii="宋体" w:eastAsia="宋体" w:hAnsi="宋体" w:cs="宋体"/>
        </w:rPr>
      </w:pPr>
      <w:r>
        <w:rPr>
          <w:rFonts w:ascii="宋体" w:eastAsia="宋体" w:hAnsi="宋体" w:cs="宋体"/>
          <w:spacing w:val="3"/>
        </w:rPr>
        <w:t>成人体内含锌</w:t>
      </w:r>
      <w:r>
        <w:rPr>
          <w:rFonts w:ascii="宋体" w:eastAsia="宋体" w:hAnsi="宋体" w:cs="宋体"/>
          <w:spacing w:val="-47"/>
        </w:rPr>
        <w:t xml:space="preserve"> </w:t>
      </w:r>
      <w:r>
        <w:rPr>
          <w:rFonts w:ascii="宋体" w:eastAsia="宋体" w:hAnsi="宋体" w:cs="宋体"/>
          <w:spacing w:val="3"/>
        </w:rPr>
        <w:t>(</w:t>
      </w:r>
      <w:r>
        <w:rPr>
          <w:rFonts w:ascii="宋体" w:eastAsia="宋体" w:hAnsi="宋体" w:cs="宋体"/>
        </w:rPr>
        <w:t>zinc</w:t>
      </w:r>
      <w:r>
        <w:rPr>
          <w:rFonts w:ascii="宋体" w:eastAsia="宋体" w:hAnsi="宋体" w:cs="宋体"/>
          <w:spacing w:val="3"/>
        </w:rPr>
        <w:t>)</w:t>
      </w:r>
      <w:r>
        <w:rPr>
          <w:rFonts w:ascii="宋体" w:eastAsia="宋体" w:hAnsi="宋体" w:cs="宋体"/>
          <w:spacing w:val="-30"/>
        </w:rPr>
        <w:t xml:space="preserve"> </w:t>
      </w:r>
      <w:r>
        <w:rPr>
          <w:rFonts w:ascii="宋体" w:eastAsia="宋体" w:hAnsi="宋体" w:cs="宋体"/>
          <w:spacing w:val="3"/>
        </w:rPr>
        <w:t>约2～3g,</w:t>
      </w:r>
      <w:r>
        <w:rPr>
          <w:rFonts w:ascii="宋体" w:eastAsia="宋体" w:hAnsi="宋体" w:cs="宋体"/>
          <w:spacing w:val="6"/>
        </w:rPr>
        <w:t xml:space="preserve"> </w:t>
      </w:r>
      <w:r>
        <w:rPr>
          <w:rFonts w:ascii="宋体" w:eastAsia="宋体" w:hAnsi="宋体" w:cs="宋体"/>
          <w:spacing w:val="3"/>
        </w:rPr>
        <w:t>存在于所有组织</w:t>
      </w:r>
      <w:r>
        <w:rPr>
          <w:rFonts w:ascii="宋体" w:eastAsia="宋体" w:hAnsi="宋体" w:cs="宋体"/>
          <w:spacing w:val="2"/>
        </w:rPr>
        <w:t>中，肝、肾、骨骼肌、毛</w:t>
      </w:r>
      <w:r>
        <w:rPr>
          <w:rFonts w:ascii="宋体" w:eastAsia="宋体" w:hAnsi="宋体" w:cs="宋体"/>
        </w:rPr>
        <w:t xml:space="preserve"> </w:t>
      </w:r>
      <w:r>
        <w:rPr>
          <w:rFonts w:ascii="宋体" w:eastAsia="宋体" w:hAnsi="宋体" w:cs="宋体"/>
          <w:spacing w:val="-2"/>
        </w:rPr>
        <w:t>发、胰、脑等组织含锌量较多，正常血清锌浓度为100～140μg/100mL,</w:t>
      </w:r>
      <w:r>
        <w:rPr>
          <w:rFonts w:ascii="宋体" w:eastAsia="宋体" w:hAnsi="宋体" w:cs="宋体"/>
          <w:spacing w:val="97"/>
        </w:rPr>
        <w:t xml:space="preserve"> </w:t>
      </w:r>
      <w:r>
        <w:rPr>
          <w:rFonts w:ascii="宋体" w:eastAsia="宋体" w:hAnsi="宋体" w:cs="宋体"/>
          <w:spacing w:val="-2"/>
        </w:rPr>
        <w:t>头发锌</w:t>
      </w:r>
      <w:r>
        <w:rPr>
          <w:rFonts w:ascii="宋体" w:eastAsia="宋体" w:hAnsi="宋体" w:cs="宋体"/>
        </w:rPr>
        <w:t xml:space="preserve"> 含量约为125～250μg/g,</w:t>
      </w:r>
      <w:r>
        <w:rPr>
          <w:rFonts w:ascii="宋体" w:eastAsia="宋体" w:hAnsi="宋体" w:cs="宋体"/>
          <w:spacing w:val="16"/>
        </w:rPr>
        <w:t xml:space="preserve"> </w:t>
      </w:r>
      <w:r>
        <w:rPr>
          <w:rFonts w:ascii="宋体" w:eastAsia="宋体" w:hAnsi="宋体" w:cs="宋体"/>
        </w:rPr>
        <w:t xml:space="preserve">发锌含量可反映膳食中锌的长期供给水平。测定发锌 </w:t>
      </w:r>
      <w:r>
        <w:rPr>
          <w:rFonts w:ascii="宋体" w:eastAsia="宋体" w:hAnsi="宋体" w:cs="宋体"/>
          <w:spacing w:val="-5"/>
        </w:rPr>
        <w:t>取样方便，近年常被人们用来了解儿童锌的营养状况。</w:t>
      </w:r>
    </w:p>
    <w:p w:rsidR="00EA40A3" w:rsidRDefault="00E86C16">
      <w:pPr>
        <w:spacing w:before="238" w:line="222" w:lineRule="auto"/>
        <w:rPr>
          <w:rFonts w:ascii="仿宋" w:eastAsia="仿宋" w:hAnsi="仿宋" w:cs="仿宋"/>
        </w:rPr>
      </w:pPr>
      <w:r>
        <w:rPr>
          <w:rFonts w:ascii="仿宋" w:eastAsia="仿宋" w:hAnsi="仿宋" w:cs="仿宋"/>
          <w:spacing w:val="8"/>
        </w:rPr>
        <w:t>1.</w:t>
      </w:r>
      <w:r>
        <w:rPr>
          <w:rFonts w:ascii="仿宋" w:eastAsia="仿宋" w:hAnsi="仿宋" w:cs="仿宋"/>
          <w:spacing w:val="38"/>
        </w:rPr>
        <w:t xml:space="preserve"> </w:t>
      </w:r>
      <w:r>
        <w:rPr>
          <w:rFonts w:ascii="仿宋" w:eastAsia="仿宋" w:hAnsi="仿宋" w:cs="仿宋"/>
          <w:spacing w:val="8"/>
        </w:rPr>
        <w:t>锌的生理功能</w:t>
      </w:r>
    </w:p>
    <w:p w:rsidR="00EA40A3" w:rsidRDefault="00E86C16">
      <w:pPr>
        <w:spacing w:before="210" w:line="219" w:lineRule="auto"/>
        <w:ind w:left="439"/>
        <w:rPr>
          <w:rFonts w:ascii="宋体" w:eastAsia="宋体" w:hAnsi="宋体" w:cs="宋体"/>
        </w:rPr>
      </w:pPr>
      <w:r>
        <w:rPr>
          <w:rFonts w:ascii="宋体" w:eastAsia="宋体" w:hAnsi="宋体" w:cs="宋体"/>
        </w:rPr>
        <w:t>锌的生理功能一般分为3个部分：催化、结构和调节功能。</w:t>
      </w:r>
    </w:p>
    <w:p w:rsidR="00EA40A3" w:rsidRDefault="00E86C16">
      <w:pPr>
        <w:spacing w:before="59" w:line="253" w:lineRule="auto"/>
        <w:ind w:right="108" w:firstLine="439"/>
        <w:rPr>
          <w:rFonts w:ascii="宋体" w:eastAsia="宋体" w:hAnsi="宋体" w:cs="宋体"/>
        </w:rPr>
      </w:pPr>
      <w:r>
        <w:rPr>
          <w:rFonts w:ascii="宋体" w:eastAsia="宋体" w:hAnsi="宋体" w:cs="宋体"/>
        </w:rPr>
        <w:t>(1)催化功能。在国际生化协会酶命名委员会指定的六大酶类中</w:t>
      </w:r>
      <w:r>
        <w:rPr>
          <w:rFonts w:ascii="宋体" w:eastAsia="宋体" w:hAnsi="宋体" w:cs="宋体"/>
          <w:spacing w:val="-1"/>
        </w:rPr>
        <w:t>，每类都至</w:t>
      </w:r>
      <w:r>
        <w:rPr>
          <w:rFonts w:ascii="宋体" w:eastAsia="宋体" w:hAnsi="宋体" w:cs="宋体"/>
        </w:rPr>
        <w:t xml:space="preserve"> </w:t>
      </w:r>
      <w:r>
        <w:rPr>
          <w:rFonts w:ascii="宋体" w:eastAsia="宋体" w:hAnsi="宋体" w:cs="宋体"/>
          <w:spacing w:val="-3"/>
        </w:rPr>
        <w:t>少有一种含锌酶。体内重要的含锌酶有碳酸酐酶、胰羧肽酶</w:t>
      </w:r>
      <w:r>
        <w:rPr>
          <w:rFonts w:ascii="宋体" w:eastAsia="宋体" w:hAnsi="宋体" w:cs="宋体"/>
          <w:spacing w:val="-4"/>
        </w:rPr>
        <w:t>、</w:t>
      </w:r>
      <w:r>
        <w:rPr>
          <w:rFonts w:ascii="宋体" w:eastAsia="宋体" w:hAnsi="宋体" w:cs="宋体"/>
          <w:spacing w:val="4"/>
        </w:rPr>
        <w:t xml:space="preserve"> </w:t>
      </w:r>
      <w:r>
        <w:rPr>
          <w:rFonts w:ascii="宋体" w:eastAsia="宋体" w:hAnsi="宋体" w:cs="宋体"/>
          <w:spacing w:val="-3"/>
        </w:rPr>
        <w:t>DNA</w:t>
      </w:r>
      <w:r>
        <w:rPr>
          <w:rFonts w:ascii="宋体" w:eastAsia="宋体" w:hAnsi="宋体" w:cs="宋体"/>
          <w:spacing w:val="104"/>
        </w:rPr>
        <w:t xml:space="preserve"> </w:t>
      </w:r>
      <w:r>
        <w:rPr>
          <w:rFonts w:ascii="宋体" w:eastAsia="宋体" w:hAnsi="宋体" w:cs="宋体"/>
          <w:spacing w:val="-4"/>
        </w:rPr>
        <w:t>聚合酶、醇</w:t>
      </w:r>
      <w:r>
        <w:rPr>
          <w:rFonts w:ascii="宋体" w:eastAsia="宋体" w:hAnsi="宋体" w:cs="宋体"/>
        </w:rPr>
        <w:t xml:space="preserve"> </w:t>
      </w:r>
      <w:r>
        <w:rPr>
          <w:rFonts w:ascii="宋体" w:eastAsia="宋体" w:hAnsi="宋体" w:cs="宋体"/>
          <w:spacing w:val="-3"/>
        </w:rPr>
        <w:t>脱氢酶、谷氨酸脱氢酶、乳酸脱氢酶及丙酮酸氧化酶等，这些酶在组织呼吸以及</w:t>
      </w:r>
      <w:r>
        <w:rPr>
          <w:rFonts w:ascii="宋体" w:eastAsia="宋体" w:hAnsi="宋体" w:cs="宋体"/>
          <w:spacing w:val="15"/>
        </w:rPr>
        <w:t xml:space="preserve"> </w:t>
      </w:r>
      <w:r>
        <w:rPr>
          <w:rFonts w:ascii="宋体" w:eastAsia="宋体" w:hAnsi="宋体" w:cs="宋体"/>
          <w:spacing w:val="-6"/>
        </w:rPr>
        <w:t>蛋白质、脂肪、糖和核酸等的代谢中有重要作用。</w:t>
      </w:r>
    </w:p>
    <w:p w:rsidR="00EA40A3" w:rsidRDefault="00E86C16">
      <w:pPr>
        <w:spacing w:before="47" w:line="258" w:lineRule="auto"/>
        <w:ind w:right="15" w:firstLine="439"/>
        <w:rPr>
          <w:rFonts w:ascii="宋体" w:eastAsia="宋体" w:hAnsi="宋体" w:cs="宋体"/>
        </w:rPr>
      </w:pPr>
      <w:r>
        <w:rPr>
          <w:rFonts w:ascii="宋体" w:eastAsia="宋体" w:hAnsi="宋体" w:cs="宋体"/>
        </w:rPr>
        <w:t>(2)结构功能。①锌在酶中也有结构方面的作用。碳酸酐酶是人类认识的</w:t>
      </w:r>
      <w:r>
        <w:rPr>
          <w:rFonts w:ascii="宋体" w:eastAsia="宋体" w:hAnsi="宋体" w:cs="宋体"/>
          <w:spacing w:val="-1"/>
        </w:rPr>
        <w:t>第</w:t>
      </w:r>
      <w:r>
        <w:rPr>
          <w:rFonts w:ascii="宋体" w:eastAsia="宋体" w:hAnsi="宋体" w:cs="宋体"/>
        </w:rPr>
        <w:t xml:space="preserve">  </w:t>
      </w:r>
      <w:r>
        <w:rPr>
          <w:rFonts w:ascii="宋体" w:eastAsia="宋体" w:hAnsi="宋体" w:cs="宋体"/>
          <w:spacing w:val="-3"/>
        </w:rPr>
        <w:t>一个含锌的金属酶。到目前，已有的包含所有门类的、不同来源的含锌酶或其他</w:t>
      </w:r>
      <w:r>
        <w:rPr>
          <w:rFonts w:ascii="宋体" w:eastAsia="宋体" w:hAnsi="宋体" w:cs="宋体"/>
          <w:spacing w:val="6"/>
        </w:rPr>
        <w:t xml:space="preserve">  </w:t>
      </w:r>
      <w:r>
        <w:rPr>
          <w:rFonts w:ascii="宋体" w:eastAsia="宋体" w:hAnsi="宋体" w:cs="宋体"/>
        </w:rPr>
        <w:t>蛋白超过200种，锌通常能稳定酶蛋白的四级结构。②在细胞质膜中，锌主要结</w:t>
      </w:r>
      <w:r>
        <w:rPr>
          <w:rFonts w:ascii="宋体" w:eastAsia="宋体" w:hAnsi="宋体" w:cs="宋体"/>
          <w:spacing w:val="8"/>
        </w:rPr>
        <w:t xml:space="preserve">  </w:t>
      </w:r>
      <w:r>
        <w:rPr>
          <w:rFonts w:ascii="宋体" w:eastAsia="宋体" w:hAnsi="宋体" w:cs="宋体"/>
        </w:rPr>
        <w:t>合在细胞膜含硫、氮的配基上，少数结合在含氧的配基上，形成牢固的复合物，</w:t>
      </w:r>
      <w:r>
        <w:rPr>
          <w:rFonts w:ascii="宋体" w:eastAsia="宋体" w:hAnsi="宋体" w:cs="宋体"/>
          <w:spacing w:val="3"/>
        </w:rPr>
        <w:t xml:space="preserve"> </w:t>
      </w:r>
      <w:r>
        <w:rPr>
          <w:rFonts w:ascii="宋体" w:eastAsia="宋体" w:hAnsi="宋体" w:cs="宋体"/>
          <w:spacing w:val="-3"/>
        </w:rPr>
        <w:t>从而维持细胞膜稳定，减少毒素吸收和组织损伤。③锌通过蛋白质的螯合作用构</w:t>
      </w:r>
      <w:r>
        <w:rPr>
          <w:rFonts w:ascii="宋体" w:eastAsia="宋体" w:hAnsi="宋体" w:cs="宋体"/>
          <w:spacing w:val="8"/>
        </w:rPr>
        <w:t xml:space="preserve">  </w:t>
      </w:r>
      <w:r>
        <w:rPr>
          <w:rFonts w:ascii="宋体" w:eastAsia="宋体" w:hAnsi="宋体" w:cs="宋体"/>
          <w:spacing w:val="2"/>
        </w:rPr>
        <w:t>成环状结构的锌指蛋白，形如手指。锌指蛋白分布在</w:t>
      </w:r>
      <w:r>
        <w:rPr>
          <w:rFonts w:ascii="宋体" w:eastAsia="宋体" w:hAnsi="宋体" w:cs="宋体"/>
          <w:spacing w:val="1"/>
        </w:rPr>
        <w:t>细胞核中转录因子的</w:t>
      </w:r>
      <w:r>
        <w:rPr>
          <w:rFonts w:ascii="宋体" w:eastAsia="宋体" w:hAnsi="宋体" w:cs="宋体"/>
        </w:rPr>
        <w:t xml:space="preserve">DNA   </w:t>
      </w:r>
      <w:r>
        <w:rPr>
          <w:rFonts w:ascii="宋体" w:eastAsia="宋体" w:hAnsi="宋体" w:cs="宋体"/>
          <w:spacing w:val="-5"/>
        </w:rPr>
        <w:t>结合区域，有广泛的生化功能。</w:t>
      </w:r>
    </w:p>
    <w:p w:rsidR="00EA40A3" w:rsidRDefault="00E86C16">
      <w:pPr>
        <w:spacing w:before="50" w:line="219" w:lineRule="auto"/>
        <w:ind w:left="439"/>
        <w:rPr>
          <w:rFonts w:ascii="宋体" w:eastAsia="宋体" w:hAnsi="宋体" w:cs="宋体"/>
        </w:rPr>
      </w:pPr>
      <w:r>
        <w:rPr>
          <w:rFonts w:ascii="宋体" w:eastAsia="宋体" w:hAnsi="宋体" w:cs="宋体"/>
        </w:rPr>
        <w:t>(3)调节功能。锌作为一个调节基因表达的因子，在体内有</w:t>
      </w:r>
      <w:r>
        <w:rPr>
          <w:rFonts w:ascii="宋体" w:eastAsia="宋体" w:hAnsi="宋体" w:cs="宋体"/>
          <w:spacing w:val="-1"/>
        </w:rPr>
        <w:t>广泛作用。锌对</w:t>
      </w:r>
    </w:p>
    <w:p w:rsidR="00EA40A3" w:rsidRDefault="00EA40A3">
      <w:pPr>
        <w:sectPr w:rsidR="00EA40A3">
          <w:footerReference w:type="default" r:id="rId81"/>
          <w:pgSz w:w="9220" w:h="13360"/>
          <w:pgMar w:top="400" w:right="990" w:bottom="1255" w:left="860" w:header="0" w:footer="1035" w:gutter="0"/>
          <w:cols w:space="720"/>
        </w:sectPr>
      </w:pPr>
    </w:p>
    <w:p w:rsidR="00EA40A3" w:rsidRDefault="00EA40A3">
      <w:pPr>
        <w:spacing w:line="273" w:lineRule="auto"/>
      </w:pPr>
    </w:p>
    <w:p w:rsidR="00EA40A3" w:rsidRDefault="00EA40A3">
      <w:pPr>
        <w:spacing w:line="273" w:lineRule="auto"/>
      </w:pPr>
    </w:p>
    <w:p w:rsidR="00EA40A3" w:rsidRDefault="00E86C16">
      <w:pPr>
        <w:spacing w:before="68" w:line="255" w:lineRule="auto"/>
        <w:ind w:right="94"/>
        <w:jc w:val="both"/>
        <w:rPr>
          <w:rFonts w:ascii="宋体" w:eastAsia="宋体" w:hAnsi="宋体" w:cs="宋体"/>
        </w:rPr>
      </w:pPr>
      <w:r>
        <w:rPr>
          <w:rFonts w:ascii="宋体" w:eastAsia="宋体" w:hAnsi="宋体" w:cs="宋体"/>
          <w:spacing w:val="-3"/>
        </w:rPr>
        <w:t>蛋白质的合成和代谢、对免疫调节因子的分泌和产生、对细胞复制和分化都产生</w:t>
      </w:r>
      <w:r>
        <w:rPr>
          <w:rFonts w:ascii="宋体" w:eastAsia="宋体" w:hAnsi="宋体" w:cs="宋体"/>
          <w:spacing w:val="3"/>
        </w:rPr>
        <w:t xml:space="preserve"> </w:t>
      </w:r>
      <w:r>
        <w:rPr>
          <w:rFonts w:ascii="宋体" w:eastAsia="宋体" w:hAnsi="宋体" w:cs="宋体"/>
          <w:spacing w:val="-3"/>
        </w:rPr>
        <w:t>影响。锌对激素的调节和影响也有重要生物意义，锌除对激素受体的效能和靶器</w:t>
      </w:r>
      <w:r>
        <w:rPr>
          <w:rFonts w:ascii="宋体" w:eastAsia="宋体" w:hAnsi="宋体" w:cs="宋体"/>
          <w:spacing w:val="2"/>
        </w:rPr>
        <w:t xml:space="preserve"> </w:t>
      </w:r>
      <w:r>
        <w:rPr>
          <w:rFonts w:ascii="宋体" w:eastAsia="宋体" w:hAnsi="宋体" w:cs="宋体"/>
          <w:spacing w:val="-4"/>
        </w:rPr>
        <w:t>官的反应产生影响外，还在激素的产生、储存和分泌中起作用。</w:t>
      </w:r>
    </w:p>
    <w:p w:rsidR="00EA40A3" w:rsidRDefault="00E86C16">
      <w:pPr>
        <w:spacing w:before="229" w:line="222" w:lineRule="auto"/>
        <w:rPr>
          <w:rFonts w:ascii="仿宋" w:eastAsia="仿宋" w:hAnsi="仿宋" w:cs="仿宋"/>
        </w:rPr>
      </w:pPr>
      <w:r>
        <w:rPr>
          <w:rFonts w:ascii="仿宋" w:eastAsia="仿宋" w:hAnsi="仿宋" w:cs="仿宋"/>
          <w:spacing w:val="20"/>
        </w:rPr>
        <w:t>2.</w:t>
      </w:r>
      <w:r>
        <w:rPr>
          <w:rFonts w:ascii="仿宋" w:eastAsia="仿宋" w:hAnsi="仿宋" w:cs="仿宋"/>
          <w:spacing w:val="-20"/>
        </w:rPr>
        <w:t xml:space="preserve"> </w:t>
      </w:r>
      <w:r>
        <w:rPr>
          <w:rFonts w:ascii="仿宋" w:eastAsia="仿宋" w:hAnsi="仿宋" w:cs="仿宋"/>
          <w:spacing w:val="20"/>
        </w:rPr>
        <w:t>锌的吸收与代谢</w:t>
      </w:r>
    </w:p>
    <w:p w:rsidR="00EA40A3" w:rsidRDefault="00E86C16">
      <w:pPr>
        <w:spacing w:before="171" w:line="229" w:lineRule="auto"/>
        <w:rPr>
          <w:rFonts w:ascii="楷体" w:eastAsia="楷体" w:hAnsi="楷体" w:cs="楷体"/>
        </w:rPr>
      </w:pPr>
      <w:r>
        <w:rPr>
          <w:rFonts w:ascii="楷体" w:eastAsia="楷体" w:hAnsi="楷体" w:cs="楷体"/>
          <w:spacing w:val="4"/>
        </w:rPr>
        <w:t>1)吸收和转运</w:t>
      </w:r>
    </w:p>
    <w:p w:rsidR="00EA40A3" w:rsidRDefault="00E86C16">
      <w:pPr>
        <w:spacing w:before="56" w:line="253" w:lineRule="auto"/>
        <w:ind w:right="75" w:firstLine="410"/>
        <w:rPr>
          <w:rFonts w:ascii="宋体" w:eastAsia="宋体" w:hAnsi="宋体" w:cs="宋体"/>
        </w:rPr>
      </w:pPr>
      <w:r>
        <w:rPr>
          <w:rFonts w:ascii="宋体" w:eastAsia="宋体" w:hAnsi="宋体" w:cs="宋体"/>
          <w:spacing w:val="-3"/>
        </w:rPr>
        <w:t>锌的吸收主要在十二指肠和上段小肠处，仅小部分吸收在胃和大</w:t>
      </w:r>
      <w:r>
        <w:rPr>
          <w:rFonts w:ascii="宋体" w:eastAsia="宋体" w:hAnsi="宋体" w:cs="宋体"/>
          <w:spacing w:val="-4"/>
        </w:rPr>
        <w:t>肠。锌先与</w:t>
      </w:r>
      <w:r>
        <w:rPr>
          <w:rFonts w:ascii="宋体" w:eastAsia="宋体" w:hAnsi="宋体" w:cs="宋体"/>
        </w:rPr>
        <w:t xml:space="preserve"> </w:t>
      </w:r>
      <w:r>
        <w:rPr>
          <w:rFonts w:ascii="宋体" w:eastAsia="宋体" w:hAnsi="宋体" w:cs="宋体"/>
          <w:spacing w:val="1"/>
        </w:rPr>
        <w:t>小分子的肽构成复合物，后主要经主动转运机制被吸收</w:t>
      </w:r>
      <w:r>
        <w:rPr>
          <w:rFonts w:ascii="宋体" w:eastAsia="宋体" w:hAnsi="宋体" w:cs="宋体"/>
        </w:rPr>
        <w:t xml:space="preserve">。肠道锌吸收分为4个阶 </w:t>
      </w:r>
      <w:r>
        <w:rPr>
          <w:rFonts w:ascii="宋体" w:eastAsia="宋体" w:hAnsi="宋体" w:cs="宋体"/>
          <w:spacing w:val="-3"/>
        </w:rPr>
        <w:t>段：即肠细胞摄取锌、通过黏膜细胞转运、转运至门静脉循环和内源锌分泌返回</w:t>
      </w:r>
      <w:r>
        <w:rPr>
          <w:rFonts w:ascii="宋体" w:eastAsia="宋体" w:hAnsi="宋体" w:cs="宋体"/>
          <w:spacing w:val="16"/>
        </w:rPr>
        <w:t xml:space="preserve"> </w:t>
      </w:r>
      <w:r>
        <w:rPr>
          <w:rFonts w:ascii="宋体" w:eastAsia="宋体" w:hAnsi="宋体" w:cs="宋体"/>
          <w:spacing w:val="-8"/>
        </w:rPr>
        <w:t>肠细胞。</w:t>
      </w:r>
    </w:p>
    <w:p w:rsidR="00EA40A3" w:rsidRDefault="00E86C16">
      <w:pPr>
        <w:spacing w:before="81" w:line="256" w:lineRule="auto"/>
        <w:ind w:right="85" w:firstLine="410"/>
        <w:rPr>
          <w:rFonts w:ascii="宋体" w:eastAsia="宋体" w:hAnsi="宋体" w:cs="宋体"/>
        </w:rPr>
      </w:pPr>
      <w:r>
        <w:rPr>
          <w:rFonts w:ascii="宋体" w:eastAsia="宋体" w:hAnsi="宋体" w:cs="宋体"/>
          <w:spacing w:val="-3"/>
        </w:rPr>
        <w:t>小肠内被吸收的锌在门静脉血浆中与白蛋白结合，被带到肝脏内，进入肝静</w:t>
      </w:r>
      <w:r>
        <w:rPr>
          <w:rFonts w:ascii="宋体" w:eastAsia="宋体" w:hAnsi="宋体" w:cs="宋体"/>
          <w:spacing w:val="5"/>
        </w:rPr>
        <w:t xml:space="preserve"> </w:t>
      </w:r>
      <w:r>
        <w:rPr>
          <w:rFonts w:ascii="宋体" w:eastAsia="宋体" w:hAnsi="宋体" w:cs="宋体"/>
          <w:spacing w:val="9"/>
        </w:rPr>
        <w:t>脉血中的锌约有30%～40%被肝脏摄取，随后释放回血液中。循环血中的锌以</w:t>
      </w:r>
      <w:r>
        <w:rPr>
          <w:rFonts w:ascii="宋体" w:eastAsia="宋体" w:hAnsi="宋体" w:cs="宋体"/>
          <w:spacing w:val="3"/>
        </w:rPr>
        <w:t xml:space="preserve"> </w:t>
      </w:r>
      <w:r>
        <w:rPr>
          <w:rFonts w:ascii="宋体" w:eastAsia="宋体" w:hAnsi="宋体" w:cs="宋体"/>
          <w:spacing w:val="-3"/>
        </w:rPr>
        <w:t>不同速率进入到各种肝外组织中。这些组织的锌周转率不同，中枢神经系统和骨</w:t>
      </w:r>
      <w:r>
        <w:rPr>
          <w:rFonts w:ascii="宋体" w:eastAsia="宋体" w:hAnsi="宋体" w:cs="宋体"/>
          <w:spacing w:val="5"/>
        </w:rPr>
        <w:t xml:space="preserve"> </w:t>
      </w:r>
      <w:r>
        <w:rPr>
          <w:rFonts w:ascii="宋体" w:eastAsia="宋体" w:hAnsi="宋体" w:cs="宋体"/>
          <w:spacing w:val="-3"/>
        </w:rPr>
        <w:t>骼摄入锌的速率较低，通常情况下骨骼锌不易被机体代谢利用。进入毛发的锌也</w:t>
      </w:r>
      <w:r>
        <w:rPr>
          <w:rFonts w:ascii="宋体" w:eastAsia="宋体" w:hAnsi="宋体" w:cs="宋体"/>
          <w:spacing w:val="6"/>
        </w:rPr>
        <w:t xml:space="preserve"> </w:t>
      </w:r>
      <w:r>
        <w:rPr>
          <w:rFonts w:ascii="宋体" w:eastAsia="宋体" w:hAnsi="宋体" w:cs="宋体"/>
          <w:spacing w:val="-3"/>
        </w:rPr>
        <w:t>不能被机体组织利用，并且随毛发的脱落而丢失。存留于胰、肝、肾、脾中的锌</w:t>
      </w:r>
      <w:r>
        <w:rPr>
          <w:rFonts w:ascii="宋体" w:eastAsia="宋体" w:hAnsi="宋体" w:cs="宋体"/>
          <w:spacing w:val="5"/>
        </w:rPr>
        <w:t xml:space="preserve"> </w:t>
      </w:r>
      <w:r>
        <w:rPr>
          <w:rFonts w:ascii="宋体" w:eastAsia="宋体" w:hAnsi="宋体" w:cs="宋体"/>
          <w:spacing w:val="-4"/>
        </w:rPr>
        <w:t>的积聚速率最快，周转率最高；红细胞和肌肉的锌的交换速率则低得多。</w:t>
      </w:r>
    </w:p>
    <w:p w:rsidR="00EA40A3" w:rsidRDefault="00E86C16">
      <w:pPr>
        <w:spacing w:before="79" w:line="227" w:lineRule="auto"/>
        <w:rPr>
          <w:rFonts w:ascii="楷体" w:eastAsia="楷体" w:hAnsi="楷体" w:cs="楷体"/>
        </w:rPr>
      </w:pPr>
      <w:r>
        <w:rPr>
          <w:rFonts w:ascii="楷体" w:eastAsia="楷体" w:hAnsi="楷体" w:cs="楷体"/>
          <w:spacing w:val="5"/>
        </w:rPr>
        <w:t>2)利用与储存</w:t>
      </w:r>
    </w:p>
    <w:p w:rsidR="00EA40A3" w:rsidRDefault="00E86C16">
      <w:pPr>
        <w:spacing w:before="54" w:line="250" w:lineRule="auto"/>
        <w:ind w:right="88" w:firstLine="410"/>
        <w:rPr>
          <w:rFonts w:ascii="宋体" w:eastAsia="宋体" w:hAnsi="宋体" w:cs="宋体"/>
        </w:rPr>
      </w:pPr>
      <w:r>
        <w:rPr>
          <w:rFonts w:ascii="宋体" w:eastAsia="宋体" w:hAnsi="宋体" w:cs="宋体"/>
          <w:spacing w:val="1"/>
        </w:rPr>
        <w:t>(1)生物利用。锌的生物利用率受多种因素影</w:t>
      </w:r>
      <w:r>
        <w:rPr>
          <w:rFonts w:ascii="宋体" w:eastAsia="宋体" w:hAnsi="宋体" w:cs="宋体"/>
        </w:rPr>
        <w:t xml:space="preserve">响。小肠是影响锌吸收利用的 </w:t>
      </w:r>
      <w:r>
        <w:rPr>
          <w:rFonts w:ascii="宋体" w:eastAsia="宋体" w:hAnsi="宋体" w:cs="宋体"/>
          <w:spacing w:val="-4"/>
        </w:rPr>
        <w:t>主要器官，小肠内外源性锌的吸收和内源性锌的重吸收</w:t>
      </w:r>
      <w:r>
        <w:rPr>
          <w:rFonts w:ascii="宋体" w:eastAsia="宋体" w:hAnsi="宋体" w:cs="宋体"/>
          <w:spacing w:val="-5"/>
        </w:rPr>
        <w:t>受众多膳食因素的影响。</w:t>
      </w:r>
    </w:p>
    <w:p w:rsidR="00EA40A3" w:rsidRDefault="00E86C16">
      <w:pPr>
        <w:spacing w:before="44" w:line="256" w:lineRule="auto"/>
        <w:ind w:firstLine="410"/>
        <w:rPr>
          <w:rFonts w:ascii="宋体" w:eastAsia="宋体" w:hAnsi="宋体" w:cs="宋体"/>
        </w:rPr>
      </w:pPr>
      <w:r>
        <w:rPr>
          <w:rFonts w:ascii="宋体" w:eastAsia="宋体" w:hAnsi="宋体" w:cs="宋体"/>
          <w:spacing w:val="-1"/>
        </w:rPr>
        <w:t>肠道内环境显著地影响锌的溶解和吸收，近似于中性的pH</w:t>
      </w:r>
      <w:r>
        <w:rPr>
          <w:rFonts w:ascii="宋体" w:eastAsia="宋体" w:hAnsi="宋体" w:cs="宋体"/>
          <w:spacing w:val="37"/>
        </w:rPr>
        <w:t xml:space="preserve"> </w:t>
      </w:r>
      <w:r>
        <w:rPr>
          <w:rFonts w:ascii="宋体" w:eastAsia="宋体" w:hAnsi="宋体" w:cs="宋体"/>
          <w:spacing w:val="-1"/>
        </w:rPr>
        <w:t>有利于锌与配位</w:t>
      </w:r>
      <w:r>
        <w:rPr>
          <w:rFonts w:ascii="宋体" w:eastAsia="宋体" w:hAnsi="宋体" w:cs="宋体"/>
        </w:rPr>
        <w:t xml:space="preserve">  体的结合，有关螯合物形式的锌的摄入和吸收关系至今还没有足够</w:t>
      </w:r>
      <w:r>
        <w:rPr>
          <w:rFonts w:ascii="宋体" w:eastAsia="宋体" w:hAnsi="宋体" w:cs="宋体"/>
          <w:spacing w:val="-1"/>
        </w:rPr>
        <w:t>的研究证据。</w:t>
      </w:r>
      <w:r>
        <w:rPr>
          <w:rFonts w:ascii="宋体" w:eastAsia="宋体" w:hAnsi="宋体" w:cs="宋体"/>
        </w:rPr>
        <w:t xml:space="preserve"> </w:t>
      </w:r>
      <w:r>
        <w:rPr>
          <w:rFonts w:ascii="宋体" w:eastAsia="宋体" w:hAnsi="宋体" w:cs="宋体"/>
          <w:spacing w:val="-4"/>
        </w:rPr>
        <w:t>某些锌的转运因子可能需要游离的锌，才能穿过细胞流动到需要的部位。</w:t>
      </w:r>
    </w:p>
    <w:p w:rsidR="00EA40A3" w:rsidRDefault="00E86C16">
      <w:pPr>
        <w:spacing w:before="62" w:line="249" w:lineRule="auto"/>
        <w:ind w:right="19" w:firstLine="410"/>
        <w:rPr>
          <w:rFonts w:ascii="宋体" w:eastAsia="宋体" w:hAnsi="宋体" w:cs="宋体"/>
        </w:rPr>
      </w:pPr>
      <w:r>
        <w:rPr>
          <w:rFonts w:ascii="宋体" w:eastAsia="宋体" w:hAnsi="宋体" w:cs="宋体"/>
          <w:spacing w:val="3"/>
        </w:rPr>
        <w:t>(2)储存。机体锌是否有特殊的储存机制还不清</w:t>
      </w:r>
      <w:r>
        <w:rPr>
          <w:rFonts w:ascii="宋体" w:eastAsia="宋体" w:hAnsi="宋体" w:cs="宋体"/>
          <w:spacing w:val="2"/>
        </w:rPr>
        <w:t>楚。几乎在所有的研究中，</w:t>
      </w:r>
      <w:r>
        <w:rPr>
          <w:rFonts w:ascii="宋体" w:eastAsia="宋体" w:hAnsi="宋体" w:cs="宋体"/>
        </w:rPr>
        <w:t xml:space="preserve"> </w:t>
      </w:r>
      <w:r>
        <w:rPr>
          <w:rFonts w:ascii="宋体" w:eastAsia="宋体" w:hAnsi="宋体" w:cs="宋体"/>
          <w:spacing w:val="-3"/>
        </w:rPr>
        <w:t>如果显著地降低膳食锌的摄入量，很快就会出现锌缺乏的症状。另外，锌摄入量</w:t>
      </w:r>
      <w:r>
        <w:rPr>
          <w:rFonts w:ascii="宋体" w:eastAsia="宋体" w:hAnsi="宋体" w:cs="宋体"/>
          <w:spacing w:val="2"/>
        </w:rPr>
        <w:t xml:space="preserve"> </w:t>
      </w:r>
      <w:r>
        <w:rPr>
          <w:rFonts w:ascii="宋体" w:eastAsia="宋体" w:hAnsi="宋体" w:cs="宋体"/>
          <w:spacing w:val="-5"/>
        </w:rPr>
        <w:t>的减少，也伴随着组织减少向肌肉和血液输送锌。</w:t>
      </w:r>
    </w:p>
    <w:p w:rsidR="00EA40A3" w:rsidRDefault="00E86C16">
      <w:pPr>
        <w:spacing w:before="49" w:line="259" w:lineRule="auto"/>
        <w:ind w:right="68" w:firstLine="410"/>
        <w:rPr>
          <w:rFonts w:ascii="宋体" w:eastAsia="宋体" w:hAnsi="宋体" w:cs="宋体"/>
        </w:rPr>
      </w:pPr>
      <w:r>
        <w:rPr>
          <w:rFonts w:ascii="宋体" w:eastAsia="宋体" w:hAnsi="宋体" w:cs="宋体"/>
        </w:rPr>
        <w:t>(3)锌与其他营养素关系。①铁摄入量过高可影响锌的吸收利用</w:t>
      </w:r>
      <w:r>
        <w:rPr>
          <w:rFonts w:ascii="宋体" w:eastAsia="宋体" w:hAnsi="宋体" w:cs="宋体"/>
          <w:spacing w:val="-1"/>
        </w:rPr>
        <w:t>。在铁缺乏</w:t>
      </w:r>
      <w:r>
        <w:rPr>
          <w:rFonts w:ascii="宋体" w:eastAsia="宋体" w:hAnsi="宋体" w:cs="宋体"/>
        </w:rPr>
        <w:t xml:space="preserve"> </w:t>
      </w:r>
      <w:r>
        <w:rPr>
          <w:rFonts w:ascii="宋体" w:eastAsia="宋体" w:hAnsi="宋体" w:cs="宋体"/>
          <w:spacing w:val="-3"/>
        </w:rPr>
        <w:t>时，可使铁转运蛋白的功能受损，而锌的转运因子、锌的吸收可能被激发而相对</w:t>
      </w:r>
      <w:r>
        <w:rPr>
          <w:rFonts w:ascii="宋体" w:eastAsia="宋体" w:hAnsi="宋体" w:cs="宋体"/>
          <w:spacing w:val="2"/>
        </w:rPr>
        <w:t xml:space="preserve"> </w:t>
      </w:r>
      <w:r>
        <w:rPr>
          <w:rFonts w:ascii="宋体" w:eastAsia="宋体" w:hAnsi="宋体" w:cs="宋体"/>
          <w:spacing w:val="-2"/>
        </w:rPr>
        <w:t>地提高。②钙对锌吸收也有潜在抑制作用。高钙饲养的猪减少锌的吸</w:t>
      </w:r>
      <w:r>
        <w:rPr>
          <w:rFonts w:ascii="宋体" w:eastAsia="宋体" w:hAnsi="宋体" w:cs="宋体"/>
          <w:spacing w:val="-3"/>
        </w:rPr>
        <w:t>收，并易引</w:t>
      </w:r>
      <w:r>
        <w:rPr>
          <w:rFonts w:ascii="宋体" w:eastAsia="宋体" w:hAnsi="宋体" w:cs="宋体"/>
        </w:rPr>
        <w:t xml:space="preserve"> </w:t>
      </w:r>
      <w:r>
        <w:rPr>
          <w:rFonts w:ascii="宋体" w:eastAsia="宋体" w:hAnsi="宋体" w:cs="宋体"/>
          <w:spacing w:val="-3"/>
        </w:rPr>
        <w:t>起皮肤疾患，如角化不全，对人群的研究有类似的现象。③蛋白质的消化率与锌</w:t>
      </w:r>
      <w:r>
        <w:rPr>
          <w:rFonts w:ascii="宋体" w:eastAsia="宋体" w:hAnsi="宋体" w:cs="宋体"/>
          <w:spacing w:val="5"/>
        </w:rPr>
        <w:t xml:space="preserve"> </w:t>
      </w:r>
      <w:r>
        <w:rPr>
          <w:rFonts w:ascii="宋体" w:eastAsia="宋体" w:hAnsi="宋体" w:cs="宋体"/>
          <w:spacing w:val="-3"/>
        </w:rPr>
        <w:t>的吸收率有高度相关，蛋白质消化中微小的改变可能显著地改变锌的吸收。在蛋</w:t>
      </w:r>
      <w:r>
        <w:rPr>
          <w:rFonts w:ascii="宋体" w:eastAsia="宋体" w:hAnsi="宋体" w:cs="宋体"/>
          <w:spacing w:val="3"/>
        </w:rPr>
        <w:t xml:space="preserve"> </w:t>
      </w:r>
      <w:r>
        <w:rPr>
          <w:rFonts w:ascii="宋体" w:eastAsia="宋体" w:hAnsi="宋体" w:cs="宋体"/>
          <w:spacing w:val="-3"/>
        </w:rPr>
        <w:t>白质消化过程中，锌变成小肠细胞转运更容易接受的形式。④植酸可以和锌形成</w:t>
      </w:r>
      <w:r>
        <w:rPr>
          <w:rFonts w:ascii="宋体" w:eastAsia="宋体" w:hAnsi="宋体" w:cs="宋体"/>
          <w:spacing w:val="3"/>
        </w:rPr>
        <w:t xml:space="preserve"> </w:t>
      </w:r>
      <w:r>
        <w:rPr>
          <w:rFonts w:ascii="宋体" w:eastAsia="宋体" w:hAnsi="宋体" w:cs="宋体"/>
          <w:spacing w:val="-2"/>
        </w:rPr>
        <w:t>牢固而稳定的化合物，而人体缺少一种能分解它的酶系统，故锌与植</w:t>
      </w:r>
      <w:r>
        <w:rPr>
          <w:rFonts w:ascii="宋体" w:eastAsia="宋体" w:hAnsi="宋体" w:cs="宋体"/>
          <w:spacing w:val="-3"/>
        </w:rPr>
        <w:t>酸结合是引</w:t>
      </w:r>
      <w:r>
        <w:rPr>
          <w:rFonts w:ascii="宋体" w:eastAsia="宋体" w:hAnsi="宋体" w:cs="宋体"/>
        </w:rPr>
        <w:t xml:space="preserve"> </w:t>
      </w:r>
      <w:r>
        <w:rPr>
          <w:rFonts w:ascii="宋体" w:eastAsia="宋体" w:hAnsi="宋体" w:cs="宋体"/>
          <w:spacing w:val="-2"/>
        </w:rPr>
        <w:t>起膳食锌缺乏的一个因素。高膳食纤维含量的食物也常</w:t>
      </w:r>
      <w:r>
        <w:rPr>
          <w:rFonts w:ascii="宋体" w:eastAsia="宋体" w:hAnsi="宋体" w:cs="宋体"/>
          <w:spacing w:val="-3"/>
        </w:rPr>
        <w:t>常含有高的植酸，但单纯</w:t>
      </w:r>
      <w:r>
        <w:rPr>
          <w:rFonts w:ascii="宋体" w:eastAsia="宋体" w:hAnsi="宋体" w:cs="宋体"/>
        </w:rPr>
        <w:t xml:space="preserve"> </w:t>
      </w:r>
      <w:r>
        <w:rPr>
          <w:rFonts w:ascii="宋体" w:eastAsia="宋体" w:hAnsi="宋体" w:cs="宋体"/>
          <w:spacing w:val="-6"/>
        </w:rPr>
        <w:t>的膳食纤维对锌的吸收不构成影响。</w:t>
      </w:r>
    </w:p>
    <w:p w:rsidR="00EA40A3" w:rsidRDefault="00E86C16">
      <w:pPr>
        <w:spacing w:before="75" w:line="223" w:lineRule="auto"/>
        <w:rPr>
          <w:rFonts w:ascii="楷体" w:eastAsia="楷体" w:hAnsi="楷体" w:cs="楷体"/>
        </w:rPr>
      </w:pPr>
      <w:r>
        <w:rPr>
          <w:rFonts w:ascii="楷体" w:eastAsia="楷体" w:hAnsi="楷体" w:cs="楷体"/>
          <w:spacing w:val="5"/>
        </w:rPr>
        <w:t>3)排泄与丢失</w:t>
      </w:r>
    </w:p>
    <w:p w:rsidR="00EA40A3" w:rsidRDefault="00E86C16">
      <w:pPr>
        <w:spacing w:before="112" w:line="219" w:lineRule="auto"/>
        <w:ind w:left="410"/>
        <w:rPr>
          <w:rFonts w:ascii="宋体" w:eastAsia="宋体" w:hAnsi="宋体" w:cs="宋体"/>
        </w:rPr>
      </w:pPr>
      <w:r>
        <w:rPr>
          <w:rFonts w:ascii="宋体" w:eastAsia="宋体" w:hAnsi="宋体" w:cs="宋体"/>
          <w:spacing w:val="-3"/>
        </w:rPr>
        <w:t>在正常膳食锌水平时，粪是锌排泄的主要途径。因此当体内锌处于平衡状态</w:t>
      </w:r>
    </w:p>
    <w:p w:rsidR="00EA40A3" w:rsidRDefault="00E86C16">
      <w:pPr>
        <w:spacing w:before="46"/>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106</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footerReference w:type="default" r:id="rId82"/>
          <w:pgSz w:w="9220" w:h="13360"/>
          <w:pgMar w:top="400" w:right="1045" w:bottom="400" w:left="829" w:header="0" w:footer="0" w:gutter="0"/>
          <w:cols w:space="720"/>
        </w:sectPr>
      </w:pPr>
    </w:p>
    <w:p w:rsidR="00EA40A3" w:rsidRDefault="00EA40A3">
      <w:pPr>
        <w:spacing w:line="472" w:lineRule="auto"/>
      </w:pPr>
    </w:p>
    <w:p w:rsidR="00EA40A3" w:rsidRDefault="00E86C16">
      <w:pPr>
        <w:spacing w:before="72" w:line="250" w:lineRule="auto"/>
        <w:ind w:right="40"/>
        <w:jc w:val="both"/>
        <w:rPr>
          <w:rFonts w:ascii="宋体" w:eastAsia="宋体" w:hAnsi="宋体" w:cs="宋体"/>
          <w:sz w:val="22"/>
          <w:szCs w:val="22"/>
        </w:rPr>
      </w:pPr>
      <w:bookmarkStart w:id="23" w:name="_bookmark27"/>
      <w:bookmarkEnd w:id="23"/>
      <w:r>
        <w:rPr>
          <w:rFonts w:ascii="宋体" w:eastAsia="宋体" w:hAnsi="宋体" w:cs="宋体"/>
          <w:spacing w:val="-2"/>
          <w:sz w:val="22"/>
          <w:szCs w:val="22"/>
        </w:rPr>
        <w:t>时，约90%的摄入的锌由粪中排出，其余部分由尿、汗、头发中排出或丢失。</w:t>
      </w:r>
      <w:r>
        <w:rPr>
          <w:rFonts w:ascii="宋体" w:eastAsia="宋体" w:hAnsi="宋体" w:cs="宋体"/>
          <w:spacing w:val="18"/>
          <w:sz w:val="22"/>
          <w:szCs w:val="22"/>
        </w:rPr>
        <w:t xml:space="preserve"> </w:t>
      </w:r>
      <w:r>
        <w:rPr>
          <w:rFonts w:ascii="宋体" w:eastAsia="宋体" w:hAnsi="宋体" w:cs="宋体"/>
          <w:spacing w:val="-13"/>
          <w:sz w:val="22"/>
          <w:szCs w:val="22"/>
        </w:rPr>
        <w:t>经粪排出的锌包括没有被吸收的膳食锌，同时也包括内源锌。内源锌的</w:t>
      </w:r>
      <w:r>
        <w:rPr>
          <w:rFonts w:ascii="宋体" w:eastAsia="宋体" w:hAnsi="宋体" w:cs="宋体"/>
          <w:spacing w:val="-14"/>
          <w:sz w:val="22"/>
          <w:szCs w:val="22"/>
        </w:rPr>
        <w:t>排泄量随</w:t>
      </w:r>
      <w:r>
        <w:rPr>
          <w:rFonts w:ascii="宋体" w:eastAsia="宋体" w:hAnsi="宋体" w:cs="宋体"/>
          <w:sz w:val="22"/>
          <w:szCs w:val="22"/>
        </w:rPr>
        <w:t xml:space="preserve"> </w:t>
      </w:r>
      <w:r>
        <w:rPr>
          <w:rFonts w:ascii="宋体" w:eastAsia="宋体" w:hAnsi="宋体" w:cs="宋体"/>
          <w:spacing w:val="-13"/>
          <w:sz w:val="22"/>
          <w:szCs w:val="22"/>
        </w:rPr>
        <w:t>肠道吸收和代谢需要之间的平衡关系而变化，这种变化也是保持体内锌</w:t>
      </w:r>
      <w:r>
        <w:rPr>
          <w:rFonts w:ascii="宋体" w:eastAsia="宋体" w:hAnsi="宋体" w:cs="宋体"/>
          <w:spacing w:val="-14"/>
          <w:sz w:val="22"/>
          <w:szCs w:val="22"/>
        </w:rPr>
        <w:t>平衡的主</w:t>
      </w:r>
      <w:r>
        <w:rPr>
          <w:rFonts w:ascii="宋体" w:eastAsia="宋体" w:hAnsi="宋体" w:cs="宋体"/>
          <w:sz w:val="22"/>
          <w:szCs w:val="22"/>
        </w:rPr>
        <w:t xml:space="preserve"> </w:t>
      </w:r>
      <w:r>
        <w:rPr>
          <w:rFonts w:ascii="宋体" w:eastAsia="宋体" w:hAnsi="宋体" w:cs="宋体"/>
          <w:spacing w:val="-10"/>
          <w:sz w:val="22"/>
          <w:szCs w:val="22"/>
        </w:rPr>
        <w:t>要机制之一。</w:t>
      </w:r>
    </w:p>
    <w:p w:rsidR="00EA40A3" w:rsidRDefault="00E86C16">
      <w:pPr>
        <w:spacing w:before="188"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48"/>
          <w:sz w:val="22"/>
          <w:szCs w:val="22"/>
        </w:rPr>
        <w:t xml:space="preserve"> </w:t>
      </w:r>
      <w:r>
        <w:rPr>
          <w:rFonts w:ascii="仿宋" w:eastAsia="仿宋" w:hAnsi="仿宋" w:cs="仿宋"/>
          <w:spacing w:val="11"/>
          <w:sz w:val="22"/>
          <w:szCs w:val="22"/>
        </w:rPr>
        <w:t>锌的缺乏症</w:t>
      </w:r>
    </w:p>
    <w:p w:rsidR="00EA40A3" w:rsidRDefault="00E86C16">
      <w:pPr>
        <w:spacing w:before="210" w:line="245" w:lineRule="auto"/>
        <w:ind w:firstLine="509"/>
        <w:rPr>
          <w:rFonts w:ascii="宋体" w:eastAsia="宋体" w:hAnsi="宋体" w:cs="宋体"/>
          <w:sz w:val="22"/>
          <w:szCs w:val="22"/>
        </w:rPr>
      </w:pPr>
      <w:r>
        <w:rPr>
          <w:rFonts w:ascii="宋体" w:eastAsia="宋体" w:hAnsi="宋体" w:cs="宋体"/>
          <w:spacing w:val="-17"/>
          <w:sz w:val="22"/>
          <w:szCs w:val="22"/>
        </w:rPr>
        <w:t>锌不同程度地存在于各种动物、植物食品中，</w:t>
      </w:r>
      <w:r>
        <w:rPr>
          <w:rFonts w:ascii="宋体" w:eastAsia="宋体" w:hAnsi="宋体" w:cs="宋体"/>
          <w:spacing w:val="51"/>
          <w:sz w:val="22"/>
          <w:szCs w:val="22"/>
        </w:rPr>
        <w:t xml:space="preserve"> </w:t>
      </w:r>
      <w:r>
        <w:rPr>
          <w:rFonts w:ascii="宋体" w:eastAsia="宋体" w:hAnsi="宋体" w:cs="宋体"/>
          <w:spacing w:val="-17"/>
          <w:sz w:val="22"/>
          <w:szCs w:val="22"/>
        </w:rPr>
        <w:t>一</w:t>
      </w:r>
      <w:r>
        <w:rPr>
          <w:rFonts w:ascii="宋体" w:eastAsia="宋体" w:hAnsi="宋体" w:cs="宋体"/>
          <w:spacing w:val="-18"/>
          <w:sz w:val="22"/>
          <w:szCs w:val="22"/>
        </w:rPr>
        <w:t>般情况下膳食锌可满足人体</w:t>
      </w:r>
      <w:r>
        <w:rPr>
          <w:rFonts w:ascii="宋体" w:eastAsia="宋体" w:hAnsi="宋体" w:cs="宋体"/>
          <w:sz w:val="22"/>
          <w:szCs w:val="22"/>
        </w:rPr>
        <w:t xml:space="preserve"> </w:t>
      </w:r>
      <w:r>
        <w:rPr>
          <w:rFonts w:ascii="宋体" w:eastAsia="宋体" w:hAnsi="宋体" w:cs="宋体"/>
          <w:spacing w:val="-13"/>
          <w:sz w:val="22"/>
          <w:szCs w:val="22"/>
        </w:rPr>
        <w:t>对锌的基本需要而不致缺乏，但在身体迅速成长时期、妊娠或哺乳期，或膳食中</w:t>
      </w:r>
      <w:r>
        <w:rPr>
          <w:rFonts w:ascii="宋体" w:eastAsia="宋体" w:hAnsi="宋体" w:cs="宋体"/>
          <w:spacing w:val="3"/>
          <w:sz w:val="22"/>
          <w:szCs w:val="22"/>
        </w:rPr>
        <w:t xml:space="preserve">  </w:t>
      </w:r>
      <w:r>
        <w:rPr>
          <w:rFonts w:ascii="宋体" w:eastAsia="宋体" w:hAnsi="宋体" w:cs="宋体"/>
          <w:spacing w:val="-12"/>
          <w:sz w:val="22"/>
          <w:szCs w:val="22"/>
        </w:rPr>
        <w:t>缺乏动物食品，或食物单一及过于精细等情况下也可</w:t>
      </w:r>
      <w:r>
        <w:rPr>
          <w:rFonts w:ascii="宋体" w:eastAsia="宋体" w:hAnsi="宋体" w:cs="宋体"/>
          <w:spacing w:val="-13"/>
          <w:sz w:val="22"/>
          <w:szCs w:val="22"/>
        </w:rPr>
        <w:t>能引起体内锌缺乏。儿童发</w:t>
      </w:r>
      <w:r>
        <w:rPr>
          <w:rFonts w:ascii="宋体" w:eastAsia="宋体" w:hAnsi="宋体" w:cs="宋体"/>
          <w:sz w:val="22"/>
          <w:szCs w:val="22"/>
        </w:rPr>
        <w:t xml:space="preserve">  </w:t>
      </w:r>
      <w:r>
        <w:rPr>
          <w:rFonts w:ascii="宋体" w:eastAsia="宋体" w:hAnsi="宋体" w:cs="宋体"/>
          <w:spacing w:val="-12"/>
          <w:sz w:val="22"/>
          <w:szCs w:val="22"/>
        </w:rPr>
        <w:t>生慢性锌缺乏时，主要表现为生长停滞，青少年除生长停滞外</w:t>
      </w:r>
      <w:r>
        <w:rPr>
          <w:rFonts w:ascii="宋体" w:eastAsia="宋体" w:hAnsi="宋体" w:cs="宋体"/>
          <w:spacing w:val="-13"/>
          <w:sz w:val="22"/>
          <w:szCs w:val="22"/>
        </w:rPr>
        <w:t>还会出现以性器官</w:t>
      </w:r>
      <w:r>
        <w:rPr>
          <w:rFonts w:ascii="宋体" w:eastAsia="宋体" w:hAnsi="宋体" w:cs="宋体"/>
          <w:sz w:val="22"/>
          <w:szCs w:val="22"/>
        </w:rPr>
        <w:t xml:space="preserve"> </w:t>
      </w:r>
      <w:r>
        <w:rPr>
          <w:rFonts w:ascii="宋体" w:eastAsia="宋体" w:hAnsi="宋体" w:cs="宋体"/>
          <w:spacing w:val="-10"/>
          <w:sz w:val="22"/>
          <w:szCs w:val="22"/>
        </w:rPr>
        <w:t>及第二性征发育不全为特征的性幼稚型；孕妇缺锌会不</w:t>
      </w:r>
      <w:r>
        <w:rPr>
          <w:rFonts w:ascii="宋体" w:eastAsia="宋体" w:hAnsi="宋体" w:cs="宋体"/>
          <w:spacing w:val="-11"/>
          <w:sz w:val="22"/>
          <w:szCs w:val="22"/>
        </w:rPr>
        <w:t>同程度地影响胎儿发育；</w:t>
      </w:r>
      <w:r>
        <w:rPr>
          <w:rFonts w:ascii="宋体" w:eastAsia="宋体" w:hAnsi="宋体" w:cs="宋体"/>
          <w:sz w:val="22"/>
          <w:szCs w:val="22"/>
        </w:rPr>
        <w:t xml:space="preserve"> </w:t>
      </w:r>
      <w:r>
        <w:rPr>
          <w:rFonts w:ascii="宋体" w:eastAsia="宋体" w:hAnsi="宋体" w:cs="宋体"/>
          <w:spacing w:val="-6"/>
          <w:sz w:val="22"/>
          <w:szCs w:val="22"/>
        </w:rPr>
        <w:t>儿童或成人缺锌时会引起味觉减退或食欲不振，</w:t>
      </w:r>
      <w:r>
        <w:rPr>
          <w:rFonts w:ascii="宋体" w:eastAsia="宋体" w:hAnsi="宋体" w:cs="宋体"/>
          <w:spacing w:val="-7"/>
          <w:sz w:val="22"/>
          <w:szCs w:val="22"/>
        </w:rPr>
        <w:t>因为锌是唾液蛋白</w:t>
      </w:r>
      <w:r>
        <w:rPr>
          <w:rFonts w:ascii="宋体" w:eastAsia="宋体" w:hAnsi="宋体" w:cs="宋体"/>
          <w:spacing w:val="-28"/>
          <w:sz w:val="22"/>
          <w:szCs w:val="22"/>
        </w:rPr>
        <w:t xml:space="preserve"> </w:t>
      </w:r>
      <w:r>
        <w:rPr>
          <w:rFonts w:ascii="宋体" w:eastAsia="宋体" w:hAnsi="宋体" w:cs="宋体"/>
          <w:spacing w:val="29"/>
          <w:sz w:val="22"/>
          <w:szCs w:val="22"/>
          <w:u w:val="single"/>
        </w:rPr>
        <w:t xml:space="preserve">   </w:t>
      </w:r>
      <w:r>
        <w:rPr>
          <w:rFonts w:ascii="宋体" w:eastAsia="宋体" w:hAnsi="宋体" w:cs="宋体"/>
          <w:spacing w:val="-88"/>
          <w:sz w:val="22"/>
          <w:szCs w:val="22"/>
        </w:rPr>
        <w:t xml:space="preserve"> </w:t>
      </w:r>
      <w:r>
        <w:rPr>
          <w:rFonts w:ascii="宋体" w:eastAsia="宋体" w:hAnsi="宋体" w:cs="宋体"/>
          <w:spacing w:val="-7"/>
          <w:sz w:val="22"/>
          <w:szCs w:val="22"/>
        </w:rPr>
        <w:t>味觉素</w:t>
      </w:r>
      <w:r>
        <w:rPr>
          <w:rFonts w:ascii="宋体" w:eastAsia="宋体" w:hAnsi="宋体" w:cs="宋体"/>
          <w:sz w:val="22"/>
          <w:szCs w:val="22"/>
        </w:rPr>
        <w:t xml:space="preserve"> </w:t>
      </w:r>
      <w:r>
        <w:rPr>
          <w:rFonts w:ascii="宋体" w:eastAsia="宋体" w:hAnsi="宋体" w:cs="宋体"/>
          <w:spacing w:val="-8"/>
          <w:sz w:val="22"/>
          <w:szCs w:val="22"/>
        </w:rPr>
        <w:t>(gustin)</w:t>
      </w:r>
      <w:r>
        <w:rPr>
          <w:rFonts w:ascii="宋体" w:eastAsia="宋体" w:hAnsi="宋体" w:cs="宋体"/>
          <w:spacing w:val="-37"/>
          <w:sz w:val="22"/>
          <w:szCs w:val="22"/>
        </w:rPr>
        <w:t xml:space="preserve"> </w:t>
      </w:r>
      <w:r>
        <w:rPr>
          <w:rFonts w:ascii="宋体" w:eastAsia="宋体" w:hAnsi="宋体" w:cs="宋体"/>
          <w:spacing w:val="-8"/>
          <w:sz w:val="22"/>
          <w:szCs w:val="22"/>
        </w:rPr>
        <w:t>的组成成分；缺锌还会使伤口愈合慢</w:t>
      </w:r>
      <w:r>
        <w:rPr>
          <w:rFonts w:ascii="宋体" w:eastAsia="宋体" w:hAnsi="宋体" w:cs="宋体"/>
          <w:spacing w:val="-9"/>
          <w:sz w:val="22"/>
          <w:szCs w:val="22"/>
        </w:rPr>
        <w:t>，机体免疫力降低(表4-10)。</w:t>
      </w:r>
    </w:p>
    <w:p w:rsidR="00EA40A3" w:rsidRDefault="00EA40A3">
      <w:pPr>
        <w:spacing w:line="329" w:lineRule="auto"/>
      </w:pPr>
    </w:p>
    <w:p w:rsidR="00EA40A3" w:rsidRDefault="00E86C16">
      <w:pPr>
        <w:spacing w:before="55" w:line="221" w:lineRule="auto"/>
        <w:ind w:left="2642"/>
        <w:rPr>
          <w:rFonts w:ascii="黑体" w:eastAsia="黑体" w:hAnsi="黑体" w:cs="黑体"/>
          <w:sz w:val="17"/>
          <w:szCs w:val="17"/>
        </w:rPr>
      </w:pPr>
      <w:r>
        <w:rPr>
          <w:rFonts w:ascii="黑体" w:eastAsia="黑体" w:hAnsi="黑体" w:cs="黑体"/>
          <w:b/>
          <w:bCs/>
          <w:spacing w:val="6"/>
          <w:sz w:val="17"/>
          <w:szCs w:val="17"/>
        </w:rPr>
        <w:t>表4-10</w:t>
      </w:r>
      <w:r>
        <w:rPr>
          <w:rFonts w:ascii="黑体" w:eastAsia="黑体" w:hAnsi="黑体" w:cs="黑体"/>
          <w:spacing w:val="73"/>
          <w:w w:val="101"/>
          <w:sz w:val="17"/>
          <w:szCs w:val="17"/>
        </w:rPr>
        <w:t xml:space="preserve"> </w:t>
      </w:r>
      <w:r>
        <w:rPr>
          <w:rFonts w:ascii="黑体" w:eastAsia="黑体" w:hAnsi="黑体" w:cs="黑体"/>
          <w:b/>
          <w:bCs/>
          <w:spacing w:val="6"/>
          <w:sz w:val="17"/>
          <w:szCs w:val="17"/>
        </w:rPr>
        <w:t>锌缺乏的临床表现</w:t>
      </w:r>
    </w:p>
    <w:p w:rsidR="00EA40A3" w:rsidRDefault="00EA40A3">
      <w:pPr>
        <w:spacing w:line="18" w:lineRule="exact"/>
      </w:pP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169"/>
        <w:gridCol w:w="5180"/>
      </w:tblGrid>
      <w:tr w:rsidR="00EA40A3">
        <w:trPr>
          <w:trHeight w:val="334"/>
        </w:trPr>
        <w:tc>
          <w:tcPr>
            <w:tcW w:w="2169" w:type="dxa"/>
            <w:tcBorders>
              <w:top w:val="single" w:sz="4" w:space="0" w:color="000000"/>
              <w:bottom w:val="single" w:sz="4" w:space="0" w:color="000000"/>
            </w:tcBorders>
          </w:tcPr>
          <w:p w:rsidR="00EA40A3" w:rsidRDefault="00E86C16">
            <w:pPr>
              <w:spacing w:before="91" w:line="219" w:lineRule="auto"/>
              <w:ind w:left="879"/>
              <w:rPr>
                <w:rFonts w:ascii="宋体" w:eastAsia="宋体" w:hAnsi="宋体" w:cs="宋体"/>
                <w:sz w:val="15"/>
                <w:szCs w:val="15"/>
              </w:rPr>
            </w:pPr>
            <w:r>
              <w:rPr>
                <w:rFonts w:ascii="宋体" w:eastAsia="宋体" w:hAnsi="宋体" w:cs="宋体"/>
                <w:spacing w:val="-2"/>
                <w:sz w:val="15"/>
                <w:szCs w:val="15"/>
              </w:rPr>
              <w:t>体征</w:t>
            </w:r>
          </w:p>
        </w:tc>
        <w:tc>
          <w:tcPr>
            <w:tcW w:w="5180" w:type="dxa"/>
            <w:tcBorders>
              <w:top w:val="single" w:sz="4" w:space="0" w:color="000000"/>
              <w:bottom w:val="single" w:sz="4" w:space="0" w:color="000000"/>
            </w:tcBorders>
          </w:tcPr>
          <w:p w:rsidR="00EA40A3" w:rsidRDefault="00E86C16">
            <w:pPr>
              <w:spacing w:before="91" w:line="219" w:lineRule="auto"/>
              <w:ind w:left="2020"/>
              <w:rPr>
                <w:rFonts w:ascii="宋体" w:eastAsia="宋体" w:hAnsi="宋体" w:cs="宋体"/>
                <w:sz w:val="15"/>
                <w:szCs w:val="15"/>
              </w:rPr>
            </w:pPr>
            <w:r>
              <w:rPr>
                <w:rFonts w:ascii="宋体" w:eastAsia="宋体" w:hAnsi="宋体" w:cs="宋体"/>
                <w:spacing w:val="-3"/>
                <w:sz w:val="15"/>
                <w:szCs w:val="15"/>
              </w:rPr>
              <w:t>临床表现</w:t>
            </w:r>
          </w:p>
        </w:tc>
      </w:tr>
      <w:tr w:rsidR="00EA40A3">
        <w:trPr>
          <w:trHeight w:val="274"/>
        </w:trPr>
        <w:tc>
          <w:tcPr>
            <w:tcW w:w="2169" w:type="dxa"/>
            <w:tcBorders>
              <w:top w:val="single" w:sz="4" w:space="0" w:color="000000"/>
            </w:tcBorders>
          </w:tcPr>
          <w:p w:rsidR="00EA40A3" w:rsidRDefault="00E86C16">
            <w:pPr>
              <w:spacing w:before="77" w:line="219" w:lineRule="auto"/>
              <w:ind w:left="399"/>
              <w:rPr>
                <w:rFonts w:ascii="宋体" w:eastAsia="宋体" w:hAnsi="宋体" w:cs="宋体"/>
                <w:sz w:val="15"/>
                <w:szCs w:val="15"/>
              </w:rPr>
            </w:pPr>
            <w:r>
              <w:rPr>
                <w:rFonts w:ascii="宋体" w:eastAsia="宋体" w:hAnsi="宋体" w:cs="宋体"/>
                <w:spacing w:val="-3"/>
                <w:sz w:val="15"/>
                <w:szCs w:val="15"/>
              </w:rPr>
              <w:t>味觉障碍</w:t>
            </w:r>
          </w:p>
        </w:tc>
        <w:tc>
          <w:tcPr>
            <w:tcW w:w="5180" w:type="dxa"/>
            <w:tcBorders>
              <w:top w:val="single" w:sz="4" w:space="0" w:color="000000"/>
            </w:tcBorders>
          </w:tcPr>
          <w:p w:rsidR="00EA40A3" w:rsidRDefault="00E86C16">
            <w:pPr>
              <w:spacing w:before="77" w:line="219" w:lineRule="auto"/>
              <w:ind w:left="580"/>
              <w:rPr>
                <w:rFonts w:ascii="宋体" w:eastAsia="宋体" w:hAnsi="宋体" w:cs="宋体"/>
                <w:sz w:val="15"/>
                <w:szCs w:val="15"/>
              </w:rPr>
            </w:pPr>
            <w:r>
              <w:rPr>
                <w:rFonts w:ascii="宋体" w:eastAsia="宋体" w:hAnsi="宋体" w:cs="宋体"/>
                <w:spacing w:val="-1"/>
                <w:sz w:val="15"/>
                <w:szCs w:val="15"/>
              </w:rPr>
              <w:t>偏食，厌食或异食</w:t>
            </w:r>
          </w:p>
        </w:tc>
      </w:tr>
      <w:tr w:rsidR="00EA40A3">
        <w:trPr>
          <w:trHeight w:val="251"/>
        </w:trPr>
        <w:tc>
          <w:tcPr>
            <w:tcW w:w="2169" w:type="dxa"/>
          </w:tcPr>
          <w:p w:rsidR="00EA40A3" w:rsidRDefault="00E86C16">
            <w:pPr>
              <w:spacing w:before="53" w:line="219" w:lineRule="auto"/>
              <w:ind w:left="399"/>
              <w:rPr>
                <w:rFonts w:ascii="宋体" w:eastAsia="宋体" w:hAnsi="宋体" w:cs="宋体"/>
                <w:sz w:val="15"/>
                <w:szCs w:val="15"/>
              </w:rPr>
            </w:pPr>
            <w:r>
              <w:rPr>
                <w:rFonts w:ascii="宋体" w:eastAsia="宋体" w:hAnsi="宋体" w:cs="宋体"/>
                <w:spacing w:val="-1"/>
                <w:sz w:val="15"/>
                <w:szCs w:val="15"/>
              </w:rPr>
              <w:t>生长发育不良</w:t>
            </w:r>
          </w:p>
        </w:tc>
        <w:tc>
          <w:tcPr>
            <w:tcW w:w="5180" w:type="dxa"/>
          </w:tcPr>
          <w:p w:rsidR="00EA40A3" w:rsidRDefault="00E86C16">
            <w:pPr>
              <w:spacing w:before="53" w:line="219" w:lineRule="auto"/>
              <w:ind w:left="580"/>
              <w:rPr>
                <w:rFonts w:ascii="宋体" w:eastAsia="宋体" w:hAnsi="宋体" w:cs="宋体"/>
                <w:sz w:val="15"/>
                <w:szCs w:val="15"/>
              </w:rPr>
            </w:pPr>
            <w:r>
              <w:rPr>
                <w:rFonts w:ascii="宋体" w:eastAsia="宋体" w:hAnsi="宋体" w:cs="宋体"/>
                <w:spacing w:val="-1"/>
                <w:sz w:val="15"/>
                <w:szCs w:val="15"/>
              </w:rPr>
              <w:t>矮小，瘦弱，秃发</w:t>
            </w:r>
          </w:p>
        </w:tc>
      </w:tr>
      <w:tr w:rsidR="00EA40A3">
        <w:trPr>
          <w:trHeight w:val="248"/>
        </w:trPr>
        <w:tc>
          <w:tcPr>
            <w:tcW w:w="2169" w:type="dxa"/>
          </w:tcPr>
          <w:p w:rsidR="00EA40A3" w:rsidRDefault="00E86C16">
            <w:pPr>
              <w:spacing w:before="61" w:line="219" w:lineRule="auto"/>
              <w:ind w:left="399"/>
              <w:rPr>
                <w:rFonts w:ascii="宋体" w:eastAsia="宋体" w:hAnsi="宋体" w:cs="宋体"/>
                <w:sz w:val="15"/>
                <w:szCs w:val="15"/>
              </w:rPr>
            </w:pPr>
            <w:r>
              <w:rPr>
                <w:rFonts w:ascii="宋体" w:eastAsia="宋体" w:hAnsi="宋体" w:cs="宋体"/>
                <w:spacing w:val="3"/>
                <w:sz w:val="15"/>
                <w:szCs w:val="15"/>
              </w:rPr>
              <w:t>胃肠道疾患</w:t>
            </w:r>
          </w:p>
        </w:tc>
        <w:tc>
          <w:tcPr>
            <w:tcW w:w="5180" w:type="dxa"/>
          </w:tcPr>
          <w:p w:rsidR="00EA40A3" w:rsidRDefault="00E86C16">
            <w:pPr>
              <w:spacing w:before="52" w:line="219" w:lineRule="auto"/>
              <w:ind w:left="580"/>
              <w:rPr>
                <w:rFonts w:ascii="宋体" w:eastAsia="宋体" w:hAnsi="宋体" w:cs="宋体"/>
                <w:sz w:val="15"/>
                <w:szCs w:val="15"/>
              </w:rPr>
            </w:pPr>
            <w:r>
              <w:rPr>
                <w:rFonts w:ascii="宋体" w:eastAsia="宋体" w:hAnsi="宋体" w:cs="宋体"/>
                <w:spacing w:val="-2"/>
                <w:sz w:val="15"/>
                <w:szCs w:val="15"/>
              </w:rPr>
              <w:t>腹泻</w:t>
            </w:r>
          </w:p>
        </w:tc>
      </w:tr>
      <w:tr w:rsidR="00EA40A3">
        <w:trPr>
          <w:trHeight w:val="259"/>
        </w:trPr>
        <w:tc>
          <w:tcPr>
            <w:tcW w:w="2169" w:type="dxa"/>
          </w:tcPr>
          <w:p w:rsidR="00EA40A3" w:rsidRDefault="00E86C16">
            <w:pPr>
              <w:spacing w:before="44" w:line="220" w:lineRule="auto"/>
              <w:ind w:left="399"/>
              <w:rPr>
                <w:rFonts w:ascii="宋体" w:eastAsia="宋体" w:hAnsi="宋体" w:cs="宋体"/>
                <w:sz w:val="15"/>
                <w:szCs w:val="15"/>
              </w:rPr>
            </w:pPr>
            <w:r>
              <w:rPr>
                <w:rFonts w:ascii="宋体" w:eastAsia="宋体" w:hAnsi="宋体" w:cs="宋体"/>
                <w:spacing w:val="3"/>
                <w:sz w:val="15"/>
                <w:szCs w:val="15"/>
              </w:rPr>
              <w:t>皮肤疾患</w:t>
            </w:r>
          </w:p>
        </w:tc>
        <w:tc>
          <w:tcPr>
            <w:tcW w:w="5180" w:type="dxa"/>
          </w:tcPr>
          <w:p w:rsidR="00EA40A3" w:rsidRDefault="00E86C16">
            <w:pPr>
              <w:spacing w:before="43" w:line="219" w:lineRule="auto"/>
              <w:ind w:left="591"/>
              <w:rPr>
                <w:rFonts w:ascii="宋体" w:eastAsia="宋体" w:hAnsi="宋体" w:cs="宋体"/>
                <w:sz w:val="15"/>
                <w:szCs w:val="15"/>
              </w:rPr>
            </w:pPr>
            <w:r>
              <w:rPr>
                <w:rFonts w:ascii="宋体" w:eastAsia="宋体" w:hAnsi="宋体" w:cs="宋体"/>
                <w:sz w:val="15"/>
                <w:szCs w:val="15"/>
              </w:rPr>
              <w:t>皮肤干燥，炎症，疱疹，皮疹，伤口愈合不良</w:t>
            </w:r>
            <w:r>
              <w:rPr>
                <w:rFonts w:ascii="宋体" w:eastAsia="宋体" w:hAnsi="宋体" w:cs="宋体"/>
                <w:spacing w:val="-1"/>
                <w:sz w:val="15"/>
                <w:szCs w:val="15"/>
              </w:rPr>
              <w:t>，反复性口腔溃疡</w:t>
            </w:r>
          </w:p>
        </w:tc>
      </w:tr>
      <w:tr w:rsidR="00EA40A3">
        <w:trPr>
          <w:trHeight w:val="274"/>
        </w:trPr>
        <w:tc>
          <w:tcPr>
            <w:tcW w:w="2169" w:type="dxa"/>
          </w:tcPr>
          <w:p w:rsidR="00EA40A3" w:rsidRDefault="00E86C16">
            <w:pPr>
              <w:spacing w:before="74" w:line="219" w:lineRule="auto"/>
              <w:ind w:left="399"/>
              <w:rPr>
                <w:rFonts w:ascii="宋体" w:eastAsia="宋体" w:hAnsi="宋体" w:cs="宋体"/>
                <w:sz w:val="15"/>
                <w:szCs w:val="15"/>
              </w:rPr>
            </w:pPr>
            <w:r>
              <w:rPr>
                <w:rFonts w:ascii="宋体" w:eastAsia="宋体" w:hAnsi="宋体" w:cs="宋体"/>
                <w:spacing w:val="3"/>
                <w:sz w:val="15"/>
                <w:szCs w:val="15"/>
              </w:rPr>
              <w:t>眼科疾患</w:t>
            </w:r>
          </w:p>
        </w:tc>
        <w:tc>
          <w:tcPr>
            <w:tcW w:w="5180" w:type="dxa"/>
          </w:tcPr>
          <w:p w:rsidR="00EA40A3" w:rsidRDefault="00E86C16">
            <w:pPr>
              <w:spacing w:before="75" w:line="219" w:lineRule="auto"/>
              <w:ind w:left="580"/>
              <w:rPr>
                <w:rFonts w:ascii="宋体" w:eastAsia="宋体" w:hAnsi="宋体" w:cs="宋体"/>
                <w:sz w:val="15"/>
                <w:szCs w:val="15"/>
              </w:rPr>
            </w:pPr>
            <w:r>
              <w:rPr>
                <w:rFonts w:ascii="宋体" w:eastAsia="宋体" w:hAnsi="宋体" w:cs="宋体"/>
                <w:spacing w:val="1"/>
                <w:sz w:val="15"/>
                <w:szCs w:val="15"/>
              </w:rPr>
              <w:t>白内障和夜盲</w:t>
            </w:r>
          </w:p>
        </w:tc>
      </w:tr>
      <w:tr w:rsidR="00EA40A3">
        <w:trPr>
          <w:trHeight w:val="255"/>
        </w:trPr>
        <w:tc>
          <w:tcPr>
            <w:tcW w:w="2169" w:type="dxa"/>
          </w:tcPr>
          <w:p w:rsidR="00EA40A3" w:rsidRDefault="00E86C16">
            <w:pPr>
              <w:spacing w:before="61" w:line="219" w:lineRule="auto"/>
              <w:ind w:left="399"/>
              <w:rPr>
                <w:rFonts w:ascii="宋体" w:eastAsia="宋体" w:hAnsi="宋体" w:cs="宋体"/>
                <w:sz w:val="15"/>
                <w:szCs w:val="15"/>
              </w:rPr>
            </w:pPr>
            <w:r>
              <w:rPr>
                <w:rFonts w:ascii="宋体" w:eastAsia="宋体" w:hAnsi="宋体" w:cs="宋体"/>
                <w:spacing w:val="-2"/>
                <w:sz w:val="15"/>
                <w:szCs w:val="15"/>
              </w:rPr>
              <w:t>免疫力减退</w:t>
            </w:r>
          </w:p>
        </w:tc>
        <w:tc>
          <w:tcPr>
            <w:tcW w:w="5180" w:type="dxa"/>
          </w:tcPr>
          <w:p w:rsidR="00EA40A3" w:rsidRDefault="00E86C16">
            <w:pPr>
              <w:spacing w:before="61" w:line="219" w:lineRule="auto"/>
              <w:ind w:left="580"/>
              <w:rPr>
                <w:rFonts w:ascii="宋体" w:eastAsia="宋体" w:hAnsi="宋体" w:cs="宋体"/>
                <w:sz w:val="15"/>
                <w:szCs w:val="15"/>
              </w:rPr>
            </w:pPr>
            <w:r>
              <w:rPr>
                <w:rFonts w:ascii="宋体" w:eastAsia="宋体" w:hAnsi="宋体" w:cs="宋体"/>
                <w:spacing w:val="1"/>
                <w:sz w:val="15"/>
                <w:szCs w:val="15"/>
              </w:rPr>
              <w:t>反复感染，感冒次数多</w:t>
            </w:r>
          </w:p>
        </w:tc>
      </w:tr>
      <w:tr w:rsidR="00EA40A3">
        <w:trPr>
          <w:trHeight w:val="249"/>
        </w:trPr>
        <w:tc>
          <w:tcPr>
            <w:tcW w:w="2169" w:type="dxa"/>
          </w:tcPr>
          <w:p w:rsidR="00EA40A3" w:rsidRDefault="00E86C16">
            <w:pPr>
              <w:spacing w:before="56" w:line="219" w:lineRule="auto"/>
              <w:ind w:left="399"/>
              <w:rPr>
                <w:rFonts w:ascii="宋体" w:eastAsia="宋体" w:hAnsi="宋体" w:cs="宋体"/>
                <w:sz w:val="15"/>
                <w:szCs w:val="15"/>
              </w:rPr>
            </w:pPr>
            <w:r>
              <w:rPr>
                <w:rFonts w:ascii="宋体" w:eastAsia="宋体" w:hAnsi="宋体" w:cs="宋体"/>
                <w:spacing w:val="-1"/>
                <w:sz w:val="15"/>
                <w:szCs w:val="15"/>
              </w:rPr>
              <w:t>性发育或功能障碍</w:t>
            </w:r>
          </w:p>
        </w:tc>
        <w:tc>
          <w:tcPr>
            <w:tcW w:w="5180" w:type="dxa"/>
          </w:tcPr>
          <w:p w:rsidR="00EA40A3" w:rsidRDefault="00E86C16">
            <w:pPr>
              <w:spacing w:before="56" w:line="219" w:lineRule="auto"/>
              <w:ind w:left="580"/>
              <w:rPr>
                <w:rFonts w:ascii="宋体" w:eastAsia="宋体" w:hAnsi="宋体" w:cs="宋体"/>
                <w:sz w:val="15"/>
                <w:szCs w:val="15"/>
              </w:rPr>
            </w:pPr>
            <w:r>
              <w:rPr>
                <w:rFonts w:ascii="宋体" w:eastAsia="宋体" w:hAnsi="宋体" w:cs="宋体"/>
                <w:spacing w:val="3"/>
                <w:sz w:val="15"/>
                <w:szCs w:val="15"/>
              </w:rPr>
              <w:t>男性不育</w:t>
            </w:r>
          </w:p>
        </w:tc>
      </w:tr>
      <w:tr w:rsidR="00EA40A3">
        <w:trPr>
          <w:trHeight w:val="275"/>
        </w:trPr>
        <w:tc>
          <w:tcPr>
            <w:tcW w:w="2169" w:type="dxa"/>
          </w:tcPr>
          <w:p w:rsidR="00EA40A3" w:rsidRDefault="00E86C16">
            <w:pPr>
              <w:spacing w:before="77" w:line="219" w:lineRule="auto"/>
              <w:ind w:left="399"/>
              <w:rPr>
                <w:rFonts w:ascii="宋体" w:eastAsia="宋体" w:hAnsi="宋体" w:cs="宋体"/>
                <w:sz w:val="15"/>
                <w:szCs w:val="15"/>
              </w:rPr>
            </w:pPr>
            <w:r>
              <w:rPr>
                <w:rFonts w:ascii="宋体" w:eastAsia="宋体" w:hAnsi="宋体" w:cs="宋体"/>
                <w:spacing w:val="-1"/>
                <w:sz w:val="15"/>
                <w:szCs w:val="15"/>
              </w:rPr>
              <w:t>认知行为改变</w:t>
            </w:r>
          </w:p>
        </w:tc>
        <w:tc>
          <w:tcPr>
            <w:tcW w:w="5180" w:type="dxa"/>
          </w:tcPr>
          <w:p w:rsidR="00EA40A3" w:rsidRDefault="00E86C16">
            <w:pPr>
              <w:spacing w:before="56" w:line="219" w:lineRule="auto"/>
              <w:ind w:left="580"/>
              <w:rPr>
                <w:rFonts w:ascii="宋体" w:eastAsia="宋体" w:hAnsi="宋体" w:cs="宋体"/>
                <w:sz w:val="15"/>
                <w:szCs w:val="15"/>
              </w:rPr>
            </w:pPr>
            <w:r>
              <w:rPr>
                <w:rFonts w:ascii="宋体" w:eastAsia="宋体" w:hAnsi="宋体" w:cs="宋体"/>
                <w:spacing w:val="-1"/>
                <w:sz w:val="15"/>
                <w:szCs w:val="15"/>
              </w:rPr>
              <w:t>认知能力不良，精神萎靡，精神发育迟缓，行为障碍</w:t>
            </w:r>
          </w:p>
        </w:tc>
      </w:tr>
      <w:tr w:rsidR="00EA40A3">
        <w:trPr>
          <w:trHeight w:val="254"/>
        </w:trPr>
        <w:tc>
          <w:tcPr>
            <w:tcW w:w="2169" w:type="dxa"/>
          </w:tcPr>
          <w:p w:rsidR="00EA40A3" w:rsidRDefault="00E86C16">
            <w:pPr>
              <w:spacing w:before="63" w:line="221" w:lineRule="auto"/>
              <w:ind w:left="399"/>
              <w:rPr>
                <w:rFonts w:ascii="宋体" w:eastAsia="宋体" w:hAnsi="宋体" w:cs="宋体"/>
                <w:sz w:val="15"/>
                <w:szCs w:val="15"/>
              </w:rPr>
            </w:pPr>
            <w:r>
              <w:rPr>
                <w:rFonts w:ascii="宋体" w:eastAsia="宋体" w:hAnsi="宋体" w:cs="宋体"/>
                <w:spacing w:val="-1"/>
                <w:sz w:val="15"/>
                <w:szCs w:val="15"/>
              </w:rPr>
              <w:t>妊娠反应加重</w:t>
            </w:r>
          </w:p>
        </w:tc>
        <w:tc>
          <w:tcPr>
            <w:tcW w:w="5180" w:type="dxa"/>
          </w:tcPr>
          <w:p w:rsidR="00EA40A3" w:rsidRDefault="00E86C16">
            <w:pPr>
              <w:spacing w:before="63" w:line="221" w:lineRule="auto"/>
              <w:ind w:left="580"/>
              <w:rPr>
                <w:rFonts w:ascii="宋体" w:eastAsia="宋体" w:hAnsi="宋体" w:cs="宋体"/>
                <w:sz w:val="15"/>
                <w:szCs w:val="15"/>
              </w:rPr>
            </w:pPr>
            <w:r>
              <w:rPr>
                <w:rFonts w:ascii="宋体" w:eastAsia="宋体" w:hAnsi="宋体" w:cs="宋体"/>
                <w:spacing w:val="-2"/>
                <w:sz w:val="15"/>
                <w:szCs w:val="15"/>
              </w:rPr>
              <w:t>嗜酸，呕吐加重</w:t>
            </w:r>
          </w:p>
        </w:tc>
      </w:tr>
      <w:tr w:rsidR="00EA40A3">
        <w:trPr>
          <w:trHeight w:val="249"/>
        </w:trPr>
        <w:tc>
          <w:tcPr>
            <w:tcW w:w="2169" w:type="dxa"/>
          </w:tcPr>
          <w:p w:rsidR="00EA40A3" w:rsidRDefault="00E86C16">
            <w:pPr>
              <w:spacing w:before="58" w:line="219" w:lineRule="auto"/>
              <w:ind w:left="399"/>
              <w:rPr>
                <w:rFonts w:ascii="宋体" w:eastAsia="宋体" w:hAnsi="宋体" w:cs="宋体"/>
                <w:sz w:val="15"/>
                <w:szCs w:val="15"/>
              </w:rPr>
            </w:pPr>
            <w:r>
              <w:rPr>
                <w:rFonts w:ascii="宋体" w:eastAsia="宋体" w:hAnsi="宋体" w:cs="宋体"/>
                <w:spacing w:val="-1"/>
                <w:sz w:val="15"/>
                <w:szCs w:val="15"/>
              </w:rPr>
              <w:t>胎儿宫内发育迟缓</w:t>
            </w:r>
          </w:p>
        </w:tc>
        <w:tc>
          <w:tcPr>
            <w:tcW w:w="5180" w:type="dxa"/>
          </w:tcPr>
          <w:p w:rsidR="00EA40A3" w:rsidRDefault="00E86C16">
            <w:pPr>
              <w:spacing w:before="58" w:line="219" w:lineRule="auto"/>
              <w:ind w:left="580"/>
              <w:rPr>
                <w:rFonts w:ascii="宋体" w:eastAsia="宋体" w:hAnsi="宋体" w:cs="宋体"/>
                <w:sz w:val="15"/>
                <w:szCs w:val="15"/>
              </w:rPr>
            </w:pPr>
            <w:r>
              <w:rPr>
                <w:rFonts w:ascii="宋体" w:eastAsia="宋体" w:hAnsi="宋体" w:cs="宋体"/>
                <w:spacing w:val="-1"/>
                <w:sz w:val="15"/>
                <w:szCs w:val="15"/>
              </w:rPr>
              <w:t>生产小婴儿、低体重儿</w:t>
            </w:r>
          </w:p>
        </w:tc>
      </w:tr>
      <w:tr w:rsidR="00EA40A3">
        <w:trPr>
          <w:trHeight w:val="249"/>
        </w:trPr>
        <w:tc>
          <w:tcPr>
            <w:tcW w:w="2169" w:type="dxa"/>
          </w:tcPr>
          <w:p w:rsidR="00EA40A3" w:rsidRDefault="00E86C16">
            <w:pPr>
              <w:spacing w:before="69" w:line="219" w:lineRule="auto"/>
              <w:ind w:left="399"/>
              <w:rPr>
                <w:rFonts w:ascii="宋体" w:eastAsia="宋体" w:hAnsi="宋体" w:cs="宋体"/>
                <w:sz w:val="15"/>
                <w:szCs w:val="15"/>
              </w:rPr>
            </w:pPr>
            <w:r>
              <w:rPr>
                <w:rFonts w:ascii="宋体" w:eastAsia="宋体" w:hAnsi="宋体" w:cs="宋体"/>
                <w:spacing w:val="2"/>
                <w:sz w:val="15"/>
                <w:szCs w:val="15"/>
              </w:rPr>
              <w:t>分娩合并症增多</w:t>
            </w:r>
          </w:p>
        </w:tc>
        <w:tc>
          <w:tcPr>
            <w:tcW w:w="5180" w:type="dxa"/>
          </w:tcPr>
          <w:p w:rsidR="00EA40A3" w:rsidRDefault="00E86C16">
            <w:pPr>
              <w:spacing w:before="59" w:line="219" w:lineRule="auto"/>
              <w:ind w:left="580"/>
              <w:rPr>
                <w:rFonts w:ascii="宋体" w:eastAsia="宋体" w:hAnsi="宋体" w:cs="宋体"/>
                <w:sz w:val="15"/>
                <w:szCs w:val="15"/>
              </w:rPr>
            </w:pPr>
            <w:r>
              <w:rPr>
                <w:rFonts w:ascii="宋体" w:eastAsia="宋体" w:hAnsi="宋体" w:cs="宋体"/>
                <w:spacing w:val="-1"/>
                <w:sz w:val="15"/>
                <w:szCs w:val="15"/>
              </w:rPr>
              <w:t>产程延长，伤口感染，流产，早产</w:t>
            </w:r>
          </w:p>
        </w:tc>
      </w:tr>
      <w:tr w:rsidR="00EA40A3">
        <w:trPr>
          <w:trHeight w:val="249"/>
        </w:trPr>
        <w:tc>
          <w:tcPr>
            <w:tcW w:w="2169" w:type="dxa"/>
            <w:tcBorders>
              <w:bottom w:val="single" w:sz="4" w:space="0" w:color="000000"/>
            </w:tcBorders>
          </w:tcPr>
          <w:p w:rsidR="00EA40A3" w:rsidRDefault="00E86C16">
            <w:pPr>
              <w:spacing w:before="50" w:line="219" w:lineRule="auto"/>
              <w:ind w:left="399"/>
              <w:rPr>
                <w:rFonts w:ascii="宋体" w:eastAsia="宋体" w:hAnsi="宋体" w:cs="宋体"/>
                <w:sz w:val="15"/>
                <w:szCs w:val="15"/>
              </w:rPr>
            </w:pPr>
            <w:r>
              <w:rPr>
                <w:rFonts w:ascii="宋体" w:eastAsia="宋体" w:hAnsi="宋体" w:cs="宋体"/>
                <w:spacing w:val="-1"/>
                <w:sz w:val="15"/>
                <w:szCs w:val="15"/>
              </w:rPr>
              <w:t>胎儿畸形率增高</w:t>
            </w:r>
          </w:p>
        </w:tc>
        <w:tc>
          <w:tcPr>
            <w:tcW w:w="5180" w:type="dxa"/>
            <w:tcBorders>
              <w:bottom w:val="single" w:sz="4" w:space="0" w:color="000000"/>
            </w:tcBorders>
          </w:tcPr>
          <w:p w:rsidR="00EA40A3" w:rsidRDefault="00E86C16">
            <w:pPr>
              <w:spacing w:before="60" w:line="219" w:lineRule="auto"/>
              <w:ind w:left="580"/>
              <w:rPr>
                <w:rFonts w:ascii="宋体" w:eastAsia="宋体" w:hAnsi="宋体" w:cs="宋体"/>
                <w:sz w:val="15"/>
                <w:szCs w:val="15"/>
              </w:rPr>
            </w:pPr>
            <w:r>
              <w:rPr>
                <w:rFonts w:ascii="宋体" w:eastAsia="宋体" w:hAnsi="宋体" w:cs="宋体"/>
                <w:spacing w:val="-1"/>
                <w:sz w:val="15"/>
                <w:szCs w:val="15"/>
              </w:rPr>
              <w:t>脑部、中枢神经系统畸形</w:t>
            </w:r>
          </w:p>
        </w:tc>
      </w:tr>
    </w:tbl>
    <w:p w:rsidR="00EA40A3" w:rsidRDefault="00E86C16">
      <w:pPr>
        <w:spacing w:before="80" w:line="219" w:lineRule="auto"/>
        <w:ind w:left="339"/>
        <w:rPr>
          <w:rFonts w:ascii="宋体" w:eastAsia="宋体" w:hAnsi="宋体" w:cs="宋体"/>
          <w:sz w:val="15"/>
          <w:szCs w:val="15"/>
        </w:rPr>
      </w:pPr>
      <w:r>
        <w:rPr>
          <w:rFonts w:ascii="宋体" w:eastAsia="宋体" w:hAnsi="宋体" w:cs="宋体"/>
          <w:sz w:val="15"/>
          <w:szCs w:val="15"/>
        </w:rPr>
        <w:t>资料来源：中国营养学会.2000.中国居民膳食营养素参考摄入量</w:t>
      </w:r>
      <w:r>
        <w:rPr>
          <w:rFonts w:ascii="宋体" w:eastAsia="宋体" w:hAnsi="宋体" w:cs="宋体"/>
          <w:spacing w:val="-1"/>
          <w:sz w:val="15"/>
          <w:szCs w:val="15"/>
        </w:rPr>
        <w:t>.北京：中国轻工业出版社</w:t>
      </w:r>
    </w:p>
    <w:p w:rsidR="00EA40A3" w:rsidRDefault="00EA40A3">
      <w:pPr>
        <w:spacing w:line="477"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14"/>
          <w:sz w:val="22"/>
          <w:szCs w:val="22"/>
        </w:rPr>
        <w:t>4.</w:t>
      </w:r>
      <w:r>
        <w:rPr>
          <w:rFonts w:ascii="仿宋" w:eastAsia="仿宋" w:hAnsi="仿宋" w:cs="仿宋"/>
          <w:spacing w:val="-29"/>
          <w:sz w:val="22"/>
          <w:szCs w:val="22"/>
        </w:rPr>
        <w:t xml:space="preserve"> </w:t>
      </w:r>
      <w:r>
        <w:rPr>
          <w:rFonts w:ascii="仿宋" w:eastAsia="仿宋" w:hAnsi="仿宋" w:cs="仿宋"/>
          <w:spacing w:val="14"/>
          <w:sz w:val="22"/>
          <w:szCs w:val="22"/>
        </w:rPr>
        <w:t>锌的参考摄入量与食物来源</w:t>
      </w:r>
    </w:p>
    <w:p w:rsidR="00EA40A3" w:rsidRDefault="00E86C16">
      <w:pPr>
        <w:spacing w:before="196" w:line="246" w:lineRule="auto"/>
        <w:ind w:right="19" w:firstLine="439"/>
        <w:jc w:val="both"/>
        <w:rPr>
          <w:rFonts w:ascii="宋体" w:eastAsia="宋体" w:hAnsi="宋体" w:cs="宋体"/>
          <w:sz w:val="22"/>
          <w:szCs w:val="22"/>
        </w:rPr>
      </w:pPr>
      <w:r>
        <w:rPr>
          <w:rFonts w:ascii="宋体" w:eastAsia="宋体" w:hAnsi="宋体" w:cs="宋体"/>
          <w:spacing w:val="-3"/>
          <w:sz w:val="22"/>
          <w:szCs w:val="22"/>
        </w:rPr>
        <w:t>WHO(1996</w:t>
      </w:r>
      <w:r>
        <w:rPr>
          <w:rFonts w:ascii="宋体" w:eastAsia="宋体" w:hAnsi="宋体" w:cs="宋体"/>
          <w:spacing w:val="50"/>
          <w:sz w:val="22"/>
          <w:szCs w:val="22"/>
        </w:rPr>
        <w:t xml:space="preserve">  </w:t>
      </w:r>
      <w:r>
        <w:rPr>
          <w:rFonts w:ascii="宋体" w:eastAsia="宋体" w:hAnsi="宋体" w:cs="宋体"/>
          <w:spacing w:val="-3"/>
          <w:sz w:val="22"/>
          <w:szCs w:val="22"/>
        </w:rPr>
        <w:t>年)资料认为成年男子锌的基本需要量为1.5</w:t>
      </w:r>
      <w:r>
        <w:rPr>
          <w:rFonts w:ascii="宋体" w:eastAsia="宋体" w:hAnsi="宋体" w:cs="宋体"/>
          <w:spacing w:val="-4"/>
          <w:sz w:val="22"/>
          <w:szCs w:val="22"/>
        </w:rPr>
        <w:t>4μg/(</w:t>
      </w:r>
      <w:r>
        <w:rPr>
          <w:rFonts w:ascii="宋体" w:eastAsia="宋体" w:hAnsi="宋体" w:cs="宋体"/>
          <w:spacing w:val="-3"/>
          <w:sz w:val="22"/>
          <w:szCs w:val="22"/>
        </w:rPr>
        <w:t>kg</w:t>
      </w:r>
      <w:r>
        <w:rPr>
          <w:rFonts w:ascii="宋体" w:eastAsia="宋体" w:hAnsi="宋体" w:cs="宋体"/>
          <w:spacing w:val="-25"/>
          <w:sz w:val="22"/>
          <w:szCs w:val="22"/>
        </w:rPr>
        <w:t xml:space="preserve"> </w:t>
      </w:r>
      <w:r>
        <w:rPr>
          <w:rFonts w:ascii="宋体" w:eastAsia="宋体" w:hAnsi="宋体" w:cs="宋体"/>
          <w:spacing w:val="-4"/>
          <w:sz w:val="22"/>
          <w:szCs w:val="22"/>
        </w:rPr>
        <w:t>·d),</w:t>
      </w:r>
      <w:r>
        <w:rPr>
          <w:rFonts w:ascii="宋体" w:eastAsia="宋体" w:hAnsi="宋体" w:cs="宋体"/>
          <w:sz w:val="22"/>
          <w:szCs w:val="22"/>
        </w:rPr>
        <w:t xml:space="preserve">  </w:t>
      </w:r>
      <w:r>
        <w:rPr>
          <w:rFonts w:ascii="宋体" w:eastAsia="宋体" w:hAnsi="宋体" w:cs="宋体"/>
          <w:spacing w:val="-7"/>
          <w:sz w:val="22"/>
          <w:szCs w:val="22"/>
        </w:rPr>
        <w:t>储备需要量为21.6μg/(kg</w:t>
      </w:r>
      <w:r>
        <w:rPr>
          <w:rFonts w:ascii="宋体" w:eastAsia="宋体" w:hAnsi="宋体" w:cs="宋体"/>
          <w:spacing w:val="-26"/>
          <w:sz w:val="22"/>
          <w:szCs w:val="22"/>
        </w:rPr>
        <w:t xml:space="preserve"> </w:t>
      </w:r>
      <w:r>
        <w:rPr>
          <w:rFonts w:ascii="宋体" w:eastAsia="宋体" w:hAnsi="宋体" w:cs="宋体"/>
          <w:spacing w:val="-7"/>
          <w:sz w:val="22"/>
          <w:szCs w:val="22"/>
        </w:rPr>
        <w:t>·d)。</w:t>
      </w:r>
      <w:r>
        <w:rPr>
          <w:rFonts w:ascii="宋体" w:eastAsia="宋体" w:hAnsi="宋体" w:cs="宋体"/>
          <w:spacing w:val="-47"/>
          <w:sz w:val="22"/>
          <w:szCs w:val="22"/>
        </w:rPr>
        <w:t xml:space="preserve"> </w:t>
      </w:r>
      <w:r>
        <w:rPr>
          <w:rFonts w:ascii="宋体" w:eastAsia="宋体" w:hAnsi="宋体" w:cs="宋体"/>
          <w:spacing w:val="-7"/>
          <w:sz w:val="22"/>
          <w:szCs w:val="22"/>
        </w:rPr>
        <w:t>若用锌的吸收率均数25%和储备需要量计算</w:t>
      </w:r>
      <w:r>
        <w:rPr>
          <w:rFonts w:ascii="宋体" w:eastAsia="宋体" w:hAnsi="宋体" w:cs="宋体"/>
          <w:spacing w:val="-8"/>
          <w:sz w:val="22"/>
          <w:szCs w:val="22"/>
        </w:rPr>
        <w:t>，</w:t>
      </w:r>
      <w:r>
        <w:rPr>
          <w:rFonts w:ascii="宋体" w:eastAsia="宋体" w:hAnsi="宋体" w:cs="宋体"/>
          <w:sz w:val="22"/>
          <w:szCs w:val="22"/>
        </w:rPr>
        <w:t xml:space="preserve"> </w:t>
      </w:r>
      <w:r>
        <w:rPr>
          <w:rFonts w:ascii="宋体" w:eastAsia="宋体" w:hAnsi="宋体" w:cs="宋体"/>
          <w:spacing w:val="3"/>
          <w:sz w:val="22"/>
          <w:szCs w:val="22"/>
        </w:rPr>
        <w:t>膳食锌摄入量变异系数为25%,则成年男性(体重65</w:t>
      </w:r>
      <w:r>
        <w:rPr>
          <w:rFonts w:ascii="宋体" w:eastAsia="宋体" w:hAnsi="宋体" w:cs="宋体"/>
          <w:sz w:val="22"/>
          <w:szCs w:val="22"/>
        </w:rPr>
        <w:t>kg</w:t>
      </w:r>
      <w:r>
        <w:rPr>
          <w:rFonts w:ascii="宋体" w:eastAsia="宋体" w:hAnsi="宋体" w:cs="宋体"/>
          <w:spacing w:val="3"/>
          <w:sz w:val="22"/>
          <w:szCs w:val="22"/>
        </w:rPr>
        <w:t>)</w:t>
      </w:r>
      <w:r>
        <w:rPr>
          <w:rFonts w:ascii="宋体" w:eastAsia="宋体" w:hAnsi="宋体" w:cs="宋体"/>
          <w:spacing w:val="-14"/>
          <w:sz w:val="22"/>
          <w:szCs w:val="22"/>
        </w:rPr>
        <w:t xml:space="preserve"> </w:t>
      </w:r>
      <w:r>
        <w:rPr>
          <w:rFonts w:ascii="宋体" w:eastAsia="宋体" w:hAnsi="宋体" w:cs="宋体"/>
          <w:spacing w:val="3"/>
          <w:sz w:val="22"/>
          <w:szCs w:val="22"/>
        </w:rPr>
        <w:t>每天锌的平</w:t>
      </w:r>
      <w:r>
        <w:rPr>
          <w:rFonts w:ascii="宋体" w:eastAsia="宋体" w:hAnsi="宋体" w:cs="宋体"/>
          <w:spacing w:val="2"/>
          <w:sz w:val="22"/>
          <w:szCs w:val="22"/>
        </w:rPr>
        <w:t>均需要量</w:t>
      </w:r>
      <w:r>
        <w:rPr>
          <w:rFonts w:ascii="宋体" w:eastAsia="宋体" w:hAnsi="宋体" w:cs="宋体"/>
          <w:sz w:val="22"/>
          <w:szCs w:val="22"/>
        </w:rPr>
        <w:t xml:space="preserve">  </w:t>
      </w:r>
      <w:r>
        <w:rPr>
          <w:rFonts w:ascii="宋体" w:eastAsia="宋体" w:hAnsi="宋体" w:cs="宋体"/>
          <w:spacing w:val="7"/>
          <w:sz w:val="22"/>
          <w:szCs w:val="22"/>
        </w:rPr>
        <w:t>为11.23</w:t>
      </w:r>
      <w:r>
        <w:rPr>
          <w:rFonts w:ascii="宋体" w:eastAsia="宋体" w:hAnsi="宋体" w:cs="宋体"/>
          <w:sz w:val="22"/>
          <w:szCs w:val="22"/>
        </w:rPr>
        <w:t>mg</w:t>
      </w:r>
      <w:r>
        <w:rPr>
          <w:rFonts w:ascii="宋体" w:eastAsia="宋体" w:hAnsi="宋体" w:cs="宋体"/>
          <w:spacing w:val="7"/>
          <w:sz w:val="22"/>
          <w:szCs w:val="22"/>
        </w:rPr>
        <w:t>。</w:t>
      </w:r>
      <w:r>
        <w:rPr>
          <w:rFonts w:ascii="宋体" w:eastAsia="宋体" w:hAnsi="宋体" w:cs="宋体"/>
          <w:spacing w:val="-20"/>
          <w:sz w:val="22"/>
          <w:szCs w:val="22"/>
        </w:rPr>
        <w:t xml:space="preserve"> </w:t>
      </w:r>
      <w:r>
        <w:rPr>
          <w:rFonts w:ascii="宋体" w:eastAsia="宋体" w:hAnsi="宋体" w:cs="宋体"/>
          <w:spacing w:val="7"/>
          <w:sz w:val="22"/>
          <w:szCs w:val="22"/>
        </w:rPr>
        <w:t>我国居民膳食锌的</w:t>
      </w:r>
      <w:r>
        <w:rPr>
          <w:rFonts w:ascii="宋体" w:eastAsia="宋体" w:hAnsi="宋体" w:cs="宋体"/>
          <w:spacing w:val="-57"/>
          <w:sz w:val="22"/>
          <w:szCs w:val="22"/>
        </w:rPr>
        <w:t xml:space="preserve"> </w:t>
      </w:r>
      <w:r>
        <w:rPr>
          <w:rFonts w:ascii="宋体" w:eastAsia="宋体" w:hAnsi="宋体" w:cs="宋体"/>
          <w:sz w:val="22"/>
          <w:szCs w:val="22"/>
        </w:rPr>
        <w:t>RNI</w:t>
      </w:r>
      <w:r>
        <w:rPr>
          <w:rFonts w:ascii="宋体" w:eastAsia="宋体" w:hAnsi="宋体" w:cs="宋体"/>
          <w:spacing w:val="7"/>
          <w:sz w:val="22"/>
          <w:szCs w:val="22"/>
        </w:rPr>
        <w:t>(μg/d)</w:t>
      </w:r>
      <w:r>
        <w:rPr>
          <w:rFonts w:ascii="宋体" w:eastAsia="宋体" w:hAnsi="宋体" w:cs="宋体"/>
          <w:spacing w:val="87"/>
          <w:sz w:val="22"/>
          <w:szCs w:val="22"/>
        </w:rPr>
        <w:t xml:space="preserve"> </w:t>
      </w:r>
      <w:r>
        <w:rPr>
          <w:rFonts w:ascii="宋体" w:eastAsia="宋体" w:hAnsi="宋体" w:cs="宋体"/>
          <w:spacing w:val="7"/>
          <w:sz w:val="22"/>
          <w:szCs w:val="22"/>
        </w:rPr>
        <w:t>分别定为</w:t>
      </w:r>
      <w:r>
        <w:rPr>
          <w:rFonts w:ascii="宋体" w:eastAsia="宋体" w:hAnsi="宋体" w:cs="宋体"/>
          <w:spacing w:val="6"/>
          <w:sz w:val="22"/>
          <w:szCs w:val="22"/>
        </w:rPr>
        <w:t>：0～0.5岁为1.5,</w:t>
      </w:r>
      <w:r>
        <w:rPr>
          <w:rFonts w:ascii="宋体" w:eastAsia="宋体" w:hAnsi="宋体" w:cs="宋体"/>
          <w:sz w:val="22"/>
          <w:szCs w:val="22"/>
        </w:rPr>
        <w:t xml:space="preserve"> </w:t>
      </w:r>
      <w:r>
        <w:rPr>
          <w:rFonts w:ascii="宋体" w:eastAsia="宋体" w:hAnsi="宋体" w:cs="宋体"/>
          <w:spacing w:val="14"/>
          <w:sz w:val="22"/>
          <w:szCs w:val="22"/>
        </w:rPr>
        <w:t>0.5～1岁为8.0,1~4岁为9.0,4～7岁为12.0,7～11岁为13.5,11～14岁</w:t>
      </w:r>
      <w:r>
        <w:rPr>
          <w:rFonts w:ascii="宋体" w:eastAsia="宋体" w:hAnsi="宋体" w:cs="宋体"/>
          <w:spacing w:val="1"/>
          <w:sz w:val="22"/>
          <w:szCs w:val="22"/>
        </w:rPr>
        <w:t xml:space="preserve"> </w:t>
      </w:r>
      <w:r>
        <w:rPr>
          <w:rFonts w:ascii="宋体" w:eastAsia="宋体" w:hAnsi="宋体" w:cs="宋体"/>
          <w:spacing w:val="5"/>
          <w:sz w:val="22"/>
          <w:szCs w:val="22"/>
        </w:rPr>
        <w:t>男女分别为18.0和15.0,14～18岁以上男女分别为19.0和15.5,</w:t>
      </w:r>
      <w:r>
        <w:rPr>
          <w:rFonts w:ascii="宋体" w:eastAsia="宋体" w:hAnsi="宋体" w:cs="宋体"/>
          <w:spacing w:val="4"/>
          <w:sz w:val="22"/>
          <w:szCs w:val="22"/>
        </w:rPr>
        <w:t>18岁以上男</w:t>
      </w:r>
    </w:p>
    <w:p w:rsidR="00EA40A3" w:rsidRDefault="00E86C16">
      <w:pPr>
        <w:spacing w:before="120"/>
        <w:ind w:right="116"/>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107</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60" w:bottom="400" w:left="800" w:header="0" w:footer="0" w:gutter="0"/>
          <w:cols w:space="720"/>
        </w:sectPr>
      </w:pPr>
    </w:p>
    <w:p w:rsidR="00EA40A3" w:rsidRDefault="00EA40A3">
      <w:pPr>
        <w:spacing w:line="273" w:lineRule="auto"/>
      </w:pPr>
    </w:p>
    <w:p w:rsidR="00EA40A3" w:rsidRDefault="00EA40A3">
      <w:pPr>
        <w:spacing w:line="274" w:lineRule="auto"/>
      </w:pPr>
    </w:p>
    <w:p w:rsidR="00EA40A3" w:rsidRDefault="00E86C16">
      <w:pPr>
        <w:spacing w:before="65" w:line="216" w:lineRule="auto"/>
        <w:rPr>
          <w:rFonts w:ascii="宋体" w:eastAsia="宋体" w:hAnsi="宋体" w:cs="宋体"/>
          <w:sz w:val="20"/>
          <w:szCs w:val="20"/>
        </w:rPr>
      </w:pPr>
      <w:r>
        <w:rPr>
          <w:rFonts w:ascii="宋体" w:eastAsia="宋体" w:hAnsi="宋体" w:cs="宋体"/>
          <w:spacing w:val="17"/>
          <w:sz w:val="20"/>
          <w:szCs w:val="20"/>
        </w:rPr>
        <w:t>女分别为15.0和11.5,孕妇中、晚期增</w:t>
      </w:r>
      <w:r>
        <w:rPr>
          <w:rFonts w:ascii="宋体" w:eastAsia="宋体" w:hAnsi="宋体" w:cs="宋体"/>
          <w:spacing w:val="16"/>
          <w:sz w:val="20"/>
          <w:szCs w:val="20"/>
        </w:rPr>
        <w:t>大为16.5,乳母更高，达21.5。</w:t>
      </w:r>
    </w:p>
    <w:p w:rsidR="00EA40A3" w:rsidRDefault="00E86C16">
      <w:pPr>
        <w:spacing w:before="70" w:line="265" w:lineRule="auto"/>
        <w:ind w:right="3" w:firstLine="399"/>
        <w:jc w:val="both"/>
        <w:rPr>
          <w:rFonts w:ascii="宋体" w:eastAsia="宋体" w:hAnsi="宋体" w:cs="宋体"/>
          <w:sz w:val="20"/>
          <w:szCs w:val="20"/>
        </w:rPr>
      </w:pPr>
      <w:r>
        <w:rPr>
          <w:rFonts w:ascii="宋体" w:eastAsia="宋体" w:hAnsi="宋体" w:cs="宋体"/>
          <w:spacing w:val="7"/>
          <w:sz w:val="20"/>
          <w:szCs w:val="20"/>
        </w:rPr>
        <w:t xml:space="preserve">食物含锌量因地区、品种有较大差异。动物性食物含锌丰富且吸收率高，若 </w:t>
      </w:r>
      <w:r>
        <w:rPr>
          <w:rFonts w:ascii="宋体" w:eastAsia="宋体" w:hAnsi="宋体" w:cs="宋体"/>
          <w:spacing w:val="11"/>
          <w:sz w:val="20"/>
          <w:szCs w:val="20"/>
        </w:rPr>
        <w:t>以每千克食物计，牡蛎、鲱都在1000</w:t>
      </w:r>
      <w:r>
        <w:rPr>
          <w:rFonts w:ascii="宋体" w:eastAsia="宋体" w:hAnsi="宋体" w:cs="宋体"/>
          <w:sz w:val="20"/>
          <w:szCs w:val="20"/>
        </w:rPr>
        <w:t>mg</w:t>
      </w:r>
      <w:r>
        <w:rPr>
          <w:rFonts w:ascii="宋体" w:eastAsia="宋体" w:hAnsi="宋体" w:cs="宋体"/>
          <w:spacing w:val="33"/>
          <w:sz w:val="20"/>
          <w:szCs w:val="20"/>
        </w:rPr>
        <w:t xml:space="preserve"> </w:t>
      </w:r>
      <w:r>
        <w:rPr>
          <w:rFonts w:ascii="宋体" w:eastAsia="宋体" w:hAnsi="宋体" w:cs="宋体"/>
          <w:spacing w:val="11"/>
          <w:sz w:val="20"/>
          <w:szCs w:val="20"/>
        </w:rPr>
        <w:t>以上，肝脏、瘦肉、牛奶、蛋类为20~</w:t>
      </w:r>
      <w:r>
        <w:rPr>
          <w:rFonts w:ascii="宋体" w:eastAsia="宋体" w:hAnsi="宋体" w:cs="宋体"/>
          <w:sz w:val="20"/>
          <w:szCs w:val="20"/>
        </w:rPr>
        <w:t xml:space="preserve"> </w:t>
      </w:r>
      <w:r>
        <w:rPr>
          <w:rFonts w:ascii="宋体" w:eastAsia="宋体" w:hAnsi="宋体" w:cs="宋体"/>
          <w:spacing w:val="9"/>
          <w:sz w:val="20"/>
          <w:szCs w:val="20"/>
        </w:rPr>
        <w:t>40</w:t>
      </w:r>
      <w:r>
        <w:rPr>
          <w:rFonts w:ascii="宋体" w:eastAsia="宋体" w:hAnsi="宋体" w:cs="宋体"/>
          <w:sz w:val="20"/>
          <w:szCs w:val="20"/>
        </w:rPr>
        <w:t>mg</w:t>
      </w:r>
      <w:r>
        <w:rPr>
          <w:rFonts w:ascii="宋体" w:eastAsia="宋体" w:hAnsi="宋体" w:cs="宋体"/>
          <w:spacing w:val="9"/>
          <w:sz w:val="20"/>
          <w:szCs w:val="20"/>
        </w:rPr>
        <w:t>,</w:t>
      </w:r>
      <w:r>
        <w:rPr>
          <w:rFonts w:ascii="宋体" w:eastAsia="宋体" w:hAnsi="宋体" w:cs="宋体"/>
          <w:spacing w:val="37"/>
          <w:sz w:val="20"/>
          <w:szCs w:val="20"/>
        </w:rPr>
        <w:t xml:space="preserve">  </w:t>
      </w:r>
      <w:r>
        <w:rPr>
          <w:rFonts w:ascii="宋体" w:eastAsia="宋体" w:hAnsi="宋体" w:cs="宋体"/>
          <w:spacing w:val="9"/>
          <w:sz w:val="20"/>
          <w:szCs w:val="20"/>
        </w:rPr>
        <w:t>大豆、花生、芝麻为30～60</w:t>
      </w:r>
      <w:r>
        <w:rPr>
          <w:rFonts w:ascii="宋体" w:eastAsia="宋体" w:hAnsi="宋体" w:cs="宋体"/>
          <w:spacing w:val="19"/>
          <w:sz w:val="20"/>
          <w:szCs w:val="20"/>
        </w:rPr>
        <w:t xml:space="preserve"> </w:t>
      </w:r>
      <w:r>
        <w:rPr>
          <w:rFonts w:ascii="宋体" w:eastAsia="宋体" w:hAnsi="宋体" w:cs="宋体"/>
          <w:sz w:val="20"/>
          <w:szCs w:val="20"/>
        </w:rPr>
        <w:t>mg</w:t>
      </w:r>
      <w:r>
        <w:rPr>
          <w:rFonts w:ascii="宋体" w:eastAsia="宋体" w:hAnsi="宋体" w:cs="宋体"/>
          <w:spacing w:val="9"/>
          <w:sz w:val="20"/>
          <w:szCs w:val="20"/>
        </w:rPr>
        <w:t>,</w:t>
      </w:r>
      <w:r>
        <w:rPr>
          <w:rFonts w:ascii="宋体" w:eastAsia="宋体" w:hAnsi="宋体" w:cs="宋体"/>
          <w:spacing w:val="63"/>
          <w:sz w:val="20"/>
          <w:szCs w:val="20"/>
        </w:rPr>
        <w:t xml:space="preserve"> </w:t>
      </w:r>
      <w:r>
        <w:rPr>
          <w:rFonts w:ascii="宋体" w:eastAsia="宋体" w:hAnsi="宋体" w:cs="宋体"/>
          <w:spacing w:val="9"/>
          <w:sz w:val="20"/>
          <w:szCs w:val="20"/>
        </w:rPr>
        <w:t>蔬菜水果类食品含锌很低。谷物碾磨</w:t>
      </w:r>
      <w:r>
        <w:rPr>
          <w:rFonts w:ascii="宋体" w:eastAsia="宋体" w:hAnsi="宋体" w:cs="宋体"/>
          <w:sz w:val="20"/>
          <w:szCs w:val="20"/>
        </w:rPr>
        <w:t xml:space="preserve"> </w:t>
      </w:r>
      <w:r>
        <w:rPr>
          <w:rFonts w:ascii="宋体" w:eastAsia="宋体" w:hAnsi="宋体" w:cs="宋体"/>
          <w:spacing w:val="7"/>
          <w:sz w:val="20"/>
          <w:szCs w:val="20"/>
        </w:rPr>
        <w:t>越细丢失锌较多，目前许多人吃原粮减少，精加工用粮增多，不少人也处于缺锌</w:t>
      </w:r>
      <w:r>
        <w:rPr>
          <w:rFonts w:ascii="宋体" w:eastAsia="宋体" w:hAnsi="宋体" w:cs="宋体"/>
          <w:spacing w:val="14"/>
          <w:sz w:val="20"/>
          <w:szCs w:val="20"/>
        </w:rPr>
        <w:t xml:space="preserve"> </w:t>
      </w:r>
      <w:r>
        <w:rPr>
          <w:rFonts w:ascii="宋体" w:eastAsia="宋体" w:hAnsi="宋体" w:cs="宋体"/>
          <w:spacing w:val="6"/>
          <w:sz w:val="20"/>
          <w:szCs w:val="20"/>
        </w:rPr>
        <w:t>的边缘。发酵谷物制品因植酸有一部分被水解，锌的吸收率高于未发</w:t>
      </w:r>
      <w:r>
        <w:rPr>
          <w:rFonts w:ascii="宋体" w:eastAsia="宋体" w:hAnsi="宋体" w:cs="宋体"/>
          <w:spacing w:val="5"/>
          <w:sz w:val="20"/>
          <w:szCs w:val="20"/>
        </w:rPr>
        <w:t>酵制品。</w:t>
      </w:r>
    </w:p>
    <w:p w:rsidR="00EA40A3" w:rsidRDefault="00E86C16">
      <w:pPr>
        <w:spacing w:before="260" w:line="223" w:lineRule="auto"/>
        <w:ind w:left="2"/>
        <w:outlineLvl w:val="6"/>
        <w:rPr>
          <w:rFonts w:ascii="黑体" w:eastAsia="黑体" w:hAnsi="黑体" w:cs="黑体"/>
          <w:sz w:val="20"/>
          <w:szCs w:val="20"/>
        </w:rPr>
      </w:pPr>
      <w:r>
        <w:rPr>
          <w:rFonts w:ascii="黑体" w:eastAsia="黑体" w:hAnsi="黑体" w:cs="黑体"/>
          <w:b/>
          <w:bCs/>
          <w:spacing w:val="-3"/>
          <w:sz w:val="20"/>
          <w:szCs w:val="20"/>
        </w:rPr>
        <w:t>4.1.9</w:t>
      </w:r>
      <w:r>
        <w:rPr>
          <w:rFonts w:ascii="黑体" w:eastAsia="黑体" w:hAnsi="黑体" w:cs="黑体"/>
          <w:spacing w:val="14"/>
          <w:sz w:val="20"/>
          <w:szCs w:val="20"/>
        </w:rPr>
        <w:t xml:space="preserve">   </w:t>
      </w:r>
      <w:r>
        <w:rPr>
          <w:rFonts w:ascii="黑体" w:eastAsia="黑体" w:hAnsi="黑体" w:cs="黑体"/>
          <w:b/>
          <w:bCs/>
          <w:spacing w:val="-3"/>
          <w:sz w:val="20"/>
          <w:szCs w:val="20"/>
        </w:rPr>
        <w:t>硒</w:t>
      </w:r>
    </w:p>
    <w:p w:rsidR="00EA40A3" w:rsidRDefault="00E86C16">
      <w:pPr>
        <w:spacing w:before="214" w:line="270" w:lineRule="auto"/>
        <w:ind w:firstLine="399"/>
        <w:jc w:val="both"/>
        <w:rPr>
          <w:rFonts w:ascii="宋体" w:eastAsia="宋体" w:hAnsi="宋体" w:cs="宋体"/>
          <w:sz w:val="20"/>
          <w:szCs w:val="20"/>
        </w:rPr>
      </w:pPr>
      <w:r>
        <w:rPr>
          <w:rFonts w:ascii="宋体" w:eastAsia="宋体" w:hAnsi="宋体" w:cs="宋体"/>
          <w:spacing w:val="8"/>
          <w:sz w:val="20"/>
          <w:szCs w:val="20"/>
        </w:rPr>
        <w:t>硒</w:t>
      </w:r>
      <w:r>
        <w:rPr>
          <w:rFonts w:ascii="宋体" w:eastAsia="宋体" w:hAnsi="宋体" w:cs="宋体"/>
          <w:spacing w:val="-24"/>
          <w:sz w:val="20"/>
          <w:szCs w:val="20"/>
        </w:rPr>
        <w:t xml:space="preserve"> </w:t>
      </w:r>
      <w:r>
        <w:rPr>
          <w:rFonts w:ascii="宋体" w:eastAsia="宋体" w:hAnsi="宋体" w:cs="宋体"/>
          <w:spacing w:val="8"/>
          <w:sz w:val="20"/>
          <w:szCs w:val="20"/>
        </w:rPr>
        <w:t>(</w:t>
      </w:r>
      <w:r>
        <w:rPr>
          <w:rFonts w:ascii="宋体" w:eastAsia="宋体" w:hAnsi="宋体" w:cs="宋体"/>
          <w:sz w:val="20"/>
          <w:szCs w:val="20"/>
        </w:rPr>
        <w:t>selenium</w:t>
      </w:r>
      <w:r>
        <w:rPr>
          <w:rFonts w:ascii="宋体" w:eastAsia="宋体" w:hAnsi="宋体" w:cs="宋体"/>
          <w:spacing w:val="8"/>
          <w:sz w:val="20"/>
          <w:szCs w:val="20"/>
        </w:rPr>
        <w:t>)</w:t>
      </w:r>
      <w:r>
        <w:rPr>
          <w:rFonts w:ascii="宋体" w:eastAsia="宋体" w:hAnsi="宋体" w:cs="宋体"/>
          <w:spacing w:val="22"/>
          <w:sz w:val="20"/>
          <w:szCs w:val="20"/>
        </w:rPr>
        <w:t xml:space="preserve"> </w:t>
      </w:r>
      <w:r>
        <w:rPr>
          <w:rFonts w:ascii="宋体" w:eastAsia="宋体" w:hAnsi="宋体" w:cs="宋体"/>
          <w:spacing w:val="8"/>
          <w:sz w:val="20"/>
          <w:szCs w:val="20"/>
        </w:rPr>
        <w:t>是动物和人体必需微量元素的这一认识是20世纪后半叶营养</w:t>
      </w:r>
      <w:r>
        <w:rPr>
          <w:rFonts w:ascii="宋体" w:eastAsia="宋体" w:hAnsi="宋体" w:cs="宋体"/>
          <w:sz w:val="20"/>
          <w:szCs w:val="20"/>
        </w:rPr>
        <w:t xml:space="preserve"> </w:t>
      </w:r>
      <w:r>
        <w:rPr>
          <w:rFonts w:ascii="宋体" w:eastAsia="宋体" w:hAnsi="宋体" w:cs="宋体"/>
          <w:spacing w:val="11"/>
          <w:sz w:val="20"/>
          <w:szCs w:val="20"/>
        </w:rPr>
        <w:t>学上最重要的发现之一</w:t>
      </w:r>
      <w:r>
        <w:rPr>
          <w:rFonts w:ascii="宋体" w:eastAsia="宋体" w:hAnsi="宋体" w:cs="宋体"/>
          <w:spacing w:val="-56"/>
          <w:sz w:val="20"/>
          <w:szCs w:val="20"/>
        </w:rPr>
        <w:t xml:space="preserve"> </w:t>
      </w:r>
      <w:r>
        <w:rPr>
          <w:rFonts w:ascii="宋体" w:eastAsia="宋体" w:hAnsi="宋体" w:cs="宋体"/>
          <w:spacing w:val="11"/>
          <w:sz w:val="20"/>
          <w:szCs w:val="20"/>
        </w:rPr>
        <w:t>。它的一个主要依据是1973年美国两位科学家和德国一</w:t>
      </w:r>
      <w:r>
        <w:rPr>
          <w:rFonts w:ascii="宋体" w:eastAsia="宋体" w:hAnsi="宋体" w:cs="宋体"/>
          <w:sz w:val="20"/>
          <w:szCs w:val="20"/>
        </w:rPr>
        <w:t xml:space="preserve"> </w:t>
      </w:r>
      <w:r>
        <w:rPr>
          <w:rFonts w:ascii="宋体" w:eastAsia="宋体" w:hAnsi="宋体" w:cs="宋体"/>
          <w:spacing w:val="7"/>
          <w:sz w:val="20"/>
          <w:szCs w:val="20"/>
        </w:rPr>
        <w:t>位科学家在两个实验室里分别发现硒是谷胱甘肽过氧化物酶的必需</w:t>
      </w:r>
      <w:r>
        <w:rPr>
          <w:rFonts w:ascii="宋体" w:eastAsia="宋体" w:hAnsi="宋体" w:cs="宋体"/>
          <w:spacing w:val="6"/>
          <w:sz w:val="20"/>
          <w:szCs w:val="20"/>
        </w:rPr>
        <w:t>组分，也即没</w:t>
      </w:r>
      <w:r>
        <w:rPr>
          <w:rFonts w:ascii="宋体" w:eastAsia="宋体" w:hAnsi="宋体" w:cs="宋体"/>
          <w:sz w:val="20"/>
          <w:szCs w:val="20"/>
        </w:rPr>
        <w:t xml:space="preserve"> </w:t>
      </w:r>
      <w:r>
        <w:rPr>
          <w:rFonts w:ascii="宋体" w:eastAsia="宋体" w:hAnsi="宋体" w:cs="宋体"/>
          <w:spacing w:val="7"/>
          <w:sz w:val="20"/>
          <w:szCs w:val="20"/>
        </w:rPr>
        <w:t>有硒存在，这个酶就没有活力，而这个酶是体内主要的抗氧化酶之一，从而揭示</w:t>
      </w:r>
      <w:r>
        <w:rPr>
          <w:rFonts w:ascii="宋体" w:eastAsia="宋体" w:hAnsi="宋体" w:cs="宋体"/>
          <w:spacing w:val="4"/>
          <w:sz w:val="20"/>
          <w:szCs w:val="20"/>
        </w:rPr>
        <w:t xml:space="preserve"> </w:t>
      </w:r>
      <w:r>
        <w:rPr>
          <w:rFonts w:ascii="宋体" w:eastAsia="宋体" w:hAnsi="宋体" w:cs="宋体"/>
          <w:spacing w:val="13"/>
          <w:sz w:val="20"/>
          <w:szCs w:val="20"/>
        </w:rPr>
        <w:t>了硒的第一个生物活性形式。认识硒是人体必需微量元素的另一个主要依</w:t>
      </w:r>
      <w:r>
        <w:rPr>
          <w:rFonts w:ascii="宋体" w:eastAsia="宋体" w:hAnsi="宋体" w:cs="宋体"/>
          <w:spacing w:val="12"/>
          <w:sz w:val="20"/>
          <w:szCs w:val="20"/>
        </w:rPr>
        <w:t>据是</w:t>
      </w:r>
      <w:r>
        <w:rPr>
          <w:rFonts w:ascii="宋体" w:eastAsia="宋体" w:hAnsi="宋体" w:cs="宋体"/>
          <w:sz w:val="20"/>
          <w:szCs w:val="20"/>
        </w:rPr>
        <w:t xml:space="preserve"> </w:t>
      </w:r>
      <w:r>
        <w:rPr>
          <w:rFonts w:ascii="宋体" w:eastAsia="宋体" w:hAnsi="宋体" w:cs="宋体"/>
          <w:spacing w:val="12"/>
          <w:sz w:val="20"/>
          <w:szCs w:val="20"/>
        </w:rPr>
        <w:t>1979年我国发表的克山病防治研究成果，即发现克山病地区人群均处于低硒状</w:t>
      </w:r>
      <w:r>
        <w:rPr>
          <w:rFonts w:ascii="宋体" w:eastAsia="宋体" w:hAnsi="宋体" w:cs="宋体"/>
          <w:spacing w:val="5"/>
          <w:sz w:val="20"/>
          <w:szCs w:val="20"/>
        </w:rPr>
        <w:t xml:space="preserve"> </w:t>
      </w:r>
      <w:r>
        <w:rPr>
          <w:rFonts w:ascii="宋体" w:eastAsia="宋体" w:hAnsi="宋体" w:cs="宋体"/>
          <w:spacing w:val="6"/>
          <w:sz w:val="20"/>
          <w:szCs w:val="20"/>
        </w:rPr>
        <w:t>态，补硒能有效地预防克山病，从而揭示了硒缺乏是克山病发病的基本因素，同</w:t>
      </w:r>
      <w:r>
        <w:rPr>
          <w:rFonts w:ascii="宋体" w:eastAsia="宋体" w:hAnsi="宋体" w:cs="宋体"/>
          <w:spacing w:val="17"/>
          <w:sz w:val="20"/>
          <w:szCs w:val="20"/>
        </w:rPr>
        <w:t xml:space="preserve"> </w:t>
      </w:r>
      <w:r>
        <w:rPr>
          <w:rFonts w:ascii="宋体" w:eastAsia="宋体" w:hAnsi="宋体" w:cs="宋体"/>
          <w:spacing w:val="8"/>
          <w:sz w:val="20"/>
          <w:szCs w:val="20"/>
        </w:rPr>
        <w:t>时也证明了硒是人体必需微量元素。自此，对硒的</w:t>
      </w:r>
      <w:r>
        <w:rPr>
          <w:rFonts w:ascii="宋体" w:eastAsia="宋体" w:hAnsi="宋体" w:cs="宋体"/>
          <w:spacing w:val="7"/>
          <w:sz w:val="20"/>
          <w:szCs w:val="20"/>
        </w:rPr>
        <w:t>生物学作用研究，从疾病防治</w:t>
      </w:r>
      <w:r>
        <w:rPr>
          <w:rFonts w:ascii="宋体" w:eastAsia="宋体" w:hAnsi="宋体" w:cs="宋体"/>
          <w:sz w:val="20"/>
          <w:szCs w:val="20"/>
        </w:rPr>
        <w:t xml:space="preserve"> </w:t>
      </w:r>
      <w:r>
        <w:rPr>
          <w:rFonts w:ascii="宋体" w:eastAsia="宋体" w:hAnsi="宋体" w:cs="宋体"/>
          <w:spacing w:val="4"/>
          <w:sz w:val="20"/>
          <w:szCs w:val="20"/>
        </w:rPr>
        <w:t>的实践应用和作用机制的分子基础两个方面迅速展开。</w:t>
      </w:r>
    </w:p>
    <w:p w:rsidR="00EA40A3" w:rsidRDefault="00E86C16">
      <w:pPr>
        <w:spacing w:before="121" w:line="248" w:lineRule="auto"/>
        <w:ind w:right="26" w:firstLine="399"/>
        <w:rPr>
          <w:rFonts w:ascii="宋体" w:eastAsia="宋体" w:hAnsi="宋体" w:cs="宋体"/>
          <w:sz w:val="20"/>
          <w:szCs w:val="20"/>
        </w:rPr>
      </w:pPr>
      <w:r>
        <w:rPr>
          <w:rFonts w:ascii="宋体" w:eastAsia="宋体" w:hAnsi="宋体" w:cs="宋体"/>
          <w:spacing w:val="10"/>
          <w:sz w:val="20"/>
          <w:szCs w:val="20"/>
        </w:rPr>
        <w:t>硒存在于机体的多种功能蛋白、酶、肌肉细胞中，估计人体内硒的1/3存在</w:t>
      </w:r>
      <w:r>
        <w:rPr>
          <w:rFonts w:ascii="宋体" w:eastAsia="宋体" w:hAnsi="宋体" w:cs="宋体"/>
          <w:sz w:val="20"/>
          <w:szCs w:val="20"/>
        </w:rPr>
        <w:t xml:space="preserve"> </w:t>
      </w:r>
      <w:r>
        <w:rPr>
          <w:rFonts w:ascii="宋体" w:eastAsia="宋体" w:hAnsi="宋体" w:cs="宋体"/>
          <w:spacing w:val="7"/>
          <w:sz w:val="20"/>
          <w:szCs w:val="20"/>
        </w:rPr>
        <w:t>于肌肉尤其是心肌中。人体硒总量约14～21</w:t>
      </w:r>
      <w:r>
        <w:rPr>
          <w:rFonts w:ascii="宋体" w:eastAsia="宋体" w:hAnsi="宋体" w:cs="宋体"/>
          <w:spacing w:val="-41"/>
          <w:sz w:val="20"/>
          <w:szCs w:val="20"/>
        </w:rPr>
        <w:t xml:space="preserve"> </w:t>
      </w:r>
      <w:r>
        <w:rPr>
          <w:rFonts w:ascii="宋体" w:eastAsia="宋体" w:hAnsi="宋体" w:cs="宋体"/>
          <w:sz w:val="20"/>
          <w:szCs w:val="20"/>
        </w:rPr>
        <w:t>mg</w:t>
      </w:r>
      <w:r>
        <w:rPr>
          <w:rFonts w:ascii="宋体" w:eastAsia="宋体" w:hAnsi="宋体" w:cs="宋体"/>
          <w:spacing w:val="7"/>
          <w:sz w:val="20"/>
          <w:szCs w:val="20"/>
        </w:rPr>
        <w:t>。</w:t>
      </w:r>
    </w:p>
    <w:p w:rsidR="00EA40A3" w:rsidRDefault="00E86C16">
      <w:pPr>
        <w:spacing w:before="222" w:line="222" w:lineRule="auto"/>
        <w:rPr>
          <w:rFonts w:ascii="仿宋" w:eastAsia="仿宋" w:hAnsi="仿宋" w:cs="仿宋"/>
          <w:sz w:val="20"/>
          <w:szCs w:val="20"/>
        </w:rPr>
      </w:pPr>
      <w:r>
        <w:rPr>
          <w:rFonts w:ascii="仿宋" w:eastAsia="仿宋" w:hAnsi="仿宋" w:cs="仿宋"/>
          <w:spacing w:val="22"/>
          <w:sz w:val="20"/>
          <w:szCs w:val="20"/>
        </w:rPr>
        <w:t>1.</w:t>
      </w:r>
      <w:r>
        <w:rPr>
          <w:rFonts w:ascii="仿宋" w:eastAsia="仿宋" w:hAnsi="仿宋" w:cs="仿宋"/>
          <w:spacing w:val="-19"/>
          <w:sz w:val="20"/>
          <w:szCs w:val="20"/>
        </w:rPr>
        <w:t xml:space="preserve"> </w:t>
      </w:r>
      <w:r>
        <w:rPr>
          <w:rFonts w:ascii="仿宋" w:eastAsia="仿宋" w:hAnsi="仿宋" w:cs="仿宋"/>
          <w:spacing w:val="22"/>
          <w:sz w:val="20"/>
          <w:szCs w:val="20"/>
        </w:rPr>
        <w:t>硒的生理功能</w:t>
      </w:r>
    </w:p>
    <w:p w:rsidR="00EA40A3" w:rsidRDefault="00E86C16">
      <w:pPr>
        <w:spacing w:before="222" w:line="269" w:lineRule="auto"/>
        <w:ind w:right="24" w:firstLine="399"/>
        <w:jc w:val="both"/>
        <w:rPr>
          <w:rFonts w:ascii="宋体" w:eastAsia="宋体" w:hAnsi="宋体" w:cs="宋体"/>
          <w:sz w:val="20"/>
          <w:szCs w:val="20"/>
        </w:rPr>
      </w:pPr>
      <w:r>
        <w:rPr>
          <w:rFonts w:ascii="宋体" w:eastAsia="宋体" w:hAnsi="宋体" w:cs="宋体"/>
          <w:spacing w:val="8"/>
          <w:sz w:val="20"/>
          <w:szCs w:val="20"/>
        </w:rPr>
        <w:t>进入体内的硒绝大部分与蛋白质结合，称之为“含硒蛋白”(</w:t>
      </w:r>
      <w:r>
        <w:rPr>
          <w:rFonts w:ascii="宋体" w:eastAsia="宋体" w:hAnsi="宋体" w:cs="宋体"/>
          <w:sz w:val="20"/>
          <w:szCs w:val="20"/>
        </w:rPr>
        <w:t>selenium</w:t>
      </w:r>
      <w:r>
        <w:rPr>
          <w:rFonts w:ascii="宋体" w:eastAsia="宋体" w:hAnsi="宋体" w:cs="宋体"/>
          <w:spacing w:val="8"/>
          <w:sz w:val="20"/>
          <w:szCs w:val="20"/>
        </w:rPr>
        <w:t>-</w:t>
      </w:r>
      <w:r>
        <w:rPr>
          <w:rFonts w:ascii="宋体" w:eastAsia="宋体" w:hAnsi="宋体" w:cs="宋体"/>
          <w:sz w:val="20"/>
          <w:szCs w:val="20"/>
        </w:rPr>
        <w:t>con</w:t>
      </w:r>
      <w:r>
        <w:rPr>
          <w:rFonts w:ascii="宋体" w:eastAsia="宋体" w:hAnsi="宋体" w:cs="宋体"/>
          <w:spacing w:val="8"/>
          <w:sz w:val="20"/>
          <w:szCs w:val="20"/>
        </w:rPr>
        <w:t>-</w:t>
      </w:r>
      <w:r>
        <w:rPr>
          <w:rFonts w:ascii="宋体" w:eastAsia="宋体" w:hAnsi="宋体" w:cs="宋体"/>
          <w:spacing w:val="3"/>
          <w:sz w:val="20"/>
          <w:szCs w:val="20"/>
        </w:rPr>
        <w:t xml:space="preserve"> </w:t>
      </w:r>
      <w:r>
        <w:rPr>
          <w:rFonts w:ascii="宋体" w:eastAsia="宋体" w:hAnsi="宋体" w:cs="宋体"/>
          <w:spacing w:val="-3"/>
          <w:sz w:val="20"/>
          <w:szCs w:val="20"/>
        </w:rPr>
        <w:t>taining</w:t>
      </w:r>
      <w:r>
        <w:rPr>
          <w:rFonts w:ascii="宋体" w:eastAsia="宋体" w:hAnsi="宋体" w:cs="宋体"/>
          <w:spacing w:val="-7"/>
          <w:sz w:val="20"/>
          <w:szCs w:val="20"/>
        </w:rPr>
        <w:t xml:space="preserve"> </w:t>
      </w:r>
      <w:r>
        <w:rPr>
          <w:rFonts w:ascii="宋体" w:eastAsia="宋体" w:hAnsi="宋体" w:cs="宋体"/>
          <w:spacing w:val="-3"/>
          <w:sz w:val="20"/>
          <w:szCs w:val="20"/>
        </w:rPr>
        <w:t>protein</w:t>
      </w:r>
      <w:r>
        <w:rPr>
          <w:rFonts w:ascii="宋体" w:eastAsia="宋体" w:hAnsi="宋体" w:cs="宋体"/>
          <w:spacing w:val="-4"/>
          <w:sz w:val="20"/>
          <w:szCs w:val="20"/>
        </w:rPr>
        <w:t>或</w:t>
      </w:r>
      <w:r>
        <w:rPr>
          <w:rFonts w:ascii="宋体" w:eastAsia="宋体" w:hAnsi="宋体" w:cs="宋体"/>
          <w:spacing w:val="-30"/>
          <w:sz w:val="20"/>
          <w:szCs w:val="20"/>
        </w:rPr>
        <w:t xml:space="preserve"> </w:t>
      </w:r>
      <w:r>
        <w:rPr>
          <w:rFonts w:ascii="宋体" w:eastAsia="宋体" w:hAnsi="宋体" w:cs="宋体"/>
          <w:spacing w:val="-3"/>
          <w:sz w:val="20"/>
          <w:szCs w:val="20"/>
        </w:rPr>
        <w:t>selenium</w:t>
      </w:r>
      <w:r>
        <w:rPr>
          <w:rFonts w:ascii="宋体" w:eastAsia="宋体" w:hAnsi="宋体" w:cs="宋体"/>
          <w:spacing w:val="-4"/>
          <w:sz w:val="20"/>
          <w:szCs w:val="20"/>
        </w:rPr>
        <w:t>-</w:t>
      </w:r>
      <w:r>
        <w:rPr>
          <w:rFonts w:ascii="宋体" w:eastAsia="宋体" w:hAnsi="宋体" w:cs="宋体"/>
          <w:spacing w:val="-3"/>
          <w:sz w:val="20"/>
          <w:szCs w:val="20"/>
        </w:rPr>
        <w:t>binding</w:t>
      </w:r>
      <w:r>
        <w:rPr>
          <w:rFonts w:ascii="宋体" w:eastAsia="宋体" w:hAnsi="宋体" w:cs="宋体"/>
          <w:spacing w:val="-1"/>
          <w:sz w:val="20"/>
          <w:szCs w:val="20"/>
        </w:rPr>
        <w:t xml:space="preserve"> </w:t>
      </w:r>
      <w:r>
        <w:rPr>
          <w:rFonts w:ascii="宋体" w:eastAsia="宋体" w:hAnsi="宋体" w:cs="宋体"/>
          <w:spacing w:val="-3"/>
          <w:sz w:val="20"/>
          <w:szCs w:val="20"/>
        </w:rPr>
        <w:t>p</w:t>
      </w:r>
      <w:r>
        <w:rPr>
          <w:rFonts w:ascii="宋体" w:eastAsia="宋体" w:hAnsi="宋体" w:cs="宋体"/>
          <w:spacing w:val="-4"/>
          <w:sz w:val="20"/>
          <w:szCs w:val="20"/>
        </w:rPr>
        <w:t>rotein)。</w:t>
      </w:r>
      <w:r>
        <w:rPr>
          <w:rFonts w:ascii="宋体" w:eastAsia="宋体" w:hAnsi="宋体" w:cs="宋体"/>
          <w:spacing w:val="-26"/>
          <w:sz w:val="20"/>
          <w:szCs w:val="20"/>
        </w:rPr>
        <w:t xml:space="preserve"> </w:t>
      </w:r>
      <w:r>
        <w:rPr>
          <w:rFonts w:ascii="宋体" w:eastAsia="宋体" w:hAnsi="宋体" w:cs="宋体"/>
          <w:spacing w:val="-4"/>
          <w:sz w:val="20"/>
          <w:szCs w:val="20"/>
        </w:rPr>
        <w:t>其中，由mRNA</w:t>
      </w:r>
      <w:r>
        <w:rPr>
          <w:rFonts w:ascii="宋体" w:eastAsia="宋体" w:hAnsi="宋体" w:cs="宋体"/>
          <w:spacing w:val="46"/>
          <w:sz w:val="20"/>
          <w:szCs w:val="20"/>
        </w:rPr>
        <w:t xml:space="preserve">  </w:t>
      </w:r>
      <w:r>
        <w:rPr>
          <w:rFonts w:ascii="宋体" w:eastAsia="宋体" w:hAnsi="宋体" w:cs="宋体"/>
          <w:spacing w:val="-4"/>
          <w:sz w:val="20"/>
          <w:szCs w:val="20"/>
        </w:rPr>
        <w:t>上的三联体密码</w:t>
      </w:r>
      <w:r>
        <w:rPr>
          <w:rFonts w:ascii="宋体" w:eastAsia="宋体" w:hAnsi="宋体" w:cs="宋体"/>
          <w:spacing w:val="1"/>
          <w:sz w:val="20"/>
          <w:szCs w:val="20"/>
        </w:rPr>
        <w:t xml:space="preserve"> </w:t>
      </w:r>
      <w:r>
        <w:rPr>
          <w:rFonts w:ascii="宋体" w:eastAsia="宋体" w:hAnsi="宋体" w:cs="宋体"/>
          <w:spacing w:val="7"/>
          <w:sz w:val="20"/>
          <w:szCs w:val="20"/>
        </w:rPr>
        <w:t>子</w:t>
      </w:r>
      <w:r>
        <w:rPr>
          <w:rFonts w:ascii="宋体" w:eastAsia="宋体" w:hAnsi="宋体" w:cs="宋体"/>
          <w:spacing w:val="-42"/>
          <w:sz w:val="20"/>
          <w:szCs w:val="20"/>
        </w:rPr>
        <w:t xml:space="preserve"> </w:t>
      </w:r>
      <w:r>
        <w:rPr>
          <w:rFonts w:ascii="宋体" w:eastAsia="宋体" w:hAnsi="宋体" w:cs="宋体"/>
          <w:sz w:val="20"/>
          <w:szCs w:val="20"/>
        </w:rPr>
        <w:t>UGA</w:t>
      </w:r>
      <w:r>
        <w:rPr>
          <w:rFonts w:ascii="宋体" w:eastAsia="宋体" w:hAnsi="宋体" w:cs="宋体"/>
          <w:spacing w:val="16"/>
          <w:sz w:val="20"/>
          <w:szCs w:val="20"/>
        </w:rPr>
        <w:t xml:space="preserve">  </w:t>
      </w:r>
      <w:r>
        <w:rPr>
          <w:rFonts w:ascii="宋体" w:eastAsia="宋体" w:hAnsi="宋体" w:cs="宋体"/>
          <w:spacing w:val="7"/>
          <w:sz w:val="20"/>
          <w:szCs w:val="20"/>
        </w:rPr>
        <w:t>编码硒半胱氨酸</w:t>
      </w:r>
      <w:r>
        <w:rPr>
          <w:rFonts w:ascii="宋体" w:eastAsia="宋体" w:hAnsi="宋体" w:cs="宋体"/>
          <w:spacing w:val="2"/>
          <w:sz w:val="20"/>
          <w:szCs w:val="20"/>
        </w:rPr>
        <w:t xml:space="preserve"> </w:t>
      </w:r>
      <w:r>
        <w:rPr>
          <w:rFonts w:ascii="宋体" w:eastAsia="宋体" w:hAnsi="宋体" w:cs="宋体"/>
          <w:spacing w:val="7"/>
          <w:sz w:val="20"/>
          <w:szCs w:val="20"/>
        </w:rPr>
        <w:t>(</w:t>
      </w:r>
      <w:r>
        <w:rPr>
          <w:rFonts w:ascii="宋体" w:eastAsia="宋体" w:hAnsi="宋体" w:cs="宋体"/>
          <w:sz w:val="20"/>
          <w:szCs w:val="20"/>
        </w:rPr>
        <w:t>Sec</w:t>
      </w:r>
      <w:r>
        <w:rPr>
          <w:rFonts w:ascii="宋体" w:eastAsia="宋体" w:hAnsi="宋体" w:cs="宋体"/>
          <w:spacing w:val="7"/>
          <w:sz w:val="20"/>
          <w:szCs w:val="20"/>
        </w:rPr>
        <w:t>)</w:t>
      </w:r>
      <w:r>
        <w:rPr>
          <w:rFonts w:ascii="宋体" w:eastAsia="宋体" w:hAnsi="宋体" w:cs="宋体"/>
          <w:spacing w:val="53"/>
          <w:sz w:val="20"/>
          <w:szCs w:val="20"/>
        </w:rPr>
        <w:t xml:space="preserve"> </w:t>
      </w:r>
      <w:r>
        <w:rPr>
          <w:rFonts w:ascii="宋体" w:eastAsia="宋体" w:hAnsi="宋体" w:cs="宋体"/>
          <w:spacing w:val="7"/>
          <w:sz w:val="20"/>
          <w:szCs w:val="20"/>
        </w:rPr>
        <w:t>掺入的蛋白质另称为“硒蛋白”</w:t>
      </w:r>
      <w:r>
        <w:rPr>
          <w:rFonts w:ascii="宋体" w:eastAsia="宋体" w:hAnsi="宋体" w:cs="宋体"/>
          <w:spacing w:val="3"/>
          <w:sz w:val="20"/>
          <w:szCs w:val="20"/>
        </w:rPr>
        <w:t xml:space="preserve"> </w:t>
      </w:r>
      <w:r>
        <w:rPr>
          <w:rFonts w:ascii="宋体" w:eastAsia="宋体" w:hAnsi="宋体" w:cs="宋体"/>
          <w:spacing w:val="7"/>
          <w:sz w:val="20"/>
          <w:szCs w:val="20"/>
        </w:rPr>
        <w:t>(</w:t>
      </w:r>
      <w:r>
        <w:rPr>
          <w:rFonts w:ascii="宋体" w:eastAsia="宋体" w:hAnsi="宋体" w:cs="宋体"/>
          <w:sz w:val="20"/>
          <w:szCs w:val="20"/>
        </w:rPr>
        <w:t>seleno</w:t>
      </w:r>
      <w:r>
        <w:rPr>
          <w:rFonts w:ascii="宋体" w:eastAsia="宋体" w:hAnsi="宋体" w:cs="宋体"/>
          <w:spacing w:val="6"/>
          <w:sz w:val="20"/>
          <w:szCs w:val="20"/>
        </w:rPr>
        <w:t>-</w:t>
      </w:r>
      <w:r>
        <w:rPr>
          <w:rFonts w:ascii="宋体" w:eastAsia="宋体" w:hAnsi="宋体" w:cs="宋体"/>
          <w:sz w:val="20"/>
          <w:szCs w:val="20"/>
        </w:rPr>
        <w:t>pro</w:t>
      </w:r>
      <w:r>
        <w:rPr>
          <w:rFonts w:ascii="宋体" w:eastAsia="宋体" w:hAnsi="宋体" w:cs="宋体"/>
          <w:spacing w:val="6"/>
          <w:sz w:val="20"/>
          <w:szCs w:val="20"/>
        </w:rPr>
        <w:t>-</w:t>
      </w:r>
      <w:r>
        <w:rPr>
          <w:rFonts w:ascii="宋体" w:eastAsia="宋体" w:hAnsi="宋体" w:cs="宋体"/>
          <w:sz w:val="20"/>
          <w:szCs w:val="20"/>
        </w:rPr>
        <w:t xml:space="preserve"> tein)。</w:t>
      </w:r>
      <w:r>
        <w:rPr>
          <w:rFonts w:ascii="宋体" w:eastAsia="宋体" w:hAnsi="宋体" w:cs="宋体"/>
          <w:spacing w:val="-28"/>
          <w:sz w:val="20"/>
          <w:szCs w:val="20"/>
        </w:rPr>
        <w:t xml:space="preserve"> </w:t>
      </w:r>
      <w:r>
        <w:rPr>
          <w:rFonts w:ascii="宋体" w:eastAsia="宋体" w:hAnsi="宋体" w:cs="宋体"/>
          <w:sz w:val="20"/>
          <w:szCs w:val="20"/>
        </w:rPr>
        <w:t>丝氨酸</w:t>
      </w:r>
      <w:r>
        <w:rPr>
          <w:rFonts w:ascii="宋体" w:eastAsia="宋体" w:hAnsi="宋体" w:cs="宋体"/>
          <w:spacing w:val="-18"/>
          <w:sz w:val="20"/>
          <w:szCs w:val="20"/>
        </w:rPr>
        <w:t xml:space="preserve"> </w:t>
      </w:r>
      <w:r>
        <w:rPr>
          <w:rFonts w:ascii="宋体" w:eastAsia="宋体" w:hAnsi="宋体" w:cs="宋体"/>
          <w:sz w:val="20"/>
          <w:szCs w:val="20"/>
        </w:rPr>
        <w:t>(Ser)、</w:t>
      </w:r>
      <w:r>
        <w:rPr>
          <w:rFonts w:ascii="宋体" w:eastAsia="宋体" w:hAnsi="宋体" w:cs="宋体"/>
          <w:spacing w:val="12"/>
          <w:sz w:val="20"/>
          <w:szCs w:val="20"/>
        </w:rPr>
        <w:t xml:space="preserve"> </w:t>
      </w:r>
      <w:r>
        <w:rPr>
          <w:rFonts w:ascii="宋体" w:eastAsia="宋体" w:hAnsi="宋体" w:cs="宋体"/>
          <w:sz w:val="20"/>
          <w:szCs w:val="20"/>
        </w:rPr>
        <w:t>半胱氨酸</w:t>
      </w:r>
      <w:r>
        <w:rPr>
          <w:rFonts w:ascii="宋体" w:eastAsia="宋体" w:hAnsi="宋体" w:cs="宋体"/>
          <w:spacing w:val="-8"/>
          <w:sz w:val="20"/>
          <w:szCs w:val="20"/>
        </w:rPr>
        <w:t xml:space="preserve"> </w:t>
      </w:r>
      <w:r>
        <w:rPr>
          <w:rFonts w:ascii="宋体" w:eastAsia="宋体" w:hAnsi="宋体" w:cs="宋体"/>
          <w:sz w:val="20"/>
          <w:szCs w:val="20"/>
        </w:rPr>
        <w:t>(Cys)</w:t>
      </w:r>
      <w:r>
        <w:rPr>
          <w:rFonts w:ascii="宋体" w:eastAsia="宋体" w:hAnsi="宋体" w:cs="宋体"/>
          <w:spacing w:val="83"/>
          <w:sz w:val="20"/>
          <w:szCs w:val="20"/>
        </w:rPr>
        <w:t xml:space="preserve"> </w:t>
      </w:r>
      <w:r>
        <w:rPr>
          <w:rFonts w:ascii="宋体" w:eastAsia="宋体" w:hAnsi="宋体" w:cs="宋体"/>
          <w:sz w:val="20"/>
          <w:szCs w:val="20"/>
        </w:rPr>
        <w:t xml:space="preserve">和硒半胱氨酸是结构分别含氧、硫、硒 </w:t>
      </w:r>
      <w:r>
        <w:rPr>
          <w:rFonts w:ascii="宋体" w:eastAsia="宋体" w:hAnsi="宋体" w:cs="宋体"/>
          <w:spacing w:val="15"/>
          <w:sz w:val="20"/>
          <w:szCs w:val="20"/>
        </w:rPr>
        <w:t>的具有相同碳架的氨基酸(图4-1)。它们所含元素的不同导致它</w:t>
      </w:r>
      <w:r>
        <w:rPr>
          <w:rFonts w:ascii="宋体" w:eastAsia="宋体" w:hAnsi="宋体" w:cs="宋体"/>
          <w:spacing w:val="14"/>
          <w:sz w:val="20"/>
          <w:szCs w:val="20"/>
        </w:rPr>
        <w:t>们的生化作用</w:t>
      </w:r>
      <w:r>
        <w:rPr>
          <w:rFonts w:ascii="宋体" w:eastAsia="宋体" w:hAnsi="宋体" w:cs="宋体"/>
          <w:sz w:val="20"/>
          <w:szCs w:val="20"/>
        </w:rPr>
        <w:t xml:space="preserve"> </w:t>
      </w:r>
      <w:r>
        <w:rPr>
          <w:rFonts w:ascii="宋体" w:eastAsia="宋体" w:hAnsi="宋体" w:cs="宋体"/>
          <w:spacing w:val="14"/>
          <w:sz w:val="20"/>
          <w:szCs w:val="20"/>
        </w:rPr>
        <w:t>不同。硒蛋白中</w:t>
      </w:r>
      <w:r>
        <w:rPr>
          <w:rFonts w:ascii="宋体" w:eastAsia="宋体" w:hAnsi="宋体" w:cs="宋体"/>
          <w:spacing w:val="-46"/>
          <w:sz w:val="20"/>
          <w:szCs w:val="20"/>
        </w:rPr>
        <w:t xml:space="preserve"> </w:t>
      </w:r>
      <w:r>
        <w:rPr>
          <w:rFonts w:ascii="宋体" w:eastAsia="宋体" w:hAnsi="宋体" w:cs="宋体"/>
          <w:sz w:val="20"/>
          <w:szCs w:val="20"/>
        </w:rPr>
        <w:t>Sec</w:t>
      </w:r>
      <w:r>
        <w:rPr>
          <w:rFonts w:ascii="宋体" w:eastAsia="宋体" w:hAnsi="宋体" w:cs="宋体"/>
          <w:spacing w:val="-11"/>
          <w:sz w:val="20"/>
          <w:szCs w:val="20"/>
        </w:rPr>
        <w:t xml:space="preserve"> </w:t>
      </w:r>
      <w:r>
        <w:rPr>
          <w:rFonts w:ascii="宋体" w:eastAsia="宋体" w:hAnsi="宋体" w:cs="宋体"/>
          <w:spacing w:val="14"/>
          <w:sz w:val="20"/>
          <w:szCs w:val="20"/>
        </w:rPr>
        <w:t>的硒氢基(</w:t>
      </w:r>
      <w:r>
        <w:rPr>
          <w:rFonts w:ascii="宋体" w:eastAsia="宋体" w:hAnsi="宋体" w:cs="宋体"/>
          <w:spacing w:val="-60"/>
          <w:sz w:val="20"/>
          <w:szCs w:val="20"/>
        </w:rPr>
        <w:t xml:space="preserve"> </w:t>
      </w:r>
      <w:r>
        <w:rPr>
          <w:rFonts w:ascii="宋体" w:eastAsia="宋体" w:hAnsi="宋体" w:cs="宋体"/>
          <w:spacing w:val="14"/>
          <w:sz w:val="20"/>
          <w:szCs w:val="20"/>
        </w:rPr>
        <w:t>—</w:t>
      </w:r>
      <w:r>
        <w:rPr>
          <w:rFonts w:ascii="宋体" w:eastAsia="宋体" w:hAnsi="宋体" w:cs="宋体"/>
          <w:sz w:val="20"/>
          <w:szCs w:val="20"/>
        </w:rPr>
        <w:t>SeH</w:t>
      </w:r>
      <w:r>
        <w:rPr>
          <w:rFonts w:ascii="宋体" w:eastAsia="宋体" w:hAnsi="宋体" w:cs="宋体"/>
          <w:spacing w:val="14"/>
          <w:sz w:val="20"/>
          <w:szCs w:val="20"/>
        </w:rPr>
        <w:t>)</w:t>
      </w:r>
      <w:r>
        <w:rPr>
          <w:rFonts w:ascii="宋体" w:eastAsia="宋体" w:hAnsi="宋体" w:cs="宋体"/>
          <w:spacing w:val="49"/>
          <w:sz w:val="20"/>
          <w:szCs w:val="20"/>
        </w:rPr>
        <w:t xml:space="preserve">  </w:t>
      </w:r>
      <w:r>
        <w:rPr>
          <w:rFonts w:ascii="宋体" w:eastAsia="宋体" w:hAnsi="宋体" w:cs="宋体"/>
          <w:spacing w:val="14"/>
          <w:sz w:val="20"/>
          <w:szCs w:val="20"/>
        </w:rPr>
        <w:t>在</w:t>
      </w:r>
      <w:r>
        <w:rPr>
          <w:rFonts w:ascii="宋体" w:eastAsia="宋体" w:hAnsi="宋体" w:cs="宋体"/>
          <w:spacing w:val="-43"/>
          <w:sz w:val="20"/>
          <w:szCs w:val="20"/>
        </w:rPr>
        <w:t xml:space="preserve"> </w:t>
      </w:r>
      <w:r>
        <w:rPr>
          <w:rFonts w:ascii="宋体" w:eastAsia="宋体" w:hAnsi="宋体" w:cs="宋体"/>
          <w:spacing w:val="14"/>
          <w:sz w:val="20"/>
          <w:szCs w:val="20"/>
        </w:rPr>
        <w:t>生</w:t>
      </w:r>
      <w:r>
        <w:rPr>
          <w:rFonts w:ascii="宋体" w:eastAsia="宋体" w:hAnsi="宋体" w:cs="宋体"/>
          <w:spacing w:val="-43"/>
          <w:sz w:val="20"/>
          <w:szCs w:val="20"/>
        </w:rPr>
        <w:t xml:space="preserve"> </w:t>
      </w:r>
      <w:r>
        <w:rPr>
          <w:rFonts w:ascii="宋体" w:eastAsia="宋体" w:hAnsi="宋体" w:cs="宋体"/>
          <w:spacing w:val="14"/>
          <w:sz w:val="20"/>
          <w:szCs w:val="20"/>
        </w:rPr>
        <w:t>理</w:t>
      </w:r>
      <w:r>
        <w:rPr>
          <w:rFonts w:ascii="宋体" w:eastAsia="宋体" w:hAnsi="宋体" w:cs="宋体"/>
          <w:spacing w:val="-47"/>
          <w:sz w:val="20"/>
          <w:szCs w:val="20"/>
        </w:rPr>
        <w:t xml:space="preserve"> </w:t>
      </w:r>
      <w:r>
        <w:rPr>
          <w:rFonts w:ascii="宋体" w:eastAsia="宋体" w:hAnsi="宋体" w:cs="宋体"/>
          <w:sz w:val="20"/>
          <w:szCs w:val="20"/>
        </w:rPr>
        <w:t>pH</w:t>
      </w:r>
      <w:r>
        <w:rPr>
          <w:rFonts w:ascii="宋体" w:eastAsia="宋体" w:hAnsi="宋体" w:cs="宋体"/>
          <w:spacing w:val="75"/>
          <w:sz w:val="20"/>
          <w:szCs w:val="20"/>
        </w:rPr>
        <w:t xml:space="preserve"> </w:t>
      </w:r>
      <w:r>
        <w:rPr>
          <w:rFonts w:ascii="宋体" w:eastAsia="宋体" w:hAnsi="宋体" w:cs="宋体"/>
          <w:spacing w:val="14"/>
          <w:sz w:val="20"/>
          <w:szCs w:val="20"/>
        </w:rPr>
        <w:t>状态下比</w:t>
      </w:r>
      <w:r>
        <w:rPr>
          <w:rFonts w:ascii="宋体" w:eastAsia="宋体" w:hAnsi="宋体" w:cs="宋体"/>
          <w:spacing w:val="-52"/>
          <w:sz w:val="20"/>
          <w:szCs w:val="20"/>
        </w:rPr>
        <w:t xml:space="preserve"> </w:t>
      </w:r>
      <w:r>
        <w:rPr>
          <w:rFonts w:ascii="宋体" w:eastAsia="宋体" w:hAnsi="宋体" w:cs="宋体"/>
          <w:sz w:val="20"/>
          <w:szCs w:val="20"/>
        </w:rPr>
        <w:t>Cys</w:t>
      </w:r>
      <w:r>
        <w:rPr>
          <w:rFonts w:ascii="宋体" w:eastAsia="宋体" w:hAnsi="宋体" w:cs="宋体"/>
          <w:spacing w:val="16"/>
          <w:sz w:val="20"/>
          <w:szCs w:val="20"/>
        </w:rPr>
        <w:t xml:space="preserve"> </w:t>
      </w:r>
      <w:r>
        <w:rPr>
          <w:rFonts w:ascii="宋体" w:eastAsia="宋体" w:hAnsi="宋体" w:cs="宋体"/>
          <w:spacing w:val="14"/>
          <w:sz w:val="20"/>
          <w:szCs w:val="20"/>
        </w:rPr>
        <w:t>上的巯基</w:t>
      </w:r>
      <w:r>
        <w:rPr>
          <w:rFonts w:ascii="宋体" w:eastAsia="宋体" w:hAnsi="宋体" w:cs="宋体"/>
          <w:sz w:val="20"/>
          <w:szCs w:val="20"/>
        </w:rPr>
        <w:t xml:space="preserve"> </w:t>
      </w:r>
      <w:r>
        <w:rPr>
          <w:rFonts w:ascii="宋体" w:eastAsia="宋体" w:hAnsi="宋体" w:cs="宋体"/>
          <w:spacing w:val="5"/>
          <w:sz w:val="20"/>
          <w:szCs w:val="20"/>
        </w:rPr>
        <w:t>(</w:t>
      </w:r>
      <w:r>
        <w:rPr>
          <w:rFonts w:ascii="宋体" w:eastAsia="宋体" w:hAnsi="宋体" w:cs="宋体"/>
          <w:spacing w:val="-35"/>
          <w:sz w:val="20"/>
          <w:szCs w:val="20"/>
        </w:rPr>
        <w:t xml:space="preserve"> </w:t>
      </w:r>
      <w:r>
        <w:rPr>
          <w:rFonts w:ascii="宋体" w:eastAsia="宋体" w:hAnsi="宋体" w:cs="宋体"/>
          <w:spacing w:val="5"/>
          <w:sz w:val="20"/>
          <w:szCs w:val="20"/>
        </w:rPr>
        <w:t>一</w:t>
      </w:r>
      <w:r>
        <w:rPr>
          <w:rFonts w:ascii="宋体" w:eastAsia="宋体" w:hAnsi="宋体" w:cs="宋体"/>
          <w:sz w:val="20"/>
          <w:szCs w:val="20"/>
        </w:rPr>
        <w:t>SH</w:t>
      </w:r>
      <w:r>
        <w:rPr>
          <w:rFonts w:ascii="宋体" w:eastAsia="宋体" w:hAnsi="宋体" w:cs="宋体"/>
          <w:spacing w:val="5"/>
          <w:sz w:val="20"/>
          <w:szCs w:val="20"/>
        </w:rPr>
        <w:t>)</w:t>
      </w:r>
      <w:r>
        <w:rPr>
          <w:rFonts w:ascii="宋体" w:eastAsia="宋体" w:hAnsi="宋体" w:cs="宋体"/>
          <w:spacing w:val="-1"/>
          <w:sz w:val="20"/>
          <w:szCs w:val="20"/>
        </w:rPr>
        <w:t xml:space="preserve"> </w:t>
      </w:r>
      <w:r>
        <w:rPr>
          <w:rFonts w:ascii="宋体" w:eastAsia="宋体" w:hAnsi="宋体" w:cs="宋体"/>
          <w:spacing w:val="5"/>
          <w:sz w:val="20"/>
          <w:szCs w:val="20"/>
        </w:rPr>
        <w:t>具有更强的亲核性，使它在硒酶中催化活性更活泼。硒蛋氨酸</w:t>
      </w:r>
      <w:r>
        <w:rPr>
          <w:rFonts w:ascii="宋体" w:eastAsia="宋体" w:hAnsi="宋体" w:cs="宋体"/>
          <w:spacing w:val="-9"/>
          <w:sz w:val="20"/>
          <w:szCs w:val="20"/>
        </w:rPr>
        <w:t xml:space="preserve"> </w:t>
      </w:r>
      <w:r>
        <w:rPr>
          <w:rFonts w:ascii="宋体" w:eastAsia="宋体" w:hAnsi="宋体" w:cs="宋体"/>
          <w:spacing w:val="5"/>
          <w:sz w:val="20"/>
          <w:szCs w:val="20"/>
        </w:rPr>
        <w:t>(</w:t>
      </w:r>
      <w:r>
        <w:rPr>
          <w:rFonts w:ascii="宋体" w:eastAsia="宋体" w:hAnsi="宋体" w:cs="宋体"/>
          <w:sz w:val="20"/>
          <w:szCs w:val="20"/>
        </w:rPr>
        <w:t>seleno</w:t>
      </w:r>
      <w:r>
        <w:rPr>
          <w:rFonts w:ascii="宋体" w:eastAsia="宋体" w:hAnsi="宋体" w:cs="宋体"/>
          <w:spacing w:val="5"/>
          <w:sz w:val="20"/>
          <w:szCs w:val="20"/>
        </w:rPr>
        <w:t>-</w:t>
      </w:r>
      <w:r>
        <w:rPr>
          <w:rFonts w:ascii="宋体" w:eastAsia="宋体" w:hAnsi="宋体" w:cs="宋体"/>
          <w:sz w:val="20"/>
          <w:szCs w:val="20"/>
        </w:rPr>
        <w:t xml:space="preserve"> methionine</w:t>
      </w:r>
      <w:r>
        <w:rPr>
          <w:rFonts w:ascii="宋体" w:eastAsia="宋体" w:hAnsi="宋体" w:cs="宋体"/>
          <w:spacing w:val="4"/>
          <w:sz w:val="20"/>
          <w:szCs w:val="20"/>
        </w:rPr>
        <w:t>,</w:t>
      </w:r>
      <w:r>
        <w:rPr>
          <w:rFonts w:ascii="宋体" w:eastAsia="宋体" w:hAnsi="宋体" w:cs="宋体"/>
          <w:sz w:val="20"/>
          <w:szCs w:val="20"/>
        </w:rPr>
        <w:t>SeMet</w:t>
      </w:r>
      <w:r>
        <w:rPr>
          <w:rFonts w:ascii="宋体" w:eastAsia="宋体" w:hAnsi="宋体" w:cs="宋体"/>
          <w:spacing w:val="4"/>
          <w:sz w:val="20"/>
          <w:szCs w:val="20"/>
        </w:rPr>
        <w:t>)</w:t>
      </w:r>
      <w:r>
        <w:rPr>
          <w:rFonts w:ascii="宋体" w:eastAsia="宋体" w:hAnsi="宋体" w:cs="宋体"/>
          <w:spacing w:val="40"/>
          <w:sz w:val="20"/>
          <w:szCs w:val="20"/>
        </w:rPr>
        <w:t xml:space="preserve">  </w:t>
      </w:r>
      <w:r>
        <w:rPr>
          <w:rFonts w:ascii="宋体" w:eastAsia="宋体" w:hAnsi="宋体" w:cs="宋体"/>
          <w:spacing w:val="4"/>
          <w:sz w:val="20"/>
          <w:szCs w:val="20"/>
        </w:rPr>
        <w:t>中的硒与两碳原子共价结合，使硒被屏蔽而无化学活性。</w:t>
      </w:r>
    </w:p>
    <w:p w:rsidR="00EA40A3" w:rsidRDefault="00E86C16">
      <w:pPr>
        <w:spacing w:before="118" w:line="258" w:lineRule="auto"/>
        <w:ind w:right="27" w:firstLine="399"/>
        <w:rPr>
          <w:rFonts w:ascii="宋体" w:eastAsia="宋体" w:hAnsi="宋体" w:cs="宋体"/>
          <w:sz w:val="20"/>
          <w:szCs w:val="20"/>
        </w:rPr>
      </w:pPr>
      <w:r>
        <w:rPr>
          <w:rFonts w:ascii="宋体" w:eastAsia="宋体" w:hAnsi="宋体" w:cs="宋体"/>
          <w:spacing w:val="6"/>
          <w:sz w:val="20"/>
          <w:szCs w:val="20"/>
        </w:rPr>
        <w:t>目前认为，只有硒蛋白是有生物学功能的，且为机</w:t>
      </w:r>
      <w:r>
        <w:rPr>
          <w:rFonts w:ascii="宋体" w:eastAsia="宋体" w:hAnsi="宋体" w:cs="宋体"/>
          <w:spacing w:val="5"/>
          <w:sz w:val="20"/>
          <w:szCs w:val="20"/>
        </w:rPr>
        <w:t>体硒营养状态所调节。根</w:t>
      </w:r>
      <w:r>
        <w:rPr>
          <w:rFonts w:ascii="宋体" w:eastAsia="宋体" w:hAnsi="宋体" w:cs="宋体"/>
          <w:sz w:val="20"/>
          <w:szCs w:val="20"/>
        </w:rPr>
        <w:t xml:space="preserve"> </w:t>
      </w:r>
      <w:r>
        <w:rPr>
          <w:rFonts w:ascii="宋体" w:eastAsia="宋体" w:hAnsi="宋体" w:cs="宋体"/>
          <w:spacing w:val="9"/>
          <w:sz w:val="20"/>
          <w:szCs w:val="20"/>
        </w:rPr>
        <w:t>据基因频度分析，人体内可能会有50～100种硒蛋白存在。迄今，在古生物中鉴</w:t>
      </w:r>
      <w:r>
        <w:rPr>
          <w:rFonts w:ascii="宋体" w:eastAsia="宋体" w:hAnsi="宋体" w:cs="宋体"/>
          <w:spacing w:val="6"/>
          <w:sz w:val="20"/>
          <w:szCs w:val="20"/>
        </w:rPr>
        <w:t xml:space="preserve"> </w:t>
      </w:r>
      <w:r>
        <w:rPr>
          <w:rFonts w:ascii="宋体" w:eastAsia="宋体" w:hAnsi="宋体" w:cs="宋体"/>
          <w:spacing w:val="15"/>
          <w:sz w:val="20"/>
          <w:szCs w:val="20"/>
        </w:rPr>
        <w:t>别出5种硒蛋白、原核生物细菌中鉴别出9种、真核生物鉴别出23种。</w:t>
      </w:r>
    </w:p>
    <w:p w:rsidR="00EA40A3" w:rsidRDefault="00E86C16">
      <w:pPr>
        <w:spacing w:before="81" w:line="253" w:lineRule="auto"/>
        <w:ind w:right="28" w:firstLine="399"/>
        <w:rPr>
          <w:rFonts w:ascii="宋体" w:eastAsia="宋体" w:hAnsi="宋体" w:cs="宋体"/>
          <w:sz w:val="20"/>
          <w:szCs w:val="20"/>
        </w:rPr>
      </w:pPr>
      <w:r>
        <w:rPr>
          <w:rFonts w:ascii="宋体" w:eastAsia="宋体" w:hAnsi="宋体" w:cs="宋体"/>
          <w:spacing w:val="7"/>
          <w:sz w:val="20"/>
          <w:szCs w:val="20"/>
        </w:rPr>
        <w:t>硒的生理作用主要是通过硒蛋白发挥的，表现在抗氧化、提高免疫力和甲状</w:t>
      </w:r>
      <w:r>
        <w:rPr>
          <w:rFonts w:ascii="宋体" w:eastAsia="宋体" w:hAnsi="宋体" w:cs="宋体"/>
          <w:spacing w:val="6"/>
          <w:sz w:val="20"/>
          <w:szCs w:val="20"/>
        </w:rPr>
        <w:t xml:space="preserve"> </w:t>
      </w:r>
      <w:r>
        <w:rPr>
          <w:rFonts w:ascii="宋体" w:eastAsia="宋体" w:hAnsi="宋体" w:cs="宋体"/>
          <w:spacing w:val="4"/>
          <w:sz w:val="20"/>
          <w:szCs w:val="20"/>
        </w:rPr>
        <w:t>腺激素调节等方面，又通过它们在疾病防治中的效果得以表现。</w:t>
      </w:r>
    </w:p>
    <w:p w:rsidR="00EA40A3" w:rsidRDefault="00E86C16">
      <w:pPr>
        <w:spacing w:before="51" w:line="262" w:lineRule="auto"/>
        <w:ind w:right="27" w:firstLine="399"/>
        <w:rPr>
          <w:rFonts w:ascii="宋体" w:eastAsia="宋体" w:hAnsi="宋体" w:cs="宋体"/>
          <w:sz w:val="20"/>
          <w:szCs w:val="20"/>
        </w:rPr>
      </w:pPr>
      <w:r>
        <w:rPr>
          <w:rFonts w:ascii="宋体" w:eastAsia="宋体" w:hAnsi="宋体" w:cs="宋体"/>
          <w:spacing w:val="16"/>
          <w:sz w:val="20"/>
          <w:szCs w:val="20"/>
        </w:rPr>
        <w:t>(1)抗氧化作用。医学研究发现许多疾病的发病过程都与活性氧自由基有</w:t>
      </w:r>
      <w:r>
        <w:rPr>
          <w:rFonts w:ascii="宋体" w:eastAsia="宋体" w:hAnsi="宋体" w:cs="宋体"/>
          <w:spacing w:val="11"/>
          <w:sz w:val="20"/>
          <w:szCs w:val="20"/>
        </w:rPr>
        <w:t xml:space="preserve"> </w:t>
      </w:r>
      <w:r>
        <w:rPr>
          <w:rFonts w:ascii="宋体" w:eastAsia="宋体" w:hAnsi="宋体" w:cs="宋体"/>
          <w:spacing w:val="7"/>
          <w:sz w:val="20"/>
          <w:szCs w:val="20"/>
        </w:rPr>
        <w:t>关。如化学、辐射和吸烟等致癌过程、克山病心肌氧化损伤、动脉</w:t>
      </w:r>
      <w:r>
        <w:rPr>
          <w:rFonts w:ascii="宋体" w:eastAsia="宋体" w:hAnsi="宋体" w:cs="宋体"/>
          <w:spacing w:val="6"/>
          <w:sz w:val="20"/>
          <w:szCs w:val="20"/>
        </w:rPr>
        <w:t>粥样硬化的脂</w:t>
      </w:r>
    </w:p>
    <w:p w:rsidR="00EA40A3" w:rsidRDefault="00E86C16">
      <w:pPr>
        <w:spacing w:before="34"/>
        <w:ind w:left="130"/>
        <w:rPr>
          <w:rFonts w:ascii="宋体" w:eastAsia="宋体" w:hAnsi="宋体" w:cs="宋体"/>
          <w:sz w:val="20"/>
          <w:szCs w:val="20"/>
        </w:rPr>
      </w:pPr>
      <w:r>
        <w:rPr>
          <w:rFonts w:ascii="宋体" w:eastAsia="宋体" w:hAnsi="宋体" w:cs="宋体"/>
          <w:spacing w:val="-30"/>
          <w:sz w:val="20"/>
          <w:szCs w:val="20"/>
        </w:rPr>
        <w:t>·</w:t>
      </w:r>
      <w:r>
        <w:rPr>
          <w:rFonts w:ascii="宋体" w:eastAsia="宋体" w:hAnsi="宋体" w:cs="宋体"/>
          <w:spacing w:val="-54"/>
          <w:sz w:val="20"/>
          <w:szCs w:val="20"/>
        </w:rPr>
        <w:t xml:space="preserve"> </w:t>
      </w:r>
      <w:r>
        <w:rPr>
          <w:rFonts w:ascii="宋体" w:eastAsia="宋体" w:hAnsi="宋体" w:cs="宋体"/>
          <w:spacing w:val="-30"/>
          <w:sz w:val="20"/>
          <w:szCs w:val="20"/>
        </w:rPr>
        <w:t>108</w:t>
      </w:r>
      <w:r>
        <w:rPr>
          <w:rFonts w:ascii="宋体" w:eastAsia="宋体" w:hAnsi="宋体" w:cs="宋体"/>
          <w:spacing w:val="44"/>
          <w:sz w:val="20"/>
          <w:szCs w:val="20"/>
        </w:rPr>
        <w:t xml:space="preserve"> </w:t>
      </w:r>
      <w:r>
        <w:rPr>
          <w:rFonts w:ascii="宋体" w:eastAsia="宋体" w:hAnsi="宋体" w:cs="宋体"/>
          <w:spacing w:val="-30"/>
          <w:sz w:val="20"/>
          <w:szCs w:val="20"/>
        </w:rPr>
        <w:t>·</w:t>
      </w:r>
    </w:p>
    <w:p w:rsidR="00EA40A3" w:rsidRDefault="00EA40A3">
      <w:pPr>
        <w:sectPr w:rsidR="00EA40A3">
          <w:pgSz w:w="9220" w:h="13360"/>
          <w:pgMar w:top="400" w:right="1022" w:bottom="400" w:left="930" w:header="0" w:footer="0" w:gutter="0"/>
          <w:cols w:space="720"/>
        </w:sectPr>
      </w:pPr>
    </w:p>
    <w:p w:rsidR="00EA40A3" w:rsidRDefault="00EA40A3">
      <w:pPr>
        <w:spacing w:line="268" w:lineRule="auto"/>
      </w:pPr>
    </w:p>
    <w:p w:rsidR="00EA40A3" w:rsidRDefault="00EA40A3">
      <w:pPr>
        <w:spacing w:line="268" w:lineRule="auto"/>
      </w:pPr>
    </w:p>
    <w:p w:rsidR="00EA40A3" w:rsidRDefault="00EA40A3">
      <w:pPr>
        <w:spacing w:line="269" w:lineRule="auto"/>
      </w:pPr>
    </w:p>
    <w:p w:rsidR="00EA40A3" w:rsidRDefault="00E86C16">
      <w:pPr>
        <w:spacing w:line="1750" w:lineRule="exact"/>
        <w:ind w:firstLine="920"/>
        <w:textAlignment w:val="center"/>
      </w:pPr>
      <w:r>
        <w:rPr>
          <w:noProof/>
        </w:rPr>
        <w:drawing>
          <wp:inline distT="0" distB="0" distL="0" distR="0">
            <wp:extent cx="3529965" cy="111125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83"/>
                    <a:stretch>
                      <a:fillRect/>
                    </a:stretch>
                  </pic:blipFill>
                  <pic:spPr>
                    <a:xfrm>
                      <a:off x="0" y="0"/>
                      <a:ext cx="3530559" cy="1111267"/>
                    </a:xfrm>
                    <a:prstGeom prst="rect">
                      <a:avLst/>
                    </a:prstGeom>
                  </pic:spPr>
                </pic:pic>
              </a:graphicData>
            </a:graphic>
          </wp:inline>
        </w:drawing>
      </w:r>
    </w:p>
    <w:p w:rsidR="00EA40A3" w:rsidRDefault="00E86C16">
      <w:pPr>
        <w:spacing w:before="26" w:line="212" w:lineRule="auto"/>
        <w:ind w:left="880"/>
        <w:rPr>
          <w:rFonts w:ascii="Times New Roman" w:eastAsia="Times New Roman" w:hAnsi="Times New Roman" w:cs="Times New Roman"/>
          <w:sz w:val="17"/>
          <w:szCs w:val="17"/>
        </w:rPr>
      </w:pPr>
      <w:r>
        <w:rPr>
          <w:rFonts w:ascii="宋体" w:eastAsia="宋体" w:hAnsi="宋体" w:cs="宋体"/>
          <w:spacing w:val="-8"/>
          <w:sz w:val="16"/>
          <w:szCs w:val="16"/>
        </w:rPr>
        <w:t>丝氨酸</w:t>
      </w:r>
      <w:r>
        <w:rPr>
          <w:rFonts w:ascii="Times New Roman" w:eastAsia="Times New Roman" w:hAnsi="Times New Roman" w:cs="Times New Roman"/>
          <w:spacing w:val="-8"/>
          <w:sz w:val="16"/>
          <w:szCs w:val="16"/>
        </w:rPr>
        <w:t>(Ser)</w:t>
      </w:r>
      <w:r>
        <w:rPr>
          <w:rFonts w:ascii="Times New Roman" w:eastAsia="Times New Roman" w:hAnsi="Times New Roman" w:cs="Times New Roman"/>
          <w:spacing w:val="3"/>
          <w:sz w:val="16"/>
          <w:szCs w:val="16"/>
        </w:rPr>
        <w:t xml:space="preserve">            </w:t>
      </w:r>
      <w:r>
        <w:rPr>
          <w:rFonts w:ascii="宋体" w:eastAsia="宋体" w:hAnsi="宋体" w:cs="宋体"/>
          <w:spacing w:val="-8"/>
          <w:sz w:val="18"/>
          <w:szCs w:val="18"/>
        </w:rPr>
        <w:t>半胱氨酸</w:t>
      </w:r>
      <w:r>
        <w:rPr>
          <w:rFonts w:ascii="Times New Roman" w:eastAsia="Times New Roman" w:hAnsi="Times New Roman" w:cs="Times New Roman"/>
          <w:spacing w:val="-8"/>
          <w:sz w:val="18"/>
          <w:szCs w:val="18"/>
        </w:rPr>
        <w:t>(Cys)</w:t>
      </w:r>
      <w:r>
        <w:rPr>
          <w:rFonts w:ascii="Times New Roman" w:eastAsia="Times New Roman" w:hAnsi="Times New Roman" w:cs="Times New Roman"/>
          <w:spacing w:val="3"/>
          <w:sz w:val="18"/>
          <w:szCs w:val="18"/>
        </w:rPr>
        <w:t xml:space="preserve">           </w:t>
      </w:r>
      <w:r>
        <w:rPr>
          <w:rFonts w:ascii="宋体" w:eastAsia="宋体" w:hAnsi="宋体" w:cs="宋体"/>
          <w:spacing w:val="-8"/>
          <w:sz w:val="16"/>
          <w:szCs w:val="16"/>
        </w:rPr>
        <w:t>硒半胱氨酸</w:t>
      </w:r>
      <w:r>
        <w:rPr>
          <w:rFonts w:ascii="Times New Roman" w:eastAsia="Times New Roman" w:hAnsi="Times New Roman" w:cs="Times New Roman"/>
          <w:spacing w:val="-8"/>
          <w:sz w:val="16"/>
          <w:szCs w:val="16"/>
        </w:rPr>
        <w:t>(Sec)</w:t>
      </w:r>
      <w:r>
        <w:rPr>
          <w:rFonts w:ascii="Times New Roman" w:eastAsia="Times New Roman" w:hAnsi="Times New Roman" w:cs="Times New Roman"/>
          <w:spacing w:val="1"/>
          <w:sz w:val="16"/>
          <w:szCs w:val="16"/>
        </w:rPr>
        <w:t xml:space="preserve">           </w:t>
      </w:r>
      <w:r>
        <w:rPr>
          <w:rFonts w:ascii="宋体" w:eastAsia="宋体" w:hAnsi="宋体" w:cs="宋体"/>
          <w:spacing w:val="-8"/>
          <w:sz w:val="17"/>
          <w:szCs w:val="17"/>
        </w:rPr>
        <w:t>硒蛋氨酸</w:t>
      </w:r>
      <w:r>
        <w:rPr>
          <w:rFonts w:ascii="Times New Roman" w:eastAsia="Times New Roman" w:hAnsi="Times New Roman" w:cs="Times New Roman"/>
          <w:spacing w:val="-8"/>
          <w:sz w:val="17"/>
          <w:szCs w:val="17"/>
        </w:rPr>
        <w:t>(SeMet)</w:t>
      </w:r>
    </w:p>
    <w:p w:rsidR="00EA40A3" w:rsidRDefault="00E86C16">
      <w:pPr>
        <w:spacing w:before="265" w:line="219" w:lineRule="auto"/>
        <w:ind w:left="2380"/>
        <w:rPr>
          <w:rFonts w:ascii="宋体" w:eastAsia="宋体" w:hAnsi="宋体" w:cs="宋体"/>
        </w:rPr>
      </w:pPr>
      <w:r>
        <w:rPr>
          <w:rFonts w:ascii="宋体" w:eastAsia="宋体" w:hAnsi="宋体" w:cs="宋体"/>
          <w:spacing w:val="-21"/>
          <w:w w:val="97"/>
        </w:rPr>
        <w:t>图4-1</w:t>
      </w:r>
      <w:r>
        <w:rPr>
          <w:rFonts w:ascii="宋体" w:eastAsia="宋体" w:hAnsi="宋体" w:cs="宋体"/>
          <w:spacing w:val="77"/>
        </w:rPr>
        <w:t xml:space="preserve"> </w:t>
      </w:r>
      <w:r>
        <w:rPr>
          <w:rFonts w:ascii="宋体" w:eastAsia="宋体" w:hAnsi="宋体" w:cs="宋体"/>
          <w:spacing w:val="-21"/>
          <w:w w:val="97"/>
        </w:rPr>
        <w:t>含硒的相同碳架的氨基酸</w:t>
      </w:r>
    </w:p>
    <w:p w:rsidR="00EA40A3" w:rsidRDefault="00EA40A3">
      <w:pPr>
        <w:spacing w:line="298" w:lineRule="auto"/>
      </w:pPr>
    </w:p>
    <w:p w:rsidR="00EA40A3" w:rsidRDefault="00E86C16">
      <w:pPr>
        <w:spacing w:before="68" w:line="253" w:lineRule="auto"/>
        <w:ind w:left="39" w:right="42" w:hanging="9"/>
        <w:jc w:val="both"/>
        <w:rPr>
          <w:rFonts w:ascii="宋体" w:eastAsia="宋体" w:hAnsi="宋体" w:cs="宋体"/>
        </w:rPr>
      </w:pPr>
      <w:r>
        <w:rPr>
          <w:rFonts w:ascii="宋体" w:eastAsia="宋体" w:hAnsi="宋体" w:cs="宋体"/>
          <w:spacing w:val="-3"/>
        </w:rPr>
        <w:t>质过氧化损伤、白内障形成、衰老、炎症发生等无不与活性氧自由基有关。由于</w:t>
      </w:r>
      <w:r>
        <w:rPr>
          <w:rFonts w:ascii="宋体" w:eastAsia="宋体" w:hAnsi="宋体" w:cs="宋体"/>
          <w:spacing w:val="16"/>
        </w:rPr>
        <w:t xml:space="preserve"> </w:t>
      </w:r>
      <w:r>
        <w:rPr>
          <w:rFonts w:ascii="宋体" w:eastAsia="宋体" w:hAnsi="宋体" w:cs="宋体"/>
          <w:spacing w:val="-3"/>
        </w:rPr>
        <w:t>硒是若干抗氧化酶的必需组分，它通过消除脂质过氧化物，阻断活性氧和自由基</w:t>
      </w:r>
      <w:r>
        <w:rPr>
          <w:rFonts w:ascii="宋体" w:eastAsia="宋体" w:hAnsi="宋体" w:cs="宋体"/>
          <w:spacing w:val="2"/>
        </w:rPr>
        <w:t xml:space="preserve"> </w:t>
      </w:r>
      <w:r>
        <w:rPr>
          <w:rFonts w:ascii="宋体" w:eastAsia="宋体" w:hAnsi="宋体" w:cs="宋体"/>
          <w:spacing w:val="-3"/>
        </w:rPr>
        <w:t>的致病作用，起到防病作用。因此，机体硒水平的高低直接影响了机体抗氧化能</w:t>
      </w:r>
      <w:r>
        <w:rPr>
          <w:rFonts w:ascii="宋体" w:eastAsia="宋体" w:hAnsi="宋体" w:cs="宋体"/>
          <w:spacing w:val="4"/>
        </w:rPr>
        <w:t xml:space="preserve"> </w:t>
      </w:r>
      <w:r>
        <w:rPr>
          <w:rFonts w:ascii="宋体" w:eastAsia="宋体" w:hAnsi="宋体" w:cs="宋体"/>
          <w:spacing w:val="-6"/>
        </w:rPr>
        <w:t>力和对相关疾病的抵抗能力。</w:t>
      </w:r>
    </w:p>
    <w:p w:rsidR="00EA40A3" w:rsidRDefault="00E86C16">
      <w:pPr>
        <w:spacing w:before="60" w:line="255" w:lineRule="auto"/>
        <w:ind w:left="40" w:right="57" w:firstLine="420"/>
        <w:rPr>
          <w:rFonts w:ascii="宋体" w:eastAsia="宋体" w:hAnsi="宋体" w:cs="宋体"/>
        </w:rPr>
      </w:pPr>
      <w:r>
        <w:rPr>
          <w:rFonts w:ascii="宋体" w:eastAsia="宋体" w:hAnsi="宋体" w:cs="宋体"/>
          <w:spacing w:val="3"/>
        </w:rPr>
        <w:t>(2)对甲状腺激素的调节作用。主要通过3个脱碘酶发挥作用，</w:t>
      </w:r>
      <w:r>
        <w:rPr>
          <w:rFonts w:ascii="宋体" w:eastAsia="宋体" w:hAnsi="宋体" w:cs="宋体"/>
          <w:spacing w:val="2"/>
        </w:rPr>
        <w:t>对全身代谢</w:t>
      </w:r>
      <w:r>
        <w:rPr>
          <w:rFonts w:ascii="宋体" w:eastAsia="宋体" w:hAnsi="宋体" w:cs="宋体"/>
        </w:rPr>
        <w:t xml:space="preserve"> </w:t>
      </w:r>
      <w:r>
        <w:rPr>
          <w:rFonts w:ascii="宋体" w:eastAsia="宋体" w:hAnsi="宋体" w:cs="宋体"/>
          <w:spacing w:val="-5"/>
        </w:rPr>
        <w:t>及相关疾病产生影响，如碘缺乏病、克山病、衰老等。</w:t>
      </w:r>
    </w:p>
    <w:p w:rsidR="00EA40A3" w:rsidRDefault="00E86C16">
      <w:pPr>
        <w:spacing w:before="39" w:line="258" w:lineRule="auto"/>
        <w:ind w:left="20" w:right="49" w:firstLine="440"/>
        <w:rPr>
          <w:rFonts w:ascii="宋体" w:eastAsia="宋体" w:hAnsi="宋体" w:cs="宋体"/>
        </w:rPr>
      </w:pPr>
      <w:r>
        <w:rPr>
          <w:rFonts w:ascii="宋体" w:eastAsia="宋体" w:hAnsi="宋体" w:cs="宋体"/>
          <w:spacing w:val="6"/>
        </w:rPr>
        <w:t>(3)维持正常免疫功能。早在1970年就认识到适宜硒水平</w:t>
      </w:r>
      <w:r>
        <w:rPr>
          <w:rFonts w:ascii="宋体" w:eastAsia="宋体" w:hAnsi="宋体" w:cs="宋体"/>
          <w:spacing w:val="5"/>
        </w:rPr>
        <w:t>对于保持细胞免</w:t>
      </w:r>
      <w:r>
        <w:rPr>
          <w:rFonts w:ascii="宋体" w:eastAsia="宋体" w:hAnsi="宋体" w:cs="宋体"/>
        </w:rPr>
        <w:t xml:space="preserve"> </w:t>
      </w:r>
      <w:r>
        <w:rPr>
          <w:rFonts w:ascii="宋体" w:eastAsia="宋体" w:hAnsi="宋体" w:cs="宋体"/>
          <w:spacing w:val="-2"/>
        </w:rPr>
        <w:t>疫和体液免疫是必需的。免疫系统依靠产生活</w:t>
      </w:r>
      <w:r>
        <w:rPr>
          <w:rFonts w:ascii="宋体" w:eastAsia="宋体" w:hAnsi="宋体" w:cs="宋体"/>
          <w:spacing w:val="-3"/>
        </w:rPr>
        <w:t>性氧来杀灭外来微生物或毒物。补</w:t>
      </w:r>
      <w:r>
        <w:rPr>
          <w:rFonts w:ascii="宋体" w:eastAsia="宋体" w:hAnsi="宋体" w:cs="宋体"/>
        </w:rPr>
        <w:t xml:space="preserve"> </w:t>
      </w:r>
      <w:r>
        <w:rPr>
          <w:rFonts w:ascii="宋体" w:eastAsia="宋体" w:hAnsi="宋体" w:cs="宋体"/>
          <w:spacing w:val="-5"/>
        </w:rPr>
        <w:t>硒还可提高宿主抗体和补体的应答能力。</w:t>
      </w:r>
    </w:p>
    <w:p w:rsidR="00EA40A3" w:rsidRDefault="00E86C16">
      <w:pPr>
        <w:spacing w:before="50" w:line="246" w:lineRule="auto"/>
        <w:ind w:left="20" w:right="52" w:firstLine="450"/>
        <w:rPr>
          <w:rFonts w:ascii="宋体" w:eastAsia="宋体" w:hAnsi="宋体" w:cs="宋体"/>
        </w:rPr>
      </w:pPr>
      <w:r>
        <w:rPr>
          <w:rFonts w:ascii="宋体" w:eastAsia="宋体" w:hAnsi="宋体" w:cs="宋体"/>
        </w:rPr>
        <w:t>(4)抗肿瘤作用。人体流行病学研究表明，硒</w:t>
      </w:r>
      <w:r>
        <w:rPr>
          <w:rFonts w:ascii="宋体" w:eastAsia="宋体" w:hAnsi="宋体" w:cs="宋体"/>
          <w:spacing w:val="-1"/>
        </w:rPr>
        <w:t>具有抗癌作用。机体在正常硒</w:t>
      </w:r>
      <w:r>
        <w:rPr>
          <w:rFonts w:ascii="宋体" w:eastAsia="宋体" w:hAnsi="宋体" w:cs="宋体"/>
        </w:rPr>
        <w:t xml:space="preserve"> </w:t>
      </w:r>
      <w:r>
        <w:rPr>
          <w:rFonts w:ascii="宋体" w:eastAsia="宋体" w:hAnsi="宋体" w:cs="宋体"/>
          <w:spacing w:val="-4"/>
        </w:rPr>
        <w:t>状态时，补充超过营养需要量的硒可抑制和延缓肿瘤发生。</w:t>
      </w:r>
    </w:p>
    <w:p w:rsidR="00EA40A3" w:rsidRDefault="00E86C16">
      <w:pPr>
        <w:spacing w:before="49" w:line="264" w:lineRule="auto"/>
        <w:ind w:left="30" w:right="55" w:firstLine="430"/>
        <w:rPr>
          <w:rFonts w:ascii="宋体" w:eastAsia="宋体" w:hAnsi="宋体" w:cs="宋体"/>
        </w:rPr>
      </w:pPr>
      <w:r>
        <w:rPr>
          <w:rFonts w:ascii="宋体" w:eastAsia="宋体" w:hAnsi="宋体" w:cs="宋体"/>
          <w:spacing w:val="2"/>
        </w:rPr>
        <w:t>(5)抗艾滋病作用。艾滋病是获得性免疫缺损综合征</w:t>
      </w:r>
      <w:r>
        <w:rPr>
          <w:rFonts w:ascii="宋体" w:eastAsia="宋体" w:hAnsi="宋体" w:cs="宋体"/>
          <w:spacing w:val="1"/>
        </w:rPr>
        <w:t xml:space="preserve"> </w:t>
      </w:r>
      <w:r>
        <w:rPr>
          <w:rFonts w:ascii="Times New Roman" w:eastAsia="Times New Roman" w:hAnsi="Times New Roman" w:cs="Times New Roman"/>
          <w:spacing w:val="2"/>
        </w:rPr>
        <w:t>(</w:t>
      </w:r>
      <w:r>
        <w:rPr>
          <w:rFonts w:ascii="Times New Roman" w:eastAsia="Times New Roman" w:hAnsi="Times New Roman" w:cs="Times New Roman"/>
        </w:rPr>
        <w:t>acquired</w:t>
      </w:r>
      <w:r>
        <w:rPr>
          <w:rFonts w:ascii="Times New Roman" w:eastAsia="Times New Roman" w:hAnsi="Times New Roman" w:cs="Times New Roman"/>
          <w:spacing w:val="5"/>
        </w:rPr>
        <w:t xml:space="preserve">   </w:t>
      </w:r>
      <w:r>
        <w:rPr>
          <w:rFonts w:ascii="Times New Roman" w:eastAsia="Times New Roman" w:hAnsi="Times New Roman" w:cs="Times New Roman"/>
        </w:rPr>
        <w:t>immunode</w:t>
      </w:r>
      <w:r>
        <w:rPr>
          <w:rFonts w:ascii="Times New Roman" w:eastAsia="Times New Roman" w:hAnsi="Times New Roman" w:cs="Times New Roman"/>
          <w:spacing w:val="2"/>
        </w:rPr>
        <w:t>-</w:t>
      </w:r>
      <w:r>
        <w:rPr>
          <w:rFonts w:ascii="Times New Roman" w:eastAsia="Times New Roman" w:hAnsi="Times New Roman" w:cs="Times New Roman"/>
        </w:rPr>
        <w:t xml:space="preserve"> </w:t>
      </w:r>
      <w:r>
        <w:rPr>
          <w:rFonts w:ascii="宋体" w:eastAsia="宋体" w:hAnsi="宋体" w:cs="宋体"/>
        </w:rPr>
        <w:t>ficiency</w:t>
      </w:r>
      <w:r>
        <w:rPr>
          <w:rFonts w:ascii="宋体" w:eastAsia="宋体" w:hAnsi="宋体" w:cs="宋体"/>
          <w:spacing w:val="44"/>
        </w:rPr>
        <w:t xml:space="preserve"> </w:t>
      </w:r>
      <w:r>
        <w:rPr>
          <w:rFonts w:ascii="宋体" w:eastAsia="宋体" w:hAnsi="宋体" w:cs="宋体"/>
        </w:rPr>
        <w:t>syndrome</w:t>
      </w:r>
      <w:r>
        <w:rPr>
          <w:rFonts w:ascii="宋体" w:eastAsia="宋体" w:hAnsi="宋体" w:cs="宋体"/>
          <w:spacing w:val="9"/>
        </w:rPr>
        <w:t>,</w:t>
      </w:r>
      <w:r>
        <w:rPr>
          <w:rFonts w:ascii="宋体" w:eastAsia="宋体" w:hAnsi="宋体" w:cs="宋体"/>
        </w:rPr>
        <w:t>AIDS</w:t>
      </w:r>
      <w:r>
        <w:rPr>
          <w:rFonts w:ascii="宋体" w:eastAsia="宋体" w:hAnsi="宋体" w:cs="宋体"/>
          <w:spacing w:val="9"/>
        </w:rPr>
        <w:t>),</w:t>
      </w:r>
      <w:r>
        <w:rPr>
          <w:rFonts w:ascii="宋体" w:eastAsia="宋体" w:hAnsi="宋体" w:cs="宋体"/>
          <w:spacing w:val="-50"/>
        </w:rPr>
        <w:t xml:space="preserve"> </w:t>
      </w:r>
      <w:r>
        <w:rPr>
          <w:rFonts w:ascii="宋体" w:eastAsia="宋体" w:hAnsi="宋体" w:cs="宋体"/>
          <w:spacing w:val="9"/>
        </w:rPr>
        <w:t>由</w:t>
      </w:r>
      <w:r>
        <w:rPr>
          <w:rFonts w:ascii="宋体" w:eastAsia="宋体" w:hAnsi="宋体" w:cs="宋体"/>
          <w:spacing w:val="-1"/>
        </w:rPr>
        <w:t xml:space="preserve"> </w:t>
      </w:r>
      <w:r>
        <w:rPr>
          <w:rFonts w:ascii="宋体" w:eastAsia="宋体" w:hAnsi="宋体" w:cs="宋体"/>
        </w:rPr>
        <w:t>HIV</w:t>
      </w:r>
      <w:r>
        <w:rPr>
          <w:rFonts w:ascii="宋体" w:eastAsia="宋体" w:hAnsi="宋体" w:cs="宋体"/>
          <w:spacing w:val="9"/>
        </w:rPr>
        <w:t>-1</w:t>
      </w:r>
      <w:r>
        <w:rPr>
          <w:rFonts w:ascii="宋体" w:eastAsia="宋体" w:hAnsi="宋体" w:cs="宋体"/>
          <w:spacing w:val="-7"/>
        </w:rPr>
        <w:t xml:space="preserve"> </w:t>
      </w:r>
      <w:r>
        <w:rPr>
          <w:rFonts w:ascii="宋体" w:eastAsia="宋体" w:hAnsi="宋体" w:cs="宋体"/>
          <w:spacing w:val="9"/>
        </w:rPr>
        <w:t>病毒感染引起。营养不良(缺乏维生素</w:t>
      </w:r>
      <w:r>
        <w:rPr>
          <w:rFonts w:ascii="宋体" w:eastAsia="宋体" w:hAnsi="宋体" w:cs="宋体"/>
        </w:rPr>
        <w:t xml:space="preserve"> </w:t>
      </w:r>
      <w:r>
        <w:rPr>
          <w:rFonts w:ascii="Times New Roman" w:eastAsia="Times New Roman" w:hAnsi="Times New Roman" w:cs="Times New Roman"/>
          <w:spacing w:val="3"/>
        </w:rPr>
        <w:t>A</w:t>
      </w:r>
      <w:r>
        <w:rPr>
          <w:rFonts w:ascii="宋体" w:eastAsia="宋体" w:hAnsi="宋体" w:cs="宋体"/>
          <w:spacing w:val="3"/>
        </w:rPr>
        <w:t>、维生素</w:t>
      </w:r>
      <w:r>
        <w:rPr>
          <w:rFonts w:ascii="Times New Roman" w:eastAsia="Times New Roman" w:hAnsi="Times New Roman" w:cs="Times New Roman"/>
          <w:spacing w:val="3"/>
        </w:rPr>
        <w:t>B₁₂</w:t>
      </w:r>
      <w:r>
        <w:rPr>
          <w:rFonts w:ascii="Times New Roman" w:eastAsia="Times New Roman" w:hAnsi="Times New Roman" w:cs="Times New Roman"/>
          <w:spacing w:val="-30"/>
        </w:rPr>
        <w:t xml:space="preserve"> </w:t>
      </w:r>
      <w:r>
        <w:rPr>
          <w:rFonts w:ascii="宋体" w:eastAsia="宋体" w:hAnsi="宋体" w:cs="宋体"/>
          <w:spacing w:val="3"/>
        </w:rPr>
        <w:t>、</w:t>
      </w:r>
      <w:r>
        <w:rPr>
          <w:rFonts w:ascii="Times New Roman" w:eastAsia="Times New Roman" w:hAnsi="Times New Roman" w:cs="Times New Roman"/>
        </w:rPr>
        <w:t>Zn</w:t>
      </w:r>
      <w:r>
        <w:rPr>
          <w:rFonts w:ascii="Times New Roman" w:eastAsia="Times New Roman" w:hAnsi="Times New Roman" w:cs="Times New Roman"/>
          <w:spacing w:val="-30"/>
        </w:rPr>
        <w:t xml:space="preserve"> </w:t>
      </w:r>
      <w:r>
        <w:rPr>
          <w:rFonts w:ascii="宋体" w:eastAsia="宋体" w:hAnsi="宋体" w:cs="宋体"/>
          <w:spacing w:val="3"/>
        </w:rPr>
        <w:t>、</w:t>
      </w:r>
      <w:r>
        <w:rPr>
          <w:rFonts w:ascii="Times New Roman" w:eastAsia="Times New Roman" w:hAnsi="Times New Roman" w:cs="Times New Roman"/>
        </w:rPr>
        <w:t>Se</w:t>
      </w:r>
      <w:r>
        <w:rPr>
          <w:rFonts w:ascii="Times New Roman" w:eastAsia="Times New Roman" w:hAnsi="Times New Roman" w:cs="Times New Roman"/>
          <w:spacing w:val="2"/>
        </w:rPr>
        <w:t xml:space="preserve"> </w:t>
      </w:r>
      <w:r>
        <w:rPr>
          <w:rFonts w:ascii="宋体" w:eastAsia="宋体" w:hAnsi="宋体" w:cs="宋体"/>
          <w:spacing w:val="3"/>
        </w:rPr>
        <w:t>等)会影响氧化应激程度和病毒</w:t>
      </w:r>
      <w:r>
        <w:rPr>
          <w:rFonts w:ascii="宋体" w:eastAsia="宋体" w:hAnsi="宋体" w:cs="宋体"/>
          <w:spacing w:val="2"/>
        </w:rPr>
        <w:t>表达，而加快病程的发</w:t>
      </w:r>
      <w:r>
        <w:rPr>
          <w:rFonts w:ascii="宋体" w:eastAsia="宋体" w:hAnsi="宋体" w:cs="宋体"/>
        </w:rPr>
        <w:t xml:space="preserve"> </w:t>
      </w:r>
      <w:r>
        <w:rPr>
          <w:rFonts w:ascii="宋体" w:eastAsia="宋体" w:hAnsi="宋体" w:cs="宋体"/>
          <w:spacing w:val="-5"/>
        </w:rPr>
        <w:t>展和死亡。补硒可能是减缓病程、提高生存率的有效方法。</w:t>
      </w:r>
    </w:p>
    <w:p w:rsidR="00EA40A3" w:rsidRDefault="00E86C16">
      <w:pPr>
        <w:spacing w:before="60" w:line="241" w:lineRule="auto"/>
        <w:ind w:left="30" w:right="44" w:firstLine="430"/>
        <w:rPr>
          <w:rFonts w:ascii="宋体" w:eastAsia="宋体" w:hAnsi="宋体" w:cs="宋体"/>
        </w:rPr>
      </w:pPr>
      <w:r>
        <w:rPr>
          <w:rFonts w:ascii="宋体" w:eastAsia="宋体" w:hAnsi="宋体" w:cs="宋体"/>
        </w:rPr>
        <w:t>(6)维持正常生育功能。在严重或长期硒缺乏后，尤其是第二代缺乏，会使</w:t>
      </w:r>
      <w:r>
        <w:rPr>
          <w:rFonts w:ascii="宋体" w:eastAsia="宋体" w:hAnsi="宋体" w:cs="宋体"/>
          <w:spacing w:val="4"/>
        </w:rPr>
        <w:t xml:space="preserve"> </w:t>
      </w:r>
      <w:r>
        <w:rPr>
          <w:rFonts w:ascii="宋体" w:eastAsia="宋体" w:hAnsi="宋体" w:cs="宋体"/>
          <w:spacing w:val="-6"/>
        </w:rPr>
        <w:t>精子生成停滞而导致不育。</w:t>
      </w:r>
    </w:p>
    <w:p w:rsidR="00EA40A3" w:rsidRDefault="00E86C16">
      <w:pPr>
        <w:spacing w:before="50" w:line="262" w:lineRule="auto"/>
        <w:ind w:right="58" w:firstLine="430"/>
        <w:rPr>
          <w:rFonts w:ascii="宋体" w:eastAsia="宋体" w:hAnsi="宋体" w:cs="宋体"/>
        </w:rPr>
      </w:pPr>
      <w:r>
        <w:rPr>
          <w:rFonts w:ascii="宋体" w:eastAsia="宋体" w:hAnsi="宋体" w:cs="宋体"/>
        </w:rPr>
        <w:t>(7)延缓衰老作用。衰老本身不是疾病，但随着岁月的流逝，身体保持平衡</w:t>
      </w:r>
      <w:r>
        <w:rPr>
          <w:rFonts w:ascii="宋体" w:eastAsia="宋体" w:hAnsi="宋体" w:cs="宋体"/>
          <w:spacing w:val="13"/>
        </w:rPr>
        <w:t xml:space="preserve"> </w:t>
      </w:r>
      <w:r>
        <w:rPr>
          <w:rFonts w:ascii="宋体" w:eastAsia="宋体" w:hAnsi="宋体" w:cs="宋体"/>
          <w:spacing w:val="14"/>
        </w:rPr>
        <w:t>的抗氧化状态能力减弱，氧化逐渐超过了抗氧化，进</w:t>
      </w:r>
      <w:r>
        <w:rPr>
          <w:rFonts w:ascii="宋体" w:eastAsia="宋体" w:hAnsi="宋体" w:cs="宋体"/>
          <w:spacing w:val="13"/>
        </w:rPr>
        <w:t>而导致细胞(线粒体和</w:t>
      </w:r>
      <w:r>
        <w:rPr>
          <w:rFonts w:ascii="宋体" w:eastAsia="宋体" w:hAnsi="宋体" w:cs="宋体"/>
        </w:rPr>
        <w:t xml:space="preserve"> </w:t>
      </w:r>
      <w:r>
        <w:rPr>
          <w:rFonts w:ascii="Times New Roman" w:eastAsia="Times New Roman" w:hAnsi="Times New Roman" w:cs="Times New Roman"/>
        </w:rPr>
        <w:t>DNA</w:t>
      </w:r>
      <w:r>
        <w:rPr>
          <w:rFonts w:ascii="Times New Roman" w:eastAsia="Times New Roman" w:hAnsi="Times New Roman" w:cs="Times New Roman"/>
          <w:spacing w:val="3"/>
        </w:rPr>
        <w:t>)</w:t>
      </w:r>
      <w:r>
        <w:rPr>
          <w:rFonts w:ascii="Times New Roman" w:eastAsia="Times New Roman" w:hAnsi="Times New Roman" w:cs="Times New Roman"/>
          <w:spacing w:val="14"/>
        </w:rPr>
        <w:t xml:space="preserve">  </w:t>
      </w:r>
      <w:r>
        <w:rPr>
          <w:rFonts w:ascii="宋体" w:eastAsia="宋体" w:hAnsi="宋体" w:cs="宋体"/>
          <w:spacing w:val="3"/>
        </w:rPr>
        <w:t>遭氧化破坏，免疫力减弱，对疾病敏感性增加，易患各种慢性疾病。另</w:t>
      </w:r>
      <w:r>
        <w:rPr>
          <w:rFonts w:ascii="宋体" w:eastAsia="宋体" w:hAnsi="宋体" w:cs="宋体"/>
        </w:rPr>
        <w:t xml:space="preserve"> </w:t>
      </w:r>
      <w:r>
        <w:rPr>
          <w:rFonts w:ascii="宋体" w:eastAsia="宋体" w:hAnsi="宋体" w:cs="宋体"/>
          <w:spacing w:val="-2"/>
        </w:rPr>
        <w:t>外，进入老年后食量相对减少，从膳食中摄入的抗氧化</w:t>
      </w:r>
      <w:r>
        <w:rPr>
          <w:rFonts w:ascii="宋体" w:eastAsia="宋体" w:hAnsi="宋体" w:cs="宋体"/>
          <w:spacing w:val="-3"/>
        </w:rPr>
        <w:t>物也随之减少，因此适当</w:t>
      </w:r>
      <w:r>
        <w:rPr>
          <w:rFonts w:ascii="宋体" w:eastAsia="宋体" w:hAnsi="宋体" w:cs="宋体"/>
        </w:rPr>
        <w:t xml:space="preserve"> </w:t>
      </w:r>
      <w:r>
        <w:rPr>
          <w:rFonts w:ascii="宋体" w:eastAsia="宋体" w:hAnsi="宋体" w:cs="宋体"/>
          <w:spacing w:val="-3"/>
        </w:rPr>
        <w:t>补硒和维生素</w:t>
      </w:r>
      <w:r>
        <w:rPr>
          <w:rFonts w:ascii="宋体" w:eastAsia="宋体" w:hAnsi="宋体" w:cs="宋体"/>
          <w:spacing w:val="-57"/>
        </w:rPr>
        <w:t xml:space="preserve"> </w:t>
      </w:r>
      <w:r>
        <w:rPr>
          <w:rFonts w:ascii="Times New Roman" w:eastAsia="Times New Roman" w:hAnsi="Times New Roman" w:cs="Times New Roman"/>
          <w:spacing w:val="-3"/>
        </w:rPr>
        <w:t>E</w:t>
      </w:r>
      <w:r>
        <w:rPr>
          <w:rFonts w:ascii="Times New Roman" w:eastAsia="Times New Roman" w:hAnsi="Times New Roman" w:cs="Times New Roman"/>
          <w:spacing w:val="13"/>
          <w:w w:val="101"/>
        </w:rPr>
        <w:t xml:space="preserve"> </w:t>
      </w:r>
      <w:r>
        <w:rPr>
          <w:rFonts w:ascii="宋体" w:eastAsia="宋体" w:hAnsi="宋体" w:cs="宋体"/>
          <w:spacing w:val="-3"/>
        </w:rPr>
        <w:t>等抗氧化物能增强抗氧化和免疫力</w:t>
      </w:r>
      <w:r>
        <w:rPr>
          <w:rFonts w:ascii="宋体" w:eastAsia="宋体" w:hAnsi="宋体" w:cs="宋体"/>
          <w:spacing w:val="-4"/>
        </w:rPr>
        <w:t>，从而延缓人体衰老进程。</w:t>
      </w:r>
    </w:p>
    <w:p w:rsidR="00EA40A3" w:rsidRDefault="00E86C16">
      <w:pPr>
        <w:spacing w:before="222" w:line="223" w:lineRule="auto"/>
        <w:rPr>
          <w:rFonts w:ascii="仿宋" w:eastAsia="仿宋" w:hAnsi="仿宋" w:cs="仿宋"/>
        </w:rPr>
      </w:pPr>
      <w:r>
        <w:rPr>
          <w:rFonts w:ascii="仿宋" w:eastAsia="仿宋" w:hAnsi="仿宋" w:cs="仿宋"/>
          <w:spacing w:val="21"/>
        </w:rPr>
        <w:t>2.</w:t>
      </w:r>
      <w:r>
        <w:rPr>
          <w:rFonts w:ascii="仿宋" w:eastAsia="仿宋" w:hAnsi="仿宋" w:cs="仿宋"/>
          <w:spacing w:val="-9"/>
        </w:rPr>
        <w:t xml:space="preserve"> </w:t>
      </w:r>
      <w:r>
        <w:rPr>
          <w:rFonts w:ascii="仿宋" w:eastAsia="仿宋" w:hAnsi="仿宋" w:cs="仿宋"/>
          <w:spacing w:val="21"/>
        </w:rPr>
        <w:t>硒的吸收与代谢</w:t>
      </w:r>
    </w:p>
    <w:p w:rsidR="00EA40A3" w:rsidRDefault="00E86C16">
      <w:pPr>
        <w:spacing w:before="183" w:line="232" w:lineRule="auto"/>
        <w:ind w:left="20"/>
        <w:rPr>
          <w:rFonts w:ascii="楷体" w:eastAsia="楷体" w:hAnsi="楷体" w:cs="楷体"/>
        </w:rPr>
      </w:pPr>
      <w:r>
        <w:rPr>
          <w:rFonts w:ascii="楷体" w:eastAsia="楷体" w:hAnsi="楷体" w:cs="楷体"/>
          <w:spacing w:val="11"/>
        </w:rPr>
        <w:t>1)硒的吸收</w:t>
      </w:r>
    </w:p>
    <w:p w:rsidR="00EA40A3" w:rsidRDefault="00E86C16">
      <w:pPr>
        <w:spacing w:before="60" w:line="219" w:lineRule="auto"/>
        <w:ind w:left="410"/>
        <w:rPr>
          <w:rFonts w:ascii="宋体" w:eastAsia="宋体" w:hAnsi="宋体" w:cs="宋体"/>
        </w:rPr>
      </w:pPr>
      <w:r>
        <w:rPr>
          <w:rFonts w:ascii="宋体" w:eastAsia="宋体" w:hAnsi="宋体" w:cs="宋体"/>
        </w:rPr>
        <w:t>硒在体内的吸收主要受膳食中硒的化学形式和量的影响，另外性</w:t>
      </w:r>
      <w:r>
        <w:rPr>
          <w:rFonts w:ascii="宋体" w:eastAsia="宋体" w:hAnsi="宋体" w:cs="宋体"/>
          <w:spacing w:val="-1"/>
        </w:rPr>
        <w:t>别、年龄、</w:t>
      </w:r>
    </w:p>
    <w:p w:rsidR="00EA40A3" w:rsidRDefault="00E86C16">
      <w:pPr>
        <w:spacing w:before="112"/>
        <w:ind w:right="117"/>
        <w:jc w:val="right"/>
        <w:rPr>
          <w:rFonts w:ascii="宋体" w:eastAsia="宋体" w:hAnsi="宋体" w:cs="宋体"/>
          <w:sz w:val="14"/>
          <w:szCs w:val="14"/>
        </w:rPr>
      </w:pPr>
      <w:r>
        <w:rPr>
          <w:rFonts w:ascii="宋体" w:eastAsia="宋体" w:hAnsi="宋体" w:cs="宋体"/>
          <w:spacing w:val="-14"/>
          <w:sz w:val="14"/>
          <w:szCs w:val="14"/>
        </w:rPr>
        <w:t>·</w:t>
      </w:r>
      <w:r>
        <w:rPr>
          <w:rFonts w:ascii="宋体" w:eastAsia="宋体" w:hAnsi="宋体" w:cs="宋体"/>
          <w:spacing w:val="13"/>
          <w:sz w:val="14"/>
          <w:szCs w:val="14"/>
        </w:rPr>
        <w:t xml:space="preserve"> </w:t>
      </w:r>
      <w:r>
        <w:rPr>
          <w:rFonts w:ascii="宋体" w:eastAsia="宋体" w:hAnsi="宋体" w:cs="宋体"/>
          <w:spacing w:val="-14"/>
          <w:sz w:val="14"/>
          <w:szCs w:val="14"/>
        </w:rPr>
        <w:t>109</w:t>
      </w:r>
      <w:r>
        <w:rPr>
          <w:rFonts w:ascii="宋体" w:eastAsia="宋体" w:hAnsi="宋体" w:cs="宋体"/>
          <w:spacing w:val="26"/>
          <w:sz w:val="14"/>
          <w:szCs w:val="14"/>
        </w:rPr>
        <w:t xml:space="preserve">  </w:t>
      </w:r>
      <w:r>
        <w:rPr>
          <w:rFonts w:ascii="宋体" w:eastAsia="宋体" w:hAnsi="宋体" w:cs="宋体"/>
          <w:spacing w:val="-14"/>
          <w:sz w:val="14"/>
          <w:szCs w:val="14"/>
        </w:rPr>
        <w:t>·</w:t>
      </w:r>
    </w:p>
    <w:p w:rsidR="00EA40A3" w:rsidRDefault="00EA40A3">
      <w:pPr>
        <w:sectPr w:rsidR="00EA40A3">
          <w:pgSz w:w="9220" w:h="13360"/>
          <w:pgMar w:top="400" w:right="1004" w:bottom="400" w:left="879"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4"/>
          <w:sz w:val="22"/>
          <w:szCs w:val="22"/>
        </w:rPr>
        <w:t>健康状况，以及食物中是否存在如硫、重金属、维生素等化合物也有影响。</w:t>
      </w:r>
    </w:p>
    <w:p w:rsidR="00EA40A3" w:rsidRDefault="00E86C16">
      <w:pPr>
        <w:spacing w:before="50" w:line="244" w:lineRule="auto"/>
        <w:ind w:right="79" w:firstLine="410"/>
        <w:jc w:val="both"/>
        <w:rPr>
          <w:rFonts w:ascii="宋体" w:eastAsia="宋体" w:hAnsi="宋体" w:cs="宋体"/>
          <w:sz w:val="22"/>
          <w:szCs w:val="22"/>
        </w:rPr>
      </w:pPr>
      <w:r>
        <w:rPr>
          <w:rFonts w:ascii="宋体" w:eastAsia="宋体" w:hAnsi="宋体" w:cs="宋体"/>
          <w:spacing w:val="-13"/>
          <w:sz w:val="22"/>
          <w:szCs w:val="22"/>
        </w:rPr>
        <w:t>人体摄入的硒有各种形式，动物性食物以硒半胱氨酸和硒蛋氨酸形式为主；</w:t>
      </w:r>
      <w:r>
        <w:rPr>
          <w:rFonts w:ascii="宋体" w:eastAsia="宋体" w:hAnsi="宋体" w:cs="宋体"/>
          <w:spacing w:val="18"/>
          <w:sz w:val="22"/>
          <w:szCs w:val="22"/>
        </w:rPr>
        <w:t xml:space="preserve"> </w:t>
      </w:r>
      <w:r>
        <w:rPr>
          <w:rFonts w:ascii="宋体" w:eastAsia="宋体" w:hAnsi="宋体" w:cs="宋体"/>
          <w:spacing w:val="-5"/>
          <w:sz w:val="22"/>
          <w:szCs w:val="22"/>
        </w:rPr>
        <w:t>植物性食物以</w:t>
      </w:r>
      <w:r>
        <w:rPr>
          <w:rFonts w:ascii="宋体" w:eastAsia="宋体" w:hAnsi="宋体" w:cs="宋体"/>
          <w:spacing w:val="-35"/>
          <w:sz w:val="22"/>
          <w:szCs w:val="22"/>
        </w:rPr>
        <w:t xml:space="preserve"> </w:t>
      </w:r>
      <w:r>
        <w:rPr>
          <w:rFonts w:ascii="宋体" w:eastAsia="宋体" w:hAnsi="宋体" w:cs="宋体"/>
          <w:spacing w:val="-5"/>
          <w:sz w:val="22"/>
          <w:szCs w:val="22"/>
        </w:rPr>
        <w:t>SeMet</w:t>
      </w:r>
      <w:r>
        <w:rPr>
          <w:rFonts w:ascii="宋体" w:eastAsia="宋体" w:hAnsi="宋体" w:cs="宋体"/>
          <w:sz w:val="22"/>
          <w:szCs w:val="22"/>
        </w:rPr>
        <w:t xml:space="preserve"> </w:t>
      </w:r>
      <w:r>
        <w:rPr>
          <w:rFonts w:ascii="宋体" w:eastAsia="宋体" w:hAnsi="宋体" w:cs="宋体"/>
          <w:spacing w:val="-5"/>
          <w:sz w:val="22"/>
          <w:szCs w:val="22"/>
        </w:rPr>
        <w:t>为主；而硒酸盐</w:t>
      </w:r>
      <w:r>
        <w:rPr>
          <w:rFonts w:ascii="宋体" w:eastAsia="宋体" w:hAnsi="宋体" w:cs="宋体"/>
          <w:spacing w:val="-9"/>
          <w:sz w:val="22"/>
          <w:szCs w:val="22"/>
        </w:rPr>
        <w:t xml:space="preserve"> </w:t>
      </w:r>
      <w:r>
        <w:rPr>
          <w:rFonts w:ascii="宋体" w:eastAsia="宋体" w:hAnsi="宋体" w:cs="宋体"/>
          <w:spacing w:val="-5"/>
          <w:sz w:val="22"/>
          <w:szCs w:val="22"/>
        </w:rPr>
        <w:t>(selenate,SeOf)</w:t>
      </w:r>
      <w:r>
        <w:rPr>
          <w:rFonts w:ascii="宋体" w:eastAsia="宋体" w:hAnsi="宋体" w:cs="宋体"/>
          <w:spacing w:val="8"/>
          <w:sz w:val="22"/>
          <w:szCs w:val="22"/>
        </w:rPr>
        <w:t xml:space="preserve">  </w:t>
      </w:r>
      <w:r>
        <w:rPr>
          <w:rFonts w:ascii="宋体" w:eastAsia="宋体" w:hAnsi="宋体" w:cs="宋体"/>
          <w:spacing w:val="-5"/>
          <w:sz w:val="22"/>
          <w:szCs w:val="22"/>
        </w:rPr>
        <w:t>和亚硒酸盐</w:t>
      </w:r>
      <w:r>
        <w:rPr>
          <w:rFonts w:ascii="宋体" w:eastAsia="宋体" w:hAnsi="宋体" w:cs="宋体"/>
          <w:spacing w:val="3"/>
          <w:sz w:val="22"/>
          <w:szCs w:val="22"/>
        </w:rPr>
        <w:t xml:space="preserve"> </w:t>
      </w:r>
      <w:r>
        <w:rPr>
          <w:rFonts w:ascii="宋体" w:eastAsia="宋体" w:hAnsi="宋体" w:cs="宋体"/>
          <w:spacing w:val="-5"/>
          <w:sz w:val="22"/>
          <w:szCs w:val="22"/>
        </w:rPr>
        <w:t>(sele-</w:t>
      </w:r>
      <w:r>
        <w:rPr>
          <w:rFonts w:ascii="宋体" w:eastAsia="宋体" w:hAnsi="宋体" w:cs="宋体"/>
          <w:sz w:val="22"/>
          <w:szCs w:val="22"/>
        </w:rPr>
        <w:t xml:space="preserve"> </w:t>
      </w:r>
      <w:r>
        <w:rPr>
          <w:rFonts w:ascii="宋体" w:eastAsia="宋体" w:hAnsi="宋体" w:cs="宋体"/>
          <w:spacing w:val="-5"/>
          <w:sz w:val="22"/>
          <w:szCs w:val="22"/>
        </w:rPr>
        <w:t>nite,SeO号)是常用的补硒形式，</w:t>
      </w:r>
    </w:p>
    <w:p w:rsidR="00EA40A3" w:rsidRDefault="00E86C16">
      <w:pPr>
        <w:spacing w:before="34" w:line="219" w:lineRule="auto"/>
        <w:ind w:left="410"/>
        <w:rPr>
          <w:rFonts w:ascii="宋体" w:eastAsia="宋体" w:hAnsi="宋体" w:cs="宋体"/>
          <w:sz w:val="22"/>
          <w:szCs w:val="22"/>
        </w:rPr>
      </w:pPr>
      <w:r>
        <w:rPr>
          <w:rFonts w:ascii="宋体" w:eastAsia="宋体" w:hAnsi="宋体" w:cs="宋体"/>
          <w:spacing w:val="-13"/>
          <w:sz w:val="22"/>
          <w:szCs w:val="22"/>
        </w:rPr>
        <w:t>硒主要在十二指肠被吸收，空肠和回肠也稍有吸收，胃不吸收。不同形式硒</w:t>
      </w:r>
    </w:p>
    <w:p w:rsidR="00EA40A3" w:rsidRDefault="00E86C16">
      <w:pPr>
        <w:spacing w:before="40" w:line="219" w:lineRule="auto"/>
        <w:rPr>
          <w:rFonts w:ascii="宋体" w:eastAsia="宋体" w:hAnsi="宋体" w:cs="宋体"/>
          <w:sz w:val="22"/>
          <w:szCs w:val="22"/>
        </w:rPr>
      </w:pPr>
      <w:r>
        <w:rPr>
          <w:rFonts w:ascii="宋体" w:eastAsia="宋体" w:hAnsi="宋体" w:cs="宋体"/>
          <w:spacing w:val="-12"/>
          <w:sz w:val="22"/>
          <w:szCs w:val="22"/>
        </w:rPr>
        <w:t>的吸收方式不同，</w:t>
      </w:r>
      <w:r>
        <w:rPr>
          <w:rFonts w:ascii="宋体" w:eastAsia="宋体" w:hAnsi="宋体" w:cs="宋体"/>
          <w:spacing w:val="20"/>
          <w:sz w:val="22"/>
          <w:szCs w:val="22"/>
        </w:rPr>
        <w:t xml:space="preserve"> </w:t>
      </w:r>
      <w:r>
        <w:rPr>
          <w:rFonts w:ascii="宋体" w:eastAsia="宋体" w:hAnsi="宋体" w:cs="宋体"/>
          <w:spacing w:val="-12"/>
          <w:sz w:val="22"/>
          <w:szCs w:val="22"/>
        </w:rPr>
        <w:t>SeMet</w:t>
      </w:r>
      <w:r>
        <w:rPr>
          <w:rFonts w:ascii="宋体" w:eastAsia="宋体" w:hAnsi="宋体" w:cs="宋体"/>
          <w:spacing w:val="-20"/>
          <w:sz w:val="22"/>
          <w:szCs w:val="22"/>
        </w:rPr>
        <w:t xml:space="preserve"> </w:t>
      </w:r>
      <w:r>
        <w:rPr>
          <w:rFonts w:ascii="宋体" w:eastAsia="宋体" w:hAnsi="宋体" w:cs="宋体"/>
          <w:spacing w:val="-12"/>
          <w:sz w:val="22"/>
          <w:szCs w:val="22"/>
        </w:rPr>
        <w:t>是主动吸收，</w:t>
      </w:r>
      <w:r>
        <w:rPr>
          <w:rFonts w:ascii="宋体" w:eastAsia="宋体" w:hAnsi="宋体" w:cs="宋体"/>
          <w:spacing w:val="10"/>
          <w:sz w:val="22"/>
          <w:szCs w:val="22"/>
        </w:rPr>
        <w:t xml:space="preserve"> </w:t>
      </w:r>
      <w:r>
        <w:rPr>
          <w:rFonts w:ascii="宋体" w:eastAsia="宋体" w:hAnsi="宋体" w:cs="宋体"/>
          <w:spacing w:val="-12"/>
          <w:sz w:val="22"/>
          <w:szCs w:val="22"/>
        </w:rPr>
        <w:t>Se</w:t>
      </w:r>
      <w:r>
        <w:rPr>
          <w:rFonts w:ascii="宋体" w:eastAsia="宋体" w:hAnsi="宋体" w:cs="宋体"/>
          <w:spacing w:val="26"/>
          <w:sz w:val="22"/>
          <w:szCs w:val="22"/>
        </w:rPr>
        <w:t xml:space="preserve">   </w:t>
      </w:r>
      <w:r>
        <w:rPr>
          <w:rFonts w:ascii="宋体" w:eastAsia="宋体" w:hAnsi="宋体" w:cs="宋体"/>
          <w:spacing w:val="-12"/>
          <w:sz w:val="22"/>
          <w:szCs w:val="22"/>
        </w:rPr>
        <w:t>是被动吸收，而SeO</w:t>
      </w:r>
      <w:r>
        <w:rPr>
          <w:rFonts w:ascii="宋体" w:eastAsia="宋体" w:hAnsi="宋体" w:cs="宋体"/>
          <w:spacing w:val="45"/>
          <w:sz w:val="22"/>
          <w:szCs w:val="22"/>
        </w:rPr>
        <w:t xml:space="preserve">  </w:t>
      </w:r>
      <w:r>
        <w:rPr>
          <w:rFonts w:ascii="宋体" w:eastAsia="宋体" w:hAnsi="宋体" w:cs="宋体"/>
          <w:spacing w:val="-12"/>
          <w:sz w:val="22"/>
          <w:szCs w:val="22"/>
        </w:rPr>
        <w:t>的吸收方</w:t>
      </w:r>
    </w:p>
    <w:p w:rsidR="00EA40A3" w:rsidRDefault="00E86C16">
      <w:pPr>
        <w:spacing w:before="37" w:line="241" w:lineRule="auto"/>
        <w:ind w:right="79"/>
        <w:jc w:val="both"/>
        <w:rPr>
          <w:rFonts w:ascii="宋体" w:eastAsia="宋体" w:hAnsi="宋体" w:cs="宋体"/>
          <w:sz w:val="22"/>
          <w:szCs w:val="22"/>
        </w:rPr>
      </w:pPr>
      <w:r>
        <w:rPr>
          <w:rFonts w:ascii="宋体" w:eastAsia="宋体" w:hAnsi="宋体" w:cs="宋体"/>
          <w:spacing w:val="-13"/>
          <w:sz w:val="22"/>
          <w:szCs w:val="22"/>
        </w:rPr>
        <w:t>式不太明确，主动和被动吸收的报道均有。</w:t>
      </w:r>
      <w:r>
        <w:rPr>
          <w:rFonts w:ascii="宋体" w:eastAsia="宋体" w:hAnsi="宋体" w:cs="宋体"/>
          <w:spacing w:val="9"/>
          <w:sz w:val="22"/>
          <w:szCs w:val="22"/>
        </w:rPr>
        <w:t xml:space="preserve"> </w:t>
      </w:r>
      <w:r>
        <w:rPr>
          <w:rFonts w:ascii="宋体" w:eastAsia="宋体" w:hAnsi="宋体" w:cs="宋体"/>
          <w:spacing w:val="-13"/>
          <w:sz w:val="22"/>
          <w:szCs w:val="22"/>
        </w:rPr>
        <w:t>Sec吸收过程不清楚。可溶性</w:t>
      </w:r>
      <w:r>
        <w:rPr>
          <w:rFonts w:ascii="宋体" w:eastAsia="宋体" w:hAnsi="宋体" w:cs="宋体"/>
          <w:spacing w:val="-14"/>
          <w:sz w:val="22"/>
          <w:szCs w:val="22"/>
        </w:rPr>
        <w:t>硒化合</w:t>
      </w:r>
      <w:r>
        <w:rPr>
          <w:rFonts w:ascii="宋体" w:eastAsia="宋体" w:hAnsi="宋体" w:cs="宋体"/>
          <w:sz w:val="22"/>
          <w:szCs w:val="22"/>
        </w:rPr>
        <w:t xml:space="preserve"> </w:t>
      </w:r>
      <w:r>
        <w:rPr>
          <w:rFonts w:ascii="宋体" w:eastAsia="宋体" w:hAnsi="宋体" w:cs="宋体"/>
          <w:spacing w:val="4"/>
          <w:sz w:val="22"/>
          <w:szCs w:val="22"/>
        </w:rPr>
        <w:t>物极易被吸收，如</w:t>
      </w:r>
      <w:r>
        <w:rPr>
          <w:rFonts w:ascii="宋体" w:eastAsia="宋体" w:hAnsi="宋体" w:cs="宋体"/>
          <w:sz w:val="22"/>
          <w:szCs w:val="22"/>
        </w:rPr>
        <w:t>SeO</w:t>
      </w:r>
      <w:r>
        <w:rPr>
          <w:rFonts w:ascii="宋体" w:eastAsia="宋体" w:hAnsi="宋体" w:cs="宋体"/>
          <w:spacing w:val="49"/>
          <w:sz w:val="22"/>
          <w:szCs w:val="22"/>
        </w:rPr>
        <w:t xml:space="preserve">  </w:t>
      </w:r>
      <w:r>
        <w:rPr>
          <w:rFonts w:ascii="宋体" w:eastAsia="宋体" w:hAnsi="宋体" w:cs="宋体"/>
          <w:spacing w:val="4"/>
          <w:sz w:val="22"/>
          <w:szCs w:val="22"/>
        </w:rPr>
        <w:t>吸收率大于80%,</w:t>
      </w:r>
      <w:r>
        <w:rPr>
          <w:rFonts w:ascii="宋体" w:eastAsia="宋体" w:hAnsi="宋体" w:cs="宋体"/>
          <w:sz w:val="22"/>
          <w:szCs w:val="22"/>
        </w:rPr>
        <w:t>SeMet</w:t>
      </w:r>
      <w:r>
        <w:rPr>
          <w:rFonts w:ascii="宋体" w:eastAsia="宋体" w:hAnsi="宋体" w:cs="宋体"/>
          <w:spacing w:val="-10"/>
          <w:sz w:val="22"/>
          <w:szCs w:val="22"/>
        </w:rPr>
        <w:t xml:space="preserve"> </w:t>
      </w:r>
      <w:r>
        <w:rPr>
          <w:rFonts w:ascii="宋体" w:eastAsia="宋体" w:hAnsi="宋体" w:cs="宋体"/>
          <w:spacing w:val="4"/>
          <w:sz w:val="22"/>
          <w:szCs w:val="22"/>
        </w:rPr>
        <w:t>和</w:t>
      </w:r>
      <w:r>
        <w:rPr>
          <w:rFonts w:ascii="宋体" w:eastAsia="宋体" w:hAnsi="宋体" w:cs="宋体"/>
          <w:spacing w:val="-51"/>
          <w:sz w:val="22"/>
          <w:szCs w:val="22"/>
        </w:rPr>
        <w:t xml:space="preserve"> </w:t>
      </w:r>
      <w:r>
        <w:rPr>
          <w:rFonts w:ascii="宋体" w:eastAsia="宋体" w:hAnsi="宋体" w:cs="宋体"/>
          <w:sz w:val="22"/>
          <w:szCs w:val="22"/>
        </w:rPr>
        <w:t>SeO</w:t>
      </w:r>
      <w:r>
        <w:rPr>
          <w:rFonts w:ascii="宋体" w:eastAsia="宋体" w:hAnsi="宋体" w:cs="宋体"/>
          <w:spacing w:val="40"/>
          <w:sz w:val="22"/>
          <w:szCs w:val="22"/>
        </w:rPr>
        <w:t xml:space="preserve">  </w:t>
      </w:r>
      <w:r>
        <w:rPr>
          <w:rFonts w:ascii="宋体" w:eastAsia="宋体" w:hAnsi="宋体" w:cs="宋体"/>
          <w:spacing w:val="4"/>
          <w:sz w:val="22"/>
          <w:szCs w:val="22"/>
        </w:rPr>
        <w:t>吸收率</w:t>
      </w:r>
      <w:r>
        <w:rPr>
          <w:rFonts w:ascii="宋体" w:eastAsia="宋体" w:hAnsi="宋体" w:cs="宋体"/>
          <w:spacing w:val="3"/>
          <w:sz w:val="22"/>
          <w:szCs w:val="22"/>
        </w:rPr>
        <w:t>大于90%。</w:t>
      </w:r>
      <w:r>
        <w:rPr>
          <w:rFonts w:ascii="宋体" w:eastAsia="宋体" w:hAnsi="宋体" w:cs="宋体"/>
          <w:sz w:val="22"/>
          <w:szCs w:val="22"/>
        </w:rPr>
        <w:t xml:space="preserve"> </w:t>
      </w:r>
      <w:r>
        <w:rPr>
          <w:rFonts w:ascii="宋体" w:eastAsia="宋体" w:hAnsi="宋体" w:cs="宋体"/>
          <w:spacing w:val="-15"/>
          <w:sz w:val="22"/>
          <w:szCs w:val="22"/>
        </w:rPr>
        <w:t>硒的吸收似乎不受机体硒营养状态影响。</w:t>
      </w:r>
    </w:p>
    <w:p w:rsidR="00EA40A3" w:rsidRDefault="00E86C16">
      <w:pPr>
        <w:spacing w:before="69"/>
        <w:ind w:right="102" w:firstLine="410"/>
        <w:rPr>
          <w:rFonts w:ascii="宋体" w:eastAsia="宋体" w:hAnsi="宋体" w:cs="宋体"/>
          <w:sz w:val="22"/>
          <w:szCs w:val="22"/>
        </w:rPr>
      </w:pPr>
      <w:r>
        <w:rPr>
          <w:rFonts w:ascii="宋体" w:eastAsia="宋体" w:hAnsi="宋体" w:cs="宋体"/>
          <w:spacing w:val="-13"/>
          <w:sz w:val="22"/>
          <w:szCs w:val="22"/>
        </w:rPr>
        <w:t>在测定不同形式硒生物利用率时，主要影响因素不是吸收率，而是</w:t>
      </w:r>
      <w:r>
        <w:rPr>
          <w:rFonts w:ascii="宋体" w:eastAsia="宋体" w:hAnsi="宋体" w:cs="宋体"/>
          <w:spacing w:val="-14"/>
          <w:sz w:val="22"/>
          <w:szCs w:val="22"/>
        </w:rPr>
        <w:t>转化为组</w:t>
      </w:r>
      <w:r>
        <w:rPr>
          <w:rFonts w:ascii="宋体" w:eastAsia="宋体" w:hAnsi="宋体" w:cs="宋体"/>
          <w:sz w:val="22"/>
          <w:szCs w:val="22"/>
        </w:rPr>
        <w:t xml:space="preserve"> </w:t>
      </w:r>
      <w:r>
        <w:rPr>
          <w:rFonts w:ascii="宋体" w:eastAsia="宋体" w:hAnsi="宋体" w:cs="宋体"/>
          <w:spacing w:val="-14"/>
          <w:sz w:val="22"/>
          <w:szCs w:val="22"/>
        </w:rPr>
        <w:t>织中硒的生物活性形式的效力。</w:t>
      </w:r>
    </w:p>
    <w:p w:rsidR="00EA40A3" w:rsidRDefault="00E86C16">
      <w:pPr>
        <w:spacing w:before="32" w:line="229" w:lineRule="auto"/>
        <w:rPr>
          <w:rFonts w:ascii="楷体" w:eastAsia="楷体" w:hAnsi="楷体" w:cs="楷体"/>
          <w:sz w:val="22"/>
          <w:szCs w:val="22"/>
        </w:rPr>
      </w:pPr>
      <w:r>
        <w:rPr>
          <w:rFonts w:ascii="楷体" w:eastAsia="楷体" w:hAnsi="楷体" w:cs="楷体"/>
          <w:spacing w:val="4"/>
          <w:sz w:val="22"/>
          <w:szCs w:val="22"/>
        </w:rPr>
        <w:t>2)硒的代谢</w:t>
      </w:r>
    </w:p>
    <w:p w:rsidR="00EA40A3" w:rsidRDefault="00E86C16">
      <w:pPr>
        <w:spacing w:before="41" w:line="247" w:lineRule="auto"/>
        <w:ind w:right="19" w:firstLine="410"/>
        <w:jc w:val="both"/>
        <w:rPr>
          <w:rFonts w:ascii="宋体" w:eastAsia="宋体" w:hAnsi="宋体" w:cs="宋体"/>
          <w:sz w:val="22"/>
          <w:szCs w:val="22"/>
        </w:rPr>
      </w:pPr>
      <w:r>
        <w:rPr>
          <w:rFonts w:ascii="宋体" w:eastAsia="宋体" w:hAnsi="宋体" w:cs="宋体"/>
          <w:spacing w:val="-7"/>
          <w:sz w:val="22"/>
          <w:szCs w:val="22"/>
        </w:rPr>
        <w:t>膳食摄入的各种形式硒通过不同代谢途径均转化为负二价硒化物</w:t>
      </w:r>
      <w:r>
        <w:rPr>
          <w:rFonts w:ascii="宋体" w:eastAsia="宋体" w:hAnsi="宋体" w:cs="宋体"/>
          <w:spacing w:val="4"/>
          <w:sz w:val="22"/>
          <w:szCs w:val="22"/>
        </w:rPr>
        <w:t xml:space="preserve"> </w:t>
      </w:r>
      <w:r>
        <w:rPr>
          <w:rFonts w:ascii="宋体" w:eastAsia="宋体" w:hAnsi="宋体" w:cs="宋体"/>
          <w:spacing w:val="-7"/>
          <w:sz w:val="22"/>
          <w:szCs w:val="22"/>
        </w:rPr>
        <w:t>(Se²-)。</w:t>
      </w:r>
      <w:r>
        <w:rPr>
          <w:rFonts w:ascii="宋体" w:eastAsia="宋体" w:hAnsi="宋体" w:cs="宋体"/>
          <w:sz w:val="22"/>
          <w:szCs w:val="22"/>
        </w:rPr>
        <w:t xml:space="preserve"> </w:t>
      </w:r>
      <w:r>
        <w:rPr>
          <w:rFonts w:ascii="宋体" w:eastAsia="宋体" w:hAnsi="宋体" w:cs="宋体"/>
          <w:spacing w:val="-9"/>
          <w:sz w:val="22"/>
          <w:szCs w:val="22"/>
        </w:rPr>
        <w:t>Se²</w:t>
      </w:r>
      <w:r>
        <w:rPr>
          <w:rFonts w:ascii="宋体" w:eastAsia="宋体" w:hAnsi="宋体" w:cs="宋体"/>
          <w:spacing w:val="-31"/>
          <w:sz w:val="22"/>
          <w:szCs w:val="22"/>
        </w:rPr>
        <w:t xml:space="preserve"> </w:t>
      </w:r>
      <w:r>
        <w:rPr>
          <w:rFonts w:ascii="宋体" w:eastAsia="宋体" w:hAnsi="宋体" w:cs="宋体"/>
          <w:spacing w:val="-9"/>
          <w:sz w:val="22"/>
          <w:szCs w:val="22"/>
        </w:rPr>
        <w:t>再经硒代磷酸合成酶 (SPS)</w:t>
      </w:r>
      <w:r>
        <w:rPr>
          <w:rFonts w:ascii="宋体" w:eastAsia="宋体" w:hAnsi="宋体" w:cs="宋体"/>
          <w:spacing w:val="37"/>
          <w:sz w:val="22"/>
          <w:szCs w:val="22"/>
        </w:rPr>
        <w:t xml:space="preserve"> </w:t>
      </w:r>
      <w:r>
        <w:rPr>
          <w:rFonts w:ascii="宋体" w:eastAsia="宋体" w:hAnsi="宋体" w:cs="宋体"/>
          <w:spacing w:val="-9"/>
          <w:sz w:val="22"/>
          <w:szCs w:val="22"/>
        </w:rPr>
        <w:t>催化，形成硒代磷酸盐</w:t>
      </w:r>
      <w:r>
        <w:rPr>
          <w:rFonts w:ascii="宋体" w:eastAsia="宋体" w:hAnsi="宋体" w:cs="宋体"/>
          <w:spacing w:val="-8"/>
          <w:sz w:val="22"/>
          <w:szCs w:val="22"/>
        </w:rPr>
        <w:t xml:space="preserve"> </w:t>
      </w:r>
      <w:r>
        <w:rPr>
          <w:rFonts w:ascii="宋体" w:eastAsia="宋体" w:hAnsi="宋体" w:cs="宋体"/>
          <w:spacing w:val="-9"/>
          <w:sz w:val="22"/>
          <w:szCs w:val="22"/>
        </w:rPr>
        <w:t>(SePO</w:t>
      </w:r>
      <w:r>
        <w:rPr>
          <w:rFonts w:ascii="宋体" w:eastAsia="宋体" w:hAnsi="宋体" w:cs="宋体"/>
          <w:spacing w:val="-10"/>
          <w:sz w:val="22"/>
          <w:szCs w:val="22"/>
        </w:rPr>
        <w:t>³)。</w:t>
      </w:r>
      <w:r>
        <w:rPr>
          <w:rFonts w:ascii="宋体" w:eastAsia="宋体" w:hAnsi="宋体" w:cs="宋体"/>
          <w:spacing w:val="23"/>
          <w:sz w:val="22"/>
          <w:szCs w:val="22"/>
        </w:rPr>
        <w:t xml:space="preserve">  </w:t>
      </w:r>
      <w:r>
        <w:rPr>
          <w:rFonts w:ascii="宋体" w:eastAsia="宋体" w:hAnsi="宋体" w:cs="宋体"/>
          <w:spacing w:val="-10"/>
          <w:sz w:val="22"/>
          <w:szCs w:val="22"/>
        </w:rPr>
        <w:t>然后，再</w:t>
      </w:r>
      <w:r>
        <w:rPr>
          <w:rFonts w:ascii="宋体" w:eastAsia="宋体" w:hAnsi="宋体" w:cs="宋体"/>
          <w:spacing w:val="1"/>
          <w:sz w:val="22"/>
          <w:szCs w:val="22"/>
        </w:rPr>
        <w:t xml:space="preserve"> </w:t>
      </w:r>
      <w:r>
        <w:rPr>
          <w:rFonts w:ascii="宋体" w:eastAsia="宋体" w:hAnsi="宋体" w:cs="宋体"/>
          <w:spacing w:val="-6"/>
          <w:sz w:val="22"/>
          <w:szCs w:val="22"/>
        </w:rPr>
        <w:t>经一系列转换而将Sec编码插入形成硒蛋白。若SPS</w:t>
      </w:r>
      <w:r>
        <w:rPr>
          <w:rFonts w:ascii="宋体" w:eastAsia="宋体" w:hAnsi="宋体" w:cs="宋体"/>
          <w:spacing w:val="-11"/>
          <w:sz w:val="22"/>
          <w:szCs w:val="22"/>
        </w:rPr>
        <w:t xml:space="preserve"> </w:t>
      </w:r>
      <w:r>
        <w:rPr>
          <w:rFonts w:ascii="宋体" w:eastAsia="宋体" w:hAnsi="宋体" w:cs="宋体"/>
          <w:spacing w:val="-6"/>
          <w:sz w:val="22"/>
          <w:szCs w:val="22"/>
        </w:rPr>
        <w:t>催</w:t>
      </w:r>
      <w:r>
        <w:rPr>
          <w:rFonts w:ascii="宋体" w:eastAsia="宋体" w:hAnsi="宋体" w:cs="宋体"/>
          <w:spacing w:val="-7"/>
          <w:sz w:val="22"/>
          <w:szCs w:val="22"/>
        </w:rPr>
        <w:t>化反应被抑制，</w:t>
      </w:r>
      <w:r>
        <w:rPr>
          <w:rFonts w:ascii="宋体" w:eastAsia="宋体" w:hAnsi="宋体" w:cs="宋体"/>
          <w:spacing w:val="27"/>
          <w:sz w:val="22"/>
          <w:szCs w:val="22"/>
        </w:rPr>
        <w:t xml:space="preserve"> </w:t>
      </w:r>
      <w:r>
        <w:rPr>
          <w:rFonts w:ascii="宋体" w:eastAsia="宋体" w:hAnsi="宋体" w:cs="宋体"/>
          <w:spacing w:val="-6"/>
          <w:sz w:val="22"/>
          <w:szCs w:val="22"/>
        </w:rPr>
        <w:t>Se</w:t>
      </w:r>
      <w:r>
        <w:rPr>
          <w:rFonts w:ascii="宋体" w:eastAsia="宋体" w:hAnsi="宋体" w:cs="宋体"/>
          <w:spacing w:val="-7"/>
          <w:sz w:val="22"/>
          <w:szCs w:val="22"/>
        </w:rPr>
        <w:t>²-就</w:t>
      </w:r>
      <w:r>
        <w:rPr>
          <w:rFonts w:ascii="宋体" w:eastAsia="宋体" w:hAnsi="宋体" w:cs="宋体"/>
          <w:sz w:val="22"/>
          <w:szCs w:val="22"/>
        </w:rPr>
        <w:t xml:space="preserve"> </w:t>
      </w:r>
      <w:r>
        <w:rPr>
          <w:rFonts w:ascii="宋体" w:eastAsia="宋体" w:hAnsi="宋体" w:cs="宋体"/>
          <w:spacing w:val="-13"/>
          <w:sz w:val="22"/>
          <w:szCs w:val="22"/>
        </w:rPr>
        <w:t>会通过另一途径形成二甲基或三甲基硒离子由呼出气或经尿排出</w:t>
      </w:r>
      <w:r>
        <w:rPr>
          <w:rFonts w:ascii="宋体" w:eastAsia="宋体" w:hAnsi="宋体" w:cs="宋体"/>
          <w:spacing w:val="-14"/>
          <w:sz w:val="22"/>
          <w:szCs w:val="22"/>
        </w:rPr>
        <w:t>。因此，负二价</w:t>
      </w:r>
      <w:r>
        <w:rPr>
          <w:rFonts w:ascii="宋体" w:eastAsia="宋体" w:hAnsi="宋体" w:cs="宋体"/>
          <w:sz w:val="22"/>
          <w:szCs w:val="22"/>
        </w:rPr>
        <w:t xml:space="preserve"> </w:t>
      </w:r>
      <w:r>
        <w:rPr>
          <w:rFonts w:ascii="宋体" w:eastAsia="宋体" w:hAnsi="宋体" w:cs="宋体"/>
          <w:spacing w:val="-12"/>
          <w:sz w:val="22"/>
          <w:szCs w:val="22"/>
        </w:rPr>
        <w:t>硒化物</w:t>
      </w:r>
      <w:r>
        <w:rPr>
          <w:rFonts w:ascii="宋体" w:eastAsia="宋体" w:hAnsi="宋体" w:cs="宋体"/>
          <w:spacing w:val="-4"/>
          <w:sz w:val="22"/>
          <w:szCs w:val="22"/>
        </w:rPr>
        <w:t xml:space="preserve"> </w:t>
      </w:r>
      <w:r>
        <w:rPr>
          <w:rFonts w:ascii="宋体" w:eastAsia="宋体" w:hAnsi="宋体" w:cs="宋体"/>
          <w:spacing w:val="-12"/>
          <w:sz w:val="22"/>
          <w:szCs w:val="22"/>
        </w:rPr>
        <w:t>(Se²-)</w:t>
      </w:r>
      <w:r>
        <w:rPr>
          <w:rFonts w:ascii="宋体" w:eastAsia="宋体" w:hAnsi="宋体" w:cs="宋体"/>
          <w:spacing w:val="-13"/>
          <w:sz w:val="22"/>
          <w:szCs w:val="22"/>
        </w:rPr>
        <w:t xml:space="preserve"> </w:t>
      </w:r>
      <w:r>
        <w:rPr>
          <w:rFonts w:ascii="宋体" w:eastAsia="宋体" w:hAnsi="宋体" w:cs="宋体"/>
          <w:spacing w:val="-12"/>
          <w:sz w:val="22"/>
          <w:szCs w:val="22"/>
        </w:rPr>
        <w:t>是体内硒进入合成硒蛋白途径和排出途径的分叉中间化合物，而</w:t>
      </w:r>
      <w:r>
        <w:rPr>
          <w:rFonts w:ascii="宋体" w:eastAsia="宋体" w:hAnsi="宋体" w:cs="宋体"/>
          <w:sz w:val="22"/>
          <w:szCs w:val="22"/>
        </w:rPr>
        <w:t xml:space="preserve"> </w:t>
      </w:r>
      <w:r>
        <w:rPr>
          <w:rFonts w:ascii="宋体" w:eastAsia="宋体" w:hAnsi="宋体" w:cs="宋体"/>
          <w:spacing w:val="-13"/>
          <w:sz w:val="22"/>
          <w:szCs w:val="22"/>
        </w:rPr>
        <w:t>SPS</w:t>
      </w:r>
      <w:r>
        <w:rPr>
          <w:rFonts w:ascii="宋体" w:eastAsia="宋体" w:hAnsi="宋体" w:cs="宋体"/>
          <w:spacing w:val="-20"/>
          <w:sz w:val="22"/>
          <w:szCs w:val="22"/>
        </w:rPr>
        <w:t xml:space="preserve"> </w:t>
      </w:r>
      <w:r>
        <w:rPr>
          <w:rFonts w:ascii="宋体" w:eastAsia="宋体" w:hAnsi="宋体" w:cs="宋体"/>
          <w:spacing w:val="-13"/>
          <w:sz w:val="22"/>
          <w:szCs w:val="22"/>
        </w:rPr>
        <w:t>可能在调节中起关键作用。</w:t>
      </w:r>
    </w:p>
    <w:p w:rsidR="00EA40A3" w:rsidRDefault="00E86C16">
      <w:pPr>
        <w:spacing w:before="98" w:line="241" w:lineRule="auto"/>
        <w:ind w:right="70" w:firstLine="410"/>
        <w:jc w:val="both"/>
        <w:rPr>
          <w:rFonts w:ascii="宋体" w:eastAsia="宋体" w:hAnsi="宋体" w:cs="宋体"/>
          <w:sz w:val="22"/>
          <w:szCs w:val="22"/>
        </w:rPr>
      </w:pPr>
      <w:r>
        <w:rPr>
          <w:rFonts w:ascii="宋体" w:eastAsia="宋体" w:hAnsi="宋体" w:cs="宋体"/>
          <w:spacing w:val="-14"/>
          <w:sz w:val="22"/>
          <w:szCs w:val="22"/>
        </w:rPr>
        <w:t>吸收的硒在血液中转运，但其转运形式并不清楚。经尿排出的硒占总硒排出</w:t>
      </w:r>
      <w:r>
        <w:rPr>
          <w:rFonts w:ascii="宋体" w:eastAsia="宋体" w:hAnsi="宋体" w:cs="宋体"/>
          <w:spacing w:val="5"/>
          <w:sz w:val="22"/>
          <w:szCs w:val="22"/>
        </w:rPr>
        <w:t xml:space="preserve"> </w:t>
      </w:r>
      <w:r>
        <w:rPr>
          <w:rFonts w:ascii="宋体" w:eastAsia="宋体" w:hAnsi="宋体" w:cs="宋体"/>
          <w:spacing w:val="3"/>
          <w:sz w:val="22"/>
          <w:szCs w:val="22"/>
        </w:rPr>
        <w:t>量的50%～60%,在摄入高膳食硒时，尿硒排出量会增加，反之减少，肾脏似</w:t>
      </w:r>
      <w:r>
        <w:rPr>
          <w:rFonts w:ascii="宋体" w:eastAsia="宋体" w:hAnsi="宋体" w:cs="宋体"/>
          <w:spacing w:val="10"/>
          <w:sz w:val="22"/>
          <w:szCs w:val="22"/>
        </w:rPr>
        <w:t xml:space="preserve"> </w:t>
      </w:r>
      <w:r>
        <w:rPr>
          <w:rFonts w:ascii="宋体" w:eastAsia="宋体" w:hAnsi="宋体" w:cs="宋体"/>
          <w:spacing w:val="-18"/>
          <w:sz w:val="22"/>
          <w:szCs w:val="22"/>
        </w:rPr>
        <w:t>乎起了调节作用。</w:t>
      </w:r>
    </w:p>
    <w:p w:rsidR="00EA40A3" w:rsidRDefault="00E86C16">
      <w:pPr>
        <w:spacing w:before="217" w:line="223" w:lineRule="auto"/>
        <w:rPr>
          <w:rFonts w:ascii="仿宋" w:eastAsia="仿宋" w:hAnsi="仿宋" w:cs="仿宋"/>
          <w:sz w:val="22"/>
          <w:szCs w:val="22"/>
        </w:rPr>
      </w:pPr>
      <w:r>
        <w:rPr>
          <w:rFonts w:ascii="仿宋" w:eastAsia="仿宋" w:hAnsi="仿宋" w:cs="仿宋"/>
          <w:spacing w:val="9"/>
          <w:sz w:val="22"/>
          <w:szCs w:val="22"/>
        </w:rPr>
        <w:t>3.</w:t>
      </w:r>
      <w:r>
        <w:rPr>
          <w:rFonts w:ascii="仿宋" w:eastAsia="仿宋" w:hAnsi="仿宋" w:cs="仿宋"/>
          <w:spacing w:val="-44"/>
          <w:sz w:val="22"/>
          <w:szCs w:val="22"/>
        </w:rPr>
        <w:t xml:space="preserve"> </w:t>
      </w:r>
      <w:r>
        <w:rPr>
          <w:rFonts w:ascii="仿宋" w:eastAsia="仿宋" w:hAnsi="仿宋" w:cs="仿宋"/>
          <w:spacing w:val="9"/>
          <w:sz w:val="22"/>
          <w:szCs w:val="22"/>
        </w:rPr>
        <w:t>硒缺乏与过量</w:t>
      </w:r>
    </w:p>
    <w:p w:rsidR="00EA40A3" w:rsidRDefault="00E86C16">
      <w:pPr>
        <w:spacing w:before="173" w:line="244" w:lineRule="auto"/>
        <w:ind w:right="70" w:firstLine="410"/>
        <w:rPr>
          <w:rFonts w:ascii="宋体" w:eastAsia="宋体" w:hAnsi="宋体" w:cs="宋体"/>
          <w:sz w:val="22"/>
          <w:szCs w:val="22"/>
        </w:rPr>
      </w:pPr>
      <w:r>
        <w:rPr>
          <w:rFonts w:ascii="宋体" w:eastAsia="宋体" w:hAnsi="宋体" w:cs="宋体"/>
          <w:spacing w:val="-12"/>
          <w:sz w:val="22"/>
          <w:szCs w:val="22"/>
        </w:rPr>
        <w:t>硒缺乏已被证实是发生克山病的重要原因。克山病是一种在我</w:t>
      </w:r>
      <w:r>
        <w:rPr>
          <w:rFonts w:ascii="宋体" w:eastAsia="宋体" w:hAnsi="宋体" w:cs="宋体"/>
          <w:spacing w:val="-13"/>
          <w:sz w:val="22"/>
          <w:szCs w:val="22"/>
        </w:rPr>
        <w:t>国部分地区流</w:t>
      </w:r>
      <w:r>
        <w:rPr>
          <w:rFonts w:ascii="宋体" w:eastAsia="宋体" w:hAnsi="宋体" w:cs="宋体"/>
          <w:sz w:val="22"/>
          <w:szCs w:val="22"/>
        </w:rPr>
        <w:t xml:space="preserve"> </w:t>
      </w:r>
      <w:r>
        <w:rPr>
          <w:rFonts w:ascii="宋体" w:eastAsia="宋体" w:hAnsi="宋体" w:cs="宋体"/>
          <w:spacing w:val="-14"/>
          <w:sz w:val="22"/>
          <w:szCs w:val="22"/>
        </w:rPr>
        <w:t>行的、以心肌坏死为特征的地方性心脏病，病因虽未完全明</w:t>
      </w:r>
      <w:r>
        <w:rPr>
          <w:rFonts w:ascii="宋体" w:eastAsia="宋体" w:hAnsi="宋体" w:cs="宋体"/>
          <w:spacing w:val="-15"/>
          <w:sz w:val="22"/>
          <w:szCs w:val="22"/>
        </w:rPr>
        <w:t>了，但在多年防治工</w:t>
      </w:r>
      <w:r>
        <w:rPr>
          <w:rFonts w:ascii="宋体" w:eastAsia="宋体" w:hAnsi="宋体" w:cs="宋体"/>
          <w:sz w:val="22"/>
          <w:szCs w:val="22"/>
        </w:rPr>
        <w:t xml:space="preserve"> </w:t>
      </w:r>
      <w:r>
        <w:rPr>
          <w:rFonts w:ascii="宋体" w:eastAsia="宋体" w:hAnsi="宋体" w:cs="宋体"/>
          <w:spacing w:val="-14"/>
          <w:sz w:val="22"/>
          <w:szCs w:val="22"/>
        </w:rPr>
        <w:t>作中，我国学者发现克山病的发病与硒的营养缺乏有关，并</w:t>
      </w:r>
      <w:r>
        <w:rPr>
          <w:rFonts w:ascii="宋体" w:eastAsia="宋体" w:hAnsi="宋体" w:cs="宋体"/>
          <w:spacing w:val="-15"/>
          <w:sz w:val="22"/>
          <w:szCs w:val="22"/>
        </w:rPr>
        <w:t>且已用亚硒酸钠预防</w:t>
      </w:r>
      <w:r>
        <w:rPr>
          <w:rFonts w:ascii="宋体" w:eastAsia="宋体" w:hAnsi="宋体" w:cs="宋体"/>
          <w:sz w:val="22"/>
          <w:szCs w:val="22"/>
        </w:rPr>
        <w:t xml:space="preserve"> </w:t>
      </w:r>
      <w:r>
        <w:rPr>
          <w:rFonts w:ascii="宋体" w:eastAsia="宋体" w:hAnsi="宋体" w:cs="宋体"/>
          <w:spacing w:val="-10"/>
          <w:sz w:val="22"/>
          <w:szCs w:val="22"/>
        </w:rPr>
        <w:t>取得成功，于1973年首次提出并证明硒是人类的一种必需微量元素。</w:t>
      </w:r>
    </w:p>
    <w:p w:rsidR="00EA40A3" w:rsidRDefault="00E86C16">
      <w:pPr>
        <w:spacing w:before="68" w:line="236" w:lineRule="auto"/>
        <w:ind w:right="92" w:firstLine="410"/>
        <w:rPr>
          <w:rFonts w:ascii="宋体" w:eastAsia="宋体" w:hAnsi="宋体" w:cs="宋体"/>
          <w:sz w:val="22"/>
          <w:szCs w:val="22"/>
        </w:rPr>
      </w:pPr>
      <w:r>
        <w:rPr>
          <w:rFonts w:ascii="宋体" w:eastAsia="宋体" w:hAnsi="宋体" w:cs="宋体"/>
          <w:spacing w:val="-13"/>
          <w:sz w:val="22"/>
          <w:szCs w:val="22"/>
        </w:rPr>
        <w:t>近年我国在大骨节病的防治中观察到大骨节病也与缺硒有关，用亚硒酸钠与</w:t>
      </w:r>
      <w:r>
        <w:rPr>
          <w:rFonts w:ascii="宋体" w:eastAsia="宋体" w:hAnsi="宋体" w:cs="宋体"/>
          <w:spacing w:val="4"/>
          <w:sz w:val="22"/>
          <w:szCs w:val="22"/>
        </w:rPr>
        <w:t xml:space="preserve"> </w:t>
      </w:r>
      <w:r>
        <w:rPr>
          <w:rFonts w:ascii="宋体" w:eastAsia="宋体" w:hAnsi="宋体" w:cs="宋体"/>
          <w:spacing w:val="-13"/>
          <w:sz w:val="22"/>
          <w:szCs w:val="22"/>
        </w:rPr>
        <w:t>维生素E</w:t>
      </w:r>
      <w:r>
        <w:rPr>
          <w:rFonts w:ascii="宋体" w:eastAsia="宋体" w:hAnsi="宋体" w:cs="宋体"/>
          <w:spacing w:val="-1"/>
          <w:sz w:val="22"/>
          <w:szCs w:val="22"/>
        </w:rPr>
        <w:t xml:space="preserve"> </w:t>
      </w:r>
      <w:r>
        <w:rPr>
          <w:rFonts w:ascii="宋体" w:eastAsia="宋体" w:hAnsi="宋体" w:cs="宋体"/>
          <w:spacing w:val="-13"/>
          <w:sz w:val="22"/>
          <w:szCs w:val="22"/>
        </w:rPr>
        <w:t>治疗儿童大骨节病有显著疗效。</w:t>
      </w:r>
    </w:p>
    <w:p w:rsidR="00EA40A3" w:rsidRDefault="00E86C16">
      <w:pPr>
        <w:spacing w:before="58" w:line="241" w:lineRule="auto"/>
        <w:ind w:right="88" w:firstLine="410"/>
        <w:rPr>
          <w:rFonts w:ascii="宋体" w:eastAsia="宋体" w:hAnsi="宋体" w:cs="宋体"/>
          <w:sz w:val="22"/>
          <w:szCs w:val="22"/>
        </w:rPr>
      </w:pPr>
      <w:r>
        <w:rPr>
          <w:rFonts w:ascii="宋体" w:eastAsia="宋体" w:hAnsi="宋体" w:cs="宋体"/>
          <w:spacing w:val="-13"/>
          <w:sz w:val="22"/>
          <w:szCs w:val="22"/>
        </w:rPr>
        <w:t>硒摄入过量可致中毒。我国湖北省恩施县的地方性硒中毒，与当地水土中硒</w:t>
      </w:r>
      <w:r>
        <w:rPr>
          <w:rFonts w:ascii="宋体" w:eastAsia="宋体" w:hAnsi="宋体" w:cs="宋体"/>
          <w:sz w:val="22"/>
          <w:szCs w:val="22"/>
        </w:rPr>
        <w:t xml:space="preserve"> </w:t>
      </w:r>
      <w:r>
        <w:rPr>
          <w:rFonts w:ascii="宋体" w:eastAsia="宋体" w:hAnsi="宋体" w:cs="宋体"/>
          <w:spacing w:val="-13"/>
          <w:sz w:val="22"/>
          <w:szCs w:val="22"/>
        </w:rPr>
        <w:t>含量过高，致粮食、蔬菜、水果中含高硒有关。主要表现为头发变干、变脆、易</w:t>
      </w:r>
      <w:r>
        <w:rPr>
          <w:rFonts w:ascii="宋体" w:eastAsia="宋体" w:hAnsi="宋体" w:cs="宋体"/>
          <w:spacing w:val="5"/>
          <w:sz w:val="22"/>
          <w:szCs w:val="22"/>
        </w:rPr>
        <w:t xml:space="preserve"> </w:t>
      </w:r>
      <w:r>
        <w:rPr>
          <w:rFonts w:ascii="宋体" w:eastAsia="宋体" w:hAnsi="宋体" w:cs="宋体"/>
          <w:spacing w:val="-15"/>
          <w:sz w:val="22"/>
          <w:szCs w:val="22"/>
        </w:rPr>
        <w:t>断裂和脱落；肢端麻木、抽搐、甚至偏瘫，严重时可致死亡。</w:t>
      </w:r>
    </w:p>
    <w:p w:rsidR="00EA40A3" w:rsidRDefault="00E86C16">
      <w:pPr>
        <w:spacing w:before="195" w:line="221"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13"/>
          <w:sz w:val="22"/>
          <w:szCs w:val="22"/>
        </w:rPr>
        <w:t xml:space="preserve"> </w:t>
      </w:r>
      <w:r>
        <w:rPr>
          <w:rFonts w:ascii="仿宋" w:eastAsia="仿宋" w:hAnsi="仿宋" w:cs="仿宋"/>
          <w:spacing w:val="15"/>
          <w:sz w:val="22"/>
          <w:szCs w:val="22"/>
        </w:rPr>
        <w:t>硒的参考摄入量与食物来源</w:t>
      </w:r>
    </w:p>
    <w:p w:rsidR="00EA40A3" w:rsidRDefault="00E86C16">
      <w:pPr>
        <w:spacing w:before="184" w:line="252" w:lineRule="auto"/>
        <w:ind w:firstLine="410"/>
        <w:rPr>
          <w:rFonts w:ascii="宋体" w:eastAsia="宋体" w:hAnsi="宋体" w:cs="宋体"/>
          <w:sz w:val="22"/>
          <w:szCs w:val="22"/>
        </w:rPr>
      </w:pPr>
      <w:r>
        <w:rPr>
          <w:rFonts w:ascii="宋体" w:eastAsia="宋体" w:hAnsi="宋体" w:cs="宋体"/>
          <w:spacing w:val="-1"/>
          <w:sz w:val="22"/>
          <w:szCs w:val="22"/>
        </w:rPr>
        <w:t>我国居民膳食硒的RNI(μg/d)</w:t>
      </w:r>
      <w:r>
        <w:rPr>
          <w:rFonts w:ascii="宋体" w:eastAsia="宋体" w:hAnsi="宋体" w:cs="宋体"/>
          <w:spacing w:val="56"/>
          <w:sz w:val="22"/>
          <w:szCs w:val="22"/>
        </w:rPr>
        <w:t xml:space="preserve"> </w:t>
      </w:r>
      <w:r>
        <w:rPr>
          <w:rFonts w:ascii="宋体" w:eastAsia="宋体" w:hAnsi="宋体" w:cs="宋体"/>
          <w:spacing w:val="-1"/>
          <w:sz w:val="22"/>
          <w:szCs w:val="22"/>
        </w:rPr>
        <w:t>分别定为：0～0.5岁为15</w:t>
      </w:r>
      <w:r>
        <w:rPr>
          <w:rFonts w:ascii="宋体" w:eastAsia="宋体" w:hAnsi="宋体" w:cs="宋体"/>
          <w:spacing w:val="-14"/>
          <w:sz w:val="22"/>
          <w:szCs w:val="22"/>
        </w:rPr>
        <w:t xml:space="preserve"> </w:t>
      </w:r>
      <w:r>
        <w:rPr>
          <w:rFonts w:ascii="宋体" w:eastAsia="宋体" w:hAnsi="宋体" w:cs="宋体"/>
          <w:spacing w:val="-1"/>
          <w:sz w:val="22"/>
          <w:szCs w:val="22"/>
        </w:rPr>
        <w:t>(AI)、0.5～1</w:t>
      </w:r>
      <w:r>
        <w:rPr>
          <w:rFonts w:ascii="宋体" w:eastAsia="宋体" w:hAnsi="宋体" w:cs="宋体"/>
          <w:sz w:val="22"/>
          <w:szCs w:val="22"/>
        </w:rPr>
        <w:t xml:space="preserve">  </w:t>
      </w:r>
      <w:r>
        <w:rPr>
          <w:rFonts w:ascii="宋体" w:eastAsia="宋体" w:hAnsi="宋体" w:cs="宋体"/>
          <w:spacing w:val="6"/>
          <w:sz w:val="22"/>
          <w:szCs w:val="22"/>
        </w:rPr>
        <w:t>岁为20</w:t>
      </w:r>
      <w:r>
        <w:rPr>
          <w:rFonts w:ascii="宋体" w:eastAsia="宋体" w:hAnsi="宋体" w:cs="宋体"/>
          <w:spacing w:val="-31"/>
          <w:sz w:val="22"/>
          <w:szCs w:val="22"/>
        </w:rPr>
        <w:t xml:space="preserve"> </w:t>
      </w:r>
      <w:r>
        <w:rPr>
          <w:rFonts w:ascii="宋体" w:eastAsia="宋体" w:hAnsi="宋体" w:cs="宋体"/>
          <w:spacing w:val="6"/>
          <w:sz w:val="22"/>
          <w:szCs w:val="22"/>
        </w:rPr>
        <w:t>(</w:t>
      </w:r>
      <w:r>
        <w:rPr>
          <w:rFonts w:ascii="宋体" w:eastAsia="宋体" w:hAnsi="宋体" w:cs="宋体"/>
          <w:sz w:val="22"/>
          <w:szCs w:val="22"/>
        </w:rPr>
        <w:t>AI</w:t>
      </w:r>
      <w:r>
        <w:rPr>
          <w:rFonts w:ascii="宋体" w:eastAsia="宋体" w:hAnsi="宋体" w:cs="宋体"/>
          <w:spacing w:val="6"/>
          <w:sz w:val="22"/>
          <w:szCs w:val="22"/>
        </w:rPr>
        <w:t>)、1～4</w:t>
      </w:r>
      <w:r>
        <w:rPr>
          <w:rFonts w:ascii="宋体" w:eastAsia="宋体" w:hAnsi="宋体" w:cs="宋体"/>
          <w:spacing w:val="-33"/>
          <w:sz w:val="22"/>
          <w:szCs w:val="22"/>
        </w:rPr>
        <w:t xml:space="preserve"> </w:t>
      </w:r>
      <w:r>
        <w:rPr>
          <w:rFonts w:ascii="宋体" w:eastAsia="宋体" w:hAnsi="宋体" w:cs="宋体"/>
          <w:spacing w:val="6"/>
          <w:sz w:val="22"/>
          <w:szCs w:val="22"/>
        </w:rPr>
        <w:t>岁为20、4～7岁为25、7～11岁为35、11～14岁为45、</w:t>
      </w:r>
    </w:p>
    <w:p w:rsidR="00EA40A3" w:rsidRDefault="00E86C16">
      <w:pPr>
        <w:spacing w:before="50"/>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110</w:t>
      </w:r>
      <w:r>
        <w:rPr>
          <w:rFonts w:ascii="宋体" w:eastAsia="宋体" w:hAnsi="宋体" w:cs="宋体"/>
          <w:spacing w:val="55"/>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970" w:bottom="400" w:left="910" w:header="0" w:footer="0" w:gutter="0"/>
          <w:cols w:space="720"/>
        </w:sectPr>
      </w:pPr>
    </w:p>
    <w:p w:rsidR="00EA40A3" w:rsidRDefault="00EA40A3">
      <w:pPr>
        <w:spacing w:line="283" w:lineRule="auto"/>
      </w:pPr>
    </w:p>
    <w:p w:rsidR="00EA40A3" w:rsidRDefault="00EA40A3">
      <w:pPr>
        <w:spacing w:line="283" w:lineRule="auto"/>
      </w:pPr>
    </w:p>
    <w:p w:rsidR="00EA40A3" w:rsidRDefault="00E86C16">
      <w:pPr>
        <w:spacing w:before="71" w:line="243" w:lineRule="auto"/>
        <w:ind w:right="91"/>
        <w:jc w:val="both"/>
        <w:rPr>
          <w:rFonts w:ascii="宋体" w:eastAsia="宋体" w:hAnsi="宋体" w:cs="宋体"/>
          <w:sz w:val="22"/>
          <w:szCs w:val="22"/>
        </w:rPr>
      </w:pPr>
      <w:r>
        <w:rPr>
          <w:rFonts w:ascii="宋体" w:eastAsia="宋体" w:hAnsi="宋体" w:cs="宋体"/>
          <w:spacing w:val="3"/>
          <w:sz w:val="22"/>
          <w:szCs w:val="22"/>
        </w:rPr>
        <w:t>14岁以上(含孕妇)为50、乳母为65。硒的[</w:t>
      </w:r>
      <w:r>
        <w:rPr>
          <w:rFonts w:ascii="宋体" w:eastAsia="宋体" w:hAnsi="宋体" w:cs="宋体"/>
          <w:sz w:val="22"/>
          <w:szCs w:val="22"/>
        </w:rPr>
        <w:t>JL</w:t>
      </w:r>
      <w:r>
        <w:rPr>
          <w:rFonts w:ascii="宋体" w:eastAsia="宋体" w:hAnsi="宋体" w:cs="宋体"/>
          <w:spacing w:val="3"/>
          <w:sz w:val="22"/>
          <w:szCs w:val="22"/>
        </w:rPr>
        <w:t>(μ</w:t>
      </w:r>
      <w:r>
        <w:rPr>
          <w:rFonts w:ascii="宋体" w:eastAsia="宋体" w:hAnsi="宋体" w:cs="宋体"/>
          <w:spacing w:val="2"/>
          <w:sz w:val="22"/>
          <w:szCs w:val="22"/>
        </w:rPr>
        <w:t>g/d)</w:t>
      </w:r>
      <w:r>
        <w:rPr>
          <w:rFonts w:ascii="宋体" w:eastAsia="宋体" w:hAnsi="宋体" w:cs="宋体"/>
          <w:spacing w:val="-28"/>
          <w:sz w:val="22"/>
          <w:szCs w:val="22"/>
        </w:rPr>
        <w:t xml:space="preserve"> </w:t>
      </w:r>
      <w:r>
        <w:rPr>
          <w:rFonts w:ascii="宋体" w:eastAsia="宋体" w:hAnsi="宋体" w:cs="宋体"/>
          <w:spacing w:val="2"/>
          <w:sz w:val="22"/>
          <w:szCs w:val="22"/>
        </w:rPr>
        <w:t>分别定为：0～0.5岁</w:t>
      </w:r>
      <w:r>
        <w:rPr>
          <w:rFonts w:ascii="宋体" w:eastAsia="宋体" w:hAnsi="宋体" w:cs="宋体"/>
          <w:sz w:val="22"/>
          <w:szCs w:val="22"/>
        </w:rPr>
        <w:t xml:space="preserve"> 为55、0.5～1岁为80、1～4岁为120、4～7岁为180、7～1</w:t>
      </w:r>
      <w:r>
        <w:rPr>
          <w:rFonts w:ascii="宋体" w:eastAsia="宋体" w:hAnsi="宋体" w:cs="宋体"/>
          <w:spacing w:val="-1"/>
          <w:sz w:val="22"/>
          <w:szCs w:val="22"/>
        </w:rPr>
        <w:t>1岁为240、11～14</w:t>
      </w:r>
      <w:r>
        <w:rPr>
          <w:rFonts w:ascii="宋体" w:eastAsia="宋体" w:hAnsi="宋体" w:cs="宋体"/>
          <w:sz w:val="22"/>
          <w:szCs w:val="22"/>
        </w:rPr>
        <w:t xml:space="preserve"> </w:t>
      </w:r>
      <w:r>
        <w:rPr>
          <w:rFonts w:ascii="宋体" w:eastAsia="宋体" w:hAnsi="宋体" w:cs="宋体"/>
          <w:spacing w:val="3"/>
          <w:sz w:val="22"/>
          <w:szCs w:val="22"/>
        </w:rPr>
        <w:t>岁为300、14～18岁为400、18岁以上(含孕妇和乳母)</w:t>
      </w:r>
      <w:r>
        <w:rPr>
          <w:rFonts w:ascii="宋体" w:eastAsia="宋体" w:hAnsi="宋体" w:cs="宋体"/>
          <w:spacing w:val="2"/>
          <w:sz w:val="22"/>
          <w:szCs w:val="22"/>
        </w:rPr>
        <w:t>为400。</w:t>
      </w:r>
    </w:p>
    <w:p w:rsidR="00EA40A3" w:rsidRDefault="00E86C16">
      <w:pPr>
        <w:spacing w:before="58" w:line="247" w:lineRule="auto"/>
        <w:ind w:right="63" w:firstLine="449"/>
        <w:jc w:val="both"/>
        <w:rPr>
          <w:rFonts w:ascii="宋体" w:eastAsia="宋体" w:hAnsi="宋体" w:cs="宋体"/>
          <w:sz w:val="22"/>
          <w:szCs w:val="22"/>
        </w:rPr>
      </w:pPr>
      <w:r>
        <w:rPr>
          <w:rFonts w:ascii="宋体" w:eastAsia="宋体" w:hAnsi="宋体" w:cs="宋体"/>
          <w:spacing w:val="-14"/>
          <w:sz w:val="22"/>
          <w:szCs w:val="22"/>
        </w:rPr>
        <w:t>食物中的硒含量变化很大，主要与所在区域内土壤和</w:t>
      </w:r>
      <w:r>
        <w:rPr>
          <w:rFonts w:ascii="宋体" w:eastAsia="宋体" w:hAnsi="宋体" w:cs="宋体"/>
          <w:spacing w:val="-15"/>
          <w:sz w:val="22"/>
          <w:szCs w:val="22"/>
        </w:rPr>
        <w:t>水质的硒含量有关。通</w:t>
      </w:r>
      <w:r>
        <w:rPr>
          <w:rFonts w:ascii="宋体" w:eastAsia="宋体" w:hAnsi="宋体" w:cs="宋体"/>
          <w:sz w:val="22"/>
          <w:szCs w:val="22"/>
        </w:rPr>
        <w:t xml:space="preserve"> </w:t>
      </w:r>
      <w:r>
        <w:rPr>
          <w:rFonts w:ascii="宋体" w:eastAsia="宋体" w:hAnsi="宋体" w:cs="宋体"/>
          <w:spacing w:val="-12"/>
          <w:sz w:val="22"/>
          <w:szCs w:val="22"/>
        </w:rPr>
        <w:t>常海产品的硒含量较高，若按100</w:t>
      </w:r>
      <w:r>
        <w:rPr>
          <w:rFonts w:ascii="宋体" w:eastAsia="宋体" w:hAnsi="宋体" w:cs="宋体"/>
          <w:spacing w:val="-43"/>
          <w:sz w:val="22"/>
          <w:szCs w:val="22"/>
        </w:rPr>
        <w:t xml:space="preserve"> </w:t>
      </w:r>
      <w:r>
        <w:rPr>
          <w:rFonts w:ascii="宋体" w:eastAsia="宋体" w:hAnsi="宋体" w:cs="宋体"/>
          <w:spacing w:val="-12"/>
          <w:sz w:val="22"/>
          <w:szCs w:val="22"/>
        </w:rPr>
        <w:t>g</w:t>
      </w:r>
      <w:r>
        <w:rPr>
          <w:rFonts w:ascii="宋体" w:eastAsia="宋体" w:hAnsi="宋体" w:cs="宋体"/>
          <w:spacing w:val="-58"/>
          <w:sz w:val="22"/>
          <w:szCs w:val="22"/>
        </w:rPr>
        <w:t xml:space="preserve"> </w:t>
      </w:r>
      <w:r>
        <w:rPr>
          <w:rFonts w:ascii="宋体" w:eastAsia="宋体" w:hAnsi="宋体" w:cs="宋体"/>
          <w:spacing w:val="-12"/>
          <w:sz w:val="22"/>
          <w:szCs w:val="22"/>
        </w:rPr>
        <w:t>食物计：鱿、海参等含硒在100</w:t>
      </w:r>
      <w:r>
        <w:rPr>
          <w:rFonts w:ascii="宋体" w:eastAsia="宋体" w:hAnsi="宋体" w:cs="宋体"/>
          <w:spacing w:val="-50"/>
          <w:sz w:val="22"/>
          <w:szCs w:val="22"/>
        </w:rPr>
        <w:t xml:space="preserve"> </w:t>
      </w:r>
      <w:r>
        <w:rPr>
          <w:rFonts w:ascii="宋体" w:eastAsia="宋体" w:hAnsi="宋体" w:cs="宋体"/>
          <w:spacing w:val="-12"/>
          <w:sz w:val="22"/>
          <w:szCs w:val="22"/>
        </w:rPr>
        <w:t>μg</w:t>
      </w:r>
      <w:r>
        <w:rPr>
          <w:rFonts w:ascii="宋体" w:eastAsia="宋体" w:hAnsi="宋体" w:cs="宋体"/>
          <w:spacing w:val="-38"/>
          <w:sz w:val="22"/>
          <w:szCs w:val="22"/>
        </w:rPr>
        <w:t xml:space="preserve"> </w:t>
      </w:r>
      <w:r>
        <w:rPr>
          <w:rFonts w:ascii="宋体" w:eastAsia="宋体" w:hAnsi="宋体" w:cs="宋体"/>
          <w:spacing w:val="-12"/>
          <w:sz w:val="22"/>
          <w:szCs w:val="22"/>
        </w:rPr>
        <w:t>以上，其</w:t>
      </w:r>
      <w:r>
        <w:rPr>
          <w:rFonts w:ascii="宋体" w:eastAsia="宋体" w:hAnsi="宋体" w:cs="宋体"/>
          <w:sz w:val="22"/>
          <w:szCs w:val="22"/>
        </w:rPr>
        <w:t xml:space="preserve"> </w:t>
      </w:r>
      <w:r>
        <w:rPr>
          <w:rFonts w:ascii="宋体" w:eastAsia="宋体" w:hAnsi="宋体" w:cs="宋体"/>
          <w:spacing w:val="-14"/>
          <w:sz w:val="22"/>
          <w:szCs w:val="22"/>
        </w:rPr>
        <w:t>他的贝类、鱼类含硒约30～85</w:t>
      </w:r>
      <w:r>
        <w:rPr>
          <w:rFonts w:ascii="宋体" w:eastAsia="宋体" w:hAnsi="宋体" w:cs="宋体"/>
          <w:spacing w:val="-43"/>
          <w:sz w:val="22"/>
          <w:szCs w:val="22"/>
        </w:rPr>
        <w:t xml:space="preserve"> </w:t>
      </w:r>
      <w:r>
        <w:rPr>
          <w:rFonts w:ascii="宋体" w:eastAsia="宋体" w:hAnsi="宋体" w:cs="宋体"/>
          <w:spacing w:val="-14"/>
          <w:sz w:val="22"/>
          <w:szCs w:val="22"/>
        </w:rPr>
        <w:t>μg,</w:t>
      </w:r>
      <w:r>
        <w:rPr>
          <w:rFonts w:ascii="宋体" w:eastAsia="宋体" w:hAnsi="宋体" w:cs="宋体"/>
          <w:spacing w:val="43"/>
          <w:sz w:val="22"/>
          <w:szCs w:val="22"/>
        </w:rPr>
        <w:t xml:space="preserve"> </w:t>
      </w:r>
      <w:r>
        <w:rPr>
          <w:rFonts w:ascii="宋体" w:eastAsia="宋体" w:hAnsi="宋体" w:cs="宋体"/>
          <w:spacing w:val="-14"/>
          <w:sz w:val="22"/>
          <w:szCs w:val="22"/>
        </w:rPr>
        <w:t>谷物、畜禽肉约10～30μg,</w:t>
      </w:r>
      <w:r>
        <w:rPr>
          <w:rFonts w:ascii="宋体" w:eastAsia="宋体" w:hAnsi="宋体" w:cs="宋体"/>
          <w:spacing w:val="-8"/>
          <w:sz w:val="22"/>
          <w:szCs w:val="22"/>
        </w:rPr>
        <w:t xml:space="preserve"> </w:t>
      </w:r>
      <w:r>
        <w:rPr>
          <w:rFonts w:ascii="宋体" w:eastAsia="宋体" w:hAnsi="宋体" w:cs="宋体"/>
          <w:spacing w:val="-14"/>
          <w:sz w:val="22"/>
          <w:szCs w:val="22"/>
        </w:rPr>
        <w:t>蔬菜中大蒜含硒</w:t>
      </w:r>
      <w:r>
        <w:rPr>
          <w:rFonts w:ascii="宋体" w:eastAsia="宋体" w:hAnsi="宋体" w:cs="宋体"/>
          <w:sz w:val="22"/>
          <w:szCs w:val="22"/>
        </w:rPr>
        <w:t xml:space="preserve"> </w:t>
      </w:r>
      <w:r>
        <w:rPr>
          <w:rFonts w:ascii="宋体" w:eastAsia="宋体" w:hAnsi="宋体" w:cs="宋体"/>
          <w:spacing w:val="-19"/>
          <w:sz w:val="22"/>
          <w:szCs w:val="22"/>
        </w:rPr>
        <w:t>较丰富，其余蔬菜大多在3</w:t>
      </w:r>
      <w:r>
        <w:rPr>
          <w:rFonts w:ascii="宋体" w:eastAsia="宋体" w:hAnsi="宋体" w:cs="宋体"/>
          <w:spacing w:val="-44"/>
          <w:sz w:val="22"/>
          <w:szCs w:val="22"/>
        </w:rPr>
        <w:t xml:space="preserve"> </w:t>
      </w:r>
      <w:r>
        <w:rPr>
          <w:rFonts w:ascii="宋体" w:eastAsia="宋体" w:hAnsi="宋体" w:cs="宋体"/>
          <w:spacing w:val="-19"/>
          <w:sz w:val="22"/>
          <w:szCs w:val="22"/>
        </w:rPr>
        <w:t>μg</w:t>
      </w:r>
      <w:r>
        <w:rPr>
          <w:rFonts w:ascii="宋体" w:eastAsia="宋体" w:hAnsi="宋体" w:cs="宋体"/>
          <w:spacing w:val="-48"/>
          <w:sz w:val="22"/>
          <w:szCs w:val="22"/>
        </w:rPr>
        <w:t xml:space="preserve"> </w:t>
      </w:r>
      <w:r>
        <w:rPr>
          <w:rFonts w:ascii="宋体" w:eastAsia="宋体" w:hAnsi="宋体" w:cs="宋体"/>
          <w:spacing w:val="-19"/>
          <w:sz w:val="22"/>
          <w:szCs w:val="22"/>
        </w:rPr>
        <w:t>以下。</w:t>
      </w:r>
    </w:p>
    <w:p w:rsidR="00EA40A3" w:rsidRDefault="00E86C16">
      <w:pPr>
        <w:spacing w:before="148" w:line="221" w:lineRule="auto"/>
        <w:ind w:left="3"/>
        <w:outlineLvl w:val="6"/>
        <w:rPr>
          <w:rFonts w:ascii="黑体" w:eastAsia="黑体" w:hAnsi="黑体" w:cs="黑体"/>
          <w:sz w:val="26"/>
          <w:szCs w:val="26"/>
        </w:rPr>
      </w:pPr>
      <w:r>
        <w:rPr>
          <w:rFonts w:ascii="黑体" w:eastAsia="黑体" w:hAnsi="黑体" w:cs="黑体"/>
          <w:b/>
          <w:bCs/>
          <w:spacing w:val="-13"/>
          <w:sz w:val="26"/>
          <w:szCs w:val="26"/>
        </w:rPr>
        <w:t>4.1.10</w:t>
      </w:r>
      <w:r>
        <w:rPr>
          <w:rFonts w:ascii="黑体" w:eastAsia="黑体" w:hAnsi="黑体" w:cs="黑体"/>
          <w:spacing w:val="40"/>
          <w:sz w:val="26"/>
          <w:szCs w:val="26"/>
        </w:rPr>
        <w:t xml:space="preserve">  </w:t>
      </w:r>
      <w:r>
        <w:rPr>
          <w:rFonts w:ascii="黑体" w:eastAsia="黑体" w:hAnsi="黑体" w:cs="黑体"/>
          <w:b/>
          <w:bCs/>
          <w:spacing w:val="-13"/>
          <w:sz w:val="26"/>
          <w:szCs w:val="26"/>
        </w:rPr>
        <w:t>碘</w:t>
      </w:r>
    </w:p>
    <w:p w:rsidR="00EA40A3" w:rsidRDefault="00E86C16">
      <w:pPr>
        <w:spacing w:before="185" w:line="243" w:lineRule="auto"/>
        <w:ind w:right="5" w:firstLine="449"/>
        <w:jc w:val="both"/>
        <w:rPr>
          <w:rFonts w:ascii="宋体" w:eastAsia="宋体" w:hAnsi="宋体" w:cs="宋体"/>
          <w:sz w:val="22"/>
          <w:szCs w:val="22"/>
        </w:rPr>
      </w:pPr>
      <w:r>
        <w:rPr>
          <w:rFonts w:ascii="宋体" w:eastAsia="宋体" w:hAnsi="宋体" w:cs="宋体"/>
          <w:spacing w:val="-5"/>
          <w:sz w:val="22"/>
          <w:szCs w:val="22"/>
        </w:rPr>
        <w:t>成人体内仅含碘</w:t>
      </w:r>
      <w:r>
        <w:rPr>
          <w:rFonts w:ascii="宋体" w:eastAsia="宋体" w:hAnsi="宋体" w:cs="宋体"/>
          <w:spacing w:val="-51"/>
          <w:sz w:val="22"/>
          <w:szCs w:val="22"/>
        </w:rPr>
        <w:t xml:space="preserve"> </w:t>
      </w:r>
      <w:r>
        <w:rPr>
          <w:rFonts w:ascii="宋体" w:eastAsia="宋体" w:hAnsi="宋体" w:cs="宋体"/>
          <w:spacing w:val="-5"/>
          <w:sz w:val="22"/>
          <w:szCs w:val="22"/>
        </w:rPr>
        <w:t>(iodine)20～50</w:t>
      </w:r>
      <w:r>
        <w:rPr>
          <w:rFonts w:ascii="宋体" w:eastAsia="宋体" w:hAnsi="宋体" w:cs="宋体"/>
          <w:spacing w:val="27"/>
          <w:sz w:val="22"/>
          <w:szCs w:val="22"/>
        </w:rPr>
        <w:t xml:space="preserve"> </w:t>
      </w:r>
      <w:r>
        <w:rPr>
          <w:rFonts w:ascii="宋体" w:eastAsia="宋体" w:hAnsi="宋体" w:cs="宋体"/>
          <w:spacing w:val="-5"/>
          <w:sz w:val="22"/>
          <w:szCs w:val="22"/>
        </w:rPr>
        <w:t>mg,其中约15mg</w:t>
      </w:r>
      <w:r>
        <w:rPr>
          <w:rFonts w:ascii="宋体" w:eastAsia="宋体" w:hAnsi="宋体" w:cs="宋体"/>
          <w:spacing w:val="3"/>
          <w:sz w:val="22"/>
          <w:szCs w:val="22"/>
        </w:rPr>
        <w:t xml:space="preserve"> </w:t>
      </w:r>
      <w:r>
        <w:rPr>
          <w:rFonts w:ascii="宋体" w:eastAsia="宋体" w:hAnsi="宋体" w:cs="宋体"/>
          <w:spacing w:val="-5"/>
          <w:sz w:val="22"/>
          <w:szCs w:val="22"/>
        </w:rPr>
        <w:t>集中在甲状腺中，它是</w:t>
      </w:r>
      <w:r>
        <w:rPr>
          <w:rFonts w:ascii="宋体" w:eastAsia="宋体" w:hAnsi="宋体" w:cs="宋体"/>
          <w:sz w:val="22"/>
          <w:szCs w:val="22"/>
        </w:rPr>
        <w:t xml:space="preserve"> </w:t>
      </w:r>
      <w:r>
        <w:rPr>
          <w:rFonts w:ascii="宋体" w:eastAsia="宋体" w:hAnsi="宋体" w:cs="宋体"/>
          <w:spacing w:val="-17"/>
          <w:sz w:val="22"/>
          <w:szCs w:val="22"/>
        </w:rPr>
        <w:t>甲状腺素———</w:t>
      </w:r>
      <w:r>
        <w:rPr>
          <w:rFonts w:ascii="宋体" w:eastAsia="宋体" w:hAnsi="宋体" w:cs="宋体"/>
          <w:spacing w:val="-84"/>
          <w:sz w:val="22"/>
          <w:szCs w:val="22"/>
        </w:rPr>
        <w:t xml:space="preserve"> </w:t>
      </w:r>
      <w:r>
        <w:rPr>
          <w:rFonts w:ascii="宋体" w:eastAsia="宋体" w:hAnsi="宋体" w:cs="宋体"/>
          <w:spacing w:val="-17"/>
          <w:sz w:val="22"/>
          <w:szCs w:val="22"/>
        </w:rPr>
        <w:t>四碘甲状腺原氨酸</w:t>
      </w:r>
      <w:r>
        <w:rPr>
          <w:rFonts w:ascii="宋体" w:eastAsia="宋体" w:hAnsi="宋体" w:cs="宋体"/>
          <w:spacing w:val="-29"/>
          <w:sz w:val="22"/>
          <w:szCs w:val="22"/>
        </w:rPr>
        <w:t xml:space="preserve"> </w:t>
      </w:r>
      <w:r>
        <w:rPr>
          <w:rFonts w:ascii="宋体" w:eastAsia="宋体" w:hAnsi="宋体" w:cs="宋体"/>
          <w:spacing w:val="-17"/>
          <w:sz w:val="22"/>
          <w:szCs w:val="22"/>
        </w:rPr>
        <w:t>(T;)</w:t>
      </w:r>
      <w:r>
        <w:rPr>
          <w:rFonts w:ascii="宋体" w:eastAsia="宋体" w:hAnsi="宋体" w:cs="宋体"/>
          <w:spacing w:val="37"/>
          <w:sz w:val="22"/>
          <w:szCs w:val="22"/>
        </w:rPr>
        <w:t xml:space="preserve"> </w:t>
      </w:r>
      <w:r>
        <w:rPr>
          <w:rFonts w:ascii="宋体" w:eastAsia="宋体" w:hAnsi="宋体" w:cs="宋体"/>
          <w:spacing w:val="-17"/>
          <w:sz w:val="22"/>
          <w:szCs w:val="22"/>
        </w:rPr>
        <w:t>和三碘甲状腺原氨酸</w:t>
      </w:r>
      <w:r>
        <w:rPr>
          <w:rFonts w:ascii="宋体" w:eastAsia="宋体" w:hAnsi="宋体" w:cs="宋体"/>
          <w:spacing w:val="-20"/>
          <w:sz w:val="22"/>
          <w:szCs w:val="22"/>
        </w:rPr>
        <w:t xml:space="preserve"> </w:t>
      </w:r>
      <w:r>
        <w:rPr>
          <w:rFonts w:ascii="宋体" w:eastAsia="宋体" w:hAnsi="宋体" w:cs="宋体"/>
          <w:spacing w:val="-17"/>
          <w:sz w:val="22"/>
          <w:szCs w:val="22"/>
        </w:rPr>
        <w:t>(T</w:t>
      </w:r>
      <w:r>
        <w:rPr>
          <w:rFonts w:ascii="Calibri" w:eastAsia="Calibri" w:hAnsi="Calibri" w:cs="Calibri"/>
          <w:spacing w:val="-17"/>
          <w:sz w:val="22"/>
          <w:szCs w:val="22"/>
        </w:rPr>
        <w:t>₃</w:t>
      </w:r>
      <w:r>
        <w:rPr>
          <w:rFonts w:ascii="宋体" w:eastAsia="宋体" w:hAnsi="宋体" w:cs="宋体"/>
          <w:spacing w:val="-17"/>
          <w:sz w:val="22"/>
          <w:szCs w:val="22"/>
        </w:rPr>
        <w:t>)</w:t>
      </w:r>
      <w:r>
        <w:rPr>
          <w:rFonts w:ascii="宋体" w:eastAsia="宋体" w:hAnsi="宋体" w:cs="宋体"/>
          <w:spacing w:val="84"/>
          <w:sz w:val="22"/>
          <w:szCs w:val="22"/>
        </w:rPr>
        <w:t xml:space="preserve"> </w:t>
      </w:r>
      <w:r>
        <w:rPr>
          <w:rFonts w:ascii="宋体" w:eastAsia="宋体" w:hAnsi="宋体" w:cs="宋体"/>
          <w:spacing w:val="-17"/>
          <w:sz w:val="22"/>
          <w:szCs w:val="22"/>
        </w:rPr>
        <w:t>的组成</w:t>
      </w:r>
      <w:r>
        <w:rPr>
          <w:rFonts w:ascii="宋体" w:eastAsia="宋体" w:hAnsi="宋体" w:cs="宋体"/>
          <w:spacing w:val="-18"/>
          <w:sz w:val="22"/>
          <w:szCs w:val="22"/>
        </w:rPr>
        <w:t>成分，</w:t>
      </w:r>
      <w:r>
        <w:rPr>
          <w:rFonts w:ascii="宋体" w:eastAsia="宋体" w:hAnsi="宋体" w:cs="宋体"/>
          <w:sz w:val="22"/>
          <w:szCs w:val="22"/>
        </w:rPr>
        <w:t xml:space="preserve"> </w:t>
      </w:r>
      <w:r>
        <w:rPr>
          <w:rFonts w:ascii="宋体" w:eastAsia="宋体" w:hAnsi="宋体" w:cs="宋体"/>
          <w:spacing w:val="-16"/>
          <w:sz w:val="22"/>
          <w:szCs w:val="22"/>
        </w:rPr>
        <w:t>二者在代谢上具有重要的作用。</w:t>
      </w:r>
    </w:p>
    <w:p w:rsidR="00EA40A3" w:rsidRDefault="00E86C16">
      <w:pPr>
        <w:spacing w:before="206" w:line="222" w:lineRule="auto"/>
        <w:rPr>
          <w:rFonts w:ascii="仿宋" w:eastAsia="仿宋" w:hAnsi="仿宋" w:cs="仿宋"/>
          <w:sz w:val="22"/>
          <w:szCs w:val="22"/>
        </w:rPr>
      </w:pPr>
      <w:r>
        <w:rPr>
          <w:rFonts w:ascii="仿宋" w:eastAsia="仿宋" w:hAnsi="仿宋" w:cs="仿宋"/>
          <w:sz w:val="22"/>
          <w:szCs w:val="22"/>
        </w:rPr>
        <w:t>1.</w:t>
      </w:r>
      <w:r>
        <w:rPr>
          <w:rFonts w:ascii="仿宋" w:eastAsia="仿宋" w:hAnsi="仿宋" w:cs="仿宋"/>
          <w:spacing w:val="18"/>
          <w:sz w:val="22"/>
          <w:szCs w:val="22"/>
        </w:rPr>
        <w:t xml:space="preserve"> </w:t>
      </w:r>
      <w:r>
        <w:rPr>
          <w:rFonts w:ascii="仿宋" w:eastAsia="仿宋" w:hAnsi="仿宋" w:cs="仿宋"/>
          <w:sz w:val="22"/>
          <w:szCs w:val="22"/>
        </w:rPr>
        <w:t>碘的生理功能</w:t>
      </w:r>
    </w:p>
    <w:p w:rsidR="00EA40A3" w:rsidRDefault="00E86C16">
      <w:pPr>
        <w:spacing w:before="209" w:line="231" w:lineRule="auto"/>
        <w:ind w:right="66" w:firstLine="449"/>
        <w:rPr>
          <w:rFonts w:ascii="宋体" w:eastAsia="宋体" w:hAnsi="宋体" w:cs="宋体"/>
          <w:sz w:val="22"/>
          <w:szCs w:val="22"/>
        </w:rPr>
      </w:pPr>
      <w:r>
        <w:rPr>
          <w:rFonts w:ascii="宋体" w:eastAsia="宋体" w:hAnsi="宋体" w:cs="宋体"/>
          <w:spacing w:val="-13"/>
          <w:sz w:val="22"/>
          <w:szCs w:val="22"/>
        </w:rPr>
        <w:t>碘在体内主要参与甲状腺激素的合成，其生理作用也是通</w:t>
      </w:r>
      <w:r>
        <w:rPr>
          <w:rFonts w:ascii="宋体" w:eastAsia="宋体" w:hAnsi="宋体" w:cs="宋体"/>
          <w:spacing w:val="-14"/>
          <w:sz w:val="22"/>
          <w:szCs w:val="22"/>
        </w:rPr>
        <w:t>过甲状腺激素的作</w:t>
      </w:r>
      <w:r>
        <w:rPr>
          <w:rFonts w:ascii="宋体" w:eastAsia="宋体" w:hAnsi="宋体" w:cs="宋体"/>
          <w:sz w:val="22"/>
          <w:szCs w:val="22"/>
        </w:rPr>
        <w:t xml:space="preserve"> </w:t>
      </w:r>
      <w:r>
        <w:rPr>
          <w:rFonts w:ascii="宋体" w:eastAsia="宋体" w:hAnsi="宋体" w:cs="宋体"/>
          <w:spacing w:val="-16"/>
          <w:sz w:val="22"/>
          <w:szCs w:val="22"/>
        </w:rPr>
        <w:t>用表现出来的。</w:t>
      </w:r>
    </w:p>
    <w:p w:rsidR="00EA40A3" w:rsidRDefault="00E86C16">
      <w:pPr>
        <w:spacing w:before="67" w:line="241" w:lineRule="auto"/>
        <w:ind w:right="62" w:firstLine="449"/>
        <w:rPr>
          <w:rFonts w:ascii="宋体" w:eastAsia="宋体" w:hAnsi="宋体" w:cs="宋体"/>
          <w:sz w:val="22"/>
          <w:szCs w:val="22"/>
        </w:rPr>
      </w:pPr>
      <w:r>
        <w:rPr>
          <w:rFonts w:ascii="宋体" w:eastAsia="宋体" w:hAnsi="宋体" w:cs="宋体"/>
          <w:spacing w:val="-10"/>
          <w:sz w:val="22"/>
          <w:szCs w:val="22"/>
        </w:rPr>
        <w:t>(1)参与能量代谢。在蛋白质、脂类与碳水化合物的代谢中，碘促进氧化和</w:t>
      </w:r>
      <w:r>
        <w:rPr>
          <w:rFonts w:ascii="宋体" w:eastAsia="宋体" w:hAnsi="宋体" w:cs="宋体"/>
          <w:spacing w:val="16"/>
          <w:sz w:val="22"/>
          <w:szCs w:val="22"/>
        </w:rPr>
        <w:t xml:space="preserve"> </w:t>
      </w:r>
      <w:r>
        <w:rPr>
          <w:rFonts w:ascii="宋体" w:eastAsia="宋体" w:hAnsi="宋体" w:cs="宋体"/>
          <w:spacing w:val="-13"/>
          <w:sz w:val="22"/>
          <w:szCs w:val="22"/>
        </w:rPr>
        <w:t>氧化磷酸化过程；促进分解代谢、能量转换，增加氧耗量，加强产热作用；参与</w:t>
      </w:r>
      <w:r>
        <w:rPr>
          <w:rFonts w:ascii="宋体" w:eastAsia="宋体" w:hAnsi="宋体" w:cs="宋体"/>
          <w:sz w:val="22"/>
          <w:szCs w:val="22"/>
        </w:rPr>
        <w:t xml:space="preserve"> </w:t>
      </w:r>
      <w:r>
        <w:rPr>
          <w:rFonts w:ascii="宋体" w:eastAsia="宋体" w:hAnsi="宋体" w:cs="宋体"/>
          <w:spacing w:val="-14"/>
          <w:sz w:val="22"/>
          <w:szCs w:val="22"/>
        </w:rPr>
        <w:t>维持与调节体温，保持正常的新陈代谢和生命活动。</w:t>
      </w:r>
    </w:p>
    <w:p w:rsidR="00EA40A3" w:rsidRDefault="00E86C16">
      <w:pPr>
        <w:spacing w:before="37" w:line="247" w:lineRule="auto"/>
        <w:ind w:right="63" w:firstLine="449"/>
        <w:rPr>
          <w:rFonts w:ascii="宋体" w:eastAsia="宋体" w:hAnsi="宋体" w:cs="宋体"/>
          <w:sz w:val="22"/>
          <w:szCs w:val="22"/>
        </w:rPr>
      </w:pPr>
      <w:r>
        <w:rPr>
          <w:rFonts w:ascii="宋体" w:eastAsia="宋体" w:hAnsi="宋体" w:cs="宋体"/>
          <w:spacing w:val="-6"/>
          <w:sz w:val="22"/>
          <w:szCs w:val="22"/>
        </w:rPr>
        <w:t>(2)促进代谢和生长发育。甲状腺激素促进DNA</w:t>
      </w:r>
      <w:r>
        <w:rPr>
          <w:rFonts w:ascii="宋体" w:eastAsia="宋体" w:hAnsi="宋体" w:cs="宋体"/>
          <w:spacing w:val="99"/>
          <w:sz w:val="22"/>
          <w:szCs w:val="22"/>
        </w:rPr>
        <w:t xml:space="preserve"> </w:t>
      </w:r>
      <w:r>
        <w:rPr>
          <w:rFonts w:ascii="宋体" w:eastAsia="宋体" w:hAnsi="宋体" w:cs="宋体"/>
          <w:spacing w:val="-6"/>
          <w:sz w:val="22"/>
          <w:szCs w:val="22"/>
        </w:rPr>
        <w:t>及蛋白质合成、维生素的</w:t>
      </w:r>
      <w:r>
        <w:rPr>
          <w:rFonts w:ascii="宋体" w:eastAsia="宋体" w:hAnsi="宋体" w:cs="宋体"/>
          <w:sz w:val="22"/>
          <w:szCs w:val="22"/>
        </w:rPr>
        <w:t xml:space="preserve"> </w:t>
      </w:r>
      <w:r>
        <w:rPr>
          <w:rFonts w:ascii="宋体" w:eastAsia="宋体" w:hAnsi="宋体" w:cs="宋体"/>
          <w:spacing w:val="-12"/>
          <w:sz w:val="22"/>
          <w:szCs w:val="22"/>
        </w:rPr>
        <w:t>吸收和利用，并有活化许多重要的酶的作用，包括细</w:t>
      </w:r>
      <w:r>
        <w:rPr>
          <w:rFonts w:ascii="宋体" w:eastAsia="宋体" w:hAnsi="宋体" w:cs="宋体"/>
          <w:spacing w:val="-13"/>
          <w:sz w:val="22"/>
          <w:szCs w:val="22"/>
        </w:rPr>
        <w:t>胞色素酶系、琥珀酸氧化酶</w:t>
      </w:r>
      <w:r>
        <w:rPr>
          <w:rFonts w:ascii="宋体" w:eastAsia="宋体" w:hAnsi="宋体" w:cs="宋体"/>
          <w:sz w:val="22"/>
          <w:szCs w:val="22"/>
        </w:rPr>
        <w:t xml:space="preserve"> </w:t>
      </w:r>
      <w:r>
        <w:rPr>
          <w:rFonts w:ascii="宋体" w:eastAsia="宋体" w:hAnsi="宋体" w:cs="宋体"/>
          <w:spacing w:val="-10"/>
          <w:sz w:val="22"/>
          <w:szCs w:val="22"/>
        </w:rPr>
        <w:t>系等100多种，对生物氧化和代谢都有促进作用。甲状腺素是维持细胞的分化与</w:t>
      </w:r>
      <w:r>
        <w:rPr>
          <w:rFonts w:ascii="宋体" w:eastAsia="宋体" w:hAnsi="宋体" w:cs="宋体"/>
          <w:spacing w:val="16"/>
          <w:sz w:val="22"/>
          <w:szCs w:val="22"/>
        </w:rPr>
        <w:t xml:space="preserve"> </w:t>
      </w:r>
      <w:r>
        <w:rPr>
          <w:rFonts w:ascii="宋体" w:eastAsia="宋体" w:hAnsi="宋体" w:cs="宋体"/>
          <w:spacing w:val="-13"/>
          <w:sz w:val="22"/>
          <w:szCs w:val="22"/>
        </w:rPr>
        <w:t>生长所必需的，发育期儿童的身高、体重、肌肉、骨骼的增长和性发</w:t>
      </w:r>
      <w:r>
        <w:rPr>
          <w:rFonts w:ascii="宋体" w:eastAsia="宋体" w:hAnsi="宋体" w:cs="宋体"/>
          <w:spacing w:val="-14"/>
          <w:sz w:val="22"/>
          <w:szCs w:val="22"/>
        </w:rPr>
        <w:t>育都必须有</w:t>
      </w:r>
      <w:r>
        <w:rPr>
          <w:rFonts w:ascii="宋体" w:eastAsia="宋体" w:hAnsi="宋体" w:cs="宋体"/>
          <w:sz w:val="22"/>
          <w:szCs w:val="22"/>
        </w:rPr>
        <w:t xml:space="preserve"> </w:t>
      </w:r>
      <w:r>
        <w:rPr>
          <w:rFonts w:ascii="宋体" w:eastAsia="宋体" w:hAnsi="宋体" w:cs="宋体"/>
          <w:spacing w:val="-13"/>
          <w:sz w:val="22"/>
          <w:szCs w:val="22"/>
        </w:rPr>
        <w:t>甲状腺激素的参与，此时期碘缺乏可致儿童生长发育受阻，侏儒症的</w:t>
      </w:r>
      <w:r>
        <w:rPr>
          <w:rFonts w:ascii="宋体" w:eastAsia="宋体" w:hAnsi="宋体" w:cs="宋体"/>
          <w:spacing w:val="-14"/>
          <w:sz w:val="22"/>
          <w:szCs w:val="22"/>
        </w:rPr>
        <w:t>一个最主要</w:t>
      </w:r>
      <w:r>
        <w:rPr>
          <w:rFonts w:ascii="宋体" w:eastAsia="宋体" w:hAnsi="宋体" w:cs="宋体"/>
          <w:sz w:val="22"/>
          <w:szCs w:val="22"/>
        </w:rPr>
        <w:t xml:space="preserve"> </w:t>
      </w:r>
      <w:r>
        <w:rPr>
          <w:rFonts w:ascii="宋体" w:eastAsia="宋体" w:hAnsi="宋体" w:cs="宋体"/>
          <w:spacing w:val="-16"/>
          <w:sz w:val="22"/>
          <w:szCs w:val="22"/>
        </w:rPr>
        <w:t>病因就是缺碘：</w:t>
      </w:r>
    </w:p>
    <w:p w:rsidR="00EA40A3" w:rsidRDefault="00E86C16">
      <w:pPr>
        <w:spacing w:before="35" w:line="244" w:lineRule="auto"/>
        <w:ind w:firstLine="449"/>
        <w:rPr>
          <w:rFonts w:ascii="宋体" w:eastAsia="宋体" w:hAnsi="宋体" w:cs="宋体"/>
          <w:sz w:val="22"/>
          <w:szCs w:val="22"/>
        </w:rPr>
      </w:pPr>
      <w:r>
        <w:rPr>
          <w:rFonts w:ascii="宋体" w:eastAsia="宋体" w:hAnsi="宋体" w:cs="宋体"/>
          <w:spacing w:val="-10"/>
          <w:sz w:val="22"/>
          <w:szCs w:val="22"/>
        </w:rPr>
        <w:t>(3)促进神经系统发育。在脑发育阶段，神经元的迁移及分化、神经突起的</w:t>
      </w:r>
      <w:r>
        <w:rPr>
          <w:rFonts w:ascii="宋体" w:eastAsia="宋体" w:hAnsi="宋体" w:cs="宋体"/>
          <w:spacing w:val="15"/>
          <w:sz w:val="22"/>
          <w:szCs w:val="22"/>
        </w:rPr>
        <w:t xml:space="preserve"> </w:t>
      </w:r>
      <w:r>
        <w:rPr>
          <w:rFonts w:ascii="宋体" w:eastAsia="宋体" w:hAnsi="宋体" w:cs="宋体"/>
          <w:spacing w:val="-13"/>
          <w:sz w:val="22"/>
          <w:szCs w:val="22"/>
        </w:rPr>
        <w:t>分化和发育，都需要甲状腺激素的参与。胚胎期及出生后早期缺碘</w:t>
      </w:r>
      <w:r>
        <w:rPr>
          <w:rFonts w:ascii="宋体" w:eastAsia="宋体" w:hAnsi="宋体" w:cs="宋体"/>
          <w:spacing w:val="-14"/>
          <w:sz w:val="22"/>
          <w:szCs w:val="22"/>
        </w:rPr>
        <w:t>或甲状腺激素</w:t>
      </w:r>
      <w:r>
        <w:rPr>
          <w:rFonts w:ascii="宋体" w:eastAsia="宋体" w:hAnsi="宋体" w:cs="宋体"/>
          <w:sz w:val="22"/>
          <w:szCs w:val="22"/>
        </w:rPr>
        <w:t xml:space="preserve">  </w:t>
      </w:r>
      <w:r>
        <w:rPr>
          <w:rFonts w:ascii="宋体" w:eastAsia="宋体" w:hAnsi="宋体" w:cs="宋体"/>
          <w:spacing w:val="-10"/>
          <w:sz w:val="22"/>
          <w:szCs w:val="22"/>
        </w:rPr>
        <w:t>不足，均会影响神经细胞的增殖分化，导致脑质量减轻</w:t>
      </w:r>
      <w:r>
        <w:rPr>
          <w:rFonts w:ascii="宋体" w:eastAsia="宋体" w:hAnsi="宋体" w:cs="宋体"/>
          <w:spacing w:val="-11"/>
          <w:sz w:val="22"/>
          <w:szCs w:val="22"/>
        </w:rPr>
        <w:t>，直接影响到智力发育。</w:t>
      </w:r>
      <w:r>
        <w:rPr>
          <w:rFonts w:ascii="宋体" w:eastAsia="宋体" w:hAnsi="宋体" w:cs="宋体"/>
          <w:sz w:val="22"/>
          <w:szCs w:val="22"/>
        </w:rPr>
        <w:t xml:space="preserve"> </w:t>
      </w:r>
      <w:r>
        <w:rPr>
          <w:rFonts w:ascii="宋体" w:eastAsia="宋体" w:hAnsi="宋体" w:cs="宋体"/>
          <w:spacing w:val="-15"/>
          <w:sz w:val="22"/>
          <w:szCs w:val="22"/>
        </w:rPr>
        <w:t>缺碘对大脑神经的损害是不可逆的。</w:t>
      </w:r>
    </w:p>
    <w:p w:rsidR="00EA40A3" w:rsidRDefault="00E86C16">
      <w:pPr>
        <w:spacing w:before="39" w:line="241" w:lineRule="auto"/>
        <w:ind w:right="69" w:firstLine="449"/>
        <w:rPr>
          <w:rFonts w:ascii="宋体" w:eastAsia="宋体" w:hAnsi="宋体" w:cs="宋体"/>
          <w:sz w:val="22"/>
          <w:szCs w:val="22"/>
        </w:rPr>
      </w:pPr>
      <w:r>
        <w:rPr>
          <w:rFonts w:ascii="宋体" w:eastAsia="宋体" w:hAnsi="宋体" w:cs="宋体"/>
          <w:spacing w:val="-10"/>
          <w:sz w:val="22"/>
          <w:szCs w:val="22"/>
        </w:rPr>
        <w:t>(4)垂体激素作用。碘代谢与甲状腺激素合成、释放及功能作用受垂体前叶</w:t>
      </w:r>
      <w:r>
        <w:rPr>
          <w:rFonts w:ascii="宋体" w:eastAsia="宋体" w:hAnsi="宋体" w:cs="宋体"/>
          <w:spacing w:val="9"/>
          <w:sz w:val="22"/>
          <w:szCs w:val="22"/>
        </w:rPr>
        <w:t xml:space="preserve"> </w:t>
      </w:r>
      <w:r>
        <w:rPr>
          <w:rFonts w:ascii="宋体" w:eastAsia="宋体" w:hAnsi="宋体" w:cs="宋体"/>
          <w:spacing w:val="-12"/>
          <w:sz w:val="22"/>
          <w:szCs w:val="22"/>
        </w:rPr>
        <w:t>促甲状腺激素</w:t>
      </w:r>
      <w:r>
        <w:rPr>
          <w:rFonts w:ascii="宋体" w:eastAsia="宋体" w:hAnsi="宋体" w:cs="宋体"/>
          <w:spacing w:val="7"/>
          <w:sz w:val="22"/>
          <w:szCs w:val="22"/>
        </w:rPr>
        <w:t xml:space="preserve"> </w:t>
      </w:r>
      <w:r>
        <w:rPr>
          <w:rFonts w:ascii="宋体" w:eastAsia="宋体" w:hAnsi="宋体" w:cs="宋体"/>
          <w:spacing w:val="-12"/>
          <w:sz w:val="22"/>
          <w:szCs w:val="22"/>
        </w:rPr>
        <w:t>(TSH)</w:t>
      </w:r>
      <w:r>
        <w:rPr>
          <w:rFonts w:ascii="宋体" w:eastAsia="宋体" w:hAnsi="宋体" w:cs="宋体"/>
          <w:spacing w:val="13"/>
          <w:sz w:val="22"/>
          <w:szCs w:val="22"/>
        </w:rPr>
        <w:t xml:space="preserve">  </w:t>
      </w:r>
      <w:r>
        <w:rPr>
          <w:rFonts w:ascii="宋体" w:eastAsia="宋体" w:hAnsi="宋体" w:cs="宋体"/>
          <w:spacing w:val="-12"/>
          <w:sz w:val="22"/>
          <w:szCs w:val="22"/>
        </w:rPr>
        <w:t>的调节，</w:t>
      </w:r>
      <w:r>
        <w:rPr>
          <w:rFonts w:ascii="宋体" w:eastAsia="宋体" w:hAnsi="宋体" w:cs="宋体"/>
          <w:spacing w:val="-29"/>
          <w:sz w:val="22"/>
          <w:szCs w:val="22"/>
        </w:rPr>
        <w:t xml:space="preserve"> </w:t>
      </w:r>
      <w:r>
        <w:rPr>
          <w:rFonts w:ascii="宋体" w:eastAsia="宋体" w:hAnsi="宋体" w:cs="宋体"/>
          <w:spacing w:val="-12"/>
          <w:sz w:val="22"/>
          <w:szCs w:val="22"/>
        </w:rPr>
        <w:t>TSH</w:t>
      </w:r>
      <w:r>
        <w:rPr>
          <w:rFonts w:ascii="宋体" w:eastAsia="宋体" w:hAnsi="宋体" w:cs="宋体"/>
          <w:spacing w:val="76"/>
          <w:sz w:val="22"/>
          <w:szCs w:val="22"/>
        </w:rPr>
        <w:t xml:space="preserve"> </w:t>
      </w:r>
      <w:r>
        <w:rPr>
          <w:rFonts w:ascii="宋体" w:eastAsia="宋体" w:hAnsi="宋体" w:cs="宋体"/>
          <w:spacing w:val="-12"/>
          <w:sz w:val="22"/>
          <w:szCs w:val="22"/>
        </w:rPr>
        <w:t>的分泌则受血浆甲状腺激素浓度的反馈影</w:t>
      </w:r>
      <w:r>
        <w:rPr>
          <w:rFonts w:ascii="宋体" w:eastAsia="宋体" w:hAnsi="宋体" w:cs="宋体"/>
          <w:sz w:val="22"/>
          <w:szCs w:val="22"/>
        </w:rPr>
        <w:t xml:space="preserve"> </w:t>
      </w:r>
      <w:r>
        <w:rPr>
          <w:rFonts w:ascii="宋体" w:eastAsia="宋体" w:hAnsi="宋体" w:cs="宋体"/>
          <w:spacing w:val="-13"/>
          <w:sz w:val="22"/>
          <w:szCs w:val="22"/>
        </w:rPr>
        <w:t>响。碘、甲状腺激素与中枢神经系统关系至为密切。</w:t>
      </w:r>
    </w:p>
    <w:p w:rsidR="00EA40A3" w:rsidRDefault="00E86C16">
      <w:pPr>
        <w:spacing w:before="268" w:line="223" w:lineRule="auto"/>
        <w:rPr>
          <w:rFonts w:ascii="仿宋" w:eastAsia="仿宋" w:hAnsi="仿宋" w:cs="仿宋"/>
          <w:sz w:val="22"/>
          <w:szCs w:val="22"/>
        </w:rPr>
      </w:pPr>
      <w:r>
        <w:rPr>
          <w:rFonts w:ascii="仿宋" w:eastAsia="仿宋" w:hAnsi="仿宋" w:cs="仿宋"/>
          <w:spacing w:val="2"/>
          <w:sz w:val="22"/>
          <w:szCs w:val="22"/>
        </w:rPr>
        <w:t>2.</w:t>
      </w:r>
      <w:r>
        <w:rPr>
          <w:rFonts w:ascii="仿宋" w:eastAsia="仿宋" w:hAnsi="仿宋" w:cs="仿宋"/>
          <w:spacing w:val="28"/>
          <w:sz w:val="22"/>
          <w:szCs w:val="22"/>
        </w:rPr>
        <w:t xml:space="preserve"> </w:t>
      </w:r>
      <w:r>
        <w:rPr>
          <w:rFonts w:ascii="仿宋" w:eastAsia="仿宋" w:hAnsi="仿宋" w:cs="仿宋"/>
          <w:spacing w:val="2"/>
          <w:sz w:val="22"/>
          <w:szCs w:val="22"/>
        </w:rPr>
        <w:t>碘的吸收与代谢</w:t>
      </w:r>
    </w:p>
    <w:p w:rsidR="00EA40A3" w:rsidRDefault="00E86C16">
      <w:pPr>
        <w:spacing w:before="207" w:line="243" w:lineRule="auto"/>
        <w:ind w:right="60" w:firstLine="449"/>
        <w:rPr>
          <w:rFonts w:ascii="宋体" w:eastAsia="宋体" w:hAnsi="宋体" w:cs="宋体"/>
          <w:sz w:val="22"/>
          <w:szCs w:val="22"/>
        </w:rPr>
      </w:pPr>
      <w:r>
        <w:rPr>
          <w:rFonts w:ascii="宋体" w:eastAsia="宋体" w:hAnsi="宋体" w:cs="宋体"/>
          <w:spacing w:val="-9"/>
          <w:sz w:val="22"/>
          <w:szCs w:val="22"/>
        </w:rPr>
        <w:t>人从食物、水及空气中每日摄取的碘总量约100～300μg,</w:t>
      </w:r>
      <w:r>
        <w:rPr>
          <w:rFonts w:ascii="宋体" w:eastAsia="宋体" w:hAnsi="宋体" w:cs="宋体"/>
          <w:spacing w:val="-1"/>
          <w:sz w:val="22"/>
          <w:szCs w:val="22"/>
        </w:rPr>
        <w:t xml:space="preserve"> </w:t>
      </w:r>
      <w:r>
        <w:rPr>
          <w:rFonts w:ascii="宋体" w:eastAsia="宋体" w:hAnsi="宋体" w:cs="宋体"/>
          <w:spacing w:val="-9"/>
          <w:sz w:val="22"/>
          <w:szCs w:val="22"/>
        </w:rPr>
        <w:t>主要以碘化物的</w:t>
      </w:r>
      <w:r>
        <w:rPr>
          <w:rFonts w:ascii="宋体" w:eastAsia="宋体" w:hAnsi="宋体" w:cs="宋体"/>
          <w:sz w:val="22"/>
          <w:szCs w:val="22"/>
        </w:rPr>
        <w:t xml:space="preserve"> 形式由消化道吸收，肺、皮肤及黏膜也可吸收极微量的碘。人体碘的来源约</w:t>
      </w:r>
    </w:p>
    <w:p w:rsidR="00EA40A3" w:rsidRDefault="00E86C16">
      <w:pPr>
        <w:spacing w:before="121" w:line="241" w:lineRule="auto"/>
        <w:ind w:right="115"/>
        <w:jc w:val="right"/>
        <w:rPr>
          <w:rFonts w:ascii="宋体" w:eastAsia="宋体" w:hAnsi="宋体" w:cs="宋体"/>
          <w:sz w:val="15"/>
          <w:szCs w:val="15"/>
        </w:rPr>
      </w:pPr>
      <w:r>
        <w:rPr>
          <w:rFonts w:ascii="宋体" w:eastAsia="宋体" w:hAnsi="宋体" w:cs="宋体"/>
          <w:spacing w:val="-15"/>
          <w:sz w:val="15"/>
          <w:szCs w:val="15"/>
        </w:rPr>
        <w:t>·</w:t>
      </w:r>
      <w:r>
        <w:rPr>
          <w:rFonts w:ascii="宋体" w:eastAsia="宋体" w:hAnsi="宋体" w:cs="宋体"/>
          <w:spacing w:val="2"/>
          <w:sz w:val="15"/>
          <w:szCs w:val="15"/>
        </w:rPr>
        <w:t xml:space="preserve"> </w:t>
      </w:r>
      <w:r>
        <w:rPr>
          <w:rFonts w:ascii="宋体" w:eastAsia="宋体" w:hAnsi="宋体" w:cs="宋体"/>
          <w:spacing w:val="-15"/>
          <w:sz w:val="15"/>
          <w:szCs w:val="15"/>
        </w:rPr>
        <w:t>111</w:t>
      </w:r>
      <w:r>
        <w:rPr>
          <w:rFonts w:ascii="宋体" w:eastAsia="宋体" w:hAnsi="宋体" w:cs="宋体"/>
          <w:spacing w:val="8"/>
          <w:sz w:val="15"/>
          <w:szCs w:val="15"/>
        </w:rPr>
        <w:t xml:space="preserve">  </w:t>
      </w:r>
      <w:r>
        <w:rPr>
          <w:rFonts w:ascii="宋体" w:eastAsia="宋体" w:hAnsi="宋体" w:cs="宋体"/>
          <w:spacing w:val="-15"/>
          <w:sz w:val="15"/>
          <w:szCs w:val="15"/>
        </w:rPr>
        <w:t>·</w:t>
      </w:r>
    </w:p>
    <w:p w:rsidR="00EA40A3" w:rsidRDefault="00EA40A3">
      <w:pPr>
        <w:sectPr w:rsidR="00EA40A3">
          <w:pgSz w:w="9220" w:h="13360"/>
          <w:pgMar w:top="400" w:right="1080" w:bottom="400" w:left="800" w:header="0" w:footer="0" w:gutter="0"/>
          <w:cols w:space="720"/>
        </w:sectPr>
      </w:pPr>
    </w:p>
    <w:p w:rsidR="00EA40A3" w:rsidRDefault="00EA40A3">
      <w:pPr>
        <w:spacing w:line="302" w:lineRule="auto"/>
      </w:pPr>
    </w:p>
    <w:p w:rsidR="00EA40A3" w:rsidRDefault="00EA40A3">
      <w:pPr>
        <w:spacing w:line="30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6"/>
          <w:sz w:val="22"/>
          <w:szCs w:val="22"/>
        </w:rPr>
        <w:t>80%～90%来自食物，10%～20%来自饮水，低于5%的碘来自空气。</w:t>
      </w:r>
    </w:p>
    <w:p w:rsidR="00EA40A3" w:rsidRDefault="00E86C16">
      <w:pPr>
        <w:spacing w:before="50" w:line="260" w:lineRule="auto"/>
        <w:ind w:firstLine="449"/>
        <w:jc w:val="both"/>
        <w:rPr>
          <w:rFonts w:ascii="宋体" w:eastAsia="宋体" w:hAnsi="宋体" w:cs="宋体"/>
          <w:sz w:val="22"/>
          <w:szCs w:val="22"/>
        </w:rPr>
      </w:pPr>
      <w:r>
        <w:rPr>
          <w:rFonts w:ascii="宋体" w:eastAsia="宋体" w:hAnsi="宋体" w:cs="宋体"/>
          <w:spacing w:val="-6"/>
          <w:sz w:val="22"/>
          <w:szCs w:val="22"/>
        </w:rPr>
        <w:t>食物中的碘进入消化道后，1h</w:t>
      </w:r>
      <w:r>
        <w:rPr>
          <w:rFonts w:ascii="宋体" w:eastAsia="宋体" w:hAnsi="宋体" w:cs="宋体"/>
          <w:spacing w:val="-33"/>
          <w:sz w:val="22"/>
          <w:szCs w:val="22"/>
        </w:rPr>
        <w:t xml:space="preserve"> </w:t>
      </w:r>
      <w:r>
        <w:rPr>
          <w:rFonts w:ascii="宋体" w:eastAsia="宋体" w:hAnsi="宋体" w:cs="宋体"/>
          <w:spacing w:val="-6"/>
          <w:sz w:val="22"/>
          <w:szCs w:val="22"/>
        </w:rPr>
        <w:t>内大部分被吸收，以Ⅱ形式进入血液循环，</w:t>
      </w:r>
      <w:r>
        <w:rPr>
          <w:rFonts w:ascii="宋体" w:eastAsia="宋体" w:hAnsi="宋体" w:cs="宋体"/>
          <w:sz w:val="22"/>
          <w:szCs w:val="22"/>
        </w:rPr>
        <w:t xml:space="preserve"> </w:t>
      </w:r>
      <w:r>
        <w:rPr>
          <w:rFonts w:ascii="宋体" w:eastAsia="宋体" w:hAnsi="宋体" w:cs="宋体"/>
          <w:spacing w:val="-13"/>
          <w:sz w:val="22"/>
          <w:szCs w:val="22"/>
        </w:rPr>
        <w:t>并在肾脏、唾液腺、胃黏膜及甲状腺等处浓集，但只有甲状腺能利用碘合成甲状</w:t>
      </w:r>
      <w:r>
        <w:rPr>
          <w:rFonts w:ascii="宋体" w:eastAsia="宋体" w:hAnsi="宋体" w:cs="宋体"/>
          <w:spacing w:val="1"/>
          <w:sz w:val="22"/>
          <w:szCs w:val="22"/>
        </w:rPr>
        <w:t xml:space="preserve">  </w:t>
      </w:r>
      <w:r>
        <w:rPr>
          <w:rFonts w:ascii="宋体" w:eastAsia="宋体" w:hAnsi="宋体" w:cs="宋体"/>
          <w:spacing w:val="-7"/>
          <w:sz w:val="22"/>
          <w:szCs w:val="22"/>
        </w:rPr>
        <w:t>腺素，而且浓集碘的能力最强。被浓集在甲状腺滤泡细胞内的I,</w:t>
      </w:r>
      <w:r>
        <w:rPr>
          <w:rFonts w:ascii="宋体" w:eastAsia="宋体" w:hAnsi="宋体" w:cs="宋体"/>
          <w:spacing w:val="3"/>
          <w:sz w:val="22"/>
          <w:szCs w:val="22"/>
        </w:rPr>
        <w:t xml:space="preserve">  </w:t>
      </w:r>
      <w:r>
        <w:rPr>
          <w:rFonts w:ascii="宋体" w:eastAsia="宋体" w:hAnsi="宋体" w:cs="宋体"/>
          <w:spacing w:val="-7"/>
          <w:sz w:val="22"/>
          <w:szCs w:val="22"/>
        </w:rPr>
        <w:t>通过过氧化</w:t>
      </w:r>
      <w:r>
        <w:rPr>
          <w:rFonts w:ascii="宋体" w:eastAsia="宋体" w:hAnsi="宋体" w:cs="宋体"/>
          <w:sz w:val="22"/>
          <w:szCs w:val="22"/>
        </w:rPr>
        <w:t xml:space="preserve">  </w:t>
      </w:r>
      <w:r>
        <w:rPr>
          <w:rFonts w:ascii="宋体" w:eastAsia="宋体" w:hAnsi="宋体" w:cs="宋体"/>
          <w:spacing w:val="-15"/>
          <w:sz w:val="22"/>
          <w:szCs w:val="22"/>
        </w:rPr>
        <w:t>物酶的作用迅速氧化成I°,I°又立即与已激活的酪氨酸结合生成一碘酪</w:t>
      </w:r>
      <w:r>
        <w:rPr>
          <w:rFonts w:ascii="宋体" w:eastAsia="宋体" w:hAnsi="宋体" w:cs="宋体"/>
          <w:spacing w:val="-16"/>
          <w:sz w:val="22"/>
          <w:szCs w:val="22"/>
        </w:rPr>
        <w:t>氨酸和二</w:t>
      </w:r>
      <w:r>
        <w:rPr>
          <w:rFonts w:ascii="宋体" w:eastAsia="宋体" w:hAnsi="宋体" w:cs="宋体"/>
          <w:sz w:val="22"/>
          <w:szCs w:val="22"/>
        </w:rPr>
        <w:t xml:space="preserve">  </w:t>
      </w:r>
      <w:r>
        <w:rPr>
          <w:rFonts w:ascii="宋体" w:eastAsia="宋体" w:hAnsi="宋体" w:cs="宋体"/>
          <w:spacing w:val="-9"/>
          <w:sz w:val="22"/>
          <w:szCs w:val="22"/>
        </w:rPr>
        <w:t>碘酪氨酸，二者再经耦合作用生成有活性的甲状腺素，即前述的T</w:t>
      </w:r>
      <w:r>
        <w:rPr>
          <w:rFonts w:ascii="Calibri" w:eastAsia="Calibri" w:hAnsi="Calibri" w:cs="Calibri"/>
          <w:spacing w:val="-9"/>
          <w:sz w:val="22"/>
          <w:szCs w:val="22"/>
        </w:rPr>
        <w:t>₄</w:t>
      </w:r>
      <w:r>
        <w:rPr>
          <w:rFonts w:ascii="Calibri" w:eastAsia="Calibri" w:hAnsi="Calibri" w:cs="Calibri"/>
          <w:spacing w:val="7"/>
          <w:sz w:val="22"/>
          <w:szCs w:val="22"/>
        </w:rPr>
        <w:t xml:space="preserve">  </w:t>
      </w:r>
      <w:r>
        <w:rPr>
          <w:rFonts w:ascii="宋体" w:eastAsia="宋体" w:hAnsi="宋体" w:cs="宋体"/>
          <w:spacing w:val="-9"/>
          <w:sz w:val="22"/>
          <w:szCs w:val="22"/>
        </w:rPr>
        <w:t>和T</w:t>
      </w:r>
      <w:r>
        <w:rPr>
          <w:rFonts w:ascii="Calibri" w:eastAsia="Calibri" w:hAnsi="Calibri" w:cs="Calibri"/>
          <w:spacing w:val="-9"/>
          <w:sz w:val="22"/>
          <w:szCs w:val="22"/>
        </w:rPr>
        <w:t>₃</w:t>
      </w:r>
      <w:r>
        <w:rPr>
          <w:rFonts w:ascii="宋体" w:eastAsia="宋体" w:hAnsi="宋体" w:cs="宋体"/>
          <w:spacing w:val="-9"/>
          <w:sz w:val="22"/>
          <w:szCs w:val="22"/>
        </w:rPr>
        <w:t>,</w:t>
      </w:r>
      <w:r>
        <w:rPr>
          <w:rFonts w:ascii="宋体" w:eastAsia="宋体" w:hAnsi="宋体" w:cs="宋体"/>
          <w:spacing w:val="43"/>
          <w:sz w:val="22"/>
          <w:szCs w:val="22"/>
        </w:rPr>
        <w:t xml:space="preserve"> </w:t>
      </w:r>
      <w:r>
        <w:rPr>
          <w:rFonts w:ascii="宋体" w:eastAsia="宋体" w:hAnsi="宋体" w:cs="宋体"/>
          <w:spacing w:val="-9"/>
          <w:sz w:val="22"/>
          <w:szCs w:val="22"/>
        </w:rPr>
        <w:t>并被</w:t>
      </w:r>
      <w:r>
        <w:rPr>
          <w:rFonts w:ascii="宋体" w:eastAsia="宋体" w:hAnsi="宋体" w:cs="宋体"/>
          <w:sz w:val="22"/>
          <w:szCs w:val="22"/>
        </w:rPr>
        <w:t xml:space="preserve">  </w:t>
      </w:r>
      <w:r>
        <w:rPr>
          <w:rFonts w:ascii="宋体" w:eastAsia="宋体" w:hAnsi="宋体" w:cs="宋体"/>
          <w:spacing w:val="-15"/>
          <w:sz w:val="22"/>
          <w:szCs w:val="22"/>
        </w:rPr>
        <w:t>储存于体内唯一储存碘的甲状腺内。</w:t>
      </w:r>
    </w:p>
    <w:p w:rsidR="00EA40A3" w:rsidRDefault="00E86C16">
      <w:pPr>
        <w:spacing w:before="90" w:line="241" w:lineRule="auto"/>
        <w:ind w:right="102" w:firstLine="449"/>
        <w:jc w:val="both"/>
        <w:rPr>
          <w:rFonts w:ascii="宋体" w:eastAsia="宋体" w:hAnsi="宋体" w:cs="宋体"/>
          <w:sz w:val="22"/>
          <w:szCs w:val="22"/>
        </w:rPr>
      </w:pPr>
      <w:r>
        <w:rPr>
          <w:rFonts w:ascii="宋体" w:eastAsia="宋体" w:hAnsi="宋体" w:cs="宋体"/>
          <w:spacing w:val="-13"/>
          <w:sz w:val="22"/>
          <w:szCs w:val="22"/>
        </w:rPr>
        <w:t>在代谢过程中，甲状腺素分解脱下的碘，部分</w:t>
      </w:r>
      <w:r>
        <w:rPr>
          <w:rFonts w:ascii="宋体" w:eastAsia="宋体" w:hAnsi="宋体" w:cs="宋体"/>
          <w:spacing w:val="-14"/>
          <w:sz w:val="22"/>
          <w:szCs w:val="22"/>
        </w:rPr>
        <w:t>被重新利用，部分通过肾脏排</w:t>
      </w:r>
      <w:r>
        <w:rPr>
          <w:rFonts w:ascii="宋体" w:eastAsia="宋体" w:hAnsi="宋体" w:cs="宋体"/>
          <w:sz w:val="22"/>
          <w:szCs w:val="22"/>
        </w:rPr>
        <w:t xml:space="preserve"> </w:t>
      </w:r>
      <w:r>
        <w:rPr>
          <w:rFonts w:ascii="宋体" w:eastAsia="宋体" w:hAnsi="宋体" w:cs="宋体"/>
          <w:spacing w:val="-14"/>
          <w:sz w:val="22"/>
          <w:szCs w:val="22"/>
        </w:rPr>
        <w:t>出体外，部分在肝内合成甲状腺素葡萄糖酸酯或硫酸酯</w:t>
      </w:r>
      <w:r>
        <w:rPr>
          <w:rFonts w:ascii="宋体" w:eastAsia="宋体" w:hAnsi="宋体" w:cs="宋体"/>
          <w:spacing w:val="-15"/>
          <w:sz w:val="22"/>
          <w:szCs w:val="22"/>
        </w:rPr>
        <w:t>，随胆汁入小肠，从粪便</w:t>
      </w:r>
      <w:r>
        <w:rPr>
          <w:rFonts w:ascii="宋体" w:eastAsia="宋体" w:hAnsi="宋体" w:cs="宋体"/>
          <w:sz w:val="22"/>
          <w:szCs w:val="22"/>
        </w:rPr>
        <w:t xml:space="preserve"> </w:t>
      </w:r>
      <w:r>
        <w:rPr>
          <w:rFonts w:ascii="宋体" w:eastAsia="宋体" w:hAnsi="宋体" w:cs="宋体"/>
          <w:spacing w:val="-15"/>
          <w:sz w:val="22"/>
          <w:szCs w:val="22"/>
        </w:rPr>
        <w:t>排出体外。</w:t>
      </w:r>
    </w:p>
    <w:p w:rsidR="00EA40A3" w:rsidRDefault="00E86C16">
      <w:pPr>
        <w:spacing w:before="218" w:line="225" w:lineRule="auto"/>
        <w:rPr>
          <w:rFonts w:ascii="仿宋" w:eastAsia="仿宋" w:hAnsi="仿宋" w:cs="仿宋"/>
          <w:sz w:val="22"/>
          <w:szCs w:val="22"/>
        </w:rPr>
      </w:pPr>
      <w:r>
        <w:rPr>
          <w:rFonts w:ascii="仿宋" w:eastAsia="仿宋" w:hAnsi="仿宋" w:cs="仿宋"/>
          <w:spacing w:val="-1"/>
          <w:sz w:val="22"/>
          <w:szCs w:val="22"/>
        </w:rPr>
        <w:t>3.</w:t>
      </w:r>
      <w:r>
        <w:rPr>
          <w:rFonts w:ascii="仿宋" w:eastAsia="仿宋" w:hAnsi="仿宋" w:cs="仿宋"/>
          <w:spacing w:val="56"/>
          <w:sz w:val="22"/>
          <w:szCs w:val="22"/>
        </w:rPr>
        <w:t xml:space="preserve"> </w:t>
      </w:r>
      <w:r>
        <w:rPr>
          <w:rFonts w:ascii="仿宋" w:eastAsia="仿宋" w:hAnsi="仿宋" w:cs="仿宋"/>
          <w:spacing w:val="-1"/>
          <w:sz w:val="22"/>
          <w:szCs w:val="22"/>
        </w:rPr>
        <w:t>碘缺乏及过量</w:t>
      </w:r>
    </w:p>
    <w:p w:rsidR="00EA40A3" w:rsidRDefault="00E86C16">
      <w:pPr>
        <w:spacing w:before="202" w:line="253" w:lineRule="auto"/>
        <w:ind w:right="108" w:firstLine="449"/>
        <w:jc w:val="both"/>
        <w:rPr>
          <w:rFonts w:ascii="宋体" w:eastAsia="宋体" w:hAnsi="宋体" w:cs="宋体"/>
          <w:sz w:val="22"/>
          <w:szCs w:val="22"/>
        </w:rPr>
      </w:pPr>
      <w:r>
        <w:rPr>
          <w:rFonts w:ascii="宋体" w:eastAsia="宋体" w:hAnsi="宋体" w:cs="宋体"/>
          <w:sz w:val="22"/>
          <w:szCs w:val="22"/>
        </w:rPr>
        <w:t>地方性甲状腺肿(简称地甲肿)与地方性克汀病(简称</w:t>
      </w:r>
      <w:r>
        <w:rPr>
          <w:rFonts w:ascii="宋体" w:eastAsia="宋体" w:hAnsi="宋体" w:cs="宋体"/>
          <w:spacing w:val="-1"/>
          <w:sz w:val="22"/>
          <w:szCs w:val="22"/>
        </w:rPr>
        <w:t>地克病)是典型的碘</w:t>
      </w:r>
      <w:r>
        <w:rPr>
          <w:rFonts w:ascii="宋体" w:eastAsia="宋体" w:hAnsi="宋体" w:cs="宋体"/>
          <w:sz w:val="22"/>
          <w:szCs w:val="22"/>
        </w:rPr>
        <w:t xml:space="preserve"> </w:t>
      </w:r>
      <w:r>
        <w:rPr>
          <w:rFonts w:ascii="宋体" w:eastAsia="宋体" w:hAnsi="宋体" w:cs="宋体"/>
          <w:spacing w:val="-13"/>
          <w:sz w:val="22"/>
          <w:szCs w:val="22"/>
        </w:rPr>
        <w:t>缺乏症，它们是世界性的疾病，地甲肿几乎所有国家都有发生，流行地区主要在</w:t>
      </w:r>
      <w:r>
        <w:rPr>
          <w:rFonts w:ascii="宋体" w:eastAsia="宋体" w:hAnsi="宋体" w:cs="宋体"/>
          <w:spacing w:val="5"/>
          <w:sz w:val="22"/>
          <w:szCs w:val="22"/>
        </w:rPr>
        <w:t xml:space="preserve"> </w:t>
      </w:r>
      <w:r>
        <w:rPr>
          <w:rFonts w:ascii="宋体" w:eastAsia="宋体" w:hAnsi="宋体" w:cs="宋体"/>
          <w:spacing w:val="-13"/>
          <w:sz w:val="22"/>
          <w:szCs w:val="22"/>
        </w:rPr>
        <w:t>远离海洋的内陆山区或不易被海风吹到的地区，其土壤和空气含碘量较少，导致</w:t>
      </w:r>
      <w:r>
        <w:rPr>
          <w:rFonts w:ascii="宋体" w:eastAsia="宋体" w:hAnsi="宋体" w:cs="宋体"/>
          <w:spacing w:val="2"/>
          <w:sz w:val="22"/>
          <w:szCs w:val="22"/>
        </w:rPr>
        <w:t xml:space="preserve"> </w:t>
      </w:r>
      <w:r>
        <w:rPr>
          <w:rFonts w:ascii="宋体" w:eastAsia="宋体" w:hAnsi="宋体" w:cs="宋体"/>
          <w:spacing w:val="-14"/>
          <w:sz w:val="22"/>
          <w:szCs w:val="22"/>
        </w:rPr>
        <w:t>该地区的水及食物含碘量很低。有人估计全世界约有两亿的甲肿患者，</w:t>
      </w:r>
      <w:r>
        <w:rPr>
          <w:rFonts w:ascii="宋体" w:eastAsia="宋体" w:hAnsi="宋体" w:cs="宋体"/>
          <w:spacing w:val="-15"/>
          <w:sz w:val="22"/>
          <w:szCs w:val="22"/>
        </w:rPr>
        <w:t>地甲肿的</w:t>
      </w:r>
      <w:r>
        <w:rPr>
          <w:rFonts w:ascii="宋体" w:eastAsia="宋体" w:hAnsi="宋体" w:cs="宋体"/>
          <w:sz w:val="22"/>
          <w:szCs w:val="22"/>
        </w:rPr>
        <w:t xml:space="preserve"> </w:t>
      </w:r>
      <w:r>
        <w:rPr>
          <w:rFonts w:ascii="宋体" w:eastAsia="宋体" w:hAnsi="宋体" w:cs="宋体"/>
          <w:spacing w:val="-13"/>
          <w:sz w:val="22"/>
          <w:szCs w:val="22"/>
        </w:rPr>
        <w:t>特征是甲状腺肿大而使颈部肿胀，这是由于膳食中碘供给不足，甲状腺细胞代偿</w:t>
      </w:r>
      <w:r>
        <w:rPr>
          <w:rFonts w:ascii="宋体" w:eastAsia="宋体" w:hAnsi="宋体" w:cs="宋体"/>
          <w:spacing w:val="4"/>
          <w:sz w:val="22"/>
          <w:szCs w:val="22"/>
        </w:rPr>
        <w:t xml:space="preserve"> </w:t>
      </w:r>
      <w:r>
        <w:rPr>
          <w:rFonts w:ascii="宋体" w:eastAsia="宋体" w:hAnsi="宋体" w:cs="宋体"/>
          <w:spacing w:val="-14"/>
          <w:sz w:val="22"/>
          <w:szCs w:val="22"/>
        </w:rPr>
        <w:t>性地增大，细胞体积增大以便从血液中吸取更多的碘。</w:t>
      </w:r>
    </w:p>
    <w:p w:rsidR="00EA40A3" w:rsidRDefault="00E86C16">
      <w:pPr>
        <w:spacing w:before="77" w:line="244" w:lineRule="auto"/>
        <w:ind w:right="102" w:firstLine="449"/>
        <w:jc w:val="both"/>
        <w:rPr>
          <w:rFonts w:ascii="宋体" w:eastAsia="宋体" w:hAnsi="宋体" w:cs="宋体"/>
          <w:sz w:val="22"/>
          <w:szCs w:val="22"/>
        </w:rPr>
      </w:pPr>
      <w:r>
        <w:rPr>
          <w:rFonts w:ascii="宋体" w:eastAsia="宋体" w:hAnsi="宋体" w:cs="宋体"/>
          <w:spacing w:val="-13"/>
          <w:sz w:val="22"/>
          <w:szCs w:val="22"/>
        </w:rPr>
        <w:t>甲状腺肿易发生在儿童、女性发育期及妊娠期</w:t>
      </w:r>
      <w:r>
        <w:rPr>
          <w:rFonts w:ascii="宋体" w:eastAsia="宋体" w:hAnsi="宋体" w:cs="宋体"/>
          <w:spacing w:val="-14"/>
          <w:sz w:val="22"/>
          <w:szCs w:val="22"/>
        </w:rPr>
        <w:t>，在地甲肿地区若孕妇严重缺</w:t>
      </w:r>
      <w:r>
        <w:rPr>
          <w:rFonts w:ascii="宋体" w:eastAsia="宋体" w:hAnsi="宋体" w:cs="宋体"/>
          <w:sz w:val="22"/>
          <w:szCs w:val="22"/>
        </w:rPr>
        <w:t xml:space="preserve"> </w:t>
      </w:r>
      <w:r>
        <w:rPr>
          <w:rFonts w:ascii="宋体" w:eastAsia="宋体" w:hAnsi="宋体" w:cs="宋体"/>
          <w:spacing w:val="-13"/>
          <w:sz w:val="22"/>
          <w:szCs w:val="22"/>
        </w:rPr>
        <w:t>碘，所生的婴儿又继续缺乏碘的供给，可患一种侏儒型的呆小症，即前述的地克</w:t>
      </w:r>
      <w:r>
        <w:rPr>
          <w:rFonts w:ascii="宋体" w:eastAsia="宋体" w:hAnsi="宋体" w:cs="宋体"/>
          <w:spacing w:val="6"/>
          <w:sz w:val="22"/>
          <w:szCs w:val="22"/>
        </w:rPr>
        <w:t xml:space="preserve"> </w:t>
      </w:r>
      <w:r>
        <w:rPr>
          <w:rFonts w:ascii="宋体" w:eastAsia="宋体" w:hAnsi="宋体" w:cs="宋体"/>
          <w:spacing w:val="-13"/>
          <w:sz w:val="22"/>
          <w:szCs w:val="22"/>
        </w:rPr>
        <w:t>病，地克病患儿甲状腺机能低下，智力迟钝，运动失调，身材矮小，生长发育停</w:t>
      </w:r>
      <w:r>
        <w:rPr>
          <w:rFonts w:ascii="宋体" w:eastAsia="宋体" w:hAnsi="宋体" w:cs="宋体"/>
          <w:spacing w:val="5"/>
          <w:sz w:val="22"/>
          <w:szCs w:val="22"/>
        </w:rPr>
        <w:t xml:space="preserve"> </w:t>
      </w:r>
      <w:r>
        <w:rPr>
          <w:rFonts w:ascii="宋体" w:eastAsia="宋体" w:hAnsi="宋体" w:cs="宋体"/>
          <w:spacing w:val="-15"/>
          <w:sz w:val="22"/>
          <w:szCs w:val="22"/>
        </w:rPr>
        <w:t>滞。地克病流行于地甲肿较严重的病区。</w:t>
      </w:r>
    </w:p>
    <w:p w:rsidR="00EA40A3" w:rsidRDefault="00E86C16">
      <w:pPr>
        <w:spacing w:before="99" w:line="241" w:lineRule="auto"/>
        <w:ind w:right="100" w:firstLine="449"/>
        <w:jc w:val="both"/>
        <w:rPr>
          <w:rFonts w:ascii="宋体" w:eastAsia="宋体" w:hAnsi="宋体" w:cs="宋体"/>
          <w:sz w:val="22"/>
          <w:szCs w:val="22"/>
        </w:rPr>
      </w:pPr>
      <w:r>
        <w:rPr>
          <w:rFonts w:ascii="宋体" w:eastAsia="宋体" w:hAnsi="宋体" w:cs="宋体"/>
          <w:spacing w:val="-7"/>
          <w:sz w:val="22"/>
          <w:szCs w:val="22"/>
        </w:rPr>
        <w:t>地方性甲状腺肿也可因碘过量引起。碘过量通常发生于摄入含碘量高的饮</w:t>
      </w:r>
      <w:r>
        <w:rPr>
          <w:rFonts w:ascii="宋体" w:eastAsia="宋体" w:hAnsi="宋体" w:cs="宋体"/>
          <w:spacing w:val="2"/>
          <w:sz w:val="22"/>
          <w:szCs w:val="22"/>
        </w:rPr>
        <w:t xml:space="preserve"> </w:t>
      </w:r>
      <w:r>
        <w:rPr>
          <w:rFonts w:ascii="宋体" w:eastAsia="宋体" w:hAnsi="宋体" w:cs="宋体"/>
          <w:spacing w:val="-13"/>
          <w:sz w:val="22"/>
          <w:szCs w:val="22"/>
        </w:rPr>
        <w:t>食，以及在治疗甲状腺肿等疾病中使用过量的碘剂等情况。我国河北、山东部分</w:t>
      </w:r>
      <w:r>
        <w:rPr>
          <w:rFonts w:ascii="宋体" w:eastAsia="宋体" w:hAnsi="宋体" w:cs="宋体"/>
          <w:spacing w:val="2"/>
          <w:sz w:val="22"/>
          <w:szCs w:val="22"/>
        </w:rPr>
        <w:t xml:space="preserve"> </w:t>
      </w:r>
      <w:r>
        <w:rPr>
          <w:rFonts w:ascii="宋体" w:eastAsia="宋体" w:hAnsi="宋体" w:cs="宋体"/>
          <w:spacing w:val="-15"/>
          <w:sz w:val="22"/>
          <w:szCs w:val="22"/>
        </w:rPr>
        <w:t>县区居民，曾因饮用深层高碘水，或高碘食物造成高碘甲状腺肿。</w:t>
      </w:r>
    </w:p>
    <w:p w:rsidR="00EA40A3" w:rsidRDefault="00E86C16">
      <w:pPr>
        <w:spacing w:before="215" w:line="221"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16"/>
          <w:sz w:val="22"/>
          <w:szCs w:val="22"/>
        </w:rPr>
        <w:t xml:space="preserve"> </w:t>
      </w:r>
      <w:r>
        <w:rPr>
          <w:rFonts w:ascii="仿宋" w:eastAsia="仿宋" w:hAnsi="仿宋" w:cs="仿宋"/>
          <w:spacing w:val="13"/>
          <w:sz w:val="22"/>
          <w:szCs w:val="22"/>
        </w:rPr>
        <w:t>碘的参考摄入量与食物来源</w:t>
      </w:r>
    </w:p>
    <w:p w:rsidR="00EA40A3" w:rsidRDefault="00E86C16">
      <w:pPr>
        <w:spacing w:before="202" w:line="247" w:lineRule="auto"/>
        <w:ind w:firstLine="449"/>
        <w:rPr>
          <w:rFonts w:ascii="宋体" w:eastAsia="宋体" w:hAnsi="宋体" w:cs="宋体"/>
          <w:sz w:val="22"/>
          <w:szCs w:val="22"/>
        </w:rPr>
      </w:pPr>
      <w:r>
        <w:rPr>
          <w:rFonts w:ascii="宋体" w:eastAsia="宋体" w:hAnsi="宋体" w:cs="宋体"/>
          <w:spacing w:val="1"/>
          <w:sz w:val="22"/>
          <w:szCs w:val="22"/>
        </w:rPr>
        <w:t>我国居民膳食碘的</w:t>
      </w:r>
      <w:r>
        <w:rPr>
          <w:rFonts w:ascii="宋体" w:eastAsia="宋体" w:hAnsi="宋体" w:cs="宋体"/>
          <w:sz w:val="22"/>
          <w:szCs w:val="22"/>
        </w:rPr>
        <w:t>RNI</w:t>
      </w:r>
      <w:r>
        <w:rPr>
          <w:rFonts w:ascii="宋体" w:eastAsia="宋体" w:hAnsi="宋体" w:cs="宋体"/>
          <w:spacing w:val="1"/>
          <w:sz w:val="22"/>
          <w:szCs w:val="22"/>
        </w:rPr>
        <w:t>(μg/d)</w:t>
      </w:r>
      <w:r>
        <w:rPr>
          <w:rFonts w:ascii="宋体" w:eastAsia="宋体" w:hAnsi="宋体" w:cs="宋体"/>
          <w:spacing w:val="63"/>
          <w:sz w:val="22"/>
          <w:szCs w:val="22"/>
        </w:rPr>
        <w:t xml:space="preserve"> </w:t>
      </w:r>
      <w:r>
        <w:rPr>
          <w:rFonts w:ascii="宋体" w:eastAsia="宋体" w:hAnsi="宋体" w:cs="宋体"/>
          <w:spacing w:val="1"/>
          <w:sz w:val="22"/>
          <w:szCs w:val="22"/>
        </w:rPr>
        <w:t>分别定为：0～3岁为50、4～10岁为90、</w:t>
      </w:r>
      <w:r>
        <w:rPr>
          <w:rFonts w:ascii="宋体" w:eastAsia="宋体" w:hAnsi="宋体" w:cs="宋体"/>
          <w:sz w:val="22"/>
          <w:szCs w:val="22"/>
        </w:rPr>
        <w:t xml:space="preserve"> </w:t>
      </w:r>
      <w:r>
        <w:rPr>
          <w:rFonts w:ascii="宋体" w:eastAsia="宋体" w:hAnsi="宋体" w:cs="宋体"/>
          <w:spacing w:val="3"/>
          <w:sz w:val="22"/>
          <w:szCs w:val="22"/>
        </w:rPr>
        <w:t>11～13岁为120、14岁以上为150、孕妇及乳母为200。居民碘的</w:t>
      </w:r>
      <w:r>
        <w:rPr>
          <w:rFonts w:ascii="宋体" w:eastAsia="宋体" w:hAnsi="宋体" w:cs="宋体"/>
          <w:sz w:val="22"/>
          <w:szCs w:val="22"/>
        </w:rPr>
        <w:t>UL</w:t>
      </w:r>
      <w:r>
        <w:rPr>
          <w:rFonts w:ascii="宋体" w:eastAsia="宋体" w:hAnsi="宋体" w:cs="宋体"/>
          <w:spacing w:val="3"/>
          <w:sz w:val="22"/>
          <w:szCs w:val="22"/>
        </w:rPr>
        <w:t>(μg/d)</w:t>
      </w:r>
      <w:r>
        <w:rPr>
          <w:rFonts w:ascii="宋体" w:eastAsia="宋体" w:hAnsi="宋体" w:cs="宋体"/>
          <w:spacing w:val="6"/>
          <w:sz w:val="22"/>
          <w:szCs w:val="22"/>
        </w:rPr>
        <w:t xml:space="preserve">  </w:t>
      </w:r>
      <w:r>
        <w:rPr>
          <w:rFonts w:ascii="宋体" w:eastAsia="宋体" w:hAnsi="宋体" w:cs="宋体"/>
          <w:spacing w:val="3"/>
          <w:sz w:val="22"/>
          <w:szCs w:val="22"/>
        </w:rPr>
        <w:t>分别定为：7～17岁为800,18岁以上各人群(含孕</w:t>
      </w:r>
      <w:r>
        <w:rPr>
          <w:rFonts w:ascii="宋体" w:eastAsia="宋体" w:hAnsi="宋体" w:cs="宋体"/>
          <w:spacing w:val="2"/>
          <w:sz w:val="22"/>
          <w:szCs w:val="22"/>
        </w:rPr>
        <w:t>妇和乳母)为1000。</w:t>
      </w:r>
    </w:p>
    <w:p w:rsidR="00EA40A3" w:rsidRDefault="00E86C16">
      <w:pPr>
        <w:spacing w:before="73" w:line="250" w:lineRule="auto"/>
        <w:ind w:right="79" w:firstLine="449"/>
        <w:rPr>
          <w:rFonts w:ascii="宋体" w:eastAsia="宋体" w:hAnsi="宋体" w:cs="宋体"/>
          <w:sz w:val="22"/>
          <w:szCs w:val="22"/>
        </w:rPr>
      </w:pPr>
      <w:r>
        <w:rPr>
          <w:rFonts w:ascii="宋体" w:eastAsia="宋体" w:hAnsi="宋体" w:cs="宋体"/>
          <w:spacing w:val="-13"/>
          <w:sz w:val="22"/>
          <w:szCs w:val="22"/>
        </w:rPr>
        <w:t>含碘最丰富的食物为海产品如海带、紫菜等。机体需要的碘可从饮水、食物</w:t>
      </w:r>
      <w:r>
        <w:rPr>
          <w:rFonts w:ascii="宋体" w:eastAsia="宋体" w:hAnsi="宋体" w:cs="宋体"/>
          <w:spacing w:val="8"/>
          <w:sz w:val="22"/>
          <w:szCs w:val="22"/>
        </w:rPr>
        <w:t xml:space="preserve"> </w:t>
      </w:r>
      <w:r>
        <w:rPr>
          <w:rFonts w:ascii="宋体" w:eastAsia="宋体" w:hAnsi="宋体" w:cs="宋体"/>
          <w:spacing w:val="-13"/>
          <w:sz w:val="22"/>
          <w:szCs w:val="22"/>
        </w:rPr>
        <w:t>及食盐中获得。预防地方性甲状腺肿可经常食用上述含碘丰富的海带、紫菜、发</w:t>
      </w:r>
      <w:r>
        <w:rPr>
          <w:rFonts w:ascii="宋体" w:eastAsia="宋体" w:hAnsi="宋体" w:cs="宋体"/>
          <w:spacing w:val="2"/>
          <w:sz w:val="22"/>
          <w:szCs w:val="22"/>
        </w:rPr>
        <w:t xml:space="preserve"> </w:t>
      </w:r>
      <w:r>
        <w:rPr>
          <w:rFonts w:ascii="宋体" w:eastAsia="宋体" w:hAnsi="宋体" w:cs="宋体"/>
          <w:spacing w:val="-13"/>
          <w:sz w:val="22"/>
          <w:szCs w:val="22"/>
        </w:rPr>
        <w:t>菜、淡菜等海产品，无条件经常食用海产品的内陆山区采用食盐加碘的办法最有</w:t>
      </w:r>
      <w:r>
        <w:rPr>
          <w:rFonts w:ascii="宋体" w:eastAsia="宋体" w:hAnsi="宋体" w:cs="宋体"/>
          <w:spacing w:val="4"/>
          <w:sz w:val="22"/>
          <w:szCs w:val="22"/>
        </w:rPr>
        <w:t xml:space="preserve"> </w:t>
      </w:r>
      <w:r>
        <w:rPr>
          <w:rFonts w:ascii="宋体" w:eastAsia="宋体" w:hAnsi="宋体" w:cs="宋体"/>
          <w:sz w:val="22"/>
          <w:szCs w:val="22"/>
        </w:rPr>
        <w:t>效。碘化钾与食盐的配合比为1:100000,这样若每日摄入含碘食盐20g,</w:t>
      </w:r>
      <w:r>
        <w:rPr>
          <w:rFonts w:ascii="宋体" w:eastAsia="宋体" w:hAnsi="宋体" w:cs="宋体"/>
          <w:spacing w:val="4"/>
          <w:sz w:val="22"/>
          <w:szCs w:val="22"/>
        </w:rPr>
        <w:t xml:space="preserve"> </w:t>
      </w:r>
      <w:r>
        <w:rPr>
          <w:rFonts w:ascii="宋体" w:eastAsia="宋体" w:hAnsi="宋体" w:cs="宋体"/>
          <w:sz w:val="22"/>
          <w:szCs w:val="22"/>
        </w:rPr>
        <w:t xml:space="preserve">即相 </w:t>
      </w:r>
      <w:r>
        <w:rPr>
          <w:rFonts w:ascii="宋体" w:eastAsia="宋体" w:hAnsi="宋体" w:cs="宋体"/>
          <w:spacing w:val="-14"/>
          <w:sz w:val="22"/>
          <w:szCs w:val="22"/>
        </w:rPr>
        <w:t>当于摄入碘150</w:t>
      </w:r>
      <w:r>
        <w:rPr>
          <w:rFonts w:ascii="宋体" w:eastAsia="宋体" w:hAnsi="宋体" w:cs="宋体"/>
          <w:spacing w:val="-50"/>
          <w:sz w:val="22"/>
          <w:szCs w:val="22"/>
        </w:rPr>
        <w:t xml:space="preserve"> </w:t>
      </w:r>
      <w:r>
        <w:rPr>
          <w:rFonts w:ascii="宋体" w:eastAsia="宋体" w:hAnsi="宋体" w:cs="宋体"/>
          <w:spacing w:val="-14"/>
          <w:sz w:val="22"/>
          <w:szCs w:val="22"/>
        </w:rPr>
        <w:t>μg,</w:t>
      </w:r>
      <w:r>
        <w:rPr>
          <w:rFonts w:ascii="宋体" w:eastAsia="宋体" w:hAnsi="宋体" w:cs="宋体"/>
          <w:spacing w:val="-18"/>
          <w:sz w:val="22"/>
          <w:szCs w:val="22"/>
        </w:rPr>
        <w:t xml:space="preserve"> </w:t>
      </w:r>
      <w:r>
        <w:rPr>
          <w:rFonts w:ascii="宋体" w:eastAsia="宋体" w:hAnsi="宋体" w:cs="宋体"/>
          <w:spacing w:val="-14"/>
          <w:sz w:val="22"/>
          <w:szCs w:val="22"/>
        </w:rPr>
        <w:t>已能满足生理需要。此外采用补</w:t>
      </w:r>
      <w:r>
        <w:rPr>
          <w:rFonts w:ascii="宋体" w:eastAsia="宋体" w:hAnsi="宋体" w:cs="宋体"/>
          <w:spacing w:val="-15"/>
          <w:sz w:val="22"/>
          <w:szCs w:val="22"/>
        </w:rPr>
        <w:t>充碘化油也是行之有效的。</w:t>
      </w:r>
    </w:p>
    <w:p w:rsidR="00EA40A3" w:rsidRDefault="00E86C16">
      <w:pPr>
        <w:spacing w:before="76" w:line="241" w:lineRule="auto"/>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112</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989" w:bottom="400" w:left="860" w:header="0" w:footer="0" w:gutter="0"/>
          <w:cols w:space="720"/>
        </w:sectPr>
      </w:pPr>
    </w:p>
    <w:p w:rsidR="00EA40A3" w:rsidRDefault="00EA40A3">
      <w:pPr>
        <w:spacing w:line="247" w:lineRule="auto"/>
      </w:pPr>
    </w:p>
    <w:p w:rsidR="00EA40A3" w:rsidRDefault="00EA40A3">
      <w:pPr>
        <w:spacing w:line="247" w:lineRule="auto"/>
      </w:pPr>
    </w:p>
    <w:p w:rsidR="00EA40A3" w:rsidRDefault="00EA40A3">
      <w:pPr>
        <w:spacing w:line="247" w:lineRule="auto"/>
      </w:pPr>
    </w:p>
    <w:p w:rsidR="00EA40A3" w:rsidRDefault="00E86C16">
      <w:pPr>
        <w:spacing w:before="71" w:line="224" w:lineRule="auto"/>
        <w:ind w:left="3"/>
        <w:outlineLvl w:val="6"/>
        <w:rPr>
          <w:rFonts w:ascii="黑体" w:eastAsia="黑体" w:hAnsi="黑体" w:cs="黑体"/>
          <w:sz w:val="22"/>
          <w:szCs w:val="22"/>
        </w:rPr>
      </w:pPr>
      <w:r>
        <w:rPr>
          <w:rFonts w:ascii="黑体" w:eastAsia="黑体" w:hAnsi="黑体" w:cs="黑体"/>
          <w:b/>
          <w:bCs/>
          <w:spacing w:val="-3"/>
          <w:sz w:val="22"/>
          <w:szCs w:val="22"/>
        </w:rPr>
        <w:t>4.1.11</w:t>
      </w:r>
      <w:r>
        <w:rPr>
          <w:rFonts w:ascii="黑体" w:eastAsia="黑体" w:hAnsi="黑体" w:cs="黑体"/>
          <w:spacing w:val="31"/>
          <w:sz w:val="22"/>
          <w:szCs w:val="22"/>
        </w:rPr>
        <w:t xml:space="preserve">  </w:t>
      </w:r>
      <w:r>
        <w:rPr>
          <w:rFonts w:ascii="黑体" w:eastAsia="黑体" w:hAnsi="黑体" w:cs="黑体"/>
          <w:b/>
          <w:bCs/>
          <w:spacing w:val="-3"/>
          <w:sz w:val="22"/>
          <w:szCs w:val="22"/>
        </w:rPr>
        <w:t>氟</w:t>
      </w:r>
    </w:p>
    <w:p w:rsidR="00EA40A3" w:rsidRDefault="00E86C16">
      <w:pPr>
        <w:spacing w:before="167" w:line="244" w:lineRule="auto"/>
        <w:ind w:firstLine="450"/>
        <w:jc w:val="both"/>
        <w:rPr>
          <w:rFonts w:ascii="宋体" w:eastAsia="宋体" w:hAnsi="宋体" w:cs="宋体"/>
          <w:sz w:val="22"/>
          <w:szCs w:val="22"/>
        </w:rPr>
      </w:pPr>
      <w:r>
        <w:rPr>
          <w:rFonts w:ascii="宋体" w:eastAsia="宋体" w:hAnsi="宋体" w:cs="宋体"/>
          <w:spacing w:val="-9"/>
          <w:sz w:val="22"/>
          <w:szCs w:val="22"/>
        </w:rPr>
        <w:t>成年人体内含氟</w:t>
      </w:r>
      <w:r>
        <w:rPr>
          <w:rFonts w:ascii="宋体" w:eastAsia="宋体" w:hAnsi="宋体" w:cs="宋体"/>
          <w:spacing w:val="-39"/>
          <w:sz w:val="22"/>
          <w:szCs w:val="22"/>
        </w:rPr>
        <w:t xml:space="preserve"> </w:t>
      </w:r>
      <w:r>
        <w:rPr>
          <w:rFonts w:ascii="宋体" w:eastAsia="宋体" w:hAnsi="宋体" w:cs="宋体"/>
          <w:spacing w:val="-9"/>
          <w:sz w:val="22"/>
          <w:szCs w:val="22"/>
        </w:rPr>
        <w:t>(fluorin)</w:t>
      </w:r>
      <w:r>
        <w:rPr>
          <w:rFonts w:ascii="宋体" w:eastAsia="宋体" w:hAnsi="宋体" w:cs="宋体"/>
          <w:spacing w:val="-64"/>
          <w:sz w:val="22"/>
          <w:szCs w:val="22"/>
        </w:rPr>
        <w:t xml:space="preserve"> </w:t>
      </w:r>
      <w:r>
        <w:rPr>
          <w:rFonts w:ascii="宋体" w:eastAsia="宋体" w:hAnsi="宋体" w:cs="宋体"/>
          <w:spacing w:val="-9"/>
          <w:sz w:val="22"/>
          <w:szCs w:val="22"/>
        </w:rPr>
        <w:t>约为2.9g,</w:t>
      </w:r>
      <w:r>
        <w:rPr>
          <w:rFonts w:ascii="宋体" w:eastAsia="宋体" w:hAnsi="宋体" w:cs="宋体"/>
          <w:spacing w:val="-7"/>
          <w:sz w:val="22"/>
          <w:szCs w:val="22"/>
        </w:rPr>
        <w:t xml:space="preserve"> </w:t>
      </w:r>
      <w:r>
        <w:rPr>
          <w:rFonts w:ascii="宋体" w:eastAsia="宋体" w:hAnsi="宋体" w:cs="宋体"/>
          <w:spacing w:val="-9"/>
          <w:sz w:val="22"/>
          <w:szCs w:val="22"/>
        </w:rPr>
        <w:t>氟在人体内的分布主要集中在骨骼、</w:t>
      </w:r>
      <w:r>
        <w:rPr>
          <w:rFonts w:ascii="宋体" w:eastAsia="宋体" w:hAnsi="宋体" w:cs="宋体"/>
          <w:sz w:val="22"/>
          <w:szCs w:val="22"/>
        </w:rPr>
        <w:t xml:space="preserve"> </w:t>
      </w:r>
      <w:r>
        <w:rPr>
          <w:rFonts w:ascii="宋体" w:eastAsia="宋体" w:hAnsi="宋体" w:cs="宋体"/>
          <w:spacing w:val="-13"/>
          <w:sz w:val="22"/>
          <w:szCs w:val="22"/>
        </w:rPr>
        <w:t>牙齿、指甲和毛发中，尤以牙釉质中含量最多，人的内脏、软组织、血浆中含氟</w:t>
      </w:r>
      <w:r>
        <w:rPr>
          <w:rFonts w:ascii="宋体" w:eastAsia="宋体" w:hAnsi="宋体" w:cs="宋体"/>
          <w:spacing w:val="6"/>
          <w:sz w:val="22"/>
          <w:szCs w:val="22"/>
        </w:rPr>
        <w:t xml:space="preserve">  </w:t>
      </w:r>
      <w:r>
        <w:rPr>
          <w:rFonts w:ascii="宋体" w:eastAsia="宋体" w:hAnsi="宋体" w:cs="宋体"/>
          <w:spacing w:val="-19"/>
          <w:sz w:val="22"/>
          <w:szCs w:val="22"/>
        </w:rPr>
        <w:t>量较低。</w:t>
      </w:r>
    </w:p>
    <w:p w:rsidR="00EA40A3" w:rsidRDefault="00E86C16">
      <w:pPr>
        <w:spacing w:before="212" w:line="222" w:lineRule="auto"/>
        <w:rPr>
          <w:rFonts w:ascii="仿宋" w:eastAsia="仿宋" w:hAnsi="仿宋" w:cs="仿宋"/>
          <w:sz w:val="22"/>
          <w:szCs w:val="22"/>
        </w:rPr>
      </w:pPr>
      <w:r>
        <w:rPr>
          <w:rFonts w:ascii="仿宋" w:eastAsia="仿宋" w:hAnsi="仿宋" w:cs="仿宋"/>
          <w:spacing w:val="5"/>
          <w:sz w:val="22"/>
          <w:szCs w:val="22"/>
        </w:rPr>
        <w:t>1.</w:t>
      </w:r>
      <w:r>
        <w:rPr>
          <w:rFonts w:ascii="仿宋" w:eastAsia="仿宋" w:hAnsi="仿宋" w:cs="仿宋"/>
          <w:spacing w:val="-22"/>
          <w:sz w:val="22"/>
          <w:szCs w:val="22"/>
        </w:rPr>
        <w:t xml:space="preserve"> </w:t>
      </w:r>
      <w:r>
        <w:rPr>
          <w:rFonts w:ascii="仿宋" w:eastAsia="仿宋" w:hAnsi="仿宋" w:cs="仿宋"/>
          <w:spacing w:val="5"/>
          <w:sz w:val="22"/>
          <w:szCs w:val="22"/>
        </w:rPr>
        <w:t>氟的生理功能</w:t>
      </w:r>
    </w:p>
    <w:p w:rsidR="00EA40A3" w:rsidRDefault="00E86C16">
      <w:pPr>
        <w:spacing w:before="183" w:line="248" w:lineRule="auto"/>
        <w:ind w:right="93" w:firstLine="450"/>
        <w:jc w:val="both"/>
        <w:rPr>
          <w:rFonts w:ascii="宋体" w:eastAsia="宋体" w:hAnsi="宋体" w:cs="宋体"/>
          <w:sz w:val="22"/>
          <w:szCs w:val="22"/>
        </w:rPr>
      </w:pPr>
      <w:r>
        <w:rPr>
          <w:rFonts w:ascii="宋体" w:eastAsia="宋体" w:hAnsi="宋体" w:cs="宋体"/>
          <w:spacing w:val="-14"/>
          <w:sz w:val="22"/>
          <w:szCs w:val="22"/>
        </w:rPr>
        <w:t>氟的生理功能主要是预防龋齿和老年性骨质疏松症。黏附在牙缝和牙面上的</w:t>
      </w:r>
      <w:r>
        <w:rPr>
          <w:rFonts w:ascii="宋体" w:eastAsia="宋体" w:hAnsi="宋体" w:cs="宋体"/>
          <w:spacing w:val="17"/>
          <w:sz w:val="22"/>
          <w:szCs w:val="22"/>
        </w:rPr>
        <w:t xml:space="preserve"> </w:t>
      </w:r>
      <w:r>
        <w:rPr>
          <w:rFonts w:ascii="宋体" w:eastAsia="宋体" w:hAnsi="宋体" w:cs="宋体"/>
          <w:spacing w:val="-13"/>
          <w:sz w:val="22"/>
          <w:szCs w:val="22"/>
        </w:rPr>
        <w:t>食物残渣中的糖分，在细菌的作用下，氧化成酸类如乳酸、焦葡萄酸等，它们都</w:t>
      </w:r>
      <w:r>
        <w:rPr>
          <w:rFonts w:ascii="宋体" w:eastAsia="宋体" w:hAnsi="宋体" w:cs="宋体"/>
          <w:spacing w:val="13"/>
          <w:sz w:val="22"/>
          <w:szCs w:val="22"/>
        </w:rPr>
        <w:t xml:space="preserve"> </w:t>
      </w:r>
      <w:r>
        <w:rPr>
          <w:rFonts w:ascii="宋体" w:eastAsia="宋体" w:hAnsi="宋体" w:cs="宋体"/>
          <w:spacing w:val="-10"/>
          <w:sz w:val="22"/>
          <w:szCs w:val="22"/>
        </w:rPr>
        <w:t>是牙齿的“腐蚀剂”,焦葡萄酸是在烯醇化酶的作用下生成的，氟则是烯醇化酶</w:t>
      </w:r>
      <w:r>
        <w:rPr>
          <w:rFonts w:ascii="宋体" w:eastAsia="宋体" w:hAnsi="宋体" w:cs="宋体"/>
          <w:spacing w:val="17"/>
          <w:sz w:val="22"/>
          <w:szCs w:val="22"/>
        </w:rPr>
        <w:t xml:space="preserve"> </w:t>
      </w:r>
      <w:r>
        <w:rPr>
          <w:rFonts w:ascii="宋体" w:eastAsia="宋体" w:hAnsi="宋体" w:cs="宋体"/>
          <w:spacing w:val="-13"/>
          <w:sz w:val="22"/>
          <w:szCs w:val="22"/>
        </w:rPr>
        <w:t>活性的抑制剂，这是氟具有防龋作用的原因之一；另一方面，牙齿和骨骼的主要</w:t>
      </w:r>
      <w:r>
        <w:rPr>
          <w:rFonts w:ascii="宋体" w:eastAsia="宋体" w:hAnsi="宋体" w:cs="宋体"/>
          <w:spacing w:val="14"/>
          <w:sz w:val="22"/>
          <w:szCs w:val="22"/>
        </w:rPr>
        <w:t xml:space="preserve"> </w:t>
      </w:r>
      <w:r>
        <w:rPr>
          <w:rFonts w:ascii="宋体" w:eastAsia="宋体" w:hAnsi="宋体" w:cs="宋体"/>
          <w:spacing w:val="-6"/>
          <w:sz w:val="22"/>
          <w:szCs w:val="22"/>
        </w:rPr>
        <w:t>成分是羟磷灰石，容易被酸类腐蚀，当体内有充足</w:t>
      </w:r>
      <w:r>
        <w:rPr>
          <w:rFonts w:ascii="宋体" w:eastAsia="宋体" w:hAnsi="宋体" w:cs="宋体"/>
          <w:spacing w:val="-7"/>
          <w:sz w:val="22"/>
          <w:szCs w:val="22"/>
        </w:rPr>
        <w:t>的氟时，氟可与羟磷灰石作</w:t>
      </w:r>
      <w:r>
        <w:rPr>
          <w:rFonts w:ascii="宋体" w:eastAsia="宋体" w:hAnsi="宋体" w:cs="宋体"/>
          <w:sz w:val="22"/>
          <w:szCs w:val="22"/>
        </w:rPr>
        <w:t xml:space="preserve"> </w:t>
      </w:r>
      <w:r>
        <w:rPr>
          <w:rFonts w:ascii="宋体" w:eastAsia="宋体" w:hAnsi="宋体" w:cs="宋体"/>
          <w:spacing w:val="-13"/>
          <w:sz w:val="22"/>
          <w:szCs w:val="22"/>
        </w:rPr>
        <w:t>用，取代其中的羟基而生成氟磷灰石，和羟磷灰石相比，氟磷灰石光滑坚硬，耐</w:t>
      </w:r>
      <w:r>
        <w:rPr>
          <w:rFonts w:ascii="宋体" w:eastAsia="宋体" w:hAnsi="宋体" w:cs="宋体"/>
          <w:spacing w:val="12"/>
          <w:sz w:val="22"/>
          <w:szCs w:val="22"/>
        </w:rPr>
        <w:t xml:space="preserve"> </w:t>
      </w:r>
      <w:r>
        <w:rPr>
          <w:rFonts w:ascii="宋体" w:eastAsia="宋体" w:hAnsi="宋体" w:cs="宋体"/>
          <w:spacing w:val="-7"/>
          <w:sz w:val="22"/>
          <w:szCs w:val="22"/>
        </w:rPr>
        <w:t>酸耐磨。此外，适量的氟有利于钙和磷的利用及在骨骼中沉积，可加速骨骼成</w:t>
      </w:r>
      <w:r>
        <w:rPr>
          <w:rFonts w:ascii="宋体" w:eastAsia="宋体" w:hAnsi="宋体" w:cs="宋体"/>
          <w:spacing w:val="17"/>
          <w:sz w:val="22"/>
          <w:szCs w:val="22"/>
        </w:rPr>
        <w:t xml:space="preserve"> </w:t>
      </w:r>
      <w:r>
        <w:rPr>
          <w:rFonts w:ascii="宋体" w:eastAsia="宋体" w:hAnsi="宋体" w:cs="宋体"/>
          <w:spacing w:val="-15"/>
          <w:sz w:val="22"/>
          <w:szCs w:val="22"/>
        </w:rPr>
        <w:t>长，促进生长，并维持骨骼的健康。</w:t>
      </w:r>
    </w:p>
    <w:p w:rsidR="00EA40A3" w:rsidRDefault="00E86C16">
      <w:pPr>
        <w:spacing w:before="259" w:line="222" w:lineRule="auto"/>
        <w:rPr>
          <w:rFonts w:ascii="仿宋" w:eastAsia="仿宋" w:hAnsi="仿宋" w:cs="仿宋"/>
          <w:sz w:val="22"/>
          <w:szCs w:val="22"/>
        </w:rPr>
      </w:pPr>
      <w:r>
        <w:rPr>
          <w:rFonts w:ascii="仿宋" w:eastAsia="仿宋" w:hAnsi="仿宋" w:cs="仿宋"/>
          <w:spacing w:val="8"/>
          <w:sz w:val="22"/>
          <w:szCs w:val="22"/>
        </w:rPr>
        <w:t>2.</w:t>
      </w:r>
      <w:r>
        <w:rPr>
          <w:rFonts w:ascii="仿宋" w:eastAsia="仿宋" w:hAnsi="仿宋" w:cs="仿宋"/>
          <w:spacing w:val="-26"/>
          <w:sz w:val="22"/>
          <w:szCs w:val="22"/>
        </w:rPr>
        <w:t xml:space="preserve"> </w:t>
      </w:r>
      <w:r>
        <w:rPr>
          <w:rFonts w:ascii="仿宋" w:eastAsia="仿宋" w:hAnsi="仿宋" w:cs="仿宋"/>
          <w:spacing w:val="8"/>
          <w:sz w:val="22"/>
          <w:szCs w:val="22"/>
        </w:rPr>
        <w:t>氟的吸收与代谢</w:t>
      </w:r>
    </w:p>
    <w:p w:rsidR="00EA40A3" w:rsidRDefault="00E86C16">
      <w:pPr>
        <w:spacing w:before="188" w:line="245" w:lineRule="auto"/>
        <w:ind w:right="67" w:firstLine="450"/>
        <w:jc w:val="both"/>
        <w:rPr>
          <w:rFonts w:ascii="宋体" w:eastAsia="宋体" w:hAnsi="宋体" w:cs="宋体"/>
          <w:sz w:val="22"/>
          <w:szCs w:val="22"/>
        </w:rPr>
      </w:pPr>
      <w:r>
        <w:rPr>
          <w:rFonts w:ascii="宋体" w:eastAsia="宋体" w:hAnsi="宋体" w:cs="宋体"/>
          <w:spacing w:val="-13"/>
          <w:sz w:val="22"/>
          <w:szCs w:val="22"/>
        </w:rPr>
        <w:t>膳食和饮水中的氟摄入人体后，主要在胃部吸收。氟的吸收很快，吸收率也</w:t>
      </w:r>
      <w:r>
        <w:rPr>
          <w:rFonts w:ascii="宋体" w:eastAsia="宋体" w:hAnsi="宋体" w:cs="宋体"/>
          <w:spacing w:val="10"/>
          <w:sz w:val="22"/>
          <w:szCs w:val="22"/>
        </w:rPr>
        <w:t xml:space="preserve"> </w:t>
      </w:r>
      <w:r>
        <w:rPr>
          <w:rFonts w:ascii="宋体" w:eastAsia="宋体" w:hAnsi="宋体" w:cs="宋体"/>
          <w:spacing w:val="3"/>
          <w:sz w:val="22"/>
          <w:szCs w:val="22"/>
        </w:rPr>
        <w:t>很高。饮水中的氟可完全吸收，食物中的氟一般吸收率为75%～90%,剩下的</w:t>
      </w:r>
      <w:r>
        <w:rPr>
          <w:rFonts w:ascii="宋体" w:eastAsia="宋体" w:hAnsi="宋体" w:cs="宋体"/>
          <w:spacing w:val="8"/>
          <w:sz w:val="22"/>
          <w:szCs w:val="22"/>
        </w:rPr>
        <w:t xml:space="preserve"> </w:t>
      </w:r>
      <w:r>
        <w:rPr>
          <w:rFonts w:ascii="宋体" w:eastAsia="宋体" w:hAnsi="宋体" w:cs="宋体"/>
          <w:spacing w:val="-5"/>
          <w:sz w:val="22"/>
          <w:szCs w:val="22"/>
        </w:rPr>
        <w:t>10%～25%则由粪便排出，吸收一半量所需的时间约为30min。</w:t>
      </w:r>
      <w:r>
        <w:rPr>
          <w:rFonts w:ascii="宋体" w:eastAsia="宋体" w:hAnsi="宋体" w:cs="宋体"/>
          <w:spacing w:val="-40"/>
          <w:sz w:val="22"/>
          <w:szCs w:val="22"/>
        </w:rPr>
        <w:t xml:space="preserve"> </w:t>
      </w:r>
      <w:r>
        <w:rPr>
          <w:rFonts w:ascii="宋体" w:eastAsia="宋体" w:hAnsi="宋体" w:cs="宋体"/>
          <w:spacing w:val="-5"/>
          <w:sz w:val="22"/>
          <w:szCs w:val="22"/>
        </w:rPr>
        <w:t>氟吸</w:t>
      </w:r>
      <w:r>
        <w:rPr>
          <w:rFonts w:ascii="宋体" w:eastAsia="宋体" w:hAnsi="宋体" w:cs="宋体"/>
          <w:spacing w:val="-6"/>
          <w:sz w:val="22"/>
          <w:szCs w:val="22"/>
        </w:rPr>
        <w:t>收的机制是</w:t>
      </w:r>
      <w:r>
        <w:rPr>
          <w:rFonts w:ascii="宋体" w:eastAsia="宋体" w:hAnsi="宋体" w:cs="宋体"/>
          <w:sz w:val="22"/>
          <w:szCs w:val="22"/>
        </w:rPr>
        <w:t xml:space="preserve"> </w:t>
      </w:r>
      <w:r>
        <w:rPr>
          <w:rFonts w:ascii="宋体" w:eastAsia="宋体" w:hAnsi="宋体" w:cs="宋体"/>
          <w:spacing w:val="-7"/>
          <w:sz w:val="22"/>
          <w:szCs w:val="22"/>
        </w:rPr>
        <w:t>通过扩散，氟的吸收受几种膳食因素的影响，铝盐、钙盐可降低氟在肠道中吸</w:t>
      </w:r>
      <w:r>
        <w:rPr>
          <w:rFonts w:ascii="宋体" w:eastAsia="宋体" w:hAnsi="宋体" w:cs="宋体"/>
          <w:spacing w:val="16"/>
          <w:sz w:val="22"/>
          <w:szCs w:val="22"/>
        </w:rPr>
        <w:t xml:space="preserve"> </w:t>
      </w:r>
      <w:r>
        <w:rPr>
          <w:rFonts w:ascii="宋体" w:eastAsia="宋体" w:hAnsi="宋体" w:cs="宋体"/>
          <w:spacing w:val="-15"/>
          <w:sz w:val="22"/>
          <w:szCs w:val="22"/>
        </w:rPr>
        <w:t>收，而脂肪水平提高可增加氟的吸收。</w:t>
      </w:r>
    </w:p>
    <w:p w:rsidR="00EA40A3" w:rsidRDefault="00E86C16">
      <w:pPr>
        <w:spacing w:before="71" w:line="246" w:lineRule="auto"/>
        <w:ind w:right="60" w:firstLine="450"/>
        <w:jc w:val="both"/>
        <w:rPr>
          <w:rFonts w:ascii="宋体" w:eastAsia="宋体" w:hAnsi="宋体" w:cs="宋体"/>
          <w:sz w:val="22"/>
          <w:szCs w:val="22"/>
        </w:rPr>
      </w:pPr>
      <w:r>
        <w:rPr>
          <w:rFonts w:ascii="宋体" w:eastAsia="宋体" w:hAnsi="宋体" w:cs="宋体"/>
          <w:spacing w:val="-13"/>
          <w:sz w:val="22"/>
          <w:szCs w:val="22"/>
        </w:rPr>
        <w:t>氟一旦被吸收，即进入血液，分布到全身，从血浆来的氟与钙化的组织形成</w:t>
      </w:r>
      <w:r>
        <w:rPr>
          <w:rFonts w:ascii="宋体" w:eastAsia="宋体" w:hAnsi="宋体" w:cs="宋体"/>
          <w:spacing w:val="7"/>
          <w:sz w:val="22"/>
          <w:szCs w:val="22"/>
        </w:rPr>
        <w:t xml:space="preserve"> </w:t>
      </w:r>
      <w:r>
        <w:rPr>
          <w:rFonts w:ascii="宋体" w:eastAsia="宋体" w:hAnsi="宋体" w:cs="宋体"/>
          <w:spacing w:val="-13"/>
          <w:sz w:val="22"/>
          <w:szCs w:val="22"/>
        </w:rPr>
        <w:t>复合物，此外还分布于软组织的细胞内外间隙。绝大多数保留在体内的离子氟进</w:t>
      </w:r>
      <w:r>
        <w:rPr>
          <w:rFonts w:ascii="宋体" w:eastAsia="宋体" w:hAnsi="宋体" w:cs="宋体"/>
          <w:spacing w:val="12"/>
          <w:sz w:val="22"/>
          <w:szCs w:val="22"/>
        </w:rPr>
        <w:t xml:space="preserve"> </w:t>
      </w:r>
      <w:r>
        <w:rPr>
          <w:rFonts w:ascii="宋体" w:eastAsia="宋体" w:hAnsi="宋体" w:cs="宋体"/>
          <w:spacing w:val="-4"/>
          <w:sz w:val="22"/>
          <w:szCs w:val="22"/>
        </w:rPr>
        <w:t>入钙化组织(骨骼和发育中的牙齿),以氟磷灰石形式存在，或者在晶体表面的</w:t>
      </w:r>
      <w:r>
        <w:rPr>
          <w:rFonts w:ascii="宋体" w:eastAsia="宋体" w:hAnsi="宋体" w:cs="宋体"/>
          <w:spacing w:val="15"/>
          <w:sz w:val="22"/>
          <w:szCs w:val="22"/>
        </w:rPr>
        <w:t xml:space="preserve"> </w:t>
      </w:r>
      <w:r>
        <w:rPr>
          <w:rFonts w:ascii="宋体" w:eastAsia="宋体" w:hAnsi="宋体" w:cs="宋体"/>
          <w:spacing w:val="-7"/>
          <w:sz w:val="22"/>
          <w:szCs w:val="22"/>
        </w:rPr>
        <w:t>水合外壳内进行离子交换。每天吸收的氟约有50%于24h</w:t>
      </w:r>
      <w:r>
        <w:rPr>
          <w:rFonts w:ascii="宋体" w:eastAsia="宋体" w:hAnsi="宋体" w:cs="宋体"/>
          <w:spacing w:val="-32"/>
          <w:sz w:val="22"/>
          <w:szCs w:val="22"/>
        </w:rPr>
        <w:t xml:space="preserve"> </w:t>
      </w:r>
      <w:r>
        <w:rPr>
          <w:rFonts w:ascii="宋体" w:eastAsia="宋体" w:hAnsi="宋体" w:cs="宋体"/>
          <w:spacing w:val="-7"/>
          <w:sz w:val="22"/>
          <w:szCs w:val="22"/>
        </w:rPr>
        <w:t>内沉积在钙化组织中，</w:t>
      </w:r>
      <w:r>
        <w:rPr>
          <w:rFonts w:ascii="宋体" w:eastAsia="宋体" w:hAnsi="宋体" w:cs="宋体"/>
          <w:sz w:val="22"/>
          <w:szCs w:val="22"/>
        </w:rPr>
        <w:t xml:space="preserve"> </w:t>
      </w:r>
      <w:r>
        <w:rPr>
          <w:rFonts w:ascii="宋体" w:eastAsia="宋体" w:hAnsi="宋体" w:cs="宋体"/>
          <w:spacing w:val="-4"/>
          <w:sz w:val="22"/>
          <w:szCs w:val="22"/>
        </w:rPr>
        <w:t>机体中的氟约99%存在于钙化的组织。根据生理需要骨骼中的氟可通过间隙中</w:t>
      </w:r>
      <w:r>
        <w:rPr>
          <w:rFonts w:ascii="宋体" w:eastAsia="宋体" w:hAnsi="宋体" w:cs="宋体"/>
          <w:spacing w:val="2"/>
          <w:sz w:val="22"/>
          <w:szCs w:val="22"/>
        </w:rPr>
        <w:t xml:space="preserve"> </w:t>
      </w:r>
      <w:r>
        <w:rPr>
          <w:rFonts w:ascii="宋体" w:eastAsia="宋体" w:hAnsi="宋体" w:cs="宋体"/>
          <w:spacing w:val="-14"/>
          <w:sz w:val="22"/>
          <w:szCs w:val="22"/>
        </w:rPr>
        <w:t>的离子交换快速地动员或由不断进行的骨再建过程而缓慢地动员释放。</w:t>
      </w:r>
    </w:p>
    <w:p w:rsidR="00EA40A3" w:rsidRDefault="00E86C16">
      <w:pPr>
        <w:spacing w:before="67" w:line="244" w:lineRule="auto"/>
        <w:ind w:right="100" w:firstLine="450"/>
        <w:jc w:val="both"/>
        <w:rPr>
          <w:rFonts w:ascii="宋体" w:eastAsia="宋体" w:hAnsi="宋体" w:cs="宋体"/>
          <w:sz w:val="22"/>
          <w:szCs w:val="22"/>
        </w:rPr>
      </w:pPr>
      <w:r>
        <w:rPr>
          <w:rFonts w:ascii="宋体" w:eastAsia="宋体" w:hAnsi="宋体" w:cs="宋体"/>
          <w:spacing w:val="-4"/>
          <w:sz w:val="22"/>
          <w:szCs w:val="22"/>
        </w:rPr>
        <w:t>肾脏是无机氟排泄的主要途径。每天摄入的氟约有50%通过肾脏清除。氟</w:t>
      </w:r>
      <w:r>
        <w:rPr>
          <w:rFonts w:ascii="宋体" w:eastAsia="宋体" w:hAnsi="宋体" w:cs="宋体"/>
          <w:spacing w:val="10"/>
          <w:sz w:val="22"/>
          <w:szCs w:val="22"/>
        </w:rPr>
        <w:t xml:space="preserve"> </w:t>
      </w:r>
      <w:r>
        <w:rPr>
          <w:rFonts w:ascii="宋体" w:eastAsia="宋体" w:hAnsi="宋体" w:cs="宋体"/>
          <w:spacing w:val="-14"/>
          <w:sz w:val="22"/>
          <w:szCs w:val="22"/>
        </w:rPr>
        <w:t>可自由滤过肾小球毛细管，而肾小管的重吸收率则高低不等。肾对氟的清除率与</w:t>
      </w:r>
      <w:r>
        <w:rPr>
          <w:rFonts w:ascii="宋体" w:eastAsia="宋体" w:hAnsi="宋体" w:cs="宋体"/>
          <w:spacing w:val="15"/>
          <w:sz w:val="22"/>
          <w:szCs w:val="22"/>
        </w:rPr>
        <w:t xml:space="preserve"> </w:t>
      </w:r>
      <w:r>
        <w:rPr>
          <w:rFonts w:ascii="宋体" w:eastAsia="宋体" w:hAnsi="宋体" w:cs="宋体"/>
          <w:spacing w:val="-8"/>
          <w:sz w:val="22"/>
          <w:szCs w:val="22"/>
        </w:rPr>
        <w:t>尿液pH</w:t>
      </w:r>
      <w:r>
        <w:rPr>
          <w:rFonts w:ascii="宋体" w:eastAsia="宋体" w:hAnsi="宋体" w:cs="宋体"/>
          <w:spacing w:val="31"/>
          <w:sz w:val="22"/>
          <w:szCs w:val="22"/>
        </w:rPr>
        <w:t xml:space="preserve"> </w:t>
      </w:r>
      <w:r>
        <w:rPr>
          <w:rFonts w:ascii="宋体" w:eastAsia="宋体" w:hAnsi="宋体" w:cs="宋体"/>
          <w:spacing w:val="-8"/>
          <w:sz w:val="22"/>
          <w:szCs w:val="22"/>
        </w:rPr>
        <w:t>有直接关系，因此，影响尿液pH</w:t>
      </w:r>
      <w:r>
        <w:rPr>
          <w:rFonts w:ascii="宋体" w:eastAsia="宋体" w:hAnsi="宋体" w:cs="宋体"/>
          <w:spacing w:val="26"/>
          <w:sz w:val="22"/>
          <w:szCs w:val="22"/>
        </w:rPr>
        <w:t xml:space="preserve"> </w:t>
      </w:r>
      <w:r>
        <w:rPr>
          <w:rFonts w:ascii="宋体" w:eastAsia="宋体" w:hAnsi="宋体" w:cs="宋体"/>
          <w:spacing w:val="-8"/>
          <w:sz w:val="22"/>
          <w:szCs w:val="22"/>
        </w:rPr>
        <w:t>的因素如膳食、药物、代谢或呼吸性</w:t>
      </w:r>
      <w:r>
        <w:rPr>
          <w:rFonts w:ascii="宋体" w:eastAsia="宋体" w:hAnsi="宋体" w:cs="宋体"/>
          <w:sz w:val="22"/>
          <w:szCs w:val="22"/>
        </w:rPr>
        <w:t xml:space="preserve"> </w:t>
      </w:r>
      <w:r>
        <w:rPr>
          <w:rFonts w:ascii="宋体" w:eastAsia="宋体" w:hAnsi="宋体" w:cs="宋体"/>
          <w:spacing w:val="-14"/>
          <w:sz w:val="22"/>
          <w:szCs w:val="22"/>
        </w:rPr>
        <w:t>疾病，甚至于居住地的海拔高度等，都能够影响氟的吸收。</w:t>
      </w:r>
    </w:p>
    <w:p w:rsidR="00EA40A3" w:rsidRDefault="00E86C16">
      <w:pPr>
        <w:spacing w:before="217"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21"/>
          <w:sz w:val="22"/>
          <w:szCs w:val="22"/>
        </w:rPr>
        <w:t xml:space="preserve"> </w:t>
      </w:r>
      <w:r>
        <w:rPr>
          <w:rFonts w:ascii="仿宋" w:eastAsia="仿宋" w:hAnsi="仿宋" w:cs="仿宋"/>
          <w:spacing w:val="11"/>
          <w:sz w:val="22"/>
          <w:szCs w:val="22"/>
        </w:rPr>
        <w:t>氟的缺乏与过量</w:t>
      </w:r>
    </w:p>
    <w:p w:rsidR="00EA40A3" w:rsidRDefault="00E86C16">
      <w:pPr>
        <w:spacing w:before="197" w:line="235" w:lineRule="auto"/>
        <w:ind w:right="101" w:firstLine="410"/>
        <w:rPr>
          <w:rFonts w:ascii="宋体" w:eastAsia="宋体" w:hAnsi="宋体" w:cs="宋体"/>
          <w:sz w:val="22"/>
          <w:szCs w:val="22"/>
        </w:rPr>
      </w:pPr>
      <w:r>
        <w:rPr>
          <w:rFonts w:ascii="宋体" w:eastAsia="宋体" w:hAnsi="宋体" w:cs="宋体"/>
          <w:spacing w:val="-13"/>
          <w:sz w:val="22"/>
          <w:szCs w:val="22"/>
        </w:rPr>
        <w:t>在缺氟情况下，牙釉质中坚硬而又耐酸的氟磷灰石形成较少，使牙齿更易受</w:t>
      </w:r>
      <w:r>
        <w:rPr>
          <w:rFonts w:ascii="宋体" w:eastAsia="宋体" w:hAnsi="宋体" w:cs="宋体"/>
          <w:spacing w:val="16"/>
          <w:sz w:val="22"/>
          <w:szCs w:val="22"/>
        </w:rPr>
        <w:t xml:space="preserve"> </w:t>
      </w:r>
      <w:r>
        <w:rPr>
          <w:rFonts w:ascii="宋体" w:eastAsia="宋体" w:hAnsi="宋体" w:cs="宋体"/>
          <w:sz w:val="22"/>
          <w:szCs w:val="22"/>
        </w:rPr>
        <w:t>损，导致龋齿的发生；此外机体缺氟时也会干扰钙、磷</w:t>
      </w:r>
      <w:r>
        <w:rPr>
          <w:rFonts w:ascii="宋体" w:eastAsia="宋体" w:hAnsi="宋体" w:cs="宋体"/>
          <w:spacing w:val="-1"/>
          <w:sz w:val="22"/>
          <w:szCs w:val="22"/>
        </w:rPr>
        <w:t>的利用而影响骨骼的</w:t>
      </w:r>
    </w:p>
    <w:p w:rsidR="00EA40A3" w:rsidRDefault="00E86C16">
      <w:pPr>
        <w:spacing w:before="102"/>
        <w:ind w:right="165"/>
        <w:jc w:val="right"/>
        <w:rPr>
          <w:rFonts w:ascii="宋体" w:eastAsia="宋体" w:hAnsi="宋体" w:cs="宋体"/>
          <w:sz w:val="15"/>
          <w:szCs w:val="15"/>
        </w:rPr>
      </w:pPr>
      <w:r>
        <w:rPr>
          <w:rFonts w:ascii="宋体" w:eastAsia="宋体" w:hAnsi="宋体" w:cs="宋体"/>
          <w:spacing w:val="-15"/>
          <w:sz w:val="15"/>
          <w:szCs w:val="15"/>
        </w:rPr>
        <w:t>·</w:t>
      </w:r>
      <w:r>
        <w:rPr>
          <w:rFonts w:ascii="宋体" w:eastAsia="宋体" w:hAnsi="宋体" w:cs="宋体"/>
          <w:spacing w:val="16"/>
          <w:sz w:val="15"/>
          <w:szCs w:val="15"/>
        </w:rPr>
        <w:t xml:space="preserve"> </w:t>
      </w:r>
      <w:r>
        <w:rPr>
          <w:rFonts w:ascii="宋体" w:eastAsia="宋体" w:hAnsi="宋体" w:cs="宋体"/>
          <w:spacing w:val="-15"/>
          <w:sz w:val="15"/>
          <w:szCs w:val="15"/>
        </w:rPr>
        <w:t>113</w:t>
      </w:r>
      <w:r>
        <w:rPr>
          <w:rFonts w:ascii="宋体" w:eastAsia="宋体" w:hAnsi="宋体" w:cs="宋体"/>
          <w:spacing w:val="57"/>
          <w:w w:val="101"/>
          <w:sz w:val="15"/>
          <w:szCs w:val="15"/>
        </w:rPr>
        <w:t xml:space="preserve"> </w:t>
      </w:r>
      <w:r>
        <w:rPr>
          <w:rFonts w:ascii="宋体" w:eastAsia="宋体" w:hAnsi="宋体" w:cs="宋体"/>
          <w:spacing w:val="-15"/>
          <w:sz w:val="15"/>
          <w:szCs w:val="15"/>
        </w:rPr>
        <w:t>·</w:t>
      </w:r>
    </w:p>
    <w:p w:rsidR="00EA40A3" w:rsidRDefault="00EA40A3">
      <w:pPr>
        <w:sectPr w:rsidR="00EA40A3">
          <w:pgSz w:w="9220" w:h="13360"/>
          <w:pgMar w:top="400" w:right="939" w:bottom="400" w:left="919"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9"/>
          <w:sz w:val="22"/>
          <w:szCs w:val="22"/>
        </w:rPr>
        <w:t>健康。</w:t>
      </w:r>
    </w:p>
    <w:p w:rsidR="00EA40A3" w:rsidRDefault="00E86C16">
      <w:pPr>
        <w:spacing w:before="28" w:line="255" w:lineRule="auto"/>
        <w:ind w:right="93" w:firstLine="429"/>
        <w:jc w:val="both"/>
        <w:rPr>
          <w:rFonts w:ascii="宋体" w:eastAsia="宋体" w:hAnsi="宋体" w:cs="宋体"/>
          <w:sz w:val="22"/>
          <w:szCs w:val="22"/>
        </w:rPr>
      </w:pPr>
      <w:r>
        <w:rPr>
          <w:rFonts w:ascii="宋体" w:eastAsia="宋体" w:hAnsi="宋体" w:cs="宋体"/>
          <w:spacing w:val="-13"/>
          <w:sz w:val="22"/>
          <w:szCs w:val="22"/>
        </w:rPr>
        <w:t>但氟又是一种累积性毒素，在饮水、食物与空</w:t>
      </w:r>
      <w:r>
        <w:rPr>
          <w:rFonts w:ascii="宋体" w:eastAsia="宋体" w:hAnsi="宋体" w:cs="宋体"/>
          <w:spacing w:val="-14"/>
          <w:sz w:val="22"/>
          <w:szCs w:val="22"/>
        </w:rPr>
        <w:t>气中摄入过量的氟可以引起机</w:t>
      </w:r>
      <w:r>
        <w:rPr>
          <w:rFonts w:ascii="宋体" w:eastAsia="宋体" w:hAnsi="宋体" w:cs="宋体"/>
          <w:sz w:val="22"/>
          <w:szCs w:val="22"/>
        </w:rPr>
        <w:t xml:space="preserve"> </w:t>
      </w:r>
      <w:r>
        <w:rPr>
          <w:rFonts w:ascii="宋体" w:eastAsia="宋体" w:hAnsi="宋体" w:cs="宋体"/>
          <w:spacing w:val="-12"/>
          <w:sz w:val="22"/>
          <w:szCs w:val="22"/>
        </w:rPr>
        <w:t>体不同程度的代谢异常和中毒表现。除了急性中毒外，也可</w:t>
      </w:r>
      <w:r>
        <w:rPr>
          <w:rFonts w:ascii="宋体" w:eastAsia="宋体" w:hAnsi="宋体" w:cs="宋体"/>
          <w:spacing w:val="-13"/>
          <w:sz w:val="22"/>
          <w:szCs w:val="22"/>
        </w:rPr>
        <w:t>造成慢性氟中毒。主</w:t>
      </w:r>
      <w:r>
        <w:rPr>
          <w:rFonts w:ascii="宋体" w:eastAsia="宋体" w:hAnsi="宋体" w:cs="宋体"/>
          <w:sz w:val="22"/>
          <w:szCs w:val="22"/>
        </w:rPr>
        <w:t xml:space="preserve"> </w:t>
      </w:r>
      <w:r>
        <w:rPr>
          <w:rFonts w:ascii="宋体" w:eastAsia="宋体" w:hAnsi="宋体" w:cs="宋体"/>
          <w:spacing w:val="-10"/>
          <w:sz w:val="22"/>
          <w:szCs w:val="22"/>
        </w:rPr>
        <w:t>要表现在以下几个方面：抑制体内一些酶的活性，如葡萄糖-6-磷酸脱氢酶、胆</w:t>
      </w:r>
      <w:r>
        <w:rPr>
          <w:rFonts w:ascii="宋体" w:eastAsia="宋体" w:hAnsi="宋体" w:cs="宋体"/>
          <w:spacing w:val="18"/>
          <w:sz w:val="22"/>
          <w:szCs w:val="22"/>
        </w:rPr>
        <w:t xml:space="preserve"> </w:t>
      </w:r>
      <w:r>
        <w:rPr>
          <w:rFonts w:ascii="宋体" w:eastAsia="宋体" w:hAnsi="宋体" w:cs="宋体"/>
          <w:spacing w:val="-12"/>
          <w:sz w:val="22"/>
          <w:szCs w:val="22"/>
        </w:rPr>
        <w:t>碱酯酶、酮戊二酸脱氢酶等；影响钙、磷代谢，摄入过量的氟，造成骨</w:t>
      </w:r>
      <w:r>
        <w:rPr>
          <w:rFonts w:ascii="宋体" w:eastAsia="宋体" w:hAnsi="宋体" w:cs="宋体"/>
          <w:spacing w:val="-13"/>
          <w:sz w:val="22"/>
          <w:szCs w:val="22"/>
        </w:rPr>
        <w:t>骼组织的</w:t>
      </w:r>
      <w:r>
        <w:rPr>
          <w:rFonts w:ascii="宋体" w:eastAsia="宋体" w:hAnsi="宋体" w:cs="宋体"/>
          <w:sz w:val="22"/>
          <w:szCs w:val="22"/>
        </w:rPr>
        <w:t xml:space="preserve"> </w:t>
      </w:r>
      <w:r>
        <w:rPr>
          <w:rFonts w:ascii="宋体" w:eastAsia="宋体" w:hAnsi="宋体" w:cs="宋体"/>
          <w:spacing w:val="-13"/>
          <w:sz w:val="22"/>
          <w:szCs w:val="22"/>
        </w:rPr>
        <w:t>氟化钙异常的增加，使骨密度增加，骨膜增厚，骨质增加，</w:t>
      </w:r>
      <w:r>
        <w:rPr>
          <w:rFonts w:ascii="宋体" w:eastAsia="宋体" w:hAnsi="宋体" w:cs="宋体"/>
          <w:spacing w:val="-14"/>
          <w:sz w:val="22"/>
          <w:szCs w:val="22"/>
        </w:rPr>
        <w:t>并有韧带和骨骼肌的</w:t>
      </w:r>
      <w:r>
        <w:rPr>
          <w:rFonts w:ascii="宋体" w:eastAsia="宋体" w:hAnsi="宋体" w:cs="宋体"/>
          <w:sz w:val="22"/>
          <w:szCs w:val="22"/>
        </w:rPr>
        <w:t xml:space="preserve"> </w:t>
      </w:r>
      <w:r>
        <w:rPr>
          <w:rFonts w:ascii="宋体" w:eastAsia="宋体" w:hAnsi="宋体" w:cs="宋体"/>
          <w:spacing w:val="-9"/>
          <w:sz w:val="22"/>
          <w:szCs w:val="22"/>
        </w:rPr>
        <w:t>钙化，引起运动系统的障碍；过量的氟还会发生“牙</w:t>
      </w:r>
      <w:r>
        <w:rPr>
          <w:rFonts w:ascii="宋体" w:eastAsia="宋体" w:hAnsi="宋体" w:cs="宋体"/>
          <w:spacing w:val="-10"/>
          <w:sz w:val="22"/>
          <w:szCs w:val="22"/>
        </w:rPr>
        <w:t>氟中毒”,即使牙齿的釉质</w:t>
      </w:r>
      <w:r>
        <w:rPr>
          <w:rFonts w:ascii="宋体" w:eastAsia="宋体" w:hAnsi="宋体" w:cs="宋体"/>
          <w:sz w:val="22"/>
          <w:szCs w:val="22"/>
        </w:rPr>
        <w:t xml:space="preserve"> </w:t>
      </w:r>
      <w:r>
        <w:rPr>
          <w:rFonts w:ascii="宋体" w:eastAsia="宋体" w:hAnsi="宋体" w:cs="宋体"/>
          <w:spacing w:val="-4"/>
          <w:sz w:val="22"/>
          <w:szCs w:val="22"/>
        </w:rPr>
        <w:t>发育不全，并产生锈色，如一地区饮用水中氟超过10</w:t>
      </w:r>
      <w:r>
        <w:rPr>
          <w:rFonts w:ascii="宋体" w:eastAsia="宋体" w:hAnsi="宋体" w:cs="宋体"/>
          <w:spacing w:val="21"/>
          <w:sz w:val="22"/>
          <w:szCs w:val="22"/>
        </w:rPr>
        <w:t xml:space="preserve"> </w:t>
      </w:r>
      <w:r>
        <w:rPr>
          <w:rFonts w:ascii="宋体" w:eastAsia="宋体" w:hAnsi="宋体" w:cs="宋体"/>
          <w:spacing w:val="-4"/>
          <w:sz w:val="22"/>
          <w:szCs w:val="22"/>
        </w:rPr>
        <w:t>mg/kg</w:t>
      </w:r>
      <w:r>
        <w:rPr>
          <w:rFonts w:ascii="宋体" w:eastAsia="宋体" w:hAnsi="宋体" w:cs="宋体"/>
          <w:spacing w:val="-7"/>
          <w:sz w:val="22"/>
          <w:szCs w:val="22"/>
        </w:rPr>
        <w:t xml:space="preserve"> </w:t>
      </w:r>
      <w:r>
        <w:rPr>
          <w:rFonts w:ascii="宋体" w:eastAsia="宋体" w:hAnsi="宋体" w:cs="宋体"/>
          <w:spacing w:val="-4"/>
          <w:sz w:val="22"/>
          <w:szCs w:val="22"/>
        </w:rPr>
        <w:t>时就会发生上述</w:t>
      </w:r>
      <w:r>
        <w:rPr>
          <w:rFonts w:ascii="宋体" w:eastAsia="宋体" w:hAnsi="宋体" w:cs="宋体"/>
          <w:sz w:val="22"/>
          <w:szCs w:val="22"/>
        </w:rPr>
        <w:t xml:space="preserve"> </w:t>
      </w:r>
      <w:r>
        <w:rPr>
          <w:rFonts w:ascii="宋体" w:eastAsia="宋体" w:hAnsi="宋体" w:cs="宋体"/>
          <w:spacing w:val="-10"/>
          <w:sz w:val="22"/>
          <w:szCs w:val="22"/>
        </w:rPr>
        <w:t>现象。</w:t>
      </w:r>
    </w:p>
    <w:p w:rsidR="00EA40A3" w:rsidRDefault="00E86C16">
      <w:pPr>
        <w:spacing w:before="205" w:line="222" w:lineRule="auto"/>
        <w:rPr>
          <w:rFonts w:ascii="仿宋" w:eastAsia="仿宋" w:hAnsi="仿宋" w:cs="仿宋"/>
          <w:sz w:val="22"/>
          <w:szCs w:val="22"/>
        </w:rPr>
      </w:pPr>
      <w:r>
        <w:rPr>
          <w:rFonts w:ascii="仿宋" w:eastAsia="仿宋" w:hAnsi="仿宋" w:cs="仿宋"/>
          <w:spacing w:val="10"/>
          <w:sz w:val="22"/>
          <w:szCs w:val="22"/>
        </w:rPr>
        <w:t>4.</w:t>
      </w:r>
      <w:r>
        <w:rPr>
          <w:rFonts w:ascii="仿宋" w:eastAsia="仿宋" w:hAnsi="仿宋" w:cs="仿宋"/>
          <w:spacing w:val="-13"/>
          <w:sz w:val="22"/>
          <w:szCs w:val="22"/>
        </w:rPr>
        <w:t xml:space="preserve"> </w:t>
      </w:r>
      <w:r>
        <w:rPr>
          <w:rFonts w:ascii="仿宋" w:eastAsia="仿宋" w:hAnsi="仿宋" w:cs="仿宋"/>
          <w:spacing w:val="10"/>
          <w:sz w:val="22"/>
          <w:szCs w:val="22"/>
        </w:rPr>
        <w:t>氟的参考摄入量与来源</w:t>
      </w:r>
    </w:p>
    <w:p w:rsidR="00EA40A3" w:rsidRDefault="00E86C16">
      <w:pPr>
        <w:spacing w:before="180" w:line="255" w:lineRule="auto"/>
        <w:ind w:right="20" w:firstLine="429"/>
        <w:jc w:val="both"/>
        <w:rPr>
          <w:rFonts w:ascii="宋体" w:eastAsia="宋体" w:hAnsi="宋体" w:cs="宋体"/>
          <w:sz w:val="22"/>
          <w:szCs w:val="22"/>
        </w:rPr>
      </w:pPr>
      <w:r>
        <w:rPr>
          <w:rFonts w:ascii="宋体" w:eastAsia="宋体" w:hAnsi="宋体" w:cs="宋体"/>
          <w:spacing w:val="2"/>
          <w:sz w:val="22"/>
          <w:szCs w:val="22"/>
        </w:rPr>
        <w:t>我国居民氟的</w:t>
      </w:r>
      <w:r>
        <w:rPr>
          <w:rFonts w:ascii="宋体" w:eastAsia="宋体" w:hAnsi="宋体" w:cs="宋体"/>
          <w:sz w:val="22"/>
          <w:szCs w:val="22"/>
        </w:rPr>
        <w:t>AI</w:t>
      </w:r>
      <w:r>
        <w:rPr>
          <w:rFonts w:ascii="宋体" w:eastAsia="宋体" w:hAnsi="宋体" w:cs="宋体"/>
          <w:spacing w:val="2"/>
          <w:sz w:val="22"/>
          <w:szCs w:val="22"/>
        </w:rPr>
        <w:t>(</w:t>
      </w:r>
      <w:r>
        <w:rPr>
          <w:rFonts w:ascii="宋体" w:eastAsia="宋体" w:hAnsi="宋体" w:cs="宋体"/>
          <w:sz w:val="22"/>
          <w:szCs w:val="22"/>
        </w:rPr>
        <w:t>mg</w:t>
      </w:r>
      <w:r>
        <w:rPr>
          <w:rFonts w:ascii="宋体" w:eastAsia="宋体" w:hAnsi="宋体" w:cs="宋体"/>
          <w:spacing w:val="2"/>
          <w:sz w:val="22"/>
          <w:szCs w:val="22"/>
        </w:rPr>
        <w:t>/d)</w:t>
      </w:r>
      <w:r>
        <w:rPr>
          <w:rFonts w:ascii="宋体" w:eastAsia="宋体" w:hAnsi="宋体" w:cs="宋体"/>
          <w:spacing w:val="20"/>
          <w:sz w:val="22"/>
          <w:szCs w:val="22"/>
        </w:rPr>
        <w:t xml:space="preserve">  </w:t>
      </w:r>
      <w:r>
        <w:rPr>
          <w:rFonts w:ascii="宋体" w:eastAsia="宋体" w:hAnsi="宋体" w:cs="宋体"/>
          <w:spacing w:val="2"/>
          <w:sz w:val="22"/>
          <w:szCs w:val="22"/>
        </w:rPr>
        <w:t>分别定为：0～0.5岁</w:t>
      </w:r>
      <w:r>
        <w:rPr>
          <w:rFonts w:ascii="宋体" w:eastAsia="宋体" w:hAnsi="宋体" w:cs="宋体"/>
          <w:spacing w:val="1"/>
          <w:sz w:val="22"/>
          <w:szCs w:val="22"/>
        </w:rPr>
        <w:t>为0.1、0.5～1岁为0.4、</w:t>
      </w:r>
      <w:r>
        <w:rPr>
          <w:rFonts w:ascii="宋体" w:eastAsia="宋体" w:hAnsi="宋体" w:cs="宋体"/>
          <w:sz w:val="22"/>
          <w:szCs w:val="22"/>
        </w:rPr>
        <w:t xml:space="preserve"> </w:t>
      </w:r>
      <w:r>
        <w:rPr>
          <w:rFonts w:ascii="宋体" w:eastAsia="宋体" w:hAnsi="宋体" w:cs="宋体"/>
          <w:spacing w:val="2"/>
          <w:sz w:val="22"/>
          <w:szCs w:val="22"/>
        </w:rPr>
        <w:t>1～4岁为0.6、4～7岁为0.8、7～11岁为1.0、11～14岁为1.2、14～18岁为</w:t>
      </w:r>
      <w:r>
        <w:rPr>
          <w:rFonts w:ascii="宋体" w:eastAsia="宋体" w:hAnsi="宋体" w:cs="宋体"/>
          <w:spacing w:val="4"/>
          <w:sz w:val="22"/>
          <w:szCs w:val="22"/>
        </w:rPr>
        <w:t xml:space="preserve">  </w:t>
      </w:r>
      <w:r>
        <w:rPr>
          <w:rFonts w:ascii="宋体" w:eastAsia="宋体" w:hAnsi="宋体" w:cs="宋体"/>
          <w:sz w:val="22"/>
          <w:szCs w:val="22"/>
        </w:rPr>
        <w:t>1.4、18岁以上各人群(含孕妇和</w:t>
      </w:r>
      <w:r>
        <w:rPr>
          <w:rFonts w:ascii="宋体" w:eastAsia="宋体" w:hAnsi="宋体" w:cs="宋体"/>
          <w:spacing w:val="-1"/>
          <w:sz w:val="22"/>
          <w:szCs w:val="22"/>
        </w:rPr>
        <w:t>乳母)为1.51。居民氟的</w:t>
      </w:r>
      <w:r>
        <w:rPr>
          <w:rFonts w:ascii="宋体" w:eastAsia="宋体" w:hAnsi="宋体" w:cs="宋体"/>
          <w:sz w:val="22"/>
          <w:szCs w:val="22"/>
        </w:rPr>
        <w:t>UL</w:t>
      </w:r>
      <w:r>
        <w:rPr>
          <w:rFonts w:ascii="宋体" w:eastAsia="宋体" w:hAnsi="宋体" w:cs="宋体"/>
          <w:spacing w:val="-1"/>
          <w:sz w:val="22"/>
          <w:szCs w:val="22"/>
        </w:rPr>
        <w:t>(</w:t>
      </w:r>
      <w:r>
        <w:rPr>
          <w:rFonts w:ascii="宋体" w:eastAsia="宋体" w:hAnsi="宋体" w:cs="宋体"/>
          <w:sz w:val="22"/>
          <w:szCs w:val="22"/>
        </w:rPr>
        <w:t>mg</w:t>
      </w:r>
      <w:r>
        <w:rPr>
          <w:rFonts w:ascii="宋体" w:eastAsia="宋体" w:hAnsi="宋体" w:cs="宋体"/>
          <w:spacing w:val="-1"/>
          <w:sz w:val="22"/>
          <w:szCs w:val="22"/>
        </w:rPr>
        <w:t>/d)</w:t>
      </w:r>
      <w:r>
        <w:rPr>
          <w:rFonts w:ascii="宋体" w:eastAsia="宋体" w:hAnsi="宋体" w:cs="宋体"/>
          <w:spacing w:val="51"/>
          <w:sz w:val="22"/>
          <w:szCs w:val="22"/>
        </w:rPr>
        <w:t xml:space="preserve">  </w:t>
      </w:r>
      <w:r>
        <w:rPr>
          <w:rFonts w:ascii="宋体" w:eastAsia="宋体" w:hAnsi="宋体" w:cs="宋体"/>
          <w:spacing w:val="-1"/>
          <w:sz w:val="22"/>
          <w:szCs w:val="22"/>
        </w:rPr>
        <w:t>分别定</w:t>
      </w:r>
      <w:r>
        <w:rPr>
          <w:rFonts w:ascii="宋体" w:eastAsia="宋体" w:hAnsi="宋体" w:cs="宋体"/>
          <w:sz w:val="22"/>
          <w:szCs w:val="22"/>
        </w:rPr>
        <w:t xml:space="preserve">  </w:t>
      </w:r>
      <w:r>
        <w:rPr>
          <w:rFonts w:ascii="宋体" w:eastAsia="宋体" w:hAnsi="宋体" w:cs="宋体"/>
          <w:spacing w:val="3"/>
          <w:sz w:val="22"/>
          <w:szCs w:val="22"/>
        </w:rPr>
        <w:t>为：0～0.5岁为0.4、0.5～1岁为</w:t>
      </w:r>
      <w:r>
        <w:rPr>
          <w:rFonts w:ascii="宋体" w:eastAsia="宋体" w:hAnsi="宋体" w:cs="宋体"/>
          <w:spacing w:val="2"/>
          <w:sz w:val="22"/>
          <w:szCs w:val="22"/>
        </w:rPr>
        <w:t>0.8、1～4岁为1.2、4～7岁为1.6、7～11</w:t>
      </w:r>
      <w:r>
        <w:rPr>
          <w:rFonts w:ascii="宋体" w:eastAsia="宋体" w:hAnsi="宋体" w:cs="宋体"/>
          <w:sz w:val="22"/>
          <w:szCs w:val="22"/>
        </w:rPr>
        <w:t xml:space="preserve"> </w:t>
      </w:r>
      <w:r>
        <w:rPr>
          <w:rFonts w:ascii="宋体" w:eastAsia="宋体" w:hAnsi="宋体" w:cs="宋体"/>
          <w:spacing w:val="5"/>
          <w:sz w:val="22"/>
          <w:szCs w:val="22"/>
        </w:rPr>
        <w:t>岁为2.0、11～14岁为2.4、14～18岁为2.8、18岁以上各人群(含孕妇和乳</w:t>
      </w:r>
      <w:r>
        <w:rPr>
          <w:rFonts w:ascii="宋体" w:eastAsia="宋体" w:hAnsi="宋体" w:cs="宋体"/>
          <w:sz w:val="22"/>
          <w:szCs w:val="22"/>
        </w:rPr>
        <w:t xml:space="preserve">  </w:t>
      </w:r>
      <w:r>
        <w:rPr>
          <w:rFonts w:ascii="宋体" w:eastAsia="宋体" w:hAnsi="宋体" w:cs="宋体"/>
          <w:spacing w:val="8"/>
          <w:sz w:val="22"/>
          <w:szCs w:val="22"/>
        </w:rPr>
        <w:t>母)为3.0。</w:t>
      </w:r>
    </w:p>
    <w:p w:rsidR="00EA40A3" w:rsidRDefault="00E86C16">
      <w:pPr>
        <w:spacing w:before="45" w:line="248" w:lineRule="auto"/>
        <w:ind w:right="84" w:firstLine="429"/>
        <w:jc w:val="both"/>
        <w:rPr>
          <w:rFonts w:ascii="宋体" w:eastAsia="宋体" w:hAnsi="宋体" w:cs="宋体"/>
          <w:sz w:val="22"/>
          <w:szCs w:val="22"/>
        </w:rPr>
      </w:pPr>
      <w:r>
        <w:rPr>
          <w:rFonts w:ascii="宋体" w:eastAsia="宋体" w:hAnsi="宋体" w:cs="宋体"/>
          <w:spacing w:val="-8"/>
          <w:sz w:val="22"/>
          <w:szCs w:val="22"/>
        </w:rPr>
        <w:t>氟的主要来源是饮用水，</w:t>
      </w:r>
      <w:r>
        <w:rPr>
          <w:rFonts w:ascii="宋体" w:eastAsia="宋体" w:hAnsi="宋体" w:cs="宋体"/>
          <w:spacing w:val="58"/>
          <w:sz w:val="22"/>
          <w:szCs w:val="22"/>
        </w:rPr>
        <w:t xml:space="preserve"> </w:t>
      </w:r>
      <w:r>
        <w:rPr>
          <w:rFonts w:ascii="宋体" w:eastAsia="宋体" w:hAnsi="宋体" w:cs="宋体"/>
          <w:spacing w:val="-8"/>
          <w:sz w:val="22"/>
          <w:szCs w:val="22"/>
        </w:rPr>
        <w:t>一般饮用水中氟的含量为0.2～1</w:t>
      </w:r>
      <w:r>
        <w:rPr>
          <w:rFonts w:ascii="宋体" w:eastAsia="宋体" w:hAnsi="宋体" w:cs="宋体"/>
          <w:spacing w:val="-9"/>
          <w:sz w:val="22"/>
          <w:szCs w:val="22"/>
        </w:rPr>
        <w:t>.0</w:t>
      </w:r>
      <w:r>
        <w:rPr>
          <w:rFonts w:ascii="宋体" w:eastAsia="宋体" w:hAnsi="宋体" w:cs="宋体"/>
          <w:spacing w:val="-8"/>
          <w:sz w:val="22"/>
          <w:szCs w:val="22"/>
        </w:rPr>
        <w:t>mg</w:t>
      </w:r>
      <w:r>
        <w:rPr>
          <w:rFonts w:ascii="宋体" w:eastAsia="宋体" w:hAnsi="宋体" w:cs="宋体"/>
          <w:spacing w:val="-9"/>
          <w:sz w:val="22"/>
          <w:szCs w:val="22"/>
        </w:rPr>
        <w:t>/</w:t>
      </w:r>
      <w:r>
        <w:rPr>
          <w:rFonts w:ascii="宋体" w:eastAsia="宋体" w:hAnsi="宋体" w:cs="宋体"/>
          <w:spacing w:val="-8"/>
          <w:sz w:val="22"/>
          <w:szCs w:val="22"/>
        </w:rPr>
        <w:t>kg</w:t>
      </w:r>
      <w:r>
        <w:rPr>
          <w:rFonts w:ascii="宋体" w:eastAsia="宋体" w:hAnsi="宋体" w:cs="宋体"/>
          <w:spacing w:val="-9"/>
          <w:sz w:val="22"/>
          <w:szCs w:val="22"/>
        </w:rPr>
        <w:t>,</w:t>
      </w:r>
      <w:r>
        <w:rPr>
          <w:rFonts w:ascii="宋体" w:eastAsia="宋体" w:hAnsi="宋体" w:cs="宋体"/>
          <w:spacing w:val="42"/>
          <w:sz w:val="22"/>
          <w:szCs w:val="22"/>
        </w:rPr>
        <w:t xml:space="preserve"> </w:t>
      </w:r>
      <w:r>
        <w:rPr>
          <w:rFonts w:ascii="宋体" w:eastAsia="宋体" w:hAnsi="宋体" w:cs="宋体"/>
          <w:spacing w:val="-9"/>
          <w:sz w:val="22"/>
          <w:szCs w:val="22"/>
        </w:rPr>
        <w:t>软水</w:t>
      </w:r>
      <w:r>
        <w:rPr>
          <w:rFonts w:ascii="宋体" w:eastAsia="宋体" w:hAnsi="宋体" w:cs="宋体"/>
          <w:sz w:val="22"/>
          <w:szCs w:val="22"/>
        </w:rPr>
        <w:t xml:space="preserve"> </w:t>
      </w:r>
      <w:r>
        <w:rPr>
          <w:rFonts w:ascii="宋体" w:eastAsia="宋体" w:hAnsi="宋体" w:cs="宋体"/>
          <w:spacing w:val="1"/>
          <w:sz w:val="22"/>
          <w:szCs w:val="22"/>
        </w:rPr>
        <w:t>中不存在氟，而有些硬水中氟可高达10</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z w:val="22"/>
          <w:szCs w:val="22"/>
        </w:rPr>
        <w:t>kg</w:t>
      </w:r>
      <w:r>
        <w:rPr>
          <w:rFonts w:ascii="宋体" w:eastAsia="宋体" w:hAnsi="宋体" w:cs="宋体"/>
          <w:spacing w:val="1"/>
          <w:sz w:val="22"/>
          <w:szCs w:val="22"/>
        </w:rPr>
        <w:t>,</w:t>
      </w:r>
      <w:r>
        <w:rPr>
          <w:rFonts w:ascii="宋体" w:eastAsia="宋体" w:hAnsi="宋体" w:cs="宋体"/>
          <w:spacing w:val="45"/>
          <w:sz w:val="22"/>
          <w:szCs w:val="22"/>
        </w:rPr>
        <w:t xml:space="preserve"> </w:t>
      </w:r>
      <w:r>
        <w:rPr>
          <w:rFonts w:ascii="宋体" w:eastAsia="宋体" w:hAnsi="宋体" w:cs="宋体"/>
          <w:spacing w:val="1"/>
          <w:sz w:val="22"/>
          <w:szCs w:val="22"/>
        </w:rPr>
        <w:t>对牙齿的最适量为1</w:t>
      </w:r>
      <w:r>
        <w:rPr>
          <w:rFonts w:ascii="宋体" w:eastAsia="宋体" w:hAnsi="宋体" w:cs="宋体"/>
          <w:spacing w:val="-52"/>
          <w:sz w:val="22"/>
          <w:szCs w:val="22"/>
        </w:rPr>
        <w:t xml:space="preserve"> </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z w:val="22"/>
          <w:szCs w:val="22"/>
        </w:rPr>
        <w:t>kg</w:t>
      </w:r>
      <w:r>
        <w:rPr>
          <w:rFonts w:ascii="宋体" w:eastAsia="宋体" w:hAnsi="宋体" w:cs="宋体"/>
          <w:spacing w:val="1"/>
          <w:sz w:val="22"/>
          <w:szCs w:val="22"/>
        </w:rPr>
        <w:t>。</w:t>
      </w:r>
      <w:r>
        <w:rPr>
          <w:rFonts w:ascii="宋体" w:eastAsia="宋体" w:hAnsi="宋体" w:cs="宋体"/>
          <w:sz w:val="22"/>
          <w:szCs w:val="22"/>
        </w:rPr>
        <w:t xml:space="preserve"> </w:t>
      </w:r>
      <w:r>
        <w:rPr>
          <w:rFonts w:ascii="宋体" w:eastAsia="宋体" w:hAnsi="宋体" w:cs="宋体"/>
          <w:spacing w:val="-3"/>
          <w:sz w:val="22"/>
          <w:szCs w:val="22"/>
        </w:rPr>
        <w:t>食品中氟的含量一般很低，约低于1</w:t>
      </w:r>
      <w:r>
        <w:rPr>
          <w:rFonts w:ascii="宋体" w:eastAsia="宋体" w:hAnsi="宋体" w:cs="宋体"/>
          <w:spacing w:val="-43"/>
          <w:sz w:val="22"/>
          <w:szCs w:val="22"/>
        </w:rPr>
        <w:t xml:space="preserve"> </w:t>
      </w:r>
      <w:r>
        <w:rPr>
          <w:rFonts w:ascii="宋体" w:eastAsia="宋体" w:hAnsi="宋体" w:cs="宋体"/>
          <w:spacing w:val="-3"/>
          <w:sz w:val="22"/>
          <w:szCs w:val="22"/>
        </w:rPr>
        <w:t>mg/kg</w:t>
      </w:r>
      <w:r>
        <w:rPr>
          <w:rFonts w:ascii="宋体" w:eastAsia="宋体" w:hAnsi="宋体" w:cs="宋体"/>
          <w:spacing w:val="-4"/>
          <w:sz w:val="22"/>
          <w:szCs w:val="22"/>
        </w:rPr>
        <w:t>,</w:t>
      </w:r>
      <w:r>
        <w:rPr>
          <w:rFonts w:ascii="宋体" w:eastAsia="宋体" w:hAnsi="宋体" w:cs="宋体"/>
          <w:spacing w:val="43"/>
          <w:sz w:val="22"/>
          <w:szCs w:val="22"/>
        </w:rPr>
        <w:t xml:space="preserve"> </w:t>
      </w:r>
      <w:r>
        <w:rPr>
          <w:rFonts w:ascii="宋体" w:eastAsia="宋体" w:hAnsi="宋体" w:cs="宋体"/>
          <w:spacing w:val="-4"/>
          <w:sz w:val="22"/>
          <w:szCs w:val="22"/>
        </w:rPr>
        <w:t>但海鱼中含量非常丰富，可高达</w:t>
      </w:r>
      <w:r>
        <w:rPr>
          <w:rFonts w:ascii="宋体" w:eastAsia="宋体" w:hAnsi="宋体" w:cs="宋体"/>
          <w:sz w:val="22"/>
          <w:szCs w:val="22"/>
        </w:rPr>
        <w:t xml:space="preserve"> </w:t>
      </w:r>
      <w:r>
        <w:rPr>
          <w:rFonts w:ascii="宋体" w:eastAsia="宋体" w:hAnsi="宋体" w:cs="宋体"/>
          <w:spacing w:val="-11"/>
          <w:sz w:val="22"/>
          <w:szCs w:val="22"/>
        </w:rPr>
        <w:t>5～10mg/kg。</w:t>
      </w:r>
      <w:r>
        <w:rPr>
          <w:rFonts w:ascii="宋体" w:eastAsia="宋体" w:hAnsi="宋体" w:cs="宋体"/>
          <w:spacing w:val="2"/>
          <w:sz w:val="22"/>
          <w:szCs w:val="22"/>
        </w:rPr>
        <w:t xml:space="preserve">  </w:t>
      </w:r>
      <w:r>
        <w:rPr>
          <w:rFonts w:ascii="宋体" w:eastAsia="宋体" w:hAnsi="宋体" w:cs="宋体"/>
          <w:spacing w:val="-11"/>
          <w:sz w:val="22"/>
          <w:szCs w:val="22"/>
        </w:rPr>
        <w:t>另一富氟资源为茶叶，尤其是中国茶，</w:t>
      </w:r>
      <w:r>
        <w:rPr>
          <w:rFonts w:ascii="宋体" w:eastAsia="宋体" w:hAnsi="宋体" w:cs="宋体"/>
          <w:spacing w:val="-12"/>
          <w:sz w:val="22"/>
          <w:szCs w:val="22"/>
        </w:rPr>
        <w:t>如在干早地区的茶中氟的</w:t>
      </w:r>
      <w:r>
        <w:rPr>
          <w:rFonts w:ascii="宋体" w:eastAsia="宋体" w:hAnsi="宋体" w:cs="宋体"/>
          <w:sz w:val="22"/>
          <w:szCs w:val="22"/>
        </w:rPr>
        <w:t xml:space="preserve"> </w:t>
      </w:r>
      <w:r>
        <w:rPr>
          <w:rFonts w:ascii="宋体" w:eastAsia="宋体" w:hAnsi="宋体" w:cs="宋体"/>
          <w:spacing w:val="-1"/>
          <w:sz w:val="22"/>
          <w:szCs w:val="22"/>
        </w:rPr>
        <w:t>含量可高达100</w:t>
      </w:r>
      <w:r>
        <w:rPr>
          <w:rFonts w:ascii="宋体" w:eastAsia="宋体" w:hAnsi="宋体" w:cs="宋体"/>
          <w:spacing w:val="13"/>
          <w:sz w:val="22"/>
          <w:szCs w:val="22"/>
        </w:rPr>
        <w:t xml:space="preserve"> </w:t>
      </w:r>
      <w:r>
        <w:rPr>
          <w:rFonts w:ascii="宋体" w:eastAsia="宋体" w:hAnsi="宋体" w:cs="宋体"/>
          <w:spacing w:val="-1"/>
          <w:sz w:val="22"/>
          <w:szCs w:val="22"/>
        </w:rPr>
        <w:t>mg/kg。</w:t>
      </w:r>
      <w:r>
        <w:rPr>
          <w:rFonts w:ascii="宋体" w:eastAsia="宋体" w:hAnsi="宋体" w:cs="宋体"/>
          <w:spacing w:val="13"/>
          <w:sz w:val="22"/>
          <w:szCs w:val="22"/>
        </w:rPr>
        <w:t xml:space="preserve"> </w:t>
      </w:r>
      <w:r>
        <w:rPr>
          <w:rFonts w:ascii="宋体" w:eastAsia="宋体" w:hAnsi="宋体" w:cs="宋体"/>
          <w:spacing w:val="-1"/>
          <w:sz w:val="22"/>
          <w:szCs w:val="22"/>
        </w:rPr>
        <w:t>一般情况下，每日从饮水中摄取的氟约占65%,其余</w:t>
      </w:r>
      <w:r>
        <w:rPr>
          <w:rFonts w:ascii="宋体" w:eastAsia="宋体" w:hAnsi="宋体" w:cs="宋体"/>
          <w:sz w:val="22"/>
          <w:szCs w:val="22"/>
        </w:rPr>
        <w:t xml:space="preserve"> </w:t>
      </w:r>
      <w:r>
        <w:rPr>
          <w:rFonts w:ascii="宋体" w:eastAsia="宋体" w:hAnsi="宋体" w:cs="宋体"/>
          <w:spacing w:val="-18"/>
          <w:sz w:val="22"/>
          <w:szCs w:val="22"/>
        </w:rPr>
        <w:t>从食物中摄入。</w:t>
      </w:r>
    </w:p>
    <w:p w:rsidR="00EA40A3" w:rsidRDefault="00E86C16">
      <w:pPr>
        <w:spacing w:before="242" w:line="222" w:lineRule="auto"/>
        <w:ind w:left="3"/>
        <w:outlineLvl w:val="6"/>
        <w:rPr>
          <w:rFonts w:ascii="黑体" w:eastAsia="黑体" w:hAnsi="黑体" w:cs="黑体"/>
          <w:sz w:val="22"/>
          <w:szCs w:val="22"/>
        </w:rPr>
      </w:pPr>
      <w:r>
        <w:rPr>
          <w:rFonts w:ascii="黑体" w:eastAsia="黑体" w:hAnsi="黑体" w:cs="黑体"/>
          <w:b/>
          <w:bCs/>
          <w:spacing w:val="5"/>
          <w:sz w:val="22"/>
          <w:szCs w:val="22"/>
        </w:rPr>
        <w:t>4.1.12</w:t>
      </w:r>
      <w:r>
        <w:rPr>
          <w:rFonts w:ascii="黑体" w:eastAsia="黑体" w:hAnsi="黑体" w:cs="黑体"/>
          <w:spacing w:val="52"/>
          <w:sz w:val="22"/>
          <w:szCs w:val="22"/>
        </w:rPr>
        <w:t xml:space="preserve">  </w:t>
      </w:r>
      <w:r>
        <w:rPr>
          <w:rFonts w:ascii="黑体" w:eastAsia="黑体" w:hAnsi="黑体" w:cs="黑体"/>
          <w:b/>
          <w:bCs/>
          <w:spacing w:val="5"/>
          <w:sz w:val="22"/>
          <w:szCs w:val="22"/>
        </w:rPr>
        <w:t>其他矿物质</w:t>
      </w:r>
    </w:p>
    <w:p w:rsidR="00EA40A3" w:rsidRDefault="00E86C16">
      <w:pPr>
        <w:spacing w:before="242" w:line="229" w:lineRule="auto"/>
        <w:rPr>
          <w:rFonts w:ascii="楷体" w:eastAsia="楷体" w:hAnsi="楷体" w:cs="楷体"/>
          <w:sz w:val="22"/>
          <w:szCs w:val="22"/>
        </w:rPr>
      </w:pPr>
      <w:r>
        <w:rPr>
          <w:rFonts w:ascii="楷体" w:eastAsia="楷体" w:hAnsi="楷体" w:cs="楷体"/>
          <w:spacing w:val="-12"/>
          <w:sz w:val="22"/>
          <w:szCs w:val="22"/>
        </w:rPr>
        <w:t>1</w:t>
      </w:r>
      <w:r>
        <w:rPr>
          <w:rFonts w:ascii="楷体" w:eastAsia="楷体" w:hAnsi="楷体" w:cs="楷体"/>
          <w:spacing w:val="-58"/>
          <w:sz w:val="22"/>
          <w:szCs w:val="22"/>
        </w:rPr>
        <w:t xml:space="preserve"> </w:t>
      </w:r>
      <w:r>
        <w:rPr>
          <w:rFonts w:ascii="楷体" w:eastAsia="楷体" w:hAnsi="楷体" w:cs="楷体"/>
          <w:spacing w:val="-12"/>
          <w:sz w:val="22"/>
          <w:szCs w:val="22"/>
        </w:rPr>
        <w:t>.</w:t>
      </w:r>
      <w:r>
        <w:rPr>
          <w:rFonts w:ascii="楷体" w:eastAsia="楷体" w:hAnsi="楷体" w:cs="楷体"/>
          <w:spacing w:val="-52"/>
          <w:sz w:val="22"/>
          <w:szCs w:val="22"/>
        </w:rPr>
        <w:t xml:space="preserve"> </w:t>
      </w:r>
      <w:r>
        <w:rPr>
          <w:rFonts w:ascii="楷体" w:eastAsia="楷体" w:hAnsi="楷体" w:cs="楷体"/>
          <w:spacing w:val="-12"/>
          <w:sz w:val="22"/>
          <w:szCs w:val="22"/>
        </w:rPr>
        <w:t>氯</w:t>
      </w:r>
    </w:p>
    <w:p w:rsidR="00EA40A3" w:rsidRDefault="00E86C16">
      <w:pPr>
        <w:spacing w:before="184" w:line="244" w:lineRule="auto"/>
        <w:ind w:right="39" w:firstLine="429"/>
        <w:rPr>
          <w:rFonts w:ascii="宋体" w:eastAsia="宋体" w:hAnsi="宋体" w:cs="宋体"/>
          <w:sz w:val="22"/>
          <w:szCs w:val="22"/>
        </w:rPr>
      </w:pPr>
      <w:r>
        <w:rPr>
          <w:rFonts w:ascii="宋体" w:eastAsia="宋体" w:hAnsi="宋体" w:cs="宋体"/>
          <w:spacing w:val="-7"/>
          <w:sz w:val="22"/>
          <w:szCs w:val="22"/>
        </w:rPr>
        <w:t>氯</w:t>
      </w:r>
      <w:r>
        <w:rPr>
          <w:rFonts w:ascii="宋体" w:eastAsia="宋体" w:hAnsi="宋体" w:cs="宋体"/>
          <w:spacing w:val="-35"/>
          <w:sz w:val="22"/>
          <w:szCs w:val="22"/>
        </w:rPr>
        <w:t xml:space="preserve"> </w:t>
      </w:r>
      <w:r>
        <w:rPr>
          <w:rFonts w:ascii="宋体" w:eastAsia="宋体" w:hAnsi="宋体" w:cs="宋体"/>
          <w:spacing w:val="-7"/>
          <w:sz w:val="22"/>
          <w:szCs w:val="22"/>
        </w:rPr>
        <w:t>(chlorin)</w:t>
      </w:r>
      <w:r>
        <w:rPr>
          <w:rFonts w:ascii="宋体" w:eastAsia="宋体" w:hAnsi="宋体" w:cs="宋体"/>
          <w:spacing w:val="-54"/>
          <w:sz w:val="22"/>
          <w:szCs w:val="22"/>
        </w:rPr>
        <w:t xml:space="preserve"> </w:t>
      </w:r>
      <w:r>
        <w:rPr>
          <w:rFonts w:ascii="宋体" w:eastAsia="宋体" w:hAnsi="宋体" w:cs="宋体"/>
          <w:spacing w:val="-7"/>
          <w:sz w:val="22"/>
          <w:szCs w:val="22"/>
        </w:rPr>
        <w:t>是人体必需常量元素之一，是维持体液和电解质平衡所必需</w:t>
      </w:r>
      <w:r>
        <w:rPr>
          <w:rFonts w:ascii="宋体" w:eastAsia="宋体" w:hAnsi="宋体" w:cs="宋体"/>
          <w:sz w:val="22"/>
          <w:szCs w:val="22"/>
        </w:rPr>
        <w:t xml:space="preserve"> </w:t>
      </w:r>
      <w:r>
        <w:rPr>
          <w:rFonts w:ascii="宋体" w:eastAsia="宋体" w:hAnsi="宋体" w:cs="宋体"/>
          <w:spacing w:val="-13"/>
          <w:sz w:val="22"/>
          <w:szCs w:val="22"/>
        </w:rPr>
        <w:t>的，也是胃液的一种必需成分。自然界中常以氯化物形式存在，最普通形式是食</w:t>
      </w:r>
      <w:r>
        <w:rPr>
          <w:rFonts w:ascii="宋体" w:eastAsia="宋体" w:hAnsi="宋体" w:cs="宋体"/>
          <w:spacing w:val="3"/>
          <w:sz w:val="22"/>
          <w:szCs w:val="22"/>
        </w:rPr>
        <w:t xml:space="preserve"> </w:t>
      </w:r>
      <w:r>
        <w:rPr>
          <w:rFonts w:ascii="宋体" w:eastAsia="宋体" w:hAnsi="宋体" w:cs="宋体"/>
          <w:spacing w:val="-9"/>
          <w:sz w:val="22"/>
          <w:szCs w:val="22"/>
        </w:rPr>
        <w:t>盐。氯在人体含量平均为1.17g/kg,</w:t>
      </w:r>
      <w:r>
        <w:rPr>
          <w:rFonts w:ascii="宋体" w:eastAsia="宋体" w:hAnsi="宋体" w:cs="宋体"/>
          <w:spacing w:val="-20"/>
          <w:sz w:val="22"/>
          <w:szCs w:val="22"/>
        </w:rPr>
        <w:t xml:space="preserve"> </w:t>
      </w:r>
      <w:r>
        <w:rPr>
          <w:rFonts w:ascii="宋体" w:eastAsia="宋体" w:hAnsi="宋体" w:cs="宋体"/>
          <w:spacing w:val="-9"/>
          <w:sz w:val="22"/>
          <w:szCs w:val="22"/>
        </w:rPr>
        <w:t>广泛分布于全身。主要以氯离子形式与钠、</w:t>
      </w:r>
      <w:r>
        <w:rPr>
          <w:rFonts w:ascii="宋体" w:eastAsia="宋体" w:hAnsi="宋体" w:cs="宋体"/>
          <w:sz w:val="22"/>
          <w:szCs w:val="22"/>
        </w:rPr>
        <w:t xml:space="preserve"> </w:t>
      </w:r>
      <w:r>
        <w:rPr>
          <w:rFonts w:ascii="宋体" w:eastAsia="宋体" w:hAnsi="宋体" w:cs="宋体"/>
          <w:spacing w:val="-14"/>
          <w:sz w:val="22"/>
          <w:szCs w:val="22"/>
        </w:rPr>
        <w:t>钾化合存在。其中氯化钾主要在细胞内液，而氯化钠主要在细胞外液中。</w:t>
      </w:r>
    </w:p>
    <w:p w:rsidR="00EA40A3" w:rsidRDefault="00E86C16">
      <w:pPr>
        <w:spacing w:before="78" w:line="239" w:lineRule="auto"/>
        <w:ind w:right="112" w:firstLine="429"/>
        <w:rPr>
          <w:rFonts w:ascii="宋体" w:eastAsia="宋体" w:hAnsi="宋体" w:cs="宋体"/>
          <w:sz w:val="22"/>
          <w:szCs w:val="22"/>
        </w:rPr>
      </w:pPr>
      <w:r>
        <w:rPr>
          <w:rFonts w:ascii="宋体" w:eastAsia="宋体" w:hAnsi="宋体" w:cs="宋体"/>
          <w:spacing w:val="-13"/>
          <w:sz w:val="22"/>
          <w:szCs w:val="22"/>
        </w:rPr>
        <w:t>氯的生理功能包括维持细胞外液的容量与渗透压，维持体液酸碱平</w:t>
      </w:r>
      <w:r>
        <w:rPr>
          <w:rFonts w:ascii="宋体" w:eastAsia="宋体" w:hAnsi="宋体" w:cs="宋体"/>
          <w:spacing w:val="-14"/>
          <w:sz w:val="22"/>
          <w:szCs w:val="22"/>
        </w:rPr>
        <w:t>衡，参与</w:t>
      </w:r>
      <w:r>
        <w:rPr>
          <w:rFonts w:ascii="宋体" w:eastAsia="宋体" w:hAnsi="宋体" w:cs="宋体"/>
          <w:sz w:val="22"/>
          <w:szCs w:val="22"/>
        </w:rPr>
        <w:t xml:space="preserve"> </w:t>
      </w:r>
      <w:r>
        <w:rPr>
          <w:rFonts w:ascii="宋体" w:eastAsia="宋体" w:hAnsi="宋体" w:cs="宋体"/>
          <w:spacing w:val="-11"/>
          <w:sz w:val="22"/>
          <w:szCs w:val="22"/>
        </w:rPr>
        <w:t>血液CO</w:t>
      </w:r>
      <w:r>
        <w:rPr>
          <w:rFonts w:ascii="Calibri" w:eastAsia="Calibri" w:hAnsi="Calibri" w:cs="Calibri"/>
          <w:spacing w:val="-11"/>
          <w:sz w:val="22"/>
          <w:szCs w:val="22"/>
        </w:rPr>
        <w:t>₂</w:t>
      </w:r>
      <w:r>
        <w:rPr>
          <w:rFonts w:ascii="Calibri" w:eastAsia="Calibri" w:hAnsi="Calibri" w:cs="Calibri"/>
          <w:spacing w:val="29"/>
          <w:sz w:val="22"/>
          <w:szCs w:val="22"/>
        </w:rPr>
        <w:t xml:space="preserve">  </w:t>
      </w:r>
      <w:r>
        <w:rPr>
          <w:rFonts w:ascii="宋体" w:eastAsia="宋体" w:hAnsi="宋体" w:cs="宋体"/>
          <w:spacing w:val="-11"/>
          <w:sz w:val="22"/>
          <w:szCs w:val="22"/>
        </w:rPr>
        <w:t>运输及胃液中胃酸形成等。</w:t>
      </w:r>
    </w:p>
    <w:p w:rsidR="00EA40A3" w:rsidRDefault="00E86C16">
      <w:pPr>
        <w:spacing w:before="59" w:line="247" w:lineRule="auto"/>
        <w:ind w:firstLine="429"/>
        <w:rPr>
          <w:rFonts w:ascii="宋体" w:eastAsia="宋体" w:hAnsi="宋体" w:cs="宋体"/>
          <w:sz w:val="22"/>
          <w:szCs w:val="22"/>
        </w:rPr>
      </w:pPr>
      <w:r>
        <w:rPr>
          <w:rFonts w:ascii="宋体" w:eastAsia="宋体" w:hAnsi="宋体" w:cs="宋体"/>
          <w:spacing w:val="-13"/>
          <w:sz w:val="22"/>
          <w:szCs w:val="22"/>
        </w:rPr>
        <w:t>饮食中的氯多以氯化钠形式被摄入，并在胃肠</w:t>
      </w:r>
      <w:r>
        <w:rPr>
          <w:rFonts w:ascii="宋体" w:eastAsia="宋体" w:hAnsi="宋体" w:cs="宋体"/>
          <w:spacing w:val="-14"/>
          <w:sz w:val="22"/>
          <w:szCs w:val="22"/>
        </w:rPr>
        <w:t>道被吸收。吸收的氯离子经血</w:t>
      </w:r>
      <w:r>
        <w:rPr>
          <w:rFonts w:ascii="宋体" w:eastAsia="宋体" w:hAnsi="宋体" w:cs="宋体"/>
          <w:sz w:val="22"/>
          <w:szCs w:val="22"/>
        </w:rPr>
        <w:t xml:space="preserve">  </w:t>
      </w:r>
      <w:r>
        <w:rPr>
          <w:rFonts w:ascii="宋体" w:eastAsia="宋体" w:hAnsi="宋体" w:cs="宋体"/>
          <w:spacing w:val="-10"/>
          <w:sz w:val="22"/>
          <w:szCs w:val="22"/>
        </w:rPr>
        <w:t>液和淋巴液运输至各种组织中。氯化物主要从肾脏排出，但经肾小球滤过的氯，</w:t>
      </w:r>
      <w:r>
        <w:rPr>
          <w:rFonts w:ascii="宋体" w:eastAsia="宋体" w:hAnsi="宋体" w:cs="宋体"/>
          <w:spacing w:val="18"/>
          <w:sz w:val="22"/>
          <w:szCs w:val="22"/>
        </w:rPr>
        <w:t xml:space="preserve"> </w:t>
      </w:r>
      <w:r>
        <w:rPr>
          <w:rFonts w:ascii="宋体" w:eastAsia="宋体" w:hAnsi="宋体" w:cs="宋体"/>
          <w:spacing w:val="-1"/>
          <w:sz w:val="22"/>
          <w:szCs w:val="22"/>
        </w:rPr>
        <w:t>约有80%被重吸收，只有小部分经尿排出体外。氯和钠除主要从肾排出体外，</w:t>
      </w:r>
    </w:p>
    <w:p w:rsidR="00EA40A3" w:rsidRDefault="00E86C16">
      <w:pPr>
        <w:spacing w:before="82" w:line="241" w:lineRule="auto"/>
        <w:ind w:left="159"/>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114</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1010" w:bottom="400" w:left="840" w:header="0" w:footer="0" w:gutter="0"/>
          <w:cols w:space="720"/>
        </w:sectPr>
      </w:pPr>
    </w:p>
    <w:p w:rsidR="00EA40A3" w:rsidRDefault="00EA40A3">
      <w:pPr>
        <w:spacing w:line="266" w:lineRule="auto"/>
      </w:pPr>
    </w:p>
    <w:p w:rsidR="00EA40A3" w:rsidRDefault="00EA40A3">
      <w:pPr>
        <w:spacing w:line="267" w:lineRule="auto"/>
      </w:pPr>
    </w:p>
    <w:p w:rsidR="00EA40A3" w:rsidRDefault="00E86C16">
      <w:pPr>
        <w:spacing w:before="72" w:line="242" w:lineRule="auto"/>
        <w:ind w:right="93"/>
        <w:rPr>
          <w:rFonts w:ascii="宋体" w:eastAsia="宋体" w:hAnsi="宋体" w:cs="宋体"/>
          <w:sz w:val="22"/>
          <w:szCs w:val="22"/>
        </w:rPr>
      </w:pPr>
      <w:r>
        <w:rPr>
          <w:rFonts w:ascii="宋体" w:eastAsia="宋体" w:hAnsi="宋体" w:cs="宋体"/>
          <w:spacing w:val="-6"/>
          <w:sz w:val="22"/>
          <w:szCs w:val="22"/>
        </w:rPr>
        <w:t>也从皮肤排出，在高温、剧烈运动、汗液大量排出时，也相应促使了氯化钠的</w:t>
      </w:r>
      <w:r>
        <w:rPr>
          <w:rFonts w:ascii="宋体" w:eastAsia="宋体" w:hAnsi="宋体" w:cs="宋体"/>
          <w:sz w:val="22"/>
          <w:szCs w:val="22"/>
        </w:rPr>
        <w:t xml:space="preserve"> </w:t>
      </w:r>
      <w:r>
        <w:rPr>
          <w:rFonts w:ascii="宋体" w:eastAsia="宋体" w:hAnsi="宋体" w:cs="宋体"/>
          <w:spacing w:val="-18"/>
          <w:sz w:val="22"/>
          <w:szCs w:val="22"/>
        </w:rPr>
        <w:t>排出。</w:t>
      </w:r>
    </w:p>
    <w:p w:rsidR="00EA40A3" w:rsidRDefault="00E86C16">
      <w:pPr>
        <w:spacing w:before="33" w:line="237" w:lineRule="auto"/>
        <w:ind w:right="118" w:firstLine="399"/>
        <w:jc w:val="both"/>
        <w:rPr>
          <w:rFonts w:ascii="宋体" w:eastAsia="宋体" w:hAnsi="宋体" w:cs="宋体"/>
          <w:sz w:val="22"/>
          <w:szCs w:val="22"/>
        </w:rPr>
      </w:pPr>
      <w:r>
        <w:rPr>
          <w:rFonts w:ascii="宋体" w:eastAsia="宋体" w:hAnsi="宋体" w:cs="宋体"/>
          <w:spacing w:val="-13"/>
          <w:sz w:val="22"/>
          <w:szCs w:val="22"/>
        </w:rPr>
        <w:t>由于氯来源广泛，特别是食盐，摄入量往往大于正常需要水平。因此，由饮</w:t>
      </w:r>
      <w:r>
        <w:rPr>
          <w:rFonts w:ascii="宋体" w:eastAsia="宋体" w:hAnsi="宋体" w:cs="宋体"/>
          <w:spacing w:val="17"/>
          <w:sz w:val="22"/>
          <w:szCs w:val="22"/>
        </w:rPr>
        <w:t xml:space="preserve"> </w:t>
      </w:r>
      <w:r>
        <w:rPr>
          <w:rFonts w:ascii="宋体" w:eastAsia="宋体" w:hAnsi="宋体" w:cs="宋体"/>
          <w:sz w:val="22"/>
          <w:szCs w:val="22"/>
        </w:rPr>
        <w:t>食引起的氯缺乏很少见。目前尚缺乏氯的需要量的研究</w:t>
      </w:r>
      <w:r>
        <w:rPr>
          <w:rFonts w:ascii="宋体" w:eastAsia="宋体" w:hAnsi="宋体" w:cs="宋体"/>
          <w:spacing w:val="-1"/>
          <w:sz w:val="22"/>
          <w:szCs w:val="22"/>
        </w:rPr>
        <w:t>资料，中国营养学会</w:t>
      </w:r>
      <w:r>
        <w:rPr>
          <w:rFonts w:ascii="宋体" w:eastAsia="宋体" w:hAnsi="宋体" w:cs="宋体"/>
          <w:sz w:val="22"/>
          <w:szCs w:val="22"/>
        </w:rPr>
        <w:t xml:space="preserve"> </w:t>
      </w:r>
      <w:r>
        <w:rPr>
          <w:rFonts w:ascii="宋体" w:eastAsia="宋体" w:hAnsi="宋体" w:cs="宋体"/>
          <w:spacing w:val="-3"/>
          <w:sz w:val="22"/>
          <w:szCs w:val="22"/>
        </w:rPr>
        <w:t>(2000年)提出的中国成人膳食氯适</w:t>
      </w:r>
      <w:r>
        <w:rPr>
          <w:rFonts w:ascii="宋体" w:eastAsia="宋体" w:hAnsi="宋体" w:cs="宋体"/>
          <w:spacing w:val="-4"/>
          <w:sz w:val="22"/>
          <w:szCs w:val="22"/>
        </w:rPr>
        <w:t>宜摄入量</w:t>
      </w:r>
      <w:r>
        <w:rPr>
          <w:rFonts w:ascii="宋体" w:eastAsia="宋体" w:hAnsi="宋体" w:cs="宋体"/>
          <w:spacing w:val="1"/>
          <w:sz w:val="22"/>
          <w:szCs w:val="22"/>
        </w:rPr>
        <w:t xml:space="preserve"> </w:t>
      </w:r>
      <w:r>
        <w:rPr>
          <w:rFonts w:ascii="宋体" w:eastAsia="宋体" w:hAnsi="宋体" w:cs="宋体"/>
          <w:spacing w:val="-4"/>
          <w:sz w:val="22"/>
          <w:szCs w:val="22"/>
        </w:rPr>
        <w:t>(</w:t>
      </w:r>
      <w:r>
        <w:rPr>
          <w:rFonts w:ascii="宋体" w:eastAsia="宋体" w:hAnsi="宋体" w:cs="宋体"/>
          <w:spacing w:val="-3"/>
          <w:sz w:val="22"/>
          <w:szCs w:val="22"/>
        </w:rPr>
        <w:t>AI</w:t>
      </w:r>
      <w:r>
        <w:rPr>
          <w:rFonts w:ascii="宋体" w:eastAsia="宋体" w:hAnsi="宋体" w:cs="宋体"/>
          <w:spacing w:val="-4"/>
          <w:sz w:val="22"/>
          <w:szCs w:val="22"/>
        </w:rPr>
        <w:t>)</w:t>
      </w:r>
      <w:r>
        <w:rPr>
          <w:rFonts w:ascii="宋体" w:eastAsia="宋体" w:hAnsi="宋体" w:cs="宋体"/>
          <w:spacing w:val="27"/>
          <w:sz w:val="22"/>
          <w:szCs w:val="22"/>
        </w:rPr>
        <w:t xml:space="preserve"> </w:t>
      </w:r>
      <w:r>
        <w:rPr>
          <w:rFonts w:ascii="宋体" w:eastAsia="宋体" w:hAnsi="宋体" w:cs="宋体"/>
          <w:spacing w:val="-4"/>
          <w:sz w:val="22"/>
          <w:szCs w:val="22"/>
        </w:rPr>
        <w:t>为2800</w:t>
      </w:r>
      <w:r>
        <w:rPr>
          <w:rFonts w:ascii="宋体" w:eastAsia="宋体" w:hAnsi="宋体" w:cs="宋体"/>
          <w:spacing w:val="-3"/>
          <w:sz w:val="22"/>
          <w:szCs w:val="22"/>
        </w:rPr>
        <w:t>mg</w:t>
      </w:r>
      <w:r>
        <w:rPr>
          <w:rFonts w:ascii="宋体" w:eastAsia="宋体" w:hAnsi="宋体" w:cs="宋体"/>
          <w:spacing w:val="-4"/>
          <w:sz w:val="22"/>
          <w:szCs w:val="22"/>
        </w:rPr>
        <w:t>/d。</w:t>
      </w:r>
    </w:p>
    <w:p w:rsidR="00EA40A3" w:rsidRDefault="00E86C16">
      <w:pPr>
        <w:spacing w:before="61" w:line="241" w:lineRule="auto"/>
        <w:ind w:right="87" w:firstLine="399"/>
        <w:jc w:val="both"/>
        <w:rPr>
          <w:rFonts w:ascii="宋体" w:eastAsia="宋体" w:hAnsi="宋体" w:cs="宋体"/>
          <w:sz w:val="22"/>
          <w:szCs w:val="22"/>
        </w:rPr>
      </w:pPr>
      <w:r>
        <w:rPr>
          <w:rFonts w:ascii="宋体" w:eastAsia="宋体" w:hAnsi="宋体" w:cs="宋体"/>
          <w:spacing w:val="-12"/>
          <w:sz w:val="22"/>
          <w:szCs w:val="22"/>
        </w:rPr>
        <w:t>膳食氯几乎完全来源于氯化钠，仅少量来自氯化钾。因此食盐及其加工食品</w:t>
      </w:r>
      <w:r>
        <w:rPr>
          <w:rFonts w:ascii="宋体" w:eastAsia="宋体" w:hAnsi="宋体" w:cs="宋体"/>
          <w:spacing w:val="16"/>
          <w:sz w:val="22"/>
          <w:szCs w:val="22"/>
        </w:rPr>
        <w:t xml:space="preserve"> </w:t>
      </w:r>
      <w:r>
        <w:rPr>
          <w:rFonts w:ascii="宋体" w:eastAsia="宋体" w:hAnsi="宋体" w:cs="宋体"/>
          <w:spacing w:val="-17"/>
          <w:sz w:val="22"/>
          <w:szCs w:val="22"/>
        </w:rPr>
        <w:t>酱油，盐渍、腌制食品，酱咸菜以及咸味食品等都富含氯化物；</w:t>
      </w:r>
      <w:r>
        <w:rPr>
          <w:rFonts w:ascii="宋体" w:eastAsia="宋体" w:hAnsi="宋体" w:cs="宋体"/>
          <w:spacing w:val="66"/>
          <w:sz w:val="22"/>
          <w:szCs w:val="22"/>
        </w:rPr>
        <w:t xml:space="preserve"> </w:t>
      </w:r>
      <w:r>
        <w:rPr>
          <w:rFonts w:ascii="宋体" w:eastAsia="宋体" w:hAnsi="宋体" w:cs="宋体"/>
          <w:spacing w:val="-17"/>
          <w:sz w:val="22"/>
          <w:szCs w:val="22"/>
        </w:rPr>
        <w:t>一般天然食品中</w:t>
      </w:r>
      <w:r>
        <w:rPr>
          <w:rFonts w:ascii="宋体" w:eastAsia="宋体" w:hAnsi="宋体" w:cs="宋体"/>
          <w:sz w:val="22"/>
          <w:szCs w:val="22"/>
        </w:rPr>
        <w:t xml:space="preserve"> </w:t>
      </w:r>
      <w:r>
        <w:rPr>
          <w:rFonts w:ascii="宋体" w:eastAsia="宋体" w:hAnsi="宋体" w:cs="宋体"/>
          <w:spacing w:val="-3"/>
          <w:sz w:val="22"/>
          <w:szCs w:val="22"/>
        </w:rPr>
        <w:t>氯的含量差异较大；天然水中也几乎都含有氯，但与从食盐来源的氯的量(约</w:t>
      </w:r>
      <w:r>
        <w:rPr>
          <w:rFonts w:ascii="宋体" w:eastAsia="宋体" w:hAnsi="宋体" w:cs="宋体"/>
          <w:spacing w:val="10"/>
          <w:sz w:val="22"/>
          <w:szCs w:val="22"/>
        </w:rPr>
        <w:t xml:space="preserve"> </w:t>
      </w:r>
      <w:r>
        <w:rPr>
          <w:rFonts w:ascii="宋体" w:eastAsia="宋体" w:hAnsi="宋体" w:cs="宋体"/>
          <w:spacing w:val="-12"/>
          <w:sz w:val="22"/>
          <w:szCs w:val="22"/>
        </w:rPr>
        <w:t>6g)</w:t>
      </w:r>
      <w:r>
        <w:rPr>
          <w:rFonts w:ascii="宋体" w:eastAsia="宋体" w:hAnsi="宋体" w:cs="宋体"/>
          <w:spacing w:val="-24"/>
          <w:sz w:val="22"/>
          <w:szCs w:val="22"/>
        </w:rPr>
        <w:t xml:space="preserve"> </w:t>
      </w:r>
      <w:r>
        <w:rPr>
          <w:rFonts w:ascii="宋体" w:eastAsia="宋体" w:hAnsi="宋体" w:cs="宋体"/>
          <w:spacing w:val="-12"/>
          <w:sz w:val="22"/>
          <w:szCs w:val="22"/>
        </w:rPr>
        <w:t>相比并不重要。</w:t>
      </w:r>
    </w:p>
    <w:p w:rsidR="00EA40A3" w:rsidRDefault="00E86C16">
      <w:pPr>
        <w:spacing w:before="233" w:line="221" w:lineRule="auto"/>
        <w:rPr>
          <w:rFonts w:ascii="宋体" w:eastAsia="宋体" w:hAnsi="宋体" w:cs="宋体"/>
          <w:sz w:val="22"/>
          <w:szCs w:val="22"/>
        </w:rPr>
      </w:pPr>
      <w:r>
        <w:rPr>
          <w:rFonts w:ascii="宋体" w:eastAsia="宋体" w:hAnsi="宋体" w:cs="宋体"/>
          <w:spacing w:val="-9"/>
          <w:sz w:val="22"/>
          <w:szCs w:val="22"/>
        </w:rPr>
        <w:t>2</w:t>
      </w:r>
      <w:r>
        <w:rPr>
          <w:rFonts w:ascii="宋体" w:eastAsia="宋体" w:hAnsi="宋体" w:cs="宋体"/>
          <w:spacing w:val="-42"/>
          <w:sz w:val="22"/>
          <w:szCs w:val="22"/>
        </w:rPr>
        <w:t xml:space="preserve"> </w:t>
      </w:r>
      <w:r>
        <w:rPr>
          <w:rFonts w:ascii="宋体" w:eastAsia="宋体" w:hAnsi="宋体" w:cs="宋体"/>
          <w:spacing w:val="-9"/>
          <w:sz w:val="22"/>
          <w:szCs w:val="22"/>
        </w:rPr>
        <w:t>.</w:t>
      </w:r>
      <w:r>
        <w:rPr>
          <w:rFonts w:ascii="宋体" w:eastAsia="宋体" w:hAnsi="宋体" w:cs="宋体"/>
          <w:spacing w:val="-48"/>
          <w:sz w:val="22"/>
          <w:szCs w:val="22"/>
        </w:rPr>
        <w:t xml:space="preserve"> </w:t>
      </w:r>
      <w:r>
        <w:rPr>
          <w:rFonts w:ascii="宋体" w:eastAsia="宋体" w:hAnsi="宋体" w:cs="宋体"/>
          <w:spacing w:val="-9"/>
          <w:sz w:val="22"/>
          <w:szCs w:val="22"/>
        </w:rPr>
        <w:t>铜</w:t>
      </w:r>
    </w:p>
    <w:p w:rsidR="00EA40A3" w:rsidRDefault="00E86C16">
      <w:pPr>
        <w:spacing w:before="200" w:line="247" w:lineRule="auto"/>
        <w:ind w:firstLine="399"/>
        <w:jc w:val="both"/>
        <w:rPr>
          <w:rFonts w:ascii="宋体" w:eastAsia="宋体" w:hAnsi="宋体" w:cs="宋体"/>
          <w:sz w:val="22"/>
          <w:szCs w:val="22"/>
        </w:rPr>
      </w:pPr>
      <w:r>
        <w:rPr>
          <w:rFonts w:ascii="宋体" w:eastAsia="宋体" w:hAnsi="宋体" w:cs="宋体"/>
          <w:spacing w:val="-7"/>
          <w:sz w:val="22"/>
          <w:szCs w:val="22"/>
        </w:rPr>
        <w:t>铜</w:t>
      </w:r>
      <w:r>
        <w:rPr>
          <w:rFonts w:ascii="宋体" w:eastAsia="宋体" w:hAnsi="宋体" w:cs="宋体"/>
          <w:spacing w:val="-42"/>
          <w:sz w:val="22"/>
          <w:szCs w:val="22"/>
        </w:rPr>
        <w:t xml:space="preserve"> </w:t>
      </w:r>
      <w:r>
        <w:rPr>
          <w:rFonts w:ascii="宋体" w:eastAsia="宋体" w:hAnsi="宋体" w:cs="宋体"/>
          <w:spacing w:val="-7"/>
          <w:sz w:val="22"/>
          <w:szCs w:val="22"/>
        </w:rPr>
        <w:t>(cuprum)</w:t>
      </w:r>
      <w:r>
        <w:rPr>
          <w:rFonts w:ascii="宋体" w:eastAsia="宋体" w:hAnsi="宋体" w:cs="宋体"/>
          <w:spacing w:val="17"/>
          <w:sz w:val="22"/>
          <w:szCs w:val="22"/>
        </w:rPr>
        <w:t xml:space="preserve"> </w:t>
      </w:r>
      <w:r>
        <w:rPr>
          <w:rFonts w:ascii="宋体" w:eastAsia="宋体" w:hAnsi="宋体" w:cs="宋体"/>
          <w:spacing w:val="-7"/>
          <w:sz w:val="22"/>
          <w:szCs w:val="22"/>
        </w:rPr>
        <w:t>是人体许多重要酶的组成成分</w:t>
      </w:r>
      <w:r>
        <w:rPr>
          <w:rFonts w:ascii="宋体" w:eastAsia="宋体" w:hAnsi="宋体" w:cs="宋体"/>
          <w:spacing w:val="-8"/>
          <w:sz w:val="22"/>
          <w:szCs w:val="22"/>
        </w:rPr>
        <w:t>，如酪氨酸酶、赖氨酸氧化酶、</w:t>
      </w:r>
      <w:r>
        <w:rPr>
          <w:rFonts w:ascii="宋体" w:eastAsia="宋体" w:hAnsi="宋体" w:cs="宋体"/>
          <w:sz w:val="22"/>
          <w:szCs w:val="22"/>
        </w:rPr>
        <w:t xml:space="preserve"> </w:t>
      </w:r>
      <w:r>
        <w:rPr>
          <w:rFonts w:ascii="宋体" w:eastAsia="宋体" w:hAnsi="宋体" w:cs="宋体"/>
          <w:spacing w:val="-9"/>
          <w:sz w:val="22"/>
          <w:szCs w:val="22"/>
        </w:rPr>
        <w:t>细胞色素c氧化酶、超氧化物歧化酶等都是铜酶，它们分别影响人</w:t>
      </w:r>
      <w:r>
        <w:rPr>
          <w:rFonts w:ascii="宋体" w:eastAsia="宋体" w:hAnsi="宋体" w:cs="宋体"/>
          <w:spacing w:val="-10"/>
          <w:sz w:val="22"/>
          <w:szCs w:val="22"/>
        </w:rPr>
        <w:t>体的黑色素形</w:t>
      </w:r>
      <w:r>
        <w:rPr>
          <w:rFonts w:ascii="宋体" w:eastAsia="宋体" w:hAnsi="宋体" w:cs="宋体"/>
          <w:sz w:val="22"/>
          <w:szCs w:val="22"/>
        </w:rPr>
        <w:t xml:space="preserve">  </w:t>
      </w:r>
      <w:r>
        <w:rPr>
          <w:rFonts w:ascii="宋体" w:eastAsia="宋体" w:hAnsi="宋体" w:cs="宋体"/>
          <w:spacing w:val="-12"/>
          <w:sz w:val="22"/>
          <w:szCs w:val="22"/>
        </w:rPr>
        <w:t>成、结缔组织和弹性组织的结构、正常造血功能的维持、中枢神经系统的健</w:t>
      </w:r>
      <w:r>
        <w:rPr>
          <w:rFonts w:ascii="宋体" w:eastAsia="宋体" w:hAnsi="宋体" w:cs="宋体"/>
          <w:spacing w:val="-13"/>
          <w:sz w:val="22"/>
          <w:szCs w:val="22"/>
        </w:rPr>
        <w:t>康以</w:t>
      </w:r>
      <w:r>
        <w:rPr>
          <w:rFonts w:ascii="宋体" w:eastAsia="宋体" w:hAnsi="宋体" w:cs="宋体"/>
          <w:sz w:val="22"/>
          <w:szCs w:val="22"/>
        </w:rPr>
        <w:t xml:space="preserve">  </w:t>
      </w:r>
      <w:r>
        <w:rPr>
          <w:rFonts w:ascii="宋体" w:eastAsia="宋体" w:hAnsi="宋体" w:cs="宋体"/>
          <w:spacing w:val="-12"/>
          <w:sz w:val="22"/>
          <w:szCs w:val="22"/>
        </w:rPr>
        <w:t>及机体解毒作用。铜还是血浆铜蓝蛋白的组成成分，后者在血红</w:t>
      </w:r>
      <w:r>
        <w:rPr>
          <w:rFonts w:ascii="宋体" w:eastAsia="宋体" w:hAnsi="宋体" w:cs="宋体"/>
          <w:spacing w:val="-13"/>
          <w:sz w:val="22"/>
          <w:szCs w:val="22"/>
        </w:rPr>
        <w:t>蛋白形成中起作</w:t>
      </w:r>
      <w:r>
        <w:rPr>
          <w:rFonts w:ascii="宋体" w:eastAsia="宋体" w:hAnsi="宋体" w:cs="宋体"/>
          <w:sz w:val="22"/>
          <w:szCs w:val="22"/>
        </w:rPr>
        <w:t xml:space="preserve">  </w:t>
      </w:r>
      <w:r>
        <w:rPr>
          <w:rFonts w:ascii="宋体" w:eastAsia="宋体" w:hAnsi="宋体" w:cs="宋体"/>
          <w:spacing w:val="-12"/>
          <w:sz w:val="22"/>
          <w:szCs w:val="22"/>
        </w:rPr>
        <w:t>用。因此铜对人体是一种重要的必需微量营养素，缺</w:t>
      </w:r>
      <w:r>
        <w:rPr>
          <w:rFonts w:ascii="宋体" w:eastAsia="宋体" w:hAnsi="宋体" w:cs="宋体"/>
          <w:spacing w:val="-13"/>
          <w:sz w:val="22"/>
          <w:szCs w:val="22"/>
        </w:rPr>
        <w:t>乏时可引起缺乏症。临床上</w:t>
      </w:r>
      <w:r>
        <w:rPr>
          <w:rFonts w:ascii="宋体" w:eastAsia="宋体" w:hAnsi="宋体" w:cs="宋体"/>
          <w:sz w:val="22"/>
          <w:szCs w:val="22"/>
        </w:rPr>
        <w:t xml:space="preserve">  </w:t>
      </w:r>
      <w:r>
        <w:rPr>
          <w:rFonts w:ascii="宋体" w:eastAsia="宋体" w:hAnsi="宋体" w:cs="宋体"/>
          <w:spacing w:val="-17"/>
          <w:sz w:val="22"/>
          <w:szCs w:val="22"/>
        </w:rPr>
        <w:t>有儿童缺铜性贫血的报道。</w:t>
      </w:r>
    </w:p>
    <w:p w:rsidR="00EA40A3" w:rsidRDefault="00E86C16">
      <w:pPr>
        <w:spacing w:before="67" w:line="244" w:lineRule="auto"/>
        <w:ind w:firstLine="399"/>
        <w:jc w:val="both"/>
        <w:rPr>
          <w:rFonts w:ascii="宋体" w:eastAsia="宋体" w:hAnsi="宋体" w:cs="宋体"/>
          <w:sz w:val="22"/>
          <w:szCs w:val="22"/>
        </w:rPr>
      </w:pPr>
      <w:r>
        <w:rPr>
          <w:rFonts w:ascii="宋体" w:eastAsia="宋体" w:hAnsi="宋体" w:cs="宋体"/>
          <w:spacing w:val="4"/>
          <w:sz w:val="22"/>
          <w:szCs w:val="22"/>
        </w:rPr>
        <w:t>铜主要在小肠被吸收，少量由胃吸收。可溶性铜的吸收率为4</w:t>
      </w:r>
      <w:r>
        <w:rPr>
          <w:rFonts w:ascii="宋体" w:eastAsia="宋体" w:hAnsi="宋体" w:cs="宋体"/>
          <w:spacing w:val="3"/>
          <w:sz w:val="22"/>
          <w:szCs w:val="22"/>
        </w:rPr>
        <w:t>0%～60%。</w:t>
      </w:r>
      <w:r>
        <w:rPr>
          <w:rFonts w:ascii="宋体" w:eastAsia="宋体" w:hAnsi="宋体" w:cs="宋体"/>
          <w:sz w:val="22"/>
          <w:szCs w:val="22"/>
        </w:rPr>
        <w:t xml:space="preserve"> </w:t>
      </w:r>
      <w:r>
        <w:rPr>
          <w:rFonts w:ascii="宋体" w:eastAsia="宋体" w:hAnsi="宋体" w:cs="宋体"/>
          <w:spacing w:val="-10"/>
          <w:sz w:val="22"/>
          <w:szCs w:val="22"/>
        </w:rPr>
        <w:t>膳食中铜被吸收后通过门脉血运送到肝脏，掺入到铜蓝蛋白，然后释放到血液，</w:t>
      </w:r>
      <w:r>
        <w:rPr>
          <w:rFonts w:ascii="宋体" w:eastAsia="宋体" w:hAnsi="宋体" w:cs="宋体"/>
          <w:spacing w:val="18"/>
          <w:sz w:val="22"/>
          <w:szCs w:val="22"/>
        </w:rPr>
        <w:t xml:space="preserve"> </w:t>
      </w:r>
      <w:r>
        <w:rPr>
          <w:rFonts w:ascii="宋体" w:eastAsia="宋体" w:hAnsi="宋体" w:cs="宋体"/>
          <w:spacing w:val="-12"/>
          <w:sz w:val="22"/>
          <w:szCs w:val="22"/>
        </w:rPr>
        <w:t>传递到全身组织；大部分内源性铜排泄到胃肠道与从食物中</w:t>
      </w:r>
      <w:r>
        <w:rPr>
          <w:rFonts w:ascii="宋体" w:eastAsia="宋体" w:hAnsi="宋体" w:cs="宋体"/>
          <w:spacing w:val="-13"/>
          <w:sz w:val="22"/>
          <w:szCs w:val="22"/>
        </w:rPr>
        <w:t>来而未被吸收的铜一</w:t>
      </w:r>
      <w:r>
        <w:rPr>
          <w:rFonts w:ascii="宋体" w:eastAsia="宋体" w:hAnsi="宋体" w:cs="宋体"/>
          <w:sz w:val="22"/>
          <w:szCs w:val="22"/>
        </w:rPr>
        <w:t xml:space="preserve">  </w:t>
      </w:r>
      <w:r>
        <w:rPr>
          <w:rFonts w:ascii="宋体" w:eastAsia="宋体" w:hAnsi="宋体" w:cs="宋体"/>
          <w:spacing w:val="-15"/>
          <w:sz w:val="22"/>
          <w:szCs w:val="22"/>
        </w:rPr>
        <w:t>起排出体外，少量铜通过其他途径排出。</w:t>
      </w:r>
    </w:p>
    <w:p w:rsidR="00EA40A3" w:rsidRDefault="00E86C16">
      <w:pPr>
        <w:spacing w:before="63" w:line="248" w:lineRule="auto"/>
        <w:ind w:right="20" w:firstLine="399"/>
        <w:jc w:val="both"/>
        <w:rPr>
          <w:rFonts w:ascii="宋体" w:eastAsia="宋体" w:hAnsi="宋体" w:cs="宋体"/>
          <w:sz w:val="22"/>
          <w:szCs w:val="22"/>
        </w:rPr>
      </w:pPr>
      <w:r>
        <w:rPr>
          <w:rFonts w:ascii="宋体" w:eastAsia="宋体" w:hAnsi="宋体" w:cs="宋体"/>
          <w:spacing w:val="-3"/>
          <w:sz w:val="22"/>
          <w:szCs w:val="22"/>
        </w:rPr>
        <w:t>我国成人铜的AI</w:t>
      </w:r>
      <w:r>
        <w:rPr>
          <w:rFonts w:ascii="宋体" w:eastAsia="宋体" w:hAnsi="宋体" w:cs="宋体"/>
          <w:spacing w:val="-33"/>
          <w:sz w:val="22"/>
          <w:szCs w:val="22"/>
        </w:rPr>
        <w:t xml:space="preserve"> </w:t>
      </w:r>
      <w:r>
        <w:rPr>
          <w:rFonts w:ascii="宋体" w:eastAsia="宋体" w:hAnsi="宋体" w:cs="宋体"/>
          <w:spacing w:val="-3"/>
          <w:sz w:val="22"/>
          <w:szCs w:val="22"/>
        </w:rPr>
        <w:t>为2.0mg/d,UL</w:t>
      </w:r>
      <w:r>
        <w:rPr>
          <w:rFonts w:ascii="宋体" w:eastAsia="宋体" w:hAnsi="宋体" w:cs="宋体"/>
          <w:spacing w:val="31"/>
          <w:sz w:val="22"/>
          <w:szCs w:val="22"/>
        </w:rPr>
        <w:t xml:space="preserve">  </w:t>
      </w:r>
      <w:r>
        <w:rPr>
          <w:rFonts w:ascii="宋体" w:eastAsia="宋体" w:hAnsi="宋体" w:cs="宋体"/>
          <w:spacing w:val="-3"/>
          <w:sz w:val="22"/>
          <w:szCs w:val="22"/>
        </w:rPr>
        <w:t>为8.0mg/d。</w:t>
      </w:r>
      <w:r>
        <w:rPr>
          <w:rFonts w:ascii="宋体" w:eastAsia="宋体" w:hAnsi="宋体" w:cs="宋体"/>
          <w:spacing w:val="7"/>
          <w:sz w:val="22"/>
          <w:szCs w:val="22"/>
        </w:rPr>
        <w:t xml:space="preserve"> </w:t>
      </w:r>
      <w:r>
        <w:rPr>
          <w:rFonts w:ascii="宋体" w:eastAsia="宋体" w:hAnsi="宋体" w:cs="宋体"/>
          <w:spacing w:val="-3"/>
          <w:sz w:val="22"/>
          <w:szCs w:val="22"/>
        </w:rPr>
        <w:t>铜的丰富来源有茶叶、葵</w:t>
      </w:r>
      <w:r>
        <w:rPr>
          <w:rFonts w:ascii="宋体" w:eastAsia="宋体" w:hAnsi="宋体" w:cs="宋体"/>
          <w:sz w:val="22"/>
          <w:szCs w:val="22"/>
        </w:rPr>
        <w:t xml:space="preserve">  </w:t>
      </w:r>
      <w:r>
        <w:rPr>
          <w:rFonts w:ascii="宋体" w:eastAsia="宋体" w:hAnsi="宋体" w:cs="宋体"/>
          <w:spacing w:val="-10"/>
          <w:sz w:val="22"/>
          <w:szCs w:val="22"/>
        </w:rPr>
        <w:t>花籽、核桃、可可、肝等，在大豆制品、蟹肉、马铃薯、紫菜等中含量也较多，</w:t>
      </w:r>
      <w:r>
        <w:rPr>
          <w:rFonts w:ascii="宋体" w:eastAsia="宋体" w:hAnsi="宋体" w:cs="宋体"/>
          <w:sz w:val="22"/>
          <w:szCs w:val="22"/>
        </w:rPr>
        <w:t xml:space="preserve"> </w:t>
      </w:r>
      <w:r>
        <w:rPr>
          <w:rFonts w:ascii="宋体" w:eastAsia="宋体" w:hAnsi="宋体" w:cs="宋体"/>
          <w:spacing w:val="-14"/>
          <w:sz w:val="22"/>
          <w:szCs w:val="22"/>
        </w:rPr>
        <w:t>在稻米、油脂、水果、蔬菜、奶及奶制品中含量较低。</w:t>
      </w:r>
    </w:p>
    <w:p w:rsidR="00EA40A3" w:rsidRDefault="00E86C16">
      <w:pPr>
        <w:spacing w:before="192" w:line="221" w:lineRule="auto"/>
        <w:rPr>
          <w:rFonts w:ascii="宋体" w:eastAsia="宋体" w:hAnsi="宋体" w:cs="宋体"/>
          <w:sz w:val="22"/>
          <w:szCs w:val="22"/>
        </w:rPr>
      </w:pPr>
      <w:r>
        <w:rPr>
          <w:rFonts w:ascii="宋体" w:eastAsia="宋体" w:hAnsi="宋体" w:cs="宋体"/>
          <w:spacing w:val="-10"/>
          <w:sz w:val="22"/>
          <w:szCs w:val="22"/>
        </w:rPr>
        <w:t>3</w:t>
      </w:r>
      <w:r>
        <w:rPr>
          <w:rFonts w:ascii="宋体" w:eastAsia="宋体" w:hAnsi="宋体" w:cs="宋体"/>
          <w:spacing w:val="-53"/>
          <w:sz w:val="22"/>
          <w:szCs w:val="22"/>
        </w:rPr>
        <w:t xml:space="preserve"> </w:t>
      </w:r>
      <w:r>
        <w:rPr>
          <w:rFonts w:ascii="宋体" w:eastAsia="宋体" w:hAnsi="宋体" w:cs="宋体"/>
          <w:spacing w:val="-10"/>
          <w:sz w:val="22"/>
          <w:szCs w:val="22"/>
        </w:rPr>
        <w:t>.</w:t>
      </w:r>
      <w:r>
        <w:rPr>
          <w:rFonts w:ascii="宋体" w:eastAsia="宋体" w:hAnsi="宋体" w:cs="宋体"/>
          <w:spacing w:val="-60"/>
          <w:sz w:val="22"/>
          <w:szCs w:val="22"/>
        </w:rPr>
        <w:t xml:space="preserve"> </w:t>
      </w:r>
      <w:r>
        <w:rPr>
          <w:rFonts w:ascii="宋体" w:eastAsia="宋体" w:hAnsi="宋体" w:cs="宋体"/>
          <w:spacing w:val="-10"/>
          <w:sz w:val="22"/>
          <w:szCs w:val="22"/>
        </w:rPr>
        <w:t>铬</w:t>
      </w:r>
    </w:p>
    <w:p w:rsidR="00EA40A3" w:rsidRDefault="00E86C16">
      <w:pPr>
        <w:spacing w:before="195" w:line="246" w:lineRule="auto"/>
        <w:ind w:right="93" w:firstLine="399"/>
        <w:rPr>
          <w:rFonts w:ascii="宋体" w:eastAsia="宋体" w:hAnsi="宋体" w:cs="宋体"/>
          <w:sz w:val="22"/>
          <w:szCs w:val="22"/>
        </w:rPr>
      </w:pPr>
      <w:r>
        <w:rPr>
          <w:rFonts w:ascii="宋体" w:eastAsia="宋体" w:hAnsi="宋体" w:cs="宋体"/>
          <w:spacing w:val="-6"/>
          <w:sz w:val="22"/>
          <w:szCs w:val="22"/>
        </w:rPr>
        <w:t>铬</w:t>
      </w:r>
      <w:r>
        <w:rPr>
          <w:rFonts w:ascii="宋体" w:eastAsia="宋体" w:hAnsi="宋体" w:cs="宋体"/>
          <w:spacing w:val="17"/>
          <w:sz w:val="22"/>
          <w:szCs w:val="22"/>
        </w:rPr>
        <w:t xml:space="preserve"> </w:t>
      </w:r>
      <w:r>
        <w:rPr>
          <w:rFonts w:ascii="宋体" w:eastAsia="宋体" w:hAnsi="宋体" w:cs="宋体"/>
          <w:spacing w:val="-6"/>
          <w:sz w:val="22"/>
          <w:szCs w:val="22"/>
        </w:rPr>
        <w:t>(chromium)</w:t>
      </w:r>
      <w:r>
        <w:rPr>
          <w:rFonts w:ascii="宋体" w:eastAsia="宋体" w:hAnsi="宋体" w:cs="宋体"/>
          <w:spacing w:val="18"/>
          <w:sz w:val="22"/>
          <w:szCs w:val="22"/>
        </w:rPr>
        <w:t xml:space="preserve"> </w:t>
      </w:r>
      <w:r>
        <w:rPr>
          <w:rFonts w:ascii="宋体" w:eastAsia="宋体" w:hAnsi="宋体" w:cs="宋体"/>
          <w:spacing w:val="-6"/>
          <w:sz w:val="22"/>
          <w:szCs w:val="22"/>
        </w:rPr>
        <w:t>是人和动物必不可少的微量元素之一，铬的活性形式是三</w:t>
      </w:r>
      <w:r>
        <w:rPr>
          <w:rFonts w:ascii="宋体" w:eastAsia="宋体" w:hAnsi="宋体" w:cs="宋体"/>
          <w:sz w:val="22"/>
          <w:szCs w:val="22"/>
        </w:rPr>
        <w:t xml:space="preserve"> </w:t>
      </w:r>
      <w:r>
        <w:rPr>
          <w:rFonts w:ascii="宋体" w:eastAsia="宋体" w:hAnsi="宋体" w:cs="宋体"/>
          <w:spacing w:val="-12"/>
          <w:sz w:val="22"/>
          <w:szCs w:val="22"/>
        </w:rPr>
        <w:t>价铬，其主要功能是帮助维持身体内正常的葡萄糖含</w:t>
      </w:r>
      <w:r>
        <w:rPr>
          <w:rFonts w:ascii="宋体" w:eastAsia="宋体" w:hAnsi="宋体" w:cs="宋体"/>
          <w:spacing w:val="-13"/>
          <w:sz w:val="22"/>
          <w:szCs w:val="22"/>
        </w:rPr>
        <w:t>量水平。已知“葡萄糖耐量</w:t>
      </w:r>
      <w:r>
        <w:rPr>
          <w:rFonts w:ascii="宋体" w:eastAsia="宋体" w:hAnsi="宋体" w:cs="宋体"/>
          <w:sz w:val="22"/>
          <w:szCs w:val="22"/>
        </w:rPr>
        <w:t xml:space="preserve"> </w:t>
      </w:r>
      <w:r>
        <w:rPr>
          <w:rFonts w:ascii="宋体" w:eastAsia="宋体" w:hAnsi="宋体" w:cs="宋体"/>
          <w:spacing w:val="-10"/>
          <w:sz w:val="22"/>
          <w:szCs w:val="22"/>
        </w:rPr>
        <w:t>因子”(glucose</w:t>
      </w:r>
      <w:r>
        <w:rPr>
          <w:rFonts w:ascii="宋体" w:eastAsia="宋体" w:hAnsi="宋体" w:cs="宋体"/>
          <w:spacing w:val="2"/>
          <w:sz w:val="22"/>
          <w:szCs w:val="22"/>
        </w:rPr>
        <w:t xml:space="preserve"> </w:t>
      </w:r>
      <w:r>
        <w:rPr>
          <w:rFonts w:ascii="宋体" w:eastAsia="宋体" w:hAnsi="宋体" w:cs="宋体"/>
          <w:spacing w:val="-10"/>
          <w:sz w:val="22"/>
          <w:szCs w:val="22"/>
        </w:rPr>
        <w:t>tolerance</w:t>
      </w:r>
      <w:r>
        <w:rPr>
          <w:rFonts w:ascii="宋体" w:eastAsia="宋体" w:hAnsi="宋体" w:cs="宋体"/>
          <w:spacing w:val="1"/>
          <w:sz w:val="22"/>
          <w:szCs w:val="22"/>
        </w:rPr>
        <w:t xml:space="preserve"> </w:t>
      </w:r>
      <w:r>
        <w:rPr>
          <w:rFonts w:ascii="宋体" w:eastAsia="宋体" w:hAnsi="宋体" w:cs="宋体"/>
          <w:spacing w:val="-10"/>
          <w:sz w:val="22"/>
          <w:szCs w:val="22"/>
        </w:rPr>
        <w:t>factor,GTF)</w:t>
      </w:r>
      <w:r>
        <w:rPr>
          <w:rFonts w:ascii="宋体" w:eastAsia="宋体" w:hAnsi="宋体" w:cs="宋体"/>
          <w:spacing w:val="-54"/>
          <w:sz w:val="22"/>
          <w:szCs w:val="22"/>
        </w:rPr>
        <w:t xml:space="preserve"> </w:t>
      </w:r>
      <w:r>
        <w:rPr>
          <w:rFonts w:ascii="宋体" w:eastAsia="宋体" w:hAnsi="宋体" w:cs="宋体"/>
          <w:spacing w:val="-10"/>
          <w:sz w:val="22"/>
          <w:szCs w:val="22"/>
        </w:rPr>
        <w:t>是一种含铬的有机物，可能是</w:t>
      </w:r>
      <w:r>
        <w:rPr>
          <w:rFonts w:ascii="宋体" w:eastAsia="宋体" w:hAnsi="宋体" w:cs="宋体"/>
          <w:spacing w:val="-11"/>
          <w:sz w:val="22"/>
          <w:szCs w:val="22"/>
        </w:rPr>
        <w:t>胰岛素的</w:t>
      </w:r>
      <w:r>
        <w:rPr>
          <w:rFonts w:ascii="宋体" w:eastAsia="宋体" w:hAnsi="宋体" w:cs="宋体"/>
          <w:sz w:val="22"/>
          <w:szCs w:val="22"/>
        </w:rPr>
        <w:t xml:space="preserve"> </w:t>
      </w:r>
      <w:r>
        <w:rPr>
          <w:rFonts w:ascii="宋体" w:eastAsia="宋体" w:hAnsi="宋体" w:cs="宋体"/>
          <w:spacing w:val="-12"/>
          <w:sz w:val="22"/>
          <w:szCs w:val="22"/>
        </w:rPr>
        <w:t>辅助因子，有增加葡萄糖的利用以及使葡萄糖转变成</w:t>
      </w:r>
      <w:r>
        <w:rPr>
          <w:rFonts w:ascii="宋体" w:eastAsia="宋体" w:hAnsi="宋体" w:cs="宋体"/>
          <w:spacing w:val="-13"/>
          <w:sz w:val="22"/>
          <w:szCs w:val="22"/>
        </w:rPr>
        <w:t>脂肪的作用。此外，铬还影</w:t>
      </w:r>
      <w:r>
        <w:rPr>
          <w:rFonts w:ascii="宋体" w:eastAsia="宋体" w:hAnsi="宋体" w:cs="宋体"/>
          <w:sz w:val="22"/>
          <w:szCs w:val="22"/>
        </w:rPr>
        <w:t xml:space="preserve"> </w:t>
      </w:r>
      <w:r>
        <w:rPr>
          <w:rFonts w:ascii="宋体" w:eastAsia="宋体" w:hAnsi="宋体" w:cs="宋体"/>
          <w:spacing w:val="-8"/>
          <w:sz w:val="22"/>
          <w:szCs w:val="22"/>
        </w:rPr>
        <w:t>响脂肪的代谢，有降低血清胆固醇和提高HDL</w:t>
      </w:r>
      <w:r>
        <w:rPr>
          <w:rFonts w:ascii="宋体" w:eastAsia="宋体" w:hAnsi="宋体" w:cs="宋体"/>
          <w:spacing w:val="68"/>
          <w:sz w:val="22"/>
          <w:szCs w:val="22"/>
        </w:rPr>
        <w:t xml:space="preserve"> </w:t>
      </w:r>
      <w:r>
        <w:rPr>
          <w:rFonts w:ascii="宋体" w:eastAsia="宋体" w:hAnsi="宋体" w:cs="宋体"/>
          <w:spacing w:val="-8"/>
          <w:sz w:val="22"/>
          <w:szCs w:val="22"/>
        </w:rPr>
        <w:t>胆固醇的作用，从而减少胆固醇</w:t>
      </w:r>
      <w:r>
        <w:rPr>
          <w:rFonts w:ascii="宋体" w:eastAsia="宋体" w:hAnsi="宋体" w:cs="宋体"/>
          <w:sz w:val="22"/>
          <w:szCs w:val="22"/>
        </w:rPr>
        <w:t xml:space="preserve"> </w:t>
      </w:r>
      <w:r>
        <w:rPr>
          <w:rFonts w:ascii="宋体" w:eastAsia="宋体" w:hAnsi="宋体" w:cs="宋体"/>
          <w:spacing w:val="-14"/>
          <w:sz w:val="22"/>
          <w:szCs w:val="22"/>
        </w:rPr>
        <w:t>在动脉壁的沉积。铬还可促进蛋白质代谢和生长发育。</w:t>
      </w:r>
    </w:p>
    <w:p w:rsidR="00EA40A3" w:rsidRDefault="00E86C16">
      <w:pPr>
        <w:spacing w:before="69" w:line="219" w:lineRule="auto"/>
        <w:ind w:left="399"/>
        <w:rPr>
          <w:rFonts w:ascii="宋体" w:eastAsia="宋体" w:hAnsi="宋体" w:cs="宋体"/>
          <w:sz w:val="22"/>
          <w:szCs w:val="22"/>
        </w:rPr>
      </w:pPr>
      <w:r>
        <w:rPr>
          <w:rFonts w:ascii="宋体" w:eastAsia="宋体" w:hAnsi="宋体" w:cs="宋体"/>
          <w:spacing w:val="-14"/>
          <w:sz w:val="22"/>
          <w:szCs w:val="22"/>
        </w:rPr>
        <w:t>无机铬化合物在人体的吸收很低，维生素C</w:t>
      </w:r>
      <w:r>
        <w:rPr>
          <w:rFonts w:ascii="宋体" w:eastAsia="宋体" w:hAnsi="宋体" w:cs="宋体"/>
          <w:spacing w:val="-5"/>
          <w:sz w:val="22"/>
          <w:szCs w:val="22"/>
        </w:rPr>
        <w:t xml:space="preserve"> </w:t>
      </w:r>
      <w:r>
        <w:rPr>
          <w:rFonts w:ascii="宋体" w:eastAsia="宋体" w:hAnsi="宋体" w:cs="宋体"/>
          <w:spacing w:val="-14"/>
          <w:sz w:val="22"/>
          <w:szCs w:val="22"/>
        </w:rPr>
        <w:t>能促进铬的吸收，</w:t>
      </w:r>
    </w:p>
    <w:p w:rsidR="00EA40A3" w:rsidRDefault="00E86C16">
      <w:pPr>
        <w:spacing w:before="54" w:line="234" w:lineRule="auto"/>
        <w:ind w:right="98" w:firstLine="399"/>
        <w:rPr>
          <w:rFonts w:ascii="宋体" w:eastAsia="宋体" w:hAnsi="宋体" w:cs="宋体"/>
          <w:sz w:val="22"/>
          <w:szCs w:val="22"/>
        </w:rPr>
      </w:pPr>
      <w:r>
        <w:rPr>
          <w:rFonts w:ascii="宋体" w:eastAsia="宋体" w:hAnsi="宋体" w:cs="宋体"/>
          <w:spacing w:val="-9"/>
          <w:sz w:val="22"/>
          <w:szCs w:val="22"/>
        </w:rPr>
        <w:t>我国成人铬的AI</w:t>
      </w:r>
      <w:r>
        <w:rPr>
          <w:rFonts w:ascii="宋体" w:eastAsia="宋体" w:hAnsi="宋体" w:cs="宋体"/>
          <w:spacing w:val="-39"/>
          <w:sz w:val="22"/>
          <w:szCs w:val="22"/>
        </w:rPr>
        <w:t xml:space="preserve"> </w:t>
      </w:r>
      <w:r>
        <w:rPr>
          <w:rFonts w:ascii="宋体" w:eastAsia="宋体" w:hAnsi="宋体" w:cs="宋体"/>
          <w:spacing w:val="-9"/>
          <w:sz w:val="22"/>
          <w:szCs w:val="22"/>
        </w:rPr>
        <w:t>定为50μg/d,UL</w:t>
      </w:r>
      <w:r>
        <w:rPr>
          <w:rFonts w:ascii="宋体" w:eastAsia="宋体" w:hAnsi="宋体" w:cs="宋体"/>
          <w:spacing w:val="6"/>
          <w:sz w:val="22"/>
          <w:szCs w:val="22"/>
        </w:rPr>
        <w:t xml:space="preserve">  </w:t>
      </w:r>
      <w:r>
        <w:rPr>
          <w:rFonts w:ascii="宋体" w:eastAsia="宋体" w:hAnsi="宋体" w:cs="宋体"/>
          <w:spacing w:val="-9"/>
          <w:sz w:val="22"/>
          <w:szCs w:val="22"/>
        </w:rPr>
        <w:t>为500μg/d。</w:t>
      </w:r>
      <w:r>
        <w:rPr>
          <w:rFonts w:ascii="宋体" w:eastAsia="宋体" w:hAnsi="宋体" w:cs="宋体"/>
          <w:spacing w:val="-8"/>
          <w:sz w:val="22"/>
          <w:szCs w:val="22"/>
        </w:rPr>
        <w:t xml:space="preserve"> </w:t>
      </w:r>
      <w:r>
        <w:rPr>
          <w:rFonts w:ascii="宋体" w:eastAsia="宋体" w:hAnsi="宋体" w:cs="宋体"/>
          <w:spacing w:val="-9"/>
          <w:sz w:val="22"/>
          <w:szCs w:val="22"/>
        </w:rPr>
        <w:t>铬的丰富来源为</w:t>
      </w:r>
      <w:r>
        <w:rPr>
          <w:rFonts w:ascii="宋体" w:eastAsia="宋体" w:hAnsi="宋体" w:cs="宋体"/>
          <w:spacing w:val="-10"/>
          <w:sz w:val="22"/>
          <w:szCs w:val="22"/>
        </w:rPr>
        <w:t>肉类、谷</w:t>
      </w:r>
      <w:r>
        <w:rPr>
          <w:rFonts w:ascii="宋体" w:eastAsia="宋体" w:hAnsi="宋体" w:cs="宋体"/>
          <w:sz w:val="22"/>
          <w:szCs w:val="22"/>
        </w:rPr>
        <w:t xml:space="preserve"> </w:t>
      </w:r>
      <w:r>
        <w:rPr>
          <w:rFonts w:ascii="宋体" w:eastAsia="宋体" w:hAnsi="宋体" w:cs="宋体"/>
          <w:spacing w:val="-13"/>
          <w:sz w:val="22"/>
          <w:szCs w:val="22"/>
        </w:rPr>
        <w:t>类和鱼贝类，豆类、啤酒酵母、黑胡椒、肝以及啤酒等也</w:t>
      </w:r>
      <w:r>
        <w:rPr>
          <w:rFonts w:ascii="宋体" w:eastAsia="宋体" w:hAnsi="宋体" w:cs="宋体"/>
          <w:spacing w:val="-14"/>
          <w:sz w:val="22"/>
          <w:szCs w:val="22"/>
        </w:rPr>
        <w:t>是铬的良好来源。</w:t>
      </w:r>
    </w:p>
    <w:p w:rsidR="00EA40A3" w:rsidRDefault="00EA40A3">
      <w:pPr>
        <w:sectPr w:rsidR="00EA40A3">
          <w:footerReference w:type="default" r:id="rId84"/>
          <w:pgSz w:w="9220" w:h="13360"/>
          <w:pgMar w:top="400" w:right="919" w:bottom="1274" w:left="930" w:header="0" w:footer="1041" w:gutter="0"/>
          <w:cols w:space="720"/>
        </w:sectPr>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86C16">
      <w:pPr>
        <w:spacing w:before="68" w:line="222" w:lineRule="auto"/>
        <w:rPr>
          <w:rFonts w:ascii="宋体" w:eastAsia="宋体" w:hAnsi="宋体" w:cs="宋体"/>
        </w:rPr>
      </w:pPr>
      <w:r>
        <w:rPr>
          <w:rFonts w:ascii="宋体" w:eastAsia="宋体" w:hAnsi="宋体" w:cs="宋体"/>
          <w:spacing w:val="-8"/>
        </w:rPr>
        <w:t>4</w:t>
      </w:r>
      <w:r>
        <w:rPr>
          <w:rFonts w:ascii="宋体" w:eastAsia="宋体" w:hAnsi="宋体" w:cs="宋体"/>
          <w:spacing w:val="-23"/>
        </w:rPr>
        <w:t xml:space="preserve"> </w:t>
      </w:r>
      <w:r>
        <w:rPr>
          <w:rFonts w:ascii="宋体" w:eastAsia="宋体" w:hAnsi="宋体" w:cs="宋体"/>
          <w:spacing w:val="-8"/>
        </w:rPr>
        <w:t>.</w:t>
      </w:r>
      <w:r>
        <w:rPr>
          <w:rFonts w:ascii="宋体" w:eastAsia="宋体" w:hAnsi="宋体" w:cs="宋体"/>
          <w:spacing w:val="-31"/>
        </w:rPr>
        <w:t xml:space="preserve"> </w:t>
      </w:r>
      <w:r>
        <w:rPr>
          <w:rFonts w:ascii="宋体" w:eastAsia="宋体" w:hAnsi="宋体" w:cs="宋体"/>
          <w:spacing w:val="-8"/>
        </w:rPr>
        <w:t>钼</w:t>
      </w:r>
    </w:p>
    <w:p w:rsidR="00EA40A3" w:rsidRDefault="00E86C16">
      <w:pPr>
        <w:spacing w:before="167" w:line="254" w:lineRule="auto"/>
        <w:ind w:firstLine="430"/>
        <w:jc w:val="both"/>
        <w:rPr>
          <w:rFonts w:ascii="宋体" w:eastAsia="宋体" w:hAnsi="宋体" w:cs="宋体"/>
        </w:rPr>
      </w:pPr>
      <w:r>
        <w:rPr>
          <w:rFonts w:ascii="宋体" w:eastAsia="宋体" w:hAnsi="宋体" w:cs="宋体"/>
        </w:rPr>
        <w:t>人体各种组织都含钼</w:t>
      </w:r>
      <w:r>
        <w:rPr>
          <w:rFonts w:ascii="宋体" w:eastAsia="宋体" w:hAnsi="宋体" w:cs="宋体"/>
          <w:spacing w:val="-8"/>
        </w:rPr>
        <w:t xml:space="preserve"> </w:t>
      </w:r>
      <w:r>
        <w:rPr>
          <w:rFonts w:ascii="宋体" w:eastAsia="宋体" w:hAnsi="宋体" w:cs="宋体"/>
        </w:rPr>
        <w:t>(molybdenum),</w:t>
      </w:r>
      <w:r>
        <w:rPr>
          <w:rFonts w:ascii="宋体" w:eastAsia="宋体" w:hAnsi="宋体" w:cs="宋体"/>
          <w:spacing w:val="15"/>
        </w:rPr>
        <w:t xml:space="preserve">  </w:t>
      </w:r>
      <w:r>
        <w:rPr>
          <w:rFonts w:ascii="宋体" w:eastAsia="宋体" w:hAnsi="宋体" w:cs="宋体"/>
        </w:rPr>
        <w:t>钼是黄嘌呤氧化酶/脱氢酶、醛氧化</w:t>
      </w:r>
      <w:r>
        <w:rPr>
          <w:rFonts w:ascii="宋体" w:eastAsia="宋体" w:hAnsi="宋体" w:cs="宋体"/>
          <w:spacing w:val="1"/>
        </w:rPr>
        <w:t xml:space="preserve"> </w:t>
      </w:r>
      <w:r>
        <w:rPr>
          <w:rFonts w:ascii="宋体" w:eastAsia="宋体" w:hAnsi="宋体" w:cs="宋体"/>
          <w:spacing w:val="-1"/>
        </w:rPr>
        <w:t>酶和亚硫酸盐氧化酶的组成成分，从而确知其为人体及动植物必需的微量元素。</w:t>
      </w:r>
      <w:r>
        <w:rPr>
          <w:rFonts w:ascii="宋体" w:eastAsia="宋体" w:hAnsi="宋体" w:cs="宋体"/>
          <w:spacing w:val="18"/>
        </w:rPr>
        <w:t xml:space="preserve"> </w:t>
      </w:r>
      <w:r>
        <w:rPr>
          <w:rFonts w:ascii="宋体" w:eastAsia="宋体" w:hAnsi="宋体" w:cs="宋体"/>
          <w:spacing w:val="-2"/>
        </w:rPr>
        <w:t>由于动物和人对钼的需要量很小及钼广泛存在于各种食物中，因而迄今尚未</w:t>
      </w:r>
      <w:r>
        <w:rPr>
          <w:rFonts w:ascii="宋体" w:eastAsia="宋体" w:hAnsi="宋体" w:cs="宋体"/>
          <w:spacing w:val="-3"/>
        </w:rPr>
        <w:t>发现</w:t>
      </w:r>
      <w:r>
        <w:rPr>
          <w:rFonts w:ascii="宋体" w:eastAsia="宋体" w:hAnsi="宋体" w:cs="宋体"/>
        </w:rPr>
        <w:t xml:space="preserve"> </w:t>
      </w:r>
      <w:r>
        <w:rPr>
          <w:rFonts w:ascii="宋体" w:eastAsia="宋体" w:hAnsi="宋体" w:cs="宋体"/>
          <w:spacing w:val="-6"/>
        </w:rPr>
        <w:t>在正常膳食条件下发生钼缺乏症。</w:t>
      </w:r>
    </w:p>
    <w:p w:rsidR="00EA40A3" w:rsidRDefault="00E86C16">
      <w:pPr>
        <w:spacing w:before="71" w:line="256" w:lineRule="auto"/>
        <w:ind w:right="18" w:firstLine="430"/>
        <w:jc w:val="both"/>
        <w:rPr>
          <w:rFonts w:ascii="宋体" w:eastAsia="宋体" w:hAnsi="宋体" w:cs="宋体"/>
        </w:rPr>
      </w:pPr>
      <w:r>
        <w:rPr>
          <w:rFonts w:ascii="宋体" w:eastAsia="宋体" w:hAnsi="宋体" w:cs="宋体"/>
          <w:spacing w:val="5"/>
        </w:rPr>
        <w:t>动物对钼的吸收是在胃及小肠，膳食及饮水中的钼化合物(除硫化钼以外)</w:t>
      </w:r>
      <w:r>
        <w:rPr>
          <w:rFonts w:ascii="宋体" w:eastAsia="宋体" w:hAnsi="宋体" w:cs="宋体"/>
        </w:rPr>
        <w:t xml:space="preserve"> </w:t>
      </w:r>
      <w:r>
        <w:rPr>
          <w:rFonts w:ascii="宋体" w:eastAsia="宋体" w:hAnsi="宋体" w:cs="宋体"/>
          <w:spacing w:val="-2"/>
        </w:rPr>
        <w:t>极易被吸收。钼酸盐被吸收后仍以钼酸根的形式与血液中的巨球蛋白结合，</w:t>
      </w:r>
      <w:r>
        <w:rPr>
          <w:rFonts w:ascii="宋体" w:eastAsia="宋体" w:hAnsi="宋体" w:cs="宋体"/>
          <w:spacing w:val="-3"/>
        </w:rPr>
        <w:t>血液</w:t>
      </w:r>
      <w:r>
        <w:rPr>
          <w:rFonts w:ascii="宋体" w:eastAsia="宋体" w:hAnsi="宋体" w:cs="宋体"/>
        </w:rPr>
        <w:t xml:space="preserve"> </w:t>
      </w:r>
      <w:r>
        <w:rPr>
          <w:rFonts w:ascii="宋体" w:eastAsia="宋体" w:hAnsi="宋体" w:cs="宋体"/>
          <w:spacing w:val="-2"/>
        </w:rPr>
        <w:t>中的钼大部分被肝肾摄取，在肝脏中的钼酸根一部分转化为含钼酶，其余部分与</w:t>
      </w:r>
      <w:r>
        <w:rPr>
          <w:rFonts w:ascii="宋体" w:eastAsia="宋体" w:hAnsi="宋体" w:cs="宋体"/>
          <w:spacing w:val="6"/>
        </w:rPr>
        <w:t xml:space="preserve"> </w:t>
      </w:r>
      <w:r>
        <w:rPr>
          <w:rFonts w:ascii="宋体" w:eastAsia="宋体" w:hAnsi="宋体" w:cs="宋体"/>
          <w:spacing w:val="4"/>
        </w:rPr>
        <w:t>喋呤结合形成含钼的辅基储存在肝脏中。身体主要以钼酸盐形式通过肾脏排泄</w:t>
      </w:r>
      <w:r>
        <w:rPr>
          <w:rFonts w:ascii="宋体" w:eastAsia="宋体" w:hAnsi="宋体" w:cs="宋体"/>
        </w:rPr>
        <w:t xml:space="preserve"> </w:t>
      </w:r>
      <w:r>
        <w:rPr>
          <w:rFonts w:ascii="宋体" w:eastAsia="宋体" w:hAnsi="宋体" w:cs="宋体"/>
          <w:spacing w:val="-3"/>
        </w:rPr>
        <w:t>钼，膳食钼摄入增多时肾脏排泄钼也随之增多。人和动物机体对钼均有较强的内</w:t>
      </w:r>
      <w:r>
        <w:rPr>
          <w:rFonts w:ascii="宋体" w:eastAsia="宋体" w:hAnsi="宋体" w:cs="宋体"/>
          <w:spacing w:val="12"/>
        </w:rPr>
        <w:t xml:space="preserve"> </w:t>
      </w:r>
      <w:r>
        <w:rPr>
          <w:rFonts w:ascii="宋体" w:eastAsia="宋体" w:hAnsi="宋体" w:cs="宋体"/>
          <w:spacing w:val="-4"/>
        </w:rPr>
        <w:t>稳定机制，经口摄入钼化物不易引起中毒。</w:t>
      </w:r>
    </w:p>
    <w:p w:rsidR="00EA40A3" w:rsidRDefault="00E86C16">
      <w:pPr>
        <w:spacing w:before="76" w:line="250" w:lineRule="auto"/>
        <w:ind w:right="36" w:firstLine="430"/>
        <w:jc w:val="both"/>
        <w:rPr>
          <w:rFonts w:ascii="宋体" w:eastAsia="宋体" w:hAnsi="宋体" w:cs="宋体"/>
        </w:rPr>
      </w:pPr>
      <w:r>
        <w:rPr>
          <w:rFonts w:ascii="宋体" w:eastAsia="宋体" w:hAnsi="宋体" w:cs="宋体"/>
          <w:spacing w:val="2"/>
        </w:rPr>
        <w:t>2000年中国营养学会制定了中国居民膳食钼</w:t>
      </w:r>
      <w:r>
        <w:rPr>
          <w:rFonts w:ascii="宋体" w:eastAsia="宋体" w:hAnsi="宋体" w:cs="宋体"/>
          <w:spacing w:val="1"/>
        </w:rPr>
        <w:t>参考摄入量，成人</w:t>
      </w:r>
      <w:r>
        <w:rPr>
          <w:rFonts w:ascii="宋体" w:eastAsia="宋体" w:hAnsi="宋体" w:cs="宋体"/>
        </w:rPr>
        <w:t>AI</w:t>
      </w:r>
      <w:r>
        <w:rPr>
          <w:rFonts w:ascii="宋体" w:eastAsia="宋体" w:hAnsi="宋体" w:cs="宋体"/>
          <w:spacing w:val="-14"/>
        </w:rPr>
        <w:t xml:space="preserve"> </w:t>
      </w:r>
      <w:r>
        <w:rPr>
          <w:rFonts w:ascii="宋体" w:eastAsia="宋体" w:hAnsi="宋体" w:cs="宋体"/>
          <w:spacing w:val="1"/>
        </w:rPr>
        <w:t>为60μg/</w:t>
      </w:r>
      <w:r>
        <w:rPr>
          <w:rFonts w:ascii="宋体" w:eastAsia="宋体" w:hAnsi="宋体" w:cs="宋体"/>
        </w:rPr>
        <w:t xml:space="preserve"> </w:t>
      </w:r>
      <w:r>
        <w:rPr>
          <w:rFonts w:ascii="宋体" w:eastAsia="宋体" w:hAnsi="宋体" w:cs="宋体"/>
          <w:spacing w:val="1"/>
        </w:rPr>
        <w:t>d,</w:t>
      </w:r>
      <w:r>
        <w:rPr>
          <w:rFonts w:ascii="宋体" w:eastAsia="宋体" w:hAnsi="宋体" w:cs="宋体"/>
        </w:rPr>
        <w:t>UL</w:t>
      </w:r>
      <w:r>
        <w:rPr>
          <w:rFonts w:ascii="宋体" w:eastAsia="宋体" w:hAnsi="宋体" w:cs="宋体"/>
          <w:spacing w:val="21"/>
        </w:rPr>
        <w:t xml:space="preserve">  </w:t>
      </w:r>
      <w:r>
        <w:rPr>
          <w:rFonts w:ascii="宋体" w:eastAsia="宋体" w:hAnsi="宋体" w:cs="宋体"/>
          <w:spacing w:val="1"/>
        </w:rPr>
        <w:t>为350μg/d。</w:t>
      </w:r>
      <w:r>
        <w:rPr>
          <w:rFonts w:ascii="宋体" w:eastAsia="宋体" w:hAnsi="宋体" w:cs="宋体"/>
          <w:spacing w:val="-44"/>
        </w:rPr>
        <w:t xml:space="preserve"> </w:t>
      </w:r>
      <w:r>
        <w:rPr>
          <w:rFonts w:ascii="宋体" w:eastAsia="宋体" w:hAnsi="宋体" w:cs="宋体"/>
          <w:spacing w:val="1"/>
        </w:rPr>
        <w:t>钼广泛存在于各种食物中，动物肝、肾中含量最丰富，谷</w:t>
      </w:r>
      <w:r>
        <w:rPr>
          <w:rFonts w:ascii="宋体" w:eastAsia="宋体" w:hAnsi="宋体" w:cs="宋体"/>
        </w:rPr>
        <w:t xml:space="preserve"> </w:t>
      </w:r>
      <w:r>
        <w:rPr>
          <w:rFonts w:ascii="宋体" w:eastAsia="宋体" w:hAnsi="宋体" w:cs="宋体"/>
          <w:spacing w:val="-3"/>
        </w:rPr>
        <w:t>类、奶制品和干豆类是钼的良好来源，蔬菜、水果和鱼类中</w:t>
      </w:r>
      <w:r>
        <w:rPr>
          <w:rFonts w:ascii="宋体" w:eastAsia="宋体" w:hAnsi="宋体" w:cs="宋体"/>
          <w:spacing w:val="-4"/>
        </w:rPr>
        <w:t>钼含量较低。</w:t>
      </w:r>
    </w:p>
    <w:p w:rsidR="00EA40A3" w:rsidRDefault="00E86C16">
      <w:pPr>
        <w:spacing w:before="231" w:line="223" w:lineRule="auto"/>
        <w:rPr>
          <w:rFonts w:ascii="仿宋" w:eastAsia="仿宋" w:hAnsi="仿宋" w:cs="仿宋"/>
        </w:rPr>
      </w:pPr>
      <w:r>
        <w:rPr>
          <w:rFonts w:ascii="仿宋" w:eastAsia="仿宋" w:hAnsi="仿宋" w:cs="仿宋"/>
          <w:spacing w:val="-9"/>
        </w:rPr>
        <w:t>5</w:t>
      </w:r>
      <w:r>
        <w:rPr>
          <w:rFonts w:ascii="仿宋" w:eastAsia="仿宋" w:hAnsi="仿宋" w:cs="仿宋"/>
          <w:spacing w:val="-23"/>
        </w:rPr>
        <w:t xml:space="preserve"> </w:t>
      </w:r>
      <w:r>
        <w:rPr>
          <w:rFonts w:ascii="仿宋" w:eastAsia="仿宋" w:hAnsi="仿宋" w:cs="仿宋"/>
          <w:spacing w:val="-9"/>
        </w:rPr>
        <w:t>.</w:t>
      </w:r>
      <w:r>
        <w:rPr>
          <w:rFonts w:ascii="仿宋" w:eastAsia="仿宋" w:hAnsi="仿宋" w:cs="仿宋"/>
          <w:spacing w:val="-22"/>
        </w:rPr>
        <w:t xml:space="preserve"> </w:t>
      </w:r>
      <w:r>
        <w:rPr>
          <w:rFonts w:ascii="仿宋" w:eastAsia="仿宋" w:hAnsi="仿宋" w:cs="仿宋"/>
          <w:spacing w:val="-9"/>
        </w:rPr>
        <w:t>钴</w:t>
      </w:r>
    </w:p>
    <w:p w:rsidR="00EA40A3" w:rsidRDefault="00E86C16">
      <w:pPr>
        <w:spacing w:before="198" w:line="255" w:lineRule="auto"/>
        <w:ind w:right="54" w:firstLine="430"/>
        <w:rPr>
          <w:rFonts w:ascii="宋体" w:eastAsia="宋体" w:hAnsi="宋体" w:cs="宋体"/>
        </w:rPr>
      </w:pPr>
      <w:r>
        <w:rPr>
          <w:rFonts w:ascii="宋体" w:eastAsia="宋体" w:hAnsi="宋体" w:cs="宋体"/>
          <w:spacing w:val="1"/>
        </w:rPr>
        <w:t>钴</w:t>
      </w:r>
      <w:r>
        <w:rPr>
          <w:rFonts w:ascii="宋体" w:eastAsia="宋体" w:hAnsi="宋体" w:cs="宋体"/>
          <w:spacing w:val="13"/>
        </w:rPr>
        <w:t xml:space="preserve"> </w:t>
      </w:r>
      <w:r>
        <w:rPr>
          <w:rFonts w:ascii="宋体" w:eastAsia="宋体" w:hAnsi="宋体" w:cs="宋体"/>
          <w:spacing w:val="1"/>
        </w:rPr>
        <w:t>(</w:t>
      </w:r>
      <w:r>
        <w:rPr>
          <w:rFonts w:ascii="宋体" w:eastAsia="宋体" w:hAnsi="宋体" w:cs="宋体"/>
        </w:rPr>
        <w:t>cobalt</w:t>
      </w:r>
      <w:r>
        <w:rPr>
          <w:rFonts w:ascii="宋体" w:eastAsia="宋体" w:hAnsi="宋体" w:cs="宋体"/>
          <w:spacing w:val="1"/>
        </w:rPr>
        <w:t>)</w:t>
      </w:r>
      <w:r>
        <w:rPr>
          <w:rFonts w:ascii="宋体" w:eastAsia="宋体" w:hAnsi="宋体" w:cs="宋体"/>
          <w:spacing w:val="-60"/>
        </w:rPr>
        <w:t xml:space="preserve"> </w:t>
      </w:r>
      <w:r>
        <w:rPr>
          <w:rFonts w:ascii="宋体" w:eastAsia="宋体" w:hAnsi="宋体" w:cs="宋体"/>
          <w:spacing w:val="1"/>
        </w:rPr>
        <w:t>是维生素</w:t>
      </w:r>
      <w:r>
        <w:rPr>
          <w:rFonts w:ascii="宋体" w:eastAsia="宋体" w:hAnsi="宋体" w:cs="宋体"/>
          <w:spacing w:val="-43"/>
        </w:rPr>
        <w:t xml:space="preserve"> </w:t>
      </w:r>
      <w:r>
        <w:rPr>
          <w:rFonts w:ascii="宋体" w:eastAsia="宋体" w:hAnsi="宋体" w:cs="宋体"/>
          <w:spacing w:val="1"/>
        </w:rPr>
        <w:t>B</w:t>
      </w:r>
      <w:r>
        <w:rPr>
          <w:rFonts w:ascii="Calibri" w:eastAsia="Calibri" w:hAnsi="Calibri" w:cs="Calibri"/>
          <w:spacing w:val="1"/>
        </w:rPr>
        <w:t>₂</w:t>
      </w:r>
      <w:r>
        <w:rPr>
          <w:rFonts w:ascii="Calibri" w:eastAsia="Calibri" w:hAnsi="Calibri" w:cs="Calibri"/>
          <w:spacing w:val="11"/>
        </w:rPr>
        <w:t xml:space="preserve">  </w:t>
      </w:r>
      <w:r>
        <w:rPr>
          <w:rFonts w:ascii="宋体" w:eastAsia="宋体" w:hAnsi="宋体" w:cs="宋体"/>
          <w:spacing w:val="1"/>
        </w:rPr>
        <w:t xml:space="preserve">的组成部分，反刍动物可以在肠道内将摄人的钴 </w:t>
      </w:r>
      <w:r>
        <w:rPr>
          <w:rFonts w:ascii="宋体" w:eastAsia="宋体" w:hAnsi="宋体" w:cs="宋体"/>
          <w:spacing w:val="-1"/>
        </w:rPr>
        <w:t>合成为维生素Bz,</w:t>
      </w:r>
      <w:r>
        <w:rPr>
          <w:rFonts w:ascii="宋体" w:eastAsia="宋体" w:hAnsi="宋体" w:cs="宋体"/>
          <w:spacing w:val="73"/>
        </w:rPr>
        <w:t xml:space="preserve"> </w:t>
      </w:r>
      <w:r>
        <w:rPr>
          <w:rFonts w:ascii="宋体" w:eastAsia="宋体" w:hAnsi="宋体" w:cs="宋体"/>
          <w:spacing w:val="-1"/>
        </w:rPr>
        <w:t>而人类与单胃动物不能将钴在体内合成维生素B</w:t>
      </w:r>
      <w:r>
        <w:rPr>
          <w:rFonts w:ascii="Calibri" w:eastAsia="Calibri" w:hAnsi="Calibri" w:cs="Calibri"/>
          <w:spacing w:val="-1"/>
        </w:rPr>
        <w:t>₂</w:t>
      </w:r>
      <w:r>
        <w:rPr>
          <w:rFonts w:ascii="Calibri" w:eastAsia="Calibri" w:hAnsi="Calibri" w:cs="Calibri"/>
          <w:spacing w:val="-19"/>
        </w:rPr>
        <w:t xml:space="preserve"> </w:t>
      </w:r>
      <w:r>
        <w:rPr>
          <w:rFonts w:ascii="宋体" w:eastAsia="宋体" w:hAnsi="宋体" w:cs="宋体"/>
          <w:spacing w:val="-1"/>
        </w:rPr>
        <w:t>。</w:t>
      </w:r>
      <w:r>
        <w:rPr>
          <w:rFonts w:ascii="宋体" w:eastAsia="宋体" w:hAnsi="宋体" w:cs="宋体"/>
          <w:spacing w:val="3"/>
        </w:rPr>
        <w:t xml:space="preserve"> </w:t>
      </w:r>
      <w:r>
        <w:rPr>
          <w:rFonts w:ascii="宋体" w:eastAsia="宋体" w:hAnsi="宋体" w:cs="宋体"/>
          <w:spacing w:val="-1"/>
        </w:rPr>
        <w:t>现在还不</w:t>
      </w:r>
      <w:r>
        <w:rPr>
          <w:rFonts w:ascii="宋体" w:eastAsia="宋体" w:hAnsi="宋体" w:cs="宋体"/>
        </w:rPr>
        <w:t xml:space="preserve"> </w:t>
      </w:r>
      <w:r>
        <w:rPr>
          <w:rFonts w:ascii="宋体" w:eastAsia="宋体" w:hAnsi="宋体" w:cs="宋体"/>
          <w:spacing w:val="6"/>
        </w:rPr>
        <w:t>能确定钴的其他功能，但体内的钴仅有10%是以维生素的形式存在。已观察</w:t>
      </w:r>
      <w:r>
        <w:rPr>
          <w:rFonts w:ascii="宋体" w:eastAsia="宋体" w:hAnsi="宋体" w:cs="宋体"/>
          <w:spacing w:val="5"/>
        </w:rPr>
        <w:t>到</w:t>
      </w:r>
      <w:r>
        <w:rPr>
          <w:rFonts w:ascii="宋体" w:eastAsia="宋体" w:hAnsi="宋体" w:cs="宋体"/>
        </w:rPr>
        <w:t xml:space="preserve"> </w:t>
      </w:r>
      <w:r>
        <w:rPr>
          <w:rFonts w:ascii="宋体" w:eastAsia="宋体" w:hAnsi="宋体" w:cs="宋体"/>
          <w:spacing w:val="3"/>
        </w:rPr>
        <w:t>无机钴对刺激红细胞生成有重要作用，还观察到供给钴后可使血管扩张</w:t>
      </w:r>
      <w:r>
        <w:rPr>
          <w:rFonts w:ascii="宋体" w:eastAsia="宋体" w:hAnsi="宋体" w:cs="宋体"/>
          <w:spacing w:val="2"/>
        </w:rPr>
        <w:t>和脸色</w:t>
      </w:r>
      <w:r>
        <w:rPr>
          <w:rFonts w:ascii="宋体" w:eastAsia="宋体" w:hAnsi="宋体" w:cs="宋体"/>
        </w:rPr>
        <w:t xml:space="preserve"> </w:t>
      </w:r>
      <w:r>
        <w:rPr>
          <w:rFonts w:ascii="宋体" w:eastAsia="宋体" w:hAnsi="宋体" w:cs="宋体"/>
          <w:spacing w:val="-10"/>
        </w:rPr>
        <w:t>发红。</w:t>
      </w:r>
    </w:p>
    <w:p w:rsidR="00EA40A3" w:rsidRDefault="00E86C16">
      <w:pPr>
        <w:spacing w:before="89" w:line="219" w:lineRule="auto"/>
        <w:ind w:left="430"/>
        <w:rPr>
          <w:rFonts w:ascii="宋体" w:eastAsia="宋体" w:hAnsi="宋体" w:cs="宋体"/>
        </w:rPr>
      </w:pPr>
      <w:r>
        <w:rPr>
          <w:rFonts w:ascii="宋体" w:eastAsia="宋体" w:hAnsi="宋体" w:cs="宋体"/>
          <w:spacing w:val="-3"/>
        </w:rPr>
        <w:t>经口摄入的钴在小肠上部被吸收，并部分地与铁共用一个运载通道。</w:t>
      </w:r>
    </w:p>
    <w:p w:rsidR="00EA40A3" w:rsidRDefault="00E86C16">
      <w:pPr>
        <w:spacing w:before="58" w:line="255" w:lineRule="auto"/>
        <w:ind w:right="54" w:firstLine="430"/>
        <w:rPr>
          <w:rFonts w:ascii="宋体" w:eastAsia="宋体" w:hAnsi="宋体" w:cs="宋体"/>
        </w:rPr>
      </w:pPr>
      <w:r>
        <w:rPr>
          <w:rFonts w:ascii="宋体" w:eastAsia="宋体" w:hAnsi="宋体" w:cs="宋体"/>
          <w:spacing w:val="-3"/>
        </w:rPr>
        <w:t>目前尚无钴缺乏症的病例，经常注射钴或暴露于过量的钴环境中，可引起钴</w:t>
      </w:r>
      <w:r>
        <w:rPr>
          <w:rFonts w:ascii="宋体" w:eastAsia="宋体" w:hAnsi="宋体" w:cs="宋体"/>
          <w:spacing w:val="17"/>
        </w:rPr>
        <w:t xml:space="preserve"> </w:t>
      </w:r>
      <w:r>
        <w:rPr>
          <w:rFonts w:ascii="宋体" w:eastAsia="宋体" w:hAnsi="宋体" w:cs="宋体"/>
        </w:rPr>
        <w:t>中毒。儿童对钴的毒性敏感，应避免使用每千克体重超</w:t>
      </w:r>
      <w:r>
        <w:rPr>
          <w:rFonts w:ascii="宋体" w:eastAsia="宋体" w:hAnsi="宋体" w:cs="宋体"/>
          <w:spacing w:val="-1"/>
        </w:rPr>
        <w:t>过</w:t>
      </w:r>
      <w:r>
        <w:rPr>
          <w:rFonts w:ascii="宋体" w:eastAsia="宋体" w:hAnsi="宋体" w:cs="宋体"/>
          <w:spacing w:val="-44"/>
        </w:rPr>
        <w:t xml:space="preserve"> </w:t>
      </w:r>
      <w:r>
        <w:rPr>
          <w:rFonts w:ascii="宋体" w:eastAsia="宋体" w:hAnsi="宋体" w:cs="宋体"/>
        </w:rPr>
        <w:t>lmg</w:t>
      </w:r>
      <w:r>
        <w:rPr>
          <w:rFonts w:ascii="宋体" w:eastAsia="宋体" w:hAnsi="宋体" w:cs="宋体"/>
          <w:spacing w:val="30"/>
        </w:rPr>
        <w:t xml:space="preserve"> </w:t>
      </w:r>
      <w:r>
        <w:rPr>
          <w:rFonts w:ascii="宋体" w:eastAsia="宋体" w:hAnsi="宋体" w:cs="宋体"/>
          <w:spacing w:val="-1"/>
        </w:rPr>
        <w:t>的剂量。在缺乏</w:t>
      </w:r>
      <w:r>
        <w:rPr>
          <w:rFonts w:ascii="宋体" w:eastAsia="宋体" w:hAnsi="宋体" w:cs="宋体"/>
        </w:rPr>
        <w:t xml:space="preserve"> </w:t>
      </w:r>
      <w:r>
        <w:rPr>
          <w:rFonts w:ascii="宋体" w:eastAsia="宋体" w:hAnsi="宋体" w:cs="宋体"/>
          <w:spacing w:val="-2"/>
        </w:rPr>
        <w:t>维生素B</w:t>
      </w:r>
      <w:r>
        <w:rPr>
          <w:rFonts w:ascii="Calibri" w:eastAsia="Calibri" w:hAnsi="Calibri" w:cs="Calibri"/>
          <w:spacing w:val="-2"/>
        </w:rPr>
        <w:t>₂₂</w:t>
      </w:r>
      <w:r>
        <w:rPr>
          <w:rFonts w:ascii="Calibri" w:eastAsia="Calibri" w:hAnsi="Calibri" w:cs="Calibri"/>
          <w:spacing w:val="10"/>
        </w:rPr>
        <w:t xml:space="preserve"> </w:t>
      </w:r>
      <w:r>
        <w:rPr>
          <w:rFonts w:ascii="宋体" w:eastAsia="宋体" w:hAnsi="宋体" w:cs="宋体"/>
          <w:spacing w:val="-2"/>
        </w:rPr>
        <w:t>和蛋白质以及摄入酒精时，毒性会增加，这在酗酒者中常见。</w:t>
      </w:r>
    </w:p>
    <w:p w:rsidR="00EA40A3" w:rsidRDefault="00E86C16">
      <w:pPr>
        <w:spacing w:before="35" w:line="253" w:lineRule="auto"/>
        <w:ind w:right="47" w:firstLine="430"/>
        <w:rPr>
          <w:rFonts w:ascii="宋体" w:eastAsia="宋体" w:hAnsi="宋体" w:cs="宋体"/>
        </w:rPr>
      </w:pPr>
      <w:r>
        <w:rPr>
          <w:rFonts w:ascii="宋体" w:eastAsia="宋体" w:hAnsi="宋体" w:cs="宋体"/>
          <w:spacing w:val="-4"/>
        </w:rPr>
        <w:t>中国居民膳食钴参考摄入量中，成年人AI</w:t>
      </w:r>
      <w:r>
        <w:rPr>
          <w:rFonts w:ascii="宋体" w:eastAsia="宋体" w:hAnsi="宋体" w:cs="宋体"/>
          <w:spacing w:val="-12"/>
        </w:rPr>
        <w:t xml:space="preserve"> </w:t>
      </w:r>
      <w:r>
        <w:rPr>
          <w:rFonts w:ascii="宋体" w:eastAsia="宋体" w:hAnsi="宋体" w:cs="宋体"/>
          <w:spacing w:val="-4"/>
        </w:rPr>
        <w:t>为60μg/d,UL</w:t>
      </w:r>
      <w:r>
        <w:rPr>
          <w:rFonts w:ascii="宋体" w:eastAsia="宋体" w:hAnsi="宋体" w:cs="宋体"/>
          <w:spacing w:val="5"/>
        </w:rPr>
        <w:t xml:space="preserve">   </w:t>
      </w:r>
      <w:r>
        <w:rPr>
          <w:rFonts w:ascii="宋体" w:eastAsia="宋体" w:hAnsi="宋体" w:cs="宋体"/>
          <w:spacing w:val="-4"/>
        </w:rPr>
        <w:t>为350μg/d。</w:t>
      </w:r>
      <w:r>
        <w:rPr>
          <w:rFonts w:ascii="宋体" w:eastAsia="宋体" w:hAnsi="宋体" w:cs="宋体"/>
          <w:spacing w:val="-32"/>
        </w:rPr>
        <w:t xml:space="preserve"> </w:t>
      </w:r>
      <w:r>
        <w:rPr>
          <w:rFonts w:ascii="宋体" w:eastAsia="宋体" w:hAnsi="宋体" w:cs="宋体"/>
          <w:spacing w:val="-4"/>
        </w:rPr>
        <w:t>食</w:t>
      </w:r>
      <w:r>
        <w:rPr>
          <w:rFonts w:ascii="宋体" w:eastAsia="宋体" w:hAnsi="宋体" w:cs="宋体"/>
        </w:rPr>
        <w:t xml:space="preserve"> </w:t>
      </w:r>
      <w:r>
        <w:rPr>
          <w:rFonts w:ascii="宋体" w:eastAsia="宋体" w:hAnsi="宋体" w:cs="宋体"/>
          <w:spacing w:val="-2"/>
        </w:rPr>
        <w:t>物中钴含量较高者有甜菜、卷心菜、洋葱、萝卜、菠菜、番茄、无花果、荞麦和</w:t>
      </w:r>
      <w:r>
        <w:rPr>
          <w:rFonts w:ascii="宋体" w:eastAsia="宋体" w:hAnsi="宋体" w:cs="宋体"/>
          <w:spacing w:val="6"/>
        </w:rPr>
        <w:t xml:space="preserve"> </w:t>
      </w:r>
      <w:r>
        <w:rPr>
          <w:rFonts w:ascii="宋体" w:eastAsia="宋体" w:hAnsi="宋体" w:cs="宋体"/>
          <w:spacing w:val="-5"/>
        </w:rPr>
        <w:t>谷类等，蘑菇含量可达61μg/100g。</w:t>
      </w:r>
    </w:p>
    <w:p w:rsidR="00EA40A3" w:rsidRDefault="00E86C16">
      <w:pPr>
        <w:spacing w:before="211" w:line="226" w:lineRule="auto"/>
        <w:rPr>
          <w:rFonts w:ascii="宋体" w:eastAsia="宋体" w:hAnsi="宋体" w:cs="宋体"/>
        </w:rPr>
      </w:pPr>
      <w:r>
        <w:rPr>
          <w:rFonts w:ascii="宋体" w:eastAsia="宋体" w:hAnsi="宋体" w:cs="宋体"/>
          <w:spacing w:val="-8"/>
        </w:rPr>
        <w:t>6</w:t>
      </w:r>
      <w:r>
        <w:rPr>
          <w:rFonts w:ascii="宋体" w:eastAsia="宋体" w:hAnsi="宋体" w:cs="宋体"/>
          <w:spacing w:val="-53"/>
        </w:rPr>
        <w:t xml:space="preserve"> </w:t>
      </w:r>
      <w:r>
        <w:rPr>
          <w:rFonts w:ascii="宋体" w:eastAsia="宋体" w:hAnsi="宋体" w:cs="宋体"/>
          <w:spacing w:val="-8"/>
        </w:rPr>
        <w:t>.</w:t>
      </w:r>
      <w:r>
        <w:rPr>
          <w:rFonts w:ascii="宋体" w:eastAsia="宋体" w:hAnsi="宋体" w:cs="宋体"/>
          <w:spacing w:val="-59"/>
        </w:rPr>
        <w:t xml:space="preserve"> </w:t>
      </w:r>
      <w:r>
        <w:rPr>
          <w:rFonts w:ascii="宋体" w:eastAsia="宋体" w:hAnsi="宋体" w:cs="宋体"/>
          <w:spacing w:val="-8"/>
        </w:rPr>
        <w:t>锰</w:t>
      </w:r>
    </w:p>
    <w:p w:rsidR="00EA40A3" w:rsidRDefault="00E86C16">
      <w:pPr>
        <w:spacing w:before="209" w:line="256" w:lineRule="auto"/>
        <w:ind w:right="53" w:firstLine="430"/>
        <w:jc w:val="both"/>
        <w:rPr>
          <w:rFonts w:ascii="宋体" w:eastAsia="宋体" w:hAnsi="宋体" w:cs="宋体"/>
        </w:rPr>
      </w:pPr>
      <w:r>
        <w:rPr>
          <w:rFonts w:ascii="宋体" w:eastAsia="宋体" w:hAnsi="宋体" w:cs="宋体"/>
          <w:spacing w:val="-1"/>
        </w:rPr>
        <w:t>锰</w:t>
      </w:r>
      <w:r>
        <w:rPr>
          <w:rFonts w:ascii="宋体" w:eastAsia="宋体" w:hAnsi="宋体" w:cs="宋体"/>
          <w:spacing w:val="17"/>
        </w:rPr>
        <w:t xml:space="preserve"> </w:t>
      </w:r>
      <w:r>
        <w:rPr>
          <w:rFonts w:ascii="宋体" w:eastAsia="宋体" w:hAnsi="宋体" w:cs="宋体"/>
          <w:spacing w:val="-1"/>
        </w:rPr>
        <w:t>(manganese)</w:t>
      </w:r>
      <w:r>
        <w:rPr>
          <w:rFonts w:ascii="宋体" w:eastAsia="宋体" w:hAnsi="宋体" w:cs="宋体"/>
          <w:spacing w:val="45"/>
        </w:rPr>
        <w:t xml:space="preserve"> </w:t>
      </w:r>
      <w:r>
        <w:rPr>
          <w:rFonts w:ascii="宋体" w:eastAsia="宋体" w:hAnsi="宋体" w:cs="宋体"/>
          <w:spacing w:val="-1"/>
        </w:rPr>
        <w:t>分布在身体各种组织和体液中，在线粒体中的浓度高于在</w:t>
      </w:r>
      <w:r>
        <w:rPr>
          <w:rFonts w:ascii="宋体" w:eastAsia="宋体" w:hAnsi="宋体" w:cs="宋体"/>
        </w:rPr>
        <w:t xml:space="preserve"> </w:t>
      </w:r>
      <w:r>
        <w:rPr>
          <w:rFonts w:ascii="宋体" w:eastAsia="宋体" w:hAnsi="宋体" w:cs="宋体"/>
          <w:spacing w:val="-7"/>
        </w:rPr>
        <w:t>细胞浆或其他细胞器中的浓度。锰在体内一部分作为金属酶的组成成分，</w:t>
      </w:r>
      <w:r>
        <w:rPr>
          <w:rFonts w:ascii="宋体" w:eastAsia="宋体" w:hAnsi="宋体" w:cs="宋体"/>
          <w:spacing w:val="67"/>
        </w:rPr>
        <w:t xml:space="preserve"> </w:t>
      </w:r>
      <w:r>
        <w:rPr>
          <w:rFonts w:ascii="宋体" w:eastAsia="宋体" w:hAnsi="宋体" w:cs="宋体"/>
          <w:spacing w:val="-7"/>
        </w:rPr>
        <w:t>一部分</w:t>
      </w:r>
      <w:r>
        <w:rPr>
          <w:rFonts w:ascii="宋体" w:eastAsia="宋体" w:hAnsi="宋体" w:cs="宋体"/>
        </w:rPr>
        <w:t xml:space="preserve"> </w:t>
      </w:r>
      <w:r>
        <w:rPr>
          <w:rFonts w:ascii="宋体" w:eastAsia="宋体" w:hAnsi="宋体" w:cs="宋体"/>
          <w:spacing w:val="-2"/>
        </w:rPr>
        <w:t>作为酶的激活剂起作用。含锰酶包括精氨酸酶、丙酮酸羧化酶和锰超氧化物</w:t>
      </w:r>
      <w:r>
        <w:rPr>
          <w:rFonts w:ascii="宋体" w:eastAsia="宋体" w:hAnsi="宋体" w:cs="宋体"/>
          <w:spacing w:val="-3"/>
        </w:rPr>
        <w:t>歧化</w:t>
      </w:r>
      <w:r>
        <w:rPr>
          <w:rFonts w:ascii="宋体" w:eastAsia="宋体" w:hAnsi="宋体" w:cs="宋体"/>
        </w:rPr>
        <w:t xml:space="preserve"> 酶</w:t>
      </w:r>
      <w:r>
        <w:rPr>
          <w:rFonts w:ascii="宋体" w:eastAsia="宋体" w:hAnsi="宋体" w:cs="宋体"/>
          <w:spacing w:val="15"/>
        </w:rPr>
        <w:t xml:space="preserve"> </w:t>
      </w:r>
      <w:r>
        <w:rPr>
          <w:rFonts w:ascii="宋体" w:eastAsia="宋体" w:hAnsi="宋体" w:cs="宋体"/>
        </w:rPr>
        <w:t>(MnSOD)。</w:t>
      </w:r>
      <w:r>
        <w:rPr>
          <w:rFonts w:ascii="宋体" w:eastAsia="宋体" w:hAnsi="宋体" w:cs="宋体"/>
          <w:spacing w:val="6"/>
        </w:rPr>
        <w:t xml:space="preserve">   </w:t>
      </w:r>
      <w:r>
        <w:rPr>
          <w:rFonts w:ascii="宋体" w:eastAsia="宋体" w:hAnsi="宋体" w:cs="宋体"/>
        </w:rPr>
        <w:t>由锰激活的酶很多，包括氧化还原酶、裂解酶、连接</w:t>
      </w:r>
      <w:r>
        <w:rPr>
          <w:rFonts w:ascii="宋体" w:eastAsia="宋体" w:hAnsi="宋体" w:cs="宋体"/>
          <w:spacing w:val="-1"/>
        </w:rPr>
        <w:t>酶、水解</w:t>
      </w:r>
      <w:r>
        <w:rPr>
          <w:rFonts w:ascii="宋体" w:eastAsia="宋体" w:hAnsi="宋体" w:cs="宋体"/>
          <w:spacing w:val="2"/>
        </w:rPr>
        <w:t xml:space="preserve"> </w:t>
      </w:r>
      <w:r>
        <w:rPr>
          <w:rFonts w:ascii="宋体" w:eastAsia="宋体" w:hAnsi="宋体" w:cs="宋体"/>
          <w:spacing w:val="-2"/>
        </w:rPr>
        <w:t>酶、激酶、脱羧酶和转移酶。这些酶的金属激活作用中许多是非特异性的，其他</w:t>
      </w:r>
    </w:p>
    <w:p w:rsidR="00EA40A3" w:rsidRDefault="00E86C16">
      <w:pPr>
        <w:spacing w:before="67"/>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116</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footerReference w:type="default" r:id="rId85"/>
          <w:pgSz w:w="9220" w:h="13360"/>
          <w:pgMar w:top="400" w:right="1085" w:bottom="400" w:left="800" w:header="0" w:footer="0" w:gutter="0"/>
          <w:cols w:space="720"/>
        </w:sectPr>
      </w:pPr>
    </w:p>
    <w:p w:rsidR="00EA40A3" w:rsidRDefault="00EA40A3">
      <w:pPr>
        <w:spacing w:line="294" w:lineRule="auto"/>
      </w:pPr>
    </w:p>
    <w:p w:rsidR="00EA40A3" w:rsidRDefault="00EA40A3">
      <w:pPr>
        <w:spacing w:line="295" w:lineRule="auto"/>
      </w:pPr>
    </w:p>
    <w:p w:rsidR="00EA40A3" w:rsidRDefault="00E86C16">
      <w:pPr>
        <w:spacing w:before="68" w:line="249" w:lineRule="auto"/>
        <w:ind w:right="20"/>
        <w:rPr>
          <w:rFonts w:ascii="宋体" w:eastAsia="宋体" w:hAnsi="宋体" w:cs="宋体"/>
        </w:rPr>
      </w:pPr>
      <w:r>
        <w:rPr>
          <w:rFonts w:ascii="宋体" w:eastAsia="宋体" w:hAnsi="宋体" w:cs="宋体"/>
          <w:spacing w:val="7"/>
        </w:rPr>
        <w:t>金属离子尤其是</w:t>
      </w:r>
      <w:r>
        <w:rPr>
          <w:rFonts w:ascii="宋体" w:eastAsia="宋体" w:hAnsi="宋体" w:cs="宋体"/>
          <w:spacing w:val="-53"/>
        </w:rPr>
        <w:t xml:space="preserve"> </w:t>
      </w:r>
      <w:r>
        <w:rPr>
          <w:rFonts w:ascii="宋体" w:eastAsia="宋体" w:hAnsi="宋体" w:cs="宋体"/>
        </w:rPr>
        <w:t>Mg</w:t>
      </w:r>
      <w:r>
        <w:rPr>
          <w:rFonts w:ascii="宋体" w:eastAsia="宋体" w:hAnsi="宋体" w:cs="宋体"/>
          <w:spacing w:val="7"/>
        </w:rPr>
        <w:t>²+</w:t>
      </w:r>
      <w:r>
        <w:rPr>
          <w:rFonts w:ascii="宋体" w:eastAsia="宋体" w:hAnsi="宋体" w:cs="宋体"/>
          <w:spacing w:val="-14"/>
        </w:rPr>
        <w:t xml:space="preserve"> </w:t>
      </w:r>
      <w:r>
        <w:rPr>
          <w:rFonts w:ascii="宋体" w:eastAsia="宋体" w:hAnsi="宋体" w:cs="宋体"/>
          <w:spacing w:val="7"/>
        </w:rPr>
        <w:t>可替代</w:t>
      </w:r>
      <w:r>
        <w:rPr>
          <w:rFonts w:ascii="宋体" w:eastAsia="宋体" w:hAnsi="宋体" w:cs="宋体"/>
          <w:spacing w:val="-55"/>
        </w:rPr>
        <w:t xml:space="preserve"> </w:t>
      </w:r>
      <w:r>
        <w:rPr>
          <w:rFonts w:ascii="宋体" w:eastAsia="宋体" w:hAnsi="宋体" w:cs="宋体"/>
        </w:rPr>
        <w:t>Mn</w:t>
      </w:r>
      <w:r>
        <w:rPr>
          <w:rFonts w:ascii="宋体" w:eastAsia="宋体" w:hAnsi="宋体" w:cs="宋体"/>
          <w:spacing w:val="7"/>
        </w:rPr>
        <w:t>²</w:t>
      </w:r>
      <w:r>
        <w:rPr>
          <w:rFonts w:ascii="宋体" w:eastAsia="宋体" w:hAnsi="宋体" w:cs="宋体"/>
          <w:spacing w:val="91"/>
        </w:rPr>
        <w:t xml:space="preserve"> </w:t>
      </w:r>
      <w:r>
        <w:rPr>
          <w:rFonts w:ascii="宋体" w:eastAsia="宋体" w:hAnsi="宋体" w:cs="宋体"/>
          <w:spacing w:val="7"/>
        </w:rPr>
        <w:t>起激活作用，只有3种酶即转葡萄糖苷酶、</w:t>
      </w:r>
      <w:r>
        <w:rPr>
          <w:rFonts w:ascii="宋体" w:eastAsia="宋体" w:hAnsi="宋体" w:cs="宋体"/>
        </w:rPr>
        <w:t xml:space="preserve"> </w:t>
      </w:r>
      <w:r>
        <w:rPr>
          <w:rFonts w:ascii="宋体" w:eastAsia="宋体" w:hAnsi="宋体" w:cs="宋体"/>
          <w:spacing w:val="-3"/>
        </w:rPr>
        <w:t>磷酸烯醇式丙酮酸羧基激酶和木糖转移酶是特异性地由</w:t>
      </w:r>
      <w:r>
        <w:rPr>
          <w:rFonts w:ascii="宋体" w:eastAsia="宋体" w:hAnsi="宋体" w:cs="宋体"/>
          <w:spacing w:val="-4"/>
        </w:rPr>
        <w:t>锰激活的。</w:t>
      </w:r>
    </w:p>
    <w:p w:rsidR="00EA40A3" w:rsidRDefault="00E86C16">
      <w:pPr>
        <w:spacing w:before="42" w:line="252" w:lineRule="auto"/>
        <w:ind w:right="82" w:firstLine="410"/>
        <w:jc w:val="both"/>
        <w:rPr>
          <w:rFonts w:ascii="宋体" w:eastAsia="宋体" w:hAnsi="宋体" w:cs="宋体"/>
        </w:rPr>
      </w:pPr>
      <w:r>
        <w:rPr>
          <w:rFonts w:ascii="宋体" w:eastAsia="宋体" w:hAnsi="宋体" w:cs="宋体"/>
          <w:spacing w:val="-3"/>
        </w:rPr>
        <w:t>有人提出，锰缺乏可能是人类的一个潜在的营养问题。锰缺乏还可能与某</w:t>
      </w:r>
      <w:r>
        <w:rPr>
          <w:rFonts w:ascii="宋体" w:eastAsia="宋体" w:hAnsi="宋体" w:cs="宋体"/>
          <w:spacing w:val="-4"/>
        </w:rPr>
        <w:t>些</w:t>
      </w:r>
      <w:r>
        <w:rPr>
          <w:rFonts w:ascii="宋体" w:eastAsia="宋体" w:hAnsi="宋体" w:cs="宋体"/>
        </w:rPr>
        <w:t xml:space="preserve"> </w:t>
      </w:r>
      <w:r>
        <w:rPr>
          <w:rFonts w:ascii="宋体" w:eastAsia="宋体" w:hAnsi="宋体" w:cs="宋体"/>
          <w:spacing w:val="-2"/>
        </w:rPr>
        <w:t>疾病有关。在骨质疏松、糖尿病、动脉粥样硬化、癫痫、创伤</w:t>
      </w:r>
      <w:r>
        <w:rPr>
          <w:rFonts w:ascii="宋体" w:eastAsia="宋体" w:hAnsi="宋体" w:cs="宋体"/>
          <w:spacing w:val="-3"/>
        </w:rPr>
        <w:t>愈合不良的患者中</w:t>
      </w:r>
      <w:r>
        <w:rPr>
          <w:rFonts w:ascii="宋体" w:eastAsia="宋体" w:hAnsi="宋体" w:cs="宋体"/>
        </w:rPr>
        <w:t xml:space="preserve"> </w:t>
      </w:r>
      <w:r>
        <w:rPr>
          <w:rFonts w:ascii="宋体" w:eastAsia="宋体" w:hAnsi="宋体" w:cs="宋体"/>
          <w:spacing w:val="-3"/>
        </w:rPr>
        <w:t>存在膳食锰摄入少，血锰、组织锰低的问题。锰营养状况与这些疾病的关系是一</w:t>
      </w:r>
      <w:r>
        <w:rPr>
          <w:rFonts w:ascii="宋体" w:eastAsia="宋体" w:hAnsi="宋体" w:cs="宋体"/>
          <w:spacing w:val="15"/>
        </w:rPr>
        <w:t xml:space="preserve"> </w:t>
      </w:r>
      <w:r>
        <w:rPr>
          <w:rFonts w:ascii="宋体" w:eastAsia="宋体" w:hAnsi="宋体" w:cs="宋体"/>
          <w:spacing w:val="-10"/>
        </w:rPr>
        <w:t>个亟待研究的课题。</w:t>
      </w:r>
    </w:p>
    <w:p w:rsidR="00EA40A3" w:rsidRDefault="00E86C16">
      <w:pPr>
        <w:spacing w:before="70" w:line="249" w:lineRule="auto"/>
        <w:ind w:right="95" w:firstLine="410"/>
        <w:jc w:val="both"/>
        <w:rPr>
          <w:rFonts w:ascii="宋体" w:eastAsia="宋体" w:hAnsi="宋体" w:cs="宋体"/>
        </w:rPr>
      </w:pPr>
      <w:r>
        <w:rPr>
          <w:rFonts w:ascii="宋体" w:eastAsia="宋体" w:hAnsi="宋体" w:cs="宋体"/>
        </w:rPr>
        <w:t>全部小肠都能吸收锰。锰进入肝脏后，至少进入5个代</w:t>
      </w:r>
      <w:r>
        <w:rPr>
          <w:rFonts w:ascii="宋体" w:eastAsia="宋体" w:hAnsi="宋体" w:cs="宋体"/>
          <w:spacing w:val="-1"/>
        </w:rPr>
        <w:t>谢池：溶酶体、线粒</w:t>
      </w:r>
      <w:r>
        <w:rPr>
          <w:rFonts w:ascii="宋体" w:eastAsia="宋体" w:hAnsi="宋体" w:cs="宋体"/>
        </w:rPr>
        <w:t xml:space="preserve"> </w:t>
      </w:r>
      <w:r>
        <w:rPr>
          <w:rFonts w:ascii="宋体" w:eastAsia="宋体" w:hAnsi="宋体" w:cs="宋体"/>
          <w:spacing w:val="1"/>
        </w:rPr>
        <w:t>体、细胞核、新合成的锰蛋白、细胞内游离的</w:t>
      </w:r>
      <w:r>
        <w:rPr>
          <w:rFonts w:ascii="宋体" w:eastAsia="宋体" w:hAnsi="宋体" w:cs="宋体"/>
        </w:rPr>
        <w:t>Mn</w:t>
      </w:r>
      <w:r>
        <w:rPr>
          <w:rFonts w:ascii="宋体" w:eastAsia="宋体" w:hAnsi="宋体" w:cs="宋体"/>
          <w:spacing w:val="1"/>
        </w:rPr>
        <w:t>²+,</w:t>
      </w:r>
      <w:r>
        <w:rPr>
          <w:rFonts w:ascii="宋体" w:eastAsia="宋体" w:hAnsi="宋体" w:cs="宋体"/>
          <w:spacing w:val="84"/>
        </w:rPr>
        <w:t xml:space="preserve"> </w:t>
      </w:r>
      <w:r>
        <w:rPr>
          <w:rFonts w:ascii="宋体" w:eastAsia="宋体" w:hAnsi="宋体" w:cs="宋体"/>
          <w:spacing w:val="1"/>
        </w:rPr>
        <w:t>其中以存在于线粒体中者</w:t>
      </w:r>
      <w:r>
        <w:rPr>
          <w:rFonts w:ascii="宋体" w:eastAsia="宋体" w:hAnsi="宋体" w:cs="宋体"/>
        </w:rPr>
        <w:t xml:space="preserve"> </w:t>
      </w:r>
      <w:r>
        <w:rPr>
          <w:rFonts w:ascii="宋体" w:eastAsia="宋体" w:hAnsi="宋体" w:cs="宋体"/>
          <w:spacing w:val="-6"/>
        </w:rPr>
        <w:t>最多。锰几乎完全经肠道排泄，仅有微量经尿排泄</w:t>
      </w:r>
      <w:r>
        <w:rPr>
          <w:rFonts w:ascii="宋体" w:eastAsia="宋体" w:hAnsi="宋体" w:cs="宋体"/>
          <w:spacing w:val="-7"/>
        </w:rPr>
        <w:t>。</w:t>
      </w:r>
    </w:p>
    <w:p w:rsidR="00EA40A3" w:rsidRDefault="00E86C16">
      <w:pPr>
        <w:spacing w:before="74" w:line="251" w:lineRule="auto"/>
        <w:ind w:firstLine="410"/>
        <w:jc w:val="both"/>
        <w:rPr>
          <w:rFonts w:ascii="宋体" w:eastAsia="宋体" w:hAnsi="宋体" w:cs="宋体"/>
        </w:rPr>
      </w:pPr>
      <w:r>
        <w:rPr>
          <w:rFonts w:ascii="宋体" w:eastAsia="宋体" w:hAnsi="宋体" w:cs="宋体"/>
          <w:spacing w:val="2"/>
        </w:rPr>
        <w:t>我国居民成人锰的</w:t>
      </w:r>
      <w:r>
        <w:rPr>
          <w:rFonts w:ascii="宋体" w:eastAsia="宋体" w:hAnsi="宋体" w:cs="宋体"/>
        </w:rPr>
        <w:t>AI</w:t>
      </w:r>
      <w:r>
        <w:rPr>
          <w:rFonts w:ascii="宋体" w:eastAsia="宋体" w:hAnsi="宋体" w:cs="宋体"/>
          <w:spacing w:val="-24"/>
        </w:rPr>
        <w:t xml:space="preserve"> </w:t>
      </w:r>
      <w:r>
        <w:rPr>
          <w:rFonts w:ascii="宋体" w:eastAsia="宋体" w:hAnsi="宋体" w:cs="宋体"/>
          <w:spacing w:val="2"/>
        </w:rPr>
        <w:t>值和</w:t>
      </w:r>
      <w:r>
        <w:rPr>
          <w:rFonts w:ascii="宋体" w:eastAsia="宋体" w:hAnsi="宋体" w:cs="宋体"/>
        </w:rPr>
        <w:t>UL</w:t>
      </w:r>
      <w:r>
        <w:rPr>
          <w:rFonts w:ascii="宋体" w:eastAsia="宋体" w:hAnsi="宋体" w:cs="宋体"/>
          <w:spacing w:val="48"/>
        </w:rPr>
        <w:t xml:space="preserve"> </w:t>
      </w:r>
      <w:r>
        <w:rPr>
          <w:rFonts w:ascii="宋体" w:eastAsia="宋体" w:hAnsi="宋体" w:cs="宋体"/>
          <w:spacing w:val="2"/>
        </w:rPr>
        <w:t>值分别为3.5</w:t>
      </w:r>
      <w:r>
        <w:rPr>
          <w:rFonts w:ascii="宋体" w:eastAsia="宋体" w:hAnsi="宋体" w:cs="宋体"/>
        </w:rPr>
        <w:t>mg</w:t>
      </w:r>
      <w:r>
        <w:rPr>
          <w:rFonts w:ascii="宋体" w:eastAsia="宋体" w:hAnsi="宋体" w:cs="宋体"/>
          <w:spacing w:val="2"/>
        </w:rPr>
        <w:t>/d</w:t>
      </w:r>
      <w:r>
        <w:rPr>
          <w:rFonts w:ascii="宋体" w:eastAsia="宋体" w:hAnsi="宋体" w:cs="宋体"/>
          <w:spacing w:val="17"/>
        </w:rPr>
        <w:t xml:space="preserve"> </w:t>
      </w:r>
      <w:r>
        <w:rPr>
          <w:rFonts w:ascii="宋体" w:eastAsia="宋体" w:hAnsi="宋体" w:cs="宋体"/>
          <w:spacing w:val="2"/>
        </w:rPr>
        <w:t>和10</w:t>
      </w:r>
      <w:r>
        <w:rPr>
          <w:rFonts w:ascii="宋体" w:eastAsia="宋体" w:hAnsi="宋体" w:cs="宋体"/>
        </w:rPr>
        <w:t>mg</w:t>
      </w:r>
      <w:r>
        <w:rPr>
          <w:rFonts w:ascii="宋体" w:eastAsia="宋体" w:hAnsi="宋体" w:cs="宋体"/>
          <w:spacing w:val="2"/>
        </w:rPr>
        <w:t>/</w:t>
      </w:r>
      <w:r>
        <w:rPr>
          <w:rFonts w:ascii="宋体" w:eastAsia="宋体" w:hAnsi="宋体" w:cs="宋体"/>
          <w:spacing w:val="1"/>
        </w:rPr>
        <w:t>d。</w:t>
      </w:r>
      <w:r>
        <w:rPr>
          <w:rFonts w:ascii="宋体" w:eastAsia="宋体" w:hAnsi="宋体" w:cs="宋体"/>
          <w:spacing w:val="23"/>
        </w:rPr>
        <w:t xml:space="preserve"> </w:t>
      </w:r>
      <w:r>
        <w:rPr>
          <w:rFonts w:ascii="宋体" w:eastAsia="宋体" w:hAnsi="宋体" w:cs="宋体"/>
          <w:spacing w:val="1"/>
        </w:rPr>
        <w:t>谷类、坚果、</w:t>
      </w:r>
      <w:r>
        <w:rPr>
          <w:rFonts w:ascii="宋体" w:eastAsia="宋体" w:hAnsi="宋体" w:cs="宋体"/>
        </w:rPr>
        <w:t xml:space="preserve"> </w:t>
      </w:r>
      <w:r>
        <w:rPr>
          <w:rFonts w:ascii="宋体" w:eastAsia="宋体" w:hAnsi="宋体" w:cs="宋体"/>
          <w:spacing w:val="-3"/>
        </w:rPr>
        <w:t>叶菜类富含锰，茶叶内锰含量最丰富。精制的谷类、肉、鱼、奶类中锰含量比较</w:t>
      </w:r>
      <w:r>
        <w:rPr>
          <w:rFonts w:ascii="宋体" w:eastAsia="宋体" w:hAnsi="宋体" w:cs="宋体"/>
          <w:spacing w:val="6"/>
        </w:rPr>
        <w:t xml:space="preserve">  </w:t>
      </w:r>
      <w:r>
        <w:rPr>
          <w:rFonts w:ascii="宋体" w:eastAsia="宋体" w:hAnsi="宋体" w:cs="宋体"/>
          <w:spacing w:val="-4"/>
        </w:rPr>
        <w:t>少。动物性食物虽然锰含量不高，但吸收和存留较高，仍不失为锰的良好来源。</w:t>
      </w:r>
    </w:p>
    <w:p w:rsidR="00EA40A3" w:rsidRDefault="00E86C16">
      <w:pPr>
        <w:spacing w:before="334" w:line="219" w:lineRule="auto"/>
        <w:ind w:left="2679"/>
        <w:rPr>
          <w:rFonts w:ascii="宋体" w:eastAsia="宋体" w:hAnsi="宋体" w:cs="宋体"/>
          <w:sz w:val="29"/>
          <w:szCs w:val="29"/>
        </w:rPr>
      </w:pPr>
      <w:r>
        <w:rPr>
          <w:rFonts w:ascii="宋体" w:eastAsia="宋体" w:hAnsi="宋体" w:cs="宋体"/>
          <w:spacing w:val="-7"/>
          <w:sz w:val="29"/>
          <w:szCs w:val="29"/>
        </w:rPr>
        <w:t>4.2</w:t>
      </w:r>
      <w:r>
        <w:rPr>
          <w:rFonts w:ascii="宋体" w:eastAsia="宋体" w:hAnsi="宋体" w:cs="宋体"/>
          <w:spacing w:val="91"/>
          <w:sz w:val="29"/>
          <w:szCs w:val="29"/>
        </w:rPr>
        <w:t xml:space="preserve"> </w:t>
      </w:r>
      <w:r>
        <w:rPr>
          <w:rFonts w:ascii="宋体" w:eastAsia="宋体" w:hAnsi="宋体" w:cs="宋体"/>
          <w:spacing w:val="-7"/>
          <w:sz w:val="29"/>
          <w:szCs w:val="29"/>
        </w:rPr>
        <w:t>维</w:t>
      </w:r>
      <w:r>
        <w:rPr>
          <w:rFonts w:ascii="宋体" w:eastAsia="宋体" w:hAnsi="宋体" w:cs="宋体"/>
          <w:spacing w:val="131"/>
          <w:sz w:val="29"/>
          <w:szCs w:val="29"/>
        </w:rPr>
        <w:t xml:space="preserve"> </w:t>
      </w:r>
      <w:r>
        <w:rPr>
          <w:rFonts w:ascii="宋体" w:eastAsia="宋体" w:hAnsi="宋体" w:cs="宋体"/>
          <w:spacing w:val="-7"/>
          <w:sz w:val="29"/>
          <w:szCs w:val="29"/>
        </w:rPr>
        <w:t>生</w:t>
      </w:r>
      <w:r>
        <w:rPr>
          <w:rFonts w:ascii="宋体" w:eastAsia="宋体" w:hAnsi="宋体" w:cs="宋体"/>
          <w:spacing w:val="138"/>
          <w:sz w:val="29"/>
          <w:szCs w:val="29"/>
        </w:rPr>
        <w:t xml:space="preserve"> </w:t>
      </w:r>
      <w:r>
        <w:rPr>
          <w:rFonts w:ascii="宋体" w:eastAsia="宋体" w:hAnsi="宋体" w:cs="宋体"/>
          <w:spacing w:val="-7"/>
          <w:sz w:val="29"/>
          <w:szCs w:val="29"/>
        </w:rPr>
        <w:t>素</w:t>
      </w:r>
    </w:p>
    <w:p w:rsidR="00EA40A3" w:rsidRDefault="00E86C16">
      <w:pPr>
        <w:spacing w:before="137" w:line="221" w:lineRule="auto"/>
        <w:ind w:left="3"/>
        <w:outlineLvl w:val="6"/>
        <w:rPr>
          <w:rFonts w:ascii="黑体" w:eastAsia="黑体" w:hAnsi="黑体" w:cs="黑体"/>
        </w:rPr>
      </w:pPr>
      <w:r>
        <w:rPr>
          <w:rFonts w:ascii="黑体" w:eastAsia="黑体" w:hAnsi="黑体" w:cs="黑体"/>
          <w:b/>
          <w:bCs/>
          <w:spacing w:val="-4"/>
        </w:rPr>
        <w:t>4.2.1</w:t>
      </w:r>
      <w:r>
        <w:rPr>
          <w:rFonts w:ascii="黑体" w:eastAsia="黑体" w:hAnsi="黑体" w:cs="黑体"/>
          <w:spacing w:val="15"/>
        </w:rPr>
        <w:t xml:space="preserve">   </w:t>
      </w:r>
      <w:r>
        <w:rPr>
          <w:rFonts w:ascii="黑体" w:eastAsia="黑体" w:hAnsi="黑体" w:cs="黑体"/>
          <w:b/>
          <w:bCs/>
          <w:spacing w:val="-4"/>
        </w:rPr>
        <w:t>概</w:t>
      </w:r>
      <w:r>
        <w:rPr>
          <w:rFonts w:ascii="黑体" w:eastAsia="黑体" w:hAnsi="黑体" w:cs="黑体"/>
          <w:spacing w:val="-31"/>
        </w:rPr>
        <w:t xml:space="preserve"> </w:t>
      </w:r>
      <w:r>
        <w:rPr>
          <w:rFonts w:ascii="黑体" w:eastAsia="黑体" w:hAnsi="黑体" w:cs="黑体"/>
          <w:b/>
          <w:bCs/>
          <w:spacing w:val="-4"/>
        </w:rPr>
        <w:t>述</w:t>
      </w:r>
    </w:p>
    <w:p w:rsidR="00EA40A3" w:rsidRDefault="00E86C16">
      <w:pPr>
        <w:spacing w:before="224" w:line="254" w:lineRule="auto"/>
        <w:ind w:right="77" w:firstLine="410"/>
        <w:jc w:val="both"/>
        <w:rPr>
          <w:rFonts w:ascii="宋体" w:eastAsia="宋体" w:hAnsi="宋体" w:cs="宋体"/>
        </w:rPr>
      </w:pPr>
      <w:r>
        <w:rPr>
          <w:rFonts w:ascii="宋体" w:eastAsia="宋体" w:hAnsi="宋体" w:cs="宋体"/>
          <w:spacing w:val="-2"/>
        </w:rPr>
        <w:t>维生素是一类人体不能合成，但又是机体正常生</w:t>
      </w:r>
      <w:r>
        <w:rPr>
          <w:rFonts w:ascii="宋体" w:eastAsia="宋体" w:hAnsi="宋体" w:cs="宋体"/>
          <w:spacing w:val="-3"/>
        </w:rPr>
        <w:t>理代谢所必需、且功能各异</w:t>
      </w:r>
      <w:r>
        <w:rPr>
          <w:rFonts w:ascii="宋体" w:eastAsia="宋体" w:hAnsi="宋体" w:cs="宋体"/>
        </w:rPr>
        <w:t xml:space="preserve"> </w:t>
      </w:r>
      <w:r>
        <w:rPr>
          <w:rFonts w:ascii="宋体" w:eastAsia="宋体" w:hAnsi="宋体" w:cs="宋体"/>
          <w:spacing w:val="-3"/>
        </w:rPr>
        <w:t>的微量低相对分子质量有机化合物，具有下列共同的特点：①以本体或前体化合</w:t>
      </w:r>
      <w:r>
        <w:rPr>
          <w:rFonts w:ascii="宋体" w:eastAsia="宋体" w:hAnsi="宋体" w:cs="宋体"/>
          <w:spacing w:val="12"/>
        </w:rPr>
        <w:t xml:space="preserve"> </w:t>
      </w:r>
      <w:r>
        <w:rPr>
          <w:rFonts w:ascii="宋体" w:eastAsia="宋体" w:hAnsi="宋体" w:cs="宋体"/>
          <w:spacing w:val="-2"/>
        </w:rPr>
        <w:t>物存在于天然食物中。②在体内不能合成，必须由食物供给。③在机体内</w:t>
      </w:r>
      <w:r>
        <w:rPr>
          <w:rFonts w:ascii="宋体" w:eastAsia="宋体" w:hAnsi="宋体" w:cs="宋体"/>
          <w:spacing w:val="-3"/>
        </w:rPr>
        <w:t>不提供</w:t>
      </w:r>
      <w:r>
        <w:rPr>
          <w:rFonts w:ascii="宋体" w:eastAsia="宋体" w:hAnsi="宋体" w:cs="宋体"/>
        </w:rPr>
        <w:t xml:space="preserve"> </w:t>
      </w:r>
      <w:r>
        <w:rPr>
          <w:rFonts w:ascii="宋体" w:eastAsia="宋体" w:hAnsi="宋体" w:cs="宋体"/>
          <w:spacing w:val="-3"/>
        </w:rPr>
        <w:t>能量，不参与机体组织的构成，但在调节物质代谢的过程中却起着十分重要的作</w:t>
      </w:r>
      <w:r>
        <w:rPr>
          <w:rFonts w:ascii="宋体" w:eastAsia="宋体" w:hAnsi="宋体" w:cs="宋体"/>
          <w:spacing w:val="17"/>
        </w:rPr>
        <w:t xml:space="preserve"> </w:t>
      </w:r>
      <w:r>
        <w:rPr>
          <w:rFonts w:ascii="宋体" w:eastAsia="宋体" w:hAnsi="宋体" w:cs="宋体"/>
          <w:spacing w:val="-4"/>
        </w:rPr>
        <w:t>用。④机体缺乏维生素时，物质代谢将发生障碍，表现出不同的缺乏症。</w:t>
      </w:r>
    </w:p>
    <w:p w:rsidR="00EA40A3" w:rsidRDefault="00E86C16">
      <w:pPr>
        <w:spacing w:before="83" w:line="253" w:lineRule="auto"/>
        <w:ind w:right="96" w:firstLine="410"/>
        <w:jc w:val="both"/>
        <w:rPr>
          <w:rFonts w:ascii="宋体" w:eastAsia="宋体" w:hAnsi="宋体" w:cs="宋体"/>
        </w:rPr>
      </w:pPr>
      <w:r>
        <w:rPr>
          <w:rFonts w:ascii="宋体" w:eastAsia="宋体" w:hAnsi="宋体" w:cs="宋体"/>
          <w:spacing w:val="-4"/>
        </w:rPr>
        <w:t>维生素有3种命名系统。</w:t>
      </w:r>
      <w:r>
        <w:rPr>
          <w:rFonts w:ascii="宋体" w:eastAsia="宋体" w:hAnsi="宋体" w:cs="宋体"/>
          <w:spacing w:val="42"/>
        </w:rPr>
        <w:t xml:space="preserve"> </w:t>
      </w:r>
      <w:r>
        <w:rPr>
          <w:rFonts w:ascii="宋体" w:eastAsia="宋体" w:hAnsi="宋体" w:cs="宋体"/>
          <w:spacing w:val="-4"/>
        </w:rPr>
        <w:t>一是按发现的历史顺序，以英文字母</w:t>
      </w:r>
      <w:r>
        <w:rPr>
          <w:rFonts w:ascii="宋体" w:eastAsia="宋体" w:hAnsi="宋体" w:cs="宋体"/>
          <w:spacing w:val="-5"/>
        </w:rPr>
        <w:t>顺次命名，如</w:t>
      </w:r>
      <w:r>
        <w:rPr>
          <w:rFonts w:ascii="宋体" w:eastAsia="宋体" w:hAnsi="宋体" w:cs="宋体"/>
        </w:rPr>
        <w:t xml:space="preserve"> 维生素A、B、C、D、E</w:t>
      </w:r>
      <w:r>
        <w:rPr>
          <w:rFonts w:ascii="宋体" w:eastAsia="宋体" w:hAnsi="宋体" w:cs="宋体"/>
          <w:spacing w:val="6"/>
        </w:rPr>
        <w:t xml:space="preserve">  </w:t>
      </w:r>
      <w:r>
        <w:rPr>
          <w:rFonts w:ascii="宋体" w:eastAsia="宋体" w:hAnsi="宋体" w:cs="宋体"/>
        </w:rPr>
        <w:t xml:space="preserve">等；二是按其特有的功能命名，如抗干眼病维生素、抗 </w:t>
      </w:r>
      <w:r>
        <w:rPr>
          <w:rFonts w:ascii="宋体" w:eastAsia="宋体" w:hAnsi="宋体" w:cs="宋体"/>
          <w:spacing w:val="-3"/>
        </w:rPr>
        <w:t>癞皮病维生素、抗坏血酸等；三是按其化学结构命名，如视黄醇、硫胺素、核黄</w:t>
      </w:r>
      <w:r>
        <w:rPr>
          <w:rFonts w:ascii="宋体" w:eastAsia="宋体" w:hAnsi="宋体" w:cs="宋体"/>
          <w:spacing w:val="12"/>
        </w:rPr>
        <w:t xml:space="preserve"> </w:t>
      </w:r>
      <w:r>
        <w:rPr>
          <w:rFonts w:ascii="宋体" w:eastAsia="宋体" w:hAnsi="宋体" w:cs="宋体"/>
          <w:spacing w:val="-3"/>
        </w:rPr>
        <w:t>素等。3种命名系统互相通用。</w:t>
      </w:r>
    </w:p>
    <w:p w:rsidR="00EA40A3" w:rsidRDefault="00E86C16">
      <w:pPr>
        <w:spacing w:before="70" w:line="259" w:lineRule="auto"/>
        <w:ind w:right="19" w:firstLine="410"/>
        <w:jc w:val="both"/>
        <w:rPr>
          <w:rFonts w:ascii="宋体" w:eastAsia="宋体" w:hAnsi="宋体" w:cs="宋体"/>
        </w:rPr>
      </w:pPr>
      <w:r>
        <w:rPr>
          <w:rFonts w:ascii="宋体" w:eastAsia="宋体" w:hAnsi="宋体" w:cs="宋体"/>
          <w:spacing w:val="-3"/>
        </w:rPr>
        <w:t>维生素的种类很多，化学结构差异很大，通常按照其溶解性质将其分为脂溶</w:t>
      </w:r>
      <w:r>
        <w:rPr>
          <w:rFonts w:ascii="宋体" w:eastAsia="宋体" w:hAnsi="宋体" w:cs="宋体"/>
          <w:spacing w:val="17"/>
        </w:rPr>
        <w:t xml:space="preserve"> </w:t>
      </w:r>
      <w:r>
        <w:rPr>
          <w:rFonts w:ascii="宋体" w:eastAsia="宋体" w:hAnsi="宋体" w:cs="宋体"/>
          <w:spacing w:val="3"/>
        </w:rPr>
        <w:t>性和水溶性两大类。脂溶性维生素包括维生素A、D、E、K,</w:t>
      </w:r>
      <w:r>
        <w:rPr>
          <w:rFonts w:ascii="宋体" w:eastAsia="宋体" w:hAnsi="宋体" w:cs="宋体"/>
          <w:spacing w:val="49"/>
        </w:rPr>
        <w:t xml:space="preserve">  </w:t>
      </w:r>
      <w:r>
        <w:rPr>
          <w:rFonts w:ascii="宋体" w:eastAsia="宋体" w:hAnsi="宋体" w:cs="宋体"/>
          <w:spacing w:val="3"/>
        </w:rPr>
        <w:t>水溶性维生素包</w:t>
      </w:r>
      <w:r>
        <w:rPr>
          <w:rFonts w:ascii="宋体" w:eastAsia="宋体" w:hAnsi="宋体" w:cs="宋体"/>
        </w:rPr>
        <w:t xml:space="preserve">  </w:t>
      </w:r>
      <w:r>
        <w:rPr>
          <w:rFonts w:ascii="宋体" w:eastAsia="宋体" w:hAnsi="宋体" w:cs="宋体"/>
          <w:spacing w:val="2"/>
        </w:rPr>
        <w:t>括</w:t>
      </w:r>
      <w:r>
        <w:rPr>
          <w:rFonts w:ascii="宋体" w:eastAsia="宋体" w:hAnsi="宋体" w:cs="宋体"/>
          <w:spacing w:val="-41"/>
        </w:rPr>
        <w:t xml:space="preserve"> </w:t>
      </w:r>
      <w:r>
        <w:rPr>
          <w:rFonts w:ascii="宋体" w:eastAsia="宋体" w:hAnsi="宋体" w:cs="宋体"/>
          <w:spacing w:val="2"/>
        </w:rPr>
        <w:t>B</w:t>
      </w:r>
      <w:r>
        <w:rPr>
          <w:rFonts w:ascii="宋体" w:eastAsia="宋体" w:hAnsi="宋体" w:cs="宋体"/>
          <w:spacing w:val="-26"/>
        </w:rPr>
        <w:t xml:space="preserve"> </w:t>
      </w:r>
      <w:r>
        <w:rPr>
          <w:rFonts w:ascii="宋体" w:eastAsia="宋体" w:hAnsi="宋体" w:cs="宋体"/>
          <w:spacing w:val="2"/>
        </w:rPr>
        <w:t>族维生素(维生素B</w:t>
      </w:r>
      <w:r>
        <w:rPr>
          <w:rFonts w:ascii="Calibri" w:eastAsia="Calibri" w:hAnsi="Calibri" w:cs="Calibri"/>
          <w:spacing w:val="2"/>
        </w:rPr>
        <w:t>₁</w:t>
      </w:r>
      <w:r>
        <w:rPr>
          <w:rFonts w:ascii="Calibri" w:eastAsia="Calibri" w:hAnsi="Calibri" w:cs="Calibri"/>
          <w:spacing w:val="-25"/>
        </w:rPr>
        <w:t xml:space="preserve"> </w:t>
      </w:r>
      <w:r>
        <w:rPr>
          <w:rFonts w:ascii="宋体" w:eastAsia="宋体" w:hAnsi="宋体" w:cs="宋体"/>
          <w:spacing w:val="2"/>
        </w:rPr>
        <w:t>、</w:t>
      </w:r>
      <w:r>
        <w:rPr>
          <w:rFonts w:ascii="宋体" w:eastAsia="宋体" w:hAnsi="宋体" w:cs="宋体"/>
          <w:spacing w:val="-48"/>
        </w:rPr>
        <w:t xml:space="preserve"> </w:t>
      </w:r>
      <w:r>
        <w:rPr>
          <w:rFonts w:ascii="宋体" w:eastAsia="宋体" w:hAnsi="宋体" w:cs="宋体"/>
          <w:spacing w:val="2"/>
        </w:rPr>
        <w:t>维生素B</w:t>
      </w:r>
      <w:r>
        <w:rPr>
          <w:rFonts w:ascii="Calibri" w:eastAsia="Calibri" w:hAnsi="Calibri" w:cs="Calibri"/>
          <w:spacing w:val="2"/>
        </w:rPr>
        <w:t>₂</w:t>
      </w:r>
      <w:r>
        <w:rPr>
          <w:rFonts w:ascii="Calibri" w:eastAsia="Calibri" w:hAnsi="Calibri" w:cs="Calibri"/>
          <w:spacing w:val="-24"/>
        </w:rPr>
        <w:t xml:space="preserve"> </w:t>
      </w:r>
      <w:r>
        <w:rPr>
          <w:rFonts w:ascii="宋体" w:eastAsia="宋体" w:hAnsi="宋体" w:cs="宋体"/>
          <w:spacing w:val="2"/>
        </w:rPr>
        <w:t>、尼克酸、泛酸、维生素</w:t>
      </w:r>
      <w:r>
        <w:rPr>
          <w:rFonts w:ascii="宋体" w:eastAsia="宋体" w:hAnsi="宋体" w:cs="宋体"/>
        </w:rPr>
        <w:t>Bg</w:t>
      </w:r>
      <w:r>
        <w:rPr>
          <w:rFonts w:ascii="宋体" w:eastAsia="宋体" w:hAnsi="宋体" w:cs="宋体"/>
          <w:spacing w:val="2"/>
        </w:rPr>
        <w:t>、</w:t>
      </w:r>
      <w:r>
        <w:rPr>
          <w:rFonts w:ascii="宋体" w:eastAsia="宋体" w:hAnsi="宋体" w:cs="宋体"/>
          <w:spacing w:val="-26"/>
        </w:rPr>
        <w:t xml:space="preserve"> </w:t>
      </w:r>
      <w:r>
        <w:rPr>
          <w:rFonts w:ascii="宋体" w:eastAsia="宋体" w:hAnsi="宋体" w:cs="宋体"/>
          <w:spacing w:val="2"/>
        </w:rPr>
        <w:t>叶酸、维生</w:t>
      </w:r>
      <w:r>
        <w:rPr>
          <w:rFonts w:ascii="宋体" w:eastAsia="宋体" w:hAnsi="宋体" w:cs="宋体"/>
        </w:rPr>
        <w:t xml:space="preserve">  </w:t>
      </w:r>
      <w:r>
        <w:rPr>
          <w:rFonts w:ascii="宋体" w:eastAsia="宋体" w:hAnsi="宋体" w:cs="宋体"/>
          <w:spacing w:val="6"/>
        </w:rPr>
        <w:t>素</w:t>
      </w:r>
      <w:r>
        <w:rPr>
          <w:rFonts w:ascii="宋体" w:eastAsia="宋体" w:hAnsi="宋体" w:cs="宋体"/>
        </w:rPr>
        <w:t>Bz</w:t>
      </w:r>
      <w:r>
        <w:rPr>
          <w:rFonts w:ascii="宋体" w:eastAsia="宋体" w:hAnsi="宋体" w:cs="宋体"/>
          <w:spacing w:val="6"/>
        </w:rPr>
        <w:t>、</w:t>
      </w:r>
      <w:r>
        <w:rPr>
          <w:rFonts w:ascii="宋体" w:eastAsia="宋体" w:hAnsi="宋体" w:cs="宋体"/>
          <w:spacing w:val="18"/>
        </w:rPr>
        <w:t xml:space="preserve"> </w:t>
      </w:r>
      <w:r>
        <w:rPr>
          <w:rFonts w:ascii="宋体" w:eastAsia="宋体" w:hAnsi="宋体" w:cs="宋体"/>
          <w:spacing w:val="6"/>
        </w:rPr>
        <w:t>生物素、胆碱)和维生素C。</w:t>
      </w:r>
      <w:r>
        <w:rPr>
          <w:rFonts w:ascii="宋体" w:eastAsia="宋体" w:hAnsi="宋体" w:cs="宋体"/>
          <w:spacing w:val="-22"/>
        </w:rPr>
        <w:t xml:space="preserve"> </w:t>
      </w:r>
      <w:r>
        <w:rPr>
          <w:rFonts w:ascii="宋体" w:eastAsia="宋体" w:hAnsi="宋体" w:cs="宋体"/>
          <w:spacing w:val="6"/>
        </w:rPr>
        <w:t>脂溶性维生素在食物中与脂类共同存在，</w:t>
      </w:r>
      <w:r>
        <w:rPr>
          <w:rFonts w:ascii="宋体" w:eastAsia="宋体" w:hAnsi="宋体" w:cs="宋体"/>
        </w:rPr>
        <w:t xml:space="preserve"> </w:t>
      </w:r>
      <w:r>
        <w:rPr>
          <w:rFonts w:ascii="宋体" w:eastAsia="宋体" w:hAnsi="宋体" w:cs="宋体"/>
          <w:spacing w:val="-3"/>
        </w:rPr>
        <w:t>在肠道吸收时与脂类吸收密切相关，当脂类吸收不良时，如长期腹泻，它们的吸</w:t>
      </w:r>
      <w:r>
        <w:rPr>
          <w:rFonts w:ascii="宋体" w:eastAsia="宋体" w:hAnsi="宋体" w:cs="宋体"/>
          <w:spacing w:val="12"/>
        </w:rPr>
        <w:t xml:space="preserve"> </w:t>
      </w:r>
      <w:r>
        <w:rPr>
          <w:rFonts w:ascii="宋体" w:eastAsia="宋体" w:hAnsi="宋体" w:cs="宋体"/>
          <w:spacing w:val="-3"/>
        </w:rPr>
        <w:t>收大为减少，甚至会引起缺乏症。脂溶性维生素排泄效率不高，摄入过多可在体</w:t>
      </w:r>
      <w:r>
        <w:rPr>
          <w:rFonts w:ascii="宋体" w:eastAsia="宋体" w:hAnsi="宋体" w:cs="宋体"/>
          <w:spacing w:val="12"/>
        </w:rPr>
        <w:t xml:space="preserve"> </w:t>
      </w:r>
      <w:r>
        <w:rPr>
          <w:rFonts w:ascii="宋体" w:eastAsia="宋体" w:hAnsi="宋体" w:cs="宋体"/>
          <w:spacing w:val="-7"/>
        </w:rPr>
        <w:t>内蓄积，以致产生有害影响；而水溶性维生素排泄率高，</w:t>
      </w:r>
      <w:r>
        <w:rPr>
          <w:rFonts w:ascii="宋体" w:eastAsia="宋体" w:hAnsi="宋体" w:cs="宋体"/>
          <w:spacing w:val="57"/>
        </w:rPr>
        <w:t xml:space="preserve"> </w:t>
      </w:r>
      <w:r>
        <w:rPr>
          <w:rFonts w:ascii="宋体" w:eastAsia="宋体" w:hAnsi="宋体" w:cs="宋体"/>
          <w:spacing w:val="-7"/>
        </w:rPr>
        <w:t>一般不在</w:t>
      </w:r>
      <w:r>
        <w:rPr>
          <w:rFonts w:ascii="宋体" w:eastAsia="宋体" w:hAnsi="宋体" w:cs="宋体"/>
          <w:spacing w:val="-8"/>
        </w:rPr>
        <w:t>体内蓄积，毒</w:t>
      </w:r>
      <w:r>
        <w:rPr>
          <w:rFonts w:ascii="宋体" w:eastAsia="宋体" w:hAnsi="宋体" w:cs="宋体"/>
        </w:rPr>
        <w:t xml:space="preserve"> </w:t>
      </w:r>
      <w:r>
        <w:rPr>
          <w:rFonts w:ascii="宋体" w:eastAsia="宋体" w:hAnsi="宋体" w:cs="宋体"/>
          <w:spacing w:val="-3"/>
        </w:rPr>
        <w:t>性较低，但超过生理需要量过多时，可能出现维生素和其他营养素代谢不正常等</w:t>
      </w:r>
      <w:r>
        <w:rPr>
          <w:rFonts w:ascii="宋体" w:eastAsia="宋体" w:hAnsi="宋体" w:cs="宋体"/>
          <w:spacing w:val="13"/>
        </w:rPr>
        <w:t xml:space="preserve"> </w:t>
      </w:r>
      <w:r>
        <w:rPr>
          <w:rFonts w:ascii="宋体" w:eastAsia="宋体" w:hAnsi="宋体" w:cs="宋体"/>
          <w:spacing w:val="-14"/>
        </w:rPr>
        <w:t>不良作用，</w:t>
      </w:r>
    </w:p>
    <w:p w:rsidR="00EA40A3" w:rsidRDefault="00E86C16">
      <w:pPr>
        <w:spacing w:before="100" w:line="219" w:lineRule="auto"/>
        <w:ind w:left="410"/>
        <w:rPr>
          <w:rFonts w:ascii="宋体" w:eastAsia="宋体" w:hAnsi="宋体" w:cs="宋体"/>
        </w:rPr>
      </w:pPr>
      <w:r>
        <w:rPr>
          <w:rFonts w:ascii="宋体" w:eastAsia="宋体" w:hAnsi="宋体" w:cs="宋体"/>
          <w:spacing w:val="-3"/>
        </w:rPr>
        <w:t>许多因素可致人体维生素不足或缺乏</w:t>
      </w:r>
    </w:p>
    <w:p w:rsidR="00EA40A3" w:rsidRDefault="00E86C16">
      <w:pPr>
        <w:spacing w:before="59" w:line="219" w:lineRule="auto"/>
        <w:ind w:left="410"/>
        <w:rPr>
          <w:rFonts w:ascii="宋体" w:eastAsia="宋体" w:hAnsi="宋体" w:cs="宋体"/>
        </w:rPr>
      </w:pPr>
      <w:r>
        <w:rPr>
          <w:rFonts w:ascii="宋体" w:eastAsia="宋体" w:hAnsi="宋体" w:cs="宋体"/>
          <w:spacing w:val="1"/>
        </w:rPr>
        <w:t>(1)维生素摄取量不足。膳食调配不合理，或有偏食习惯</w:t>
      </w:r>
      <w:r>
        <w:rPr>
          <w:rFonts w:ascii="宋体" w:eastAsia="宋体" w:hAnsi="宋体" w:cs="宋体"/>
        </w:rPr>
        <w:t>以致维生素摄取不</w:t>
      </w:r>
    </w:p>
    <w:p w:rsidR="00EA40A3" w:rsidRDefault="00E86C16">
      <w:pPr>
        <w:spacing w:before="97"/>
        <w:ind w:right="120"/>
        <w:jc w:val="right"/>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8"/>
          <w:sz w:val="17"/>
          <w:szCs w:val="17"/>
        </w:rPr>
        <w:t xml:space="preserve"> </w:t>
      </w:r>
      <w:r>
        <w:rPr>
          <w:rFonts w:ascii="宋体" w:eastAsia="宋体" w:hAnsi="宋体" w:cs="宋体"/>
          <w:spacing w:val="-24"/>
          <w:sz w:val="17"/>
          <w:szCs w:val="17"/>
        </w:rPr>
        <w:t>117</w:t>
      </w:r>
      <w:r>
        <w:rPr>
          <w:rFonts w:ascii="宋体" w:eastAsia="宋体" w:hAnsi="宋体" w:cs="宋体"/>
          <w:spacing w:val="50"/>
          <w:sz w:val="17"/>
          <w:szCs w:val="17"/>
        </w:rPr>
        <w:t xml:space="preserve"> </w:t>
      </w:r>
      <w:r>
        <w:rPr>
          <w:rFonts w:ascii="宋体" w:eastAsia="宋体" w:hAnsi="宋体" w:cs="宋体"/>
          <w:spacing w:val="-24"/>
          <w:sz w:val="17"/>
          <w:szCs w:val="17"/>
        </w:rPr>
        <w:t>·</w:t>
      </w:r>
    </w:p>
    <w:p w:rsidR="00EA40A3" w:rsidRDefault="00EA40A3">
      <w:pPr>
        <w:sectPr w:rsidR="00EA40A3">
          <w:pgSz w:w="9220" w:h="13360"/>
          <w:pgMar w:top="400" w:right="934" w:bottom="400" w:left="930" w:header="0" w:footer="0" w:gutter="0"/>
          <w:cols w:space="720"/>
        </w:sectPr>
      </w:pPr>
    </w:p>
    <w:p w:rsidR="00EA40A3" w:rsidRDefault="00EA40A3">
      <w:pPr>
        <w:spacing w:line="282" w:lineRule="auto"/>
      </w:pPr>
    </w:p>
    <w:p w:rsidR="00EA40A3" w:rsidRDefault="00EA40A3">
      <w:pPr>
        <w:spacing w:line="28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4"/>
          <w:sz w:val="22"/>
          <w:szCs w:val="22"/>
        </w:rPr>
        <w:t>足。地区食物单调，如以玉米为主，则易患尼克酸缺乏的癞皮病。</w:t>
      </w:r>
    </w:p>
    <w:p w:rsidR="00EA40A3" w:rsidRDefault="00E86C16">
      <w:pPr>
        <w:spacing w:before="28" w:line="237" w:lineRule="auto"/>
        <w:ind w:right="29" w:firstLine="430"/>
        <w:rPr>
          <w:rFonts w:ascii="宋体" w:eastAsia="宋体" w:hAnsi="宋体" w:cs="宋体"/>
          <w:sz w:val="22"/>
          <w:szCs w:val="22"/>
        </w:rPr>
      </w:pPr>
      <w:r>
        <w:rPr>
          <w:rFonts w:ascii="宋体" w:eastAsia="宋体" w:hAnsi="宋体" w:cs="宋体"/>
          <w:spacing w:val="-9"/>
          <w:sz w:val="22"/>
          <w:szCs w:val="22"/>
        </w:rPr>
        <w:t>(2)吸收不良。多见于消化系统疾病的患者，如长期腹泻、消化</w:t>
      </w:r>
      <w:r>
        <w:rPr>
          <w:rFonts w:ascii="宋体" w:eastAsia="宋体" w:hAnsi="宋体" w:cs="宋体"/>
          <w:spacing w:val="-10"/>
          <w:sz w:val="22"/>
          <w:szCs w:val="22"/>
        </w:rPr>
        <w:t>道或胆道梗</w:t>
      </w:r>
      <w:r>
        <w:rPr>
          <w:rFonts w:ascii="宋体" w:eastAsia="宋体" w:hAnsi="宋体" w:cs="宋体"/>
          <w:sz w:val="22"/>
          <w:szCs w:val="22"/>
        </w:rPr>
        <w:t xml:space="preserve"> </w:t>
      </w:r>
      <w:r>
        <w:rPr>
          <w:rFonts w:ascii="宋体" w:eastAsia="宋体" w:hAnsi="宋体" w:cs="宋体"/>
          <w:spacing w:val="-18"/>
          <w:sz w:val="22"/>
          <w:szCs w:val="22"/>
        </w:rPr>
        <w:t>阻者。</w:t>
      </w:r>
    </w:p>
    <w:p w:rsidR="00EA40A3" w:rsidRDefault="00E86C16">
      <w:pPr>
        <w:spacing w:before="34" w:line="236" w:lineRule="auto"/>
        <w:ind w:right="48" w:firstLine="430"/>
        <w:rPr>
          <w:rFonts w:ascii="宋体" w:eastAsia="宋体" w:hAnsi="宋体" w:cs="宋体"/>
          <w:sz w:val="22"/>
          <w:szCs w:val="22"/>
        </w:rPr>
      </w:pPr>
      <w:r>
        <w:rPr>
          <w:rFonts w:ascii="宋体" w:eastAsia="宋体" w:hAnsi="宋体" w:cs="宋体"/>
          <w:spacing w:val="-10"/>
          <w:sz w:val="22"/>
          <w:szCs w:val="22"/>
        </w:rPr>
        <w:t>(3)肠道细菌生长抑制。使用抗生素而使消化道细菌受到抑制，合成维生素</w:t>
      </w:r>
      <w:r>
        <w:rPr>
          <w:rFonts w:ascii="宋体" w:eastAsia="宋体" w:hAnsi="宋体" w:cs="宋体"/>
          <w:spacing w:val="8"/>
          <w:sz w:val="22"/>
          <w:szCs w:val="22"/>
        </w:rPr>
        <w:t xml:space="preserve"> </w:t>
      </w:r>
      <w:r>
        <w:rPr>
          <w:rFonts w:ascii="宋体" w:eastAsia="宋体" w:hAnsi="宋体" w:cs="宋体"/>
          <w:spacing w:val="-5"/>
          <w:sz w:val="22"/>
          <w:szCs w:val="22"/>
        </w:rPr>
        <w:t>的量减少，也可引起某些维生素(维生素K、</w:t>
      </w:r>
      <w:r>
        <w:rPr>
          <w:rFonts w:ascii="宋体" w:eastAsia="宋体" w:hAnsi="宋体" w:cs="宋体"/>
          <w:spacing w:val="-19"/>
          <w:sz w:val="22"/>
          <w:szCs w:val="22"/>
        </w:rPr>
        <w:t xml:space="preserve"> </w:t>
      </w:r>
      <w:r>
        <w:rPr>
          <w:rFonts w:ascii="宋体" w:eastAsia="宋体" w:hAnsi="宋体" w:cs="宋体"/>
          <w:spacing w:val="-5"/>
          <w:sz w:val="22"/>
          <w:szCs w:val="22"/>
        </w:rPr>
        <w:t>维生素Be、</w:t>
      </w:r>
      <w:r>
        <w:rPr>
          <w:rFonts w:ascii="宋体" w:eastAsia="宋体" w:hAnsi="宋体" w:cs="宋体"/>
          <w:spacing w:val="-47"/>
          <w:sz w:val="22"/>
          <w:szCs w:val="22"/>
        </w:rPr>
        <w:t xml:space="preserve"> </w:t>
      </w:r>
      <w:r>
        <w:rPr>
          <w:rFonts w:ascii="宋体" w:eastAsia="宋体" w:hAnsi="宋体" w:cs="宋体"/>
          <w:spacing w:val="-5"/>
          <w:sz w:val="22"/>
          <w:szCs w:val="22"/>
        </w:rPr>
        <w:t>尼克酸)的缺乏</w:t>
      </w:r>
    </w:p>
    <w:p w:rsidR="00EA40A3" w:rsidRDefault="00E86C16">
      <w:pPr>
        <w:spacing w:before="37" w:line="236" w:lineRule="auto"/>
        <w:ind w:right="26" w:firstLine="430"/>
        <w:rPr>
          <w:rFonts w:ascii="宋体" w:eastAsia="宋体" w:hAnsi="宋体" w:cs="宋体"/>
          <w:sz w:val="22"/>
          <w:szCs w:val="22"/>
        </w:rPr>
      </w:pPr>
      <w:r>
        <w:rPr>
          <w:rFonts w:ascii="宋体" w:eastAsia="宋体" w:hAnsi="宋体" w:cs="宋体"/>
          <w:spacing w:val="-9"/>
          <w:sz w:val="22"/>
          <w:szCs w:val="22"/>
        </w:rPr>
        <w:t>(4)需要量增加。生长期儿童、妊娠和哺乳期的妇女、重体力劳动及</w:t>
      </w:r>
      <w:r>
        <w:rPr>
          <w:rFonts w:ascii="宋体" w:eastAsia="宋体" w:hAnsi="宋体" w:cs="宋体"/>
          <w:spacing w:val="-10"/>
          <w:sz w:val="22"/>
          <w:szCs w:val="22"/>
        </w:rPr>
        <w:t>特殊工</w:t>
      </w:r>
      <w:r>
        <w:rPr>
          <w:rFonts w:ascii="宋体" w:eastAsia="宋体" w:hAnsi="宋体" w:cs="宋体"/>
          <w:sz w:val="22"/>
          <w:szCs w:val="22"/>
        </w:rPr>
        <w:t xml:space="preserve"> </w:t>
      </w:r>
      <w:r>
        <w:rPr>
          <w:rFonts w:ascii="宋体" w:eastAsia="宋体" w:hAnsi="宋体" w:cs="宋体"/>
          <w:spacing w:val="-13"/>
          <w:sz w:val="22"/>
          <w:szCs w:val="22"/>
        </w:rPr>
        <w:t>种的工人及长期高热和患慢性消耗性疾病的患者等，需要量比一般人要高。</w:t>
      </w:r>
    </w:p>
    <w:p w:rsidR="00EA40A3" w:rsidRDefault="00E86C16">
      <w:pPr>
        <w:spacing w:before="37" w:line="244" w:lineRule="auto"/>
        <w:ind w:right="21" w:firstLine="430"/>
        <w:rPr>
          <w:rFonts w:ascii="宋体" w:eastAsia="宋体" w:hAnsi="宋体" w:cs="宋体"/>
          <w:sz w:val="22"/>
          <w:szCs w:val="22"/>
        </w:rPr>
      </w:pPr>
      <w:r>
        <w:rPr>
          <w:rFonts w:ascii="宋体" w:eastAsia="宋体" w:hAnsi="宋体" w:cs="宋体"/>
          <w:spacing w:val="-9"/>
          <w:sz w:val="22"/>
          <w:szCs w:val="22"/>
        </w:rPr>
        <w:t>(5)食物储存及烹调方法不当。弃掉烹调用水，则使水溶性维生素损失。煮</w:t>
      </w:r>
      <w:r>
        <w:rPr>
          <w:rFonts w:ascii="宋体" w:eastAsia="宋体" w:hAnsi="宋体" w:cs="宋体"/>
          <w:spacing w:val="1"/>
          <w:sz w:val="22"/>
          <w:szCs w:val="22"/>
        </w:rPr>
        <w:t xml:space="preserve"> </w:t>
      </w:r>
      <w:r>
        <w:rPr>
          <w:rFonts w:ascii="宋体" w:eastAsia="宋体" w:hAnsi="宋体" w:cs="宋体"/>
          <w:spacing w:val="-3"/>
          <w:sz w:val="22"/>
          <w:szCs w:val="22"/>
        </w:rPr>
        <w:t>粥或焊炖肉时加碱，维生素</w:t>
      </w:r>
      <w:r>
        <w:rPr>
          <w:rFonts w:ascii="宋体" w:eastAsia="宋体" w:hAnsi="宋体" w:cs="宋体"/>
          <w:spacing w:val="-48"/>
          <w:sz w:val="22"/>
          <w:szCs w:val="22"/>
        </w:rPr>
        <w:t xml:space="preserve"> </w:t>
      </w:r>
      <w:r>
        <w:rPr>
          <w:rFonts w:ascii="宋体" w:eastAsia="宋体" w:hAnsi="宋体" w:cs="宋体"/>
          <w:spacing w:val="-3"/>
          <w:sz w:val="22"/>
          <w:szCs w:val="22"/>
        </w:rPr>
        <w:t>B</w:t>
      </w:r>
      <w:r>
        <w:rPr>
          <w:rFonts w:ascii="Calibri" w:eastAsia="Calibri" w:hAnsi="Calibri" w:cs="Calibri"/>
          <w:spacing w:val="-3"/>
          <w:sz w:val="22"/>
          <w:szCs w:val="22"/>
        </w:rPr>
        <w:t>₁</w:t>
      </w:r>
      <w:r>
        <w:rPr>
          <w:rFonts w:ascii="Calibri" w:eastAsia="Calibri" w:hAnsi="Calibri" w:cs="Calibri"/>
          <w:spacing w:val="5"/>
          <w:sz w:val="22"/>
          <w:szCs w:val="22"/>
        </w:rPr>
        <w:t xml:space="preserve">  </w:t>
      </w:r>
      <w:r>
        <w:rPr>
          <w:rFonts w:ascii="宋体" w:eastAsia="宋体" w:hAnsi="宋体" w:cs="宋体"/>
          <w:spacing w:val="-3"/>
          <w:sz w:val="22"/>
          <w:szCs w:val="22"/>
        </w:rPr>
        <w:t>便被破坏。维生素C 在储存及烹调时最易被破</w:t>
      </w:r>
      <w:r>
        <w:rPr>
          <w:rFonts w:ascii="宋体" w:eastAsia="宋体" w:hAnsi="宋体" w:cs="宋体"/>
          <w:sz w:val="22"/>
          <w:szCs w:val="22"/>
        </w:rPr>
        <w:t xml:space="preserve"> </w:t>
      </w:r>
      <w:r>
        <w:rPr>
          <w:rFonts w:ascii="宋体" w:eastAsia="宋体" w:hAnsi="宋体" w:cs="宋体"/>
          <w:spacing w:val="-12"/>
          <w:sz w:val="22"/>
          <w:szCs w:val="22"/>
        </w:rPr>
        <w:t>坏。我国膳食中蔬菜较多，但以熟食为主，所以实际摄</w:t>
      </w:r>
      <w:r>
        <w:rPr>
          <w:rFonts w:ascii="宋体" w:eastAsia="宋体" w:hAnsi="宋体" w:cs="宋体"/>
          <w:spacing w:val="-13"/>
          <w:sz w:val="22"/>
          <w:szCs w:val="22"/>
        </w:rPr>
        <w:t>取量比按新鲜样品的计算</w:t>
      </w:r>
      <w:r>
        <w:rPr>
          <w:rFonts w:ascii="宋体" w:eastAsia="宋体" w:hAnsi="宋体" w:cs="宋体"/>
          <w:sz w:val="22"/>
          <w:szCs w:val="22"/>
        </w:rPr>
        <w:t xml:space="preserve"> </w:t>
      </w:r>
      <w:r>
        <w:rPr>
          <w:rFonts w:ascii="宋体" w:eastAsia="宋体" w:hAnsi="宋体" w:cs="宋体"/>
          <w:spacing w:val="-19"/>
          <w:sz w:val="22"/>
          <w:szCs w:val="22"/>
        </w:rPr>
        <w:t>值要小。</w:t>
      </w:r>
    </w:p>
    <w:p w:rsidR="00EA40A3" w:rsidRDefault="00E86C16">
      <w:pPr>
        <w:spacing w:before="105" w:line="248" w:lineRule="auto"/>
        <w:ind w:right="21" w:firstLine="430"/>
        <w:jc w:val="both"/>
        <w:rPr>
          <w:rFonts w:ascii="宋体" w:eastAsia="宋体" w:hAnsi="宋体" w:cs="宋体"/>
          <w:sz w:val="22"/>
          <w:szCs w:val="22"/>
        </w:rPr>
      </w:pPr>
      <w:r>
        <w:rPr>
          <w:rFonts w:ascii="宋体" w:eastAsia="宋体" w:hAnsi="宋体" w:cs="宋体"/>
          <w:spacing w:val="-13"/>
          <w:sz w:val="22"/>
          <w:szCs w:val="22"/>
        </w:rPr>
        <w:t>人类维生素的缺乏包括原发性和继发性。原发性缺乏主要是由于食物中供给</w:t>
      </w:r>
      <w:r>
        <w:rPr>
          <w:rFonts w:ascii="宋体" w:eastAsia="宋体" w:hAnsi="宋体" w:cs="宋体"/>
          <w:spacing w:val="6"/>
          <w:sz w:val="22"/>
          <w:szCs w:val="22"/>
        </w:rPr>
        <w:t xml:space="preserve"> </w:t>
      </w:r>
      <w:r>
        <w:rPr>
          <w:rFonts w:ascii="宋体" w:eastAsia="宋体" w:hAnsi="宋体" w:cs="宋体"/>
          <w:spacing w:val="-12"/>
          <w:sz w:val="22"/>
          <w:szCs w:val="22"/>
        </w:rPr>
        <w:t>量不足，继发性缺乏是由于维生素在体内吸收障碍，</w:t>
      </w:r>
      <w:r>
        <w:rPr>
          <w:rFonts w:ascii="宋体" w:eastAsia="宋体" w:hAnsi="宋体" w:cs="宋体"/>
          <w:spacing w:val="-13"/>
          <w:sz w:val="22"/>
          <w:szCs w:val="22"/>
        </w:rPr>
        <w:t>破坏分解增强和生理需要量</w:t>
      </w:r>
      <w:r>
        <w:rPr>
          <w:rFonts w:ascii="宋体" w:eastAsia="宋体" w:hAnsi="宋体" w:cs="宋体"/>
          <w:sz w:val="22"/>
          <w:szCs w:val="22"/>
        </w:rPr>
        <w:t xml:space="preserve"> </w:t>
      </w:r>
      <w:r>
        <w:rPr>
          <w:rFonts w:ascii="宋体" w:eastAsia="宋体" w:hAnsi="宋体" w:cs="宋体"/>
          <w:spacing w:val="-12"/>
          <w:sz w:val="22"/>
          <w:szCs w:val="22"/>
        </w:rPr>
        <w:t>增加等因素造成。维生素缺乏在体内是一个渐进过程：初</w:t>
      </w:r>
      <w:r>
        <w:rPr>
          <w:rFonts w:ascii="宋体" w:eastAsia="宋体" w:hAnsi="宋体" w:cs="宋体"/>
          <w:spacing w:val="-13"/>
          <w:sz w:val="22"/>
          <w:szCs w:val="22"/>
        </w:rPr>
        <w:t>始储备量降低，继而有</w:t>
      </w:r>
      <w:r>
        <w:rPr>
          <w:rFonts w:ascii="宋体" w:eastAsia="宋体" w:hAnsi="宋体" w:cs="宋体"/>
          <w:sz w:val="22"/>
          <w:szCs w:val="22"/>
        </w:rPr>
        <w:t xml:space="preserve"> </w:t>
      </w:r>
      <w:r>
        <w:rPr>
          <w:rFonts w:ascii="宋体" w:eastAsia="宋体" w:hAnsi="宋体" w:cs="宋体"/>
          <w:spacing w:val="-6"/>
          <w:sz w:val="22"/>
          <w:szCs w:val="22"/>
        </w:rPr>
        <w:t>关生化代谢异常、生理功能改变，然后才是组织病理变化并出</w:t>
      </w:r>
      <w:r>
        <w:rPr>
          <w:rFonts w:ascii="宋体" w:eastAsia="宋体" w:hAnsi="宋体" w:cs="宋体"/>
          <w:spacing w:val="-7"/>
          <w:sz w:val="22"/>
          <w:szCs w:val="22"/>
        </w:rPr>
        <w:t>现临床症状和体</w:t>
      </w:r>
      <w:r>
        <w:rPr>
          <w:rFonts w:ascii="宋体" w:eastAsia="宋体" w:hAnsi="宋体" w:cs="宋体"/>
          <w:sz w:val="22"/>
          <w:szCs w:val="22"/>
        </w:rPr>
        <w:t xml:space="preserve"> </w:t>
      </w:r>
      <w:r>
        <w:rPr>
          <w:rFonts w:ascii="宋体" w:eastAsia="宋体" w:hAnsi="宋体" w:cs="宋体"/>
          <w:spacing w:val="-12"/>
          <w:sz w:val="22"/>
          <w:szCs w:val="22"/>
        </w:rPr>
        <w:t>征。轻度维生素缺乏并不一定出现临床症状，但可使</w:t>
      </w:r>
      <w:r>
        <w:rPr>
          <w:rFonts w:ascii="宋体" w:eastAsia="宋体" w:hAnsi="宋体" w:cs="宋体"/>
          <w:spacing w:val="-13"/>
          <w:sz w:val="22"/>
          <w:szCs w:val="22"/>
        </w:rPr>
        <w:t>劳动效率下降、对疾病抵抗</w:t>
      </w:r>
      <w:r>
        <w:rPr>
          <w:rFonts w:ascii="宋体" w:eastAsia="宋体" w:hAnsi="宋体" w:cs="宋体"/>
          <w:sz w:val="22"/>
          <w:szCs w:val="22"/>
        </w:rPr>
        <w:t xml:space="preserve"> </w:t>
      </w:r>
      <w:r>
        <w:rPr>
          <w:rFonts w:ascii="宋体" w:eastAsia="宋体" w:hAnsi="宋体" w:cs="宋体"/>
          <w:spacing w:val="-13"/>
          <w:sz w:val="22"/>
          <w:szCs w:val="22"/>
        </w:rPr>
        <w:t>力降低等，称为亚临床缺乏或不足。由于亚临床缺乏症状不明显，不特异，往往</w:t>
      </w:r>
      <w:r>
        <w:rPr>
          <w:rFonts w:ascii="宋体" w:eastAsia="宋体" w:hAnsi="宋体" w:cs="宋体"/>
          <w:spacing w:val="2"/>
          <w:sz w:val="22"/>
          <w:szCs w:val="22"/>
        </w:rPr>
        <w:t xml:space="preserve"> </w:t>
      </w:r>
      <w:r>
        <w:rPr>
          <w:rFonts w:ascii="宋体" w:eastAsia="宋体" w:hAnsi="宋体" w:cs="宋体"/>
          <w:spacing w:val="-12"/>
          <w:sz w:val="22"/>
          <w:szCs w:val="22"/>
        </w:rPr>
        <w:t>被人们忽视，故应对此有高度警惕性。临床上常见多种维生素混合缺乏的</w:t>
      </w:r>
      <w:r>
        <w:rPr>
          <w:rFonts w:ascii="宋体" w:eastAsia="宋体" w:hAnsi="宋体" w:cs="宋体"/>
          <w:spacing w:val="-13"/>
          <w:sz w:val="22"/>
          <w:szCs w:val="22"/>
        </w:rPr>
        <w:t>症状和</w:t>
      </w:r>
      <w:r>
        <w:rPr>
          <w:rFonts w:ascii="宋体" w:eastAsia="宋体" w:hAnsi="宋体" w:cs="宋体"/>
          <w:sz w:val="22"/>
          <w:szCs w:val="22"/>
        </w:rPr>
        <w:t xml:space="preserve"> </w:t>
      </w:r>
      <w:r>
        <w:rPr>
          <w:rFonts w:ascii="宋体" w:eastAsia="宋体" w:hAnsi="宋体" w:cs="宋体"/>
          <w:spacing w:val="-18"/>
          <w:sz w:val="22"/>
          <w:szCs w:val="22"/>
        </w:rPr>
        <w:t>体征。</w:t>
      </w:r>
    </w:p>
    <w:p w:rsidR="00EA40A3" w:rsidRDefault="00E86C16">
      <w:pPr>
        <w:spacing w:before="236" w:line="223" w:lineRule="auto"/>
        <w:ind w:left="3"/>
        <w:outlineLvl w:val="6"/>
        <w:rPr>
          <w:rFonts w:ascii="黑体" w:eastAsia="黑体" w:hAnsi="黑体" w:cs="黑体"/>
          <w:sz w:val="22"/>
          <w:szCs w:val="22"/>
        </w:rPr>
      </w:pPr>
      <w:r>
        <w:rPr>
          <w:rFonts w:ascii="黑体" w:eastAsia="黑体" w:hAnsi="黑体" w:cs="黑体"/>
          <w:b/>
          <w:bCs/>
          <w:spacing w:val="9"/>
          <w:sz w:val="22"/>
          <w:szCs w:val="22"/>
        </w:rPr>
        <w:t>4.2.2</w:t>
      </w:r>
      <w:r>
        <w:rPr>
          <w:rFonts w:ascii="黑体" w:eastAsia="黑体" w:hAnsi="黑体" w:cs="黑体"/>
          <w:spacing w:val="5"/>
          <w:sz w:val="22"/>
          <w:szCs w:val="22"/>
        </w:rPr>
        <w:t xml:space="preserve">   </w:t>
      </w:r>
      <w:r>
        <w:rPr>
          <w:rFonts w:ascii="黑体" w:eastAsia="黑体" w:hAnsi="黑体" w:cs="黑体"/>
          <w:b/>
          <w:bCs/>
          <w:spacing w:val="9"/>
          <w:sz w:val="22"/>
          <w:szCs w:val="22"/>
        </w:rPr>
        <w:t>维生素A</w:t>
      </w:r>
    </w:p>
    <w:p w:rsidR="00EA40A3" w:rsidRDefault="00E86C16">
      <w:pPr>
        <w:spacing w:before="263" w:line="220"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22"/>
          <w:sz w:val="22"/>
          <w:szCs w:val="22"/>
        </w:rPr>
        <w:t xml:space="preserve"> </w:t>
      </w:r>
      <w:r>
        <w:rPr>
          <w:rFonts w:ascii="仿宋" w:eastAsia="仿宋" w:hAnsi="仿宋" w:cs="仿宋"/>
          <w:spacing w:val="12"/>
          <w:sz w:val="22"/>
          <w:szCs w:val="22"/>
        </w:rPr>
        <w:t>维生素A</w:t>
      </w:r>
      <w:r>
        <w:rPr>
          <w:rFonts w:ascii="仿宋" w:eastAsia="仿宋" w:hAnsi="仿宋" w:cs="仿宋"/>
          <w:spacing w:val="51"/>
          <w:sz w:val="22"/>
          <w:szCs w:val="22"/>
        </w:rPr>
        <w:t xml:space="preserve"> </w:t>
      </w:r>
      <w:r>
        <w:rPr>
          <w:rFonts w:ascii="仿宋" w:eastAsia="仿宋" w:hAnsi="仿宋" w:cs="仿宋"/>
          <w:spacing w:val="12"/>
          <w:sz w:val="22"/>
          <w:szCs w:val="22"/>
        </w:rPr>
        <w:t>的理化性质</w:t>
      </w:r>
    </w:p>
    <w:p w:rsidR="00EA40A3" w:rsidRDefault="00E86C16">
      <w:pPr>
        <w:spacing w:before="199" w:line="241" w:lineRule="auto"/>
        <w:ind w:right="27" w:firstLine="430"/>
        <w:rPr>
          <w:rFonts w:ascii="宋体" w:eastAsia="宋体" w:hAnsi="宋体" w:cs="宋体"/>
          <w:sz w:val="22"/>
          <w:szCs w:val="22"/>
        </w:rPr>
      </w:pPr>
      <w:r>
        <w:rPr>
          <w:rFonts w:ascii="宋体" w:eastAsia="宋体" w:hAnsi="宋体" w:cs="宋体"/>
          <w:spacing w:val="-1"/>
          <w:sz w:val="22"/>
          <w:szCs w:val="22"/>
        </w:rPr>
        <w:t>维生素A</w:t>
      </w:r>
      <w:r>
        <w:rPr>
          <w:rFonts w:ascii="宋体" w:eastAsia="宋体" w:hAnsi="宋体" w:cs="宋体"/>
          <w:spacing w:val="7"/>
          <w:sz w:val="22"/>
          <w:szCs w:val="22"/>
        </w:rPr>
        <w:t xml:space="preserve"> </w:t>
      </w:r>
      <w:r>
        <w:rPr>
          <w:rFonts w:ascii="宋体" w:eastAsia="宋体" w:hAnsi="宋体" w:cs="宋体"/>
          <w:spacing w:val="-1"/>
          <w:sz w:val="22"/>
          <w:szCs w:val="22"/>
        </w:rPr>
        <w:t>又称视黄醇</w:t>
      </w:r>
      <w:r>
        <w:rPr>
          <w:rFonts w:ascii="宋体" w:eastAsia="宋体" w:hAnsi="宋体" w:cs="宋体"/>
          <w:spacing w:val="-9"/>
          <w:sz w:val="22"/>
          <w:szCs w:val="22"/>
        </w:rPr>
        <w:t xml:space="preserve"> </w:t>
      </w:r>
      <w:r>
        <w:rPr>
          <w:rFonts w:ascii="宋体" w:eastAsia="宋体" w:hAnsi="宋体" w:cs="宋体"/>
          <w:spacing w:val="-1"/>
          <w:sz w:val="22"/>
          <w:szCs w:val="22"/>
        </w:rPr>
        <w:t>(retinol)</w:t>
      </w:r>
      <w:r>
        <w:rPr>
          <w:rFonts w:ascii="宋体" w:eastAsia="宋体" w:hAnsi="宋体" w:cs="宋体"/>
          <w:spacing w:val="-53"/>
          <w:sz w:val="22"/>
          <w:szCs w:val="22"/>
        </w:rPr>
        <w:t xml:space="preserve"> </w:t>
      </w:r>
      <w:r>
        <w:rPr>
          <w:rFonts w:ascii="宋体" w:eastAsia="宋体" w:hAnsi="宋体" w:cs="宋体"/>
          <w:spacing w:val="-1"/>
          <w:sz w:val="22"/>
          <w:szCs w:val="22"/>
        </w:rPr>
        <w:t>抗干眼病维生素(图4-2),是指具有反式</w:t>
      </w:r>
      <w:r>
        <w:rPr>
          <w:rFonts w:ascii="宋体" w:eastAsia="宋体" w:hAnsi="宋体" w:cs="宋体"/>
          <w:sz w:val="22"/>
          <w:szCs w:val="22"/>
        </w:rPr>
        <w:t xml:space="preserve"> </w:t>
      </w:r>
      <w:r>
        <w:rPr>
          <w:rFonts w:ascii="宋体" w:eastAsia="宋体" w:hAnsi="宋体" w:cs="宋体"/>
          <w:spacing w:val="-12"/>
          <w:sz w:val="22"/>
          <w:szCs w:val="22"/>
        </w:rPr>
        <w:t>视黄醇生物活性的一组视黄醇类物质，在自然界中多是全反</w:t>
      </w:r>
      <w:r>
        <w:rPr>
          <w:rFonts w:ascii="宋体" w:eastAsia="宋体" w:hAnsi="宋体" w:cs="宋体"/>
          <w:spacing w:val="-13"/>
          <w:sz w:val="22"/>
          <w:szCs w:val="22"/>
        </w:rPr>
        <w:t>式棕榈酸酯，仅存在</w:t>
      </w:r>
    </w:p>
    <w:p w:rsidR="00EA40A3" w:rsidRDefault="00EA40A3">
      <w:pPr>
        <w:spacing w:line="58" w:lineRule="exact"/>
      </w:pPr>
    </w:p>
    <w:p w:rsidR="00EA40A3" w:rsidRDefault="00EA40A3">
      <w:pPr>
        <w:sectPr w:rsidR="00EA40A3">
          <w:pgSz w:w="9220" w:h="13360"/>
          <w:pgMar w:top="400" w:right="1111" w:bottom="400" w:left="809" w:header="0" w:footer="0" w:gutter="0"/>
          <w:cols w:space="720" w:equalWidth="0">
            <w:col w:w="7299"/>
          </w:cols>
        </w:sectPr>
      </w:pPr>
    </w:p>
    <w:p w:rsidR="00EA40A3" w:rsidRDefault="00E86C16">
      <w:pPr>
        <w:spacing w:before="2" w:line="760" w:lineRule="exact"/>
        <w:ind w:firstLine="120"/>
        <w:textAlignment w:val="center"/>
      </w:pPr>
      <w:r>
        <w:rPr>
          <w:noProof/>
        </w:rPr>
        <w:drawing>
          <wp:inline distT="0" distB="0" distL="0" distR="0">
            <wp:extent cx="1415415" cy="48260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86"/>
                    <a:stretch>
                      <a:fillRect/>
                    </a:stretch>
                  </pic:blipFill>
                  <pic:spPr>
                    <a:xfrm>
                      <a:off x="0" y="0"/>
                      <a:ext cx="1416017" cy="482632"/>
                    </a:xfrm>
                    <a:prstGeom prst="rect">
                      <a:avLst/>
                    </a:prstGeom>
                  </pic:spPr>
                </pic:pic>
              </a:graphicData>
            </a:graphic>
          </wp:inline>
        </w:drawing>
      </w:r>
    </w:p>
    <w:p w:rsidR="00EA40A3" w:rsidRDefault="00E86C16">
      <w:pPr>
        <w:spacing w:before="99" w:line="219" w:lineRule="auto"/>
        <w:ind w:left="430"/>
        <w:rPr>
          <w:rFonts w:ascii="宋体" w:eastAsia="宋体" w:hAnsi="宋体" w:cs="宋体"/>
          <w:sz w:val="22"/>
          <w:szCs w:val="22"/>
        </w:rPr>
      </w:pPr>
      <w:r>
        <w:rPr>
          <w:rFonts w:ascii="宋体" w:eastAsia="宋体" w:hAnsi="宋体" w:cs="宋体"/>
          <w:spacing w:val="-21"/>
          <w:w w:val="95"/>
          <w:sz w:val="22"/>
          <w:szCs w:val="22"/>
        </w:rPr>
        <w:t>图4-2</w:t>
      </w:r>
      <w:r>
        <w:rPr>
          <w:rFonts w:ascii="宋体" w:eastAsia="宋体" w:hAnsi="宋体" w:cs="宋体"/>
          <w:spacing w:val="62"/>
          <w:sz w:val="22"/>
          <w:szCs w:val="22"/>
        </w:rPr>
        <w:t xml:space="preserve"> </w:t>
      </w:r>
      <w:r>
        <w:rPr>
          <w:rFonts w:ascii="宋体" w:eastAsia="宋体" w:hAnsi="宋体" w:cs="宋体"/>
          <w:spacing w:val="-21"/>
          <w:w w:val="95"/>
          <w:sz w:val="22"/>
          <w:szCs w:val="22"/>
        </w:rPr>
        <w:t>视黄醇的结构</w:t>
      </w:r>
    </w:p>
    <w:p w:rsidR="00EA40A3" w:rsidRDefault="00E86C16">
      <w:pPr>
        <w:spacing w:line="14" w:lineRule="auto"/>
        <w:rPr>
          <w:sz w:val="2"/>
        </w:rPr>
      </w:pPr>
      <w:r>
        <w:rPr>
          <w:sz w:val="2"/>
          <w:szCs w:val="2"/>
        </w:rPr>
        <w:br w:type="column"/>
      </w:r>
    </w:p>
    <w:p w:rsidR="00EA40A3" w:rsidRDefault="00E86C16">
      <w:pPr>
        <w:spacing w:before="5" w:line="247" w:lineRule="auto"/>
        <w:jc w:val="both"/>
        <w:rPr>
          <w:rFonts w:ascii="宋体" w:eastAsia="宋体" w:hAnsi="宋体" w:cs="宋体"/>
        </w:rPr>
      </w:pPr>
      <w:r>
        <w:rPr>
          <w:rFonts w:ascii="宋体" w:eastAsia="宋体" w:hAnsi="宋体" w:cs="宋体"/>
          <w:spacing w:val="6"/>
        </w:rPr>
        <w:t>于动物性食物中。在动物体内以两种形式存在，即</w:t>
      </w:r>
      <w:r>
        <w:rPr>
          <w:rFonts w:ascii="宋体" w:eastAsia="宋体" w:hAnsi="宋体" w:cs="宋体"/>
          <w:spacing w:val="9"/>
        </w:rPr>
        <w:t xml:space="preserve"> </w:t>
      </w:r>
      <w:r>
        <w:rPr>
          <w:rFonts w:ascii="宋体" w:eastAsia="宋体" w:hAnsi="宋体" w:cs="宋体"/>
          <w:spacing w:val="-2"/>
        </w:rPr>
        <w:t>视黄醇</w:t>
      </w:r>
      <w:r>
        <w:rPr>
          <w:rFonts w:ascii="宋体" w:eastAsia="宋体" w:hAnsi="宋体" w:cs="宋体"/>
          <w:spacing w:val="-5"/>
        </w:rPr>
        <w:t xml:space="preserve"> </w:t>
      </w:r>
      <w:r>
        <w:rPr>
          <w:rFonts w:ascii="宋体" w:eastAsia="宋体" w:hAnsi="宋体" w:cs="宋体"/>
          <w:spacing w:val="-2"/>
        </w:rPr>
        <w:t>(retinol,Ai)</w:t>
      </w:r>
      <w:r>
        <w:rPr>
          <w:rFonts w:ascii="宋体" w:eastAsia="宋体" w:hAnsi="宋体" w:cs="宋体"/>
          <w:spacing w:val="3"/>
        </w:rPr>
        <w:t xml:space="preserve"> </w:t>
      </w:r>
      <w:r>
        <w:rPr>
          <w:rFonts w:ascii="宋体" w:eastAsia="宋体" w:hAnsi="宋体" w:cs="宋体"/>
          <w:spacing w:val="-2"/>
        </w:rPr>
        <w:t>和脱氢视黄醇</w:t>
      </w:r>
      <w:r>
        <w:rPr>
          <w:rFonts w:ascii="宋体" w:eastAsia="宋体" w:hAnsi="宋体" w:cs="宋体"/>
          <w:spacing w:val="-15"/>
        </w:rPr>
        <w:t xml:space="preserve"> </w:t>
      </w:r>
      <w:r>
        <w:rPr>
          <w:rFonts w:ascii="宋体" w:eastAsia="宋体" w:hAnsi="宋体" w:cs="宋体"/>
          <w:spacing w:val="-2"/>
        </w:rPr>
        <w:t>(dehydroreti-</w:t>
      </w:r>
      <w:r>
        <w:rPr>
          <w:rFonts w:ascii="宋体" w:eastAsia="宋体" w:hAnsi="宋体" w:cs="宋体"/>
        </w:rPr>
        <w:t xml:space="preserve"> nol</w:t>
      </w:r>
      <w:r>
        <w:rPr>
          <w:rFonts w:ascii="宋体" w:eastAsia="宋体" w:hAnsi="宋体" w:cs="宋体"/>
          <w:spacing w:val="8"/>
        </w:rPr>
        <w:t>,A</w:t>
      </w:r>
      <w:r>
        <w:rPr>
          <w:rFonts w:ascii="Calibri" w:eastAsia="Calibri" w:hAnsi="Calibri" w:cs="Calibri"/>
          <w:spacing w:val="8"/>
        </w:rPr>
        <w:t>₂</w:t>
      </w:r>
      <w:r>
        <w:rPr>
          <w:rFonts w:ascii="宋体" w:eastAsia="宋体" w:hAnsi="宋体" w:cs="宋体"/>
          <w:spacing w:val="8"/>
        </w:rPr>
        <w:t>),</w:t>
      </w:r>
      <w:r>
        <w:rPr>
          <w:rFonts w:ascii="宋体" w:eastAsia="宋体" w:hAnsi="宋体" w:cs="宋体"/>
          <w:spacing w:val="103"/>
        </w:rPr>
        <w:t xml:space="preserve"> </w:t>
      </w:r>
      <w:r>
        <w:rPr>
          <w:rFonts w:ascii="宋体" w:eastAsia="宋体" w:hAnsi="宋体" w:cs="宋体"/>
          <w:spacing w:val="8"/>
        </w:rPr>
        <w:t>而棕榈酸视黄酯是主要的储存形式。维</w:t>
      </w:r>
      <w:r>
        <w:rPr>
          <w:rFonts w:ascii="宋体" w:eastAsia="宋体" w:hAnsi="宋体" w:cs="宋体"/>
        </w:rPr>
        <w:t xml:space="preserve"> </w:t>
      </w:r>
      <w:r>
        <w:rPr>
          <w:rFonts w:ascii="宋体" w:eastAsia="宋体" w:hAnsi="宋体" w:cs="宋体"/>
          <w:spacing w:val="15"/>
        </w:rPr>
        <w:t>生素A</w:t>
      </w:r>
      <w:r>
        <w:rPr>
          <w:rFonts w:ascii="宋体" w:eastAsia="宋体" w:hAnsi="宋体" w:cs="宋体"/>
          <w:spacing w:val="52"/>
        </w:rPr>
        <w:t xml:space="preserve"> </w:t>
      </w:r>
      <w:r>
        <w:rPr>
          <w:rFonts w:ascii="宋体" w:eastAsia="宋体" w:hAnsi="宋体" w:cs="宋体"/>
          <w:spacing w:val="15"/>
        </w:rPr>
        <w:t>的衍生物具有特殊的生理功能，如视黄醛</w:t>
      </w:r>
    </w:p>
    <w:p w:rsidR="00EA40A3" w:rsidRDefault="00EA40A3">
      <w:pPr>
        <w:sectPr w:rsidR="00EA40A3">
          <w:type w:val="continuous"/>
          <w:pgSz w:w="9220" w:h="13360"/>
          <w:pgMar w:top="400" w:right="1111" w:bottom="400" w:left="809" w:header="0" w:footer="0" w:gutter="0"/>
          <w:cols w:num="2" w:space="720" w:equalWidth="0">
            <w:col w:w="2421" w:space="100"/>
            <w:col w:w="4779"/>
          </w:cols>
        </w:sectPr>
      </w:pPr>
    </w:p>
    <w:p w:rsidR="00EA40A3" w:rsidRDefault="00E86C16">
      <w:pPr>
        <w:spacing w:before="74" w:line="238" w:lineRule="auto"/>
        <w:ind w:right="25"/>
        <w:jc w:val="both"/>
        <w:rPr>
          <w:rFonts w:ascii="宋体" w:eastAsia="宋体" w:hAnsi="宋体" w:cs="宋体"/>
          <w:sz w:val="22"/>
          <w:szCs w:val="22"/>
        </w:rPr>
      </w:pPr>
      <w:r>
        <w:rPr>
          <w:rFonts w:ascii="宋体" w:eastAsia="宋体" w:hAnsi="宋体" w:cs="宋体"/>
          <w:spacing w:val="-7"/>
          <w:sz w:val="22"/>
          <w:szCs w:val="22"/>
        </w:rPr>
        <w:t>(retinyl aldehyde,</w:t>
      </w:r>
      <w:r>
        <w:rPr>
          <w:rFonts w:ascii="宋体" w:eastAsia="宋体" w:hAnsi="宋体" w:cs="宋体"/>
          <w:spacing w:val="-59"/>
          <w:sz w:val="22"/>
          <w:szCs w:val="22"/>
        </w:rPr>
        <w:t xml:space="preserve"> </w:t>
      </w:r>
      <w:r>
        <w:rPr>
          <w:rFonts w:ascii="宋体" w:eastAsia="宋体" w:hAnsi="宋体" w:cs="宋体"/>
          <w:spacing w:val="-7"/>
          <w:sz w:val="22"/>
          <w:szCs w:val="22"/>
        </w:rPr>
        <w:t>维生素A</w:t>
      </w:r>
      <w:r>
        <w:rPr>
          <w:rFonts w:ascii="宋体" w:eastAsia="宋体" w:hAnsi="宋体" w:cs="宋体"/>
          <w:spacing w:val="-9"/>
          <w:sz w:val="22"/>
          <w:szCs w:val="22"/>
        </w:rPr>
        <w:t xml:space="preserve"> </w:t>
      </w:r>
      <w:r>
        <w:rPr>
          <w:rFonts w:ascii="宋体" w:eastAsia="宋体" w:hAnsi="宋体" w:cs="宋体"/>
          <w:spacing w:val="-7"/>
          <w:sz w:val="22"/>
          <w:szCs w:val="22"/>
        </w:rPr>
        <w:t>醛)对暗</w:t>
      </w:r>
      <w:r>
        <w:rPr>
          <w:rFonts w:ascii="宋体" w:eastAsia="宋体" w:hAnsi="宋体" w:cs="宋体"/>
          <w:spacing w:val="-8"/>
          <w:sz w:val="22"/>
          <w:szCs w:val="22"/>
        </w:rPr>
        <w:t>适应有效；甘露糖视黄醇磷酸</w:t>
      </w:r>
      <w:r>
        <w:rPr>
          <w:rFonts w:ascii="宋体" w:eastAsia="宋体" w:hAnsi="宋体" w:cs="宋体"/>
          <w:spacing w:val="-21"/>
          <w:sz w:val="22"/>
          <w:szCs w:val="22"/>
        </w:rPr>
        <w:t xml:space="preserve"> </w:t>
      </w:r>
      <w:r>
        <w:rPr>
          <w:rFonts w:ascii="宋体" w:eastAsia="宋体" w:hAnsi="宋体" w:cs="宋体"/>
          <w:spacing w:val="-8"/>
          <w:sz w:val="22"/>
          <w:szCs w:val="22"/>
        </w:rPr>
        <w:t>(</w:t>
      </w:r>
      <w:r>
        <w:rPr>
          <w:rFonts w:ascii="宋体" w:eastAsia="宋体" w:hAnsi="宋体" w:cs="宋体"/>
          <w:spacing w:val="-7"/>
          <w:sz w:val="22"/>
          <w:szCs w:val="22"/>
        </w:rPr>
        <w:t>mannosyl</w:t>
      </w:r>
      <w:r>
        <w:rPr>
          <w:rFonts w:ascii="宋体" w:eastAsia="宋体" w:hAnsi="宋体" w:cs="宋体"/>
          <w:sz w:val="22"/>
          <w:szCs w:val="22"/>
        </w:rPr>
        <w:t xml:space="preserve"> </w:t>
      </w:r>
      <w:r>
        <w:rPr>
          <w:rFonts w:ascii="宋体" w:eastAsia="宋体" w:hAnsi="宋体" w:cs="宋体"/>
          <w:spacing w:val="-4"/>
          <w:sz w:val="22"/>
          <w:szCs w:val="22"/>
        </w:rPr>
        <w:t>retiny</w:t>
      </w:r>
      <w:r>
        <w:rPr>
          <w:rFonts w:ascii="宋体" w:eastAsia="宋体" w:hAnsi="宋体" w:cs="宋体"/>
          <w:spacing w:val="5"/>
          <w:sz w:val="22"/>
          <w:szCs w:val="22"/>
        </w:rPr>
        <w:t xml:space="preserve"> </w:t>
      </w:r>
      <w:r>
        <w:rPr>
          <w:rFonts w:ascii="宋体" w:eastAsia="宋体" w:hAnsi="宋体" w:cs="宋体"/>
          <w:spacing w:val="-4"/>
          <w:sz w:val="22"/>
          <w:szCs w:val="22"/>
        </w:rPr>
        <w:t>phosphate,MRP)</w:t>
      </w:r>
      <w:r>
        <w:rPr>
          <w:rFonts w:ascii="宋体" w:eastAsia="宋体" w:hAnsi="宋体" w:cs="宋体"/>
          <w:spacing w:val="-44"/>
          <w:sz w:val="22"/>
          <w:szCs w:val="22"/>
        </w:rPr>
        <w:t xml:space="preserve"> </w:t>
      </w:r>
      <w:r>
        <w:rPr>
          <w:rFonts w:ascii="宋体" w:eastAsia="宋体" w:hAnsi="宋体" w:cs="宋体"/>
          <w:spacing w:val="-4"/>
          <w:sz w:val="22"/>
          <w:szCs w:val="22"/>
        </w:rPr>
        <w:t>也具有某些生理功能。维生素A</w:t>
      </w:r>
      <w:r>
        <w:rPr>
          <w:rFonts w:ascii="宋体" w:eastAsia="宋体" w:hAnsi="宋体" w:cs="宋体"/>
          <w:spacing w:val="2"/>
          <w:sz w:val="22"/>
          <w:szCs w:val="22"/>
        </w:rPr>
        <w:t xml:space="preserve"> </w:t>
      </w:r>
      <w:r>
        <w:rPr>
          <w:rFonts w:ascii="宋体" w:eastAsia="宋体" w:hAnsi="宋体" w:cs="宋体"/>
          <w:spacing w:val="-4"/>
          <w:sz w:val="22"/>
          <w:szCs w:val="22"/>
        </w:rPr>
        <w:t>衍生物的分子式列于</w:t>
      </w:r>
      <w:r>
        <w:rPr>
          <w:rFonts w:ascii="宋体" w:eastAsia="宋体" w:hAnsi="宋体" w:cs="宋体"/>
          <w:sz w:val="22"/>
          <w:szCs w:val="22"/>
        </w:rPr>
        <w:t xml:space="preserve"> </w:t>
      </w:r>
      <w:r>
        <w:rPr>
          <w:rFonts w:ascii="宋体" w:eastAsia="宋体" w:hAnsi="宋体" w:cs="宋体"/>
          <w:spacing w:val="-7"/>
          <w:sz w:val="22"/>
          <w:szCs w:val="22"/>
        </w:rPr>
        <w:t>图4-2。</w:t>
      </w:r>
    </w:p>
    <w:p w:rsidR="00EA40A3" w:rsidRDefault="00E86C16">
      <w:pPr>
        <w:spacing w:before="63" w:line="249" w:lineRule="auto"/>
        <w:ind w:right="27" w:firstLine="430"/>
        <w:jc w:val="both"/>
        <w:rPr>
          <w:rFonts w:ascii="宋体" w:eastAsia="宋体" w:hAnsi="宋体" w:cs="宋体"/>
          <w:sz w:val="22"/>
          <w:szCs w:val="22"/>
        </w:rPr>
      </w:pPr>
      <w:r>
        <w:rPr>
          <w:rFonts w:ascii="宋体" w:eastAsia="宋体" w:hAnsi="宋体" w:cs="宋体"/>
          <w:spacing w:val="-14"/>
          <w:sz w:val="22"/>
          <w:szCs w:val="22"/>
        </w:rPr>
        <w:t>在体内视黄醇可以被氧化为视黄醛，视黄醛可进一步氧化为视黄酸</w:t>
      </w:r>
      <w:r>
        <w:rPr>
          <w:rFonts w:ascii="宋体" w:eastAsia="宋体" w:hAnsi="宋体" w:cs="宋体"/>
          <w:spacing w:val="-17"/>
          <w:sz w:val="22"/>
          <w:szCs w:val="22"/>
        </w:rPr>
        <w:t xml:space="preserve"> </w:t>
      </w:r>
      <w:r>
        <w:rPr>
          <w:rFonts w:ascii="宋体" w:eastAsia="宋体" w:hAnsi="宋体" w:cs="宋体"/>
          <w:spacing w:val="-14"/>
          <w:sz w:val="22"/>
          <w:szCs w:val="22"/>
        </w:rPr>
        <w:t>(retino-</w:t>
      </w:r>
      <w:r>
        <w:rPr>
          <w:rFonts w:ascii="宋体" w:eastAsia="宋体" w:hAnsi="宋体" w:cs="宋体"/>
          <w:sz w:val="22"/>
          <w:szCs w:val="22"/>
        </w:rPr>
        <w:t xml:space="preserve"> </w:t>
      </w:r>
      <w:r>
        <w:rPr>
          <w:rFonts w:ascii="宋体" w:eastAsia="宋体" w:hAnsi="宋体" w:cs="宋体"/>
          <w:spacing w:val="-10"/>
          <w:sz w:val="22"/>
          <w:szCs w:val="22"/>
        </w:rPr>
        <w:t>ic</w:t>
      </w:r>
      <w:r>
        <w:rPr>
          <w:rFonts w:ascii="宋体" w:eastAsia="宋体" w:hAnsi="宋体" w:cs="宋体"/>
          <w:spacing w:val="3"/>
          <w:sz w:val="22"/>
          <w:szCs w:val="22"/>
        </w:rPr>
        <w:t xml:space="preserve"> </w:t>
      </w:r>
      <w:r>
        <w:rPr>
          <w:rFonts w:ascii="宋体" w:eastAsia="宋体" w:hAnsi="宋体" w:cs="宋体"/>
          <w:spacing w:val="-10"/>
          <w:sz w:val="22"/>
          <w:szCs w:val="22"/>
        </w:rPr>
        <w:t>acid),</w:t>
      </w:r>
      <w:r>
        <w:rPr>
          <w:rFonts w:ascii="宋体" w:eastAsia="宋体" w:hAnsi="宋体" w:cs="宋体"/>
          <w:spacing w:val="-57"/>
          <w:sz w:val="22"/>
          <w:szCs w:val="22"/>
        </w:rPr>
        <w:t xml:space="preserve"> </w:t>
      </w:r>
      <w:r>
        <w:rPr>
          <w:rFonts w:ascii="宋体" w:eastAsia="宋体" w:hAnsi="宋体" w:cs="宋体"/>
          <w:spacing w:val="-10"/>
          <w:sz w:val="22"/>
          <w:szCs w:val="22"/>
        </w:rPr>
        <w:t>视黄醛是维生素A</w:t>
      </w:r>
      <w:r>
        <w:rPr>
          <w:rFonts w:ascii="宋体" w:eastAsia="宋体" w:hAnsi="宋体" w:cs="宋体"/>
          <w:spacing w:val="2"/>
          <w:sz w:val="22"/>
          <w:szCs w:val="22"/>
        </w:rPr>
        <w:t xml:space="preserve"> </w:t>
      </w:r>
      <w:r>
        <w:rPr>
          <w:rFonts w:ascii="宋体" w:eastAsia="宋体" w:hAnsi="宋体" w:cs="宋体"/>
          <w:spacing w:val="-10"/>
          <w:sz w:val="22"/>
          <w:szCs w:val="22"/>
        </w:rPr>
        <w:t>的主要活性形式。由于部分类胡萝卜素可在体内转</w:t>
      </w:r>
      <w:r>
        <w:rPr>
          <w:rFonts w:ascii="宋体" w:eastAsia="宋体" w:hAnsi="宋体" w:cs="宋体"/>
          <w:sz w:val="22"/>
          <w:szCs w:val="22"/>
        </w:rPr>
        <w:t xml:space="preserve"> </w:t>
      </w:r>
      <w:r>
        <w:rPr>
          <w:rFonts w:ascii="宋体" w:eastAsia="宋体" w:hAnsi="宋体" w:cs="宋体"/>
          <w:spacing w:val="-1"/>
          <w:sz w:val="22"/>
          <w:szCs w:val="22"/>
        </w:rPr>
        <w:t>为维生素A,</w:t>
      </w:r>
      <w:r>
        <w:rPr>
          <w:rFonts w:ascii="宋体" w:eastAsia="宋体" w:hAnsi="宋体" w:cs="宋体"/>
          <w:spacing w:val="51"/>
          <w:sz w:val="22"/>
          <w:szCs w:val="22"/>
        </w:rPr>
        <w:t xml:space="preserve"> </w:t>
      </w:r>
      <w:r>
        <w:rPr>
          <w:rFonts w:ascii="宋体" w:eastAsia="宋体" w:hAnsi="宋体" w:cs="宋体"/>
          <w:spacing w:val="-1"/>
          <w:sz w:val="22"/>
          <w:szCs w:val="22"/>
        </w:rPr>
        <w:t>因此被称为维生素A</w:t>
      </w:r>
      <w:r>
        <w:rPr>
          <w:rFonts w:ascii="宋体" w:eastAsia="宋体" w:hAnsi="宋体" w:cs="宋体"/>
          <w:spacing w:val="2"/>
          <w:sz w:val="22"/>
          <w:szCs w:val="22"/>
        </w:rPr>
        <w:t xml:space="preserve"> </w:t>
      </w:r>
      <w:r>
        <w:rPr>
          <w:rFonts w:ascii="宋体" w:eastAsia="宋体" w:hAnsi="宋体" w:cs="宋体"/>
          <w:spacing w:val="-1"/>
          <w:sz w:val="22"/>
          <w:szCs w:val="22"/>
        </w:rPr>
        <w:t>原。目前已经从自然界</w:t>
      </w:r>
      <w:r>
        <w:rPr>
          <w:rFonts w:ascii="宋体" w:eastAsia="宋体" w:hAnsi="宋体" w:cs="宋体"/>
          <w:spacing w:val="-2"/>
          <w:sz w:val="22"/>
          <w:szCs w:val="22"/>
        </w:rPr>
        <w:t>中分离出600多种类</w:t>
      </w:r>
      <w:r>
        <w:rPr>
          <w:rFonts w:ascii="宋体" w:eastAsia="宋体" w:hAnsi="宋体" w:cs="宋体"/>
          <w:sz w:val="22"/>
          <w:szCs w:val="22"/>
        </w:rPr>
        <w:t xml:space="preserve"> </w:t>
      </w:r>
      <w:r>
        <w:rPr>
          <w:rFonts w:ascii="宋体" w:eastAsia="宋体" w:hAnsi="宋体" w:cs="宋体"/>
          <w:spacing w:val="-4"/>
          <w:sz w:val="22"/>
          <w:szCs w:val="22"/>
        </w:rPr>
        <w:t>胡萝卜素，但只有大约50种能转化为维生素A,</w:t>
      </w:r>
      <w:r>
        <w:rPr>
          <w:rFonts w:ascii="宋体" w:eastAsia="宋体" w:hAnsi="宋体" w:cs="宋体"/>
          <w:spacing w:val="41"/>
          <w:sz w:val="22"/>
          <w:szCs w:val="22"/>
        </w:rPr>
        <w:t xml:space="preserve"> </w:t>
      </w:r>
      <w:r>
        <w:rPr>
          <w:rFonts w:ascii="宋体" w:eastAsia="宋体" w:hAnsi="宋体" w:cs="宋体"/>
          <w:spacing w:val="-4"/>
          <w:sz w:val="22"/>
          <w:szCs w:val="22"/>
        </w:rPr>
        <w:t>一个不被替代的紫罗酮环被</w:t>
      </w:r>
      <w:r>
        <w:rPr>
          <w:rFonts w:ascii="宋体" w:eastAsia="宋体" w:hAnsi="宋体" w:cs="宋体"/>
          <w:spacing w:val="-5"/>
          <w:sz w:val="22"/>
          <w:szCs w:val="22"/>
        </w:rPr>
        <w:t>认</w:t>
      </w:r>
    </w:p>
    <w:p w:rsidR="00EA40A3" w:rsidRDefault="00E86C16">
      <w:pPr>
        <w:spacing w:before="134" w:line="184" w:lineRule="auto"/>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118</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type w:val="continuous"/>
          <w:pgSz w:w="9220" w:h="13360"/>
          <w:pgMar w:top="400" w:right="1111" w:bottom="400" w:left="809" w:header="0" w:footer="0" w:gutter="0"/>
          <w:cols w:space="720" w:equalWidth="0">
            <w:col w:w="7299"/>
          </w:cols>
        </w:sectPr>
      </w:pPr>
    </w:p>
    <w:p w:rsidR="00EA40A3" w:rsidRDefault="00E86C16">
      <w:pPr>
        <w:spacing w:line="271" w:lineRule="auto"/>
      </w:pPr>
      <w:r>
        <w:rPr>
          <w:noProof/>
        </w:rPr>
        <w:lastRenderedPageBreak/>
        <w:drawing>
          <wp:anchor distT="0" distB="0" distL="0" distR="0" simplePos="0" relativeHeight="251691008" behindDoc="0" locked="0" layoutInCell="0" allowOverlap="1">
            <wp:simplePos x="0" y="0"/>
            <wp:positionH relativeFrom="page">
              <wp:posOffset>2940050</wp:posOffset>
            </wp:positionH>
            <wp:positionV relativeFrom="page">
              <wp:posOffset>716915</wp:posOffset>
            </wp:positionV>
            <wp:extent cx="1651000" cy="527050"/>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87"/>
                    <a:stretch>
                      <a:fillRect/>
                    </a:stretch>
                  </pic:blipFill>
                  <pic:spPr>
                    <a:xfrm>
                      <a:off x="0" y="0"/>
                      <a:ext cx="1650966" cy="527085"/>
                    </a:xfrm>
                    <a:prstGeom prst="rect">
                      <a:avLst/>
                    </a:prstGeom>
                  </pic:spPr>
                </pic:pic>
              </a:graphicData>
            </a:graphic>
          </wp:anchor>
        </w:drawing>
      </w:r>
      <w:r>
        <w:rPr>
          <w:noProof/>
        </w:rPr>
        <w:drawing>
          <wp:anchor distT="0" distB="0" distL="0" distR="0" simplePos="0" relativeHeight="251692032" behindDoc="0" locked="0" layoutInCell="0" allowOverlap="1">
            <wp:simplePos x="0" y="0"/>
            <wp:positionH relativeFrom="page">
              <wp:posOffset>647700</wp:posOffset>
            </wp:positionH>
            <wp:positionV relativeFrom="page">
              <wp:posOffset>5060950</wp:posOffset>
            </wp:positionV>
            <wp:extent cx="1574800" cy="52070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88"/>
                    <a:stretch>
                      <a:fillRect/>
                    </a:stretch>
                  </pic:blipFill>
                  <pic:spPr>
                    <a:xfrm>
                      <a:off x="0" y="0"/>
                      <a:ext cx="1574797" cy="520638"/>
                    </a:xfrm>
                    <a:prstGeom prst="rect">
                      <a:avLst/>
                    </a:prstGeom>
                  </pic:spPr>
                </pic:pic>
              </a:graphicData>
            </a:graphic>
          </wp:anchor>
        </w:drawing>
      </w:r>
    </w:p>
    <w:p w:rsidR="00EA40A3" w:rsidRDefault="00EA40A3">
      <w:pPr>
        <w:spacing w:line="272" w:lineRule="auto"/>
      </w:pPr>
    </w:p>
    <w:p w:rsidR="00EA40A3" w:rsidRDefault="00EA40A3">
      <w:pPr>
        <w:spacing w:line="272" w:lineRule="auto"/>
      </w:pPr>
    </w:p>
    <w:p w:rsidR="00EA40A3" w:rsidRDefault="00E86C16">
      <w:pPr>
        <w:spacing w:line="1119" w:lineRule="exact"/>
        <w:ind w:firstLine="199"/>
        <w:textAlignment w:val="center"/>
      </w:pPr>
      <w:r>
        <w:rPr>
          <w:noProof/>
        </w:rPr>
        <w:drawing>
          <wp:inline distT="0" distB="0" distL="0" distR="0">
            <wp:extent cx="1656715" cy="710565"/>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89"/>
                    <a:stretch>
                      <a:fillRect/>
                    </a:stretch>
                  </pic:blipFill>
                  <pic:spPr>
                    <a:xfrm>
                      <a:off x="0" y="0"/>
                      <a:ext cx="1657348" cy="711179"/>
                    </a:xfrm>
                    <a:prstGeom prst="rect">
                      <a:avLst/>
                    </a:prstGeom>
                  </pic:spPr>
                </pic:pic>
              </a:graphicData>
            </a:graphic>
          </wp:inline>
        </w:drawing>
      </w:r>
    </w:p>
    <w:p w:rsidR="00EA40A3" w:rsidRDefault="00EA40A3">
      <w:pPr>
        <w:spacing w:line="69" w:lineRule="exact"/>
      </w:pPr>
    </w:p>
    <w:p w:rsidR="00EA40A3" w:rsidRDefault="00EA40A3">
      <w:pPr>
        <w:sectPr w:rsidR="00EA40A3">
          <w:footerReference w:type="default" r:id="rId90"/>
          <w:pgSz w:w="9220" w:h="13360"/>
          <w:pgMar w:top="400" w:right="991" w:bottom="1250" w:left="939" w:header="0" w:footer="1068" w:gutter="0"/>
          <w:cols w:space="720" w:equalWidth="0">
            <w:col w:w="7289"/>
          </w:cols>
        </w:sectPr>
      </w:pPr>
    </w:p>
    <w:p w:rsidR="00EA40A3" w:rsidRDefault="00E86C16">
      <w:pPr>
        <w:spacing w:before="124" w:line="198" w:lineRule="auto"/>
        <w:ind w:left="1179"/>
        <w:rPr>
          <w:rFonts w:ascii="Times New Roman" w:eastAsia="Times New Roman" w:hAnsi="Times New Roman" w:cs="Times New Roman"/>
        </w:rPr>
      </w:pPr>
      <w:r>
        <w:rPr>
          <w:rFonts w:ascii="Times New Roman" w:eastAsia="Times New Roman" w:hAnsi="Times New Roman" w:cs="Times New Roman"/>
          <w:spacing w:val="-7"/>
          <w:w w:val="83"/>
        </w:rPr>
        <w:t>(a)</w:t>
      </w:r>
      <w:r>
        <w:rPr>
          <w:rFonts w:ascii="宋体" w:eastAsia="宋体" w:hAnsi="宋体" w:cs="宋体"/>
          <w:spacing w:val="-7"/>
          <w:w w:val="83"/>
        </w:rPr>
        <w:t>全反式</w:t>
      </w:r>
      <w:r>
        <w:rPr>
          <w:rFonts w:ascii="Times New Roman" w:eastAsia="Times New Roman" w:hAnsi="Times New Roman" w:cs="Times New Roman"/>
          <w:spacing w:val="-7"/>
          <w:w w:val="83"/>
        </w:rPr>
        <w:t>V₂</w:t>
      </w:r>
    </w:p>
    <w:p w:rsidR="00EA40A3" w:rsidRDefault="00E86C16">
      <w:pPr>
        <w:spacing w:line="14" w:lineRule="auto"/>
        <w:rPr>
          <w:sz w:val="2"/>
        </w:rPr>
      </w:pPr>
      <w:r>
        <w:rPr>
          <w:sz w:val="2"/>
          <w:szCs w:val="2"/>
        </w:rPr>
        <w:br w:type="column"/>
      </w:r>
    </w:p>
    <w:p w:rsidR="00EA40A3" w:rsidRDefault="00E86C16">
      <w:pPr>
        <w:spacing w:before="43" w:line="212" w:lineRule="auto"/>
        <w:rPr>
          <w:rFonts w:ascii="宋体" w:eastAsia="宋体" w:hAnsi="宋体" w:cs="宋体"/>
        </w:rPr>
      </w:pPr>
      <w:r>
        <w:rPr>
          <w:rFonts w:ascii="Times New Roman" w:eastAsia="Times New Roman" w:hAnsi="Times New Roman" w:cs="Times New Roman"/>
          <w:spacing w:val="-3"/>
          <w:w w:val="84"/>
        </w:rPr>
        <w:t>(f)</w:t>
      </w:r>
      <w:r>
        <w:rPr>
          <w:rFonts w:ascii="宋体" w:eastAsia="宋体" w:hAnsi="宋体" w:cs="宋体"/>
          <w:spacing w:val="-3"/>
          <w:w w:val="84"/>
        </w:rPr>
        <w:t>视黄酸</w:t>
      </w:r>
    </w:p>
    <w:p w:rsidR="00EA40A3" w:rsidRDefault="00EA40A3">
      <w:pPr>
        <w:sectPr w:rsidR="00EA40A3">
          <w:type w:val="continuous"/>
          <w:pgSz w:w="9220" w:h="13360"/>
          <w:pgMar w:top="400" w:right="991" w:bottom="1250" w:left="939" w:header="0" w:footer="1068" w:gutter="0"/>
          <w:cols w:num="2" w:space="720" w:equalWidth="0">
            <w:col w:w="4781" w:space="100"/>
            <w:col w:w="2409"/>
          </w:cols>
        </w:sectPr>
      </w:pPr>
    </w:p>
    <w:p w:rsidR="00EA40A3" w:rsidRDefault="00E86C16">
      <w:pPr>
        <w:spacing w:before="140" w:line="1100" w:lineRule="exact"/>
        <w:ind w:firstLine="150"/>
        <w:textAlignment w:val="center"/>
      </w:pPr>
      <w:r>
        <w:rPr>
          <w:noProof/>
        </w:rPr>
        <w:drawing>
          <wp:inline distT="0" distB="0" distL="0" distR="0">
            <wp:extent cx="4495800" cy="69786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91"/>
                    <a:stretch>
                      <a:fillRect/>
                    </a:stretch>
                  </pic:blipFill>
                  <pic:spPr>
                    <a:xfrm>
                      <a:off x="0" y="0"/>
                      <a:ext cx="4495824" cy="698455"/>
                    </a:xfrm>
                    <a:prstGeom prst="rect">
                      <a:avLst/>
                    </a:prstGeom>
                  </pic:spPr>
                </pic:pic>
              </a:graphicData>
            </a:graphic>
          </wp:inline>
        </w:drawing>
      </w:r>
    </w:p>
    <w:p w:rsidR="00EA40A3" w:rsidRDefault="00EA40A3">
      <w:pPr>
        <w:spacing w:line="154" w:lineRule="exact"/>
      </w:pPr>
    </w:p>
    <w:p w:rsidR="00EA40A3" w:rsidRDefault="00EA40A3">
      <w:pPr>
        <w:sectPr w:rsidR="00EA40A3">
          <w:type w:val="continuous"/>
          <w:pgSz w:w="9220" w:h="13360"/>
          <w:pgMar w:top="400" w:right="991" w:bottom="1250" w:left="939" w:header="0" w:footer="1068" w:gutter="0"/>
          <w:cols w:space="720" w:equalWidth="0">
            <w:col w:w="7289"/>
          </w:cols>
        </w:sectPr>
      </w:pPr>
    </w:p>
    <w:p w:rsidR="00EA40A3" w:rsidRDefault="00E86C16">
      <w:pPr>
        <w:spacing w:before="63" w:line="184" w:lineRule="auto"/>
        <w:ind w:left="1290"/>
        <w:rPr>
          <w:rFonts w:ascii="宋体" w:eastAsia="宋体" w:hAnsi="宋体" w:cs="宋体"/>
          <w:sz w:val="16"/>
          <w:szCs w:val="16"/>
        </w:rPr>
      </w:pPr>
      <w:r>
        <w:rPr>
          <w:rFonts w:ascii="宋体" w:eastAsia="宋体" w:hAnsi="宋体" w:cs="宋体"/>
          <w:spacing w:val="-5"/>
          <w:sz w:val="16"/>
          <w:szCs w:val="16"/>
        </w:rPr>
        <w:t>(b)V</w:t>
      </w:r>
      <w:r>
        <w:rPr>
          <w:rFonts w:ascii="宋体" w:eastAsia="宋体" w:hAnsi="宋体" w:cs="宋体"/>
          <w:spacing w:val="-6"/>
          <w:sz w:val="16"/>
          <w:szCs w:val="16"/>
        </w:rPr>
        <w:t xml:space="preserve"> </w:t>
      </w:r>
      <w:r>
        <w:rPr>
          <w:rFonts w:ascii="宋体" w:eastAsia="宋体" w:hAnsi="宋体" w:cs="宋体"/>
          <w:spacing w:val="-5"/>
          <w:sz w:val="16"/>
          <w:szCs w:val="16"/>
        </w:rPr>
        <w:t>棕槲酸酮</w:t>
      </w:r>
    </w:p>
    <w:p w:rsidR="00EA40A3" w:rsidRDefault="00E86C16">
      <w:pPr>
        <w:spacing w:line="14" w:lineRule="auto"/>
        <w:rPr>
          <w:sz w:val="2"/>
        </w:rPr>
      </w:pPr>
      <w:r>
        <w:rPr>
          <w:sz w:val="2"/>
          <w:szCs w:val="2"/>
        </w:rPr>
        <w:br w:type="column"/>
      </w:r>
    </w:p>
    <w:p w:rsidR="00EA40A3" w:rsidRDefault="00E86C16">
      <w:pPr>
        <w:spacing w:before="33" w:line="212" w:lineRule="auto"/>
        <w:rPr>
          <w:rFonts w:ascii="宋体" w:eastAsia="宋体" w:hAnsi="宋体" w:cs="宋体"/>
          <w:sz w:val="16"/>
          <w:szCs w:val="16"/>
        </w:rPr>
      </w:pPr>
      <w:r>
        <w:rPr>
          <w:rFonts w:ascii="Times New Roman" w:eastAsia="Times New Roman" w:hAnsi="Times New Roman" w:cs="Times New Roman"/>
          <w:spacing w:val="-2"/>
          <w:sz w:val="16"/>
          <w:szCs w:val="16"/>
        </w:rPr>
        <w:t>(g)</w:t>
      </w:r>
      <w:r>
        <w:rPr>
          <w:rFonts w:ascii="宋体" w:eastAsia="宋体" w:hAnsi="宋体" w:cs="宋体"/>
          <w:spacing w:val="-2"/>
          <w:sz w:val="16"/>
          <w:szCs w:val="16"/>
        </w:rPr>
        <w:t>葡糖视黄苷酸</w:t>
      </w:r>
    </w:p>
    <w:p w:rsidR="00EA40A3" w:rsidRDefault="00EA40A3">
      <w:pPr>
        <w:sectPr w:rsidR="00EA40A3">
          <w:type w:val="continuous"/>
          <w:pgSz w:w="9220" w:h="13360"/>
          <w:pgMar w:top="400" w:right="991" w:bottom="1250" w:left="939" w:header="0" w:footer="1068" w:gutter="0"/>
          <w:cols w:num="2" w:space="720" w:equalWidth="0">
            <w:col w:w="4781" w:space="100"/>
            <w:col w:w="2409"/>
          </w:cols>
        </w:sectPr>
      </w:pPr>
    </w:p>
    <w:p w:rsidR="00EA40A3" w:rsidRDefault="00E86C16">
      <w:pPr>
        <w:spacing w:before="224" w:line="900" w:lineRule="exact"/>
        <w:ind w:firstLine="140"/>
        <w:textAlignment w:val="center"/>
      </w:pPr>
      <w:r>
        <w:rPr>
          <w:noProof/>
        </w:rPr>
        <w:drawing>
          <wp:inline distT="0" distB="0" distL="0" distR="0">
            <wp:extent cx="3910965" cy="57150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92"/>
                    <a:stretch>
                      <a:fillRect/>
                    </a:stretch>
                  </pic:blipFill>
                  <pic:spPr>
                    <a:xfrm>
                      <a:off x="0" y="0"/>
                      <a:ext cx="3911583" cy="571539"/>
                    </a:xfrm>
                    <a:prstGeom prst="rect">
                      <a:avLst/>
                    </a:prstGeom>
                  </pic:spPr>
                </pic:pic>
              </a:graphicData>
            </a:graphic>
          </wp:inline>
        </w:drawing>
      </w:r>
    </w:p>
    <w:p w:rsidR="00EA40A3" w:rsidRDefault="00EA40A3">
      <w:pPr>
        <w:spacing w:line="116" w:lineRule="exact"/>
      </w:pPr>
    </w:p>
    <w:p w:rsidR="00EA40A3" w:rsidRDefault="00EA40A3">
      <w:pPr>
        <w:sectPr w:rsidR="00EA40A3">
          <w:type w:val="continuous"/>
          <w:pgSz w:w="9220" w:h="13360"/>
          <w:pgMar w:top="400" w:right="991" w:bottom="1250" w:left="939" w:header="0" w:footer="1068" w:gutter="0"/>
          <w:cols w:space="720" w:equalWidth="0">
            <w:col w:w="7289"/>
          </w:cols>
        </w:sectPr>
      </w:pPr>
    </w:p>
    <w:p w:rsidR="00EA40A3" w:rsidRDefault="00E86C16">
      <w:pPr>
        <w:spacing w:before="53" w:line="184" w:lineRule="auto"/>
        <w:ind w:left="1250"/>
        <w:rPr>
          <w:rFonts w:ascii="宋体" w:eastAsia="宋体" w:hAnsi="宋体" w:cs="宋体"/>
        </w:rPr>
      </w:pPr>
      <w:r>
        <w:rPr>
          <w:rFonts w:ascii="宋体" w:eastAsia="宋体" w:hAnsi="宋体" w:cs="宋体"/>
          <w:spacing w:val="-17"/>
          <w:w w:val="90"/>
        </w:rPr>
        <w:t>(c)V.磷酸酯</w:t>
      </w:r>
    </w:p>
    <w:p w:rsidR="00EA40A3" w:rsidRDefault="00E86C16">
      <w:pPr>
        <w:spacing w:line="14" w:lineRule="auto"/>
        <w:rPr>
          <w:sz w:val="2"/>
        </w:rPr>
      </w:pPr>
      <w:r>
        <w:rPr>
          <w:sz w:val="2"/>
          <w:szCs w:val="2"/>
        </w:rPr>
        <w:br w:type="column"/>
      </w:r>
    </w:p>
    <w:p w:rsidR="00EA40A3" w:rsidRDefault="00E86C16">
      <w:pPr>
        <w:spacing w:before="41" w:line="212" w:lineRule="auto"/>
        <w:rPr>
          <w:rFonts w:ascii="宋体" w:eastAsia="宋体" w:hAnsi="宋体" w:cs="宋体"/>
          <w:sz w:val="16"/>
          <w:szCs w:val="16"/>
        </w:rPr>
      </w:pPr>
      <w:r>
        <w:rPr>
          <w:rFonts w:ascii="Times New Roman" w:eastAsia="Times New Roman" w:hAnsi="Times New Roman" w:cs="Times New Roman"/>
          <w:spacing w:val="-2"/>
          <w:sz w:val="16"/>
          <w:szCs w:val="16"/>
        </w:rPr>
        <w:t>(h)3-</w:t>
      </w:r>
      <w:r>
        <w:rPr>
          <w:rFonts w:ascii="Times New Roman" w:eastAsia="Times New Roman" w:hAnsi="Times New Roman" w:cs="Times New Roman"/>
          <w:spacing w:val="3"/>
          <w:sz w:val="16"/>
          <w:szCs w:val="16"/>
        </w:rPr>
        <w:t xml:space="preserve"> </w:t>
      </w:r>
      <w:r>
        <w:rPr>
          <w:rFonts w:ascii="宋体" w:eastAsia="宋体" w:hAnsi="宋体" w:cs="宋体"/>
          <w:spacing w:val="-2"/>
          <w:sz w:val="16"/>
          <w:szCs w:val="16"/>
        </w:rPr>
        <w:t>脱氢视黄醇</w:t>
      </w:r>
    </w:p>
    <w:p w:rsidR="00EA40A3" w:rsidRDefault="00EA40A3">
      <w:pPr>
        <w:sectPr w:rsidR="00EA40A3">
          <w:type w:val="continuous"/>
          <w:pgSz w:w="9220" w:h="13360"/>
          <w:pgMar w:top="400" w:right="991" w:bottom="1250" w:left="939" w:header="0" w:footer="1068" w:gutter="0"/>
          <w:cols w:num="2" w:space="720" w:equalWidth="0">
            <w:col w:w="4771" w:space="100"/>
            <w:col w:w="2419"/>
          </w:cols>
        </w:sectPr>
      </w:pPr>
    </w:p>
    <w:p w:rsidR="00EA40A3" w:rsidRDefault="00EA40A3"/>
    <w:p w:rsidR="00EA40A3" w:rsidRDefault="00E86C16">
      <w:pPr>
        <w:spacing w:line="970" w:lineRule="exact"/>
        <w:ind w:firstLine="50"/>
        <w:textAlignment w:val="center"/>
      </w:pPr>
      <w:r>
        <w:rPr>
          <w:noProof/>
        </w:rPr>
        <w:drawing>
          <wp:inline distT="0" distB="0" distL="0" distR="0">
            <wp:extent cx="3999865" cy="61595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93"/>
                    <a:stretch>
                      <a:fillRect/>
                    </a:stretch>
                  </pic:blipFill>
                  <pic:spPr>
                    <a:xfrm>
                      <a:off x="0" y="0"/>
                      <a:ext cx="4000458" cy="615994"/>
                    </a:xfrm>
                    <a:prstGeom prst="rect">
                      <a:avLst/>
                    </a:prstGeom>
                  </pic:spPr>
                </pic:pic>
              </a:graphicData>
            </a:graphic>
          </wp:inline>
        </w:drawing>
      </w:r>
    </w:p>
    <w:p w:rsidR="00EA40A3" w:rsidRDefault="00E86C16">
      <w:pPr>
        <w:spacing w:before="195" w:line="212" w:lineRule="auto"/>
        <w:ind w:left="1030"/>
        <w:rPr>
          <w:rFonts w:ascii="宋体" w:eastAsia="宋体" w:hAnsi="宋体" w:cs="宋体"/>
        </w:rPr>
      </w:pPr>
      <w:r>
        <w:rPr>
          <w:rFonts w:ascii="Times New Roman" w:eastAsia="Times New Roman" w:hAnsi="Times New Roman" w:cs="Times New Roman"/>
          <w:spacing w:val="-11"/>
          <w:w w:val="97"/>
          <w:sz w:val="16"/>
          <w:szCs w:val="16"/>
        </w:rPr>
        <w:t>(d)</w:t>
      </w:r>
      <w:r>
        <w:rPr>
          <w:rFonts w:ascii="宋体" w:eastAsia="宋体" w:hAnsi="宋体" w:cs="宋体"/>
          <w:spacing w:val="-11"/>
          <w:w w:val="97"/>
          <w:sz w:val="16"/>
          <w:szCs w:val="16"/>
        </w:rPr>
        <w:t>甘露糖视黄醇磷酸酯</w:t>
      </w:r>
      <w:r>
        <w:rPr>
          <w:rFonts w:ascii="宋体" w:eastAsia="宋体" w:hAnsi="宋体" w:cs="宋体"/>
          <w:spacing w:val="1"/>
          <w:sz w:val="16"/>
          <w:szCs w:val="16"/>
        </w:rPr>
        <w:t xml:space="preserve">                            </w:t>
      </w:r>
      <w:r>
        <w:rPr>
          <w:rFonts w:ascii="Times New Roman" w:eastAsia="Times New Roman" w:hAnsi="Times New Roman" w:cs="Times New Roman"/>
          <w:spacing w:val="-11"/>
          <w:w w:val="97"/>
        </w:rPr>
        <w:t>(i)3-</w:t>
      </w:r>
      <w:r>
        <w:rPr>
          <w:rFonts w:ascii="Times New Roman" w:eastAsia="Times New Roman" w:hAnsi="Times New Roman" w:cs="Times New Roman"/>
          <w:spacing w:val="-29"/>
        </w:rPr>
        <w:t xml:space="preserve"> </w:t>
      </w:r>
      <w:r>
        <w:rPr>
          <w:rFonts w:ascii="宋体" w:eastAsia="宋体" w:hAnsi="宋体" w:cs="宋体"/>
          <w:spacing w:val="-11"/>
          <w:w w:val="97"/>
        </w:rPr>
        <w:t>脱氢视黄醛</w:t>
      </w:r>
    </w:p>
    <w:p w:rsidR="00EA40A3" w:rsidRDefault="00E86C16">
      <w:pPr>
        <w:spacing w:before="214" w:line="1030" w:lineRule="exact"/>
        <w:ind w:firstLine="4179"/>
        <w:textAlignment w:val="center"/>
      </w:pPr>
      <w:r>
        <w:rPr>
          <w:noProof/>
        </w:rPr>
        <w:drawing>
          <wp:inline distT="0" distB="0" distL="0" distR="0">
            <wp:extent cx="1155700" cy="65405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94"/>
                    <a:stretch>
                      <a:fillRect/>
                    </a:stretch>
                  </pic:blipFill>
                  <pic:spPr>
                    <a:xfrm>
                      <a:off x="0" y="0"/>
                      <a:ext cx="1155717" cy="654085"/>
                    </a:xfrm>
                    <a:prstGeom prst="rect">
                      <a:avLst/>
                    </a:prstGeom>
                  </pic:spPr>
                </pic:pic>
              </a:graphicData>
            </a:graphic>
          </wp:inline>
        </w:drawing>
      </w:r>
    </w:p>
    <w:p w:rsidR="00EA40A3" w:rsidRDefault="00E86C16">
      <w:pPr>
        <w:spacing w:before="268" w:line="540" w:lineRule="exact"/>
        <w:ind w:left="1069"/>
        <w:rPr>
          <w:rFonts w:ascii="宋体" w:eastAsia="宋体" w:hAnsi="宋体" w:cs="宋体"/>
          <w:sz w:val="16"/>
          <w:szCs w:val="16"/>
        </w:rPr>
      </w:pPr>
      <w:r>
        <w:rPr>
          <w:rFonts w:ascii="Times New Roman" w:eastAsia="Times New Roman" w:hAnsi="Times New Roman" w:cs="Times New Roman"/>
          <w:spacing w:val="-2"/>
          <w:position w:val="28"/>
          <w:sz w:val="16"/>
          <w:szCs w:val="16"/>
        </w:rPr>
        <w:t>(e)</w:t>
      </w:r>
      <w:r>
        <w:rPr>
          <w:rFonts w:ascii="仿宋" w:eastAsia="仿宋" w:hAnsi="仿宋" w:cs="仿宋"/>
          <w:spacing w:val="-2"/>
          <w:position w:val="28"/>
          <w:sz w:val="16"/>
          <w:szCs w:val="16"/>
        </w:rPr>
        <w:t>全反式视黄醛</w:t>
      </w:r>
      <w:r>
        <w:rPr>
          <w:rFonts w:ascii="仿宋" w:eastAsia="仿宋" w:hAnsi="仿宋" w:cs="仿宋"/>
          <w:spacing w:val="1"/>
          <w:position w:val="28"/>
          <w:sz w:val="16"/>
          <w:szCs w:val="16"/>
        </w:rPr>
        <w:t xml:space="preserve">                                 </w:t>
      </w:r>
      <w:r>
        <w:rPr>
          <w:rFonts w:ascii="Times New Roman" w:eastAsia="Times New Roman" w:hAnsi="Times New Roman" w:cs="Times New Roman"/>
          <w:spacing w:val="-2"/>
          <w:position w:val="29"/>
          <w:sz w:val="16"/>
          <w:szCs w:val="16"/>
        </w:rPr>
        <w:t>(j)</w:t>
      </w:r>
      <w:r>
        <w:rPr>
          <w:rFonts w:ascii="Times New Roman" w:eastAsia="Times New Roman" w:hAnsi="Times New Roman" w:cs="Times New Roman"/>
          <w:spacing w:val="-6"/>
          <w:position w:val="29"/>
          <w:sz w:val="16"/>
          <w:szCs w:val="16"/>
        </w:rPr>
        <w:t xml:space="preserve"> </w:t>
      </w:r>
      <w:r>
        <w:rPr>
          <w:rFonts w:ascii="宋体" w:eastAsia="宋体" w:hAnsi="宋体" w:cs="宋体"/>
          <w:spacing w:val="-2"/>
          <w:position w:val="29"/>
          <w:sz w:val="16"/>
          <w:szCs w:val="16"/>
        </w:rPr>
        <w:t>顺视黄醛</w:t>
      </w:r>
    </w:p>
    <w:p w:rsidR="00EA40A3" w:rsidRDefault="00E86C16">
      <w:pPr>
        <w:spacing w:before="1" w:line="219" w:lineRule="auto"/>
        <w:ind w:left="2349"/>
        <w:rPr>
          <w:rFonts w:ascii="宋体" w:eastAsia="宋体" w:hAnsi="宋体" w:cs="宋体"/>
        </w:rPr>
      </w:pPr>
      <w:r>
        <w:rPr>
          <w:rFonts w:ascii="宋体" w:eastAsia="宋体" w:hAnsi="宋体" w:cs="宋体"/>
          <w:spacing w:val="-18"/>
          <w:w w:val="98"/>
        </w:rPr>
        <w:t>图4-3</w:t>
      </w:r>
      <w:r>
        <w:rPr>
          <w:rFonts w:ascii="宋体" w:eastAsia="宋体" w:hAnsi="宋体" w:cs="宋体"/>
          <w:spacing w:val="68"/>
        </w:rPr>
        <w:t xml:space="preserve"> </w:t>
      </w:r>
      <w:r>
        <w:rPr>
          <w:rFonts w:ascii="宋体" w:eastAsia="宋体" w:hAnsi="宋体" w:cs="宋体"/>
          <w:spacing w:val="-18"/>
          <w:w w:val="98"/>
        </w:rPr>
        <w:t>维生素</w:t>
      </w:r>
      <w:r>
        <w:rPr>
          <w:rFonts w:ascii="Times New Roman" w:eastAsia="Times New Roman" w:hAnsi="Times New Roman" w:cs="Times New Roman"/>
          <w:spacing w:val="-18"/>
          <w:w w:val="98"/>
        </w:rPr>
        <w:t>A</w:t>
      </w:r>
      <w:r>
        <w:rPr>
          <w:rFonts w:ascii="Times New Roman" w:eastAsia="Times New Roman" w:hAnsi="Times New Roman" w:cs="Times New Roman"/>
          <w:spacing w:val="-22"/>
        </w:rPr>
        <w:t xml:space="preserve"> </w:t>
      </w:r>
      <w:r>
        <w:rPr>
          <w:rFonts w:ascii="宋体" w:eastAsia="宋体" w:hAnsi="宋体" w:cs="宋体"/>
          <w:spacing w:val="-18"/>
          <w:w w:val="98"/>
        </w:rPr>
        <w:t>衍生物的分子式</w:t>
      </w:r>
    </w:p>
    <w:p w:rsidR="00EA40A3" w:rsidRDefault="00EA40A3">
      <w:pPr>
        <w:spacing w:line="303" w:lineRule="auto"/>
      </w:pPr>
    </w:p>
    <w:p w:rsidR="00EA40A3" w:rsidRDefault="00E86C16">
      <w:pPr>
        <w:spacing w:before="68" w:line="254" w:lineRule="auto"/>
        <w:ind w:left="30" w:right="2" w:firstLine="9"/>
        <w:jc w:val="both"/>
        <w:rPr>
          <w:rFonts w:ascii="宋体" w:eastAsia="宋体" w:hAnsi="宋体" w:cs="宋体"/>
        </w:rPr>
      </w:pPr>
      <w:r>
        <w:rPr>
          <w:rFonts w:ascii="宋体" w:eastAsia="宋体" w:hAnsi="宋体" w:cs="宋体"/>
          <w:spacing w:val="-5"/>
        </w:rPr>
        <w:t>为是维生素</w:t>
      </w:r>
      <w:r>
        <w:rPr>
          <w:rFonts w:ascii="宋体" w:eastAsia="宋体" w:hAnsi="宋体" w:cs="宋体"/>
          <w:spacing w:val="-43"/>
        </w:rPr>
        <w:t xml:space="preserve"> </w:t>
      </w:r>
      <w:r>
        <w:rPr>
          <w:rFonts w:ascii="宋体" w:eastAsia="宋体" w:hAnsi="宋体" w:cs="宋体"/>
          <w:spacing w:val="-5"/>
        </w:rPr>
        <w:t>A</w:t>
      </w:r>
      <w:r>
        <w:rPr>
          <w:rFonts w:ascii="宋体" w:eastAsia="宋体" w:hAnsi="宋体" w:cs="宋体"/>
          <w:spacing w:val="2"/>
        </w:rPr>
        <w:t xml:space="preserve"> </w:t>
      </w:r>
      <w:r>
        <w:rPr>
          <w:rFonts w:ascii="宋体" w:eastAsia="宋体" w:hAnsi="宋体" w:cs="宋体"/>
          <w:spacing w:val="-5"/>
        </w:rPr>
        <w:t>活性所必需的结构。较重要的有β胡萝卜素、α胡萝卜素、γ胡萝</w:t>
      </w:r>
      <w:r>
        <w:rPr>
          <w:rFonts w:ascii="宋体" w:eastAsia="宋体" w:hAnsi="宋体" w:cs="宋体"/>
        </w:rPr>
        <w:t xml:space="preserve"> </w:t>
      </w:r>
      <w:r>
        <w:rPr>
          <w:rFonts w:ascii="宋体" w:eastAsia="宋体" w:hAnsi="宋体" w:cs="宋体"/>
          <w:spacing w:val="-3"/>
        </w:rPr>
        <w:t>卜素等，以β胡萝卜素的活性最高，它常与叶绿素并存。由β胡萝卜素转化成的</w:t>
      </w:r>
      <w:r>
        <w:rPr>
          <w:rFonts w:ascii="宋体" w:eastAsia="宋体" w:hAnsi="宋体" w:cs="宋体"/>
          <w:spacing w:val="10"/>
        </w:rPr>
        <w:t xml:space="preserve"> </w:t>
      </w:r>
      <w:r>
        <w:rPr>
          <w:rFonts w:ascii="宋体" w:eastAsia="宋体" w:hAnsi="宋体" w:cs="宋体"/>
          <w:spacing w:val="5"/>
        </w:rPr>
        <w:t>维生素</w:t>
      </w:r>
      <w:r>
        <w:rPr>
          <w:rFonts w:ascii="Times New Roman" w:eastAsia="Times New Roman" w:hAnsi="Times New Roman" w:cs="Times New Roman"/>
          <w:spacing w:val="5"/>
        </w:rPr>
        <w:t>A</w:t>
      </w:r>
      <w:r>
        <w:rPr>
          <w:rFonts w:ascii="Times New Roman" w:eastAsia="Times New Roman" w:hAnsi="Times New Roman" w:cs="Times New Roman"/>
          <w:spacing w:val="23"/>
        </w:rPr>
        <w:t xml:space="preserve"> </w:t>
      </w:r>
      <w:r>
        <w:rPr>
          <w:rFonts w:ascii="宋体" w:eastAsia="宋体" w:hAnsi="宋体" w:cs="宋体"/>
          <w:spacing w:val="5"/>
        </w:rPr>
        <w:t>约占人体维生素</w:t>
      </w:r>
      <w:r>
        <w:rPr>
          <w:rFonts w:ascii="Times New Roman" w:eastAsia="Times New Roman" w:hAnsi="Times New Roman" w:cs="Times New Roman"/>
          <w:spacing w:val="5"/>
        </w:rPr>
        <w:t>A</w:t>
      </w:r>
      <w:r>
        <w:rPr>
          <w:rFonts w:ascii="Times New Roman" w:eastAsia="Times New Roman" w:hAnsi="Times New Roman" w:cs="Times New Roman"/>
          <w:spacing w:val="27"/>
          <w:w w:val="101"/>
        </w:rPr>
        <w:t xml:space="preserve"> </w:t>
      </w:r>
      <w:r>
        <w:rPr>
          <w:rFonts w:ascii="宋体" w:eastAsia="宋体" w:hAnsi="宋体" w:cs="宋体"/>
          <w:spacing w:val="5"/>
        </w:rPr>
        <w:t>需要量的2/3。</w:t>
      </w:r>
    </w:p>
    <w:p w:rsidR="00EA40A3" w:rsidRDefault="00E86C16">
      <w:pPr>
        <w:spacing w:before="61"/>
        <w:ind w:firstLine="439"/>
        <w:jc w:val="both"/>
        <w:rPr>
          <w:rFonts w:ascii="宋体" w:eastAsia="宋体" w:hAnsi="宋体" w:cs="宋体"/>
        </w:rPr>
      </w:pPr>
      <w:r>
        <w:rPr>
          <w:rFonts w:ascii="宋体" w:eastAsia="宋体" w:hAnsi="宋体" w:cs="宋体"/>
          <w:spacing w:val="3"/>
        </w:rPr>
        <w:t>维生素</w:t>
      </w:r>
      <w:r>
        <w:rPr>
          <w:rFonts w:ascii="Times New Roman" w:eastAsia="Times New Roman" w:hAnsi="Times New Roman" w:cs="Times New Roman"/>
          <w:spacing w:val="3"/>
        </w:rPr>
        <w:t>A</w:t>
      </w:r>
      <w:r>
        <w:rPr>
          <w:rFonts w:ascii="Times New Roman" w:eastAsia="Times New Roman" w:hAnsi="Times New Roman" w:cs="Times New Roman"/>
          <w:spacing w:val="17"/>
          <w:w w:val="101"/>
        </w:rPr>
        <w:t xml:space="preserve"> </w:t>
      </w:r>
      <w:r>
        <w:rPr>
          <w:rFonts w:ascii="宋体" w:eastAsia="宋体" w:hAnsi="宋体" w:cs="宋体"/>
          <w:spacing w:val="3"/>
        </w:rPr>
        <w:t>与胡萝卜素均溶于脂肪及大多数有机溶剂中，不溶于水。天然存</w:t>
      </w:r>
      <w:r>
        <w:rPr>
          <w:rFonts w:ascii="宋体" w:eastAsia="宋体" w:hAnsi="宋体" w:cs="宋体"/>
        </w:rPr>
        <w:t xml:space="preserve"> </w:t>
      </w:r>
      <w:r>
        <w:rPr>
          <w:rFonts w:ascii="宋体" w:eastAsia="宋体" w:hAnsi="宋体" w:cs="宋体"/>
          <w:spacing w:val="-1"/>
        </w:rPr>
        <w:t>在于动物性食品中的维生素</w:t>
      </w:r>
      <w:r>
        <w:rPr>
          <w:rFonts w:ascii="Times New Roman" w:eastAsia="Times New Roman" w:hAnsi="Times New Roman" w:cs="Times New Roman"/>
          <w:spacing w:val="-1"/>
        </w:rPr>
        <w:t>A</w:t>
      </w:r>
      <w:r>
        <w:rPr>
          <w:rFonts w:ascii="Times New Roman" w:eastAsia="Times New Roman" w:hAnsi="Times New Roman" w:cs="Times New Roman"/>
          <w:spacing w:val="18"/>
          <w:w w:val="101"/>
        </w:rPr>
        <w:t xml:space="preserve"> </w:t>
      </w:r>
      <w:r>
        <w:rPr>
          <w:rFonts w:ascii="宋体" w:eastAsia="宋体" w:hAnsi="宋体" w:cs="宋体"/>
          <w:spacing w:val="-1"/>
        </w:rPr>
        <w:t>是相对稳定的，</w:t>
      </w:r>
      <w:r>
        <w:rPr>
          <w:rFonts w:ascii="宋体" w:eastAsia="宋体" w:hAnsi="宋体" w:cs="宋体"/>
          <w:spacing w:val="64"/>
        </w:rPr>
        <w:t xml:space="preserve"> </w:t>
      </w:r>
      <w:r>
        <w:rPr>
          <w:rFonts w:ascii="宋体" w:eastAsia="宋体" w:hAnsi="宋体" w:cs="宋体"/>
          <w:spacing w:val="-1"/>
        </w:rPr>
        <w:t>一般烹调和罐头加工都不易被破</w:t>
      </w:r>
      <w:r>
        <w:rPr>
          <w:rFonts w:ascii="宋体" w:eastAsia="宋体" w:hAnsi="宋体" w:cs="宋体"/>
        </w:rPr>
        <w:t xml:space="preserve"> </w:t>
      </w:r>
      <w:r>
        <w:rPr>
          <w:rFonts w:ascii="宋体" w:eastAsia="宋体" w:hAnsi="宋体" w:cs="宋体"/>
          <w:spacing w:val="-2"/>
        </w:rPr>
        <w:t>坏。但视黄醇及其同系物在氧的作用下极不稳定，仅以弱氧化剂即可将视黄醇氧</w:t>
      </w:r>
    </w:p>
    <w:p w:rsidR="00EA40A3" w:rsidRDefault="00EA40A3">
      <w:pPr>
        <w:sectPr w:rsidR="00EA40A3">
          <w:type w:val="continuous"/>
          <w:pgSz w:w="9220" w:h="13360"/>
          <w:pgMar w:top="400" w:right="991" w:bottom="1250" w:left="939" w:header="0" w:footer="1068" w:gutter="0"/>
          <w:cols w:space="720" w:equalWidth="0">
            <w:col w:w="7289"/>
          </w:cols>
        </w:sectPr>
      </w:pPr>
    </w:p>
    <w:p w:rsidR="00EA40A3" w:rsidRDefault="00EA40A3">
      <w:pPr>
        <w:spacing w:line="286" w:lineRule="auto"/>
      </w:pPr>
    </w:p>
    <w:p w:rsidR="00EA40A3" w:rsidRDefault="00EA40A3">
      <w:pPr>
        <w:spacing w:line="287" w:lineRule="auto"/>
      </w:pPr>
    </w:p>
    <w:p w:rsidR="00EA40A3" w:rsidRDefault="00E86C16">
      <w:pPr>
        <w:spacing w:before="72" w:line="244" w:lineRule="auto"/>
        <w:ind w:right="98"/>
        <w:jc w:val="both"/>
        <w:rPr>
          <w:rFonts w:ascii="宋体" w:eastAsia="宋体" w:hAnsi="宋体" w:cs="宋体"/>
          <w:sz w:val="22"/>
          <w:szCs w:val="22"/>
        </w:rPr>
      </w:pPr>
      <w:r>
        <w:rPr>
          <w:rFonts w:ascii="宋体" w:eastAsia="宋体" w:hAnsi="宋体" w:cs="宋体"/>
          <w:spacing w:val="-13"/>
          <w:sz w:val="22"/>
          <w:szCs w:val="22"/>
        </w:rPr>
        <w:t>化，紫外线能促进这种氧化过程的发生。在无氧条件下，视黄醛对碱稳定，但在</w:t>
      </w:r>
      <w:r>
        <w:rPr>
          <w:rFonts w:ascii="宋体" w:eastAsia="宋体" w:hAnsi="宋体" w:cs="宋体"/>
          <w:spacing w:val="15"/>
          <w:sz w:val="22"/>
          <w:szCs w:val="22"/>
        </w:rPr>
        <w:t xml:space="preserve"> </w:t>
      </w:r>
      <w:r>
        <w:rPr>
          <w:rFonts w:ascii="宋体" w:eastAsia="宋体" w:hAnsi="宋体" w:cs="宋体"/>
          <w:spacing w:val="-7"/>
          <w:sz w:val="22"/>
          <w:szCs w:val="22"/>
        </w:rPr>
        <w:t>酸中不稳定。油脂在酸败过程中，其所含的维生素A</w:t>
      </w:r>
      <w:r>
        <w:rPr>
          <w:rFonts w:ascii="宋体" w:eastAsia="宋体" w:hAnsi="宋体" w:cs="宋体"/>
          <w:spacing w:val="17"/>
          <w:sz w:val="22"/>
          <w:szCs w:val="22"/>
        </w:rPr>
        <w:t xml:space="preserve"> </w:t>
      </w:r>
      <w:r>
        <w:rPr>
          <w:rFonts w:ascii="宋体" w:eastAsia="宋体" w:hAnsi="宋体" w:cs="宋体"/>
          <w:spacing w:val="-7"/>
          <w:sz w:val="22"/>
          <w:szCs w:val="22"/>
        </w:rPr>
        <w:t>会受到严重的破坏，但食</w:t>
      </w:r>
      <w:r>
        <w:rPr>
          <w:rFonts w:ascii="宋体" w:eastAsia="宋体" w:hAnsi="宋体" w:cs="宋体"/>
          <w:sz w:val="22"/>
          <w:szCs w:val="22"/>
        </w:rPr>
        <w:t xml:space="preserve"> </w:t>
      </w:r>
      <w:r>
        <w:rPr>
          <w:rFonts w:ascii="宋体" w:eastAsia="宋体" w:hAnsi="宋体" w:cs="宋体"/>
          <w:spacing w:val="-4"/>
          <w:sz w:val="22"/>
          <w:szCs w:val="22"/>
        </w:rPr>
        <w:t>物中含有的磷脂、维生素</w:t>
      </w:r>
      <w:r>
        <w:rPr>
          <w:rFonts w:ascii="宋体" w:eastAsia="宋体" w:hAnsi="宋体" w:cs="宋体"/>
          <w:spacing w:val="-44"/>
          <w:sz w:val="22"/>
          <w:szCs w:val="22"/>
        </w:rPr>
        <w:t xml:space="preserve"> </w:t>
      </w:r>
      <w:r>
        <w:rPr>
          <w:rFonts w:ascii="宋体" w:eastAsia="宋体" w:hAnsi="宋体" w:cs="宋体"/>
          <w:spacing w:val="-4"/>
          <w:sz w:val="22"/>
          <w:szCs w:val="22"/>
        </w:rPr>
        <w:t>E</w:t>
      </w:r>
      <w:r>
        <w:rPr>
          <w:rFonts w:ascii="宋体" w:eastAsia="宋体" w:hAnsi="宋体" w:cs="宋体"/>
          <w:spacing w:val="-14"/>
          <w:sz w:val="22"/>
          <w:szCs w:val="22"/>
        </w:rPr>
        <w:t xml:space="preserve"> </w:t>
      </w:r>
      <w:r>
        <w:rPr>
          <w:rFonts w:ascii="宋体" w:eastAsia="宋体" w:hAnsi="宋体" w:cs="宋体"/>
          <w:spacing w:val="-4"/>
          <w:sz w:val="22"/>
          <w:szCs w:val="22"/>
        </w:rPr>
        <w:t>及其他抗氧化物质，均有提高维生素</w:t>
      </w:r>
      <w:r>
        <w:rPr>
          <w:rFonts w:ascii="宋体" w:eastAsia="宋体" w:hAnsi="宋体" w:cs="宋体"/>
          <w:spacing w:val="-43"/>
          <w:sz w:val="22"/>
          <w:szCs w:val="22"/>
        </w:rPr>
        <w:t xml:space="preserve"> </w:t>
      </w:r>
      <w:r>
        <w:rPr>
          <w:rFonts w:ascii="宋体" w:eastAsia="宋体" w:hAnsi="宋体" w:cs="宋体"/>
          <w:spacing w:val="-4"/>
          <w:sz w:val="22"/>
          <w:szCs w:val="22"/>
        </w:rPr>
        <w:t>A</w:t>
      </w:r>
      <w:r>
        <w:rPr>
          <w:rFonts w:ascii="宋体" w:eastAsia="宋体" w:hAnsi="宋体" w:cs="宋体"/>
          <w:spacing w:val="2"/>
          <w:sz w:val="22"/>
          <w:szCs w:val="22"/>
        </w:rPr>
        <w:t xml:space="preserve"> </w:t>
      </w:r>
      <w:r>
        <w:rPr>
          <w:rFonts w:ascii="宋体" w:eastAsia="宋体" w:hAnsi="宋体" w:cs="宋体"/>
          <w:spacing w:val="-4"/>
          <w:sz w:val="22"/>
          <w:szCs w:val="22"/>
        </w:rPr>
        <w:t>稳定性的</w:t>
      </w:r>
      <w:r>
        <w:rPr>
          <w:rFonts w:ascii="宋体" w:eastAsia="宋体" w:hAnsi="宋体" w:cs="宋体"/>
          <w:sz w:val="22"/>
          <w:szCs w:val="22"/>
        </w:rPr>
        <w:t xml:space="preserve"> </w:t>
      </w:r>
      <w:r>
        <w:rPr>
          <w:rFonts w:ascii="宋体" w:eastAsia="宋体" w:hAnsi="宋体" w:cs="宋体"/>
          <w:spacing w:val="-16"/>
          <w:sz w:val="22"/>
          <w:szCs w:val="22"/>
        </w:rPr>
        <w:t>作用。</w:t>
      </w:r>
    </w:p>
    <w:p w:rsidR="00EA40A3" w:rsidRDefault="00E86C16">
      <w:pPr>
        <w:spacing w:before="62" w:line="245" w:lineRule="auto"/>
        <w:ind w:right="19" w:firstLine="529"/>
        <w:rPr>
          <w:rFonts w:ascii="宋体" w:eastAsia="宋体" w:hAnsi="宋体" w:cs="宋体"/>
          <w:sz w:val="22"/>
          <w:szCs w:val="22"/>
        </w:rPr>
      </w:pPr>
      <w:r>
        <w:rPr>
          <w:rFonts w:ascii="宋体" w:eastAsia="宋体" w:hAnsi="宋体" w:cs="宋体"/>
          <w:spacing w:val="-18"/>
          <w:sz w:val="22"/>
          <w:szCs w:val="22"/>
        </w:rPr>
        <w:t>多数国家根据吸收率和转化效率，采用1</w:t>
      </w:r>
      <w:r>
        <w:rPr>
          <w:rFonts w:ascii="宋体" w:eastAsia="宋体" w:hAnsi="宋体" w:cs="宋体"/>
          <w:spacing w:val="-33"/>
          <w:sz w:val="22"/>
          <w:szCs w:val="22"/>
        </w:rPr>
        <w:t xml:space="preserve"> </w:t>
      </w:r>
      <w:r>
        <w:rPr>
          <w:rFonts w:ascii="宋体" w:eastAsia="宋体" w:hAnsi="宋体" w:cs="宋体"/>
          <w:spacing w:val="-18"/>
          <w:sz w:val="22"/>
          <w:szCs w:val="22"/>
        </w:rPr>
        <w:t>μg</w:t>
      </w:r>
      <w:r>
        <w:rPr>
          <w:rFonts w:ascii="宋体" w:eastAsia="宋体" w:hAnsi="宋体" w:cs="宋体"/>
          <w:spacing w:val="-8"/>
          <w:sz w:val="22"/>
          <w:szCs w:val="22"/>
        </w:rPr>
        <w:t xml:space="preserve"> </w:t>
      </w:r>
      <w:r>
        <w:rPr>
          <w:rFonts w:ascii="宋体" w:eastAsia="宋体" w:hAnsi="宋体" w:cs="宋体"/>
          <w:spacing w:val="-18"/>
          <w:sz w:val="22"/>
          <w:szCs w:val="22"/>
        </w:rPr>
        <w:t>全反式视黄醇相当于6μgβ胡萝</w:t>
      </w:r>
      <w:r>
        <w:rPr>
          <w:rFonts w:ascii="宋体" w:eastAsia="宋体" w:hAnsi="宋体" w:cs="宋体"/>
          <w:sz w:val="22"/>
          <w:szCs w:val="22"/>
        </w:rPr>
        <w:t xml:space="preserve"> </w:t>
      </w:r>
      <w:r>
        <w:rPr>
          <w:rFonts w:ascii="宋体" w:eastAsia="宋体" w:hAnsi="宋体" w:cs="宋体"/>
          <w:spacing w:val="-12"/>
          <w:sz w:val="22"/>
          <w:szCs w:val="22"/>
        </w:rPr>
        <w:t>卜素、相当于12</w:t>
      </w:r>
      <w:r>
        <w:rPr>
          <w:rFonts w:ascii="宋体" w:eastAsia="宋体" w:hAnsi="宋体" w:cs="宋体"/>
          <w:spacing w:val="-49"/>
          <w:sz w:val="22"/>
          <w:szCs w:val="22"/>
        </w:rPr>
        <w:t xml:space="preserve"> </w:t>
      </w:r>
      <w:r>
        <w:rPr>
          <w:rFonts w:ascii="宋体" w:eastAsia="宋体" w:hAnsi="宋体" w:cs="宋体"/>
          <w:spacing w:val="-12"/>
          <w:sz w:val="22"/>
          <w:szCs w:val="22"/>
        </w:rPr>
        <w:t>μg其他维生素A</w:t>
      </w:r>
      <w:r>
        <w:rPr>
          <w:rFonts w:ascii="宋体" w:eastAsia="宋体" w:hAnsi="宋体" w:cs="宋体"/>
          <w:spacing w:val="-9"/>
          <w:sz w:val="22"/>
          <w:szCs w:val="22"/>
        </w:rPr>
        <w:t xml:space="preserve"> </w:t>
      </w:r>
      <w:r>
        <w:rPr>
          <w:rFonts w:ascii="宋体" w:eastAsia="宋体" w:hAnsi="宋体" w:cs="宋体"/>
          <w:spacing w:val="-12"/>
          <w:sz w:val="22"/>
          <w:szCs w:val="22"/>
        </w:rPr>
        <w:t>原类胡萝卜素的</w:t>
      </w:r>
      <w:r>
        <w:rPr>
          <w:rFonts w:ascii="宋体" w:eastAsia="宋体" w:hAnsi="宋体" w:cs="宋体"/>
          <w:spacing w:val="-13"/>
          <w:sz w:val="22"/>
          <w:szCs w:val="22"/>
        </w:rPr>
        <w:t>折算法计算食物的视黄醇当量</w:t>
      </w:r>
      <w:r>
        <w:rPr>
          <w:rFonts w:ascii="宋体" w:eastAsia="宋体" w:hAnsi="宋体" w:cs="宋体"/>
          <w:sz w:val="22"/>
          <w:szCs w:val="22"/>
        </w:rPr>
        <w:t xml:space="preserve">  </w:t>
      </w:r>
      <w:r>
        <w:rPr>
          <w:rFonts w:ascii="宋体" w:eastAsia="宋体" w:hAnsi="宋体" w:cs="宋体"/>
          <w:spacing w:val="-6"/>
          <w:sz w:val="22"/>
          <w:szCs w:val="22"/>
        </w:rPr>
        <w:t>(RE),</w:t>
      </w:r>
      <w:r>
        <w:rPr>
          <w:rFonts w:ascii="宋体" w:eastAsia="宋体" w:hAnsi="宋体" w:cs="宋体"/>
          <w:spacing w:val="47"/>
          <w:sz w:val="22"/>
          <w:szCs w:val="22"/>
        </w:rPr>
        <w:t xml:space="preserve"> </w:t>
      </w:r>
      <w:r>
        <w:rPr>
          <w:rFonts w:ascii="宋体" w:eastAsia="宋体" w:hAnsi="宋体" w:cs="宋体"/>
          <w:spacing w:val="-6"/>
          <w:sz w:val="22"/>
          <w:szCs w:val="22"/>
        </w:rPr>
        <w:t>即</w:t>
      </w:r>
      <w:r>
        <w:rPr>
          <w:rFonts w:ascii="宋体" w:eastAsia="宋体" w:hAnsi="宋体" w:cs="宋体"/>
          <w:spacing w:val="-46"/>
          <w:sz w:val="22"/>
          <w:szCs w:val="22"/>
        </w:rPr>
        <w:t xml:space="preserve"> </w:t>
      </w:r>
      <w:r>
        <w:rPr>
          <w:rFonts w:ascii="宋体" w:eastAsia="宋体" w:hAnsi="宋体" w:cs="宋体"/>
          <w:spacing w:val="-6"/>
          <w:sz w:val="22"/>
          <w:szCs w:val="22"/>
        </w:rPr>
        <w:t>RE(μg)=</w:t>
      </w:r>
      <w:r>
        <w:rPr>
          <w:rFonts w:ascii="宋体" w:eastAsia="宋体" w:hAnsi="宋体" w:cs="宋体"/>
          <w:spacing w:val="23"/>
          <w:sz w:val="22"/>
          <w:szCs w:val="22"/>
        </w:rPr>
        <w:t xml:space="preserve">  </w:t>
      </w:r>
      <w:r>
        <w:rPr>
          <w:rFonts w:ascii="宋体" w:eastAsia="宋体" w:hAnsi="宋体" w:cs="宋体"/>
          <w:spacing w:val="-6"/>
          <w:sz w:val="22"/>
          <w:szCs w:val="22"/>
        </w:rPr>
        <w:t>视黄醇(μg)+0.167×β</w:t>
      </w:r>
      <w:r>
        <w:rPr>
          <w:rFonts w:ascii="宋体" w:eastAsia="宋体" w:hAnsi="宋体" w:cs="宋体"/>
          <w:spacing w:val="63"/>
          <w:sz w:val="22"/>
          <w:szCs w:val="22"/>
        </w:rPr>
        <w:t xml:space="preserve"> </w:t>
      </w:r>
      <w:r>
        <w:rPr>
          <w:rFonts w:ascii="宋体" w:eastAsia="宋体" w:hAnsi="宋体" w:cs="宋体"/>
          <w:spacing w:val="-6"/>
          <w:sz w:val="22"/>
          <w:szCs w:val="22"/>
        </w:rPr>
        <w:t>胡萝卜素</w:t>
      </w:r>
      <w:r>
        <w:rPr>
          <w:rFonts w:ascii="宋体" w:eastAsia="宋体" w:hAnsi="宋体" w:cs="宋体"/>
          <w:spacing w:val="-7"/>
          <w:sz w:val="22"/>
          <w:szCs w:val="22"/>
        </w:rPr>
        <w:t>(μg)+0.084×</w:t>
      </w:r>
      <w:r>
        <w:rPr>
          <w:rFonts w:ascii="宋体" w:eastAsia="宋体" w:hAnsi="宋体" w:cs="宋体"/>
          <w:spacing w:val="42"/>
          <w:sz w:val="22"/>
          <w:szCs w:val="22"/>
        </w:rPr>
        <w:t xml:space="preserve"> </w:t>
      </w:r>
      <w:r>
        <w:rPr>
          <w:rFonts w:ascii="宋体" w:eastAsia="宋体" w:hAnsi="宋体" w:cs="宋体"/>
          <w:spacing w:val="-7"/>
          <w:sz w:val="22"/>
          <w:szCs w:val="22"/>
        </w:rPr>
        <w:t>其他</w:t>
      </w:r>
      <w:r>
        <w:rPr>
          <w:rFonts w:ascii="宋体" w:eastAsia="宋体" w:hAnsi="宋体" w:cs="宋体"/>
          <w:sz w:val="22"/>
          <w:szCs w:val="22"/>
        </w:rPr>
        <w:t xml:space="preserve">  </w:t>
      </w:r>
      <w:r>
        <w:rPr>
          <w:rFonts w:ascii="宋体" w:eastAsia="宋体" w:hAnsi="宋体" w:cs="宋体"/>
          <w:spacing w:val="-7"/>
          <w:sz w:val="22"/>
          <w:szCs w:val="22"/>
        </w:rPr>
        <w:t>维生素A</w:t>
      </w:r>
      <w:r>
        <w:rPr>
          <w:rFonts w:ascii="宋体" w:eastAsia="宋体" w:hAnsi="宋体" w:cs="宋体"/>
          <w:spacing w:val="-6"/>
          <w:sz w:val="22"/>
          <w:szCs w:val="22"/>
        </w:rPr>
        <w:t xml:space="preserve"> </w:t>
      </w:r>
      <w:r>
        <w:rPr>
          <w:rFonts w:ascii="宋体" w:eastAsia="宋体" w:hAnsi="宋体" w:cs="宋体"/>
          <w:spacing w:val="-7"/>
          <w:sz w:val="22"/>
          <w:szCs w:val="22"/>
        </w:rPr>
        <w:t>原类胡萝卜素(μg)。</w:t>
      </w:r>
      <w:r>
        <w:rPr>
          <w:rFonts w:ascii="宋体" w:eastAsia="宋体" w:hAnsi="宋体" w:cs="宋体"/>
          <w:spacing w:val="40"/>
          <w:sz w:val="22"/>
          <w:szCs w:val="22"/>
        </w:rPr>
        <w:t xml:space="preserve"> </w:t>
      </w:r>
      <w:r>
        <w:rPr>
          <w:rFonts w:ascii="宋体" w:eastAsia="宋体" w:hAnsi="宋体" w:cs="宋体"/>
          <w:spacing w:val="-7"/>
          <w:sz w:val="22"/>
          <w:szCs w:val="22"/>
        </w:rPr>
        <w:t>过去对有维生素A</w:t>
      </w:r>
      <w:r>
        <w:rPr>
          <w:rFonts w:ascii="宋体" w:eastAsia="宋体" w:hAnsi="宋体" w:cs="宋体"/>
          <w:spacing w:val="1"/>
          <w:sz w:val="22"/>
          <w:szCs w:val="22"/>
        </w:rPr>
        <w:t xml:space="preserve"> </w:t>
      </w:r>
      <w:r>
        <w:rPr>
          <w:rFonts w:ascii="宋体" w:eastAsia="宋体" w:hAnsi="宋体" w:cs="宋体"/>
          <w:spacing w:val="-7"/>
          <w:sz w:val="22"/>
          <w:szCs w:val="22"/>
        </w:rPr>
        <w:t>生物活性物质的量通常用国</w:t>
      </w:r>
      <w:r>
        <w:rPr>
          <w:rFonts w:ascii="宋体" w:eastAsia="宋体" w:hAnsi="宋体" w:cs="宋体"/>
          <w:sz w:val="22"/>
          <w:szCs w:val="22"/>
        </w:rPr>
        <w:t xml:space="preserve"> </w:t>
      </w:r>
      <w:r>
        <w:rPr>
          <w:rFonts w:ascii="宋体" w:eastAsia="宋体" w:hAnsi="宋体" w:cs="宋体"/>
          <w:spacing w:val="-7"/>
          <w:sz w:val="22"/>
          <w:szCs w:val="22"/>
        </w:rPr>
        <w:t>际单位</w:t>
      </w:r>
      <w:r>
        <w:rPr>
          <w:rFonts w:ascii="宋体" w:eastAsia="宋体" w:hAnsi="宋体" w:cs="宋体"/>
          <w:spacing w:val="-16"/>
          <w:sz w:val="22"/>
          <w:szCs w:val="22"/>
        </w:rPr>
        <w:t xml:space="preserve"> </w:t>
      </w:r>
      <w:r>
        <w:rPr>
          <w:rFonts w:ascii="宋体" w:eastAsia="宋体" w:hAnsi="宋体" w:cs="宋体"/>
          <w:spacing w:val="-7"/>
          <w:sz w:val="22"/>
          <w:szCs w:val="22"/>
        </w:rPr>
        <w:t>(IU)</w:t>
      </w:r>
      <w:r>
        <w:rPr>
          <w:rFonts w:ascii="宋体" w:eastAsia="宋体" w:hAnsi="宋体" w:cs="宋体"/>
          <w:spacing w:val="67"/>
          <w:sz w:val="22"/>
          <w:szCs w:val="22"/>
        </w:rPr>
        <w:t xml:space="preserve"> </w:t>
      </w:r>
      <w:r>
        <w:rPr>
          <w:rFonts w:ascii="宋体" w:eastAsia="宋体" w:hAnsi="宋体" w:cs="宋体"/>
          <w:spacing w:val="-7"/>
          <w:sz w:val="22"/>
          <w:szCs w:val="22"/>
        </w:rPr>
        <w:t>表示。1000IU</w:t>
      </w:r>
      <w:r>
        <w:rPr>
          <w:rFonts w:ascii="宋体" w:eastAsia="宋体" w:hAnsi="宋体" w:cs="宋体"/>
          <w:sz w:val="22"/>
          <w:szCs w:val="22"/>
        </w:rPr>
        <w:t xml:space="preserve"> </w:t>
      </w:r>
      <w:r>
        <w:rPr>
          <w:rFonts w:ascii="宋体" w:eastAsia="宋体" w:hAnsi="宋体" w:cs="宋体"/>
          <w:spacing w:val="-7"/>
          <w:sz w:val="22"/>
          <w:szCs w:val="22"/>
        </w:rPr>
        <w:t>的维生素</w:t>
      </w:r>
      <w:r>
        <w:rPr>
          <w:rFonts w:ascii="宋体" w:eastAsia="宋体" w:hAnsi="宋体" w:cs="宋体"/>
          <w:spacing w:val="-51"/>
          <w:sz w:val="22"/>
          <w:szCs w:val="22"/>
        </w:rPr>
        <w:t xml:space="preserve"> </w:t>
      </w:r>
      <w:r>
        <w:rPr>
          <w:rFonts w:ascii="宋体" w:eastAsia="宋体" w:hAnsi="宋体" w:cs="宋体"/>
          <w:spacing w:val="-7"/>
          <w:sz w:val="22"/>
          <w:szCs w:val="22"/>
        </w:rPr>
        <w:t>A</w:t>
      </w:r>
      <w:r>
        <w:rPr>
          <w:rFonts w:ascii="宋体" w:eastAsia="宋体" w:hAnsi="宋体" w:cs="宋体"/>
          <w:spacing w:val="12"/>
          <w:sz w:val="22"/>
          <w:szCs w:val="22"/>
        </w:rPr>
        <w:t xml:space="preserve"> </w:t>
      </w:r>
      <w:r>
        <w:rPr>
          <w:rFonts w:ascii="宋体" w:eastAsia="宋体" w:hAnsi="宋体" w:cs="宋体"/>
          <w:spacing w:val="-7"/>
          <w:sz w:val="22"/>
          <w:szCs w:val="22"/>
        </w:rPr>
        <w:t>相当</w:t>
      </w:r>
      <w:r>
        <w:rPr>
          <w:rFonts w:ascii="宋体" w:eastAsia="宋体" w:hAnsi="宋体" w:cs="宋体"/>
          <w:spacing w:val="-8"/>
          <w:sz w:val="22"/>
          <w:szCs w:val="22"/>
        </w:rPr>
        <w:t>于300μg</w:t>
      </w:r>
      <w:r>
        <w:rPr>
          <w:rFonts w:ascii="宋体" w:eastAsia="宋体" w:hAnsi="宋体" w:cs="宋体"/>
          <w:spacing w:val="-38"/>
          <w:sz w:val="22"/>
          <w:szCs w:val="22"/>
        </w:rPr>
        <w:t xml:space="preserve"> </w:t>
      </w:r>
      <w:r>
        <w:rPr>
          <w:rFonts w:ascii="宋体" w:eastAsia="宋体" w:hAnsi="宋体" w:cs="宋体"/>
          <w:spacing w:val="-8"/>
          <w:sz w:val="22"/>
          <w:szCs w:val="22"/>
        </w:rPr>
        <w:t>的视黄醇。</w:t>
      </w:r>
      <w:r>
        <w:rPr>
          <w:rFonts w:ascii="宋体" w:eastAsia="宋体" w:hAnsi="宋体" w:cs="宋体"/>
          <w:spacing w:val="10"/>
          <w:sz w:val="22"/>
          <w:szCs w:val="22"/>
        </w:rPr>
        <w:t xml:space="preserve"> </w:t>
      </w:r>
      <w:r>
        <w:rPr>
          <w:rFonts w:ascii="宋体" w:eastAsia="宋体" w:hAnsi="宋体" w:cs="宋体"/>
          <w:spacing w:val="-8"/>
          <w:sz w:val="22"/>
          <w:szCs w:val="22"/>
        </w:rPr>
        <w:t>lμ</w:t>
      </w:r>
      <w:r>
        <w:rPr>
          <w:rFonts w:ascii="宋体" w:eastAsia="宋体" w:hAnsi="宋体" w:cs="宋体"/>
          <w:spacing w:val="-7"/>
          <w:sz w:val="22"/>
          <w:szCs w:val="22"/>
        </w:rPr>
        <w:t>g</w:t>
      </w:r>
      <w:r>
        <w:rPr>
          <w:rFonts w:ascii="宋体" w:eastAsia="宋体" w:hAnsi="宋体" w:cs="宋体"/>
          <w:spacing w:val="66"/>
          <w:sz w:val="22"/>
          <w:szCs w:val="22"/>
        </w:rPr>
        <w:t xml:space="preserve"> </w:t>
      </w:r>
      <w:r>
        <w:rPr>
          <w:rFonts w:ascii="宋体" w:eastAsia="宋体" w:hAnsi="宋体" w:cs="宋体"/>
          <w:spacing w:val="-7"/>
          <w:sz w:val="22"/>
          <w:szCs w:val="22"/>
        </w:rPr>
        <w:t>RE</w:t>
      </w:r>
      <w:r>
        <w:rPr>
          <w:rFonts w:ascii="宋体" w:eastAsia="宋体" w:hAnsi="宋体" w:cs="宋体"/>
          <w:spacing w:val="-8"/>
          <w:sz w:val="22"/>
          <w:szCs w:val="22"/>
        </w:rPr>
        <w:t>=</w:t>
      </w:r>
      <w:r>
        <w:rPr>
          <w:rFonts w:ascii="宋体" w:eastAsia="宋体" w:hAnsi="宋体" w:cs="宋体"/>
          <w:sz w:val="22"/>
          <w:szCs w:val="22"/>
        </w:rPr>
        <w:t xml:space="preserve">  </w:t>
      </w:r>
      <w:r>
        <w:rPr>
          <w:rFonts w:ascii="宋体" w:eastAsia="宋体" w:hAnsi="宋体" w:cs="宋体"/>
          <w:spacing w:val="-2"/>
          <w:sz w:val="22"/>
          <w:szCs w:val="22"/>
        </w:rPr>
        <w:t>3.33IU维生素A=6μgβ</w:t>
      </w:r>
      <w:r>
        <w:rPr>
          <w:rFonts w:ascii="宋体" w:eastAsia="宋体" w:hAnsi="宋体" w:cs="宋体"/>
          <w:spacing w:val="-35"/>
          <w:sz w:val="22"/>
          <w:szCs w:val="22"/>
        </w:rPr>
        <w:t xml:space="preserve"> </w:t>
      </w:r>
      <w:r>
        <w:rPr>
          <w:rFonts w:ascii="宋体" w:eastAsia="宋体" w:hAnsi="宋体" w:cs="宋体"/>
          <w:spacing w:val="-2"/>
          <w:sz w:val="22"/>
          <w:szCs w:val="22"/>
        </w:rPr>
        <w:t>胡萝卜素。</w:t>
      </w:r>
    </w:p>
    <w:p w:rsidR="00EA40A3" w:rsidRDefault="00E86C16">
      <w:pPr>
        <w:spacing w:before="248" w:line="221" w:lineRule="auto"/>
        <w:rPr>
          <w:rFonts w:ascii="仿宋" w:eastAsia="仿宋" w:hAnsi="仿宋" w:cs="仿宋"/>
          <w:sz w:val="22"/>
          <w:szCs w:val="22"/>
        </w:rPr>
      </w:pPr>
      <w:r>
        <w:rPr>
          <w:rFonts w:ascii="仿宋" w:eastAsia="仿宋" w:hAnsi="仿宋" w:cs="仿宋"/>
          <w:spacing w:val="15"/>
          <w:sz w:val="22"/>
          <w:szCs w:val="22"/>
        </w:rPr>
        <w:t>2.</w:t>
      </w:r>
      <w:r>
        <w:rPr>
          <w:rFonts w:ascii="仿宋" w:eastAsia="仿宋" w:hAnsi="仿宋" w:cs="仿宋"/>
          <w:spacing w:val="-35"/>
          <w:sz w:val="22"/>
          <w:szCs w:val="22"/>
        </w:rPr>
        <w:t xml:space="preserve"> </w:t>
      </w:r>
      <w:r>
        <w:rPr>
          <w:rFonts w:ascii="仿宋" w:eastAsia="仿宋" w:hAnsi="仿宋" w:cs="仿宋"/>
          <w:spacing w:val="15"/>
          <w:sz w:val="22"/>
          <w:szCs w:val="22"/>
        </w:rPr>
        <w:t>维生素A</w:t>
      </w:r>
      <w:r>
        <w:rPr>
          <w:rFonts w:ascii="仿宋" w:eastAsia="仿宋" w:hAnsi="仿宋" w:cs="仿宋"/>
          <w:spacing w:val="41"/>
          <w:sz w:val="22"/>
          <w:szCs w:val="22"/>
        </w:rPr>
        <w:t xml:space="preserve"> </w:t>
      </w:r>
      <w:r>
        <w:rPr>
          <w:rFonts w:ascii="仿宋" w:eastAsia="仿宋" w:hAnsi="仿宋" w:cs="仿宋"/>
          <w:spacing w:val="15"/>
          <w:sz w:val="22"/>
          <w:szCs w:val="22"/>
        </w:rPr>
        <w:t>和胡萝卜素的代谢</w:t>
      </w:r>
    </w:p>
    <w:p w:rsidR="00EA40A3" w:rsidRDefault="00E86C16">
      <w:pPr>
        <w:spacing w:before="179" w:line="246" w:lineRule="auto"/>
        <w:ind w:right="43" w:firstLine="510"/>
        <w:jc w:val="both"/>
        <w:rPr>
          <w:rFonts w:ascii="宋体" w:eastAsia="宋体" w:hAnsi="宋体" w:cs="宋体"/>
          <w:sz w:val="22"/>
          <w:szCs w:val="22"/>
        </w:rPr>
      </w:pPr>
      <w:r>
        <w:rPr>
          <w:rFonts w:ascii="宋体" w:eastAsia="宋体" w:hAnsi="宋体" w:cs="宋体"/>
          <w:spacing w:val="-7"/>
          <w:sz w:val="22"/>
          <w:szCs w:val="22"/>
        </w:rPr>
        <w:t>(1)维生素</w:t>
      </w:r>
      <w:r>
        <w:rPr>
          <w:rFonts w:ascii="宋体" w:eastAsia="宋体" w:hAnsi="宋体" w:cs="宋体"/>
          <w:spacing w:val="-47"/>
          <w:sz w:val="22"/>
          <w:szCs w:val="22"/>
        </w:rPr>
        <w:t xml:space="preserve"> </w:t>
      </w:r>
      <w:r>
        <w:rPr>
          <w:rFonts w:ascii="宋体" w:eastAsia="宋体" w:hAnsi="宋体" w:cs="宋体"/>
          <w:spacing w:val="-7"/>
          <w:sz w:val="22"/>
          <w:szCs w:val="22"/>
        </w:rPr>
        <w:t>A</w:t>
      </w:r>
      <w:r>
        <w:rPr>
          <w:rFonts w:ascii="宋体" w:eastAsia="宋体" w:hAnsi="宋体" w:cs="宋体"/>
          <w:spacing w:val="1"/>
          <w:sz w:val="22"/>
          <w:szCs w:val="22"/>
        </w:rPr>
        <w:t xml:space="preserve"> </w:t>
      </w:r>
      <w:r>
        <w:rPr>
          <w:rFonts w:ascii="宋体" w:eastAsia="宋体" w:hAnsi="宋体" w:cs="宋体"/>
          <w:spacing w:val="-7"/>
          <w:sz w:val="22"/>
          <w:szCs w:val="22"/>
        </w:rPr>
        <w:t>的吸收及储存。维生素</w:t>
      </w:r>
      <w:r>
        <w:rPr>
          <w:rFonts w:ascii="宋体" w:eastAsia="宋体" w:hAnsi="宋体" w:cs="宋体"/>
          <w:spacing w:val="-60"/>
          <w:sz w:val="22"/>
          <w:szCs w:val="22"/>
        </w:rPr>
        <w:t xml:space="preserve"> </w:t>
      </w:r>
      <w:r>
        <w:rPr>
          <w:rFonts w:ascii="宋体" w:eastAsia="宋体" w:hAnsi="宋体" w:cs="宋体"/>
          <w:spacing w:val="-7"/>
          <w:sz w:val="22"/>
          <w:szCs w:val="22"/>
        </w:rPr>
        <w:t>A</w:t>
      </w:r>
      <w:r>
        <w:rPr>
          <w:rFonts w:ascii="宋体" w:eastAsia="宋体" w:hAnsi="宋体" w:cs="宋体"/>
          <w:spacing w:val="-8"/>
          <w:sz w:val="22"/>
          <w:szCs w:val="22"/>
        </w:rPr>
        <w:t xml:space="preserve"> </w:t>
      </w:r>
      <w:r>
        <w:rPr>
          <w:rFonts w:ascii="宋体" w:eastAsia="宋体" w:hAnsi="宋体" w:cs="宋体"/>
          <w:spacing w:val="-7"/>
          <w:sz w:val="22"/>
          <w:szCs w:val="22"/>
        </w:rPr>
        <w:t>为主动吸收，需要能量，速率比胡</w:t>
      </w:r>
      <w:r>
        <w:rPr>
          <w:rFonts w:ascii="宋体" w:eastAsia="宋体" w:hAnsi="宋体" w:cs="宋体"/>
          <w:sz w:val="22"/>
          <w:szCs w:val="22"/>
        </w:rPr>
        <w:t xml:space="preserve"> </w:t>
      </w:r>
      <w:r>
        <w:rPr>
          <w:rFonts w:ascii="宋体" w:eastAsia="宋体" w:hAnsi="宋体" w:cs="宋体"/>
          <w:spacing w:val="-4"/>
          <w:sz w:val="22"/>
          <w:szCs w:val="22"/>
        </w:rPr>
        <w:t>萝卜素要快7～30倍。食物中的维生素A</w:t>
      </w:r>
      <w:r>
        <w:rPr>
          <w:rFonts w:ascii="宋体" w:eastAsia="宋体" w:hAnsi="宋体" w:cs="宋体"/>
          <w:spacing w:val="11"/>
          <w:sz w:val="22"/>
          <w:szCs w:val="22"/>
        </w:rPr>
        <w:t xml:space="preserve"> </w:t>
      </w:r>
      <w:r>
        <w:rPr>
          <w:rFonts w:ascii="宋体" w:eastAsia="宋体" w:hAnsi="宋体" w:cs="宋体"/>
          <w:spacing w:val="-4"/>
          <w:sz w:val="22"/>
          <w:szCs w:val="22"/>
        </w:rPr>
        <w:t>为酯式，经肠中</w:t>
      </w:r>
      <w:r>
        <w:rPr>
          <w:rFonts w:ascii="宋体" w:eastAsia="宋体" w:hAnsi="宋体" w:cs="宋体"/>
          <w:spacing w:val="-5"/>
          <w:sz w:val="22"/>
          <w:szCs w:val="22"/>
        </w:rPr>
        <w:t>胰液或绒毛刷状缘中</w:t>
      </w:r>
      <w:r>
        <w:rPr>
          <w:rFonts w:ascii="宋体" w:eastAsia="宋体" w:hAnsi="宋体" w:cs="宋体"/>
          <w:sz w:val="22"/>
          <w:szCs w:val="22"/>
        </w:rPr>
        <w:t xml:space="preserve"> </w:t>
      </w:r>
      <w:r>
        <w:rPr>
          <w:rFonts w:ascii="宋体" w:eastAsia="宋体" w:hAnsi="宋体" w:cs="宋体"/>
          <w:spacing w:val="-13"/>
          <w:sz w:val="22"/>
          <w:szCs w:val="22"/>
        </w:rPr>
        <w:t>的视黄酯水解酶分解为游离式进入到小肠壁内，又为肠内细胞微粒体中的酯酶所</w:t>
      </w:r>
      <w:r>
        <w:rPr>
          <w:rFonts w:ascii="宋体" w:eastAsia="宋体" w:hAnsi="宋体" w:cs="宋体"/>
          <w:spacing w:val="11"/>
          <w:sz w:val="22"/>
          <w:szCs w:val="22"/>
        </w:rPr>
        <w:t xml:space="preserve"> </w:t>
      </w:r>
      <w:r>
        <w:rPr>
          <w:rFonts w:ascii="宋体" w:eastAsia="宋体" w:hAnsi="宋体" w:cs="宋体"/>
          <w:spacing w:val="-5"/>
          <w:sz w:val="22"/>
          <w:szCs w:val="22"/>
        </w:rPr>
        <w:t>酯化，合成维生素A</w:t>
      </w:r>
      <w:r>
        <w:rPr>
          <w:rFonts w:ascii="宋体" w:eastAsia="宋体" w:hAnsi="宋体" w:cs="宋体"/>
          <w:spacing w:val="-19"/>
          <w:sz w:val="22"/>
          <w:szCs w:val="22"/>
        </w:rPr>
        <w:t xml:space="preserve"> </w:t>
      </w:r>
      <w:r>
        <w:rPr>
          <w:rFonts w:ascii="宋体" w:eastAsia="宋体" w:hAnsi="宋体" w:cs="宋体"/>
          <w:spacing w:val="-5"/>
          <w:sz w:val="22"/>
          <w:szCs w:val="22"/>
        </w:rPr>
        <w:t>棕榈酸酯，摄取维生素</w:t>
      </w:r>
      <w:r>
        <w:rPr>
          <w:rFonts w:ascii="宋体" w:eastAsia="宋体" w:hAnsi="宋体" w:cs="宋体"/>
          <w:spacing w:val="-60"/>
          <w:sz w:val="22"/>
          <w:szCs w:val="22"/>
        </w:rPr>
        <w:t xml:space="preserve"> </w:t>
      </w:r>
      <w:r>
        <w:rPr>
          <w:rFonts w:ascii="宋体" w:eastAsia="宋体" w:hAnsi="宋体" w:cs="宋体"/>
          <w:spacing w:val="-5"/>
          <w:sz w:val="22"/>
          <w:szCs w:val="22"/>
        </w:rPr>
        <w:t>A</w:t>
      </w:r>
      <w:r>
        <w:rPr>
          <w:rFonts w:ascii="宋体" w:eastAsia="宋体" w:hAnsi="宋体" w:cs="宋体"/>
          <w:spacing w:val="41"/>
          <w:sz w:val="22"/>
          <w:szCs w:val="22"/>
        </w:rPr>
        <w:t xml:space="preserve"> </w:t>
      </w:r>
      <w:r>
        <w:rPr>
          <w:rFonts w:ascii="宋体" w:eastAsia="宋体" w:hAnsi="宋体" w:cs="宋体"/>
          <w:spacing w:val="-5"/>
          <w:sz w:val="22"/>
          <w:szCs w:val="22"/>
        </w:rPr>
        <w:t>3～5h后，</w:t>
      </w:r>
      <w:r>
        <w:rPr>
          <w:rFonts w:ascii="宋体" w:eastAsia="宋体" w:hAnsi="宋体" w:cs="宋体"/>
          <w:spacing w:val="-6"/>
          <w:sz w:val="22"/>
          <w:szCs w:val="22"/>
        </w:rPr>
        <w:t>吸收达到高峰。维生</w:t>
      </w:r>
      <w:r>
        <w:rPr>
          <w:rFonts w:ascii="宋体" w:eastAsia="宋体" w:hAnsi="宋体" w:cs="宋体"/>
          <w:sz w:val="22"/>
          <w:szCs w:val="22"/>
        </w:rPr>
        <w:t xml:space="preserve"> </w:t>
      </w:r>
      <w:r>
        <w:rPr>
          <w:rFonts w:ascii="宋体" w:eastAsia="宋体" w:hAnsi="宋体" w:cs="宋体"/>
          <w:spacing w:val="-7"/>
          <w:sz w:val="22"/>
          <w:szCs w:val="22"/>
        </w:rPr>
        <w:t>素A</w:t>
      </w:r>
      <w:r>
        <w:rPr>
          <w:rFonts w:ascii="宋体" w:eastAsia="宋体" w:hAnsi="宋体" w:cs="宋体"/>
          <w:spacing w:val="-6"/>
          <w:sz w:val="22"/>
          <w:szCs w:val="22"/>
        </w:rPr>
        <w:t xml:space="preserve"> </w:t>
      </w:r>
      <w:r>
        <w:rPr>
          <w:rFonts w:ascii="宋体" w:eastAsia="宋体" w:hAnsi="宋体" w:cs="宋体"/>
          <w:spacing w:val="-7"/>
          <w:sz w:val="22"/>
          <w:szCs w:val="22"/>
        </w:rPr>
        <w:t>也需要胆盐。维生素</w:t>
      </w:r>
      <w:r>
        <w:rPr>
          <w:rFonts w:ascii="宋体" w:eastAsia="宋体" w:hAnsi="宋体" w:cs="宋体"/>
          <w:spacing w:val="-60"/>
          <w:sz w:val="22"/>
          <w:szCs w:val="22"/>
        </w:rPr>
        <w:t xml:space="preserve"> </w:t>
      </w:r>
      <w:r>
        <w:rPr>
          <w:rFonts w:ascii="宋体" w:eastAsia="宋体" w:hAnsi="宋体" w:cs="宋体"/>
          <w:spacing w:val="-7"/>
          <w:sz w:val="22"/>
          <w:szCs w:val="22"/>
        </w:rPr>
        <w:t>E</w:t>
      </w:r>
      <w:r>
        <w:rPr>
          <w:rFonts w:ascii="宋体" w:eastAsia="宋体" w:hAnsi="宋体" w:cs="宋体"/>
          <w:spacing w:val="-34"/>
          <w:sz w:val="22"/>
          <w:szCs w:val="22"/>
        </w:rPr>
        <w:t xml:space="preserve"> </w:t>
      </w:r>
      <w:r>
        <w:rPr>
          <w:rFonts w:ascii="宋体" w:eastAsia="宋体" w:hAnsi="宋体" w:cs="宋体"/>
          <w:spacing w:val="-7"/>
          <w:sz w:val="22"/>
          <w:szCs w:val="22"/>
        </w:rPr>
        <w:t>也可防止维生素A</w:t>
      </w:r>
      <w:r>
        <w:rPr>
          <w:rFonts w:ascii="宋体" w:eastAsia="宋体" w:hAnsi="宋体" w:cs="宋体"/>
          <w:spacing w:val="2"/>
          <w:sz w:val="22"/>
          <w:szCs w:val="22"/>
        </w:rPr>
        <w:t xml:space="preserve"> </w:t>
      </w:r>
      <w:r>
        <w:rPr>
          <w:rFonts w:ascii="宋体" w:eastAsia="宋体" w:hAnsi="宋体" w:cs="宋体"/>
          <w:spacing w:val="-7"/>
          <w:sz w:val="22"/>
          <w:szCs w:val="22"/>
        </w:rPr>
        <w:t>氧化破坏。维生素A</w:t>
      </w:r>
      <w:r>
        <w:rPr>
          <w:rFonts w:ascii="宋体" w:eastAsia="宋体" w:hAnsi="宋体" w:cs="宋体"/>
          <w:spacing w:val="2"/>
          <w:sz w:val="22"/>
          <w:szCs w:val="22"/>
        </w:rPr>
        <w:t xml:space="preserve"> </w:t>
      </w:r>
      <w:r>
        <w:rPr>
          <w:rFonts w:ascii="宋体" w:eastAsia="宋体" w:hAnsi="宋体" w:cs="宋体"/>
          <w:spacing w:val="-7"/>
          <w:sz w:val="22"/>
          <w:szCs w:val="22"/>
        </w:rPr>
        <w:t>与乳糜微粒</w:t>
      </w:r>
      <w:r>
        <w:rPr>
          <w:rFonts w:ascii="宋体" w:eastAsia="宋体" w:hAnsi="宋体" w:cs="宋体"/>
          <w:sz w:val="22"/>
          <w:szCs w:val="22"/>
        </w:rPr>
        <w:t xml:space="preserve"> </w:t>
      </w:r>
      <w:r>
        <w:rPr>
          <w:rFonts w:ascii="宋体" w:eastAsia="宋体" w:hAnsi="宋体" w:cs="宋体"/>
          <w:spacing w:val="-13"/>
          <w:sz w:val="22"/>
          <w:szCs w:val="22"/>
        </w:rPr>
        <w:t>相结合由淋巴系统输送到肝，酯式水解进入肝，然后又再</w:t>
      </w:r>
      <w:r>
        <w:rPr>
          <w:rFonts w:ascii="宋体" w:eastAsia="宋体" w:hAnsi="宋体" w:cs="宋体"/>
          <w:spacing w:val="-14"/>
          <w:sz w:val="22"/>
          <w:szCs w:val="22"/>
        </w:rPr>
        <w:t>酯化为棕榈酸酯。</w:t>
      </w:r>
    </w:p>
    <w:p w:rsidR="00EA40A3" w:rsidRDefault="00E86C16">
      <w:pPr>
        <w:spacing w:before="82" w:line="243" w:lineRule="auto"/>
        <w:ind w:right="25" w:firstLine="470"/>
        <w:jc w:val="both"/>
        <w:rPr>
          <w:rFonts w:ascii="宋体" w:eastAsia="宋体" w:hAnsi="宋体" w:cs="宋体"/>
          <w:sz w:val="22"/>
          <w:szCs w:val="22"/>
        </w:rPr>
      </w:pPr>
      <w:r>
        <w:rPr>
          <w:rFonts w:ascii="宋体" w:eastAsia="宋体" w:hAnsi="宋体" w:cs="宋体"/>
          <w:spacing w:val="-6"/>
          <w:sz w:val="22"/>
          <w:szCs w:val="22"/>
        </w:rPr>
        <w:t>维生素A</w:t>
      </w:r>
      <w:r>
        <w:rPr>
          <w:rFonts w:ascii="宋体" w:eastAsia="宋体" w:hAnsi="宋体" w:cs="宋体"/>
          <w:spacing w:val="-9"/>
          <w:sz w:val="22"/>
          <w:szCs w:val="22"/>
        </w:rPr>
        <w:t xml:space="preserve"> </w:t>
      </w:r>
      <w:r>
        <w:rPr>
          <w:rFonts w:ascii="宋体" w:eastAsia="宋体" w:hAnsi="宋体" w:cs="宋体"/>
          <w:spacing w:val="-6"/>
          <w:sz w:val="22"/>
          <w:szCs w:val="22"/>
        </w:rPr>
        <w:t>储存的主要器官是肝脏，主要分布在肝星状细胞中。高蛋白膳食</w:t>
      </w:r>
      <w:r>
        <w:rPr>
          <w:rFonts w:ascii="宋体" w:eastAsia="宋体" w:hAnsi="宋体" w:cs="宋体"/>
          <w:sz w:val="22"/>
          <w:szCs w:val="22"/>
        </w:rPr>
        <w:t xml:space="preserve"> </w:t>
      </w:r>
      <w:r>
        <w:rPr>
          <w:rFonts w:ascii="宋体" w:eastAsia="宋体" w:hAnsi="宋体" w:cs="宋体"/>
          <w:spacing w:val="-11"/>
          <w:sz w:val="22"/>
          <w:szCs w:val="22"/>
        </w:rPr>
        <w:t>可以增加维生素A</w:t>
      </w:r>
      <w:r>
        <w:rPr>
          <w:rFonts w:ascii="宋体" w:eastAsia="宋体" w:hAnsi="宋体" w:cs="宋体"/>
          <w:spacing w:val="1"/>
          <w:sz w:val="22"/>
          <w:szCs w:val="22"/>
        </w:rPr>
        <w:t xml:space="preserve"> </w:t>
      </w:r>
      <w:r>
        <w:rPr>
          <w:rFonts w:ascii="宋体" w:eastAsia="宋体" w:hAnsi="宋体" w:cs="宋体"/>
          <w:spacing w:val="-11"/>
          <w:sz w:val="22"/>
          <w:szCs w:val="22"/>
        </w:rPr>
        <w:t>的利用，因而加</w:t>
      </w:r>
      <w:r>
        <w:rPr>
          <w:rFonts w:ascii="宋体" w:eastAsia="宋体" w:hAnsi="宋体" w:cs="宋体"/>
          <w:spacing w:val="-12"/>
          <w:sz w:val="22"/>
          <w:szCs w:val="22"/>
        </w:rPr>
        <w:t>速维生素A</w:t>
      </w:r>
      <w:r>
        <w:rPr>
          <w:rFonts w:ascii="宋体" w:eastAsia="宋体" w:hAnsi="宋体" w:cs="宋体"/>
          <w:spacing w:val="-19"/>
          <w:sz w:val="22"/>
          <w:szCs w:val="22"/>
        </w:rPr>
        <w:t xml:space="preserve"> </w:t>
      </w:r>
      <w:r>
        <w:rPr>
          <w:rFonts w:ascii="宋体" w:eastAsia="宋体" w:hAnsi="宋体" w:cs="宋体"/>
          <w:spacing w:val="-12"/>
          <w:sz w:val="22"/>
          <w:szCs w:val="22"/>
        </w:rPr>
        <w:t>储存的空竭</w:t>
      </w:r>
      <w:r>
        <w:rPr>
          <w:rFonts w:ascii="宋体" w:eastAsia="宋体" w:hAnsi="宋体" w:cs="宋体"/>
          <w:spacing w:val="-14"/>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depletion</w:t>
      </w:r>
      <w:r>
        <w:rPr>
          <w:rFonts w:ascii="宋体" w:eastAsia="宋体" w:hAnsi="宋体" w:cs="宋体"/>
          <w:spacing w:val="-12"/>
          <w:sz w:val="22"/>
          <w:szCs w:val="22"/>
        </w:rPr>
        <w:t>)。</w:t>
      </w:r>
      <w:r>
        <w:rPr>
          <w:rFonts w:ascii="宋体" w:eastAsia="宋体" w:hAnsi="宋体" w:cs="宋体"/>
          <w:spacing w:val="-39"/>
          <w:sz w:val="22"/>
          <w:szCs w:val="22"/>
        </w:rPr>
        <w:t xml:space="preserve"> </w:t>
      </w:r>
      <w:r>
        <w:rPr>
          <w:rFonts w:ascii="宋体" w:eastAsia="宋体" w:hAnsi="宋体" w:cs="宋体"/>
          <w:spacing w:val="-12"/>
          <w:sz w:val="22"/>
          <w:szCs w:val="22"/>
        </w:rPr>
        <w:t>蛋白质</w:t>
      </w:r>
      <w:r>
        <w:rPr>
          <w:rFonts w:ascii="宋体" w:eastAsia="宋体" w:hAnsi="宋体" w:cs="宋体"/>
          <w:sz w:val="22"/>
          <w:szCs w:val="22"/>
        </w:rPr>
        <w:t xml:space="preserve"> </w:t>
      </w:r>
      <w:r>
        <w:rPr>
          <w:rFonts w:ascii="宋体" w:eastAsia="宋体" w:hAnsi="宋体" w:cs="宋体"/>
          <w:spacing w:val="-5"/>
          <w:sz w:val="22"/>
          <w:szCs w:val="22"/>
        </w:rPr>
        <w:t>营养不良时，维生素A</w:t>
      </w:r>
      <w:r>
        <w:rPr>
          <w:rFonts w:ascii="宋体" w:eastAsia="宋体" w:hAnsi="宋体" w:cs="宋体"/>
          <w:spacing w:val="11"/>
          <w:sz w:val="22"/>
          <w:szCs w:val="22"/>
        </w:rPr>
        <w:t xml:space="preserve"> </w:t>
      </w:r>
      <w:r>
        <w:rPr>
          <w:rFonts w:ascii="宋体" w:eastAsia="宋体" w:hAnsi="宋体" w:cs="宋体"/>
          <w:spacing w:val="-5"/>
          <w:sz w:val="22"/>
          <w:szCs w:val="22"/>
        </w:rPr>
        <w:t>的吸收及胡萝卜素转变为维生素A</w:t>
      </w:r>
      <w:r>
        <w:rPr>
          <w:rFonts w:ascii="宋体" w:eastAsia="宋体" w:hAnsi="宋体" w:cs="宋体"/>
          <w:spacing w:val="12"/>
          <w:sz w:val="22"/>
          <w:szCs w:val="22"/>
        </w:rPr>
        <w:t xml:space="preserve"> </w:t>
      </w:r>
      <w:r>
        <w:rPr>
          <w:rFonts w:ascii="宋体" w:eastAsia="宋体" w:hAnsi="宋体" w:cs="宋体"/>
          <w:spacing w:val="-5"/>
          <w:sz w:val="22"/>
          <w:szCs w:val="22"/>
        </w:rPr>
        <w:t>的能力都受到影响，</w:t>
      </w:r>
      <w:r>
        <w:rPr>
          <w:rFonts w:ascii="宋体" w:eastAsia="宋体" w:hAnsi="宋体" w:cs="宋体"/>
          <w:sz w:val="22"/>
          <w:szCs w:val="22"/>
        </w:rPr>
        <w:t xml:space="preserve"> </w:t>
      </w:r>
      <w:r>
        <w:rPr>
          <w:rFonts w:ascii="宋体" w:eastAsia="宋体" w:hAnsi="宋体" w:cs="宋体"/>
          <w:spacing w:val="-6"/>
          <w:sz w:val="22"/>
          <w:szCs w:val="22"/>
        </w:rPr>
        <w:t>因而使维生素A</w:t>
      </w:r>
      <w:r>
        <w:rPr>
          <w:rFonts w:ascii="宋体" w:eastAsia="宋体" w:hAnsi="宋体" w:cs="宋体"/>
          <w:spacing w:val="1"/>
          <w:sz w:val="22"/>
          <w:szCs w:val="22"/>
        </w:rPr>
        <w:t xml:space="preserve"> </w:t>
      </w:r>
      <w:r>
        <w:rPr>
          <w:rFonts w:ascii="宋体" w:eastAsia="宋体" w:hAnsi="宋体" w:cs="宋体"/>
          <w:spacing w:val="-6"/>
          <w:sz w:val="22"/>
          <w:szCs w:val="22"/>
        </w:rPr>
        <w:t>的肝储存量降低。肾脏内也能储存维生素</w:t>
      </w:r>
      <w:r>
        <w:rPr>
          <w:rFonts w:ascii="宋体" w:eastAsia="宋体" w:hAnsi="宋体" w:cs="宋体"/>
          <w:spacing w:val="-60"/>
          <w:sz w:val="22"/>
          <w:szCs w:val="22"/>
        </w:rPr>
        <w:t xml:space="preserve"> </w:t>
      </w:r>
      <w:r>
        <w:rPr>
          <w:rFonts w:ascii="宋体" w:eastAsia="宋体" w:hAnsi="宋体" w:cs="宋体"/>
          <w:spacing w:val="-6"/>
          <w:sz w:val="22"/>
          <w:szCs w:val="22"/>
        </w:rPr>
        <w:t>A,</w:t>
      </w:r>
      <w:r>
        <w:rPr>
          <w:rFonts w:ascii="宋体" w:eastAsia="宋体" w:hAnsi="宋体" w:cs="宋体"/>
          <w:spacing w:val="42"/>
          <w:sz w:val="22"/>
          <w:szCs w:val="22"/>
        </w:rPr>
        <w:t xml:space="preserve"> </w:t>
      </w:r>
      <w:r>
        <w:rPr>
          <w:rFonts w:ascii="宋体" w:eastAsia="宋体" w:hAnsi="宋体" w:cs="宋体"/>
          <w:spacing w:val="-6"/>
          <w:sz w:val="22"/>
          <w:szCs w:val="22"/>
        </w:rPr>
        <w:t>但其量仅为肝</w:t>
      </w:r>
      <w:r>
        <w:rPr>
          <w:rFonts w:ascii="宋体" w:eastAsia="宋体" w:hAnsi="宋体" w:cs="宋体"/>
          <w:spacing w:val="-7"/>
          <w:sz w:val="22"/>
          <w:szCs w:val="22"/>
        </w:rPr>
        <w:t>储</w:t>
      </w:r>
      <w:r>
        <w:rPr>
          <w:rFonts w:ascii="宋体" w:eastAsia="宋体" w:hAnsi="宋体" w:cs="宋体"/>
          <w:sz w:val="22"/>
          <w:szCs w:val="22"/>
        </w:rPr>
        <w:t xml:space="preserve"> </w:t>
      </w:r>
      <w:r>
        <w:rPr>
          <w:rFonts w:ascii="宋体" w:eastAsia="宋体" w:hAnsi="宋体" w:cs="宋体"/>
          <w:spacing w:val="-6"/>
          <w:sz w:val="22"/>
          <w:szCs w:val="22"/>
        </w:rPr>
        <w:t>存量的1%。眼色素上皮组织内的维生素A</w:t>
      </w:r>
      <w:r>
        <w:rPr>
          <w:rFonts w:ascii="宋体" w:eastAsia="宋体" w:hAnsi="宋体" w:cs="宋体"/>
          <w:spacing w:val="-11"/>
          <w:sz w:val="22"/>
          <w:szCs w:val="22"/>
        </w:rPr>
        <w:t xml:space="preserve"> </w:t>
      </w:r>
      <w:r>
        <w:rPr>
          <w:rFonts w:ascii="宋体" w:eastAsia="宋体" w:hAnsi="宋体" w:cs="宋体"/>
          <w:spacing w:val="-6"/>
          <w:sz w:val="22"/>
          <w:szCs w:val="22"/>
        </w:rPr>
        <w:t>是以酯式存在的，专为视网膜使用而</w:t>
      </w:r>
      <w:r>
        <w:rPr>
          <w:rFonts w:ascii="宋体" w:eastAsia="宋体" w:hAnsi="宋体" w:cs="宋体"/>
          <w:sz w:val="22"/>
          <w:szCs w:val="22"/>
        </w:rPr>
        <w:t xml:space="preserve"> </w:t>
      </w:r>
      <w:r>
        <w:rPr>
          <w:rFonts w:ascii="宋体" w:eastAsia="宋体" w:hAnsi="宋体" w:cs="宋体"/>
          <w:spacing w:val="4"/>
          <w:sz w:val="22"/>
          <w:szCs w:val="22"/>
        </w:rPr>
        <w:t>储备，其空竭速率比肝中要慢一些。正常成年人维生素</w:t>
      </w:r>
      <w:r>
        <w:rPr>
          <w:rFonts w:ascii="宋体" w:eastAsia="宋体" w:hAnsi="宋体" w:cs="宋体"/>
          <w:spacing w:val="-30"/>
          <w:sz w:val="22"/>
          <w:szCs w:val="22"/>
        </w:rPr>
        <w:t xml:space="preserve"> </w:t>
      </w:r>
      <w:r>
        <w:rPr>
          <w:rFonts w:ascii="宋体" w:eastAsia="宋体" w:hAnsi="宋体" w:cs="宋体"/>
          <w:spacing w:val="4"/>
          <w:sz w:val="22"/>
          <w:szCs w:val="22"/>
        </w:rPr>
        <w:t>A</w:t>
      </w:r>
      <w:r>
        <w:rPr>
          <w:rFonts w:ascii="宋体" w:eastAsia="宋体" w:hAnsi="宋体" w:cs="宋体"/>
          <w:spacing w:val="12"/>
          <w:sz w:val="22"/>
          <w:szCs w:val="22"/>
        </w:rPr>
        <w:t xml:space="preserve"> </w:t>
      </w:r>
      <w:r>
        <w:rPr>
          <w:rFonts w:ascii="宋体" w:eastAsia="宋体" w:hAnsi="宋体" w:cs="宋体"/>
          <w:spacing w:val="4"/>
          <w:sz w:val="22"/>
          <w:szCs w:val="22"/>
        </w:rPr>
        <w:t>的体内总储备为</w:t>
      </w:r>
      <w:r>
        <w:rPr>
          <w:rFonts w:ascii="宋体" w:eastAsia="宋体" w:hAnsi="宋体" w:cs="宋体"/>
          <w:sz w:val="22"/>
          <w:szCs w:val="22"/>
        </w:rPr>
        <w:t xml:space="preserve"> </w:t>
      </w:r>
      <w:r>
        <w:rPr>
          <w:rFonts w:ascii="Times New Roman" w:eastAsia="Times New Roman" w:hAnsi="Times New Roman" w:cs="Times New Roman"/>
          <w:spacing w:val="-6"/>
          <w:sz w:val="22"/>
          <w:szCs w:val="22"/>
        </w:rPr>
        <w:t>300</w:t>
      </w:r>
      <w:r>
        <w:rPr>
          <w:rFonts w:ascii="宋体" w:eastAsia="宋体" w:hAnsi="宋体" w:cs="宋体"/>
          <w:spacing w:val="-6"/>
          <w:sz w:val="22"/>
          <w:szCs w:val="22"/>
        </w:rPr>
        <w:t>～</w:t>
      </w:r>
      <w:r>
        <w:rPr>
          <w:rFonts w:ascii="Times New Roman" w:eastAsia="Times New Roman" w:hAnsi="Times New Roman" w:cs="Times New Roman"/>
          <w:spacing w:val="-6"/>
          <w:sz w:val="22"/>
          <w:szCs w:val="22"/>
        </w:rPr>
        <w:t>900mg</w:t>
      </w:r>
      <w:r>
        <w:rPr>
          <w:rFonts w:ascii="宋体" w:eastAsia="宋体" w:hAnsi="宋体" w:cs="宋体"/>
          <w:spacing w:val="-6"/>
          <w:sz w:val="22"/>
          <w:szCs w:val="22"/>
        </w:rPr>
        <w:t>。</w:t>
      </w:r>
    </w:p>
    <w:p w:rsidR="00EA40A3" w:rsidRDefault="00E86C16">
      <w:pPr>
        <w:spacing w:before="110" w:line="249" w:lineRule="auto"/>
        <w:ind w:firstLine="459"/>
        <w:jc w:val="both"/>
        <w:rPr>
          <w:rFonts w:ascii="宋体" w:eastAsia="宋体" w:hAnsi="宋体" w:cs="宋体"/>
          <w:sz w:val="22"/>
          <w:szCs w:val="22"/>
        </w:rPr>
      </w:pPr>
      <w:r>
        <w:rPr>
          <w:rFonts w:ascii="宋体" w:eastAsia="宋体" w:hAnsi="宋体" w:cs="宋体"/>
          <w:spacing w:val="-8"/>
          <w:sz w:val="22"/>
          <w:szCs w:val="22"/>
        </w:rPr>
        <w:t>(2)胡萝卜素的吸收。胡萝卜素的吸收过程不同于维生素</w:t>
      </w:r>
      <w:r>
        <w:rPr>
          <w:rFonts w:ascii="宋体" w:eastAsia="宋体" w:hAnsi="宋体" w:cs="宋体"/>
          <w:spacing w:val="-9"/>
          <w:sz w:val="22"/>
          <w:szCs w:val="22"/>
        </w:rPr>
        <w:t>A。</w:t>
      </w:r>
      <w:r>
        <w:rPr>
          <w:rFonts w:ascii="宋体" w:eastAsia="宋体" w:hAnsi="宋体" w:cs="宋体"/>
          <w:spacing w:val="-23"/>
          <w:sz w:val="22"/>
          <w:szCs w:val="22"/>
        </w:rPr>
        <w:t xml:space="preserve"> </w:t>
      </w:r>
      <w:r>
        <w:rPr>
          <w:rFonts w:ascii="宋体" w:eastAsia="宋体" w:hAnsi="宋体" w:cs="宋体"/>
          <w:spacing w:val="-9"/>
          <w:sz w:val="22"/>
          <w:szCs w:val="22"/>
        </w:rPr>
        <w:t>胡萝卜素的微</w:t>
      </w:r>
      <w:r>
        <w:rPr>
          <w:rFonts w:ascii="宋体" w:eastAsia="宋体" w:hAnsi="宋体" w:cs="宋体"/>
          <w:sz w:val="22"/>
          <w:szCs w:val="22"/>
        </w:rPr>
        <w:t xml:space="preserve"> </w:t>
      </w:r>
      <w:r>
        <w:rPr>
          <w:rFonts w:ascii="宋体" w:eastAsia="宋体" w:hAnsi="宋体" w:cs="宋体"/>
          <w:spacing w:val="-13"/>
          <w:sz w:val="22"/>
          <w:szCs w:val="22"/>
        </w:rPr>
        <w:t>胶粒溶液在小肠内吸收，为物理性扩散，其吸收量与剂量大小有相反关系。油溶</w:t>
      </w:r>
      <w:r>
        <w:rPr>
          <w:rFonts w:ascii="宋体" w:eastAsia="宋体" w:hAnsi="宋体" w:cs="宋体"/>
          <w:spacing w:val="6"/>
          <w:sz w:val="22"/>
          <w:szCs w:val="22"/>
        </w:rPr>
        <w:t xml:space="preserve">  </w:t>
      </w:r>
      <w:r>
        <w:rPr>
          <w:rFonts w:ascii="宋体" w:eastAsia="宋体" w:hAnsi="宋体" w:cs="宋体"/>
          <w:spacing w:val="-13"/>
          <w:sz w:val="22"/>
          <w:szCs w:val="22"/>
        </w:rPr>
        <w:t>液中胡萝卜素吸收最好，磷脂有助于形成微胶粒溶液而利于吸收</w:t>
      </w:r>
      <w:r>
        <w:rPr>
          <w:rFonts w:ascii="宋体" w:eastAsia="宋体" w:hAnsi="宋体" w:cs="宋体"/>
          <w:spacing w:val="-14"/>
          <w:sz w:val="22"/>
          <w:szCs w:val="22"/>
        </w:rPr>
        <w:t>。胆盐不但促进</w:t>
      </w:r>
      <w:r>
        <w:rPr>
          <w:rFonts w:ascii="宋体" w:eastAsia="宋体" w:hAnsi="宋体" w:cs="宋体"/>
          <w:sz w:val="22"/>
          <w:szCs w:val="22"/>
        </w:rPr>
        <w:t xml:space="preserve">  </w:t>
      </w:r>
      <w:r>
        <w:rPr>
          <w:rFonts w:ascii="宋体" w:eastAsia="宋体" w:hAnsi="宋体" w:cs="宋体"/>
          <w:spacing w:val="-13"/>
          <w:sz w:val="22"/>
          <w:szCs w:val="22"/>
        </w:rPr>
        <w:t>胡萝卜素运输至肠细胞，助其与细胞表面相结合，还促进胡萝卜素的分解。维生</w:t>
      </w:r>
      <w:r>
        <w:rPr>
          <w:rFonts w:ascii="宋体" w:eastAsia="宋体" w:hAnsi="宋体" w:cs="宋体"/>
          <w:spacing w:val="6"/>
          <w:sz w:val="22"/>
          <w:szCs w:val="22"/>
        </w:rPr>
        <w:t xml:space="preserve">  </w:t>
      </w:r>
      <w:r>
        <w:rPr>
          <w:rFonts w:ascii="宋体" w:eastAsia="宋体" w:hAnsi="宋体" w:cs="宋体"/>
          <w:spacing w:val="-8"/>
          <w:sz w:val="22"/>
          <w:szCs w:val="22"/>
        </w:rPr>
        <w:t>素</w:t>
      </w:r>
      <w:r>
        <w:rPr>
          <w:rFonts w:ascii="宋体" w:eastAsia="宋体" w:hAnsi="宋体" w:cs="宋体"/>
          <w:spacing w:val="-40"/>
          <w:sz w:val="22"/>
          <w:szCs w:val="22"/>
        </w:rPr>
        <w:t xml:space="preserve"> </w:t>
      </w:r>
      <w:r>
        <w:rPr>
          <w:rFonts w:ascii="宋体" w:eastAsia="宋体" w:hAnsi="宋体" w:cs="宋体"/>
          <w:spacing w:val="-8"/>
          <w:sz w:val="22"/>
          <w:szCs w:val="22"/>
        </w:rPr>
        <w:t>E</w:t>
      </w:r>
      <w:r>
        <w:rPr>
          <w:rFonts w:ascii="宋体" w:eastAsia="宋体" w:hAnsi="宋体" w:cs="宋体"/>
          <w:spacing w:val="-35"/>
          <w:sz w:val="22"/>
          <w:szCs w:val="22"/>
        </w:rPr>
        <w:t xml:space="preserve"> </w:t>
      </w:r>
      <w:r>
        <w:rPr>
          <w:rFonts w:ascii="宋体" w:eastAsia="宋体" w:hAnsi="宋体" w:cs="宋体"/>
          <w:spacing w:val="-8"/>
          <w:sz w:val="22"/>
          <w:szCs w:val="22"/>
        </w:rPr>
        <w:t>及其他抗氧化剂可保护侧链的共轭双键系统免于被氧化。胡萝卜素进入到</w:t>
      </w:r>
      <w:r>
        <w:rPr>
          <w:rFonts w:ascii="宋体" w:eastAsia="宋体" w:hAnsi="宋体" w:cs="宋体"/>
          <w:sz w:val="22"/>
          <w:szCs w:val="22"/>
        </w:rPr>
        <w:t xml:space="preserve">  </w:t>
      </w:r>
      <w:r>
        <w:rPr>
          <w:rFonts w:ascii="宋体" w:eastAsia="宋体" w:hAnsi="宋体" w:cs="宋体"/>
          <w:spacing w:val="-9"/>
          <w:sz w:val="22"/>
          <w:szCs w:val="22"/>
        </w:rPr>
        <w:t>小肠细胞内，在胞质内胡萝卜素双氧化酶</w:t>
      </w:r>
      <w:r>
        <w:rPr>
          <w:rFonts w:ascii="宋体" w:eastAsia="宋体" w:hAnsi="宋体" w:cs="宋体"/>
          <w:spacing w:val="-3"/>
          <w:sz w:val="22"/>
          <w:szCs w:val="22"/>
        </w:rPr>
        <w:t xml:space="preserve"> </w:t>
      </w:r>
      <w:r>
        <w:rPr>
          <w:rFonts w:ascii="宋体" w:eastAsia="宋体" w:hAnsi="宋体" w:cs="宋体"/>
          <w:spacing w:val="-9"/>
          <w:sz w:val="22"/>
          <w:szCs w:val="22"/>
        </w:rPr>
        <w:t>(carotene</w:t>
      </w:r>
      <w:r>
        <w:rPr>
          <w:rFonts w:ascii="宋体" w:eastAsia="宋体" w:hAnsi="宋体" w:cs="宋体"/>
          <w:spacing w:val="1"/>
          <w:sz w:val="22"/>
          <w:szCs w:val="22"/>
        </w:rPr>
        <w:t xml:space="preserve"> </w:t>
      </w:r>
      <w:r>
        <w:rPr>
          <w:rFonts w:ascii="宋体" w:eastAsia="宋体" w:hAnsi="宋体" w:cs="宋体"/>
          <w:spacing w:val="-9"/>
          <w:sz w:val="22"/>
          <w:szCs w:val="22"/>
        </w:rPr>
        <w:t>dioxygenase)</w:t>
      </w:r>
      <w:r>
        <w:rPr>
          <w:rFonts w:ascii="宋体" w:eastAsia="宋体" w:hAnsi="宋体" w:cs="宋体"/>
          <w:spacing w:val="-43"/>
          <w:sz w:val="22"/>
          <w:szCs w:val="22"/>
        </w:rPr>
        <w:t xml:space="preserve"> </w:t>
      </w:r>
      <w:r>
        <w:rPr>
          <w:rFonts w:ascii="宋体" w:eastAsia="宋体" w:hAnsi="宋体" w:cs="宋体"/>
          <w:spacing w:val="-9"/>
          <w:sz w:val="22"/>
          <w:szCs w:val="22"/>
        </w:rPr>
        <w:t>作用下，将</w:t>
      </w:r>
      <w:r>
        <w:rPr>
          <w:rFonts w:ascii="宋体" w:eastAsia="宋体" w:hAnsi="宋体" w:cs="宋体"/>
          <w:sz w:val="22"/>
          <w:szCs w:val="22"/>
        </w:rPr>
        <w:t xml:space="preserve">  </w:t>
      </w:r>
      <w:r>
        <w:rPr>
          <w:rFonts w:ascii="宋体" w:eastAsia="宋体" w:hAnsi="宋体" w:cs="宋体"/>
          <w:spacing w:val="-8"/>
          <w:sz w:val="22"/>
          <w:szCs w:val="22"/>
        </w:rPr>
        <w:t>1mol</w:t>
      </w:r>
      <w:r>
        <w:rPr>
          <w:rFonts w:ascii="宋体" w:eastAsia="宋体" w:hAnsi="宋体" w:cs="宋体"/>
          <w:spacing w:val="-46"/>
          <w:sz w:val="22"/>
          <w:szCs w:val="22"/>
        </w:rPr>
        <w:t xml:space="preserve"> </w:t>
      </w:r>
      <w:r>
        <w:rPr>
          <w:rFonts w:ascii="宋体" w:eastAsia="宋体" w:hAnsi="宋体" w:cs="宋体"/>
          <w:spacing w:val="-8"/>
          <w:sz w:val="22"/>
          <w:szCs w:val="22"/>
        </w:rPr>
        <w:t>氧加入到中间位置的双键上，将其分解为视黄醛，但也可从一端将其分解</w:t>
      </w:r>
      <w:r>
        <w:rPr>
          <w:rFonts w:ascii="宋体" w:eastAsia="宋体" w:hAnsi="宋体" w:cs="宋体"/>
          <w:sz w:val="22"/>
          <w:szCs w:val="22"/>
        </w:rPr>
        <w:t xml:space="preserve">  </w:t>
      </w:r>
      <w:r>
        <w:rPr>
          <w:rFonts w:ascii="宋体" w:eastAsia="宋体" w:hAnsi="宋体" w:cs="宋体"/>
          <w:spacing w:val="-10"/>
          <w:sz w:val="22"/>
          <w:szCs w:val="22"/>
        </w:rPr>
        <w:t>生成具有与维生素A</w:t>
      </w:r>
      <w:r>
        <w:rPr>
          <w:rFonts w:ascii="宋体" w:eastAsia="宋体" w:hAnsi="宋体" w:cs="宋体"/>
          <w:spacing w:val="8"/>
          <w:sz w:val="22"/>
          <w:szCs w:val="22"/>
        </w:rPr>
        <w:t xml:space="preserve"> </w:t>
      </w:r>
      <w:r>
        <w:rPr>
          <w:rFonts w:ascii="宋体" w:eastAsia="宋体" w:hAnsi="宋体" w:cs="宋体"/>
          <w:spacing w:val="-10"/>
          <w:sz w:val="22"/>
          <w:szCs w:val="22"/>
        </w:rPr>
        <w:t>相同环的侧链较长的醛，所生成的醛又被脱氢酶还原为醇，</w:t>
      </w:r>
      <w:r>
        <w:rPr>
          <w:rFonts w:ascii="宋体" w:eastAsia="宋体" w:hAnsi="宋体" w:cs="宋体"/>
          <w:sz w:val="22"/>
          <w:szCs w:val="22"/>
        </w:rPr>
        <w:t xml:space="preserve"> </w:t>
      </w:r>
      <w:r>
        <w:rPr>
          <w:rFonts w:ascii="宋体" w:eastAsia="宋体" w:hAnsi="宋体" w:cs="宋体"/>
          <w:spacing w:val="-10"/>
          <w:sz w:val="22"/>
          <w:szCs w:val="22"/>
        </w:rPr>
        <w:t>再酯化。小肠及肝都有胡萝卜素双氧化酶，但其活力以小肠中较高，以器官计，</w:t>
      </w:r>
      <w:r>
        <w:rPr>
          <w:rFonts w:ascii="宋体" w:eastAsia="宋体" w:hAnsi="宋体" w:cs="宋体"/>
          <w:spacing w:val="8"/>
          <w:sz w:val="22"/>
          <w:szCs w:val="22"/>
        </w:rPr>
        <w:t xml:space="preserve"> </w:t>
      </w:r>
      <w:r>
        <w:rPr>
          <w:rFonts w:ascii="宋体" w:eastAsia="宋体" w:hAnsi="宋体" w:cs="宋体"/>
          <w:spacing w:val="-6"/>
          <w:sz w:val="22"/>
          <w:szCs w:val="22"/>
        </w:rPr>
        <w:t>肠为肝的两倍，以质量计为4～7倍。静脉注射β胡萝卜</w:t>
      </w:r>
      <w:r>
        <w:rPr>
          <w:rFonts w:ascii="宋体" w:eastAsia="宋体" w:hAnsi="宋体" w:cs="宋体"/>
          <w:spacing w:val="-7"/>
          <w:sz w:val="22"/>
          <w:szCs w:val="22"/>
        </w:rPr>
        <w:t>素，在肝中也可转变为</w:t>
      </w:r>
      <w:r>
        <w:rPr>
          <w:rFonts w:ascii="宋体" w:eastAsia="宋体" w:hAnsi="宋体" w:cs="宋体"/>
          <w:sz w:val="22"/>
          <w:szCs w:val="22"/>
        </w:rPr>
        <w:t xml:space="preserve">  </w:t>
      </w:r>
      <w:r>
        <w:rPr>
          <w:rFonts w:ascii="宋体" w:eastAsia="宋体" w:hAnsi="宋体" w:cs="宋体"/>
          <w:spacing w:val="-14"/>
          <w:sz w:val="22"/>
          <w:szCs w:val="22"/>
        </w:rPr>
        <w:t>视黄醇，也以视醇酯形式储存，但储存能力有限。</w:t>
      </w:r>
    </w:p>
    <w:p w:rsidR="00EA40A3" w:rsidRDefault="00E86C16">
      <w:pPr>
        <w:spacing w:before="105"/>
        <w:ind w:left="159"/>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120</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footerReference w:type="default" r:id="rId95"/>
          <w:pgSz w:w="9220" w:h="13360"/>
          <w:pgMar w:top="400" w:right="1010" w:bottom="400" w:left="849" w:header="0" w:footer="0" w:gutter="0"/>
          <w:cols w:space="720"/>
        </w:sectPr>
      </w:pPr>
    </w:p>
    <w:p w:rsidR="00EA40A3" w:rsidRDefault="00EA40A3">
      <w:pPr>
        <w:spacing w:line="297" w:lineRule="auto"/>
      </w:pPr>
    </w:p>
    <w:p w:rsidR="00EA40A3" w:rsidRDefault="00EA40A3">
      <w:pPr>
        <w:spacing w:line="298" w:lineRule="auto"/>
      </w:pPr>
    </w:p>
    <w:p w:rsidR="00EA40A3" w:rsidRDefault="00E86C16">
      <w:pPr>
        <w:spacing w:before="69" w:line="255" w:lineRule="auto"/>
        <w:ind w:firstLine="420"/>
        <w:jc w:val="both"/>
        <w:rPr>
          <w:rFonts w:ascii="宋体" w:eastAsia="宋体" w:hAnsi="宋体" w:cs="宋体"/>
        </w:rPr>
      </w:pPr>
      <w:r>
        <w:rPr>
          <w:rFonts w:ascii="宋体" w:eastAsia="宋体" w:hAnsi="宋体" w:cs="宋体"/>
          <w:spacing w:val="-1"/>
        </w:rPr>
        <w:t>类胡萝卜素都可吸收进入血浆内。血浆中的类胡萝卜素可分为β胡萝卜素、</w:t>
      </w:r>
      <w:r>
        <w:rPr>
          <w:rFonts w:ascii="宋体" w:eastAsia="宋体" w:hAnsi="宋体" w:cs="宋体"/>
          <w:spacing w:val="17"/>
        </w:rPr>
        <w:t xml:space="preserve"> </w:t>
      </w:r>
      <w:r>
        <w:rPr>
          <w:rFonts w:ascii="宋体" w:eastAsia="宋体" w:hAnsi="宋体" w:cs="宋体"/>
          <w:spacing w:val="6"/>
        </w:rPr>
        <w:t>叶黄素、番茄红素及其他类胡萝卜素，视摄入情况而定。可存在于肝、脂肪、</w:t>
      </w:r>
      <w:r>
        <w:rPr>
          <w:rFonts w:ascii="宋体" w:eastAsia="宋体" w:hAnsi="宋体" w:cs="宋体"/>
          <w:spacing w:val="9"/>
        </w:rPr>
        <w:t xml:space="preserve"> </w:t>
      </w:r>
      <w:r>
        <w:rPr>
          <w:rFonts w:ascii="宋体" w:eastAsia="宋体" w:hAnsi="宋体" w:cs="宋体"/>
          <w:spacing w:val="-6"/>
        </w:rPr>
        <w:t>肾、皮肤及血管粥样硬化的斑块中。</w:t>
      </w:r>
    </w:p>
    <w:p w:rsidR="00EA40A3" w:rsidRDefault="00E86C16">
      <w:pPr>
        <w:spacing w:before="62" w:line="256" w:lineRule="auto"/>
        <w:ind w:right="50" w:firstLine="420"/>
        <w:jc w:val="both"/>
        <w:rPr>
          <w:rFonts w:ascii="宋体" w:eastAsia="宋体" w:hAnsi="宋体" w:cs="宋体"/>
        </w:rPr>
      </w:pPr>
      <w:r>
        <w:rPr>
          <w:rFonts w:ascii="宋体" w:eastAsia="宋体" w:hAnsi="宋体" w:cs="宋体"/>
          <w:spacing w:val="5"/>
        </w:rPr>
        <w:t>(3)维生素A</w:t>
      </w:r>
      <w:r>
        <w:rPr>
          <w:rFonts w:ascii="宋体" w:eastAsia="宋体" w:hAnsi="宋体" w:cs="宋体"/>
          <w:spacing w:val="24"/>
        </w:rPr>
        <w:t xml:space="preserve"> </w:t>
      </w:r>
      <w:r>
        <w:rPr>
          <w:rFonts w:ascii="宋体" w:eastAsia="宋体" w:hAnsi="宋体" w:cs="宋体"/>
          <w:spacing w:val="5"/>
        </w:rPr>
        <w:t>的运输。当靶组织需要维生素A</w:t>
      </w:r>
      <w:r>
        <w:rPr>
          <w:rFonts w:ascii="宋体" w:eastAsia="宋体" w:hAnsi="宋体" w:cs="宋体"/>
          <w:spacing w:val="12"/>
        </w:rPr>
        <w:t xml:space="preserve"> </w:t>
      </w:r>
      <w:r>
        <w:rPr>
          <w:rFonts w:ascii="宋体" w:eastAsia="宋体" w:hAnsi="宋体" w:cs="宋体"/>
          <w:spacing w:val="5"/>
        </w:rPr>
        <w:t>时，维生素A</w:t>
      </w:r>
      <w:r>
        <w:rPr>
          <w:rFonts w:ascii="宋体" w:eastAsia="宋体" w:hAnsi="宋体" w:cs="宋体"/>
          <w:spacing w:val="2"/>
        </w:rPr>
        <w:t xml:space="preserve"> </w:t>
      </w:r>
      <w:r>
        <w:rPr>
          <w:rFonts w:ascii="宋体" w:eastAsia="宋体" w:hAnsi="宋体" w:cs="宋体"/>
          <w:spacing w:val="5"/>
        </w:rPr>
        <w:t>从肝中释放出</w:t>
      </w:r>
      <w:r>
        <w:rPr>
          <w:rFonts w:ascii="宋体" w:eastAsia="宋体" w:hAnsi="宋体" w:cs="宋体"/>
        </w:rPr>
        <w:t xml:space="preserve"> </w:t>
      </w:r>
      <w:r>
        <w:rPr>
          <w:rFonts w:ascii="宋体" w:eastAsia="宋体" w:hAnsi="宋体" w:cs="宋体"/>
          <w:spacing w:val="3"/>
        </w:rPr>
        <w:t>来，运输到靶组织。这个过程首先将肝内储存维生素</w:t>
      </w:r>
      <w:r>
        <w:rPr>
          <w:rFonts w:ascii="宋体" w:eastAsia="宋体" w:hAnsi="宋体" w:cs="宋体"/>
          <w:spacing w:val="-56"/>
        </w:rPr>
        <w:t xml:space="preserve"> </w:t>
      </w:r>
      <w:r>
        <w:rPr>
          <w:rFonts w:ascii="宋体" w:eastAsia="宋体" w:hAnsi="宋体" w:cs="宋体"/>
          <w:spacing w:val="3"/>
        </w:rPr>
        <w:t>A</w:t>
      </w:r>
      <w:r>
        <w:rPr>
          <w:rFonts w:ascii="宋体" w:eastAsia="宋体" w:hAnsi="宋体" w:cs="宋体"/>
          <w:spacing w:val="21"/>
        </w:rPr>
        <w:t xml:space="preserve"> </w:t>
      </w:r>
      <w:r>
        <w:rPr>
          <w:rFonts w:ascii="宋体" w:eastAsia="宋体" w:hAnsi="宋体" w:cs="宋体"/>
          <w:spacing w:val="3"/>
        </w:rPr>
        <w:t>酯</w:t>
      </w:r>
      <w:r>
        <w:rPr>
          <w:rFonts w:ascii="宋体" w:eastAsia="宋体" w:hAnsi="宋体" w:cs="宋体"/>
          <w:spacing w:val="2"/>
        </w:rPr>
        <w:t>经酯酶水解为醇式，</w:t>
      </w:r>
      <w:r>
        <w:rPr>
          <w:rFonts w:ascii="宋体" w:eastAsia="宋体" w:hAnsi="宋体" w:cs="宋体"/>
        </w:rPr>
        <w:t xml:space="preserve"> </w:t>
      </w:r>
      <w:r>
        <w:rPr>
          <w:rFonts w:ascii="宋体" w:eastAsia="宋体" w:hAnsi="宋体" w:cs="宋体"/>
          <w:spacing w:val="-2"/>
        </w:rPr>
        <w:t>与视黄醇结合蛋白</w:t>
      </w:r>
      <w:r>
        <w:rPr>
          <w:rFonts w:ascii="宋体" w:eastAsia="宋体" w:hAnsi="宋体" w:cs="宋体"/>
          <w:spacing w:val="-43"/>
        </w:rPr>
        <w:t xml:space="preserve"> </w:t>
      </w:r>
      <w:r>
        <w:rPr>
          <w:rFonts w:ascii="宋体" w:eastAsia="宋体" w:hAnsi="宋体" w:cs="宋体"/>
          <w:spacing w:val="-2"/>
        </w:rPr>
        <w:t>(retinol</w:t>
      </w:r>
      <w:r>
        <w:rPr>
          <w:rFonts w:ascii="宋体" w:eastAsia="宋体" w:hAnsi="宋体" w:cs="宋体"/>
          <w:spacing w:val="1"/>
        </w:rPr>
        <w:t xml:space="preserve"> </w:t>
      </w:r>
      <w:r>
        <w:rPr>
          <w:rFonts w:ascii="宋体" w:eastAsia="宋体" w:hAnsi="宋体" w:cs="宋体"/>
          <w:spacing w:val="-2"/>
        </w:rPr>
        <w:t>binding</w:t>
      </w:r>
      <w:r>
        <w:rPr>
          <w:rFonts w:ascii="宋体" w:eastAsia="宋体" w:hAnsi="宋体" w:cs="宋体"/>
          <w:spacing w:val="2"/>
        </w:rPr>
        <w:t xml:space="preserve"> </w:t>
      </w:r>
      <w:r>
        <w:rPr>
          <w:rFonts w:ascii="宋体" w:eastAsia="宋体" w:hAnsi="宋体" w:cs="宋体"/>
          <w:spacing w:val="-2"/>
        </w:rPr>
        <w:t>protein,RBP)</w:t>
      </w:r>
      <w:r>
        <w:rPr>
          <w:rFonts w:ascii="宋体" w:eastAsia="宋体" w:hAnsi="宋体" w:cs="宋体"/>
          <w:spacing w:val="-30"/>
        </w:rPr>
        <w:t xml:space="preserve"> </w:t>
      </w:r>
      <w:r>
        <w:rPr>
          <w:rFonts w:ascii="宋体" w:eastAsia="宋体" w:hAnsi="宋体" w:cs="宋体"/>
          <w:spacing w:val="-2"/>
        </w:rPr>
        <w:t>结合，再与前白蛋白</w:t>
      </w:r>
      <w:r>
        <w:rPr>
          <w:rFonts w:ascii="宋体" w:eastAsia="宋体" w:hAnsi="宋体" w:cs="宋体"/>
          <w:spacing w:val="-32"/>
        </w:rPr>
        <w:t xml:space="preserve"> </w:t>
      </w:r>
      <w:r>
        <w:rPr>
          <w:rFonts w:ascii="宋体" w:eastAsia="宋体" w:hAnsi="宋体" w:cs="宋体"/>
          <w:spacing w:val="-2"/>
        </w:rPr>
        <w:t>(pre-</w:t>
      </w:r>
      <w:r>
        <w:rPr>
          <w:rFonts w:ascii="宋体" w:eastAsia="宋体" w:hAnsi="宋体" w:cs="宋体"/>
        </w:rPr>
        <w:t xml:space="preserve"> albumin</w:t>
      </w:r>
      <w:r>
        <w:rPr>
          <w:rFonts w:ascii="宋体" w:eastAsia="宋体" w:hAnsi="宋体" w:cs="宋体"/>
          <w:spacing w:val="4"/>
        </w:rPr>
        <w:t>,</w:t>
      </w:r>
      <w:r>
        <w:rPr>
          <w:rFonts w:ascii="宋体" w:eastAsia="宋体" w:hAnsi="宋体" w:cs="宋体"/>
        </w:rPr>
        <w:t>PA</w:t>
      </w:r>
      <w:r>
        <w:rPr>
          <w:rFonts w:ascii="宋体" w:eastAsia="宋体" w:hAnsi="宋体" w:cs="宋体"/>
          <w:spacing w:val="4"/>
        </w:rPr>
        <w:t>)</w:t>
      </w:r>
      <w:r>
        <w:rPr>
          <w:rFonts w:ascii="宋体" w:eastAsia="宋体" w:hAnsi="宋体" w:cs="宋体"/>
          <w:spacing w:val="27"/>
        </w:rPr>
        <w:t xml:space="preserve">  </w:t>
      </w:r>
      <w:r>
        <w:rPr>
          <w:rFonts w:ascii="宋体" w:eastAsia="宋体" w:hAnsi="宋体" w:cs="宋体"/>
          <w:spacing w:val="4"/>
        </w:rPr>
        <w:t>结合，形成维生素</w:t>
      </w:r>
      <w:r>
        <w:rPr>
          <w:rFonts w:ascii="宋体" w:eastAsia="宋体" w:hAnsi="宋体" w:cs="宋体"/>
          <w:spacing w:val="-55"/>
        </w:rPr>
        <w:t xml:space="preserve"> </w:t>
      </w:r>
      <w:r>
        <w:rPr>
          <w:rFonts w:ascii="宋体" w:eastAsia="宋体" w:hAnsi="宋体" w:cs="宋体"/>
          <w:spacing w:val="4"/>
        </w:rPr>
        <w:t>A-</w:t>
      </w:r>
      <w:r>
        <w:rPr>
          <w:rFonts w:ascii="宋体" w:eastAsia="宋体" w:hAnsi="宋体" w:cs="宋体"/>
        </w:rPr>
        <w:t>RBP</w:t>
      </w:r>
      <w:r>
        <w:rPr>
          <w:rFonts w:ascii="宋体" w:eastAsia="宋体" w:hAnsi="宋体" w:cs="宋体"/>
          <w:spacing w:val="4"/>
        </w:rPr>
        <w:t>-</w:t>
      </w:r>
      <w:r>
        <w:rPr>
          <w:rFonts w:ascii="宋体" w:eastAsia="宋体" w:hAnsi="宋体" w:cs="宋体"/>
        </w:rPr>
        <w:t>PA</w:t>
      </w:r>
      <w:r>
        <w:rPr>
          <w:rFonts w:ascii="宋体" w:eastAsia="宋体" w:hAnsi="宋体" w:cs="宋体"/>
          <w:spacing w:val="5"/>
        </w:rPr>
        <w:t xml:space="preserve">  </w:t>
      </w:r>
      <w:r>
        <w:rPr>
          <w:rFonts w:ascii="宋体" w:eastAsia="宋体" w:hAnsi="宋体" w:cs="宋体"/>
          <w:spacing w:val="4"/>
        </w:rPr>
        <w:t>复合体后，才离开肝脏，经血流</w:t>
      </w:r>
      <w:r>
        <w:rPr>
          <w:rFonts w:ascii="宋体" w:eastAsia="宋体" w:hAnsi="宋体" w:cs="宋体"/>
          <w:spacing w:val="1"/>
        </w:rPr>
        <w:t xml:space="preserve"> </w:t>
      </w:r>
      <w:r>
        <w:rPr>
          <w:rFonts w:ascii="宋体" w:eastAsia="宋体" w:hAnsi="宋体" w:cs="宋体"/>
          <w:spacing w:val="3"/>
        </w:rPr>
        <w:t>入靶组织。维生素A</w:t>
      </w:r>
      <w:r>
        <w:rPr>
          <w:rFonts w:ascii="宋体" w:eastAsia="宋体" w:hAnsi="宋体" w:cs="宋体"/>
          <w:spacing w:val="15"/>
        </w:rPr>
        <w:t xml:space="preserve"> </w:t>
      </w:r>
      <w:r>
        <w:rPr>
          <w:rFonts w:ascii="宋体" w:eastAsia="宋体" w:hAnsi="宋体" w:cs="宋体"/>
          <w:spacing w:val="3"/>
        </w:rPr>
        <w:t>在一般情况下必须与蛋白质结合，使之具有水溶性，并较</w:t>
      </w:r>
      <w:r>
        <w:rPr>
          <w:rFonts w:ascii="宋体" w:eastAsia="宋体" w:hAnsi="宋体" w:cs="宋体"/>
        </w:rPr>
        <w:t xml:space="preserve"> </w:t>
      </w:r>
      <w:r>
        <w:rPr>
          <w:rFonts w:ascii="宋体" w:eastAsia="宋体" w:hAnsi="宋体" w:cs="宋体"/>
          <w:spacing w:val="-4"/>
        </w:rPr>
        <w:t>稳定。</w:t>
      </w:r>
    </w:p>
    <w:p w:rsidR="00EA40A3" w:rsidRDefault="00E86C16">
      <w:pPr>
        <w:spacing w:before="93" w:line="257" w:lineRule="auto"/>
        <w:ind w:firstLine="420"/>
        <w:jc w:val="both"/>
        <w:rPr>
          <w:rFonts w:ascii="宋体" w:eastAsia="宋体" w:hAnsi="宋体" w:cs="宋体"/>
        </w:rPr>
      </w:pPr>
      <w:r>
        <w:rPr>
          <w:rFonts w:ascii="宋体" w:eastAsia="宋体" w:hAnsi="宋体" w:cs="宋体"/>
          <w:spacing w:val="5"/>
        </w:rPr>
        <w:t>维生素A-</w:t>
      </w:r>
      <w:r>
        <w:rPr>
          <w:rFonts w:ascii="宋体" w:eastAsia="宋体" w:hAnsi="宋体" w:cs="宋体"/>
        </w:rPr>
        <w:t>RBP</w:t>
      </w:r>
      <w:r>
        <w:rPr>
          <w:rFonts w:ascii="宋体" w:eastAsia="宋体" w:hAnsi="宋体" w:cs="宋体"/>
          <w:spacing w:val="5"/>
        </w:rPr>
        <w:t>-</w:t>
      </w:r>
      <w:r>
        <w:rPr>
          <w:rFonts w:ascii="宋体" w:eastAsia="宋体" w:hAnsi="宋体" w:cs="宋体"/>
        </w:rPr>
        <w:t>PA</w:t>
      </w:r>
      <w:r>
        <w:rPr>
          <w:rFonts w:ascii="宋体" w:eastAsia="宋体" w:hAnsi="宋体" w:cs="宋体"/>
          <w:spacing w:val="96"/>
        </w:rPr>
        <w:t xml:space="preserve"> </w:t>
      </w:r>
      <w:r>
        <w:rPr>
          <w:rFonts w:ascii="宋体" w:eastAsia="宋体" w:hAnsi="宋体" w:cs="宋体"/>
          <w:spacing w:val="5"/>
        </w:rPr>
        <w:t>复合体随血流到肠黏膜、膀胱、角膜及上皮组织等靶细</w:t>
      </w:r>
      <w:r>
        <w:rPr>
          <w:rFonts w:ascii="宋体" w:eastAsia="宋体" w:hAnsi="宋体" w:cs="宋体"/>
        </w:rPr>
        <w:t xml:space="preserve"> </w:t>
      </w:r>
      <w:r>
        <w:rPr>
          <w:rFonts w:ascii="宋体" w:eastAsia="宋体" w:hAnsi="宋体" w:cs="宋体"/>
          <w:spacing w:val="3"/>
        </w:rPr>
        <w:t>胞后，细胞膜上有</w:t>
      </w:r>
      <w:r>
        <w:rPr>
          <w:rFonts w:ascii="宋体" w:eastAsia="宋体" w:hAnsi="宋体" w:cs="宋体"/>
        </w:rPr>
        <w:t>RBP</w:t>
      </w:r>
      <w:r>
        <w:rPr>
          <w:rFonts w:ascii="宋体" w:eastAsia="宋体" w:hAnsi="宋体" w:cs="宋体"/>
          <w:spacing w:val="46"/>
        </w:rPr>
        <w:t xml:space="preserve"> </w:t>
      </w:r>
      <w:r>
        <w:rPr>
          <w:rFonts w:ascii="宋体" w:eastAsia="宋体" w:hAnsi="宋体" w:cs="宋体"/>
          <w:spacing w:val="3"/>
        </w:rPr>
        <w:t>的特殊受体，可与</w:t>
      </w:r>
      <w:r>
        <w:rPr>
          <w:rFonts w:ascii="宋体" w:eastAsia="宋体" w:hAnsi="宋体" w:cs="宋体"/>
          <w:spacing w:val="-63"/>
        </w:rPr>
        <w:t xml:space="preserve"> </w:t>
      </w:r>
      <w:r>
        <w:rPr>
          <w:rFonts w:ascii="宋体" w:eastAsia="宋体" w:hAnsi="宋体" w:cs="宋体"/>
        </w:rPr>
        <w:t>RBP</w:t>
      </w:r>
      <w:r>
        <w:rPr>
          <w:rFonts w:ascii="宋体" w:eastAsia="宋体" w:hAnsi="宋体" w:cs="宋体"/>
          <w:spacing w:val="27"/>
        </w:rPr>
        <w:t xml:space="preserve"> </w:t>
      </w:r>
      <w:r>
        <w:rPr>
          <w:rFonts w:ascii="宋体" w:eastAsia="宋体" w:hAnsi="宋体" w:cs="宋体"/>
          <w:spacing w:val="3"/>
        </w:rPr>
        <w:t>结合，并将维生素A</w:t>
      </w:r>
      <w:r>
        <w:rPr>
          <w:rFonts w:ascii="宋体" w:eastAsia="宋体" w:hAnsi="宋体" w:cs="宋体"/>
          <w:spacing w:val="12"/>
        </w:rPr>
        <w:t xml:space="preserve"> </w:t>
      </w:r>
      <w:r>
        <w:rPr>
          <w:rFonts w:ascii="宋体" w:eastAsia="宋体" w:hAnsi="宋体" w:cs="宋体"/>
          <w:spacing w:val="3"/>
        </w:rPr>
        <w:t>释放</w:t>
      </w:r>
      <w:r>
        <w:rPr>
          <w:rFonts w:ascii="宋体" w:eastAsia="宋体" w:hAnsi="宋体" w:cs="宋体"/>
          <w:spacing w:val="2"/>
        </w:rPr>
        <w:t>出来，</w:t>
      </w:r>
      <w:r>
        <w:rPr>
          <w:rFonts w:ascii="宋体" w:eastAsia="宋体" w:hAnsi="宋体" w:cs="宋体"/>
        </w:rPr>
        <w:t xml:space="preserve"> </w:t>
      </w:r>
      <w:r>
        <w:rPr>
          <w:rFonts w:ascii="宋体" w:eastAsia="宋体" w:hAnsi="宋体" w:cs="宋体"/>
          <w:spacing w:val="-3"/>
        </w:rPr>
        <w:t>进入细胞内。</w:t>
      </w:r>
      <w:r>
        <w:rPr>
          <w:rFonts w:ascii="宋体" w:eastAsia="宋体" w:hAnsi="宋体" w:cs="宋体"/>
          <w:spacing w:val="4"/>
        </w:rPr>
        <w:t xml:space="preserve"> </w:t>
      </w:r>
      <w:r>
        <w:rPr>
          <w:rFonts w:ascii="宋体" w:eastAsia="宋体" w:hAnsi="宋体" w:cs="宋体"/>
          <w:spacing w:val="-3"/>
        </w:rPr>
        <w:t>RBP</w:t>
      </w:r>
      <w:r>
        <w:rPr>
          <w:rFonts w:ascii="宋体" w:eastAsia="宋体" w:hAnsi="宋体" w:cs="宋体"/>
          <w:spacing w:val="46"/>
        </w:rPr>
        <w:t xml:space="preserve"> </w:t>
      </w:r>
      <w:r>
        <w:rPr>
          <w:rFonts w:ascii="宋体" w:eastAsia="宋体" w:hAnsi="宋体" w:cs="宋体"/>
          <w:spacing w:val="-3"/>
        </w:rPr>
        <w:t>与维生素</w:t>
      </w:r>
      <w:r>
        <w:rPr>
          <w:rFonts w:ascii="宋体" w:eastAsia="宋体" w:hAnsi="宋体" w:cs="宋体"/>
          <w:spacing w:val="-63"/>
        </w:rPr>
        <w:t xml:space="preserve"> </w:t>
      </w:r>
      <w:r>
        <w:rPr>
          <w:rFonts w:ascii="宋体" w:eastAsia="宋体" w:hAnsi="宋体" w:cs="宋体"/>
          <w:spacing w:val="-3"/>
        </w:rPr>
        <w:t>A</w:t>
      </w:r>
      <w:r>
        <w:rPr>
          <w:rFonts w:ascii="宋体" w:eastAsia="宋体" w:hAnsi="宋体" w:cs="宋体"/>
          <w:spacing w:val="2"/>
        </w:rPr>
        <w:t xml:space="preserve"> </w:t>
      </w:r>
      <w:r>
        <w:rPr>
          <w:rFonts w:ascii="宋体" w:eastAsia="宋体" w:hAnsi="宋体" w:cs="宋体"/>
          <w:spacing w:val="-3"/>
        </w:rPr>
        <w:t>分开后已变</w:t>
      </w:r>
      <w:r>
        <w:rPr>
          <w:rFonts w:ascii="宋体" w:eastAsia="宋体" w:hAnsi="宋体" w:cs="宋体"/>
          <w:spacing w:val="-4"/>
        </w:rPr>
        <w:t>性，丧失与维生素A、</w:t>
      </w:r>
      <w:r>
        <w:rPr>
          <w:rFonts w:ascii="宋体" w:eastAsia="宋体" w:hAnsi="宋体" w:cs="宋体"/>
          <w:spacing w:val="-3"/>
        </w:rPr>
        <w:t>PA</w:t>
      </w:r>
      <w:r>
        <w:rPr>
          <w:rFonts w:ascii="宋体" w:eastAsia="宋体" w:hAnsi="宋体" w:cs="宋体"/>
          <w:spacing w:val="62"/>
        </w:rPr>
        <w:t xml:space="preserve"> </w:t>
      </w:r>
      <w:r>
        <w:rPr>
          <w:rFonts w:ascii="宋体" w:eastAsia="宋体" w:hAnsi="宋体" w:cs="宋体"/>
          <w:spacing w:val="-4"/>
        </w:rPr>
        <w:t>或细胞膜上</w:t>
      </w:r>
      <w:r>
        <w:rPr>
          <w:rFonts w:ascii="宋体" w:eastAsia="宋体" w:hAnsi="宋体" w:cs="宋体"/>
        </w:rPr>
        <w:t xml:space="preserve"> </w:t>
      </w:r>
      <w:r>
        <w:rPr>
          <w:rFonts w:ascii="宋体" w:eastAsia="宋体" w:hAnsi="宋体" w:cs="宋体"/>
          <w:spacing w:val="2"/>
        </w:rPr>
        <w:t>受体的结合能力。此种游离的</w:t>
      </w:r>
      <w:r>
        <w:rPr>
          <w:rFonts w:ascii="宋体" w:eastAsia="宋体" w:hAnsi="宋体" w:cs="宋体"/>
        </w:rPr>
        <w:t>RBP</w:t>
      </w:r>
      <w:r>
        <w:rPr>
          <w:rFonts w:ascii="宋体" w:eastAsia="宋体" w:hAnsi="宋体" w:cs="宋体"/>
          <w:spacing w:val="56"/>
        </w:rPr>
        <w:t xml:space="preserve"> </w:t>
      </w:r>
      <w:r>
        <w:rPr>
          <w:rFonts w:ascii="宋体" w:eastAsia="宋体" w:hAnsi="宋体" w:cs="宋体"/>
          <w:spacing w:val="2"/>
        </w:rPr>
        <w:t>在肾小球中可滤过，而在肾小管重吸收，为</w:t>
      </w:r>
      <w:r>
        <w:rPr>
          <w:rFonts w:ascii="宋体" w:eastAsia="宋体" w:hAnsi="宋体" w:cs="宋体"/>
        </w:rPr>
        <w:t xml:space="preserve">  </w:t>
      </w:r>
      <w:r>
        <w:rPr>
          <w:rFonts w:ascii="宋体" w:eastAsia="宋体" w:hAnsi="宋体" w:cs="宋体"/>
          <w:spacing w:val="-1"/>
        </w:rPr>
        <w:t>肾皮层细胞所摄取，并在其溶酶体中分解为氨基酸。血浆中还有一种未与PA</w:t>
      </w:r>
      <w:r>
        <w:rPr>
          <w:rFonts w:ascii="宋体" w:eastAsia="宋体" w:hAnsi="宋体" w:cs="宋体"/>
          <w:spacing w:val="45"/>
        </w:rPr>
        <w:t xml:space="preserve"> </w:t>
      </w:r>
      <w:r>
        <w:rPr>
          <w:rFonts w:ascii="宋体" w:eastAsia="宋体" w:hAnsi="宋体" w:cs="宋体"/>
          <w:spacing w:val="-1"/>
        </w:rPr>
        <w:t>结</w:t>
      </w:r>
      <w:r>
        <w:rPr>
          <w:rFonts w:ascii="宋体" w:eastAsia="宋体" w:hAnsi="宋体" w:cs="宋体"/>
        </w:rPr>
        <w:t xml:space="preserve">  </w:t>
      </w:r>
      <w:r>
        <w:rPr>
          <w:rFonts w:ascii="宋体" w:eastAsia="宋体" w:hAnsi="宋体" w:cs="宋体"/>
          <w:spacing w:val="3"/>
        </w:rPr>
        <w:t>合的维生素A-</w:t>
      </w:r>
      <w:r>
        <w:rPr>
          <w:rFonts w:ascii="宋体" w:eastAsia="宋体" w:hAnsi="宋体" w:cs="宋体"/>
        </w:rPr>
        <w:t>RBP</w:t>
      </w:r>
      <w:r>
        <w:rPr>
          <w:rFonts w:ascii="宋体" w:eastAsia="宋体" w:hAnsi="宋体" w:cs="宋体"/>
          <w:spacing w:val="3"/>
        </w:rPr>
        <w:t>,</w:t>
      </w:r>
      <w:r>
        <w:rPr>
          <w:rFonts w:ascii="宋体" w:eastAsia="宋体" w:hAnsi="宋体" w:cs="宋体"/>
          <w:spacing w:val="9"/>
        </w:rPr>
        <w:t xml:space="preserve">  </w:t>
      </w:r>
      <w:r>
        <w:rPr>
          <w:rFonts w:ascii="宋体" w:eastAsia="宋体" w:hAnsi="宋体" w:cs="宋体"/>
          <w:spacing w:val="3"/>
        </w:rPr>
        <w:t>这部分可从肾小球滤过，在肾小管中重吸收，并将维生素</w:t>
      </w:r>
      <w:r>
        <w:rPr>
          <w:rFonts w:ascii="宋体" w:eastAsia="宋体" w:hAnsi="宋体" w:cs="宋体"/>
        </w:rPr>
        <w:t xml:space="preserve">  </w:t>
      </w:r>
      <w:r>
        <w:rPr>
          <w:rFonts w:ascii="宋体" w:eastAsia="宋体" w:hAnsi="宋体" w:cs="宋体"/>
          <w:spacing w:val="-1"/>
        </w:rPr>
        <w:t>A</w:t>
      </w:r>
      <w:r>
        <w:rPr>
          <w:rFonts w:ascii="宋体" w:eastAsia="宋体" w:hAnsi="宋体" w:cs="宋体"/>
          <w:spacing w:val="10"/>
        </w:rPr>
        <w:t xml:space="preserve"> </w:t>
      </w:r>
      <w:r>
        <w:rPr>
          <w:rFonts w:ascii="宋体" w:eastAsia="宋体" w:hAnsi="宋体" w:cs="宋体"/>
          <w:spacing w:val="-1"/>
        </w:rPr>
        <w:t>释放出来。因此肾中有少量维生素A</w:t>
      </w:r>
      <w:r>
        <w:rPr>
          <w:rFonts w:ascii="宋体" w:eastAsia="宋体" w:hAnsi="宋体" w:cs="宋体"/>
          <w:spacing w:val="2"/>
        </w:rPr>
        <w:t xml:space="preserve"> </w:t>
      </w:r>
      <w:r>
        <w:rPr>
          <w:rFonts w:ascii="宋体" w:eastAsia="宋体" w:hAnsi="宋体" w:cs="宋体"/>
          <w:spacing w:val="-1"/>
        </w:rPr>
        <w:t>积累，然后酯化输送至肝。</w:t>
      </w:r>
    </w:p>
    <w:p w:rsidR="00EA40A3" w:rsidRDefault="00E86C16">
      <w:pPr>
        <w:spacing w:before="90" w:line="249" w:lineRule="auto"/>
        <w:ind w:right="68" w:firstLine="420"/>
        <w:jc w:val="both"/>
        <w:rPr>
          <w:rFonts w:ascii="宋体" w:eastAsia="宋体" w:hAnsi="宋体" w:cs="宋体"/>
        </w:rPr>
      </w:pPr>
      <w:r>
        <w:rPr>
          <w:rFonts w:ascii="宋体" w:eastAsia="宋体" w:hAnsi="宋体" w:cs="宋体"/>
          <w:spacing w:val="-1"/>
        </w:rPr>
        <w:t>维生素A</w:t>
      </w:r>
      <w:r>
        <w:rPr>
          <w:rFonts w:ascii="宋体" w:eastAsia="宋体" w:hAnsi="宋体" w:cs="宋体"/>
          <w:spacing w:val="21"/>
        </w:rPr>
        <w:t xml:space="preserve"> </w:t>
      </w:r>
      <w:r>
        <w:rPr>
          <w:rFonts w:ascii="宋体" w:eastAsia="宋体" w:hAnsi="宋体" w:cs="宋体"/>
          <w:spacing w:val="-1"/>
        </w:rPr>
        <w:t>进</w:t>
      </w:r>
      <w:r>
        <w:rPr>
          <w:rFonts w:ascii="宋体" w:eastAsia="宋体" w:hAnsi="宋体" w:cs="宋体"/>
          <w:spacing w:val="-2"/>
        </w:rPr>
        <w:t>入到靶细胞后，立即与细胞视黄醇结合蛋白</w:t>
      </w:r>
      <w:r>
        <w:rPr>
          <w:rFonts w:ascii="宋体" w:eastAsia="宋体" w:hAnsi="宋体" w:cs="宋体"/>
          <w:spacing w:val="-13"/>
        </w:rPr>
        <w:t xml:space="preserve"> </w:t>
      </w:r>
      <w:r>
        <w:rPr>
          <w:rFonts w:ascii="宋体" w:eastAsia="宋体" w:hAnsi="宋体" w:cs="宋体"/>
          <w:spacing w:val="-2"/>
        </w:rPr>
        <w:t>(</w:t>
      </w:r>
      <w:r>
        <w:rPr>
          <w:rFonts w:ascii="宋体" w:eastAsia="宋体" w:hAnsi="宋体" w:cs="宋体"/>
          <w:spacing w:val="-1"/>
        </w:rPr>
        <w:t>cellular</w:t>
      </w:r>
      <w:r>
        <w:rPr>
          <w:rFonts w:ascii="宋体" w:eastAsia="宋体" w:hAnsi="宋体" w:cs="宋体"/>
          <w:spacing w:val="-13"/>
        </w:rPr>
        <w:t xml:space="preserve"> </w:t>
      </w:r>
      <w:r>
        <w:rPr>
          <w:rFonts w:ascii="宋体" w:eastAsia="宋体" w:hAnsi="宋体" w:cs="宋体"/>
          <w:spacing w:val="-1"/>
        </w:rPr>
        <w:t>retinol</w:t>
      </w:r>
      <w:r>
        <w:rPr>
          <w:rFonts w:ascii="宋体" w:eastAsia="宋体" w:hAnsi="宋体" w:cs="宋体"/>
        </w:rPr>
        <w:t xml:space="preserve"> binding</w:t>
      </w:r>
      <w:r>
        <w:rPr>
          <w:rFonts w:ascii="宋体" w:eastAsia="宋体" w:hAnsi="宋体" w:cs="宋体"/>
          <w:spacing w:val="8"/>
        </w:rPr>
        <w:t xml:space="preserve"> </w:t>
      </w:r>
      <w:r>
        <w:rPr>
          <w:rFonts w:ascii="宋体" w:eastAsia="宋体" w:hAnsi="宋体" w:cs="宋体"/>
        </w:rPr>
        <w:t>protein</w:t>
      </w:r>
      <w:r>
        <w:rPr>
          <w:rFonts w:ascii="宋体" w:eastAsia="宋体" w:hAnsi="宋体" w:cs="宋体"/>
          <w:spacing w:val="3"/>
        </w:rPr>
        <w:t>,</w:t>
      </w:r>
      <w:r>
        <w:rPr>
          <w:rFonts w:ascii="宋体" w:eastAsia="宋体" w:hAnsi="宋体" w:cs="宋体"/>
        </w:rPr>
        <w:t>CRBP</w:t>
      </w:r>
      <w:r>
        <w:rPr>
          <w:rFonts w:ascii="宋体" w:eastAsia="宋体" w:hAnsi="宋体" w:cs="宋体"/>
          <w:spacing w:val="3"/>
        </w:rPr>
        <w:t>)</w:t>
      </w:r>
      <w:r>
        <w:rPr>
          <w:rFonts w:ascii="宋体" w:eastAsia="宋体" w:hAnsi="宋体" w:cs="宋体"/>
          <w:spacing w:val="-25"/>
        </w:rPr>
        <w:t xml:space="preserve"> </w:t>
      </w:r>
      <w:r>
        <w:rPr>
          <w:rFonts w:ascii="宋体" w:eastAsia="宋体" w:hAnsi="宋体" w:cs="宋体"/>
          <w:spacing w:val="3"/>
        </w:rPr>
        <w:t>相结合。维生素</w:t>
      </w:r>
      <w:r>
        <w:rPr>
          <w:rFonts w:ascii="宋体" w:eastAsia="宋体" w:hAnsi="宋体" w:cs="宋体"/>
          <w:spacing w:val="-55"/>
        </w:rPr>
        <w:t xml:space="preserve"> </w:t>
      </w:r>
      <w:r>
        <w:rPr>
          <w:rFonts w:ascii="宋体" w:eastAsia="宋体" w:hAnsi="宋体" w:cs="宋体"/>
          <w:spacing w:val="3"/>
        </w:rPr>
        <w:t>A</w:t>
      </w:r>
      <w:r>
        <w:rPr>
          <w:rFonts w:ascii="宋体" w:eastAsia="宋体" w:hAnsi="宋体" w:cs="宋体"/>
          <w:spacing w:val="2"/>
        </w:rPr>
        <w:t xml:space="preserve"> </w:t>
      </w:r>
      <w:r>
        <w:rPr>
          <w:rFonts w:ascii="宋体" w:eastAsia="宋体" w:hAnsi="宋体" w:cs="宋体"/>
          <w:spacing w:val="3"/>
        </w:rPr>
        <w:t>在运输过程中不需要与</w:t>
      </w:r>
      <w:r>
        <w:rPr>
          <w:rFonts w:ascii="宋体" w:eastAsia="宋体" w:hAnsi="宋体" w:cs="宋体"/>
          <w:spacing w:val="-62"/>
        </w:rPr>
        <w:t xml:space="preserve"> </w:t>
      </w:r>
      <w:r>
        <w:rPr>
          <w:rFonts w:ascii="宋体" w:eastAsia="宋体" w:hAnsi="宋体" w:cs="宋体"/>
        </w:rPr>
        <w:t>CRBP</w:t>
      </w:r>
      <w:r>
        <w:rPr>
          <w:rFonts w:ascii="宋体" w:eastAsia="宋体" w:hAnsi="宋体" w:cs="宋体"/>
          <w:spacing w:val="81"/>
        </w:rPr>
        <w:t xml:space="preserve"> </w:t>
      </w:r>
      <w:r>
        <w:rPr>
          <w:rFonts w:ascii="宋体" w:eastAsia="宋体" w:hAnsi="宋体" w:cs="宋体"/>
          <w:spacing w:val="3"/>
        </w:rPr>
        <w:t>相结</w:t>
      </w:r>
      <w:r>
        <w:rPr>
          <w:rFonts w:ascii="宋体" w:eastAsia="宋体" w:hAnsi="宋体" w:cs="宋体"/>
        </w:rPr>
        <w:t xml:space="preserve"> </w:t>
      </w:r>
      <w:r>
        <w:rPr>
          <w:rFonts w:ascii="宋体" w:eastAsia="宋体" w:hAnsi="宋体" w:cs="宋体"/>
          <w:spacing w:val="-5"/>
        </w:rPr>
        <w:t>合，但进入细胞内必须与视黄醇结合蛋白相结合。</w:t>
      </w:r>
    </w:p>
    <w:p w:rsidR="00EA40A3" w:rsidRDefault="00E86C16">
      <w:pPr>
        <w:spacing w:before="70" w:line="249" w:lineRule="auto"/>
        <w:ind w:right="80" w:firstLine="420"/>
        <w:jc w:val="both"/>
        <w:rPr>
          <w:rFonts w:ascii="宋体" w:eastAsia="宋体" w:hAnsi="宋体" w:cs="宋体"/>
        </w:rPr>
      </w:pPr>
      <w:r>
        <w:rPr>
          <w:rFonts w:ascii="宋体" w:eastAsia="宋体" w:hAnsi="宋体" w:cs="宋体"/>
          <w:spacing w:val="3"/>
        </w:rPr>
        <w:t>(4)维生素A</w:t>
      </w:r>
      <w:r>
        <w:rPr>
          <w:rFonts w:ascii="宋体" w:eastAsia="宋体" w:hAnsi="宋体" w:cs="宋体"/>
          <w:spacing w:val="26"/>
        </w:rPr>
        <w:t xml:space="preserve"> </w:t>
      </w:r>
      <w:r>
        <w:rPr>
          <w:rFonts w:ascii="宋体" w:eastAsia="宋体" w:hAnsi="宋体" w:cs="宋体"/>
          <w:spacing w:val="3"/>
        </w:rPr>
        <w:t>分解代谢及排出。维生素A</w:t>
      </w:r>
      <w:r>
        <w:rPr>
          <w:rFonts w:ascii="宋体" w:eastAsia="宋体" w:hAnsi="宋体" w:cs="宋体"/>
          <w:spacing w:val="2"/>
        </w:rPr>
        <w:t xml:space="preserve"> </w:t>
      </w:r>
      <w:r>
        <w:rPr>
          <w:rFonts w:ascii="宋体" w:eastAsia="宋体" w:hAnsi="宋体" w:cs="宋体"/>
          <w:spacing w:val="3"/>
        </w:rPr>
        <w:t>分解代谢途径可能如图4-4。视黄</w:t>
      </w:r>
      <w:r>
        <w:rPr>
          <w:rFonts w:ascii="宋体" w:eastAsia="宋体" w:hAnsi="宋体" w:cs="宋体"/>
        </w:rPr>
        <w:t xml:space="preserve"> </w:t>
      </w:r>
      <w:r>
        <w:rPr>
          <w:rFonts w:ascii="宋体" w:eastAsia="宋体" w:hAnsi="宋体" w:cs="宋体"/>
          <w:spacing w:val="-2"/>
        </w:rPr>
        <w:t>醇通过氧化转变为维生素A</w:t>
      </w:r>
      <w:r>
        <w:rPr>
          <w:rFonts w:ascii="宋体" w:eastAsia="宋体" w:hAnsi="宋体" w:cs="宋体"/>
          <w:spacing w:val="-9"/>
        </w:rPr>
        <w:t xml:space="preserve"> </w:t>
      </w:r>
      <w:r>
        <w:rPr>
          <w:rFonts w:ascii="宋体" w:eastAsia="宋体" w:hAnsi="宋体" w:cs="宋体"/>
          <w:spacing w:val="-2"/>
        </w:rPr>
        <w:t>酸，其中一部分异构为β顺式。</w:t>
      </w:r>
      <w:r>
        <w:rPr>
          <w:rFonts w:ascii="宋体" w:eastAsia="宋体" w:hAnsi="宋体" w:cs="宋体"/>
          <w:spacing w:val="-3"/>
        </w:rPr>
        <w:t>全反式或β顺式者均</w:t>
      </w:r>
      <w:r>
        <w:rPr>
          <w:rFonts w:ascii="宋体" w:eastAsia="宋体" w:hAnsi="宋体" w:cs="宋体"/>
        </w:rPr>
        <w:t xml:space="preserve"> </w:t>
      </w:r>
      <w:r>
        <w:rPr>
          <w:rFonts w:ascii="宋体" w:eastAsia="宋体" w:hAnsi="宋体" w:cs="宋体"/>
          <w:spacing w:val="-3"/>
        </w:rPr>
        <w:t>为维生素A</w:t>
      </w:r>
      <w:r>
        <w:rPr>
          <w:rFonts w:ascii="宋体" w:eastAsia="宋体" w:hAnsi="宋体" w:cs="宋体"/>
          <w:spacing w:val="28"/>
        </w:rPr>
        <w:t xml:space="preserve"> </w:t>
      </w:r>
      <w:r>
        <w:rPr>
          <w:rFonts w:ascii="宋体" w:eastAsia="宋体" w:hAnsi="宋体" w:cs="宋体"/>
          <w:spacing w:val="-3"/>
        </w:rPr>
        <w:t>的代谢产物，体内不能储存，很快消失。</w:t>
      </w:r>
    </w:p>
    <w:p w:rsidR="00EA40A3" w:rsidRDefault="00E86C16">
      <w:pPr>
        <w:spacing w:before="162" w:line="2960" w:lineRule="exact"/>
        <w:ind w:firstLine="1280"/>
        <w:textAlignment w:val="center"/>
      </w:pPr>
      <w:r>
        <w:rPr>
          <w:noProof/>
        </w:rPr>
        <w:drawing>
          <wp:inline distT="0" distB="0" distL="0" distR="0">
            <wp:extent cx="3048000" cy="187896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96"/>
                    <a:stretch>
                      <a:fillRect/>
                    </a:stretch>
                  </pic:blipFill>
                  <pic:spPr>
                    <a:xfrm>
                      <a:off x="0" y="0"/>
                      <a:ext cx="3048015" cy="1879541"/>
                    </a:xfrm>
                    <a:prstGeom prst="rect">
                      <a:avLst/>
                    </a:prstGeom>
                  </pic:spPr>
                </pic:pic>
              </a:graphicData>
            </a:graphic>
          </wp:inline>
        </w:drawing>
      </w:r>
    </w:p>
    <w:p w:rsidR="00EA40A3" w:rsidRDefault="00E86C16">
      <w:pPr>
        <w:spacing w:before="117" w:line="219" w:lineRule="auto"/>
        <w:ind w:left="2050"/>
        <w:rPr>
          <w:rFonts w:ascii="宋体" w:eastAsia="宋体" w:hAnsi="宋体" w:cs="宋体"/>
        </w:rPr>
      </w:pPr>
      <w:r>
        <w:rPr>
          <w:rFonts w:ascii="宋体" w:eastAsia="宋体" w:hAnsi="宋体" w:cs="宋体"/>
          <w:spacing w:val="-17"/>
          <w:w w:val="97"/>
        </w:rPr>
        <w:t>图4-4</w:t>
      </w:r>
      <w:r>
        <w:rPr>
          <w:rFonts w:ascii="宋体" w:eastAsia="宋体" w:hAnsi="宋体" w:cs="宋体"/>
          <w:spacing w:val="66"/>
        </w:rPr>
        <w:t xml:space="preserve"> </w:t>
      </w:r>
      <w:r>
        <w:rPr>
          <w:rFonts w:ascii="宋体" w:eastAsia="宋体" w:hAnsi="宋体" w:cs="宋体"/>
          <w:spacing w:val="-17"/>
          <w:w w:val="97"/>
        </w:rPr>
        <w:t>维生素A</w:t>
      </w:r>
      <w:r>
        <w:rPr>
          <w:rFonts w:ascii="宋体" w:eastAsia="宋体" w:hAnsi="宋体" w:cs="宋体"/>
          <w:spacing w:val="-29"/>
        </w:rPr>
        <w:t xml:space="preserve"> </w:t>
      </w:r>
      <w:r>
        <w:rPr>
          <w:rFonts w:ascii="宋体" w:eastAsia="宋体" w:hAnsi="宋体" w:cs="宋体"/>
          <w:spacing w:val="-17"/>
          <w:w w:val="97"/>
        </w:rPr>
        <w:t>的氧化代谢的可能途径</w:t>
      </w:r>
    </w:p>
    <w:p w:rsidR="00EA40A3" w:rsidRDefault="00E86C16">
      <w:pPr>
        <w:spacing w:before="270" w:line="251" w:lineRule="auto"/>
        <w:ind w:right="83" w:firstLine="420"/>
        <w:rPr>
          <w:rFonts w:ascii="宋体" w:eastAsia="宋体" w:hAnsi="宋体" w:cs="宋体"/>
        </w:rPr>
      </w:pPr>
      <w:r>
        <w:rPr>
          <w:rFonts w:ascii="宋体" w:eastAsia="宋体" w:hAnsi="宋体" w:cs="宋体"/>
          <w:spacing w:val="3"/>
        </w:rPr>
        <w:t>肝内储存及摄入的维生素A</w:t>
      </w:r>
      <w:r>
        <w:rPr>
          <w:rFonts w:ascii="宋体" w:eastAsia="宋体" w:hAnsi="宋体" w:cs="宋体"/>
          <w:spacing w:val="12"/>
        </w:rPr>
        <w:t xml:space="preserve"> </w:t>
      </w:r>
      <w:r>
        <w:rPr>
          <w:rFonts w:ascii="宋体" w:eastAsia="宋体" w:hAnsi="宋体" w:cs="宋体"/>
          <w:spacing w:val="3"/>
        </w:rPr>
        <w:t>都能被补充到需要维生素A</w:t>
      </w:r>
      <w:r>
        <w:rPr>
          <w:rFonts w:ascii="宋体" w:eastAsia="宋体" w:hAnsi="宋体" w:cs="宋体"/>
          <w:spacing w:val="22"/>
        </w:rPr>
        <w:t xml:space="preserve"> </w:t>
      </w:r>
      <w:r>
        <w:rPr>
          <w:rFonts w:ascii="宋体" w:eastAsia="宋体" w:hAnsi="宋体" w:cs="宋体"/>
          <w:spacing w:val="3"/>
        </w:rPr>
        <w:t>的靶组织中去。因</w:t>
      </w:r>
      <w:r>
        <w:rPr>
          <w:rFonts w:ascii="宋体" w:eastAsia="宋体" w:hAnsi="宋体" w:cs="宋体"/>
        </w:rPr>
        <w:t xml:space="preserve"> </w:t>
      </w:r>
      <w:r>
        <w:rPr>
          <w:rFonts w:ascii="宋体" w:eastAsia="宋体" w:hAnsi="宋体" w:cs="宋体"/>
          <w:spacing w:val="1"/>
        </w:rPr>
        <w:t>此，肝内维生素A</w:t>
      </w:r>
      <w:r>
        <w:rPr>
          <w:rFonts w:ascii="宋体" w:eastAsia="宋体" w:hAnsi="宋体" w:cs="宋体"/>
          <w:spacing w:val="10"/>
        </w:rPr>
        <w:t xml:space="preserve"> </w:t>
      </w:r>
      <w:r>
        <w:rPr>
          <w:rFonts w:ascii="宋体" w:eastAsia="宋体" w:hAnsi="宋体" w:cs="宋体"/>
          <w:spacing w:val="1"/>
        </w:rPr>
        <w:t>的储存量能影响维生素</w:t>
      </w:r>
      <w:r>
        <w:rPr>
          <w:rFonts w:ascii="宋体" w:eastAsia="宋体" w:hAnsi="宋体" w:cs="宋体"/>
          <w:spacing w:val="-50"/>
        </w:rPr>
        <w:t xml:space="preserve"> </w:t>
      </w:r>
      <w:r>
        <w:rPr>
          <w:rFonts w:ascii="宋体" w:eastAsia="宋体" w:hAnsi="宋体" w:cs="宋体"/>
          <w:spacing w:val="1"/>
        </w:rPr>
        <w:t>A</w:t>
      </w:r>
      <w:r>
        <w:rPr>
          <w:rFonts w:ascii="宋体" w:eastAsia="宋体" w:hAnsi="宋体" w:cs="宋体"/>
          <w:spacing w:val="2"/>
        </w:rPr>
        <w:t xml:space="preserve"> </w:t>
      </w:r>
      <w:r>
        <w:rPr>
          <w:rFonts w:ascii="宋体" w:eastAsia="宋体" w:hAnsi="宋体" w:cs="宋体"/>
          <w:spacing w:val="1"/>
        </w:rPr>
        <w:t>的代谢率。维生素A</w:t>
      </w:r>
      <w:r>
        <w:rPr>
          <w:rFonts w:ascii="宋体" w:eastAsia="宋体" w:hAnsi="宋体" w:cs="宋体"/>
          <w:spacing w:val="11"/>
        </w:rPr>
        <w:t xml:space="preserve"> </w:t>
      </w:r>
      <w:r>
        <w:rPr>
          <w:rFonts w:ascii="宋体" w:eastAsia="宋体" w:hAnsi="宋体" w:cs="宋体"/>
          <w:spacing w:val="1"/>
        </w:rPr>
        <w:t>在体内平均半</w:t>
      </w:r>
    </w:p>
    <w:p w:rsidR="00EA40A3" w:rsidRDefault="00E86C16">
      <w:pPr>
        <w:spacing w:before="76" w:line="241" w:lineRule="auto"/>
        <w:ind w:right="109"/>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121</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944" w:bottom="400" w:left="919" w:header="0" w:footer="0" w:gutter="0"/>
          <w:cols w:space="720"/>
        </w:sectPr>
      </w:pPr>
    </w:p>
    <w:p w:rsidR="00EA40A3" w:rsidRDefault="00EA40A3">
      <w:pPr>
        <w:spacing w:line="280" w:lineRule="auto"/>
      </w:pPr>
    </w:p>
    <w:p w:rsidR="00EA40A3" w:rsidRDefault="00EA40A3">
      <w:pPr>
        <w:spacing w:line="280" w:lineRule="auto"/>
      </w:pPr>
    </w:p>
    <w:p w:rsidR="00EA40A3" w:rsidRDefault="00E86C16">
      <w:pPr>
        <w:spacing w:before="71" w:line="248" w:lineRule="auto"/>
        <w:ind w:right="55"/>
        <w:jc w:val="both"/>
        <w:rPr>
          <w:rFonts w:ascii="宋体" w:eastAsia="宋体" w:hAnsi="宋体" w:cs="宋体"/>
          <w:sz w:val="22"/>
          <w:szCs w:val="22"/>
        </w:rPr>
      </w:pPr>
      <w:r>
        <w:rPr>
          <w:rFonts w:ascii="宋体" w:eastAsia="宋体" w:hAnsi="宋体" w:cs="宋体"/>
          <w:spacing w:val="-8"/>
          <w:sz w:val="22"/>
          <w:szCs w:val="22"/>
        </w:rPr>
        <w:t>衰期为128～154d, 当无维生素A 摄入时，每日肝脏中消耗的速度约</w:t>
      </w:r>
      <w:r>
        <w:rPr>
          <w:rFonts w:ascii="宋体" w:eastAsia="宋体" w:hAnsi="宋体" w:cs="宋体"/>
          <w:spacing w:val="-9"/>
          <w:sz w:val="22"/>
          <w:szCs w:val="22"/>
        </w:rPr>
        <w:t>为其含量的</w:t>
      </w:r>
      <w:r>
        <w:rPr>
          <w:rFonts w:ascii="宋体" w:eastAsia="宋体" w:hAnsi="宋体" w:cs="宋体"/>
          <w:sz w:val="22"/>
          <w:szCs w:val="22"/>
        </w:rPr>
        <w:t xml:space="preserve"> </w:t>
      </w:r>
      <w:r>
        <w:rPr>
          <w:rFonts w:ascii="宋体" w:eastAsia="宋体" w:hAnsi="宋体" w:cs="宋体"/>
          <w:spacing w:val="-2"/>
          <w:sz w:val="22"/>
          <w:szCs w:val="22"/>
        </w:rPr>
        <w:t>0.5%。通常体内的维生素A</w:t>
      </w:r>
      <w:r>
        <w:rPr>
          <w:rFonts w:ascii="宋体" w:eastAsia="宋体" w:hAnsi="宋体" w:cs="宋体"/>
          <w:spacing w:val="-9"/>
          <w:sz w:val="22"/>
          <w:szCs w:val="22"/>
        </w:rPr>
        <w:t xml:space="preserve"> </w:t>
      </w:r>
      <w:r>
        <w:rPr>
          <w:rFonts w:ascii="宋体" w:eastAsia="宋体" w:hAnsi="宋体" w:cs="宋体"/>
          <w:spacing w:val="-2"/>
          <w:sz w:val="22"/>
          <w:szCs w:val="22"/>
        </w:rPr>
        <w:t>可被羟化、环氧化、脱水和碳-碳键</w:t>
      </w:r>
      <w:r>
        <w:rPr>
          <w:rFonts w:ascii="宋体" w:eastAsia="宋体" w:hAnsi="宋体" w:cs="宋体"/>
          <w:spacing w:val="-3"/>
          <w:sz w:val="22"/>
          <w:szCs w:val="22"/>
        </w:rPr>
        <w:t>氧化分裂等作</w:t>
      </w:r>
      <w:r>
        <w:rPr>
          <w:rFonts w:ascii="宋体" w:eastAsia="宋体" w:hAnsi="宋体" w:cs="宋体"/>
          <w:sz w:val="22"/>
          <w:szCs w:val="22"/>
        </w:rPr>
        <w:t xml:space="preserve"> </w:t>
      </w:r>
      <w:r>
        <w:rPr>
          <w:rFonts w:ascii="宋体" w:eastAsia="宋体" w:hAnsi="宋体" w:cs="宋体"/>
          <w:spacing w:val="-18"/>
          <w:sz w:val="22"/>
          <w:szCs w:val="22"/>
        </w:rPr>
        <w:t>用而失去活性。</w:t>
      </w:r>
    </w:p>
    <w:p w:rsidR="00EA40A3" w:rsidRDefault="00E86C16">
      <w:pPr>
        <w:spacing w:before="203" w:line="222" w:lineRule="auto"/>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pacing w:val="-36"/>
          <w:sz w:val="22"/>
          <w:szCs w:val="22"/>
        </w:rPr>
        <w:t xml:space="preserve"> </w:t>
      </w:r>
      <w:r>
        <w:rPr>
          <w:rFonts w:ascii="仿宋" w:eastAsia="仿宋" w:hAnsi="仿宋" w:cs="仿宋"/>
          <w:spacing w:val="13"/>
          <w:sz w:val="22"/>
          <w:szCs w:val="22"/>
        </w:rPr>
        <w:t>维生素A</w:t>
      </w:r>
      <w:r>
        <w:rPr>
          <w:rFonts w:ascii="仿宋" w:eastAsia="仿宋" w:hAnsi="仿宋" w:cs="仿宋"/>
          <w:spacing w:val="41"/>
          <w:sz w:val="22"/>
          <w:szCs w:val="22"/>
        </w:rPr>
        <w:t xml:space="preserve"> </w:t>
      </w:r>
      <w:r>
        <w:rPr>
          <w:rFonts w:ascii="仿宋" w:eastAsia="仿宋" w:hAnsi="仿宋" w:cs="仿宋"/>
          <w:spacing w:val="13"/>
          <w:sz w:val="22"/>
          <w:szCs w:val="22"/>
        </w:rPr>
        <w:t>的生理功能</w:t>
      </w:r>
    </w:p>
    <w:p w:rsidR="00EA40A3" w:rsidRDefault="00E86C16">
      <w:pPr>
        <w:spacing w:before="189" w:line="243" w:lineRule="auto"/>
        <w:ind w:right="79" w:firstLine="419"/>
        <w:jc w:val="both"/>
        <w:rPr>
          <w:rFonts w:ascii="宋体" w:eastAsia="宋体" w:hAnsi="宋体" w:cs="宋体"/>
          <w:sz w:val="22"/>
          <w:szCs w:val="22"/>
        </w:rPr>
      </w:pPr>
      <w:r>
        <w:rPr>
          <w:rFonts w:ascii="宋体" w:eastAsia="宋体" w:hAnsi="宋体" w:cs="宋体"/>
          <w:spacing w:val="-4"/>
          <w:sz w:val="22"/>
          <w:szCs w:val="22"/>
        </w:rPr>
        <w:t>(1)维持正常视觉：维生素</w:t>
      </w:r>
      <w:r>
        <w:rPr>
          <w:rFonts w:ascii="宋体" w:eastAsia="宋体" w:hAnsi="宋体" w:cs="宋体"/>
          <w:spacing w:val="-62"/>
          <w:sz w:val="22"/>
          <w:szCs w:val="22"/>
        </w:rPr>
        <w:t xml:space="preserve"> </w:t>
      </w:r>
      <w:r>
        <w:rPr>
          <w:rFonts w:ascii="宋体" w:eastAsia="宋体" w:hAnsi="宋体" w:cs="宋体"/>
          <w:spacing w:val="-4"/>
          <w:sz w:val="22"/>
          <w:szCs w:val="22"/>
        </w:rPr>
        <w:t>A</w:t>
      </w:r>
      <w:r>
        <w:rPr>
          <w:rFonts w:ascii="宋体" w:eastAsia="宋体" w:hAnsi="宋体" w:cs="宋体"/>
          <w:spacing w:val="-8"/>
          <w:sz w:val="22"/>
          <w:szCs w:val="22"/>
        </w:rPr>
        <w:t xml:space="preserve"> </w:t>
      </w:r>
      <w:r>
        <w:rPr>
          <w:rFonts w:ascii="宋体" w:eastAsia="宋体" w:hAnsi="宋体" w:cs="宋体"/>
          <w:spacing w:val="-4"/>
          <w:sz w:val="22"/>
          <w:szCs w:val="22"/>
        </w:rPr>
        <w:t>最常见的作用是暗光下保持一定视力，与预</w:t>
      </w:r>
      <w:r>
        <w:rPr>
          <w:rFonts w:ascii="宋体" w:eastAsia="宋体" w:hAnsi="宋体" w:cs="宋体"/>
          <w:sz w:val="22"/>
          <w:szCs w:val="22"/>
        </w:rPr>
        <w:t xml:space="preserve"> </w:t>
      </w:r>
      <w:r>
        <w:rPr>
          <w:rFonts w:ascii="宋体" w:eastAsia="宋体" w:hAnsi="宋体" w:cs="宋体"/>
          <w:spacing w:val="-13"/>
          <w:sz w:val="22"/>
          <w:szCs w:val="22"/>
        </w:rPr>
        <w:t>防夜盲症有关。人眼视网膜含有两种光接收器，即暗光下敏感的杆状细胞及对强</w:t>
      </w:r>
      <w:r>
        <w:rPr>
          <w:rFonts w:ascii="宋体" w:eastAsia="宋体" w:hAnsi="宋体" w:cs="宋体"/>
          <w:spacing w:val="14"/>
          <w:sz w:val="22"/>
          <w:szCs w:val="22"/>
        </w:rPr>
        <w:t xml:space="preserve"> </w:t>
      </w:r>
      <w:r>
        <w:rPr>
          <w:rFonts w:ascii="宋体" w:eastAsia="宋体" w:hAnsi="宋体" w:cs="宋体"/>
          <w:spacing w:val="-13"/>
          <w:sz w:val="22"/>
          <w:szCs w:val="22"/>
        </w:rPr>
        <w:t>光敏感的锥状细胞。视紫红质是视网膜杆状细胞内的光敏感色素，由视蛋白和视</w:t>
      </w:r>
      <w:r>
        <w:rPr>
          <w:rFonts w:ascii="宋体" w:eastAsia="宋体" w:hAnsi="宋体" w:cs="宋体"/>
          <w:spacing w:val="12"/>
          <w:sz w:val="22"/>
          <w:szCs w:val="22"/>
        </w:rPr>
        <w:t xml:space="preserve"> </w:t>
      </w:r>
      <w:r>
        <w:rPr>
          <w:rFonts w:ascii="宋体" w:eastAsia="宋体" w:hAnsi="宋体" w:cs="宋体"/>
          <w:spacing w:val="-18"/>
          <w:sz w:val="22"/>
          <w:szCs w:val="22"/>
        </w:rPr>
        <w:t>黄醛缩合而成。</w:t>
      </w:r>
    </w:p>
    <w:p w:rsidR="00EA40A3" w:rsidRDefault="00E86C16">
      <w:pPr>
        <w:spacing w:before="71" w:line="249" w:lineRule="auto"/>
        <w:ind w:firstLine="419"/>
        <w:jc w:val="both"/>
        <w:rPr>
          <w:rFonts w:ascii="宋体" w:eastAsia="宋体" w:hAnsi="宋体" w:cs="宋体"/>
          <w:sz w:val="22"/>
          <w:szCs w:val="22"/>
        </w:rPr>
      </w:pPr>
      <w:r>
        <w:rPr>
          <w:rFonts w:ascii="宋体" w:eastAsia="宋体" w:hAnsi="宋体" w:cs="宋体"/>
          <w:spacing w:val="-9"/>
          <w:sz w:val="22"/>
          <w:szCs w:val="22"/>
        </w:rPr>
        <w:t>视紫红质感光后，视黄醛的空间构型发生改变，最后由11-顺式</w:t>
      </w:r>
      <w:r>
        <w:rPr>
          <w:rFonts w:ascii="宋体" w:eastAsia="宋体" w:hAnsi="宋体" w:cs="宋体"/>
          <w:spacing w:val="-10"/>
          <w:sz w:val="22"/>
          <w:szCs w:val="22"/>
        </w:rPr>
        <w:t>视黄醛转变</w:t>
      </w:r>
      <w:r>
        <w:rPr>
          <w:rFonts w:ascii="宋体" w:eastAsia="宋体" w:hAnsi="宋体" w:cs="宋体"/>
          <w:sz w:val="22"/>
          <w:szCs w:val="22"/>
        </w:rPr>
        <w:t xml:space="preserve"> </w:t>
      </w:r>
      <w:r>
        <w:rPr>
          <w:rFonts w:ascii="宋体" w:eastAsia="宋体" w:hAnsi="宋体" w:cs="宋体"/>
          <w:spacing w:val="-4"/>
          <w:sz w:val="22"/>
          <w:szCs w:val="22"/>
        </w:rPr>
        <w:t>为全反型视黄醛，以致与视蛋白分离(即视紫红质被漂白),此变</w:t>
      </w:r>
      <w:r>
        <w:rPr>
          <w:rFonts w:ascii="宋体" w:eastAsia="宋体" w:hAnsi="宋体" w:cs="宋体"/>
          <w:spacing w:val="-5"/>
          <w:sz w:val="22"/>
          <w:szCs w:val="22"/>
        </w:rPr>
        <w:t>化引发神经冲</w:t>
      </w:r>
      <w:r>
        <w:rPr>
          <w:rFonts w:ascii="宋体" w:eastAsia="宋体" w:hAnsi="宋体" w:cs="宋体"/>
          <w:sz w:val="22"/>
          <w:szCs w:val="22"/>
        </w:rPr>
        <w:t xml:space="preserve">  </w:t>
      </w:r>
      <w:r>
        <w:rPr>
          <w:rFonts w:ascii="宋体" w:eastAsia="宋体" w:hAnsi="宋体" w:cs="宋体"/>
          <w:spacing w:val="-12"/>
          <w:sz w:val="22"/>
          <w:szCs w:val="22"/>
        </w:rPr>
        <w:t>动，传入大脑即变为影像，这一过程称光适应。</w:t>
      </w:r>
      <w:r>
        <w:rPr>
          <w:rFonts w:ascii="宋体" w:eastAsia="宋体" w:hAnsi="宋体" w:cs="宋体"/>
          <w:spacing w:val="-13"/>
          <w:sz w:val="22"/>
          <w:szCs w:val="22"/>
        </w:rPr>
        <w:t>此时若进入暗处，因对光敏感的</w:t>
      </w:r>
      <w:r>
        <w:rPr>
          <w:rFonts w:ascii="宋体" w:eastAsia="宋体" w:hAnsi="宋体" w:cs="宋体"/>
          <w:sz w:val="22"/>
          <w:szCs w:val="22"/>
        </w:rPr>
        <w:t xml:space="preserve"> </w:t>
      </w:r>
      <w:r>
        <w:rPr>
          <w:rFonts w:ascii="宋体" w:eastAsia="宋体" w:hAnsi="宋体" w:cs="宋体"/>
          <w:spacing w:val="-9"/>
          <w:sz w:val="22"/>
          <w:szCs w:val="22"/>
        </w:rPr>
        <w:t>视紫红质消失，故不能见物。但若有充足的全反型视黄醛(来自肝脏及视紫</w:t>
      </w:r>
      <w:r>
        <w:rPr>
          <w:rFonts w:ascii="宋体" w:eastAsia="宋体" w:hAnsi="宋体" w:cs="宋体"/>
          <w:spacing w:val="-10"/>
          <w:sz w:val="22"/>
          <w:szCs w:val="22"/>
        </w:rPr>
        <w:t>红质</w:t>
      </w:r>
      <w:r>
        <w:rPr>
          <w:rFonts w:ascii="宋体" w:eastAsia="宋体" w:hAnsi="宋体" w:cs="宋体"/>
          <w:sz w:val="22"/>
          <w:szCs w:val="22"/>
        </w:rPr>
        <w:t xml:space="preserve"> </w:t>
      </w:r>
      <w:r>
        <w:rPr>
          <w:rFonts w:ascii="宋体" w:eastAsia="宋体" w:hAnsi="宋体" w:cs="宋体"/>
          <w:spacing w:val="-3"/>
          <w:sz w:val="22"/>
          <w:szCs w:val="22"/>
        </w:rPr>
        <w:t>漂白产物)又可被视黄醛异构酶异构化，形成11-顺式视黄醇，接着氧化为1</w:t>
      </w:r>
      <w:r>
        <w:rPr>
          <w:rFonts w:ascii="宋体" w:eastAsia="宋体" w:hAnsi="宋体" w:cs="宋体"/>
          <w:spacing w:val="-4"/>
          <w:sz w:val="22"/>
          <w:szCs w:val="22"/>
        </w:rPr>
        <w:t>1-</w:t>
      </w:r>
      <w:r>
        <w:rPr>
          <w:rFonts w:ascii="宋体" w:eastAsia="宋体" w:hAnsi="宋体" w:cs="宋体"/>
          <w:sz w:val="22"/>
          <w:szCs w:val="22"/>
        </w:rPr>
        <w:t xml:space="preserve"> </w:t>
      </w:r>
      <w:r>
        <w:rPr>
          <w:rFonts w:ascii="宋体" w:eastAsia="宋体" w:hAnsi="宋体" w:cs="宋体"/>
          <w:spacing w:val="-13"/>
          <w:sz w:val="22"/>
          <w:szCs w:val="22"/>
        </w:rPr>
        <w:t>顺式视黄醛，并重新合成视紫红质，恢复对光的敏感性，从而能在一定照度的暗</w:t>
      </w:r>
      <w:r>
        <w:rPr>
          <w:rFonts w:ascii="宋体" w:eastAsia="宋体" w:hAnsi="宋体" w:cs="宋体"/>
          <w:spacing w:val="14"/>
          <w:sz w:val="22"/>
          <w:szCs w:val="22"/>
        </w:rPr>
        <w:t xml:space="preserve"> </w:t>
      </w:r>
      <w:r>
        <w:rPr>
          <w:rFonts w:ascii="宋体" w:eastAsia="宋体" w:hAnsi="宋体" w:cs="宋体"/>
          <w:spacing w:val="-6"/>
          <w:sz w:val="22"/>
          <w:szCs w:val="22"/>
        </w:rPr>
        <w:t>处见物，这一过程称为暗适应。暗适应的快慢取决于进入暗处前照射光的</w:t>
      </w:r>
      <w:r>
        <w:rPr>
          <w:rFonts w:ascii="宋体" w:eastAsia="宋体" w:hAnsi="宋体" w:cs="宋体"/>
          <w:spacing w:val="-7"/>
          <w:sz w:val="22"/>
          <w:szCs w:val="22"/>
        </w:rPr>
        <w:t>性质</w:t>
      </w:r>
      <w:r>
        <w:rPr>
          <w:rFonts w:ascii="宋体" w:eastAsia="宋体" w:hAnsi="宋体" w:cs="宋体"/>
          <w:sz w:val="22"/>
          <w:szCs w:val="22"/>
        </w:rPr>
        <w:t xml:space="preserve"> </w:t>
      </w:r>
      <w:r>
        <w:rPr>
          <w:rFonts w:ascii="宋体" w:eastAsia="宋体" w:hAnsi="宋体" w:cs="宋体"/>
          <w:spacing w:val="-7"/>
          <w:sz w:val="22"/>
          <w:szCs w:val="22"/>
        </w:rPr>
        <w:t>(波长、强度、照射时间)以及机体内维生素A</w:t>
      </w:r>
      <w:r>
        <w:rPr>
          <w:rFonts w:ascii="宋体" w:eastAsia="宋体" w:hAnsi="宋体" w:cs="宋体"/>
          <w:spacing w:val="23"/>
          <w:sz w:val="22"/>
          <w:szCs w:val="22"/>
        </w:rPr>
        <w:t xml:space="preserve"> </w:t>
      </w:r>
      <w:r>
        <w:rPr>
          <w:rFonts w:ascii="宋体" w:eastAsia="宋体" w:hAnsi="宋体" w:cs="宋体"/>
          <w:spacing w:val="-7"/>
          <w:sz w:val="22"/>
          <w:szCs w:val="22"/>
        </w:rPr>
        <w:t>的营养水平。若将照射光的条件</w:t>
      </w:r>
      <w:r>
        <w:rPr>
          <w:rFonts w:ascii="宋体" w:eastAsia="宋体" w:hAnsi="宋体" w:cs="宋体"/>
          <w:sz w:val="22"/>
          <w:szCs w:val="22"/>
        </w:rPr>
        <w:t xml:space="preserve"> </w:t>
      </w:r>
      <w:r>
        <w:rPr>
          <w:rFonts w:ascii="宋体" w:eastAsia="宋体" w:hAnsi="宋体" w:cs="宋体"/>
          <w:spacing w:val="-10"/>
          <w:sz w:val="22"/>
          <w:szCs w:val="22"/>
        </w:rPr>
        <w:t>固定下来，则暗适应的快慢只决定于机体维生素A</w:t>
      </w:r>
      <w:r>
        <w:rPr>
          <w:rFonts w:ascii="宋体" w:eastAsia="宋体" w:hAnsi="宋体" w:cs="宋体"/>
          <w:spacing w:val="1"/>
          <w:sz w:val="22"/>
          <w:szCs w:val="22"/>
        </w:rPr>
        <w:t xml:space="preserve"> </w:t>
      </w:r>
      <w:r>
        <w:rPr>
          <w:rFonts w:ascii="宋体" w:eastAsia="宋体" w:hAnsi="宋体" w:cs="宋体"/>
          <w:spacing w:val="-10"/>
          <w:sz w:val="22"/>
          <w:szCs w:val="22"/>
        </w:rPr>
        <w:t>的营养水平，维生素</w:t>
      </w:r>
      <w:r>
        <w:rPr>
          <w:rFonts w:ascii="宋体" w:eastAsia="宋体" w:hAnsi="宋体" w:cs="宋体"/>
          <w:spacing w:val="-11"/>
          <w:sz w:val="22"/>
          <w:szCs w:val="22"/>
        </w:rPr>
        <w:t>A</w:t>
      </w:r>
      <w:r>
        <w:rPr>
          <w:rFonts w:ascii="宋体" w:eastAsia="宋体" w:hAnsi="宋体" w:cs="宋体"/>
          <w:spacing w:val="-9"/>
          <w:sz w:val="22"/>
          <w:szCs w:val="22"/>
        </w:rPr>
        <w:t xml:space="preserve"> </w:t>
      </w:r>
      <w:r>
        <w:rPr>
          <w:rFonts w:ascii="宋体" w:eastAsia="宋体" w:hAnsi="宋体" w:cs="宋体"/>
          <w:spacing w:val="-11"/>
          <w:sz w:val="22"/>
          <w:szCs w:val="22"/>
        </w:rPr>
        <w:t>充足，</w:t>
      </w:r>
      <w:r>
        <w:rPr>
          <w:rFonts w:ascii="宋体" w:eastAsia="宋体" w:hAnsi="宋体" w:cs="宋体"/>
          <w:sz w:val="22"/>
          <w:szCs w:val="22"/>
        </w:rPr>
        <w:t xml:space="preserve"> </w:t>
      </w:r>
      <w:r>
        <w:rPr>
          <w:rFonts w:ascii="宋体" w:eastAsia="宋体" w:hAnsi="宋体" w:cs="宋体"/>
          <w:spacing w:val="-7"/>
          <w:sz w:val="22"/>
          <w:szCs w:val="22"/>
        </w:rPr>
        <w:t>则视紫红质再生快而完全，暗适应时间短；如果维生素A</w:t>
      </w:r>
      <w:r>
        <w:rPr>
          <w:rFonts w:ascii="宋体" w:eastAsia="宋体" w:hAnsi="宋体" w:cs="宋体"/>
          <w:spacing w:val="28"/>
          <w:sz w:val="22"/>
          <w:szCs w:val="22"/>
        </w:rPr>
        <w:t xml:space="preserve"> </w:t>
      </w:r>
      <w:r>
        <w:rPr>
          <w:rFonts w:ascii="宋体" w:eastAsia="宋体" w:hAnsi="宋体" w:cs="宋体"/>
          <w:spacing w:val="-7"/>
          <w:sz w:val="22"/>
          <w:szCs w:val="22"/>
        </w:rPr>
        <w:t>不足，则暗适应时间</w:t>
      </w:r>
      <w:r>
        <w:rPr>
          <w:rFonts w:ascii="宋体" w:eastAsia="宋体" w:hAnsi="宋体" w:cs="宋体"/>
          <w:sz w:val="22"/>
          <w:szCs w:val="22"/>
        </w:rPr>
        <w:t xml:space="preserve"> </w:t>
      </w:r>
      <w:r>
        <w:rPr>
          <w:rFonts w:ascii="宋体" w:eastAsia="宋体" w:hAnsi="宋体" w:cs="宋体"/>
          <w:spacing w:val="-3"/>
          <w:sz w:val="22"/>
          <w:szCs w:val="22"/>
        </w:rPr>
        <w:t>长，严重时可造成夜盲症(雀盲),病人往往在黄昏或明亮处进入暗处</w:t>
      </w:r>
      <w:r>
        <w:rPr>
          <w:rFonts w:ascii="宋体" w:eastAsia="宋体" w:hAnsi="宋体" w:cs="宋体"/>
          <w:spacing w:val="-4"/>
          <w:sz w:val="22"/>
          <w:szCs w:val="22"/>
        </w:rPr>
        <w:t>时，不能</w:t>
      </w:r>
      <w:r>
        <w:rPr>
          <w:rFonts w:ascii="宋体" w:eastAsia="宋体" w:hAnsi="宋体" w:cs="宋体"/>
          <w:sz w:val="22"/>
          <w:szCs w:val="22"/>
        </w:rPr>
        <w:t xml:space="preserve"> </w:t>
      </w:r>
      <w:r>
        <w:rPr>
          <w:rFonts w:ascii="宋体" w:eastAsia="宋体" w:hAnsi="宋体" w:cs="宋体"/>
          <w:spacing w:val="-16"/>
          <w:sz w:val="22"/>
          <w:szCs w:val="22"/>
        </w:rPr>
        <w:t>看清物体。</w:t>
      </w:r>
    </w:p>
    <w:p w:rsidR="00EA40A3" w:rsidRDefault="00E86C16">
      <w:pPr>
        <w:spacing w:before="121" w:line="247" w:lineRule="auto"/>
        <w:ind w:right="80" w:firstLine="419"/>
        <w:jc w:val="both"/>
        <w:rPr>
          <w:rFonts w:ascii="宋体" w:eastAsia="宋体" w:hAnsi="宋体" w:cs="宋体"/>
          <w:sz w:val="22"/>
          <w:szCs w:val="22"/>
        </w:rPr>
      </w:pPr>
      <w:r>
        <w:rPr>
          <w:rFonts w:ascii="宋体" w:eastAsia="宋体" w:hAnsi="宋体" w:cs="宋体"/>
          <w:spacing w:val="-9"/>
          <w:sz w:val="22"/>
          <w:szCs w:val="22"/>
        </w:rPr>
        <w:t>(2)维持上皮细胞结构的完整性：上皮组织遍布于全身各处，如</w:t>
      </w:r>
      <w:r>
        <w:rPr>
          <w:rFonts w:ascii="宋体" w:eastAsia="宋体" w:hAnsi="宋体" w:cs="宋体"/>
          <w:spacing w:val="-10"/>
          <w:sz w:val="22"/>
          <w:szCs w:val="22"/>
        </w:rPr>
        <w:t>表皮、呼吸</w:t>
      </w:r>
      <w:r>
        <w:rPr>
          <w:rFonts w:ascii="宋体" w:eastAsia="宋体" w:hAnsi="宋体" w:cs="宋体"/>
          <w:sz w:val="22"/>
          <w:szCs w:val="22"/>
        </w:rPr>
        <w:t xml:space="preserve"> </w:t>
      </w:r>
      <w:r>
        <w:rPr>
          <w:rFonts w:ascii="宋体" w:eastAsia="宋体" w:hAnsi="宋体" w:cs="宋体"/>
          <w:spacing w:val="-8"/>
          <w:sz w:val="22"/>
          <w:szCs w:val="22"/>
        </w:rPr>
        <w:t>道、消化道、泌尿系统及腺体组织。维生素</w:t>
      </w:r>
      <w:r>
        <w:rPr>
          <w:rFonts w:ascii="宋体" w:eastAsia="宋体" w:hAnsi="宋体" w:cs="宋体"/>
          <w:spacing w:val="-60"/>
          <w:sz w:val="22"/>
          <w:szCs w:val="22"/>
        </w:rPr>
        <w:t xml:space="preserve"> </w:t>
      </w:r>
      <w:r>
        <w:rPr>
          <w:rFonts w:ascii="宋体" w:eastAsia="宋体" w:hAnsi="宋体" w:cs="宋体"/>
          <w:spacing w:val="-8"/>
          <w:sz w:val="22"/>
          <w:szCs w:val="22"/>
        </w:rPr>
        <w:t>A</w:t>
      </w:r>
      <w:r>
        <w:rPr>
          <w:rFonts w:ascii="宋体" w:eastAsia="宋体" w:hAnsi="宋体" w:cs="宋体"/>
          <w:spacing w:val="11"/>
          <w:sz w:val="22"/>
          <w:szCs w:val="22"/>
        </w:rPr>
        <w:t xml:space="preserve"> </w:t>
      </w:r>
      <w:r>
        <w:rPr>
          <w:rFonts w:ascii="宋体" w:eastAsia="宋体" w:hAnsi="宋体" w:cs="宋体"/>
          <w:spacing w:val="-8"/>
          <w:sz w:val="22"/>
          <w:szCs w:val="22"/>
        </w:rPr>
        <w:t>在维持</w:t>
      </w:r>
      <w:r>
        <w:rPr>
          <w:rFonts w:ascii="宋体" w:eastAsia="宋体" w:hAnsi="宋体" w:cs="宋体"/>
          <w:spacing w:val="-9"/>
          <w:sz w:val="22"/>
          <w:szCs w:val="22"/>
        </w:rPr>
        <w:t>上皮细胞的正常生长和分</w:t>
      </w:r>
      <w:r>
        <w:rPr>
          <w:rFonts w:ascii="宋体" w:eastAsia="宋体" w:hAnsi="宋体" w:cs="宋体"/>
          <w:sz w:val="22"/>
          <w:szCs w:val="22"/>
        </w:rPr>
        <w:t xml:space="preserve"> </w:t>
      </w:r>
      <w:r>
        <w:rPr>
          <w:rFonts w:ascii="宋体" w:eastAsia="宋体" w:hAnsi="宋体" w:cs="宋体"/>
          <w:spacing w:val="-7"/>
          <w:sz w:val="22"/>
          <w:szCs w:val="22"/>
        </w:rPr>
        <w:t>化中起着十分重要的作用。维生素A</w:t>
      </w:r>
      <w:r>
        <w:rPr>
          <w:rFonts w:ascii="宋体" w:eastAsia="宋体" w:hAnsi="宋体" w:cs="宋体"/>
          <w:spacing w:val="16"/>
          <w:sz w:val="22"/>
          <w:szCs w:val="22"/>
        </w:rPr>
        <w:t xml:space="preserve"> </w:t>
      </w:r>
      <w:r>
        <w:rPr>
          <w:rFonts w:ascii="宋体" w:eastAsia="宋体" w:hAnsi="宋体" w:cs="宋体"/>
          <w:spacing w:val="-7"/>
          <w:sz w:val="22"/>
          <w:szCs w:val="22"/>
        </w:rPr>
        <w:t>缺乏时，可引起上皮组织改变，如腺体分</w:t>
      </w:r>
      <w:r>
        <w:rPr>
          <w:rFonts w:ascii="宋体" w:eastAsia="宋体" w:hAnsi="宋体" w:cs="宋体"/>
          <w:sz w:val="22"/>
          <w:szCs w:val="22"/>
        </w:rPr>
        <w:t xml:space="preserve"> </w:t>
      </w:r>
      <w:r>
        <w:rPr>
          <w:rFonts w:ascii="宋体" w:eastAsia="宋体" w:hAnsi="宋体" w:cs="宋体"/>
          <w:spacing w:val="-7"/>
          <w:sz w:val="22"/>
          <w:szCs w:val="22"/>
        </w:rPr>
        <w:t>泌减少、皮肤干燥、角化过度及增生、脱屑等，最终导致相应组织器官功能障</w:t>
      </w:r>
      <w:r>
        <w:rPr>
          <w:rFonts w:ascii="宋体" w:eastAsia="宋体" w:hAnsi="宋体" w:cs="宋体"/>
          <w:spacing w:val="16"/>
          <w:sz w:val="22"/>
          <w:szCs w:val="22"/>
        </w:rPr>
        <w:t xml:space="preserve"> </w:t>
      </w:r>
      <w:r>
        <w:rPr>
          <w:rFonts w:ascii="宋体" w:eastAsia="宋体" w:hAnsi="宋体" w:cs="宋体"/>
          <w:spacing w:val="-8"/>
          <w:sz w:val="22"/>
          <w:szCs w:val="22"/>
        </w:rPr>
        <w:t>碍。其可能的作用机制是：维生素</w:t>
      </w:r>
      <w:r>
        <w:rPr>
          <w:rFonts w:ascii="宋体" w:eastAsia="宋体" w:hAnsi="宋体" w:cs="宋体"/>
          <w:spacing w:val="-60"/>
          <w:sz w:val="22"/>
          <w:szCs w:val="22"/>
        </w:rPr>
        <w:t xml:space="preserve"> </w:t>
      </w:r>
      <w:r>
        <w:rPr>
          <w:rFonts w:ascii="宋体" w:eastAsia="宋体" w:hAnsi="宋体" w:cs="宋体"/>
          <w:spacing w:val="-8"/>
          <w:sz w:val="22"/>
          <w:szCs w:val="22"/>
        </w:rPr>
        <w:t>A</w:t>
      </w:r>
      <w:r>
        <w:rPr>
          <w:rFonts w:ascii="宋体" w:eastAsia="宋体" w:hAnsi="宋体" w:cs="宋体"/>
          <w:spacing w:val="1"/>
          <w:sz w:val="22"/>
          <w:szCs w:val="22"/>
        </w:rPr>
        <w:t xml:space="preserve"> </w:t>
      </w:r>
      <w:r>
        <w:rPr>
          <w:rFonts w:ascii="宋体" w:eastAsia="宋体" w:hAnsi="宋体" w:cs="宋体"/>
          <w:spacing w:val="-8"/>
          <w:sz w:val="22"/>
          <w:szCs w:val="22"/>
        </w:rPr>
        <w:t>有可能参与糖基转移酶系统的功能，对</w:t>
      </w:r>
      <w:r>
        <w:rPr>
          <w:rFonts w:ascii="宋体" w:eastAsia="宋体" w:hAnsi="宋体" w:cs="宋体"/>
          <w:spacing w:val="-9"/>
          <w:sz w:val="22"/>
          <w:szCs w:val="22"/>
        </w:rPr>
        <w:t>糖</w:t>
      </w:r>
      <w:r>
        <w:rPr>
          <w:rFonts w:ascii="宋体" w:eastAsia="宋体" w:hAnsi="宋体" w:cs="宋体"/>
          <w:sz w:val="22"/>
          <w:szCs w:val="22"/>
        </w:rPr>
        <w:t xml:space="preserve"> </w:t>
      </w:r>
      <w:r>
        <w:rPr>
          <w:rFonts w:ascii="宋体" w:eastAsia="宋体" w:hAnsi="宋体" w:cs="宋体"/>
          <w:spacing w:val="-9"/>
          <w:sz w:val="22"/>
          <w:szCs w:val="22"/>
        </w:rPr>
        <w:t>基起运转和活化作用。当维生素</w:t>
      </w:r>
      <w:r>
        <w:rPr>
          <w:rFonts w:ascii="宋体" w:eastAsia="宋体" w:hAnsi="宋体" w:cs="宋体"/>
          <w:spacing w:val="-38"/>
          <w:sz w:val="22"/>
          <w:szCs w:val="22"/>
        </w:rPr>
        <w:t xml:space="preserve"> </w:t>
      </w:r>
      <w:r>
        <w:rPr>
          <w:rFonts w:ascii="宋体" w:eastAsia="宋体" w:hAnsi="宋体" w:cs="宋体"/>
          <w:spacing w:val="-9"/>
          <w:sz w:val="22"/>
          <w:szCs w:val="22"/>
        </w:rPr>
        <w:t>A</w:t>
      </w:r>
      <w:r>
        <w:rPr>
          <w:rFonts w:ascii="宋体" w:eastAsia="宋体" w:hAnsi="宋体" w:cs="宋体"/>
          <w:spacing w:val="12"/>
          <w:sz w:val="22"/>
          <w:szCs w:val="22"/>
        </w:rPr>
        <w:t xml:space="preserve"> </w:t>
      </w:r>
      <w:r>
        <w:rPr>
          <w:rFonts w:ascii="宋体" w:eastAsia="宋体" w:hAnsi="宋体" w:cs="宋体"/>
          <w:spacing w:val="-9"/>
          <w:sz w:val="22"/>
          <w:szCs w:val="22"/>
        </w:rPr>
        <w:t>不足时，会抑制黏膜细胞中糖蛋白的生物合</w:t>
      </w:r>
      <w:r>
        <w:rPr>
          <w:rFonts w:ascii="宋体" w:eastAsia="宋体" w:hAnsi="宋体" w:cs="宋体"/>
          <w:sz w:val="22"/>
          <w:szCs w:val="22"/>
        </w:rPr>
        <w:t xml:space="preserve"> </w:t>
      </w:r>
      <w:r>
        <w:rPr>
          <w:rFonts w:ascii="宋体" w:eastAsia="宋体" w:hAnsi="宋体" w:cs="宋体"/>
          <w:spacing w:val="-16"/>
          <w:sz w:val="22"/>
          <w:szCs w:val="22"/>
        </w:rPr>
        <w:t>成，从而影响黏膜的正常功能。</w:t>
      </w:r>
    </w:p>
    <w:p w:rsidR="00EA40A3" w:rsidRDefault="00E86C16">
      <w:pPr>
        <w:spacing w:before="39" w:line="243" w:lineRule="auto"/>
        <w:ind w:right="80" w:firstLine="419"/>
        <w:jc w:val="both"/>
        <w:rPr>
          <w:rFonts w:ascii="宋体" w:eastAsia="宋体" w:hAnsi="宋体" w:cs="宋体"/>
          <w:sz w:val="22"/>
          <w:szCs w:val="22"/>
        </w:rPr>
      </w:pPr>
      <w:r>
        <w:rPr>
          <w:rFonts w:ascii="宋体" w:eastAsia="宋体" w:hAnsi="宋体" w:cs="宋体"/>
          <w:spacing w:val="-4"/>
          <w:sz w:val="22"/>
          <w:szCs w:val="22"/>
        </w:rPr>
        <w:t>(3)促进生长发育，维持正常免疫功能：维生素A</w:t>
      </w:r>
      <w:r>
        <w:rPr>
          <w:rFonts w:ascii="宋体" w:eastAsia="宋体" w:hAnsi="宋体" w:cs="宋体"/>
          <w:spacing w:val="40"/>
          <w:sz w:val="22"/>
          <w:szCs w:val="22"/>
        </w:rPr>
        <w:t xml:space="preserve"> </w:t>
      </w:r>
      <w:r>
        <w:rPr>
          <w:rFonts w:ascii="宋体" w:eastAsia="宋体" w:hAnsi="宋体" w:cs="宋体"/>
          <w:spacing w:val="-4"/>
          <w:sz w:val="22"/>
          <w:szCs w:val="22"/>
        </w:rPr>
        <w:t>可促进蛋白质的生物合</w:t>
      </w:r>
      <w:r>
        <w:rPr>
          <w:rFonts w:ascii="宋体" w:eastAsia="宋体" w:hAnsi="宋体" w:cs="宋体"/>
          <w:sz w:val="22"/>
          <w:szCs w:val="22"/>
        </w:rPr>
        <w:t xml:space="preserve"> </w:t>
      </w:r>
      <w:r>
        <w:rPr>
          <w:rFonts w:ascii="宋体" w:eastAsia="宋体" w:hAnsi="宋体" w:cs="宋体"/>
          <w:spacing w:val="-13"/>
          <w:sz w:val="22"/>
          <w:szCs w:val="22"/>
        </w:rPr>
        <w:t>成及骨细胞的分化，加速生长，并能增强机体抵抗力。美国流行病学、预防眼科</w:t>
      </w:r>
      <w:r>
        <w:rPr>
          <w:rFonts w:ascii="宋体" w:eastAsia="宋体" w:hAnsi="宋体" w:cs="宋体"/>
          <w:spacing w:val="11"/>
          <w:sz w:val="22"/>
          <w:szCs w:val="22"/>
        </w:rPr>
        <w:t xml:space="preserve"> </w:t>
      </w:r>
      <w:r>
        <w:rPr>
          <w:rFonts w:ascii="宋体" w:eastAsia="宋体" w:hAnsi="宋体" w:cs="宋体"/>
          <w:spacing w:val="-8"/>
          <w:sz w:val="22"/>
          <w:szCs w:val="22"/>
        </w:rPr>
        <w:t>专家阿尔弗雷德研究认为：维生素</w:t>
      </w:r>
      <w:r>
        <w:rPr>
          <w:rFonts w:ascii="宋体" w:eastAsia="宋体" w:hAnsi="宋体" w:cs="宋体"/>
          <w:spacing w:val="-60"/>
          <w:sz w:val="22"/>
          <w:szCs w:val="22"/>
        </w:rPr>
        <w:t xml:space="preserve"> </w:t>
      </w:r>
      <w:r>
        <w:rPr>
          <w:rFonts w:ascii="宋体" w:eastAsia="宋体" w:hAnsi="宋体" w:cs="宋体"/>
          <w:spacing w:val="-8"/>
          <w:sz w:val="22"/>
          <w:szCs w:val="22"/>
        </w:rPr>
        <w:t>A</w:t>
      </w:r>
      <w:r>
        <w:rPr>
          <w:rFonts w:ascii="宋体" w:eastAsia="宋体" w:hAnsi="宋体" w:cs="宋体"/>
          <w:spacing w:val="11"/>
          <w:sz w:val="22"/>
          <w:szCs w:val="22"/>
        </w:rPr>
        <w:t xml:space="preserve"> </w:t>
      </w:r>
      <w:r>
        <w:rPr>
          <w:rFonts w:ascii="宋体" w:eastAsia="宋体" w:hAnsi="宋体" w:cs="宋体"/>
          <w:spacing w:val="-8"/>
          <w:sz w:val="22"/>
          <w:szCs w:val="22"/>
        </w:rPr>
        <w:t>缺乏的儿童较</w:t>
      </w:r>
      <w:r>
        <w:rPr>
          <w:rFonts w:ascii="宋体" w:eastAsia="宋体" w:hAnsi="宋体" w:cs="宋体"/>
          <w:spacing w:val="-9"/>
          <w:sz w:val="22"/>
          <w:szCs w:val="22"/>
        </w:rPr>
        <w:t>正常儿童发育迟缓、易患贫</w:t>
      </w:r>
      <w:r>
        <w:rPr>
          <w:rFonts w:ascii="宋体" w:eastAsia="宋体" w:hAnsi="宋体" w:cs="宋体"/>
          <w:sz w:val="22"/>
          <w:szCs w:val="22"/>
        </w:rPr>
        <w:t xml:space="preserve"> </w:t>
      </w:r>
      <w:r>
        <w:rPr>
          <w:rFonts w:ascii="宋体" w:eastAsia="宋体" w:hAnsi="宋体" w:cs="宋体"/>
          <w:spacing w:val="-9"/>
          <w:sz w:val="22"/>
          <w:szCs w:val="22"/>
        </w:rPr>
        <w:t>血、传染病和引起死亡，其发病程度与维生素</w:t>
      </w:r>
      <w:r>
        <w:rPr>
          <w:rFonts w:ascii="宋体" w:eastAsia="宋体" w:hAnsi="宋体" w:cs="宋体"/>
          <w:spacing w:val="-49"/>
          <w:sz w:val="22"/>
          <w:szCs w:val="22"/>
        </w:rPr>
        <w:t xml:space="preserve"> </w:t>
      </w:r>
      <w:r>
        <w:rPr>
          <w:rFonts w:ascii="宋体" w:eastAsia="宋体" w:hAnsi="宋体" w:cs="宋体"/>
          <w:spacing w:val="-9"/>
          <w:sz w:val="22"/>
          <w:szCs w:val="22"/>
        </w:rPr>
        <w:t>A</w:t>
      </w:r>
      <w:r>
        <w:rPr>
          <w:rFonts w:ascii="宋体" w:eastAsia="宋体" w:hAnsi="宋体" w:cs="宋体"/>
          <w:spacing w:val="12"/>
          <w:sz w:val="22"/>
          <w:szCs w:val="22"/>
        </w:rPr>
        <w:t xml:space="preserve"> </w:t>
      </w:r>
      <w:r>
        <w:rPr>
          <w:rFonts w:ascii="宋体" w:eastAsia="宋体" w:hAnsi="宋体" w:cs="宋体"/>
          <w:spacing w:val="-9"/>
          <w:sz w:val="22"/>
          <w:szCs w:val="22"/>
        </w:rPr>
        <w:t>缺乏程度直接相关；如果补充</w:t>
      </w:r>
    </w:p>
    <w:p w:rsidR="00EA40A3" w:rsidRDefault="00E86C16">
      <w:pPr>
        <w:spacing w:before="40" w:line="241" w:lineRule="auto"/>
        <w:ind w:right="86"/>
        <w:rPr>
          <w:rFonts w:ascii="宋体" w:eastAsia="宋体" w:hAnsi="宋体" w:cs="宋体"/>
          <w:sz w:val="22"/>
          <w:szCs w:val="22"/>
        </w:rPr>
      </w:pPr>
      <w:r>
        <w:rPr>
          <w:rFonts w:ascii="宋体" w:eastAsia="宋体" w:hAnsi="宋体" w:cs="宋体"/>
          <w:spacing w:val="-3"/>
          <w:sz w:val="22"/>
          <w:szCs w:val="22"/>
        </w:rPr>
        <w:t>维生素A</w:t>
      </w:r>
      <w:r>
        <w:rPr>
          <w:rFonts w:ascii="宋体" w:eastAsia="宋体" w:hAnsi="宋体" w:cs="宋体"/>
          <w:spacing w:val="11"/>
          <w:sz w:val="22"/>
          <w:szCs w:val="22"/>
        </w:rPr>
        <w:t xml:space="preserve"> </w:t>
      </w:r>
      <w:r>
        <w:rPr>
          <w:rFonts w:ascii="宋体" w:eastAsia="宋体" w:hAnsi="宋体" w:cs="宋体"/>
          <w:spacing w:val="-3"/>
          <w:sz w:val="22"/>
          <w:szCs w:val="22"/>
        </w:rPr>
        <w:t>至一定量则可使生长加快，疾病死亡率比同样缺乏维生素</w:t>
      </w:r>
      <w:r>
        <w:rPr>
          <w:rFonts w:ascii="宋体" w:eastAsia="宋体" w:hAnsi="宋体" w:cs="宋体"/>
          <w:spacing w:val="-61"/>
          <w:sz w:val="22"/>
          <w:szCs w:val="22"/>
        </w:rPr>
        <w:t xml:space="preserve"> </w:t>
      </w:r>
      <w:r>
        <w:rPr>
          <w:rFonts w:ascii="宋体" w:eastAsia="宋体" w:hAnsi="宋体" w:cs="宋体"/>
          <w:spacing w:val="-3"/>
          <w:sz w:val="22"/>
          <w:szCs w:val="22"/>
        </w:rPr>
        <w:t>A</w:t>
      </w:r>
      <w:r>
        <w:rPr>
          <w:rFonts w:ascii="宋体" w:eastAsia="宋体" w:hAnsi="宋体" w:cs="宋体"/>
          <w:spacing w:val="32"/>
          <w:sz w:val="22"/>
          <w:szCs w:val="22"/>
        </w:rPr>
        <w:t xml:space="preserve"> </w:t>
      </w:r>
      <w:r>
        <w:rPr>
          <w:rFonts w:ascii="宋体" w:eastAsia="宋体" w:hAnsi="宋体" w:cs="宋体"/>
          <w:spacing w:val="-3"/>
          <w:sz w:val="22"/>
          <w:szCs w:val="22"/>
        </w:rPr>
        <w:t>的下</w:t>
      </w:r>
      <w:r>
        <w:rPr>
          <w:rFonts w:ascii="宋体" w:eastAsia="宋体" w:hAnsi="宋体" w:cs="宋体"/>
          <w:spacing w:val="-4"/>
          <w:sz w:val="22"/>
          <w:szCs w:val="22"/>
        </w:rPr>
        <w:t>降</w:t>
      </w:r>
      <w:r>
        <w:rPr>
          <w:rFonts w:ascii="宋体" w:eastAsia="宋体" w:hAnsi="宋体" w:cs="宋体"/>
          <w:sz w:val="22"/>
          <w:szCs w:val="22"/>
        </w:rPr>
        <w:t xml:space="preserve"> </w:t>
      </w:r>
      <w:r>
        <w:rPr>
          <w:rFonts w:ascii="宋体" w:eastAsia="宋体" w:hAnsi="宋体" w:cs="宋体"/>
          <w:spacing w:val="-7"/>
          <w:sz w:val="22"/>
          <w:szCs w:val="22"/>
        </w:rPr>
        <w:t>30%～</w:t>
      </w:r>
      <w:r>
        <w:rPr>
          <w:rFonts w:ascii="宋体" w:eastAsia="宋体" w:hAnsi="宋体" w:cs="宋体"/>
          <w:spacing w:val="50"/>
          <w:sz w:val="22"/>
          <w:szCs w:val="22"/>
        </w:rPr>
        <w:t xml:space="preserve">  </w:t>
      </w:r>
      <w:r>
        <w:rPr>
          <w:rFonts w:ascii="宋体" w:eastAsia="宋体" w:hAnsi="宋体" w:cs="宋体"/>
          <w:spacing w:val="-7"/>
          <w:sz w:val="22"/>
          <w:szCs w:val="22"/>
        </w:rPr>
        <w:t>40%。</w:t>
      </w:r>
    </w:p>
    <w:p w:rsidR="00EA40A3" w:rsidRDefault="00E86C16">
      <w:pPr>
        <w:spacing w:before="25" w:line="236" w:lineRule="auto"/>
        <w:ind w:right="78" w:firstLine="419"/>
        <w:rPr>
          <w:rFonts w:ascii="宋体" w:eastAsia="宋体" w:hAnsi="宋体" w:cs="宋体"/>
          <w:sz w:val="22"/>
          <w:szCs w:val="22"/>
        </w:rPr>
      </w:pPr>
      <w:r>
        <w:rPr>
          <w:rFonts w:ascii="宋体" w:eastAsia="宋体" w:hAnsi="宋体" w:cs="宋体"/>
          <w:spacing w:val="-5"/>
          <w:sz w:val="22"/>
          <w:szCs w:val="22"/>
        </w:rPr>
        <w:t>(4)维护生殖功能：维生素</w:t>
      </w:r>
      <w:r>
        <w:rPr>
          <w:rFonts w:ascii="宋体" w:eastAsia="宋体" w:hAnsi="宋体" w:cs="宋体"/>
          <w:spacing w:val="-47"/>
          <w:sz w:val="22"/>
          <w:szCs w:val="22"/>
        </w:rPr>
        <w:t xml:space="preserve"> </w:t>
      </w:r>
      <w:r>
        <w:rPr>
          <w:rFonts w:ascii="宋体" w:eastAsia="宋体" w:hAnsi="宋体" w:cs="宋体"/>
          <w:spacing w:val="-5"/>
          <w:sz w:val="22"/>
          <w:szCs w:val="22"/>
        </w:rPr>
        <w:t>A</w:t>
      </w:r>
      <w:r>
        <w:rPr>
          <w:rFonts w:ascii="宋体" w:eastAsia="宋体" w:hAnsi="宋体" w:cs="宋体"/>
          <w:spacing w:val="11"/>
          <w:sz w:val="22"/>
          <w:szCs w:val="22"/>
        </w:rPr>
        <w:t xml:space="preserve"> </w:t>
      </w:r>
      <w:r>
        <w:rPr>
          <w:rFonts w:ascii="宋体" w:eastAsia="宋体" w:hAnsi="宋体" w:cs="宋体"/>
          <w:spacing w:val="-5"/>
          <w:sz w:val="22"/>
          <w:szCs w:val="22"/>
        </w:rPr>
        <w:t>与生殖的关系与其对生殖器官上皮的影响有</w:t>
      </w:r>
      <w:r>
        <w:rPr>
          <w:rFonts w:ascii="宋体" w:eastAsia="宋体" w:hAnsi="宋体" w:cs="宋体"/>
          <w:sz w:val="22"/>
          <w:szCs w:val="22"/>
        </w:rPr>
        <w:t xml:space="preserve"> </w:t>
      </w:r>
      <w:r>
        <w:rPr>
          <w:rFonts w:ascii="宋体" w:eastAsia="宋体" w:hAnsi="宋体" w:cs="宋体"/>
          <w:spacing w:val="-8"/>
          <w:sz w:val="22"/>
          <w:szCs w:val="22"/>
        </w:rPr>
        <w:t>关。动物实验表明，雌性大鼠由于缺乏维生素A</w:t>
      </w:r>
      <w:r>
        <w:rPr>
          <w:rFonts w:ascii="宋体" w:eastAsia="宋体" w:hAnsi="宋体" w:cs="宋体"/>
          <w:spacing w:val="24"/>
          <w:sz w:val="22"/>
          <w:szCs w:val="22"/>
        </w:rPr>
        <w:t xml:space="preserve"> </w:t>
      </w:r>
      <w:r>
        <w:rPr>
          <w:rFonts w:ascii="宋体" w:eastAsia="宋体" w:hAnsi="宋体" w:cs="宋体"/>
          <w:spacing w:val="-8"/>
          <w:sz w:val="22"/>
          <w:szCs w:val="22"/>
        </w:rPr>
        <w:t>致使输卵管上皮细胞发育不良</w:t>
      </w:r>
    </w:p>
    <w:p w:rsidR="00EA40A3" w:rsidRDefault="00E86C16">
      <w:pPr>
        <w:spacing w:before="153" w:line="241" w:lineRule="auto"/>
        <w:ind w:left="140"/>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122</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30" w:bottom="400" w:left="849" w:header="0" w:footer="0" w:gutter="0"/>
          <w:cols w:space="720"/>
        </w:sectPr>
      </w:pPr>
    </w:p>
    <w:p w:rsidR="00EA40A3" w:rsidRDefault="00EA40A3">
      <w:pPr>
        <w:spacing w:line="271" w:lineRule="auto"/>
      </w:pPr>
    </w:p>
    <w:p w:rsidR="00EA40A3" w:rsidRDefault="00EA40A3">
      <w:pPr>
        <w:spacing w:line="272" w:lineRule="auto"/>
      </w:pPr>
    </w:p>
    <w:p w:rsidR="00EA40A3" w:rsidRDefault="00E86C16">
      <w:pPr>
        <w:spacing w:before="72" w:line="244" w:lineRule="auto"/>
        <w:ind w:right="89"/>
        <w:rPr>
          <w:rFonts w:ascii="宋体" w:eastAsia="宋体" w:hAnsi="宋体" w:cs="宋体"/>
          <w:sz w:val="22"/>
          <w:szCs w:val="22"/>
        </w:rPr>
      </w:pPr>
      <w:r>
        <w:rPr>
          <w:rFonts w:ascii="宋体" w:eastAsia="宋体" w:hAnsi="宋体" w:cs="宋体"/>
          <w:spacing w:val="-13"/>
          <w:sz w:val="22"/>
          <w:szCs w:val="22"/>
        </w:rPr>
        <w:t>而出现排卵障碍；雄性大鼠输精管上皮变性，睾丸质量下降，精子和精原细胞消</w:t>
      </w:r>
      <w:r>
        <w:rPr>
          <w:rFonts w:ascii="宋体" w:eastAsia="宋体" w:hAnsi="宋体" w:cs="宋体"/>
          <w:spacing w:val="14"/>
          <w:sz w:val="22"/>
          <w:szCs w:val="22"/>
        </w:rPr>
        <w:t xml:space="preserve"> </w:t>
      </w:r>
      <w:r>
        <w:rPr>
          <w:rFonts w:ascii="宋体" w:eastAsia="宋体" w:hAnsi="宋体" w:cs="宋体"/>
          <w:spacing w:val="-12"/>
          <w:sz w:val="22"/>
          <w:szCs w:val="22"/>
        </w:rPr>
        <w:t>失。此外维生素A</w:t>
      </w:r>
      <w:r>
        <w:rPr>
          <w:rFonts w:ascii="宋体" w:eastAsia="宋体" w:hAnsi="宋体" w:cs="宋体"/>
          <w:spacing w:val="30"/>
          <w:sz w:val="22"/>
          <w:szCs w:val="22"/>
        </w:rPr>
        <w:t xml:space="preserve"> </w:t>
      </w:r>
      <w:r>
        <w:rPr>
          <w:rFonts w:ascii="宋体" w:eastAsia="宋体" w:hAnsi="宋体" w:cs="宋体"/>
          <w:spacing w:val="-12"/>
          <w:sz w:val="22"/>
          <w:szCs w:val="22"/>
        </w:rPr>
        <w:t>缺乏引起活性下降的各种酶中有些是合成类固醇所必须的。</w:t>
      </w:r>
    </w:p>
    <w:p w:rsidR="00EA40A3" w:rsidRDefault="00E86C16">
      <w:pPr>
        <w:spacing w:before="39" w:line="248" w:lineRule="auto"/>
        <w:ind w:right="96" w:firstLine="399"/>
        <w:jc w:val="both"/>
        <w:rPr>
          <w:rFonts w:ascii="宋体" w:eastAsia="宋体" w:hAnsi="宋体" w:cs="宋体"/>
          <w:sz w:val="22"/>
          <w:szCs w:val="22"/>
        </w:rPr>
      </w:pPr>
      <w:r>
        <w:rPr>
          <w:rFonts w:ascii="宋体" w:eastAsia="宋体" w:hAnsi="宋体" w:cs="宋体"/>
          <w:spacing w:val="-5"/>
          <w:sz w:val="22"/>
          <w:szCs w:val="22"/>
        </w:rPr>
        <w:t>(5)防癌作用：维生素</w:t>
      </w:r>
      <w:r>
        <w:rPr>
          <w:rFonts w:ascii="宋体" w:eastAsia="宋体" w:hAnsi="宋体" w:cs="宋体"/>
          <w:spacing w:val="-48"/>
          <w:sz w:val="22"/>
          <w:szCs w:val="22"/>
        </w:rPr>
        <w:t xml:space="preserve"> </w:t>
      </w:r>
      <w:r>
        <w:rPr>
          <w:rFonts w:ascii="宋体" w:eastAsia="宋体" w:hAnsi="宋体" w:cs="宋体"/>
          <w:spacing w:val="-5"/>
          <w:sz w:val="22"/>
          <w:szCs w:val="22"/>
        </w:rPr>
        <w:t>A</w:t>
      </w:r>
      <w:r>
        <w:rPr>
          <w:rFonts w:ascii="宋体" w:eastAsia="宋体" w:hAnsi="宋体" w:cs="宋体"/>
          <w:spacing w:val="2"/>
          <w:sz w:val="22"/>
          <w:szCs w:val="22"/>
        </w:rPr>
        <w:t xml:space="preserve"> </w:t>
      </w:r>
      <w:r>
        <w:rPr>
          <w:rFonts w:ascii="宋体" w:eastAsia="宋体" w:hAnsi="宋体" w:cs="宋体"/>
          <w:spacing w:val="-5"/>
          <w:sz w:val="22"/>
          <w:szCs w:val="22"/>
        </w:rPr>
        <w:t>可促进上皮细胞正常的分化，抑制癌变。维生素</w:t>
      </w:r>
      <w:r>
        <w:rPr>
          <w:rFonts w:ascii="宋体" w:eastAsia="宋体" w:hAnsi="宋体" w:cs="宋体"/>
          <w:sz w:val="22"/>
          <w:szCs w:val="22"/>
        </w:rPr>
        <w:t xml:space="preserve"> </w:t>
      </w:r>
      <w:r>
        <w:rPr>
          <w:rFonts w:ascii="宋体" w:eastAsia="宋体" w:hAnsi="宋体" w:cs="宋体"/>
          <w:spacing w:val="-6"/>
          <w:sz w:val="22"/>
          <w:szCs w:val="22"/>
        </w:rPr>
        <w:t>A</w:t>
      </w:r>
      <w:r>
        <w:rPr>
          <w:rFonts w:ascii="宋体" w:eastAsia="宋体" w:hAnsi="宋体" w:cs="宋体"/>
          <w:spacing w:val="-12"/>
          <w:sz w:val="22"/>
          <w:szCs w:val="22"/>
        </w:rPr>
        <w:t xml:space="preserve"> </w:t>
      </w:r>
      <w:r>
        <w:rPr>
          <w:rFonts w:ascii="宋体" w:eastAsia="宋体" w:hAnsi="宋体" w:cs="宋体"/>
          <w:spacing w:val="-6"/>
          <w:sz w:val="22"/>
          <w:szCs w:val="22"/>
        </w:rPr>
        <w:t>可降低3,4-苯并芘对大鼠肝、肺的致癌作用，也可抑制亚硝胺对食道的致癌</w:t>
      </w:r>
      <w:r>
        <w:rPr>
          <w:rFonts w:ascii="宋体" w:eastAsia="宋体" w:hAnsi="宋体" w:cs="宋体"/>
          <w:sz w:val="22"/>
          <w:szCs w:val="22"/>
        </w:rPr>
        <w:t xml:space="preserve"> </w:t>
      </w:r>
      <w:r>
        <w:rPr>
          <w:rFonts w:ascii="宋体" w:eastAsia="宋体" w:hAnsi="宋体" w:cs="宋体"/>
          <w:spacing w:val="-10"/>
          <w:sz w:val="22"/>
          <w:szCs w:val="22"/>
        </w:rPr>
        <w:t>作用。为此，</w:t>
      </w:r>
      <w:r>
        <w:rPr>
          <w:rFonts w:ascii="宋体" w:eastAsia="宋体" w:hAnsi="宋体" w:cs="宋体"/>
          <w:spacing w:val="17"/>
          <w:sz w:val="22"/>
          <w:szCs w:val="22"/>
        </w:rPr>
        <w:t xml:space="preserve"> </w:t>
      </w:r>
      <w:r>
        <w:rPr>
          <w:rFonts w:ascii="宋体" w:eastAsia="宋体" w:hAnsi="宋体" w:cs="宋体"/>
          <w:spacing w:val="-10"/>
          <w:sz w:val="22"/>
          <w:szCs w:val="22"/>
        </w:rPr>
        <w:t>一种维生素A</w:t>
      </w:r>
      <w:r>
        <w:rPr>
          <w:rFonts w:ascii="宋体" w:eastAsia="宋体" w:hAnsi="宋体" w:cs="宋体"/>
          <w:spacing w:val="2"/>
          <w:sz w:val="22"/>
          <w:szCs w:val="22"/>
        </w:rPr>
        <w:t xml:space="preserve"> </w:t>
      </w:r>
      <w:r>
        <w:rPr>
          <w:rFonts w:ascii="宋体" w:eastAsia="宋体" w:hAnsi="宋体" w:cs="宋体"/>
          <w:spacing w:val="-10"/>
          <w:sz w:val="22"/>
          <w:szCs w:val="22"/>
        </w:rPr>
        <w:t>类似物1,3-顺视黄酸在临床上已被用于预防与上皮</w:t>
      </w:r>
      <w:r>
        <w:rPr>
          <w:rFonts w:ascii="宋体" w:eastAsia="宋体" w:hAnsi="宋体" w:cs="宋体"/>
          <w:sz w:val="22"/>
          <w:szCs w:val="22"/>
        </w:rPr>
        <w:t xml:space="preserve"> </w:t>
      </w:r>
      <w:r>
        <w:rPr>
          <w:rFonts w:ascii="宋体" w:eastAsia="宋体" w:hAnsi="宋体" w:cs="宋体"/>
          <w:spacing w:val="-13"/>
          <w:sz w:val="22"/>
          <w:szCs w:val="22"/>
        </w:rPr>
        <w:t>组织有关的癌症，如皮癌、肺癌、膀胱癌、乳腺癌等，还用于治疗急性粒细胞性</w:t>
      </w:r>
      <w:r>
        <w:rPr>
          <w:rFonts w:ascii="宋体" w:eastAsia="宋体" w:hAnsi="宋体" w:cs="宋体"/>
          <w:spacing w:val="2"/>
          <w:sz w:val="22"/>
          <w:szCs w:val="22"/>
        </w:rPr>
        <w:t xml:space="preserve"> </w:t>
      </w:r>
      <w:r>
        <w:rPr>
          <w:rFonts w:ascii="宋体" w:eastAsia="宋体" w:hAnsi="宋体" w:cs="宋体"/>
          <w:spacing w:val="-8"/>
          <w:sz w:val="22"/>
          <w:szCs w:val="22"/>
        </w:rPr>
        <w:t>白血病。有人认为胡萝卜素能熄灭单线态氧</w:t>
      </w:r>
      <w:r>
        <w:rPr>
          <w:rFonts w:ascii="宋体" w:eastAsia="宋体" w:hAnsi="宋体" w:cs="宋体"/>
          <w:spacing w:val="-20"/>
          <w:sz w:val="22"/>
          <w:szCs w:val="22"/>
        </w:rPr>
        <w:t xml:space="preserve"> </w:t>
      </w:r>
      <w:r>
        <w:rPr>
          <w:rFonts w:ascii="宋体" w:eastAsia="宋体" w:hAnsi="宋体" w:cs="宋体"/>
          <w:spacing w:val="-8"/>
          <w:sz w:val="22"/>
          <w:szCs w:val="22"/>
        </w:rPr>
        <w:t>(singlet</w:t>
      </w:r>
      <w:r>
        <w:rPr>
          <w:rFonts w:ascii="宋体" w:eastAsia="宋体" w:hAnsi="宋体" w:cs="宋体"/>
          <w:spacing w:val="8"/>
          <w:sz w:val="22"/>
          <w:szCs w:val="22"/>
        </w:rPr>
        <w:t xml:space="preserve"> </w:t>
      </w:r>
      <w:r>
        <w:rPr>
          <w:rFonts w:ascii="宋体" w:eastAsia="宋体" w:hAnsi="宋体" w:cs="宋体"/>
          <w:spacing w:val="-8"/>
          <w:sz w:val="22"/>
          <w:szCs w:val="22"/>
        </w:rPr>
        <w:t>oxygen,¹O</w:t>
      </w:r>
      <w:r>
        <w:rPr>
          <w:rFonts w:ascii="Calibri" w:eastAsia="Calibri" w:hAnsi="Calibri" w:cs="Calibri"/>
          <w:spacing w:val="-9"/>
          <w:sz w:val="22"/>
          <w:szCs w:val="22"/>
        </w:rPr>
        <w:t>₂</w:t>
      </w:r>
      <w:r>
        <w:rPr>
          <w:rFonts w:ascii="宋体" w:eastAsia="宋体" w:hAnsi="宋体" w:cs="宋体"/>
          <w:spacing w:val="-9"/>
          <w:sz w:val="22"/>
          <w:szCs w:val="22"/>
        </w:rPr>
        <w:t>)</w:t>
      </w:r>
      <w:r>
        <w:rPr>
          <w:rFonts w:ascii="宋体" w:eastAsia="宋体" w:hAnsi="宋体" w:cs="宋体"/>
          <w:spacing w:val="-57"/>
          <w:sz w:val="22"/>
          <w:szCs w:val="22"/>
        </w:rPr>
        <w:t xml:space="preserve"> </w:t>
      </w:r>
      <w:r>
        <w:rPr>
          <w:rFonts w:ascii="宋体" w:eastAsia="宋体" w:hAnsi="宋体" w:cs="宋体"/>
          <w:spacing w:val="-9"/>
          <w:sz w:val="22"/>
          <w:szCs w:val="22"/>
        </w:rPr>
        <w:t>或捕捉自由</w:t>
      </w:r>
      <w:r>
        <w:rPr>
          <w:rFonts w:ascii="宋体" w:eastAsia="宋体" w:hAnsi="宋体" w:cs="宋体"/>
          <w:sz w:val="22"/>
          <w:szCs w:val="22"/>
        </w:rPr>
        <w:t xml:space="preserve"> </w:t>
      </w:r>
      <w:r>
        <w:rPr>
          <w:rFonts w:ascii="宋体" w:eastAsia="宋体" w:hAnsi="宋体" w:cs="宋体"/>
          <w:spacing w:val="-13"/>
          <w:sz w:val="22"/>
          <w:szCs w:val="22"/>
        </w:rPr>
        <w:t>基，这种单线态氧的反应性强，对机体有不良反应，在动植物代谢中产生。植物</w:t>
      </w:r>
      <w:r>
        <w:rPr>
          <w:rFonts w:ascii="宋体" w:eastAsia="宋体" w:hAnsi="宋体" w:cs="宋体"/>
          <w:spacing w:val="4"/>
          <w:sz w:val="22"/>
          <w:szCs w:val="22"/>
        </w:rPr>
        <w:t xml:space="preserve"> </w:t>
      </w:r>
      <w:r>
        <w:rPr>
          <w:rFonts w:ascii="宋体" w:eastAsia="宋体" w:hAnsi="宋体" w:cs="宋体"/>
          <w:spacing w:val="-13"/>
          <w:sz w:val="22"/>
          <w:szCs w:val="22"/>
        </w:rPr>
        <w:t>中类胡萝卜素有熄灭光合作用下产生的这类有害物质的作用，胡萝卜素的抗癌作</w:t>
      </w:r>
      <w:r>
        <w:rPr>
          <w:rFonts w:ascii="宋体" w:eastAsia="宋体" w:hAnsi="宋体" w:cs="宋体"/>
          <w:spacing w:val="7"/>
          <w:sz w:val="22"/>
          <w:szCs w:val="22"/>
        </w:rPr>
        <w:t xml:space="preserve"> </w:t>
      </w:r>
      <w:r>
        <w:rPr>
          <w:rFonts w:ascii="宋体" w:eastAsia="宋体" w:hAnsi="宋体" w:cs="宋体"/>
          <w:spacing w:val="-15"/>
          <w:sz w:val="22"/>
          <w:szCs w:val="22"/>
        </w:rPr>
        <w:t>用可能原因在此。</w:t>
      </w:r>
    </w:p>
    <w:p w:rsidR="00EA40A3" w:rsidRDefault="00E86C16">
      <w:pPr>
        <w:spacing w:before="35" w:line="245" w:lineRule="auto"/>
        <w:ind w:firstLine="399"/>
        <w:jc w:val="both"/>
        <w:rPr>
          <w:rFonts w:ascii="宋体" w:eastAsia="宋体" w:hAnsi="宋体" w:cs="宋体"/>
          <w:sz w:val="22"/>
          <w:szCs w:val="22"/>
        </w:rPr>
      </w:pPr>
      <w:r>
        <w:rPr>
          <w:rFonts w:ascii="宋体" w:eastAsia="宋体" w:hAnsi="宋体" w:cs="宋体"/>
          <w:spacing w:val="-4"/>
          <w:sz w:val="22"/>
          <w:szCs w:val="22"/>
        </w:rPr>
        <w:t>(6)其他作用：给贫血人群补充维生素</w:t>
      </w:r>
      <w:r>
        <w:rPr>
          <w:rFonts w:ascii="宋体" w:eastAsia="宋体" w:hAnsi="宋体" w:cs="宋体"/>
          <w:spacing w:val="-61"/>
          <w:sz w:val="22"/>
          <w:szCs w:val="22"/>
        </w:rPr>
        <w:t xml:space="preserve"> </w:t>
      </w:r>
      <w:r>
        <w:rPr>
          <w:rFonts w:ascii="宋体" w:eastAsia="宋体" w:hAnsi="宋体" w:cs="宋体"/>
          <w:spacing w:val="-4"/>
          <w:sz w:val="22"/>
          <w:szCs w:val="22"/>
        </w:rPr>
        <w:t>A</w:t>
      </w:r>
      <w:r>
        <w:rPr>
          <w:rFonts w:ascii="宋体" w:eastAsia="宋体" w:hAnsi="宋体" w:cs="宋体"/>
          <w:spacing w:val="2"/>
          <w:sz w:val="22"/>
          <w:szCs w:val="22"/>
        </w:rPr>
        <w:t xml:space="preserve"> </w:t>
      </w:r>
      <w:r>
        <w:rPr>
          <w:rFonts w:ascii="宋体" w:eastAsia="宋体" w:hAnsi="宋体" w:cs="宋体"/>
          <w:spacing w:val="-4"/>
          <w:sz w:val="22"/>
          <w:szCs w:val="22"/>
        </w:rPr>
        <w:t>的效果表明，其具有促进血红蛋</w:t>
      </w:r>
      <w:r>
        <w:rPr>
          <w:rFonts w:ascii="宋体" w:eastAsia="宋体" w:hAnsi="宋体" w:cs="宋体"/>
          <w:sz w:val="22"/>
          <w:szCs w:val="22"/>
        </w:rPr>
        <w:t xml:space="preserve">  </w:t>
      </w:r>
      <w:r>
        <w:rPr>
          <w:rFonts w:ascii="宋体" w:eastAsia="宋体" w:hAnsi="宋体" w:cs="宋体"/>
          <w:spacing w:val="-7"/>
          <w:sz w:val="22"/>
          <w:szCs w:val="22"/>
        </w:rPr>
        <w:t>白合成的作用。在铁缺乏的状态下，大剂量维生素A</w:t>
      </w:r>
      <w:r>
        <w:rPr>
          <w:rFonts w:ascii="宋体" w:eastAsia="宋体" w:hAnsi="宋体" w:cs="宋体"/>
          <w:spacing w:val="11"/>
          <w:sz w:val="22"/>
          <w:szCs w:val="22"/>
        </w:rPr>
        <w:t xml:space="preserve"> </w:t>
      </w:r>
      <w:r>
        <w:rPr>
          <w:rFonts w:ascii="宋体" w:eastAsia="宋体" w:hAnsi="宋体" w:cs="宋体"/>
          <w:spacing w:val="-7"/>
          <w:sz w:val="22"/>
          <w:szCs w:val="22"/>
        </w:rPr>
        <w:t>可以促进机体红</w:t>
      </w:r>
      <w:r>
        <w:rPr>
          <w:rFonts w:ascii="宋体" w:eastAsia="宋体" w:hAnsi="宋体" w:cs="宋体"/>
          <w:spacing w:val="-8"/>
          <w:sz w:val="22"/>
          <w:szCs w:val="22"/>
        </w:rPr>
        <w:t>细胞合成</w:t>
      </w:r>
      <w:r>
        <w:rPr>
          <w:rFonts w:ascii="宋体" w:eastAsia="宋体" w:hAnsi="宋体" w:cs="宋体"/>
          <w:sz w:val="22"/>
          <w:szCs w:val="22"/>
        </w:rPr>
        <w:t xml:space="preserve">  </w:t>
      </w:r>
      <w:r>
        <w:rPr>
          <w:rFonts w:ascii="宋体" w:eastAsia="宋体" w:hAnsi="宋体" w:cs="宋体"/>
          <w:spacing w:val="-7"/>
          <w:sz w:val="22"/>
          <w:szCs w:val="22"/>
        </w:rPr>
        <w:t>和释放进入血循环。同时补充大剂量维生素A</w:t>
      </w:r>
      <w:r>
        <w:rPr>
          <w:rFonts w:ascii="宋体" w:eastAsia="宋体" w:hAnsi="宋体" w:cs="宋体"/>
          <w:spacing w:val="11"/>
          <w:sz w:val="22"/>
          <w:szCs w:val="22"/>
        </w:rPr>
        <w:t xml:space="preserve"> </w:t>
      </w:r>
      <w:r>
        <w:rPr>
          <w:rFonts w:ascii="宋体" w:eastAsia="宋体" w:hAnsi="宋体" w:cs="宋体"/>
          <w:spacing w:val="-7"/>
          <w:sz w:val="22"/>
          <w:szCs w:val="22"/>
        </w:rPr>
        <w:t>和锌，可使每日补铁的</w:t>
      </w:r>
      <w:r>
        <w:rPr>
          <w:rFonts w:ascii="宋体" w:eastAsia="宋体" w:hAnsi="宋体" w:cs="宋体"/>
          <w:spacing w:val="-8"/>
          <w:sz w:val="22"/>
          <w:szCs w:val="22"/>
        </w:rPr>
        <w:t>贫血妇女</w:t>
      </w:r>
      <w:r>
        <w:rPr>
          <w:rFonts w:ascii="宋体" w:eastAsia="宋体" w:hAnsi="宋体" w:cs="宋体"/>
          <w:sz w:val="22"/>
          <w:szCs w:val="22"/>
        </w:rPr>
        <w:t xml:space="preserve">  </w:t>
      </w:r>
      <w:r>
        <w:rPr>
          <w:rFonts w:ascii="宋体" w:eastAsia="宋体" w:hAnsi="宋体" w:cs="宋体"/>
          <w:spacing w:val="-6"/>
          <w:sz w:val="22"/>
          <w:szCs w:val="22"/>
        </w:rPr>
        <w:t>的血红蛋白增加值大幅度增加。无论是活性形式的维生素A</w:t>
      </w:r>
      <w:r>
        <w:rPr>
          <w:rFonts w:ascii="宋体" w:eastAsia="宋体" w:hAnsi="宋体" w:cs="宋体"/>
          <w:spacing w:val="13"/>
          <w:sz w:val="22"/>
          <w:szCs w:val="22"/>
        </w:rPr>
        <w:t xml:space="preserve"> </w:t>
      </w:r>
      <w:r>
        <w:rPr>
          <w:rFonts w:ascii="宋体" w:eastAsia="宋体" w:hAnsi="宋体" w:cs="宋体"/>
          <w:spacing w:val="-6"/>
          <w:sz w:val="22"/>
          <w:szCs w:val="22"/>
        </w:rPr>
        <w:t>还是维生素</w:t>
      </w:r>
      <w:r>
        <w:rPr>
          <w:rFonts w:ascii="宋体" w:eastAsia="宋体" w:hAnsi="宋体" w:cs="宋体"/>
          <w:spacing w:val="-52"/>
          <w:sz w:val="22"/>
          <w:szCs w:val="22"/>
        </w:rPr>
        <w:t xml:space="preserve"> </w:t>
      </w:r>
      <w:r>
        <w:rPr>
          <w:rFonts w:ascii="宋体" w:eastAsia="宋体" w:hAnsi="宋体" w:cs="宋体"/>
          <w:spacing w:val="-6"/>
          <w:sz w:val="22"/>
          <w:szCs w:val="22"/>
        </w:rPr>
        <w:t>A</w:t>
      </w:r>
      <w:r>
        <w:rPr>
          <w:rFonts w:ascii="宋体" w:eastAsia="宋体" w:hAnsi="宋体" w:cs="宋体"/>
          <w:spacing w:val="2"/>
          <w:sz w:val="22"/>
          <w:szCs w:val="22"/>
        </w:rPr>
        <w:t xml:space="preserve"> </w:t>
      </w:r>
      <w:r>
        <w:rPr>
          <w:rFonts w:ascii="宋体" w:eastAsia="宋体" w:hAnsi="宋体" w:cs="宋体"/>
          <w:spacing w:val="-6"/>
          <w:sz w:val="22"/>
          <w:szCs w:val="22"/>
        </w:rPr>
        <w:t>原，</w:t>
      </w:r>
      <w:r>
        <w:rPr>
          <w:rFonts w:ascii="宋体" w:eastAsia="宋体" w:hAnsi="宋体" w:cs="宋体"/>
          <w:sz w:val="22"/>
          <w:szCs w:val="22"/>
        </w:rPr>
        <w:t xml:space="preserve"> </w:t>
      </w:r>
      <w:r>
        <w:rPr>
          <w:rFonts w:ascii="宋体" w:eastAsia="宋体" w:hAnsi="宋体" w:cs="宋体"/>
          <w:spacing w:val="-13"/>
          <w:sz w:val="22"/>
          <w:szCs w:val="22"/>
        </w:rPr>
        <w:t>都可以提高无机铁的生物利用率，可能在于拮抗</w:t>
      </w:r>
      <w:r>
        <w:rPr>
          <w:rFonts w:ascii="宋体" w:eastAsia="宋体" w:hAnsi="宋体" w:cs="宋体"/>
          <w:spacing w:val="-14"/>
          <w:sz w:val="22"/>
          <w:szCs w:val="22"/>
        </w:rPr>
        <w:t>植酸的作用。</w:t>
      </w:r>
    </w:p>
    <w:p w:rsidR="00EA40A3" w:rsidRDefault="00E86C16">
      <w:pPr>
        <w:spacing w:before="296" w:line="220"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12"/>
          <w:sz w:val="22"/>
          <w:szCs w:val="22"/>
        </w:rPr>
        <w:t xml:space="preserve"> </w:t>
      </w:r>
      <w:r>
        <w:rPr>
          <w:rFonts w:ascii="仿宋" w:eastAsia="仿宋" w:hAnsi="仿宋" w:cs="仿宋"/>
          <w:spacing w:val="15"/>
          <w:sz w:val="22"/>
          <w:szCs w:val="22"/>
        </w:rPr>
        <w:t>维生素A</w:t>
      </w:r>
      <w:r>
        <w:rPr>
          <w:rFonts w:ascii="仿宋" w:eastAsia="仿宋" w:hAnsi="仿宋" w:cs="仿宋"/>
          <w:spacing w:val="51"/>
          <w:sz w:val="22"/>
          <w:szCs w:val="22"/>
        </w:rPr>
        <w:t xml:space="preserve"> </w:t>
      </w:r>
      <w:r>
        <w:rPr>
          <w:rFonts w:ascii="仿宋" w:eastAsia="仿宋" w:hAnsi="仿宋" w:cs="仿宋"/>
          <w:spacing w:val="15"/>
          <w:sz w:val="22"/>
          <w:szCs w:val="22"/>
        </w:rPr>
        <w:t>的缺乏症及过量毒性</w:t>
      </w:r>
    </w:p>
    <w:p w:rsidR="00EA40A3" w:rsidRDefault="00E86C16">
      <w:pPr>
        <w:spacing w:before="179" w:line="225" w:lineRule="auto"/>
        <w:rPr>
          <w:rFonts w:ascii="楷体" w:eastAsia="楷体" w:hAnsi="楷体" w:cs="楷体"/>
          <w:sz w:val="22"/>
          <w:szCs w:val="22"/>
        </w:rPr>
      </w:pPr>
      <w:r>
        <w:rPr>
          <w:rFonts w:ascii="楷体" w:eastAsia="楷体" w:hAnsi="楷体" w:cs="楷体"/>
          <w:spacing w:val="6"/>
          <w:sz w:val="22"/>
          <w:szCs w:val="22"/>
        </w:rPr>
        <w:t>1)维生素A</w:t>
      </w:r>
      <w:r>
        <w:rPr>
          <w:rFonts w:ascii="楷体" w:eastAsia="楷体" w:hAnsi="楷体" w:cs="楷体"/>
          <w:spacing w:val="-8"/>
          <w:sz w:val="22"/>
          <w:szCs w:val="22"/>
        </w:rPr>
        <w:t xml:space="preserve"> </w:t>
      </w:r>
      <w:r>
        <w:rPr>
          <w:rFonts w:ascii="楷体" w:eastAsia="楷体" w:hAnsi="楷体" w:cs="楷体"/>
          <w:spacing w:val="6"/>
          <w:sz w:val="22"/>
          <w:szCs w:val="22"/>
        </w:rPr>
        <w:t>的缺乏症</w:t>
      </w:r>
    </w:p>
    <w:p w:rsidR="00EA40A3" w:rsidRDefault="00E86C16">
      <w:pPr>
        <w:spacing w:before="45" w:line="243" w:lineRule="auto"/>
        <w:ind w:right="79" w:firstLine="399"/>
        <w:jc w:val="both"/>
        <w:rPr>
          <w:rFonts w:ascii="宋体" w:eastAsia="宋体" w:hAnsi="宋体" w:cs="宋体"/>
          <w:sz w:val="22"/>
          <w:szCs w:val="22"/>
        </w:rPr>
      </w:pPr>
      <w:r>
        <w:rPr>
          <w:rFonts w:ascii="宋体" w:eastAsia="宋体" w:hAnsi="宋体" w:cs="宋体"/>
          <w:spacing w:val="-7"/>
          <w:sz w:val="22"/>
          <w:szCs w:val="22"/>
        </w:rPr>
        <w:t>在许多不发达地区，维生素A</w:t>
      </w:r>
      <w:r>
        <w:rPr>
          <w:rFonts w:ascii="宋体" w:eastAsia="宋体" w:hAnsi="宋体" w:cs="宋体"/>
          <w:spacing w:val="33"/>
          <w:sz w:val="22"/>
          <w:szCs w:val="22"/>
        </w:rPr>
        <w:t xml:space="preserve"> </w:t>
      </w:r>
      <w:r>
        <w:rPr>
          <w:rFonts w:ascii="宋体" w:eastAsia="宋体" w:hAnsi="宋体" w:cs="宋体"/>
          <w:spacing w:val="-7"/>
          <w:sz w:val="22"/>
          <w:szCs w:val="22"/>
        </w:rPr>
        <w:t>缺乏是一个主要的公共卫生问题。造成维生</w:t>
      </w:r>
      <w:r>
        <w:rPr>
          <w:rFonts w:ascii="宋体" w:eastAsia="宋体" w:hAnsi="宋体" w:cs="宋体"/>
          <w:sz w:val="22"/>
          <w:szCs w:val="22"/>
        </w:rPr>
        <w:t xml:space="preserve"> </w:t>
      </w:r>
      <w:r>
        <w:rPr>
          <w:rFonts w:ascii="宋体" w:eastAsia="宋体" w:hAnsi="宋体" w:cs="宋体"/>
          <w:spacing w:val="-6"/>
          <w:sz w:val="22"/>
          <w:szCs w:val="22"/>
        </w:rPr>
        <w:t>素A</w:t>
      </w:r>
      <w:r>
        <w:rPr>
          <w:rFonts w:ascii="宋体" w:eastAsia="宋体" w:hAnsi="宋体" w:cs="宋体"/>
          <w:spacing w:val="-9"/>
          <w:sz w:val="22"/>
          <w:szCs w:val="22"/>
        </w:rPr>
        <w:t xml:space="preserve"> </w:t>
      </w:r>
      <w:r>
        <w:rPr>
          <w:rFonts w:ascii="宋体" w:eastAsia="宋体" w:hAnsi="宋体" w:cs="宋体"/>
          <w:spacing w:val="-6"/>
          <w:sz w:val="22"/>
          <w:szCs w:val="22"/>
        </w:rPr>
        <w:t>缺乏的原因主要是膳食中维生素A</w:t>
      </w:r>
      <w:r>
        <w:rPr>
          <w:rFonts w:ascii="宋体" w:eastAsia="宋体" w:hAnsi="宋体" w:cs="宋体"/>
          <w:spacing w:val="1"/>
          <w:sz w:val="22"/>
          <w:szCs w:val="22"/>
        </w:rPr>
        <w:t xml:space="preserve"> </w:t>
      </w:r>
      <w:r>
        <w:rPr>
          <w:rFonts w:ascii="宋体" w:eastAsia="宋体" w:hAnsi="宋体" w:cs="宋体"/>
          <w:spacing w:val="-6"/>
          <w:sz w:val="22"/>
          <w:szCs w:val="22"/>
        </w:rPr>
        <w:t>或维生素A</w:t>
      </w:r>
      <w:r>
        <w:rPr>
          <w:rFonts w:ascii="宋体" w:eastAsia="宋体" w:hAnsi="宋体" w:cs="宋体"/>
          <w:spacing w:val="-8"/>
          <w:sz w:val="22"/>
          <w:szCs w:val="22"/>
        </w:rPr>
        <w:t xml:space="preserve"> </w:t>
      </w:r>
      <w:r>
        <w:rPr>
          <w:rFonts w:ascii="宋体" w:eastAsia="宋体" w:hAnsi="宋体" w:cs="宋体"/>
          <w:spacing w:val="-6"/>
          <w:sz w:val="22"/>
          <w:szCs w:val="22"/>
        </w:rPr>
        <w:t>原不足，或吸</w:t>
      </w:r>
      <w:r>
        <w:rPr>
          <w:rFonts w:ascii="宋体" w:eastAsia="宋体" w:hAnsi="宋体" w:cs="宋体"/>
          <w:spacing w:val="-7"/>
          <w:sz w:val="22"/>
          <w:szCs w:val="22"/>
        </w:rPr>
        <w:t>收、储存和利</w:t>
      </w:r>
      <w:r>
        <w:rPr>
          <w:rFonts w:ascii="宋体" w:eastAsia="宋体" w:hAnsi="宋体" w:cs="宋体"/>
          <w:sz w:val="22"/>
          <w:szCs w:val="22"/>
        </w:rPr>
        <w:t xml:space="preserve"> </w:t>
      </w:r>
      <w:r>
        <w:rPr>
          <w:rFonts w:ascii="宋体" w:eastAsia="宋体" w:hAnsi="宋体" w:cs="宋体"/>
          <w:spacing w:val="-12"/>
          <w:sz w:val="22"/>
          <w:szCs w:val="22"/>
        </w:rPr>
        <w:t>用存在障碍，或生理需要量增加而摄入量没有增加等。脂</w:t>
      </w:r>
      <w:r>
        <w:rPr>
          <w:rFonts w:ascii="宋体" w:eastAsia="宋体" w:hAnsi="宋体" w:cs="宋体"/>
          <w:spacing w:val="-13"/>
          <w:sz w:val="22"/>
          <w:szCs w:val="22"/>
        </w:rPr>
        <w:t>肪吸收不良、蛋白质能</w:t>
      </w:r>
      <w:r>
        <w:rPr>
          <w:rFonts w:ascii="宋体" w:eastAsia="宋体" w:hAnsi="宋体" w:cs="宋体"/>
          <w:sz w:val="22"/>
          <w:szCs w:val="22"/>
        </w:rPr>
        <w:t xml:space="preserve"> </w:t>
      </w:r>
      <w:r>
        <w:rPr>
          <w:rFonts w:ascii="宋体" w:eastAsia="宋体" w:hAnsi="宋体" w:cs="宋体"/>
          <w:spacing w:val="-10"/>
          <w:sz w:val="22"/>
          <w:szCs w:val="22"/>
        </w:rPr>
        <w:t>量营养不良、酗酒也会造成维生素A</w:t>
      </w:r>
      <w:r>
        <w:rPr>
          <w:rFonts w:ascii="宋体" w:eastAsia="宋体" w:hAnsi="宋体" w:cs="宋体"/>
          <w:spacing w:val="2"/>
          <w:sz w:val="22"/>
          <w:szCs w:val="22"/>
        </w:rPr>
        <w:t xml:space="preserve"> </w:t>
      </w:r>
      <w:r>
        <w:rPr>
          <w:rFonts w:ascii="宋体" w:eastAsia="宋体" w:hAnsi="宋体" w:cs="宋体"/>
          <w:spacing w:val="-10"/>
          <w:sz w:val="22"/>
          <w:szCs w:val="22"/>
        </w:rPr>
        <w:t>缺乏。</w:t>
      </w:r>
    </w:p>
    <w:p w:rsidR="00EA40A3" w:rsidRDefault="00E86C16">
      <w:pPr>
        <w:spacing w:before="53" w:line="251" w:lineRule="auto"/>
        <w:ind w:right="94" w:firstLine="399"/>
        <w:jc w:val="both"/>
        <w:rPr>
          <w:rFonts w:ascii="宋体" w:eastAsia="宋体" w:hAnsi="宋体" w:cs="宋体"/>
          <w:sz w:val="22"/>
          <w:szCs w:val="22"/>
        </w:rPr>
      </w:pPr>
      <w:r>
        <w:rPr>
          <w:rFonts w:ascii="宋体" w:eastAsia="宋体" w:hAnsi="宋体" w:cs="宋体"/>
          <w:spacing w:val="4"/>
          <w:sz w:val="22"/>
          <w:szCs w:val="22"/>
        </w:rPr>
        <w:t>维生素A</w:t>
      </w:r>
      <w:r>
        <w:rPr>
          <w:rFonts w:ascii="宋体" w:eastAsia="宋体" w:hAnsi="宋体" w:cs="宋体"/>
          <w:spacing w:val="43"/>
          <w:sz w:val="22"/>
          <w:szCs w:val="22"/>
        </w:rPr>
        <w:t xml:space="preserve"> </w:t>
      </w:r>
      <w:r>
        <w:rPr>
          <w:rFonts w:ascii="宋体" w:eastAsia="宋体" w:hAnsi="宋体" w:cs="宋体"/>
          <w:spacing w:val="4"/>
          <w:sz w:val="22"/>
          <w:szCs w:val="22"/>
        </w:rPr>
        <w:t>长期不足或缺乏，首先出现暗适应能力降低及夜盲症</w:t>
      </w:r>
      <w:r>
        <w:rPr>
          <w:rFonts w:ascii="宋体" w:eastAsia="宋体" w:hAnsi="宋体" w:cs="宋体"/>
          <w:spacing w:val="-11"/>
          <w:sz w:val="22"/>
          <w:szCs w:val="22"/>
        </w:rPr>
        <w:t xml:space="preserve"> </w:t>
      </w:r>
      <w:r>
        <w:rPr>
          <w:rFonts w:ascii="宋体" w:eastAsia="宋体" w:hAnsi="宋体" w:cs="宋体"/>
          <w:spacing w:val="4"/>
          <w:sz w:val="22"/>
          <w:szCs w:val="22"/>
        </w:rPr>
        <w:t>(</w:t>
      </w:r>
      <w:r>
        <w:rPr>
          <w:rFonts w:ascii="宋体" w:eastAsia="宋体" w:hAnsi="宋体" w:cs="宋体"/>
          <w:sz w:val="22"/>
          <w:szCs w:val="22"/>
        </w:rPr>
        <w:t xml:space="preserve">night </w:t>
      </w:r>
      <w:r>
        <w:rPr>
          <w:rFonts w:ascii="宋体" w:eastAsia="宋体" w:hAnsi="宋体" w:cs="宋体"/>
          <w:spacing w:val="-9"/>
          <w:sz w:val="22"/>
          <w:szCs w:val="22"/>
        </w:rPr>
        <w:t>blindness),然后出现一系列影响上皮组织异常发育的症状，如皮肤干燥、形成</w:t>
      </w:r>
      <w:r>
        <w:rPr>
          <w:rFonts w:ascii="宋体" w:eastAsia="宋体" w:hAnsi="宋体" w:cs="宋体"/>
          <w:spacing w:val="18"/>
          <w:sz w:val="22"/>
          <w:szCs w:val="22"/>
        </w:rPr>
        <w:t xml:space="preserve"> </w:t>
      </w:r>
      <w:r>
        <w:rPr>
          <w:rFonts w:ascii="宋体" w:eastAsia="宋体" w:hAnsi="宋体" w:cs="宋体"/>
          <w:spacing w:val="-3"/>
          <w:sz w:val="22"/>
          <w:szCs w:val="22"/>
        </w:rPr>
        <w:t>鳞片并出现棘状丘疹、异常粗糙且脱屑，总称为毛囊</w:t>
      </w:r>
      <w:r>
        <w:rPr>
          <w:rFonts w:ascii="宋体" w:eastAsia="宋体" w:hAnsi="宋体" w:cs="宋体"/>
          <w:spacing w:val="-4"/>
          <w:sz w:val="22"/>
          <w:szCs w:val="22"/>
        </w:rPr>
        <w:t>角化过度症(图4-5)。上</w:t>
      </w:r>
      <w:r>
        <w:rPr>
          <w:rFonts w:ascii="宋体" w:eastAsia="宋体" w:hAnsi="宋体" w:cs="宋体"/>
          <w:sz w:val="22"/>
          <w:szCs w:val="22"/>
        </w:rPr>
        <w:t xml:space="preserve"> </w:t>
      </w:r>
      <w:r>
        <w:rPr>
          <w:rFonts w:ascii="宋体" w:eastAsia="宋体" w:hAnsi="宋体" w:cs="宋体"/>
          <w:spacing w:val="-13"/>
          <w:sz w:val="22"/>
          <w:szCs w:val="22"/>
        </w:rPr>
        <w:t>皮细胞的角化还可发生在呼吸道、消化道、泌尿生殖器官的黏膜以及眼的角膜及</w:t>
      </w:r>
    </w:p>
    <w:p w:rsidR="00EA40A3" w:rsidRDefault="00E86C16">
      <w:pPr>
        <w:spacing w:before="72" w:line="2250" w:lineRule="exact"/>
        <w:ind w:firstLine="1879"/>
        <w:textAlignment w:val="center"/>
      </w:pPr>
      <w:r>
        <w:rPr>
          <w:noProof/>
        </w:rPr>
        <w:drawing>
          <wp:inline distT="0" distB="0" distL="0" distR="0">
            <wp:extent cx="2203450" cy="142875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97"/>
                    <a:stretch>
                      <a:fillRect/>
                    </a:stretch>
                  </pic:blipFill>
                  <pic:spPr>
                    <a:xfrm>
                      <a:off x="0" y="0"/>
                      <a:ext cx="2203474" cy="1428773"/>
                    </a:xfrm>
                    <a:prstGeom prst="rect">
                      <a:avLst/>
                    </a:prstGeom>
                  </pic:spPr>
                </pic:pic>
              </a:graphicData>
            </a:graphic>
          </wp:inline>
        </w:drawing>
      </w:r>
    </w:p>
    <w:p w:rsidR="00EA40A3" w:rsidRDefault="00E86C16">
      <w:pPr>
        <w:spacing w:before="235" w:line="219" w:lineRule="auto"/>
        <w:ind w:left="2639"/>
        <w:rPr>
          <w:rFonts w:ascii="宋体" w:eastAsia="宋体" w:hAnsi="宋体" w:cs="宋体"/>
          <w:sz w:val="16"/>
          <w:szCs w:val="16"/>
        </w:rPr>
      </w:pPr>
      <w:r>
        <w:rPr>
          <w:rFonts w:ascii="宋体" w:eastAsia="宋体" w:hAnsi="宋体" w:cs="宋体"/>
          <w:sz w:val="16"/>
          <w:szCs w:val="16"/>
        </w:rPr>
        <w:t>图</w:t>
      </w:r>
      <w:r>
        <w:rPr>
          <w:rFonts w:ascii="宋体" w:eastAsia="宋体" w:hAnsi="宋体" w:cs="宋体"/>
          <w:spacing w:val="-19"/>
          <w:sz w:val="16"/>
          <w:szCs w:val="16"/>
        </w:rPr>
        <w:t xml:space="preserve"> </w:t>
      </w:r>
      <w:r>
        <w:rPr>
          <w:rFonts w:ascii="宋体" w:eastAsia="宋体" w:hAnsi="宋体" w:cs="宋体"/>
          <w:sz w:val="16"/>
          <w:szCs w:val="16"/>
        </w:rPr>
        <w:t>4</w:t>
      </w:r>
      <w:r>
        <w:rPr>
          <w:rFonts w:ascii="宋体" w:eastAsia="宋体" w:hAnsi="宋体" w:cs="宋体"/>
          <w:spacing w:val="-25"/>
          <w:sz w:val="16"/>
          <w:szCs w:val="16"/>
        </w:rPr>
        <w:t xml:space="preserve"> </w:t>
      </w:r>
      <w:r>
        <w:rPr>
          <w:rFonts w:ascii="宋体" w:eastAsia="宋体" w:hAnsi="宋体" w:cs="宋体"/>
          <w:sz w:val="16"/>
          <w:szCs w:val="16"/>
        </w:rPr>
        <w:t>-</w:t>
      </w:r>
      <w:r>
        <w:rPr>
          <w:rFonts w:ascii="宋体" w:eastAsia="宋体" w:hAnsi="宋体" w:cs="宋体"/>
          <w:spacing w:val="-19"/>
          <w:sz w:val="16"/>
          <w:szCs w:val="16"/>
        </w:rPr>
        <w:t xml:space="preserve"> </w:t>
      </w:r>
      <w:r>
        <w:rPr>
          <w:rFonts w:ascii="宋体" w:eastAsia="宋体" w:hAnsi="宋体" w:cs="宋体"/>
          <w:sz w:val="16"/>
          <w:szCs w:val="16"/>
        </w:rPr>
        <w:t>5</w:t>
      </w:r>
      <w:r>
        <w:rPr>
          <w:rFonts w:ascii="宋体" w:eastAsia="宋体" w:hAnsi="宋体" w:cs="宋体"/>
          <w:spacing w:val="10"/>
          <w:sz w:val="16"/>
          <w:szCs w:val="16"/>
        </w:rPr>
        <w:t xml:space="preserve">  </w:t>
      </w:r>
      <w:r>
        <w:rPr>
          <w:rFonts w:ascii="宋体" w:eastAsia="宋体" w:hAnsi="宋体" w:cs="宋体"/>
          <w:sz w:val="16"/>
          <w:szCs w:val="16"/>
        </w:rPr>
        <w:t>毛囊角化过度症</w:t>
      </w:r>
    </w:p>
    <w:p w:rsidR="00EA40A3" w:rsidRDefault="00E86C16">
      <w:pPr>
        <w:spacing w:before="66" w:line="214" w:lineRule="auto"/>
        <w:ind w:left="399"/>
        <w:rPr>
          <w:rFonts w:ascii="宋体" w:eastAsia="宋体" w:hAnsi="宋体" w:cs="宋体"/>
          <w:sz w:val="16"/>
          <w:szCs w:val="16"/>
        </w:rPr>
      </w:pPr>
      <w:r>
        <w:rPr>
          <w:rFonts w:ascii="宋体" w:eastAsia="宋体" w:hAnsi="宋体" w:cs="宋体"/>
          <w:spacing w:val="-5"/>
          <w:sz w:val="16"/>
          <w:szCs w:val="16"/>
        </w:rPr>
        <w:t>引自</w:t>
      </w:r>
      <w:r>
        <w:rPr>
          <w:rFonts w:ascii="宋体" w:eastAsia="宋体" w:hAnsi="宋体" w:cs="宋体"/>
          <w:spacing w:val="-4"/>
          <w:sz w:val="16"/>
          <w:szCs w:val="16"/>
        </w:rPr>
        <w:t>Frances</w:t>
      </w:r>
      <w:r>
        <w:rPr>
          <w:rFonts w:ascii="宋体" w:eastAsia="宋体" w:hAnsi="宋体" w:cs="宋体"/>
          <w:spacing w:val="1"/>
          <w:sz w:val="16"/>
          <w:szCs w:val="16"/>
        </w:rPr>
        <w:t xml:space="preserve"> </w:t>
      </w:r>
      <w:r>
        <w:rPr>
          <w:rFonts w:ascii="宋体" w:eastAsia="宋体" w:hAnsi="宋体" w:cs="宋体"/>
          <w:spacing w:val="-4"/>
          <w:sz w:val="16"/>
          <w:szCs w:val="16"/>
        </w:rPr>
        <w:t>Sizer</w:t>
      </w:r>
      <w:r>
        <w:rPr>
          <w:rFonts w:ascii="宋体" w:eastAsia="宋体" w:hAnsi="宋体" w:cs="宋体"/>
          <w:spacing w:val="-5"/>
          <w:sz w:val="16"/>
          <w:szCs w:val="16"/>
        </w:rPr>
        <w:t>.</w:t>
      </w:r>
      <w:r>
        <w:rPr>
          <w:rFonts w:ascii="宋体" w:eastAsia="宋体" w:hAnsi="宋体" w:cs="宋体"/>
          <w:spacing w:val="-3"/>
          <w:sz w:val="16"/>
          <w:szCs w:val="16"/>
        </w:rPr>
        <w:t xml:space="preserve"> </w:t>
      </w:r>
      <w:r>
        <w:rPr>
          <w:rFonts w:ascii="宋体" w:eastAsia="宋体" w:hAnsi="宋体" w:cs="宋体"/>
          <w:spacing w:val="-4"/>
          <w:sz w:val="16"/>
          <w:szCs w:val="16"/>
        </w:rPr>
        <w:t>Nurition</w:t>
      </w:r>
      <w:r>
        <w:rPr>
          <w:rFonts w:ascii="宋体" w:eastAsia="宋体" w:hAnsi="宋体" w:cs="宋体"/>
          <w:spacing w:val="-5"/>
          <w:sz w:val="16"/>
          <w:szCs w:val="16"/>
        </w:rPr>
        <w:t>:</w:t>
      </w:r>
      <w:r>
        <w:rPr>
          <w:rFonts w:ascii="宋体" w:eastAsia="宋体" w:hAnsi="宋体" w:cs="宋体"/>
          <w:spacing w:val="-4"/>
          <w:sz w:val="16"/>
          <w:szCs w:val="16"/>
        </w:rPr>
        <w:t>comcept</w:t>
      </w:r>
      <w:r>
        <w:rPr>
          <w:rFonts w:ascii="宋体" w:eastAsia="宋体" w:hAnsi="宋体" w:cs="宋体"/>
          <w:spacing w:val="1"/>
          <w:sz w:val="16"/>
          <w:szCs w:val="16"/>
        </w:rPr>
        <w:t xml:space="preserve"> </w:t>
      </w:r>
      <w:r>
        <w:rPr>
          <w:rFonts w:ascii="宋体" w:eastAsia="宋体" w:hAnsi="宋体" w:cs="宋体"/>
          <w:spacing w:val="-5"/>
          <w:sz w:val="16"/>
          <w:szCs w:val="16"/>
        </w:rPr>
        <w:t>and</w:t>
      </w:r>
      <w:r>
        <w:rPr>
          <w:rFonts w:ascii="宋体" w:eastAsia="宋体" w:hAnsi="宋体" w:cs="宋体"/>
          <w:spacing w:val="5"/>
          <w:sz w:val="16"/>
          <w:szCs w:val="16"/>
        </w:rPr>
        <w:t xml:space="preserve"> </w:t>
      </w:r>
      <w:r>
        <w:rPr>
          <w:rFonts w:ascii="宋体" w:eastAsia="宋体" w:hAnsi="宋体" w:cs="宋体"/>
          <w:spacing w:val="-5"/>
          <w:sz w:val="16"/>
          <w:szCs w:val="16"/>
        </w:rPr>
        <w:t>controversies.</w:t>
      </w:r>
      <w:r>
        <w:rPr>
          <w:rFonts w:ascii="宋体" w:eastAsia="宋体" w:hAnsi="宋体" w:cs="宋体"/>
          <w:spacing w:val="1"/>
          <w:sz w:val="16"/>
          <w:szCs w:val="16"/>
        </w:rPr>
        <w:t xml:space="preserve"> </w:t>
      </w:r>
      <w:r>
        <w:rPr>
          <w:rFonts w:ascii="宋体" w:eastAsia="宋体" w:hAnsi="宋体" w:cs="宋体"/>
          <w:spacing w:val="-5"/>
          <w:sz w:val="16"/>
          <w:szCs w:val="16"/>
        </w:rPr>
        <w:t>8th.</w:t>
      </w:r>
      <w:r>
        <w:rPr>
          <w:rFonts w:ascii="宋体" w:eastAsia="宋体" w:hAnsi="宋体" w:cs="宋体"/>
          <w:spacing w:val="-3"/>
          <w:sz w:val="16"/>
          <w:szCs w:val="16"/>
        </w:rPr>
        <w:t xml:space="preserve"> </w:t>
      </w:r>
      <w:r>
        <w:rPr>
          <w:rFonts w:ascii="宋体" w:eastAsia="宋体" w:hAnsi="宋体" w:cs="宋体"/>
          <w:spacing w:val="-5"/>
          <w:sz w:val="16"/>
          <w:szCs w:val="16"/>
        </w:rPr>
        <w:t>Wadworth</w:t>
      </w:r>
      <w:r>
        <w:rPr>
          <w:rFonts w:ascii="宋体" w:eastAsia="宋体" w:hAnsi="宋体" w:cs="宋体"/>
          <w:spacing w:val="-1"/>
          <w:sz w:val="16"/>
          <w:szCs w:val="16"/>
        </w:rPr>
        <w:t xml:space="preserve"> </w:t>
      </w:r>
      <w:r>
        <w:rPr>
          <w:rFonts w:ascii="宋体" w:eastAsia="宋体" w:hAnsi="宋体" w:cs="宋体"/>
          <w:spacing w:val="-5"/>
          <w:sz w:val="16"/>
          <w:szCs w:val="16"/>
        </w:rPr>
        <w:t>Thomson</w:t>
      </w:r>
      <w:r>
        <w:rPr>
          <w:rFonts w:ascii="宋体" w:eastAsia="宋体" w:hAnsi="宋体" w:cs="宋体"/>
          <w:spacing w:val="1"/>
          <w:sz w:val="16"/>
          <w:szCs w:val="16"/>
        </w:rPr>
        <w:t xml:space="preserve"> </w:t>
      </w:r>
      <w:r>
        <w:rPr>
          <w:rFonts w:ascii="宋体" w:eastAsia="宋体" w:hAnsi="宋体" w:cs="宋体"/>
          <w:spacing w:val="-5"/>
          <w:sz w:val="16"/>
          <w:szCs w:val="16"/>
        </w:rPr>
        <w:t>Learing</w:t>
      </w:r>
    </w:p>
    <w:p w:rsidR="00EA40A3" w:rsidRDefault="00E86C16">
      <w:pPr>
        <w:spacing w:before="185"/>
        <w:ind w:right="167"/>
        <w:jc w:val="right"/>
        <w:rPr>
          <w:rFonts w:ascii="宋体" w:eastAsia="宋体" w:hAnsi="宋体" w:cs="宋体"/>
          <w:sz w:val="16"/>
          <w:szCs w:val="16"/>
        </w:rPr>
      </w:pPr>
      <w:r>
        <w:rPr>
          <w:rFonts w:ascii="宋体" w:eastAsia="宋体" w:hAnsi="宋体" w:cs="宋体"/>
          <w:spacing w:val="-13"/>
          <w:sz w:val="16"/>
          <w:szCs w:val="16"/>
        </w:rPr>
        <w:t>·123</w:t>
      </w:r>
      <w:r>
        <w:rPr>
          <w:rFonts w:ascii="宋体" w:eastAsia="宋体" w:hAnsi="宋体" w:cs="宋体"/>
          <w:spacing w:val="23"/>
          <w:sz w:val="16"/>
          <w:szCs w:val="16"/>
        </w:rPr>
        <w:t xml:space="preserve">  </w:t>
      </w:r>
      <w:r>
        <w:rPr>
          <w:rFonts w:ascii="宋体" w:eastAsia="宋体" w:hAnsi="宋体" w:cs="宋体"/>
          <w:spacing w:val="-13"/>
          <w:sz w:val="16"/>
          <w:szCs w:val="16"/>
        </w:rPr>
        <w:t>·</w:t>
      </w:r>
    </w:p>
    <w:p w:rsidR="00EA40A3" w:rsidRDefault="00EA40A3">
      <w:pPr>
        <w:sectPr w:rsidR="00EA40A3">
          <w:pgSz w:w="9220" w:h="13370"/>
          <w:pgMar w:top="400" w:right="939" w:bottom="400" w:left="930" w:header="0" w:footer="0" w:gutter="0"/>
          <w:cols w:space="720"/>
        </w:sectPr>
      </w:pPr>
    </w:p>
    <w:p w:rsidR="00EA40A3" w:rsidRDefault="00EA40A3">
      <w:pPr>
        <w:spacing w:line="288" w:lineRule="auto"/>
      </w:pPr>
    </w:p>
    <w:p w:rsidR="00EA40A3" w:rsidRDefault="00EA40A3">
      <w:pPr>
        <w:spacing w:line="288" w:lineRule="auto"/>
      </w:pPr>
    </w:p>
    <w:p w:rsidR="00EA40A3" w:rsidRDefault="00E86C16">
      <w:pPr>
        <w:spacing w:before="71" w:line="246" w:lineRule="auto"/>
        <w:ind w:right="158"/>
        <w:jc w:val="both"/>
        <w:rPr>
          <w:rFonts w:ascii="宋体" w:eastAsia="宋体" w:hAnsi="宋体" w:cs="宋体"/>
          <w:sz w:val="22"/>
          <w:szCs w:val="22"/>
        </w:rPr>
      </w:pPr>
      <w:r>
        <w:rPr>
          <w:rFonts w:ascii="宋体" w:eastAsia="宋体" w:hAnsi="宋体" w:cs="宋体"/>
          <w:spacing w:val="-13"/>
          <w:sz w:val="22"/>
          <w:szCs w:val="22"/>
        </w:rPr>
        <w:t>结膜，并出现相应的症状如唾液腺、胃腺、泪腺等分泌减少。其中最</w:t>
      </w:r>
      <w:r>
        <w:rPr>
          <w:rFonts w:ascii="宋体" w:eastAsia="宋体" w:hAnsi="宋体" w:cs="宋体"/>
          <w:spacing w:val="-14"/>
          <w:sz w:val="22"/>
          <w:szCs w:val="22"/>
        </w:rPr>
        <w:t>显著的是眼</w:t>
      </w:r>
      <w:r>
        <w:rPr>
          <w:rFonts w:ascii="宋体" w:eastAsia="宋体" w:hAnsi="宋体" w:cs="宋体"/>
          <w:sz w:val="22"/>
          <w:szCs w:val="22"/>
        </w:rPr>
        <w:t xml:space="preserve"> </w:t>
      </w:r>
      <w:r>
        <w:rPr>
          <w:rFonts w:ascii="宋体" w:eastAsia="宋体" w:hAnsi="宋体" w:cs="宋体"/>
          <w:spacing w:val="-6"/>
          <w:sz w:val="22"/>
          <w:szCs w:val="22"/>
        </w:rPr>
        <w:t>部因角膜和结膜上皮的退变，泪液分泌减少而引起干眼病(xerophthalmia),患</w:t>
      </w:r>
      <w:r>
        <w:rPr>
          <w:rFonts w:ascii="宋体" w:eastAsia="宋体" w:hAnsi="宋体" w:cs="宋体"/>
          <w:spacing w:val="2"/>
          <w:sz w:val="22"/>
          <w:szCs w:val="22"/>
        </w:rPr>
        <w:t xml:space="preserve"> </w:t>
      </w:r>
      <w:r>
        <w:rPr>
          <w:rFonts w:ascii="宋体" w:eastAsia="宋体" w:hAnsi="宋体" w:cs="宋体"/>
          <w:spacing w:val="-13"/>
          <w:sz w:val="22"/>
          <w:szCs w:val="22"/>
        </w:rPr>
        <w:t>者常感眼睛干燥、怕光、流泪、发炎、疼痛，严重的引起角膜软</w:t>
      </w:r>
      <w:r>
        <w:rPr>
          <w:rFonts w:ascii="宋体" w:eastAsia="宋体" w:hAnsi="宋体" w:cs="宋体"/>
          <w:spacing w:val="-14"/>
          <w:sz w:val="22"/>
          <w:szCs w:val="22"/>
        </w:rPr>
        <w:t>化及溃疡，还可</w:t>
      </w:r>
      <w:r>
        <w:rPr>
          <w:rFonts w:ascii="宋体" w:eastAsia="宋体" w:hAnsi="宋体" w:cs="宋体"/>
          <w:sz w:val="22"/>
          <w:szCs w:val="22"/>
        </w:rPr>
        <w:t xml:space="preserve"> </w:t>
      </w:r>
      <w:r>
        <w:rPr>
          <w:rFonts w:ascii="宋体" w:eastAsia="宋体" w:hAnsi="宋体" w:cs="宋体"/>
          <w:spacing w:val="-12"/>
          <w:sz w:val="22"/>
          <w:szCs w:val="22"/>
        </w:rPr>
        <w:t>出现角膜皱褶及毕脱氏斑</w:t>
      </w:r>
      <w:r>
        <w:rPr>
          <w:rFonts w:ascii="宋体" w:eastAsia="宋体" w:hAnsi="宋体" w:cs="宋体"/>
          <w:spacing w:val="-10"/>
          <w:sz w:val="22"/>
          <w:szCs w:val="22"/>
        </w:rPr>
        <w:t xml:space="preserve"> </w:t>
      </w:r>
      <w:r>
        <w:rPr>
          <w:rFonts w:ascii="宋体" w:eastAsia="宋体" w:hAnsi="宋体" w:cs="宋体"/>
          <w:spacing w:val="-12"/>
          <w:sz w:val="22"/>
          <w:szCs w:val="22"/>
        </w:rPr>
        <w:t>(Bitot's</w:t>
      </w:r>
      <w:r>
        <w:rPr>
          <w:rFonts w:ascii="宋体" w:eastAsia="宋体" w:hAnsi="宋体" w:cs="宋体"/>
          <w:spacing w:val="2"/>
          <w:sz w:val="22"/>
          <w:szCs w:val="22"/>
        </w:rPr>
        <w:t xml:space="preserve"> </w:t>
      </w:r>
      <w:r>
        <w:rPr>
          <w:rFonts w:ascii="宋体" w:eastAsia="宋体" w:hAnsi="宋体" w:cs="宋体"/>
          <w:spacing w:val="-12"/>
          <w:sz w:val="22"/>
          <w:szCs w:val="22"/>
        </w:rPr>
        <w:t>spot),</w:t>
      </w:r>
      <w:r>
        <w:rPr>
          <w:rFonts w:ascii="宋体" w:eastAsia="宋体" w:hAnsi="宋体" w:cs="宋体"/>
          <w:spacing w:val="-60"/>
          <w:sz w:val="22"/>
          <w:szCs w:val="22"/>
        </w:rPr>
        <w:t xml:space="preserve"> </w:t>
      </w:r>
      <w:r>
        <w:rPr>
          <w:rFonts w:ascii="宋体" w:eastAsia="宋体" w:hAnsi="宋体" w:cs="宋体"/>
          <w:spacing w:val="-12"/>
          <w:sz w:val="22"/>
          <w:szCs w:val="22"/>
        </w:rPr>
        <w:t>发展下去</w:t>
      </w:r>
      <w:r>
        <w:rPr>
          <w:rFonts w:ascii="宋体" w:eastAsia="宋体" w:hAnsi="宋体" w:cs="宋体"/>
          <w:spacing w:val="-13"/>
          <w:sz w:val="22"/>
          <w:szCs w:val="22"/>
        </w:rPr>
        <w:t>可导致失明。此外，由于呼</w:t>
      </w:r>
      <w:r>
        <w:rPr>
          <w:rFonts w:ascii="宋体" w:eastAsia="宋体" w:hAnsi="宋体" w:cs="宋体"/>
          <w:sz w:val="22"/>
          <w:szCs w:val="22"/>
        </w:rPr>
        <w:t xml:space="preserve"> </w:t>
      </w:r>
      <w:r>
        <w:rPr>
          <w:rFonts w:ascii="宋体" w:eastAsia="宋体" w:hAnsi="宋体" w:cs="宋体"/>
          <w:spacing w:val="-13"/>
          <w:sz w:val="22"/>
          <w:szCs w:val="22"/>
        </w:rPr>
        <w:t>吸道上皮细胞的角化和失去纤毛，可使呼吸道抵抗力降低易感染，特别</w:t>
      </w:r>
      <w:r>
        <w:rPr>
          <w:rFonts w:ascii="宋体" w:eastAsia="宋体" w:hAnsi="宋体" w:cs="宋体"/>
          <w:spacing w:val="-14"/>
          <w:sz w:val="22"/>
          <w:szCs w:val="22"/>
        </w:rPr>
        <w:t>是儿童及</w:t>
      </w:r>
      <w:r>
        <w:rPr>
          <w:rFonts w:ascii="宋体" w:eastAsia="宋体" w:hAnsi="宋体" w:cs="宋体"/>
          <w:sz w:val="22"/>
          <w:szCs w:val="22"/>
        </w:rPr>
        <w:t xml:space="preserve"> </w:t>
      </w:r>
      <w:r>
        <w:rPr>
          <w:rFonts w:ascii="宋体" w:eastAsia="宋体" w:hAnsi="宋体" w:cs="宋体"/>
          <w:spacing w:val="-17"/>
          <w:sz w:val="22"/>
          <w:szCs w:val="22"/>
        </w:rPr>
        <w:t>老年人易引起呼吸道炎症。</w:t>
      </w:r>
    </w:p>
    <w:p w:rsidR="00EA40A3" w:rsidRDefault="00E86C16">
      <w:pPr>
        <w:spacing w:before="55" w:line="224" w:lineRule="auto"/>
        <w:rPr>
          <w:rFonts w:ascii="楷体" w:eastAsia="楷体" w:hAnsi="楷体" w:cs="楷体"/>
          <w:sz w:val="22"/>
          <w:szCs w:val="22"/>
        </w:rPr>
      </w:pPr>
      <w:r>
        <w:rPr>
          <w:rFonts w:ascii="楷体" w:eastAsia="楷体" w:hAnsi="楷体" w:cs="楷体"/>
          <w:sz w:val="22"/>
          <w:szCs w:val="22"/>
        </w:rPr>
        <w:t>2)维生素A</w:t>
      </w:r>
      <w:r>
        <w:rPr>
          <w:rFonts w:ascii="楷体" w:eastAsia="楷体" w:hAnsi="楷体" w:cs="楷体"/>
          <w:spacing w:val="9"/>
          <w:sz w:val="22"/>
          <w:szCs w:val="22"/>
        </w:rPr>
        <w:t xml:space="preserve"> </w:t>
      </w:r>
      <w:r>
        <w:rPr>
          <w:rFonts w:ascii="楷体" w:eastAsia="楷体" w:hAnsi="楷体" w:cs="楷体"/>
          <w:sz w:val="22"/>
          <w:szCs w:val="22"/>
        </w:rPr>
        <w:t>的过量与毒性</w:t>
      </w:r>
    </w:p>
    <w:p w:rsidR="00EA40A3" w:rsidRDefault="00E86C16">
      <w:pPr>
        <w:spacing w:before="59" w:line="249" w:lineRule="auto"/>
        <w:ind w:firstLine="500"/>
        <w:jc w:val="both"/>
        <w:rPr>
          <w:rFonts w:ascii="宋体" w:eastAsia="宋体" w:hAnsi="宋体" w:cs="宋体"/>
          <w:sz w:val="22"/>
          <w:szCs w:val="22"/>
        </w:rPr>
      </w:pPr>
      <w:r>
        <w:rPr>
          <w:rFonts w:ascii="宋体" w:eastAsia="宋体" w:hAnsi="宋体" w:cs="宋体"/>
          <w:spacing w:val="-11"/>
          <w:sz w:val="22"/>
          <w:szCs w:val="22"/>
        </w:rPr>
        <w:t>由于维生素A</w:t>
      </w:r>
      <w:r>
        <w:rPr>
          <w:rFonts w:ascii="宋体" w:eastAsia="宋体" w:hAnsi="宋体" w:cs="宋体"/>
          <w:spacing w:val="11"/>
          <w:sz w:val="22"/>
          <w:szCs w:val="22"/>
        </w:rPr>
        <w:t xml:space="preserve"> </w:t>
      </w:r>
      <w:r>
        <w:rPr>
          <w:rFonts w:ascii="宋体" w:eastAsia="宋体" w:hAnsi="宋体" w:cs="宋体"/>
          <w:spacing w:val="-11"/>
          <w:sz w:val="22"/>
          <w:szCs w:val="22"/>
        </w:rPr>
        <w:t>可以在机体内储存，摄入过量的维生</w:t>
      </w:r>
      <w:r>
        <w:rPr>
          <w:rFonts w:ascii="宋体" w:eastAsia="宋体" w:hAnsi="宋体" w:cs="宋体"/>
          <w:spacing w:val="-12"/>
          <w:sz w:val="22"/>
          <w:szCs w:val="22"/>
        </w:rPr>
        <w:t>素A</w:t>
      </w:r>
      <w:r>
        <w:rPr>
          <w:rFonts w:ascii="宋体" w:eastAsia="宋体" w:hAnsi="宋体" w:cs="宋体"/>
          <w:spacing w:val="1"/>
          <w:sz w:val="22"/>
          <w:szCs w:val="22"/>
        </w:rPr>
        <w:t xml:space="preserve"> </w:t>
      </w:r>
      <w:r>
        <w:rPr>
          <w:rFonts w:ascii="宋体" w:eastAsia="宋体" w:hAnsi="宋体" w:cs="宋体"/>
          <w:spacing w:val="-12"/>
          <w:sz w:val="22"/>
          <w:szCs w:val="22"/>
        </w:rPr>
        <w:t>可能引起毒性反应，</w:t>
      </w:r>
      <w:r>
        <w:rPr>
          <w:rFonts w:ascii="宋体" w:eastAsia="宋体" w:hAnsi="宋体" w:cs="宋体"/>
          <w:sz w:val="22"/>
          <w:szCs w:val="22"/>
        </w:rPr>
        <w:t xml:space="preserve"> </w:t>
      </w:r>
      <w:r>
        <w:rPr>
          <w:rFonts w:ascii="宋体" w:eastAsia="宋体" w:hAnsi="宋体" w:cs="宋体"/>
          <w:spacing w:val="-14"/>
          <w:sz w:val="22"/>
          <w:szCs w:val="22"/>
        </w:rPr>
        <w:t>包括急性、慢性和致畸毒性。急性毒性是由于一次或多次连续摄入大剂量的维生</w:t>
      </w:r>
      <w:r>
        <w:rPr>
          <w:rFonts w:ascii="宋体" w:eastAsia="宋体" w:hAnsi="宋体" w:cs="宋体"/>
          <w:spacing w:val="4"/>
          <w:sz w:val="22"/>
          <w:szCs w:val="22"/>
        </w:rPr>
        <w:t xml:space="preserve">  </w:t>
      </w:r>
      <w:r>
        <w:rPr>
          <w:rFonts w:ascii="宋体" w:eastAsia="宋体" w:hAnsi="宋体" w:cs="宋体"/>
          <w:spacing w:val="1"/>
          <w:sz w:val="22"/>
          <w:szCs w:val="22"/>
        </w:rPr>
        <w:t>素A,</w:t>
      </w:r>
      <w:r>
        <w:rPr>
          <w:rFonts w:ascii="宋体" w:eastAsia="宋体" w:hAnsi="宋体" w:cs="宋体"/>
          <w:spacing w:val="42"/>
          <w:sz w:val="22"/>
          <w:szCs w:val="22"/>
        </w:rPr>
        <w:t xml:space="preserve"> </w:t>
      </w:r>
      <w:r>
        <w:rPr>
          <w:rFonts w:ascii="宋体" w:eastAsia="宋体" w:hAnsi="宋体" w:cs="宋体"/>
          <w:spacing w:val="1"/>
          <w:sz w:val="22"/>
          <w:szCs w:val="22"/>
        </w:rPr>
        <w:t>常常是大于成人推荐摄入量的100倍，或大于儿童推荐摄入量的20倍，</w:t>
      </w:r>
      <w:r>
        <w:rPr>
          <w:rFonts w:ascii="宋体" w:eastAsia="宋体" w:hAnsi="宋体" w:cs="宋体"/>
          <w:sz w:val="22"/>
          <w:szCs w:val="22"/>
        </w:rPr>
        <w:t xml:space="preserve"> </w:t>
      </w:r>
      <w:r>
        <w:rPr>
          <w:rFonts w:ascii="宋体" w:eastAsia="宋体" w:hAnsi="宋体" w:cs="宋体"/>
          <w:spacing w:val="-7"/>
          <w:sz w:val="22"/>
          <w:szCs w:val="22"/>
        </w:rPr>
        <w:t>其早期症状有恶心、呕吐、头痛、眩晕、视觉模糊、肌肉失调和婴儿的囟门突</w:t>
      </w:r>
      <w:r>
        <w:rPr>
          <w:rFonts w:ascii="宋体" w:eastAsia="宋体" w:hAnsi="宋体" w:cs="宋体"/>
          <w:sz w:val="22"/>
          <w:szCs w:val="22"/>
        </w:rPr>
        <w:t xml:space="preserve">  </w:t>
      </w:r>
      <w:r>
        <w:rPr>
          <w:rFonts w:ascii="宋体" w:eastAsia="宋体" w:hAnsi="宋体" w:cs="宋体"/>
          <w:spacing w:val="-13"/>
          <w:sz w:val="22"/>
          <w:szCs w:val="22"/>
        </w:rPr>
        <w:t>起。当剂量极大时，可出现嗜眠、厌食、少动、瘙痒、反复呕吐等。慢性毒性比</w:t>
      </w:r>
      <w:r>
        <w:rPr>
          <w:rFonts w:ascii="宋体" w:eastAsia="宋体" w:hAnsi="宋体" w:cs="宋体"/>
          <w:spacing w:val="8"/>
          <w:sz w:val="22"/>
          <w:szCs w:val="22"/>
        </w:rPr>
        <w:t xml:space="preserve">  </w:t>
      </w:r>
      <w:r>
        <w:rPr>
          <w:rFonts w:ascii="宋体" w:eastAsia="宋体" w:hAnsi="宋体" w:cs="宋体"/>
          <w:spacing w:val="-11"/>
          <w:sz w:val="22"/>
          <w:szCs w:val="22"/>
        </w:rPr>
        <w:t>急性毒性常见，是由于几周到几年之内反复服用维生素A,</w:t>
      </w:r>
      <w:r>
        <w:rPr>
          <w:rFonts w:ascii="宋体" w:eastAsia="宋体" w:hAnsi="宋体" w:cs="宋体"/>
          <w:spacing w:val="41"/>
          <w:sz w:val="22"/>
          <w:szCs w:val="22"/>
        </w:rPr>
        <w:t xml:space="preserve"> </w:t>
      </w:r>
      <w:r>
        <w:rPr>
          <w:rFonts w:ascii="宋体" w:eastAsia="宋体" w:hAnsi="宋体" w:cs="宋体"/>
          <w:spacing w:val="-11"/>
          <w:sz w:val="22"/>
          <w:szCs w:val="22"/>
        </w:rPr>
        <w:t>使</w:t>
      </w:r>
      <w:r>
        <w:rPr>
          <w:rFonts w:ascii="宋体" w:eastAsia="宋体" w:hAnsi="宋体" w:cs="宋体"/>
          <w:spacing w:val="-12"/>
          <w:sz w:val="22"/>
          <w:szCs w:val="22"/>
        </w:rPr>
        <w:t>用剂量为推荐摄入</w:t>
      </w:r>
      <w:r>
        <w:rPr>
          <w:rFonts w:ascii="宋体" w:eastAsia="宋体" w:hAnsi="宋体" w:cs="宋体"/>
          <w:sz w:val="22"/>
          <w:szCs w:val="22"/>
        </w:rPr>
        <w:t xml:space="preserve">  </w:t>
      </w:r>
      <w:r>
        <w:rPr>
          <w:rFonts w:ascii="宋体" w:eastAsia="宋体" w:hAnsi="宋体" w:cs="宋体"/>
          <w:spacing w:val="-7"/>
          <w:sz w:val="22"/>
          <w:szCs w:val="22"/>
        </w:rPr>
        <w:t>量的10倍以上，常见中毒表现有头痛、脱发、唇裂、皮肤干燥和瘙痒、长骨末</w:t>
      </w:r>
      <w:r>
        <w:rPr>
          <w:rFonts w:ascii="宋体" w:eastAsia="宋体" w:hAnsi="宋体" w:cs="宋体"/>
          <w:spacing w:val="2"/>
          <w:sz w:val="22"/>
          <w:szCs w:val="22"/>
        </w:rPr>
        <w:t xml:space="preserve">  </w:t>
      </w:r>
      <w:r>
        <w:rPr>
          <w:rFonts w:ascii="宋体" w:eastAsia="宋体" w:hAnsi="宋体" w:cs="宋体"/>
          <w:spacing w:val="-13"/>
          <w:sz w:val="22"/>
          <w:szCs w:val="22"/>
        </w:rPr>
        <w:t>端周围部分疼痛、肝脏肿大、肌肉僵硬等。胚胎发育不良、流产、</w:t>
      </w:r>
      <w:r>
        <w:rPr>
          <w:rFonts w:ascii="宋体" w:eastAsia="宋体" w:hAnsi="宋体" w:cs="宋体"/>
          <w:spacing w:val="-14"/>
          <w:sz w:val="22"/>
          <w:szCs w:val="22"/>
        </w:rPr>
        <w:t>出生缺陷和子</w:t>
      </w:r>
      <w:r>
        <w:rPr>
          <w:rFonts w:ascii="宋体" w:eastAsia="宋体" w:hAnsi="宋体" w:cs="宋体"/>
          <w:sz w:val="22"/>
          <w:szCs w:val="22"/>
        </w:rPr>
        <w:t xml:space="preserve">  </w:t>
      </w:r>
      <w:r>
        <w:rPr>
          <w:rFonts w:ascii="宋体" w:eastAsia="宋体" w:hAnsi="宋体" w:cs="宋体"/>
          <w:spacing w:val="-8"/>
          <w:sz w:val="22"/>
          <w:szCs w:val="22"/>
        </w:rPr>
        <w:t>代永久性学习能力丧失是维生素</w:t>
      </w:r>
      <w:r>
        <w:rPr>
          <w:rFonts w:ascii="宋体" w:eastAsia="宋体" w:hAnsi="宋体" w:cs="宋体"/>
          <w:spacing w:val="-53"/>
          <w:sz w:val="22"/>
          <w:szCs w:val="22"/>
        </w:rPr>
        <w:t xml:space="preserve"> </w:t>
      </w:r>
      <w:r>
        <w:rPr>
          <w:rFonts w:ascii="宋体" w:eastAsia="宋体" w:hAnsi="宋体" w:cs="宋体"/>
          <w:spacing w:val="-8"/>
          <w:sz w:val="22"/>
          <w:szCs w:val="22"/>
        </w:rPr>
        <w:t>A</w:t>
      </w:r>
      <w:r>
        <w:rPr>
          <w:rFonts w:ascii="宋体" w:eastAsia="宋体" w:hAnsi="宋体" w:cs="宋体"/>
          <w:spacing w:val="2"/>
          <w:sz w:val="22"/>
          <w:szCs w:val="22"/>
        </w:rPr>
        <w:t xml:space="preserve"> </w:t>
      </w:r>
      <w:r>
        <w:rPr>
          <w:rFonts w:ascii="宋体" w:eastAsia="宋体" w:hAnsi="宋体" w:cs="宋体"/>
          <w:spacing w:val="-8"/>
          <w:sz w:val="22"/>
          <w:szCs w:val="22"/>
        </w:rPr>
        <w:t>最严重的致畸作用，若孕妇在妊娠早期每日</w:t>
      </w:r>
      <w:r>
        <w:rPr>
          <w:rFonts w:ascii="宋体" w:eastAsia="宋体" w:hAnsi="宋体" w:cs="宋体"/>
          <w:sz w:val="22"/>
          <w:szCs w:val="22"/>
        </w:rPr>
        <w:t xml:space="preserve">  </w:t>
      </w:r>
      <w:r>
        <w:rPr>
          <w:rFonts w:ascii="宋体" w:eastAsia="宋体" w:hAnsi="宋体" w:cs="宋体"/>
          <w:spacing w:val="-4"/>
          <w:sz w:val="22"/>
          <w:szCs w:val="22"/>
        </w:rPr>
        <w:t>大剂量摄入维生素A,</w:t>
      </w:r>
      <w:r>
        <w:rPr>
          <w:rFonts w:ascii="宋体" w:eastAsia="宋体" w:hAnsi="宋体" w:cs="宋体"/>
          <w:spacing w:val="31"/>
          <w:sz w:val="22"/>
          <w:szCs w:val="22"/>
        </w:rPr>
        <w:t xml:space="preserve"> </w:t>
      </w:r>
      <w:r>
        <w:rPr>
          <w:rFonts w:ascii="宋体" w:eastAsia="宋体" w:hAnsi="宋体" w:cs="宋体"/>
          <w:spacing w:val="-4"/>
          <w:sz w:val="22"/>
          <w:szCs w:val="22"/>
        </w:rPr>
        <w:t>娩出畸形儿的概率明显增加</w:t>
      </w:r>
      <w:r>
        <w:rPr>
          <w:rFonts w:ascii="宋体" w:eastAsia="宋体" w:hAnsi="宋体" w:cs="宋体"/>
          <w:spacing w:val="-5"/>
          <w:sz w:val="22"/>
          <w:szCs w:val="22"/>
        </w:rPr>
        <w:t>。维生素A</w:t>
      </w:r>
      <w:r>
        <w:rPr>
          <w:rFonts w:ascii="宋体" w:eastAsia="宋体" w:hAnsi="宋体" w:cs="宋体"/>
          <w:spacing w:val="2"/>
          <w:sz w:val="22"/>
          <w:szCs w:val="22"/>
        </w:rPr>
        <w:t xml:space="preserve"> </w:t>
      </w:r>
      <w:r>
        <w:rPr>
          <w:rFonts w:ascii="宋体" w:eastAsia="宋体" w:hAnsi="宋体" w:cs="宋体"/>
          <w:spacing w:val="-5"/>
          <w:sz w:val="22"/>
          <w:szCs w:val="22"/>
        </w:rPr>
        <w:t>过多往往是服用</w:t>
      </w:r>
      <w:r>
        <w:rPr>
          <w:rFonts w:ascii="宋体" w:eastAsia="宋体" w:hAnsi="宋体" w:cs="宋体"/>
          <w:sz w:val="22"/>
          <w:szCs w:val="22"/>
        </w:rPr>
        <w:t xml:space="preserve">  </w:t>
      </w:r>
      <w:r>
        <w:rPr>
          <w:rFonts w:ascii="宋体" w:eastAsia="宋体" w:hAnsi="宋体" w:cs="宋体"/>
          <w:spacing w:val="-11"/>
          <w:sz w:val="22"/>
          <w:szCs w:val="22"/>
        </w:rPr>
        <w:t>维生素A</w:t>
      </w:r>
      <w:r>
        <w:rPr>
          <w:rFonts w:ascii="宋体" w:eastAsia="宋体" w:hAnsi="宋体" w:cs="宋体"/>
          <w:spacing w:val="-14"/>
          <w:sz w:val="22"/>
          <w:szCs w:val="22"/>
        </w:rPr>
        <w:t xml:space="preserve"> </w:t>
      </w:r>
      <w:r>
        <w:rPr>
          <w:rFonts w:ascii="宋体" w:eastAsia="宋体" w:hAnsi="宋体" w:cs="宋体"/>
          <w:spacing w:val="-11"/>
          <w:sz w:val="22"/>
          <w:szCs w:val="22"/>
        </w:rPr>
        <w:t>制剂或食用海洋鱼类及某些野生动物肝脏引起，</w:t>
      </w:r>
      <w:r>
        <w:rPr>
          <w:rFonts w:ascii="宋体" w:eastAsia="宋体" w:hAnsi="宋体" w:cs="宋体"/>
          <w:spacing w:val="56"/>
          <w:sz w:val="22"/>
          <w:szCs w:val="22"/>
        </w:rPr>
        <w:t xml:space="preserve"> </w:t>
      </w:r>
      <w:r>
        <w:rPr>
          <w:rFonts w:ascii="宋体" w:eastAsia="宋体" w:hAnsi="宋体" w:cs="宋体"/>
          <w:spacing w:val="-11"/>
          <w:sz w:val="22"/>
          <w:szCs w:val="22"/>
        </w:rPr>
        <w:t>一般膳食是不会引起</w:t>
      </w:r>
      <w:r>
        <w:rPr>
          <w:rFonts w:ascii="宋体" w:eastAsia="宋体" w:hAnsi="宋体" w:cs="宋体"/>
          <w:sz w:val="22"/>
          <w:szCs w:val="22"/>
        </w:rPr>
        <w:t xml:space="preserve">  </w:t>
      </w:r>
      <w:r>
        <w:rPr>
          <w:rFonts w:ascii="宋体" w:eastAsia="宋体" w:hAnsi="宋体" w:cs="宋体"/>
          <w:spacing w:val="-13"/>
          <w:sz w:val="22"/>
          <w:szCs w:val="22"/>
        </w:rPr>
        <w:t>中毒的。饮食中大量的类胡萝卜素虽会造成皮肤变黄，但未见其</w:t>
      </w:r>
      <w:r>
        <w:rPr>
          <w:rFonts w:ascii="宋体" w:eastAsia="宋体" w:hAnsi="宋体" w:cs="宋体"/>
          <w:spacing w:val="-14"/>
          <w:sz w:val="22"/>
          <w:szCs w:val="22"/>
        </w:rPr>
        <w:t>毒性。目前，世</w:t>
      </w:r>
      <w:r>
        <w:rPr>
          <w:rFonts w:ascii="宋体" w:eastAsia="宋体" w:hAnsi="宋体" w:cs="宋体"/>
          <w:sz w:val="22"/>
          <w:szCs w:val="22"/>
        </w:rPr>
        <w:t xml:space="preserve">  </w:t>
      </w:r>
      <w:r>
        <w:rPr>
          <w:rFonts w:ascii="宋体" w:eastAsia="宋体" w:hAnsi="宋体" w:cs="宋体"/>
          <w:spacing w:val="-13"/>
          <w:sz w:val="22"/>
          <w:szCs w:val="22"/>
        </w:rPr>
        <w:t>界上大多数国家是处于维生素</w:t>
      </w:r>
      <w:r>
        <w:rPr>
          <w:rFonts w:ascii="宋体" w:eastAsia="宋体" w:hAnsi="宋体" w:cs="宋体"/>
          <w:spacing w:val="-60"/>
          <w:sz w:val="22"/>
          <w:szCs w:val="22"/>
        </w:rPr>
        <w:t xml:space="preserve"> </w:t>
      </w:r>
      <w:r>
        <w:rPr>
          <w:rFonts w:ascii="宋体" w:eastAsia="宋体" w:hAnsi="宋体" w:cs="宋体"/>
          <w:spacing w:val="-13"/>
          <w:sz w:val="22"/>
          <w:szCs w:val="22"/>
        </w:rPr>
        <w:t>A</w:t>
      </w:r>
      <w:r>
        <w:rPr>
          <w:rFonts w:ascii="宋体" w:eastAsia="宋体" w:hAnsi="宋体" w:cs="宋体"/>
          <w:spacing w:val="-18"/>
          <w:sz w:val="22"/>
          <w:szCs w:val="22"/>
        </w:rPr>
        <w:t xml:space="preserve"> </w:t>
      </w:r>
      <w:r>
        <w:rPr>
          <w:rFonts w:ascii="宋体" w:eastAsia="宋体" w:hAnsi="宋体" w:cs="宋体"/>
          <w:spacing w:val="-13"/>
          <w:sz w:val="22"/>
          <w:szCs w:val="22"/>
        </w:rPr>
        <w:t>摄入不足的状况。</w:t>
      </w:r>
    </w:p>
    <w:p w:rsidR="00EA40A3" w:rsidRDefault="00E86C16">
      <w:pPr>
        <w:spacing w:before="285"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32"/>
          <w:sz w:val="22"/>
          <w:szCs w:val="22"/>
        </w:rPr>
        <w:t xml:space="preserve"> </w:t>
      </w:r>
      <w:r>
        <w:rPr>
          <w:rFonts w:ascii="仿宋" w:eastAsia="仿宋" w:hAnsi="仿宋" w:cs="仿宋"/>
          <w:spacing w:val="14"/>
          <w:sz w:val="22"/>
          <w:szCs w:val="22"/>
        </w:rPr>
        <w:t>维生素A</w:t>
      </w:r>
      <w:r>
        <w:rPr>
          <w:rFonts w:ascii="仿宋" w:eastAsia="仿宋" w:hAnsi="仿宋" w:cs="仿宋"/>
          <w:spacing w:val="51"/>
          <w:sz w:val="22"/>
          <w:szCs w:val="22"/>
        </w:rPr>
        <w:t xml:space="preserve"> </w:t>
      </w:r>
      <w:r>
        <w:rPr>
          <w:rFonts w:ascii="仿宋" w:eastAsia="仿宋" w:hAnsi="仿宋" w:cs="仿宋"/>
          <w:spacing w:val="14"/>
          <w:sz w:val="22"/>
          <w:szCs w:val="22"/>
        </w:rPr>
        <w:t>的参考摄入量与食物来源</w:t>
      </w:r>
    </w:p>
    <w:p w:rsidR="00EA40A3" w:rsidRDefault="00E86C16">
      <w:pPr>
        <w:spacing w:before="186" w:line="246" w:lineRule="auto"/>
        <w:ind w:right="40" w:firstLine="439"/>
        <w:jc w:val="both"/>
        <w:rPr>
          <w:rFonts w:ascii="宋体" w:eastAsia="宋体" w:hAnsi="宋体" w:cs="宋体"/>
          <w:sz w:val="22"/>
          <w:szCs w:val="22"/>
        </w:rPr>
      </w:pPr>
      <w:r>
        <w:rPr>
          <w:rFonts w:ascii="宋体" w:eastAsia="宋体" w:hAnsi="宋体" w:cs="宋体"/>
          <w:spacing w:val="-9"/>
          <w:sz w:val="22"/>
          <w:szCs w:val="22"/>
        </w:rPr>
        <w:t>采用耗竭-补充的方法研究成年人维生素A 需要量的结果表明，</w:t>
      </w:r>
      <w:r>
        <w:rPr>
          <w:rFonts w:ascii="宋体" w:eastAsia="宋体" w:hAnsi="宋体" w:cs="宋体"/>
          <w:spacing w:val="-10"/>
          <w:sz w:val="22"/>
          <w:szCs w:val="22"/>
        </w:rPr>
        <w:t>预防维生素</w:t>
      </w:r>
      <w:r>
        <w:rPr>
          <w:rFonts w:ascii="宋体" w:eastAsia="宋体" w:hAnsi="宋体" w:cs="宋体"/>
          <w:sz w:val="22"/>
          <w:szCs w:val="22"/>
        </w:rPr>
        <w:t xml:space="preserve"> </w:t>
      </w:r>
      <w:r>
        <w:rPr>
          <w:rFonts w:ascii="宋体" w:eastAsia="宋体" w:hAnsi="宋体" w:cs="宋体"/>
          <w:spacing w:val="-9"/>
          <w:sz w:val="22"/>
          <w:szCs w:val="22"/>
        </w:rPr>
        <w:t>A</w:t>
      </w:r>
      <w:r>
        <w:rPr>
          <w:rFonts w:ascii="宋体" w:eastAsia="宋体" w:hAnsi="宋体" w:cs="宋体"/>
          <w:spacing w:val="-17"/>
          <w:sz w:val="22"/>
          <w:szCs w:val="22"/>
        </w:rPr>
        <w:t xml:space="preserve"> </w:t>
      </w:r>
      <w:r>
        <w:rPr>
          <w:rFonts w:ascii="宋体" w:eastAsia="宋体" w:hAnsi="宋体" w:cs="宋体"/>
          <w:spacing w:val="-9"/>
          <w:sz w:val="22"/>
          <w:szCs w:val="22"/>
        </w:rPr>
        <w:t>缺乏的最低需要量不低于300μg/d,</w:t>
      </w:r>
      <w:r>
        <w:rPr>
          <w:rFonts w:ascii="宋体" w:eastAsia="宋体" w:hAnsi="宋体" w:cs="宋体"/>
          <w:spacing w:val="-18"/>
          <w:sz w:val="22"/>
          <w:szCs w:val="22"/>
        </w:rPr>
        <w:t xml:space="preserve"> </w:t>
      </w:r>
      <w:r>
        <w:rPr>
          <w:rFonts w:ascii="宋体" w:eastAsia="宋体" w:hAnsi="宋体" w:cs="宋体"/>
          <w:spacing w:val="-9"/>
          <w:sz w:val="22"/>
          <w:szCs w:val="22"/>
        </w:rPr>
        <w:t>适宜供给量为600～1000μg/d。我国居民</w:t>
      </w:r>
      <w:r>
        <w:rPr>
          <w:rFonts w:ascii="宋体" w:eastAsia="宋体" w:hAnsi="宋体" w:cs="宋体"/>
          <w:sz w:val="22"/>
          <w:szCs w:val="22"/>
        </w:rPr>
        <w:t xml:space="preserve"> </w:t>
      </w:r>
      <w:r>
        <w:rPr>
          <w:rFonts w:ascii="宋体" w:eastAsia="宋体" w:hAnsi="宋体" w:cs="宋体"/>
          <w:spacing w:val="1"/>
          <w:sz w:val="22"/>
          <w:szCs w:val="22"/>
        </w:rPr>
        <w:t>膳食维生素A</w:t>
      </w:r>
      <w:r>
        <w:rPr>
          <w:rFonts w:ascii="宋体" w:eastAsia="宋体" w:hAnsi="宋体" w:cs="宋体"/>
          <w:spacing w:val="21"/>
          <w:sz w:val="22"/>
          <w:szCs w:val="22"/>
        </w:rPr>
        <w:t xml:space="preserve"> </w:t>
      </w:r>
      <w:r>
        <w:rPr>
          <w:rFonts w:ascii="宋体" w:eastAsia="宋体" w:hAnsi="宋体" w:cs="宋体"/>
          <w:spacing w:val="1"/>
          <w:sz w:val="22"/>
          <w:szCs w:val="22"/>
        </w:rPr>
        <w:t>的</w:t>
      </w:r>
      <w:r>
        <w:rPr>
          <w:rFonts w:ascii="宋体" w:eastAsia="宋体" w:hAnsi="宋体" w:cs="宋体"/>
          <w:spacing w:val="-44"/>
          <w:sz w:val="22"/>
          <w:szCs w:val="22"/>
        </w:rPr>
        <w:t xml:space="preserve"> </w:t>
      </w:r>
      <w:r>
        <w:rPr>
          <w:rFonts w:ascii="宋体" w:eastAsia="宋体" w:hAnsi="宋体" w:cs="宋体"/>
          <w:sz w:val="22"/>
          <w:szCs w:val="22"/>
        </w:rPr>
        <w:t>RNI</w:t>
      </w:r>
      <w:r>
        <w:rPr>
          <w:rFonts w:ascii="宋体" w:eastAsia="宋体" w:hAnsi="宋体" w:cs="宋体"/>
          <w:spacing w:val="1"/>
          <w:sz w:val="22"/>
          <w:szCs w:val="22"/>
        </w:rPr>
        <w:t>(μg/d)</w:t>
      </w:r>
      <w:r>
        <w:rPr>
          <w:rFonts w:ascii="宋体" w:eastAsia="宋体" w:hAnsi="宋体" w:cs="宋体"/>
          <w:spacing w:val="67"/>
          <w:sz w:val="22"/>
          <w:szCs w:val="22"/>
        </w:rPr>
        <w:t xml:space="preserve"> </w:t>
      </w:r>
      <w:r>
        <w:rPr>
          <w:rFonts w:ascii="宋体" w:eastAsia="宋体" w:hAnsi="宋体" w:cs="宋体"/>
          <w:spacing w:val="1"/>
          <w:sz w:val="22"/>
          <w:szCs w:val="22"/>
        </w:rPr>
        <w:t>分别定为：0.5～3岁400</w:t>
      </w:r>
      <w:r>
        <w:rPr>
          <w:rFonts w:ascii="宋体" w:eastAsia="宋体" w:hAnsi="宋体" w:cs="宋体"/>
          <w:spacing w:val="-1"/>
          <w:sz w:val="22"/>
          <w:szCs w:val="22"/>
        </w:rPr>
        <w:t xml:space="preserve"> </w:t>
      </w:r>
      <w:r>
        <w:rPr>
          <w:rFonts w:ascii="宋体" w:eastAsia="宋体" w:hAnsi="宋体" w:cs="宋体"/>
          <w:spacing w:val="1"/>
          <w:sz w:val="22"/>
          <w:szCs w:val="22"/>
        </w:rPr>
        <w:t>(</w:t>
      </w:r>
      <w:r>
        <w:rPr>
          <w:rFonts w:ascii="宋体" w:eastAsia="宋体" w:hAnsi="宋体" w:cs="宋体"/>
          <w:sz w:val="22"/>
          <w:szCs w:val="22"/>
        </w:rPr>
        <w:t>AI</w:t>
      </w:r>
      <w:r>
        <w:rPr>
          <w:rFonts w:ascii="宋体" w:eastAsia="宋体" w:hAnsi="宋体" w:cs="宋体"/>
          <w:spacing w:val="1"/>
          <w:sz w:val="22"/>
          <w:szCs w:val="22"/>
        </w:rPr>
        <w:t>)、4～6</w:t>
      </w:r>
      <w:r>
        <w:rPr>
          <w:rFonts w:ascii="宋体" w:eastAsia="宋体" w:hAnsi="宋体" w:cs="宋体"/>
          <w:spacing w:val="17"/>
          <w:sz w:val="22"/>
          <w:szCs w:val="22"/>
        </w:rPr>
        <w:t xml:space="preserve"> </w:t>
      </w:r>
      <w:r>
        <w:rPr>
          <w:rFonts w:ascii="宋体" w:eastAsia="宋体" w:hAnsi="宋体" w:cs="宋体"/>
          <w:spacing w:val="1"/>
          <w:sz w:val="22"/>
          <w:szCs w:val="22"/>
        </w:rPr>
        <w:t>岁500、</w:t>
      </w:r>
      <w:r>
        <w:rPr>
          <w:rFonts w:ascii="宋体" w:eastAsia="宋体" w:hAnsi="宋体" w:cs="宋体"/>
          <w:sz w:val="22"/>
          <w:szCs w:val="22"/>
        </w:rPr>
        <w:t xml:space="preserve"> </w:t>
      </w:r>
      <w:r>
        <w:rPr>
          <w:rFonts w:ascii="宋体" w:eastAsia="宋体" w:hAnsi="宋体" w:cs="宋体"/>
          <w:spacing w:val="2"/>
          <w:sz w:val="22"/>
          <w:szCs w:val="22"/>
        </w:rPr>
        <w:t>7～10岁600、11～13岁700、14岁以上的男性800、14岁以上的女性700、孕</w:t>
      </w:r>
      <w:r>
        <w:rPr>
          <w:rFonts w:ascii="宋体" w:eastAsia="宋体" w:hAnsi="宋体" w:cs="宋体"/>
          <w:spacing w:val="1"/>
          <w:sz w:val="22"/>
          <w:szCs w:val="22"/>
        </w:rPr>
        <w:t xml:space="preserve">  </w:t>
      </w:r>
      <w:r>
        <w:rPr>
          <w:rFonts w:ascii="宋体" w:eastAsia="宋体" w:hAnsi="宋体" w:cs="宋体"/>
          <w:spacing w:val="3"/>
          <w:sz w:val="22"/>
          <w:szCs w:val="22"/>
        </w:rPr>
        <w:t>妇中后期900,乳母1200。维生素A</w:t>
      </w:r>
      <w:r>
        <w:rPr>
          <w:rFonts w:ascii="宋体" w:eastAsia="宋体" w:hAnsi="宋体" w:cs="宋体"/>
          <w:spacing w:val="11"/>
          <w:sz w:val="22"/>
          <w:szCs w:val="22"/>
        </w:rPr>
        <w:t xml:space="preserve"> </w:t>
      </w:r>
      <w:r>
        <w:rPr>
          <w:rFonts w:ascii="宋体" w:eastAsia="宋体" w:hAnsi="宋体" w:cs="宋体"/>
          <w:spacing w:val="3"/>
          <w:sz w:val="22"/>
          <w:szCs w:val="22"/>
        </w:rPr>
        <w:t>的</w:t>
      </w:r>
      <w:r>
        <w:rPr>
          <w:rFonts w:ascii="宋体" w:eastAsia="宋体" w:hAnsi="宋体" w:cs="宋体"/>
          <w:spacing w:val="-34"/>
          <w:sz w:val="22"/>
          <w:szCs w:val="22"/>
        </w:rPr>
        <w:t xml:space="preserve"> </w:t>
      </w:r>
      <w:r>
        <w:rPr>
          <w:rFonts w:ascii="宋体" w:eastAsia="宋体" w:hAnsi="宋体" w:cs="宋体"/>
          <w:sz w:val="22"/>
          <w:szCs w:val="22"/>
        </w:rPr>
        <w:t>UL</w:t>
      </w:r>
      <w:r>
        <w:rPr>
          <w:rFonts w:ascii="宋体" w:eastAsia="宋体" w:hAnsi="宋体" w:cs="宋体"/>
          <w:spacing w:val="3"/>
          <w:sz w:val="22"/>
          <w:szCs w:val="22"/>
        </w:rPr>
        <w:t>(μg/</w:t>
      </w:r>
      <w:r>
        <w:rPr>
          <w:rFonts w:ascii="宋体" w:eastAsia="宋体" w:hAnsi="宋体" w:cs="宋体"/>
          <w:spacing w:val="2"/>
          <w:sz w:val="22"/>
          <w:szCs w:val="22"/>
        </w:rPr>
        <w:t>d)</w:t>
      </w:r>
      <w:r>
        <w:rPr>
          <w:rFonts w:ascii="宋体" w:eastAsia="宋体" w:hAnsi="宋体" w:cs="宋体"/>
          <w:spacing w:val="63"/>
          <w:sz w:val="22"/>
          <w:szCs w:val="22"/>
        </w:rPr>
        <w:t xml:space="preserve"> </w:t>
      </w:r>
      <w:r>
        <w:rPr>
          <w:rFonts w:ascii="宋体" w:eastAsia="宋体" w:hAnsi="宋体" w:cs="宋体"/>
          <w:spacing w:val="2"/>
          <w:sz w:val="22"/>
          <w:szCs w:val="22"/>
        </w:rPr>
        <w:t>分别定为：4～17岁2000,</w:t>
      </w:r>
      <w:r>
        <w:rPr>
          <w:rFonts w:ascii="宋体" w:eastAsia="宋体" w:hAnsi="宋体" w:cs="宋体"/>
          <w:sz w:val="22"/>
          <w:szCs w:val="22"/>
        </w:rPr>
        <w:t xml:space="preserve"> </w:t>
      </w:r>
      <w:r>
        <w:rPr>
          <w:rFonts w:ascii="宋体" w:eastAsia="宋体" w:hAnsi="宋体" w:cs="宋体"/>
          <w:spacing w:val="1"/>
          <w:sz w:val="22"/>
          <w:szCs w:val="22"/>
        </w:rPr>
        <w:t>18岁以上3000,孕妇2400。</w:t>
      </w:r>
    </w:p>
    <w:p w:rsidR="00EA40A3" w:rsidRDefault="00E86C16">
      <w:pPr>
        <w:spacing w:before="86" w:line="247" w:lineRule="auto"/>
        <w:ind w:right="133" w:firstLine="470"/>
        <w:jc w:val="both"/>
        <w:rPr>
          <w:rFonts w:ascii="宋体" w:eastAsia="宋体" w:hAnsi="宋体" w:cs="宋体"/>
          <w:sz w:val="22"/>
          <w:szCs w:val="22"/>
        </w:rPr>
      </w:pPr>
      <w:r>
        <w:rPr>
          <w:rFonts w:ascii="宋体" w:eastAsia="宋体" w:hAnsi="宋体" w:cs="宋体"/>
          <w:spacing w:val="-13"/>
          <w:sz w:val="22"/>
          <w:szCs w:val="22"/>
        </w:rPr>
        <w:t>人体从食物中获得的维生素A</w:t>
      </w:r>
      <w:r>
        <w:rPr>
          <w:rFonts w:ascii="宋体" w:eastAsia="宋体" w:hAnsi="宋体" w:cs="宋体"/>
          <w:spacing w:val="27"/>
          <w:sz w:val="22"/>
          <w:szCs w:val="22"/>
        </w:rPr>
        <w:t xml:space="preserve"> </w:t>
      </w:r>
      <w:r>
        <w:rPr>
          <w:rFonts w:ascii="宋体" w:eastAsia="宋体" w:hAnsi="宋体" w:cs="宋体"/>
          <w:spacing w:val="-13"/>
          <w:sz w:val="22"/>
          <w:szCs w:val="22"/>
        </w:rPr>
        <w:t>主要有两类，</w:t>
      </w:r>
      <w:r>
        <w:rPr>
          <w:rFonts w:ascii="宋体" w:eastAsia="宋体" w:hAnsi="宋体" w:cs="宋体"/>
          <w:spacing w:val="22"/>
          <w:sz w:val="22"/>
          <w:szCs w:val="22"/>
        </w:rPr>
        <w:t xml:space="preserve"> </w:t>
      </w:r>
      <w:r>
        <w:rPr>
          <w:rFonts w:ascii="宋体" w:eastAsia="宋体" w:hAnsi="宋体" w:cs="宋体"/>
          <w:spacing w:val="-13"/>
          <w:sz w:val="22"/>
          <w:szCs w:val="22"/>
        </w:rPr>
        <w:t>一类是维生素A</w:t>
      </w:r>
      <w:r>
        <w:rPr>
          <w:rFonts w:ascii="宋体" w:eastAsia="宋体" w:hAnsi="宋体" w:cs="宋体"/>
          <w:spacing w:val="12"/>
          <w:sz w:val="22"/>
          <w:szCs w:val="22"/>
        </w:rPr>
        <w:t xml:space="preserve"> </w:t>
      </w:r>
      <w:r>
        <w:rPr>
          <w:rFonts w:ascii="宋体" w:eastAsia="宋体" w:hAnsi="宋体" w:cs="宋体"/>
          <w:spacing w:val="-13"/>
          <w:sz w:val="22"/>
          <w:szCs w:val="22"/>
        </w:rPr>
        <w:t>原即各种类胡</w:t>
      </w:r>
      <w:r>
        <w:rPr>
          <w:rFonts w:ascii="宋体" w:eastAsia="宋体" w:hAnsi="宋体" w:cs="宋体"/>
          <w:sz w:val="22"/>
          <w:szCs w:val="22"/>
        </w:rPr>
        <w:t xml:space="preserve"> </w:t>
      </w:r>
      <w:r>
        <w:rPr>
          <w:rFonts w:ascii="宋体" w:eastAsia="宋体" w:hAnsi="宋体" w:cs="宋体"/>
          <w:spacing w:val="-14"/>
          <w:sz w:val="22"/>
          <w:szCs w:val="22"/>
        </w:rPr>
        <w:t>萝卜素，主要存在于深绿色或红黄色蔬菜和水果等植物性食物中，含量较丰富的</w:t>
      </w:r>
      <w:r>
        <w:rPr>
          <w:rFonts w:ascii="宋体" w:eastAsia="宋体" w:hAnsi="宋体" w:cs="宋体"/>
          <w:spacing w:val="15"/>
          <w:sz w:val="22"/>
          <w:szCs w:val="22"/>
        </w:rPr>
        <w:t xml:space="preserve"> </w:t>
      </w:r>
      <w:r>
        <w:rPr>
          <w:rFonts w:ascii="宋体" w:eastAsia="宋体" w:hAnsi="宋体" w:cs="宋体"/>
          <w:spacing w:val="-13"/>
          <w:sz w:val="22"/>
          <w:szCs w:val="22"/>
        </w:rPr>
        <w:t>有豌豆、苜蓿、胡萝卜、荠菜、菠菜、番茄、辣椒、红薯、香蕉、柿子、</w:t>
      </w:r>
      <w:r>
        <w:rPr>
          <w:rFonts w:ascii="宋体" w:eastAsia="宋体" w:hAnsi="宋体" w:cs="宋体"/>
          <w:spacing w:val="-14"/>
          <w:sz w:val="22"/>
          <w:szCs w:val="22"/>
        </w:rPr>
        <w:t>橘、桃</w:t>
      </w:r>
      <w:r>
        <w:rPr>
          <w:rFonts w:ascii="宋体" w:eastAsia="宋体" w:hAnsi="宋体" w:cs="宋体"/>
          <w:sz w:val="22"/>
          <w:szCs w:val="22"/>
        </w:rPr>
        <w:t xml:space="preserve"> </w:t>
      </w:r>
      <w:r>
        <w:rPr>
          <w:rFonts w:ascii="宋体" w:eastAsia="宋体" w:hAnsi="宋体" w:cs="宋体"/>
          <w:spacing w:val="-8"/>
          <w:sz w:val="22"/>
          <w:szCs w:val="22"/>
        </w:rPr>
        <w:t>等，但它们能生成维生素A</w:t>
      </w:r>
      <w:r>
        <w:rPr>
          <w:rFonts w:ascii="宋体" w:eastAsia="宋体" w:hAnsi="宋体" w:cs="宋体"/>
          <w:spacing w:val="11"/>
          <w:sz w:val="22"/>
          <w:szCs w:val="22"/>
        </w:rPr>
        <w:t xml:space="preserve"> </w:t>
      </w:r>
      <w:r>
        <w:rPr>
          <w:rFonts w:ascii="宋体" w:eastAsia="宋体" w:hAnsi="宋体" w:cs="宋体"/>
          <w:spacing w:val="-8"/>
          <w:sz w:val="22"/>
          <w:szCs w:val="22"/>
        </w:rPr>
        <w:t>的量有很大差异。另一类是来自动物性食物的维生</w:t>
      </w:r>
      <w:r>
        <w:rPr>
          <w:rFonts w:ascii="宋体" w:eastAsia="宋体" w:hAnsi="宋体" w:cs="宋体"/>
          <w:sz w:val="22"/>
          <w:szCs w:val="22"/>
        </w:rPr>
        <w:t xml:space="preserve"> </w:t>
      </w:r>
      <w:r>
        <w:rPr>
          <w:rFonts w:ascii="宋体" w:eastAsia="宋体" w:hAnsi="宋体" w:cs="宋体"/>
          <w:spacing w:val="-11"/>
          <w:sz w:val="22"/>
          <w:szCs w:val="22"/>
        </w:rPr>
        <w:t>素A,</w:t>
      </w:r>
      <w:r>
        <w:rPr>
          <w:rFonts w:ascii="宋体" w:eastAsia="宋体" w:hAnsi="宋体" w:cs="宋体"/>
          <w:spacing w:val="41"/>
          <w:sz w:val="22"/>
          <w:szCs w:val="22"/>
        </w:rPr>
        <w:t xml:space="preserve"> </w:t>
      </w:r>
      <w:r>
        <w:rPr>
          <w:rFonts w:ascii="宋体" w:eastAsia="宋体" w:hAnsi="宋体" w:cs="宋体"/>
          <w:spacing w:val="-11"/>
          <w:sz w:val="22"/>
          <w:szCs w:val="22"/>
        </w:rPr>
        <w:t>多数以酯的形式存在于动物性食品中，最丰富的来源</w:t>
      </w:r>
      <w:r>
        <w:rPr>
          <w:rFonts w:ascii="宋体" w:eastAsia="宋体" w:hAnsi="宋体" w:cs="宋体"/>
          <w:spacing w:val="-12"/>
          <w:sz w:val="22"/>
          <w:szCs w:val="22"/>
        </w:rPr>
        <w:t>是鱼油、肝脏和其他</w:t>
      </w:r>
      <w:r>
        <w:rPr>
          <w:rFonts w:ascii="宋体" w:eastAsia="宋体" w:hAnsi="宋体" w:cs="宋体"/>
          <w:sz w:val="22"/>
          <w:szCs w:val="22"/>
        </w:rPr>
        <w:t xml:space="preserve"> </w:t>
      </w:r>
      <w:r>
        <w:rPr>
          <w:rFonts w:ascii="宋体" w:eastAsia="宋体" w:hAnsi="宋体" w:cs="宋体"/>
          <w:spacing w:val="-5"/>
          <w:sz w:val="22"/>
          <w:szCs w:val="22"/>
        </w:rPr>
        <w:t>肉类食物，全脂奶和奶油以及强化的人造奶油也富含维生</w:t>
      </w:r>
      <w:r>
        <w:rPr>
          <w:rFonts w:ascii="宋体" w:eastAsia="宋体" w:hAnsi="宋体" w:cs="宋体"/>
          <w:spacing w:val="-6"/>
          <w:sz w:val="22"/>
          <w:szCs w:val="22"/>
        </w:rPr>
        <w:t>素A,</w:t>
      </w:r>
      <w:r>
        <w:rPr>
          <w:rFonts w:ascii="宋体" w:eastAsia="宋体" w:hAnsi="宋体" w:cs="宋体"/>
          <w:spacing w:val="51"/>
          <w:sz w:val="22"/>
          <w:szCs w:val="22"/>
        </w:rPr>
        <w:t xml:space="preserve"> </w:t>
      </w:r>
      <w:r>
        <w:rPr>
          <w:rFonts w:ascii="宋体" w:eastAsia="宋体" w:hAnsi="宋体" w:cs="宋体"/>
          <w:spacing w:val="-6"/>
          <w:sz w:val="22"/>
          <w:szCs w:val="22"/>
        </w:rPr>
        <w:t>蛋类维生素</w:t>
      </w:r>
      <w:r>
        <w:rPr>
          <w:rFonts w:ascii="宋体" w:eastAsia="宋体" w:hAnsi="宋体" w:cs="宋体"/>
          <w:spacing w:val="-55"/>
          <w:sz w:val="22"/>
          <w:szCs w:val="22"/>
        </w:rPr>
        <w:t xml:space="preserve"> </w:t>
      </w:r>
      <w:r>
        <w:rPr>
          <w:rFonts w:ascii="宋体" w:eastAsia="宋体" w:hAnsi="宋体" w:cs="宋体"/>
          <w:spacing w:val="-6"/>
          <w:sz w:val="22"/>
          <w:szCs w:val="22"/>
        </w:rPr>
        <w:t>A</w:t>
      </w:r>
      <w:r>
        <w:rPr>
          <w:rFonts w:ascii="宋体" w:eastAsia="宋体" w:hAnsi="宋体" w:cs="宋体"/>
          <w:sz w:val="22"/>
          <w:szCs w:val="22"/>
        </w:rPr>
        <w:t xml:space="preserve"> </w:t>
      </w:r>
      <w:r>
        <w:rPr>
          <w:rFonts w:ascii="宋体" w:eastAsia="宋体" w:hAnsi="宋体" w:cs="宋体"/>
          <w:spacing w:val="-20"/>
          <w:sz w:val="22"/>
          <w:szCs w:val="22"/>
        </w:rPr>
        <w:t>含量也较丰富。</w:t>
      </w:r>
    </w:p>
    <w:p w:rsidR="00EA40A3" w:rsidRDefault="00EA40A3">
      <w:pPr>
        <w:spacing w:line="336" w:lineRule="auto"/>
      </w:pPr>
    </w:p>
    <w:p w:rsidR="00EA40A3" w:rsidRDefault="00E86C16">
      <w:pPr>
        <w:spacing w:before="56" w:line="241" w:lineRule="auto"/>
        <w:ind w:left="130"/>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124</w:t>
      </w:r>
      <w:r>
        <w:rPr>
          <w:rFonts w:ascii="宋体" w:eastAsia="宋体" w:hAnsi="宋体" w:cs="宋体"/>
          <w:spacing w:val="55"/>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950" w:bottom="400" w:left="869" w:header="0" w:footer="0" w:gutter="0"/>
          <w:cols w:space="720"/>
        </w:sectPr>
      </w:pPr>
    </w:p>
    <w:p w:rsidR="00EA40A3" w:rsidRDefault="00E86C16">
      <w:r>
        <w:rPr>
          <w:noProof/>
        </w:rPr>
        <w:lastRenderedPageBreak/>
        <w:drawing>
          <wp:anchor distT="0" distB="0" distL="0" distR="0" simplePos="0" relativeHeight="251693056" behindDoc="1" locked="0" layoutInCell="0" allowOverlap="1">
            <wp:simplePos x="0" y="0"/>
            <wp:positionH relativeFrom="page">
              <wp:posOffset>3853815</wp:posOffset>
            </wp:positionH>
            <wp:positionV relativeFrom="page">
              <wp:posOffset>1815465</wp:posOffset>
            </wp:positionV>
            <wp:extent cx="1225550" cy="762000"/>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98"/>
                    <a:stretch>
                      <a:fillRect/>
                    </a:stretch>
                  </pic:blipFill>
                  <pic:spPr>
                    <a:xfrm>
                      <a:off x="0" y="0"/>
                      <a:ext cx="1225564" cy="761996"/>
                    </a:xfrm>
                    <a:prstGeom prst="rect">
                      <a:avLst/>
                    </a:prstGeom>
                  </pic:spPr>
                </pic:pic>
              </a:graphicData>
            </a:graphic>
          </wp:anchor>
        </w:drawing>
      </w:r>
    </w:p>
    <w:p w:rsidR="00EA40A3" w:rsidRDefault="00EA40A3"/>
    <w:p w:rsidR="00EA40A3" w:rsidRDefault="00EA40A3"/>
    <w:p w:rsidR="00EA40A3" w:rsidRDefault="00E86C16">
      <w:pPr>
        <w:spacing w:before="72" w:line="223" w:lineRule="auto"/>
        <w:ind w:left="3"/>
        <w:outlineLvl w:val="6"/>
        <w:rPr>
          <w:rFonts w:ascii="黑体" w:eastAsia="黑体" w:hAnsi="黑体" w:cs="黑体"/>
          <w:sz w:val="22"/>
          <w:szCs w:val="22"/>
        </w:rPr>
      </w:pPr>
      <w:r>
        <w:rPr>
          <w:rFonts w:ascii="黑体" w:eastAsia="黑体" w:hAnsi="黑体" w:cs="黑体"/>
          <w:b/>
          <w:bCs/>
          <w:spacing w:val="5"/>
          <w:sz w:val="22"/>
          <w:szCs w:val="22"/>
        </w:rPr>
        <w:t>4.2.3</w:t>
      </w:r>
      <w:r>
        <w:rPr>
          <w:rFonts w:ascii="黑体" w:eastAsia="黑体" w:hAnsi="黑体" w:cs="黑体"/>
          <w:spacing w:val="10"/>
          <w:sz w:val="22"/>
          <w:szCs w:val="22"/>
        </w:rPr>
        <w:t xml:space="preserve">   </w:t>
      </w:r>
      <w:r>
        <w:rPr>
          <w:rFonts w:ascii="黑体" w:eastAsia="黑体" w:hAnsi="黑体" w:cs="黑体"/>
          <w:b/>
          <w:bCs/>
          <w:spacing w:val="5"/>
          <w:sz w:val="22"/>
          <w:szCs w:val="22"/>
        </w:rPr>
        <w:t>维生素</w:t>
      </w:r>
      <w:r>
        <w:rPr>
          <w:rFonts w:ascii="黑体" w:eastAsia="黑体" w:hAnsi="黑体" w:cs="黑体"/>
          <w:spacing w:val="-57"/>
          <w:sz w:val="22"/>
          <w:szCs w:val="22"/>
        </w:rPr>
        <w:t xml:space="preserve"> </w:t>
      </w:r>
      <w:r>
        <w:rPr>
          <w:rFonts w:ascii="黑体" w:eastAsia="黑体" w:hAnsi="黑体" w:cs="黑体"/>
          <w:b/>
          <w:bCs/>
          <w:spacing w:val="5"/>
          <w:sz w:val="22"/>
          <w:szCs w:val="22"/>
        </w:rPr>
        <w:t>D</w:t>
      </w:r>
    </w:p>
    <w:p w:rsidR="00EA40A3" w:rsidRDefault="00E86C16">
      <w:pPr>
        <w:spacing w:before="232" w:line="220"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40"/>
          <w:sz w:val="22"/>
          <w:szCs w:val="22"/>
        </w:rPr>
        <w:t xml:space="preserve"> </w:t>
      </w:r>
      <w:r>
        <w:rPr>
          <w:rFonts w:ascii="仿宋" w:eastAsia="仿宋" w:hAnsi="仿宋" w:cs="仿宋"/>
          <w:spacing w:val="11"/>
          <w:sz w:val="22"/>
          <w:szCs w:val="22"/>
        </w:rPr>
        <w:t>维生素</w:t>
      </w:r>
      <w:r>
        <w:rPr>
          <w:rFonts w:ascii="仿宋" w:eastAsia="仿宋" w:hAnsi="仿宋" w:cs="仿宋"/>
          <w:spacing w:val="-64"/>
          <w:sz w:val="22"/>
          <w:szCs w:val="22"/>
        </w:rPr>
        <w:t xml:space="preserve"> </w:t>
      </w:r>
      <w:r>
        <w:rPr>
          <w:rFonts w:ascii="仿宋" w:eastAsia="仿宋" w:hAnsi="仿宋" w:cs="仿宋"/>
          <w:spacing w:val="11"/>
          <w:sz w:val="22"/>
          <w:szCs w:val="22"/>
        </w:rPr>
        <w:t>D</w:t>
      </w:r>
      <w:r>
        <w:rPr>
          <w:rFonts w:ascii="仿宋" w:eastAsia="仿宋" w:hAnsi="仿宋" w:cs="仿宋"/>
          <w:spacing w:val="24"/>
          <w:sz w:val="22"/>
          <w:szCs w:val="22"/>
        </w:rPr>
        <w:t xml:space="preserve"> </w:t>
      </w:r>
      <w:r>
        <w:rPr>
          <w:rFonts w:ascii="仿宋" w:eastAsia="仿宋" w:hAnsi="仿宋" w:cs="仿宋"/>
          <w:spacing w:val="11"/>
          <w:sz w:val="22"/>
          <w:szCs w:val="22"/>
        </w:rPr>
        <w:t>的理化性质</w:t>
      </w:r>
    </w:p>
    <w:p w:rsidR="00EA40A3" w:rsidRDefault="00E86C16">
      <w:pPr>
        <w:spacing w:before="201" w:line="242" w:lineRule="auto"/>
        <w:ind w:right="29" w:firstLine="410"/>
        <w:jc w:val="both"/>
        <w:rPr>
          <w:rFonts w:ascii="宋体" w:eastAsia="宋体" w:hAnsi="宋体" w:cs="宋体"/>
          <w:sz w:val="22"/>
          <w:szCs w:val="22"/>
        </w:rPr>
      </w:pPr>
      <w:r>
        <w:rPr>
          <w:rFonts w:ascii="宋体" w:eastAsia="宋体" w:hAnsi="宋体" w:cs="宋体"/>
          <w:spacing w:val="-6"/>
          <w:sz w:val="22"/>
          <w:szCs w:val="22"/>
        </w:rPr>
        <w:t>维生素D</w:t>
      </w:r>
      <w:r>
        <w:rPr>
          <w:rFonts w:ascii="宋体" w:eastAsia="宋体" w:hAnsi="宋体" w:cs="宋体"/>
          <w:spacing w:val="-10"/>
          <w:sz w:val="22"/>
          <w:szCs w:val="22"/>
        </w:rPr>
        <w:t xml:space="preserve"> </w:t>
      </w:r>
      <w:r>
        <w:rPr>
          <w:rFonts w:ascii="宋体" w:eastAsia="宋体" w:hAnsi="宋体" w:cs="宋体"/>
          <w:spacing w:val="-6"/>
          <w:sz w:val="22"/>
          <w:szCs w:val="22"/>
        </w:rPr>
        <w:t>又叫钙化醇、抗佝偻病维生素，是一组A、B、C</w:t>
      </w:r>
      <w:r>
        <w:rPr>
          <w:rFonts w:ascii="宋体" w:eastAsia="宋体" w:hAnsi="宋体" w:cs="宋体"/>
          <w:spacing w:val="21"/>
          <w:sz w:val="22"/>
          <w:szCs w:val="22"/>
        </w:rPr>
        <w:t xml:space="preserve"> </w:t>
      </w:r>
      <w:r>
        <w:rPr>
          <w:rFonts w:ascii="宋体" w:eastAsia="宋体" w:hAnsi="宋体" w:cs="宋体"/>
          <w:spacing w:val="-6"/>
          <w:sz w:val="22"/>
          <w:szCs w:val="22"/>
        </w:rPr>
        <w:t>和D</w:t>
      </w:r>
      <w:r>
        <w:rPr>
          <w:rFonts w:ascii="宋体" w:eastAsia="宋体" w:hAnsi="宋体" w:cs="宋体"/>
          <w:spacing w:val="-15"/>
          <w:sz w:val="22"/>
          <w:szCs w:val="22"/>
        </w:rPr>
        <w:t xml:space="preserve"> </w:t>
      </w:r>
      <w:r>
        <w:rPr>
          <w:rFonts w:ascii="宋体" w:eastAsia="宋体" w:hAnsi="宋体" w:cs="宋体"/>
          <w:spacing w:val="-6"/>
          <w:sz w:val="22"/>
          <w:szCs w:val="22"/>
        </w:rPr>
        <w:t>环结构相同</w:t>
      </w:r>
      <w:r>
        <w:rPr>
          <w:rFonts w:ascii="宋体" w:eastAsia="宋体" w:hAnsi="宋体" w:cs="宋体"/>
          <w:sz w:val="22"/>
          <w:szCs w:val="22"/>
        </w:rPr>
        <w:t xml:space="preserve"> </w:t>
      </w:r>
      <w:r>
        <w:rPr>
          <w:rFonts w:ascii="宋体" w:eastAsia="宋体" w:hAnsi="宋体" w:cs="宋体"/>
          <w:spacing w:val="-13"/>
          <w:sz w:val="22"/>
          <w:szCs w:val="22"/>
        </w:rPr>
        <w:t>但侧链不同的分子的总和，是具有胆钙化醇生物活性的一类化合物，基本结构是</w:t>
      </w:r>
      <w:r>
        <w:rPr>
          <w:rFonts w:ascii="宋体" w:eastAsia="宋体" w:hAnsi="宋体" w:cs="宋体"/>
          <w:spacing w:val="14"/>
          <w:sz w:val="22"/>
          <w:szCs w:val="22"/>
        </w:rPr>
        <w:t xml:space="preserve"> </w:t>
      </w:r>
      <w:r>
        <w:rPr>
          <w:rFonts w:ascii="宋体" w:eastAsia="宋体" w:hAnsi="宋体" w:cs="宋体"/>
          <w:spacing w:val="3"/>
          <w:sz w:val="22"/>
          <w:szCs w:val="22"/>
        </w:rPr>
        <w:t>环戊氢烯菲环(图4-6),以维生素</w:t>
      </w:r>
      <w:r>
        <w:rPr>
          <w:rFonts w:ascii="宋体" w:eastAsia="宋体" w:hAnsi="宋体" w:cs="宋体"/>
          <w:spacing w:val="-61"/>
          <w:sz w:val="22"/>
          <w:szCs w:val="22"/>
        </w:rPr>
        <w:t xml:space="preserve"> </w:t>
      </w:r>
      <w:r>
        <w:rPr>
          <w:rFonts w:ascii="宋体" w:eastAsia="宋体" w:hAnsi="宋体" w:cs="宋体"/>
          <w:spacing w:val="3"/>
          <w:sz w:val="22"/>
          <w:szCs w:val="22"/>
        </w:rPr>
        <w:t>D</w:t>
      </w:r>
      <w:r>
        <w:rPr>
          <w:rFonts w:ascii="Calibri" w:eastAsia="Calibri" w:hAnsi="Calibri" w:cs="Calibri"/>
          <w:spacing w:val="3"/>
          <w:sz w:val="22"/>
          <w:szCs w:val="22"/>
        </w:rPr>
        <w:t>₂</w:t>
      </w:r>
      <w:r>
        <w:rPr>
          <w:rFonts w:ascii="Calibri" w:eastAsia="Calibri" w:hAnsi="Calibri" w:cs="Calibri"/>
          <w:spacing w:val="4"/>
          <w:sz w:val="22"/>
          <w:szCs w:val="22"/>
        </w:rPr>
        <w:t xml:space="preserve">   </w:t>
      </w:r>
      <w:r>
        <w:rPr>
          <w:rFonts w:ascii="宋体" w:eastAsia="宋体" w:hAnsi="宋体" w:cs="宋体"/>
          <w:spacing w:val="3"/>
          <w:sz w:val="22"/>
          <w:szCs w:val="22"/>
        </w:rPr>
        <w:t>(麦角</w:t>
      </w:r>
      <w:r>
        <w:rPr>
          <w:rFonts w:ascii="宋体" w:eastAsia="宋体" w:hAnsi="宋体" w:cs="宋体"/>
          <w:spacing w:val="2"/>
          <w:sz w:val="22"/>
          <w:szCs w:val="22"/>
        </w:rPr>
        <w:t>钙化醇)</w:t>
      </w:r>
    </w:p>
    <w:p w:rsidR="00EA40A3" w:rsidRDefault="00E86C16">
      <w:pPr>
        <w:spacing w:before="54" w:line="291" w:lineRule="exact"/>
        <w:rPr>
          <w:rFonts w:ascii="宋体" w:eastAsia="宋体" w:hAnsi="宋体" w:cs="宋体"/>
          <w:sz w:val="22"/>
          <w:szCs w:val="22"/>
        </w:rPr>
      </w:pPr>
      <w:r>
        <w:rPr>
          <w:rFonts w:ascii="宋体" w:eastAsia="宋体" w:hAnsi="宋体" w:cs="宋体"/>
          <w:spacing w:val="-6"/>
          <w:position w:val="4"/>
          <w:sz w:val="22"/>
          <w:szCs w:val="22"/>
        </w:rPr>
        <w:t>和维生素D</w:t>
      </w:r>
      <w:r>
        <w:rPr>
          <w:rFonts w:ascii="Calibri" w:eastAsia="Calibri" w:hAnsi="Calibri" w:cs="Calibri"/>
          <w:spacing w:val="-6"/>
          <w:position w:val="4"/>
          <w:sz w:val="22"/>
          <w:szCs w:val="22"/>
        </w:rPr>
        <w:t>₃</w:t>
      </w:r>
      <w:r>
        <w:rPr>
          <w:rFonts w:ascii="Calibri" w:eastAsia="Calibri" w:hAnsi="Calibri" w:cs="Calibri"/>
          <w:spacing w:val="10"/>
          <w:position w:val="4"/>
          <w:sz w:val="22"/>
          <w:szCs w:val="22"/>
        </w:rPr>
        <w:t xml:space="preserve">   </w:t>
      </w:r>
      <w:r>
        <w:rPr>
          <w:rFonts w:ascii="宋体" w:eastAsia="宋体" w:hAnsi="宋体" w:cs="宋体"/>
          <w:spacing w:val="-6"/>
          <w:position w:val="4"/>
          <w:sz w:val="22"/>
          <w:szCs w:val="22"/>
        </w:rPr>
        <w:t>(胆钙化醇)最为常见。在阳光或紫外线</w:t>
      </w:r>
    </w:p>
    <w:p w:rsidR="00EA40A3" w:rsidRDefault="00E86C16">
      <w:pPr>
        <w:spacing w:line="219" w:lineRule="auto"/>
        <w:rPr>
          <w:rFonts w:ascii="宋体" w:eastAsia="宋体" w:hAnsi="宋体" w:cs="宋体"/>
          <w:sz w:val="22"/>
          <w:szCs w:val="22"/>
        </w:rPr>
      </w:pPr>
      <w:r>
        <w:rPr>
          <w:rFonts w:ascii="宋体" w:eastAsia="宋体" w:hAnsi="宋体" w:cs="宋体"/>
          <w:spacing w:val="-10"/>
          <w:sz w:val="22"/>
          <w:szCs w:val="22"/>
        </w:rPr>
        <w:t>的照射下，存在于大多数高级动物的表皮或皮肤组织</w:t>
      </w:r>
    </w:p>
    <w:p w:rsidR="00EA40A3" w:rsidRDefault="00E86C16">
      <w:pPr>
        <w:spacing w:before="37" w:line="219" w:lineRule="auto"/>
        <w:rPr>
          <w:rFonts w:ascii="宋体" w:eastAsia="宋体" w:hAnsi="宋体" w:cs="宋体"/>
          <w:sz w:val="22"/>
          <w:szCs w:val="22"/>
        </w:rPr>
      </w:pPr>
      <w:r>
        <w:rPr>
          <w:rFonts w:ascii="宋体" w:eastAsia="宋体" w:hAnsi="宋体" w:cs="宋体"/>
          <w:spacing w:val="-6"/>
          <w:sz w:val="22"/>
          <w:szCs w:val="22"/>
        </w:rPr>
        <w:t>中的维生素</w:t>
      </w:r>
      <w:r>
        <w:rPr>
          <w:rFonts w:ascii="宋体" w:eastAsia="宋体" w:hAnsi="宋体" w:cs="宋体"/>
          <w:spacing w:val="-48"/>
          <w:sz w:val="22"/>
          <w:szCs w:val="22"/>
        </w:rPr>
        <w:t xml:space="preserve"> </w:t>
      </w:r>
      <w:r>
        <w:rPr>
          <w:rFonts w:ascii="宋体" w:eastAsia="宋体" w:hAnsi="宋体" w:cs="宋体"/>
          <w:spacing w:val="-6"/>
          <w:sz w:val="22"/>
          <w:szCs w:val="22"/>
        </w:rPr>
        <w:t>D</w:t>
      </w:r>
      <w:r>
        <w:rPr>
          <w:rFonts w:ascii="Calibri" w:eastAsia="Calibri" w:hAnsi="Calibri" w:cs="Calibri"/>
          <w:spacing w:val="-6"/>
          <w:sz w:val="22"/>
          <w:szCs w:val="22"/>
        </w:rPr>
        <w:t>₃</w:t>
      </w:r>
      <w:r>
        <w:rPr>
          <w:rFonts w:ascii="Calibri" w:eastAsia="Calibri" w:hAnsi="Calibri" w:cs="Calibri"/>
          <w:spacing w:val="5"/>
          <w:sz w:val="22"/>
          <w:szCs w:val="22"/>
        </w:rPr>
        <w:t xml:space="preserve">  </w:t>
      </w:r>
      <w:r>
        <w:rPr>
          <w:rFonts w:ascii="宋体" w:eastAsia="宋体" w:hAnsi="宋体" w:cs="宋体"/>
          <w:spacing w:val="-6"/>
          <w:sz w:val="22"/>
          <w:szCs w:val="22"/>
        </w:rPr>
        <w:t>前体类固醇7-脱氢胆固醇，可经过光</w:t>
      </w:r>
    </w:p>
    <w:p w:rsidR="00EA40A3" w:rsidRDefault="00E86C16">
      <w:pPr>
        <w:spacing w:before="59" w:line="185" w:lineRule="auto"/>
        <w:rPr>
          <w:rFonts w:ascii="宋体" w:eastAsia="宋体" w:hAnsi="宋体" w:cs="宋体"/>
          <w:sz w:val="22"/>
          <w:szCs w:val="22"/>
        </w:rPr>
      </w:pPr>
      <w:r>
        <w:rPr>
          <w:rFonts w:ascii="宋体" w:eastAsia="宋体" w:hAnsi="宋体" w:cs="宋体"/>
          <w:spacing w:val="-9"/>
          <w:sz w:val="22"/>
          <w:szCs w:val="22"/>
        </w:rPr>
        <w:t>化学反应转化为维生素</w:t>
      </w:r>
      <w:r>
        <w:rPr>
          <w:rFonts w:ascii="宋体" w:eastAsia="宋体" w:hAnsi="宋体" w:cs="宋体"/>
          <w:spacing w:val="-41"/>
          <w:sz w:val="22"/>
          <w:szCs w:val="22"/>
        </w:rPr>
        <w:t xml:space="preserve"> </w:t>
      </w:r>
      <w:r>
        <w:rPr>
          <w:rFonts w:ascii="宋体" w:eastAsia="宋体" w:hAnsi="宋体" w:cs="宋体"/>
          <w:spacing w:val="-9"/>
          <w:sz w:val="22"/>
          <w:szCs w:val="22"/>
        </w:rPr>
        <w:t>D</w:t>
      </w:r>
      <w:r>
        <w:rPr>
          <w:rFonts w:ascii="Calibri" w:eastAsia="Calibri" w:hAnsi="Calibri" w:cs="Calibri"/>
          <w:spacing w:val="-9"/>
          <w:sz w:val="22"/>
          <w:szCs w:val="22"/>
        </w:rPr>
        <w:t>₃</w:t>
      </w:r>
      <w:r>
        <w:rPr>
          <w:rFonts w:ascii="Calibri" w:eastAsia="Calibri" w:hAnsi="Calibri" w:cs="Calibri"/>
          <w:spacing w:val="-6"/>
          <w:sz w:val="22"/>
          <w:szCs w:val="22"/>
        </w:rPr>
        <w:t xml:space="preserve"> </w:t>
      </w:r>
      <w:r>
        <w:rPr>
          <w:rFonts w:ascii="宋体" w:eastAsia="宋体" w:hAnsi="宋体" w:cs="宋体"/>
          <w:spacing w:val="-9"/>
          <w:sz w:val="22"/>
          <w:szCs w:val="22"/>
        </w:rPr>
        <w:t>;</w:t>
      </w:r>
      <w:r>
        <w:rPr>
          <w:rFonts w:ascii="宋体" w:eastAsia="宋体" w:hAnsi="宋体" w:cs="宋体"/>
          <w:spacing w:val="31"/>
          <w:sz w:val="22"/>
          <w:szCs w:val="22"/>
        </w:rPr>
        <w:t xml:space="preserve"> </w:t>
      </w:r>
      <w:r>
        <w:rPr>
          <w:rFonts w:ascii="宋体" w:eastAsia="宋体" w:hAnsi="宋体" w:cs="宋体"/>
          <w:spacing w:val="-9"/>
          <w:sz w:val="22"/>
          <w:szCs w:val="22"/>
        </w:rPr>
        <w:t>维生素</w:t>
      </w:r>
      <w:r>
        <w:rPr>
          <w:rFonts w:ascii="宋体" w:eastAsia="宋体" w:hAnsi="宋体" w:cs="宋体"/>
          <w:spacing w:val="-47"/>
          <w:sz w:val="22"/>
          <w:szCs w:val="22"/>
        </w:rPr>
        <w:t xml:space="preserve"> </w:t>
      </w:r>
      <w:r>
        <w:rPr>
          <w:rFonts w:ascii="宋体" w:eastAsia="宋体" w:hAnsi="宋体" w:cs="宋体"/>
          <w:spacing w:val="-9"/>
          <w:sz w:val="22"/>
          <w:szCs w:val="22"/>
        </w:rPr>
        <w:t>D</w:t>
      </w:r>
      <w:r>
        <w:rPr>
          <w:rFonts w:ascii="Calibri" w:eastAsia="Calibri" w:hAnsi="Calibri" w:cs="Calibri"/>
          <w:spacing w:val="-9"/>
          <w:sz w:val="22"/>
          <w:szCs w:val="22"/>
        </w:rPr>
        <w:t>₂</w:t>
      </w:r>
      <w:r>
        <w:rPr>
          <w:rFonts w:ascii="Calibri" w:eastAsia="Calibri" w:hAnsi="Calibri" w:cs="Calibri"/>
          <w:spacing w:val="5"/>
          <w:sz w:val="22"/>
          <w:szCs w:val="22"/>
        </w:rPr>
        <w:t xml:space="preserve">  </w:t>
      </w:r>
      <w:r>
        <w:rPr>
          <w:rFonts w:ascii="宋体" w:eastAsia="宋体" w:hAnsi="宋体" w:cs="宋体"/>
          <w:spacing w:val="-9"/>
          <w:sz w:val="22"/>
          <w:szCs w:val="22"/>
        </w:rPr>
        <w:t>是由酵母菌或</w:t>
      </w:r>
    </w:p>
    <w:p w:rsidR="00EA40A3" w:rsidRDefault="00E86C16">
      <w:pPr>
        <w:spacing w:before="3" w:line="249" w:lineRule="auto"/>
        <w:ind w:right="16"/>
        <w:rPr>
          <w:rFonts w:ascii="宋体" w:eastAsia="宋体" w:hAnsi="宋体" w:cs="宋体"/>
          <w:sz w:val="22"/>
          <w:szCs w:val="22"/>
        </w:rPr>
      </w:pPr>
      <w:r>
        <w:rPr>
          <w:rFonts w:ascii="宋体" w:eastAsia="宋体" w:hAnsi="宋体" w:cs="宋体"/>
          <w:spacing w:val="-16"/>
          <w:position w:val="-2"/>
          <w:sz w:val="22"/>
          <w:szCs w:val="22"/>
        </w:rPr>
        <w:t>麦角中的麦角固醇经紫外线照射而产生，虽然这</w:t>
      </w:r>
      <w:r>
        <w:rPr>
          <w:rFonts w:ascii="宋体" w:eastAsia="宋体" w:hAnsi="宋体" w:cs="宋体"/>
          <w:spacing w:val="-17"/>
          <w:position w:val="-2"/>
          <w:sz w:val="22"/>
          <w:szCs w:val="22"/>
        </w:rPr>
        <w:t>一种</w:t>
      </w:r>
      <w:r>
        <w:rPr>
          <w:rFonts w:ascii="宋体" w:eastAsia="宋体" w:hAnsi="宋体" w:cs="宋体"/>
          <w:spacing w:val="4"/>
          <w:position w:val="-2"/>
          <w:sz w:val="22"/>
          <w:szCs w:val="22"/>
        </w:rPr>
        <w:t xml:space="preserve">   </w:t>
      </w:r>
      <w:r>
        <w:rPr>
          <w:rFonts w:ascii="宋体" w:eastAsia="宋体" w:hAnsi="宋体" w:cs="宋体"/>
          <w:spacing w:val="-17"/>
          <w:position w:val="4"/>
          <w:sz w:val="22"/>
          <w:szCs w:val="22"/>
        </w:rPr>
        <w:t>图4-6</w:t>
      </w:r>
      <w:r>
        <w:rPr>
          <w:rFonts w:ascii="宋体" w:eastAsia="宋体" w:hAnsi="宋体" w:cs="宋体"/>
          <w:spacing w:val="51"/>
          <w:position w:val="4"/>
          <w:sz w:val="22"/>
          <w:szCs w:val="22"/>
        </w:rPr>
        <w:t xml:space="preserve"> </w:t>
      </w:r>
      <w:r>
        <w:rPr>
          <w:rFonts w:ascii="宋体" w:eastAsia="宋体" w:hAnsi="宋体" w:cs="宋体"/>
          <w:spacing w:val="-17"/>
          <w:position w:val="4"/>
          <w:sz w:val="22"/>
          <w:szCs w:val="22"/>
        </w:rPr>
        <w:t>维生素D</w:t>
      </w:r>
      <w:r>
        <w:rPr>
          <w:rFonts w:ascii="宋体" w:eastAsia="宋体" w:hAnsi="宋体" w:cs="宋体"/>
          <w:spacing w:val="-5"/>
          <w:position w:val="4"/>
          <w:sz w:val="22"/>
          <w:szCs w:val="22"/>
        </w:rPr>
        <w:t xml:space="preserve"> </w:t>
      </w:r>
      <w:r>
        <w:rPr>
          <w:rFonts w:ascii="宋体" w:eastAsia="宋体" w:hAnsi="宋体" w:cs="宋体"/>
          <w:spacing w:val="-17"/>
          <w:position w:val="4"/>
          <w:sz w:val="22"/>
          <w:szCs w:val="22"/>
        </w:rPr>
        <w:t>的结构</w:t>
      </w:r>
      <w:r>
        <w:rPr>
          <w:rFonts w:ascii="宋体" w:eastAsia="宋体" w:hAnsi="宋体" w:cs="宋体"/>
          <w:position w:val="4"/>
          <w:sz w:val="22"/>
          <w:szCs w:val="22"/>
        </w:rPr>
        <w:t xml:space="preserve">  </w:t>
      </w:r>
      <w:r>
        <w:rPr>
          <w:rFonts w:ascii="宋体" w:eastAsia="宋体" w:hAnsi="宋体" w:cs="宋体"/>
          <w:spacing w:val="-7"/>
          <w:sz w:val="22"/>
          <w:szCs w:val="22"/>
        </w:rPr>
        <w:t>维生素也存在于自然界，但存量极微。哺乳动物对维生素</w:t>
      </w:r>
      <w:r>
        <w:rPr>
          <w:rFonts w:ascii="宋体" w:eastAsia="宋体" w:hAnsi="宋体" w:cs="宋体"/>
          <w:spacing w:val="-52"/>
          <w:sz w:val="22"/>
          <w:szCs w:val="22"/>
        </w:rPr>
        <w:t xml:space="preserve"> </w:t>
      </w:r>
      <w:r>
        <w:rPr>
          <w:rFonts w:ascii="宋体" w:eastAsia="宋体" w:hAnsi="宋体" w:cs="宋体"/>
          <w:spacing w:val="-7"/>
          <w:sz w:val="22"/>
          <w:szCs w:val="22"/>
        </w:rPr>
        <w:t>D</w:t>
      </w:r>
      <w:r>
        <w:rPr>
          <w:rFonts w:ascii="Calibri" w:eastAsia="Calibri" w:hAnsi="Calibri" w:cs="Calibri"/>
          <w:spacing w:val="-7"/>
          <w:sz w:val="22"/>
          <w:szCs w:val="22"/>
        </w:rPr>
        <w:t>₃</w:t>
      </w:r>
      <w:r>
        <w:rPr>
          <w:rFonts w:ascii="Calibri" w:eastAsia="Calibri" w:hAnsi="Calibri" w:cs="Calibri"/>
          <w:spacing w:val="6"/>
          <w:sz w:val="22"/>
          <w:szCs w:val="22"/>
        </w:rPr>
        <w:t xml:space="preserve">  </w:t>
      </w:r>
      <w:r>
        <w:rPr>
          <w:rFonts w:ascii="宋体" w:eastAsia="宋体" w:hAnsi="宋体" w:cs="宋体"/>
          <w:spacing w:val="-7"/>
          <w:sz w:val="22"/>
          <w:szCs w:val="22"/>
        </w:rPr>
        <w:t>和维生素</w:t>
      </w:r>
      <w:r>
        <w:rPr>
          <w:rFonts w:ascii="宋体" w:eastAsia="宋体" w:hAnsi="宋体" w:cs="宋体"/>
          <w:spacing w:val="-61"/>
          <w:sz w:val="22"/>
          <w:szCs w:val="22"/>
        </w:rPr>
        <w:t xml:space="preserve"> </w:t>
      </w:r>
      <w:r>
        <w:rPr>
          <w:rFonts w:ascii="宋体" w:eastAsia="宋体" w:hAnsi="宋体" w:cs="宋体"/>
          <w:spacing w:val="-7"/>
          <w:sz w:val="22"/>
          <w:szCs w:val="22"/>
        </w:rPr>
        <w:t>D</w:t>
      </w:r>
      <w:r>
        <w:rPr>
          <w:rFonts w:ascii="Calibri" w:eastAsia="Calibri" w:hAnsi="Calibri" w:cs="Calibri"/>
          <w:spacing w:val="-7"/>
          <w:sz w:val="22"/>
          <w:szCs w:val="22"/>
        </w:rPr>
        <w:t>₂</w:t>
      </w:r>
      <w:r>
        <w:rPr>
          <w:rFonts w:ascii="Calibri" w:eastAsia="Calibri" w:hAnsi="Calibri" w:cs="Calibri"/>
          <w:spacing w:val="5"/>
          <w:sz w:val="22"/>
          <w:szCs w:val="22"/>
        </w:rPr>
        <w:t xml:space="preserve">  </w:t>
      </w:r>
      <w:r>
        <w:rPr>
          <w:rFonts w:ascii="宋体" w:eastAsia="宋体" w:hAnsi="宋体" w:cs="宋体"/>
          <w:spacing w:val="-7"/>
          <w:sz w:val="22"/>
          <w:szCs w:val="22"/>
        </w:rPr>
        <w:t>的利</w:t>
      </w:r>
      <w:r>
        <w:rPr>
          <w:rFonts w:ascii="宋体" w:eastAsia="宋体" w:hAnsi="宋体" w:cs="宋体"/>
          <w:spacing w:val="1"/>
          <w:sz w:val="22"/>
          <w:szCs w:val="22"/>
        </w:rPr>
        <w:t xml:space="preserve"> </w:t>
      </w:r>
      <w:r>
        <w:rPr>
          <w:rFonts w:ascii="宋体" w:eastAsia="宋体" w:hAnsi="宋体" w:cs="宋体"/>
          <w:spacing w:val="-15"/>
          <w:sz w:val="22"/>
          <w:szCs w:val="22"/>
        </w:rPr>
        <w:t>用无差别。</w:t>
      </w:r>
    </w:p>
    <w:p w:rsidR="00EA40A3" w:rsidRDefault="00E86C16">
      <w:pPr>
        <w:spacing w:before="66" w:line="244" w:lineRule="auto"/>
        <w:ind w:right="16" w:firstLine="410"/>
        <w:jc w:val="both"/>
        <w:rPr>
          <w:rFonts w:ascii="宋体" w:eastAsia="宋体" w:hAnsi="宋体" w:cs="宋体"/>
          <w:sz w:val="22"/>
          <w:szCs w:val="22"/>
        </w:rPr>
      </w:pPr>
      <w:r>
        <w:rPr>
          <w:rFonts w:ascii="宋体" w:eastAsia="宋体" w:hAnsi="宋体" w:cs="宋体"/>
          <w:spacing w:val="-6"/>
          <w:sz w:val="22"/>
          <w:szCs w:val="22"/>
        </w:rPr>
        <w:t>维生素D</w:t>
      </w:r>
      <w:r>
        <w:rPr>
          <w:rFonts w:ascii="宋体" w:eastAsia="宋体" w:hAnsi="宋体" w:cs="宋体"/>
          <w:sz w:val="22"/>
          <w:szCs w:val="22"/>
        </w:rPr>
        <w:t xml:space="preserve"> </w:t>
      </w:r>
      <w:r>
        <w:rPr>
          <w:rFonts w:ascii="宋体" w:eastAsia="宋体" w:hAnsi="宋体" w:cs="宋体"/>
          <w:spacing w:val="-6"/>
          <w:sz w:val="22"/>
          <w:szCs w:val="22"/>
        </w:rPr>
        <w:t>为脂溶性维生素，溶于脂肪与脂肪溶剂，在中性及碱性条件下对</w:t>
      </w:r>
      <w:r>
        <w:rPr>
          <w:rFonts w:ascii="宋体" w:eastAsia="宋体" w:hAnsi="宋体" w:cs="宋体"/>
          <w:sz w:val="22"/>
          <w:szCs w:val="22"/>
        </w:rPr>
        <w:t xml:space="preserve"> </w:t>
      </w:r>
      <w:r>
        <w:rPr>
          <w:rFonts w:ascii="宋体" w:eastAsia="宋体" w:hAnsi="宋体" w:cs="宋体"/>
          <w:spacing w:val="-5"/>
          <w:sz w:val="22"/>
          <w:szCs w:val="22"/>
        </w:rPr>
        <w:t>热稳定，如在130℃加热90min,</w:t>
      </w:r>
      <w:r>
        <w:rPr>
          <w:rFonts w:ascii="宋体" w:eastAsia="宋体" w:hAnsi="宋体" w:cs="宋体"/>
          <w:spacing w:val="-18"/>
          <w:sz w:val="22"/>
          <w:szCs w:val="22"/>
        </w:rPr>
        <w:t xml:space="preserve"> </w:t>
      </w:r>
      <w:r>
        <w:rPr>
          <w:rFonts w:ascii="宋体" w:eastAsia="宋体" w:hAnsi="宋体" w:cs="宋体"/>
          <w:spacing w:val="-5"/>
          <w:sz w:val="22"/>
          <w:szCs w:val="22"/>
        </w:rPr>
        <w:t>仍能保持其活性，故在日常的加工烹调过程中</w:t>
      </w:r>
      <w:r>
        <w:rPr>
          <w:rFonts w:ascii="宋体" w:eastAsia="宋体" w:hAnsi="宋体" w:cs="宋体"/>
          <w:sz w:val="22"/>
          <w:szCs w:val="22"/>
        </w:rPr>
        <w:t xml:space="preserve"> </w:t>
      </w:r>
      <w:r>
        <w:rPr>
          <w:rFonts w:ascii="宋体" w:eastAsia="宋体" w:hAnsi="宋体" w:cs="宋体"/>
          <w:spacing w:val="-6"/>
          <w:sz w:val="22"/>
          <w:szCs w:val="22"/>
        </w:rPr>
        <w:t>一般不被破坏，但光及酸能促使其异构化。维生素D 的油</w:t>
      </w:r>
      <w:r>
        <w:rPr>
          <w:rFonts w:ascii="宋体" w:eastAsia="宋体" w:hAnsi="宋体" w:cs="宋体"/>
          <w:spacing w:val="-7"/>
          <w:sz w:val="22"/>
          <w:szCs w:val="22"/>
        </w:rPr>
        <w:t>溶液加抗氧化剂后稳</w:t>
      </w:r>
      <w:r>
        <w:rPr>
          <w:rFonts w:ascii="宋体" w:eastAsia="宋体" w:hAnsi="宋体" w:cs="宋体"/>
          <w:sz w:val="22"/>
          <w:szCs w:val="22"/>
        </w:rPr>
        <w:t xml:space="preserve"> </w:t>
      </w:r>
      <w:r>
        <w:rPr>
          <w:rFonts w:ascii="宋体" w:eastAsia="宋体" w:hAnsi="宋体" w:cs="宋体"/>
          <w:spacing w:val="-14"/>
          <w:sz w:val="22"/>
          <w:szCs w:val="22"/>
        </w:rPr>
        <w:t>定。过量辐照，可形成少量毒性化合物。</w:t>
      </w:r>
    </w:p>
    <w:p w:rsidR="00EA40A3" w:rsidRDefault="00E86C16">
      <w:pPr>
        <w:spacing w:before="235" w:line="222"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35"/>
          <w:sz w:val="22"/>
          <w:szCs w:val="22"/>
        </w:rPr>
        <w:t xml:space="preserve"> </w:t>
      </w:r>
      <w:r>
        <w:rPr>
          <w:rFonts w:ascii="仿宋" w:eastAsia="仿宋" w:hAnsi="仿宋" w:cs="仿宋"/>
          <w:spacing w:val="10"/>
          <w:sz w:val="22"/>
          <w:szCs w:val="22"/>
        </w:rPr>
        <w:t>维生素</w:t>
      </w:r>
      <w:r>
        <w:rPr>
          <w:rFonts w:ascii="仿宋" w:eastAsia="仿宋" w:hAnsi="仿宋" w:cs="仿宋"/>
          <w:spacing w:val="-53"/>
          <w:sz w:val="22"/>
          <w:szCs w:val="22"/>
        </w:rPr>
        <w:t xml:space="preserve"> </w:t>
      </w:r>
      <w:r>
        <w:rPr>
          <w:rFonts w:ascii="仿宋" w:eastAsia="仿宋" w:hAnsi="仿宋" w:cs="仿宋"/>
          <w:spacing w:val="10"/>
          <w:sz w:val="22"/>
          <w:szCs w:val="22"/>
        </w:rPr>
        <w:t>D</w:t>
      </w:r>
      <w:r>
        <w:rPr>
          <w:rFonts w:ascii="仿宋" w:eastAsia="仿宋" w:hAnsi="仿宋" w:cs="仿宋"/>
          <w:spacing w:val="34"/>
          <w:sz w:val="22"/>
          <w:szCs w:val="22"/>
        </w:rPr>
        <w:t xml:space="preserve"> </w:t>
      </w:r>
      <w:r>
        <w:rPr>
          <w:rFonts w:ascii="仿宋" w:eastAsia="仿宋" w:hAnsi="仿宋" w:cs="仿宋"/>
          <w:spacing w:val="10"/>
          <w:sz w:val="22"/>
          <w:szCs w:val="22"/>
        </w:rPr>
        <w:t>的吸收与代谢</w:t>
      </w:r>
    </w:p>
    <w:p w:rsidR="00EA40A3" w:rsidRDefault="00E86C16">
      <w:pPr>
        <w:spacing w:before="189" w:line="231" w:lineRule="auto"/>
        <w:ind w:right="29" w:firstLine="410"/>
        <w:rPr>
          <w:rFonts w:ascii="宋体" w:eastAsia="宋体" w:hAnsi="宋体" w:cs="宋体"/>
          <w:sz w:val="22"/>
          <w:szCs w:val="22"/>
        </w:rPr>
      </w:pPr>
      <w:r>
        <w:rPr>
          <w:rFonts w:ascii="宋体" w:eastAsia="宋体" w:hAnsi="宋体" w:cs="宋体"/>
          <w:spacing w:val="-6"/>
          <w:sz w:val="22"/>
          <w:szCs w:val="22"/>
        </w:rPr>
        <w:t>维生素D</w:t>
      </w:r>
      <w:r>
        <w:rPr>
          <w:rFonts w:ascii="宋体" w:eastAsia="宋体" w:hAnsi="宋体" w:cs="宋体"/>
          <w:spacing w:val="1"/>
          <w:sz w:val="22"/>
          <w:szCs w:val="22"/>
        </w:rPr>
        <w:t xml:space="preserve"> </w:t>
      </w:r>
      <w:r>
        <w:rPr>
          <w:rFonts w:ascii="宋体" w:eastAsia="宋体" w:hAnsi="宋体" w:cs="宋体"/>
          <w:spacing w:val="-6"/>
          <w:sz w:val="22"/>
          <w:szCs w:val="22"/>
        </w:rPr>
        <w:t>每时每刻都在参与体内钙和矿物质平衡的调节，现在已知这些重</w:t>
      </w:r>
      <w:r>
        <w:rPr>
          <w:rFonts w:ascii="宋体" w:eastAsia="宋体" w:hAnsi="宋体" w:cs="宋体"/>
          <w:sz w:val="22"/>
          <w:szCs w:val="22"/>
        </w:rPr>
        <w:t xml:space="preserve"> </w:t>
      </w:r>
      <w:r>
        <w:rPr>
          <w:rFonts w:ascii="宋体" w:eastAsia="宋体" w:hAnsi="宋体" w:cs="宋体"/>
          <w:spacing w:val="-12"/>
          <w:sz w:val="22"/>
          <w:szCs w:val="22"/>
        </w:rPr>
        <w:t>要的生物学效应是由于维生素D</w:t>
      </w:r>
      <w:r>
        <w:rPr>
          <w:rFonts w:ascii="宋体" w:eastAsia="宋体" w:hAnsi="宋体" w:cs="宋体"/>
          <w:spacing w:val="10"/>
          <w:sz w:val="22"/>
          <w:szCs w:val="22"/>
        </w:rPr>
        <w:t xml:space="preserve"> </w:t>
      </w:r>
      <w:r>
        <w:rPr>
          <w:rFonts w:ascii="宋体" w:eastAsia="宋体" w:hAnsi="宋体" w:cs="宋体"/>
          <w:spacing w:val="-12"/>
          <w:sz w:val="22"/>
          <w:szCs w:val="22"/>
        </w:rPr>
        <w:t>的代谢产物所致。</w:t>
      </w:r>
    </w:p>
    <w:p w:rsidR="00EA40A3" w:rsidRDefault="00E86C16">
      <w:pPr>
        <w:spacing w:before="62" w:line="253" w:lineRule="auto"/>
        <w:ind w:firstLine="410"/>
        <w:rPr>
          <w:rFonts w:ascii="宋体" w:eastAsia="宋体" w:hAnsi="宋体" w:cs="宋体"/>
          <w:sz w:val="22"/>
          <w:szCs w:val="22"/>
        </w:rPr>
      </w:pPr>
      <w:r>
        <w:rPr>
          <w:rFonts w:ascii="宋体" w:eastAsia="宋体" w:hAnsi="宋体" w:cs="宋体"/>
          <w:spacing w:val="-11"/>
          <w:sz w:val="22"/>
          <w:szCs w:val="22"/>
        </w:rPr>
        <w:t>人类所需维生素D</w:t>
      </w:r>
      <w:r>
        <w:rPr>
          <w:rFonts w:ascii="宋体" w:eastAsia="宋体" w:hAnsi="宋体" w:cs="宋体"/>
          <w:spacing w:val="-18"/>
          <w:sz w:val="22"/>
          <w:szCs w:val="22"/>
        </w:rPr>
        <w:t xml:space="preserve"> </w:t>
      </w:r>
      <w:r>
        <w:rPr>
          <w:rFonts w:ascii="宋体" w:eastAsia="宋体" w:hAnsi="宋体" w:cs="宋体"/>
          <w:spacing w:val="-11"/>
          <w:sz w:val="22"/>
          <w:szCs w:val="22"/>
        </w:rPr>
        <w:t>从两个途径获得，即在皮肤中形成和经口从食物中获得。</w:t>
      </w:r>
      <w:r>
        <w:rPr>
          <w:rFonts w:ascii="宋体" w:eastAsia="宋体" w:hAnsi="宋体" w:cs="宋体"/>
          <w:sz w:val="22"/>
          <w:szCs w:val="22"/>
        </w:rPr>
        <w:t xml:space="preserve"> </w:t>
      </w:r>
      <w:r>
        <w:rPr>
          <w:rFonts w:ascii="宋体" w:eastAsia="宋体" w:hAnsi="宋体" w:cs="宋体"/>
          <w:spacing w:val="-6"/>
          <w:sz w:val="22"/>
          <w:szCs w:val="22"/>
        </w:rPr>
        <w:t>如果皮肤在阳光下进行紫外线照射，皮肤的表皮和真皮中</w:t>
      </w:r>
      <w:r>
        <w:rPr>
          <w:rFonts w:ascii="宋体" w:eastAsia="宋体" w:hAnsi="宋体" w:cs="宋体"/>
          <w:spacing w:val="-7"/>
          <w:sz w:val="22"/>
          <w:szCs w:val="22"/>
        </w:rPr>
        <w:t>所含有的许多7-脱氢</w:t>
      </w:r>
      <w:r>
        <w:rPr>
          <w:rFonts w:ascii="宋体" w:eastAsia="宋体" w:hAnsi="宋体" w:cs="宋体"/>
          <w:sz w:val="22"/>
          <w:szCs w:val="22"/>
        </w:rPr>
        <w:t xml:space="preserve"> </w:t>
      </w:r>
      <w:r>
        <w:rPr>
          <w:rFonts w:ascii="宋体" w:eastAsia="宋体" w:hAnsi="宋体" w:cs="宋体"/>
          <w:spacing w:val="-4"/>
          <w:sz w:val="22"/>
          <w:szCs w:val="22"/>
        </w:rPr>
        <w:t>胆固醇会产生光化学反应，并形成前维生素D</w:t>
      </w:r>
      <w:r>
        <w:rPr>
          <w:rFonts w:ascii="Calibri" w:eastAsia="Calibri" w:hAnsi="Calibri" w:cs="Calibri"/>
          <w:spacing w:val="-4"/>
          <w:sz w:val="22"/>
          <w:szCs w:val="22"/>
        </w:rPr>
        <w:t>₃</w:t>
      </w:r>
      <w:r>
        <w:rPr>
          <w:rFonts w:ascii="宋体" w:eastAsia="宋体" w:hAnsi="宋体" w:cs="宋体"/>
          <w:spacing w:val="-4"/>
          <w:sz w:val="22"/>
          <w:szCs w:val="22"/>
        </w:rPr>
        <w:t>,</w:t>
      </w:r>
      <w:r>
        <w:rPr>
          <w:rFonts w:ascii="宋体" w:eastAsia="宋体" w:hAnsi="宋体" w:cs="宋体"/>
          <w:spacing w:val="50"/>
          <w:sz w:val="22"/>
          <w:szCs w:val="22"/>
        </w:rPr>
        <w:t xml:space="preserve"> </w:t>
      </w:r>
      <w:r>
        <w:rPr>
          <w:rFonts w:ascii="宋体" w:eastAsia="宋体" w:hAnsi="宋体" w:cs="宋体"/>
          <w:spacing w:val="-4"/>
          <w:sz w:val="22"/>
          <w:szCs w:val="22"/>
        </w:rPr>
        <w:t>一旦前维生素</w:t>
      </w:r>
      <w:r>
        <w:rPr>
          <w:rFonts w:ascii="宋体" w:eastAsia="宋体" w:hAnsi="宋体" w:cs="宋体"/>
          <w:spacing w:val="-58"/>
          <w:sz w:val="22"/>
          <w:szCs w:val="22"/>
        </w:rPr>
        <w:t xml:space="preserve"> </w:t>
      </w:r>
      <w:r>
        <w:rPr>
          <w:rFonts w:ascii="宋体" w:eastAsia="宋体" w:hAnsi="宋体" w:cs="宋体"/>
          <w:spacing w:val="-4"/>
          <w:sz w:val="22"/>
          <w:szCs w:val="22"/>
        </w:rPr>
        <w:t>D</w:t>
      </w:r>
      <w:r>
        <w:rPr>
          <w:rFonts w:ascii="Calibri" w:eastAsia="Calibri" w:hAnsi="Calibri" w:cs="Calibri"/>
          <w:spacing w:val="-4"/>
          <w:sz w:val="22"/>
          <w:szCs w:val="22"/>
        </w:rPr>
        <w:t>₃</w:t>
      </w:r>
      <w:r>
        <w:rPr>
          <w:rFonts w:ascii="Calibri" w:eastAsia="Calibri" w:hAnsi="Calibri" w:cs="Calibri"/>
          <w:spacing w:val="5"/>
          <w:sz w:val="22"/>
          <w:szCs w:val="22"/>
        </w:rPr>
        <w:t xml:space="preserve">  </w:t>
      </w:r>
      <w:r>
        <w:rPr>
          <w:rFonts w:ascii="宋体" w:eastAsia="宋体" w:hAnsi="宋体" w:cs="宋体"/>
          <w:spacing w:val="-4"/>
          <w:sz w:val="22"/>
          <w:szCs w:val="22"/>
        </w:rPr>
        <w:t>在皮肤内</w:t>
      </w:r>
      <w:r>
        <w:rPr>
          <w:rFonts w:ascii="宋体" w:eastAsia="宋体" w:hAnsi="宋体" w:cs="宋体"/>
          <w:spacing w:val="-5"/>
          <w:sz w:val="22"/>
          <w:szCs w:val="22"/>
        </w:rPr>
        <w:t>形</w:t>
      </w:r>
      <w:r>
        <w:rPr>
          <w:rFonts w:ascii="宋体" w:eastAsia="宋体" w:hAnsi="宋体" w:cs="宋体"/>
          <w:spacing w:val="1"/>
          <w:sz w:val="22"/>
          <w:szCs w:val="22"/>
        </w:rPr>
        <w:t xml:space="preserve"> </w:t>
      </w:r>
      <w:r>
        <w:rPr>
          <w:rFonts w:ascii="宋体" w:eastAsia="宋体" w:hAnsi="宋体" w:cs="宋体"/>
          <w:spacing w:val="-5"/>
          <w:sz w:val="22"/>
          <w:szCs w:val="22"/>
        </w:rPr>
        <w:t>成，它将缓慢地转化为维生素</w:t>
      </w:r>
      <w:r>
        <w:rPr>
          <w:rFonts w:ascii="宋体" w:eastAsia="宋体" w:hAnsi="宋体" w:cs="宋体"/>
          <w:spacing w:val="-60"/>
          <w:sz w:val="22"/>
          <w:szCs w:val="22"/>
        </w:rPr>
        <w:t xml:space="preserve"> </w:t>
      </w:r>
      <w:r>
        <w:rPr>
          <w:rFonts w:ascii="宋体" w:eastAsia="宋体" w:hAnsi="宋体" w:cs="宋体"/>
          <w:spacing w:val="-5"/>
          <w:sz w:val="22"/>
          <w:szCs w:val="22"/>
        </w:rPr>
        <w:t>D</w:t>
      </w:r>
      <w:r>
        <w:rPr>
          <w:rFonts w:ascii="Calibri" w:eastAsia="Calibri" w:hAnsi="Calibri" w:cs="Calibri"/>
          <w:spacing w:val="-5"/>
          <w:sz w:val="22"/>
          <w:szCs w:val="22"/>
        </w:rPr>
        <w:t>₃</w:t>
      </w:r>
      <w:r>
        <w:rPr>
          <w:rFonts w:ascii="宋体" w:eastAsia="宋体" w:hAnsi="宋体" w:cs="宋体"/>
          <w:spacing w:val="-5"/>
          <w:sz w:val="22"/>
          <w:szCs w:val="22"/>
        </w:rPr>
        <w:t>,</w:t>
      </w:r>
      <w:r>
        <w:rPr>
          <w:rFonts w:ascii="宋体" w:eastAsia="宋体" w:hAnsi="宋体" w:cs="宋体"/>
          <w:spacing w:val="40"/>
          <w:sz w:val="22"/>
          <w:szCs w:val="22"/>
        </w:rPr>
        <w:t xml:space="preserve"> </w:t>
      </w:r>
      <w:r>
        <w:rPr>
          <w:rFonts w:ascii="宋体" w:eastAsia="宋体" w:hAnsi="宋体" w:cs="宋体"/>
          <w:spacing w:val="-5"/>
          <w:sz w:val="22"/>
          <w:szCs w:val="22"/>
        </w:rPr>
        <w:t>这一过程至少要3天才能完成。然后维生素</w:t>
      </w:r>
      <w:r>
        <w:rPr>
          <w:rFonts w:ascii="宋体" w:eastAsia="宋体" w:hAnsi="宋体" w:cs="宋体"/>
          <w:sz w:val="22"/>
          <w:szCs w:val="22"/>
        </w:rPr>
        <w:t xml:space="preserve"> </w:t>
      </w:r>
      <w:r>
        <w:rPr>
          <w:rFonts w:ascii="宋体" w:eastAsia="宋体" w:hAnsi="宋体" w:cs="宋体"/>
          <w:spacing w:val="-8"/>
          <w:sz w:val="22"/>
          <w:szCs w:val="22"/>
        </w:rPr>
        <w:t>D</w:t>
      </w:r>
      <w:r>
        <w:rPr>
          <w:rFonts w:ascii="宋体" w:eastAsia="宋体" w:hAnsi="宋体" w:cs="宋体"/>
          <w:spacing w:val="-26"/>
          <w:sz w:val="22"/>
          <w:szCs w:val="22"/>
        </w:rPr>
        <w:t xml:space="preserve"> </w:t>
      </w:r>
      <w:r>
        <w:rPr>
          <w:rFonts w:ascii="宋体" w:eastAsia="宋体" w:hAnsi="宋体" w:cs="宋体"/>
          <w:spacing w:val="-8"/>
          <w:sz w:val="22"/>
          <w:szCs w:val="22"/>
        </w:rPr>
        <w:t>结合蛋白把维生素D</w:t>
      </w:r>
      <w:r>
        <w:rPr>
          <w:rFonts w:ascii="Calibri" w:eastAsia="Calibri" w:hAnsi="Calibri" w:cs="Calibri"/>
          <w:spacing w:val="-8"/>
          <w:sz w:val="22"/>
          <w:szCs w:val="22"/>
        </w:rPr>
        <w:t>₃</w:t>
      </w:r>
      <w:r>
        <w:rPr>
          <w:rFonts w:ascii="Calibri" w:eastAsia="Calibri" w:hAnsi="Calibri" w:cs="Calibri"/>
          <w:sz w:val="22"/>
          <w:szCs w:val="22"/>
        </w:rPr>
        <w:t xml:space="preserve">  </w:t>
      </w:r>
      <w:r>
        <w:rPr>
          <w:rFonts w:ascii="宋体" w:eastAsia="宋体" w:hAnsi="宋体" w:cs="宋体"/>
          <w:spacing w:val="-8"/>
          <w:sz w:val="22"/>
          <w:szCs w:val="22"/>
        </w:rPr>
        <w:t>从皮肤输送到循环系统。经口摄入的维</w:t>
      </w:r>
      <w:r>
        <w:rPr>
          <w:rFonts w:ascii="宋体" w:eastAsia="宋体" w:hAnsi="宋体" w:cs="宋体"/>
          <w:spacing w:val="-9"/>
          <w:sz w:val="22"/>
          <w:szCs w:val="22"/>
        </w:rPr>
        <w:t>生素</w:t>
      </w:r>
      <w:r>
        <w:rPr>
          <w:rFonts w:ascii="宋体" w:eastAsia="宋体" w:hAnsi="宋体" w:cs="宋体"/>
          <w:spacing w:val="-59"/>
          <w:sz w:val="22"/>
          <w:szCs w:val="22"/>
        </w:rPr>
        <w:t xml:space="preserve"> </w:t>
      </w:r>
      <w:r>
        <w:rPr>
          <w:rFonts w:ascii="宋体" w:eastAsia="宋体" w:hAnsi="宋体" w:cs="宋体"/>
          <w:spacing w:val="-9"/>
          <w:sz w:val="22"/>
          <w:szCs w:val="22"/>
        </w:rPr>
        <w:t>D</w:t>
      </w:r>
      <w:r>
        <w:rPr>
          <w:rFonts w:ascii="宋体" w:eastAsia="宋体" w:hAnsi="宋体" w:cs="宋体"/>
          <w:spacing w:val="-16"/>
          <w:sz w:val="22"/>
          <w:szCs w:val="22"/>
        </w:rPr>
        <w:t xml:space="preserve"> </w:t>
      </w:r>
      <w:r>
        <w:rPr>
          <w:rFonts w:ascii="宋体" w:eastAsia="宋体" w:hAnsi="宋体" w:cs="宋体"/>
          <w:spacing w:val="-9"/>
          <w:sz w:val="22"/>
          <w:szCs w:val="22"/>
        </w:rPr>
        <w:t>在胆汁的</w:t>
      </w:r>
      <w:r>
        <w:rPr>
          <w:rFonts w:ascii="宋体" w:eastAsia="宋体" w:hAnsi="宋体" w:cs="宋体"/>
          <w:sz w:val="22"/>
          <w:szCs w:val="22"/>
        </w:rPr>
        <w:t xml:space="preserve"> </w:t>
      </w:r>
      <w:r>
        <w:rPr>
          <w:rFonts w:ascii="宋体" w:eastAsia="宋体" w:hAnsi="宋体" w:cs="宋体"/>
          <w:spacing w:val="-14"/>
          <w:sz w:val="22"/>
          <w:szCs w:val="22"/>
        </w:rPr>
        <w:t>帮助下，与脂肪一起在小肠内被吸收。</w:t>
      </w:r>
    </w:p>
    <w:p w:rsidR="00EA40A3" w:rsidRDefault="00E86C16">
      <w:pPr>
        <w:spacing w:before="58" w:line="235" w:lineRule="auto"/>
        <w:ind w:right="29" w:firstLine="410"/>
        <w:rPr>
          <w:rFonts w:ascii="宋体" w:eastAsia="宋体" w:hAnsi="宋体" w:cs="宋体"/>
          <w:sz w:val="22"/>
          <w:szCs w:val="22"/>
        </w:rPr>
      </w:pPr>
      <w:r>
        <w:rPr>
          <w:rFonts w:ascii="宋体" w:eastAsia="宋体" w:hAnsi="宋体" w:cs="宋体"/>
          <w:spacing w:val="-6"/>
          <w:sz w:val="22"/>
          <w:szCs w:val="22"/>
        </w:rPr>
        <w:t>从膳食和皮肤两条途径获得的维生素</w:t>
      </w:r>
      <w:r>
        <w:rPr>
          <w:rFonts w:ascii="宋体" w:eastAsia="宋体" w:hAnsi="宋体" w:cs="宋体"/>
          <w:spacing w:val="-60"/>
          <w:sz w:val="22"/>
          <w:szCs w:val="22"/>
        </w:rPr>
        <w:t xml:space="preserve"> </w:t>
      </w:r>
      <w:r>
        <w:rPr>
          <w:rFonts w:ascii="宋体" w:eastAsia="宋体" w:hAnsi="宋体" w:cs="宋体"/>
          <w:spacing w:val="-6"/>
          <w:sz w:val="22"/>
          <w:szCs w:val="22"/>
        </w:rPr>
        <w:t>D</w:t>
      </w:r>
      <w:r>
        <w:rPr>
          <w:rFonts w:ascii="Calibri" w:eastAsia="Calibri" w:hAnsi="Calibri" w:cs="Calibri"/>
          <w:spacing w:val="-6"/>
          <w:sz w:val="22"/>
          <w:szCs w:val="22"/>
        </w:rPr>
        <w:t>₃</w:t>
      </w:r>
      <w:r>
        <w:rPr>
          <w:rFonts w:ascii="Calibri" w:eastAsia="Calibri" w:hAnsi="Calibri" w:cs="Calibri"/>
          <w:spacing w:val="5"/>
          <w:sz w:val="22"/>
          <w:szCs w:val="22"/>
        </w:rPr>
        <w:t xml:space="preserve">  </w:t>
      </w:r>
      <w:r>
        <w:rPr>
          <w:rFonts w:ascii="宋体" w:eastAsia="宋体" w:hAnsi="宋体" w:cs="宋体"/>
          <w:spacing w:val="-6"/>
          <w:sz w:val="22"/>
          <w:szCs w:val="22"/>
        </w:rPr>
        <w:t>与血浆α</w:t>
      </w:r>
      <w:r>
        <w:rPr>
          <w:rFonts w:ascii="宋体" w:eastAsia="宋体" w:hAnsi="宋体" w:cs="宋体"/>
          <w:spacing w:val="-7"/>
          <w:sz w:val="22"/>
          <w:szCs w:val="22"/>
        </w:rPr>
        <w:t>-球蛋白结合，60%～80%</w:t>
      </w:r>
      <w:r>
        <w:rPr>
          <w:rFonts w:ascii="宋体" w:eastAsia="宋体" w:hAnsi="宋体" w:cs="宋体"/>
          <w:spacing w:val="1"/>
          <w:sz w:val="22"/>
          <w:szCs w:val="22"/>
        </w:rPr>
        <w:t xml:space="preserve"> </w:t>
      </w:r>
      <w:r>
        <w:rPr>
          <w:rFonts w:ascii="宋体" w:eastAsia="宋体" w:hAnsi="宋体" w:cs="宋体"/>
          <w:spacing w:val="-3"/>
          <w:sz w:val="22"/>
          <w:szCs w:val="22"/>
        </w:rPr>
        <w:t>被肝脏接受，并在肝脏内经维生素D</w:t>
      </w:r>
      <w:r>
        <w:rPr>
          <w:rFonts w:ascii="Calibri" w:eastAsia="Calibri" w:hAnsi="Calibri" w:cs="Calibri"/>
          <w:spacing w:val="-3"/>
          <w:sz w:val="22"/>
          <w:szCs w:val="22"/>
        </w:rPr>
        <w:t>₃</w:t>
      </w:r>
      <w:r>
        <w:rPr>
          <w:rFonts w:ascii="宋体" w:eastAsia="宋体" w:hAnsi="宋体" w:cs="宋体"/>
          <w:spacing w:val="-3"/>
          <w:sz w:val="22"/>
          <w:szCs w:val="22"/>
        </w:rPr>
        <w:t>-25</w:t>
      </w:r>
      <w:r>
        <w:rPr>
          <w:rFonts w:ascii="宋体" w:eastAsia="宋体" w:hAnsi="宋体" w:cs="宋体"/>
          <w:spacing w:val="-60"/>
          <w:sz w:val="22"/>
          <w:szCs w:val="22"/>
        </w:rPr>
        <w:t xml:space="preserve"> </w:t>
      </w:r>
      <w:r>
        <w:rPr>
          <w:rFonts w:ascii="宋体" w:eastAsia="宋体" w:hAnsi="宋体" w:cs="宋体"/>
          <w:spacing w:val="-3"/>
          <w:sz w:val="22"/>
          <w:szCs w:val="22"/>
        </w:rPr>
        <w:t>羟化酶催化，第一</w:t>
      </w:r>
      <w:r>
        <w:rPr>
          <w:rFonts w:ascii="宋体" w:eastAsia="宋体" w:hAnsi="宋体" w:cs="宋体"/>
          <w:spacing w:val="-4"/>
          <w:sz w:val="22"/>
          <w:szCs w:val="22"/>
        </w:rPr>
        <w:t>次在C-25被羟化而</w:t>
      </w:r>
    </w:p>
    <w:p w:rsidR="00EA40A3" w:rsidRDefault="00E86C16">
      <w:pPr>
        <w:spacing w:before="37" w:line="216" w:lineRule="auto"/>
        <w:rPr>
          <w:rFonts w:ascii="宋体" w:eastAsia="宋体" w:hAnsi="宋体" w:cs="宋体"/>
          <w:sz w:val="22"/>
          <w:szCs w:val="22"/>
        </w:rPr>
      </w:pPr>
      <w:r>
        <w:rPr>
          <w:rFonts w:ascii="宋体" w:eastAsia="宋体" w:hAnsi="宋体" w:cs="宋体"/>
          <w:spacing w:val="5"/>
          <w:sz w:val="22"/>
          <w:szCs w:val="22"/>
        </w:rPr>
        <w:t>形成25</w:t>
      </w:r>
      <w:r>
        <w:rPr>
          <w:rFonts w:ascii="宋体" w:eastAsia="宋体" w:hAnsi="宋体" w:cs="宋体"/>
          <w:spacing w:val="-10"/>
          <w:sz w:val="22"/>
          <w:szCs w:val="22"/>
        </w:rPr>
        <w:t xml:space="preserve"> </w:t>
      </w:r>
      <w:r>
        <w:rPr>
          <w:rFonts w:ascii="宋体" w:eastAsia="宋体" w:hAnsi="宋体" w:cs="宋体"/>
          <w:spacing w:val="5"/>
          <w:sz w:val="22"/>
          <w:szCs w:val="22"/>
        </w:rPr>
        <w:t>(</w:t>
      </w:r>
      <w:r>
        <w:rPr>
          <w:rFonts w:ascii="宋体" w:eastAsia="宋体" w:hAnsi="宋体" w:cs="宋体"/>
          <w:sz w:val="22"/>
          <w:szCs w:val="22"/>
        </w:rPr>
        <w:t>OH</w:t>
      </w:r>
      <w:r>
        <w:rPr>
          <w:rFonts w:ascii="宋体" w:eastAsia="宋体" w:hAnsi="宋体" w:cs="宋体"/>
          <w:spacing w:val="5"/>
          <w:sz w:val="22"/>
          <w:szCs w:val="22"/>
        </w:rPr>
        <w:t>)D,</w:t>
      </w:r>
      <w:r>
        <w:rPr>
          <w:rFonts w:ascii="宋体" w:eastAsia="宋体" w:hAnsi="宋体" w:cs="宋体"/>
          <w:spacing w:val="19"/>
          <w:sz w:val="22"/>
          <w:szCs w:val="22"/>
        </w:rPr>
        <w:t xml:space="preserve">    </w:t>
      </w:r>
      <w:r>
        <w:rPr>
          <w:rFonts w:ascii="宋体" w:eastAsia="宋体" w:hAnsi="宋体" w:cs="宋体"/>
          <w:spacing w:val="5"/>
          <w:sz w:val="22"/>
          <w:szCs w:val="22"/>
        </w:rPr>
        <w:t>然后再转运至肾脏，转化为</w:t>
      </w:r>
      <w:r>
        <w:rPr>
          <w:rFonts w:ascii="宋体" w:eastAsia="宋体" w:hAnsi="宋体" w:cs="宋体"/>
          <w:spacing w:val="-40"/>
          <w:sz w:val="22"/>
          <w:szCs w:val="22"/>
        </w:rPr>
        <w:t xml:space="preserve"> </w:t>
      </w:r>
      <w:r>
        <w:rPr>
          <w:rFonts w:ascii="宋体" w:eastAsia="宋体" w:hAnsi="宋体" w:cs="宋体"/>
          <w:sz w:val="22"/>
          <w:szCs w:val="22"/>
        </w:rPr>
        <w:t>la</w:t>
      </w:r>
      <w:r>
        <w:rPr>
          <w:rFonts w:ascii="宋体" w:eastAsia="宋体" w:hAnsi="宋体" w:cs="宋体"/>
          <w:spacing w:val="5"/>
          <w:sz w:val="22"/>
          <w:szCs w:val="22"/>
        </w:rPr>
        <w:t>,25(</w:t>
      </w:r>
      <w:r>
        <w:rPr>
          <w:rFonts w:ascii="宋体" w:eastAsia="宋体" w:hAnsi="宋体" w:cs="宋体"/>
          <w:sz w:val="22"/>
          <w:szCs w:val="22"/>
        </w:rPr>
        <w:t>OH</w:t>
      </w:r>
      <w:r>
        <w:rPr>
          <w:rFonts w:ascii="宋体" w:eastAsia="宋体" w:hAnsi="宋体" w:cs="宋体"/>
          <w:spacing w:val="5"/>
          <w:sz w:val="22"/>
          <w:szCs w:val="22"/>
        </w:rPr>
        <w:t>)</w:t>
      </w:r>
      <w:r>
        <w:rPr>
          <w:rFonts w:ascii="Calibri" w:eastAsia="Calibri" w:hAnsi="Calibri" w:cs="Calibri"/>
          <w:spacing w:val="5"/>
          <w:sz w:val="22"/>
          <w:szCs w:val="22"/>
        </w:rPr>
        <w:t>₂</w:t>
      </w:r>
      <w:r>
        <w:rPr>
          <w:rFonts w:ascii="宋体" w:eastAsia="宋体" w:hAnsi="宋体" w:cs="宋体"/>
          <w:spacing w:val="5"/>
          <w:sz w:val="22"/>
          <w:szCs w:val="22"/>
        </w:rPr>
        <w:t>D</w:t>
      </w:r>
      <w:r>
        <w:rPr>
          <w:rFonts w:ascii="Calibri" w:eastAsia="Calibri" w:hAnsi="Calibri" w:cs="Calibri"/>
          <w:spacing w:val="5"/>
          <w:sz w:val="22"/>
          <w:szCs w:val="22"/>
        </w:rPr>
        <w:t xml:space="preserve">₃     </w:t>
      </w:r>
      <w:r>
        <w:rPr>
          <w:rFonts w:ascii="宋体" w:eastAsia="宋体" w:hAnsi="宋体" w:cs="宋体"/>
          <w:spacing w:val="5"/>
          <w:sz w:val="22"/>
          <w:szCs w:val="22"/>
        </w:rPr>
        <w:t>及24R,25</w:t>
      </w:r>
    </w:p>
    <w:p w:rsidR="00EA40A3" w:rsidRDefault="00E86C16">
      <w:pPr>
        <w:spacing w:before="43" w:line="216" w:lineRule="auto"/>
        <w:rPr>
          <w:rFonts w:ascii="宋体" w:eastAsia="宋体" w:hAnsi="宋体" w:cs="宋体"/>
          <w:sz w:val="22"/>
          <w:szCs w:val="22"/>
        </w:rPr>
      </w:pPr>
      <w:r>
        <w:rPr>
          <w:rFonts w:ascii="宋体" w:eastAsia="宋体" w:hAnsi="宋体" w:cs="宋体"/>
          <w:spacing w:val="-7"/>
          <w:sz w:val="22"/>
          <w:szCs w:val="22"/>
        </w:rPr>
        <w:t>(OH)</w:t>
      </w:r>
      <w:r>
        <w:rPr>
          <w:rFonts w:ascii="Calibri" w:eastAsia="Calibri" w:hAnsi="Calibri" w:cs="Calibri"/>
          <w:spacing w:val="-7"/>
          <w:sz w:val="22"/>
          <w:szCs w:val="22"/>
        </w:rPr>
        <w:t>₂</w:t>
      </w:r>
      <w:r>
        <w:rPr>
          <w:rFonts w:ascii="宋体" w:eastAsia="宋体" w:hAnsi="宋体" w:cs="宋体"/>
          <w:spacing w:val="-7"/>
          <w:sz w:val="22"/>
          <w:szCs w:val="22"/>
        </w:rPr>
        <w:t>D</w:t>
      </w:r>
      <w:r>
        <w:rPr>
          <w:rFonts w:ascii="Calibri" w:eastAsia="Calibri" w:hAnsi="Calibri" w:cs="Calibri"/>
          <w:spacing w:val="-7"/>
          <w:sz w:val="22"/>
          <w:szCs w:val="22"/>
        </w:rPr>
        <w:t>₂</w:t>
      </w:r>
      <w:r>
        <w:rPr>
          <w:rFonts w:ascii="Calibri" w:eastAsia="Calibri" w:hAnsi="Calibri" w:cs="Calibri"/>
          <w:spacing w:val="-15"/>
          <w:sz w:val="22"/>
          <w:szCs w:val="22"/>
        </w:rPr>
        <w:t xml:space="preserve"> </w:t>
      </w:r>
      <w:r>
        <w:rPr>
          <w:rFonts w:ascii="宋体" w:eastAsia="宋体" w:hAnsi="宋体" w:cs="宋体"/>
          <w:spacing w:val="-7"/>
          <w:sz w:val="22"/>
          <w:szCs w:val="22"/>
        </w:rPr>
        <w:t>。</w:t>
      </w:r>
      <w:r>
        <w:rPr>
          <w:rFonts w:ascii="宋体" w:eastAsia="宋体" w:hAnsi="宋体" w:cs="宋体"/>
          <w:spacing w:val="50"/>
          <w:sz w:val="22"/>
          <w:szCs w:val="22"/>
        </w:rPr>
        <w:t xml:space="preserve"> </w:t>
      </w:r>
      <w:r>
        <w:rPr>
          <w:rFonts w:ascii="宋体" w:eastAsia="宋体" w:hAnsi="宋体" w:cs="宋体"/>
          <w:spacing w:val="-7"/>
          <w:sz w:val="22"/>
          <w:szCs w:val="22"/>
        </w:rPr>
        <w:t>维生素D</w:t>
      </w:r>
      <w:r>
        <w:rPr>
          <w:rFonts w:ascii="宋体" w:eastAsia="宋体" w:hAnsi="宋体" w:cs="宋体"/>
          <w:spacing w:val="-5"/>
          <w:sz w:val="22"/>
          <w:szCs w:val="22"/>
        </w:rPr>
        <w:t xml:space="preserve"> </w:t>
      </w:r>
      <w:r>
        <w:rPr>
          <w:rFonts w:ascii="宋体" w:eastAsia="宋体" w:hAnsi="宋体" w:cs="宋体"/>
          <w:spacing w:val="-7"/>
          <w:sz w:val="22"/>
          <w:szCs w:val="22"/>
        </w:rPr>
        <w:t>的大量生物学效应是通过其代谢产物la,25(OH)</w:t>
      </w:r>
      <w:r>
        <w:rPr>
          <w:rFonts w:ascii="Calibri" w:eastAsia="Calibri" w:hAnsi="Calibri" w:cs="Calibri"/>
          <w:spacing w:val="-7"/>
          <w:sz w:val="22"/>
          <w:szCs w:val="22"/>
        </w:rPr>
        <w:t>₂</w:t>
      </w:r>
      <w:r>
        <w:rPr>
          <w:rFonts w:ascii="宋体" w:eastAsia="宋体" w:hAnsi="宋体" w:cs="宋体"/>
          <w:spacing w:val="-7"/>
          <w:sz w:val="22"/>
          <w:szCs w:val="22"/>
        </w:rPr>
        <w:t>D</w:t>
      </w:r>
      <w:r>
        <w:rPr>
          <w:rFonts w:ascii="Calibri" w:eastAsia="Calibri" w:hAnsi="Calibri" w:cs="Calibri"/>
          <w:spacing w:val="-7"/>
          <w:sz w:val="22"/>
          <w:szCs w:val="22"/>
        </w:rPr>
        <w:t>₃</w:t>
      </w:r>
      <w:r>
        <w:rPr>
          <w:rFonts w:ascii="Calibri" w:eastAsia="Calibri" w:hAnsi="Calibri" w:cs="Calibri"/>
          <w:spacing w:val="22"/>
          <w:w w:val="101"/>
          <w:sz w:val="22"/>
          <w:szCs w:val="22"/>
        </w:rPr>
        <w:t xml:space="preserve">  </w:t>
      </w:r>
      <w:r>
        <w:rPr>
          <w:rFonts w:ascii="宋体" w:eastAsia="宋体" w:hAnsi="宋体" w:cs="宋体"/>
          <w:spacing w:val="-7"/>
          <w:sz w:val="22"/>
          <w:szCs w:val="22"/>
        </w:rPr>
        <w:t>而发生</w:t>
      </w:r>
    </w:p>
    <w:p w:rsidR="00EA40A3" w:rsidRDefault="00E86C16">
      <w:pPr>
        <w:spacing w:before="49" w:line="222" w:lineRule="auto"/>
        <w:rPr>
          <w:rFonts w:ascii="宋体" w:eastAsia="宋体" w:hAnsi="宋体" w:cs="宋体"/>
          <w:sz w:val="22"/>
          <w:szCs w:val="22"/>
        </w:rPr>
      </w:pPr>
      <w:r>
        <w:rPr>
          <w:rFonts w:ascii="宋体" w:eastAsia="宋体" w:hAnsi="宋体" w:cs="宋体"/>
          <w:spacing w:val="-15"/>
          <w:sz w:val="22"/>
          <w:szCs w:val="22"/>
        </w:rPr>
        <w:t>的。</w:t>
      </w:r>
    </w:p>
    <w:p w:rsidR="00EA40A3" w:rsidRDefault="00E86C16">
      <w:pPr>
        <w:spacing w:before="101" w:line="241" w:lineRule="auto"/>
        <w:ind w:right="29" w:firstLine="410"/>
        <w:jc w:val="both"/>
        <w:rPr>
          <w:rFonts w:ascii="宋体" w:eastAsia="宋体" w:hAnsi="宋体" w:cs="宋体"/>
          <w:sz w:val="22"/>
          <w:szCs w:val="22"/>
        </w:rPr>
      </w:pPr>
      <w:r>
        <w:rPr>
          <w:rFonts w:ascii="宋体" w:eastAsia="宋体" w:hAnsi="宋体" w:cs="宋体"/>
          <w:spacing w:val="-6"/>
          <w:sz w:val="22"/>
          <w:szCs w:val="22"/>
        </w:rPr>
        <w:t>维生素D</w:t>
      </w:r>
      <w:r>
        <w:rPr>
          <w:rFonts w:ascii="宋体" w:eastAsia="宋体" w:hAnsi="宋体" w:cs="宋体"/>
          <w:spacing w:val="-2"/>
          <w:sz w:val="22"/>
          <w:szCs w:val="22"/>
        </w:rPr>
        <w:t xml:space="preserve"> </w:t>
      </w:r>
      <w:r>
        <w:rPr>
          <w:rFonts w:ascii="宋体" w:eastAsia="宋体" w:hAnsi="宋体" w:cs="宋体"/>
          <w:spacing w:val="-6"/>
          <w:sz w:val="22"/>
          <w:szCs w:val="22"/>
        </w:rPr>
        <w:t>主要储存在脂肪组织中，其次是肝脏，大脑、肺、脾、骨和皮肤</w:t>
      </w:r>
      <w:r>
        <w:rPr>
          <w:rFonts w:ascii="宋体" w:eastAsia="宋体" w:hAnsi="宋体" w:cs="宋体"/>
          <w:sz w:val="22"/>
          <w:szCs w:val="22"/>
        </w:rPr>
        <w:t xml:space="preserve"> </w:t>
      </w:r>
      <w:r>
        <w:rPr>
          <w:rFonts w:ascii="宋体" w:eastAsia="宋体" w:hAnsi="宋体" w:cs="宋体"/>
          <w:spacing w:val="-6"/>
          <w:sz w:val="22"/>
          <w:szCs w:val="22"/>
        </w:rPr>
        <w:t>也有少量存在。维生素D</w:t>
      </w:r>
      <w:r>
        <w:rPr>
          <w:rFonts w:ascii="宋体" w:eastAsia="宋体" w:hAnsi="宋体" w:cs="宋体"/>
          <w:spacing w:val="-2"/>
          <w:sz w:val="22"/>
          <w:szCs w:val="22"/>
        </w:rPr>
        <w:t xml:space="preserve"> </w:t>
      </w:r>
      <w:r>
        <w:rPr>
          <w:rFonts w:ascii="宋体" w:eastAsia="宋体" w:hAnsi="宋体" w:cs="宋体"/>
          <w:spacing w:val="-6"/>
          <w:sz w:val="22"/>
          <w:szCs w:val="22"/>
        </w:rPr>
        <w:t>分解代谢主要在肝脏，口服维生素D</w:t>
      </w:r>
      <w:r>
        <w:rPr>
          <w:rFonts w:ascii="宋体" w:eastAsia="宋体" w:hAnsi="宋体" w:cs="宋体"/>
          <w:spacing w:val="-15"/>
          <w:sz w:val="22"/>
          <w:szCs w:val="22"/>
        </w:rPr>
        <w:t xml:space="preserve"> </w:t>
      </w:r>
      <w:r>
        <w:rPr>
          <w:rFonts w:ascii="宋体" w:eastAsia="宋体" w:hAnsi="宋体" w:cs="宋体"/>
          <w:spacing w:val="-6"/>
          <w:sz w:val="22"/>
          <w:szCs w:val="22"/>
        </w:rPr>
        <w:t>较从皮肤获得者</w:t>
      </w:r>
      <w:r>
        <w:rPr>
          <w:rFonts w:ascii="宋体" w:eastAsia="宋体" w:hAnsi="宋体" w:cs="宋体"/>
          <w:sz w:val="22"/>
          <w:szCs w:val="22"/>
        </w:rPr>
        <w:t xml:space="preserve"> </w:t>
      </w:r>
      <w:r>
        <w:rPr>
          <w:rFonts w:ascii="宋体" w:eastAsia="宋体" w:hAnsi="宋体" w:cs="宋体"/>
          <w:spacing w:val="-2"/>
          <w:sz w:val="22"/>
          <w:szCs w:val="22"/>
        </w:rPr>
        <w:t>易于分解。维生素</w:t>
      </w:r>
      <w:r>
        <w:rPr>
          <w:rFonts w:ascii="宋体" w:eastAsia="宋体" w:hAnsi="宋体" w:cs="宋体"/>
          <w:spacing w:val="-41"/>
          <w:sz w:val="22"/>
          <w:szCs w:val="22"/>
        </w:rPr>
        <w:t xml:space="preserve"> </w:t>
      </w:r>
      <w:r>
        <w:rPr>
          <w:rFonts w:ascii="宋体" w:eastAsia="宋体" w:hAnsi="宋体" w:cs="宋体"/>
          <w:spacing w:val="-2"/>
          <w:sz w:val="22"/>
          <w:szCs w:val="22"/>
        </w:rPr>
        <w:t>D</w:t>
      </w:r>
      <w:r>
        <w:rPr>
          <w:rFonts w:ascii="宋体" w:eastAsia="宋体" w:hAnsi="宋体" w:cs="宋体"/>
          <w:spacing w:val="-6"/>
          <w:sz w:val="22"/>
          <w:szCs w:val="22"/>
        </w:rPr>
        <w:t xml:space="preserve"> </w:t>
      </w:r>
      <w:r>
        <w:rPr>
          <w:rFonts w:ascii="宋体" w:eastAsia="宋体" w:hAnsi="宋体" w:cs="宋体"/>
          <w:spacing w:val="-2"/>
          <w:sz w:val="22"/>
          <w:szCs w:val="22"/>
        </w:rPr>
        <w:t>的主要排泄途径是通过胆汁入肠，从粪便中排出，少量</w:t>
      </w:r>
    </w:p>
    <w:p w:rsidR="00EA40A3" w:rsidRDefault="00E86C16">
      <w:pPr>
        <w:spacing w:before="87"/>
        <w:ind w:right="25"/>
        <w:jc w:val="right"/>
        <w:rPr>
          <w:rFonts w:ascii="宋体" w:eastAsia="宋体" w:hAnsi="宋体" w:cs="宋体"/>
          <w:sz w:val="19"/>
          <w:szCs w:val="19"/>
        </w:rPr>
      </w:pPr>
      <w:r>
        <w:rPr>
          <w:rFonts w:ascii="宋体" w:eastAsia="宋体" w:hAnsi="宋体" w:cs="宋体"/>
          <w:spacing w:val="-34"/>
          <w:sz w:val="19"/>
          <w:szCs w:val="19"/>
        </w:rPr>
        <w:t>·</w:t>
      </w:r>
      <w:r>
        <w:rPr>
          <w:rFonts w:ascii="宋体" w:eastAsia="宋体" w:hAnsi="宋体" w:cs="宋体"/>
          <w:spacing w:val="-2"/>
          <w:sz w:val="19"/>
          <w:szCs w:val="19"/>
        </w:rPr>
        <w:t xml:space="preserve"> </w:t>
      </w:r>
      <w:r>
        <w:rPr>
          <w:rFonts w:ascii="宋体" w:eastAsia="宋体" w:hAnsi="宋体" w:cs="宋体"/>
          <w:spacing w:val="-34"/>
          <w:sz w:val="19"/>
          <w:szCs w:val="19"/>
        </w:rPr>
        <w:t>125</w:t>
      </w:r>
      <w:r>
        <w:rPr>
          <w:rFonts w:ascii="宋体" w:eastAsia="宋体" w:hAnsi="宋体" w:cs="宋体"/>
          <w:spacing w:val="40"/>
          <w:sz w:val="19"/>
          <w:szCs w:val="19"/>
        </w:rPr>
        <w:t xml:space="preserve"> </w:t>
      </w:r>
      <w:r>
        <w:rPr>
          <w:rFonts w:ascii="宋体" w:eastAsia="宋体" w:hAnsi="宋体" w:cs="宋体"/>
          <w:spacing w:val="-34"/>
          <w:sz w:val="19"/>
          <w:szCs w:val="19"/>
        </w:rPr>
        <w:t>·</w:t>
      </w:r>
    </w:p>
    <w:p w:rsidR="00EA40A3" w:rsidRDefault="00EA40A3">
      <w:pPr>
        <w:sectPr w:rsidR="00EA40A3">
          <w:pgSz w:w="9220" w:h="13360"/>
          <w:pgMar w:top="400" w:right="1049" w:bottom="400" w:left="879" w:header="0" w:footer="0" w:gutter="0"/>
          <w:cols w:space="720"/>
        </w:sectPr>
      </w:pPr>
    </w:p>
    <w:p w:rsidR="00EA40A3" w:rsidRDefault="00EA40A3">
      <w:pPr>
        <w:spacing w:line="247" w:lineRule="auto"/>
      </w:pPr>
    </w:p>
    <w:p w:rsidR="00EA40A3" w:rsidRDefault="00EA40A3">
      <w:pPr>
        <w:spacing w:line="248" w:lineRule="auto"/>
      </w:pPr>
    </w:p>
    <w:p w:rsidR="00EA40A3" w:rsidRDefault="00E86C16">
      <w:pPr>
        <w:spacing w:before="71" w:line="220" w:lineRule="auto"/>
        <w:rPr>
          <w:rFonts w:ascii="宋体" w:eastAsia="宋体" w:hAnsi="宋体" w:cs="宋体"/>
          <w:sz w:val="22"/>
          <w:szCs w:val="22"/>
        </w:rPr>
      </w:pPr>
      <w:r>
        <w:rPr>
          <w:rFonts w:ascii="宋体" w:eastAsia="宋体" w:hAnsi="宋体" w:cs="宋体"/>
          <w:spacing w:val="10"/>
          <w:sz w:val="22"/>
          <w:szCs w:val="22"/>
        </w:rPr>
        <w:t>(2%～4%)从尿中排出。</w:t>
      </w:r>
    </w:p>
    <w:p w:rsidR="00EA40A3" w:rsidRDefault="00E86C16">
      <w:pPr>
        <w:spacing w:before="224" w:line="222" w:lineRule="auto"/>
        <w:rPr>
          <w:rFonts w:ascii="仿宋" w:eastAsia="仿宋" w:hAnsi="仿宋" w:cs="仿宋"/>
          <w:sz w:val="22"/>
          <w:szCs w:val="22"/>
        </w:rPr>
      </w:pPr>
      <w:r>
        <w:rPr>
          <w:rFonts w:ascii="仿宋" w:eastAsia="仿宋" w:hAnsi="仿宋" w:cs="仿宋"/>
          <w:spacing w:val="9"/>
          <w:sz w:val="22"/>
          <w:szCs w:val="22"/>
        </w:rPr>
        <w:t>3.</w:t>
      </w:r>
      <w:r>
        <w:rPr>
          <w:rFonts w:ascii="仿宋" w:eastAsia="仿宋" w:hAnsi="仿宋" w:cs="仿宋"/>
          <w:spacing w:val="-31"/>
          <w:sz w:val="22"/>
          <w:szCs w:val="22"/>
        </w:rPr>
        <w:t xml:space="preserve"> </w:t>
      </w:r>
      <w:r>
        <w:rPr>
          <w:rFonts w:ascii="仿宋" w:eastAsia="仿宋" w:hAnsi="仿宋" w:cs="仿宋"/>
          <w:spacing w:val="9"/>
          <w:sz w:val="22"/>
          <w:szCs w:val="22"/>
        </w:rPr>
        <w:t>维生素</w:t>
      </w:r>
      <w:r>
        <w:rPr>
          <w:rFonts w:ascii="仿宋" w:eastAsia="仿宋" w:hAnsi="仿宋" w:cs="仿宋"/>
          <w:spacing w:val="-63"/>
          <w:sz w:val="22"/>
          <w:szCs w:val="22"/>
        </w:rPr>
        <w:t xml:space="preserve"> </w:t>
      </w:r>
      <w:r>
        <w:rPr>
          <w:rFonts w:ascii="仿宋" w:eastAsia="仿宋" w:hAnsi="仿宋" w:cs="仿宋"/>
          <w:spacing w:val="9"/>
          <w:sz w:val="22"/>
          <w:szCs w:val="22"/>
        </w:rPr>
        <w:t>D</w:t>
      </w:r>
      <w:r>
        <w:rPr>
          <w:rFonts w:ascii="仿宋" w:eastAsia="仿宋" w:hAnsi="仿宋" w:cs="仿宋"/>
          <w:spacing w:val="43"/>
          <w:sz w:val="22"/>
          <w:szCs w:val="22"/>
        </w:rPr>
        <w:t xml:space="preserve"> </w:t>
      </w:r>
      <w:r>
        <w:rPr>
          <w:rFonts w:ascii="仿宋" w:eastAsia="仿宋" w:hAnsi="仿宋" w:cs="仿宋"/>
          <w:spacing w:val="9"/>
          <w:sz w:val="22"/>
          <w:szCs w:val="22"/>
        </w:rPr>
        <w:t>的生理功能</w:t>
      </w:r>
    </w:p>
    <w:p w:rsidR="00EA40A3" w:rsidRDefault="00E86C16">
      <w:pPr>
        <w:spacing w:before="153" w:line="248" w:lineRule="auto"/>
        <w:ind w:right="38" w:firstLine="470"/>
        <w:jc w:val="both"/>
        <w:rPr>
          <w:rFonts w:ascii="宋体" w:eastAsia="宋体" w:hAnsi="宋体" w:cs="宋体"/>
          <w:sz w:val="22"/>
          <w:szCs w:val="22"/>
        </w:rPr>
      </w:pPr>
      <w:r>
        <w:rPr>
          <w:rFonts w:ascii="宋体" w:eastAsia="宋体" w:hAnsi="宋体" w:cs="宋体"/>
          <w:spacing w:val="-6"/>
          <w:sz w:val="22"/>
          <w:szCs w:val="22"/>
        </w:rPr>
        <w:t>维生素D 主要与钙和磷的代谢有关，它影响这些矿物质的吸收以及它们</w:t>
      </w:r>
      <w:r>
        <w:rPr>
          <w:rFonts w:ascii="宋体" w:eastAsia="宋体" w:hAnsi="宋体" w:cs="宋体"/>
          <w:spacing w:val="-7"/>
          <w:sz w:val="22"/>
          <w:szCs w:val="22"/>
        </w:rPr>
        <w:t>在</w:t>
      </w:r>
      <w:r>
        <w:rPr>
          <w:rFonts w:ascii="宋体" w:eastAsia="宋体" w:hAnsi="宋体" w:cs="宋体"/>
          <w:sz w:val="22"/>
          <w:szCs w:val="22"/>
        </w:rPr>
        <w:t xml:space="preserve"> </w:t>
      </w:r>
      <w:r>
        <w:rPr>
          <w:rFonts w:ascii="宋体" w:eastAsia="宋体" w:hAnsi="宋体" w:cs="宋体"/>
          <w:spacing w:val="-6"/>
          <w:sz w:val="22"/>
          <w:szCs w:val="22"/>
        </w:rPr>
        <w:t>骨组织内的沉积。维生素D</w:t>
      </w:r>
      <w:r>
        <w:rPr>
          <w:rFonts w:ascii="宋体" w:eastAsia="宋体" w:hAnsi="宋体" w:cs="宋体"/>
          <w:spacing w:val="4"/>
          <w:sz w:val="22"/>
          <w:szCs w:val="22"/>
        </w:rPr>
        <w:t xml:space="preserve"> </w:t>
      </w:r>
      <w:r>
        <w:rPr>
          <w:rFonts w:ascii="宋体" w:eastAsia="宋体" w:hAnsi="宋体" w:cs="宋体"/>
          <w:spacing w:val="-6"/>
          <w:sz w:val="22"/>
          <w:szCs w:val="22"/>
        </w:rPr>
        <w:t>在体内肝肾中转化为活性形式，并被运送至肠、骨</w:t>
      </w:r>
      <w:r>
        <w:rPr>
          <w:rFonts w:ascii="宋体" w:eastAsia="宋体" w:hAnsi="宋体" w:cs="宋体"/>
          <w:sz w:val="22"/>
          <w:szCs w:val="22"/>
        </w:rPr>
        <w:t xml:space="preserve"> </w:t>
      </w:r>
      <w:r>
        <w:rPr>
          <w:rFonts w:ascii="宋体" w:eastAsia="宋体" w:hAnsi="宋体" w:cs="宋体"/>
          <w:spacing w:val="-13"/>
          <w:sz w:val="22"/>
          <w:szCs w:val="22"/>
        </w:rPr>
        <w:t>和肾脏，与甲状旁腺素共同作用，维持血钙水平。当血钙水平较低时，在小肠可</w:t>
      </w:r>
      <w:r>
        <w:rPr>
          <w:rFonts w:ascii="宋体" w:eastAsia="宋体" w:hAnsi="宋体" w:cs="宋体"/>
          <w:spacing w:val="2"/>
          <w:sz w:val="22"/>
          <w:szCs w:val="22"/>
        </w:rPr>
        <w:t xml:space="preserve"> </w:t>
      </w:r>
      <w:r>
        <w:rPr>
          <w:rFonts w:ascii="宋体" w:eastAsia="宋体" w:hAnsi="宋体" w:cs="宋体"/>
          <w:spacing w:val="-12"/>
          <w:sz w:val="22"/>
          <w:szCs w:val="22"/>
        </w:rPr>
        <w:t>促进钙结合蛋白合成，从而增加钙磷吸收，也可促使钙在肾小管的重吸收，并</w:t>
      </w:r>
      <w:r>
        <w:rPr>
          <w:rFonts w:ascii="宋体" w:eastAsia="宋体" w:hAnsi="宋体" w:cs="宋体"/>
          <w:spacing w:val="-13"/>
          <w:sz w:val="22"/>
          <w:szCs w:val="22"/>
        </w:rPr>
        <w:t>将</w:t>
      </w:r>
      <w:r>
        <w:rPr>
          <w:rFonts w:ascii="宋体" w:eastAsia="宋体" w:hAnsi="宋体" w:cs="宋体"/>
          <w:sz w:val="22"/>
          <w:szCs w:val="22"/>
        </w:rPr>
        <w:t xml:space="preserve"> </w:t>
      </w:r>
      <w:r>
        <w:rPr>
          <w:rFonts w:ascii="宋体" w:eastAsia="宋体" w:hAnsi="宋体" w:cs="宋体"/>
          <w:spacing w:val="-13"/>
          <w:sz w:val="22"/>
          <w:szCs w:val="22"/>
        </w:rPr>
        <w:t>钙磷从骨中动员出来；当血钙过高时，促使甲状旁腺产生降钙素，阻止钙从骨中</w:t>
      </w:r>
      <w:r>
        <w:rPr>
          <w:rFonts w:ascii="宋体" w:eastAsia="宋体" w:hAnsi="宋体" w:cs="宋体"/>
          <w:spacing w:val="16"/>
          <w:sz w:val="22"/>
          <w:szCs w:val="22"/>
        </w:rPr>
        <w:t xml:space="preserve"> </w:t>
      </w:r>
      <w:r>
        <w:rPr>
          <w:rFonts w:ascii="宋体" w:eastAsia="宋体" w:hAnsi="宋体" w:cs="宋体"/>
          <w:spacing w:val="-7"/>
          <w:sz w:val="22"/>
          <w:szCs w:val="22"/>
        </w:rPr>
        <w:t>动员，以及增加钙磷从尿中排出。维生素D</w:t>
      </w:r>
      <w:r>
        <w:rPr>
          <w:rFonts w:ascii="宋体" w:eastAsia="宋体" w:hAnsi="宋体" w:cs="宋体"/>
          <w:spacing w:val="6"/>
          <w:sz w:val="22"/>
          <w:szCs w:val="22"/>
        </w:rPr>
        <w:t xml:space="preserve"> </w:t>
      </w:r>
      <w:r>
        <w:rPr>
          <w:rFonts w:ascii="宋体" w:eastAsia="宋体" w:hAnsi="宋体" w:cs="宋体"/>
          <w:spacing w:val="-7"/>
          <w:sz w:val="22"/>
          <w:szCs w:val="22"/>
        </w:rPr>
        <w:t>促使骨与软骨及牙齿的矿物化，并</w:t>
      </w:r>
      <w:r>
        <w:rPr>
          <w:rFonts w:ascii="宋体" w:eastAsia="宋体" w:hAnsi="宋体" w:cs="宋体"/>
          <w:sz w:val="22"/>
          <w:szCs w:val="22"/>
        </w:rPr>
        <w:t xml:space="preserve"> </w:t>
      </w:r>
      <w:r>
        <w:rPr>
          <w:rFonts w:ascii="宋体" w:eastAsia="宋体" w:hAnsi="宋体" w:cs="宋体"/>
          <w:spacing w:val="-7"/>
          <w:sz w:val="22"/>
          <w:szCs w:val="22"/>
        </w:rPr>
        <w:t>不断更新以维持其正常生长。此外，维生素D</w:t>
      </w:r>
      <w:r>
        <w:rPr>
          <w:rFonts w:ascii="宋体" w:eastAsia="宋体" w:hAnsi="宋体" w:cs="宋体"/>
          <w:spacing w:val="14"/>
          <w:sz w:val="22"/>
          <w:szCs w:val="22"/>
        </w:rPr>
        <w:t xml:space="preserve"> </w:t>
      </w:r>
      <w:r>
        <w:rPr>
          <w:rFonts w:ascii="宋体" w:eastAsia="宋体" w:hAnsi="宋体" w:cs="宋体"/>
          <w:spacing w:val="-7"/>
          <w:sz w:val="22"/>
          <w:szCs w:val="22"/>
        </w:rPr>
        <w:t>对防止氨基酸通过</w:t>
      </w:r>
      <w:r>
        <w:rPr>
          <w:rFonts w:ascii="宋体" w:eastAsia="宋体" w:hAnsi="宋体" w:cs="宋体"/>
          <w:spacing w:val="-8"/>
          <w:sz w:val="22"/>
          <w:szCs w:val="22"/>
        </w:rPr>
        <w:t>肾脏时的丢失</w:t>
      </w:r>
      <w:r>
        <w:rPr>
          <w:rFonts w:ascii="宋体" w:eastAsia="宋体" w:hAnsi="宋体" w:cs="宋体"/>
          <w:sz w:val="22"/>
          <w:szCs w:val="22"/>
        </w:rPr>
        <w:t xml:space="preserve"> </w:t>
      </w:r>
      <w:r>
        <w:rPr>
          <w:rFonts w:ascii="宋体" w:eastAsia="宋体" w:hAnsi="宋体" w:cs="宋体"/>
          <w:spacing w:val="-13"/>
          <w:sz w:val="22"/>
          <w:szCs w:val="22"/>
        </w:rPr>
        <w:t>也有重要作用，且还具有免疫调节功能，可改变机体对感染的反应。</w:t>
      </w:r>
    </w:p>
    <w:p w:rsidR="00EA40A3" w:rsidRDefault="00E86C16">
      <w:pPr>
        <w:spacing w:before="246" w:line="220"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44"/>
          <w:sz w:val="22"/>
          <w:szCs w:val="22"/>
        </w:rPr>
        <w:t xml:space="preserve"> </w:t>
      </w:r>
      <w:r>
        <w:rPr>
          <w:rFonts w:ascii="仿宋" w:eastAsia="仿宋" w:hAnsi="仿宋" w:cs="仿宋"/>
          <w:spacing w:val="15"/>
          <w:sz w:val="22"/>
          <w:szCs w:val="22"/>
        </w:rPr>
        <w:t>维生素D</w:t>
      </w:r>
      <w:r>
        <w:rPr>
          <w:rFonts w:ascii="仿宋" w:eastAsia="仿宋" w:hAnsi="仿宋" w:cs="仿宋"/>
          <w:spacing w:val="43"/>
          <w:sz w:val="22"/>
          <w:szCs w:val="22"/>
        </w:rPr>
        <w:t xml:space="preserve"> </w:t>
      </w:r>
      <w:r>
        <w:rPr>
          <w:rFonts w:ascii="仿宋" w:eastAsia="仿宋" w:hAnsi="仿宋" w:cs="仿宋"/>
          <w:spacing w:val="15"/>
          <w:sz w:val="22"/>
          <w:szCs w:val="22"/>
        </w:rPr>
        <w:t>的缺乏症及毒性</w:t>
      </w:r>
    </w:p>
    <w:p w:rsidR="00EA40A3" w:rsidRDefault="00E86C16">
      <w:pPr>
        <w:spacing w:before="189" w:line="225" w:lineRule="auto"/>
        <w:rPr>
          <w:rFonts w:ascii="楷体" w:eastAsia="楷体" w:hAnsi="楷体" w:cs="楷体"/>
          <w:sz w:val="22"/>
          <w:szCs w:val="22"/>
        </w:rPr>
      </w:pPr>
      <w:r>
        <w:rPr>
          <w:rFonts w:ascii="楷体" w:eastAsia="楷体" w:hAnsi="楷体" w:cs="楷体"/>
          <w:sz w:val="22"/>
          <w:szCs w:val="22"/>
        </w:rPr>
        <w:t>1)维生素D</w:t>
      </w:r>
      <w:r>
        <w:rPr>
          <w:rFonts w:ascii="楷体" w:eastAsia="楷体" w:hAnsi="楷体" w:cs="楷体"/>
          <w:spacing w:val="-5"/>
          <w:sz w:val="22"/>
          <w:szCs w:val="22"/>
        </w:rPr>
        <w:t xml:space="preserve"> </w:t>
      </w:r>
      <w:r>
        <w:rPr>
          <w:rFonts w:ascii="楷体" w:eastAsia="楷体" w:hAnsi="楷体" w:cs="楷体"/>
          <w:sz w:val="22"/>
          <w:szCs w:val="22"/>
        </w:rPr>
        <w:t>的缺乏症</w:t>
      </w:r>
    </w:p>
    <w:p w:rsidR="00EA40A3" w:rsidRDefault="00E86C16">
      <w:pPr>
        <w:spacing w:before="48" w:line="248" w:lineRule="auto"/>
        <w:ind w:right="29" w:firstLine="470"/>
        <w:jc w:val="both"/>
        <w:rPr>
          <w:rFonts w:ascii="宋体" w:eastAsia="宋体" w:hAnsi="宋体" w:cs="宋体"/>
          <w:sz w:val="22"/>
          <w:szCs w:val="22"/>
        </w:rPr>
      </w:pPr>
      <w:r>
        <w:rPr>
          <w:rFonts w:ascii="宋体" w:eastAsia="宋体" w:hAnsi="宋体" w:cs="宋体"/>
          <w:spacing w:val="-5"/>
          <w:sz w:val="22"/>
          <w:szCs w:val="22"/>
        </w:rPr>
        <w:t>维生素D</w:t>
      </w:r>
      <w:r>
        <w:rPr>
          <w:rFonts w:ascii="宋体" w:eastAsia="宋体" w:hAnsi="宋体" w:cs="宋体"/>
          <w:spacing w:val="-16"/>
          <w:sz w:val="22"/>
          <w:szCs w:val="22"/>
        </w:rPr>
        <w:t xml:space="preserve"> </w:t>
      </w:r>
      <w:r>
        <w:rPr>
          <w:rFonts w:ascii="宋体" w:eastAsia="宋体" w:hAnsi="宋体" w:cs="宋体"/>
          <w:spacing w:val="-5"/>
          <w:sz w:val="22"/>
          <w:szCs w:val="22"/>
        </w:rPr>
        <w:t>缺乏病主要发生在受日光照射不足，并缺少</w:t>
      </w:r>
      <w:r>
        <w:rPr>
          <w:rFonts w:ascii="宋体" w:eastAsia="宋体" w:hAnsi="宋体" w:cs="宋体"/>
          <w:spacing w:val="-6"/>
          <w:sz w:val="22"/>
          <w:szCs w:val="22"/>
        </w:rPr>
        <w:t>食物维生素D 来源的</w:t>
      </w:r>
      <w:r>
        <w:rPr>
          <w:rFonts w:ascii="宋体" w:eastAsia="宋体" w:hAnsi="宋体" w:cs="宋体"/>
          <w:sz w:val="22"/>
          <w:szCs w:val="22"/>
        </w:rPr>
        <w:t xml:space="preserve"> </w:t>
      </w:r>
      <w:r>
        <w:rPr>
          <w:rFonts w:ascii="宋体" w:eastAsia="宋体" w:hAnsi="宋体" w:cs="宋体"/>
          <w:spacing w:val="-13"/>
          <w:sz w:val="22"/>
          <w:szCs w:val="22"/>
        </w:rPr>
        <w:t>人群中，特别在婴幼儿、家庭妇女和老年人当中更为多见。</w:t>
      </w:r>
      <w:r>
        <w:rPr>
          <w:rFonts w:ascii="宋体" w:eastAsia="宋体" w:hAnsi="宋体" w:cs="宋体"/>
          <w:spacing w:val="-14"/>
          <w:sz w:val="22"/>
          <w:szCs w:val="22"/>
        </w:rPr>
        <w:t>现在一些经济发达的</w:t>
      </w:r>
      <w:r>
        <w:rPr>
          <w:rFonts w:ascii="宋体" w:eastAsia="宋体" w:hAnsi="宋体" w:cs="宋体"/>
          <w:sz w:val="22"/>
          <w:szCs w:val="22"/>
        </w:rPr>
        <w:t xml:space="preserve"> </w:t>
      </w:r>
      <w:r>
        <w:rPr>
          <w:rFonts w:ascii="宋体" w:eastAsia="宋体" w:hAnsi="宋体" w:cs="宋体"/>
          <w:spacing w:val="-6"/>
          <w:sz w:val="22"/>
          <w:szCs w:val="22"/>
        </w:rPr>
        <w:t>国家使用维生素D</w:t>
      </w:r>
      <w:r>
        <w:rPr>
          <w:rFonts w:ascii="宋体" w:eastAsia="宋体" w:hAnsi="宋体" w:cs="宋体"/>
          <w:spacing w:val="-22"/>
          <w:sz w:val="22"/>
          <w:szCs w:val="22"/>
        </w:rPr>
        <w:t xml:space="preserve"> </w:t>
      </w:r>
      <w:r>
        <w:rPr>
          <w:rFonts w:ascii="宋体" w:eastAsia="宋体" w:hAnsi="宋体" w:cs="宋体"/>
          <w:spacing w:val="-6"/>
          <w:sz w:val="22"/>
          <w:szCs w:val="22"/>
        </w:rPr>
        <w:t>强化食品，虽然已使明显的营养性维生素D</w:t>
      </w:r>
      <w:r>
        <w:rPr>
          <w:rFonts w:ascii="宋体" w:eastAsia="宋体" w:hAnsi="宋体" w:cs="宋体"/>
          <w:spacing w:val="-5"/>
          <w:sz w:val="22"/>
          <w:szCs w:val="22"/>
        </w:rPr>
        <w:t xml:space="preserve"> </w:t>
      </w:r>
      <w:r>
        <w:rPr>
          <w:rFonts w:ascii="宋体" w:eastAsia="宋体" w:hAnsi="宋体" w:cs="宋体"/>
          <w:spacing w:val="-6"/>
          <w:sz w:val="22"/>
          <w:szCs w:val="22"/>
        </w:rPr>
        <w:t>缺乏病有了大幅</w:t>
      </w:r>
      <w:r>
        <w:rPr>
          <w:rFonts w:ascii="宋体" w:eastAsia="宋体" w:hAnsi="宋体" w:cs="宋体"/>
          <w:sz w:val="22"/>
          <w:szCs w:val="22"/>
        </w:rPr>
        <w:t xml:space="preserve"> </w:t>
      </w:r>
      <w:r>
        <w:rPr>
          <w:rFonts w:ascii="宋体" w:eastAsia="宋体" w:hAnsi="宋体" w:cs="宋体"/>
          <w:spacing w:val="1"/>
          <w:sz w:val="22"/>
          <w:szCs w:val="22"/>
        </w:rPr>
        <w:t>度的下降，但潜在维生素D</w:t>
      </w:r>
      <w:r>
        <w:rPr>
          <w:rFonts w:ascii="宋体" w:eastAsia="宋体" w:hAnsi="宋体" w:cs="宋体"/>
          <w:spacing w:val="-6"/>
          <w:sz w:val="22"/>
          <w:szCs w:val="22"/>
        </w:rPr>
        <w:t xml:space="preserve"> </w:t>
      </w:r>
      <w:r>
        <w:rPr>
          <w:rFonts w:ascii="宋体" w:eastAsia="宋体" w:hAnsi="宋体" w:cs="宋体"/>
          <w:spacing w:val="1"/>
          <w:sz w:val="22"/>
          <w:szCs w:val="22"/>
        </w:rPr>
        <w:t>缺乏(特别是在老年人中间</w:t>
      </w:r>
      <w:r>
        <w:rPr>
          <w:rFonts w:ascii="宋体" w:eastAsia="宋体" w:hAnsi="宋体" w:cs="宋体"/>
          <w:sz w:val="22"/>
          <w:szCs w:val="22"/>
        </w:rPr>
        <w:t xml:space="preserve">)仍相当普遍。另一方 </w:t>
      </w:r>
      <w:r>
        <w:rPr>
          <w:rFonts w:ascii="宋体" w:eastAsia="宋体" w:hAnsi="宋体" w:cs="宋体"/>
          <w:spacing w:val="-7"/>
          <w:sz w:val="22"/>
          <w:szCs w:val="22"/>
        </w:rPr>
        <w:t>面，由于强化食品的广泛使用，维生素D</w:t>
      </w:r>
      <w:r>
        <w:rPr>
          <w:rFonts w:ascii="宋体" w:eastAsia="宋体" w:hAnsi="宋体" w:cs="宋体"/>
          <w:spacing w:val="6"/>
          <w:sz w:val="22"/>
          <w:szCs w:val="22"/>
        </w:rPr>
        <w:t xml:space="preserve"> </w:t>
      </w:r>
      <w:r>
        <w:rPr>
          <w:rFonts w:ascii="宋体" w:eastAsia="宋体" w:hAnsi="宋体" w:cs="宋体"/>
          <w:spacing w:val="-7"/>
          <w:sz w:val="22"/>
          <w:szCs w:val="22"/>
        </w:rPr>
        <w:t>过多症已经成了令人担心的问题。但</w:t>
      </w:r>
      <w:r>
        <w:rPr>
          <w:rFonts w:ascii="宋体" w:eastAsia="宋体" w:hAnsi="宋体" w:cs="宋体"/>
          <w:sz w:val="22"/>
          <w:szCs w:val="22"/>
        </w:rPr>
        <w:t xml:space="preserve"> </w:t>
      </w:r>
      <w:r>
        <w:rPr>
          <w:rFonts w:ascii="宋体" w:eastAsia="宋体" w:hAnsi="宋体" w:cs="宋体"/>
          <w:spacing w:val="-6"/>
          <w:sz w:val="22"/>
          <w:szCs w:val="22"/>
        </w:rPr>
        <w:t>就世界大多数地区来看，由于经济、技术和文化水平的限制，维生素D</w:t>
      </w:r>
      <w:r>
        <w:rPr>
          <w:rFonts w:ascii="宋体" w:eastAsia="宋体" w:hAnsi="宋体" w:cs="宋体"/>
          <w:spacing w:val="4"/>
          <w:sz w:val="22"/>
          <w:szCs w:val="22"/>
        </w:rPr>
        <w:t xml:space="preserve"> </w:t>
      </w:r>
      <w:r>
        <w:rPr>
          <w:rFonts w:ascii="宋体" w:eastAsia="宋体" w:hAnsi="宋体" w:cs="宋体"/>
          <w:spacing w:val="-6"/>
          <w:sz w:val="22"/>
          <w:szCs w:val="22"/>
        </w:rPr>
        <w:t>缺乏病</w:t>
      </w:r>
      <w:r>
        <w:rPr>
          <w:rFonts w:ascii="宋体" w:eastAsia="宋体" w:hAnsi="宋体" w:cs="宋体"/>
          <w:sz w:val="22"/>
          <w:szCs w:val="22"/>
        </w:rPr>
        <w:t xml:space="preserve"> </w:t>
      </w:r>
      <w:r>
        <w:rPr>
          <w:rFonts w:ascii="宋体" w:eastAsia="宋体" w:hAnsi="宋体" w:cs="宋体"/>
          <w:spacing w:val="-1"/>
          <w:sz w:val="22"/>
          <w:szCs w:val="22"/>
        </w:rPr>
        <w:t>的发病率还相当高，温带地区国家小儿佝偻病的发病率为20%～80%。根据大</w:t>
      </w:r>
      <w:r>
        <w:rPr>
          <w:rFonts w:ascii="宋体" w:eastAsia="宋体" w:hAnsi="宋体" w:cs="宋体"/>
          <w:spacing w:val="8"/>
          <w:sz w:val="22"/>
          <w:szCs w:val="22"/>
        </w:rPr>
        <w:t xml:space="preserve"> </w:t>
      </w:r>
      <w:r>
        <w:rPr>
          <w:rFonts w:ascii="宋体" w:eastAsia="宋体" w:hAnsi="宋体" w:cs="宋体"/>
          <w:spacing w:val="6"/>
          <w:sz w:val="22"/>
          <w:szCs w:val="22"/>
        </w:rPr>
        <w:t>面积普查的资料，我国3岁以下儿童佝偻病的发病率约为20%～30</w:t>
      </w:r>
      <w:r>
        <w:rPr>
          <w:rFonts w:ascii="宋体" w:eastAsia="宋体" w:hAnsi="宋体" w:cs="宋体"/>
          <w:spacing w:val="5"/>
          <w:sz w:val="22"/>
          <w:szCs w:val="22"/>
        </w:rPr>
        <w:t>%,但某些</w:t>
      </w:r>
      <w:r>
        <w:rPr>
          <w:rFonts w:ascii="宋体" w:eastAsia="宋体" w:hAnsi="宋体" w:cs="宋体"/>
          <w:sz w:val="22"/>
          <w:szCs w:val="22"/>
        </w:rPr>
        <w:t xml:space="preserve"> </w:t>
      </w:r>
      <w:r>
        <w:rPr>
          <w:rFonts w:ascii="宋体" w:eastAsia="宋体" w:hAnsi="宋体" w:cs="宋体"/>
          <w:spacing w:val="-3"/>
          <w:sz w:val="22"/>
          <w:szCs w:val="22"/>
        </w:rPr>
        <w:t>寒冷地区也有达到80%左右的。对老年人的维生素D</w:t>
      </w:r>
      <w:r>
        <w:rPr>
          <w:rFonts w:ascii="宋体" w:eastAsia="宋体" w:hAnsi="宋体" w:cs="宋体"/>
          <w:spacing w:val="-16"/>
          <w:sz w:val="22"/>
          <w:szCs w:val="22"/>
        </w:rPr>
        <w:t xml:space="preserve"> </w:t>
      </w:r>
      <w:r>
        <w:rPr>
          <w:rFonts w:ascii="宋体" w:eastAsia="宋体" w:hAnsi="宋体" w:cs="宋体"/>
          <w:spacing w:val="-3"/>
          <w:sz w:val="22"/>
          <w:szCs w:val="22"/>
        </w:rPr>
        <w:t>营养状况现在还缺少大</w:t>
      </w:r>
      <w:r>
        <w:rPr>
          <w:rFonts w:ascii="宋体" w:eastAsia="宋体" w:hAnsi="宋体" w:cs="宋体"/>
          <w:spacing w:val="-4"/>
          <w:sz w:val="22"/>
          <w:szCs w:val="22"/>
        </w:rPr>
        <w:t>面</w:t>
      </w:r>
      <w:r>
        <w:rPr>
          <w:rFonts w:ascii="宋体" w:eastAsia="宋体" w:hAnsi="宋体" w:cs="宋体"/>
          <w:sz w:val="22"/>
          <w:szCs w:val="22"/>
        </w:rPr>
        <w:t xml:space="preserve"> </w:t>
      </w:r>
      <w:r>
        <w:rPr>
          <w:rFonts w:ascii="宋体" w:eastAsia="宋体" w:hAnsi="宋体" w:cs="宋体"/>
          <w:spacing w:val="-13"/>
          <w:sz w:val="22"/>
          <w:szCs w:val="22"/>
        </w:rPr>
        <w:t>积的调查资料，但从老年人的生活习惯、饮食营养、生理功能状态及健康情况来</w:t>
      </w:r>
    </w:p>
    <w:p w:rsidR="00EA40A3" w:rsidRDefault="00EA40A3">
      <w:pPr>
        <w:spacing w:line="131" w:lineRule="exact"/>
      </w:pPr>
    </w:p>
    <w:p w:rsidR="00EA40A3" w:rsidRDefault="00EA40A3">
      <w:pPr>
        <w:sectPr w:rsidR="00EA40A3">
          <w:pgSz w:w="9220" w:h="13370"/>
          <w:pgMar w:top="400" w:right="979" w:bottom="400" w:left="890" w:header="0" w:footer="0" w:gutter="0"/>
          <w:cols w:space="720" w:equalWidth="0">
            <w:col w:w="7350"/>
          </w:cols>
        </w:sectPr>
      </w:pPr>
    </w:p>
    <w:p w:rsidR="00EA40A3" w:rsidRDefault="00E86C16">
      <w:pPr>
        <w:spacing w:before="21" w:line="2750" w:lineRule="exact"/>
        <w:ind w:firstLine="249"/>
        <w:textAlignment w:val="center"/>
      </w:pPr>
      <w:r>
        <w:rPr>
          <w:noProof/>
        </w:rPr>
        <w:drawing>
          <wp:inline distT="0" distB="0" distL="0" distR="0">
            <wp:extent cx="1187450" cy="1745615"/>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99"/>
                    <a:stretch>
                      <a:fillRect/>
                    </a:stretch>
                  </pic:blipFill>
                  <pic:spPr>
                    <a:xfrm>
                      <a:off x="0" y="0"/>
                      <a:ext cx="1187450" cy="1746212"/>
                    </a:xfrm>
                    <a:prstGeom prst="rect">
                      <a:avLst/>
                    </a:prstGeom>
                  </pic:spPr>
                </pic:pic>
              </a:graphicData>
            </a:graphic>
          </wp:inline>
        </w:drawing>
      </w:r>
    </w:p>
    <w:p w:rsidR="00EA40A3" w:rsidRDefault="00E86C16">
      <w:pPr>
        <w:spacing w:before="98" w:line="220" w:lineRule="auto"/>
        <w:ind w:left="650"/>
        <w:rPr>
          <w:rFonts w:ascii="宋体" w:eastAsia="宋体" w:hAnsi="宋体" w:cs="宋体"/>
          <w:sz w:val="19"/>
          <w:szCs w:val="19"/>
        </w:rPr>
      </w:pPr>
      <w:r>
        <w:rPr>
          <w:rFonts w:ascii="宋体" w:eastAsia="宋体" w:hAnsi="宋体" w:cs="宋体"/>
          <w:spacing w:val="-5"/>
          <w:sz w:val="19"/>
          <w:szCs w:val="19"/>
        </w:rPr>
        <w:t>图4-7</w:t>
      </w:r>
      <w:r>
        <w:rPr>
          <w:rFonts w:ascii="宋体" w:eastAsia="宋体" w:hAnsi="宋体" w:cs="宋体"/>
          <w:spacing w:val="69"/>
          <w:sz w:val="19"/>
          <w:szCs w:val="19"/>
        </w:rPr>
        <w:t xml:space="preserve"> </w:t>
      </w:r>
      <w:r>
        <w:rPr>
          <w:rFonts w:ascii="宋体" w:eastAsia="宋体" w:hAnsi="宋体" w:cs="宋体"/>
          <w:spacing w:val="-5"/>
          <w:sz w:val="19"/>
          <w:szCs w:val="19"/>
        </w:rPr>
        <w:t>佝偻病</w:t>
      </w:r>
    </w:p>
    <w:p w:rsidR="00EA40A3" w:rsidRDefault="00E86C16">
      <w:pPr>
        <w:spacing w:before="24" w:line="220" w:lineRule="auto"/>
        <w:ind w:left="179"/>
        <w:rPr>
          <w:rFonts w:ascii="宋体" w:eastAsia="宋体" w:hAnsi="宋体" w:cs="宋体"/>
          <w:sz w:val="19"/>
          <w:szCs w:val="19"/>
        </w:rPr>
      </w:pPr>
      <w:r>
        <w:rPr>
          <w:rFonts w:ascii="宋体" w:eastAsia="宋体" w:hAnsi="宋体" w:cs="宋体"/>
          <w:spacing w:val="-24"/>
          <w:sz w:val="19"/>
          <w:szCs w:val="19"/>
        </w:rPr>
        <w:t>引自Frances</w:t>
      </w:r>
      <w:r>
        <w:rPr>
          <w:rFonts w:ascii="宋体" w:eastAsia="宋体" w:hAnsi="宋体" w:cs="宋体"/>
          <w:spacing w:val="-19"/>
          <w:sz w:val="19"/>
          <w:szCs w:val="19"/>
        </w:rPr>
        <w:t xml:space="preserve"> </w:t>
      </w:r>
      <w:r>
        <w:rPr>
          <w:rFonts w:ascii="宋体" w:eastAsia="宋体" w:hAnsi="宋体" w:cs="宋体"/>
          <w:spacing w:val="-24"/>
          <w:sz w:val="19"/>
          <w:szCs w:val="19"/>
        </w:rPr>
        <w:t>Sizer. Nutrition:</w:t>
      </w:r>
    </w:p>
    <w:p w:rsidR="00EA40A3" w:rsidRDefault="00E86C16">
      <w:pPr>
        <w:spacing w:before="51" w:line="191" w:lineRule="auto"/>
        <w:ind w:left="170"/>
        <w:rPr>
          <w:rFonts w:ascii="Times New Roman" w:eastAsia="Times New Roman" w:hAnsi="Times New Roman" w:cs="Times New Roman"/>
          <w:sz w:val="19"/>
          <w:szCs w:val="19"/>
        </w:rPr>
      </w:pPr>
      <w:r>
        <w:rPr>
          <w:rFonts w:ascii="Times New Roman" w:eastAsia="Times New Roman" w:hAnsi="Times New Roman" w:cs="Times New Roman"/>
          <w:spacing w:val="-9"/>
          <w:w w:val="99"/>
          <w:sz w:val="19"/>
          <w:szCs w:val="19"/>
        </w:rPr>
        <w:t>concepts</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9"/>
          <w:w w:val="99"/>
          <w:sz w:val="19"/>
          <w:szCs w:val="19"/>
        </w:rPr>
        <w:t>and</w:t>
      </w:r>
      <w:r>
        <w:rPr>
          <w:rFonts w:ascii="Times New Roman" w:eastAsia="Times New Roman" w:hAnsi="Times New Roman" w:cs="Times New Roman"/>
          <w:sz w:val="19"/>
          <w:szCs w:val="19"/>
        </w:rPr>
        <w:t xml:space="preserve"> </w:t>
      </w:r>
      <w:r>
        <w:rPr>
          <w:rFonts w:ascii="Times New Roman" w:eastAsia="Times New Roman" w:hAnsi="Times New Roman" w:cs="Times New Roman"/>
          <w:spacing w:val="-9"/>
          <w:w w:val="99"/>
          <w:sz w:val="19"/>
          <w:szCs w:val="19"/>
        </w:rPr>
        <w:t>controversies.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9"/>
          <w:w w:val="99"/>
          <w:sz w:val="19"/>
          <w:szCs w:val="19"/>
        </w:rPr>
        <w:t>8th</w:t>
      </w:r>
    </w:p>
    <w:p w:rsidR="00EA40A3" w:rsidRDefault="00E86C16">
      <w:pPr>
        <w:spacing w:line="14" w:lineRule="auto"/>
        <w:rPr>
          <w:sz w:val="2"/>
        </w:rPr>
      </w:pPr>
      <w:r>
        <w:rPr>
          <w:sz w:val="2"/>
          <w:szCs w:val="2"/>
        </w:rPr>
        <w:br w:type="column"/>
      </w:r>
    </w:p>
    <w:p w:rsidR="00EA40A3" w:rsidRDefault="00E86C16">
      <w:pPr>
        <w:spacing w:before="1" w:line="226" w:lineRule="auto"/>
        <w:rPr>
          <w:rFonts w:ascii="宋体" w:eastAsia="宋体" w:hAnsi="宋体" w:cs="宋体"/>
        </w:rPr>
      </w:pPr>
      <w:r>
        <w:rPr>
          <w:rFonts w:ascii="宋体" w:eastAsia="宋体" w:hAnsi="宋体" w:cs="宋体"/>
          <w:spacing w:val="-2"/>
        </w:rPr>
        <w:t>看，维生素D</w:t>
      </w:r>
      <w:r>
        <w:rPr>
          <w:rFonts w:ascii="宋体" w:eastAsia="宋体" w:hAnsi="宋体" w:cs="宋体"/>
        </w:rPr>
        <w:t xml:space="preserve"> </w:t>
      </w:r>
      <w:r>
        <w:rPr>
          <w:rFonts w:ascii="宋体" w:eastAsia="宋体" w:hAnsi="宋体" w:cs="宋体"/>
          <w:spacing w:val="-2"/>
        </w:rPr>
        <w:t>缺乏病的存在同样是不容忽视的。</w:t>
      </w:r>
    </w:p>
    <w:p w:rsidR="00EA40A3" w:rsidRDefault="00E86C16">
      <w:pPr>
        <w:spacing w:before="28" w:line="247" w:lineRule="auto"/>
        <w:ind w:right="40" w:firstLine="430"/>
        <w:jc w:val="both"/>
        <w:rPr>
          <w:rFonts w:ascii="宋体" w:eastAsia="宋体" w:hAnsi="宋体" w:cs="宋体"/>
          <w:sz w:val="22"/>
          <w:szCs w:val="22"/>
        </w:rPr>
      </w:pPr>
      <w:r>
        <w:rPr>
          <w:rFonts w:ascii="宋体" w:eastAsia="宋体" w:hAnsi="宋体" w:cs="宋体"/>
          <w:spacing w:val="-10"/>
          <w:sz w:val="22"/>
          <w:szCs w:val="22"/>
        </w:rPr>
        <w:t>缺乏维生素D</w:t>
      </w:r>
      <w:r>
        <w:rPr>
          <w:rFonts w:ascii="宋体" w:eastAsia="宋体" w:hAnsi="宋体" w:cs="宋体"/>
          <w:spacing w:val="8"/>
          <w:sz w:val="22"/>
          <w:szCs w:val="22"/>
        </w:rPr>
        <w:t xml:space="preserve"> </w:t>
      </w:r>
      <w:r>
        <w:rPr>
          <w:rFonts w:ascii="宋体" w:eastAsia="宋体" w:hAnsi="宋体" w:cs="宋体"/>
          <w:spacing w:val="-10"/>
          <w:sz w:val="22"/>
          <w:szCs w:val="22"/>
        </w:rPr>
        <w:t>会导致肠道对钙和磷的吸收减少，</w:t>
      </w:r>
      <w:r>
        <w:rPr>
          <w:rFonts w:ascii="宋体" w:eastAsia="宋体" w:hAnsi="宋体" w:cs="宋体"/>
          <w:sz w:val="22"/>
          <w:szCs w:val="22"/>
        </w:rPr>
        <w:t xml:space="preserve"> </w:t>
      </w:r>
      <w:r>
        <w:rPr>
          <w:rFonts w:ascii="宋体" w:eastAsia="宋体" w:hAnsi="宋体" w:cs="宋体"/>
          <w:spacing w:val="-12"/>
          <w:sz w:val="22"/>
          <w:szCs w:val="22"/>
        </w:rPr>
        <w:t>肾小管对钙和磷的重吸收降低，造成骨骼和牙齿的异</w:t>
      </w:r>
      <w:r>
        <w:rPr>
          <w:rFonts w:ascii="宋体" w:eastAsia="宋体" w:hAnsi="宋体" w:cs="宋体"/>
          <w:spacing w:val="8"/>
          <w:sz w:val="22"/>
          <w:szCs w:val="22"/>
        </w:rPr>
        <w:t xml:space="preserve"> </w:t>
      </w:r>
      <w:r>
        <w:rPr>
          <w:rFonts w:ascii="宋体" w:eastAsia="宋体" w:hAnsi="宋体" w:cs="宋体"/>
          <w:spacing w:val="-14"/>
          <w:sz w:val="22"/>
          <w:szCs w:val="22"/>
        </w:rPr>
        <w:t>常矿化，继而使骨骼畸形。主要缺乏症为：</w:t>
      </w:r>
    </w:p>
    <w:p w:rsidR="00EA40A3" w:rsidRDefault="00E86C16">
      <w:pPr>
        <w:spacing w:before="49" w:line="241" w:lineRule="auto"/>
        <w:ind w:firstLine="430"/>
        <w:jc w:val="both"/>
        <w:rPr>
          <w:rFonts w:ascii="宋体" w:eastAsia="宋体" w:hAnsi="宋体" w:cs="宋体"/>
          <w:sz w:val="22"/>
          <w:szCs w:val="22"/>
        </w:rPr>
      </w:pPr>
      <w:r>
        <w:rPr>
          <w:rFonts w:ascii="宋体" w:eastAsia="宋体" w:hAnsi="宋体" w:cs="宋体"/>
          <w:spacing w:val="1"/>
          <w:sz w:val="22"/>
          <w:szCs w:val="22"/>
        </w:rPr>
        <w:t>佝偻病：维生素D</w:t>
      </w:r>
      <w:r>
        <w:rPr>
          <w:rFonts w:ascii="宋体" w:eastAsia="宋体" w:hAnsi="宋体" w:cs="宋体"/>
          <w:spacing w:val="19"/>
          <w:sz w:val="22"/>
          <w:szCs w:val="22"/>
        </w:rPr>
        <w:t xml:space="preserve"> </w:t>
      </w:r>
      <w:r>
        <w:rPr>
          <w:rFonts w:ascii="宋体" w:eastAsia="宋体" w:hAnsi="宋体" w:cs="宋体"/>
          <w:spacing w:val="1"/>
          <w:sz w:val="22"/>
          <w:szCs w:val="22"/>
        </w:rPr>
        <w:t>缺乏，骨骼不能正常钙化，</w:t>
      </w:r>
      <w:r>
        <w:rPr>
          <w:rFonts w:ascii="宋体" w:eastAsia="宋体" w:hAnsi="宋体" w:cs="宋体"/>
          <w:sz w:val="22"/>
          <w:szCs w:val="22"/>
        </w:rPr>
        <w:t xml:space="preserve"> </w:t>
      </w:r>
      <w:r>
        <w:rPr>
          <w:rFonts w:ascii="宋体" w:eastAsia="宋体" w:hAnsi="宋体" w:cs="宋体"/>
          <w:spacing w:val="-8"/>
          <w:sz w:val="22"/>
          <w:szCs w:val="22"/>
        </w:rPr>
        <w:t>变软，易弯曲，畸形，同时影响神经、肌肉、造血、</w:t>
      </w:r>
      <w:r>
        <w:rPr>
          <w:rFonts w:ascii="宋体" w:eastAsia="宋体" w:hAnsi="宋体" w:cs="宋体"/>
          <w:spacing w:val="13"/>
          <w:sz w:val="22"/>
          <w:szCs w:val="22"/>
        </w:rPr>
        <w:t xml:space="preserve"> </w:t>
      </w:r>
      <w:r>
        <w:rPr>
          <w:rFonts w:ascii="宋体" w:eastAsia="宋体" w:hAnsi="宋体" w:cs="宋体"/>
          <w:spacing w:val="-6"/>
          <w:sz w:val="22"/>
          <w:szCs w:val="22"/>
        </w:rPr>
        <w:t>免疫等组织器官的功能。多见于婴幼儿(图4-7)。</w:t>
      </w:r>
    </w:p>
    <w:p w:rsidR="00EA40A3" w:rsidRDefault="00E86C16">
      <w:pPr>
        <w:spacing w:before="48" w:line="242" w:lineRule="auto"/>
        <w:ind w:right="90" w:firstLine="430"/>
        <w:jc w:val="both"/>
        <w:rPr>
          <w:rFonts w:ascii="宋体" w:eastAsia="宋体" w:hAnsi="宋体" w:cs="宋体"/>
          <w:sz w:val="22"/>
          <w:szCs w:val="22"/>
        </w:rPr>
      </w:pPr>
      <w:r>
        <w:rPr>
          <w:rFonts w:ascii="宋体" w:eastAsia="宋体" w:hAnsi="宋体" w:cs="宋体"/>
          <w:spacing w:val="-13"/>
          <w:sz w:val="22"/>
          <w:szCs w:val="22"/>
        </w:rPr>
        <w:t>骨软化症：发病于成年人，特别是妊娠、授乳的</w:t>
      </w:r>
      <w:r>
        <w:rPr>
          <w:rFonts w:ascii="宋体" w:eastAsia="宋体" w:hAnsi="宋体" w:cs="宋体"/>
          <w:spacing w:val="18"/>
          <w:sz w:val="22"/>
          <w:szCs w:val="22"/>
        </w:rPr>
        <w:t xml:space="preserve"> </w:t>
      </w:r>
      <w:r>
        <w:rPr>
          <w:rFonts w:ascii="宋体" w:eastAsia="宋体" w:hAnsi="宋体" w:cs="宋体"/>
          <w:spacing w:val="-12"/>
          <w:sz w:val="22"/>
          <w:szCs w:val="22"/>
        </w:rPr>
        <w:t>妇女和老年人。主要表现为骨软化，易折断。初期腰</w:t>
      </w:r>
      <w:r>
        <w:rPr>
          <w:rFonts w:ascii="宋体" w:eastAsia="宋体" w:hAnsi="宋体" w:cs="宋体"/>
          <w:spacing w:val="3"/>
          <w:sz w:val="22"/>
          <w:szCs w:val="22"/>
        </w:rPr>
        <w:t xml:space="preserve"> </w:t>
      </w:r>
      <w:r>
        <w:rPr>
          <w:rFonts w:ascii="宋体" w:eastAsia="宋体" w:hAnsi="宋体" w:cs="宋体"/>
          <w:spacing w:val="-12"/>
          <w:sz w:val="22"/>
          <w:szCs w:val="22"/>
        </w:rPr>
        <w:t>背部、腿部不定位地时好时坏的疼痛，常在活动时加</w:t>
      </w:r>
      <w:r>
        <w:rPr>
          <w:rFonts w:ascii="宋体" w:eastAsia="宋体" w:hAnsi="宋体" w:cs="宋体"/>
          <w:spacing w:val="11"/>
          <w:sz w:val="22"/>
          <w:szCs w:val="22"/>
        </w:rPr>
        <w:t xml:space="preserve"> </w:t>
      </w:r>
      <w:r>
        <w:rPr>
          <w:rFonts w:ascii="宋体" w:eastAsia="宋体" w:hAnsi="宋体" w:cs="宋体"/>
          <w:spacing w:val="-12"/>
          <w:sz w:val="22"/>
          <w:szCs w:val="22"/>
        </w:rPr>
        <w:t>剧；严重时造成骨骼脱钙，骨质疏松，有自发性、多</w:t>
      </w:r>
      <w:r>
        <w:rPr>
          <w:rFonts w:ascii="宋体" w:eastAsia="宋体" w:hAnsi="宋体" w:cs="宋体"/>
          <w:spacing w:val="14"/>
          <w:sz w:val="22"/>
          <w:szCs w:val="22"/>
        </w:rPr>
        <w:t xml:space="preserve"> </w:t>
      </w:r>
      <w:r>
        <w:rPr>
          <w:rFonts w:ascii="宋体" w:eastAsia="宋体" w:hAnsi="宋体" w:cs="宋体"/>
          <w:spacing w:val="-16"/>
          <w:sz w:val="22"/>
          <w:szCs w:val="22"/>
        </w:rPr>
        <w:t>发性骨折。</w:t>
      </w:r>
    </w:p>
    <w:p w:rsidR="00EA40A3" w:rsidRDefault="00EA40A3">
      <w:pPr>
        <w:sectPr w:rsidR="00EA40A3">
          <w:type w:val="continuous"/>
          <w:pgSz w:w="9220" w:h="13370"/>
          <w:pgMar w:top="400" w:right="979" w:bottom="400" w:left="890" w:header="0" w:footer="0" w:gutter="0"/>
          <w:cols w:num="2" w:space="720" w:equalWidth="0">
            <w:col w:w="2360" w:space="100"/>
            <w:col w:w="4891"/>
          </w:cols>
        </w:sectPr>
      </w:pPr>
    </w:p>
    <w:p w:rsidR="00EA40A3" w:rsidRDefault="00E86C16">
      <w:pPr>
        <w:spacing w:before="97" w:line="184" w:lineRule="auto"/>
        <w:ind w:left="119"/>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126</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type w:val="continuous"/>
          <w:pgSz w:w="9220" w:h="13370"/>
          <w:pgMar w:top="400" w:right="979" w:bottom="400" w:left="890" w:header="0" w:footer="0" w:gutter="0"/>
          <w:cols w:space="720" w:equalWidth="0">
            <w:col w:w="7350"/>
          </w:cols>
        </w:sectPr>
      </w:pPr>
    </w:p>
    <w:p w:rsidR="00EA40A3" w:rsidRDefault="00EA40A3">
      <w:pPr>
        <w:spacing w:line="295" w:lineRule="auto"/>
      </w:pPr>
    </w:p>
    <w:p w:rsidR="00EA40A3" w:rsidRDefault="00EA40A3">
      <w:pPr>
        <w:spacing w:line="295" w:lineRule="auto"/>
      </w:pPr>
    </w:p>
    <w:p w:rsidR="00EA40A3" w:rsidRDefault="00E86C16">
      <w:pPr>
        <w:spacing w:before="72" w:line="224" w:lineRule="auto"/>
        <w:rPr>
          <w:rFonts w:ascii="楷体" w:eastAsia="楷体" w:hAnsi="楷体" w:cs="楷体"/>
          <w:sz w:val="22"/>
          <w:szCs w:val="22"/>
        </w:rPr>
      </w:pPr>
      <w:r>
        <w:rPr>
          <w:rFonts w:ascii="楷体" w:eastAsia="楷体" w:hAnsi="楷体" w:cs="楷体"/>
          <w:sz w:val="22"/>
          <w:szCs w:val="22"/>
        </w:rPr>
        <w:t>2)维生素D</w:t>
      </w:r>
      <w:r>
        <w:rPr>
          <w:rFonts w:ascii="楷体" w:eastAsia="楷体" w:hAnsi="楷体" w:cs="楷体"/>
          <w:spacing w:val="-10"/>
          <w:sz w:val="22"/>
          <w:szCs w:val="22"/>
        </w:rPr>
        <w:t xml:space="preserve"> </w:t>
      </w:r>
      <w:r>
        <w:rPr>
          <w:rFonts w:ascii="楷体" w:eastAsia="楷体" w:hAnsi="楷体" w:cs="楷体"/>
          <w:sz w:val="22"/>
          <w:szCs w:val="22"/>
        </w:rPr>
        <w:t>的过量及毒性</w:t>
      </w:r>
    </w:p>
    <w:p w:rsidR="00EA40A3" w:rsidRDefault="00E86C16">
      <w:pPr>
        <w:spacing w:before="70" w:line="257" w:lineRule="auto"/>
        <w:ind w:right="60" w:firstLine="460"/>
        <w:jc w:val="both"/>
        <w:rPr>
          <w:rFonts w:ascii="宋体" w:eastAsia="宋体" w:hAnsi="宋体" w:cs="宋体"/>
          <w:sz w:val="22"/>
          <w:szCs w:val="22"/>
        </w:rPr>
      </w:pPr>
      <w:r>
        <w:rPr>
          <w:rFonts w:ascii="宋体" w:eastAsia="宋体" w:hAnsi="宋体" w:cs="宋体"/>
          <w:spacing w:val="-7"/>
          <w:sz w:val="22"/>
          <w:szCs w:val="22"/>
        </w:rPr>
        <w:t>过量摄入维生素D</w:t>
      </w:r>
      <w:r>
        <w:rPr>
          <w:rFonts w:ascii="宋体" w:eastAsia="宋体" w:hAnsi="宋体" w:cs="宋体"/>
          <w:spacing w:val="3"/>
          <w:sz w:val="22"/>
          <w:szCs w:val="22"/>
        </w:rPr>
        <w:t xml:space="preserve"> </w:t>
      </w:r>
      <w:r>
        <w:rPr>
          <w:rFonts w:ascii="宋体" w:eastAsia="宋体" w:hAnsi="宋体" w:cs="宋体"/>
          <w:spacing w:val="-7"/>
          <w:sz w:val="22"/>
          <w:szCs w:val="22"/>
        </w:rPr>
        <w:t>时会引起中毒，多见于长期大量给儿童服用浓缩维生素</w:t>
      </w:r>
      <w:r>
        <w:rPr>
          <w:rFonts w:ascii="宋体" w:eastAsia="宋体" w:hAnsi="宋体" w:cs="宋体"/>
          <w:sz w:val="22"/>
          <w:szCs w:val="22"/>
        </w:rPr>
        <w:t xml:space="preserve"> </w:t>
      </w:r>
      <w:r>
        <w:rPr>
          <w:rFonts w:ascii="宋体" w:eastAsia="宋体" w:hAnsi="宋体" w:cs="宋体"/>
          <w:spacing w:val="-2"/>
          <w:sz w:val="22"/>
          <w:szCs w:val="22"/>
        </w:rPr>
        <w:t>D</w:t>
      </w:r>
      <w:r>
        <w:rPr>
          <w:rFonts w:ascii="宋体" w:eastAsia="宋体" w:hAnsi="宋体" w:cs="宋体"/>
          <w:spacing w:val="33"/>
          <w:sz w:val="22"/>
          <w:szCs w:val="22"/>
        </w:rPr>
        <w:t xml:space="preserve"> </w:t>
      </w:r>
      <w:r>
        <w:rPr>
          <w:rFonts w:ascii="宋体" w:eastAsia="宋体" w:hAnsi="宋体" w:cs="宋体"/>
          <w:spacing w:val="-2"/>
          <w:sz w:val="22"/>
          <w:szCs w:val="22"/>
        </w:rPr>
        <w:t>(如鱼肝油丸)。维生素</w:t>
      </w:r>
      <w:r>
        <w:rPr>
          <w:rFonts w:ascii="宋体" w:eastAsia="宋体" w:hAnsi="宋体" w:cs="宋体"/>
          <w:spacing w:val="-40"/>
          <w:sz w:val="22"/>
          <w:szCs w:val="22"/>
        </w:rPr>
        <w:t xml:space="preserve"> </w:t>
      </w:r>
      <w:r>
        <w:rPr>
          <w:rFonts w:ascii="宋体" w:eastAsia="宋体" w:hAnsi="宋体" w:cs="宋体"/>
          <w:spacing w:val="-2"/>
          <w:sz w:val="22"/>
          <w:szCs w:val="22"/>
        </w:rPr>
        <w:t>D</w:t>
      </w:r>
      <w:r>
        <w:rPr>
          <w:rFonts w:ascii="宋体" w:eastAsia="宋体" w:hAnsi="宋体" w:cs="宋体"/>
          <w:spacing w:val="14"/>
          <w:sz w:val="22"/>
          <w:szCs w:val="22"/>
        </w:rPr>
        <w:t xml:space="preserve"> </w:t>
      </w:r>
      <w:r>
        <w:rPr>
          <w:rFonts w:ascii="宋体" w:eastAsia="宋体" w:hAnsi="宋体" w:cs="宋体"/>
          <w:spacing w:val="-2"/>
          <w:sz w:val="22"/>
          <w:szCs w:val="22"/>
        </w:rPr>
        <w:t>中毒剂量与生理剂量相差不多，婴儿服用50</w:t>
      </w:r>
      <w:r>
        <w:rPr>
          <w:rFonts w:ascii="宋体" w:eastAsia="宋体" w:hAnsi="宋体" w:cs="宋体"/>
          <w:spacing w:val="-41"/>
          <w:sz w:val="22"/>
          <w:szCs w:val="22"/>
        </w:rPr>
        <w:t xml:space="preserve"> </w:t>
      </w:r>
      <w:r>
        <w:rPr>
          <w:rFonts w:ascii="宋体" w:eastAsia="宋体" w:hAnsi="宋体" w:cs="宋体"/>
          <w:spacing w:val="-2"/>
          <w:sz w:val="22"/>
          <w:szCs w:val="22"/>
        </w:rPr>
        <w:t>μg</w:t>
      </w:r>
      <w:r>
        <w:rPr>
          <w:rFonts w:ascii="宋体" w:eastAsia="宋体" w:hAnsi="宋体" w:cs="宋体"/>
          <w:sz w:val="22"/>
          <w:szCs w:val="22"/>
        </w:rPr>
        <w:t xml:space="preserve"> </w:t>
      </w:r>
      <w:r>
        <w:rPr>
          <w:rFonts w:ascii="宋体" w:eastAsia="宋体" w:hAnsi="宋体" w:cs="宋体"/>
          <w:spacing w:val="-7"/>
          <w:sz w:val="22"/>
          <w:szCs w:val="22"/>
        </w:rPr>
        <w:t>(200IU)</w:t>
      </w:r>
      <w:r>
        <w:rPr>
          <w:rFonts w:ascii="宋体" w:eastAsia="宋体" w:hAnsi="宋体" w:cs="宋体"/>
          <w:spacing w:val="21"/>
          <w:sz w:val="22"/>
          <w:szCs w:val="22"/>
        </w:rPr>
        <w:t xml:space="preserve"> </w:t>
      </w:r>
      <w:r>
        <w:rPr>
          <w:rFonts w:ascii="宋体" w:eastAsia="宋体" w:hAnsi="宋体" w:cs="宋体"/>
          <w:spacing w:val="-7"/>
          <w:sz w:val="22"/>
          <w:szCs w:val="22"/>
        </w:rPr>
        <w:t>或更少一些可以导致血钙过多，肾功能不全。成人中毒剂量个体差异</w:t>
      </w:r>
      <w:r>
        <w:rPr>
          <w:rFonts w:ascii="宋体" w:eastAsia="宋体" w:hAnsi="宋体" w:cs="宋体"/>
          <w:sz w:val="22"/>
          <w:szCs w:val="22"/>
        </w:rPr>
        <w:t xml:space="preserve"> </w:t>
      </w:r>
      <w:r>
        <w:rPr>
          <w:rFonts w:ascii="宋体" w:eastAsia="宋体" w:hAnsi="宋体" w:cs="宋体"/>
          <w:spacing w:val="-5"/>
          <w:sz w:val="22"/>
          <w:szCs w:val="22"/>
        </w:rPr>
        <w:t>较大，有人口服2000IU</w:t>
      </w:r>
      <w:r>
        <w:rPr>
          <w:rFonts w:ascii="宋体" w:eastAsia="宋体" w:hAnsi="宋体" w:cs="宋体"/>
          <w:spacing w:val="-30"/>
          <w:sz w:val="22"/>
          <w:szCs w:val="22"/>
        </w:rPr>
        <w:t xml:space="preserve"> </w:t>
      </w:r>
      <w:r>
        <w:rPr>
          <w:rFonts w:ascii="宋体" w:eastAsia="宋体" w:hAnsi="宋体" w:cs="宋体"/>
          <w:spacing w:val="-5"/>
          <w:sz w:val="22"/>
          <w:szCs w:val="22"/>
        </w:rPr>
        <w:t>发生中毒现象，口服50001U</w:t>
      </w:r>
      <w:r>
        <w:rPr>
          <w:rFonts w:ascii="宋体" w:eastAsia="宋体" w:hAnsi="宋体" w:cs="宋体"/>
          <w:spacing w:val="-7"/>
          <w:sz w:val="22"/>
          <w:szCs w:val="22"/>
        </w:rPr>
        <w:t xml:space="preserve"> </w:t>
      </w:r>
      <w:r>
        <w:rPr>
          <w:rFonts w:ascii="宋体" w:eastAsia="宋体" w:hAnsi="宋体" w:cs="宋体"/>
          <w:spacing w:val="-5"/>
          <w:sz w:val="22"/>
          <w:szCs w:val="22"/>
        </w:rPr>
        <w:t>者</w:t>
      </w:r>
      <w:r>
        <w:rPr>
          <w:rFonts w:ascii="宋体" w:eastAsia="宋体" w:hAnsi="宋体" w:cs="宋体"/>
          <w:spacing w:val="-6"/>
          <w:sz w:val="22"/>
          <w:szCs w:val="22"/>
        </w:rPr>
        <w:t>易中毒，口服量不能超</w:t>
      </w:r>
      <w:r>
        <w:rPr>
          <w:rFonts w:ascii="宋体" w:eastAsia="宋体" w:hAnsi="宋体" w:cs="宋体"/>
          <w:sz w:val="22"/>
          <w:szCs w:val="22"/>
        </w:rPr>
        <w:t xml:space="preserve"> </w:t>
      </w:r>
      <w:r>
        <w:rPr>
          <w:rFonts w:ascii="宋体" w:eastAsia="宋体" w:hAnsi="宋体" w:cs="宋体"/>
          <w:spacing w:val="-9"/>
          <w:sz w:val="22"/>
          <w:szCs w:val="22"/>
        </w:rPr>
        <w:t>过800IU。</w:t>
      </w:r>
      <w:r>
        <w:rPr>
          <w:rFonts w:ascii="宋体" w:eastAsia="宋体" w:hAnsi="宋体" w:cs="宋体"/>
          <w:spacing w:val="-40"/>
          <w:sz w:val="22"/>
          <w:szCs w:val="22"/>
        </w:rPr>
        <w:t xml:space="preserve"> </w:t>
      </w:r>
      <w:r>
        <w:rPr>
          <w:rFonts w:ascii="宋体" w:eastAsia="宋体" w:hAnsi="宋体" w:cs="宋体"/>
          <w:spacing w:val="-9"/>
          <w:sz w:val="22"/>
          <w:szCs w:val="22"/>
        </w:rPr>
        <w:t>维生素D</w:t>
      </w:r>
      <w:r>
        <w:rPr>
          <w:rFonts w:ascii="宋体" w:eastAsia="宋体" w:hAnsi="宋体" w:cs="宋体"/>
          <w:spacing w:val="-5"/>
          <w:sz w:val="22"/>
          <w:szCs w:val="22"/>
        </w:rPr>
        <w:t xml:space="preserve"> </w:t>
      </w:r>
      <w:r>
        <w:rPr>
          <w:rFonts w:ascii="宋体" w:eastAsia="宋体" w:hAnsi="宋体" w:cs="宋体"/>
          <w:spacing w:val="-9"/>
          <w:sz w:val="22"/>
          <w:szCs w:val="22"/>
        </w:rPr>
        <w:t>中毒的症状包括高血钙症、高尿钙症、厌食、恶心、</w:t>
      </w:r>
      <w:r>
        <w:rPr>
          <w:rFonts w:ascii="宋体" w:eastAsia="宋体" w:hAnsi="宋体" w:cs="宋体"/>
          <w:spacing w:val="-10"/>
          <w:sz w:val="22"/>
          <w:szCs w:val="22"/>
        </w:rPr>
        <w:t>呕吐、</w:t>
      </w:r>
      <w:r>
        <w:rPr>
          <w:rFonts w:ascii="宋体" w:eastAsia="宋体" w:hAnsi="宋体" w:cs="宋体"/>
          <w:sz w:val="22"/>
          <w:szCs w:val="22"/>
        </w:rPr>
        <w:t xml:space="preserve"> </w:t>
      </w:r>
      <w:r>
        <w:rPr>
          <w:rFonts w:ascii="宋体" w:eastAsia="宋体" w:hAnsi="宋体" w:cs="宋体"/>
          <w:spacing w:val="-13"/>
          <w:sz w:val="22"/>
          <w:szCs w:val="22"/>
        </w:rPr>
        <w:t>口渴、多尿、皮肤瘙痒、肌肉乏力、关节疼痛等，尿钙</w:t>
      </w:r>
      <w:r>
        <w:rPr>
          <w:rFonts w:ascii="宋体" w:eastAsia="宋体" w:hAnsi="宋体" w:cs="宋体"/>
          <w:spacing w:val="-14"/>
          <w:sz w:val="22"/>
          <w:szCs w:val="22"/>
        </w:rPr>
        <w:t>过高也易形成肾结石。由</w:t>
      </w:r>
      <w:r>
        <w:rPr>
          <w:rFonts w:ascii="宋体" w:eastAsia="宋体" w:hAnsi="宋体" w:cs="宋体"/>
          <w:sz w:val="22"/>
          <w:szCs w:val="22"/>
        </w:rPr>
        <w:t xml:space="preserve"> </w:t>
      </w:r>
      <w:r>
        <w:rPr>
          <w:rFonts w:ascii="宋体" w:eastAsia="宋体" w:hAnsi="宋体" w:cs="宋体"/>
          <w:spacing w:val="-7"/>
          <w:sz w:val="22"/>
          <w:szCs w:val="22"/>
        </w:rPr>
        <w:t>于钙可在软组织内(如心脏、血管、肾小管等)沉积，往往造成心脏、肾脏及大</w:t>
      </w:r>
      <w:r>
        <w:rPr>
          <w:rFonts w:ascii="宋体" w:eastAsia="宋体" w:hAnsi="宋体" w:cs="宋体"/>
          <w:spacing w:val="4"/>
          <w:sz w:val="22"/>
          <w:szCs w:val="22"/>
        </w:rPr>
        <w:t xml:space="preserve"> </w:t>
      </w:r>
      <w:r>
        <w:rPr>
          <w:rFonts w:ascii="宋体" w:eastAsia="宋体" w:hAnsi="宋体" w:cs="宋体"/>
          <w:spacing w:val="-13"/>
          <w:sz w:val="22"/>
          <w:szCs w:val="22"/>
        </w:rPr>
        <w:t>动脉钙化，引起心血管系统异常并导致肾衰竭，这是死亡的主要原因。妊娠期和</w:t>
      </w:r>
      <w:r>
        <w:rPr>
          <w:rFonts w:ascii="宋体" w:eastAsia="宋体" w:hAnsi="宋体" w:cs="宋体"/>
          <w:spacing w:val="1"/>
          <w:sz w:val="22"/>
          <w:szCs w:val="22"/>
        </w:rPr>
        <w:t xml:space="preserve"> </w:t>
      </w:r>
      <w:r>
        <w:rPr>
          <w:rFonts w:ascii="宋体" w:eastAsia="宋体" w:hAnsi="宋体" w:cs="宋体"/>
          <w:spacing w:val="-11"/>
          <w:sz w:val="22"/>
          <w:szCs w:val="22"/>
        </w:rPr>
        <w:t>婴儿初期过多摄取维生素D,</w:t>
      </w:r>
      <w:r>
        <w:rPr>
          <w:rFonts w:ascii="宋体" w:eastAsia="宋体" w:hAnsi="宋体" w:cs="宋体"/>
          <w:spacing w:val="40"/>
          <w:sz w:val="22"/>
          <w:szCs w:val="22"/>
        </w:rPr>
        <w:t xml:space="preserve"> </w:t>
      </w:r>
      <w:r>
        <w:rPr>
          <w:rFonts w:ascii="宋体" w:eastAsia="宋体" w:hAnsi="宋体" w:cs="宋体"/>
          <w:spacing w:val="-11"/>
          <w:sz w:val="22"/>
          <w:szCs w:val="22"/>
        </w:rPr>
        <w:t>可引起出生体重偏低，严重者可导致智力发育不良</w:t>
      </w:r>
      <w:r>
        <w:rPr>
          <w:rFonts w:ascii="宋体" w:eastAsia="宋体" w:hAnsi="宋体" w:cs="宋体"/>
          <w:sz w:val="22"/>
          <w:szCs w:val="22"/>
        </w:rPr>
        <w:t xml:space="preserve"> </w:t>
      </w:r>
      <w:r>
        <w:rPr>
          <w:rFonts w:ascii="宋体" w:eastAsia="宋体" w:hAnsi="宋体" w:cs="宋体"/>
          <w:spacing w:val="-15"/>
          <w:sz w:val="22"/>
          <w:szCs w:val="22"/>
        </w:rPr>
        <w:t>及骨硬化。人体对维生素D</w:t>
      </w:r>
      <w:r>
        <w:rPr>
          <w:rFonts w:ascii="宋体" w:eastAsia="宋体" w:hAnsi="宋体" w:cs="宋体"/>
          <w:spacing w:val="8"/>
          <w:sz w:val="22"/>
          <w:szCs w:val="22"/>
        </w:rPr>
        <w:t xml:space="preserve"> </w:t>
      </w:r>
      <w:r>
        <w:rPr>
          <w:rFonts w:ascii="宋体" w:eastAsia="宋体" w:hAnsi="宋体" w:cs="宋体"/>
          <w:spacing w:val="-15"/>
          <w:sz w:val="22"/>
          <w:szCs w:val="22"/>
        </w:rPr>
        <w:t>的耐受性因人而异，</w:t>
      </w:r>
      <w:r>
        <w:rPr>
          <w:rFonts w:ascii="宋体" w:eastAsia="宋体" w:hAnsi="宋体" w:cs="宋体"/>
          <w:spacing w:val="55"/>
          <w:sz w:val="22"/>
          <w:szCs w:val="22"/>
        </w:rPr>
        <w:t xml:space="preserve"> </w:t>
      </w:r>
      <w:r>
        <w:rPr>
          <w:rFonts w:ascii="宋体" w:eastAsia="宋体" w:hAnsi="宋体" w:cs="宋体"/>
          <w:spacing w:val="-15"/>
          <w:sz w:val="22"/>
          <w:szCs w:val="22"/>
        </w:rPr>
        <w:t>一般每日摄取量不宜超过400IU</w:t>
      </w:r>
      <w:r>
        <w:rPr>
          <w:rFonts w:ascii="宋体" w:eastAsia="宋体" w:hAnsi="宋体" w:cs="宋体"/>
          <w:sz w:val="22"/>
          <w:szCs w:val="22"/>
        </w:rPr>
        <w:t xml:space="preserve">  </w:t>
      </w:r>
      <w:r>
        <w:rPr>
          <w:rFonts w:ascii="宋体" w:eastAsia="宋体" w:hAnsi="宋体" w:cs="宋体"/>
          <w:spacing w:val="-10"/>
          <w:sz w:val="22"/>
          <w:szCs w:val="22"/>
        </w:rPr>
        <w:t>(10μg)。</w:t>
      </w:r>
      <w:r>
        <w:rPr>
          <w:rFonts w:ascii="宋体" w:eastAsia="宋体" w:hAnsi="宋体" w:cs="宋体"/>
          <w:spacing w:val="-60"/>
          <w:sz w:val="22"/>
          <w:szCs w:val="22"/>
        </w:rPr>
        <w:t xml:space="preserve"> </w:t>
      </w:r>
      <w:r>
        <w:rPr>
          <w:rFonts w:ascii="宋体" w:eastAsia="宋体" w:hAnsi="宋体" w:cs="宋体"/>
          <w:spacing w:val="-10"/>
          <w:sz w:val="22"/>
          <w:szCs w:val="22"/>
        </w:rPr>
        <w:t>一些学者认为，长期每日摄人2000IU(50μg)</w:t>
      </w:r>
      <w:r>
        <w:rPr>
          <w:rFonts w:ascii="宋体" w:eastAsia="宋体" w:hAnsi="宋体" w:cs="宋体"/>
          <w:spacing w:val="1"/>
          <w:sz w:val="22"/>
          <w:szCs w:val="22"/>
        </w:rPr>
        <w:t xml:space="preserve"> </w:t>
      </w:r>
      <w:r>
        <w:rPr>
          <w:rFonts w:ascii="宋体" w:eastAsia="宋体" w:hAnsi="宋体" w:cs="宋体"/>
          <w:spacing w:val="-10"/>
          <w:sz w:val="22"/>
          <w:szCs w:val="22"/>
        </w:rPr>
        <w:t>的维生素</w:t>
      </w:r>
      <w:r>
        <w:rPr>
          <w:rFonts w:ascii="宋体" w:eastAsia="宋体" w:hAnsi="宋体" w:cs="宋体"/>
          <w:spacing w:val="-63"/>
          <w:sz w:val="22"/>
          <w:szCs w:val="22"/>
        </w:rPr>
        <w:t xml:space="preserve"> </w:t>
      </w:r>
      <w:r>
        <w:rPr>
          <w:rFonts w:ascii="宋体" w:eastAsia="宋体" w:hAnsi="宋体" w:cs="宋体"/>
          <w:spacing w:val="-10"/>
          <w:sz w:val="22"/>
          <w:szCs w:val="22"/>
        </w:rPr>
        <w:t>D</w:t>
      </w:r>
      <w:r>
        <w:rPr>
          <w:rFonts w:ascii="宋体" w:eastAsia="宋体" w:hAnsi="宋体" w:cs="宋体"/>
          <w:spacing w:val="-16"/>
          <w:sz w:val="22"/>
          <w:szCs w:val="22"/>
        </w:rPr>
        <w:t xml:space="preserve"> </w:t>
      </w:r>
      <w:r>
        <w:rPr>
          <w:rFonts w:ascii="宋体" w:eastAsia="宋体" w:hAnsi="宋体" w:cs="宋体"/>
          <w:spacing w:val="-10"/>
          <w:sz w:val="22"/>
          <w:szCs w:val="22"/>
        </w:rPr>
        <w:t>就可导致中</w:t>
      </w:r>
      <w:r>
        <w:rPr>
          <w:rFonts w:ascii="宋体" w:eastAsia="宋体" w:hAnsi="宋体" w:cs="宋体"/>
          <w:sz w:val="22"/>
          <w:szCs w:val="22"/>
        </w:rPr>
        <w:t xml:space="preserve"> </w:t>
      </w:r>
      <w:r>
        <w:rPr>
          <w:rFonts w:ascii="宋体" w:eastAsia="宋体" w:hAnsi="宋体" w:cs="宋体"/>
          <w:spacing w:val="-12"/>
          <w:sz w:val="22"/>
          <w:szCs w:val="22"/>
        </w:rPr>
        <w:t>毒，但通常膳食的维生素D</w:t>
      </w:r>
      <w:r>
        <w:rPr>
          <w:rFonts w:ascii="宋体" w:eastAsia="宋体" w:hAnsi="宋体" w:cs="宋体"/>
          <w:spacing w:val="-6"/>
          <w:sz w:val="22"/>
          <w:szCs w:val="22"/>
        </w:rPr>
        <w:t xml:space="preserve"> </w:t>
      </w:r>
      <w:r>
        <w:rPr>
          <w:rFonts w:ascii="宋体" w:eastAsia="宋体" w:hAnsi="宋体" w:cs="宋体"/>
          <w:spacing w:val="-12"/>
          <w:sz w:val="22"/>
          <w:szCs w:val="22"/>
        </w:rPr>
        <w:t>来源不会造成过量。</w:t>
      </w:r>
    </w:p>
    <w:p w:rsidR="00EA40A3" w:rsidRDefault="00E86C16">
      <w:pPr>
        <w:spacing w:before="286"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35"/>
          <w:sz w:val="22"/>
          <w:szCs w:val="22"/>
        </w:rPr>
        <w:t xml:space="preserve"> </w:t>
      </w:r>
      <w:r>
        <w:rPr>
          <w:rFonts w:ascii="仿宋" w:eastAsia="仿宋" w:hAnsi="仿宋" w:cs="仿宋"/>
          <w:spacing w:val="14"/>
          <w:sz w:val="22"/>
          <w:szCs w:val="22"/>
        </w:rPr>
        <w:t>维生素D</w:t>
      </w:r>
      <w:r>
        <w:rPr>
          <w:rFonts w:ascii="仿宋" w:eastAsia="仿宋" w:hAnsi="仿宋" w:cs="仿宋"/>
          <w:spacing w:val="34"/>
          <w:sz w:val="22"/>
          <w:szCs w:val="22"/>
        </w:rPr>
        <w:t xml:space="preserve"> </w:t>
      </w:r>
      <w:r>
        <w:rPr>
          <w:rFonts w:ascii="仿宋" w:eastAsia="仿宋" w:hAnsi="仿宋" w:cs="仿宋"/>
          <w:spacing w:val="14"/>
          <w:sz w:val="22"/>
          <w:szCs w:val="22"/>
        </w:rPr>
        <w:t>的参考摄入量与食物来源</w:t>
      </w:r>
    </w:p>
    <w:p w:rsidR="00EA40A3" w:rsidRDefault="00E86C16">
      <w:pPr>
        <w:spacing w:before="211" w:line="250" w:lineRule="auto"/>
        <w:ind w:right="70" w:firstLine="460"/>
        <w:rPr>
          <w:rFonts w:ascii="宋体" w:eastAsia="宋体" w:hAnsi="宋体" w:cs="宋体"/>
          <w:sz w:val="22"/>
          <w:szCs w:val="22"/>
        </w:rPr>
      </w:pPr>
      <w:r>
        <w:rPr>
          <w:rFonts w:ascii="宋体" w:eastAsia="宋体" w:hAnsi="宋体" w:cs="宋体"/>
          <w:spacing w:val="-8"/>
          <w:sz w:val="22"/>
          <w:szCs w:val="22"/>
        </w:rPr>
        <w:t>维生素D</w:t>
      </w:r>
      <w:r>
        <w:rPr>
          <w:rFonts w:ascii="宋体" w:eastAsia="宋体" w:hAnsi="宋体" w:cs="宋体"/>
          <w:spacing w:val="-3"/>
          <w:sz w:val="22"/>
          <w:szCs w:val="22"/>
        </w:rPr>
        <w:t xml:space="preserve"> </w:t>
      </w:r>
      <w:r>
        <w:rPr>
          <w:rFonts w:ascii="宋体" w:eastAsia="宋体" w:hAnsi="宋体" w:cs="宋体"/>
          <w:spacing w:val="-8"/>
          <w:sz w:val="22"/>
          <w:szCs w:val="22"/>
        </w:rPr>
        <w:t>的最低需要量尚难确定，因皮肤形成维生素D</w:t>
      </w:r>
      <w:r>
        <w:rPr>
          <w:rFonts w:ascii="Calibri" w:eastAsia="Calibri" w:hAnsi="Calibri" w:cs="Calibri"/>
          <w:spacing w:val="-8"/>
          <w:sz w:val="22"/>
          <w:szCs w:val="22"/>
        </w:rPr>
        <w:t>₃</w:t>
      </w:r>
      <w:r>
        <w:rPr>
          <w:rFonts w:ascii="Calibri" w:eastAsia="Calibri" w:hAnsi="Calibri" w:cs="Calibri"/>
          <w:spacing w:val="6"/>
          <w:sz w:val="22"/>
          <w:szCs w:val="22"/>
        </w:rPr>
        <w:t xml:space="preserve">  </w:t>
      </w:r>
      <w:r>
        <w:rPr>
          <w:rFonts w:ascii="宋体" w:eastAsia="宋体" w:hAnsi="宋体" w:cs="宋体"/>
          <w:spacing w:val="-8"/>
          <w:sz w:val="22"/>
          <w:szCs w:val="22"/>
        </w:rPr>
        <w:t>的量变化较大。维</w:t>
      </w:r>
      <w:r>
        <w:rPr>
          <w:rFonts w:ascii="宋体" w:eastAsia="宋体" w:hAnsi="宋体" w:cs="宋体"/>
          <w:sz w:val="22"/>
          <w:szCs w:val="22"/>
        </w:rPr>
        <w:t xml:space="preserve"> </w:t>
      </w:r>
      <w:r>
        <w:rPr>
          <w:rFonts w:ascii="宋体" w:eastAsia="宋体" w:hAnsi="宋体" w:cs="宋体"/>
          <w:spacing w:val="-7"/>
          <w:sz w:val="22"/>
          <w:szCs w:val="22"/>
        </w:rPr>
        <w:t>生素</w:t>
      </w:r>
      <w:r>
        <w:rPr>
          <w:rFonts w:ascii="宋体" w:eastAsia="宋体" w:hAnsi="宋体" w:cs="宋体"/>
          <w:spacing w:val="-60"/>
          <w:sz w:val="22"/>
          <w:szCs w:val="22"/>
        </w:rPr>
        <w:t xml:space="preserve"> </w:t>
      </w:r>
      <w:r>
        <w:rPr>
          <w:rFonts w:ascii="宋体" w:eastAsia="宋体" w:hAnsi="宋体" w:cs="宋体"/>
          <w:spacing w:val="-7"/>
          <w:sz w:val="22"/>
          <w:szCs w:val="22"/>
        </w:rPr>
        <w:t>D</w:t>
      </w:r>
      <w:r>
        <w:rPr>
          <w:rFonts w:ascii="宋体" w:eastAsia="宋体" w:hAnsi="宋体" w:cs="宋体"/>
          <w:spacing w:val="-6"/>
          <w:sz w:val="22"/>
          <w:szCs w:val="22"/>
        </w:rPr>
        <w:t xml:space="preserve"> </w:t>
      </w:r>
      <w:r>
        <w:rPr>
          <w:rFonts w:ascii="宋体" w:eastAsia="宋体" w:hAnsi="宋体" w:cs="宋体"/>
          <w:spacing w:val="-7"/>
          <w:sz w:val="22"/>
          <w:szCs w:val="22"/>
        </w:rPr>
        <w:t>需要量还与钙、磷摄入量有关。我</w:t>
      </w:r>
      <w:r>
        <w:rPr>
          <w:rFonts w:ascii="宋体" w:eastAsia="宋体" w:hAnsi="宋体" w:cs="宋体"/>
          <w:spacing w:val="-8"/>
          <w:sz w:val="22"/>
          <w:szCs w:val="22"/>
        </w:rPr>
        <w:t>国居民维生素D</w:t>
      </w:r>
      <w:r>
        <w:rPr>
          <w:rFonts w:ascii="宋体" w:eastAsia="宋体" w:hAnsi="宋体" w:cs="宋体"/>
          <w:spacing w:val="-5"/>
          <w:sz w:val="22"/>
          <w:szCs w:val="22"/>
        </w:rPr>
        <w:t xml:space="preserve"> </w:t>
      </w:r>
      <w:r>
        <w:rPr>
          <w:rFonts w:ascii="宋体" w:eastAsia="宋体" w:hAnsi="宋体" w:cs="宋体"/>
          <w:spacing w:val="-8"/>
          <w:sz w:val="22"/>
          <w:szCs w:val="22"/>
        </w:rPr>
        <w:t>的</w:t>
      </w:r>
      <w:r>
        <w:rPr>
          <w:rFonts w:ascii="宋体" w:eastAsia="宋体" w:hAnsi="宋体" w:cs="宋体"/>
          <w:spacing w:val="-43"/>
          <w:sz w:val="22"/>
          <w:szCs w:val="22"/>
        </w:rPr>
        <w:t xml:space="preserve"> </w:t>
      </w:r>
      <w:r>
        <w:rPr>
          <w:rFonts w:ascii="宋体" w:eastAsia="宋体" w:hAnsi="宋体" w:cs="宋体"/>
          <w:spacing w:val="-7"/>
          <w:sz w:val="22"/>
          <w:szCs w:val="22"/>
        </w:rPr>
        <w:t>RNI</w:t>
      </w:r>
      <w:r>
        <w:rPr>
          <w:rFonts w:ascii="宋体" w:eastAsia="宋体" w:hAnsi="宋体" w:cs="宋体"/>
          <w:spacing w:val="-8"/>
          <w:sz w:val="22"/>
          <w:szCs w:val="22"/>
        </w:rPr>
        <w:t>(μg/d)</w:t>
      </w:r>
      <w:r>
        <w:rPr>
          <w:rFonts w:ascii="宋体" w:eastAsia="宋体" w:hAnsi="宋体" w:cs="宋体"/>
          <w:spacing w:val="36"/>
          <w:sz w:val="22"/>
          <w:szCs w:val="22"/>
        </w:rPr>
        <w:t xml:space="preserve"> </w:t>
      </w:r>
      <w:r>
        <w:rPr>
          <w:rFonts w:ascii="宋体" w:eastAsia="宋体" w:hAnsi="宋体" w:cs="宋体"/>
          <w:spacing w:val="-8"/>
          <w:sz w:val="22"/>
          <w:szCs w:val="22"/>
        </w:rPr>
        <w:t>分别</w:t>
      </w:r>
      <w:r>
        <w:rPr>
          <w:rFonts w:ascii="宋体" w:eastAsia="宋体" w:hAnsi="宋体" w:cs="宋体"/>
          <w:sz w:val="22"/>
          <w:szCs w:val="22"/>
        </w:rPr>
        <w:t xml:space="preserve"> </w:t>
      </w:r>
      <w:r>
        <w:rPr>
          <w:rFonts w:ascii="宋体" w:eastAsia="宋体" w:hAnsi="宋体" w:cs="宋体"/>
          <w:spacing w:val="6"/>
          <w:sz w:val="22"/>
          <w:szCs w:val="22"/>
        </w:rPr>
        <w:t>定为：婴儿～10岁为10,11～49岁为5,50岁以上及中后期孕妇和乳母为10,</w:t>
      </w:r>
      <w:r>
        <w:rPr>
          <w:rFonts w:ascii="宋体" w:eastAsia="宋体" w:hAnsi="宋体" w:cs="宋体"/>
          <w:spacing w:val="17"/>
          <w:sz w:val="22"/>
          <w:szCs w:val="22"/>
        </w:rPr>
        <w:t xml:space="preserve"> </w:t>
      </w:r>
      <w:r>
        <w:rPr>
          <w:rFonts w:ascii="宋体" w:eastAsia="宋体" w:hAnsi="宋体" w:cs="宋体"/>
          <w:spacing w:val="-11"/>
          <w:sz w:val="22"/>
          <w:szCs w:val="22"/>
        </w:rPr>
        <w:t>孕早期为5。</w:t>
      </w:r>
    </w:p>
    <w:p w:rsidR="00EA40A3" w:rsidRDefault="00E86C16">
      <w:pPr>
        <w:spacing w:before="77" w:line="238" w:lineRule="auto"/>
        <w:ind w:right="100" w:firstLine="460"/>
        <w:rPr>
          <w:rFonts w:ascii="宋体" w:eastAsia="宋体" w:hAnsi="宋体" w:cs="宋体"/>
          <w:sz w:val="22"/>
          <w:szCs w:val="22"/>
        </w:rPr>
      </w:pPr>
      <w:r>
        <w:rPr>
          <w:rFonts w:ascii="宋体" w:eastAsia="宋体" w:hAnsi="宋体" w:cs="宋体"/>
          <w:spacing w:val="-8"/>
          <w:sz w:val="22"/>
          <w:szCs w:val="22"/>
        </w:rPr>
        <w:t>由于过量摄入维生素D</w:t>
      </w:r>
      <w:r>
        <w:rPr>
          <w:rFonts w:ascii="宋体" w:eastAsia="宋体" w:hAnsi="宋体" w:cs="宋体"/>
          <w:spacing w:val="-1"/>
          <w:sz w:val="22"/>
          <w:szCs w:val="22"/>
        </w:rPr>
        <w:t xml:space="preserve"> </w:t>
      </w:r>
      <w:r>
        <w:rPr>
          <w:rFonts w:ascii="宋体" w:eastAsia="宋体" w:hAnsi="宋体" w:cs="宋体"/>
          <w:spacing w:val="-8"/>
          <w:sz w:val="22"/>
          <w:szCs w:val="22"/>
        </w:rPr>
        <w:t>有潜在毒性，目前普遍接受维生素</w:t>
      </w:r>
      <w:r>
        <w:rPr>
          <w:rFonts w:ascii="宋体" w:eastAsia="宋体" w:hAnsi="宋体" w:cs="宋体"/>
          <w:spacing w:val="-60"/>
          <w:sz w:val="22"/>
          <w:szCs w:val="22"/>
        </w:rPr>
        <w:t xml:space="preserve"> </w:t>
      </w:r>
      <w:r>
        <w:rPr>
          <w:rFonts w:ascii="宋体" w:eastAsia="宋体" w:hAnsi="宋体" w:cs="宋体"/>
          <w:spacing w:val="-8"/>
          <w:sz w:val="22"/>
          <w:szCs w:val="22"/>
        </w:rPr>
        <w:t>D</w:t>
      </w:r>
      <w:r>
        <w:rPr>
          <w:rFonts w:ascii="宋体" w:eastAsia="宋体" w:hAnsi="宋体" w:cs="宋体"/>
          <w:spacing w:val="-15"/>
          <w:sz w:val="22"/>
          <w:szCs w:val="22"/>
        </w:rPr>
        <w:t xml:space="preserve"> </w:t>
      </w:r>
      <w:r>
        <w:rPr>
          <w:rFonts w:ascii="宋体" w:eastAsia="宋体" w:hAnsi="宋体" w:cs="宋体"/>
          <w:spacing w:val="-8"/>
          <w:sz w:val="22"/>
          <w:szCs w:val="22"/>
        </w:rPr>
        <w:t>摄入量不宜超</w:t>
      </w:r>
      <w:r>
        <w:rPr>
          <w:rFonts w:ascii="宋体" w:eastAsia="宋体" w:hAnsi="宋体" w:cs="宋体"/>
          <w:sz w:val="22"/>
          <w:szCs w:val="22"/>
        </w:rPr>
        <w:t xml:space="preserve"> </w:t>
      </w:r>
      <w:r>
        <w:rPr>
          <w:rFonts w:ascii="宋体" w:eastAsia="宋体" w:hAnsi="宋体" w:cs="宋体"/>
          <w:spacing w:val="-11"/>
          <w:sz w:val="22"/>
          <w:szCs w:val="22"/>
        </w:rPr>
        <w:t>过25μg/d,</w:t>
      </w:r>
      <w:r>
        <w:rPr>
          <w:rFonts w:ascii="宋体" w:eastAsia="宋体" w:hAnsi="宋体" w:cs="宋体"/>
          <w:spacing w:val="-28"/>
          <w:sz w:val="22"/>
          <w:szCs w:val="22"/>
        </w:rPr>
        <w:t xml:space="preserve"> </w:t>
      </w:r>
      <w:r>
        <w:rPr>
          <w:rFonts w:ascii="宋体" w:eastAsia="宋体" w:hAnsi="宋体" w:cs="宋体"/>
          <w:spacing w:val="-11"/>
          <w:sz w:val="22"/>
          <w:szCs w:val="22"/>
        </w:rPr>
        <w:t>我国成人和儿童维生素</w:t>
      </w:r>
      <w:r>
        <w:rPr>
          <w:rFonts w:ascii="宋体" w:eastAsia="宋体" w:hAnsi="宋体" w:cs="宋体"/>
          <w:spacing w:val="-60"/>
          <w:sz w:val="22"/>
          <w:szCs w:val="22"/>
        </w:rPr>
        <w:t xml:space="preserve"> </w:t>
      </w:r>
      <w:r>
        <w:rPr>
          <w:rFonts w:ascii="宋体" w:eastAsia="宋体" w:hAnsi="宋体" w:cs="宋体"/>
          <w:spacing w:val="-11"/>
          <w:sz w:val="22"/>
          <w:szCs w:val="22"/>
        </w:rPr>
        <w:t>D</w:t>
      </w:r>
      <w:r>
        <w:rPr>
          <w:rFonts w:ascii="宋体" w:eastAsia="宋体" w:hAnsi="宋体" w:cs="宋体"/>
          <w:spacing w:val="-6"/>
          <w:sz w:val="22"/>
          <w:szCs w:val="22"/>
        </w:rPr>
        <w:t xml:space="preserve"> </w:t>
      </w:r>
      <w:r>
        <w:rPr>
          <w:rFonts w:ascii="宋体" w:eastAsia="宋体" w:hAnsi="宋体" w:cs="宋体"/>
          <w:spacing w:val="-11"/>
          <w:sz w:val="22"/>
          <w:szCs w:val="22"/>
        </w:rPr>
        <w:t>的</w:t>
      </w:r>
      <w:r>
        <w:rPr>
          <w:rFonts w:ascii="宋体" w:eastAsia="宋体" w:hAnsi="宋体" w:cs="宋体"/>
          <w:spacing w:val="-54"/>
          <w:sz w:val="22"/>
          <w:szCs w:val="22"/>
        </w:rPr>
        <w:t xml:space="preserve"> </w:t>
      </w:r>
      <w:r>
        <w:rPr>
          <w:rFonts w:ascii="宋体" w:eastAsia="宋体" w:hAnsi="宋体" w:cs="宋体"/>
          <w:spacing w:val="-11"/>
          <w:sz w:val="22"/>
          <w:szCs w:val="22"/>
        </w:rPr>
        <w:t>UL</w:t>
      </w:r>
      <w:r>
        <w:rPr>
          <w:rFonts w:ascii="宋体" w:eastAsia="宋体" w:hAnsi="宋体" w:cs="宋体"/>
          <w:spacing w:val="34"/>
          <w:sz w:val="22"/>
          <w:szCs w:val="22"/>
        </w:rPr>
        <w:t xml:space="preserve"> </w:t>
      </w:r>
      <w:r>
        <w:rPr>
          <w:rFonts w:ascii="宋体" w:eastAsia="宋体" w:hAnsi="宋体" w:cs="宋体"/>
          <w:spacing w:val="-11"/>
          <w:sz w:val="22"/>
          <w:szCs w:val="22"/>
        </w:rPr>
        <w:t>定为20</w:t>
      </w:r>
      <w:r>
        <w:rPr>
          <w:rFonts w:ascii="宋体" w:eastAsia="宋体" w:hAnsi="宋体" w:cs="宋体"/>
          <w:spacing w:val="-12"/>
          <w:sz w:val="22"/>
          <w:szCs w:val="22"/>
        </w:rPr>
        <w:t>μg/d。</w:t>
      </w:r>
    </w:p>
    <w:p w:rsidR="00EA40A3" w:rsidRDefault="00E86C16">
      <w:pPr>
        <w:spacing w:before="58" w:line="255" w:lineRule="auto"/>
        <w:ind w:right="72" w:firstLine="460"/>
        <w:rPr>
          <w:rFonts w:ascii="宋体" w:eastAsia="宋体" w:hAnsi="宋体" w:cs="宋体"/>
          <w:sz w:val="22"/>
          <w:szCs w:val="22"/>
        </w:rPr>
      </w:pPr>
      <w:r>
        <w:rPr>
          <w:rFonts w:ascii="宋体" w:eastAsia="宋体" w:hAnsi="宋体" w:cs="宋体"/>
          <w:spacing w:val="-5"/>
          <w:sz w:val="22"/>
          <w:szCs w:val="22"/>
        </w:rPr>
        <w:t>富含维生素D</w:t>
      </w:r>
      <w:r>
        <w:rPr>
          <w:rFonts w:ascii="宋体" w:eastAsia="宋体" w:hAnsi="宋体" w:cs="宋体"/>
          <w:spacing w:val="-6"/>
          <w:sz w:val="22"/>
          <w:szCs w:val="22"/>
        </w:rPr>
        <w:t xml:space="preserve"> </w:t>
      </w:r>
      <w:r>
        <w:rPr>
          <w:rFonts w:ascii="宋体" w:eastAsia="宋体" w:hAnsi="宋体" w:cs="宋体"/>
          <w:spacing w:val="-5"/>
          <w:sz w:val="22"/>
          <w:szCs w:val="22"/>
        </w:rPr>
        <w:t>的食物很多，以海鱼肝中的维生素D</w:t>
      </w:r>
      <w:r>
        <w:rPr>
          <w:rFonts w:ascii="宋体" w:eastAsia="宋体" w:hAnsi="宋体" w:cs="宋体"/>
          <w:spacing w:val="-6"/>
          <w:sz w:val="22"/>
          <w:szCs w:val="22"/>
        </w:rPr>
        <w:t xml:space="preserve"> </w:t>
      </w:r>
      <w:r>
        <w:rPr>
          <w:rFonts w:ascii="宋体" w:eastAsia="宋体" w:hAnsi="宋体" w:cs="宋体"/>
          <w:spacing w:val="-5"/>
          <w:sz w:val="22"/>
          <w:szCs w:val="22"/>
        </w:rPr>
        <w:t>含</w:t>
      </w:r>
      <w:r>
        <w:rPr>
          <w:rFonts w:ascii="宋体" w:eastAsia="宋体" w:hAnsi="宋体" w:cs="宋体"/>
          <w:spacing w:val="-6"/>
          <w:sz w:val="22"/>
          <w:szCs w:val="22"/>
        </w:rPr>
        <w:t>量最为丰富，如100g</w:t>
      </w:r>
      <w:r>
        <w:rPr>
          <w:rFonts w:ascii="宋体" w:eastAsia="宋体" w:hAnsi="宋体" w:cs="宋体"/>
          <w:sz w:val="22"/>
          <w:szCs w:val="22"/>
        </w:rPr>
        <w:t xml:space="preserve"> </w:t>
      </w:r>
      <w:r>
        <w:rPr>
          <w:rFonts w:ascii="宋体" w:eastAsia="宋体" w:hAnsi="宋体" w:cs="宋体"/>
          <w:spacing w:val="4"/>
          <w:sz w:val="22"/>
          <w:szCs w:val="22"/>
        </w:rPr>
        <w:t>鲟、比目鱼及剑鱼肝中，分别含维生素</w:t>
      </w:r>
      <w:r>
        <w:rPr>
          <w:rFonts w:ascii="宋体" w:eastAsia="宋体" w:hAnsi="宋体" w:cs="宋体"/>
          <w:spacing w:val="-31"/>
          <w:sz w:val="22"/>
          <w:szCs w:val="22"/>
        </w:rPr>
        <w:t xml:space="preserve"> </w:t>
      </w:r>
      <w:r>
        <w:rPr>
          <w:rFonts w:ascii="宋体" w:eastAsia="宋体" w:hAnsi="宋体" w:cs="宋体"/>
          <w:spacing w:val="4"/>
          <w:sz w:val="22"/>
          <w:szCs w:val="22"/>
        </w:rPr>
        <w:t>D</w:t>
      </w:r>
      <w:r>
        <w:rPr>
          <w:rFonts w:ascii="Calibri" w:eastAsia="Calibri" w:hAnsi="Calibri" w:cs="Calibri"/>
          <w:spacing w:val="4"/>
          <w:sz w:val="22"/>
          <w:szCs w:val="22"/>
        </w:rPr>
        <w:t>₃</w:t>
      </w:r>
      <w:r>
        <w:rPr>
          <w:rFonts w:ascii="宋体" w:eastAsia="宋体" w:hAnsi="宋体" w:cs="宋体"/>
          <w:spacing w:val="4"/>
          <w:sz w:val="22"/>
          <w:szCs w:val="22"/>
        </w:rPr>
        <w:t>200～750μg、500～10000μg</w:t>
      </w:r>
      <w:r>
        <w:rPr>
          <w:rFonts w:ascii="宋体" w:eastAsia="宋体" w:hAnsi="宋体" w:cs="宋体"/>
          <w:spacing w:val="3"/>
          <w:sz w:val="22"/>
          <w:szCs w:val="22"/>
        </w:rPr>
        <w:t>、</w:t>
      </w:r>
      <w:r>
        <w:rPr>
          <w:rFonts w:ascii="宋体" w:eastAsia="宋体" w:hAnsi="宋体" w:cs="宋体"/>
          <w:sz w:val="22"/>
          <w:szCs w:val="22"/>
        </w:rPr>
        <w:t xml:space="preserve"> </w:t>
      </w:r>
      <w:r>
        <w:rPr>
          <w:rFonts w:ascii="宋体" w:eastAsia="宋体" w:hAnsi="宋体" w:cs="宋体"/>
          <w:spacing w:val="-10"/>
          <w:sz w:val="22"/>
          <w:szCs w:val="22"/>
        </w:rPr>
        <w:t>250000μg。</w:t>
      </w:r>
      <w:r>
        <w:rPr>
          <w:rFonts w:ascii="宋体" w:eastAsia="宋体" w:hAnsi="宋体" w:cs="宋体"/>
          <w:spacing w:val="-35"/>
          <w:sz w:val="22"/>
          <w:szCs w:val="22"/>
        </w:rPr>
        <w:t xml:space="preserve"> </w:t>
      </w:r>
      <w:r>
        <w:rPr>
          <w:rFonts w:ascii="宋体" w:eastAsia="宋体" w:hAnsi="宋体" w:cs="宋体"/>
          <w:spacing w:val="-10"/>
          <w:sz w:val="22"/>
          <w:szCs w:val="22"/>
        </w:rPr>
        <w:t>其他如鲱、鲑、沙丁鱼等含量较少；畜禽肝脏、瘦肉、蛋类(蛋黄)</w:t>
      </w:r>
      <w:r>
        <w:rPr>
          <w:rFonts w:ascii="宋体" w:eastAsia="宋体" w:hAnsi="宋体" w:cs="宋体"/>
          <w:sz w:val="22"/>
          <w:szCs w:val="22"/>
        </w:rPr>
        <w:t xml:space="preserve"> </w:t>
      </w:r>
      <w:r>
        <w:rPr>
          <w:rFonts w:ascii="宋体" w:eastAsia="宋体" w:hAnsi="宋体" w:cs="宋体"/>
          <w:spacing w:val="-15"/>
          <w:sz w:val="22"/>
          <w:szCs w:val="22"/>
        </w:rPr>
        <w:t>和奶类中也含有少量，</w:t>
      </w:r>
      <w:r>
        <w:rPr>
          <w:rFonts w:ascii="宋体" w:eastAsia="宋体" w:hAnsi="宋体" w:cs="宋体"/>
          <w:spacing w:val="53"/>
          <w:sz w:val="22"/>
          <w:szCs w:val="22"/>
        </w:rPr>
        <w:t xml:space="preserve"> </w:t>
      </w:r>
      <w:r>
        <w:rPr>
          <w:rFonts w:ascii="宋体" w:eastAsia="宋体" w:hAnsi="宋体" w:cs="宋体"/>
          <w:spacing w:val="-15"/>
          <w:sz w:val="22"/>
          <w:szCs w:val="22"/>
        </w:rPr>
        <w:t>一般每100g</w:t>
      </w:r>
      <w:r>
        <w:rPr>
          <w:rFonts w:ascii="宋体" w:eastAsia="宋体" w:hAnsi="宋体" w:cs="宋体"/>
          <w:spacing w:val="-58"/>
          <w:sz w:val="22"/>
          <w:szCs w:val="22"/>
        </w:rPr>
        <w:t xml:space="preserve"> </w:t>
      </w:r>
      <w:r>
        <w:rPr>
          <w:rFonts w:ascii="宋体" w:eastAsia="宋体" w:hAnsi="宋体" w:cs="宋体"/>
          <w:spacing w:val="-15"/>
          <w:sz w:val="22"/>
          <w:szCs w:val="22"/>
        </w:rPr>
        <w:t>在100</w:t>
      </w:r>
      <w:r>
        <w:rPr>
          <w:rFonts w:ascii="宋体" w:eastAsia="宋体" w:hAnsi="宋体" w:cs="宋体"/>
          <w:spacing w:val="-47"/>
          <w:sz w:val="22"/>
          <w:szCs w:val="22"/>
        </w:rPr>
        <w:t xml:space="preserve"> </w:t>
      </w:r>
      <w:r>
        <w:rPr>
          <w:rFonts w:ascii="宋体" w:eastAsia="宋体" w:hAnsi="宋体" w:cs="宋体"/>
          <w:spacing w:val="-15"/>
          <w:sz w:val="22"/>
          <w:szCs w:val="22"/>
        </w:rPr>
        <w:t>μg</w:t>
      </w:r>
      <w:r>
        <w:rPr>
          <w:rFonts w:ascii="宋体" w:eastAsia="宋体" w:hAnsi="宋体" w:cs="宋体"/>
          <w:spacing w:val="-48"/>
          <w:sz w:val="22"/>
          <w:szCs w:val="22"/>
        </w:rPr>
        <w:t xml:space="preserve"> </w:t>
      </w:r>
      <w:r>
        <w:rPr>
          <w:rFonts w:ascii="宋体" w:eastAsia="宋体" w:hAnsi="宋体" w:cs="宋体"/>
          <w:spacing w:val="-15"/>
          <w:sz w:val="22"/>
          <w:szCs w:val="22"/>
        </w:rPr>
        <w:t>以下，</w:t>
      </w:r>
      <w:r>
        <w:rPr>
          <w:rFonts w:ascii="宋体" w:eastAsia="宋体" w:hAnsi="宋体" w:cs="宋体"/>
          <w:spacing w:val="-16"/>
          <w:sz w:val="22"/>
          <w:szCs w:val="22"/>
        </w:rPr>
        <w:t>故许多国家在鲜奶和婴儿配</w:t>
      </w:r>
      <w:r>
        <w:rPr>
          <w:rFonts w:ascii="宋体" w:eastAsia="宋体" w:hAnsi="宋体" w:cs="宋体"/>
          <w:sz w:val="22"/>
          <w:szCs w:val="22"/>
        </w:rPr>
        <w:t xml:space="preserve"> </w:t>
      </w:r>
      <w:r>
        <w:rPr>
          <w:rFonts w:ascii="宋体" w:eastAsia="宋体" w:hAnsi="宋体" w:cs="宋体"/>
          <w:spacing w:val="-7"/>
          <w:sz w:val="22"/>
          <w:szCs w:val="22"/>
        </w:rPr>
        <w:t>方食品中强化维生素</w:t>
      </w:r>
      <w:r>
        <w:rPr>
          <w:rFonts w:ascii="宋体" w:eastAsia="宋体" w:hAnsi="宋体" w:cs="宋体"/>
          <w:spacing w:val="-48"/>
          <w:sz w:val="22"/>
          <w:szCs w:val="22"/>
        </w:rPr>
        <w:t xml:space="preserve"> </w:t>
      </w:r>
      <w:r>
        <w:rPr>
          <w:rFonts w:ascii="宋体" w:eastAsia="宋体" w:hAnsi="宋体" w:cs="宋体"/>
          <w:spacing w:val="-7"/>
          <w:sz w:val="22"/>
          <w:szCs w:val="22"/>
        </w:rPr>
        <w:t>D。</w:t>
      </w:r>
      <w:r>
        <w:rPr>
          <w:rFonts w:ascii="宋体" w:eastAsia="宋体" w:hAnsi="宋体" w:cs="宋体"/>
          <w:spacing w:val="-21"/>
          <w:sz w:val="22"/>
          <w:szCs w:val="22"/>
        </w:rPr>
        <w:t xml:space="preserve"> </w:t>
      </w:r>
      <w:r>
        <w:rPr>
          <w:rFonts w:ascii="宋体" w:eastAsia="宋体" w:hAnsi="宋体" w:cs="宋体"/>
          <w:spacing w:val="-7"/>
          <w:sz w:val="22"/>
          <w:szCs w:val="22"/>
        </w:rPr>
        <w:t>希望从食物中获得足够的维生素D</w:t>
      </w:r>
      <w:r>
        <w:rPr>
          <w:rFonts w:ascii="宋体" w:eastAsia="宋体" w:hAnsi="宋体" w:cs="宋体"/>
          <w:spacing w:val="-6"/>
          <w:sz w:val="22"/>
          <w:szCs w:val="22"/>
        </w:rPr>
        <w:t xml:space="preserve"> </w:t>
      </w:r>
      <w:r>
        <w:rPr>
          <w:rFonts w:ascii="宋体" w:eastAsia="宋体" w:hAnsi="宋体" w:cs="宋体"/>
          <w:spacing w:val="-7"/>
          <w:sz w:val="22"/>
          <w:szCs w:val="22"/>
        </w:rPr>
        <w:t>是不容易的，常晒</w:t>
      </w:r>
      <w:r>
        <w:rPr>
          <w:rFonts w:ascii="宋体" w:eastAsia="宋体" w:hAnsi="宋体" w:cs="宋体"/>
          <w:sz w:val="22"/>
          <w:szCs w:val="22"/>
        </w:rPr>
        <w:t xml:space="preserve"> </w:t>
      </w:r>
      <w:r>
        <w:rPr>
          <w:rFonts w:ascii="宋体" w:eastAsia="宋体" w:hAnsi="宋体" w:cs="宋体"/>
          <w:spacing w:val="-9"/>
          <w:sz w:val="22"/>
          <w:szCs w:val="22"/>
        </w:rPr>
        <w:t>太阳是人体获得充足有效的维生素</w:t>
      </w:r>
      <w:r>
        <w:rPr>
          <w:rFonts w:ascii="宋体" w:eastAsia="宋体" w:hAnsi="宋体" w:cs="宋体"/>
          <w:spacing w:val="-60"/>
          <w:sz w:val="22"/>
          <w:szCs w:val="22"/>
        </w:rPr>
        <w:t xml:space="preserve"> </w:t>
      </w:r>
      <w:r>
        <w:rPr>
          <w:rFonts w:ascii="宋体" w:eastAsia="宋体" w:hAnsi="宋体" w:cs="宋体"/>
          <w:spacing w:val="-9"/>
          <w:sz w:val="22"/>
          <w:szCs w:val="22"/>
        </w:rPr>
        <w:t>D</w:t>
      </w:r>
      <w:r>
        <w:rPr>
          <w:rFonts w:ascii="宋体" w:eastAsia="宋体" w:hAnsi="宋体" w:cs="宋体"/>
          <w:spacing w:val="-6"/>
          <w:sz w:val="22"/>
          <w:szCs w:val="22"/>
        </w:rPr>
        <w:t xml:space="preserve"> </w:t>
      </w:r>
      <w:r>
        <w:rPr>
          <w:rFonts w:ascii="宋体" w:eastAsia="宋体" w:hAnsi="宋体" w:cs="宋体"/>
          <w:spacing w:val="-9"/>
          <w:sz w:val="22"/>
          <w:szCs w:val="22"/>
        </w:rPr>
        <w:t>的最好来源，特别是婴幼儿、特殊的地面</w:t>
      </w:r>
      <w:r>
        <w:rPr>
          <w:rFonts w:ascii="宋体" w:eastAsia="宋体" w:hAnsi="宋体" w:cs="宋体"/>
          <w:sz w:val="22"/>
          <w:szCs w:val="22"/>
        </w:rPr>
        <w:t xml:space="preserve"> </w:t>
      </w:r>
      <w:r>
        <w:rPr>
          <w:rFonts w:ascii="宋体" w:eastAsia="宋体" w:hAnsi="宋体" w:cs="宋体"/>
          <w:spacing w:val="-20"/>
          <w:sz w:val="22"/>
          <w:szCs w:val="22"/>
        </w:rPr>
        <w:t>下工作人员。</w:t>
      </w:r>
    </w:p>
    <w:p w:rsidR="00EA40A3" w:rsidRDefault="00E86C16">
      <w:pPr>
        <w:spacing w:before="226" w:line="223" w:lineRule="auto"/>
        <w:ind w:left="3"/>
        <w:outlineLvl w:val="6"/>
        <w:rPr>
          <w:rFonts w:ascii="黑体" w:eastAsia="黑体" w:hAnsi="黑体" w:cs="黑体"/>
          <w:sz w:val="26"/>
          <w:szCs w:val="26"/>
        </w:rPr>
      </w:pPr>
      <w:r>
        <w:rPr>
          <w:rFonts w:ascii="黑体" w:eastAsia="黑体" w:hAnsi="黑体" w:cs="黑体"/>
          <w:b/>
          <w:bCs/>
          <w:spacing w:val="-11"/>
          <w:sz w:val="26"/>
          <w:szCs w:val="26"/>
        </w:rPr>
        <w:t>4.2.4</w:t>
      </w:r>
      <w:r>
        <w:rPr>
          <w:rFonts w:ascii="黑体" w:eastAsia="黑体" w:hAnsi="黑体" w:cs="黑体"/>
          <w:spacing w:val="103"/>
          <w:sz w:val="26"/>
          <w:szCs w:val="26"/>
        </w:rPr>
        <w:t xml:space="preserve"> </w:t>
      </w:r>
      <w:r>
        <w:rPr>
          <w:rFonts w:ascii="黑体" w:eastAsia="黑体" w:hAnsi="黑体" w:cs="黑体"/>
          <w:b/>
          <w:bCs/>
          <w:spacing w:val="-11"/>
          <w:sz w:val="26"/>
          <w:szCs w:val="26"/>
        </w:rPr>
        <w:t>维生素E</w:t>
      </w:r>
    </w:p>
    <w:p w:rsidR="00EA40A3" w:rsidRDefault="00E86C16">
      <w:pPr>
        <w:spacing w:before="263" w:line="220"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36"/>
          <w:sz w:val="22"/>
          <w:szCs w:val="22"/>
        </w:rPr>
        <w:t xml:space="preserve"> </w:t>
      </w:r>
      <w:r>
        <w:rPr>
          <w:rFonts w:ascii="仿宋" w:eastAsia="仿宋" w:hAnsi="仿宋" w:cs="仿宋"/>
          <w:spacing w:val="13"/>
          <w:sz w:val="22"/>
          <w:szCs w:val="22"/>
        </w:rPr>
        <w:t>维生素E</w:t>
      </w:r>
      <w:r>
        <w:rPr>
          <w:rFonts w:ascii="仿宋" w:eastAsia="仿宋" w:hAnsi="仿宋" w:cs="仿宋"/>
          <w:spacing w:val="15"/>
          <w:sz w:val="22"/>
          <w:szCs w:val="22"/>
        </w:rPr>
        <w:t xml:space="preserve"> </w:t>
      </w:r>
      <w:r>
        <w:rPr>
          <w:rFonts w:ascii="仿宋" w:eastAsia="仿宋" w:hAnsi="仿宋" w:cs="仿宋"/>
          <w:spacing w:val="13"/>
          <w:sz w:val="22"/>
          <w:szCs w:val="22"/>
        </w:rPr>
        <w:t>的理化性质</w:t>
      </w:r>
    </w:p>
    <w:p w:rsidR="00EA40A3" w:rsidRDefault="00E86C16">
      <w:pPr>
        <w:spacing w:before="200" w:line="247" w:lineRule="auto"/>
        <w:ind w:firstLine="420"/>
        <w:jc w:val="both"/>
        <w:rPr>
          <w:rFonts w:ascii="宋体" w:eastAsia="宋体" w:hAnsi="宋体" w:cs="宋体"/>
          <w:sz w:val="22"/>
          <w:szCs w:val="22"/>
        </w:rPr>
      </w:pPr>
      <w:r>
        <w:rPr>
          <w:rFonts w:ascii="宋体" w:eastAsia="宋体" w:hAnsi="宋体" w:cs="宋体"/>
          <w:spacing w:val="-11"/>
          <w:sz w:val="22"/>
          <w:szCs w:val="22"/>
        </w:rPr>
        <w:t>维生素E</w:t>
      </w:r>
      <w:r>
        <w:rPr>
          <w:rFonts w:ascii="宋体" w:eastAsia="宋体" w:hAnsi="宋体" w:cs="宋体"/>
          <w:spacing w:val="-25"/>
          <w:sz w:val="22"/>
          <w:szCs w:val="22"/>
        </w:rPr>
        <w:t xml:space="preserve"> </w:t>
      </w:r>
      <w:r>
        <w:rPr>
          <w:rFonts w:ascii="宋体" w:eastAsia="宋体" w:hAnsi="宋体" w:cs="宋体"/>
          <w:spacing w:val="-11"/>
          <w:sz w:val="22"/>
          <w:szCs w:val="22"/>
        </w:rPr>
        <w:t>又名生育酚，目前自然界有8种，包括α、β、x与δ-生育酚，α</w:t>
      </w:r>
      <w:r>
        <w:rPr>
          <w:rFonts w:ascii="宋体" w:eastAsia="宋体" w:hAnsi="宋体" w:cs="宋体"/>
          <w:spacing w:val="-12"/>
          <w:sz w:val="22"/>
          <w:szCs w:val="22"/>
        </w:rPr>
        <w:t>、</w:t>
      </w:r>
      <w:r>
        <w:rPr>
          <w:rFonts w:ascii="宋体" w:eastAsia="宋体" w:hAnsi="宋体" w:cs="宋体"/>
          <w:sz w:val="22"/>
          <w:szCs w:val="22"/>
        </w:rPr>
        <w:t xml:space="preserve"> </w:t>
      </w:r>
      <w:r>
        <w:rPr>
          <w:rFonts w:ascii="宋体" w:eastAsia="宋体" w:hAnsi="宋体" w:cs="宋体"/>
          <w:spacing w:val="-12"/>
          <w:sz w:val="22"/>
          <w:szCs w:val="22"/>
        </w:rPr>
        <w:t>β、γ和δ三烯生育酚，它们都具有活性，其中α生育酚的生物活性最大。维</w:t>
      </w:r>
      <w:r>
        <w:rPr>
          <w:rFonts w:ascii="宋体" w:eastAsia="宋体" w:hAnsi="宋体" w:cs="宋体"/>
          <w:spacing w:val="-13"/>
          <w:sz w:val="22"/>
          <w:szCs w:val="22"/>
        </w:rPr>
        <w:t>生</w:t>
      </w:r>
      <w:r>
        <w:rPr>
          <w:rFonts w:ascii="宋体" w:eastAsia="宋体" w:hAnsi="宋体" w:cs="宋体"/>
          <w:sz w:val="22"/>
          <w:szCs w:val="22"/>
        </w:rPr>
        <w:t xml:space="preserve">  </w:t>
      </w:r>
      <w:r>
        <w:rPr>
          <w:rFonts w:ascii="宋体" w:eastAsia="宋体" w:hAnsi="宋体" w:cs="宋体"/>
          <w:spacing w:val="-10"/>
          <w:sz w:val="22"/>
          <w:szCs w:val="22"/>
        </w:rPr>
        <w:t>素</w:t>
      </w:r>
      <w:r>
        <w:rPr>
          <w:rFonts w:ascii="宋体" w:eastAsia="宋体" w:hAnsi="宋体" w:cs="宋体"/>
          <w:spacing w:val="-48"/>
          <w:sz w:val="22"/>
          <w:szCs w:val="22"/>
        </w:rPr>
        <w:t xml:space="preserve"> </w:t>
      </w:r>
      <w:r>
        <w:rPr>
          <w:rFonts w:ascii="宋体" w:eastAsia="宋体" w:hAnsi="宋体" w:cs="宋体"/>
          <w:spacing w:val="-10"/>
          <w:sz w:val="22"/>
          <w:szCs w:val="22"/>
        </w:rPr>
        <w:t>E</w:t>
      </w:r>
      <w:r>
        <w:rPr>
          <w:rFonts w:ascii="宋体" w:eastAsia="宋体" w:hAnsi="宋体" w:cs="宋体"/>
          <w:spacing w:val="-34"/>
          <w:sz w:val="22"/>
          <w:szCs w:val="22"/>
        </w:rPr>
        <w:t xml:space="preserve"> </w:t>
      </w:r>
      <w:r>
        <w:rPr>
          <w:rFonts w:ascii="宋体" w:eastAsia="宋体" w:hAnsi="宋体" w:cs="宋体"/>
          <w:spacing w:val="-10"/>
          <w:sz w:val="22"/>
          <w:szCs w:val="22"/>
        </w:rPr>
        <w:t>结构见图4-8。</w:t>
      </w:r>
    </w:p>
    <w:p w:rsidR="00EA40A3" w:rsidRDefault="00E86C16">
      <w:pPr>
        <w:spacing w:before="94"/>
        <w:ind w:right="126"/>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127</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959" w:bottom="400" w:left="879" w:header="0" w:footer="0" w:gutter="0"/>
          <w:cols w:space="720"/>
        </w:sectPr>
      </w:pPr>
    </w:p>
    <w:p w:rsidR="00EA40A3" w:rsidRDefault="00EA40A3">
      <w:pPr>
        <w:spacing w:line="255" w:lineRule="auto"/>
      </w:pPr>
    </w:p>
    <w:p w:rsidR="00EA40A3" w:rsidRDefault="00EA40A3">
      <w:pPr>
        <w:spacing w:line="255" w:lineRule="auto"/>
      </w:pPr>
    </w:p>
    <w:p w:rsidR="00EA40A3" w:rsidRDefault="00EA40A3">
      <w:pPr>
        <w:spacing w:line="255" w:lineRule="auto"/>
      </w:pPr>
    </w:p>
    <w:p w:rsidR="00EA40A3" w:rsidRDefault="00E86C16">
      <w:pPr>
        <w:spacing w:line="860" w:lineRule="exact"/>
        <w:ind w:firstLine="1700"/>
        <w:textAlignment w:val="center"/>
      </w:pPr>
      <w:r>
        <w:rPr>
          <w:noProof/>
        </w:rPr>
        <w:drawing>
          <wp:inline distT="0" distB="0" distL="0" distR="0">
            <wp:extent cx="2450465" cy="54610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00"/>
                    <a:stretch>
                      <a:fillRect/>
                    </a:stretch>
                  </pic:blipFill>
                  <pic:spPr>
                    <a:xfrm>
                      <a:off x="0" y="0"/>
                      <a:ext cx="2451069" cy="546174"/>
                    </a:xfrm>
                    <a:prstGeom prst="rect">
                      <a:avLst/>
                    </a:prstGeom>
                  </pic:spPr>
                </pic:pic>
              </a:graphicData>
            </a:graphic>
          </wp:inline>
        </w:drawing>
      </w:r>
    </w:p>
    <w:p w:rsidR="00EA40A3" w:rsidRDefault="00E86C16">
      <w:pPr>
        <w:spacing w:before="36" w:line="212" w:lineRule="auto"/>
        <w:ind w:left="3460"/>
        <w:rPr>
          <w:rFonts w:ascii="宋体" w:eastAsia="宋体" w:hAnsi="宋体" w:cs="宋体"/>
          <w:sz w:val="16"/>
          <w:szCs w:val="16"/>
        </w:rPr>
      </w:pPr>
      <w:r>
        <w:rPr>
          <w:rFonts w:ascii="宋体" w:eastAsia="宋体" w:hAnsi="宋体" w:cs="宋体"/>
          <w:spacing w:val="-5"/>
          <w:sz w:val="16"/>
          <w:szCs w:val="16"/>
        </w:rPr>
        <w:t>生育酚结构</w:t>
      </w:r>
    </w:p>
    <w:p w:rsidR="00EA40A3" w:rsidRDefault="00E86C16">
      <w:pPr>
        <w:spacing w:line="789" w:lineRule="exact"/>
        <w:ind w:firstLine="1750"/>
        <w:textAlignment w:val="center"/>
      </w:pPr>
      <w:r>
        <w:rPr>
          <w:noProof/>
        </w:rPr>
        <w:drawing>
          <wp:inline distT="0" distB="0" distL="0" distR="0">
            <wp:extent cx="2450465" cy="501015"/>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01"/>
                    <a:stretch>
                      <a:fillRect/>
                    </a:stretch>
                  </pic:blipFill>
                  <pic:spPr>
                    <a:xfrm>
                      <a:off x="0" y="0"/>
                      <a:ext cx="2451069" cy="501636"/>
                    </a:xfrm>
                    <a:prstGeom prst="rect">
                      <a:avLst/>
                    </a:prstGeom>
                  </pic:spPr>
                </pic:pic>
              </a:graphicData>
            </a:graphic>
          </wp:inline>
        </w:drawing>
      </w:r>
    </w:p>
    <w:p w:rsidR="00EA40A3" w:rsidRDefault="00E86C16">
      <w:pPr>
        <w:spacing w:before="26" w:line="209" w:lineRule="auto"/>
        <w:ind w:left="2300"/>
        <w:rPr>
          <w:rFonts w:ascii="宋体" w:eastAsia="宋体" w:hAnsi="宋体" w:cs="宋体"/>
          <w:sz w:val="16"/>
          <w:szCs w:val="16"/>
        </w:rPr>
      </w:pPr>
      <w:r>
        <w:rPr>
          <w:rFonts w:ascii="宋体" w:eastAsia="宋体" w:hAnsi="宋体" w:cs="宋体"/>
          <w:spacing w:val="-1"/>
          <w:sz w:val="16"/>
          <w:szCs w:val="16"/>
        </w:rPr>
        <w:t>甲基的位置生育酚</w:t>
      </w:r>
      <w:r>
        <w:rPr>
          <w:rFonts w:ascii="宋体" w:eastAsia="宋体" w:hAnsi="宋体" w:cs="宋体"/>
          <w:spacing w:val="-25"/>
          <w:sz w:val="16"/>
          <w:szCs w:val="16"/>
        </w:rPr>
        <w:t xml:space="preserve"> </w:t>
      </w:r>
      <w:r>
        <w:rPr>
          <w:rFonts w:ascii="宋体" w:eastAsia="宋体" w:hAnsi="宋体" w:cs="宋体"/>
          <w:spacing w:val="-1"/>
          <w:sz w:val="16"/>
          <w:szCs w:val="16"/>
        </w:rPr>
        <w:t>(T)</w:t>
      </w:r>
      <w:r>
        <w:rPr>
          <w:rFonts w:ascii="宋体" w:eastAsia="宋体" w:hAnsi="宋体" w:cs="宋体"/>
          <w:spacing w:val="75"/>
          <w:sz w:val="16"/>
          <w:szCs w:val="16"/>
        </w:rPr>
        <w:t xml:space="preserve"> </w:t>
      </w:r>
      <w:r>
        <w:rPr>
          <w:rFonts w:ascii="宋体" w:eastAsia="宋体" w:hAnsi="宋体" w:cs="宋体"/>
          <w:spacing w:val="-1"/>
          <w:sz w:val="16"/>
          <w:szCs w:val="16"/>
        </w:rPr>
        <w:t>生育三烯醇(T-3)</w:t>
      </w:r>
    </w:p>
    <w:p w:rsidR="00EA40A3" w:rsidRDefault="00E86C16">
      <w:pPr>
        <w:spacing w:line="177" w:lineRule="auto"/>
        <w:ind w:left="2550"/>
        <w:rPr>
          <w:rFonts w:ascii="Times New Roman" w:eastAsia="Times New Roman" w:hAnsi="Times New Roman" w:cs="Times New Roman"/>
          <w:sz w:val="18"/>
          <w:szCs w:val="18"/>
        </w:rPr>
      </w:pPr>
      <w:r>
        <w:rPr>
          <w:rFonts w:ascii="宋体" w:eastAsia="宋体" w:hAnsi="宋体" w:cs="宋体"/>
          <w:spacing w:val="-8"/>
          <w:sz w:val="15"/>
          <w:szCs w:val="15"/>
        </w:rPr>
        <w:t>5,7,8</w:t>
      </w:r>
      <w:r>
        <w:rPr>
          <w:rFonts w:ascii="宋体" w:eastAsia="宋体" w:hAnsi="宋体" w:cs="宋体"/>
          <w:spacing w:val="3"/>
          <w:sz w:val="15"/>
          <w:szCs w:val="15"/>
        </w:rPr>
        <w:t xml:space="preserve">       </w:t>
      </w:r>
      <w:r>
        <w:rPr>
          <w:rFonts w:ascii="Times New Roman" w:eastAsia="Times New Roman" w:hAnsi="Times New Roman" w:cs="Times New Roman"/>
          <w:spacing w:val="-8"/>
          <w:sz w:val="15"/>
          <w:szCs w:val="15"/>
        </w:rPr>
        <w:t>α</w:t>
      </w:r>
      <w:r>
        <w:rPr>
          <w:rFonts w:ascii="Times New Roman" w:eastAsia="Times New Roman" w:hAnsi="Times New Roman" w:cs="Times New Roman"/>
          <w:spacing w:val="27"/>
          <w:sz w:val="15"/>
          <w:szCs w:val="15"/>
          <w:u w:val="single"/>
        </w:rPr>
        <w:t xml:space="preserve"> </w:t>
      </w:r>
      <w:r>
        <w:rPr>
          <w:rFonts w:ascii="Times New Roman" w:eastAsia="Times New Roman" w:hAnsi="Times New Roman" w:cs="Times New Roman"/>
          <w:spacing w:val="-8"/>
          <w:sz w:val="15"/>
          <w:szCs w:val="15"/>
        </w:rPr>
        <w:t>T</w:t>
      </w:r>
      <w:r>
        <w:rPr>
          <w:rFonts w:ascii="Times New Roman" w:eastAsia="Times New Roman" w:hAnsi="Times New Roman" w:cs="Times New Roman"/>
          <w:spacing w:val="1"/>
          <w:sz w:val="15"/>
          <w:szCs w:val="15"/>
        </w:rPr>
        <w:t xml:space="preserve">                      </w:t>
      </w:r>
      <w:r>
        <w:rPr>
          <w:rFonts w:ascii="Times New Roman" w:eastAsia="Times New Roman" w:hAnsi="Times New Roman" w:cs="Times New Roman"/>
          <w:spacing w:val="-8"/>
          <w:sz w:val="18"/>
          <w:szCs w:val="18"/>
        </w:rPr>
        <w:t>α-T-3</w:t>
      </w:r>
    </w:p>
    <w:p w:rsidR="00EA40A3" w:rsidRDefault="00E86C16">
      <w:pPr>
        <w:spacing w:line="198" w:lineRule="auto"/>
        <w:ind w:left="2550"/>
        <w:rPr>
          <w:rFonts w:ascii="Times New Roman" w:eastAsia="Times New Roman" w:hAnsi="Times New Roman" w:cs="Times New Roman"/>
          <w:sz w:val="22"/>
          <w:szCs w:val="22"/>
        </w:rPr>
      </w:pPr>
      <w:r>
        <w:rPr>
          <w:rFonts w:ascii="宋体" w:eastAsia="宋体" w:hAnsi="宋体" w:cs="宋体"/>
          <w:spacing w:val="-14"/>
          <w:w w:val="96"/>
          <w:position w:val="-1"/>
          <w:sz w:val="15"/>
          <w:szCs w:val="15"/>
        </w:rPr>
        <w:t>5.8</w:t>
      </w:r>
      <w:r>
        <w:rPr>
          <w:rFonts w:ascii="宋体" w:eastAsia="宋体" w:hAnsi="宋体" w:cs="宋体"/>
          <w:spacing w:val="8"/>
          <w:position w:val="-1"/>
          <w:sz w:val="15"/>
          <w:szCs w:val="15"/>
        </w:rPr>
        <w:t xml:space="preserve">        </w:t>
      </w:r>
      <w:r>
        <w:rPr>
          <w:rFonts w:ascii="Times New Roman" w:eastAsia="Times New Roman" w:hAnsi="Times New Roman" w:cs="Times New Roman"/>
          <w:spacing w:val="-14"/>
          <w:w w:val="96"/>
          <w:sz w:val="22"/>
          <w:szCs w:val="22"/>
        </w:rPr>
        <w:t>β-T</w:t>
      </w:r>
      <w:r>
        <w:rPr>
          <w:rFonts w:ascii="Times New Roman" w:eastAsia="Times New Roman" w:hAnsi="Times New Roman" w:cs="Times New Roman"/>
          <w:sz w:val="22"/>
          <w:szCs w:val="22"/>
        </w:rPr>
        <w:t xml:space="preserve">               </w:t>
      </w:r>
      <w:r>
        <w:rPr>
          <w:rFonts w:ascii="Times New Roman" w:eastAsia="Times New Roman" w:hAnsi="Times New Roman" w:cs="Times New Roman"/>
          <w:spacing w:val="-14"/>
          <w:w w:val="96"/>
          <w:sz w:val="22"/>
          <w:szCs w:val="22"/>
        </w:rPr>
        <w:t>β-T-3</w:t>
      </w:r>
    </w:p>
    <w:p w:rsidR="00EA40A3" w:rsidRDefault="00E86C16">
      <w:pPr>
        <w:spacing w:before="1" w:line="181" w:lineRule="auto"/>
        <w:ind w:left="2550"/>
        <w:rPr>
          <w:rFonts w:ascii="Times New Roman" w:eastAsia="Times New Roman" w:hAnsi="Times New Roman" w:cs="Times New Roman"/>
          <w:sz w:val="22"/>
          <w:szCs w:val="22"/>
        </w:rPr>
      </w:pPr>
      <w:r>
        <w:rPr>
          <w:rFonts w:ascii="宋体" w:eastAsia="宋体" w:hAnsi="宋体" w:cs="宋体"/>
          <w:spacing w:val="-11"/>
          <w:w w:val="85"/>
          <w:sz w:val="18"/>
          <w:szCs w:val="18"/>
        </w:rPr>
        <w:t>7,8</w:t>
      </w:r>
      <w:r>
        <w:rPr>
          <w:rFonts w:ascii="宋体" w:eastAsia="宋体" w:hAnsi="宋体" w:cs="宋体"/>
          <w:spacing w:val="5"/>
          <w:sz w:val="18"/>
          <w:szCs w:val="18"/>
        </w:rPr>
        <w:t xml:space="preserve">       </w:t>
      </w:r>
      <w:r>
        <w:rPr>
          <w:rFonts w:ascii="Times New Roman" w:eastAsia="Times New Roman" w:hAnsi="Times New Roman" w:cs="Times New Roman"/>
          <w:spacing w:val="-11"/>
          <w:w w:val="85"/>
          <w:sz w:val="22"/>
          <w:szCs w:val="22"/>
        </w:rPr>
        <w:t>γ-T</w:t>
      </w:r>
      <w:r>
        <w:rPr>
          <w:rFonts w:ascii="Times New Roman" w:eastAsia="Times New Roman" w:hAnsi="Times New Roman" w:cs="Times New Roman"/>
          <w:spacing w:val="3"/>
          <w:sz w:val="22"/>
          <w:szCs w:val="22"/>
        </w:rPr>
        <w:t xml:space="preserve">               </w:t>
      </w:r>
      <w:r>
        <w:rPr>
          <w:rFonts w:ascii="Times New Roman" w:eastAsia="Times New Roman" w:hAnsi="Times New Roman" w:cs="Times New Roman"/>
          <w:spacing w:val="-11"/>
          <w:w w:val="85"/>
          <w:sz w:val="22"/>
          <w:szCs w:val="22"/>
        </w:rPr>
        <w:t>γ-T-3</w:t>
      </w:r>
    </w:p>
    <w:p w:rsidR="00EA40A3" w:rsidRDefault="00E86C16">
      <w:pPr>
        <w:spacing w:before="22" w:line="195" w:lineRule="auto"/>
        <w:ind w:left="2550"/>
        <w:rPr>
          <w:rFonts w:ascii="Times New Roman" w:eastAsia="Times New Roman" w:hAnsi="Times New Roman" w:cs="Times New Roman"/>
          <w:sz w:val="15"/>
          <w:szCs w:val="15"/>
        </w:rPr>
      </w:pPr>
      <w:r>
        <w:rPr>
          <w:rFonts w:ascii="宋体" w:eastAsia="宋体" w:hAnsi="宋体" w:cs="宋体"/>
          <w:spacing w:val="2"/>
          <w:sz w:val="10"/>
          <w:szCs w:val="10"/>
        </w:rPr>
        <w:t>8</w:t>
      </w:r>
      <w:r>
        <w:rPr>
          <w:rFonts w:ascii="宋体" w:eastAsia="宋体" w:hAnsi="宋体" w:cs="宋体"/>
          <w:spacing w:val="3"/>
          <w:sz w:val="10"/>
          <w:szCs w:val="10"/>
        </w:rPr>
        <w:t xml:space="preserve">               </w:t>
      </w:r>
      <w:r>
        <w:rPr>
          <w:rFonts w:ascii="Times New Roman" w:eastAsia="Times New Roman" w:hAnsi="Times New Roman" w:cs="Times New Roman"/>
          <w:spacing w:val="2"/>
          <w:sz w:val="18"/>
          <w:szCs w:val="18"/>
        </w:rPr>
        <w:t>8-T</w:t>
      </w:r>
      <w:r>
        <w:rPr>
          <w:rFonts w:ascii="Times New Roman" w:eastAsia="Times New Roman" w:hAnsi="Times New Roman" w:cs="Times New Roman"/>
          <w:sz w:val="18"/>
          <w:szCs w:val="18"/>
        </w:rPr>
        <w:t xml:space="preserve">                  </w:t>
      </w:r>
      <w:r>
        <w:rPr>
          <w:rFonts w:ascii="Times New Roman" w:eastAsia="Times New Roman" w:hAnsi="Times New Roman" w:cs="Times New Roman"/>
          <w:spacing w:val="2"/>
          <w:sz w:val="15"/>
          <w:szCs w:val="15"/>
        </w:rPr>
        <w:t>δ-T-3</w:t>
      </w:r>
    </w:p>
    <w:p w:rsidR="00EA40A3" w:rsidRDefault="00E86C16">
      <w:pPr>
        <w:spacing w:before="261" w:line="219" w:lineRule="auto"/>
        <w:ind w:left="2220"/>
        <w:rPr>
          <w:rFonts w:ascii="宋体" w:eastAsia="宋体" w:hAnsi="宋体" w:cs="宋体"/>
          <w:sz w:val="19"/>
          <w:szCs w:val="19"/>
        </w:rPr>
      </w:pPr>
      <w:r>
        <w:rPr>
          <w:rFonts w:ascii="宋体" w:eastAsia="宋体" w:hAnsi="宋体" w:cs="宋体"/>
          <w:spacing w:val="-5"/>
          <w:sz w:val="19"/>
          <w:szCs w:val="19"/>
        </w:rPr>
        <w:t>图4-8</w:t>
      </w:r>
      <w:r>
        <w:rPr>
          <w:rFonts w:ascii="宋体" w:eastAsia="宋体" w:hAnsi="宋体" w:cs="宋体"/>
          <w:spacing w:val="57"/>
          <w:sz w:val="19"/>
          <w:szCs w:val="19"/>
        </w:rPr>
        <w:t xml:space="preserve"> </w:t>
      </w:r>
      <w:r>
        <w:rPr>
          <w:rFonts w:ascii="宋体" w:eastAsia="宋体" w:hAnsi="宋体" w:cs="宋体"/>
          <w:spacing w:val="-5"/>
          <w:sz w:val="19"/>
          <w:szCs w:val="19"/>
        </w:rPr>
        <w:t>8种自然界的维生素</w:t>
      </w:r>
      <w:r>
        <w:rPr>
          <w:rFonts w:ascii="宋体" w:eastAsia="宋体" w:hAnsi="宋体" w:cs="宋体"/>
          <w:spacing w:val="-54"/>
          <w:sz w:val="19"/>
          <w:szCs w:val="19"/>
        </w:rPr>
        <w:t xml:space="preserve"> </w:t>
      </w:r>
      <w:r>
        <w:rPr>
          <w:rFonts w:ascii="宋体" w:eastAsia="宋体" w:hAnsi="宋体" w:cs="宋体"/>
          <w:spacing w:val="-5"/>
          <w:sz w:val="19"/>
          <w:szCs w:val="19"/>
        </w:rPr>
        <w:t>E</w:t>
      </w:r>
      <w:r>
        <w:rPr>
          <w:rFonts w:ascii="宋体" w:eastAsia="宋体" w:hAnsi="宋体" w:cs="宋体"/>
          <w:spacing w:val="-25"/>
          <w:sz w:val="19"/>
          <w:szCs w:val="19"/>
        </w:rPr>
        <w:t xml:space="preserve"> </w:t>
      </w:r>
      <w:r>
        <w:rPr>
          <w:rFonts w:ascii="宋体" w:eastAsia="宋体" w:hAnsi="宋体" w:cs="宋体"/>
          <w:spacing w:val="-5"/>
          <w:sz w:val="19"/>
          <w:szCs w:val="19"/>
        </w:rPr>
        <w:t>的构造</w:t>
      </w:r>
    </w:p>
    <w:p w:rsidR="00EA40A3" w:rsidRDefault="00E86C16">
      <w:pPr>
        <w:spacing w:before="305" w:line="234" w:lineRule="auto"/>
        <w:ind w:firstLine="450"/>
        <w:rPr>
          <w:rFonts w:ascii="宋体" w:eastAsia="宋体" w:hAnsi="宋体" w:cs="宋体"/>
          <w:sz w:val="23"/>
          <w:szCs w:val="23"/>
        </w:rPr>
      </w:pPr>
      <w:r>
        <w:rPr>
          <w:rFonts w:ascii="宋体" w:eastAsia="宋体" w:hAnsi="宋体" w:cs="宋体"/>
          <w:spacing w:val="-21"/>
          <w:sz w:val="23"/>
          <w:szCs w:val="23"/>
        </w:rPr>
        <w:t>维生素</w:t>
      </w:r>
      <w:r>
        <w:rPr>
          <w:rFonts w:ascii="宋体" w:eastAsia="宋体" w:hAnsi="宋体" w:cs="宋体"/>
          <w:spacing w:val="-55"/>
          <w:sz w:val="23"/>
          <w:szCs w:val="23"/>
        </w:rPr>
        <w:t xml:space="preserve"> </w:t>
      </w:r>
      <w:r>
        <w:rPr>
          <w:rFonts w:ascii="宋体" w:eastAsia="宋体" w:hAnsi="宋体" w:cs="宋体"/>
          <w:spacing w:val="-21"/>
          <w:sz w:val="23"/>
          <w:szCs w:val="23"/>
        </w:rPr>
        <w:t>E</w:t>
      </w:r>
      <w:r>
        <w:rPr>
          <w:rFonts w:ascii="宋体" w:eastAsia="宋体" w:hAnsi="宋体" w:cs="宋体"/>
          <w:spacing w:val="-34"/>
          <w:sz w:val="23"/>
          <w:szCs w:val="23"/>
        </w:rPr>
        <w:t xml:space="preserve"> </w:t>
      </w:r>
      <w:r>
        <w:rPr>
          <w:rFonts w:ascii="宋体" w:eastAsia="宋体" w:hAnsi="宋体" w:cs="宋体"/>
          <w:spacing w:val="-21"/>
          <w:sz w:val="23"/>
          <w:szCs w:val="23"/>
        </w:rPr>
        <w:t>是浅黄色油状液体，溶于乙醇、脂肪与脂溶剂，不溶于水，对酸、</w:t>
      </w:r>
      <w:r>
        <w:rPr>
          <w:rFonts w:ascii="宋体" w:eastAsia="宋体" w:hAnsi="宋体" w:cs="宋体"/>
          <w:sz w:val="23"/>
          <w:szCs w:val="23"/>
        </w:rPr>
        <w:t xml:space="preserve"> </w:t>
      </w:r>
      <w:r>
        <w:rPr>
          <w:rFonts w:ascii="宋体" w:eastAsia="宋体" w:hAnsi="宋体" w:cs="宋体"/>
          <w:spacing w:val="-20"/>
          <w:sz w:val="23"/>
          <w:szCs w:val="23"/>
        </w:rPr>
        <w:t>热稳定，遇碱不稳定，易发生氧化，油脂酸败可加速维生素E</w:t>
      </w:r>
      <w:r>
        <w:rPr>
          <w:rFonts w:ascii="宋体" w:eastAsia="宋体" w:hAnsi="宋体" w:cs="宋体"/>
          <w:spacing w:val="-34"/>
          <w:sz w:val="23"/>
          <w:szCs w:val="23"/>
        </w:rPr>
        <w:t xml:space="preserve"> </w:t>
      </w:r>
      <w:r>
        <w:rPr>
          <w:rFonts w:ascii="宋体" w:eastAsia="宋体" w:hAnsi="宋体" w:cs="宋体"/>
          <w:spacing w:val="-20"/>
          <w:sz w:val="23"/>
          <w:szCs w:val="23"/>
        </w:rPr>
        <w:t>的破坏。</w:t>
      </w:r>
    </w:p>
    <w:p w:rsidR="00EA40A3" w:rsidRDefault="00E86C16">
      <w:pPr>
        <w:spacing w:before="195" w:line="222" w:lineRule="auto"/>
        <w:rPr>
          <w:rFonts w:ascii="仿宋" w:eastAsia="仿宋" w:hAnsi="仿宋" w:cs="仿宋"/>
          <w:sz w:val="23"/>
          <w:szCs w:val="23"/>
        </w:rPr>
      </w:pPr>
      <w:r>
        <w:rPr>
          <w:rFonts w:ascii="仿宋" w:eastAsia="仿宋" w:hAnsi="仿宋" w:cs="仿宋"/>
          <w:spacing w:val="2"/>
          <w:sz w:val="23"/>
          <w:szCs w:val="23"/>
        </w:rPr>
        <w:t>2.</w:t>
      </w:r>
      <w:r>
        <w:rPr>
          <w:rFonts w:ascii="仿宋" w:eastAsia="仿宋" w:hAnsi="仿宋" w:cs="仿宋"/>
          <w:spacing w:val="-29"/>
          <w:sz w:val="23"/>
          <w:szCs w:val="23"/>
        </w:rPr>
        <w:t xml:space="preserve"> </w:t>
      </w:r>
      <w:r>
        <w:rPr>
          <w:rFonts w:ascii="仿宋" w:eastAsia="仿宋" w:hAnsi="仿宋" w:cs="仿宋"/>
          <w:spacing w:val="2"/>
          <w:sz w:val="23"/>
          <w:szCs w:val="23"/>
        </w:rPr>
        <w:t>维生素E</w:t>
      </w:r>
      <w:r>
        <w:rPr>
          <w:rFonts w:ascii="仿宋" w:eastAsia="仿宋" w:hAnsi="仿宋" w:cs="仿宋"/>
          <w:spacing w:val="25"/>
          <w:sz w:val="23"/>
          <w:szCs w:val="23"/>
        </w:rPr>
        <w:t xml:space="preserve"> </w:t>
      </w:r>
      <w:r>
        <w:rPr>
          <w:rFonts w:ascii="仿宋" w:eastAsia="仿宋" w:hAnsi="仿宋" w:cs="仿宋"/>
          <w:spacing w:val="2"/>
          <w:sz w:val="23"/>
          <w:szCs w:val="23"/>
        </w:rPr>
        <w:t>的代谢</w:t>
      </w:r>
    </w:p>
    <w:p w:rsidR="00EA40A3" w:rsidRDefault="00E86C16">
      <w:pPr>
        <w:spacing w:before="157"/>
        <w:ind w:right="62" w:firstLine="450"/>
        <w:jc w:val="both"/>
        <w:rPr>
          <w:rFonts w:ascii="宋体" w:eastAsia="宋体" w:hAnsi="宋体" w:cs="宋体"/>
          <w:sz w:val="23"/>
          <w:szCs w:val="23"/>
        </w:rPr>
      </w:pPr>
      <w:r>
        <w:rPr>
          <w:rFonts w:ascii="宋体" w:eastAsia="宋体" w:hAnsi="宋体" w:cs="宋体"/>
          <w:spacing w:val="-15"/>
          <w:sz w:val="23"/>
          <w:szCs w:val="23"/>
        </w:rPr>
        <w:t>膳食中维生素E</w:t>
      </w:r>
      <w:r>
        <w:rPr>
          <w:rFonts w:ascii="宋体" w:eastAsia="宋体" w:hAnsi="宋体" w:cs="宋体"/>
          <w:spacing w:val="-21"/>
          <w:sz w:val="23"/>
          <w:szCs w:val="23"/>
        </w:rPr>
        <w:t xml:space="preserve"> </w:t>
      </w:r>
      <w:r>
        <w:rPr>
          <w:rFonts w:ascii="宋体" w:eastAsia="宋体" w:hAnsi="宋体" w:cs="宋体"/>
          <w:spacing w:val="-15"/>
          <w:sz w:val="23"/>
          <w:szCs w:val="23"/>
        </w:rPr>
        <w:t>主要由α和y-生育酚组成，在正常情况下，维生素</w:t>
      </w:r>
      <w:r>
        <w:rPr>
          <w:rFonts w:ascii="宋体" w:eastAsia="宋体" w:hAnsi="宋体" w:cs="宋体"/>
          <w:spacing w:val="-65"/>
          <w:sz w:val="23"/>
          <w:szCs w:val="23"/>
        </w:rPr>
        <w:t xml:space="preserve"> </w:t>
      </w:r>
      <w:r>
        <w:rPr>
          <w:rFonts w:ascii="宋体" w:eastAsia="宋体" w:hAnsi="宋体" w:cs="宋体"/>
          <w:spacing w:val="-15"/>
          <w:sz w:val="23"/>
          <w:szCs w:val="23"/>
        </w:rPr>
        <w:t>E</w:t>
      </w:r>
      <w:r>
        <w:rPr>
          <w:rFonts w:ascii="宋体" w:eastAsia="宋体" w:hAnsi="宋体" w:cs="宋体"/>
          <w:spacing w:val="-34"/>
          <w:sz w:val="23"/>
          <w:szCs w:val="23"/>
        </w:rPr>
        <w:t xml:space="preserve"> </w:t>
      </w:r>
      <w:r>
        <w:rPr>
          <w:rFonts w:ascii="宋体" w:eastAsia="宋体" w:hAnsi="宋体" w:cs="宋体"/>
          <w:spacing w:val="-15"/>
          <w:sz w:val="23"/>
          <w:szCs w:val="23"/>
        </w:rPr>
        <w:t>及其</w:t>
      </w:r>
      <w:r>
        <w:rPr>
          <w:rFonts w:ascii="宋体" w:eastAsia="宋体" w:hAnsi="宋体" w:cs="宋体"/>
          <w:sz w:val="23"/>
          <w:szCs w:val="23"/>
        </w:rPr>
        <w:t xml:space="preserve"> </w:t>
      </w:r>
      <w:r>
        <w:rPr>
          <w:rFonts w:ascii="宋体" w:eastAsia="宋体" w:hAnsi="宋体" w:cs="宋体"/>
          <w:spacing w:val="-11"/>
          <w:sz w:val="23"/>
          <w:szCs w:val="23"/>
        </w:rPr>
        <w:t>酯的吸收率仅占摄入量的20%～40%。由于维生素</w:t>
      </w:r>
      <w:r>
        <w:rPr>
          <w:rFonts w:ascii="宋体" w:eastAsia="宋体" w:hAnsi="宋体" w:cs="宋体"/>
          <w:spacing w:val="-48"/>
          <w:sz w:val="23"/>
          <w:szCs w:val="23"/>
        </w:rPr>
        <w:t xml:space="preserve"> </w:t>
      </w:r>
      <w:r>
        <w:rPr>
          <w:rFonts w:ascii="宋体" w:eastAsia="宋体" w:hAnsi="宋体" w:cs="宋体"/>
          <w:spacing w:val="-11"/>
          <w:sz w:val="23"/>
          <w:szCs w:val="23"/>
        </w:rPr>
        <w:t>E</w:t>
      </w:r>
      <w:r>
        <w:rPr>
          <w:rFonts w:ascii="宋体" w:eastAsia="宋体" w:hAnsi="宋体" w:cs="宋体"/>
          <w:spacing w:val="-13"/>
          <w:sz w:val="23"/>
          <w:szCs w:val="23"/>
        </w:rPr>
        <w:t xml:space="preserve"> </w:t>
      </w:r>
      <w:r>
        <w:rPr>
          <w:rFonts w:ascii="宋体" w:eastAsia="宋体" w:hAnsi="宋体" w:cs="宋体"/>
          <w:spacing w:val="-11"/>
          <w:sz w:val="23"/>
          <w:szCs w:val="23"/>
        </w:rPr>
        <w:t>的疏水性，它的吸收类似</w:t>
      </w:r>
      <w:r>
        <w:rPr>
          <w:rFonts w:ascii="宋体" w:eastAsia="宋体" w:hAnsi="宋体" w:cs="宋体"/>
          <w:sz w:val="23"/>
          <w:szCs w:val="23"/>
        </w:rPr>
        <w:t xml:space="preserve"> </w:t>
      </w:r>
      <w:r>
        <w:rPr>
          <w:rFonts w:ascii="宋体" w:eastAsia="宋体" w:hAnsi="宋体" w:cs="宋体"/>
          <w:spacing w:val="-16"/>
          <w:sz w:val="23"/>
          <w:szCs w:val="23"/>
        </w:rPr>
        <w:t>膳食脂肪，影响脂肪吸收的因素也影响其吸收。维生素E</w:t>
      </w:r>
      <w:r>
        <w:rPr>
          <w:rFonts w:ascii="宋体" w:eastAsia="宋体" w:hAnsi="宋体" w:cs="宋体"/>
          <w:spacing w:val="-24"/>
          <w:sz w:val="23"/>
          <w:szCs w:val="23"/>
        </w:rPr>
        <w:t xml:space="preserve"> </w:t>
      </w:r>
      <w:r>
        <w:rPr>
          <w:rFonts w:ascii="宋体" w:eastAsia="宋体" w:hAnsi="宋体" w:cs="宋体"/>
          <w:spacing w:val="-16"/>
          <w:sz w:val="23"/>
          <w:szCs w:val="23"/>
        </w:rPr>
        <w:t>酯在吸收前需</w:t>
      </w:r>
      <w:r>
        <w:rPr>
          <w:rFonts w:ascii="宋体" w:eastAsia="宋体" w:hAnsi="宋体" w:cs="宋体"/>
          <w:spacing w:val="-17"/>
          <w:sz w:val="23"/>
          <w:szCs w:val="23"/>
        </w:rPr>
        <w:t>先经胰</w:t>
      </w:r>
      <w:r>
        <w:rPr>
          <w:rFonts w:ascii="宋体" w:eastAsia="宋体" w:hAnsi="宋体" w:cs="宋体"/>
          <w:sz w:val="23"/>
          <w:szCs w:val="23"/>
        </w:rPr>
        <w:t xml:space="preserve"> </w:t>
      </w:r>
      <w:r>
        <w:rPr>
          <w:rFonts w:ascii="宋体" w:eastAsia="宋体" w:hAnsi="宋体" w:cs="宋体"/>
          <w:spacing w:val="-23"/>
          <w:sz w:val="23"/>
          <w:szCs w:val="23"/>
        </w:rPr>
        <w:t>酯酶和肠黏膜酯酶水解，吸收方式主要是被动扩散，也可以完整的微团穿入肠黏</w:t>
      </w:r>
      <w:r>
        <w:rPr>
          <w:rFonts w:ascii="宋体" w:eastAsia="宋体" w:hAnsi="宋体" w:cs="宋体"/>
          <w:spacing w:val="3"/>
          <w:sz w:val="23"/>
          <w:szCs w:val="23"/>
        </w:rPr>
        <w:t xml:space="preserve"> </w:t>
      </w:r>
      <w:r>
        <w:rPr>
          <w:rFonts w:ascii="宋体" w:eastAsia="宋体" w:hAnsi="宋体" w:cs="宋体"/>
          <w:spacing w:val="-19"/>
          <w:sz w:val="23"/>
          <w:szCs w:val="23"/>
        </w:rPr>
        <w:t>膜细胞内而被吸收。游离的α和γ-生育酚一旦进入肠细</w:t>
      </w:r>
      <w:r>
        <w:rPr>
          <w:rFonts w:ascii="宋体" w:eastAsia="宋体" w:hAnsi="宋体" w:cs="宋体"/>
          <w:spacing w:val="-20"/>
          <w:sz w:val="23"/>
          <w:szCs w:val="23"/>
        </w:rPr>
        <w:t>胞内，即与膳食脂质消</w:t>
      </w:r>
      <w:r>
        <w:rPr>
          <w:rFonts w:ascii="宋体" w:eastAsia="宋体" w:hAnsi="宋体" w:cs="宋体"/>
          <w:sz w:val="23"/>
          <w:szCs w:val="23"/>
        </w:rPr>
        <w:t xml:space="preserve"> </w:t>
      </w:r>
      <w:r>
        <w:rPr>
          <w:rFonts w:ascii="宋体" w:eastAsia="宋体" w:hAnsi="宋体" w:cs="宋体"/>
          <w:spacing w:val="-23"/>
          <w:sz w:val="23"/>
          <w:szCs w:val="23"/>
        </w:rPr>
        <w:t>化的其他产物，以及由肠细胞产生的载脂蛋白掺入乳糜微粒，通过淋巴进入体循</w:t>
      </w:r>
      <w:r>
        <w:rPr>
          <w:rFonts w:ascii="宋体" w:eastAsia="宋体" w:hAnsi="宋体" w:cs="宋体"/>
          <w:spacing w:val="2"/>
          <w:sz w:val="23"/>
          <w:szCs w:val="23"/>
        </w:rPr>
        <w:t xml:space="preserve"> </w:t>
      </w:r>
      <w:r>
        <w:rPr>
          <w:rFonts w:ascii="宋体" w:eastAsia="宋体" w:hAnsi="宋体" w:cs="宋体"/>
          <w:spacing w:val="-16"/>
          <w:sz w:val="23"/>
          <w:szCs w:val="23"/>
        </w:rPr>
        <w:t>环。血浆中脂类含量与维生素</w:t>
      </w:r>
      <w:r>
        <w:rPr>
          <w:rFonts w:ascii="宋体" w:eastAsia="宋体" w:hAnsi="宋体" w:cs="宋体"/>
          <w:spacing w:val="-53"/>
          <w:sz w:val="23"/>
          <w:szCs w:val="23"/>
        </w:rPr>
        <w:t xml:space="preserve"> </w:t>
      </w:r>
      <w:r>
        <w:rPr>
          <w:rFonts w:ascii="宋体" w:eastAsia="宋体" w:hAnsi="宋体" w:cs="宋体"/>
          <w:spacing w:val="-16"/>
          <w:sz w:val="23"/>
          <w:szCs w:val="23"/>
        </w:rPr>
        <w:t>E</w:t>
      </w:r>
      <w:r>
        <w:rPr>
          <w:rFonts w:ascii="宋体" w:eastAsia="宋体" w:hAnsi="宋体" w:cs="宋体"/>
          <w:spacing w:val="-34"/>
          <w:sz w:val="23"/>
          <w:szCs w:val="23"/>
        </w:rPr>
        <w:t xml:space="preserve"> </w:t>
      </w:r>
      <w:r>
        <w:rPr>
          <w:rFonts w:ascii="宋体" w:eastAsia="宋体" w:hAnsi="宋体" w:cs="宋体"/>
          <w:spacing w:val="-16"/>
          <w:sz w:val="23"/>
          <w:szCs w:val="23"/>
        </w:rPr>
        <w:t>浓度有相应的关系。组织中维生素E</w:t>
      </w:r>
      <w:r>
        <w:rPr>
          <w:rFonts w:ascii="宋体" w:eastAsia="宋体" w:hAnsi="宋体" w:cs="宋体"/>
          <w:spacing w:val="-33"/>
          <w:sz w:val="23"/>
          <w:szCs w:val="23"/>
        </w:rPr>
        <w:t xml:space="preserve"> </w:t>
      </w:r>
      <w:r>
        <w:rPr>
          <w:rFonts w:ascii="宋体" w:eastAsia="宋体" w:hAnsi="宋体" w:cs="宋体"/>
          <w:spacing w:val="-16"/>
          <w:sz w:val="23"/>
          <w:szCs w:val="23"/>
        </w:rPr>
        <w:t>纳入量随</w:t>
      </w:r>
      <w:r>
        <w:rPr>
          <w:rFonts w:ascii="宋体" w:eastAsia="宋体" w:hAnsi="宋体" w:cs="宋体"/>
          <w:sz w:val="23"/>
          <w:szCs w:val="23"/>
        </w:rPr>
        <w:t xml:space="preserve"> </w:t>
      </w:r>
      <w:r>
        <w:rPr>
          <w:rFonts w:ascii="宋体" w:eastAsia="宋体" w:hAnsi="宋体" w:cs="宋体"/>
          <w:spacing w:val="-19"/>
          <w:sz w:val="23"/>
          <w:szCs w:val="23"/>
        </w:rPr>
        <w:t>摄取量的对数而变化，这点与其他维生素不同。其他维生素在各种组织中(除</w:t>
      </w:r>
      <w:r>
        <w:rPr>
          <w:rFonts w:ascii="宋体" w:eastAsia="宋体" w:hAnsi="宋体" w:cs="宋体"/>
          <w:spacing w:val="-20"/>
          <w:sz w:val="23"/>
          <w:szCs w:val="23"/>
        </w:rPr>
        <w:t>肝</w:t>
      </w:r>
      <w:r>
        <w:rPr>
          <w:rFonts w:ascii="宋体" w:eastAsia="宋体" w:hAnsi="宋体" w:cs="宋体"/>
          <w:sz w:val="23"/>
          <w:szCs w:val="23"/>
        </w:rPr>
        <w:t xml:space="preserve"> </w:t>
      </w:r>
      <w:r>
        <w:rPr>
          <w:rFonts w:ascii="宋体" w:eastAsia="宋体" w:hAnsi="宋体" w:cs="宋体"/>
          <w:spacing w:val="-14"/>
          <w:sz w:val="23"/>
          <w:szCs w:val="23"/>
        </w:rPr>
        <w:t>外)都有一定的阈值。组织上的维生素</w:t>
      </w:r>
      <w:r>
        <w:rPr>
          <w:rFonts w:ascii="宋体" w:eastAsia="宋体" w:hAnsi="宋体" w:cs="宋体"/>
          <w:spacing w:val="-64"/>
          <w:sz w:val="23"/>
          <w:szCs w:val="23"/>
        </w:rPr>
        <w:t xml:space="preserve"> </w:t>
      </w:r>
      <w:r>
        <w:rPr>
          <w:rFonts w:ascii="宋体" w:eastAsia="宋体" w:hAnsi="宋体" w:cs="宋体"/>
          <w:spacing w:val="-14"/>
          <w:sz w:val="23"/>
          <w:szCs w:val="23"/>
        </w:rPr>
        <w:t>E</w:t>
      </w:r>
      <w:r>
        <w:rPr>
          <w:rFonts w:ascii="宋体" w:eastAsia="宋体" w:hAnsi="宋体" w:cs="宋体"/>
          <w:spacing w:val="-24"/>
          <w:sz w:val="23"/>
          <w:szCs w:val="23"/>
        </w:rPr>
        <w:t xml:space="preserve"> </w:t>
      </w:r>
      <w:r>
        <w:rPr>
          <w:rFonts w:ascii="宋体" w:eastAsia="宋体" w:hAnsi="宋体" w:cs="宋体"/>
          <w:spacing w:val="-14"/>
          <w:sz w:val="23"/>
          <w:szCs w:val="23"/>
        </w:rPr>
        <w:t>为游离式，在肾上腺、脑下垂体、睾</w:t>
      </w:r>
      <w:r>
        <w:rPr>
          <w:rFonts w:ascii="宋体" w:eastAsia="宋体" w:hAnsi="宋体" w:cs="宋体"/>
          <w:sz w:val="23"/>
          <w:szCs w:val="23"/>
        </w:rPr>
        <w:t xml:space="preserve"> </w:t>
      </w:r>
      <w:r>
        <w:rPr>
          <w:rFonts w:ascii="宋体" w:eastAsia="宋体" w:hAnsi="宋体" w:cs="宋体"/>
          <w:spacing w:val="-18"/>
          <w:sz w:val="23"/>
          <w:szCs w:val="23"/>
        </w:rPr>
        <w:t>丸及血小板中浓度最高。多烯脂肪酸量多的器官维生素</w:t>
      </w:r>
      <w:r>
        <w:rPr>
          <w:rFonts w:ascii="宋体" w:eastAsia="宋体" w:hAnsi="宋体" w:cs="宋体"/>
          <w:spacing w:val="-39"/>
          <w:sz w:val="23"/>
          <w:szCs w:val="23"/>
        </w:rPr>
        <w:t xml:space="preserve"> </w:t>
      </w:r>
      <w:r>
        <w:rPr>
          <w:rFonts w:ascii="宋体" w:eastAsia="宋体" w:hAnsi="宋体" w:cs="宋体"/>
          <w:spacing w:val="-18"/>
          <w:sz w:val="23"/>
          <w:szCs w:val="23"/>
        </w:rPr>
        <w:t>E</w:t>
      </w:r>
      <w:r>
        <w:rPr>
          <w:rFonts w:ascii="宋体" w:eastAsia="宋体" w:hAnsi="宋体" w:cs="宋体"/>
          <w:spacing w:val="-34"/>
          <w:sz w:val="23"/>
          <w:szCs w:val="23"/>
        </w:rPr>
        <w:t xml:space="preserve"> </w:t>
      </w:r>
      <w:r>
        <w:rPr>
          <w:rFonts w:ascii="宋体" w:eastAsia="宋体" w:hAnsi="宋体" w:cs="宋体"/>
          <w:spacing w:val="-18"/>
          <w:sz w:val="23"/>
          <w:szCs w:val="23"/>
        </w:rPr>
        <w:t>也较多，血浆浓度随</w:t>
      </w:r>
      <w:r>
        <w:rPr>
          <w:rFonts w:ascii="宋体" w:eastAsia="宋体" w:hAnsi="宋体" w:cs="宋体"/>
          <w:sz w:val="23"/>
          <w:szCs w:val="23"/>
        </w:rPr>
        <w:t xml:space="preserve"> </w:t>
      </w:r>
      <w:r>
        <w:rPr>
          <w:rFonts w:ascii="宋体" w:eastAsia="宋体" w:hAnsi="宋体" w:cs="宋体"/>
          <w:spacing w:val="-17"/>
          <w:sz w:val="23"/>
          <w:szCs w:val="23"/>
        </w:rPr>
        <w:t>脂类量而变化。脂肪组织、肝及肌肉为维生素</w:t>
      </w:r>
      <w:r>
        <w:rPr>
          <w:rFonts w:ascii="宋体" w:eastAsia="宋体" w:hAnsi="宋体" w:cs="宋体"/>
          <w:spacing w:val="-66"/>
          <w:sz w:val="23"/>
          <w:szCs w:val="23"/>
        </w:rPr>
        <w:t xml:space="preserve"> </w:t>
      </w:r>
      <w:r>
        <w:rPr>
          <w:rFonts w:ascii="宋体" w:eastAsia="宋体" w:hAnsi="宋体" w:cs="宋体"/>
          <w:spacing w:val="-17"/>
          <w:sz w:val="23"/>
          <w:szCs w:val="23"/>
        </w:rPr>
        <w:t>E</w:t>
      </w:r>
      <w:r>
        <w:rPr>
          <w:rFonts w:ascii="宋体" w:eastAsia="宋体" w:hAnsi="宋体" w:cs="宋体"/>
          <w:spacing w:val="-34"/>
          <w:sz w:val="23"/>
          <w:szCs w:val="23"/>
        </w:rPr>
        <w:t xml:space="preserve"> </w:t>
      </w:r>
      <w:r>
        <w:rPr>
          <w:rFonts w:ascii="宋体" w:eastAsia="宋体" w:hAnsi="宋体" w:cs="宋体"/>
          <w:spacing w:val="-17"/>
          <w:sz w:val="23"/>
          <w:szCs w:val="23"/>
        </w:rPr>
        <w:t>最大的储存场所，在细胞</w:t>
      </w:r>
      <w:r>
        <w:rPr>
          <w:rFonts w:ascii="宋体" w:eastAsia="宋体" w:hAnsi="宋体" w:cs="宋体"/>
          <w:spacing w:val="-18"/>
          <w:sz w:val="23"/>
          <w:szCs w:val="23"/>
        </w:rPr>
        <w:t>内的</w:t>
      </w:r>
      <w:r>
        <w:rPr>
          <w:rFonts w:ascii="宋体" w:eastAsia="宋体" w:hAnsi="宋体" w:cs="宋体"/>
          <w:sz w:val="23"/>
          <w:szCs w:val="23"/>
        </w:rPr>
        <w:t xml:space="preserve"> </w:t>
      </w:r>
      <w:r>
        <w:rPr>
          <w:rFonts w:ascii="宋体" w:eastAsia="宋体" w:hAnsi="宋体" w:cs="宋体"/>
          <w:spacing w:val="-23"/>
          <w:sz w:val="23"/>
          <w:szCs w:val="23"/>
        </w:rPr>
        <w:t>分布，在肝中以线粒体内膜最多，肌肉中以肌浆网状膜为最多，红细胞中多在膜</w:t>
      </w:r>
      <w:r>
        <w:rPr>
          <w:rFonts w:ascii="宋体" w:eastAsia="宋体" w:hAnsi="宋体" w:cs="宋体"/>
          <w:spacing w:val="3"/>
          <w:sz w:val="23"/>
          <w:szCs w:val="23"/>
        </w:rPr>
        <w:t xml:space="preserve"> </w:t>
      </w:r>
      <w:r>
        <w:rPr>
          <w:rFonts w:ascii="宋体" w:eastAsia="宋体" w:hAnsi="宋体" w:cs="宋体"/>
          <w:spacing w:val="-21"/>
          <w:sz w:val="23"/>
          <w:szCs w:val="23"/>
        </w:rPr>
        <w:t>上，为α型。血浆中维生素E</w:t>
      </w:r>
      <w:r>
        <w:rPr>
          <w:rFonts w:ascii="宋体" w:eastAsia="宋体" w:hAnsi="宋体" w:cs="宋体"/>
          <w:spacing w:val="-41"/>
          <w:sz w:val="23"/>
          <w:szCs w:val="23"/>
        </w:rPr>
        <w:t xml:space="preserve"> </w:t>
      </w:r>
      <w:r>
        <w:rPr>
          <w:rFonts w:ascii="宋体" w:eastAsia="宋体" w:hAnsi="宋体" w:cs="宋体"/>
          <w:spacing w:val="-21"/>
          <w:sz w:val="23"/>
          <w:szCs w:val="23"/>
        </w:rPr>
        <w:t>除α型外尚有其他型，可反映出食物中维生素E</w:t>
      </w:r>
      <w:r>
        <w:rPr>
          <w:rFonts w:ascii="宋体" w:eastAsia="宋体" w:hAnsi="宋体" w:cs="宋体"/>
          <w:spacing w:val="-33"/>
          <w:sz w:val="23"/>
          <w:szCs w:val="23"/>
        </w:rPr>
        <w:t xml:space="preserve"> </w:t>
      </w:r>
      <w:r>
        <w:rPr>
          <w:rFonts w:ascii="宋体" w:eastAsia="宋体" w:hAnsi="宋体" w:cs="宋体"/>
          <w:spacing w:val="-21"/>
          <w:sz w:val="23"/>
          <w:szCs w:val="23"/>
        </w:rPr>
        <w:t>的</w:t>
      </w:r>
      <w:r>
        <w:rPr>
          <w:rFonts w:ascii="宋体" w:eastAsia="宋体" w:hAnsi="宋体" w:cs="宋体"/>
          <w:sz w:val="23"/>
          <w:szCs w:val="23"/>
        </w:rPr>
        <w:t xml:space="preserve"> </w:t>
      </w:r>
      <w:r>
        <w:rPr>
          <w:rFonts w:ascii="宋体" w:eastAsia="宋体" w:hAnsi="宋体" w:cs="宋体"/>
          <w:spacing w:val="-15"/>
          <w:sz w:val="23"/>
          <w:szCs w:val="23"/>
        </w:rPr>
        <w:t>摄取情况。肝脏更新维生素E</w:t>
      </w:r>
      <w:r>
        <w:rPr>
          <w:rFonts w:ascii="宋体" w:eastAsia="宋体" w:hAnsi="宋体" w:cs="宋体"/>
          <w:spacing w:val="-34"/>
          <w:sz w:val="23"/>
          <w:szCs w:val="23"/>
        </w:rPr>
        <w:t xml:space="preserve"> </w:t>
      </w:r>
      <w:r>
        <w:rPr>
          <w:rFonts w:ascii="宋体" w:eastAsia="宋体" w:hAnsi="宋体" w:cs="宋体"/>
          <w:spacing w:val="-15"/>
          <w:sz w:val="23"/>
          <w:szCs w:val="23"/>
        </w:rPr>
        <w:t>较快，因而维生素E</w:t>
      </w:r>
      <w:r>
        <w:rPr>
          <w:rFonts w:ascii="宋体" w:eastAsia="宋体" w:hAnsi="宋体" w:cs="宋体"/>
          <w:spacing w:val="-24"/>
          <w:sz w:val="23"/>
          <w:szCs w:val="23"/>
        </w:rPr>
        <w:t xml:space="preserve"> </w:t>
      </w:r>
      <w:r>
        <w:rPr>
          <w:rFonts w:ascii="宋体" w:eastAsia="宋体" w:hAnsi="宋体" w:cs="宋体"/>
          <w:spacing w:val="-15"/>
          <w:sz w:val="23"/>
          <w:szCs w:val="23"/>
        </w:rPr>
        <w:t>在肝脏的储存</w:t>
      </w:r>
      <w:r>
        <w:rPr>
          <w:rFonts w:ascii="宋体" w:eastAsia="宋体" w:hAnsi="宋体" w:cs="宋体"/>
          <w:spacing w:val="-16"/>
          <w:sz w:val="23"/>
          <w:szCs w:val="23"/>
        </w:rPr>
        <w:t>不多。脂肪组</w:t>
      </w:r>
      <w:r>
        <w:rPr>
          <w:rFonts w:ascii="宋体" w:eastAsia="宋体" w:hAnsi="宋体" w:cs="宋体"/>
          <w:sz w:val="23"/>
          <w:szCs w:val="23"/>
        </w:rPr>
        <w:t xml:space="preserve"> </w:t>
      </w:r>
      <w:r>
        <w:rPr>
          <w:rFonts w:ascii="宋体" w:eastAsia="宋体" w:hAnsi="宋体" w:cs="宋体"/>
          <w:spacing w:val="-15"/>
          <w:sz w:val="23"/>
          <w:szCs w:val="23"/>
        </w:rPr>
        <w:t>织是维生素E</w:t>
      </w:r>
      <w:r>
        <w:rPr>
          <w:rFonts w:ascii="宋体" w:eastAsia="宋体" w:hAnsi="宋体" w:cs="宋体"/>
          <w:spacing w:val="-3"/>
          <w:sz w:val="23"/>
          <w:szCs w:val="23"/>
        </w:rPr>
        <w:t xml:space="preserve"> </w:t>
      </w:r>
      <w:r>
        <w:rPr>
          <w:rFonts w:ascii="宋体" w:eastAsia="宋体" w:hAnsi="宋体" w:cs="宋体"/>
          <w:spacing w:val="-15"/>
          <w:sz w:val="23"/>
          <w:szCs w:val="23"/>
        </w:rPr>
        <w:t>的一个长期储存场所，但在脂肪组织中维生素E</w:t>
      </w:r>
      <w:r>
        <w:rPr>
          <w:rFonts w:ascii="宋体" w:eastAsia="宋体" w:hAnsi="宋体" w:cs="宋体"/>
          <w:spacing w:val="-34"/>
          <w:sz w:val="23"/>
          <w:szCs w:val="23"/>
        </w:rPr>
        <w:t xml:space="preserve"> </w:t>
      </w:r>
      <w:r>
        <w:rPr>
          <w:rFonts w:ascii="宋体" w:eastAsia="宋体" w:hAnsi="宋体" w:cs="宋体"/>
          <w:spacing w:val="-15"/>
          <w:sz w:val="23"/>
          <w:szCs w:val="23"/>
        </w:rPr>
        <w:t>积存慢，释出亦</w:t>
      </w:r>
      <w:r>
        <w:rPr>
          <w:rFonts w:ascii="宋体" w:eastAsia="宋体" w:hAnsi="宋体" w:cs="宋体"/>
          <w:sz w:val="23"/>
          <w:szCs w:val="23"/>
        </w:rPr>
        <w:t xml:space="preserve"> </w:t>
      </w:r>
      <w:r>
        <w:rPr>
          <w:rFonts w:ascii="宋体" w:eastAsia="宋体" w:hAnsi="宋体" w:cs="宋体"/>
          <w:spacing w:val="-17"/>
          <w:sz w:val="23"/>
          <w:szCs w:val="23"/>
        </w:rPr>
        <w:t>慢。肌肉是生育酚在体内储存的重要场所。维生素</w:t>
      </w:r>
      <w:r>
        <w:rPr>
          <w:rFonts w:ascii="宋体" w:eastAsia="宋体" w:hAnsi="宋体" w:cs="宋体"/>
          <w:spacing w:val="-65"/>
          <w:sz w:val="23"/>
          <w:szCs w:val="23"/>
        </w:rPr>
        <w:t xml:space="preserve"> </w:t>
      </w:r>
      <w:r>
        <w:rPr>
          <w:rFonts w:ascii="宋体" w:eastAsia="宋体" w:hAnsi="宋体" w:cs="宋体"/>
          <w:spacing w:val="-18"/>
          <w:sz w:val="23"/>
          <w:szCs w:val="23"/>
        </w:rPr>
        <w:t>E</w:t>
      </w:r>
      <w:r>
        <w:rPr>
          <w:rFonts w:ascii="宋体" w:eastAsia="宋体" w:hAnsi="宋体" w:cs="宋体"/>
          <w:spacing w:val="-24"/>
          <w:sz w:val="23"/>
          <w:szCs w:val="23"/>
        </w:rPr>
        <w:t xml:space="preserve"> </w:t>
      </w:r>
      <w:r>
        <w:rPr>
          <w:rFonts w:ascii="宋体" w:eastAsia="宋体" w:hAnsi="宋体" w:cs="宋体"/>
          <w:spacing w:val="-18"/>
          <w:sz w:val="23"/>
          <w:szCs w:val="23"/>
        </w:rPr>
        <w:t>几乎只存在于脂肪细胞的</w:t>
      </w:r>
      <w:r>
        <w:rPr>
          <w:rFonts w:ascii="宋体" w:eastAsia="宋体" w:hAnsi="宋体" w:cs="宋体"/>
          <w:sz w:val="23"/>
          <w:szCs w:val="23"/>
        </w:rPr>
        <w:t xml:space="preserve"> </w:t>
      </w:r>
      <w:r>
        <w:rPr>
          <w:rFonts w:ascii="宋体" w:eastAsia="宋体" w:hAnsi="宋体" w:cs="宋体"/>
          <w:spacing w:val="-23"/>
          <w:sz w:val="23"/>
          <w:szCs w:val="23"/>
        </w:rPr>
        <w:t>脂肪滴、所有细胞膜和血液循环中的脂蛋白。</w:t>
      </w:r>
    </w:p>
    <w:p w:rsidR="00EA40A3" w:rsidRDefault="00E86C16">
      <w:pPr>
        <w:spacing w:before="223" w:line="222" w:lineRule="auto"/>
        <w:rPr>
          <w:rFonts w:ascii="仿宋" w:eastAsia="仿宋" w:hAnsi="仿宋" w:cs="仿宋"/>
          <w:sz w:val="23"/>
          <w:szCs w:val="23"/>
        </w:rPr>
      </w:pPr>
      <w:r>
        <w:rPr>
          <w:rFonts w:ascii="仿宋" w:eastAsia="仿宋" w:hAnsi="仿宋" w:cs="仿宋"/>
          <w:spacing w:val="5"/>
          <w:sz w:val="23"/>
          <w:szCs w:val="23"/>
        </w:rPr>
        <w:t>3.</w:t>
      </w:r>
      <w:r>
        <w:rPr>
          <w:rFonts w:ascii="仿宋" w:eastAsia="仿宋" w:hAnsi="仿宋" w:cs="仿宋"/>
          <w:spacing w:val="-36"/>
          <w:sz w:val="23"/>
          <w:szCs w:val="23"/>
        </w:rPr>
        <w:t xml:space="preserve"> </w:t>
      </w:r>
      <w:r>
        <w:rPr>
          <w:rFonts w:ascii="仿宋" w:eastAsia="仿宋" w:hAnsi="仿宋" w:cs="仿宋"/>
          <w:spacing w:val="5"/>
          <w:sz w:val="23"/>
          <w:szCs w:val="23"/>
        </w:rPr>
        <w:t>维生素E</w:t>
      </w:r>
      <w:r>
        <w:rPr>
          <w:rFonts w:ascii="仿宋" w:eastAsia="仿宋" w:hAnsi="仿宋" w:cs="仿宋"/>
          <w:spacing w:val="25"/>
          <w:sz w:val="23"/>
          <w:szCs w:val="23"/>
        </w:rPr>
        <w:t xml:space="preserve"> </w:t>
      </w:r>
      <w:r>
        <w:rPr>
          <w:rFonts w:ascii="仿宋" w:eastAsia="仿宋" w:hAnsi="仿宋" w:cs="仿宋"/>
          <w:spacing w:val="5"/>
          <w:sz w:val="23"/>
          <w:szCs w:val="23"/>
        </w:rPr>
        <w:t>的生理功能</w:t>
      </w:r>
    </w:p>
    <w:p w:rsidR="00EA40A3" w:rsidRDefault="00E86C16">
      <w:pPr>
        <w:spacing w:before="186" w:line="219" w:lineRule="auto"/>
        <w:ind w:left="450"/>
        <w:rPr>
          <w:rFonts w:ascii="宋体" w:eastAsia="宋体" w:hAnsi="宋体" w:cs="宋体"/>
          <w:sz w:val="23"/>
          <w:szCs w:val="23"/>
        </w:rPr>
      </w:pPr>
      <w:r>
        <w:rPr>
          <w:rFonts w:ascii="宋体" w:eastAsia="宋体" w:hAnsi="宋体" w:cs="宋体"/>
          <w:spacing w:val="-12"/>
          <w:sz w:val="23"/>
          <w:szCs w:val="23"/>
        </w:rPr>
        <w:t>(1)抗氧化作用。维生素E</w:t>
      </w:r>
      <w:r>
        <w:rPr>
          <w:rFonts w:ascii="宋体" w:eastAsia="宋体" w:hAnsi="宋体" w:cs="宋体"/>
          <w:spacing w:val="-14"/>
          <w:sz w:val="23"/>
          <w:szCs w:val="23"/>
        </w:rPr>
        <w:t xml:space="preserve"> </w:t>
      </w:r>
      <w:r>
        <w:rPr>
          <w:rFonts w:ascii="宋体" w:eastAsia="宋体" w:hAnsi="宋体" w:cs="宋体"/>
          <w:spacing w:val="-12"/>
          <w:sz w:val="23"/>
          <w:szCs w:val="23"/>
        </w:rPr>
        <w:t>是非酶抗氧化系统中重要的抗氧化剂，其碳链</w:t>
      </w:r>
    </w:p>
    <w:p w:rsidR="00EA40A3" w:rsidRDefault="00E86C16">
      <w:pPr>
        <w:spacing w:before="25"/>
        <w:ind w:left="150"/>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128</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pgSz w:w="9220" w:h="13360"/>
          <w:pgMar w:top="400" w:right="965" w:bottom="400" w:left="879" w:header="0" w:footer="0" w:gutter="0"/>
          <w:cols w:space="720"/>
        </w:sectPr>
      </w:pPr>
    </w:p>
    <w:p w:rsidR="00EA40A3" w:rsidRDefault="00EA40A3">
      <w:pPr>
        <w:spacing w:line="291" w:lineRule="auto"/>
      </w:pPr>
    </w:p>
    <w:p w:rsidR="00EA40A3" w:rsidRDefault="00EA40A3">
      <w:pPr>
        <w:spacing w:line="292" w:lineRule="auto"/>
      </w:pPr>
    </w:p>
    <w:p w:rsidR="00EA40A3" w:rsidRDefault="00E86C16">
      <w:pPr>
        <w:spacing w:before="72" w:line="248" w:lineRule="auto"/>
        <w:ind w:right="59"/>
        <w:jc w:val="both"/>
        <w:rPr>
          <w:rFonts w:ascii="宋体" w:eastAsia="宋体" w:hAnsi="宋体" w:cs="宋体"/>
          <w:sz w:val="22"/>
          <w:szCs w:val="22"/>
        </w:rPr>
      </w:pPr>
      <w:r>
        <w:rPr>
          <w:rFonts w:ascii="宋体" w:eastAsia="宋体" w:hAnsi="宋体" w:cs="宋体"/>
          <w:spacing w:val="-13"/>
          <w:sz w:val="22"/>
          <w:szCs w:val="22"/>
        </w:rPr>
        <w:t>是生物膜的组成部分，在生物膜的稳定性和通透性方面起重要作用</w:t>
      </w:r>
      <w:r>
        <w:rPr>
          <w:rFonts w:ascii="宋体" w:eastAsia="宋体" w:hAnsi="宋体" w:cs="宋体"/>
          <w:spacing w:val="-14"/>
          <w:sz w:val="22"/>
          <w:szCs w:val="22"/>
        </w:rPr>
        <w:t>。它的植醇链</w:t>
      </w:r>
      <w:r>
        <w:rPr>
          <w:rFonts w:ascii="宋体" w:eastAsia="宋体" w:hAnsi="宋体" w:cs="宋体"/>
          <w:sz w:val="22"/>
          <w:szCs w:val="22"/>
        </w:rPr>
        <w:t xml:space="preserve"> </w:t>
      </w:r>
      <w:r>
        <w:rPr>
          <w:rFonts w:ascii="宋体" w:eastAsia="宋体" w:hAnsi="宋体" w:cs="宋体"/>
          <w:spacing w:val="-15"/>
          <w:sz w:val="22"/>
          <w:szCs w:val="22"/>
        </w:rPr>
        <w:t>与生物膜磷脂疏水区多不饱和脂肪酸特别是花生四烯酸通过脂-脂联结密切结合，</w:t>
      </w:r>
      <w:r>
        <w:rPr>
          <w:rFonts w:ascii="宋体" w:eastAsia="宋体" w:hAnsi="宋体" w:cs="宋体"/>
          <w:spacing w:val="9"/>
          <w:sz w:val="22"/>
          <w:szCs w:val="22"/>
        </w:rPr>
        <w:t xml:space="preserve"> </w:t>
      </w:r>
      <w:r>
        <w:rPr>
          <w:rFonts w:ascii="宋体" w:eastAsia="宋体" w:hAnsi="宋体" w:cs="宋体"/>
          <w:spacing w:val="-13"/>
          <w:sz w:val="22"/>
          <w:szCs w:val="22"/>
        </w:rPr>
        <w:t>它的色烷醇环位于生物膜的极性表面，可通过膜非极性面的流动</w:t>
      </w:r>
      <w:r>
        <w:rPr>
          <w:rFonts w:ascii="宋体" w:eastAsia="宋体" w:hAnsi="宋体" w:cs="宋体"/>
          <w:spacing w:val="-14"/>
          <w:sz w:val="22"/>
          <w:szCs w:val="22"/>
        </w:rPr>
        <w:t>发挥其抗氧化活</w:t>
      </w:r>
      <w:r>
        <w:rPr>
          <w:rFonts w:ascii="宋体" w:eastAsia="宋体" w:hAnsi="宋体" w:cs="宋体"/>
          <w:sz w:val="22"/>
          <w:szCs w:val="22"/>
        </w:rPr>
        <w:t xml:space="preserve"> </w:t>
      </w:r>
      <w:r>
        <w:rPr>
          <w:rFonts w:ascii="宋体" w:eastAsia="宋体" w:hAnsi="宋体" w:cs="宋体"/>
          <w:spacing w:val="-13"/>
          <w:sz w:val="22"/>
          <w:szCs w:val="22"/>
        </w:rPr>
        <w:t>性。它与其他抗氧化物质以及抗氧化酶包括超氧化物歧化酶、谷胱甘</w:t>
      </w:r>
      <w:r>
        <w:rPr>
          <w:rFonts w:ascii="宋体" w:eastAsia="宋体" w:hAnsi="宋体" w:cs="宋体"/>
          <w:spacing w:val="-14"/>
          <w:sz w:val="22"/>
          <w:szCs w:val="22"/>
        </w:rPr>
        <w:t>肽过氧化物</w:t>
      </w:r>
      <w:r>
        <w:rPr>
          <w:rFonts w:ascii="宋体" w:eastAsia="宋体" w:hAnsi="宋体" w:cs="宋体"/>
          <w:sz w:val="22"/>
          <w:szCs w:val="22"/>
        </w:rPr>
        <w:t xml:space="preserve"> </w:t>
      </w:r>
      <w:r>
        <w:rPr>
          <w:rFonts w:ascii="宋体" w:eastAsia="宋体" w:hAnsi="宋体" w:cs="宋体"/>
          <w:spacing w:val="-14"/>
          <w:sz w:val="22"/>
          <w:szCs w:val="22"/>
        </w:rPr>
        <w:t>酶等一起构成体内抗氧化系统，保护生物膜中多不饱和脂肪酸、膜的富含巯基的</w:t>
      </w:r>
      <w:r>
        <w:rPr>
          <w:rFonts w:ascii="宋体" w:eastAsia="宋体" w:hAnsi="宋体" w:cs="宋体"/>
          <w:spacing w:val="15"/>
          <w:sz w:val="22"/>
          <w:szCs w:val="22"/>
        </w:rPr>
        <w:t xml:space="preserve"> </w:t>
      </w:r>
      <w:r>
        <w:rPr>
          <w:rFonts w:ascii="宋体" w:eastAsia="宋体" w:hAnsi="宋体" w:cs="宋体"/>
          <w:spacing w:val="-7"/>
          <w:sz w:val="22"/>
          <w:szCs w:val="22"/>
        </w:rPr>
        <w:t>蛋白成分以及细胞骨架和核酸免受自由基的攻击；维生素E</w:t>
      </w:r>
      <w:r>
        <w:rPr>
          <w:rFonts w:ascii="宋体" w:eastAsia="宋体" w:hAnsi="宋体" w:cs="宋体"/>
          <w:spacing w:val="-4"/>
          <w:sz w:val="22"/>
          <w:szCs w:val="22"/>
        </w:rPr>
        <w:t xml:space="preserve"> </w:t>
      </w:r>
      <w:r>
        <w:rPr>
          <w:rFonts w:ascii="宋体" w:eastAsia="宋体" w:hAnsi="宋体" w:cs="宋体"/>
          <w:spacing w:val="-7"/>
          <w:sz w:val="22"/>
          <w:szCs w:val="22"/>
        </w:rPr>
        <w:t>分子与自由基反应</w:t>
      </w:r>
      <w:r>
        <w:rPr>
          <w:rFonts w:ascii="宋体" w:eastAsia="宋体" w:hAnsi="宋体" w:cs="宋体"/>
          <w:sz w:val="22"/>
          <w:szCs w:val="22"/>
        </w:rPr>
        <w:t xml:space="preserve"> </w:t>
      </w:r>
      <w:r>
        <w:rPr>
          <w:rFonts w:ascii="宋体" w:eastAsia="宋体" w:hAnsi="宋体" w:cs="宋体"/>
          <w:spacing w:val="-11"/>
          <w:sz w:val="22"/>
          <w:szCs w:val="22"/>
        </w:rPr>
        <w:t>后，自己本身被</w:t>
      </w:r>
      <w:r>
        <w:rPr>
          <w:rFonts w:ascii="宋体" w:eastAsia="宋体" w:hAnsi="宋体" w:cs="宋体"/>
          <w:spacing w:val="-12"/>
          <w:sz w:val="22"/>
          <w:szCs w:val="22"/>
        </w:rPr>
        <w:t>氧化成生育酚羟自由基</w:t>
      </w:r>
      <w:r>
        <w:rPr>
          <w:rFonts w:ascii="宋体" w:eastAsia="宋体" w:hAnsi="宋体" w:cs="宋体"/>
          <w:spacing w:val="-10"/>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tocopheroxyl</w:t>
      </w:r>
      <w:r>
        <w:rPr>
          <w:rFonts w:ascii="宋体" w:eastAsia="宋体" w:hAnsi="宋体" w:cs="宋体"/>
          <w:spacing w:val="-7"/>
          <w:sz w:val="22"/>
          <w:szCs w:val="22"/>
        </w:rPr>
        <w:t xml:space="preserve"> </w:t>
      </w:r>
      <w:r>
        <w:rPr>
          <w:rFonts w:ascii="宋体" w:eastAsia="宋体" w:hAnsi="宋体" w:cs="宋体"/>
          <w:spacing w:val="-11"/>
          <w:sz w:val="22"/>
          <w:szCs w:val="22"/>
        </w:rPr>
        <w:t>radical</w:t>
      </w:r>
      <w:r>
        <w:rPr>
          <w:rFonts w:ascii="宋体" w:eastAsia="宋体" w:hAnsi="宋体" w:cs="宋体"/>
          <w:spacing w:val="-12"/>
          <w:sz w:val="22"/>
          <w:szCs w:val="22"/>
        </w:rPr>
        <w:t>),</w:t>
      </w:r>
      <w:r>
        <w:rPr>
          <w:rFonts w:ascii="宋体" w:eastAsia="宋体" w:hAnsi="宋体" w:cs="宋体"/>
          <w:spacing w:val="-40"/>
          <w:sz w:val="22"/>
          <w:szCs w:val="22"/>
        </w:rPr>
        <w:t xml:space="preserve"> </w:t>
      </w:r>
      <w:r>
        <w:rPr>
          <w:rFonts w:ascii="宋体" w:eastAsia="宋体" w:hAnsi="宋体" w:cs="宋体"/>
          <w:spacing w:val="-12"/>
          <w:sz w:val="22"/>
          <w:szCs w:val="22"/>
        </w:rPr>
        <w:t>即氧化型维生</w:t>
      </w:r>
      <w:r>
        <w:rPr>
          <w:rFonts w:ascii="宋体" w:eastAsia="宋体" w:hAnsi="宋体" w:cs="宋体"/>
          <w:sz w:val="22"/>
          <w:szCs w:val="22"/>
        </w:rPr>
        <w:t xml:space="preserve"> </w:t>
      </w:r>
      <w:r>
        <w:rPr>
          <w:rFonts w:ascii="宋体" w:eastAsia="宋体" w:hAnsi="宋体" w:cs="宋体"/>
          <w:spacing w:val="-5"/>
          <w:sz w:val="22"/>
          <w:szCs w:val="22"/>
        </w:rPr>
        <w:t>素E。</w:t>
      </w:r>
      <w:r>
        <w:rPr>
          <w:rFonts w:ascii="宋体" w:eastAsia="宋体" w:hAnsi="宋体" w:cs="宋体"/>
          <w:spacing w:val="-41"/>
          <w:sz w:val="22"/>
          <w:szCs w:val="22"/>
        </w:rPr>
        <w:t xml:space="preserve"> </w:t>
      </w:r>
      <w:r>
        <w:rPr>
          <w:rFonts w:ascii="宋体" w:eastAsia="宋体" w:hAnsi="宋体" w:cs="宋体"/>
          <w:spacing w:val="-5"/>
          <w:sz w:val="22"/>
          <w:szCs w:val="22"/>
        </w:rPr>
        <w:t>维生素E</w:t>
      </w:r>
      <w:r>
        <w:rPr>
          <w:rFonts w:ascii="宋体" w:eastAsia="宋体" w:hAnsi="宋体" w:cs="宋体"/>
          <w:spacing w:val="-15"/>
          <w:sz w:val="22"/>
          <w:szCs w:val="22"/>
        </w:rPr>
        <w:t xml:space="preserve"> </w:t>
      </w:r>
      <w:r>
        <w:rPr>
          <w:rFonts w:ascii="宋体" w:eastAsia="宋体" w:hAnsi="宋体" w:cs="宋体"/>
          <w:spacing w:val="-5"/>
          <w:sz w:val="22"/>
          <w:szCs w:val="22"/>
        </w:rPr>
        <w:t>还可防止维生素A、</w:t>
      </w:r>
      <w:r>
        <w:rPr>
          <w:rFonts w:ascii="宋体" w:eastAsia="宋体" w:hAnsi="宋体" w:cs="宋体"/>
          <w:spacing w:val="-22"/>
          <w:sz w:val="22"/>
          <w:szCs w:val="22"/>
        </w:rPr>
        <w:t xml:space="preserve"> </w:t>
      </w:r>
      <w:r>
        <w:rPr>
          <w:rFonts w:ascii="宋体" w:eastAsia="宋体" w:hAnsi="宋体" w:cs="宋体"/>
          <w:spacing w:val="-5"/>
          <w:sz w:val="22"/>
          <w:szCs w:val="22"/>
        </w:rPr>
        <w:t>维生素C</w:t>
      </w:r>
      <w:r>
        <w:rPr>
          <w:rFonts w:ascii="宋体" w:eastAsia="宋体" w:hAnsi="宋体" w:cs="宋体"/>
          <w:spacing w:val="-23"/>
          <w:sz w:val="22"/>
          <w:szCs w:val="22"/>
        </w:rPr>
        <w:t xml:space="preserve"> </w:t>
      </w:r>
      <w:r>
        <w:rPr>
          <w:rFonts w:ascii="宋体" w:eastAsia="宋体" w:hAnsi="宋体" w:cs="宋体"/>
          <w:spacing w:val="-5"/>
          <w:sz w:val="22"/>
          <w:szCs w:val="22"/>
        </w:rPr>
        <w:t>和ATP</w:t>
      </w:r>
      <w:r>
        <w:rPr>
          <w:rFonts w:ascii="宋体" w:eastAsia="宋体" w:hAnsi="宋体" w:cs="宋体"/>
          <w:spacing w:val="61"/>
          <w:sz w:val="22"/>
          <w:szCs w:val="22"/>
        </w:rPr>
        <w:t xml:space="preserve"> </w:t>
      </w:r>
      <w:r>
        <w:rPr>
          <w:rFonts w:ascii="宋体" w:eastAsia="宋体" w:hAnsi="宋体" w:cs="宋体"/>
          <w:spacing w:val="-5"/>
          <w:sz w:val="22"/>
          <w:szCs w:val="22"/>
        </w:rPr>
        <w:t>的氧化</w:t>
      </w:r>
      <w:r>
        <w:rPr>
          <w:rFonts w:ascii="宋体" w:eastAsia="宋体" w:hAnsi="宋体" w:cs="宋体"/>
          <w:spacing w:val="-6"/>
          <w:sz w:val="22"/>
          <w:szCs w:val="22"/>
        </w:rPr>
        <w:t>，保证它们在体内</w:t>
      </w:r>
      <w:r>
        <w:rPr>
          <w:rFonts w:ascii="宋体" w:eastAsia="宋体" w:hAnsi="宋体" w:cs="宋体"/>
          <w:sz w:val="22"/>
          <w:szCs w:val="22"/>
        </w:rPr>
        <w:t xml:space="preserve"> </w:t>
      </w:r>
      <w:r>
        <w:rPr>
          <w:rFonts w:ascii="宋体" w:eastAsia="宋体" w:hAnsi="宋体" w:cs="宋体"/>
          <w:spacing w:val="-13"/>
          <w:sz w:val="22"/>
          <w:szCs w:val="22"/>
        </w:rPr>
        <w:t>的正常功能；还可保护神经系统、骨骼肌和眼视网膜等免受氧</w:t>
      </w:r>
      <w:r>
        <w:rPr>
          <w:rFonts w:ascii="宋体" w:eastAsia="宋体" w:hAnsi="宋体" w:cs="宋体"/>
          <w:spacing w:val="-14"/>
          <w:sz w:val="22"/>
          <w:szCs w:val="22"/>
        </w:rPr>
        <w:t>化损伤。</w:t>
      </w:r>
    </w:p>
    <w:p w:rsidR="00EA40A3" w:rsidRDefault="00E86C16">
      <w:pPr>
        <w:spacing w:before="41" w:line="245" w:lineRule="auto"/>
        <w:ind w:firstLine="410"/>
        <w:rPr>
          <w:rFonts w:ascii="宋体" w:eastAsia="宋体" w:hAnsi="宋体" w:cs="宋体"/>
          <w:sz w:val="22"/>
          <w:szCs w:val="22"/>
        </w:rPr>
      </w:pPr>
      <w:r>
        <w:rPr>
          <w:rFonts w:ascii="宋体" w:eastAsia="宋体" w:hAnsi="宋体" w:cs="宋体"/>
          <w:spacing w:val="-5"/>
          <w:sz w:val="22"/>
          <w:szCs w:val="22"/>
        </w:rPr>
        <w:t>(2)对脂类代谢的影响。缺乏维生素</w:t>
      </w:r>
      <w:r>
        <w:rPr>
          <w:rFonts w:ascii="宋体" w:eastAsia="宋体" w:hAnsi="宋体" w:cs="宋体"/>
          <w:spacing w:val="-53"/>
          <w:sz w:val="22"/>
          <w:szCs w:val="22"/>
        </w:rPr>
        <w:t xml:space="preserve"> </w:t>
      </w:r>
      <w:r>
        <w:rPr>
          <w:rFonts w:ascii="宋体" w:eastAsia="宋体" w:hAnsi="宋体" w:cs="宋体"/>
          <w:spacing w:val="-5"/>
          <w:sz w:val="22"/>
          <w:szCs w:val="22"/>
        </w:rPr>
        <w:t>E 的动物体内</w:t>
      </w:r>
      <w:r>
        <w:rPr>
          <w:rFonts w:ascii="宋体" w:eastAsia="宋体" w:hAnsi="宋体" w:cs="宋体"/>
          <w:spacing w:val="-6"/>
          <w:sz w:val="22"/>
          <w:szCs w:val="22"/>
        </w:rPr>
        <w:t>抗氧化功能减弱，肝脏</w:t>
      </w:r>
      <w:r>
        <w:rPr>
          <w:rFonts w:ascii="宋体" w:eastAsia="宋体" w:hAnsi="宋体" w:cs="宋体"/>
          <w:sz w:val="22"/>
          <w:szCs w:val="22"/>
        </w:rPr>
        <w:t xml:space="preserve">  </w:t>
      </w:r>
      <w:r>
        <w:rPr>
          <w:rFonts w:ascii="宋体" w:eastAsia="宋体" w:hAnsi="宋体" w:cs="宋体"/>
          <w:spacing w:val="-5"/>
          <w:sz w:val="22"/>
          <w:szCs w:val="22"/>
        </w:rPr>
        <w:t>及血浆中脂类过氧化作用加强，尤以肝脏为甚，脂类代谢也有改变。维生素E</w:t>
      </w:r>
      <w:r>
        <w:rPr>
          <w:rFonts w:ascii="宋体" w:eastAsia="宋体" w:hAnsi="宋体" w:cs="宋体"/>
          <w:spacing w:val="6"/>
          <w:sz w:val="22"/>
          <w:szCs w:val="22"/>
        </w:rPr>
        <w:t xml:space="preserve">  </w:t>
      </w:r>
      <w:r>
        <w:rPr>
          <w:rFonts w:ascii="宋体" w:eastAsia="宋体" w:hAnsi="宋体" w:cs="宋体"/>
          <w:spacing w:val="3"/>
          <w:sz w:val="22"/>
          <w:szCs w:val="22"/>
        </w:rPr>
        <w:t>缺乏时大鼠肝中甘油三酯</w:t>
      </w:r>
      <w:r>
        <w:rPr>
          <w:rFonts w:ascii="宋体" w:eastAsia="宋体" w:hAnsi="宋体" w:cs="宋体"/>
          <w:spacing w:val="-4"/>
          <w:sz w:val="22"/>
          <w:szCs w:val="22"/>
        </w:rPr>
        <w:t xml:space="preserve"> </w:t>
      </w:r>
      <w:r>
        <w:rPr>
          <w:rFonts w:ascii="宋体" w:eastAsia="宋体" w:hAnsi="宋体" w:cs="宋体"/>
          <w:spacing w:val="3"/>
          <w:sz w:val="22"/>
          <w:szCs w:val="22"/>
        </w:rPr>
        <w:t>(</w:t>
      </w:r>
      <w:r>
        <w:rPr>
          <w:rFonts w:ascii="宋体" w:eastAsia="宋体" w:hAnsi="宋体" w:cs="宋体"/>
          <w:sz w:val="22"/>
          <w:szCs w:val="22"/>
        </w:rPr>
        <w:t>TG</w:t>
      </w:r>
      <w:r>
        <w:rPr>
          <w:rFonts w:ascii="宋体" w:eastAsia="宋体" w:hAnsi="宋体" w:cs="宋体"/>
          <w:spacing w:val="3"/>
          <w:sz w:val="22"/>
          <w:szCs w:val="22"/>
        </w:rPr>
        <w:t>)</w:t>
      </w:r>
      <w:r>
        <w:rPr>
          <w:rFonts w:ascii="宋体" w:eastAsia="宋体" w:hAnsi="宋体" w:cs="宋体"/>
          <w:spacing w:val="97"/>
          <w:sz w:val="22"/>
          <w:szCs w:val="22"/>
        </w:rPr>
        <w:t xml:space="preserve"> </w:t>
      </w:r>
      <w:r>
        <w:rPr>
          <w:rFonts w:ascii="宋体" w:eastAsia="宋体" w:hAnsi="宋体" w:cs="宋体"/>
          <w:spacing w:val="3"/>
          <w:sz w:val="22"/>
          <w:szCs w:val="22"/>
        </w:rPr>
        <w:t>增加73%,血浆中增加35%,胆固醇在肝及血</w:t>
      </w:r>
      <w:r>
        <w:rPr>
          <w:rFonts w:ascii="宋体" w:eastAsia="宋体" w:hAnsi="宋体" w:cs="宋体"/>
          <w:sz w:val="22"/>
          <w:szCs w:val="22"/>
        </w:rPr>
        <w:t xml:space="preserve">  </w:t>
      </w:r>
      <w:r>
        <w:rPr>
          <w:rFonts w:ascii="宋体" w:eastAsia="宋体" w:hAnsi="宋体" w:cs="宋体"/>
          <w:spacing w:val="-10"/>
          <w:sz w:val="22"/>
          <w:szCs w:val="22"/>
        </w:rPr>
        <w:t>浆中均增加，磷脂含量无变化；肝内质网膜的脂肪酸碳链</w:t>
      </w:r>
      <w:r>
        <w:rPr>
          <w:rFonts w:ascii="宋体" w:eastAsia="宋体" w:hAnsi="宋体" w:cs="宋体"/>
          <w:spacing w:val="-11"/>
          <w:sz w:val="22"/>
          <w:szCs w:val="22"/>
        </w:rPr>
        <w:t>延长及脱氢作用增强，</w:t>
      </w:r>
      <w:r>
        <w:rPr>
          <w:rFonts w:ascii="宋体" w:eastAsia="宋体" w:hAnsi="宋体" w:cs="宋体"/>
          <w:sz w:val="22"/>
          <w:szCs w:val="22"/>
        </w:rPr>
        <w:t xml:space="preserve"> </w:t>
      </w:r>
      <w:r>
        <w:rPr>
          <w:rFonts w:ascii="宋体" w:eastAsia="宋体" w:hAnsi="宋体" w:cs="宋体"/>
          <w:spacing w:val="-4"/>
          <w:sz w:val="22"/>
          <w:szCs w:val="22"/>
        </w:rPr>
        <w:t>但如补充维生素E</w:t>
      </w:r>
      <w:r>
        <w:rPr>
          <w:rFonts w:ascii="宋体" w:eastAsia="宋体" w:hAnsi="宋体" w:cs="宋体"/>
          <w:spacing w:val="-19"/>
          <w:sz w:val="22"/>
          <w:szCs w:val="22"/>
        </w:rPr>
        <w:t xml:space="preserve"> </w:t>
      </w:r>
      <w:r>
        <w:rPr>
          <w:rFonts w:ascii="宋体" w:eastAsia="宋体" w:hAnsi="宋体" w:cs="宋体"/>
          <w:spacing w:val="-4"/>
          <w:sz w:val="22"/>
          <w:szCs w:val="22"/>
        </w:rPr>
        <w:t>可在48h后恢复正常。</w:t>
      </w:r>
    </w:p>
    <w:p w:rsidR="00EA40A3" w:rsidRDefault="00E86C16">
      <w:pPr>
        <w:spacing w:before="38" w:line="243" w:lineRule="auto"/>
        <w:ind w:right="80" w:firstLine="410"/>
        <w:rPr>
          <w:rFonts w:ascii="宋体" w:eastAsia="宋体" w:hAnsi="宋体" w:cs="宋体"/>
          <w:sz w:val="22"/>
          <w:szCs w:val="22"/>
        </w:rPr>
      </w:pPr>
      <w:r>
        <w:rPr>
          <w:rFonts w:ascii="宋体" w:eastAsia="宋体" w:hAnsi="宋体" w:cs="宋体"/>
          <w:spacing w:val="-4"/>
          <w:sz w:val="22"/>
          <w:szCs w:val="22"/>
        </w:rPr>
        <w:t>(3)提高运动能力、抗衰老。维生素</w:t>
      </w:r>
      <w:r>
        <w:rPr>
          <w:rFonts w:ascii="宋体" w:eastAsia="宋体" w:hAnsi="宋体" w:cs="宋体"/>
          <w:spacing w:val="-63"/>
          <w:sz w:val="22"/>
          <w:szCs w:val="22"/>
        </w:rPr>
        <w:t xml:space="preserve"> </w:t>
      </w:r>
      <w:r>
        <w:rPr>
          <w:rFonts w:ascii="宋体" w:eastAsia="宋体" w:hAnsi="宋体" w:cs="宋体"/>
          <w:spacing w:val="-4"/>
          <w:sz w:val="22"/>
          <w:szCs w:val="22"/>
        </w:rPr>
        <w:t>E</w:t>
      </w:r>
      <w:r>
        <w:rPr>
          <w:rFonts w:ascii="宋体" w:eastAsia="宋体" w:hAnsi="宋体" w:cs="宋体"/>
          <w:spacing w:val="-14"/>
          <w:sz w:val="22"/>
          <w:szCs w:val="22"/>
        </w:rPr>
        <w:t xml:space="preserve"> </w:t>
      </w:r>
      <w:r>
        <w:rPr>
          <w:rFonts w:ascii="宋体" w:eastAsia="宋体" w:hAnsi="宋体" w:cs="宋体"/>
          <w:spacing w:val="-4"/>
          <w:sz w:val="22"/>
          <w:szCs w:val="22"/>
        </w:rPr>
        <w:t>能保护血管，改善血流状况，增</w:t>
      </w:r>
      <w:r>
        <w:rPr>
          <w:rFonts w:ascii="宋体" w:eastAsia="宋体" w:hAnsi="宋体" w:cs="宋体"/>
          <w:spacing w:val="-5"/>
          <w:sz w:val="22"/>
          <w:szCs w:val="22"/>
        </w:rPr>
        <w:t>强</w:t>
      </w:r>
      <w:r>
        <w:rPr>
          <w:rFonts w:ascii="宋体" w:eastAsia="宋体" w:hAnsi="宋体" w:cs="宋体"/>
          <w:sz w:val="22"/>
          <w:szCs w:val="22"/>
        </w:rPr>
        <w:t xml:space="preserve"> </w:t>
      </w:r>
      <w:r>
        <w:rPr>
          <w:rFonts w:ascii="宋体" w:eastAsia="宋体" w:hAnsi="宋体" w:cs="宋体"/>
          <w:spacing w:val="-13"/>
          <w:sz w:val="22"/>
          <w:szCs w:val="22"/>
        </w:rPr>
        <w:t>精神活力，提高运动能力；可延长红细胞的寿命，有抑制分解代</w:t>
      </w:r>
      <w:r>
        <w:rPr>
          <w:rFonts w:ascii="宋体" w:eastAsia="宋体" w:hAnsi="宋体" w:cs="宋体"/>
          <w:spacing w:val="-14"/>
          <w:sz w:val="22"/>
          <w:szCs w:val="22"/>
        </w:rPr>
        <w:t>谢酶的作用；可</w:t>
      </w:r>
      <w:r>
        <w:rPr>
          <w:rFonts w:ascii="宋体" w:eastAsia="宋体" w:hAnsi="宋体" w:cs="宋体"/>
          <w:sz w:val="22"/>
          <w:szCs w:val="22"/>
        </w:rPr>
        <w:t xml:space="preserve"> </w:t>
      </w:r>
      <w:r>
        <w:rPr>
          <w:rFonts w:ascii="宋体" w:eastAsia="宋体" w:hAnsi="宋体" w:cs="宋体"/>
          <w:spacing w:val="-6"/>
          <w:sz w:val="22"/>
          <w:szCs w:val="22"/>
        </w:rPr>
        <w:t>减少褐脂质(细胞内某些成分被氧化分解后的沉积物，</w:t>
      </w:r>
      <w:r>
        <w:rPr>
          <w:rFonts w:ascii="宋体" w:eastAsia="宋体" w:hAnsi="宋体" w:cs="宋体"/>
          <w:spacing w:val="-7"/>
          <w:sz w:val="22"/>
          <w:szCs w:val="22"/>
        </w:rPr>
        <w:t>俗称老年斑)的形成，并</w:t>
      </w:r>
      <w:r>
        <w:rPr>
          <w:rFonts w:ascii="宋体" w:eastAsia="宋体" w:hAnsi="宋体" w:cs="宋体"/>
          <w:sz w:val="22"/>
          <w:szCs w:val="22"/>
        </w:rPr>
        <w:t xml:space="preserve"> </w:t>
      </w:r>
      <w:r>
        <w:rPr>
          <w:rFonts w:ascii="宋体" w:eastAsia="宋体" w:hAnsi="宋体" w:cs="宋体"/>
          <w:spacing w:val="-12"/>
          <w:sz w:val="22"/>
          <w:szCs w:val="22"/>
        </w:rPr>
        <w:t>能保护T</w:t>
      </w:r>
      <w:r>
        <w:rPr>
          <w:rFonts w:ascii="宋体" w:eastAsia="宋体" w:hAnsi="宋体" w:cs="宋体"/>
          <w:spacing w:val="13"/>
          <w:sz w:val="22"/>
          <w:szCs w:val="22"/>
        </w:rPr>
        <w:t xml:space="preserve"> </w:t>
      </w:r>
      <w:r>
        <w:rPr>
          <w:rFonts w:ascii="宋体" w:eastAsia="宋体" w:hAnsi="宋体" w:cs="宋体"/>
          <w:spacing w:val="-12"/>
          <w:sz w:val="22"/>
          <w:szCs w:val="22"/>
        </w:rPr>
        <w:t>淋巴细胞，从而保护人体免疫功能。</w:t>
      </w:r>
    </w:p>
    <w:p w:rsidR="00EA40A3" w:rsidRDefault="00E86C16">
      <w:pPr>
        <w:spacing w:before="40" w:line="241" w:lineRule="auto"/>
        <w:ind w:right="99" w:firstLine="410"/>
        <w:rPr>
          <w:rFonts w:ascii="宋体" w:eastAsia="宋体" w:hAnsi="宋体" w:cs="宋体"/>
          <w:sz w:val="22"/>
          <w:szCs w:val="22"/>
        </w:rPr>
      </w:pPr>
      <w:r>
        <w:rPr>
          <w:rFonts w:ascii="宋体" w:eastAsia="宋体" w:hAnsi="宋体" w:cs="宋体"/>
          <w:spacing w:val="-3"/>
          <w:sz w:val="22"/>
          <w:szCs w:val="22"/>
        </w:rPr>
        <w:t>(4)与动物的生殖功能有关。维生素E</w:t>
      </w:r>
      <w:r>
        <w:rPr>
          <w:rFonts w:ascii="宋体" w:eastAsia="宋体" w:hAnsi="宋体" w:cs="宋体"/>
          <w:spacing w:val="-2"/>
          <w:sz w:val="22"/>
          <w:szCs w:val="22"/>
        </w:rPr>
        <w:t xml:space="preserve"> </w:t>
      </w:r>
      <w:r>
        <w:rPr>
          <w:rFonts w:ascii="宋体" w:eastAsia="宋体" w:hAnsi="宋体" w:cs="宋体"/>
          <w:spacing w:val="-3"/>
          <w:sz w:val="22"/>
          <w:szCs w:val="22"/>
        </w:rPr>
        <w:t>缺乏时动物可出现睾丸萎缩和上皮</w:t>
      </w:r>
      <w:r>
        <w:rPr>
          <w:rFonts w:ascii="宋体" w:eastAsia="宋体" w:hAnsi="宋体" w:cs="宋体"/>
          <w:sz w:val="22"/>
          <w:szCs w:val="22"/>
        </w:rPr>
        <w:t xml:space="preserve"> </w:t>
      </w:r>
      <w:r>
        <w:rPr>
          <w:rFonts w:ascii="宋体" w:eastAsia="宋体" w:hAnsi="宋体" w:cs="宋体"/>
          <w:spacing w:val="-8"/>
          <w:sz w:val="22"/>
          <w:szCs w:val="22"/>
        </w:rPr>
        <w:t>细胞变性、孕育异常。虽然人类尚未发现因维生素</w:t>
      </w:r>
      <w:r>
        <w:rPr>
          <w:rFonts w:ascii="宋体" w:eastAsia="宋体" w:hAnsi="宋体" w:cs="宋体"/>
          <w:spacing w:val="-56"/>
          <w:sz w:val="22"/>
          <w:szCs w:val="22"/>
        </w:rPr>
        <w:t xml:space="preserve"> </w:t>
      </w:r>
      <w:r>
        <w:rPr>
          <w:rFonts w:ascii="宋体" w:eastAsia="宋体" w:hAnsi="宋体" w:cs="宋体"/>
          <w:spacing w:val="-8"/>
          <w:sz w:val="22"/>
          <w:szCs w:val="22"/>
        </w:rPr>
        <w:t>E</w:t>
      </w:r>
      <w:r>
        <w:rPr>
          <w:rFonts w:ascii="宋体" w:eastAsia="宋体" w:hAnsi="宋体" w:cs="宋体"/>
          <w:spacing w:val="-24"/>
          <w:sz w:val="22"/>
          <w:szCs w:val="22"/>
        </w:rPr>
        <w:t xml:space="preserve"> </w:t>
      </w:r>
      <w:r>
        <w:rPr>
          <w:rFonts w:ascii="宋体" w:eastAsia="宋体" w:hAnsi="宋体" w:cs="宋体"/>
          <w:spacing w:val="-8"/>
          <w:sz w:val="22"/>
          <w:szCs w:val="22"/>
        </w:rPr>
        <w:t>缺乏而引起的不育症，但</w:t>
      </w:r>
      <w:r>
        <w:rPr>
          <w:rFonts w:ascii="宋体" w:eastAsia="宋体" w:hAnsi="宋体" w:cs="宋体"/>
          <w:sz w:val="22"/>
          <w:szCs w:val="22"/>
        </w:rPr>
        <w:t xml:space="preserve"> </w:t>
      </w:r>
      <w:r>
        <w:rPr>
          <w:rFonts w:ascii="宋体" w:eastAsia="宋体" w:hAnsi="宋体" w:cs="宋体"/>
          <w:spacing w:val="-13"/>
          <w:sz w:val="22"/>
          <w:szCs w:val="22"/>
        </w:rPr>
        <w:t>临床上常用维生素</w:t>
      </w:r>
      <w:r>
        <w:rPr>
          <w:rFonts w:ascii="宋体" w:eastAsia="宋体" w:hAnsi="宋体" w:cs="宋体"/>
          <w:spacing w:val="-57"/>
          <w:sz w:val="22"/>
          <w:szCs w:val="22"/>
        </w:rPr>
        <w:t xml:space="preserve"> </w:t>
      </w:r>
      <w:r>
        <w:rPr>
          <w:rFonts w:ascii="宋体" w:eastAsia="宋体" w:hAnsi="宋体" w:cs="宋体"/>
          <w:spacing w:val="-13"/>
          <w:sz w:val="22"/>
          <w:szCs w:val="22"/>
        </w:rPr>
        <w:t>E</w:t>
      </w:r>
      <w:r>
        <w:rPr>
          <w:rFonts w:ascii="宋体" w:eastAsia="宋体" w:hAnsi="宋体" w:cs="宋体"/>
          <w:spacing w:val="-24"/>
          <w:sz w:val="22"/>
          <w:szCs w:val="22"/>
        </w:rPr>
        <w:t xml:space="preserve"> </w:t>
      </w:r>
      <w:r>
        <w:rPr>
          <w:rFonts w:ascii="宋体" w:eastAsia="宋体" w:hAnsi="宋体" w:cs="宋体"/>
          <w:spacing w:val="-13"/>
          <w:sz w:val="22"/>
          <w:szCs w:val="22"/>
        </w:rPr>
        <w:t>治疗先兆流产和习惯性流产。</w:t>
      </w:r>
    </w:p>
    <w:p w:rsidR="00EA40A3" w:rsidRDefault="00E86C16">
      <w:pPr>
        <w:spacing w:before="38" w:line="241" w:lineRule="auto"/>
        <w:ind w:right="81" w:firstLine="410"/>
        <w:rPr>
          <w:rFonts w:ascii="宋体" w:eastAsia="宋体" w:hAnsi="宋体" w:cs="宋体"/>
          <w:sz w:val="22"/>
          <w:szCs w:val="22"/>
        </w:rPr>
      </w:pPr>
      <w:r>
        <w:rPr>
          <w:rFonts w:ascii="宋体" w:eastAsia="宋体" w:hAnsi="宋体" w:cs="宋体"/>
          <w:spacing w:val="-3"/>
          <w:sz w:val="22"/>
          <w:szCs w:val="22"/>
        </w:rPr>
        <w:t>(5)调节血小板的黏附力和聚集作用。维生素E</w:t>
      </w:r>
      <w:r>
        <w:rPr>
          <w:rFonts w:ascii="宋体" w:eastAsia="宋体" w:hAnsi="宋体" w:cs="宋体"/>
          <w:spacing w:val="-15"/>
          <w:sz w:val="22"/>
          <w:szCs w:val="22"/>
        </w:rPr>
        <w:t xml:space="preserve"> </w:t>
      </w:r>
      <w:r>
        <w:rPr>
          <w:rFonts w:ascii="宋体" w:eastAsia="宋体" w:hAnsi="宋体" w:cs="宋体"/>
          <w:spacing w:val="-3"/>
          <w:sz w:val="22"/>
          <w:szCs w:val="22"/>
        </w:rPr>
        <w:t>缺乏时</w:t>
      </w:r>
      <w:r>
        <w:rPr>
          <w:rFonts w:ascii="宋体" w:eastAsia="宋体" w:hAnsi="宋体" w:cs="宋体"/>
          <w:spacing w:val="-4"/>
          <w:sz w:val="22"/>
          <w:szCs w:val="22"/>
        </w:rPr>
        <w:t>血小板聚集和凝血</w:t>
      </w:r>
      <w:r>
        <w:rPr>
          <w:rFonts w:ascii="宋体" w:eastAsia="宋体" w:hAnsi="宋体" w:cs="宋体"/>
          <w:sz w:val="22"/>
          <w:szCs w:val="22"/>
        </w:rPr>
        <w:t xml:space="preserve"> </w:t>
      </w:r>
      <w:r>
        <w:rPr>
          <w:rFonts w:ascii="宋体" w:eastAsia="宋体" w:hAnsi="宋体" w:cs="宋体"/>
          <w:spacing w:val="-8"/>
          <w:sz w:val="22"/>
          <w:szCs w:val="22"/>
        </w:rPr>
        <w:t>作用增强，增加心肌梗死及脑卒死的危险性，这是由于维生素</w:t>
      </w:r>
      <w:r>
        <w:rPr>
          <w:rFonts w:ascii="宋体" w:eastAsia="宋体" w:hAnsi="宋体" w:cs="宋体"/>
          <w:spacing w:val="-47"/>
          <w:sz w:val="22"/>
          <w:szCs w:val="22"/>
        </w:rPr>
        <w:t xml:space="preserve"> </w:t>
      </w:r>
      <w:r>
        <w:rPr>
          <w:rFonts w:ascii="宋体" w:eastAsia="宋体" w:hAnsi="宋体" w:cs="宋体"/>
          <w:spacing w:val="-8"/>
          <w:sz w:val="22"/>
          <w:szCs w:val="22"/>
        </w:rPr>
        <w:t>E</w:t>
      </w:r>
      <w:r>
        <w:rPr>
          <w:rFonts w:ascii="宋体" w:eastAsia="宋体" w:hAnsi="宋体" w:cs="宋体"/>
          <w:spacing w:val="-14"/>
          <w:sz w:val="22"/>
          <w:szCs w:val="22"/>
        </w:rPr>
        <w:t xml:space="preserve"> </w:t>
      </w:r>
      <w:r>
        <w:rPr>
          <w:rFonts w:ascii="宋体" w:eastAsia="宋体" w:hAnsi="宋体" w:cs="宋体"/>
          <w:spacing w:val="-8"/>
          <w:sz w:val="22"/>
          <w:szCs w:val="22"/>
        </w:rPr>
        <w:t>可抑制磷脂酶</w:t>
      </w:r>
      <w:r>
        <w:rPr>
          <w:rFonts w:ascii="宋体" w:eastAsia="宋体" w:hAnsi="宋体" w:cs="宋体"/>
          <w:sz w:val="22"/>
          <w:szCs w:val="22"/>
        </w:rPr>
        <w:t xml:space="preserve"> </w:t>
      </w:r>
      <w:r>
        <w:rPr>
          <w:rFonts w:ascii="宋体" w:eastAsia="宋体" w:hAnsi="宋体" w:cs="宋体"/>
          <w:spacing w:val="-11"/>
          <w:sz w:val="22"/>
          <w:szCs w:val="22"/>
        </w:rPr>
        <w:t>A2</w:t>
      </w:r>
      <w:r>
        <w:rPr>
          <w:rFonts w:ascii="宋体" w:eastAsia="宋体" w:hAnsi="宋体" w:cs="宋体"/>
          <w:spacing w:val="-7"/>
          <w:sz w:val="22"/>
          <w:szCs w:val="22"/>
        </w:rPr>
        <w:t xml:space="preserve"> </w:t>
      </w:r>
      <w:r>
        <w:rPr>
          <w:rFonts w:ascii="宋体" w:eastAsia="宋体" w:hAnsi="宋体" w:cs="宋体"/>
          <w:spacing w:val="-11"/>
          <w:sz w:val="22"/>
          <w:szCs w:val="22"/>
        </w:rPr>
        <w:t>的活性，减少血小板血栓素A2</w:t>
      </w:r>
      <w:r>
        <w:rPr>
          <w:rFonts w:ascii="宋体" w:eastAsia="宋体" w:hAnsi="宋体" w:cs="宋体"/>
          <w:spacing w:val="-8"/>
          <w:sz w:val="22"/>
          <w:szCs w:val="22"/>
        </w:rPr>
        <w:t xml:space="preserve"> </w:t>
      </w:r>
      <w:r>
        <w:rPr>
          <w:rFonts w:ascii="宋体" w:eastAsia="宋体" w:hAnsi="宋体" w:cs="宋体"/>
          <w:spacing w:val="-11"/>
          <w:sz w:val="22"/>
          <w:szCs w:val="22"/>
        </w:rPr>
        <w:t>的释放，从而抑制血小板的聚集。</w:t>
      </w:r>
    </w:p>
    <w:p w:rsidR="00EA40A3" w:rsidRDefault="00E86C16">
      <w:pPr>
        <w:spacing w:before="39" w:line="236" w:lineRule="auto"/>
        <w:ind w:right="100" w:firstLine="410"/>
        <w:rPr>
          <w:rFonts w:ascii="宋体" w:eastAsia="宋体" w:hAnsi="宋体" w:cs="宋体"/>
          <w:sz w:val="22"/>
          <w:szCs w:val="22"/>
        </w:rPr>
      </w:pPr>
      <w:r>
        <w:rPr>
          <w:rFonts w:ascii="宋体" w:eastAsia="宋体" w:hAnsi="宋体" w:cs="宋体"/>
          <w:spacing w:val="-5"/>
          <w:sz w:val="22"/>
          <w:szCs w:val="22"/>
        </w:rPr>
        <w:t>(6)调节体内某些物质的合成。维生素E</w:t>
      </w:r>
      <w:r>
        <w:rPr>
          <w:rFonts w:ascii="宋体" w:eastAsia="宋体" w:hAnsi="宋体" w:cs="宋体"/>
          <w:spacing w:val="-16"/>
          <w:sz w:val="22"/>
          <w:szCs w:val="22"/>
        </w:rPr>
        <w:t xml:space="preserve"> </w:t>
      </w:r>
      <w:r>
        <w:rPr>
          <w:rFonts w:ascii="宋体" w:eastAsia="宋体" w:hAnsi="宋体" w:cs="宋体"/>
          <w:spacing w:val="-5"/>
          <w:sz w:val="22"/>
          <w:szCs w:val="22"/>
        </w:rPr>
        <w:t>通过嘧啶碱基参与DNA</w:t>
      </w:r>
      <w:r>
        <w:rPr>
          <w:rFonts w:ascii="宋体" w:eastAsia="宋体" w:hAnsi="宋体" w:cs="宋体"/>
          <w:spacing w:val="84"/>
          <w:sz w:val="22"/>
          <w:szCs w:val="22"/>
        </w:rPr>
        <w:t xml:space="preserve"> </w:t>
      </w:r>
      <w:r>
        <w:rPr>
          <w:rFonts w:ascii="宋体" w:eastAsia="宋体" w:hAnsi="宋体" w:cs="宋体"/>
          <w:spacing w:val="-5"/>
          <w:sz w:val="22"/>
          <w:szCs w:val="22"/>
        </w:rPr>
        <w:t>生物合成</w:t>
      </w:r>
      <w:r>
        <w:rPr>
          <w:rFonts w:ascii="宋体" w:eastAsia="宋体" w:hAnsi="宋体" w:cs="宋体"/>
          <w:sz w:val="22"/>
          <w:szCs w:val="22"/>
        </w:rPr>
        <w:t xml:space="preserve"> </w:t>
      </w:r>
      <w:r>
        <w:rPr>
          <w:rFonts w:ascii="宋体" w:eastAsia="宋体" w:hAnsi="宋体" w:cs="宋体"/>
          <w:spacing w:val="-11"/>
          <w:sz w:val="22"/>
          <w:szCs w:val="22"/>
        </w:rPr>
        <w:t>过程，且与辅酶Q</w:t>
      </w:r>
      <w:r>
        <w:rPr>
          <w:rFonts w:ascii="宋体" w:eastAsia="宋体" w:hAnsi="宋体" w:cs="宋体"/>
          <w:spacing w:val="6"/>
          <w:sz w:val="22"/>
          <w:szCs w:val="22"/>
        </w:rPr>
        <w:t xml:space="preserve"> </w:t>
      </w:r>
      <w:r>
        <w:rPr>
          <w:rFonts w:ascii="宋体" w:eastAsia="宋体" w:hAnsi="宋体" w:cs="宋体"/>
          <w:spacing w:val="-11"/>
          <w:sz w:val="22"/>
          <w:szCs w:val="22"/>
        </w:rPr>
        <w:t>的合成有关。</w:t>
      </w:r>
    </w:p>
    <w:p w:rsidR="00EA40A3" w:rsidRDefault="00E86C16">
      <w:pPr>
        <w:spacing w:before="38" w:line="239" w:lineRule="auto"/>
        <w:ind w:right="83" w:firstLine="410"/>
        <w:rPr>
          <w:rFonts w:ascii="宋体" w:eastAsia="宋体" w:hAnsi="宋体" w:cs="宋体"/>
          <w:sz w:val="22"/>
          <w:szCs w:val="22"/>
        </w:rPr>
      </w:pPr>
      <w:r>
        <w:rPr>
          <w:rFonts w:ascii="宋体" w:eastAsia="宋体" w:hAnsi="宋体" w:cs="宋体"/>
          <w:spacing w:val="-2"/>
          <w:sz w:val="22"/>
          <w:szCs w:val="22"/>
        </w:rPr>
        <w:t>(7)其他。维生素E</w:t>
      </w:r>
      <w:r>
        <w:rPr>
          <w:rFonts w:ascii="宋体" w:eastAsia="宋体" w:hAnsi="宋体" w:cs="宋体"/>
          <w:spacing w:val="-25"/>
          <w:sz w:val="22"/>
          <w:szCs w:val="22"/>
        </w:rPr>
        <w:t xml:space="preserve"> </w:t>
      </w:r>
      <w:r>
        <w:rPr>
          <w:rFonts w:ascii="宋体" w:eastAsia="宋体" w:hAnsi="宋体" w:cs="宋体"/>
          <w:spacing w:val="-2"/>
          <w:sz w:val="22"/>
          <w:szCs w:val="22"/>
        </w:rPr>
        <w:t>抑制含硒蛋白、非血红</w:t>
      </w:r>
      <w:r>
        <w:rPr>
          <w:rFonts w:ascii="宋体" w:eastAsia="宋体" w:hAnsi="宋体" w:cs="宋体"/>
          <w:spacing w:val="-3"/>
          <w:sz w:val="22"/>
          <w:szCs w:val="22"/>
        </w:rPr>
        <w:t>蛋白的含铁蛋白等的氧化；保</w:t>
      </w:r>
      <w:r>
        <w:rPr>
          <w:rFonts w:ascii="宋体" w:eastAsia="宋体" w:hAnsi="宋体" w:cs="宋体"/>
          <w:sz w:val="22"/>
          <w:szCs w:val="22"/>
        </w:rPr>
        <w:t xml:space="preserve"> </w:t>
      </w:r>
      <w:r>
        <w:rPr>
          <w:rFonts w:ascii="宋体" w:eastAsia="宋体" w:hAnsi="宋体" w:cs="宋体"/>
          <w:spacing w:val="-13"/>
          <w:sz w:val="22"/>
          <w:szCs w:val="22"/>
        </w:rPr>
        <w:t>护脱氢酶中的巯基不被氧化或不与重金属离子发生化学反应而失去</w:t>
      </w:r>
      <w:r>
        <w:rPr>
          <w:rFonts w:ascii="宋体" w:eastAsia="宋体" w:hAnsi="宋体" w:cs="宋体"/>
          <w:spacing w:val="-14"/>
          <w:sz w:val="22"/>
          <w:szCs w:val="22"/>
        </w:rPr>
        <w:t>作用；维生素</w:t>
      </w:r>
      <w:r>
        <w:rPr>
          <w:rFonts w:ascii="宋体" w:eastAsia="宋体" w:hAnsi="宋体" w:cs="宋体"/>
          <w:sz w:val="22"/>
          <w:szCs w:val="22"/>
        </w:rPr>
        <w:t xml:space="preserve"> </w:t>
      </w:r>
      <w:r>
        <w:rPr>
          <w:rFonts w:ascii="宋体" w:eastAsia="宋体" w:hAnsi="宋体" w:cs="宋体"/>
          <w:spacing w:val="-5"/>
          <w:sz w:val="22"/>
          <w:szCs w:val="22"/>
        </w:rPr>
        <w:t>E</w:t>
      </w:r>
      <w:r>
        <w:rPr>
          <w:rFonts w:ascii="宋体" w:eastAsia="宋体" w:hAnsi="宋体" w:cs="宋体"/>
          <w:spacing w:val="-34"/>
          <w:sz w:val="22"/>
          <w:szCs w:val="22"/>
        </w:rPr>
        <w:t xml:space="preserve"> </w:t>
      </w:r>
      <w:r>
        <w:rPr>
          <w:rFonts w:ascii="宋体" w:eastAsia="宋体" w:hAnsi="宋体" w:cs="宋体"/>
          <w:spacing w:val="-5"/>
          <w:sz w:val="22"/>
          <w:szCs w:val="22"/>
        </w:rPr>
        <w:t>对半乳糖胺或CCl,所导致的肝损伤的脂质过氧化也有</w:t>
      </w:r>
      <w:r>
        <w:rPr>
          <w:rFonts w:ascii="宋体" w:eastAsia="宋体" w:hAnsi="宋体" w:cs="宋体"/>
          <w:spacing w:val="-6"/>
          <w:sz w:val="22"/>
          <w:szCs w:val="22"/>
        </w:rPr>
        <w:t>一定的抑制作用，对甲</w:t>
      </w:r>
    </w:p>
    <w:p w:rsidR="00EA40A3" w:rsidRDefault="00E86C16">
      <w:pPr>
        <w:spacing w:before="226" w:line="235" w:lineRule="auto"/>
        <w:ind w:right="102"/>
        <w:rPr>
          <w:rFonts w:ascii="宋体" w:eastAsia="宋体" w:hAnsi="宋体" w:cs="宋体"/>
          <w:sz w:val="22"/>
          <w:szCs w:val="22"/>
        </w:rPr>
      </w:pPr>
      <w:r>
        <w:rPr>
          <w:rFonts w:ascii="宋体" w:eastAsia="宋体" w:hAnsi="宋体" w:cs="宋体"/>
          <w:spacing w:val="-8"/>
          <w:sz w:val="22"/>
          <w:szCs w:val="22"/>
        </w:rPr>
        <w:t>基汞及铅中毒有一定的解毒作用。维生素</w:t>
      </w:r>
      <w:r>
        <w:rPr>
          <w:rFonts w:ascii="宋体" w:eastAsia="宋体" w:hAnsi="宋体" w:cs="宋体"/>
          <w:spacing w:val="-58"/>
          <w:sz w:val="22"/>
          <w:szCs w:val="22"/>
        </w:rPr>
        <w:t xml:space="preserve"> </w:t>
      </w:r>
      <w:r>
        <w:rPr>
          <w:rFonts w:ascii="宋体" w:eastAsia="宋体" w:hAnsi="宋体" w:cs="宋体"/>
          <w:spacing w:val="-8"/>
          <w:sz w:val="22"/>
          <w:szCs w:val="22"/>
        </w:rPr>
        <w:t>E</w:t>
      </w:r>
      <w:r>
        <w:rPr>
          <w:rFonts w:ascii="宋体" w:eastAsia="宋体" w:hAnsi="宋体" w:cs="宋体"/>
          <w:spacing w:val="-24"/>
          <w:sz w:val="22"/>
          <w:szCs w:val="22"/>
        </w:rPr>
        <w:t xml:space="preserve"> </w:t>
      </w:r>
      <w:r>
        <w:rPr>
          <w:rFonts w:ascii="宋体" w:eastAsia="宋体" w:hAnsi="宋体" w:cs="宋体"/>
          <w:spacing w:val="-8"/>
          <w:sz w:val="22"/>
          <w:szCs w:val="22"/>
        </w:rPr>
        <w:t>在酸性环境中破坏亚硝基离子的反</w:t>
      </w:r>
      <w:r>
        <w:rPr>
          <w:rFonts w:ascii="宋体" w:eastAsia="宋体" w:hAnsi="宋体" w:cs="宋体"/>
          <w:sz w:val="22"/>
          <w:szCs w:val="22"/>
        </w:rPr>
        <w:t xml:space="preserve"> </w:t>
      </w:r>
      <w:r>
        <w:rPr>
          <w:rFonts w:ascii="宋体" w:eastAsia="宋体" w:hAnsi="宋体" w:cs="宋体"/>
          <w:spacing w:val="-12"/>
          <w:sz w:val="22"/>
          <w:szCs w:val="22"/>
        </w:rPr>
        <w:t>应较快，在胃中阻断亚硝胺生成较维生素C</w:t>
      </w:r>
      <w:r>
        <w:rPr>
          <w:rFonts w:ascii="宋体" w:eastAsia="宋体" w:hAnsi="宋体" w:cs="宋体"/>
          <w:spacing w:val="-8"/>
          <w:sz w:val="22"/>
          <w:szCs w:val="22"/>
        </w:rPr>
        <w:t xml:space="preserve"> </w:t>
      </w:r>
      <w:r>
        <w:rPr>
          <w:rFonts w:ascii="宋体" w:eastAsia="宋体" w:hAnsi="宋体" w:cs="宋体"/>
          <w:spacing w:val="-12"/>
          <w:sz w:val="22"/>
          <w:szCs w:val="22"/>
        </w:rPr>
        <w:t>更有效。</w:t>
      </w:r>
    </w:p>
    <w:p w:rsidR="00EA40A3" w:rsidRDefault="00E86C16">
      <w:pPr>
        <w:spacing w:before="196" w:line="220"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20"/>
          <w:sz w:val="22"/>
          <w:szCs w:val="22"/>
        </w:rPr>
        <w:t xml:space="preserve"> </w:t>
      </w:r>
      <w:r>
        <w:rPr>
          <w:rFonts w:ascii="仿宋" w:eastAsia="仿宋" w:hAnsi="仿宋" w:cs="仿宋"/>
          <w:spacing w:val="13"/>
          <w:sz w:val="22"/>
          <w:szCs w:val="22"/>
        </w:rPr>
        <w:t>维生素E</w:t>
      </w:r>
      <w:r>
        <w:rPr>
          <w:rFonts w:ascii="仿宋" w:eastAsia="仿宋" w:hAnsi="仿宋" w:cs="仿宋"/>
          <w:spacing w:val="35"/>
          <w:sz w:val="22"/>
          <w:szCs w:val="22"/>
        </w:rPr>
        <w:t xml:space="preserve"> </w:t>
      </w:r>
      <w:r>
        <w:rPr>
          <w:rFonts w:ascii="仿宋" w:eastAsia="仿宋" w:hAnsi="仿宋" w:cs="仿宋"/>
          <w:spacing w:val="13"/>
          <w:sz w:val="22"/>
          <w:szCs w:val="22"/>
        </w:rPr>
        <w:t>的缺乏症及毒性</w:t>
      </w:r>
    </w:p>
    <w:p w:rsidR="00EA40A3" w:rsidRDefault="00E86C16">
      <w:pPr>
        <w:spacing w:before="210" w:line="241" w:lineRule="auto"/>
        <w:ind w:right="80" w:firstLine="410"/>
        <w:jc w:val="both"/>
        <w:rPr>
          <w:rFonts w:ascii="宋体" w:eastAsia="宋体" w:hAnsi="宋体" w:cs="宋体"/>
          <w:sz w:val="22"/>
          <w:szCs w:val="22"/>
        </w:rPr>
      </w:pPr>
      <w:r>
        <w:rPr>
          <w:rFonts w:ascii="宋体" w:eastAsia="宋体" w:hAnsi="宋体" w:cs="宋体"/>
          <w:spacing w:val="-11"/>
          <w:sz w:val="22"/>
          <w:szCs w:val="22"/>
        </w:rPr>
        <w:t>维生素E</w:t>
      </w:r>
      <w:r>
        <w:rPr>
          <w:rFonts w:ascii="宋体" w:eastAsia="宋体" w:hAnsi="宋体" w:cs="宋体"/>
          <w:spacing w:val="-7"/>
          <w:sz w:val="22"/>
          <w:szCs w:val="22"/>
        </w:rPr>
        <w:t xml:space="preserve"> </w:t>
      </w:r>
      <w:r>
        <w:rPr>
          <w:rFonts w:ascii="宋体" w:eastAsia="宋体" w:hAnsi="宋体" w:cs="宋体"/>
          <w:spacing w:val="-11"/>
          <w:sz w:val="22"/>
          <w:szCs w:val="22"/>
        </w:rPr>
        <w:t>广泛存在于食物中，</w:t>
      </w:r>
      <w:r>
        <w:rPr>
          <w:rFonts w:ascii="宋体" w:eastAsia="宋体" w:hAnsi="宋体" w:cs="宋体"/>
          <w:spacing w:val="57"/>
          <w:sz w:val="22"/>
          <w:szCs w:val="22"/>
        </w:rPr>
        <w:t xml:space="preserve"> </w:t>
      </w:r>
      <w:r>
        <w:rPr>
          <w:rFonts w:ascii="宋体" w:eastAsia="宋体" w:hAnsi="宋体" w:cs="宋体"/>
          <w:spacing w:val="-11"/>
          <w:sz w:val="22"/>
          <w:szCs w:val="22"/>
        </w:rPr>
        <w:t>一般不会发生缺乏，多年来一直没有在人类</w:t>
      </w:r>
      <w:r>
        <w:rPr>
          <w:rFonts w:ascii="宋体" w:eastAsia="宋体" w:hAnsi="宋体" w:cs="宋体"/>
          <w:sz w:val="22"/>
          <w:szCs w:val="22"/>
        </w:rPr>
        <w:t xml:space="preserve"> </w:t>
      </w:r>
      <w:r>
        <w:rPr>
          <w:rFonts w:ascii="宋体" w:eastAsia="宋体" w:hAnsi="宋体" w:cs="宋体"/>
          <w:spacing w:val="-7"/>
          <w:sz w:val="22"/>
          <w:szCs w:val="22"/>
        </w:rPr>
        <w:t>中找到维生素E</w:t>
      </w:r>
      <w:r>
        <w:rPr>
          <w:rFonts w:ascii="宋体" w:eastAsia="宋体" w:hAnsi="宋体" w:cs="宋体"/>
          <w:spacing w:val="-5"/>
          <w:sz w:val="22"/>
          <w:szCs w:val="22"/>
        </w:rPr>
        <w:t xml:space="preserve"> </w:t>
      </w:r>
      <w:r>
        <w:rPr>
          <w:rFonts w:ascii="宋体" w:eastAsia="宋体" w:hAnsi="宋体" w:cs="宋体"/>
          <w:spacing w:val="-7"/>
          <w:sz w:val="22"/>
          <w:szCs w:val="22"/>
        </w:rPr>
        <w:t>缺乏的证据，但当机体存在脂肪吸收不良或某些疾病时可导致</w:t>
      </w:r>
      <w:r>
        <w:rPr>
          <w:rFonts w:ascii="宋体" w:eastAsia="宋体" w:hAnsi="宋体" w:cs="宋体"/>
          <w:sz w:val="22"/>
          <w:szCs w:val="22"/>
        </w:rPr>
        <w:t xml:space="preserve"> </w:t>
      </w:r>
      <w:r>
        <w:rPr>
          <w:rFonts w:ascii="宋体" w:eastAsia="宋体" w:hAnsi="宋体" w:cs="宋体"/>
          <w:spacing w:val="-3"/>
          <w:sz w:val="22"/>
          <w:szCs w:val="22"/>
        </w:rPr>
        <w:t>维生素E</w:t>
      </w:r>
      <w:r>
        <w:rPr>
          <w:rFonts w:ascii="宋体" w:eastAsia="宋体" w:hAnsi="宋体" w:cs="宋体"/>
          <w:spacing w:val="-25"/>
          <w:sz w:val="22"/>
          <w:szCs w:val="22"/>
        </w:rPr>
        <w:t xml:space="preserve"> </w:t>
      </w:r>
      <w:r>
        <w:rPr>
          <w:rFonts w:ascii="宋体" w:eastAsia="宋体" w:hAnsi="宋体" w:cs="宋体"/>
          <w:spacing w:val="-3"/>
          <w:sz w:val="22"/>
          <w:szCs w:val="22"/>
        </w:rPr>
        <w:t>缺乏，最常见的疾病是囊性纤维变性(婴儿的一种遗传性综合征及</w:t>
      </w:r>
      <w:r>
        <w:rPr>
          <w:rFonts w:ascii="宋体" w:eastAsia="宋体" w:hAnsi="宋体" w:cs="宋体"/>
          <w:spacing w:val="-4"/>
          <w:sz w:val="22"/>
          <w:szCs w:val="22"/>
        </w:rPr>
        <w:t>吸</w:t>
      </w:r>
    </w:p>
    <w:p w:rsidR="00EA40A3" w:rsidRDefault="00E86C16">
      <w:pPr>
        <w:spacing w:before="105"/>
        <w:ind w:right="107"/>
        <w:jc w:val="right"/>
        <w:rPr>
          <w:rFonts w:ascii="宋体" w:eastAsia="宋体" w:hAnsi="宋体" w:cs="宋体"/>
          <w:sz w:val="17"/>
          <w:szCs w:val="17"/>
        </w:rPr>
      </w:pPr>
      <w:r>
        <w:rPr>
          <w:rFonts w:ascii="宋体" w:eastAsia="宋体" w:hAnsi="宋体" w:cs="宋体"/>
          <w:spacing w:val="-20"/>
          <w:sz w:val="17"/>
          <w:szCs w:val="17"/>
        </w:rPr>
        <w:t>· 129</w:t>
      </w:r>
      <w:r>
        <w:rPr>
          <w:rFonts w:ascii="宋体" w:eastAsia="宋体" w:hAnsi="宋体" w:cs="宋体"/>
          <w:spacing w:val="56"/>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1000" w:bottom="400" w:left="879"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72" w:line="247" w:lineRule="auto"/>
        <w:jc w:val="both"/>
        <w:rPr>
          <w:rFonts w:ascii="宋体" w:eastAsia="宋体" w:hAnsi="宋体" w:cs="宋体"/>
          <w:sz w:val="22"/>
          <w:szCs w:val="22"/>
        </w:rPr>
      </w:pPr>
      <w:r>
        <w:rPr>
          <w:rFonts w:ascii="宋体" w:eastAsia="宋体" w:hAnsi="宋体" w:cs="宋体"/>
          <w:spacing w:val="-10"/>
          <w:sz w:val="22"/>
          <w:szCs w:val="22"/>
        </w:rPr>
        <w:t>收不良)、无脂蛋白血症、慢性胆汁淤积性肝病以及其他形式的慢性腹泻；多不</w:t>
      </w:r>
      <w:r>
        <w:rPr>
          <w:rFonts w:ascii="宋体" w:eastAsia="宋体" w:hAnsi="宋体" w:cs="宋体"/>
          <w:spacing w:val="10"/>
          <w:sz w:val="22"/>
          <w:szCs w:val="22"/>
        </w:rPr>
        <w:t xml:space="preserve"> </w:t>
      </w:r>
      <w:r>
        <w:rPr>
          <w:rFonts w:ascii="宋体" w:eastAsia="宋体" w:hAnsi="宋体" w:cs="宋体"/>
          <w:spacing w:val="-6"/>
          <w:sz w:val="22"/>
          <w:szCs w:val="22"/>
        </w:rPr>
        <w:t>饱和脂肪酸摄入过多，也可发生维生素</w:t>
      </w:r>
      <w:r>
        <w:rPr>
          <w:rFonts w:ascii="宋体" w:eastAsia="宋体" w:hAnsi="宋体" w:cs="宋体"/>
          <w:spacing w:val="-49"/>
          <w:sz w:val="22"/>
          <w:szCs w:val="22"/>
        </w:rPr>
        <w:t xml:space="preserve"> </w:t>
      </w:r>
      <w:r>
        <w:rPr>
          <w:rFonts w:ascii="宋体" w:eastAsia="宋体" w:hAnsi="宋体" w:cs="宋体"/>
          <w:spacing w:val="-6"/>
          <w:sz w:val="22"/>
          <w:szCs w:val="22"/>
        </w:rPr>
        <w:t>E</w:t>
      </w:r>
      <w:r>
        <w:rPr>
          <w:rFonts w:ascii="宋体" w:eastAsia="宋体" w:hAnsi="宋体" w:cs="宋体"/>
          <w:spacing w:val="-14"/>
          <w:sz w:val="22"/>
          <w:szCs w:val="22"/>
        </w:rPr>
        <w:t xml:space="preserve"> </w:t>
      </w:r>
      <w:r>
        <w:rPr>
          <w:rFonts w:ascii="宋体" w:eastAsia="宋体" w:hAnsi="宋体" w:cs="宋体"/>
          <w:spacing w:val="-6"/>
          <w:sz w:val="22"/>
          <w:szCs w:val="22"/>
        </w:rPr>
        <w:t>缺乏，表现为血液与组织中维生素E</w:t>
      </w:r>
      <w:r>
        <w:rPr>
          <w:rFonts w:ascii="宋体" w:eastAsia="宋体" w:hAnsi="宋体" w:cs="宋体"/>
          <w:sz w:val="22"/>
          <w:szCs w:val="22"/>
        </w:rPr>
        <w:t xml:space="preserve">  </w:t>
      </w:r>
      <w:r>
        <w:rPr>
          <w:rFonts w:ascii="宋体" w:eastAsia="宋体" w:hAnsi="宋体" w:cs="宋体"/>
          <w:spacing w:val="-6"/>
          <w:sz w:val="22"/>
          <w:szCs w:val="22"/>
        </w:rPr>
        <w:t>降低，红细胞脆性增加，尿中肌酸排出增多。成年人患维生素</w:t>
      </w:r>
      <w:r>
        <w:rPr>
          <w:rFonts w:ascii="宋体" w:eastAsia="宋体" w:hAnsi="宋体" w:cs="宋体"/>
          <w:spacing w:val="-33"/>
          <w:sz w:val="22"/>
          <w:szCs w:val="22"/>
        </w:rPr>
        <w:t xml:space="preserve"> </w:t>
      </w:r>
      <w:r>
        <w:rPr>
          <w:rFonts w:ascii="宋体" w:eastAsia="宋体" w:hAnsi="宋体" w:cs="宋体"/>
          <w:spacing w:val="-6"/>
          <w:sz w:val="22"/>
          <w:szCs w:val="22"/>
        </w:rPr>
        <w:t>E</w:t>
      </w:r>
      <w:r>
        <w:rPr>
          <w:rFonts w:ascii="宋体" w:eastAsia="宋体" w:hAnsi="宋体" w:cs="宋体"/>
          <w:spacing w:val="-24"/>
          <w:sz w:val="22"/>
          <w:szCs w:val="22"/>
        </w:rPr>
        <w:t xml:space="preserve"> </w:t>
      </w:r>
      <w:r>
        <w:rPr>
          <w:rFonts w:ascii="宋体" w:eastAsia="宋体" w:hAnsi="宋体" w:cs="宋体"/>
          <w:spacing w:val="-6"/>
          <w:sz w:val="22"/>
          <w:szCs w:val="22"/>
        </w:rPr>
        <w:t>吸收不良时，</w:t>
      </w:r>
      <w:r>
        <w:rPr>
          <w:rFonts w:ascii="宋体" w:eastAsia="宋体" w:hAnsi="宋体" w:cs="宋体"/>
          <w:sz w:val="22"/>
          <w:szCs w:val="22"/>
        </w:rPr>
        <w:t xml:space="preserve"> </w:t>
      </w:r>
      <w:r>
        <w:rPr>
          <w:rFonts w:ascii="宋体" w:eastAsia="宋体" w:hAnsi="宋体" w:cs="宋体"/>
          <w:spacing w:val="-7"/>
          <w:sz w:val="22"/>
          <w:szCs w:val="22"/>
        </w:rPr>
        <w:t>耐受性较强，需要数年才表现出缺乏症。当应</w:t>
      </w:r>
      <w:r>
        <w:rPr>
          <w:rFonts w:ascii="宋体" w:eastAsia="宋体" w:hAnsi="宋体" w:cs="宋体"/>
          <w:spacing w:val="-8"/>
          <w:sz w:val="22"/>
          <w:szCs w:val="22"/>
        </w:rPr>
        <w:t>用维生素</w:t>
      </w:r>
      <w:r>
        <w:rPr>
          <w:rFonts w:ascii="宋体" w:eastAsia="宋体" w:hAnsi="宋体" w:cs="宋体"/>
          <w:spacing w:val="-50"/>
          <w:sz w:val="22"/>
          <w:szCs w:val="22"/>
        </w:rPr>
        <w:t xml:space="preserve"> </w:t>
      </w:r>
      <w:r>
        <w:rPr>
          <w:rFonts w:ascii="宋体" w:eastAsia="宋体" w:hAnsi="宋体" w:cs="宋体"/>
          <w:spacing w:val="-8"/>
          <w:sz w:val="22"/>
          <w:szCs w:val="22"/>
        </w:rPr>
        <w:t>E</w:t>
      </w:r>
      <w:r>
        <w:rPr>
          <w:rFonts w:ascii="宋体" w:eastAsia="宋体" w:hAnsi="宋体" w:cs="宋体"/>
          <w:spacing w:val="-35"/>
          <w:sz w:val="22"/>
          <w:szCs w:val="22"/>
        </w:rPr>
        <w:t xml:space="preserve"> </w:t>
      </w:r>
      <w:r>
        <w:rPr>
          <w:rFonts w:ascii="宋体" w:eastAsia="宋体" w:hAnsi="宋体" w:cs="宋体"/>
          <w:spacing w:val="-8"/>
          <w:sz w:val="22"/>
          <w:szCs w:val="22"/>
        </w:rPr>
        <w:t>后，上述症状均可显</w:t>
      </w:r>
      <w:r>
        <w:rPr>
          <w:rFonts w:ascii="宋体" w:eastAsia="宋体" w:hAnsi="宋体" w:cs="宋体"/>
          <w:sz w:val="22"/>
          <w:szCs w:val="22"/>
        </w:rPr>
        <w:t xml:space="preserve"> </w:t>
      </w:r>
      <w:r>
        <w:rPr>
          <w:rFonts w:ascii="宋体" w:eastAsia="宋体" w:hAnsi="宋体" w:cs="宋体"/>
          <w:spacing w:val="-9"/>
          <w:sz w:val="22"/>
          <w:szCs w:val="22"/>
        </w:rPr>
        <w:t>著减退。另外，流行病学的研究结果指出，维生素</w:t>
      </w:r>
      <w:r>
        <w:rPr>
          <w:rFonts w:ascii="宋体" w:eastAsia="宋体" w:hAnsi="宋体" w:cs="宋体"/>
          <w:spacing w:val="-43"/>
          <w:sz w:val="22"/>
          <w:szCs w:val="22"/>
        </w:rPr>
        <w:t xml:space="preserve"> </w:t>
      </w:r>
      <w:r>
        <w:rPr>
          <w:rFonts w:ascii="宋体" w:eastAsia="宋体" w:hAnsi="宋体" w:cs="宋体"/>
          <w:spacing w:val="-9"/>
          <w:sz w:val="22"/>
          <w:szCs w:val="22"/>
        </w:rPr>
        <w:t>E</w:t>
      </w:r>
      <w:r>
        <w:rPr>
          <w:rFonts w:ascii="宋体" w:eastAsia="宋体" w:hAnsi="宋体" w:cs="宋体"/>
          <w:spacing w:val="-14"/>
          <w:sz w:val="22"/>
          <w:szCs w:val="22"/>
        </w:rPr>
        <w:t xml:space="preserve"> </w:t>
      </w:r>
      <w:r>
        <w:rPr>
          <w:rFonts w:ascii="宋体" w:eastAsia="宋体" w:hAnsi="宋体" w:cs="宋体"/>
          <w:spacing w:val="-9"/>
          <w:sz w:val="22"/>
          <w:szCs w:val="22"/>
        </w:rPr>
        <w:t>和其他抗氧化剂的摄入量</w:t>
      </w:r>
      <w:r>
        <w:rPr>
          <w:rFonts w:ascii="宋体" w:eastAsia="宋体" w:hAnsi="宋体" w:cs="宋体"/>
          <w:sz w:val="22"/>
          <w:szCs w:val="22"/>
        </w:rPr>
        <w:t xml:space="preserve">  </w:t>
      </w:r>
      <w:r>
        <w:rPr>
          <w:rFonts w:ascii="宋体" w:eastAsia="宋体" w:hAnsi="宋体" w:cs="宋体"/>
          <w:spacing w:val="-7"/>
          <w:sz w:val="22"/>
          <w:szCs w:val="22"/>
        </w:rPr>
        <w:t>以及血浆维生素E</w:t>
      </w:r>
      <w:r>
        <w:rPr>
          <w:rFonts w:ascii="宋体" w:eastAsia="宋体" w:hAnsi="宋体" w:cs="宋体"/>
          <w:spacing w:val="-12"/>
          <w:sz w:val="22"/>
          <w:szCs w:val="22"/>
        </w:rPr>
        <w:t xml:space="preserve"> </w:t>
      </w:r>
      <w:r>
        <w:rPr>
          <w:rFonts w:ascii="宋体" w:eastAsia="宋体" w:hAnsi="宋体" w:cs="宋体"/>
          <w:spacing w:val="-7"/>
          <w:sz w:val="22"/>
          <w:szCs w:val="22"/>
        </w:rPr>
        <w:t>水平较低时，可能会使某些癌症、动脉粥样硬化、白内障及</w:t>
      </w:r>
      <w:r>
        <w:rPr>
          <w:rFonts w:ascii="宋体" w:eastAsia="宋体" w:hAnsi="宋体" w:cs="宋体"/>
          <w:sz w:val="22"/>
          <w:szCs w:val="22"/>
        </w:rPr>
        <w:t xml:space="preserve">  </w:t>
      </w:r>
      <w:r>
        <w:rPr>
          <w:rFonts w:ascii="宋体" w:eastAsia="宋体" w:hAnsi="宋体" w:cs="宋体"/>
          <w:spacing w:val="-16"/>
          <w:sz w:val="22"/>
          <w:szCs w:val="22"/>
        </w:rPr>
        <w:t>其他老年退行性病变的患病危险性增加。</w:t>
      </w:r>
    </w:p>
    <w:p w:rsidR="00EA40A3" w:rsidRDefault="00E86C16">
      <w:pPr>
        <w:spacing w:before="38" w:line="241" w:lineRule="auto"/>
        <w:ind w:right="81" w:firstLine="410"/>
        <w:jc w:val="both"/>
        <w:rPr>
          <w:rFonts w:ascii="宋体" w:eastAsia="宋体" w:hAnsi="宋体" w:cs="宋体"/>
          <w:sz w:val="22"/>
          <w:szCs w:val="22"/>
        </w:rPr>
      </w:pPr>
      <w:r>
        <w:rPr>
          <w:rFonts w:ascii="宋体" w:eastAsia="宋体" w:hAnsi="宋体" w:cs="宋体"/>
          <w:spacing w:val="-6"/>
          <w:sz w:val="22"/>
          <w:szCs w:val="22"/>
        </w:rPr>
        <w:t>由于胎盘转运维生素E</w:t>
      </w:r>
      <w:r>
        <w:rPr>
          <w:rFonts w:ascii="宋体" w:eastAsia="宋体" w:hAnsi="宋体" w:cs="宋体"/>
          <w:spacing w:val="-7"/>
          <w:sz w:val="22"/>
          <w:szCs w:val="22"/>
        </w:rPr>
        <w:t xml:space="preserve"> </w:t>
      </w:r>
      <w:r>
        <w:rPr>
          <w:rFonts w:ascii="宋体" w:eastAsia="宋体" w:hAnsi="宋体" w:cs="宋体"/>
          <w:spacing w:val="-6"/>
          <w:sz w:val="22"/>
          <w:szCs w:val="22"/>
        </w:rPr>
        <w:t>效率较低，新生儿，特别是早产儿血浆维生素E</w:t>
      </w:r>
      <w:r>
        <w:rPr>
          <w:rFonts w:ascii="宋体" w:eastAsia="宋体" w:hAnsi="宋体" w:cs="宋体"/>
          <w:spacing w:val="-24"/>
          <w:sz w:val="22"/>
          <w:szCs w:val="22"/>
        </w:rPr>
        <w:t xml:space="preserve"> </w:t>
      </w:r>
      <w:r>
        <w:rPr>
          <w:rFonts w:ascii="宋体" w:eastAsia="宋体" w:hAnsi="宋体" w:cs="宋体"/>
          <w:spacing w:val="-6"/>
          <w:sz w:val="22"/>
          <w:szCs w:val="22"/>
        </w:rPr>
        <w:t>水</w:t>
      </w:r>
      <w:r>
        <w:rPr>
          <w:rFonts w:ascii="宋体" w:eastAsia="宋体" w:hAnsi="宋体" w:cs="宋体"/>
          <w:sz w:val="22"/>
          <w:szCs w:val="22"/>
        </w:rPr>
        <w:t xml:space="preserve"> </w:t>
      </w:r>
      <w:r>
        <w:rPr>
          <w:rFonts w:ascii="宋体" w:eastAsia="宋体" w:hAnsi="宋体" w:cs="宋体"/>
          <w:spacing w:val="-13"/>
          <w:sz w:val="22"/>
          <w:szCs w:val="22"/>
        </w:rPr>
        <w:t>平较低，因此，细胞膜上多不饱和脂肪酸常易遭氧化与过氧化损伤，而致新生儿</w:t>
      </w:r>
      <w:r>
        <w:rPr>
          <w:rFonts w:ascii="宋体" w:eastAsia="宋体" w:hAnsi="宋体" w:cs="宋体"/>
          <w:spacing w:val="2"/>
          <w:sz w:val="22"/>
          <w:szCs w:val="22"/>
        </w:rPr>
        <w:t xml:space="preserve"> </w:t>
      </w:r>
      <w:r>
        <w:rPr>
          <w:rFonts w:ascii="宋体" w:eastAsia="宋体" w:hAnsi="宋体" w:cs="宋体"/>
          <w:spacing w:val="-11"/>
          <w:sz w:val="22"/>
          <w:szCs w:val="22"/>
        </w:rPr>
        <w:t>易发生溶血性贫血。补充维生素E</w:t>
      </w:r>
      <w:r>
        <w:rPr>
          <w:rFonts w:ascii="宋体" w:eastAsia="宋体" w:hAnsi="宋体" w:cs="宋体"/>
          <w:spacing w:val="-25"/>
          <w:sz w:val="22"/>
          <w:szCs w:val="22"/>
        </w:rPr>
        <w:t xml:space="preserve"> </w:t>
      </w:r>
      <w:r>
        <w:rPr>
          <w:rFonts w:ascii="宋体" w:eastAsia="宋体" w:hAnsi="宋体" w:cs="宋体"/>
          <w:spacing w:val="-11"/>
          <w:sz w:val="22"/>
          <w:szCs w:val="22"/>
        </w:rPr>
        <w:t>可减少贫血，恢</w:t>
      </w:r>
      <w:r>
        <w:rPr>
          <w:rFonts w:ascii="宋体" w:eastAsia="宋体" w:hAnsi="宋体" w:cs="宋体"/>
          <w:spacing w:val="-12"/>
          <w:sz w:val="22"/>
          <w:szCs w:val="22"/>
        </w:rPr>
        <w:t>复血红蛋白正常水平。</w:t>
      </w:r>
    </w:p>
    <w:p w:rsidR="00EA40A3" w:rsidRDefault="00E86C16">
      <w:pPr>
        <w:spacing w:before="49" w:line="239" w:lineRule="auto"/>
        <w:ind w:right="69" w:firstLine="410"/>
        <w:jc w:val="both"/>
        <w:rPr>
          <w:rFonts w:ascii="宋体" w:eastAsia="宋体" w:hAnsi="宋体" w:cs="宋体"/>
          <w:sz w:val="22"/>
          <w:szCs w:val="22"/>
        </w:rPr>
      </w:pPr>
      <w:r>
        <w:rPr>
          <w:rFonts w:ascii="宋体" w:eastAsia="宋体" w:hAnsi="宋体" w:cs="宋体"/>
          <w:spacing w:val="-7"/>
          <w:sz w:val="22"/>
          <w:szCs w:val="22"/>
        </w:rPr>
        <w:t>在脂溶性维生素中，维生素</w:t>
      </w:r>
      <w:r>
        <w:rPr>
          <w:rFonts w:ascii="宋体" w:eastAsia="宋体" w:hAnsi="宋体" w:cs="宋体"/>
          <w:spacing w:val="-49"/>
          <w:sz w:val="22"/>
          <w:szCs w:val="22"/>
        </w:rPr>
        <w:t xml:space="preserve"> </w:t>
      </w:r>
      <w:r>
        <w:rPr>
          <w:rFonts w:ascii="宋体" w:eastAsia="宋体" w:hAnsi="宋体" w:cs="宋体"/>
          <w:spacing w:val="-7"/>
          <w:sz w:val="22"/>
          <w:szCs w:val="22"/>
        </w:rPr>
        <w:t>E</w:t>
      </w:r>
      <w:r>
        <w:rPr>
          <w:rFonts w:ascii="宋体" w:eastAsia="宋体" w:hAnsi="宋体" w:cs="宋体"/>
          <w:spacing w:val="-14"/>
          <w:sz w:val="22"/>
          <w:szCs w:val="22"/>
        </w:rPr>
        <w:t xml:space="preserve"> </w:t>
      </w:r>
      <w:r>
        <w:rPr>
          <w:rFonts w:ascii="宋体" w:eastAsia="宋体" w:hAnsi="宋体" w:cs="宋体"/>
          <w:spacing w:val="-7"/>
          <w:sz w:val="22"/>
          <w:szCs w:val="22"/>
        </w:rPr>
        <w:t>的毒性比较低，动物实验未见维生素E</w:t>
      </w:r>
      <w:r>
        <w:rPr>
          <w:rFonts w:ascii="宋体" w:eastAsia="宋体" w:hAnsi="宋体" w:cs="宋体"/>
          <w:spacing w:val="-14"/>
          <w:sz w:val="22"/>
          <w:szCs w:val="22"/>
        </w:rPr>
        <w:t xml:space="preserve"> </w:t>
      </w:r>
      <w:r>
        <w:rPr>
          <w:rFonts w:ascii="宋体" w:eastAsia="宋体" w:hAnsi="宋体" w:cs="宋体"/>
          <w:spacing w:val="-7"/>
          <w:sz w:val="22"/>
          <w:szCs w:val="22"/>
        </w:rPr>
        <w:t>有致</w:t>
      </w:r>
      <w:r>
        <w:rPr>
          <w:rFonts w:ascii="宋体" w:eastAsia="宋体" w:hAnsi="宋体" w:cs="宋体"/>
          <w:sz w:val="22"/>
          <w:szCs w:val="22"/>
        </w:rPr>
        <w:t xml:space="preserve"> </w:t>
      </w:r>
      <w:r>
        <w:rPr>
          <w:rFonts w:ascii="宋体" w:eastAsia="宋体" w:hAnsi="宋体" w:cs="宋体"/>
          <w:spacing w:val="-8"/>
          <w:sz w:val="22"/>
          <w:szCs w:val="22"/>
        </w:rPr>
        <w:t>畸、致癌、致突变作用。但大剂量维生素</w:t>
      </w:r>
      <w:r>
        <w:rPr>
          <w:rFonts w:ascii="宋体" w:eastAsia="宋体" w:hAnsi="宋体" w:cs="宋体"/>
          <w:spacing w:val="-61"/>
          <w:sz w:val="22"/>
          <w:szCs w:val="22"/>
        </w:rPr>
        <w:t xml:space="preserve"> </w:t>
      </w:r>
      <w:r>
        <w:rPr>
          <w:rFonts w:ascii="宋体" w:eastAsia="宋体" w:hAnsi="宋体" w:cs="宋体"/>
          <w:spacing w:val="-8"/>
          <w:sz w:val="22"/>
          <w:szCs w:val="22"/>
        </w:rPr>
        <w:t>E</w:t>
      </w:r>
      <w:r>
        <w:rPr>
          <w:rFonts w:ascii="宋体" w:eastAsia="宋体" w:hAnsi="宋体" w:cs="宋体"/>
          <w:spacing w:val="-4"/>
          <w:sz w:val="22"/>
          <w:szCs w:val="22"/>
        </w:rPr>
        <w:t xml:space="preserve"> </w:t>
      </w:r>
      <w:r>
        <w:rPr>
          <w:rFonts w:ascii="宋体" w:eastAsia="宋体" w:hAnsi="宋体" w:cs="宋体"/>
          <w:spacing w:val="-8"/>
          <w:sz w:val="22"/>
          <w:szCs w:val="22"/>
        </w:rPr>
        <w:t>可引起短期的胃肠道不</w:t>
      </w:r>
      <w:r>
        <w:rPr>
          <w:rFonts w:ascii="宋体" w:eastAsia="宋体" w:hAnsi="宋体" w:cs="宋体"/>
          <w:spacing w:val="-9"/>
          <w:sz w:val="22"/>
          <w:szCs w:val="22"/>
        </w:rPr>
        <w:t>适。早产儿</w:t>
      </w:r>
      <w:r>
        <w:rPr>
          <w:rFonts w:ascii="宋体" w:eastAsia="宋体" w:hAnsi="宋体" w:cs="宋体"/>
          <w:sz w:val="22"/>
          <w:szCs w:val="22"/>
        </w:rPr>
        <w:t xml:space="preserve"> </w:t>
      </w:r>
      <w:r>
        <w:rPr>
          <w:rFonts w:ascii="宋体" w:eastAsia="宋体" w:hAnsi="宋体" w:cs="宋体"/>
          <w:spacing w:val="-6"/>
          <w:sz w:val="22"/>
          <w:szCs w:val="22"/>
        </w:rPr>
        <w:t>大量口服维生素E</w:t>
      </w:r>
      <w:r>
        <w:rPr>
          <w:rFonts w:ascii="宋体" w:eastAsia="宋体" w:hAnsi="宋体" w:cs="宋体"/>
          <w:spacing w:val="-28"/>
          <w:sz w:val="22"/>
          <w:szCs w:val="22"/>
        </w:rPr>
        <w:t xml:space="preserve"> </w:t>
      </w:r>
      <w:r>
        <w:rPr>
          <w:rFonts w:ascii="宋体" w:eastAsia="宋体" w:hAnsi="宋体" w:cs="宋体"/>
          <w:spacing w:val="-6"/>
          <w:sz w:val="22"/>
          <w:szCs w:val="22"/>
        </w:rPr>
        <w:t>制剂常可使坏死性小肠结肠炎发生率明显增加。摄入大量维</w:t>
      </w:r>
      <w:r>
        <w:rPr>
          <w:rFonts w:ascii="宋体" w:eastAsia="宋体" w:hAnsi="宋体" w:cs="宋体"/>
          <w:sz w:val="22"/>
          <w:szCs w:val="22"/>
        </w:rPr>
        <w:t xml:space="preserve"> </w:t>
      </w:r>
      <w:r>
        <w:rPr>
          <w:rFonts w:ascii="宋体" w:eastAsia="宋体" w:hAnsi="宋体" w:cs="宋体"/>
          <w:spacing w:val="1"/>
          <w:sz w:val="22"/>
          <w:szCs w:val="22"/>
        </w:rPr>
        <w:t>生素E</w:t>
      </w:r>
      <w:r>
        <w:rPr>
          <w:rFonts w:ascii="宋体" w:eastAsia="宋体" w:hAnsi="宋体" w:cs="宋体"/>
          <w:spacing w:val="-25"/>
          <w:sz w:val="22"/>
          <w:szCs w:val="22"/>
        </w:rPr>
        <w:t xml:space="preserve"> </w:t>
      </w:r>
      <w:r>
        <w:rPr>
          <w:rFonts w:ascii="宋体" w:eastAsia="宋体" w:hAnsi="宋体" w:cs="宋体"/>
          <w:spacing w:val="1"/>
          <w:sz w:val="22"/>
          <w:szCs w:val="22"/>
        </w:rPr>
        <w:t>还可能干扰维生素A</w:t>
      </w:r>
      <w:r>
        <w:rPr>
          <w:rFonts w:ascii="宋体" w:eastAsia="宋体" w:hAnsi="宋体" w:cs="宋体"/>
          <w:spacing w:val="-8"/>
          <w:sz w:val="22"/>
          <w:szCs w:val="22"/>
        </w:rPr>
        <w:t xml:space="preserve"> </w:t>
      </w:r>
      <w:r>
        <w:rPr>
          <w:rFonts w:ascii="宋体" w:eastAsia="宋体" w:hAnsi="宋体" w:cs="宋体"/>
          <w:spacing w:val="1"/>
          <w:sz w:val="22"/>
          <w:szCs w:val="22"/>
        </w:rPr>
        <w:t>和维生素K</w:t>
      </w:r>
      <w:r>
        <w:rPr>
          <w:rFonts w:ascii="宋体" w:eastAsia="宋体" w:hAnsi="宋体" w:cs="宋体"/>
          <w:spacing w:val="5"/>
          <w:sz w:val="22"/>
          <w:szCs w:val="22"/>
        </w:rPr>
        <w:t xml:space="preserve"> </w:t>
      </w:r>
      <w:r>
        <w:rPr>
          <w:rFonts w:ascii="宋体" w:eastAsia="宋体" w:hAnsi="宋体" w:cs="宋体"/>
          <w:spacing w:val="1"/>
          <w:sz w:val="22"/>
          <w:szCs w:val="22"/>
        </w:rPr>
        <w:t>的吸收，增强抗</w:t>
      </w:r>
      <w:r>
        <w:rPr>
          <w:rFonts w:ascii="宋体" w:eastAsia="宋体" w:hAnsi="宋体" w:cs="宋体"/>
          <w:sz w:val="22"/>
          <w:szCs w:val="22"/>
        </w:rPr>
        <w:t xml:space="preserve">凝药物(如香豆素)的 </w:t>
      </w:r>
      <w:r>
        <w:rPr>
          <w:rFonts w:ascii="宋体" w:eastAsia="宋体" w:hAnsi="宋体" w:cs="宋体"/>
          <w:spacing w:val="-8"/>
          <w:sz w:val="22"/>
          <w:szCs w:val="22"/>
        </w:rPr>
        <w:t>抗凝作用，因此，使用抗凝药物或有维生素</w:t>
      </w:r>
      <w:r>
        <w:rPr>
          <w:rFonts w:ascii="宋体" w:eastAsia="宋体" w:hAnsi="宋体" w:cs="宋体"/>
          <w:spacing w:val="-60"/>
          <w:sz w:val="22"/>
          <w:szCs w:val="22"/>
        </w:rPr>
        <w:t xml:space="preserve"> </w:t>
      </w:r>
      <w:r>
        <w:rPr>
          <w:rFonts w:ascii="宋体" w:eastAsia="宋体" w:hAnsi="宋体" w:cs="宋体"/>
          <w:spacing w:val="-8"/>
          <w:sz w:val="22"/>
          <w:szCs w:val="22"/>
        </w:rPr>
        <w:t>K</w:t>
      </w:r>
      <w:r>
        <w:rPr>
          <w:rFonts w:ascii="宋体" w:eastAsia="宋体" w:hAnsi="宋体" w:cs="宋体"/>
          <w:spacing w:val="5"/>
          <w:sz w:val="22"/>
          <w:szCs w:val="22"/>
        </w:rPr>
        <w:t xml:space="preserve"> </w:t>
      </w:r>
      <w:r>
        <w:rPr>
          <w:rFonts w:ascii="宋体" w:eastAsia="宋体" w:hAnsi="宋体" w:cs="宋体"/>
          <w:spacing w:val="-9"/>
          <w:sz w:val="22"/>
          <w:szCs w:val="22"/>
        </w:rPr>
        <w:t>缺乏的人，在没有密切医疗监控</w:t>
      </w:r>
      <w:r>
        <w:rPr>
          <w:rFonts w:ascii="宋体" w:eastAsia="宋体" w:hAnsi="宋体" w:cs="宋体"/>
          <w:sz w:val="22"/>
          <w:szCs w:val="22"/>
        </w:rPr>
        <w:t xml:space="preserve"> </w:t>
      </w:r>
      <w:r>
        <w:rPr>
          <w:rFonts w:ascii="宋体" w:eastAsia="宋体" w:hAnsi="宋体" w:cs="宋体"/>
          <w:spacing w:val="-12"/>
          <w:sz w:val="22"/>
          <w:szCs w:val="22"/>
        </w:rPr>
        <w:t>下使用维生素E</w:t>
      </w:r>
      <w:r>
        <w:rPr>
          <w:rFonts w:ascii="宋体" w:eastAsia="宋体" w:hAnsi="宋体" w:cs="宋体"/>
          <w:spacing w:val="-22"/>
          <w:sz w:val="22"/>
          <w:szCs w:val="22"/>
        </w:rPr>
        <w:t xml:space="preserve"> </w:t>
      </w:r>
      <w:r>
        <w:rPr>
          <w:rFonts w:ascii="宋体" w:eastAsia="宋体" w:hAnsi="宋体" w:cs="宋体"/>
          <w:spacing w:val="-12"/>
          <w:sz w:val="22"/>
          <w:szCs w:val="22"/>
        </w:rPr>
        <w:t>补充剂，有增加出血致命的危险。</w:t>
      </w:r>
    </w:p>
    <w:p w:rsidR="00EA40A3" w:rsidRDefault="00E86C16">
      <w:pPr>
        <w:spacing w:before="236"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6"/>
          <w:sz w:val="22"/>
          <w:szCs w:val="22"/>
        </w:rPr>
        <w:t xml:space="preserve"> </w:t>
      </w:r>
      <w:r>
        <w:rPr>
          <w:rFonts w:ascii="仿宋" w:eastAsia="仿宋" w:hAnsi="仿宋" w:cs="仿宋"/>
          <w:spacing w:val="14"/>
          <w:sz w:val="22"/>
          <w:szCs w:val="22"/>
        </w:rPr>
        <w:t>维生素E</w:t>
      </w:r>
      <w:r>
        <w:rPr>
          <w:rFonts w:ascii="仿宋" w:eastAsia="仿宋" w:hAnsi="仿宋" w:cs="仿宋"/>
          <w:spacing w:val="25"/>
          <w:sz w:val="22"/>
          <w:szCs w:val="22"/>
        </w:rPr>
        <w:t xml:space="preserve"> </w:t>
      </w:r>
      <w:r>
        <w:rPr>
          <w:rFonts w:ascii="仿宋" w:eastAsia="仿宋" w:hAnsi="仿宋" w:cs="仿宋"/>
          <w:spacing w:val="14"/>
          <w:sz w:val="22"/>
          <w:szCs w:val="22"/>
        </w:rPr>
        <w:t>的参考摄入量与食物来源</w:t>
      </w:r>
    </w:p>
    <w:p w:rsidR="00EA40A3" w:rsidRDefault="00E86C16">
      <w:pPr>
        <w:spacing w:before="195"/>
        <w:ind w:right="72" w:firstLine="410"/>
        <w:rPr>
          <w:rFonts w:ascii="宋体" w:eastAsia="宋体" w:hAnsi="宋体" w:cs="宋体"/>
          <w:sz w:val="22"/>
          <w:szCs w:val="22"/>
        </w:rPr>
      </w:pPr>
      <w:r>
        <w:rPr>
          <w:rFonts w:ascii="宋体" w:eastAsia="宋体" w:hAnsi="宋体" w:cs="宋体"/>
          <w:spacing w:val="-5"/>
          <w:sz w:val="22"/>
          <w:szCs w:val="22"/>
        </w:rPr>
        <w:t>我国居民膳食维生素E</w:t>
      </w:r>
      <w:r>
        <w:rPr>
          <w:rFonts w:ascii="宋体" w:eastAsia="宋体" w:hAnsi="宋体" w:cs="宋体"/>
          <w:spacing w:val="-14"/>
          <w:sz w:val="22"/>
          <w:szCs w:val="22"/>
        </w:rPr>
        <w:t xml:space="preserve"> </w:t>
      </w:r>
      <w:r>
        <w:rPr>
          <w:rFonts w:ascii="宋体" w:eastAsia="宋体" w:hAnsi="宋体" w:cs="宋体"/>
          <w:spacing w:val="-5"/>
          <w:sz w:val="22"/>
          <w:szCs w:val="22"/>
        </w:rPr>
        <w:t>的</w:t>
      </w:r>
      <w:r>
        <w:rPr>
          <w:rFonts w:ascii="宋体" w:eastAsia="宋体" w:hAnsi="宋体" w:cs="宋体"/>
          <w:spacing w:val="-44"/>
          <w:sz w:val="22"/>
          <w:szCs w:val="22"/>
        </w:rPr>
        <w:t xml:space="preserve"> </w:t>
      </w:r>
      <w:r>
        <w:rPr>
          <w:rFonts w:ascii="宋体" w:eastAsia="宋体" w:hAnsi="宋体" w:cs="宋体"/>
          <w:spacing w:val="-5"/>
          <w:sz w:val="22"/>
          <w:szCs w:val="22"/>
        </w:rPr>
        <w:t>AI(mgα-TE/d,α-TE</w:t>
      </w:r>
      <w:r>
        <w:rPr>
          <w:rFonts w:ascii="宋体" w:eastAsia="宋体" w:hAnsi="宋体" w:cs="宋体"/>
          <w:spacing w:val="62"/>
          <w:sz w:val="22"/>
          <w:szCs w:val="22"/>
        </w:rPr>
        <w:t xml:space="preserve"> </w:t>
      </w:r>
      <w:r>
        <w:rPr>
          <w:rFonts w:ascii="宋体" w:eastAsia="宋体" w:hAnsi="宋体" w:cs="宋体"/>
          <w:spacing w:val="-5"/>
          <w:sz w:val="22"/>
          <w:szCs w:val="22"/>
        </w:rPr>
        <w:t>为α-生育酚</w:t>
      </w:r>
      <w:r>
        <w:rPr>
          <w:rFonts w:ascii="宋体" w:eastAsia="宋体" w:hAnsi="宋体" w:cs="宋体"/>
          <w:spacing w:val="-6"/>
          <w:sz w:val="22"/>
          <w:szCs w:val="22"/>
        </w:rPr>
        <w:t>当量)分别定</w:t>
      </w:r>
      <w:r>
        <w:rPr>
          <w:rFonts w:ascii="宋体" w:eastAsia="宋体" w:hAnsi="宋体" w:cs="宋体"/>
          <w:sz w:val="22"/>
          <w:szCs w:val="22"/>
        </w:rPr>
        <w:t xml:space="preserve"> </w:t>
      </w:r>
      <w:r>
        <w:rPr>
          <w:rFonts w:ascii="宋体" w:eastAsia="宋体" w:hAnsi="宋体" w:cs="宋体"/>
          <w:spacing w:val="8"/>
          <w:sz w:val="22"/>
          <w:szCs w:val="22"/>
        </w:rPr>
        <w:t>为：0岁约3、1岁约4、4岁约5、7岁约7、11岁约10、14岁以上(含孕妇和</w:t>
      </w:r>
      <w:r>
        <w:rPr>
          <w:rFonts w:ascii="宋体" w:eastAsia="宋体" w:hAnsi="宋体" w:cs="宋体"/>
          <w:spacing w:val="14"/>
          <w:sz w:val="22"/>
          <w:szCs w:val="22"/>
        </w:rPr>
        <w:t xml:space="preserve"> </w:t>
      </w:r>
      <w:r>
        <w:rPr>
          <w:rFonts w:ascii="宋体" w:eastAsia="宋体" w:hAnsi="宋体" w:cs="宋体"/>
          <w:spacing w:val="-4"/>
          <w:sz w:val="22"/>
          <w:szCs w:val="22"/>
        </w:rPr>
        <w:t>乳母)均为14。当多不饱和脂肪酸摄入量较多时</w:t>
      </w:r>
      <w:r>
        <w:rPr>
          <w:rFonts w:ascii="宋体" w:eastAsia="宋体" w:hAnsi="宋体" w:cs="宋体"/>
          <w:spacing w:val="-5"/>
          <w:sz w:val="22"/>
          <w:szCs w:val="22"/>
        </w:rPr>
        <w:t>，相应的应增加维生素</w:t>
      </w:r>
      <w:r>
        <w:rPr>
          <w:rFonts w:ascii="宋体" w:eastAsia="宋体" w:hAnsi="宋体" w:cs="宋体"/>
          <w:spacing w:val="-61"/>
          <w:sz w:val="22"/>
          <w:szCs w:val="22"/>
        </w:rPr>
        <w:t xml:space="preserve"> </w:t>
      </w:r>
      <w:r>
        <w:rPr>
          <w:rFonts w:ascii="宋体" w:eastAsia="宋体" w:hAnsi="宋体" w:cs="宋体"/>
          <w:spacing w:val="-5"/>
          <w:sz w:val="22"/>
          <w:szCs w:val="22"/>
        </w:rPr>
        <w:t>E</w:t>
      </w:r>
      <w:r>
        <w:rPr>
          <w:rFonts w:ascii="宋体" w:eastAsia="宋体" w:hAnsi="宋体" w:cs="宋体"/>
          <w:spacing w:val="-14"/>
          <w:sz w:val="22"/>
          <w:szCs w:val="22"/>
        </w:rPr>
        <w:t xml:space="preserve"> </w:t>
      </w:r>
      <w:r>
        <w:rPr>
          <w:rFonts w:ascii="宋体" w:eastAsia="宋体" w:hAnsi="宋体" w:cs="宋体"/>
          <w:spacing w:val="-5"/>
          <w:sz w:val="22"/>
          <w:szCs w:val="22"/>
        </w:rPr>
        <w:t>的摄</w:t>
      </w:r>
      <w:r>
        <w:rPr>
          <w:rFonts w:ascii="宋体" w:eastAsia="宋体" w:hAnsi="宋体" w:cs="宋体"/>
          <w:sz w:val="22"/>
          <w:szCs w:val="22"/>
        </w:rPr>
        <w:t xml:space="preserve"> </w:t>
      </w:r>
      <w:r>
        <w:rPr>
          <w:rFonts w:ascii="宋体" w:eastAsia="宋体" w:hAnsi="宋体" w:cs="宋体"/>
          <w:spacing w:val="-9"/>
          <w:sz w:val="22"/>
          <w:szCs w:val="22"/>
        </w:rPr>
        <w:t>入量，</w:t>
      </w:r>
      <w:r>
        <w:rPr>
          <w:rFonts w:ascii="宋体" w:eastAsia="宋体" w:hAnsi="宋体" w:cs="宋体"/>
          <w:spacing w:val="1"/>
          <w:sz w:val="22"/>
          <w:szCs w:val="22"/>
        </w:rPr>
        <w:t xml:space="preserve"> </w:t>
      </w:r>
      <w:r>
        <w:rPr>
          <w:rFonts w:ascii="宋体" w:eastAsia="宋体" w:hAnsi="宋体" w:cs="宋体"/>
          <w:spacing w:val="-9"/>
          <w:sz w:val="22"/>
          <w:szCs w:val="22"/>
        </w:rPr>
        <w:t>…般每摄入lg</w:t>
      </w:r>
      <w:r>
        <w:rPr>
          <w:rFonts w:ascii="宋体" w:eastAsia="宋体" w:hAnsi="宋体" w:cs="宋体"/>
          <w:spacing w:val="-59"/>
          <w:sz w:val="22"/>
          <w:szCs w:val="22"/>
        </w:rPr>
        <w:t xml:space="preserve"> </w:t>
      </w:r>
      <w:r>
        <w:rPr>
          <w:rFonts w:ascii="宋体" w:eastAsia="宋体" w:hAnsi="宋体" w:cs="宋体"/>
          <w:spacing w:val="-9"/>
          <w:sz w:val="22"/>
          <w:szCs w:val="22"/>
        </w:rPr>
        <w:t>多不饱和脂肪酸应摄入0.4mg</w:t>
      </w:r>
      <w:r>
        <w:rPr>
          <w:rFonts w:ascii="宋体" w:eastAsia="宋体" w:hAnsi="宋体" w:cs="宋体"/>
          <w:spacing w:val="-8"/>
          <w:sz w:val="22"/>
          <w:szCs w:val="22"/>
        </w:rPr>
        <w:t xml:space="preserve"> </w:t>
      </w:r>
      <w:r>
        <w:rPr>
          <w:rFonts w:ascii="宋体" w:eastAsia="宋体" w:hAnsi="宋体" w:cs="宋体"/>
          <w:spacing w:val="-10"/>
          <w:sz w:val="22"/>
          <w:szCs w:val="22"/>
        </w:rPr>
        <w:t>维生素E。</w:t>
      </w:r>
      <w:r>
        <w:rPr>
          <w:rFonts w:ascii="宋体" w:eastAsia="宋体" w:hAnsi="宋体" w:cs="宋体"/>
          <w:spacing w:val="-41"/>
          <w:sz w:val="22"/>
          <w:szCs w:val="22"/>
        </w:rPr>
        <w:t xml:space="preserve"> </w:t>
      </w:r>
      <w:r>
        <w:rPr>
          <w:rFonts w:ascii="宋体" w:eastAsia="宋体" w:hAnsi="宋体" w:cs="宋体"/>
          <w:spacing w:val="-10"/>
          <w:sz w:val="22"/>
          <w:szCs w:val="22"/>
        </w:rPr>
        <w:t>维生素</w:t>
      </w:r>
      <w:r>
        <w:rPr>
          <w:rFonts w:ascii="宋体" w:eastAsia="宋体" w:hAnsi="宋体" w:cs="宋体"/>
          <w:spacing w:val="-48"/>
          <w:sz w:val="22"/>
          <w:szCs w:val="22"/>
        </w:rPr>
        <w:t xml:space="preserve"> </w:t>
      </w:r>
      <w:r>
        <w:rPr>
          <w:rFonts w:ascii="宋体" w:eastAsia="宋体" w:hAnsi="宋体" w:cs="宋体"/>
          <w:spacing w:val="-10"/>
          <w:sz w:val="22"/>
          <w:szCs w:val="22"/>
        </w:rPr>
        <w:t>E</w:t>
      </w:r>
      <w:r>
        <w:rPr>
          <w:rFonts w:ascii="宋体" w:eastAsia="宋体" w:hAnsi="宋体" w:cs="宋体"/>
          <w:spacing w:val="-14"/>
          <w:sz w:val="22"/>
          <w:szCs w:val="22"/>
        </w:rPr>
        <w:t xml:space="preserve"> </w:t>
      </w:r>
      <w:r>
        <w:rPr>
          <w:rFonts w:ascii="宋体" w:eastAsia="宋体" w:hAnsi="宋体" w:cs="宋体"/>
          <w:spacing w:val="-10"/>
          <w:sz w:val="22"/>
          <w:szCs w:val="22"/>
        </w:rPr>
        <w:t>的</w:t>
      </w:r>
      <w:r>
        <w:rPr>
          <w:rFonts w:ascii="宋体" w:eastAsia="宋体" w:hAnsi="宋体" w:cs="宋体"/>
          <w:spacing w:val="-43"/>
          <w:sz w:val="22"/>
          <w:szCs w:val="22"/>
        </w:rPr>
        <w:t xml:space="preserve"> </w:t>
      </w:r>
      <w:r>
        <w:rPr>
          <w:rFonts w:ascii="宋体" w:eastAsia="宋体" w:hAnsi="宋体" w:cs="宋体"/>
          <w:spacing w:val="-9"/>
          <w:sz w:val="22"/>
          <w:szCs w:val="22"/>
        </w:rPr>
        <w:t>UL</w:t>
      </w:r>
      <w:r>
        <w:rPr>
          <w:rFonts w:ascii="宋体" w:eastAsia="宋体" w:hAnsi="宋体" w:cs="宋体"/>
          <w:sz w:val="22"/>
          <w:szCs w:val="22"/>
        </w:rPr>
        <w:t xml:space="preserve">  </w:t>
      </w:r>
      <w:r>
        <w:rPr>
          <w:rFonts w:ascii="宋体" w:eastAsia="宋体" w:hAnsi="宋体" w:cs="宋体"/>
          <w:spacing w:val="1"/>
          <w:sz w:val="22"/>
          <w:szCs w:val="22"/>
        </w:rPr>
        <w:t>(</w:t>
      </w:r>
      <w:r>
        <w:rPr>
          <w:rFonts w:ascii="宋体" w:eastAsia="宋体" w:hAnsi="宋体" w:cs="宋体"/>
          <w:sz w:val="22"/>
          <w:szCs w:val="22"/>
        </w:rPr>
        <w:t>mg</w:t>
      </w:r>
      <w:r>
        <w:rPr>
          <w:rFonts w:ascii="宋体" w:eastAsia="宋体" w:hAnsi="宋体" w:cs="宋体"/>
          <w:spacing w:val="1"/>
          <w:sz w:val="22"/>
          <w:szCs w:val="22"/>
        </w:rPr>
        <w:t>α-</w:t>
      </w:r>
      <w:r>
        <w:rPr>
          <w:rFonts w:ascii="宋体" w:eastAsia="宋体" w:hAnsi="宋体" w:cs="宋体"/>
          <w:sz w:val="22"/>
          <w:szCs w:val="22"/>
        </w:rPr>
        <w:t>TE</w:t>
      </w:r>
      <w:r>
        <w:rPr>
          <w:rFonts w:ascii="宋体" w:eastAsia="宋体" w:hAnsi="宋体" w:cs="宋体"/>
          <w:spacing w:val="1"/>
          <w:sz w:val="22"/>
          <w:szCs w:val="22"/>
        </w:rPr>
        <w:t>/d)</w:t>
      </w:r>
      <w:r>
        <w:rPr>
          <w:rFonts w:ascii="宋体" w:eastAsia="宋体" w:hAnsi="宋体" w:cs="宋体"/>
          <w:spacing w:val="37"/>
          <w:sz w:val="22"/>
          <w:szCs w:val="22"/>
        </w:rPr>
        <w:t xml:space="preserve"> </w:t>
      </w:r>
      <w:r>
        <w:rPr>
          <w:rFonts w:ascii="宋体" w:eastAsia="宋体" w:hAnsi="宋体" w:cs="宋体"/>
          <w:spacing w:val="1"/>
          <w:sz w:val="22"/>
          <w:szCs w:val="22"/>
        </w:rPr>
        <w:t>分别定为：婴儿3、1岁约4、4岁约5、7岁约7、11岁约10、14</w:t>
      </w:r>
      <w:r>
        <w:rPr>
          <w:rFonts w:ascii="宋体" w:eastAsia="宋体" w:hAnsi="宋体" w:cs="宋体"/>
          <w:sz w:val="22"/>
          <w:szCs w:val="22"/>
        </w:rPr>
        <w:t xml:space="preserve"> </w:t>
      </w:r>
      <w:r>
        <w:rPr>
          <w:rFonts w:ascii="宋体" w:eastAsia="宋体" w:hAnsi="宋体" w:cs="宋体"/>
          <w:spacing w:val="-1"/>
          <w:sz w:val="22"/>
          <w:szCs w:val="22"/>
        </w:rPr>
        <w:t>岁以上各人群(含孕妇和乳母)14。维生素</w:t>
      </w:r>
      <w:r>
        <w:rPr>
          <w:rFonts w:ascii="宋体" w:eastAsia="宋体" w:hAnsi="宋体" w:cs="宋体"/>
          <w:spacing w:val="-61"/>
          <w:sz w:val="22"/>
          <w:szCs w:val="22"/>
        </w:rPr>
        <w:t xml:space="preserve"> </w:t>
      </w:r>
      <w:r>
        <w:rPr>
          <w:rFonts w:ascii="宋体" w:eastAsia="宋体" w:hAnsi="宋体" w:cs="宋体"/>
          <w:spacing w:val="-1"/>
          <w:sz w:val="22"/>
          <w:szCs w:val="22"/>
        </w:rPr>
        <w:t>E</w:t>
      </w:r>
      <w:r>
        <w:rPr>
          <w:rFonts w:ascii="宋体" w:eastAsia="宋体" w:hAnsi="宋体" w:cs="宋体"/>
          <w:spacing w:val="-14"/>
          <w:sz w:val="22"/>
          <w:szCs w:val="22"/>
        </w:rPr>
        <w:t xml:space="preserve"> </w:t>
      </w:r>
      <w:r>
        <w:rPr>
          <w:rFonts w:ascii="宋体" w:eastAsia="宋体" w:hAnsi="宋体" w:cs="宋体"/>
          <w:spacing w:val="-1"/>
          <w:sz w:val="22"/>
          <w:szCs w:val="22"/>
        </w:rPr>
        <w:t>的无毒不良</w:t>
      </w:r>
      <w:r>
        <w:rPr>
          <w:rFonts w:ascii="宋体" w:eastAsia="宋体" w:hAnsi="宋体" w:cs="宋体"/>
          <w:spacing w:val="-2"/>
          <w:sz w:val="22"/>
          <w:szCs w:val="22"/>
        </w:rPr>
        <w:t>反应水平</w:t>
      </w:r>
      <w:r>
        <w:rPr>
          <w:rFonts w:ascii="宋体" w:eastAsia="宋体" w:hAnsi="宋体" w:cs="宋体"/>
          <w:spacing w:val="-14"/>
          <w:sz w:val="22"/>
          <w:szCs w:val="22"/>
        </w:rPr>
        <w:t xml:space="preserve"> </w:t>
      </w:r>
      <w:r>
        <w:rPr>
          <w:rFonts w:ascii="宋体" w:eastAsia="宋体" w:hAnsi="宋体" w:cs="宋体"/>
          <w:spacing w:val="-2"/>
          <w:sz w:val="22"/>
          <w:szCs w:val="22"/>
        </w:rPr>
        <w:t>(</w:t>
      </w:r>
      <w:r>
        <w:rPr>
          <w:rFonts w:ascii="宋体" w:eastAsia="宋体" w:hAnsi="宋体" w:cs="宋体"/>
          <w:spacing w:val="-1"/>
          <w:sz w:val="22"/>
          <w:szCs w:val="22"/>
        </w:rPr>
        <w:t>NOAEL</w:t>
      </w:r>
      <w:r>
        <w:rPr>
          <w:rFonts w:ascii="宋体" w:eastAsia="宋体" w:hAnsi="宋体" w:cs="宋体"/>
          <w:spacing w:val="-2"/>
          <w:sz w:val="22"/>
          <w:szCs w:val="22"/>
        </w:rPr>
        <w:t>)</w:t>
      </w:r>
    </w:p>
    <w:p w:rsidR="00EA40A3" w:rsidRDefault="00E86C16">
      <w:pPr>
        <w:spacing w:before="23" w:line="228" w:lineRule="auto"/>
        <w:ind w:right="101"/>
        <w:rPr>
          <w:rFonts w:ascii="宋体" w:eastAsia="宋体" w:hAnsi="宋体" w:cs="宋体"/>
          <w:sz w:val="22"/>
          <w:szCs w:val="22"/>
        </w:rPr>
      </w:pPr>
      <w:r>
        <w:rPr>
          <w:rFonts w:ascii="宋体" w:eastAsia="宋体" w:hAnsi="宋体" w:cs="宋体"/>
          <w:spacing w:val="-4"/>
          <w:sz w:val="22"/>
          <w:szCs w:val="22"/>
        </w:rPr>
        <w:t>为12001U(800mgα-TE),</w:t>
      </w:r>
      <w:r>
        <w:rPr>
          <w:rFonts w:ascii="宋体" w:eastAsia="宋体" w:hAnsi="宋体" w:cs="宋体"/>
          <w:spacing w:val="11"/>
          <w:sz w:val="22"/>
          <w:szCs w:val="22"/>
        </w:rPr>
        <w:t xml:space="preserve">  </w:t>
      </w:r>
      <w:r>
        <w:rPr>
          <w:rFonts w:ascii="宋体" w:eastAsia="宋体" w:hAnsi="宋体" w:cs="宋体"/>
          <w:spacing w:val="-4"/>
          <w:sz w:val="22"/>
          <w:szCs w:val="22"/>
        </w:rPr>
        <w:t>建议以这一数值作为中国居民的可耐受最高摄</w:t>
      </w:r>
      <w:r>
        <w:rPr>
          <w:rFonts w:ascii="宋体" w:eastAsia="宋体" w:hAnsi="宋体" w:cs="宋体"/>
          <w:spacing w:val="-5"/>
          <w:sz w:val="22"/>
          <w:szCs w:val="22"/>
        </w:rPr>
        <w:t>入量</w:t>
      </w:r>
      <w:r>
        <w:rPr>
          <w:rFonts w:ascii="宋体" w:eastAsia="宋体" w:hAnsi="宋体" w:cs="宋体"/>
          <w:spacing w:val="1"/>
          <w:sz w:val="22"/>
          <w:szCs w:val="22"/>
        </w:rPr>
        <w:t xml:space="preserve"> </w:t>
      </w:r>
      <w:r>
        <w:rPr>
          <w:rFonts w:ascii="宋体" w:eastAsia="宋体" w:hAnsi="宋体" w:cs="宋体"/>
          <w:spacing w:val="-8"/>
          <w:sz w:val="22"/>
          <w:szCs w:val="22"/>
        </w:rPr>
        <w:t>(UL)。</w:t>
      </w:r>
      <w:r>
        <w:rPr>
          <w:rFonts w:ascii="宋体" w:eastAsia="宋体" w:hAnsi="宋体" w:cs="宋体"/>
          <w:spacing w:val="73"/>
          <w:sz w:val="22"/>
          <w:szCs w:val="22"/>
        </w:rPr>
        <w:t xml:space="preserve"> </w:t>
      </w:r>
      <w:r>
        <w:rPr>
          <w:rFonts w:ascii="宋体" w:eastAsia="宋体" w:hAnsi="宋体" w:cs="宋体"/>
          <w:spacing w:val="-8"/>
          <w:sz w:val="22"/>
          <w:szCs w:val="22"/>
        </w:rPr>
        <w:t>儿童可能对各种不良反应作用更为敏感，其UL</w:t>
      </w:r>
      <w:r>
        <w:rPr>
          <w:rFonts w:ascii="宋体" w:eastAsia="宋体" w:hAnsi="宋体" w:cs="宋体"/>
          <w:spacing w:val="24"/>
          <w:sz w:val="22"/>
          <w:szCs w:val="22"/>
        </w:rPr>
        <w:t xml:space="preserve"> </w:t>
      </w:r>
      <w:r>
        <w:rPr>
          <w:rFonts w:ascii="宋体" w:eastAsia="宋体" w:hAnsi="宋体" w:cs="宋体"/>
          <w:spacing w:val="-8"/>
          <w:sz w:val="22"/>
          <w:szCs w:val="22"/>
        </w:rPr>
        <w:t>为10mgα-TE/kg。</w:t>
      </w:r>
    </w:p>
    <w:p w:rsidR="00EA40A3" w:rsidRDefault="00E86C16">
      <w:pPr>
        <w:spacing w:before="115" w:line="239" w:lineRule="auto"/>
        <w:ind w:right="58" w:firstLine="410"/>
        <w:jc w:val="both"/>
        <w:rPr>
          <w:rFonts w:ascii="宋体" w:eastAsia="宋体" w:hAnsi="宋体" w:cs="宋体"/>
          <w:sz w:val="22"/>
          <w:szCs w:val="22"/>
        </w:rPr>
      </w:pPr>
      <w:r>
        <w:rPr>
          <w:rFonts w:ascii="宋体" w:eastAsia="宋体" w:hAnsi="宋体" w:cs="宋体"/>
          <w:spacing w:val="-5"/>
          <w:sz w:val="22"/>
          <w:szCs w:val="22"/>
        </w:rPr>
        <w:t>天然维生素E</w:t>
      </w:r>
      <w:r>
        <w:rPr>
          <w:rFonts w:ascii="宋体" w:eastAsia="宋体" w:hAnsi="宋体" w:cs="宋体"/>
          <w:spacing w:val="-34"/>
          <w:sz w:val="22"/>
          <w:szCs w:val="22"/>
        </w:rPr>
        <w:t xml:space="preserve"> </w:t>
      </w:r>
      <w:r>
        <w:rPr>
          <w:rFonts w:ascii="宋体" w:eastAsia="宋体" w:hAnsi="宋体" w:cs="宋体"/>
          <w:spacing w:val="-5"/>
          <w:sz w:val="22"/>
          <w:szCs w:val="22"/>
        </w:rPr>
        <w:t>广泛存在于各种油料种子及植物油中，食用植物油的总生育</w:t>
      </w:r>
      <w:r>
        <w:rPr>
          <w:rFonts w:ascii="宋体" w:eastAsia="宋体" w:hAnsi="宋体" w:cs="宋体"/>
          <w:sz w:val="22"/>
          <w:szCs w:val="22"/>
        </w:rPr>
        <w:t xml:space="preserve"> </w:t>
      </w:r>
      <w:r>
        <w:rPr>
          <w:rFonts w:ascii="宋体" w:eastAsia="宋体" w:hAnsi="宋体" w:cs="宋体"/>
          <w:spacing w:val="-6"/>
          <w:sz w:val="22"/>
          <w:szCs w:val="22"/>
        </w:rPr>
        <w:t>酚含量最高，可达72.37mg/100g,</w:t>
      </w:r>
      <w:r>
        <w:rPr>
          <w:rFonts w:ascii="宋体" w:eastAsia="宋体" w:hAnsi="宋体" w:cs="宋体"/>
          <w:spacing w:val="9"/>
          <w:sz w:val="22"/>
          <w:szCs w:val="22"/>
        </w:rPr>
        <w:t xml:space="preserve"> </w:t>
      </w:r>
      <w:r>
        <w:rPr>
          <w:rFonts w:ascii="宋体" w:eastAsia="宋体" w:hAnsi="宋体" w:cs="宋体"/>
          <w:spacing w:val="-6"/>
          <w:sz w:val="22"/>
          <w:szCs w:val="22"/>
        </w:rPr>
        <w:t>谷类、坚果类和绿叶蔬菜也含有一定量天然</w:t>
      </w:r>
      <w:r>
        <w:rPr>
          <w:rFonts w:ascii="宋体" w:eastAsia="宋体" w:hAnsi="宋体" w:cs="宋体"/>
          <w:sz w:val="22"/>
          <w:szCs w:val="22"/>
        </w:rPr>
        <w:t xml:space="preserve"> </w:t>
      </w:r>
      <w:r>
        <w:rPr>
          <w:rFonts w:ascii="宋体" w:eastAsia="宋体" w:hAnsi="宋体" w:cs="宋体"/>
          <w:spacing w:val="-10"/>
          <w:sz w:val="22"/>
          <w:szCs w:val="22"/>
        </w:rPr>
        <w:t>维生素E,</w:t>
      </w:r>
      <w:r>
        <w:rPr>
          <w:rFonts w:ascii="宋体" w:eastAsia="宋体" w:hAnsi="宋体" w:cs="宋体"/>
          <w:spacing w:val="15"/>
          <w:sz w:val="22"/>
          <w:szCs w:val="22"/>
        </w:rPr>
        <w:t xml:space="preserve"> </w:t>
      </w:r>
      <w:r>
        <w:rPr>
          <w:rFonts w:ascii="宋体" w:eastAsia="宋体" w:hAnsi="宋体" w:cs="宋体"/>
          <w:spacing w:val="-10"/>
          <w:sz w:val="22"/>
          <w:szCs w:val="22"/>
        </w:rPr>
        <w:t>其他食物如麦胚、坚果类、豆类、蛋类含量也较多，肉类、</w:t>
      </w:r>
      <w:r>
        <w:rPr>
          <w:rFonts w:ascii="宋体" w:eastAsia="宋体" w:hAnsi="宋体" w:cs="宋体"/>
          <w:spacing w:val="-11"/>
          <w:sz w:val="22"/>
          <w:szCs w:val="22"/>
        </w:rPr>
        <w:t>鱼类、果</w:t>
      </w:r>
      <w:r>
        <w:rPr>
          <w:rFonts w:ascii="宋体" w:eastAsia="宋体" w:hAnsi="宋体" w:cs="宋体"/>
          <w:sz w:val="22"/>
          <w:szCs w:val="22"/>
        </w:rPr>
        <w:t xml:space="preserve"> </w:t>
      </w:r>
      <w:r>
        <w:rPr>
          <w:rFonts w:ascii="宋体" w:eastAsia="宋体" w:hAnsi="宋体" w:cs="宋体"/>
          <w:spacing w:val="-6"/>
          <w:sz w:val="22"/>
          <w:szCs w:val="22"/>
        </w:rPr>
        <w:t>蔬类含量很少。总体来看，动物油脂中维生素E 的含量普遍低于植物油，但在</w:t>
      </w:r>
      <w:r>
        <w:rPr>
          <w:rFonts w:ascii="宋体" w:eastAsia="宋体" w:hAnsi="宋体" w:cs="宋体"/>
          <w:sz w:val="22"/>
          <w:szCs w:val="22"/>
        </w:rPr>
        <w:t xml:space="preserve"> </w:t>
      </w:r>
      <w:r>
        <w:rPr>
          <w:rFonts w:ascii="宋体" w:eastAsia="宋体" w:hAnsi="宋体" w:cs="宋体"/>
          <w:spacing w:val="-6"/>
          <w:sz w:val="22"/>
          <w:szCs w:val="22"/>
        </w:rPr>
        <w:t>鱼油中维生素E</w:t>
      </w:r>
      <w:r>
        <w:rPr>
          <w:rFonts w:ascii="宋体" w:eastAsia="宋体" w:hAnsi="宋体" w:cs="宋体"/>
          <w:spacing w:val="-10"/>
          <w:sz w:val="22"/>
          <w:szCs w:val="22"/>
        </w:rPr>
        <w:t xml:space="preserve"> </w:t>
      </w:r>
      <w:r>
        <w:rPr>
          <w:rFonts w:ascii="宋体" w:eastAsia="宋体" w:hAnsi="宋体" w:cs="宋体"/>
          <w:spacing w:val="-6"/>
          <w:sz w:val="22"/>
          <w:szCs w:val="22"/>
        </w:rPr>
        <w:t>含量相当丰富。因此，谷类食物和油脂类是维生素E</w:t>
      </w:r>
      <w:r>
        <w:rPr>
          <w:rFonts w:ascii="宋体" w:eastAsia="宋体" w:hAnsi="宋体" w:cs="宋体"/>
          <w:spacing w:val="-4"/>
          <w:sz w:val="22"/>
          <w:szCs w:val="22"/>
        </w:rPr>
        <w:t xml:space="preserve"> </w:t>
      </w:r>
      <w:r>
        <w:rPr>
          <w:rFonts w:ascii="宋体" w:eastAsia="宋体" w:hAnsi="宋体" w:cs="宋体"/>
          <w:spacing w:val="-6"/>
          <w:sz w:val="22"/>
          <w:szCs w:val="22"/>
        </w:rPr>
        <w:t>的主要食</w:t>
      </w:r>
      <w:r>
        <w:rPr>
          <w:rFonts w:ascii="宋体" w:eastAsia="宋体" w:hAnsi="宋体" w:cs="宋体"/>
          <w:sz w:val="22"/>
          <w:szCs w:val="22"/>
        </w:rPr>
        <w:t xml:space="preserve"> </w:t>
      </w:r>
      <w:r>
        <w:rPr>
          <w:rFonts w:ascii="宋体" w:eastAsia="宋体" w:hAnsi="宋体" w:cs="宋体"/>
          <w:spacing w:val="-17"/>
          <w:sz w:val="22"/>
          <w:szCs w:val="22"/>
        </w:rPr>
        <w:t>物来源。</w:t>
      </w:r>
    </w:p>
    <w:p w:rsidR="00EA40A3" w:rsidRDefault="00E86C16">
      <w:pPr>
        <w:spacing w:before="206" w:line="222" w:lineRule="auto"/>
        <w:ind w:left="3"/>
        <w:outlineLvl w:val="6"/>
        <w:rPr>
          <w:rFonts w:ascii="Calibri" w:eastAsia="Calibri" w:hAnsi="Calibri" w:cs="Calibri"/>
          <w:sz w:val="22"/>
          <w:szCs w:val="22"/>
        </w:rPr>
      </w:pPr>
      <w:r>
        <w:rPr>
          <w:rFonts w:ascii="黑体" w:eastAsia="黑体" w:hAnsi="黑体" w:cs="黑体"/>
          <w:b/>
          <w:bCs/>
          <w:spacing w:val="7"/>
          <w:sz w:val="22"/>
          <w:szCs w:val="22"/>
        </w:rPr>
        <w:t>4.2.5</w:t>
      </w:r>
      <w:r>
        <w:rPr>
          <w:rFonts w:ascii="黑体" w:eastAsia="黑体" w:hAnsi="黑体" w:cs="黑体"/>
          <w:spacing w:val="44"/>
          <w:sz w:val="22"/>
          <w:szCs w:val="22"/>
        </w:rPr>
        <w:t xml:space="preserve">  </w:t>
      </w:r>
      <w:r>
        <w:rPr>
          <w:rFonts w:ascii="黑体" w:eastAsia="黑体" w:hAnsi="黑体" w:cs="黑体"/>
          <w:b/>
          <w:bCs/>
          <w:spacing w:val="7"/>
          <w:sz w:val="22"/>
          <w:szCs w:val="22"/>
        </w:rPr>
        <w:t>维生素B</w:t>
      </w:r>
      <w:r>
        <w:rPr>
          <w:rFonts w:ascii="Calibri" w:eastAsia="Calibri" w:hAnsi="Calibri" w:cs="Calibri"/>
          <w:b/>
          <w:bCs/>
          <w:spacing w:val="7"/>
          <w:sz w:val="22"/>
          <w:szCs w:val="22"/>
        </w:rPr>
        <w:t>₁</w:t>
      </w:r>
    </w:p>
    <w:p w:rsidR="00EA40A3" w:rsidRDefault="00E86C16">
      <w:pPr>
        <w:spacing w:before="264" w:line="220"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25"/>
          <w:sz w:val="22"/>
          <w:szCs w:val="22"/>
        </w:rPr>
        <w:t xml:space="preserve"> </w:t>
      </w:r>
      <w:r>
        <w:rPr>
          <w:rFonts w:ascii="仿宋" w:eastAsia="仿宋" w:hAnsi="仿宋" w:cs="仿宋"/>
          <w:spacing w:val="13"/>
          <w:sz w:val="22"/>
          <w:szCs w:val="22"/>
        </w:rPr>
        <w:t>维生素B</w:t>
      </w:r>
      <w:r>
        <w:rPr>
          <w:rFonts w:ascii="Calibri" w:eastAsia="Calibri" w:hAnsi="Calibri" w:cs="Calibri"/>
          <w:spacing w:val="13"/>
          <w:sz w:val="22"/>
          <w:szCs w:val="22"/>
        </w:rPr>
        <w:t>₁</w:t>
      </w:r>
      <w:r>
        <w:rPr>
          <w:rFonts w:ascii="Calibri" w:eastAsia="Calibri" w:hAnsi="Calibri" w:cs="Calibri"/>
          <w:spacing w:val="19"/>
          <w:w w:val="101"/>
          <w:sz w:val="22"/>
          <w:szCs w:val="22"/>
        </w:rPr>
        <w:t xml:space="preserve">  </w:t>
      </w:r>
      <w:r>
        <w:rPr>
          <w:rFonts w:ascii="仿宋" w:eastAsia="仿宋" w:hAnsi="仿宋" w:cs="仿宋"/>
          <w:spacing w:val="13"/>
          <w:sz w:val="22"/>
          <w:szCs w:val="22"/>
        </w:rPr>
        <w:t>理化性质</w:t>
      </w:r>
    </w:p>
    <w:p w:rsidR="00EA40A3" w:rsidRDefault="00E86C16">
      <w:pPr>
        <w:spacing w:before="209" w:line="216" w:lineRule="auto"/>
        <w:ind w:left="410"/>
        <w:rPr>
          <w:rFonts w:ascii="宋体" w:eastAsia="宋体" w:hAnsi="宋体" w:cs="宋体"/>
          <w:sz w:val="22"/>
          <w:szCs w:val="22"/>
        </w:rPr>
      </w:pPr>
      <w:r>
        <w:rPr>
          <w:rFonts w:ascii="宋体" w:eastAsia="宋体" w:hAnsi="宋体" w:cs="宋体"/>
          <w:spacing w:val="-7"/>
          <w:sz w:val="22"/>
          <w:szCs w:val="22"/>
        </w:rPr>
        <w:t>维生素B</w:t>
      </w:r>
      <w:r>
        <w:rPr>
          <w:rFonts w:ascii="Calibri" w:eastAsia="Calibri" w:hAnsi="Calibri" w:cs="Calibri"/>
          <w:spacing w:val="-7"/>
          <w:sz w:val="22"/>
          <w:szCs w:val="22"/>
        </w:rPr>
        <w:t>₁</w:t>
      </w:r>
      <w:r>
        <w:rPr>
          <w:rFonts w:ascii="Calibri" w:eastAsia="Calibri" w:hAnsi="Calibri" w:cs="Calibri"/>
          <w:spacing w:val="49"/>
          <w:w w:val="101"/>
          <w:sz w:val="22"/>
          <w:szCs w:val="22"/>
        </w:rPr>
        <w:t xml:space="preserve"> </w:t>
      </w:r>
      <w:r>
        <w:rPr>
          <w:rFonts w:ascii="宋体" w:eastAsia="宋体" w:hAnsi="宋体" w:cs="宋体"/>
          <w:spacing w:val="-7"/>
          <w:sz w:val="22"/>
          <w:szCs w:val="22"/>
        </w:rPr>
        <w:t>又称为硫胺素</w:t>
      </w:r>
      <w:r>
        <w:rPr>
          <w:rFonts w:ascii="宋体" w:eastAsia="宋体" w:hAnsi="宋体" w:cs="宋体"/>
          <w:spacing w:val="-10"/>
          <w:sz w:val="22"/>
          <w:szCs w:val="22"/>
        </w:rPr>
        <w:t xml:space="preserve"> </w:t>
      </w:r>
      <w:r>
        <w:rPr>
          <w:rFonts w:ascii="宋体" w:eastAsia="宋体" w:hAnsi="宋体" w:cs="宋体"/>
          <w:spacing w:val="-7"/>
          <w:sz w:val="22"/>
          <w:szCs w:val="22"/>
        </w:rPr>
        <w:t>(thiamine),因发现其与预</w:t>
      </w:r>
      <w:r>
        <w:rPr>
          <w:rFonts w:ascii="宋体" w:eastAsia="宋体" w:hAnsi="宋体" w:cs="宋体"/>
          <w:spacing w:val="-8"/>
          <w:sz w:val="22"/>
          <w:szCs w:val="22"/>
        </w:rPr>
        <w:t>防和治疗脚气病</w:t>
      </w:r>
      <w:r>
        <w:rPr>
          <w:rFonts w:ascii="宋体" w:eastAsia="宋体" w:hAnsi="宋体" w:cs="宋体"/>
          <w:spacing w:val="-26"/>
          <w:sz w:val="22"/>
          <w:szCs w:val="22"/>
        </w:rPr>
        <w:t xml:space="preserve"> </w:t>
      </w:r>
      <w:r>
        <w:rPr>
          <w:rFonts w:ascii="宋体" w:eastAsia="宋体" w:hAnsi="宋体" w:cs="宋体"/>
          <w:spacing w:val="-8"/>
          <w:sz w:val="22"/>
          <w:szCs w:val="22"/>
        </w:rPr>
        <w:t>(</w:t>
      </w:r>
      <w:r>
        <w:rPr>
          <w:rFonts w:ascii="宋体" w:eastAsia="宋体" w:hAnsi="宋体" w:cs="宋体"/>
          <w:spacing w:val="-7"/>
          <w:sz w:val="22"/>
          <w:szCs w:val="22"/>
        </w:rPr>
        <w:t>beri</w:t>
      </w:r>
      <w:r>
        <w:rPr>
          <w:rFonts w:ascii="宋体" w:eastAsia="宋体" w:hAnsi="宋体" w:cs="宋体"/>
          <w:spacing w:val="-8"/>
          <w:sz w:val="22"/>
          <w:szCs w:val="22"/>
        </w:rPr>
        <w:t>-</w:t>
      </w:r>
    </w:p>
    <w:p w:rsidR="00EA40A3" w:rsidRDefault="00E86C16">
      <w:pPr>
        <w:spacing w:before="17"/>
        <w:rPr>
          <w:rFonts w:ascii="宋体" w:eastAsia="宋体" w:hAnsi="宋体" w:cs="宋体"/>
          <w:sz w:val="22"/>
          <w:szCs w:val="22"/>
        </w:rPr>
      </w:pPr>
      <w:r>
        <w:rPr>
          <w:rFonts w:ascii="宋体" w:eastAsia="宋体" w:hAnsi="宋体" w:cs="宋体"/>
          <w:spacing w:val="-48"/>
          <w:sz w:val="22"/>
          <w:szCs w:val="22"/>
        </w:rPr>
        <w:t>·</w:t>
      </w:r>
      <w:r>
        <w:rPr>
          <w:rFonts w:ascii="宋体" w:eastAsia="宋体" w:hAnsi="宋体" w:cs="宋体"/>
          <w:spacing w:val="-15"/>
          <w:sz w:val="22"/>
          <w:szCs w:val="22"/>
        </w:rPr>
        <w:t xml:space="preserve"> </w:t>
      </w:r>
      <w:r>
        <w:rPr>
          <w:rFonts w:ascii="宋体" w:eastAsia="宋体" w:hAnsi="宋体" w:cs="宋体"/>
          <w:spacing w:val="-48"/>
          <w:sz w:val="22"/>
          <w:szCs w:val="22"/>
        </w:rPr>
        <w:t>130</w:t>
      </w:r>
      <w:r>
        <w:rPr>
          <w:rFonts w:ascii="宋体" w:eastAsia="宋体" w:hAnsi="宋体" w:cs="宋体"/>
          <w:spacing w:val="27"/>
          <w:sz w:val="22"/>
          <w:szCs w:val="22"/>
        </w:rPr>
        <w:t xml:space="preserve"> </w:t>
      </w:r>
      <w:r>
        <w:rPr>
          <w:rFonts w:ascii="宋体" w:eastAsia="宋体" w:hAnsi="宋体" w:cs="宋体"/>
          <w:spacing w:val="-48"/>
          <w:sz w:val="22"/>
          <w:szCs w:val="22"/>
        </w:rPr>
        <w:t>·</w:t>
      </w:r>
    </w:p>
    <w:p w:rsidR="00EA40A3" w:rsidRDefault="00EA40A3">
      <w:pPr>
        <w:sectPr w:rsidR="00EA40A3">
          <w:pgSz w:w="9220" w:h="13360"/>
          <w:pgMar w:top="400" w:right="1069" w:bottom="400" w:left="820" w:header="0" w:footer="0" w:gutter="0"/>
          <w:cols w:space="720"/>
        </w:sectPr>
      </w:pPr>
    </w:p>
    <w:p w:rsidR="00EA40A3" w:rsidRDefault="00EA40A3">
      <w:pPr>
        <w:spacing w:line="286" w:lineRule="auto"/>
      </w:pPr>
    </w:p>
    <w:p w:rsidR="00EA40A3" w:rsidRDefault="00EA40A3">
      <w:pPr>
        <w:spacing w:line="286" w:lineRule="auto"/>
      </w:pPr>
    </w:p>
    <w:p w:rsidR="00EA40A3" w:rsidRDefault="00E86C16">
      <w:pPr>
        <w:spacing w:before="72" w:line="236" w:lineRule="auto"/>
        <w:ind w:right="60"/>
        <w:rPr>
          <w:rFonts w:ascii="宋体" w:eastAsia="宋体" w:hAnsi="宋体" w:cs="宋体"/>
          <w:sz w:val="22"/>
          <w:szCs w:val="22"/>
        </w:rPr>
      </w:pPr>
      <w:r>
        <w:rPr>
          <w:rFonts w:ascii="宋体" w:eastAsia="宋体" w:hAnsi="宋体" w:cs="宋体"/>
          <w:spacing w:val="-15"/>
          <w:sz w:val="22"/>
          <w:szCs w:val="22"/>
        </w:rPr>
        <w:t>beri)</w:t>
      </w:r>
      <w:r>
        <w:rPr>
          <w:rFonts w:ascii="宋体" w:eastAsia="宋体" w:hAnsi="宋体" w:cs="宋体"/>
          <w:spacing w:val="-44"/>
          <w:sz w:val="22"/>
          <w:szCs w:val="22"/>
        </w:rPr>
        <w:t xml:space="preserve"> </w:t>
      </w:r>
      <w:r>
        <w:rPr>
          <w:rFonts w:ascii="宋体" w:eastAsia="宋体" w:hAnsi="宋体" w:cs="宋体"/>
          <w:spacing w:val="-15"/>
          <w:sz w:val="22"/>
          <w:szCs w:val="22"/>
        </w:rPr>
        <w:t>有关又称抗脚气病因子(antiberiberic</w:t>
      </w:r>
      <w:r>
        <w:rPr>
          <w:rFonts w:ascii="宋体" w:eastAsia="宋体" w:hAnsi="宋体" w:cs="宋体"/>
          <w:spacing w:val="-6"/>
          <w:sz w:val="22"/>
          <w:szCs w:val="22"/>
        </w:rPr>
        <w:t xml:space="preserve"> </w:t>
      </w:r>
      <w:r>
        <w:rPr>
          <w:rFonts w:ascii="宋体" w:eastAsia="宋体" w:hAnsi="宋体" w:cs="宋体"/>
          <w:spacing w:val="-15"/>
          <w:sz w:val="22"/>
          <w:szCs w:val="22"/>
        </w:rPr>
        <w:t>factor)、</w:t>
      </w:r>
      <w:r>
        <w:rPr>
          <w:rFonts w:ascii="宋体" w:eastAsia="宋体" w:hAnsi="宋体" w:cs="宋体"/>
          <w:spacing w:val="-61"/>
          <w:sz w:val="22"/>
          <w:szCs w:val="22"/>
        </w:rPr>
        <w:t xml:space="preserve"> </w:t>
      </w:r>
      <w:r>
        <w:rPr>
          <w:rFonts w:ascii="宋体" w:eastAsia="宋体" w:hAnsi="宋体" w:cs="宋体"/>
          <w:spacing w:val="-15"/>
          <w:sz w:val="22"/>
          <w:szCs w:val="22"/>
        </w:rPr>
        <w:t>与神</w:t>
      </w:r>
      <w:r>
        <w:rPr>
          <w:rFonts w:ascii="宋体" w:eastAsia="宋体" w:hAnsi="宋体" w:cs="宋体"/>
          <w:spacing w:val="-16"/>
          <w:sz w:val="22"/>
          <w:szCs w:val="22"/>
        </w:rPr>
        <w:t>经炎</w:t>
      </w:r>
      <w:r>
        <w:rPr>
          <w:rFonts w:ascii="宋体" w:eastAsia="宋体" w:hAnsi="宋体" w:cs="宋体"/>
          <w:spacing w:val="-17"/>
          <w:sz w:val="22"/>
          <w:szCs w:val="22"/>
        </w:rPr>
        <w:t xml:space="preserve"> </w:t>
      </w:r>
      <w:r>
        <w:rPr>
          <w:rFonts w:ascii="宋体" w:eastAsia="宋体" w:hAnsi="宋体" w:cs="宋体"/>
          <w:spacing w:val="-16"/>
          <w:sz w:val="22"/>
          <w:szCs w:val="22"/>
        </w:rPr>
        <w:t>(</w:t>
      </w:r>
      <w:r>
        <w:rPr>
          <w:rFonts w:ascii="宋体" w:eastAsia="宋体" w:hAnsi="宋体" w:cs="宋体"/>
          <w:spacing w:val="-15"/>
          <w:sz w:val="22"/>
          <w:szCs w:val="22"/>
        </w:rPr>
        <w:t>neuritis</w:t>
      </w:r>
      <w:r>
        <w:rPr>
          <w:rFonts w:ascii="宋体" w:eastAsia="宋体" w:hAnsi="宋体" w:cs="宋体"/>
          <w:spacing w:val="-16"/>
          <w:sz w:val="22"/>
          <w:szCs w:val="22"/>
        </w:rPr>
        <w:t>)</w:t>
      </w:r>
      <w:r>
        <w:rPr>
          <w:rFonts w:ascii="宋体" w:eastAsia="宋体" w:hAnsi="宋体" w:cs="宋体"/>
          <w:spacing w:val="-53"/>
          <w:sz w:val="22"/>
          <w:szCs w:val="22"/>
        </w:rPr>
        <w:t xml:space="preserve"> </w:t>
      </w:r>
      <w:r>
        <w:rPr>
          <w:rFonts w:ascii="宋体" w:eastAsia="宋体" w:hAnsi="宋体" w:cs="宋体"/>
          <w:spacing w:val="-16"/>
          <w:sz w:val="22"/>
          <w:szCs w:val="22"/>
        </w:rPr>
        <w:t>有关</w:t>
      </w:r>
      <w:r>
        <w:rPr>
          <w:rFonts w:ascii="宋体" w:eastAsia="宋体" w:hAnsi="宋体" w:cs="宋体"/>
          <w:sz w:val="22"/>
          <w:szCs w:val="22"/>
        </w:rPr>
        <w:t xml:space="preserve"> </w:t>
      </w:r>
      <w:r>
        <w:rPr>
          <w:rFonts w:ascii="宋体" w:eastAsia="宋体" w:hAnsi="宋体" w:cs="宋体"/>
          <w:spacing w:val="-14"/>
          <w:sz w:val="22"/>
          <w:szCs w:val="22"/>
        </w:rPr>
        <w:t>又称抗神经炎因子</w:t>
      </w:r>
      <w:r>
        <w:rPr>
          <w:rFonts w:ascii="宋体" w:eastAsia="宋体" w:hAnsi="宋体" w:cs="宋体"/>
          <w:spacing w:val="-10"/>
          <w:sz w:val="22"/>
          <w:szCs w:val="22"/>
        </w:rPr>
        <w:t xml:space="preserve"> </w:t>
      </w:r>
      <w:r>
        <w:rPr>
          <w:rFonts w:ascii="宋体" w:eastAsia="宋体" w:hAnsi="宋体" w:cs="宋体"/>
          <w:spacing w:val="-14"/>
          <w:sz w:val="22"/>
          <w:szCs w:val="22"/>
        </w:rPr>
        <w:t>(antineuritic</w:t>
      </w:r>
      <w:r>
        <w:rPr>
          <w:rFonts w:ascii="宋体" w:eastAsia="宋体" w:hAnsi="宋体" w:cs="宋体"/>
          <w:spacing w:val="-11"/>
          <w:sz w:val="22"/>
          <w:szCs w:val="22"/>
        </w:rPr>
        <w:t xml:space="preserve"> </w:t>
      </w:r>
      <w:r>
        <w:rPr>
          <w:rFonts w:ascii="宋体" w:eastAsia="宋体" w:hAnsi="宋体" w:cs="宋体"/>
          <w:spacing w:val="-14"/>
          <w:sz w:val="22"/>
          <w:szCs w:val="22"/>
        </w:rPr>
        <w:t>factor)。硫</w:t>
      </w:r>
      <w:r>
        <w:rPr>
          <w:rFonts w:ascii="宋体" w:eastAsia="宋体" w:hAnsi="宋体" w:cs="宋体"/>
          <w:spacing w:val="-15"/>
          <w:sz w:val="22"/>
          <w:szCs w:val="22"/>
        </w:rPr>
        <w:t>胺素分子包含一个嘧啶和一个噻唑</w:t>
      </w:r>
    </w:p>
    <w:p w:rsidR="00EA40A3" w:rsidRDefault="00EA40A3">
      <w:pPr>
        <w:spacing w:line="48" w:lineRule="exact"/>
      </w:pPr>
    </w:p>
    <w:p w:rsidR="00EA40A3" w:rsidRDefault="00EA40A3">
      <w:pPr>
        <w:sectPr w:rsidR="00EA40A3">
          <w:pgSz w:w="9350" w:h="13450"/>
          <w:pgMar w:top="400" w:right="970" w:bottom="400" w:left="1050" w:header="0" w:footer="0" w:gutter="0"/>
          <w:cols w:space="720" w:equalWidth="0">
            <w:col w:w="7330"/>
          </w:cols>
        </w:sectPr>
      </w:pPr>
    </w:p>
    <w:p w:rsidR="00EA40A3" w:rsidRDefault="00E86C16">
      <w:pPr>
        <w:spacing w:before="3" w:line="247" w:lineRule="auto"/>
        <w:ind w:right="178"/>
        <w:jc w:val="both"/>
        <w:rPr>
          <w:rFonts w:ascii="宋体" w:eastAsia="宋体" w:hAnsi="宋体" w:cs="宋体"/>
          <w:sz w:val="22"/>
          <w:szCs w:val="22"/>
        </w:rPr>
      </w:pPr>
      <w:r>
        <w:rPr>
          <w:rFonts w:ascii="宋体" w:eastAsia="宋体" w:hAnsi="宋体" w:cs="宋体"/>
          <w:spacing w:val="-10"/>
          <w:sz w:val="22"/>
          <w:szCs w:val="22"/>
        </w:rPr>
        <w:t>环，通过亚甲基桥连接而成，见图4-9。硫</w:t>
      </w:r>
      <w:r>
        <w:rPr>
          <w:rFonts w:ascii="宋体" w:eastAsia="宋体" w:hAnsi="宋体" w:cs="宋体"/>
          <w:spacing w:val="-11"/>
          <w:sz w:val="22"/>
          <w:szCs w:val="22"/>
        </w:rPr>
        <w:t>胺素为白</w:t>
      </w:r>
      <w:r>
        <w:rPr>
          <w:rFonts w:ascii="宋体" w:eastAsia="宋体" w:hAnsi="宋体" w:cs="宋体"/>
          <w:sz w:val="22"/>
          <w:szCs w:val="22"/>
        </w:rPr>
        <w:t xml:space="preserve"> </w:t>
      </w:r>
      <w:r>
        <w:rPr>
          <w:rFonts w:ascii="宋体" w:eastAsia="宋体" w:hAnsi="宋体" w:cs="宋体"/>
          <w:spacing w:val="-7"/>
          <w:sz w:val="22"/>
          <w:szCs w:val="22"/>
        </w:rPr>
        <w:t>色结晶，溶于水，微溶于乙醇。硫胺素的商品形式</w:t>
      </w:r>
      <w:r>
        <w:rPr>
          <w:rFonts w:ascii="宋体" w:eastAsia="宋体" w:hAnsi="宋体" w:cs="宋体"/>
          <w:spacing w:val="1"/>
          <w:sz w:val="22"/>
          <w:szCs w:val="22"/>
        </w:rPr>
        <w:t xml:space="preserve"> </w:t>
      </w:r>
      <w:r>
        <w:rPr>
          <w:rFonts w:ascii="宋体" w:eastAsia="宋体" w:hAnsi="宋体" w:cs="宋体"/>
          <w:spacing w:val="-7"/>
          <w:sz w:val="22"/>
          <w:szCs w:val="22"/>
        </w:rPr>
        <w:t>是它的盐酸盐和硝酸盐，两种形式在干燥条件和酸</w:t>
      </w:r>
      <w:r>
        <w:rPr>
          <w:rFonts w:ascii="宋体" w:eastAsia="宋体" w:hAnsi="宋体" w:cs="宋体"/>
          <w:spacing w:val="2"/>
          <w:sz w:val="22"/>
          <w:szCs w:val="22"/>
        </w:rPr>
        <w:t xml:space="preserve"> </w:t>
      </w:r>
      <w:r>
        <w:rPr>
          <w:rFonts w:ascii="宋体" w:eastAsia="宋体" w:hAnsi="宋体" w:cs="宋体"/>
          <w:spacing w:val="-6"/>
          <w:sz w:val="22"/>
          <w:szCs w:val="22"/>
        </w:rPr>
        <w:t>性介质中极其稳定，不易被氧化，比较耐热，但在</w:t>
      </w:r>
      <w:r>
        <w:rPr>
          <w:rFonts w:ascii="宋体" w:eastAsia="宋体" w:hAnsi="宋体" w:cs="宋体"/>
          <w:spacing w:val="2"/>
          <w:sz w:val="22"/>
          <w:szCs w:val="22"/>
        </w:rPr>
        <w:t xml:space="preserve"> </w:t>
      </w:r>
      <w:r>
        <w:rPr>
          <w:rFonts w:ascii="宋体" w:eastAsia="宋体" w:hAnsi="宋体" w:cs="宋体"/>
          <w:spacing w:val="-7"/>
          <w:sz w:val="22"/>
          <w:szCs w:val="22"/>
        </w:rPr>
        <w:t>中性特别是碱性环境中易被氧化而失去活性。硫胺</w:t>
      </w:r>
      <w:r>
        <w:rPr>
          <w:rFonts w:ascii="宋体" w:eastAsia="宋体" w:hAnsi="宋体" w:cs="宋体"/>
          <w:spacing w:val="3"/>
          <w:sz w:val="22"/>
          <w:szCs w:val="22"/>
        </w:rPr>
        <w:t xml:space="preserve"> </w:t>
      </w:r>
      <w:r>
        <w:rPr>
          <w:rFonts w:ascii="宋体" w:eastAsia="宋体" w:hAnsi="宋体" w:cs="宋体"/>
          <w:spacing w:val="-7"/>
          <w:sz w:val="22"/>
          <w:szCs w:val="22"/>
        </w:rPr>
        <w:t>素对亚硫酸盐特别敏感，亚硫酸盐很容易将其分子</w:t>
      </w:r>
    </w:p>
    <w:p w:rsidR="00EA40A3" w:rsidRDefault="00E86C16">
      <w:pPr>
        <w:spacing w:line="14" w:lineRule="auto"/>
        <w:rPr>
          <w:sz w:val="2"/>
        </w:rPr>
      </w:pPr>
      <w:r>
        <w:rPr>
          <w:sz w:val="2"/>
          <w:szCs w:val="2"/>
        </w:rPr>
        <w:br w:type="column"/>
      </w:r>
    </w:p>
    <w:p w:rsidR="00EA40A3" w:rsidRDefault="00E86C16">
      <w:pPr>
        <w:spacing w:before="109" w:line="880" w:lineRule="exact"/>
        <w:textAlignment w:val="center"/>
      </w:pPr>
      <w:r>
        <w:rPr>
          <w:noProof/>
        </w:rPr>
        <w:drawing>
          <wp:inline distT="0" distB="0" distL="0" distR="0">
            <wp:extent cx="1346200" cy="5588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02"/>
                    <a:stretch>
                      <a:fillRect/>
                    </a:stretch>
                  </pic:blipFill>
                  <pic:spPr>
                    <a:xfrm>
                      <a:off x="0" y="0"/>
                      <a:ext cx="1346212" cy="558821"/>
                    </a:xfrm>
                    <a:prstGeom prst="rect">
                      <a:avLst/>
                    </a:prstGeom>
                  </pic:spPr>
                </pic:pic>
              </a:graphicData>
            </a:graphic>
          </wp:inline>
        </w:drawing>
      </w:r>
    </w:p>
    <w:p w:rsidR="00EA40A3" w:rsidRDefault="00E86C16">
      <w:pPr>
        <w:spacing w:before="247" w:line="219" w:lineRule="auto"/>
        <w:ind w:left="189"/>
        <w:rPr>
          <w:rFonts w:ascii="宋体" w:eastAsia="宋体" w:hAnsi="宋体" w:cs="宋体"/>
          <w:sz w:val="19"/>
          <w:szCs w:val="19"/>
        </w:rPr>
      </w:pPr>
      <w:r>
        <w:rPr>
          <w:rFonts w:ascii="宋体" w:eastAsia="宋体" w:hAnsi="宋体" w:cs="宋体"/>
          <w:spacing w:val="-4"/>
          <w:sz w:val="19"/>
          <w:szCs w:val="19"/>
        </w:rPr>
        <w:t>图4-9</w:t>
      </w:r>
      <w:r>
        <w:rPr>
          <w:rFonts w:ascii="宋体" w:eastAsia="宋体" w:hAnsi="宋体" w:cs="宋体"/>
          <w:spacing w:val="62"/>
          <w:sz w:val="19"/>
          <w:szCs w:val="19"/>
        </w:rPr>
        <w:t xml:space="preserve"> </w:t>
      </w:r>
      <w:r>
        <w:rPr>
          <w:rFonts w:ascii="宋体" w:eastAsia="宋体" w:hAnsi="宋体" w:cs="宋体"/>
          <w:spacing w:val="-4"/>
          <w:sz w:val="19"/>
          <w:szCs w:val="19"/>
        </w:rPr>
        <w:t>硫胺素的结构</w:t>
      </w:r>
    </w:p>
    <w:p w:rsidR="00EA40A3" w:rsidRDefault="00EA40A3">
      <w:pPr>
        <w:sectPr w:rsidR="00EA40A3">
          <w:type w:val="continuous"/>
          <w:pgSz w:w="9350" w:h="13450"/>
          <w:pgMar w:top="400" w:right="970" w:bottom="400" w:left="1050" w:header="0" w:footer="0" w:gutter="0"/>
          <w:cols w:num="2" w:space="720" w:equalWidth="0">
            <w:col w:w="4891" w:space="100"/>
            <w:col w:w="2340"/>
          </w:cols>
        </w:sectPr>
      </w:pPr>
    </w:p>
    <w:p w:rsidR="00EA40A3" w:rsidRDefault="00E86C16">
      <w:pPr>
        <w:spacing w:before="60" w:line="252" w:lineRule="auto"/>
        <w:jc w:val="both"/>
        <w:rPr>
          <w:rFonts w:ascii="宋体" w:eastAsia="宋体" w:hAnsi="宋体" w:cs="宋体"/>
          <w:sz w:val="22"/>
          <w:szCs w:val="22"/>
        </w:rPr>
      </w:pPr>
      <w:r>
        <w:rPr>
          <w:rFonts w:ascii="宋体" w:eastAsia="宋体" w:hAnsi="宋体" w:cs="宋体"/>
          <w:spacing w:val="-12"/>
          <w:sz w:val="22"/>
          <w:szCs w:val="22"/>
        </w:rPr>
        <w:t>裂解，使之失去活性。在一些天然食物中，含有抗硫</w:t>
      </w:r>
      <w:r>
        <w:rPr>
          <w:rFonts w:ascii="宋体" w:eastAsia="宋体" w:hAnsi="宋体" w:cs="宋体"/>
          <w:spacing w:val="-13"/>
          <w:sz w:val="22"/>
          <w:szCs w:val="22"/>
        </w:rPr>
        <w:t>胺素因子，如生鱼片及软体</w:t>
      </w:r>
      <w:r>
        <w:rPr>
          <w:rFonts w:ascii="宋体" w:eastAsia="宋体" w:hAnsi="宋体" w:cs="宋体"/>
          <w:sz w:val="22"/>
          <w:szCs w:val="22"/>
        </w:rPr>
        <w:t xml:space="preserve"> </w:t>
      </w:r>
      <w:r>
        <w:rPr>
          <w:rFonts w:ascii="宋体" w:eastAsia="宋体" w:hAnsi="宋体" w:cs="宋体"/>
          <w:spacing w:val="-12"/>
          <w:sz w:val="22"/>
          <w:szCs w:val="22"/>
        </w:rPr>
        <w:t>动物内脏中含有硫胺素酶，这种酶会造成硫胺素的分解破坏，曾经有报道动物因</w:t>
      </w:r>
      <w:r>
        <w:rPr>
          <w:rFonts w:ascii="宋体" w:eastAsia="宋体" w:hAnsi="宋体" w:cs="宋体"/>
          <w:sz w:val="22"/>
          <w:szCs w:val="22"/>
        </w:rPr>
        <w:t xml:space="preserve"> </w:t>
      </w:r>
      <w:r>
        <w:rPr>
          <w:rFonts w:ascii="宋体" w:eastAsia="宋体" w:hAnsi="宋体" w:cs="宋体"/>
          <w:spacing w:val="-11"/>
          <w:sz w:val="22"/>
          <w:szCs w:val="22"/>
        </w:rPr>
        <w:t>长期食用生鱼片而出现维生素B</w:t>
      </w:r>
      <w:r>
        <w:rPr>
          <w:rFonts w:ascii="Calibri" w:eastAsia="Calibri" w:hAnsi="Calibri" w:cs="Calibri"/>
          <w:spacing w:val="-11"/>
          <w:sz w:val="22"/>
          <w:szCs w:val="22"/>
        </w:rPr>
        <w:t>₁</w:t>
      </w:r>
      <w:r>
        <w:rPr>
          <w:rFonts w:ascii="Calibri" w:eastAsia="Calibri" w:hAnsi="Calibri" w:cs="Calibri"/>
          <w:spacing w:val="11"/>
          <w:sz w:val="22"/>
          <w:szCs w:val="22"/>
        </w:rPr>
        <w:t xml:space="preserve">  </w:t>
      </w:r>
      <w:r>
        <w:rPr>
          <w:rFonts w:ascii="宋体" w:eastAsia="宋体" w:hAnsi="宋体" w:cs="宋体"/>
          <w:spacing w:val="-11"/>
          <w:sz w:val="22"/>
          <w:szCs w:val="22"/>
        </w:rPr>
        <w:t>缺乏症。此外，</w:t>
      </w:r>
      <w:r>
        <w:rPr>
          <w:rFonts w:ascii="宋体" w:eastAsia="宋体" w:hAnsi="宋体" w:cs="宋体"/>
          <w:spacing w:val="58"/>
          <w:sz w:val="22"/>
          <w:szCs w:val="22"/>
        </w:rPr>
        <w:t xml:space="preserve"> </w:t>
      </w:r>
      <w:r>
        <w:rPr>
          <w:rFonts w:ascii="宋体" w:eastAsia="宋体" w:hAnsi="宋体" w:cs="宋体"/>
          <w:spacing w:val="-11"/>
          <w:sz w:val="22"/>
          <w:szCs w:val="22"/>
        </w:rPr>
        <w:t>一些蔬菜、水果如红色甘蓝、</w:t>
      </w:r>
      <w:r>
        <w:rPr>
          <w:rFonts w:ascii="宋体" w:eastAsia="宋体" w:hAnsi="宋体" w:cs="宋体"/>
          <w:sz w:val="22"/>
          <w:szCs w:val="22"/>
        </w:rPr>
        <w:t xml:space="preserve"> </w:t>
      </w:r>
      <w:r>
        <w:rPr>
          <w:rFonts w:ascii="宋体" w:eastAsia="宋体" w:hAnsi="宋体" w:cs="宋体"/>
          <w:spacing w:val="-12"/>
          <w:sz w:val="22"/>
          <w:szCs w:val="22"/>
        </w:rPr>
        <w:t>黑加仑等，以及茶和咖啡中含有的多羟基酚类物质，</w:t>
      </w:r>
      <w:r>
        <w:rPr>
          <w:rFonts w:ascii="宋体" w:eastAsia="宋体" w:hAnsi="宋体" w:cs="宋体"/>
          <w:spacing w:val="-13"/>
          <w:sz w:val="22"/>
          <w:szCs w:val="22"/>
        </w:rPr>
        <w:t>可以通过氧化还原反应使硫</w:t>
      </w:r>
      <w:r>
        <w:rPr>
          <w:rFonts w:ascii="宋体" w:eastAsia="宋体" w:hAnsi="宋体" w:cs="宋体"/>
          <w:sz w:val="22"/>
          <w:szCs w:val="22"/>
        </w:rPr>
        <w:t xml:space="preserve"> </w:t>
      </w:r>
      <w:r>
        <w:rPr>
          <w:rFonts w:ascii="宋体" w:eastAsia="宋体" w:hAnsi="宋体" w:cs="宋体"/>
          <w:spacing w:val="-15"/>
          <w:sz w:val="22"/>
          <w:szCs w:val="22"/>
        </w:rPr>
        <w:t>胺素失活。</w:t>
      </w:r>
    </w:p>
    <w:p w:rsidR="00EA40A3" w:rsidRDefault="00E86C16">
      <w:pPr>
        <w:spacing w:before="205" w:line="222"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20"/>
          <w:sz w:val="22"/>
          <w:szCs w:val="22"/>
        </w:rPr>
        <w:t xml:space="preserve"> </w:t>
      </w:r>
      <w:r>
        <w:rPr>
          <w:rFonts w:ascii="仿宋" w:eastAsia="仿宋" w:hAnsi="仿宋" w:cs="仿宋"/>
          <w:spacing w:val="12"/>
          <w:sz w:val="22"/>
          <w:szCs w:val="22"/>
        </w:rPr>
        <w:t>维生素B</w:t>
      </w:r>
      <w:r>
        <w:rPr>
          <w:rFonts w:ascii="Calibri" w:eastAsia="Calibri" w:hAnsi="Calibri" w:cs="Calibri"/>
          <w:spacing w:val="12"/>
          <w:sz w:val="22"/>
          <w:szCs w:val="22"/>
        </w:rPr>
        <w:t>₁</w:t>
      </w:r>
      <w:r>
        <w:rPr>
          <w:rFonts w:ascii="Calibri" w:eastAsia="Calibri" w:hAnsi="Calibri" w:cs="Calibri"/>
          <w:spacing w:val="3"/>
          <w:sz w:val="22"/>
          <w:szCs w:val="22"/>
        </w:rPr>
        <w:t xml:space="preserve">   </w:t>
      </w:r>
      <w:r>
        <w:rPr>
          <w:rFonts w:ascii="仿宋" w:eastAsia="仿宋" w:hAnsi="仿宋" w:cs="仿宋"/>
          <w:spacing w:val="12"/>
          <w:sz w:val="22"/>
          <w:szCs w:val="22"/>
        </w:rPr>
        <w:t>吸收和代谢</w:t>
      </w:r>
    </w:p>
    <w:p w:rsidR="00EA40A3" w:rsidRDefault="00E86C16">
      <w:pPr>
        <w:spacing w:before="188" w:line="252" w:lineRule="auto"/>
        <w:ind w:right="1" w:firstLine="399"/>
        <w:jc w:val="both"/>
        <w:rPr>
          <w:rFonts w:ascii="宋体" w:eastAsia="宋体" w:hAnsi="宋体" w:cs="宋体"/>
          <w:sz w:val="22"/>
          <w:szCs w:val="22"/>
        </w:rPr>
      </w:pPr>
      <w:r>
        <w:rPr>
          <w:rFonts w:ascii="宋体" w:eastAsia="宋体" w:hAnsi="宋体" w:cs="宋体"/>
          <w:spacing w:val="-7"/>
          <w:sz w:val="22"/>
          <w:szCs w:val="22"/>
        </w:rPr>
        <w:t>维生素B</w:t>
      </w:r>
      <w:r>
        <w:rPr>
          <w:rFonts w:ascii="Calibri" w:eastAsia="Calibri" w:hAnsi="Calibri" w:cs="Calibri"/>
          <w:spacing w:val="-7"/>
          <w:sz w:val="22"/>
          <w:szCs w:val="22"/>
        </w:rPr>
        <w:t>₁</w:t>
      </w:r>
      <w:r>
        <w:rPr>
          <w:rFonts w:ascii="Calibri" w:eastAsia="Calibri" w:hAnsi="Calibri" w:cs="Calibri"/>
          <w:spacing w:val="9"/>
          <w:sz w:val="22"/>
          <w:szCs w:val="22"/>
        </w:rPr>
        <w:t xml:space="preserve">  </w:t>
      </w:r>
      <w:r>
        <w:rPr>
          <w:rFonts w:ascii="宋体" w:eastAsia="宋体" w:hAnsi="宋体" w:cs="宋体"/>
          <w:spacing w:val="-7"/>
          <w:sz w:val="22"/>
          <w:szCs w:val="22"/>
        </w:rPr>
        <w:t>主要在小肠中吸收，浓度高时为扩散，低时为主动吸收，需要钠</w:t>
      </w:r>
      <w:r>
        <w:rPr>
          <w:rFonts w:ascii="宋体" w:eastAsia="宋体" w:hAnsi="宋体" w:cs="宋体"/>
          <w:sz w:val="22"/>
          <w:szCs w:val="22"/>
        </w:rPr>
        <w:t xml:space="preserve"> </w:t>
      </w:r>
      <w:r>
        <w:rPr>
          <w:rFonts w:ascii="宋体" w:eastAsia="宋体" w:hAnsi="宋体" w:cs="宋体"/>
          <w:spacing w:val="6"/>
          <w:sz w:val="22"/>
          <w:szCs w:val="22"/>
        </w:rPr>
        <w:t>离子及</w:t>
      </w:r>
      <w:r>
        <w:rPr>
          <w:rFonts w:ascii="宋体" w:eastAsia="宋体" w:hAnsi="宋体" w:cs="宋体"/>
          <w:sz w:val="22"/>
          <w:szCs w:val="22"/>
        </w:rPr>
        <w:t>ATP</w:t>
      </w:r>
      <w:r>
        <w:rPr>
          <w:rFonts w:ascii="宋体" w:eastAsia="宋体" w:hAnsi="宋体" w:cs="宋体"/>
          <w:spacing w:val="6"/>
          <w:sz w:val="22"/>
          <w:szCs w:val="22"/>
        </w:rPr>
        <w:t>,</w:t>
      </w:r>
      <w:r>
        <w:rPr>
          <w:rFonts w:ascii="宋体" w:eastAsia="宋体" w:hAnsi="宋体" w:cs="宋体"/>
          <w:spacing w:val="91"/>
          <w:sz w:val="22"/>
          <w:szCs w:val="22"/>
        </w:rPr>
        <w:t xml:space="preserve"> </w:t>
      </w:r>
      <w:r>
        <w:rPr>
          <w:rFonts w:ascii="宋体" w:eastAsia="宋体" w:hAnsi="宋体" w:cs="宋体"/>
          <w:spacing w:val="6"/>
          <w:sz w:val="22"/>
          <w:szCs w:val="22"/>
        </w:rPr>
        <w:t>缺乏钠离子及</w:t>
      </w:r>
      <w:r>
        <w:rPr>
          <w:rFonts w:ascii="宋体" w:eastAsia="宋体" w:hAnsi="宋体" w:cs="宋体"/>
          <w:spacing w:val="-51"/>
          <w:sz w:val="22"/>
          <w:szCs w:val="22"/>
        </w:rPr>
        <w:t xml:space="preserve"> </w:t>
      </w:r>
      <w:r>
        <w:rPr>
          <w:rFonts w:ascii="宋体" w:eastAsia="宋体" w:hAnsi="宋体" w:cs="宋体"/>
          <w:sz w:val="22"/>
          <w:szCs w:val="22"/>
        </w:rPr>
        <w:t>ATP</w:t>
      </w:r>
      <w:r>
        <w:rPr>
          <w:rFonts w:ascii="宋体" w:eastAsia="宋体" w:hAnsi="宋体" w:cs="宋体"/>
          <w:spacing w:val="62"/>
          <w:sz w:val="22"/>
          <w:szCs w:val="22"/>
        </w:rPr>
        <w:t xml:space="preserve"> </w:t>
      </w:r>
      <w:r>
        <w:rPr>
          <w:rFonts w:ascii="宋体" w:eastAsia="宋体" w:hAnsi="宋体" w:cs="宋体"/>
          <w:spacing w:val="6"/>
          <w:sz w:val="22"/>
          <w:szCs w:val="22"/>
        </w:rPr>
        <w:t>酶可抑制其吸收。低水平时吸收约57.5%</w:t>
      </w:r>
      <w:r>
        <w:rPr>
          <w:rFonts w:ascii="宋体" w:eastAsia="宋体" w:hAnsi="宋体" w:cs="宋体"/>
          <w:spacing w:val="5"/>
          <w:sz w:val="22"/>
          <w:szCs w:val="22"/>
        </w:rPr>
        <w:t>,</w:t>
      </w:r>
      <w:r>
        <w:rPr>
          <w:rFonts w:ascii="宋体" w:eastAsia="宋体" w:hAnsi="宋体" w:cs="宋体"/>
          <w:sz w:val="22"/>
          <w:szCs w:val="22"/>
        </w:rPr>
        <w:t xml:space="preserve"> </w:t>
      </w:r>
      <w:r>
        <w:rPr>
          <w:rFonts w:ascii="宋体" w:eastAsia="宋体" w:hAnsi="宋体" w:cs="宋体"/>
          <w:spacing w:val="-4"/>
          <w:sz w:val="22"/>
          <w:szCs w:val="22"/>
        </w:rPr>
        <w:t>高时约26.2%。肠功能欠佳者，吸收会受到一定限制。维生素</w:t>
      </w:r>
      <w:r>
        <w:rPr>
          <w:rFonts w:ascii="宋体" w:eastAsia="宋体" w:hAnsi="宋体" w:cs="宋体"/>
          <w:spacing w:val="-60"/>
          <w:sz w:val="22"/>
          <w:szCs w:val="22"/>
        </w:rPr>
        <w:t xml:space="preserve"> </w:t>
      </w:r>
      <w:r>
        <w:rPr>
          <w:rFonts w:ascii="宋体" w:eastAsia="宋体" w:hAnsi="宋体" w:cs="宋体"/>
          <w:spacing w:val="-4"/>
          <w:sz w:val="22"/>
          <w:szCs w:val="22"/>
        </w:rPr>
        <w:t>B:进入到小肠细</w:t>
      </w:r>
      <w:r>
        <w:rPr>
          <w:rFonts w:ascii="宋体" w:eastAsia="宋体" w:hAnsi="宋体" w:cs="宋体"/>
          <w:sz w:val="22"/>
          <w:szCs w:val="22"/>
        </w:rPr>
        <w:t xml:space="preserve"> </w:t>
      </w:r>
      <w:r>
        <w:rPr>
          <w:rFonts w:ascii="宋体" w:eastAsia="宋体" w:hAnsi="宋体" w:cs="宋体"/>
          <w:spacing w:val="-9"/>
          <w:sz w:val="22"/>
          <w:szCs w:val="22"/>
        </w:rPr>
        <w:t>胞磷酸化成酯，从小肠细胞出去，也需要正常浓度的钠离</w:t>
      </w:r>
      <w:r>
        <w:rPr>
          <w:rFonts w:ascii="宋体" w:eastAsia="宋体" w:hAnsi="宋体" w:cs="宋体"/>
          <w:spacing w:val="-10"/>
          <w:sz w:val="22"/>
          <w:szCs w:val="22"/>
        </w:rPr>
        <w:t>子及</w:t>
      </w:r>
      <w:r>
        <w:rPr>
          <w:rFonts w:ascii="宋体" w:eastAsia="宋体" w:hAnsi="宋体" w:cs="宋体"/>
          <w:spacing w:val="-62"/>
          <w:sz w:val="22"/>
          <w:szCs w:val="22"/>
        </w:rPr>
        <w:t xml:space="preserve"> </w:t>
      </w:r>
      <w:r>
        <w:rPr>
          <w:rFonts w:ascii="宋体" w:eastAsia="宋体" w:hAnsi="宋体" w:cs="宋体"/>
          <w:spacing w:val="-9"/>
          <w:sz w:val="22"/>
          <w:szCs w:val="22"/>
        </w:rPr>
        <w:t>ATP</w:t>
      </w:r>
      <w:r>
        <w:rPr>
          <w:rFonts w:ascii="宋体" w:eastAsia="宋体" w:hAnsi="宋体" w:cs="宋体"/>
          <w:spacing w:val="61"/>
          <w:sz w:val="22"/>
          <w:szCs w:val="22"/>
        </w:rPr>
        <w:t xml:space="preserve"> </w:t>
      </w:r>
      <w:r>
        <w:rPr>
          <w:rFonts w:ascii="宋体" w:eastAsia="宋体" w:hAnsi="宋体" w:cs="宋体"/>
          <w:spacing w:val="-10"/>
          <w:sz w:val="22"/>
          <w:szCs w:val="22"/>
        </w:rPr>
        <w:t>酶。叶酸缺</w:t>
      </w:r>
      <w:r>
        <w:rPr>
          <w:rFonts w:ascii="宋体" w:eastAsia="宋体" w:hAnsi="宋体" w:cs="宋体"/>
          <w:sz w:val="22"/>
          <w:szCs w:val="22"/>
        </w:rPr>
        <w:t xml:space="preserve"> </w:t>
      </w:r>
      <w:r>
        <w:rPr>
          <w:rFonts w:ascii="宋体" w:eastAsia="宋体" w:hAnsi="宋体" w:cs="宋体"/>
          <w:spacing w:val="-10"/>
          <w:sz w:val="22"/>
          <w:szCs w:val="22"/>
        </w:rPr>
        <w:t>乏可影响维生素B</w:t>
      </w:r>
      <w:r>
        <w:rPr>
          <w:rFonts w:ascii="Calibri" w:eastAsia="Calibri" w:hAnsi="Calibri" w:cs="Calibri"/>
          <w:spacing w:val="-10"/>
          <w:sz w:val="22"/>
          <w:szCs w:val="22"/>
        </w:rPr>
        <w:t>₁</w:t>
      </w:r>
      <w:r>
        <w:rPr>
          <w:rFonts w:ascii="Calibri" w:eastAsia="Calibri" w:hAnsi="Calibri" w:cs="Calibri"/>
          <w:spacing w:val="60"/>
          <w:sz w:val="22"/>
          <w:szCs w:val="22"/>
        </w:rPr>
        <w:t xml:space="preserve"> </w:t>
      </w:r>
      <w:r>
        <w:rPr>
          <w:rFonts w:ascii="宋体" w:eastAsia="宋体" w:hAnsi="宋体" w:cs="宋体"/>
          <w:spacing w:val="-10"/>
          <w:sz w:val="22"/>
          <w:szCs w:val="22"/>
        </w:rPr>
        <w:t>的吸收。</w:t>
      </w:r>
    </w:p>
    <w:p w:rsidR="00EA40A3" w:rsidRDefault="00E86C16">
      <w:pPr>
        <w:spacing w:before="34" w:line="246" w:lineRule="auto"/>
        <w:ind w:right="60" w:firstLine="399"/>
        <w:jc w:val="both"/>
        <w:rPr>
          <w:rFonts w:ascii="宋体" w:eastAsia="宋体" w:hAnsi="宋体" w:cs="宋体"/>
          <w:sz w:val="22"/>
          <w:szCs w:val="22"/>
        </w:rPr>
      </w:pPr>
      <w:r>
        <w:rPr>
          <w:rFonts w:ascii="宋体" w:eastAsia="宋体" w:hAnsi="宋体" w:cs="宋体"/>
          <w:spacing w:val="-7"/>
          <w:sz w:val="22"/>
          <w:szCs w:val="22"/>
        </w:rPr>
        <w:t>维生素B</w:t>
      </w:r>
      <w:r>
        <w:rPr>
          <w:rFonts w:ascii="Calibri" w:eastAsia="Calibri" w:hAnsi="Calibri" w:cs="Calibri"/>
          <w:spacing w:val="-7"/>
          <w:sz w:val="22"/>
          <w:szCs w:val="22"/>
        </w:rPr>
        <w:t>₁</w:t>
      </w:r>
      <w:r>
        <w:rPr>
          <w:rFonts w:ascii="Calibri" w:eastAsia="Calibri" w:hAnsi="Calibri" w:cs="Calibri"/>
          <w:spacing w:val="49"/>
          <w:w w:val="101"/>
          <w:sz w:val="22"/>
          <w:szCs w:val="22"/>
        </w:rPr>
        <w:t xml:space="preserve"> </w:t>
      </w:r>
      <w:r>
        <w:rPr>
          <w:rFonts w:ascii="宋体" w:eastAsia="宋体" w:hAnsi="宋体" w:cs="宋体"/>
          <w:spacing w:val="-7"/>
          <w:sz w:val="22"/>
          <w:szCs w:val="22"/>
        </w:rPr>
        <w:t>在体内储存很少，约有25mg,50%</w:t>
      </w:r>
      <w:r>
        <w:rPr>
          <w:rFonts w:ascii="宋体" w:eastAsia="宋体" w:hAnsi="宋体" w:cs="宋体"/>
          <w:spacing w:val="16"/>
          <w:sz w:val="22"/>
          <w:szCs w:val="22"/>
        </w:rPr>
        <w:t xml:space="preserve">  </w:t>
      </w:r>
      <w:r>
        <w:rPr>
          <w:rFonts w:ascii="宋体" w:eastAsia="宋体" w:hAnsi="宋体" w:cs="宋体"/>
          <w:spacing w:val="-7"/>
          <w:sz w:val="22"/>
          <w:szCs w:val="22"/>
        </w:rPr>
        <w:t>在</w:t>
      </w:r>
      <w:r>
        <w:rPr>
          <w:rFonts w:ascii="宋体" w:eastAsia="宋体" w:hAnsi="宋体" w:cs="宋体"/>
          <w:spacing w:val="-8"/>
          <w:sz w:val="22"/>
          <w:szCs w:val="22"/>
        </w:rPr>
        <w:t>肌肉中，骨骼、心、肝、肾</w:t>
      </w:r>
      <w:r>
        <w:rPr>
          <w:rFonts w:ascii="宋体" w:eastAsia="宋体" w:hAnsi="宋体" w:cs="宋体"/>
          <w:sz w:val="22"/>
          <w:szCs w:val="22"/>
        </w:rPr>
        <w:t xml:space="preserve"> </w:t>
      </w:r>
      <w:r>
        <w:rPr>
          <w:rFonts w:ascii="宋体" w:eastAsia="宋体" w:hAnsi="宋体" w:cs="宋体"/>
          <w:spacing w:val="-5"/>
          <w:sz w:val="22"/>
          <w:szCs w:val="22"/>
        </w:rPr>
        <w:t>及脑中较多，体内维生素</w:t>
      </w:r>
      <w:r>
        <w:rPr>
          <w:rFonts w:ascii="宋体" w:eastAsia="宋体" w:hAnsi="宋体" w:cs="宋体"/>
          <w:spacing w:val="-48"/>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₁</w:t>
      </w:r>
      <w:r>
        <w:rPr>
          <w:rFonts w:ascii="Calibri" w:eastAsia="Calibri" w:hAnsi="Calibri" w:cs="Calibri"/>
          <w:spacing w:val="10"/>
          <w:sz w:val="22"/>
          <w:szCs w:val="22"/>
        </w:rPr>
        <w:t xml:space="preserve">  </w:t>
      </w:r>
      <w:r>
        <w:rPr>
          <w:rFonts w:ascii="宋体" w:eastAsia="宋体" w:hAnsi="宋体" w:cs="宋体"/>
          <w:spacing w:val="-5"/>
          <w:sz w:val="22"/>
          <w:szCs w:val="22"/>
        </w:rPr>
        <w:t>的80%为焦磷酸硫胺素</w:t>
      </w:r>
      <w:r>
        <w:rPr>
          <w:rFonts w:ascii="宋体" w:eastAsia="宋体" w:hAnsi="宋体" w:cs="宋体"/>
          <w:spacing w:val="-11"/>
          <w:sz w:val="22"/>
          <w:szCs w:val="22"/>
        </w:rPr>
        <w:t xml:space="preserve"> </w:t>
      </w:r>
      <w:r>
        <w:rPr>
          <w:rFonts w:ascii="宋体" w:eastAsia="宋体" w:hAnsi="宋体" w:cs="宋体"/>
          <w:spacing w:val="-5"/>
          <w:sz w:val="22"/>
          <w:szCs w:val="22"/>
        </w:rPr>
        <w:t>(thiamin</w:t>
      </w:r>
      <w:r>
        <w:rPr>
          <w:rFonts w:ascii="宋体" w:eastAsia="宋体" w:hAnsi="宋体" w:cs="宋体"/>
          <w:spacing w:val="-4"/>
          <w:sz w:val="22"/>
          <w:szCs w:val="22"/>
        </w:rPr>
        <w:t xml:space="preserve"> </w:t>
      </w:r>
      <w:r>
        <w:rPr>
          <w:rFonts w:ascii="宋体" w:eastAsia="宋体" w:hAnsi="宋体" w:cs="宋体"/>
          <w:spacing w:val="-5"/>
          <w:sz w:val="22"/>
          <w:szCs w:val="22"/>
        </w:rPr>
        <w:t>pyrophosphate,</w:t>
      </w:r>
      <w:r>
        <w:rPr>
          <w:rFonts w:ascii="宋体" w:eastAsia="宋体" w:hAnsi="宋体" w:cs="宋体"/>
          <w:sz w:val="22"/>
          <w:szCs w:val="22"/>
        </w:rPr>
        <w:t xml:space="preserve"> </w:t>
      </w:r>
      <w:r>
        <w:rPr>
          <w:rFonts w:ascii="宋体" w:eastAsia="宋体" w:hAnsi="宋体" w:cs="宋体"/>
          <w:spacing w:val="-5"/>
          <w:sz w:val="22"/>
          <w:szCs w:val="22"/>
        </w:rPr>
        <w:t>TPP),10%</w:t>
      </w:r>
      <w:r>
        <w:rPr>
          <w:rFonts w:ascii="宋体" w:eastAsia="宋体" w:hAnsi="宋体" w:cs="宋体"/>
          <w:spacing w:val="20"/>
          <w:sz w:val="22"/>
          <w:szCs w:val="22"/>
        </w:rPr>
        <w:t xml:space="preserve">  </w:t>
      </w:r>
      <w:r>
        <w:rPr>
          <w:rFonts w:ascii="宋体" w:eastAsia="宋体" w:hAnsi="宋体" w:cs="宋体"/>
          <w:spacing w:val="-5"/>
          <w:sz w:val="22"/>
          <w:szCs w:val="22"/>
        </w:rPr>
        <w:t>为硫胺素三磷酸</w:t>
      </w:r>
      <w:r>
        <w:rPr>
          <w:rFonts w:ascii="宋体" w:eastAsia="宋体" w:hAnsi="宋体" w:cs="宋体"/>
          <w:spacing w:val="-19"/>
          <w:sz w:val="22"/>
          <w:szCs w:val="22"/>
        </w:rPr>
        <w:t xml:space="preserve"> </w:t>
      </w:r>
      <w:r>
        <w:rPr>
          <w:rFonts w:ascii="宋体" w:eastAsia="宋体" w:hAnsi="宋体" w:cs="宋体"/>
          <w:spacing w:val="-5"/>
          <w:sz w:val="22"/>
          <w:szCs w:val="22"/>
        </w:rPr>
        <w:t>(thiamin</w:t>
      </w:r>
      <w:r>
        <w:rPr>
          <w:rFonts w:ascii="宋体" w:eastAsia="宋体" w:hAnsi="宋体" w:cs="宋体"/>
          <w:spacing w:val="12"/>
          <w:sz w:val="22"/>
          <w:szCs w:val="22"/>
        </w:rPr>
        <w:t xml:space="preserve"> </w:t>
      </w:r>
      <w:r>
        <w:rPr>
          <w:rFonts w:ascii="宋体" w:eastAsia="宋体" w:hAnsi="宋体" w:cs="宋体"/>
          <w:spacing w:val="-5"/>
          <w:sz w:val="22"/>
          <w:szCs w:val="22"/>
        </w:rPr>
        <w:t>triphosphate,TTP),还有一些硫胺素单</w:t>
      </w:r>
      <w:r>
        <w:rPr>
          <w:rFonts w:ascii="宋体" w:eastAsia="宋体" w:hAnsi="宋体" w:cs="宋体"/>
          <w:sz w:val="22"/>
          <w:szCs w:val="22"/>
        </w:rPr>
        <w:t xml:space="preserve"> </w:t>
      </w:r>
      <w:r>
        <w:rPr>
          <w:rFonts w:ascii="宋体" w:eastAsia="宋体" w:hAnsi="宋体" w:cs="宋体"/>
          <w:spacing w:val="-1"/>
          <w:sz w:val="22"/>
          <w:szCs w:val="22"/>
        </w:rPr>
        <w:t>磷酸</w:t>
      </w:r>
      <w:r>
        <w:rPr>
          <w:rFonts w:ascii="宋体" w:eastAsia="宋体" w:hAnsi="宋体" w:cs="宋体"/>
          <w:spacing w:val="2"/>
          <w:sz w:val="22"/>
          <w:szCs w:val="22"/>
        </w:rPr>
        <w:t xml:space="preserve"> </w:t>
      </w:r>
      <w:r>
        <w:rPr>
          <w:rFonts w:ascii="宋体" w:eastAsia="宋体" w:hAnsi="宋体" w:cs="宋体"/>
          <w:spacing w:val="-1"/>
          <w:sz w:val="22"/>
          <w:szCs w:val="22"/>
        </w:rPr>
        <w:t>(thiamin</w:t>
      </w:r>
      <w:r>
        <w:rPr>
          <w:rFonts w:ascii="宋体" w:eastAsia="宋体" w:hAnsi="宋体" w:cs="宋体"/>
          <w:spacing w:val="98"/>
          <w:sz w:val="22"/>
          <w:szCs w:val="22"/>
        </w:rPr>
        <w:t xml:space="preserve"> </w:t>
      </w:r>
      <w:r>
        <w:rPr>
          <w:rFonts w:ascii="宋体" w:eastAsia="宋体" w:hAnsi="宋体" w:cs="宋体"/>
          <w:spacing w:val="-1"/>
          <w:sz w:val="22"/>
          <w:szCs w:val="22"/>
        </w:rPr>
        <w:t>monophosphate,TMP)</w:t>
      </w:r>
      <w:r>
        <w:rPr>
          <w:rFonts w:ascii="宋体" w:eastAsia="宋体" w:hAnsi="宋体" w:cs="宋体"/>
          <w:spacing w:val="-58"/>
          <w:sz w:val="22"/>
          <w:szCs w:val="22"/>
        </w:rPr>
        <w:t xml:space="preserve"> </w:t>
      </w:r>
      <w:r>
        <w:rPr>
          <w:rFonts w:ascii="宋体" w:eastAsia="宋体" w:hAnsi="宋体" w:cs="宋体"/>
          <w:spacing w:val="-1"/>
          <w:sz w:val="22"/>
          <w:szCs w:val="22"/>
        </w:rPr>
        <w:t>及维生素B</w:t>
      </w:r>
      <w:r>
        <w:rPr>
          <w:rFonts w:ascii="Calibri" w:eastAsia="Calibri" w:hAnsi="Calibri" w:cs="Calibri"/>
          <w:spacing w:val="-1"/>
          <w:sz w:val="22"/>
          <w:szCs w:val="22"/>
        </w:rPr>
        <w:t>₁</w:t>
      </w:r>
      <w:r>
        <w:rPr>
          <w:rFonts w:ascii="Calibri" w:eastAsia="Calibri" w:hAnsi="Calibri" w:cs="Calibri"/>
          <w:spacing w:val="-20"/>
          <w:sz w:val="22"/>
          <w:szCs w:val="22"/>
        </w:rPr>
        <w:t xml:space="preserve"> </w:t>
      </w:r>
      <w:r>
        <w:rPr>
          <w:rFonts w:ascii="宋体" w:eastAsia="宋体" w:hAnsi="宋体" w:cs="宋体"/>
          <w:spacing w:val="-1"/>
          <w:sz w:val="22"/>
          <w:szCs w:val="22"/>
        </w:rPr>
        <w:t>。体内有3种酶参与形成上</w:t>
      </w:r>
      <w:r>
        <w:rPr>
          <w:rFonts w:ascii="宋体" w:eastAsia="宋体" w:hAnsi="宋体" w:cs="宋体"/>
          <w:sz w:val="22"/>
          <w:szCs w:val="22"/>
        </w:rPr>
        <w:t xml:space="preserve"> </w:t>
      </w:r>
      <w:r>
        <w:rPr>
          <w:rFonts w:ascii="宋体" w:eastAsia="宋体" w:hAnsi="宋体" w:cs="宋体"/>
          <w:spacing w:val="2"/>
          <w:sz w:val="22"/>
          <w:szCs w:val="22"/>
        </w:rPr>
        <w:t>述的硫胺素磷酸化合物：硫胺素焦磷酸酶催化硫胺素与</w:t>
      </w:r>
      <w:r>
        <w:rPr>
          <w:rFonts w:ascii="宋体" w:eastAsia="宋体" w:hAnsi="宋体" w:cs="宋体"/>
          <w:sz w:val="22"/>
          <w:szCs w:val="22"/>
        </w:rPr>
        <w:t>ATP</w:t>
      </w:r>
      <w:r>
        <w:rPr>
          <w:rFonts w:ascii="宋体" w:eastAsia="宋体" w:hAnsi="宋体" w:cs="宋体"/>
          <w:spacing w:val="61"/>
          <w:sz w:val="22"/>
          <w:szCs w:val="22"/>
        </w:rPr>
        <w:t xml:space="preserve"> </w:t>
      </w:r>
      <w:r>
        <w:rPr>
          <w:rFonts w:ascii="宋体" w:eastAsia="宋体" w:hAnsi="宋体" w:cs="宋体"/>
          <w:spacing w:val="2"/>
          <w:sz w:val="22"/>
          <w:szCs w:val="22"/>
        </w:rPr>
        <w:t>作</w:t>
      </w:r>
      <w:r>
        <w:rPr>
          <w:rFonts w:ascii="宋体" w:eastAsia="宋体" w:hAnsi="宋体" w:cs="宋体"/>
          <w:spacing w:val="1"/>
          <w:sz w:val="22"/>
          <w:szCs w:val="22"/>
        </w:rPr>
        <w:t>用形成</w:t>
      </w:r>
      <w:r>
        <w:rPr>
          <w:rFonts w:ascii="宋体" w:eastAsia="宋体" w:hAnsi="宋体" w:cs="宋体"/>
          <w:spacing w:val="-51"/>
          <w:sz w:val="22"/>
          <w:szCs w:val="22"/>
        </w:rPr>
        <w:t xml:space="preserve"> </w:t>
      </w:r>
      <w:r>
        <w:rPr>
          <w:rFonts w:ascii="宋体" w:eastAsia="宋体" w:hAnsi="宋体" w:cs="宋体"/>
          <w:sz w:val="22"/>
          <w:szCs w:val="22"/>
        </w:rPr>
        <w:t>TPP</w:t>
      </w:r>
      <w:r>
        <w:rPr>
          <w:rFonts w:ascii="宋体" w:eastAsia="宋体" w:hAnsi="宋体" w:cs="宋体"/>
          <w:spacing w:val="1"/>
          <w:sz w:val="22"/>
          <w:szCs w:val="22"/>
        </w:rPr>
        <w:t>;</w:t>
      </w:r>
    </w:p>
    <w:p w:rsidR="00EA40A3" w:rsidRDefault="00E86C16">
      <w:pPr>
        <w:spacing w:before="39" w:line="219" w:lineRule="auto"/>
        <w:rPr>
          <w:rFonts w:ascii="宋体" w:eastAsia="宋体" w:hAnsi="宋体" w:cs="宋体"/>
          <w:sz w:val="22"/>
          <w:szCs w:val="22"/>
        </w:rPr>
      </w:pPr>
      <w:r>
        <w:rPr>
          <w:rFonts w:ascii="宋体" w:eastAsia="宋体" w:hAnsi="宋体" w:cs="宋体"/>
          <w:sz w:val="22"/>
          <w:szCs w:val="22"/>
        </w:rPr>
        <w:t>TPP</w:t>
      </w:r>
      <w:r>
        <w:rPr>
          <w:rFonts w:ascii="宋体" w:eastAsia="宋体" w:hAnsi="宋体" w:cs="宋体"/>
          <w:spacing w:val="1"/>
          <w:sz w:val="22"/>
          <w:szCs w:val="22"/>
        </w:rPr>
        <w:t>-</w:t>
      </w:r>
      <w:r>
        <w:rPr>
          <w:rFonts w:ascii="宋体" w:eastAsia="宋体" w:hAnsi="宋体" w:cs="宋体"/>
          <w:sz w:val="22"/>
          <w:szCs w:val="22"/>
        </w:rPr>
        <w:t>ATP</w:t>
      </w:r>
      <w:r>
        <w:rPr>
          <w:rFonts w:ascii="宋体" w:eastAsia="宋体" w:hAnsi="宋体" w:cs="宋体"/>
          <w:spacing w:val="103"/>
          <w:sz w:val="22"/>
          <w:szCs w:val="22"/>
        </w:rPr>
        <w:t xml:space="preserve"> </w:t>
      </w:r>
      <w:r>
        <w:rPr>
          <w:rFonts w:ascii="宋体" w:eastAsia="宋体" w:hAnsi="宋体" w:cs="宋体"/>
          <w:spacing w:val="1"/>
          <w:sz w:val="22"/>
          <w:szCs w:val="22"/>
        </w:rPr>
        <w:t>磷酸转移酶催化</w:t>
      </w:r>
      <w:r>
        <w:rPr>
          <w:rFonts w:ascii="宋体" w:eastAsia="宋体" w:hAnsi="宋体" w:cs="宋体"/>
          <w:sz w:val="22"/>
          <w:szCs w:val="22"/>
        </w:rPr>
        <w:t>TPP</w:t>
      </w:r>
      <w:r>
        <w:rPr>
          <w:rFonts w:ascii="宋体" w:eastAsia="宋体" w:hAnsi="宋体" w:cs="宋体"/>
          <w:spacing w:val="1"/>
          <w:sz w:val="22"/>
          <w:szCs w:val="22"/>
        </w:rPr>
        <w:t>+</w:t>
      </w:r>
      <w:r>
        <w:rPr>
          <w:rFonts w:ascii="宋体" w:eastAsia="宋体" w:hAnsi="宋体" w:cs="宋体"/>
          <w:sz w:val="22"/>
          <w:szCs w:val="22"/>
        </w:rPr>
        <w:t>ATP</w:t>
      </w:r>
      <w:r>
        <w:rPr>
          <w:rFonts w:ascii="宋体" w:eastAsia="宋体" w:hAnsi="宋体" w:cs="宋体"/>
          <w:spacing w:val="1"/>
          <w:sz w:val="22"/>
          <w:szCs w:val="22"/>
        </w:rPr>
        <w:t>→</w:t>
      </w:r>
      <w:r>
        <w:rPr>
          <w:rFonts w:ascii="宋体" w:eastAsia="宋体" w:hAnsi="宋体" w:cs="宋体"/>
          <w:sz w:val="22"/>
          <w:szCs w:val="22"/>
        </w:rPr>
        <w:t>TPP</w:t>
      </w:r>
      <w:r>
        <w:rPr>
          <w:rFonts w:ascii="宋体" w:eastAsia="宋体" w:hAnsi="宋体" w:cs="宋体"/>
          <w:spacing w:val="1"/>
          <w:sz w:val="22"/>
          <w:szCs w:val="22"/>
        </w:rPr>
        <w:t>;</w:t>
      </w:r>
      <w:r>
        <w:rPr>
          <w:rFonts w:ascii="宋体" w:eastAsia="宋体" w:hAnsi="宋体" w:cs="宋体"/>
          <w:spacing w:val="14"/>
          <w:sz w:val="22"/>
          <w:szCs w:val="22"/>
        </w:rPr>
        <w:t xml:space="preserve">    </w:t>
      </w:r>
      <w:r>
        <w:rPr>
          <w:rFonts w:ascii="宋体" w:eastAsia="宋体" w:hAnsi="宋体" w:cs="宋体"/>
          <w:spacing w:val="1"/>
          <w:sz w:val="22"/>
          <w:szCs w:val="22"/>
        </w:rPr>
        <w:t>及硫胺素焦磷酸酶参与</w:t>
      </w:r>
      <w:r>
        <w:rPr>
          <w:rFonts w:ascii="宋体" w:eastAsia="宋体" w:hAnsi="宋体" w:cs="宋体"/>
          <w:sz w:val="22"/>
          <w:szCs w:val="22"/>
        </w:rPr>
        <w:t>TPP</w:t>
      </w:r>
      <w:r>
        <w:rPr>
          <w:rFonts w:ascii="宋体" w:eastAsia="宋体" w:hAnsi="宋体" w:cs="宋体"/>
          <w:spacing w:val="1"/>
          <w:sz w:val="22"/>
          <w:szCs w:val="22"/>
        </w:rPr>
        <w:t>→</w:t>
      </w:r>
    </w:p>
    <w:p w:rsidR="00EA40A3" w:rsidRDefault="00E86C16">
      <w:pPr>
        <w:spacing w:before="40" w:line="221" w:lineRule="auto"/>
        <w:rPr>
          <w:rFonts w:ascii="宋体" w:eastAsia="宋体" w:hAnsi="宋体" w:cs="宋体"/>
          <w:sz w:val="22"/>
          <w:szCs w:val="22"/>
        </w:rPr>
      </w:pPr>
      <w:r>
        <w:rPr>
          <w:rFonts w:ascii="宋体" w:eastAsia="宋体" w:hAnsi="宋体" w:cs="宋体"/>
          <w:spacing w:val="-12"/>
          <w:sz w:val="22"/>
          <w:szCs w:val="22"/>
        </w:rPr>
        <w:t>TMP</w:t>
      </w:r>
      <w:r>
        <w:rPr>
          <w:rFonts w:ascii="宋体" w:eastAsia="宋体" w:hAnsi="宋体" w:cs="宋体"/>
          <w:spacing w:val="87"/>
          <w:sz w:val="22"/>
          <w:szCs w:val="22"/>
        </w:rPr>
        <w:t xml:space="preserve"> </w:t>
      </w:r>
      <w:r>
        <w:rPr>
          <w:rFonts w:ascii="宋体" w:eastAsia="宋体" w:hAnsi="宋体" w:cs="宋体"/>
          <w:spacing w:val="-12"/>
          <w:sz w:val="22"/>
          <w:szCs w:val="22"/>
        </w:rPr>
        <w:t>的反应。</w:t>
      </w:r>
    </w:p>
    <w:p w:rsidR="00EA40A3" w:rsidRDefault="00E86C16">
      <w:pPr>
        <w:spacing w:before="74" w:line="241" w:lineRule="auto"/>
        <w:ind w:right="59" w:firstLine="399"/>
        <w:jc w:val="both"/>
        <w:rPr>
          <w:rFonts w:ascii="宋体" w:eastAsia="宋体" w:hAnsi="宋体" w:cs="宋体"/>
          <w:sz w:val="22"/>
          <w:szCs w:val="22"/>
        </w:rPr>
      </w:pPr>
      <w:r>
        <w:rPr>
          <w:rFonts w:ascii="宋体" w:eastAsia="宋体" w:hAnsi="宋体" w:cs="宋体"/>
          <w:spacing w:val="-6"/>
          <w:sz w:val="22"/>
          <w:szCs w:val="22"/>
        </w:rPr>
        <w:t>大鼠及人尿中有许多硫胺素代谢物，已知结构者仅6种，其中以2-甲基-4-</w:t>
      </w:r>
      <w:r>
        <w:rPr>
          <w:rFonts w:ascii="宋体" w:eastAsia="宋体" w:hAnsi="宋体" w:cs="宋体"/>
          <w:spacing w:val="16"/>
          <w:sz w:val="22"/>
          <w:szCs w:val="22"/>
        </w:rPr>
        <w:t xml:space="preserve"> </w:t>
      </w:r>
      <w:r>
        <w:rPr>
          <w:rFonts w:ascii="宋体" w:eastAsia="宋体" w:hAnsi="宋体" w:cs="宋体"/>
          <w:spacing w:val="-11"/>
          <w:sz w:val="22"/>
          <w:szCs w:val="22"/>
        </w:rPr>
        <w:t>氨基-5-嘧啶羧酸、4-甲基噻唑-5-乙酸及硫胺素乙酸为最主。在大鼠中经乙醇</w:t>
      </w:r>
      <w:r>
        <w:rPr>
          <w:rFonts w:ascii="宋体" w:eastAsia="宋体" w:hAnsi="宋体" w:cs="宋体"/>
          <w:spacing w:val="-12"/>
          <w:sz w:val="22"/>
          <w:szCs w:val="22"/>
        </w:rPr>
        <w:t>脱</w:t>
      </w:r>
      <w:r>
        <w:rPr>
          <w:rFonts w:ascii="宋体" w:eastAsia="宋体" w:hAnsi="宋体" w:cs="宋体"/>
          <w:sz w:val="22"/>
          <w:szCs w:val="22"/>
        </w:rPr>
        <w:t xml:space="preserve"> </w:t>
      </w:r>
      <w:r>
        <w:rPr>
          <w:rFonts w:ascii="宋体" w:eastAsia="宋体" w:hAnsi="宋体" w:cs="宋体"/>
          <w:spacing w:val="-13"/>
          <w:sz w:val="22"/>
          <w:szCs w:val="22"/>
        </w:rPr>
        <w:t>氢酶的作用，可以将硫胺素及噻唑氧化成相应的酸。</w:t>
      </w:r>
    </w:p>
    <w:p w:rsidR="00EA40A3" w:rsidRDefault="00E86C16">
      <w:pPr>
        <w:spacing w:before="207" w:line="222" w:lineRule="auto"/>
        <w:rPr>
          <w:rFonts w:ascii="仿宋" w:eastAsia="仿宋" w:hAnsi="仿宋" w:cs="仿宋"/>
          <w:sz w:val="22"/>
          <w:szCs w:val="22"/>
        </w:rPr>
      </w:pPr>
      <w:r>
        <w:rPr>
          <w:rFonts w:ascii="仿宋" w:eastAsia="仿宋" w:hAnsi="仿宋" w:cs="仿宋"/>
          <w:spacing w:val="7"/>
          <w:sz w:val="22"/>
          <w:szCs w:val="22"/>
        </w:rPr>
        <w:t>3.</w:t>
      </w:r>
      <w:r>
        <w:rPr>
          <w:rFonts w:ascii="仿宋" w:eastAsia="仿宋" w:hAnsi="仿宋" w:cs="仿宋"/>
          <w:spacing w:val="-8"/>
          <w:sz w:val="22"/>
          <w:szCs w:val="22"/>
        </w:rPr>
        <w:t xml:space="preserve"> </w:t>
      </w:r>
      <w:r>
        <w:rPr>
          <w:rFonts w:ascii="仿宋" w:eastAsia="仿宋" w:hAnsi="仿宋" w:cs="仿宋"/>
          <w:spacing w:val="7"/>
          <w:sz w:val="22"/>
          <w:szCs w:val="22"/>
        </w:rPr>
        <w:t>维生素</w:t>
      </w:r>
      <w:r>
        <w:rPr>
          <w:rFonts w:ascii="仿宋" w:eastAsia="仿宋" w:hAnsi="仿宋" w:cs="仿宋"/>
          <w:spacing w:val="-53"/>
          <w:sz w:val="22"/>
          <w:szCs w:val="22"/>
        </w:rPr>
        <w:t xml:space="preserve"> </w:t>
      </w:r>
      <w:r>
        <w:rPr>
          <w:rFonts w:ascii="仿宋" w:eastAsia="仿宋" w:hAnsi="仿宋" w:cs="仿宋"/>
          <w:spacing w:val="7"/>
          <w:sz w:val="22"/>
          <w:szCs w:val="22"/>
        </w:rPr>
        <w:t>B</w:t>
      </w:r>
      <w:r>
        <w:rPr>
          <w:rFonts w:ascii="Calibri" w:eastAsia="Calibri" w:hAnsi="Calibri" w:cs="Calibri"/>
          <w:spacing w:val="7"/>
          <w:sz w:val="22"/>
          <w:szCs w:val="22"/>
        </w:rPr>
        <w:t>₁</w:t>
      </w:r>
      <w:r>
        <w:rPr>
          <w:rFonts w:ascii="Calibri" w:eastAsia="Calibri" w:hAnsi="Calibri" w:cs="Calibri"/>
          <w:spacing w:val="24"/>
          <w:w w:val="101"/>
          <w:sz w:val="22"/>
          <w:szCs w:val="22"/>
        </w:rPr>
        <w:t xml:space="preserve">  </w:t>
      </w:r>
      <w:r>
        <w:rPr>
          <w:rFonts w:ascii="仿宋" w:eastAsia="仿宋" w:hAnsi="仿宋" w:cs="仿宋"/>
          <w:spacing w:val="7"/>
          <w:sz w:val="22"/>
          <w:szCs w:val="22"/>
        </w:rPr>
        <w:t>生理功能</w:t>
      </w:r>
    </w:p>
    <w:p w:rsidR="00EA40A3" w:rsidRDefault="00E86C16">
      <w:pPr>
        <w:spacing w:before="199" w:line="219" w:lineRule="auto"/>
        <w:ind w:left="399"/>
        <w:rPr>
          <w:rFonts w:ascii="宋体" w:eastAsia="宋体" w:hAnsi="宋体" w:cs="宋体"/>
          <w:sz w:val="22"/>
          <w:szCs w:val="22"/>
        </w:rPr>
      </w:pPr>
      <w:r>
        <w:rPr>
          <w:rFonts w:ascii="宋体" w:eastAsia="宋体" w:hAnsi="宋体" w:cs="宋体"/>
          <w:spacing w:val="-7"/>
          <w:sz w:val="22"/>
          <w:szCs w:val="22"/>
        </w:rPr>
        <w:t>(1)构成脱羧酶的辅酶，参加糖代谢。</w:t>
      </w:r>
      <w:r>
        <w:rPr>
          <w:rFonts w:ascii="宋体" w:eastAsia="宋体" w:hAnsi="宋体" w:cs="宋体"/>
          <w:spacing w:val="15"/>
          <w:sz w:val="22"/>
          <w:szCs w:val="22"/>
        </w:rPr>
        <w:t xml:space="preserve"> </w:t>
      </w:r>
      <w:r>
        <w:rPr>
          <w:rFonts w:ascii="宋体" w:eastAsia="宋体" w:hAnsi="宋体" w:cs="宋体"/>
          <w:spacing w:val="-7"/>
          <w:sz w:val="22"/>
          <w:szCs w:val="22"/>
        </w:rPr>
        <w:t>TPP</w:t>
      </w:r>
      <w:r>
        <w:rPr>
          <w:rFonts w:ascii="宋体" w:eastAsia="宋体" w:hAnsi="宋体" w:cs="宋体"/>
          <w:spacing w:val="35"/>
          <w:sz w:val="22"/>
          <w:szCs w:val="22"/>
        </w:rPr>
        <w:t xml:space="preserve"> </w:t>
      </w:r>
      <w:r>
        <w:rPr>
          <w:rFonts w:ascii="宋体" w:eastAsia="宋体" w:hAnsi="宋体" w:cs="宋体"/>
          <w:spacing w:val="-7"/>
          <w:sz w:val="22"/>
          <w:szCs w:val="22"/>
        </w:rPr>
        <w:t>是硫胺素行使生理功能的活性</w:t>
      </w:r>
    </w:p>
    <w:p w:rsidR="00EA40A3" w:rsidRDefault="00E86C16">
      <w:pPr>
        <w:spacing w:before="37" w:line="236" w:lineRule="auto"/>
        <w:ind w:right="61"/>
        <w:rPr>
          <w:rFonts w:ascii="宋体" w:eastAsia="宋体" w:hAnsi="宋体" w:cs="宋体"/>
          <w:sz w:val="22"/>
          <w:szCs w:val="22"/>
        </w:rPr>
      </w:pPr>
      <w:r>
        <w:rPr>
          <w:rFonts w:ascii="宋体" w:eastAsia="宋体" w:hAnsi="宋体" w:cs="宋体"/>
          <w:spacing w:val="-15"/>
          <w:sz w:val="22"/>
          <w:szCs w:val="22"/>
        </w:rPr>
        <w:t>形式，它主要以辅酶形式参与两个重要的反应，即α-酮酸的氧化脱羧反应和</w:t>
      </w:r>
      <w:r>
        <w:rPr>
          <w:rFonts w:ascii="宋体" w:eastAsia="宋体" w:hAnsi="宋体" w:cs="宋体"/>
          <w:spacing w:val="-16"/>
          <w:sz w:val="22"/>
          <w:szCs w:val="22"/>
        </w:rPr>
        <w:t>磷酸</w:t>
      </w:r>
      <w:r>
        <w:rPr>
          <w:rFonts w:ascii="宋体" w:eastAsia="宋体" w:hAnsi="宋体" w:cs="宋体"/>
          <w:sz w:val="22"/>
          <w:szCs w:val="22"/>
        </w:rPr>
        <w:t xml:space="preserve"> </w:t>
      </w:r>
      <w:r>
        <w:rPr>
          <w:rFonts w:ascii="宋体" w:eastAsia="宋体" w:hAnsi="宋体" w:cs="宋体"/>
          <w:spacing w:val="-15"/>
          <w:sz w:val="22"/>
          <w:szCs w:val="22"/>
        </w:rPr>
        <w:t>戊糖途径的转酮醇作用。</w:t>
      </w:r>
    </w:p>
    <w:p w:rsidR="00EA40A3" w:rsidRDefault="00E86C16">
      <w:pPr>
        <w:spacing w:before="58" w:line="219" w:lineRule="auto"/>
        <w:ind w:left="399"/>
        <w:rPr>
          <w:rFonts w:ascii="宋体" w:eastAsia="宋体" w:hAnsi="宋体" w:cs="宋体"/>
          <w:sz w:val="22"/>
          <w:szCs w:val="22"/>
        </w:rPr>
      </w:pPr>
      <w:r>
        <w:rPr>
          <w:rFonts w:ascii="宋体" w:eastAsia="宋体" w:hAnsi="宋体" w:cs="宋体"/>
          <w:spacing w:val="-16"/>
          <w:sz w:val="22"/>
          <w:szCs w:val="22"/>
        </w:rPr>
        <w:t>α-酮酸的氧化脱羧反应是发生在线粒体</w:t>
      </w:r>
      <w:r>
        <w:rPr>
          <w:rFonts w:ascii="宋体" w:eastAsia="宋体" w:hAnsi="宋体" w:cs="宋体"/>
          <w:spacing w:val="-17"/>
          <w:sz w:val="22"/>
          <w:szCs w:val="22"/>
        </w:rPr>
        <w:t>中的生物氧化过程的关键环节，</w:t>
      </w:r>
      <w:r>
        <w:rPr>
          <w:rFonts w:ascii="宋体" w:eastAsia="宋体" w:hAnsi="宋体" w:cs="宋体"/>
          <w:spacing w:val="10"/>
          <w:sz w:val="22"/>
          <w:szCs w:val="22"/>
        </w:rPr>
        <w:t xml:space="preserve"> </w:t>
      </w:r>
      <w:r>
        <w:rPr>
          <w:rFonts w:ascii="宋体" w:eastAsia="宋体" w:hAnsi="宋体" w:cs="宋体"/>
          <w:spacing w:val="-16"/>
          <w:sz w:val="22"/>
          <w:szCs w:val="22"/>
        </w:rPr>
        <w:t>TPP</w:t>
      </w:r>
    </w:p>
    <w:p w:rsidR="00EA40A3" w:rsidRDefault="00E86C16">
      <w:pPr>
        <w:spacing w:before="104" w:line="184" w:lineRule="auto"/>
        <w:ind w:right="70"/>
        <w:jc w:val="right"/>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131</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type w:val="continuous"/>
          <w:pgSz w:w="9350" w:h="13450"/>
          <w:pgMar w:top="400" w:right="970" w:bottom="400" w:left="1050" w:header="0" w:footer="0" w:gutter="0"/>
          <w:cols w:space="720" w:equalWidth="0">
            <w:col w:w="7330"/>
          </w:cols>
        </w:sectPr>
      </w:pPr>
    </w:p>
    <w:p w:rsidR="00EA40A3" w:rsidRDefault="00EA40A3">
      <w:pPr>
        <w:spacing w:line="283" w:lineRule="auto"/>
      </w:pPr>
    </w:p>
    <w:p w:rsidR="00EA40A3" w:rsidRDefault="00EA40A3">
      <w:pPr>
        <w:spacing w:line="283" w:lineRule="auto"/>
      </w:pPr>
    </w:p>
    <w:p w:rsidR="00EA40A3" w:rsidRDefault="00E86C16">
      <w:pPr>
        <w:spacing w:before="68" w:line="241" w:lineRule="auto"/>
        <w:ind w:right="96"/>
        <w:rPr>
          <w:rFonts w:ascii="宋体" w:eastAsia="宋体" w:hAnsi="宋体" w:cs="宋体"/>
        </w:rPr>
      </w:pPr>
      <w:r>
        <w:rPr>
          <w:rFonts w:ascii="宋体" w:eastAsia="宋体" w:hAnsi="宋体" w:cs="宋体"/>
          <w:spacing w:val="-3"/>
        </w:rPr>
        <w:t>作为丙酮酸脱氢酶和α酮戊二酸脱氢酶的辅酶，参与丙酮酸和α酮戊二酸的氧化</w:t>
      </w:r>
      <w:r>
        <w:rPr>
          <w:rFonts w:ascii="宋体" w:eastAsia="宋体" w:hAnsi="宋体" w:cs="宋体"/>
          <w:spacing w:val="12"/>
        </w:rPr>
        <w:t xml:space="preserve"> </w:t>
      </w:r>
      <w:r>
        <w:rPr>
          <w:rFonts w:ascii="宋体" w:eastAsia="宋体" w:hAnsi="宋体" w:cs="宋体"/>
          <w:spacing w:val="-6"/>
        </w:rPr>
        <w:t>脱羧作用。从葡萄糖、脂肪酸、支链氨基酸衍生来的丙酮酸和α-酮戊二酸需经氧</w:t>
      </w:r>
    </w:p>
    <w:p w:rsidR="00EA40A3" w:rsidRDefault="00E86C16">
      <w:pPr>
        <w:spacing w:before="47" w:line="215" w:lineRule="auto"/>
        <w:rPr>
          <w:rFonts w:ascii="宋体" w:eastAsia="宋体" w:hAnsi="宋体" w:cs="宋体"/>
        </w:rPr>
      </w:pPr>
      <w:r>
        <w:rPr>
          <w:rFonts w:ascii="宋体" w:eastAsia="宋体" w:hAnsi="宋体" w:cs="宋体"/>
          <w:spacing w:val="6"/>
        </w:rPr>
        <w:t>化脱羧产生乙酰</w:t>
      </w:r>
      <w:r>
        <w:rPr>
          <w:rFonts w:ascii="宋体" w:eastAsia="宋体" w:hAnsi="宋体" w:cs="宋体"/>
        </w:rPr>
        <w:t>CoA</w:t>
      </w:r>
      <w:r>
        <w:rPr>
          <w:rFonts w:ascii="宋体" w:eastAsia="宋体" w:hAnsi="宋体" w:cs="宋体"/>
          <w:spacing w:val="6"/>
        </w:rPr>
        <w:t>(</w:t>
      </w:r>
      <w:r>
        <w:rPr>
          <w:rFonts w:ascii="宋体" w:eastAsia="宋体" w:hAnsi="宋体" w:cs="宋体"/>
        </w:rPr>
        <w:t>acetyl</w:t>
      </w:r>
      <w:r>
        <w:rPr>
          <w:rFonts w:ascii="宋体" w:eastAsia="宋体" w:hAnsi="宋体" w:cs="宋体"/>
          <w:spacing w:val="53"/>
        </w:rPr>
        <w:t xml:space="preserve">  </w:t>
      </w:r>
      <w:r>
        <w:rPr>
          <w:rFonts w:ascii="宋体" w:eastAsia="宋体" w:hAnsi="宋体" w:cs="宋体"/>
        </w:rPr>
        <w:t>CoA</w:t>
      </w:r>
      <w:r>
        <w:rPr>
          <w:rFonts w:ascii="宋体" w:eastAsia="宋体" w:hAnsi="宋体" w:cs="宋体"/>
          <w:spacing w:val="6"/>
        </w:rPr>
        <w:t>)</w:t>
      </w:r>
      <w:r>
        <w:rPr>
          <w:rFonts w:ascii="宋体" w:eastAsia="宋体" w:hAnsi="宋体" w:cs="宋体"/>
          <w:spacing w:val="-21"/>
        </w:rPr>
        <w:t xml:space="preserve"> </w:t>
      </w:r>
      <w:r>
        <w:rPr>
          <w:rFonts w:ascii="宋体" w:eastAsia="宋体" w:hAnsi="宋体" w:cs="宋体"/>
          <w:spacing w:val="6"/>
        </w:rPr>
        <w:t>和琥珀酰</w:t>
      </w:r>
      <w:r>
        <w:rPr>
          <w:rFonts w:ascii="宋体" w:eastAsia="宋体" w:hAnsi="宋体" w:cs="宋体"/>
        </w:rPr>
        <w:t>CoA</w:t>
      </w:r>
      <w:r>
        <w:rPr>
          <w:rFonts w:ascii="宋体" w:eastAsia="宋体" w:hAnsi="宋体" w:cs="宋体"/>
          <w:spacing w:val="6"/>
        </w:rPr>
        <w:t>(</w:t>
      </w:r>
      <w:r>
        <w:rPr>
          <w:rFonts w:ascii="宋体" w:eastAsia="宋体" w:hAnsi="宋体" w:cs="宋体"/>
        </w:rPr>
        <w:t>succinyl</w:t>
      </w:r>
      <w:r>
        <w:rPr>
          <w:rFonts w:ascii="宋体" w:eastAsia="宋体" w:hAnsi="宋体" w:cs="宋体"/>
          <w:spacing w:val="5"/>
        </w:rPr>
        <w:t xml:space="preserve">   </w:t>
      </w:r>
      <w:r>
        <w:rPr>
          <w:rFonts w:ascii="宋体" w:eastAsia="宋体" w:hAnsi="宋体" w:cs="宋体"/>
        </w:rPr>
        <w:t>CoA</w:t>
      </w:r>
      <w:r>
        <w:rPr>
          <w:rFonts w:ascii="宋体" w:eastAsia="宋体" w:hAnsi="宋体" w:cs="宋体"/>
          <w:spacing w:val="6"/>
        </w:rPr>
        <w:t>),才能进入</w:t>
      </w:r>
    </w:p>
    <w:p w:rsidR="00EA40A3" w:rsidRDefault="00E86C16">
      <w:pPr>
        <w:spacing w:before="61" w:line="251" w:lineRule="auto"/>
        <w:ind w:right="40"/>
        <w:jc w:val="both"/>
        <w:rPr>
          <w:rFonts w:ascii="宋体" w:eastAsia="宋体" w:hAnsi="宋体" w:cs="宋体"/>
        </w:rPr>
      </w:pPr>
      <w:r>
        <w:rPr>
          <w:rFonts w:ascii="宋体" w:eastAsia="宋体" w:hAnsi="宋体" w:cs="宋体"/>
          <w:spacing w:val="-3"/>
        </w:rPr>
        <w:t>柠檬酸循环彻底氧化，并产生维持生命必需的能量，这是能量代谢中最复杂和最</w:t>
      </w:r>
      <w:r>
        <w:rPr>
          <w:rFonts w:ascii="宋体" w:eastAsia="宋体" w:hAnsi="宋体" w:cs="宋体"/>
          <w:spacing w:val="14"/>
        </w:rPr>
        <w:t xml:space="preserve"> </w:t>
      </w:r>
      <w:r>
        <w:rPr>
          <w:rFonts w:ascii="宋体" w:eastAsia="宋体" w:hAnsi="宋体" w:cs="宋体"/>
          <w:spacing w:val="-4"/>
        </w:rPr>
        <w:t>重要的反应之一，因此，缺乏硫胺素时，会对机体造成广泛的损伤。除</w:t>
      </w:r>
      <w:r>
        <w:rPr>
          <w:rFonts w:ascii="宋体" w:eastAsia="宋体" w:hAnsi="宋体" w:cs="宋体"/>
          <w:spacing w:val="-43"/>
        </w:rPr>
        <w:t xml:space="preserve"> </w:t>
      </w:r>
      <w:r>
        <w:rPr>
          <w:rFonts w:ascii="宋体" w:eastAsia="宋体" w:hAnsi="宋体" w:cs="宋体"/>
          <w:spacing w:val="-4"/>
        </w:rPr>
        <w:t>TPP</w:t>
      </w:r>
      <w:r>
        <w:rPr>
          <w:rFonts w:ascii="宋体" w:eastAsia="宋体" w:hAnsi="宋体" w:cs="宋体"/>
          <w:spacing w:val="46"/>
        </w:rPr>
        <w:t xml:space="preserve"> </w:t>
      </w:r>
      <w:r>
        <w:rPr>
          <w:rFonts w:ascii="宋体" w:eastAsia="宋体" w:hAnsi="宋体" w:cs="宋体"/>
          <w:spacing w:val="-4"/>
        </w:rPr>
        <w:t>外，</w:t>
      </w:r>
      <w:r>
        <w:rPr>
          <w:rFonts w:ascii="宋体" w:eastAsia="宋体" w:hAnsi="宋体" w:cs="宋体"/>
        </w:rPr>
        <w:t xml:space="preserve"> </w:t>
      </w:r>
      <w:r>
        <w:rPr>
          <w:rFonts w:ascii="宋体" w:eastAsia="宋体" w:hAnsi="宋体" w:cs="宋体"/>
          <w:spacing w:val="-2"/>
        </w:rPr>
        <w:t>也需要下列辅助因素：含有泛酸的辅酶A、</w:t>
      </w:r>
      <w:r>
        <w:rPr>
          <w:rFonts w:ascii="宋体" w:eastAsia="宋体" w:hAnsi="宋体" w:cs="宋体"/>
          <w:spacing w:val="-15"/>
        </w:rPr>
        <w:t xml:space="preserve"> </w:t>
      </w:r>
      <w:r>
        <w:rPr>
          <w:rFonts w:ascii="宋体" w:eastAsia="宋体" w:hAnsi="宋体" w:cs="宋体"/>
          <w:spacing w:val="-2"/>
        </w:rPr>
        <w:t>含有尼克酸的烟酰胺</w:t>
      </w:r>
      <w:r>
        <w:rPr>
          <w:rFonts w:ascii="宋体" w:eastAsia="宋体" w:hAnsi="宋体" w:cs="宋体"/>
          <w:spacing w:val="-3"/>
        </w:rPr>
        <w:t>腺嘌呤二核苷酸</w:t>
      </w:r>
      <w:r>
        <w:rPr>
          <w:rFonts w:ascii="宋体" w:eastAsia="宋体" w:hAnsi="宋体" w:cs="宋体"/>
        </w:rPr>
        <w:t xml:space="preserve"> </w:t>
      </w:r>
      <w:r>
        <w:rPr>
          <w:rFonts w:ascii="宋体" w:eastAsia="宋体" w:hAnsi="宋体" w:cs="宋体"/>
          <w:spacing w:val="-10"/>
        </w:rPr>
        <w:t>(nicotinamide</w:t>
      </w:r>
      <w:r>
        <w:rPr>
          <w:rFonts w:ascii="宋体" w:eastAsia="宋体" w:hAnsi="宋体" w:cs="宋体"/>
          <w:spacing w:val="20"/>
        </w:rPr>
        <w:t xml:space="preserve"> </w:t>
      </w:r>
      <w:r>
        <w:rPr>
          <w:rFonts w:ascii="宋体" w:eastAsia="宋体" w:hAnsi="宋体" w:cs="宋体"/>
          <w:spacing w:val="-10"/>
        </w:rPr>
        <w:t>adenine</w:t>
      </w:r>
      <w:r>
        <w:rPr>
          <w:rFonts w:ascii="宋体" w:eastAsia="宋体" w:hAnsi="宋体" w:cs="宋体"/>
          <w:spacing w:val="7"/>
        </w:rPr>
        <w:t xml:space="preserve"> </w:t>
      </w:r>
      <w:r>
        <w:rPr>
          <w:rFonts w:ascii="宋体" w:eastAsia="宋体" w:hAnsi="宋体" w:cs="宋体"/>
          <w:spacing w:val="-10"/>
        </w:rPr>
        <w:t>dinucleotide,NAD)、</w:t>
      </w:r>
      <w:r>
        <w:rPr>
          <w:rFonts w:ascii="宋体" w:eastAsia="宋体" w:hAnsi="宋体" w:cs="宋体"/>
          <w:spacing w:val="5"/>
        </w:rPr>
        <w:t xml:space="preserve"> </w:t>
      </w:r>
      <w:r>
        <w:rPr>
          <w:rFonts w:ascii="宋体" w:eastAsia="宋体" w:hAnsi="宋体" w:cs="宋体"/>
          <w:spacing w:val="-10"/>
        </w:rPr>
        <w:t>镁离子和硫辛酸。</w:t>
      </w:r>
    </w:p>
    <w:p w:rsidR="00EA40A3" w:rsidRDefault="00E86C16">
      <w:pPr>
        <w:spacing w:before="96" w:line="257" w:lineRule="auto"/>
        <w:ind w:firstLine="430"/>
        <w:jc w:val="both"/>
        <w:rPr>
          <w:rFonts w:ascii="宋体" w:eastAsia="宋体" w:hAnsi="宋体" w:cs="宋体"/>
        </w:rPr>
      </w:pPr>
      <w:r>
        <w:rPr>
          <w:rFonts w:ascii="宋体" w:eastAsia="宋体" w:hAnsi="宋体" w:cs="宋体"/>
          <w:spacing w:val="-3"/>
        </w:rPr>
        <w:t>磷酸戊糖途径的转酮醇作用</w:t>
      </w:r>
      <w:r>
        <w:rPr>
          <w:rFonts w:ascii="宋体" w:eastAsia="宋体" w:hAnsi="宋体" w:cs="宋体"/>
          <w:spacing w:val="-26"/>
        </w:rPr>
        <w:t xml:space="preserve"> </w:t>
      </w:r>
      <w:r>
        <w:rPr>
          <w:rFonts w:ascii="宋体" w:eastAsia="宋体" w:hAnsi="宋体" w:cs="宋体"/>
          <w:spacing w:val="-3"/>
        </w:rPr>
        <w:t>(transketolation)</w:t>
      </w:r>
      <w:r>
        <w:rPr>
          <w:rFonts w:ascii="宋体" w:eastAsia="宋体" w:hAnsi="宋体" w:cs="宋体"/>
          <w:spacing w:val="-37"/>
        </w:rPr>
        <w:t xml:space="preserve"> </w:t>
      </w:r>
      <w:r>
        <w:rPr>
          <w:rFonts w:ascii="宋体" w:eastAsia="宋体" w:hAnsi="宋体" w:cs="宋体"/>
          <w:spacing w:val="-3"/>
        </w:rPr>
        <w:t>是磷酸戊糖途径的一种重要</w:t>
      </w:r>
      <w:r>
        <w:rPr>
          <w:rFonts w:ascii="宋体" w:eastAsia="宋体" w:hAnsi="宋体" w:cs="宋体"/>
        </w:rPr>
        <w:t xml:space="preserve"> </w:t>
      </w:r>
      <w:r>
        <w:rPr>
          <w:rFonts w:ascii="宋体" w:eastAsia="宋体" w:hAnsi="宋体" w:cs="宋体"/>
          <w:spacing w:val="6"/>
        </w:rPr>
        <w:t>的反应，通过胞质酶转酮醇酶进行催化反应，把2或3碳部分转移而发生3、4</w:t>
      </w:r>
      <w:r>
        <w:rPr>
          <w:rFonts w:ascii="宋体" w:eastAsia="宋体" w:hAnsi="宋体" w:cs="宋体"/>
          <w:spacing w:val="5"/>
        </w:rPr>
        <w:t>、</w:t>
      </w:r>
      <w:r>
        <w:rPr>
          <w:rFonts w:ascii="宋体" w:eastAsia="宋体" w:hAnsi="宋体" w:cs="宋体"/>
        </w:rPr>
        <w:t xml:space="preserve"> </w:t>
      </w:r>
      <w:r>
        <w:rPr>
          <w:rFonts w:ascii="宋体" w:eastAsia="宋体" w:hAnsi="宋体" w:cs="宋体"/>
          <w:spacing w:val="-3"/>
        </w:rPr>
        <w:t>5、6、7-碳碳水化合物的可逆的互变。转酮醇作用不是碳水化合物代谢中主要糖</w:t>
      </w:r>
      <w:r>
        <w:rPr>
          <w:rFonts w:ascii="宋体" w:eastAsia="宋体" w:hAnsi="宋体" w:cs="宋体"/>
          <w:spacing w:val="9"/>
        </w:rPr>
        <w:t xml:space="preserve">  </w:t>
      </w:r>
      <w:r>
        <w:rPr>
          <w:rFonts w:ascii="宋体" w:eastAsia="宋体" w:hAnsi="宋体" w:cs="宋体"/>
          <w:spacing w:val="-3"/>
        </w:rPr>
        <w:t>酵解循环的一个直接途径，但它是核酸合成中的戊糖以及脂肪酸合成中的还原型</w:t>
      </w:r>
      <w:r>
        <w:rPr>
          <w:rFonts w:ascii="宋体" w:eastAsia="宋体" w:hAnsi="宋体" w:cs="宋体"/>
          <w:spacing w:val="8"/>
        </w:rPr>
        <w:t xml:space="preserve">  </w:t>
      </w:r>
      <w:r>
        <w:rPr>
          <w:rFonts w:ascii="宋体" w:eastAsia="宋体" w:hAnsi="宋体" w:cs="宋体"/>
          <w:spacing w:val="-8"/>
        </w:rPr>
        <w:t>烟酰胺腺嘌呤二核苷酸</w:t>
      </w:r>
      <w:r>
        <w:rPr>
          <w:rFonts w:ascii="宋体" w:eastAsia="宋体" w:hAnsi="宋体" w:cs="宋体"/>
          <w:spacing w:val="-15"/>
        </w:rPr>
        <w:t xml:space="preserve"> </w:t>
      </w:r>
      <w:r>
        <w:rPr>
          <w:rFonts w:ascii="宋体" w:eastAsia="宋体" w:hAnsi="宋体" w:cs="宋体"/>
          <w:spacing w:val="-8"/>
        </w:rPr>
        <w:t>(</w:t>
      </w:r>
      <w:r>
        <w:rPr>
          <w:rFonts w:ascii="宋体" w:eastAsia="宋体" w:hAnsi="宋体" w:cs="宋体"/>
          <w:spacing w:val="-7"/>
        </w:rPr>
        <w:t>dihydro</w:t>
      </w:r>
      <w:r>
        <w:rPr>
          <w:rFonts w:ascii="宋体" w:eastAsia="宋体" w:hAnsi="宋体" w:cs="宋体"/>
          <w:spacing w:val="-8"/>
        </w:rPr>
        <w:t>-</w:t>
      </w:r>
      <w:r>
        <w:rPr>
          <w:rFonts w:ascii="宋体" w:eastAsia="宋体" w:hAnsi="宋体" w:cs="宋体"/>
          <w:spacing w:val="-7"/>
        </w:rPr>
        <w:t>nicotinamide</w:t>
      </w:r>
      <w:r>
        <w:rPr>
          <w:rFonts w:ascii="宋体" w:eastAsia="宋体" w:hAnsi="宋体" w:cs="宋体"/>
          <w:spacing w:val="-2"/>
        </w:rPr>
        <w:t xml:space="preserve"> </w:t>
      </w:r>
      <w:r>
        <w:rPr>
          <w:rFonts w:ascii="宋体" w:eastAsia="宋体" w:hAnsi="宋体" w:cs="宋体"/>
          <w:spacing w:val="-7"/>
        </w:rPr>
        <w:t>adenine</w:t>
      </w:r>
      <w:r>
        <w:rPr>
          <w:rFonts w:ascii="宋体" w:eastAsia="宋体" w:hAnsi="宋体" w:cs="宋体"/>
          <w:spacing w:val="2"/>
        </w:rPr>
        <w:t xml:space="preserve"> </w:t>
      </w:r>
      <w:r>
        <w:rPr>
          <w:rFonts w:ascii="宋体" w:eastAsia="宋体" w:hAnsi="宋体" w:cs="宋体"/>
          <w:spacing w:val="-7"/>
        </w:rPr>
        <w:t>dinucleotid</w:t>
      </w:r>
      <w:r>
        <w:rPr>
          <w:rFonts w:ascii="宋体" w:eastAsia="宋体" w:hAnsi="宋体" w:cs="宋体"/>
          <w:spacing w:val="-8"/>
        </w:rPr>
        <w:t>e</w:t>
      </w:r>
      <w:r>
        <w:rPr>
          <w:rFonts w:ascii="宋体" w:eastAsia="宋体" w:hAnsi="宋体" w:cs="宋体"/>
          <w:spacing w:val="-5"/>
        </w:rPr>
        <w:t xml:space="preserve"> </w:t>
      </w:r>
      <w:r>
        <w:rPr>
          <w:rFonts w:ascii="宋体" w:eastAsia="宋体" w:hAnsi="宋体" w:cs="宋体"/>
          <w:spacing w:val="-8"/>
        </w:rPr>
        <w:t>phosphate,</w:t>
      </w:r>
      <w:r>
        <w:rPr>
          <w:rFonts w:ascii="宋体" w:eastAsia="宋体" w:hAnsi="宋体" w:cs="宋体"/>
        </w:rPr>
        <w:t xml:space="preserve"> NADPH</w:t>
      </w:r>
      <w:r>
        <w:rPr>
          <w:rFonts w:ascii="宋体" w:eastAsia="宋体" w:hAnsi="宋体" w:cs="宋体"/>
          <w:spacing w:val="2"/>
        </w:rPr>
        <w:t>)</w:t>
      </w:r>
      <w:r>
        <w:rPr>
          <w:rFonts w:ascii="宋体" w:eastAsia="宋体" w:hAnsi="宋体" w:cs="宋体"/>
          <w:spacing w:val="15"/>
        </w:rPr>
        <w:t xml:space="preserve">   </w:t>
      </w:r>
      <w:r>
        <w:rPr>
          <w:rFonts w:ascii="宋体" w:eastAsia="宋体" w:hAnsi="宋体" w:cs="宋体"/>
          <w:spacing w:val="2"/>
        </w:rPr>
        <w:t xml:space="preserve">的一个重要来源。因在硫胺素缺乏时，转酮醇酶的活性会很早下降， </w:t>
      </w:r>
      <w:r>
        <w:rPr>
          <w:rFonts w:ascii="宋体" w:eastAsia="宋体" w:hAnsi="宋体" w:cs="宋体"/>
          <w:spacing w:val="-3"/>
        </w:rPr>
        <w:t>所以测定红细胞中转酮醇酶活性可用作评价硫胺素营养状况的一种可靠方法。</w:t>
      </w:r>
    </w:p>
    <w:p w:rsidR="00EA40A3" w:rsidRDefault="00E86C16">
      <w:pPr>
        <w:spacing w:before="95" w:line="252" w:lineRule="auto"/>
        <w:ind w:right="77" w:firstLine="430"/>
        <w:jc w:val="both"/>
        <w:rPr>
          <w:rFonts w:ascii="宋体" w:eastAsia="宋体" w:hAnsi="宋体" w:cs="宋体"/>
        </w:rPr>
      </w:pPr>
      <w:r>
        <w:rPr>
          <w:rFonts w:ascii="宋体" w:eastAsia="宋体" w:hAnsi="宋体" w:cs="宋体"/>
          <w:spacing w:val="1"/>
        </w:rPr>
        <w:t>(2)非辅酶功能：硫胺素在维持神经、肌肉特别</w:t>
      </w:r>
      <w:r>
        <w:rPr>
          <w:rFonts w:ascii="宋体" w:eastAsia="宋体" w:hAnsi="宋体" w:cs="宋体"/>
        </w:rPr>
        <w:t xml:space="preserve">是心肌的正常功能以及维持 </w:t>
      </w:r>
      <w:r>
        <w:rPr>
          <w:rFonts w:ascii="宋体" w:eastAsia="宋体" w:hAnsi="宋体" w:cs="宋体"/>
          <w:spacing w:val="-3"/>
        </w:rPr>
        <w:t>正常食欲、胃肠道的蠕动和消化液的分泌等，都有明显的作用。这种功能属于非</w:t>
      </w:r>
      <w:r>
        <w:rPr>
          <w:rFonts w:ascii="宋体" w:eastAsia="宋体" w:hAnsi="宋体" w:cs="宋体"/>
          <w:spacing w:val="12"/>
        </w:rPr>
        <w:t xml:space="preserve"> </w:t>
      </w:r>
      <w:r>
        <w:rPr>
          <w:rFonts w:ascii="宋体" w:eastAsia="宋体" w:hAnsi="宋体" w:cs="宋体"/>
          <w:spacing w:val="2"/>
        </w:rPr>
        <w:t>辅酶功能，可能与</w:t>
      </w:r>
      <w:r>
        <w:rPr>
          <w:rFonts w:ascii="宋体" w:eastAsia="宋体" w:hAnsi="宋体" w:cs="宋体"/>
        </w:rPr>
        <w:t>TPP</w:t>
      </w:r>
      <w:r>
        <w:rPr>
          <w:rFonts w:ascii="宋体" w:eastAsia="宋体" w:hAnsi="宋体" w:cs="宋体"/>
          <w:spacing w:val="53"/>
        </w:rPr>
        <w:t xml:space="preserve"> </w:t>
      </w:r>
      <w:r>
        <w:rPr>
          <w:rFonts w:ascii="宋体" w:eastAsia="宋体" w:hAnsi="宋体" w:cs="宋体"/>
          <w:spacing w:val="2"/>
        </w:rPr>
        <w:t>直接激活神经细胞的氯化物通道，通过控制有功能的通</w:t>
      </w:r>
      <w:r>
        <w:rPr>
          <w:rFonts w:ascii="宋体" w:eastAsia="宋体" w:hAnsi="宋体" w:cs="宋体"/>
        </w:rPr>
        <w:t xml:space="preserve"> </w:t>
      </w:r>
      <w:r>
        <w:rPr>
          <w:rFonts w:ascii="宋体" w:eastAsia="宋体" w:hAnsi="宋体" w:cs="宋体"/>
          <w:spacing w:val="-5"/>
        </w:rPr>
        <w:t>道的数量而控制神经传导的启动。</w:t>
      </w:r>
    </w:p>
    <w:p w:rsidR="00EA40A3" w:rsidRDefault="00E86C16">
      <w:pPr>
        <w:spacing w:before="180" w:line="222" w:lineRule="auto"/>
        <w:rPr>
          <w:rFonts w:ascii="仿宋" w:eastAsia="仿宋" w:hAnsi="仿宋" w:cs="仿宋"/>
          <w:sz w:val="25"/>
          <w:szCs w:val="25"/>
        </w:rPr>
      </w:pPr>
      <w:r>
        <w:rPr>
          <w:rFonts w:ascii="仿宋" w:eastAsia="仿宋" w:hAnsi="仿宋" w:cs="仿宋"/>
          <w:spacing w:val="-3"/>
          <w:sz w:val="25"/>
          <w:szCs w:val="25"/>
        </w:rPr>
        <w:t>4.</w:t>
      </w:r>
      <w:r>
        <w:rPr>
          <w:rFonts w:ascii="仿宋" w:eastAsia="仿宋" w:hAnsi="仿宋" w:cs="仿宋"/>
          <w:spacing w:val="-52"/>
          <w:sz w:val="25"/>
          <w:szCs w:val="25"/>
        </w:rPr>
        <w:t xml:space="preserve"> </w:t>
      </w:r>
      <w:r>
        <w:rPr>
          <w:rFonts w:ascii="仿宋" w:eastAsia="仿宋" w:hAnsi="仿宋" w:cs="仿宋"/>
          <w:spacing w:val="-3"/>
          <w:sz w:val="25"/>
          <w:szCs w:val="25"/>
        </w:rPr>
        <w:t>维生素B</w:t>
      </w:r>
      <w:r>
        <w:rPr>
          <w:rFonts w:ascii="Calibri" w:eastAsia="Calibri" w:hAnsi="Calibri" w:cs="Calibri"/>
          <w:spacing w:val="-3"/>
          <w:sz w:val="25"/>
          <w:szCs w:val="25"/>
        </w:rPr>
        <w:t>₁</w:t>
      </w:r>
      <w:r>
        <w:rPr>
          <w:rFonts w:ascii="Calibri" w:eastAsia="Calibri" w:hAnsi="Calibri" w:cs="Calibri"/>
          <w:spacing w:val="2"/>
          <w:sz w:val="25"/>
          <w:szCs w:val="25"/>
        </w:rPr>
        <w:t xml:space="preserve">  </w:t>
      </w:r>
      <w:r>
        <w:rPr>
          <w:rFonts w:ascii="仿宋" w:eastAsia="仿宋" w:hAnsi="仿宋" w:cs="仿宋"/>
          <w:spacing w:val="-3"/>
          <w:sz w:val="25"/>
          <w:szCs w:val="25"/>
        </w:rPr>
        <w:t>缺乏症</w:t>
      </w:r>
    </w:p>
    <w:p w:rsidR="00EA40A3" w:rsidRDefault="00E86C16">
      <w:pPr>
        <w:spacing w:before="206" w:line="257" w:lineRule="auto"/>
        <w:ind w:right="20" w:firstLine="430"/>
        <w:jc w:val="both"/>
        <w:rPr>
          <w:rFonts w:ascii="宋体" w:eastAsia="宋体" w:hAnsi="宋体" w:cs="宋体"/>
        </w:rPr>
      </w:pPr>
      <w:r>
        <w:rPr>
          <w:rFonts w:ascii="宋体" w:eastAsia="宋体" w:hAnsi="宋体" w:cs="宋体"/>
          <w:spacing w:val="3"/>
        </w:rPr>
        <w:t>维生素B</w:t>
      </w:r>
      <w:r>
        <w:rPr>
          <w:rFonts w:ascii="Calibri" w:eastAsia="Calibri" w:hAnsi="Calibri" w:cs="Calibri"/>
          <w:spacing w:val="3"/>
        </w:rPr>
        <w:t>₁</w:t>
      </w:r>
      <w:r>
        <w:rPr>
          <w:rFonts w:ascii="Calibri" w:eastAsia="Calibri" w:hAnsi="Calibri" w:cs="Calibri"/>
          <w:spacing w:val="5"/>
        </w:rPr>
        <w:t xml:space="preserve">  </w:t>
      </w:r>
      <w:r>
        <w:rPr>
          <w:rFonts w:ascii="宋体" w:eastAsia="宋体" w:hAnsi="宋体" w:cs="宋体"/>
          <w:spacing w:val="3"/>
        </w:rPr>
        <w:t>缺乏的原因有以下几种：①摄入不足。如长期食用</w:t>
      </w:r>
      <w:r>
        <w:rPr>
          <w:rFonts w:ascii="宋体" w:eastAsia="宋体" w:hAnsi="宋体" w:cs="宋体"/>
          <w:spacing w:val="2"/>
        </w:rPr>
        <w:t>精白米和精白</w:t>
      </w:r>
      <w:r>
        <w:rPr>
          <w:rFonts w:ascii="宋体" w:eastAsia="宋体" w:hAnsi="宋体" w:cs="宋体"/>
          <w:spacing w:val="1"/>
        </w:rPr>
        <w:t xml:space="preserve"> 面又缺乏杂粮补充时，就容易造成维生素B</w:t>
      </w:r>
      <w:r>
        <w:rPr>
          <w:rFonts w:ascii="Calibri" w:eastAsia="Calibri" w:hAnsi="Calibri" w:cs="Calibri"/>
          <w:spacing w:val="1"/>
        </w:rPr>
        <w:t>₁</w:t>
      </w:r>
      <w:r>
        <w:rPr>
          <w:rFonts w:ascii="Calibri" w:eastAsia="Calibri" w:hAnsi="Calibri" w:cs="Calibri"/>
          <w:spacing w:val="20"/>
        </w:rPr>
        <w:t xml:space="preserve">  </w:t>
      </w:r>
      <w:r>
        <w:rPr>
          <w:rFonts w:ascii="宋体" w:eastAsia="宋体" w:hAnsi="宋体" w:cs="宋体"/>
          <w:spacing w:val="1"/>
        </w:rPr>
        <w:t>缺乏，煮粥、蒸馒头时加入过量碱</w:t>
      </w:r>
      <w:r>
        <w:rPr>
          <w:rFonts w:ascii="宋体" w:eastAsia="宋体" w:hAnsi="宋体" w:cs="宋体"/>
        </w:rPr>
        <w:t xml:space="preserve"> </w:t>
      </w:r>
      <w:r>
        <w:rPr>
          <w:rFonts w:ascii="宋体" w:eastAsia="宋体" w:hAnsi="宋体" w:cs="宋体"/>
          <w:spacing w:val="-2"/>
        </w:rPr>
        <w:t>会造成大量维生素B.</w:t>
      </w:r>
      <w:r>
        <w:rPr>
          <w:rFonts w:ascii="宋体" w:eastAsia="宋体" w:hAnsi="宋体" w:cs="宋体"/>
          <w:spacing w:val="-42"/>
        </w:rPr>
        <w:t xml:space="preserve"> </w:t>
      </w:r>
      <w:r>
        <w:rPr>
          <w:rFonts w:ascii="宋体" w:eastAsia="宋体" w:hAnsi="宋体" w:cs="宋体"/>
          <w:spacing w:val="-2"/>
        </w:rPr>
        <w:t>破坏。②需要量增加。摄入量与机体能量总</w:t>
      </w:r>
      <w:r>
        <w:rPr>
          <w:rFonts w:ascii="宋体" w:eastAsia="宋体" w:hAnsi="宋体" w:cs="宋体"/>
          <w:spacing w:val="-3"/>
        </w:rPr>
        <w:t>摄入量成正比，</w:t>
      </w:r>
      <w:r>
        <w:rPr>
          <w:rFonts w:ascii="宋体" w:eastAsia="宋体" w:hAnsi="宋体" w:cs="宋体"/>
        </w:rPr>
        <w:t xml:space="preserve"> </w:t>
      </w:r>
      <w:r>
        <w:rPr>
          <w:rFonts w:ascii="宋体" w:eastAsia="宋体" w:hAnsi="宋体" w:cs="宋体"/>
          <w:spacing w:val="-3"/>
        </w:rPr>
        <w:t>孕妇、乳母、高温下工作等人群需要量相对较高，精神紧张、发热、甲亢以及输</w:t>
      </w:r>
      <w:r>
        <w:rPr>
          <w:rFonts w:ascii="宋体" w:eastAsia="宋体" w:hAnsi="宋体" w:cs="宋体"/>
          <w:spacing w:val="12"/>
        </w:rPr>
        <w:t xml:space="preserve"> </w:t>
      </w:r>
      <w:r>
        <w:rPr>
          <w:rFonts w:ascii="宋体" w:eastAsia="宋体" w:hAnsi="宋体" w:cs="宋体"/>
          <w:spacing w:val="1"/>
        </w:rPr>
        <w:t>入葡萄糖的病人维生素B</w:t>
      </w:r>
      <w:r>
        <w:rPr>
          <w:rFonts w:ascii="Calibri" w:eastAsia="Calibri" w:hAnsi="Calibri" w:cs="Calibri"/>
          <w:spacing w:val="1"/>
        </w:rPr>
        <w:t>₁</w:t>
      </w:r>
      <w:r>
        <w:rPr>
          <w:rFonts w:ascii="Calibri" w:eastAsia="Calibri" w:hAnsi="Calibri" w:cs="Calibri"/>
          <w:spacing w:val="13"/>
        </w:rPr>
        <w:t xml:space="preserve">  </w:t>
      </w:r>
      <w:r>
        <w:rPr>
          <w:rFonts w:ascii="宋体" w:eastAsia="宋体" w:hAnsi="宋体" w:cs="宋体"/>
          <w:spacing w:val="1"/>
        </w:rPr>
        <w:t>需要量也相应增加。③机体吸收或利用障碍，如长期</w:t>
      </w:r>
      <w:r>
        <w:rPr>
          <w:rFonts w:ascii="宋体" w:eastAsia="宋体" w:hAnsi="宋体" w:cs="宋体"/>
        </w:rPr>
        <w:t xml:space="preserve">  </w:t>
      </w:r>
      <w:r>
        <w:rPr>
          <w:rFonts w:ascii="宋体" w:eastAsia="宋体" w:hAnsi="宋体" w:cs="宋体"/>
          <w:spacing w:val="-3"/>
        </w:rPr>
        <w:t>腹泻、酗酒以及肝肾疾病影响TPP</w:t>
      </w:r>
      <w:r>
        <w:rPr>
          <w:rFonts w:ascii="宋体" w:eastAsia="宋体" w:hAnsi="宋体" w:cs="宋体"/>
          <w:spacing w:val="55"/>
        </w:rPr>
        <w:t xml:space="preserve"> </w:t>
      </w:r>
      <w:r>
        <w:rPr>
          <w:rFonts w:ascii="宋体" w:eastAsia="宋体" w:hAnsi="宋体" w:cs="宋体"/>
          <w:spacing w:val="-3"/>
        </w:rPr>
        <w:t>的合成。</w:t>
      </w:r>
    </w:p>
    <w:p w:rsidR="00EA40A3" w:rsidRDefault="00E86C16">
      <w:pPr>
        <w:spacing w:before="84" w:line="259" w:lineRule="auto"/>
        <w:ind w:firstLine="430"/>
        <w:jc w:val="both"/>
        <w:rPr>
          <w:rFonts w:ascii="宋体" w:eastAsia="宋体" w:hAnsi="宋体" w:cs="宋体"/>
        </w:rPr>
      </w:pPr>
      <w:r>
        <w:rPr>
          <w:rFonts w:ascii="宋体" w:eastAsia="宋体" w:hAnsi="宋体" w:cs="宋体"/>
          <w:spacing w:val="2"/>
        </w:rPr>
        <w:t>维生素B</w:t>
      </w:r>
      <w:r>
        <w:rPr>
          <w:rFonts w:ascii="Calibri" w:eastAsia="Calibri" w:hAnsi="Calibri" w:cs="Calibri"/>
          <w:spacing w:val="2"/>
        </w:rPr>
        <w:t>₁</w:t>
      </w:r>
      <w:r>
        <w:rPr>
          <w:rFonts w:ascii="Calibri" w:eastAsia="Calibri" w:hAnsi="Calibri" w:cs="Calibri"/>
        </w:rPr>
        <w:t xml:space="preserve">  </w:t>
      </w:r>
      <w:r>
        <w:rPr>
          <w:rFonts w:ascii="宋体" w:eastAsia="宋体" w:hAnsi="宋体" w:cs="宋体"/>
          <w:spacing w:val="2"/>
        </w:rPr>
        <w:t>缺乏病又称脚气病</w:t>
      </w:r>
      <w:r>
        <w:rPr>
          <w:rFonts w:ascii="宋体" w:eastAsia="宋体" w:hAnsi="宋体" w:cs="宋体"/>
          <w:spacing w:val="-29"/>
        </w:rPr>
        <w:t xml:space="preserve"> </w:t>
      </w:r>
      <w:r>
        <w:rPr>
          <w:rFonts w:ascii="宋体" w:eastAsia="宋体" w:hAnsi="宋体" w:cs="宋体"/>
          <w:spacing w:val="2"/>
        </w:rPr>
        <w:t>(</w:t>
      </w:r>
      <w:r>
        <w:rPr>
          <w:rFonts w:ascii="宋体" w:eastAsia="宋体" w:hAnsi="宋体" w:cs="宋体"/>
        </w:rPr>
        <w:t>beriberi</w:t>
      </w:r>
      <w:r>
        <w:rPr>
          <w:rFonts w:ascii="宋体" w:eastAsia="宋体" w:hAnsi="宋体" w:cs="宋体"/>
          <w:spacing w:val="2"/>
        </w:rPr>
        <w:t>),是人及多种动物</w:t>
      </w:r>
      <w:r>
        <w:rPr>
          <w:rFonts w:ascii="宋体" w:eastAsia="宋体" w:hAnsi="宋体" w:cs="宋体"/>
          <w:spacing w:val="1"/>
        </w:rPr>
        <w:t>维生素B</w:t>
      </w:r>
      <w:r>
        <w:rPr>
          <w:rFonts w:ascii="Calibri" w:eastAsia="Calibri" w:hAnsi="Calibri" w:cs="Calibri"/>
          <w:spacing w:val="1"/>
        </w:rPr>
        <w:t>₁</w:t>
      </w:r>
      <w:r>
        <w:rPr>
          <w:rFonts w:ascii="Calibri" w:eastAsia="Calibri" w:hAnsi="Calibri" w:cs="Calibri"/>
          <w:spacing w:val="6"/>
        </w:rPr>
        <w:t xml:space="preserve">  </w:t>
      </w:r>
      <w:r>
        <w:rPr>
          <w:rFonts w:ascii="宋体" w:eastAsia="宋体" w:hAnsi="宋体" w:cs="宋体"/>
          <w:spacing w:val="1"/>
        </w:rPr>
        <w:t>摄入不</w:t>
      </w:r>
      <w:r>
        <w:rPr>
          <w:rFonts w:ascii="宋体" w:eastAsia="宋体" w:hAnsi="宋体" w:cs="宋体"/>
        </w:rPr>
        <w:t xml:space="preserve"> </w:t>
      </w:r>
      <w:r>
        <w:rPr>
          <w:rFonts w:ascii="宋体" w:eastAsia="宋体" w:hAnsi="宋体" w:cs="宋体"/>
          <w:spacing w:val="-3"/>
        </w:rPr>
        <w:t>足的最终后果。发病早期患者可有体弱疲倦、烦躁、头痛、食欲不振及其他胃肠</w:t>
      </w:r>
      <w:r>
        <w:rPr>
          <w:rFonts w:ascii="宋体" w:eastAsia="宋体" w:hAnsi="宋体" w:cs="宋体"/>
          <w:spacing w:val="7"/>
        </w:rPr>
        <w:t xml:space="preserve">  </w:t>
      </w:r>
      <w:r>
        <w:rPr>
          <w:rFonts w:ascii="宋体" w:eastAsia="宋体" w:hAnsi="宋体" w:cs="宋体"/>
          <w:spacing w:val="-2"/>
        </w:rPr>
        <w:t>症状，持续缺乏时则会出现心血管系统和神经系统症状。心血管系统的表现</w:t>
      </w:r>
      <w:r>
        <w:rPr>
          <w:rFonts w:ascii="宋体" w:eastAsia="宋体" w:hAnsi="宋体" w:cs="宋体"/>
          <w:spacing w:val="-3"/>
        </w:rPr>
        <w:t>包括</w:t>
      </w:r>
      <w:r>
        <w:rPr>
          <w:rFonts w:ascii="宋体" w:eastAsia="宋体" w:hAnsi="宋体" w:cs="宋体"/>
        </w:rPr>
        <w:t xml:space="preserve"> </w:t>
      </w:r>
      <w:r>
        <w:rPr>
          <w:rFonts w:ascii="宋体" w:eastAsia="宋体" w:hAnsi="宋体" w:cs="宋体"/>
          <w:spacing w:val="4"/>
        </w:rPr>
        <w:t>心脏肥大和扩张(尤其是右心室)、心动过速、呼吸窘</w:t>
      </w:r>
      <w:r>
        <w:rPr>
          <w:rFonts w:ascii="宋体" w:eastAsia="宋体" w:hAnsi="宋体" w:cs="宋体"/>
          <w:spacing w:val="3"/>
        </w:rPr>
        <w:t>迫以及腿部水肿；神经系</w:t>
      </w:r>
      <w:r>
        <w:rPr>
          <w:rFonts w:ascii="宋体" w:eastAsia="宋体" w:hAnsi="宋体" w:cs="宋体"/>
        </w:rPr>
        <w:t xml:space="preserve">  </w:t>
      </w:r>
      <w:r>
        <w:rPr>
          <w:rFonts w:ascii="宋体" w:eastAsia="宋体" w:hAnsi="宋体" w:cs="宋体"/>
          <w:spacing w:val="-2"/>
        </w:rPr>
        <w:t>统症状有腱反射亢进、多发性神经炎，其肌肉软弱</w:t>
      </w:r>
      <w:r>
        <w:rPr>
          <w:rFonts w:ascii="宋体" w:eastAsia="宋体" w:hAnsi="宋体" w:cs="宋体"/>
          <w:spacing w:val="-3"/>
        </w:rPr>
        <w:t>无力和疼痛，并有抽搐，“灼</w:t>
      </w:r>
      <w:r>
        <w:rPr>
          <w:rFonts w:ascii="宋体" w:eastAsia="宋体" w:hAnsi="宋体" w:cs="宋体"/>
        </w:rPr>
        <w:t xml:space="preserve">  </w:t>
      </w:r>
      <w:r>
        <w:rPr>
          <w:rFonts w:ascii="宋体" w:eastAsia="宋体" w:hAnsi="宋体" w:cs="宋体"/>
          <w:spacing w:val="-2"/>
        </w:rPr>
        <w:t>足综合征”常发生于多发性神经炎的早期。硫胺素缺乏</w:t>
      </w:r>
      <w:r>
        <w:rPr>
          <w:rFonts w:ascii="宋体" w:eastAsia="宋体" w:hAnsi="宋体" w:cs="宋体"/>
          <w:spacing w:val="-3"/>
        </w:rPr>
        <w:t>严重时，神经和心血管系</w:t>
      </w:r>
      <w:r>
        <w:rPr>
          <w:rFonts w:ascii="宋体" w:eastAsia="宋体" w:hAnsi="宋体" w:cs="宋体"/>
        </w:rPr>
        <w:t xml:space="preserve">  统症状可能会同时出现，还可致命。在发达国家，硫胺素的亚临床缺乏较普遍，</w:t>
      </w:r>
      <w:r>
        <w:rPr>
          <w:rFonts w:ascii="宋体" w:eastAsia="宋体" w:hAnsi="宋体" w:cs="宋体"/>
          <w:spacing w:val="4"/>
        </w:rPr>
        <w:t xml:space="preserve"> </w:t>
      </w:r>
      <w:r>
        <w:rPr>
          <w:rFonts w:ascii="宋体" w:eastAsia="宋体" w:hAnsi="宋体" w:cs="宋体"/>
          <w:spacing w:val="-4"/>
        </w:rPr>
        <w:t>症状不明显，主要有疲倦、头痛、劳动能力降低等。</w:t>
      </w:r>
    </w:p>
    <w:p w:rsidR="00EA40A3" w:rsidRDefault="00E86C16">
      <w:pPr>
        <w:spacing w:before="88" w:line="251" w:lineRule="auto"/>
        <w:ind w:right="87" w:firstLine="430"/>
        <w:jc w:val="both"/>
        <w:rPr>
          <w:rFonts w:ascii="宋体" w:eastAsia="宋体" w:hAnsi="宋体" w:cs="宋体"/>
        </w:rPr>
      </w:pPr>
      <w:r>
        <w:rPr>
          <w:rFonts w:ascii="宋体" w:eastAsia="宋体" w:hAnsi="宋体" w:cs="宋体"/>
          <w:spacing w:val="4"/>
        </w:rPr>
        <w:t>长期酗酒者可出现</w:t>
      </w:r>
      <w:r>
        <w:rPr>
          <w:rFonts w:ascii="宋体" w:eastAsia="宋体" w:hAnsi="宋体" w:cs="宋体"/>
        </w:rPr>
        <w:t>Wernicke</w:t>
      </w:r>
      <w:r>
        <w:rPr>
          <w:rFonts w:ascii="宋体" w:eastAsia="宋体" w:hAnsi="宋体" w:cs="宋体"/>
          <w:spacing w:val="16"/>
        </w:rPr>
        <w:t xml:space="preserve"> </w:t>
      </w:r>
      <w:r>
        <w:rPr>
          <w:rFonts w:ascii="宋体" w:eastAsia="宋体" w:hAnsi="宋体" w:cs="宋体"/>
        </w:rPr>
        <w:t>Korsakoff</w:t>
      </w:r>
      <w:r>
        <w:rPr>
          <w:rFonts w:ascii="宋体" w:eastAsia="宋体" w:hAnsi="宋体" w:cs="宋体"/>
          <w:spacing w:val="4"/>
        </w:rPr>
        <w:t>综合征，其表现为精神错乱、共济</w:t>
      </w:r>
      <w:r>
        <w:rPr>
          <w:rFonts w:ascii="宋体" w:eastAsia="宋体" w:hAnsi="宋体" w:cs="宋体"/>
        </w:rPr>
        <w:t xml:space="preserve"> </w:t>
      </w:r>
      <w:r>
        <w:rPr>
          <w:rFonts w:ascii="宋体" w:eastAsia="宋体" w:hAnsi="宋体" w:cs="宋体"/>
          <w:spacing w:val="-2"/>
        </w:rPr>
        <w:t>失调、眼肌麻痹、近期记忆丧失。另外一些有患此</w:t>
      </w:r>
      <w:r>
        <w:rPr>
          <w:rFonts w:ascii="宋体" w:eastAsia="宋体" w:hAnsi="宋体" w:cs="宋体"/>
          <w:spacing w:val="-3"/>
        </w:rPr>
        <w:t>病危险的人是经过长期透析治</w:t>
      </w:r>
    </w:p>
    <w:p w:rsidR="00EA40A3" w:rsidRDefault="00E86C16">
      <w:pPr>
        <w:spacing w:before="36"/>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132</w:t>
      </w:r>
      <w:r>
        <w:rPr>
          <w:rFonts w:ascii="宋体" w:eastAsia="宋体" w:hAnsi="宋体" w:cs="宋体"/>
          <w:spacing w:val="55"/>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104" w:bottom="400" w:left="760" w:header="0" w:footer="0" w:gutter="0"/>
          <w:cols w:space="720"/>
        </w:sectPr>
      </w:pPr>
    </w:p>
    <w:p w:rsidR="00EA40A3" w:rsidRDefault="00E86C16">
      <w:pPr>
        <w:spacing w:line="285" w:lineRule="auto"/>
      </w:pPr>
      <w:r>
        <w:rPr>
          <w:noProof/>
        </w:rPr>
        <w:lastRenderedPageBreak/>
        <w:drawing>
          <wp:anchor distT="0" distB="0" distL="0" distR="0" simplePos="0" relativeHeight="251694080" behindDoc="0" locked="0" layoutInCell="0" allowOverlap="1">
            <wp:simplePos x="0" y="0"/>
            <wp:positionH relativeFrom="page">
              <wp:posOffset>4088765</wp:posOffset>
            </wp:positionH>
            <wp:positionV relativeFrom="page">
              <wp:posOffset>5333365</wp:posOffset>
            </wp:positionV>
            <wp:extent cx="990600" cy="1047750"/>
            <wp:effectExtent l="0" t="0" r="0" b="0"/>
            <wp:wrapNone/>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03"/>
                    <a:stretch>
                      <a:fillRect/>
                    </a:stretch>
                  </pic:blipFill>
                  <pic:spPr>
                    <a:xfrm>
                      <a:off x="0" y="0"/>
                      <a:ext cx="990615" cy="1047809"/>
                    </a:xfrm>
                    <a:prstGeom prst="rect">
                      <a:avLst/>
                    </a:prstGeom>
                  </pic:spPr>
                </pic:pic>
              </a:graphicData>
            </a:graphic>
          </wp:anchor>
        </w:drawing>
      </w:r>
    </w:p>
    <w:p w:rsidR="00EA40A3" w:rsidRDefault="00EA40A3">
      <w:pPr>
        <w:spacing w:line="285" w:lineRule="auto"/>
      </w:pPr>
    </w:p>
    <w:p w:rsidR="00EA40A3" w:rsidRDefault="00E86C16">
      <w:pPr>
        <w:spacing w:before="75" w:line="231" w:lineRule="auto"/>
        <w:ind w:right="106"/>
        <w:rPr>
          <w:rFonts w:ascii="宋体" w:eastAsia="宋体" w:hAnsi="宋体" w:cs="宋体"/>
          <w:sz w:val="23"/>
          <w:szCs w:val="23"/>
        </w:rPr>
      </w:pPr>
      <w:r>
        <w:rPr>
          <w:rFonts w:ascii="宋体" w:eastAsia="宋体" w:hAnsi="宋体" w:cs="宋体"/>
          <w:spacing w:val="-23"/>
          <w:sz w:val="23"/>
          <w:szCs w:val="23"/>
        </w:rPr>
        <w:t>疗的肾病患者、静脉输液持续较长时间的病人以及慢性发烧的传染病人。饮茶太</w:t>
      </w:r>
      <w:r>
        <w:rPr>
          <w:rFonts w:ascii="宋体" w:eastAsia="宋体" w:hAnsi="宋体" w:cs="宋体"/>
          <w:spacing w:val="12"/>
          <w:sz w:val="23"/>
          <w:szCs w:val="23"/>
        </w:rPr>
        <w:t xml:space="preserve"> </w:t>
      </w:r>
      <w:r>
        <w:rPr>
          <w:rFonts w:ascii="宋体" w:eastAsia="宋体" w:hAnsi="宋体" w:cs="宋体"/>
          <w:spacing w:val="-24"/>
          <w:sz w:val="23"/>
          <w:szCs w:val="23"/>
        </w:rPr>
        <w:t>多或吃大量生鱼的人也有发生缺乏症的危险。</w:t>
      </w:r>
    </w:p>
    <w:p w:rsidR="00EA40A3" w:rsidRDefault="00E86C16">
      <w:pPr>
        <w:spacing w:before="33" w:line="234" w:lineRule="auto"/>
        <w:ind w:firstLine="410"/>
        <w:jc w:val="both"/>
        <w:rPr>
          <w:rFonts w:ascii="宋体" w:eastAsia="宋体" w:hAnsi="宋体" w:cs="宋体"/>
          <w:sz w:val="23"/>
          <w:szCs w:val="23"/>
        </w:rPr>
      </w:pPr>
      <w:r>
        <w:rPr>
          <w:rFonts w:ascii="宋体" w:eastAsia="宋体" w:hAnsi="宋体" w:cs="宋体"/>
          <w:spacing w:val="-16"/>
          <w:sz w:val="23"/>
          <w:szCs w:val="23"/>
        </w:rPr>
        <w:t>硫胺素大量摄入除可能使胃感到不适外未见有其他毒性反应，但在通过皮</w:t>
      </w:r>
      <w:r>
        <w:rPr>
          <w:rFonts w:ascii="宋体" w:eastAsia="宋体" w:hAnsi="宋体" w:cs="宋体"/>
          <w:sz w:val="23"/>
          <w:szCs w:val="23"/>
        </w:rPr>
        <w:t xml:space="preserve">  </w:t>
      </w:r>
      <w:r>
        <w:rPr>
          <w:rFonts w:ascii="宋体" w:eastAsia="宋体" w:hAnsi="宋体" w:cs="宋体"/>
          <w:spacing w:val="-18"/>
          <w:sz w:val="23"/>
          <w:szCs w:val="23"/>
        </w:rPr>
        <w:t>下、肌肉或静脉内注射达每日推荐摄入量100～200倍时，可能出现头痛、惊</w:t>
      </w:r>
      <w:r>
        <w:rPr>
          <w:rFonts w:ascii="宋体" w:eastAsia="宋体" w:hAnsi="宋体" w:cs="宋体"/>
          <w:spacing w:val="-19"/>
          <w:sz w:val="23"/>
          <w:szCs w:val="23"/>
        </w:rPr>
        <w:t>厥、</w:t>
      </w:r>
      <w:r>
        <w:rPr>
          <w:rFonts w:ascii="宋体" w:eastAsia="宋体" w:hAnsi="宋体" w:cs="宋体"/>
          <w:sz w:val="23"/>
          <w:szCs w:val="23"/>
        </w:rPr>
        <w:t xml:space="preserve"> </w:t>
      </w:r>
      <w:r>
        <w:rPr>
          <w:rFonts w:ascii="宋体" w:eastAsia="宋体" w:hAnsi="宋体" w:cs="宋体"/>
          <w:spacing w:val="-25"/>
          <w:sz w:val="23"/>
          <w:szCs w:val="23"/>
        </w:rPr>
        <w:t>心律失常，发生过敏性反应等。</w:t>
      </w:r>
    </w:p>
    <w:p w:rsidR="00EA40A3" w:rsidRDefault="00E86C16">
      <w:pPr>
        <w:spacing w:before="193" w:line="221" w:lineRule="auto"/>
        <w:rPr>
          <w:rFonts w:ascii="仿宋" w:eastAsia="仿宋" w:hAnsi="仿宋" w:cs="仿宋"/>
          <w:sz w:val="23"/>
          <w:szCs w:val="23"/>
        </w:rPr>
      </w:pPr>
      <w:r>
        <w:rPr>
          <w:rFonts w:ascii="仿宋" w:eastAsia="仿宋" w:hAnsi="仿宋" w:cs="仿宋"/>
          <w:spacing w:val="6"/>
          <w:sz w:val="23"/>
          <w:szCs w:val="23"/>
        </w:rPr>
        <w:t>5.</w:t>
      </w:r>
      <w:r>
        <w:rPr>
          <w:rFonts w:ascii="仿宋" w:eastAsia="仿宋" w:hAnsi="仿宋" w:cs="仿宋"/>
          <w:spacing w:val="-12"/>
          <w:sz w:val="23"/>
          <w:szCs w:val="23"/>
        </w:rPr>
        <w:t xml:space="preserve"> </w:t>
      </w:r>
      <w:r>
        <w:rPr>
          <w:rFonts w:ascii="仿宋" w:eastAsia="仿宋" w:hAnsi="仿宋" w:cs="仿宋"/>
          <w:spacing w:val="6"/>
          <w:sz w:val="23"/>
          <w:szCs w:val="23"/>
        </w:rPr>
        <w:t>维生素B</w:t>
      </w:r>
      <w:r>
        <w:rPr>
          <w:rFonts w:ascii="Calibri" w:eastAsia="Calibri" w:hAnsi="Calibri" w:cs="Calibri"/>
          <w:spacing w:val="6"/>
          <w:sz w:val="23"/>
          <w:szCs w:val="23"/>
        </w:rPr>
        <w:t>₁</w:t>
      </w:r>
      <w:r>
        <w:rPr>
          <w:rFonts w:ascii="Calibri" w:eastAsia="Calibri" w:hAnsi="Calibri" w:cs="Calibri"/>
          <w:spacing w:val="18"/>
          <w:w w:val="101"/>
          <w:sz w:val="23"/>
          <w:szCs w:val="23"/>
        </w:rPr>
        <w:t xml:space="preserve">  </w:t>
      </w:r>
      <w:r>
        <w:rPr>
          <w:rFonts w:ascii="仿宋" w:eastAsia="仿宋" w:hAnsi="仿宋" w:cs="仿宋"/>
          <w:spacing w:val="6"/>
          <w:sz w:val="23"/>
          <w:szCs w:val="23"/>
        </w:rPr>
        <w:t>参考摄入量与食物来源</w:t>
      </w:r>
    </w:p>
    <w:p w:rsidR="00EA40A3" w:rsidRDefault="00E86C16">
      <w:pPr>
        <w:spacing w:before="188" w:line="234" w:lineRule="auto"/>
        <w:ind w:right="104" w:firstLine="410"/>
        <w:jc w:val="both"/>
        <w:rPr>
          <w:rFonts w:ascii="宋体" w:eastAsia="宋体" w:hAnsi="宋体" w:cs="宋体"/>
          <w:sz w:val="23"/>
          <w:szCs w:val="23"/>
        </w:rPr>
      </w:pPr>
      <w:r>
        <w:rPr>
          <w:rFonts w:ascii="宋体" w:eastAsia="宋体" w:hAnsi="宋体" w:cs="宋体"/>
          <w:spacing w:val="-23"/>
          <w:sz w:val="23"/>
          <w:szCs w:val="23"/>
        </w:rPr>
        <w:t>硫胺素与碳水化合物代谢密切相关，其供给量与机体总能量成正比。对于婴</w:t>
      </w:r>
      <w:r>
        <w:rPr>
          <w:rFonts w:ascii="宋体" w:eastAsia="宋体" w:hAnsi="宋体" w:cs="宋体"/>
          <w:spacing w:val="18"/>
          <w:sz w:val="23"/>
          <w:szCs w:val="23"/>
        </w:rPr>
        <w:t xml:space="preserve"> </w:t>
      </w:r>
      <w:r>
        <w:rPr>
          <w:rFonts w:ascii="宋体" w:eastAsia="宋体" w:hAnsi="宋体" w:cs="宋体"/>
          <w:spacing w:val="-14"/>
          <w:sz w:val="23"/>
          <w:szCs w:val="23"/>
        </w:rPr>
        <w:t>儿，按每日硫胺素摄入量与良好的健康状况制定其适宜摄入量</w:t>
      </w:r>
      <w:r>
        <w:rPr>
          <w:rFonts w:ascii="宋体" w:eastAsia="宋体" w:hAnsi="宋体" w:cs="宋体"/>
          <w:spacing w:val="5"/>
          <w:sz w:val="23"/>
          <w:szCs w:val="23"/>
        </w:rPr>
        <w:t xml:space="preserve"> </w:t>
      </w:r>
      <w:r>
        <w:rPr>
          <w:rFonts w:ascii="宋体" w:eastAsia="宋体" w:hAnsi="宋体" w:cs="宋体"/>
          <w:spacing w:val="-14"/>
          <w:sz w:val="23"/>
          <w:szCs w:val="23"/>
        </w:rPr>
        <w:t>(AI);</w:t>
      </w:r>
      <w:r>
        <w:rPr>
          <w:rFonts w:ascii="宋体" w:eastAsia="宋体" w:hAnsi="宋体" w:cs="宋体"/>
          <w:spacing w:val="19"/>
          <w:sz w:val="23"/>
          <w:szCs w:val="23"/>
        </w:rPr>
        <w:t xml:space="preserve"> </w:t>
      </w:r>
      <w:r>
        <w:rPr>
          <w:rFonts w:ascii="宋体" w:eastAsia="宋体" w:hAnsi="宋体" w:cs="宋体"/>
          <w:spacing w:val="-14"/>
          <w:sz w:val="23"/>
          <w:szCs w:val="23"/>
        </w:rPr>
        <w:t>对于成</w:t>
      </w:r>
      <w:r>
        <w:rPr>
          <w:rFonts w:ascii="宋体" w:eastAsia="宋体" w:hAnsi="宋体" w:cs="宋体"/>
          <w:sz w:val="23"/>
          <w:szCs w:val="23"/>
        </w:rPr>
        <w:t xml:space="preserve"> </w:t>
      </w:r>
      <w:r>
        <w:rPr>
          <w:rFonts w:ascii="宋体" w:eastAsia="宋体" w:hAnsi="宋体" w:cs="宋体"/>
          <w:spacing w:val="-23"/>
          <w:sz w:val="23"/>
          <w:szCs w:val="23"/>
        </w:rPr>
        <w:t>人，根据控制膳食中硫胺素较低水平而每日补给不同量硫胺素，检测尿或血中的</w:t>
      </w:r>
      <w:r>
        <w:rPr>
          <w:rFonts w:ascii="宋体" w:eastAsia="宋体" w:hAnsi="宋体" w:cs="宋体"/>
          <w:sz w:val="23"/>
          <w:szCs w:val="23"/>
        </w:rPr>
        <w:t xml:space="preserve"> </w:t>
      </w:r>
      <w:r>
        <w:rPr>
          <w:rFonts w:ascii="宋体" w:eastAsia="宋体" w:hAnsi="宋体" w:cs="宋体"/>
          <w:spacing w:val="-15"/>
          <w:sz w:val="23"/>
          <w:szCs w:val="23"/>
        </w:rPr>
        <w:t>营养评价指标而得出平均需要量</w:t>
      </w:r>
      <w:r>
        <w:rPr>
          <w:rFonts w:ascii="宋体" w:eastAsia="宋体" w:hAnsi="宋体" w:cs="宋体"/>
          <w:spacing w:val="-17"/>
          <w:sz w:val="23"/>
          <w:szCs w:val="23"/>
        </w:rPr>
        <w:t xml:space="preserve"> </w:t>
      </w:r>
      <w:r>
        <w:rPr>
          <w:rFonts w:ascii="宋体" w:eastAsia="宋体" w:hAnsi="宋体" w:cs="宋体"/>
          <w:spacing w:val="-15"/>
          <w:sz w:val="23"/>
          <w:szCs w:val="23"/>
        </w:rPr>
        <w:t>(EAR),</w:t>
      </w:r>
      <w:r>
        <w:rPr>
          <w:rFonts w:ascii="宋体" w:eastAsia="宋体" w:hAnsi="宋体" w:cs="宋体"/>
          <w:spacing w:val="84"/>
          <w:sz w:val="23"/>
          <w:szCs w:val="23"/>
        </w:rPr>
        <w:t xml:space="preserve"> </w:t>
      </w:r>
      <w:r>
        <w:rPr>
          <w:rFonts w:ascii="宋体" w:eastAsia="宋体" w:hAnsi="宋体" w:cs="宋体"/>
          <w:spacing w:val="-15"/>
          <w:sz w:val="23"/>
          <w:szCs w:val="23"/>
        </w:rPr>
        <w:t>并算出RNI。</w:t>
      </w:r>
    </w:p>
    <w:p w:rsidR="00EA40A3" w:rsidRDefault="00E86C16">
      <w:pPr>
        <w:spacing w:before="36"/>
        <w:ind w:right="94" w:firstLine="410"/>
        <w:jc w:val="both"/>
        <w:rPr>
          <w:rFonts w:ascii="宋体" w:eastAsia="宋体" w:hAnsi="宋体" w:cs="宋体"/>
          <w:sz w:val="23"/>
          <w:szCs w:val="23"/>
        </w:rPr>
      </w:pPr>
      <w:r>
        <w:rPr>
          <w:rFonts w:ascii="宋体" w:eastAsia="宋体" w:hAnsi="宋体" w:cs="宋体"/>
          <w:spacing w:val="-7"/>
          <w:sz w:val="23"/>
          <w:szCs w:val="23"/>
        </w:rPr>
        <w:t>我国居民膳食维生素B</w:t>
      </w:r>
      <w:r>
        <w:rPr>
          <w:rFonts w:ascii="Calibri" w:eastAsia="Calibri" w:hAnsi="Calibri" w:cs="Calibri"/>
          <w:spacing w:val="-7"/>
          <w:sz w:val="23"/>
          <w:szCs w:val="23"/>
        </w:rPr>
        <w:t>₁</w:t>
      </w:r>
      <w:r>
        <w:rPr>
          <w:rFonts w:ascii="Calibri" w:eastAsia="Calibri" w:hAnsi="Calibri" w:cs="Calibri"/>
          <w:spacing w:val="4"/>
          <w:sz w:val="23"/>
          <w:szCs w:val="23"/>
        </w:rPr>
        <w:t xml:space="preserve">  </w:t>
      </w:r>
      <w:r>
        <w:rPr>
          <w:rFonts w:ascii="宋体" w:eastAsia="宋体" w:hAnsi="宋体" w:cs="宋体"/>
          <w:spacing w:val="-7"/>
          <w:sz w:val="23"/>
          <w:szCs w:val="23"/>
        </w:rPr>
        <w:t>的</w:t>
      </w:r>
      <w:r>
        <w:rPr>
          <w:rFonts w:ascii="宋体" w:eastAsia="宋体" w:hAnsi="宋体" w:cs="宋体"/>
          <w:spacing w:val="-68"/>
          <w:sz w:val="23"/>
          <w:szCs w:val="23"/>
        </w:rPr>
        <w:t xml:space="preserve"> </w:t>
      </w:r>
      <w:r>
        <w:rPr>
          <w:rFonts w:ascii="宋体" w:eastAsia="宋体" w:hAnsi="宋体" w:cs="宋体"/>
          <w:spacing w:val="-7"/>
          <w:sz w:val="23"/>
          <w:szCs w:val="23"/>
        </w:rPr>
        <w:t>RNI(mg/d)</w:t>
      </w:r>
      <w:r>
        <w:rPr>
          <w:rFonts w:ascii="宋体" w:eastAsia="宋体" w:hAnsi="宋体" w:cs="宋体"/>
          <w:spacing w:val="21"/>
          <w:sz w:val="23"/>
          <w:szCs w:val="23"/>
        </w:rPr>
        <w:t xml:space="preserve">  </w:t>
      </w:r>
      <w:r>
        <w:rPr>
          <w:rFonts w:ascii="宋体" w:eastAsia="宋体" w:hAnsi="宋体" w:cs="宋体"/>
          <w:spacing w:val="-7"/>
          <w:sz w:val="23"/>
          <w:szCs w:val="23"/>
        </w:rPr>
        <w:t>分别定为：0岁约0.2</w:t>
      </w:r>
      <w:r>
        <w:rPr>
          <w:rFonts w:ascii="宋体" w:eastAsia="宋体" w:hAnsi="宋体" w:cs="宋体"/>
          <w:spacing w:val="-23"/>
          <w:sz w:val="23"/>
          <w:szCs w:val="23"/>
        </w:rPr>
        <w:t xml:space="preserve"> </w:t>
      </w:r>
      <w:r>
        <w:rPr>
          <w:rFonts w:ascii="宋体" w:eastAsia="宋体" w:hAnsi="宋体" w:cs="宋体"/>
          <w:spacing w:val="-7"/>
          <w:sz w:val="23"/>
          <w:szCs w:val="23"/>
        </w:rPr>
        <w:t>(AI)、0</w:t>
      </w:r>
      <w:r>
        <w:rPr>
          <w:rFonts w:ascii="宋体" w:eastAsia="宋体" w:hAnsi="宋体" w:cs="宋体"/>
          <w:spacing w:val="-8"/>
          <w:sz w:val="23"/>
          <w:szCs w:val="23"/>
        </w:rPr>
        <w:t>.5</w:t>
      </w:r>
      <w:r>
        <w:rPr>
          <w:rFonts w:ascii="宋体" w:eastAsia="宋体" w:hAnsi="宋体" w:cs="宋体"/>
          <w:sz w:val="23"/>
          <w:szCs w:val="23"/>
        </w:rPr>
        <w:t xml:space="preserve"> </w:t>
      </w:r>
      <w:r>
        <w:rPr>
          <w:rFonts w:ascii="宋体" w:eastAsia="宋体" w:hAnsi="宋体" w:cs="宋体"/>
          <w:spacing w:val="-4"/>
          <w:sz w:val="23"/>
          <w:szCs w:val="23"/>
        </w:rPr>
        <w:t>岁约0.3</w:t>
      </w:r>
      <w:r>
        <w:rPr>
          <w:rFonts w:ascii="宋体" w:eastAsia="宋体" w:hAnsi="宋体" w:cs="宋体"/>
          <w:spacing w:val="-13"/>
          <w:sz w:val="23"/>
          <w:szCs w:val="23"/>
        </w:rPr>
        <w:t xml:space="preserve"> </w:t>
      </w:r>
      <w:r>
        <w:rPr>
          <w:rFonts w:ascii="宋体" w:eastAsia="宋体" w:hAnsi="宋体" w:cs="宋体"/>
          <w:spacing w:val="-4"/>
          <w:sz w:val="23"/>
          <w:szCs w:val="23"/>
        </w:rPr>
        <w:t>(AI)、1岁约0.6、4岁约0.7、7岁约0.9、11</w:t>
      </w:r>
      <w:r>
        <w:rPr>
          <w:rFonts w:ascii="宋体" w:eastAsia="宋体" w:hAnsi="宋体" w:cs="宋体"/>
          <w:spacing w:val="-5"/>
          <w:sz w:val="23"/>
          <w:szCs w:val="23"/>
        </w:rPr>
        <w:t>岁约1.2、14岁男性约</w:t>
      </w:r>
      <w:r>
        <w:rPr>
          <w:rFonts w:ascii="宋体" w:eastAsia="宋体" w:hAnsi="宋体" w:cs="宋体"/>
          <w:sz w:val="23"/>
          <w:szCs w:val="23"/>
        </w:rPr>
        <w:t xml:space="preserve"> </w:t>
      </w:r>
      <w:r>
        <w:rPr>
          <w:rFonts w:ascii="宋体" w:eastAsia="宋体" w:hAnsi="宋体" w:cs="宋体"/>
          <w:spacing w:val="1"/>
          <w:sz w:val="23"/>
          <w:szCs w:val="23"/>
        </w:rPr>
        <w:t>1.5、女性约1.2、18岁男性约1.4、女性</w:t>
      </w:r>
      <w:r>
        <w:rPr>
          <w:rFonts w:ascii="宋体" w:eastAsia="宋体" w:hAnsi="宋体" w:cs="宋体"/>
          <w:sz w:val="23"/>
          <w:szCs w:val="23"/>
        </w:rPr>
        <w:t xml:space="preserve">约1.3,50岁以上老年人1.3,孕妇 </w:t>
      </w:r>
      <w:r>
        <w:rPr>
          <w:rFonts w:ascii="宋体" w:eastAsia="宋体" w:hAnsi="宋体" w:cs="宋体"/>
          <w:spacing w:val="-5"/>
          <w:sz w:val="23"/>
          <w:szCs w:val="23"/>
        </w:rPr>
        <w:t>1.5,乳母1.8。我国1岁以上各人群维生素B</w:t>
      </w:r>
      <w:r>
        <w:rPr>
          <w:rFonts w:ascii="Calibri" w:eastAsia="Calibri" w:hAnsi="Calibri" w:cs="Calibri"/>
          <w:spacing w:val="-5"/>
          <w:sz w:val="23"/>
          <w:szCs w:val="23"/>
        </w:rPr>
        <w:t>₁</w:t>
      </w:r>
      <w:r>
        <w:rPr>
          <w:rFonts w:ascii="Calibri" w:eastAsia="Calibri" w:hAnsi="Calibri" w:cs="Calibri"/>
          <w:spacing w:val="64"/>
          <w:w w:val="101"/>
          <w:sz w:val="23"/>
          <w:szCs w:val="23"/>
        </w:rPr>
        <w:t xml:space="preserve"> </w:t>
      </w:r>
      <w:r>
        <w:rPr>
          <w:rFonts w:ascii="宋体" w:eastAsia="宋体" w:hAnsi="宋体" w:cs="宋体"/>
          <w:spacing w:val="-5"/>
          <w:sz w:val="23"/>
          <w:szCs w:val="23"/>
        </w:rPr>
        <w:t>的</w:t>
      </w:r>
      <w:r>
        <w:rPr>
          <w:rFonts w:ascii="宋体" w:eastAsia="宋体" w:hAnsi="宋体" w:cs="宋体"/>
          <w:spacing w:val="-67"/>
          <w:sz w:val="23"/>
          <w:szCs w:val="23"/>
        </w:rPr>
        <w:t xml:space="preserve"> </w:t>
      </w:r>
      <w:r>
        <w:rPr>
          <w:rFonts w:ascii="宋体" w:eastAsia="宋体" w:hAnsi="宋体" w:cs="宋体"/>
          <w:spacing w:val="-5"/>
          <w:sz w:val="23"/>
          <w:szCs w:val="23"/>
        </w:rPr>
        <w:t>UL</w:t>
      </w:r>
      <w:r>
        <w:rPr>
          <w:rFonts w:ascii="宋体" w:eastAsia="宋体" w:hAnsi="宋体" w:cs="宋体"/>
          <w:spacing w:val="8"/>
          <w:sz w:val="23"/>
          <w:szCs w:val="23"/>
        </w:rPr>
        <w:t xml:space="preserve"> </w:t>
      </w:r>
      <w:r>
        <w:rPr>
          <w:rFonts w:ascii="宋体" w:eastAsia="宋体" w:hAnsi="宋体" w:cs="宋体"/>
          <w:spacing w:val="-5"/>
          <w:sz w:val="23"/>
          <w:szCs w:val="23"/>
        </w:rPr>
        <w:t>定为50mg/d。</w:t>
      </w:r>
    </w:p>
    <w:p w:rsidR="00EA40A3" w:rsidRDefault="00E86C16">
      <w:pPr>
        <w:spacing w:before="41" w:line="241" w:lineRule="auto"/>
        <w:ind w:firstLine="410"/>
        <w:jc w:val="both"/>
        <w:rPr>
          <w:rFonts w:ascii="宋体" w:eastAsia="宋体" w:hAnsi="宋体" w:cs="宋体"/>
          <w:sz w:val="23"/>
          <w:szCs w:val="23"/>
        </w:rPr>
      </w:pPr>
      <w:r>
        <w:rPr>
          <w:rFonts w:ascii="宋体" w:eastAsia="宋体" w:hAnsi="宋体" w:cs="宋体"/>
          <w:spacing w:val="-12"/>
          <w:sz w:val="23"/>
          <w:szCs w:val="23"/>
        </w:rPr>
        <w:t>硫胺素广泛存在于天然食物中，含量较丰富的有动物</w:t>
      </w:r>
      <w:r>
        <w:rPr>
          <w:rFonts w:ascii="宋体" w:eastAsia="宋体" w:hAnsi="宋体" w:cs="宋体"/>
          <w:spacing w:val="-13"/>
          <w:sz w:val="23"/>
          <w:szCs w:val="23"/>
        </w:rPr>
        <w:t>内脏(肝、心及肾)、</w:t>
      </w:r>
      <w:r>
        <w:rPr>
          <w:rFonts w:ascii="宋体" w:eastAsia="宋体" w:hAnsi="宋体" w:cs="宋体"/>
          <w:sz w:val="23"/>
          <w:szCs w:val="23"/>
        </w:rPr>
        <w:t xml:space="preserve"> </w:t>
      </w:r>
      <w:r>
        <w:rPr>
          <w:rFonts w:ascii="宋体" w:eastAsia="宋体" w:hAnsi="宋体" w:cs="宋体"/>
          <w:spacing w:val="-18"/>
          <w:sz w:val="23"/>
          <w:szCs w:val="23"/>
        </w:rPr>
        <w:t>肉类、豆类、花生及没加工的粮谷类。水果、蔬菜、蛋、奶等也含有维生素B</w:t>
      </w:r>
      <w:r>
        <w:rPr>
          <w:rFonts w:ascii="Calibri" w:eastAsia="Calibri" w:hAnsi="Calibri" w:cs="Calibri"/>
          <w:spacing w:val="-18"/>
          <w:sz w:val="23"/>
          <w:szCs w:val="23"/>
        </w:rPr>
        <w:t>₁</w:t>
      </w:r>
      <w:r>
        <w:rPr>
          <w:rFonts w:ascii="宋体" w:eastAsia="宋体" w:hAnsi="宋体" w:cs="宋体"/>
          <w:spacing w:val="-18"/>
          <w:sz w:val="23"/>
          <w:szCs w:val="23"/>
        </w:rPr>
        <w:t>,</w:t>
      </w:r>
      <w:r>
        <w:rPr>
          <w:rFonts w:ascii="宋体" w:eastAsia="宋体" w:hAnsi="宋体" w:cs="宋体"/>
          <w:spacing w:val="1"/>
          <w:sz w:val="23"/>
          <w:szCs w:val="23"/>
        </w:rPr>
        <w:t xml:space="preserve">  </w:t>
      </w:r>
      <w:r>
        <w:rPr>
          <w:rFonts w:ascii="宋体" w:eastAsia="宋体" w:hAnsi="宋体" w:cs="宋体"/>
          <w:spacing w:val="-23"/>
          <w:sz w:val="23"/>
          <w:szCs w:val="23"/>
        </w:rPr>
        <w:t>但含量较低。粮谷类是我国人民的主食，也是硫胺素的主要来源，但若过分精细</w:t>
      </w:r>
      <w:r>
        <w:rPr>
          <w:rFonts w:ascii="宋体" w:eastAsia="宋体" w:hAnsi="宋体" w:cs="宋体"/>
          <w:spacing w:val="8"/>
          <w:sz w:val="23"/>
          <w:szCs w:val="23"/>
        </w:rPr>
        <w:t xml:space="preserve">  </w:t>
      </w:r>
      <w:r>
        <w:rPr>
          <w:rFonts w:ascii="宋体" w:eastAsia="宋体" w:hAnsi="宋体" w:cs="宋体"/>
          <w:spacing w:val="-22"/>
          <w:sz w:val="23"/>
          <w:szCs w:val="23"/>
        </w:rPr>
        <w:t>加工、过分水洗、烹调时弃汤、加碱、高温等均会造成硫胺素一定程度的损失。</w:t>
      </w:r>
    </w:p>
    <w:p w:rsidR="00EA40A3" w:rsidRDefault="00E86C16">
      <w:pPr>
        <w:spacing w:before="174" w:line="222" w:lineRule="auto"/>
        <w:ind w:left="3"/>
        <w:outlineLvl w:val="6"/>
        <w:rPr>
          <w:rFonts w:ascii="黑体" w:eastAsia="黑体" w:hAnsi="黑体" w:cs="黑体"/>
          <w:sz w:val="23"/>
          <w:szCs w:val="23"/>
        </w:rPr>
      </w:pPr>
      <w:r>
        <w:rPr>
          <w:rFonts w:ascii="黑体" w:eastAsia="黑体" w:hAnsi="黑体" w:cs="黑体"/>
          <w:b/>
          <w:bCs/>
          <w:spacing w:val="3"/>
          <w:sz w:val="23"/>
          <w:szCs w:val="23"/>
        </w:rPr>
        <w:t>4.2.6</w:t>
      </w:r>
      <w:r>
        <w:rPr>
          <w:rFonts w:ascii="黑体" w:eastAsia="黑体" w:hAnsi="黑体" w:cs="黑体"/>
          <w:spacing w:val="45"/>
          <w:sz w:val="23"/>
          <w:szCs w:val="23"/>
        </w:rPr>
        <w:t xml:space="preserve">  </w:t>
      </w:r>
      <w:r>
        <w:rPr>
          <w:rFonts w:ascii="黑体" w:eastAsia="黑体" w:hAnsi="黑体" w:cs="黑体"/>
          <w:b/>
          <w:bCs/>
          <w:spacing w:val="3"/>
          <w:sz w:val="23"/>
          <w:szCs w:val="23"/>
        </w:rPr>
        <w:t>维生素B2</w:t>
      </w:r>
      <w:r>
        <w:rPr>
          <w:rFonts w:ascii="黑体" w:eastAsia="黑体" w:hAnsi="黑体" w:cs="黑体"/>
          <w:spacing w:val="55"/>
          <w:sz w:val="23"/>
          <w:szCs w:val="23"/>
        </w:rPr>
        <w:t xml:space="preserve"> </w:t>
      </w:r>
      <w:r>
        <w:rPr>
          <w:rFonts w:ascii="黑体" w:eastAsia="黑体" w:hAnsi="黑体" w:cs="黑体"/>
          <w:b/>
          <w:bCs/>
          <w:spacing w:val="3"/>
          <w:sz w:val="23"/>
          <w:szCs w:val="23"/>
        </w:rPr>
        <w:t>(核黄素)</w:t>
      </w:r>
    </w:p>
    <w:p w:rsidR="00EA40A3" w:rsidRDefault="00E86C16">
      <w:pPr>
        <w:spacing w:before="234" w:line="220" w:lineRule="auto"/>
        <w:rPr>
          <w:rFonts w:ascii="仿宋" w:eastAsia="仿宋" w:hAnsi="仿宋" w:cs="仿宋"/>
          <w:sz w:val="23"/>
          <w:szCs w:val="23"/>
        </w:rPr>
      </w:pPr>
      <w:r>
        <w:rPr>
          <w:rFonts w:ascii="仿宋" w:eastAsia="仿宋" w:hAnsi="仿宋" w:cs="仿宋"/>
          <w:spacing w:val="5"/>
          <w:sz w:val="23"/>
          <w:szCs w:val="23"/>
        </w:rPr>
        <w:t>1.</w:t>
      </w:r>
      <w:r>
        <w:rPr>
          <w:rFonts w:ascii="仿宋" w:eastAsia="仿宋" w:hAnsi="仿宋" w:cs="仿宋"/>
          <w:spacing w:val="-21"/>
          <w:sz w:val="23"/>
          <w:szCs w:val="23"/>
        </w:rPr>
        <w:t xml:space="preserve"> </w:t>
      </w:r>
      <w:r>
        <w:rPr>
          <w:rFonts w:ascii="仿宋" w:eastAsia="仿宋" w:hAnsi="仿宋" w:cs="仿宋"/>
          <w:spacing w:val="5"/>
          <w:sz w:val="23"/>
          <w:szCs w:val="23"/>
        </w:rPr>
        <w:t>维生素B</w:t>
      </w:r>
      <w:r>
        <w:rPr>
          <w:rFonts w:ascii="Calibri" w:eastAsia="Calibri" w:hAnsi="Calibri" w:cs="Calibri"/>
          <w:spacing w:val="5"/>
          <w:sz w:val="23"/>
          <w:szCs w:val="23"/>
        </w:rPr>
        <w:t>₂</w:t>
      </w:r>
      <w:r>
        <w:rPr>
          <w:rFonts w:ascii="Calibri" w:eastAsia="Calibri" w:hAnsi="Calibri" w:cs="Calibri"/>
          <w:spacing w:val="8"/>
          <w:sz w:val="23"/>
          <w:szCs w:val="23"/>
        </w:rPr>
        <w:t xml:space="preserve">  </w:t>
      </w:r>
      <w:r>
        <w:rPr>
          <w:rFonts w:ascii="仿宋" w:eastAsia="仿宋" w:hAnsi="仿宋" w:cs="仿宋"/>
          <w:spacing w:val="5"/>
          <w:sz w:val="23"/>
          <w:szCs w:val="23"/>
        </w:rPr>
        <w:t>理化性质</w:t>
      </w:r>
    </w:p>
    <w:p w:rsidR="00EA40A3" w:rsidRDefault="00E86C16">
      <w:pPr>
        <w:spacing w:before="187" w:line="216" w:lineRule="auto"/>
        <w:ind w:left="410"/>
        <w:rPr>
          <w:rFonts w:ascii="宋体" w:eastAsia="宋体" w:hAnsi="宋体" w:cs="宋体"/>
          <w:sz w:val="23"/>
          <w:szCs w:val="23"/>
        </w:rPr>
      </w:pPr>
      <w:r>
        <w:rPr>
          <w:rFonts w:ascii="宋体" w:eastAsia="宋体" w:hAnsi="宋体" w:cs="宋体"/>
          <w:spacing w:val="-11"/>
          <w:sz w:val="23"/>
          <w:szCs w:val="23"/>
        </w:rPr>
        <w:t>维生素BY</w:t>
      </w:r>
      <w:r>
        <w:rPr>
          <w:rFonts w:ascii="宋体" w:eastAsia="宋体" w:hAnsi="宋体" w:cs="宋体"/>
          <w:spacing w:val="-62"/>
          <w:sz w:val="23"/>
          <w:szCs w:val="23"/>
        </w:rPr>
        <w:t xml:space="preserve"> </w:t>
      </w:r>
      <w:r>
        <w:rPr>
          <w:rFonts w:ascii="宋体" w:eastAsia="宋体" w:hAnsi="宋体" w:cs="宋体"/>
          <w:spacing w:val="-11"/>
          <w:sz w:val="23"/>
          <w:szCs w:val="23"/>
        </w:rPr>
        <w:t>又名核黄素</w:t>
      </w:r>
      <w:r>
        <w:rPr>
          <w:rFonts w:ascii="宋体" w:eastAsia="宋体" w:hAnsi="宋体" w:cs="宋体"/>
          <w:spacing w:val="-25"/>
          <w:sz w:val="23"/>
          <w:szCs w:val="23"/>
        </w:rPr>
        <w:t xml:space="preserve"> </w:t>
      </w:r>
      <w:r>
        <w:rPr>
          <w:rFonts w:ascii="宋体" w:eastAsia="宋体" w:hAnsi="宋体" w:cs="宋体"/>
          <w:spacing w:val="-11"/>
          <w:sz w:val="23"/>
          <w:szCs w:val="23"/>
        </w:rPr>
        <w:t>(riboflavin),</w:t>
      </w:r>
      <w:r>
        <w:rPr>
          <w:rFonts w:ascii="宋体" w:eastAsia="宋体" w:hAnsi="宋体" w:cs="宋体"/>
          <w:spacing w:val="-55"/>
          <w:sz w:val="23"/>
          <w:szCs w:val="23"/>
        </w:rPr>
        <w:t xml:space="preserve"> </w:t>
      </w:r>
      <w:r>
        <w:rPr>
          <w:rFonts w:ascii="宋体" w:eastAsia="宋体" w:hAnsi="宋体" w:cs="宋体"/>
          <w:spacing w:val="-11"/>
          <w:sz w:val="23"/>
          <w:szCs w:val="23"/>
        </w:rPr>
        <w:t>由异咯嗪与核糖所</w:t>
      </w:r>
      <w:r>
        <w:rPr>
          <w:rFonts w:ascii="宋体" w:eastAsia="宋体" w:hAnsi="宋体" w:cs="宋体"/>
          <w:spacing w:val="-12"/>
          <w:sz w:val="23"/>
          <w:szCs w:val="23"/>
        </w:rPr>
        <w:t>组成(图4-10),并</w:t>
      </w:r>
    </w:p>
    <w:p w:rsidR="00EA40A3" w:rsidRDefault="00E86C16">
      <w:pPr>
        <w:spacing w:before="33" w:line="241" w:lineRule="auto"/>
        <w:rPr>
          <w:rFonts w:ascii="宋体" w:eastAsia="宋体" w:hAnsi="宋体" w:cs="宋体"/>
          <w:sz w:val="23"/>
          <w:szCs w:val="23"/>
        </w:rPr>
      </w:pPr>
      <w:r>
        <w:rPr>
          <w:rFonts w:ascii="宋体" w:eastAsia="宋体" w:hAnsi="宋体" w:cs="宋体"/>
          <w:spacing w:val="-21"/>
          <w:sz w:val="23"/>
          <w:szCs w:val="23"/>
        </w:rPr>
        <w:t>有很多同系物。纯核黄素是橙黄色的晶体并有高强度的荧</w:t>
      </w:r>
    </w:p>
    <w:p w:rsidR="00EA40A3" w:rsidRDefault="00E86C16">
      <w:pPr>
        <w:spacing w:before="1" w:line="218" w:lineRule="auto"/>
        <w:rPr>
          <w:rFonts w:ascii="宋体" w:eastAsia="宋体" w:hAnsi="宋体" w:cs="宋体"/>
          <w:sz w:val="23"/>
          <w:szCs w:val="23"/>
        </w:rPr>
      </w:pPr>
      <w:r>
        <w:rPr>
          <w:rFonts w:ascii="宋体" w:eastAsia="宋体" w:hAnsi="宋体" w:cs="宋体"/>
          <w:spacing w:val="-8"/>
          <w:sz w:val="23"/>
          <w:szCs w:val="23"/>
        </w:rPr>
        <w:t>光，有苦味，但几乎无气味；微溶于水，在27.5</w:t>
      </w:r>
      <w:r>
        <w:rPr>
          <w:rFonts w:ascii="宋体" w:eastAsia="宋体" w:hAnsi="宋体" w:cs="宋体"/>
          <w:spacing w:val="-9"/>
          <w:sz w:val="23"/>
          <w:szCs w:val="23"/>
        </w:rPr>
        <w:t>℃时，</w:t>
      </w:r>
    </w:p>
    <w:p w:rsidR="00EA40A3" w:rsidRDefault="00E86C16">
      <w:pPr>
        <w:spacing w:before="20" w:line="214" w:lineRule="auto"/>
        <w:rPr>
          <w:rFonts w:ascii="宋体" w:eastAsia="宋体" w:hAnsi="宋体" w:cs="宋体"/>
          <w:sz w:val="23"/>
          <w:szCs w:val="23"/>
        </w:rPr>
      </w:pPr>
      <w:r>
        <w:rPr>
          <w:rFonts w:ascii="宋体" w:eastAsia="宋体" w:hAnsi="宋体" w:cs="宋体"/>
          <w:spacing w:val="-4"/>
          <w:sz w:val="23"/>
          <w:szCs w:val="23"/>
        </w:rPr>
        <w:t>每100mL</w:t>
      </w:r>
      <w:r>
        <w:rPr>
          <w:rFonts w:ascii="宋体" w:eastAsia="宋体" w:hAnsi="宋体" w:cs="宋体"/>
          <w:spacing w:val="5"/>
          <w:sz w:val="23"/>
          <w:szCs w:val="23"/>
        </w:rPr>
        <w:t xml:space="preserve"> </w:t>
      </w:r>
      <w:r>
        <w:rPr>
          <w:rFonts w:ascii="宋体" w:eastAsia="宋体" w:hAnsi="宋体" w:cs="宋体"/>
          <w:spacing w:val="-4"/>
          <w:sz w:val="23"/>
          <w:szCs w:val="23"/>
        </w:rPr>
        <w:t>水可溶解12mg;</w:t>
      </w:r>
      <w:r>
        <w:rPr>
          <w:rFonts w:ascii="宋体" w:eastAsia="宋体" w:hAnsi="宋体" w:cs="宋体"/>
          <w:spacing w:val="23"/>
          <w:sz w:val="23"/>
          <w:szCs w:val="23"/>
        </w:rPr>
        <w:t xml:space="preserve"> </w:t>
      </w:r>
      <w:r>
        <w:rPr>
          <w:rFonts w:ascii="宋体" w:eastAsia="宋体" w:hAnsi="宋体" w:cs="宋体"/>
          <w:spacing w:val="-4"/>
          <w:sz w:val="23"/>
          <w:szCs w:val="23"/>
        </w:rPr>
        <w:t>在中性和酸性溶液中对热稳</w:t>
      </w:r>
    </w:p>
    <w:p w:rsidR="00EA40A3" w:rsidRDefault="00E86C16">
      <w:pPr>
        <w:spacing w:before="42" w:line="219" w:lineRule="auto"/>
        <w:rPr>
          <w:rFonts w:ascii="宋体" w:eastAsia="宋体" w:hAnsi="宋体" w:cs="宋体"/>
          <w:sz w:val="23"/>
          <w:szCs w:val="23"/>
        </w:rPr>
      </w:pPr>
      <w:r>
        <w:rPr>
          <w:rFonts w:ascii="宋体" w:eastAsia="宋体" w:hAnsi="宋体" w:cs="宋体"/>
          <w:spacing w:val="-21"/>
          <w:sz w:val="23"/>
          <w:szCs w:val="23"/>
        </w:rPr>
        <w:t>定，但在碱性溶液中不稳定，易于分解破坏。游</w:t>
      </w:r>
      <w:r>
        <w:rPr>
          <w:rFonts w:ascii="宋体" w:eastAsia="宋体" w:hAnsi="宋体" w:cs="宋体"/>
          <w:spacing w:val="-22"/>
          <w:sz w:val="23"/>
          <w:szCs w:val="23"/>
        </w:rPr>
        <w:t>离核黄素</w:t>
      </w:r>
    </w:p>
    <w:p w:rsidR="00EA40A3" w:rsidRDefault="00E86C16">
      <w:pPr>
        <w:spacing w:before="27" w:line="219" w:lineRule="auto"/>
        <w:rPr>
          <w:rFonts w:ascii="宋体" w:eastAsia="宋体" w:hAnsi="宋体" w:cs="宋体"/>
          <w:sz w:val="23"/>
          <w:szCs w:val="23"/>
        </w:rPr>
      </w:pPr>
      <w:r>
        <w:rPr>
          <w:rFonts w:ascii="宋体" w:eastAsia="宋体" w:hAnsi="宋体" w:cs="宋体"/>
          <w:spacing w:val="-21"/>
          <w:sz w:val="23"/>
          <w:szCs w:val="23"/>
        </w:rPr>
        <w:t>对光特别是紫外光高度敏感，在碱性条件下被</w:t>
      </w:r>
      <w:r>
        <w:rPr>
          <w:rFonts w:ascii="宋体" w:eastAsia="宋体" w:hAnsi="宋体" w:cs="宋体"/>
          <w:spacing w:val="-22"/>
          <w:sz w:val="23"/>
          <w:szCs w:val="23"/>
        </w:rPr>
        <w:t>光降解为无</w:t>
      </w:r>
    </w:p>
    <w:p w:rsidR="00EA40A3" w:rsidRDefault="00E86C16">
      <w:pPr>
        <w:spacing w:before="27" w:line="219" w:lineRule="auto"/>
        <w:rPr>
          <w:rFonts w:ascii="宋体" w:eastAsia="宋体" w:hAnsi="宋体" w:cs="宋体"/>
          <w:sz w:val="23"/>
          <w:szCs w:val="23"/>
        </w:rPr>
      </w:pPr>
      <w:r>
        <w:rPr>
          <w:rFonts w:ascii="宋体" w:eastAsia="宋体" w:hAnsi="宋体" w:cs="宋体"/>
          <w:spacing w:val="-17"/>
          <w:sz w:val="23"/>
          <w:szCs w:val="23"/>
        </w:rPr>
        <w:t>生物活性的光黄素，在酸性条件下，被光降解为光</w:t>
      </w:r>
      <w:r>
        <w:rPr>
          <w:rFonts w:ascii="宋体" w:eastAsia="宋体" w:hAnsi="宋体" w:cs="宋体"/>
          <w:spacing w:val="-18"/>
          <w:sz w:val="23"/>
          <w:szCs w:val="23"/>
        </w:rPr>
        <w:t>色素。</w:t>
      </w:r>
    </w:p>
    <w:p w:rsidR="00EA40A3" w:rsidRDefault="00E86C16">
      <w:pPr>
        <w:spacing w:before="27" w:line="230" w:lineRule="auto"/>
        <w:ind w:right="253"/>
        <w:rPr>
          <w:rFonts w:ascii="宋体" w:eastAsia="宋体" w:hAnsi="宋体" w:cs="宋体"/>
          <w:sz w:val="23"/>
          <w:szCs w:val="23"/>
        </w:rPr>
      </w:pPr>
      <w:r>
        <w:rPr>
          <w:rFonts w:ascii="宋体" w:eastAsia="宋体" w:hAnsi="宋体" w:cs="宋体"/>
          <w:spacing w:val="-24"/>
          <w:sz w:val="23"/>
          <w:szCs w:val="23"/>
        </w:rPr>
        <w:t>人工合成的核黄素应存放在深色玻璃瓶中。食物中的核黄图4-10</w:t>
      </w:r>
      <w:r>
        <w:rPr>
          <w:rFonts w:ascii="宋体" w:eastAsia="宋体" w:hAnsi="宋体" w:cs="宋体"/>
          <w:spacing w:val="39"/>
          <w:sz w:val="23"/>
          <w:szCs w:val="23"/>
        </w:rPr>
        <w:t xml:space="preserve"> </w:t>
      </w:r>
      <w:r>
        <w:rPr>
          <w:rFonts w:ascii="宋体" w:eastAsia="宋体" w:hAnsi="宋体" w:cs="宋体"/>
          <w:spacing w:val="-24"/>
          <w:sz w:val="23"/>
          <w:szCs w:val="23"/>
        </w:rPr>
        <w:t>核黄素的结构</w:t>
      </w:r>
      <w:r>
        <w:rPr>
          <w:rFonts w:ascii="宋体" w:eastAsia="宋体" w:hAnsi="宋体" w:cs="宋体"/>
          <w:sz w:val="23"/>
          <w:szCs w:val="23"/>
        </w:rPr>
        <w:t xml:space="preserve"> </w:t>
      </w:r>
      <w:r>
        <w:rPr>
          <w:rFonts w:ascii="宋体" w:eastAsia="宋体" w:hAnsi="宋体" w:cs="宋体"/>
          <w:spacing w:val="-15"/>
          <w:sz w:val="23"/>
          <w:szCs w:val="23"/>
        </w:rPr>
        <w:t>素多以结合型(辅酶衍生物的形式)存在，结合</w:t>
      </w:r>
      <w:r>
        <w:rPr>
          <w:rFonts w:ascii="宋体" w:eastAsia="宋体" w:hAnsi="宋体" w:cs="宋体"/>
          <w:spacing w:val="-16"/>
          <w:sz w:val="23"/>
          <w:szCs w:val="23"/>
        </w:rPr>
        <w:t>型核黄素对光稳定。</w:t>
      </w:r>
    </w:p>
    <w:p w:rsidR="00EA40A3" w:rsidRDefault="00E86C16">
      <w:pPr>
        <w:spacing w:before="214" w:line="222" w:lineRule="auto"/>
        <w:rPr>
          <w:rFonts w:ascii="仿宋" w:eastAsia="仿宋" w:hAnsi="仿宋" w:cs="仿宋"/>
          <w:sz w:val="23"/>
          <w:szCs w:val="23"/>
        </w:rPr>
      </w:pPr>
      <w:r>
        <w:rPr>
          <w:rFonts w:ascii="仿宋" w:eastAsia="仿宋" w:hAnsi="仿宋" w:cs="仿宋"/>
          <w:spacing w:val="5"/>
          <w:sz w:val="23"/>
          <w:szCs w:val="23"/>
        </w:rPr>
        <w:t>2.</w:t>
      </w:r>
      <w:r>
        <w:rPr>
          <w:rFonts w:ascii="仿宋" w:eastAsia="仿宋" w:hAnsi="仿宋" w:cs="仿宋"/>
          <w:spacing w:val="-31"/>
          <w:sz w:val="23"/>
          <w:szCs w:val="23"/>
        </w:rPr>
        <w:t xml:space="preserve"> </w:t>
      </w:r>
      <w:r>
        <w:rPr>
          <w:rFonts w:ascii="仿宋" w:eastAsia="仿宋" w:hAnsi="仿宋" w:cs="仿宋"/>
          <w:spacing w:val="5"/>
          <w:sz w:val="23"/>
          <w:szCs w:val="23"/>
        </w:rPr>
        <w:t>维生素B2</w:t>
      </w:r>
      <w:r>
        <w:rPr>
          <w:rFonts w:ascii="仿宋" w:eastAsia="仿宋" w:hAnsi="仿宋" w:cs="仿宋"/>
          <w:spacing w:val="-23"/>
          <w:sz w:val="23"/>
          <w:szCs w:val="23"/>
        </w:rPr>
        <w:t xml:space="preserve"> </w:t>
      </w:r>
      <w:r>
        <w:rPr>
          <w:rFonts w:ascii="仿宋" w:eastAsia="仿宋" w:hAnsi="仿宋" w:cs="仿宋"/>
          <w:spacing w:val="5"/>
          <w:sz w:val="23"/>
          <w:szCs w:val="23"/>
        </w:rPr>
        <w:t>吸收与代谢</w:t>
      </w:r>
    </w:p>
    <w:p w:rsidR="00EA40A3" w:rsidRDefault="00E86C16">
      <w:pPr>
        <w:spacing w:before="222" w:line="225" w:lineRule="auto"/>
        <w:ind w:right="104" w:firstLine="410"/>
        <w:rPr>
          <w:rFonts w:ascii="宋体" w:eastAsia="宋体" w:hAnsi="宋体" w:cs="宋体"/>
          <w:sz w:val="23"/>
          <w:szCs w:val="23"/>
        </w:rPr>
      </w:pPr>
      <w:r>
        <w:rPr>
          <w:rFonts w:ascii="宋体" w:eastAsia="宋体" w:hAnsi="宋体" w:cs="宋体"/>
          <w:spacing w:val="-12"/>
          <w:sz w:val="23"/>
          <w:szCs w:val="23"/>
        </w:rPr>
        <w:t>食物中核黄素多以黄素单核</w:t>
      </w:r>
      <w:r>
        <w:rPr>
          <w:rFonts w:ascii="宋体" w:eastAsia="宋体" w:hAnsi="宋体" w:cs="宋体"/>
          <w:spacing w:val="-13"/>
          <w:sz w:val="23"/>
          <w:szCs w:val="23"/>
        </w:rPr>
        <w:t>苷酸</w:t>
      </w:r>
      <w:r>
        <w:rPr>
          <w:rFonts w:ascii="宋体" w:eastAsia="宋体" w:hAnsi="宋体" w:cs="宋体"/>
          <w:spacing w:val="-25"/>
          <w:sz w:val="23"/>
          <w:szCs w:val="23"/>
        </w:rPr>
        <w:t xml:space="preserve"> </w:t>
      </w:r>
      <w:r>
        <w:rPr>
          <w:rFonts w:ascii="宋体" w:eastAsia="宋体" w:hAnsi="宋体" w:cs="宋体"/>
          <w:spacing w:val="-13"/>
          <w:sz w:val="23"/>
          <w:szCs w:val="23"/>
        </w:rPr>
        <w:t>(</w:t>
      </w:r>
      <w:r>
        <w:rPr>
          <w:rFonts w:ascii="宋体" w:eastAsia="宋体" w:hAnsi="宋体" w:cs="宋体"/>
          <w:spacing w:val="-12"/>
          <w:sz w:val="23"/>
          <w:szCs w:val="23"/>
        </w:rPr>
        <w:t>flavin</w:t>
      </w:r>
      <w:r>
        <w:rPr>
          <w:rFonts w:ascii="宋体" w:eastAsia="宋体" w:hAnsi="宋体" w:cs="宋体"/>
          <w:spacing w:val="-4"/>
          <w:sz w:val="23"/>
          <w:szCs w:val="23"/>
        </w:rPr>
        <w:t xml:space="preserve"> </w:t>
      </w:r>
      <w:r>
        <w:rPr>
          <w:rFonts w:ascii="宋体" w:eastAsia="宋体" w:hAnsi="宋体" w:cs="宋体"/>
          <w:spacing w:val="-12"/>
          <w:sz w:val="23"/>
          <w:szCs w:val="23"/>
        </w:rPr>
        <w:t>mononucleotide</w:t>
      </w:r>
      <w:r>
        <w:rPr>
          <w:rFonts w:ascii="宋体" w:eastAsia="宋体" w:hAnsi="宋体" w:cs="宋体"/>
          <w:spacing w:val="-13"/>
          <w:sz w:val="23"/>
          <w:szCs w:val="23"/>
        </w:rPr>
        <w:t>,</w:t>
      </w:r>
      <w:r>
        <w:rPr>
          <w:rFonts w:ascii="宋体" w:eastAsia="宋体" w:hAnsi="宋体" w:cs="宋体"/>
          <w:spacing w:val="-12"/>
          <w:sz w:val="23"/>
          <w:szCs w:val="23"/>
        </w:rPr>
        <w:t>FMN</w:t>
      </w:r>
      <w:r>
        <w:rPr>
          <w:rFonts w:ascii="宋体" w:eastAsia="宋体" w:hAnsi="宋体" w:cs="宋体"/>
          <w:spacing w:val="-13"/>
          <w:sz w:val="23"/>
          <w:szCs w:val="23"/>
        </w:rPr>
        <w:t>)</w:t>
      </w:r>
      <w:r>
        <w:rPr>
          <w:rFonts w:ascii="宋体" w:eastAsia="宋体" w:hAnsi="宋体" w:cs="宋体"/>
          <w:spacing w:val="-62"/>
          <w:sz w:val="23"/>
          <w:szCs w:val="23"/>
        </w:rPr>
        <w:t xml:space="preserve"> </w:t>
      </w:r>
      <w:r>
        <w:rPr>
          <w:rFonts w:ascii="宋体" w:eastAsia="宋体" w:hAnsi="宋体" w:cs="宋体"/>
          <w:spacing w:val="-13"/>
          <w:sz w:val="23"/>
          <w:szCs w:val="23"/>
        </w:rPr>
        <w:t>和黄素腺</w:t>
      </w:r>
      <w:r>
        <w:rPr>
          <w:rFonts w:ascii="宋体" w:eastAsia="宋体" w:hAnsi="宋体" w:cs="宋体"/>
          <w:sz w:val="23"/>
          <w:szCs w:val="23"/>
        </w:rPr>
        <w:t xml:space="preserve"> </w:t>
      </w:r>
      <w:r>
        <w:rPr>
          <w:rFonts w:ascii="宋体" w:eastAsia="宋体" w:hAnsi="宋体" w:cs="宋体"/>
          <w:spacing w:val="-17"/>
          <w:sz w:val="23"/>
          <w:szCs w:val="23"/>
        </w:rPr>
        <w:t>嘌呤二核苷酸</w:t>
      </w:r>
      <w:r>
        <w:rPr>
          <w:rFonts w:ascii="宋体" w:eastAsia="宋体" w:hAnsi="宋体" w:cs="宋体"/>
          <w:spacing w:val="-15"/>
          <w:sz w:val="23"/>
          <w:szCs w:val="23"/>
        </w:rPr>
        <w:t xml:space="preserve"> </w:t>
      </w:r>
      <w:r>
        <w:rPr>
          <w:rFonts w:ascii="宋体" w:eastAsia="宋体" w:hAnsi="宋体" w:cs="宋体"/>
          <w:spacing w:val="-17"/>
          <w:sz w:val="23"/>
          <w:szCs w:val="23"/>
        </w:rPr>
        <w:t>(flavin</w:t>
      </w:r>
      <w:r>
        <w:rPr>
          <w:rFonts w:ascii="宋体" w:eastAsia="宋体" w:hAnsi="宋体" w:cs="宋体"/>
          <w:spacing w:val="-6"/>
          <w:sz w:val="23"/>
          <w:szCs w:val="23"/>
        </w:rPr>
        <w:t xml:space="preserve"> </w:t>
      </w:r>
      <w:r>
        <w:rPr>
          <w:rFonts w:ascii="宋体" w:eastAsia="宋体" w:hAnsi="宋体" w:cs="宋体"/>
          <w:spacing w:val="-17"/>
          <w:sz w:val="23"/>
          <w:szCs w:val="23"/>
        </w:rPr>
        <w:t>adenine</w:t>
      </w:r>
      <w:r>
        <w:rPr>
          <w:rFonts w:ascii="宋体" w:eastAsia="宋体" w:hAnsi="宋体" w:cs="宋体"/>
          <w:spacing w:val="-4"/>
          <w:sz w:val="23"/>
          <w:szCs w:val="23"/>
        </w:rPr>
        <w:t xml:space="preserve"> </w:t>
      </w:r>
      <w:r>
        <w:rPr>
          <w:rFonts w:ascii="宋体" w:eastAsia="宋体" w:hAnsi="宋体" w:cs="宋体"/>
          <w:spacing w:val="-17"/>
          <w:sz w:val="23"/>
          <w:szCs w:val="23"/>
        </w:rPr>
        <w:t>dinucleotide,FAD)</w:t>
      </w:r>
      <w:r>
        <w:rPr>
          <w:rFonts w:ascii="宋体" w:eastAsia="宋体" w:hAnsi="宋体" w:cs="宋体"/>
          <w:spacing w:val="-48"/>
          <w:sz w:val="23"/>
          <w:szCs w:val="23"/>
        </w:rPr>
        <w:t xml:space="preserve"> </w:t>
      </w:r>
      <w:r>
        <w:rPr>
          <w:rFonts w:ascii="宋体" w:eastAsia="宋体" w:hAnsi="宋体" w:cs="宋体"/>
          <w:spacing w:val="-17"/>
          <w:sz w:val="23"/>
          <w:szCs w:val="23"/>
        </w:rPr>
        <w:t>辅酶形式与蛋白质结合形成</w:t>
      </w:r>
    </w:p>
    <w:p w:rsidR="00EA40A3" w:rsidRDefault="00EA40A3">
      <w:pPr>
        <w:sectPr w:rsidR="00EA40A3">
          <w:footerReference w:type="default" r:id="rId104"/>
          <w:pgSz w:w="9220" w:h="13360"/>
          <w:pgMar w:top="400" w:right="925" w:bottom="1234" w:left="930" w:header="0" w:footer="1001" w:gutter="0"/>
          <w:cols w:space="720"/>
        </w:sectPr>
      </w:pPr>
    </w:p>
    <w:p w:rsidR="00EA40A3" w:rsidRDefault="00EA40A3">
      <w:pPr>
        <w:spacing w:line="273" w:lineRule="auto"/>
      </w:pPr>
    </w:p>
    <w:p w:rsidR="00EA40A3" w:rsidRDefault="00EA40A3">
      <w:pPr>
        <w:spacing w:line="274" w:lineRule="auto"/>
      </w:pPr>
    </w:p>
    <w:p w:rsidR="00EA40A3" w:rsidRDefault="00E86C16">
      <w:pPr>
        <w:spacing w:before="72" w:line="247" w:lineRule="auto"/>
        <w:ind w:right="80"/>
        <w:rPr>
          <w:rFonts w:ascii="宋体" w:eastAsia="宋体" w:hAnsi="宋体" w:cs="宋体"/>
          <w:sz w:val="22"/>
          <w:szCs w:val="22"/>
        </w:rPr>
      </w:pPr>
      <w:r>
        <w:rPr>
          <w:rFonts w:ascii="宋体" w:eastAsia="宋体" w:hAnsi="宋体" w:cs="宋体"/>
          <w:spacing w:val="-10"/>
          <w:sz w:val="22"/>
          <w:szCs w:val="22"/>
        </w:rPr>
        <w:t>复合物，即黄</w:t>
      </w:r>
      <w:r>
        <w:rPr>
          <w:rFonts w:ascii="宋体" w:eastAsia="宋体" w:hAnsi="宋体" w:cs="宋体"/>
          <w:spacing w:val="-11"/>
          <w:sz w:val="22"/>
          <w:szCs w:val="22"/>
        </w:rPr>
        <w:t>素蛋白(</w:t>
      </w:r>
      <w:r>
        <w:rPr>
          <w:rFonts w:ascii="宋体" w:eastAsia="宋体" w:hAnsi="宋体" w:cs="宋体"/>
          <w:spacing w:val="-10"/>
          <w:sz w:val="22"/>
          <w:szCs w:val="22"/>
        </w:rPr>
        <w:t>flavoprotein</w:t>
      </w:r>
      <w:r>
        <w:rPr>
          <w:rFonts w:ascii="宋体" w:eastAsia="宋体" w:hAnsi="宋体" w:cs="宋体"/>
          <w:spacing w:val="-11"/>
          <w:sz w:val="22"/>
          <w:szCs w:val="22"/>
        </w:rPr>
        <w:t>),</w:t>
      </w:r>
      <w:r>
        <w:rPr>
          <w:rFonts w:ascii="宋体" w:eastAsia="宋体" w:hAnsi="宋体" w:cs="宋体"/>
          <w:spacing w:val="-62"/>
          <w:sz w:val="22"/>
          <w:szCs w:val="22"/>
        </w:rPr>
        <w:t xml:space="preserve"> </w:t>
      </w:r>
      <w:r>
        <w:rPr>
          <w:rFonts w:ascii="宋体" w:eastAsia="宋体" w:hAnsi="宋体" w:cs="宋体"/>
          <w:spacing w:val="-11"/>
          <w:sz w:val="22"/>
          <w:szCs w:val="22"/>
        </w:rPr>
        <w:t>进入胃后，在胃液作用下，</w:t>
      </w:r>
      <w:r>
        <w:rPr>
          <w:rFonts w:ascii="宋体" w:eastAsia="宋体" w:hAnsi="宋体" w:cs="宋体"/>
          <w:sz w:val="22"/>
          <w:szCs w:val="22"/>
        </w:rPr>
        <w:t xml:space="preserve"> </w:t>
      </w:r>
      <w:r>
        <w:rPr>
          <w:rFonts w:ascii="宋体" w:eastAsia="宋体" w:hAnsi="宋体" w:cs="宋体"/>
          <w:spacing w:val="-10"/>
          <w:sz w:val="22"/>
          <w:szCs w:val="22"/>
        </w:rPr>
        <w:t>FMN</w:t>
      </w:r>
      <w:r>
        <w:rPr>
          <w:rFonts w:ascii="宋体" w:eastAsia="宋体" w:hAnsi="宋体" w:cs="宋体"/>
          <w:spacing w:val="2"/>
          <w:sz w:val="22"/>
          <w:szCs w:val="22"/>
        </w:rPr>
        <w:t xml:space="preserve">  </w:t>
      </w:r>
      <w:r>
        <w:rPr>
          <w:rFonts w:ascii="宋体" w:eastAsia="宋体" w:hAnsi="宋体" w:cs="宋体"/>
          <w:spacing w:val="-11"/>
          <w:sz w:val="22"/>
          <w:szCs w:val="22"/>
        </w:rPr>
        <w:t>和</w:t>
      </w:r>
      <w:r>
        <w:rPr>
          <w:rFonts w:ascii="宋体" w:eastAsia="宋体" w:hAnsi="宋体" w:cs="宋体"/>
          <w:spacing w:val="-60"/>
          <w:sz w:val="22"/>
          <w:szCs w:val="22"/>
        </w:rPr>
        <w:t xml:space="preserve"> </w:t>
      </w:r>
      <w:r>
        <w:rPr>
          <w:rFonts w:ascii="宋体" w:eastAsia="宋体" w:hAnsi="宋体" w:cs="宋体"/>
          <w:spacing w:val="-10"/>
          <w:sz w:val="22"/>
          <w:szCs w:val="22"/>
        </w:rPr>
        <w:t>FAD</w:t>
      </w:r>
      <w:r>
        <w:rPr>
          <w:rFonts w:ascii="宋体" w:eastAsia="宋体" w:hAnsi="宋体" w:cs="宋体"/>
          <w:sz w:val="22"/>
          <w:szCs w:val="22"/>
        </w:rPr>
        <w:t xml:space="preserve">  </w:t>
      </w:r>
      <w:r>
        <w:rPr>
          <w:rFonts w:ascii="宋体" w:eastAsia="宋体" w:hAnsi="宋体" w:cs="宋体"/>
          <w:spacing w:val="-5"/>
          <w:sz w:val="22"/>
          <w:szCs w:val="22"/>
        </w:rPr>
        <w:t>与蛋白分离，在小肠内FAD</w:t>
      </w:r>
      <w:r>
        <w:rPr>
          <w:rFonts w:ascii="宋体" w:eastAsia="宋体" w:hAnsi="宋体" w:cs="宋体"/>
          <w:spacing w:val="55"/>
          <w:sz w:val="22"/>
          <w:szCs w:val="22"/>
        </w:rPr>
        <w:t xml:space="preserve"> </w:t>
      </w:r>
      <w:r>
        <w:rPr>
          <w:rFonts w:ascii="宋体" w:eastAsia="宋体" w:hAnsi="宋体" w:cs="宋体"/>
          <w:spacing w:val="-5"/>
          <w:sz w:val="22"/>
          <w:szCs w:val="22"/>
        </w:rPr>
        <w:t>在焦磷酸酶作用下变</w:t>
      </w:r>
      <w:r>
        <w:rPr>
          <w:rFonts w:ascii="宋体" w:eastAsia="宋体" w:hAnsi="宋体" w:cs="宋体"/>
          <w:spacing w:val="-6"/>
          <w:sz w:val="22"/>
          <w:szCs w:val="22"/>
        </w:rPr>
        <w:t>成</w:t>
      </w:r>
      <w:r>
        <w:rPr>
          <w:rFonts w:ascii="宋体" w:eastAsia="宋体" w:hAnsi="宋体" w:cs="宋体"/>
          <w:spacing w:val="-5"/>
          <w:sz w:val="22"/>
          <w:szCs w:val="22"/>
        </w:rPr>
        <w:t>FMN</w:t>
      </w:r>
      <w:r>
        <w:rPr>
          <w:rFonts w:ascii="宋体" w:eastAsia="宋体" w:hAnsi="宋体" w:cs="宋体"/>
          <w:spacing w:val="-6"/>
          <w:sz w:val="22"/>
          <w:szCs w:val="22"/>
        </w:rPr>
        <w:t>,</w:t>
      </w:r>
      <w:r>
        <w:rPr>
          <w:rFonts w:ascii="宋体" w:eastAsia="宋体" w:hAnsi="宋体" w:cs="宋体"/>
          <w:spacing w:val="-5"/>
          <w:sz w:val="22"/>
          <w:szCs w:val="22"/>
        </w:rPr>
        <w:t>FMN</w:t>
      </w:r>
      <w:r>
        <w:rPr>
          <w:rFonts w:ascii="宋体" w:eastAsia="宋体" w:hAnsi="宋体" w:cs="宋体"/>
          <w:spacing w:val="3"/>
          <w:sz w:val="22"/>
          <w:szCs w:val="22"/>
        </w:rPr>
        <w:t xml:space="preserve">    </w:t>
      </w:r>
      <w:r>
        <w:rPr>
          <w:rFonts w:ascii="宋体" w:eastAsia="宋体" w:hAnsi="宋体" w:cs="宋体"/>
          <w:spacing w:val="-6"/>
          <w:sz w:val="22"/>
          <w:szCs w:val="22"/>
        </w:rPr>
        <w:t>在磷酸酶作用</w:t>
      </w:r>
      <w:r>
        <w:rPr>
          <w:rFonts w:ascii="宋体" w:eastAsia="宋体" w:hAnsi="宋体" w:cs="宋体"/>
          <w:spacing w:val="2"/>
          <w:sz w:val="22"/>
          <w:szCs w:val="22"/>
        </w:rPr>
        <w:t xml:space="preserve"> </w:t>
      </w:r>
      <w:r>
        <w:rPr>
          <w:rFonts w:ascii="宋体" w:eastAsia="宋体" w:hAnsi="宋体" w:cs="宋体"/>
          <w:spacing w:val="-7"/>
          <w:sz w:val="22"/>
          <w:szCs w:val="22"/>
        </w:rPr>
        <w:t>下变成游离核黄素，在小肠上部被主动吸收。核黄素的吸收是一个主</w:t>
      </w:r>
      <w:r>
        <w:rPr>
          <w:rFonts w:ascii="宋体" w:eastAsia="宋体" w:hAnsi="宋体" w:cs="宋体"/>
          <w:spacing w:val="-8"/>
          <w:sz w:val="22"/>
          <w:szCs w:val="22"/>
        </w:rPr>
        <w:t>动转运过</w:t>
      </w:r>
      <w:r>
        <w:rPr>
          <w:rFonts w:ascii="宋体" w:eastAsia="宋体" w:hAnsi="宋体" w:cs="宋体"/>
          <w:sz w:val="22"/>
          <w:szCs w:val="22"/>
        </w:rPr>
        <w:t xml:space="preserve"> </w:t>
      </w:r>
      <w:r>
        <w:rPr>
          <w:rFonts w:ascii="宋体" w:eastAsia="宋体" w:hAnsi="宋体" w:cs="宋体"/>
          <w:spacing w:val="-8"/>
          <w:sz w:val="22"/>
          <w:szCs w:val="22"/>
        </w:rPr>
        <w:t>程，需要Na+</w:t>
      </w:r>
      <w:r>
        <w:rPr>
          <w:rFonts w:ascii="宋体" w:eastAsia="宋体" w:hAnsi="宋体" w:cs="宋体"/>
          <w:spacing w:val="-39"/>
          <w:sz w:val="22"/>
          <w:szCs w:val="22"/>
        </w:rPr>
        <w:t xml:space="preserve"> </w:t>
      </w:r>
      <w:r>
        <w:rPr>
          <w:rFonts w:ascii="宋体" w:eastAsia="宋体" w:hAnsi="宋体" w:cs="宋体"/>
          <w:spacing w:val="-8"/>
          <w:sz w:val="22"/>
          <w:szCs w:val="22"/>
        </w:rPr>
        <w:t>和</w:t>
      </w:r>
      <w:r>
        <w:rPr>
          <w:rFonts w:ascii="宋体" w:eastAsia="宋体" w:hAnsi="宋体" w:cs="宋体"/>
          <w:spacing w:val="-61"/>
          <w:sz w:val="22"/>
          <w:szCs w:val="22"/>
        </w:rPr>
        <w:t xml:space="preserve"> </w:t>
      </w:r>
      <w:r>
        <w:rPr>
          <w:rFonts w:ascii="宋体" w:eastAsia="宋体" w:hAnsi="宋体" w:cs="宋体"/>
          <w:spacing w:val="-8"/>
          <w:sz w:val="22"/>
          <w:szCs w:val="22"/>
        </w:rPr>
        <w:t>ATP</w:t>
      </w:r>
      <w:r>
        <w:rPr>
          <w:rFonts w:ascii="宋体" w:eastAsia="宋体" w:hAnsi="宋体" w:cs="宋体"/>
          <w:spacing w:val="52"/>
          <w:sz w:val="22"/>
          <w:szCs w:val="22"/>
        </w:rPr>
        <w:t xml:space="preserve"> </w:t>
      </w:r>
      <w:r>
        <w:rPr>
          <w:rFonts w:ascii="宋体" w:eastAsia="宋体" w:hAnsi="宋体" w:cs="宋体"/>
          <w:spacing w:val="-8"/>
          <w:sz w:val="22"/>
          <w:szCs w:val="22"/>
        </w:rPr>
        <w:t>的参与。核黄素在机体吸</w:t>
      </w:r>
      <w:r>
        <w:rPr>
          <w:rFonts w:ascii="宋体" w:eastAsia="宋体" w:hAnsi="宋体" w:cs="宋体"/>
          <w:spacing w:val="-9"/>
          <w:sz w:val="22"/>
          <w:szCs w:val="22"/>
        </w:rPr>
        <w:t>收量与其摄入量成正比。胃酸及</w:t>
      </w:r>
      <w:r>
        <w:rPr>
          <w:rFonts w:ascii="宋体" w:eastAsia="宋体" w:hAnsi="宋体" w:cs="宋体"/>
          <w:sz w:val="22"/>
          <w:szCs w:val="22"/>
        </w:rPr>
        <w:t xml:space="preserve"> </w:t>
      </w:r>
      <w:r>
        <w:rPr>
          <w:rFonts w:ascii="宋体" w:eastAsia="宋体" w:hAnsi="宋体" w:cs="宋体"/>
          <w:spacing w:val="-13"/>
          <w:sz w:val="22"/>
          <w:szCs w:val="22"/>
        </w:rPr>
        <w:t>胆盐有利于核黄素的释放和吸收，而抗酸剂氢氧化铝和氢氧化镁等则抑制核黄素</w:t>
      </w:r>
      <w:r>
        <w:rPr>
          <w:rFonts w:ascii="宋体" w:eastAsia="宋体" w:hAnsi="宋体" w:cs="宋体"/>
          <w:spacing w:val="13"/>
          <w:sz w:val="22"/>
          <w:szCs w:val="22"/>
        </w:rPr>
        <w:t xml:space="preserve"> </w:t>
      </w:r>
      <w:r>
        <w:rPr>
          <w:rFonts w:ascii="宋体" w:eastAsia="宋体" w:hAnsi="宋体" w:cs="宋体"/>
          <w:spacing w:val="-16"/>
          <w:sz w:val="22"/>
          <w:szCs w:val="22"/>
        </w:rPr>
        <w:t>的吸收；乙醇可干扰核黄素的消化和吸收。</w:t>
      </w:r>
    </w:p>
    <w:p w:rsidR="00EA40A3" w:rsidRDefault="00E86C16">
      <w:pPr>
        <w:spacing w:before="80" w:line="248" w:lineRule="auto"/>
        <w:ind w:firstLine="410"/>
        <w:jc w:val="both"/>
        <w:rPr>
          <w:rFonts w:ascii="宋体" w:eastAsia="宋体" w:hAnsi="宋体" w:cs="宋体"/>
          <w:sz w:val="22"/>
          <w:szCs w:val="22"/>
        </w:rPr>
      </w:pPr>
      <w:r>
        <w:rPr>
          <w:rFonts w:ascii="宋体" w:eastAsia="宋体" w:hAnsi="宋体" w:cs="宋体"/>
          <w:spacing w:val="-4"/>
          <w:sz w:val="22"/>
          <w:szCs w:val="22"/>
        </w:rPr>
        <w:t>核黄素吸收后进入肠黏膜细胞即被磷酸化</w:t>
      </w:r>
      <w:r>
        <w:rPr>
          <w:rFonts w:ascii="宋体" w:eastAsia="宋体" w:hAnsi="宋体" w:cs="宋体"/>
          <w:spacing w:val="-5"/>
          <w:sz w:val="22"/>
          <w:szCs w:val="22"/>
        </w:rPr>
        <w:t>为</w:t>
      </w:r>
      <w:r>
        <w:rPr>
          <w:rFonts w:ascii="宋体" w:eastAsia="宋体" w:hAnsi="宋体" w:cs="宋体"/>
          <w:spacing w:val="-4"/>
          <w:sz w:val="22"/>
          <w:szCs w:val="22"/>
        </w:rPr>
        <w:t>FMN</w:t>
      </w:r>
      <w:r>
        <w:rPr>
          <w:rFonts w:ascii="宋体" w:eastAsia="宋体" w:hAnsi="宋体" w:cs="宋体"/>
          <w:spacing w:val="-5"/>
          <w:sz w:val="22"/>
          <w:szCs w:val="22"/>
        </w:rPr>
        <w:t>,</w:t>
      </w:r>
      <w:r>
        <w:rPr>
          <w:rFonts w:ascii="宋体" w:eastAsia="宋体" w:hAnsi="宋体" w:cs="宋体"/>
          <w:spacing w:val="22"/>
          <w:sz w:val="22"/>
          <w:szCs w:val="22"/>
        </w:rPr>
        <w:t xml:space="preserve">  </w:t>
      </w:r>
      <w:r>
        <w:rPr>
          <w:rFonts w:ascii="宋体" w:eastAsia="宋体" w:hAnsi="宋体" w:cs="宋体"/>
          <w:spacing w:val="-5"/>
          <w:sz w:val="22"/>
          <w:szCs w:val="22"/>
        </w:rPr>
        <w:t>在浆膜面</w:t>
      </w:r>
      <w:r>
        <w:rPr>
          <w:rFonts w:ascii="宋体" w:eastAsia="宋体" w:hAnsi="宋体" w:cs="宋体"/>
          <w:spacing w:val="-4"/>
          <w:sz w:val="22"/>
          <w:szCs w:val="22"/>
        </w:rPr>
        <w:t>FMN</w:t>
      </w:r>
      <w:r>
        <w:rPr>
          <w:rFonts w:ascii="宋体" w:eastAsia="宋体" w:hAnsi="宋体" w:cs="宋体"/>
          <w:spacing w:val="105"/>
          <w:sz w:val="22"/>
          <w:szCs w:val="22"/>
        </w:rPr>
        <w:t xml:space="preserve"> </w:t>
      </w:r>
      <w:r>
        <w:rPr>
          <w:rFonts w:ascii="宋体" w:eastAsia="宋体" w:hAnsi="宋体" w:cs="宋体"/>
          <w:spacing w:val="-5"/>
          <w:sz w:val="22"/>
          <w:szCs w:val="22"/>
        </w:rPr>
        <w:t>再脱磷</w:t>
      </w:r>
      <w:r>
        <w:rPr>
          <w:rFonts w:ascii="宋体" w:eastAsia="宋体" w:hAnsi="宋体" w:cs="宋体"/>
          <w:sz w:val="22"/>
          <w:szCs w:val="22"/>
        </w:rPr>
        <w:t xml:space="preserve">  </w:t>
      </w:r>
      <w:r>
        <w:rPr>
          <w:rFonts w:ascii="宋体" w:eastAsia="宋体" w:hAnsi="宋体" w:cs="宋体"/>
          <w:spacing w:val="-8"/>
          <w:sz w:val="22"/>
          <w:szCs w:val="22"/>
        </w:rPr>
        <w:t>酸化成为游离的核黄素，经门静脉</w:t>
      </w:r>
      <w:r>
        <w:rPr>
          <w:rFonts w:ascii="宋体" w:eastAsia="宋体" w:hAnsi="宋体" w:cs="宋体"/>
          <w:spacing w:val="-9"/>
          <w:sz w:val="22"/>
          <w:szCs w:val="22"/>
        </w:rPr>
        <w:t>到肝脏，在肝脏再转变为</w:t>
      </w:r>
      <w:r>
        <w:rPr>
          <w:rFonts w:ascii="宋体" w:eastAsia="宋体" w:hAnsi="宋体" w:cs="宋体"/>
          <w:spacing w:val="-61"/>
          <w:sz w:val="22"/>
          <w:szCs w:val="22"/>
        </w:rPr>
        <w:t xml:space="preserve"> </w:t>
      </w:r>
      <w:r>
        <w:rPr>
          <w:rFonts w:ascii="宋体" w:eastAsia="宋体" w:hAnsi="宋体" w:cs="宋体"/>
          <w:spacing w:val="-8"/>
          <w:sz w:val="22"/>
          <w:szCs w:val="22"/>
        </w:rPr>
        <w:t>FMN</w:t>
      </w:r>
      <w:r>
        <w:rPr>
          <w:rFonts w:ascii="宋体" w:eastAsia="宋体" w:hAnsi="宋体" w:cs="宋体"/>
          <w:spacing w:val="105"/>
          <w:sz w:val="22"/>
          <w:szCs w:val="22"/>
        </w:rPr>
        <w:t xml:space="preserve"> </w:t>
      </w:r>
      <w:r>
        <w:rPr>
          <w:rFonts w:ascii="宋体" w:eastAsia="宋体" w:hAnsi="宋体" w:cs="宋体"/>
          <w:spacing w:val="-9"/>
          <w:sz w:val="22"/>
          <w:szCs w:val="22"/>
        </w:rPr>
        <w:t>和</w:t>
      </w:r>
      <w:r>
        <w:rPr>
          <w:rFonts w:ascii="宋体" w:eastAsia="宋体" w:hAnsi="宋体" w:cs="宋体"/>
          <w:spacing w:val="-41"/>
          <w:sz w:val="22"/>
          <w:szCs w:val="22"/>
        </w:rPr>
        <w:t xml:space="preserve"> </w:t>
      </w:r>
      <w:r>
        <w:rPr>
          <w:rFonts w:ascii="宋体" w:eastAsia="宋体" w:hAnsi="宋体" w:cs="宋体"/>
          <w:spacing w:val="-8"/>
          <w:sz w:val="22"/>
          <w:szCs w:val="22"/>
        </w:rPr>
        <w:t>FAD</w:t>
      </w:r>
      <w:r>
        <w:rPr>
          <w:rFonts w:ascii="宋体" w:eastAsia="宋体" w:hAnsi="宋体" w:cs="宋体"/>
          <w:spacing w:val="-9"/>
          <w:sz w:val="22"/>
          <w:szCs w:val="22"/>
        </w:rPr>
        <w:t>。</w:t>
      </w:r>
      <w:r>
        <w:rPr>
          <w:rFonts w:ascii="宋体" w:eastAsia="宋体" w:hAnsi="宋体" w:cs="宋体"/>
          <w:spacing w:val="68"/>
          <w:sz w:val="22"/>
          <w:szCs w:val="22"/>
        </w:rPr>
        <w:t xml:space="preserve"> </w:t>
      </w:r>
      <w:r>
        <w:rPr>
          <w:rFonts w:ascii="宋体" w:eastAsia="宋体" w:hAnsi="宋体" w:cs="宋体"/>
          <w:spacing w:val="-9"/>
          <w:sz w:val="22"/>
          <w:szCs w:val="22"/>
        </w:rPr>
        <w:t>核</w:t>
      </w:r>
      <w:r>
        <w:rPr>
          <w:rFonts w:ascii="宋体" w:eastAsia="宋体" w:hAnsi="宋体" w:cs="宋体"/>
          <w:sz w:val="22"/>
          <w:szCs w:val="22"/>
        </w:rPr>
        <w:t xml:space="preserve"> </w:t>
      </w:r>
      <w:r>
        <w:rPr>
          <w:rFonts w:ascii="宋体" w:eastAsia="宋体" w:hAnsi="宋体" w:cs="宋体"/>
          <w:spacing w:val="-13"/>
          <w:sz w:val="22"/>
          <w:szCs w:val="22"/>
        </w:rPr>
        <w:t>黄素在体内大多数以辅酶形式储存于血液、组织中，体内组织储存它</w:t>
      </w:r>
      <w:r>
        <w:rPr>
          <w:rFonts w:ascii="宋体" w:eastAsia="宋体" w:hAnsi="宋体" w:cs="宋体"/>
          <w:spacing w:val="-14"/>
          <w:sz w:val="22"/>
          <w:szCs w:val="22"/>
        </w:rPr>
        <w:t>的能力很有</w:t>
      </w:r>
      <w:r>
        <w:rPr>
          <w:rFonts w:ascii="宋体" w:eastAsia="宋体" w:hAnsi="宋体" w:cs="宋体"/>
          <w:sz w:val="22"/>
          <w:szCs w:val="22"/>
        </w:rPr>
        <w:t xml:space="preserve">  </w:t>
      </w:r>
      <w:r>
        <w:rPr>
          <w:rFonts w:ascii="宋体" w:eastAsia="宋体" w:hAnsi="宋体" w:cs="宋体"/>
          <w:spacing w:val="-13"/>
          <w:sz w:val="22"/>
          <w:szCs w:val="22"/>
        </w:rPr>
        <w:t>限。当人体摄入大量核黄素时，肝、肾中核黄素的量常明显增加，并有一定量以</w:t>
      </w:r>
      <w:r>
        <w:rPr>
          <w:rFonts w:ascii="宋体" w:eastAsia="宋体" w:hAnsi="宋体" w:cs="宋体"/>
          <w:spacing w:val="1"/>
          <w:sz w:val="22"/>
          <w:szCs w:val="22"/>
        </w:rPr>
        <w:t xml:space="preserve">  </w:t>
      </w:r>
      <w:r>
        <w:rPr>
          <w:rFonts w:ascii="宋体" w:eastAsia="宋体" w:hAnsi="宋体" w:cs="宋体"/>
          <w:sz w:val="22"/>
          <w:szCs w:val="22"/>
        </w:rPr>
        <w:t>游离形式从尿中排出。动物试验发现标记的核黄素在24h</w:t>
      </w:r>
      <w:r>
        <w:rPr>
          <w:rFonts w:ascii="宋体" w:eastAsia="宋体" w:hAnsi="宋体" w:cs="宋体"/>
          <w:spacing w:val="-32"/>
          <w:sz w:val="22"/>
          <w:szCs w:val="22"/>
        </w:rPr>
        <w:t xml:space="preserve"> </w:t>
      </w:r>
      <w:r>
        <w:rPr>
          <w:rFonts w:ascii="宋体" w:eastAsia="宋体" w:hAnsi="宋体" w:cs="宋体"/>
          <w:sz w:val="22"/>
          <w:szCs w:val="22"/>
        </w:rPr>
        <w:t xml:space="preserve">内有81%留于体内， </w:t>
      </w:r>
      <w:r>
        <w:rPr>
          <w:rFonts w:ascii="宋体" w:eastAsia="宋体" w:hAnsi="宋体" w:cs="宋体"/>
          <w:spacing w:val="-4"/>
          <w:sz w:val="22"/>
          <w:szCs w:val="22"/>
        </w:rPr>
        <w:t>10%排出于尿，3%于粪便排泄。影响核黄素排泄的因素很多，</w:t>
      </w:r>
      <w:r>
        <w:rPr>
          <w:rFonts w:ascii="宋体" w:eastAsia="宋体" w:hAnsi="宋体" w:cs="宋体"/>
          <w:spacing w:val="-5"/>
          <w:sz w:val="22"/>
          <w:szCs w:val="22"/>
        </w:rPr>
        <w:t>除核黄素的摄人</w:t>
      </w:r>
      <w:r>
        <w:rPr>
          <w:rFonts w:ascii="宋体" w:eastAsia="宋体" w:hAnsi="宋体" w:cs="宋体"/>
          <w:sz w:val="22"/>
          <w:szCs w:val="22"/>
        </w:rPr>
        <w:t xml:space="preserve">  </w:t>
      </w:r>
      <w:r>
        <w:rPr>
          <w:rFonts w:ascii="宋体" w:eastAsia="宋体" w:hAnsi="宋体" w:cs="宋体"/>
          <w:spacing w:val="-7"/>
          <w:sz w:val="22"/>
          <w:szCs w:val="22"/>
        </w:rPr>
        <w:t>量外，当蛋白质的摄入量减少、长期服用核黄素等均会使其排出的量</w:t>
      </w:r>
      <w:r>
        <w:rPr>
          <w:rFonts w:ascii="宋体" w:eastAsia="宋体" w:hAnsi="宋体" w:cs="宋体"/>
          <w:spacing w:val="-8"/>
          <w:sz w:val="22"/>
          <w:szCs w:val="22"/>
        </w:rPr>
        <w:t>增加。此</w:t>
      </w:r>
      <w:r>
        <w:rPr>
          <w:rFonts w:ascii="宋体" w:eastAsia="宋体" w:hAnsi="宋体" w:cs="宋体"/>
          <w:sz w:val="22"/>
          <w:szCs w:val="22"/>
        </w:rPr>
        <w:t xml:space="preserve">  </w:t>
      </w:r>
      <w:r>
        <w:rPr>
          <w:rFonts w:ascii="宋体" w:eastAsia="宋体" w:hAnsi="宋体" w:cs="宋体"/>
          <w:spacing w:val="-4"/>
          <w:sz w:val="22"/>
          <w:szCs w:val="22"/>
        </w:rPr>
        <w:t>外，哺乳动物还通过乳汁排出核黄素，从汗中排出的核黄素约为摄入量的3%</w:t>
      </w:r>
      <w:r>
        <w:rPr>
          <w:rFonts w:ascii="宋体" w:eastAsia="宋体" w:hAnsi="宋体" w:cs="宋体"/>
          <w:spacing w:val="-5"/>
          <w:sz w:val="22"/>
          <w:szCs w:val="22"/>
        </w:rPr>
        <w:t>。</w:t>
      </w:r>
      <w:r>
        <w:rPr>
          <w:rFonts w:ascii="宋体" w:eastAsia="宋体" w:hAnsi="宋体" w:cs="宋体"/>
          <w:sz w:val="22"/>
          <w:szCs w:val="22"/>
        </w:rPr>
        <w:t xml:space="preserve"> </w:t>
      </w:r>
      <w:r>
        <w:rPr>
          <w:rFonts w:ascii="宋体" w:eastAsia="宋体" w:hAnsi="宋体" w:cs="宋体"/>
          <w:spacing w:val="-9"/>
          <w:sz w:val="22"/>
          <w:szCs w:val="22"/>
        </w:rPr>
        <w:t>核黄素在体内耗竭时间为60～180d。</w:t>
      </w:r>
    </w:p>
    <w:p w:rsidR="00EA40A3" w:rsidRDefault="00E86C16">
      <w:pPr>
        <w:spacing w:before="257" w:line="222" w:lineRule="auto"/>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29"/>
          <w:sz w:val="22"/>
          <w:szCs w:val="22"/>
        </w:rPr>
        <w:t xml:space="preserve"> </w:t>
      </w:r>
      <w:r>
        <w:rPr>
          <w:rFonts w:ascii="仿宋" w:eastAsia="仿宋" w:hAnsi="仿宋" w:cs="仿宋"/>
          <w:spacing w:val="8"/>
          <w:sz w:val="22"/>
          <w:szCs w:val="22"/>
        </w:rPr>
        <w:t>维生素</w:t>
      </w:r>
      <w:r>
        <w:rPr>
          <w:rFonts w:ascii="仿宋" w:eastAsia="仿宋" w:hAnsi="仿宋" w:cs="仿宋"/>
          <w:spacing w:val="-63"/>
          <w:sz w:val="22"/>
          <w:szCs w:val="22"/>
        </w:rPr>
        <w:t xml:space="preserve"> </w:t>
      </w:r>
      <w:r>
        <w:rPr>
          <w:rFonts w:ascii="仿宋" w:eastAsia="仿宋" w:hAnsi="仿宋" w:cs="仿宋"/>
          <w:spacing w:val="8"/>
          <w:sz w:val="22"/>
          <w:szCs w:val="22"/>
        </w:rPr>
        <w:t>B</w:t>
      </w:r>
      <w:r>
        <w:rPr>
          <w:rFonts w:ascii="Calibri" w:eastAsia="Calibri" w:hAnsi="Calibri" w:cs="Calibri"/>
          <w:spacing w:val="8"/>
          <w:sz w:val="22"/>
          <w:szCs w:val="22"/>
        </w:rPr>
        <w:t>₂</w:t>
      </w:r>
      <w:r>
        <w:rPr>
          <w:rFonts w:ascii="Calibri" w:eastAsia="Calibri" w:hAnsi="Calibri" w:cs="Calibri"/>
          <w:spacing w:val="19"/>
          <w:w w:val="101"/>
          <w:sz w:val="22"/>
          <w:szCs w:val="22"/>
        </w:rPr>
        <w:t xml:space="preserve">  </w:t>
      </w:r>
      <w:r>
        <w:rPr>
          <w:rFonts w:ascii="仿宋" w:eastAsia="仿宋" w:hAnsi="仿宋" w:cs="仿宋"/>
          <w:spacing w:val="8"/>
          <w:sz w:val="22"/>
          <w:szCs w:val="22"/>
        </w:rPr>
        <w:t>生理功能</w:t>
      </w:r>
    </w:p>
    <w:p w:rsidR="00EA40A3" w:rsidRDefault="00E86C16">
      <w:pPr>
        <w:spacing w:before="189" w:line="243" w:lineRule="auto"/>
        <w:ind w:right="20" w:firstLine="410"/>
        <w:rPr>
          <w:rFonts w:ascii="宋体" w:eastAsia="宋体" w:hAnsi="宋体" w:cs="宋体"/>
          <w:sz w:val="22"/>
          <w:szCs w:val="22"/>
        </w:rPr>
      </w:pPr>
      <w:r>
        <w:rPr>
          <w:rFonts w:ascii="宋体" w:eastAsia="宋体" w:hAnsi="宋体" w:cs="宋体"/>
          <w:spacing w:val="-6"/>
          <w:sz w:val="22"/>
          <w:szCs w:val="22"/>
        </w:rPr>
        <w:t>(1)参与体内生物氧化与能量代谢。核黄素的主要功能是作为辅酶FMN</w:t>
      </w:r>
      <w:r>
        <w:rPr>
          <w:rFonts w:ascii="宋体" w:eastAsia="宋体" w:hAnsi="宋体" w:cs="宋体"/>
          <w:spacing w:val="113"/>
          <w:sz w:val="22"/>
          <w:szCs w:val="22"/>
        </w:rPr>
        <w:t xml:space="preserve"> </w:t>
      </w:r>
      <w:r>
        <w:rPr>
          <w:rFonts w:ascii="宋体" w:eastAsia="宋体" w:hAnsi="宋体" w:cs="宋体"/>
          <w:spacing w:val="-6"/>
          <w:sz w:val="22"/>
          <w:szCs w:val="22"/>
        </w:rPr>
        <w:t>和</w:t>
      </w:r>
      <w:r>
        <w:rPr>
          <w:rFonts w:ascii="宋体" w:eastAsia="宋体" w:hAnsi="宋体" w:cs="宋体"/>
          <w:sz w:val="22"/>
          <w:szCs w:val="22"/>
        </w:rPr>
        <w:t xml:space="preserve"> </w:t>
      </w:r>
      <w:r>
        <w:rPr>
          <w:rFonts w:ascii="宋体" w:eastAsia="宋体" w:hAnsi="宋体" w:cs="宋体"/>
          <w:spacing w:val="-6"/>
          <w:sz w:val="22"/>
          <w:szCs w:val="22"/>
        </w:rPr>
        <w:t>FAD</w:t>
      </w:r>
      <w:r>
        <w:rPr>
          <w:rFonts w:ascii="宋体" w:eastAsia="宋体" w:hAnsi="宋体" w:cs="宋体"/>
          <w:spacing w:val="48"/>
          <w:sz w:val="22"/>
          <w:szCs w:val="22"/>
        </w:rPr>
        <w:t xml:space="preserve"> </w:t>
      </w:r>
      <w:r>
        <w:rPr>
          <w:rFonts w:ascii="宋体" w:eastAsia="宋体" w:hAnsi="宋体" w:cs="宋体"/>
          <w:spacing w:val="-6"/>
          <w:sz w:val="22"/>
          <w:szCs w:val="22"/>
        </w:rPr>
        <w:t>以及共价键结合的黄素的前体，是体内多种氧化酶系统不可缺少的辅酶，</w:t>
      </w:r>
      <w:r>
        <w:rPr>
          <w:rFonts w:ascii="宋体" w:eastAsia="宋体" w:hAnsi="宋体" w:cs="宋体"/>
          <w:sz w:val="22"/>
          <w:szCs w:val="22"/>
        </w:rPr>
        <w:t xml:space="preserve"> </w:t>
      </w:r>
      <w:r>
        <w:rPr>
          <w:rFonts w:ascii="宋体" w:eastAsia="宋体" w:hAnsi="宋体" w:cs="宋体"/>
          <w:spacing w:val="-13"/>
          <w:sz w:val="22"/>
          <w:szCs w:val="22"/>
        </w:rPr>
        <w:t>可催化许多氧化还原反应。除在呼吸链能量产生中发挥极其重要作用外，还有羟</w:t>
      </w:r>
      <w:r>
        <w:rPr>
          <w:rFonts w:ascii="宋体" w:eastAsia="宋体" w:hAnsi="宋体" w:cs="宋体"/>
          <w:spacing w:val="11"/>
          <w:sz w:val="22"/>
          <w:szCs w:val="22"/>
        </w:rPr>
        <w:t xml:space="preserve"> </w:t>
      </w:r>
      <w:r>
        <w:rPr>
          <w:rFonts w:ascii="宋体" w:eastAsia="宋体" w:hAnsi="宋体" w:cs="宋体"/>
          <w:spacing w:val="-14"/>
          <w:sz w:val="22"/>
          <w:szCs w:val="22"/>
        </w:rPr>
        <w:t>化作用、氧化脱羧作用、双加氧作用和将氧还原成过氧化氢等作用。</w:t>
      </w:r>
    </w:p>
    <w:p w:rsidR="00EA40A3" w:rsidRDefault="00E86C16">
      <w:pPr>
        <w:spacing w:before="39" w:line="233" w:lineRule="auto"/>
        <w:ind w:right="80" w:firstLine="410"/>
        <w:rPr>
          <w:rFonts w:ascii="宋体" w:eastAsia="宋体" w:hAnsi="宋体" w:cs="宋体"/>
          <w:sz w:val="22"/>
          <w:szCs w:val="22"/>
        </w:rPr>
      </w:pPr>
      <w:r>
        <w:rPr>
          <w:rFonts w:ascii="宋体" w:eastAsia="宋体" w:hAnsi="宋体" w:cs="宋体"/>
          <w:spacing w:val="-7"/>
          <w:sz w:val="22"/>
          <w:szCs w:val="22"/>
        </w:rPr>
        <w:t>(2)参与维生素B</w:t>
      </w:r>
      <w:r>
        <w:rPr>
          <w:rFonts w:ascii="Calibri" w:eastAsia="Calibri" w:hAnsi="Calibri" w:cs="Calibri"/>
          <w:spacing w:val="-7"/>
          <w:sz w:val="22"/>
          <w:szCs w:val="22"/>
        </w:rPr>
        <w:t>₁</w:t>
      </w:r>
      <w:r>
        <w:rPr>
          <w:rFonts w:ascii="Calibri" w:eastAsia="Calibri" w:hAnsi="Calibri" w:cs="Calibri"/>
          <w:spacing w:val="4"/>
          <w:sz w:val="22"/>
          <w:szCs w:val="22"/>
        </w:rPr>
        <w:t xml:space="preserve">  </w:t>
      </w:r>
      <w:r>
        <w:rPr>
          <w:rFonts w:ascii="宋体" w:eastAsia="宋体" w:hAnsi="宋体" w:cs="宋体"/>
          <w:spacing w:val="-7"/>
          <w:sz w:val="22"/>
          <w:szCs w:val="22"/>
        </w:rPr>
        <w:t>和烟酸代谢。</w:t>
      </w:r>
      <w:r>
        <w:rPr>
          <w:rFonts w:ascii="宋体" w:eastAsia="宋体" w:hAnsi="宋体" w:cs="宋体"/>
          <w:spacing w:val="1"/>
          <w:sz w:val="22"/>
          <w:szCs w:val="22"/>
        </w:rPr>
        <w:t xml:space="preserve"> </w:t>
      </w:r>
      <w:r>
        <w:rPr>
          <w:rFonts w:ascii="宋体" w:eastAsia="宋体" w:hAnsi="宋体" w:cs="宋体"/>
          <w:spacing w:val="-7"/>
          <w:sz w:val="22"/>
          <w:szCs w:val="22"/>
        </w:rPr>
        <w:t>FAD</w:t>
      </w:r>
      <w:r>
        <w:rPr>
          <w:rFonts w:ascii="宋体" w:eastAsia="宋体" w:hAnsi="宋体" w:cs="宋体"/>
          <w:spacing w:val="66"/>
          <w:sz w:val="22"/>
          <w:szCs w:val="22"/>
        </w:rPr>
        <w:t xml:space="preserve"> </w:t>
      </w:r>
      <w:r>
        <w:rPr>
          <w:rFonts w:ascii="宋体" w:eastAsia="宋体" w:hAnsi="宋体" w:cs="宋体"/>
          <w:spacing w:val="-7"/>
          <w:sz w:val="22"/>
          <w:szCs w:val="22"/>
        </w:rPr>
        <w:t>和</w:t>
      </w:r>
      <w:r>
        <w:rPr>
          <w:rFonts w:ascii="宋体" w:eastAsia="宋体" w:hAnsi="宋体" w:cs="宋体"/>
          <w:spacing w:val="-51"/>
          <w:sz w:val="22"/>
          <w:szCs w:val="22"/>
        </w:rPr>
        <w:t xml:space="preserve"> </w:t>
      </w:r>
      <w:r>
        <w:rPr>
          <w:rFonts w:ascii="宋体" w:eastAsia="宋体" w:hAnsi="宋体" w:cs="宋体"/>
          <w:spacing w:val="-7"/>
          <w:sz w:val="22"/>
          <w:szCs w:val="22"/>
        </w:rPr>
        <w:t>FMN</w:t>
      </w:r>
      <w:r>
        <w:rPr>
          <w:rFonts w:ascii="宋体" w:eastAsia="宋体" w:hAnsi="宋体" w:cs="宋体"/>
          <w:spacing w:val="105"/>
          <w:sz w:val="22"/>
          <w:szCs w:val="22"/>
        </w:rPr>
        <w:t xml:space="preserve"> </w:t>
      </w:r>
      <w:r>
        <w:rPr>
          <w:rFonts w:ascii="宋体" w:eastAsia="宋体" w:hAnsi="宋体" w:cs="宋体"/>
          <w:spacing w:val="-7"/>
          <w:sz w:val="22"/>
          <w:szCs w:val="22"/>
        </w:rPr>
        <w:t>分别</w:t>
      </w:r>
      <w:r>
        <w:rPr>
          <w:rFonts w:ascii="宋体" w:eastAsia="宋体" w:hAnsi="宋体" w:cs="宋体"/>
          <w:spacing w:val="-8"/>
          <w:sz w:val="22"/>
          <w:szCs w:val="22"/>
        </w:rPr>
        <w:t>作为辅酶参与色氨酸转</w:t>
      </w:r>
      <w:r>
        <w:rPr>
          <w:rFonts w:ascii="宋体" w:eastAsia="宋体" w:hAnsi="宋体" w:cs="宋体"/>
          <w:sz w:val="22"/>
          <w:szCs w:val="22"/>
        </w:rPr>
        <w:t xml:space="preserve"> </w:t>
      </w:r>
      <w:r>
        <w:rPr>
          <w:rFonts w:ascii="宋体" w:eastAsia="宋体" w:hAnsi="宋体" w:cs="宋体"/>
          <w:spacing w:val="-11"/>
          <w:sz w:val="22"/>
          <w:szCs w:val="22"/>
        </w:rPr>
        <w:t>化为烟酸、维生素</w:t>
      </w:r>
      <w:r>
        <w:rPr>
          <w:rFonts w:ascii="宋体" w:eastAsia="宋体" w:hAnsi="宋体" w:cs="宋体"/>
          <w:spacing w:val="-55"/>
          <w:sz w:val="22"/>
          <w:szCs w:val="22"/>
        </w:rPr>
        <w:t xml:space="preserve"> </w:t>
      </w:r>
      <w:r>
        <w:rPr>
          <w:rFonts w:ascii="宋体" w:eastAsia="宋体" w:hAnsi="宋体" w:cs="宋体"/>
          <w:spacing w:val="-11"/>
          <w:sz w:val="22"/>
          <w:szCs w:val="22"/>
        </w:rPr>
        <w:t>B,转化为磷酸吡哆醛的过程。</w:t>
      </w:r>
    </w:p>
    <w:p w:rsidR="00EA40A3" w:rsidRDefault="00E86C16">
      <w:pPr>
        <w:spacing w:before="43" w:line="245" w:lineRule="auto"/>
        <w:ind w:right="20" w:firstLine="410"/>
        <w:rPr>
          <w:rFonts w:ascii="宋体" w:eastAsia="宋体" w:hAnsi="宋体" w:cs="宋体"/>
          <w:sz w:val="22"/>
          <w:szCs w:val="22"/>
        </w:rPr>
      </w:pPr>
      <w:r>
        <w:rPr>
          <w:rFonts w:ascii="宋体" w:eastAsia="宋体" w:hAnsi="宋体" w:cs="宋体"/>
          <w:spacing w:val="-6"/>
          <w:sz w:val="22"/>
          <w:szCs w:val="22"/>
        </w:rPr>
        <w:t>(3)参与抗氧化和药物代谢。谷胱甘肽还原酶是需要</w:t>
      </w:r>
      <w:r>
        <w:rPr>
          <w:rFonts w:ascii="宋体" w:eastAsia="宋体" w:hAnsi="宋体" w:cs="宋体"/>
          <w:spacing w:val="-62"/>
          <w:sz w:val="22"/>
          <w:szCs w:val="22"/>
        </w:rPr>
        <w:t xml:space="preserve"> </w:t>
      </w:r>
      <w:r>
        <w:rPr>
          <w:rFonts w:ascii="宋体" w:eastAsia="宋体" w:hAnsi="宋体" w:cs="宋体"/>
          <w:spacing w:val="-6"/>
          <w:sz w:val="22"/>
          <w:szCs w:val="22"/>
        </w:rPr>
        <w:t>FAD</w:t>
      </w:r>
      <w:r>
        <w:rPr>
          <w:rFonts w:ascii="宋体" w:eastAsia="宋体" w:hAnsi="宋体" w:cs="宋体"/>
          <w:spacing w:val="55"/>
          <w:sz w:val="22"/>
          <w:szCs w:val="22"/>
        </w:rPr>
        <w:t xml:space="preserve"> </w:t>
      </w:r>
      <w:r>
        <w:rPr>
          <w:rFonts w:ascii="宋体" w:eastAsia="宋体" w:hAnsi="宋体" w:cs="宋体"/>
          <w:spacing w:val="-6"/>
          <w:sz w:val="22"/>
          <w:szCs w:val="22"/>
        </w:rPr>
        <w:t>的一种酶，谷</w:t>
      </w:r>
      <w:r>
        <w:rPr>
          <w:rFonts w:ascii="宋体" w:eastAsia="宋体" w:hAnsi="宋体" w:cs="宋体"/>
          <w:spacing w:val="-7"/>
          <w:sz w:val="22"/>
          <w:szCs w:val="22"/>
        </w:rPr>
        <w:t>胱</w:t>
      </w:r>
      <w:r>
        <w:rPr>
          <w:rFonts w:ascii="宋体" w:eastAsia="宋体" w:hAnsi="宋体" w:cs="宋体"/>
          <w:sz w:val="22"/>
          <w:szCs w:val="22"/>
        </w:rPr>
        <w:t xml:space="preserve"> </w:t>
      </w:r>
      <w:r>
        <w:rPr>
          <w:rFonts w:ascii="宋体" w:eastAsia="宋体" w:hAnsi="宋体" w:cs="宋体"/>
          <w:spacing w:val="-13"/>
          <w:sz w:val="22"/>
          <w:szCs w:val="22"/>
        </w:rPr>
        <w:t>甘肽的氧化还原循环提供了一种能预防脂质过氧化作用的重要</w:t>
      </w:r>
      <w:r>
        <w:rPr>
          <w:rFonts w:ascii="宋体" w:eastAsia="宋体" w:hAnsi="宋体" w:cs="宋体"/>
          <w:spacing w:val="-14"/>
          <w:sz w:val="22"/>
          <w:szCs w:val="22"/>
        </w:rPr>
        <w:t>功能。谷胱甘肽过</w:t>
      </w:r>
      <w:r>
        <w:rPr>
          <w:rFonts w:ascii="宋体" w:eastAsia="宋体" w:hAnsi="宋体" w:cs="宋体"/>
          <w:sz w:val="22"/>
          <w:szCs w:val="22"/>
        </w:rPr>
        <w:t xml:space="preserve"> </w:t>
      </w:r>
      <w:r>
        <w:rPr>
          <w:rFonts w:ascii="宋体" w:eastAsia="宋体" w:hAnsi="宋体" w:cs="宋体"/>
          <w:spacing w:val="-13"/>
          <w:sz w:val="22"/>
          <w:szCs w:val="22"/>
        </w:rPr>
        <w:t>氧化物酶可破坏脂质过氧化物，这种作用需要还原型谷胱甘肽，后者</w:t>
      </w:r>
      <w:r>
        <w:rPr>
          <w:rFonts w:ascii="宋体" w:eastAsia="宋体" w:hAnsi="宋体" w:cs="宋体"/>
          <w:spacing w:val="-14"/>
          <w:sz w:val="22"/>
          <w:szCs w:val="22"/>
        </w:rPr>
        <w:t>又需要由谷</w:t>
      </w:r>
      <w:r>
        <w:rPr>
          <w:rFonts w:ascii="宋体" w:eastAsia="宋体" w:hAnsi="宋体" w:cs="宋体"/>
          <w:sz w:val="22"/>
          <w:szCs w:val="22"/>
        </w:rPr>
        <w:t xml:space="preserve"> </w:t>
      </w:r>
      <w:r>
        <w:rPr>
          <w:rFonts w:ascii="宋体" w:eastAsia="宋体" w:hAnsi="宋体" w:cs="宋体"/>
          <w:spacing w:val="-6"/>
          <w:sz w:val="22"/>
          <w:szCs w:val="22"/>
        </w:rPr>
        <w:t>胱甘肽还原酶所生产，由核黄素形成的FAD</w:t>
      </w:r>
      <w:r>
        <w:rPr>
          <w:rFonts w:ascii="宋体" w:eastAsia="宋体" w:hAnsi="宋体" w:cs="宋体"/>
          <w:spacing w:val="55"/>
          <w:sz w:val="22"/>
          <w:szCs w:val="22"/>
        </w:rPr>
        <w:t xml:space="preserve"> </w:t>
      </w:r>
      <w:r>
        <w:rPr>
          <w:rFonts w:ascii="宋体" w:eastAsia="宋体" w:hAnsi="宋体" w:cs="宋体"/>
          <w:spacing w:val="-6"/>
          <w:sz w:val="22"/>
          <w:szCs w:val="22"/>
        </w:rPr>
        <w:t>被谷胱甘肽还原酶及</w:t>
      </w:r>
      <w:r>
        <w:rPr>
          <w:rFonts w:ascii="宋体" w:eastAsia="宋体" w:hAnsi="宋体" w:cs="宋体"/>
          <w:spacing w:val="-7"/>
          <w:sz w:val="22"/>
          <w:szCs w:val="22"/>
        </w:rPr>
        <w:t>其辅酶利用，</w:t>
      </w:r>
      <w:r>
        <w:rPr>
          <w:rFonts w:ascii="宋体" w:eastAsia="宋体" w:hAnsi="宋体" w:cs="宋体"/>
          <w:sz w:val="22"/>
          <w:szCs w:val="22"/>
        </w:rPr>
        <w:t xml:space="preserve"> </w:t>
      </w:r>
      <w:r>
        <w:rPr>
          <w:rFonts w:ascii="宋体" w:eastAsia="宋体" w:hAnsi="宋体" w:cs="宋体"/>
          <w:spacing w:val="-7"/>
          <w:sz w:val="22"/>
          <w:szCs w:val="22"/>
        </w:rPr>
        <w:t>并有利于稳定其结构。核黄素缺乏伴有脂质过氧化增强，而核黄素能</w:t>
      </w:r>
      <w:r>
        <w:rPr>
          <w:rFonts w:ascii="宋体" w:eastAsia="宋体" w:hAnsi="宋体" w:cs="宋体"/>
          <w:spacing w:val="-8"/>
          <w:sz w:val="22"/>
          <w:szCs w:val="22"/>
        </w:rPr>
        <w:t>抑制该过</w:t>
      </w:r>
      <w:r>
        <w:rPr>
          <w:rFonts w:ascii="宋体" w:eastAsia="宋体" w:hAnsi="宋体" w:cs="宋体"/>
          <w:sz w:val="22"/>
          <w:szCs w:val="22"/>
        </w:rPr>
        <w:t xml:space="preserve"> </w:t>
      </w:r>
      <w:r>
        <w:rPr>
          <w:rFonts w:ascii="宋体" w:eastAsia="宋体" w:hAnsi="宋体" w:cs="宋体"/>
          <w:spacing w:val="-10"/>
          <w:sz w:val="22"/>
          <w:szCs w:val="22"/>
        </w:rPr>
        <w:t>程。FAD</w:t>
      </w:r>
      <w:r>
        <w:rPr>
          <w:rFonts w:ascii="宋体" w:eastAsia="宋体" w:hAnsi="宋体" w:cs="宋体"/>
          <w:spacing w:val="72"/>
          <w:sz w:val="22"/>
          <w:szCs w:val="22"/>
        </w:rPr>
        <w:t xml:space="preserve"> </w:t>
      </w:r>
      <w:r>
        <w:rPr>
          <w:rFonts w:ascii="宋体" w:eastAsia="宋体" w:hAnsi="宋体" w:cs="宋体"/>
          <w:spacing w:val="-10"/>
          <w:sz w:val="22"/>
          <w:szCs w:val="22"/>
        </w:rPr>
        <w:t>还可以与细胞色素</w:t>
      </w:r>
      <w:r>
        <w:rPr>
          <w:rFonts w:ascii="宋体" w:eastAsia="宋体" w:hAnsi="宋体" w:cs="宋体"/>
          <w:spacing w:val="-60"/>
          <w:sz w:val="22"/>
          <w:szCs w:val="22"/>
        </w:rPr>
        <w:t xml:space="preserve"> </w:t>
      </w:r>
      <w:r>
        <w:rPr>
          <w:rFonts w:ascii="宋体" w:eastAsia="宋体" w:hAnsi="宋体" w:cs="宋体"/>
          <w:spacing w:val="-10"/>
          <w:sz w:val="22"/>
          <w:szCs w:val="22"/>
        </w:rPr>
        <w:t>p450结合，参与药物代谢。</w:t>
      </w:r>
    </w:p>
    <w:p w:rsidR="00EA40A3" w:rsidRDefault="00E86C16">
      <w:pPr>
        <w:spacing w:before="139" w:line="236" w:lineRule="auto"/>
        <w:ind w:right="101" w:firstLine="410"/>
        <w:rPr>
          <w:rFonts w:ascii="宋体" w:eastAsia="宋体" w:hAnsi="宋体" w:cs="宋体"/>
          <w:sz w:val="22"/>
          <w:szCs w:val="22"/>
        </w:rPr>
      </w:pPr>
      <w:r>
        <w:rPr>
          <w:rFonts w:ascii="宋体" w:eastAsia="宋体" w:hAnsi="宋体" w:cs="宋体"/>
          <w:spacing w:val="-13"/>
          <w:sz w:val="22"/>
          <w:szCs w:val="22"/>
        </w:rPr>
        <w:t>另外，核黄素还与体内铁的吸收、储存与动员有关；具有利尿、防癌</w:t>
      </w:r>
      <w:r>
        <w:rPr>
          <w:rFonts w:ascii="宋体" w:eastAsia="宋体" w:hAnsi="宋体" w:cs="宋体"/>
          <w:spacing w:val="-14"/>
          <w:sz w:val="22"/>
          <w:szCs w:val="22"/>
        </w:rPr>
        <w:t>、降血</w:t>
      </w:r>
      <w:r>
        <w:rPr>
          <w:rFonts w:ascii="宋体" w:eastAsia="宋体" w:hAnsi="宋体" w:cs="宋体"/>
          <w:sz w:val="22"/>
          <w:szCs w:val="22"/>
        </w:rPr>
        <w:t xml:space="preserve"> </w:t>
      </w:r>
      <w:r>
        <w:rPr>
          <w:rFonts w:ascii="宋体" w:eastAsia="宋体" w:hAnsi="宋体" w:cs="宋体"/>
          <w:spacing w:val="-14"/>
          <w:sz w:val="22"/>
          <w:szCs w:val="22"/>
        </w:rPr>
        <w:t>脂、维持哺乳动物正常生殖功能和改善心功能等作用。</w:t>
      </w:r>
    </w:p>
    <w:p w:rsidR="00EA40A3" w:rsidRDefault="00E86C16">
      <w:pPr>
        <w:spacing w:before="186" w:line="222" w:lineRule="auto"/>
        <w:rPr>
          <w:rFonts w:ascii="仿宋" w:eastAsia="仿宋" w:hAnsi="仿宋" w:cs="仿宋"/>
          <w:sz w:val="22"/>
          <w:szCs w:val="22"/>
        </w:rPr>
      </w:pPr>
      <w:r>
        <w:rPr>
          <w:rFonts w:ascii="仿宋" w:eastAsia="仿宋" w:hAnsi="仿宋" w:cs="仿宋"/>
          <w:spacing w:val="7"/>
          <w:sz w:val="22"/>
          <w:szCs w:val="22"/>
        </w:rPr>
        <w:t>4.</w:t>
      </w:r>
      <w:r>
        <w:rPr>
          <w:rFonts w:ascii="仿宋" w:eastAsia="仿宋" w:hAnsi="仿宋" w:cs="仿宋"/>
          <w:spacing w:val="-41"/>
          <w:sz w:val="22"/>
          <w:szCs w:val="22"/>
        </w:rPr>
        <w:t xml:space="preserve"> </w:t>
      </w:r>
      <w:r>
        <w:rPr>
          <w:rFonts w:ascii="仿宋" w:eastAsia="仿宋" w:hAnsi="仿宋" w:cs="仿宋"/>
          <w:spacing w:val="7"/>
          <w:sz w:val="22"/>
          <w:szCs w:val="22"/>
        </w:rPr>
        <w:t>维生素</w:t>
      </w:r>
      <w:r>
        <w:rPr>
          <w:rFonts w:ascii="仿宋" w:eastAsia="仿宋" w:hAnsi="仿宋" w:cs="仿宋"/>
          <w:spacing w:val="-64"/>
          <w:sz w:val="22"/>
          <w:szCs w:val="22"/>
        </w:rPr>
        <w:t xml:space="preserve"> </w:t>
      </w:r>
      <w:r>
        <w:rPr>
          <w:rFonts w:ascii="仿宋" w:eastAsia="仿宋" w:hAnsi="仿宋" w:cs="仿宋"/>
          <w:spacing w:val="7"/>
          <w:sz w:val="22"/>
          <w:szCs w:val="22"/>
        </w:rPr>
        <w:t>B</w:t>
      </w:r>
      <w:r>
        <w:rPr>
          <w:rFonts w:ascii="Calibri" w:eastAsia="Calibri" w:hAnsi="Calibri" w:cs="Calibri"/>
          <w:spacing w:val="7"/>
          <w:sz w:val="22"/>
          <w:szCs w:val="22"/>
        </w:rPr>
        <w:t>₂</w:t>
      </w:r>
      <w:r>
        <w:rPr>
          <w:rFonts w:ascii="Calibri" w:eastAsia="Calibri" w:hAnsi="Calibri" w:cs="Calibri"/>
          <w:spacing w:val="10"/>
          <w:sz w:val="22"/>
          <w:szCs w:val="22"/>
        </w:rPr>
        <w:t xml:space="preserve">  </w:t>
      </w:r>
      <w:r>
        <w:rPr>
          <w:rFonts w:ascii="仿宋" w:eastAsia="仿宋" w:hAnsi="仿宋" w:cs="仿宋"/>
          <w:spacing w:val="7"/>
          <w:sz w:val="22"/>
          <w:szCs w:val="22"/>
        </w:rPr>
        <w:t>缺乏症</w:t>
      </w:r>
    </w:p>
    <w:p w:rsidR="00EA40A3" w:rsidRDefault="00E86C16">
      <w:pPr>
        <w:spacing w:before="206" w:line="241" w:lineRule="auto"/>
        <w:ind w:right="93" w:firstLine="410"/>
        <w:jc w:val="both"/>
        <w:rPr>
          <w:rFonts w:ascii="宋体" w:eastAsia="宋体" w:hAnsi="宋体" w:cs="宋体"/>
          <w:sz w:val="22"/>
          <w:szCs w:val="22"/>
        </w:rPr>
      </w:pPr>
      <w:r>
        <w:rPr>
          <w:rFonts w:ascii="宋体" w:eastAsia="宋体" w:hAnsi="宋体" w:cs="宋体"/>
          <w:spacing w:val="-13"/>
          <w:sz w:val="22"/>
          <w:szCs w:val="22"/>
        </w:rPr>
        <w:t>摄入不足和酗酒是核黄素缺乏的主要原因。乙醇可通过干扰核黄素的消化和</w:t>
      </w:r>
      <w:r>
        <w:rPr>
          <w:rFonts w:ascii="宋体" w:eastAsia="宋体" w:hAnsi="宋体" w:cs="宋体"/>
          <w:spacing w:val="4"/>
          <w:sz w:val="22"/>
          <w:szCs w:val="22"/>
        </w:rPr>
        <w:t xml:space="preserve"> </w:t>
      </w:r>
      <w:r>
        <w:rPr>
          <w:rFonts w:ascii="宋体" w:eastAsia="宋体" w:hAnsi="宋体" w:cs="宋体"/>
          <w:spacing w:val="-13"/>
          <w:sz w:val="22"/>
          <w:szCs w:val="22"/>
        </w:rPr>
        <w:t>肠吸收而引起核黄素缺乏。某些药物如治疗精神病的丙嗪、丙咪</w:t>
      </w:r>
      <w:r>
        <w:rPr>
          <w:rFonts w:ascii="宋体" w:eastAsia="宋体" w:hAnsi="宋体" w:cs="宋体"/>
          <w:spacing w:val="-14"/>
          <w:sz w:val="22"/>
          <w:szCs w:val="22"/>
        </w:rPr>
        <w:t>嗪，抗癌药多柔</w:t>
      </w:r>
      <w:r>
        <w:rPr>
          <w:rFonts w:ascii="宋体" w:eastAsia="宋体" w:hAnsi="宋体" w:cs="宋体"/>
          <w:sz w:val="22"/>
          <w:szCs w:val="22"/>
        </w:rPr>
        <w:t xml:space="preserve"> </w:t>
      </w:r>
      <w:r>
        <w:rPr>
          <w:rFonts w:ascii="宋体" w:eastAsia="宋体" w:hAnsi="宋体" w:cs="宋体"/>
          <w:spacing w:val="-13"/>
          <w:sz w:val="22"/>
          <w:szCs w:val="22"/>
        </w:rPr>
        <w:t>比星，抗疟药米帕林等可抑制核黄素转化，长期服用也会造成缺乏症</w:t>
      </w:r>
      <w:r>
        <w:rPr>
          <w:rFonts w:ascii="宋体" w:eastAsia="宋体" w:hAnsi="宋体" w:cs="宋体"/>
          <w:spacing w:val="-14"/>
          <w:sz w:val="22"/>
          <w:szCs w:val="22"/>
        </w:rPr>
        <w:t>。内分泌失</w:t>
      </w:r>
    </w:p>
    <w:p w:rsidR="00EA40A3" w:rsidRDefault="00E86C16">
      <w:pPr>
        <w:spacing w:before="84"/>
        <w:ind w:left="130"/>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134</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footerReference w:type="default" r:id="rId105"/>
          <w:pgSz w:w="9220" w:h="13360"/>
          <w:pgMar w:top="400" w:right="1080" w:bottom="400" w:left="800" w:header="0" w:footer="0" w:gutter="0"/>
          <w:cols w:space="720"/>
        </w:sectPr>
      </w:pPr>
    </w:p>
    <w:p w:rsidR="00EA40A3" w:rsidRDefault="00EA40A3">
      <w:pPr>
        <w:spacing w:line="281" w:lineRule="auto"/>
      </w:pPr>
    </w:p>
    <w:p w:rsidR="00EA40A3" w:rsidRDefault="00EA40A3">
      <w:pPr>
        <w:spacing w:line="282" w:lineRule="auto"/>
      </w:pPr>
    </w:p>
    <w:p w:rsidR="00EA40A3" w:rsidRDefault="00E86C16">
      <w:pPr>
        <w:spacing w:before="71" w:line="250" w:lineRule="auto"/>
        <w:ind w:right="20" w:firstLine="109"/>
        <w:jc w:val="both"/>
        <w:rPr>
          <w:rFonts w:ascii="宋体" w:eastAsia="宋体" w:hAnsi="宋体" w:cs="宋体"/>
          <w:sz w:val="22"/>
          <w:szCs w:val="22"/>
        </w:rPr>
      </w:pPr>
      <w:r>
        <w:rPr>
          <w:rFonts w:ascii="宋体" w:eastAsia="宋体" w:hAnsi="宋体" w:cs="宋体"/>
          <w:spacing w:val="-11"/>
          <w:sz w:val="22"/>
          <w:szCs w:val="22"/>
        </w:rPr>
        <w:t>调也会干扰维生素的利用。由于核黄素辅酶参与叶酸、吡哆醛、尼克酸的代谢，</w:t>
      </w:r>
      <w:r>
        <w:rPr>
          <w:rFonts w:ascii="宋体" w:eastAsia="宋体" w:hAnsi="宋体" w:cs="宋体"/>
          <w:spacing w:val="13"/>
          <w:sz w:val="22"/>
          <w:szCs w:val="22"/>
        </w:rPr>
        <w:t xml:space="preserve"> </w:t>
      </w:r>
      <w:r>
        <w:rPr>
          <w:rFonts w:ascii="宋体" w:eastAsia="宋体" w:hAnsi="宋体" w:cs="宋体"/>
          <w:spacing w:val="-3"/>
          <w:sz w:val="22"/>
          <w:szCs w:val="22"/>
        </w:rPr>
        <w:t>因此在缺乏时常常混杂有其他B</w:t>
      </w:r>
      <w:r>
        <w:rPr>
          <w:rFonts w:ascii="宋体" w:eastAsia="宋体" w:hAnsi="宋体" w:cs="宋体"/>
          <w:spacing w:val="-21"/>
          <w:sz w:val="22"/>
          <w:szCs w:val="22"/>
        </w:rPr>
        <w:t xml:space="preserve"> </w:t>
      </w:r>
      <w:r>
        <w:rPr>
          <w:rFonts w:ascii="宋体" w:eastAsia="宋体" w:hAnsi="宋体" w:cs="宋体"/>
          <w:spacing w:val="-3"/>
          <w:sz w:val="22"/>
          <w:szCs w:val="22"/>
        </w:rPr>
        <w:t>族维生素缺乏的某些表现。核黄素缺乏可出现</w:t>
      </w:r>
      <w:r>
        <w:rPr>
          <w:rFonts w:ascii="宋体" w:eastAsia="宋体" w:hAnsi="宋体" w:cs="宋体"/>
          <w:sz w:val="22"/>
          <w:szCs w:val="22"/>
        </w:rPr>
        <w:t xml:space="preserve"> </w:t>
      </w:r>
      <w:r>
        <w:rPr>
          <w:rFonts w:ascii="宋体" w:eastAsia="宋体" w:hAnsi="宋体" w:cs="宋体"/>
          <w:spacing w:val="-4"/>
          <w:sz w:val="22"/>
          <w:szCs w:val="22"/>
        </w:rPr>
        <w:t>多种临床症状，无特异性，常表现在唇、舌、口腔黏膜及会阴皮肤处，因而有</w:t>
      </w:r>
      <w:r>
        <w:rPr>
          <w:rFonts w:ascii="宋体" w:eastAsia="宋体" w:hAnsi="宋体" w:cs="宋体"/>
          <w:spacing w:val="15"/>
          <w:sz w:val="22"/>
          <w:szCs w:val="22"/>
        </w:rPr>
        <w:t xml:space="preserve"> </w:t>
      </w:r>
      <w:r>
        <w:rPr>
          <w:rFonts w:ascii="宋体" w:eastAsia="宋体" w:hAnsi="宋体" w:cs="宋体"/>
          <w:spacing w:val="-15"/>
          <w:sz w:val="22"/>
          <w:szCs w:val="22"/>
        </w:rPr>
        <w:t>“口腔-生殖综合征”之称。症状主要有：</w:t>
      </w:r>
    </w:p>
    <w:p w:rsidR="00EA40A3" w:rsidRDefault="00E86C16">
      <w:pPr>
        <w:spacing w:before="47" w:line="219" w:lineRule="auto"/>
        <w:ind w:left="589"/>
        <w:rPr>
          <w:rFonts w:ascii="宋体" w:eastAsia="宋体" w:hAnsi="宋体" w:cs="宋体"/>
          <w:sz w:val="22"/>
          <w:szCs w:val="22"/>
        </w:rPr>
      </w:pPr>
      <w:r>
        <w:rPr>
          <w:rFonts w:ascii="宋体" w:eastAsia="宋体" w:hAnsi="宋体" w:cs="宋体"/>
          <w:spacing w:val="-10"/>
          <w:sz w:val="22"/>
          <w:szCs w:val="22"/>
        </w:rPr>
        <w:t>(1)口腔：口角裂纹、口腔黏膜溃疡、嘴唇肿胀及地图舌等。</w:t>
      </w:r>
    </w:p>
    <w:p w:rsidR="00EA40A3" w:rsidRDefault="00E86C16">
      <w:pPr>
        <w:spacing w:before="49"/>
        <w:ind w:left="109" w:right="59" w:firstLine="479"/>
        <w:rPr>
          <w:rFonts w:ascii="宋体" w:eastAsia="宋体" w:hAnsi="宋体" w:cs="宋体"/>
          <w:sz w:val="22"/>
          <w:szCs w:val="22"/>
        </w:rPr>
      </w:pPr>
      <w:r>
        <w:rPr>
          <w:rFonts w:ascii="宋体" w:eastAsia="宋体" w:hAnsi="宋体" w:cs="宋体"/>
          <w:sz w:val="22"/>
          <w:szCs w:val="22"/>
        </w:rPr>
        <w:t>(2)皮肤：丘疹或湿疹性阴囊炎(女性为阴唇炎);</w:t>
      </w:r>
      <w:r>
        <w:rPr>
          <w:rFonts w:ascii="宋体" w:eastAsia="宋体" w:hAnsi="宋体" w:cs="宋体"/>
          <w:spacing w:val="-1"/>
          <w:sz w:val="22"/>
          <w:szCs w:val="22"/>
        </w:rPr>
        <w:t>在鼻翼两侧、眉间、眼</w:t>
      </w:r>
      <w:r>
        <w:rPr>
          <w:rFonts w:ascii="宋体" w:eastAsia="宋体" w:hAnsi="宋体" w:cs="宋体"/>
          <w:sz w:val="22"/>
          <w:szCs w:val="22"/>
        </w:rPr>
        <w:t xml:space="preserve"> </w:t>
      </w:r>
      <w:r>
        <w:rPr>
          <w:rFonts w:ascii="宋体" w:eastAsia="宋体" w:hAnsi="宋体" w:cs="宋体"/>
          <w:spacing w:val="-14"/>
          <w:sz w:val="22"/>
          <w:szCs w:val="22"/>
        </w:rPr>
        <w:t>外眦及耳后、乳房下、腋下、腹股沟等处可发生脂溢性皮炎。</w:t>
      </w:r>
    </w:p>
    <w:p w:rsidR="00EA40A3" w:rsidRDefault="00E86C16">
      <w:pPr>
        <w:spacing w:before="48"/>
        <w:ind w:left="109" w:right="60" w:firstLine="479"/>
        <w:rPr>
          <w:rFonts w:ascii="宋体" w:eastAsia="宋体" w:hAnsi="宋体" w:cs="宋体"/>
          <w:sz w:val="22"/>
          <w:szCs w:val="22"/>
        </w:rPr>
      </w:pPr>
      <w:r>
        <w:rPr>
          <w:rFonts w:ascii="宋体" w:eastAsia="宋体" w:hAnsi="宋体" w:cs="宋体"/>
          <w:spacing w:val="-10"/>
          <w:sz w:val="22"/>
          <w:szCs w:val="22"/>
        </w:rPr>
        <w:t>(3)眼：眼部症状包括角膜毛细血管增生、眼睑炎、眼睛对光敏感并易于</w:t>
      </w:r>
      <w:r>
        <w:rPr>
          <w:rFonts w:ascii="宋体" w:eastAsia="宋体" w:hAnsi="宋体" w:cs="宋体"/>
          <w:spacing w:val="-11"/>
          <w:sz w:val="22"/>
          <w:szCs w:val="22"/>
        </w:rPr>
        <w:t>疲</w:t>
      </w:r>
      <w:r>
        <w:rPr>
          <w:rFonts w:ascii="宋体" w:eastAsia="宋体" w:hAnsi="宋体" w:cs="宋体"/>
          <w:sz w:val="22"/>
          <w:szCs w:val="22"/>
        </w:rPr>
        <w:t xml:space="preserve"> </w:t>
      </w:r>
      <w:r>
        <w:rPr>
          <w:rFonts w:ascii="宋体" w:eastAsia="宋体" w:hAnsi="宋体" w:cs="宋体"/>
          <w:spacing w:val="-14"/>
          <w:sz w:val="22"/>
          <w:szCs w:val="22"/>
        </w:rPr>
        <w:t>劳、视物模糊、视力下降等。已有发现表明老年白内障与核黄素缺</w:t>
      </w:r>
      <w:r>
        <w:rPr>
          <w:rFonts w:ascii="宋体" w:eastAsia="宋体" w:hAnsi="宋体" w:cs="宋体"/>
          <w:spacing w:val="-15"/>
          <w:sz w:val="22"/>
          <w:szCs w:val="22"/>
        </w:rPr>
        <w:t>乏有关。</w:t>
      </w:r>
    </w:p>
    <w:p w:rsidR="00EA40A3" w:rsidRDefault="00E86C16">
      <w:pPr>
        <w:spacing w:before="48"/>
        <w:ind w:left="109" w:right="60" w:firstLine="479"/>
        <w:rPr>
          <w:rFonts w:ascii="宋体" w:eastAsia="宋体" w:hAnsi="宋体" w:cs="宋体"/>
          <w:sz w:val="22"/>
          <w:szCs w:val="22"/>
        </w:rPr>
      </w:pPr>
      <w:r>
        <w:rPr>
          <w:rFonts w:ascii="宋体" w:eastAsia="宋体" w:hAnsi="宋体" w:cs="宋体"/>
          <w:spacing w:val="-10"/>
          <w:sz w:val="22"/>
          <w:szCs w:val="22"/>
        </w:rPr>
        <w:t>(4)贫血：核黄素缺乏常干扰铁在体内的吸收、储存及动员，缺乏的后期</w:t>
      </w:r>
      <w:r>
        <w:rPr>
          <w:rFonts w:ascii="宋体" w:eastAsia="宋体" w:hAnsi="宋体" w:cs="宋体"/>
          <w:spacing w:val="-11"/>
          <w:sz w:val="22"/>
          <w:szCs w:val="22"/>
        </w:rPr>
        <w:t>可</w:t>
      </w:r>
      <w:r>
        <w:rPr>
          <w:rFonts w:ascii="宋体" w:eastAsia="宋体" w:hAnsi="宋体" w:cs="宋体"/>
          <w:sz w:val="22"/>
          <w:szCs w:val="22"/>
        </w:rPr>
        <w:t xml:space="preserve"> </w:t>
      </w:r>
      <w:r>
        <w:rPr>
          <w:rFonts w:ascii="宋体" w:eastAsia="宋体" w:hAnsi="宋体" w:cs="宋体"/>
          <w:spacing w:val="-15"/>
          <w:sz w:val="22"/>
          <w:szCs w:val="22"/>
        </w:rPr>
        <w:t>引起血红蛋白形成减少而导致缺铁性贫血，并可导致儿童生长迟缓。</w:t>
      </w:r>
    </w:p>
    <w:p w:rsidR="00EA40A3" w:rsidRDefault="00E86C16">
      <w:pPr>
        <w:spacing w:before="48" w:line="250" w:lineRule="auto"/>
        <w:ind w:left="109" w:right="20" w:firstLine="479"/>
        <w:rPr>
          <w:rFonts w:ascii="宋体" w:eastAsia="宋体" w:hAnsi="宋体" w:cs="宋体"/>
          <w:sz w:val="22"/>
          <w:szCs w:val="22"/>
        </w:rPr>
      </w:pPr>
      <w:r>
        <w:rPr>
          <w:rFonts w:ascii="宋体" w:eastAsia="宋体" w:hAnsi="宋体" w:cs="宋体"/>
          <w:spacing w:val="-10"/>
          <w:sz w:val="22"/>
          <w:szCs w:val="22"/>
        </w:rPr>
        <w:t>(5)生长障碍：核黄素为机体健康和正常生长所必需，其形成的辅酶是许多</w:t>
      </w:r>
      <w:r>
        <w:rPr>
          <w:rFonts w:ascii="宋体" w:eastAsia="宋体" w:hAnsi="宋体" w:cs="宋体"/>
          <w:spacing w:val="8"/>
          <w:sz w:val="22"/>
          <w:szCs w:val="22"/>
        </w:rPr>
        <w:t xml:space="preserve"> </w:t>
      </w:r>
      <w:r>
        <w:rPr>
          <w:rFonts w:ascii="宋体" w:eastAsia="宋体" w:hAnsi="宋体" w:cs="宋体"/>
          <w:spacing w:val="-11"/>
          <w:sz w:val="22"/>
          <w:szCs w:val="22"/>
        </w:rPr>
        <w:t>氧化系统不可缺少的构成部分，在生物氧化过程中参与氢的传递，促进蛋白质、</w:t>
      </w:r>
      <w:r>
        <w:rPr>
          <w:rFonts w:ascii="宋体" w:eastAsia="宋体" w:hAnsi="宋体" w:cs="宋体"/>
          <w:spacing w:val="13"/>
          <w:sz w:val="22"/>
          <w:szCs w:val="22"/>
        </w:rPr>
        <w:t xml:space="preserve"> </w:t>
      </w:r>
      <w:r>
        <w:rPr>
          <w:rFonts w:ascii="宋体" w:eastAsia="宋体" w:hAnsi="宋体" w:cs="宋体"/>
          <w:spacing w:val="-13"/>
          <w:sz w:val="22"/>
          <w:szCs w:val="22"/>
        </w:rPr>
        <w:t>脂肪、糖、核酸代谢。长期缺乏可导致儿童生长迟缓。此外，妊娠期缺乏核黄素</w:t>
      </w:r>
      <w:r>
        <w:rPr>
          <w:rFonts w:ascii="宋体" w:eastAsia="宋体" w:hAnsi="宋体" w:cs="宋体"/>
          <w:spacing w:val="3"/>
          <w:sz w:val="22"/>
          <w:szCs w:val="22"/>
        </w:rPr>
        <w:t xml:space="preserve"> </w:t>
      </w:r>
      <w:r>
        <w:rPr>
          <w:rFonts w:ascii="宋体" w:eastAsia="宋体" w:hAnsi="宋体" w:cs="宋体"/>
          <w:spacing w:val="-16"/>
          <w:sz w:val="22"/>
          <w:szCs w:val="22"/>
        </w:rPr>
        <w:t>还可致胎儿骨骼畸形。</w:t>
      </w:r>
    </w:p>
    <w:p w:rsidR="00EA40A3" w:rsidRDefault="00E86C16">
      <w:pPr>
        <w:spacing w:before="47" w:line="247" w:lineRule="auto"/>
        <w:ind w:left="109" w:right="60" w:firstLine="479"/>
        <w:rPr>
          <w:rFonts w:ascii="宋体" w:eastAsia="宋体" w:hAnsi="宋体" w:cs="宋体"/>
          <w:sz w:val="22"/>
          <w:szCs w:val="22"/>
        </w:rPr>
      </w:pPr>
      <w:r>
        <w:rPr>
          <w:rFonts w:ascii="宋体" w:eastAsia="宋体" w:hAnsi="宋体" w:cs="宋体"/>
          <w:spacing w:val="-10"/>
          <w:sz w:val="22"/>
          <w:szCs w:val="22"/>
        </w:rPr>
        <w:t>(6)引起其他相关疾病：核黄素缺乏或严重摄入不足容易导致慢性食管炎</w:t>
      </w:r>
      <w:r>
        <w:rPr>
          <w:rFonts w:ascii="宋体" w:eastAsia="宋体" w:hAnsi="宋体" w:cs="宋体"/>
          <w:spacing w:val="-11"/>
          <w:sz w:val="22"/>
          <w:szCs w:val="22"/>
        </w:rPr>
        <w:t>或</w:t>
      </w:r>
      <w:r>
        <w:rPr>
          <w:rFonts w:ascii="宋体" w:eastAsia="宋体" w:hAnsi="宋体" w:cs="宋体"/>
          <w:sz w:val="22"/>
          <w:szCs w:val="22"/>
        </w:rPr>
        <w:t xml:space="preserve"> </w:t>
      </w:r>
      <w:r>
        <w:rPr>
          <w:rFonts w:ascii="宋体" w:eastAsia="宋体" w:hAnsi="宋体" w:cs="宋体"/>
          <w:spacing w:val="-13"/>
          <w:sz w:val="22"/>
          <w:szCs w:val="22"/>
        </w:rPr>
        <w:t>食管癌。这可能与核黄素能提高抗氧化酶活性及作为各种黄素酶辅基的构成成分</w:t>
      </w:r>
      <w:r>
        <w:rPr>
          <w:rFonts w:ascii="宋体" w:eastAsia="宋体" w:hAnsi="宋体" w:cs="宋体"/>
          <w:spacing w:val="2"/>
          <w:sz w:val="22"/>
          <w:szCs w:val="22"/>
        </w:rPr>
        <w:t xml:space="preserve"> </w:t>
      </w:r>
      <w:r>
        <w:rPr>
          <w:rFonts w:ascii="宋体" w:eastAsia="宋体" w:hAnsi="宋体" w:cs="宋体"/>
          <w:spacing w:val="-14"/>
          <w:sz w:val="22"/>
          <w:szCs w:val="22"/>
        </w:rPr>
        <w:t>参与某些致癌物的代谢有关，核黄素缺乏可影响体内解毒。</w:t>
      </w:r>
    </w:p>
    <w:p w:rsidR="00EA40A3" w:rsidRDefault="00E86C16">
      <w:pPr>
        <w:spacing w:before="48" w:line="231" w:lineRule="auto"/>
        <w:ind w:left="109" w:right="100" w:firstLine="419"/>
        <w:rPr>
          <w:rFonts w:ascii="宋体" w:eastAsia="宋体" w:hAnsi="宋体" w:cs="宋体"/>
          <w:sz w:val="22"/>
          <w:szCs w:val="22"/>
        </w:rPr>
      </w:pPr>
      <w:r>
        <w:rPr>
          <w:rFonts w:ascii="宋体" w:eastAsia="宋体" w:hAnsi="宋体" w:cs="宋体"/>
          <w:spacing w:val="-7"/>
          <w:sz w:val="22"/>
          <w:szCs w:val="22"/>
        </w:rPr>
        <w:t>核黄素的溶解性较低，吸收有上限，即使大剂量摄入也不能无限增加其吸</w:t>
      </w:r>
      <w:r>
        <w:rPr>
          <w:rFonts w:ascii="宋体" w:eastAsia="宋体" w:hAnsi="宋体" w:cs="宋体"/>
          <w:spacing w:val="12"/>
          <w:sz w:val="22"/>
          <w:szCs w:val="22"/>
        </w:rPr>
        <w:t xml:space="preserve"> </w:t>
      </w:r>
      <w:r>
        <w:rPr>
          <w:rFonts w:ascii="宋体" w:eastAsia="宋体" w:hAnsi="宋体" w:cs="宋体"/>
          <w:spacing w:val="-18"/>
          <w:sz w:val="22"/>
          <w:szCs w:val="22"/>
        </w:rPr>
        <w:t>收，</w:t>
      </w:r>
      <w:r>
        <w:rPr>
          <w:rFonts w:ascii="宋体" w:eastAsia="宋体" w:hAnsi="宋体" w:cs="宋体"/>
          <w:spacing w:val="-35"/>
          <w:sz w:val="22"/>
          <w:szCs w:val="22"/>
        </w:rPr>
        <w:t xml:space="preserve"> </w:t>
      </w:r>
      <w:r>
        <w:rPr>
          <w:rFonts w:ascii="宋体" w:eastAsia="宋体" w:hAnsi="宋体" w:cs="宋体"/>
          <w:spacing w:val="-18"/>
          <w:sz w:val="22"/>
          <w:szCs w:val="22"/>
        </w:rPr>
        <w:t>一般来说，核黄素不会引起过量中毒。</w:t>
      </w:r>
    </w:p>
    <w:p w:rsidR="00EA40A3" w:rsidRDefault="00E86C16">
      <w:pPr>
        <w:spacing w:before="226" w:line="221" w:lineRule="auto"/>
        <w:ind w:left="109"/>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24"/>
          <w:sz w:val="22"/>
          <w:szCs w:val="22"/>
        </w:rPr>
        <w:t xml:space="preserve"> </w:t>
      </w:r>
      <w:r>
        <w:rPr>
          <w:rFonts w:ascii="仿宋" w:eastAsia="仿宋" w:hAnsi="仿宋" w:cs="仿宋"/>
          <w:spacing w:val="14"/>
          <w:sz w:val="22"/>
          <w:szCs w:val="22"/>
        </w:rPr>
        <w:t>维生素B2</w:t>
      </w:r>
      <w:r>
        <w:rPr>
          <w:rFonts w:ascii="仿宋" w:eastAsia="仿宋" w:hAnsi="仿宋" w:cs="仿宋"/>
          <w:spacing w:val="-17"/>
          <w:sz w:val="22"/>
          <w:szCs w:val="22"/>
        </w:rPr>
        <w:t xml:space="preserve"> </w:t>
      </w:r>
      <w:r>
        <w:rPr>
          <w:rFonts w:ascii="仿宋" w:eastAsia="仿宋" w:hAnsi="仿宋" w:cs="仿宋"/>
          <w:spacing w:val="14"/>
          <w:sz w:val="22"/>
          <w:szCs w:val="22"/>
        </w:rPr>
        <w:t>参考摄入量及食物来源</w:t>
      </w:r>
    </w:p>
    <w:p w:rsidR="00EA40A3" w:rsidRDefault="00E86C16">
      <w:pPr>
        <w:spacing w:before="194" w:line="241" w:lineRule="auto"/>
        <w:ind w:left="109" w:right="106" w:firstLine="419"/>
        <w:jc w:val="both"/>
        <w:rPr>
          <w:rFonts w:ascii="宋体" w:eastAsia="宋体" w:hAnsi="宋体" w:cs="宋体"/>
          <w:sz w:val="22"/>
          <w:szCs w:val="22"/>
        </w:rPr>
      </w:pPr>
      <w:r>
        <w:rPr>
          <w:rFonts w:ascii="宋体" w:eastAsia="宋体" w:hAnsi="宋体" w:cs="宋体"/>
          <w:spacing w:val="-3"/>
          <w:sz w:val="22"/>
          <w:szCs w:val="22"/>
        </w:rPr>
        <w:t>我国居民核黄素的RNI(mg/d)</w:t>
      </w:r>
      <w:r>
        <w:rPr>
          <w:rFonts w:ascii="宋体" w:eastAsia="宋体" w:hAnsi="宋体" w:cs="宋体"/>
          <w:spacing w:val="43"/>
          <w:sz w:val="22"/>
          <w:szCs w:val="22"/>
        </w:rPr>
        <w:t xml:space="preserve">  </w:t>
      </w:r>
      <w:r>
        <w:rPr>
          <w:rFonts w:ascii="宋体" w:eastAsia="宋体" w:hAnsi="宋体" w:cs="宋体"/>
          <w:spacing w:val="-3"/>
          <w:sz w:val="22"/>
          <w:szCs w:val="22"/>
        </w:rPr>
        <w:t>分别定为：0岁约0.4</w:t>
      </w:r>
      <w:r>
        <w:rPr>
          <w:rFonts w:ascii="宋体" w:eastAsia="宋体" w:hAnsi="宋体" w:cs="宋体"/>
          <w:spacing w:val="-28"/>
          <w:sz w:val="22"/>
          <w:szCs w:val="22"/>
        </w:rPr>
        <w:t xml:space="preserve"> </w:t>
      </w:r>
      <w:r>
        <w:rPr>
          <w:rFonts w:ascii="宋体" w:eastAsia="宋体" w:hAnsi="宋体" w:cs="宋体"/>
          <w:spacing w:val="-3"/>
          <w:sz w:val="22"/>
          <w:szCs w:val="22"/>
        </w:rPr>
        <w:t>(AI)、0.5</w:t>
      </w:r>
      <w:r>
        <w:rPr>
          <w:rFonts w:ascii="宋体" w:eastAsia="宋体" w:hAnsi="宋体" w:cs="宋体"/>
          <w:spacing w:val="-43"/>
          <w:sz w:val="22"/>
          <w:szCs w:val="22"/>
        </w:rPr>
        <w:t xml:space="preserve"> </w:t>
      </w:r>
      <w:r>
        <w:rPr>
          <w:rFonts w:ascii="宋体" w:eastAsia="宋体" w:hAnsi="宋体" w:cs="宋体"/>
          <w:spacing w:val="-3"/>
          <w:sz w:val="22"/>
          <w:szCs w:val="22"/>
        </w:rPr>
        <w:t>岁约0.5</w:t>
      </w:r>
      <w:r>
        <w:rPr>
          <w:rFonts w:ascii="宋体" w:eastAsia="宋体" w:hAnsi="宋体" w:cs="宋体"/>
          <w:sz w:val="22"/>
          <w:szCs w:val="22"/>
        </w:rPr>
        <w:t xml:space="preserve"> </w:t>
      </w:r>
      <w:r>
        <w:rPr>
          <w:rFonts w:ascii="宋体" w:eastAsia="宋体" w:hAnsi="宋体" w:cs="宋体"/>
          <w:spacing w:val="3"/>
          <w:sz w:val="22"/>
          <w:szCs w:val="22"/>
        </w:rPr>
        <w:t>(</w:t>
      </w:r>
      <w:r>
        <w:rPr>
          <w:rFonts w:ascii="宋体" w:eastAsia="宋体" w:hAnsi="宋体" w:cs="宋体"/>
          <w:sz w:val="22"/>
          <w:szCs w:val="22"/>
        </w:rPr>
        <w:t>AI</w:t>
      </w:r>
      <w:r>
        <w:rPr>
          <w:rFonts w:ascii="宋体" w:eastAsia="宋体" w:hAnsi="宋体" w:cs="宋体"/>
          <w:spacing w:val="3"/>
          <w:sz w:val="22"/>
          <w:szCs w:val="22"/>
        </w:rPr>
        <w:t>)、1</w:t>
      </w:r>
      <w:r>
        <w:rPr>
          <w:rFonts w:ascii="宋体" w:eastAsia="宋体" w:hAnsi="宋体" w:cs="宋体"/>
          <w:spacing w:val="-50"/>
          <w:sz w:val="22"/>
          <w:szCs w:val="22"/>
        </w:rPr>
        <w:t xml:space="preserve"> </w:t>
      </w:r>
      <w:r>
        <w:rPr>
          <w:rFonts w:ascii="宋体" w:eastAsia="宋体" w:hAnsi="宋体" w:cs="宋体"/>
          <w:spacing w:val="3"/>
          <w:sz w:val="22"/>
          <w:szCs w:val="22"/>
        </w:rPr>
        <w:t>岁约0.6、4岁约0.7、7岁约1.0、11岁约1.2、14岁男性约1.5、女</w:t>
      </w:r>
      <w:r>
        <w:rPr>
          <w:rFonts w:ascii="宋体" w:eastAsia="宋体" w:hAnsi="宋体" w:cs="宋体"/>
          <w:sz w:val="22"/>
          <w:szCs w:val="22"/>
        </w:rPr>
        <w:t xml:space="preserve"> </w:t>
      </w:r>
      <w:r>
        <w:rPr>
          <w:rFonts w:ascii="宋体" w:eastAsia="宋体" w:hAnsi="宋体" w:cs="宋体"/>
          <w:spacing w:val="2"/>
          <w:sz w:val="22"/>
          <w:szCs w:val="22"/>
        </w:rPr>
        <w:t>性约1.2、18岁男性约1.4、女性约1.2,孕妇和</w:t>
      </w:r>
      <w:r>
        <w:rPr>
          <w:rFonts w:ascii="宋体" w:eastAsia="宋体" w:hAnsi="宋体" w:cs="宋体"/>
          <w:spacing w:val="1"/>
          <w:sz w:val="22"/>
          <w:szCs w:val="22"/>
        </w:rPr>
        <w:t>乳母1.7。</w:t>
      </w:r>
    </w:p>
    <w:p w:rsidR="00EA40A3" w:rsidRDefault="00E86C16">
      <w:pPr>
        <w:spacing w:before="67" w:line="244" w:lineRule="auto"/>
        <w:ind w:left="109" w:firstLine="419"/>
        <w:jc w:val="both"/>
        <w:rPr>
          <w:rFonts w:ascii="宋体" w:eastAsia="宋体" w:hAnsi="宋体" w:cs="宋体"/>
          <w:sz w:val="22"/>
          <w:szCs w:val="22"/>
        </w:rPr>
      </w:pPr>
      <w:r>
        <w:rPr>
          <w:rFonts w:ascii="宋体" w:eastAsia="宋体" w:hAnsi="宋体" w:cs="宋体"/>
          <w:spacing w:val="-11"/>
          <w:sz w:val="22"/>
          <w:szCs w:val="22"/>
        </w:rPr>
        <w:t>核黄素广泛存在于各种食物中，其良好来源主要是动物性食物，如肝、肾、</w:t>
      </w:r>
      <w:r>
        <w:rPr>
          <w:rFonts w:ascii="宋体" w:eastAsia="宋体" w:hAnsi="宋体" w:cs="宋体"/>
          <w:spacing w:val="12"/>
          <w:sz w:val="22"/>
          <w:szCs w:val="22"/>
        </w:rPr>
        <w:t xml:space="preserve"> </w:t>
      </w:r>
      <w:r>
        <w:rPr>
          <w:rFonts w:ascii="宋体" w:eastAsia="宋体" w:hAnsi="宋体" w:cs="宋体"/>
          <w:spacing w:val="-10"/>
          <w:sz w:val="22"/>
          <w:szCs w:val="22"/>
        </w:rPr>
        <w:t>心脏、乳及蛋类中含量尤为丰富；植物性食物中以大豆和各种绿叶蔬菜如菠菜</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韭菜、油菜含量较多。谷类加工过度核黄素损失较严重，相对而言，豆类加工烹</w:t>
      </w:r>
      <w:r>
        <w:rPr>
          <w:rFonts w:ascii="宋体" w:eastAsia="宋体" w:hAnsi="宋体" w:cs="宋体"/>
          <w:spacing w:val="2"/>
          <w:sz w:val="22"/>
          <w:szCs w:val="22"/>
        </w:rPr>
        <w:t xml:space="preserve">  </w:t>
      </w:r>
      <w:r>
        <w:rPr>
          <w:rFonts w:ascii="宋体" w:eastAsia="宋体" w:hAnsi="宋体" w:cs="宋体"/>
          <w:spacing w:val="-19"/>
          <w:sz w:val="22"/>
          <w:szCs w:val="22"/>
        </w:rPr>
        <w:t>调损失较少。</w:t>
      </w:r>
    </w:p>
    <w:p w:rsidR="00EA40A3" w:rsidRDefault="00E86C16">
      <w:pPr>
        <w:spacing w:before="230" w:line="221" w:lineRule="auto"/>
        <w:ind w:left="113"/>
        <w:outlineLvl w:val="6"/>
        <w:rPr>
          <w:rFonts w:ascii="黑体" w:eastAsia="黑体" w:hAnsi="黑体" w:cs="黑体"/>
          <w:sz w:val="22"/>
          <w:szCs w:val="22"/>
        </w:rPr>
      </w:pPr>
      <w:r>
        <w:rPr>
          <w:rFonts w:ascii="黑体" w:eastAsia="黑体" w:hAnsi="黑体" w:cs="黑体"/>
          <w:b/>
          <w:bCs/>
          <w:spacing w:val="4"/>
          <w:sz w:val="22"/>
          <w:szCs w:val="22"/>
        </w:rPr>
        <w:t>4.2.7</w:t>
      </w:r>
      <w:r>
        <w:rPr>
          <w:rFonts w:ascii="黑体" w:eastAsia="黑体" w:hAnsi="黑体" w:cs="黑体"/>
          <w:spacing w:val="39"/>
          <w:sz w:val="22"/>
          <w:szCs w:val="22"/>
        </w:rPr>
        <w:t xml:space="preserve">  </w:t>
      </w:r>
      <w:r>
        <w:rPr>
          <w:rFonts w:ascii="黑体" w:eastAsia="黑体" w:hAnsi="黑体" w:cs="黑体"/>
          <w:b/>
          <w:bCs/>
          <w:spacing w:val="4"/>
          <w:sz w:val="22"/>
          <w:szCs w:val="22"/>
        </w:rPr>
        <w:t>尼克酸</w:t>
      </w:r>
    </w:p>
    <w:p w:rsidR="00EA40A3" w:rsidRDefault="00E86C16">
      <w:pPr>
        <w:spacing w:before="248" w:line="220" w:lineRule="auto"/>
        <w:ind w:left="109"/>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39"/>
          <w:sz w:val="22"/>
          <w:szCs w:val="22"/>
        </w:rPr>
        <w:t xml:space="preserve"> </w:t>
      </w:r>
      <w:r>
        <w:rPr>
          <w:rFonts w:ascii="仿宋" w:eastAsia="仿宋" w:hAnsi="仿宋" w:cs="仿宋"/>
          <w:spacing w:val="11"/>
          <w:sz w:val="22"/>
          <w:szCs w:val="22"/>
        </w:rPr>
        <w:t>尼克酸的理化性质</w:t>
      </w:r>
    </w:p>
    <w:p w:rsidR="00EA40A3" w:rsidRDefault="00E86C16">
      <w:pPr>
        <w:spacing w:before="210" w:line="245" w:lineRule="auto"/>
        <w:ind w:left="109" w:right="99" w:firstLine="419"/>
        <w:jc w:val="both"/>
        <w:rPr>
          <w:rFonts w:ascii="宋体" w:eastAsia="宋体" w:hAnsi="宋体" w:cs="宋体"/>
          <w:sz w:val="22"/>
          <w:szCs w:val="22"/>
        </w:rPr>
      </w:pPr>
      <w:r>
        <w:rPr>
          <w:rFonts w:ascii="宋体" w:eastAsia="宋体" w:hAnsi="宋体" w:cs="宋体"/>
          <w:spacing w:val="-11"/>
          <w:sz w:val="22"/>
          <w:szCs w:val="22"/>
        </w:rPr>
        <w:t>尼克酸</w:t>
      </w:r>
      <w:r>
        <w:rPr>
          <w:rFonts w:ascii="宋体" w:eastAsia="宋体" w:hAnsi="宋体" w:cs="宋体"/>
          <w:spacing w:val="9"/>
          <w:sz w:val="22"/>
          <w:szCs w:val="22"/>
        </w:rPr>
        <w:t xml:space="preserve"> </w:t>
      </w:r>
      <w:r>
        <w:rPr>
          <w:rFonts w:ascii="宋体" w:eastAsia="宋体" w:hAnsi="宋体" w:cs="宋体"/>
          <w:spacing w:val="-11"/>
          <w:sz w:val="22"/>
          <w:szCs w:val="22"/>
        </w:rPr>
        <w:t>(nicotinic</w:t>
      </w:r>
      <w:r>
        <w:rPr>
          <w:rFonts w:ascii="宋体" w:eastAsia="宋体" w:hAnsi="宋体" w:cs="宋体"/>
          <w:spacing w:val="-12"/>
          <w:sz w:val="22"/>
          <w:szCs w:val="22"/>
        </w:rPr>
        <w:t xml:space="preserve"> </w:t>
      </w:r>
      <w:r>
        <w:rPr>
          <w:rFonts w:ascii="宋体" w:eastAsia="宋体" w:hAnsi="宋体" w:cs="宋体"/>
          <w:spacing w:val="-11"/>
          <w:sz w:val="22"/>
          <w:szCs w:val="22"/>
        </w:rPr>
        <w:t>acid</w:t>
      </w:r>
      <w:r>
        <w:rPr>
          <w:rFonts w:ascii="宋体" w:eastAsia="宋体" w:hAnsi="宋体" w:cs="宋体"/>
          <w:spacing w:val="-65"/>
          <w:sz w:val="22"/>
          <w:szCs w:val="22"/>
        </w:rPr>
        <w:t xml:space="preserve"> </w:t>
      </w:r>
      <w:r>
        <w:rPr>
          <w:rFonts w:ascii="宋体" w:eastAsia="宋体" w:hAnsi="宋体" w:cs="宋体"/>
          <w:spacing w:val="-11"/>
          <w:sz w:val="22"/>
          <w:szCs w:val="22"/>
        </w:rPr>
        <w:t>或</w:t>
      </w:r>
      <w:r>
        <w:rPr>
          <w:rFonts w:ascii="宋体" w:eastAsia="宋体" w:hAnsi="宋体" w:cs="宋体"/>
          <w:spacing w:val="-19"/>
          <w:sz w:val="22"/>
          <w:szCs w:val="22"/>
        </w:rPr>
        <w:t xml:space="preserve"> </w:t>
      </w:r>
      <w:r>
        <w:rPr>
          <w:rFonts w:ascii="宋体" w:eastAsia="宋体" w:hAnsi="宋体" w:cs="宋体"/>
          <w:spacing w:val="-11"/>
          <w:sz w:val="22"/>
          <w:szCs w:val="22"/>
        </w:rPr>
        <w:t>niacin)</w:t>
      </w:r>
      <w:r>
        <w:rPr>
          <w:rFonts w:ascii="宋体" w:eastAsia="宋体" w:hAnsi="宋体" w:cs="宋体"/>
          <w:spacing w:val="-32"/>
          <w:sz w:val="22"/>
          <w:szCs w:val="22"/>
        </w:rPr>
        <w:t xml:space="preserve"> </w:t>
      </w:r>
      <w:r>
        <w:rPr>
          <w:rFonts w:ascii="宋体" w:eastAsia="宋体" w:hAnsi="宋体" w:cs="宋体"/>
          <w:spacing w:val="-11"/>
          <w:sz w:val="22"/>
          <w:szCs w:val="22"/>
        </w:rPr>
        <w:t>也称</w:t>
      </w:r>
      <w:r>
        <w:rPr>
          <w:rFonts w:ascii="宋体" w:eastAsia="宋体" w:hAnsi="宋体" w:cs="宋体"/>
          <w:spacing w:val="-12"/>
          <w:sz w:val="22"/>
          <w:szCs w:val="22"/>
        </w:rPr>
        <w:t>烟酸、维生素</w:t>
      </w:r>
      <w:r>
        <w:rPr>
          <w:rFonts w:ascii="宋体" w:eastAsia="宋体" w:hAnsi="宋体" w:cs="宋体"/>
          <w:spacing w:val="-41"/>
          <w:sz w:val="22"/>
          <w:szCs w:val="22"/>
        </w:rPr>
        <w:t xml:space="preserve"> </w:t>
      </w:r>
      <w:r>
        <w:rPr>
          <w:rFonts w:ascii="宋体" w:eastAsia="宋体" w:hAnsi="宋体" w:cs="宋体"/>
          <w:spacing w:val="-11"/>
          <w:sz w:val="22"/>
          <w:szCs w:val="22"/>
        </w:rPr>
        <w:t>PP</w:t>
      </w:r>
      <w:r>
        <w:rPr>
          <w:rFonts w:ascii="宋体" w:eastAsia="宋体" w:hAnsi="宋体" w:cs="宋体"/>
          <w:spacing w:val="-12"/>
          <w:sz w:val="22"/>
          <w:szCs w:val="22"/>
        </w:rPr>
        <w:t>、</w:t>
      </w:r>
      <w:r>
        <w:rPr>
          <w:rFonts w:ascii="宋体" w:eastAsia="宋体" w:hAnsi="宋体" w:cs="宋体"/>
          <w:spacing w:val="-16"/>
          <w:sz w:val="22"/>
          <w:szCs w:val="22"/>
        </w:rPr>
        <w:t xml:space="preserve"> </w:t>
      </w:r>
      <w:r>
        <w:rPr>
          <w:rFonts w:ascii="宋体" w:eastAsia="宋体" w:hAnsi="宋体" w:cs="宋体"/>
          <w:spacing w:val="-12"/>
          <w:sz w:val="22"/>
          <w:szCs w:val="22"/>
        </w:rPr>
        <w:t>抗癞皮病因子</w:t>
      </w:r>
      <w:r>
        <w:rPr>
          <w:rFonts w:ascii="宋体" w:eastAsia="宋体" w:hAnsi="宋体" w:cs="宋体"/>
          <w:sz w:val="22"/>
          <w:szCs w:val="22"/>
        </w:rPr>
        <w:t xml:space="preserve"> </w:t>
      </w:r>
      <w:r>
        <w:rPr>
          <w:rFonts w:ascii="宋体" w:eastAsia="宋体" w:hAnsi="宋体" w:cs="宋体"/>
          <w:spacing w:val="-11"/>
          <w:sz w:val="22"/>
          <w:szCs w:val="22"/>
        </w:rPr>
        <w:t>(pellagra</w:t>
      </w:r>
      <w:r>
        <w:rPr>
          <w:rFonts w:ascii="宋体" w:eastAsia="宋体" w:hAnsi="宋体" w:cs="宋体"/>
          <w:spacing w:val="-12"/>
          <w:sz w:val="22"/>
          <w:szCs w:val="22"/>
        </w:rPr>
        <w:t xml:space="preserve"> </w:t>
      </w:r>
      <w:r>
        <w:rPr>
          <w:rFonts w:ascii="宋体" w:eastAsia="宋体" w:hAnsi="宋体" w:cs="宋体"/>
          <w:spacing w:val="-11"/>
          <w:sz w:val="22"/>
          <w:szCs w:val="22"/>
        </w:rPr>
        <w:t>preventing</w:t>
      </w:r>
      <w:r>
        <w:rPr>
          <w:rFonts w:ascii="宋体" w:eastAsia="宋体" w:hAnsi="宋体" w:cs="宋体"/>
          <w:spacing w:val="-7"/>
          <w:sz w:val="22"/>
          <w:szCs w:val="22"/>
        </w:rPr>
        <w:t xml:space="preserve"> </w:t>
      </w:r>
      <w:r>
        <w:rPr>
          <w:rFonts w:ascii="宋体" w:eastAsia="宋体" w:hAnsi="宋体" w:cs="宋体"/>
          <w:spacing w:val="-11"/>
          <w:sz w:val="22"/>
          <w:szCs w:val="22"/>
        </w:rPr>
        <w:t>factor),</w:t>
      </w:r>
      <w:r>
        <w:rPr>
          <w:rFonts w:ascii="宋体" w:eastAsia="宋体" w:hAnsi="宋体" w:cs="宋体"/>
          <w:spacing w:val="-58"/>
          <w:sz w:val="22"/>
          <w:szCs w:val="22"/>
        </w:rPr>
        <w:t xml:space="preserve"> </w:t>
      </w:r>
      <w:r>
        <w:rPr>
          <w:rFonts w:ascii="宋体" w:eastAsia="宋体" w:hAnsi="宋体" w:cs="宋体"/>
          <w:spacing w:val="-11"/>
          <w:sz w:val="22"/>
          <w:szCs w:val="22"/>
        </w:rPr>
        <w:t>为吡啶-3-羧酸及其衍生物</w:t>
      </w:r>
      <w:r>
        <w:rPr>
          <w:rFonts w:ascii="宋体" w:eastAsia="宋体" w:hAnsi="宋体" w:cs="宋体"/>
          <w:spacing w:val="-12"/>
          <w:sz w:val="22"/>
          <w:szCs w:val="22"/>
        </w:rPr>
        <w:t>的总称(图4-11),包括</w:t>
      </w:r>
      <w:r>
        <w:rPr>
          <w:rFonts w:ascii="宋体" w:eastAsia="宋体" w:hAnsi="宋体" w:cs="宋体"/>
          <w:sz w:val="22"/>
          <w:szCs w:val="22"/>
        </w:rPr>
        <w:t xml:space="preserve"> </w:t>
      </w:r>
      <w:r>
        <w:rPr>
          <w:rFonts w:ascii="宋体" w:eastAsia="宋体" w:hAnsi="宋体" w:cs="宋体"/>
          <w:spacing w:val="-11"/>
          <w:sz w:val="22"/>
          <w:szCs w:val="22"/>
        </w:rPr>
        <w:t>尼克酸和烟酰胺</w:t>
      </w:r>
      <w:r>
        <w:rPr>
          <w:rFonts w:ascii="宋体" w:eastAsia="宋体" w:hAnsi="宋体" w:cs="宋体"/>
          <w:spacing w:val="-30"/>
          <w:sz w:val="22"/>
          <w:szCs w:val="22"/>
        </w:rPr>
        <w:t xml:space="preserve"> </w:t>
      </w:r>
      <w:r>
        <w:rPr>
          <w:rFonts w:ascii="宋体" w:eastAsia="宋体" w:hAnsi="宋体" w:cs="宋体"/>
          <w:spacing w:val="-11"/>
          <w:sz w:val="22"/>
          <w:szCs w:val="22"/>
        </w:rPr>
        <w:t>(nicotinamide),</w:t>
      </w:r>
      <w:r>
        <w:rPr>
          <w:rFonts w:ascii="宋体" w:eastAsia="宋体" w:hAnsi="宋体" w:cs="宋体"/>
          <w:spacing w:val="-63"/>
          <w:sz w:val="22"/>
          <w:szCs w:val="22"/>
        </w:rPr>
        <w:t xml:space="preserve"> </w:t>
      </w:r>
      <w:r>
        <w:rPr>
          <w:rFonts w:ascii="宋体" w:eastAsia="宋体" w:hAnsi="宋体" w:cs="宋体"/>
          <w:spacing w:val="-11"/>
          <w:sz w:val="22"/>
          <w:szCs w:val="22"/>
        </w:rPr>
        <w:t>在体内主要形式是具有生理活性</w:t>
      </w:r>
      <w:r>
        <w:rPr>
          <w:rFonts w:ascii="宋体" w:eastAsia="宋体" w:hAnsi="宋体" w:cs="宋体"/>
          <w:spacing w:val="-12"/>
          <w:sz w:val="22"/>
          <w:szCs w:val="22"/>
        </w:rPr>
        <w:t>的烟酰胺。两</w:t>
      </w:r>
    </w:p>
    <w:p w:rsidR="00EA40A3" w:rsidRDefault="00E86C16">
      <w:pPr>
        <w:spacing w:before="90"/>
        <w:ind w:right="116"/>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135</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959" w:bottom="400" w:left="800" w:header="0" w:footer="0" w:gutter="0"/>
          <w:cols w:space="720"/>
        </w:sectPr>
      </w:pPr>
    </w:p>
    <w:p w:rsidR="00EA40A3" w:rsidRDefault="00EA40A3"/>
    <w:p w:rsidR="00EA40A3" w:rsidRDefault="00EA40A3"/>
    <w:p w:rsidR="00EA40A3" w:rsidRDefault="00EA40A3">
      <w:pPr>
        <w:spacing w:line="185" w:lineRule="exact"/>
      </w:pPr>
    </w:p>
    <w:p w:rsidR="00EA40A3" w:rsidRDefault="00EA40A3">
      <w:pPr>
        <w:sectPr w:rsidR="00EA40A3">
          <w:pgSz w:w="9220" w:h="13360"/>
          <w:pgMar w:top="400" w:right="934" w:bottom="400" w:left="809" w:header="0" w:footer="0" w:gutter="0"/>
          <w:cols w:space="720" w:equalWidth="0">
            <w:col w:w="7476"/>
          </w:cols>
        </w:sectPr>
      </w:pPr>
    </w:p>
    <w:p w:rsidR="00EA40A3" w:rsidRDefault="00E86C16">
      <w:pPr>
        <w:spacing w:before="111" w:line="710" w:lineRule="exact"/>
        <w:ind w:firstLine="770"/>
        <w:textAlignment w:val="center"/>
      </w:pPr>
      <w:r>
        <w:rPr>
          <w:noProof/>
        </w:rPr>
        <w:drawing>
          <wp:inline distT="0" distB="0" distL="0" distR="0">
            <wp:extent cx="1459865" cy="45085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06"/>
                    <a:stretch>
                      <a:fillRect/>
                    </a:stretch>
                  </pic:blipFill>
                  <pic:spPr>
                    <a:xfrm>
                      <a:off x="0" y="0"/>
                      <a:ext cx="1460454" cy="450903"/>
                    </a:xfrm>
                    <a:prstGeom prst="rect">
                      <a:avLst/>
                    </a:prstGeom>
                  </pic:spPr>
                </pic:pic>
              </a:graphicData>
            </a:graphic>
          </wp:inline>
        </w:drawing>
      </w:r>
    </w:p>
    <w:p w:rsidR="00EA40A3" w:rsidRDefault="00E86C16">
      <w:pPr>
        <w:spacing w:before="26" w:line="452" w:lineRule="exact"/>
        <w:ind w:left="1050"/>
        <w:rPr>
          <w:rFonts w:ascii="宋体" w:eastAsia="宋体" w:hAnsi="宋体" w:cs="宋体"/>
          <w:sz w:val="17"/>
          <w:szCs w:val="17"/>
        </w:rPr>
      </w:pPr>
      <w:r>
        <w:rPr>
          <w:rFonts w:ascii="宋体" w:eastAsia="宋体" w:hAnsi="宋体" w:cs="宋体"/>
          <w:spacing w:val="-13"/>
          <w:position w:val="21"/>
          <w:sz w:val="17"/>
          <w:szCs w:val="17"/>
        </w:rPr>
        <w:t>尼克酸</w:t>
      </w:r>
      <w:r>
        <w:rPr>
          <w:rFonts w:ascii="宋体" w:eastAsia="宋体" w:hAnsi="宋体" w:cs="宋体"/>
          <w:spacing w:val="4"/>
          <w:position w:val="21"/>
          <w:sz w:val="17"/>
          <w:szCs w:val="17"/>
        </w:rPr>
        <w:t xml:space="preserve">        </w:t>
      </w:r>
      <w:r>
        <w:rPr>
          <w:rFonts w:ascii="宋体" w:eastAsia="宋体" w:hAnsi="宋体" w:cs="宋体"/>
          <w:spacing w:val="-13"/>
          <w:position w:val="19"/>
          <w:sz w:val="17"/>
          <w:szCs w:val="17"/>
        </w:rPr>
        <w:t>,尼克酰胺</w:t>
      </w:r>
    </w:p>
    <w:p w:rsidR="00EA40A3" w:rsidRDefault="00E86C16">
      <w:pPr>
        <w:spacing w:line="219" w:lineRule="auto"/>
        <w:ind w:left="430"/>
        <w:rPr>
          <w:rFonts w:ascii="宋体" w:eastAsia="宋体" w:hAnsi="宋体" w:cs="宋体"/>
        </w:rPr>
      </w:pPr>
      <w:r>
        <w:rPr>
          <w:rFonts w:ascii="宋体" w:eastAsia="宋体" w:hAnsi="宋体" w:cs="宋体"/>
          <w:spacing w:val="-23"/>
          <w:w w:val="98"/>
        </w:rPr>
        <w:t>图4-11</w:t>
      </w:r>
      <w:r>
        <w:rPr>
          <w:rFonts w:ascii="宋体" w:eastAsia="宋体" w:hAnsi="宋体" w:cs="宋体"/>
          <w:spacing w:val="83"/>
        </w:rPr>
        <w:t xml:space="preserve"> </w:t>
      </w:r>
      <w:r>
        <w:rPr>
          <w:rFonts w:ascii="宋体" w:eastAsia="宋体" w:hAnsi="宋体" w:cs="宋体"/>
          <w:spacing w:val="-23"/>
          <w:w w:val="98"/>
        </w:rPr>
        <w:t>尼克酸和尼克酰胺的结构</w:t>
      </w:r>
    </w:p>
    <w:p w:rsidR="00EA40A3" w:rsidRDefault="00E86C16">
      <w:pPr>
        <w:spacing w:line="14" w:lineRule="auto"/>
        <w:rPr>
          <w:sz w:val="2"/>
        </w:rPr>
      </w:pPr>
      <w:r>
        <w:rPr>
          <w:sz w:val="2"/>
          <w:szCs w:val="2"/>
        </w:rPr>
        <w:br w:type="column"/>
      </w:r>
    </w:p>
    <w:p w:rsidR="00EA40A3" w:rsidRDefault="00E86C16">
      <w:pPr>
        <w:spacing w:before="5" w:line="262" w:lineRule="auto"/>
        <w:jc w:val="both"/>
        <w:rPr>
          <w:rFonts w:ascii="宋体" w:eastAsia="宋体" w:hAnsi="宋体" w:cs="宋体"/>
          <w:sz w:val="20"/>
          <w:szCs w:val="20"/>
        </w:rPr>
      </w:pPr>
      <w:r>
        <w:rPr>
          <w:rFonts w:ascii="宋体" w:eastAsia="宋体" w:hAnsi="宋体" w:cs="宋体"/>
          <w:spacing w:val="14"/>
          <w:sz w:val="20"/>
          <w:szCs w:val="20"/>
        </w:rPr>
        <w:t>种化合物都是稳定的白色结晶固体，二</w:t>
      </w:r>
      <w:r>
        <w:rPr>
          <w:rFonts w:ascii="宋体" w:eastAsia="宋体" w:hAnsi="宋体" w:cs="宋体"/>
          <w:spacing w:val="1"/>
          <w:sz w:val="20"/>
          <w:szCs w:val="20"/>
        </w:rPr>
        <w:t xml:space="preserve">  </w:t>
      </w:r>
      <w:r>
        <w:rPr>
          <w:rFonts w:ascii="宋体" w:eastAsia="宋体" w:hAnsi="宋体" w:cs="宋体"/>
          <w:spacing w:val="15"/>
          <w:sz w:val="20"/>
          <w:szCs w:val="20"/>
        </w:rPr>
        <w:t>者均溶于水和乙醇，但不溶于乙醚。烟</w:t>
      </w:r>
      <w:r>
        <w:rPr>
          <w:rFonts w:ascii="宋体" w:eastAsia="宋体" w:hAnsi="宋体" w:cs="宋体"/>
          <w:spacing w:val="7"/>
          <w:sz w:val="20"/>
          <w:szCs w:val="20"/>
        </w:rPr>
        <w:t xml:space="preserve"> </w:t>
      </w:r>
      <w:r>
        <w:rPr>
          <w:rFonts w:ascii="宋体" w:eastAsia="宋体" w:hAnsi="宋体" w:cs="宋体"/>
          <w:spacing w:val="18"/>
          <w:sz w:val="20"/>
          <w:szCs w:val="20"/>
        </w:rPr>
        <w:t>酰胺比尼克酸溶解性更好，如25℃时，</w:t>
      </w:r>
      <w:r>
        <w:rPr>
          <w:rFonts w:ascii="宋体" w:eastAsia="宋体" w:hAnsi="宋体" w:cs="宋体"/>
          <w:spacing w:val="5"/>
          <w:sz w:val="20"/>
          <w:szCs w:val="20"/>
        </w:rPr>
        <w:t xml:space="preserve"> </w:t>
      </w:r>
      <w:r>
        <w:rPr>
          <w:rFonts w:ascii="宋体" w:eastAsia="宋体" w:hAnsi="宋体" w:cs="宋体"/>
          <w:sz w:val="20"/>
          <w:szCs w:val="20"/>
        </w:rPr>
        <w:t>lg</w:t>
      </w:r>
      <w:r>
        <w:rPr>
          <w:rFonts w:ascii="宋体" w:eastAsia="宋体" w:hAnsi="宋体" w:cs="宋体"/>
          <w:spacing w:val="23"/>
          <w:sz w:val="20"/>
          <w:szCs w:val="20"/>
        </w:rPr>
        <w:t>尼克酸可溶于60</w:t>
      </w:r>
      <w:r>
        <w:rPr>
          <w:rFonts w:ascii="宋体" w:eastAsia="宋体" w:hAnsi="宋体" w:cs="宋体"/>
          <w:sz w:val="20"/>
          <w:szCs w:val="20"/>
        </w:rPr>
        <w:t>mL</w:t>
      </w:r>
      <w:r>
        <w:rPr>
          <w:rFonts w:ascii="宋体" w:eastAsia="宋体" w:hAnsi="宋体" w:cs="宋体"/>
          <w:spacing w:val="43"/>
          <w:sz w:val="20"/>
          <w:szCs w:val="20"/>
        </w:rPr>
        <w:t xml:space="preserve"> </w:t>
      </w:r>
      <w:r>
        <w:rPr>
          <w:rFonts w:ascii="宋体" w:eastAsia="宋体" w:hAnsi="宋体" w:cs="宋体"/>
          <w:spacing w:val="23"/>
          <w:sz w:val="20"/>
          <w:szCs w:val="20"/>
        </w:rPr>
        <w:t>水或80</w:t>
      </w:r>
      <w:r>
        <w:rPr>
          <w:rFonts w:ascii="宋体" w:eastAsia="宋体" w:hAnsi="宋体" w:cs="宋体"/>
          <w:sz w:val="20"/>
          <w:szCs w:val="20"/>
        </w:rPr>
        <w:t>mL</w:t>
      </w:r>
      <w:r>
        <w:rPr>
          <w:rFonts w:ascii="宋体" w:eastAsia="宋体" w:hAnsi="宋体" w:cs="宋体"/>
          <w:spacing w:val="53"/>
          <w:sz w:val="20"/>
          <w:szCs w:val="20"/>
        </w:rPr>
        <w:t xml:space="preserve"> </w:t>
      </w:r>
      <w:r>
        <w:rPr>
          <w:rFonts w:ascii="宋体" w:eastAsia="宋体" w:hAnsi="宋体" w:cs="宋体"/>
          <w:spacing w:val="23"/>
          <w:sz w:val="20"/>
          <w:szCs w:val="20"/>
        </w:rPr>
        <w:t>乙醇</w:t>
      </w:r>
      <w:r>
        <w:rPr>
          <w:rFonts w:ascii="宋体" w:eastAsia="宋体" w:hAnsi="宋体" w:cs="宋体"/>
          <w:sz w:val="20"/>
          <w:szCs w:val="20"/>
        </w:rPr>
        <w:t xml:space="preserve">  </w:t>
      </w:r>
      <w:r>
        <w:rPr>
          <w:rFonts w:ascii="宋体" w:eastAsia="宋体" w:hAnsi="宋体" w:cs="宋体"/>
          <w:spacing w:val="7"/>
          <w:sz w:val="20"/>
          <w:szCs w:val="20"/>
        </w:rPr>
        <w:t>中，而1g</w:t>
      </w:r>
      <w:r>
        <w:rPr>
          <w:rFonts w:ascii="宋体" w:eastAsia="宋体" w:hAnsi="宋体" w:cs="宋体"/>
          <w:spacing w:val="21"/>
          <w:sz w:val="20"/>
          <w:szCs w:val="20"/>
        </w:rPr>
        <w:t xml:space="preserve"> </w:t>
      </w:r>
      <w:r>
        <w:rPr>
          <w:rFonts w:ascii="宋体" w:eastAsia="宋体" w:hAnsi="宋体" w:cs="宋体"/>
          <w:spacing w:val="7"/>
          <w:sz w:val="20"/>
          <w:szCs w:val="20"/>
        </w:rPr>
        <w:t>烟</w:t>
      </w:r>
      <w:r>
        <w:rPr>
          <w:rFonts w:ascii="宋体" w:eastAsia="宋体" w:hAnsi="宋体" w:cs="宋体"/>
          <w:spacing w:val="-29"/>
          <w:sz w:val="20"/>
          <w:szCs w:val="20"/>
        </w:rPr>
        <w:t xml:space="preserve"> </w:t>
      </w:r>
      <w:r>
        <w:rPr>
          <w:rFonts w:ascii="宋体" w:eastAsia="宋体" w:hAnsi="宋体" w:cs="宋体"/>
          <w:spacing w:val="7"/>
          <w:sz w:val="20"/>
          <w:szCs w:val="20"/>
        </w:rPr>
        <w:t>酰</w:t>
      </w:r>
      <w:r>
        <w:rPr>
          <w:rFonts w:ascii="宋体" w:eastAsia="宋体" w:hAnsi="宋体" w:cs="宋体"/>
          <w:spacing w:val="-30"/>
          <w:sz w:val="20"/>
          <w:szCs w:val="20"/>
        </w:rPr>
        <w:t xml:space="preserve"> </w:t>
      </w:r>
      <w:r>
        <w:rPr>
          <w:rFonts w:ascii="宋体" w:eastAsia="宋体" w:hAnsi="宋体" w:cs="宋体"/>
          <w:spacing w:val="7"/>
          <w:sz w:val="20"/>
          <w:szCs w:val="20"/>
        </w:rPr>
        <w:t>胺</w:t>
      </w:r>
      <w:r>
        <w:rPr>
          <w:rFonts w:ascii="宋体" w:eastAsia="宋体" w:hAnsi="宋体" w:cs="宋体"/>
          <w:spacing w:val="-27"/>
          <w:sz w:val="20"/>
          <w:szCs w:val="20"/>
        </w:rPr>
        <w:t xml:space="preserve"> </w:t>
      </w:r>
      <w:r>
        <w:rPr>
          <w:rFonts w:ascii="宋体" w:eastAsia="宋体" w:hAnsi="宋体" w:cs="宋体"/>
          <w:spacing w:val="7"/>
          <w:sz w:val="20"/>
          <w:szCs w:val="20"/>
        </w:rPr>
        <w:t>可</w:t>
      </w:r>
      <w:r>
        <w:rPr>
          <w:rFonts w:ascii="宋体" w:eastAsia="宋体" w:hAnsi="宋体" w:cs="宋体"/>
          <w:spacing w:val="-27"/>
          <w:sz w:val="20"/>
          <w:szCs w:val="20"/>
        </w:rPr>
        <w:t xml:space="preserve"> </w:t>
      </w:r>
      <w:r>
        <w:rPr>
          <w:rFonts w:ascii="宋体" w:eastAsia="宋体" w:hAnsi="宋体" w:cs="宋体"/>
          <w:spacing w:val="7"/>
          <w:sz w:val="20"/>
          <w:szCs w:val="20"/>
        </w:rPr>
        <w:t>溶</w:t>
      </w:r>
      <w:r>
        <w:rPr>
          <w:rFonts w:ascii="宋体" w:eastAsia="宋体" w:hAnsi="宋体" w:cs="宋体"/>
          <w:spacing w:val="-26"/>
          <w:sz w:val="20"/>
          <w:szCs w:val="20"/>
        </w:rPr>
        <w:t xml:space="preserve"> </w:t>
      </w:r>
      <w:r>
        <w:rPr>
          <w:rFonts w:ascii="宋体" w:eastAsia="宋体" w:hAnsi="宋体" w:cs="宋体"/>
          <w:spacing w:val="7"/>
          <w:sz w:val="20"/>
          <w:szCs w:val="20"/>
        </w:rPr>
        <w:t>于</w:t>
      </w:r>
      <w:r>
        <w:rPr>
          <w:rFonts w:ascii="宋体" w:eastAsia="宋体" w:hAnsi="宋体" w:cs="宋体"/>
          <w:spacing w:val="-14"/>
          <w:sz w:val="20"/>
          <w:szCs w:val="20"/>
        </w:rPr>
        <w:t xml:space="preserve"> </w:t>
      </w:r>
      <w:r>
        <w:rPr>
          <w:rFonts w:ascii="宋体" w:eastAsia="宋体" w:hAnsi="宋体" w:cs="宋体"/>
          <w:spacing w:val="7"/>
          <w:sz w:val="20"/>
          <w:szCs w:val="20"/>
        </w:rPr>
        <w:t>1</w:t>
      </w:r>
      <w:r>
        <w:rPr>
          <w:rFonts w:ascii="宋体" w:eastAsia="宋体" w:hAnsi="宋体" w:cs="宋体"/>
          <w:sz w:val="20"/>
          <w:szCs w:val="20"/>
        </w:rPr>
        <w:t>mL</w:t>
      </w:r>
      <w:r>
        <w:rPr>
          <w:rFonts w:ascii="宋体" w:eastAsia="宋体" w:hAnsi="宋体" w:cs="宋体"/>
          <w:spacing w:val="1"/>
          <w:sz w:val="20"/>
          <w:szCs w:val="20"/>
        </w:rPr>
        <w:t xml:space="preserve">  </w:t>
      </w:r>
      <w:r>
        <w:rPr>
          <w:rFonts w:ascii="宋体" w:eastAsia="宋体" w:hAnsi="宋体" w:cs="宋体"/>
          <w:spacing w:val="7"/>
          <w:sz w:val="20"/>
          <w:szCs w:val="20"/>
        </w:rPr>
        <w:t>水</w:t>
      </w:r>
      <w:r>
        <w:rPr>
          <w:rFonts w:ascii="宋体" w:eastAsia="宋体" w:hAnsi="宋体" w:cs="宋体"/>
          <w:spacing w:val="-22"/>
          <w:sz w:val="20"/>
          <w:szCs w:val="20"/>
        </w:rPr>
        <w:t xml:space="preserve"> </w:t>
      </w:r>
      <w:r>
        <w:rPr>
          <w:rFonts w:ascii="宋体" w:eastAsia="宋体" w:hAnsi="宋体" w:cs="宋体"/>
          <w:spacing w:val="7"/>
          <w:sz w:val="20"/>
          <w:szCs w:val="20"/>
        </w:rPr>
        <w:t>和</w:t>
      </w:r>
      <w:r>
        <w:rPr>
          <w:rFonts w:ascii="宋体" w:eastAsia="宋体" w:hAnsi="宋体" w:cs="宋体"/>
          <w:sz w:val="20"/>
          <w:szCs w:val="20"/>
        </w:rPr>
        <w:t xml:space="preserve">  </w:t>
      </w:r>
      <w:r>
        <w:rPr>
          <w:rFonts w:ascii="宋体" w:eastAsia="宋体" w:hAnsi="宋体" w:cs="宋体"/>
          <w:spacing w:val="11"/>
          <w:sz w:val="20"/>
          <w:szCs w:val="20"/>
        </w:rPr>
        <w:t>1.5</w:t>
      </w:r>
      <w:r>
        <w:rPr>
          <w:rFonts w:ascii="宋体" w:eastAsia="宋体" w:hAnsi="宋体" w:cs="宋体"/>
          <w:sz w:val="20"/>
          <w:szCs w:val="20"/>
        </w:rPr>
        <w:t>mL</w:t>
      </w:r>
      <w:r>
        <w:rPr>
          <w:rFonts w:ascii="宋体" w:eastAsia="宋体" w:hAnsi="宋体" w:cs="宋体"/>
          <w:spacing w:val="33"/>
          <w:sz w:val="20"/>
          <w:szCs w:val="20"/>
        </w:rPr>
        <w:t xml:space="preserve"> </w:t>
      </w:r>
      <w:r>
        <w:rPr>
          <w:rFonts w:ascii="宋体" w:eastAsia="宋体" w:hAnsi="宋体" w:cs="宋体"/>
          <w:spacing w:val="11"/>
          <w:sz w:val="20"/>
          <w:szCs w:val="20"/>
        </w:rPr>
        <w:t>乙醇中。尼克酸的性质稳定，在</w:t>
      </w:r>
    </w:p>
    <w:p w:rsidR="00EA40A3" w:rsidRDefault="00EA40A3">
      <w:pPr>
        <w:sectPr w:rsidR="00EA40A3">
          <w:type w:val="continuous"/>
          <w:pgSz w:w="9220" w:h="13360"/>
          <w:pgMar w:top="400" w:right="934" w:bottom="400" w:left="809" w:header="0" w:footer="0" w:gutter="0"/>
          <w:cols w:num="2" w:space="720" w:equalWidth="0">
            <w:col w:w="3641" w:space="100"/>
            <w:col w:w="3736"/>
          </w:cols>
        </w:sectPr>
      </w:pPr>
    </w:p>
    <w:p w:rsidR="00EA40A3" w:rsidRDefault="00E86C16">
      <w:pPr>
        <w:spacing w:before="129" w:line="237" w:lineRule="auto"/>
        <w:ind w:right="140"/>
        <w:rPr>
          <w:rFonts w:ascii="宋体" w:eastAsia="宋体" w:hAnsi="宋体" w:cs="宋体"/>
        </w:rPr>
      </w:pPr>
      <w:r>
        <w:rPr>
          <w:rFonts w:ascii="宋体" w:eastAsia="宋体" w:hAnsi="宋体" w:cs="宋体"/>
          <w:spacing w:val="4"/>
        </w:rPr>
        <w:t>酸、碱、光、氧或加热条件下不易破坏，在高压下</w:t>
      </w:r>
      <w:r>
        <w:rPr>
          <w:rFonts w:ascii="宋体" w:eastAsia="宋体" w:hAnsi="宋体" w:cs="宋体"/>
          <w:spacing w:val="3"/>
        </w:rPr>
        <w:t>，120℃下20</w:t>
      </w:r>
      <w:r>
        <w:rPr>
          <w:rFonts w:ascii="宋体" w:eastAsia="宋体" w:hAnsi="宋体" w:cs="宋体"/>
        </w:rPr>
        <w:t>min</w:t>
      </w:r>
      <w:r>
        <w:rPr>
          <w:rFonts w:ascii="宋体" w:eastAsia="宋体" w:hAnsi="宋体" w:cs="宋体"/>
          <w:spacing w:val="-38"/>
        </w:rPr>
        <w:t xml:space="preserve"> </w:t>
      </w:r>
      <w:r>
        <w:rPr>
          <w:rFonts w:ascii="宋体" w:eastAsia="宋体" w:hAnsi="宋体" w:cs="宋体"/>
          <w:spacing w:val="3"/>
        </w:rPr>
        <w:t>也不破坏，</w:t>
      </w:r>
      <w:r>
        <w:rPr>
          <w:rFonts w:ascii="宋体" w:eastAsia="宋体" w:hAnsi="宋体" w:cs="宋体"/>
        </w:rPr>
        <w:t xml:space="preserve"> </w:t>
      </w:r>
      <w:r>
        <w:rPr>
          <w:rFonts w:ascii="宋体" w:eastAsia="宋体" w:hAnsi="宋体" w:cs="宋体"/>
          <w:spacing w:val="-5"/>
        </w:rPr>
        <w:t>一般加工、烹调损失极小，但会随水洗而流失。</w:t>
      </w:r>
    </w:p>
    <w:p w:rsidR="00EA40A3" w:rsidRDefault="00E86C16">
      <w:pPr>
        <w:spacing w:before="221" w:line="223" w:lineRule="auto"/>
        <w:rPr>
          <w:rFonts w:ascii="仿宋" w:eastAsia="仿宋" w:hAnsi="仿宋" w:cs="仿宋"/>
        </w:rPr>
      </w:pPr>
      <w:r>
        <w:rPr>
          <w:rFonts w:ascii="仿宋" w:eastAsia="仿宋" w:hAnsi="仿宋" w:cs="仿宋"/>
          <w:spacing w:val="21"/>
        </w:rPr>
        <w:t>2.</w:t>
      </w:r>
      <w:r>
        <w:rPr>
          <w:rFonts w:ascii="仿宋" w:eastAsia="仿宋" w:hAnsi="仿宋" w:cs="仿宋"/>
          <w:spacing w:val="-11"/>
        </w:rPr>
        <w:t xml:space="preserve"> </w:t>
      </w:r>
      <w:r>
        <w:rPr>
          <w:rFonts w:ascii="仿宋" w:eastAsia="仿宋" w:hAnsi="仿宋" w:cs="仿宋"/>
          <w:spacing w:val="21"/>
        </w:rPr>
        <w:t>尼克酸的吸收与代谢</w:t>
      </w:r>
    </w:p>
    <w:p w:rsidR="00EA40A3" w:rsidRDefault="00E86C16">
      <w:pPr>
        <w:spacing w:before="203" w:line="260" w:lineRule="auto"/>
        <w:ind w:right="140" w:firstLine="430"/>
        <w:jc w:val="both"/>
        <w:rPr>
          <w:rFonts w:ascii="宋体" w:eastAsia="宋体" w:hAnsi="宋体" w:cs="宋体"/>
        </w:rPr>
      </w:pPr>
      <w:r>
        <w:rPr>
          <w:rFonts w:ascii="宋体" w:eastAsia="宋体" w:hAnsi="宋体" w:cs="宋体"/>
          <w:spacing w:val="4"/>
        </w:rPr>
        <w:t>尼克酸和烟酰胺可在胃肠道迅速吸收，低浓度时的吸收依赖于</w:t>
      </w:r>
      <w:r>
        <w:rPr>
          <w:rFonts w:ascii="宋体" w:eastAsia="宋体" w:hAnsi="宋体" w:cs="宋体"/>
        </w:rPr>
        <w:t>Na</w:t>
      </w:r>
      <w:r>
        <w:rPr>
          <w:rFonts w:ascii="宋体" w:eastAsia="宋体" w:hAnsi="宋体" w:cs="宋体"/>
          <w:spacing w:val="4"/>
        </w:rPr>
        <w:t>+ 的易化</w:t>
      </w:r>
      <w:r>
        <w:rPr>
          <w:rFonts w:ascii="宋体" w:eastAsia="宋体" w:hAnsi="宋体" w:cs="宋体"/>
        </w:rPr>
        <w:t xml:space="preserve"> </w:t>
      </w:r>
      <w:r>
        <w:rPr>
          <w:rFonts w:ascii="宋体" w:eastAsia="宋体" w:hAnsi="宋体" w:cs="宋体"/>
          <w:spacing w:val="-9"/>
        </w:rPr>
        <w:t>扩散</w:t>
      </w:r>
      <w:r>
        <w:rPr>
          <w:rFonts w:ascii="宋体" w:eastAsia="宋体" w:hAnsi="宋体" w:cs="宋体"/>
          <w:spacing w:val="-24"/>
        </w:rPr>
        <w:t xml:space="preserve"> </w:t>
      </w:r>
      <w:r>
        <w:rPr>
          <w:rFonts w:ascii="宋体" w:eastAsia="宋体" w:hAnsi="宋体" w:cs="宋体"/>
          <w:spacing w:val="-9"/>
        </w:rPr>
        <w:t>(facilitated</w:t>
      </w:r>
      <w:r>
        <w:rPr>
          <w:rFonts w:ascii="宋体" w:eastAsia="宋体" w:hAnsi="宋体" w:cs="宋体"/>
          <w:spacing w:val="-7"/>
        </w:rPr>
        <w:t xml:space="preserve"> </w:t>
      </w:r>
      <w:r>
        <w:rPr>
          <w:rFonts w:ascii="宋体" w:eastAsia="宋体" w:hAnsi="宋体" w:cs="宋体"/>
          <w:spacing w:val="-9"/>
        </w:rPr>
        <w:t>diffusion),</w:t>
      </w:r>
      <w:r>
        <w:rPr>
          <w:rFonts w:ascii="宋体" w:eastAsia="宋体" w:hAnsi="宋体" w:cs="宋体"/>
          <w:spacing w:val="-29"/>
        </w:rPr>
        <w:t xml:space="preserve"> </w:t>
      </w:r>
      <w:r>
        <w:rPr>
          <w:rFonts w:ascii="宋体" w:eastAsia="宋体" w:hAnsi="宋体" w:cs="宋体"/>
          <w:spacing w:val="-9"/>
        </w:rPr>
        <w:t>高浓度时则主要为被动</w:t>
      </w:r>
      <w:r>
        <w:rPr>
          <w:rFonts w:ascii="宋体" w:eastAsia="宋体" w:hAnsi="宋体" w:cs="宋体"/>
          <w:spacing w:val="-10"/>
        </w:rPr>
        <w:t>扩散。膳食中尼克酸的主要</w:t>
      </w:r>
      <w:r>
        <w:rPr>
          <w:rFonts w:ascii="宋体" w:eastAsia="宋体" w:hAnsi="宋体" w:cs="宋体"/>
        </w:rPr>
        <w:t xml:space="preserve"> </w:t>
      </w:r>
      <w:r>
        <w:rPr>
          <w:rFonts w:ascii="宋体" w:eastAsia="宋体" w:hAnsi="宋体" w:cs="宋体"/>
          <w:spacing w:val="8"/>
        </w:rPr>
        <w:t>形式是</w:t>
      </w:r>
      <w:r>
        <w:rPr>
          <w:rFonts w:ascii="宋体" w:eastAsia="宋体" w:hAnsi="宋体" w:cs="宋体"/>
        </w:rPr>
        <w:t>NAD</w:t>
      </w:r>
      <w:r>
        <w:rPr>
          <w:rFonts w:ascii="宋体" w:eastAsia="宋体" w:hAnsi="宋体" w:cs="宋体"/>
          <w:spacing w:val="110"/>
        </w:rPr>
        <w:t xml:space="preserve"> </w:t>
      </w:r>
      <w:r>
        <w:rPr>
          <w:rFonts w:ascii="宋体" w:eastAsia="宋体" w:hAnsi="宋体" w:cs="宋体"/>
          <w:spacing w:val="8"/>
        </w:rPr>
        <w:t>和</w:t>
      </w:r>
      <w:r>
        <w:rPr>
          <w:rFonts w:ascii="宋体" w:eastAsia="宋体" w:hAnsi="宋体" w:cs="宋体"/>
          <w:spacing w:val="-36"/>
        </w:rPr>
        <w:t xml:space="preserve"> </w:t>
      </w:r>
      <w:r>
        <w:rPr>
          <w:rFonts w:ascii="宋体" w:eastAsia="宋体" w:hAnsi="宋体" w:cs="宋体"/>
        </w:rPr>
        <w:t>NADP</w:t>
      </w:r>
      <w:r>
        <w:rPr>
          <w:rFonts w:ascii="宋体" w:eastAsia="宋体" w:hAnsi="宋体" w:cs="宋体"/>
          <w:spacing w:val="36"/>
        </w:rPr>
        <w:t xml:space="preserve">  </w:t>
      </w:r>
      <w:r>
        <w:rPr>
          <w:rFonts w:ascii="宋体" w:eastAsia="宋体" w:hAnsi="宋体" w:cs="宋体"/>
          <w:spacing w:val="8"/>
        </w:rPr>
        <w:t>(辅酶I</w:t>
      </w:r>
      <w:r>
        <w:rPr>
          <w:rFonts w:ascii="宋体" w:eastAsia="宋体" w:hAnsi="宋体" w:cs="宋体"/>
          <w:spacing w:val="-30"/>
        </w:rPr>
        <w:t xml:space="preserve"> </w:t>
      </w:r>
      <w:r>
        <w:rPr>
          <w:rFonts w:ascii="宋体" w:eastAsia="宋体" w:hAnsi="宋体" w:cs="宋体"/>
          <w:spacing w:val="8"/>
        </w:rPr>
        <w:t>及辅酶Ⅱ),通过肠黏膜中的酶水解而产生烟酰</w:t>
      </w:r>
      <w:r>
        <w:rPr>
          <w:rFonts w:ascii="宋体" w:eastAsia="宋体" w:hAnsi="宋体" w:cs="宋体"/>
        </w:rPr>
        <w:t xml:space="preserve"> </w:t>
      </w:r>
      <w:r>
        <w:rPr>
          <w:rFonts w:ascii="宋体" w:eastAsia="宋体" w:hAnsi="宋体" w:cs="宋体"/>
          <w:spacing w:val="2"/>
        </w:rPr>
        <w:t>胺。在血流中的主要形式是烟酰胺，来源于肠道黏膜和肝中对</w:t>
      </w:r>
      <w:r>
        <w:rPr>
          <w:rFonts w:ascii="宋体" w:eastAsia="宋体" w:hAnsi="宋体" w:cs="宋体"/>
        </w:rPr>
        <w:t>NAD</w:t>
      </w:r>
      <w:r>
        <w:rPr>
          <w:rFonts w:ascii="宋体" w:eastAsia="宋体" w:hAnsi="宋体" w:cs="宋体"/>
          <w:spacing w:val="12"/>
        </w:rPr>
        <w:t xml:space="preserve">  </w:t>
      </w:r>
      <w:r>
        <w:rPr>
          <w:rFonts w:ascii="宋体" w:eastAsia="宋体" w:hAnsi="宋体" w:cs="宋体"/>
          <w:spacing w:val="2"/>
        </w:rPr>
        <w:t>的酶水解。</w:t>
      </w:r>
      <w:r>
        <w:rPr>
          <w:rFonts w:ascii="宋体" w:eastAsia="宋体" w:hAnsi="宋体" w:cs="宋体"/>
          <w:spacing w:val="1"/>
        </w:rPr>
        <w:t xml:space="preserve"> </w:t>
      </w:r>
      <w:r>
        <w:rPr>
          <w:rFonts w:ascii="宋体" w:eastAsia="宋体" w:hAnsi="宋体" w:cs="宋体"/>
          <w:spacing w:val="-3"/>
        </w:rPr>
        <w:t>在体内由色氨酸生物合成尼克酸是满足机体对尼克酸需要的一种重要途径。膳食</w:t>
      </w:r>
      <w:r>
        <w:rPr>
          <w:rFonts w:ascii="宋体" w:eastAsia="宋体" w:hAnsi="宋体" w:cs="宋体"/>
          <w:spacing w:val="13"/>
        </w:rPr>
        <w:t xml:space="preserve"> </w:t>
      </w:r>
      <w:r>
        <w:rPr>
          <w:rFonts w:ascii="宋体" w:eastAsia="宋体" w:hAnsi="宋体" w:cs="宋体"/>
          <w:spacing w:val="-2"/>
        </w:rPr>
        <w:t>中色氨酸转化为尼克酸的效率受到各种营养和激</w:t>
      </w:r>
      <w:r>
        <w:rPr>
          <w:rFonts w:ascii="宋体" w:eastAsia="宋体" w:hAnsi="宋体" w:cs="宋体"/>
          <w:spacing w:val="-3"/>
        </w:rPr>
        <w:t>素因子的影响，也存在着很大的</w:t>
      </w:r>
      <w:r>
        <w:rPr>
          <w:rFonts w:ascii="宋体" w:eastAsia="宋体" w:hAnsi="宋体" w:cs="宋体"/>
        </w:rPr>
        <w:t xml:space="preserve"> </w:t>
      </w:r>
      <w:r>
        <w:rPr>
          <w:rFonts w:ascii="宋体" w:eastAsia="宋体" w:hAnsi="宋体" w:cs="宋体"/>
          <w:spacing w:val="1"/>
        </w:rPr>
        <w:t>个体差异。缺乏维生素</w:t>
      </w:r>
      <w:r>
        <w:rPr>
          <w:rFonts w:ascii="宋体" w:eastAsia="宋体" w:hAnsi="宋体" w:cs="宋体"/>
        </w:rPr>
        <w:t>Bg</w:t>
      </w:r>
      <w:r>
        <w:rPr>
          <w:rFonts w:ascii="宋体" w:eastAsia="宋体" w:hAnsi="宋体" w:cs="宋体"/>
          <w:spacing w:val="1"/>
        </w:rPr>
        <w:t>、</w:t>
      </w:r>
      <w:r>
        <w:rPr>
          <w:rFonts w:ascii="宋体" w:eastAsia="宋体" w:hAnsi="宋体" w:cs="宋体"/>
          <w:spacing w:val="-21"/>
        </w:rPr>
        <w:t xml:space="preserve"> </w:t>
      </w:r>
      <w:r>
        <w:rPr>
          <w:rFonts w:ascii="宋体" w:eastAsia="宋体" w:hAnsi="宋体" w:cs="宋体"/>
          <w:spacing w:val="1"/>
        </w:rPr>
        <w:t>核黄素或铁时，会使尼克酸转化变慢，因为这些微</w:t>
      </w:r>
      <w:r>
        <w:rPr>
          <w:rFonts w:ascii="宋体" w:eastAsia="宋体" w:hAnsi="宋体" w:cs="宋体"/>
        </w:rPr>
        <w:t xml:space="preserve"> </w:t>
      </w:r>
      <w:r>
        <w:rPr>
          <w:rFonts w:ascii="宋体" w:eastAsia="宋体" w:hAnsi="宋体" w:cs="宋体"/>
          <w:spacing w:val="-3"/>
        </w:rPr>
        <w:t>量营养素是尼克酸生物合成途径中所涉及的一些酶的必需辅因子。为了估计由营</w:t>
      </w:r>
      <w:r>
        <w:rPr>
          <w:rFonts w:ascii="宋体" w:eastAsia="宋体" w:hAnsi="宋体" w:cs="宋体"/>
          <w:spacing w:val="17"/>
        </w:rPr>
        <w:t xml:space="preserve"> </w:t>
      </w:r>
      <w:r>
        <w:rPr>
          <w:rFonts w:ascii="宋体" w:eastAsia="宋体" w:hAnsi="宋体" w:cs="宋体"/>
          <w:spacing w:val="-2"/>
        </w:rPr>
        <w:t>养摄入或者来自色氨酸的尼克酸当量</w:t>
      </w:r>
      <w:r>
        <w:rPr>
          <w:rFonts w:ascii="宋体" w:eastAsia="宋体" w:hAnsi="宋体" w:cs="宋体"/>
          <w:spacing w:val="-29"/>
        </w:rPr>
        <w:t xml:space="preserve"> </w:t>
      </w:r>
      <w:r>
        <w:rPr>
          <w:rFonts w:ascii="宋体" w:eastAsia="宋体" w:hAnsi="宋体" w:cs="宋体"/>
          <w:spacing w:val="-2"/>
        </w:rPr>
        <w:t>(NE),</w:t>
      </w:r>
      <w:r>
        <w:rPr>
          <w:rFonts w:ascii="宋体" w:eastAsia="宋体" w:hAnsi="宋体" w:cs="宋体"/>
          <w:spacing w:val="5"/>
        </w:rPr>
        <w:t xml:space="preserve">  </w:t>
      </w:r>
      <w:r>
        <w:rPr>
          <w:rFonts w:ascii="宋体" w:eastAsia="宋体" w:hAnsi="宋体" w:cs="宋体"/>
          <w:spacing w:val="-2"/>
        </w:rPr>
        <w:t>美国国家研究委员会的食品与营养</w:t>
      </w:r>
      <w:r>
        <w:rPr>
          <w:rFonts w:ascii="宋体" w:eastAsia="宋体" w:hAnsi="宋体" w:cs="宋体"/>
        </w:rPr>
        <w:t xml:space="preserve"> </w:t>
      </w:r>
      <w:r>
        <w:rPr>
          <w:rFonts w:ascii="宋体" w:eastAsia="宋体" w:hAnsi="宋体" w:cs="宋体"/>
          <w:spacing w:val="2"/>
        </w:rPr>
        <w:t>委员会推荐以60</w:t>
      </w:r>
      <w:r>
        <w:rPr>
          <w:rFonts w:ascii="宋体" w:eastAsia="宋体" w:hAnsi="宋体" w:cs="宋体"/>
        </w:rPr>
        <w:t>mg</w:t>
      </w:r>
      <w:r>
        <w:rPr>
          <w:rFonts w:ascii="宋体" w:eastAsia="宋体" w:hAnsi="宋体" w:cs="宋体"/>
          <w:spacing w:val="25"/>
        </w:rPr>
        <w:t xml:space="preserve"> </w:t>
      </w:r>
      <w:r>
        <w:rPr>
          <w:rFonts w:ascii="宋体" w:eastAsia="宋体" w:hAnsi="宋体" w:cs="宋体"/>
          <w:spacing w:val="2"/>
        </w:rPr>
        <w:t>色氨酸转化为1</w:t>
      </w:r>
      <w:r>
        <w:rPr>
          <w:rFonts w:ascii="宋体" w:eastAsia="宋体" w:hAnsi="宋体" w:cs="宋体"/>
        </w:rPr>
        <w:t>mg</w:t>
      </w:r>
      <w:r>
        <w:rPr>
          <w:rFonts w:ascii="宋体" w:eastAsia="宋体" w:hAnsi="宋体" w:cs="宋体"/>
          <w:spacing w:val="-2"/>
        </w:rPr>
        <w:t xml:space="preserve"> </w:t>
      </w:r>
      <w:r>
        <w:rPr>
          <w:rFonts w:ascii="宋体" w:eastAsia="宋体" w:hAnsi="宋体" w:cs="宋体"/>
          <w:spacing w:val="2"/>
        </w:rPr>
        <w:t>尼克酸作为平均转化率。有些研究提出，</w:t>
      </w:r>
      <w:r>
        <w:rPr>
          <w:rFonts w:ascii="宋体" w:eastAsia="宋体" w:hAnsi="宋体" w:cs="宋体"/>
        </w:rPr>
        <w:t xml:space="preserve"> </w:t>
      </w:r>
      <w:r>
        <w:rPr>
          <w:rFonts w:ascii="宋体" w:eastAsia="宋体" w:hAnsi="宋体" w:cs="宋体"/>
          <w:spacing w:val="-1"/>
        </w:rPr>
        <w:t>肝脏主要是从色氨酸而不是由尼克酸合成NADP。</w:t>
      </w:r>
    </w:p>
    <w:p w:rsidR="00EA40A3" w:rsidRDefault="00E86C16">
      <w:pPr>
        <w:spacing w:before="118" w:line="255" w:lineRule="auto"/>
        <w:ind w:right="207" w:firstLine="430"/>
        <w:jc w:val="both"/>
        <w:rPr>
          <w:rFonts w:ascii="宋体" w:eastAsia="宋体" w:hAnsi="宋体" w:cs="宋体"/>
        </w:rPr>
      </w:pPr>
      <w:r>
        <w:rPr>
          <w:rFonts w:ascii="宋体" w:eastAsia="宋体" w:hAnsi="宋体" w:cs="宋体"/>
          <w:spacing w:val="-3"/>
        </w:rPr>
        <w:t>在机体组织内，尼克酸主要以辅酶的形式存在于所有组织中，但以肝脏中的</w:t>
      </w:r>
      <w:r>
        <w:rPr>
          <w:rFonts w:ascii="宋体" w:eastAsia="宋体" w:hAnsi="宋体" w:cs="宋体"/>
          <w:spacing w:val="4"/>
        </w:rPr>
        <w:t xml:space="preserve"> </w:t>
      </w:r>
      <w:r>
        <w:rPr>
          <w:rFonts w:ascii="宋体" w:eastAsia="宋体" w:hAnsi="宋体" w:cs="宋体"/>
          <w:spacing w:val="1"/>
        </w:rPr>
        <w:t>浓度最高。肝、肌肉及其他组织中</w:t>
      </w:r>
      <w:r>
        <w:rPr>
          <w:rFonts w:ascii="宋体" w:eastAsia="宋体" w:hAnsi="宋体" w:cs="宋体"/>
        </w:rPr>
        <w:t>NAD</w:t>
      </w:r>
      <w:r>
        <w:rPr>
          <w:rFonts w:ascii="宋体" w:eastAsia="宋体" w:hAnsi="宋体" w:cs="宋体"/>
          <w:spacing w:val="94"/>
        </w:rPr>
        <w:t xml:space="preserve"> </w:t>
      </w:r>
      <w:r>
        <w:rPr>
          <w:rFonts w:ascii="宋体" w:eastAsia="宋体" w:hAnsi="宋体" w:cs="宋体"/>
          <w:spacing w:val="1"/>
        </w:rPr>
        <w:t>水平与从食物中摄入的尼克酸的量呈相</w:t>
      </w:r>
      <w:r>
        <w:rPr>
          <w:rFonts w:ascii="宋体" w:eastAsia="宋体" w:hAnsi="宋体" w:cs="宋体"/>
        </w:rPr>
        <w:t xml:space="preserve"> </w:t>
      </w:r>
      <w:r>
        <w:rPr>
          <w:rFonts w:ascii="宋体" w:eastAsia="宋体" w:hAnsi="宋体" w:cs="宋体"/>
          <w:spacing w:val="-2"/>
        </w:rPr>
        <w:t>关关系。尼克酸可随乳汁及汗液分泌，每100mL</w:t>
      </w:r>
      <w:r>
        <w:rPr>
          <w:rFonts w:ascii="宋体" w:eastAsia="宋体" w:hAnsi="宋体" w:cs="宋体"/>
          <w:spacing w:val="17"/>
        </w:rPr>
        <w:t xml:space="preserve"> </w:t>
      </w:r>
      <w:r>
        <w:rPr>
          <w:rFonts w:ascii="宋体" w:eastAsia="宋体" w:hAnsi="宋体" w:cs="宋体"/>
          <w:spacing w:val="-2"/>
        </w:rPr>
        <w:t>乳汁中含有128～336</w:t>
      </w:r>
      <w:r>
        <w:rPr>
          <w:rFonts w:ascii="宋体" w:eastAsia="宋体" w:hAnsi="宋体" w:cs="宋体"/>
          <w:spacing w:val="-42"/>
        </w:rPr>
        <w:t xml:space="preserve"> </w:t>
      </w:r>
      <w:r>
        <w:rPr>
          <w:rFonts w:ascii="宋体" w:eastAsia="宋体" w:hAnsi="宋体" w:cs="宋体"/>
          <w:spacing w:val="-2"/>
        </w:rPr>
        <w:t>μg</w:t>
      </w:r>
      <w:r>
        <w:rPr>
          <w:rFonts w:ascii="宋体" w:eastAsia="宋体" w:hAnsi="宋体" w:cs="宋体"/>
          <w:spacing w:val="-3"/>
        </w:rPr>
        <w:t>,</w:t>
      </w:r>
      <w:r>
        <w:rPr>
          <w:rFonts w:ascii="宋体" w:eastAsia="宋体" w:hAnsi="宋体" w:cs="宋体"/>
          <w:spacing w:val="17"/>
        </w:rPr>
        <w:t xml:space="preserve"> </w:t>
      </w:r>
      <w:r>
        <w:rPr>
          <w:rFonts w:ascii="宋体" w:eastAsia="宋体" w:hAnsi="宋体" w:cs="宋体"/>
          <w:spacing w:val="-3"/>
        </w:rPr>
        <w:t>随汗</w:t>
      </w:r>
      <w:r>
        <w:rPr>
          <w:rFonts w:ascii="宋体" w:eastAsia="宋体" w:hAnsi="宋体" w:cs="宋体"/>
        </w:rPr>
        <w:t xml:space="preserve"> </w:t>
      </w:r>
      <w:r>
        <w:rPr>
          <w:rFonts w:ascii="宋体" w:eastAsia="宋体" w:hAnsi="宋体" w:cs="宋体"/>
          <w:spacing w:val="3"/>
        </w:rPr>
        <w:t>液排泄量约为20～100μg/100</w:t>
      </w:r>
      <w:r>
        <w:rPr>
          <w:rFonts w:ascii="宋体" w:eastAsia="宋体" w:hAnsi="宋体" w:cs="宋体"/>
        </w:rPr>
        <w:t>mL</w:t>
      </w:r>
      <w:r>
        <w:rPr>
          <w:rFonts w:ascii="宋体" w:eastAsia="宋体" w:hAnsi="宋体" w:cs="宋体"/>
          <w:spacing w:val="3"/>
        </w:rPr>
        <w:t>。</w:t>
      </w:r>
      <w:r>
        <w:rPr>
          <w:rFonts w:ascii="宋体" w:eastAsia="宋体" w:hAnsi="宋体" w:cs="宋体"/>
          <w:spacing w:val="74"/>
        </w:rPr>
        <w:t xml:space="preserve"> </w:t>
      </w:r>
      <w:r>
        <w:rPr>
          <w:rFonts w:ascii="宋体" w:eastAsia="宋体" w:hAnsi="宋体" w:cs="宋体"/>
          <w:spacing w:val="3"/>
        </w:rPr>
        <w:t>尿中</w:t>
      </w:r>
      <w:r>
        <w:rPr>
          <w:rFonts w:ascii="宋体" w:eastAsia="宋体" w:hAnsi="宋体" w:cs="宋体"/>
          <w:spacing w:val="2"/>
        </w:rPr>
        <w:t>排出的以N-</w:t>
      </w:r>
      <w:r>
        <w:rPr>
          <w:rFonts w:ascii="宋体" w:eastAsia="宋体" w:hAnsi="宋体" w:cs="宋体"/>
          <w:spacing w:val="-54"/>
        </w:rPr>
        <w:t xml:space="preserve"> </w:t>
      </w:r>
      <w:r>
        <w:rPr>
          <w:rFonts w:ascii="宋体" w:eastAsia="宋体" w:hAnsi="宋体" w:cs="宋体"/>
          <w:spacing w:val="2"/>
        </w:rPr>
        <w:t>甲基烟酰胺和2-吡啶醇为</w:t>
      </w:r>
      <w:r>
        <w:rPr>
          <w:rFonts w:ascii="宋体" w:eastAsia="宋体" w:hAnsi="宋体" w:cs="宋体"/>
        </w:rPr>
        <w:t xml:space="preserve"> </w:t>
      </w:r>
      <w:r>
        <w:rPr>
          <w:rFonts w:ascii="宋体" w:eastAsia="宋体" w:hAnsi="宋体" w:cs="宋体"/>
          <w:spacing w:val="-4"/>
        </w:rPr>
        <w:t>主，少量是尼克酸或尼克酸氧化物及其羟基型产物形式</w:t>
      </w:r>
      <w:r>
        <w:rPr>
          <w:rFonts w:ascii="宋体" w:eastAsia="宋体" w:hAnsi="宋体" w:cs="宋体"/>
          <w:spacing w:val="-5"/>
        </w:rPr>
        <w:t>。</w:t>
      </w:r>
    </w:p>
    <w:p w:rsidR="00EA40A3" w:rsidRDefault="00E86C16">
      <w:pPr>
        <w:spacing w:before="239" w:line="222" w:lineRule="auto"/>
        <w:rPr>
          <w:rFonts w:ascii="仿宋" w:eastAsia="仿宋" w:hAnsi="仿宋" w:cs="仿宋"/>
        </w:rPr>
      </w:pPr>
      <w:r>
        <w:rPr>
          <w:rFonts w:ascii="仿宋" w:eastAsia="仿宋" w:hAnsi="仿宋" w:cs="仿宋"/>
          <w:spacing w:val="19"/>
        </w:rPr>
        <w:t>3.</w:t>
      </w:r>
      <w:r>
        <w:rPr>
          <w:rFonts w:ascii="仿宋" w:eastAsia="仿宋" w:hAnsi="仿宋" w:cs="仿宋"/>
          <w:spacing w:val="-18"/>
        </w:rPr>
        <w:t xml:space="preserve"> </w:t>
      </w:r>
      <w:r>
        <w:rPr>
          <w:rFonts w:ascii="仿宋" w:eastAsia="仿宋" w:hAnsi="仿宋" w:cs="仿宋"/>
          <w:spacing w:val="19"/>
        </w:rPr>
        <w:t>尼克酸的生理功能</w:t>
      </w:r>
    </w:p>
    <w:p w:rsidR="00EA40A3" w:rsidRDefault="00E86C16">
      <w:pPr>
        <w:spacing w:before="200" w:line="219" w:lineRule="auto"/>
        <w:ind w:left="430"/>
        <w:rPr>
          <w:rFonts w:ascii="宋体" w:eastAsia="宋体" w:hAnsi="宋体" w:cs="宋体"/>
        </w:rPr>
      </w:pPr>
      <w:r>
        <w:rPr>
          <w:rFonts w:ascii="宋体" w:eastAsia="宋体" w:hAnsi="宋体" w:cs="宋体"/>
          <w:spacing w:val="2"/>
        </w:rPr>
        <w:t>尼克酸为辅酶I(</w:t>
      </w:r>
      <w:r>
        <w:rPr>
          <w:rFonts w:ascii="宋体" w:eastAsia="宋体" w:hAnsi="宋体" w:cs="宋体"/>
        </w:rPr>
        <w:t>NAD</w:t>
      </w:r>
      <w:r>
        <w:rPr>
          <w:rFonts w:ascii="宋体" w:eastAsia="宋体" w:hAnsi="宋体" w:cs="宋体"/>
          <w:spacing w:val="2"/>
        </w:rPr>
        <w:t>)</w:t>
      </w:r>
      <w:r>
        <w:rPr>
          <w:rFonts w:ascii="宋体" w:eastAsia="宋体" w:hAnsi="宋体" w:cs="宋体"/>
          <w:spacing w:val="10"/>
        </w:rPr>
        <w:t xml:space="preserve">    </w:t>
      </w:r>
      <w:r>
        <w:rPr>
          <w:rFonts w:ascii="宋体" w:eastAsia="宋体" w:hAnsi="宋体" w:cs="宋体"/>
          <w:spacing w:val="2"/>
        </w:rPr>
        <w:t>与辅酶Ⅱ</w:t>
      </w:r>
      <w:r>
        <w:rPr>
          <w:rFonts w:ascii="宋体" w:eastAsia="宋体" w:hAnsi="宋体" w:cs="宋体"/>
          <w:spacing w:val="-7"/>
        </w:rPr>
        <w:t xml:space="preserve"> </w:t>
      </w:r>
      <w:r>
        <w:rPr>
          <w:rFonts w:ascii="宋体" w:eastAsia="宋体" w:hAnsi="宋体" w:cs="宋体"/>
          <w:spacing w:val="2"/>
        </w:rPr>
        <w:t>(</w:t>
      </w:r>
      <w:r>
        <w:rPr>
          <w:rFonts w:ascii="宋体" w:eastAsia="宋体" w:hAnsi="宋体" w:cs="宋体"/>
        </w:rPr>
        <w:t>NADP</w:t>
      </w:r>
      <w:r>
        <w:rPr>
          <w:rFonts w:ascii="宋体" w:eastAsia="宋体" w:hAnsi="宋体" w:cs="宋体"/>
          <w:spacing w:val="2"/>
        </w:rPr>
        <w:t>)</w:t>
      </w:r>
      <w:r>
        <w:rPr>
          <w:rFonts w:ascii="宋体" w:eastAsia="宋体" w:hAnsi="宋体" w:cs="宋体"/>
          <w:spacing w:val="6"/>
        </w:rPr>
        <w:t xml:space="preserve">   </w:t>
      </w:r>
      <w:r>
        <w:rPr>
          <w:rFonts w:ascii="宋体" w:eastAsia="宋体" w:hAnsi="宋体" w:cs="宋体"/>
          <w:spacing w:val="2"/>
        </w:rPr>
        <w:t>的组成成分，在许多生物性</w:t>
      </w:r>
    </w:p>
    <w:p w:rsidR="00EA40A3" w:rsidRDefault="00E86C16">
      <w:pPr>
        <w:spacing w:before="39" w:line="237" w:lineRule="auto"/>
        <w:ind w:right="214"/>
        <w:rPr>
          <w:rFonts w:ascii="宋体" w:eastAsia="宋体" w:hAnsi="宋体" w:cs="宋体"/>
        </w:rPr>
      </w:pPr>
      <w:r>
        <w:rPr>
          <w:rFonts w:ascii="宋体" w:eastAsia="宋体" w:hAnsi="宋体" w:cs="宋体"/>
          <w:spacing w:val="-3"/>
        </w:rPr>
        <w:t>氧化还原反应中起电子受体或氢供体的作用，与其他酶一起几乎参与细胞内生物</w:t>
      </w:r>
      <w:r>
        <w:rPr>
          <w:rFonts w:ascii="宋体" w:eastAsia="宋体" w:hAnsi="宋体" w:cs="宋体"/>
          <w:spacing w:val="14"/>
        </w:rPr>
        <w:t xml:space="preserve"> </w:t>
      </w:r>
      <w:r>
        <w:rPr>
          <w:rFonts w:ascii="宋体" w:eastAsia="宋体" w:hAnsi="宋体" w:cs="宋体"/>
          <w:spacing w:val="-8"/>
        </w:rPr>
        <w:t>氧化还原的全过程。</w:t>
      </w:r>
    </w:p>
    <w:p w:rsidR="00EA40A3" w:rsidRDefault="00E86C16">
      <w:pPr>
        <w:spacing w:before="80" w:line="262" w:lineRule="auto"/>
        <w:ind w:right="140" w:firstLine="430"/>
        <w:jc w:val="both"/>
        <w:rPr>
          <w:rFonts w:ascii="宋体" w:eastAsia="宋体" w:hAnsi="宋体" w:cs="宋体"/>
        </w:rPr>
      </w:pPr>
      <w:r>
        <w:rPr>
          <w:rFonts w:ascii="宋体" w:eastAsia="宋体" w:hAnsi="宋体" w:cs="宋体"/>
          <w:spacing w:val="-3"/>
        </w:rPr>
        <w:t>在维生素</w:t>
      </w:r>
      <w:r>
        <w:rPr>
          <w:rFonts w:ascii="宋体" w:eastAsia="宋体" w:hAnsi="宋体" w:cs="宋体"/>
          <w:spacing w:val="-58"/>
        </w:rPr>
        <w:t xml:space="preserve"> </w:t>
      </w:r>
      <w:r>
        <w:rPr>
          <w:rFonts w:ascii="宋体" w:eastAsia="宋体" w:hAnsi="宋体" w:cs="宋体"/>
          <w:spacing w:val="-3"/>
        </w:rPr>
        <w:t>Ba、</w:t>
      </w:r>
      <w:r>
        <w:rPr>
          <w:rFonts w:ascii="宋体" w:eastAsia="宋体" w:hAnsi="宋体" w:cs="宋体"/>
          <w:spacing w:val="-36"/>
        </w:rPr>
        <w:t xml:space="preserve"> </w:t>
      </w:r>
      <w:r>
        <w:rPr>
          <w:rFonts w:ascii="宋体" w:eastAsia="宋体" w:hAnsi="宋体" w:cs="宋体"/>
          <w:spacing w:val="-3"/>
        </w:rPr>
        <w:t>泛酸和生物素存在下，尼克酸参与脂肪、蛋</w:t>
      </w:r>
      <w:r>
        <w:rPr>
          <w:rFonts w:ascii="宋体" w:eastAsia="宋体" w:hAnsi="宋体" w:cs="宋体"/>
          <w:spacing w:val="-4"/>
        </w:rPr>
        <w:t>白质和</w:t>
      </w:r>
      <w:r>
        <w:rPr>
          <w:rFonts w:ascii="宋体" w:eastAsia="宋体" w:hAnsi="宋体" w:cs="宋体"/>
          <w:spacing w:val="-3"/>
        </w:rPr>
        <w:t>DNA</w:t>
      </w:r>
      <w:r>
        <w:rPr>
          <w:rFonts w:ascii="宋体" w:eastAsia="宋体" w:hAnsi="宋体" w:cs="宋体"/>
          <w:spacing w:val="104"/>
        </w:rPr>
        <w:t xml:space="preserve"> </w:t>
      </w:r>
      <w:r>
        <w:rPr>
          <w:rFonts w:ascii="宋体" w:eastAsia="宋体" w:hAnsi="宋体" w:cs="宋体"/>
          <w:spacing w:val="-4"/>
        </w:rPr>
        <w:t>的合</w:t>
      </w:r>
      <w:r>
        <w:rPr>
          <w:rFonts w:ascii="宋体" w:eastAsia="宋体" w:hAnsi="宋体" w:cs="宋体"/>
        </w:rPr>
        <w:t xml:space="preserve"> </w:t>
      </w:r>
      <w:r>
        <w:rPr>
          <w:rFonts w:ascii="宋体" w:eastAsia="宋体" w:hAnsi="宋体" w:cs="宋体"/>
          <w:spacing w:val="-2"/>
        </w:rPr>
        <w:t>成。此外，尼克酸在固醇类化合物的合成中也起重要作用，</w:t>
      </w:r>
      <w:r>
        <w:rPr>
          <w:rFonts w:ascii="宋体" w:eastAsia="宋体" w:hAnsi="宋体" w:cs="宋体"/>
          <w:spacing w:val="-3"/>
        </w:rPr>
        <w:t>它可以降低体内胆固</w:t>
      </w:r>
      <w:r>
        <w:rPr>
          <w:rFonts w:ascii="宋体" w:eastAsia="宋体" w:hAnsi="宋体" w:cs="宋体"/>
        </w:rPr>
        <w:t xml:space="preserve"> </w:t>
      </w:r>
      <w:r>
        <w:rPr>
          <w:rFonts w:ascii="宋体" w:eastAsia="宋体" w:hAnsi="宋体" w:cs="宋体"/>
          <w:spacing w:val="-1"/>
        </w:rPr>
        <w:t>醇水平，如以尼克酸作为一种药物，在剂量为1.5～3g/d</w:t>
      </w:r>
      <w:r>
        <w:rPr>
          <w:rFonts w:ascii="宋体" w:eastAsia="宋体" w:hAnsi="宋体" w:cs="宋体"/>
          <w:spacing w:val="-52"/>
        </w:rPr>
        <w:t xml:space="preserve"> </w:t>
      </w:r>
      <w:r>
        <w:rPr>
          <w:rFonts w:ascii="宋体" w:eastAsia="宋体" w:hAnsi="宋体" w:cs="宋体"/>
          <w:spacing w:val="-1"/>
        </w:rPr>
        <w:t>时，可降低总胆固醇和</w:t>
      </w:r>
      <w:r>
        <w:rPr>
          <w:rFonts w:ascii="宋体" w:eastAsia="宋体" w:hAnsi="宋体" w:cs="宋体"/>
        </w:rPr>
        <w:t xml:space="preserve"> </w:t>
      </w:r>
      <w:r>
        <w:rPr>
          <w:rFonts w:ascii="宋体" w:eastAsia="宋体" w:hAnsi="宋体" w:cs="宋体"/>
          <w:spacing w:val="-1"/>
        </w:rPr>
        <w:t>LDL-</w:t>
      </w:r>
      <w:r>
        <w:rPr>
          <w:rFonts w:ascii="宋体" w:eastAsia="宋体" w:hAnsi="宋体" w:cs="宋体"/>
          <w:spacing w:val="-35"/>
        </w:rPr>
        <w:t xml:space="preserve"> </w:t>
      </w:r>
      <w:r>
        <w:rPr>
          <w:rFonts w:ascii="宋体" w:eastAsia="宋体" w:hAnsi="宋体" w:cs="宋体"/>
          <w:spacing w:val="-1"/>
        </w:rPr>
        <w:t>胆固醇以及增加</w:t>
      </w:r>
      <w:r>
        <w:rPr>
          <w:rFonts w:ascii="宋体" w:eastAsia="宋体" w:hAnsi="宋体" w:cs="宋体"/>
          <w:spacing w:val="-57"/>
        </w:rPr>
        <w:t xml:space="preserve"> </w:t>
      </w:r>
      <w:r>
        <w:rPr>
          <w:rFonts w:ascii="宋体" w:eastAsia="宋体" w:hAnsi="宋体" w:cs="宋体"/>
          <w:spacing w:val="-1"/>
        </w:rPr>
        <w:t>HDL-</w:t>
      </w:r>
      <w:r>
        <w:rPr>
          <w:rFonts w:ascii="宋体" w:eastAsia="宋体" w:hAnsi="宋体" w:cs="宋体"/>
          <w:spacing w:val="9"/>
        </w:rPr>
        <w:t xml:space="preserve"> </w:t>
      </w:r>
      <w:r>
        <w:rPr>
          <w:rFonts w:ascii="宋体" w:eastAsia="宋体" w:hAnsi="宋体" w:cs="宋体"/>
          <w:spacing w:val="-1"/>
        </w:rPr>
        <w:t>胆固醇浓度。尼克酸也是葡萄糖耐量因子的一部分，</w:t>
      </w:r>
      <w:r>
        <w:rPr>
          <w:rFonts w:ascii="宋体" w:eastAsia="宋体" w:hAnsi="宋体" w:cs="宋体"/>
        </w:rPr>
        <w:t xml:space="preserve"> </w:t>
      </w:r>
      <w:r>
        <w:rPr>
          <w:rFonts w:ascii="宋体" w:eastAsia="宋体" w:hAnsi="宋体" w:cs="宋体"/>
          <w:spacing w:val="-3"/>
        </w:rPr>
        <w:t>后者是从酵母中分离出的一种有机铬复合物，具有加强胰岛素反应的</w:t>
      </w:r>
      <w:r>
        <w:rPr>
          <w:rFonts w:ascii="宋体" w:eastAsia="宋体" w:hAnsi="宋体" w:cs="宋体"/>
          <w:spacing w:val="-4"/>
        </w:rPr>
        <w:t>作用。</w:t>
      </w:r>
    </w:p>
    <w:p w:rsidR="00EA40A3" w:rsidRDefault="00E86C16">
      <w:pPr>
        <w:spacing w:before="48" w:line="184" w:lineRule="auto"/>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8"/>
          <w:sz w:val="17"/>
          <w:szCs w:val="17"/>
        </w:rPr>
        <w:t xml:space="preserve"> </w:t>
      </w:r>
      <w:r>
        <w:rPr>
          <w:rFonts w:ascii="宋体" w:eastAsia="宋体" w:hAnsi="宋体" w:cs="宋体"/>
          <w:spacing w:val="-24"/>
          <w:sz w:val="17"/>
          <w:szCs w:val="17"/>
        </w:rPr>
        <w:t>136</w:t>
      </w:r>
      <w:r>
        <w:rPr>
          <w:rFonts w:ascii="宋体" w:eastAsia="宋体" w:hAnsi="宋体" w:cs="宋体"/>
          <w:spacing w:val="50"/>
          <w:sz w:val="17"/>
          <w:szCs w:val="17"/>
        </w:rPr>
        <w:t xml:space="preserve"> </w:t>
      </w:r>
      <w:r>
        <w:rPr>
          <w:rFonts w:ascii="宋体" w:eastAsia="宋体" w:hAnsi="宋体" w:cs="宋体"/>
          <w:spacing w:val="-24"/>
          <w:sz w:val="17"/>
          <w:szCs w:val="17"/>
        </w:rPr>
        <w:t>·</w:t>
      </w:r>
    </w:p>
    <w:p w:rsidR="00EA40A3" w:rsidRDefault="00EA40A3">
      <w:pPr>
        <w:sectPr w:rsidR="00EA40A3">
          <w:type w:val="continuous"/>
          <w:pgSz w:w="9220" w:h="13360"/>
          <w:pgMar w:top="400" w:right="934" w:bottom="400" w:left="809" w:header="0" w:footer="0" w:gutter="0"/>
          <w:cols w:space="720" w:equalWidth="0">
            <w:col w:w="7476"/>
          </w:cols>
        </w:sectPr>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86C16">
      <w:pPr>
        <w:spacing w:before="72" w:line="220"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38"/>
          <w:sz w:val="22"/>
          <w:szCs w:val="22"/>
        </w:rPr>
        <w:t xml:space="preserve"> </w:t>
      </w:r>
      <w:r>
        <w:rPr>
          <w:rFonts w:ascii="仿宋" w:eastAsia="仿宋" w:hAnsi="仿宋" w:cs="仿宋"/>
          <w:spacing w:val="13"/>
          <w:sz w:val="22"/>
          <w:szCs w:val="22"/>
        </w:rPr>
        <w:t>尼克酸的缺乏症及过量毒性</w:t>
      </w:r>
    </w:p>
    <w:p w:rsidR="00EA40A3" w:rsidRDefault="00E86C16">
      <w:pPr>
        <w:spacing w:before="172" w:line="249" w:lineRule="auto"/>
        <w:ind w:firstLine="399"/>
        <w:jc w:val="both"/>
        <w:rPr>
          <w:rFonts w:ascii="宋体" w:eastAsia="宋体" w:hAnsi="宋体" w:cs="宋体"/>
          <w:sz w:val="22"/>
          <w:szCs w:val="22"/>
        </w:rPr>
      </w:pPr>
      <w:r>
        <w:rPr>
          <w:rFonts w:ascii="宋体" w:eastAsia="宋体" w:hAnsi="宋体" w:cs="宋体"/>
          <w:spacing w:val="-13"/>
          <w:sz w:val="22"/>
          <w:szCs w:val="22"/>
        </w:rPr>
        <w:t>癞皮病</w:t>
      </w:r>
      <w:r>
        <w:rPr>
          <w:rFonts w:ascii="宋体" w:eastAsia="宋体" w:hAnsi="宋体" w:cs="宋体"/>
          <w:spacing w:val="-14"/>
          <w:sz w:val="22"/>
          <w:szCs w:val="22"/>
        </w:rPr>
        <w:t xml:space="preserve"> </w:t>
      </w:r>
      <w:r>
        <w:rPr>
          <w:rFonts w:ascii="宋体" w:eastAsia="宋体" w:hAnsi="宋体" w:cs="宋体"/>
          <w:spacing w:val="-13"/>
          <w:sz w:val="22"/>
          <w:szCs w:val="22"/>
        </w:rPr>
        <w:t>(pellagra)</w:t>
      </w:r>
      <w:r>
        <w:rPr>
          <w:rFonts w:ascii="宋体" w:eastAsia="宋体" w:hAnsi="宋体" w:cs="宋体"/>
          <w:spacing w:val="-54"/>
          <w:sz w:val="22"/>
          <w:szCs w:val="22"/>
        </w:rPr>
        <w:t xml:space="preserve"> </w:t>
      </w:r>
      <w:r>
        <w:rPr>
          <w:rFonts w:ascii="宋体" w:eastAsia="宋体" w:hAnsi="宋体" w:cs="宋体"/>
          <w:spacing w:val="-13"/>
          <w:sz w:val="22"/>
          <w:szCs w:val="22"/>
        </w:rPr>
        <w:t>是一种典型的膳食性缺乏症，最常见的体征是皮肤、口、</w:t>
      </w:r>
      <w:r>
        <w:rPr>
          <w:rFonts w:ascii="宋体" w:eastAsia="宋体" w:hAnsi="宋体" w:cs="宋体"/>
          <w:sz w:val="22"/>
          <w:szCs w:val="22"/>
        </w:rPr>
        <w:t xml:space="preserve"> </w:t>
      </w:r>
      <w:r>
        <w:rPr>
          <w:rFonts w:ascii="宋体" w:eastAsia="宋体" w:hAnsi="宋体" w:cs="宋体"/>
          <w:spacing w:val="-9"/>
          <w:sz w:val="22"/>
          <w:szCs w:val="22"/>
        </w:rPr>
        <w:t>舌、胃肠道黏膜以及神经系统的变化。其典型症状是皮炎</w:t>
      </w:r>
      <w:r>
        <w:rPr>
          <w:rFonts w:ascii="宋体" w:eastAsia="宋体" w:hAnsi="宋体" w:cs="宋体"/>
          <w:sz w:val="22"/>
          <w:szCs w:val="22"/>
        </w:rPr>
        <w:t xml:space="preserve"> </w:t>
      </w:r>
      <w:r>
        <w:rPr>
          <w:rFonts w:ascii="宋体" w:eastAsia="宋体" w:hAnsi="宋体" w:cs="宋体"/>
          <w:spacing w:val="-9"/>
          <w:sz w:val="22"/>
          <w:szCs w:val="22"/>
        </w:rPr>
        <w:t>(dermatitis)、腹泻</w:t>
      </w:r>
      <w:r>
        <w:rPr>
          <w:rFonts w:ascii="宋体" w:eastAsia="宋体" w:hAnsi="宋体" w:cs="宋体"/>
          <w:sz w:val="22"/>
          <w:szCs w:val="22"/>
        </w:rPr>
        <w:t xml:space="preserve"> </w:t>
      </w:r>
      <w:r>
        <w:rPr>
          <w:rFonts w:ascii="宋体" w:eastAsia="宋体" w:hAnsi="宋体" w:cs="宋体"/>
          <w:spacing w:val="-8"/>
          <w:sz w:val="22"/>
          <w:szCs w:val="22"/>
        </w:rPr>
        <w:t>(diarrhea)</w:t>
      </w:r>
      <w:r>
        <w:rPr>
          <w:rFonts w:ascii="宋体" w:eastAsia="宋体" w:hAnsi="宋体" w:cs="宋体"/>
          <w:spacing w:val="-36"/>
          <w:sz w:val="22"/>
          <w:szCs w:val="22"/>
        </w:rPr>
        <w:t xml:space="preserve"> </w:t>
      </w:r>
      <w:r>
        <w:rPr>
          <w:rFonts w:ascii="宋体" w:eastAsia="宋体" w:hAnsi="宋体" w:cs="宋体"/>
          <w:spacing w:val="-8"/>
          <w:sz w:val="22"/>
          <w:szCs w:val="22"/>
        </w:rPr>
        <w:t>及痴呆</w:t>
      </w:r>
      <w:r>
        <w:rPr>
          <w:rFonts w:ascii="宋体" w:eastAsia="宋体" w:hAnsi="宋体" w:cs="宋体"/>
          <w:spacing w:val="-22"/>
          <w:sz w:val="22"/>
          <w:szCs w:val="22"/>
        </w:rPr>
        <w:t xml:space="preserve"> </w:t>
      </w:r>
      <w:r>
        <w:rPr>
          <w:rFonts w:ascii="宋体" w:eastAsia="宋体" w:hAnsi="宋体" w:cs="宋体"/>
          <w:spacing w:val="-8"/>
          <w:sz w:val="22"/>
          <w:szCs w:val="22"/>
        </w:rPr>
        <w:t>(dementia),</w:t>
      </w:r>
      <w:r>
        <w:rPr>
          <w:rFonts w:ascii="宋体" w:eastAsia="宋体" w:hAnsi="宋体" w:cs="宋体"/>
          <w:spacing w:val="-43"/>
          <w:sz w:val="22"/>
          <w:szCs w:val="22"/>
        </w:rPr>
        <w:t xml:space="preserve"> </w:t>
      </w:r>
      <w:r>
        <w:rPr>
          <w:rFonts w:ascii="宋体" w:eastAsia="宋体" w:hAnsi="宋体" w:cs="宋体"/>
          <w:spacing w:val="-8"/>
          <w:sz w:val="22"/>
          <w:szCs w:val="22"/>
        </w:rPr>
        <w:t>即所谓的“3D”症状。与皮肤有关的症状最为</w:t>
      </w:r>
      <w:r>
        <w:rPr>
          <w:rFonts w:ascii="宋体" w:eastAsia="宋体" w:hAnsi="宋体" w:cs="宋体"/>
          <w:sz w:val="22"/>
          <w:szCs w:val="22"/>
        </w:rPr>
        <w:t xml:space="preserve"> </w:t>
      </w:r>
      <w:r>
        <w:rPr>
          <w:rFonts w:ascii="宋体" w:eastAsia="宋体" w:hAnsi="宋体" w:cs="宋体"/>
          <w:spacing w:val="-13"/>
          <w:sz w:val="22"/>
          <w:szCs w:val="22"/>
        </w:rPr>
        <w:t>突出，接触阳光的裸露部位皮肤出现对称性色素斑皮疹，与晒</w:t>
      </w:r>
      <w:r>
        <w:rPr>
          <w:rFonts w:ascii="宋体" w:eastAsia="宋体" w:hAnsi="宋体" w:cs="宋体"/>
          <w:spacing w:val="-14"/>
          <w:sz w:val="22"/>
          <w:szCs w:val="22"/>
        </w:rPr>
        <w:t>斑相似，继之皮肤</w:t>
      </w:r>
      <w:r>
        <w:rPr>
          <w:rFonts w:ascii="宋体" w:eastAsia="宋体" w:hAnsi="宋体" w:cs="宋体"/>
          <w:sz w:val="22"/>
          <w:szCs w:val="22"/>
        </w:rPr>
        <w:t xml:space="preserve"> </w:t>
      </w:r>
      <w:r>
        <w:rPr>
          <w:rFonts w:ascii="宋体" w:eastAsia="宋体" w:hAnsi="宋体" w:cs="宋体"/>
          <w:spacing w:val="-13"/>
          <w:sz w:val="22"/>
          <w:szCs w:val="22"/>
        </w:rPr>
        <w:t>折叠部位也发生皮炎，并可转为慢性，发炎部位皮肤变为暗红色或棕色，色素沉</w:t>
      </w:r>
      <w:r>
        <w:rPr>
          <w:rFonts w:ascii="宋体" w:eastAsia="宋体" w:hAnsi="宋体" w:cs="宋体"/>
          <w:spacing w:val="12"/>
          <w:sz w:val="22"/>
          <w:szCs w:val="22"/>
        </w:rPr>
        <w:t xml:space="preserve"> </w:t>
      </w:r>
      <w:r>
        <w:rPr>
          <w:rFonts w:ascii="宋体" w:eastAsia="宋体" w:hAnsi="宋体" w:cs="宋体"/>
          <w:spacing w:val="-13"/>
          <w:sz w:val="22"/>
          <w:szCs w:val="22"/>
        </w:rPr>
        <w:t>着，有脱屑现象，继发感染可发生糜烂。口、舌部症状表现为口腔黏膜溃疡及杨</w:t>
      </w:r>
      <w:r>
        <w:rPr>
          <w:rFonts w:ascii="宋体" w:eastAsia="宋体" w:hAnsi="宋体" w:cs="宋体"/>
          <w:spacing w:val="16"/>
          <w:sz w:val="22"/>
          <w:szCs w:val="22"/>
        </w:rPr>
        <w:t xml:space="preserve"> </w:t>
      </w:r>
      <w:r>
        <w:rPr>
          <w:rFonts w:ascii="宋体" w:eastAsia="宋体" w:hAnsi="宋体" w:cs="宋体"/>
          <w:spacing w:val="-13"/>
          <w:sz w:val="22"/>
          <w:szCs w:val="22"/>
        </w:rPr>
        <w:t>梅舌，并伴有烧灼感和疼痛；胃肠道的变化可有食欲不振、消化</w:t>
      </w:r>
      <w:r>
        <w:rPr>
          <w:rFonts w:ascii="宋体" w:eastAsia="宋体" w:hAnsi="宋体" w:cs="宋体"/>
          <w:spacing w:val="-14"/>
          <w:sz w:val="22"/>
          <w:szCs w:val="22"/>
        </w:rPr>
        <w:t>不良、呕吐、腹</w:t>
      </w:r>
      <w:r>
        <w:rPr>
          <w:rFonts w:ascii="宋体" w:eastAsia="宋体" w:hAnsi="宋体" w:cs="宋体"/>
          <w:sz w:val="22"/>
          <w:szCs w:val="22"/>
        </w:rPr>
        <w:t xml:space="preserve"> </w:t>
      </w:r>
      <w:r>
        <w:rPr>
          <w:rFonts w:ascii="宋体" w:eastAsia="宋体" w:hAnsi="宋体" w:cs="宋体"/>
          <w:spacing w:val="-13"/>
          <w:sz w:val="22"/>
          <w:szCs w:val="22"/>
        </w:rPr>
        <w:t>痛、腹泻或便秘。神经系统症状包括失眠、头痛、抑郁、淡漠、疲劳及丧失记忆</w:t>
      </w:r>
      <w:r>
        <w:rPr>
          <w:rFonts w:ascii="宋体" w:eastAsia="宋体" w:hAnsi="宋体" w:cs="宋体"/>
          <w:spacing w:val="13"/>
          <w:sz w:val="22"/>
          <w:szCs w:val="22"/>
        </w:rPr>
        <w:t xml:space="preserve"> </w:t>
      </w:r>
      <w:r>
        <w:rPr>
          <w:rFonts w:ascii="宋体" w:eastAsia="宋体" w:hAnsi="宋体" w:cs="宋体"/>
          <w:spacing w:val="-17"/>
          <w:sz w:val="22"/>
          <w:szCs w:val="22"/>
        </w:rPr>
        <w:t>力，甚至发展成为痴呆症。</w:t>
      </w:r>
    </w:p>
    <w:p w:rsidR="00EA40A3" w:rsidRDefault="00E86C16">
      <w:pPr>
        <w:spacing w:before="118" w:line="235" w:lineRule="auto"/>
        <w:ind w:right="98" w:firstLine="399"/>
        <w:rPr>
          <w:rFonts w:ascii="宋体" w:eastAsia="宋体" w:hAnsi="宋体" w:cs="宋体"/>
          <w:sz w:val="22"/>
          <w:szCs w:val="22"/>
        </w:rPr>
      </w:pPr>
      <w:r>
        <w:rPr>
          <w:rFonts w:ascii="宋体" w:eastAsia="宋体" w:hAnsi="宋体" w:cs="宋体"/>
          <w:spacing w:val="-13"/>
          <w:sz w:val="22"/>
          <w:szCs w:val="22"/>
        </w:rPr>
        <w:t>过量摄入尼克酸的不良反应包括皮肤发红、高尿酸血</w:t>
      </w:r>
      <w:r>
        <w:rPr>
          <w:rFonts w:ascii="宋体" w:eastAsia="宋体" w:hAnsi="宋体" w:cs="宋体"/>
          <w:spacing w:val="-14"/>
          <w:sz w:val="22"/>
          <w:szCs w:val="22"/>
        </w:rPr>
        <w:t>症、肝和眼异常，以及</w:t>
      </w:r>
      <w:r>
        <w:rPr>
          <w:rFonts w:ascii="宋体" w:eastAsia="宋体" w:hAnsi="宋体" w:cs="宋体"/>
          <w:sz w:val="22"/>
          <w:szCs w:val="22"/>
        </w:rPr>
        <w:t xml:space="preserve"> </w:t>
      </w:r>
      <w:r>
        <w:rPr>
          <w:rFonts w:ascii="宋体" w:eastAsia="宋体" w:hAnsi="宋体" w:cs="宋体"/>
          <w:spacing w:val="-17"/>
          <w:sz w:val="22"/>
          <w:szCs w:val="22"/>
        </w:rPr>
        <w:t>偶然出现高血糖。</w:t>
      </w:r>
    </w:p>
    <w:p w:rsidR="00EA40A3" w:rsidRDefault="00E86C16">
      <w:pPr>
        <w:spacing w:before="216"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3"/>
          <w:sz w:val="22"/>
          <w:szCs w:val="22"/>
        </w:rPr>
        <w:t xml:space="preserve"> </w:t>
      </w:r>
      <w:r>
        <w:rPr>
          <w:rFonts w:ascii="仿宋" w:eastAsia="仿宋" w:hAnsi="仿宋" w:cs="仿宋"/>
          <w:spacing w:val="14"/>
          <w:sz w:val="22"/>
          <w:szCs w:val="22"/>
        </w:rPr>
        <w:t>尼克酸的参考摄入量及食物来源</w:t>
      </w:r>
    </w:p>
    <w:p w:rsidR="00EA40A3" w:rsidRDefault="00E86C16">
      <w:pPr>
        <w:spacing w:before="188" w:line="250" w:lineRule="auto"/>
        <w:ind w:right="51" w:firstLine="399"/>
        <w:jc w:val="both"/>
        <w:rPr>
          <w:rFonts w:ascii="宋体" w:eastAsia="宋体" w:hAnsi="宋体" w:cs="宋体"/>
          <w:sz w:val="22"/>
          <w:szCs w:val="22"/>
        </w:rPr>
      </w:pPr>
      <w:r>
        <w:rPr>
          <w:rFonts w:ascii="宋体" w:eastAsia="宋体" w:hAnsi="宋体" w:cs="宋体"/>
          <w:spacing w:val="-2"/>
          <w:sz w:val="22"/>
          <w:szCs w:val="22"/>
        </w:rPr>
        <w:t>以往报道人体大多数组织中硫胺素与尼克酸比例为</w:t>
      </w:r>
      <w:r>
        <w:rPr>
          <w:rFonts w:ascii="宋体" w:eastAsia="宋体" w:hAnsi="宋体" w:cs="宋体"/>
          <w:spacing w:val="-3"/>
          <w:sz w:val="22"/>
          <w:szCs w:val="22"/>
        </w:rPr>
        <w:t>1:10,有研究表明，当</w:t>
      </w:r>
      <w:r>
        <w:rPr>
          <w:rFonts w:ascii="宋体" w:eastAsia="宋体" w:hAnsi="宋体" w:cs="宋体"/>
          <w:sz w:val="22"/>
          <w:szCs w:val="22"/>
        </w:rPr>
        <w:t xml:space="preserve"> 摄入的硫胺素与尼克酸比例为1:10时，血中羧化酶和脱</w:t>
      </w:r>
      <w:r>
        <w:rPr>
          <w:rFonts w:ascii="宋体" w:eastAsia="宋体" w:hAnsi="宋体" w:cs="宋体"/>
          <w:spacing w:val="-1"/>
          <w:sz w:val="22"/>
          <w:szCs w:val="22"/>
        </w:rPr>
        <w:t>氢酶活性均增加。因</w:t>
      </w:r>
      <w:r>
        <w:rPr>
          <w:rFonts w:ascii="宋体" w:eastAsia="宋体" w:hAnsi="宋体" w:cs="宋体"/>
          <w:sz w:val="22"/>
          <w:szCs w:val="22"/>
        </w:rPr>
        <w:t xml:space="preserve"> </w:t>
      </w:r>
      <w:r>
        <w:rPr>
          <w:rFonts w:ascii="宋体" w:eastAsia="宋体" w:hAnsi="宋体" w:cs="宋体"/>
          <w:spacing w:val="-7"/>
          <w:sz w:val="22"/>
          <w:szCs w:val="22"/>
        </w:rPr>
        <w:t>此，我国尼克酸RNI</w:t>
      </w:r>
      <w:r>
        <w:rPr>
          <w:rFonts w:ascii="宋体" w:eastAsia="宋体" w:hAnsi="宋体" w:cs="宋体"/>
          <w:spacing w:val="10"/>
          <w:sz w:val="22"/>
          <w:szCs w:val="22"/>
        </w:rPr>
        <w:t xml:space="preserve"> </w:t>
      </w:r>
      <w:r>
        <w:rPr>
          <w:rFonts w:ascii="宋体" w:eastAsia="宋体" w:hAnsi="宋体" w:cs="宋体"/>
          <w:spacing w:val="-7"/>
          <w:sz w:val="22"/>
          <w:szCs w:val="22"/>
        </w:rPr>
        <w:t>按硫胺素RNI</w:t>
      </w:r>
      <w:r>
        <w:rPr>
          <w:rFonts w:ascii="宋体" w:eastAsia="宋体" w:hAnsi="宋体" w:cs="宋体"/>
          <w:spacing w:val="7"/>
          <w:sz w:val="22"/>
          <w:szCs w:val="22"/>
        </w:rPr>
        <w:t xml:space="preserve"> </w:t>
      </w:r>
      <w:r>
        <w:rPr>
          <w:rFonts w:ascii="宋体" w:eastAsia="宋体" w:hAnsi="宋体" w:cs="宋体"/>
          <w:spacing w:val="-7"/>
          <w:sz w:val="22"/>
          <w:szCs w:val="22"/>
        </w:rPr>
        <w:t>的10倍量定；由于一部分色氨酸在体内可转</w:t>
      </w:r>
      <w:r>
        <w:rPr>
          <w:rFonts w:ascii="宋体" w:eastAsia="宋体" w:hAnsi="宋体" w:cs="宋体"/>
          <w:sz w:val="22"/>
          <w:szCs w:val="22"/>
        </w:rPr>
        <w:t xml:space="preserve"> </w:t>
      </w:r>
      <w:r>
        <w:rPr>
          <w:rFonts w:ascii="宋体" w:eastAsia="宋体" w:hAnsi="宋体" w:cs="宋体"/>
          <w:spacing w:val="-4"/>
          <w:sz w:val="22"/>
          <w:szCs w:val="22"/>
        </w:rPr>
        <w:t>化为尼克酸，故RNI</w:t>
      </w:r>
      <w:r>
        <w:rPr>
          <w:rFonts w:ascii="宋体" w:eastAsia="宋体" w:hAnsi="宋体" w:cs="宋体"/>
          <w:spacing w:val="6"/>
          <w:sz w:val="22"/>
          <w:szCs w:val="22"/>
        </w:rPr>
        <w:t xml:space="preserve"> </w:t>
      </w:r>
      <w:r>
        <w:rPr>
          <w:rFonts w:ascii="宋体" w:eastAsia="宋体" w:hAnsi="宋体" w:cs="宋体"/>
          <w:spacing w:val="-4"/>
          <w:sz w:val="22"/>
          <w:szCs w:val="22"/>
        </w:rPr>
        <w:t>采用尼克酸毫克当量</w:t>
      </w:r>
      <w:r>
        <w:rPr>
          <w:rFonts w:ascii="宋体" w:eastAsia="宋体" w:hAnsi="宋体" w:cs="宋体"/>
          <w:spacing w:val="-22"/>
          <w:sz w:val="22"/>
          <w:szCs w:val="22"/>
        </w:rPr>
        <w:t xml:space="preserve"> </w:t>
      </w:r>
      <w:r>
        <w:rPr>
          <w:rFonts w:ascii="宋体" w:eastAsia="宋体" w:hAnsi="宋体" w:cs="宋体"/>
          <w:spacing w:val="-4"/>
          <w:sz w:val="22"/>
          <w:szCs w:val="22"/>
        </w:rPr>
        <w:t>(mgNE)</w:t>
      </w:r>
      <w:r>
        <w:rPr>
          <w:rFonts w:ascii="宋体" w:eastAsia="宋体" w:hAnsi="宋体" w:cs="宋体"/>
          <w:spacing w:val="28"/>
          <w:sz w:val="22"/>
          <w:szCs w:val="22"/>
        </w:rPr>
        <w:t xml:space="preserve">  </w:t>
      </w:r>
      <w:r>
        <w:rPr>
          <w:rFonts w:ascii="宋体" w:eastAsia="宋体" w:hAnsi="宋体" w:cs="宋体"/>
          <w:spacing w:val="-4"/>
          <w:sz w:val="22"/>
          <w:szCs w:val="22"/>
        </w:rPr>
        <w:t>作为单位，即食物中的尼</w:t>
      </w:r>
      <w:r>
        <w:rPr>
          <w:rFonts w:ascii="宋体" w:eastAsia="宋体" w:hAnsi="宋体" w:cs="宋体"/>
          <w:spacing w:val="1"/>
          <w:sz w:val="22"/>
          <w:szCs w:val="22"/>
        </w:rPr>
        <w:t xml:space="preserve"> </w:t>
      </w:r>
      <w:r>
        <w:rPr>
          <w:rFonts w:ascii="宋体" w:eastAsia="宋体" w:hAnsi="宋体" w:cs="宋体"/>
          <w:spacing w:val="-5"/>
          <w:sz w:val="22"/>
          <w:szCs w:val="22"/>
        </w:rPr>
        <w:t>克酸</w:t>
      </w:r>
      <w:r>
        <w:rPr>
          <w:rFonts w:ascii="宋体" w:eastAsia="宋体" w:hAnsi="宋体" w:cs="宋体"/>
          <w:sz w:val="22"/>
          <w:szCs w:val="22"/>
        </w:rPr>
        <w:t xml:space="preserve"> </w:t>
      </w:r>
      <w:r>
        <w:rPr>
          <w:rFonts w:ascii="宋体" w:eastAsia="宋体" w:hAnsi="宋体" w:cs="宋体"/>
          <w:spacing w:val="-5"/>
          <w:sz w:val="22"/>
          <w:szCs w:val="22"/>
        </w:rPr>
        <w:t>(mg)</w:t>
      </w:r>
      <w:r>
        <w:rPr>
          <w:rFonts w:ascii="宋体" w:eastAsia="宋体" w:hAnsi="宋体" w:cs="宋体"/>
          <w:spacing w:val="67"/>
          <w:sz w:val="22"/>
          <w:szCs w:val="22"/>
        </w:rPr>
        <w:t xml:space="preserve"> </w:t>
      </w:r>
      <w:r>
        <w:rPr>
          <w:rFonts w:ascii="宋体" w:eastAsia="宋体" w:hAnsi="宋体" w:cs="宋体"/>
          <w:spacing w:val="-5"/>
          <w:sz w:val="22"/>
          <w:szCs w:val="22"/>
        </w:rPr>
        <w:t>与1/60色氨酸</w:t>
      </w:r>
      <w:r>
        <w:rPr>
          <w:rFonts w:ascii="宋体" w:eastAsia="宋体" w:hAnsi="宋体" w:cs="宋体"/>
          <w:spacing w:val="-19"/>
          <w:sz w:val="22"/>
          <w:szCs w:val="22"/>
        </w:rPr>
        <w:t xml:space="preserve"> </w:t>
      </w:r>
      <w:r>
        <w:rPr>
          <w:rFonts w:ascii="宋体" w:eastAsia="宋体" w:hAnsi="宋体" w:cs="宋体"/>
          <w:spacing w:val="-5"/>
          <w:sz w:val="22"/>
          <w:szCs w:val="22"/>
        </w:rPr>
        <w:t>(mg)</w:t>
      </w:r>
      <w:r>
        <w:rPr>
          <w:rFonts w:ascii="宋体" w:eastAsia="宋体" w:hAnsi="宋体" w:cs="宋体"/>
          <w:spacing w:val="67"/>
          <w:sz w:val="22"/>
          <w:szCs w:val="22"/>
        </w:rPr>
        <w:t xml:space="preserve"> </w:t>
      </w:r>
      <w:r>
        <w:rPr>
          <w:rFonts w:ascii="宋体" w:eastAsia="宋体" w:hAnsi="宋体" w:cs="宋体"/>
          <w:spacing w:val="-5"/>
          <w:sz w:val="22"/>
          <w:szCs w:val="22"/>
        </w:rPr>
        <w:t>之和。</w:t>
      </w:r>
    </w:p>
    <w:p w:rsidR="00EA40A3" w:rsidRDefault="00E86C16">
      <w:pPr>
        <w:spacing w:before="55" w:line="214" w:lineRule="auto"/>
        <w:ind w:left="399"/>
        <w:rPr>
          <w:rFonts w:ascii="宋体" w:eastAsia="宋体" w:hAnsi="宋体" w:cs="宋体"/>
          <w:sz w:val="22"/>
          <w:szCs w:val="22"/>
        </w:rPr>
      </w:pPr>
      <w:r>
        <w:rPr>
          <w:rFonts w:ascii="宋体" w:eastAsia="宋体" w:hAnsi="宋体" w:cs="宋体"/>
          <w:spacing w:val="7"/>
          <w:sz w:val="22"/>
          <w:szCs w:val="22"/>
        </w:rPr>
        <w:t>我国居民烟酸的</w:t>
      </w:r>
      <w:r>
        <w:rPr>
          <w:rFonts w:ascii="宋体" w:eastAsia="宋体" w:hAnsi="宋体" w:cs="宋体"/>
          <w:sz w:val="22"/>
          <w:szCs w:val="22"/>
        </w:rPr>
        <w:t>RNI</w:t>
      </w:r>
      <w:r>
        <w:rPr>
          <w:rFonts w:ascii="宋体" w:eastAsia="宋体" w:hAnsi="宋体" w:cs="宋体"/>
          <w:spacing w:val="7"/>
          <w:sz w:val="22"/>
          <w:szCs w:val="22"/>
        </w:rPr>
        <w:t>(</w:t>
      </w:r>
      <w:r>
        <w:rPr>
          <w:rFonts w:ascii="宋体" w:eastAsia="宋体" w:hAnsi="宋体" w:cs="宋体"/>
          <w:sz w:val="22"/>
          <w:szCs w:val="22"/>
        </w:rPr>
        <w:t>mgNE</w:t>
      </w:r>
      <w:r>
        <w:rPr>
          <w:rFonts w:ascii="宋体" w:eastAsia="宋体" w:hAnsi="宋体" w:cs="宋体"/>
          <w:spacing w:val="7"/>
          <w:sz w:val="22"/>
          <w:szCs w:val="22"/>
        </w:rPr>
        <w:t>/d)</w:t>
      </w:r>
      <w:r>
        <w:rPr>
          <w:rFonts w:ascii="宋体" w:eastAsia="宋体" w:hAnsi="宋体" w:cs="宋体"/>
          <w:spacing w:val="36"/>
          <w:sz w:val="22"/>
          <w:szCs w:val="22"/>
        </w:rPr>
        <w:t xml:space="preserve">   </w:t>
      </w:r>
      <w:r>
        <w:rPr>
          <w:rFonts w:ascii="宋体" w:eastAsia="宋体" w:hAnsi="宋体" w:cs="宋体"/>
          <w:spacing w:val="7"/>
          <w:sz w:val="22"/>
          <w:szCs w:val="22"/>
        </w:rPr>
        <w:t>分别定为：0岁约2</w:t>
      </w:r>
      <w:r>
        <w:rPr>
          <w:rFonts w:ascii="宋体" w:eastAsia="宋体" w:hAnsi="宋体" w:cs="宋体"/>
          <w:spacing w:val="-13"/>
          <w:sz w:val="22"/>
          <w:szCs w:val="22"/>
        </w:rPr>
        <w:t xml:space="preserve"> </w:t>
      </w:r>
      <w:r>
        <w:rPr>
          <w:rFonts w:ascii="宋体" w:eastAsia="宋体" w:hAnsi="宋体" w:cs="宋体"/>
          <w:spacing w:val="7"/>
          <w:sz w:val="22"/>
          <w:szCs w:val="22"/>
        </w:rPr>
        <w:t>(</w:t>
      </w:r>
      <w:r>
        <w:rPr>
          <w:rFonts w:ascii="宋体" w:eastAsia="宋体" w:hAnsi="宋体" w:cs="宋体"/>
          <w:sz w:val="22"/>
          <w:szCs w:val="22"/>
        </w:rPr>
        <w:t>AI</w:t>
      </w:r>
      <w:r>
        <w:rPr>
          <w:rFonts w:ascii="宋体" w:eastAsia="宋体" w:hAnsi="宋体" w:cs="宋体"/>
          <w:spacing w:val="7"/>
          <w:sz w:val="22"/>
          <w:szCs w:val="22"/>
        </w:rPr>
        <w:t>)、0.5</w:t>
      </w:r>
      <w:r>
        <w:rPr>
          <w:rFonts w:ascii="宋体" w:eastAsia="宋体" w:hAnsi="宋体" w:cs="宋体"/>
          <w:spacing w:val="37"/>
          <w:sz w:val="22"/>
          <w:szCs w:val="22"/>
        </w:rPr>
        <w:t xml:space="preserve"> </w:t>
      </w:r>
      <w:r>
        <w:rPr>
          <w:rFonts w:ascii="宋体" w:eastAsia="宋体" w:hAnsi="宋体" w:cs="宋体"/>
          <w:spacing w:val="7"/>
          <w:sz w:val="22"/>
          <w:szCs w:val="22"/>
        </w:rPr>
        <w:t>岁约</w:t>
      </w:r>
    </w:p>
    <w:p w:rsidR="00EA40A3" w:rsidRDefault="00E86C16">
      <w:pPr>
        <w:spacing w:before="52" w:line="230" w:lineRule="auto"/>
        <w:ind w:right="70"/>
        <w:rPr>
          <w:rFonts w:ascii="宋体" w:eastAsia="宋体" w:hAnsi="宋体" w:cs="宋体"/>
          <w:sz w:val="22"/>
          <w:szCs w:val="22"/>
        </w:rPr>
      </w:pPr>
      <w:r>
        <w:rPr>
          <w:rFonts w:ascii="宋体" w:eastAsia="宋体" w:hAnsi="宋体" w:cs="宋体"/>
          <w:spacing w:val="7"/>
          <w:sz w:val="22"/>
          <w:szCs w:val="22"/>
        </w:rPr>
        <w:t>3(</w:t>
      </w:r>
      <w:r>
        <w:rPr>
          <w:rFonts w:ascii="宋体" w:eastAsia="宋体" w:hAnsi="宋体" w:cs="宋体"/>
          <w:sz w:val="22"/>
          <w:szCs w:val="22"/>
        </w:rPr>
        <w:t>AI</w:t>
      </w:r>
      <w:r>
        <w:rPr>
          <w:rFonts w:ascii="宋体" w:eastAsia="宋体" w:hAnsi="宋体" w:cs="宋体"/>
          <w:spacing w:val="7"/>
          <w:sz w:val="22"/>
          <w:szCs w:val="22"/>
        </w:rPr>
        <w:t>)、1</w:t>
      </w:r>
      <w:r>
        <w:rPr>
          <w:rFonts w:ascii="宋体" w:eastAsia="宋体" w:hAnsi="宋体" w:cs="宋体"/>
          <w:spacing w:val="45"/>
          <w:sz w:val="22"/>
          <w:szCs w:val="22"/>
        </w:rPr>
        <w:t xml:space="preserve"> </w:t>
      </w:r>
      <w:r>
        <w:rPr>
          <w:rFonts w:ascii="宋体" w:eastAsia="宋体" w:hAnsi="宋体" w:cs="宋体"/>
          <w:spacing w:val="7"/>
          <w:sz w:val="22"/>
          <w:szCs w:val="22"/>
        </w:rPr>
        <w:t>岁约6、4岁约7、7岁约10、11岁约12、14岁男性约15、女性约</w:t>
      </w:r>
      <w:r>
        <w:rPr>
          <w:rFonts w:ascii="宋体" w:eastAsia="宋体" w:hAnsi="宋体" w:cs="宋体"/>
          <w:sz w:val="22"/>
          <w:szCs w:val="22"/>
        </w:rPr>
        <w:t xml:space="preserve"> </w:t>
      </w:r>
      <w:r>
        <w:rPr>
          <w:rFonts w:ascii="宋体" w:eastAsia="宋体" w:hAnsi="宋体" w:cs="宋体"/>
          <w:spacing w:val="6"/>
          <w:sz w:val="22"/>
          <w:szCs w:val="22"/>
        </w:rPr>
        <w:t>12,18岁男性约14、女性约13,孕妇15,乳母18。居民烟酸的</w:t>
      </w:r>
      <w:r>
        <w:rPr>
          <w:rFonts w:ascii="宋体" w:eastAsia="宋体" w:hAnsi="宋体" w:cs="宋体"/>
          <w:sz w:val="22"/>
          <w:szCs w:val="22"/>
        </w:rPr>
        <w:t>UL</w:t>
      </w:r>
      <w:r>
        <w:rPr>
          <w:rFonts w:ascii="宋体" w:eastAsia="宋体" w:hAnsi="宋体" w:cs="宋体"/>
          <w:spacing w:val="6"/>
          <w:sz w:val="22"/>
          <w:szCs w:val="22"/>
        </w:rPr>
        <w:t>(</w:t>
      </w:r>
      <w:r>
        <w:rPr>
          <w:rFonts w:ascii="宋体" w:eastAsia="宋体" w:hAnsi="宋体" w:cs="宋体"/>
          <w:sz w:val="22"/>
          <w:szCs w:val="22"/>
        </w:rPr>
        <w:t>mgNE</w:t>
      </w:r>
      <w:r>
        <w:rPr>
          <w:rFonts w:ascii="宋体" w:eastAsia="宋体" w:hAnsi="宋体" w:cs="宋体"/>
          <w:spacing w:val="6"/>
          <w:sz w:val="22"/>
          <w:szCs w:val="22"/>
        </w:rPr>
        <w:t>/d)</w:t>
      </w:r>
    </w:p>
    <w:p w:rsidR="00EA40A3" w:rsidRDefault="00E86C16">
      <w:pPr>
        <w:spacing w:before="52" w:line="241" w:lineRule="auto"/>
        <w:ind w:right="80"/>
        <w:rPr>
          <w:rFonts w:ascii="宋体" w:eastAsia="宋体" w:hAnsi="宋体" w:cs="宋体"/>
          <w:sz w:val="22"/>
          <w:szCs w:val="22"/>
        </w:rPr>
      </w:pPr>
      <w:r>
        <w:rPr>
          <w:rFonts w:ascii="宋体" w:eastAsia="宋体" w:hAnsi="宋体" w:cs="宋体"/>
          <w:spacing w:val="2"/>
          <w:sz w:val="22"/>
          <w:szCs w:val="22"/>
        </w:rPr>
        <w:t>分别定为：1岁约10、4岁约15、7岁约20、11岁约30、14岁约30、18岁以上</w:t>
      </w:r>
      <w:r>
        <w:rPr>
          <w:rFonts w:ascii="宋体" w:eastAsia="宋体" w:hAnsi="宋体" w:cs="宋体"/>
          <w:spacing w:val="4"/>
          <w:sz w:val="22"/>
          <w:szCs w:val="22"/>
        </w:rPr>
        <w:t xml:space="preserve"> </w:t>
      </w:r>
      <w:r>
        <w:rPr>
          <w:rFonts w:ascii="宋体" w:eastAsia="宋体" w:hAnsi="宋体" w:cs="宋体"/>
          <w:spacing w:val="-8"/>
          <w:sz w:val="22"/>
          <w:szCs w:val="22"/>
        </w:rPr>
        <w:t>35。</w:t>
      </w:r>
    </w:p>
    <w:p w:rsidR="00EA40A3" w:rsidRDefault="00E86C16">
      <w:pPr>
        <w:spacing w:before="78" w:line="246" w:lineRule="auto"/>
        <w:ind w:firstLine="399"/>
        <w:jc w:val="both"/>
        <w:rPr>
          <w:rFonts w:ascii="宋体" w:eastAsia="宋体" w:hAnsi="宋体" w:cs="宋体"/>
          <w:sz w:val="22"/>
          <w:szCs w:val="22"/>
        </w:rPr>
      </w:pPr>
      <w:r>
        <w:rPr>
          <w:rFonts w:ascii="宋体" w:eastAsia="宋体" w:hAnsi="宋体" w:cs="宋体"/>
          <w:spacing w:val="-10"/>
          <w:sz w:val="22"/>
          <w:szCs w:val="22"/>
        </w:rPr>
        <w:t>尼克酸及其衍生物广泛存在于动物和植物性食物中，</w:t>
      </w:r>
      <w:r>
        <w:rPr>
          <w:rFonts w:ascii="宋体" w:eastAsia="宋体" w:hAnsi="宋体" w:cs="宋体"/>
          <w:spacing w:val="-11"/>
          <w:sz w:val="22"/>
          <w:szCs w:val="22"/>
        </w:rPr>
        <w:t>其良好的来源为酵母、</w:t>
      </w:r>
      <w:r>
        <w:rPr>
          <w:rFonts w:ascii="宋体" w:eastAsia="宋体" w:hAnsi="宋体" w:cs="宋体"/>
          <w:sz w:val="22"/>
          <w:szCs w:val="22"/>
        </w:rPr>
        <w:t xml:space="preserve"> </w:t>
      </w:r>
      <w:r>
        <w:rPr>
          <w:rFonts w:ascii="宋体" w:eastAsia="宋体" w:hAnsi="宋体" w:cs="宋体"/>
          <w:spacing w:val="-7"/>
          <w:sz w:val="22"/>
          <w:szCs w:val="22"/>
        </w:rPr>
        <w:t>肉类(包括肝)、全谷及豆类等，奶类及其制品、各种绿叶蔬菜、鱼、咖啡、茶</w:t>
      </w:r>
      <w:r>
        <w:rPr>
          <w:rFonts w:ascii="宋体" w:eastAsia="宋体" w:hAnsi="宋体" w:cs="宋体"/>
          <w:spacing w:val="3"/>
          <w:sz w:val="22"/>
          <w:szCs w:val="22"/>
        </w:rPr>
        <w:t xml:space="preserve"> </w:t>
      </w:r>
      <w:r>
        <w:rPr>
          <w:rFonts w:ascii="宋体" w:eastAsia="宋体" w:hAnsi="宋体" w:cs="宋体"/>
          <w:spacing w:val="-10"/>
          <w:sz w:val="22"/>
          <w:szCs w:val="22"/>
        </w:rPr>
        <w:t>中也有相当量。在一些植物中的尼克酸，可能与大分子物质结合(如玉米、</w:t>
      </w:r>
      <w:r>
        <w:rPr>
          <w:rFonts w:ascii="宋体" w:eastAsia="宋体" w:hAnsi="宋体" w:cs="宋体"/>
          <w:spacing w:val="-11"/>
          <w:sz w:val="22"/>
          <w:szCs w:val="22"/>
        </w:rPr>
        <w:t>高粱</w:t>
      </w:r>
      <w:r>
        <w:rPr>
          <w:rFonts w:ascii="宋体" w:eastAsia="宋体" w:hAnsi="宋体" w:cs="宋体"/>
          <w:sz w:val="22"/>
          <w:szCs w:val="22"/>
        </w:rPr>
        <w:t xml:space="preserve"> </w:t>
      </w:r>
      <w:r>
        <w:rPr>
          <w:rFonts w:ascii="宋体" w:eastAsia="宋体" w:hAnsi="宋体" w:cs="宋体"/>
          <w:spacing w:val="-7"/>
          <w:sz w:val="22"/>
          <w:szCs w:val="22"/>
        </w:rPr>
        <w:t>等谷物中的大多数尼克酸为结合型尼克酸),不能被哺乳动物吸收利用，如用碱</w:t>
      </w:r>
      <w:r>
        <w:rPr>
          <w:rFonts w:ascii="宋体" w:eastAsia="宋体" w:hAnsi="宋体" w:cs="宋体"/>
          <w:spacing w:val="2"/>
          <w:sz w:val="22"/>
          <w:szCs w:val="22"/>
        </w:rPr>
        <w:t xml:space="preserve"> </w:t>
      </w:r>
      <w:r>
        <w:rPr>
          <w:rFonts w:ascii="宋体" w:eastAsia="宋体" w:hAnsi="宋体" w:cs="宋体"/>
          <w:spacing w:val="-7"/>
          <w:sz w:val="22"/>
          <w:szCs w:val="22"/>
        </w:rPr>
        <w:t>(小苏打、石灰水等)处理，可有大量游离尼克酸从结合型中释放出来而使结合</w:t>
      </w:r>
      <w:r>
        <w:rPr>
          <w:rFonts w:ascii="宋体" w:eastAsia="宋体" w:hAnsi="宋体" w:cs="宋体"/>
          <w:spacing w:val="3"/>
          <w:sz w:val="22"/>
          <w:szCs w:val="22"/>
        </w:rPr>
        <w:t xml:space="preserve"> </w:t>
      </w:r>
      <w:r>
        <w:rPr>
          <w:rFonts w:ascii="宋体" w:eastAsia="宋体" w:hAnsi="宋体" w:cs="宋体"/>
          <w:spacing w:val="-17"/>
          <w:sz w:val="22"/>
          <w:szCs w:val="22"/>
        </w:rPr>
        <w:t>型尼克酸的生物利用率增加。</w:t>
      </w:r>
    </w:p>
    <w:p w:rsidR="00EA40A3" w:rsidRDefault="00E86C16">
      <w:pPr>
        <w:spacing w:before="188" w:line="221" w:lineRule="auto"/>
        <w:ind w:left="3"/>
        <w:outlineLvl w:val="6"/>
        <w:rPr>
          <w:rFonts w:ascii="Calibri" w:eastAsia="Calibri" w:hAnsi="Calibri" w:cs="Calibri"/>
          <w:sz w:val="26"/>
          <w:szCs w:val="26"/>
        </w:rPr>
      </w:pPr>
      <w:r>
        <w:rPr>
          <w:rFonts w:ascii="黑体" w:eastAsia="黑体" w:hAnsi="黑体" w:cs="黑体"/>
          <w:b/>
          <w:bCs/>
          <w:spacing w:val="-11"/>
          <w:sz w:val="26"/>
          <w:szCs w:val="26"/>
        </w:rPr>
        <w:t>4.2.8</w:t>
      </w:r>
      <w:r>
        <w:rPr>
          <w:rFonts w:ascii="黑体" w:eastAsia="黑体" w:hAnsi="黑体" w:cs="黑体"/>
          <w:spacing w:val="103"/>
          <w:sz w:val="26"/>
          <w:szCs w:val="26"/>
        </w:rPr>
        <w:t xml:space="preserve"> </w:t>
      </w:r>
      <w:r>
        <w:rPr>
          <w:rFonts w:ascii="黑体" w:eastAsia="黑体" w:hAnsi="黑体" w:cs="黑体"/>
          <w:b/>
          <w:bCs/>
          <w:spacing w:val="-11"/>
          <w:sz w:val="26"/>
          <w:szCs w:val="26"/>
        </w:rPr>
        <w:t>维生素B</w:t>
      </w:r>
      <w:r>
        <w:rPr>
          <w:rFonts w:ascii="Calibri" w:eastAsia="Calibri" w:hAnsi="Calibri" w:cs="Calibri"/>
          <w:b/>
          <w:bCs/>
          <w:spacing w:val="-11"/>
          <w:sz w:val="26"/>
          <w:szCs w:val="26"/>
        </w:rPr>
        <w:t>₆</w:t>
      </w:r>
    </w:p>
    <w:p w:rsidR="00EA40A3" w:rsidRDefault="00E86C16">
      <w:pPr>
        <w:spacing w:before="245" w:line="220"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34"/>
          <w:sz w:val="22"/>
          <w:szCs w:val="22"/>
        </w:rPr>
        <w:t xml:space="preserve"> </w:t>
      </w:r>
      <w:r>
        <w:rPr>
          <w:rFonts w:ascii="仿宋" w:eastAsia="仿宋" w:hAnsi="仿宋" w:cs="仿宋"/>
          <w:spacing w:val="12"/>
          <w:sz w:val="22"/>
          <w:szCs w:val="22"/>
        </w:rPr>
        <w:t>维生素B</w:t>
      </w:r>
      <w:r>
        <w:rPr>
          <w:rFonts w:ascii="Calibri" w:eastAsia="Calibri" w:hAnsi="Calibri" w:cs="Calibri"/>
          <w:spacing w:val="12"/>
          <w:sz w:val="22"/>
          <w:szCs w:val="22"/>
        </w:rPr>
        <w:t>₃</w:t>
      </w:r>
      <w:r>
        <w:rPr>
          <w:rFonts w:ascii="Calibri" w:eastAsia="Calibri" w:hAnsi="Calibri" w:cs="Calibri"/>
          <w:spacing w:val="15"/>
          <w:sz w:val="22"/>
          <w:szCs w:val="22"/>
        </w:rPr>
        <w:t xml:space="preserve">  </w:t>
      </w:r>
      <w:r>
        <w:rPr>
          <w:rFonts w:ascii="仿宋" w:eastAsia="仿宋" w:hAnsi="仿宋" w:cs="仿宋"/>
          <w:spacing w:val="12"/>
          <w:sz w:val="22"/>
          <w:szCs w:val="22"/>
        </w:rPr>
        <w:t>理化性质</w:t>
      </w:r>
    </w:p>
    <w:p w:rsidR="00EA40A3" w:rsidRDefault="00E86C16">
      <w:pPr>
        <w:spacing w:before="219" w:line="216" w:lineRule="auto"/>
        <w:ind w:left="399"/>
        <w:rPr>
          <w:rFonts w:ascii="宋体" w:eastAsia="宋体" w:hAnsi="宋体" w:cs="宋体"/>
          <w:sz w:val="22"/>
          <w:szCs w:val="22"/>
        </w:rPr>
      </w:pPr>
      <w:r>
        <w:rPr>
          <w:rFonts w:ascii="宋体" w:eastAsia="宋体" w:hAnsi="宋体" w:cs="宋体"/>
          <w:spacing w:val="3"/>
          <w:sz w:val="22"/>
          <w:szCs w:val="22"/>
        </w:rPr>
        <w:t>维生素</w:t>
      </w:r>
      <w:r>
        <w:rPr>
          <w:rFonts w:ascii="宋体" w:eastAsia="宋体" w:hAnsi="宋体" w:cs="宋体"/>
          <w:spacing w:val="-43"/>
          <w:sz w:val="22"/>
          <w:szCs w:val="22"/>
        </w:rPr>
        <w:t xml:space="preserve"> </w:t>
      </w:r>
      <w:r>
        <w:rPr>
          <w:rFonts w:ascii="宋体" w:eastAsia="宋体" w:hAnsi="宋体" w:cs="宋体"/>
          <w:spacing w:val="3"/>
          <w:sz w:val="22"/>
          <w:szCs w:val="22"/>
        </w:rPr>
        <w:t>B。也称吡哆素</w:t>
      </w:r>
      <w:r>
        <w:rPr>
          <w:rFonts w:ascii="宋体" w:eastAsia="宋体" w:hAnsi="宋体" w:cs="宋体"/>
          <w:spacing w:val="-10"/>
          <w:sz w:val="22"/>
          <w:szCs w:val="22"/>
        </w:rPr>
        <w:t xml:space="preserve"> </w:t>
      </w:r>
      <w:r>
        <w:rPr>
          <w:rFonts w:ascii="宋体" w:eastAsia="宋体" w:hAnsi="宋体" w:cs="宋体"/>
          <w:spacing w:val="3"/>
          <w:sz w:val="22"/>
          <w:szCs w:val="22"/>
        </w:rPr>
        <w:t>(</w:t>
      </w:r>
      <w:r>
        <w:rPr>
          <w:rFonts w:ascii="宋体" w:eastAsia="宋体" w:hAnsi="宋体" w:cs="宋体"/>
          <w:sz w:val="22"/>
          <w:szCs w:val="22"/>
        </w:rPr>
        <w:t>adermin</w:t>
      </w:r>
      <w:r>
        <w:rPr>
          <w:rFonts w:ascii="宋体" w:eastAsia="宋体" w:hAnsi="宋体" w:cs="宋体"/>
          <w:spacing w:val="3"/>
          <w:sz w:val="22"/>
          <w:szCs w:val="22"/>
        </w:rPr>
        <w:t>),</w:t>
      </w:r>
      <w:r>
        <w:rPr>
          <w:rFonts w:ascii="宋体" w:eastAsia="宋体" w:hAnsi="宋体" w:cs="宋体"/>
          <w:spacing w:val="-13"/>
          <w:sz w:val="22"/>
          <w:szCs w:val="22"/>
        </w:rPr>
        <w:t xml:space="preserve"> </w:t>
      </w:r>
      <w:r>
        <w:rPr>
          <w:rFonts w:ascii="宋体" w:eastAsia="宋体" w:hAnsi="宋体" w:cs="宋体"/>
          <w:spacing w:val="3"/>
          <w:sz w:val="22"/>
          <w:szCs w:val="22"/>
        </w:rPr>
        <w:t>是一组含氮的化合物，包括吡哆醇</w:t>
      </w:r>
    </w:p>
    <w:p w:rsidR="00EA40A3" w:rsidRDefault="00E86C16">
      <w:pPr>
        <w:spacing w:before="119"/>
        <w:ind w:right="136"/>
        <w:jc w:val="right"/>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137</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970" w:bottom="400" w:left="930" w:header="0" w:footer="0" w:gutter="0"/>
          <w:cols w:space="720"/>
        </w:sectPr>
      </w:pPr>
    </w:p>
    <w:p w:rsidR="00EA40A3" w:rsidRDefault="00EA40A3"/>
    <w:p w:rsidR="00EA40A3" w:rsidRDefault="00EA40A3"/>
    <w:p w:rsidR="00EA40A3" w:rsidRDefault="00EA40A3">
      <w:pPr>
        <w:spacing w:line="169" w:lineRule="exact"/>
      </w:pPr>
    </w:p>
    <w:p w:rsidR="00EA40A3" w:rsidRDefault="00EA40A3">
      <w:pPr>
        <w:sectPr w:rsidR="00EA40A3">
          <w:pgSz w:w="9340" w:h="13440"/>
          <w:pgMar w:top="400" w:right="1100" w:bottom="400" w:left="880" w:header="0" w:footer="0" w:gutter="0"/>
          <w:cols w:space="720" w:equalWidth="0">
            <w:col w:w="7360"/>
          </w:cols>
        </w:sectPr>
      </w:pPr>
    </w:p>
    <w:p w:rsidR="00EA40A3" w:rsidRDefault="00E86C16">
      <w:pPr>
        <w:spacing w:before="137" w:line="740" w:lineRule="exact"/>
        <w:ind w:firstLine="509"/>
        <w:textAlignment w:val="center"/>
      </w:pPr>
      <w:r>
        <w:rPr>
          <w:noProof/>
        </w:rPr>
        <w:drawing>
          <wp:inline distT="0" distB="0" distL="0" distR="0">
            <wp:extent cx="838200" cy="46990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07"/>
                    <a:stretch>
                      <a:fillRect/>
                    </a:stretch>
                  </pic:blipFill>
                  <pic:spPr>
                    <a:xfrm>
                      <a:off x="0" y="0"/>
                      <a:ext cx="838214" cy="469903"/>
                    </a:xfrm>
                    <a:prstGeom prst="rect">
                      <a:avLst/>
                    </a:prstGeom>
                  </pic:spPr>
                </pic:pic>
              </a:graphicData>
            </a:graphic>
          </wp:inline>
        </w:drawing>
      </w:r>
    </w:p>
    <w:p w:rsidR="00EA40A3" w:rsidRDefault="00E86C16">
      <w:pPr>
        <w:spacing w:before="219" w:line="252" w:lineRule="auto"/>
        <w:ind w:left="329" w:right="423"/>
        <w:rPr>
          <w:rFonts w:ascii="宋体" w:eastAsia="宋体" w:hAnsi="宋体" w:cs="宋体"/>
          <w:sz w:val="16"/>
          <w:szCs w:val="16"/>
        </w:rPr>
      </w:pPr>
      <w:r>
        <w:rPr>
          <w:rFonts w:ascii="宋体" w:eastAsia="宋体" w:hAnsi="宋体" w:cs="宋体"/>
          <w:spacing w:val="-20"/>
          <w:sz w:val="22"/>
          <w:szCs w:val="22"/>
        </w:rPr>
        <w:t>图4-12</w:t>
      </w:r>
      <w:r>
        <w:rPr>
          <w:rFonts w:ascii="宋体" w:eastAsia="宋体" w:hAnsi="宋体" w:cs="宋体"/>
          <w:spacing w:val="55"/>
          <w:sz w:val="22"/>
          <w:szCs w:val="22"/>
        </w:rPr>
        <w:t xml:space="preserve"> </w:t>
      </w:r>
      <w:r>
        <w:rPr>
          <w:rFonts w:ascii="宋体" w:eastAsia="宋体" w:hAnsi="宋体" w:cs="宋体"/>
          <w:spacing w:val="-20"/>
          <w:sz w:val="22"/>
          <w:szCs w:val="22"/>
        </w:rPr>
        <w:t>维生素B</w:t>
      </w:r>
      <w:r>
        <w:rPr>
          <w:rFonts w:ascii="宋体" w:eastAsia="宋体" w:hAnsi="宋体" w:cs="宋体"/>
          <w:sz w:val="22"/>
          <w:szCs w:val="22"/>
        </w:rPr>
        <w:t xml:space="preserve"> </w:t>
      </w:r>
      <w:r>
        <w:rPr>
          <w:rFonts w:ascii="宋体" w:eastAsia="宋体" w:hAnsi="宋体" w:cs="宋体"/>
          <w:spacing w:val="-11"/>
          <w:sz w:val="16"/>
          <w:szCs w:val="16"/>
        </w:rPr>
        <w:t>吡哆醛：</w:t>
      </w:r>
      <w:r>
        <w:rPr>
          <w:rFonts w:ascii="宋体" w:eastAsia="宋体" w:hAnsi="宋体" w:cs="宋体"/>
          <w:spacing w:val="-15"/>
          <w:sz w:val="16"/>
          <w:szCs w:val="16"/>
        </w:rPr>
        <w:t xml:space="preserve"> </w:t>
      </w:r>
      <w:r>
        <w:rPr>
          <w:rFonts w:ascii="宋体" w:eastAsia="宋体" w:hAnsi="宋体" w:cs="宋体"/>
          <w:spacing w:val="-11"/>
          <w:sz w:val="16"/>
          <w:szCs w:val="16"/>
        </w:rPr>
        <w:t>R=—CHO</w:t>
      </w:r>
    </w:p>
    <w:p w:rsidR="00EA40A3" w:rsidRDefault="00E86C16">
      <w:pPr>
        <w:spacing w:before="69" w:line="220" w:lineRule="auto"/>
        <w:ind w:left="329"/>
        <w:rPr>
          <w:rFonts w:ascii="Calibri" w:eastAsia="Calibri" w:hAnsi="Calibri" w:cs="Calibri"/>
          <w:sz w:val="16"/>
          <w:szCs w:val="16"/>
        </w:rPr>
      </w:pPr>
      <w:r>
        <w:rPr>
          <w:rFonts w:ascii="宋体" w:eastAsia="宋体" w:hAnsi="宋体" w:cs="宋体"/>
          <w:spacing w:val="-8"/>
          <w:sz w:val="16"/>
          <w:szCs w:val="16"/>
        </w:rPr>
        <w:t>吡哆胺：</w:t>
      </w:r>
      <w:r>
        <w:rPr>
          <w:rFonts w:ascii="宋体" w:eastAsia="宋体" w:hAnsi="宋体" w:cs="宋体"/>
          <w:spacing w:val="-13"/>
          <w:sz w:val="16"/>
          <w:szCs w:val="16"/>
        </w:rPr>
        <w:t xml:space="preserve"> </w:t>
      </w:r>
      <w:r>
        <w:rPr>
          <w:rFonts w:ascii="宋体" w:eastAsia="宋体" w:hAnsi="宋体" w:cs="宋体"/>
          <w:spacing w:val="-8"/>
          <w:sz w:val="16"/>
          <w:szCs w:val="16"/>
        </w:rPr>
        <w:t>R=—CH</w:t>
      </w:r>
      <w:r>
        <w:rPr>
          <w:rFonts w:ascii="Calibri" w:eastAsia="Calibri" w:hAnsi="Calibri" w:cs="Calibri"/>
          <w:spacing w:val="-8"/>
          <w:sz w:val="16"/>
          <w:szCs w:val="16"/>
        </w:rPr>
        <w:t>₂</w:t>
      </w:r>
      <w:r>
        <w:rPr>
          <w:rFonts w:ascii="宋体" w:eastAsia="宋体" w:hAnsi="宋体" w:cs="宋体"/>
          <w:spacing w:val="-8"/>
          <w:sz w:val="16"/>
          <w:szCs w:val="16"/>
        </w:rPr>
        <w:t>NH</w:t>
      </w:r>
      <w:r>
        <w:rPr>
          <w:rFonts w:ascii="Calibri" w:eastAsia="Calibri" w:hAnsi="Calibri" w:cs="Calibri"/>
          <w:spacing w:val="-8"/>
          <w:sz w:val="16"/>
          <w:szCs w:val="16"/>
        </w:rPr>
        <w:t>₂</w:t>
      </w:r>
    </w:p>
    <w:p w:rsidR="00EA40A3" w:rsidRDefault="00E86C16">
      <w:pPr>
        <w:spacing w:before="11" w:line="220" w:lineRule="auto"/>
        <w:ind w:left="329"/>
        <w:rPr>
          <w:rFonts w:ascii="宋体" w:eastAsia="宋体" w:hAnsi="宋体" w:cs="宋体"/>
          <w:sz w:val="22"/>
          <w:szCs w:val="22"/>
        </w:rPr>
      </w:pPr>
      <w:r>
        <w:rPr>
          <w:rFonts w:ascii="宋体" w:eastAsia="宋体" w:hAnsi="宋体" w:cs="宋体"/>
          <w:spacing w:val="-17"/>
          <w:w w:val="96"/>
          <w:sz w:val="22"/>
          <w:szCs w:val="22"/>
        </w:rPr>
        <w:t>吡哆醇：R=—CH</w:t>
      </w:r>
      <w:r>
        <w:rPr>
          <w:rFonts w:ascii="Calibri" w:eastAsia="Calibri" w:hAnsi="Calibri" w:cs="Calibri"/>
          <w:spacing w:val="-17"/>
          <w:w w:val="96"/>
          <w:sz w:val="22"/>
          <w:szCs w:val="22"/>
        </w:rPr>
        <w:t>₂</w:t>
      </w:r>
      <w:r>
        <w:rPr>
          <w:rFonts w:ascii="宋体" w:eastAsia="宋体" w:hAnsi="宋体" w:cs="宋体"/>
          <w:spacing w:val="-17"/>
          <w:w w:val="96"/>
          <w:sz w:val="22"/>
          <w:szCs w:val="22"/>
        </w:rPr>
        <w:t>OH</w:t>
      </w:r>
    </w:p>
    <w:p w:rsidR="00EA40A3" w:rsidRDefault="00EA40A3">
      <w:pPr>
        <w:spacing w:line="248" w:lineRule="auto"/>
      </w:pPr>
    </w:p>
    <w:p w:rsidR="00EA40A3" w:rsidRDefault="00E86C16">
      <w:pPr>
        <w:spacing w:before="72" w:line="184" w:lineRule="auto"/>
        <w:rPr>
          <w:rFonts w:ascii="宋体" w:eastAsia="宋体" w:hAnsi="宋体" w:cs="宋体"/>
          <w:sz w:val="22"/>
          <w:szCs w:val="22"/>
        </w:rPr>
      </w:pPr>
      <w:r>
        <w:rPr>
          <w:rFonts w:ascii="宋体" w:eastAsia="宋体" w:hAnsi="宋体" w:cs="宋体"/>
          <w:spacing w:val="-6"/>
          <w:sz w:val="22"/>
          <w:szCs w:val="22"/>
        </w:rPr>
        <w:t>解程度不同，尤其与pH</w:t>
      </w:r>
    </w:p>
    <w:p w:rsidR="00EA40A3" w:rsidRDefault="00E86C16">
      <w:pPr>
        <w:spacing w:line="14" w:lineRule="auto"/>
        <w:rPr>
          <w:sz w:val="2"/>
        </w:rPr>
      </w:pPr>
      <w:r>
        <w:rPr>
          <w:sz w:val="2"/>
          <w:szCs w:val="2"/>
        </w:rPr>
        <w:br w:type="column"/>
      </w:r>
    </w:p>
    <w:p w:rsidR="00EA40A3" w:rsidRDefault="00E86C16">
      <w:pPr>
        <w:spacing w:before="2" w:line="264" w:lineRule="auto"/>
        <w:ind w:right="40"/>
        <w:jc w:val="both"/>
        <w:rPr>
          <w:rFonts w:ascii="宋体" w:eastAsia="宋体" w:hAnsi="宋体" w:cs="宋体"/>
        </w:rPr>
      </w:pPr>
      <w:r>
        <w:rPr>
          <w:rFonts w:ascii="宋体" w:eastAsia="宋体" w:hAnsi="宋体" w:cs="宋体"/>
          <w:spacing w:val="-2"/>
        </w:rPr>
        <w:t>(pyridoxine,PN)、</w:t>
      </w:r>
      <w:r>
        <w:rPr>
          <w:rFonts w:ascii="宋体" w:eastAsia="宋体" w:hAnsi="宋体" w:cs="宋体"/>
          <w:spacing w:val="25"/>
        </w:rPr>
        <w:t xml:space="preserve"> </w:t>
      </w:r>
      <w:r>
        <w:rPr>
          <w:rFonts w:ascii="宋体" w:eastAsia="宋体" w:hAnsi="宋体" w:cs="宋体"/>
          <w:spacing w:val="-2"/>
        </w:rPr>
        <w:t>吡哆醛</w:t>
      </w:r>
      <w:r>
        <w:rPr>
          <w:rFonts w:ascii="宋体" w:eastAsia="宋体" w:hAnsi="宋体" w:cs="宋体"/>
          <w:spacing w:val="3"/>
        </w:rPr>
        <w:t xml:space="preserve"> </w:t>
      </w:r>
      <w:r>
        <w:rPr>
          <w:rFonts w:ascii="宋体" w:eastAsia="宋体" w:hAnsi="宋体" w:cs="宋体"/>
          <w:spacing w:val="-2"/>
        </w:rPr>
        <w:t>(pyridoxal,PL</w:t>
      </w:r>
      <w:r>
        <w:rPr>
          <w:rFonts w:ascii="宋体" w:eastAsia="宋体" w:hAnsi="宋体" w:cs="宋体"/>
          <w:spacing w:val="-3"/>
        </w:rPr>
        <w:t>)</w:t>
      </w:r>
      <w:r>
        <w:rPr>
          <w:rFonts w:ascii="宋体" w:eastAsia="宋体" w:hAnsi="宋体" w:cs="宋体"/>
          <w:spacing w:val="12"/>
        </w:rPr>
        <w:t xml:space="preserve"> </w:t>
      </w:r>
      <w:r>
        <w:rPr>
          <w:rFonts w:ascii="宋体" w:eastAsia="宋体" w:hAnsi="宋体" w:cs="宋体"/>
          <w:spacing w:val="-3"/>
        </w:rPr>
        <w:t>及吡哆胺</w:t>
      </w:r>
      <w:r>
        <w:rPr>
          <w:rFonts w:ascii="宋体" w:eastAsia="宋体" w:hAnsi="宋体" w:cs="宋体"/>
        </w:rPr>
        <w:t xml:space="preserve"> </w:t>
      </w:r>
      <w:r>
        <w:rPr>
          <w:rFonts w:ascii="宋体" w:eastAsia="宋体" w:hAnsi="宋体" w:cs="宋体"/>
          <w:spacing w:val="10"/>
        </w:rPr>
        <w:t>(</w:t>
      </w:r>
      <w:r>
        <w:rPr>
          <w:rFonts w:ascii="宋体" w:eastAsia="宋体" w:hAnsi="宋体" w:cs="宋体"/>
        </w:rPr>
        <w:t>pyridoxamine</w:t>
      </w:r>
      <w:r>
        <w:rPr>
          <w:rFonts w:ascii="宋体" w:eastAsia="宋体" w:hAnsi="宋体" w:cs="宋体"/>
          <w:spacing w:val="10"/>
        </w:rPr>
        <w:t>,</w:t>
      </w:r>
      <w:r>
        <w:rPr>
          <w:rFonts w:ascii="宋体" w:eastAsia="宋体" w:hAnsi="宋体" w:cs="宋体"/>
        </w:rPr>
        <w:t>PM</w:t>
      </w:r>
      <w:r>
        <w:rPr>
          <w:rFonts w:ascii="宋体" w:eastAsia="宋体" w:hAnsi="宋体" w:cs="宋体"/>
          <w:spacing w:val="10"/>
        </w:rPr>
        <w:t>)3</w:t>
      </w:r>
      <w:r>
        <w:rPr>
          <w:rFonts w:ascii="宋体" w:eastAsia="宋体" w:hAnsi="宋体" w:cs="宋体"/>
          <w:spacing w:val="12"/>
        </w:rPr>
        <w:t xml:space="preserve">  </w:t>
      </w:r>
      <w:r>
        <w:rPr>
          <w:rFonts w:ascii="宋体" w:eastAsia="宋体" w:hAnsi="宋体" w:cs="宋体"/>
          <w:spacing w:val="10"/>
        </w:rPr>
        <w:t>种天然形式，图4-12。3种</w:t>
      </w:r>
      <w:r>
        <w:rPr>
          <w:rFonts w:ascii="宋体" w:eastAsia="宋体" w:hAnsi="宋体" w:cs="宋体"/>
          <w:spacing w:val="-51"/>
        </w:rPr>
        <w:t xml:space="preserve"> </w:t>
      </w:r>
      <w:r>
        <w:rPr>
          <w:rFonts w:ascii="宋体" w:eastAsia="宋体" w:hAnsi="宋体" w:cs="宋体"/>
          <w:spacing w:val="10"/>
        </w:rPr>
        <w:t>B</w:t>
      </w:r>
      <w:r>
        <w:rPr>
          <w:rFonts w:ascii="Calibri" w:eastAsia="Calibri" w:hAnsi="Calibri" w:cs="Calibri"/>
          <w:spacing w:val="10"/>
        </w:rPr>
        <w:t>₈</w:t>
      </w:r>
      <w:r>
        <w:rPr>
          <w:rFonts w:ascii="Calibri" w:eastAsia="Calibri" w:hAnsi="Calibri" w:cs="Calibri"/>
        </w:rPr>
        <w:t xml:space="preserve">  </w:t>
      </w:r>
      <w:r>
        <w:rPr>
          <w:rFonts w:ascii="宋体" w:eastAsia="宋体" w:hAnsi="宋体" w:cs="宋体"/>
          <w:spacing w:val="-1"/>
        </w:rPr>
        <w:t>同效维生素都是2-甲基-3-羟基-5-羟甲基吡啶。在动物</w:t>
      </w:r>
      <w:r>
        <w:rPr>
          <w:rFonts w:ascii="宋体" w:eastAsia="宋体" w:hAnsi="宋体" w:cs="宋体"/>
          <w:spacing w:val="17"/>
        </w:rPr>
        <w:t xml:space="preserve"> </w:t>
      </w:r>
      <w:r>
        <w:rPr>
          <w:rFonts w:ascii="宋体" w:eastAsia="宋体" w:hAnsi="宋体" w:cs="宋体"/>
        </w:rPr>
        <w:t>组织内多以吡哆醛及吡哆胺存在，而植物中多以吡哆醇</w:t>
      </w:r>
      <w:r>
        <w:rPr>
          <w:rFonts w:ascii="宋体" w:eastAsia="宋体" w:hAnsi="宋体" w:cs="宋体"/>
          <w:spacing w:val="8"/>
        </w:rPr>
        <w:t xml:space="preserve"> </w:t>
      </w:r>
      <w:r>
        <w:rPr>
          <w:rFonts w:ascii="宋体" w:eastAsia="宋体" w:hAnsi="宋体" w:cs="宋体"/>
          <w:spacing w:val="-4"/>
        </w:rPr>
        <w:t>存在。</w:t>
      </w:r>
    </w:p>
    <w:p w:rsidR="00EA40A3" w:rsidRDefault="00E86C16">
      <w:pPr>
        <w:spacing w:before="40"/>
        <w:ind w:right="58" w:firstLine="420"/>
        <w:jc w:val="both"/>
        <w:rPr>
          <w:rFonts w:ascii="宋体" w:eastAsia="宋体" w:hAnsi="宋体" w:cs="宋体"/>
          <w:sz w:val="22"/>
          <w:szCs w:val="22"/>
        </w:rPr>
      </w:pPr>
      <w:r>
        <w:rPr>
          <w:rFonts w:ascii="宋体" w:eastAsia="宋体" w:hAnsi="宋体" w:cs="宋体"/>
          <w:spacing w:val="-6"/>
          <w:sz w:val="22"/>
          <w:szCs w:val="22"/>
        </w:rPr>
        <w:t>维生素B。的各种盐酸盐和碱的形式均易溶于水及</w:t>
      </w:r>
      <w:r>
        <w:rPr>
          <w:rFonts w:ascii="宋体" w:eastAsia="宋体" w:hAnsi="宋体" w:cs="宋体"/>
          <w:spacing w:val="12"/>
          <w:sz w:val="22"/>
          <w:szCs w:val="22"/>
        </w:rPr>
        <w:t xml:space="preserve"> </w:t>
      </w:r>
      <w:r>
        <w:rPr>
          <w:rFonts w:ascii="宋体" w:eastAsia="宋体" w:hAnsi="宋体" w:cs="宋体"/>
          <w:spacing w:val="-11"/>
          <w:sz w:val="22"/>
          <w:szCs w:val="22"/>
        </w:rPr>
        <w:t>乙醇，在空气中稳定，盐酸吡哆醇是最常见的市售维生</w:t>
      </w:r>
      <w:r>
        <w:rPr>
          <w:rFonts w:ascii="宋体" w:eastAsia="宋体" w:hAnsi="宋体" w:cs="宋体"/>
          <w:spacing w:val="12"/>
          <w:sz w:val="22"/>
          <w:szCs w:val="22"/>
        </w:rPr>
        <w:t xml:space="preserve"> </w:t>
      </w:r>
      <w:r>
        <w:rPr>
          <w:rFonts w:ascii="宋体" w:eastAsia="宋体" w:hAnsi="宋体" w:cs="宋体"/>
          <w:spacing w:val="-5"/>
          <w:sz w:val="22"/>
          <w:szCs w:val="22"/>
        </w:rPr>
        <w:t>素</w:t>
      </w:r>
      <w:r>
        <w:rPr>
          <w:rFonts w:ascii="宋体" w:eastAsia="宋体" w:hAnsi="宋体" w:cs="宋体"/>
          <w:spacing w:val="-59"/>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₆</w:t>
      </w:r>
      <w:r>
        <w:rPr>
          <w:rFonts w:ascii="Calibri" w:eastAsia="Calibri" w:hAnsi="Calibri" w:cs="Calibri"/>
          <w:spacing w:val="24"/>
          <w:w w:val="101"/>
          <w:sz w:val="22"/>
          <w:szCs w:val="22"/>
        </w:rPr>
        <w:t xml:space="preserve"> </w:t>
      </w:r>
      <w:r>
        <w:rPr>
          <w:rFonts w:ascii="宋体" w:eastAsia="宋体" w:hAnsi="宋体" w:cs="宋体"/>
          <w:spacing w:val="-5"/>
          <w:sz w:val="22"/>
          <w:szCs w:val="22"/>
        </w:rPr>
        <w:t>形式。在溶液中，各种形式均对光较敏</w:t>
      </w:r>
      <w:r>
        <w:rPr>
          <w:rFonts w:ascii="宋体" w:eastAsia="宋体" w:hAnsi="宋体" w:cs="宋体"/>
          <w:spacing w:val="-6"/>
          <w:sz w:val="22"/>
          <w:szCs w:val="22"/>
        </w:rPr>
        <w:t>感，但降</w:t>
      </w:r>
      <w:r>
        <w:rPr>
          <w:rFonts w:ascii="宋体" w:eastAsia="宋体" w:hAnsi="宋体" w:cs="宋体"/>
          <w:sz w:val="22"/>
          <w:szCs w:val="22"/>
        </w:rPr>
        <w:t xml:space="preserve"> </w:t>
      </w:r>
      <w:r>
        <w:rPr>
          <w:rFonts w:ascii="宋体" w:eastAsia="宋体" w:hAnsi="宋体" w:cs="宋体"/>
          <w:spacing w:val="-8"/>
          <w:sz w:val="22"/>
          <w:szCs w:val="22"/>
        </w:rPr>
        <w:t>值有关。在酸性介质中，3种形式对热都比较稳定，但</w:t>
      </w:r>
    </w:p>
    <w:p w:rsidR="00EA40A3" w:rsidRDefault="00EA40A3">
      <w:pPr>
        <w:sectPr w:rsidR="00EA40A3">
          <w:type w:val="continuous"/>
          <w:pgSz w:w="9340" w:h="13440"/>
          <w:pgMar w:top="400" w:right="1100" w:bottom="400" w:left="880" w:header="0" w:footer="0" w:gutter="0"/>
          <w:cols w:num="2" w:space="720" w:equalWidth="0">
            <w:col w:w="2170" w:space="100"/>
            <w:col w:w="5090"/>
          </w:cols>
        </w:sectPr>
      </w:pPr>
    </w:p>
    <w:p w:rsidR="00EA40A3" w:rsidRDefault="00E86C16">
      <w:pPr>
        <w:spacing w:before="85" w:line="219" w:lineRule="auto"/>
        <w:rPr>
          <w:rFonts w:ascii="宋体" w:eastAsia="宋体" w:hAnsi="宋体" w:cs="宋体"/>
          <w:sz w:val="22"/>
          <w:szCs w:val="22"/>
        </w:rPr>
      </w:pPr>
      <w:r>
        <w:rPr>
          <w:rFonts w:ascii="宋体" w:eastAsia="宋体" w:hAnsi="宋体" w:cs="宋体"/>
          <w:spacing w:val="-14"/>
          <w:sz w:val="22"/>
          <w:szCs w:val="22"/>
        </w:rPr>
        <w:t>在碱性介质中则对热不稳定，在中性环境中易被破坏。</w:t>
      </w:r>
    </w:p>
    <w:p w:rsidR="00EA40A3" w:rsidRDefault="00E86C16">
      <w:pPr>
        <w:spacing w:before="197" w:line="222" w:lineRule="auto"/>
        <w:rPr>
          <w:rFonts w:ascii="仿宋" w:eastAsia="仿宋" w:hAnsi="仿宋" w:cs="仿宋"/>
          <w:sz w:val="22"/>
          <w:szCs w:val="22"/>
        </w:rPr>
      </w:pPr>
      <w:r>
        <w:rPr>
          <w:rFonts w:ascii="仿宋" w:eastAsia="仿宋" w:hAnsi="仿宋" w:cs="仿宋"/>
          <w:spacing w:val="8"/>
          <w:sz w:val="22"/>
          <w:szCs w:val="22"/>
        </w:rPr>
        <w:t>2.</w:t>
      </w:r>
      <w:r>
        <w:rPr>
          <w:rFonts w:ascii="仿宋" w:eastAsia="仿宋" w:hAnsi="仿宋" w:cs="仿宋"/>
          <w:spacing w:val="-10"/>
          <w:sz w:val="22"/>
          <w:szCs w:val="22"/>
        </w:rPr>
        <w:t xml:space="preserve"> </w:t>
      </w:r>
      <w:r>
        <w:rPr>
          <w:rFonts w:ascii="仿宋" w:eastAsia="仿宋" w:hAnsi="仿宋" w:cs="仿宋"/>
          <w:spacing w:val="8"/>
          <w:sz w:val="22"/>
          <w:szCs w:val="22"/>
        </w:rPr>
        <w:t>维生素</w:t>
      </w:r>
      <w:r>
        <w:rPr>
          <w:rFonts w:ascii="仿宋" w:eastAsia="仿宋" w:hAnsi="仿宋" w:cs="仿宋"/>
          <w:spacing w:val="-63"/>
          <w:sz w:val="22"/>
          <w:szCs w:val="22"/>
        </w:rPr>
        <w:t xml:space="preserve"> </w:t>
      </w:r>
      <w:r>
        <w:rPr>
          <w:rFonts w:ascii="仿宋" w:eastAsia="仿宋" w:hAnsi="仿宋" w:cs="仿宋"/>
          <w:spacing w:val="8"/>
          <w:sz w:val="22"/>
          <w:szCs w:val="22"/>
        </w:rPr>
        <w:t>B</w:t>
      </w:r>
      <w:r>
        <w:rPr>
          <w:rFonts w:ascii="Calibri" w:eastAsia="Calibri" w:hAnsi="Calibri" w:cs="Calibri"/>
          <w:spacing w:val="8"/>
          <w:sz w:val="22"/>
          <w:szCs w:val="22"/>
        </w:rPr>
        <w:t>₆</w:t>
      </w:r>
      <w:r>
        <w:rPr>
          <w:rFonts w:ascii="Calibri" w:eastAsia="Calibri" w:hAnsi="Calibri" w:cs="Calibri"/>
          <w:spacing w:val="17"/>
          <w:sz w:val="22"/>
          <w:szCs w:val="22"/>
        </w:rPr>
        <w:t xml:space="preserve">  </w:t>
      </w:r>
      <w:r>
        <w:rPr>
          <w:rFonts w:ascii="仿宋" w:eastAsia="仿宋" w:hAnsi="仿宋" w:cs="仿宋"/>
          <w:spacing w:val="8"/>
          <w:sz w:val="22"/>
          <w:szCs w:val="22"/>
        </w:rPr>
        <w:t>吸收与代谢</w:t>
      </w:r>
    </w:p>
    <w:p w:rsidR="00EA40A3" w:rsidRDefault="00E86C16">
      <w:pPr>
        <w:spacing w:before="189" w:line="247" w:lineRule="auto"/>
        <w:ind w:right="97" w:firstLine="329"/>
        <w:jc w:val="both"/>
        <w:rPr>
          <w:rFonts w:ascii="宋体" w:eastAsia="宋体" w:hAnsi="宋体" w:cs="宋体"/>
          <w:sz w:val="22"/>
          <w:szCs w:val="22"/>
        </w:rPr>
      </w:pPr>
      <w:r>
        <w:rPr>
          <w:rFonts w:ascii="宋体" w:eastAsia="宋体" w:hAnsi="宋体" w:cs="宋体"/>
          <w:spacing w:val="-6"/>
          <w:sz w:val="22"/>
          <w:szCs w:val="22"/>
        </w:rPr>
        <w:t>不同形式的维生素B:大部分都能通过被动扩散形式在小肠上部被吸收，经</w:t>
      </w:r>
      <w:r>
        <w:rPr>
          <w:rFonts w:ascii="宋体" w:eastAsia="宋体" w:hAnsi="宋体" w:cs="宋体"/>
          <w:spacing w:val="6"/>
          <w:sz w:val="22"/>
          <w:szCs w:val="22"/>
        </w:rPr>
        <w:t xml:space="preserve"> </w:t>
      </w:r>
      <w:r>
        <w:rPr>
          <w:rFonts w:ascii="宋体" w:eastAsia="宋体" w:hAnsi="宋体" w:cs="宋体"/>
          <w:spacing w:val="-8"/>
          <w:sz w:val="22"/>
          <w:szCs w:val="22"/>
        </w:rPr>
        <w:t>磷酸化形成磷酸吡哆醛</w:t>
      </w:r>
      <w:r>
        <w:rPr>
          <w:rFonts w:ascii="宋体" w:eastAsia="宋体" w:hAnsi="宋体" w:cs="宋体"/>
          <w:spacing w:val="-9"/>
          <w:sz w:val="22"/>
          <w:szCs w:val="22"/>
        </w:rPr>
        <w:t xml:space="preserve"> </w:t>
      </w:r>
      <w:r>
        <w:rPr>
          <w:rFonts w:ascii="宋体" w:eastAsia="宋体" w:hAnsi="宋体" w:cs="宋体"/>
          <w:spacing w:val="-8"/>
          <w:sz w:val="22"/>
          <w:szCs w:val="22"/>
        </w:rPr>
        <w:t>(</w:t>
      </w:r>
      <w:r>
        <w:rPr>
          <w:rFonts w:ascii="宋体" w:eastAsia="宋体" w:hAnsi="宋体" w:cs="宋体"/>
          <w:spacing w:val="-7"/>
          <w:sz w:val="22"/>
          <w:szCs w:val="22"/>
        </w:rPr>
        <w:t>pyridoxal</w:t>
      </w:r>
      <w:r>
        <w:rPr>
          <w:rFonts w:ascii="宋体" w:eastAsia="宋体" w:hAnsi="宋体" w:cs="宋体"/>
          <w:spacing w:val="3"/>
          <w:sz w:val="22"/>
          <w:szCs w:val="22"/>
        </w:rPr>
        <w:t xml:space="preserve"> </w:t>
      </w:r>
      <w:r>
        <w:rPr>
          <w:rFonts w:ascii="宋体" w:eastAsia="宋体" w:hAnsi="宋体" w:cs="宋体"/>
          <w:spacing w:val="-7"/>
          <w:sz w:val="22"/>
          <w:szCs w:val="22"/>
        </w:rPr>
        <w:t>phosphate</w:t>
      </w:r>
      <w:r>
        <w:rPr>
          <w:rFonts w:ascii="宋体" w:eastAsia="宋体" w:hAnsi="宋体" w:cs="宋体"/>
          <w:spacing w:val="-8"/>
          <w:sz w:val="22"/>
          <w:szCs w:val="22"/>
        </w:rPr>
        <w:t>,</w:t>
      </w:r>
      <w:r>
        <w:rPr>
          <w:rFonts w:ascii="宋体" w:eastAsia="宋体" w:hAnsi="宋体" w:cs="宋体"/>
          <w:spacing w:val="-7"/>
          <w:sz w:val="22"/>
          <w:szCs w:val="22"/>
        </w:rPr>
        <w:t>PLP</w:t>
      </w:r>
      <w:r>
        <w:rPr>
          <w:rFonts w:ascii="宋体" w:eastAsia="宋体" w:hAnsi="宋体" w:cs="宋体"/>
          <w:spacing w:val="-8"/>
          <w:sz w:val="22"/>
          <w:szCs w:val="22"/>
        </w:rPr>
        <w:t>)</w:t>
      </w:r>
      <w:r>
        <w:rPr>
          <w:rFonts w:ascii="宋体" w:eastAsia="宋体" w:hAnsi="宋体" w:cs="宋体"/>
          <w:spacing w:val="-57"/>
          <w:sz w:val="22"/>
          <w:szCs w:val="22"/>
        </w:rPr>
        <w:t xml:space="preserve"> </w:t>
      </w:r>
      <w:r>
        <w:rPr>
          <w:rFonts w:ascii="宋体" w:eastAsia="宋体" w:hAnsi="宋体" w:cs="宋体"/>
          <w:spacing w:val="-8"/>
          <w:sz w:val="22"/>
          <w:szCs w:val="22"/>
        </w:rPr>
        <w:t>和磷酸吡哆胺</w:t>
      </w:r>
      <w:r>
        <w:rPr>
          <w:rFonts w:ascii="宋体" w:eastAsia="宋体" w:hAnsi="宋体" w:cs="宋体"/>
          <w:spacing w:val="-11"/>
          <w:sz w:val="22"/>
          <w:szCs w:val="22"/>
        </w:rPr>
        <w:t xml:space="preserve"> </w:t>
      </w:r>
      <w:r>
        <w:rPr>
          <w:rFonts w:ascii="宋体" w:eastAsia="宋体" w:hAnsi="宋体" w:cs="宋体"/>
          <w:spacing w:val="-8"/>
          <w:sz w:val="22"/>
          <w:szCs w:val="22"/>
        </w:rPr>
        <w:t>(</w:t>
      </w:r>
      <w:r>
        <w:rPr>
          <w:rFonts w:ascii="宋体" w:eastAsia="宋体" w:hAnsi="宋体" w:cs="宋体"/>
          <w:spacing w:val="-7"/>
          <w:sz w:val="22"/>
          <w:szCs w:val="22"/>
        </w:rPr>
        <w:t>pyridoxa</w:t>
      </w:r>
      <w:r>
        <w:rPr>
          <w:rFonts w:ascii="宋体" w:eastAsia="宋体" w:hAnsi="宋体" w:cs="宋体"/>
          <w:spacing w:val="-8"/>
          <w:sz w:val="22"/>
          <w:szCs w:val="22"/>
        </w:rPr>
        <w:t>-</w:t>
      </w:r>
      <w:r>
        <w:rPr>
          <w:rFonts w:ascii="宋体" w:eastAsia="宋体" w:hAnsi="宋体" w:cs="宋体"/>
          <w:sz w:val="22"/>
          <w:szCs w:val="22"/>
        </w:rPr>
        <w:t xml:space="preserve"> </w:t>
      </w:r>
      <w:r>
        <w:rPr>
          <w:rFonts w:ascii="宋体" w:eastAsia="宋体" w:hAnsi="宋体" w:cs="宋体"/>
          <w:spacing w:val="-3"/>
          <w:sz w:val="22"/>
          <w:szCs w:val="22"/>
        </w:rPr>
        <w:t>mine</w:t>
      </w:r>
      <w:r>
        <w:rPr>
          <w:rFonts w:ascii="宋体" w:eastAsia="宋体" w:hAnsi="宋体" w:cs="宋体"/>
          <w:spacing w:val="96"/>
          <w:sz w:val="22"/>
          <w:szCs w:val="22"/>
        </w:rPr>
        <w:t xml:space="preserve"> </w:t>
      </w:r>
      <w:r>
        <w:rPr>
          <w:rFonts w:ascii="宋体" w:eastAsia="宋体" w:hAnsi="宋体" w:cs="宋体"/>
          <w:spacing w:val="-3"/>
          <w:sz w:val="22"/>
          <w:szCs w:val="22"/>
        </w:rPr>
        <w:t>phosphate,PMP),被吸收的维生素B</w:t>
      </w:r>
      <w:r>
        <w:rPr>
          <w:rFonts w:ascii="宋体" w:eastAsia="宋体" w:hAnsi="宋体" w:cs="宋体"/>
          <w:spacing w:val="43"/>
          <w:sz w:val="22"/>
          <w:szCs w:val="22"/>
        </w:rPr>
        <w:t xml:space="preserve"> </w:t>
      </w:r>
      <w:r>
        <w:rPr>
          <w:rFonts w:ascii="宋体" w:eastAsia="宋体" w:hAnsi="宋体" w:cs="宋体"/>
          <w:spacing w:val="-3"/>
          <w:sz w:val="22"/>
          <w:szCs w:val="22"/>
        </w:rPr>
        <w:t>代谢物</w:t>
      </w:r>
      <w:r>
        <w:rPr>
          <w:rFonts w:ascii="宋体" w:eastAsia="宋体" w:hAnsi="宋体" w:cs="宋体"/>
          <w:spacing w:val="-4"/>
          <w:sz w:val="22"/>
          <w:szCs w:val="22"/>
        </w:rPr>
        <w:t>在肠黏膜和血中与蛋白质结</w:t>
      </w:r>
      <w:r>
        <w:rPr>
          <w:rFonts w:ascii="宋体" w:eastAsia="宋体" w:hAnsi="宋体" w:cs="宋体"/>
          <w:sz w:val="22"/>
          <w:szCs w:val="22"/>
        </w:rPr>
        <w:t xml:space="preserve"> </w:t>
      </w:r>
      <w:r>
        <w:rPr>
          <w:rFonts w:ascii="宋体" w:eastAsia="宋体" w:hAnsi="宋体" w:cs="宋体"/>
          <w:spacing w:val="-8"/>
          <w:sz w:val="22"/>
          <w:szCs w:val="22"/>
        </w:rPr>
        <w:t>合。当维生素B</w:t>
      </w:r>
      <w:r>
        <w:rPr>
          <w:rFonts w:ascii="Calibri" w:eastAsia="Calibri" w:hAnsi="Calibri" w:cs="Calibri"/>
          <w:spacing w:val="-8"/>
          <w:sz w:val="22"/>
          <w:szCs w:val="22"/>
        </w:rPr>
        <w:t>₆</w:t>
      </w:r>
      <w:r>
        <w:rPr>
          <w:rFonts w:ascii="Calibri" w:eastAsia="Calibri" w:hAnsi="Calibri" w:cs="Calibri"/>
          <w:spacing w:val="38"/>
          <w:w w:val="101"/>
          <w:sz w:val="22"/>
          <w:szCs w:val="22"/>
        </w:rPr>
        <w:t xml:space="preserve"> </w:t>
      </w:r>
      <w:r>
        <w:rPr>
          <w:rFonts w:ascii="宋体" w:eastAsia="宋体" w:hAnsi="宋体" w:cs="宋体"/>
          <w:spacing w:val="-8"/>
          <w:sz w:val="22"/>
          <w:szCs w:val="22"/>
        </w:rPr>
        <w:t>以磷酸酯形式存在时，吸收速率较慢，但当在非特异性磷酸酶</w:t>
      </w:r>
      <w:r>
        <w:rPr>
          <w:rFonts w:ascii="宋体" w:eastAsia="宋体" w:hAnsi="宋体" w:cs="宋体"/>
          <w:sz w:val="22"/>
          <w:szCs w:val="22"/>
        </w:rPr>
        <w:t xml:space="preserve"> </w:t>
      </w:r>
      <w:r>
        <w:rPr>
          <w:rFonts w:ascii="宋体" w:eastAsia="宋体" w:hAnsi="宋体" w:cs="宋体"/>
          <w:spacing w:val="-7"/>
          <w:sz w:val="22"/>
          <w:szCs w:val="22"/>
        </w:rPr>
        <w:t>作用下分解出维生素B</w:t>
      </w:r>
      <w:r>
        <w:rPr>
          <w:rFonts w:ascii="宋体" w:eastAsia="宋体" w:hAnsi="宋体" w:cs="宋体"/>
          <w:spacing w:val="43"/>
          <w:sz w:val="22"/>
          <w:szCs w:val="22"/>
        </w:rPr>
        <w:t xml:space="preserve"> </w:t>
      </w:r>
      <w:r>
        <w:rPr>
          <w:rFonts w:ascii="宋体" w:eastAsia="宋体" w:hAnsi="宋体" w:cs="宋体"/>
          <w:spacing w:val="-7"/>
          <w:sz w:val="22"/>
          <w:szCs w:val="22"/>
        </w:rPr>
        <w:t>时，其吸收速度较快。大部分吸收</w:t>
      </w:r>
      <w:r>
        <w:rPr>
          <w:rFonts w:ascii="宋体" w:eastAsia="宋体" w:hAnsi="宋体" w:cs="宋体"/>
          <w:spacing w:val="-8"/>
          <w:sz w:val="22"/>
          <w:szCs w:val="22"/>
        </w:rPr>
        <w:t>的非磷酸化维生素B</w:t>
      </w:r>
      <w:r>
        <w:rPr>
          <w:rFonts w:ascii="宋体" w:eastAsia="宋体" w:hAnsi="宋体" w:cs="宋体"/>
          <w:sz w:val="22"/>
          <w:szCs w:val="22"/>
        </w:rPr>
        <w:t xml:space="preserve">  </w:t>
      </w:r>
      <w:r>
        <w:rPr>
          <w:rFonts w:ascii="宋体" w:eastAsia="宋体" w:hAnsi="宋体" w:cs="宋体"/>
          <w:spacing w:val="-10"/>
          <w:sz w:val="22"/>
          <w:szCs w:val="22"/>
        </w:rPr>
        <w:t>被运送到肝脏。在肝脏，3种非磷酸化形式是通过吡哆醇激酶转化为各自的磷酸</w:t>
      </w:r>
      <w:r>
        <w:rPr>
          <w:rFonts w:ascii="宋体" w:eastAsia="宋体" w:hAnsi="宋体" w:cs="宋体"/>
          <w:spacing w:val="18"/>
          <w:sz w:val="22"/>
          <w:szCs w:val="22"/>
        </w:rPr>
        <w:t xml:space="preserve"> </w:t>
      </w:r>
      <w:r>
        <w:rPr>
          <w:rFonts w:ascii="宋体" w:eastAsia="宋体" w:hAnsi="宋体" w:cs="宋体"/>
          <w:spacing w:val="-12"/>
          <w:sz w:val="22"/>
          <w:szCs w:val="22"/>
        </w:rPr>
        <w:t>化形式并参与多种酶的反应。维生素B</w:t>
      </w:r>
      <w:r>
        <w:rPr>
          <w:rFonts w:ascii="宋体" w:eastAsia="宋体" w:hAnsi="宋体" w:cs="宋体"/>
          <w:spacing w:val="61"/>
          <w:sz w:val="22"/>
          <w:szCs w:val="22"/>
        </w:rPr>
        <w:t xml:space="preserve"> </w:t>
      </w:r>
      <w:r>
        <w:rPr>
          <w:rFonts w:ascii="宋体" w:eastAsia="宋体" w:hAnsi="宋体" w:cs="宋体"/>
          <w:spacing w:val="-12"/>
          <w:sz w:val="22"/>
          <w:szCs w:val="22"/>
        </w:rPr>
        <w:t>的代谢产物经尿中排出。</w:t>
      </w:r>
    </w:p>
    <w:p w:rsidR="00EA40A3" w:rsidRDefault="00E86C16">
      <w:pPr>
        <w:spacing w:before="216" w:line="222" w:lineRule="auto"/>
        <w:rPr>
          <w:rFonts w:ascii="仿宋" w:eastAsia="仿宋" w:hAnsi="仿宋" w:cs="仿宋"/>
          <w:sz w:val="25"/>
          <w:szCs w:val="25"/>
        </w:rPr>
      </w:pPr>
      <w:r>
        <w:rPr>
          <w:rFonts w:ascii="仿宋" w:eastAsia="仿宋" w:hAnsi="仿宋" w:cs="仿宋"/>
          <w:spacing w:val="-5"/>
          <w:sz w:val="25"/>
          <w:szCs w:val="25"/>
        </w:rPr>
        <w:t>3.</w:t>
      </w:r>
      <w:r>
        <w:rPr>
          <w:rFonts w:ascii="仿宋" w:eastAsia="仿宋" w:hAnsi="仿宋" w:cs="仿宋"/>
          <w:spacing w:val="-71"/>
          <w:sz w:val="25"/>
          <w:szCs w:val="25"/>
        </w:rPr>
        <w:t xml:space="preserve"> </w:t>
      </w:r>
      <w:r>
        <w:rPr>
          <w:rFonts w:ascii="仿宋" w:eastAsia="仿宋" w:hAnsi="仿宋" w:cs="仿宋"/>
          <w:spacing w:val="-5"/>
          <w:sz w:val="25"/>
          <w:szCs w:val="25"/>
        </w:rPr>
        <w:t>维生素B</w:t>
      </w:r>
      <w:r>
        <w:rPr>
          <w:rFonts w:ascii="仿宋" w:eastAsia="仿宋" w:hAnsi="仿宋" w:cs="仿宋"/>
          <w:spacing w:val="63"/>
          <w:sz w:val="25"/>
          <w:szCs w:val="25"/>
        </w:rPr>
        <w:t xml:space="preserve"> </w:t>
      </w:r>
      <w:r>
        <w:rPr>
          <w:rFonts w:ascii="仿宋" w:eastAsia="仿宋" w:hAnsi="仿宋" w:cs="仿宋"/>
          <w:spacing w:val="-5"/>
          <w:sz w:val="25"/>
          <w:szCs w:val="25"/>
        </w:rPr>
        <w:t>生理功能</w:t>
      </w:r>
    </w:p>
    <w:p w:rsidR="00EA40A3" w:rsidRDefault="00E86C16">
      <w:pPr>
        <w:spacing w:before="182" w:line="244" w:lineRule="auto"/>
        <w:ind w:right="181" w:firstLine="329"/>
        <w:rPr>
          <w:rFonts w:ascii="宋体" w:eastAsia="宋体" w:hAnsi="宋体" w:cs="宋体"/>
          <w:sz w:val="22"/>
          <w:szCs w:val="22"/>
        </w:rPr>
      </w:pPr>
      <w:r>
        <w:rPr>
          <w:rFonts w:ascii="宋体" w:eastAsia="宋体" w:hAnsi="宋体" w:cs="宋体"/>
          <w:spacing w:val="-9"/>
          <w:sz w:val="22"/>
          <w:szCs w:val="22"/>
        </w:rPr>
        <w:t>维生素B</w:t>
      </w:r>
      <w:r>
        <w:rPr>
          <w:rFonts w:ascii="Calibri" w:eastAsia="Calibri" w:hAnsi="Calibri" w:cs="Calibri"/>
          <w:spacing w:val="-9"/>
          <w:sz w:val="22"/>
          <w:szCs w:val="22"/>
        </w:rPr>
        <w:t>₆</w:t>
      </w:r>
      <w:r>
        <w:rPr>
          <w:rFonts w:ascii="Calibri" w:eastAsia="Calibri" w:hAnsi="Calibri" w:cs="Calibri"/>
          <w:spacing w:val="53"/>
          <w:sz w:val="22"/>
          <w:szCs w:val="22"/>
        </w:rPr>
        <w:t xml:space="preserve"> </w:t>
      </w:r>
      <w:r>
        <w:rPr>
          <w:rFonts w:ascii="宋体" w:eastAsia="宋体" w:hAnsi="宋体" w:cs="宋体"/>
          <w:spacing w:val="-9"/>
          <w:sz w:val="22"/>
          <w:szCs w:val="22"/>
        </w:rPr>
        <w:t>最重要的功能是作为辅酶参与约100种酶反应。维生素</w:t>
      </w:r>
      <w:r>
        <w:rPr>
          <w:rFonts w:ascii="宋体" w:eastAsia="宋体" w:hAnsi="宋体" w:cs="宋体"/>
          <w:spacing w:val="-60"/>
          <w:sz w:val="22"/>
          <w:szCs w:val="22"/>
        </w:rPr>
        <w:t xml:space="preserve"> </w:t>
      </w:r>
      <w:r>
        <w:rPr>
          <w:rFonts w:ascii="宋体" w:eastAsia="宋体" w:hAnsi="宋体" w:cs="宋体"/>
          <w:spacing w:val="-9"/>
          <w:sz w:val="22"/>
          <w:szCs w:val="22"/>
        </w:rPr>
        <w:t>B。以辅酶</w:t>
      </w:r>
      <w:r>
        <w:rPr>
          <w:rFonts w:ascii="宋体" w:eastAsia="宋体" w:hAnsi="宋体" w:cs="宋体"/>
          <w:sz w:val="22"/>
          <w:szCs w:val="22"/>
        </w:rPr>
        <w:t xml:space="preserve"> </w:t>
      </w:r>
      <w:r>
        <w:rPr>
          <w:rFonts w:ascii="宋体" w:eastAsia="宋体" w:hAnsi="宋体" w:cs="宋体"/>
          <w:spacing w:val="-13"/>
          <w:sz w:val="22"/>
          <w:szCs w:val="22"/>
        </w:rPr>
        <w:t>形式存在时，通常是以磷酸吡哆醛</w:t>
      </w:r>
      <w:r>
        <w:rPr>
          <w:rFonts w:ascii="宋体" w:eastAsia="宋体" w:hAnsi="宋体" w:cs="宋体"/>
          <w:spacing w:val="6"/>
          <w:sz w:val="22"/>
          <w:szCs w:val="22"/>
        </w:rPr>
        <w:t xml:space="preserve"> </w:t>
      </w:r>
      <w:r>
        <w:rPr>
          <w:rFonts w:ascii="宋体" w:eastAsia="宋体" w:hAnsi="宋体" w:cs="宋体"/>
          <w:spacing w:val="-13"/>
          <w:sz w:val="22"/>
          <w:szCs w:val="22"/>
        </w:rPr>
        <w:t>(PLP)</w:t>
      </w:r>
      <w:r>
        <w:rPr>
          <w:rFonts w:ascii="宋体" w:eastAsia="宋体" w:hAnsi="宋体" w:cs="宋体"/>
          <w:spacing w:val="78"/>
          <w:sz w:val="22"/>
          <w:szCs w:val="22"/>
        </w:rPr>
        <w:t xml:space="preserve"> </w:t>
      </w:r>
      <w:r>
        <w:rPr>
          <w:rFonts w:ascii="宋体" w:eastAsia="宋体" w:hAnsi="宋体" w:cs="宋体"/>
          <w:spacing w:val="-13"/>
          <w:sz w:val="22"/>
          <w:szCs w:val="22"/>
        </w:rPr>
        <w:t>的形式参与大量的生理活动。</w:t>
      </w:r>
    </w:p>
    <w:p w:rsidR="00EA40A3" w:rsidRDefault="00E86C16">
      <w:pPr>
        <w:spacing w:before="46" w:line="244" w:lineRule="auto"/>
        <w:ind w:firstLine="329"/>
        <w:rPr>
          <w:rFonts w:ascii="宋体" w:eastAsia="宋体" w:hAnsi="宋体" w:cs="宋体"/>
          <w:sz w:val="22"/>
          <w:szCs w:val="22"/>
        </w:rPr>
      </w:pPr>
      <w:r>
        <w:rPr>
          <w:rFonts w:ascii="宋体" w:eastAsia="宋体" w:hAnsi="宋体" w:cs="宋体"/>
          <w:spacing w:val="-8"/>
          <w:sz w:val="22"/>
          <w:szCs w:val="22"/>
        </w:rPr>
        <w:t>(1)在蛋白质代谢中的作用：维生素</w:t>
      </w:r>
      <w:r>
        <w:rPr>
          <w:rFonts w:ascii="宋体" w:eastAsia="宋体" w:hAnsi="宋体" w:cs="宋体"/>
          <w:spacing w:val="-48"/>
          <w:sz w:val="22"/>
          <w:szCs w:val="22"/>
        </w:rPr>
        <w:t xml:space="preserve"> </w:t>
      </w:r>
      <w:r>
        <w:rPr>
          <w:rFonts w:ascii="宋体" w:eastAsia="宋体" w:hAnsi="宋体" w:cs="宋体"/>
          <w:spacing w:val="-8"/>
          <w:sz w:val="22"/>
          <w:szCs w:val="22"/>
        </w:rPr>
        <w:t>B。以磷酸酯形式积极参加以下各种氨</w:t>
      </w:r>
      <w:r>
        <w:rPr>
          <w:rFonts w:ascii="宋体" w:eastAsia="宋体" w:hAnsi="宋体" w:cs="宋体"/>
          <w:sz w:val="22"/>
          <w:szCs w:val="22"/>
        </w:rPr>
        <w:t xml:space="preserve">  </w:t>
      </w:r>
      <w:r>
        <w:rPr>
          <w:rFonts w:ascii="宋体" w:eastAsia="宋体" w:hAnsi="宋体" w:cs="宋体"/>
          <w:spacing w:val="-5"/>
          <w:sz w:val="22"/>
          <w:szCs w:val="22"/>
        </w:rPr>
        <w:t>基酸代谢反应：①转氨基作用：维生素</w:t>
      </w:r>
      <w:r>
        <w:rPr>
          <w:rFonts w:ascii="宋体" w:eastAsia="宋体" w:hAnsi="宋体" w:cs="宋体"/>
          <w:spacing w:val="-54"/>
          <w:sz w:val="22"/>
          <w:szCs w:val="22"/>
        </w:rPr>
        <w:t xml:space="preserve"> </w:t>
      </w:r>
      <w:r>
        <w:rPr>
          <w:rFonts w:ascii="宋体" w:eastAsia="宋体" w:hAnsi="宋体" w:cs="宋体"/>
          <w:spacing w:val="-5"/>
          <w:sz w:val="22"/>
          <w:szCs w:val="22"/>
        </w:rPr>
        <w:t>B</w:t>
      </w:r>
      <w:r>
        <w:rPr>
          <w:rFonts w:ascii="宋体" w:eastAsia="宋体" w:hAnsi="宋体" w:cs="宋体"/>
          <w:spacing w:val="43"/>
          <w:sz w:val="22"/>
          <w:szCs w:val="22"/>
        </w:rPr>
        <w:t xml:space="preserve"> </w:t>
      </w:r>
      <w:r>
        <w:rPr>
          <w:rFonts w:ascii="宋体" w:eastAsia="宋体" w:hAnsi="宋体" w:cs="宋体"/>
          <w:spacing w:val="-5"/>
          <w:sz w:val="22"/>
          <w:szCs w:val="22"/>
        </w:rPr>
        <w:t>起着把一个氨基(一NH</w:t>
      </w:r>
      <w:r>
        <w:rPr>
          <w:rFonts w:ascii="Calibri" w:eastAsia="Calibri" w:hAnsi="Calibri" w:cs="Calibri"/>
          <w:spacing w:val="-5"/>
          <w:sz w:val="22"/>
          <w:szCs w:val="22"/>
        </w:rPr>
        <w:t>₂</w:t>
      </w:r>
      <w:r>
        <w:rPr>
          <w:rFonts w:ascii="宋体" w:eastAsia="宋体" w:hAnsi="宋体" w:cs="宋体"/>
          <w:spacing w:val="-5"/>
          <w:sz w:val="22"/>
          <w:szCs w:val="22"/>
        </w:rPr>
        <w:t>)</w:t>
      </w:r>
      <w:r>
        <w:rPr>
          <w:rFonts w:ascii="宋体" w:eastAsia="宋体" w:hAnsi="宋体" w:cs="宋体"/>
          <w:spacing w:val="108"/>
          <w:sz w:val="22"/>
          <w:szCs w:val="22"/>
        </w:rPr>
        <w:t xml:space="preserve"> </w:t>
      </w:r>
      <w:r>
        <w:rPr>
          <w:rFonts w:ascii="宋体" w:eastAsia="宋体" w:hAnsi="宋体" w:cs="宋体"/>
          <w:spacing w:val="-5"/>
          <w:sz w:val="22"/>
          <w:szCs w:val="22"/>
        </w:rPr>
        <w:t>从一个供</w:t>
      </w:r>
      <w:r>
        <w:rPr>
          <w:rFonts w:ascii="宋体" w:eastAsia="宋体" w:hAnsi="宋体" w:cs="宋体"/>
          <w:sz w:val="22"/>
          <w:szCs w:val="22"/>
        </w:rPr>
        <w:t xml:space="preserve">  </w:t>
      </w:r>
      <w:r>
        <w:rPr>
          <w:rFonts w:ascii="宋体" w:eastAsia="宋体" w:hAnsi="宋体" w:cs="宋体"/>
          <w:spacing w:val="-13"/>
          <w:sz w:val="22"/>
          <w:szCs w:val="22"/>
        </w:rPr>
        <w:t>体氨基酸转移到一个受体氨基酸中，以形成另一种氨基酸的作用。这个反应对于</w:t>
      </w:r>
      <w:r>
        <w:rPr>
          <w:rFonts w:ascii="宋体" w:eastAsia="宋体" w:hAnsi="宋体" w:cs="宋体"/>
          <w:spacing w:val="8"/>
          <w:sz w:val="22"/>
          <w:szCs w:val="22"/>
        </w:rPr>
        <w:t xml:space="preserve">  </w:t>
      </w:r>
      <w:r>
        <w:rPr>
          <w:rFonts w:ascii="宋体" w:eastAsia="宋体" w:hAnsi="宋体" w:cs="宋体"/>
          <w:spacing w:val="-8"/>
          <w:sz w:val="22"/>
          <w:szCs w:val="22"/>
        </w:rPr>
        <w:t>非必需氨基酸的形成是重要的。②脱羧作用：维生素B:</w:t>
      </w:r>
      <w:r>
        <w:rPr>
          <w:rFonts w:ascii="宋体" w:eastAsia="宋体" w:hAnsi="宋体" w:cs="宋体"/>
          <w:spacing w:val="-47"/>
          <w:sz w:val="22"/>
          <w:szCs w:val="22"/>
        </w:rPr>
        <w:t xml:space="preserve"> </w:t>
      </w:r>
      <w:r>
        <w:rPr>
          <w:rFonts w:ascii="宋体" w:eastAsia="宋体" w:hAnsi="宋体" w:cs="宋体"/>
          <w:spacing w:val="-8"/>
          <w:sz w:val="22"/>
          <w:szCs w:val="22"/>
        </w:rPr>
        <w:t>积极参与从</w:t>
      </w:r>
      <w:r>
        <w:rPr>
          <w:rFonts w:ascii="宋体" w:eastAsia="宋体" w:hAnsi="宋体" w:cs="宋体"/>
          <w:spacing w:val="-9"/>
          <w:sz w:val="22"/>
          <w:szCs w:val="22"/>
        </w:rPr>
        <w:t>某些氨基酸</w:t>
      </w:r>
      <w:r>
        <w:rPr>
          <w:rFonts w:ascii="宋体" w:eastAsia="宋体" w:hAnsi="宋体" w:cs="宋体"/>
          <w:sz w:val="22"/>
          <w:szCs w:val="22"/>
        </w:rPr>
        <w:t xml:space="preserve">  </w:t>
      </w:r>
      <w:r>
        <w:rPr>
          <w:rFonts w:ascii="宋体" w:eastAsia="宋体" w:hAnsi="宋体" w:cs="宋体"/>
          <w:spacing w:val="-4"/>
          <w:sz w:val="22"/>
          <w:szCs w:val="22"/>
        </w:rPr>
        <w:t>中脱去羧基(—COOH)</w:t>
      </w:r>
      <w:r>
        <w:rPr>
          <w:rFonts w:ascii="宋体" w:eastAsia="宋体" w:hAnsi="宋体" w:cs="宋体"/>
          <w:spacing w:val="10"/>
          <w:sz w:val="22"/>
          <w:szCs w:val="22"/>
        </w:rPr>
        <w:t xml:space="preserve">   </w:t>
      </w:r>
      <w:r>
        <w:rPr>
          <w:rFonts w:ascii="宋体" w:eastAsia="宋体" w:hAnsi="宋体" w:cs="宋体"/>
          <w:spacing w:val="-4"/>
          <w:sz w:val="22"/>
          <w:szCs w:val="22"/>
        </w:rPr>
        <w:t>以形成另外的一种化合物的作用。脱羧作用对从色氨</w:t>
      </w:r>
      <w:r>
        <w:rPr>
          <w:rFonts w:ascii="宋体" w:eastAsia="宋体" w:hAnsi="宋体" w:cs="宋体"/>
          <w:sz w:val="22"/>
          <w:szCs w:val="22"/>
        </w:rPr>
        <w:t xml:space="preserve">  </w:t>
      </w:r>
      <w:r>
        <w:rPr>
          <w:rFonts w:ascii="宋体" w:eastAsia="宋体" w:hAnsi="宋体" w:cs="宋体"/>
          <w:spacing w:val="3"/>
          <w:sz w:val="22"/>
          <w:szCs w:val="22"/>
        </w:rPr>
        <w:t>酸、酪氨酸和组氨酸依次合成5-羟色胺、去甲基肾上腺素和组胺是必</w:t>
      </w:r>
      <w:r>
        <w:rPr>
          <w:rFonts w:ascii="宋体" w:eastAsia="宋体" w:hAnsi="宋体" w:cs="宋体"/>
          <w:spacing w:val="2"/>
          <w:sz w:val="22"/>
          <w:szCs w:val="22"/>
        </w:rPr>
        <w:t>需的。</w:t>
      </w:r>
      <w:r>
        <w:rPr>
          <w:rFonts w:ascii="宋体" w:eastAsia="宋体" w:hAnsi="宋体" w:cs="宋体"/>
          <w:sz w:val="22"/>
          <w:szCs w:val="22"/>
        </w:rPr>
        <w:t xml:space="preserve"> </w:t>
      </w:r>
      <w:r>
        <w:rPr>
          <w:rFonts w:ascii="宋体" w:eastAsia="宋体" w:hAnsi="宋体" w:cs="宋体"/>
          <w:spacing w:val="-8"/>
          <w:sz w:val="22"/>
          <w:szCs w:val="22"/>
        </w:rPr>
        <w:t>③</w:t>
      </w:r>
      <w:r>
        <w:rPr>
          <w:rFonts w:ascii="宋体" w:eastAsia="宋体" w:hAnsi="宋体" w:cs="宋体"/>
          <w:spacing w:val="-84"/>
          <w:sz w:val="22"/>
          <w:szCs w:val="22"/>
        </w:rPr>
        <w:t xml:space="preserve"> </w:t>
      </w:r>
      <w:r>
        <w:rPr>
          <w:rFonts w:ascii="宋体" w:eastAsia="宋体" w:hAnsi="宋体" w:cs="宋体"/>
          <w:spacing w:val="-8"/>
          <w:sz w:val="22"/>
          <w:szCs w:val="22"/>
        </w:rPr>
        <w:t>脱氨基作用：维生素</w:t>
      </w:r>
      <w:r>
        <w:rPr>
          <w:rFonts w:ascii="Times New Roman" w:eastAsia="Times New Roman" w:hAnsi="Times New Roman" w:cs="Times New Roman"/>
          <w:spacing w:val="-8"/>
          <w:sz w:val="29"/>
          <w:szCs w:val="29"/>
        </w:rPr>
        <w:t>B,</w:t>
      </w:r>
      <w:r>
        <w:rPr>
          <w:rFonts w:ascii="宋体" w:eastAsia="宋体" w:hAnsi="宋体" w:cs="宋体"/>
          <w:spacing w:val="-8"/>
          <w:sz w:val="22"/>
          <w:szCs w:val="22"/>
        </w:rPr>
        <w:t>有助于脱氨基作用。它能把对生长不需要的氨基酸中</w:t>
      </w:r>
      <w:r>
        <w:rPr>
          <w:rFonts w:ascii="宋体" w:eastAsia="宋体" w:hAnsi="宋体" w:cs="宋体"/>
          <w:sz w:val="22"/>
          <w:szCs w:val="22"/>
        </w:rPr>
        <w:t xml:space="preserve"> </w:t>
      </w:r>
      <w:r>
        <w:rPr>
          <w:rFonts w:ascii="宋体" w:eastAsia="宋体" w:hAnsi="宋体" w:cs="宋体"/>
          <w:spacing w:val="-13"/>
          <w:sz w:val="22"/>
          <w:szCs w:val="22"/>
        </w:rPr>
        <w:t>的氨基去掉，有助于碳残余物提供能量。④参与氨基酸的侧链裂解、脱水及转硫</w:t>
      </w:r>
      <w:r>
        <w:rPr>
          <w:rFonts w:ascii="宋体" w:eastAsia="宋体" w:hAnsi="宋体" w:cs="宋体"/>
          <w:spacing w:val="6"/>
          <w:sz w:val="22"/>
          <w:szCs w:val="22"/>
        </w:rPr>
        <w:t xml:space="preserve">  </w:t>
      </w:r>
      <w:r>
        <w:rPr>
          <w:rFonts w:ascii="宋体" w:eastAsia="宋体" w:hAnsi="宋体" w:cs="宋体"/>
          <w:sz w:val="22"/>
          <w:szCs w:val="22"/>
        </w:rPr>
        <w:t>化作用。⑤参与色氨酸转化成尼克酸：在色氨酸转化</w:t>
      </w:r>
      <w:r>
        <w:rPr>
          <w:rFonts w:ascii="宋体" w:eastAsia="宋体" w:hAnsi="宋体" w:cs="宋体"/>
          <w:spacing w:val="-1"/>
          <w:sz w:val="22"/>
          <w:szCs w:val="22"/>
        </w:rPr>
        <w:t>为尼克酸时有一步需要</w:t>
      </w:r>
      <w:r>
        <w:rPr>
          <w:rFonts w:ascii="宋体" w:eastAsia="宋体" w:hAnsi="宋体" w:cs="宋体"/>
          <w:sz w:val="22"/>
          <w:szCs w:val="22"/>
        </w:rPr>
        <w:t xml:space="preserve">  </w:t>
      </w:r>
      <w:r>
        <w:rPr>
          <w:rFonts w:ascii="宋体" w:eastAsia="宋体" w:hAnsi="宋体" w:cs="宋体"/>
          <w:spacing w:val="-11"/>
          <w:sz w:val="22"/>
          <w:szCs w:val="22"/>
        </w:rPr>
        <w:t>PLP</w:t>
      </w:r>
      <w:r>
        <w:rPr>
          <w:rFonts w:ascii="宋体" w:eastAsia="宋体" w:hAnsi="宋体" w:cs="宋体"/>
          <w:spacing w:val="11"/>
          <w:sz w:val="22"/>
          <w:szCs w:val="22"/>
        </w:rPr>
        <w:t xml:space="preserve"> </w:t>
      </w:r>
      <w:r>
        <w:rPr>
          <w:rFonts w:ascii="宋体" w:eastAsia="宋体" w:hAnsi="宋体" w:cs="宋体"/>
          <w:spacing w:val="-11"/>
          <w:sz w:val="22"/>
          <w:szCs w:val="22"/>
        </w:rPr>
        <w:t>的酶促反应，因此，维生素B,</w:t>
      </w:r>
      <w:r>
        <w:rPr>
          <w:rFonts w:ascii="宋体" w:eastAsia="宋体" w:hAnsi="宋体" w:cs="宋体"/>
          <w:spacing w:val="-57"/>
          <w:sz w:val="22"/>
          <w:szCs w:val="22"/>
        </w:rPr>
        <w:t xml:space="preserve"> </w:t>
      </w:r>
      <w:r>
        <w:rPr>
          <w:rFonts w:ascii="宋体" w:eastAsia="宋体" w:hAnsi="宋体" w:cs="宋体"/>
          <w:spacing w:val="-11"/>
          <w:sz w:val="22"/>
          <w:szCs w:val="22"/>
        </w:rPr>
        <w:t>能促进色氨酸形成尼克酸。</w:t>
      </w:r>
    </w:p>
    <w:p w:rsidR="00EA40A3" w:rsidRDefault="00E86C16">
      <w:pPr>
        <w:spacing w:before="44" w:line="236" w:lineRule="auto"/>
        <w:ind w:right="19" w:firstLine="329"/>
        <w:rPr>
          <w:rFonts w:ascii="宋体" w:eastAsia="宋体" w:hAnsi="宋体" w:cs="宋体"/>
          <w:sz w:val="22"/>
          <w:szCs w:val="22"/>
        </w:rPr>
      </w:pPr>
      <w:r>
        <w:rPr>
          <w:rFonts w:ascii="宋体" w:eastAsia="宋体" w:hAnsi="宋体" w:cs="宋体"/>
          <w:spacing w:val="-6"/>
          <w:sz w:val="22"/>
          <w:szCs w:val="22"/>
        </w:rPr>
        <w:t>(2)在碳水化合物和脂肪代谢中的作用：磷酸酯形式的维生</w:t>
      </w:r>
      <w:r>
        <w:rPr>
          <w:rFonts w:ascii="宋体" w:eastAsia="宋体" w:hAnsi="宋体" w:cs="宋体"/>
          <w:spacing w:val="-7"/>
          <w:sz w:val="22"/>
          <w:szCs w:val="22"/>
        </w:rPr>
        <w:t>素B。在碳水化</w:t>
      </w:r>
      <w:r>
        <w:rPr>
          <w:rFonts w:ascii="宋体" w:eastAsia="宋体" w:hAnsi="宋体" w:cs="宋体"/>
          <w:sz w:val="22"/>
          <w:szCs w:val="22"/>
        </w:rPr>
        <w:t xml:space="preserve">  </w:t>
      </w:r>
      <w:r>
        <w:rPr>
          <w:rFonts w:ascii="宋体" w:eastAsia="宋体" w:hAnsi="宋体" w:cs="宋体"/>
          <w:spacing w:val="-10"/>
          <w:sz w:val="22"/>
          <w:szCs w:val="22"/>
        </w:rPr>
        <w:t>合物和脂肪的代谢中也起一定作用，但与在蛋白质代谢中</w:t>
      </w:r>
      <w:r>
        <w:rPr>
          <w:rFonts w:ascii="宋体" w:eastAsia="宋体" w:hAnsi="宋体" w:cs="宋体"/>
          <w:spacing w:val="-11"/>
          <w:sz w:val="22"/>
          <w:szCs w:val="22"/>
        </w:rPr>
        <w:t>的作用相比是次要的。</w:t>
      </w:r>
    </w:p>
    <w:p w:rsidR="00EA40A3" w:rsidRDefault="00E86C16">
      <w:pPr>
        <w:spacing w:before="7" w:line="185" w:lineRule="auto"/>
        <w:rPr>
          <w:rFonts w:ascii="宋体" w:eastAsia="宋体" w:hAnsi="宋体" w:cs="宋体"/>
          <w:sz w:val="22"/>
          <w:szCs w:val="22"/>
        </w:rPr>
      </w:pPr>
      <w:r>
        <w:rPr>
          <w:rFonts w:ascii="宋体" w:eastAsia="宋体" w:hAnsi="宋体" w:cs="宋体"/>
          <w:spacing w:val="-6"/>
          <w:sz w:val="22"/>
          <w:szCs w:val="22"/>
        </w:rPr>
        <w:t>①</w:t>
      </w:r>
      <w:r>
        <w:rPr>
          <w:rFonts w:ascii="宋体" w:eastAsia="宋体" w:hAnsi="宋体" w:cs="宋体"/>
          <w:spacing w:val="-83"/>
          <w:sz w:val="22"/>
          <w:szCs w:val="22"/>
        </w:rPr>
        <w:t xml:space="preserve"> </w:t>
      </w:r>
      <w:r>
        <w:rPr>
          <w:rFonts w:ascii="宋体" w:eastAsia="宋体" w:hAnsi="宋体" w:cs="宋体"/>
          <w:spacing w:val="-6"/>
          <w:sz w:val="22"/>
          <w:szCs w:val="22"/>
        </w:rPr>
        <w:t>糖原的分解代谢(降解代谢):维生素</w:t>
      </w:r>
      <w:r>
        <w:rPr>
          <w:rFonts w:ascii="宋体" w:eastAsia="宋体" w:hAnsi="宋体" w:cs="宋体"/>
          <w:spacing w:val="-62"/>
          <w:sz w:val="22"/>
          <w:szCs w:val="22"/>
        </w:rPr>
        <w:t xml:space="preserve"> </w:t>
      </w:r>
      <w:r>
        <w:rPr>
          <w:rFonts w:ascii="Times New Roman" w:eastAsia="Times New Roman" w:hAnsi="Times New Roman" w:cs="Times New Roman"/>
          <w:spacing w:val="-6"/>
          <w:sz w:val="29"/>
          <w:szCs w:val="29"/>
        </w:rPr>
        <w:t>B,</w:t>
      </w:r>
      <w:r>
        <w:rPr>
          <w:rFonts w:ascii="宋体" w:eastAsia="宋体" w:hAnsi="宋体" w:cs="宋体"/>
          <w:spacing w:val="-6"/>
          <w:sz w:val="22"/>
          <w:szCs w:val="22"/>
        </w:rPr>
        <w:t>是磷酸化酶的一个基本部分，该</w:t>
      </w:r>
      <w:r>
        <w:rPr>
          <w:rFonts w:ascii="宋体" w:eastAsia="宋体" w:hAnsi="宋体" w:cs="宋体"/>
          <w:spacing w:val="-7"/>
          <w:sz w:val="22"/>
          <w:szCs w:val="22"/>
        </w:rPr>
        <w:t>酶在</w:t>
      </w:r>
    </w:p>
    <w:p w:rsidR="00EA40A3" w:rsidRDefault="00E86C16">
      <w:pPr>
        <w:spacing w:before="188" w:line="184" w:lineRule="auto"/>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138</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type w:val="continuous"/>
          <w:pgSz w:w="9340" w:h="13440"/>
          <w:pgMar w:top="400" w:right="1100" w:bottom="400" w:left="880" w:header="0" w:footer="0" w:gutter="0"/>
          <w:cols w:space="720" w:equalWidth="0">
            <w:col w:w="7360"/>
          </w:cols>
        </w:sectPr>
      </w:pPr>
    </w:p>
    <w:p w:rsidR="00EA40A3" w:rsidRDefault="00EA40A3">
      <w:pPr>
        <w:spacing w:line="270" w:lineRule="auto"/>
      </w:pPr>
    </w:p>
    <w:p w:rsidR="00EA40A3" w:rsidRDefault="00EA40A3">
      <w:pPr>
        <w:spacing w:line="270" w:lineRule="auto"/>
      </w:pPr>
    </w:p>
    <w:p w:rsidR="00EA40A3" w:rsidRDefault="00E86C16">
      <w:pPr>
        <w:spacing w:before="71" w:line="242" w:lineRule="auto"/>
        <w:ind w:right="100"/>
        <w:jc w:val="both"/>
        <w:rPr>
          <w:rFonts w:ascii="宋体" w:eastAsia="宋体" w:hAnsi="宋体" w:cs="宋体"/>
          <w:sz w:val="22"/>
          <w:szCs w:val="22"/>
        </w:rPr>
      </w:pPr>
      <w:r>
        <w:rPr>
          <w:rFonts w:ascii="宋体" w:eastAsia="宋体" w:hAnsi="宋体" w:cs="宋体"/>
          <w:spacing w:val="-7"/>
          <w:sz w:val="22"/>
          <w:szCs w:val="22"/>
        </w:rPr>
        <w:t>肌肉和肝脏中能催化糖原的分解而形成1-磷酸葡萄糖。②脂肪酸代谢：维生素</w:t>
      </w:r>
      <w:r>
        <w:rPr>
          <w:rFonts w:ascii="宋体" w:eastAsia="宋体" w:hAnsi="宋体" w:cs="宋体"/>
          <w:spacing w:val="3"/>
          <w:sz w:val="22"/>
          <w:szCs w:val="22"/>
        </w:rPr>
        <w:t xml:space="preserve"> </w:t>
      </w:r>
      <w:r>
        <w:rPr>
          <w:rFonts w:ascii="宋体" w:eastAsia="宋体" w:hAnsi="宋体" w:cs="宋体"/>
          <w:spacing w:val="-10"/>
          <w:sz w:val="22"/>
          <w:szCs w:val="22"/>
        </w:rPr>
        <w:t>B。参与不饱和脂肪酸的代谢，对必需脂肪酸缺乏的皮炎有一定的治疗作用，</w:t>
      </w:r>
      <w:r>
        <w:rPr>
          <w:rFonts w:ascii="宋体" w:eastAsia="宋体" w:hAnsi="宋体" w:cs="宋体"/>
          <w:spacing w:val="-11"/>
          <w:sz w:val="22"/>
          <w:szCs w:val="22"/>
        </w:rPr>
        <w:t>但</w:t>
      </w:r>
      <w:r>
        <w:rPr>
          <w:rFonts w:ascii="宋体" w:eastAsia="宋体" w:hAnsi="宋体" w:cs="宋体"/>
          <w:sz w:val="22"/>
          <w:szCs w:val="22"/>
        </w:rPr>
        <w:t xml:space="preserve"> </w:t>
      </w:r>
      <w:r>
        <w:rPr>
          <w:rFonts w:ascii="宋体" w:eastAsia="宋体" w:hAnsi="宋体" w:cs="宋体"/>
          <w:spacing w:val="-15"/>
          <w:sz w:val="22"/>
          <w:szCs w:val="22"/>
        </w:rPr>
        <w:t>确切的作用方式尚不清楚。</w:t>
      </w:r>
    </w:p>
    <w:p w:rsidR="00EA40A3" w:rsidRDefault="00E86C16">
      <w:pPr>
        <w:spacing w:before="49" w:line="245" w:lineRule="auto"/>
        <w:ind w:firstLine="430"/>
        <w:jc w:val="both"/>
        <w:rPr>
          <w:rFonts w:ascii="宋体" w:eastAsia="宋体" w:hAnsi="宋体" w:cs="宋体"/>
          <w:sz w:val="22"/>
          <w:szCs w:val="22"/>
        </w:rPr>
      </w:pPr>
      <w:r>
        <w:rPr>
          <w:rFonts w:ascii="宋体" w:eastAsia="宋体" w:hAnsi="宋体" w:cs="宋体"/>
          <w:spacing w:val="-5"/>
          <w:sz w:val="22"/>
          <w:szCs w:val="22"/>
        </w:rPr>
        <w:t>(3)维生素B</w:t>
      </w:r>
      <w:r>
        <w:rPr>
          <w:rFonts w:ascii="Calibri" w:eastAsia="Calibri" w:hAnsi="Calibri" w:cs="Calibri"/>
          <w:spacing w:val="-5"/>
          <w:sz w:val="22"/>
          <w:szCs w:val="22"/>
        </w:rPr>
        <w:t>₆</w:t>
      </w:r>
      <w:r>
        <w:rPr>
          <w:rFonts w:ascii="Calibri" w:eastAsia="Calibri" w:hAnsi="Calibri" w:cs="Calibri"/>
          <w:spacing w:val="25"/>
          <w:sz w:val="22"/>
          <w:szCs w:val="22"/>
        </w:rPr>
        <w:t xml:space="preserve"> </w:t>
      </w:r>
      <w:r>
        <w:rPr>
          <w:rFonts w:ascii="宋体" w:eastAsia="宋体" w:hAnsi="宋体" w:cs="宋体"/>
          <w:spacing w:val="-5"/>
          <w:sz w:val="22"/>
          <w:szCs w:val="22"/>
        </w:rPr>
        <w:t>与免疫系统：缺乏维生素</w:t>
      </w:r>
      <w:r>
        <w:rPr>
          <w:rFonts w:ascii="宋体" w:eastAsia="宋体" w:hAnsi="宋体" w:cs="宋体"/>
          <w:spacing w:val="-60"/>
          <w:sz w:val="22"/>
          <w:szCs w:val="22"/>
        </w:rPr>
        <w:t xml:space="preserve"> </w:t>
      </w:r>
      <w:r>
        <w:rPr>
          <w:rFonts w:ascii="宋体" w:eastAsia="宋体" w:hAnsi="宋体" w:cs="宋体"/>
          <w:spacing w:val="-5"/>
          <w:sz w:val="22"/>
          <w:szCs w:val="22"/>
        </w:rPr>
        <w:t>B:</w:t>
      </w:r>
      <w:r>
        <w:rPr>
          <w:rFonts w:ascii="宋体" w:eastAsia="宋体" w:hAnsi="宋体" w:cs="宋体"/>
          <w:spacing w:val="-37"/>
          <w:sz w:val="22"/>
          <w:szCs w:val="22"/>
        </w:rPr>
        <w:t xml:space="preserve"> </w:t>
      </w:r>
      <w:r>
        <w:rPr>
          <w:rFonts w:ascii="宋体" w:eastAsia="宋体" w:hAnsi="宋体" w:cs="宋体"/>
          <w:spacing w:val="-5"/>
          <w:sz w:val="22"/>
          <w:szCs w:val="22"/>
        </w:rPr>
        <w:t>的</w:t>
      </w:r>
      <w:r>
        <w:rPr>
          <w:rFonts w:ascii="宋体" w:eastAsia="宋体" w:hAnsi="宋体" w:cs="宋体"/>
          <w:spacing w:val="-6"/>
          <w:sz w:val="22"/>
          <w:szCs w:val="22"/>
        </w:rPr>
        <w:t>动物细胞介导免疫反应受损。</w:t>
      </w:r>
      <w:r>
        <w:rPr>
          <w:rFonts w:ascii="宋体" w:eastAsia="宋体" w:hAnsi="宋体" w:cs="宋体"/>
          <w:sz w:val="22"/>
          <w:szCs w:val="22"/>
        </w:rPr>
        <w:t xml:space="preserve"> </w:t>
      </w:r>
      <w:r>
        <w:rPr>
          <w:rFonts w:ascii="宋体" w:eastAsia="宋体" w:hAnsi="宋体" w:cs="宋体"/>
          <w:spacing w:val="-10"/>
          <w:sz w:val="22"/>
          <w:szCs w:val="22"/>
        </w:rPr>
        <w:t>近年的研究提示， PLP</w:t>
      </w:r>
      <w:r>
        <w:rPr>
          <w:rFonts w:ascii="宋体" w:eastAsia="宋体" w:hAnsi="宋体" w:cs="宋体"/>
          <w:spacing w:val="25"/>
          <w:sz w:val="22"/>
          <w:szCs w:val="22"/>
        </w:rPr>
        <w:t xml:space="preserve"> </w:t>
      </w:r>
      <w:r>
        <w:rPr>
          <w:rFonts w:ascii="宋体" w:eastAsia="宋体" w:hAnsi="宋体" w:cs="宋体"/>
          <w:spacing w:val="-10"/>
          <w:sz w:val="22"/>
          <w:szCs w:val="22"/>
        </w:rPr>
        <w:t>可能通过参与1-碳单位代谢而影响到免疫功</w:t>
      </w:r>
      <w:r>
        <w:rPr>
          <w:rFonts w:ascii="宋体" w:eastAsia="宋体" w:hAnsi="宋体" w:cs="宋体"/>
          <w:spacing w:val="-11"/>
          <w:sz w:val="22"/>
          <w:szCs w:val="22"/>
        </w:rPr>
        <w:t>能。维生素</w:t>
      </w:r>
      <w:r>
        <w:rPr>
          <w:rFonts w:ascii="宋体" w:eastAsia="宋体" w:hAnsi="宋体" w:cs="宋体"/>
          <w:sz w:val="22"/>
          <w:szCs w:val="22"/>
        </w:rPr>
        <w:t xml:space="preserve">  </w:t>
      </w:r>
      <w:r>
        <w:rPr>
          <w:rFonts w:ascii="宋体" w:eastAsia="宋体" w:hAnsi="宋体" w:cs="宋体"/>
          <w:spacing w:val="1"/>
          <w:sz w:val="22"/>
          <w:szCs w:val="22"/>
        </w:rPr>
        <w:t>B,缺乏将会损害</w:t>
      </w:r>
      <w:r>
        <w:rPr>
          <w:rFonts w:ascii="宋体" w:eastAsia="宋体" w:hAnsi="宋体" w:cs="宋体"/>
          <w:spacing w:val="-62"/>
          <w:sz w:val="22"/>
          <w:szCs w:val="22"/>
        </w:rPr>
        <w:t xml:space="preserve"> </w:t>
      </w:r>
      <w:r>
        <w:rPr>
          <w:rFonts w:ascii="宋体" w:eastAsia="宋体" w:hAnsi="宋体" w:cs="宋体"/>
          <w:sz w:val="22"/>
          <w:szCs w:val="22"/>
        </w:rPr>
        <w:t>DNA</w:t>
      </w:r>
      <w:r>
        <w:rPr>
          <w:rFonts w:ascii="宋体" w:eastAsia="宋体" w:hAnsi="宋体" w:cs="宋体"/>
          <w:spacing w:val="104"/>
          <w:sz w:val="22"/>
          <w:szCs w:val="22"/>
        </w:rPr>
        <w:t xml:space="preserve"> </w:t>
      </w:r>
      <w:r>
        <w:rPr>
          <w:rFonts w:ascii="宋体" w:eastAsia="宋体" w:hAnsi="宋体" w:cs="宋体"/>
          <w:spacing w:val="1"/>
          <w:sz w:val="22"/>
          <w:szCs w:val="22"/>
        </w:rPr>
        <w:t>的合成，这个过程对维持适宜的免疫功能也</w:t>
      </w:r>
      <w:r>
        <w:rPr>
          <w:rFonts w:ascii="宋体" w:eastAsia="宋体" w:hAnsi="宋体" w:cs="宋体"/>
          <w:sz w:val="22"/>
          <w:szCs w:val="22"/>
        </w:rPr>
        <w:t xml:space="preserve">是非常重  </w:t>
      </w:r>
      <w:r>
        <w:rPr>
          <w:rFonts w:ascii="宋体" w:eastAsia="宋体" w:hAnsi="宋体" w:cs="宋体"/>
          <w:spacing w:val="-18"/>
          <w:sz w:val="22"/>
          <w:szCs w:val="22"/>
        </w:rPr>
        <w:t>要的。</w:t>
      </w:r>
    </w:p>
    <w:p w:rsidR="00EA40A3" w:rsidRDefault="00E86C16">
      <w:pPr>
        <w:spacing w:before="31" w:line="245" w:lineRule="auto"/>
        <w:ind w:right="68" w:firstLine="430"/>
        <w:jc w:val="both"/>
        <w:rPr>
          <w:rFonts w:ascii="宋体" w:eastAsia="宋体" w:hAnsi="宋体" w:cs="宋体"/>
          <w:sz w:val="22"/>
          <w:szCs w:val="22"/>
        </w:rPr>
      </w:pPr>
      <w:r>
        <w:rPr>
          <w:rFonts w:ascii="宋体" w:eastAsia="宋体" w:hAnsi="宋体" w:cs="宋体"/>
          <w:spacing w:val="-9"/>
          <w:sz w:val="22"/>
          <w:szCs w:val="22"/>
        </w:rPr>
        <w:t>(4)维生素</w:t>
      </w:r>
      <w:r>
        <w:rPr>
          <w:rFonts w:ascii="宋体" w:eastAsia="宋体" w:hAnsi="宋体" w:cs="宋体"/>
          <w:spacing w:val="-51"/>
          <w:sz w:val="22"/>
          <w:szCs w:val="22"/>
        </w:rPr>
        <w:t xml:space="preserve"> </w:t>
      </w:r>
      <w:r>
        <w:rPr>
          <w:rFonts w:ascii="宋体" w:eastAsia="宋体" w:hAnsi="宋体" w:cs="宋体"/>
          <w:spacing w:val="-9"/>
          <w:sz w:val="22"/>
          <w:szCs w:val="22"/>
        </w:rPr>
        <w:t>B</w:t>
      </w:r>
      <w:r>
        <w:rPr>
          <w:rFonts w:ascii="宋体" w:eastAsia="宋体" w:hAnsi="宋体" w:cs="宋体"/>
          <w:spacing w:val="53"/>
          <w:sz w:val="22"/>
          <w:szCs w:val="22"/>
        </w:rPr>
        <w:t xml:space="preserve"> </w:t>
      </w:r>
      <w:r>
        <w:rPr>
          <w:rFonts w:ascii="宋体" w:eastAsia="宋体" w:hAnsi="宋体" w:cs="宋体"/>
          <w:spacing w:val="-9"/>
          <w:sz w:val="22"/>
          <w:szCs w:val="22"/>
        </w:rPr>
        <w:t>与神经系统：</w:t>
      </w:r>
      <w:r>
        <w:rPr>
          <w:rFonts w:ascii="宋体" w:eastAsia="宋体" w:hAnsi="宋体" w:cs="宋体"/>
          <w:spacing w:val="-17"/>
          <w:sz w:val="22"/>
          <w:szCs w:val="22"/>
        </w:rPr>
        <w:t xml:space="preserve"> </w:t>
      </w:r>
      <w:r>
        <w:rPr>
          <w:rFonts w:ascii="宋体" w:eastAsia="宋体" w:hAnsi="宋体" w:cs="宋体"/>
          <w:spacing w:val="-9"/>
          <w:sz w:val="22"/>
          <w:szCs w:val="22"/>
        </w:rPr>
        <w:t>PLP</w:t>
      </w:r>
      <w:r>
        <w:rPr>
          <w:rFonts w:ascii="宋体" w:eastAsia="宋体" w:hAnsi="宋体" w:cs="宋体"/>
          <w:spacing w:val="5"/>
          <w:sz w:val="22"/>
          <w:szCs w:val="22"/>
        </w:rPr>
        <w:t xml:space="preserve"> </w:t>
      </w:r>
      <w:r>
        <w:rPr>
          <w:rFonts w:ascii="宋体" w:eastAsia="宋体" w:hAnsi="宋体" w:cs="宋体"/>
          <w:spacing w:val="-9"/>
          <w:sz w:val="22"/>
          <w:szCs w:val="22"/>
        </w:rPr>
        <w:t>参与许多酶促</w:t>
      </w:r>
      <w:r>
        <w:rPr>
          <w:rFonts w:ascii="宋体" w:eastAsia="宋体" w:hAnsi="宋体" w:cs="宋体"/>
          <w:spacing w:val="-10"/>
          <w:sz w:val="22"/>
          <w:szCs w:val="22"/>
        </w:rPr>
        <w:t>反应，维持正常的神经递质</w:t>
      </w:r>
      <w:r>
        <w:rPr>
          <w:rFonts w:ascii="宋体" w:eastAsia="宋体" w:hAnsi="宋体" w:cs="宋体"/>
          <w:sz w:val="22"/>
          <w:szCs w:val="22"/>
        </w:rPr>
        <w:t xml:space="preserve"> </w:t>
      </w:r>
      <w:r>
        <w:rPr>
          <w:rFonts w:ascii="宋体" w:eastAsia="宋体" w:hAnsi="宋体" w:cs="宋体"/>
          <w:spacing w:val="-9"/>
          <w:sz w:val="22"/>
          <w:szCs w:val="22"/>
        </w:rPr>
        <w:t>水平，包括5-羟色胺、多巴胺、去甲肾上腺素、组胺和γ-氨基丁酸等。有研究</w:t>
      </w:r>
      <w:r>
        <w:rPr>
          <w:rFonts w:ascii="宋体" w:eastAsia="宋体" w:hAnsi="宋体" w:cs="宋体"/>
          <w:spacing w:val="4"/>
          <w:sz w:val="22"/>
          <w:szCs w:val="22"/>
        </w:rPr>
        <w:t xml:space="preserve"> </w:t>
      </w:r>
      <w:r>
        <w:rPr>
          <w:rFonts w:ascii="宋体" w:eastAsia="宋体" w:hAnsi="宋体" w:cs="宋体"/>
          <w:spacing w:val="-9"/>
          <w:sz w:val="22"/>
          <w:szCs w:val="22"/>
        </w:rPr>
        <w:t>发现进食低维生素B</w:t>
      </w:r>
      <w:r>
        <w:rPr>
          <w:rFonts w:ascii="Calibri" w:eastAsia="Calibri" w:hAnsi="Calibri" w:cs="Calibri"/>
          <w:spacing w:val="-9"/>
          <w:sz w:val="22"/>
          <w:szCs w:val="22"/>
        </w:rPr>
        <w:t>₆</w:t>
      </w:r>
      <w:r>
        <w:rPr>
          <w:rFonts w:ascii="Calibri" w:eastAsia="Calibri" w:hAnsi="Calibri" w:cs="Calibri"/>
          <w:spacing w:val="25"/>
          <w:sz w:val="22"/>
          <w:szCs w:val="22"/>
        </w:rPr>
        <w:t xml:space="preserve"> </w:t>
      </w:r>
      <w:r>
        <w:rPr>
          <w:rFonts w:ascii="宋体" w:eastAsia="宋体" w:hAnsi="宋体" w:cs="宋体"/>
          <w:spacing w:val="-9"/>
          <w:sz w:val="22"/>
          <w:szCs w:val="22"/>
        </w:rPr>
        <w:t>膳食者出现脑电图异常；维生素B</w:t>
      </w:r>
      <w:r>
        <w:rPr>
          <w:rFonts w:ascii="Calibri" w:eastAsia="Calibri" w:hAnsi="Calibri" w:cs="Calibri"/>
          <w:spacing w:val="-9"/>
          <w:sz w:val="22"/>
          <w:szCs w:val="22"/>
        </w:rPr>
        <w:t>₆</w:t>
      </w:r>
      <w:r>
        <w:rPr>
          <w:rFonts w:ascii="Calibri" w:eastAsia="Calibri" w:hAnsi="Calibri" w:cs="Calibri"/>
          <w:spacing w:val="25"/>
          <w:sz w:val="22"/>
          <w:szCs w:val="22"/>
        </w:rPr>
        <w:t xml:space="preserve"> </w:t>
      </w:r>
      <w:r>
        <w:rPr>
          <w:rFonts w:ascii="宋体" w:eastAsia="宋体" w:hAnsi="宋体" w:cs="宋体"/>
          <w:spacing w:val="-9"/>
          <w:sz w:val="22"/>
          <w:szCs w:val="22"/>
        </w:rPr>
        <w:t>缺乏时，由于脑</w:t>
      </w:r>
      <w:r>
        <w:rPr>
          <w:rFonts w:ascii="宋体" w:eastAsia="宋体" w:hAnsi="宋体" w:cs="宋体"/>
          <w:spacing w:val="-10"/>
          <w:sz w:val="22"/>
          <w:szCs w:val="22"/>
        </w:rPr>
        <w:t>中异常</w:t>
      </w:r>
      <w:r>
        <w:rPr>
          <w:rFonts w:ascii="宋体" w:eastAsia="宋体" w:hAnsi="宋体" w:cs="宋体"/>
          <w:sz w:val="22"/>
          <w:szCs w:val="22"/>
        </w:rPr>
        <w:t xml:space="preserve"> </w:t>
      </w:r>
      <w:r>
        <w:rPr>
          <w:rFonts w:ascii="宋体" w:eastAsia="宋体" w:hAnsi="宋体" w:cs="宋体"/>
          <w:spacing w:val="-8"/>
          <w:sz w:val="22"/>
          <w:szCs w:val="22"/>
        </w:rPr>
        <w:t>色氨酸代谢物蓄积而引起惊厥，此外还可发生忧郁和精神错乱。</w:t>
      </w:r>
      <w:r>
        <w:rPr>
          <w:rFonts w:ascii="宋体" w:eastAsia="宋体" w:hAnsi="宋体" w:cs="宋体"/>
          <w:spacing w:val="-9"/>
          <w:sz w:val="22"/>
          <w:szCs w:val="22"/>
        </w:rPr>
        <w:t>维生素B</w:t>
      </w:r>
      <w:r>
        <w:rPr>
          <w:rFonts w:ascii="Calibri" w:eastAsia="Calibri" w:hAnsi="Calibri" w:cs="Calibri"/>
          <w:spacing w:val="-9"/>
          <w:sz w:val="22"/>
          <w:szCs w:val="22"/>
        </w:rPr>
        <w:t>₆</w:t>
      </w:r>
      <w:r>
        <w:rPr>
          <w:rFonts w:ascii="Calibri" w:eastAsia="Calibri" w:hAnsi="Calibri" w:cs="Calibri"/>
          <w:spacing w:val="45"/>
          <w:sz w:val="22"/>
          <w:szCs w:val="22"/>
        </w:rPr>
        <w:t xml:space="preserve"> </w:t>
      </w:r>
      <w:r>
        <w:rPr>
          <w:rFonts w:ascii="宋体" w:eastAsia="宋体" w:hAnsi="宋体" w:cs="宋体"/>
          <w:spacing w:val="-9"/>
          <w:sz w:val="22"/>
          <w:szCs w:val="22"/>
        </w:rPr>
        <w:t>与维</w:t>
      </w:r>
      <w:r>
        <w:rPr>
          <w:rFonts w:ascii="宋体" w:eastAsia="宋体" w:hAnsi="宋体" w:cs="宋体"/>
          <w:sz w:val="22"/>
          <w:szCs w:val="22"/>
        </w:rPr>
        <w:t xml:space="preserve"> </w:t>
      </w:r>
      <w:r>
        <w:rPr>
          <w:rFonts w:ascii="宋体" w:eastAsia="宋体" w:hAnsi="宋体" w:cs="宋体"/>
          <w:spacing w:val="-6"/>
          <w:sz w:val="22"/>
          <w:szCs w:val="22"/>
        </w:rPr>
        <w:t>生素B</w:t>
      </w:r>
      <w:r>
        <w:rPr>
          <w:rFonts w:ascii="Calibri" w:eastAsia="Calibri" w:hAnsi="Calibri" w:cs="Calibri"/>
          <w:spacing w:val="-6"/>
          <w:sz w:val="22"/>
          <w:szCs w:val="22"/>
        </w:rPr>
        <w:t>₂</w:t>
      </w:r>
      <w:r>
        <w:rPr>
          <w:rFonts w:ascii="Calibri" w:eastAsia="Calibri" w:hAnsi="Calibri" w:cs="Calibri"/>
          <w:spacing w:val="40"/>
          <w:sz w:val="22"/>
          <w:szCs w:val="22"/>
        </w:rPr>
        <w:t xml:space="preserve"> </w:t>
      </w:r>
      <w:r>
        <w:rPr>
          <w:rFonts w:ascii="宋体" w:eastAsia="宋体" w:hAnsi="宋体" w:cs="宋体"/>
          <w:spacing w:val="-6"/>
          <w:sz w:val="22"/>
          <w:szCs w:val="22"/>
        </w:rPr>
        <w:t>的关系十分密切，维生素B</w:t>
      </w:r>
      <w:r>
        <w:rPr>
          <w:rFonts w:ascii="Calibri" w:eastAsia="Calibri" w:hAnsi="Calibri" w:cs="Calibri"/>
          <w:spacing w:val="-6"/>
          <w:sz w:val="22"/>
          <w:szCs w:val="22"/>
        </w:rPr>
        <w:t>₅</w:t>
      </w:r>
      <w:r>
        <w:rPr>
          <w:rFonts w:ascii="Calibri" w:eastAsia="Calibri" w:hAnsi="Calibri" w:cs="Calibri"/>
          <w:spacing w:val="30"/>
          <w:w w:val="101"/>
          <w:sz w:val="22"/>
          <w:szCs w:val="22"/>
        </w:rPr>
        <w:t xml:space="preserve"> </w:t>
      </w:r>
      <w:r>
        <w:rPr>
          <w:rFonts w:ascii="宋体" w:eastAsia="宋体" w:hAnsi="宋体" w:cs="宋体"/>
          <w:spacing w:val="-6"/>
          <w:sz w:val="22"/>
          <w:szCs w:val="22"/>
        </w:rPr>
        <w:t>缺乏常伴有维生素B2缺乏症状。</w:t>
      </w:r>
    </w:p>
    <w:p w:rsidR="00EA40A3" w:rsidRDefault="00E86C16">
      <w:pPr>
        <w:spacing w:before="38" w:line="244" w:lineRule="auto"/>
        <w:ind w:right="71" w:firstLine="430"/>
        <w:jc w:val="both"/>
        <w:rPr>
          <w:rFonts w:ascii="宋体" w:eastAsia="宋体" w:hAnsi="宋体" w:cs="宋体"/>
          <w:sz w:val="22"/>
          <w:szCs w:val="22"/>
        </w:rPr>
      </w:pPr>
      <w:r>
        <w:rPr>
          <w:rFonts w:ascii="宋体" w:eastAsia="宋体" w:hAnsi="宋体" w:cs="宋体"/>
          <w:spacing w:val="-10"/>
          <w:sz w:val="22"/>
          <w:szCs w:val="22"/>
        </w:rPr>
        <w:t>(5)降低慢性病的作用：轻度高同型半胱氨酸血症近年来已被认为是血管</w:t>
      </w:r>
      <w:r>
        <w:rPr>
          <w:rFonts w:ascii="宋体" w:eastAsia="宋体" w:hAnsi="宋体" w:cs="宋体"/>
          <w:spacing w:val="-11"/>
          <w:sz w:val="22"/>
          <w:szCs w:val="22"/>
        </w:rPr>
        <w:t>疾</w:t>
      </w:r>
      <w:r>
        <w:rPr>
          <w:rFonts w:ascii="宋体" w:eastAsia="宋体" w:hAnsi="宋体" w:cs="宋体"/>
          <w:sz w:val="22"/>
          <w:szCs w:val="22"/>
        </w:rPr>
        <w:t xml:space="preserve"> </w:t>
      </w:r>
      <w:r>
        <w:rPr>
          <w:rFonts w:ascii="宋体" w:eastAsia="宋体" w:hAnsi="宋体" w:cs="宋体"/>
          <w:spacing w:val="-12"/>
          <w:sz w:val="22"/>
          <w:szCs w:val="22"/>
        </w:rPr>
        <w:t>病的一种可能危险因素，维生素的干预可降低血浆同</w:t>
      </w:r>
      <w:r>
        <w:rPr>
          <w:rFonts w:ascii="宋体" w:eastAsia="宋体" w:hAnsi="宋体" w:cs="宋体"/>
          <w:spacing w:val="-13"/>
          <w:sz w:val="22"/>
          <w:szCs w:val="22"/>
        </w:rPr>
        <w:t>型半胱氨酸含量，同型半胱</w:t>
      </w:r>
      <w:r>
        <w:rPr>
          <w:rFonts w:ascii="宋体" w:eastAsia="宋体" w:hAnsi="宋体" w:cs="宋体"/>
          <w:sz w:val="22"/>
          <w:szCs w:val="22"/>
        </w:rPr>
        <w:t xml:space="preserve"> </w:t>
      </w:r>
      <w:r>
        <w:rPr>
          <w:rFonts w:ascii="宋体" w:eastAsia="宋体" w:hAnsi="宋体" w:cs="宋体"/>
          <w:spacing w:val="-11"/>
          <w:sz w:val="22"/>
          <w:szCs w:val="22"/>
        </w:rPr>
        <w:t>氨酸主要受非常低维生素B。摄入量的影响，大剂量摄入维生素B</w:t>
      </w:r>
      <w:r>
        <w:rPr>
          <w:rFonts w:ascii="Calibri" w:eastAsia="Calibri" w:hAnsi="Calibri" w:cs="Calibri"/>
          <w:spacing w:val="-11"/>
          <w:sz w:val="22"/>
          <w:szCs w:val="22"/>
        </w:rPr>
        <w:t>₃</w:t>
      </w:r>
      <w:r>
        <w:rPr>
          <w:rFonts w:ascii="Calibri" w:eastAsia="Calibri" w:hAnsi="Calibri" w:cs="Calibri"/>
          <w:spacing w:val="5"/>
          <w:sz w:val="22"/>
          <w:szCs w:val="22"/>
        </w:rPr>
        <w:t xml:space="preserve">  </w:t>
      </w:r>
      <w:r>
        <w:rPr>
          <w:rFonts w:ascii="宋体" w:eastAsia="宋体" w:hAnsi="宋体" w:cs="宋体"/>
          <w:spacing w:val="-11"/>
          <w:sz w:val="22"/>
          <w:szCs w:val="22"/>
        </w:rPr>
        <w:t>可能降低致死</w:t>
      </w:r>
      <w:r>
        <w:rPr>
          <w:rFonts w:ascii="宋体" w:eastAsia="宋体" w:hAnsi="宋体" w:cs="宋体"/>
          <w:sz w:val="22"/>
          <w:szCs w:val="22"/>
        </w:rPr>
        <w:t xml:space="preserve"> </w:t>
      </w:r>
      <w:r>
        <w:rPr>
          <w:rFonts w:ascii="宋体" w:eastAsia="宋体" w:hAnsi="宋体" w:cs="宋体"/>
          <w:spacing w:val="-18"/>
          <w:sz w:val="22"/>
          <w:szCs w:val="22"/>
        </w:rPr>
        <w:t>性冠心病发生率。</w:t>
      </w:r>
    </w:p>
    <w:p w:rsidR="00EA40A3" w:rsidRDefault="00E86C16">
      <w:pPr>
        <w:spacing w:before="235" w:line="220" w:lineRule="auto"/>
        <w:rPr>
          <w:rFonts w:ascii="仿宋" w:eastAsia="仿宋" w:hAnsi="仿宋" w:cs="仿宋"/>
          <w:sz w:val="25"/>
          <w:szCs w:val="25"/>
        </w:rPr>
      </w:pPr>
      <w:r>
        <w:rPr>
          <w:rFonts w:ascii="仿宋" w:eastAsia="仿宋" w:hAnsi="仿宋" w:cs="仿宋"/>
          <w:spacing w:val="-3"/>
          <w:sz w:val="25"/>
          <w:szCs w:val="25"/>
        </w:rPr>
        <w:t>4.维生素B</w:t>
      </w:r>
      <w:r>
        <w:rPr>
          <w:rFonts w:ascii="仿宋" w:eastAsia="仿宋" w:hAnsi="仿宋" w:cs="仿宋"/>
          <w:spacing w:val="65"/>
          <w:sz w:val="25"/>
          <w:szCs w:val="25"/>
        </w:rPr>
        <w:t xml:space="preserve"> </w:t>
      </w:r>
      <w:r>
        <w:rPr>
          <w:rFonts w:ascii="仿宋" w:eastAsia="仿宋" w:hAnsi="仿宋" w:cs="仿宋"/>
          <w:spacing w:val="-3"/>
          <w:sz w:val="25"/>
          <w:szCs w:val="25"/>
        </w:rPr>
        <w:t>缺乏症及毒性</w:t>
      </w:r>
    </w:p>
    <w:p w:rsidR="00EA40A3" w:rsidRDefault="00E86C16">
      <w:pPr>
        <w:spacing w:before="196" w:line="247" w:lineRule="auto"/>
        <w:ind w:right="66" w:firstLine="430"/>
        <w:jc w:val="both"/>
        <w:rPr>
          <w:rFonts w:ascii="宋体" w:eastAsia="宋体" w:hAnsi="宋体" w:cs="宋体"/>
          <w:sz w:val="22"/>
          <w:szCs w:val="22"/>
        </w:rPr>
      </w:pPr>
      <w:r>
        <w:rPr>
          <w:rFonts w:ascii="宋体" w:eastAsia="宋体" w:hAnsi="宋体" w:cs="宋体"/>
          <w:spacing w:val="-9"/>
          <w:sz w:val="22"/>
          <w:szCs w:val="22"/>
        </w:rPr>
        <w:t>维生素B</w:t>
      </w:r>
      <w:r>
        <w:rPr>
          <w:rFonts w:ascii="Calibri" w:eastAsia="Calibri" w:hAnsi="Calibri" w:cs="Calibri"/>
          <w:spacing w:val="-9"/>
          <w:sz w:val="22"/>
          <w:szCs w:val="22"/>
        </w:rPr>
        <w:t>₂</w:t>
      </w:r>
      <w:r>
        <w:rPr>
          <w:rFonts w:ascii="Calibri" w:eastAsia="Calibri" w:hAnsi="Calibri" w:cs="Calibri"/>
          <w:spacing w:val="40"/>
          <w:sz w:val="22"/>
          <w:szCs w:val="22"/>
        </w:rPr>
        <w:t xml:space="preserve"> </w:t>
      </w:r>
      <w:r>
        <w:rPr>
          <w:rFonts w:ascii="宋体" w:eastAsia="宋体" w:hAnsi="宋体" w:cs="宋体"/>
          <w:spacing w:val="-9"/>
          <w:sz w:val="22"/>
          <w:szCs w:val="22"/>
        </w:rPr>
        <w:t>在动植物食物中广泛存在，严重的维生素B</w:t>
      </w:r>
      <w:r>
        <w:rPr>
          <w:rFonts w:ascii="Calibri" w:eastAsia="Calibri" w:hAnsi="Calibri" w:cs="Calibri"/>
          <w:spacing w:val="-9"/>
          <w:sz w:val="22"/>
          <w:szCs w:val="22"/>
        </w:rPr>
        <w:t>₆</w:t>
      </w:r>
      <w:r>
        <w:rPr>
          <w:rFonts w:ascii="Calibri" w:eastAsia="Calibri" w:hAnsi="Calibri" w:cs="Calibri"/>
          <w:spacing w:val="35"/>
          <w:sz w:val="22"/>
          <w:szCs w:val="22"/>
        </w:rPr>
        <w:t xml:space="preserve"> </w:t>
      </w:r>
      <w:r>
        <w:rPr>
          <w:rFonts w:ascii="宋体" w:eastAsia="宋体" w:hAnsi="宋体" w:cs="宋体"/>
          <w:spacing w:val="-9"/>
          <w:sz w:val="22"/>
          <w:szCs w:val="22"/>
        </w:rPr>
        <w:t>缺乏很少见，但轻度</w:t>
      </w:r>
      <w:r>
        <w:rPr>
          <w:rFonts w:ascii="宋体" w:eastAsia="宋体" w:hAnsi="宋体" w:cs="宋体"/>
          <w:sz w:val="22"/>
          <w:szCs w:val="22"/>
        </w:rPr>
        <w:t xml:space="preserve"> </w:t>
      </w:r>
      <w:r>
        <w:rPr>
          <w:rFonts w:ascii="宋体" w:eastAsia="宋体" w:hAnsi="宋体" w:cs="宋体"/>
          <w:spacing w:val="-7"/>
          <w:sz w:val="22"/>
          <w:szCs w:val="22"/>
        </w:rPr>
        <w:t>缺乏较多见，通常与其他B</w:t>
      </w:r>
      <w:r>
        <w:rPr>
          <w:rFonts w:ascii="宋体" w:eastAsia="宋体" w:hAnsi="宋体" w:cs="宋体"/>
          <w:spacing w:val="-30"/>
          <w:sz w:val="22"/>
          <w:szCs w:val="22"/>
        </w:rPr>
        <w:t xml:space="preserve"> </w:t>
      </w:r>
      <w:r>
        <w:rPr>
          <w:rFonts w:ascii="宋体" w:eastAsia="宋体" w:hAnsi="宋体" w:cs="宋体"/>
          <w:spacing w:val="-7"/>
          <w:sz w:val="22"/>
          <w:szCs w:val="22"/>
        </w:rPr>
        <w:t>族维生素缺乏同时存在。维生素Be</w:t>
      </w:r>
      <w:r>
        <w:rPr>
          <w:rFonts w:ascii="宋体" w:eastAsia="宋体" w:hAnsi="宋体" w:cs="宋体"/>
          <w:spacing w:val="-46"/>
          <w:sz w:val="22"/>
          <w:szCs w:val="22"/>
        </w:rPr>
        <w:t xml:space="preserve"> </w:t>
      </w:r>
      <w:r>
        <w:rPr>
          <w:rFonts w:ascii="宋体" w:eastAsia="宋体" w:hAnsi="宋体" w:cs="宋体"/>
          <w:spacing w:val="-7"/>
          <w:sz w:val="22"/>
          <w:szCs w:val="22"/>
        </w:rPr>
        <w:t>缺乏可致眼、鼻</w:t>
      </w:r>
      <w:r>
        <w:rPr>
          <w:rFonts w:ascii="宋体" w:eastAsia="宋体" w:hAnsi="宋体" w:cs="宋体"/>
          <w:sz w:val="22"/>
          <w:szCs w:val="22"/>
        </w:rPr>
        <w:t xml:space="preserve"> </w:t>
      </w:r>
      <w:r>
        <w:rPr>
          <w:rFonts w:ascii="宋体" w:eastAsia="宋体" w:hAnsi="宋体" w:cs="宋体"/>
          <w:spacing w:val="-13"/>
          <w:sz w:val="22"/>
          <w:szCs w:val="22"/>
        </w:rPr>
        <w:t>与口腔周围皮肤脂溢性皮炎，个别还有神经精神症状，如易激动</w:t>
      </w:r>
      <w:r>
        <w:rPr>
          <w:rFonts w:ascii="宋体" w:eastAsia="宋体" w:hAnsi="宋体" w:cs="宋体"/>
          <w:spacing w:val="-14"/>
          <w:sz w:val="22"/>
          <w:szCs w:val="22"/>
        </w:rPr>
        <w:t>、忧郁和人格改</w:t>
      </w:r>
      <w:r>
        <w:rPr>
          <w:rFonts w:ascii="宋体" w:eastAsia="宋体" w:hAnsi="宋体" w:cs="宋体"/>
          <w:sz w:val="22"/>
          <w:szCs w:val="22"/>
        </w:rPr>
        <w:t xml:space="preserve"> </w:t>
      </w:r>
      <w:r>
        <w:rPr>
          <w:rFonts w:ascii="宋体" w:eastAsia="宋体" w:hAnsi="宋体" w:cs="宋体"/>
          <w:spacing w:val="-9"/>
          <w:sz w:val="22"/>
          <w:szCs w:val="22"/>
        </w:rPr>
        <w:t>变等。维生素B。缺乏还可引起色氨酸代谢失调，尿中黄尿酸排出</w:t>
      </w:r>
      <w:r>
        <w:rPr>
          <w:rFonts w:ascii="宋体" w:eastAsia="宋体" w:hAnsi="宋体" w:cs="宋体"/>
          <w:spacing w:val="-10"/>
          <w:sz w:val="22"/>
          <w:szCs w:val="22"/>
        </w:rPr>
        <w:t>增高。维生素</w:t>
      </w:r>
      <w:r>
        <w:rPr>
          <w:rFonts w:ascii="宋体" w:eastAsia="宋体" w:hAnsi="宋体" w:cs="宋体"/>
          <w:sz w:val="22"/>
          <w:szCs w:val="22"/>
        </w:rPr>
        <w:t xml:space="preserve"> </w:t>
      </w:r>
      <w:r>
        <w:rPr>
          <w:rFonts w:ascii="宋体" w:eastAsia="宋体" w:hAnsi="宋体" w:cs="宋体"/>
          <w:spacing w:val="-6"/>
          <w:sz w:val="22"/>
          <w:szCs w:val="22"/>
        </w:rPr>
        <w:t>Ba缺乏对幼儿的影响较成人大，儿童缺乏时可出现烦躁、肌肉抽搐、惊厥、呕</w:t>
      </w:r>
      <w:r>
        <w:rPr>
          <w:rFonts w:ascii="宋体" w:eastAsia="宋体" w:hAnsi="宋体" w:cs="宋体"/>
          <w:spacing w:val="2"/>
          <w:sz w:val="22"/>
          <w:szCs w:val="22"/>
        </w:rPr>
        <w:t xml:space="preserve"> </w:t>
      </w:r>
      <w:r>
        <w:rPr>
          <w:rFonts w:ascii="宋体" w:eastAsia="宋体" w:hAnsi="宋体" w:cs="宋体"/>
          <w:spacing w:val="-12"/>
          <w:sz w:val="22"/>
          <w:szCs w:val="22"/>
        </w:rPr>
        <w:t>吐、腹痛以及体重下降等症状，给吡哆醇后症状消失，但体内</w:t>
      </w:r>
      <w:r>
        <w:rPr>
          <w:rFonts w:ascii="宋体" w:eastAsia="宋体" w:hAnsi="宋体" w:cs="宋体"/>
          <w:spacing w:val="-13"/>
          <w:sz w:val="22"/>
          <w:szCs w:val="22"/>
        </w:rPr>
        <w:t>色氨酸转化为尼克</w:t>
      </w:r>
      <w:r>
        <w:rPr>
          <w:rFonts w:ascii="宋体" w:eastAsia="宋体" w:hAnsi="宋体" w:cs="宋体"/>
          <w:sz w:val="22"/>
          <w:szCs w:val="22"/>
        </w:rPr>
        <w:t xml:space="preserve"> </w:t>
      </w:r>
      <w:r>
        <w:rPr>
          <w:rFonts w:ascii="宋体" w:eastAsia="宋体" w:hAnsi="宋体" w:cs="宋体"/>
          <w:spacing w:val="-14"/>
          <w:sz w:val="22"/>
          <w:szCs w:val="22"/>
        </w:rPr>
        <w:t>酸的能力恢复很慢。</w:t>
      </w:r>
    </w:p>
    <w:p w:rsidR="00EA40A3" w:rsidRDefault="00E86C16">
      <w:pPr>
        <w:spacing w:before="87" w:line="222" w:lineRule="auto"/>
        <w:ind w:right="73" w:firstLine="430"/>
        <w:rPr>
          <w:rFonts w:ascii="宋体" w:eastAsia="宋体" w:hAnsi="宋体" w:cs="宋体"/>
          <w:sz w:val="22"/>
          <w:szCs w:val="22"/>
        </w:rPr>
      </w:pPr>
      <w:r>
        <w:rPr>
          <w:rFonts w:ascii="宋体" w:eastAsia="宋体" w:hAnsi="宋体" w:cs="宋体"/>
          <w:spacing w:val="-7"/>
          <w:sz w:val="22"/>
          <w:szCs w:val="22"/>
        </w:rPr>
        <w:t>经食物摄入大量维生素B</w:t>
      </w:r>
      <w:r>
        <w:rPr>
          <w:rFonts w:ascii="Calibri" w:eastAsia="Calibri" w:hAnsi="Calibri" w:cs="Calibri"/>
          <w:spacing w:val="-7"/>
          <w:sz w:val="22"/>
          <w:szCs w:val="22"/>
        </w:rPr>
        <w:t>₃</w:t>
      </w:r>
      <w:r>
        <w:rPr>
          <w:rFonts w:ascii="Calibri" w:eastAsia="Calibri" w:hAnsi="Calibri" w:cs="Calibri"/>
          <w:spacing w:val="30"/>
          <w:sz w:val="22"/>
          <w:szCs w:val="22"/>
        </w:rPr>
        <w:t xml:space="preserve"> </w:t>
      </w:r>
      <w:r>
        <w:rPr>
          <w:rFonts w:ascii="宋体" w:eastAsia="宋体" w:hAnsi="宋体" w:cs="宋体"/>
          <w:spacing w:val="-7"/>
          <w:sz w:val="22"/>
          <w:szCs w:val="22"/>
        </w:rPr>
        <w:t>没有不良反应，但通过补充</w:t>
      </w:r>
      <w:r>
        <w:rPr>
          <w:rFonts w:ascii="宋体" w:eastAsia="宋体" w:hAnsi="宋体" w:cs="宋体"/>
          <w:spacing w:val="-8"/>
          <w:sz w:val="22"/>
          <w:szCs w:val="22"/>
        </w:rPr>
        <w:t>品长期使用维生素B:</w:t>
      </w:r>
      <w:r>
        <w:rPr>
          <w:rFonts w:ascii="宋体" w:eastAsia="宋体" w:hAnsi="宋体" w:cs="宋体"/>
          <w:sz w:val="22"/>
          <w:szCs w:val="22"/>
        </w:rPr>
        <w:t xml:space="preserve"> </w:t>
      </w:r>
      <w:r>
        <w:rPr>
          <w:rFonts w:ascii="宋体" w:eastAsia="宋体" w:hAnsi="宋体" w:cs="宋体"/>
          <w:spacing w:val="-12"/>
          <w:sz w:val="22"/>
          <w:szCs w:val="22"/>
        </w:rPr>
        <w:t>500mg/d</w:t>
      </w:r>
      <w:r>
        <w:rPr>
          <w:rFonts w:ascii="宋体" w:eastAsia="宋体" w:hAnsi="宋体" w:cs="宋体"/>
          <w:spacing w:val="-5"/>
          <w:sz w:val="22"/>
          <w:szCs w:val="22"/>
        </w:rPr>
        <w:t xml:space="preserve"> </w:t>
      </w:r>
      <w:r>
        <w:rPr>
          <w:rFonts w:ascii="宋体" w:eastAsia="宋体" w:hAnsi="宋体" w:cs="宋体"/>
          <w:spacing w:val="-12"/>
          <w:sz w:val="22"/>
          <w:szCs w:val="22"/>
        </w:rPr>
        <w:t>以上可能产生神经毒性及光敏感性反应。</w:t>
      </w:r>
    </w:p>
    <w:p w:rsidR="00EA40A3" w:rsidRDefault="00E86C16">
      <w:pPr>
        <w:spacing w:before="209" w:line="221" w:lineRule="auto"/>
        <w:rPr>
          <w:rFonts w:ascii="仿宋" w:eastAsia="仿宋" w:hAnsi="仿宋" w:cs="仿宋"/>
          <w:sz w:val="22"/>
          <w:szCs w:val="22"/>
        </w:rPr>
      </w:pPr>
      <w:r>
        <w:rPr>
          <w:rFonts w:ascii="仿宋" w:eastAsia="仿宋" w:hAnsi="仿宋" w:cs="仿宋"/>
          <w:spacing w:val="15"/>
          <w:sz w:val="22"/>
          <w:szCs w:val="22"/>
        </w:rPr>
        <w:t>5.</w:t>
      </w:r>
      <w:r>
        <w:rPr>
          <w:rFonts w:ascii="仿宋" w:eastAsia="仿宋" w:hAnsi="仿宋" w:cs="仿宋"/>
          <w:spacing w:val="-6"/>
          <w:sz w:val="22"/>
          <w:szCs w:val="22"/>
        </w:rPr>
        <w:t xml:space="preserve"> </w:t>
      </w:r>
      <w:r>
        <w:rPr>
          <w:rFonts w:ascii="仿宋" w:eastAsia="仿宋" w:hAnsi="仿宋" w:cs="仿宋"/>
          <w:spacing w:val="15"/>
          <w:sz w:val="22"/>
          <w:szCs w:val="22"/>
        </w:rPr>
        <w:t>维生素B</w:t>
      </w:r>
      <w:r>
        <w:rPr>
          <w:rFonts w:ascii="仿宋" w:eastAsia="仿宋" w:hAnsi="仿宋" w:cs="仿宋"/>
          <w:spacing w:val="92"/>
          <w:sz w:val="22"/>
          <w:szCs w:val="22"/>
        </w:rPr>
        <w:t xml:space="preserve"> </w:t>
      </w:r>
      <w:r>
        <w:rPr>
          <w:rFonts w:ascii="仿宋" w:eastAsia="仿宋" w:hAnsi="仿宋" w:cs="仿宋"/>
          <w:spacing w:val="15"/>
          <w:sz w:val="22"/>
          <w:szCs w:val="22"/>
        </w:rPr>
        <w:t>参考摄入量与食物来源</w:t>
      </w:r>
    </w:p>
    <w:p w:rsidR="00EA40A3" w:rsidRDefault="00E86C16">
      <w:pPr>
        <w:spacing w:before="223" w:line="238" w:lineRule="auto"/>
        <w:ind w:right="60" w:firstLine="430"/>
        <w:jc w:val="both"/>
        <w:rPr>
          <w:rFonts w:ascii="宋体" w:eastAsia="宋体" w:hAnsi="宋体" w:cs="宋体"/>
          <w:sz w:val="22"/>
          <w:szCs w:val="22"/>
        </w:rPr>
      </w:pPr>
      <w:r>
        <w:rPr>
          <w:rFonts w:ascii="宋体" w:eastAsia="宋体" w:hAnsi="宋体" w:cs="宋体"/>
          <w:spacing w:val="1"/>
          <w:sz w:val="22"/>
          <w:szCs w:val="22"/>
        </w:rPr>
        <w:t>我国居民膳食维生素</w:t>
      </w:r>
      <w:r>
        <w:rPr>
          <w:rFonts w:ascii="宋体" w:eastAsia="宋体" w:hAnsi="宋体" w:cs="宋体"/>
          <w:spacing w:val="-53"/>
          <w:sz w:val="22"/>
          <w:szCs w:val="22"/>
        </w:rPr>
        <w:t xml:space="preserve"> </w:t>
      </w:r>
      <w:r>
        <w:rPr>
          <w:rFonts w:ascii="宋体" w:eastAsia="宋体" w:hAnsi="宋体" w:cs="宋体"/>
          <w:spacing w:val="1"/>
          <w:sz w:val="22"/>
          <w:szCs w:val="22"/>
        </w:rPr>
        <w:t>B。的</w:t>
      </w:r>
      <w:r>
        <w:rPr>
          <w:rFonts w:ascii="宋体" w:eastAsia="宋体" w:hAnsi="宋体" w:cs="宋体"/>
          <w:spacing w:val="-34"/>
          <w:sz w:val="22"/>
          <w:szCs w:val="22"/>
        </w:rPr>
        <w:t xml:space="preserve"> </w:t>
      </w:r>
      <w:r>
        <w:rPr>
          <w:rFonts w:ascii="宋体" w:eastAsia="宋体" w:hAnsi="宋体" w:cs="宋体"/>
          <w:sz w:val="22"/>
          <w:szCs w:val="22"/>
        </w:rPr>
        <w:t>AI</w:t>
      </w:r>
      <w:r>
        <w:rPr>
          <w:rFonts w:ascii="宋体" w:eastAsia="宋体" w:hAnsi="宋体" w:cs="宋体"/>
          <w:spacing w:val="1"/>
          <w:sz w:val="22"/>
          <w:szCs w:val="22"/>
        </w:rPr>
        <w:t>(</w:t>
      </w:r>
      <w:r>
        <w:rPr>
          <w:rFonts w:ascii="宋体" w:eastAsia="宋体" w:hAnsi="宋体" w:cs="宋体"/>
          <w:sz w:val="22"/>
          <w:szCs w:val="22"/>
        </w:rPr>
        <w:t>mg</w:t>
      </w:r>
      <w:r>
        <w:rPr>
          <w:rFonts w:ascii="宋体" w:eastAsia="宋体" w:hAnsi="宋体" w:cs="宋体"/>
          <w:spacing w:val="1"/>
          <w:sz w:val="22"/>
          <w:szCs w:val="22"/>
        </w:rPr>
        <w:t>/d)</w:t>
      </w:r>
      <w:r>
        <w:rPr>
          <w:rFonts w:ascii="宋体" w:eastAsia="宋体" w:hAnsi="宋体" w:cs="宋体"/>
          <w:spacing w:val="41"/>
          <w:sz w:val="22"/>
          <w:szCs w:val="22"/>
        </w:rPr>
        <w:t xml:space="preserve">  </w:t>
      </w:r>
      <w:r>
        <w:rPr>
          <w:rFonts w:ascii="宋体" w:eastAsia="宋体" w:hAnsi="宋体" w:cs="宋体"/>
          <w:spacing w:val="1"/>
          <w:sz w:val="22"/>
          <w:szCs w:val="22"/>
        </w:rPr>
        <w:t>分别定为：0岁约0.1、0.5岁约</w:t>
      </w:r>
      <w:r>
        <w:rPr>
          <w:rFonts w:ascii="宋体" w:eastAsia="宋体" w:hAnsi="宋体" w:cs="宋体"/>
          <w:sz w:val="22"/>
          <w:szCs w:val="22"/>
        </w:rPr>
        <w:t xml:space="preserve"> </w:t>
      </w:r>
      <w:r>
        <w:rPr>
          <w:rFonts w:ascii="宋体" w:eastAsia="宋体" w:hAnsi="宋体" w:cs="宋体"/>
          <w:spacing w:val="8"/>
          <w:sz w:val="22"/>
          <w:szCs w:val="22"/>
        </w:rPr>
        <w:t>0.3、1岁约0.5、4岁约0.6、7岁约0.7、11岁约0.9、1</w:t>
      </w:r>
      <w:r>
        <w:rPr>
          <w:rFonts w:ascii="宋体" w:eastAsia="宋体" w:hAnsi="宋体" w:cs="宋体"/>
          <w:spacing w:val="7"/>
          <w:sz w:val="22"/>
          <w:szCs w:val="22"/>
        </w:rPr>
        <w:t>4岁约1.1、18岁约</w:t>
      </w:r>
      <w:r>
        <w:rPr>
          <w:rFonts w:ascii="宋体" w:eastAsia="宋体" w:hAnsi="宋体" w:cs="宋体"/>
          <w:sz w:val="22"/>
          <w:szCs w:val="22"/>
        </w:rPr>
        <w:t xml:space="preserve"> </w:t>
      </w:r>
      <w:r>
        <w:rPr>
          <w:rFonts w:ascii="宋体" w:eastAsia="宋体" w:hAnsi="宋体" w:cs="宋体"/>
          <w:spacing w:val="-4"/>
          <w:sz w:val="22"/>
          <w:szCs w:val="22"/>
        </w:rPr>
        <w:t>1.2、50岁约1.5、孕妇和乳母为1.9。</w:t>
      </w:r>
    </w:p>
    <w:p w:rsidR="00EA40A3" w:rsidRDefault="00E86C16">
      <w:pPr>
        <w:spacing w:before="58" w:line="251" w:lineRule="auto"/>
        <w:ind w:right="68" w:firstLine="430"/>
        <w:jc w:val="both"/>
        <w:rPr>
          <w:rFonts w:ascii="宋体" w:eastAsia="宋体" w:hAnsi="宋体" w:cs="宋体"/>
          <w:sz w:val="22"/>
          <w:szCs w:val="22"/>
        </w:rPr>
      </w:pPr>
      <w:r>
        <w:rPr>
          <w:rFonts w:ascii="宋体" w:eastAsia="宋体" w:hAnsi="宋体" w:cs="宋体"/>
          <w:spacing w:val="-7"/>
          <w:sz w:val="22"/>
          <w:szCs w:val="22"/>
        </w:rPr>
        <w:t>动植物食物中均含有维生素</w:t>
      </w:r>
      <w:r>
        <w:rPr>
          <w:rFonts w:ascii="宋体" w:eastAsia="宋体" w:hAnsi="宋体" w:cs="宋体"/>
          <w:spacing w:val="-61"/>
          <w:sz w:val="22"/>
          <w:szCs w:val="22"/>
        </w:rPr>
        <w:t xml:space="preserve"> </w:t>
      </w:r>
      <w:r>
        <w:rPr>
          <w:rFonts w:ascii="宋体" w:eastAsia="宋体" w:hAnsi="宋体" w:cs="宋体"/>
          <w:spacing w:val="-7"/>
          <w:sz w:val="22"/>
          <w:szCs w:val="22"/>
        </w:rPr>
        <w:t>Bg,</w:t>
      </w:r>
      <w:r>
        <w:rPr>
          <w:rFonts w:ascii="宋体" w:eastAsia="宋体" w:hAnsi="宋体" w:cs="宋体"/>
          <w:spacing w:val="-16"/>
          <w:sz w:val="22"/>
          <w:szCs w:val="22"/>
        </w:rPr>
        <w:t xml:space="preserve"> </w:t>
      </w:r>
      <w:r>
        <w:rPr>
          <w:rFonts w:ascii="宋体" w:eastAsia="宋体" w:hAnsi="宋体" w:cs="宋体"/>
          <w:spacing w:val="-7"/>
          <w:sz w:val="22"/>
          <w:szCs w:val="22"/>
        </w:rPr>
        <w:t>通常肉类、全谷类产品、蔬菜和坚</w:t>
      </w:r>
      <w:r>
        <w:rPr>
          <w:rFonts w:ascii="宋体" w:eastAsia="宋体" w:hAnsi="宋体" w:cs="宋体"/>
          <w:spacing w:val="-8"/>
          <w:sz w:val="22"/>
          <w:szCs w:val="22"/>
        </w:rPr>
        <w:t>果类含</w:t>
      </w:r>
      <w:r>
        <w:rPr>
          <w:rFonts w:ascii="宋体" w:eastAsia="宋体" w:hAnsi="宋体" w:cs="宋体"/>
          <w:sz w:val="22"/>
          <w:szCs w:val="22"/>
        </w:rPr>
        <w:t xml:space="preserve"> </w:t>
      </w:r>
      <w:r>
        <w:rPr>
          <w:rFonts w:ascii="宋体" w:eastAsia="宋体" w:hAnsi="宋体" w:cs="宋体"/>
          <w:spacing w:val="3"/>
          <w:sz w:val="22"/>
          <w:szCs w:val="22"/>
        </w:rPr>
        <w:t>量相对较高些。含量最高的为白色肉类(如鸡肉和鱼肉)(0</w:t>
      </w:r>
      <w:r>
        <w:rPr>
          <w:rFonts w:ascii="宋体" w:eastAsia="宋体" w:hAnsi="宋体" w:cs="宋体"/>
          <w:spacing w:val="2"/>
          <w:sz w:val="22"/>
          <w:szCs w:val="22"/>
        </w:rPr>
        <w:t>.4~0.9</w:t>
      </w:r>
      <w:r>
        <w:rPr>
          <w:rFonts w:ascii="宋体" w:eastAsia="宋体" w:hAnsi="宋体" w:cs="宋体"/>
          <w:sz w:val="22"/>
          <w:szCs w:val="22"/>
        </w:rPr>
        <w:t>mg</w:t>
      </w:r>
      <w:r>
        <w:rPr>
          <w:rFonts w:ascii="宋体" w:eastAsia="宋体" w:hAnsi="宋体" w:cs="宋体"/>
          <w:spacing w:val="2"/>
          <w:sz w:val="22"/>
          <w:szCs w:val="22"/>
        </w:rPr>
        <w:t>/100g),</w:t>
      </w:r>
      <w:r>
        <w:rPr>
          <w:rFonts w:ascii="宋体" w:eastAsia="宋体" w:hAnsi="宋体" w:cs="宋体"/>
          <w:sz w:val="22"/>
          <w:szCs w:val="22"/>
        </w:rPr>
        <w:t xml:space="preserve"> </w:t>
      </w:r>
      <w:r>
        <w:rPr>
          <w:rFonts w:ascii="宋体" w:eastAsia="宋体" w:hAnsi="宋体" w:cs="宋体"/>
          <w:spacing w:val="-1"/>
          <w:sz w:val="22"/>
          <w:szCs w:val="22"/>
        </w:rPr>
        <w:t>其次为肝脏、豆类和蛋类(0.68～0.8mg/100g),</w:t>
      </w:r>
      <w:r>
        <w:rPr>
          <w:rFonts w:ascii="宋体" w:eastAsia="宋体" w:hAnsi="宋体" w:cs="宋体"/>
          <w:spacing w:val="2"/>
          <w:sz w:val="22"/>
          <w:szCs w:val="22"/>
        </w:rPr>
        <w:t xml:space="preserve"> </w:t>
      </w:r>
      <w:r>
        <w:rPr>
          <w:rFonts w:ascii="宋体" w:eastAsia="宋体" w:hAnsi="宋体" w:cs="宋体"/>
          <w:spacing w:val="-1"/>
          <w:sz w:val="22"/>
          <w:szCs w:val="22"/>
        </w:rPr>
        <w:t>水果和蔬菜中维生素B</w:t>
      </w:r>
      <w:r>
        <w:rPr>
          <w:rFonts w:ascii="Calibri" w:eastAsia="Calibri" w:hAnsi="Calibri" w:cs="Calibri"/>
          <w:spacing w:val="-2"/>
          <w:sz w:val="22"/>
          <w:szCs w:val="22"/>
        </w:rPr>
        <w:t>₆</w:t>
      </w:r>
      <w:r>
        <w:rPr>
          <w:rFonts w:ascii="Calibri" w:eastAsia="Calibri" w:hAnsi="Calibri" w:cs="Calibri"/>
          <w:spacing w:val="35"/>
          <w:sz w:val="22"/>
          <w:szCs w:val="22"/>
        </w:rPr>
        <w:t xml:space="preserve"> </w:t>
      </w:r>
      <w:r>
        <w:rPr>
          <w:rFonts w:ascii="宋体" w:eastAsia="宋体" w:hAnsi="宋体" w:cs="宋体"/>
          <w:spacing w:val="-2"/>
          <w:sz w:val="22"/>
          <w:szCs w:val="22"/>
        </w:rPr>
        <w:t>含量</w:t>
      </w:r>
      <w:r>
        <w:rPr>
          <w:rFonts w:ascii="宋体" w:eastAsia="宋体" w:hAnsi="宋体" w:cs="宋体"/>
          <w:sz w:val="22"/>
          <w:szCs w:val="22"/>
        </w:rPr>
        <w:t xml:space="preserve"> </w:t>
      </w:r>
      <w:r>
        <w:rPr>
          <w:rFonts w:ascii="宋体" w:eastAsia="宋体" w:hAnsi="宋体" w:cs="宋体"/>
          <w:spacing w:val="-9"/>
          <w:sz w:val="22"/>
          <w:szCs w:val="22"/>
        </w:rPr>
        <w:t>也较多，含量最少的是柠檬类水果、奶类等。食物中维生素B。大多</w:t>
      </w:r>
      <w:r>
        <w:rPr>
          <w:rFonts w:ascii="宋体" w:eastAsia="宋体" w:hAnsi="宋体" w:cs="宋体"/>
          <w:spacing w:val="-10"/>
          <w:sz w:val="22"/>
          <w:szCs w:val="22"/>
        </w:rPr>
        <w:t>以共价键形</w:t>
      </w:r>
    </w:p>
    <w:p w:rsidR="00EA40A3" w:rsidRDefault="00E86C16">
      <w:pPr>
        <w:spacing w:before="98"/>
        <w:ind w:right="96"/>
        <w:jc w:val="right"/>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139</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10" w:bottom="400" w:left="869" w:header="0" w:footer="0" w:gutter="0"/>
          <w:cols w:space="720"/>
        </w:sectPr>
      </w:pPr>
    </w:p>
    <w:p w:rsidR="00EA40A3" w:rsidRDefault="00EA40A3">
      <w:pPr>
        <w:spacing w:line="270" w:lineRule="auto"/>
      </w:pPr>
    </w:p>
    <w:p w:rsidR="00EA40A3" w:rsidRDefault="00EA40A3">
      <w:pPr>
        <w:spacing w:line="271" w:lineRule="auto"/>
      </w:pPr>
    </w:p>
    <w:p w:rsidR="00EA40A3" w:rsidRDefault="00E86C16">
      <w:pPr>
        <w:spacing w:before="75" w:line="233" w:lineRule="auto"/>
        <w:ind w:right="104"/>
        <w:jc w:val="both"/>
        <w:rPr>
          <w:rFonts w:ascii="宋体" w:eastAsia="宋体" w:hAnsi="宋体" w:cs="宋体"/>
          <w:sz w:val="23"/>
          <w:szCs w:val="23"/>
        </w:rPr>
      </w:pPr>
      <w:r>
        <w:rPr>
          <w:rFonts w:ascii="宋体" w:eastAsia="宋体" w:hAnsi="宋体" w:cs="宋体"/>
          <w:spacing w:val="-20"/>
          <w:sz w:val="23"/>
          <w:szCs w:val="23"/>
        </w:rPr>
        <w:t>式与蛋白质结合或被糖苷化，这导致了维生素</w:t>
      </w:r>
      <w:r>
        <w:rPr>
          <w:rFonts w:ascii="宋体" w:eastAsia="宋体" w:hAnsi="宋体" w:cs="宋体"/>
          <w:spacing w:val="-61"/>
          <w:sz w:val="23"/>
          <w:szCs w:val="23"/>
        </w:rPr>
        <w:t xml:space="preserve"> </w:t>
      </w:r>
      <w:r>
        <w:rPr>
          <w:rFonts w:ascii="宋体" w:eastAsia="宋体" w:hAnsi="宋体" w:cs="宋体"/>
          <w:spacing w:val="-20"/>
          <w:sz w:val="23"/>
          <w:szCs w:val="23"/>
        </w:rPr>
        <w:t>B。利用率相对较低，植物性食物</w:t>
      </w:r>
      <w:r>
        <w:rPr>
          <w:rFonts w:ascii="宋体" w:eastAsia="宋体" w:hAnsi="宋体" w:cs="宋体"/>
          <w:sz w:val="23"/>
          <w:szCs w:val="23"/>
        </w:rPr>
        <w:t xml:space="preserve"> </w:t>
      </w:r>
      <w:r>
        <w:rPr>
          <w:rFonts w:ascii="宋体" w:eastAsia="宋体" w:hAnsi="宋体" w:cs="宋体"/>
          <w:spacing w:val="-16"/>
          <w:sz w:val="23"/>
          <w:szCs w:val="23"/>
        </w:rPr>
        <w:t>中维生素B:的存在形式通常比动物性食物中复杂，所以一般动物性食物中的</w:t>
      </w:r>
      <w:r>
        <w:rPr>
          <w:rFonts w:ascii="宋体" w:eastAsia="宋体" w:hAnsi="宋体" w:cs="宋体"/>
          <w:spacing w:val="-17"/>
          <w:sz w:val="23"/>
          <w:szCs w:val="23"/>
        </w:rPr>
        <w:t>维</w:t>
      </w:r>
      <w:r>
        <w:rPr>
          <w:rFonts w:ascii="宋体" w:eastAsia="宋体" w:hAnsi="宋体" w:cs="宋体"/>
          <w:sz w:val="23"/>
          <w:szCs w:val="23"/>
        </w:rPr>
        <w:t xml:space="preserve"> </w:t>
      </w:r>
      <w:r>
        <w:rPr>
          <w:rFonts w:ascii="宋体" w:eastAsia="宋体" w:hAnsi="宋体" w:cs="宋体"/>
          <w:spacing w:val="-17"/>
          <w:sz w:val="23"/>
          <w:szCs w:val="23"/>
        </w:rPr>
        <w:t>生素B</w:t>
      </w:r>
      <w:r>
        <w:rPr>
          <w:rFonts w:ascii="Calibri" w:eastAsia="Calibri" w:hAnsi="Calibri" w:cs="Calibri"/>
          <w:spacing w:val="-17"/>
          <w:sz w:val="23"/>
          <w:szCs w:val="23"/>
        </w:rPr>
        <w:t>₆</w:t>
      </w:r>
      <w:r>
        <w:rPr>
          <w:rFonts w:ascii="Calibri" w:eastAsia="Calibri" w:hAnsi="Calibri" w:cs="Calibri"/>
          <w:spacing w:val="22"/>
          <w:w w:val="101"/>
          <w:sz w:val="23"/>
          <w:szCs w:val="23"/>
        </w:rPr>
        <w:t xml:space="preserve"> </w:t>
      </w:r>
      <w:r>
        <w:rPr>
          <w:rFonts w:ascii="宋体" w:eastAsia="宋体" w:hAnsi="宋体" w:cs="宋体"/>
          <w:spacing w:val="-17"/>
          <w:sz w:val="23"/>
          <w:szCs w:val="23"/>
        </w:rPr>
        <w:t>利用率优于植物性食物。</w:t>
      </w:r>
    </w:p>
    <w:p w:rsidR="00EA40A3" w:rsidRDefault="00E86C16">
      <w:pPr>
        <w:spacing w:before="156" w:line="223" w:lineRule="auto"/>
        <w:ind w:left="3"/>
        <w:outlineLvl w:val="6"/>
        <w:rPr>
          <w:rFonts w:ascii="Calibri" w:eastAsia="Calibri" w:hAnsi="Calibri" w:cs="Calibri"/>
          <w:sz w:val="26"/>
          <w:szCs w:val="26"/>
        </w:rPr>
      </w:pPr>
      <w:bookmarkStart w:id="24" w:name="_bookmark28"/>
      <w:bookmarkStart w:id="25" w:name="_bookmark29"/>
      <w:bookmarkEnd w:id="24"/>
      <w:bookmarkEnd w:id="25"/>
      <w:r>
        <w:rPr>
          <w:rFonts w:ascii="黑体" w:eastAsia="黑体" w:hAnsi="黑体" w:cs="黑体"/>
          <w:b/>
          <w:bCs/>
          <w:spacing w:val="-14"/>
          <w:sz w:val="26"/>
          <w:szCs w:val="26"/>
        </w:rPr>
        <w:t>4.2.9</w:t>
      </w:r>
      <w:r>
        <w:rPr>
          <w:rFonts w:ascii="黑体" w:eastAsia="黑体" w:hAnsi="黑体" w:cs="黑体"/>
          <w:spacing w:val="40"/>
          <w:sz w:val="26"/>
          <w:szCs w:val="26"/>
        </w:rPr>
        <w:t xml:space="preserve">  </w:t>
      </w:r>
      <w:r>
        <w:rPr>
          <w:rFonts w:ascii="黑体" w:eastAsia="黑体" w:hAnsi="黑体" w:cs="黑体"/>
          <w:b/>
          <w:bCs/>
          <w:spacing w:val="-14"/>
          <w:sz w:val="26"/>
          <w:szCs w:val="26"/>
        </w:rPr>
        <w:t>维生素B1</w:t>
      </w:r>
      <w:r>
        <w:rPr>
          <w:rFonts w:ascii="Calibri" w:eastAsia="Calibri" w:hAnsi="Calibri" w:cs="Calibri"/>
          <w:b/>
          <w:bCs/>
          <w:spacing w:val="-14"/>
          <w:sz w:val="26"/>
          <w:szCs w:val="26"/>
        </w:rPr>
        <w:t>₂</w:t>
      </w:r>
    </w:p>
    <w:p w:rsidR="00EA40A3" w:rsidRDefault="00E86C16">
      <w:pPr>
        <w:spacing w:before="223" w:line="220" w:lineRule="auto"/>
        <w:rPr>
          <w:rFonts w:ascii="仿宋" w:eastAsia="仿宋" w:hAnsi="仿宋" w:cs="仿宋"/>
          <w:sz w:val="23"/>
          <w:szCs w:val="23"/>
        </w:rPr>
      </w:pPr>
      <w:r>
        <w:rPr>
          <w:rFonts w:ascii="仿宋" w:eastAsia="仿宋" w:hAnsi="仿宋" w:cs="仿宋"/>
          <w:spacing w:val="8"/>
          <w:sz w:val="23"/>
          <w:szCs w:val="23"/>
        </w:rPr>
        <w:t>1.</w:t>
      </w:r>
      <w:r>
        <w:rPr>
          <w:rFonts w:ascii="仿宋" w:eastAsia="仿宋" w:hAnsi="仿宋" w:cs="仿宋"/>
          <w:spacing w:val="-36"/>
          <w:sz w:val="23"/>
          <w:szCs w:val="23"/>
        </w:rPr>
        <w:t xml:space="preserve"> </w:t>
      </w:r>
      <w:r>
        <w:rPr>
          <w:rFonts w:ascii="仿宋" w:eastAsia="仿宋" w:hAnsi="仿宋" w:cs="仿宋"/>
          <w:spacing w:val="8"/>
          <w:sz w:val="23"/>
          <w:szCs w:val="23"/>
        </w:rPr>
        <w:t>维生素</w:t>
      </w:r>
      <w:r>
        <w:rPr>
          <w:rFonts w:ascii="仿宋" w:eastAsia="仿宋" w:hAnsi="仿宋" w:cs="仿宋"/>
          <w:sz w:val="23"/>
          <w:szCs w:val="23"/>
        </w:rPr>
        <w:t>Bz</w:t>
      </w:r>
      <w:r>
        <w:rPr>
          <w:rFonts w:ascii="Calibri" w:eastAsia="Calibri" w:hAnsi="Calibri" w:cs="Calibri"/>
          <w:spacing w:val="8"/>
          <w:sz w:val="23"/>
          <w:szCs w:val="23"/>
        </w:rPr>
        <w:t>₂</w:t>
      </w:r>
      <w:r>
        <w:rPr>
          <w:rFonts w:ascii="Calibri" w:eastAsia="Calibri" w:hAnsi="Calibri" w:cs="Calibri"/>
          <w:spacing w:val="-36"/>
          <w:sz w:val="23"/>
          <w:szCs w:val="23"/>
        </w:rPr>
        <w:t xml:space="preserve"> </w:t>
      </w:r>
      <w:r>
        <w:rPr>
          <w:rFonts w:ascii="仿宋" w:eastAsia="仿宋" w:hAnsi="仿宋" w:cs="仿宋"/>
          <w:spacing w:val="8"/>
          <w:sz w:val="23"/>
          <w:szCs w:val="23"/>
        </w:rPr>
        <w:t>理化性质</w:t>
      </w:r>
    </w:p>
    <w:p w:rsidR="00EA40A3" w:rsidRDefault="00E86C16">
      <w:pPr>
        <w:spacing w:before="194" w:line="231" w:lineRule="auto"/>
        <w:ind w:right="124" w:firstLine="429"/>
        <w:rPr>
          <w:rFonts w:ascii="宋体" w:eastAsia="宋体" w:hAnsi="宋体" w:cs="宋体"/>
          <w:sz w:val="23"/>
          <w:szCs w:val="23"/>
        </w:rPr>
      </w:pPr>
      <w:r>
        <w:rPr>
          <w:rFonts w:ascii="宋体" w:eastAsia="宋体" w:hAnsi="宋体" w:cs="宋体"/>
          <w:spacing w:val="-19"/>
          <w:sz w:val="23"/>
          <w:szCs w:val="23"/>
        </w:rPr>
        <w:t>维生素</w:t>
      </w:r>
      <w:r>
        <w:rPr>
          <w:rFonts w:ascii="宋体" w:eastAsia="宋体" w:hAnsi="宋体" w:cs="宋体"/>
          <w:spacing w:val="-65"/>
          <w:sz w:val="23"/>
          <w:szCs w:val="23"/>
        </w:rPr>
        <w:t xml:space="preserve"> </w:t>
      </w:r>
      <w:r>
        <w:rPr>
          <w:rFonts w:ascii="宋体" w:eastAsia="宋体" w:hAnsi="宋体" w:cs="宋体"/>
          <w:spacing w:val="-19"/>
          <w:sz w:val="23"/>
          <w:szCs w:val="23"/>
        </w:rPr>
        <w:t>B</w:t>
      </w:r>
      <w:r>
        <w:rPr>
          <w:rFonts w:ascii="Calibri" w:eastAsia="Calibri" w:hAnsi="Calibri" w:cs="Calibri"/>
          <w:spacing w:val="-19"/>
          <w:sz w:val="23"/>
          <w:szCs w:val="23"/>
        </w:rPr>
        <w:t>₁₂</w:t>
      </w:r>
      <w:r>
        <w:rPr>
          <w:rFonts w:ascii="Calibri" w:eastAsia="Calibri" w:hAnsi="Calibri" w:cs="Calibri"/>
          <w:spacing w:val="-17"/>
          <w:sz w:val="23"/>
          <w:szCs w:val="23"/>
        </w:rPr>
        <w:t xml:space="preserve"> </w:t>
      </w:r>
      <w:r>
        <w:rPr>
          <w:rFonts w:ascii="宋体" w:eastAsia="宋体" w:hAnsi="宋体" w:cs="宋体"/>
          <w:spacing w:val="-19"/>
          <w:sz w:val="23"/>
          <w:szCs w:val="23"/>
        </w:rPr>
        <w:t>又称氰钴胺素</w:t>
      </w:r>
      <w:r>
        <w:rPr>
          <w:rFonts w:ascii="宋体" w:eastAsia="宋体" w:hAnsi="宋体" w:cs="宋体"/>
          <w:spacing w:val="-15"/>
          <w:sz w:val="23"/>
          <w:szCs w:val="23"/>
        </w:rPr>
        <w:t xml:space="preserve"> </w:t>
      </w:r>
      <w:r>
        <w:rPr>
          <w:rFonts w:ascii="宋体" w:eastAsia="宋体" w:hAnsi="宋体" w:cs="宋体"/>
          <w:spacing w:val="-19"/>
          <w:sz w:val="23"/>
          <w:szCs w:val="23"/>
        </w:rPr>
        <w:t>(cyanocobalamin)、</w:t>
      </w:r>
      <w:r>
        <w:rPr>
          <w:rFonts w:ascii="宋体" w:eastAsia="宋体" w:hAnsi="宋体" w:cs="宋体"/>
          <w:spacing w:val="-47"/>
          <w:sz w:val="23"/>
          <w:szCs w:val="23"/>
        </w:rPr>
        <w:t xml:space="preserve"> </w:t>
      </w:r>
      <w:r>
        <w:rPr>
          <w:rFonts w:ascii="宋体" w:eastAsia="宋体" w:hAnsi="宋体" w:cs="宋体"/>
          <w:spacing w:val="-19"/>
          <w:sz w:val="23"/>
          <w:szCs w:val="23"/>
        </w:rPr>
        <w:t>抗恶性贫血维生素</w:t>
      </w:r>
      <w:r>
        <w:rPr>
          <w:rFonts w:ascii="宋体" w:eastAsia="宋体" w:hAnsi="宋体" w:cs="宋体"/>
          <w:spacing w:val="-20"/>
          <w:sz w:val="23"/>
          <w:szCs w:val="23"/>
        </w:rPr>
        <w:t>，是一种含</w:t>
      </w:r>
      <w:r>
        <w:rPr>
          <w:rFonts w:ascii="宋体" w:eastAsia="宋体" w:hAnsi="宋体" w:cs="宋体"/>
          <w:sz w:val="23"/>
          <w:szCs w:val="23"/>
        </w:rPr>
        <w:t xml:space="preserve"> </w:t>
      </w:r>
      <w:r>
        <w:rPr>
          <w:rFonts w:ascii="宋体" w:eastAsia="宋体" w:hAnsi="宋体" w:cs="宋体"/>
          <w:spacing w:val="-9"/>
          <w:sz w:val="23"/>
          <w:szCs w:val="23"/>
        </w:rPr>
        <w:t>有3价钴的多环系化合物，4个还原的吡咯环连在一起成为1个咕啉</w:t>
      </w:r>
      <w:r>
        <w:rPr>
          <w:rFonts w:ascii="宋体" w:eastAsia="宋体" w:hAnsi="宋体" w:cs="宋体"/>
          <w:spacing w:val="-10"/>
          <w:sz w:val="23"/>
          <w:szCs w:val="23"/>
        </w:rPr>
        <w:t>大环(与卟</w:t>
      </w:r>
    </w:p>
    <w:p w:rsidR="00EA40A3" w:rsidRDefault="00EA40A3">
      <w:pPr>
        <w:spacing w:line="26" w:lineRule="exact"/>
      </w:pPr>
    </w:p>
    <w:p w:rsidR="00EA40A3" w:rsidRDefault="00EA40A3">
      <w:pPr>
        <w:sectPr w:rsidR="00EA40A3">
          <w:pgSz w:w="9220" w:h="13360"/>
          <w:pgMar w:top="400" w:right="985" w:bottom="400" w:left="840" w:header="0" w:footer="0" w:gutter="0"/>
          <w:cols w:space="720" w:equalWidth="0">
            <w:col w:w="7395"/>
          </w:cols>
        </w:sectPr>
      </w:pPr>
    </w:p>
    <w:p w:rsidR="00EA40A3" w:rsidRDefault="00E86C16">
      <w:pPr>
        <w:spacing w:before="145" w:line="3130" w:lineRule="exact"/>
        <w:ind w:firstLine="269"/>
        <w:textAlignment w:val="center"/>
      </w:pPr>
      <w:r>
        <w:rPr>
          <w:noProof/>
        </w:rPr>
        <w:drawing>
          <wp:inline distT="0" distB="0" distL="0" distR="0">
            <wp:extent cx="1878965" cy="198691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08"/>
                    <a:stretch>
                      <a:fillRect/>
                    </a:stretch>
                  </pic:blipFill>
                  <pic:spPr>
                    <a:xfrm>
                      <a:off x="0" y="0"/>
                      <a:ext cx="1879593" cy="1987537"/>
                    </a:xfrm>
                    <a:prstGeom prst="rect">
                      <a:avLst/>
                    </a:prstGeom>
                  </pic:spPr>
                </pic:pic>
              </a:graphicData>
            </a:graphic>
          </wp:inline>
        </w:drawing>
      </w:r>
    </w:p>
    <w:p w:rsidR="00EA40A3" w:rsidRDefault="00EA40A3">
      <w:pPr>
        <w:spacing w:line="274" w:lineRule="auto"/>
      </w:pPr>
    </w:p>
    <w:p w:rsidR="00EA40A3" w:rsidRDefault="00E86C16">
      <w:pPr>
        <w:spacing w:before="62" w:line="233" w:lineRule="auto"/>
        <w:ind w:left="1028" w:right="532" w:hanging="309"/>
        <w:rPr>
          <w:rFonts w:ascii="Times New Roman" w:eastAsia="Times New Roman" w:hAnsi="Times New Roman" w:cs="Times New Roman"/>
          <w:sz w:val="19"/>
          <w:szCs w:val="19"/>
        </w:rPr>
      </w:pPr>
      <w:r>
        <w:rPr>
          <w:rFonts w:ascii="宋体" w:eastAsia="宋体" w:hAnsi="宋体" w:cs="宋体"/>
          <w:spacing w:val="-7"/>
          <w:sz w:val="19"/>
          <w:szCs w:val="19"/>
        </w:rPr>
        <w:t>图4-13</w:t>
      </w:r>
      <w:r>
        <w:rPr>
          <w:rFonts w:ascii="宋体" w:eastAsia="宋体" w:hAnsi="宋体" w:cs="宋体"/>
          <w:spacing w:val="67"/>
          <w:sz w:val="19"/>
          <w:szCs w:val="19"/>
        </w:rPr>
        <w:t xml:space="preserve"> </w:t>
      </w:r>
      <w:r>
        <w:rPr>
          <w:rFonts w:ascii="宋体" w:eastAsia="宋体" w:hAnsi="宋体" w:cs="宋体"/>
          <w:spacing w:val="-7"/>
          <w:sz w:val="19"/>
          <w:szCs w:val="19"/>
        </w:rPr>
        <w:t>维生素</w:t>
      </w:r>
      <w:r>
        <w:rPr>
          <w:rFonts w:ascii="宋体" w:eastAsia="宋体" w:hAnsi="宋体" w:cs="宋体"/>
          <w:spacing w:val="-54"/>
          <w:sz w:val="19"/>
          <w:szCs w:val="19"/>
        </w:rPr>
        <w:t xml:space="preserve"> </w:t>
      </w:r>
      <w:r>
        <w:rPr>
          <w:rFonts w:ascii="宋体" w:eastAsia="宋体" w:hAnsi="宋体" w:cs="宋体"/>
          <w:spacing w:val="-7"/>
          <w:sz w:val="19"/>
          <w:szCs w:val="19"/>
        </w:rPr>
        <w:t>B</w:t>
      </w:r>
      <w:r>
        <w:rPr>
          <w:rFonts w:ascii="Calibri" w:eastAsia="Calibri" w:hAnsi="Calibri" w:cs="Calibri"/>
          <w:spacing w:val="-7"/>
          <w:sz w:val="19"/>
          <w:szCs w:val="19"/>
        </w:rPr>
        <w:t>₂</w:t>
      </w:r>
      <w:r>
        <w:rPr>
          <w:rFonts w:ascii="Calibri" w:eastAsia="Calibri" w:hAnsi="Calibri" w:cs="Calibri"/>
          <w:spacing w:val="42"/>
          <w:sz w:val="19"/>
          <w:szCs w:val="19"/>
        </w:rPr>
        <w:t xml:space="preserve"> </w:t>
      </w:r>
      <w:r>
        <w:rPr>
          <w:rFonts w:ascii="宋体" w:eastAsia="宋体" w:hAnsi="宋体" w:cs="宋体"/>
          <w:spacing w:val="-7"/>
          <w:sz w:val="19"/>
          <w:szCs w:val="19"/>
        </w:rPr>
        <w:t>的结构</w:t>
      </w:r>
      <w:r>
        <w:rPr>
          <w:rFonts w:ascii="宋体" w:eastAsia="宋体" w:hAnsi="宋体" w:cs="宋体"/>
          <w:sz w:val="19"/>
          <w:szCs w:val="19"/>
        </w:rPr>
        <w:t xml:space="preserve"> </w:t>
      </w:r>
      <w:r>
        <w:rPr>
          <w:rFonts w:ascii="Times New Roman" w:eastAsia="Times New Roman" w:hAnsi="Times New Roman" w:cs="Times New Roman"/>
          <w:spacing w:val="-1"/>
          <w:sz w:val="19"/>
          <w:szCs w:val="19"/>
        </w:rPr>
        <w:t>R=CN;R'=CONH</w:t>
      </w:r>
    </w:p>
    <w:p w:rsidR="00EA40A3" w:rsidRDefault="00E86C16">
      <w:pPr>
        <w:spacing w:line="14" w:lineRule="auto"/>
        <w:rPr>
          <w:sz w:val="2"/>
        </w:rPr>
      </w:pPr>
      <w:r>
        <w:rPr>
          <w:sz w:val="2"/>
          <w:szCs w:val="2"/>
        </w:rPr>
        <w:br w:type="column"/>
      </w:r>
    </w:p>
    <w:p w:rsidR="00EA40A3" w:rsidRDefault="00E86C16">
      <w:pPr>
        <w:spacing w:before="9" w:line="248" w:lineRule="auto"/>
        <w:jc w:val="both"/>
        <w:rPr>
          <w:rFonts w:ascii="宋体" w:eastAsia="宋体" w:hAnsi="宋体" w:cs="宋体"/>
          <w:sz w:val="22"/>
          <w:szCs w:val="22"/>
        </w:rPr>
      </w:pPr>
      <w:r>
        <w:rPr>
          <w:rFonts w:ascii="宋体" w:eastAsia="宋体" w:hAnsi="宋体" w:cs="宋体"/>
          <w:spacing w:val="35"/>
          <w:sz w:val="22"/>
          <w:szCs w:val="22"/>
        </w:rPr>
        <w:t>啉相似),是维生素</w:t>
      </w:r>
      <w:r>
        <w:rPr>
          <w:rFonts w:ascii="宋体" w:eastAsia="宋体" w:hAnsi="宋体" w:cs="宋体"/>
          <w:spacing w:val="-1"/>
          <w:sz w:val="22"/>
          <w:szCs w:val="22"/>
        </w:rPr>
        <w:t xml:space="preserve"> </w:t>
      </w:r>
      <w:r>
        <w:rPr>
          <w:rFonts w:ascii="宋体" w:eastAsia="宋体" w:hAnsi="宋体" w:cs="宋体"/>
          <w:spacing w:val="35"/>
          <w:sz w:val="22"/>
          <w:szCs w:val="22"/>
        </w:rPr>
        <w:t>B</w:t>
      </w:r>
      <w:r>
        <w:rPr>
          <w:rFonts w:ascii="Calibri" w:eastAsia="Calibri" w:hAnsi="Calibri" w:cs="Calibri"/>
          <w:spacing w:val="35"/>
          <w:sz w:val="22"/>
          <w:szCs w:val="22"/>
        </w:rPr>
        <w:t>₂</w:t>
      </w:r>
      <w:r>
        <w:rPr>
          <w:rFonts w:ascii="Calibri" w:eastAsia="Calibri" w:hAnsi="Calibri" w:cs="Calibri"/>
          <w:spacing w:val="4"/>
          <w:sz w:val="22"/>
          <w:szCs w:val="22"/>
        </w:rPr>
        <w:t xml:space="preserve">   </w:t>
      </w:r>
      <w:r>
        <w:rPr>
          <w:rFonts w:ascii="宋体" w:eastAsia="宋体" w:hAnsi="宋体" w:cs="宋体"/>
          <w:spacing w:val="35"/>
          <w:sz w:val="22"/>
          <w:szCs w:val="22"/>
        </w:rPr>
        <w:t>分子的核心</w:t>
      </w:r>
      <w:r>
        <w:rPr>
          <w:rFonts w:ascii="宋体" w:eastAsia="宋体" w:hAnsi="宋体" w:cs="宋体"/>
          <w:sz w:val="22"/>
          <w:szCs w:val="22"/>
        </w:rPr>
        <w:t xml:space="preserve">  </w:t>
      </w:r>
      <w:r>
        <w:rPr>
          <w:rFonts w:ascii="宋体" w:eastAsia="宋体" w:hAnsi="宋体" w:cs="宋体"/>
          <w:spacing w:val="-14"/>
          <w:sz w:val="22"/>
          <w:szCs w:val="22"/>
        </w:rPr>
        <w:t>(图4-13)。所有含这种环的化合物都被</w:t>
      </w:r>
      <w:r>
        <w:rPr>
          <w:rFonts w:ascii="宋体" w:eastAsia="宋体" w:hAnsi="宋体" w:cs="宋体"/>
          <w:spacing w:val="-15"/>
          <w:sz w:val="22"/>
          <w:szCs w:val="22"/>
        </w:rPr>
        <w:t>称为</w:t>
      </w:r>
      <w:r>
        <w:rPr>
          <w:rFonts w:ascii="宋体" w:eastAsia="宋体" w:hAnsi="宋体" w:cs="宋体"/>
          <w:sz w:val="22"/>
          <w:szCs w:val="22"/>
        </w:rPr>
        <w:t xml:space="preserve">  </w:t>
      </w:r>
      <w:r>
        <w:rPr>
          <w:rFonts w:ascii="宋体" w:eastAsia="宋体" w:hAnsi="宋体" w:cs="宋体"/>
          <w:spacing w:val="-6"/>
          <w:sz w:val="22"/>
          <w:szCs w:val="22"/>
        </w:rPr>
        <w:t>类咕啉。维生素</w:t>
      </w:r>
      <w:r>
        <w:rPr>
          <w:rFonts w:ascii="宋体" w:eastAsia="宋体" w:hAnsi="宋体" w:cs="宋体"/>
          <w:spacing w:val="-43"/>
          <w:sz w:val="22"/>
          <w:szCs w:val="22"/>
        </w:rPr>
        <w:t xml:space="preserve"> </w:t>
      </w:r>
      <w:r>
        <w:rPr>
          <w:rFonts w:ascii="宋体" w:eastAsia="宋体" w:hAnsi="宋体" w:cs="宋体"/>
          <w:spacing w:val="-6"/>
          <w:sz w:val="22"/>
          <w:szCs w:val="22"/>
        </w:rPr>
        <w:t>B</w:t>
      </w:r>
      <w:r>
        <w:rPr>
          <w:rFonts w:ascii="Calibri" w:eastAsia="Calibri" w:hAnsi="Calibri" w:cs="Calibri"/>
          <w:spacing w:val="-6"/>
          <w:sz w:val="22"/>
          <w:szCs w:val="22"/>
        </w:rPr>
        <w:t>₂</w:t>
      </w:r>
      <w:r>
        <w:rPr>
          <w:rFonts w:ascii="Calibri" w:eastAsia="Calibri" w:hAnsi="Calibri" w:cs="Calibri"/>
          <w:spacing w:val="42"/>
          <w:sz w:val="22"/>
          <w:szCs w:val="22"/>
        </w:rPr>
        <w:t xml:space="preserve"> </w:t>
      </w:r>
      <w:r>
        <w:rPr>
          <w:rFonts w:ascii="宋体" w:eastAsia="宋体" w:hAnsi="宋体" w:cs="宋体"/>
          <w:spacing w:val="-6"/>
          <w:sz w:val="22"/>
          <w:szCs w:val="22"/>
        </w:rPr>
        <w:t>为浅红色的针状结晶，</w:t>
      </w:r>
      <w:r>
        <w:rPr>
          <w:rFonts w:ascii="宋体" w:eastAsia="宋体" w:hAnsi="宋体" w:cs="宋体"/>
          <w:sz w:val="22"/>
          <w:szCs w:val="22"/>
        </w:rPr>
        <w:t xml:space="preserve"> </w:t>
      </w:r>
      <w:r>
        <w:rPr>
          <w:rFonts w:ascii="宋体" w:eastAsia="宋体" w:hAnsi="宋体" w:cs="宋体"/>
          <w:spacing w:val="1"/>
          <w:sz w:val="22"/>
          <w:szCs w:val="22"/>
        </w:rPr>
        <w:t>易溶于水和乙醇，在</w:t>
      </w:r>
      <w:r>
        <w:rPr>
          <w:rFonts w:ascii="宋体" w:eastAsia="宋体" w:hAnsi="宋体" w:cs="宋体"/>
          <w:sz w:val="22"/>
          <w:szCs w:val="22"/>
        </w:rPr>
        <w:t>pH</w:t>
      </w:r>
      <w:r>
        <w:rPr>
          <w:rFonts w:ascii="宋体" w:eastAsia="宋体" w:hAnsi="宋体" w:cs="宋体"/>
          <w:spacing w:val="1"/>
          <w:sz w:val="22"/>
          <w:szCs w:val="22"/>
        </w:rPr>
        <w:t>4.5～5.0</w:t>
      </w:r>
      <w:r>
        <w:rPr>
          <w:rFonts w:ascii="宋体" w:eastAsia="宋体" w:hAnsi="宋体" w:cs="宋体"/>
          <w:spacing w:val="-1"/>
          <w:sz w:val="22"/>
          <w:szCs w:val="22"/>
        </w:rPr>
        <w:t xml:space="preserve"> </w:t>
      </w:r>
      <w:r>
        <w:rPr>
          <w:rFonts w:ascii="宋体" w:eastAsia="宋体" w:hAnsi="宋体" w:cs="宋体"/>
          <w:spacing w:val="1"/>
          <w:sz w:val="22"/>
          <w:szCs w:val="22"/>
        </w:rPr>
        <w:t>弱酸条</w:t>
      </w:r>
      <w:r>
        <w:rPr>
          <w:rFonts w:ascii="宋体" w:eastAsia="宋体" w:hAnsi="宋体" w:cs="宋体"/>
          <w:sz w:val="22"/>
          <w:szCs w:val="22"/>
        </w:rPr>
        <w:t xml:space="preserve">  </w:t>
      </w:r>
      <w:r>
        <w:rPr>
          <w:rFonts w:ascii="宋体" w:eastAsia="宋体" w:hAnsi="宋体" w:cs="宋体"/>
          <w:spacing w:val="-5"/>
          <w:sz w:val="22"/>
          <w:szCs w:val="22"/>
        </w:rPr>
        <w:t>件下最稳定，强酸</w:t>
      </w:r>
      <w:r>
        <w:rPr>
          <w:rFonts w:ascii="宋体" w:eastAsia="宋体" w:hAnsi="宋体" w:cs="宋体"/>
          <w:spacing w:val="3"/>
          <w:sz w:val="22"/>
          <w:szCs w:val="22"/>
        </w:rPr>
        <w:t xml:space="preserve"> </w:t>
      </w:r>
      <w:r>
        <w:rPr>
          <w:rFonts w:ascii="宋体" w:eastAsia="宋体" w:hAnsi="宋体" w:cs="宋体"/>
          <w:spacing w:val="-5"/>
          <w:sz w:val="22"/>
          <w:szCs w:val="22"/>
        </w:rPr>
        <w:t>(pH&lt;2)</w:t>
      </w:r>
      <w:r>
        <w:rPr>
          <w:rFonts w:ascii="宋体" w:eastAsia="宋体" w:hAnsi="宋体" w:cs="宋体"/>
          <w:spacing w:val="55"/>
          <w:sz w:val="22"/>
          <w:szCs w:val="22"/>
        </w:rPr>
        <w:t xml:space="preserve">  </w:t>
      </w:r>
      <w:r>
        <w:rPr>
          <w:rFonts w:ascii="宋体" w:eastAsia="宋体" w:hAnsi="宋体" w:cs="宋体"/>
          <w:spacing w:val="-5"/>
          <w:sz w:val="22"/>
          <w:szCs w:val="22"/>
        </w:rPr>
        <w:t>或碱性溶液</w:t>
      </w:r>
      <w:r>
        <w:rPr>
          <w:rFonts w:ascii="宋体" w:eastAsia="宋体" w:hAnsi="宋体" w:cs="宋体"/>
          <w:sz w:val="22"/>
          <w:szCs w:val="22"/>
        </w:rPr>
        <w:t xml:space="preserve">  </w:t>
      </w:r>
      <w:r>
        <w:rPr>
          <w:rFonts w:ascii="宋体" w:eastAsia="宋体" w:hAnsi="宋体" w:cs="宋体"/>
          <w:spacing w:val="-6"/>
          <w:sz w:val="22"/>
          <w:szCs w:val="22"/>
        </w:rPr>
        <w:t>中分解，遇热可有一定程度破坏，但快速</w:t>
      </w:r>
      <w:r>
        <w:rPr>
          <w:rFonts w:ascii="宋体" w:eastAsia="宋体" w:hAnsi="宋体" w:cs="宋体"/>
          <w:spacing w:val="7"/>
          <w:sz w:val="22"/>
          <w:szCs w:val="22"/>
        </w:rPr>
        <w:t xml:space="preserve">  </w:t>
      </w:r>
      <w:r>
        <w:rPr>
          <w:rFonts w:ascii="宋体" w:eastAsia="宋体" w:hAnsi="宋体" w:cs="宋体"/>
          <w:spacing w:val="-6"/>
          <w:sz w:val="22"/>
          <w:szCs w:val="22"/>
        </w:rPr>
        <w:t>高温消毒损失较小，遇强光或紫外线易被</w:t>
      </w:r>
      <w:r>
        <w:rPr>
          <w:rFonts w:ascii="宋体" w:eastAsia="宋体" w:hAnsi="宋体" w:cs="宋体"/>
          <w:spacing w:val="8"/>
          <w:sz w:val="22"/>
          <w:szCs w:val="22"/>
        </w:rPr>
        <w:t xml:space="preserve">  </w:t>
      </w:r>
      <w:r>
        <w:rPr>
          <w:rFonts w:ascii="宋体" w:eastAsia="宋体" w:hAnsi="宋体" w:cs="宋体"/>
          <w:spacing w:val="-4"/>
          <w:sz w:val="22"/>
          <w:szCs w:val="22"/>
        </w:rPr>
        <w:t>破坏。普通烹调过程损失量约30%。</w:t>
      </w:r>
    </w:p>
    <w:p w:rsidR="00EA40A3" w:rsidRDefault="00E86C16">
      <w:pPr>
        <w:spacing w:before="256" w:line="222" w:lineRule="auto"/>
        <w:rPr>
          <w:rFonts w:ascii="仿宋" w:eastAsia="仿宋" w:hAnsi="仿宋" w:cs="仿宋"/>
          <w:sz w:val="23"/>
          <w:szCs w:val="23"/>
        </w:rPr>
      </w:pPr>
      <w:r>
        <w:rPr>
          <w:rFonts w:ascii="仿宋" w:eastAsia="仿宋" w:hAnsi="仿宋" w:cs="仿宋"/>
          <w:spacing w:val="7"/>
          <w:sz w:val="23"/>
          <w:szCs w:val="23"/>
        </w:rPr>
        <w:t>2.</w:t>
      </w:r>
      <w:r>
        <w:rPr>
          <w:rFonts w:ascii="仿宋" w:eastAsia="仿宋" w:hAnsi="仿宋" w:cs="仿宋"/>
          <w:spacing w:val="-46"/>
          <w:sz w:val="23"/>
          <w:szCs w:val="23"/>
        </w:rPr>
        <w:t xml:space="preserve"> </w:t>
      </w:r>
      <w:r>
        <w:rPr>
          <w:rFonts w:ascii="仿宋" w:eastAsia="仿宋" w:hAnsi="仿宋" w:cs="仿宋"/>
          <w:spacing w:val="7"/>
          <w:sz w:val="23"/>
          <w:szCs w:val="23"/>
        </w:rPr>
        <w:t>维生素B</w:t>
      </w:r>
      <w:r>
        <w:rPr>
          <w:rFonts w:ascii="Calibri" w:eastAsia="Calibri" w:hAnsi="Calibri" w:cs="Calibri"/>
          <w:spacing w:val="7"/>
          <w:sz w:val="23"/>
          <w:szCs w:val="23"/>
        </w:rPr>
        <w:t>₂</w:t>
      </w:r>
      <w:r>
        <w:rPr>
          <w:rFonts w:ascii="Calibri" w:eastAsia="Calibri" w:hAnsi="Calibri" w:cs="Calibri"/>
          <w:spacing w:val="18"/>
          <w:sz w:val="23"/>
          <w:szCs w:val="23"/>
        </w:rPr>
        <w:t xml:space="preserve">  </w:t>
      </w:r>
      <w:r>
        <w:rPr>
          <w:rFonts w:ascii="仿宋" w:eastAsia="仿宋" w:hAnsi="仿宋" w:cs="仿宋"/>
          <w:spacing w:val="7"/>
          <w:sz w:val="23"/>
          <w:szCs w:val="23"/>
        </w:rPr>
        <w:t>吸收与排泄</w:t>
      </w:r>
    </w:p>
    <w:p w:rsidR="00EA40A3" w:rsidRDefault="00E86C16">
      <w:pPr>
        <w:spacing w:before="184" w:line="230" w:lineRule="auto"/>
        <w:ind w:right="82" w:firstLine="430"/>
        <w:jc w:val="both"/>
        <w:rPr>
          <w:rFonts w:ascii="宋体" w:eastAsia="宋体" w:hAnsi="宋体" w:cs="宋体"/>
          <w:sz w:val="23"/>
          <w:szCs w:val="23"/>
        </w:rPr>
      </w:pPr>
      <w:r>
        <w:rPr>
          <w:rFonts w:ascii="宋体" w:eastAsia="宋体" w:hAnsi="宋体" w:cs="宋体"/>
          <w:spacing w:val="-17"/>
          <w:sz w:val="23"/>
          <w:szCs w:val="23"/>
        </w:rPr>
        <w:t>食物中的维生素B</w:t>
      </w:r>
      <w:r>
        <w:rPr>
          <w:rFonts w:ascii="Calibri" w:eastAsia="Calibri" w:hAnsi="Calibri" w:cs="Calibri"/>
          <w:spacing w:val="-17"/>
          <w:sz w:val="23"/>
          <w:szCs w:val="23"/>
        </w:rPr>
        <w:t>₂</w:t>
      </w:r>
      <w:r>
        <w:rPr>
          <w:rFonts w:ascii="Calibri" w:eastAsia="Calibri" w:hAnsi="Calibri" w:cs="Calibri"/>
          <w:spacing w:val="51"/>
          <w:w w:val="101"/>
          <w:sz w:val="23"/>
          <w:szCs w:val="23"/>
        </w:rPr>
        <w:t xml:space="preserve"> </w:t>
      </w:r>
      <w:r>
        <w:rPr>
          <w:rFonts w:ascii="宋体" w:eastAsia="宋体" w:hAnsi="宋体" w:cs="宋体"/>
          <w:spacing w:val="-17"/>
          <w:sz w:val="23"/>
          <w:szCs w:val="23"/>
        </w:rPr>
        <w:t>与蛋白质结合，进</w:t>
      </w:r>
      <w:r>
        <w:rPr>
          <w:rFonts w:ascii="宋体" w:eastAsia="宋体" w:hAnsi="宋体" w:cs="宋体"/>
          <w:sz w:val="23"/>
          <w:szCs w:val="23"/>
        </w:rPr>
        <w:t xml:space="preserve"> </w:t>
      </w:r>
      <w:r>
        <w:rPr>
          <w:rFonts w:ascii="宋体" w:eastAsia="宋体" w:hAnsi="宋体" w:cs="宋体"/>
          <w:spacing w:val="-16"/>
          <w:sz w:val="23"/>
          <w:szCs w:val="23"/>
        </w:rPr>
        <w:t>入人体消化道后，在胃液、胃蛋白酶和胰</w:t>
      </w:r>
      <w:r>
        <w:rPr>
          <w:rFonts w:ascii="宋体" w:eastAsia="宋体" w:hAnsi="宋体" w:cs="宋体"/>
          <w:spacing w:val="16"/>
          <w:sz w:val="23"/>
          <w:szCs w:val="23"/>
        </w:rPr>
        <w:t xml:space="preserve"> </w:t>
      </w:r>
      <w:r>
        <w:rPr>
          <w:rFonts w:ascii="宋体" w:eastAsia="宋体" w:hAnsi="宋体" w:cs="宋体"/>
          <w:spacing w:val="-17"/>
          <w:sz w:val="23"/>
          <w:szCs w:val="23"/>
        </w:rPr>
        <w:t>蛋白酶的作用下，维生素B</w:t>
      </w:r>
      <w:r>
        <w:rPr>
          <w:rFonts w:ascii="Calibri" w:eastAsia="Calibri" w:hAnsi="Calibri" w:cs="Calibri"/>
          <w:spacing w:val="-17"/>
          <w:sz w:val="23"/>
          <w:szCs w:val="23"/>
        </w:rPr>
        <w:t>₂</w:t>
      </w:r>
      <w:r>
        <w:rPr>
          <w:rFonts w:ascii="Calibri" w:eastAsia="Calibri" w:hAnsi="Calibri" w:cs="Calibri"/>
          <w:spacing w:val="56"/>
          <w:w w:val="101"/>
          <w:sz w:val="23"/>
          <w:szCs w:val="23"/>
        </w:rPr>
        <w:t xml:space="preserve"> </w:t>
      </w:r>
      <w:r>
        <w:rPr>
          <w:rFonts w:ascii="宋体" w:eastAsia="宋体" w:hAnsi="宋体" w:cs="宋体"/>
          <w:spacing w:val="-17"/>
          <w:sz w:val="23"/>
          <w:szCs w:val="23"/>
        </w:rPr>
        <w:t>被释放，与内</w:t>
      </w:r>
      <w:r>
        <w:rPr>
          <w:rFonts w:ascii="宋体" w:eastAsia="宋体" w:hAnsi="宋体" w:cs="宋体"/>
          <w:sz w:val="23"/>
          <w:szCs w:val="23"/>
        </w:rPr>
        <w:t xml:space="preserve"> </w:t>
      </w:r>
      <w:r>
        <w:rPr>
          <w:rFonts w:ascii="宋体" w:eastAsia="宋体" w:hAnsi="宋体" w:cs="宋体"/>
          <w:spacing w:val="-18"/>
          <w:sz w:val="23"/>
          <w:szCs w:val="23"/>
        </w:rPr>
        <w:t>因子</w:t>
      </w:r>
      <w:r>
        <w:rPr>
          <w:rFonts w:ascii="宋体" w:eastAsia="宋体" w:hAnsi="宋体" w:cs="宋体"/>
          <w:spacing w:val="-29"/>
          <w:sz w:val="23"/>
          <w:szCs w:val="23"/>
        </w:rPr>
        <w:t xml:space="preserve"> </w:t>
      </w:r>
      <w:r>
        <w:rPr>
          <w:rFonts w:ascii="宋体" w:eastAsia="宋体" w:hAnsi="宋体" w:cs="宋体"/>
          <w:spacing w:val="-18"/>
          <w:sz w:val="23"/>
          <w:szCs w:val="23"/>
        </w:rPr>
        <w:t>(intrinsic</w:t>
      </w:r>
      <w:r>
        <w:rPr>
          <w:rFonts w:ascii="宋体" w:eastAsia="宋体" w:hAnsi="宋体" w:cs="宋体"/>
          <w:spacing w:val="-8"/>
          <w:sz w:val="23"/>
          <w:szCs w:val="23"/>
        </w:rPr>
        <w:t xml:space="preserve"> </w:t>
      </w:r>
      <w:r>
        <w:rPr>
          <w:rFonts w:ascii="宋体" w:eastAsia="宋体" w:hAnsi="宋体" w:cs="宋体"/>
          <w:spacing w:val="-18"/>
          <w:sz w:val="23"/>
          <w:szCs w:val="23"/>
        </w:rPr>
        <w:t>factor,IF)</w:t>
      </w:r>
      <w:r>
        <w:rPr>
          <w:rFonts w:ascii="宋体" w:eastAsia="宋体" w:hAnsi="宋体" w:cs="宋体"/>
          <w:spacing w:val="-47"/>
          <w:sz w:val="23"/>
          <w:szCs w:val="23"/>
        </w:rPr>
        <w:t xml:space="preserve"> </w:t>
      </w:r>
      <w:r>
        <w:rPr>
          <w:rFonts w:ascii="宋体" w:eastAsia="宋体" w:hAnsi="宋体" w:cs="宋体"/>
          <w:spacing w:val="-19"/>
          <w:sz w:val="23"/>
          <w:szCs w:val="23"/>
        </w:rPr>
        <w:t>结合，在空肠</w:t>
      </w:r>
      <w:r>
        <w:rPr>
          <w:rFonts w:ascii="宋体" w:eastAsia="宋体" w:hAnsi="宋体" w:cs="宋体"/>
          <w:sz w:val="23"/>
          <w:szCs w:val="23"/>
        </w:rPr>
        <w:t xml:space="preserve"> </w:t>
      </w:r>
      <w:r>
        <w:rPr>
          <w:rFonts w:ascii="宋体" w:eastAsia="宋体" w:hAnsi="宋体" w:cs="宋体"/>
          <w:spacing w:val="-18"/>
          <w:sz w:val="23"/>
          <w:szCs w:val="23"/>
        </w:rPr>
        <w:t>被吸收。吸收后的维生素B</w:t>
      </w:r>
      <w:r>
        <w:rPr>
          <w:rFonts w:ascii="Calibri" w:eastAsia="Calibri" w:hAnsi="Calibri" w:cs="Calibri"/>
          <w:spacing w:val="-18"/>
          <w:sz w:val="23"/>
          <w:szCs w:val="23"/>
        </w:rPr>
        <w:t>₂</w:t>
      </w:r>
      <w:r>
        <w:rPr>
          <w:rFonts w:ascii="Calibri" w:eastAsia="Calibri" w:hAnsi="Calibri" w:cs="Calibri"/>
          <w:spacing w:val="59"/>
          <w:sz w:val="23"/>
          <w:szCs w:val="23"/>
        </w:rPr>
        <w:t xml:space="preserve"> </w:t>
      </w:r>
      <w:r>
        <w:rPr>
          <w:rFonts w:ascii="宋体" w:eastAsia="宋体" w:hAnsi="宋体" w:cs="宋体"/>
          <w:spacing w:val="-18"/>
          <w:sz w:val="23"/>
          <w:szCs w:val="23"/>
        </w:rPr>
        <w:t>与血浆蛋白结</w:t>
      </w:r>
    </w:p>
    <w:p w:rsidR="00EA40A3" w:rsidRDefault="00EA40A3">
      <w:pPr>
        <w:sectPr w:rsidR="00EA40A3">
          <w:type w:val="continuous"/>
          <w:pgSz w:w="9220" w:h="13360"/>
          <w:pgMar w:top="400" w:right="985" w:bottom="400" w:left="840" w:header="0" w:footer="0" w:gutter="0"/>
          <w:cols w:num="2" w:space="720" w:equalWidth="0">
            <w:col w:w="3320" w:space="100"/>
            <w:col w:w="3975"/>
          </w:cols>
        </w:sectPr>
      </w:pPr>
    </w:p>
    <w:p w:rsidR="00EA40A3" w:rsidRDefault="00E86C16">
      <w:pPr>
        <w:spacing w:before="118" w:line="237" w:lineRule="auto"/>
        <w:ind w:right="113"/>
        <w:jc w:val="both"/>
        <w:rPr>
          <w:rFonts w:ascii="宋体" w:eastAsia="宋体" w:hAnsi="宋体" w:cs="宋体"/>
          <w:sz w:val="23"/>
          <w:szCs w:val="23"/>
        </w:rPr>
      </w:pPr>
      <w:r>
        <w:rPr>
          <w:rFonts w:ascii="宋体" w:eastAsia="宋体" w:hAnsi="宋体" w:cs="宋体"/>
          <w:spacing w:val="-7"/>
          <w:sz w:val="23"/>
          <w:szCs w:val="23"/>
        </w:rPr>
        <w:t>合成为维生素B</w:t>
      </w:r>
      <w:r>
        <w:rPr>
          <w:rFonts w:ascii="Calibri" w:eastAsia="Calibri" w:hAnsi="Calibri" w:cs="Calibri"/>
          <w:spacing w:val="-7"/>
          <w:sz w:val="23"/>
          <w:szCs w:val="23"/>
        </w:rPr>
        <w:t>₂</w:t>
      </w:r>
      <w:r>
        <w:rPr>
          <w:rFonts w:ascii="Calibri" w:eastAsia="Calibri" w:hAnsi="Calibri" w:cs="Calibri"/>
          <w:spacing w:val="44"/>
          <w:sz w:val="23"/>
          <w:szCs w:val="23"/>
        </w:rPr>
        <w:t xml:space="preserve"> </w:t>
      </w:r>
      <w:r>
        <w:rPr>
          <w:rFonts w:ascii="宋体" w:eastAsia="宋体" w:hAnsi="宋体" w:cs="宋体"/>
          <w:spacing w:val="-7"/>
          <w:sz w:val="23"/>
          <w:szCs w:val="23"/>
        </w:rPr>
        <w:t>运输蛋白，运输到造血组织。人体维生素B</w:t>
      </w:r>
      <w:r>
        <w:rPr>
          <w:rFonts w:ascii="Calibri" w:eastAsia="Calibri" w:hAnsi="Calibri" w:cs="Calibri"/>
          <w:spacing w:val="-7"/>
          <w:sz w:val="23"/>
          <w:szCs w:val="23"/>
        </w:rPr>
        <w:t>₂</w:t>
      </w:r>
      <w:r>
        <w:rPr>
          <w:rFonts w:ascii="Calibri" w:eastAsia="Calibri" w:hAnsi="Calibri" w:cs="Calibri"/>
          <w:spacing w:val="49"/>
          <w:w w:val="101"/>
          <w:sz w:val="23"/>
          <w:szCs w:val="23"/>
        </w:rPr>
        <w:t xml:space="preserve"> </w:t>
      </w:r>
      <w:r>
        <w:rPr>
          <w:rFonts w:ascii="宋体" w:eastAsia="宋体" w:hAnsi="宋体" w:cs="宋体"/>
          <w:spacing w:val="-7"/>
          <w:sz w:val="23"/>
          <w:szCs w:val="23"/>
        </w:rPr>
        <w:t>的储量约为1~</w:t>
      </w:r>
      <w:r>
        <w:rPr>
          <w:rFonts w:ascii="宋体" w:eastAsia="宋体" w:hAnsi="宋体" w:cs="宋体"/>
          <w:sz w:val="23"/>
          <w:szCs w:val="23"/>
        </w:rPr>
        <w:t xml:space="preserve"> </w:t>
      </w:r>
      <w:r>
        <w:rPr>
          <w:rFonts w:ascii="宋体" w:eastAsia="宋体" w:hAnsi="宋体" w:cs="宋体"/>
          <w:spacing w:val="-11"/>
          <w:sz w:val="23"/>
          <w:szCs w:val="23"/>
        </w:rPr>
        <w:t>10mg,</w:t>
      </w:r>
      <w:r>
        <w:rPr>
          <w:rFonts w:ascii="宋体" w:eastAsia="宋体" w:hAnsi="宋体" w:cs="宋体"/>
          <w:spacing w:val="5"/>
          <w:sz w:val="23"/>
          <w:szCs w:val="23"/>
        </w:rPr>
        <w:t xml:space="preserve"> </w:t>
      </w:r>
      <w:r>
        <w:rPr>
          <w:rFonts w:ascii="宋体" w:eastAsia="宋体" w:hAnsi="宋体" w:cs="宋体"/>
          <w:spacing w:val="-11"/>
          <w:sz w:val="23"/>
          <w:szCs w:val="23"/>
        </w:rPr>
        <w:t>肝脏是维生素B</w:t>
      </w:r>
      <w:r>
        <w:rPr>
          <w:rFonts w:ascii="Calibri" w:eastAsia="Calibri" w:hAnsi="Calibri" w:cs="Calibri"/>
          <w:spacing w:val="-11"/>
          <w:sz w:val="23"/>
          <w:szCs w:val="23"/>
        </w:rPr>
        <w:t>₂₂</w:t>
      </w:r>
      <w:r>
        <w:rPr>
          <w:rFonts w:ascii="宋体" w:eastAsia="宋体" w:hAnsi="宋体" w:cs="宋体"/>
          <w:spacing w:val="-11"/>
          <w:sz w:val="23"/>
          <w:szCs w:val="23"/>
        </w:rPr>
        <w:t>储藏的主要场所。维生素</w:t>
      </w:r>
      <w:r>
        <w:rPr>
          <w:rFonts w:ascii="宋体" w:eastAsia="宋体" w:hAnsi="宋体" w:cs="宋体"/>
          <w:spacing w:val="-12"/>
          <w:sz w:val="23"/>
          <w:szCs w:val="23"/>
        </w:rPr>
        <w:t>B</w:t>
      </w:r>
      <w:r>
        <w:rPr>
          <w:rFonts w:ascii="Calibri" w:eastAsia="Calibri" w:hAnsi="Calibri" w:cs="Calibri"/>
          <w:spacing w:val="-12"/>
          <w:sz w:val="23"/>
          <w:szCs w:val="23"/>
        </w:rPr>
        <w:t>₂</w:t>
      </w:r>
      <w:r>
        <w:rPr>
          <w:rFonts w:ascii="Calibri" w:eastAsia="Calibri" w:hAnsi="Calibri" w:cs="Calibri"/>
          <w:spacing w:val="40"/>
          <w:sz w:val="23"/>
          <w:szCs w:val="23"/>
        </w:rPr>
        <w:t xml:space="preserve"> </w:t>
      </w:r>
      <w:r>
        <w:rPr>
          <w:rFonts w:ascii="宋体" w:eastAsia="宋体" w:hAnsi="宋体" w:cs="宋体"/>
          <w:spacing w:val="-12"/>
          <w:sz w:val="23"/>
          <w:szCs w:val="23"/>
        </w:rPr>
        <w:t>主要通过胆汁排泄，并经</w:t>
      </w:r>
      <w:r>
        <w:rPr>
          <w:rFonts w:ascii="宋体" w:eastAsia="宋体" w:hAnsi="宋体" w:cs="宋体"/>
          <w:sz w:val="23"/>
          <w:szCs w:val="23"/>
        </w:rPr>
        <w:t xml:space="preserve"> </w:t>
      </w:r>
      <w:r>
        <w:rPr>
          <w:rFonts w:ascii="宋体" w:eastAsia="宋体" w:hAnsi="宋体" w:cs="宋体"/>
          <w:spacing w:val="-17"/>
          <w:sz w:val="23"/>
          <w:szCs w:val="23"/>
        </w:rPr>
        <w:t>肝肠循环约有一半在回肠被再吸收，因此，即使膳食中不含维生素B</w:t>
      </w:r>
      <w:r>
        <w:rPr>
          <w:rFonts w:ascii="Calibri" w:eastAsia="Calibri" w:hAnsi="Calibri" w:cs="Calibri"/>
          <w:spacing w:val="-17"/>
          <w:sz w:val="23"/>
          <w:szCs w:val="23"/>
        </w:rPr>
        <w:t>₂</w:t>
      </w:r>
      <w:r>
        <w:rPr>
          <w:rFonts w:ascii="宋体" w:eastAsia="宋体" w:hAnsi="宋体" w:cs="宋体"/>
          <w:spacing w:val="-17"/>
          <w:sz w:val="23"/>
          <w:szCs w:val="23"/>
        </w:rPr>
        <w:t>,</w:t>
      </w:r>
      <w:r>
        <w:rPr>
          <w:rFonts w:ascii="宋体" w:eastAsia="宋体" w:hAnsi="宋体" w:cs="宋体"/>
          <w:spacing w:val="71"/>
          <w:sz w:val="23"/>
          <w:szCs w:val="23"/>
        </w:rPr>
        <w:t xml:space="preserve"> </w:t>
      </w:r>
      <w:r>
        <w:rPr>
          <w:rFonts w:ascii="宋体" w:eastAsia="宋体" w:hAnsi="宋体" w:cs="宋体"/>
          <w:spacing w:val="-17"/>
          <w:sz w:val="23"/>
          <w:szCs w:val="23"/>
        </w:rPr>
        <w:t>体内储</w:t>
      </w:r>
      <w:r>
        <w:rPr>
          <w:rFonts w:ascii="宋体" w:eastAsia="宋体" w:hAnsi="宋体" w:cs="宋体"/>
          <w:sz w:val="23"/>
          <w:szCs w:val="23"/>
        </w:rPr>
        <w:t xml:space="preserve"> </w:t>
      </w:r>
      <w:r>
        <w:rPr>
          <w:rFonts w:ascii="宋体" w:eastAsia="宋体" w:hAnsi="宋体" w:cs="宋体"/>
          <w:spacing w:val="-3"/>
          <w:sz w:val="23"/>
          <w:szCs w:val="23"/>
        </w:rPr>
        <w:t>存亦可满足大约6年的需要。有吸收障碍者维生素</w:t>
      </w:r>
      <w:r>
        <w:rPr>
          <w:rFonts w:ascii="宋体" w:eastAsia="宋体" w:hAnsi="宋体" w:cs="宋体"/>
          <w:spacing w:val="-52"/>
          <w:sz w:val="23"/>
          <w:szCs w:val="23"/>
        </w:rPr>
        <w:t xml:space="preserve"> </w:t>
      </w:r>
      <w:r>
        <w:rPr>
          <w:rFonts w:ascii="宋体" w:eastAsia="宋体" w:hAnsi="宋体" w:cs="宋体"/>
          <w:spacing w:val="-3"/>
          <w:sz w:val="23"/>
          <w:szCs w:val="23"/>
        </w:rPr>
        <w:t>B</w:t>
      </w:r>
      <w:r>
        <w:rPr>
          <w:rFonts w:ascii="Calibri" w:eastAsia="Calibri" w:hAnsi="Calibri" w:cs="Calibri"/>
          <w:spacing w:val="-3"/>
          <w:sz w:val="23"/>
          <w:szCs w:val="23"/>
        </w:rPr>
        <w:t>₂</w:t>
      </w:r>
      <w:r>
        <w:rPr>
          <w:rFonts w:ascii="Calibri" w:eastAsia="Calibri" w:hAnsi="Calibri" w:cs="Calibri"/>
          <w:spacing w:val="4"/>
          <w:sz w:val="23"/>
          <w:szCs w:val="23"/>
        </w:rPr>
        <w:t xml:space="preserve">  </w:t>
      </w:r>
      <w:r>
        <w:rPr>
          <w:rFonts w:ascii="宋体" w:eastAsia="宋体" w:hAnsi="宋体" w:cs="宋体"/>
          <w:spacing w:val="-3"/>
          <w:sz w:val="23"/>
          <w:szCs w:val="23"/>
        </w:rPr>
        <w:t>缺乏症可在2～3年内</w:t>
      </w:r>
      <w:r>
        <w:rPr>
          <w:rFonts w:ascii="宋体" w:eastAsia="宋体" w:hAnsi="宋体" w:cs="宋体"/>
          <w:sz w:val="23"/>
          <w:szCs w:val="23"/>
        </w:rPr>
        <w:t xml:space="preserve"> </w:t>
      </w:r>
      <w:r>
        <w:rPr>
          <w:rFonts w:ascii="宋体" w:eastAsia="宋体" w:hAnsi="宋体" w:cs="宋体"/>
          <w:spacing w:val="-11"/>
          <w:sz w:val="23"/>
          <w:szCs w:val="23"/>
        </w:rPr>
        <w:t>发生。</w:t>
      </w:r>
    </w:p>
    <w:p w:rsidR="00EA40A3" w:rsidRDefault="00E86C16">
      <w:pPr>
        <w:spacing w:before="232" w:line="222" w:lineRule="auto"/>
        <w:rPr>
          <w:rFonts w:ascii="仿宋" w:eastAsia="仿宋" w:hAnsi="仿宋" w:cs="仿宋"/>
          <w:sz w:val="23"/>
          <w:szCs w:val="23"/>
        </w:rPr>
      </w:pPr>
      <w:r>
        <w:rPr>
          <w:rFonts w:ascii="仿宋" w:eastAsia="仿宋" w:hAnsi="仿宋" w:cs="仿宋"/>
          <w:spacing w:val="5"/>
          <w:sz w:val="23"/>
          <w:szCs w:val="23"/>
        </w:rPr>
        <w:t>3.</w:t>
      </w:r>
      <w:r>
        <w:rPr>
          <w:rFonts w:ascii="仿宋" w:eastAsia="仿宋" w:hAnsi="仿宋" w:cs="仿宋"/>
          <w:spacing w:val="-23"/>
          <w:sz w:val="23"/>
          <w:szCs w:val="23"/>
        </w:rPr>
        <w:t xml:space="preserve"> </w:t>
      </w:r>
      <w:r>
        <w:rPr>
          <w:rFonts w:ascii="仿宋" w:eastAsia="仿宋" w:hAnsi="仿宋" w:cs="仿宋"/>
          <w:spacing w:val="5"/>
          <w:sz w:val="23"/>
          <w:szCs w:val="23"/>
        </w:rPr>
        <w:t>维生素B</w:t>
      </w:r>
      <w:r>
        <w:rPr>
          <w:rFonts w:ascii="Calibri" w:eastAsia="Calibri" w:hAnsi="Calibri" w:cs="Calibri"/>
          <w:spacing w:val="5"/>
          <w:sz w:val="23"/>
          <w:szCs w:val="23"/>
        </w:rPr>
        <w:t>₂</w:t>
      </w:r>
      <w:r>
        <w:rPr>
          <w:rFonts w:ascii="Calibri" w:eastAsia="Calibri" w:hAnsi="Calibri" w:cs="Calibri"/>
          <w:spacing w:val="18"/>
          <w:sz w:val="23"/>
          <w:szCs w:val="23"/>
        </w:rPr>
        <w:t xml:space="preserve">  </w:t>
      </w:r>
      <w:r>
        <w:rPr>
          <w:rFonts w:ascii="仿宋" w:eastAsia="仿宋" w:hAnsi="仿宋" w:cs="仿宋"/>
          <w:spacing w:val="5"/>
          <w:sz w:val="23"/>
          <w:szCs w:val="23"/>
        </w:rPr>
        <w:t>生理功能</w:t>
      </w:r>
    </w:p>
    <w:p w:rsidR="00EA40A3" w:rsidRDefault="00E86C16">
      <w:pPr>
        <w:spacing w:before="185" w:line="238" w:lineRule="auto"/>
        <w:ind w:right="118" w:firstLine="429"/>
        <w:rPr>
          <w:rFonts w:ascii="宋体" w:eastAsia="宋体" w:hAnsi="宋体" w:cs="宋体"/>
          <w:sz w:val="23"/>
          <w:szCs w:val="23"/>
        </w:rPr>
      </w:pPr>
      <w:r>
        <w:rPr>
          <w:rFonts w:ascii="宋体" w:eastAsia="宋体" w:hAnsi="宋体" w:cs="宋体"/>
          <w:spacing w:val="-17"/>
          <w:sz w:val="23"/>
          <w:szCs w:val="23"/>
        </w:rPr>
        <w:t>维生素B</w:t>
      </w:r>
      <w:r>
        <w:rPr>
          <w:rFonts w:ascii="Calibri" w:eastAsia="Calibri" w:hAnsi="Calibri" w:cs="Calibri"/>
          <w:spacing w:val="-17"/>
          <w:sz w:val="23"/>
          <w:szCs w:val="23"/>
        </w:rPr>
        <w:t>₂</w:t>
      </w:r>
      <w:r>
        <w:rPr>
          <w:rFonts w:ascii="Calibri" w:eastAsia="Calibri" w:hAnsi="Calibri" w:cs="Calibri"/>
          <w:spacing w:val="39"/>
          <w:w w:val="101"/>
          <w:sz w:val="23"/>
          <w:szCs w:val="23"/>
        </w:rPr>
        <w:t xml:space="preserve"> </w:t>
      </w:r>
      <w:r>
        <w:rPr>
          <w:rFonts w:ascii="宋体" w:eastAsia="宋体" w:hAnsi="宋体" w:cs="宋体"/>
          <w:spacing w:val="-17"/>
          <w:sz w:val="23"/>
          <w:szCs w:val="23"/>
        </w:rPr>
        <w:t>在机体的许多代谢中有重要作用。其在体内以两</w:t>
      </w:r>
      <w:r>
        <w:rPr>
          <w:rFonts w:ascii="宋体" w:eastAsia="宋体" w:hAnsi="宋体" w:cs="宋体"/>
          <w:spacing w:val="-18"/>
          <w:sz w:val="23"/>
          <w:szCs w:val="23"/>
        </w:rPr>
        <w:t>种辅酶形式即甲</w:t>
      </w:r>
      <w:r>
        <w:rPr>
          <w:rFonts w:ascii="宋体" w:eastAsia="宋体" w:hAnsi="宋体" w:cs="宋体"/>
          <w:sz w:val="23"/>
          <w:szCs w:val="23"/>
        </w:rPr>
        <w:t xml:space="preserve"> </w:t>
      </w:r>
      <w:r>
        <w:rPr>
          <w:rFonts w:ascii="宋体" w:eastAsia="宋体" w:hAnsi="宋体" w:cs="宋体"/>
          <w:spacing w:val="-10"/>
          <w:sz w:val="23"/>
          <w:szCs w:val="23"/>
        </w:rPr>
        <w:t>基B</w:t>
      </w:r>
      <w:r>
        <w:rPr>
          <w:rFonts w:ascii="Calibri" w:eastAsia="Calibri" w:hAnsi="Calibri" w:cs="Calibri"/>
          <w:spacing w:val="-10"/>
          <w:sz w:val="23"/>
          <w:szCs w:val="23"/>
        </w:rPr>
        <w:t>₂</w:t>
      </w:r>
      <w:r>
        <w:rPr>
          <w:rFonts w:ascii="Calibri" w:eastAsia="Calibri" w:hAnsi="Calibri" w:cs="Calibri"/>
          <w:spacing w:val="15"/>
          <w:sz w:val="23"/>
          <w:szCs w:val="23"/>
        </w:rPr>
        <w:t xml:space="preserve">   </w:t>
      </w:r>
      <w:r>
        <w:rPr>
          <w:rFonts w:ascii="宋体" w:eastAsia="宋体" w:hAnsi="宋体" w:cs="宋体"/>
          <w:spacing w:val="-10"/>
          <w:sz w:val="23"/>
          <w:szCs w:val="23"/>
        </w:rPr>
        <w:t>(甲基钴胺素)和辅酶B</w:t>
      </w:r>
      <w:r>
        <w:rPr>
          <w:rFonts w:ascii="Calibri" w:eastAsia="Calibri" w:hAnsi="Calibri" w:cs="Calibri"/>
          <w:spacing w:val="-10"/>
          <w:sz w:val="23"/>
          <w:szCs w:val="23"/>
        </w:rPr>
        <w:t>₂</w:t>
      </w:r>
      <w:r>
        <w:rPr>
          <w:rFonts w:ascii="Calibri" w:eastAsia="Calibri" w:hAnsi="Calibri" w:cs="Calibri"/>
          <w:spacing w:val="-3"/>
          <w:sz w:val="23"/>
          <w:szCs w:val="23"/>
        </w:rPr>
        <w:t xml:space="preserve"> </w:t>
      </w:r>
      <w:r>
        <w:rPr>
          <w:rFonts w:ascii="宋体" w:eastAsia="宋体" w:hAnsi="宋体" w:cs="宋体"/>
          <w:spacing w:val="-10"/>
          <w:sz w:val="23"/>
          <w:szCs w:val="23"/>
        </w:rPr>
        <w:t>(5-</w:t>
      </w:r>
      <w:r>
        <w:rPr>
          <w:rFonts w:ascii="宋体" w:eastAsia="宋体" w:hAnsi="宋体" w:cs="宋体"/>
          <w:spacing w:val="12"/>
          <w:sz w:val="23"/>
          <w:szCs w:val="23"/>
        </w:rPr>
        <w:t xml:space="preserve"> </w:t>
      </w:r>
      <w:r>
        <w:rPr>
          <w:rFonts w:ascii="宋体" w:eastAsia="宋体" w:hAnsi="宋体" w:cs="宋体"/>
          <w:spacing w:val="-10"/>
          <w:sz w:val="23"/>
          <w:szCs w:val="23"/>
        </w:rPr>
        <w:t>脱氧腺苷钴胺素)参与生化反应。</w:t>
      </w:r>
    </w:p>
    <w:p w:rsidR="00EA40A3" w:rsidRDefault="00E86C16">
      <w:pPr>
        <w:spacing w:before="47" w:line="234" w:lineRule="auto"/>
        <w:ind w:right="133" w:firstLine="429"/>
        <w:rPr>
          <w:rFonts w:ascii="宋体" w:eastAsia="宋体" w:hAnsi="宋体" w:cs="宋体"/>
          <w:sz w:val="23"/>
          <w:szCs w:val="23"/>
        </w:rPr>
      </w:pPr>
      <w:r>
        <w:rPr>
          <w:rFonts w:ascii="宋体" w:eastAsia="宋体" w:hAnsi="宋体" w:cs="宋体"/>
          <w:spacing w:val="-14"/>
          <w:sz w:val="23"/>
          <w:szCs w:val="23"/>
        </w:rPr>
        <w:t>(1)甲基转移作用：维生素Bz</w:t>
      </w:r>
      <w:r>
        <w:rPr>
          <w:rFonts w:ascii="Calibri" w:eastAsia="Calibri" w:hAnsi="Calibri" w:cs="Calibri"/>
          <w:spacing w:val="-14"/>
          <w:sz w:val="23"/>
          <w:szCs w:val="23"/>
        </w:rPr>
        <w:t>₂</w:t>
      </w:r>
      <w:r>
        <w:rPr>
          <w:rFonts w:ascii="宋体" w:eastAsia="宋体" w:hAnsi="宋体" w:cs="宋体"/>
          <w:spacing w:val="-14"/>
          <w:sz w:val="23"/>
          <w:szCs w:val="23"/>
        </w:rPr>
        <w:t>辅酶作为甲基的载体参与同型半胱</w:t>
      </w:r>
      <w:r>
        <w:rPr>
          <w:rFonts w:ascii="宋体" w:eastAsia="宋体" w:hAnsi="宋体" w:cs="宋体"/>
          <w:spacing w:val="-15"/>
          <w:sz w:val="23"/>
          <w:szCs w:val="23"/>
        </w:rPr>
        <w:t>氨酸甲基</w:t>
      </w:r>
      <w:r>
        <w:rPr>
          <w:rFonts w:ascii="宋体" w:eastAsia="宋体" w:hAnsi="宋体" w:cs="宋体"/>
          <w:sz w:val="23"/>
          <w:szCs w:val="23"/>
        </w:rPr>
        <w:t xml:space="preserve"> </w:t>
      </w:r>
      <w:r>
        <w:rPr>
          <w:rFonts w:ascii="宋体" w:eastAsia="宋体" w:hAnsi="宋体" w:cs="宋体"/>
          <w:spacing w:val="-13"/>
          <w:sz w:val="23"/>
          <w:szCs w:val="23"/>
        </w:rPr>
        <w:t>化生成蛋氨酸的反应；维生素</w:t>
      </w:r>
      <w:r>
        <w:rPr>
          <w:rFonts w:ascii="宋体" w:eastAsia="宋体" w:hAnsi="宋体" w:cs="宋体"/>
          <w:spacing w:val="-66"/>
          <w:sz w:val="23"/>
          <w:szCs w:val="23"/>
        </w:rPr>
        <w:t xml:space="preserve"> </w:t>
      </w:r>
      <w:r>
        <w:rPr>
          <w:rFonts w:ascii="宋体" w:eastAsia="宋体" w:hAnsi="宋体" w:cs="宋体"/>
          <w:spacing w:val="-13"/>
          <w:sz w:val="23"/>
          <w:szCs w:val="23"/>
        </w:rPr>
        <w:t>Bn</w:t>
      </w:r>
      <w:r>
        <w:rPr>
          <w:rFonts w:ascii="Calibri" w:eastAsia="Calibri" w:hAnsi="Calibri" w:cs="Calibri"/>
          <w:spacing w:val="-13"/>
          <w:sz w:val="23"/>
          <w:szCs w:val="23"/>
        </w:rPr>
        <w:t>₂</w:t>
      </w:r>
      <w:r>
        <w:rPr>
          <w:rFonts w:ascii="Calibri" w:eastAsia="Calibri" w:hAnsi="Calibri" w:cs="Calibri"/>
          <w:spacing w:val="-29"/>
          <w:sz w:val="23"/>
          <w:szCs w:val="23"/>
        </w:rPr>
        <w:t xml:space="preserve"> </w:t>
      </w:r>
      <w:r>
        <w:rPr>
          <w:rFonts w:ascii="宋体" w:eastAsia="宋体" w:hAnsi="宋体" w:cs="宋体"/>
          <w:spacing w:val="-13"/>
          <w:sz w:val="23"/>
          <w:szCs w:val="23"/>
        </w:rPr>
        <w:t>可将5-甲基四氢</w:t>
      </w:r>
      <w:r>
        <w:rPr>
          <w:rFonts w:ascii="宋体" w:eastAsia="宋体" w:hAnsi="宋体" w:cs="宋体"/>
          <w:spacing w:val="-14"/>
          <w:sz w:val="23"/>
          <w:szCs w:val="23"/>
        </w:rPr>
        <w:t>叶酸的甲基移去形成四氢叶</w:t>
      </w:r>
      <w:r>
        <w:rPr>
          <w:rFonts w:ascii="宋体" w:eastAsia="宋体" w:hAnsi="宋体" w:cs="宋体"/>
          <w:sz w:val="23"/>
          <w:szCs w:val="23"/>
        </w:rPr>
        <w:t xml:space="preserve"> </w:t>
      </w:r>
      <w:r>
        <w:rPr>
          <w:rFonts w:ascii="宋体" w:eastAsia="宋体" w:hAnsi="宋体" w:cs="宋体"/>
          <w:spacing w:val="-23"/>
          <w:sz w:val="23"/>
          <w:szCs w:val="23"/>
        </w:rPr>
        <w:t>酸，以利于叶酸参与嘌呤、嘧啶的生物合成。</w:t>
      </w:r>
    </w:p>
    <w:p w:rsidR="00EA40A3" w:rsidRDefault="00E86C16">
      <w:pPr>
        <w:spacing w:before="55" w:line="184" w:lineRule="auto"/>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140</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type w:val="continuous"/>
          <w:pgSz w:w="9220" w:h="13360"/>
          <w:pgMar w:top="400" w:right="985" w:bottom="400" w:left="840" w:header="0" w:footer="0" w:gutter="0"/>
          <w:cols w:space="720" w:equalWidth="0">
            <w:col w:w="7395"/>
          </w:cols>
        </w:sectPr>
      </w:pPr>
    </w:p>
    <w:p w:rsidR="00EA40A3" w:rsidRDefault="00EA40A3">
      <w:pPr>
        <w:spacing w:line="266" w:lineRule="auto"/>
      </w:pPr>
    </w:p>
    <w:p w:rsidR="00EA40A3" w:rsidRDefault="00EA40A3">
      <w:pPr>
        <w:spacing w:line="266" w:lineRule="auto"/>
      </w:pPr>
    </w:p>
    <w:p w:rsidR="00EA40A3" w:rsidRDefault="00E86C16">
      <w:pPr>
        <w:spacing w:before="71" w:line="244" w:lineRule="auto"/>
        <w:ind w:right="100" w:firstLine="420"/>
        <w:jc w:val="both"/>
        <w:rPr>
          <w:rFonts w:ascii="宋体" w:eastAsia="宋体" w:hAnsi="宋体" w:cs="宋体"/>
          <w:sz w:val="22"/>
          <w:szCs w:val="22"/>
        </w:rPr>
      </w:pPr>
      <w:r>
        <w:rPr>
          <w:rFonts w:ascii="宋体" w:eastAsia="宋体" w:hAnsi="宋体" w:cs="宋体"/>
          <w:sz w:val="22"/>
          <w:szCs w:val="22"/>
        </w:rPr>
        <w:t>(2)促进一些化合物的异构：维生素B</w:t>
      </w:r>
      <w:r>
        <w:rPr>
          <w:rFonts w:ascii="Calibri" w:eastAsia="Calibri" w:hAnsi="Calibri" w:cs="Calibri"/>
          <w:sz w:val="22"/>
          <w:szCs w:val="22"/>
        </w:rPr>
        <w:t>₂</w:t>
      </w:r>
      <w:r>
        <w:rPr>
          <w:rFonts w:ascii="Calibri" w:eastAsia="Calibri" w:hAnsi="Calibri" w:cs="Calibri"/>
          <w:spacing w:val="9"/>
          <w:sz w:val="22"/>
          <w:szCs w:val="22"/>
        </w:rPr>
        <w:t xml:space="preserve">  </w:t>
      </w:r>
      <w:r>
        <w:rPr>
          <w:rFonts w:ascii="宋体" w:eastAsia="宋体" w:hAnsi="宋体" w:cs="宋体"/>
          <w:sz w:val="22"/>
          <w:szCs w:val="22"/>
        </w:rPr>
        <w:t>辅酶参与L-甲基丙二酰CoA</w:t>
      </w:r>
      <w:r>
        <w:rPr>
          <w:rFonts w:ascii="宋体" w:eastAsia="宋体" w:hAnsi="宋体" w:cs="宋体"/>
          <w:spacing w:val="38"/>
          <w:sz w:val="22"/>
          <w:szCs w:val="22"/>
        </w:rPr>
        <w:t xml:space="preserve"> </w:t>
      </w:r>
      <w:r>
        <w:rPr>
          <w:rFonts w:ascii="宋体" w:eastAsia="宋体" w:hAnsi="宋体" w:cs="宋体"/>
          <w:sz w:val="22"/>
          <w:szCs w:val="22"/>
        </w:rPr>
        <w:t xml:space="preserve">转变 </w:t>
      </w:r>
      <w:r>
        <w:rPr>
          <w:rFonts w:ascii="宋体" w:eastAsia="宋体" w:hAnsi="宋体" w:cs="宋体"/>
          <w:spacing w:val="-6"/>
          <w:sz w:val="22"/>
          <w:szCs w:val="22"/>
        </w:rPr>
        <w:t>成为琥珀酰CoA。</w:t>
      </w:r>
      <w:r>
        <w:rPr>
          <w:rFonts w:ascii="宋体" w:eastAsia="宋体" w:hAnsi="宋体" w:cs="宋体"/>
          <w:spacing w:val="39"/>
          <w:sz w:val="22"/>
          <w:szCs w:val="22"/>
        </w:rPr>
        <w:t xml:space="preserve"> </w:t>
      </w:r>
      <w:r>
        <w:rPr>
          <w:rFonts w:ascii="宋体" w:eastAsia="宋体" w:hAnsi="宋体" w:cs="宋体"/>
          <w:spacing w:val="-6"/>
          <w:sz w:val="22"/>
          <w:szCs w:val="22"/>
        </w:rPr>
        <w:t>维生素B</w:t>
      </w:r>
      <w:r>
        <w:rPr>
          <w:rFonts w:ascii="宋体" w:eastAsia="宋体" w:hAnsi="宋体" w:cs="宋体"/>
          <w:spacing w:val="63"/>
          <w:sz w:val="22"/>
          <w:szCs w:val="22"/>
        </w:rPr>
        <w:t xml:space="preserve"> </w:t>
      </w:r>
      <w:r>
        <w:rPr>
          <w:rFonts w:ascii="宋体" w:eastAsia="宋体" w:hAnsi="宋体" w:cs="宋体"/>
          <w:spacing w:val="-6"/>
          <w:sz w:val="22"/>
          <w:szCs w:val="22"/>
        </w:rPr>
        <w:t>缺乏时，</w:t>
      </w:r>
      <w:r>
        <w:rPr>
          <w:rFonts w:ascii="宋体" w:eastAsia="宋体" w:hAnsi="宋体" w:cs="宋体"/>
          <w:spacing w:val="-15"/>
          <w:sz w:val="22"/>
          <w:szCs w:val="22"/>
        </w:rPr>
        <w:t xml:space="preserve"> </w:t>
      </w:r>
      <w:r>
        <w:rPr>
          <w:rFonts w:ascii="宋体" w:eastAsia="宋体" w:hAnsi="宋体" w:cs="宋体"/>
          <w:spacing w:val="-6"/>
          <w:sz w:val="22"/>
          <w:szCs w:val="22"/>
        </w:rPr>
        <w:t>L-甲基丙二酰CoA</w:t>
      </w:r>
      <w:r>
        <w:rPr>
          <w:rFonts w:ascii="宋体" w:eastAsia="宋体" w:hAnsi="宋体" w:cs="宋体"/>
          <w:spacing w:val="27"/>
          <w:sz w:val="22"/>
          <w:szCs w:val="22"/>
        </w:rPr>
        <w:t xml:space="preserve"> </w:t>
      </w:r>
      <w:r>
        <w:rPr>
          <w:rFonts w:ascii="宋体" w:eastAsia="宋体" w:hAnsi="宋体" w:cs="宋体"/>
          <w:spacing w:val="-7"/>
          <w:sz w:val="22"/>
          <w:szCs w:val="22"/>
        </w:rPr>
        <w:t>大量堆积，因L-甲基</w:t>
      </w:r>
      <w:r>
        <w:rPr>
          <w:rFonts w:ascii="宋体" w:eastAsia="宋体" w:hAnsi="宋体" w:cs="宋体"/>
          <w:sz w:val="22"/>
          <w:szCs w:val="22"/>
        </w:rPr>
        <w:t xml:space="preserve"> </w:t>
      </w:r>
      <w:r>
        <w:rPr>
          <w:rFonts w:ascii="宋体" w:eastAsia="宋体" w:hAnsi="宋体" w:cs="宋体"/>
          <w:spacing w:val="-7"/>
          <w:sz w:val="22"/>
          <w:szCs w:val="22"/>
        </w:rPr>
        <w:t>丙二酰CoA</w:t>
      </w:r>
      <w:r>
        <w:rPr>
          <w:rFonts w:ascii="宋体" w:eastAsia="宋体" w:hAnsi="宋体" w:cs="宋体"/>
          <w:spacing w:val="36"/>
          <w:sz w:val="22"/>
          <w:szCs w:val="22"/>
        </w:rPr>
        <w:t xml:space="preserve"> </w:t>
      </w:r>
      <w:r>
        <w:rPr>
          <w:rFonts w:ascii="宋体" w:eastAsia="宋体" w:hAnsi="宋体" w:cs="宋体"/>
          <w:spacing w:val="-7"/>
          <w:sz w:val="22"/>
          <w:szCs w:val="22"/>
        </w:rPr>
        <w:t>的结构与脂肪酸合成的中间产物</w:t>
      </w:r>
      <w:r>
        <w:rPr>
          <w:rFonts w:ascii="宋体" w:eastAsia="宋体" w:hAnsi="宋体" w:cs="宋体"/>
          <w:spacing w:val="-8"/>
          <w:sz w:val="22"/>
          <w:szCs w:val="22"/>
        </w:rPr>
        <w:t>丙二酰</w:t>
      </w:r>
      <w:r>
        <w:rPr>
          <w:rFonts w:ascii="宋体" w:eastAsia="宋体" w:hAnsi="宋体" w:cs="宋体"/>
          <w:spacing w:val="-7"/>
          <w:sz w:val="22"/>
          <w:szCs w:val="22"/>
        </w:rPr>
        <w:t>CoA</w:t>
      </w:r>
      <w:r>
        <w:rPr>
          <w:rFonts w:ascii="宋体" w:eastAsia="宋体" w:hAnsi="宋体" w:cs="宋体"/>
          <w:spacing w:val="7"/>
          <w:sz w:val="22"/>
          <w:szCs w:val="22"/>
        </w:rPr>
        <w:t xml:space="preserve"> </w:t>
      </w:r>
      <w:r>
        <w:rPr>
          <w:rFonts w:ascii="宋体" w:eastAsia="宋体" w:hAnsi="宋体" w:cs="宋体"/>
          <w:spacing w:val="-8"/>
          <w:sz w:val="22"/>
          <w:szCs w:val="22"/>
        </w:rPr>
        <w:t>相似，所以影响脂肪酸</w:t>
      </w:r>
      <w:r>
        <w:rPr>
          <w:rFonts w:ascii="宋体" w:eastAsia="宋体" w:hAnsi="宋体" w:cs="宋体"/>
          <w:sz w:val="22"/>
          <w:szCs w:val="22"/>
        </w:rPr>
        <w:t xml:space="preserve"> </w:t>
      </w:r>
      <w:r>
        <w:rPr>
          <w:rFonts w:ascii="宋体" w:eastAsia="宋体" w:hAnsi="宋体" w:cs="宋体"/>
          <w:spacing w:val="-21"/>
          <w:sz w:val="22"/>
          <w:szCs w:val="22"/>
        </w:rPr>
        <w:t>的正常代谢，</w:t>
      </w:r>
    </w:p>
    <w:p w:rsidR="00EA40A3" w:rsidRDefault="00E86C16">
      <w:pPr>
        <w:spacing w:before="36" w:line="242" w:lineRule="auto"/>
        <w:ind w:right="50" w:firstLine="420"/>
        <w:jc w:val="both"/>
        <w:rPr>
          <w:rFonts w:ascii="宋体" w:eastAsia="宋体" w:hAnsi="宋体" w:cs="宋体"/>
          <w:sz w:val="22"/>
          <w:szCs w:val="22"/>
        </w:rPr>
      </w:pPr>
      <w:r>
        <w:rPr>
          <w:rFonts w:ascii="宋体" w:eastAsia="宋体" w:hAnsi="宋体" w:cs="宋体"/>
          <w:spacing w:val="-5"/>
          <w:sz w:val="22"/>
          <w:szCs w:val="22"/>
        </w:rPr>
        <w:t>(3)促进蛋白质的生物合成：维生素B</w:t>
      </w:r>
      <w:r>
        <w:rPr>
          <w:rFonts w:ascii="Calibri" w:eastAsia="Calibri" w:hAnsi="Calibri" w:cs="Calibri"/>
          <w:spacing w:val="-5"/>
          <w:sz w:val="22"/>
          <w:szCs w:val="22"/>
        </w:rPr>
        <w:t>₂</w:t>
      </w:r>
      <w:r>
        <w:rPr>
          <w:rFonts w:ascii="Calibri" w:eastAsia="Calibri" w:hAnsi="Calibri" w:cs="Calibri"/>
          <w:spacing w:val="7"/>
          <w:sz w:val="22"/>
          <w:szCs w:val="22"/>
        </w:rPr>
        <w:t xml:space="preserve">  </w:t>
      </w:r>
      <w:r>
        <w:rPr>
          <w:rFonts w:ascii="宋体" w:eastAsia="宋体" w:hAnsi="宋体" w:cs="宋体"/>
          <w:spacing w:val="-5"/>
          <w:sz w:val="22"/>
          <w:szCs w:val="22"/>
        </w:rPr>
        <w:t>能促进一些氨基酸的生物合成，其</w:t>
      </w:r>
      <w:r>
        <w:rPr>
          <w:rFonts w:ascii="宋体" w:eastAsia="宋体" w:hAnsi="宋体" w:cs="宋体"/>
          <w:sz w:val="22"/>
          <w:szCs w:val="22"/>
        </w:rPr>
        <w:t xml:space="preserve"> </w:t>
      </w:r>
      <w:r>
        <w:rPr>
          <w:rFonts w:ascii="宋体" w:eastAsia="宋体" w:hAnsi="宋体" w:cs="宋体"/>
          <w:spacing w:val="-11"/>
          <w:sz w:val="22"/>
          <w:szCs w:val="22"/>
        </w:rPr>
        <w:t>中包括蛋氨酸与谷氨酸等，因为它有活化氨基酸的作用和促进核酸的</w:t>
      </w:r>
      <w:r>
        <w:rPr>
          <w:rFonts w:ascii="宋体" w:eastAsia="宋体" w:hAnsi="宋体" w:cs="宋体"/>
          <w:spacing w:val="-12"/>
          <w:sz w:val="22"/>
          <w:szCs w:val="22"/>
        </w:rPr>
        <w:t>生物合成，</w:t>
      </w:r>
      <w:r>
        <w:rPr>
          <w:rFonts w:ascii="宋体" w:eastAsia="宋体" w:hAnsi="宋体" w:cs="宋体"/>
          <w:sz w:val="22"/>
          <w:szCs w:val="22"/>
        </w:rPr>
        <w:t xml:space="preserve"> </w:t>
      </w:r>
      <w:r>
        <w:rPr>
          <w:rFonts w:ascii="宋体" w:eastAsia="宋体" w:hAnsi="宋体" w:cs="宋体"/>
          <w:spacing w:val="-15"/>
          <w:sz w:val="22"/>
          <w:szCs w:val="22"/>
        </w:rPr>
        <w:t>故对各种蛋白质的合成有重要的作用。</w:t>
      </w:r>
    </w:p>
    <w:p w:rsidR="00EA40A3" w:rsidRDefault="00E86C16">
      <w:pPr>
        <w:spacing w:before="35" w:line="241" w:lineRule="auto"/>
        <w:ind w:right="100" w:firstLine="420"/>
        <w:jc w:val="both"/>
        <w:rPr>
          <w:rFonts w:ascii="宋体" w:eastAsia="宋体" w:hAnsi="宋体" w:cs="宋体"/>
          <w:sz w:val="22"/>
          <w:szCs w:val="22"/>
        </w:rPr>
      </w:pPr>
      <w:r>
        <w:rPr>
          <w:rFonts w:ascii="宋体" w:eastAsia="宋体" w:hAnsi="宋体" w:cs="宋体"/>
          <w:spacing w:val="-5"/>
          <w:sz w:val="22"/>
          <w:szCs w:val="22"/>
        </w:rPr>
        <w:t>(4)维持造血系统的正常功能状态：维生素</w:t>
      </w:r>
      <w:r>
        <w:rPr>
          <w:rFonts w:ascii="宋体" w:eastAsia="宋体" w:hAnsi="宋体" w:cs="宋体"/>
          <w:spacing w:val="-50"/>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₂</w:t>
      </w:r>
      <w:r>
        <w:rPr>
          <w:rFonts w:ascii="Calibri" w:eastAsia="Calibri" w:hAnsi="Calibri" w:cs="Calibri"/>
          <w:spacing w:val="5"/>
          <w:sz w:val="22"/>
          <w:szCs w:val="22"/>
        </w:rPr>
        <w:t xml:space="preserve">  </w:t>
      </w:r>
      <w:r>
        <w:rPr>
          <w:rFonts w:ascii="宋体" w:eastAsia="宋体" w:hAnsi="宋体" w:cs="宋体"/>
          <w:spacing w:val="-5"/>
          <w:sz w:val="22"/>
          <w:szCs w:val="22"/>
        </w:rPr>
        <w:t>能促进</w:t>
      </w:r>
      <w:r>
        <w:rPr>
          <w:rFonts w:ascii="宋体" w:eastAsia="宋体" w:hAnsi="宋体" w:cs="宋体"/>
          <w:spacing w:val="-53"/>
          <w:sz w:val="22"/>
          <w:szCs w:val="22"/>
        </w:rPr>
        <w:t xml:space="preserve"> </w:t>
      </w:r>
      <w:r>
        <w:rPr>
          <w:rFonts w:ascii="宋体" w:eastAsia="宋体" w:hAnsi="宋体" w:cs="宋体"/>
          <w:spacing w:val="-5"/>
          <w:sz w:val="22"/>
          <w:szCs w:val="22"/>
        </w:rPr>
        <w:t>DNA</w:t>
      </w:r>
      <w:r>
        <w:rPr>
          <w:rFonts w:ascii="宋体" w:eastAsia="宋体" w:hAnsi="宋体" w:cs="宋体"/>
          <w:spacing w:val="105"/>
          <w:sz w:val="22"/>
          <w:szCs w:val="22"/>
        </w:rPr>
        <w:t xml:space="preserve"> </w:t>
      </w:r>
      <w:r>
        <w:rPr>
          <w:rFonts w:ascii="宋体" w:eastAsia="宋体" w:hAnsi="宋体" w:cs="宋体"/>
          <w:spacing w:val="-5"/>
          <w:sz w:val="22"/>
          <w:szCs w:val="22"/>
        </w:rPr>
        <w:t>以及蛋白质的</w:t>
      </w:r>
      <w:r>
        <w:rPr>
          <w:rFonts w:ascii="宋体" w:eastAsia="宋体" w:hAnsi="宋体" w:cs="宋体"/>
          <w:sz w:val="22"/>
          <w:szCs w:val="22"/>
        </w:rPr>
        <w:t xml:space="preserve"> </w:t>
      </w:r>
      <w:r>
        <w:rPr>
          <w:rFonts w:ascii="宋体" w:eastAsia="宋体" w:hAnsi="宋体" w:cs="宋体"/>
          <w:spacing w:val="-13"/>
          <w:sz w:val="22"/>
          <w:szCs w:val="22"/>
        </w:rPr>
        <w:t>生物合成，使机体的造血系统处于正常状态，促进红细胞的发育和成熟。维生素</w:t>
      </w:r>
      <w:r>
        <w:rPr>
          <w:rFonts w:ascii="宋体" w:eastAsia="宋体" w:hAnsi="宋体" w:cs="宋体"/>
          <w:spacing w:val="13"/>
          <w:sz w:val="22"/>
          <w:szCs w:val="22"/>
        </w:rPr>
        <w:t xml:space="preserve"> </w:t>
      </w:r>
      <w:r>
        <w:rPr>
          <w:rFonts w:ascii="宋体" w:eastAsia="宋体" w:hAnsi="宋体" w:cs="宋体"/>
          <w:spacing w:val="-8"/>
          <w:sz w:val="22"/>
          <w:szCs w:val="22"/>
        </w:rPr>
        <w:t>B</w:t>
      </w:r>
      <w:r>
        <w:rPr>
          <w:rFonts w:ascii="Calibri" w:eastAsia="Calibri" w:hAnsi="Calibri" w:cs="Calibri"/>
          <w:spacing w:val="-8"/>
          <w:sz w:val="22"/>
          <w:szCs w:val="22"/>
        </w:rPr>
        <w:t>₂</w:t>
      </w:r>
      <w:r>
        <w:rPr>
          <w:rFonts w:ascii="Calibri" w:eastAsia="Calibri" w:hAnsi="Calibri" w:cs="Calibri"/>
          <w:spacing w:val="30"/>
          <w:sz w:val="22"/>
          <w:szCs w:val="22"/>
        </w:rPr>
        <w:t xml:space="preserve"> </w:t>
      </w:r>
      <w:r>
        <w:rPr>
          <w:rFonts w:ascii="宋体" w:eastAsia="宋体" w:hAnsi="宋体" w:cs="宋体"/>
          <w:spacing w:val="-8"/>
          <w:sz w:val="22"/>
          <w:szCs w:val="22"/>
        </w:rPr>
        <w:t>缺乏最终可导致核酸合成障碍，影响细胞分裂，结果产生巨幼红</w:t>
      </w:r>
      <w:r>
        <w:rPr>
          <w:rFonts w:ascii="宋体" w:eastAsia="宋体" w:hAnsi="宋体" w:cs="宋体"/>
          <w:spacing w:val="-9"/>
          <w:sz w:val="22"/>
          <w:szCs w:val="22"/>
        </w:rPr>
        <w:t>细胞性贫血</w:t>
      </w:r>
      <w:r>
        <w:rPr>
          <w:rFonts w:ascii="宋体" w:eastAsia="宋体" w:hAnsi="宋体" w:cs="宋体"/>
          <w:sz w:val="22"/>
          <w:szCs w:val="22"/>
        </w:rPr>
        <w:t xml:space="preserve"> </w:t>
      </w:r>
      <w:r>
        <w:rPr>
          <w:rFonts w:ascii="宋体" w:eastAsia="宋体" w:hAnsi="宋体" w:cs="宋体"/>
          <w:spacing w:val="-16"/>
          <w:sz w:val="22"/>
          <w:szCs w:val="22"/>
        </w:rPr>
        <w:t>(megaloblastic</w:t>
      </w:r>
      <w:r>
        <w:rPr>
          <w:rFonts w:ascii="宋体" w:eastAsia="宋体" w:hAnsi="宋体" w:cs="宋体"/>
          <w:sz w:val="22"/>
          <w:szCs w:val="22"/>
        </w:rPr>
        <w:t xml:space="preserve"> </w:t>
      </w:r>
      <w:r>
        <w:rPr>
          <w:rFonts w:ascii="宋体" w:eastAsia="宋体" w:hAnsi="宋体" w:cs="宋体"/>
          <w:spacing w:val="-16"/>
          <w:sz w:val="22"/>
          <w:szCs w:val="22"/>
        </w:rPr>
        <w:t>anemia),</w:t>
      </w:r>
      <w:r>
        <w:rPr>
          <w:rFonts w:ascii="宋体" w:eastAsia="宋体" w:hAnsi="宋体" w:cs="宋体"/>
          <w:spacing w:val="-40"/>
          <w:sz w:val="22"/>
          <w:szCs w:val="22"/>
        </w:rPr>
        <w:t xml:space="preserve"> </w:t>
      </w:r>
      <w:r>
        <w:rPr>
          <w:rFonts w:ascii="宋体" w:eastAsia="宋体" w:hAnsi="宋体" w:cs="宋体"/>
          <w:spacing w:val="-16"/>
          <w:sz w:val="22"/>
          <w:szCs w:val="22"/>
        </w:rPr>
        <w:t>即恶性贫血。</w:t>
      </w:r>
    </w:p>
    <w:p w:rsidR="00EA40A3" w:rsidRDefault="00E86C16">
      <w:pPr>
        <w:spacing w:before="54" w:line="245" w:lineRule="auto"/>
        <w:ind w:right="100" w:firstLine="420"/>
        <w:jc w:val="both"/>
        <w:rPr>
          <w:rFonts w:ascii="宋体" w:eastAsia="宋体" w:hAnsi="宋体" w:cs="宋体"/>
          <w:sz w:val="22"/>
          <w:szCs w:val="22"/>
        </w:rPr>
      </w:pPr>
      <w:r>
        <w:rPr>
          <w:rFonts w:ascii="宋体" w:eastAsia="宋体" w:hAnsi="宋体" w:cs="宋体"/>
          <w:spacing w:val="-6"/>
          <w:sz w:val="22"/>
          <w:szCs w:val="22"/>
        </w:rPr>
        <w:t>(5)对生殖系统的影响：近年来发现维生素</w:t>
      </w:r>
      <w:r>
        <w:rPr>
          <w:rFonts w:ascii="宋体" w:eastAsia="宋体" w:hAnsi="宋体" w:cs="宋体"/>
          <w:spacing w:val="-61"/>
          <w:sz w:val="22"/>
          <w:szCs w:val="22"/>
        </w:rPr>
        <w:t xml:space="preserve"> </w:t>
      </w:r>
      <w:r>
        <w:rPr>
          <w:rFonts w:ascii="宋体" w:eastAsia="宋体" w:hAnsi="宋体" w:cs="宋体"/>
          <w:spacing w:val="-6"/>
          <w:sz w:val="22"/>
          <w:szCs w:val="22"/>
        </w:rPr>
        <w:t>B</w:t>
      </w:r>
      <w:r>
        <w:rPr>
          <w:rFonts w:ascii="Calibri" w:eastAsia="Calibri" w:hAnsi="Calibri" w:cs="Calibri"/>
          <w:spacing w:val="-6"/>
          <w:sz w:val="22"/>
          <w:szCs w:val="22"/>
        </w:rPr>
        <w:t>₁₂</w:t>
      </w:r>
      <w:r>
        <w:rPr>
          <w:rFonts w:ascii="Calibri" w:eastAsia="Calibri" w:hAnsi="Calibri" w:cs="Calibri"/>
          <w:spacing w:val="-4"/>
          <w:sz w:val="22"/>
          <w:szCs w:val="22"/>
        </w:rPr>
        <w:t xml:space="preserve"> </w:t>
      </w:r>
      <w:r>
        <w:rPr>
          <w:rFonts w:ascii="宋体" w:eastAsia="宋体" w:hAnsi="宋体" w:cs="宋体"/>
          <w:spacing w:val="-7"/>
          <w:sz w:val="22"/>
          <w:szCs w:val="22"/>
        </w:rPr>
        <w:t>严重缺乏可致雄性生殖器官</w:t>
      </w:r>
      <w:r>
        <w:rPr>
          <w:rFonts w:ascii="宋体" w:eastAsia="宋体" w:hAnsi="宋体" w:cs="宋体"/>
          <w:sz w:val="22"/>
          <w:szCs w:val="22"/>
        </w:rPr>
        <w:t xml:space="preserve"> </w:t>
      </w:r>
      <w:r>
        <w:rPr>
          <w:rFonts w:ascii="宋体" w:eastAsia="宋体" w:hAnsi="宋体" w:cs="宋体"/>
          <w:spacing w:val="-10"/>
          <w:sz w:val="22"/>
          <w:szCs w:val="22"/>
        </w:rPr>
        <w:t>萎缩，生精功能发生障碍。许多研究证实维生素</w:t>
      </w:r>
      <w:r>
        <w:rPr>
          <w:rFonts w:ascii="宋体" w:eastAsia="宋体" w:hAnsi="宋体" w:cs="宋体"/>
          <w:spacing w:val="-50"/>
          <w:sz w:val="22"/>
          <w:szCs w:val="22"/>
        </w:rPr>
        <w:t xml:space="preserve"> </w:t>
      </w:r>
      <w:r>
        <w:rPr>
          <w:rFonts w:ascii="宋体" w:eastAsia="宋体" w:hAnsi="宋体" w:cs="宋体"/>
          <w:spacing w:val="-10"/>
          <w:sz w:val="22"/>
          <w:szCs w:val="22"/>
        </w:rPr>
        <w:t>B</w:t>
      </w:r>
      <w:r>
        <w:rPr>
          <w:rFonts w:ascii="Calibri" w:eastAsia="Calibri" w:hAnsi="Calibri" w:cs="Calibri"/>
          <w:spacing w:val="-10"/>
          <w:sz w:val="22"/>
          <w:szCs w:val="22"/>
        </w:rPr>
        <w:t>₂</w:t>
      </w:r>
      <w:r>
        <w:rPr>
          <w:rFonts w:ascii="Calibri" w:eastAsia="Calibri" w:hAnsi="Calibri" w:cs="Calibri"/>
          <w:spacing w:val="40"/>
          <w:sz w:val="22"/>
          <w:szCs w:val="22"/>
        </w:rPr>
        <w:t xml:space="preserve"> </w:t>
      </w:r>
      <w:r>
        <w:rPr>
          <w:rFonts w:ascii="宋体" w:eastAsia="宋体" w:hAnsi="宋体" w:cs="宋体"/>
          <w:spacing w:val="-10"/>
          <w:sz w:val="22"/>
          <w:szCs w:val="22"/>
        </w:rPr>
        <w:t>对生精功能的作用</w:t>
      </w:r>
      <w:r>
        <w:rPr>
          <w:rFonts w:ascii="宋体" w:eastAsia="宋体" w:hAnsi="宋体" w:cs="宋体"/>
          <w:spacing w:val="-11"/>
          <w:sz w:val="22"/>
          <w:szCs w:val="22"/>
        </w:rPr>
        <w:t>是促进精</w:t>
      </w:r>
      <w:r>
        <w:rPr>
          <w:rFonts w:ascii="宋体" w:eastAsia="宋体" w:hAnsi="宋体" w:cs="宋体"/>
          <w:sz w:val="22"/>
          <w:szCs w:val="22"/>
        </w:rPr>
        <w:t xml:space="preserve"> </w:t>
      </w:r>
      <w:r>
        <w:rPr>
          <w:rFonts w:ascii="宋体" w:eastAsia="宋体" w:hAnsi="宋体" w:cs="宋体"/>
          <w:spacing w:val="-7"/>
          <w:sz w:val="22"/>
          <w:szCs w:val="22"/>
        </w:rPr>
        <w:t>原细胞、精母细胞内RNA</w:t>
      </w:r>
      <w:r>
        <w:rPr>
          <w:rFonts w:ascii="宋体" w:eastAsia="宋体" w:hAnsi="宋体" w:cs="宋体"/>
          <w:spacing w:val="90"/>
          <w:sz w:val="22"/>
          <w:szCs w:val="22"/>
        </w:rPr>
        <w:t xml:space="preserve"> </w:t>
      </w:r>
      <w:r>
        <w:rPr>
          <w:rFonts w:ascii="宋体" w:eastAsia="宋体" w:hAnsi="宋体" w:cs="宋体"/>
          <w:spacing w:val="-7"/>
          <w:sz w:val="22"/>
          <w:szCs w:val="22"/>
        </w:rPr>
        <w:t>及</w:t>
      </w:r>
      <w:r>
        <w:rPr>
          <w:rFonts w:ascii="宋体" w:eastAsia="宋体" w:hAnsi="宋体" w:cs="宋体"/>
          <w:spacing w:val="-62"/>
          <w:sz w:val="22"/>
          <w:szCs w:val="22"/>
        </w:rPr>
        <w:t xml:space="preserve"> </w:t>
      </w:r>
      <w:r>
        <w:rPr>
          <w:rFonts w:ascii="宋体" w:eastAsia="宋体" w:hAnsi="宋体" w:cs="宋体"/>
          <w:spacing w:val="-7"/>
          <w:sz w:val="22"/>
          <w:szCs w:val="22"/>
        </w:rPr>
        <w:t>DNA</w:t>
      </w:r>
      <w:r>
        <w:rPr>
          <w:rFonts w:ascii="宋体" w:eastAsia="宋体" w:hAnsi="宋体" w:cs="宋体"/>
          <w:spacing w:val="104"/>
          <w:sz w:val="22"/>
          <w:szCs w:val="22"/>
        </w:rPr>
        <w:t xml:space="preserve"> </w:t>
      </w:r>
      <w:r>
        <w:rPr>
          <w:rFonts w:ascii="宋体" w:eastAsia="宋体" w:hAnsi="宋体" w:cs="宋体"/>
          <w:spacing w:val="-7"/>
          <w:sz w:val="22"/>
          <w:szCs w:val="22"/>
        </w:rPr>
        <w:t>的合成，从而刺激精细胞分裂和成熟，使健</w:t>
      </w:r>
      <w:r>
        <w:rPr>
          <w:rFonts w:ascii="宋体" w:eastAsia="宋体" w:hAnsi="宋体" w:cs="宋体"/>
          <w:sz w:val="22"/>
          <w:szCs w:val="22"/>
        </w:rPr>
        <w:t xml:space="preserve"> </w:t>
      </w:r>
      <w:r>
        <w:rPr>
          <w:rFonts w:ascii="宋体" w:eastAsia="宋体" w:hAnsi="宋体" w:cs="宋体"/>
          <w:spacing w:val="-8"/>
          <w:sz w:val="22"/>
          <w:szCs w:val="22"/>
        </w:rPr>
        <w:t>康的精子得以生成。因此，维生素B</w:t>
      </w:r>
      <w:r>
        <w:rPr>
          <w:rFonts w:ascii="Calibri" w:eastAsia="Calibri" w:hAnsi="Calibri" w:cs="Calibri"/>
          <w:spacing w:val="-8"/>
          <w:sz w:val="22"/>
          <w:szCs w:val="22"/>
        </w:rPr>
        <w:t>₂</w:t>
      </w:r>
      <w:r>
        <w:rPr>
          <w:rFonts w:ascii="Calibri" w:eastAsia="Calibri" w:hAnsi="Calibri" w:cs="Calibri"/>
          <w:spacing w:val="5"/>
          <w:sz w:val="22"/>
          <w:szCs w:val="22"/>
        </w:rPr>
        <w:t xml:space="preserve">  </w:t>
      </w:r>
      <w:r>
        <w:rPr>
          <w:rFonts w:ascii="宋体" w:eastAsia="宋体" w:hAnsi="宋体" w:cs="宋体"/>
          <w:spacing w:val="-8"/>
          <w:sz w:val="22"/>
          <w:szCs w:val="22"/>
        </w:rPr>
        <w:t>除了对</w:t>
      </w:r>
      <w:r>
        <w:rPr>
          <w:rFonts w:ascii="宋体" w:eastAsia="宋体" w:hAnsi="宋体" w:cs="宋体"/>
          <w:spacing w:val="-9"/>
          <w:sz w:val="22"/>
          <w:szCs w:val="22"/>
        </w:rPr>
        <w:t>因其本身缺乏而引起的生精功能障</w:t>
      </w:r>
      <w:r>
        <w:rPr>
          <w:rFonts w:ascii="宋体" w:eastAsia="宋体" w:hAnsi="宋体" w:cs="宋体"/>
          <w:sz w:val="22"/>
          <w:szCs w:val="22"/>
        </w:rPr>
        <w:t xml:space="preserve"> </w:t>
      </w:r>
      <w:r>
        <w:rPr>
          <w:rFonts w:ascii="宋体" w:eastAsia="宋体" w:hAnsi="宋体" w:cs="宋体"/>
          <w:spacing w:val="-13"/>
          <w:sz w:val="22"/>
          <w:szCs w:val="22"/>
        </w:rPr>
        <w:t>碍有治疗作用外，对其他原因造成的男子不育症也有一定治疗作用。</w:t>
      </w:r>
    </w:p>
    <w:p w:rsidR="00EA40A3" w:rsidRDefault="00E86C16">
      <w:pPr>
        <w:spacing w:before="264" w:line="220" w:lineRule="auto"/>
        <w:rPr>
          <w:rFonts w:ascii="仿宋" w:eastAsia="仿宋" w:hAnsi="仿宋" w:cs="仿宋"/>
          <w:sz w:val="22"/>
          <w:szCs w:val="22"/>
        </w:rPr>
      </w:pPr>
      <w:r>
        <w:rPr>
          <w:rFonts w:ascii="仿宋" w:eastAsia="仿宋" w:hAnsi="仿宋" w:cs="仿宋"/>
          <w:spacing w:val="11"/>
          <w:sz w:val="22"/>
          <w:szCs w:val="22"/>
        </w:rPr>
        <w:t>4.</w:t>
      </w:r>
      <w:r>
        <w:rPr>
          <w:rFonts w:ascii="仿宋" w:eastAsia="仿宋" w:hAnsi="仿宋" w:cs="仿宋"/>
          <w:spacing w:val="-51"/>
          <w:sz w:val="22"/>
          <w:szCs w:val="22"/>
        </w:rPr>
        <w:t xml:space="preserve"> </w:t>
      </w:r>
      <w:r>
        <w:rPr>
          <w:rFonts w:ascii="仿宋" w:eastAsia="仿宋" w:hAnsi="仿宋" w:cs="仿宋"/>
          <w:spacing w:val="11"/>
          <w:sz w:val="22"/>
          <w:szCs w:val="22"/>
        </w:rPr>
        <w:t>维生素</w:t>
      </w:r>
      <w:r>
        <w:rPr>
          <w:rFonts w:ascii="仿宋" w:eastAsia="仿宋" w:hAnsi="仿宋" w:cs="仿宋"/>
          <w:spacing w:val="-53"/>
          <w:sz w:val="22"/>
          <w:szCs w:val="22"/>
        </w:rPr>
        <w:t xml:space="preserve"> </w:t>
      </w:r>
      <w:r>
        <w:rPr>
          <w:rFonts w:ascii="仿宋" w:eastAsia="仿宋" w:hAnsi="仿宋" w:cs="仿宋"/>
          <w:spacing w:val="11"/>
          <w:sz w:val="22"/>
          <w:szCs w:val="22"/>
        </w:rPr>
        <w:t>B</w:t>
      </w:r>
      <w:r>
        <w:rPr>
          <w:rFonts w:ascii="Calibri" w:eastAsia="Calibri" w:hAnsi="Calibri" w:cs="Calibri"/>
          <w:spacing w:val="11"/>
          <w:sz w:val="22"/>
          <w:szCs w:val="22"/>
        </w:rPr>
        <w:t>₂</w:t>
      </w:r>
      <w:r>
        <w:rPr>
          <w:rFonts w:ascii="Calibri" w:eastAsia="Calibri" w:hAnsi="Calibri" w:cs="Calibri"/>
          <w:spacing w:val="15"/>
          <w:sz w:val="22"/>
          <w:szCs w:val="22"/>
        </w:rPr>
        <w:t xml:space="preserve">  </w:t>
      </w:r>
      <w:r>
        <w:rPr>
          <w:rFonts w:ascii="仿宋" w:eastAsia="仿宋" w:hAnsi="仿宋" w:cs="仿宋"/>
          <w:spacing w:val="11"/>
          <w:sz w:val="22"/>
          <w:szCs w:val="22"/>
        </w:rPr>
        <w:t>缺乏症与过量毒性</w:t>
      </w:r>
    </w:p>
    <w:p w:rsidR="00EA40A3" w:rsidRDefault="00E86C16">
      <w:pPr>
        <w:spacing w:before="216" w:line="249" w:lineRule="auto"/>
        <w:ind w:right="34" w:firstLine="420"/>
        <w:jc w:val="both"/>
        <w:rPr>
          <w:rFonts w:ascii="宋体" w:eastAsia="宋体" w:hAnsi="宋体" w:cs="宋体"/>
          <w:sz w:val="22"/>
          <w:szCs w:val="22"/>
        </w:rPr>
      </w:pPr>
      <w:r>
        <w:rPr>
          <w:rFonts w:ascii="宋体" w:eastAsia="宋体" w:hAnsi="宋体" w:cs="宋体"/>
          <w:spacing w:val="-8"/>
          <w:sz w:val="22"/>
          <w:szCs w:val="22"/>
        </w:rPr>
        <w:t>维生素B</w:t>
      </w:r>
      <w:r>
        <w:rPr>
          <w:rFonts w:ascii="Calibri" w:eastAsia="Calibri" w:hAnsi="Calibri" w:cs="Calibri"/>
          <w:spacing w:val="-8"/>
          <w:sz w:val="22"/>
          <w:szCs w:val="22"/>
        </w:rPr>
        <w:t>₂</w:t>
      </w:r>
      <w:r>
        <w:rPr>
          <w:rFonts w:ascii="Calibri" w:eastAsia="Calibri" w:hAnsi="Calibri" w:cs="Calibri"/>
          <w:spacing w:val="5"/>
          <w:sz w:val="22"/>
          <w:szCs w:val="22"/>
        </w:rPr>
        <w:t xml:space="preserve">  </w:t>
      </w:r>
      <w:r>
        <w:rPr>
          <w:rFonts w:ascii="宋体" w:eastAsia="宋体" w:hAnsi="宋体" w:cs="宋体"/>
          <w:spacing w:val="-8"/>
          <w:sz w:val="22"/>
          <w:szCs w:val="22"/>
        </w:rPr>
        <w:t>的缺乏主要是由于胃黏膜缺乏分泌内因子的能力或其他</w:t>
      </w:r>
      <w:r>
        <w:rPr>
          <w:rFonts w:ascii="宋体" w:eastAsia="宋体" w:hAnsi="宋体" w:cs="宋体"/>
          <w:spacing w:val="-9"/>
          <w:sz w:val="22"/>
          <w:szCs w:val="22"/>
        </w:rPr>
        <w:t>慢性腹泻</w:t>
      </w:r>
      <w:r>
        <w:rPr>
          <w:rFonts w:ascii="宋体" w:eastAsia="宋体" w:hAnsi="宋体" w:cs="宋体"/>
          <w:sz w:val="22"/>
          <w:szCs w:val="22"/>
        </w:rPr>
        <w:t xml:space="preserve"> </w:t>
      </w:r>
      <w:r>
        <w:rPr>
          <w:rFonts w:ascii="宋体" w:eastAsia="宋体" w:hAnsi="宋体" w:cs="宋体"/>
          <w:spacing w:val="-2"/>
          <w:sz w:val="22"/>
          <w:szCs w:val="22"/>
        </w:rPr>
        <w:t>疾病、寄生虫感染等引起维生素B</w:t>
      </w:r>
      <w:r>
        <w:rPr>
          <w:rFonts w:ascii="Calibri" w:eastAsia="Calibri" w:hAnsi="Calibri" w:cs="Calibri"/>
          <w:spacing w:val="-2"/>
          <w:sz w:val="22"/>
          <w:szCs w:val="22"/>
        </w:rPr>
        <w:t>₂</w:t>
      </w:r>
      <w:r>
        <w:rPr>
          <w:rFonts w:ascii="Calibri" w:eastAsia="Calibri" w:hAnsi="Calibri" w:cs="Calibri"/>
          <w:spacing w:val="5"/>
          <w:sz w:val="22"/>
          <w:szCs w:val="22"/>
        </w:rPr>
        <w:t xml:space="preserve">  </w:t>
      </w:r>
      <w:r>
        <w:rPr>
          <w:rFonts w:ascii="宋体" w:eastAsia="宋体" w:hAnsi="宋体" w:cs="宋体"/>
          <w:spacing w:val="-2"/>
          <w:sz w:val="22"/>
          <w:szCs w:val="22"/>
        </w:rPr>
        <w:t>吸收(或再吸收)不良所造成的。此</w:t>
      </w:r>
      <w:r>
        <w:rPr>
          <w:rFonts w:ascii="宋体" w:eastAsia="宋体" w:hAnsi="宋体" w:cs="宋体"/>
          <w:spacing w:val="-3"/>
          <w:sz w:val="22"/>
          <w:szCs w:val="22"/>
        </w:rPr>
        <w:t>外，有</w:t>
      </w:r>
      <w:r>
        <w:rPr>
          <w:rFonts w:ascii="宋体" w:eastAsia="宋体" w:hAnsi="宋体" w:cs="宋体"/>
          <w:sz w:val="22"/>
          <w:szCs w:val="22"/>
        </w:rPr>
        <w:t xml:space="preserve"> </w:t>
      </w:r>
      <w:r>
        <w:rPr>
          <w:rFonts w:ascii="宋体" w:eastAsia="宋体" w:hAnsi="宋体" w:cs="宋体"/>
          <w:spacing w:val="-15"/>
          <w:sz w:val="22"/>
          <w:szCs w:val="22"/>
        </w:rPr>
        <w:t>些药物，如慢释钾</w:t>
      </w:r>
      <w:r>
        <w:rPr>
          <w:rFonts w:ascii="宋体" w:eastAsia="宋体" w:hAnsi="宋体" w:cs="宋体"/>
          <w:spacing w:val="-17"/>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slow</w:t>
      </w:r>
      <w:r>
        <w:rPr>
          <w:rFonts w:ascii="宋体" w:eastAsia="宋体" w:hAnsi="宋体" w:cs="宋体"/>
          <w:spacing w:val="-7"/>
          <w:sz w:val="22"/>
          <w:szCs w:val="22"/>
        </w:rPr>
        <w:t xml:space="preserve"> </w:t>
      </w:r>
      <w:r>
        <w:rPr>
          <w:rFonts w:ascii="宋体" w:eastAsia="宋体" w:hAnsi="宋体" w:cs="宋体"/>
          <w:spacing w:val="-14"/>
          <w:sz w:val="22"/>
          <w:szCs w:val="22"/>
        </w:rPr>
        <w:t>release</w:t>
      </w:r>
      <w:r>
        <w:rPr>
          <w:rFonts w:ascii="宋体" w:eastAsia="宋体" w:hAnsi="宋体" w:cs="宋体"/>
          <w:spacing w:val="-8"/>
          <w:sz w:val="22"/>
          <w:szCs w:val="22"/>
        </w:rPr>
        <w:t xml:space="preserve"> </w:t>
      </w:r>
      <w:r>
        <w:rPr>
          <w:rFonts w:ascii="宋体" w:eastAsia="宋体" w:hAnsi="宋体" w:cs="宋体"/>
          <w:spacing w:val="-14"/>
          <w:sz w:val="22"/>
          <w:szCs w:val="22"/>
        </w:rPr>
        <w:t>potassium</w:t>
      </w:r>
      <w:r>
        <w:rPr>
          <w:rFonts w:ascii="宋体" w:eastAsia="宋体" w:hAnsi="宋体" w:cs="宋体"/>
          <w:spacing w:val="-15"/>
          <w:sz w:val="22"/>
          <w:szCs w:val="22"/>
        </w:rPr>
        <w:t>)</w:t>
      </w:r>
      <w:r>
        <w:rPr>
          <w:rFonts w:ascii="宋体" w:eastAsia="宋体" w:hAnsi="宋体" w:cs="宋体"/>
          <w:spacing w:val="-53"/>
          <w:sz w:val="22"/>
          <w:szCs w:val="22"/>
        </w:rPr>
        <w:t xml:space="preserve"> </w:t>
      </w:r>
      <w:r>
        <w:rPr>
          <w:rFonts w:ascii="宋体" w:eastAsia="宋体" w:hAnsi="宋体" w:cs="宋体"/>
          <w:spacing w:val="-15"/>
          <w:sz w:val="22"/>
          <w:szCs w:val="22"/>
        </w:rPr>
        <w:t>及秋水仙碱</w:t>
      </w:r>
      <w:r>
        <w:rPr>
          <w:rFonts w:ascii="宋体" w:eastAsia="宋体" w:hAnsi="宋体" w:cs="宋体"/>
          <w:spacing w:val="-18"/>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c</w:t>
      </w:r>
      <w:r>
        <w:rPr>
          <w:rFonts w:ascii="宋体" w:eastAsia="宋体" w:hAnsi="宋体" w:cs="宋体"/>
          <w:spacing w:val="-15"/>
          <w:sz w:val="22"/>
          <w:szCs w:val="22"/>
        </w:rPr>
        <w:t>olchicine)</w:t>
      </w:r>
      <w:r>
        <w:rPr>
          <w:rFonts w:ascii="宋体" w:eastAsia="宋体" w:hAnsi="宋体" w:cs="宋体"/>
          <w:spacing w:val="-31"/>
          <w:sz w:val="22"/>
          <w:szCs w:val="22"/>
        </w:rPr>
        <w:t xml:space="preserve"> </w:t>
      </w:r>
      <w:r>
        <w:rPr>
          <w:rFonts w:ascii="宋体" w:eastAsia="宋体" w:hAnsi="宋体" w:cs="宋体"/>
          <w:spacing w:val="-15"/>
          <w:sz w:val="22"/>
          <w:szCs w:val="22"/>
        </w:rPr>
        <w:t>等可特异</w:t>
      </w:r>
      <w:r>
        <w:rPr>
          <w:rFonts w:ascii="宋体" w:eastAsia="宋体" w:hAnsi="宋体" w:cs="宋体"/>
          <w:sz w:val="22"/>
          <w:szCs w:val="22"/>
        </w:rPr>
        <w:t xml:space="preserve"> </w:t>
      </w:r>
      <w:r>
        <w:rPr>
          <w:rFonts w:ascii="宋体" w:eastAsia="宋体" w:hAnsi="宋体" w:cs="宋体"/>
          <w:spacing w:val="-11"/>
          <w:sz w:val="22"/>
          <w:szCs w:val="22"/>
        </w:rPr>
        <w:t>性地阻碍维生素B</w:t>
      </w:r>
      <w:r>
        <w:rPr>
          <w:rFonts w:ascii="Calibri" w:eastAsia="Calibri" w:hAnsi="Calibri" w:cs="Calibri"/>
          <w:spacing w:val="-11"/>
          <w:sz w:val="22"/>
          <w:szCs w:val="22"/>
        </w:rPr>
        <w:t>₂</w:t>
      </w:r>
      <w:r>
        <w:rPr>
          <w:rFonts w:ascii="Calibri" w:eastAsia="Calibri" w:hAnsi="Calibri" w:cs="Calibri"/>
          <w:sz w:val="22"/>
          <w:szCs w:val="22"/>
        </w:rPr>
        <w:t xml:space="preserve">  </w:t>
      </w:r>
      <w:r>
        <w:rPr>
          <w:rFonts w:ascii="宋体" w:eastAsia="宋体" w:hAnsi="宋体" w:cs="宋体"/>
          <w:spacing w:val="-11"/>
          <w:sz w:val="22"/>
          <w:szCs w:val="22"/>
        </w:rPr>
        <w:t>吸收。缺乏的表现有：①巨幼红细胞贫血：缺乏维</w:t>
      </w:r>
      <w:r>
        <w:rPr>
          <w:rFonts w:ascii="宋体" w:eastAsia="宋体" w:hAnsi="宋体" w:cs="宋体"/>
          <w:spacing w:val="-12"/>
          <w:sz w:val="22"/>
          <w:szCs w:val="22"/>
        </w:rPr>
        <w:t>生素B</w:t>
      </w:r>
      <w:r>
        <w:rPr>
          <w:rFonts w:ascii="Calibri" w:eastAsia="Calibri" w:hAnsi="Calibri" w:cs="Calibri"/>
          <w:spacing w:val="-12"/>
          <w:sz w:val="22"/>
          <w:szCs w:val="22"/>
        </w:rPr>
        <w:t>₂</w:t>
      </w:r>
      <w:r>
        <w:rPr>
          <w:rFonts w:ascii="Calibri" w:eastAsia="Calibri" w:hAnsi="Calibri" w:cs="Calibri"/>
          <w:sz w:val="22"/>
          <w:szCs w:val="22"/>
        </w:rPr>
        <w:t xml:space="preserve">  </w:t>
      </w:r>
      <w:r>
        <w:rPr>
          <w:rFonts w:ascii="宋体" w:eastAsia="宋体" w:hAnsi="宋体" w:cs="宋体"/>
          <w:spacing w:val="-12"/>
          <w:sz w:val="22"/>
          <w:szCs w:val="22"/>
        </w:rPr>
        <w:t>可</w:t>
      </w:r>
      <w:r>
        <w:rPr>
          <w:rFonts w:ascii="宋体" w:eastAsia="宋体" w:hAnsi="宋体" w:cs="宋体"/>
          <w:sz w:val="22"/>
          <w:szCs w:val="22"/>
        </w:rPr>
        <w:t xml:space="preserve">  </w:t>
      </w:r>
      <w:r>
        <w:rPr>
          <w:rFonts w:ascii="宋体" w:eastAsia="宋体" w:hAnsi="宋体" w:cs="宋体"/>
          <w:spacing w:val="-14"/>
          <w:sz w:val="22"/>
          <w:szCs w:val="22"/>
        </w:rPr>
        <w:t>能影响到体内的所有细胞，但对细胞分裂快的组织影响最为严重，如影响骨髓的</w:t>
      </w:r>
      <w:r>
        <w:rPr>
          <w:rFonts w:ascii="宋体" w:eastAsia="宋体" w:hAnsi="宋体" w:cs="宋体"/>
          <w:spacing w:val="2"/>
          <w:sz w:val="22"/>
          <w:szCs w:val="22"/>
        </w:rPr>
        <w:t xml:space="preserve">  </w:t>
      </w:r>
      <w:r>
        <w:rPr>
          <w:rFonts w:ascii="宋体" w:eastAsia="宋体" w:hAnsi="宋体" w:cs="宋体"/>
          <w:spacing w:val="-14"/>
          <w:sz w:val="22"/>
          <w:szCs w:val="22"/>
        </w:rPr>
        <w:t>生血组织可产生巨幼红细胞性贫血，即所谓恶性贫血。②神经系统的损害：维</w:t>
      </w:r>
      <w:r>
        <w:rPr>
          <w:rFonts w:ascii="宋体" w:eastAsia="宋体" w:hAnsi="宋体" w:cs="宋体"/>
          <w:spacing w:val="-15"/>
          <w:sz w:val="22"/>
          <w:szCs w:val="22"/>
        </w:rPr>
        <w:t>生</w:t>
      </w:r>
      <w:r>
        <w:rPr>
          <w:rFonts w:ascii="宋体" w:eastAsia="宋体" w:hAnsi="宋体" w:cs="宋体"/>
          <w:sz w:val="22"/>
          <w:szCs w:val="22"/>
        </w:rPr>
        <w:t xml:space="preserve">  </w:t>
      </w:r>
      <w:r>
        <w:rPr>
          <w:rFonts w:ascii="宋体" w:eastAsia="宋体" w:hAnsi="宋体" w:cs="宋体"/>
          <w:spacing w:val="-8"/>
          <w:sz w:val="22"/>
          <w:szCs w:val="22"/>
        </w:rPr>
        <w:t>素B</w:t>
      </w:r>
      <w:r>
        <w:rPr>
          <w:rFonts w:ascii="Calibri" w:eastAsia="Calibri" w:hAnsi="Calibri" w:cs="Calibri"/>
          <w:spacing w:val="-8"/>
          <w:sz w:val="22"/>
          <w:szCs w:val="22"/>
        </w:rPr>
        <w:t>₂</w:t>
      </w:r>
      <w:r>
        <w:rPr>
          <w:rFonts w:ascii="Calibri" w:eastAsia="Calibri" w:hAnsi="Calibri" w:cs="Calibri"/>
          <w:spacing w:val="51"/>
          <w:w w:val="101"/>
          <w:sz w:val="22"/>
          <w:szCs w:val="22"/>
        </w:rPr>
        <w:t xml:space="preserve"> </w:t>
      </w:r>
      <w:r>
        <w:rPr>
          <w:rFonts w:ascii="宋体" w:eastAsia="宋体" w:hAnsi="宋体" w:cs="宋体"/>
          <w:spacing w:val="-8"/>
          <w:sz w:val="22"/>
          <w:szCs w:val="22"/>
        </w:rPr>
        <w:t>缺乏通过阻抑甲基化反应而引起神经系统损害，表现为斑状、弥漫性的神</w:t>
      </w:r>
      <w:r>
        <w:rPr>
          <w:rFonts w:ascii="宋体" w:eastAsia="宋体" w:hAnsi="宋体" w:cs="宋体"/>
          <w:sz w:val="22"/>
          <w:szCs w:val="22"/>
        </w:rPr>
        <w:t xml:space="preserve"> </w:t>
      </w:r>
      <w:r>
        <w:rPr>
          <w:rFonts w:ascii="宋体" w:eastAsia="宋体" w:hAnsi="宋体" w:cs="宋体"/>
          <w:spacing w:val="-14"/>
          <w:sz w:val="22"/>
          <w:szCs w:val="22"/>
        </w:rPr>
        <w:t>经脱髓鞘，由末梢神经开始逐渐向中心发展累及脊髓和大脑，形成亚急性复</w:t>
      </w:r>
      <w:r>
        <w:rPr>
          <w:rFonts w:ascii="宋体" w:eastAsia="宋体" w:hAnsi="宋体" w:cs="宋体"/>
          <w:spacing w:val="-15"/>
          <w:sz w:val="22"/>
          <w:szCs w:val="22"/>
        </w:rPr>
        <w:t>合变</w:t>
      </w:r>
      <w:r>
        <w:rPr>
          <w:rFonts w:ascii="宋体" w:eastAsia="宋体" w:hAnsi="宋体" w:cs="宋体"/>
          <w:sz w:val="22"/>
          <w:szCs w:val="22"/>
        </w:rPr>
        <w:t xml:space="preserve">  </w:t>
      </w:r>
      <w:r>
        <w:rPr>
          <w:rFonts w:ascii="宋体" w:eastAsia="宋体" w:hAnsi="宋体" w:cs="宋体"/>
          <w:spacing w:val="-7"/>
          <w:sz w:val="22"/>
          <w:szCs w:val="22"/>
        </w:rPr>
        <w:t>性，出现精神抑郁、记忆力下降、四肢震颤等神经症状。③高同型半胱氨酸血</w:t>
      </w:r>
      <w:r>
        <w:rPr>
          <w:rFonts w:ascii="宋体" w:eastAsia="宋体" w:hAnsi="宋体" w:cs="宋体"/>
          <w:spacing w:val="16"/>
          <w:sz w:val="22"/>
          <w:szCs w:val="22"/>
        </w:rPr>
        <w:t xml:space="preserve"> </w:t>
      </w:r>
      <w:r>
        <w:rPr>
          <w:rFonts w:ascii="宋体" w:eastAsia="宋体" w:hAnsi="宋体" w:cs="宋体"/>
          <w:spacing w:val="-7"/>
          <w:sz w:val="22"/>
          <w:szCs w:val="22"/>
        </w:rPr>
        <w:t>症：血中同型半胱氨酸增高是心血管病的危险因素，膳食中维生素B</w:t>
      </w:r>
      <w:r>
        <w:rPr>
          <w:rFonts w:ascii="Calibri" w:eastAsia="Calibri" w:hAnsi="Calibri" w:cs="Calibri"/>
          <w:spacing w:val="-7"/>
          <w:sz w:val="22"/>
          <w:szCs w:val="22"/>
        </w:rPr>
        <w:t>₂</w:t>
      </w:r>
      <w:r>
        <w:rPr>
          <w:rFonts w:ascii="Calibri" w:eastAsia="Calibri" w:hAnsi="Calibri" w:cs="Calibri"/>
          <w:spacing w:val="-24"/>
          <w:sz w:val="22"/>
          <w:szCs w:val="22"/>
        </w:rPr>
        <w:t xml:space="preserve"> </w:t>
      </w:r>
      <w:r>
        <w:rPr>
          <w:rFonts w:ascii="宋体" w:eastAsia="宋体" w:hAnsi="宋体" w:cs="宋体"/>
          <w:spacing w:val="-7"/>
          <w:sz w:val="22"/>
          <w:szCs w:val="22"/>
        </w:rPr>
        <w:t>、</w:t>
      </w:r>
      <w:r>
        <w:rPr>
          <w:rFonts w:ascii="宋体" w:eastAsia="宋体" w:hAnsi="宋体" w:cs="宋体"/>
          <w:spacing w:val="-10"/>
          <w:sz w:val="22"/>
          <w:szCs w:val="22"/>
        </w:rPr>
        <w:t xml:space="preserve"> </w:t>
      </w:r>
      <w:r>
        <w:rPr>
          <w:rFonts w:ascii="宋体" w:eastAsia="宋体" w:hAnsi="宋体" w:cs="宋体"/>
          <w:spacing w:val="-7"/>
          <w:sz w:val="22"/>
          <w:szCs w:val="22"/>
        </w:rPr>
        <w:t>叶酸、</w:t>
      </w:r>
      <w:r>
        <w:rPr>
          <w:rFonts w:ascii="宋体" w:eastAsia="宋体" w:hAnsi="宋体" w:cs="宋体"/>
          <w:sz w:val="22"/>
          <w:szCs w:val="22"/>
        </w:rPr>
        <w:t xml:space="preserve"> </w:t>
      </w:r>
      <w:r>
        <w:rPr>
          <w:rFonts w:ascii="宋体" w:eastAsia="宋体" w:hAnsi="宋体" w:cs="宋体"/>
          <w:spacing w:val="-11"/>
          <w:sz w:val="22"/>
          <w:szCs w:val="22"/>
        </w:rPr>
        <w:t>维生素B。缺乏都可引起同型半胱氨酸血症，维生素B</w:t>
      </w:r>
      <w:r>
        <w:rPr>
          <w:rFonts w:ascii="Calibri" w:eastAsia="Calibri" w:hAnsi="Calibri" w:cs="Calibri"/>
          <w:spacing w:val="-11"/>
          <w:sz w:val="22"/>
          <w:szCs w:val="22"/>
        </w:rPr>
        <w:t>₂</w:t>
      </w:r>
      <w:r>
        <w:rPr>
          <w:rFonts w:ascii="Calibri" w:eastAsia="Calibri" w:hAnsi="Calibri" w:cs="Calibri"/>
          <w:spacing w:val="49"/>
          <w:w w:val="101"/>
          <w:sz w:val="22"/>
          <w:szCs w:val="22"/>
        </w:rPr>
        <w:t xml:space="preserve"> </w:t>
      </w:r>
      <w:r>
        <w:rPr>
          <w:rFonts w:ascii="宋体" w:eastAsia="宋体" w:hAnsi="宋体" w:cs="宋体"/>
          <w:spacing w:val="-11"/>
          <w:sz w:val="22"/>
          <w:szCs w:val="22"/>
        </w:rPr>
        <w:t>缺乏时抑制蛋氨酸合成酶</w:t>
      </w:r>
      <w:r>
        <w:rPr>
          <w:rFonts w:ascii="宋体" w:eastAsia="宋体" w:hAnsi="宋体" w:cs="宋体"/>
          <w:sz w:val="22"/>
          <w:szCs w:val="22"/>
        </w:rPr>
        <w:t xml:space="preserve"> </w:t>
      </w:r>
      <w:r>
        <w:rPr>
          <w:rFonts w:ascii="宋体" w:eastAsia="宋体" w:hAnsi="宋体" w:cs="宋体"/>
          <w:spacing w:val="-13"/>
          <w:sz w:val="22"/>
          <w:szCs w:val="22"/>
        </w:rPr>
        <w:t>的作用，使同型半胱氨酸转变成蛋氨酸的过程受阻而堆积体内，可促使心脏病发</w:t>
      </w:r>
      <w:r>
        <w:rPr>
          <w:rFonts w:ascii="宋体" w:eastAsia="宋体" w:hAnsi="宋体" w:cs="宋体"/>
          <w:spacing w:val="13"/>
          <w:sz w:val="22"/>
          <w:szCs w:val="22"/>
        </w:rPr>
        <w:t xml:space="preserve"> </w:t>
      </w:r>
      <w:r>
        <w:rPr>
          <w:rFonts w:ascii="宋体" w:eastAsia="宋体" w:hAnsi="宋体" w:cs="宋体"/>
          <w:spacing w:val="-15"/>
          <w:sz w:val="22"/>
          <w:szCs w:val="22"/>
        </w:rPr>
        <w:t>作、栓塞性脑卒中和周围血管阻塞。</w:t>
      </w:r>
    </w:p>
    <w:p w:rsidR="00EA40A3" w:rsidRDefault="00E86C16">
      <w:pPr>
        <w:spacing w:before="121" w:line="214" w:lineRule="auto"/>
        <w:ind w:left="420"/>
        <w:rPr>
          <w:rFonts w:ascii="宋体" w:eastAsia="宋体" w:hAnsi="宋体" w:cs="宋体"/>
          <w:sz w:val="22"/>
          <w:szCs w:val="22"/>
        </w:rPr>
      </w:pPr>
      <w:r>
        <w:rPr>
          <w:rFonts w:ascii="宋体" w:eastAsia="宋体" w:hAnsi="宋体" w:cs="宋体"/>
          <w:spacing w:val="-13"/>
          <w:sz w:val="22"/>
          <w:szCs w:val="22"/>
        </w:rPr>
        <w:t>每日口服达100μg未见明显反应，无不良反应的反应水平为</w:t>
      </w:r>
      <w:r>
        <w:rPr>
          <w:rFonts w:ascii="宋体" w:eastAsia="宋体" w:hAnsi="宋体" w:cs="宋体"/>
          <w:spacing w:val="-14"/>
          <w:sz w:val="22"/>
          <w:szCs w:val="22"/>
        </w:rPr>
        <w:t>3000</w:t>
      </w:r>
      <w:r>
        <w:rPr>
          <w:rFonts w:ascii="宋体" w:eastAsia="宋体" w:hAnsi="宋体" w:cs="宋体"/>
          <w:spacing w:val="-51"/>
          <w:sz w:val="22"/>
          <w:szCs w:val="22"/>
        </w:rPr>
        <w:t xml:space="preserve"> </w:t>
      </w:r>
      <w:r>
        <w:rPr>
          <w:rFonts w:ascii="宋体" w:eastAsia="宋体" w:hAnsi="宋体" w:cs="宋体"/>
          <w:spacing w:val="-14"/>
          <w:sz w:val="22"/>
          <w:szCs w:val="22"/>
        </w:rPr>
        <w:t>μg。</w:t>
      </w:r>
    </w:p>
    <w:p w:rsidR="00EA40A3" w:rsidRDefault="00E86C16">
      <w:pPr>
        <w:spacing w:before="189"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8"/>
          <w:sz w:val="22"/>
          <w:szCs w:val="22"/>
        </w:rPr>
        <w:t xml:space="preserve"> </w:t>
      </w:r>
      <w:r>
        <w:rPr>
          <w:rFonts w:ascii="仿宋" w:eastAsia="仿宋" w:hAnsi="仿宋" w:cs="仿宋"/>
          <w:spacing w:val="14"/>
          <w:sz w:val="22"/>
          <w:szCs w:val="22"/>
        </w:rPr>
        <w:t>维生素B</w:t>
      </w:r>
      <w:r>
        <w:rPr>
          <w:rFonts w:ascii="Calibri" w:eastAsia="Calibri" w:hAnsi="Calibri" w:cs="Calibri"/>
          <w:spacing w:val="14"/>
          <w:sz w:val="22"/>
          <w:szCs w:val="22"/>
        </w:rPr>
        <w:t>₂</w:t>
      </w:r>
      <w:r>
        <w:rPr>
          <w:rFonts w:ascii="Calibri" w:eastAsia="Calibri" w:hAnsi="Calibri" w:cs="Calibri"/>
          <w:spacing w:val="19"/>
          <w:w w:val="101"/>
          <w:sz w:val="22"/>
          <w:szCs w:val="22"/>
        </w:rPr>
        <w:t xml:space="preserve">  </w:t>
      </w:r>
      <w:r>
        <w:rPr>
          <w:rFonts w:ascii="仿宋" w:eastAsia="仿宋" w:hAnsi="仿宋" w:cs="仿宋"/>
          <w:spacing w:val="14"/>
          <w:sz w:val="22"/>
          <w:szCs w:val="22"/>
        </w:rPr>
        <w:t>膳食参考摄入量与食物来源</w:t>
      </w:r>
    </w:p>
    <w:p w:rsidR="00EA40A3" w:rsidRDefault="00E86C16">
      <w:pPr>
        <w:spacing w:before="204" w:line="239" w:lineRule="auto"/>
        <w:ind w:firstLine="420"/>
        <w:rPr>
          <w:rFonts w:ascii="宋体" w:eastAsia="宋体" w:hAnsi="宋体" w:cs="宋体"/>
          <w:sz w:val="22"/>
          <w:szCs w:val="22"/>
        </w:rPr>
      </w:pPr>
      <w:r>
        <w:rPr>
          <w:rFonts w:ascii="宋体" w:eastAsia="宋体" w:hAnsi="宋体" w:cs="宋体"/>
          <w:spacing w:val="-4"/>
          <w:sz w:val="22"/>
          <w:szCs w:val="22"/>
        </w:rPr>
        <w:t>我国居民膳食维生素B</w:t>
      </w:r>
      <w:r>
        <w:rPr>
          <w:rFonts w:ascii="Calibri" w:eastAsia="Calibri" w:hAnsi="Calibri" w:cs="Calibri"/>
          <w:spacing w:val="-4"/>
          <w:sz w:val="22"/>
          <w:szCs w:val="22"/>
        </w:rPr>
        <w:t>₂</w:t>
      </w:r>
      <w:r>
        <w:rPr>
          <w:rFonts w:ascii="Calibri" w:eastAsia="Calibri" w:hAnsi="Calibri" w:cs="Calibri"/>
          <w:spacing w:val="41"/>
          <w:sz w:val="22"/>
          <w:szCs w:val="22"/>
        </w:rPr>
        <w:t xml:space="preserve"> </w:t>
      </w:r>
      <w:r>
        <w:rPr>
          <w:rFonts w:ascii="宋体" w:eastAsia="宋体" w:hAnsi="宋体" w:cs="宋体"/>
          <w:spacing w:val="-4"/>
          <w:sz w:val="22"/>
          <w:szCs w:val="22"/>
        </w:rPr>
        <w:t>的</w:t>
      </w:r>
      <w:r>
        <w:rPr>
          <w:rFonts w:ascii="宋体" w:eastAsia="宋体" w:hAnsi="宋体" w:cs="宋体"/>
          <w:spacing w:val="-64"/>
          <w:sz w:val="22"/>
          <w:szCs w:val="22"/>
        </w:rPr>
        <w:t xml:space="preserve"> </w:t>
      </w:r>
      <w:r>
        <w:rPr>
          <w:rFonts w:ascii="宋体" w:eastAsia="宋体" w:hAnsi="宋体" w:cs="宋体"/>
          <w:spacing w:val="-4"/>
          <w:sz w:val="22"/>
          <w:szCs w:val="22"/>
        </w:rPr>
        <w:t>AI(μg/d)</w:t>
      </w:r>
      <w:r>
        <w:rPr>
          <w:rFonts w:ascii="宋体" w:eastAsia="宋体" w:hAnsi="宋体" w:cs="宋体"/>
          <w:spacing w:val="-38"/>
          <w:sz w:val="22"/>
          <w:szCs w:val="22"/>
        </w:rPr>
        <w:t xml:space="preserve"> </w:t>
      </w:r>
      <w:r>
        <w:rPr>
          <w:rFonts w:ascii="宋体" w:eastAsia="宋体" w:hAnsi="宋体" w:cs="宋体"/>
          <w:spacing w:val="-4"/>
          <w:sz w:val="22"/>
          <w:szCs w:val="22"/>
        </w:rPr>
        <w:t>分别定为：0岁约0.4、0.5岁约0.5、</w:t>
      </w:r>
      <w:r>
        <w:rPr>
          <w:rFonts w:ascii="宋体" w:eastAsia="宋体" w:hAnsi="宋体" w:cs="宋体"/>
          <w:sz w:val="22"/>
          <w:szCs w:val="22"/>
        </w:rPr>
        <w:t xml:space="preserve"> </w:t>
      </w:r>
      <w:r>
        <w:rPr>
          <w:rFonts w:ascii="宋体" w:eastAsia="宋体" w:hAnsi="宋体" w:cs="宋体"/>
          <w:spacing w:val="-3"/>
          <w:sz w:val="22"/>
          <w:szCs w:val="22"/>
        </w:rPr>
        <w:t>1岁约0.9、4岁约1.2、11岁约1.8、14岁约2.4、孕妇约2.6、乳母约2.8。</w:t>
      </w:r>
    </w:p>
    <w:p w:rsidR="00EA40A3" w:rsidRDefault="00E86C16">
      <w:pPr>
        <w:spacing w:before="100" w:line="241" w:lineRule="auto"/>
        <w:ind w:right="110"/>
        <w:jc w:val="right"/>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141</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979" w:bottom="400" w:left="879" w:header="0" w:footer="0" w:gutter="0"/>
          <w:cols w:space="720"/>
        </w:sectPr>
      </w:pPr>
    </w:p>
    <w:p w:rsidR="00EA40A3" w:rsidRDefault="00EA40A3">
      <w:pPr>
        <w:spacing w:line="251" w:lineRule="auto"/>
      </w:pPr>
    </w:p>
    <w:p w:rsidR="00EA40A3" w:rsidRDefault="00EA40A3">
      <w:pPr>
        <w:spacing w:line="251" w:lineRule="auto"/>
      </w:pPr>
    </w:p>
    <w:p w:rsidR="00EA40A3" w:rsidRDefault="00E86C16">
      <w:pPr>
        <w:spacing w:before="72" w:line="244" w:lineRule="auto"/>
        <w:ind w:right="40" w:firstLine="459"/>
        <w:jc w:val="both"/>
        <w:rPr>
          <w:rFonts w:ascii="宋体" w:eastAsia="宋体" w:hAnsi="宋体" w:cs="宋体"/>
          <w:sz w:val="22"/>
          <w:szCs w:val="22"/>
        </w:rPr>
      </w:pPr>
      <w:r>
        <w:rPr>
          <w:rFonts w:ascii="宋体" w:eastAsia="宋体" w:hAnsi="宋体" w:cs="宋体"/>
          <w:spacing w:val="-9"/>
          <w:sz w:val="22"/>
          <w:szCs w:val="22"/>
        </w:rPr>
        <w:t>在自然界中维生素B</w:t>
      </w:r>
      <w:r>
        <w:rPr>
          <w:rFonts w:ascii="Calibri" w:eastAsia="Calibri" w:hAnsi="Calibri" w:cs="Calibri"/>
          <w:spacing w:val="-9"/>
          <w:sz w:val="22"/>
          <w:szCs w:val="22"/>
        </w:rPr>
        <w:t>₂</w:t>
      </w:r>
      <w:r>
        <w:rPr>
          <w:rFonts w:ascii="Calibri" w:eastAsia="Calibri" w:hAnsi="Calibri" w:cs="Calibri"/>
          <w:spacing w:val="1"/>
          <w:sz w:val="22"/>
          <w:szCs w:val="22"/>
        </w:rPr>
        <w:t xml:space="preserve">  </w:t>
      </w:r>
      <w:r>
        <w:rPr>
          <w:rFonts w:ascii="宋体" w:eastAsia="宋体" w:hAnsi="宋体" w:cs="宋体"/>
          <w:spacing w:val="-9"/>
          <w:sz w:val="22"/>
          <w:szCs w:val="22"/>
        </w:rPr>
        <w:t>的唯一来源是通过草食动物的瘤胃和肠中的许多微生</w:t>
      </w:r>
      <w:r>
        <w:rPr>
          <w:rFonts w:ascii="宋体" w:eastAsia="宋体" w:hAnsi="宋体" w:cs="宋体"/>
          <w:sz w:val="22"/>
          <w:szCs w:val="22"/>
        </w:rPr>
        <w:t xml:space="preserve"> </w:t>
      </w:r>
      <w:r>
        <w:rPr>
          <w:rFonts w:ascii="宋体" w:eastAsia="宋体" w:hAnsi="宋体" w:cs="宋体"/>
          <w:spacing w:val="-10"/>
          <w:sz w:val="22"/>
          <w:szCs w:val="22"/>
        </w:rPr>
        <w:t>物作用合成的。因此，它广泛存在于动物性食品中，而植物性食品中基本不含</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0"/>
          <w:sz w:val="22"/>
          <w:szCs w:val="22"/>
        </w:rPr>
        <w:t>动物内脏、肉类、鱼、禽、贝壳类及蛋类是维生素</w:t>
      </w:r>
      <w:r>
        <w:rPr>
          <w:rFonts w:ascii="宋体" w:eastAsia="宋体" w:hAnsi="宋体" w:cs="宋体"/>
          <w:spacing w:val="-43"/>
          <w:sz w:val="22"/>
          <w:szCs w:val="22"/>
        </w:rPr>
        <w:t xml:space="preserve"> </w:t>
      </w:r>
      <w:r>
        <w:rPr>
          <w:rFonts w:ascii="宋体" w:eastAsia="宋体" w:hAnsi="宋体" w:cs="宋体"/>
          <w:spacing w:val="-10"/>
          <w:sz w:val="22"/>
          <w:szCs w:val="22"/>
        </w:rPr>
        <w:t>B</w:t>
      </w:r>
      <w:r>
        <w:rPr>
          <w:rFonts w:ascii="Calibri" w:eastAsia="Calibri" w:hAnsi="Calibri" w:cs="Calibri"/>
          <w:spacing w:val="-10"/>
          <w:sz w:val="22"/>
          <w:szCs w:val="22"/>
        </w:rPr>
        <w:t>₂</w:t>
      </w:r>
      <w:r>
        <w:rPr>
          <w:rFonts w:ascii="Calibri" w:eastAsia="Calibri" w:hAnsi="Calibri" w:cs="Calibri"/>
          <w:sz w:val="22"/>
          <w:szCs w:val="22"/>
        </w:rPr>
        <w:t xml:space="preserve">  </w:t>
      </w:r>
      <w:r>
        <w:rPr>
          <w:rFonts w:ascii="宋体" w:eastAsia="宋体" w:hAnsi="宋体" w:cs="宋体"/>
          <w:spacing w:val="-10"/>
          <w:sz w:val="22"/>
          <w:szCs w:val="22"/>
        </w:rPr>
        <w:t>的丰富来源，乳及乳制品</w:t>
      </w:r>
      <w:r>
        <w:rPr>
          <w:rFonts w:ascii="宋体" w:eastAsia="宋体" w:hAnsi="宋体" w:cs="宋体"/>
          <w:sz w:val="22"/>
          <w:szCs w:val="22"/>
        </w:rPr>
        <w:t xml:space="preserve"> </w:t>
      </w:r>
      <w:r>
        <w:rPr>
          <w:rFonts w:ascii="宋体" w:eastAsia="宋体" w:hAnsi="宋体" w:cs="宋体"/>
          <w:spacing w:val="-18"/>
          <w:sz w:val="22"/>
          <w:szCs w:val="22"/>
        </w:rPr>
        <w:t>含量较少。</w:t>
      </w:r>
    </w:p>
    <w:p w:rsidR="00EA40A3" w:rsidRDefault="00E86C16">
      <w:pPr>
        <w:spacing w:before="184" w:line="221" w:lineRule="auto"/>
        <w:ind w:left="3"/>
        <w:outlineLvl w:val="6"/>
        <w:rPr>
          <w:rFonts w:ascii="黑体" w:eastAsia="黑体" w:hAnsi="黑体" w:cs="黑体"/>
          <w:sz w:val="26"/>
          <w:szCs w:val="26"/>
        </w:rPr>
      </w:pPr>
      <w:bookmarkStart w:id="26" w:name="_bookmark31"/>
      <w:bookmarkStart w:id="27" w:name="_bookmark30"/>
      <w:bookmarkEnd w:id="26"/>
      <w:bookmarkEnd w:id="27"/>
      <w:r>
        <w:rPr>
          <w:rFonts w:ascii="黑体" w:eastAsia="黑体" w:hAnsi="黑体" w:cs="黑体"/>
          <w:b/>
          <w:bCs/>
          <w:spacing w:val="-13"/>
          <w:sz w:val="26"/>
          <w:szCs w:val="26"/>
        </w:rPr>
        <w:t>4.2.10</w:t>
      </w:r>
      <w:r>
        <w:rPr>
          <w:rFonts w:ascii="黑体" w:eastAsia="黑体" w:hAnsi="黑体" w:cs="黑体"/>
          <w:spacing w:val="45"/>
          <w:sz w:val="26"/>
          <w:szCs w:val="26"/>
        </w:rPr>
        <w:t xml:space="preserve">  </w:t>
      </w:r>
      <w:r>
        <w:rPr>
          <w:rFonts w:ascii="黑体" w:eastAsia="黑体" w:hAnsi="黑体" w:cs="黑体"/>
          <w:b/>
          <w:bCs/>
          <w:spacing w:val="-13"/>
          <w:sz w:val="26"/>
          <w:szCs w:val="26"/>
        </w:rPr>
        <w:t>叶酸</w:t>
      </w:r>
    </w:p>
    <w:p w:rsidR="00EA40A3" w:rsidRDefault="00E86C16">
      <w:pPr>
        <w:spacing w:before="239" w:line="220"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29"/>
          <w:sz w:val="22"/>
          <w:szCs w:val="22"/>
        </w:rPr>
        <w:t xml:space="preserve"> </w:t>
      </w:r>
      <w:r>
        <w:rPr>
          <w:rFonts w:ascii="仿宋" w:eastAsia="仿宋" w:hAnsi="仿宋" w:cs="仿宋"/>
          <w:spacing w:val="10"/>
          <w:sz w:val="22"/>
          <w:szCs w:val="22"/>
        </w:rPr>
        <w:t>叶酸的理化性质</w:t>
      </w:r>
    </w:p>
    <w:p w:rsidR="00EA40A3" w:rsidRDefault="00E86C16">
      <w:pPr>
        <w:spacing w:before="199" w:line="242" w:lineRule="auto"/>
        <w:ind w:firstLine="459"/>
        <w:jc w:val="both"/>
        <w:rPr>
          <w:rFonts w:ascii="宋体" w:eastAsia="宋体" w:hAnsi="宋体" w:cs="宋体"/>
          <w:sz w:val="22"/>
          <w:szCs w:val="22"/>
        </w:rPr>
      </w:pPr>
      <w:r>
        <w:rPr>
          <w:rFonts w:ascii="宋体" w:eastAsia="宋体" w:hAnsi="宋体" w:cs="宋体"/>
          <w:spacing w:val="-9"/>
          <w:sz w:val="22"/>
          <w:szCs w:val="22"/>
        </w:rPr>
        <w:t>叶酸</w:t>
      </w:r>
      <w:r>
        <w:rPr>
          <w:rFonts w:ascii="宋体" w:eastAsia="宋体" w:hAnsi="宋体" w:cs="宋体"/>
          <w:spacing w:val="2"/>
          <w:sz w:val="22"/>
          <w:szCs w:val="22"/>
        </w:rPr>
        <w:t xml:space="preserve"> </w:t>
      </w:r>
      <w:r>
        <w:rPr>
          <w:rFonts w:ascii="宋体" w:eastAsia="宋体" w:hAnsi="宋体" w:cs="宋体"/>
          <w:spacing w:val="-9"/>
          <w:sz w:val="22"/>
          <w:szCs w:val="22"/>
        </w:rPr>
        <w:t>(folacin,folic</w:t>
      </w:r>
      <w:r>
        <w:rPr>
          <w:rFonts w:ascii="宋体" w:eastAsia="宋体" w:hAnsi="宋体" w:cs="宋体"/>
          <w:spacing w:val="-1"/>
          <w:sz w:val="22"/>
          <w:szCs w:val="22"/>
        </w:rPr>
        <w:t xml:space="preserve"> </w:t>
      </w:r>
      <w:r>
        <w:rPr>
          <w:rFonts w:ascii="宋体" w:eastAsia="宋体" w:hAnsi="宋体" w:cs="宋体"/>
          <w:spacing w:val="-9"/>
          <w:sz w:val="22"/>
          <w:szCs w:val="22"/>
        </w:rPr>
        <w:t>acid</w:t>
      </w:r>
      <w:r>
        <w:rPr>
          <w:rFonts w:ascii="宋体" w:eastAsia="宋体" w:hAnsi="宋体" w:cs="宋体"/>
          <w:spacing w:val="-10"/>
          <w:sz w:val="22"/>
          <w:szCs w:val="22"/>
        </w:rPr>
        <w:t>,</w:t>
      </w:r>
      <w:r>
        <w:rPr>
          <w:rFonts w:ascii="宋体" w:eastAsia="宋体" w:hAnsi="宋体" w:cs="宋体"/>
          <w:spacing w:val="-9"/>
          <w:sz w:val="22"/>
          <w:szCs w:val="22"/>
        </w:rPr>
        <w:t>FA</w:t>
      </w:r>
      <w:r>
        <w:rPr>
          <w:rFonts w:ascii="宋体" w:eastAsia="宋体" w:hAnsi="宋体" w:cs="宋体"/>
          <w:spacing w:val="-10"/>
          <w:sz w:val="22"/>
          <w:szCs w:val="22"/>
        </w:rPr>
        <w:t>)</w:t>
      </w:r>
      <w:r>
        <w:rPr>
          <w:rFonts w:ascii="宋体" w:eastAsia="宋体" w:hAnsi="宋体" w:cs="宋体"/>
          <w:spacing w:val="-34"/>
          <w:sz w:val="22"/>
          <w:szCs w:val="22"/>
        </w:rPr>
        <w:t xml:space="preserve"> </w:t>
      </w:r>
      <w:r>
        <w:rPr>
          <w:rFonts w:ascii="宋体" w:eastAsia="宋体" w:hAnsi="宋体" w:cs="宋体"/>
          <w:spacing w:val="-10"/>
          <w:sz w:val="22"/>
          <w:szCs w:val="22"/>
        </w:rPr>
        <w:t>即蝶酰谷氨酸，最早从菠菜中发现而得名，</w:t>
      </w:r>
      <w:r>
        <w:rPr>
          <w:rFonts w:ascii="宋体" w:eastAsia="宋体" w:hAnsi="宋体" w:cs="宋体"/>
          <w:sz w:val="22"/>
          <w:szCs w:val="22"/>
        </w:rPr>
        <w:t xml:space="preserve"> </w:t>
      </w:r>
      <w:r>
        <w:rPr>
          <w:rFonts w:ascii="宋体" w:eastAsia="宋体" w:hAnsi="宋体" w:cs="宋体"/>
          <w:spacing w:val="-12"/>
          <w:sz w:val="22"/>
          <w:szCs w:val="22"/>
        </w:rPr>
        <w:t>是指有相关生物活性的一类同效维生素，天然存在的叶酸，既</w:t>
      </w:r>
      <w:r>
        <w:rPr>
          <w:rFonts w:ascii="宋体" w:eastAsia="宋体" w:hAnsi="宋体" w:cs="宋体"/>
          <w:spacing w:val="-13"/>
          <w:sz w:val="22"/>
          <w:szCs w:val="22"/>
        </w:rPr>
        <w:t>有单谷氨酸型，也</w:t>
      </w:r>
      <w:r>
        <w:rPr>
          <w:rFonts w:ascii="宋体" w:eastAsia="宋体" w:hAnsi="宋体" w:cs="宋体"/>
          <w:sz w:val="22"/>
          <w:szCs w:val="22"/>
        </w:rPr>
        <w:t xml:space="preserve">  </w:t>
      </w:r>
      <w:r>
        <w:rPr>
          <w:rFonts w:ascii="宋体" w:eastAsia="宋体" w:hAnsi="宋体" w:cs="宋体"/>
          <w:spacing w:val="-5"/>
          <w:sz w:val="22"/>
          <w:szCs w:val="22"/>
        </w:rPr>
        <w:t>有以多谷氨酸盐的形式出现的(图4-14)。</w:t>
      </w:r>
    </w:p>
    <w:p w:rsidR="00EA40A3" w:rsidRDefault="00EA40A3">
      <w:pPr>
        <w:spacing w:line="246" w:lineRule="auto"/>
      </w:pPr>
    </w:p>
    <w:p w:rsidR="00EA40A3" w:rsidRDefault="00E86C16">
      <w:pPr>
        <w:spacing w:line="1240" w:lineRule="exact"/>
        <w:ind w:firstLine="1789"/>
        <w:textAlignment w:val="center"/>
      </w:pPr>
      <w:r>
        <w:rPr>
          <w:noProof/>
        </w:rPr>
        <w:drawing>
          <wp:inline distT="0" distB="0" distL="0" distR="0">
            <wp:extent cx="2457450" cy="78740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09"/>
                    <a:stretch>
                      <a:fillRect/>
                    </a:stretch>
                  </pic:blipFill>
                  <pic:spPr>
                    <a:xfrm>
                      <a:off x="0" y="0"/>
                      <a:ext cx="2457451" cy="787447"/>
                    </a:xfrm>
                    <a:prstGeom prst="rect">
                      <a:avLst/>
                    </a:prstGeom>
                  </pic:spPr>
                </pic:pic>
              </a:graphicData>
            </a:graphic>
          </wp:inline>
        </w:drawing>
      </w:r>
    </w:p>
    <w:p w:rsidR="00EA40A3" w:rsidRDefault="00EA40A3">
      <w:pPr>
        <w:spacing w:line="290" w:lineRule="auto"/>
      </w:pPr>
    </w:p>
    <w:p w:rsidR="00EA40A3" w:rsidRDefault="00E86C16">
      <w:pPr>
        <w:spacing w:before="55" w:line="219" w:lineRule="auto"/>
        <w:ind w:left="2990"/>
        <w:rPr>
          <w:rFonts w:ascii="宋体" w:eastAsia="宋体" w:hAnsi="宋体" w:cs="宋体"/>
          <w:sz w:val="17"/>
          <w:szCs w:val="17"/>
        </w:rPr>
      </w:pPr>
      <w:r>
        <w:rPr>
          <w:rFonts w:ascii="宋体" w:eastAsia="宋体" w:hAnsi="宋体" w:cs="宋体"/>
          <w:spacing w:val="1"/>
          <w:sz w:val="17"/>
          <w:szCs w:val="17"/>
        </w:rPr>
        <w:t>图4-</w:t>
      </w:r>
      <w:r>
        <w:rPr>
          <w:rFonts w:ascii="宋体" w:eastAsia="宋体" w:hAnsi="宋体" w:cs="宋体"/>
          <w:spacing w:val="-39"/>
          <w:sz w:val="17"/>
          <w:szCs w:val="17"/>
        </w:rPr>
        <w:t xml:space="preserve"> </w:t>
      </w:r>
      <w:r>
        <w:rPr>
          <w:rFonts w:ascii="宋体" w:eastAsia="宋体" w:hAnsi="宋体" w:cs="宋体"/>
          <w:spacing w:val="1"/>
          <w:sz w:val="17"/>
          <w:szCs w:val="17"/>
        </w:rPr>
        <w:t>14</w:t>
      </w:r>
      <w:r>
        <w:rPr>
          <w:rFonts w:ascii="宋体" w:eastAsia="宋体" w:hAnsi="宋体" w:cs="宋体"/>
          <w:spacing w:val="2"/>
          <w:sz w:val="17"/>
          <w:szCs w:val="17"/>
        </w:rPr>
        <w:t xml:space="preserve">  </w:t>
      </w:r>
      <w:r>
        <w:rPr>
          <w:rFonts w:ascii="宋体" w:eastAsia="宋体" w:hAnsi="宋体" w:cs="宋体"/>
          <w:spacing w:val="1"/>
          <w:sz w:val="17"/>
          <w:szCs w:val="17"/>
        </w:rPr>
        <w:t>叶酸结构</w:t>
      </w:r>
    </w:p>
    <w:p w:rsidR="00EA40A3" w:rsidRDefault="00EA40A3">
      <w:pPr>
        <w:spacing w:line="268" w:lineRule="auto"/>
      </w:pPr>
    </w:p>
    <w:p w:rsidR="00EA40A3" w:rsidRDefault="00E86C16">
      <w:pPr>
        <w:spacing w:before="72" w:line="237" w:lineRule="auto"/>
        <w:ind w:right="40" w:firstLine="459"/>
        <w:jc w:val="both"/>
        <w:rPr>
          <w:rFonts w:ascii="宋体" w:eastAsia="宋体" w:hAnsi="宋体" w:cs="宋体"/>
          <w:sz w:val="22"/>
          <w:szCs w:val="22"/>
        </w:rPr>
      </w:pPr>
      <w:r>
        <w:rPr>
          <w:rFonts w:ascii="宋体" w:eastAsia="宋体" w:hAnsi="宋体" w:cs="宋体"/>
          <w:spacing w:val="-6"/>
          <w:sz w:val="22"/>
          <w:szCs w:val="22"/>
        </w:rPr>
        <w:t>叶酸为鲜黄色的结晶状粉末，微溶于水，不溶于乙醇、乙醚及其他有机溶</w:t>
      </w:r>
      <w:r>
        <w:rPr>
          <w:rFonts w:ascii="宋体" w:eastAsia="宋体" w:hAnsi="宋体" w:cs="宋体"/>
          <w:spacing w:val="1"/>
          <w:sz w:val="22"/>
          <w:szCs w:val="22"/>
        </w:rPr>
        <w:t xml:space="preserve"> </w:t>
      </w:r>
      <w:r>
        <w:rPr>
          <w:rFonts w:ascii="宋体" w:eastAsia="宋体" w:hAnsi="宋体" w:cs="宋体"/>
          <w:spacing w:val="-10"/>
          <w:sz w:val="22"/>
          <w:szCs w:val="22"/>
        </w:rPr>
        <w:t>剂，其钠盐易溶解于水。在水溶液中易被光解破坏；在酸性溶液中不稳定，</w:t>
      </w:r>
      <w:r>
        <w:rPr>
          <w:rFonts w:ascii="宋体" w:eastAsia="宋体" w:hAnsi="宋体" w:cs="宋体"/>
          <w:spacing w:val="-37"/>
          <w:sz w:val="22"/>
          <w:szCs w:val="22"/>
        </w:rPr>
        <w:t xml:space="preserve"> </w:t>
      </w:r>
      <w:r>
        <w:rPr>
          <w:rFonts w:ascii="宋体" w:eastAsia="宋体" w:hAnsi="宋体" w:cs="宋体"/>
          <w:spacing w:val="-10"/>
          <w:sz w:val="22"/>
          <w:szCs w:val="22"/>
        </w:rPr>
        <w:t>pH</w:t>
      </w:r>
      <w:r>
        <w:rPr>
          <w:rFonts w:ascii="宋体" w:eastAsia="宋体" w:hAnsi="宋体" w:cs="宋体"/>
          <w:sz w:val="22"/>
          <w:szCs w:val="22"/>
        </w:rPr>
        <w:t xml:space="preserve">  </w:t>
      </w:r>
      <w:r>
        <w:rPr>
          <w:rFonts w:ascii="宋体" w:eastAsia="宋体" w:hAnsi="宋体" w:cs="宋体"/>
          <w:spacing w:val="-5"/>
          <w:sz w:val="22"/>
          <w:szCs w:val="22"/>
        </w:rPr>
        <w:t>低于4易破坏，但在中性或碱性溶液中对</w:t>
      </w:r>
      <w:r>
        <w:rPr>
          <w:rFonts w:ascii="宋体" w:eastAsia="宋体" w:hAnsi="宋体" w:cs="宋体"/>
          <w:spacing w:val="-6"/>
          <w:sz w:val="22"/>
          <w:szCs w:val="22"/>
        </w:rPr>
        <w:t>热稳定，加热至100℃</w:t>
      </w:r>
      <w:r>
        <w:rPr>
          <w:rFonts w:ascii="宋体" w:eastAsia="宋体" w:hAnsi="宋体" w:cs="宋体"/>
          <w:spacing w:val="-5"/>
          <w:sz w:val="22"/>
          <w:szCs w:val="22"/>
        </w:rPr>
        <w:t>lh</w:t>
      </w:r>
      <w:r>
        <w:rPr>
          <w:rFonts w:ascii="宋体" w:eastAsia="宋体" w:hAnsi="宋体" w:cs="宋体"/>
          <w:spacing w:val="-39"/>
          <w:sz w:val="22"/>
          <w:szCs w:val="22"/>
        </w:rPr>
        <w:t xml:space="preserve"> </w:t>
      </w:r>
      <w:r>
        <w:rPr>
          <w:rFonts w:ascii="宋体" w:eastAsia="宋体" w:hAnsi="宋体" w:cs="宋体"/>
          <w:spacing w:val="-6"/>
          <w:sz w:val="22"/>
          <w:szCs w:val="22"/>
        </w:rPr>
        <w:t>也不被破坏。</w:t>
      </w:r>
      <w:r>
        <w:rPr>
          <w:rFonts w:ascii="宋体" w:eastAsia="宋体" w:hAnsi="宋体" w:cs="宋体"/>
          <w:sz w:val="22"/>
          <w:szCs w:val="22"/>
        </w:rPr>
        <w:t xml:space="preserve"> 食物中叶酸的烹调损失率为50%～90%。</w:t>
      </w:r>
    </w:p>
    <w:p w:rsidR="00EA40A3" w:rsidRDefault="00E86C16">
      <w:pPr>
        <w:spacing w:before="227" w:line="222" w:lineRule="auto"/>
        <w:rPr>
          <w:rFonts w:ascii="仿宋" w:eastAsia="仿宋" w:hAnsi="仿宋" w:cs="仿宋"/>
          <w:sz w:val="22"/>
          <w:szCs w:val="22"/>
        </w:rPr>
      </w:pPr>
      <w:r>
        <w:rPr>
          <w:rFonts w:ascii="仿宋" w:eastAsia="仿宋" w:hAnsi="仿宋" w:cs="仿宋"/>
          <w:spacing w:val="-1"/>
          <w:sz w:val="22"/>
          <w:szCs w:val="22"/>
        </w:rPr>
        <w:t>2.</w:t>
      </w:r>
      <w:r>
        <w:rPr>
          <w:rFonts w:ascii="仿宋" w:eastAsia="仿宋" w:hAnsi="仿宋" w:cs="仿宋"/>
          <w:spacing w:val="78"/>
          <w:sz w:val="22"/>
          <w:szCs w:val="22"/>
        </w:rPr>
        <w:t xml:space="preserve"> </w:t>
      </w:r>
      <w:r>
        <w:rPr>
          <w:rFonts w:ascii="仿宋" w:eastAsia="仿宋" w:hAnsi="仿宋" w:cs="仿宋"/>
          <w:spacing w:val="-1"/>
          <w:sz w:val="22"/>
          <w:szCs w:val="22"/>
        </w:rPr>
        <w:t>叶酸的吸收及利用</w:t>
      </w:r>
    </w:p>
    <w:p w:rsidR="00EA40A3" w:rsidRDefault="00E86C16">
      <w:pPr>
        <w:spacing w:before="206" w:line="249" w:lineRule="auto"/>
        <w:ind w:right="93" w:firstLine="459"/>
        <w:jc w:val="both"/>
        <w:rPr>
          <w:rFonts w:ascii="宋体" w:eastAsia="宋体" w:hAnsi="宋体" w:cs="宋体"/>
          <w:sz w:val="22"/>
          <w:szCs w:val="22"/>
        </w:rPr>
      </w:pPr>
      <w:r>
        <w:rPr>
          <w:rFonts w:ascii="宋体" w:eastAsia="宋体" w:hAnsi="宋体" w:cs="宋体"/>
          <w:spacing w:val="-13"/>
          <w:sz w:val="22"/>
          <w:szCs w:val="22"/>
        </w:rPr>
        <w:t>叶酸在肠道中以单谷氨酸盐的形式吸收。食物中叶酸在人的小肠黏膜</w:t>
      </w:r>
      <w:r>
        <w:rPr>
          <w:rFonts w:ascii="宋体" w:eastAsia="宋体" w:hAnsi="宋体" w:cs="宋体"/>
          <w:spacing w:val="-14"/>
          <w:sz w:val="22"/>
          <w:szCs w:val="22"/>
        </w:rPr>
        <w:t>刷状缘</w:t>
      </w:r>
      <w:r>
        <w:rPr>
          <w:rFonts w:ascii="宋体" w:eastAsia="宋体" w:hAnsi="宋体" w:cs="宋体"/>
          <w:sz w:val="22"/>
          <w:szCs w:val="22"/>
        </w:rPr>
        <w:t xml:space="preserve"> </w:t>
      </w:r>
      <w:r>
        <w:rPr>
          <w:rFonts w:ascii="宋体" w:eastAsia="宋体" w:hAnsi="宋体" w:cs="宋体"/>
          <w:spacing w:val="-8"/>
          <w:sz w:val="22"/>
          <w:szCs w:val="22"/>
        </w:rPr>
        <w:t>上的蝶酰多谷氨酸水解酶</w:t>
      </w:r>
      <w:r>
        <w:rPr>
          <w:rFonts w:ascii="宋体" w:eastAsia="宋体" w:hAnsi="宋体" w:cs="宋体"/>
          <w:spacing w:val="-30"/>
          <w:sz w:val="22"/>
          <w:szCs w:val="22"/>
        </w:rPr>
        <w:t xml:space="preserve"> </w:t>
      </w:r>
      <w:r>
        <w:rPr>
          <w:rFonts w:ascii="宋体" w:eastAsia="宋体" w:hAnsi="宋体" w:cs="宋体"/>
          <w:spacing w:val="-8"/>
          <w:sz w:val="22"/>
          <w:szCs w:val="22"/>
        </w:rPr>
        <w:t>(pteroylpolyglutamate</w:t>
      </w:r>
      <w:r>
        <w:rPr>
          <w:rFonts w:ascii="宋体" w:eastAsia="宋体" w:hAnsi="宋体" w:cs="宋体"/>
          <w:sz w:val="22"/>
          <w:szCs w:val="22"/>
        </w:rPr>
        <w:t xml:space="preserve"> </w:t>
      </w:r>
      <w:r>
        <w:rPr>
          <w:rFonts w:ascii="宋体" w:eastAsia="宋体" w:hAnsi="宋体" w:cs="宋体"/>
          <w:spacing w:val="-8"/>
          <w:sz w:val="22"/>
          <w:szCs w:val="22"/>
        </w:rPr>
        <w:t>hydrolase,PPH)</w:t>
      </w:r>
      <w:r>
        <w:rPr>
          <w:rFonts w:ascii="宋体" w:eastAsia="宋体" w:hAnsi="宋体" w:cs="宋体"/>
          <w:spacing w:val="-56"/>
          <w:sz w:val="22"/>
          <w:szCs w:val="22"/>
        </w:rPr>
        <w:t xml:space="preserve"> </w:t>
      </w:r>
      <w:r>
        <w:rPr>
          <w:rFonts w:ascii="宋体" w:eastAsia="宋体" w:hAnsi="宋体" w:cs="宋体"/>
          <w:spacing w:val="-8"/>
          <w:sz w:val="22"/>
          <w:szCs w:val="22"/>
        </w:rPr>
        <w:t>作用下水解</w:t>
      </w:r>
      <w:r>
        <w:rPr>
          <w:rFonts w:ascii="宋体" w:eastAsia="宋体" w:hAnsi="宋体" w:cs="宋体"/>
          <w:sz w:val="22"/>
          <w:szCs w:val="22"/>
        </w:rPr>
        <w:t xml:space="preserve"> </w:t>
      </w:r>
      <w:r>
        <w:rPr>
          <w:rFonts w:ascii="宋体" w:eastAsia="宋体" w:hAnsi="宋体" w:cs="宋体"/>
          <w:spacing w:val="-12"/>
          <w:sz w:val="22"/>
          <w:szCs w:val="22"/>
        </w:rPr>
        <w:t>为单谷氨酸盐而被小肠吸收。单谷氨酰基叶酸的肠道转运是一个载</w:t>
      </w:r>
      <w:r>
        <w:rPr>
          <w:rFonts w:ascii="宋体" w:eastAsia="宋体" w:hAnsi="宋体" w:cs="宋体"/>
          <w:spacing w:val="-13"/>
          <w:sz w:val="22"/>
          <w:szCs w:val="22"/>
        </w:rPr>
        <w:t>体介导的主动</w:t>
      </w:r>
      <w:r>
        <w:rPr>
          <w:rFonts w:ascii="宋体" w:eastAsia="宋体" w:hAnsi="宋体" w:cs="宋体"/>
          <w:sz w:val="22"/>
          <w:szCs w:val="22"/>
        </w:rPr>
        <w:t xml:space="preserve"> </w:t>
      </w:r>
      <w:r>
        <w:rPr>
          <w:rFonts w:ascii="宋体" w:eastAsia="宋体" w:hAnsi="宋体" w:cs="宋体"/>
          <w:spacing w:val="4"/>
          <w:sz w:val="22"/>
          <w:szCs w:val="22"/>
        </w:rPr>
        <w:t>过程，这个转运过程对</w:t>
      </w:r>
      <w:r>
        <w:rPr>
          <w:rFonts w:ascii="宋体" w:eastAsia="宋体" w:hAnsi="宋体" w:cs="宋体"/>
          <w:sz w:val="22"/>
          <w:szCs w:val="22"/>
        </w:rPr>
        <w:t>pH</w:t>
      </w:r>
      <w:r>
        <w:rPr>
          <w:rFonts w:ascii="宋体" w:eastAsia="宋体" w:hAnsi="宋体" w:cs="宋体"/>
          <w:spacing w:val="45"/>
          <w:sz w:val="22"/>
          <w:szCs w:val="22"/>
        </w:rPr>
        <w:t xml:space="preserve"> </w:t>
      </w:r>
      <w:r>
        <w:rPr>
          <w:rFonts w:ascii="宋体" w:eastAsia="宋体" w:hAnsi="宋体" w:cs="宋体"/>
          <w:spacing w:val="4"/>
          <w:sz w:val="22"/>
          <w:szCs w:val="22"/>
        </w:rPr>
        <w:t>的依赖性很强，最适</w:t>
      </w:r>
      <w:r>
        <w:rPr>
          <w:rFonts w:ascii="宋体" w:eastAsia="宋体" w:hAnsi="宋体" w:cs="宋体"/>
          <w:sz w:val="22"/>
          <w:szCs w:val="22"/>
        </w:rPr>
        <w:t>pH</w:t>
      </w:r>
      <w:r>
        <w:rPr>
          <w:rFonts w:ascii="宋体" w:eastAsia="宋体" w:hAnsi="宋体" w:cs="宋体"/>
          <w:spacing w:val="36"/>
          <w:sz w:val="22"/>
          <w:szCs w:val="22"/>
        </w:rPr>
        <w:t xml:space="preserve"> </w:t>
      </w:r>
      <w:r>
        <w:rPr>
          <w:rFonts w:ascii="宋体" w:eastAsia="宋体" w:hAnsi="宋体" w:cs="宋体"/>
          <w:spacing w:val="4"/>
          <w:sz w:val="22"/>
          <w:szCs w:val="22"/>
        </w:rPr>
        <w:t>为5.0～6.0,</w:t>
      </w:r>
      <w:r>
        <w:rPr>
          <w:rFonts w:ascii="宋体" w:eastAsia="宋体" w:hAnsi="宋体" w:cs="宋体"/>
          <w:spacing w:val="3"/>
          <w:sz w:val="22"/>
          <w:szCs w:val="22"/>
        </w:rPr>
        <w:t>当</w:t>
      </w:r>
      <w:r>
        <w:rPr>
          <w:rFonts w:ascii="宋体" w:eastAsia="宋体" w:hAnsi="宋体" w:cs="宋体"/>
          <w:sz w:val="22"/>
          <w:szCs w:val="22"/>
        </w:rPr>
        <w:t>pH</w:t>
      </w:r>
      <w:r>
        <w:rPr>
          <w:rFonts w:ascii="宋体" w:eastAsia="宋体" w:hAnsi="宋体" w:cs="宋体"/>
          <w:spacing w:val="36"/>
          <w:sz w:val="22"/>
          <w:szCs w:val="22"/>
        </w:rPr>
        <w:t xml:space="preserve"> </w:t>
      </w:r>
      <w:r>
        <w:rPr>
          <w:rFonts w:ascii="宋体" w:eastAsia="宋体" w:hAnsi="宋体" w:cs="宋体"/>
          <w:spacing w:val="3"/>
          <w:sz w:val="22"/>
          <w:szCs w:val="22"/>
        </w:rPr>
        <w:t>升高</w:t>
      </w:r>
      <w:r>
        <w:rPr>
          <w:rFonts w:ascii="宋体" w:eastAsia="宋体" w:hAnsi="宋体" w:cs="宋体"/>
          <w:sz w:val="22"/>
          <w:szCs w:val="22"/>
        </w:rPr>
        <w:t xml:space="preserve"> </w:t>
      </w:r>
      <w:r>
        <w:rPr>
          <w:rFonts w:ascii="宋体" w:eastAsia="宋体" w:hAnsi="宋体" w:cs="宋体"/>
          <w:spacing w:val="-6"/>
          <w:sz w:val="22"/>
          <w:szCs w:val="22"/>
        </w:rPr>
        <w:t>时，转运速度明显下降；当单谷氨酸盐大量摄入时吸收的方式则</w:t>
      </w:r>
      <w:r>
        <w:rPr>
          <w:rFonts w:ascii="宋体" w:eastAsia="宋体" w:hAnsi="宋体" w:cs="宋体"/>
          <w:spacing w:val="-7"/>
          <w:sz w:val="22"/>
          <w:szCs w:val="22"/>
        </w:rPr>
        <w:t>以简单扩散为</w:t>
      </w:r>
      <w:r>
        <w:rPr>
          <w:rFonts w:ascii="宋体" w:eastAsia="宋体" w:hAnsi="宋体" w:cs="宋体"/>
          <w:sz w:val="22"/>
          <w:szCs w:val="22"/>
        </w:rPr>
        <w:t xml:space="preserve"> </w:t>
      </w:r>
      <w:r>
        <w:rPr>
          <w:rFonts w:ascii="宋体" w:eastAsia="宋体" w:hAnsi="宋体" w:cs="宋体"/>
          <w:spacing w:val="-3"/>
          <w:sz w:val="22"/>
          <w:szCs w:val="22"/>
        </w:rPr>
        <w:t>主。在十二指肠和空肠上皮黏膜细胞内含叶酸还原酶(辅酶为NADPH),</w:t>
      </w:r>
      <w:r>
        <w:rPr>
          <w:rFonts w:ascii="宋体" w:eastAsia="宋体" w:hAnsi="宋体" w:cs="宋体"/>
          <w:spacing w:val="54"/>
          <w:sz w:val="22"/>
          <w:szCs w:val="22"/>
        </w:rPr>
        <w:t xml:space="preserve">  </w:t>
      </w:r>
      <w:r>
        <w:rPr>
          <w:rFonts w:ascii="宋体" w:eastAsia="宋体" w:hAnsi="宋体" w:cs="宋体"/>
          <w:spacing w:val="-3"/>
          <w:sz w:val="22"/>
          <w:szCs w:val="22"/>
        </w:rPr>
        <w:t>在该</w:t>
      </w:r>
      <w:r>
        <w:rPr>
          <w:rFonts w:ascii="宋体" w:eastAsia="宋体" w:hAnsi="宋体" w:cs="宋体"/>
          <w:spacing w:val="1"/>
          <w:sz w:val="22"/>
          <w:szCs w:val="22"/>
        </w:rPr>
        <w:t xml:space="preserve"> </w:t>
      </w:r>
      <w:r>
        <w:rPr>
          <w:rFonts w:ascii="宋体" w:eastAsia="宋体" w:hAnsi="宋体" w:cs="宋体"/>
          <w:spacing w:val="-11"/>
          <w:sz w:val="22"/>
          <w:szCs w:val="22"/>
        </w:rPr>
        <w:t>酶的作用下，被吸收的叶酸可转变成活性形式四氢叶酸</w:t>
      </w:r>
      <w:r>
        <w:rPr>
          <w:rFonts w:ascii="宋体" w:eastAsia="宋体" w:hAnsi="宋体" w:cs="宋体"/>
          <w:spacing w:val="-10"/>
          <w:sz w:val="22"/>
          <w:szCs w:val="22"/>
        </w:rPr>
        <w:t xml:space="preserve"> </w:t>
      </w:r>
      <w:r>
        <w:rPr>
          <w:rFonts w:ascii="宋体" w:eastAsia="宋体" w:hAnsi="宋体" w:cs="宋体"/>
          <w:spacing w:val="-11"/>
          <w:sz w:val="22"/>
          <w:szCs w:val="22"/>
        </w:rPr>
        <w:t>(tetrahydrofolic</w:t>
      </w:r>
      <w:r>
        <w:rPr>
          <w:rFonts w:ascii="宋体" w:eastAsia="宋体" w:hAnsi="宋体" w:cs="宋体"/>
          <w:spacing w:val="-10"/>
          <w:sz w:val="22"/>
          <w:szCs w:val="22"/>
        </w:rPr>
        <w:t xml:space="preserve"> </w:t>
      </w:r>
      <w:r>
        <w:rPr>
          <w:rFonts w:ascii="宋体" w:eastAsia="宋体" w:hAnsi="宋体" w:cs="宋体"/>
          <w:spacing w:val="-11"/>
          <w:sz w:val="22"/>
          <w:szCs w:val="22"/>
        </w:rPr>
        <w:t>acid,</w:t>
      </w:r>
      <w:r>
        <w:rPr>
          <w:rFonts w:ascii="宋体" w:eastAsia="宋体" w:hAnsi="宋体" w:cs="宋体"/>
          <w:sz w:val="22"/>
          <w:szCs w:val="22"/>
        </w:rPr>
        <w:t xml:space="preserve"> </w:t>
      </w:r>
      <w:r>
        <w:rPr>
          <w:rFonts w:ascii="宋体" w:eastAsia="宋体" w:hAnsi="宋体" w:cs="宋体"/>
          <w:spacing w:val="-4"/>
          <w:sz w:val="22"/>
          <w:szCs w:val="22"/>
        </w:rPr>
        <w:t>THFA)。</w:t>
      </w:r>
      <w:r>
        <w:rPr>
          <w:rFonts w:ascii="宋体" w:eastAsia="宋体" w:hAnsi="宋体" w:cs="宋体"/>
          <w:spacing w:val="23"/>
          <w:sz w:val="22"/>
          <w:szCs w:val="22"/>
        </w:rPr>
        <w:t xml:space="preserve">  </w:t>
      </w:r>
      <w:r>
        <w:rPr>
          <w:rFonts w:ascii="宋体" w:eastAsia="宋体" w:hAnsi="宋体" w:cs="宋体"/>
          <w:spacing w:val="-4"/>
          <w:sz w:val="22"/>
          <w:szCs w:val="22"/>
        </w:rPr>
        <w:t>不同食物来源的叶酸生物利用率差别很大，如莴苣为25%,而豆类高</w:t>
      </w:r>
      <w:r>
        <w:rPr>
          <w:rFonts w:ascii="宋体" w:eastAsia="宋体" w:hAnsi="宋体" w:cs="宋体"/>
          <w:sz w:val="22"/>
          <w:szCs w:val="22"/>
        </w:rPr>
        <w:t xml:space="preserve"> </w:t>
      </w:r>
      <w:r>
        <w:rPr>
          <w:rFonts w:ascii="宋体" w:eastAsia="宋体" w:hAnsi="宋体" w:cs="宋体"/>
          <w:spacing w:val="13"/>
          <w:sz w:val="22"/>
          <w:szCs w:val="22"/>
        </w:rPr>
        <w:t>达96%,一般在40%～60%之间。这种差别可能与</w:t>
      </w:r>
      <w:r>
        <w:rPr>
          <w:rFonts w:ascii="宋体" w:eastAsia="宋体" w:hAnsi="宋体" w:cs="宋体"/>
          <w:spacing w:val="12"/>
          <w:sz w:val="22"/>
          <w:szCs w:val="22"/>
        </w:rPr>
        <w:t>食物中叶酸存在的形式和</w:t>
      </w:r>
      <w:r>
        <w:rPr>
          <w:rFonts w:ascii="宋体" w:eastAsia="宋体" w:hAnsi="宋体" w:cs="宋体"/>
          <w:sz w:val="22"/>
          <w:szCs w:val="22"/>
        </w:rPr>
        <w:t xml:space="preserve"> </w:t>
      </w:r>
      <w:r>
        <w:rPr>
          <w:rFonts w:ascii="宋体" w:eastAsia="宋体" w:hAnsi="宋体" w:cs="宋体"/>
          <w:spacing w:val="-11"/>
          <w:sz w:val="22"/>
          <w:szCs w:val="22"/>
        </w:rPr>
        <w:t>PPH</w:t>
      </w:r>
      <w:r>
        <w:rPr>
          <w:rFonts w:ascii="宋体" w:eastAsia="宋体" w:hAnsi="宋体" w:cs="宋体"/>
          <w:spacing w:val="35"/>
          <w:sz w:val="22"/>
          <w:szCs w:val="22"/>
        </w:rPr>
        <w:t xml:space="preserve"> </w:t>
      </w:r>
      <w:r>
        <w:rPr>
          <w:rFonts w:ascii="宋体" w:eastAsia="宋体" w:hAnsi="宋体" w:cs="宋体"/>
          <w:spacing w:val="-11"/>
          <w:sz w:val="22"/>
          <w:szCs w:val="22"/>
        </w:rPr>
        <w:t>抑制因子的存在与否有关。</w:t>
      </w:r>
      <w:r>
        <w:rPr>
          <w:rFonts w:ascii="宋体" w:eastAsia="宋体" w:hAnsi="宋体" w:cs="宋体"/>
          <w:spacing w:val="38"/>
          <w:sz w:val="22"/>
          <w:szCs w:val="22"/>
        </w:rPr>
        <w:t xml:space="preserve"> </w:t>
      </w:r>
      <w:r>
        <w:rPr>
          <w:rFonts w:ascii="宋体" w:eastAsia="宋体" w:hAnsi="宋体" w:cs="宋体"/>
          <w:spacing w:val="-11"/>
          <w:sz w:val="22"/>
          <w:szCs w:val="22"/>
        </w:rPr>
        <w:t>一般来说，还原型叶酸</w:t>
      </w:r>
      <w:r>
        <w:rPr>
          <w:rFonts w:ascii="宋体" w:eastAsia="宋体" w:hAnsi="宋体" w:cs="宋体"/>
          <w:spacing w:val="-12"/>
          <w:sz w:val="22"/>
          <w:szCs w:val="22"/>
        </w:rPr>
        <w:t>吸收率高，谷氨酸配基</w:t>
      </w:r>
      <w:r>
        <w:rPr>
          <w:rFonts w:ascii="宋体" w:eastAsia="宋体" w:hAnsi="宋体" w:cs="宋体"/>
          <w:sz w:val="22"/>
          <w:szCs w:val="22"/>
        </w:rPr>
        <w:t xml:space="preserve"> </w:t>
      </w:r>
      <w:r>
        <w:rPr>
          <w:rFonts w:ascii="宋体" w:eastAsia="宋体" w:hAnsi="宋体" w:cs="宋体"/>
          <w:spacing w:val="-7"/>
          <w:sz w:val="22"/>
          <w:szCs w:val="22"/>
        </w:rPr>
        <w:t>越多，吸收率越低。乙醇、抗癫疴药物可抑制PPH</w:t>
      </w:r>
      <w:r>
        <w:rPr>
          <w:rFonts w:ascii="宋体" w:eastAsia="宋体" w:hAnsi="宋体" w:cs="宋体"/>
          <w:spacing w:val="45"/>
          <w:sz w:val="22"/>
          <w:szCs w:val="22"/>
        </w:rPr>
        <w:t xml:space="preserve"> </w:t>
      </w:r>
      <w:r>
        <w:rPr>
          <w:rFonts w:ascii="宋体" w:eastAsia="宋体" w:hAnsi="宋体" w:cs="宋体"/>
          <w:spacing w:val="-7"/>
          <w:sz w:val="22"/>
          <w:szCs w:val="22"/>
        </w:rPr>
        <w:t>从</w:t>
      </w:r>
      <w:r>
        <w:rPr>
          <w:rFonts w:ascii="宋体" w:eastAsia="宋体" w:hAnsi="宋体" w:cs="宋体"/>
          <w:spacing w:val="-8"/>
          <w:sz w:val="22"/>
          <w:szCs w:val="22"/>
        </w:rPr>
        <w:t>而影响叶酸吸收，葡萄糖</w:t>
      </w:r>
      <w:r>
        <w:rPr>
          <w:rFonts w:ascii="宋体" w:eastAsia="宋体" w:hAnsi="宋体" w:cs="宋体"/>
          <w:sz w:val="22"/>
          <w:szCs w:val="22"/>
        </w:rPr>
        <w:t xml:space="preserve"> </w:t>
      </w:r>
      <w:r>
        <w:rPr>
          <w:rFonts w:ascii="宋体" w:eastAsia="宋体" w:hAnsi="宋体" w:cs="宋体"/>
          <w:spacing w:val="-15"/>
          <w:sz w:val="22"/>
          <w:szCs w:val="22"/>
        </w:rPr>
        <w:t>与抗坏血酸则可促进叶酸吸收。</w:t>
      </w:r>
    </w:p>
    <w:p w:rsidR="00EA40A3" w:rsidRDefault="00E86C16">
      <w:pPr>
        <w:spacing w:before="55" w:line="241" w:lineRule="auto"/>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142</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959" w:bottom="400" w:left="869" w:header="0" w:footer="0" w:gutter="0"/>
          <w:cols w:space="720"/>
        </w:sectPr>
      </w:pPr>
    </w:p>
    <w:p w:rsidR="00EA40A3" w:rsidRDefault="00EA40A3">
      <w:pPr>
        <w:spacing w:line="335" w:lineRule="auto"/>
      </w:pPr>
    </w:p>
    <w:p w:rsidR="00EA40A3" w:rsidRDefault="00EA40A3">
      <w:pPr>
        <w:spacing w:line="335" w:lineRule="auto"/>
      </w:pPr>
    </w:p>
    <w:p w:rsidR="00EA40A3" w:rsidRDefault="00E86C16">
      <w:pPr>
        <w:spacing w:before="71" w:line="222" w:lineRule="auto"/>
        <w:rPr>
          <w:rFonts w:ascii="仿宋" w:eastAsia="仿宋" w:hAnsi="仿宋" w:cs="仿宋"/>
          <w:sz w:val="22"/>
          <w:szCs w:val="22"/>
        </w:rPr>
      </w:pPr>
      <w:r>
        <w:rPr>
          <w:rFonts w:ascii="仿宋" w:eastAsia="仿宋" w:hAnsi="仿宋" w:cs="仿宋"/>
          <w:spacing w:val="7"/>
          <w:sz w:val="22"/>
          <w:szCs w:val="22"/>
        </w:rPr>
        <w:t>3.</w:t>
      </w:r>
      <w:r>
        <w:rPr>
          <w:rFonts w:ascii="仿宋" w:eastAsia="仿宋" w:hAnsi="仿宋" w:cs="仿宋"/>
          <w:spacing w:val="-15"/>
          <w:sz w:val="22"/>
          <w:szCs w:val="22"/>
        </w:rPr>
        <w:t xml:space="preserve"> </w:t>
      </w:r>
      <w:r>
        <w:rPr>
          <w:rFonts w:ascii="仿宋" w:eastAsia="仿宋" w:hAnsi="仿宋" w:cs="仿宋"/>
          <w:spacing w:val="7"/>
          <w:sz w:val="22"/>
          <w:szCs w:val="22"/>
        </w:rPr>
        <w:t>叶酸的生理功能</w:t>
      </w:r>
    </w:p>
    <w:p w:rsidR="00EA40A3" w:rsidRDefault="00E86C16">
      <w:pPr>
        <w:spacing w:before="192" w:line="248" w:lineRule="auto"/>
        <w:ind w:firstLine="439"/>
        <w:rPr>
          <w:rFonts w:ascii="宋体" w:eastAsia="宋体" w:hAnsi="宋体" w:cs="宋体"/>
          <w:sz w:val="22"/>
          <w:szCs w:val="22"/>
        </w:rPr>
      </w:pPr>
      <w:r>
        <w:rPr>
          <w:rFonts w:ascii="宋体" w:eastAsia="宋体" w:hAnsi="宋体" w:cs="宋体"/>
          <w:spacing w:val="-7"/>
          <w:sz w:val="22"/>
          <w:szCs w:val="22"/>
        </w:rPr>
        <w:t>四氢叶酸是体内一碳单位转移酶的辅酶，叶酸分子内部N5、N10</w:t>
      </w:r>
      <w:r>
        <w:rPr>
          <w:rFonts w:ascii="宋体" w:eastAsia="宋体" w:hAnsi="宋体" w:cs="宋体"/>
          <w:spacing w:val="27"/>
          <w:sz w:val="22"/>
          <w:szCs w:val="22"/>
        </w:rPr>
        <w:t xml:space="preserve"> </w:t>
      </w:r>
      <w:r>
        <w:rPr>
          <w:rFonts w:ascii="宋体" w:eastAsia="宋体" w:hAnsi="宋体" w:cs="宋体"/>
          <w:spacing w:val="-7"/>
          <w:sz w:val="22"/>
          <w:szCs w:val="22"/>
        </w:rPr>
        <w:t>两个氮原</w:t>
      </w:r>
      <w:r>
        <w:rPr>
          <w:rFonts w:ascii="宋体" w:eastAsia="宋体" w:hAnsi="宋体" w:cs="宋体"/>
          <w:sz w:val="22"/>
          <w:szCs w:val="22"/>
        </w:rPr>
        <w:t xml:space="preserve"> </w:t>
      </w:r>
      <w:r>
        <w:rPr>
          <w:rFonts w:ascii="宋体" w:eastAsia="宋体" w:hAnsi="宋体" w:cs="宋体"/>
          <w:spacing w:val="-17"/>
          <w:sz w:val="22"/>
          <w:szCs w:val="22"/>
        </w:rPr>
        <w:t>子能携带一碳单位形成一碳单位四氢叶酸。</w:t>
      </w:r>
      <w:r>
        <w:rPr>
          <w:rFonts w:ascii="宋体" w:eastAsia="宋体" w:hAnsi="宋体" w:cs="宋体"/>
          <w:spacing w:val="34"/>
          <w:sz w:val="22"/>
          <w:szCs w:val="22"/>
        </w:rPr>
        <w:t xml:space="preserve"> </w:t>
      </w:r>
      <w:r>
        <w:rPr>
          <w:rFonts w:ascii="宋体" w:eastAsia="宋体" w:hAnsi="宋体" w:cs="宋体"/>
          <w:spacing w:val="-17"/>
          <w:sz w:val="22"/>
          <w:szCs w:val="22"/>
        </w:rPr>
        <w:t>一碳单位</w:t>
      </w:r>
      <w:r>
        <w:rPr>
          <w:rFonts w:ascii="宋体" w:eastAsia="宋体" w:hAnsi="宋体" w:cs="宋体"/>
          <w:spacing w:val="-18"/>
          <w:sz w:val="22"/>
          <w:szCs w:val="22"/>
        </w:rPr>
        <w:t>是指在代谢中某些化合物分</w:t>
      </w:r>
      <w:r>
        <w:rPr>
          <w:rFonts w:ascii="宋体" w:eastAsia="宋体" w:hAnsi="宋体" w:cs="宋体"/>
          <w:sz w:val="22"/>
          <w:szCs w:val="22"/>
        </w:rPr>
        <w:t xml:space="preserve">  </w:t>
      </w:r>
      <w:r>
        <w:rPr>
          <w:rFonts w:ascii="宋体" w:eastAsia="宋体" w:hAnsi="宋体" w:cs="宋体"/>
          <w:spacing w:val="-9"/>
          <w:sz w:val="22"/>
          <w:szCs w:val="22"/>
        </w:rPr>
        <w:t>解代谢生成的含一个碳原子的基团，如甲基(一CH</w:t>
      </w:r>
      <w:r>
        <w:rPr>
          <w:rFonts w:ascii="Calibri" w:eastAsia="Calibri" w:hAnsi="Calibri" w:cs="Calibri"/>
          <w:spacing w:val="-9"/>
          <w:sz w:val="22"/>
          <w:szCs w:val="22"/>
        </w:rPr>
        <w:t>₃</w:t>
      </w:r>
      <w:r>
        <w:rPr>
          <w:rFonts w:ascii="宋体" w:eastAsia="宋体" w:hAnsi="宋体" w:cs="宋体"/>
          <w:spacing w:val="-9"/>
          <w:sz w:val="22"/>
          <w:szCs w:val="22"/>
        </w:rPr>
        <w:t>)、</w:t>
      </w:r>
      <w:r>
        <w:rPr>
          <w:rFonts w:ascii="宋体" w:eastAsia="宋体" w:hAnsi="宋体" w:cs="宋体"/>
          <w:spacing w:val="13"/>
          <w:sz w:val="22"/>
          <w:szCs w:val="22"/>
        </w:rPr>
        <w:t xml:space="preserve">  </w:t>
      </w:r>
      <w:r>
        <w:rPr>
          <w:rFonts w:ascii="宋体" w:eastAsia="宋体" w:hAnsi="宋体" w:cs="宋体"/>
          <w:spacing w:val="-9"/>
          <w:sz w:val="22"/>
          <w:szCs w:val="22"/>
        </w:rPr>
        <w:t>亚甲基(一CH</w:t>
      </w:r>
      <w:r>
        <w:rPr>
          <w:rFonts w:ascii="Calibri" w:eastAsia="Calibri" w:hAnsi="Calibri" w:cs="Calibri"/>
          <w:spacing w:val="-9"/>
          <w:sz w:val="22"/>
          <w:szCs w:val="22"/>
        </w:rPr>
        <w:t>₂</w:t>
      </w:r>
      <w:r>
        <w:rPr>
          <w:rFonts w:ascii="宋体" w:eastAsia="宋体" w:hAnsi="宋体" w:cs="宋体"/>
          <w:spacing w:val="-9"/>
          <w:sz w:val="22"/>
          <w:szCs w:val="22"/>
        </w:rPr>
        <w:t>)、</w:t>
      </w:r>
      <w:r>
        <w:rPr>
          <w:rFonts w:ascii="宋体" w:eastAsia="宋体" w:hAnsi="宋体" w:cs="宋体"/>
          <w:spacing w:val="50"/>
          <w:sz w:val="22"/>
          <w:szCs w:val="22"/>
        </w:rPr>
        <w:t xml:space="preserve"> </w:t>
      </w:r>
      <w:r>
        <w:rPr>
          <w:rFonts w:ascii="宋体" w:eastAsia="宋体" w:hAnsi="宋体" w:cs="宋体"/>
          <w:spacing w:val="-9"/>
          <w:sz w:val="22"/>
          <w:szCs w:val="22"/>
        </w:rPr>
        <w:t>甲炔</w:t>
      </w:r>
      <w:r>
        <w:rPr>
          <w:rFonts w:ascii="宋体" w:eastAsia="宋体" w:hAnsi="宋体" w:cs="宋体"/>
          <w:sz w:val="22"/>
          <w:szCs w:val="22"/>
        </w:rPr>
        <w:t xml:space="preserve"> </w:t>
      </w:r>
      <w:r>
        <w:rPr>
          <w:rFonts w:ascii="宋体" w:eastAsia="宋体" w:hAnsi="宋体" w:cs="宋体"/>
          <w:spacing w:val="-10"/>
          <w:sz w:val="22"/>
          <w:szCs w:val="22"/>
        </w:rPr>
        <w:t>基</w:t>
      </w:r>
      <w:r>
        <w:rPr>
          <w:rFonts w:ascii="宋体" w:eastAsia="宋体" w:hAnsi="宋体" w:cs="宋体"/>
          <w:spacing w:val="30"/>
          <w:sz w:val="22"/>
          <w:szCs w:val="22"/>
        </w:rPr>
        <w:t xml:space="preserve"> </w:t>
      </w:r>
      <w:r>
        <w:rPr>
          <w:rFonts w:ascii="宋体" w:eastAsia="宋体" w:hAnsi="宋体" w:cs="宋体"/>
          <w:spacing w:val="-10"/>
          <w:sz w:val="22"/>
          <w:szCs w:val="22"/>
        </w:rPr>
        <w:t>( =CH)、</w:t>
      </w:r>
      <w:r>
        <w:rPr>
          <w:rFonts w:ascii="宋体" w:eastAsia="宋体" w:hAnsi="宋体" w:cs="宋体"/>
          <w:spacing w:val="8"/>
          <w:sz w:val="22"/>
          <w:szCs w:val="22"/>
        </w:rPr>
        <w:t xml:space="preserve">  </w:t>
      </w:r>
      <w:r>
        <w:rPr>
          <w:rFonts w:ascii="宋体" w:eastAsia="宋体" w:hAnsi="宋体" w:cs="宋体"/>
          <w:spacing w:val="-10"/>
          <w:sz w:val="22"/>
          <w:szCs w:val="22"/>
        </w:rPr>
        <w:t>甲酰基(—CHO)</w:t>
      </w:r>
      <w:r>
        <w:rPr>
          <w:rFonts w:ascii="宋体" w:eastAsia="宋体" w:hAnsi="宋体" w:cs="宋体"/>
          <w:spacing w:val="43"/>
          <w:sz w:val="22"/>
          <w:szCs w:val="22"/>
        </w:rPr>
        <w:t xml:space="preserve">  </w:t>
      </w:r>
      <w:r>
        <w:rPr>
          <w:rFonts w:ascii="宋体" w:eastAsia="宋体" w:hAnsi="宋体" w:cs="宋体"/>
          <w:spacing w:val="-10"/>
          <w:sz w:val="22"/>
          <w:szCs w:val="22"/>
        </w:rPr>
        <w:t>等。这些辅酶的主要作用是把一碳</w:t>
      </w:r>
      <w:r>
        <w:rPr>
          <w:rFonts w:ascii="宋体" w:eastAsia="宋体" w:hAnsi="宋体" w:cs="宋体"/>
          <w:spacing w:val="-11"/>
          <w:sz w:val="22"/>
          <w:szCs w:val="22"/>
        </w:rPr>
        <w:t>单位从一个</w:t>
      </w:r>
      <w:r>
        <w:rPr>
          <w:rFonts w:ascii="宋体" w:eastAsia="宋体" w:hAnsi="宋体" w:cs="宋体"/>
          <w:sz w:val="22"/>
          <w:szCs w:val="22"/>
        </w:rPr>
        <w:t xml:space="preserve">  </w:t>
      </w:r>
      <w:r>
        <w:rPr>
          <w:rFonts w:ascii="宋体" w:eastAsia="宋体" w:hAnsi="宋体" w:cs="宋体"/>
          <w:spacing w:val="-14"/>
          <w:sz w:val="22"/>
          <w:szCs w:val="22"/>
        </w:rPr>
        <w:t>化合物传递到另一个化合物上，</w:t>
      </w:r>
      <w:r>
        <w:rPr>
          <w:rFonts w:ascii="宋体" w:eastAsia="宋体" w:hAnsi="宋体" w:cs="宋体"/>
          <w:spacing w:val="18"/>
          <w:sz w:val="22"/>
          <w:szCs w:val="22"/>
        </w:rPr>
        <w:t xml:space="preserve"> </w:t>
      </w:r>
      <w:r>
        <w:rPr>
          <w:rFonts w:ascii="宋体" w:eastAsia="宋体" w:hAnsi="宋体" w:cs="宋体"/>
          <w:spacing w:val="-14"/>
          <w:sz w:val="22"/>
          <w:szCs w:val="22"/>
        </w:rPr>
        <w:t>一碳单位在体内参与多种物质的合成，如嘌呤、</w:t>
      </w:r>
      <w:r>
        <w:rPr>
          <w:rFonts w:ascii="宋体" w:eastAsia="宋体" w:hAnsi="宋体" w:cs="宋体"/>
          <w:sz w:val="22"/>
          <w:szCs w:val="22"/>
        </w:rPr>
        <w:t xml:space="preserve"> </w:t>
      </w:r>
      <w:r>
        <w:rPr>
          <w:rFonts w:ascii="宋体" w:eastAsia="宋体" w:hAnsi="宋体" w:cs="宋体"/>
          <w:spacing w:val="-8"/>
          <w:sz w:val="22"/>
          <w:szCs w:val="22"/>
        </w:rPr>
        <w:t>胸腺嘧啶核苷酸等。当叶酸缺乏时，</w:t>
      </w:r>
      <w:r>
        <w:rPr>
          <w:rFonts w:ascii="宋体" w:eastAsia="宋体" w:hAnsi="宋体" w:cs="宋体"/>
          <w:spacing w:val="10"/>
          <w:sz w:val="22"/>
          <w:szCs w:val="22"/>
        </w:rPr>
        <w:t xml:space="preserve"> </w:t>
      </w:r>
      <w:r>
        <w:rPr>
          <w:rFonts w:ascii="宋体" w:eastAsia="宋体" w:hAnsi="宋体" w:cs="宋体"/>
          <w:spacing w:val="-8"/>
          <w:sz w:val="22"/>
          <w:szCs w:val="22"/>
        </w:rPr>
        <w:t>DNA</w:t>
      </w:r>
      <w:r>
        <w:rPr>
          <w:rFonts w:ascii="宋体" w:eastAsia="宋体" w:hAnsi="宋体" w:cs="宋体"/>
          <w:spacing w:val="104"/>
          <w:sz w:val="22"/>
          <w:szCs w:val="22"/>
        </w:rPr>
        <w:t xml:space="preserve"> </w:t>
      </w:r>
      <w:r>
        <w:rPr>
          <w:rFonts w:ascii="宋体" w:eastAsia="宋体" w:hAnsi="宋体" w:cs="宋体"/>
          <w:spacing w:val="-8"/>
          <w:sz w:val="22"/>
          <w:szCs w:val="22"/>
        </w:rPr>
        <w:t>合成受到抑制，骨髓幼红细胞DNA</w:t>
      </w:r>
      <w:r>
        <w:rPr>
          <w:rFonts w:ascii="宋体" w:eastAsia="宋体" w:hAnsi="宋体" w:cs="宋体"/>
          <w:sz w:val="22"/>
          <w:szCs w:val="22"/>
        </w:rPr>
        <w:t xml:space="preserve">   </w:t>
      </w:r>
      <w:r>
        <w:rPr>
          <w:rFonts w:ascii="宋体" w:eastAsia="宋体" w:hAnsi="宋体" w:cs="宋体"/>
          <w:spacing w:val="-13"/>
          <w:sz w:val="22"/>
          <w:szCs w:val="22"/>
        </w:rPr>
        <w:t>合成减少，细胞分裂速度降低，细胞体积变大，造成巨幼红细胞</w:t>
      </w:r>
      <w:r>
        <w:rPr>
          <w:rFonts w:ascii="宋体" w:eastAsia="宋体" w:hAnsi="宋体" w:cs="宋体"/>
          <w:spacing w:val="-14"/>
          <w:sz w:val="22"/>
          <w:szCs w:val="22"/>
        </w:rPr>
        <w:t>贫血。叶酸可促</w:t>
      </w:r>
      <w:r>
        <w:rPr>
          <w:rFonts w:ascii="宋体" w:eastAsia="宋体" w:hAnsi="宋体" w:cs="宋体"/>
          <w:sz w:val="22"/>
          <w:szCs w:val="22"/>
        </w:rPr>
        <w:t xml:space="preserve">  </w:t>
      </w:r>
      <w:r>
        <w:rPr>
          <w:rFonts w:ascii="宋体" w:eastAsia="宋体" w:hAnsi="宋体" w:cs="宋体"/>
          <w:spacing w:val="-10"/>
          <w:sz w:val="22"/>
          <w:szCs w:val="22"/>
        </w:rPr>
        <w:t>进各种氨基酸间的相互转变，如使丝氨酸转变成甘氨酸</w:t>
      </w:r>
      <w:r>
        <w:rPr>
          <w:rFonts w:ascii="宋体" w:eastAsia="宋体" w:hAnsi="宋体" w:cs="宋体"/>
          <w:spacing w:val="-11"/>
          <w:sz w:val="22"/>
          <w:szCs w:val="22"/>
        </w:rPr>
        <w:t>、苯丙氨酸形成酪氨酸、</w:t>
      </w:r>
      <w:r>
        <w:rPr>
          <w:rFonts w:ascii="宋体" w:eastAsia="宋体" w:hAnsi="宋体" w:cs="宋体"/>
          <w:sz w:val="22"/>
          <w:szCs w:val="22"/>
        </w:rPr>
        <w:t xml:space="preserve"> </w:t>
      </w:r>
      <w:r>
        <w:rPr>
          <w:rFonts w:ascii="宋体" w:eastAsia="宋体" w:hAnsi="宋体" w:cs="宋体"/>
          <w:spacing w:val="-6"/>
          <w:sz w:val="22"/>
          <w:szCs w:val="22"/>
        </w:rPr>
        <w:t>组氨酸形成谷氨酸、高半胱氨酸形成蛋氨酸等，从</w:t>
      </w:r>
      <w:r>
        <w:rPr>
          <w:rFonts w:ascii="宋体" w:eastAsia="宋体" w:hAnsi="宋体" w:cs="宋体"/>
          <w:spacing w:val="-7"/>
          <w:sz w:val="22"/>
          <w:szCs w:val="22"/>
        </w:rPr>
        <w:t>而在蛋白质合成中起重要作</w:t>
      </w:r>
      <w:r>
        <w:rPr>
          <w:rFonts w:ascii="宋体" w:eastAsia="宋体" w:hAnsi="宋体" w:cs="宋体"/>
          <w:sz w:val="22"/>
          <w:szCs w:val="22"/>
        </w:rPr>
        <w:t xml:space="preserve"> </w:t>
      </w:r>
      <w:r>
        <w:rPr>
          <w:rFonts w:ascii="宋体" w:eastAsia="宋体" w:hAnsi="宋体" w:cs="宋体"/>
          <w:spacing w:val="-13"/>
          <w:sz w:val="22"/>
          <w:szCs w:val="22"/>
        </w:rPr>
        <w:t>用。此外，叶酸还可通过蛋氨酸代谢影响磷脂、</w:t>
      </w:r>
      <w:r>
        <w:rPr>
          <w:rFonts w:ascii="宋体" w:eastAsia="宋体" w:hAnsi="宋体" w:cs="宋体"/>
          <w:spacing w:val="-14"/>
          <w:sz w:val="22"/>
          <w:szCs w:val="22"/>
        </w:rPr>
        <w:t>肌酸、神经介质的合成。</w:t>
      </w:r>
    </w:p>
    <w:p w:rsidR="00EA40A3" w:rsidRDefault="00E86C16">
      <w:pPr>
        <w:spacing w:before="97" w:line="236" w:lineRule="auto"/>
        <w:ind w:right="72" w:firstLine="439"/>
        <w:rPr>
          <w:rFonts w:ascii="宋体" w:eastAsia="宋体" w:hAnsi="宋体" w:cs="宋体"/>
          <w:sz w:val="22"/>
          <w:szCs w:val="22"/>
        </w:rPr>
      </w:pPr>
      <w:r>
        <w:rPr>
          <w:rFonts w:ascii="宋体" w:eastAsia="宋体" w:hAnsi="宋体" w:cs="宋体"/>
          <w:spacing w:val="-8"/>
          <w:sz w:val="22"/>
          <w:szCs w:val="22"/>
        </w:rPr>
        <w:t>维生素C、</w:t>
      </w:r>
      <w:r>
        <w:rPr>
          <w:rFonts w:ascii="宋体" w:eastAsia="宋体" w:hAnsi="宋体" w:cs="宋体"/>
          <w:spacing w:val="-16"/>
          <w:sz w:val="22"/>
          <w:szCs w:val="22"/>
        </w:rPr>
        <w:t xml:space="preserve"> </w:t>
      </w:r>
      <w:r>
        <w:rPr>
          <w:rFonts w:ascii="宋体" w:eastAsia="宋体" w:hAnsi="宋体" w:cs="宋体"/>
          <w:spacing w:val="-8"/>
          <w:sz w:val="22"/>
          <w:szCs w:val="22"/>
        </w:rPr>
        <w:t>维生素B</w:t>
      </w:r>
      <w:r>
        <w:rPr>
          <w:rFonts w:ascii="Calibri" w:eastAsia="Calibri" w:hAnsi="Calibri" w:cs="Calibri"/>
          <w:spacing w:val="-8"/>
          <w:sz w:val="22"/>
          <w:szCs w:val="22"/>
        </w:rPr>
        <w:t>₂</w:t>
      </w:r>
      <w:r>
        <w:rPr>
          <w:rFonts w:ascii="Calibri" w:eastAsia="Calibri" w:hAnsi="Calibri" w:cs="Calibri"/>
          <w:spacing w:val="5"/>
          <w:sz w:val="22"/>
          <w:szCs w:val="22"/>
        </w:rPr>
        <w:t xml:space="preserve">  </w:t>
      </w:r>
      <w:r>
        <w:rPr>
          <w:rFonts w:ascii="宋体" w:eastAsia="宋体" w:hAnsi="宋体" w:cs="宋体"/>
          <w:spacing w:val="-8"/>
          <w:sz w:val="22"/>
          <w:szCs w:val="22"/>
        </w:rPr>
        <w:t>和维生素B,在许多代谢中是使叶酸辅酶具有活性所必</w:t>
      </w:r>
      <w:r>
        <w:rPr>
          <w:rFonts w:ascii="宋体" w:eastAsia="宋体" w:hAnsi="宋体" w:cs="宋体"/>
          <w:sz w:val="22"/>
          <w:szCs w:val="22"/>
        </w:rPr>
        <w:t xml:space="preserve"> </w:t>
      </w:r>
      <w:r>
        <w:rPr>
          <w:rFonts w:ascii="宋体" w:eastAsia="宋体" w:hAnsi="宋体" w:cs="宋体"/>
          <w:spacing w:val="-12"/>
          <w:sz w:val="22"/>
          <w:szCs w:val="22"/>
        </w:rPr>
        <w:t>需的，这充分体现了不同维生素间的相互依赖关系.</w:t>
      </w:r>
    </w:p>
    <w:p w:rsidR="00EA40A3" w:rsidRDefault="00E86C16">
      <w:pPr>
        <w:spacing w:before="197" w:line="224" w:lineRule="auto"/>
        <w:rPr>
          <w:rFonts w:ascii="楷体" w:eastAsia="楷体" w:hAnsi="楷体" w:cs="楷体"/>
          <w:sz w:val="22"/>
          <w:szCs w:val="22"/>
        </w:rPr>
      </w:pPr>
      <w:r>
        <w:rPr>
          <w:rFonts w:ascii="楷体" w:eastAsia="楷体" w:hAnsi="楷体" w:cs="楷体"/>
          <w:spacing w:val="13"/>
          <w:sz w:val="22"/>
          <w:szCs w:val="22"/>
        </w:rPr>
        <w:t>4.</w:t>
      </w:r>
      <w:r>
        <w:rPr>
          <w:rFonts w:ascii="楷体" w:eastAsia="楷体" w:hAnsi="楷体" w:cs="楷体"/>
          <w:spacing w:val="-43"/>
          <w:sz w:val="22"/>
          <w:szCs w:val="22"/>
        </w:rPr>
        <w:t xml:space="preserve"> </w:t>
      </w:r>
      <w:r>
        <w:rPr>
          <w:rFonts w:ascii="楷体" w:eastAsia="楷体" w:hAnsi="楷体" w:cs="楷体"/>
          <w:spacing w:val="13"/>
          <w:sz w:val="22"/>
          <w:szCs w:val="22"/>
        </w:rPr>
        <w:t>叶酸的缺乏症与过量毒性</w:t>
      </w:r>
    </w:p>
    <w:p w:rsidR="00EA40A3" w:rsidRDefault="00E86C16">
      <w:pPr>
        <w:spacing w:before="181" w:line="232" w:lineRule="auto"/>
        <w:rPr>
          <w:rFonts w:ascii="楷体" w:eastAsia="楷体" w:hAnsi="楷体" w:cs="楷体"/>
          <w:sz w:val="22"/>
          <w:szCs w:val="22"/>
        </w:rPr>
      </w:pPr>
      <w:r>
        <w:rPr>
          <w:rFonts w:ascii="楷体" w:eastAsia="楷体" w:hAnsi="楷体" w:cs="楷体"/>
          <w:spacing w:val="1"/>
          <w:sz w:val="22"/>
          <w:szCs w:val="22"/>
        </w:rPr>
        <w:t>1)缺乏症</w:t>
      </w:r>
    </w:p>
    <w:p w:rsidR="00EA40A3" w:rsidRDefault="00E86C16">
      <w:pPr>
        <w:spacing w:before="39" w:line="219" w:lineRule="auto"/>
        <w:ind w:left="439"/>
        <w:rPr>
          <w:rFonts w:ascii="宋体" w:eastAsia="宋体" w:hAnsi="宋体" w:cs="宋体"/>
          <w:sz w:val="22"/>
          <w:szCs w:val="22"/>
        </w:rPr>
      </w:pPr>
      <w:r>
        <w:rPr>
          <w:rFonts w:ascii="宋体" w:eastAsia="宋体" w:hAnsi="宋体" w:cs="宋体"/>
          <w:spacing w:val="-17"/>
          <w:sz w:val="22"/>
          <w:szCs w:val="22"/>
        </w:rPr>
        <w:t>叶酸缺乏的常见原因如下：</w:t>
      </w:r>
    </w:p>
    <w:p w:rsidR="00EA40A3" w:rsidRDefault="00E86C16">
      <w:pPr>
        <w:spacing w:before="49" w:line="219" w:lineRule="auto"/>
        <w:ind w:left="439"/>
        <w:rPr>
          <w:rFonts w:ascii="宋体" w:eastAsia="宋体" w:hAnsi="宋体" w:cs="宋体"/>
          <w:sz w:val="22"/>
          <w:szCs w:val="22"/>
        </w:rPr>
      </w:pPr>
      <w:r>
        <w:rPr>
          <w:rFonts w:ascii="宋体" w:eastAsia="宋体" w:hAnsi="宋体" w:cs="宋体"/>
          <w:spacing w:val="-10"/>
          <w:sz w:val="22"/>
          <w:szCs w:val="22"/>
        </w:rPr>
        <w:t>(1)摄入不足：膳食中叶酸不足或烹调加工损失。</w:t>
      </w:r>
    </w:p>
    <w:p w:rsidR="00EA40A3" w:rsidRDefault="00E86C16">
      <w:pPr>
        <w:spacing w:before="47" w:line="219" w:lineRule="auto"/>
        <w:ind w:left="439"/>
        <w:rPr>
          <w:rFonts w:ascii="宋体" w:eastAsia="宋体" w:hAnsi="宋体" w:cs="宋体"/>
          <w:sz w:val="22"/>
          <w:szCs w:val="22"/>
        </w:rPr>
      </w:pPr>
      <w:r>
        <w:rPr>
          <w:rFonts w:ascii="宋体" w:eastAsia="宋体" w:hAnsi="宋体" w:cs="宋体"/>
          <w:spacing w:val="-10"/>
          <w:sz w:val="22"/>
          <w:szCs w:val="22"/>
        </w:rPr>
        <w:t>(2)吸收利用不足：某些二氢叶酸还原酶拮抗剂药物，先天性酶缺乏，维生</w:t>
      </w:r>
    </w:p>
    <w:p w:rsidR="00EA40A3" w:rsidRDefault="00E86C16">
      <w:pPr>
        <w:spacing w:before="51" w:line="219" w:lineRule="auto"/>
        <w:rPr>
          <w:rFonts w:ascii="宋体" w:eastAsia="宋体" w:hAnsi="宋体" w:cs="宋体"/>
          <w:sz w:val="22"/>
          <w:szCs w:val="22"/>
        </w:rPr>
      </w:pPr>
      <w:r>
        <w:rPr>
          <w:rFonts w:ascii="宋体" w:eastAsia="宋体" w:hAnsi="宋体" w:cs="宋体"/>
          <w:spacing w:val="-10"/>
          <w:sz w:val="22"/>
          <w:szCs w:val="22"/>
        </w:rPr>
        <w:t>素B</w:t>
      </w:r>
      <w:r>
        <w:rPr>
          <w:rFonts w:ascii="Calibri" w:eastAsia="Calibri" w:hAnsi="Calibri" w:cs="Calibri"/>
          <w:spacing w:val="-10"/>
          <w:sz w:val="22"/>
          <w:szCs w:val="22"/>
        </w:rPr>
        <w:t>₂</w:t>
      </w:r>
      <w:r>
        <w:rPr>
          <w:rFonts w:ascii="Calibri" w:eastAsia="Calibri" w:hAnsi="Calibri" w:cs="Calibri"/>
          <w:spacing w:val="7"/>
          <w:sz w:val="22"/>
          <w:szCs w:val="22"/>
        </w:rPr>
        <w:t xml:space="preserve">  </w:t>
      </w:r>
      <w:r>
        <w:rPr>
          <w:rFonts w:ascii="宋体" w:eastAsia="宋体" w:hAnsi="宋体" w:cs="宋体"/>
          <w:spacing w:val="-10"/>
          <w:sz w:val="22"/>
          <w:szCs w:val="22"/>
        </w:rPr>
        <w:t>和维生素C</w:t>
      </w:r>
      <w:r>
        <w:rPr>
          <w:rFonts w:ascii="宋体" w:eastAsia="宋体" w:hAnsi="宋体" w:cs="宋体"/>
          <w:spacing w:val="-14"/>
          <w:sz w:val="22"/>
          <w:szCs w:val="22"/>
        </w:rPr>
        <w:t xml:space="preserve"> </w:t>
      </w:r>
      <w:r>
        <w:rPr>
          <w:rFonts w:ascii="宋体" w:eastAsia="宋体" w:hAnsi="宋体" w:cs="宋体"/>
          <w:spacing w:val="-10"/>
          <w:sz w:val="22"/>
          <w:szCs w:val="22"/>
        </w:rPr>
        <w:t>缺乏等均影响叶酸的吸收、利用。</w:t>
      </w:r>
    </w:p>
    <w:p w:rsidR="00EA40A3" w:rsidRDefault="00E86C16">
      <w:pPr>
        <w:spacing w:before="47" w:line="236" w:lineRule="auto"/>
        <w:ind w:left="439" w:right="930"/>
        <w:rPr>
          <w:rFonts w:ascii="宋体" w:eastAsia="宋体" w:hAnsi="宋体" w:cs="宋体"/>
          <w:sz w:val="22"/>
          <w:szCs w:val="22"/>
        </w:rPr>
      </w:pPr>
      <w:r>
        <w:rPr>
          <w:rFonts w:ascii="宋体" w:eastAsia="宋体" w:hAnsi="宋体" w:cs="宋体"/>
          <w:spacing w:val="-10"/>
          <w:sz w:val="22"/>
          <w:szCs w:val="22"/>
        </w:rPr>
        <w:t>(3)需要量增加：孕妇以及代谢率增加等情况下叶酸需要量增加</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20"/>
          <w:sz w:val="22"/>
          <w:szCs w:val="22"/>
        </w:rPr>
        <w:t>叶酸缺乏症表现如下：</w:t>
      </w:r>
    </w:p>
    <w:p w:rsidR="00EA40A3" w:rsidRDefault="00E86C16">
      <w:pPr>
        <w:spacing w:before="55" w:line="246" w:lineRule="auto"/>
        <w:ind w:right="73" w:firstLine="439"/>
        <w:jc w:val="both"/>
        <w:rPr>
          <w:rFonts w:ascii="宋体" w:eastAsia="宋体" w:hAnsi="宋体" w:cs="宋体"/>
          <w:sz w:val="22"/>
          <w:szCs w:val="22"/>
        </w:rPr>
      </w:pPr>
      <w:r>
        <w:rPr>
          <w:rFonts w:ascii="宋体" w:eastAsia="宋体" w:hAnsi="宋体" w:cs="宋体"/>
          <w:spacing w:val="-7"/>
          <w:sz w:val="22"/>
          <w:szCs w:val="22"/>
        </w:rPr>
        <w:t>(1)巨幼红细胞贫血</w:t>
      </w:r>
      <w:r>
        <w:rPr>
          <w:rFonts w:ascii="宋体" w:eastAsia="宋体" w:hAnsi="宋体" w:cs="宋体"/>
          <w:spacing w:val="-16"/>
          <w:sz w:val="22"/>
          <w:szCs w:val="22"/>
        </w:rPr>
        <w:t xml:space="preserve"> </w:t>
      </w:r>
      <w:r>
        <w:rPr>
          <w:rFonts w:ascii="宋体" w:eastAsia="宋体" w:hAnsi="宋体" w:cs="宋体"/>
          <w:spacing w:val="-7"/>
          <w:sz w:val="22"/>
          <w:szCs w:val="22"/>
        </w:rPr>
        <w:t>(megaloblastic</w:t>
      </w:r>
      <w:r>
        <w:rPr>
          <w:rFonts w:ascii="宋体" w:eastAsia="宋体" w:hAnsi="宋体" w:cs="宋体"/>
          <w:spacing w:val="-1"/>
          <w:sz w:val="22"/>
          <w:szCs w:val="22"/>
        </w:rPr>
        <w:t xml:space="preserve"> </w:t>
      </w:r>
      <w:r>
        <w:rPr>
          <w:rFonts w:ascii="宋体" w:eastAsia="宋体" w:hAnsi="宋体" w:cs="宋体"/>
          <w:spacing w:val="-7"/>
          <w:sz w:val="22"/>
          <w:szCs w:val="22"/>
        </w:rPr>
        <w:t>anemia):为叶酸严重缺乏时的典型临</w:t>
      </w:r>
      <w:r>
        <w:rPr>
          <w:rFonts w:ascii="宋体" w:eastAsia="宋体" w:hAnsi="宋体" w:cs="宋体"/>
          <w:sz w:val="22"/>
          <w:szCs w:val="22"/>
        </w:rPr>
        <w:t xml:space="preserve"> </w:t>
      </w:r>
      <w:r>
        <w:rPr>
          <w:rFonts w:ascii="宋体" w:eastAsia="宋体" w:hAnsi="宋体" w:cs="宋体"/>
          <w:spacing w:val="-10"/>
          <w:sz w:val="22"/>
          <w:szCs w:val="22"/>
        </w:rPr>
        <w:t>床表现。红血球比正常的大而少，并且发育不全。这种贫血是由于核蛋白</w:t>
      </w:r>
      <w:r>
        <w:rPr>
          <w:rFonts w:ascii="宋体" w:eastAsia="宋体" w:hAnsi="宋体" w:cs="宋体"/>
          <w:spacing w:val="-9"/>
          <w:sz w:val="22"/>
          <w:szCs w:val="22"/>
        </w:rPr>
        <w:t xml:space="preserve"> </w:t>
      </w:r>
      <w:r>
        <w:rPr>
          <w:rFonts w:ascii="宋体" w:eastAsia="宋体" w:hAnsi="宋体" w:cs="宋体"/>
          <w:spacing w:val="-10"/>
          <w:sz w:val="22"/>
          <w:szCs w:val="22"/>
        </w:rPr>
        <w:t>(nu-</w:t>
      </w:r>
      <w:r>
        <w:rPr>
          <w:rFonts w:ascii="宋体" w:eastAsia="宋体" w:hAnsi="宋体" w:cs="宋体"/>
          <w:sz w:val="22"/>
          <w:szCs w:val="22"/>
        </w:rPr>
        <w:t xml:space="preserve"> </w:t>
      </w:r>
      <w:r>
        <w:rPr>
          <w:rFonts w:ascii="宋体" w:eastAsia="宋体" w:hAnsi="宋体" w:cs="宋体"/>
          <w:spacing w:val="-7"/>
          <w:sz w:val="22"/>
          <w:szCs w:val="22"/>
        </w:rPr>
        <w:t>cleoprotein)</w:t>
      </w:r>
      <w:r>
        <w:rPr>
          <w:rFonts w:ascii="宋体" w:eastAsia="宋体" w:hAnsi="宋体" w:cs="宋体"/>
          <w:spacing w:val="-49"/>
          <w:sz w:val="22"/>
          <w:szCs w:val="22"/>
        </w:rPr>
        <w:t xml:space="preserve"> </w:t>
      </w:r>
      <w:r>
        <w:rPr>
          <w:rFonts w:ascii="宋体" w:eastAsia="宋体" w:hAnsi="宋体" w:cs="宋体"/>
          <w:spacing w:val="-7"/>
          <w:sz w:val="22"/>
          <w:szCs w:val="22"/>
        </w:rPr>
        <w:t>形成不足，使骨髓中的核巨红血球(幼稚型红血球)不能成熟。由</w:t>
      </w:r>
      <w:r>
        <w:rPr>
          <w:rFonts w:ascii="宋体" w:eastAsia="宋体" w:hAnsi="宋体" w:cs="宋体"/>
          <w:sz w:val="22"/>
          <w:szCs w:val="22"/>
        </w:rPr>
        <w:t xml:space="preserve"> </w:t>
      </w:r>
      <w:r>
        <w:rPr>
          <w:rFonts w:ascii="宋体" w:eastAsia="宋体" w:hAnsi="宋体" w:cs="宋体"/>
          <w:spacing w:val="-13"/>
          <w:sz w:val="22"/>
          <w:szCs w:val="22"/>
        </w:rPr>
        <w:t>于红血球数量减小，因而血红蛋白水平降低，同时，白血球、血</w:t>
      </w:r>
      <w:r>
        <w:rPr>
          <w:rFonts w:ascii="宋体" w:eastAsia="宋体" w:hAnsi="宋体" w:cs="宋体"/>
          <w:spacing w:val="-14"/>
          <w:sz w:val="22"/>
          <w:szCs w:val="22"/>
        </w:rPr>
        <w:t>小板和血清叶酸</w:t>
      </w:r>
      <w:r>
        <w:rPr>
          <w:rFonts w:ascii="宋体" w:eastAsia="宋体" w:hAnsi="宋体" w:cs="宋体"/>
          <w:sz w:val="22"/>
          <w:szCs w:val="22"/>
        </w:rPr>
        <w:t xml:space="preserve"> </w:t>
      </w:r>
      <w:r>
        <w:rPr>
          <w:rFonts w:ascii="宋体" w:eastAsia="宋体" w:hAnsi="宋体" w:cs="宋体"/>
          <w:spacing w:val="-18"/>
          <w:sz w:val="22"/>
          <w:szCs w:val="22"/>
        </w:rPr>
        <w:t>的水平也降低：</w:t>
      </w:r>
    </w:p>
    <w:p w:rsidR="00EA40A3" w:rsidRDefault="00E86C16">
      <w:pPr>
        <w:spacing w:before="31" w:line="241" w:lineRule="auto"/>
        <w:ind w:right="83" w:firstLine="439"/>
        <w:jc w:val="both"/>
        <w:rPr>
          <w:rFonts w:ascii="宋体" w:eastAsia="宋体" w:hAnsi="宋体" w:cs="宋体"/>
          <w:sz w:val="22"/>
          <w:szCs w:val="22"/>
        </w:rPr>
      </w:pPr>
      <w:r>
        <w:rPr>
          <w:rFonts w:ascii="宋体" w:eastAsia="宋体" w:hAnsi="宋体" w:cs="宋体"/>
          <w:spacing w:val="-12"/>
          <w:sz w:val="22"/>
          <w:szCs w:val="22"/>
        </w:rPr>
        <w:t>(2)孕妇缺乏叶酸使</w:t>
      </w:r>
      <w:r>
        <w:rPr>
          <w:rFonts w:ascii="宋体" w:eastAsia="宋体" w:hAnsi="宋体" w:cs="宋体"/>
          <w:spacing w:val="-13"/>
          <w:sz w:val="22"/>
          <w:szCs w:val="22"/>
        </w:rPr>
        <w:t>先兆子痫</w:t>
      </w:r>
      <w:r>
        <w:rPr>
          <w:rFonts w:ascii="宋体" w:eastAsia="宋体" w:hAnsi="宋体" w:cs="宋体"/>
          <w:spacing w:val="-23"/>
          <w:sz w:val="22"/>
          <w:szCs w:val="22"/>
        </w:rPr>
        <w:t xml:space="preserve"> </w:t>
      </w:r>
      <w:r>
        <w:rPr>
          <w:rFonts w:ascii="宋体" w:eastAsia="宋体" w:hAnsi="宋体" w:cs="宋体"/>
          <w:spacing w:val="-13"/>
          <w:sz w:val="22"/>
          <w:szCs w:val="22"/>
        </w:rPr>
        <w:t>(</w:t>
      </w:r>
      <w:r>
        <w:rPr>
          <w:rFonts w:ascii="宋体" w:eastAsia="宋体" w:hAnsi="宋体" w:cs="宋体"/>
          <w:spacing w:val="-12"/>
          <w:sz w:val="22"/>
          <w:szCs w:val="22"/>
        </w:rPr>
        <w:t>preeclampsia</w:t>
      </w:r>
      <w:r>
        <w:rPr>
          <w:rFonts w:ascii="宋体" w:eastAsia="宋体" w:hAnsi="宋体" w:cs="宋体"/>
          <w:spacing w:val="-13"/>
          <w:sz w:val="22"/>
          <w:szCs w:val="22"/>
        </w:rPr>
        <w:t>)、胎盘早剥</w:t>
      </w:r>
      <w:r>
        <w:rPr>
          <w:rFonts w:ascii="宋体" w:eastAsia="宋体" w:hAnsi="宋体" w:cs="宋体"/>
          <w:spacing w:val="-32"/>
          <w:sz w:val="22"/>
          <w:szCs w:val="22"/>
        </w:rPr>
        <w:t xml:space="preserve"> </w:t>
      </w:r>
      <w:r>
        <w:rPr>
          <w:rFonts w:ascii="宋体" w:eastAsia="宋体" w:hAnsi="宋体" w:cs="宋体"/>
          <w:spacing w:val="-13"/>
          <w:sz w:val="22"/>
          <w:szCs w:val="22"/>
        </w:rPr>
        <w:t>(</w:t>
      </w:r>
      <w:r>
        <w:rPr>
          <w:rFonts w:ascii="宋体" w:eastAsia="宋体" w:hAnsi="宋体" w:cs="宋体"/>
          <w:spacing w:val="-12"/>
          <w:sz w:val="22"/>
          <w:szCs w:val="22"/>
        </w:rPr>
        <w:t>placental</w:t>
      </w:r>
      <w:r>
        <w:rPr>
          <w:rFonts w:ascii="宋体" w:eastAsia="宋体" w:hAnsi="宋体" w:cs="宋体"/>
          <w:spacing w:val="-9"/>
          <w:sz w:val="22"/>
          <w:szCs w:val="22"/>
        </w:rPr>
        <w:t xml:space="preserve"> </w:t>
      </w:r>
      <w:r>
        <w:rPr>
          <w:rFonts w:ascii="宋体" w:eastAsia="宋体" w:hAnsi="宋体" w:cs="宋体"/>
          <w:spacing w:val="-12"/>
          <w:sz w:val="22"/>
          <w:szCs w:val="22"/>
        </w:rPr>
        <w:t>abrup</w:t>
      </w:r>
      <w:r>
        <w:rPr>
          <w:rFonts w:ascii="宋体" w:eastAsia="宋体" w:hAnsi="宋体" w:cs="宋体"/>
          <w:spacing w:val="-13"/>
          <w:sz w:val="22"/>
          <w:szCs w:val="22"/>
        </w:rPr>
        <w:t>-</w:t>
      </w:r>
      <w:r>
        <w:rPr>
          <w:rFonts w:ascii="宋体" w:eastAsia="宋体" w:hAnsi="宋体" w:cs="宋体"/>
          <w:sz w:val="22"/>
          <w:szCs w:val="22"/>
        </w:rPr>
        <w:t xml:space="preserve"> </w:t>
      </w:r>
      <w:r>
        <w:rPr>
          <w:rFonts w:ascii="宋体" w:eastAsia="宋体" w:hAnsi="宋体" w:cs="宋体"/>
          <w:spacing w:val="-7"/>
          <w:sz w:val="22"/>
          <w:szCs w:val="22"/>
        </w:rPr>
        <w:t>tion)</w:t>
      </w:r>
      <w:r>
        <w:rPr>
          <w:rFonts w:ascii="宋体" w:eastAsia="宋体" w:hAnsi="宋体" w:cs="宋体"/>
          <w:spacing w:val="-40"/>
          <w:sz w:val="22"/>
          <w:szCs w:val="22"/>
        </w:rPr>
        <w:t xml:space="preserve"> </w:t>
      </w:r>
      <w:r>
        <w:rPr>
          <w:rFonts w:ascii="宋体" w:eastAsia="宋体" w:hAnsi="宋体" w:cs="宋体"/>
          <w:spacing w:val="-7"/>
          <w:sz w:val="22"/>
          <w:szCs w:val="22"/>
        </w:rPr>
        <w:t>的发生率增高；怀孕早期缺乏叶酸是引起胎儿神经管畸形</w:t>
      </w:r>
      <w:r>
        <w:rPr>
          <w:rFonts w:ascii="宋体" w:eastAsia="宋体" w:hAnsi="宋体" w:cs="宋体"/>
          <w:spacing w:val="-23"/>
          <w:sz w:val="22"/>
          <w:szCs w:val="22"/>
        </w:rPr>
        <w:t xml:space="preserve"> </w:t>
      </w:r>
      <w:r>
        <w:rPr>
          <w:rFonts w:ascii="宋体" w:eastAsia="宋体" w:hAnsi="宋体" w:cs="宋体"/>
          <w:spacing w:val="-7"/>
          <w:sz w:val="22"/>
          <w:szCs w:val="22"/>
        </w:rPr>
        <w:t>(neural</w:t>
      </w:r>
      <w:r>
        <w:rPr>
          <w:rFonts w:ascii="宋体" w:eastAsia="宋体" w:hAnsi="宋体" w:cs="宋体"/>
          <w:sz w:val="22"/>
          <w:szCs w:val="22"/>
        </w:rPr>
        <w:t xml:space="preserve"> </w:t>
      </w:r>
      <w:r>
        <w:rPr>
          <w:rFonts w:ascii="宋体" w:eastAsia="宋体" w:hAnsi="宋体" w:cs="宋体"/>
          <w:spacing w:val="-7"/>
          <w:sz w:val="22"/>
          <w:szCs w:val="22"/>
        </w:rPr>
        <w:t>tube</w:t>
      </w:r>
      <w:r>
        <w:rPr>
          <w:rFonts w:ascii="宋体" w:eastAsia="宋体" w:hAnsi="宋体" w:cs="宋体"/>
          <w:sz w:val="22"/>
          <w:szCs w:val="22"/>
        </w:rPr>
        <w:t xml:space="preserve"> </w:t>
      </w:r>
      <w:r>
        <w:rPr>
          <w:rFonts w:ascii="宋体" w:eastAsia="宋体" w:hAnsi="宋体" w:cs="宋体"/>
          <w:spacing w:val="-6"/>
          <w:sz w:val="22"/>
          <w:szCs w:val="22"/>
        </w:rPr>
        <w:t>defect,NTD)</w:t>
      </w:r>
      <w:r>
        <w:rPr>
          <w:rFonts w:ascii="宋体" w:eastAsia="宋体" w:hAnsi="宋体" w:cs="宋体"/>
          <w:spacing w:val="47"/>
          <w:sz w:val="22"/>
          <w:szCs w:val="22"/>
        </w:rPr>
        <w:t xml:space="preserve"> </w:t>
      </w:r>
      <w:r>
        <w:rPr>
          <w:rFonts w:ascii="宋体" w:eastAsia="宋体" w:hAnsi="宋体" w:cs="宋体"/>
          <w:spacing w:val="-6"/>
          <w:sz w:val="22"/>
          <w:szCs w:val="22"/>
        </w:rPr>
        <w:t>的主要原因。</w:t>
      </w:r>
    </w:p>
    <w:p w:rsidR="00EA40A3" w:rsidRDefault="00E86C16">
      <w:pPr>
        <w:spacing w:before="41" w:line="246" w:lineRule="auto"/>
        <w:ind w:firstLine="439"/>
        <w:jc w:val="both"/>
        <w:rPr>
          <w:rFonts w:ascii="宋体" w:eastAsia="宋体" w:hAnsi="宋体" w:cs="宋体"/>
          <w:sz w:val="22"/>
          <w:szCs w:val="22"/>
        </w:rPr>
      </w:pPr>
      <w:r>
        <w:rPr>
          <w:rFonts w:ascii="宋体" w:eastAsia="宋体" w:hAnsi="宋体" w:cs="宋体"/>
          <w:spacing w:val="-3"/>
          <w:sz w:val="22"/>
          <w:szCs w:val="22"/>
        </w:rPr>
        <w:t>(3)高同型半胱氨酸血症</w:t>
      </w:r>
      <w:r>
        <w:rPr>
          <w:rFonts w:ascii="宋体" w:eastAsia="宋体" w:hAnsi="宋体" w:cs="宋体"/>
          <w:spacing w:val="-27"/>
          <w:sz w:val="22"/>
          <w:szCs w:val="22"/>
        </w:rPr>
        <w:t xml:space="preserve"> </w:t>
      </w:r>
      <w:r>
        <w:rPr>
          <w:rFonts w:ascii="宋体" w:eastAsia="宋体" w:hAnsi="宋体" w:cs="宋体"/>
          <w:spacing w:val="-3"/>
          <w:sz w:val="22"/>
          <w:szCs w:val="22"/>
        </w:rPr>
        <w:t>[hyperhomocysteinemia,HH(e)]:</w:t>
      </w:r>
      <w:r>
        <w:rPr>
          <w:rFonts w:ascii="宋体" w:eastAsia="宋体" w:hAnsi="宋体" w:cs="宋体"/>
          <w:spacing w:val="26"/>
          <w:sz w:val="22"/>
          <w:szCs w:val="22"/>
        </w:rPr>
        <w:t xml:space="preserve">  </w:t>
      </w:r>
      <w:r>
        <w:rPr>
          <w:rFonts w:ascii="宋体" w:eastAsia="宋体" w:hAnsi="宋体" w:cs="宋体"/>
          <w:spacing w:val="-3"/>
          <w:sz w:val="22"/>
          <w:szCs w:val="22"/>
        </w:rPr>
        <w:t>叶酸、维生</w:t>
      </w:r>
      <w:r>
        <w:rPr>
          <w:rFonts w:ascii="宋体" w:eastAsia="宋体" w:hAnsi="宋体" w:cs="宋体"/>
          <w:spacing w:val="1"/>
          <w:sz w:val="22"/>
          <w:szCs w:val="22"/>
        </w:rPr>
        <w:t xml:space="preserve"> 素</w:t>
      </w:r>
      <w:r>
        <w:rPr>
          <w:rFonts w:ascii="宋体" w:eastAsia="宋体" w:hAnsi="宋体" w:cs="宋体"/>
          <w:spacing w:val="-49"/>
          <w:sz w:val="22"/>
          <w:szCs w:val="22"/>
        </w:rPr>
        <w:t xml:space="preserve"> </w:t>
      </w:r>
      <w:r>
        <w:rPr>
          <w:rFonts w:ascii="宋体" w:eastAsia="宋体" w:hAnsi="宋体" w:cs="宋体"/>
          <w:spacing w:val="1"/>
          <w:sz w:val="22"/>
          <w:szCs w:val="22"/>
        </w:rPr>
        <w:t>B</w:t>
      </w:r>
      <w:r>
        <w:rPr>
          <w:rFonts w:ascii="Calibri" w:eastAsia="Calibri" w:hAnsi="Calibri" w:cs="Calibri"/>
          <w:spacing w:val="1"/>
          <w:sz w:val="22"/>
          <w:szCs w:val="22"/>
        </w:rPr>
        <w:t>₁₂</w:t>
      </w:r>
      <w:r>
        <w:rPr>
          <w:rFonts w:ascii="Calibri" w:eastAsia="Calibri" w:hAnsi="Calibri" w:cs="Calibri"/>
          <w:spacing w:val="15"/>
          <w:w w:val="101"/>
          <w:sz w:val="22"/>
          <w:szCs w:val="22"/>
        </w:rPr>
        <w:t xml:space="preserve"> </w:t>
      </w:r>
      <w:r>
        <w:rPr>
          <w:rFonts w:ascii="宋体" w:eastAsia="宋体" w:hAnsi="宋体" w:cs="宋体"/>
          <w:spacing w:val="1"/>
          <w:sz w:val="22"/>
          <w:szCs w:val="22"/>
        </w:rPr>
        <w:t>和维生素</w:t>
      </w:r>
      <w:r>
        <w:rPr>
          <w:rFonts w:ascii="宋体" w:eastAsia="宋体" w:hAnsi="宋体" w:cs="宋体"/>
          <w:spacing w:val="-51"/>
          <w:sz w:val="22"/>
          <w:szCs w:val="22"/>
        </w:rPr>
        <w:t xml:space="preserve"> </w:t>
      </w:r>
      <w:r>
        <w:rPr>
          <w:rFonts w:ascii="宋体" w:eastAsia="宋体" w:hAnsi="宋体" w:cs="宋体"/>
          <w:spacing w:val="1"/>
          <w:sz w:val="22"/>
          <w:szCs w:val="22"/>
        </w:rPr>
        <w:t>B。是血浆同型半胱氨酸(也称高半胱氨酸，</w:t>
      </w:r>
      <w:r>
        <w:rPr>
          <w:rFonts w:ascii="宋体" w:eastAsia="宋体" w:hAnsi="宋体" w:cs="宋体"/>
          <w:spacing w:val="20"/>
          <w:sz w:val="22"/>
          <w:szCs w:val="22"/>
        </w:rPr>
        <w:t xml:space="preserve"> </w:t>
      </w:r>
      <w:r>
        <w:rPr>
          <w:rFonts w:ascii="宋体" w:eastAsia="宋体" w:hAnsi="宋体" w:cs="宋体"/>
          <w:sz w:val="22"/>
          <w:szCs w:val="22"/>
        </w:rPr>
        <w:t>homocysteine</w:t>
      </w:r>
      <w:r>
        <w:rPr>
          <w:rFonts w:ascii="宋体" w:eastAsia="宋体" w:hAnsi="宋体" w:cs="宋体"/>
          <w:spacing w:val="1"/>
          <w:sz w:val="22"/>
          <w:szCs w:val="22"/>
        </w:rPr>
        <w:t>,</w:t>
      </w:r>
      <w:r>
        <w:rPr>
          <w:rFonts w:ascii="宋体" w:eastAsia="宋体" w:hAnsi="宋体" w:cs="宋体"/>
          <w:sz w:val="22"/>
          <w:szCs w:val="22"/>
        </w:rPr>
        <w:t xml:space="preserve"> </w:t>
      </w:r>
      <w:r>
        <w:rPr>
          <w:rFonts w:ascii="宋体" w:eastAsia="宋体" w:hAnsi="宋体" w:cs="宋体"/>
          <w:spacing w:val="-10"/>
          <w:sz w:val="22"/>
          <w:szCs w:val="22"/>
        </w:rPr>
        <w:t>Hcy)</w:t>
      </w:r>
      <w:r>
        <w:rPr>
          <w:rFonts w:ascii="宋体" w:eastAsia="宋体" w:hAnsi="宋体" w:cs="宋体"/>
          <w:spacing w:val="23"/>
          <w:sz w:val="22"/>
          <w:szCs w:val="22"/>
        </w:rPr>
        <w:t xml:space="preserve"> </w:t>
      </w:r>
      <w:r>
        <w:rPr>
          <w:rFonts w:ascii="宋体" w:eastAsia="宋体" w:hAnsi="宋体" w:cs="宋体"/>
          <w:spacing w:val="-10"/>
          <w:sz w:val="22"/>
          <w:szCs w:val="22"/>
        </w:rPr>
        <w:t>水平的决定因素，其中以与叶酸的关系最大。当体内叶酸缺乏时</w:t>
      </w:r>
      <w:r>
        <w:rPr>
          <w:rFonts w:ascii="宋体" w:eastAsia="宋体" w:hAnsi="宋体" w:cs="宋体"/>
          <w:spacing w:val="-11"/>
          <w:sz w:val="22"/>
          <w:szCs w:val="22"/>
        </w:rPr>
        <w:t>，5-甲基</w:t>
      </w:r>
      <w:r>
        <w:rPr>
          <w:rFonts w:ascii="宋体" w:eastAsia="宋体" w:hAnsi="宋体" w:cs="宋体"/>
          <w:sz w:val="22"/>
          <w:szCs w:val="22"/>
        </w:rPr>
        <w:t xml:space="preserve">  </w:t>
      </w:r>
      <w:r>
        <w:rPr>
          <w:rFonts w:ascii="宋体" w:eastAsia="宋体" w:hAnsi="宋体" w:cs="宋体"/>
          <w:spacing w:val="-10"/>
          <w:sz w:val="22"/>
          <w:szCs w:val="22"/>
        </w:rPr>
        <w:t>叶酸合成不足，同型半胱氨酸向蛋氨酸转换出现障碍，</w:t>
      </w:r>
      <w:r>
        <w:rPr>
          <w:rFonts w:ascii="宋体" w:eastAsia="宋体" w:hAnsi="宋体" w:cs="宋体"/>
          <w:spacing w:val="-11"/>
          <w:sz w:val="22"/>
          <w:szCs w:val="22"/>
        </w:rPr>
        <w:t>导致同型半胱氨酸堆积，</w:t>
      </w:r>
      <w:r>
        <w:rPr>
          <w:rFonts w:ascii="宋体" w:eastAsia="宋体" w:hAnsi="宋体" w:cs="宋体"/>
          <w:sz w:val="22"/>
          <w:szCs w:val="22"/>
        </w:rPr>
        <w:t xml:space="preserve"> </w:t>
      </w:r>
      <w:r>
        <w:rPr>
          <w:rFonts w:ascii="宋体" w:eastAsia="宋体" w:hAnsi="宋体" w:cs="宋体"/>
          <w:spacing w:val="-14"/>
          <w:sz w:val="22"/>
          <w:szCs w:val="22"/>
        </w:rPr>
        <w:t>形成高同型半胱氨酸血症，其危害主要有三方面。</w:t>
      </w:r>
    </w:p>
    <w:p w:rsidR="00EA40A3" w:rsidRDefault="00EA40A3">
      <w:pPr>
        <w:sectPr w:rsidR="00EA40A3">
          <w:footerReference w:type="default" r:id="rId110"/>
          <w:pgSz w:w="9220" w:h="13360"/>
          <w:pgMar w:top="400" w:right="1019" w:bottom="1276" w:left="860" w:header="0" w:footer="1055" w:gutter="0"/>
          <w:cols w:space="720"/>
        </w:sectPr>
      </w:pPr>
    </w:p>
    <w:p w:rsidR="00EA40A3" w:rsidRDefault="00EA40A3">
      <w:pPr>
        <w:spacing w:line="267" w:lineRule="auto"/>
      </w:pPr>
    </w:p>
    <w:p w:rsidR="00EA40A3" w:rsidRDefault="00EA40A3">
      <w:pPr>
        <w:spacing w:line="268" w:lineRule="auto"/>
      </w:pPr>
    </w:p>
    <w:p w:rsidR="00EA40A3" w:rsidRDefault="00E86C16">
      <w:pPr>
        <w:spacing w:before="72" w:line="245" w:lineRule="auto"/>
        <w:ind w:right="82" w:firstLine="400"/>
        <w:jc w:val="both"/>
        <w:rPr>
          <w:rFonts w:ascii="宋体" w:eastAsia="宋体" w:hAnsi="宋体" w:cs="宋体"/>
          <w:sz w:val="22"/>
          <w:szCs w:val="22"/>
        </w:rPr>
      </w:pPr>
      <w:bookmarkStart w:id="28" w:name="_bookmark32"/>
      <w:bookmarkEnd w:id="28"/>
      <w:r>
        <w:rPr>
          <w:rFonts w:ascii="宋体" w:eastAsia="宋体" w:hAnsi="宋体" w:cs="宋体"/>
          <w:spacing w:val="-13"/>
          <w:sz w:val="22"/>
          <w:szCs w:val="22"/>
        </w:rPr>
        <w:t>血浆中同型半胱氨酸水平增高被认为是心血管疾病的危险因素。同型半胱氨</w:t>
      </w:r>
      <w:r>
        <w:rPr>
          <w:rFonts w:ascii="宋体" w:eastAsia="宋体" w:hAnsi="宋体" w:cs="宋体"/>
          <w:sz w:val="22"/>
          <w:szCs w:val="22"/>
        </w:rPr>
        <w:t xml:space="preserve"> </w:t>
      </w:r>
      <w:r>
        <w:rPr>
          <w:rFonts w:ascii="宋体" w:eastAsia="宋体" w:hAnsi="宋体" w:cs="宋体"/>
          <w:spacing w:val="-7"/>
          <w:sz w:val="22"/>
          <w:szCs w:val="22"/>
        </w:rPr>
        <w:t>酸与血管平滑肌细胞增殖关系密切，高浓度同型半胱氨酸对血管内壁细胞有损</w:t>
      </w:r>
      <w:r>
        <w:rPr>
          <w:rFonts w:ascii="宋体" w:eastAsia="宋体" w:hAnsi="宋体" w:cs="宋体"/>
          <w:spacing w:val="14"/>
          <w:sz w:val="22"/>
          <w:szCs w:val="22"/>
        </w:rPr>
        <w:t xml:space="preserve"> </w:t>
      </w:r>
      <w:r>
        <w:rPr>
          <w:rFonts w:ascii="宋体" w:eastAsia="宋体" w:hAnsi="宋体" w:cs="宋体"/>
          <w:spacing w:val="-14"/>
          <w:sz w:val="22"/>
          <w:szCs w:val="22"/>
        </w:rPr>
        <w:t>害；另外同型半胱氨酸可促进氧自由基的形成，加速低密度脂蛋白的氧化，并可</w:t>
      </w:r>
      <w:r>
        <w:rPr>
          <w:rFonts w:ascii="宋体" w:eastAsia="宋体" w:hAnsi="宋体" w:cs="宋体"/>
          <w:spacing w:val="17"/>
          <w:sz w:val="22"/>
          <w:szCs w:val="22"/>
        </w:rPr>
        <w:t xml:space="preserve"> </w:t>
      </w:r>
      <w:r>
        <w:rPr>
          <w:rFonts w:ascii="宋体" w:eastAsia="宋体" w:hAnsi="宋体" w:cs="宋体"/>
          <w:spacing w:val="-13"/>
          <w:sz w:val="22"/>
          <w:szCs w:val="22"/>
        </w:rPr>
        <w:t>激活血小板的黏附和聚集，因此认为高同型半胱氨</w:t>
      </w:r>
      <w:r>
        <w:rPr>
          <w:rFonts w:ascii="宋体" w:eastAsia="宋体" w:hAnsi="宋体" w:cs="宋体"/>
          <w:spacing w:val="-14"/>
          <w:sz w:val="22"/>
          <w:szCs w:val="22"/>
        </w:rPr>
        <w:t>酸血症可能是动脉粥样硬化产</w:t>
      </w:r>
      <w:r>
        <w:rPr>
          <w:rFonts w:ascii="宋体" w:eastAsia="宋体" w:hAnsi="宋体" w:cs="宋体"/>
          <w:sz w:val="22"/>
          <w:szCs w:val="22"/>
        </w:rPr>
        <w:t xml:space="preserve"> </w:t>
      </w:r>
      <w:r>
        <w:rPr>
          <w:rFonts w:ascii="宋体" w:eastAsia="宋体" w:hAnsi="宋体" w:cs="宋体"/>
          <w:spacing w:val="-18"/>
          <w:sz w:val="22"/>
          <w:szCs w:val="22"/>
        </w:rPr>
        <w:t>生的危险因素。</w:t>
      </w:r>
    </w:p>
    <w:p w:rsidR="00EA40A3" w:rsidRDefault="00E86C16">
      <w:pPr>
        <w:spacing w:before="57"/>
        <w:ind w:right="111" w:firstLine="400"/>
        <w:jc w:val="both"/>
        <w:rPr>
          <w:rFonts w:ascii="宋体" w:eastAsia="宋体" w:hAnsi="宋体" w:cs="宋体"/>
          <w:sz w:val="22"/>
          <w:szCs w:val="22"/>
        </w:rPr>
      </w:pPr>
      <w:r>
        <w:rPr>
          <w:rFonts w:ascii="宋体" w:eastAsia="宋体" w:hAnsi="宋体" w:cs="宋体"/>
          <w:spacing w:val="-13"/>
          <w:sz w:val="22"/>
          <w:szCs w:val="22"/>
        </w:rPr>
        <w:t>患有高同型半胱氨酸血症的母亲生育神经管畸形儿的概率较大，并可</w:t>
      </w:r>
      <w:r>
        <w:rPr>
          <w:rFonts w:ascii="宋体" w:eastAsia="宋体" w:hAnsi="宋体" w:cs="宋体"/>
          <w:spacing w:val="-14"/>
          <w:sz w:val="22"/>
          <w:szCs w:val="22"/>
        </w:rPr>
        <w:t>影响胚</w:t>
      </w:r>
      <w:r>
        <w:rPr>
          <w:rFonts w:ascii="宋体" w:eastAsia="宋体" w:hAnsi="宋体" w:cs="宋体"/>
          <w:sz w:val="22"/>
          <w:szCs w:val="22"/>
        </w:rPr>
        <w:t xml:space="preserve"> </w:t>
      </w:r>
      <w:r>
        <w:rPr>
          <w:rFonts w:ascii="宋体" w:eastAsia="宋体" w:hAnsi="宋体" w:cs="宋体"/>
          <w:spacing w:val="-16"/>
          <w:sz w:val="22"/>
          <w:szCs w:val="22"/>
        </w:rPr>
        <w:t>胎早期心血管发育。</w:t>
      </w:r>
    </w:p>
    <w:p w:rsidR="00EA40A3" w:rsidRDefault="00E86C16">
      <w:pPr>
        <w:spacing w:before="45" w:line="224" w:lineRule="auto"/>
        <w:rPr>
          <w:rFonts w:ascii="楷体" w:eastAsia="楷体" w:hAnsi="楷体" w:cs="楷体"/>
          <w:sz w:val="22"/>
          <w:szCs w:val="22"/>
        </w:rPr>
      </w:pPr>
      <w:r>
        <w:rPr>
          <w:rFonts w:ascii="楷体" w:eastAsia="楷体" w:hAnsi="楷体" w:cs="楷体"/>
          <w:spacing w:val="-4"/>
          <w:sz w:val="22"/>
          <w:szCs w:val="22"/>
        </w:rPr>
        <w:t>2)叶酸的过量毒性</w:t>
      </w:r>
    </w:p>
    <w:p w:rsidR="00EA40A3" w:rsidRDefault="00E86C16">
      <w:pPr>
        <w:spacing w:before="55" w:line="231" w:lineRule="auto"/>
        <w:ind w:right="112" w:firstLine="400"/>
        <w:rPr>
          <w:rFonts w:ascii="宋体" w:eastAsia="宋体" w:hAnsi="宋体" w:cs="宋体"/>
          <w:sz w:val="22"/>
          <w:szCs w:val="22"/>
        </w:rPr>
      </w:pPr>
      <w:r>
        <w:rPr>
          <w:rFonts w:ascii="宋体" w:eastAsia="宋体" w:hAnsi="宋体" w:cs="宋体"/>
          <w:spacing w:val="-12"/>
          <w:sz w:val="22"/>
          <w:szCs w:val="22"/>
        </w:rPr>
        <w:t>叶酸是水溶性维生素，</w:t>
      </w:r>
      <w:r>
        <w:rPr>
          <w:rFonts w:ascii="宋体" w:eastAsia="宋体" w:hAnsi="宋体" w:cs="宋体"/>
          <w:spacing w:val="73"/>
          <w:sz w:val="22"/>
          <w:szCs w:val="22"/>
        </w:rPr>
        <w:t xml:space="preserve"> </w:t>
      </w:r>
      <w:r>
        <w:rPr>
          <w:rFonts w:ascii="宋体" w:eastAsia="宋体" w:hAnsi="宋体" w:cs="宋体"/>
          <w:spacing w:val="-12"/>
          <w:sz w:val="22"/>
          <w:szCs w:val="22"/>
        </w:rPr>
        <w:t>一般超出成人最低需要量20倍也不会引起中毒。服</w:t>
      </w:r>
      <w:r>
        <w:rPr>
          <w:rFonts w:ascii="宋体" w:eastAsia="宋体" w:hAnsi="宋体" w:cs="宋体"/>
          <w:sz w:val="22"/>
          <w:szCs w:val="22"/>
        </w:rPr>
        <w:t xml:space="preserve"> </w:t>
      </w:r>
      <w:r>
        <w:rPr>
          <w:rFonts w:ascii="宋体" w:eastAsia="宋体" w:hAnsi="宋体" w:cs="宋体"/>
          <w:spacing w:val="-15"/>
          <w:sz w:val="22"/>
          <w:szCs w:val="22"/>
        </w:rPr>
        <w:t>用大剂量叶酸可能产生的毒性作用有：</w:t>
      </w:r>
    </w:p>
    <w:p w:rsidR="00EA40A3" w:rsidRDefault="00E86C16">
      <w:pPr>
        <w:spacing w:before="49" w:line="219" w:lineRule="auto"/>
        <w:ind w:left="400"/>
        <w:rPr>
          <w:rFonts w:ascii="宋体" w:eastAsia="宋体" w:hAnsi="宋体" w:cs="宋体"/>
          <w:sz w:val="22"/>
          <w:szCs w:val="22"/>
        </w:rPr>
      </w:pPr>
      <w:r>
        <w:rPr>
          <w:rFonts w:ascii="宋体" w:eastAsia="宋体" w:hAnsi="宋体" w:cs="宋体"/>
          <w:spacing w:val="-9"/>
          <w:sz w:val="22"/>
          <w:szCs w:val="22"/>
        </w:rPr>
        <w:t>(1)干扰亢进惊厥药物作用，诱发病人惊厥。</w:t>
      </w:r>
    </w:p>
    <w:p w:rsidR="00EA40A3" w:rsidRDefault="00E86C16">
      <w:pPr>
        <w:spacing w:before="39" w:line="236" w:lineRule="auto"/>
        <w:ind w:right="124" w:firstLine="400"/>
        <w:rPr>
          <w:rFonts w:ascii="宋体" w:eastAsia="宋体" w:hAnsi="宋体" w:cs="宋体"/>
          <w:sz w:val="22"/>
          <w:szCs w:val="22"/>
        </w:rPr>
      </w:pPr>
      <w:r>
        <w:rPr>
          <w:rFonts w:ascii="宋体" w:eastAsia="宋体" w:hAnsi="宋体" w:cs="宋体"/>
          <w:spacing w:val="-10"/>
          <w:sz w:val="22"/>
          <w:szCs w:val="22"/>
        </w:rPr>
        <w:t>(2)口服叶酸微克可能影响锌的吸收，导致锌缺乏，使胎儿发育迟缓，低出</w:t>
      </w:r>
      <w:r>
        <w:rPr>
          <w:rFonts w:ascii="宋体" w:eastAsia="宋体" w:hAnsi="宋体" w:cs="宋体"/>
          <w:spacing w:val="4"/>
          <w:sz w:val="22"/>
          <w:szCs w:val="22"/>
        </w:rPr>
        <w:t xml:space="preserve"> </w:t>
      </w:r>
      <w:r>
        <w:rPr>
          <w:rFonts w:ascii="宋体" w:eastAsia="宋体" w:hAnsi="宋体" w:cs="宋体"/>
          <w:spacing w:val="-17"/>
          <w:sz w:val="22"/>
          <w:szCs w:val="22"/>
        </w:rPr>
        <w:t>生体重儿发生率增加。</w:t>
      </w:r>
    </w:p>
    <w:p w:rsidR="00EA40A3" w:rsidRDefault="00E86C16">
      <w:pPr>
        <w:spacing w:before="38" w:line="241" w:lineRule="auto"/>
        <w:ind w:right="89" w:firstLine="400"/>
        <w:rPr>
          <w:rFonts w:ascii="宋体" w:eastAsia="宋体" w:hAnsi="宋体" w:cs="宋体"/>
          <w:sz w:val="22"/>
          <w:szCs w:val="22"/>
        </w:rPr>
      </w:pPr>
      <w:r>
        <w:rPr>
          <w:rFonts w:ascii="宋体" w:eastAsia="宋体" w:hAnsi="宋体" w:cs="宋体"/>
          <w:spacing w:val="-5"/>
          <w:sz w:val="22"/>
          <w:szCs w:val="22"/>
        </w:rPr>
        <w:t>(3)掩盖维生素B</w:t>
      </w:r>
      <w:r>
        <w:rPr>
          <w:rFonts w:ascii="Calibri" w:eastAsia="Calibri" w:hAnsi="Calibri" w:cs="Calibri"/>
          <w:spacing w:val="-5"/>
          <w:sz w:val="22"/>
          <w:szCs w:val="22"/>
        </w:rPr>
        <w:t>₂₂</w:t>
      </w:r>
      <w:r>
        <w:rPr>
          <w:rFonts w:ascii="Calibri" w:eastAsia="Calibri" w:hAnsi="Calibri" w:cs="Calibri"/>
          <w:spacing w:val="-11"/>
          <w:sz w:val="22"/>
          <w:szCs w:val="22"/>
        </w:rPr>
        <w:t xml:space="preserve"> </w:t>
      </w:r>
      <w:r>
        <w:rPr>
          <w:rFonts w:ascii="宋体" w:eastAsia="宋体" w:hAnsi="宋体" w:cs="宋体"/>
          <w:spacing w:val="-5"/>
          <w:sz w:val="22"/>
          <w:szCs w:val="22"/>
        </w:rPr>
        <w:t>缺乏的早期表现，导致神经系统受损害。由于具有红细</w:t>
      </w:r>
      <w:r>
        <w:rPr>
          <w:rFonts w:ascii="宋体" w:eastAsia="宋体" w:hAnsi="宋体" w:cs="宋体"/>
          <w:sz w:val="22"/>
          <w:szCs w:val="22"/>
        </w:rPr>
        <w:t xml:space="preserve"> </w:t>
      </w:r>
      <w:r>
        <w:rPr>
          <w:rFonts w:ascii="宋体" w:eastAsia="宋体" w:hAnsi="宋体" w:cs="宋体"/>
          <w:spacing w:val="-6"/>
          <w:sz w:val="22"/>
          <w:szCs w:val="22"/>
        </w:rPr>
        <w:t>胞贫血大多数合并维生素</w:t>
      </w:r>
      <w:r>
        <w:rPr>
          <w:rFonts w:ascii="宋体" w:eastAsia="宋体" w:hAnsi="宋体" w:cs="宋体"/>
          <w:spacing w:val="-48"/>
          <w:sz w:val="22"/>
          <w:szCs w:val="22"/>
        </w:rPr>
        <w:t xml:space="preserve"> </w:t>
      </w:r>
      <w:r>
        <w:rPr>
          <w:rFonts w:ascii="宋体" w:eastAsia="宋体" w:hAnsi="宋体" w:cs="宋体"/>
          <w:spacing w:val="-6"/>
          <w:sz w:val="22"/>
          <w:szCs w:val="22"/>
        </w:rPr>
        <w:t>B</w:t>
      </w:r>
      <w:r>
        <w:rPr>
          <w:rFonts w:ascii="Calibri" w:eastAsia="Calibri" w:hAnsi="Calibri" w:cs="Calibri"/>
          <w:spacing w:val="-6"/>
          <w:sz w:val="22"/>
          <w:szCs w:val="22"/>
        </w:rPr>
        <w:t>₂</w:t>
      </w:r>
      <w:r>
        <w:rPr>
          <w:rFonts w:ascii="Calibri" w:eastAsia="Calibri" w:hAnsi="Calibri" w:cs="Calibri"/>
          <w:sz w:val="22"/>
          <w:szCs w:val="22"/>
        </w:rPr>
        <w:t xml:space="preserve">  </w:t>
      </w:r>
      <w:r>
        <w:rPr>
          <w:rFonts w:ascii="宋体" w:eastAsia="宋体" w:hAnsi="宋体" w:cs="宋体"/>
          <w:spacing w:val="-6"/>
          <w:sz w:val="22"/>
          <w:szCs w:val="22"/>
        </w:rPr>
        <w:t>缺乏，过量叶酸摄入干扰维生素B</w:t>
      </w:r>
      <w:r>
        <w:rPr>
          <w:rFonts w:ascii="Calibri" w:eastAsia="Calibri" w:hAnsi="Calibri" w:cs="Calibri"/>
          <w:spacing w:val="-6"/>
          <w:sz w:val="22"/>
          <w:szCs w:val="22"/>
        </w:rPr>
        <w:t>₂</w:t>
      </w:r>
      <w:r>
        <w:rPr>
          <w:rFonts w:ascii="Calibri" w:eastAsia="Calibri" w:hAnsi="Calibri" w:cs="Calibri"/>
          <w:spacing w:val="5"/>
          <w:sz w:val="22"/>
          <w:szCs w:val="22"/>
        </w:rPr>
        <w:t xml:space="preserve">  </w:t>
      </w:r>
      <w:r>
        <w:rPr>
          <w:rFonts w:ascii="宋体" w:eastAsia="宋体" w:hAnsi="宋体" w:cs="宋体"/>
          <w:spacing w:val="-6"/>
          <w:sz w:val="22"/>
          <w:szCs w:val="22"/>
        </w:rPr>
        <w:t>缺乏的早期诊</w:t>
      </w:r>
      <w:r>
        <w:rPr>
          <w:rFonts w:ascii="宋体" w:eastAsia="宋体" w:hAnsi="宋体" w:cs="宋体"/>
          <w:spacing w:val="1"/>
          <w:sz w:val="22"/>
          <w:szCs w:val="22"/>
        </w:rPr>
        <w:t xml:space="preserve"> </w:t>
      </w:r>
      <w:r>
        <w:rPr>
          <w:rFonts w:ascii="宋体" w:eastAsia="宋体" w:hAnsi="宋体" w:cs="宋体"/>
          <w:spacing w:val="-14"/>
          <w:sz w:val="22"/>
          <w:szCs w:val="22"/>
        </w:rPr>
        <w:t>断，有可能导致严重的不可逆转的神经损害。</w:t>
      </w:r>
    </w:p>
    <w:p w:rsidR="00EA40A3" w:rsidRDefault="00E86C16">
      <w:pPr>
        <w:spacing w:before="225" w:line="221" w:lineRule="auto"/>
        <w:rPr>
          <w:rFonts w:ascii="仿宋" w:eastAsia="仿宋" w:hAnsi="仿宋" w:cs="仿宋"/>
          <w:sz w:val="22"/>
          <w:szCs w:val="22"/>
        </w:rPr>
      </w:pPr>
      <w:r>
        <w:rPr>
          <w:rFonts w:ascii="仿宋" w:eastAsia="仿宋" w:hAnsi="仿宋" w:cs="仿宋"/>
          <w:spacing w:val="12"/>
          <w:sz w:val="22"/>
          <w:szCs w:val="22"/>
        </w:rPr>
        <w:t>5.</w:t>
      </w:r>
      <w:r>
        <w:rPr>
          <w:rFonts w:ascii="仿宋" w:eastAsia="仿宋" w:hAnsi="仿宋" w:cs="仿宋"/>
          <w:spacing w:val="22"/>
          <w:sz w:val="22"/>
          <w:szCs w:val="22"/>
        </w:rPr>
        <w:t xml:space="preserve"> </w:t>
      </w:r>
      <w:r>
        <w:rPr>
          <w:rFonts w:ascii="仿宋" w:eastAsia="仿宋" w:hAnsi="仿宋" w:cs="仿宋"/>
          <w:spacing w:val="12"/>
          <w:sz w:val="22"/>
          <w:szCs w:val="22"/>
        </w:rPr>
        <w:t>叶酸的膳食参考摄入量及食物来源</w:t>
      </w:r>
    </w:p>
    <w:p w:rsidR="00EA40A3" w:rsidRDefault="00E86C16">
      <w:pPr>
        <w:spacing w:before="196" w:line="247" w:lineRule="auto"/>
        <w:ind w:firstLine="400"/>
        <w:jc w:val="both"/>
        <w:rPr>
          <w:rFonts w:ascii="宋体" w:eastAsia="宋体" w:hAnsi="宋体" w:cs="宋体"/>
          <w:sz w:val="22"/>
          <w:szCs w:val="22"/>
        </w:rPr>
      </w:pPr>
      <w:r>
        <w:rPr>
          <w:rFonts w:ascii="宋体" w:eastAsia="宋体" w:hAnsi="宋体" w:cs="宋体"/>
          <w:spacing w:val="-10"/>
          <w:sz w:val="22"/>
          <w:szCs w:val="22"/>
        </w:rPr>
        <w:t>叶酸每日摄入量维持在3.1μg/kg</w:t>
      </w:r>
      <w:r>
        <w:rPr>
          <w:rFonts w:ascii="宋体" w:eastAsia="宋体" w:hAnsi="宋体" w:cs="宋体"/>
          <w:spacing w:val="-53"/>
          <w:sz w:val="22"/>
          <w:szCs w:val="22"/>
        </w:rPr>
        <w:t xml:space="preserve"> </w:t>
      </w:r>
      <w:r>
        <w:rPr>
          <w:rFonts w:ascii="宋体" w:eastAsia="宋体" w:hAnsi="宋体" w:cs="宋体"/>
          <w:spacing w:val="-10"/>
          <w:sz w:val="22"/>
          <w:szCs w:val="22"/>
        </w:rPr>
        <w:t>体重的水平可保证体内有适量储备，在此</w:t>
      </w:r>
      <w:r>
        <w:rPr>
          <w:rFonts w:ascii="宋体" w:eastAsia="宋体" w:hAnsi="宋体" w:cs="宋体"/>
          <w:sz w:val="22"/>
          <w:szCs w:val="22"/>
        </w:rPr>
        <w:t xml:space="preserve">  </w:t>
      </w:r>
      <w:r>
        <w:rPr>
          <w:rFonts w:ascii="宋体" w:eastAsia="宋体" w:hAnsi="宋体" w:cs="宋体"/>
          <w:spacing w:val="-7"/>
          <w:sz w:val="22"/>
          <w:szCs w:val="22"/>
        </w:rPr>
        <w:t>基础上，无叶酸摄入仍可维持3～4月不出现缺乏症。据美国</w:t>
      </w:r>
      <w:r>
        <w:rPr>
          <w:rFonts w:ascii="宋体" w:eastAsia="宋体" w:hAnsi="宋体" w:cs="宋体"/>
          <w:spacing w:val="-22"/>
          <w:sz w:val="22"/>
          <w:szCs w:val="22"/>
        </w:rPr>
        <w:t xml:space="preserve"> </w:t>
      </w:r>
      <w:r>
        <w:rPr>
          <w:rFonts w:ascii="宋体" w:eastAsia="宋体" w:hAnsi="宋体" w:cs="宋体"/>
          <w:spacing w:val="-7"/>
          <w:sz w:val="22"/>
          <w:szCs w:val="22"/>
        </w:rPr>
        <w:t>(FNB)1998</w:t>
      </w:r>
      <w:r>
        <w:rPr>
          <w:rFonts w:ascii="宋体" w:eastAsia="宋体" w:hAnsi="宋体" w:cs="宋体"/>
          <w:spacing w:val="18"/>
          <w:sz w:val="22"/>
          <w:szCs w:val="22"/>
        </w:rPr>
        <w:t xml:space="preserve">  </w:t>
      </w:r>
      <w:r>
        <w:rPr>
          <w:rFonts w:ascii="宋体" w:eastAsia="宋体" w:hAnsi="宋体" w:cs="宋体"/>
          <w:spacing w:val="-7"/>
          <w:sz w:val="22"/>
          <w:szCs w:val="22"/>
        </w:rPr>
        <w:t>年</w:t>
      </w:r>
      <w:r>
        <w:rPr>
          <w:rFonts w:ascii="宋体" w:eastAsia="宋体" w:hAnsi="宋体" w:cs="宋体"/>
          <w:spacing w:val="-8"/>
          <w:sz w:val="22"/>
          <w:szCs w:val="22"/>
        </w:rPr>
        <w:t>报</w:t>
      </w:r>
      <w:r>
        <w:rPr>
          <w:rFonts w:ascii="宋体" w:eastAsia="宋体" w:hAnsi="宋体" w:cs="宋体"/>
          <w:sz w:val="22"/>
          <w:szCs w:val="22"/>
        </w:rPr>
        <w:t xml:space="preserve">  </w:t>
      </w:r>
      <w:r>
        <w:rPr>
          <w:rFonts w:ascii="宋体" w:eastAsia="宋体" w:hAnsi="宋体" w:cs="宋体"/>
          <w:spacing w:val="-9"/>
          <w:sz w:val="22"/>
          <w:szCs w:val="22"/>
        </w:rPr>
        <w:t>告，叶酸的摄入量应以膳食叶酸当量</w:t>
      </w:r>
      <w:r>
        <w:rPr>
          <w:rFonts w:ascii="宋体" w:eastAsia="宋体" w:hAnsi="宋体" w:cs="宋体"/>
          <w:spacing w:val="10"/>
          <w:sz w:val="22"/>
          <w:szCs w:val="22"/>
        </w:rPr>
        <w:t xml:space="preserve"> </w:t>
      </w:r>
      <w:r>
        <w:rPr>
          <w:rFonts w:ascii="宋体" w:eastAsia="宋体" w:hAnsi="宋体" w:cs="宋体"/>
          <w:spacing w:val="-9"/>
          <w:sz w:val="22"/>
          <w:szCs w:val="22"/>
        </w:rPr>
        <w:t>(dietary</w:t>
      </w:r>
      <w:r>
        <w:rPr>
          <w:rFonts w:ascii="宋体" w:eastAsia="宋体" w:hAnsi="宋体" w:cs="宋体"/>
          <w:spacing w:val="2"/>
          <w:sz w:val="22"/>
          <w:szCs w:val="22"/>
        </w:rPr>
        <w:t xml:space="preserve"> </w:t>
      </w:r>
      <w:r>
        <w:rPr>
          <w:rFonts w:ascii="宋体" w:eastAsia="宋体" w:hAnsi="宋体" w:cs="宋体"/>
          <w:spacing w:val="-9"/>
          <w:sz w:val="22"/>
          <w:szCs w:val="22"/>
        </w:rPr>
        <w:t>folate</w:t>
      </w:r>
      <w:r>
        <w:rPr>
          <w:rFonts w:ascii="宋体" w:eastAsia="宋体" w:hAnsi="宋体" w:cs="宋体"/>
          <w:spacing w:val="3"/>
          <w:sz w:val="22"/>
          <w:szCs w:val="22"/>
        </w:rPr>
        <w:t xml:space="preserve"> </w:t>
      </w:r>
      <w:r>
        <w:rPr>
          <w:rFonts w:ascii="宋体" w:eastAsia="宋体" w:hAnsi="宋体" w:cs="宋体"/>
          <w:spacing w:val="-9"/>
          <w:sz w:val="22"/>
          <w:szCs w:val="22"/>
        </w:rPr>
        <w:t>equivalent,DFE)</w:t>
      </w:r>
      <w:r>
        <w:rPr>
          <w:rFonts w:ascii="宋体" w:eastAsia="宋体" w:hAnsi="宋体" w:cs="宋体"/>
          <w:spacing w:val="-54"/>
          <w:sz w:val="22"/>
          <w:szCs w:val="22"/>
        </w:rPr>
        <w:t xml:space="preserve"> </w:t>
      </w:r>
      <w:r>
        <w:rPr>
          <w:rFonts w:ascii="宋体" w:eastAsia="宋体" w:hAnsi="宋体" w:cs="宋体"/>
          <w:spacing w:val="-9"/>
          <w:sz w:val="22"/>
          <w:szCs w:val="22"/>
        </w:rPr>
        <w:t>表示。</w:t>
      </w:r>
      <w:r>
        <w:rPr>
          <w:rFonts w:ascii="宋体" w:eastAsia="宋体" w:hAnsi="宋体" w:cs="宋体"/>
          <w:sz w:val="22"/>
          <w:szCs w:val="22"/>
        </w:rPr>
        <w:t xml:space="preserve"> </w:t>
      </w:r>
      <w:r>
        <w:rPr>
          <w:rFonts w:ascii="宋体" w:eastAsia="宋体" w:hAnsi="宋体" w:cs="宋体"/>
          <w:spacing w:val="-1"/>
          <w:sz w:val="22"/>
          <w:szCs w:val="22"/>
        </w:rPr>
        <w:t>由于食物叶酸的生物利用率仅为50%,而叶酸补充剂与膳食混合时生物利用</w:t>
      </w:r>
      <w:r>
        <w:rPr>
          <w:rFonts w:ascii="宋体" w:eastAsia="宋体" w:hAnsi="宋体" w:cs="宋体"/>
          <w:spacing w:val="-2"/>
          <w:sz w:val="22"/>
          <w:szCs w:val="22"/>
        </w:rPr>
        <w:t>率</w:t>
      </w:r>
      <w:r>
        <w:rPr>
          <w:rFonts w:ascii="宋体" w:eastAsia="宋体" w:hAnsi="宋体" w:cs="宋体"/>
          <w:sz w:val="22"/>
          <w:szCs w:val="22"/>
        </w:rPr>
        <w:t xml:space="preserve">  </w:t>
      </w:r>
      <w:r>
        <w:rPr>
          <w:rFonts w:ascii="宋体" w:eastAsia="宋体" w:hAnsi="宋体" w:cs="宋体"/>
          <w:spacing w:val="15"/>
          <w:sz w:val="22"/>
          <w:szCs w:val="22"/>
        </w:rPr>
        <w:t>为85%,为单纯来源于食物的叶酸利用率的1.7倍，因此，膳食叶酸当量</w:t>
      </w:r>
      <w:r>
        <w:rPr>
          <w:rFonts w:ascii="宋体" w:eastAsia="宋体" w:hAnsi="宋体" w:cs="宋体"/>
          <w:spacing w:val="3"/>
          <w:sz w:val="22"/>
          <w:szCs w:val="22"/>
        </w:rPr>
        <w:t xml:space="preserve">  </w:t>
      </w:r>
      <w:r>
        <w:rPr>
          <w:rFonts w:ascii="宋体" w:eastAsia="宋体" w:hAnsi="宋体" w:cs="宋体"/>
          <w:spacing w:val="-13"/>
          <w:sz w:val="22"/>
          <w:szCs w:val="22"/>
        </w:rPr>
        <w:t>(DFE)</w:t>
      </w:r>
      <w:r>
        <w:rPr>
          <w:rFonts w:ascii="宋体" w:eastAsia="宋体" w:hAnsi="宋体" w:cs="宋体"/>
          <w:spacing w:val="102"/>
          <w:sz w:val="22"/>
          <w:szCs w:val="22"/>
        </w:rPr>
        <w:t xml:space="preserve"> </w:t>
      </w:r>
      <w:r>
        <w:rPr>
          <w:rFonts w:ascii="宋体" w:eastAsia="宋体" w:hAnsi="宋体" w:cs="宋体"/>
          <w:spacing w:val="-13"/>
          <w:sz w:val="22"/>
          <w:szCs w:val="22"/>
        </w:rPr>
        <w:t>的计算公式为：</w:t>
      </w:r>
    </w:p>
    <w:p w:rsidR="00EA40A3" w:rsidRDefault="00E86C16">
      <w:pPr>
        <w:spacing w:before="91" w:line="214" w:lineRule="auto"/>
        <w:ind w:left="1400"/>
        <w:rPr>
          <w:rFonts w:ascii="宋体" w:eastAsia="宋体" w:hAnsi="宋体" w:cs="宋体"/>
          <w:sz w:val="22"/>
          <w:szCs w:val="22"/>
        </w:rPr>
      </w:pPr>
      <w:r>
        <w:rPr>
          <w:rFonts w:ascii="宋体" w:eastAsia="宋体" w:hAnsi="宋体" w:cs="宋体"/>
          <w:spacing w:val="-10"/>
          <w:sz w:val="22"/>
          <w:szCs w:val="22"/>
        </w:rPr>
        <w:t>DFE(μg)=</w:t>
      </w:r>
      <w:r>
        <w:rPr>
          <w:rFonts w:ascii="宋体" w:eastAsia="宋体" w:hAnsi="宋体" w:cs="宋体"/>
          <w:spacing w:val="-66"/>
          <w:sz w:val="22"/>
          <w:szCs w:val="22"/>
        </w:rPr>
        <w:t xml:space="preserve"> </w:t>
      </w:r>
      <w:r>
        <w:rPr>
          <w:rFonts w:ascii="宋体" w:eastAsia="宋体" w:hAnsi="宋体" w:cs="宋体"/>
          <w:spacing w:val="-10"/>
          <w:sz w:val="22"/>
          <w:szCs w:val="22"/>
        </w:rPr>
        <w:t>膳食叶酸(μg)+1.7×</w:t>
      </w:r>
      <w:r>
        <w:rPr>
          <w:rFonts w:ascii="宋体" w:eastAsia="宋体" w:hAnsi="宋体" w:cs="宋体"/>
          <w:spacing w:val="-48"/>
          <w:sz w:val="22"/>
          <w:szCs w:val="22"/>
        </w:rPr>
        <w:t xml:space="preserve"> </w:t>
      </w:r>
      <w:r>
        <w:rPr>
          <w:rFonts w:ascii="宋体" w:eastAsia="宋体" w:hAnsi="宋体" w:cs="宋体"/>
          <w:spacing w:val="-10"/>
          <w:sz w:val="22"/>
          <w:szCs w:val="22"/>
        </w:rPr>
        <w:t>叶酸</w:t>
      </w:r>
      <w:r>
        <w:rPr>
          <w:rFonts w:ascii="宋体" w:eastAsia="宋体" w:hAnsi="宋体" w:cs="宋体"/>
          <w:spacing w:val="-11"/>
          <w:sz w:val="22"/>
          <w:szCs w:val="22"/>
        </w:rPr>
        <w:t>补充剂(μg)</w:t>
      </w:r>
    </w:p>
    <w:p w:rsidR="00EA40A3" w:rsidRDefault="00E86C16">
      <w:pPr>
        <w:spacing w:before="41" w:line="225" w:lineRule="auto"/>
        <w:ind w:right="111" w:firstLine="400"/>
        <w:rPr>
          <w:rFonts w:ascii="宋体" w:eastAsia="宋体" w:hAnsi="宋体" w:cs="宋体"/>
          <w:sz w:val="22"/>
          <w:szCs w:val="22"/>
        </w:rPr>
      </w:pPr>
      <w:r>
        <w:rPr>
          <w:rFonts w:ascii="宋体" w:eastAsia="宋体" w:hAnsi="宋体" w:cs="宋体"/>
          <w:spacing w:val="14"/>
          <w:sz w:val="22"/>
          <w:szCs w:val="22"/>
        </w:rPr>
        <w:t>当叶酸补允剂与食物之叶酸混合使用时，应以</w:t>
      </w:r>
      <w:r>
        <w:rPr>
          <w:rFonts w:ascii="宋体" w:eastAsia="宋体" w:hAnsi="宋体" w:cs="宋体"/>
          <w:sz w:val="22"/>
          <w:szCs w:val="22"/>
        </w:rPr>
        <w:t>DFE</w:t>
      </w:r>
      <w:r>
        <w:rPr>
          <w:rFonts w:ascii="宋体" w:eastAsia="宋体" w:hAnsi="宋体" w:cs="宋体"/>
          <w:spacing w:val="69"/>
          <w:sz w:val="22"/>
          <w:szCs w:val="22"/>
        </w:rPr>
        <w:t xml:space="preserve"> </w:t>
      </w:r>
      <w:r>
        <w:rPr>
          <w:rFonts w:ascii="宋体" w:eastAsia="宋体" w:hAnsi="宋体" w:cs="宋体"/>
          <w:spacing w:val="14"/>
          <w:sz w:val="22"/>
          <w:szCs w:val="22"/>
        </w:rPr>
        <w:t>计算平均需要量</w:t>
      </w:r>
      <w:r>
        <w:rPr>
          <w:rFonts w:ascii="宋体" w:eastAsia="宋体" w:hAnsi="宋体" w:cs="宋体"/>
          <w:sz w:val="22"/>
          <w:szCs w:val="22"/>
        </w:rPr>
        <w:t xml:space="preserve"> </w:t>
      </w:r>
      <w:r>
        <w:rPr>
          <w:rFonts w:ascii="宋体" w:eastAsia="宋体" w:hAnsi="宋体" w:cs="宋体"/>
          <w:spacing w:val="-2"/>
          <w:sz w:val="22"/>
          <w:szCs w:val="22"/>
        </w:rPr>
        <w:t>(EAR),</w:t>
      </w:r>
      <w:r>
        <w:rPr>
          <w:rFonts w:ascii="宋体" w:eastAsia="宋体" w:hAnsi="宋体" w:cs="宋体"/>
          <w:spacing w:val="6"/>
          <w:sz w:val="22"/>
          <w:szCs w:val="22"/>
        </w:rPr>
        <w:t xml:space="preserve">  </w:t>
      </w:r>
      <w:r>
        <w:rPr>
          <w:rFonts w:ascii="宋体" w:eastAsia="宋体" w:hAnsi="宋体" w:cs="宋体"/>
          <w:spacing w:val="-2"/>
          <w:sz w:val="22"/>
          <w:szCs w:val="22"/>
        </w:rPr>
        <w:t>再根据EAR×1.2</w:t>
      </w:r>
      <w:r>
        <w:rPr>
          <w:rFonts w:ascii="宋体" w:eastAsia="宋体" w:hAnsi="宋体" w:cs="宋体"/>
          <w:spacing w:val="27"/>
          <w:sz w:val="22"/>
          <w:szCs w:val="22"/>
        </w:rPr>
        <w:t xml:space="preserve"> </w:t>
      </w:r>
      <w:r>
        <w:rPr>
          <w:rFonts w:ascii="宋体" w:eastAsia="宋体" w:hAnsi="宋体" w:cs="宋体"/>
          <w:spacing w:val="-2"/>
          <w:sz w:val="22"/>
          <w:szCs w:val="22"/>
        </w:rPr>
        <w:t>确定RNI。</w:t>
      </w:r>
    </w:p>
    <w:p w:rsidR="00EA40A3" w:rsidRDefault="00E86C16">
      <w:pPr>
        <w:spacing w:before="69" w:line="245" w:lineRule="auto"/>
        <w:ind w:right="10" w:firstLine="400"/>
        <w:rPr>
          <w:rFonts w:ascii="宋体" w:eastAsia="宋体" w:hAnsi="宋体" w:cs="宋体"/>
          <w:sz w:val="22"/>
          <w:szCs w:val="22"/>
        </w:rPr>
      </w:pPr>
      <w:r>
        <w:rPr>
          <w:rFonts w:ascii="宋体" w:eastAsia="宋体" w:hAnsi="宋体" w:cs="宋体"/>
          <w:spacing w:val="-2"/>
          <w:sz w:val="22"/>
          <w:szCs w:val="22"/>
        </w:rPr>
        <w:t>我国居民膳食叶酸的RNI(μgDFE/d)</w:t>
      </w:r>
      <w:r>
        <w:rPr>
          <w:rFonts w:ascii="宋体" w:eastAsia="宋体" w:hAnsi="宋体" w:cs="宋体"/>
          <w:spacing w:val="14"/>
          <w:sz w:val="22"/>
          <w:szCs w:val="22"/>
        </w:rPr>
        <w:t xml:space="preserve">  </w:t>
      </w:r>
      <w:r>
        <w:rPr>
          <w:rFonts w:ascii="宋体" w:eastAsia="宋体" w:hAnsi="宋体" w:cs="宋体"/>
          <w:spacing w:val="-2"/>
          <w:sz w:val="22"/>
          <w:szCs w:val="22"/>
        </w:rPr>
        <w:t>分别定为：0岁约65</w:t>
      </w:r>
      <w:r>
        <w:rPr>
          <w:rFonts w:ascii="宋体" w:eastAsia="宋体" w:hAnsi="宋体" w:cs="宋体"/>
          <w:spacing w:val="-13"/>
          <w:sz w:val="22"/>
          <w:szCs w:val="22"/>
        </w:rPr>
        <w:t xml:space="preserve"> </w:t>
      </w:r>
      <w:r>
        <w:rPr>
          <w:rFonts w:ascii="宋体" w:eastAsia="宋体" w:hAnsi="宋体" w:cs="宋体"/>
          <w:spacing w:val="-2"/>
          <w:sz w:val="22"/>
          <w:szCs w:val="22"/>
        </w:rPr>
        <w:t>(AI)、0.5</w:t>
      </w:r>
      <w:r>
        <w:rPr>
          <w:rFonts w:ascii="宋体" w:eastAsia="宋体" w:hAnsi="宋体" w:cs="宋体"/>
          <w:spacing w:val="-33"/>
          <w:sz w:val="22"/>
          <w:szCs w:val="22"/>
        </w:rPr>
        <w:t xml:space="preserve"> </w:t>
      </w:r>
      <w:r>
        <w:rPr>
          <w:rFonts w:ascii="宋体" w:eastAsia="宋体" w:hAnsi="宋体" w:cs="宋体"/>
          <w:spacing w:val="-2"/>
          <w:sz w:val="22"/>
          <w:szCs w:val="22"/>
        </w:rPr>
        <w:t>岁</w:t>
      </w:r>
      <w:r>
        <w:rPr>
          <w:rFonts w:ascii="宋体" w:eastAsia="宋体" w:hAnsi="宋体" w:cs="宋体"/>
          <w:sz w:val="22"/>
          <w:szCs w:val="22"/>
        </w:rPr>
        <w:t xml:space="preserve">  </w:t>
      </w:r>
      <w:r>
        <w:rPr>
          <w:rFonts w:ascii="宋体" w:eastAsia="宋体" w:hAnsi="宋体" w:cs="宋体"/>
          <w:spacing w:val="1"/>
          <w:sz w:val="22"/>
          <w:szCs w:val="22"/>
        </w:rPr>
        <w:t>约80</w:t>
      </w:r>
      <w:r>
        <w:rPr>
          <w:rFonts w:ascii="宋体" w:eastAsia="宋体" w:hAnsi="宋体" w:cs="宋体"/>
          <w:spacing w:val="-32"/>
          <w:sz w:val="22"/>
          <w:szCs w:val="22"/>
        </w:rPr>
        <w:t xml:space="preserve"> </w:t>
      </w:r>
      <w:r>
        <w:rPr>
          <w:rFonts w:ascii="宋体" w:eastAsia="宋体" w:hAnsi="宋体" w:cs="宋体"/>
          <w:spacing w:val="1"/>
          <w:sz w:val="22"/>
          <w:szCs w:val="22"/>
        </w:rPr>
        <w:t>(</w:t>
      </w:r>
      <w:r>
        <w:rPr>
          <w:rFonts w:ascii="宋体" w:eastAsia="宋体" w:hAnsi="宋体" w:cs="宋体"/>
          <w:sz w:val="22"/>
          <w:szCs w:val="22"/>
        </w:rPr>
        <w:t>AI</w:t>
      </w:r>
      <w:r>
        <w:rPr>
          <w:rFonts w:ascii="宋体" w:eastAsia="宋体" w:hAnsi="宋体" w:cs="宋体"/>
          <w:spacing w:val="1"/>
          <w:sz w:val="22"/>
          <w:szCs w:val="22"/>
        </w:rPr>
        <w:t>)、1</w:t>
      </w:r>
      <w:r>
        <w:rPr>
          <w:rFonts w:ascii="宋体" w:eastAsia="宋体" w:hAnsi="宋体" w:cs="宋体"/>
          <w:spacing w:val="-33"/>
          <w:sz w:val="22"/>
          <w:szCs w:val="22"/>
        </w:rPr>
        <w:t xml:space="preserve"> </w:t>
      </w:r>
      <w:r>
        <w:rPr>
          <w:rFonts w:ascii="宋体" w:eastAsia="宋体" w:hAnsi="宋体" w:cs="宋体"/>
          <w:spacing w:val="1"/>
          <w:sz w:val="22"/>
          <w:szCs w:val="22"/>
        </w:rPr>
        <w:t>岁约150、4岁约200、11岁约300、14岁以上及成</w:t>
      </w:r>
      <w:r>
        <w:rPr>
          <w:rFonts w:ascii="宋体" w:eastAsia="宋体" w:hAnsi="宋体" w:cs="宋体"/>
          <w:sz w:val="22"/>
          <w:szCs w:val="22"/>
        </w:rPr>
        <w:t xml:space="preserve">年人400、孕  </w:t>
      </w:r>
      <w:r>
        <w:rPr>
          <w:rFonts w:ascii="宋体" w:eastAsia="宋体" w:hAnsi="宋体" w:cs="宋体"/>
          <w:spacing w:val="1"/>
          <w:sz w:val="22"/>
          <w:szCs w:val="22"/>
        </w:rPr>
        <w:t>妇600、乳母500。居民叶酸的</w:t>
      </w:r>
      <w:r>
        <w:rPr>
          <w:rFonts w:ascii="宋体" w:eastAsia="宋体" w:hAnsi="宋体" w:cs="宋体"/>
          <w:sz w:val="22"/>
          <w:szCs w:val="22"/>
        </w:rPr>
        <w:t>UI</w:t>
      </w:r>
      <w:r>
        <w:rPr>
          <w:rFonts w:ascii="宋体" w:eastAsia="宋体" w:hAnsi="宋体" w:cs="宋体"/>
          <w:spacing w:val="1"/>
          <w:sz w:val="22"/>
          <w:szCs w:val="22"/>
        </w:rPr>
        <w:t>,(μ</w:t>
      </w:r>
      <w:r>
        <w:rPr>
          <w:rFonts w:ascii="宋体" w:eastAsia="宋体" w:hAnsi="宋体" w:cs="宋体"/>
          <w:sz w:val="22"/>
          <w:szCs w:val="22"/>
        </w:rPr>
        <w:t>gDFE</w:t>
      </w:r>
      <w:r>
        <w:rPr>
          <w:rFonts w:ascii="宋体" w:eastAsia="宋体" w:hAnsi="宋体" w:cs="宋体"/>
          <w:spacing w:val="1"/>
          <w:sz w:val="22"/>
          <w:szCs w:val="22"/>
        </w:rPr>
        <w:t>/d)</w:t>
      </w:r>
      <w:r>
        <w:rPr>
          <w:rFonts w:ascii="宋体" w:eastAsia="宋体" w:hAnsi="宋体" w:cs="宋体"/>
          <w:spacing w:val="29"/>
          <w:sz w:val="22"/>
          <w:szCs w:val="22"/>
        </w:rPr>
        <w:t xml:space="preserve"> </w:t>
      </w:r>
      <w:r>
        <w:rPr>
          <w:rFonts w:ascii="宋体" w:eastAsia="宋体" w:hAnsi="宋体" w:cs="宋体"/>
          <w:spacing w:val="1"/>
          <w:sz w:val="22"/>
          <w:szCs w:val="22"/>
        </w:rPr>
        <w:t>定为：1岁约300、4岁约400、</w:t>
      </w:r>
      <w:r>
        <w:rPr>
          <w:rFonts w:ascii="宋体" w:eastAsia="宋体" w:hAnsi="宋体" w:cs="宋体"/>
          <w:sz w:val="22"/>
          <w:szCs w:val="22"/>
        </w:rPr>
        <w:t xml:space="preserve"> </w:t>
      </w:r>
      <w:r>
        <w:rPr>
          <w:rFonts w:ascii="宋体" w:eastAsia="宋体" w:hAnsi="宋体" w:cs="宋体"/>
          <w:spacing w:val="1"/>
          <w:sz w:val="22"/>
          <w:szCs w:val="22"/>
        </w:rPr>
        <w:t>11</w:t>
      </w:r>
      <w:r>
        <w:rPr>
          <w:rFonts w:ascii="宋体" w:eastAsia="宋体" w:hAnsi="宋体" w:cs="宋体"/>
          <w:spacing w:val="-53"/>
          <w:sz w:val="22"/>
          <w:szCs w:val="22"/>
        </w:rPr>
        <w:t xml:space="preserve"> </w:t>
      </w:r>
      <w:r>
        <w:rPr>
          <w:rFonts w:ascii="宋体" w:eastAsia="宋体" w:hAnsi="宋体" w:cs="宋体"/>
          <w:spacing w:val="1"/>
          <w:sz w:val="22"/>
          <w:szCs w:val="22"/>
        </w:rPr>
        <w:t>岁约600、14岁约800、成人(含孕妇和乳母)1000。</w:t>
      </w:r>
    </w:p>
    <w:p w:rsidR="00EA40A3" w:rsidRDefault="00E86C16">
      <w:pPr>
        <w:spacing w:before="47" w:line="236" w:lineRule="auto"/>
        <w:ind w:right="90" w:firstLine="400"/>
        <w:rPr>
          <w:rFonts w:ascii="宋体" w:eastAsia="宋体" w:hAnsi="宋体" w:cs="宋体"/>
          <w:sz w:val="22"/>
          <w:szCs w:val="22"/>
        </w:rPr>
      </w:pPr>
      <w:r>
        <w:rPr>
          <w:rFonts w:ascii="宋体" w:eastAsia="宋体" w:hAnsi="宋体" w:cs="宋体"/>
          <w:spacing w:val="-6"/>
          <w:sz w:val="22"/>
          <w:szCs w:val="22"/>
        </w:rPr>
        <w:t>叶酸广泛存在于各种动植物食品中，富含叶酸的食物有肝、肾、鸡蛋、豆</w:t>
      </w:r>
      <w:r>
        <w:rPr>
          <w:rFonts w:ascii="宋体" w:eastAsia="宋体" w:hAnsi="宋体" w:cs="宋体"/>
          <w:spacing w:val="1"/>
          <w:sz w:val="22"/>
          <w:szCs w:val="22"/>
        </w:rPr>
        <w:t xml:space="preserve"> </w:t>
      </w:r>
      <w:r>
        <w:rPr>
          <w:rFonts w:ascii="宋体" w:eastAsia="宋体" w:hAnsi="宋体" w:cs="宋体"/>
          <w:spacing w:val="-16"/>
          <w:sz w:val="22"/>
          <w:szCs w:val="22"/>
        </w:rPr>
        <w:t>类、酵母、绿叶蔬菜、水果及坚果类。</w:t>
      </w:r>
    </w:p>
    <w:p w:rsidR="00EA40A3" w:rsidRDefault="00EA40A3">
      <w:pPr>
        <w:sectPr w:rsidR="00EA40A3">
          <w:footerReference w:type="default" r:id="rId111"/>
          <w:pgSz w:w="9220" w:h="13360"/>
          <w:pgMar w:top="400" w:right="999" w:bottom="1327" w:left="879" w:header="0" w:footer="1118" w:gutter="0"/>
          <w:cols w:space="720"/>
        </w:sectPr>
      </w:pPr>
    </w:p>
    <w:p w:rsidR="00EA40A3" w:rsidRDefault="00EA40A3">
      <w:pPr>
        <w:spacing w:line="324" w:lineRule="auto"/>
      </w:pPr>
    </w:p>
    <w:p w:rsidR="00EA40A3" w:rsidRDefault="00EA40A3">
      <w:pPr>
        <w:spacing w:line="325" w:lineRule="auto"/>
      </w:pPr>
    </w:p>
    <w:p w:rsidR="00EA40A3" w:rsidRDefault="00E86C16">
      <w:pPr>
        <w:spacing w:before="84" w:line="223" w:lineRule="auto"/>
        <w:ind w:left="3"/>
        <w:outlineLvl w:val="6"/>
        <w:rPr>
          <w:rFonts w:ascii="黑体" w:eastAsia="黑体" w:hAnsi="黑体" w:cs="黑体"/>
          <w:sz w:val="26"/>
          <w:szCs w:val="26"/>
        </w:rPr>
      </w:pPr>
      <w:r>
        <w:rPr>
          <w:rFonts w:ascii="黑体" w:eastAsia="黑体" w:hAnsi="黑体" w:cs="黑体"/>
          <w:b/>
          <w:bCs/>
          <w:spacing w:val="-11"/>
          <w:sz w:val="26"/>
          <w:szCs w:val="26"/>
        </w:rPr>
        <w:t>4.2.11</w:t>
      </w:r>
      <w:r>
        <w:rPr>
          <w:rFonts w:ascii="黑体" w:eastAsia="黑体" w:hAnsi="黑体" w:cs="黑体"/>
          <w:spacing w:val="91"/>
          <w:sz w:val="26"/>
          <w:szCs w:val="26"/>
        </w:rPr>
        <w:t xml:space="preserve"> </w:t>
      </w:r>
      <w:r>
        <w:rPr>
          <w:rFonts w:ascii="黑体" w:eastAsia="黑体" w:hAnsi="黑体" w:cs="黑体"/>
          <w:b/>
          <w:bCs/>
          <w:spacing w:val="-11"/>
          <w:sz w:val="26"/>
          <w:szCs w:val="26"/>
        </w:rPr>
        <w:t>维生素C</w:t>
      </w:r>
    </w:p>
    <w:p w:rsidR="00EA40A3" w:rsidRDefault="00E86C16">
      <w:pPr>
        <w:spacing w:before="233" w:line="220"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45"/>
          <w:sz w:val="22"/>
          <w:szCs w:val="22"/>
        </w:rPr>
        <w:t xml:space="preserve"> </w:t>
      </w:r>
      <w:r>
        <w:rPr>
          <w:rFonts w:ascii="仿宋" w:eastAsia="仿宋" w:hAnsi="仿宋" w:cs="仿宋"/>
          <w:spacing w:val="10"/>
          <w:sz w:val="22"/>
          <w:szCs w:val="22"/>
        </w:rPr>
        <w:t>维生素C</w:t>
      </w:r>
      <w:r>
        <w:rPr>
          <w:rFonts w:ascii="仿宋" w:eastAsia="仿宋" w:hAnsi="仿宋" w:cs="仿宋"/>
          <w:spacing w:val="36"/>
          <w:sz w:val="22"/>
          <w:szCs w:val="22"/>
        </w:rPr>
        <w:t xml:space="preserve"> </w:t>
      </w:r>
      <w:r>
        <w:rPr>
          <w:rFonts w:ascii="仿宋" w:eastAsia="仿宋" w:hAnsi="仿宋" w:cs="仿宋"/>
          <w:spacing w:val="10"/>
          <w:sz w:val="22"/>
          <w:szCs w:val="22"/>
        </w:rPr>
        <w:t>的理化性质</w:t>
      </w:r>
    </w:p>
    <w:p w:rsidR="00EA40A3" w:rsidRDefault="00E86C16">
      <w:pPr>
        <w:spacing w:before="200" w:line="247" w:lineRule="auto"/>
        <w:ind w:firstLine="450"/>
        <w:jc w:val="both"/>
        <w:rPr>
          <w:rFonts w:ascii="宋体" w:eastAsia="宋体" w:hAnsi="宋体" w:cs="宋体"/>
          <w:sz w:val="22"/>
          <w:szCs w:val="22"/>
        </w:rPr>
      </w:pPr>
      <w:r>
        <w:rPr>
          <w:rFonts w:ascii="宋体" w:eastAsia="宋体" w:hAnsi="宋体" w:cs="宋体"/>
          <w:spacing w:val="-14"/>
          <w:sz w:val="22"/>
          <w:szCs w:val="22"/>
        </w:rPr>
        <w:t>维生素</w:t>
      </w:r>
      <w:r>
        <w:rPr>
          <w:rFonts w:ascii="宋体" w:eastAsia="宋体" w:hAnsi="宋体" w:cs="宋体"/>
          <w:spacing w:val="-60"/>
          <w:sz w:val="22"/>
          <w:szCs w:val="22"/>
        </w:rPr>
        <w:t xml:space="preserve"> </w:t>
      </w:r>
      <w:r>
        <w:rPr>
          <w:rFonts w:ascii="宋体" w:eastAsia="宋体" w:hAnsi="宋体" w:cs="宋体"/>
          <w:spacing w:val="-14"/>
          <w:sz w:val="22"/>
          <w:szCs w:val="22"/>
        </w:rPr>
        <w:t>C</w:t>
      </w:r>
      <w:r>
        <w:rPr>
          <w:rFonts w:ascii="宋体" w:eastAsia="宋体" w:hAnsi="宋体" w:cs="宋体"/>
          <w:spacing w:val="-23"/>
          <w:sz w:val="22"/>
          <w:szCs w:val="22"/>
        </w:rPr>
        <w:t xml:space="preserve"> </w:t>
      </w:r>
      <w:r>
        <w:rPr>
          <w:rFonts w:ascii="宋体" w:eastAsia="宋体" w:hAnsi="宋体" w:cs="宋体"/>
          <w:spacing w:val="-14"/>
          <w:sz w:val="22"/>
          <w:szCs w:val="22"/>
        </w:rPr>
        <w:t>又名抗坏血酸</w:t>
      </w:r>
      <w:r>
        <w:rPr>
          <w:rFonts w:ascii="宋体" w:eastAsia="宋体" w:hAnsi="宋体" w:cs="宋体"/>
          <w:spacing w:val="-20"/>
          <w:sz w:val="22"/>
          <w:szCs w:val="22"/>
        </w:rPr>
        <w:t xml:space="preserve"> </w:t>
      </w:r>
      <w:r>
        <w:rPr>
          <w:rFonts w:ascii="宋体" w:eastAsia="宋体" w:hAnsi="宋体" w:cs="宋体"/>
          <w:spacing w:val="-14"/>
          <w:sz w:val="22"/>
          <w:szCs w:val="22"/>
        </w:rPr>
        <w:t>(ascorbic</w:t>
      </w:r>
      <w:r>
        <w:rPr>
          <w:rFonts w:ascii="宋体" w:eastAsia="宋体" w:hAnsi="宋体" w:cs="宋体"/>
          <w:spacing w:val="-7"/>
          <w:sz w:val="22"/>
          <w:szCs w:val="22"/>
        </w:rPr>
        <w:t xml:space="preserve"> </w:t>
      </w:r>
      <w:r>
        <w:rPr>
          <w:rFonts w:ascii="宋体" w:eastAsia="宋体" w:hAnsi="宋体" w:cs="宋体"/>
          <w:spacing w:val="-14"/>
          <w:sz w:val="22"/>
          <w:szCs w:val="22"/>
        </w:rPr>
        <w:t>acid),</w:t>
      </w:r>
      <w:r>
        <w:rPr>
          <w:rFonts w:ascii="宋体" w:eastAsia="宋体" w:hAnsi="宋体" w:cs="宋体"/>
          <w:spacing w:val="-58"/>
          <w:sz w:val="22"/>
          <w:szCs w:val="22"/>
        </w:rPr>
        <w:t xml:space="preserve"> </w:t>
      </w:r>
      <w:r>
        <w:rPr>
          <w:rFonts w:ascii="宋体" w:eastAsia="宋体" w:hAnsi="宋体" w:cs="宋体"/>
          <w:spacing w:val="-14"/>
          <w:sz w:val="22"/>
          <w:szCs w:val="22"/>
        </w:rPr>
        <w:t>是一种含6个碳的α-酮基内酯的</w:t>
      </w:r>
      <w:r>
        <w:rPr>
          <w:rFonts w:ascii="宋体" w:eastAsia="宋体" w:hAnsi="宋体" w:cs="宋体"/>
          <w:spacing w:val="-15"/>
          <w:sz w:val="22"/>
          <w:szCs w:val="22"/>
        </w:rPr>
        <w:t>弱</w:t>
      </w:r>
      <w:r>
        <w:rPr>
          <w:rFonts w:ascii="宋体" w:eastAsia="宋体" w:hAnsi="宋体" w:cs="宋体"/>
          <w:sz w:val="22"/>
          <w:szCs w:val="22"/>
        </w:rPr>
        <w:t xml:space="preserve"> </w:t>
      </w:r>
      <w:r>
        <w:rPr>
          <w:rFonts w:ascii="宋体" w:eastAsia="宋体" w:hAnsi="宋体" w:cs="宋体"/>
          <w:spacing w:val="-8"/>
          <w:sz w:val="22"/>
          <w:szCs w:val="22"/>
        </w:rPr>
        <w:t>酸，带有明显的酸味。自然界存在有L</w:t>
      </w:r>
      <w:r>
        <w:rPr>
          <w:rFonts w:ascii="宋体" w:eastAsia="宋体" w:hAnsi="宋体" w:cs="宋体"/>
          <w:spacing w:val="-24"/>
          <w:sz w:val="22"/>
          <w:szCs w:val="22"/>
        </w:rPr>
        <w:t xml:space="preserve"> </w:t>
      </w:r>
      <w:r>
        <w:rPr>
          <w:rFonts w:ascii="宋体" w:eastAsia="宋体" w:hAnsi="宋体" w:cs="宋体"/>
          <w:spacing w:val="-8"/>
          <w:sz w:val="22"/>
          <w:szCs w:val="22"/>
        </w:rPr>
        <w:t>型(图4-15)、</w:t>
      </w:r>
      <w:r>
        <w:rPr>
          <w:rFonts w:ascii="宋体" w:eastAsia="宋体" w:hAnsi="宋体" w:cs="宋体"/>
          <w:spacing w:val="-59"/>
          <w:sz w:val="22"/>
          <w:szCs w:val="22"/>
        </w:rPr>
        <w:t xml:space="preserve"> </w:t>
      </w:r>
      <w:r>
        <w:rPr>
          <w:rFonts w:ascii="宋体" w:eastAsia="宋体" w:hAnsi="宋体" w:cs="宋体"/>
          <w:spacing w:val="-8"/>
          <w:sz w:val="22"/>
          <w:szCs w:val="22"/>
        </w:rPr>
        <w:t>D</w:t>
      </w:r>
      <w:r>
        <w:rPr>
          <w:rFonts w:ascii="宋体" w:eastAsia="宋体" w:hAnsi="宋体" w:cs="宋体"/>
          <w:spacing w:val="-6"/>
          <w:sz w:val="22"/>
          <w:szCs w:val="22"/>
        </w:rPr>
        <w:t xml:space="preserve"> </w:t>
      </w:r>
      <w:r>
        <w:rPr>
          <w:rFonts w:ascii="宋体" w:eastAsia="宋体" w:hAnsi="宋体" w:cs="宋体"/>
          <w:spacing w:val="-8"/>
          <w:sz w:val="22"/>
          <w:szCs w:val="22"/>
        </w:rPr>
        <w:t>型两种，</w:t>
      </w:r>
      <w:r>
        <w:rPr>
          <w:rFonts w:ascii="宋体" w:eastAsia="宋体" w:hAnsi="宋体" w:cs="宋体"/>
          <w:spacing w:val="-38"/>
          <w:sz w:val="22"/>
          <w:szCs w:val="22"/>
        </w:rPr>
        <w:t xml:space="preserve"> </w:t>
      </w:r>
      <w:r>
        <w:rPr>
          <w:rFonts w:ascii="宋体" w:eastAsia="宋体" w:hAnsi="宋体" w:cs="宋体"/>
          <w:spacing w:val="-8"/>
          <w:sz w:val="22"/>
          <w:szCs w:val="22"/>
        </w:rPr>
        <w:t>D</w:t>
      </w:r>
      <w:r>
        <w:rPr>
          <w:rFonts w:ascii="宋体" w:eastAsia="宋体" w:hAnsi="宋体" w:cs="宋体"/>
          <w:spacing w:val="-5"/>
          <w:sz w:val="22"/>
          <w:szCs w:val="22"/>
        </w:rPr>
        <w:t xml:space="preserve"> </w:t>
      </w:r>
      <w:r>
        <w:rPr>
          <w:rFonts w:ascii="宋体" w:eastAsia="宋体" w:hAnsi="宋体" w:cs="宋体"/>
          <w:spacing w:val="-9"/>
          <w:sz w:val="22"/>
          <w:szCs w:val="22"/>
        </w:rPr>
        <w:t>型无生物活</w:t>
      </w:r>
      <w:r>
        <w:rPr>
          <w:rFonts w:ascii="宋体" w:eastAsia="宋体" w:hAnsi="宋体" w:cs="宋体"/>
          <w:sz w:val="22"/>
          <w:szCs w:val="22"/>
        </w:rPr>
        <w:t xml:space="preserve">  </w:t>
      </w:r>
      <w:r>
        <w:rPr>
          <w:rFonts w:ascii="宋体" w:eastAsia="宋体" w:hAnsi="宋体" w:cs="宋体"/>
          <w:spacing w:val="-5"/>
          <w:sz w:val="22"/>
          <w:szCs w:val="22"/>
        </w:rPr>
        <w:t>性。维生素C</w:t>
      </w:r>
      <w:r>
        <w:rPr>
          <w:rFonts w:ascii="宋体" w:eastAsia="宋体" w:hAnsi="宋体" w:cs="宋体"/>
          <w:spacing w:val="-34"/>
          <w:sz w:val="22"/>
          <w:szCs w:val="22"/>
        </w:rPr>
        <w:t xml:space="preserve"> </w:t>
      </w:r>
      <w:r>
        <w:rPr>
          <w:rFonts w:ascii="宋体" w:eastAsia="宋体" w:hAnsi="宋体" w:cs="宋体"/>
          <w:spacing w:val="-5"/>
          <w:sz w:val="22"/>
          <w:szCs w:val="22"/>
        </w:rPr>
        <w:t>呈片状结晶体，易溶于水，稍溶于丙酮与低级醇</w:t>
      </w:r>
      <w:r>
        <w:rPr>
          <w:rFonts w:ascii="宋体" w:eastAsia="宋体" w:hAnsi="宋体" w:cs="宋体"/>
          <w:spacing w:val="-6"/>
          <w:sz w:val="22"/>
          <w:szCs w:val="22"/>
        </w:rPr>
        <w:t>类，不溶于脂溶</w:t>
      </w:r>
      <w:r>
        <w:rPr>
          <w:rFonts w:ascii="宋体" w:eastAsia="宋体" w:hAnsi="宋体" w:cs="宋体"/>
          <w:sz w:val="22"/>
          <w:szCs w:val="22"/>
        </w:rPr>
        <w:t xml:space="preserve">  </w:t>
      </w:r>
      <w:r>
        <w:rPr>
          <w:rFonts w:ascii="宋体" w:eastAsia="宋体" w:hAnsi="宋体" w:cs="宋体"/>
          <w:spacing w:val="-10"/>
          <w:sz w:val="22"/>
          <w:szCs w:val="22"/>
        </w:rPr>
        <w:t>剂中，具有强还原性，干燥时十分稳定，但在溶液中不稳定，遇空气、热、光、</w:t>
      </w:r>
      <w:r>
        <w:rPr>
          <w:rFonts w:ascii="宋体" w:eastAsia="宋体" w:hAnsi="宋体" w:cs="宋体"/>
          <w:spacing w:val="18"/>
          <w:sz w:val="22"/>
          <w:szCs w:val="22"/>
        </w:rPr>
        <w:t xml:space="preserve"> </w:t>
      </w:r>
      <w:r>
        <w:rPr>
          <w:rFonts w:ascii="宋体" w:eastAsia="宋体" w:hAnsi="宋体" w:cs="宋体"/>
          <w:spacing w:val="-12"/>
          <w:sz w:val="22"/>
          <w:szCs w:val="22"/>
        </w:rPr>
        <w:t>碱性物质、氧化酶及铜、铁离子时极易氧化破坏。酸性</w:t>
      </w:r>
      <w:r>
        <w:rPr>
          <w:rFonts w:ascii="宋体" w:eastAsia="宋体" w:hAnsi="宋体" w:cs="宋体"/>
          <w:spacing w:val="-13"/>
          <w:sz w:val="22"/>
          <w:szCs w:val="22"/>
        </w:rPr>
        <w:t>、冷藏、密封、真空保藏</w:t>
      </w:r>
      <w:r>
        <w:rPr>
          <w:rFonts w:ascii="宋体" w:eastAsia="宋体" w:hAnsi="宋体" w:cs="宋体"/>
          <w:sz w:val="22"/>
          <w:szCs w:val="22"/>
        </w:rPr>
        <w:t xml:space="preserve">  </w:t>
      </w:r>
      <w:r>
        <w:rPr>
          <w:rFonts w:ascii="宋体" w:eastAsia="宋体" w:hAnsi="宋体" w:cs="宋体"/>
          <w:spacing w:val="1"/>
          <w:sz w:val="22"/>
          <w:szCs w:val="22"/>
        </w:rPr>
        <w:t>时食品中的维生素</w:t>
      </w:r>
      <w:r>
        <w:rPr>
          <w:rFonts w:ascii="宋体" w:eastAsia="宋体" w:hAnsi="宋体" w:cs="宋体"/>
          <w:spacing w:val="-61"/>
          <w:sz w:val="22"/>
          <w:szCs w:val="22"/>
        </w:rPr>
        <w:t xml:space="preserve"> </w:t>
      </w:r>
      <w:r>
        <w:rPr>
          <w:rFonts w:ascii="宋体" w:eastAsia="宋体" w:hAnsi="宋体" w:cs="宋体"/>
          <w:spacing w:val="1"/>
          <w:sz w:val="22"/>
          <w:szCs w:val="22"/>
        </w:rPr>
        <w:t>C</w:t>
      </w:r>
      <w:r>
        <w:rPr>
          <w:rFonts w:ascii="宋体" w:eastAsia="宋体" w:hAnsi="宋体" w:cs="宋体"/>
          <w:spacing w:val="-3"/>
          <w:sz w:val="22"/>
          <w:szCs w:val="22"/>
        </w:rPr>
        <w:t xml:space="preserve"> </w:t>
      </w:r>
      <w:r>
        <w:rPr>
          <w:rFonts w:ascii="宋体" w:eastAsia="宋体" w:hAnsi="宋体" w:cs="宋体"/>
          <w:spacing w:val="1"/>
          <w:sz w:val="22"/>
          <w:szCs w:val="22"/>
        </w:rPr>
        <w:t>破坏缓慢。抗坏血酸氧化后成为脱氢型抗坏血</w:t>
      </w:r>
      <w:r>
        <w:rPr>
          <w:rFonts w:ascii="宋体" w:eastAsia="宋体" w:hAnsi="宋体" w:cs="宋体"/>
          <w:sz w:val="22"/>
          <w:szCs w:val="22"/>
        </w:rPr>
        <w:t xml:space="preserve">酸 (de-  </w:t>
      </w:r>
      <w:r>
        <w:rPr>
          <w:rFonts w:ascii="宋体" w:eastAsia="宋体" w:hAnsi="宋体" w:cs="宋体"/>
          <w:spacing w:val="-10"/>
          <w:sz w:val="22"/>
          <w:szCs w:val="22"/>
        </w:rPr>
        <w:t>hydroascorbic</w:t>
      </w:r>
      <w:r>
        <w:rPr>
          <w:rFonts w:ascii="宋体" w:eastAsia="宋体" w:hAnsi="宋体" w:cs="宋体"/>
          <w:spacing w:val="-7"/>
          <w:sz w:val="22"/>
          <w:szCs w:val="22"/>
        </w:rPr>
        <w:t xml:space="preserve"> </w:t>
      </w:r>
      <w:r>
        <w:rPr>
          <w:rFonts w:ascii="宋体" w:eastAsia="宋体" w:hAnsi="宋体" w:cs="宋体"/>
          <w:spacing w:val="-10"/>
          <w:sz w:val="22"/>
          <w:szCs w:val="22"/>
        </w:rPr>
        <w:t>acid),仍具有生理活性，在有供氢体存在时，脱氢型</w:t>
      </w:r>
      <w:r>
        <w:rPr>
          <w:rFonts w:ascii="宋体" w:eastAsia="宋体" w:hAnsi="宋体" w:cs="宋体"/>
          <w:spacing w:val="-11"/>
          <w:sz w:val="22"/>
          <w:szCs w:val="22"/>
        </w:rPr>
        <w:t>抗坏血酸又</w:t>
      </w:r>
      <w:r>
        <w:rPr>
          <w:rFonts w:ascii="宋体" w:eastAsia="宋体" w:hAnsi="宋体" w:cs="宋体"/>
          <w:sz w:val="22"/>
          <w:szCs w:val="22"/>
        </w:rPr>
        <w:t xml:space="preserve">  </w:t>
      </w:r>
      <w:r>
        <w:rPr>
          <w:rFonts w:ascii="宋体" w:eastAsia="宋体" w:hAnsi="宋体" w:cs="宋体"/>
          <w:spacing w:val="-12"/>
          <w:sz w:val="22"/>
          <w:szCs w:val="22"/>
        </w:rPr>
        <w:t>能接受两个氢原子再转变为抗坏血酸。脱氢抗坏血酸若</w:t>
      </w:r>
      <w:r>
        <w:rPr>
          <w:rFonts w:ascii="宋体" w:eastAsia="宋体" w:hAnsi="宋体" w:cs="宋体"/>
          <w:spacing w:val="-13"/>
          <w:sz w:val="22"/>
          <w:szCs w:val="22"/>
        </w:rPr>
        <w:t>进一步氧化或分解，则成</w:t>
      </w:r>
      <w:r>
        <w:rPr>
          <w:rFonts w:ascii="宋体" w:eastAsia="宋体" w:hAnsi="宋体" w:cs="宋体"/>
          <w:sz w:val="22"/>
          <w:szCs w:val="22"/>
        </w:rPr>
        <w:t xml:space="preserve">  </w:t>
      </w:r>
      <w:r>
        <w:rPr>
          <w:rFonts w:ascii="宋体" w:eastAsia="宋体" w:hAnsi="宋体" w:cs="宋体"/>
          <w:spacing w:val="-13"/>
          <w:sz w:val="22"/>
          <w:szCs w:val="22"/>
        </w:rPr>
        <w:t>为无活性的2,3-二酮古洛糖酸(2,3-diketo-gulonic</w:t>
      </w:r>
      <w:r>
        <w:rPr>
          <w:rFonts w:ascii="宋体" w:eastAsia="宋体" w:hAnsi="宋体" w:cs="宋体"/>
          <w:spacing w:val="3"/>
          <w:sz w:val="22"/>
          <w:szCs w:val="22"/>
        </w:rPr>
        <w:t xml:space="preserve"> </w:t>
      </w:r>
      <w:r>
        <w:rPr>
          <w:rFonts w:ascii="宋体" w:eastAsia="宋体" w:hAnsi="宋体" w:cs="宋体"/>
          <w:spacing w:val="-13"/>
          <w:sz w:val="22"/>
          <w:szCs w:val="22"/>
        </w:rPr>
        <w:t>acid)。</w:t>
      </w:r>
    </w:p>
    <w:p w:rsidR="00EA40A3" w:rsidRDefault="00E86C16">
      <w:pPr>
        <w:spacing w:before="233" w:line="1100" w:lineRule="exact"/>
        <w:ind w:firstLine="1809"/>
        <w:textAlignment w:val="center"/>
      </w:pPr>
      <w:r>
        <w:rPr>
          <w:noProof/>
        </w:rPr>
        <w:drawing>
          <wp:inline distT="0" distB="0" distL="0" distR="0">
            <wp:extent cx="2413000" cy="69786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12"/>
                    <a:stretch>
                      <a:fillRect/>
                    </a:stretch>
                  </pic:blipFill>
                  <pic:spPr>
                    <a:xfrm>
                      <a:off x="0" y="0"/>
                      <a:ext cx="2413014" cy="698454"/>
                    </a:xfrm>
                    <a:prstGeom prst="rect">
                      <a:avLst/>
                    </a:prstGeom>
                  </pic:spPr>
                </pic:pic>
              </a:graphicData>
            </a:graphic>
          </wp:inline>
        </w:drawing>
      </w:r>
    </w:p>
    <w:p w:rsidR="00EA40A3" w:rsidRDefault="00E86C16">
      <w:pPr>
        <w:spacing w:before="166" w:line="231" w:lineRule="auto"/>
        <w:ind w:left="2170"/>
        <w:rPr>
          <w:rFonts w:ascii="宋体" w:eastAsia="宋体" w:hAnsi="宋体" w:cs="宋体"/>
          <w:sz w:val="16"/>
          <w:szCs w:val="16"/>
        </w:rPr>
      </w:pPr>
      <w:r>
        <w:rPr>
          <w:rFonts w:ascii="宋体" w:eastAsia="宋体" w:hAnsi="宋体" w:cs="宋体"/>
          <w:spacing w:val="-5"/>
          <w:sz w:val="16"/>
          <w:szCs w:val="16"/>
        </w:rPr>
        <w:t>抗坏血酸</w:t>
      </w:r>
      <w:r>
        <w:rPr>
          <w:rFonts w:ascii="宋体" w:eastAsia="宋体" w:hAnsi="宋体" w:cs="宋体"/>
          <w:spacing w:val="4"/>
          <w:sz w:val="16"/>
          <w:szCs w:val="16"/>
        </w:rPr>
        <w:t xml:space="preserve">                 </w:t>
      </w:r>
      <w:r>
        <w:rPr>
          <w:rFonts w:ascii="宋体" w:eastAsia="宋体" w:hAnsi="宋体" w:cs="宋体"/>
          <w:spacing w:val="-5"/>
          <w:sz w:val="16"/>
          <w:szCs w:val="16"/>
        </w:rPr>
        <w:t>顺式脱氢抗坏血酸</w:t>
      </w:r>
    </w:p>
    <w:p w:rsidR="00EA40A3" w:rsidRDefault="00E86C16">
      <w:pPr>
        <w:spacing w:before="290" w:line="219" w:lineRule="auto"/>
        <w:ind w:left="2710"/>
        <w:rPr>
          <w:rFonts w:ascii="宋体" w:eastAsia="宋体" w:hAnsi="宋体" w:cs="宋体"/>
          <w:sz w:val="16"/>
          <w:szCs w:val="16"/>
        </w:rPr>
      </w:pPr>
      <w:r>
        <w:rPr>
          <w:rFonts w:ascii="宋体" w:eastAsia="宋体" w:hAnsi="宋体" w:cs="宋体"/>
          <w:spacing w:val="4"/>
          <w:sz w:val="16"/>
          <w:szCs w:val="16"/>
        </w:rPr>
        <w:t>图4-</w:t>
      </w:r>
      <w:r>
        <w:rPr>
          <w:rFonts w:ascii="宋体" w:eastAsia="宋体" w:hAnsi="宋体" w:cs="宋体"/>
          <w:spacing w:val="-28"/>
          <w:sz w:val="16"/>
          <w:szCs w:val="16"/>
        </w:rPr>
        <w:t xml:space="preserve"> </w:t>
      </w:r>
      <w:r>
        <w:rPr>
          <w:rFonts w:ascii="宋体" w:eastAsia="宋体" w:hAnsi="宋体" w:cs="宋体"/>
          <w:spacing w:val="4"/>
          <w:sz w:val="16"/>
          <w:szCs w:val="16"/>
        </w:rPr>
        <w:t>15</w:t>
      </w:r>
      <w:r>
        <w:rPr>
          <w:rFonts w:ascii="宋体" w:eastAsia="宋体" w:hAnsi="宋体" w:cs="宋体"/>
          <w:spacing w:val="5"/>
          <w:sz w:val="16"/>
          <w:szCs w:val="16"/>
        </w:rPr>
        <w:t xml:space="preserve">  </w:t>
      </w:r>
      <w:r>
        <w:rPr>
          <w:rFonts w:ascii="宋体" w:eastAsia="宋体" w:hAnsi="宋体" w:cs="宋体"/>
          <w:spacing w:val="4"/>
          <w:sz w:val="16"/>
          <w:szCs w:val="16"/>
        </w:rPr>
        <w:t>维</w:t>
      </w:r>
      <w:r>
        <w:rPr>
          <w:rFonts w:ascii="宋体" w:eastAsia="宋体" w:hAnsi="宋体" w:cs="宋体"/>
          <w:spacing w:val="-35"/>
          <w:sz w:val="16"/>
          <w:szCs w:val="16"/>
        </w:rPr>
        <w:t xml:space="preserve"> </w:t>
      </w:r>
      <w:r>
        <w:rPr>
          <w:rFonts w:ascii="宋体" w:eastAsia="宋体" w:hAnsi="宋体" w:cs="宋体"/>
          <w:spacing w:val="4"/>
          <w:sz w:val="16"/>
          <w:szCs w:val="16"/>
        </w:rPr>
        <w:t>生</w:t>
      </w:r>
      <w:r>
        <w:rPr>
          <w:rFonts w:ascii="宋体" w:eastAsia="宋体" w:hAnsi="宋体" w:cs="宋体"/>
          <w:spacing w:val="-33"/>
          <w:sz w:val="16"/>
          <w:szCs w:val="16"/>
        </w:rPr>
        <w:t xml:space="preserve"> </w:t>
      </w:r>
      <w:r>
        <w:rPr>
          <w:rFonts w:ascii="宋体" w:eastAsia="宋体" w:hAnsi="宋体" w:cs="宋体"/>
          <w:spacing w:val="4"/>
          <w:sz w:val="16"/>
          <w:szCs w:val="16"/>
        </w:rPr>
        <w:t>素</w:t>
      </w:r>
      <w:r>
        <w:rPr>
          <w:rFonts w:ascii="宋体" w:eastAsia="宋体" w:hAnsi="宋体" w:cs="宋体"/>
          <w:spacing w:val="-48"/>
          <w:sz w:val="16"/>
          <w:szCs w:val="16"/>
        </w:rPr>
        <w:t xml:space="preserve"> </w:t>
      </w:r>
      <w:r>
        <w:rPr>
          <w:rFonts w:ascii="宋体" w:eastAsia="宋体" w:hAnsi="宋体" w:cs="宋体"/>
          <w:spacing w:val="4"/>
          <w:sz w:val="16"/>
          <w:szCs w:val="16"/>
        </w:rPr>
        <w:t>C</w:t>
      </w:r>
      <w:r>
        <w:rPr>
          <w:rFonts w:ascii="宋体" w:eastAsia="宋体" w:hAnsi="宋体" w:cs="宋体"/>
          <w:spacing w:val="-5"/>
          <w:sz w:val="16"/>
          <w:szCs w:val="16"/>
        </w:rPr>
        <w:t xml:space="preserve"> </w:t>
      </w:r>
      <w:r>
        <w:rPr>
          <w:rFonts w:ascii="宋体" w:eastAsia="宋体" w:hAnsi="宋体" w:cs="宋体"/>
          <w:spacing w:val="4"/>
          <w:sz w:val="16"/>
          <w:szCs w:val="16"/>
        </w:rPr>
        <w:t>的结构</w:t>
      </w:r>
    </w:p>
    <w:p w:rsidR="00EA40A3" w:rsidRDefault="00EA40A3">
      <w:pPr>
        <w:spacing w:line="465" w:lineRule="auto"/>
      </w:pPr>
    </w:p>
    <w:p w:rsidR="00EA40A3" w:rsidRDefault="00E86C16">
      <w:pPr>
        <w:spacing w:before="71" w:line="222" w:lineRule="auto"/>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38"/>
          <w:sz w:val="22"/>
          <w:szCs w:val="22"/>
        </w:rPr>
        <w:t xml:space="preserve"> </w:t>
      </w:r>
      <w:r>
        <w:rPr>
          <w:rFonts w:ascii="仿宋" w:eastAsia="仿宋" w:hAnsi="仿宋" w:cs="仿宋"/>
          <w:spacing w:val="14"/>
          <w:sz w:val="22"/>
          <w:szCs w:val="22"/>
        </w:rPr>
        <w:t>维生素C</w:t>
      </w:r>
      <w:r>
        <w:rPr>
          <w:rFonts w:ascii="仿宋" w:eastAsia="仿宋" w:hAnsi="仿宋" w:cs="仿宋"/>
          <w:spacing w:val="26"/>
          <w:sz w:val="22"/>
          <w:szCs w:val="22"/>
        </w:rPr>
        <w:t xml:space="preserve"> </w:t>
      </w:r>
      <w:r>
        <w:rPr>
          <w:rFonts w:ascii="仿宋" w:eastAsia="仿宋" w:hAnsi="仿宋" w:cs="仿宋"/>
          <w:spacing w:val="14"/>
          <w:sz w:val="22"/>
          <w:szCs w:val="22"/>
        </w:rPr>
        <w:t>的吸收与代谢</w:t>
      </w:r>
    </w:p>
    <w:p w:rsidR="00EA40A3" w:rsidRDefault="00E86C16">
      <w:pPr>
        <w:spacing w:before="200" w:line="245" w:lineRule="auto"/>
        <w:ind w:right="80" w:firstLine="450"/>
        <w:jc w:val="both"/>
        <w:rPr>
          <w:rFonts w:ascii="宋体" w:eastAsia="宋体" w:hAnsi="宋体" w:cs="宋体"/>
          <w:sz w:val="22"/>
          <w:szCs w:val="22"/>
        </w:rPr>
      </w:pPr>
      <w:r>
        <w:rPr>
          <w:rFonts w:ascii="宋体" w:eastAsia="宋体" w:hAnsi="宋体" w:cs="宋体"/>
          <w:spacing w:val="-6"/>
          <w:sz w:val="22"/>
          <w:szCs w:val="22"/>
        </w:rPr>
        <w:t>维生素C</w:t>
      </w:r>
      <w:r>
        <w:rPr>
          <w:rFonts w:ascii="宋体" w:eastAsia="宋体" w:hAnsi="宋体" w:cs="宋体"/>
          <w:spacing w:val="-10"/>
          <w:sz w:val="22"/>
          <w:szCs w:val="22"/>
        </w:rPr>
        <w:t xml:space="preserve"> </w:t>
      </w:r>
      <w:r>
        <w:rPr>
          <w:rFonts w:ascii="宋体" w:eastAsia="宋体" w:hAnsi="宋体" w:cs="宋体"/>
          <w:spacing w:val="-6"/>
          <w:sz w:val="22"/>
          <w:szCs w:val="22"/>
        </w:rPr>
        <w:t>在小肠上段被吸收，绝大多数为主动转运，只有少部分是扩散吸</w:t>
      </w:r>
      <w:r>
        <w:rPr>
          <w:rFonts w:ascii="宋体" w:eastAsia="宋体" w:hAnsi="宋体" w:cs="宋体"/>
          <w:sz w:val="22"/>
          <w:szCs w:val="22"/>
        </w:rPr>
        <w:t xml:space="preserve"> 收。其吸收量与其摄入量有关，摄入量为30～60mg</w:t>
      </w:r>
      <w:r>
        <w:rPr>
          <w:rFonts w:ascii="宋体" w:eastAsia="宋体" w:hAnsi="宋体" w:cs="宋体"/>
          <w:spacing w:val="-8"/>
          <w:sz w:val="22"/>
          <w:szCs w:val="22"/>
        </w:rPr>
        <w:t xml:space="preserve"> </w:t>
      </w:r>
      <w:r>
        <w:rPr>
          <w:rFonts w:ascii="宋体" w:eastAsia="宋体" w:hAnsi="宋体" w:cs="宋体"/>
          <w:sz w:val="22"/>
          <w:szCs w:val="22"/>
        </w:rPr>
        <w:t>时，吸收率为100</w:t>
      </w:r>
      <w:r>
        <w:rPr>
          <w:rFonts w:ascii="宋体" w:eastAsia="宋体" w:hAnsi="宋体" w:cs="宋体"/>
          <w:spacing w:val="-1"/>
          <w:sz w:val="22"/>
          <w:szCs w:val="22"/>
        </w:rPr>
        <w:t>%;摄入</w:t>
      </w:r>
      <w:r>
        <w:rPr>
          <w:rFonts w:ascii="宋体" w:eastAsia="宋体" w:hAnsi="宋体" w:cs="宋体"/>
          <w:sz w:val="22"/>
          <w:szCs w:val="22"/>
        </w:rPr>
        <w:t xml:space="preserve"> </w:t>
      </w:r>
      <w:r>
        <w:rPr>
          <w:rFonts w:ascii="宋体" w:eastAsia="宋体" w:hAnsi="宋体" w:cs="宋体"/>
          <w:spacing w:val="4"/>
          <w:sz w:val="22"/>
          <w:szCs w:val="22"/>
        </w:rPr>
        <w:t>量为90</w:t>
      </w:r>
      <w:r>
        <w:rPr>
          <w:rFonts w:ascii="宋体" w:eastAsia="宋体" w:hAnsi="宋体" w:cs="宋体"/>
          <w:sz w:val="22"/>
          <w:szCs w:val="22"/>
        </w:rPr>
        <w:t>mg</w:t>
      </w:r>
      <w:r>
        <w:rPr>
          <w:rFonts w:ascii="宋体" w:eastAsia="宋体" w:hAnsi="宋体" w:cs="宋体"/>
          <w:spacing w:val="-10"/>
          <w:sz w:val="22"/>
          <w:szCs w:val="22"/>
        </w:rPr>
        <w:t xml:space="preserve"> </w:t>
      </w:r>
      <w:r>
        <w:rPr>
          <w:rFonts w:ascii="宋体" w:eastAsia="宋体" w:hAnsi="宋体" w:cs="宋体"/>
          <w:spacing w:val="4"/>
          <w:sz w:val="22"/>
          <w:szCs w:val="22"/>
        </w:rPr>
        <w:t>时，吸收率约80%;摄入量增至1500、3000和12000</w:t>
      </w:r>
      <w:r>
        <w:rPr>
          <w:rFonts w:ascii="宋体" w:eastAsia="宋体" w:hAnsi="宋体" w:cs="宋体"/>
          <w:sz w:val="22"/>
          <w:szCs w:val="22"/>
        </w:rPr>
        <w:t>mg</w:t>
      </w:r>
      <w:r>
        <w:rPr>
          <w:rFonts w:ascii="宋体" w:eastAsia="宋体" w:hAnsi="宋体" w:cs="宋体"/>
          <w:spacing w:val="-27"/>
          <w:sz w:val="22"/>
          <w:szCs w:val="22"/>
        </w:rPr>
        <w:t xml:space="preserve"> </w:t>
      </w:r>
      <w:r>
        <w:rPr>
          <w:rFonts w:ascii="宋体" w:eastAsia="宋体" w:hAnsi="宋体" w:cs="宋体"/>
          <w:spacing w:val="4"/>
          <w:sz w:val="22"/>
          <w:szCs w:val="22"/>
        </w:rPr>
        <w:t>时，吸收率</w:t>
      </w:r>
      <w:r>
        <w:rPr>
          <w:rFonts w:ascii="宋体" w:eastAsia="宋体" w:hAnsi="宋体" w:cs="宋体"/>
          <w:sz w:val="22"/>
          <w:szCs w:val="22"/>
        </w:rPr>
        <w:t xml:space="preserve"> </w:t>
      </w:r>
      <w:r>
        <w:rPr>
          <w:rFonts w:ascii="宋体" w:eastAsia="宋体" w:hAnsi="宋体" w:cs="宋体"/>
          <w:spacing w:val="6"/>
          <w:sz w:val="22"/>
          <w:szCs w:val="22"/>
        </w:rPr>
        <w:t>分别下降至49%、36%和16%,未被吸收的维生素C</w:t>
      </w:r>
      <w:r>
        <w:rPr>
          <w:rFonts w:ascii="宋体" w:eastAsia="宋体" w:hAnsi="宋体" w:cs="宋体"/>
          <w:spacing w:val="-7"/>
          <w:sz w:val="22"/>
          <w:szCs w:val="22"/>
        </w:rPr>
        <w:t xml:space="preserve"> </w:t>
      </w:r>
      <w:r>
        <w:rPr>
          <w:rFonts w:ascii="宋体" w:eastAsia="宋体" w:hAnsi="宋体" w:cs="宋体"/>
          <w:spacing w:val="6"/>
          <w:sz w:val="22"/>
          <w:szCs w:val="22"/>
        </w:rPr>
        <w:t>由于在肠腔发生渗透压的</w:t>
      </w:r>
      <w:r>
        <w:rPr>
          <w:rFonts w:ascii="宋体" w:eastAsia="宋体" w:hAnsi="宋体" w:cs="宋体"/>
          <w:sz w:val="22"/>
          <w:szCs w:val="22"/>
        </w:rPr>
        <w:t xml:space="preserve"> </w:t>
      </w:r>
      <w:r>
        <w:rPr>
          <w:rFonts w:ascii="宋体" w:eastAsia="宋体" w:hAnsi="宋体" w:cs="宋体"/>
          <w:spacing w:val="-15"/>
          <w:sz w:val="22"/>
          <w:szCs w:val="22"/>
        </w:rPr>
        <w:t>作用，可引起腹泻。</w:t>
      </w:r>
    </w:p>
    <w:p w:rsidR="00EA40A3" w:rsidRDefault="00E86C16">
      <w:pPr>
        <w:spacing w:before="99" w:line="243" w:lineRule="auto"/>
        <w:ind w:right="28" w:firstLine="450"/>
        <w:jc w:val="both"/>
        <w:rPr>
          <w:rFonts w:ascii="宋体" w:eastAsia="宋体" w:hAnsi="宋体" w:cs="宋体"/>
          <w:sz w:val="22"/>
          <w:szCs w:val="22"/>
        </w:rPr>
      </w:pPr>
      <w:r>
        <w:rPr>
          <w:rFonts w:ascii="宋体" w:eastAsia="宋体" w:hAnsi="宋体" w:cs="宋体"/>
          <w:spacing w:val="-6"/>
          <w:sz w:val="22"/>
          <w:szCs w:val="22"/>
        </w:rPr>
        <w:t>吸收后的维生素C</w:t>
      </w:r>
      <w:r>
        <w:rPr>
          <w:rFonts w:ascii="宋体" w:eastAsia="宋体" w:hAnsi="宋体" w:cs="宋体"/>
          <w:spacing w:val="-10"/>
          <w:sz w:val="22"/>
          <w:szCs w:val="22"/>
        </w:rPr>
        <w:t xml:space="preserve"> </w:t>
      </w:r>
      <w:r>
        <w:rPr>
          <w:rFonts w:ascii="宋体" w:eastAsia="宋体" w:hAnsi="宋体" w:cs="宋体"/>
          <w:spacing w:val="-6"/>
          <w:sz w:val="22"/>
          <w:szCs w:val="22"/>
        </w:rPr>
        <w:t>很快就分布到体内所有的水溶性结构之中，其中以肾上</w:t>
      </w:r>
      <w:r>
        <w:rPr>
          <w:rFonts w:ascii="宋体" w:eastAsia="宋体" w:hAnsi="宋体" w:cs="宋体"/>
          <w:sz w:val="22"/>
          <w:szCs w:val="22"/>
        </w:rPr>
        <w:t xml:space="preserve"> </w:t>
      </w:r>
      <w:r>
        <w:rPr>
          <w:rFonts w:ascii="宋体" w:eastAsia="宋体" w:hAnsi="宋体" w:cs="宋体"/>
          <w:spacing w:val="-7"/>
          <w:sz w:val="22"/>
          <w:szCs w:val="22"/>
        </w:rPr>
        <w:t>腺、脑垂体、肝、肾、心肌、胰等组织含量较高。</w:t>
      </w:r>
      <w:r>
        <w:rPr>
          <w:rFonts w:ascii="宋体" w:eastAsia="宋体" w:hAnsi="宋体" w:cs="宋体"/>
          <w:spacing w:val="-8"/>
          <w:sz w:val="22"/>
          <w:szCs w:val="22"/>
        </w:rPr>
        <w:t>在正常摄入(75</w:t>
      </w:r>
      <w:r>
        <w:rPr>
          <w:rFonts w:ascii="宋体" w:eastAsia="宋体" w:hAnsi="宋体" w:cs="宋体"/>
          <w:spacing w:val="-7"/>
          <w:sz w:val="22"/>
          <w:szCs w:val="22"/>
        </w:rPr>
        <w:t>mg</w:t>
      </w:r>
      <w:r>
        <w:rPr>
          <w:rFonts w:ascii="宋体" w:eastAsia="宋体" w:hAnsi="宋体" w:cs="宋体"/>
          <w:spacing w:val="-8"/>
          <w:sz w:val="22"/>
          <w:szCs w:val="22"/>
        </w:rPr>
        <w:t>)</w:t>
      </w:r>
      <w:r>
        <w:rPr>
          <w:rFonts w:ascii="宋体" w:eastAsia="宋体" w:hAnsi="宋体" w:cs="宋体"/>
          <w:spacing w:val="22"/>
          <w:sz w:val="22"/>
          <w:szCs w:val="22"/>
        </w:rPr>
        <w:t xml:space="preserve"> </w:t>
      </w:r>
      <w:r>
        <w:rPr>
          <w:rFonts w:ascii="宋体" w:eastAsia="宋体" w:hAnsi="宋体" w:cs="宋体"/>
          <w:spacing w:val="-8"/>
          <w:sz w:val="22"/>
          <w:szCs w:val="22"/>
        </w:rPr>
        <w:t>剂量下，</w:t>
      </w:r>
      <w:r>
        <w:rPr>
          <w:rFonts w:ascii="宋体" w:eastAsia="宋体" w:hAnsi="宋体" w:cs="宋体"/>
          <w:sz w:val="22"/>
          <w:szCs w:val="22"/>
        </w:rPr>
        <w:t xml:space="preserve"> </w:t>
      </w:r>
      <w:r>
        <w:rPr>
          <w:rFonts w:ascii="宋体" w:eastAsia="宋体" w:hAnsi="宋体" w:cs="宋体"/>
          <w:spacing w:val="3"/>
          <w:sz w:val="22"/>
          <w:szCs w:val="22"/>
        </w:rPr>
        <w:t>维生素C</w:t>
      </w:r>
      <w:r>
        <w:rPr>
          <w:rFonts w:ascii="宋体" w:eastAsia="宋体" w:hAnsi="宋体" w:cs="宋体"/>
          <w:spacing w:val="-8"/>
          <w:sz w:val="22"/>
          <w:szCs w:val="22"/>
        </w:rPr>
        <w:t xml:space="preserve"> </w:t>
      </w:r>
      <w:r>
        <w:rPr>
          <w:rFonts w:ascii="宋体" w:eastAsia="宋体" w:hAnsi="宋体" w:cs="宋体"/>
          <w:spacing w:val="3"/>
          <w:sz w:val="22"/>
          <w:szCs w:val="22"/>
        </w:rPr>
        <w:t>代谢活性池中约有1500</w:t>
      </w:r>
      <w:r>
        <w:rPr>
          <w:rFonts w:ascii="宋体" w:eastAsia="宋体" w:hAnsi="宋体" w:cs="宋体"/>
          <w:sz w:val="22"/>
          <w:szCs w:val="22"/>
        </w:rPr>
        <w:t>mg</w:t>
      </w:r>
      <w:r>
        <w:rPr>
          <w:rFonts w:ascii="宋体" w:eastAsia="宋体" w:hAnsi="宋体" w:cs="宋体"/>
          <w:spacing w:val="3"/>
          <w:sz w:val="22"/>
          <w:szCs w:val="22"/>
        </w:rPr>
        <w:t>,</w:t>
      </w:r>
      <w:r>
        <w:rPr>
          <w:rFonts w:ascii="宋体" w:eastAsia="宋体" w:hAnsi="宋体" w:cs="宋体"/>
          <w:spacing w:val="32"/>
          <w:sz w:val="22"/>
          <w:szCs w:val="22"/>
        </w:rPr>
        <w:t xml:space="preserve"> </w:t>
      </w:r>
      <w:r>
        <w:rPr>
          <w:rFonts w:ascii="宋体" w:eastAsia="宋体" w:hAnsi="宋体" w:cs="宋体"/>
          <w:spacing w:val="3"/>
          <w:sz w:val="22"/>
          <w:szCs w:val="22"/>
        </w:rPr>
        <w:t>每日的分解代谢约用去总量的3%,相当</w:t>
      </w:r>
      <w:r>
        <w:rPr>
          <w:rFonts w:ascii="宋体" w:eastAsia="宋体" w:hAnsi="宋体" w:cs="宋体"/>
          <w:sz w:val="22"/>
          <w:szCs w:val="22"/>
        </w:rPr>
        <w:t xml:space="preserve"> </w:t>
      </w:r>
      <w:r>
        <w:rPr>
          <w:rFonts w:ascii="宋体" w:eastAsia="宋体" w:hAnsi="宋体" w:cs="宋体"/>
          <w:spacing w:val="-6"/>
          <w:sz w:val="22"/>
          <w:szCs w:val="22"/>
        </w:rPr>
        <w:t>于45mg/d。</w:t>
      </w:r>
      <w:r>
        <w:rPr>
          <w:rFonts w:ascii="宋体" w:eastAsia="宋体" w:hAnsi="宋体" w:cs="宋体"/>
          <w:spacing w:val="25"/>
          <w:sz w:val="22"/>
          <w:szCs w:val="22"/>
        </w:rPr>
        <w:t xml:space="preserve"> </w:t>
      </w:r>
      <w:r>
        <w:rPr>
          <w:rFonts w:ascii="宋体" w:eastAsia="宋体" w:hAnsi="宋体" w:cs="宋体"/>
          <w:spacing w:val="-6"/>
          <w:sz w:val="22"/>
          <w:szCs w:val="22"/>
        </w:rPr>
        <w:t>当摄入量减少，代谢池中维生素C</w:t>
      </w:r>
      <w:r>
        <w:rPr>
          <w:rFonts w:ascii="宋体" w:eastAsia="宋体" w:hAnsi="宋体" w:cs="宋体"/>
          <w:spacing w:val="-24"/>
          <w:sz w:val="22"/>
          <w:szCs w:val="22"/>
        </w:rPr>
        <w:t xml:space="preserve"> </w:t>
      </w:r>
      <w:r>
        <w:rPr>
          <w:rFonts w:ascii="宋体" w:eastAsia="宋体" w:hAnsi="宋体" w:cs="宋体"/>
          <w:spacing w:val="-6"/>
          <w:sz w:val="22"/>
          <w:szCs w:val="22"/>
        </w:rPr>
        <w:t>含量下降至300mg,</w:t>
      </w:r>
      <w:r>
        <w:rPr>
          <w:rFonts w:ascii="宋体" w:eastAsia="宋体" w:hAnsi="宋体" w:cs="宋体"/>
          <w:spacing w:val="23"/>
          <w:sz w:val="22"/>
          <w:szCs w:val="22"/>
        </w:rPr>
        <w:t xml:space="preserve"> </w:t>
      </w:r>
      <w:r>
        <w:rPr>
          <w:rFonts w:ascii="宋体" w:eastAsia="宋体" w:hAnsi="宋体" w:cs="宋体"/>
          <w:spacing w:val="-6"/>
          <w:sz w:val="22"/>
          <w:szCs w:val="22"/>
        </w:rPr>
        <w:t>每天代谢</w:t>
      </w:r>
      <w:r>
        <w:rPr>
          <w:rFonts w:ascii="宋体" w:eastAsia="宋体" w:hAnsi="宋体" w:cs="宋体"/>
          <w:spacing w:val="-7"/>
          <w:sz w:val="22"/>
          <w:szCs w:val="22"/>
        </w:rPr>
        <w:t>率</w:t>
      </w:r>
      <w:r>
        <w:rPr>
          <w:rFonts w:ascii="宋体" w:eastAsia="宋体" w:hAnsi="宋体" w:cs="宋体"/>
          <w:sz w:val="22"/>
          <w:szCs w:val="22"/>
        </w:rPr>
        <w:t xml:space="preserve"> </w:t>
      </w:r>
      <w:r>
        <w:rPr>
          <w:rFonts w:ascii="宋体" w:eastAsia="宋体" w:hAnsi="宋体" w:cs="宋体"/>
          <w:spacing w:val="-6"/>
          <w:sz w:val="22"/>
          <w:szCs w:val="22"/>
        </w:rPr>
        <w:t>低于9mg,</w:t>
      </w:r>
      <w:r>
        <w:rPr>
          <w:rFonts w:ascii="宋体" w:eastAsia="宋体" w:hAnsi="宋体" w:cs="宋体"/>
          <w:spacing w:val="19"/>
          <w:sz w:val="22"/>
          <w:szCs w:val="22"/>
        </w:rPr>
        <w:t xml:space="preserve"> </w:t>
      </w:r>
      <w:r>
        <w:rPr>
          <w:rFonts w:ascii="宋体" w:eastAsia="宋体" w:hAnsi="宋体" w:cs="宋体"/>
          <w:spacing w:val="-6"/>
          <w:sz w:val="22"/>
          <w:szCs w:val="22"/>
        </w:rPr>
        <w:t>则可出现坏血病症状。</w:t>
      </w:r>
    </w:p>
    <w:p w:rsidR="00EA40A3" w:rsidRDefault="00E86C16">
      <w:pPr>
        <w:spacing w:before="110" w:line="247" w:lineRule="auto"/>
        <w:ind w:right="99" w:firstLine="450"/>
        <w:jc w:val="both"/>
        <w:rPr>
          <w:rFonts w:ascii="宋体" w:eastAsia="宋体" w:hAnsi="宋体" w:cs="宋体"/>
          <w:sz w:val="22"/>
          <w:szCs w:val="22"/>
        </w:rPr>
      </w:pPr>
      <w:r>
        <w:rPr>
          <w:rFonts w:ascii="宋体" w:eastAsia="宋体" w:hAnsi="宋体" w:cs="宋体"/>
          <w:spacing w:val="-6"/>
          <w:sz w:val="22"/>
          <w:szCs w:val="22"/>
        </w:rPr>
        <w:t>一般情况下，维生素C</w:t>
      </w:r>
      <w:r>
        <w:rPr>
          <w:rFonts w:ascii="宋体" w:eastAsia="宋体" w:hAnsi="宋体" w:cs="宋体"/>
          <w:spacing w:val="-24"/>
          <w:sz w:val="22"/>
          <w:szCs w:val="22"/>
        </w:rPr>
        <w:t xml:space="preserve"> </w:t>
      </w:r>
      <w:r>
        <w:rPr>
          <w:rFonts w:ascii="宋体" w:eastAsia="宋体" w:hAnsi="宋体" w:cs="宋体"/>
          <w:spacing w:val="-6"/>
          <w:sz w:val="22"/>
          <w:szCs w:val="22"/>
        </w:rPr>
        <w:t>绝大部分在体内经代谢分解为草酸或与</w:t>
      </w:r>
      <w:r>
        <w:rPr>
          <w:rFonts w:ascii="宋体" w:eastAsia="宋体" w:hAnsi="宋体" w:cs="宋体"/>
          <w:spacing w:val="-7"/>
          <w:sz w:val="22"/>
          <w:szCs w:val="22"/>
        </w:rPr>
        <w:t>硫酸结合生</w:t>
      </w:r>
      <w:r>
        <w:rPr>
          <w:rFonts w:ascii="宋体" w:eastAsia="宋体" w:hAnsi="宋体" w:cs="宋体"/>
          <w:sz w:val="22"/>
          <w:szCs w:val="22"/>
        </w:rPr>
        <w:t xml:space="preserve"> </w:t>
      </w:r>
      <w:r>
        <w:rPr>
          <w:rFonts w:ascii="宋体" w:eastAsia="宋体" w:hAnsi="宋体" w:cs="宋体"/>
          <w:spacing w:val="-9"/>
          <w:sz w:val="22"/>
          <w:szCs w:val="22"/>
        </w:rPr>
        <w:t>成抗坏血酸-2-硫酸由尿排出；另一部分可直接由尿排出体外。尿中排出量常受</w:t>
      </w:r>
      <w:r>
        <w:rPr>
          <w:rFonts w:ascii="宋体" w:eastAsia="宋体" w:hAnsi="宋体" w:cs="宋体"/>
          <w:spacing w:val="2"/>
          <w:sz w:val="22"/>
          <w:szCs w:val="22"/>
        </w:rPr>
        <w:t xml:space="preserve"> </w:t>
      </w:r>
      <w:r>
        <w:rPr>
          <w:rFonts w:ascii="宋体" w:eastAsia="宋体" w:hAnsi="宋体" w:cs="宋体"/>
          <w:spacing w:val="-3"/>
          <w:sz w:val="22"/>
          <w:szCs w:val="22"/>
        </w:rPr>
        <w:t>摄入量、体内储存量以及肾功能的制约。当大量维生素C</w:t>
      </w:r>
      <w:r>
        <w:rPr>
          <w:rFonts w:ascii="宋体" w:eastAsia="宋体" w:hAnsi="宋体" w:cs="宋体"/>
          <w:spacing w:val="-24"/>
          <w:sz w:val="22"/>
          <w:szCs w:val="22"/>
        </w:rPr>
        <w:t xml:space="preserve"> </w:t>
      </w:r>
      <w:r>
        <w:rPr>
          <w:rFonts w:ascii="宋体" w:eastAsia="宋体" w:hAnsi="宋体" w:cs="宋体"/>
          <w:spacing w:val="-3"/>
          <w:sz w:val="22"/>
          <w:szCs w:val="22"/>
        </w:rPr>
        <w:t>摄入而体</w:t>
      </w:r>
      <w:r>
        <w:rPr>
          <w:rFonts w:ascii="宋体" w:eastAsia="宋体" w:hAnsi="宋体" w:cs="宋体"/>
          <w:spacing w:val="-4"/>
          <w:sz w:val="22"/>
          <w:szCs w:val="22"/>
        </w:rPr>
        <w:t>内维生素C</w:t>
      </w:r>
    </w:p>
    <w:p w:rsidR="00EA40A3" w:rsidRDefault="00E86C16">
      <w:pPr>
        <w:spacing w:before="122"/>
        <w:ind w:right="109"/>
        <w:jc w:val="right"/>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145</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footerReference w:type="default" r:id="rId113"/>
          <w:pgSz w:w="9220" w:h="13360"/>
          <w:pgMar w:top="400" w:right="1020" w:bottom="400" w:left="829" w:header="0" w:footer="0" w:gutter="0"/>
          <w:cols w:space="720"/>
        </w:sectPr>
      </w:pPr>
    </w:p>
    <w:p w:rsidR="00EA40A3" w:rsidRDefault="00EA40A3">
      <w:pPr>
        <w:spacing w:line="256" w:lineRule="auto"/>
      </w:pPr>
    </w:p>
    <w:p w:rsidR="00EA40A3" w:rsidRDefault="00EA40A3">
      <w:pPr>
        <w:spacing w:line="25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4"/>
          <w:sz w:val="22"/>
          <w:szCs w:val="22"/>
        </w:rPr>
        <w:t>代谢池达饱和时，尿中排泄量与摄入量呈正相关；汗液、粪便中也排出少量。</w:t>
      </w:r>
    </w:p>
    <w:p w:rsidR="00EA40A3" w:rsidRDefault="00E86C16">
      <w:pPr>
        <w:spacing w:before="237" w:line="222" w:lineRule="auto"/>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pacing w:val="-1"/>
          <w:sz w:val="22"/>
          <w:szCs w:val="22"/>
        </w:rPr>
        <w:t xml:space="preserve"> </w:t>
      </w:r>
      <w:r>
        <w:rPr>
          <w:rFonts w:ascii="仿宋" w:eastAsia="仿宋" w:hAnsi="仿宋" w:cs="仿宋"/>
          <w:spacing w:val="13"/>
          <w:sz w:val="22"/>
          <w:szCs w:val="22"/>
        </w:rPr>
        <w:t>维生素C</w:t>
      </w:r>
      <w:r>
        <w:rPr>
          <w:rFonts w:ascii="仿宋" w:eastAsia="仿宋" w:hAnsi="仿宋" w:cs="仿宋"/>
          <w:spacing w:val="16"/>
          <w:sz w:val="22"/>
          <w:szCs w:val="22"/>
        </w:rPr>
        <w:t xml:space="preserve"> </w:t>
      </w:r>
      <w:r>
        <w:rPr>
          <w:rFonts w:ascii="仿宋" w:eastAsia="仿宋" w:hAnsi="仿宋" w:cs="仿宋"/>
          <w:spacing w:val="13"/>
          <w:sz w:val="22"/>
          <w:szCs w:val="22"/>
        </w:rPr>
        <w:t>的生理功能</w:t>
      </w:r>
    </w:p>
    <w:p w:rsidR="00EA40A3" w:rsidRDefault="00E86C16">
      <w:pPr>
        <w:spacing w:before="158" w:line="244" w:lineRule="auto"/>
        <w:ind w:right="61" w:firstLine="419"/>
        <w:rPr>
          <w:rFonts w:ascii="宋体" w:eastAsia="宋体" w:hAnsi="宋体" w:cs="宋体"/>
          <w:sz w:val="22"/>
          <w:szCs w:val="22"/>
        </w:rPr>
      </w:pPr>
      <w:r>
        <w:rPr>
          <w:rFonts w:ascii="宋体" w:eastAsia="宋体" w:hAnsi="宋体" w:cs="宋体"/>
          <w:spacing w:val="-3"/>
          <w:sz w:val="22"/>
          <w:szCs w:val="22"/>
        </w:rPr>
        <w:t>(1)维持细胞正常的能量代谢：维生素C</w:t>
      </w:r>
      <w:r>
        <w:rPr>
          <w:rFonts w:ascii="宋体" w:eastAsia="宋体" w:hAnsi="宋体" w:cs="宋体"/>
          <w:spacing w:val="6"/>
          <w:sz w:val="22"/>
          <w:szCs w:val="22"/>
        </w:rPr>
        <w:t xml:space="preserve"> </w:t>
      </w:r>
      <w:r>
        <w:rPr>
          <w:rFonts w:ascii="宋体" w:eastAsia="宋体" w:hAnsi="宋体" w:cs="宋体"/>
          <w:spacing w:val="-3"/>
          <w:sz w:val="22"/>
          <w:szCs w:val="22"/>
        </w:rPr>
        <w:t>在体内可以</w:t>
      </w:r>
      <w:r>
        <w:rPr>
          <w:rFonts w:ascii="宋体" w:eastAsia="宋体" w:hAnsi="宋体" w:cs="宋体"/>
          <w:spacing w:val="-4"/>
          <w:sz w:val="22"/>
          <w:szCs w:val="22"/>
        </w:rPr>
        <w:t>可逆性氧化还原，故</w:t>
      </w:r>
      <w:r>
        <w:rPr>
          <w:rFonts w:ascii="宋体" w:eastAsia="宋体" w:hAnsi="宋体" w:cs="宋体"/>
          <w:sz w:val="22"/>
          <w:szCs w:val="22"/>
        </w:rPr>
        <w:t xml:space="preserve"> </w:t>
      </w:r>
      <w:r>
        <w:rPr>
          <w:rFonts w:ascii="宋体" w:eastAsia="宋体" w:hAnsi="宋体" w:cs="宋体"/>
          <w:spacing w:val="-12"/>
          <w:sz w:val="22"/>
          <w:szCs w:val="22"/>
        </w:rPr>
        <w:t>可能参与呼吸链的工作。在组织中，还原型抗坏血酸</w:t>
      </w:r>
      <w:r>
        <w:rPr>
          <w:rFonts w:ascii="宋体" w:eastAsia="宋体" w:hAnsi="宋体" w:cs="宋体"/>
          <w:spacing w:val="-13"/>
          <w:sz w:val="22"/>
          <w:szCs w:val="22"/>
        </w:rPr>
        <w:t>及氧化型抗坏血酸之间维持</w:t>
      </w:r>
      <w:r>
        <w:rPr>
          <w:rFonts w:ascii="宋体" w:eastAsia="宋体" w:hAnsi="宋体" w:cs="宋体"/>
          <w:sz w:val="22"/>
          <w:szCs w:val="22"/>
        </w:rPr>
        <w:t xml:space="preserve"> </w:t>
      </w:r>
      <w:r>
        <w:rPr>
          <w:rFonts w:ascii="宋体" w:eastAsia="宋体" w:hAnsi="宋体" w:cs="宋体"/>
          <w:spacing w:val="-14"/>
          <w:sz w:val="22"/>
          <w:szCs w:val="22"/>
        </w:rPr>
        <w:t>着动态平衡，这可能是维持细胞正常的能量代谢和调节细胞</w:t>
      </w:r>
      <w:r>
        <w:rPr>
          <w:rFonts w:ascii="宋体" w:eastAsia="宋体" w:hAnsi="宋体" w:cs="宋体"/>
          <w:spacing w:val="-15"/>
          <w:sz w:val="22"/>
          <w:szCs w:val="22"/>
        </w:rPr>
        <w:t>内氧化还原电位的一</w:t>
      </w:r>
      <w:r>
        <w:rPr>
          <w:rFonts w:ascii="宋体" w:eastAsia="宋体" w:hAnsi="宋体" w:cs="宋体"/>
          <w:sz w:val="22"/>
          <w:szCs w:val="22"/>
        </w:rPr>
        <w:t xml:space="preserve"> </w:t>
      </w:r>
      <w:r>
        <w:rPr>
          <w:rFonts w:ascii="宋体" w:eastAsia="宋体" w:hAnsi="宋体" w:cs="宋体"/>
          <w:spacing w:val="-19"/>
          <w:sz w:val="22"/>
          <w:szCs w:val="22"/>
        </w:rPr>
        <w:t>种方法。</w:t>
      </w:r>
    </w:p>
    <w:p w:rsidR="00EA40A3" w:rsidRDefault="00E86C16">
      <w:pPr>
        <w:spacing w:before="36" w:line="247" w:lineRule="auto"/>
        <w:ind w:right="60" w:firstLine="419"/>
        <w:rPr>
          <w:rFonts w:ascii="宋体" w:eastAsia="宋体" w:hAnsi="宋体" w:cs="宋体"/>
          <w:sz w:val="22"/>
          <w:szCs w:val="22"/>
        </w:rPr>
      </w:pPr>
      <w:r>
        <w:rPr>
          <w:rFonts w:ascii="宋体" w:eastAsia="宋体" w:hAnsi="宋体" w:cs="宋体"/>
          <w:spacing w:val="-10"/>
          <w:sz w:val="22"/>
          <w:szCs w:val="22"/>
        </w:rPr>
        <w:t>(2)促进胶原组织的合成：胶原组织是体内的结缔组织、骨及毛细血管的重</w:t>
      </w:r>
      <w:r>
        <w:rPr>
          <w:rFonts w:ascii="宋体" w:eastAsia="宋体" w:hAnsi="宋体" w:cs="宋体"/>
          <w:spacing w:val="18"/>
          <w:sz w:val="22"/>
          <w:szCs w:val="22"/>
        </w:rPr>
        <w:t xml:space="preserve"> </w:t>
      </w:r>
      <w:r>
        <w:rPr>
          <w:rFonts w:ascii="宋体" w:eastAsia="宋体" w:hAnsi="宋体" w:cs="宋体"/>
          <w:spacing w:val="-12"/>
          <w:sz w:val="22"/>
          <w:szCs w:val="22"/>
        </w:rPr>
        <w:t>要构成成分，而在创伤愈合时，结缔组织的生成是愈合</w:t>
      </w:r>
      <w:r>
        <w:rPr>
          <w:rFonts w:ascii="宋体" w:eastAsia="宋体" w:hAnsi="宋体" w:cs="宋体"/>
          <w:spacing w:val="-13"/>
          <w:sz w:val="22"/>
          <w:szCs w:val="22"/>
        </w:rPr>
        <w:t>的前提。在胶原组织合成</w:t>
      </w:r>
      <w:r>
        <w:rPr>
          <w:rFonts w:ascii="宋体" w:eastAsia="宋体" w:hAnsi="宋体" w:cs="宋体"/>
          <w:sz w:val="22"/>
          <w:szCs w:val="22"/>
        </w:rPr>
        <w:t xml:space="preserve"> </w:t>
      </w:r>
      <w:r>
        <w:rPr>
          <w:rFonts w:ascii="宋体" w:eastAsia="宋体" w:hAnsi="宋体" w:cs="宋体"/>
          <w:spacing w:val="-15"/>
          <w:sz w:val="22"/>
          <w:szCs w:val="22"/>
        </w:rPr>
        <w:t>过程中，前胶原α-肽链上的脯氨酸与赖氨酸要经过羟化变成羟脯氨酸及羟赖</w:t>
      </w:r>
      <w:r>
        <w:rPr>
          <w:rFonts w:ascii="宋体" w:eastAsia="宋体" w:hAnsi="宋体" w:cs="宋体"/>
          <w:spacing w:val="-16"/>
          <w:sz w:val="22"/>
          <w:szCs w:val="22"/>
        </w:rPr>
        <w:t>氨酸</w:t>
      </w:r>
      <w:r>
        <w:rPr>
          <w:rFonts w:ascii="宋体" w:eastAsia="宋体" w:hAnsi="宋体" w:cs="宋体"/>
          <w:sz w:val="22"/>
          <w:szCs w:val="22"/>
        </w:rPr>
        <w:t xml:space="preserve"> </w:t>
      </w:r>
      <w:r>
        <w:rPr>
          <w:rFonts w:ascii="宋体" w:eastAsia="宋体" w:hAnsi="宋体" w:cs="宋体"/>
          <w:spacing w:val="-9"/>
          <w:sz w:val="22"/>
          <w:szCs w:val="22"/>
        </w:rPr>
        <w:t>残基后才能进一步合成胶原质</w:t>
      </w:r>
      <w:r>
        <w:rPr>
          <w:rFonts w:ascii="宋体" w:eastAsia="宋体" w:hAnsi="宋体" w:cs="宋体"/>
          <w:spacing w:val="-15"/>
          <w:sz w:val="22"/>
          <w:szCs w:val="22"/>
        </w:rPr>
        <w:t xml:space="preserve"> </w:t>
      </w:r>
      <w:r>
        <w:rPr>
          <w:rFonts w:ascii="宋体" w:eastAsia="宋体" w:hAnsi="宋体" w:cs="宋体"/>
          <w:spacing w:val="-9"/>
          <w:sz w:val="22"/>
          <w:szCs w:val="22"/>
        </w:rPr>
        <w:t>(collagen)</w:t>
      </w:r>
      <w:r>
        <w:rPr>
          <w:rFonts w:ascii="宋体" w:eastAsia="宋体" w:hAnsi="宋体" w:cs="宋体"/>
          <w:spacing w:val="-44"/>
          <w:sz w:val="22"/>
          <w:szCs w:val="22"/>
        </w:rPr>
        <w:t xml:space="preserve"> </w:t>
      </w:r>
      <w:r>
        <w:rPr>
          <w:rFonts w:ascii="宋体" w:eastAsia="宋体" w:hAnsi="宋体" w:cs="宋体"/>
          <w:spacing w:val="-9"/>
          <w:sz w:val="22"/>
          <w:szCs w:val="22"/>
        </w:rPr>
        <w:t>正常的三级结构。维生素C</w:t>
      </w:r>
      <w:r>
        <w:rPr>
          <w:rFonts w:ascii="宋体" w:eastAsia="宋体" w:hAnsi="宋体" w:cs="宋体"/>
          <w:spacing w:val="-24"/>
          <w:sz w:val="22"/>
          <w:szCs w:val="22"/>
        </w:rPr>
        <w:t xml:space="preserve"> </w:t>
      </w:r>
      <w:r>
        <w:rPr>
          <w:rFonts w:ascii="宋体" w:eastAsia="宋体" w:hAnsi="宋体" w:cs="宋体"/>
          <w:spacing w:val="-9"/>
          <w:sz w:val="22"/>
          <w:szCs w:val="22"/>
        </w:rPr>
        <w:t>是胶原脯</w:t>
      </w:r>
      <w:r>
        <w:rPr>
          <w:rFonts w:ascii="宋体" w:eastAsia="宋体" w:hAnsi="宋体" w:cs="宋体"/>
          <w:sz w:val="22"/>
          <w:szCs w:val="22"/>
        </w:rPr>
        <w:t xml:space="preserve"> </w:t>
      </w:r>
      <w:r>
        <w:rPr>
          <w:rFonts w:ascii="宋体" w:eastAsia="宋体" w:hAnsi="宋体" w:cs="宋体"/>
          <w:spacing w:val="-9"/>
          <w:sz w:val="22"/>
          <w:szCs w:val="22"/>
        </w:rPr>
        <w:t>氨酸羟化酶及胶原赖氨酸羟化酶维持活性所必需的辅助因子，当维生素</w:t>
      </w:r>
      <w:r>
        <w:rPr>
          <w:rFonts w:ascii="宋体" w:eastAsia="宋体" w:hAnsi="宋体" w:cs="宋体"/>
          <w:spacing w:val="-43"/>
          <w:sz w:val="22"/>
          <w:szCs w:val="22"/>
        </w:rPr>
        <w:t xml:space="preserve"> </w:t>
      </w:r>
      <w:r>
        <w:rPr>
          <w:rFonts w:ascii="宋体" w:eastAsia="宋体" w:hAnsi="宋体" w:cs="宋体"/>
          <w:spacing w:val="-9"/>
          <w:sz w:val="22"/>
          <w:szCs w:val="22"/>
        </w:rPr>
        <w:t>C</w:t>
      </w:r>
      <w:r>
        <w:rPr>
          <w:rFonts w:ascii="宋体" w:eastAsia="宋体" w:hAnsi="宋体" w:cs="宋体"/>
          <w:spacing w:val="7"/>
          <w:sz w:val="22"/>
          <w:szCs w:val="22"/>
        </w:rPr>
        <w:t xml:space="preserve"> </w:t>
      </w:r>
      <w:r>
        <w:rPr>
          <w:rFonts w:ascii="宋体" w:eastAsia="宋体" w:hAnsi="宋体" w:cs="宋体"/>
          <w:spacing w:val="-9"/>
          <w:sz w:val="22"/>
          <w:szCs w:val="22"/>
        </w:rPr>
        <w:t>缺乏</w:t>
      </w:r>
      <w:r>
        <w:rPr>
          <w:rFonts w:ascii="宋体" w:eastAsia="宋体" w:hAnsi="宋体" w:cs="宋体"/>
          <w:sz w:val="22"/>
          <w:szCs w:val="22"/>
        </w:rPr>
        <w:t xml:space="preserve"> </w:t>
      </w:r>
      <w:r>
        <w:rPr>
          <w:rFonts w:ascii="宋体" w:eastAsia="宋体" w:hAnsi="宋体" w:cs="宋体"/>
          <w:spacing w:val="-14"/>
          <w:sz w:val="22"/>
          <w:szCs w:val="22"/>
        </w:rPr>
        <w:t>时，羟化酶活性下降，胶原纤维</w:t>
      </w:r>
      <w:r>
        <w:rPr>
          <w:rFonts w:ascii="宋体" w:eastAsia="宋体" w:hAnsi="宋体" w:cs="宋体"/>
          <w:spacing w:val="-19"/>
          <w:sz w:val="22"/>
          <w:szCs w:val="22"/>
        </w:rPr>
        <w:t xml:space="preserve"> </w:t>
      </w:r>
      <w:r>
        <w:rPr>
          <w:rFonts w:ascii="宋体" w:eastAsia="宋体" w:hAnsi="宋体" w:cs="宋体"/>
          <w:spacing w:val="-14"/>
          <w:sz w:val="22"/>
          <w:szCs w:val="22"/>
        </w:rPr>
        <w:t>(collagen</w:t>
      </w:r>
      <w:r>
        <w:rPr>
          <w:rFonts w:ascii="宋体" w:eastAsia="宋体" w:hAnsi="宋体" w:cs="宋体"/>
          <w:spacing w:val="-8"/>
          <w:sz w:val="22"/>
          <w:szCs w:val="22"/>
        </w:rPr>
        <w:t xml:space="preserve"> </w:t>
      </w:r>
      <w:r>
        <w:rPr>
          <w:rFonts w:ascii="宋体" w:eastAsia="宋体" w:hAnsi="宋体" w:cs="宋体"/>
          <w:spacing w:val="-14"/>
          <w:sz w:val="22"/>
          <w:szCs w:val="22"/>
        </w:rPr>
        <w:t>fiber)</w:t>
      </w:r>
      <w:r>
        <w:rPr>
          <w:rFonts w:ascii="宋体" w:eastAsia="宋体" w:hAnsi="宋体" w:cs="宋体"/>
          <w:spacing w:val="-50"/>
          <w:sz w:val="22"/>
          <w:szCs w:val="22"/>
        </w:rPr>
        <w:t xml:space="preserve"> </w:t>
      </w:r>
      <w:r>
        <w:rPr>
          <w:rFonts w:ascii="宋体" w:eastAsia="宋体" w:hAnsi="宋体" w:cs="宋体"/>
          <w:spacing w:val="-14"/>
          <w:sz w:val="22"/>
          <w:szCs w:val="22"/>
        </w:rPr>
        <w:t>合成受阻，</w:t>
      </w:r>
      <w:r>
        <w:rPr>
          <w:rFonts w:ascii="宋体" w:eastAsia="宋体" w:hAnsi="宋体" w:cs="宋体"/>
          <w:spacing w:val="-15"/>
          <w:sz w:val="22"/>
          <w:szCs w:val="22"/>
        </w:rPr>
        <w:t>可造成伤口愈合缓</w:t>
      </w:r>
      <w:r>
        <w:rPr>
          <w:rFonts w:ascii="宋体" w:eastAsia="宋体" w:hAnsi="宋体" w:cs="宋体"/>
          <w:sz w:val="22"/>
          <w:szCs w:val="22"/>
        </w:rPr>
        <w:t xml:space="preserve"> </w:t>
      </w:r>
      <w:r>
        <w:rPr>
          <w:rFonts w:ascii="宋体" w:eastAsia="宋体" w:hAnsi="宋体" w:cs="宋体"/>
          <w:spacing w:val="-14"/>
          <w:sz w:val="22"/>
          <w:szCs w:val="22"/>
        </w:rPr>
        <w:t>慢，血管壁脆性增强，牙齿易松动等。</w:t>
      </w:r>
    </w:p>
    <w:p w:rsidR="00EA40A3" w:rsidRDefault="00E86C16">
      <w:pPr>
        <w:spacing w:before="40" w:line="244" w:lineRule="auto"/>
        <w:ind w:right="70" w:firstLine="419"/>
        <w:rPr>
          <w:rFonts w:ascii="宋体" w:eastAsia="宋体" w:hAnsi="宋体" w:cs="宋体"/>
          <w:sz w:val="22"/>
          <w:szCs w:val="22"/>
        </w:rPr>
      </w:pPr>
      <w:r>
        <w:rPr>
          <w:rFonts w:ascii="宋体" w:eastAsia="宋体" w:hAnsi="宋体" w:cs="宋体"/>
          <w:spacing w:val="-4"/>
          <w:sz w:val="22"/>
          <w:szCs w:val="22"/>
        </w:rPr>
        <w:t>(3)参与机体的造血机能：维生素</w:t>
      </w:r>
      <w:r>
        <w:rPr>
          <w:rFonts w:ascii="宋体" w:eastAsia="宋体" w:hAnsi="宋体" w:cs="宋体"/>
          <w:spacing w:val="-57"/>
          <w:sz w:val="22"/>
          <w:szCs w:val="22"/>
        </w:rPr>
        <w:t xml:space="preserve"> </w:t>
      </w:r>
      <w:r>
        <w:rPr>
          <w:rFonts w:ascii="宋体" w:eastAsia="宋体" w:hAnsi="宋体" w:cs="宋体"/>
          <w:spacing w:val="-4"/>
          <w:sz w:val="22"/>
          <w:szCs w:val="22"/>
        </w:rPr>
        <w:t>C</w:t>
      </w:r>
      <w:r>
        <w:rPr>
          <w:rFonts w:ascii="宋体" w:eastAsia="宋体" w:hAnsi="宋体" w:cs="宋体"/>
          <w:spacing w:val="-13"/>
          <w:sz w:val="22"/>
          <w:szCs w:val="22"/>
        </w:rPr>
        <w:t xml:space="preserve"> </w:t>
      </w:r>
      <w:r>
        <w:rPr>
          <w:rFonts w:ascii="宋体" w:eastAsia="宋体" w:hAnsi="宋体" w:cs="宋体"/>
          <w:spacing w:val="-4"/>
          <w:sz w:val="22"/>
          <w:szCs w:val="22"/>
        </w:rPr>
        <w:t>可使铁在消化道处于亚铁状态，并以</w:t>
      </w:r>
      <w:r>
        <w:rPr>
          <w:rFonts w:ascii="宋体" w:eastAsia="宋体" w:hAnsi="宋体" w:cs="宋体"/>
          <w:sz w:val="22"/>
          <w:szCs w:val="22"/>
        </w:rPr>
        <w:t xml:space="preserve"> </w:t>
      </w:r>
      <w:r>
        <w:rPr>
          <w:rFonts w:ascii="宋体" w:eastAsia="宋体" w:hAnsi="宋体" w:cs="宋体"/>
          <w:spacing w:val="-14"/>
          <w:sz w:val="22"/>
          <w:szCs w:val="22"/>
        </w:rPr>
        <w:t>其有力的氧化还原能力，提高机体对铁的吸收，故可预</w:t>
      </w:r>
      <w:r>
        <w:rPr>
          <w:rFonts w:ascii="宋体" w:eastAsia="宋体" w:hAnsi="宋体" w:cs="宋体"/>
          <w:spacing w:val="-15"/>
          <w:sz w:val="22"/>
          <w:szCs w:val="22"/>
        </w:rPr>
        <w:t>防营养性贫血；另外维生</w:t>
      </w:r>
      <w:r>
        <w:rPr>
          <w:rFonts w:ascii="宋体" w:eastAsia="宋体" w:hAnsi="宋体" w:cs="宋体"/>
          <w:sz w:val="22"/>
          <w:szCs w:val="22"/>
        </w:rPr>
        <w:t xml:space="preserve"> </w:t>
      </w:r>
      <w:r>
        <w:rPr>
          <w:rFonts w:ascii="宋体" w:eastAsia="宋体" w:hAnsi="宋体" w:cs="宋体"/>
          <w:spacing w:val="-3"/>
          <w:sz w:val="22"/>
          <w:szCs w:val="22"/>
        </w:rPr>
        <w:t>素</w:t>
      </w:r>
      <w:r>
        <w:rPr>
          <w:rFonts w:ascii="宋体" w:eastAsia="宋体" w:hAnsi="宋体" w:cs="宋体"/>
          <w:spacing w:val="-47"/>
          <w:sz w:val="22"/>
          <w:szCs w:val="22"/>
        </w:rPr>
        <w:t xml:space="preserve"> </w:t>
      </w:r>
      <w:r>
        <w:rPr>
          <w:rFonts w:ascii="宋体" w:eastAsia="宋体" w:hAnsi="宋体" w:cs="宋体"/>
          <w:spacing w:val="-3"/>
          <w:sz w:val="22"/>
          <w:szCs w:val="22"/>
        </w:rPr>
        <w:t>C</w:t>
      </w:r>
      <w:r>
        <w:rPr>
          <w:rFonts w:ascii="宋体" w:eastAsia="宋体" w:hAnsi="宋体" w:cs="宋体"/>
          <w:spacing w:val="-23"/>
          <w:sz w:val="22"/>
          <w:szCs w:val="22"/>
        </w:rPr>
        <w:t xml:space="preserve"> </w:t>
      </w:r>
      <w:r>
        <w:rPr>
          <w:rFonts w:ascii="宋体" w:eastAsia="宋体" w:hAnsi="宋体" w:cs="宋体"/>
          <w:spacing w:val="-3"/>
          <w:sz w:val="22"/>
          <w:szCs w:val="22"/>
        </w:rPr>
        <w:t>还具有将叶酸转变成活性型(四氢叶酸)的能力，对预防巨幼红细胞贫血</w:t>
      </w:r>
      <w:r>
        <w:rPr>
          <w:rFonts w:ascii="宋体" w:eastAsia="宋体" w:hAnsi="宋体" w:cs="宋体"/>
          <w:sz w:val="22"/>
          <w:szCs w:val="22"/>
        </w:rPr>
        <w:t xml:space="preserve"> </w:t>
      </w:r>
      <w:r>
        <w:rPr>
          <w:rFonts w:ascii="宋体" w:eastAsia="宋体" w:hAnsi="宋体" w:cs="宋体"/>
          <w:spacing w:val="-14"/>
          <w:sz w:val="22"/>
          <w:szCs w:val="22"/>
        </w:rPr>
        <w:t>有积极意义。</w:t>
      </w:r>
    </w:p>
    <w:p w:rsidR="00EA40A3" w:rsidRDefault="00E86C16">
      <w:pPr>
        <w:spacing w:before="35" w:line="244" w:lineRule="auto"/>
        <w:ind w:right="73" w:firstLine="419"/>
        <w:rPr>
          <w:rFonts w:ascii="宋体" w:eastAsia="宋体" w:hAnsi="宋体" w:cs="宋体"/>
          <w:sz w:val="22"/>
          <w:szCs w:val="22"/>
        </w:rPr>
      </w:pPr>
      <w:r>
        <w:rPr>
          <w:rFonts w:ascii="宋体" w:eastAsia="宋体" w:hAnsi="宋体" w:cs="宋体"/>
          <w:spacing w:val="-3"/>
          <w:sz w:val="22"/>
          <w:szCs w:val="22"/>
        </w:rPr>
        <w:t>(4)抗氧化作用：维生素C</w:t>
      </w:r>
      <w:r>
        <w:rPr>
          <w:rFonts w:ascii="宋体" w:eastAsia="宋体" w:hAnsi="宋体" w:cs="宋体"/>
          <w:spacing w:val="4"/>
          <w:sz w:val="22"/>
          <w:szCs w:val="22"/>
        </w:rPr>
        <w:t xml:space="preserve"> </w:t>
      </w:r>
      <w:r>
        <w:rPr>
          <w:rFonts w:ascii="宋体" w:eastAsia="宋体" w:hAnsi="宋体" w:cs="宋体"/>
          <w:spacing w:val="-3"/>
          <w:sz w:val="22"/>
          <w:szCs w:val="22"/>
        </w:rPr>
        <w:t>还原性很强，可直接与氧化剂作用，从而保护</w:t>
      </w:r>
      <w:r>
        <w:rPr>
          <w:rFonts w:ascii="宋体" w:eastAsia="宋体" w:hAnsi="宋体" w:cs="宋体"/>
          <w:sz w:val="22"/>
          <w:szCs w:val="22"/>
        </w:rPr>
        <w:t xml:space="preserve"> </w:t>
      </w:r>
      <w:r>
        <w:rPr>
          <w:rFonts w:ascii="宋体" w:eastAsia="宋体" w:hAnsi="宋体" w:cs="宋体"/>
          <w:spacing w:val="-2"/>
          <w:sz w:val="22"/>
          <w:szCs w:val="22"/>
        </w:rPr>
        <w:t>其他物质不被氧化破坏(如对维生素A、E</w:t>
      </w:r>
      <w:r>
        <w:rPr>
          <w:rFonts w:ascii="宋体" w:eastAsia="宋体" w:hAnsi="宋体" w:cs="宋体"/>
          <w:spacing w:val="1"/>
          <w:sz w:val="22"/>
          <w:szCs w:val="22"/>
        </w:rPr>
        <w:t xml:space="preserve"> </w:t>
      </w:r>
      <w:r>
        <w:rPr>
          <w:rFonts w:ascii="宋体" w:eastAsia="宋体" w:hAnsi="宋体" w:cs="宋体"/>
          <w:spacing w:val="-2"/>
          <w:sz w:val="22"/>
          <w:szCs w:val="22"/>
        </w:rPr>
        <w:t>及</w:t>
      </w:r>
      <w:r>
        <w:rPr>
          <w:rFonts w:ascii="宋体" w:eastAsia="宋体" w:hAnsi="宋体" w:cs="宋体"/>
          <w:spacing w:val="-32"/>
          <w:sz w:val="22"/>
          <w:szCs w:val="22"/>
        </w:rPr>
        <w:t xml:space="preserve"> </w:t>
      </w:r>
      <w:r>
        <w:rPr>
          <w:rFonts w:ascii="宋体" w:eastAsia="宋体" w:hAnsi="宋体" w:cs="宋体"/>
          <w:spacing w:val="-2"/>
          <w:sz w:val="22"/>
          <w:szCs w:val="22"/>
        </w:rPr>
        <w:t>B</w:t>
      </w:r>
      <w:r>
        <w:rPr>
          <w:rFonts w:ascii="宋体" w:eastAsia="宋体" w:hAnsi="宋体" w:cs="宋体"/>
          <w:spacing w:val="-27"/>
          <w:sz w:val="22"/>
          <w:szCs w:val="22"/>
        </w:rPr>
        <w:t xml:space="preserve"> </w:t>
      </w:r>
      <w:r>
        <w:rPr>
          <w:rFonts w:ascii="宋体" w:eastAsia="宋体" w:hAnsi="宋体" w:cs="宋体"/>
          <w:spacing w:val="-3"/>
          <w:sz w:val="22"/>
          <w:szCs w:val="22"/>
        </w:rPr>
        <w:t>等的保护作用),在食品加工中</w:t>
      </w:r>
      <w:r>
        <w:rPr>
          <w:rFonts w:ascii="宋体" w:eastAsia="宋体" w:hAnsi="宋体" w:cs="宋体"/>
          <w:sz w:val="22"/>
          <w:szCs w:val="22"/>
        </w:rPr>
        <w:t xml:space="preserve"> </w:t>
      </w:r>
      <w:r>
        <w:rPr>
          <w:rFonts w:ascii="宋体" w:eastAsia="宋体" w:hAnsi="宋体" w:cs="宋体"/>
          <w:spacing w:val="-6"/>
          <w:sz w:val="22"/>
          <w:szCs w:val="22"/>
        </w:rPr>
        <w:t>常作抗氧化剂使用。维生素C</w:t>
      </w:r>
      <w:r>
        <w:rPr>
          <w:rFonts w:ascii="宋体" w:eastAsia="宋体" w:hAnsi="宋体" w:cs="宋体"/>
          <w:spacing w:val="4"/>
          <w:sz w:val="22"/>
          <w:szCs w:val="22"/>
        </w:rPr>
        <w:t xml:space="preserve"> </w:t>
      </w:r>
      <w:r>
        <w:rPr>
          <w:rFonts w:ascii="宋体" w:eastAsia="宋体" w:hAnsi="宋体" w:cs="宋体"/>
          <w:spacing w:val="-6"/>
          <w:sz w:val="22"/>
          <w:szCs w:val="22"/>
        </w:rPr>
        <w:t>在体内的氧化还原作用与巯基(一SH)、</w:t>
      </w:r>
      <w:r>
        <w:rPr>
          <w:rFonts w:ascii="宋体" w:eastAsia="宋体" w:hAnsi="宋体" w:cs="宋体"/>
          <w:spacing w:val="86"/>
          <w:sz w:val="22"/>
          <w:szCs w:val="22"/>
        </w:rPr>
        <w:t xml:space="preserve"> </w:t>
      </w:r>
      <w:r>
        <w:rPr>
          <w:rFonts w:ascii="宋体" w:eastAsia="宋体" w:hAnsi="宋体" w:cs="宋体"/>
          <w:spacing w:val="-6"/>
          <w:sz w:val="22"/>
          <w:szCs w:val="22"/>
        </w:rPr>
        <w:t>双硫键</w:t>
      </w:r>
      <w:r>
        <w:rPr>
          <w:rFonts w:ascii="宋体" w:eastAsia="宋体" w:hAnsi="宋体" w:cs="宋体"/>
          <w:sz w:val="22"/>
          <w:szCs w:val="22"/>
        </w:rPr>
        <w:t xml:space="preserve"> </w:t>
      </w:r>
      <w:r>
        <w:rPr>
          <w:rFonts w:ascii="宋体" w:eastAsia="宋体" w:hAnsi="宋体" w:cs="宋体"/>
          <w:spacing w:val="-7"/>
          <w:sz w:val="22"/>
          <w:szCs w:val="22"/>
        </w:rPr>
        <w:t>(—S—S—)</w:t>
      </w:r>
      <w:r>
        <w:rPr>
          <w:rFonts w:ascii="宋体" w:eastAsia="宋体" w:hAnsi="宋体" w:cs="宋体"/>
          <w:spacing w:val="-19"/>
          <w:sz w:val="22"/>
          <w:szCs w:val="22"/>
        </w:rPr>
        <w:t xml:space="preserve"> </w:t>
      </w:r>
      <w:r>
        <w:rPr>
          <w:rFonts w:ascii="宋体" w:eastAsia="宋体" w:hAnsi="宋体" w:cs="宋体"/>
          <w:spacing w:val="-7"/>
          <w:sz w:val="22"/>
          <w:szCs w:val="22"/>
        </w:rPr>
        <w:t>系统相联系，由于维生素C</w:t>
      </w:r>
      <w:r>
        <w:rPr>
          <w:rFonts w:ascii="宋体" w:eastAsia="宋体" w:hAnsi="宋体" w:cs="宋体"/>
          <w:spacing w:val="17"/>
          <w:sz w:val="22"/>
          <w:szCs w:val="22"/>
        </w:rPr>
        <w:t xml:space="preserve"> </w:t>
      </w:r>
      <w:r>
        <w:rPr>
          <w:rFonts w:ascii="宋体" w:eastAsia="宋体" w:hAnsi="宋体" w:cs="宋体"/>
          <w:spacing w:val="-7"/>
          <w:sz w:val="22"/>
          <w:szCs w:val="22"/>
        </w:rPr>
        <w:t>的还原作用，可使—S—S—</w:t>
      </w:r>
      <w:r>
        <w:rPr>
          <w:rFonts w:ascii="宋体" w:eastAsia="宋体" w:hAnsi="宋体" w:cs="宋体"/>
          <w:spacing w:val="-41"/>
          <w:sz w:val="22"/>
          <w:szCs w:val="22"/>
        </w:rPr>
        <w:t xml:space="preserve"> </w:t>
      </w:r>
      <w:r>
        <w:rPr>
          <w:rFonts w:ascii="宋体" w:eastAsia="宋体" w:hAnsi="宋体" w:cs="宋体"/>
          <w:spacing w:val="-7"/>
          <w:sz w:val="22"/>
          <w:szCs w:val="22"/>
        </w:rPr>
        <w:t>还原为-</w:t>
      </w:r>
    </w:p>
    <w:p w:rsidR="00EA40A3" w:rsidRDefault="00E86C16">
      <w:pPr>
        <w:spacing w:before="37" w:line="241" w:lineRule="auto"/>
        <w:ind w:right="77"/>
        <w:rPr>
          <w:rFonts w:ascii="宋体" w:eastAsia="宋体" w:hAnsi="宋体" w:cs="宋体"/>
          <w:sz w:val="22"/>
          <w:szCs w:val="22"/>
        </w:rPr>
      </w:pPr>
      <w:r>
        <w:rPr>
          <w:rFonts w:ascii="宋体" w:eastAsia="宋体" w:hAnsi="宋体" w:cs="宋体"/>
          <w:spacing w:val="-7"/>
          <w:sz w:val="22"/>
          <w:szCs w:val="22"/>
        </w:rPr>
        <w:t>SH,</w:t>
      </w:r>
      <w:r>
        <w:rPr>
          <w:rFonts w:ascii="宋体" w:eastAsia="宋体" w:hAnsi="宋体" w:cs="宋体"/>
          <w:spacing w:val="39"/>
          <w:sz w:val="22"/>
          <w:szCs w:val="22"/>
        </w:rPr>
        <w:t xml:space="preserve"> </w:t>
      </w:r>
      <w:r>
        <w:rPr>
          <w:rFonts w:ascii="宋体" w:eastAsia="宋体" w:hAnsi="宋体" w:cs="宋体"/>
          <w:spacing w:val="-7"/>
          <w:sz w:val="22"/>
          <w:szCs w:val="22"/>
        </w:rPr>
        <w:t>从而提高体内—SH</w:t>
      </w:r>
      <w:r>
        <w:rPr>
          <w:rFonts w:ascii="宋体" w:eastAsia="宋体" w:hAnsi="宋体" w:cs="宋体"/>
          <w:spacing w:val="9"/>
          <w:sz w:val="22"/>
          <w:szCs w:val="22"/>
        </w:rPr>
        <w:t xml:space="preserve"> </w:t>
      </w:r>
      <w:r>
        <w:rPr>
          <w:rFonts w:ascii="宋体" w:eastAsia="宋体" w:hAnsi="宋体" w:cs="宋体"/>
          <w:spacing w:val="-7"/>
          <w:sz w:val="22"/>
          <w:szCs w:val="22"/>
        </w:rPr>
        <w:t>水平。已知—SH</w:t>
      </w:r>
      <w:r>
        <w:rPr>
          <w:rFonts w:ascii="宋体" w:eastAsia="宋体" w:hAnsi="宋体" w:cs="宋体"/>
          <w:spacing w:val="-11"/>
          <w:sz w:val="22"/>
          <w:szCs w:val="22"/>
        </w:rPr>
        <w:t xml:space="preserve"> </w:t>
      </w:r>
      <w:r>
        <w:rPr>
          <w:rFonts w:ascii="宋体" w:eastAsia="宋体" w:hAnsi="宋体" w:cs="宋体"/>
          <w:spacing w:val="-7"/>
          <w:sz w:val="22"/>
          <w:szCs w:val="22"/>
        </w:rPr>
        <w:t>在</w:t>
      </w:r>
      <w:r>
        <w:rPr>
          <w:rFonts w:ascii="宋体" w:eastAsia="宋体" w:hAnsi="宋体" w:cs="宋体"/>
          <w:spacing w:val="-8"/>
          <w:sz w:val="22"/>
          <w:szCs w:val="22"/>
        </w:rPr>
        <w:t>体内与其他抗氧化剂如谷胱甘肽一</w:t>
      </w:r>
      <w:r>
        <w:rPr>
          <w:rFonts w:ascii="宋体" w:eastAsia="宋体" w:hAnsi="宋体" w:cs="宋体"/>
          <w:sz w:val="22"/>
          <w:szCs w:val="22"/>
        </w:rPr>
        <w:t xml:space="preserve"> </w:t>
      </w:r>
      <w:r>
        <w:rPr>
          <w:rFonts w:ascii="宋体" w:eastAsia="宋体" w:hAnsi="宋体" w:cs="宋体"/>
          <w:spacing w:val="-6"/>
          <w:sz w:val="22"/>
          <w:szCs w:val="22"/>
        </w:rPr>
        <w:t>起清除自由基，阻止脂质过氧化以及某些化学物质的</w:t>
      </w:r>
      <w:r>
        <w:rPr>
          <w:rFonts w:ascii="宋体" w:eastAsia="宋体" w:hAnsi="宋体" w:cs="宋体"/>
          <w:spacing w:val="-7"/>
          <w:sz w:val="22"/>
          <w:szCs w:val="22"/>
        </w:rPr>
        <w:t>危害作用。维生素C</w:t>
      </w:r>
      <w:r>
        <w:rPr>
          <w:rFonts w:ascii="宋体" w:eastAsia="宋体" w:hAnsi="宋体" w:cs="宋体"/>
          <w:spacing w:val="-14"/>
          <w:sz w:val="22"/>
          <w:szCs w:val="22"/>
        </w:rPr>
        <w:t xml:space="preserve"> </w:t>
      </w:r>
      <w:r>
        <w:rPr>
          <w:rFonts w:ascii="宋体" w:eastAsia="宋体" w:hAnsi="宋体" w:cs="宋体"/>
          <w:spacing w:val="-7"/>
          <w:sz w:val="22"/>
          <w:szCs w:val="22"/>
        </w:rPr>
        <w:t>还能</w:t>
      </w:r>
      <w:r>
        <w:rPr>
          <w:rFonts w:ascii="宋体" w:eastAsia="宋体" w:hAnsi="宋体" w:cs="宋体"/>
          <w:sz w:val="22"/>
          <w:szCs w:val="22"/>
        </w:rPr>
        <w:t xml:space="preserve"> </w:t>
      </w:r>
      <w:r>
        <w:rPr>
          <w:rFonts w:ascii="宋体" w:eastAsia="宋体" w:hAnsi="宋体" w:cs="宋体"/>
          <w:spacing w:val="-3"/>
          <w:sz w:val="22"/>
          <w:szCs w:val="22"/>
        </w:rPr>
        <w:t>使红细胞中的高铁血红蛋白</w:t>
      </w:r>
      <w:r>
        <w:rPr>
          <w:rFonts w:ascii="宋体" w:eastAsia="宋体" w:hAnsi="宋体" w:cs="宋体"/>
          <w:spacing w:val="-18"/>
          <w:sz w:val="22"/>
          <w:szCs w:val="22"/>
        </w:rPr>
        <w:t xml:space="preserve"> </w:t>
      </w:r>
      <w:r>
        <w:rPr>
          <w:rFonts w:ascii="宋体" w:eastAsia="宋体" w:hAnsi="宋体" w:cs="宋体"/>
          <w:spacing w:val="-3"/>
          <w:sz w:val="22"/>
          <w:szCs w:val="22"/>
        </w:rPr>
        <w:t>(methemoglobin,MHb)</w:t>
      </w:r>
      <w:r>
        <w:rPr>
          <w:rFonts w:ascii="宋体" w:eastAsia="宋体" w:hAnsi="宋体" w:cs="宋体"/>
          <w:spacing w:val="43"/>
          <w:sz w:val="22"/>
          <w:szCs w:val="22"/>
        </w:rPr>
        <w:t xml:space="preserve">  </w:t>
      </w:r>
      <w:r>
        <w:rPr>
          <w:rFonts w:ascii="宋体" w:eastAsia="宋体" w:hAnsi="宋体" w:cs="宋体"/>
          <w:spacing w:val="-3"/>
          <w:sz w:val="22"/>
          <w:szCs w:val="22"/>
        </w:rPr>
        <w:t>还原为</w:t>
      </w:r>
      <w:r>
        <w:rPr>
          <w:rFonts w:ascii="宋体" w:eastAsia="宋体" w:hAnsi="宋体" w:cs="宋体"/>
          <w:spacing w:val="-4"/>
          <w:sz w:val="22"/>
          <w:szCs w:val="22"/>
        </w:rPr>
        <w:t>血红蛋白(</w:t>
      </w:r>
      <w:r>
        <w:rPr>
          <w:rFonts w:ascii="宋体" w:eastAsia="宋体" w:hAnsi="宋体" w:cs="宋体"/>
          <w:spacing w:val="-3"/>
          <w:sz w:val="22"/>
          <w:szCs w:val="22"/>
        </w:rPr>
        <w:t>hemo</w:t>
      </w:r>
      <w:r>
        <w:rPr>
          <w:rFonts w:ascii="宋体" w:eastAsia="宋体" w:hAnsi="宋体" w:cs="宋体"/>
          <w:spacing w:val="-4"/>
          <w:sz w:val="22"/>
          <w:szCs w:val="22"/>
        </w:rPr>
        <w:t>-</w:t>
      </w:r>
      <w:r>
        <w:rPr>
          <w:rFonts w:ascii="宋体" w:eastAsia="宋体" w:hAnsi="宋体" w:cs="宋体"/>
          <w:spacing w:val="1"/>
          <w:sz w:val="22"/>
          <w:szCs w:val="22"/>
        </w:rPr>
        <w:t xml:space="preserve"> </w:t>
      </w:r>
      <w:r>
        <w:rPr>
          <w:rFonts w:ascii="宋体" w:eastAsia="宋体" w:hAnsi="宋体" w:cs="宋体"/>
          <w:spacing w:val="-9"/>
          <w:sz w:val="22"/>
          <w:szCs w:val="22"/>
        </w:rPr>
        <w:t>globin,Hb),</w:t>
      </w:r>
      <w:r>
        <w:rPr>
          <w:rFonts w:ascii="宋体" w:eastAsia="宋体" w:hAnsi="宋体" w:cs="宋体"/>
          <w:spacing w:val="7"/>
          <w:sz w:val="22"/>
          <w:szCs w:val="22"/>
        </w:rPr>
        <w:t xml:space="preserve"> </w:t>
      </w:r>
      <w:r>
        <w:rPr>
          <w:rFonts w:ascii="宋体" w:eastAsia="宋体" w:hAnsi="宋体" w:cs="宋体"/>
          <w:spacing w:val="-9"/>
          <w:sz w:val="22"/>
          <w:szCs w:val="22"/>
        </w:rPr>
        <w:t>使其恢复对氧的运输。</w:t>
      </w:r>
    </w:p>
    <w:p w:rsidR="00EA40A3" w:rsidRDefault="00E86C16">
      <w:pPr>
        <w:spacing w:before="52" w:line="241" w:lineRule="auto"/>
        <w:ind w:firstLine="419"/>
        <w:rPr>
          <w:rFonts w:ascii="宋体" w:eastAsia="宋体" w:hAnsi="宋体" w:cs="宋体"/>
          <w:sz w:val="22"/>
          <w:szCs w:val="22"/>
        </w:rPr>
      </w:pPr>
      <w:r>
        <w:rPr>
          <w:rFonts w:ascii="宋体" w:eastAsia="宋体" w:hAnsi="宋体" w:cs="宋体"/>
          <w:spacing w:val="-4"/>
          <w:sz w:val="22"/>
          <w:szCs w:val="22"/>
        </w:rPr>
        <w:t>(5)解毒作用：维生素</w:t>
      </w:r>
      <w:r>
        <w:rPr>
          <w:rFonts w:ascii="宋体" w:eastAsia="宋体" w:hAnsi="宋体" w:cs="宋体"/>
          <w:spacing w:val="-53"/>
          <w:sz w:val="22"/>
          <w:szCs w:val="22"/>
        </w:rPr>
        <w:t xml:space="preserve"> </w:t>
      </w:r>
      <w:r>
        <w:rPr>
          <w:rFonts w:ascii="宋体" w:eastAsia="宋体" w:hAnsi="宋体" w:cs="宋体"/>
          <w:spacing w:val="-4"/>
          <w:sz w:val="22"/>
          <w:szCs w:val="22"/>
        </w:rPr>
        <w:t>C</w:t>
      </w:r>
      <w:r>
        <w:rPr>
          <w:rFonts w:ascii="宋体" w:eastAsia="宋体" w:hAnsi="宋体" w:cs="宋体"/>
          <w:spacing w:val="-14"/>
          <w:sz w:val="22"/>
          <w:szCs w:val="22"/>
        </w:rPr>
        <w:t xml:space="preserve"> </w:t>
      </w:r>
      <w:r>
        <w:rPr>
          <w:rFonts w:ascii="宋体" w:eastAsia="宋体" w:hAnsi="宋体" w:cs="宋体"/>
          <w:spacing w:val="-4"/>
          <w:sz w:val="22"/>
          <w:szCs w:val="22"/>
        </w:rPr>
        <w:t>对铅化物、砷化物、苯及细菌</w:t>
      </w:r>
      <w:r>
        <w:rPr>
          <w:rFonts w:ascii="宋体" w:eastAsia="宋体" w:hAnsi="宋体" w:cs="宋体"/>
          <w:spacing w:val="-5"/>
          <w:sz w:val="22"/>
          <w:szCs w:val="22"/>
        </w:rPr>
        <w:t>毒素等具有解毒作</w:t>
      </w:r>
      <w:r>
        <w:rPr>
          <w:rFonts w:ascii="宋体" w:eastAsia="宋体" w:hAnsi="宋体" w:cs="宋体"/>
          <w:sz w:val="22"/>
          <w:szCs w:val="22"/>
        </w:rPr>
        <w:t xml:space="preserve"> </w:t>
      </w:r>
      <w:r>
        <w:rPr>
          <w:rFonts w:ascii="宋体" w:eastAsia="宋体" w:hAnsi="宋体" w:cs="宋体"/>
          <w:spacing w:val="-10"/>
          <w:sz w:val="22"/>
          <w:szCs w:val="22"/>
        </w:rPr>
        <w:t>用，故临床上维生素C</w:t>
      </w:r>
      <w:r>
        <w:rPr>
          <w:rFonts w:ascii="宋体" w:eastAsia="宋体" w:hAnsi="宋体" w:cs="宋体"/>
          <w:spacing w:val="-18"/>
          <w:sz w:val="22"/>
          <w:szCs w:val="22"/>
        </w:rPr>
        <w:t xml:space="preserve"> </w:t>
      </w:r>
      <w:r>
        <w:rPr>
          <w:rFonts w:ascii="宋体" w:eastAsia="宋体" w:hAnsi="宋体" w:cs="宋体"/>
          <w:spacing w:val="-10"/>
          <w:sz w:val="22"/>
          <w:szCs w:val="22"/>
        </w:rPr>
        <w:t>是常用的解毒剂之一。另外，维生素C</w:t>
      </w:r>
      <w:r>
        <w:rPr>
          <w:rFonts w:ascii="宋体" w:eastAsia="宋体" w:hAnsi="宋体" w:cs="宋体"/>
          <w:spacing w:val="-4"/>
          <w:sz w:val="22"/>
          <w:szCs w:val="22"/>
        </w:rPr>
        <w:t xml:space="preserve"> </w:t>
      </w:r>
      <w:r>
        <w:rPr>
          <w:rFonts w:ascii="宋体" w:eastAsia="宋体" w:hAnsi="宋体" w:cs="宋体"/>
          <w:spacing w:val="-10"/>
          <w:sz w:val="22"/>
          <w:szCs w:val="22"/>
        </w:rPr>
        <w:t>还具有抗癌作用，</w:t>
      </w:r>
      <w:r>
        <w:rPr>
          <w:rFonts w:ascii="宋体" w:eastAsia="宋体" w:hAnsi="宋体" w:cs="宋体"/>
          <w:sz w:val="22"/>
          <w:szCs w:val="22"/>
        </w:rPr>
        <w:t xml:space="preserve"> </w:t>
      </w:r>
      <w:r>
        <w:rPr>
          <w:rFonts w:ascii="宋体" w:eastAsia="宋体" w:hAnsi="宋体" w:cs="宋体"/>
          <w:spacing w:val="-15"/>
          <w:sz w:val="22"/>
          <w:szCs w:val="22"/>
        </w:rPr>
        <w:t>它可以阻断亚硝胺在体内的合成。</w:t>
      </w:r>
    </w:p>
    <w:p w:rsidR="00EA40A3" w:rsidRDefault="00E86C16">
      <w:pPr>
        <w:spacing w:before="37" w:line="241" w:lineRule="auto"/>
        <w:ind w:right="78" w:firstLine="419"/>
        <w:rPr>
          <w:rFonts w:ascii="宋体" w:eastAsia="宋体" w:hAnsi="宋体" w:cs="宋体"/>
          <w:sz w:val="22"/>
          <w:szCs w:val="22"/>
        </w:rPr>
      </w:pPr>
      <w:r>
        <w:rPr>
          <w:rFonts w:ascii="宋体" w:eastAsia="宋体" w:hAnsi="宋体" w:cs="宋体"/>
          <w:spacing w:val="-3"/>
          <w:sz w:val="22"/>
          <w:szCs w:val="22"/>
        </w:rPr>
        <w:t>(6)维持心肌功能、预防心血管疾病：维生素C</w:t>
      </w:r>
      <w:r>
        <w:rPr>
          <w:rFonts w:ascii="宋体" w:eastAsia="宋体" w:hAnsi="宋体" w:cs="宋体"/>
          <w:spacing w:val="-1"/>
          <w:sz w:val="22"/>
          <w:szCs w:val="22"/>
        </w:rPr>
        <w:t xml:space="preserve"> </w:t>
      </w:r>
      <w:r>
        <w:rPr>
          <w:rFonts w:ascii="宋体" w:eastAsia="宋体" w:hAnsi="宋体" w:cs="宋体"/>
          <w:spacing w:val="-3"/>
          <w:sz w:val="22"/>
          <w:szCs w:val="22"/>
        </w:rPr>
        <w:t>能促进心肌利用葡萄糖及</w:t>
      </w:r>
      <w:r>
        <w:rPr>
          <w:rFonts w:ascii="宋体" w:eastAsia="宋体" w:hAnsi="宋体" w:cs="宋体"/>
          <w:sz w:val="22"/>
          <w:szCs w:val="22"/>
        </w:rPr>
        <w:t xml:space="preserve"> </w:t>
      </w:r>
      <w:r>
        <w:rPr>
          <w:rFonts w:ascii="宋体" w:eastAsia="宋体" w:hAnsi="宋体" w:cs="宋体"/>
          <w:spacing w:val="-7"/>
          <w:sz w:val="22"/>
          <w:szCs w:val="22"/>
        </w:rPr>
        <w:t>肌糖原合成，并有扩张冠状动脉的作用；维生素C</w:t>
      </w:r>
      <w:r>
        <w:rPr>
          <w:rFonts w:ascii="宋体" w:eastAsia="宋体" w:hAnsi="宋体" w:cs="宋体"/>
          <w:spacing w:val="8"/>
          <w:sz w:val="22"/>
          <w:szCs w:val="22"/>
        </w:rPr>
        <w:t xml:space="preserve"> </w:t>
      </w:r>
      <w:r>
        <w:rPr>
          <w:rFonts w:ascii="宋体" w:eastAsia="宋体" w:hAnsi="宋体" w:cs="宋体"/>
          <w:spacing w:val="-7"/>
          <w:sz w:val="22"/>
          <w:szCs w:val="22"/>
        </w:rPr>
        <w:t>可在体内将胆固醇转变为能</w:t>
      </w:r>
      <w:r>
        <w:rPr>
          <w:rFonts w:ascii="宋体" w:eastAsia="宋体" w:hAnsi="宋体" w:cs="宋体"/>
          <w:sz w:val="22"/>
          <w:szCs w:val="22"/>
        </w:rPr>
        <w:t xml:space="preserve"> </w:t>
      </w:r>
      <w:r>
        <w:rPr>
          <w:rFonts w:ascii="宋体" w:eastAsia="宋体" w:hAnsi="宋体" w:cs="宋体"/>
          <w:spacing w:val="-13"/>
          <w:sz w:val="22"/>
          <w:szCs w:val="22"/>
        </w:rPr>
        <w:t>溶于水的硫酸盐而增加其排泄，也可催化肝中胆固醇的羟化作用，促进其形成胆</w:t>
      </w:r>
    </w:p>
    <w:p w:rsidR="00EA40A3" w:rsidRDefault="00E86C16">
      <w:pPr>
        <w:spacing w:before="230" w:line="219" w:lineRule="auto"/>
        <w:rPr>
          <w:rFonts w:ascii="宋体" w:eastAsia="宋体" w:hAnsi="宋体" w:cs="宋体"/>
          <w:sz w:val="22"/>
          <w:szCs w:val="22"/>
        </w:rPr>
      </w:pPr>
      <w:r>
        <w:rPr>
          <w:rFonts w:ascii="宋体" w:eastAsia="宋体" w:hAnsi="宋体" w:cs="宋体"/>
          <w:spacing w:val="-11"/>
          <w:sz w:val="22"/>
          <w:szCs w:val="22"/>
        </w:rPr>
        <w:t>酸，从而降低血胆固醇含量。故临床上对冠心病病人要给予维生素C。</w:t>
      </w:r>
    </w:p>
    <w:p w:rsidR="00EA40A3" w:rsidRDefault="00E86C16">
      <w:pPr>
        <w:spacing w:before="59" w:line="219" w:lineRule="auto"/>
        <w:ind w:left="419"/>
        <w:rPr>
          <w:rFonts w:ascii="宋体" w:eastAsia="宋体" w:hAnsi="宋体" w:cs="宋体"/>
          <w:sz w:val="22"/>
          <w:szCs w:val="22"/>
        </w:rPr>
      </w:pPr>
      <w:r>
        <w:rPr>
          <w:rFonts w:ascii="宋体" w:eastAsia="宋体" w:hAnsi="宋体" w:cs="宋体"/>
          <w:spacing w:val="-11"/>
          <w:sz w:val="22"/>
          <w:szCs w:val="22"/>
        </w:rPr>
        <w:t>此外，肾上腺皮质激素的合成与释放也需维生素</w:t>
      </w:r>
      <w:r>
        <w:rPr>
          <w:rFonts w:ascii="宋体" w:eastAsia="宋体" w:hAnsi="宋体" w:cs="宋体"/>
          <w:spacing w:val="-12"/>
          <w:sz w:val="22"/>
          <w:szCs w:val="22"/>
        </w:rPr>
        <w:t>C</w:t>
      </w:r>
      <w:r>
        <w:rPr>
          <w:rFonts w:ascii="宋体" w:eastAsia="宋体" w:hAnsi="宋体" w:cs="宋体"/>
          <w:spacing w:val="-14"/>
          <w:sz w:val="22"/>
          <w:szCs w:val="22"/>
        </w:rPr>
        <w:t xml:space="preserve"> </w:t>
      </w:r>
      <w:r>
        <w:rPr>
          <w:rFonts w:ascii="宋体" w:eastAsia="宋体" w:hAnsi="宋体" w:cs="宋体"/>
          <w:spacing w:val="-12"/>
          <w:sz w:val="22"/>
          <w:szCs w:val="22"/>
        </w:rPr>
        <w:t>的参与。</w:t>
      </w:r>
    </w:p>
    <w:p w:rsidR="00EA40A3" w:rsidRDefault="00EA40A3">
      <w:pPr>
        <w:sectPr w:rsidR="00EA40A3">
          <w:footerReference w:type="default" r:id="rId114"/>
          <w:pgSz w:w="9220" w:h="13360"/>
          <w:pgMar w:top="400" w:right="1020" w:bottom="1296" w:left="869" w:header="0" w:footer="1075" w:gutter="0"/>
          <w:cols w:space="720"/>
        </w:sectPr>
      </w:pPr>
    </w:p>
    <w:p w:rsidR="00EA40A3" w:rsidRDefault="00EA40A3">
      <w:pPr>
        <w:spacing w:line="343" w:lineRule="auto"/>
      </w:pPr>
    </w:p>
    <w:p w:rsidR="00EA40A3" w:rsidRDefault="00EA40A3">
      <w:pPr>
        <w:spacing w:line="344" w:lineRule="auto"/>
      </w:pPr>
    </w:p>
    <w:p w:rsidR="00EA40A3" w:rsidRDefault="00E86C16">
      <w:pPr>
        <w:spacing w:before="74" w:line="222" w:lineRule="auto"/>
        <w:rPr>
          <w:rFonts w:ascii="仿宋" w:eastAsia="仿宋" w:hAnsi="仿宋" w:cs="仿宋"/>
          <w:sz w:val="23"/>
          <w:szCs w:val="23"/>
        </w:rPr>
      </w:pPr>
      <w:r>
        <w:rPr>
          <w:rFonts w:ascii="仿宋" w:eastAsia="仿宋" w:hAnsi="仿宋" w:cs="仿宋"/>
          <w:spacing w:val="5"/>
          <w:sz w:val="23"/>
          <w:szCs w:val="23"/>
        </w:rPr>
        <w:t>4.</w:t>
      </w:r>
      <w:r>
        <w:rPr>
          <w:rFonts w:ascii="仿宋" w:eastAsia="仿宋" w:hAnsi="仿宋" w:cs="仿宋"/>
          <w:spacing w:val="-38"/>
          <w:sz w:val="23"/>
          <w:szCs w:val="23"/>
        </w:rPr>
        <w:t xml:space="preserve"> </w:t>
      </w:r>
      <w:r>
        <w:rPr>
          <w:rFonts w:ascii="仿宋" w:eastAsia="仿宋" w:hAnsi="仿宋" w:cs="仿宋"/>
          <w:spacing w:val="5"/>
          <w:sz w:val="23"/>
          <w:szCs w:val="23"/>
        </w:rPr>
        <w:t>维生素C</w:t>
      </w:r>
      <w:r>
        <w:rPr>
          <w:rFonts w:ascii="仿宋" w:eastAsia="仿宋" w:hAnsi="仿宋" w:cs="仿宋"/>
          <w:spacing w:val="26"/>
          <w:sz w:val="23"/>
          <w:szCs w:val="23"/>
        </w:rPr>
        <w:t xml:space="preserve"> </w:t>
      </w:r>
      <w:r>
        <w:rPr>
          <w:rFonts w:ascii="仿宋" w:eastAsia="仿宋" w:hAnsi="仿宋" w:cs="仿宋"/>
          <w:spacing w:val="5"/>
          <w:sz w:val="23"/>
          <w:szCs w:val="23"/>
        </w:rPr>
        <w:t>的缺乏症与过量危害</w:t>
      </w:r>
    </w:p>
    <w:p w:rsidR="00EA40A3" w:rsidRDefault="00E86C16">
      <w:pPr>
        <w:spacing w:before="168" w:line="237" w:lineRule="auto"/>
        <w:ind w:right="102" w:firstLine="419"/>
        <w:jc w:val="both"/>
        <w:rPr>
          <w:rFonts w:ascii="宋体" w:eastAsia="宋体" w:hAnsi="宋体" w:cs="宋体"/>
          <w:sz w:val="23"/>
          <w:szCs w:val="23"/>
        </w:rPr>
      </w:pPr>
      <w:r>
        <w:rPr>
          <w:rFonts w:ascii="宋体" w:eastAsia="宋体" w:hAnsi="宋体" w:cs="宋体"/>
          <w:spacing w:val="-18"/>
          <w:sz w:val="23"/>
          <w:szCs w:val="23"/>
        </w:rPr>
        <w:t>膳食中维生素C</w:t>
      </w:r>
      <w:r>
        <w:rPr>
          <w:rFonts w:ascii="宋体" w:eastAsia="宋体" w:hAnsi="宋体" w:cs="宋体"/>
          <w:spacing w:val="-31"/>
          <w:sz w:val="23"/>
          <w:szCs w:val="23"/>
        </w:rPr>
        <w:t xml:space="preserve"> </w:t>
      </w:r>
      <w:r>
        <w:rPr>
          <w:rFonts w:ascii="宋体" w:eastAsia="宋体" w:hAnsi="宋体" w:cs="宋体"/>
          <w:spacing w:val="-18"/>
          <w:sz w:val="23"/>
          <w:szCs w:val="23"/>
        </w:rPr>
        <w:t>长期缺乏会导致坏血病</w:t>
      </w:r>
      <w:r>
        <w:rPr>
          <w:rFonts w:ascii="宋体" w:eastAsia="宋体" w:hAnsi="宋体" w:cs="宋体"/>
          <w:spacing w:val="-21"/>
          <w:sz w:val="23"/>
          <w:szCs w:val="23"/>
        </w:rPr>
        <w:t xml:space="preserve"> </w:t>
      </w:r>
      <w:r>
        <w:rPr>
          <w:rFonts w:ascii="宋体" w:eastAsia="宋体" w:hAnsi="宋体" w:cs="宋体"/>
          <w:spacing w:val="-18"/>
          <w:sz w:val="23"/>
          <w:szCs w:val="23"/>
        </w:rPr>
        <w:t>(scurvy)。</w:t>
      </w:r>
      <w:r>
        <w:rPr>
          <w:rFonts w:ascii="宋体" w:eastAsia="宋体" w:hAnsi="宋体" w:cs="宋体"/>
          <w:spacing w:val="-40"/>
          <w:sz w:val="23"/>
          <w:szCs w:val="23"/>
        </w:rPr>
        <w:t xml:space="preserve"> </w:t>
      </w:r>
      <w:r>
        <w:rPr>
          <w:rFonts w:ascii="宋体" w:eastAsia="宋体" w:hAnsi="宋体" w:cs="宋体"/>
          <w:spacing w:val="-18"/>
          <w:sz w:val="23"/>
          <w:szCs w:val="23"/>
        </w:rPr>
        <w:t>早期的症状有疲劳和嗜</w:t>
      </w:r>
      <w:r>
        <w:rPr>
          <w:rFonts w:ascii="宋体" w:eastAsia="宋体" w:hAnsi="宋体" w:cs="宋体"/>
          <w:sz w:val="23"/>
          <w:szCs w:val="23"/>
        </w:rPr>
        <w:t xml:space="preserve"> </w:t>
      </w:r>
      <w:r>
        <w:rPr>
          <w:rFonts w:ascii="宋体" w:eastAsia="宋体" w:hAnsi="宋体" w:cs="宋体"/>
          <w:spacing w:val="-22"/>
          <w:sz w:val="23"/>
          <w:szCs w:val="23"/>
        </w:rPr>
        <w:t>睡，皮肤出现小淤点或淤斑，伤口愈合不良，幼儿骨骼发育异</w:t>
      </w:r>
      <w:r>
        <w:rPr>
          <w:rFonts w:ascii="宋体" w:eastAsia="宋体" w:hAnsi="宋体" w:cs="宋体"/>
          <w:spacing w:val="-23"/>
          <w:sz w:val="23"/>
          <w:szCs w:val="23"/>
        </w:rPr>
        <w:t>常，还可发生轻度</w:t>
      </w:r>
      <w:r>
        <w:rPr>
          <w:rFonts w:ascii="宋体" w:eastAsia="宋体" w:hAnsi="宋体" w:cs="宋体"/>
          <w:sz w:val="23"/>
          <w:szCs w:val="23"/>
        </w:rPr>
        <w:t xml:space="preserve"> </w:t>
      </w:r>
      <w:r>
        <w:rPr>
          <w:rFonts w:ascii="宋体" w:eastAsia="宋体" w:hAnsi="宋体" w:cs="宋体"/>
          <w:spacing w:val="-21"/>
          <w:sz w:val="23"/>
          <w:szCs w:val="23"/>
        </w:rPr>
        <w:t>贫血。严重的患者可发生精神异常，包括多疑症、抑郁症和癔病。重症维生素C</w:t>
      </w:r>
      <w:r>
        <w:rPr>
          <w:rFonts w:ascii="宋体" w:eastAsia="宋体" w:hAnsi="宋体" w:cs="宋体"/>
          <w:spacing w:val="16"/>
          <w:sz w:val="23"/>
          <w:szCs w:val="23"/>
        </w:rPr>
        <w:t xml:space="preserve"> </w:t>
      </w:r>
      <w:r>
        <w:rPr>
          <w:rFonts w:ascii="宋体" w:eastAsia="宋体" w:hAnsi="宋体" w:cs="宋体"/>
          <w:spacing w:val="-24"/>
          <w:sz w:val="23"/>
          <w:szCs w:val="23"/>
        </w:rPr>
        <w:t>缺乏可出现内脏出血而危及生命。</w:t>
      </w:r>
    </w:p>
    <w:p w:rsidR="00EA40A3" w:rsidRDefault="00E86C16">
      <w:pPr>
        <w:spacing w:before="76" w:line="238" w:lineRule="auto"/>
        <w:ind w:firstLine="419"/>
        <w:jc w:val="both"/>
        <w:rPr>
          <w:rFonts w:ascii="宋体" w:eastAsia="宋体" w:hAnsi="宋体" w:cs="宋体"/>
          <w:sz w:val="23"/>
          <w:szCs w:val="23"/>
        </w:rPr>
      </w:pPr>
      <w:r>
        <w:rPr>
          <w:rFonts w:ascii="宋体" w:eastAsia="宋体" w:hAnsi="宋体" w:cs="宋体"/>
          <w:spacing w:val="-15"/>
          <w:sz w:val="23"/>
          <w:szCs w:val="23"/>
        </w:rPr>
        <w:t>维生素C</w:t>
      </w:r>
      <w:r>
        <w:rPr>
          <w:rFonts w:ascii="宋体" w:eastAsia="宋体" w:hAnsi="宋体" w:cs="宋体"/>
          <w:spacing w:val="-21"/>
          <w:sz w:val="23"/>
          <w:szCs w:val="23"/>
        </w:rPr>
        <w:t xml:space="preserve"> </w:t>
      </w:r>
      <w:r>
        <w:rPr>
          <w:rFonts w:ascii="宋体" w:eastAsia="宋体" w:hAnsi="宋体" w:cs="宋体"/>
          <w:spacing w:val="-15"/>
          <w:sz w:val="23"/>
          <w:szCs w:val="23"/>
        </w:rPr>
        <w:t>很少引起明显的毒性，但服用量过多仍可产生一些不良反应。当</w:t>
      </w:r>
      <w:r>
        <w:rPr>
          <w:rFonts w:ascii="宋体" w:eastAsia="宋体" w:hAnsi="宋体" w:cs="宋体"/>
          <w:sz w:val="23"/>
          <w:szCs w:val="23"/>
        </w:rPr>
        <w:t xml:space="preserve"> </w:t>
      </w:r>
      <w:r>
        <w:rPr>
          <w:rFonts w:ascii="宋体" w:eastAsia="宋体" w:hAnsi="宋体" w:cs="宋体"/>
          <w:spacing w:val="-13"/>
          <w:sz w:val="23"/>
          <w:szCs w:val="23"/>
        </w:rPr>
        <w:t>摄入量超过2g,</w:t>
      </w:r>
      <w:r>
        <w:rPr>
          <w:rFonts w:ascii="宋体" w:eastAsia="宋体" w:hAnsi="宋体" w:cs="宋体"/>
          <w:spacing w:val="-23"/>
          <w:sz w:val="23"/>
          <w:szCs w:val="23"/>
        </w:rPr>
        <w:t xml:space="preserve"> </w:t>
      </w:r>
      <w:r>
        <w:rPr>
          <w:rFonts w:ascii="宋体" w:eastAsia="宋体" w:hAnsi="宋体" w:cs="宋体"/>
          <w:spacing w:val="-13"/>
          <w:sz w:val="23"/>
          <w:szCs w:val="23"/>
        </w:rPr>
        <w:t>可引起渗透性腹泻；当摄入量超过</w:t>
      </w:r>
      <w:r>
        <w:rPr>
          <w:rFonts w:ascii="宋体" w:eastAsia="宋体" w:hAnsi="宋体" w:cs="宋体"/>
          <w:spacing w:val="-14"/>
          <w:sz w:val="23"/>
          <w:szCs w:val="23"/>
        </w:rPr>
        <w:t>1g</w:t>
      </w:r>
      <w:r>
        <w:rPr>
          <w:rFonts w:ascii="宋体" w:eastAsia="宋体" w:hAnsi="宋体" w:cs="宋体"/>
          <w:spacing w:val="-57"/>
          <w:sz w:val="23"/>
          <w:szCs w:val="23"/>
        </w:rPr>
        <w:t xml:space="preserve"> </w:t>
      </w:r>
      <w:r>
        <w:rPr>
          <w:rFonts w:ascii="宋体" w:eastAsia="宋体" w:hAnsi="宋体" w:cs="宋体"/>
          <w:spacing w:val="-14"/>
          <w:sz w:val="23"/>
          <w:szCs w:val="23"/>
        </w:rPr>
        <w:t>时，尿酸排出明显增加；</w:t>
      </w:r>
      <w:r>
        <w:rPr>
          <w:rFonts w:ascii="宋体" w:eastAsia="宋体" w:hAnsi="宋体" w:cs="宋体"/>
          <w:sz w:val="23"/>
          <w:szCs w:val="23"/>
        </w:rPr>
        <w:t xml:space="preserve"> </w:t>
      </w:r>
      <w:r>
        <w:rPr>
          <w:rFonts w:ascii="宋体" w:eastAsia="宋体" w:hAnsi="宋体" w:cs="宋体"/>
          <w:spacing w:val="-16"/>
          <w:sz w:val="23"/>
          <w:szCs w:val="23"/>
        </w:rPr>
        <w:t>长期摄入过多，可由于草酸排泄增多而形成尿结石。过量的维生素C</w:t>
      </w:r>
      <w:r>
        <w:rPr>
          <w:rFonts w:ascii="宋体" w:eastAsia="宋体" w:hAnsi="宋体" w:cs="宋体"/>
          <w:spacing w:val="-8"/>
          <w:sz w:val="23"/>
          <w:szCs w:val="23"/>
        </w:rPr>
        <w:t xml:space="preserve"> </w:t>
      </w:r>
      <w:r>
        <w:rPr>
          <w:rFonts w:ascii="宋体" w:eastAsia="宋体" w:hAnsi="宋体" w:cs="宋体"/>
          <w:spacing w:val="-16"/>
          <w:sz w:val="23"/>
          <w:szCs w:val="23"/>
        </w:rPr>
        <w:t>还会引起</w:t>
      </w:r>
      <w:r>
        <w:rPr>
          <w:rFonts w:ascii="宋体" w:eastAsia="宋体" w:hAnsi="宋体" w:cs="宋体"/>
          <w:sz w:val="23"/>
          <w:szCs w:val="23"/>
        </w:rPr>
        <w:t xml:space="preserve">  </w:t>
      </w:r>
      <w:r>
        <w:rPr>
          <w:rFonts w:ascii="宋体" w:eastAsia="宋体" w:hAnsi="宋体" w:cs="宋体"/>
          <w:spacing w:val="-23"/>
          <w:sz w:val="23"/>
          <w:szCs w:val="23"/>
        </w:rPr>
        <w:t>宫颈黏液中糖蛋白二硫键改变，阻止精子穿透，造成不育；妊娠期服用过量维生</w:t>
      </w:r>
      <w:r>
        <w:rPr>
          <w:rFonts w:ascii="宋体" w:eastAsia="宋体" w:hAnsi="宋体" w:cs="宋体"/>
          <w:spacing w:val="1"/>
          <w:sz w:val="23"/>
          <w:szCs w:val="23"/>
        </w:rPr>
        <w:t xml:space="preserve">  </w:t>
      </w:r>
      <w:r>
        <w:rPr>
          <w:rFonts w:ascii="宋体" w:eastAsia="宋体" w:hAnsi="宋体" w:cs="宋体"/>
          <w:spacing w:val="-12"/>
          <w:sz w:val="23"/>
          <w:szCs w:val="23"/>
        </w:rPr>
        <w:t>素C,</w:t>
      </w:r>
      <w:r>
        <w:rPr>
          <w:rFonts w:ascii="宋体" w:eastAsia="宋体" w:hAnsi="宋体" w:cs="宋体"/>
          <w:spacing w:val="23"/>
          <w:sz w:val="23"/>
          <w:szCs w:val="23"/>
        </w:rPr>
        <w:t xml:space="preserve"> </w:t>
      </w:r>
      <w:r>
        <w:rPr>
          <w:rFonts w:ascii="宋体" w:eastAsia="宋体" w:hAnsi="宋体" w:cs="宋体"/>
          <w:spacing w:val="-12"/>
          <w:sz w:val="23"/>
          <w:szCs w:val="23"/>
        </w:rPr>
        <w:t>可能影响胚胎发育；小儿长期过量服用维生素</w:t>
      </w:r>
      <w:r>
        <w:rPr>
          <w:rFonts w:ascii="宋体" w:eastAsia="宋体" w:hAnsi="宋体" w:cs="宋体"/>
          <w:spacing w:val="-65"/>
          <w:sz w:val="23"/>
          <w:szCs w:val="23"/>
        </w:rPr>
        <w:t xml:space="preserve"> </w:t>
      </w:r>
      <w:r>
        <w:rPr>
          <w:rFonts w:ascii="宋体" w:eastAsia="宋体" w:hAnsi="宋体" w:cs="宋体"/>
          <w:spacing w:val="-12"/>
          <w:sz w:val="23"/>
          <w:szCs w:val="23"/>
        </w:rPr>
        <w:t>C,</w:t>
      </w:r>
      <w:r>
        <w:rPr>
          <w:rFonts w:ascii="宋体" w:eastAsia="宋体" w:hAnsi="宋体" w:cs="宋体"/>
          <w:spacing w:val="12"/>
          <w:sz w:val="23"/>
          <w:szCs w:val="23"/>
        </w:rPr>
        <w:t xml:space="preserve"> </w:t>
      </w:r>
      <w:r>
        <w:rPr>
          <w:rFonts w:ascii="宋体" w:eastAsia="宋体" w:hAnsi="宋体" w:cs="宋体"/>
          <w:spacing w:val="-12"/>
          <w:sz w:val="23"/>
          <w:szCs w:val="23"/>
        </w:rPr>
        <w:t>容易患骨骼疾病。此</w:t>
      </w:r>
      <w:r>
        <w:rPr>
          <w:rFonts w:ascii="宋体" w:eastAsia="宋体" w:hAnsi="宋体" w:cs="宋体"/>
          <w:sz w:val="23"/>
          <w:szCs w:val="23"/>
        </w:rPr>
        <w:t xml:space="preserve">  </w:t>
      </w:r>
      <w:r>
        <w:rPr>
          <w:rFonts w:ascii="宋体" w:eastAsia="宋体" w:hAnsi="宋体" w:cs="宋体"/>
          <w:spacing w:val="-9"/>
          <w:sz w:val="23"/>
          <w:szCs w:val="23"/>
        </w:rPr>
        <w:t>外，维生素C</w:t>
      </w:r>
      <w:r>
        <w:rPr>
          <w:rFonts w:ascii="宋体" w:eastAsia="宋体" w:hAnsi="宋体" w:cs="宋体"/>
          <w:spacing w:val="-24"/>
          <w:sz w:val="23"/>
          <w:szCs w:val="23"/>
        </w:rPr>
        <w:t xml:space="preserve"> </w:t>
      </w:r>
      <w:r>
        <w:rPr>
          <w:rFonts w:ascii="宋体" w:eastAsia="宋体" w:hAnsi="宋体" w:cs="宋体"/>
          <w:spacing w:val="-9"/>
          <w:sz w:val="23"/>
          <w:szCs w:val="23"/>
        </w:rPr>
        <w:t>摄入过量还会引起铁吸收过度、降低白细胞杀菌能力、破坏红</w:t>
      </w:r>
      <w:r>
        <w:rPr>
          <w:rFonts w:ascii="宋体" w:eastAsia="宋体" w:hAnsi="宋体" w:cs="宋体"/>
          <w:sz w:val="23"/>
          <w:szCs w:val="23"/>
        </w:rPr>
        <w:t xml:space="preserve">  </w:t>
      </w:r>
      <w:r>
        <w:rPr>
          <w:rFonts w:ascii="宋体" w:eastAsia="宋体" w:hAnsi="宋体" w:cs="宋体"/>
          <w:spacing w:val="-22"/>
          <w:sz w:val="23"/>
          <w:szCs w:val="23"/>
        </w:rPr>
        <w:t>细胞。</w:t>
      </w:r>
    </w:p>
    <w:p w:rsidR="00EA40A3" w:rsidRDefault="00E86C16">
      <w:pPr>
        <w:spacing w:before="221" w:line="221" w:lineRule="auto"/>
        <w:rPr>
          <w:rFonts w:ascii="仿宋" w:eastAsia="仿宋" w:hAnsi="仿宋" w:cs="仿宋"/>
          <w:sz w:val="23"/>
          <w:szCs w:val="23"/>
        </w:rPr>
      </w:pPr>
      <w:r>
        <w:rPr>
          <w:rFonts w:ascii="仿宋" w:eastAsia="仿宋" w:hAnsi="仿宋" w:cs="仿宋"/>
          <w:spacing w:val="5"/>
          <w:sz w:val="23"/>
          <w:szCs w:val="23"/>
        </w:rPr>
        <w:t>5.</w:t>
      </w:r>
      <w:r>
        <w:rPr>
          <w:rFonts w:ascii="仿宋" w:eastAsia="仿宋" w:hAnsi="仿宋" w:cs="仿宋"/>
          <w:spacing w:val="-29"/>
          <w:sz w:val="23"/>
          <w:szCs w:val="23"/>
        </w:rPr>
        <w:t xml:space="preserve"> </w:t>
      </w:r>
      <w:r>
        <w:rPr>
          <w:rFonts w:ascii="仿宋" w:eastAsia="仿宋" w:hAnsi="仿宋" w:cs="仿宋"/>
          <w:spacing w:val="5"/>
          <w:sz w:val="23"/>
          <w:szCs w:val="23"/>
        </w:rPr>
        <w:t>维生素C</w:t>
      </w:r>
      <w:r>
        <w:rPr>
          <w:rFonts w:ascii="仿宋" w:eastAsia="仿宋" w:hAnsi="仿宋" w:cs="仿宋"/>
          <w:spacing w:val="36"/>
          <w:sz w:val="23"/>
          <w:szCs w:val="23"/>
        </w:rPr>
        <w:t xml:space="preserve"> </w:t>
      </w:r>
      <w:r>
        <w:rPr>
          <w:rFonts w:ascii="仿宋" w:eastAsia="仿宋" w:hAnsi="仿宋" w:cs="仿宋"/>
          <w:spacing w:val="5"/>
          <w:sz w:val="23"/>
          <w:szCs w:val="23"/>
        </w:rPr>
        <w:t>的参考摄入量与食物来源</w:t>
      </w:r>
    </w:p>
    <w:p w:rsidR="00EA40A3" w:rsidRDefault="00E86C16">
      <w:pPr>
        <w:spacing w:before="199" w:line="238" w:lineRule="auto"/>
        <w:ind w:right="93" w:firstLine="419"/>
        <w:jc w:val="both"/>
        <w:rPr>
          <w:rFonts w:ascii="宋体" w:eastAsia="宋体" w:hAnsi="宋体" w:cs="宋体"/>
          <w:sz w:val="23"/>
          <w:szCs w:val="23"/>
        </w:rPr>
      </w:pPr>
      <w:r>
        <w:rPr>
          <w:rFonts w:ascii="宋体" w:eastAsia="宋体" w:hAnsi="宋体" w:cs="宋体"/>
          <w:spacing w:val="-3"/>
          <w:sz w:val="23"/>
          <w:szCs w:val="23"/>
        </w:rPr>
        <w:t>我国居民维生素C</w:t>
      </w:r>
      <w:r>
        <w:rPr>
          <w:rFonts w:ascii="宋体" w:eastAsia="宋体" w:hAnsi="宋体" w:cs="宋体"/>
          <w:spacing w:val="-23"/>
          <w:sz w:val="23"/>
          <w:szCs w:val="23"/>
        </w:rPr>
        <w:t xml:space="preserve"> </w:t>
      </w:r>
      <w:r>
        <w:rPr>
          <w:rFonts w:ascii="宋体" w:eastAsia="宋体" w:hAnsi="宋体" w:cs="宋体"/>
          <w:spacing w:val="-3"/>
          <w:sz w:val="23"/>
          <w:szCs w:val="23"/>
        </w:rPr>
        <w:t>的</w:t>
      </w:r>
      <w:r>
        <w:rPr>
          <w:rFonts w:ascii="宋体" w:eastAsia="宋体" w:hAnsi="宋体" w:cs="宋体"/>
          <w:spacing w:val="-48"/>
          <w:sz w:val="23"/>
          <w:szCs w:val="23"/>
        </w:rPr>
        <w:t xml:space="preserve"> </w:t>
      </w:r>
      <w:r>
        <w:rPr>
          <w:rFonts w:ascii="宋体" w:eastAsia="宋体" w:hAnsi="宋体" w:cs="宋体"/>
          <w:spacing w:val="-3"/>
          <w:sz w:val="23"/>
          <w:szCs w:val="23"/>
        </w:rPr>
        <w:t>RNI(mg/d)</w:t>
      </w:r>
      <w:r>
        <w:rPr>
          <w:rFonts w:ascii="宋体" w:eastAsia="宋体" w:hAnsi="宋体" w:cs="宋体"/>
          <w:spacing w:val="21"/>
          <w:sz w:val="23"/>
          <w:szCs w:val="23"/>
        </w:rPr>
        <w:t xml:space="preserve">  </w:t>
      </w:r>
      <w:r>
        <w:rPr>
          <w:rFonts w:ascii="宋体" w:eastAsia="宋体" w:hAnsi="宋体" w:cs="宋体"/>
          <w:spacing w:val="-3"/>
          <w:sz w:val="23"/>
          <w:szCs w:val="23"/>
        </w:rPr>
        <w:t>定为：0岁约4</w:t>
      </w:r>
      <w:r>
        <w:rPr>
          <w:rFonts w:ascii="宋体" w:eastAsia="宋体" w:hAnsi="宋体" w:cs="宋体"/>
          <w:spacing w:val="-4"/>
          <w:sz w:val="23"/>
          <w:szCs w:val="23"/>
        </w:rPr>
        <w:t>0、0.5岁约50、1岁约</w:t>
      </w:r>
      <w:r>
        <w:rPr>
          <w:rFonts w:ascii="宋体" w:eastAsia="宋体" w:hAnsi="宋体" w:cs="宋体"/>
          <w:sz w:val="23"/>
          <w:szCs w:val="23"/>
        </w:rPr>
        <w:t xml:space="preserve"> </w:t>
      </w:r>
      <w:r>
        <w:rPr>
          <w:rFonts w:ascii="宋体" w:eastAsia="宋体" w:hAnsi="宋体" w:cs="宋体"/>
          <w:spacing w:val="4"/>
          <w:sz w:val="23"/>
          <w:szCs w:val="23"/>
        </w:rPr>
        <w:t>60、4岁约70、7岁约80、11岁约90、14</w:t>
      </w:r>
      <w:r>
        <w:rPr>
          <w:rFonts w:ascii="宋体" w:eastAsia="宋体" w:hAnsi="宋体" w:cs="宋体"/>
          <w:spacing w:val="3"/>
          <w:sz w:val="23"/>
          <w:szCs w:val="23"/>
        </w:rPr>
        <w:t>岁约100、50岁约100、孕早期约</w:t>
      </w:r>
      <w:r>
        <w:rPr>
          <w:rFonts w:ascii="宋体" w:eastAsia="宋体" w:hAnsi="宋体" w:cs="宋体"/>
          <w:sz w:val="23"/>
          <w:szCs w:val="23"/>
        </w:rPr>
        <w:t xml:space="preserve"> </w:t>
      </w:r>
      <w:r>
        <w:rPr>
          <w:rFonts w:ascii="宋体" w:eastAsia="宋体" w:hAnsi="宋体" w:cs="宋体"/>
          <w:spacing w:val="-7"/>
          <w:sz w:val="23"/>
          <w:szCs w:val="23"/>
        </w:rPr>
        <w:t>100、孕晚期约130、乳母约130。居民维生素</w:t>
      </w:r>
      <w:r>
        <w:rPr>
          <w:rFonts w:ascii="宋体" w:eastAsia="宋体" w:hAnsi="宋体" w:cs="宋体"/>
          <w:spacing w:val="-66"/>
          <w:sz w:val="23"/>
          <w:szCs w:val="23"/>
        </w:rPr>
        <w:t xml:space="preserve"> </w:t>
      </w:r>
      <w:r>
        <w:rPr>
          <w:rFonts w:ascii="宋体" w:eastAsia="宋体" w:hAnsi="宋体" w:cs="宋体"/>
          <w:spacing w:val="-7"/>
          <w:sz w:val="23"/>
          <w:szCs w:val="23"/>
        </w:rPr>
        <w:t>C</w:t>
      </w:r>
      <w:r>
        <w:rPr>
          <w:rFonts w:ascii="宋体" w:eastAsia="宋体" w:hAnsi="宋体" w:cs="宋体"/>
          <w:spacing w:val="-13"/>
          <w:sz w:val="23"/>
          <w:szCs w:val="23"/>
        </w:rPr>
        <w:t xml:space="preserve"> </w:t>
      </w:r>
      <w:r>
        <w:rPr>
          <w:rFonts w:ascii="宋体" w:eastAsia="宋体" w:hAnsi="宋体" w:cs="宋体"/>
          <w:spacing w:val="-7"/>
          <w:sz w:val="23"/>
          <w:szCs w:val="23"/>
        </w:rPr>
        <w:t>的</w:t>
      </w:r>
      <w:r>
        <w:rPr>
          <w:rFonts w:ascii="宋体" w:eastAsia="宋体" w:hAnsi="宋体" w:cs="宋体"/>
          <w:spacing w:val="-38"/>
          <w:sz w:val="23"/>
          <w:szCs w:val="23"/>
        </w:rPr>
        <w:t xml:space="preserve"> </w:t>
      </w:r>
      <w:r>
        <w:rPr>
          <w:rFonts w:ascii="宋体" w:eastAsia="宋体" w:hAnsi="宋体" w:cs="宋体"/>
          <w:spacing w:val="-7"/>
          <w:sz w:val="23"/>
          <w:szCs w:val="23"/>
        </w:rPr>
        <w:t>UL(mg/</w:t>
      </w:r>
      <w:r>
        <w:rPr>
          <w:rFonts w:ascii="宋体" w:eastAsia="宋体" w:hAnsi="宋体" w:cs="宋体"/>
          <w:spacing w:val="-8"/>
          <w:sz w:val="23"/>
          <w:szCs w:val="23"/>
        </w:rPr>
        <w:t>d)</w:t>
      </w:r>
      <w:r>
        <w:rPr>
          <w:rFonts w:ascii="宋体" w:eastAsia="宋体" w:hAnsi="宋体" w:cs="宋体"/>
          <w:spacing w:val="37"/>
          <w:sz w:val="23"/>
          <w:szCs w:val="23"/>
        </w:rPr>
        <w:t xml:space="preserve">  </w:t>
      </w:r>
      <w:r>
        <w:rPr>
          <w:rFonts w:ascii="宋体" w:eastAsia="宋体" w:hAnsi="宋体" w:cs="宋体"/>
          <w:spacing w:val="-8"/>
          <w:sz w:val="23"/>
          <w:szCs w:val="23"/>
        </w:rPr>
        <w:t>定为：0岁约</w:t>
      </w:r>
      <w:r>
        <w:rPr>
          <w:rFonts w:ascii="宋体" w:eastAsia="宋体" w:hAnsi="宋体" w:cs="宋体"/>
          <w:sz w:val="23"/>
          <w:szCs w:val="23"/>
        </w:rPr>
        <w:t xml:space="preserve"> </w:t>
      </w:r>
      <w:r>
        <w:rPr>
          <w:rFonts w:ascii="宋体" w:eastAsia="宋体" w:hAnsi="宋体" w:cs="宋体"/>
          <w:spacing w:val="1"/>
          <w:sz w:val="23"/>
          <w:szCs w:val="23"/>
        </w:rPr>
        <w:t>400、0.5岁约500、1岁约600、4岁约700、7岁约800、11</w:t>
      </w:r>
      <w:r>
        <w:rPr>
          <w:rFonts w:ascii="宋体" w:eastAsia="宋体" w:hAnsi="宋体" w:cs="宋体"/>
          <w:sz w:val="23"/>
          <w:szCs w:val="23"/>
        </w:rPr>
        <w:t xml:space="preserve">岁约900,14岁以 </w:t>
      </w:r>
      <w:r>
        <w:rPr>
          <w:rFonts w:ascii="宋体" w:eastAsia="宋体" w:hAnsi="宋体" w:cs="宋体"/>
          <w:spacing w:val="-9"/>
          <w:sz w:val="23"/>
          <w:szCs w:val="23"/>
        </w:rPr>
        <w:t>上(含孕妇和乳母)约1000。</w:t>
      </w:r>
    </w:p>
    <w:p w:rsidR="00EA40A3" w:rsidRDefault="00E86C16">
      <w:pPr>
        <w:spacing w:before="63" w:line="237" w:lineRule="auto"/>
        <w:ind w:right="105" w:firstLine="419"/>
        <w:jc w:val="both"/>
        <w:rPr>
          <w:rFonts w:ascii="宋体" w:eastAsia="宋体" w:hAnsi="宋体" w:cs="宋体"/>
          <w:sz w:val="23"/>
          <w:szCs w:val="23"/>
        </w:rPr>
      </w:pPr>
      <w:r>
        <w:rPr>
          <w:rFonts w:ascii="宋体" w:eastAsia="宋体" w:hAnsi="宋体" w:cs="宋体"/>
          <w:spacing w:val="-19"/>
          <w:sz w:val="23"/>
          <w:szCs w:val="23"/>
        </w:rPr>
        <w:t>人类和其他灵长类动物体内不能合成维生素C,</w:t>
      </w:r>
      <w:r>
        <w:rPr>
          <w:rFonts w:ascii="宋体" w:eastAsia="宋体" w:hAnsi="宋体" w:cs="宋体"/>
          <w:spacing w:val="14"/>
          <w:sz w:val="23"/>
          <w:szCs w:val="23"/>
        </w:rPr>
        <w:t xml:space="preserve"> </w:t>
      </w:r>
      <w:r>
        <w:rPr>
          <w:rFonts w:ascii="宋体" w:eastAsia="宋体" w:hAnsi="宋体" w:cs="宋体"/>
          <w:spacing w:val="-19"/>
          <w:sz w:val="23"/>
          <w:szCs w:val="23"/>
        </w:rPr>
        <w:t>所需的维生素C</w:t>
      </w:r>
      <w:r>
        <w:rPr>
          <w:rFonts w:ascii="宋体" w:eastAsia="宋体" w:hAnsi="宋体" w:cs="宋体"/>
          <w:spacing w:val="-33"/>
          <w:sz w:val="23"/>
          <w:szCs w:val="23"/>
        </w:rPr>
        <w:t xml:space="preserve"> </w:t>
      </w:r>
      <w:r>
        <w:rPr>
          <w:rFonts w:ascii="宋体" w:eastAsia="宋体" w:hAnsi="宋体" w:cs="宋体"/>
          <w:spacing w:val="-19"/>
          <w:sz w:val="23"/>
          <w:szCs w:val="23"/>
        </w:rPr>
        <w:t>必须靠食物</w:t>
      </w:r>
      <w:r>
        <w:rPr>
          <w:rFonts w:ascii="宋体" w:eastAsia="宋体" w:hAnsi="宋体" w:cs="宋体"/>
          <w:sz w:val="23"/>
          <w:szCs w:val="23"/>
        </w:rPr>
        <w:t xml:space="preserve"> </w:t>
      </w:r>
      <w:r>
        <w:rPr>
          <w:rFonts w:ascii="宋体" w:eastAsia="宋体" w:hAnsi="宋体" w:cs="宋体"/>
          <w:spacing w:val="-15"/>
          <w:sz w:val="23"/>
          <w:szCs w:val="23"/>
        </w:rPr>
        <w:t>供应。维生素C</w:t>
      </w:r>
      <w:r>
        <w:rPr>
          <w:rFonts w:ascii="宋体" w:eastAsia="宋体" w:hAnsi="宋体" w:cs="宋体"/>
          <w:spacing w:val="-33"/>
          <w:sz w:val="23"/>
          <w:szCs w:val="23"/>
        </w:rPr>
        <w:t xml:space="preserve"> </w:t>
      </w:r>
      <w:r>
        <w:rPr>
          <w:rFonts w:ascii="宋体" w:eastAsia="宋体" w:hAnsi="宋体" w:cs="宋体"/>
          <w:spacing w:val="-15"/>
          <w:sz w:val="23"/>
          <w:szCs w:val="23"/>
        </w:rPr>
        <w:t>主要来源于主要来源于新鲜的蔬菜和水果</w:t>
      </w:r>
      <w:r>
        <w:rPr>
          <w:rFonts w:ascii="宋体" w:eastAsia="宋体" w:hAnsi="宋体" w:cs="宋体"/>
          <w:spacing w:val="-16"/>
          <w:sz w:val="23"/>
          <w:szCs w:val="23"/>
        </w:rPr>
        <w:t>，如绿色、红色、黄</w:t>
      </w:r>
      <w:r>
        <w:rPr>
          <w:rFonts w:ascii="宋体" w:eastAsia="宋体" w:hAnsi="宋体" w:cs="宋体"/>
          <w:sz w:val="23"/>
          <w:szCs w:val="23"/>
        </w:rPr>
        <w:t xml:space="preserve"> </w:t>
      </w:r>
      <w:r>
        <w:rPr>
          <w:rFonts w:ascii="宋体" w:eastAsia="宋体" w:hAnsi="宋体" w:cs="宋体"/>
          <w:spacing w:val="-22"/>
          <w:sz w:val="23"/>
          <w:szCs w:val="23"/>
        </w:rPr>
        <w:t>色的辣椒、菠菜等蔬菜以及柑橘、山楂、红枣等水果中</w:t>
      </w:r>
      <w:r>
        <w:rPr>
          <w:rFonts w:ascii="宋体" w:eastAsia="宋体" w:hAnsi="宋体" w:cs="宋体"/>
          <w:spacing w:val="-23"/>
          <w:sz w:val="23"/>
          <w:szCs w:val="23"/>
        </w:rPr>
        <w:t>含量均较高；野生的蔬菜</w:t>
      </w:r>
      <w:r>
        <w:rPr>
          <w:rFonts w:ascii="宋体" w:eastAsia="宋体" w:hAnsi="宋体" w:cs="宋体"/>
          <w:sz w:val="23"/>
          <w:szCs w:val="23"/>
        </w:rPr>
        <w:t xml:space="preserve"> </w:t>
      </w:r>
      <w:r>
        <w:rPr>
          <w:rFonts w:ascii="宋体" w:eastAsia="宋体" w:hAnsi="宋体" w:cs="宋体"/>
          <w:spacing w:val="-23"/>
          <w:sz w:val="23"/>
          <w:szCs w:val="23"/>
        </w:rPr>
        <w:t>及水果如苋菜、苜蓿、剌梨、沙棘、猕猴桃、酸枣等含量尤其丰富；在动物肝脏</w:t>
      </w:r>
      <w:r>
        <w:rPr>
          <w:rFonts w:ascii="宋体" w:eastAsia="宋体" w:hAnsi="宋体" w:cs="宋体"/>
          <w:spacing w:val="2"/>
          <w:sz w:val="23"/>
          <w:szCs w:val="23"/>
        </w:rPr>
        <w:t xml:space="preserve"> </w:t>
      </w:r>
      <w:r>
        <w:rPr>
          <w:rFonts w:ascii="宋体" w:eastAsia="宋体" w:hAnsi="宋体" w:cs="宋体"/>
          <w:spacing w:val="-19"/>
          <w:sz w:val="23"/>
          <w:szCs w:val="23"/>
        </w:rPr>
        <w:t>中也含有少量维生素C。</w:t>
      </w:r>
    </w:p>
    <w:p w:rsidR="00EA40A3" w:rsidRDefault="00E86C16">
      <w:pPr>
        <w:spacing w:before="214" w:line="222" w:lineRule="auto"/>
        <w:ind w:left="3"/>
        <w:outlineLvl w:val="6"/>
        <w:rPr>
          <w:rFonts w:ascii="黑体" w:eastAsia="黑体" w:hAnsi="黑体" w:cs="黑体"/>
          <w:sz w:val="23"/>
          <w:szCs w:val="23"/>
        </w:rPr>
      </w:pPr>
      <w:r>
        <w:rPr>
          <w:rFonts w:ascii="黑体" w:eastAsia="黑体" w:hAnsi="黑体" w:cs="黑体"/>
          <w:b/>
          <w:bCs/>
          <w:sz w:val="23"/>
          <w:szCs w:val="23"/>
        </w:rPr>
        <w:t>4.2.12</w:t>
      </w:r>
      <w:r>
        <w:rPr>
          <w:rFonts w:ascii="黑体" w:eastAsia="黑体" w:hAnsi="黑体" w:cs="黑体"/>
          <w:spacing w:val="40"/>
          <w:sz w:val="23"/>
          <w:szCs w:val="23"/>
        </w:rPr>
        <w:t xml:space="preserve">  </w:t>
      </w:r>
      <w:r>
        <w:rPr>
          <w:rFonts w:ascii="黑体" w:eastAsia="黑体" w:hAnsi="黑体" w:cs="黑体"/>
          <w:b/>
          <w:bCs/>
          <w:sz w:val="23"/>
          <w:szCs w:val="23"/>
        </w:rPr>
        <w:t>其他维生素</w:t>
      </w:r>
    </w:p>
    <w:p w:rsidR="00EA40A3" w:rsidRDefault="00E86C16">
      <w:pPr>
        <w:spacing w:before="243" w:line="221"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27"/>
          <w:sz w:val="23"/>
          <w:szCs w:val="23"/>
        </w:rPr>
        <w:t xml:space="preserve"> </w:t>
      </w:r>
      <w:r>
        <w:rPr>
          <w:rFonts w:ascii="仿宋" w:eastAsia="仿宋" w:hAnsi="仿宋" w:cs="仿宋"/>
          <w:spacing w:val="-3"/>
          <w:sz w:val="23"/>
          <w:szCs w:val="23"/>
        </w:rPr>
        <w:t>生物素</w:t>
      </w:r>
    </w:p>
    <w:p w:rsidR="00EA40A3" w:rsidRDefault="00E86C16">
      <w:pPr>
        <w:spacing w:before="194" w:line="237" w:lineRule="auto"/>
        <w:ind w:right="65" w:firstLine="419"/>
        <w:jc w:val="both"/>
        <w:rPr>
          <w:rFonts w:ascii="宋体" w:eastAsia="宋体" w:hAnsi="宋体" w:cs="宋体"/>
          <w:sz w:val="23"/>
          <w:szCs w:val="23"/>
        </w:rPr>
      </w:pPr>
      <w:r>
        <w:rPr>
          <w:rFonts w:ascii="宋体" w:eastAsia="宋体" w:hAnsi="宋体" w:cs="宋体"/>
          <w:spacing w:val="-14"/>
          <w:sz w:val="23"/>
          <w:szCs w:val="23"/>
        </w:rPr>
        <w:t>生物素</w:t>
      </w:r>
      <w:r>
        <w:rPr>
          <w:rFonts w:ascii="宋体" w:eastAsia="宋体" w:hAnsi="宋体" w:cs="宋体"/>
          <w:spacing w:val="-16"/>
          <w:sz w:val="23"/>
          <w:szCs w:val="23"/>
        </w:rPr>
        <w:t xml:space="preserve"> </w:t>
      </w:r>
      <w:r>
        <w:rPr>
          <w:rFonts w:ascii="宋体" w:eastAsia="宋体" w:hAnsi="宋体" w:cs="宋体"/>
          <w:spacing w:val="-14"/>
          <w:sz w:val="23"/>
          <w:szCs w:val="23"/>
        </w:rPr>
        <w:t>(biotin)</w:t>
      </w:r>
      <w:r>
        <w:rPr>
          <w:rFonts w:ascii="宋体" w:eastAsia="宋体" w:hAnsi="宋体" w:cs="宋体"/>
          <w:spacing w:val="-59"/>
          <w:sz w:val="23"/>
          <w:szCs w:val="23"/>
        </w:rPr>
        <w:t xml:space="preserve"> </w:t>
      </w:r>
      <w:r>
        <w:rPr>
          <w:rFonts w:ascii="宋体" w:eastAsia="宋体" w:hAnsi="宋体" w:cs="宋体"/>
          <w:spacing w:val="-14"/>
          <w:sz w:val="23"/>
          <w:szCs w:val="23"/>
        </w:rPr>
        <w:t>也称维生素H、</w:t>
      </w:r>
      <w:r>
        <w:rPr>
          <w:rFonts w:ascii="宋体" w:eastAsia="宋体" w:hAnsi="宋体" w:cs="宋体"/>
          <w:spacing w:val="-49"/>
          <w:sz w:val="23"/>
          <w:szCs w:val="23"/>
        </w:rPr>
        <w:t xml:space="preserve"> </w:t>
      </w:r>
      <w:r>
        <w:rPr>
          <w:rFonts w:ascii="宋体" w:eastAsia="宋体" w:hAnsi="宋体" w:cs="宋体"/>
          <w:spacing w:val="-14"/>
          <w:sz w:val="23"/>
          <w:szCs w:val="23"/>
        </w:rPr>
        <w:t>维生素B7、辅酶R,</w:t>
      </w:r>
      <w:r>
        <w:rPr>
          <w:rFonts w:ascii="宋体" w:eastAsia="宋体" w:hAnsi="宋体" w:cs="宋体"/>
          <w:spacing w:val="22"/>
          <w:sz w:val="23"/>
          <w:szCs w:val="23"/>
        </w:rPr>
        <w:t xml:space="preserve"> </w:t>
      </w:r>
      <w:r>
        <w:rPr>
          <w:rFonts w:ascii="宋体" w:eastAsia="宋体" w:hAnsi="宋体" w:cs="宋体"/>
          <w:spacing w:val="-14"/>
          <w:sz w:val="23"/>
          <w:szCs w:val="23"/>
        </w:rPr>
        <w:t>由一</w:t>
      </w:r>
      <w:r>
        <w:rPr>
          <w:rFonts w:ascii="宋体" w:eastAsia="宋体" w:hAnsi="宋体" w:cs="宋体"/>
          <w:spacing w:val="-15"/>
          <w:sz w:val="23"/>
          <w:szCs w:val="23"/>
        </w:rPr>
        <w:t>个脲基环和一个</w:t>
      </w:r>
      <w:r>
        <w:rPr>
          <w:rFonts w:ascii="宋体" w:eastAsia="宋体" w:hAnsi="宋体" w:cs="宋体"/>
          <w:sz w:val="23"/>
          <w:szCs w:val="23"/>
        </w:rPr>
        <w:t xml:space="preserve"> </w:t>
      </w:r>
      <w:r>
        <w:rPr>
          <w:rFonts w:ascii="宋体" w:eastAsia="宋体" w:hAnsi="宋体" w:cs="宋体"/>
          <w:spacing w:val="-11"/>
          <w:sz w:val="23"/>
          <w:szCs w:val="23"/>
        </w:rPr>
        <w:t>带有戊酸侧链的噻吩环组成(图4-16)。现已知有8种异构体，天然存在的仅α</w:t>
      </w:r>
      <w:r>
        <w:rPr>
          <w:rFonts w:ascii="宋体" w:eastAsia="宋体" w:hAnsi="宋体" w:cs="宋体"/>
          <w:spacing w:val="10"/>
          <w:sz w:val="23"/>
          <w:szCs w:val="23"/>
        </w:rPr>
        <w:t xml:space="preserve"> </w:t>
      </w:r>
      <w:r>
        <w:rPr>
          <w:rFonts w:ascii="宋体" w:eastAsia="宋体" w:hAnsi="宋体" w:cs="宋体"/>
          <w:spacing w:val="-22"/>
          <w:sz w:val="23"/>
          <w:szCs w:val="23"/>
        </w:rPr>
        <w:t>生物素，并且有生物活性。生物素为无色、无臭的结晶物，</w:t>
      </w:r>
      <w:r>
        <w:rPr>
          <w:rFonts w:ascii="宋体" w:eastAsia="宋体" w:hAnsi="宋体" w:cs="宋体"/>
          <w:spacing w:val="-23"/>
          <w:sz w:val="23"/>
          <w:szCs w:val="23"/>
        </w:rPr>
        <w:t>极易溶于热水中，在</w:t>
      </w:r>
      <w:r>
        <w:rPr>
          <w:rFonts w:ascii="宋体" w:eastAsia="宋体" w:hAnsi="宋体" w:cs="宋体"/>
          <w:sz w:val="23"/>
          <w:szCs w:val="23"/>
        </w:rPr>
        <w:t xml:space="preserve"> </w:t>
      </w:r>
      <w:r>
        <w:rPr>
          <w:rFonts w:ascii="宋体" w:eastAsia="宋体" w:hAnsi="宋体" w:cs="宋体"/>
          <w:spacing w:val="-22"/>
          <w:sz w:val="23"/>
          <w:szCs w:val="23"/>
        </w:rPr>
        <w:t>冷水中仅有轻度溶解。生物素的干粉形式相当稳定，但在</w:t>
      </w:r>
      <w:r>
        <w:rPr>
          <w:rFonts w:ascii="宋体" w:eastAsia="宋体" w:hAnsi="宋体" w:cs="宋体"/>
          <w:spacing w:val="-23"/>
          <w:sz w:val="23"/>
          <w:szCs w:val="23"/>
        </w:rPr>
        <w:t>溶液中不稳定，可为强</w:t>
      </w:r>
      <w:r>
        <w:rPr>
          <w:rFonts w:ascii="宋体" w:eastAsia="宋体" w:hAnsi="宋体" w:cs="宋体"/>
          <w:sz w:val="23"/>
          <w:szCs w:val="23"/>
        </w:rPr>
        <w:t xml:space="preserve"> </w:t>
      </w:r>
      <w:r>
        <w:rPr>
          <w:rFonts w:ascii="宋体" w:eastAsia="宋体" w:hAnsi="宋体" w:cs="宋体"/>
          <w:spacing w:val="-23"/>
          <w:sz w:val="23"/>
          <w:szCs w:val="23"/>
        </w:rPr>
        <w:t>酸、强碱和氧化剂所破坏，紫外线也可使其逐渐降解破坏。</w:t>
      </w:r>
    </w:p>
    <w:p w:rsidR="00EA40A3" w:rsidRDefault="00E86C16">
      <w:pPr>
        <w:spacing w:before="78" w:line="238" w:lineRule="auto"/>
        <w:ind w:right="88" w:firstLine="419"/>
        <w:jc w:val="both"/>
        <w:rPr>
          <w:rFonts w:ascii="宋体" w:eastAsia="宋体" w:hAnsi="宋体" w:cs="宋体"/>
          <w:sz w:val="23"/>
          <w:szCs w:val="23"/>
        </w:rPr>
      </w:pPr>
      <w:r>
        <w:rPr>
          <w:rFonts w:ascii="宋体" w:eastAsia="宋体" w:hAnsi="宋体" w:cs="宋体"/>
          <w:spacing w:val="-15"/>
          <w:sz w:val="23"/>
          <w:szCs w:val="23"/>
        </w:rPr>
        <w:t>生物素是哺乳动物乙酰CoA</w:t>
      </w:r>
      <w:r>
        <w:rPr>
          <w:rFonts w:ascii="宋体" w:eastAsia="宋体" w:hAnsi="宋体" w:cs="宋体"/>
          <w:spacing w:val="8"/>
          <w:sz w:val="23"/>
          <w:szCs w:val="23"/>
        </w:rPr>
        <w:t xml:space="preserve"> </w:t>
      </w:r>
      <w:r>
        <w:rPr>
          <w:rFonts w:ascii="宋体" w:eastAsia="宋体" w:hAnsi="宋体" w:cs="宋体"/>
          <w:spacing w:val="-15"/>
          <w:sz w:val="23"/>
          <w:szCs w:val="23"/>
        </w:rPr>
        <w:t>羧化酶、丙酮酸羧化酶、丙酰CoA</w:t>
      </w:r>
      <w:r>
        <w:rPr>
          <w:rFonts w:ascii="宋体" w:eastAsia="宋体" w:hAnsi="宋体" w:cs="宋体"/>
          <w:spacing w:val="7"/>
          <w:sz w:val="23"/>
          <w:szCs w:val="23"/>
        </w:rPr>
        <w:t xml:space="preserve"> </w:t>
      </w:r>
      <w:r>
        <w:rPr>
          <w:rFonts w:ascii="宋体" w:eastAsia="宋体" w:hAnsi="宋体" w:cs="宋体"/>
          <w:spacing w:val="-15"/>
          <w:sz w:val="23"/>
          <w:szCs w:val="23"/>
        </w:rPr>
        <w:t>羧化酶和甲</w:t>
      </w:r>
      <w:r>
        <w:rPr>
          <w:rFonts w:ascii="宋体" w:eastAsia="宋体" w:hAnsi="宋体" w:cs="宋体"/>
          <w:sz w:val="23"/>
          <w:szCs w:val="23"/>
        </w:rPr>
        <w:t xml:space="preserve"> </w:t>
      </w:r>
      <w:r>
        <w:rPr>
          <w:rFonts w:ascii="宋体" w:eastAsia="宋体" w:hAnsi="宋体" w:cs="宋体"/>
          <w:spacing w:val="-22"/>
          <w:sz w:val="23"/>
          <w:szCs w:val="23"/>
        </w:rPr>
        <w:t>基巴豆酰羧化酶等羧化酶的必需辅助因子，对于细胞的生</w:t>
      </w:r>
      <w:r>
        <w:rPr>
          <w:rFonts w:ascii="宋体" w:eastAsia="宋体" w:hAnsi="宋体" w:cs="宋体"/>
          <w:spacing w:val="-23"/>
          <w:sz w:val="23"/>
          <w:szCs w:val="23"/>
        </w:rPr>
        <w:t>长，脂类、碳水化合物</w:t>
      </w:r>
    </w:p>
    <w:p w:rsidR="00EA40A3" w:rsidRDefault="00E86C16">
      <w:pPr>
        <w:spacing w:before="83"/>
        <w:ind w:right="112"/>
        <w:jc w:val="right"/>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147</w:t>
      </w:r>
      <w:r>
        <w:rPr>
          <w:rFonts w:ascii="宋体" w:eastAsia="宋体" w:hAnsi="宋体" w:cs="宋体"/>
          <w:spacing w:val="50"/>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115"/>
          <w:pgSz w:w="9220" w:h="13360"/>
          <w:pgMar w:top="400" w:right="954" w:bottom="400" w:left="890" w:header="0" w:footer="0" w:gutter="0"/>
          <w:cols w:space="720"/>
        </w:sectPr>
      </w:pPr>
    </w:p>
    <w:p w:rsidR="00EA40A3" w:rsidRDefault="00EA40A3"/>
    <w:p w:rsidR="00EA40A3" w:rsidRDefault="00EA40A3"/>
    <w:p w:rsidR="00EA40A3" w:rsidRDefault="00EA40A3">
      <w:pPr>
        <w:spacing w:line="145" w:lineRule="exact"/>
      </w:pPr>
    </w:p>
    <w:p w:rsidR="00EA40A3" w:rsidRDefault="00EA40A3">
      <w:pPr>
        <w:sectPr w:rsidR="00EA40A3">
          <w:footerReference w:type="default" r:id="rId116"/>
          <w:pgSz w:w="9220" w:h="13360"/>
          <w:pgMar w:top="400" w:right="1005" w:bottom="1296" w:left="809" w:header="0" w:footer="1075" w:gutter="0"/>
          <w:cols w:space="720" w:equalWidth="0">
            <w:col w:w="7405"/>
          </w:cols>
        </w:sectPr>
      </w:pPr>
    </w:p>
    <w:p w:rsidR="00EA40A3" w:rsidRDefault="00E86C16">
      <w:pPr>
        <w:spacing w:before="131" w:line="820" w:lineRule="exact"/>
        <w:ind w:firstLine="239"/>
        <w:textAlignment w:val="center"/>
      </w:pPr>
      <w:r>
        <w:rPr>
          <w:noProof/>
        </w:rPr>
        <w:drawing>
          <wp:inline distT="0" distB="0" distL="0" distR="0">
            <wp:extent cx="1352550" cy="520065"/>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17"/>
                    <a:stretch>
                      <a:fillRect/>
                    </a:stretch>
                  </pic:blipFill>
                  <pic:spPr>
                    <a:xfrm>
                      <a:off x="0" y="0"/>
                      <a:ext cx="1352552" cy="520638"/>
                    </a:xfrm>
                    <a:prstGeom prst="rect">
                      <a:avLst/>
                    </a:prstGeom>
                  </pic:spPr>
                </pic:pic>
              </a:graphicData>
            </a:graphic>
          </wp:inline>
        </w:drawing>
      </w:r>
    </w:p>
    <w:p w:rsidR="00EA40A3" w:rsidRDefault="00E86C16">
      <w:pPr>
        <w:spacing w:before="208" w:line="219" w:lineRule="auto"/>
        <w:ind w:left="439"/>
        <w:rPr>
          <w:rFonts w:ascii="宋体" w:eastAsia="宋体" w:hAnsi="宋体" w:cs="宋体"/>
        </w:rPr>
      </w:pPr>
      <w:r>
        <w:rPr>
          <w:rFonts w:ascii="宋体" w:eastAsia="宋体" w:hAnsi="宋体" w:cs="宋体"/>
          <w:spacing w:val="-21"/>
        </w:rPr>
        <w:t>图4-16</w:t>
      </w:r>
      <w:r>
        <w:rPr>
          <w:rFonts w:ascii="宋体" w:eastAsia="宋体" w:hAnsi="宋体" w:cs="宋体"/>
          <w:spacing w:val="55"/>
        </w:rPr>
        <w:t xml:space="preserve"> </w:t>
      </w:r>
      <w:r>
        <w:rPr>
          <w:rFonts w:ascii="宋体" w:eastAsia="宋体" w:hAnsi="宋体" w:cs="宋体"/>
          <w:spacing w:val="-21"/>
        </w:rPr>
        <w:t>生物素的结构</w:t>
      </w:r>
    </w:p>
    <w:p w:rsidR="00EA40A3" w:rsidRDefault="00E86C16">
      <w:pPr>
        <w:spacing w:line="14" w:lineRule="auto"/>
        <w:rPr>
          <w:sz w:val="2"/>
        </w:rPr>
      </w:pPr>
      <w:r>
        <w:rPr>
          <w:sz w:val="2"/>
          <w:szCs w:val="2"/>
        </w:rPr>
        <w:br w:type="column"/>
      </w:r>
    </w:p>
    <w:p w:rsidR="00EA40A3" w:rsidRDefault="00E86C16">
      <w:pPr>
        <w:spacing w:line="266" w:lineRule="auto"/>
        <w:jc w:val="both"/>
        <w:rPr>
          <w:rFonts w:ascii="宋体" w:eastAsia="宋体" w:hAnsi="宋体" w:cs="宋体"/>
          <w:sz w:val="20"/>
          <w:szCs w:val="20"/>
        </w:rPr>
      </w:pPr>
      <w:r>
        <w:rPr>
          <w:rFonts w:ascii="宋体" w:eastAsia="宋体" w:hAnsi="宋体" w:cs="宋体"/>
          <w:spacing w:val="6"/>
          <w:sz w:val="20"/>
          <w:szCs w:val="20"/>
        </w:rPr>
        <w:t>和氨基酸代谢，</w:t>
      </w:r>
      <w:r>
        <w:rPr>
          <w:rFonts w:ascii="宋体" w:eastAsia="宋体" w:hAnsi="宋体" w:cs="宋体"/>
          <w:spacing w:val="-21"/>
          <w:sz w:val="20"/>
          <w:szCs w:val="20"/>
        </w:rPr>
        <w:t xml:space="preserve"> </w:t>
      </w:r>
      <w:r>
        <w:rPr>
          <w:rFonts w:ascii="宋体" w:eastAsia="宋体" w:hAnsi="宋体" w:cs="宋体"/>
          <w:sz w:val="20"/>
          <w:szCs w:val="20"/>
        </w:rPr>
        <w:t>DNA</w:t>
      </w:r>
      <w:r>
        <w:rPr>
          <w:rFonts w:ascii="宋体" w:eastAsia="宋体" w:hAnsi="宋体" w:cs="宋体"/>
          <w:spacing w:val="9"/>
          <w:sz w:val="20"/>
          <w:szCs w:val="20"/>
        </w:rPr>
        <w:t xml:space="preserve">  </w:t>
      </w:r>
      <w:r>
        <w:rPr>
          <w:rFonts w:ascii="宋体" w:eastAsia="宋体" w:hAnsi="宋体" w:cs="宋体"/>
          <w:spacing w:val="6"/>
          <w:sz w:val="20"/>
          <w:szCs w:val="20"/>
        </w:rPr>
        <w:t>的生物合成和唾液酸糖蛋白受</w:t>
      </w:r>
      <w:r>
        <w:rPr>
          <w:rFonts w:ascii="宋体" w:eastAsia="宋体" w:hAnsi="宋体" w:cs="宋体"/>
          <w:sz w:val="20"/>
          <w:szCs w:val="20"/>
        </w:rPr>
        <w:t xml:space="preserve">  </w:t>
      </w:r>
      <w:r>
        <w:rPr>
          <w:rFonts w:ascii="宋体" w:eastAsia="宋体" w:hAnsi="宋体" w:cs="宋体"/>
          <w:spacing w:val="18"/>
          <w:sz w:val="20"/>
          <w:szCs w:val="20"/>
        </w:rPr>
        <w:t>体的表达以及各种免疫细胞正常功能起重要作用。</w:t>
      </w:r>
      <w:r>
        <w:rPr>
          <w:rFonts w:ascii="宋体" w:eastAsia="宋体" w:hAnsi="宋体" w:cs="宋体"/>
          <w:spacing w:val="12"/>
          <w:sz w:val="20"/>
          <w:szCs w:val="20"/>
        </w:rPr>
        <w:t xml:space="preserve"> </w:t>
      </w:r>
      <w:r>
        <w:rPr>
          <w:rFonts w:ascii="宋体" w:eastAsia="宋体" w:hAnsi="宋体" w:cs="宋体"/>
          <w:spacing w:val="4"/>
          <w:sz w:val="20"/>
          <w:szCs w:val="20"/>
        </w:rPr>
        <w:t>药理剂量可降低胰岛素依赖型糖尿病人的血糖水平。</w:t>
      </w:r>
    </w:p>
    <w:p w:rsidR="00EA40A3" w:rsidRDefault="00E86C16">
      <w:pPr>
        <w:spacing w:before="44" w:line="228" w:lineRule="auto"/>
        <w:ind w:right="29" w:firstLine="430"/>
        <w:rPr>
          <w:rFonts w:ascii="宋体" w:eastAsia="宋体" w:hAnsi="宋体" w:cs="宋体"/>
        </w:rPr>
      </w:pPr>
      <w:r>
        <w:rPr>
          <w:rFonts w:ascii="宋体" w:eastAsia="宋体" w:hAnsi="宋体" w:cs="宋体"/>
          <w:spacing w:val="7"/>
        </w:rPr>
        <w:t>生物素缺乏者主要见于长期摄入生鸡蛋的人、</w:t>
      </w:r>
      <w:r>
        <w:rPr>
          <w:rFonts w:ascii="宋体" w:eastAsia="宋体" w:hAnsi="宋体" w:cs="宋体"/>
          <w:spacing w:val="14"/>
        </w:rPr>
        <w:t xml:space="preserve"> </w:t>
      </w:r>
      <w:r>
        <w:rPr>
          <w:rFonts w:ascii="宋体" w:eastAsia="宋体" w:hAnsi="宋体" w:cs="宋体"/>
          <w:spacing w:val="4"/>
        </w:rPr>
        <w:t>未补充生物素的肠外营养的患者、胃肠道吸收障碍</w:t>
      </w:r>
    </w:p>
    <w:p w:rsidR="00EA40A3" w:rsidRDefault="00EA40A3">
      <w:pPr>
        <w:sectPr w:rsidR="00EA40A3">
          <w:type w:val="continuous"/>
          <w:pgSz w:w="9220" w:h="13360"/>
          <w:pgMar w:top="400" w:right="1005" w:bottom="1296" w:left="809" w:header="0" w:footer="1075" w:gutter="0"/>
          <w:cols w:num="2" w:space="720" w:equalWidth="0">
            <w:col w:w="2490" w:space="100"/>
            <w:col w:w="4815"/>
          </w:cols>
        </w:sectPr>
      </w:pPr>
    </w:p>
    <w:p w:rsidR="00EA40A3" w:rsidRDefault="00E86C16">
      <w:pPr>
        <w:spacing w:before="102" w:line="256" w:lineRule="auto"/>
        <w:ind w:right="126"/>
        <w:jc w:val="both"/>
        <w:rPr>
          <w:rFonts w:ascii="宋体" w:eastAsia="宋体" w:hAnsi="宋体" w:cs="宋体"/>
        </w:rPr>
      </w:pPr>
      <w:r>
        <w:rPr>
          <w:rFonts w:ascii="宋体" w:eastAsia="宋体" w:hAnsi="宋体" w:cs="宋体"/>
          <w:spacing w:val="-2"/>
        </w:rPr>
        <w:t>和某些拮抗物诱导的缺乏者以及先天性生物素酶缺乏者。临床症状主要有红</w:t>
      </w:r>
      <w:r>
        <w:rPr>
          <w:rFonts w:ascii="宋体" w:eastAsia="宋体" w:hAnsi="宋体" w:cs="宋体"/>
          <w:spacing w:val="-3"/>
        </w:rPr>
        <w:t>斑性</w:t>
      </w:r>
      <w:r>
        <w:rPr>
          <w:rFonts w:ascii="宋体" w:eastAsia="宋体" w:hAnsi="宋体" w:cs="宋体"/>
        </w:rPr>
        <w:t xml:space="preserve"> </w:t>
      </w:r>
      <w:r>
        <w:rPr>
          <w:rFonts w:ascii="宋体" w:eastAsia="宋体" w:hAnsi="宋体" w:cs="宋体"/>
          <w:spacing w:val="-3"/>
        </w:rPr>
        <w:t>皮疹、鳞状脱皮、脱毛等；大多数成年患者有抑郁、嗜睡、幻觉和极端的感觉异</w:t>
      </w:r>
      <w:r>
        <w:rPr>
          <w:rFonts w:ascii="宋体" w:eastAsia="宋体" w:hAnsi="宋体" w:cs="宋体"/>
          <w:spacing w:val="16"/>
        </w:rPr>
        <w:t xml:space="preserve"> </w:t>
      </w:r>
      <w:r>
        <w:rPr>
          <w:rFonts w:ascii="宋体" w:eastAsia="宋体" w:hAnsi="宋体" w:cs="宋体"/>
          <w:spacing w:val="3"/>
        </w:rPr>
        <w:t>常等精神症状；婴幼儿生物素缺乏还可表现为生长发育迟缓。生物素的毒性很</w:t>
      </w:r>
      <w:r>
        <w:rPr>
          <w:rFonts w:ascii="宋体" w:eastAsia="宋体" w:hAnsi="宋体" w:cs="宋体"/>
          <w:spacing w:val="17"/>
        </w:rPr>
        <w:t xml:space="preserve"> </w:t>
      </w:r>
      <w:r>
        <w:rPr>
          <w:rFonts w:ascii="宋体" w:eastAsia="宋体" w:hAnsi="宋体" w:cs="宋体"/>
          <w:spacing w:val="-6"/>
        </w:rPr>
        <w:t>低，至今未见生物素毒性反应报告。</w:t>
      </w:r>
    </w:p>
    <w:p w:rsidR="00EA40A3" w:rsidRDefault="00E86C16">
      <w:pPr>
        <w:spacing w:before="65" w:line="256" w:lineRule="auto"/>
        <w:ind w:right="49" w:firstLine="439"/>
        <w:jc w:val="both"/>
        <w:rPr>
          <w:rFonts w:ascii="宋体" w:eastAsia="宋体" w:hAnsi="宋体" w:cs="宋体"/>
        </w:rPr>
      </w:pPr>
      <w:r>
        <w:rPr>
          <w:rFonts w:ascii="宋体" w:eastAsia="宋体" w:hAnsi="宋体" w:cs="宋体"/>
          <w:spacing w:val="-1"/>
        </w:rPr>
        <w:t>生物素以游离形式或与蛋白质结合的形式广泛分布于动植物食物中。干酪、</w:t>
      </w:r>
      <w:r>
        <w:rPr>
          <w:rFonts w:ascii="宋体" w:eastAsia="宋体" w:hAnsi="宋体" w:cs="宋体"/>
          <w:spacing w:val="17"/>
        </w:rPr>
        <w:t xml:space="preserve"> </w:t>
      </w:r>
      <w:r>
        <w:rPr>
          <w:rFonts w:ascii="宋体" w:eastAsia="宋体" w:hAnsi="宋体" w:cs="宋体"/>
          <w:spacing w:val="-3"/>
        </w:rPr>
        <w:t>肝、肾、大豆中含量最为丰富，其次为蛋类、菜花、菠菜、全麦粉等，在精制谷</w:t>
      </w:r>
      <w:r>
        <w:rPr>
          <w:rFonts w:ascii="宋体" w:eastAsia="宋体" w:hAnsi="宋体" w:cs="宋体"/>
          <w:spacing w:val="7"/>
        </w:rPr>
        <w:t xml:space="preserve">  </w:t>
      </w:r>
      <w:r>
        <w:rPr>
          <w:rFonts w:ascii="宋体" w:eastAsia="宋体" w:hAnsi="宋体" w:cs="宋体"/>
          <w:spacing w:val="3"/>
        </w:rPr>
        <w:t>类、多数水果中含量较少。我国成人生物素的</w:t>
      </w:r>
      <w:r>
        <w:rPr>
          <w:rFonts w:ascii="宋体" w:eastAsia="宋体" w:hAnsi="宋体" w:cs="宋体"/>
          <w:spacing w:val="-62"/>
        </w:rPr>
        <w:t xml:space="preserve"> </w:t>
      </w:r>
      <w:r>
        <w:rPr>
          <w:rFonts w:ascii="宋体" w:eastAsia="宋体" w:hAnsi="宋体" w:cs="宋体"/>
        </w:rPr>
        <w:t>AI</w:t>
      </w:r>
      <w:r>
        <w:rPr>
          <w:rFonts w:ascii="宋体" w:eastAsia="宋体" w:hAnsi="宋体" w:cs="宋体"/>
          <w:spacing w:val="-14"/>
        </w:rPr>
        <w:t xml:space="preserve"> </w:t>
      </w:r>
      <w:r>
        <w:rPr>
          <w:rFonts w:ascii="宋体" w:eastAsia="宋体" w:hAnsi="宋体" w:cs="宋体"/>
          <w:spacing w:val="3"/>
        </w:rPr>
        <w:t>为30μg</w:t>
      </w:r>
      <w:r>
        <w:rPr>
          <w:rFonts w:ascii="宋体" w:eastAsia="宋体" w:hAnsi="宋体" w:cs="宋体"/>
          <w:spacing w:val="2"/>
        </w:rPr>
        <w:t>/d,</w:t>
      </w:r>
      <w:r>
        <w:rPr>
          <w:rFonts w:ascii="宋体" w:eastAsia="宋体" w:hAnsi="宋体" w:cs="宋体"/>
          <w:spacing w:val="7"/>
        </w:rPr>
        <w:t xml:space="preserve"> </w:t>
      </w:r>
      <w:r>
        <w:rPr>
          <w:rFonts w:ascii="宋体" w:eastAsia="宋体" w:hAnsi="宋体" w:cs="宋体"/>
          <w:spacing w:val="2"/>
        </w:rPr>
        <w:t>孕妇为30μg/d,</w:t>
      </w:r>
      <w:r>
        <w:rPr>
          <w:rFonts w:ascii="宋体" w:eastAsia="宋体" w:hAnsi="宋体" w:cs="宋体"/>
        </w:rPr>
        <w:t xml:space="preserve"> </w:t>
      </w:r>
      <w:r>
        <w:rPr>
          <w:rFonts w:ascii="宋体" w:eastAsia="宋体" w:hAnsi="宋体" w:cs="宋体"/>
          <w:spacing w:val="-6"/>
        </w:rPr>
        <w:t>乳母为35μg/d;</w:t>
      </w:r>
      <w:r>
        <w:rPr>
          <w:rFonts w:ascii="宋体" w:eastAsia="宋体" w:hAnsi="宋体" w:cs="宋体"/>
          <w:spacing w:val="14"/>
        </w:rPr>
        <w:t xml:space="preserve"> </w:t>
      </w:r>
      <w:r>
        <w:rPr>
          <w:rFonts w:ascii="宋体" w:eastAsia="宋体" w:hAnsi="宋体" w:cs="宋体"/>
          <w:spacing w:val="-6"/>
        </w:rPr>
        <w:t>暂未制定</w:t>
      </w:r>
      <w:r>
        <w:rPr>
          <w:rFonts w:ascii="宋体" w:eastAsia="宋体" w:hAnsi="宋体" w:cs="宋体"/>
          <w:spacing w:val="-60"/>
        </w:rPr>
        <w:t xml:space="preserve"> </w:t>
      </w:r>
      <w:r>
        <w:rPr>
          <w:rFonts w:ascii="宋体" w:eastAsia="宋体" w:hAnsi="宋体" w:cs="宋体"/>
          <w:spacing w:val="-6"/>
        </w:rPr>
        <w:t>UL。</w:t>
      </w:r>
    </w:p>
    <w:p w:rsidR="00EA40A3" w:rsidRDefault="00E86C16">
      <w:pPr>
        <w:spacing w:before="167" w:line="224" w:lineRule="auto"/>
        <w:rPr>
          <w:rFonts w:ascii="仿宋" w:eastAsia="仿宋" w:hAnsi="仿宋" w:cs="仿宋"/>
          <w:sz w:val="26"/>
          <w:szCs w:val="26"/>
        </w:rPr>
      </w:pPr>
      <w:r>
        <w:rPr>
          <w:rFonts w:ascii="仿宋" w:eastAsia="仿宋" w:hAnsi="仿宋" w:cs="仿宋"/>
          <w:spacing w:val="3"/>
          <w:sz w:val="26"/>
          <w:szCs w:val="26"/>
        </w:rPr>
        <w:t>2.胆碱</w:t>
      </w:r>
    </w:p>
    <w:p w:rsidR="00EA40A3" w:rsidRDefault="00E86C16">
      <w:pPr>
        <w:spacing w:before="178" w:line="255" w:lineRule="auto"/>
        <w:ind w:right="125" w:firstLine="439"/>
        <w:jc w:val="both"/>
        <w:rPr>
          <w:rFonts w:ascii="宋体" w:eastAsia="宋体" w:hAnsi="宋体" w:cs="宋体"/>
        </w:rPr>
      </w:pPr>
      <w:r>
        <w:rPr>
          <w:rFonts w:ascii="宋体" w:eastAsia="宋体" w:hAnsi="宋体" w:cs="宋体"/>
          <w:spacing w:val="2"/>
        </w:rPr>
        <w:t>胆碱</w:t>
      </w:r>
      <w:r>
        <w:rPr>
          <w:rFonts w:ascii="宋体" w:eastAsia="宋体" w:hAnsi="宋体" w:cs="宋体"/>
          <w:spacing w:val="-7"/>
        </w:rPr>
        <w:t xml:space="preserve"> </w:t>
      </w:r>
      <w:r>
        <w:rPr>
          <w:rFonts w:ascii="宋体" w:eastAsia="宋体" w:hAnsi="宋体" w:cs="宋体"/>
          <w:spacing w:val="2"/>
        </w:rPr>
        <w:t>(</w:t>
      </w:r>
      <w:r>
        <w:rPr>
          <w:rFonts w:ascii="宋体" w:eastAsia="宋体" w:hAnsi="宋体" w:cs="宋体"/>
        </w:rPr>
        <w:t>choline</w:t>
      </w:r>
      <w:r>
        <w:rPr>
          <w:rFonts w:ascii="宋体" w:eastAsia="宋体" w:hAnsi="宋体" w:cs="宋体"/>
          <w:spacing w:val="2"/>
        </w:rPr>
        <w:t>)</w:t>
      </w:r>
      <w:r>
        <w:rPr>
          <w:rFonts w:ascii="宋体" w:eastAsia="宋体" w:hAnsi="宋体" w:cs="宋体"/>
          <w:spacing w:val="-40"/>
        </w:rPr>
        <w:t xml:space="preserve"> </w:t>
      </w:r>
      <w:r>
        <w:rPr>
          <w:rFonts w:ascii="宋体" w:eastAsia="宋体" w:hAnsi="宋体" w:cs="宋体"/>
          <w:spacing w:val="2"/>
        </w:rPr>
        <w:t>(图4-17)为β羟乙基三甲氨的氢氧化物，同时又</w:t>
      </w:r>
      <w:r>
        <w:rPr>
          <w:rFonts w:ascii="宋体" w:eastAsia="宋体" w:hAnsi="宋体" w:cs="宋体"/>
          <w:spacing w:val="1"/>
        </w:rPr>
        <w:t>是乙酸胆</w:t>
      </w:r>
      <w:r>
        <w:rPr>
          <w:rFonts w:ascii="宋体" w:eastAsia="宋体" w:hAnsi="宋体" w:cs="宋体"/>
        </w:rPr>
        <w:t xml:space="preserve"> </w:t>
      </w:r>
      <w:r>
        <w:rPr>
          <w:rFonts w:ascii="宋体" w:eastAsia="宋体" w:hAnsi="宋体" w:cs="宋体"/>
          <w:spacing w:val="-3"/>
        </w:rPr>
        <w:t>碱的前体。在人体内，胆碱是卵磷脂和神经鞘磷脂的组成成分，前者在肝的脂肪</w:t>
      </w:r>
      <w:r>
        <w:rPr>
          <w:rFonts w:ascii="宋体" w:eastAsia="宋体" w:hAnsi="宋体" w:cs="宋体"/>
          <w:spacing w:val="14"/>
        </w:rPr>
        <w:t xml:space="preserve"> </w:t>
      </w:r>
      <w:r>
        <w:rPr>
          <w:rFonts w:ascii="宋体" w:eastAsia="宋体" w:hAnsi="宋体" w:cs="宋体"/>
          <w:spacing w:val="-3"/>
        </w:rPr>
        <w:t>代谢中起重要作用，可促进脂肪以卵磷脂的形式被输送或提高脂肪</w:t>
      </w:r>
      <w:r>
        <w:rPr>
          <w:rFonts w:ascii="宋体" w:eastAsia="宋体" w:hAnsi="宋体" w:cs="宋体"/>
          <w:spacing w:val="-4"/>
        </w:rPr>
        <w:t>酸本身在肝里</w:t>
      </w:r>
      <w:r>
        <w:rPr>
          <w:rFonts w:ascii="宋体" w:eastAsia="宋体" w:hAnsi="宋体" w:cs="宋体"/>
        </w:rPr>
        <w:t xml:space="preserve"> </w:t>
      </w:r>
      <w:r>
        <w:rPr>
          <w:rFonts w:ascii="宋体" w:eastAsia="宋体" w:hAnsi="宋体" w:cs="宋体"/>
          <w:spacing w:val="-3"/>
        </w:rPr>
        <w:t>的利用，防止脂肪在肝里的异常堆积，故可防止脂肪肝；后者则存在于大脑和神</w:t>
      </w:r>
      <w:r>
        <w:rPr>
          <w:rFonts w:ascii="宋体" w:eastAsia="宋体" w:hAnsi="宋体" w:cs="宋体"/>
        </w:rPr>
        <w:t xml:space="preserve"> </w:t>
      </w:r>
      <w:r>
        <w:rPr>
          <w:rFonts w:ascii="宋体" w:eastAsia="宋体" w:hAnsi="宋体" w:cs="宋体"/>
          <w:spacing w:val="-2"/>
        </w:rPr>
        <w:t>经组织中，在神经传递方面起作用，故可促进脑发育并</w:t>
      </w:r>
      <w:r>
        <w:rPr>
          <w:rFonts w:ascii="宋体" w:eastAsia="宋体" w:hAnsi="宋体" w:cs="宋体"/>
          <w:spacing w:val="-3"/>
        </w:rPr>
        <w:t>能提高记忆力。胆碱可调</w:t>
      </w:r>
    </w:p>
    <w:p w:rsidR="00EA40A3" w:rsidRDefault="00EA40A3">
      <w:pPr>
        <w:spacing w:line="51" w:lineRule="exact"/>
      </w:pPr>
    </w:p>
    <w:p w:rsidR="00EA40A3" w:rsidRDefault="00EA40A3">
      <w:pPr>
        <w:sectPr w:rsidR="00EA40A3">
          <w:type w:val="continuous"/>
          <w:pgSz w:w="9220" w:h="13360"/>
          <w:pgMar w:top="400" w:right="1005" w:bottom="1296" w:left="809" w:header="0" w:footer="1075" w:gutter="0"/>
          <w:cols w:space="720" w:equalWidth="0">
            <w:col w:w="7405"/>
          </w:cols>
        </w:sectPr>
      </w:pPr>
    </w:p>
    <w:p w:rsidR="00EA40A3" w:rsidRDefault="00E86C16">
      <w:pPr>
        <w:spacing w:before="1" w:line="218" w:lineRule="auto"/>
        <w:rPr>
          <w:rFonts w:ascii="宋体" w:eastAsia="宋体" w:hAnsi="宋体" w:cs="宋体"/>
        </w:rPr>
      </w:pPr>
      <w:r>
        <w:rPr>
          <w:rFonts w:ascii="宋体" w:eastAsia="宋体" w:hAnsi="宋体" w:cs="宋体"/>
          <w:spacing w:val="-4"/>
        </w:rPr>
        <w:t>控细胞凋亡，抑制癌细胞增殖，还可促进体内甲基代谢</w:t>
      </w:r>
      <w:r>
        <w:rPr>
          <w:rFonts w:ascii="宋体" w:eastAsia="宋体" w:hAnsi="宋体" w:cs="宋体"/>
          <w:spacing w:val="-5"/>
        </w:rPr>
        <w:t>。</w:t>
      </w:r>
    </w:p>
    <w:p w:rsidR="00EA40A3" w:rsidRDefault="00E86C16">
      <w:pPr>
        <w:spacing w:before="91" w:line="248" w:lineRule="auto"/>
        <w:ind w:right="174" w:firstLine="439"/>
        <w:jc w:val="both"/>
        <w:rPr>
          <w:rFonts w:ascii="宋体" w:eastAsia="宋体" w:hAnsi="宋体" w:cs="宋体"/>
        </w:rPr>
      </w:pPr>
      <w:r>
        <w:rPr>
          <w:rFonts w:ascii="宋体" w:eastAsia="宋体" w:hAnsi="宋体" w:cs="宋体"/>
          <w:spacing w:val="2"/>
        </w:rPr>
        <w:t>由于机体能够合成相当数量的胆碱，故在人体没观</w:t>
      </w:r>
      <w:r>
        <w:rPr>
          <w:rFonts w:ascii="宋体" w:eastAsia="宋体" w:hAnsi="宋体" w:cs="宋体"/>
          <w:spacing w:val="5"/>
        </w:rPr>
        <w:t xml:space="preserve"> </w:t>
      </w:r>
      <w:r>
        <w:rPr>
          <w:rFonts w:ascii="宋体" w:eastAsia="宋体" w:hAnsi="宋体" w:cs="宋体"/>
          <w:spacing w:val="1"/>
        </w:rPr>
        <w:t>察到胆碱的特异性缺乏症状。长期摄入缺乏胆碱膳食主</w:t>
      </w:r>
      <w:r>
        <w:rPr>
          <w:rFonts w:ascii="宋体" w:eastAsia="宋体" w:hAnsi="宋体" w:cs="宋体"/>
          <w:spacing w:val="6"/>
        </w:rPr>
        <w:t xml:space="preserve"> </w:t>
      </w:r>
      <w:r>
        <w:rPr>
          <w:rFonts w:ascii="宋体" w:eastAsia="宋体" w:hAnsi="宋体" w:cs="宋体"/>
          <w:spacing w:val="-4"/>
        </w:rPr>
        <w:t>要结果包括肝、肾、胰腺病变、记忆力紊乱和</w:t>
      </w:r>
      <w:r>
        <w:rPr>
          <w:rFonts w:ascii="宋体" w:eastAsia="宋体" w:hAnsi="宋体" w:cs="宋体"/>
          <w:spacing w:val="-5"/>
        </w:rPr>
        <w:t>生长障碍。</w:t>
      </w:r>
      <w:r>
        <w:rPr>
          <w:rFonts w:ascii="宋体" w:eastAsia="宋体" w:hAnsi="宋体" w:cs="宋体"/>
        </w:rPr>
        <w:t xml:space="preserve"> </w:t>
      </w:r>
      <w:r>
        <w:rPr>
          <w:rFonts w:ascii="宋体" w:eastAsia="宋体" w:hAnsi="宋体" w:cs="宋体"/>
          <w:spacing w:val="1"/>
        </w:rPr>
        <w:t>对于哺乳动物，胆碱缺乏的一般症状是生长不良、脂肪</w:t>
      </w:r>
      <w:r>
        <w:rPr>
          <w:rFonts w:ascii="宋体" w:eastAsia="宋体" w:hAnsi="宋体" w:cs="宋体"/>
          <w:spacing w:val="5"/>
        </w:rPr>
        <w:t xml:space="preserve"> </w:t>
      </w:r>
      <w:r>
        <w:rPr>
          <w:rFonts w:ascii="宋体" w:eastAsia="宋体" w:hAnsi="宋体" w:cs="宋体"/>
          <w:spacing w:val="-8"/>
        </w:rPr>
        <w:t>肝和出血性肾损失。</w:t>
      </w:r>
    </w:p>
    <w:p w:rsidR="00EA40A3" w:rsidRDefault="00E86C16">
      <w:pPr>
        <w:spacing w:line="14" w:lineRule="auto"/>
        <w:rPr>
          <w:sz w:val="2"/>
        </w:rPr>
      </w:pPr>
      <w:r>
        <w:rPr>
          <w:sz w:val="2"/>
          <w:szCs w:val="2"/>
        </w:rPr>
        <w:br w:type="column"/>
      </w:r>
    </w:p>
    <w:p w:rsidR="00EA40A3" w:rsidRDefault="00EA40A3">
      <w:pPr>
        <w:spacing w:line="418" w:lineRule="auto"/>
      </w:pPr>
    </w:p>
    <w:p w:rsidR="00EA40A3" w:rsidRDefault="00E86C16">
      <w:pPr>
        <w:spacing w:before="1" w:line="510" w:lineRule="exact"/>
        <w:ind w:firstLine="110"/>
        <w:textAlignment w:val="center"/>
      </w:pPr>
      <w:r>
        <w:rPr>
          <w:noProof/>
        </w:rPr>
        <w:drawing>
          <wp:inline distT="0" distB="0" distL="0" distR="0">
            <wp:extent cx="875665" cy="323215"/>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18"/>
                    <a:stretch>
                      <a:fillRect/>
                    </a:stretch>
                  </pic:blipFill>
                  <pic:spPr>
                    <a:xfrm>
                      <a:off x="0" y="0"/>
                      <a:ext cx="876272" cy="323819"/>
                    </a:xfrm>
                    <a:prstGeom prst="rect">
                      <a:avLst/>
                    </a:prstGeom>
                  </pic:spPr>
                </pic:pic>
              </a:graphicData>
            </a:graphic>
          </wp:inline>
        </w:drawing>
      </w:r>
    </w:p>
    <w:p w:rsidR="00EA40A3" w:rsidRDefault="00E86C16">
      <w:pPr>
        <w:spacing w:before="217" w:line="220" w:lineRule="auto"/>
        <w:rPr>
          <w:rFonts w:ascii="宋体" w:eastAsia="宋体" w:hAnsi="宋体" w:cs="宋体"/>
          <w:sz w:val="17"/>
          <w:szCs w:val="17"/>
        </w:rPr>
      </w:pPr>
      <w:r>
        <w:rPr>
          <w:rFonts w:ascii="宋体" w:eastAsia="宋体" w:hAnsi="宋体" w:cs="宋体"/>
          <w:spacing w:val="9"/>
          <w:sz w:val="17"/>
          <w:szCs w:val="17"/>
        </w:rPr>
        <w:t>图4-17</w:t>
      </w:r>
      <w:r>
        <w:rPr>
          <w:rFonts w:ascii="宋体" w:eastAsia="宋体" w:hAnsi="宋体" w:cs="宋体"/>
          <w:spacing w:val="75"/>
          <w:sz w:val="17"/>
          <w:szCs w:val="17"/>
        </w:rPr>
        <w:t xml:space="preserve"> </w:t>
      </w:r>
      <w:r>
        <w:rPr>
          <w:rFonts w:ascii="宋体" w:eastAsia="宋体" w:hAnsi="宋体" w:cs="宋体"/>
          <w:spacing w:val="9"/>
          <w:sz w:val="17"/>
          <w:szCs w:val="17"/>
        </w:rPr>
        <w:t>胆碱的结构</w:t>
      </w:r>
    </w:p>
    <w:p w:rsidR="00EA40A3" w:rsidRDefault="00EA40A3">
      <w:pPr>
        <w:sectPr w:rsidR="00EA40A3">
          <w:type w:val="continuous"/>
          <w:pgSz w:w="9220" w:h="13360"/>
          <w:pgMar w:top="400" w:right="1005" w:bottom="1296" w:left="809" w:header="0" w:footer="1075" w:gutter="0"/>
          <w:cols w:num="2" w:space="720" w:equalWidth="0">
            <w:col w:w="5320" w:space="100"/>
            <w:col w:w="1985"/>
          </w:cols>
        </w:sectPr>
      </w:pPr>
    </w:p>
    <w:p w:rsidR="00EA40A3" w:rsidRDefault="00E86C16">
      <w:pPr>
        <w:spacing w:before="110" w:line="255" w:lineRule="auto"/>
        <w:ind w:right="49" w:firstLine="420"/>
        <w:rPr>
          <w:rFonts w:ascii="宋体" w:eastAsia="宋体" w:hAnsi="宋体" w:cs="宋体"/>
        </w:rPr>
      </w:pPr>
      <w:r>
        <w:rPr>
          <w:rFonts w:ascii="宋体" w:eastAsia="宋体" w:hAnsi="宋体" w:cs="宋体"/>
          <w:spacing w:val="-3"/>
        </w:rPr>
        <w:t>迄今为止，未发现正常剂量的氯化胆碱、巴比妥胆碱、双氢柠檬酸胆碱以及</w:t>
      </w:r>
      <w:r>
        <w:rPr>
          <w:rFonts w:ascii="宋体" w:eastAsia="宋体" w:hAnsi="宋体" w:cs="宋体"/>
          <w:spacing w:val="4"/>
        </w:rPr>
        <w:t xml:space="preserve">  </w:t>
      </w:r>
      <w:r>
        <w:rPr>
          <w:rFonts w:ascii="宋体" w:eastAsia="宋体" w:hAnsi="宋体" w:cs="宋体"/>
          <w:spacing w:val="1"/>
        </w:rPr>
        <w:t>卵磷脂具有潜在毒性。仅在用氯化胆碱治疗时，每日用量超过20g</w:t>
      </w:r>
      <w:r>
        <w:rPr>
          <w:rFonts w:ascii="宋体" w:eastAsia="宋体" w:hAnsi="宋体" w:cs="宋体"/>
          <w:spacing w:val="-32"/>
        </w:rPr>
        <w:t xml:space="preserve"> </w:t>
      </w:r>
      <w:r>
        <w:rPr>
          <w:rFonts w:ascii="宋体" w:eastAsia="宋体" w:hAnsi="宋体" w:cs="宋体"/>
          <w:spacing w:val="1"/>
        </w:rPr>
        <w:t>并维持数周，</w:t>
      </w:r>
      <w:r>
        <w:rPr>
          <w:rFonts w:ascii="宋体" w:eastAsia="宋体" w:hAnsi="宋体" w:cs="宋体"/>
        </w:rPr>
        <w:t xml:space="preserve"> </w:t>
      </w:r>
      <w:r>
        <w:rPr>
          <w:rFonts w:ascii="宋体" w:eastAsia="宋体" w:hAnsi="宋体" w:cs="宋体"/>
          <w:spacing w:val="-7"/>
        </w:rPr>
        <w:t>可出现头昏、恶心和腹泻等症状。</w:t>
      </w:r>
    </w:p>
    <w:p w:rsidR="00EA40A3" w:rsidRDefault="00E86C16">
      <w:pPr>
        <w:spacing w:before="53" w:line="214" w:lineRule="auto"/>
        <w:ind w:left="420"/>
        <w:rPr>
          <w:rFonts w:ascii="宋体" w:eastAsia="宋体" w:hAnsi="宋体" w:cs="宋体"/>
        </w:rPr>
      </w:pPr>
      <w:r>
        <w:rPr>
          <w:rFonts w:ascii="宋体" w:eastAsia="宋体" w:hAnsi="宋体" w:cs="宋体"/>
          <w:spacing w:val="11"/>
        </w:rPr>
        <w:t>我国成人(包括孕妇和乳母)胆碱的</w:t>
      </w:r>
      <w:r>
        <w:rPr>
          <w:rFonts w:ascii="宋体" w:eastAsia="宋体" w:hAnsi="宋体" w:cs="宋体"/>
        </w:rPr>
        <w:t>AI</w:t>
      </w:r>
      <w:r>
        <w:rPr>
          <w:rFonts w:ascii="宋体" w:eastAsia="宋体" w:hAnsi="宋体" w:cs="宋体"/>
          <w:spacing w:val="-34"/>
        </w:rPr>
        <w:t xml:space="preserve"> </w:t>
      </w:r>
      <w:r>
        <w:rPr>
          <w:rFonts w:ascii="宋体" w:eastAsia="宋体" w:hAnsi="宋体" w:cs="宋体"/>
          <w:spacing w:val="11"/>
        </w:rPr>
        <w:t>为500</w:t>
      </w:r>
      <w:r>
        <w:rPr>
          <w:rFonts w:ascii="宋体" w:eastAsia="宋体" w:hAnsi="宋体" w:cs="宋体"/>
        </w:rPr>
        <w:t>mg</w:t>
      </w:r>
      <w:r>
        <w:rPr>
          <w:rFonts w:ascii="宋体" w:eastAsia="宋体" w:hAnsi="宋体" w:cs="宋体"/>
          <w:spacing w:val="11"/>
        </w:rPr>
        <w:t>/d,</w:t>
      </w:r>
      <w:r>
        <w:rPr>
          <w:rFonts w:ascii="宋体" w:eastAsia="宋体" w:hAnsi="宋体" w:cs="宋体"/>
        </w:rPr>
        <w:t>UL</w:t>
      </w:r>
      <w:r>
        <w:rPr>
          <w:rFonts w:ascii="宋体" w:eastAsia="宋体" w:hAnsi="宋体" w:cs="宋体"/>
          <w:spacing w:val="43"/>
        </w:rPr>
        <w:t xml:space="preserve">  </w:t>
      </w:r>
      <w:r>
        <w:rPr>
          <w:rFonts w:ascii="宋体" w:eastAsia="宋体" w:hAnsi="宋体" w:cs="宋体"/>
          <w:spacing w:val="11"/>
        </w:rPr>
        <w:t>为3500</w:t>
      </w:r>
      <w:r>
        <w:rPr>
          <w:rFonts w:ascii="宋体" w:eastAsia="宋体" w:hAnsi="宋体" w:cs="宋体"/>
        </w:rPr>
        <w:t>mg</w:t>
      </w:r>
      <w:r>
        <w:rPr>
          <w:rFonts w:ascii="宋体" w:eastAsia="宋体" w:hAnsi="宋体" w:cs="宋体"/>
          <w:spacing w:val="11"/>
        </w:rPr>
        <w:t>/</w:t>
      </w:r>
      <w:r>
        <w:rPr>
          <w:rFonts w:ascii="宋体" w:eastAsia="宋体" w:hAnsi="宋体" w:cs="宋体"/>
          <w:spacing w:val="10"/>
        </w:rPr>
        <w:t>d。</w:t>
      </w:r>
    </w:p>
    <w:p w:rsidR="00EA40A3" w:rsidRDefault="00E86C16">
      <w:pPr>
        <w:spacing w:before="64" w:line="244" w:lineRule="auto"/>
        <w:ind w:right="125" w:firstLine="420"/>
        <w:rPr>
          <w:rFonts w:ascii="宋体" w:eastAsia="宋体" w:hAnsi="宋体" w:cs="宋体"/>
        </w:rPr>
      </w:pPr>
      <w:r>
        <w:rPr>
          <w:rFonts w:ascii="宋体" w:eastAsia="宋体" w:hAnsi="宋体" w:cs="宋体"/>
          <w:spacing w:val="-3"/>
        </w:rPr>
        <w:t>胆碱在食物中分布很广，含脂肪的食物中含量相对高一些。其丰富来源为蛋</w:t>
      </w:r>
      <w:r>
        <w:rPr>
          <w:rFonts w:ascii="宋体" w:eastAsia="宋体" w:hAnsi="宋体" w:cs="宋体"/>
          <w:spacing w:val="7"/>
        </w:rPr>
        <w:t xml:space="preserve"> </w:t>
      </w:r>
      <w:r>
        <w:rPr>
          <w:rFonts w:ascii="宋体" w:eastAsia="宋体" w:hAnsi="宋体" w:cs="宋体"/>
          <w:spacing w:val="4"/>
        </w:rPr>
        <w:t>类(特别是蛋黄)、大牲畜的肝脏、啤酒酵母，大豆、甘蓝、全谷、玉米、面</w:t>
      </w:r>
      <w:r>
        <w:rPr>
          <w:rFonts w:ascii="宋体" w:eastAsia="宋体" w:hAnsi="宋体" w:cs="宋体"/>
          <w:spacing w:val="3"/>
        </w:rPr>
        <w:t>粉</w:t>
      </w:r>
      <w:r>
        <w:rPr>
          <w:rFonts w:ascii="宋体" w:eastAsia="宋体" w:hAnsi="宋体" w:cs="宋体"/>
        </w:rPr>
        <w:t xml:space="preserve"> </w:t>
      </w:r>
      <w:r>
        <w:rPr>
          <w:rFonts w:ascii="宋体" w:eastAsia="宋体" w:hAnsi="宋体" w:cs="宋体"/>
          <w:spacing w:val="8"/>
        </w:rPr>
        <w:t>和马铃薯等也是其良好来源。</w:t>
      </w:r>
      <w:r>
        <w:rPr>
          <w:rFonts w:ascii="宋体" w:eastAsia="宋体" w:hAnsi="宋体" w:cs="宋体"/>
          <w:spacing w:val="54"/>
        </w:rPr>
        <w:t xml:space="preserve"> </w:t>
      </w:r>
      <w:r>
        <w:rPr>
          <w:rFonts w:ascii="宋体" w:eastAsia="宋体" w:hAnsi="宋体" w:cs="宋体"/>
          <w:spacing w:val="8"/>
        </w:rPr>
        <w:t>一些代表性的食物胆碱含量</w:t>
      </w:r>
      <w:r>
        <w:rPr>
          <w:rFonts w:ascii="宋体" w:eastAsia="宋体" w:hAnsi="宋体" w:cs="宋体"/>
          <w:spacing w:val="7"/>
        </w:rPr>
        <w:t>(%):蛋黄1.7、牛</w:t>
      </w:r>
      <w:r>
        <w:rPr>
          <w:rFonts w:ascii="宋体" w:eastAsia="宋体" w:hAnsi="宋体" w:cs="宋体"/>
        </w:rPr>
        <w:t xml:space="preserve"> </w:t>
      </w:r>
      <w:r>
        <w:rPr>
          <w:rFonts w:ascii="宋体" w:eastAsia="宋体" w:hAnsi="宋体" w:cs="宋体"/>
          <w:spacing w:val="6"/>
        </w:rPr>
        <w:t>肝0.6、大豆0.2、鱼肉0.2、谷物0.1。</w:t>
      </w:r>
    </w:p>
    <w:p w:rsidR="00EA40A3" w:rsidRDefault="00EA40A3">
      <w:pPr>
        <w:sectPr w:rsidR="00EA40A3">
          <w:type w:val="continuous"/>
          <w:pgSz w:w="9220" w:h="13360"/>
          <w:pgMar w:top="400" w:right="1005" w:bottom="1296" w:left="809" w:header="0" w:footer="1075" w:gutter="0"/>
          <w:cols w:space="720" w:equalWidth="0">
            <w:col w:w="7405"/>
          </w:cols>
        </w:sectPr>
      </w:pPr>
    </w:p>
    <w:p w:rsidR="00EA40A3" w:rsidRDefault="00E86C16">
      <w:pPr>
        <w:spacing w:line="247" w:lineRule="auto"/>
      </w:pPr>
      <w:r>
        <w:rPr>
          <w:noProof/>
        </w:rPr>
        <w:lastRenderedPageBreak/>
        <w:drawing>
          <wp:anchor distT="0" distB="0" distL="0" distR="0" simplePos="0" relativeHeight="251696128" behindDoc="0" locked="0" layoutInCell="0" allowOverlap="1">
            <wp:simplePos x="0" y="0"/>
            <wp:positionH relativeFrom="page">
              <wp:posOffset>3835400</wp:posOffset>
            </wp:positionH>
            <wp:positionV relativeFrom="page">
              <wp:posOffset>1746250</wp:posOffset>
            </wp:positionV>
            <wp:extent cx="1276350" cy="488950"/>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19"/>
                    <a:stretch>
                      <a:fillRect/>
                    </a:stretch>
                  </pic:blipFill>
                  <pic:spPr>
                    <a:xfrm>
                      <a:off x="0" y="0"/>
                      <a:ext cx="1276324" cy="488910"/>
                    </a:xfrm>
                    <a:prstGeom prst="rect">
                      <a:avLst/>
                    </a:prstGeom>
                  </pic:spPr>
                </pic:pic>
              </a:graphicData>
            </a:graphic>
          </wp:anchor>
        </w:drawing>
      </w:r>
      <w:r>
        <w:rPr>
          <w:noProof/>
        </w:rPr>
        <w:drawing>
          <wp:anchor distT="0" distB="0" distL="0" distR="0" simplePos="0" relativeHeight="251695104" behindDoc="1" locked="0" layoutInCell="0" allowOverlap="1">
            <wp:simplePos x="0" y="0"/>
            <wp:positionH relativeFrom="page">
              <wp:posOffset>1028065</wp:posOffset>
            </wp:positionH>
            <wp:positionV relativeFrom="page">
              <wp:posOffset>6705600</wp:posOffset>
            </wp:positionV>
            <wp:extent cx="673100" cy="679450"/>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20"/>
                    <a:stretch>
                      <a:fillRect/>
                    </a:stretch>
                  </pic:blipFill>
                  <pic:spPr>
                    <a:xfrm>
                      <a:off x="0" y="0"/>
                      <a:ext cx="673114" cy="679451"/>
                    </a:xfrm>
                    <a:prstGeom prst="rect">
                      <a:avLst/>
                    </a:prstGeom>
                  </pic:spPr>
                </pic:pic>
              </a:graphicData>
            </a:graphic>
          </wp:anchor>
        </w:drawing>
      </w:r>
    </w:p>
    <w:p w:rsidR="00EA40A3" w:rsidRDefault="00EA40A3">
      <w:pPr>
        <w:spacing w:line="248" w:lineRule="auto"/>
      </w:pPr>
    </w:p>
    <w:p w:rsidR="00EA40A3" w:rsidRDefault="00EA40A3">
      <w:pPr>
        <w:spacing w:line="248" w:lineRule="auto"/>
      </w:pPr>
    </w:p>
    <w:p w:rsidR="00EA40A3" w:rsidRDefault="00E86C16">
      <w:pPr>
        <w:spacing w:before="74" w:line="227" w:lineRule="auto"/>
        <w:rPr>
          <w:rFonts w:ascii="仿宋" w:eastAsia="仿宋" w:hAnsi="仿宋" w:cs="仿宋"/>
          <w:sz w:val="23"/>
          <w:szCs w:val="23"/>
        </w:rPr>
      </w:pPr>
      <w:r>
        <w:rPr>
          <w:rFonts w:ascii="仿宋" w:eastAsia="仿宋" w:hAnsi="仿宋" w:cs="仿宋"/>
          <w:spacing w:val="-2"/>
          <w:sz w:val="23"/>
          <w:szCs w:val="23"/>
        </w:rPr>
        <w:t>3.</w:t>
      </w:r>
      <w:r>
        <w:rPr>
          <w:rFonts w:ascii="仿宋" w:eastAsia="仿宋" w:hAnsi="仿宋" w:cs="仿宋"/>
          <w:spacing w:val="-33"/>
          <w:sz w:val="23"/>
          <w:szCs w:val="23"/>
        </w:rPr>
        <w:t xml:space="preserve"> </w:t>
      </w:r>
      <w:r>
        <w:rPr>
          <w:rFonts w:ascii="仿宋" w:eastAsia="仿宋" w:hAnsi="仿宋" w:cs="仿宋"/>
          <w:spacing w:val="-2"/>
          <w:sz w:val="23"/>
          <w:szCs w:val="23"/>
        </w:rPr>
        <w:t>泛酸</w:t>
      </w:r>
    </w:p>
    <w:p w:rsidR="00EA40A3" w:rsidRDefault="00E86C16">
      <w:pPr>
        <w:spacing w:before="167" w:line="235" w:lineRule="auto"/>
        <w:ind w:right="37" w:firstLine="429"/>
        <w:jc w:val="both"/>
        <w:rPr>
          <w:rFonts w:ascii="宋体" w:eastAsia="宋体" w:hAnsi="宋体" w:cs="宋体"/>
          <w:sz w:val="23"/>
          <w:szCs w:val="23"/>
        </w:rPr>
      </w:pPr>
      <w:r>
        <w:rPr>
          <w:rFonts w:ascii="宋体" w:eastAsia="宋体" w:hAnsi="宋体" w:cs="宋体"/>
          <w:spacing w:val="-21"/>
          <w:sz w:val="23"/>
          <w:szCs w:val="23"/>
        </w:rPr>
        <w:t>泛酸</w:t>
      </w:r>
      <w:r>
        <w:rPr>
          <w:rFonts w:ascii="宋体" w:eastAsia="宋体" w:hAnsi="宋体" w:cs="宋体"/>
          <w:spacing w:val="2"/>
          <w:sz w:val="23"/>
          <w:szCs w:val="23"/>
        </w:rPr>
        <w:t xml:space="preserve"> </w:t>
      </w:r>
      <w:r>
        <w:rPr>
          <w:rFonts w:ascii="宋体" w:eastAsia="宋体" w:hAnsi="宋体" w:cs="宋体"/>
          <w:spacing w:val="-21"/>
          <w:sz w:val="23"/>
          <w:szCs w:val="23"/>
        </w:rPr>
        <w:t>(pantothenic</w:t>
      </w:r>
      <w:r>
        <w:rPr>
          <w:rFonts w:ascii="宋体" w:eastAsia="宋体" w:hAnsi="宋体" w:cs="宋体"/>
          <w:spacing w:val="-12"/>
          <w:sz w:val="23"/>
          <w:szCs w:val="23"/>
        </w:rPr>
        <w:t xml:space="preserve"> </w:t>
      </w:r>
      <w:r>
        <w:rPr>
          <w:rFonts w:ascii="宋体" w:eastAsia="宋体" w:hAnsi="宋体" w:cs="宋体"/>
          <w:spacing w:val="-21"/>
          <w:sz w:val="23"/>
          <w:szCs w:val="23"/>
        </w:rPr>
        <w:t>acid)</w:t>
      </w:r>
      <w:r>
        <w:rPr>
          <w:rFonts w:ascii="宋体" w:eastAsia="宋体" w:hAnsi="宋体" w:cs="宋体"/>
          <w:spacing w:val="-46"/>
          <w:sz w:val="23"/>
          <w:szCs w:val="23"/>
        </w:rPr>
        <w:t xml:space="preserve"> </w:t>
      </w:r>
      <w:r>
        <w:rPr>
          <w:rFonts w:ascii="宋体" w:eastAsia="宋体" w:hAnsi="宋体" w:cs="宋体"/>
          <w:spacing w:val="-21"/>
          <w:sz w:val="23"/>
          <w:szCs w:val="23"/>
        </w:rPr>
        <w:t>因广泛存在于自然界而得名，属于B</w:t>
      </w:r>
      <w:r>
        <w:rPr>
          <w:rFonts w:ascii="宋体" w:eastAsia="宋体" w:hAnsi="宋体" w:cs="宋体"/>
          <w:spacing w:val="-47"/>
          <w:sz w:val="23"/>
          <w:szCs w:val="23"/>
        </w:rPr>
        <w:t xml:space="preserve"> </w:t>
      </w:r>
      <w:r>
        <w:rPr>
          <w:rFonts w:ascii="宋体" w:eastAsia="宋体" w:hAnsi="宋体" w:cs="宋体"/>
          <w:spacing w:val="-21"/>
          <w:sz w:val="23"/>
          <w:szCs w:val="23"/>
        </w:rPr>
        <w:t>族维生素，曾</w:t>
      </w:r>
      <w:r>
        <w:rPr>
          <w:rFonts w:ascii="宋体" w:eastAsia="宋体" w:hAnsi="宋体" w:cs="宋体"/>
          <w:sz w:val="23"/>
          <w:szCs w:val="23"/>
        </w:rPr>
        <w:t xml:space="preserve"> </w:t>
      </w:r>
      <w:r>
        <w:rPr>
          <w:rFonts w:ascii="宋体" w:eastAsia="宋体" w:hAnsi="宋体" w:cs="宋体"/>
          <w:spacing w:val="-16"/>
          <w:sz w:val="23"/>
          <w:szCs w:val="23"/>
        </w:rPr>
        <w:t>被称为维生素B,</w:t>
      </w:r>
      <w:r>
        <w:rPr>
          <w:rFonts w:ascii="宋体" w:eastAsia="宋体" w:hAnsi="宋体" w:cs="宋体"/>
          <w:spacing w:val="86"/>
          <w:sz w:val="23"/>
          <w:szCs w:val="23"/>
        </w:rPr>
        <w:t xml:space="preserve"> </w:t>
      </w:r>
      <w:r>
        <w:rPr>
          <w:rFonts w:ascii="宋体" w:eastAsia="宋体" w:hAnsi="宋体" w:cs="宋体"/>
          <w:spacing w:val="-16"/>
          <w:sz w:val="23"/>
          <w:szCs w:val="23"/>
        </w:rPr>
        <w:t>也称遍多酸。泛酸是一种黄色黏滞油状物，溶于水，在酸性</w:t>
      </w:r>
      <w:r>
        <w:rPr>
          <w:rFonts w:ascii="宋体" w:eastAsia="宋体" w:hAnsi="宋体" w:cs="宋体"/>
          <w:sz w:val="23"/>
          <w:szCs w:val="23"/>
        </w:rPr>
        <w:t xml:space="preserve"> </w:t>
      </w:r>
      <w:r>
        <w:rPr>
          <w:rFonts w:ascii="宋体" w:eastAsia="宋体" w:hAnsi="宋体" w:cs="宋体"/>
          <w:spacing w:val="-17"/>
          <w:sz w:val="23"/>
          <w:szCs w:val="23"/>
        </w:rPr>
        <w:t>或碱性条件下对热不稳定，干燥情况下泛酸盐对空气和光稳定(见</w:t>
      </w:r>
      <w:r>
        <w:rPr>
          <w:rFonts w:ascii="宋体" w:eastAsia="宋体" w:hAnsi="宋体" w:cs="宋体"/>
          <w:spacing w:val="-18"/>
          <w:sz w:val="23"/>
          <w:szCs w:val="23"/>
        </w:rPr>
        <w:t>图4-18)。</w:t>
      </w:r>
    </w:p>
    <w:p w:rsidR="00EA40A3" w:rsidRDefault="00E86C16">
      <w:pPr>
        <w:spacing w:before="28" w:line="320" w:lineRule="exact"/>
        <w:ind w:left="429"/>
        <w:rPr>
          <w:rFonts w:ascii="宋体" w:eastAsia="宋体" w:hAnsi="宋体" w:cs="宋体"/>
          <w:sz w:val="23"/>
          <w:szCs w:val="23"/>
        </w:rPr>
      </w:pPr>
      <w:r>
        <w:rPr>
          <w:rFonts w:ascii="宋体" w:eastAsia="宋体" w:hAnsi="宋体" w:cs="宋体"/>
          <w:spacing w:val="-15"/>
          <w:position w:val="6"/>
          <w:sz w:val="23"/>
          <w:szCs w:val="23"/>
        </w:rPr>
        <w:t>泛酸在很多代谢过程中起重要作用，为脂肪酸</w:t>
      </w:r>
    </w:p>
    <w:p w:rsidR="00EA40A3" w:rsidRDefault="00E86C16">
      <w:pPr>
        <w:spacing w:line="219" w:lineRule="auto"/>
        <w:rPr>
          <w:rFonts w:ascii="宋体" w:eastAsia="宋体" w:hAnsi="宋体" w:cs="宋体"/>
          <w:sz w:val="23"/>
          <w:szCs w:val="23"/>
        </w:rPr>
      </w:pPr>
      <w:r>
        <w:rPr>
          <w:rFonts w:ascii="宋体" w:eastAsia="宋体" w:hAnsi="宋体" w:cs="宋体"/>
          <w:spacing w:val="-11"/>
          <w:sz w:val="23"/>
          <w:szCs w:val="23"/>
        </w:rPr>
        <w:t>的合成与降解，类固醇激素、多萜醇、维生素</w:t>
      </w:r>
      <w:r>
        <w:rPr>
          <w:rFonts w:ascii="宋体" w:eastAsia="宋体" w:hAnsi="宋体" w:cs="宋体"/>
          <w:spacing w:val="-46"/>
          <w:sz w:val="23"/>
          <w:szCs w:val="23"/>
        </w:rPr>
        <w:t xml:space="preserve"> </w:t>
      </w:r>
      <w:r>
        <w:rPr>
          <w:rFonts w:ascii="宋体" w:eastAsia="宋体" w:hAnsi="宋体" w:cs="宋体"/>
          <w:spacing w:val="-11"/>
          <w:sz w:val="23"/>
          <w:szCs w:val="23"/>
        </w:rPr>
        <w:t>A、</w:t>
      </w:r>
    </w:p>
    <w:p w:rsidR="00EA40A3" w:rsidRDefault="00E86C16">
      <w:pPr>
        <w:spacing w:before="37" w:line="219" w:lineRule="auto"/>
        <w:rPr>
          <w:rFonts w:ascii="宋体" w:eastAsia="宋体" w:hAnsi="宋体" w:cs="宋体"/>
          <w:sz w:val="23"/>
          <w:szCs w:val="23"/>
        </w:rPr>
      </w:pPr>
      <w:r>
        <w:rPr>
          <w:rFonts w:ascii="宋体" w:eastAsia="宋体" w:hAnsi="宋体" w:cs="宋体"/>
          <w:spacing w:val="-12"/>
          <w:sz w:val="23"/>
          <w:szCs w:val="23"/>
        </w:rPr>
        <w:t>维生素D</w:t>
      </w:r>
      <w:r>
        <w:rPr>
          <w:rFonts w:ascii="宋体" w:eastAsia="宋体" w:hAnsi="宋体" w:cs="宋体"/>
          <w:spacing w:val="-1"/>
          <w:sz w:val="23"/>
          <w:szCs w:val="23"/>
        </w:rPr>
        <w:t xml:space="preserve"> </w:t>
      </w:r>
      <w:r>
        <w:rPr>
          <w:rFonts w:ascii="宋体" w:eastAsia="宋体" w:hAnsi="宋体" w:cs="宋体"/>
          <w:spacing w:val="-12"/>
          <w:sz w:val="23"/>
          <w:szCs w:val="23"/>
        </w:rPr>
        <w:t>和血红素</w:t>
      </w:r>
      <w:r>
        <w:rPr>
          <w:rFonts w:ascii="宋体" w:eastAsia="宋体" w:hAnsi="宋体" w:cs="宋体"/>
          <w:spacing w:val="-65"/>
          <w:sz w:val="23"/>
          <w:szCs w:val="23"/>
        </w:rPr>
        <w:t xml:space="preserve"> </w:t>
      </w:r>
      <w:r>
        <w:rPr>
          <w:rFonts w:ascii="宋体" w:eastAsia="宋体" w:hAnsi="宋体" w:cs="宋体"/>
          <w:spacing w:val="-12"/>
          <w:sz w:val="23"/>
          <w:szCs w:val="23"/>
        </w:rPr>
        <w:t>A</w:t>
      </w:r>
      <w:r>
        <w:rPr>
          <w:rFonts w:ascii="宋体" w:eastAsia="宋体" w:hAnsi="宋体" w:cs="宋体"/>
          <w:spacing w:val="-8"/>
          <w:sz w:val="23"/>
          <w:szCs w:val="23"/>
        </w:rPr>
        <w:t xml:space="preserve"> </w:t>
      </w:r>
      <w:r>
        <w:rPr>
          <w:rFonts w:ascii="宋体" w:eastAsia="宋体" w:hAnsi="宋体" w:cs="宋体"/>
          <w:spacing w:val="-12"/>
          <w:sz w:val="23"/>
          <w:szCs w:val="23"/>
        </w:rPr>
        <w:t>等类异戊二烯衍生物的合成，</w:t>
      </w:r>
    </w:p>
    <w:p w:rsidR="00EA40A3" w:rsidRDefault="00E86C16">
      <w:pPr>
        <w:spacing w:before="16" w:line="186" w:lineRule="auto"/>
        <w:rPr>
          <w:rFonts w:ascii="宋体" w:eastAsia="宋体" w:hAnsi="宋体" w:cs="宋体"/>
          <w:sz w:val="23"/>
          <w:szCs w:val="23"/>
        </w:rPr>
      </w:pPr>
      <w:r>
        <w:rPr>
          <w:rFonts w:ascii="宋体" w:eastAsia="宋体" w:hAnsi="宋体" w:cs="宋体"/>
          <w:spacing w:val="-20"/>
          <w:sz w:val="23"/>
          <w:szCs w:val="23"/>
        </w:rPr>
        <w:t>三羧酸循环与氧化供能，膜磷脂的合成，乙醇、氨、</w:t>
      </w:r>
    </w:p>
    <w:p w:rsidR="00EA40A3" w:rsidRDefault="00E86C16">
      <w:pPr>
        <w:spacing w:line="226" w:lineRule="auto"/>
        <w:rPr>
          <w:rFonts w:ascii="宋体" w:eastAsia="宋体" w:hAnsi="宋体" w:cs="宋体"/>
          <w:sz w:val="23"/>
          <w:szCs w:val="23"/>
        </w:rPr>
      </w:pPr>
      <w:r>
        <w:rPr>
          <w:rFonts w:ascii="宋体" w:eastAsia="宋体" w:hAnsi="宋体" w:cs="宋体"/>
          <w:spacing w:val="-20"/>
          <w:position w:val="-2"/>
          <w:sz w:val="23"/>
          <w:szCs w:val="23"/>
        </w:rPr>
        <w:t>碳水化合物和氨基酸的乙酰化以及蛋白质的酰基化</w:t>
      </w:r>
      <w:r>
        <w:rPr>
          <w:rFonts w:ascii="宋体" w:eastAsia="宋体" w:hAnsi="宋体" w:cs="宋体"/>
          <w:spacing w:val="20"/>
          <w:position w:val="-2"/>
          <w:sz w:val="23"/>
          <w:szCs w:val="23"/>
        </w:rPr>
        <w:t xml:space="preserve">    </w:t>
      </w:r>
      <w:r>
        <w:rPr>
          <w:rFonts w:ascii="宋体" w:eastAsia="宋体" w:hAnsi="宋体" w:cs="宋体"/>
          <w:spacing w:val="-20"/>
          <w:position w:val="5"/>
          <w:sz w:val="23"/>
          <w:szCs w:val="23"/>
        </w:rPr>
        <w:t>图4-18</w:t>
      </w:r>
      <w:r>
        <w:rPr>
          <w:rFonts w:ascii="宋体" w:eastAsia="宋体" w:hAnsi="宋体" w:cs="宋体"/>
          <w:spacing w:val="28"/>
          <w:position w:val="5"/>
          <w:sz w:val="23"/>
          <w:szCs w:val="23"/>
        </w:rPr>
        <w:t xml:space="preserve"> </w:t>
      </w:r>
      <w:r>
        <w:rPr>
          <w:rFonts w:ascii="宋体" w:eastAsia="宋体" w:hAnsi="宋体" w:cs="宋体"/>
          <w:spacing w:val="-20"/>
          <w:position w:val="5"/>
          <w:sz w:val="23"/>
          <w:szCs w:val="23"/>
        </w:rPr>
        <w:t>泛酸的结构</w:t>
      </w:r>
    </w:p>
    <w:p w:rsidR="00EA40A3" w:rsidRDefault="00E86C16">
      <w:pPr>
        <w:spacing w:before="26" w:line="219" w:lineRule="auto"/>
        <w:rPr>
          <w:rFonts w:ascii="宋体" w:eastAsia="宋体" w:hAnsi="宋体" w:cs="宋体"/>
          <w:sz w:val="23"/>
          <w:szCs w:val="23"/>
        </w:rPr>
      </w:pPr>
      <w:r>
        <w:rPr>
          <w:rFonts w:ascii="宋体" w:eastAsia="宋体" w:hAnsi="宋体" w:cs="宋体"/>
          <w:spacing w:val="-17"/>
          <w:sz w:val="23"/>
          <w:szCs w:val="23"/>
        </w:rPr>
        <w:t>修饰，氨基酸的氧化降解，维生素B</w:t>
      </w:r>
      <w:r>
        <w:rPr>
          <w:rFonts w:ascii="Calibri" w:eastAsia="Calibri" w:hAnsi="Calibri" w:cs="Calibri"/>
          <w:spacing w:val="-17"/>
          <w:sz w:val="23"/>
          <w:szCs w:val="23"/>
        </w:rPr>
        <w:t>₂</w:t>
      </w:r>
      <w:r>
        <w:rPr>
          <w:rFonts w:ascii="Calibri" w:eastAsia="Calibri" w:hAnsi="Calibri" w:cs="Calibri"/>
          <w:spacing w:val="55"/>
          <w:w w:val="101"/>
          <w:sz w:val="23"/>
          <w:szCs w:val="23"/>
        </w:rPr>
        <w:t xml:space="preserve"> </w:t>
      </w:r>
      <w:r>
        <w:rPr>
          <w:rFonts w:ascii="宋体" w:eastAsia="宋体" w:hAnsi="宋体" w:cs="宋体"/>
          <w:spacing w:val="-17"/>
          <w:sz w:val="23"/>
          <w:szCs w:val="23"/>
        </w:rPr>
        <w:t>和细胞色素咕</w:t>
      </w:r>
    </w:p>
    <w:p w:rsidR="00EA40A3" w:rsidRDefault="00E86C16">
      <w:pPr>
        <w:spacing w:before="38" w:line="230" w:lineRule="auto"/>
        <w:ind w:right="55"/>
        <w:rPr>
          <w:rFonts w:ascii="宋体" w:eastAsia="宋体" w:hAnsi="宋体" w:cs="宋体"/>
          <w:sz w:val="23"/>
          <w:szCs w:val="23"/>
        </w:rPr>
      </w:pPr>
      <w:r>
        <w:rPr>
          <w:rFonts w:ascii="宋体" w:eastAsia="宋体" w:hAnsi="宋体" w:cs="宋体"/>
          <w:spacing w:val="-18"/>
          <w:sz w:val="23"/>
          <w:szCs w:val="23"/>
        </w:rPr>
        <w:t>啉环前体ø-氨基-乙酰丙酸合成所必需。泛酸的主要活性形式是辅酶A</w:t>
      </w:r>
      <w:r>
        <w:rPr>
          <w:rFonts w:ascii="宋体" w:eastAsia="宋体" w:hAnsi="宋体" w:cs="宋体"/>
          <w:spacing w:val="-19"/>
          <w:sz w:val="23"/>
          <w:szCs w:val="23"/>
        </w:rPr>
        <w:t xml:space="preserve"> </w:t>
      </w:r>
      <w:r>
        <w:rPr>
          <w:rFonts w:ascii="宋体" w:eastAsia="宋体" w:hAnsi="宋体" w:cs="宋体"/>
          <w:spacing w:val="-18"/>
          <w:sz w:val="23"/>
          <w:szCs w:val="23"/>
        </w:rPr>
        <w:t>和酰基载</w:t>
      </w:r>
      <w:r>
        <w:rPr>
          <w:rFonts w:ascii="宋体" w:eastAsia="宋体" w:hAnsi="宋体" w:cs="宋体"/>
          <w:sz w:val="23"/>
          <w:szCs w:val="23"/>
        </w:rPr>
        <w:t xml:space="preserve"> </w:t>
      </w:r>
      <w:r>
        <w:rPr>
          <w:rFonts w:ascii="宋体" w:eastAsia="宋体" w:hAnsi="宋体" w:cs="宋体"/>
          <w:spacing w:val="-23"/>
          <w:sz w:val="23"/>
          <w:szCs w:val="23"/>
        </w:rPr>
        <w:t>体蛋白，它们的代谢功能是作为乙酰基或脂酰基的载体。</w:t>
      </w:r>
    </w:p>
    <w:p w:rsidR="00EA40A3" w:rsidRDefault="00E86C16">
      <w:pPr>
        <w:spacing w:before="28" w:line="238" w:lineRule="auto"/>
        <w:ind w:right="42" w:firstLine="429"/>
        <w:jc w:val="both"/>
        <w:rPr>
          <w:rFonts w:ascii="宋体" w:eastAsia="宋体" w:hAnsi="宋体" w:cs="宋体"/>
          <w:sz w:val="23"/>
          <w:szCs w:val="23"/>
        </w:rPr>
      </w:pPr>
      <w:r>
        <w:rPr>
          <w:rFonts w:ascii="宋体" w:eastAsia="宋体" w:hAnsi="宋体" w:cs="宋体"/>
          <w:spacing w:val="-22"/>
          <w:w w:val="98"/>
          <w:sz w:val="23"/>
          <w:szCs w:val="23"/>
        </w:rPr>
        <w:t>泛酸广泛存在于各类食物中，</w:t>
      </w:r>
      <w:r>
        <w:rPr>
          <w:rFonts w:ascii="宋体" w:eastAsia="宋体" w:hAnsi="宋体" w:cs="宋体"/>
          <w:spacing w:val="11"/>
          <w:sz w:val="23"/>
          <w:szCs w:val="23"/>
        </w:rPr>
        <w:t xml:space="preserve"> </w:t>
      </w:r>
      <w:r>
        <w:rPr>
          <w:rFonts w:ascii="宋体" w:eastAsia="宋体" w:hAnsi="宋体" w:cs="宋体"/>
          <w:spacing w:val="-22"/>
          <w:w w:val="98"/>
          <w:sz w:val="23"/>
          <w:szCs w:val="23"/>
        </w:rPr>
        <w:t>一般不会发生缺乏症，但当人体发生严重营养</w:t>
      </w:r>
      <w:r>
        <w:rPr>
          <w:rFonts w:ascii="宋体" w:eastAsia="宋体" w:hAnsi="宋体" w:cs="宋体"/>
          <w:sz w:val="23"/>
          <w:szCs w:val="23"/>
        </w:rPr>
        <w:t xml:space="preserve"> </w:t>
      </w:r>
      <w:r>
        <w:rPr>
          <w:rFonts w:ascii="宋体" w:eastAsia="宋体" w:hAnsi="宋体" w:cs="宋体"/>
          <w:spacing w:val="-22"/>
          <w:sz w:val="23"/>
          <w:szCs w:val="23"/>
        </w:rPr>
        <w:t>不良时，会发生多种营养素共同不足，也可能存在泛酸</w:t>
      </w:r>
      <w:r>
        <w:rPr>
          <w:rFonts w:ascii="宋体" w:eastAsia="宋体" w:hAnsi="宋体" w:cs="宋体"/>
          <w:spacing w:val="-23"/>
          <w:sz w:val="23"/>
          <w:szCs w:val="23"/>
        </w:rPr>
        <w:t>不足。以前在战争中被俘</w:t>
      </w:r>
      <w:r>
        <w:rPr>
          <w:rFonts w:ascii="宋体" w:eastAsia="宋体" w:hAnsi="宋体" w:cs="宋体"/>
          <w:sz w:val="23"/>
          <w:szCs w:val="23"/>
        </w:rPr>
        <w:t xml:space="preserve"> </w:t>
      </w:r>
      <w:r>
        <w:rPr>
          <w:rFonts w:ascii="宋体" w:eastAsia="宋体" w:hAnsi="宋体" w:cs="宋体"/>
          <w:spacing w:val="-22"/>
          <w:sz w:val="23"/>
          <w:szCs w:val="23"/>
        </w:rPr>
        <w:t>的犯人，由于连续营养不良，曾经有发生大规模泛酸</w:t>
      </w:r>
      <w:r>
        <w:rPr>
          <w:rFonts w:ascii="宋体" w:eastAsia="宋体" w:hAnsi="宋体" w:cs="宋体"/>
          <w:spacing w:val="-23"/>
          <w:sz w:val="23"/>
          <w:szCs w:val="23"/>
        </w:rPr>
        <w:t>缺乏的纪录。泛酸缺乏导致</w:t>
      </w:r>
      <w:r>
        <w:rPr>
          <w:rFonts w:ascii="宋体" w:eastAsia="宋体" w:hAnsi="宋体" w:cs="宋体"/>
          <w:sz w:val="23"/>
          <w:szCs w:val="23"/>
        </w:rPr>
        <w:t xml:space="preserve"> </w:t>
      </w:r>
      <w:r>
        <w:rPr>
          <w:rFonts w:ascii="宋体" w:eastAsia="宋体" w:hAnsi="宋体" w:cs="宋体"/>
          <w:spacing w:val="-16"/>
          <w:sz w:val="23"/>
          <w:szCs w:val="23"/>
        </w:rPr>
        <w:t>代谢受阻，机体生长迟缓，依其缺乏程度不同而显示不同体征和症状，包括易</w:t>
      </w:r>
      <w:r>
        <w:rPr>
          <w:rFonts w:ascii="宋体" w:eastAsia="宋体" w:hAnsi="宋体" w:cs="宋体"/>
          <w:spacing w:val="5"/>
          <w:sz w:val="23"/>
          <w:szCs w:val="23"/>
        </w:rPr>
        <w:t xml:space="preserve"> </w:t>
      </w:r>
      <w:r>
        <w:rPr>
          <w:rFonts w:ascii="宋体" w:eastAsia="宋体" w:hAnsi="宋体" w:cs="宋体"/>
          <w:spacing w:val="-16"/>
          <w:sz w:val="23"/>
          <w:szCs w:val="23"/>
        </w:rPr>
        <w:t>怒、头疼、抑郁、疲劳、冷淡、恶心、呕吐和腹部痉挛、麻木、</w:t>
      </w:r>
      <w:r>
        <w:rPr>
          <w:rFonts w:ascii="宋体" w:eastAsia="宋体" w:hAnsi="宋体" w:cs="宋体"/>
          <w:spacing w:val="-17"/>
          <w:sz w:val="23"/>
          <w:szCs w:val="23"/>
        </w:rPr>
        <w:t>麻痹、肌肉痉</w:t>
      </w:r>
      <w:r>
        <w:rPr>
          <w:rFonts w:ascii="宋体" w:eastAsia="宋体" w:hAnsi="宋体" w:cs="宋体"/>
          <w:sz w:val="23"/>
          <w:szCs w:val="23"/>
        </w:rPr>
        <w:t xml:space="preserve"> </w:t>
      </w:r>
      <w:r>
        <w:rPr>
          <w:rFonts w:ascii="宋体" w:eastAsia="宋体" w:hAnsi="宋体" w:cs="宋体"/>
          <w:spacing w:val="-23"/>
          <w:sz w:val="23"/>
          <w:szCs w:val="23"/>
        </w:rPr>
        <w:t>挛、手脚感觉异常、肌无力、低血糖等。人体缺乏泛酸时，对抗外来病菌的能力</w:t>
      </w:r>
      <w:r>
        <w:rPr>
          <w:rFonts w:ascii="宋体" w:eastAsia="宋体" w:hAnsi="宋体" w:cs="宋体"/>
          <w:spacing w:val="11"/>
          <w:sz w:val="23"/>
          <w:szCs w:val="23"/>
        </w:rPr>
        <w:t xml:space="preserve"> </w:t>
      </w:r>
      <w:r>
        <w:rPr>
          <w:rFonts w:ascii="宋体" w:eastAsia="宋体" w:hAnsi="宋体" w:cs="宋体"/>
          <w:spacing w:val="-17"/>
          <w:sz w:val="23"/>
          <w:szCs w:val="23"/>
        </w:rPr>
        <w:t>下降，尤其是泛酸缺乏又伴有维生素B</w:t>
      </w:r>
      <w:r>
        <w:rPr>
          <w:rFonts w:ascii="Calibri" w:eastAsia="Calibri" w:hAnsi="Calibri" w:cs="Calibri"/>
          <w:spacing w:val="-17"/>
          <w:sz w:val="23"/>
          <w:szCs w:val="23"/>
        </w:rPr>
        <w:t>₃</w:t>
      </w:r>
      <w:r>
        <w:rPr>
          <w:rFonts w:ascii="Calibri" w:eastAsia="Calibri" w:hAnsi="Calibri" w:cs="Calibri"/>
          <w:spacing w:val="34"/>
          <w:sz w:val="23"/>
          <w:szCs w:val="23"/>
        </w:rPr>
        <w:t xml:space="preserve"> </w:t>
      </w:r>
      <w:r>
        <w:rPr>
          <w:rFonts w:ascii="宋体" w:eastAsia="宋体" w:hAnsi="宋体" w:cs="宋体"/>
          <w:spacing w:val="-17"/>
          <w:sz w:val="23"/>
          <w:szCs w:val="23"/>
        </w:rPr>
        <w:t>缺乏。例如对抗破伤风病菌的能力明显</w:t>
      </w:r>
      <w:r>
        <w:rPr>
          <w:rFonts w:ascii="宋体" w:eastAsia="宋体" w:hAnsi="宋体" w:cs="宋体"/>
          <w:sz w:val="23"/>
          <w:szCs w:val="23"/>
        </w:rPr>
        <w:t xml:space="preserve"> </w:t>
      </w:r>
      <w:r>
        <w:rPr>
          <w:rFonts w:ascii="宋体" w:eastAsia="宋体" w:hAnsi="宋体" w:cs="宋体"/>
          <w:spacing w:val="-19"/>
          <w:sz w:val="23"/>
          <w:szCs w:val="23"/>
        </w:rPr>
        <w:t>下降。</w:t>
      </w:r>
    </w:p>
    <w:p w:rsidR="00EA40A3" w:rsidRDefault="00E86C16">
      <w:pPr>
        <w:spacing w:before="90" w:line="223" w:lineRule="auto"/>
        <w:ind w:right="52" w:firstLine="429"/>
        <w:rPr>
          <w:rFonts w:ascii="宋体" w:eastAsia="宋体" w:hAnsi="宋体" w:cs="宋体"/>
          <w:sz w:val="23"/>
          <w:szCs w:val="23"/>
        </w:rPr>
      </w:pPr>
      <w:r>
        <w:rPr>
          <w:rFonts w:ascii="宋体" w:eastAsia="宋体" w:hAnsi="宋体" w:cs="宋体"/>
          <w:spacing w:val="-2"/>
          <w:sz w:val="23"/>
          <w:szCs w:val="23"/>
        </w:rPr>
        <w:t>我国14岁以上青少年及成人膳食泛酸</w:t>
      </w:r>
      <w:r>
        <w:rPr>
          <w:rFonts w:ascii="宋体" w:eastAsia="宋体" w:hAnsi="宋体" w:cs="宋体"/>
          <w:spacing w:val="-46"/>
          <w:sz w:val="23"/>
          <w:szCs w:val="23"/>
        </w:rPr>
        <w:t xml:space="preserve"> </w:t>
      </w:r>
      <w:r>
        <w:rPr>
          <w:rFonts w:ascii="宋体" w:eastAsia="宋体" w:hAnsi="宋体" w:cs="宋体"/>
          <w:spacing w:val="-2"/>
          <w:sz w:val="23"/>
          <w:szCs w:val="23"/>
        </w:rPr>
        <w:t>AI</w:t>
      </w:r>
      <w:r>
        <w:rPr>
          <w:rFonts w:ascii="宋体" w:eastAsia="宋体" w:hAnsi="宋体" w:cs="宋体"/>
          <w:spacing w:val="-43"/>
          <w:sz w:val="23"/>
          <w:szCs w:val="23"/>
        </w:rPr>
        <w:t xml:space="preserve"> </w:t>
      </w:r>
      <w:r>
        <w:rPr>
          <w:rFonts w:ascii="宋体" w:eastAsia="宋体" w:hAnsi="宋体" w:cs="宋体"/>
          <w:spacing w:val="-2"/>
          <w:sz w:val="23"/>
          <w:szCs w:val="23"/>
        </w:rPr>
        <w:t>为5.0mg/d,</w:t>
      </w:r>
      <w:r>
        <w:rPr>
          <w:rFonts w:ascii="宋体" w:eastAsia="宋体" w:hAnsi="宋体" w:cs="宋体"/>
          <w:spacing w:val="-7"/>
          <w:sz w:val="23"/>
          <w:szCs w:val="23"/>
        </w:rPr>
        <w:t xml:space="preserve"> </w:t>
      </w:r>
      <w:r>
        <w:rPr>
          <w:rFonts w:ascii="宋体" w:eastAsia="宋体" w:hAnsi="宋体" w:cs="宋体"/>
          <w:spacing w:val="-2"/>
          <w:sz w:val="23"/>
          <w:szCs w:val="23"/>
        </w:rPr>
        <w:t>孕妇为6.0mg/d,</w:t>
      </w:r>
      <w:r>
        <w:rPr>
          <w:rFonts w:ascii="宋体" w:eastAsia="宋体" w:hAnsi="宋体" w:cs="宋体"/>
          <w:sz w:val="23"/>
          <w:szCs w:val="23"/>
        </w:rPr>
        <w:t xml:space="preserve"> </w:t>
      </w:r>
      <w:r>
        <w:rPr>
          <w:rFonts w:ascii="宋体" w:eastAsia="宋体" w:hAnsi="宋体" w:cs="宋体"/>
          <w:spacing w:val="-2"/>
          <w:sz w:val="23"/>
          <w:szCs w:val="23"/>
        </w:rPr>
        <w:t>乳母为7.0mg/d,</w:t>
      </w:r>
    </w:p>
    <w:p w:rsidR="00EA40A3" w:rsidRDefault="00E86C16">
      <w:pPr>
        <w:spacing w:before="61" w:line="223" w:lineRule="auto"/>
        <w:ind w:right="32" w:firstLine="429"/>
        <w:rPr>
          <w:rFonts w:ascii="宋体" w:eastAsia="宋体" w:hAnsi="宋体" w:cs="宋体"/>
          <w:sz w:val="23"/>
          <w:szCs w:val="23"/>
        </w:rPr>
      </w:pPr>
      <w:r>
        <w:rPr>
          <w:rFonts w:ascii="宋体" w:eastAsia="宋体" w:hAnsi="宋体" w:cs="宋体"/>
          <w:spacing w:val="-22"/>
          <w:sz w:val="23"/>
          <w:szCs w:val="23"/>
        </w:rPr>
        <w:t>泛酸广泛存在于各类食物中，最主要的来源是酵母、肉类、内脏、蘑菇</w:t>
      </w:r>
      <w:r>
        <w:rPr>
          <w:rFonts w:ascii="宋体" w:eastAsia="宋体" w:hAnsi="宋体" w:cs="宋体"/>
          <w:spacing w:val="-23"/>
          <w:sz w:val="23"/>
          <w:szCs w:val="23"/>
        </w:rPr>
        <w:t>、鸡</w:t>
      </w:r>
      <w:r>
        <w:rPr>
          <w:rFonts w:ascii="宋体" w:eastAsia="宋体" w:hAnsi="宋体" w:cs="宋体"/>
          <w:sz w:val="23"/>
          <w:szCs w:val="23"/>
        </w:rPr>
        <w:t xml:space="preserve"> </w:t>
      </w:r>
      <w:r>
        <w:rPr>
          <w:rFonts w:ascii="宋体" w:eastAsia="宋体" w:hAnsi="宋体" w:cs="宋体"/>
          <w:spacing w:val="-22"/>
          <w:sz w:val="23"/>
          <w:szCs w:val="23"/>
        </w:rPr>
        <w:t>蛋、甘蓝、牛奶，其中泛酸最丰富来源是金枪鱼和鳕</w:t>
      </w:r>
      <w:r>
        <w:rPr>
          <w:rFonts w:ascii="宋体" w:eastAsia="宋体" w:hAnsi="宋体" w:cs="宋体"/>
          <w:spacing w:val="-23"/>
          <w:sz w:val="23"/>
          <w:szCs w:val="23"/>
        </w:rPr>
        <w:t>的鱼子酱，全谷物也是良好</w:t>
      </w:r>
      <w:r>
        <w:rPr>
          <w:rFonts w:ascii="宋体" w:eastAsia="宋体" w:hAnsi="宋体" w:cs="宋体"/>
          <w:sz w:val="23"/>
          <w:szCs w:val="23"/>
        </w:rPr>
        <w:t xml:space="preserve"> </w:t>
      </w:r>
      <w:r>
        <w:rPr>
          <w:rFonts w:ascii="宋体" w:eastAsia="宋体" w:hAnsi="宋体" w:cs="宋体"/>
          <w:spacing w:val="-26"/>
          <w:sz w:val="23"/>
          <w:szCs w:val="23"/>
        </w:rPr>
        <w:t>的泛酸来源。</w:t>
      </w:r>
    </w:p>
    <w:p w:rsidR="00EA40A3" w:rsidRDefault="00E86C16">
      <w:pPr>
        <w:spacing w:before="214" w:line="222" w:lineRule="auto"/>
        <w:rPr>
          <w:rFonts w:ascii="仿宋" w:eastAsia="仿宋" w:hAnsi="仿宋" w:cs="仿宋"/>
          <w:sz w:val="23"/>
          <w:szCs w:val="23"/>
        </w:rPr>
      </w:pPr>
      <w:r>
        <w:rPr>
          <w:rFonts w:ascii="仿宋" w:eastAsia="仿宋" w:hAnsi="仿宋" w:cs="仿宋"/>
          <w:spacing w:val="8"/>
          <w:sz w:val="23"/>
          <w:szCs w:val="23"/>
        </w:rPr>
        <w:t>4.</w:t>
      </w:r>
      <w:r>
        <w:rPr>
          <w:rFonts w:ascii="仿宋" w:eastAsia="仿宋" w:hAnsi="仿宋" w:cs="仿宋"/>
          <w:spacing w:val="-44"/>
          <w:sz w:val="23"/>
          <w:szCs w:val="23"/>
        </w:rPr>
        <w:t xml:space="preserve"> </w:t>
      </w:r>
      <w:r>
        <w:rPr>
          <w:rFonts w:ascii="仿宋" w:eastAsia="仿宋" w:hAnsi="仿宋" w:cs="仿宋"/>
          <w:spacing w:val="8"/>
          <w:sz w:val="23"/>
          <w:szCs w:val="23"/>
        </w:rPr>
        <w:t>维生素K</w:t>
      </w:r>
    </w:p>
    <w:p w:rsidR="00EA40A3" w:rsidRDefault="00E86C16">
      <w:pPr>
        <w:spacing w:before="204" w:line="231" w:lineRule="auto"/>
        <w:ind w:right="35" w:firstLine="429"/>
        <w:rPr>
          <w:rFonts w:ascii="宋体" w:eastAsia="宋体" w:hAnsi="宋体" w:cs="宋体"/>
          <w:sz w:val="23"/>
          <w:szCs w:val="23"/>
        </w:rPr>
      </w:pPr>
      <w:r>
        <w:rPr>
          <w:rFonts w:ascii="宋体" w:eastAsia="宋体" w:hAnsi="宋体" w:cs="宋体"/>
          <w:spacing w:val="-14"/>
          <w:sz w:val="23"/>
          <w:szCs w:val="23"/>
        </w:rPr>
        <w:t>维生素K</w:t>
      </w:r>
      <w:r>
        <w:rPr>
          <w:rFonts w:ascii="宋体" w:eastAsia="宋体" w:hAnsi="宋体" w:cs="宋体"/>
          <w:spacing w:val="-5"/>
          <w:sz w:val="23"/>
          <w:szCs w:val="23"/>
        </w:rPr>
        <w:t xml:space="preserve"> </w:t>
      </w:r>
      <w:r>
        <w:rPr>
          <w:rFonts w:ascii="宋体" w:eastAsia="宋体" w:hAnsi="宋体" w:cs="宋体"/>
          <w:spacing w:val="-14"/>
          <w:sz w:val="23"/>
          <w:szCs w:val="23"/>
        </w:rPr>
        <w:t>又名凝血维生素、抗出血维生素，是含有2-甲基-1</w:t>
      </w:r>
      <w:r>
        <w:rPr>
          <w:rFonts w:ascii="宋体" w:eastAsia="宋体" w:hAnsi="宋体" w:cs="宋体"/>
          <w:spacing w:val="-15"/>
          <w:sz w:val="23"/>
          <w:szCs w:val="23"/>
        </w:rPr>
        <w:t>,4萘醌的一族</w:t>
      </w:r>
      <w:r>
        <w:rPr>
          <w:rFonts w:ascii="宋体" w:eastAsia="宋体" w:hAnsi="宋体" w:cs="宋体"/>
          <w:sz w:val="23"/>
          <w:szCs w:val="23"/>
        </w:rPr>
        <w:t xml:space="preserve"> </w:t>
      </w:r>
      <w:r>
        <w:rPr>
          <w:rFonts w:ascii="宋体" w:eastAsia="宋体" w:hAnsi="宋体" w:cs="宋体"/>
          <w:spacing w:val="-15"/>
          <w:sz w:val="23"/>
          <w:szCs w:val="23"/>
        </w:rPr>
        <w:t>同系物，其中较常见的有天然维生素K</w:t>
      </w:r>
      <w:r>
        <w:rPr>
          <w:rFonts w:ascii="Calibri" w:eastAsia="Calibri" w:hAnsi="Calibri" w:cs="Calibri"/>
          <w:spacing w:val="-15"/>
          <w:sz w:val="23"/>
          <w:szCs w:val="23"/>
        </w:rPr>
        <w:t>₁</w:t>
      </w:r>
      <w:r>
        <w:rPr>
          <w:rFonts w:ascii="Calibri" w:eastAsia="Calibri" w:hAnsi="Calibri" w:cs="Calibri"/>
          <w:spacing w:val="-27"/>
          <w:sz w:val="23"/>
          <w:szCs w:val="23"/>
        </w:rPr>
        <w:t xml:space="preserve"> </w:t>
      </w:r>
      <w:r>
        <w:rPr>
          <w:rFonts w:ascii="宋体" w:eastAsia="宋体" w:hAnsi="宋体" w:cs="宋体"/>
          <w:spacing w:val="-15"/>
          <w:sz w:val="23"/>
          <w:szCs w:val="23"/>
        </w:rPr>
        <w:t>、K</w:t>
      </w:r>
      <w:r>
        <w:rPr>
          <w:rFonts w:ascii="Calibri" w:eastAsia="Calibri" w:hAnsi="Calibri" w:cs="Calibri"/>
          <w:spacing w:val="-15"/>
          <w:sz w:val="23"/>
          <w:szCs w:val="23"/>
        </w:rPr>
        <w:t>₂</w:t>
      </w:r>
      <w:r>
        <w:rPr>
          <w:rFonts w:ascii="Calibri" w:eastAsia="Calibri" w:hAnsi="Calibri" w:cs="Calibri"/>
          <w:spacing w:val="3"/>
          <w:sz w:val="23"/>
          <w:szCs w:val="23"/>
        </w:rPr>
        <w:t xml:space="preserve">    </w:t>
      </w:r>
      <w:r>
        <w:rPr>
          <w:rFonts w:ascii="宋体" w:eastAsia="宋体" w:hAnsi="宋体" w:cs="宋体"/>
          <w:spacing w:val="-15"/>
          <w:sz w:val="23"/>
          <w:szCs w:val="23"/>
        </w:rPr>
        <w:t>(二者区别在于R</w:t>
      </w:r>
      <w:r>
        <w:rPr>
          <w:rFonts w:ascii="宋体" w:eastAsia="宋体" w:hAnsi="宋体" w:cs="宋体"/>
          <w:spacing w:val="-22"/>
          <w:sz w:val="23"/>
          <w:szCs w:val="23"/>
        </w:rPr>
        <w:t xml:space="preserve"> </w:t>
      </w:r>
      <w:r>
        <w:rPr>
          <w:rFonts w:ascii="宋体" w:eastAsia="宋体" w:hAnsi="宋体" w:cs="宋体"/>
          <w:spacing w:val="-15"/>
          <w:sz w:val="23"/>
          <w:szCs w:val="23"/>
        </w:rPr>
        <w:t>侧</w:t>
      </w:r>
      <w:r>
        <w:rPr>
          <w:rFonts w:ascii="宋体" w:eastAsia="宋体" w:hAnsi="宋体" w:cs="宋体"/>
          <w:spacing w:val="-16"/>
          <w:sz w:val="23"/>
          <w:szCs w:val="23"/>
        </w:rPr>
        <w:t>链上连接的烃</w:t>
      </w:r>
    </w:p>
    <w:p w:rsidR="00EA40A3" w:rsidRDefault="00E86C16">
      <w:pPr>
        <w:spacing w:before="26" w:line="237" w:lineRule="auto"/>
        <w:ind w:left="2370" w:hanging="2370"/>
        <w:rPr>
          <w:rFonts w:ascii="宋体" w:eastAsia="宋体" w:hAnsi="宋体" w:cs="宋体"/>
          <w:sz w:val="23"/>
          <w:szCs w:val="23"/>
        </w:rPr>
      </w:pPr>
      <w:r>
        <w:rPr>
          <w:rFonts w:ascii="宋体" w:eastAsia="宋体" w:hAnsi="宋体" w:cs="宋体"/>
          <w:spacing w:val="-11"/>
          <w:sz w:val="23"/>
          <w:szCs w:val="23"/>
        </w:rPr>
        <w:t>基和双键的数目不同),另外还有人工合成的维生素</w:t>
      </w:r>
      <w:r>
        <w:rPr>
          <w:rFonts w:ascii="宋体" w:eastAsia="宋体" w:hAnsi="宋体" w:cs="宋体"/>
          <w:spacing w:val="-62"/>
          <w:sz w:val="23"/>
          <w:szCs w:val="23"/>
        </w:rPr>
        <w:t xml:space="preserve"> </w:t>
      </w:r>
      <w:r>
        <w:rPr>
          <w:rFonts w:ascii="宋体" w:eastAsia="宋体" w:hAnsi="宋体" w:cs="宋体"/>
          <w:spacing w:val="-11"/>
          <w:sz w:val="23"/>
          <w:szCs w:val="23"/>
        </w:rPr>
        <w:t>K</w:t>
      </w:r>
      <w:r>
        <w:rPr>
          <w:rFonts w:ascii="Calibri" w:eastAsia="Calibri" w:hAnsi="Calibri" w:cs="Calibri"/>
          <w:spacing w:val="-11"/>
          <w:sz w:val="23"/>
          <w:szCs w:val="23"/>
        </w:rPr>
        <w:t>₃</w:t>
      </w:r>
      <w:r>
        <w:rPr>
          <w:rFonts w:ascii="Calibri" w:eastAsia="Calibri" w:hAnsi="Calibri" w:cs="Calibri"/>
          <w:spacing w:val="-27"/>
          <w:sz w:val="23"/>
          <w:szCs w:val="23"/>
        </w:rPr>
        <w:t xml:space="preserve"> </w:t>
      </w:r>
      <w:r>
        <w:rPr>
          <w:rFonts w:ascii="宋体" w:eastAsia="宋体" w:hAnsi="宋体" w:cs="宋体"/>
          <w:spacing w:val="-11"/>
          <w:sz w:val="23"/>
          <w:szCs w:val="23"/>
        </w:rPr>
        <w:t>、K</w:t>
      </w:r>
      <w:r>
        <w:rPr>
          <w:rFonts w:ascii="Calibri" w:eastAsia="Calibri" w:hAnsi="Calibri" w:cs="Calibri"/>
          <w:spacing w:val="-11"/>
          <w:sz w:val="23"/>
          <w:szCs w:val="23"/>
        </w:rPr>
        <w:t>₄</w:t>
      </w:r>
      <w:r>
        <w:rPr>
          <w:rFonts w:ascii="Calibri" w:eastAsia="Calibri" w:hAnsi="Calibri" w:cs="Calibri"/>
          <w:spacing w:val="-20"/>
          <w:sz w:val="23"/>
          <w:szCs w:val="23"/>
        </w:rPr>
        <w:t xml:space="preserve"> </w:t>
      </w:r>
      <w:r>
        <w:rPr>
          <w:rFonts w:ascii="宋体" w:eastAsia="宋体" w:hAnsi="宋体" w:cs="宋体"/>
          <w:spacing w:val="-11"/>
          <w:sz w:val="23"/>
          <w:szCs w:val="23"/>
        </w:rPr>
        <w:t>。</w:t>
      </w:r>
      <w:r>
        <w:rPr>
          <w:rFonts w:ascii="宋体" w:eastAsia="宋体" w:hAnsi="宋体" w:cs="宋体"/>
          <w:spacing w:val="-58"/>
          <w:sz w:val="23"/>
          <w:szCs w:val="23"/>
        </w:rPr>
        <w:t xml:space="preserve"> </w:t>
      </w:r>
      <w:r>
        <w:rPr>
          <w:rFonts w:ascii="宋体" w:eastAsia="宋体" w:hAnsi="宋体" w:cs="宋体"/>
          <w:spacing w:val="-11"/>
          <w:sz w:val="23"/>
          <w:szCs w:val="23"/>
        </w:rPr>
        <w:t>维生素K</w:t>
      </w:r>
      <w:r>
        <w:rPr>
          <w:rFonts w:ascii="宋体" w:eastAsia="宋体" w:hAnsi="宋体" w:cs="宋体"/>
          <w:spacing w:val="-15"/>
          <w:sz w:val="23"/>
          <w:szCs w:val="23"/>
        </w:rPr>
        <w:t xml:space="preserve"> </w:t>
      </w:r>
      <w:r>
        <w:rPr>
          <w:rFonts w:ascii="宋体" w:eastAsia="宋体" w:hAnsi="宋体" w:cs="宋体"/>
          <w:spacing w:val="-11"/>
          <w:sz w:val="23"/>
          <w:szCs w:val="23"/>
        </w:rPr>
        <w:t>是一种</w:t>
      </w:r>
      <w:r>
        <w:rPr>
          <w:rFonts w:ascii="宋体" w:eastAsia="宋体" w:hAnsi="宋体" w:cs="宋体"/>
          <w:sz w:val="23"/>
          <w:szCs w:val="23"/>
        </w:rPr>
        <w:t xml:space="preserve"> </w:t>
      </w:r>
      <w:r>
        <w:rPr>
          <w:rFonts w:ascii="宋体" w:eastAsia="宋体" w:hAnsi="宋体" w:cs="宋体"/>
          <w:spacing w:val="-19"/>
          <w:sz w:val="23"/>
          <w:szCs w:val="23"/>
        </w:rPr>
        <w:t>黄色结晶的脂溶性物质，耐热，在湿润和有氧环境中</w:t>
      </w:r>
      <w:r>
        <w:rPr>
          <w:rFonts w:ascii="宋体" w:eastAsia="宋体" w:hAnsi="宋体" w:cs="宋体"/>
          <w:spacing w:val="9"/>
          <w:sz w:val="23"/>
          <w:szCs w:val="23"/>
        </w:rPr>
        <w:t xml:space="preserve"> </w:t>
      </w:r>
      <w:r>
        <w:rPr>
          <w:rFonts w:ascii="宋体" w:eastAsia="宋体" w:hAnsi="宋体" w:cs="宋体"/>
          <w:spacing w:val="-6"/>
          <w:sz w:val="23"/>
          <w:szCs w:val="23"/>
        </w:rPr>
        <w:t>稳定，但易遭酸、碱、氧化剂和光(特别是紫</w:t>
      </w:r>
      <w:r>
        <w:rPr>
          <w:rFonts w:ascii="宋体" w:eastAsia="宋体" w:hAnsi="宋体" w:cs="宋体"/>
          <w:spacing w:val="-7"/>
          <w:sz w:val="23"/>
          <w:szCs w:val="23"/>
        </w:rPr>
        <w:t>外线)</w:t>
      </w:r>
      <w:r>
        <w:rPr>
          <w:rFonts w:ascii="宋体" w:eastAsia="宋体" w:hAnsi="宋体" w:cs="宋体"/>
          <w:sz w:val="23"/>
          <w:szCs w:val="23"/>
        </w:rPr>
        <w:t xml:space="preserve"> </w:t>
      </w:r>
      <w:r>
        <w:rPr>
          <w:rFonts w:ascii="宋体" w:eastAsia="宋体" w:hAnsi="宋体" w:cs="宋体"/>
          <w:spacing w:val="-14"/>
          <w:sz w:val="23"/>
          <w:szCs w:val="23"/>
        </w:rPr>
        <w:t>的破坏。由于天然维生素K</w:t>
      </w:r>
      <w:r>
        <w:rPr>
          <w:rFonts w:ascii="宋体" w:eastAsia="宋体" w:hAnsi="宋体" w:cs="宋体"/>
          <w:spacing w:val="-15"/>
          <w:sz w:val="23"/>
          <w:szCs w:val="23"/>
        </w:rPr>
        <w:t xml:space="preserve"> </w:t>
      </w:r>
      <w:r>
        <w:rPr>
          <w:rFonts w:ascii="宋体" w:eastAsia="宋体" w:hAnsi="宋体" w:cs="宋体"/>
          <w:spacing w:val="-14"/>
          <w:sz w:val="23"/>
          <w:szCs w:val="23"/>
        </w:rPr>
        <w:t>对热稳定，且不溶于水，</w:t>
      </w:r>
      <w:r>
        <w:rPr>
          <w:rFonts w:ascii="宋体" w:eastAsia="宋体" w:hAnsi="宋体" w:cs="宋体"/>
          <w:sz w:val="23"/>
          <w:szCs w:val="23"/>
        </w:rPr>
        <w:t xml:space="preserve"> </w:t>
      </w:r>
      <w:r>
        <w:rPr>
          <w:rFonts w:ascii="宋体" w:eastAsia="宋体" w:hAnsi="宋体" w:cs="宋体"/>
          <w:spacing w:val="-14"/>
          <w:sz w:val="23"/>
          <w:szCs w:val="23"/>
        </w:rPr>
        <w:t>在正常的烹调过程中损失很少(图4-19)。</w:t>
      </w:r>
    </w:p>
    <w:p w:rsidR="00EA40A3" w:rsidRDefault="00E86C16">
      <w:pPr>
        <w:spacing w:before="72" w:line="229" w:lineRule="auto"/>
        <w:rPr>
          <w:rFonts w:ascii="宋体" w:eastAsia="宋体" w:hAnsi="宋体" w:cs="宋体"/>
          <w:sz w:val="23"/>
          <w:szCs w:val="23"/>
        </w:rPr>
      </w:pPr>
      <w:r>
        <w:rPr>
          <w:rFonts w:ascii="宋体" w:eastAsia="宋体" w:hAnsi="宋体" w:cs="宋体"/>
          <w:spacing w:val="-13"/>
          <w:position w:val="3"/>
          <w:sz w:val="19"/>
          <w:szCs w:val="19"/>
        </w:rPr>
        <w:t>图4-</w:t>
      </w:r>
      <w:r>
        <w:rPr>
          <w:rFonts w:ascii="宋体" w:eastAsia="宋体" w:hAnsi="宋体" w:cs="宋体"/>
          <w:spacing w:val="-47"/>
          <w:position w:val="3"/>
          <w:sz w:val="19"/>
          <w:szCs w:val="19"/>
        </w:rPr>
        <w:t xml:space="preserve"> </w:t>
      </w:r>
      <w:r>
        <w:rPr>
          <w:rFonts w:ascii="宋体" w:eastAsia="宋体" w:hAnsi="宋体" w:cs="宋体"/>
          <w:spacing w:val="-13"/>
          <w:position w:val="3"/>
          <w:sz w:val="19"/>
          <w:szCs w:val="19"/>
        </w:rPr>
        <w:t>19</w:t>
      </w:r>
      <w:r>
        <w:rPr>
          <w:rFonts w:ascii="宋体" w:eastAsia="宋体" w:hAnsi="宋体" w:cs="宋体"/>
          <w:spacing w:val="84"/>
          <w:position w:val="3"/>
          <w:sz w:val="19"/>
          <w:szCs w:val="19"/>
        </w:rPr>
        <w:t xml:space="preserve"> </w:t>
      </w:r>
      <w:r>
        <w:rPr>
          <w:rFonts w:ascii="宋体" w:eastAsia="宋体" w:hAnsi="宋体" w:cs="宋体"/>
          <w:spacing w:val="-13"/>
          <w:position w:val="3"/>
          <w:sz w:val="19"/>
          <w:szCs w:val="19"/>
        </w:rPr>
        <w:t>维生素K</w:t>
      </w:r>
      <w:r>
        <w:rPr>
          <w:rFonts w:ascii="宋体" w:eastAsia="宋体" w:hAnsi="宋体" w:cs="宋体"/>
          <w:spacing w:val="-26"/>
          <w:position w:val="3"/>
          <w:sz w:val="19"/>
          <w:szCs w:val="19"/>
        </w:rPr>
        <w:t xml:space="preserve"> </w:t>
      </w:r>
      <w:r>
        <w:rPr>
          <w:rFonts w:ascii="宋体" w:eastAsia="宋体" w:hAnsi="宋体" w:cs="宋体"/>
          <w:spacing w:val="-13"/>
          <w:position w:val="3"/>
          <w:sz w:val="19"/>
          <w:szCs w:val="19"/>
        </w:rPr>
        <w:t>结构</w:t>
      </w:r>
      <w:r>
        <w:rPr>
          <w:rFonts w:ascii="宋体" w:eastAsia="宋体" w:hAnsi="宋体" w:cs="宋体"/>
          <w:spacing w:val="3"/>
          <w:position w:val="3"/>
          <w:sz w:val="19"/>
          <w:szCs w:val="19"/>
        </w:rPr>
        <w:t xml:space="preserve">          </w:t>
      </w:r>
      <w:r>
        <w:rPr>
          <w:rFonts w:ascii="宋体" w:eastAsia="宋体" w:hAnsi="宋体" w:cs="宋体"/>
          <w:spacing w:val="-13"/>
          <w:position w:val="-1"/>
          <w:sz w:val="23"/>
          <w:szCs w:val="23"/>
        </w:rPr>
        <w:t>维生素K 具有凝血作用，它不但是凝血</w:t>
      </w:r>
      <w:r>
        <w:rPr>
          <w:rFonts w:ascii="宋体" w:eastAsia="宋体" w:hAnsi="宋体" w:cs="宋体"/>
          <w:spacing w:val="-14"/>
          <w:position w:val="-1"/>
          <w:sz w:val="23"/>
          <w:szCs w:val="23"/>
        </w:rPr>
        <w:t>酶的主要</w:t>
      </w:r>
    </w:p>
    <w:p w:rsidR="00EA40A3" w:rsidRDefault="00E86C16">
      <w:pPr>
        <w:spacing w:before="74"/>
        <w:ind w:right="81"/>
        <w:jc w:val="right"/>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149</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footerReference w:type="default" r:id="rId121"/>
          <w:pgSz w:w="9220" w:h="13360"/>
          <w:pgMar w:top="400" w:right="945" w:bottom="400" w:left="950" w:header="0" w:footer="0" w:gutter="0"/>
          <w:cols w:space="720"/>
        </w:sectPr>
      </w:pPr>
    </w:p>
    <w:p w:rsidR="00EA40A3" w:rsidRDefault="00EA40A3">
      <w:pPr>
        <w:spacing w:line="299" w:lineRule="auto"/>
      </w:pPr>
    </w:p>
    <w:p w:rsidR="00EA40A3" w:rsidRDefault="00EA40A3">
      <w:pPr>
        <w:spacing w:line="299" w:lineRule="auto"/>
      </w:pPr>
    </w:p>
    <w:p w:rsidR="00EA40A3" w:rsidRDefault="00E86C16">
      <w:pPr>
        <w:spacing w:before="62" w:line="280" w:lineRule="auto"/>
        <w:ind w:right="40"/>
        <w:jc w:val="both"/>
        <w:rPr>
          <w:rFonts w:ascii="宋体" w:eastAsia="宋体" w:hAnsi="宋体" w:cs="宋体"/>
          <w:sz w:val="19"/>
          <w:szCs w:val="19"/>
        </w:rPr>
      </w:pPr>
      <w:bookmarkStart w:id="29" w:name="_bookmark33"/>
      <w:bookmarkEnd w:id="29"/>
      <w:r>
        <w:rPr>
          <w:rFonts w:ascii="宋体" w:eastAsia="宋体" w:hAnsi="宋体" w:cs="宋体"/>
          <w:spacing w:val="21"/>
          <w:sz w:val="19"/>
          <w:szCs w:val="19"/>
        </w:rPr>
        <w:t>成分，而且还能促使肝脏制造凝血酶原。维生素</w:t>
      </w:r>
      <w:r>
        <w:rPr>
          <w:rFonts w:ascii="宋体" w:eastAsia="宋体" w:hAnsi="宋体" w:cs="宋体"/>
          <w:spacing w:val="-36"/>
          <w:sz w:val="19"/>
          <w:szCs w:val="19"/>
        </w:rPr>
        <w:t xml:space="preserve"> </w:t>
      </w:r>
      <w:r>
        <w:rPr>
          <w:rFonts w:ascii="宋体" w:eastAsia="宋体" w:hAnsi="宋体" w:cs="宋体"/>
          <w:spacing w:val="21"/>
          <w:sz w:val="19"/>
          <w:szCs w:val="19"/>
        </w:rPr>
        <w:t>K</w:t>
      </w:r>
      <w:r>
        <w:rPr>
          <w:rFonts w:ascii="宋体" w:eastAsia="宋体" w:hAnsi="宋体" w:cs="宋体"/>
          <w:spacing w:val="34"/>
          <w:sz w:val="19"/>
          <w:szCs w:val="19"/>
        </w:rPr>
        <w:t xml:space="preserve"> </w:t>
      </w:r>
      <w:r>
        <w:rPr>
          <w:rFonts w:ascii="宋体" w:eastAsia="宋体" w:hAnsi="宋体" w:cs="宋体"/>
          <w:spacing w:val="21"/>
          <w:sz w:val="19"/>
          <w:szCs w:val="19"/>
        </w:rPr>
        <w:t>缺乏时会延长血液凝固时间</w:t>
      </w:r>
      <w:r>
        <w:rPr>
          <w:rFonts w:ascii="宋体" w:eastAsia="宋体" w:hAnsi="宋体" w:cs="宋体"/>
          <w:sz w:val="19"/>
          <w:szCs w:val="19"/>
        </w:rPr>
        <w:t xml:space="preserve"> </w:t>
      </w:r>
      <w:r>
        <w:rPr>
          <w:rFonts w:ascii="宋体" w:eastAsia="宋体" w:hAnsi="宋体" w:cs="宋体"/>
          <w:spacing w:val="16"/>
          <w:sz w:val="19"/>
          <w:szCs w:val="19"/>
        </w:rPr>
        <w:t>而造成出血过多。由于肠道细菌可以合成维生素K</w:t>
      </w:r>
      <w:r>
        <w:rPr>
          <w:rFonts w:ascii="Calibri" w:eastAsia="Calibri" w:hAnsi="Calibri" w:cs="Calibri"/>
          <w:spacing w:val="16"/>
          <w:sz w:val="19"/>
          <w:szCs w:val="19"/>
        </w:rPr>
        <w:t>₂</w:t>
      </w:r>
      <w:r>
        <w:rPr>
          <w:rFonts w:ascii="宋体" w:eastAsia="宋体" w:hAnsi="宋体" w:cs="宋体"/>
          <w:spacing w:val="16"/>
          <w:sz w:val="19"/>
          <w:szCs w:val="19"/>
        </w:rPr>
        <w:t>,</w:t>
      </w:r>
      <w:r>
        <w:rPr>
          <w:rFonts w:ascii="宋体" w:eastAsia="宋体" w:hAnsi="宋体" w:cs="宋体"/>
          <w:spacing w:val="10"/>
          <w:sz w:val="19"/>
          <w:szCs w:val="19"/>
        </w:rPr>
        <w:t xml:space="preserve">  </w:t>
      </w:r>
      <w:r>
        <w:rPr>
          <w:rFonts w:ascii="宋体" w:eastAsia="宋体" w:hAnsi="宋体" w:cs="宋体"/>
          <w:spacing w:val="16"/>
          <w:sz w:val="19"/>
          <w:szCs w:val="19"/>
        </w:rPr>
        <w:t>所以一般正常</w:t>
      </w:r>
      <w:r>
        <w:rPr>
          <w:rFonts w:ascii="宋体" w:eastAsia="宋体" w:hAnsi="宋体" w:cs="宋体"/>
          <w:spacing w:val="15"/>
          <w:sz w:val="19"/>
          <w:szCs w:val="19"/>
        </w:rPr>
        <w:t>人都不缺乏。</w:t>
      </w:r>
      <w:r>
        <w:rPr>
          <w:rFonts w:ascii="宋体" w:eastAsia="宋体" w:hAnsi="宋体" w:cs="宋体"/>
          <w:sz w:val="19"/>
          <w:szCs w:val="19"/>
        </w:rPr>
        <w:t xml:space="preserve"> </w:t>
      </w:r>
      <w:r>
        <w:rPr>
          <w:rFonts w:ascii="宋体" w:eastAsia="宋体" w:hAnsi="宋体" w:cs="宋体"/>
          <w:spacing w:val="21"/>
          <w:sz w:val="19"/>
          <w:szCs w:val="19"/>
        </w:rPr>
        <w:t>如长期服用大量抗菌药物或持续腹泻后，则可能引发维生素</w:t>
      </w:r>
      <w:r>
        <w:rPr>
          <w:rFonts w:ascii="宋体" w:eastAsia="宋体" w:hAnsi="宋体" w:cs="宋体"/>
          <w:spacing w:val="-46"/>
          <w:sz w:val="19"/>
          <w:szCs w:val="19"/>
        </w:rPr>
        <w:t xml:space="preserve"> </w:t>
      </w:r>
      <w:r>
        <w:rPr>
          <w:rFonts w:ascii="宋体" w:eastAsia="宋体" w:hAnsi="宋体" w:cs="宋体"/>
          <w:spacing w:val="21"/>
          <w:sz w:val="19"/>
          <w:szCs w:val="19"/>
        </w:rPr>
        <w:t>K</w:t>
      </w:r>
      <w:r>
        <w:rPr>
          <w:rFonts w:ascii="宋体" w:eastAsia="宋体" w:hAnsi="宋体" w:cs="宋体"/>
          <w:spacing w:val="34"/>
          <w:sz w:val="19"/>
          <w:szCs w:val="19"/>
        </w:rPr>
        <w:t xml:space="preserve"> </w:t>
      </w:r>
      <w:r>
        <w:rPr>
          <w:rFonts w:ascii="宋体" w:eastAsia="宋体" w:hAnsi="宋体" w:cs="宋体"/>
          <w:spacing w:val="21"/>
          <w:sz w:val="19"/>
          <w:szCs w:val="19"/>
        </w:rPr>
        <w:t>缺乏症，出现皮</w:t>
      </w:r>
      <w:r>
        <w:rPr>
          <w:rFonts w:ascii="宋体" w:eastAsia="宋体" w:hAnsi="宋体" w:cs="宋体"/>
          <w:sz w:val="19"/>
          <w:szCs w:val="19"/>
        </w:rPr>
        <w:t xml:space="preserve"> </w:t>
      </w:r>
      <w:r>
        <w:rPr>
          <w:rFonts w:ascii="宋体" w:eastAsia="宋体" w:hAnsi="宋体" w:cs="宋体"/>
          <w:spacing w:val="23"/>
          <w:sz w:val="19"/>
          <w:szCs w:val="19"/>
        </w:rPr>
        <w:t>下和胃肠道出血、凝血时间延长等症状。新生儿由于肠道内的细菌尚</w:t>
      </w:r>
      <w:r>
        <w:rPr>
          <w:rFonts w:ascii="宋体" w:eastAsia="宋体" w:hAnsi="宋体" w:cs="宋体"/>
          <w:spacing w:val="22"/>
          <w:sz w:val="19"/>
          <w:szCs w:val="19"/>
        </w:rPr>
        <w:t>未充分生</w:t>
      </w:r>
      <w:r>
        <w:rPr>
          <w:rFonts w:ascii="宋体" w:eastAsia="宋体" w:hAnsi="宋体" w:cs="宋体"/>
          <w:sz w:val="19"/>
          <w:szCs w:val="19"/>
        </w:rPr>
        <w:t xml:space="preserve"> </w:t>
      </w:r>
      <w:r>
        <w:rPr>
          <w:rFonts w:ascii="宋体" w:eastAsia="宋体" w:hAnsi="宋体" w:cs="宋体"/>
          <w:spacing w:val="22"/>
          <w:sz w:val="19"/>
          <w:szCs w:val="19"/>
        </w:rPr>
        <w:t>长，奶中的维生素</w:t>
      </w:r>
      <w:r>
        <w:rPr>
          <w:rFonts w:ascii="宋体" w:eastAsia="宋体" w:hAnsi="宋体" w:cs="宋体"/>
          <w:spacing w:val="-54"/>
          <w:sz w:val="19"/>
          <w:szCs w:val="19"/>
        </w:rPr>
        <w:t xml:space="preserve"> </w:t>
      </w:r>
      <w:r>
        <w:rPr>
          <w:rFonts w:ascii="宋体" w:eastAsia="宋体" w:hAnsi="宋体" w:cs="宋体"/>
          <w:spacing w:val="22"/>
          <w:sz w:val="19"/>
          <w:szCs w:val="19"/>
        </w:rPr>
        <w:t>K</w:t>
      </w:r>
      <w:r>
        <w:rPr>
          <w:rFonts w:ascii="宋体" w:eastAsia="宋体" w:hAnsi="宋体" w:cs="宋体"/>
          <w:spacing w:val="24"/>
          <w:sz w:val="19"/>
          <w:szCs w:val="19"/>
        </w:rPr>
        <w:t xml:space="preserve"> </w:t>
      </w:r>
      <w:r>
        <w:rPr>
          <w:rFonts w:ascii="宋体" w:eastAsia="宋体" w:hAnsi="宋体" w:cs="宋体"/>
          <w:spacing w:val="22"/>
          <w:sz w:val="19"/>
          <w:szCs w:val="19"/>
        </w:rPr>
        <w:t>的含量又很低，因此，对有些出</w:t>
      </w:r>
      <w:r>
        <w:rPr>
          <w:rFonts w:ascii="宋体" w:eastAsia="宋体" w:hAnsi="宋体" w:cs="宋体"/>
          <w:spacing w:val="21"/>
          <w:sz w:val="19"/>
          <w:szCs w:val="19"/>
        </w:rPr>
        <w:t>生不久的婴儿，可以考虑</w:t>
      </w:r>
      <w:r>
        <w:rPr>
          <w:rFonts w:ascii="宋体" w:eastAsia="宋体" w:hAnsi="宋体" w:cs="宋体"/>
          <w:sz w:val="19"/>
          <w:szCs w:val="19"/>
        </w:rPr>
        <w:t xml:space="preserve"> </w:t>
      </w:r>
      <w:r>
        <w:rPr>
          <w:rFonts w:ascii="宋体" w:eastAsia="宋体" w:hAnsi="宋体" w:cs="宋体"/>
          <w:spacing w:val="13"/>
          <w:sz w:val="19"/>
          <w:szCs w:val="19"/>
        </w:rPr>
        <w:t>维生素</w:t>
      </w:r>
      <w:r>
        <w:rPr>
          <w:rFonts w:ascii="宋体" w:eastAsia="宋体" w:hAnsi="宋体" w:cs="宋体"/>
          <w:spacing w:val="-50"/>
          <w:sz w:val="19"/>
          <w:szCs w:val="19"/>
        </w:rPr>
        <w:t xml:space="preserve"> </w:t>
      </w:r>
      <w:r>
        <w:rPr>
          <w:rFonts w:ascii="宋体" w:eastAsia="宋体" w:hAnsi="宋体" w:cs="宋体"/>
          <w:spacing w:val="13"/>
          <w:sz w:val="19"/>
          <w:szCs w:val="19"/>
        </w:rPr>
        <w:t>K</w:t>
      </w:r>
      <w:r>
        <w:rPr>
          <w:rFonts w:ascii="宋体" w:eastAsia="宋体" w:hAnsi="宋体" w:cs="宋体"/>
          <w:spacing w:val="24"/>
          <w:sz w:val="19"/>
          <w:szCs w:val="19"/>
        </w:rPr>
        <w:t xml:space="preserve"> </w:t>
      </w:r>
      <w:r>
        <w:rPr>
          <w:rFonts w:ascii="宋体" w:eastAsia="宋体" w:hAnsi="宋体" w:cs="宋体"/>
          <w:spacing w:val="13"/>
          <w:sz w:val="19"/>
          <w:szCs w:val="19"/>
        </w:rPr>
        <w:t>肌肉注射，以预防新生儿出血。</w:t>
      </w:r>
    </w:p>
    <w:p w:rsidR="00EA40A3" w:rsidRDefault="00E86C16">
      <w:pPr>
        <w:spacing w:before="111" w:line="274" w:lineRule="auto"/>
        <w:ind w:firstLine="419"/>
        <w:jc w:val="both"/>
        <w:rPr>
          <w:rFonts w:ascii="宋体" w:eastAsia="宋体" w:hAnsi="宋体" w:cs="宋体"/>
          <w:sz w:val="19"/>
          <w:szCs w:val="19"/>
        </w:rPr>
      </w:pPr>
      <w:r>
        <w:rPr>
          <w:rFonts w:ascii="宋体" w:eastAsia="宋体" w:hAnsi="宋体" w:cs="宋体"/>
          <w:spacing w:val="23"/>
          <w:sz w:val="19"/>
          <w:szCs w:val="19"/>
        </w:rPr>
        <w:t>维生素K</w:t>
      </w:r>
      <w:r>
        <w:rPr>
          <w:rFonts w:ascii="宋体" w:eastAsia="宋体" w:hAnsi="宋体" w:cs="宋体"/>
          <w:spacing w:val="24"/>
          <w:sz w:val="19"/>
          <w:szCs w:val="19"/>
        </w:rPr>
        <w:t xml:space="preserve"> </w:t>
      </w:r>
      <w:r>
        <w:rPr>
          <w:rFonts w:ascii="宋体" w:eastAsia="宋体" w:hAnsi="宋体" w:cs="宋体"/>
          <w:spacing w:val="23"/>
          <w:sz w:val="19"/>
          <w:szCs w:val="19"/>
        </w:rPr>
        <w:t>广泛存在于动植物食品中，且人体又能合成，所以未规定</w:t>
      </w:r>
      <w:r>
        <w:rPr>
          <w:rFonts w:ascii="宋体" w:eastAsia="宋体" w:hAnsi="宋体" w:cs="宋体"/>
          <w:spacing w:val="22"/>
          <w:sz w:val="19"/>
          <w:szCs w:val="19"/>
        </w:rPr>
        <w:t>供给量</w:t>
      </w:r>
      <w:r>
        <w:rPr>
          <w:rFonts w:ascii="宋体" w:eastAsia="宋体" w:hAnsi="宋体" w:cs="宋体"/>
          <w:sz w:val="19"/>
          <w:szCs w:val="19"/>
        </w:rPr>
        <w:t xml:space="preserve">  </w:t>
      </w:r>
      <w:r>
        <w:rPr>
          <w:rFonts w:ascii="宋体" w:eastAsia="宋体" w:hAnsi="宋体" w:cs="宋体"/>
          <w:spacing w:val="8"/>
          <w:sz w:val="19"/>
          <w:szCs w:val="19"/>
        </w:rPr>
        <w:t>标准，</w:t>
      </w:r>
      <w:r>
        <w:rPr>
          <w:rFonts w:ascii="宋体" w:eastAsia="宋体" w:hAnsi="宋体" w:cs="宋体"/>
          <w:spacing w:val="32"/>
          <w:sz w:val="19"/>
          <w:szCs w:val="19"/>
        </w:rPr>
        <w:t xml:space="preserve"> </w:t>
      </w:r>
      <w:r>
        <w:rPr>
          <w:rFonts w:ascii="宋体" w:eastAsia="宋体" w:hAnsi="宋体" w:cs="宋体"/>
          <w:spacing w:val="8"/>
          <w:sz w:val="19"/>
          <w:szCs w:val="19"/>
        </w:rPr>
        <w:t>一般认为成年人每日供给20～100</w:t>
      </w:r>
      <w:r>
        <w:rPr>
          <w:rFonts w:ascii="宋体" w:eastAsia="宋体" w:hAnsi="宋体" w:cs="宋体"/>
          <w:spacing w:val="-24"/>
          <w:sz w:val="19"/>
          <w:szCs w:val="19"/>
        </w:rPr>
        <w:t xml:space="preserve"> </w:t>
      </w:r>
      <w:r>
        <w:rPr>
          <w:rFonts w:ascii="宋体" w:eastAsia="宋体" w:hAnsi="宋体" w:cs="宋体"/>
          <w:spacing w:val="7"/>
          <w:sz w:val="19"/>
          <w:szCs w:val="19"/>
        </w:rPr>
        <w:t>μg,</w:t>
      </w:r>
      <w:r>
        <w:rPr>
          <w:rFonts w:ascii="宋体" w:eastAsia="宋体" w:hAnsi="宋体" w:cs="宋体"/>
          <w:spacing w:val="35"/>
          <w:sz w:val="19"/>
          <w:szCs w:val="19"/>
        </w:rPr>
        <w:t xml:space="preserve"> </w:t>
      </w:r>
      <w:r>
        <w:rPr>
          <w:rFonts w:ascii="宋体" w:eastAsia="宋体" w:hAnsi="宋体" w:cs="宋体"/>
          <w:spacing w:val="7"/>
          <w:sz w:val="19"/>
          <w:szCs w:val="19"/>
        </w:rPr>
        <w:t>婴儿不少于20μg</w:t>
      </w:r>
      <w:r>
        <w:rPr>
          <w:rFonts w:ascii="宋体" w:eastAsia="宋体" w:hAnsi="宋体" w:cs="宋体"/>
          <w:spacing w:val="-30"/>
          <w:sz w:val="19"/>
          <w:szCs w:val="19"/>
        </w:rPr>
        <w:t xml:space="preserve"> </w:t>
      </w:r>
      <w:r>
        <w:rPr>
          <w:rFonts w:ascii="宋体" w:eastAsia="宋体" w:hAnsi="宋体" w:cs="宋体"/>
          <w:spacing w:val="7"/>
          <w:sz w:val="19"/>
          <w:szCs w:val="19"/>
        </w:rPr>
        <w:t>就可以满足要求。</w:t>
      </w:r>
      <w:r>
        <w:rPr>
          <w:rFonts w:ascii="宋体" w:eastAsia="宋体" w:hAnsi="宋体" w:cs="宋体"/>
          <w:sz w:val="19"/>
          <w:szCs w:val="19"/>
        </w:rPr>
        <w:t xml:space="preserve"> </w:t>
      </w:r>
      <w:r>
        <w:rPr>
          <w:rFonts w:ascii="宋体" w:eastAsia="宋体" w:hAnsi="宋体" w:cs="宋体"/>
          <w:spacing w:val="21"/>
          <w:sz w:val="19"/>
          <w:szCs w:val="19"/>
        </w:rPr>
        <w:t>绿色蔬菜如菠菜、莴苣、萝卜缨、花茎甘蓝等是膳食维生素</w:t>
      </w:r>
      <w:r>
        <w:rPr>
          <w:rFonts w:ascii="宋体" w:eastAsia="宋体" w:hAnsi="宋体" w:cs="宋体"/>
          <w:spacing w:val="-45"/>
          <w:sz w:val="19"/>
          <w:szCs w:val="19"/>
        </w:rPr>
        <w:t xml:space="preserve"> </w:t>
      </w:r>
      <w:r>
        <w:rPr>
          <w:rFonts w:ascii="宋体" w:eastAsia="宋体" w:hAnsi="宋体" w:cs="宋体"/>
          <w:spacing w:val="21"/>
          <w:sz w:val="19"/>
          <w:szCs w:val="19"/>
        </w:rPr>
        <w:t>K</w:t>
      </w:r>
      <w:r>
        <w:rPr>
          <w:rFonts w:ascii="宋体" w:eastAsia="宋体" w:hAnsi="宋体" w:cs="宋体"/>
          <w:spacing w:val="35"/>
          <w:sz w:val="19"/>
          <w:szCs w:val="19"/>
        </w:rPr>
        <w:t xml:space="preserve"> </w:t>
      </w:r>
      <w:r>
        <w:rPr>
          <w:rFonts w:ascii="宋体" w:eastAsia="宋体" w:hAnsi="宋体" w:cs="宋体"/>
          <w:spacing w:val="21"/>
          <w:sz w:val="19"/>
          <w:szCs w:val="19"/>
        </w:rPr>
        <w:t>的极好来源</w:t>
      </w:r>
      <w:r>
        <w:rPr>
          <w:rFonts w:ascii="宋体" w:eastAsia="宋体" w:hAnsi="宋体" w:cs="宋体"/>
          <w:spacing w:val="20"/>
          <w:sz w:val="19"/>
          <w:szCs w:val="19"/>
        </w:rPr>
        <w:t>，其</w:t>
      </w:r>
      <w:r>
        <w:rPr>
          <w:rFonts w:ascii="宋体" w:eastAsia="宋体" w:hAnsi="宋体" w:cs="宋体"/>
          <w:sz w:val="19"/>
          <w:szCs w:val="19"/>
        </w:rPr>
        <w:t xml:space="preserve">  </w:t>
      </w:r>
      <w:r>
        <w:rPr>
          <w:rFonts w:ascii="宋体" w:eastAsia="宋体" w:hAnsi="宋体" w:cs="宋体"/>
          <w:spacing w:val="11"/>
          <w:sz w:val="19"/>
          <w:szCs w:val="19"/>
        </w:rPr>
        <w:t>次是动物内脏、肉类与奶类等。</w:t>
      </w:r>
    </w:p>
    <w:p w:rsidR="00EA40A3" w:rsidRDefault="00E86C16">
      <w:pPr>
        <w:spacing w:before="231" w:line="222" w:lineRule="auto"/>
        <w:ind w:left="3222"/>
        <w:rPr>
          <w:rFonts w:ascii="黑体" w:eastAsia="黑体" w:hAnsi="黑体" w:cs="黑体"/>
          <w:sz w:val="19"/>
          <w:szCs w:val="19"/>
        </w:rPr>
      </w:pPr>
      <w:r>
        <w:rPr>
          <w:rFonts w:ascii="黑体" w:eastAsia="黑体" w:hAnsi="黑体" w:cs="黑体"/>
          <w:b/>
          <w:bCs/>
          <w:spacing w:val="-7"/>
          <w:sz w:val="19"/>
          <w:szCs w:val="19"/>
        </w:rPr>
        <w:t>思</w:t>
      </w:r>
      <w:r>
        <w:rPr>
          <w:rFonts w:ascii="黑体" w:eastAsia="黑体" w:hAnsi="黑体" w:cs="黑体"/>
          <w:spacing w:val="33"/>
          <w:sz w:val="19"/>
          <w:szCs w:val="19"/>
        </w:rPr>
        <w:t xml:space="preserve">  </w:t>
      </w:r>
      <w:r>
        <w:rPr>
          <w:rFonts w:ascii="黑体" w:eastAsia="黑体" w:hAnsi="黑体" w:cs="黑体"/>
          <w:b/>
          <w:bCs/>
          <w:spacing w:val="-7"/>
          <w:sz w:val="19"/>
          <w:szCs w:val="19"/>
        </w:rPr>
        <w:t>考</w:t>
      </w:r>
      <w:r>
        <w:rPr>
          <w:rFonts w:ascii="黑体" w:eastAsia="黑体" w:hAnsi="黑体" w:cs="黑体"/>
          <w:spacing w:val="3"/>
          <w:sz w:val="19"/>
          <w:szCs w:val="19"/>
        </w:rPr>
        <w:t xml:space="preserve">  </w:t>
      </w:r>
      <w:r>
        <w:rPr>
          <w:rFonts w:ascii="黑体" w:eastAsia="黑体" w:hAnsi="黑体" w:cs="黑体"/>
          <w:b/>
          <w:bCs/>
          <w:spacing w:val="-7"/>
          <w:sz w:val="19"/>
          <w:szCs w:val="19"/>
        </w:rPr>
        <w:t>题</w:t>
      </w:r>
    </w:p>
    <w:p w:rsidR="00EA40A3" w:rsidRDefault="00E86C16">
      <w:pPr>
        <w:spacing w:before="204" w:line="219" w:lineRule="auto"/>
        <w:ind w:left="419"/>
        <w:rPr>
          <w:rFonts w:ascii="宋体" w:eastAsia="宋体" w:hAnsi="宋体" w:cs="宋体"/>
          <w:sz w:val="19"/>
          <w:szCs w:val="19"/>
        </w:rPr>
      </w:pPr>
      <w:r>
        <w:rPr>
          <w:rFonts w:ascii="宋体" w:eastAsia="宋体" w:hAnsi="宋体" w:cs="宋体"/>
          <w:spacing w:val="-11"/>
          <w:sz w:val="19"/>
          <w:szCs w:val="19"/>
        </w:rPr>
        <w:t>1.</w:t>
      </w:r>
      <w:r>
        <w:rPr>
          <w:rFonts w:ascii="宋体" w:eastAsia="宋体" w:hAnsi="宋体" w:cs="宋体"/>
          <w:spacing w:val="-34"/>
          <w:sz w:val="19"/>
          <w:szCs w:val="19"/>
        </w:rPr>
        <w:t xml:space="preserve"> </w:t>
      </w:r>
      <w:r>
        <w:rPr>
          <w:rFonts w:ascii="宋体" w:eastAsia="宋体" w:hAnsi="宋体" w:cs="宋体"/>
          <w:spacing w:val="-11"/>
          <w:sz w:val="19"/>
          <w:szCs w:val="19"/>
        </w:rPr>
        <w:t>人体必需的常量和微量矿物质元素有哪些种类?</w:t>
      </w:r>
    </w:p>
    <w:p w:rsidR="00EA40A3" w:rsidRDefault="00E86C16">
      <w:pPr>
        <w:spacing w:before="45" w:line="219" w:lineRule="auto"/>
        <w:ind w:left="419"/>
        <w:rPr>
          <w:rFonts w:ascii="宋体" w:eastAsia="宋体" w:hAnsi="宋体" w:cs="宋体"/>
          <w:sz w:val="19"/>
          <w:szCs w:val="19"/>
        </w:rPr>
      </w:pPr>
      <w:r>
        <w:rPr>
          <w:rFonts w:ascii="宋体" w:eastAsia="宋体" w:hAnsi="宋体" w:cs="宋体"/>
          <w:spacing w:val="-10"/>
          <w:sz w:val="19"/>
          <w:szCs w:val="19"/>
        </w:rPr>
        <w:t>2.</w:t>
      </w:r>
      <w:r>
        <w:rPr>
          <w:rFonts w:ascii="宋体" w:eastAsia="宋体" w:hAnsi="宋体" w:cs="宋体"/>
          <w:spacing w:val="-36"/>
          <w:sz w:val="19"/>
          <w:szCs w:val="19"/>
        </w:rPr>
        <w:t xml:space="preserve"> </w:t>
      </w:r>
      <w:r>
        <w:rPr>
          <w:rFonts w:ascii="宋体" w:eastAsia="宋体" w:hAnsi="宋体" w:cs="宋体"/>
          <w:spacing w:val="-10"/>
          <w:sz w:val="19"/>
          <w:szCs w:val="19"/>
        </w:rPr>
        <w:t>矿物质有哪些生理功能?</w:t>
      </w:r>
    </w:p>
    <w:p w:rsidR="00EA40A3" w:rsidRDefault="00E86C16">
      <w:pPr>
        <w:spacing w:before="45" w:line="219" w:lineRule="auto"/>
        <w:ind w:left="419"/>
        <w:rPr>
          <w:rFonts w:ascii="宋体" w:eastAsia="宋体" w:hAnsi="宋体" w:cs="宋体"/>
          <w:sz w:val="19"/>
          <w:szCs w:val="19"/>
        </w:rPr>
      </w:pPr>
      <w:r>
        <w:rPr>
          <w:rFonts w:ascii="宋体" w:eastAsia="宋体" w:hAnsi="宋体" w:cs="宋体"/>
          <w:spacing w:val="-10"/>
          <w:sz w:val="19"/>
          <w:szCs w:val="19"/>
        </w:rPr>
        <w:t>3.</w:t>
      </w:r>
      <w:r>
        <w:rPr>
          <w:rFonts w:ascii="宋体" w:eastAsia="宋体" w:hAnsi="宋体" w:cs="宋体"/>
          <w:spacing w:val="-14"/>
          <w:sz w:val="19"/>
          <w:szCs w:val="19"/>
        </w:rPr>
        <w:t xml:space="preserve"> </w:t>
      </w:r>
      <w:r>
        <w:rPr>
          <w:rFonts w:ascii="宋体" w:eastAsia="宋体" w:hAnsi="宋体" w:cs="宋体"/>
          <w:spacing w:val="-10"/>
          <w:sz w:val="19"/>
          <w:szCs w:val="19"/>
        </w:rPr>
        <w:t>钙、铁、锌都是人体最易缺乏的矿物质，影</w:t>
      </w:r>
      <w:r>
        <w:rPr>
          <w:rFonts w:ascii="宋体" w:eastAsia="宋体" w:hAnsi="宋体" w:cs="宋体"/>
          <w:spacing w:val="-11"/>
          <w:sz w:val="19"/>
          <w:szCs w:val="19"/>
        </w:rPr>
        <w:t>响三者吸收的因素有哪些?</w:t>
      </w:r>
    </w:p>
    <w:p w:rsidR="00EA40A3" w:rsidRDefault="00E86C16">
      <w:pPr>
        <w:spacing w:before="44" w:line="219" w:lineRule="auto"/>
        <w:ind w:left="419"/>
        <w:rPr>
          <w:rFonts w:ascii="宋体" w:eastAsia="宋体" w:hAnsi="宋体" w:cs="宋体"/>
          <w:sz w:val="19"/>
          <w:szCs w:val="19"/>
        </w:rPr>
      </w:pPr>
      <w:r>
        <w:rPr>
          <w:rFonts w:ascii="宋体" w:eastAsia="宋体" w:hAnsi="宋体" w:cs="宋体"/>
          <w:spacing w:val="-11"/>
          <w:sz w:val="19"/>
          <w:szCs w:val="19"/>
        </w:rPr>
        <w:t>4.</w:t>
      </w:r>
      <w:r>
        <w:rPr>
          <w:rFonts w:ascii="宋体" w:eastAsia="宋体" w:hAnsi="宋体" w:cs="宋体"/>
          <w:spacing w:val="-21"/>
          <w:sz w:val="19"/>
          <w:szCs w:val="19"/>
        </w:rPr>
        <w:t xml:space="preserve"> </w:t>
      </w:r>
      <w:r>
        <w:rPr>
          <w:rFonts w:ascii="宋体" w:eastAsia="宋体" w:hAnsi="宋体" w:cs="宋体"/>
          <w:spacing w:val="-11"/>
          <w:sz w:val="19"/>
          <w:szCs w:val="19"/>
        </w:rPr>
        <w:t>为什么谷物和豆类食品中的钙吸收利用率很低，如何提高钙的吸收和利用率?</w:t>
      </w:r>
    </w:p>
    <w:p w:rsidR="00EA40A3" w:rsidRDefault="00E86C16">
      <w:pPr>
        <w:spacing w:before="45" w:line="219" w:lineRule="auto"/>
        <w:ind w:left="419"/>
        <w:rPr>
          <w:rFonts w:ascii="宋体" w:eastAsia="宋体" w:hAnsi="宋体" w:cs="宋体"/>
          <w:sz w:val="19"/>
          <w:szCs w:val="19"/>
        </w:rPr>
      </w:pPr>
      <w:r>
        <w:rPr>
          <w:rFonts w:ascii="宋体" w:eastAsia="宋体" w:hAnsi="宋体" w:cs="宋体"/>
          <w:spacing w:val="-12"/>
          <w:sz w:val="19"/>
          <w:szCs w:val="19"/>
        </w:rPr>
        <w:t>5.</w:t>
      </w:r>
      <w:r>
        <w:rPr>
          <w:rFonts w:ascii="宋体" w:eastAsia="宋体" w:hAnsi="宋体" w:cs="宋体"/>
          <w:spacing w:val="-10"/>
          <w:sz w:val="19"/>
          <w:szCs w:val="19"/>
        </w:rPr>
        <w:t xml:space="preserve"> </w:t>
      </w:r>
      <w:r>
        <w:rPr>
          <w:rFonts w:ascii="宋体" w:eastAsia="宋体" w:hAnsi="宋体" w:cs="宋体"/>
          <w:spacing w:val="-12"/>
          <w:sz w:val="19"/>
          <w:szCs w:val="19"/>
        </w:rPr>
        <w:t>分述人体缺乏钙、铁、锌的典型症状。</w:t>
      </w:r>
    </w:p>
    <w:p w:rsidR="00EA40A3" w:rsidRDefault="00E86C16">
      <w:pPr>
        <w:spacing w:before="44" w:line="219" w:lineRule="auto"/>
        <w:ind w:left="419"/>
        <w:rPr>
          <w:rFonts w:ascii="宋体" w:eastAsia="宋体" w:hAnsi="宋体" w:cs="宋体"/>
          <w:sz w:val="19"/>
          <w:szCs w:val="19"/>
        </w:rPr>
      </w:pPr>
      <w:r>
        <w:rPr>
          <w:rFonts w:ascii="宋体" w:eastAsia="宋体" w:hAnsi="宋体" w:cs="宋体"/>
          <w:spacing w:val="-10"/>
          <w:sz w:val="19"/>
          <w:szCs w:val="19"/>
        </w:rPr>
        <w:t>6.</w:t>
      </w:r>
      <w:r>
        <w:rPr>
          <w:rFonts w:ascii="宋体" w:eastAsia="宋体" w:hAnsi="宋体" w:cs="宋体"/>
          <w:spacing w:val="-37"/>
          <w:sz w:val="19"/>
          <w:szCs w:val="19"/>
        </w:rPr>
        <w:t xml:space="preserve"> </w:t>
      </w:r>
      <w:r>
        <w:rPr>
          <w:rFonts w:ascii="宋体" w:eastAsia="宋体" w:hAnsi="宋体" w:cs="宋体"/>
          <w:spacing w:val="-10"/>
          <w:sz w:val="19"/>
          <w:szCs w:val="19"/>
        </w:rPr>
        <w:t>硒的主要生理功能是什么?</w:t>
      </w:r>
    </w:p>
    <w:p w:rsidR="00EA40A3" w:rsidRDefault="00E86C16">
      <w:pPr>
        <w:spacing w:before="44" w:line="219" w:lineRule="auto"/>
        <w:ind w:left="419"/>
        <w:rPr>
          <w:rFonts w:ascii="宋体" w:eastAsia="宋体" w:hAnsi="宋体" w:cs="宋体"/>
          <w:sz w:val="19"/>
          <w:szCs w:val="19"/>
        </w:rPr>
      </w:pPr>
      <w:r>
        <w:rPr>
          <w:rFonts w:ascii="宋体" w:eastAsia="宋体" w:hAnsi="宋体" w:cs="宋体"/>
          <w:spacing w:val="-10"/>
          <w:sz w:val="19"/>
          <w:szCs w:val="19"/>
        </w:rPr>
        <w:t>7.</w:t>
      </w:r>
      <w:r>
        <w:rPr>
          <w:rFonts w:ascii="宋体" w:eastAsia="宋体" w:hAnsi="宋体" w:cs="宋体"/>
          <w:spacing w:val="-37"/>
          <w:sz w:val="19"/>
          <w:szCs w:val="19"/>
        </w:rPr>
        <w:t xml:space="preserve"> </w:t>
      </w:r>
      <w:r>
        <w:rPr>
          <w:rFonts w:ascii="宋体" w:eastAsia="宋体" w:hAnsi="宋体" w:cs="宋体"/>
          <w:spacing w:val="-10"/>
          <w:sz w:val="19"/>
          <w:szCs w:val="19"/>
        </w:rPr>
        <w:t>碘和氟缺乏与过量分别会引起什么后果?</w:t>
      </w:r>
    </w:p>
    <w:p w:rsidR="00EA40A3" w:rsidRDefault="00E86C16">
      <w:pPr>
        <w:spacing w:before="46" w:line="219" w:lineRule="auto"/>
        <w:ind w:left="419"/>
        <w:rPr>
          <w:rFonts w:ascii="宋体" w:eastAsia="宋体" w:hAnsi="宋体" w:cs="宋体"/>
          <w:sz w:val="19"/>
          <w:szCs w:val="19"/>
        </w:rPr>
      </w:pPr>
      <w:r>
        <w:rPr>
          <w:rFonts w:ascii="宋体" w:eastAsia="宋体" w:hAnsi="宋体" w:cs="宋体"/>
          <w:spacing w:val="-6"/>
          <w:sz w:val="19"/>
          <w:szCs w:val="19"/>
        </w:rPr>
        <w:t>8.</w:t>
      </w:r>
      <w:r>
        <w:rPr>
          <w:rFonts w:ascii="宋体" w:eastAsia="宋体" w:hAnsi="宋体" w:cs="宋体"/>
          <w:spacing w:val="-30"/>
          <w:sz w:val="19"/>
          <w:szCs w:val="19"/>
        </w:rPr>
        <w:t xml:space="preserve"> </w:t>
      </w:r>
      <w:r>
        <w:rPr>
          <w:rFonts w:ascii="宋体" w:eastAsia="宋体" w:hAnsi="宋体" w:cs="宋体"/>
          <w:spacing w:val="-6"/>
          <w:sz w:val="19"/>
          <w:szCs w:val="19"/>
        </w:rPr>
        <w:t>什么是维生素?维生素的种类有哪些?</w:t>
      </w:r>
    </w:p>
    <w:p w:rsidR="00EA40A3" w:rsidRDefault="00E86C16">
      <w:pPr>
        <w:spacing w:before="44" w:line="219" w:lineRule="auto"/>
        <w:ind w:left="419"/>
        <w:rPr>
          <w:rFonts w:ascii="宋体" w:eastAsia="宋体" w:hAnsi="宋体" w:cs="宋体"/>
          <w:sz w:val="19"/>
          <w:szCs w:val="19"/>
        </w:rPr>
      </w:pPr>
      <w:r>
        <w:rPr>
          <w:rFonts w:ascii="宋体" w:eastAsia="宋体" w:hAnsi="宋体" w:cs="宋体"/>
          <w:spacing w:val="-7"/>
          <w:sz w:val="19"/>
          <w:szCs w:val="19"/>
        </w:rPr>
        <w:t>9.</w:t>
      </w:r>
      <w:r>
        <w:rPr>
          <w:rFonts w:ascii="宋体" w:eastAsia="宋体" w:hAnsi="宋体" w:cs="宋体"/>
          <w:spacing w:val="-36"/>
          <w:sz w:val="19"/>
          <w:szCs w:val="19"/>
        </w:rPr>
        <w:t xml:space="preserve"> </w:t>
      </w:r>
      <w:r>
        <w:rPr>
          <w:rFonts w:ascii="宋体" w:eastAsia="宋体" w:hAnsi="宋体" w:cs="宋体"/>
          <w:spacing w:val="-7"/>
          <w:sz w:val="19"/>
          <w:szCs w:val="19"/>
        </w:rPr>
        <w:t>维生素C、</w:t>
      </w:r>
      <w:r>
        <w:rPr>
          <w:rFonts w:ascii="宋体" w:eastAsia="宋体" w:hAnsi="宋体" w:cs="宋体"/>
          <w:spacing w:val="-47"/>
          <w:sz w:val="19"/>
          <w:szCs w:val="19"/>
        </w:rPr>
        <w:t xml:space="preserve"> </w:t>
      </w:r>
      <w:r>
        <w:rPr>
          <w:rFonts w:ascii="宋体" w:eastAsia="宋体" w:hAnsi="宋体" w:cs="宋体"/>
          <w:spacing w:val="-7"/>
          <w:sz w:val="19"/>
          <w:szCs w:val="19"/>
        </w:rPr>
        <w:t>维生素D</w:t>
      </w:r>
      <w:r>
        <w:rPr>
          <w:rFonts w:ascii="宋体" w:eastAsia="宋体" w:hAnsi="宋体" w:cs="宋体"/>
          <w:spacing w:val="-16"/>
          <w:sz w:val="19"/>
          <w:szCs w:val="19"/>
        </w:rPr>
        <w:t xml:space="preserve"> </w:t>
      </w:r>
      <w:r>
        <w:rPr>
          <w:rFonts w:ascii="宋体" w:eastAsia="宋体" w:hAnsi="宋体" w:cs="宋体"/>
          <w:spacing w:val="-7"/>
          <w:sz w:val="19"/>
          <w:szCs w:val="19"/>
        </w:rPr>
        <w:t>摄入过量有什么危害?</w:t>
      </w:r>
    </w:p>
    <w:p w:rsidR="00EA40A3" w:rsidRDefault="00E86C16">
      <w:pPr>
        <w:spacing w:before="45" w:line="219" w:lineRule="auto"/>
        <w:ind w:left="419"/>
        <w:rPr>
          <w:rFonts w:ascii="宋体" w:eastAsia="宋体" w:hAnsi="宋体" w:cs="宋体"/>
          <w:sz w:val="19"/>
          <w:szCs w:val="19"/>
        </w:rPr>
      </w:pPr>
      <w:r>
        <w:rPr>
          <w:rFonts w:ascii="宋体" w:eastAsia="宋体" w:hAnsi="宋体" w:cs="宋体"/>
          <w:spacing w:val="-4"/>
          <w:sz w:val="19"/>
          <w:szCs w:val="19"/>
        </w:rPr>
        <w:t>10.</w:t>
      </w:r>
      <w:r>
        <w:rPr>
          <w:rFonts w:ascii="宋体" w:eastAsia="宋体" w:hAnsi="宋体" w:cs="宋体"/>
          <w:spacing w:val="-45"/>
          <w:sz w:val="19"/>
          <w:szCs w:val="19"/>
        </w:rPr>
        <w:t xml:space="preserve"> </w:t>
      </w:r>
      <w:r>
        <w:rPr>
          <w:rFonts w:ascii="宋体" w:eastAsia="宋体" w:hAnsi="宋体" w:cs="宋体"/>
          <w:spacing w:val="-4"/>
          <w:sz w:val="19"/>
          <w:szCs w:val="19"/>
        </w:rPr>
        <w:t>维生素B</w:t>
      </w:r>
      <w:r>
        <w:rPr>
          <w:rFonts w:ascii="Calibri" w:eastAsia="Calibri" w:hAnsi="Calibri" w:cs="Calibri"/>
          <w:spacing w:val="-4"/>
          <w:sz w:val="19"/>
          <w:szCs w:val="19"/>
        </w:rPr>
        <w:t>₁</w:t>
      </w:r>
      <w:r>
        <w:rPr>
          <w:rFonts w:ascii="Calibri" w:eastAsia="Calibri" w:hAnsi="Calibri" w:cs="Calibri"/>
          <w:spacing w:val="-23"/>
          <w:sz w:val="19"/>
          <w:szCs w:val="19"/>
        </w:rPr>
        <w:t xml:space="preserve"> </w:t>
      </w:r>
      <w:r>
        <w:rPr>
          <w:rFonts w:ascii="宋体" w:eastAsia="宋体" w:hAnsi="宋体" w:cs="宋体"/>
          <w:spacing w:val="-4"/>
          <w:sz w:val="19"/>
          <w:szCs w:val="19"/>
        </w:rPr>
        <w:t>、维生素B2</w:t>
      </w:r>
      <w:r>
        <w:rPr>
          <w:rFonts w:ascii="宋体" w:eastAsia="宋体" w:hAnsi="宋体" w:cs="宋体"/>
          <w:spacing w:val="-51"/>
          <w:sz w:val="19"/>
          <w:szCs w:val="19"/>
        </w:rPr>
        <w:t xml:space="preserve"> </w:t>
      </w:r>
      <w:r>
        <w:rPr>
          <w:rFonts w:ascii="宋体" w:eastAsia="宋体" w:hAnsi="宋体" w:cs="宋体"/>
          <w:spacing w:val="-4"/>
          <w:sz w:val="19"/>
          <w:szCs w:val="19"/>
        </w:rPr>
        <w:t>缺乏时有什么症状?</w:t>
      </w:r>
    </w:p>
    <w:p w:rsidR="00EA40A3" w:rsidRDefault="00E86C16">
      <w:pPr>
        <w:spacing w:before="45" w:line="220" w:lineRule="auto"/>
        <w:ind w:left="419"/>
        <w:rPr>
          <w:rFonts w:ascii="宋体" w:eastAsia="宋体" w:hAnsi="宋体" w:cs="宋体"/>
          <w:sz w:val="19"/>
          <w:szCs w:val="19"/>
        </w:rPr>
      </w:pPr>
      <w:r>
        <w:rPr>
          <w:rFonts w:ascii="宋体" w:eastAsia="宋体" w:hAnsi="宋体" w:cs="宋体"/>
          <w:spacing w:val="-11"/>
          <w:sz w:val="19"/>
          <w:szCs w:val="19"/>
        </w:rPr>
        <w:t>11.</w:t>
      </w:r>
      <w:r>
        <w:rPr>
          <w:rFonts w:ascii="宋体" w:eastAsia="宋体" w:hAnsi="宋体" w:cs="宋体"/>
          <w:spacing w:val="-37"/>
          <w:sz w:val="19"/>
          <w:szCs w:val="19"/>
        </w:rPr>
        <w:t xml:space="preserve"> </w:t>
      </w:r>
      <w:r>
        <w:rPr>
          <w:rFonts w:ascii="宋体" w:eastAsia="宋体" w:hAnsi="宋体" w:cs="宋体"/>
          <w:spacing w:val="-11"/>
          <w:sz w:val="19"/>
          <w:szCs w:val="19"/>
        </w:rPr>
        <w:t>烟酸缺乏的危害有哪些?</w:t>
      </w:r>
    </w:p>
    <w:p w:rsidR="00EA40A3" w:rsidRDefault="00E86C16">
      <w:pPr>
        <w:spacing w:before="43" w:line="219" w:lineRule="auto"/>
        <w:ind w:left="419"/>
        <w:rPr>
          <w:rFonts w:ascii="宋体" w:eastAsia="宋体" w:hAnsi="宋体" w:cs="宋体"/>
          <w:sz w:val="19"/>
          <w:szCs w:val="19"/>
        </w:rPr>
      </w:pPr>
      <w:r>
        <w:rPr>
          <w:rFonts w:ascii="宋体" w:eastAsia="宋体" w:hAnsi="宋体" w:cs="宋体"/>
          <w:spacing w:val="-8"/>
          <w:sz w:val="19"/>
          <w:szCs w:val="19"/>
        </w:rPr>
        <w:t>12.</w:t>
      </w:r>
      <w:r>
        <w:rPr>
          <w:rFonts w:ascii="宋体" w:eastAsia="宋体" w:hAnsi="宋体" w:cs="宋体"/>
          <w:spacing w:val="-48"/>
          <w:sz w:val="19"/>
          <w:szCs w:val="19"/>
        </w:rPr>
        <w:t xml:space="preserve"> </w:t>
      </w:r>
      <w:r>
        <w:rPr>
          <w:rFonts w:ascii="宋体" w:eastAsia="宋体" w:hAnsi="宋体" w:cs="宋体"/>
          <w:spacing w:val="-8"/>
          <w:sz w:val="19"/>
          <w:szCs w:val="19"/>
        </w:rPr>
        <w:t>维生素B</w:t>
      </w:r>
      <w:r>
        <w:rPr>
          <w:rFonts w:ascii="Calibri" w:eastAsia="Calibri" w:hAnsi="Calibri" w:cs="Calibri"/>
          <w:spacing w:val="-8"/>
          <w:sz w:val="19"/>
          <w:szCs w:val="19"/>
        </w:rPr>
        <w:t>₂</w:t>
      </w:r>
      <w:r>
        <w:rPr>
          <w:rFonts w:ascii="Calibri" w:eastAsia="Calibri" w:hAnsi="Calibri" w:cs="Calibri"/>
          <w:spacing w:val="41"/>
          <w:w w:val="101"/>
          <w:sz w:val="19"/>
          <w:szCs w:val="19"/>
        </w:rPr>
        <w:t xml:space="preserve"> </w:t>
      </w:r>
      <w:r>
        <w:rPr>
          <w:rFonts w:ascii="宋体" w:eastAsia="宋体" w:hAnsi="宋体" w:cs="宋体"/>
          <w:spacing w:val="-8"/>
          <w:sz w:val="19"/>
          <w:szCs w:val="19"/>
        </w:rPr>
        <w:t>为何有预防红细胞贫血的作用?</w:t>
      </w:r>
    </w:p>
    <w:p w:rsidR="00EA40A3" w:rsidRDefault="00EA40A3">
      <w:pPr>
        <w:spacing w:line="388" w:lineRule="auto"/>
      </w:pPr>
    </w:p>
    <w:p w:rsidR="00EA40A3" w:rsidRDefault="00E86C16">
      <w:pPr>
        <w:spacing w:before="72" w:line="224" w:lineRule="auto"/>
        <w:ind w:left="1359"/>
        <w:rPr>
          <w:rFonts w:ascii="楷体" w:eastAsia="楷体" w:hAnsi="楷体" w:cs="楷体"/>
          <w:sz w:val="22"/>
          <w:szCs w:val="22"/>
        </w:rPr>
      </w:pPr>
      <w:r>
        <w:rPr>
          <w:rFonts w:ascii="楷体" w:eastAsia="楷体" w:hAnsi="楷体" w:cs="楷体"/>
          <w:spacing w:val="-3"/>
          <w:sz w:val="22"/>
          <w:szCs w:val="22"/>
        </w:rPr>
        <w:t>[本章编写人：冯凤琴(矿物质部分)、雷红涛(</w:t>
      </w:r>
      <w:r>
        <w:rPr>
          <w:rFonts w:ascii="楷体" w:eastAsia="楷体" w:hAnsi="楷体" w:cs="楷体"/>
          <w:spacing w:val="-4"/>
          <w:sz w:val="22"/>
          <w:szCs w:val="22"/>
        </w:rPr>
        <w:t>维生素部分)]</w:t>
      </w:r>
    </w:p>
    <w:p w:rsidR="00EA40A3" w:rsidRDefault="00E86C16">
      <w:pPr>
        <w:spacing w:before="191" w:line="222" w:lineRule="auto"/>
        <w:ind w:left="3062"/>
        <w:rPr>
          <w:rFonts w:ascii="黑体" w:eastAsia="黑体" w:hAnsi="黑体" w:cs="黑体"/>
          <w:sz w:val="19"/>
          <w:szCs w:val="19"/>
        </w:rPr>
      </w:pPr>
      <w:r>
        <w:rPr>
          <w:rFonts w:ascii="黑体" w:eastAsia="黑体" w:hAnsi="黑体" w:cs="黑体"/>
          <w:b/>
          <w:bCs/>
          <w:spacing w:val="4"/>
          <w:sz w:val="19"/>
          <w:szCs w:val="19"/>
        </w:rPr>
        <w:t>主要参考文献</w:t>
      </w:r>
    </w:p>
    <w:p w:rsidR="00EA40A3" w:rsidRDefault="00E86C16">
      <w:pPr>
        <w:spacing w:before="185" w:line="250" w:lineRule="exact"/>
        <w:rPr>
          <w:rFonts w:ascii="宋体" w:eastAsia="宋体" w:hAnsi="宋体" w:cs="宋体"/>
          <w:sz w:val="19"/>
          <w:szCs w:val="19"/>
        </w:rPr>
      </w:pPr>
      <w:r>
        <w:rPr>
          <w:rFonts w:ascii="宋体" w:eastAsia="宋体" w:hAnsi="宋体" w:cs="宋体"/>
          <w:spacing w:val="-21"/>
          <w:position w:val="4"/>
          <w:sz w:val="19"/>
          <w:szCs w:val="19"/>
        </w:rPr>
        <w:t>陈炳卿.2000.营养与食品卫生学。第4版.北京：人民卫生出版社</w:t>
      </w:r>
    </w:p>
    <w:p w:rsidR="00EA40A3" w:rsidRDefault="00E86C16">
      <w:pPr>
        <w:spacing w:before="1" w:line="218" w:lineRule="auto"/>
        <w:rPr>
          <w:rFonts w:ascii="宋体" w:eastAsia="宋体" w:hAnsi="宋体" w:cs="宋体"/>
          <w:sz w:val="19"/>
          <w:szCs w:val="19"/>
        </w:rPr>
      </w:pPr>
      <w:r>
        <w:rPr>
          <w:rFonts w:ascii="宋体" w:eastAsia="宋体" w:hAnsi="宋体" w:cs="宋体"/>
          <w:spacing w:val="-22"/>
          <w:sz w:val="19"/>
          <w:szCs w:val="19"/>
        </w:rPr>
        <w:t>葛可佑.2004.中国营养科学全书.北京：人民卫生出版社</w:t>
      </w:r>
    </w:p>
    <w:p w:rsidR="00EA40A3" w:rsidRDefault="00E86C16">
      <w:pPr>
        <w:spacing w:before="25" w:line="250" w:lineRule="exact"/>
        <w:rPr>
          <w:rFonts w:ascii="宋体" w:eastAsia="宋体" w:hAnsi="宋体" w:cs="宋体"/>
          <w:sz w:val="19"/>
          <w:szCs w:val="19"/>
        </w:rPr>
      </w:pPr>
      <w:r>
        <w:rPr>
          <w:rFonts w:ascii="宋体" w:eastAsia="宋体" w:hAnsi="宋体" w:cs="宋体"/>
          <w:spacing w:val="-21"/>
          <w:w w:val="98"/>
          <w:position w:val="4"/>
          <w:sz w:val="19"/>
          <w:szCs w:val="19"/>
        </w:rPr>
        <w:t>顾景范，杜寿玢，查良锭等。2003.现代临</w:t>
      </w:r>
      <w:r>
        <w:rPr>
          <w:rFonts w:ascii="宋体" w:eastAsia="宋体" w:hAnsi="宋体" w:cs="宋体"/>
          <w:spacing w:val="-22"/>
          <w:w w:val="98"/>
          <w:position w:val="4"/>
          <w:sz w:val="19"/>
          <w:szCs w:val="19"/>
        </w:rPr>
        <w:t>床营养学.北京：科学出版社</w:t>
      </w:r>
    </w:p>
    <w:p w:rsidR="00EA40A3" w:rsidRDefault="00E86C16">
      <w:pPr>
        <w:spacing w:line="218" w:lineRule="auto"/>
        <w:rPr>
          <w:rFonts w:ascii="宋体" w:eastAsia="宋体" w:hAnsi="宋体" w:cs="宋体"/>
          <w:sz w:val="19"/>
          <w:szCs w:val="19"/>
        </w:rPr>
      </w:pPr>
      <w:r>
        <w:rPr>
          <w:rFonts w:ascii="宋体" w:eastAsia="宋体" w:hAnsi="宋体" w:cs="宋体"/>
          <w:spacing w:val="-20"/>
          <w:w w:val="99"/>
          <w:sz w:val="19"/>
          <w:szCs w:val="19"/>
        </w:rPr>
        <w:t>关桂梧.1986.营养学基础与临床实践.北京：北京科学技术出版社</w:t>
      </w:r>
    </w:p>
    <w:p w:rsidR="00EA40A3" w:rsidRDefault="00E86C16">
      <w:pPr>
        <w:spacing w:before="26" w:line="250" w:lineRule="exact"/>
        <w:rPr>
          <w:rFonts w:ascii="宋体" w:eastAsia="宋体" w:hAnsi="宋体" w:cs="宋体"/>
          <w:sz w:val="19"/>
          <w:szCs w:val="19"/>
        </w:rPr>
      </w:pPr>
      <w:r>
        <w:rPr>
          <w:rFonts w:ascii="宋体" w:eastAsia="宋体" w:hAnsi="宋体" w:cs="宋体"/>
          <w:spacing w:val="-14"/>
          <w:position w:val="4"/>
          <w:sz w:val="19"/>
          <w:szCs w:val="19"/>
        </w:rPr>
        <w:t>何志谦.2001.人类营养学.第2版.北京：人民卫生出版社</w:t>
      </w:r>
    </w:p>
    <w:p w:rsidR="00EA40A3" w:rsidRDefault="00E86C16">
      <w:pPr>
        <w:spacing w:line="219" w:lineRule="auto"/>
        <w:rPr>
          <w:rFonts w:ascii="宋体" w:eastAsia="宋体" w:hAnsi="宋体" w:cs="宋体"/>
          <w:sz w:val="19"/>
          <w:szCs w:val="19"/>
        </w:rPr>
      </w:pPr>
      <w:r>
        <w:rPr>
          <w:rFonts w:ascii="宋体" w:eastAsia="宋体" w:hAnsi="宋体" w:cs="宋体"/>
          <w:spacing w:val="-18"/>
          <w:w w:val="98"/>
          <w:sz w:val="19"/>
          <w:szCs w:val="19"/>
        </w:rPr>
        <w:t>姜培珍.2004.营养失衡与健康.北京：</w:t>
      </w:r>
      <w:r>
        <w:rPr>
          <w:rFonts w:ascii="宋体" w:eastAsia="宋体" w:hAnsi="宋体" w:cs="宋体"/>
          <w:spacing w:val="-19"/>
          <w:w w:val="98"/>
          <w:sz w:val="19"/>
          <w:szCs w:val="19"/>
        </w:rPr>
        <w:t>化学工业出版社</w:t>
      </w:r>
    </w:p>
    <w:p w:rsidR="00EA40A3" w:rsidRDefault="00E86C16">
      <w:pPr>
        <w:spacing w:before="23" w:line="219" w:lineRule="auto"/>
        <w:rPr>
          <w:rFonts w:ascii="宋体" w:eastAsia="宋体" w:hAnsi="宋体" w:cs="宋体"/>
          <w:sz w:val="19"/>
          <w:szCs w:val="19"/>
        </w:rPr>
      </w:pPr>
      <w:r>
        <w:rPr>
          <w:rFonts w:ascii="宋体" w:eastAsia="宋体" w:hAnsi="宋体" w:cs="宋体"/>
          <w:spacing w:val="-18"/>
          <w:sz w:val="19"/>
          <w:szCs w:val="19"/>
        </w:rPr>
        <w:t>刘志皋.1991.食品营养学.北京：中国轻工业出版社</w:t>
      </w:r>
    </w:p>
    <w:p w:rsidR="00EA40A3" w:rsidRDefault="00E86C16">
      <w:pPr>
        <w:spacing w:before="25" w:line="219" w:lineRule="auto"/>
        <w:rPr>
          <w:rFonts w:ascii="宋体" w:eastAsia="宋体" w:hAnsi="宋体" w:cs="宋体"/>
          <w:sz w:val="19"/>
          <w:szCs w:val="19"/>
        </w:rPr>
      </w:pPr>
      <w:r>
        <w:rPr>
          <w:rFonts w:ascii="宋体" w:eastAsia="宋体" w:hAnsi="宋体" w:cs="宋体"/>
          <w:spacing w:val="-17"/>
          <w:sz w:val="19"/>
          <w:szCs w:val="19"/>
        </w:rPr>
        <w:t>齐格勒E</w:t>
      </w:r>
      <w:r>
        <w:rPr>
          <w:rFonts w:ascii="宋体" w:eastAsia="宋体" w:hAnsi="宋体" w:cs="宋体"/>
          <w:spacing w:val="21"/>
          <w:sz w:val="19"/>
          <w:szCs w:val="19"/>
        </w:rPr>
        <w:t xml:space="preserve"> </w:t>
      </w:r>
      <w:r>
        <w:rPr>
          <w:rFonts w:ascii="宋体" w:eastAsia="宋体" w:hAnsi="宋体" w:cs="宋体"/>
          <w:spacing w:val="-17"/>
          <w:sz w:val="19"/>
          <w:szCs w:val="19"/>
        </w:rPr>
        <w:t>E.1998.现代营养学.第7版.闻芝梅，陈君石译.北京：人民出版社</w:t>
      </w:r>
    </w:p>
    <w:p w:rsidR="00EA40A3" w:rsidRDefault="00E86C16">
      <w:pPr>
        <w:spacing w:before="24" w:line="232" w:lineRule="auto"/>
        <w:ind w:right="327"/>
        <w:rPr>
          <w:rFonts w:ascii="宋体" w:eastAsia="宋体" w:hAnsi="宋体" w:cs="宋体"/>
          <w:sz w:val="19"/>
          <w:szCs w:val="19"/>
        </w:rPr>
      </w:pPr>
      <w:r>
        <w:rPr>
          <w:rFonts w:ascii="宋体" w:eastAsia="宋体" w:hAnsi="宋体" w:cs="宋体"/>
          <w:spacing w:val="-15"/>
          <w:sz w:val="19"/>
          <w:szCs w:val="19"/>
        </w:rPr>
        <w:t>塞泽尔FS,</w:t>
      </w:r>
      <w:r>
        <w:rPr>
          <w:rFonts w:ascii="宋体" w:eastAsia="宋体" w:hAnsi="宋体" w:cs="宋体"/>
          <w:spacing w:val="24"/>
          <w:sz w:val="19"/>
          <w:szCs w:val="19"/>
        </w:rPr>
        <w:t xml:space="preserve"> </w:t>
      </w:r>
      <w:r>
        <w:rPr>
          <w:rFonts w:ascii="宋体" w:eastAsia="宋体" w:hAnsi="宋体" w:cs="宋体"/>
          <w:spacing w:val="-15"/>
          <w:sz w:val="19"/>
          <w:szCs w:val="19"/>
        </w:rPr>
        <w:t>惠特尼EN.2004.</w:t>
      </w:r>
      <w:r>
        <w:rPr>
          <w:rFonts w:ascii="宋体" w:eastAsia="宋体" w:hAnsi="宋体" w:cs="宋体"/>
          <w:spacing w:val="10"/>
          <w:sz w:val="19"/>
          <w:szCs w:val="19"/>
        </w:rPr>
        <w:t xml:space="preserve"> </w:t>
      </w:r>
      <w:r>
        <w:rPr>
          <w:rFonts w:ascii="宋体" w:eastAsia="宋体" w:hAnsi="宋体" w:cs="宋体"/>
          <w:spacing w:val="-15"/>
          <w:sz w:val="19"/>
          <w:szCs w:val="19"/>
        </w:rPr>
        <w:t>营养学——概念与争论.第8版.王希成译.北京</w:t>
      </w:r>
      <w:r>
        <w:rPr>
          <w:rFonts w:ascii="宋体" w:eastAsia="宋体" w:hAnsi="宋体" w:cs="宋体"/>
          <w:spacing w:val="-16"/>
          <w:sz w:val="19"/>
          <w:szCs w:val="19"/>
        </w:rPr>
        <w:t>：清华大学出版社</w:t>
      </w:r>
      <w:r>
        <w:rPr>
          <w:rFonts w:ascii="宋体" w:eastAsia="宋体" w:hAnsi="宋体" w:cs="宋体"/>
          <w:sz w:val="19"/>
          <w:szCs w:val="19"/>
        </w:rPr>
        <w:t xml:space="preserve"> </w:t>
      </w:r>
      <w:r>
        <w:rPr>
          <w:rFonts w:ascii="宋体" w:eastAsia="宋体" w:hAnsi="宋体" w:cs="宋体"/>
          <w:spacing w:val="-23"/>
          <w:sz w:val="19"/>
          <w:szCs w:val="19"/>
        </w:rPr>
        <w:t>孙远明，余群力.2002.食品营养学.北京：中</w:t>
      </w:r>
      <w:r>
        <w:rPr>
          <w:rFonts w:ascii="宋体" w:eastAsia="宋体" w:hAnsi="宋体" w:cs="宋体"/>
          <w:spacing w:val="-24"/>
          <w:sz w:val="19"/>
          <w:szCs w:val="19"/>
        </w:rPr>
        <w:t>国农业大学出版社</w:t>
      </w:r>
    </w:p>
    <w:p w:rsidR="00EA40A3" w:rsidRDefault="00E86C16">
      <w:pPr>
        <w:spacing w:before="24" w:line="219" w:lineRule="auto"/>
        <w:rPr>
          <w:rFonts w:ascii="宋体" w:eastAsia="宋体" w:hAnsi="宋体" w:cs="宋体"/>
          <w:sz w:val="19"/>
          <w:szCs w:val="19"/>
        </w:rPr>
      </w:pPr>
      <w:r>
        <w:rPr>
          <w:rFonts w:ascii="宋体" w:eastAsia="宋体" w:hAnsi="宋体" w:cs="宋体"/>
          <w:spacing w:val="-18"/>
          <w:sz w:val="19"/>
          <w:szCs w:val="19"/>
        </w:rPr>
        <w:t>王光慈.2001.食品营养学.北京：中国农业出版社</w:t>
      </w:r>
    </w:p>
    <w:p w:rsidR="00EA40A3" w:rsidRDefault="00E86C16">
      <w:pPr>
        <w:spacing w:before="113"/>
        <w:rPr>
          <w:rFonts w:ascii="宋体" w:eastAsia="宋体" w:hAnsi="宋体" w:cs="宋体"/>
          <w:sz w:val="19"/>
          <w:szCs w:val="19"/>
        </w:rPr>
      </w:pPr>
      <w:r>
        <w:rPr>
          <w:rFonts w:ascii="宋体" w:eastAsia="宋体" w:hAnsi="宋体" w:cs="宋体"/>
          <w:spacing w:val="-34"/>
          <w:sz w:val="19"/>
          <w:szCs w:val="19"/>
        </w:rPr>
        <w:t>·</w:t>
      </w:r>
      <w:r>
        <w:rPr>
          <w:rFonts w:ascii="宋体" w:eastAsia="宋体" w:hAnsi="宋体" w:cs="宋体"/>
          <w:spacing w:val="-2"/>
          <w:sz w:val="19"/>
          <w:szCs w:val="19"/>
        </w:rPr>
        <w:t xml:space="preserve"> </w:t>
      </w:r>
      <w:r>
        <w:rPr>
          <w:rFonts w:ascii="宋体" w:eastAsia="宋体" w:hAnsi="宋体" w:cs="宋体"/>
          <w:spacing w:val="-34"/>
          <w:sz w:val="19"/>
          <w:szCs w:val="19"/>
        </w:rPr>
        <w:t>150</w:t>
      </w:r>
      <w:r>
        <w:rPr>
          <w:rFonts w:ascii="宋体" w:eastAsia="宋体" w:hAnsi="宋体" w:cs="宋体"/>
          <w:spacing w:val="40"/>
          <w:sz w:val="19"/>
          <w:szCs w:val="19"/>
        </w:rPr>
        <w:t xml:space="preserve"> </w:t>
      </w:r>
      <w:r>
        <w:rPr>
          <w:rFonts w:ascii="宋体" w:eastAsia="宋体" w:hAnsi="宋体" w:cs="宋体"/>
          <w:spacing w:val="-34"/>
          <w:sz w:val="19"/>
          <w:szCs w:val="19"/>
        </w:rPr>
        <w:t>·</w:t>
      </w:r>
    </w:p>
    <w:p w:rsidR="00EA40A3" w:rsidRDefault="00EA40A3">
      <w:pPr>
        <w:sectPr w:rsidR="00EA40A3">
          <w:pgSz w:w="9220" w:h="13360"/>
          <w:pgMar w:top="400" w:right="1095" w:bottom="400" w:left="780" w:header="0" w:footer="0" w:gutter="0"/>
          <w:cols w:space="720"/>
        </w:sectPr>
      </w:pPr>
    </w:p>
    <w:p w:rsidR="00EA40A3" w:rsidRDefault="00EA40A3">
      <w:pPr>
        <w:spacing w:line="295" w:lineRule="auto"/>
      </w:pPr>
    </w:p>
    <w:p w:rsidR="00EA40A3" w:rsidRDefault="00EA40A3">
      <w:pPr>
        <w:spacing w:line="295" w:lineRule="auto"/>
      </w:pPr>
    </w:p>
    <w:p w:rsidR="00EA40A3" w:rsidRDefault="00E86C16">
      <w:pPr>
        <w:spacing w:before="52" w:line="260" w:lineRule="exact"/>
        <w:rPr>
          <w:rFonts w:ascii="宋体" w:eastAsia="宋体" w:hAnsi="宋体" w:cs="宋体"/>
          <w:sz w:val="16"/>
          <w:szCs w:val="16"/>
        </w:rPr>
      </w:pPr>
      <w:r>
        <w:rPr>
          <w:rFonts w:ascii="宋体" w:eastAsia="宋体" w:hAnsi="宋体" w:cs="宋体"/>
          <w:spacing w:val="8"/>
          <w:position w:val="7"/>
          <w:sz w:val="16"/>
          <w:szCs w:val="16"/>
        </w:rPr>
        <w:t>王丽娟，王勇.2004.牛磺酸药理作用的研究进展.天津药学，16(5):46~48</w:t>
      </w:r>
    </w:p>
    <w:p w:rsidR="00EA40A3" w:rsidRDefault="00E86C16">
      <w:pPr>
        <w:spacing w:line="218" w:lineRule="auto"/>
        <w:rPr>
          <w:rFonts w:ascii="宋体" w:eastAsia="宋体" w:hAnsi="宋体" w:cs="宋体"/>
          <w:sz w:val="16"/>
          <w:szCs w:val="16"/>
        </w:rPr>
      </w:pPr>
      <w:r>
        <w:rPr>
          <w:rFonts w:ascii="宋体" w:eastAsia="宋体" w:hAnsi="宋体" w:cs="宋体"/>
          <w:spacing w:val="2"/>
          <w:sz w:val="16"/>
          <w:szCs w:val="16"/>
        </w:rPr>
        <w:t>王银瑞，胡军，解柱华.1992.食品营养学.西安：陕西科学技术出版社</w:t>
      </w:r>
    </w:p>
    <w:p w:rsidR="00EA40A3" w:rsidRDefault="00E86C16">
      <w:pPr>
        <w:spacing w:before="71" w:line="219" w:lineRule="auto"/>
        <w:rPr>
          <w:rFonts w:ascii="宋体" w:eastAsia="宋体" w:hAnsi="宋体" w:cs="宋体"/>
          <w:sz w:val="16"/>
          <w:szCs w:val="16"/>
        </w:rPr>
      </w:pPr>
      <w:r>
        <w:rPr>
          <w:rFonts w:ascii="宋体" w:eastAsia="宋体" w:hAnsi="宋体" w:cs="宋体"/>
          <w:spacing w:val="4"/>
          <w:sz w:val="16"/>
          <w:szCs w:val="16"/>
        </w:rPr>
        <w:t>吴坤.2003.营养与食品卫生学..第5版.北京：人民卫生出版社</w:t>
      </w:r>
    </w:p>
    <w:p w:rsidR="00EA40A3" w:rsidRDefault="00E86C16">
      <w:pPr>
        <w:spacing w:before="70" w:line="219" w:lineRule="auto"/>
        <w:rPr>
          <w:rFonts w:ascii="宋体" w:eastAsia="宋体" w:hAnsi="宋体" w:cs="宋体"/>
          <w:sz w:val="16"/>
          <w:szCs w:val="16"/>
        </w:rPr>
      </w:pPr>
      <w:r>
        <w:rPr>
          <w:rFonts w:ascii="宋体" w:eastAsia="宋体" w:hAnsi="宋体" w:cs="宋体"/>
          <w:spacing w:val="3"/>
          <w:sz w:val="16"/>
          <w:szCs w:val="16"/>
        </w:rPr>
        <w:t>姚汉亭.1995.食品营养学.北京：中国农业出版社</w:t>
      </w:r>
    </w:p>
    <w:p w:rsidR="00EA40A3" w:rsidRDefault="00E86C16">
      <w:pPr>
        <w:spacing w:before="70" w:line="219" w:lineRule="auto"/>
        <w:rPr>
          <w:rFonts w:ascii="宋体" w:eastAsia="宋体" w:hAnsi="宋体" w:cs="宋体"/>
          <w:sz w:val="16"/>
          <w:szCs w:val="16"/>
        </w:rPr>
      </w:pPr>
      <w:r>
        <w:rPr>
          <w:rFonts w:ascii="宋体" w:eastAsia="宋体" w:hAnsi="宋体" w:cs="宋体"/>
          <w:spacing w:val="4"/>
          <w:sz w:val="16"/>
          <w:szCs w:val="16"/>
        </w:rPr>
        <w:t>郑建仙.1999.功能性食品.北京：中国轻工业出版社</w:t>
      </w:r>
    </w:p>
    <w:p w:rsidR="00EA40A3" w:rsidRDefault="00E86C16">
      <w:pPr>
        <w:spacing w:before="70" w:line="259" w:lineRule="auto"/>
        <w:ind w:right="516"/>
        <w:rPr>
          <w:rFonts w:ascii="宋体" w:eastAsia="宋体" w:hAnsi="宋体" w:cs="宋体"/>
          <w:sz w:val="16"/>
          <w:szCs w:val="16"/>
        </w:rPr>
      </w:pPr>
      <w:r>
        <w:rPr>
          <w:rFonts w:ascii="宋体" w:eastAsia="宋体" w:hAnsi="宋体" w:cs="宋体"/>
          <w:sz w:val="16"/>
          <w:szCs w:val="16"/>
        </w:rPr>
        <w:t>中国营养学会.2000.中国居民膳食营养素参考摄入量</w:t>
      </w:r>
      <w:r>
        <w:rPr>
          <w:rFonts w:ascii="宋体" w:eastAsia="宋体" w:hAnsi="宋体" w:cs="宋体"/>
          <w:spacing w:val="-3"/>
          <w:sz w:val="16"/>
          <w:szCs w:val="16"/>
        </w:rPr>
        <w:t xml:space="preserve"> </w:t>
      </w:r>
      <w:r>
        <w:rPr>
          <w:rFonts w:ascii="宋体" w:eastAsia="宋体" w:hAnsi="宋体" w:cs="宋体"/>
          <w:sz w:val="16"/>
          <w:szCs w:val="16"/>
        </w:rPr>
        <w:t>(Chinese</w:t>
      </w:r>
      <w:r>
        <w:rPr>
          <w:rFonts w:ascii="宋体" w:eastAsia="宋体" w:hAnsi="宋体" w:cs="宋体"/>
          <w:spacing w:val="38"/>
          <w:sz w:val="16"/>
          <w:szCs w:val="16"/>
        </w:rPr>
        <w:t xml:space="preserve"> </w:t>
      </w:r>
      <w:r>
        <w:rPr>
          <w:rFonts w:ascii="宋体" w:eastAsia="宋体" w:hAnsi="宋体" w:cs="宋体"/>
          <w:sz w:val="16"/>
          <w:szCs w:val="16"/>
        </w:rPr>
        <w:t xml:space="preserve">DRIs).北京：中国轻工业出版社 </w:t>
      </w:r>
      <w:r>
        <w:rPr>
          <w:rFonts w:ascii="宋体" w:eastAsia="宋体" w:hAnsi="宋体" w:cs="宋体"/>
          <w:spacing w:val="3"/>
          <w:sz w:val="16"/>
          <w:szCs w:val="16"/>
        </w:rPr>
        <w:t>中国预防医学科学院营养与食品卫生研究所.1991.食物成分表.北京：人</w:t>
      </w:r>
      <w:r>
        <w:rPr>
          <w:rFonts w:ascii="宋体" w:eastAsia="宋体" w:hAnsi="宋体" w:cs="宋体"/>
          <w:spacing w:val="2"/>
          <w:sz w:val="16"/>
          <w:szCs w:val="16"/>
        </w:rPr>
        <w:t>民卫生出版社</w:t>
      </w:r>
    </w:p>
    <w:p w:rsidR="00EA40A3" w:rsidRDefault="00E86C16">
      <w:pPr>
        <w:spacing w:before="78" w:line="261" w:lineRule="auto"/>
        <w:ind w:left="150" w:right="6" w:hanging="150"/>
        <w:rPr>
          <w:rFonts w:ascii="Times New Roman" w:eastAsia="Times New Roman" w:hAnsi="Times New Roman" w:cs="Times New Roman"/>
          <w:sz w:val="16"/>
          <w:szCs w:val="16"/>
        </w:rPr>
      </w:pPr>
      <w:r>
        <w:rPr>
          <w:rFonts w:ascii="Times New Roman" w:eastAsia="Times New Roman" w:hAnsi="Times New Roman" w:cs="Times New Roman"/>
          <w:sz w:val="16"/>
          <w:szCs w:val="16"/>
        </w:rPr>
        <w:t>Brigelius</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Flohe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R</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ct</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al</w:t>
      </w:r>
      <w:r>
        <w:rPr>
          <w:rFonts w:ascii="Times New Roman" w:eastAsia="Times New Roman" w:hAnsi="Times New Roman" w:cs="Times New Roman"/>
          <w:spacing w:val="-1"/>
          <w:sz w:val="16"/>
          <w:szCs w:val="16"/>
        </w:rPr>
        <w:t>.</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2002.</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The</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European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p</w:t>
      </w:r>
      <w:r>
        <w:rPr>
          <w:rFonts w:ascii="Times New Roman" w:eastAsia="Times New Roman" w:hAnsi="Times New Roman" w:cs="Times New Roman"/>
          <w:spacing w:val="-1"/>
          <w:sz w:val="16"/>
          <w:szCs w:val="16"/>
        </w:rPr>
        <w:t>erspective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on</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vitamin</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E:current</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knowledge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future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re-</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search.</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AJCN,76:703</w:t>
      </w:r>
      <w:r>
        <w:rPr>
          <w:rFonts w:ascii="宋体" w:eastAsia="宋体" w:hAnsi="宋体" w:cs="宋体"/>
          <w:spacing w:val="-1"/>
          <w:sz w:val="16"/>
          <w:szCs w:val="16"/>
        </w:rPr>
        <w:t>～</w:t>
      </w:r>
      <w:r>
        <w:rPr>
          <w:rFonts w:ascii="Times New Roman" w:eastAsia="Times New Roman" w:hAnsi="Times New Roman" w:cs="Times New Roman"/>
          <w:spacing w:val="-1"/>
          <w:sz w:val="16"/>
          <w:szCs w:val="16"/>
        </w:rPr>
        <w:t>716</w:t>
      </w:r>
    </w:p>
    <w:p w:rsidR="00EA40A3" w:rsidRDefault="00E86C16">
      <w:pPr>
        <w:spacing w:before="92" w:line="184" w:lineRule="auto"/>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Combs</w:t>
      </w:r>
      <w:r>
        <w:rPr>
          <w:rFonts w:ascii="Times New Roman" w:eastAsia="Times New Roman" w:hAnsi="Times New Roman" w:cs="Times New Roman"/>
          <w:spacing w:val="17"/>
          <w:sz w:val="16"/>
          <w:szCs w:val="16"/>
        </w:rPr>
        <w:t xml:space="preserve">  </w:t>
      </w:r>
      <w:r>
        <w:rPr>
          <w:rFonts w:ascii="Times New Roman" w:eastAsia="Times New Roman" w:hAnsi="Times New Roman" w:cs="Times New Roman"/>
          <w:spacing w:val="-1"/>
          <w:sz w:val="16"/>
          <w:szCs w:val="16"/>
        </w:rPr>
        <w:t>C</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F.</w:t>
      </w:r>
      <w:r>
        <w:rPr>
          <w:rFonts w:ascii="Times New Roman" w:eastAsia="Times New Roman" w:hAnsi="Times New Roman" w:cs="Times New Roman"/>
          <w:spacing w:val="2"/>
          <w:sz w:val="16"/>
          <w:szCs w:val="16"/>
        </w:rPr>
        <w:t xml:space="preserve">    </w:t>
      </w:r>
      <w:r>
        <w:rPr>
          <w:rFonts w:ascii="宋体" w:eastAsia="宋体" w:hAnsi="宋体" w:cs="宋体"/>
          <w:spacing w:val="-1"/>
          <w:sz w:val="16"/>
          <w:szCs w:val="16"/>
        </w:rPr>
        <w:t>1998.</w:t>
      </w:r>
      <w:r>
        <w:rPr>
          <w:rFonts w:ascii="宋体" w:eastAsia="宋体" w:hAnsi="宋体" w:cs="宋体"/>
          <w:spacing w:val="18"/>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vitamins</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fundamental</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aspects</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in</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nutrition</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health.</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2nd.</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New</w:t>
      </w:r>
      <w:r>
        <w:rPr>
          <w:rFonts w:ascii="Times New Roman" w:eastAsia="Times New Roman" w:hAnsi="Times New Roman" w:cs="Times New Roman"/>
          <w:spacing w:val="12"/>
          <w:w w:val="102"/>
          <w:sz w:val="16"/>
          <w:szCs w:val="16"/>
        </w:rPr>
        <w:t xml:space="preserve">   </w:t>
      </w:r>
      <w:r>
        <w:rPr>
          <w:rFonts w:ascii="Times New Roman" w:eastAsia="Times New Roman" w:hAnsi="Times New Roman" w:cs="Times New Roman"/>
          <w:spacing w:val="-1"/>
          <w:sz w:val="16"/>
          <w:szCs w:val="16"/>
        </w:rPr>
        <w:t>York:</w:t>
      </w:r>
    </w:p>
    <w:p w:rsidR="00EA40A3" w:rsidRDefault="00E86C16">
      <w:pPr>
        <w:spacing w:before="113" w:line="192" w:lineRule="auto"/>
        <w:ind w:left="150"/>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Academic</w:t>
      </w:r>
      <w:r>
        <w:rPr>
          <w:rFonts w:ascii="Times New Roman" w:eastAsia="Times New Roman" w:hAnsi="Times New Roman" w:cs="Times New Roman"/>
          <w:spacing w:val="10"/>
          <w:sz w:val="16"/>
          <w:szCs w:val="16"/>
        </w:rPr>
        <w:t xml:space="preserve"> </w:t>
      </w:r>
      <w:r>
        <w:rPr>
          <w:rFonts w:ascii="Times New Roman" w:eastAsia="Times New Roman" w:hAnsi="Times New Roman" w:cs="Times New Roman"/>
          <w:spacing w:val="-1"/>
          <w:sz w:val="16"/>
          <w:szCs w:val="16"/>
        </w:rPr>
        <w:t>Press</w:t>
      </w:r>
    </w:p>
    <w:p w:rsidR="00EA40A3" w:rsidRDefault="00E86C16">
      <w:pPr>
        <w:spacing w:before="102" w:line="250" w:lineRule="auto"/>
        <w:ind w:left="150" w:right="6" w:hanging="150"/>
        <w:rPr>
          <w:rFonts w:ascii="Times New Roman" w:eastAsia="Times New Roman" w:hAnsi="Times New Roman" w:cs="Times New Roman"/>
          <w:sz w:val="16"/>
          <w:szCs w:val="16"/>
        </w:rPr>
      </w:pPr>
      <w:r>
        <w:rPr>
          <w:rFonts w:ascii="Times New Roman" w:eastAsia="Times New Roman" w:hAnsi="Times New Roman" w:cs="Times New Roman"/>
          <w:sz w:val="16"/>
          <w:szCs w:val="16"/>
        </w:rPr>
        <w:t>Lachance</w:t>
      </w:r>
      <w:r>
        <w:rPr>
          <w:rFonts w:ascii="Times New Roman" w:eastAsia="Times New Roman" w:hAnsi="Times New Roman" w:cs="Times New Roman"/>
          <w:spacing w:val="28"/>
          <w:w w:val="101"/>
          <w:sz w:val="16"/>
          <w:szCs w:val="16"/>
        </w:rPr>
        <w:t xml:space="preserve"> </w:t>
      </w:r>
      <w:r>
        <w:rPr>
          <w:rFonts w:ascii="Times New Roman" w:eastAsia="Times New Roman" w:hAnsi="Times New Roman" w:cs="Times New Roman"/>
          <w:sz w:val="16"/>
          <w:szCs w:val="16"/>
        </w:rPr>
        <w:t>P</w:t>
      </w:r>
      <w:r>
        <w:rPr>
          <w:rFonts w:ascii="Times New Roman" w:eastAsia="Times New Roman" w:hAnsi="Times New Roman" w:cs="Times New Roman"/>
          <w:spacing w:val="27"/>
          <w:w w:val="101"/>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1996.</w:t>
      </w:r>
      <w:r>
        <w:rPr>
          <w:rFonts w:ascii="Times New Roman" w:eastAsia="Times New Roman" w:hAnsi="Times New Roman" w:cs="Times New Roman"/>
          <w:sz w:val="16"/>
          <w:szCs w:val="16"/>
        </w:rPr>
        <w:t>Future</w:t>
      </w:r>
      <w:r>
        <w:rPr>
          <w:rFonts w:ascii="Times New Roman" w:eastAsia="Times New Roman" w:hAnsi="Times New Roman" w:cs="Times New Roman"/>
          <w:spacing w:val="28"/>
          <w:sz w:val="16"/>
          <w:szCs w:val="16"/>
        </w:rPr>
        <w:t xml:space="preserve"> </w:t>
      </w:r>
      <w:r>
        <w:rPr>
          <w:rFonts w:ascii="Times New Roman" w:eastAsia="Times New Roman" w:hAnsi="Times New Roman" w:cs="Times New Roman"/>
          <w:sz w:val="16"/>
          <w:szCs w:val="16"/>
        </w:rPr>
        <w:t>vitamin</w:t>
      </w:r>
      <w:r>
        <w:rPr>
          <w:rFonts w:ascii="Times New Roman" w:eastAsia="Times New Roman" w:hAnsi="Times New Roman" w:cs="Times New Roman"/>
          <w:spacing w:val="32"/>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31"/>
          <w:w w:val="101"/>
          <w:sz w:val="16"/>
          <w:szCs w:val="16"/>
        </w:rPr>
        <w:t xml:space="preserve"> </w:t>
      </w:r>
      <w:r>
        <w:rPr>
          <w:rFonts w:ascii="Times New Roman" w:eastAsia="Times New Roman" w:hAnsi="Times New Roman" w:cs="Times New Roman"/>
          <w:sz w:val="16"/>
          <w:szCs w:val="16"/>
        </w:rPr>
        <w:t>antioxidant</w:t>
      </w:r>
      <w:r>
        <w:rPr>
          <w:rFonts w:ascii="Times New Roman" w:eastAsia="Times New Roman" w:hAnsi="Times New Roman" w:cs="Times New Roman"/>
          <w:spacing w:val="28"/>
          <w:w w:val="101"/>
          <w:sz w:val="16"/>
          <w:szCs w:val="16"/>
        </w:rPr>
        <w:t xml:space="preserve"> </w:t>
      </w:r>
      <w:r>
        <w:rPr>
          <w:rFonts w:ascii="Times New Roman" w:eastAsia="Times New Roman" w:hAnsi="Times New Roman" w:cs="Times New Roman"/>
          <w:sz w:val="16"/>
          <w:szCs w:val="16"/>
        </w:rPr>
        <w:t>R</w:t>
      </w:r>
      <w:r>
        <w:rPr>
          <w:rFonts w:ascii="Times New Roman" w:eastAsia="Times New Roman" w:hAnsi="Times New Roman" w:cs="Times New Roman"/>
          <w:spacing w:val="-1"/>
          <w:sz w:val="16"/>
          <w:szCs w:val="16"/>
        </w:rPr>
        <w:t>DAs</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pacing w:val="-1"/>
          <w:sz w:val="16"/>
          <w:szCs w:val="16"/>
        </w:rPr>
        <w:t>for</w:t>
      </w:r>
      <w:r>
        <w:rPr>
          <w:rFonts w:ascii="Times New Roman" w:eastAsia="Times New Roman" w:hAnsi="Times New Roman" w:cs="Times New Roman"/>
          <w:spacing w:val="26"/>
          <w:sz w:val="16"/>
          <w:szCs w:val="16"/>
        </w:rPr>
        <w:t xml:space="preserve"> </w:t>
      </w:r>
      <w:r>
        <w:rPr>
          <w:rFonts w:ascii="Times New Roman" w:eastAsia="Times New Roman" w:hAnsi="Times New Roman" w:cs="Times New Roman"/>
          <w:spacing w:val="-1"/>
          <w:sz w:val="16"/>
          <w:szCs w:val="16"/>
        </w:rPr>
        <w:t>health</w:t>
      </w:r>
      <w:r>
        <w:rPr>
          <w:rFonts w:ascii="Times New Roman" w:eastAsia="Times New Roman" w:hAnsi="Times New Roman" w:cs="Times New Roman"/>
          <w:spacing w:val="25"/>
          <w:w w:val="102"/>
          <w:sz w:val="16"/>
          <w:szCs w:val="16"/>
        </w:rPr>
        <w:t xml:space="preserve"> </w:t>
      </w:r>
      <w:r>
        <w:rPr>
          <w:rFonts w:ascii="Times New Roman" w:eastAsia="Times New Roman" w:hAnsi="Times New Roman" w:cs="Times New Roman"/>
          <w:spacing w:val="-1"/>
          <w:sz w:val="16"/>
          <w:szCs w:val="16"/>
        </w:rPr>
        <w:t>promotion.</w:t>
      </w:r>
      <w:r>
        <w:rPr>
          <w:rFonts w:ascii="Times New Roman" w:eastAsia="Times New Roman" w:hAnsi="Times New Roman" w:cs="Times New Roman"/>
          <w:spacing w:val="29"/>
          <w:w w:val="101"/>
          <w:sz w:val="16"/>
          <w:szCs w:val="16"/>
        </w:rPr>
        <w:t xml:space="preserve"> </w:t>
      </w:r>
      <w:r>
        <w:rPr>
          <w:rFonts w:ascii="Times New Roman" w:eastAsia="Times New Roman" w:hAnsi="Times New Roman" w:cs="Times New Roman"/>
          <w:spacing w:val="-1"/>
          <w:sz w:val="16"/>
          <w:szCs w:val="16"/>
        </w:rPr>
        <w:t>Journal</w:t>
      </w:r>
      <w:r>
        <w:rPr>
          <w:rFonts w:ascii="Times New Roman" w:eastAsia="Times New Roman" w:hAnsi="Times New Roman" w:cs="Times New Roman"/>
          <w:spacing w:val="31"/>
          <w:w w:val="101"/>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pacing w:val="10"/>
          <w:w w:val="101"/>
          <w:sz w:val="16"/>
          <w:szCs w:val="16"/>
        </w:rPr>
        <w:t xml:space="preserve"> </w:t>
      </w:r>
      <w:r>
        <w:rPr>
          <w:rFonts w:ascii="Times New Roman" w:eastAsia="Times New Roman" w:hAnsi="Times New Roman" w:cs="Times New Roman"/>
          <w:spacing w:val="-1"/>
          <w:sz w:val="16"/>
          <w:szCs w:val="16"/>
        </w:rPr>
        <w:t>Urban</w:t>
      </w:r>
      <w:r>
        <w:rPr>
          <w:rFonts w:ascii="Times New Roman" w:eastAsia="Times New Roman" w:hAnsi="Times New Roman" w:cs="Times New Roman"/>
          <w:spacing w:val="29"/>
          <w:w w:val="101"/>
          <w:sz w:val="16"/>
          <w:szCs w:val="16"/>
        </w:rPr>
        <w:t xml:space="preserve"> </w:t>
      </w:r>
      <w:r>
        <w:rPr>
          <w:rFonts w:ascii="Times New Roman" w:eastAsia="Times New Roman" w:hAnsi="Times New Roman" w:cs="Times New Roman"/>
          <w:spacing w:val="-1"/>
          <w:sz w:val="16"/>
          <w:szCs w:val="16"/>
        </w:rPr>
        <w:t>Econom-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ics,25(5):46</w:t>
      </w:r>
      <w:r>
        <w:rPr>
          <w:rFonts w:ascii="宋体" w:eastAsia="宋体" w:hAnsi="宋体" w:cs="宋体"/>
          <w:spacing w:val="-1"/>
          <w:sz w:val="16"/>
          <w:szCs w:val="16"/>
        </w:rPr>
        <w:t>～</w:t>
      </w:r>
      <w:r>
        <w:rPr>
          <w:rFonts w:ascii="Times New Roman" w:eastAsia="Times New Roman" w:hAnsi="Times New Roman" w:cs="Times New Roman"/>
          <w:spacing w:val="-1"/>
          <w:sz w:val="16"/>
          <w:szCs w:val="16"/>
        </w:rPr>
        <w:t>47</w:t>
      </w:r>
    </w:p>
    <w:p w:rsidR="00EA40A3" w:rsidRDefault="00EA40A3">
      <w:pPr>
        <w:sectPr w:rsidR="00EA40A3">
          <w:footerReference w:type="default" r:id="rId122"/>
          <w:pgSz w:w="9220" w:h="13360"/>
          <w:pgMar w:top="400" w:right="976" w:bottom="1207" w:left="970" w:header="0" w:footer="999" w:gutter="0"/>
          <w:cols w:space="720"/>
        </w:sectPr>
      </w:pPr>
    </w:p>
    <w:p w:rsidR="00EA40A3" w:rsidRDefault="00EA40A3">
      <w:pPr>
        <w:spacing w:line="246" w:lineRule="auto"/>
      </w:pPr>
    </w:p>
    <w:p w:rsidR="00EA40A3" w:rsidRDefault="00EA40A3">
      <w:pPr>
        <w:spacing w:line="246" w:lineRule="auto"/>
      </w:pPr>
    </w:p>
    <w:p w:rsidR="00EA40A3" w:rsidRDefault="00EA40A3">
      <w:pPr>
        <w:spacing w:line="246" w:lineRule="auto"/>
      </w:pPr>
    </w:p>
    <w:p w:rsidR="00EA40A3" w:rsidRDefault="00EA40A3">
      <w:pPr>
        <w:spacing w:line="247" w:lineRule="auto"/>
      </w:pPr>
    </w:p>
    <w:p w:rsidR="00EA40A3" w:rsidRDefault="00EA40A3">
      <w:pPr>
        <w:spacing w:line="247" w:lineRule="auto"/>
      </w:pPr>
    </w:p>
    <w:p w:rsidR="00EA40A3" w:rsidRDefault="00EA40A3">
      <w:pPr>
        <w:spacing w:line="247" w:lineRule="auto"/>
      </w:pPr>
    </w:p>
    <w:p w:rsidR="00EA40A3" w:rsidRDefault="00E86C16">
      <w:pPr>
        <w:spacing w:before="98" w:line="219" w:lineRule="auto"/>
        <w:ind w:left="1684"/>
        <w:rPr>
          <w:rFonts w:ascii="宋体" w:eastAsia="宋体" w:hAnsi="宋体" w:cs="宋体"/>
          <w:sz w:val="30"/>
          <w:szCs w:val="30"/>
        </w:rPr>
      </w:pPr>
      <w:r>
        <w:rPr>
          <w:rFonts w:ascii="宋体" w:eastAsia="宋体" w:hAnsi="宋体" w:cs="宋体"/>
          <w:b/>
          <w:bCs/>
          <w:spacing w:val="-2"/>
          <w:sz w:val="30"/>
          <w:szCs w:val="30"/>
        </w:rPr>
        <w:t>第</w:t>
      </w:r>
      <w:r>
        <w:rPr>
          <w:rFonts w:ascii="宋体" w:eastAsia="宋体" w:hAnsi="宋体" w:cs="宋体"/>
          <w:spacing w:val="-32"/>
          <w:sz w:val="30"/>
          <w:szCs w:val="30"/>
        </w:rPr>
        <w:t xml:space="preserve"> </w:t>
      </w:r>
      <w:r>
        <w:rPr>
          <w:rFonts w:ascii="宋体" w:eastAsia="宋体" w:hAnsi="宋体" w:cs="宋体"/>
          <w:b/>
          <w:bCs/>
          <w:spacing w:val="-2"/>
          <w:sz w:val="30"/>
          <w:szCs w:val="30"/>
        </w:rPr>
        <w:t>5</w:t>
      </w:r>
      <w:r>
        <w:rPr>
          <w:rFonts w:ascii="宋体" w:eastAsia="宋体" w:hAnsi="宋体" w:cs="宋体"/>
          <w:spacing w:val="-35"/>
          <w:sz w:val="30"/>
          <w:szCs w:val="30"/>
        </w:rPr>
        <w:t xml:space="preserve"> </w:t>
      </w:r>
      <w:r>
        <w:rPr>
          <w:rFonts w:ascii="宋体" w:eastAsia="宋体" w:hAnsi="宋体" w:cs="宋体"/>
          <w:b/>
          <w:bCs/>
          <w:spacing w:val="-2"/>
          <w:sz w:val="30"/>
          <w:szCs w:val="30"/>
        </w:rPr>
        <w:t>章</w:t>
      </w:r>
      <w:r>
        <w:rPr>
          <w:rFonts w:ascii="宋体" w:eastAsia="宋体" w:hAnsi="宋体" w:cs="宋体"/>
          <w:spacing w:val="136"/>
          <w:sz w:val="30"/>
          <w:szCs w:val="30"/>
        </w:rPr>
        <w:t xml:space="preserve"> </w:t>
      </w:r>
      <w:r>
        <w:rPr>
          <w:rFonts w:ascii="宋体" w:eastAsia="宋体" w:hAnsi="宋体" w:cs="宋体"/>
          <w:b/>
          <w:bCs/>
          <w:spacing w:val="-2"/>
          <w:sz w:val="30"/>
          <w:szCs w:val="30"/>
        </w:rPr>
        <w:t>食物中其他功能成分</w:t>
      </w:r>
    </w:p>
    <w:p w:rsidR="00EA40A3" w:rsidRDefault="00EA40A3">
      <w:pPr>
        <w:spacing w:line="374" w:lineRule="auto"/>
      </w:pPr>
    </w:p>
    <w:p w:rsidR="00EA40A3" w:rsidRDefault="00E86C16">
      <w:pPr>
        <w:spacing w:before="75" w:line="221" w:lineRule="auto"/>
        <w:ind w:left="3173"/>
        <w:rPr>
          <w:rFonts w:ascii="黑体" w:eastAsia="黑体" w:hAnsi="黑体" w:cs="黑体"/>
          <w:sz w:val="23"/>
          <w:szCs w:val="23"/>
        </w:rPr>
      </w:pPr>
      <w:r>
        <w:rPr>
          <w:rFonts w:ascii="黑体" w:eastAsia="黑体" w:hAnsi="黑体" w:cs="黑体"/>
          <w:b/>
          <w:bCs/>
          <w:spacing w:val="22"/>
          <w:sz w:val="23"/>
          <w:szCs w:val="23"/>
        </w:rPr>
        <w:t>教学目标</w:t>
      </w:r>
    </w:p>
    <w:p w:rsidR="00EA40A3" w:rsidRDefault="00E86C16">
      <w:pPr>
        <w:spacing w:before="216" w:line="224" w:lineRule="auto"/>
        <w:ind w:left="509"/>
        <w:rPr>
          <w:rFonts w:ascii="楷体" w:eastAsia="楷体" w:hAnsi="楷体" w:cs="楷体"/>
          <w:sz w:val="23"/>
          <w:szCs w:val="23"/>
        </w:rPr>
      </w:pPr>
      <w:r>
        <w:rPr>
          <w:rFonts w:ascii="楷体" w:eastAsia="楷体" w:hAnsi="楷体" w:cs="楷体"/>
          <w:spacing w:val="-26"/>
          <w:sz w:val="23"/>
          <w:szCs w:val="23"/>
        </w:rPr>
        <w:t>·</w:t>
      </w:r>
      <w:r>
        <w:rPr>
          <w:rFonts w:ascii="楷体" w:eastAsia="楷体" w:hAnsi="楷体" w:cs="楷体"/>
          <w:spacing w:val="-65"/>
          <w:sz w:val="23"/>
          <w:szCs w:val="23"/>
        </w:rPr>
        <w:t xml:space="preserve"> </w:t>
      </w:r>
      <w:r>
        <w:rPr>
          <w:rFonts w:ascii="楷体" w:eastAsia="楷体" w:hAnsi="楷体" w:cs="楷体"/>
          <w:spacing w:val="-26"/>
          <w:sz w:val="23"/>
          <w:szCs w:val="23"/>
        </w:rPr>
        <w:t>了解食物中非营养素成分的组成及性质。</w:t>
      </w:r>
    </w:p>
    <w:p w:rsidR="00EA40A3" w:rsidRDefault="00E86C16">
      <w:pPr>
        <w:spacing w:before="20" w:line="236" w:lineRule="auto"/>
        <w:ind w:left="509"/>
        <w:rPr>
          <w:rFonts w:ascii="楷体" w:eastAsia="楷体" w:hAnsi="楷体" w:cs="楷体"/>
          <w:sz w:val="23"/>
          <w:szCs w:val="23"/>
        </w:rPr>
      </w:pPr>
      <w:r>
        <w:rPr>
          <w:rFonts w:ascii="楷体" w:eastAsia="楷体" w:hAnsi="楷体" w:cs="楷体"/>
          <w:spacing w:val="-24"/>
          <w:sz w:val="23"/>
          <w:szCs w:val="23"/>
        </w:rPr>
        <w:t>·</w:t>
      </w:r>
      <w:r>
        <w:rPr>
          <w:rFonts w:ascii="楷体" w:eastAsia="楷体" w:hAnsi="楷体" w:cs="楷体"/>
          <w:spacing w:val="-71"/>
          <w:sz w:val="23"/>
          <w:szCs w:val="23"/>
        </w:rPr>
        <w:t xml:space="preserve"> </w:t>
      </w:r>
      <w:r>
        <w:rPr>
          <w:rFonts w:ascii="楷体" w:eastAsia="楷体" w:hAnsi="楷体" w:cs="楷体"/>
          <w:spacing w:val="-24"/>
          <w:sz w:val="23"/>
          <w:szCs w:val="23"/>
        </w:rPr>
        <w:t>了解食物中重要功能成分的主要生理功能。</w:t>
      </w:r>
    </w:p>
    <w:p w:rsidR="00EA40A3" w:rsidRDefault="00E86C16">
      <w:pPr>
        <w:spacing w:line="220" w:lineRule="auto"/>
        <w:ind w:left="509"/>
        <w:rPr>
          <w:rFonts w:ascii="楷体" w:eastAsia="楷体" w:hAnsi="楷体" w:cs="楷体"/>
          <w:sz w:val="23"/>
          <w:szCs w:val="23"/>
        </w:rPr>
      </w:pPr>
      <w:r>
        <w:rPr>
          <w:rFonts w:ascii="楷体" w:eastAsia="楷体" w:hAnsi="楷体" w:cs="楷体"/>
          <w:spacing w:val="-26"/>
          <w:sz w:val="23"/>
          <w:szCs w:val="23"/>
        </w:rPr>
        <w:t>·</w:t>
      </w:r>
      <w:r>
        <w:rPr>
          <w:rFonts w:ascii="楷体" w:eastAsia="楷体" w:hAnsi="楷体" w:cs="楷体"/>
          <w:spacing w:val="-71"/>
          <w:sz w:val="23"/>
          <w:szCs w:val="23"/>
        </w:rPr>
        <w:t xml:space="preserve"> </w:t>
      </w:r>
      <w:r>
        <w:rPr>
          <w:rFonts w:ascii="楷体" w:eastAsia="楷体" w:hAnsi="楷体" w:cs="楷体"/>
          <w:spacing w:val="-26"/>
          <w:sz w:val="23"/>
          <w:szCs w:val="23"/>
        </w:rPr>
        <w:t>了解食物中重要功能成分的食物来源，</w:t>
      </w:r>
    </w:p>
    <w:p w:rsidR="00EA40A3" w:rsidRDefault="00EA40A3">
      <w:pPr>
        <w:spacing w:line="266" w:lineRule="auto"/>
      </w:pPr>
    </w:p>
    <w:p w:rsidR="00EA40A3" w:rsidRDefault="00E86C16">
      <w:pPr>
        <w:spacing w:before="75" w:line="243" w:lineRule="auto"/>
        <w:ind w:right="56" w:firstLine="429"/>
        <w:jc w:val="both"/>
        <w:rPr>
          <w:rFonts w:ascii="宋体" w:eastAsia="宋体" w:hAnsi="宋体" w:cs="宋体"/>
          <w:sz w:val="23"/>
          <w:szCs w:val="23"/>
        </w:rPr>
      </w:pPr>
      <w:r>
        <w:rPr>
          <w:rFonts w:ascii="宋体" w:eastAsia="宋体" w:hAnsi="宋体" w:cs="宋体"/>
          <w:spacing w:val="-19"/>
          <w:sz w:val="23"/>
          <w:szCs w:val="23"/>
        </w:rPr>
        <w:t>食物中除了含多种营养素之外，还含有许多</w:t>
      </w:r>
      <w:r>
        <w:rPr>
          <w:rFonts w:ascii="宋体" w:eastAsia="宋体" w:hAnsi="宋体" w:cs="宋体"/>
          <w:spacing w:val="-20"/>
          <w:sz w:val="23"/>
          <w:szCs w:val="23"/>
        </w:rPr>
        <w:t>非营养素</w:t>
      </w:r>
      <w:r>
        <w:rPr>
          <w:rFonts w:ascii="宋体" w:eastAsia="宋体" w:hAnsi="宋体" w:cs="宋体"/>
          <w:spacing w:val="-15"/>
          <w:sz w:val="23"/>
          <w:szCs w:val="23"/>
        </w:rPr>
        <w:t xml:space="preserve"> </w:t>
      </w:r>
      <w:r>
        <w:rPr>
          <w:rFonts w:ascii="宋体" w:eastAsia="宋体" w:hAnsi="宋体" w:cs="宋体"/>
          <w:spacing w:val="-20"/>
          <w:sz w:val="23"/>
          <w:szCs w:val="23"/>
        </w:rPr>
        <w:t>(</w:t>
      </w:r>
      <w:r>
        <w:rPr>
          <w:rFonts w:ascii="宋体" w:eastAsia="宋体" w:hAnsi="宋体" w:cs="宋体"/>
          <w:spacing w:val="-19"/>
          <w:sz w:val="23"/>
          <w:szCs w:val="23"/>
        </w:rPr>
        <w:t>non</w:t>
      </w:r>
      <w:r>
        <w:rPr>
          <w:rFonts w:ascii="宋体" w:eastAsia="宋体" w:hAnsi="宋体" w:cs="宋体"/>
          <w:spacing w:val="-20"/>
          <w:sz w:val="23"/>
          <w:szCs w:val="23"/>
        </w:rPr>
        <w:t>-</w:t>
      </w:r>
      <w:r>
        <w:rPr>
          <w:rFonts w:ascii="宋体" w:eastAsia="宋体" w:hAnsi="宋体" w:cs="宋体"/>
          <w:spacing w:val="-19"/>
          <w:sz w:val="23"/>
          <w:szCs w:val="23"/>
        </w:rPr>
        <w:t>nutrient</w:t>
      </w:r>
      <w:r>
        <w:rPr>
          <w:rFonts w:ascii="宋体" w:eastAsia="宋体" w:hAnsi="宋体" w:cs="宋体"/>
          <w:spacing w:val="-20"/>
          <w:sz w:val="23"/>
          <w:szCs w:val="23"/>
        </w:rPr>
        <w:t>),</w:t>
      </w:r>
      <w:r>
        <w:rPr>
          <w:rFonts w:ascii="宋体" w:eastAsia="宋体" w:hAnsi="宋体" w:cs="宋体"/>
          <w:spacing w:val="-68"/>
          <w:sz w:val="23"/>
          <w:szCs w:val="23"/>
        </w:rPr>
        <w:t xml:space="preserve"> </w:t>
      </w:r>
      <w:r>
        <w:rPr>
          <w:rFonts w:ascii="宋体" w:eastAsia="宋体" w:hAnsi="宋体" w:cs="宋体"/>
          <w:spacing w:val="-20"/>
          <w:sz w:val="23"/>
          <w:szCs w:val="23"/>
        </w:rPr>
        <w:t>其中</w:t>
      </w:r>
      <w:r>
        <w:rPr>
          <w:rFonts w:ascii="宋体" w:eastAsia="宋体" w:hAnsi="宋体" w:cs="宋体"/>
          <w:sz w:val="23"/>
          <w:szCs w:val="23"/>
        </w:rPr>
        <w:t xml:space="preserve"> </w:t>
      </w:r>
      <w:r>
        <w:rPr>
          <w:rFonts w:ascii="宋体" w:eastAsia="宋体" w:hAnsi="宋体" w:cs="宋体"/>
          <w:spacing w:val="-22"/>
          <w:sz w:val="23"/>
          <w:szCs w:val="23"/>
        </w:rPr>
        <w:t>多种成分如膳食纤维、类黄酮、花青素、类胡萝卜素</w:t>
      </w:r>
      <w:r>
        <w:rPr>
          <w:rFonts w:ascii="宋体" w:eastAsia="宋体" w:hAnsi="宋体" w:cs="宋体"/>
          <w:spacing w:val="-23"/>
          <w:sz w:val="23"/>
          <w:szCs w:val="23"/>
        </w:rPr>
        <w:t>、植物甾醇等对维护人体健</w:t>
      </w:r>
      <w:r>
        <w:rPr>
          <w:rFonts w:ascii="宋体" w:eastAsia="宋体" w:hAnsi="宋体" w:cs="宋体"/>
          <w:sz w:val="23"/>
          <w:szCs w:val="23"/>
        </w:rPr>
        <w:t xml:space="preserve"> </w:t>
      </w:r>
      <w:r>
        <w:rPr>
          <w:rFonts w:ascii="宋体" w:eastAsia="宋体" w:hAnsi="宋体" w:cs="宋体"/>
          <w:spacing w:val="-23"/>
          <w:sz w:val="23"/>
          <w:szCs w:val="23"/>
        </w:rPr>
        <w:t>康、调节机能状态、预防疾病起着重要作用，通常把这些成分称为功能成分或生</w:t>
      </w:r>
      <w:r>
        <w:rPr>
          <w:rFonts w:ascii="宋体" w:eastAsia="宋体" w:hAnsi="宋体" w:cs="宋体"/>
          <w:spacing w:val="3"/>
          <w:sz w:val="23"/>
          <w:szCs w:val="23"/>
        </w:rPr>
        <w:t xml:space="preserve"> </w:t>
      </w:r>
      <w:r>
        <w:rPr>
          <w:rFonts w:ascii="宋体" w:eastAsia="宋体" w:hAnsi="宋体" w:cs="宋体"/>
          <w:spacing w:val="-22"/>
          <w:sz w:val="23"/>
          <w:szCs w:val="23"/>
        </w:rPr>
        <w:t>物活性成分。食物中功能成分的研究已成为现代营养学的一</w:t>
      </w:r>
      <w:r>
        <w:rPr>
          <w:rFonts w:ascii="宋体" w:eastAsia="宋体" w:hAnsi="宋体" w:cs="宋体"/>
          <w:spacing w:val="-23"/>
          <w:sz w:val="23"/>
          <w:szCs w:val="23"/>
        </w:rPr>
        <w:t>个重要内容，也有待</w:t>
      </w:r>
      <w:r>
        <w:rPr>
          <w:rFonts w:ascii="宋体" w:eastAsia="宋体" w:hAnsi="宋体" w:cs="宋体"/>
          <w:sz w:val="23"/>
          <w:szCs w:val="23"/>
        </w:rPr>
        <w:t xml:space="preserve"> </w:t>
      </w:r>
      <w:r>
        <w:rPr>
          <w:rFonts w:ascii="宋体" w:eastAsia="宋体" w:hAnsi="宋体" w:cs="宋体"/>
          <w:spacing w:val="-22"/>
          <w:sz w:val="23"/>
          <w:szCs w:val="23"/>
        </w:rPr>
        <w:t>深入研究完善。</w:t>
      </w:r>
    </w:p>
    <w:p w:rsidR="00EA40A3" w:rsidRDefault="00E86C16">
      <w:pPr>
        <w:spacing w:before="322" w:line="219" w:lineRule="auto"/>
        <w:ind w:left="2650"/>
        <w:rPr>
          <w:rFonts w:ascii="宋体" w:eastAsia="宋体" w:hAnsi="宋体" w:cs="宋体"/>
          <w:sz w:val="30"/>
          <w:szCs w:val="30"/>
        </w:rPr>
      </w:pPr>
      <w:r>
        <w:rPr>
          <w:rFonts w:ascii="宋体" w:eastAsia="宋体" w:hAnsi="宋体" w:cs="宋体"/>
          <w:spacing w:val="-9"/>
          <w:sz w:val="30"/>
          <w:szCs w:val="30"/>
        </w:rPr>
        <w:t>5.1</w:t>
      </w:r>
      <w:r>
        <w:rPr>
          <w:rFonts w:ascii="宋体" w:eastAsia="宋体" w:hAnsi="宋体" w:cs="宋体"/>
          <w:spacing w:val="79"/>
          <w:sz w:val="30"/>
          <w:szCs w:val="30"/>
        </w:rPr>
        <w:t xml:space="preserve"> </w:t>
      </w:r>
      <w:r>
        <w:rPr>
          <w:rFonts w:ascii="宋体" w:eastAsia="宋体" w:hAnsi="宋体" w:cs="宋体"/>
          <w:spacing w:val="-9"/>
          <w:sz w:val="30"/>
          <w:szCs w:val="30"/>
        </w:rPr>
        <w:t>膳</w:t>
      </w:r>
      <w:r>
        <w:rPr>
          <w:rFonts w:ascii="宋体" w:eastAsia="宋体" w:hAnsi="宋体" w:cs="宋体"/>
          <w:spacing w:val="-67"/>
          <w:sz w:val="30"/>
          <w:szCs w:val="30"/>
        </w:rPr>
        <w:t xml:space="preserve"> </w:t>
      </w:r>
      <w:r>
        <w:rPr>
          <w:rFonts w:ascii="宋体" w:eastAsia="宋体" w:hAnsi="宋体" w:cs="宋体"/>
          <w:spacing w:val="-9"/>
          <w:sz w:val="30"/>
          <w:szCs w:val="30"/>
        </w:rPr>
        <w:t>食</w:t>
      </w:r>
      <w:r>
        <w:rPr>
          <w:rFonts w:ascii="宋体" w:eastAsia="宋体" w:hAnsi="宋体" w:cs="宋体"/>
          <w:spacing w:val="-59"/>
          <w:sz w:val="30"/>
          <w:szCs w:val="30"/>
        </w:rPr>
        <w:t xml:space="preserve"> </w:t>
      </w:r>
      <w:r>
        <w:rPr>
          <w:rFonts w:ascii="宋体" w:eastAsia="宋体" w:hAnsi="宋体" w:cs="宋体"/>
          <w:spacing w:val="-9"/>
          <w:sz w:val="30"/>
          <w:szCs w:val="30"/>
        </w:rPr>
        <w:t>纤</w:t>
      </w:r>
      <w:r>
        <w:rPr>
          <w:rFonts w:ascii="宋体" w:eastAsia="宋体" w:hAnsi="宋体" w:cs="宋体"/>
          <w:spacing w:val="-62"/>
          <w:sz w:val="30"/>
          <w:szCs w:val="30"/>
        </w:rPr>
        <w:t xml:space="preserve"> </w:t>
      </w:r>
      <w:r>
        <w:rPr>
          <w:rFonts w:ascii="宋体" w:eastAsia="宋体" w:hAnsi="宋体" w:cs="宋体"/>
          <w:spacing w:val="-9"/>
          <w:sz w:val="30"/>
          <w:szCs w:val="30"/>
        </w:rPr>
        <w:t>维</w:t>
      </w:r>
    </w:p>
    <w:p w:rsidR="00EA40A3" w:rsidRDefault="00E86C16">
      <w:pPr>
        <w:spacing w:before="274" w:line="244" w:lineRule="auto"/>
        <w:ind w:right="39" w:firstLine="429"/>
        <w:jc w:val="both"/>
        <w:rPr>
          <w:rFonts w:ascii="宋体" w:eastAsia="宋体" w:hAnsi="宋体" w:cs="宋体"/>
          <w:sz w:val="23"/>
          <w:szCs w:val="23"/>
        </w:rPr>
      </w:pPr>
      <w:r>
        <w:rPr>
          <w:rFonts w:ascii="宋体" w:eastAsia="宋体" w:hAnsi="宋体" w:cs="宋体"/>
          <w:spacing w:val="-22"/>
          <w:w w:val="96"/>
          <w:sz w:val="23"/>
          <w:szCs w:val="23"/>
        </w:rPr>
        <w:t>膳食纤维</w:t>
      </w:r>
      <w:r>
        <w:rPr>
          <w:rFonts w:ascii="宋体" w:eastAsia="宋体" w:hAnsi="宋体" w:cs="宋体"/>
          <w:spacing w:val="2"/>
          <w:sz w:val="23"/>
          <w:szCs w:val="23"/>
        </w:rPr>
        <w:t xml:space="preserve"> </w:t>
      </w:r>
      <w:r>
        <w:rPr>
          <w:rFonts w:ascii="宋体" w:eastAsia="宋体" w:hAnsi="宋体" w:cs="宋体"/>
          <w:spacing w:val="-22"/>
          <w:w w:val="96"/>
          <w:sz w:val="23"/>
          <w:szCs w:val="23"/>
        </w:rPr>
        <w:t>(dietary</w:t>
      </w:r>
      <w:r>
        <w:rPr>
          <w:rFonts w:ascii="宋体" w:eastAsia="宋体" w:hAnsi="宋体" w:cs="宋体"/>
          <w:spacing w:val="-21"/>
          <w:sz w:val="23"/>
          <w:szCs w:val="23"/>
        </w:rPr>
        <w:t xml:space="preserve"> </w:t>
      </w:r>
      <w:r>
        <w:rPr>
          <w:rFonts w:ascii="宋体" w:eastAsia="宋体" w:hAnsi="宋体" w:cs="宋体"/>
          <w:spacing w:val="-22"/>
          <w:w w:val="96"/>
          <w:sz w:val="23"/>
          <w:szCs w:val="23"/>
        </w:rPr>
        <w:t>fibre)</w:t>
      </w:r>
      <w:r>
        <w:rPr>
          <w:rFonts w:ascii="宋体" w:eastAsia="宋体" w:hAnsi="宋体" w:cs="宋体"/>
          <w:spacing w:val="-62"/>
          <w:sz w:val="23"/>
          <w:szCs w:val="23"/>
        </w:rPr>
        <w:t xml:space="preserve"> </w:t>
      </w:r>
      <w:r>
        <w:rPr>
          <w:rFonts w:ascii="宋体" w:eastAsia="宋体" w:hAnsi="宋体" w:cs="宋体"/>
          <w:spacing w:val="-22"/>
          <w:w w:val="96"/>
          <w:sz w:val="23"/>
          <w:szCs w:val="23"/>
        </w:rPr>
        <w:t>是指植物类食物中不被人体消化吸收的一类大分子物</w:t>
      </w:r>
      <w:r>
        <w:rPr>
          <w:rFonts w:ascii="宋体" w:eastAsia="宋体" w:hAnsi="宋体" w:cs="宋体"/>
          <w:sz w:val="23"/>
          <w:szCs w:val="23"/>
        </w:rPr>
        <w:t xml:space="preserve"> </w:t>
      </w:r>
      <w:r>
        <w:rPr>
          <w:rFonts w:ascii="宋体" w:eastAsia="宋体" w:hAnsi="宋体" w:cs="宋体"/>
          <w:spacing w:val="-27"/>
          <w:w w:val="99"/>
          <w:sz w:val="23"/>
          <w:szCs w:val="23"/>
        </w:rPr>
        <w:t>质，即膳食中的非淀粉多糖与木质素，包括纤维素、半纤维素、果胶、树胶、糖蛋</w:t>
      </w:r>
      <w:r>
        <w:rPr>
          <w:rFonts w:ascii="宋体" w:eastAsia="宋体" w:hAnsi="宋体" w:cs="宋体"/>
          <w:spacing w:val="43"/>
          <w:sz w:val="23"/>
          <w:szCs w:val="23"/>
        </w:rPr>
        <w:t xml:space="preserve"> </w:t>
      </w:r>
      <w:r>
        <w:rPr>
          <w:rFonts w:ascii="宋体" w:eastAsia="宋体" w:hAnsi="宋体" w:cs="宋体"/>
          <w:spacing w:val="-24"/>
          <w:w w:val="98"/>
          <w:sz w:val="23"/>
          <w:szCs w:val="23"/>
        </w:rPr>
        <w:t>白、木质素及海藻多糖等。近年来又将另外一些不可消化的物质归入膳食纤维，如</w:t>
      </w:r>
      <w:r>
        <w:rPr>
          <w:rFonts w:ascii="宋体" w:eastAsia="宋体" w:hAnsi="宋体" w:cs="宋体"/>
          <w:spacing w:val="23"/>
          <w:sz w:val="23"/>
          <w:szCs w:val="23"/>
        </w:rPr>
        <w:t xml:space="preserve"> </w:t>
      </w:r>
      <w:r>
        <w:rPr>
          <w:rFonts w:ascii="宋体" w:eastAsia="宋体" w:hAnsi="宋体" w:cs="宋体"/>
          <w:spacing w:val="-22"/>
          <w:w w:val="97"/>
          <w:sz w:val="23"/>
          <w:szCs w:val="23"/>
        </w:rPr>
        <w:t>植物细胞壁的蜡、角质和不被消化的细胞壁蛋白质，还有其他一些非细胞壁的化合</w:t>
      </w:r>
      <w:r>
        <w:rPr>
          <w:rFonts w:ascii="宋体" w:eastAsia="宋体" w:hAnsi="宋体" w:cs="宋体"/>
          <w:spacing w:val="28"/>
          <w:sz w:val="23"/>
          <w:szCs w:val="23"/>
        </w:rPr>
        <w:t xml:space="preserve"> </w:t>
      </w:r>
      <w:r>
        <w:rPr>
          <w:rFonts w:ascii="宋体" w:eastAsia="宋体" w:hAnsi="宋体" w:cs="宋体"/>
          <w:spacing w:val="-20"/>
          <w:w w:val="98"/>
          <w:sz w:val="23"/>
          <w:szCs w:val="23"/>
        </w:rPr>
        <w:t>物如抗性淀粉、美拉德反应产物及动物来源的抗消化物质(如氨基多糖)。</w:t>
      </w:r>
    </w:p>
    <w:p w:rsidR="00EA40A3" w:rsidRDefault="00E86C16">
      <w:pPr>
        <w:spacing w:before="202" w:line="222" w:lineRule="auto"/>
        <w:ind w:left="3"/>
        <w:outlineLvl w:val="6"/>
        <w:rPr>
          <w:rFonts w:ascii="黑体" w:eastAsia="黑体" w:hAnsi="黑体" w:cs="黑体"/>
          <w:sz w:val="23"/>
          <w:szCs w:val="23"/>
        </w:rPr>
      </w:pPr>
      <w:r>
        <w:rPr>
          <w:rFonts w:ascii="黑体" w:eastAsia="黑体" w:hAnsi="黑体" w:cs="黑体"/>
          <w:b/>
          <w:bCs/>
          <w:spacing w:val="1"/>
          <w:sz w:val="23"/>
          <w:szCs w:val="23"/>
        </w:rPr>
        <w:t>5.1.1</w:t>
      </w:r>
      <w:r>
        <w:rPr>
          <w:rFonts w:ascii="黑体" w:eastAsia="黑体" w:hAnsi="黑体" w:cs="黑体"/>
          <w:spacing w:val="26"/>
          <w:sz w:val="23"/>
          <w:szCs w:val="23"/>
        </w:rPr>
        <w:t xml:space="preserve">  </w:t>
      </w:r>
      <w:r>
        <w:rPr>
          <w:rFonts w:ascii="黑体" w:eastAsia="黑体" w:hAnsi="黑体" w:cs="黑体"/>
          <w:b/>
          <w:bCs/>
          <w:spacing w:val="1"/>
          <w:sz w:val="23"/>
          <w:szCs w:val="23"/>
        </w:rPr>
        <w:t>膳食纤维的生理功能</w:t>
      </w:r>
    </w:p>
    <w:p w:rsidR="00EA40A3" w:rsidRDefault="00E86C16">
      <w:pPr>
        <w:spacing w:before="245" w:line="222" w:lineRule="auto"/>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5"/>
          <w:sz w:val="23"/>
          <w:szCs w:val="23"/>
        </w:rPr>
        <w:t xml:space="preserve"> </w:t>
      </w:r>
      <w:r>
        <w:rPr>
          <w:rFonts w:ascii="仿宋" w:eastAsia="仿宋" w:hAnsi="仿宋" w:cs="仿宋"/>
          <w:spacing w:val="1"/>
          <w:sz w:val="23"/>
          <w:szCs w:val="23"/>
        </w:rPr>
        <w:t>调节胃肠道功能</w:t>
      </w:r>
    </w:p>
    <w:p w:rsidR="00EA40A3" w:rsidRDefault="00E86C16">
      <w:pPr>
        <w:spacing w:before="166" w:line="243" w:lineRule="auto"/>
        <w:ind w:firstLine="429"/>
        <w:jc w:val="both"/>
        <w:rPr>
          <w:rFonts w:ascii="宋体" w:eastAsia="宋体" w:hAnsi="宋体" w:cs="宋体"/>
          <w:sz w:val="23"/>
          <w:szCs w:val="23"/>
        </w:rPr>
      </w:pPr>
      <w:r>
        <w:rPr>
          <w:rFonts w:ascii="宋体" w:eastAsia="宋体" w:hAnsi="宋体" w:cs="宋体"/>
          <w:spacing w:val="-19"/>
          <w:w w:val="98"/>
          <w:sz w:val="23"/>
          <w:szCs w:val="23"/>
        </w:rPr>
        <w:t>膳食纤维一方面能促进肠道蠕动，使肠道平滑肌保持健康和张力，另一方面</w:t>
      </w:r>
      <w:r>
        <w:rPr>
          <w:rFonts w:ascii="宋体" w:eastAsia="宋体" w:hAnsi="宋体" w:cs="宋体"/>
          <w:spacing w:val="26"/>
          <w:sz w:val="23"/>
          <w:szCs w:val="23"/>
        </w:rPr>
        <w:t xml:space="preserve"> </w:t>
      </w:r>
      <w:r>
        <w:rPr>
          <w:rFonts w:ascii="宋体" w:eastAsia="宋体" w:hAnsi="宋体" w:cs="宋体"/>
          <w:spacing w:val="-22"/>
          <w:sz w:val="23"/>
          <w:szCs w:val="23"/>
        </w:rPr>
        <w:t>具有吸水膨胀的特性，使粪便体积增加和质地变软，这些均</w:t>
      </w:r>
      <w:r>
        <w:rPr>
          <w:rFonts w:ascii="宋体" w:eastAsia="宋体" w:hAnsi="宋体" w:cs="宋体"/>
          <w:spacing w:val="-23"/>
          <w:sz w:val="23"/>
          <w:szCs w:val="23"/>
        </w:rPr>
        <w:t>有利于排便，有效防</w:t>
      </w:r>
      <w:r>
        <w:rPr>
          <w:rFonts w:ascii="宋体" w:eastAsia="宋体" w:hAnsi="宋体" w:cs="宋体"/>
          <w:sz w:val="23"/>
          <w:szCs w:val="23"/>
        </w:rPr>
        <w:t xml:space="preserve"> </w:t>
      </w:r>
      <w:r>
        <w:rPr>
          <w:rFonts w:ascii="宋体" w:eastAsia="宋体" w:hAnsi="宋体" w:cs="宋体"/>
          <w:spacing w:val="-23"/>
          <w:sz w:val="23"/>
          <w:szCs w:val="23"/>
        </w:rPr>
        <w:t>止便秘。此外，膳食纤维还能改善肠道菌群，并为肠道菌群提供发酵底物，发酵</w:t>
      </w:r>
      <w:r>
        <w:rPr>
          <w:rFonts w:ascii="宋体" w:eastAsia="宋体" w:hAnsi="宋体" w:cs="宋体"/>
          <w:spacing w:val="2"/>
          <w:sz w:val="23"/>
          <w:szCs w:val="23"/>
        </w:rPr>
        <w:t xml:space="preserve"> </w:t>
      </w:r>
      <w:r>
        <w:rPr>
          <w:rFonts w:ascii="宋体" w:eastAsia="宋体" w:hAnsi="宋体" w:cs="宋体"/>
          <w:spacing w:val="-19"/>
          <w:sz w:val="23"/>
          <w:szCs w:val="23"/>
        </w:rPr>
        <w:t>时产生一些对身体有益的短链脂肪酸，如乙酸、丙酸和丁酸，降低粪便</w:t>
      </w:r>
      <w:r>
        <w:rPr>
          <w:rFonts w:ascii="宋体" w:eastAsia="宋体" w:hAnsi="宋体" w:cs="宋体"/>
          <w:spacing w:val="-48"/>
          <w:sz w:val="23"/>
          <w:szCs w:val="23"/>
        </w:rPr>
        <w:t xml:space="preserve"> </w:t>
      </w:r>
      <w:r>
        <w:rPr>
          <w:rFonts w:ascii="宋体" w:eastAsia="宋体" w:hAnsi="宋体" w:cs="宋体"/>
          <w:spacing w:val="-19"/>
          <w:sz w:val="23"/>
          <w:szCs w:val="23"/>
        </w:rPr>
        <w:t>pH</w:t>
      </w:r>
      <w:r>
        <w:rPr>
          <w:rFonts w:ascii="宋体" w:eastAsia="宋体" w:hAnsi="宋体" w:cs="宋体"/>
          <w:spacing w:val="1"/>
          <w:sz w:val="23"/>
          <w:szCs w:val="23"/>
        </w:rPr>
        <w:t xml:space="preserve"> </w:t>
      </w:r>
      <w:r>
        <w:rPr>
          <w:rFonts w:ascii="宋体" w:eastAsia="宋体" w:hAnsi="宋体" w:cs="宋体"/>
          <w:spacing w:val="-19"/>
          <w:sz w:val="23"/>
          <w:szCs w:val="23"/>
        </w:rPr>
        <w:t>值，</w:t>
      </w:r>
      <w:r>
        <w:rPr>
          <w:rFonts w:ascii="宋体" w:eastAsia="宋体" w:hAnsi="宋体" w:cs="宋体"/>
          <w:sz w:val="23"/>
          <w:szCs w:val="23"/>
        </w:rPr>
        <w:t xml:space="preserve"> </w:t>
      </w:r>
      <w:r>
        <w:rPr>
          <w:rFonts w:ascii="宋体" w:eastAsia="宋体" w:hAnsi="宋体" w:cs="宋体"/>
          <w:spacing w:val="-23"/>
          <w:sz w:val="23"/>
          <w:szCs w:val="23"/>
        </w:rPr>
        <w:t>抑制有害物质的产生和吸收，具有解毒和预防结肠癌的作用。</w:t>
      </w:r>
    </w:p>
    <w:p w:rsidR="00EA40A3" w:rsidRDefault="00E86C16">
      <w:pPr>
        <w:spacing w:before="196" w:line="223" w:lineRule="auto"/>
        <w:rPr>
          <w:rFonts w:ascii="仿宋" w:eastAsia="仿宋" w:hAnsi="仿宋" w:cs="仿宋"/>
          <w:sz w:val="23"/>
          <w:szCs w:val="23"/>
        </w:rPr>
      </w:pPr>
      <w:r>
        <w:rPr>
          <w:rFonts w:ascii="仿宋" w:eastAsia="仿宋" w:hAnsi="仿宋" w:cs="仿宋"/>
          <w:spacing w:val="2"/>
          <w:sz w:val="23"/>
          <w:szCs w:val="23"/>
        </w:rPr>
        <w:t>2.</w:t>
      </w:r>
      <w:r>
        <w:rPr>
          <w:rFonts w:ascii="仿宋" w:eastAsia="仿宋" w:hAnsi="仿宋" w:cs="仿宋"/>
          <w:spacing w:val="21"/>
          <w:sz w:val="23"/>
          <w:szCs w:val="23"/>
        </w:rPr>
        <w:t xml:space="preserve"> </w:t>
      </w:r>
      <w:r>
        <w:rPr>
          <w:rFonts w:ascii="仿宋" w:eastAsia="仿宋" w:hAnsi="仿宋" w:cs="仿宋"/>
          <w:spacing w:val="2"/>
          <w:sz w:val="23"/>
          <w:szCs w:val="23"/>
        </w:rPr>
        <w:t>降血脂及预防心血管病</w:t>
      </w:r>
    </w:p>
    <w:p w:rsidR="00EA40A3" w:rsidRDefault="00E86C16">
      <w:pPr>
        <w:spacing w:before="172" w:line="219" w:lineRule="auto"/>
        <w:ind w:left="429"/>
        <w:rPr>
          <w:rFonts w:ascii="宋体" w:eastAsia="宋体" w:hAnsi="宋体" w:cs="宋体"/>
          <w:sz w:val="23"/>
          <w:szCs w:val="23"/>
        </w:rPr>
      </w:pPr>
      <w:r>
        <w:rPr>
          <w:rFonts w:ascii="宋体" w:eastAsia="宋体" w:hAnsi="宋体" w:cs="宋体"/>
          <w:spacing w:val="-21"/>
          <w:w w:val="99"/>
          <w:sz w:val="23"/>
          <w:szCs w:val="23"/>
        </w:rPr>
        <w:t>膳食纤维表面的活性基团可吸附螯合胆固醇和胆汁酸等有机物，减少肠壁对</w:t>
      </w:r>
    </w:p>
    <w:p w:rsidR="00EA40A3" w:rsidRDefault="00E86C16">
      <w:pPr>
        <w:spacing w:before="74"/>
        <w:ind w:left="169"/>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152</w:t>
      </w:r>
      <w:r>
        <w:rPr>
          <w:rFonts w:ascii="宋体" w:eastAsia="宋体" w:hAnsi="宋体" w:cs="宋体"/>
          <w:spacing w:val="49"/>
          <w:w w:val="101"/>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123"/>
          <w:pgSz w:w="9330" w:h="13440"/>
          <w:pgMar w:top="400" w:right="1070" w:bottom="400" w:left="920" w:header="0" w:footer="0" w:gutter="0"/>
          <w:cols w:space="720"/>
        </w:sectPr>
      </w:pPr>
    </w:p>
    <w:p w:rsidR="00EA40A3" w:rsidRDefault="00EA40A3">
      <w:pPr>
        <w:spacing w:line="303" w:lineRule="auto"/>
      </w:pPr>
    </w:p>
    <w:p w:rsidR="00EA40A3" w:rsidRDefault="00EA40A3">
      <w:pPr>
        <w:spacing w:line="303" w:lineRule="auto"/>
      </w:pPr>
    </w:p>
    <w:p w:rsidR="00EA40A3" w:rsidRDefault="00E86C16">
      <w:pPr>
        <w:spacing w:before="71" w:line="246" w:lineRule="auto"/>
        <w:ind w:right="96"/>
        <w:jc w:val="both"/>
        <w:rPr>
          <w:rFonts w:ascii="宋体" w:eastAsia="宋体" w:hAnsi="宋体" w:cs="宋体"/>
          <w:sz w:val="22"/>
          <w:szCs w:val="22"/>
        </w:rPr>
      </w:pPr>
      <w:bookmarkStart w:id="30" w:name="_bookmark34"/>
      <w:bookmarkEnd w:id="30"/>
      <w:r>
        <w:rPr>
          <w:rFonts w:ascii="宋体" w:eastAsia="宋体" w:hAnsi="宋体" w:cs="宋体"/>
          <w:spacing w:val="-13"/>
          <w:sz w:val="22"/>
          <w:szCs w:val="22"/>
        </w:rPr>
        <w:t>脂肪和胆固醇的吸收，并加快胆固醇和胆汁酸从粪便中排泄，因而有降血脂和血</w:t>
      </w:r>
      <w:r>
        <w:rPr>
          <w:rFonts w:ascii="宋体" w:eastAsia="宋体" w:hAnsi="宋体" w:cs="宋体"/>
          <w:spacing w:val="12"/>
          <w:sz w:val="22"/>
          <w:szCs w:val="22"/>
        </w:rPr>
        <w:t xml:space="preserve"> </w:t>
      </w:r>
      <w:r>
        <w:rPr>
          <w:rFonts w:ascii="宋体" w:eastAsia="宋体" w:hAnsi="宋体" w:cs="宋体"/>
          <w:spacing w:val="-13"/>
          <w:sz w:val="22"/>
          <w:szCs w:val="22"/>
        </w:rPr>
        <w:t>清胆固醇的作用。其中水溶性膳食纤维作用明显，蔬菜和水果中的膳食纤维明显</w:t>
      </w:r>
      <w:r>
        <w:rPr>
          <w:rFonts w:ascii="宋体" w:eastAsia="宋体" w:hAnsi="宋体" w:cs="宋体"/>
          <w:spacing w:val="17"/>
          <w:sz w:val="22"/>
          <w:szCs w:val="22"/>
        </w:rPr>
        <w:t xml:space="preserve"> </w:t>
      </w:r>
      <w:r>
        <w:rPr>
          <w:rFonts w:ascii="宋体" w:eastAsia="宋体" w:hAnsi="宋体" w:cs="宋体"/>
          <w:spacing w:val="-13"/>
          <w:sz w:val="22"/>
          <w:szCs w:val="22"/>
        </w:rPr>
        <w:t>优于谷物，谷物中以燕麦麸皮水溶性纤维对降胆固醇有较好的效果；而不溶于水</w:t>
      </w:r>
      <w:r>
        <w:rPr>
          <w:rFonts w:ascii="宋体" w:eastAsia="宋体" w:hAnsi="宋体" w:cs="宋体"/>
          <w:spacing w:val="13"/>
          <w:sz w:val="22"/>
          <w:szCs w:val="22"/>
        </w:rPr>
        <w:t xml:space="preserve"> </w:t>
      </w:r>
      <w:r>
        <w:rPr>
          <w:rFonts w:ascii="宋体" w:eastAsia="宋体" w:hAnsi="宋体" w:cs="宋体"/>
          <w:spacing w:val="-13"/>
          <w:sz w:val="22"/>
          <w:szCs w:val="22"/>
        </w:rPr>
        <w:t>的膳食纤维如纤维素、木质素、玉米麸和小麦麸很少能改变血浆胆固醇水平。在</w:t>
      </w:r>
      <w:r>
        <w:rPr>
          <w:rFonts w:ascii="宋体" w:eastAsia="宋体" w:hAnsi="宋体" w:cs="宋体"/>
          <w:spacing w:val="15"/>
          <w:sz w:val="22"/>
          <w:szCs w:val="22"/>
        </w:rPr>
        <w:t xml:space="preserve"> </w:t>
      </w:r>
      <w:r>
        <w:rPr>
          <w:rFonts w:ascii="宋体" w:eastAsia="宋体" w:hAnsi="宋体" w:cs="宋体"/>
          <w:spacing w:val="-13"/>
          <w:sz w:val="22"/>
          <w:szCs w:val="22"/>
        </w:rPr>
        <w:t>日常膳食中，增加适量食物纤维，同时减少脂肪摄入量，会减少</w:t>
      </w:r>
      <w:r>
        <w:rPr>
          <w:rFonts w:ascii="宋体" w:eastAsia="宋体" w:hAnsi="宋体" w:cs="宋体"/>
          <w:spacing w:val="-14"/>
          <w:sz w:val="22"/>
          <w:szCs w:val="22"/>
        </w:rPr>
        <w:t>机体吸收胆固醇</w:t>
      </w:r>
      <w:r>
        <w:rPr>
          <w:rFonts w:ascii="宋体" w:eastAsia="宋体" w:hAnsi="宋体" w:cs="宋体"/>
          <w:sz w:val="22"/>
          <w:szCs w:val="22"/>
        </w:rPr>
        <w:t xml:space="preserve"> </w:t>
      </w:r>
      <w:r>
        <w:rPr>
          <w:rFonts w:ascii="宋体" w:eastAsia="宋体" w:hAnsi="宋体" w:cs="宋体"/>
          <w:spacing w:val="-13"/>
          <w:sz w:val="22"/>
          <w:szCs w:val="22"/>
        </w:rPr>
        <w:t>的量，降低体内胆固醇水平，从而达到预防动脉粥样硬化和冠心病的目的。</w:t>
      </w:r>
    </w:p>
    <w:p w:rsidR="00EA40A3" w:rsidRDefault="00E86C16">
      <w:pPr>
        <w:spacing w:before="237" w:line="222" w:lineRule="auto"/>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51"/>
          <w:sz w:val="22"/>
          <w:szCs w:val="22"/>
        </w:rPr>
        <w:t xml:space="preserve"> </w:t>
      </w:r>
      <w:r>
        <w:rPr>
          <w:rFonts w:ascii="仿宋" w:eastAsia="仿宋" w:hAnsi="仿宋" w:cs="仿宋"/>
          <w:spacing w:val="8"/>
          <w:sz w:val="22"/>
          <w:szCs w:val="22"/>
        </w:rPr>
        <w:t>降血糖及预防糖尿病</w:t>
      </w:r>
    </w:p>
    <w:p w:rsidR="00EA40A3" w:rsidRDefault="00E86C16">
      <w:pPr>
        <w:spacing w:before="216" w:line="245" w:lineRule="auto"/>
        <w:ind w:firstLine="440"/>
        <w:jc w:val="both"/>
        <w:rPr>
          <w:rFonts w:ascii="宋体" w:eastAsia="宋体" w:hAnsi="宋体" w:cs="宋体"/>
          <w:sz w:val="22"/>
          <w:szCs w:val="22"/>
        </w:rPr>
      </w:pPr>
      <w:r>
        <w:rPr>
          <w:rFonts w:ascii="宋体" w:eastAsia="宋体" w:hAnsi="宋体" w:cs="宋体"/>
          <w:spacing w:val="-10"/>
          <w:sz w:val="22"/>
          <w:szCs w:val="22"/>
        </w:rPr>
        <w:t>膳食纤维可减少糖尿病患者对胰岛素的依赖作用。经</w:t>
      </w:r>
      <w:r>
        <w:rPr>
          <w:rFonts w:ascii="宋体" w:eastAsia="宋体" w:hAnsi="宋体" w:cs="宋体"/>
          <w:spacing w:val="-11"/>
          <w:sz w:val="22"/>
          <w:szCs w:val="22"/>
        </w:rPr>
        <w:t>常食用膳食纤维的人，</w:t>
      </w:r>
      <w:r>
        <w:rPr>
          <w:rFonts w:ascii="宋体" w:eastAsia="宋体" w:hAnsi="宋体" w:cs="宋体"/>
          <w:sz w:val="22"/>
          <w:szCs w:val="22"/>
        </w:rPr>
        <w:t xml:space="preserve"> </w:t>
      </w:r>
      <w:r>
        <w:rPr>
          <w:rFonts w:ascii="宋体" w:eastAsia="宋体" w:hAnsi="宋体" w:cs="宋体"/>
          <w:spacing w:val="-10"/>
          <w:sz w:val="22"/>
          <w:szCs w:val="22"/>
        </w:rPr>
        <w:t>空腹血糖水平或口服葡萄糖耐量曲线均低于少量食用膳食</w:t>
      </w:r>
      <w:r>
        <w:rPr>
          <w:rFonts w:ascii="宋体" w:eastAsia="宋体" w:hAnsi="宋体" w:cs="宋体"/>
          <w:spacing w:val="-11"/>
          <w:sz w:val="22"/>
          <w:szCs w:val="22"/>
        </w:rPr>
        <w:t>纤维的人。研究发现，</w:t>
      </w:r>
      <w:r>
        <w:rPr>
          <w:rFonts w:ascii="宋体" w:eastAsia="宋体" w:hAnsi="宋体" w:cs="宋体"/>
          <w:sz w:val="22"/>
          <w:szCs w:val="22"/>
        </w:rPr>
        <w:t xml:space="preserve"> </w:t>
      </w:r>
      <w:r>
        <w:rPr>
          <w:rFonts w:ascii="宋体" w:eastAsia="宋体" w:hAnsi="宋体" w:cs="宋体"/>
          <w:spacing w:val="-12"/>
          <w:sz w:val="22"/>
          <w:szCs w:val="22"/>
        </w:rPr>
        <w:t>糖尿病患者摄入果胶或豆胶时，能观察到餐后血糖上升的幅度有所改</w:t>
      </w:r>
      <w:r>
        <w:rPr>
          <w:rFonts w:ascii="宋体" w:eastAsia="宋体" w:hAnsi="宋体" w:cs="宋体"/>
          <w:spacing w:val="-13"/>
          <w:sz w:val="22"/>
          <w:szCs w:val="22"/>
        </w:rPr>
        <w:t>善。如采用</w:t>
      </w:r>
      <w:r>
        <w:rPr>
          <w:rFonts w:ascii="宋体" w:eastAsia="宋体" w:hAnsi="宋体" w:cs="宋体"/>
          <w:sz w:val="22"/>
          <w:szCs w:val="22"/>
        </w:rPr>
        <w:t xml:space="preserve"> </w:t>
      </w:r>
      <w:r>
        <w:rPr>
          <w:rFonts w:ascii="宋体" w:eastAsia="宋体" w:hAnsi="宋体" w:cs="宋体"/>
          <w:spacing w:val="-13"/>
          <w:sz w:val="22"/>
          <w:szCs w:val="22"/>
        </w:rPr>
        <w:t>杂粮、麦麸、豆类和蔬菜等含膳食纤维多的食物时，糖尿病患者的尿糖水平和需</w:t>
      </w:r>
      <w:r>
        <w:rPr>
          <w:rFonts w:ascii="宋体" w:eastAsia="宋体" w:hAnsi="宋体" w:cs="宋体"/>
          <w:spacing w:val="8"/>
          <w:sz w:val="22"/>
          <w:szCs w:val="22"/>
        </w:rPr>
        <w:t xml:space="preserve">  </w:t>
      </w:r>
      <w:r>
        <w:rPr>
          <w:rFonts w:ascii="宋体" w:eastAsia="宋体" w:hAnsi="宋体" w:cs="宋体"/>
          <w:spacing w:val="-15"/>
          <w:sz w:val="22"/>
          <w:szCs w:val="22"/>
        </w:rPr>
        <w:t>要的胰岛素剂量都可减少。</w:t>
      </w:r>
    </w:p>
    <w:p w:rsidR="00EA40A3" w:rsidRDefault="00E86C16">
      <w:pPr>
        <w:spacing w:before="217" w:line="222"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3"/>
          <w:sz w:val="22"/>
          <w:szCs w:val="22"/>
        </w:rPr>
        <w:t xml:space="preserve"> </w:t>
      </w:r>
      <w:r>
        <w:rPr>
          <w:rFonts w:ascii="仿宋" w:eastAsia="仿宋" w:hAnsi="仿宋" w:cs="仿宋"/>
          <w:spacing w:val="9"/>
          <w:sz w:val="22"/>
          <w:szCs w:val="22"/>
        </w:rPr>
        <w:t>控制体重及其他</w:t>
      </w:r>
    </w:p>
    <w:p w:rsidR="00EA40A3" w:rsidRDefault="00E86C16">
      <w:pPr>
        <w:spacing w:before="208" w:line="241" w:lineRule="auto"/>
        <w:ind w:right="79" w:firstLine="440"/>
        <w:jc w:val="both"/>
        <w:rPr>
          <w:rFonts w:ascii="宋体" w:eastAsia="宋体" w:hAnsi="宋体" w:cs="宋体"/>
          <w:sz w:val="22"/>
          <w:szCs w:val="22"/>
        </w:rPr>
      </w:pPr>
      <w:r>
        <w:rPr>
          <w:rFonts w:ascii="宋体" w:eastAsia="宋体" w:hAnsi="宋体" w:cs="宋体"/>
          <w:spacing w:val="-13"/>
          <w:sz w:val="22"/>
          <w:szCs w:val="22"/>
        </w:rPr>
        <w:t>膳食纤维强的持水能力和充盈作用可增加胃部饱腹感，减少食物摄入量和降</w:t>
      </w:r>
      <w:r>
        <w:rPr>
          <w:rFonts w:ascii="宋体" w:eastAsia="宋体" w:hAnsi="宋体" w:cs="宋体"/>
          <w:spacing w:val="8"/>
          <w:sz w:val="22"/>
          <w:szCs w:val="22"/>
        </w:rPr>
        <w:t xml:space="preserve"> </w:t>
      </w:r>
      <w:r>
        <w:rPr>
          <w:rFonts w:ascii="宋体" w:eastAsia="宋体" w:hAnsi="宋体" w:cs="宋体"/>
          <w:spacing w:val="-12"/>
          <w:sz w:val="22"/>
          <w:szCs w:val="22"/>
        </w:rPr>
        <w:t>低能量营养素的利用，有利于控制体重，防止肥胖，但过多会干</w:t>
      </w:r>
      <w:r>
        <w:rPr>
          <w:rFonts w:ascii="宋体" w:eastAsia="宋体" w:hAnsi="宋体" w:cs="宋体"/>
          <w:spacing w:val="-13"/>
          <w:sz w:val="22"/>
          <w:szCs w:val="22"/>
        </w:rPr>
        <w:t>扰人体对矿物质</w:t>
      </w:r>
      <w:r>
        <w:rPr>
          <w:rFonts w:ascii="宋体" w:eastAsia="宋体" w:hAnsi="宋体" w:cs="宋体"/>
          <w:sz w:val="22"/>
          <w:szCs w:val="22"/>
        </w:rPr>
        <w:t xml:space="preserve"> </w:t>
      </w:r>
      <w:r>
        <w:rPr>
          <w:rFonts w:ascii="宋体" w:eastAsia="宋体" w:hAnsi="宋体" w:cs="宋体"/>
          <w:spacing w:val="-17"/>
          <w:sz w:val="22"/>
          <w:szCs w:val="22"/>
        </w:rPr>
        <w:t>等营养素的吸收。</w:t>
      </w:r>
    </w:p>
    <w:p w:rsidR="00EA40A3" w:rsidRDefault="00E86C16">
      <w:pPr>
        <w:spacing w:before="78" w:line="244" w:lineRule="auto"/>
        <w:ind w:right="101" w:firstLine="440"/>
        <w:jc w:val="both"/>
        <w:rPr>
          <w:rFonts w:ascii="宋体" w:eastAsia="宋体" w:hAnsi="宋体" w:cs="宋体"/>
          <w:sz w:val="22"/>
          <w:szCs w:val="22"/>
        </w:rPr>
      </w:pPr>
      <w:r>
        <w:rPr>
          <w:rFonts w:ascii="宋体" w:eastAsia="宋体" w:hAnsi="宋体" w:cs="宋体"/>
          <w:spacing w:val="-13"/>
          <w:sz w:val="22"/>
          <w:szCs w:val="22"/>
        </w:rPr>
        <w:t>膳食纤维是维持人体正常代谢十分重要的功能</w:t>
      </w:r>
      <w:r>
        <w:rPr>
          <w:rFonts w:ascii="宋体" w:eastAsia="宋体" w:hAnsi="宋体" w:cs="宋体"/>
          <w:spacing w:val="-14"/>
          <w:sz w:val="22"/>
          <w:szCs w:val="22"/>
        </w:rPr>
        <w:t>成分，其摄入量不足或缺乏可</w:t>
      </w:r>
      <w:r>
        <w:rPr>
          <w:rFonts w:ascii="宋体" w:eastAsia="宋体" w:hAnsi="宋体" w:cs="宋体"/>
          <w:sz w:val="22"/>
          <w:szCs w:val="22"/>
        </w:rPr>
        <w:t xml:space="preserve"> </w:t>
      </w:r>
      <w:r>
        <w:rPr>
          <w:rFonts w:ascii="宋体" w:eastAsia="宋体" w:hAnsi="宋体" w:cs="宋体"/>
          <w:spacing w:val="-13"/>
          <w:sz w:val="22"/>
          <w:szCs w:val="22"/>
        </w:rPr>
        <w:t>能还与下列疾病有关，包括阑尾炎、胃食道逆流、痔疮、溃疡性</w:t>
      </w:r>
      <w:r>
        <w:rPr>
          <w:rFonts w:ascii="宋体" w:eastAsia="宋体" w:hAnsi="宋体" w:cs="宋体"/>
          <w:spacing w:val="-14"/>
          <w:sz w:val="22"/>
          <w:szCs w:val="22"/>
        </w:rPr>
        <w:t>结肠炎、静脉血</w:t>
      </w:r>
      <w:r>
        <w:rPr>
          <w:rFonts w:ascii="宋体" w:eastAsia="宋体" w:hAnsi="宋体" w:cs="宋体"/>
          <w:sz w:val="22"/>
          <w:szCs w:val="22"/>
        </w:rPr>
        <w:t xml:space="preserve"> </w:t>
      </w:r>
      <w:r>
        <w:rPr>
          <w:rFonts w:ascii="宋体" w:eastAsia="宋体" w:hAnsi="宋体" w:cs="宋体"/>
          <w:spacing w:val="-13"/>
          <w:sz w:val="22"/>
          <w:szCs w:val="22"/>
        </w:rPr>
        <w:t>管曲张、深静脉血栓、骨盆静脉石、肾结石和膀胱结石等。如摄入足量的膳食纤</w:t>
      </w:r>
      <w:r>
        <w:rPr>
          <w:rFonts w:ascii="宋体" w:eastAsia="宋体" w:hAnsi="宋体" w:cs="宋体"/>
          <w:spacing w:val="13"/>
          <w:sz w:val="22"/>
          <w:szCs w:val="22"/>
        </w:rPr>
        <w:t xml:space="preserve"> </w:t>
      </w:r>
      <w:r>
        <w:rPr>
          <w:rFonts w:ascii="宋体" w:eastAsia="宋体" w:hAnsi="宋体" w:cs="宋体"/>
          <w:spacing w:val="-15"/>
          <w:sz w:val="22"/>
          <w:szCs w:val="22"/>
        </w:rPr>
        <w:t>维，有利于保护人体免受这些疾病的危害。</w:t>
      </w:r>
    </w:p>
    <w:p w:rsidR="00EA40A3" w:rsidRDefault="00E86C16">
      <w:pPr>
        <w:spacing w:before="232" w:line="221" w:lineRule="auto"/>
        <w:ind w:left="3"/>
        <w:outlineLvl w:val="6"/>
        <w:rPr>
          <w:rFonts w:ascii="黑体" w:eastAsia="黑体" w:hAnsi="黑体" w:cs="黑体"/>
          <w:sz w:val="22"/>
          <w:szCs w:val="22"/>
        </w:rPr>
      </w:pPr>
      <w:r>
        <w:rPr>
          <w:rFonts w:ascii="黑体" w:eastAsia="黑体" w:hAnsi="黑体" w:cs="黑体"/>
          <w:b/>
          <w:bCs/>
          <w:spacing w:val="10"/>
          <w:sz w:val="22"/>
          <w:szCs w:val="22"/>
        </w:rPr>
        <w:t>5.1.2</w:t>
      </w:r>
      <w:r>
        <w:rPr>
          <w:rFonts w:ascii="黑体" w:eastAsia="黑体" w:hAnsi="黑体" w:cs="黑体"/>
          <w:spacing w:val="8"/>
          <w:sz w:val="22"/>
          <w:szCs w:val="22"/>
        </w:rPr>
        <w:t xml:space="preserve">   </w:t>
      </w:r>
      <w:r>
        <w:rPr>
          <w:rFonts w:ascii="黑体" w:eastAsia="黑体" w:hAnsi="黑体" w:cs="黑体"/>
          <w:b/>
          <w:bCs/>
          <w:spacing w:val="10"/>
          <w:sz w:val="22"/>
          <w:szCs w:val="22"/>
        </w:rPr>
        <w:t>膳食纤维的适宜摄入量及食物来源</w:t>
      </w:r>
    </w:p>
    <w:p w:rsidR="00EA40A3" w:rsidRDefault="00E86C16">
      <w:pPr>
        <w:spacing w:before="219" w:line="222"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4"/>
          <w:sz w:val="22"/>
          <w:szCs w:val="22"/>
        </w:rPr>
        <w:t xml:space="preserve"> </w:t>
      </w:r>
      <w:r>
        <w:rPr>
          <w:rFonts w:ascii="仿宋" w:eastAsia="仿宋" w:hAnsi="仿宋" w:cs="仿宋"/>
          <w:spacing w:val="12"/>
          <w:sz w:val="22"/>
          <w:szCs w:val="22"/>
        </w:rPr>
        <w:t>膳食纤维的适宜摄入量</w:t>
      </w:r>
    </w:p>
    <w:p w:rsidR="00EA40A3" w:rsidRDefault="00E86C16">
      <w:pPr>
        <w:spacing w:before="217" w:line="243" w:lineRule="auto"/>
        <w:ind w:right="80" w:firstLine="440"/>
        <w:jc w:val="both"/>
        <w:rPr>
          <w:rFonts w:ascii="宋体" w:eastAsia="宋体" w:hAnsi="宋体" w:cs="宋体"/>
          <w:sz w:val="22"/>
          <w:szCs w:val="22"/>
        </w:rPr>
      </w:pPr>
      <w:r>
        <w:rPr>
          <w:rFonts w:ascii="宋体" w:eastAsia="宋体" w:hAnsi="宋体" w:cs="宋体"/>
          <w:spacing w:val="-13"/>
          <w:sz w:val="22"/>
          <w:szCs w:val="22"/>
        </w:rPr>
        <w:t>根据中国居民《平衡膳食宝塔》推算，膳食纤维的适宜摄入量为，低能量膳</w:t>
      </w:r>
      <w:r>
        <w:rPr>
          <w:rFonts w:ascii="宋体" w:eastAsia="宋体" w:hAnsi="宋体" w:cs="宋体"/>
          <w:spacing w:val="7"/>
          <w:sz w:val="22"/>
          <w:szCs w:val="22"/>
        </w:rPr>
        <w:t xml:space="preserve"> </w:t>
      </w:r>
      <w:r>
        <w:rPr>
          <w:rFonts w:ascii="宋体" w:eastAsia="宋体" w:hAnsi="宋体" w:cs="宋体"/>
          <w:spacing w:val="-1"/>
          <w:sz w:val="22"/>
          <w:szCs w:val="22"/>
        </w:rPr>
        <w:t>食7531kJ(1800kcal)为25g</w:t>
      </w:r>
      <w:r>
        <w:rPr>
          <w:rFonts w:ascii="宋体" w:eastAsia="宋体" w:hAnsi="宋体" w:cs="宋体"/>
          <w:spacing w:val="-2"/>
          <w:sz w:val="22"/>
          <w:szCs w:val="22"/>
        </w:rPr>
        <w:t>/d,</w:t>
      </w:r>
      <w:r>
        <w:rPr>
          <w:rFonts w:ascii="宋体" w:eastAsia="宋体" w:hAnsi="宋体" w:cs="宋体"/>
          <w:spacing w:val="-38"/>
          <w:sz w:val="22"/>
          <w:szCs w:val="22"/>
        </w:rPr>
        <w:t xml:space="preserve"> </w:t>
      </w:r>
      <w:r>
        <w:rPr>
          <w:rFonts w:ascii="宋体" w:eastAsia="宋体" w:hAnsi="宋体" w:cs="宋体"/>
          <w:spacing w:val="-2"/>
          <w:sz w:val="22"/>
          <w:szCs w:val="22"/>
        </w:rPr>
        <w:t>中等能量膳食10042</w:t>
      </w:r>
      <w:r>
        <w:rPr>
          <w:rFonts w:ascii="宋体" w:eastAsia="宋体" w:hAnsi="宋体" w:cs="宋体"/>
          <w:spacing w:val="-1"/>
          <w:sz w:val="22"/>
          <w:szCs w:val="22"/>
        </w:rPr>
        <w:t>kJ</w:t>
      </w:r>
      <w:r>
        <w:rPr>
          <w:rFonts w:ascii="宋体" w:eastAsia="宋体" w:hAnsi="宋体" w:cs="宋体"/>
          <w:spacing w:val="-2"/>
          <w:sz w:val="22"/>
          <w:szCs w:val="22"/>
        </w:rPr>
        <w:t>(2400</w:t>
      </w:r>
      <w:r>
        <w:rPr>
          <w:rFonts w:ascii="宋体" w:eastAsia="宋体" w:hAnsi="宋体" w:cs="宋体"/>
          <w:spacing w:val="-1"/>
          <w:sz w:val="22"/>
          <w:szCs w:val="22"/>
        </w:rPr>
        <w:t>kcal</w:t>
      </w:r>
      <w:r>
        <w:rPr>
          <w:rFonts w:ascii="宋体" w:eastAsia="宋体" w:hAnsi="宋体" w:cs="宋体"/>
          <w:spacing w:val="-2"/>
          <w:sz w:val="22"/>
          <w:szCs w:val="22"/>
        </w:rPr>
        <w:t>)</w:t>
      </w:r>
      <w:r>
        <w:rPr>
          <w:rFonts w:ascii="宋体" w:eastAsia="宋体" w:hAnsi="宋体" w:cs="宋体"/>
          <w:spacing w:val="-47"/>
          <w:sz w:val="22"/>
          <w:szCs w:val="22"/>
        </w:rPr>
        <w:t xml:space="preserve"> </w:t>
      </w:r>
      <w:r>
        <w:rPr>
          <w:rFonts w:ascii="宋体" w:eastAsia="宋体" w:hAnsi="宋体" w:cs="宋体"/>
          <w:spacing w:val="-2"/>
          <w:sz w:val="22"/>
          <w:szCs w:val="22"/>
        </w:rPr>
        <w:t>为30g/d,</w:t>
      </w:r>
      <w:r>
        <w:rPr>
          <w:rFonts w:ascii="宋体" w:eastAsia="宋体" w:hAnsi="宋体" w:cs="宋体"/>
          <w:spacing w:val="-38"/>
          <w:sz w:val="22"/>
          <w:szCs w:val="22"/>
        </w:rPr>
        <w:t xml:space="preserve"> </w:t>
      </w:r>
      <w:r>
        <w:rPr>
          <w:rFonts w:ascii="宋体" w:eastAsia="宋体" w:hAnsi="宋体" w:cs="宋体"/>
          <w:spacing w:val="-2"/>
          <w:sz w:val="22"/>
          <w:szCs w:val="22"/>
        </w:rPr>
        <w:t>高</w:t>
      </w:r>
      <w:r>
        <w:rPr>
          <w:rFonts w:ascii="宋体" w:eastAsia="宋体" w:hAnsi="宋体" w:cs="宋体"/>
          <w:sz w:val="22"/>
          <w:szCs w:val="22"/>
        </w:rPr>
        <w:t xml:space="preserve"> </w:t>
      </w:r>
      <w:r>
        <w:rPr>
          <w:rFonts w:ascii="宋体" w:eastAsia="宋体" w:hAnsi="宋体" w:cs="宋体"/>
          <w:spacing w:val="-9"/>
          <w:sz w:val="22"/>
          <w:szCs w:val="22"/>
        </w:rPr>
        <w:t>能量膳食11715kJ(2800kcal)</w:t>
      </w:r>
      <w:r>
        <w:rPr>
          <w:rFonts w:ascii="宋体" w:eastAsia="宋体" w:hAnsi="宋体" w:cs="宋体"/>
          <w:spacing w:val="-57"/>
          <w:sz w:val="22"/>
          <w:szCs w:val="22"/>
        </w:rPr>
        <w:t xml:space="preserve"> </w:t>
      </w:r>
      <w:r>
        <w:rPr>
          <w:rFonts w:ascii="宋体" w:eastAsia="宋体" w:hAnsi="宋体" w:cs="宋体"/>
          <w:spacing w:val="-9"/>
          <w:sz w:val="22"/>
          <w:szCs w:val="22"/>
        </w:rPr>
        <w:t>为35g</w:t>
      </w:r>
      <w:r>
        <w:rPr>
          <w:rFonts w:ascii="宋体" w:eastAsia="宋体" w:hAnsi="宋体" w:cs="宋体"/>
          <w:spacing w:val="-10"/>
          <w:sz w:val="22"/>
          <w:szCs w:val="22"/>
        </w:rPr>
        <w:t>/d。此数值与许多国家所推荐的值相近。</w:t>
      </w:r>
    </w:p>
    <w:p w:rsidR="00EA40A3" w:rsidRDefault="00E86C16">
      <w:pPr>
        <w:spacing w:before="199"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5"/>
          <w:sz w:val="22"/>
          <w:szCs w:val="22"/>
        </w:rPr>
        <w:t xml:space="preserve"> </w:t>
      </w:r>
      <w:r>
        <w:rPr>
          <w:rFonts w:ascii="仿宋" w:eastAsia="仿宋" w:hAnsi="仿宋" w:cs="仿宋"/>
          <w:spacing w:val="12"/>
          <w:sz w:val="22"/>
          <w:szCs w:val="22"/>
        </w:rPr>
        <w:t>膳食纤维的食物来源</w:t>
      </w:r>
    </w:p>
    <w:p w:rsidR="00EA40A3" w:rsidRDefault="00E86C16">
      <w:pPr>
        <w:spacing w:before="208" w:line="252" w:lineRule="auto"/>
        <w:ind w:right="61" w:firstLine="440"/>
        <w:jc w:val="both"/>
        <w:rPr>
          <w:rFonts w:ascii="宋体" w:eastAsia="宋体" w:hAnsi="宋体" w:cs="宋体"/>
          <w:sz w:val="22"/>
          <w:szCs w:val="22"/>
        </w:rPr>
      </w:pPr>
      <w:r>
        <w:rPr>
          <w:rFonts w:ascii="宋体" w:eastAsia="宋体" w:hAnsi="宋体" w:cs="宋体"/>
          <w:spacing w:val="-12"/>
          <w:sz w:val="22"/>
          <w:szCs w:val="22"/>
        </w:rPr>
        <w:t>膳食纤维主要来源于植物性食物，以谷类、根茎类和豆类最为</w:t>
      </w:r>
      <w:r>
        <w:rPr>
          <w:rFonts w:ascii="宋体" w:eastAsia="宋体" w:hAnsi="宋体" w:cs="宋体"/>
          <w:spacing w:val="-13"/>
          <w:sz w:val="22"/>
          <w:szCs w:val="22"/>
        </w:rPr>
        <w:t>丰富，某些蔬</w:t>
      </w:r>
      <w:r>
        <w:rPr>
          <w:rFonts w:ascii="宋体" w:eastAsia="宋体" w:hAnsi="宋体" w:cs="宋体"/>
          <w:sz w:val="22"/>
          <w:szCs w:val="22"/>
        </w:rPr>
        <w:t xml:space="preserve"> </w:t>
      </w:r>
      <w:r>
        <w:rPr>
          <w:rFonts w:ascii="宋体" w:eastAsia="宋体" w:hAnsi="宋体" w:cs="宋体"/>
          <w:spacing w:val="-13"/>
          <w:sz w:val="22"/>
          <w:szCs w:val="22"/>
        </w:rPr>
        <w:t>菜、水果和坚果含量也不少。不同来源的膳食纤维组分各异，按其水中的溶解性</w:t>
      </w:r>
      <w:r>
        <w:rPr>
          <w:rFonts w:ascii="宋体" w:eastAsia="宋体" w:hAnsi="宋体" w:cs="宋体"/>
          <w:spacing w:val="12"/>
          <w:sz w:val="22"/>
          <w:szCs w:val="22"/>
        </w:rPr>
        <w:t xml:space="preserve"> </w:t>
      </w:r>
      <w:r>
        <w:rPr>
          <w:rFonts w:ascii="宋体" w:eastAsia="宋体" w:hAnsi="宋体" w:cs="宋体"/>
          <w:spacing w:val="-18"/>
          <w:sz w:val="22"/>
          <w:szCs w:val="22"/>
        </w:rPr>
        <w:t>能，大致可分为可溶性膳食纤维和不溶性膳食纤维两大类。可溶性膳食纤维主要包</w:t>
      </w:r>
      <w:r>
        <w:rPr>
          <w:rFonts w:ascii="宋体" w:eastAsia="宋体" w:hAnsi="宋体" w:cs="宋体"/>
          <w:spacing w:val="6"/>
          <w:sz w:val="22"/>
          <w:szCs w:val="22"/>
        </w:rPr>
        <w:t xml:space="preserve"> </w:t>
      </w:r>
      <w:r>
        <w:rPr>
          <w:rFonts w:ascii="宋体" w:eastAsia="宋体" w:hAnsi="宋体" w:cs="宋体"/>
          <w:spacing w:val="-18"/>
          <w:sz w:val="22"/>
          <w:szCs w:val="22"/>
        </w:rPr>
        <w:t>括植物细胞的储存物质和分泌物，还包括微生物多糖和合成多糖，其主要成分是胶</w:t>
      </w:r>
      <w:r>
        <w:rPr>
          <w:rFonts w:ascii="宋体" w:eastAsia="宋体" w:hAnsi="宋体" w:cs="宋体"/>
          <w:spacing w:val="8"/>
          <w:sz w:val="22"/>
          <w:szCs w:val="22"/>
        </w:rPr>
        <w:t xml:space="preserve"> </w:t>
      </w:r>
      <w:r>
        <w:rPr>
          <w:rFonts w:ascii="宋体" w:eastAsia="宋体" w:hAnsi="宋体" w:cs="宋体"/>
          <w:spacing w:val="-18"/>
          <w:sz w:val="22"/>
          <w:szCs w:val="22"/>
        </w:rPr>
        <w:t>类物质，如果胶、树胶、黄原胶、阿拉伯胶、角叉胶、瓜尔豆胶、卡拉胶、愈疮胶</w:t>
      </w:r>
    </w:p>
    <w:p w:rsidR="00EA40A3" w:rsidRDefault="00EA40A3">
      <w:pPr>
        <w:sectPr w:rsidR="00EA40A3">
          <w:footerReference w:type="default" r:id="rId124"/>
          <w:pgSz w:w="9220" w:h="13360"/>
          <w:pgMar w:top="400" w:right="959" w:bottom="1185" w:left="899" w:header="0" w:footer="965" w:gutter="0"/>
          <w:cols w:space="720"/>
        </w:sectPr>
      </w:pPr>
    </w:p>
    <w:p w:rsidR="00EA40A3" w:rsidRDefault="00E86C16">
      <w:pPr>
        <w:spacing w:line="297" w:lineRule="auto"/>
      </w:pPr>
      <w:r>
        <w:rPr>
          <w:noProof/>
        </w:rPr>
        <w:lastRenderedPageBreak/>
        <w:drawing>
          <wp:anchor distT="0" distB="0" distL="0" distR="0" simplePos="0" relativeHeight="251698176" behindDoc="0" locked="0" layoutInCell="0" allowOverlap="1">
            <wp:simplePos x="0" y="0"/>
            <wp:positionH relativeFrom="page">
              <wp:posOffset>3015615</wp:posOffset>
            </wp:positionH>
            <wp:positionV relativeFrom="page">
              <wp:posOffset>4196715</wp:posOffset>
            </wp:positionV>
            <wp:extent cx="1035050" cy="527050"/>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25"/>
                    <a:stretch>
                      <a:fillRect/>
                    </a:stretch>
                  </pic:blipFill>
                  <pic:spPr>
                    <a:xfrm>
                      <a:off x="0" y="0"/>
                      <a:ext cx="1035052" cy="527086"/>
                    </a:xfrm>
                    <a:prstGeom prst="rect">
                      <a:avLst/>
                    </a:prstGeom>
                  </pic:spPr>
                </pic:pic>
              </a:graphicData>
            </a:graphic>
          </wp:anchor>
        </w:drawing>
      </w:r>
    </w:p>
    <w:p w:rsidR="00EA40A3" w:rsidRDefault="00EA40A3">
      <w:pPr>
        <w:spacing w:line="298" w:lineRule="auto"/>
      </w:pPr>
    </w:p>
    <w:p w:rsidR="00EA40A3" w:rsidRDefault="00E86C16">
      <w:pPr>
        <w:spacing w:before="69" w:line="255" w:lineRule="auto"/>
        <w:ind w:left="40" w:right="68"/>
        <w:jc w:val="both"/>
        <w:rPr>
          <w:rFonts w:ascii="宋体" w:eastAsia="宋体" w:hAnsi="宋体" w:cs="宋体"/>
        </w:rPr>
      </w:pPr>
      <w:r>
        <w:rPr>
          <w:rFonts w:ascii="宋体" w:eastAsia="宋体" w:hAnsi="宋体" w:cs="宋体"/>
          <w:spacing w:val="-8"/>
        </w:rPr>
        <w:t>和琼脂等。不溶性膳食纤维主要指纤维素、部分半纤维</w:t>
      </w:r>
      <w:r>
        <w:rPr>
          <w:rFonts w:ascii="宋体" w:eastAsia="宋体" w:hAnsi="宋体" w:cs="宋体"/>
          <w:spacing w:val="-9"/>
        </w:rPr>
        <w:t>素、木质素、原果胶和壳聚</w:t>
      </w:r>
      <w:r>
        <w:rPr>
          <w:rFonts w:ascii="宋体" w:eastAsia="宋体" w:hAnsi="宋体" w:cs="宋体"/>
        </w:rPr>
        <w:t xml:space="preserve"> </w:t>
      </w:r>
      <w:r>
        <w:rPr>
          <w:rFonts w:ascii="宋体" w:eastAsia="宋体" w:hAnsi="宋体" w:cs="宋体"/>
          <w:spacing w:val="-2"/>
        </w:rPr>
        <w:t>糖等，是植物细胞壁的组成成分，存在于禾谷类和豆类种子的外表及植物的茎和</w:t>
      </w:r>
      <w:r>
        <w:rPr>
          <w:rFonts w:ascii="宋体" w:eastAsia="宋体" w:hAnsi="宋体" w:cs="宋体"/>
          <w:spacing w:val="6"/>
        </w:rPr>
        <w:t xml:space="preserve"> </w:t>
      </w:r>
      <w:r>
        <w:rPr>
          <w:rFonts w:ascii="宋体" w:eastAsia="宋体" w:hAnsi="宋体" w:cs="宋体"/>
          <w:spacing w:val="-12"/>
        </w:rPr>
        <w:t>叶中。</w:t>
      </w:r>
    </w:p>
    <w:p w:rsidR="00EA40A3" w:rsidRDefault="00E86C16">
      <w:pPr>
        <w:spacing w:before="29" w:line="262" w:lineRule="auto"/>
        <w:ind w:left="40" w:right="95" w:firstLine="419"/>
        <w:jc w:val="both"/>
        <w:rPr>
          <w:rFonts w:ascii="宋体" w:eastAsia="宋体" w:hAnsi="宋体" w:cs="宋体"/>
        </w:rPr>
      </w:pPr>
      <w:r>
        <w:rPr>
          <w:rFonts w:ascii="宋体" w:eastAsia="宋体" w:hAnsi="宋体" w:cs="宋体"/>
          <w:spacing w:val="-3"/>
        </w:rPr>
        <w:t>除天然食物所含自然状态的膳食纤维外，近年来还有粉末状、单晶体等形式</w:t>
      </w:r>
      <w:r>
        <w:rPr>
          <w:rFonts w:ascii="宋体" w:eastAsia="宋体" w:hAnsi="宋体" w:cs="宋体"/>
          <w:spacing w:val="6"/>
        </w:rPr>
        <w:t xml:space="preserve"> </w:t>
      </w:r>
      <w:r>
        <w:rPr>
          <w:rFonts w:ascii="宋体" w:eastAsia="宋体" w:hAnsi="宋体" w:cs="宋体"/>
          <w:spacing w:val="3"/>
        </w:rPr>
        <w:t>的从天然食物中提取的膳食纤维产品供食用。国内外目前已开发的膳食纤维包</w:t>
      </w:r>
      <w:r>
        <w:rPr>
          <w:rFonts w:ascii="宋体" w:eastAsia="宋体" w:hAnsi="宋体" w:cs="宋体"/>
          <w:spacing w:val="16"/>
        </w:rPr>
        <w:t xml:space="preserve"> </w:t>
      </w:r>
      <w:r>
        <w:rPr>
          <w:rFonts w:ascii="宋体" w:eastAsia="宋体" w:hAnsi="宋体" w:cs="宋体"/>
          <w:spacing w:val="3"/>
        </w:rPr>
        <w:t>括：以小麦、燕麦、大麦、黑麦、玉米纤维和米糠纤维为主的谷物纤维；以豌</w:t>
      </w:r>
      <w:r>
        <w:rPr>
          <w:rFonts w:ascii="宋体" w:eastAsia="宋体" w:hAnsi="宋体" w:cs="宋体"/>
          <w:spacing w:val="16"/>
        </w:rPr>
        <w:t xml:space="preserve"> </w:t>
      </w:r>
      <w:r>
        <w:rPr>
          <w:rFonts w:ascii="宋体" w:eastAsia="宋体" w:hAnsi="宋体" w:cs="宋体"/>
          <w:spacing w:val="-3"/>
        </w:rPr>
        <w:t>豆、大豆和蚕豆纤维为主的豆类种子与种皮纤维；水果、蔬菜纤维；甘蔗、甜菜</w:t>
      </w:r>
      <w:r>
        <w:rPr>
          <w:rFonts w:ascii="宋体" w:eastAsia="宋体" w:hAnsi="宋体" w:cs="宋体"/>
          <w:spacing w:val="13"/>
        </w:rPr>
        <w:t xml:space="preserve"> </w:t>
      </w:r>
      <w:r>
        <w:rPr>
          <w:rFonts w:ascii="宋体" w:eastAsia="宋体" w:hAnsi="宋体" w:cs="宋体"/>
          <w:spacing w:val="-5"/>
        </w:rPr>
        <w:t>和毛竹纤维及其他合成、半合成纤维等。</w:t>
      </w:r>
    </w:p>
    <w:p w:rsidR="00EA40A3" w:rsidRDefault="00E86C16">
      <w:pPr>
        <w:spacing w:before="60" w:line="241" w:lineRule="auto"/>
        <w:ind w:left="40" w:right="96" w:firstLine="419"/>
        <w:jc w:val="both"/>
        <w:rPr>
          <w:rFonts w:ascii="宋体" w:eastAsia="宋体" w:hAnsi="宋体" w:cs="宋体"/>
        </w:rPr>
      </w:pPr>
      <w:r>
        <w:rPr>
          <w:rFonts w:ascii="宋体" w:eastAsia="宋体" w:hAnsi="宋体" w:cs="宋体"/>
          <w:spacing w:val="-3"/>
        </w:rPr>
        <w:t>同时，以膳食纤维作为添加剂制成的强化膳食纤维食品也应运而生。如高纤</w:t>
      </w:r>
      <w:r>
        <w:rPr>
          <w:rFonts w:ascii="宋体" w:eastAsia="宋体" w:hAnsi="宋体" w:cs="宋体"/>
          <w:spacing w:val="6"/>
        </w:rPr>
        <w:t xml:space="preserve"> </w:t>
      </w:r>
      <w:r>
        <w:rPr>
          <w:rFonts w:ascii="宋体" w:eastAsia="宋体" w:hAnsi="宋体" w:cs="宋体"/>
          <w:spacing w:val="-3"/>
        </w:rPr>
        <w:t>维面包、饼干、面条、糕点等。</w:t>
      </w:r>
    </w:p>
    <w:p w:rsidR="00EA40A3" w:rsidRDefault="00E86C16">
      <w:pPr>
        <w:spacing w:before="266" w:line="219" w:lineRule="auto"/>
        <w:ind w:left="2670"/>
        <w:rPr>
          <w:rFonts w:ascii="宋体" w:eastAsia="宋体" w:hAnsi="宋体" w:cs="宋体"/>
          <w:sz w:val="30"/>
          <w:szCs w:val="30"/>
        </w:rPr>
      </w:pPr>
      <w:r>
        <w:rPr>
          <w:rFonts w:ascii="宋体" w:eastAsia="宋体" w:hAnsi="宋体" w:cs="宋体"/>
          <w:spacing w:val="-10"/>
          <w:sz w:val="30"/>
          <w:szCs w:val="30"/>
        </w:rPr>
        <w:t>5.2</w:t>
      </w:r>
      <w:r>
        <w:rPr>
          <w:rFonts w:ascii="宋体" w:eastAsia="宋体" w:hAnsi="宋体" w:cs="宋体"/>
          <w:spacing w:val="91"/>
          <w:sz w:val="30"/>
          <w:szCs w:val="30"/>
        </w:rPr>
        <w:t xml:space="preserve"> </w:t>
      </w:r>
      <w:r>
        <w:rPr>
          <w:rFonts w:ascii="宋体" w:eastAsia="宋体" w:hAnsi="宋体" w:cs="宋体"/>
          <w:spacing w:val="-10"/>
          <w:sz w:val="30"/>
          <w:szCs w:val="30"/>
        </w:rPr>
        <w:t>多</w:t>
      </w:r>
      <w:r>
        <w:rPr>
          <w:rFonts w:ascii="宋体" w:eastAsia="宋体" w:hAnsi="宋体" w:cs="宋体"/>
          <w:spacing w:val="136"/>
          <w:sz w:val="30"/>
          <w:szCs w:val="30"/>
        </w:rPr>
        <w:t xml:space="preserve"> </w:t>
      </w:r>
      <w:r>
        <w:rPr>
          <w:rFonts w:ascii="宋体" w:eastAsia="宋体" w:hAnsi="宋体" w:cs="宋体"/>
          <w:spacing w:val="-10"/>
          <w:sz w:val="30"/>
          <w:szCs w:val="30"/>
        </w:rPr>
        <w:t>酚</w:t>
      </w:r>
      <w:r>
        <w:rPr>
          <w:rFonts w:ascii="宋体" w:eastAsia="宋体" w:hAnsi="宋体" w:cs="宋体"/>
          <w:spacing w:val="101"/>
          <w:sz w:val="30"/>
          <w:szCs w:val="30"/>
        </w:rPr>
        <w:t xml:space="preserve"> </w:t>
      </w:r>
      <w:r>
        <w:rPr>
          <w:rFonts w:ascii="宋体" w:eastAsia="宋体" w:hAnsi="宋体" w:cs="宋体"/>
          <w:spacing w:val="-10"/>
          <w:sz w:val="30"/>
          <w:szCs w:val="30"/>
        </w:rPr>
        <w:t>类</w:t>
      </w:r>
    </w:p>
    <w:p w:rsidR="00EA40A3" w:rsidRDefault="00E86C16">
      <w:pPr>
        <w:spacing w:before="75" w:line="221" w:lineRule="auto"/>
        <w:ind w:left="43"/>
        <w:outlineLvl w:val="6"/>
        <w:rPr>
          <w:rFonts w:ascii="黑体" w:eastAsia="黑体" w:hAnsi="黑体" w:cs="黑体"/>
          <w:sz w:val="24"/>
          <w:szCs w:val="24"/>
        </w:rPr>
      </w:pPr>
      <w:r>
        <w:rPr>
          <w:rFonts w:ascii="黑体" w:eastAsia="黑体" w:hAnsi="黑体" w:cs="黑体"/>
          <w:b/>
          <w:bCs/>
          <w:spacing w:val="-12"/>
          <w:sz w:val="24"/>
          <w:szCs w:val="24"/>
        </w:rPr>
        <w:t>5.2.1</w:t>
      </w:r>
      <w:r>
        <w:rPr>
          <w:rFonts w:ascii="黑体" w:eastAsia="黑体" w:hAnsi="黑体" w:cs="黑体"/>
          <w:spacing w:val="1"/>
          <w:sz w:val="24"/>
          <w:szCs w:val="24"/>
        </w:rPr>
        <w:t xml:space="preserve">  </w:t>
      </w:r>
      <w:r>
        <w:rPr>
          <w:rFonts w:ascii="黑体" w:eastAsia="黑体" w:hAnsi="黑体" w:cs="黑体"/>
          <w:b/>
          <w:bCs/>
          <w:spacing w:val="-12"/>
          <w:sz w:val="24"/>
          <w:szCs w:val="24"/>
        </w:rPr>
        <w:t>生物类黄</w:t>
      </w:r>
      <w:r>
        <w:rPr>
          <w:rFonts w:ascii="黑体" w:eastAsia="黑体" w:hAnsi="黑体" w:cs="黑体"/>
          <w:b/>
          <w:bCs/>
          <w:spacing w:val="-13"/>
          <w:sz w:val="24"/>
          <w:szCs w:val="24"/>
        </w:rPr>
        <w:t>酮</w:t>
      </w:r>
      <w:r>
        <w:rPr>
          <w:rFonts w:ascii="黑体" w:eastAsia="黑体" w:hAnsi="黑体" w:cs="黑体"/>
          <w:spacing w:val="8"/>
          <w:sz w:val="24"/>
          <w:szCs w:val="24"/>
        </w:rPr>
        <w:t xml:space="preserve"> </w:t>
      </w:r>
      <w:r>
        <w:rPr>
          <w:rFonts w:ascii="黑体" w:eastAsia="黑体" w:hAnsi="黑体" w:cs="黑体"/>
          <w:b/>
          <w:bCs/>
          <w:spacing w:val="-13"/>
          <w:sz w:val="24"/>
          <w:szCs w:val="24"/>
        </w:rPr>
        <w:t>(</w:t>
      </w:r>
      <w:r>
        <w:rPr>
          <w:rFonts w:ascii="黑体" w:eastAsia="黑体" w:hAnsi="黑体" w:cs="黑体"/>
          <w:b/>
          <w:bCs/>
          <w:spacing w:val="-12"/>
          <w:sz w:val="24"/>
          <w:szCs w:val="24"/>
        </w:rPr>
        <w:t>bioflavonoid</w:t>
      </w:r>
      <w:r>
        <w:rPr>
          <w:rFonts w:ascii="黑体" w:eastAsia="黑体" w:hAnsi="黑体" w:cs="黑体"/>
          <w:b/>
          <w:bCs/>
          <w:spacing w:val="-13"/>
          <w:sz w:val="24"/>
          <w:szCs w:val="24"/>
        </w:rPr>
        <w:t>)</w:t>
      </w:r>
    </w:p>
    <w:p w:rsidR="00EA40A3" w:rsidRDefault="00E86C16">
      <w:pPr>
        <w:spacing w:before="195" w:line="253" w:lineRule="auto"/>
        <w:ind w:left="40" w:firstLine="419"/>
        <w:jc w:val="both"/>
        <w:rPr>
          <w:rFonts w:ascii="宋体" w:eastAsia="宋体" w:hAnsi="宋体" w:cs="宋体"/>
        </w:rPr>
      </w:pPr>
      <w:r>
        <w:rPr>
          <w:rFonts w:ascii="宋体" w:eastAsia="宋体" w:hAnsi="宋体" w:cs="宋体"/>
          <w:spacing w:val="-3"/>
        </w:rPr>
        <w:t>黄酮类化合物</w:t>
      </w:r>
      <w:r>
        <w:rPr>
          <w:rFonts w:ascii="宋体" w:eastAsia="宋体" w:hAnsi="宋体" w:cs="宋体"/>
          <w:spacing w:val="-14"/>
        </w:rPr>
        <w:t xml:space="preserve"> </w:t>
      </w:r>
      <w:r>
        <w:rPr>
          <w:rFonts w:ascii="宋体" w:eastAsia="宋体" w:hAnsi="宋体" w:cs="宋体"/>
          <w:spacing w:val="-3"/>
        </w:rPr>
        <w:t>(flavonoid)</w:t>
      </w:r>
      <w:r>
        <w:rPr>
          <w:rFonts w:ascii="宋体" w:eastAsia="宋体" w:hAnsi="宋体" w:cs="宋体"/>
          <w:spacing w:val="-49"/>
        </w:rPr>
        <w:t xml:space="preserve"> </w:t>
      </w:r>
      <w:r>
        <w:rPr>
          <w:rFonts w:ascii="宋体" w:eastAsia="宋体" w:hAnsi="宋体" w:cs="宋体"/>
          <w:spacing w:val="-3"/>
        </w:rPr>
        <w:t>原指基本母核为2-苯基色原酮类化合物，现泛指</w:t>
      </w:r>
      <w:r>
        <w:rPr>
          <w:rFonts w:ascii="宋体" w:eastAsia="宋体" w:hAnsi="宋体" w:cs="宋体"/>
        </w:rPr>
        <w:t xml:space="preserve"> </w:t>
      </w:r>
      <w:r>
        <w:rPr>
          <w:rFonts w:ascii="宋体" w:eastAsia="宋体" w:hAnsi="宋体" w:cs="宋体"/>
          <w:spacing w:val="11"/>
        </w:rPr>
        <w:t>具有2-苯基苯并吡喃的一系列化合物(图5-1),主要包括黄酮类、黄烷酮类、</w:t>
      </w:r>
      <w:r>
        <w:rPr>
          <w:rFonts w:ascii="宋体" w:eastAsia="宋体" w:hAnsi="宋体" w:cs="宋体"/>
          <w:spacing w:val="17"/>
        </w:rPr>
        <w:t xml:space="preserve"> </w:t>
      </w:r>
      <w:r>
        <w:rPr>
          <w:rFonts w:ascii="宋体" w:eastAsia="宋体" w:hAnsi="宋体" w:cs="宋体"/>
          <w:spacing w:val="-3"/>
        </w:rPr>
        <w:t>黄酮醇类、黄烷酮醇、黄烷醇、黄烷二醇、花青素、异黄酮、二氢异黄酮及高异</w:t>
      </w:r>
      <w:r>
        <w:rPr>
          <w:rFonts w:ascii="宋体" w:eastAsia="宋体" w:hAnsi="宋体" w:cs="宋体"/>
          <w:spacing w:val="8"/>
        </w:rPr>
        <w:t xml:space="preserve">  </w:t>
      </w:r>
      <w:r>
        <w:rPr>
          <w:rFonts w:ascii="宋体" w:eastAsia="宋体" w:hAnsi="宋体" w:cs="宋体"/>
          <w:spacing w:val="1"/>
        </w:rPr>
        <w:t>黄酮等(表5-1)。黄酮类化合物多呈黄色，是一类天然色素。</w:t>
      </w:r>
    </w:p>
    <w:p w:rsidR="00EA40A3" w:rsidRDefault="00E86C16">
      <w:pPr>
        <w:spacing w:before="182" w:line="1000" w:lineRule="exact"/>
        <w:ind w:firstLine="1770"/>
        <w:textAlignment w:val="center"/>
      </w:pPr>
      <w:r>
        <w:rPr>
          <w:noProof/>
        </w:rPr>
        <w:drawing>
          <wp:inline distT="0" distB="0" distL="0" distR="0">
            <wp:extent cx="1053465" cy="63500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26"/>
                    <a:stretch>
                      <a:fillRect/>
                    </a:stretch>
                  </pic:blipFill>
                  <pic:spPr>
                    <a:xfrm>
                      <a:off x="0" y="0"/>
                      <a:ext cx="1054080" cy="635082"/>
                    </a:xfrm>
                    <a:prstGeom prst="rect">
                      <a:avLst/>
                    </a:prstGeom>
                  </pic:spPr>
                </pic:pic>
              </a:graphicData>
            </a:graphic>
          </wp:inline>
        </w:drawing>
      </w:r>
    </w:p>
    <w:p w:rsidR="00EA40A3" w:rsidRDefault="00E86C16">
      <w:pPr>
        <w:spacing w:before="126" w:line="262" w:lineRule="exact"/>
        <w:ind w:left="1959"/>
        <w:rPr>
          <w:rFonts w:ascii="宋体" w:eastAsia="宋体" w:hAnsi="宋体" w:cs="宋体"/>
          <w:sz w:val="16"/>
          <w:szCs w:val="16"/>
        </w:rPr>
      </w:pPr>
      <w:r>
        <w:rPr>
          <w:rFonts w:ascii="宋体" w:eastAsia="宋体" w:hAnsi="宋体" w:cs="宋体"/>
          <w:spacing w:val="-12"/>
          <w:position w:val="7"/>
          <w:sz w:val="16"/>
          <w:szCs w:val="16"/>
        </w:rPr>
        <w:t>2-苯基色原酮</w:t>
      </w:r>
      <w:r>
        <w:rPr>
          <w:rFonts w:ascii="宋体" w:eastAsia="宋体" w:hAnsi="宋体" w:cs="宋体"/>
          <w:spacing w:val="1"/>
          <w:position w:val="7"/>
          <w:sz w:val="16"/>
          <w:szCs w:val="16"/>
        </w:rPr>
        <w:t xml:space="preserve">                  </w:t>
      </w:r>
      <w:r>
        <w:rPr>
          <w:rFonts w:ascii="宋体" w:eastAsia="宋体" w:hAnsi="宋体" w:cs="宋体"/>
          <w:spacing w:val="-12"/>
          <w:position w:val="7"/>
          <w:sz w:val="16"/>
          <w:szCs w:val="16"/>
        </w:rPr>
        <w:t>2、苯基苯并吡啉</w:t>
      </w:r>
    </w:p>
    <w:p w:rsidR="00EA40A3" w:rsidRDefault="00E86C16">
      <w:pPr>
        <w:spacing w:before="1" w:line="219" w:lineRule="auto"/>
        <w:ind w:left="2530"/>
        <w:rPr>
          <w:rFonts w:ascii="宋体" w:eastAsia="宋体" w:hAnsi="宋体" w:cs="宋体"/>
        </w:rPr>
      </w:pPr>
      <w:r>
        <w:rPr>
          <w:rFonts w:ascii="宋体" w:eastAsia="宋体" w:hAnsi="宋体" w:cs="宋体"/>
          <w:spacing w:val="-22"/>
        </w:rPr>
        <w:t>图5-1</w:t>
      </w:r>
      <w:r>
        <w:rPr>
          <w:rFonts w:ascii="宋体" w:eastAsia="宋体" w:hAnsi="宋体" w:cs="宋体"/>
          <w:spacing w:val="38"/>
        </w:rPr>
        <w:t xml:space="preserve"> </w:t>
      </w:r>
      <w:r>
        <w:rPr>
          <w:rFonts w:ascii="宋体" w:eastAsia="宋体" w:hAnsi="宋体" w:cs="宋体"/>
          <w:spacing w:val="-22"/>
        </w:rPr>
        <w:t>生物类黄酮化学结构</w:t>
      </w:r>
    </w:p>
    <w:p w:rsidR="00EA40A3" w:rsidRDefault="00E86C16">
      <w:pPr>
        <w:spacing w:before="175" w:line="221" w:lineRule="auto"/>
        <w:ind w:left="2082"/>
        <w:rPr>
          <w:rFonts w:ascii="黑体" w:eastAsia="黑体" w:hAnsi="黑体" w:cs="黑体"/>
          <w:sz w:val="16"/>
          <w:szCs w:val="16"/>
        </w:rPr>
      </w:pPr>
      <w:r>
        <w:rPr>
          <w:rFonts w:ascii="黑体" w:eastAsia="黑体" w:hAnsi="黑体" w:cs="黑体"/>
          <w:b/>
          <w:bCs/>
          <w:spacing w:val="12"/>
          <w:sz w:val="16"/>
          <w:szCs w:val="16"/>
        </w:rPr>
        <w:t>表5</w:t>
      </w:r>
      <w:r>
        <w:rPr>
          <w:rFonts w:ascii="黑体" w:eastAsia="黑体" w:hAnsi="黑体" w:cs="黑体"/>
          <w:spacing w:val="-37"/>
          <w:sz w:val="16"/>
          <w:szCs w:val="16"/>
        </w:rPr>
        <w:t xml:space="preserve"> </w:t>
      </w:r>
      <w:r>
        <w:rPr>
          <w:rFonts w:ascii="黑体" w:eastAsia="黑体" w:hAnsi="黑体" w:cs="黑体"/>
          <w:b/>
          <w:bCs/>
          <w:spacing w:val="12"/>
          <w:sz w:val="16"/>
          <w:szCs w:val="16"/>
        </w:rPr>
        <w:t>-</w:t>
      </w:r>
      <w:r>
        <w:rPr>
          <w:rFonts w:ascii="黑体" w:eastAsia="黑体" w:hAnsi="黑体" w:cs="黑体"/>
          <w:spacing w:val="-30"/>
          <w:sz w:val="16"/>
          <w:szCs w:val="16"/>
        </w:rPr>
        <w:t xml:space="preserve"> </w:t>
      </w:r>
      <w:r>
        <w:rPr>
          <w:rFonts w:ascii="黑体" w:eastAsia="黑体" w:hAnsi="黑体" w:cs="黑体"/>
          <w:b/>
          <w:bCs/>
          <w:spacing w:val="12"/>
          <w:sz w:val="16"/>
          <w:szCs w:val="16"/>
        </w:rPr>
        <w:t>1</w:t>
      </w:r>
      <w:r>
        <w:rPr>
          <w:rFonts w:ascii="黑体" w:eastAsia="黑体" w:hAnsi="黑体" w:cs="黑体"/>
          <w:spacing w:val="62"/>
          <w:sz w:val="16"/>
          <w:szCs w:val="16"/>
        </w:rPr>
        <w:t xml:space="preserve"> </w:t>
      </w:r>
      <w:r>
        <w:rPr>
          <w:rFonts w:ascii="黑体" w:eastAsia="黑体" w:hAnsi="黑体" w:cs="黑体"/>
          <w:b/>
          <w:bCs/>
          <w:spacing w:val="12"/>
          <w:sz w:val="16"/>
          <w:szCs w:val="16"/>
        </w:rPr>
        <w:t>黄酮物质化合物的主要结构类型</w:t>
      </w:r>
    </w:p>
    <w:p w:rsidR="00EA40A3" w:rsidRDefault="00EA40A3">
      <w:pPr>
        <w:spacing w:line="50" w:lineRule="exact"/>
      </w:pPr>
    </w:p>
    <w:tbl>
      <w:tblPr>
        <w:tblStyle w:val="TableNormal"/>
        <w:tblW w:w="726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0"/>
        <w:gridCol w:w="940"/>
        <w:gridCol w:w="949"/>
        <w:gridCol w:w="870"/>
        <w:gridCol w:w="950"/>
        <w:gridCol w:w="940"/>
        <w:gridCol w:w="1190"/>
        <w:gridCol w:w="880"/>
      </w:tblGrid>
      <w:tr w:rsidR="00EA40A3">
        <w:trPr>
          <w:trHeight w:val="653"/>
        </w:trPr>
        <w:tc>
          <w:tcPr>
            <w:tcW w:w="550" w:type="dxa"/>
            <w:tcBorders>
              <w:left w:val="nil"/>
            </w:tcBorders>
          </w:tcPr>
          <w:p w:rsidR="00EA40A3" w:rsidRDefault="00E86C16">
            <w:pPr>
              <w:spacing w:before="253" w:line="221" w:lineRule="auto"/>
              <w:ind w:left="140"/>
              <w:rPr>
                <w:rFonts w:ascii="宋体" w:eastAsia="宋体" w:hAnsi="宋体" w:cs="宋体"/>
                <w:sz w:val="16"/>
                <w:szCs w:val="16"/>
              </w:rPr>
            </w:pPr>
            <w:r>
              <w:rPr>
                <w:rFonts w:ascii="宋体" w:eastAsia="宋体" w:hAnsi="宋体" w:cs="宋体"/>
                <w:spacing w:val="-3"/>
                <w:sz w:val="16"/>
                <w:szCs w:val="16"/>
              </w:rPr>
              <w:t>名称</w:t>
            </w:r>
          </w:p>
        </w:tc>
        <w:tc>
          <w:tcPr>
            <w:tcW w:w="940" w:type="dxa"/>
          </w:tcPr>
          <w:p w:rsidR="00EA40A3" w:rsidRDefault="00E86C16">
            <w:pPr>
              <w:spacing w:before="251" w:line="219" w:lineRule="auto"/>
              <w:ind w:left="225"/>
              <w:rPr>
                <w:rFonts w:ascii="宋体" w:eastAsia="宋体" w:hAnsi="宋体" w:cs="宋体"/>
                <w:sz w:val="16"/>
                <w:szCs w:val="16"/>
              </w:rPr>
            </w:pPr>
            <w:r>
              <w:rPr>
                <w:rFonts w:ascii="宋体" w:eastAsia="宋体" w:hAnsi="宋体" w:cs="宋体"/>
                <w:spacing w:val="-2"/>
                <w:sz w:val="16"/>
                <w:szCs w:val="16"/>
              </w:rPr>
              <w:t>黄酮类</w:t>
            </w:r>
          </w:p>
        </w:tc>
        <w:tc>
          <w:tcPr>
            <w:tcW w:w="949" w:type="dxa"/>
          </w:tcPr>
          <w:p w:rsidR="00EA40A3" w:rsidRDefault="00E86C16">
            <w:pPr>
              <w:spacing w:before="251" w:line="219" w:lineRule="auto"/>
              <w:ind w:left="305"/>
              <w:rPr>
                <w:rFonts w:ascii="宋体" w:eastAsia="宋体" w:hAnsi="宋体" w:cs="宋体"/>
                <w:sz w:val="16"/>
                <w:szCs w:val="16"/>
              </w:rPr>
            </w:pPr>
            <w:r>
              <w:rPr>
                <w:rFonts w:ascii="宋体" w:eastAsia="宋体" w:hAnsi="宋体" w:cs="宋体"/>
                <w:spacing w:val="-2"/>
                <w:sz w:val="16"/>
                <w:szCs w:val="16"/>
              </w:rPr>
              <w:t>黄酮醇</w:t>
            </w:r>
          </w:p>
        </w:tc>
        <w:tc>
          <w:tcPr>
            <w:tcW w:w="870" w:type="dxa"/>
          </w:tcPr>
          <w:p w:rsidR="00EA40A3" w:rsidRDefault="00E86C16">
            <w:pPr>
              <w:spacing w:before="251" w:line="219" w:lineRule="auto"/>
              <w:ind w:left="26"/>
              <w:rPr>
                <w:rFonts w:ascii="宋体" w:eastAsia="宋体" w:hAnsi="宋体" w:cs="宋体"/>
                <w:sz w:val="16"/>
                <w:szCs w:val="16"/>
              </w:rPr>
            </w:pPr>
            <w:r>
              <w:rPr>
                <w:rFonts w:ascii="宋体" w:eastAsia="宋体" w:hAnsi="宋体" w:cs="宋体"/>
                <w:spacing w:val="-2"/>
                <w:sz w:val="16"/>
                <w:szCs w:val="16"/>
              </w:rPr>
              <w:t>一氢黄酮类</w:t>
            </w:r>
          </w:p>
        </w:tc>
        <w:tc>
          <w:tcPr>
            <w:tcW w:w="950" w:type="dxa"/>
          </w:tcPr>
          <w:p w:rsidR="00EA40A3" w:rsidRDefault="00E86C16">
            <w:pPr>
              <w:spacing w:before="161" w:line="208" w:lineRule="auto"/>
              <w:ind w:left="226"/>
              <w:rPr>
                <w:rFonts w:ascii="宋体" w:eastAsia="宋体" w:hAnsi="宋体" w:cs="宋体"/>
                <w:sz w:val="16"/>
                <w:szCs w:val="16"/>
              </w:rPr>
            </w:pPr>
            <w:r>
              <w:rPr>
                <w:rFonts w:ascii="宋体" w:eastAsia="宋体" w:hAnsi="宋体" w:cs="宋体"/>
                <w:spacing w:val="-2"/>
                <w:sz w:val="16"/>
                <w:szCs w:val="16"/>
              </w:rPr>
              <w:t>二氢黄</w:t>
            </w:r>
          </w:p>
          <w:p w:rsidR="00EA40A3" w:rsidRDefault="00E86C16">
            <w:pPr>
              <w:spacing w:line="219" w:lineRule="auto"/>
              <w:ind w:left="226"/>
              <w:rPr>
                <w:rFonts w:ascii="宋体" w:eastAsia="宋体" w:hAnsi="宋体" w:cs="宋体"/>
                <w:sz w:val="16"/>
                <w:szCs w:val="16"/>
              </w:rPr>
            </w:pPr>
            <w:r>
              <w:rPr>
                <w:noProof/>
              </w:rPr>
              <w:drawing>
                <wp:anchor distT="0" distB="0" distL="0" distR="0" simplePos="0" relativeHeight="251699200" behindDoc="0" locked="0" layoutInCell="1" allowOverlap="1">
                  <wp:simplePos x="0" y="0"/>
                  <wp:positionH relativeFrom="column">
                    <wp:posOffset>-2540</wp:posOffset>
                  </wp:positionH>
                  <wp:positionV relativeFrom="paragraph">
                    <wp:posOffset>84455</wp:posOffset>
                  </wp:positionV>
                  <wp:extent cx="895350" cy="67310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27"/>
                          <a:stretch>
                            <a:fillRect/>
                          </a:stretch>
                        </pic:blipFill>
                        <pic:spPr>
                          <a:xfrm>
                            <a:off x="0" y="0"/>
                            <a:ext cx="895359" cy="673173"/>
                          </a:xfrm>
                          <a:prstGeom prst="rect">
                            <a:avLst/>
                          </a:prstGeom>
                        </pic:spPr>
                      </pic:pic>
                    </a:graphicData>
                  </a:graphic>
                </wp:anchor>
              </w:drawing>
            </w:r>
            <w:r>
              <w:rPr>
                <w:rFonts w:ascii="宋体" w:eastAsia="宋体" w:hAnsi="宋体" w:cs="宋体"/>
                <w:spacing w:val="-2"/>
                <w:sz w:val="16"/>
                <w:szCs w:val="16"/>
              </w:rPr>
              <w:t>酮醇类</w:t>
            </w:r>
          </w:p>
        </w:tc>
        <w:tc>
          <w:tcPr>
            <w:tcW w:w="940" w:type="dxa"/>
          </w:tcPr>
          <w:p w:rsidR="00EA40A3" w:rsidRDefault="00E86C16">
            <w:pPr>
              <w:spacing w:before="251" w:line="219" w:lineRule="auto"/>
              <w:ind w:left="146"/>
              <w:rPr>
                <w:rFonts w:ascii="宋体" w:eastAsia="宋体" w:hAnsi="宋体" w:cs="宋体"/>
                <w:sz w:val="16"/>
                <w:szCs w:val="16"/>
              </w:rPr>
            </w:pPr>
            <w:r>
              <w:rPr>
                <w:rFonts w:ascii="宋体" w:eastAsia="宋体" w:hAnsi="宋体" w:cs="宋体"/>
                <w:spacing w:val="-2"/>
                <w:sz w:val="16"/>
                <w:szCs w:val="16"/>
              </w:rPr>
              <w:t>花色素类</w:t>
            </w:r>
          </w:p>
        </w:tc>
        <w:tc>
          <w:tcPr>
            <w:tcW w:w="1190" w:type="dxa"/>
          </w:tcPr>
          <w:p w:rsidR="00EA40A3" w:rsidRDefault="00E86C16">
            <w:pPr>
              <w:spacing w:before="248" w:line="229" w:lineRule="auto"/>
              <w:ind w:left="26"/>
              <w:rPr>
                <w:rFonts w:ascii="宋体" w:eastAsia="宋体" w:hAnsi="宋体" w:cs="宋体"/>
                <w:sz w:val="15"/>
                <w:szCs w:val="15"/>
              </w:rPr>
            </w:pPr>
            <w:r>
              <w:rPr>
                <w:rFonts w:ascii="宋体" w:eastAsia="宋体" w:hAnsi="宋体" w:cs="宋体"/>
                <w:spacing w:val="2"/>
                <w:sz w:val="15"/>
                <w:szCs w:val="15"/>
              </w:rPr>
              <w:t>黄烷-3,4-二醇类</w:t>
            </w:r>
          </w:p>
        </w:tc>
        <w:tc>
          <w:tcPr>
            <w:tcW w:w="880" w:type="dxa"/>
            <w:tcBorders>
              <w:right w:val="nil"/>
            </w:tcBorders>
          </w:tcPr>
          <w:p w:rsidR="00EA40A3" w:rsidRDefault="00E86C16">
            <w:pPr>
              <w:spacing w:before="130" w:line="237" w:lineRule="auto"/>
              <w:ind w:left="154" w:right="35" w:hanging="109"/>
              <w:rPr>
                <w:rFonts w:ascii="宋体" w:eastAsia="宋体" w:hAnsi="宋体" w:cs="宋体"/>
                <w:sz w:val="16"/>
                <w:szCs w:val="16"/>
              </w:rPr>
            </w:pPr>
            <w:r>
              <w:rPr>
                <w:rFonts w:ascii="宋体" w:eastAsia="宋体" w:hAnsi="宋体" w:cs="宋体"/>
                <w:spacing w:val="-2"/>
                <w:sz w:val="16"/>
                <w:szCs w:val="16"/>
              </w:rPr>
              <w:t>双苯吡酮类</w:t>
            </w:r>
            <w:r>
              <w:rPr>
                <w:rFonts w:ascii="宋体" w:eastAsia="宋体" w:hAnsi="宋体" w:cs="宋体"/>
                <w:spacing w:val="2"/>
                <w:sz w:val="16"/>
                <w:szCs w:val="16"/>
              </w:rPr>
              <w:t xml:space="preserve"> </w:t>
            </w:r>
            <w:r>
              <w:rPr>
                <w:rFonts w:ascii="宋体" w:eastAsia="宋体" w:hAnsi="宋体" w:cs="宋体"/>
                <w:spacing w:val="7"/>
                <w:sz w:val="16"/>
                <w:szCs w:val="16"/>
              </w:rPr>
              <w:t>(山酮类)</w:t>
            </w:r>
          </w:p>
        </w:tc>
      </w:tr>
      <w:tr w:rsidR="00EA40A3">
        <w:trPr>
          <w:trHeight w:val="867"/>
        </w:trPr>
        <w:tc>
          <w:tcPr>
            <w:tcW w:w="550" w:type="dxa"/>
            <w:tcBorders>
              <w:left w:val="nil"/>
            </w:tcBorders>
          </w:tcPr>
          <w:p w:rsidR="00EA40A3" w:rsidRDefault="00E86C16">
            <w:pPr>
              <w:spacing w:before="178" w:line="216" w:lineRule="auto"/>
              <w:ind w:left="140" w:right="61" w:hanging="130"/>
              <w:rPr>
                <w:rFonts w:ascii="宋体" w:eastAsia="宋体" w:hAnsi="宋体" w:cs="宋体"/>
                <w:sz w:val="16"/>
                <w:szCs w:val="16"/>
              </w:rPr>
            </w:pPr>
            <w:r>
              <w:rPr>
                <w:rFonts w:ascii="宋体" w:eastAsia="宋体" w:hAnsi="宋体" w:cs="宋体"/>
                <w:spacing w:val="-3"/>
                <w:sz w:val="16"/>
                <w:szCs w:val="16"/>
              </w:rPr>
              <w:t>三碳链</w:t>
            </w:r>
            <w:r>
              <w:rPr>
                <w:rFonts w:ascii="宋体" w:eastAsia="宋体" w:hAnsi="宋体" w:cs="宋体"/>
                <w:spacing w:val="1"/>
                <w:sz w:val="16"/>
                <w:szCs w:val="16"/>
              </w:rPr>
              <w:t xml:space="preserve"> </w:t>
            </w:r>
            <w:r>
              <w:rPr>
                <w:rFonts w:ascii="宋体" w:eastAsia="宋体" w:hAnsi="宋体" w:cs="宋体"/>
                <w:spacing w:val="-5"/>
                <w:sz w:val="16"/>
                <w:szCs w:val="16"/>
              </w:rPr>
              <w:t>部分</w:t>
            </w:r>
            <w:r>
              <w:rPr>
                <w:rFonts w:ascii="宋体" w:eastAsia="宋体" w:hAnsi="宋体" w:cs="宋体"/>
                <w:sz w:val="16"/>
                <w:szCs w:val="16"/>
              </w:rPr>
              <w:t xml:space="preserve"> </w:t>
            </w:r>
            <w:r>
              <w:rPr>
                <w:rFonts w:ascii="宋体" w:eastAsia="宋体" w:hAnsi="宋体" w:cs="宋体"/>
                <w:spacing w:val="5"/>
                <w:sz w:val="16"/>
                <w:szCs w:val="16"/>
              </w:rPr>
              <w:t>结构</w:t>
            </w:r>
          </w:p>
        </w:tc>
        <w:tc>
          <w:tcPr>
            <w:tcW w:w="940" w:type="dxa"/>
          </w:tcPr>
          <w:p w:rsidR="00EA40A3" w:rsidRDefault="00E86C16">
            <w:pPr>
              <w:spacing w:before="21" w:line="781" w:lineRule="exact"/>
              <w:ind w:firstLine="54"/>
              <w:textAlignment w:val="center"/>
            </w:pPr>
            <w:r>
              <w:rPr>
                <w:noProof/>
              </w:rPr>
              <w:drawing>
                <wp:inline distT="0" distB="0" distL="0" distR="0">
                  <wp:extent cx="533400" cy="49530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28"/>
                          <a:stretch>
                            <a:fillRect/>
                          </a:stretch>
                        </pic:blipFill>
                        <pic:spPr>
                          <a:xfrm>
                            <a:off x="0" y="0"/>
                            <a:ext cx="533421" cy="495357"/>
                          </a:xfrm>
                          <a:prstGeom prst="rect">
                            <a:avLst/>
                          </a:prstGeom>
                        </pic:spPr>
                      </pic:pic>
                    </a:graphicData>
                  </a:graphic>
                </wp:inline>
              </w:drawing>
            </w:r>
          </w:p>
        </w:tc>
        <w:tc>
          <w:tcPr>
            <w:tcW w:w="949" w:type="dxa"/>
          </w:tcPr>
          <w:p w:rsidR="00EA40A3" w:rsidRDefault="00E86C16">
            <w:pPr>
              <w:spacing w:before="69" w:line="183" w:lineRule="auto"/>
              <w:ind w:left="305"/>
              <w:rPr>
                <w:rFonts w:ascii="宋体" w:eastAsia="宋体" w:hAnsi="宋体" w:cs="宋体"/>
                <w:sz w:val="16"/>
                <w:szCs w:val="16"/>
              </w:rPr>
            </w:pPr>
            <w:r>
              <w:rPr>
                <w:noProof/>
              </w:rPr>
              <w:drawing>
                <wp:anchor distT="0" distB="0" distL="0" distR="0" simplePos="0" relativeHeight="251697152" behindDoc="1" locked="0" layoutInCell="1" allowOverlap="1">
                  <wp:simplePos x="0" y="0"/>
                  <wp:positionH relativeFrom="column">
                    <wp:posOffset>15875</wp:posOffset>
                  </wp:positionH>
                  <wp:positionV relativeFrom="paragraph">
                    <wp:posOffset>6985</wp:posOffset>
                  </wp:positionV>
                  <wp:extent cx="565150" cy="495300"/>
                  <wp:effectExtent l="0" t="0" r="0" b="0"/>
                  <wp:wrapNone/>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29"/>
                          <a:stretch>
                            <a:fillRect/>
                          </a:stretch>
                        </pic:blipFill>
                        <pic:spPr>
                          <a:xfrm>
                            <a:off x="0" y="0"/>
                            <a:ext cx="565154" cy="495357"/>
                          </a:xfrm>
                          <a:prstGeom prst="rect">
                            <a:avLst/>
                          </a:prstGeom>
                        </pic:spPr>
                      </pic:pic>
                    </a:graphicData>
                  </a:graphic>
                </wp:anchor>
              </w:drawing>
            </w:r>
            <w:r>
              <w:rPr>
                <w:rFonts w:ascii="宋体" w:eastAsia="宋体" w:hAnsi="宋体" w:cs="宋体"/>
                <w:sz w:val="16"/>
                <w:szCs w:val="16"/>
              </w:rPr>
              <w:t>O</w:t>
            </w:r>
          </w:p>
          <w:p w:rsidR="00EA40A3" w:rsidRDefault="00EA40A3">
            <w:pPr>
              <w:spacing w:line="241" w:lineRule="auto"/>
            </w:pPr>
          </w:p>
          <w:p w:rsidR="00EA40A3" w:rsidRDefault="00E86C16">
            <w:pPr>
              <w:spacing w:before="49" w:line="194" w:lineRule="auto"/>
              <w:ind w:left="305" w:right="129" w:firstLine="349"/>
              <w:rPr>
                <w:rFonts w:ascii="宋体" w:eastAsia="宋体" w:hAnsi="宋体" w:cs="宋体"/>
                <w:sz w:val="18"/>
                <w:szCs w:val="18"/>
              </w:rPr>
            </w:pPr>
            <w:r>
              <w:rPr>
                <w:rFonts w:ascii="宋体" w:eastAsia="宋体" w:hAnsi="宋体" w:cs="宋体"/>
                <w:spacing w:val="2"/>
                <w:sz w:val="15"/>
                <w:szCs w:val="15"/>
              </w:rPr>
              <w:t>OH</w:t>
            </w:r>
            <w:r>
              <w:rPr>
                <w:rFonts w:ascii="宋体" w:eastAsia="宋体" w:hAnsi="宋体" w:cs="宋体"/>
                <w:sz w:val="15"/>
                <w:szCs w:val="15"/>
              </w:rPr>
              <w:t xml:space="preserve"> </w:t>
            </w:r>
            <w:r>
              <w:rPr>
                <w:rFonts w:ascii="宋体" w:eastAsia="宋体" w:hAnsi="宋体" w:cs="宋体"/>
                <w:sz w:val="18"/>
                <w:szCs w:val="18"/>
              </w:rPr>
              <w:t>O</w:t>
            </w:r>
          </w:p>
        </w:tc>
        <w:tc>
          <w:tcPr>
            <w:tcW w:w="870" w:type="dxa"/>
          </w:tcPr>
          <w:p w:rsidR="00EA40A3" w:rsidRDefault="00E86C16">
            <w:pPr>
              <w:spacing w:before="21" w:line="760" w:lineRule="exact"/>
              <w:ind w:firstLine="35"/>
              <w:textAlignment w:val="center"/>
            </w:pPr>
            <w:r>
              <w:rPr>
                <w:noProof/>
              </w:rPr>
              <w:drawing>
                <wp:inline distT="0" distB="0" distL="0" distR="0">
                  <wp:extent cx="495300" cy="48260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30"/>
                          <a:stretch>
                            <a:fillRect/>
                          </a:stretch>
                        </pic:blipFill>
                        <pic:spPr>
                          <a:xfrm>
                            <a:off x="0" y="0"/>
                            <a:ext cx="495307" cy="482631"/>
                          </a:xfrm>
                          <a:prstGeom prst="rect">
                            <a:avLst/>
                          </a:prstGeom>
                        </pic:spPr>
                      </pic:pic>
                    </a:graphicData>
                  </a:graphic>
                </wp:inline>
              </w:drawing>
            </w:r>
          </w:p>
        </w:tc>
        <w:tc>
          <w:tcPr>
            <w:tcW w:w="950" w:type="dxa"/>
          </w:tcPr>
          <w:p w:rsidR="00EA40A3" w:rsidRDefault="00EA40A3"/>
        </w:tc>
        <w:tc>
          <w:tcPr>
            <w:tcW w:w="940" w:type="dxa"/>
          </w:tcPr>
          <w:p w:rsidR="00EA40A3" w:rsidRDefault="00E86C16">
            <w:pPr>
              <w:spacing w:before="51" w:line="710" w:lineRule="exact"/>
              <w:ind w:firstLine="25"/>
              <w:textAlignment w:val="center"/>
            </w:pPr>
            <w:r>
              <w:rPr>
                <w:noProof/>
              </w:rPr>
              <w:drawing>
                <wp:inline distT="0" distB="0" distL="0" distR="0">
                  <wp:extent cx="558800" cy="450215"/>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31"/>
                          <a:stretch>
                            <a:fillRect/>
                          </a:stretch>
                        </pic:blipFill>
                        <pic:spPr>
                          <a:xfrm>
                            <a:off x="0" y="0"/>
                            <a:ext cx="558831" cy="450818"/>
                          </a:xfrm>
                          <a:prstGeom prst="rect">
                            <a:avLst/>
                          </a:prstGeom>
                        </pic:spPr>
                      </pic:pic>
                    </a:graphicData>
                  </a:graphic>
                </wp:inline>
              </w:drawing>
            </w:r>
          </w:p>
        </w:tc>
        <w:tc>
          <w:tcPr>
            <w:tcW w:w="1190" w:type="dxa"/>
          </w:tcPr>
          <w:p w:rsidR="00EA40A3" w:rsidRDefault="00E86C16">
            <w:pPr>
              <w:spacing w:before="11" w:line="810" w:lineRule="exact"/>
              <w:ind w:firstLine="125"/>
              <w:textAlignment w:val="center"/>
            </w:pPr>
            <w:r>
              <w:rPr>
                <w:noProof/>
              </w:rPr>
              <w:drawing>
                <wp:inline distT="0" distB="0" distL="0" distR="0">
                  <wp:extent cx="603250" cy="51435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32"/>
                          <a:stretch>
                            <a:fillRect/>
                          </a:stretch>
                        </pic:blipFill>
                        <pic:spPr>
                          <a:xfrm>
                            <a:off x="0" y="0"/>
                            <a:ext cx="603268" cy="514360"/>
                          </a:xfrm>
                          <a:prstGeom prst="rect">
                            <a:avLst/>
                          </a:prstGeom>
                        </pic:spPr>
                      </pic:pic>
                    </a:graphicData>
                  </a:graphic>
                </wp:inline>
              </w:drawing>
            </w:r>
          </w:p>
        </w:tc>
        <w:tc>
          <w:tcPr>
            <w:tcW w:w="880" w:type="dxa"/>
            <w:tcBorders>
              <w:right w:val="nil"/>
            </w:tcBorders>
          </w:tcPr>
          <w:p w:rsidR="00EA40A3" w:rsidRDefault="00E86C16">
            <w:pPr>
              <w:spacing w:before="21" w:line="791" w:lineRule="exact"/>
              <w:ind w:firstLine="36"/>
              <w:textAlignment w:val="center"/>
            </w:pPr>
            <w:r>
              <w:rPr>
                <w:noProof/>
              </w:rPr>
              <w:drawing>
                <wp:inline distT="0" distB="0" distL="0" distR="0">
                  <wp:extent cx="508000" cy="50165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33"/>
                          <a:stretch>
                            <a:fillRect/>
                          </a:stretch>
                        </pic:blipFill>
                        <pic:spPr>
                          <a:xfrm>
                            <a:off x="0" y="0"/>
                            <a:ext cx="508012" cy="501720"/>
                          </a:xfrm>
                          <a:prstGeom prst="rect">
                            <a:avLst/>
                          </a:prstGeom>
                        </pic:spPr>
                      </pic:pic>
                    </a:graphicData>
                  </a:graphic>
                </wp:inline>
              </w:drawing>
            </w:r>
          </w:p>
        </w:tc>
      </w:tr>
      <w:tr w:rsidR="00EA40A3">
        <w:trPr>
          <w:trHeight w:val="658"/>
        </w:trPr>
        <w:tc>
          <w:tcPr>
            <w:tcW w:w="550" w:type="dxa"/>
            <w:tcBorders>
              <w:left w:val="nil"/>
            </w:tcBorders>
          </w:tcPr>
          <w:p w:rsidR="00EA40A3" w:rsidRDefault="00E86C16">
            <w:pPr>
              <w:spacing w:before="253" w:line="221" w:lineRule="auto"/>
              <w:ind w:left="140"/>
              <w:rPr>
                <w:rFonts w:ascii="宋体" w:eastAsia="宋体" w:hAnsi="宋体" w:cs="宋体"/>
                <w:sz w:val="16"/>
                <w:szCs w:val="16"/>
              </w:rPr>
            </w:pPr>
            <w:r>
              <w:rPr>
                <w:rFonts w:ascii="宋体" w:eastAsia="宋体" w:hAnsi="宋体" w:cs="宋体"/>
                <w:spacing w:val="-3"/>
                <w:sz w:val="16"/>
                <w:szCs w:val="16"/>
              </w:rPr>
              <w:t>名称</w:t>
            </w:r>
          </w:p>
        </w:tc>
        <w:tc>
          <w:tcPr>
            <w:tcW w:w="940" w:type="dxa"/>
          </w:tcPr>
          <w:p w:rsidR="00EA40A3" w:rsidRDefault="00E86C16">
            <w:pPr>
              <w:spacing w:before="251" w:line="219" w:lineRule="auto"/>
              <w:ind w:left="25"/>
              <w:rPr>
                <w:rFonts w:ascii="宋体" w:eastAsia="宋体" w:hAnsi="宋体" w:cs="宋体"/>
                <w:sz w:val="16"/>
                <w:szCs w:val="16"/>
              </w:rPr>
            </w:pPr>
            <w:r>
              <w:rPr>
                <w:rFonts w:ascii="宋体" w:eastAsia="宋体" w:hAnsi="宋体" w:cs="宋体"/>
                <w:spacing w:val="-1"/>
                <w:sz w:val="16"/>
                <w:szCs w:val="16"/>
              </w:rPr>
              <w:t>黄烷-3-醇类</w:t>
            </w:r>
          </w:p>
        </w:tc>
        <w:tc>
          <w:tcPr>
            <w:tcW w:w="949" w:type="dxa"/>
          </w:tcPr>
          <w:p w:rsidR="00EA40A3" w:rsidRDefault="00E86C16">
            <w:pPr>
              <w:spacing w:before="251" w:line="219" w:lineRule="auto"/>
              <w:ind w:left="165"/>
              <w:rPr>
                <w:rFonts w:ascii="宋体" w:eastAsia="宋体" w:hAnsi="宋体" w:cs="宋体"/>
                <w:sz w:val="16"/>
                <w:szCs w:val="16"/>
              </w:rPr>
            </w:pPr>
            <w:r>
              <w:rPr>
                <w:rFonts w:ascii="宋体" w:eastAsia="宋体" w:hAnsi="宋体" w:cs="宋体"/>
                <w:spacing w:val="-2"/>
                <w:sz w:val="16"/>
                <w:szCs w:val="16"/>
              </w:rPr>
              <w:t>异黄酮类</w:t>
            </w:r>
          </w:p>
        </w:tc>
        <w:tc>
          <w:tcPr>
            <w:tcW w:w="870" w:type="dxa"/>
          </w:tcPr>
          <w:p w:rsidR="00EA40A3" w:rsidRDefault="00E86C16">
            <w:pPr>
              <w:spacing w:before="151" w:line="219" w:lineRule="auto"/>
              <w:ind w:left="186"/>
              <w:rPr>
                <w:rFonts w:ascii="宋体" w:eastAsia="宋体" w:hAnsi="宋体" w:cs="宋体"/>
                <w:sz w:val="16"/>
                <w:szCs w:val="16"/>
              </w:rPr>
            </w:pPr>
            <w:r>
              <w:rPr>
                <w:rFonts w:ascii="宋体" w:eastAsia="宋体" w:hAnsi="宋体" w:cs="宋体"/>
                <w:spacing w:val="-2"/>
                <w:sz w:val="16"/>
                <w:szCs w:val="16"/>
              </w:rPr>
              <w:t>二氢异</w:t>
            </w:r>
          </w:p>
          <w:p w:rsidR="00EA40A3" w:rsidRDefault="00E86C16">
            <w:pPr>
              <w:spacing w:line="219" w:lineRule="auto"/>
              <w:ind w:left="186"/>
              <w:rPr>
                <w:rFonts w:ascii="宋体" w:eastAsia="宋体" w:hAnsi="宋体" w:cs="宋体"/>
                <w:sz w:val="16"/>
                <w:szCs w:val="16"/>
              </w:rPr>
            </w:pPr>
            <w:r>
              <w:rPr>
                <w:rFonts w:ascii="宋体" w:eastAsia="宋体" w:hAnsi="宋体" w:cs="宋体"/>
                <w:spacing w:val="-2"/>
                <w:sz w:val="16"/>
                <w:szCs w:val="16"/>
              </w:rPr>
              <w:t>黄酮类</w:t>
            </w:r>
          </w:p>
        </w:tc>
        <w:tc>
          <w:tcPr>
            <w:tcW w:w="950" w:type="dxa"/>
          </w:tcPr>
          <w:p w:rsidR="00EA40A3" w:rsidRDefault="00E86C16">
            <w:pPr>
              <w:spacing w:before="251" w:line="219" w:lineRule="auto"/>
              <w:ind w:left="145"/>
              <w:rPr>
                <w:rFonts w:ascii="宋体" w:eastAsia="宋体" w:hAnsi="宋体" w:cs="宋体"/>
                <w:sz w:val="16"/>
                <w:szCs w:val="16"/>
              </w:rPr>
            </w:pPr>
            <w:r>
              <w:rPr>
                <w:rFonts w:ascii="宋体" w:eastAsia="宋体" w:hAnsi="宋体" w:cs="宋体"/>
                <w:spacing w:val="-2"/>
                <w:sz w:val="16"/>
                <w:szCs w:val="16"/>
              </w:rPr>
              <w:t>查耳酮类</w:t>
            </w:r>
          </w:p>
        </w:tc>
        <w:tc>
          <w:tcPr>
            <w:tcW w:w="940" w:type="dxa"/>
          </w:tcPr>
          <w:p w:rsidR="00EA40A3" w:rsidRDefault="00E86C16">
            <w:pPr>
              <w:spacing w:before="251" w:line="219" w:lineRule="auto"/>
              <w:ind w:left="65"/>
              <w:rPr>
                <w:rFonts w:ascii="宋体" w:eastAsia="宋体" w:hAnsi="宋体" w:cs="宋体"/>
                <w:sz w:val="16"/>
                <w:szCs w:val="16"/>
              </w:rPr>
            </w:pPr>
            <w:r>
              <w:rPr>
                <w:rFonts w:ascii="宋体" w:eastAsia="宋体" w:hAnsi="宋体" w:cs="宋体"/>
                <w:spacing w:val="-1"/>
                <w:sz w:val="16"/>
                <w:szCs w:val="16"/>
              </w:rPr>
              <w:t>氢查耳酮类</w:t>
            </w:r>
          </w:p>
        </w:tc>
        <w:tc>
          <w:tcPr>
            <w:tcW w:w="1190" w:type="dxa"/>
          </w:tcPr>
          <w:p w:rsidR="00EA40A3" w:rsidRDefault="00E86C16">
            <w:pPr>
              <w:spacing w:before="250" w:line="219" w:lineRule="auto"/>
              <w:ind w:left="345"/>
              <w:rPr>
                <w:rFonts w:ascii="宋体" w:eastAsia="宋体" w:hAnsi="宋体" w:cs="宋体"/>
                <w:sz w:val="16"/>
                <w:szCs w:val="16"/>
              </w:rPr>
            </w:pPr>
            <w:r>
              <w:rPr>
                <w:rFonts w:ascii="宋体" w:eastAsia="宋体" w:hAnsi="宋体" w:cs="宋体"/>
                <w:spacing w:val="-2"/>
                <w:sz w:val="16"/>
                <w:szCs w:val="16"/>
              </w:rPr>
              <w:t>橙酮类</w:t>
            </w:r>
          </w:p>
        </w:tc>
        <w:tc>
          <w:tcPr>
            <w:tcW w:w="880" w:type="dxa"/>
            <w:tcBorders>
              <w:right w:val="nil"/>
            </w:tcBorders>
          </w:tcPr>
          <w:p w:rsidR="00EA40A3" w:rsidRDefault="00E86C16">
            <w:pPr>
              <w:spacing w:before="251" w:line="219" w:lineRule="auto"/>
              <w:ind w:left="65"/>
              <w:rPr>
                <w:rFonts w:ascii="宋体" w:eastAsia="宋体" w:hAnsi="宋体" w:cs="宋体"/>
                <w:sz w:val="16"/>
                <w:szCs w:val="16"/>
              </w:rPr>
            </w:pPr>
            <w:r>
              <w:rPr>
                <w:rFonts w:ascii="宋体" w:eastAsia="宋体" w:hAnsi="宋体" w:cs="宋体"/>
                <w:spacing w:val="-2"/>
                <w:sz w:val="16"/>
                <w:szCs w:val="16"/>
              </w:rPr>
              <w:t>高异黄酮类</w:t>
            </w:r>
          </w:p>
        </w:tc>
      </w:tr>
      <w:tr w:rsidR="00EA40A3">
        <w:trPr>
          <w:trHeight w:val="932"/>
        </w:trPr>
        <w:tc>
          <w:tcPr>
            <w:tcW w:w="550" w:type="dxa"/>
            <w:tcBorders>
              <w:left w:val="nil"/>
            </w:tcBorders>
          </w:tcPr>
          <w:p w:rsidR="00EA40A3" w:rsidRDefault="00E86C16">
            <w:pPr>
              <w:spacing w:before="205" w:line="219" w:lineRule="auto"/>
              <w:ind w:left="140" w:right="61" w:hanging="130"/>
              <w:rPr>
                <w:rFonts w:ascii="宋体" w:eastAsia="宋体" w:hAnsi="宋体" w:cs="宋体"/>
                <w:sz w:val="16"/>
                <w:szCs w:val="16"/>
              </w:rPr>
            </w:pPr>
            <w:r>
              <w:rPr>
                <w:rFonts w:ascii="宋体" w:eastAsia="宋体" w:hAnsi="宋体" w:cs="宋体"/>
                <w:spacing w:val="-3"/>
                <w:sz w:val="16"/>
                <w:szCs w:val="16"/>
              </w:rPr>
              <w:t>三碳链</w:t>
            </w:r>
            <w:r>
              <w:rPr>
                <w:rFonts w:ascii="宋体" w:eastAsia="宋体" w:hAnsi="宋体" w:cs="宋体"/>
                <w:spacing w:val="1"/>
                <w:sz w:val="16"/>
                <w:szCs w:val="16"/>
              </w:rPr>
              <w:t xml:space="preserve"> </w:t>
            </w:r>
            <w:r>
              <w:rPr>
                <w:rFonts w:ascii="宋体" w:eastAsia="宋体" w:hAnsi="宋体" w:cs="宋体"/>
                <w:spacing w:val="-5"/>
                <w:sz w:val="16"/>
                <w:szCs w:val="16"/>
              </w:rPr>
              <w:t>部分</w:t>
            </w:r>
            <w:r>
              <w:rPr>
                <w:rFonts w:ascii="宋体" w:eastAsia="宋体" w:hAnsi="宋体" w:cs="宋体"/>
                <w:sz w:val="16"/>
                <w:szCs w:val="16"/>
              </w:rPr>
              <w:t xml:space="preserve"> </w:t>
            </w:r>
            <w:r>
              <w:rPr>
                <w:rFonts w:ascii="宋体" w:eastAsia="宋体" w:hAnsi="宋体" w:cs="宋体"/>
                <w:spacing w:val="5"/>
                <w:sz w:val="16"/>
                <w:szCs w:val="16"/>
              </w:rPr>
              <w:t>结构</w:t>
            </w:r>
          </w:p>
        </w:tc>
        <w:tc>
          <w:tcPr>
            <w:tcW w:w="940" w:type="dxa"/>
          </w:tcPr>
          <w:p w:rsidR="00EA40A3" w:rsidRDefault="00E86C16">
            <w:pPr>
              <w:spacing w:before="176" w:line="484" w:lineRule="exact"/>
              <w:ind w:firstLine="54"/>
              <w:textAlignment w:val="center"/>
            </w:pPr>
            <w:r>
              <w:rPr>
                <w:noProof/>
              </w:rPr>
              <w:drawing>
                <wp:inline distT="0" distB="0" distL="0" distR="0">
                  <wp:extent cx="386715" cy="30670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34"/>
                          <a:stretch>
                            <a:fillRect/>
                          </a:stretch>
                        </pic:blipFill>
                        <pic:spPr>
                          <a:xfrm>
                            <a:off x="0" y="0"/>
                            <a:ext cx="387346" cy="307296"/>
                          </a:xfrm>
                          <a:prstGeom prst="rect">
                            <a:avLst/>
                          </a:prstGeom>
                        </pic:spPr>
                      </pic:pic>
                    </a:graphicData>
                  </a:graphic>
                </wp:inline>
              </w:drawing>
            </w:r>
          </w:p>
          <w:p w:rsidR="00EA40A3" w:rsidRDefault="00E86C16">
            <w:pPr>
              <w:spacing w:line="184" w:lineRule="auto"/>
              <w:ind w:left="644"/>
              <w:rPr>
                <w:rFonts w:ascii="宋体" w:eastAsia="宋体" w:hAnsi="宋体" w:cs="宋体"/>
                <w:sz w:val="15"/>
                <w:szCs w:val="15"/>
              </w:rPr>
            </w:pPr>
            <w:r>
              <w:rPr>
                <w:rFonts w:ascii="宋体" w:eastAsia="宋体" w:hAnsi="宋体" w:cs="宋体"/>
                <w:spacing w:val="2"/>
                <w:sz w:val="15"/>
                <w:szCs w:val="15"/>
              </w:rPr>
              <w:t>OH</w:t>
            </w:r>
          </w:p>
        </w:tc>
        <w:tc>
          <w:tcPr>
            <w:tcW w:w="949" w:type="dxa"/>
          </w:tcPr>
          <w:p w:rsidR="00EA40A3" w:rsidRDefault="00E86C16">
            <w:pPr>
              <w:spacing w:before="26" w:line="850" w:lineRule="exact"/>
              <w:ind w:firstLine="54"/>
              <w:textAlignment w:val="center"/>
            </w:pPr>
            <w:r>
              <w:rPr>
                <w:noProof/>
              </w:rPr>
              <w:drawing>
                <wp:inline distT="0" distB="0" distL="0" distR="0">
                  <wp:extent cx="520700" cy="539115"/>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35"/>
                          <a:stretch>
                            <a:fillRect/>
                          </a:stretch>
                        </pic:blipFill>
                        <pic:spPr>
                          <a:xfrm>
                            <a:off x="0" y="0"/>
                            <a:ext cx="520716" cy="539726"/>
                          </a:xfrm>
                          <a:prstGeom prst="rect">
                            <a:avLst/>
                          </a:prstGeom>
                        </pic:spPr>
                      </pic:pic>
                    </a:graphicData>
                  </a:graphic>
                </wp:inline>
              </w:drawing>
            </w:r>
          </w:p>
        </w:tc>
        <w:tc>
          <w:tcPr>
            <w:tcW w:w="870" w:type="dxa"/>
          </w:tcPr>
          <w:p w:rsidR="00EA40A3" w:rsidRDefault="00E86C16">
            <w:pPr>
              <w:spacing w:before="16" w:line="851" w:lineRule="exact"/>
              <w:ind w:firstLine="26"/>
              <w:textAlignment w:val="center"/>
            </w:pPr>
            <w:r>
              <w:rPr>
                <w:noProof/>
              </w:rPr>
              <w:drawing>
                <wp:inline distT="0" distB="0" distL="0" distR="0">
                  <wp:extent cx="508000" cy="53975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36"/>
                          <a:stretch>
                            <a:fillRect/>
                          </a:stretch>
                        </pic:blipFill>
                        <pic:spPr>
                          <a:xfrm>
                            <a:off x="0" y="0"/>
                            <a:ext cx="508012" cy="539811"/>
                          </a:xfrm>
                          <a:prstGeom prst="rect">
                            <a:avLst/>
                          </a:prstGeom>
                        </pic:spPr>
                      </pic:pic>
                    </a:graphicData>
                  </a:graphic>
                </wp:inline>
              </w:drawing>
            </w:r>
          </w:p>
        </w:tc>
        <w:tc>
          <w:tcPr>
            <w:tcW w:w="950" w:type="dxa"/>
          </w:tcPr>
          <w:p w:rsidR="00EA40A3" w:rsidRDefault="00E86C16">
            <w:pPr>
              <w:spacing w:before="26" w:line="860" w:lineRule="exact"/>
              <w:ind w:firstLine="46"/>
              <w:textAlignment w:val="center"/>
            </w:pPr>
            <w:r>
              <w:rPr>
                <w:noProof/>
              </w:rPr>
              <w:drawing>
                <wp:inline distT="0" distB="0" distL="0" distR="0">
                  <wp:extent cx="532765" cy="545465"/>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37"/>
                          <a:stretch>
                            <a:fillRect/>
                          </a:stretch>
                        </pic:blipFill>
                        <pic:spPr>
                          <a:xfrm>
                            <a:off x="0" y="0"/>
                            <a:ext cx="533363" cy="546089"/>
                          </a:xfrm>
                          <a:prstGeom prst="rect">
                            <a:avLst/>
                          </a:prstGeom>
                        </pic:spPr>
                      </pic:pic>
                    </a:graphicData>
                  </a:graphic>
                </wp:inline>
              </w:drawing>
            </w:r>
          </w:p>
        </w:tc>
        <w:tc>
          <w:tcPr>
            <w:tcW w:w="940" w:type="dxa"/>
          </w:tcPr>
          <w:p w:rsidR="00EA40A3" w:rsidRDefault="00E86C16">
            <w:pPr>
              <w:spacing w:before="26" w:line="850" w:lineRule="exact"/>
              <w:ind w:firstLine="45"/>
              <w:textAlignment w:val="center"/>
            </w:pPr>
            <w:r>
              <w:rPr>
                <w:noProof/>
              </w:rPr>
              <w:drawing>
                <wp:inline distT="0" distB="0" distL="0" distR="0">
                  <wp:extent cx="539115" cy="53911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38"/>
                          <a:stretch>
                            <a:fillRect/>
                          </a:stretch>
                        </pic:blipFill>
                        <pic:spPr>
                          <a:xfrm>
                            <a:off x="0" y="0"/>
                            <a:ext cx="539744" cy="539726"/>
                          </a:xfrm>
                          <a:prstGeom prst="rect">
                            <a:avLst/>
                          </a:prstGeom>
                        </pic:spPr>
                      </pic:pic>
                    </a:graphicData>
                  </a:graphic>
                </wp:inline>
              </w:drawing>
            </w:r>
          </w:p>
        </w:tc>
        <w:tc>
          <w:tcPr>
            <w:tcW w:w="1190" w:type="dxa"/>
          </w:tcPr>
          <w:p w:rsidR="00EA40A3" w:rsidRDefault="00E86C16">
            <w:pPr>
              <w:spacing w:before="67" w:line="749" w:lineRule="exact"/>
              <w:ind w:firstLine="36"/>
              <w:textAlignment w:val="center"/>
            </w:pPr>
            <w:r>
              <w:rPr>
                <w:noProof/>
              </w:rPr>
              <w:drawing>
                <wp:inline distT="0" distB="0" distL="0" distR="0">
                  <wp:extent cx="711200" cy="475615"/>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39"/>
                          <a:stretch>
                            <a:fillRect/>
                          </a:stretch>
                        </pic:blipFill>
                        <pic:spPr>
                          <a:xfrm>
                            <a:off x="0" y="0"/>
                            <a:ext cx="711228" cy="476184"/>
                          </a:xfrm>
                          <a:prstGeom prst="rect">
                            <a:avLst/>
                          </a:prstGeom>
                        </pic:spPr>
                      </pic:pic>
                    </a:graphicData>
                  </a:graphic>
                </wp:inline>
              </w:drawing>
            </w:r>
          </w:p>
        </w:tc>
        <w:tc>
          <w:tcPr>
            <w:tcW w:w="880" w:type="dxa"/>
            <w:tcBorders>
              <w:right w:val="nil"/>
            </w:tcBorders>
          </w:tcPr>
          <w:p w:rsidR="00EA40A3" w:rsidRDefault="00E86C16">
            <w:pPr>
              <w:spacing w:before="104" w:line="183" w:lineRule="auto"/>
              <w:ind w:left="285"/>
              <w:rPr>
                <w:rFonts w:ascii="宋体" w:eastAsia="宋体" w:hAnsi="宋体" w:cs="宋体"/>
                <w:sz w:val="16"/>
                <w:szCs w:val="16"/>
              </w:rPr>
            </w:pPr>
            <w:r>
              <w:rPr>
                <w:rFonts w:ascii="宋体" w:eastAsia="宋体" w:hAnsi="宋体" w:cs="宋体"/>
                <w:sz w:val="16"/>
                <w:szCs w:val="16"/>
              </w:rPr>
              <w:t>O</w:t>
            </w:r>
          </w:p>
          <w:p w:rsidR="00EA40A3" w:rsidRDefault="00EA40A3">
            <w:pPr>
              <w:spacing w:line="456" w:lineRule="auto"/>
            </w:pPr>
          </w:p>
          <w:p w:rsidR="00EA40A3" w:rsidRDefault="00E86C16">
            <w:pPr>
              <w:spacing w:before="52" w:line="181" w:lineRule="auto"/>
              <w:ind w:left="285"/>
              <w:rPr>
                <w:rFonts w:ascii="宋体" w:eastAsia="宋体" w:hAnsi="宋体" w:cs="宋体"/>
                <w:sz w:val="16"/>
                <w:szCs w:val="16"/>
              </w:rPr>
            </w:pPr>
            <w:r>
              <w:rPr>
                <w:rFonts w:ascii="宋体" w:eastAsia="宋体" w:hAnsi="宋体" w:cs="宋体"/>
                <w:sz w:val="16"/>
                <w:szCs w:val="16"/>
              </w:rPr>
              <w:t>O</w:t>
            </w:r>
          </w:p>
        </w:tc>
      </w:tr>
    </w:tbl>
    <w:p w:rsidR="00EA40A3" w:rsidRDefault="00E86C16">
      <w:pPr>
        <w:spacing w:before="52" w:line="219" w:lineRule="auto"/>
        <w:ind w:left="290"/>
        <w:rPr>
          <w:rFonts w:ascii="宋体" w:eastAsia="宋体" w:hAnsi="宋体" w:cs="宋体"/>
          <w:sz w:val="16"/>
          <w:szCs w:val="16"/>
        </w:rPr>
      </w:pPr>
      <w:r>
        <w:rPr>
          <w:rFonts w:ascii="宋体" w:eastAsia="宋体" w:hAnsi="宋体" w:cs="宋体"/>
          <w:spacing w:val="-1"/>
          <w:sz w:val="16"/>
          <w:szCs w:val="16"/>
        </w:rPr>
        <w:t>资料来源：宋晓凯.2004.天然药物化学.北京：化学工业出版社</w:t>
      </w:r>
    </w:p>
    <w:p w:rsidR="00EA40A3" w:rsidRDefault="00E86C16">
      <w:pPr>
        <w:spacing w:before="86"/>
        <w:ind w:left="40"/>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154</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footerReference w:type="default" r:id="rId140"/>
          <w:pgSz w:w="9220" w:h="13360"/>
          <w:pgMar w:top="400" w:right="994" w:bottom="400" w:left="829" w:header="0" w:footer="0" w:gutter="0"/>
          <w:cols w:space="720"/>
        </w:sectPr>
      </w:pPr>
    </w:p>
    <w:p w:rsidR="00EA40A3" w:rsidRDefault="00EA40A3">
      <w:pPr>
        <w:spacing w:line="255" w:lineRule="auto"/>
      </w:pPr>
    </w:p>
    <w:p w:rsidR="00EA40A3" w:rsidRDefault="00EA40A3">
      <w:pPr>
        <w:spacing w:line="255" w:lineRule="auto"/>
      </w:pPr>
    </w:p>
    <w:p w:rsidR="00EA40A3" w:rsidRDefault="00EA40A3">
      <w:pPr>
        <w:spacing w:line="255" w:lineRule="auto"/>
      </w:pPr>
    </w:p>
    <w:p w:rsidR="00EA40A3" w:rsidRDefault="00EA40A3">
      <w:pPr>
        <w:spacing w:line="255" w:lineRule="auto"/>
      </w:pPr>
    </w:p>
    <w:p w:rsidR="00EA40A3" w:rsidRDefault="00E86C16">
      <w:pPr>
        <w:spacing w:before="68" w:line="221" w:lineRule="auto"/>
        <w:rPr>
          <w:rFonts w:ascii="仿宋" w:eastAsia="仿宋" w:hAnsi="仿宋" w:cs="仿宋"/>
        </w:rPr>
      </w:pPr>
      <w:bookmarkStart w:id="31" w:name="_bookmark35"/>
      <w:bookmarkEnd w:id="31"/>
      <w:r>
        <w:rPr>
          <w:rFonts w:ascii="仿宋" w:eastAsia="仿宋" w:hAnsi="仿宋" w:cs="仿宋"/>
          <w:spacing w:val="17"/>
        </w:rPr>
        <w:t>1.</w:t>
      </w:r>
      <w:r>
        <w:rPr>
          <w:rFonts w:ascii="仿宋" w:eastAsia="仿宋" w:hAnsi="仿宋" w:cs="仿宋"/>
          <w:spacing w:val="-10"/>
        </w:rPr>
        <w:t xml:space="preserve"> </w:t>
      </w:r>
      <w:r>
        <w:rPr>
          <w:rFonts w:ascii="仿宋" w:eastAsia="仿宋" w:hAnsi="仿宋" w:cs="仿宋"/>
          <w:spacing w:val="17"/>
        </w:rPr>
        <w:t>生物类黄酮的特点</w:t>
      </w:r>
    </w:p>
    <w:p w:rsidR="00EA40A3" w:rsidRDefault="00E86C16">
      <w:pPr>
        <w:spacing w:before="180" w:line="243" w:lineRule="auto"/>
        <w:ind w:firstLine="390"/>
        <w:jc w:val="both"/>
        <w:rPr>
          <w:rFonts w:ascii="宋体" w:eastAsia="宋体" w:hAnsi="宋体" w:cs="宋体"/>
        </w:rPr>
      </w:pPr>
      <w:r>
        <w:rPr>
          <w:rFonts w:ascii="宋体" w:eastAsia="宋体" w:hAnsi="宋体" w:cs="宋体"/>
          <w:spacing w:val="-1"/>
        </w:rPr>
        <w:t>生物类黄酮对热、氧、干燥和适中酸度相对稳定，但遇光迅速破坏。加工、</w:t>
      </w:r>
      <w:r>
        <w:rPr>
          <w:rFonts w:ascii="宋体" w:eastAsia="宋体" w:hAnsi="宋体" w:cs="宋体"/>
          <w:spacing w:val="17"/>
        </w:rPr>
        <w:t xml:space="preserve"> </w:t>
      </w:r>
      <w:r>
        <w:rPr>
          <w:rFonts w:ascii="宋体" w:eastAsia="宋体" w:hAnsi="宋体" w:cs="宋体"/>
          <w:spacing w:val="-3"/>
        </w:rPr>
        <w:t>烹饪和储藏过程中如不在阳光下操作，生物类黄酮不会因食物</w:t>
      </w:r>
      <w:r>
        <w:rPr>
          <w:rFonts w:ascii="宋体" w:eastAsia="宋体" w:hAnsi="宋体" w:cs="宋体"/>
          <w:spacing w:val="-4"/>
        </w:rPr>
        <w:t>加工或厨房中的制</w:t>
      </w:r>
      <w:r>
        <w:rPr>
          <w:rFonts w:ascii="宋体" w:eastAsia="宋体" w:hAnsi="宋体" w:cs="宋体"/>
        </w:rPr>
        <w:t xml:space="preserve"> </w:t>
      </w:r>
      <w:r>
        <w:rPr>
          <w:rFonts w:ascii="宋体" w:eastAsia="宋体" w:hAnsi="宋体" w:cs="宋体"/>
          <w:spacing w:val="-5"/>
        </w:rPr>
        <w:t>作而遭受损失。若不暴露在强光下，其储藏过程中的损失也极小。</w:t>
      </w:r>
    </w:p>
    <w:p w:rsidR="00EA40A3" w:rsidRDefault="00E86C16">
      <w:pPr>
        <w:spacing w:before="82" w:line="246" w:lineRule="auto"/>
        <w:ind w:right="36" w:firstLine="390"/>
        <w:jc w:val="both"/>
        <w:rPr>
          <w:rFonts w:ascii="宋体" w:eastAsia="宋体" w:hAnsi="宋体" w:cs="宋体"/>
        </w:rPr>
      </w:pPr>
      <w:r>
        <w:rPr>
          <w:rFonts w:ascii="宋体" w:eastAsia="宋体" w:hAnsi="宋体" w:cs="宋体"/>
          <w:spacing w:val="1"/>
        </w:rPr>
        <w:t>生物类黄酮的吸收、储留及排泄与维生素</w:t>
      </w:r>
      <w:r>
        <w:rPr>
          <w:rFonts w:ascii="宋体" w:eastAsia="宋体" w:hAnsi="宋体" w:cs="宋体"/>
          <w:spacing w:val="-26"/>
        </w:rPr>
        <w:t xml:space="preserve"> </w:t>
      </w:r>
      <w:r>
        <w:rPr>
          <w:rFonts w:ascii="宋体" w:eastAsia="宋体" w:hAnsi="宋体" w:cs="宋体"/>
          <w:spacing w:val="1"/>
        </w:rPr>
        <w:t>C</w:t>
      </w:r>
      <w:r>
        <w:rPr>
          <w:rFonts w:ascii="宋体" w:eastAsia="宋体" w:hAnsi="宋体" w:cs="宋体"/>
          <w:spacing w:val="-14"/>
        </w:rPr>
        <w:t xml:space="preserve"> </w:t>
      </w:r>
      <w:r>
        <w:rPr>
          <w:rFonts w:ascii="宋体" w:eastAsia="宋体" w:hAnsi="宋体" w:cs="宋体"/>
          <w:spacing w:val="1"/>
        </w:rPr>
        <w:t>非常相似，约一半可经肠道吸</w:t>
      </w:r>
      <w:r>
        <w:rPr>
          <w:rFonts w:ascii="宋体" w:eastAsia="宋体" w:hAnsi="宋体" w:cs="宋体"/>
        </w:rPr>
        <w:t xml:space="preserve"> </w:t>
      </w:r>
      <w:r>
        <w:rPr>
          <w:rFonts w:ascii="宋体" w:eastAsia="宋体" w:hAnsi="宋体" w:cs="宋体"/>
          <w:spacing w:val="-2"/>
        </w:rPr>
        <w:t>收而进入体内，未被吸收的部分在肠道被微生物分解</w:t>
      </w:r>
      <w:r>
        <w:rPr>
          <w:rFonts w:ascii="宋体" w:eastAsia="宋体" w:hAnsi="宋体" w:cs="宋体"/>
          <w:spacing w:val="-3"/>
        </w:rPr>
        <w:t>随粪便排出，过量的生物类</w:t>
      </w:r>
      <w:r>
        <w:rPr>
          <w:rFonts w:ascii="宋体" w:eastAsia="宋体" w:hAnsi="宋体" w:cs="宋体"/>
        </w:rPr>
        <w:t xml:space="preserve"> </w:t>
      </w:r>
      <w:r>
        <w:rPr>
          <w:rFonts w:ascii="宋体" w:eastAsia="宋体" w:hAnsi="宋体" w:cs="宋体"/>
          <w:spacing w:val="3"/>
        </w:rPr>
        <w:t>黄酮则主要由尿排出。生物类黄酮的缺乏症状与维生素C</w:t>
      </w:r>
      <w:r>
        <w:rPr>
          <w:rFonts w:ascii="宋体" w:eastAsia="宋体" w:hAnsi="宋体" w:cs="宋体"/>
          <w:spacing w:val="-4"/>
        </w:rPr>
        <w:t xml:space="preserve"> </w:t>
      </w:r>
      <w:r>
        <w:rPr>
          <w:rFonts w:ascii="宋体" w:eastAsia="宋体" w:hAnsi="宋体" w:cs="宋体"/>
          <w:spacing w:val="3"/>
        </w:rPr>
        <w:t>缺乏密切相关，</w:t>
      </w:r>
      <w:r>
        <w:rPr>
          <w:rFonts w:ascii="宋体" w:eastAsia="宋体" w:hAnsi="宋体" w:cs="宋体"/>
          <w:spacing w:val="2"/>
        </w:rPr>
        <w:t>若与</w:t>
      </w:r>
      <w:r>
        <w:rPr>
          <w:rFonts w:ascii="宋体" w:eastAsia="宋体" w:hAnsi="宋体" w:cs="宋体"/>
        </w:rPr>
        <w:t xml:space="preserve"> </w:t>
      </w:r>
      <w:r>
        <w:rPr>
          <w:rFonts w:ascii="宋体" w:eastAsia="宋体" w:hAnsi="宋体" w:cs="宋体"/>
          <w:spacing w:val="-3"/>
        </w:rPr>
        <w:t>维生素C</w:t>
      </w:r>
      <w:r>
        <w:rPr>
          <w:rFonts w:ascii="宋体" w:eastAsia="宋体" w:hAnsi="宋体" w:cs="宋体"/>
          <w:spacing w:val="13"/>
        </w:rPr>
        <w:t xml:space="preserve"> </w:t>
      </w:r>
      <w:r>
        <w:rPr>
          <w:rFonts w:ascii="宋体" w:eastAsia="宋体" w:hAnsi="宋体" w:cs="宋体"/>
          <w:spacing w:val="-3"/>
        </w:rPr>
        <w:t>同服极为有益。生物类黄酮无毒性。</w:t>
      </w:r>
    </w:p>
    <w:p w:rsidR="00EA40A3" w:rsidRDefault="00E86C16">
      <w:pPr>
        <w:spacing w:before="227" w:line="348" w:lineRule="exact"/>
        <w:rPr>
          <w:rFonts w:ascii="仿宋" w:eastAsia="仿宋" w:hAnsi="仿宋" w:cs="仿宋"/>
        </w:rPr>
      </w:pPr>
      <w:r>
        <w:rPr>
          <w:rFonts w:ascii="仿宋" w:eastAsia="仿宋" w:hAnsi="仿宋" w:cs="仿宋"/>
          <w:spacing w:val="20"/>
          <w:position w:val="10"/>
        </w:rPr>
        <w:t>2.</w:t>
      </w:r>
      <w:r>
        <w:rPr>
          <w:rFonts w:ascii="仿宋" w:eastAsia="仿宋" w:hAnsi="仿宋" w:cs="仿宋"/>
          <w:spacing w:val="2"/>
          <w:position w:val="10"/>
        </w:rPr>
        <w:t xml:space="preserve"> </w:t>
      </w:r>
      <w:r>
        <w:rPr>
          <w:rFonts w:ascii="仿宋" w:eastAsia="仿宋" w:hAnsi="仿宋" w:cs="仿宋"/>
          <w:spacing w:val="20"/>
          <w:position w:val="10"/>
        </w:rPr>
        <w:t>生物类黄酮的生理功能</w:t>
      </w:r>
    </w:p>
    <w:p w:rsidR="00EA40A3" w:rsidRDefault="00E86C16">
      <w:pPr>
        <w:spacing w:before="1" w:line="222" w:lineRule="auto"/>
        <w:rPr>
          <w:rFonts w:ascii="楷体" w:eastAsia="楷体" w:hAnsi="楷体" w:cs="楷体"/>
        </w:rPr>
      </w:pPr>
      <w:r>
        <w:rPr>
          <w:rFonts w:ascii="楷体" w:eastAsia="楷体" w:hAnsi="楷体" w:cs="楷体"/>
          <w:spacing w:val="4"/>
        </w:rPr>
        <w:t>1)调节毛细血管功能</w:t>
      </w:r>
    </w:p>
    <w:p w:rsidR="00EA40A3" w:rsidRDefault="00E86C16">
      <w:pPr>
        <w:spacing w:before="70" w:line="248" w:lineRule="auto"/>
        <w:ind w:right="47" w:firstLine="390"/>
        <w:jc w:val="both"/>
        <w:rPr>
          <w:rFonts w:ascii="宋体" w:eastAsia="宋体" w:hAnsi="宋体" w:cs="宋体"/>
        </w:rPr>
      </w:pPr>
      <w:r>
        <w:rPr>
          <w:rFonts w:ascii="宋体" w:eastAsia="宋体" w:hAnsi="宋体" w:cs="宋体"/>
          <w:spacing w:val="-3"/>
        </w:rPr>
        <w:t>生物类黄酮能调节毛细血管通透性，增强毛细</w:t>
      </w:r>
      <w:r>
        <w:rPr>
          <w:rFonts w:ascii="宋体" w:eastAsia="宋体" w:hAnsi="宋体" w:cs="宋体"/>
          <w:spacing w:val="-4"/>
        </w:rPr>
        <w:t>血管壁的弹性，可防止毛细血</w:t>
      </w:r>
      <w:r>
        <w:rPr>
          <w:rFonts w:ascii="宋体" w:eastAsia="宋体" w:hAnsi="宋体" w:cs="宋体"/>
        </w:rPr>
        <w:t xml:space="preserve"> </w:t>
      </w:r>
      <w:r>
        <w:rPr>
          <w:rFonts w:ascii="宋体" w:eastAsia="宋体" w:hAnsi="宋体" w:cs="宋体"/>
          <w:spacing w:val="-7"/>
        </w:rPr>
        <w:t>管和结缔组织的内出血，从而建立起抗传染病的保护屏障。</w:t>
      </w:r>
      <w:r>
        <w:rPr>
          <w:rFonts w:ascii="宋体" w:eastAsia="宋体" w:hAnsi="宋体" w:cs="宋体"/>
          <w:spacing w:val="46"/>
        </w:rPr>
        <w:t xml:space="preserve"> </w:t>
      </w:r>
      <w:r>
        <w:rPr>
          <w:rFonts w:ascii="宋体" w:eastAsia="宋体" w:hAnsi="宋体" w:cs="宋体"/>
          <w:spacing w:val="-7"/>
        </w:rPr>
        <w:t>一般多将其作为防治</w:t>
      </w:r>
      <w:r>
        <w:rPr>
          <w:rFonts w:ascii="宋体" w:eastAsia="宋体" w:hAnsi="宋体" w:cs="宋体"/>
        </w:rPr>
        <w:t xml:space="preserve"> </w:t>
      </w:r>
      <w:r>
        <w:rPr>
          <w:rFonts w:ascii="宋体" w:eastAsia="宋体" w:hAnsi="宋体" w:cs="宋体"/>
          <w:spacing w:val="-4"/>
        </w:rPr>
        <w:t>与毛细血管脆性和渗透性有关疾病的补充药物，如牙龈出血、眼视网膜出血、脑</w:t>
      </w:r>
      <w:r>
        <w:rPr>
          <w:rFonts w:ascii="宋体" w:eastAsia="宋体" w:hAnsi="宋体" w:cs="宋体"/>
          <w:spacing w:val="18"/>
        </w:rPr>
        <w:t xml:space="preserve"> </w:t>
      </w:r>
      <w:r>
        <w:rPr>
          <w:rFonts w:ascii="宋体" w:eastAsia="宋体" w:hAnsi="宋体" w:cs="宋体"/>
          <w:spacing w:val="-4"/>
        </w:rPr>
        <w:t>内出血、肾出血、月经出血过多、静脉曲张、溃疡、痔疮、习惯性流产、运动挫</w:t>
      </w:r>
      <w:r>
        <w:rPr>
          <w:rFonts w:ascii="宋体" w:eastAsia="宋体" w:hAnsi="宋体" w:cs="宋体"/>
          <w:spacing w:val="17"/>
        </w:rPr>
        <w:t xml:space="preserve"> </w:t>
      </w:r>
      <w:r>
        <w:rPr>
          <w:rFonts w:ascii="宋体" w:eastAsia="宋体" w:hAnsi="宋体" w:cs="宋体"/>
          <w:spacing w:val="-6"/>
        </w:rPr>
        <w:t>伤、X</w:t>
      </w:r>
      <w:r>
        <w:rPr>
          <w:rFonts w:ascii="宋体" w:eastAsia="宋体" w:hAnsi="宋体" w:cs="宋体"/>
          <w:spacing w:val="-14"/>
        </w:rPr>
        <w:t xml:space="preserve"> </w:t>
      </w:r>
      <w:r>
        <w:rPr>
          <w:rFonts w:ascii="宋体" w:eastAsia="宋体" w:hAnsi="宋体" w:cs="宋体"/>
          <w:spacing w:val="-6"/>
        </w:rPr>
        <w:t>射线照伤及栓塞等。</w:t>
      </w:r>
    </w:p>
    <w:p w:rsidR="00EA40A3" w:rsidRDefault="00E86C16">
      <w:pPr>
        <w:spacing w:before="68" w:line="225" w:lineRule="auto"/>
        <w:rPr>
          <w:rFonts w:ascii="楷体" w:eastAsia="楷体" w:hAnsi="楷体" w:cs="楷体"/>
        </w:rPr>
      </w:pPr>
      <w:r>
        <w:rPr>
          <w:rFonts w:ascii="楷体" w:eastAsia="楷体" w:hAnsi="楷体" w:cs="楷体"/>
          <w:spacing w:val="8"/>
        </w:rPr>
        <w:t>2)抗氧化功能</w:t>
      </w:r>
    </w:p>
    <w:p w:rsidR="00EA40A3" w:rsidRDefault="00E86C16">
      <w:pPr>
        <w:spacing w:before="75" w:line="246" w:lineRule="auto"/>
        <w:ind w:right="47" w:firstLine="390"/>
        <w:jc w:val="both"/>
        <w:rPr>
          <w:rFonts w:ascii="宋体" w:eastAsia="宋体" w:hAnsi="宋体" w:cs="宋体"/>
        </w:rPr>
      </w:pPr>
      <w:r>
        <w:rPr>
          <w:rFonts w:ascii="宋体" w:eastAsia="宋体" w:hAnsi="宋体" w:cs="宋体"/>
          <w:spacing w:val="-3"/>
        </w:rPr>
        <w:t>生物类黄酮是食物中有效的抗氧化剂，是优良的活性氧清除剂和脂质抗氧化</w:t>
      </w:r>
      <w:r>
        <w:rPr>
          <w:rFonts w:ascii="宋体" w:eastAsia="宋体" w:hAnsi="宋体" w:cs="宋体"/>
          <w:spacing w:val="6"/>
        </w:rPr>
        <w:t xml:space="preserve"> </w:t>
      </w:r>
      <w:r>
        <w:rPr>
          <w:rFonts w:ascii="宋体" w:eastAsia="宋体" w:hAnsi="宋体" w:cs="宋体"/>
          <w:spacing w:val="-3"/>
        </w:rPr>
        <w:t>剂。能够与超氧阴离子反应阻止自由基反应的引发；与铁离子络合阻止羟自由基</w:t>
      </w:r>
      <w:r>
        <w:rPr>
          <w:rFonts w:ascii="宋体" w:eastAsia="宋体" w:hAnsi="宋体" w:cs="宋体"/>
          <w:spacing w:val="2"/>
        </w:rPr>
        <w:t xml:space="preserve"> </w:t>
      </w:r>
      <w:r>
        <w:rPr>
          <w:rFonts w:ascii="宋体" w:eastAsia="宋体" w:hAnsi="宋体" w:cs="宋体"/>
          <w:spacing w:val="-3"/>
        </w:rPr>
        <w:t>的生成；与脂质过氧化基反应阻止脂质过氧化过程。通过对抗自由基、直接抑制</w:t>
      </w:r>
      <w:r>
        <w:rPr>
          <w:rFonts w:ascii="宋体" w:eastAsia="宋体" w:hAnsi="宋体" w:cs="宋体"/>
          <w:spacing w:val="11"/>
        </w:rPr>
        <w:t xml:space="preserve"> </w:t>
      </w:r>
      <w:r>
        <w:rPr>
          <w:rFonts w:ascii="宋体" w:eastAsia="宋体" w:hAnsi="宋体" w:cs="宋体"/>
          <w:spacing w:val="-3"/>
        </w:rPr>
        <w:t>癌细胞生长及对抗致癌促癌因子，生物类黄酮表现出较</w:t>
      </w:r>
      <w:r>
        <w:rPr>
          <w:rFonts w:ascii="宋体" w:eastAsia="宋体" w:hAnsi="宋体" w:cs="宋体"/>
          <w:spacing w:val="-4"/>
        </w:rPr>
        <w:t>强的抗肿瘤作用，如芦丁</w:t>
      </w:r>
    </w:p>
    <w:p w:rsidR="00EA40A3" w:rsidRDefault="00E86C16">
      <w:pPr>
        <w:spacing w:before="40" w:line="216" w:lineRule="auto"/>
        <w:rPr>
          <w:rFonts w:ascii="宋体" w:eastAsia="宋体" w:hAnsi="宋体" w:cs="宋体"/>
        </w:rPr>
      </w:pPr>
      <w:r>
        <w:rPr>
          <w:rFonts w:ascii="宋体" w:eastAsia="宋体" w:hAnsi="宋体" w:cs="宋体"/>
          <w:spacing w:val="-2"/>
        </w:rPr>
        <w:t>和桑色素能抑制黄曲霉毒素</w:t>
      </w:r>
      <w:r>
        <w:rPr>
          <w:rFonts w:ascii="宋体" w:eastAsia="宋体" w:hAnsi="宋体" w:cs="宋体"/>
          <w:spacing w:val="-39"/>
        </w:rPr>
        <w:t xml:space="preserve"> </w:t>
      </w:r>
      <w:r>
        <w:rPr>
          <w:rFonts w:ascii="宋体" w:eastAsia="宋体" w:hAnsi="宋体" w:cs="宋体"/>
          <w:spacing w:val="-2"/>
        </w:rPr>
        <w:t>B</w:t>
      </w:r>
      <w:r>
        <w:rPr>
          <w:rFonts w:ascii="Calibri" w:eastAsia="Calibri" w:hAnsi="Calibri" w:cs="Calibri"/>
          <w:spacing w:val="-2"/>
        </w:rPr>
        <w:t xml:space="preserve">₁ </w:t>
      </w:r>
      <w:r>
        <w:rPr>
          <w:rFonts w:ascii="宋体" w:eastAsia="宋体" w:hAnsi="宋体" w:cs="宋体"/>
          <w:spacing w:val="-2"/>
        </w:rPr>
        <w:t>(aflatoxin</w:t>
      </w:r>
      <w:r>
        <w:rPr>
          <w:rFonts w:ascii="宋体" w:eastAsia="宋体" w:hAnsi="宋体" w:cs="宋体"/>
        </w:rPr>
        <w:t xml:space="preserve">    </w:t>
      </w:r>
      <w:r>
        <w:rPr>
          <w:rFonts w:ascii="宋体" w:eastAsia="宋体" w:hAnsi="宋体" w:cs="宋体"/>
          <w:spacing w:val="-2"/>
        </w:rPr>
        <w:t>B,AFBi)</w:t>
      </w:r>
      <w:r>
        <w:rPr>
          <w:rFonts w:ascii="宋体" w:eastAsia="宋体" w:hAnsi="宋体" w:cs="宋体"/>
          <w:spacing w:val="-40"/>
        </w:rPr>
        <w:t xml:space="preserve"> </w:t>
      </w:r>
      <w:r>
        <w:rPr>
          <w:rFonts w:ascii="宋体" w:eastAsia="宋体" w:hAnsi="宋体" w:cs="宋体"/>
          <w:spacing w:val="-2"/>
        </w:rPr>
        <w:t>对小鼠皮肤的致癌作用，</w:t>
      </w:r>
    </w:p>
    <w:p w:rsidR="00EA40A3" w:rsidRDefault="00E86C16">
      <w:pPr>
        <w:spacing w:before="46" w:line="313" w:lineRule="exact"/>
        <w:rPr>
          <w:rFonts w:ascii="宋体" w:eastAsia="宋体" w:hAnsi="宋体" w:cs="宋体"/>
        </w:rPr>
      </w:pPr>
      <w:r>
        <w:rPr>
          <w:rFonts w:ascii="宋体" w:eastAsia="宋体" w:hAnsi="宋体" w:cs="宋体"/>
          <w:spacing w:val="-6"/>
          <w:position w:val="7"/>
        </w:rPr>
        <w:t>同时对其他一些致突变剂和致癌物也有拮抗作用。</w:t>
      </w:r>
    </w:p>
    <w:p w:rsidR="00EA40A3" w:rsidRDefault="00E86C16">
      <w:pPr>
        <w:spacing w:line="220" w:lineRule="auto"/>
        <w:rPr>
          <w:rFonts w:ascii="楷体" w:eastAsia="楷体" w:hAnsi="楷体" w:cs="楷体"/>
        </w:rPr>
      </w:pPr>
      <w:r>
        <w:rPr>
          <w:rFonts w:ascii="楷体" w:eastAsia="楷体" w:hAnsi="楷体" w:cs="楷体"/>
          <w:spacing w:val="6"/>
        </w:rPr>
        <w:t>3)抑菌、抗病毒作用</w:t>
      </w:r>
    </w:p>
    <w:p w:rsidR="00EA40A3" w:rsidRDefault="00E86C16">
      <w:pPr>
        <w:spacing w:before="88" w:line="246" w:lineRule="auto"/>
        <w:ind w:right="62" w:firstLine="390"/>
        <w:jc w:val="both"/>
        <w:rPr>
          <w:rFonts w:ascii="宋体" w:eastAsia="宋体" w:hAnsi="宋体" w:cs="宋体"/>
        </w:rPr>
      </w:pPr>
      <w:r>
        <w:rPr>
          <w:rFonts w:ascii="宋体" w:eastAsia="宋体" w:hAnsi="宋体" w:cs="宋体"/>
          <w:spacing w:val="-3"/>
        </w:rPr>
        <w:t>黄酮类化合物具有抑制细菌功能，可提高普通食</w:t>
      </w:r>
      <w:r>
        <w:rPr>
          <w:rFonts w:ascii="宋体" w:eastAsia="宋体" w:hAnsi="宋体" w:cs="宋体"/>
          <w:spacing w:val="-4"/>
        </w:rPr>
        <w:t>物抵抗传染病的能力，如木</w:t>
      </w:r>
      <w:r>
        <w:rPr>
          <w:rFonts w:ascii="宋体" w:eastAsia="宋体" w:hAnsi="宋体" w:cs="宋体"/>
        </w:rPr>
        <w:t xml:space="preserve"> </w:t>
      </w:r>
      <w:r>
        <w:rPr>
          <w:rFonts w:ascii="宋体" w:eastAsia="宋体" w:hAnsi="宋体" w:cs="宋体"/>
          <w:spacing w:val="-3"/>
        </w:rPr>
        <w:t>犀草素、黄芩苷、黄芩素等。而槲皮素、桑色素、二氢</w:t>
      </w:r>
      <w:r>
        <w:rPr>
          <w:rFonts w:ascii="宋体" w:eastAsia="宋体" w:hAnsi="宋体" w:cs="宋体"/>
          <w:spacing w:val="-4"/>
        </w:rPr>
        <w:t>槲皮素及山奈酚等有抗病</w:t>
      </w:r>
      <w:r>
        <w:rPr>
          <w:rFonts w:ascii="宋体" w:eastAsia="宋体" w:hAnsi="宋体" w:cs="宋体"/>
        </w:rPr>
        <w:t xml:space="preserve"> </w:t>
      </w:r>
      <w:r>
        <w:rPr>
          <w:rFonts w:ascii="宋体" w:eastAsia="宋体" w:hAnsi="宋体" w:cs="宋体"/>
          <w:spacing w:val="-3"/>
        </w:rPr>
        <w:t>毒作用。据报道，水飞蓟中的黄酮类化合物对治疗急慢性肝炎、肝硬化及</w:t>
      </w:r>
      <w:r>
        <w:rPr>
          <w:rFonts w:ascii="宋体" w:eastAsia="宋体" w:hAnsi="宋体" w:cs="宋体"/>
          <w:spacing w:val="-4"/>
        </w:rPr>
        <w:t>各种中</w:t>
      </w:r>
      <w:r>
        <w:rPr>
          <w:rFonts w:ascii="宋体" w:eastAsia="宋体" w:hAnsi="宋体" w:cs="宋体"/>
        </w:rPr>
        <w:t xml:space="preserve"> </w:t>
      </w:r>
      <w:r>
        <w:rPr>
          <w:rFonts w:ascii="宋体" w:eastAsia="宋体" w:hAnsi="宋体" w:cs="宋体"/>
          <w:spacing w:val="-9"/>
        </w:rPr>
        <w:t>毒性肝损伤均有较好效果。</w:t>
      </w:r>
    </w:p>
    <w:p w:rsidR="00EA40A3" w:rsidRDefault="00E86C16">
      <w:pPr>
        <w:spacing w:before="45" w:line="223" w:lineRule="auto"/>
        <w:rPr>
          <w:rFonts w:ascii="楷体" w:eastAsia="楷体" w:hAnsi="楷体" w:cs="楷体"/>
        </w:rPr>
      </w:pPr>
      <w:r>
        <w:rPr>
          <w:rFonts w:ascii="楷体" w:eastAsia="楷体" w:hAnsi="楷体" w:cs="楷体"/>
          <w:spacing w:val="5"/>
        </w:rPr>
        <w:t>4)降血压、降血脂作用</w:t>
      </w:r>
    </w:p>
    <w:p w:rsidR="00EA40A3" w:rsidRDefault="00E86C16">
      <w:pPr>
        <w:spacing w:before="72" w:line="246" w:lineRule="auto"/>
        <w:ind w:right="56" w:firstLine="390"/>
        <w:jc w:val="both"/>
        <w:rPr>
          <w:rFonts w:ascii="宋体" w:eastAsia="宋体" w:hAnsi="宋体" w:cs="宋体"/>
        </w:rPr>
      </w:pPr>
      <w:r>
        <w:rPr>
          <w:rFonts w:ascii="宋体" w:eastAsia="宋体" w:hAnsi="宋体" w:cs="宋体"/>
          <w:spacing w:val="-3"/>
        </w:rPr>
        <w:t>黄酮类化合物具有降低血压、增强冠状动脉血</w:t>
      </w:r>
      <w:r>
        <w:rPr>
          <w:rFonts w:ascii="宋体" w:eastAsia="宋体" w:hAnsi="宋体" w:cs="宋体"/>
          <w:spacing w:val="-4"/>
        </w:rPr>
        <w:t>流量、减慢心律和抵抗自发性</w:t>
      </w:r>
      <w:r>
        <w:rPr>
          <w:rFonts w:ascii="宋体" w:eastAsia="宋体" w:hAnsi="宋体" w:cs="宋体"/>
        </w:rPr>
        <w:t xml:space="preserve"> </w:t>
      </w:r>
      <w:r>
        <w:rPr>
          <w:rFonts w:ascii="宋体" w:eastAsia="宋体" w:hAnsi="宋体" w:cs="宋体"/>
          <w:spacing w:val="-3"/>
        </w:rPr>
        <w:t>心律不齐的作用，还具有降血脂、降胆固醇的作用，对缓解冠心病也有效。如茶</w:t>
      </w:r>
      <w:r>
        <w:rPr>
          <w:rFonts w:ascii="宋体" w:eastAsia="宋体" w:hAnsi="宋体" w:cs="宋体"/>
          <w:spacing w:val="2"/>
        </w:rPr>
        <w:t xml:space="preserve"> </w:t>
      </w:r>
      <w:r>
        <w:rPr>
          <w:rFonts w:ascii="宋体" w:eastAsia="宋体" w:hAnsi="宋体" w:cs="宋体"/>
          <w:spacing w:val="1"/>
        </w:rPr>
        <w:t>叶中的儿茶素具有抗脂肪肝的作用，对脂肪肝及因半乳糖胺或</w:t>
      </w:r>
      <w:r>
        <w:rPr>
          <w:rFonts w:ascii="宋体" w:eastAsia="宋体" w:hAnsi="宋体" w:cs="宋体"/>
        </w:rPr>
        <w:t>CCl</w:t>
      </w:r>
      <w:r>
        <w:rPr>
          <w:rFonts w:ascii="Calibri" w:eastAsia="Calibri" w:hAnsi="Calibri" w:cs="Calibri"/>
          <w:spacing w:val="1"/>
        </w:rPr>
        <w:t>₄</w:t>
      </w:r>
      <w:r>
        <w:rPr>
          <w:rFonts w:ascii="Calibri" w:eastAsia="Calibri" w:hAnsi="Calibri" w:cs="Calibri"/>
          <w:spacing w:val="2"/>
        </w:rPr>
        <w:t xml:space="preserve">  </w:t>
      </w:r>
      <w:r>
        <w:rPr>
          <w:rFonts w:ascii="宋体" w:eastAsia="宋体" w:hAnsi="宋体" w:cs="宋体"/>
          <w:spacing w:val="1"/>
        </w:rPr>
        <w:t>等引起的中</w:t>
      </w:r>
      <w:r>
        <w:rPr>
          <w:rFonts w:ascii="宋体" w:eastAsia="宋体" w:hAnsi="宋体" w:cs="宋体"/>
        </w:rPr>
        <w:t xml:space="preserve"> </w:t>
      </w:r>
      <w:r>
        <w:rPr>
          <w:rFonts w:ascii="宋体" w:eastAsia="宋体" w:hAnsi="宋体" w:cs="宋体"/>
          <w:spacing w:val="-8"/>
        </w:rPr>
        <w:t>毒性肝损伤均有一定的效果。</w:t>
      </w:r>
    </w:p>
    <w:p w:rsidR="00EA40A3" w:rsidRDefault="00E86C16">
      <w:pPr>
        <w:spacing w:before="38" w:line="225" w:lineRule="auto"/>
        <w:rPr>
          <w:rFonts w:ascii="楷体" w:eastAsia="楷体" w:hAnsi="楷体" w:cs="楷体"/>
        </w:rPr>
      </w:pPr>
      <w:r>
        <w:rPr>
          <w:rFonts w:ascii="楷体" w:eastAsia="楷体" w:hAnsi="楷体" w:cs="楷体"/>
          <w:spacing w:val="9"/>
        </w:rPr>
        <w:t>5)其他功能</w:t>
      </w:r>
    </w:p>
    <w:p w:rsidR="00EA40A3" w:rsidRDefault="00E86C16">
      <w:pPr>
        <w:spacing w:before="97" w:line="219" w:lineRule="auto"/>
        <w:ind w:left="390"/>
        <w:rPr>
          <w:rFonts w:ascii="宋体" w:eastAsia="宋体" w:hAnsi="宋体" w:cs="宋体"/>
        </w:rPr>
      </w:pPr>
      <w:r>
        <w:rPr>
          <w:rFonts w:ascii="宋体" w:eastAsia="宋体" w:hAnsi="宋体" w:cs="宋体"/>
          <w:spacing w:val="3"/>
        </w:rPr>
        <w:t>黄酮类化合物对维生素</w:t>
      </w:r>
      <w:r>
        <w:rPr>
          <w:rFonts w:ascii="宋体" w:eastAsia="宋体" w:hAnsi="宋体" w:cs="宋体"/>
          <w:spacing w:val="-58"/>
        </w:rPr>
        <w:t xml:space="preserve"> </w:t>
      </w:r>
      <w:r>
        <w:rPr>
          <w:rFonts w:ascii="宋体" w:eastAsia="宋体" w:hAnsi="宋体" w:cs="宋体"/>
          <w:spacing w:val="3"/>
        </w:rPr>
        <w:t>C</w:t>
      </w:r>
      <w:r>
        <w:rPr>
          <w:rFonts w:ascii="宋体" w:eastAsia="宋体" w:hAnsi="宋体" w:cs="宋体"/>
          <w:spacing w:val="-4"/>
        </w:rPr>
        <w:t xml:space="preserve"> </w:t>
      </w:r>
      <w:r>
        <w:rPr>
          <w:rFonts w:ascii="宋体" w:eastAsia="宋体" w:hAnsi="宋体" w:cs="宋体"/>
          <w:spacing w:val="3"/>
        </w:rPr>
        <w:t>有增效作用，可稳定人体组织内抗坏</w:t>
      </w:r>
      <w:r>
        <w:rPr>
          <w:rFonts w:ascii="宋体" w:eastAsia="宋体" w:hAnsi="宋体" w:cs="宋体"/>
          <w:spacing w:val="2"/>
        </w:rPr>
        <w:t>血酸的作用</w:t>
      </w:r>
    </w:p>
    <w:p w:rsidR="00EA40A3" w:rsidRDefault="00E86C16">
      <w:pPr>
        <w:spacing w:before="85"/>
        <w:ind w:right="91"/>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155</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984" w:bottom="400" w:left="930" w:header="0" w:footer="0" w:gutter="0"/>
          <w:cols w:space="720"/>
        </w:sectPr>
      </w:pPr>
    </w:p>
    <w:p w:rsidR="00EA40A3" w:rsidRDefault="00EA40A3">
      <w:pPr>
        <w:spacing w:line="281" w:lineRule="auto"/>
      </w:pPr>
    </w:p>
    <w:p w:rsidR="00EA40A3" w:rsidRDefault="00EA40A3">
      <w:pPr>
        <w:spacing w:line="281" w:lineRule="auto"/>
      </w:pPr>
    </w:p>
    <w:p w:rsidR="00EA40A3" w:rsidRDefault="00E86C16">
      <w:pPr>
        <w:spacing w:before="71" w:line="251" w:lineRule="auto"/>
        <w:ind w:right="99"/>
        <w:jc w:val="both"/>
        <w:rPr>
          <w:rFonts w:ascii="宋体" w:eastAsia="宋体" w:hAnsi="宋体" w:cs="宋体"/>
          <w:sz w:val="22"/>
          <w:szCs w:val="22"/>
        </w:rPr>
      </w:pPr>
      <w:r>
        <w:rPr>
          <w:rFonts w:ascii="宋体" w:eastAsia="宋体" w:hAnsi="宋体" w:cs="宋体"/>
          <w:spacing w:val="-13"/>
          <w:sz w:val="22"/>
          <w:szCs w:val="22"/>
        </w:rPr>
        <w:t>从而减少紫瘢。黄酮类化合物还具有止咳、平喘、祛痰作用。近年来</w:t>
      </w:r>
      <w:r>
        <w:rPr>
          <w:rFonts w:ascii="宋体" w:eastAsia="宋体" w:hAnsi="宋体" w:cs="宋体"/>
          <w:spacing w:val="-14"/>
          <w:sz w:val="22"/>
          <w:szCs w:val="22"/>
        </w:rPr>
        <w:t>，发现一些</w:t>
      </w:r>
      <w:r>
        <w:rPr>
          <w:rFonts w:ascii="宋体" w:eastAsia="宋体" w:hAnsi="宋体" w:cs="宋体"/>
          <w:sz w:val="22"/>
          <w:szCs w:val="22"/>
        </w:rPr>
        <w:t xml:space="preserve"> </w:t>
      </w:r>
      <w:r>
        <w:rPr>
          <w:rFonts w:ascii="宋体" w:eastAsia="宋体" w:hAnsi="宋体" w:cs="宋体"/>
          <w:spacing w:val="-13"/>
          <w:sz w:val="22"/>
          <w:szCs w:val="22"/>
        </w:rPr>
        <w:t>黄酮类化合物可抑制醛糖还原酶，在病态的条件下，如糖尿病者与</w:t>
      </w:r>
      <w:r>
        <w:rPr>
          <w:rFonts w:ascii="宋体" w:eastAsia="宋体" w:hAnsi="宋体" w:cs="宋体"/>
          <w:spacing w:val="-14"/>
          <w:sz w:val="22"/>
          <w:szCs w:val="22"/>
        </w:rPr>
        <w:t>半乳糖血症者</w:t>
      </w:r>
      <w:r>
        <w:rPr>
          <w:rFonts w:ascii="宋体" w:eastAsia="宋体" w:hAnsi="宋体" w:cs="宋体"/>
          <w:sz w:val="22"/>
          <w:szCs w:val="22"/>
        </w:rPr>
        <w:t xml:space="preserve"> </w:t>
      </w:r>
      <w:r>
        <w:rPr>
          <w:rFonts w:ascii="宋体" w:eastAsia="宋体" w:hAnsi="宋体" w:cs="宋体"/>
          <w:spacing w:val="-13"/>
          <w:sz w:val="22"/>
          <w:szCs w:val="22"/>
        </w:rPr>
        <w:t>中，这种酶参与形成白内障，但未能证明黄酮类化合物到底能否</w:t>
      </w:r>
      <w:r>
        <w:rPr>
          <w:rFonts w:ascii="宋体" w:eastAsia="宋体" w:hAnsi="宋体" w:cs="宋体"/>
          <w:spacing w:val="-14"/>
          <w:sz w:val="22"/>
          <w:szCs w:val="22"/>
        </w:rPr>
        <w:t>干扰人类白内障</w:t>
      </w:r>
      <w:r>
        <w:rPr>
          <w:rFonts w:ascii="宋体" w:eastAsia="宋体" w:hAnsi="宋体" w:cs="宋体"/>
          <w:sz w:val="22"/>
          <w:szCs w:val="22"/>
        </w:rPr>
        <w:t xml:space="preserve"> </w:t>
      </w:r>
      <w:r>
        <w:rPr>
          <w:rFonts w:ascii="宋体" w:eastAsia="宋体" w:hAnsi="宋体" w:cs="宋体"/>
          <w:spacing w:val="-19"/>
          <w:sz w:val="22"/>
          <w:szCs w:val="22"/>
        </w:rPr>
        <w:t>的形成。</w:t>
      </w:r>
    </w:p>
    <w:p w:rsidR="00EA40A3" w:rsidRDefault="00E86C16">
      <w:pPr>
        <w:spacing w:before="191" w:line="221" w:lineRule="auto"/>
        <w:rPr>
          <w:rFonts w:ascii="仿宋" w:eastAsia="仿宋" w:hAnsi="仿宋" w:cs="仿宋"/>
          <w:sz w:val="22"/>
          <w:szCs w:val="22"/>
        </w:rPr>
      </w:pPr>
      <w:r>
        <w:rPr>
          <w:rFonts w:ascii="仿宋" w:eastAsia="仿宋" w:hAnsi="仿宋" w:cs="仿宋"/>
          <w:spacing w:val="12"/>
          <w:sz w:val="22"/>
          <w:szCs w:val="22"/>
        </w:rPr>
        <w:t>3.</w:t>
      </w:r>
      <w:r>
        <w:rPr>
          <w:rFonts w:ascii="仿宋" w:eastAsia="仿宋" w:hAnsi="仿宋" w:cs="仿宋"/>
          <w:spacing w:val="-18"/>
          <w:sz w:val="22"/>
          <w:szCs w:val="22"/>
        </w:rPr>
        <w:t xml:space="preserve"> </w:t>
      </w:r>
      <w:r>
        <w:rPr>
          <w:rFonts w:ascii="仿宋" w:eastAsia="仿宋" w:hAnsi="仿宋" w:cs="仿宋"/>
          <w:spacing w:val="12"/>
          <w:sz w:val="22"/>
          <w:szCs w:val="22"/>
        </w:rPr>
        <w:t>生物类黄酮的食物来源</w:t>
      </w:r>
    </w:p>
    <w:p w:rsidR="00EA40A3" w:rsidRDefault="00E86C16">
      <w:pPr>
        <w:spacing w:before="194" w:line="245" w:lineRule="auto"/>
        <w:ind w:firstLine="439"/>
        <w:jc w:val="both"/>
        <w:rPr>
          <w:rFonts w:ascii="宋体" w:eastAsia="宋体" w:hAnsi="宋体" w:cs="宋体"/>
          <w:sz w:val="22"/>
          <w:szCs w:val="22"/>
        </w:rPr>
      </w:pPr>
      <w:r>
        <w:rPr>
          <w:rFonts w:ascii="宋体" w:eastAsia="宋体" w:hAnsi="宋体" w:cs="宋体"/>
          <w:spacing w:val="-13"/>
          <w:sz w:val="22"/>
          <w:szCs w:val="22"/>
        </w:rPr>
        <w:t>动物不能合成生物类黄酮，植物是富含生物类</w:t>
      </w:r>
      <w:r>
        <w:rPr>
          <w:rFonts w:ascii="宋体" w:eastAsia="宋体" w:hAnsi="宋体" w:cs="宋体"/>
          <w:spacing w:val="-14"/>
          <w:sz w:val="22"/>
          <w:szCs w:val="22"/>
        </w:rPr>
        <w:t>黄酮的主要食物来源，黄酮类</w:t>
      </w:r>
      <w:r>
        <w:rPr>
          <w:rFonts w:ascii="宋体" w:eastAsia="宋体" w:hAnsi="宋体" w:cs="宋体"/>
          <w:sz w:val="22"/>
          <w:szCs w:val="22"/>
        </w:rPr>
        <w:t xml:space="preserve"> </w:t>
      </w:r>
      <w:r>
        <w:rPr>
          <w:rFonts w:ascii="宋体" w:eastAsia="宋体" w:hAnsi="宋体" w:cs="宋体"/>
          <w:spacing w:val="-13"/>
          <w:sz w:val="22"/>
          <w:szCs w:val="22"/>
        </w:rPr>
        <w:t>化合物广泛存在于蔬菜、水果、花和谷物中，并多分布于植物的外皮</w:t>
      </w:r>
      <w:r>
        <w:rPr>
          <w:rFonts w:ascii="宋体" w:eastAsia="宋体" w:hAnsi="宋体" w:cs="宋体"/>
          <w:spacing w:val="-14"/>
          <w:sz w:val="22"/>
          <w:szCs w:val="22"/>
        </w:rPr>
        <w:t>，即在植物</w:t>
      </w:r>
      <w:r>
        <w:rPr>
          <w:rFonts w:ascii="宋体" w:eastAsia="宋体" w:hAnsi="宋体" w:cs="宋体"/>
          <w:sz w:val="22"/>
          <w:szCs w:val="22"/>
        </w:rPr>
        <w:t xml:space="preserve">  </w:t>
      </w:r>
      <w:r>
        <w:rPr>
          <w:rFonts w:ascii="宋体" w:eastAsia="宋体" w:hAnsi="宋体" w:cs="宋体"/>
          <w:spacing w:val="-18"/>
          <w:sz w:val="22"/>
          <w:szCs w:val="22"/>
        </w:rPr>
        <w:t>中接受阳光的部分。其在植物中的含量随种类的不同而异，</w:t>
      </w:r>
      <w:r>
        <w:rPr>
          <w:rFonts w:ascii="宋体" w:eastAsia="宋体" w:hAnsi="宋体" w:cs="宋体"/>
          <w:spacing w:val="59"/>
          <w:sz w:val="22"/>
          <w:szCs w:val="22"/>
        </w:rPr>
        <w:t xml:space="preserve"> </w:t>
      </w:r>
      <w:r>
        <w:rPr>
          <w:rFonts w:ascii="宋体" w:eastAsia="宋体" w:hAnsi="宋体" w:cs="宋体"/>
          <w:spacing w:val="-18"/>
          <w:sz w:val="22"/>
          <w:szCs w:val="22"/>
        </w:rPr>
        <w:t>一般叶菜类含量多而</w:t>
      </w:r>
      <w:r>
        <w:rPr>
          <w:rFonts w:ascii="宋体" w:eastAsia="宋体" w:hAnsi="宋体" w:cs="宋体"/>
          <w:sz w:val="22"/>
          <w:szCs w:val="22"/>
        </w:rPr>
        <w:t xml:space="preserve">  </w:t>
      </w:r>
      <w:r>
        <w:rPr>
          <w:rFonts w:ascii="宋体" w:eastAsia="宋体" w:hAnsi="宋体" w:cs="宋体"/>
          <w:spacing w:val="-10"/>
          <w:sz w:val="22"/>
          <w:szCs w:val="22"/>
        </w:rPr>
        <w:t>根茎类含量少。如水果中的柑橘、柠檬、杏、樱桃、木</w:t>
      </w:r>
      <w:r>
        <w:rPr>
          <w:rFonts w:ascii="宋体" w:eastAsia="宋体" w:hAnsi="宋体" w:cs="宋体"/>
          <w:spacing w:val="-11"/>
          <w:sz w:val="22"/>
          <w:szCs w:val="22"/>
        </w:rPr>
        <w:t>瓜、李、葡萄及葡萄柚；</w:t>
      </w:r>
      <w:r>
        <w:rPr>
          <w:rFonts w:ascii="宋体" w:eastAsia="宋体" w:hAnsi="宋体" w:cs="宋体"/>
          <w:sz w:val="22"/>
          <w:szCs w:val="22"/>
        </w:rPr>
        <w:t xml:space="preserve"> </w:t>
      </w:r>
      <w:r>
        <w:rPr>
          <w:rFonts w:ascii="宋体" w:eastAsia="宋体" w:hAnsi="宋体" w:cs="宋体"/>
          <w:spacing w:val="-10"/>
          <w:sz w:val="22"/>
          <w:szCs w:val="22"/>
        </w:rPr>
        <w:t>蔬菜中的花茎甘蓝、青椒、莴苣、洋葱、番茄及三大天</w:t>
      </w:r>
      <w:r>
        <w:rPr>
          <w:rFonts w:ascii="宋体" w:eastAsia="宋体" w:hAnsi="宋体" w:cs="宋体"/>
          <w:spacing w:val="-11"/>
          <w:sz w:val="22"/>
          <w:szCs w:val="22"/>
        </w:rPr>
        <w:t>然饮料茶、咖啡和可可。</w:t>
      </w:r>
      <w:r>
        <w:rPr>
          <w:rFonts w:ascii="宋体" w:eastAsia="宋体" w:hAnsi="宋体" w:cs="宋体"/>
          <w:sz w:val="22"/>
          <w:szCs w:val="22"/>
        </w:rPr>
        <w:t xml:space="preserve"> </w:t>
      </w:r>
      <w:r>
        <w:rPr>
          <w:rFonts w:ascii="宋体" w:eastAsia="宋体" w:hAnsi="宋体" w:cs="宋体"/>
          <w:spacing w:val="-13"/>
          <w:sz w:val="22"/>
          <w:szCs w:val="22"/>
        </w:rPr>
        <w:t>而大量的生物类黄酮都是由饮料中进入人体，茶、咖啡、可可、果</w:t>
      </w:r>
      <w:r>
        <w:rPr>
          <w:rFonts w:ascii="宋体" w:eastAsia="宋体" w:hAnsi="宋体" w:cs="宋体"/>
          <w:spacing w:val="-14"/>
          <w:sz w:val="22"/>
          <w:szCs w:val="22"/>
        </w:rPr>
        <w:t>酒和啤酒是重</w:t>
      </w:r>
      <w:r>
        <w:rPr>
          <w:rFonts w:ascii="宋体" w:eastAsia="宋体" w:hAnsi="宋体" w:cs="宋体"/>
          <w:sz w:val="22"/>
          <w:szCs w:val="22"/>
        </w:rPr>
        <w:t xml:space="preserve">  </w:t>
      </w:r>
      <w:r>
        <w:rPr>
          <w:rFonts w:ascii="宋体" w:eastAsia="宋体" w:hAnsi="宋体" w:cs="宋体"/>
          <w:spacing w:val="-13"/>
          <w:sz w:val="22"/>
          <w:szCs w:val="22"/>
        </w:rPr>
        <w:t>要的类黄酮来源。在一般的混合膳食中，人们每天可从食物中取</w:t>
      </w:r>
      <w:r>
        <w:rPr>
          <w:rFonts w:ascii="宋体" w:eastAsia="宋体" w:hAnsi="宋体" w:cs="宋体"/>
          <w:spacing w:val="-14"/>
          <w:sz w:val="22"/>
          <w:szCs w:val="22"/>
        </w:rPr>
        <w:t>得</w:t>
      </w:r>
      <w:r>
        <w:rPr>
          <w:rFonts w:ascii="宋体" w:eastAsia="宋体" w:hAnsi="宋体" w:cs="宋体"/>
          <w:spacing w:val="-59"/>
          <w:sz w:val="22"/>
          <w:szCs w:val="22"/>
        </w:rPr>
        <w:t xml:space="preserve"> </w:t>
      </w:r>
      <w:r>
        <w:rPr>
          <w:rFonts w:ascii="宋体" w:eastAsia="宋体" w:hAnsi="宋体" w:cs="宋体"/>
          <w:spacing w:val="-13"/>
          <w:sz w:val="22"/>
          <w:szCs w:val="22"/>
        </w:rPr>
        <w:t>lg</w:t>
      </w:r>
      <w:r>
        <w:rPr>
          <w:rFonts w:ascii="宋体" w:eastAsia="宋体" w:hAnsi="宋体" w:cs="宋体"/>
          <w:spacing w:val="-49"/>
          <w:sz w:val="22"/>
          <w:szCs w:val="22"/>
        </w:rPr>
        <w:t xml:space="preserve"> </w:t>
      </w:r>
      <w:r>
        <w:rPr>
          <w:rFonts w:ascii="宋体" w:eastAsia="宋体" w:hAnsi="宋体" w:cs="宋体"/>
          <w:spacing w:val="-14"/>
          <w:sz w:val="22"/>
          <w:szCs w:val="22"/>
        </w:rPr>
        <w:t>的类黄酮。</w:t>
      </w:r>
    </w:p>
    <w:p w:rsidR="00EA40A3" w:rsidRDefault="00E86C16">
      <w:pPr>
        <w:spacing w:before="258" w:line="221" w:lineRule="auto"/>
        <w:rPr>
          <w:rFonts w:ascii="仿宋" w:eastAsia="仿宋" w:hAnsi="仿宋" w:cs="仿宋"/>
          <w:sz w:val="22"/>
          <w:szCs w:val="22"/>
        </w:rPr>
      </w:pPr>
      <w:r>
        <w:rPr>
          <w:rFonts w:ascii="仿宋" w:eastAsia="仿宋" w:hAnsi="仿宋" w:cs="仿宋"/>
          <w:spacing w:val="12"/>
          <w:sz w:val="22"/>
          <w:szCs w:val="22"/>
        </w:rPr>
        <w:t>4.</w:t>
      </w:r>
      <w:r>
        <w:rPr>
          <w:rFonts w:ascii="仿宋" w:eastAsia="仿宋" w:hAnsi="仿宋" w:cs="仿宋"/>
          <w:spacing w:val="-20"/>
          <w:sz w:val="22"/>
          <w:szCs w:val="22"/>
        </w:rPr>
        <w:t xml:space="preserve"> </w:t>
      </w:r>
      <w:r>
        <w:rPr>
          <w:rFonts w:ascii="仿宋" w:eastAsia="仿宋" w:hAnsi="仿宋" w:cs="仿宋"/>
          <w:spacing w:val="12"/>
          <w:sz w:val="22"/>
          <w:szCs w:val="22"/>
        </w:rPr>
        <w:t>主要的生物类黄酮</w:t>
      </w:r>
    </w:p>
    <w:p w:rsidR="00EA40A3" w:rsidRDefault="00E86C16">
      <w:pPr>
        <w:spacing w:before="188" w:line="232" w:lineRule="auto"/>
        <w:ind w:right="81" w:firstLine="439"/>
        <w:rPr>
          <w:rFonts w:ascii="宋体" w:eastAsia="宋体" w:hAnsi="宋体" w:cs="宋体"/>
          <w:sz w:val="22"/>
          <w:szCs w:val="22"/>
        </w:rPr>
      </w:pPr>
      <w:r>
        <w:rPr>
          <w:rFonts w:ascii="宋体" w:eastAsia="宋体" w:hAnsi="宋体" w:cs="宋体"/>
          <w:spacing w:val="-13"/>
          <w:sz w:val="22"/>
          <w:szCs w:val="22"/>
        </w:rPr>
        <w:t>生物类黄酮是近年来研究的一个热点，其中研</w:t>
      </w:r>
      <w:r>
        <w:rPr>
          <w:rFonts w:ascii="宋体" w:eastAsia="宋体" w:hAnsi="宋体" w:cs="宋体"/>
          <w:spacing w:val="-14"/>
          <w:sz w:val="22"/>
          <w:szCs w:val="22"/>
        </w:rPr>
        <w:t>究报道较多的有异黄酮、花青</w:t>
      </w:r>
      <w:r>
        <w:rPr>
          <w:rFonts w:ascii="宋体" w:eastAsia="宋体" w:hAnsi="宋体" w:cs="宋体"/>
          <w:sz w:val="22"/>
          <w:szCs w:val="22"/>
        </w:rPr>
        <w:t xml:space="preserve"> </w:t>
      </w:r>
      <w:r>
        <w:rPr>
          <w:rFonts w:ascii="宋体" w:eastAsia="宋体" w:hAnsi="宋体" w:cs="宋体"/>
          <w:spacing w:val="-18"/>
          <w:sz w:val="22"/>
          <w:szCs w:val="22"/>
        </w:rPr>
        <w:t>素和植物多酚。</w:t>
      </w:r>
    </w:p>
    <w:p w:rsidR="00EA40A3" w:rsidRDefault="00E86C16">
      <w:pPr>
        <w:spacing w:before="54" w:line="248" w:lineRule="auto"/>
        <w:ind w:firstLine="439"/>
        <w:rPr>
          <w:rFonts w:ascii="宋体" w:eastAsia="宋体" w:hAnsi="宋体" w:cs="宋体"/>
          <w:sz w:val="22"/>
          <w:szCs w:val="22"/>
        </w:rPr>
      </w:pPr>
      <w:r>
        <w:rPr>
          <w:rFonts w:ascii="宋体" w:eastAsia="宋体" w:hAnsi="宋体" w:cs="宋体"/>
          <w:spacing w:val="-10"/>
          <w:sz w:val="22"/>
          <w:szCs w:val="22"/>
        </w:rPr>
        <w:t>异黄酮</w:t>
      </w:r>
      <w:r>
        <w:rPr>
          <w:rFonts w:ascii="宋体" w:eastAsia="宋体" w:hAnsi="宋体" w:cs="宋体"/>
          <w:spacing w:val="-9"/>
          <w:sz w:val="22"/>
          <w:szCs w:val="22"/>
        </w:rPr>
        <w:t xml:space="preserve"> </w:t>
      </w:r>
      <w:r>
        <w:rPr>
          <w:rFonts w:ascii="宋体" w:eastAsia="宋体" w:hAnsi="宋体" w:cs="宋体"/>
          <w:spacing w:val="-10"/>
          <w:sz w:val="22"/>
          <w:szCs w:val="22"/>
        </w:rPr>
        <w:t>(iso-flavone)</w:t>
      </w:r>
      <w:r>
        <w:rPr>
          <w:rFonts w:ascii="宋体" w:eastAsia="宋体" w:hAnsi="宋体" w:cs="宋体"/>
          <w:spacing w:val="-41"/>
          <w:sz w:val="22"/>
          <w:szCs w:val="22"/>
        </w:rPr>
        <w:t xml:space="preserve"> </w:t>
      </w:r>
      <w:r>
        <w:rPr>
          <w:rFonts w:ascii="宋体" w:eastAsia="宋体" w:hAnsi="宋体" w:cs="宋体"/>
          <w:spacing w:val="-10"/>
          <w:sz w:val="22"/>
          <w:szCs w:val="22"/>
        </w:rPr>
        <w:t>属黄酮类化合物，它的侧苯基位于3位，包括游离态</w:t>
      </w:r>
      <w:r>
        <w:rPr>
          <w:rFonts w:ascii="宋体" w:eastAsia="宋体" w:hAnsi="宋体" w:cs="宋体"/>
          <w:sz w:val="22"/>
          <w:szCs w:val="22"/>
        </w:rPr>
        <w:t xml:space="preserve"> </w:t>
      </w:r>
      <w:r>
        <w:rPr>
          <w:rFonts w:ascii="宋体" w:eastAsia="宋体" w:hAnsi="宋体" w:cs="宋体"/>
          <w:spacing w:val="-13"/>
          <w:sz w:val="22"/>
          <w:szCs w:val="22"/>
        </w:rPr>
        <w:t>的苷元和结合态的葡萄糖苷。目前研究较多的有大豆异黄酮及葛根</w:t>
      </w:r>
      <w:r>
        <w:rPr>
          <w:rFonts w:ascii="宋体" w:eastAsia="宋体" w:hAnsi="宋体" w:cs="宋体"/>
          <w:spacing w:val="-14"/>
          <w:sz w:val="22"/>
          <w:szCs w:val="22"/>
        </w:rPr>
        <w:t>异黄酮。大豆</w:t>
      </w:r>
      <w:r>
        <w:rPr>
          <w:rFonts w:ascii="宋体" w:eastAsia="宋体" w:hAnsi="宋体" w:cs="宋体"/>
          <w:sz w:val="22"/>
          <w:szCs w:val="22"/>
        </w:rPr>
        <w:t xml:space="preserve">  </w:t>
      </w:r>
      <w:r>
        <w:rPr>
          <w:rFonts w:ascii="宋体" w:eastAsia="宋体" w:hAnsi="宋体" w:cs="宋体"/>
          <w:spacing w:val="9"/>
          <w:sz w:val="22"/>
          <w:szCs w:val="22"/>
        </w:rPr>
        <w:t>异黄酮有12种，可分为游离型的苷元和结合型的糖苷，苷元</w:t>
      </w:r>
      <w:r>
        <w:rPr>
          <w:rFonts w:ascii="宋体" w:eastAsia="宋体" w:hAnsi="宋体" w:cs="宋体"/>
          <w:spacing w:val="8"/>
          <w:sz w:val="22"/>
          <w:szCs w:val="22"/>
        </w:rPr>
        <w:t>占总量的2%~</w:t>
      </w:r>
      <w:r>
        <w:rPr>
          <w:rFonts w:ascii="宋体" w:eastAsia="宋体" w:hAnsi="宋体" w:cs="宋体"/>
          <w:sz w:val="22"/>
          <w:szCs w:val="22"/>
        </w:rPr>
        <w:t xml:space="preserve">  </w:t>
      </w:r>
      <w:r>
        <w:rPr>
          <w:rFonts w:ascii="宋体" w:eastAsia="宋体" w:hAnsi="宋体" w:cs="宋体"/>
          <w:spacing w:val="-10"/>
          <w:sz w:val="22"/>
          <w:szCs w:val="22"/>
        </w:rPr>
        <w:t>3%,有染料木素</w:t>
      </w:r>
      <w:r>
        <w:rPr>
          <w:rFonts w:ascii="宋体" w:eastAsia="宋体" w:hAnsi="宋体" w:cs="宋体"/>
          <w:spacing w:val="-21"/>
          <w:sz w:val="22"/>
          <w:szCs w:val="22"/>
        </w:rPr>
        <w:t xml:space="preserve"> </w:t>
      </w:r>
      <w:r>
        <w:rPr>
          <w:rFonts w:ascii="宋体" w:eastAsia="宋体" w:hAnsi="宋体" w:cs="宋体"/>
          <w:spacing w:val="-10"/>
          <w:sz w:val="22"/>
          <w:szCs w:val="22"/>
        </w:rPr>
        <w:t>(genistein)、</w:t>
      </w:r>
      <w:r>
        <w:rPr>
          <w:rFonts w:ascii="宋体" w:eastAsia="宋体" w:hAnsi="宋体" w:cs="宋体"/>
          <w:spacing w:val="-51"/>
          <w:sz w:val="22"/>
          <w:szCs w:val="22"/>
        </w:rPr>
        <w:t xml:space="preserve"> </w:t>
      </w:r>
      <w:r>
        <w:rPr>
          <w:rFonts w:ascii="宋体" w:eastAsia="宋体" w:hAnsi="宋体" w:cs="宋体"/>
          <w:spacing w:val="-10"/>
          <w:sz w:val="22"/>
          <w:szCs w:val="22"/>
        </w:rPr>
        <w:t>大豆素</w:t>
      </w:r>
      <w:r>
        <w:rPr>
          <w:rFonts w:ascii="宋体" w:eastAsia="宋体" w:hAnsi="宋体" w:cs="宋体"/>
          <w:spacing w:val="1"/>
          <w:sz w:val="22"/>
          <w:szCs w:val="22"/>
        </w:rPr>
        <w:t xml:space="preserve"> </w:t>
      </w:r>
      <w:r>
        <w:rPr>
          <w:rFonts w:ascii="宋体" w:eastAsia="宋体" w:hAnsi="宋体" w:cs="宋体"/>
          <w:spacing w:val="-10"/>
          <w:sz w:val="22"/>
          <w:szCs w:val="22"/>
        </w:rPr>
        <w:t>(daidzein)</w:t>
      </w:r>
      <w:r>
        <w:rPr>
          <w:rFonts w:ascii="宋体" w:eastAsia="宋体" w:hAnsi="宋体" w:cs="宋体"/>
          <w:spacing w:val="-44"/>
          <w:sz w:val="22"/>
          <w:szCs w:val="22"/>
        </w:rPr>
        <w:t xml:space="preserve"> </w:t>
      </w:r>
      <w:r>
        <w:rPr>
          <w:rFonts w:ascii="宋体" w:eastAsia="宋体" w:hAnsi="宋体" w:cs="宋体"/>
          <w:spacing w:val="-10"/>
          <w:sz w:val="22"/>
          <w:szCs w:val="22"/>
        </w:rPr>
        <w:t>和黄豆黄素</w:t>
      </w:r>
      <w:r>
        <w:rPr>
          <w:rFonts w:ascii="宋体" w:eastAsia="宋体" w:hAnsi="宋体" w:cs="宋体"/>
          <w:spacing w:val="-11"/>
          <w:sz w:val="22"/>
          <w:szCs w:val="22"/>
        </w:rPr>
        <w:t xml:space="preserve"> (</w:t>
      </w:r>
      <w:r>
        <w:rPr>
          <w:rFonts w:ascii="宋体" w:eastAsia="宋体" w:hAnsi="宋体" w:cs="宋体"/>
          <w:spacing w:val="-10"/>
          <w:sz w:val="22"/>
          <w:szCs w:val="22"/>
        </w:rPr>
        <w:t>glycitein</w:t>
      </w:r>
      <w:r>
        <w:rPr>
          <w:rFonts w:ascii="宋体" w:eastAsia="宋体" w:hAnsi="宋体" w:cs="宋体"/>
          <w:spacing w:val="-11"/>
          <w:sz w:val="22"/>
          <w:szCs w:val="22"/>
        </w:rPr>
        <w:t>);</w:t>
      </w:r>
      <w:r>
        <w:rPr>
          <w:rFonts w:ascii="宋体" w:eastAsia="宋体" w:hAnsi="宋体" w:cs="宋体"/>
          <w:spacing w:val="-40"/>
          <w:sz w:val="22"/>
          <w:szCs w:val="22"/>
        </w:rPr>
        <w:t xml:space="preserve"> </w:t>
      </w:r>
      <w:r>
        <w:rPr>
          <w:rFonts w:ascii="宋体" w:eastAsia="宋体" w:hAnsi="宋体" w:cs="宋体"/>
          <w:spacing w:val="-11"/>
          <w:sz w:val="22"/>
          <w:szCs w:val="22"/>
        </w:rPr>
        <w:t>糖</w:t>
      </w:r>
      <w:r>
        <w:rPr>
          <w:rFonts w:ascii="宋体" w:eastAsia="宋体" w:hAnsi="宋体" w:cs="宋体"/>
          <w:sz w:val="22"/>
          <w:szCs w:val="22"/>
        </w:rPr>
        <w:t xml:space="preserve">  </w:t>
      </w:r>
      <w:r>
        <w:rPr>
          <w:rFonts w:ascii="宋体" w:eastAsia="宋体" w:hAnsi="宋体" w:cs="宋体"/>
          <w:spacing w:val="-7"/>
          <w:sz w:val="22"/>
          <w:szCs w:val="22"/>
        </w:rPr>
        <w:t>苷占总量的97%～98%,主要以染料木苷</w:t>
      </w:r>
      <w:r>
        <w:rPr>
          <w:rFonts w:ascii="宋体" w:eastAsia="宋体" w:hAnsi="宋体" w:cs="宋体"/>
          <w:spacing w:val="-3"/>
          <w:sz w:val="22"/>
          <w:szCs w:val="22"/>
        </w:rPr>
        <w:t xml:space="preserve"> </w:t>
      </w:r>
      <w:r>
        <w:rPr>
          <w:rFonts w:ascii="宋体" w:eastAsia="宋体" w:hAnsi="宋体" w:cs="宋体"/>
          <w:spacing w:val="-7"/>
          <w:sz w:val="22"/>
          <w:szCs w:val="22"/>
        </w:rPr>
        <w:t>(genistin)、</w:t>
      </w:r>
      <w:r>
        <w:rPr>
          <w:rFonts w:ascii="宋体" w:eastAsia="宋体" w:hAnsi="宋体" w:cs="宋体"/>
          <w:spacing w:val="-60"/>
          <w:sz w:val="22"/>
          <w:szCs w:val="22"/>
        </w:rPr>
        <w:t xml:space="preserve"> </w:t>
      </w:r>
      <w:r>
        <w:rPr>
          <w:rFonts w:ascii="宋体" w:eastAsia="宋体" w:hAnsi="宋体" w:cs="宋体"/>
          <w:spacing w:val="-7"/>
          <w:sz w:val="22"/>
          <w:szCs w:val="22"/>
        </w:rPr>
        <w:t>大豆苷</w:t>
      </w:r>
      <w:r>
        <w:rPr>
          <w:rFonts w:ascii="宋体" w:eastAsia="宋体" w:hAnsi="宋体" w:cs="宋体"/>
          <w:spacing w:val="-11"/>
          <w:sz w:val="22"/>
          <w:szCs w:val="22"/>
        </w:rPr>
        <w:t xml:space="preserve"> </w:t>
      </w:r>
      <w:r>
        <w:rPr>
          <w:rFonts w:ascii="宋体" w:eastAsia="宋体" w:hAnsi="宋体" w:cs="宋体"/>
          <w:spacing w:val="-7"/>
          <w:sz w:val="22"/>
          <w:szCs w:val="22"/>
        </w:rPr>
        <w:t>(daidzin)、</w:t>
      </w:r>
      <w:r>
        <w:rPr>
          <w:rFonts w:ascii="宋体" w:eastAsia="宋体" w:hAnsi="宋体" w:cs="宋体"/>
          <w:spacing w:val="-53"/>
          <w:sz w:val="22"/>
          <w:szCs w:val="22"/>
        </w:rPr>
        <w:t xml:space="preserve"> </w:t>
      </w:r>
      <w:r>
        <w:rPr>
          <w:rFonts w:ascii="宋体" w:eastAsia="宋体" w:hAnsi="宋体" w:cs="宋体"/>
          <w:spacing w:val="-7"/>
          <w:sz w:val="22"/>
          <w:szCs w:val="22"/>
        </w:rPr>
        <w:t>黄豆</w:t>
      </w:r>
      <w:r>
        <w:rPr>
          <w:rFonts w:ascii="宋体" w:eastAsia="宋体" w:hAnsi="宋体" w:cs="宋体"/>
          <w:sz w:val="22"/>
          <w:szCs w:val="22"/>
        </w:rPr>
        <w:t xml:space="preserve"> </w:t>
      </w:r>
      <w:r>
        <w:rPr>
          <w:rFonts w:ascii="宋体" w:eastAsia="宋体" w:hAnsi="宋体" w:cs="宋体"/>
          <w:spacing w:val="-10"/>
          <w:sz w:val="22"/>
          <w:szCs w:val="22"/>
        </w:rPr>
        <w:t>苷</w:t>
      </w:r>
      <w:r>
        <w:rPr>
          <w:rFonts w:ascii="宋体" w:eastAsia="宋体" w:hAnsi="宋体" w:cs="宋体"/>
          <w:spacing w:val="-9"/>
          <w:sz w:val="22"/>
          <w:szCs w:val="22"/>
        </w:rPr>
        <w:t xml:space="preserve"> </w:t>
      </w:r>
      <w:r>
        <w:rPr>
          <w:rFonts w:ascii="宋体" w:eastAsia="宋体" w:hAnsi="宋体" w:cs="宋体"/>
          <w:spacing w:val="-10"/>
          <w:sz w:val="22"/>
          <w:szCs w:val="22"/>
        </w:rPr>
        <w:t>(glycitin)、丙二酰染料木苷(6"O-malonygenistin)、</w:t>
      </w:r>
      <w:r>
        <w:rPr>
          <w:rFonts w:ascii="宋体" w:eastAsia="宋体" w:hAnsi="宋体" w:cs="宋体"/>
          <w:sz w:val="22"/>
          <w:szCs w:val="22"/>
        </w:rPr>
        <w:t xml:space="preserve"> </w:t>
      </w:r>
      <w:r>
        <w:rPr>
          <w:rFonts w:ascii="宋体" w:eastAsia="宋体" w:hAnsi="宋体" w:cs="宋体"/>
          <w:spacing w:val="-10"/>
          <w:sz w:val="22"/>
          <w:szCs w:val="22"/>
        </w:rPr>
        <w:t>丙二酰大豆苷(6"-O-</w:t>
      </w:r>
      <w:r>
        <w:rPr>
          <w:rFonts w:ascii="宋体" w:eastAsia="宋体" w:hAnsi="宋体" w:cs="宋体"/>
          <w:sz w:val="22"/>
          <w:szCs w:val="22"/>
        </w:rPr>
        <w:t xml:space="preserve">  </w:t>
      </w:r>
      <w:r>
        <w:rPr>
          <w:rFonts w:ascii="宋体" w:eastAsia="宋体" w:hAnsi="宋体" w:cs="宋体"/>
          <w:spacing w:val="-9"/>
          <w:sz w:val="22"/>
          <w:szCs w:val="22"/>
        </w:rPr>
        <w:t>malonydaidzin)</w:t>
      </w:r>
      <w:r>
        <w:rPr>
          <w:rFonts w:ascii="宋体" w:eastAsia="宋体" w:hAnsi="宋体" w:cs="宋体"/>
          <w:spacing w:val="-54"/>
          <w:sz w:val="22"/>
          <w:szCs w:val="22"/>
        </w:rPr>
        <w:t xml:space="preserve"> </w:t>
      </w:r>
      <w:r>
        <w:rPr>
          <w:rFonts w:ascii="宋体" w:eastAsia="宋体" w:hAnsi="宋体" w:cs="宋体"/>
          <w:spacing w:val="-9"/>
          <w:sz w:val="22"/>
          <w:szCs w:val="22"/>
        </w:rPr>
        <w:t>和丙二酰黄豆苷(6"-O-malonyglycitin)</w:t>
      </w:r>
      <w:r>
        <w:rPr>
          <w:rFonts w:ascii="宋体" w:eastAsia="宋体" w:hAnsi="宋体" w:cs="宋体"/>
          <w:spacing w:val="-44"/>
          <w:sz w:val="22"/>
          <w:szCs w:val="22"/>
        </w:rPr>
        <w:t xml:space="preserve"> </w:t>
      </w:r>
      <w:r>
        <w:rPr>
          <w:rFonts w:ascii="宋体" w:eastAsia="宋体" w:hAnsi="宋体" w:cs="宋体"/>
          <w:spacing w:val="-9"/>
          <w:sz w:val="22"/>
          <w:szCs w:val="22"/>
        </w:rPr>
        <w:t>形式存在；葛根异</w:t>
      </w:r>
      <w:r>
        <w:rPr>
          <w:rFonts w:ascii="宋体" w:eastAsia="宋体" w:hAnsi="宋体" w:cs="宋体"/>
          <w:spacing w:val="-10"/>
          <w:sz w:val="22"/>
          <w:szCs w:val="22"/>
        </w:rPr>
        <w:t>黄酮</w:t>
      </w:r>
      <w:r>
        <w:rPr>
          <w:rFonts w:ascii="宋体" w:eastAsia="宋体" w:hAnsi="宋体" w:cs="宋体"/>
          <w:sz w:val="22"/>
          <w:szCs w:val="22"/>
        </w:rPr>
        <w:t xml:space="preserve">  </w:t>
      </w:r>
      <w:r>
        <w:rPr>
          <w:rFonts w:ascii="宋体" w:eastAsia="宋体" w:hAnsi="宋体" w:cs="宋体"/>
          <w:spacing w:val="-15"/>
          <w:sz w:val="22"/>
          <w:szCs w:val="22"/>
        </w:rPr>
        <w:t>及其衍生物包括葛根素</w:t>
      </w:r>
      <w:r>
        <w:rPr>
          <w:rFonts w:ascii="宋体" w:eastAsia="宋体" w:hAnsi="宋体" w:cs="宋体"/>
          <w:spacing w:val="-10"/>
          <w:sz w:val="22"/>
          <w:szCs w:val="22"/>
        </w:rPr>
        <w:t xml:space="preserve"> </w:t>
      </w:r>
      <w:r>
        <w:rPr>
          <w:rFonts w:ascii="宋体" w:eastAsia="宋体" w:hAnsi="宋体" w:cs="宋体"/>
          <w:spacing w:val="-15"/>
          <w:sz w:val="22"/>
          <w:szCs w:val="22"/>
        </w:rPr>
        <w:t>(puerarin)、</w:t>
      </w:r>
      <w:r>
        <w:rPr>
          <w:rFonts w:ascii="宋体" w:eastAsia="宋体" w:hAnsi="宋体" w:cs="宋体"/>
          <w:spacing w:val="-37"/>
          <w:sz w:val="22"/>
          <w:szCs w:val="22"/>
        </w:rPr>
        <w:t xml:space="preserve"> </w:t>
      </w:r>
      <w:r>
        <w:rPr>
          <w:rFonts w:ascii="宋体" w:eastAsia="宋体" w:hAnsi="宋体" w:cs="宋体"/>
          <w:spacing w:val="-15"/>
          <w:sz w:val="22"/>
          <w:szCs w:val="22"/>
        </w:rPr>
        <w:t>葛根苷、葛根木糖苷</w:t>
      </w:r>
      <w:r>
        <w:rPr>
          <w:rFonts w:ascii="宋体" w:eastAsia="宋体" w:hAnsi="宋体" w:cs="宋体"/>
          <w:spacing w:val="-11"/>
          <w:sz w:val="22"/>
          <w:szCs w:val="22"/>
        </w:rPr>
        <w:t xml:space="preserve"> </w:t>
      </w:r>
      <w:r>
        <w:rPr>
          <w:rFonts w:ascii="宋体" w:eastAsia="宋体" w:hAnsi="宋体" w:cs="宋体"/>
          <w:spacing w:val="-15"/>
          <w:sz w:val="22"/>
          <w:szCs w:val="22"/>
        </w:rPr>
        <w:t>(puerarin</w:t>
      </w:r>
      <w:r>
        <w:rPr>
          <w:rFonts w:ascii="宋体" w:eastAsia="宋体" w:hAnsi="宋体" w:cs="宋体"/>
          <w:spacing w:val="-9"/>
          <w:sz w:val="22"/>
          <w:szCs w:val="22"/>
        </w:rPr>
        <w:t xml:space="preserve"> </w:t>
      </w:r>
      <w:r>
        <w:rPr>
          <w:rFonts w:ascii="宋体" w:eastAsia="宋体" w:hAnsi="宋体" w:cs="宋体"/>
          <w:spacing w:val="-15"/>
          <w:sz w:val="22"/>
          <w:szCs w:val="22"/>
        </w:rPr>
        <w:t>xyloside)、</w:t>
      </w:r>
      <w:r>
        <w:rPr>
          <w:rFonts w:ascii="宋体" w:eastAsia="宋体" w:hAnsi="宋体" w:cs="宋体"/>
          <w:sz w:val="22"/>
          <w:szCs w:val="22"/>
        </w:rPr>
        <w:t xml:space="preserve"> </w:t>
      </w:r>
      <w:r>
        <w:rPr>
          <w:rFonts w:ascii="宋体" w:eastAsia="宋体" w:hAnsi="宋体" w:cs="宋体"/>
          <w:spacing w:val="-17"/>
          <w:sz w:val="22"/>
          <w:szCs w:val="22"/>
        </w:rPr>
        <w:t>大豆素、大豆苷及大豆素-4,7-二葡萄糖苷。</w:t>
      </w:r>
    </w:p>
    <w:p w:rsidR="00EA40A3" w:rsidRDefault="00E86C16">
      <w:pPr>
        <w:spacing w:before="99" w:line="249" w:lineRule="auto"/>
        <w:ind w:right="20" w:firstLine="439"/>
        <w:jc w:val="both"/>
        <w:rPr>
          <w:rFonts w:ascii="宋体" w:eastAsia="宋体" w:hAnsi="宋体" w:cs="宋体"/>
          <w:sz w:val="22"/>
          <w:szCs w:val="22"/>
        </w:rPr>
      </w:pPr>
      <w:r>
        <w:rPr>
          <w:rFonts w:ascii="宋体" w:eastAsia="宋体" w:hAnsi="宋体" w:cs="宋体"/>
          <w:spacing w:val="-10"/>
          <w:sz w:val="22"/>
          <w:szCs w:val="22"/>
        </w:rPr>
        <w:t>(1)异黄酮的生理功能。大量研究表明，异黄酮具有重要的生理功能。异黄</w:t>
      </w:r>
      <w:r>
        <w:rPr>
          <w:rFonts w:ascii="宋体" w:eastAsia="宋体" w:hAnsi="宋体" w:cs="宋体"/>
          <w:spacing w:val="7"/>
          <w:sz w:val="22"/>
          <w:szCs w:val="22"/>
        </w:rPr>
        <w:t xml:space="preserve"> </w:t>
      </w:r>
      <w:r>
        <w:rPr>
          <w:rFonts w:ascii="宋体" w:eastAsia="宋体" w:hAnsi="宋体" w:cs="宋体"/>
          <w:spacing w:val="-11"/>
          <w:sz w:val="22"/>
          <w:szCs w:val="22"/>
        </w:rPr>
        <w:t>酮与动物体内雌激素的结构类似，具有弱雌激素活性。在骨组织的再建过程中，</w:t>
      </w:r>
      <w:r>
        <w:rPr>
          <w:rFonts w:ascii="宋体" w:eastAsia="宋体" w:hAnsi="宋体" w:cs="宋体"/>
          <w:spacing w:val="3"/>
          <w:sz w:val="22"/>
          <w:szCs w:val="22"/>
        </w:rPr>
        <w:t xml:space="preserve"> </w:t>
      </w:r>
      <w:r>
        <w:rPr>
          <w:rFonts w:ascii="宋体" w:eastAsia="宋体" w:hAnsi="宋体" w:cs="宋体"/>
          <w:spacing w:val="-13"/>
          <w:sz w:val="22"/>
          <w:szCs w:val="22"/>
        </w:rPr>
        <w:t>染料木黄酮可刺激成骨细胞合成及分泌胶原蛋白，提高成骨细胞</w:t>
      </w:r>
      <w:r>
        <w:rPr>
          <w:rFonts w:ascii="宋体" w:eastAsia="宋体" w:hAnsi="宋体" w:cs="宋体"/>
          <w:spacing w:val="-14"/>
          <w:sz w:val="22"/>
          <w:szCs w:val="22"/>
        </w:rPr>
        <w:t>内碱性磷酸酶活</w:t>
      </w:r>
      <w:r>
        <w:rPr>
          <w:rFonts w:ascii="宋体" w:eastAsia="宋体" w:hAnsi="宋体" w:cs="宋体"/>
          <w:sz w:val="22"/>
          <w:szCs w:val="22"/>
        </w:rPr>
        <w:t xml:space="preserve"> </w:t>
      </w:r>
      <w:r>
        <w:rPr>
          <w:rFonts w:ascii="宋体" w:eastAsia="宋体" w:hAnsi="宋体" w:cs="宋体"/>
          <w:spacing w:val="-13"/>
          <w:sz w:val="22"/>
          <w:szCs w:val="22"/>
        </w:rPr>
        <w:t>性，促进骨组织的成骨过程，同时通过促进破骨细胞凋亡而抑制破骨细胞增殖并</w:t>
      </w:r>
      <w:r>
        <w:rPr>
          <w:rFonts w:ascii="宋体" w:eastAsia="宋体" w:hAnsi="宋体" w:cs="宋体"/>
          <w:spacing w:val="12"/>
          <w:sz w:val="22"/>
          <w:szCs w:val="22"/>
        </w:rPr>
        <w:t xml:space="preserve"> </w:t>
      </w:r>
      <w:r>
        <w:rPr>
          <w:rFonts w:ascii="宋体" w:eastAsia="宋体" w:hAnsi="宋体" w:cs="宋体"/>
          <w:spacing w:val="-11"/>
          <w:sz w:val="22"/>
          <w:szCs w:val="22"/>
        </w:rPr>
        <w:t>抑制破骨细胞的骨吸收作用。因此异黄酮能改善妇女更年期障碍和骨质疏松症。</w:t>
      </w:r>
      <w:r>
        <w:rPr>
          <w:rFonts w:ascii="宋体" w:eastAsia="宋体" w:hAnsi="宋体" w:cs="宋体"/>
          <w:spacing w:val="3"/>
          <w:sz w:val="22"/>
          <w:szCs w:val="22"/>
        </w:rPr>
        <w:t xml:space="preserve"> </w:t>
      </w:r>
      <w:r>
        <w:rPr>
          <w:rFonts w:ascii="宋体" w:eastAsia="宋体" w:hAnsi="宋体" w:cs="宋体"/>
          <w:spacing w:val="-7"/>
          <w:sz w:val="22"/>
          <w:szCs w:val="22"/>
        </w:rPr>
        <w:t>异黄酮具有较强的抗氧化能力，通过形成稳定的自由基中间体而阻</w:t>
      </w:r>
      <w:r>
        <w:rPr>
          <w:rFonts w:ascii="宋体" w:eastAsia="宋体" w:hAnsi="宋体" w:cs="宋体"/>
          <w:spacing w:val="-8"/>
          <w:sz w:val="22"/>
          <w:szCs w:val="22"/>
        </w:rPr>
        <w:t>断自由基反</w:t>
      </w:r>
      <w:r>
        <w:rPr>
          <w:rFonts w:ascii="宋体" w:eastAsia="宋体" w:hAnsi="宋体" w:cs="宋体"/>
          <w:sz w:val="22"/>
          <w:szCs w:val="22"/>
        </w:rPr>
        <w:t xml:space="preserve"> </w:t>
      </w:r>
      <w:r>
        <w:rPr>
          <w:rFonts w:ascii="宋体" w:eastAsia="宋体" w:hAnsi="宋体" w:cs="宋体"/>
          <w:spacing w:val="-13"/>
          <w:sz w:val="22"/>
          <w:szCs w:val="22"/>
        </w:rPr>
        <w:t>应；体外实验证明大豆异黄酮具有显著的抗血清脂蛋白过氧化作用，效果甚至优</w:t>
      </w:r>
      <w:r>
        <w:rPr>
          <w:rFonts w:ascii="宋体" w:eastAsia="宋体" w:hAnsi="宋体" w:cs="宋体"/>
          <w:spacing w:val="12"/>
          <w:sz w:val="22"/>
          <w:szCs w:val="22"/>
        </w:rPr>
        <w:t xml:space="preserve"> </w:t>
      </w:r>
      <w:r>
        <w:rPr>
          <w:rFonts w:ascii="宋体" w:eastAsia="宋体" w:hAnsi="宋体" w:cs="宋体"/>
          <w:spacing w:val="-12"/>
          <w:sz w:val="22"/>
          <w:szCs w:val="22"/>
        </w:rPr>
        <w:t>于维生素E。</w:t>
      </w:r>
      <w:r>
        <w:rPr>
          <w:rFonts w:ascii="宋体" w:eastAsia="宋体" w:hAnsi="宋体" w:cs="宋体"/>
          <w:spacing w:val="-41"/>
          <w:sz w:val="22"/>
          <w:szCs w:val="22"/>
        </w:rPr>
        <w:t xml:space="preserve"> </w:t>
      </w:r>
      <w:r>
        <w:rPr>
          <w:rFonts w:ascii="宋体" w:eastAsia="宋体" w:hAnsi="宋体" w:cs="宋体"/>
          <w:spacing w:val="-12"/>
          <w:sz w:val="22"/>
          <w:szCs w:val="22"/>
        </w:rPr>
        <w:t>对由阿霉素引起的小鼠过氧化水平提高和抗氧化酶活性的降低也有</w:t>
      </w:r>
      <w:r>
        <w:rPr>
          <w:rFonts w:ascii="宋体" w:eastAsia="宋体" w:hAnsi="宋体" w:cs="宋体"/>
          <w:sz w:val="22"/>
          <w:szCs w:val="22"/>
        </w:rPr>
        <w:t xml:space="preserve"> </w:t>
      </w:r>
      <w:r>
        <w:rPr>
          <w:rFonts w:ascii="宋体" w:eastAsia="宋体" w:hAnsi="宋体" w:cs="宋体"/>
          <w:spacing w:val="-18"/>
          <w:sz w:val="22"/>
          <w:szCs w:val="22"/>
        </w:rPr>
        <w:t>明显的抑制作用。大豆异黄酮还具有抗溶血功能，</w:t>
      </w:r>
      <w:r>
        <w:rPr>
          <w:rFonts w:ascii="宋体" w:eastAsia="宋体" w:hAnsi="宋体" w:cs="宋体"/>
          <w:spacing w:val="60"/>
          <w:sz w:val="22"/>
          <w:szCs w:val="22"/>
        </w:rPr>
        <w:t xml:space="preserve"> </w:t>
      </w:r>
      <w:r>
        <w:rPr>
          <w:rFonts w:ascii="宋体" w:eastAsia="宋体" w:hAnsi="宋体" w:cs="宋体"/>
          <w:spacing w:val="-18"/>
          <w:sz w:val="22"/>
          <w:szCs w:val="22"/>
        </w:rPr>
        <w:t>一方面起抗氧化剂作用，另一</w:t>
      </w:r>
      <w:r>
        <w:rPr>
          <w:rFonts w:ascii="宋体" w:eastAsia="宋体" w:hAnsi="宋体" w:cs="宋体"/>
          <w:sz w:val="22"/>
          <w:szCs w:val="22"/>
        </w:rPr>
        <w:t xml:space="preserve"> </w:t>
      </w:r>
      <w:r>
        <w:rPr>
          <w:rFonts w:ascii="宋体" w:eastAsia="宋体" w:hAnsi="宋体" w:cs="宋体"/>
          <w:spacing w:val="-13"/>
          <w:sz w:val="22"/>
          <w:szCs w:val="22"/>
        </w:rPr>
        <w:t>方面以其特殊的化学结构与细胞膜上的磷酸酯及蛋白质相互作用，增强其物理化</w:t>
      </w:r>
    </w:p>
    <w:p w:rsidR="00EA40A3" w:rsidRDefault="00E86C16">
      <w:pPr>
        <w:spacing w:before="104"/>
        <w:ind w:left="139"/>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156</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990" w:bottom="400" w:left="890"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71" w:line="219" w:lineRule="auto"/>
        <w:rPr>
          <w:rFonts w:ascii="宋体" w:eastAsia="宋体" w:hAnsi="宋体" w:cs="宋体"/>
          <w:sz w:val="22"/>
          <w:szCs w:val="22"/>
        </w:rPr>
      </w:pPr>
      <w:bookmarkStart w:id="32" w:name="_bookmark36"/>
      <w:bookmarkEnd w:id="32"/>
      <w:r>
        <w:rPr>
          <w:rFonts w:ascii="宋体" w:eastAsia="宋体" w:hAnsi="宋体" w:cs="宋体"/>
          <w:spacing w:val="-14"/>
          <w:sz w:val="22"/>
          <w:szCs w:val="22"/>
        </w:rPr>
        <w:t>学稳定性，并降低膜的渗透性而起抗溶血作用。</w:t>
      </w:r>
    </w:p>
    <w:p w:rsidR="00EA40A3" w:rsidRDefault="00E86C16">
      <w:pPr>
        <w:spacing w:before="26" w:line="244" w:lineRule="auto"/>
        <w:ind w:firstLine="439"/>
        <w:jc w:val="both"/>
        <w:rPr>
          <w:rFonts w:ascii="宋体" w:eastAsia="宋体" w:hAnsi="宋体" w:cs="宋体"/>
          <w:sz w:val="22"/>
          <w:szCs w:val="22"/>
        </w:rPr>
      </w:pPr>
      <w:r>
        <w:rPr>
          <w:rFonts w:ascii="宋体" w:eastAsia="宋体" w:hAnsi="宋体" w:cs="宋体"/>
          <w:spacing w:val="-13"/>
          <w:sz w:val="22"/>
          <w:szCs w:val="22"/>
        </w:rPr>
        <w:t>异黄酮具有很好的抗癌作用，其中具有生理活性的主要是染料木苷、</w:t>
      </w:r>
      <w:r>
        <w:rPr>
          <w:rFonts w:ascii="宋体" w:eastAsia="宋体" w:hAnsi="宋体" w:cs="宋体"/>
          <w:spacing w:val="-14"/>
          <w:sz w:val="22"/>
          <w:szCs w:val="22"/>
        </w:rPr>
        <w:t>乙酰染</w:t>
      </w:r>
      <w:r>
        <w:rPr>
          <w:rFonts w:ascii="宋体" w:eastAsia="宋体" w:hAnsi="宋体" w:cs="宋体"/>
          <w:sz w:val="22"/>
          <w:szCs w:val="22"/>
        </w:rPr>
        <w:t xml:space="preserve"> </w:t>
      </w:r>
      <w:r>
        <w:rPr>
          <w:rFonts w:ascii="宋体" w:eastAsia="宋体" w:hAnsi="宋体" w:cs="宋体"/>
          <w:spacing w:val="-10"/>
          <w:sz w:val="22"/>
          <w:szCs w:val="22"/>
        </w:rPr>
        <w:t>料木苷、丙二酰染料木苷等，可通过抑制许多种酶的活性和控制细胞生长因子</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影响信号的传递，从而抑制癌细胞的生长。对与性激素有关的癌症如乳腺癌、子</w:t>
      </w:r>
      <w:r>
        <w:rPr>
          <w:rFonts w:ascii="宋体" w:eastAsia="宋体" w:hAnsi="宋体" w:cs="宋体"/>
          <w:spacing w:val="1"/>
          <w:sz w:val="22"/>
          <w:szCs w:val="22"/>
        </w:rPr>
        <w:t xml:space="preserve">  </w:t>
      </w:r>
      <w:r>
        <w:rPr>
          <w:rFonts w:ascii="宋体" w:eastAsia="宋体" w:hAnsi="宋体" w:cs="宋体"/>
          <w:spacing w:val="-14"/>
          <w:sz w:val="22"/>
          <w:szCs w:val="22"/>
        </w:rPr>
        <w:t>宫癌、前列腺癌等有一定的预防和治疗作用。</w:t>
      </w:r>
    </w:p>
    <w:p w:rsidR="00EA40A3" w:rsidRDefault="00E86C16">
      <w:pPr>
        <w:spacing w:before="56" w:line="246" w:lineRule="auto"/>
        <w:ind w:right="81" w:firstLine="439"/>
        <w:jc w:val="both"/>
        <w:rPr>
          <w:rFonts w:ascii="宋体" w:eastAsia="宋体" w:hAnsi="宋体" w:cs="宋体"/>
          <w:sz w:val="22"/>
          <w:szCs w:val="22"/>
        </w:rPr>
      </w:pPr>
      <w:r>
        <w:rPr>
          <w:rFonts w:ascii="宋体" w:eastAsia="宋体" w:hAnsi="宋体" w:cs="宋体"/>
          <w:spacing w:val="-13"/>
          <w:sz w:val="22"/>
          <w:szCs w:val="22"/>
        </w:rPr>
        <w:t>异黄酮还有括冠、增加冠状动脉血流量及降低心肌耗氧量等作用，</w:t>
      </w:r>
      <w:r>
        <w:rPr>
          <w:rFonts w:ascii="宋体" w:eastAsia="宋体" w:hAnsi="宋体" w:cs="宋体"/>
          <w:spacing w:val="-14"/>
          <w:sz w:val="22"/>
          <w:szCs w:val="22"/>
        </w:rPr>
        <w:t>可防心脏</w:t>
      </w:r>
      <w:r>
        <w:rPr>
          <w:rFonts w:ascii="宋体" w:eastAsia="宋体" w:hAnsi="宋体" w:cs="宋体"/>
          <w:sz w:val="22"/>
          <w:szCs w:val="22"/>
        </w:rPr>
        <w:t xml:space="preserve"> </w:t>
      </w:r>
      <w:r>
        <w:rPr>
          <w:rFonts w:ascii="宋体" w:eastAsia="宋体" w:hAnsi="宋体" w:cs="宋体"/>
          <w:spacing w:val="-13"/>
          <w:sz w:val="22"/>
          <w:szCs w:val="22"/>
        </w:rPr>
        <w:t>病。异黄酮可降低体内胆固醇和脂肪量，防止高血压及高血脂，可预防心血管疾</w:t>
      </w:r>
      <w:r>
        <w:rPr>
          <w:rFonts w:ascii="宋体" w:eastAsia="宋体" w:hAnsi="宋体" w:cs="宋体"/>
          <w:spacing w:val="2"/>
          <w:sz w:val="22"/>
          <w:szCs w:val="22"/>
        </w:rPr>
        <w:t xml:space="preserve"> </w:t>
      </w:r>
      <w:r>
        <w:rPr>
          <w:rFonts w:ascii="宋体" w:eastAsia="宋体" w:hAnsi="宋体" w:cs="宋体"/>
          <w:spacing w:val="-13"/>
          <w:sz w:val="22"/>
          <w:szCs w:val="22"/>
        </w:rPr>
        <w:t>病。大豆素和大豆苷均能缓解高血压患者的头痛症状。此外，异黄酮还可预防疟</w:t>
      </w:r>
      <w:r>
        <w:rPr>
          <w:rFonts w:ascii="宋体" w:eastAsia="宋体" w:hAnsi="宋体" w:cs="宋体"/>
          <w:spacing w:val="3"/>
          <w:sz w:val="22"/>
          <w:szCs w:val="22"/>
        </w:rPr>
        <w:t xml:space="preserve"> </w:t>
      </w:r>
      <w:r>
        <w:rPr>
          <w:rFonts w:ascii="宋体" w:eastAsia="宋体" w:hAnsi="宋体" w:cs="宋体"/>
          <w:spacing w:val="-13"/>
          <w:sz w:val="22"/>
          <w:szCs w:val="22"/>
        </w:rPr>
        <w:t>疾、囊性纤维化，抑制真菌和醇中毒等多种疾病，其中大豆素具有类似罂粟碱的</w:t>
      </w:r>
      <w:r>
        <w:rPr>
          <w:rFonts w:ascii="宋体" w:eastAsia="宋体" w:hAnsi="宋体" w:cs="宋体"/>
          <w:spacing w:val="10"/>
          <w:sz w:val="22"/>
          <w:szCs w:val="22"/>
        </w:rPr>
        <w:t xml:space="preserve"> </w:t>
      </w:r>
      <w:r>
        <w:rPr>
          <w:rFonts w:ascii="宋体" w:eastAsia="宋体" w:hAnsi="宋体" w:cs="宋体"/>
          <w:spacing w:val="-15"/>
          <w:sz w:val="22"/>
          <w:szCs w:val="22"/>
        </w:rPr>
        <w:t>解痉作用。</w:t>
      </w:r>
    </w:p>
    <w:p w:rsidR="00EA40A3" w:rsidRDefault="00E86C16">
      <w:pPr>
        <w:spacing w:before="66" w:line="241" w:lineRule="auto"/>
        <w:ind w:right="95" w:firstLine="439"/>
        <w:jc w:val="both"/>
        <w:rPr>
          <w:rFonts w:ascii="宋体" w:eastAsia="宋体" w:hAnsi="宋体" w:cs="宋体"/>
          <w:sz w:val="22"/>
          <w:szCs w:val="22"/>
        </w:rPr>
      </w:pPr>
      <w:r>
        <w:rPr>
          <w:rFonts w:ascii="宋体" w:eastAsia="宋体" w:hAnsi="宋体" w:cs="宋体"/>
          <w:sz w:val="22"/>
          <w:szCs w:val="22"/>
        </w:rPr>
        <w:t>异黄酮配基形式(游离型)的活性比配糖体形式</w:t>
      </w:r>
      <w:r>
        <w:rPr>
          <w:rFonts w:ascii="宋体" w:eastAsia="宋体" w:hAnsi="宋体" w:cs="宋体"/>
          <w:spacing w:val="-1"/>
          <w:sz w:val="22"/>
          <w:szCs w:val="22"/>
        </w:rPr>
        <w:t>(糖苷型)的活性高，包括</w:t>
      </w:r>
      <w:r>
        <w:rPr>
          <w:rFonts w:ascii="宋体" w:eastAsia="宋体" w:hAnsi="宋体" w:cs="宋体"/>
          <w:sz w:val="22"/>
          <w:szCs w:val="22"/>
        </w:rPr>
        <w:t xml:space="preserve"> </w:t>
      </w:r>
      <w:r>
        <w:rPr>
          <w:rFonts w:ascii="宋体" w:eastAsia="宋体" w:hAnsi="宋体" w:cs="宋体"/>
          <w:spacing w:val="-7"/>
          <w:sz w:val="22"/>
          <w:szCs w:val="22"/>
        </w:rPr>
        <w:t>抗菌活性、抗氧化活性、抗溶血活性、雌激素活性、抗血管收缩活性及抗癌作</w:t>
      </w:r>
      <w:r>
        <w:rPr>
          <w:rFonts w:ascii="宋体" w:eastAsia="宋体" w:hAnsi="宋体" w:cs="宋体"/>
          <w:spacing w:val="11"/>
          <w:sz w:val="22"/>
          <w:szCs w:val="22"/>
        </w:rPr>
        <w:t xml:space="preserve"> </w:t>
      </w:r>
      <w:r>
        <w:rPr>
          <w:rFonts w:ascii="宋体" w:eastAsia="宋体" w:hAnsi="宋体" w:cs="宋体"/>
          <w:spacing w:val="-16"/>
          <w:sz w:val="22"/>
          <w:szCs w:val="22"/>
        </w:rPr>
        <w:t>用等。</w:t>
      </w:r>
    </w:p>
    <w:p w:rsidR="00EA40A3" w:rsidRDefault="00E86C16">
      <w:pPr>
        <w:spacing w:before="57" w:line="244" w:lineRule="auto"/>
        <w:ind w:right="79" w:firstLine="439"/>
        <w:jc w:val="both"/>
        <w:rPr>
          <w:rFonts w:ascii="宋体" w:eastAsia="宋体" w:hAnsi="宋体" w:cs="宋体"/>
          <w:sz w:val="22"/>
          <w:szCs w:val="22"/>
        </w:rPr>
      </w:pPr>
      <w:r>
        <w:rPr>
          <w:rFonts w:ascii="宋体" w:eastAsia="宋体" w:hAnsi="宋体" w:cs="宋体"/>
          <w:spacing w:val="-13"/>
          <w:sz w:val="22"/>
          <w:szCs w:val="22"/>
        </w:rPr>
        <w:t>异黄酮具有广泛的生理活性，已用于降血脂、预防骨质疏松、增强免疫功</w:t>
      </w:r>
      <w:r>
        <w:rPr>
          <w:rFonts w:ascii="宋体" w:eastAsia="宋体" w:hAnsi="宋体" w:cs="宋体"/>
          <w:spacing w:val="-14"/>
          <w:sz w:val="22"/>
          <w:szCs w:val="22"/>
        </w:rPr>
        <w:t>能</w:t>
      </w:r>
      <w:r>
        <w:rPr>
          <w:rFonts w:ascii="宋体" w:eastAsia="宋体" w:hAnsi="宋体" w:cs="宋体"/>
          <w:sz w:val="22"/>
          <w:szCs w:val="22"/>
        </w:rPr>
        <w:t xml:space="preserve"> </w:t>
      </w:r>
      <w:r>
        <w:rPr>
          <w:rFonts w:ascii="宋体" w:eastAsia="宋体" w:hAnsi="宋体" w:cs="宋体"/>
          <w:spacing w:val="-5"/>
          <w:sz w:val="22"/>
          <w:szCs w:val="22"/>
        </w:rPr>
        <w:t>等保健食品中。已开发的保健食品有日本的大豆胚芽茶和PIC-BIO</w:t>
      </w:r>
      <w:r>
        <w:rPr>
          <w:rFonts w:ascii="宋体" w:eastAsia="宋体" w:hAnsi="宋体" w:cs="宋体"/>
          <w:spacing w:val="-42"/>
          <w:sz w:val="22"/>
          <w:szCs w:val="22"/>
        </w:rPr>
        <w:t xml:space="preserve"> </w:t>
      </w:r>
      <w:r>
        <w:rPr>
          <w:rFonts w:ascii="宋体" w:eastAsia="宋体" w:hAnsi="宋体" w:cs="宋体"/>
          <w:spacing w:val="-5"/>
          <w:sz w:val="22"/>
          <w:szCs w:val="22"/>
        </w:rPr>
        <w:t>公司展出的</w:t>
      </w:r>
      <w:r>
        <w:rPr>
          <w:rFonts w:ascii="宋体" w:eastAsia="宋体" w:hAnsi="宋体" w:cs="宋体"/>
          <w:sz w:val="22"/>
          <w:szCs w:val="22"/>
        </w:rPr>
        <w:t xml:space="preserve"> </w:t>
      </w:r>
      <w:r>
        <w:rPr>
          <w:rFonts w:ascii="宋体" w:eastAsia="宋体" w:hAnsi="宋体" w:cs="宋体"/>
          <w:spacing w:val="-9"/>
          <w:sz w:val="22"/>
          <w:szCs w:val="22"/>
        </w:rPr>
        <w:t>Vitalin</w:t>
      </w:r>
      <w:r>
        <w:rPr>
          <w:rFonts w:ascii="宋体" w:eastAsia="宋体" w:hAnsi="宋体" w:cs="宋体"/>
          <w:spacing w:val="4"/>
          <w:sz w:val="22"/>
          <w:szCs w:val="22"/>
        </w:rPr>
        <w:t xml:space="preserve"> </w:t>
      </w:r>
      <w:r>
        <w:rPr>
          <w:rFonts w:ascii="宋体" w:eastAsia="宋体" w:hAnsi="宋体" w:cs="宋体"/>
          <w:spacing w:val="-9"/>
          <w:sz w:val="22"/>
          <w:szCs w:val="22"/>
        </w:rPr>
        <w:t>Z大豆异黄酮、中国的天雌素、德国的异黄酮复合含片、美国的异黄酮</w:t>
      </w:r>
      <w:r>
        <w:rPr>
          <w:rFonts w:ascii="宋体" w:eastAsia="宋体" w:hAnsi="宋体" w:cs="宋体"/>
          <w:sz w:val="22"/>
          <w:szCs w:val="22"/>
        </w:rPr>
        <w:t xml:space="preserve"> </w:t>
      </w:r>
      <w:r>
        <w:rPr>
          <w:rFonts w:ascii="宋体" w:eastAsia="宋体" w:hAnsi="宋体" w:cs="宋体"/>
          <w:spacing w:val="-9"/>
          <w:sz w:val="22"/>
          <w:szCs w:val="22"/>
        </w:rPr>
        <w:t>强化补液及CARGILL</w:t>
      </w:r>
      <w:r>
        <w:rPr>
          <w:rFonts w:ascii="宋体" w:eastAsia="宋体" w:hAnsi="宋体" w:cs="宋体"/>
          <w:spacing w:val="12"/>
          <w:sz w:val="22"/>
          <w:szCs w:val="22"/>
        </w:rPr>
        <w:t xml:space="preserve">  </w:t>
      </w:r>
      <w:r>
        <w:rPr>
          <w:rFonts w:ascii="宋体" w:eastAsia="宋体" w:hAnsi="宋体" w:cs="宋体"/>
          <w:spacing w:val="-9"/>
          <w:sz w:val="22"/>
          <w:szCs w:val="22"/>
        </w:rPr>
        <w:t>推出的大豆异黄酮饮料和口嚼片等。</w:t>
      </w:r>
    </w:p>
    <w:p w:rsidR="00EA40A3" w:rsidRDefault="00E86C16">
      <w:pPr>
        <w:spacing w:before="56" w:line="250" w:lineRule="auto"/>
        <w:ind w:right="81" w:firstLine="439"/>
        <w:jc w:val="both"/>
        <w:rPr>
          <w:rFonts w:ascii="宋体" w:eastAsia="宋体" w:hAnsi="宋体" w:cs="宋体"/>
          <w:sz w:val="22"/>
          <w:szCs w:val="22"/>
        </w:rPr>
      </w:pPr>
      <w:r>
        <w:rPr>
          <w:rFonts w:ascii="宋体" w:eastAsia="宋体" w:hAnsi="宋体" w:cs="宋体"/>
          <w:spacing w:val="-10"/>
          <w:sz w:val="22"/>
          <w:szCs w:val="22"/>
        </w:rPr>
        <w:t>(2)异黄酮的体内吸收与利用。从膳食中摄取的大豆异黄酮多以糖苷的形式</w:t>
      </w:r>
      <w:r>
        <w:rPr>
          <w:rFonts w:ascii="宋体" w:eastAsia="宋体" w:hAnsi="宋体" w:cs="宋体"/>
          <w:spacing w:val="17"/>
          <w:sz w:val="22"/>
          <w:szCs w:val="22"/>
        </w:rPr>
        <w:t xml:space="preserve"> </w:t>
      </w:r>
      <w:r>
        <w:rPr>
          <w:rFonts w:ascii="宋体" w:eastAsia="宋体" w:hAnsi="宋体" w:cs="宋体"/>
          <w:spacing w:val="-13"/>
          <w:sz w:val="22"/>
          <w:szCs w:val="22"/>
        </w:rPr>
        <w:t>存在，进入肠道后可部分被肠道及微生物水解释放出糖和配基，在肠道被直接吸</w:t>
      </w:r>
      <w:r>
        <w:rPr>
          <w:rFonts w:ascii="宋体" w:eastAsia="宋体" w:hAnsi="宋体" w:cs="宋体"/>
          <w:spacing w:val="2"/>
          <w:sz w:val="22"/>
          <w:szCs w:val="22"/>
        </w:rPr>
        <w:t xml:space="preserve"> </w:t>
      </w:r>
      <w:r>
        <w:rPr>
          <w:rFonts w:ascii="宋体" w:eastAsia="宋体" w:hAnsi="宋体" w:cs="宋体"/>
          <w:spacing w:val="-13"/>
          <w:sz w:val="22"/>
          <w:szCs w:val="22"/>
        </w:rPr>
        <w:t>收或转化为雌马酚等代谢物进入血液。这些分解产物一部分通过微绒毛外膜进入</w:t>
      </w:r>
      <w:r>
        <w:rPr>
          <w:rFonts w:ascii="宋体" w:eastAsia="宋体" w:hAnsi="宋体" w:cs="宋体"/>
          <w:spacing w:val="2"/>
          <w:sz w:val="22"/>
          <w:szCs w:val="22"/>
        </w:rPr>
        <w:t xml:space="preserve"> </w:t>
      </w:r>
      <w:r>
        <w:rPr>
          <w:rFonts w:ascii="宋体" w:eastAsia="宋体" w:hAnsi="宋体" w:cs="宋体"/>
          <w:spacing w:val="-13"/>
          <w:sz w:val="22"/>
          <w:szCs w:val="22"/>
        </w:rPr>
        <w:t>肠壁组织，另一部分则和尚未被分解的异黄酮糖苷一起随粪便排出。异黄酮吸收</w:t>
      </w:r>
      <w:r>
        <w:rPr>
          <w:rFonts w:ascii="宋体" w:eastAsia="宋体" w:hAnsi="宋体" w:cs="宋体"/>
          <w:spacing w:val="1"/>
          <w:sz w:val="22"/>
          <w:szCs w:val="22"/>
        </w:rPr>
        <w:t xml:space="preserve"> </w:t>
      </w:r>
      <w:r>
        <w:rPr>
          <w:rFonts w:ascii="宋体" w:eastAsia="宋体" w:hAnsi="宋体" w:cs="宋体"/>
          <w:spacing w:val="3"/>
          <w:sz w:val="22"/>
          <w:szCs w:val="22"/>
        </w:rPr>
        <w:t>率约30%～50%,其中发酵大豆制品中以苷元形式存在的异</w:t>
      </w:r>
      <w:r>
        <w:rPr>
          <w:rFonts w:ascii="宋体" w:eastAsia="宋体" w:hAnsi="宋体" w:cs="宋体"/>
          <w:spacing w:val="2"/>
          <w:sz w:val="22"/>
          <w:szCs w:val="22"/>
        </w:rPr>
        <w:t>黄酮要比以糖苷形</w:t>
      </w:r>
      <w:r>
        <w:rPr>
          <w:rFonts w:ascii="宋体" w:eastAsia="宋体" w:hAnsi="宋体" w:cs="宋体"/>
          <w:sz w:val="22"/>
          <w:szCs w:val="22"/>
        </w:rPr>
        <w:t xml:space="preserve"> </w:t>
      </w:r>
      <w:r>
        <w:rPr>
          <w:rFonts w:ascii="宋体" w:eastAsia="宋体" w:hAnsi="宋体" w:cs="宋体"/>
          <w:spacing w:val="-13"/>
          <w:sz w:val="22"/>
          <w:szCs w:val="22"/>
        </w:rPr>
        <w:t>式存在的异黄酮吸收率高。进入肠组织的异黄酮组分，有的通过扩散直接进入血</w:t>
      </w:r>
      <w:r>
        <w:rPr>
          <w:rFonts w:ascii="宋体" w:eastAsia="宋体" w:hAnsi="宋体" w:cs="宋体"/>
          <w:spacing w:val="2"/>
          <w:sz w:val="22"/>
          <w:szCs w:val="22"/>
        </w:rPr>
        <w:t xml:space="preserve"> </w:t>
      </w:r>
      <w:r>
        <w:rPr>
          <w:rFonts w:ascii="宋体" w:eastAsia="宋体" w:hAnsi="宋体" w:cs="宋体"/>
          <w:sz w:val="22"/>
          <w:szCs w:val="22"/>
        </w:rPr>
        <w:t>液循环，有的(主要是苷元)则在葡萄糖醛酸转移酶</w:t>
      </w:r>
      <w:r>
        <w:rPr>
          <w:rFonts w:ascii="宋体" w:eastAsia="宋体" w:hAnsi="宋体" w:cs="宋体"/>
          <w:spacing w:val="-1"/>
          <w:sz w:val="22"/>
          <w:szCs w:val="22"/>
        </w:rPr>
        <w:t>作用下与葡萄糖醛酸结合</w:t>
      </w:r>
      <w:r>
        <w:rPr>
          <w:rFonts w:ascii="宋体" w:eastAsia="宋体" w:hAnsi="宋体" w:cs="宋体"/>
          <w:sz w:val="22"/>
          <w:szCs w:val="22"/>
        </w:rPr>
        <w:t xml:space="preserve"> </w:t>
      </w:r>
      <w:r>
        <w:rPr>
          <w:rFonts w:ascii="宋体" w:eastAsia="宋体" w:hAnsi="宋体" w:cs="宋体"/>
          <w:spacing w:val="-13"/>
          <w:sz w:val="22"/>
          <w:szCs w:val="22"/>
        </w:rPr>
        <w:t>后，部分进入血液循环被利用，另一部分通过微绒毛外膜返回肠腔排出。不同的</w:t>
      </w:r>
      <w:r>
        <w:rPr>
          <w:rFonts w:ascii="宋体" w:eastAsia="宋体" w:hAnsi="宋体" w:cs="宋体"/>
          <w:spacing w:val="10"/>
          <w:sz w:val="22"/>
          <w:szCs w:val="22"/>
        </w:rPr>
        <w:t xml:space="preserve"> </w:t>
      </w:r>
      <w:r>
        <w:rPr>
          <w:rFonts w:ascii="宋体" w:eastAsia="宋体" w:hAnsi="宋体" w:cs="宋体"/>
          <w:spacing w:val="-13"/>
          <w:sz w:val="22"/>
          <w:szCs w:val="22"/>
        </w:rPr>
        <w:t>异黄酮在人体内的代谢速度不同，不同性别、不同年龄和体重的人对异黄酮的代</w:t>
      </w:r>
      <w:r>
        <w:rPr>
          <w:rFonts w:ascii="宋体" w:eastAsia="宋体" w:hAnsi="宋体" w:cs="宋体"/>
          <w:spacing w:val="4"/>
          <w:sz w:val="22"/>
          <w:szCs w:val="22"/>
        </w:rPr>
        <w:t xml:space="preserve"> </w:t>
      </w:r>
      <w:r>
        <w:rPr>
          <w:rFonts w:ascii="宋体" w:eastAsia="宋体" w:hAnsi="宋体" w:cs="宋体"/>
          <w:spacing w:val="-13"/>
          <w:sz w:val="22"/>
          <w:szCs w:val="22"/>
        </w:rPr>
        <w:t>谢功能也存在明显差异。植物油可提高其生物利用度，而谷物纤维则降低其生物</w:t>
      </w:r>
      <w:r>
        <w:rPr>
          <w:rFonts w:ascii="宋体" w:eastAsia="宋体" w:hAnsi="宋体" w:cs="宋体"/>
          <w:spacing w:val="4"/>
          <w:sz w:val="22"/>
          <w:szCs w:val="22"/>
        </w:rPr>
        <w:t xml:space="preserve"> </w:t>
      </w:r>
      <w:r>
        <w:rPr>
          <w:rFonts w:ascii="宋体" w:eastAsia="宋体" w:hAnsi="宋体" w:cs="宋体"/>
          <w:spacing w:val="-4"/>
          <w:sz w:val="22"/>
          <w:szCs w:val="22"/>
        </w:rPr>
        <w:t>利用度。大豆异黄酮经动物体代谢后，主要</w:t>
      </w:r>
      <w:r>
        <w:rPr>
          <w:rFonts w:ascii="宋体" w:eastAsia="宋体" w:hAnsi="宋体" w:cs="宋体"/>
          <w:spacing w:val="-5"/>
          <w:sz w:val="22"/>
          <w:szCs w:val="22"/>
        </w:rPr>
        <w:t>以染料木黄酮</w:t>
      </w:r>
      <w:r>
        <w:rPr>
          <w:rFonts w:ascii="宋体" w:eastAsia="宋体" w:hAnsi="宋体" w:cs="宋体"/>
          <w:spacing w:val="-21"/>
          <w:sz w:val="22"/>
          <w:szCs w:val="22"/>
        </w:rPr>
        <w:t xml:space="preserve"> </w:t>
      </w:r>
      <w:r>
        <w:rPr>
          <w:rFonts w:ascii="宋体" w:eastAsia="宋体" w:hAnsi="宋体" w:cs="宋体"/>
          <w:spacing w:val="-5"/>
          <w:sz w:val="22"/>
          <w:szCs w:val="22"/>
        </w:rPr>
        <w:t>(</w:t>
      </w:r>
      <w:r>
        <w:rPr>
          <w:rFonts w:ascii="宋体" w:eastAsia="宋体" w:hAnsi="宋体" w:cs="宋体"/>
          <w:spacing w:val="-4"/>
          <w:sz w:val="22"/>
          <w:szCs w:val="22"/>
        </w:rPr>
        <w:t>Gen</w:t>
      </w:r>
      <w:r>
        <w:rPr>
          <w:rFonts w:ascii="宋体" w:eastAsia="宋体" w:hAnsi="宋体" w:cs="宋体"/>
          <w:spacing w:val="-5"/>
          <w:sz w:val="22"/>
          <w:szCs w:val="22"/>
        </w:rPr>
        <w:t>)、</w:t>
      </w:r>
      <w:r>
        <w:rPr>
          <w:rFonts w:ascii="宋体" w:eastAsia="宋体" w:hAnsi="宋体" w:cs="宋体"/>
          <w:spacing w:val="55"/>
          <w:sz w:val="22"/>
          <w:szCs w:val="22"/>
        </w:rPr>
        <w:t xml:space="preserve"> </w:t>
      </w:r>
      <w:r>
        <w:rPr>
          <w:rFonts w:ascii="宋体" w:eastAsia="宋体" w:hAnsi="宋体" w:cs="宋体"/>
          <w:spacing w:val="-5"/>
          <w:sz w:val="22"/>
          <w:szCs w:val="22"/>
        </w:rPr>
        <w:t>黄豆苷元</w:t>
      </w:r>
      <w:r>
        <w:rPr>
          <w:rFonts w:ascii="宋体" w:eastAsia="宋体" w:hAnsi="宋体" w:cs="宋体"/>
          <w:sz w:val="22"/>
          <w:szCs w:val="22"/>
        </w:rPr>
        <w:t xml:space="preserve"> </w:t>
      </w:r>
      <w:r>
        <w:rPr>
          <w:rFonts w:ascii="宋体" w:eastAsia="宋体" w:hAnsi="宋体" w:cs="宋体"/>
          <w:spacing w:val="-1"/>
          <w:sz w:val="22"/>
          <w:szCs w:val="22"/>
        </w:rPr>
        <w:t>(Den)</w:t>
      </w:r>
      <w:r>
        <w:rPr>
          <w:rFonts w:ascii="宋体" w:eastAsia="宋体" w:hAnsi="宋体" w:cs="宋体"/>
          <w:spacing w:val="29"/>
          <w:sz w:val="22"/>
          <w:szCs w:val="22"/>
        </w:rPr>
        <w:t xml:space="preserve"> </w:t>
      </w:r>
      <w:r>
        <w:rPr>
          <w:rFonts w:ascii="宋体" w:eastAsia="宋体" w:hAnsi="宋体" w:cs="宋体"/>
          <w:spacing w:val="-1"/>
          <w:sz w:val="22"/>
          <w:szCs w:val="22"/>
        </w:rPr>
        <w:t>及它们的葡萄糖醛酸结合物形式存在。据分析，葡萄糖醛酸是Gen</w:t>
      </w:r>
      <w:r>
        <w:rPr>
          <w:rFonts w:ascii="宋体" w:eastAsia="宋体" w:hAnsi="宋体" w:cs="宋体"/>
          <w:spacing w:val="-4"/>
          <w:sz w:val="22"/>
          <w:szCs w:val="22"/>
        </w:rPr>
        <w:t xml:space="preserve"> </w:t>
      </w:r>
      <w:r>
        <w:rPr>
          <w:rFonts w:ascii="宋体" w:eastAsia="宋体" w:hAnsi="宋体" w:cs="宋体"/>
          <w:spacing w:val="-1"/>
          <w:sz w:val="22"/>
          <w:szCs w:val="22"/>
        </w:rPr>
        <w:t>和</w:t>
      </w:r>
      <w:r>
        <w:rPr>
          <w:rFonts w:ascii="宋体" w:eastAsia="宋体" w:hAnsi="宋体" w:cs="宋体"/>
          <w:sz w:val="22"/>
          <w:szCs w:val="22"/>
        </w:rPr>
        <w:t xml:space="preserve"> </w:t>
      </w:r>
      <w:r>
        <w:rPr>
          <w:rFonts w:ascii="宋体" w:eastAsia="宋体" w:hAnsi="宋体" w:cs="宋体"/>
          <w:spacing w:val="-3"/>
          <w:sz w:val="22"/>
          <w:szCs w:val="22"/>
        </w:rPr>
        <w:t>Den</w:t>
      </w:r>
      <w:r>
        <w:rPr>
          <w:rFonts w:ascii="宋体" w:eastAsia="宋体" w:hAnsi="宋体" w:cs="宋体"/>
          <w:spacing w:val="-46"/>
          <w:sz w:val="22"/>
          <w:szCs w:val="22"/>
        </w:rPr>
        <w:t xml:space="preserve"> </w:t>
      </w:r>
      <w:r>
        <w:rPr>
          <w:rFonts w:ascii="宋体" w:eastAsia="宋体" w:hAnsi="宋体" w:cs="宋体"/>
          <w:spacing w:val="-3"/>
          <w:sz w:val="22"/>
          <w:szCs w:val="22"/>
        </w:rPr>
        <w:t>在体内传递的载体，真正在体内被吸收而产生生理活性的是游</w:t>
      </w:r>
      <w:r>
        <w:rPr>
          <w:rFonts w:ascii="宋体" w:eastAsia="宋体" w:hAnsi="宋体" w:cs="宋体"/>
          <w:spacing w:val="-4"/>
          <w:sz w:val="22"/>
          <w:szCs w:val="22"/>
        </w:rPr>
        <w:t>离苷元</w:t>
      </w:r>
      <w:r>
        <w:rPr>
          <w:rFonts w:ascii="宋体" w:eastAsia="宋体" w:hAnsi="宋体" w:cs="宋体"/>
          <w:spacing w:val="-3"/>
          <w:sz w:val="22"/>
          <w:szCs w:val="22"/>
        </w:rPr>
        <w:t>Gen</w:t>
      </w:r>
      <w:r>
        <w:rPr>
          <w:rFonts w:ascii="宋体" w:eastAsia="宋体" w:hAnsi="宋体" w:cs="宋体"/>
          <w:sz w:val="22"/>
          <w:szCs w:val="22"/>
        </w:rPr>
        <w:t xml:space="preserve"> </w:t>
      </w:r>
      <w:r>
        <w:rPr>
          <w:rFonts w:ascii="宋体" w:eastAsia="宋体" w:hAnsi="宋体" w:cs="宋体"/>
          <w:spacing w:val="-3"/>
          <w:sz w:val="22"/>
          <w:szCs w:val="22"/>
        </w:rPr>
        <w:t>和Den。</w:t>
      </w:r>
    </w:p>
    <w:p w:rsidR="00EA40A3" w:rsidRDefault="00E86C16">
      <w:pPr>
        <w:spacing w:before="121" w:line="243" w:lineRule="auto"/>
        <w:ind w:right="79" w:firstLine="439"/>
        <w:jc w:val="both"/>
        <w:rPr>
          <w:rFonts w:ascii="宋体" w:eastAsia="宋体" w:hAnsi="宋体" w:cs="宋体"/>
          <w:sz w:val="22"/>
          <w:szCs w:val="22"/>
        </w:rPr>
      </w:pPr>
      <w:r>
        <w:rPr>
          <w:rFonts w:ascii="宋体" w:eastAsia="宋体" w:hAnsi="宋体" w:cs="宋体"/>
          <w:spacing w:val="-9"/>
          <w:sz w:val="22"/>
          <w:szCs w:val="22"/>
        </w:rPr>
        <w:t>(3)异黄酮的食物来源。异黄酮类化合物在</w:t>
      </w:r>
      <w:r>
        <w:rPr>
          <w:rFonts w:ascii="宋体" w:eastAsia="宋体" w:hAnsi="宋体" w:cs="宋体"/>
          <w:spacing w:val="-10"/>
          <w:sz w:val="22"/>
          <w:szCs w:val="22"/>
        </w:rPr>
        <w:t>自然界分布有限，主要存在于洋</w:t>
      </w:r>
      <w:r>
        <w:rPr>
          <w:rFonts w:ascii="宋体" w:eastAsia="宋体" w:hAnsi="宋体" w:cs="宋体"/>
          <w:sz w:val="22"/>
          <w:szCs w:val="22"/>
        </w:rPr>
        <w:t xml:space="preserve"> </w:t>
      </w:r>
      <w:r>
        <w:rPr>
          <w:rFonts w:ascii="宋体" w:eastAsia="宋体" w:hAnsi="宋体" w:cs="宋体"/>
          <w:spacing w:val="-13"/>
          <w:sz w:val="22"/>
          <w:szCs w:val="22"/>
        </w:rPr>
        <w:t>葱、苹果、葡萄和大豆等天然食物中。在荚壳类食物尤其是大豆中含量丰富，主</w:t>
      </w:r>
      <w:r>
        <w:rPr>
          <w:rFonts w:ascii="宋体" w:eastAsia="宋体" w:hAnsi="宋体" w:cs="宋体"/>
          <w:spacing w:val="5"/>
          <w:sz w:val="22"/>
          <w:szCs w:val="22"/>
        </w:rPr>
        <w:t xml:space="preserve"> </w:t>
      </w:r>
      <w:r>
        <w:rPr>
          <w:rFonts w:ascii="宋体" w:eastAsia="宋体" w:hAnsi="宋体" w:cs="宋体"/>
          <w:spacing w:val="-13"/>
          <w:sz w:val="22"/>
          <w:szCs w:val="22"/>
        </w:rPr>
        <w:t>要分布于大豆种子的子叶和胚轴中，种皮含量极少。遗传因素及大豆的加工处理</w:t>
      </w:r>
      <w:r>
        <w:rPr>
          <w:rFonts w:ascii="宋体" w:eastAsia="宋体" w:hAnsi="宋体" w:cs="宋体"/>
          <w:spacing w:val="1"/>
          <w:sz w:val="22"/>
          <w:szCs w:val="22"/>
        </w:rPr>
        <w:t xml:space="preserve"> </w:t>
      </w:r>
      <w:r>
        <w:rPr>
          <w:rFonts w:ascii="宋体" w:eastAsia="宋体" w:hAnsi="宋体" w:cs="宋体"/>
          <w:spacing w:val="-13"/>
          <w:sz w:val="22"/>
          <w:szCs w:val="22"/>
        </w:rPr>
        <w:t>工艺均会影响大豆异黄酮的含量和种类分布。大豆品种不同，其中的大豆异黄酮</w:t>
      </w:r>
      <w:r>
        <w:rPr>
          <w:rFonts w:ascii="宋体" w:eastAsia="宋体" w:hAnsi="宋体" w:cs="宋体"/>
          <w:spacing w:val="6"/>
          <w:sz w:val="22"/>
          <w:szCs w:val="22"/>
        </w:rPr>
        <w:t xml:space="preserve"> </w:t>
      </w:r>
      <w:r>
        <w:rPr>
          <w:rFonts w:ascii="宋体" w:eastAsia="宋体" w:hAnsi="宋体" w:cs="宋体"/>
          <w:spacing w:val="5"/>
          <w:sz w:val="22"/>
          <w:szCs w:val="22"/>
        </w:rPr>
        <w:t>含量不同，大致为0.12%～0.42%,南方大豆异黄酮含量平均189.9</w:t>
      </w:r>
      <w:r>
        <w:rPr>
          <w:rFonts w:ascii="宋体" w:eastAsia="宋体" w:hAnsi="宋体" w:cs="宋体"/>
          <w:sz w:val="22"/>
          <w:szCs w:val="22"/>
        </w:rPr>
        <w:t>mg</w:t>
      </w:r>
      <w:r>
        <w:rPr>
          <w:rFonts w:ascii="宋体" w:eastAsia="宋体" w:hAnsi="宋体" w:cs="宋体"/>
          <w:spacing w:val="5"/>
          <w:sz w:val="22"/>
          <w:szCs w:val="22"/>
        </w:rPr>
        <w:t>/10</w:t>
      </w:r>
      <w:r>
        <w:rPr>
          <w:rFonts w:ascii="宋体" w:eastAsia="宋体" w:hAnsi="宋体" w:cs="宋体"/>
          <w:spacing w:val="4"/>
          <w:sz w:val="22"/>
          <w:szCs w:val="22"/>
        </w:rPr>
        <w:t>0g,</w:t>
      </w:r>
    </w:p>
    <w:p w:rsidR="00EA40A3" w:rsidRDefault="00E86C16">
      <w:pPr>
        <w:spacing w:before="137"/>
        <w:ind w:right="93"/>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30"/>
          <w:sz w:val="17"/>
          <w:szCs w:val="17"/>
        </w:rPr>
        <w:t xml:space="preserve"> </w:t>
      </w:r>
      <w:r>
        <w:rPr>
          <w:rFonts w:ascii="宋体" w:eastAsia="宋体" w:hAnsi="宋体" w:cs="宋体"/>
          <w:spacing w:val="-17"/>
          <w:sz w:val="17"/>
          <w:szCs w:val="17"/>
        </w:rPr>
        <w:t>157</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1010" w:bottom="400" w:left="860" w:header="0" w:footer="0" w:gutter="0"/>
          <w:cols w:space="720"/>
        </w:sectPr>
      </w:pPr>
    </w:p>
    <w:p w:rsidR="00EA40A3" w:rsidRDefault="00EA40A3">
      <w:pPr>
        <w:spacing w:line="263" w:lineRule="auto"/>
      </w:pPr>
    </w:p>
    <w:p w:rsidR="00EA40A3" w:rsidRDefault="00EA40A3">
      <w:pPr>
        <w:spacing w:line="263" w:lineRule="auto"/>
      </w:pPr>
    </w:p>
    <w:p w:rsidR="00EA40A3" w:rsidRDefault="00E86C16">
      <w:pPr>
        <w:spacing w:before="72" w:line="247" w:lineRule="auto"/>
        <w:jc w:val="both"/>
        <w:rPr>
          <w:rFonts w:ascii="宋体" w:eastAsia="宋体" w:hAnsi="宋体" w:cs="宋体"/>
          <w:sz w:val="22"/>
          <w:szCs w:val="22"/>
        </w:rPr>
      </w:pPr>
      <w:r>
        <w:rPr>
          <w:rFonts w:ascii="宋体" w:eastAsia="宋体" w:hAnsi="宋体" w:cs="宋体"/>
          <w:spacing w:val="-6"/>
          <w:sz w:val="22"/>
          <w:szCs w:val="22"/>
        </w:rPr>
        <w:t>东北及北方春大豆异黄酮含量平均为332.</w:t>
      </w:r>
      <w:r>
        <w:rPr>
          <w:rFonts w:ascii="宋体" w:eastAsia="宋体" w:hAnsi="宋体" w:cs="宋体"/>
          <w:spacing w:val="-7"/>
          <w:sz w:val="22"/>
          <w:szCs w:val="22"/>
        </w:rPr>
        <w:t>9</w:t>
      </w:r>
      <w:r>
        <w:rPr>
          <w:rFonts w:ascii="宋体" w:eastAsia="宋体" w:hAnsi="宋体" w:cs="宋体"/>
          <w:spacing w:val="-6"/>
          <w:sz w:val="22"/>
          <w:szCs w:val="22"/>
        </w:rPr>
        <w:t>mg</w:t>
      </w:r>
      <w:r>
        <w:rPr>
          <w:rFonts w:ascii="宋体" w:eastAsia="宋体" w:hAnsi="宋体" w:cs="宋体"/>
          <w:spacing w:val="-7"/>
          <w:sz w:val="22"/>
          <w:szCs w:val="22"/>
        </w:rPr>
        <w:t>/100g。</w:t>
      </w:r>
      <w:r>
        <w:rPr>
          <w:rFonts w:ascii="宋体" w:eastAsia="宋体" w:hAnsi="宋体" w:cs="宋体"/>
          <w:spacing w:val="34"/>
          <w:sz w:val="22"/>
          <w:szCs w:val="22"/>
        </w:rPr>
        <w:t xml:space="preserve"> </w:t>
      </w:r>
      <w:r>
        <w:rPr>
          <w:rFonts w:ascii="宋体" w:eastAsia="宋体" w:hAnsi="宋体" w:cs="宋体"/>
          <w:spacing w:val="-7"/>
          <w:sz w:val="22"/>
          <w:szCs w:val="22"/>
        </w:rPr>
        <w:t>大豆加工工艺中的水洗、</w:t>
      </w:r>
      <w:r>
        <w:rPr>
          <w:rFonts w:ascii="宋体" w:eastAsia="宋体" w:hAnsi="宋体" w:cs="宋体"/>
          <w:sz w:val="22"/>
          <w:szCs w:val="22"/>
        </w:rPr>
        <w:t xml:space="preserve"> </w:t>
      </w:r>
      <w:r>
        <w:rPr>
          <w:rFonts w:ascii="宋体" w:eastAsia="宋体" w:hAnsi="宋体" w:cs="宋体"/>
          <w:spacing w:val="-13"/>
          <w:sz w:val="22"/>
          <w:szCs w:val="22"/>
        </w:rPr>
        <w:t>浸泡、加热和磨浆分离等，尤其是大豆浓缩蛋白工艺，都会造成损失</w:t>
      </w:r>
      <w:r>
        <w:rPr>
          <w:rFonts w:ascii="宋体" w:eastAsia="宋体" w:hAnsi="宋体" w:cs="宋体"/>
          <w:spacing w:val="-14"/>
          <w:sz w:val="22"/>
          <w:szCs w:val="22"/>
        </w:rPr>
        <w:t>；水浸泡使</w:t>
      </w:r>
      <w:r>
        <w:rPr>
          <w:rFonts w:ascii="宋体" w:eastAsia="宋体" w:hAnsi="宋体" w:cs="宋体"/>
          <w:sz w:val="22"/>
          <w:szCs w:val="22"/>
        </w:rPr>
        <w:t xml:space="preserve">  </w:t>
      </w:r>
      <w:r>
        <w:rPr>
          <w:rFonts w:ascii="宋体" w:eastAsia="宋体" w:hAnsi="宋体" w:cs="宋体"/>
          <w:spacing w:val="-7"/>
          <w:sz w:val="22"/>
          <w:szCs w:val="22"/>
        </w:rPr>
        <w:t>大豆中10%异黄酮流失，同时由于自身存在β-糖苷酶的水解，使游离异黄酮增</w:t>
      </w:r>
      <w:r>
        <w:rPr>
          <w:rFonts w:ascii="宋体" w:eastAsia="宋体" w:hAnsi="宋体" w:cs="宋体"/>
          <w:spacing w:val="9"/>
          <w:sz w:val="22"/>
          <w:szCs w:val="22"/>
        </w:rPr>
        <w:t xml:space="preserve">  </w:t>
      </w:r>
      <w:r>
        <w:rPr>
          <w:rFonts w:ascii="宋体" w:eastAsia="宋体" w:hAnsi="宋体" w:cs="宋体"/>
          <w:spacing w:val="-13"/>
          <w:sz w:val="22"/>
          <w:szCs w:val="22"/>
        </w:rPr>
        <w:t>加；热处理则可使热不稳定的丙二酰基葡糖苷型转变为乙酰基葡糖苷型</w:t>
      </w:r>
      <w:r>
        <w:rPr>
          <w:rFonts w:ascii="宋体" w:eastAsia="宋体" w:hAnsi="宋体" w:cs="宋体"/>
          <w:spacing w:val="-14"/>
          <w:sz w:val="22"/>
          <w:szCs w:val="22"/>
        </w:rPr>
        <w:t>。发酵不</w:t>
      </w:r>
      <w:r>
        <w:rPr>
          <w:rFonts w:ascii="宋体" w:eastAsia="宋体" w:hAnsi="宋体" w:cs="宋体"/>
          <w:sz w:val="22"/>
          <w:szCs w:val="22"/>
        </w:rPr>
        <w:t xml:space="preserve">  </w:t>
      </w:r>
      <w:r>
        <w:rPr>
          <w:rFonts w:ascii="宋体" w:eastAsia="宋体" w:hAnsi="宋体" w:cs="宋体"/>
          <w:spacing w:val="-10"/>
          <w:sz w:val="22"/>
          <w:szCs w:val="22"/>
        </w:rPr>
        <w:t>影响大豆异黄酮含量，但可改变其种类和分布，主要是微生物产生大量的β-糖</w:t>
      </w:r>
      <w:r>
        <w:rPr>
          <w:rFonts w:ascii="宋体" w:eastAsia="宋体" w:hAnsi="宋体" w:cs="宋体"/>
          <w:spacing w:val="8"/>
          <w:sz w:val="22"/>
          <w:szCs w:val="22"/>
        </w:rPr>
        <w:t xml:space="preserve">  </w:t>
      </w:r>
      <w:r>
        <w:rPr>
          <w:rFonts w:ascii="宋体" w:eastAsia="宋体" w:hAnsi="宋体" w:cs="宋体"/>
          <w:spacing w:val="-13"/>
          <w:sz w:val="22"/>
          <w:szCs w:val="22"/>
        </w:rPr>
        <w:t>苷酶水解作用，使糖苷型异黄酮大量水解为游离型，如丹贝、味噌中游离异黄酮</w:t>
      </w:r>
      <w:r>
        <w:rPr>
          <w:rFonts w:ascii="宋体" w:eastAsia="宋体" w:hAnsi="宋体" w:cs="宋体"/>
          <w:spacing w:val="8"/>
          <w:sz w:val="22"/>
          <w:szCs w:val="22"/>
        </w:rPr>
        <w:t xml:space="preserve">  </w:t>
      </w:r>
      <w:r>
        <w:rPr>
          <w:rFonts w:ascii="宋体" w:eastAsia="宋体" w:hAnsi="宋体" w:cs="宋体"/>
          <w:spacing w:val="-3"/>
          <w:sz w:val="22"/>
          <w:szCs w:val="22"/>
        </w:rPr>
        <w:t>可占总量的40%～100%。随储存时间增加，其异黄酮含量逐渐降低。临床研究</w:t>
      </w:r>
      <w:r>
        <w:rPr>
          <w:rFonts w:ascii="宋体" w:eastAsia="宋体" w:hAnsi="宋体" w:cs="宋体"/>
          <w:sz w:val="22"/>
          <w:szCs w:val="22"/>
        </w:rPr>
        <w:t xml:space="preserve">  </w:t>
      </w:r>
      <w:r>
        <w:rPr>
          <w:rFonts w:ascii="宋体" w:eastAsia="宋体" w:hAnsi="宋体" w:cs="宋体"/>
          <w:spacing w:val="-10"/>
          <w:sz w:val="22"/>
          <w:szCs w:val="22"/>
        </w:rPr>
        <w:t>表明，每天摄入40～150mg</w:t>
      </w:r>
      <w:r>
        <w:rPr>
          <w:rFonts w:ascii="宋体" w:eastAsia="宋体" w:hAnsi="宋体" w:cs="宋体"/>
          <w:spacing w:val="4"/>
          <w:sz w:val="22"/>
          <w:szCs w:val="22"/>
        </w:rPr>
        <w:t xml:space="preserve"> </w:t>
      </w:r>
      <w:r>
        <w:rPr>
          <w:rFonts w:ascii="宋体" w:eastAsia="宋体" w:hAnsi="宋体" w:cs="宋体"/>
          <w:spacing w:val="-10"/>
          <w:sz w:val="22"/>
          <w:szCs w:val="22"/>
        </w:rPr>
        <w:t>异黄酮对人体健康十分有益。</w:t>
      </w:r>
    </w:p>
    <w:p w:rsidR="00EA40A3" w:rsidRDefault="00E86C16">
      <w:pPr>
        <w:spacing w:before="211" w:line="223" w:lineRule="auto"/>
        <w:ind w:left="3"/>
        <w:outlineLvl w:val="6"/>
        <w:rPr>
          <w:rFonts w:ascii="黑体" w:eastAsia="黑体" w:hAnsi="黑体" w:cs="黑体"/>
          <w:sz w:val="25"/>
          <w:szCs w:val="25"/>
        </w:rPr>
      </w:pPr>
      <w:r>
        <w:rPr>
          <w:rFonts w:ascii="黑体" w:eastAsia="黑体" w:hAnsi="黑体" w:cs="黑体"/>
          <w:b/>
          <w:bCs/>
          <w:spacing w:val="-9"/>
          <w:sz w:val="25"/>
          <w:szCs w:val="25"/>
        </w:rPr>
        <w:t>5.2.2</w:t>
      </w:r>
      <w:r>
        <w:rPr>
          <w:rFonts w:ascii="黑体" w:eastAsia="黑体" w:hAnsi="黑体" w:cs="黑体"/>
          <w:spacing w:val="43"/>
          <w:sz w:val="25"/>
          <w:szCs w:val="25"/>
        </w:rPr>
        <w:t xml:space="preserve">  </w:t>
      </w:r>
      <w:r>
        <w:rPr>
          <w:rFonts w:ascii="黑体" w:eastAsia="黑体" w:hAnsi="黑体" w:cs="黑体"/>
          <w:b/>
          <w:bCs/>
          <w:spacing w:val="-9"/>
          <w:sz w:val="25"/>
          <w:szCs w:val="25"/>
        </w:rPr>
        <w:t>花青素</w:t>
      </w:r>
    </w:p>
    <w:p w:rsidR="00EA40A3" w:rsidRDefault="00E86C16">
      <w:pPr>
        <w:spacing w:before="193" w:line="238" w:lineRule="auto"/>
        <w:ind w:right="103" w:firstLine="419"/>
        <w:rPr>
          <w:rFonts w:ascii="宋体" w:eastAsia="宋体" w:hAnsi="宋体" w:cs="宋体"/>
          <w:sz w:val="22"/>
          <w:szCs w:val="22"/>
        </w:rPr>
      </w:pPr>
      <w:r>
        <w:rPr>
          <w:rFonts w:ascii="宋体" w:eastAsia="宋体" w:hAnsi="宋体" w:cs="宋体"/>
          <w:spacing w:val="-5"/>
          <w:sz w:val="22"/>
          <w:szCs w:val="22"/>
        </w:rPr>
        <w:t>花青素</w:t>
      </w:r>
      <w:r>
        <w:rPr>
          <w:rFonts w:ascii="宋体" w:eastAsia="宋体" w:hAnsi="宋体" w:cs="宋体"/>
          <w:spacing w:val="-31"/>
          <w:sz w:val="22"/>
          <w:szCs w:val="22"/>
        </w:rPr>
        <w:t xml:space="preserve"> </w:t>
      </w:r>
      <w:r>
        <w:rPr>
          <w:rFonts w:ascii="宋体" w:eastAsia="宋体" w:hAnsi="宋体" w:cs="宋体"/>
          <w:spacing w:val="-5"/>
          <w:sz w:val="22"/>
          <w:szCs w:val="22"/>
        </w:rPr>
        <w:t>(anthocyanin)</w:t>
      </w:r>
      <w:r>
        <w:rPr>
          <w:rFonts w:ascii="宋体" w:eastAsia="宋体" w:hAnsi="宋体" w:cs="宋体"/>
          <w:spacing w:val="-66"/>
          <w:sz w:val="22"/>
          <w:szCs w:val="22"/>
        </w:rPr>
        <w:t xml:space="preserve"> </w:t>
      </w:r>
      <w:r>
        <w:rPr>
          <w:rFonts w:ascii="宋体" w:eastAsia="宋体" w:hAnsi="宋体" w:cs="宋体"/>
          <w:spacing w:val="-5"/>
          <w:sz w:val="22"/>
          <w:szCs w:val="22"/>
        </w:rPr>
        <w:t>是一类性质比较稳定的色原烯</w:t>
      </w:r>
      <w:r>
        <w:rPr>
          <w:rFonts w:ascii="宋体" w:eastAsia="宋体" w:hAnsi="宋体" w:cs="宋体"/>
          <w:spacing w:val="-18"/>
          <w:sz w:val="22"/>
          <w:szCs w:val="22"/>
        </w:rPr>
        <w:t xml:space="preserve"> </w:t>
      </w:r>
      <w:r>
        <w:rPr>
          <w:rFonts w:ascii="宋体" w:eastAsia="宋体" w:hAnsi="宋体" w:cs="宋体"/>
          <w:spacing w:val="-5"/>
          <w:sz w:val="22"/>
          <w:szCs w:val="22"/>
        </w:rPr>
        <w:t>(chromene)</w:t>
      </w:r>
      <w:r>
        <w:rPr>
          <w:rFonts w:ascii="宋体" w:eastAsia="宋体" w:hAnsi="宋体" w:cs="宋体"/>
          <w:spacing w:val="17"/>
          <w:sz w:val="22"/>
          <w:szCs w:val="22"/>
        </w:rPr>
        <w:t xml:space="preserve"> </w:t>
      </w:r>
      <w:r>
        <w:rPr>
          <w:rFonts w:ascii="宋体" w:eastAsia="宋体" w:hAnsi="宋体" w:cs="宋体"/>
          <w:spacing w:val="-5"/>
          <w:sz w:val="22"/>
          <w:szCs w:val="22"/>
        </w:rPr>
        <w:t>的衍生</w:t>
      </w:r>
      <w:r>
        <w:rPr>
          <w:rFonts w:ascii="宋体" w:eastAsia="宋体" w:hAnsi="宋体" w:cs="宋体"/>
          <w:sz w:val="22"/>
          <w:szCs w:val="22"/>
        </w:rPr>
        <w:t xml:space="preserve"> </w:t>
      </w:r>
      <w:r>
        <w:rPr>
          <w:rFonts w:ascii="宋体" w:eastAsia="宋体" w:hAnsi="宋体" w:cs="宋体"/>
          <w:spacing w:val="-11"/>
          <w:sz w:val="22"/>
          <w:szCs w:val="22"/>
        </w:rPr>
        <w:t>物，分子中存在高度的分子共轭，而有多种互变异构式，如图</w:t>
      </w:r>
      <w:r>
        <w:rPr>
          <w:rFonts w:ascii="宋体" w:eastAsia="宋体" w:hAnsi="宋体" w:cs="宋体"/>
          <w:spacing w:val="-12"/>
          <w:sz w:val="22"/>
          <w:szCs w:val="22"/>
        </w:rPr>
        <w:t>5-2。</w:t>
      </w:r>
    </w:p>
    <w:p w:rsidR="00EA40A3" w:rsidRDefault="00E86C16">
      <w:pPr>
        <w:spacing w:before="179" w:line="630" w:lineRule="exact"/>
        <w:ind w:firstLine="1000"/>
        <w:textAlignment w:val="center"/>
      </w:pPr>
      <w:r>
        <w:rPr>
          <w:noProof/>
        </w:rPr>
        <w:drawing>
          <wp:inline distT="0" distB="0" distL="0" distR="0">
            <wp:extent cx="3441065" cy="40005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41"/>
                    <a:stretch>
                      <a:fillRect/>
                    </a:stretch>
                  </pic:blipFill>
                  <pic:spPr>
                    <a:xfrm>
                      <a:off x="0" y="0"/>
                      <a:ext cx="3441684" cy="400086"/>
                    </a:xfrm>
                    <a:prstGeom prst="rect">
                      <a:avLst/>
                    </a:prstGeom>
                  </pic:spPr>
                </pic:pic>
              </a:graphicData>
            </a:graphic>
          </wp:inline>
        </w:drawing>
      </w:r>
    </w:p>
    <w:p w:rsidR="00EA40A3" w:rsidRDefault="00E86C16">
      <w:pPr>
        <w:spacing w:before="266" w:line="219" w:lineRule="auto"/>
        <w:ind w:left="2489"/>
        <w:rPr>
          <w:rFonts w:ascii="宋体" w:eastAsia="宋体" w:hAnsi="宋体" w:cs="宋体"/>
          <w:sz w:val="19"/>
          <w:szCs w:val="19"/>
        </w:rPr>
      </w:pPr>
      <w:r>
        <w:rPr>
          <w:rFonts w:ascii="宋体" w:eastAsia="宋体" w:hAnsi="宋体" w:cs="宋体"/>
          <w:spacing w:val="-8"/>
          <w:sz w:val="19"/>
          <w:szCs w:val="19"/>
        </w:rPr>
        <w:t>图5-2</w:t>
      </w:r>
      <w:r>
        <w:rPr>
          <w:rFonts w:ascii="宋体" w:eastAsia="宋体" w:hAnsi="宋体" w:cs="宋体"/>
          <w:spacing w:val="70"/>
          <w:sz w:val="19"/>
          <w:szCs w:val="19"/>
        </w:rPr>
        <w:t xml:space="preserve"> </w:t>
      </w:r>
      <w:r>
        <w:rPr>
          <w:rFonts w:ascii="宋体" w:eastAsia="宋体" w:hAnsi="宋体" w:cs="宋体"/>
          <w:spacing w:val="-8"/>
          <w:sz w:val="19"/>
          <w:szCs w:val="19"/>
        </w:rPr>
        <w:t>花青素化学结构异构式</w:t>
      </w:r>
    </w:p>
    <w:p w:rsidR="00EA40A3" w:rsidRDefault="00EA40A3">
      <w:pPr>
        <w:spacing w:line="259" w:lineRule="auto"/>
      </w:pPr>
    </w:p>
    <w:p w:rsidR="00EA40A3" w:rsidRDefault="00E86C16">
      <w:pPr>
        <w:spacing w:before="72" w:line="244" w:lineRule="auto"/>
        <w:ind w:right="107" w:firstLine="419"/>
        <w:jc w:val="both"/>
        <w:rPr>
          <w:rFonts w:ascii="宋体" w:eastAsia="宋体" w:hAnsi="宋体" w:cs="宋体"/>
          <w:sz w:val="22"/>
          <w:szCs w:val="22"/>
        </w:rPr>
      </w:pPr>
      <w:r>
        <w:rPr>
          <w:rFonts w:ascii="宋体" w:eastAsia="宋体" w:hAnsi="宋体" w:cs="宋体"/>
          <w:spacing w:val="-5"/>
          <w:sz w:val="22"/>
          <w:szCs w:val="22"/>
        </w:rPr>
        <w:t>植物中的花色素多在C3</w:t>
      </w:r>
      <w:r>
        <w:rPr>
          <w:rFonts w:ascii="宋体" w:eastAsia="宋体" w:hAnsi="宋体" w:cs="宋体"/>
          <w:spacing w:val="-24"/>
          <w:sz w:val="22"/>
          <w:szCs w:val="22"/>
        </w:rPr>
        <w:t xml:space="preserve"> </w:t>
      </w:r>
      <w:r>
        <w:rPr>
          <w:rFonts w:ascii="宋体" w:eastAsia="宋体" w:hAnsi="宋体" w:cs="宋体"/>
          <w:spacing w:val="-5"/>
          <w:sz w:val="22"/>
          <w:szCs w:val="22"/>
        </w:rPr>
        <w:t>位有—OH,</w:t>
      </w:r>
      <w:r>
        <w:rPr>
          <w:rFonts w:ascii="宋体" w:eastAsia="宋体" w:hAnsi="宋体" w:cs="宋体"/>
          <w:spacing w:val="108"/>
          <w:sz w:val="22"/>
          <w:szCs w:val="22"/>
        </w:rPr>
        <w:t xml:space="preserve"> </w:t>
      </w:r>
      <w:r>
        <w:rPr>
          <w:rFonts w:ascii="宋体" w:eastAsia="宋体" w:hAnsi="宋体" w:cs="宋体"/>
          <w:spacing w:val="-5"/>
          <w:sz w:val="22"/>
          <w:szCs w:val="22"/>
        </w:rPr>
        <w:t>且常与葡萄</w:t>
      </w:r>
      <w:r>
        <w:rPr>
          <w:rFonts w:ascii="宋体" w:eastAsia="宋体" w:hAnsi="宋体" w:cs="宋体"/>
          <w:spacing w:val="-6"/>
          <w:sz w:val="22"/>
          <w:szCs w:val="22"/>
        </w:rPr>
        <w:t>糖、半乳糖、鼠李糖缩合</w:t>
      </w:r>
      <w:r>
        <w:rPr>
          <w:rFonts w:ascii="宋体" w:eastAsia="宋体" w:hAnsi="宋体" w:cs="宋体"/>
          <w:sz w:val="22"/>
          <w:szCs w:val="22"/>
        </w:rPr>
        <w:t xml:space="preserve"> </w:t>
      </w:r>
      <w:r>
        <w:rPr>
          <w:rFonts w:ascii="宋体" w:eastAsia="宋体" w:hAnsi="宋体" w:cs="宋体"/>
          <w:spacing w:val="-10"/>
          <w:sz w:val="22"/>
          <w:szCs w:val="22"/>
        </w:rPr>
        <w:t>成苷。由于花青素分子吡喃环上的氧原子是4价，所以花青素具有碱的性质</w:t>
      </w:r>
      <w:r>
        <w:rPr>
          <w:rFonts w:ascii="宋体" w:eastAsia="宋体" w:hAnsi="宋体" w:cs="宋体"/>
          <w:spacing w:val="-11"/>
          <w:sz w:val="22"/>
          <w:szCs w:val="22"/>
        </w:rPr>
        <w:t>；又</w:t>
      </w:r>
      <w:r>
        <w:rPr>
          <w:rFonts w:ascii="宋体" w:eastAsia="宋体" w:hAnsi="宋体" w:cs="宋体"/>
          <w:sz w:val="22"/>
          <w:szCs w:val="22"/>
        </w:rPr>
        <w:t xml:space="preserve"> </w:t>
      </w:r>
      <w:r>
        <w:rPr>
          <w:rFonts w:ascii="宋体" w:eastAsia="宋体" w:hAnsi="宋体" w:cs="宋体"/>
          <w:spacing w:val="-10"/>
          <w:sz w:val="22"/>
          <w:szCs w:val="22"/>
        </w:rPr>
        <w:t>有酚羟基而具有酸的性质，在可见光下的颜色随pH</w:t>
      </w:r>
      <w:r>
        <w:rPr>
          <w:rFonts w:ascii="宋体" w:eastAsia="宋体" w:hAnsi="宋体" w:cs="宋体"/>
          <w:spacing w:val="18"/>
          <w:sz w:val="22"/>
          <w:szCs w:val="22"/>
        </w:rPr>
        <w:t xml:space="preserve"> </w:t>
      </w:r>
      <w:r>
        <w:rPr>
          <w:rFonts w:ascii="宋体" w:eastAsia="宋体" w:hAnsi="宋体" w:cs="宋体"/>
          <w:spacing w:val="-10"/>
          <w:sz w:val="22"/>
          <w:szCs w:val="22"/>
        </w:rPr>
        <w:t>环境而改变。此外，花青素</w:t>
      </w:r>
      <w:r>
        <w:rPr>
          <w:rFonts w:ascii="宋体" w:eastAsia="宋体" w:hAnsi="宋体" w:cs="宋体"/>
          <w:sz w:val="22"/>
          <w:szCs w:val="22"/>
        </w:rPr>
        <w:t xml:space="preserve"> </w:t>
      </w:r>
      <w:r>
        <w:rPr>
          <w:rFonts w:ascii="宋体" w:eastAsia="宋体" w:hAnsi="宋体" w:cs="宋体"/>
          <w:spacing w:val="-5"/>
          <w:sz w:val="22"/>
          <w:szCs w:val="22"/>
        </w:rPr>
        <w:t>易受氧化剂、维生素C、</w:t>
      </w:r>
      <w:r>
        <w:rPr>
          <w:rFonts w:ascii="宋体" w:eastAsia="宋体" w:hAnsi="宋体" w:cs="宋体"/>
          <w:spacing w:val="-37"/>
          <w:sz w:val="22"/>
          <w:szCs w:val="22"/>
        </w:rPr>
        <w:t xml:space="preserve"> </w:t>
      </w:r>
      <w:r>
        <w:rPr>
          <w:rFonts w:ascii="宋体" w:eastAsia="宋体" w:hAnsi="宋体" w:cs="宋体"/>
          <w:spacing w:val="-5"/>
          <w:sz w:val="22"/>
          <w:szCs w:val="22"/>
        </w:rPr>
        <w:t>温度等影响而变色，如SO</w:t>
      </w:r>
      <w:r>
        <w:rPr>
          <w:rFonts w:ascii="Calibri" w:eastAsia="Calibri" w:hAnsi="Calibri" w:cs="Calibri"/>
          <w:spacing w:val="-5"/>
          <w:sz w:val="22"/>
          <w:szCs w:val="22"/>
        </w:rPr>
        <w:t>₂</w:t>
      </w:r>
      <w:r>
        <w:rPr>
          <w:rFonts w:ascii="Calibri" w:eastAsia="Calibri" w:hAnsi="Calibri" w:cs="Calibri"/>
          <w:spacing w:val="18"/>
          <w:sz w:val="22"/>
          <w:szCs w:val="22"/>
        </w:rPr>
        <w:t xml:space="preserve">  </w:t>
      </w:r>
      <w:r>
        <w:rPr>
          <w:rFonts w:ascii="宋体" w:eastAsia="宋体" w:hAnsi="宋体" w:cs="宋体"/>
          <w:spacing w:val="-5"/>
          <w:sz w:val="22"/>
          <w:szCs w:val="22"/>
        </w:rPr>
        <w:t>可漂白花青素并能改变其</w:t>
      </w:r>
      <w:r>
        <w:rPr>
          <w:rFonts w:ascii="宋体" w:eastAsia="宋体" w:hAnsi="宋体" w:cs="宋体"/>
          <w:sz w:val="22"/>
          <w:szCs w:val="22"/>
        </w:rPr>
        <w:t xml:space="preserve"> </w:t>
      </w:r>
      <w:r>
        <w:rPr>
          <w:rFonts w:ascii="宋体" w:eastAsia="宋体" w:hAnsi="宋体" w:cs="宋体"/>
          <w:spacing w:val="-15"/>
          <w:sz w:val="22"/>
          <w:szCs w:val="22"/>
        </w:rPr>
        <w:t>pH。</w:t>
      </w:r>
      <w:r>
        <w:rPr>
          <w:rFonts w:ascii="宋体" w:eastAsia="宋体" w:hAnsi="宋体" w:cs="宋体"/>
          <w:spacing w:val="22"/>
          <w:sz w:val="22"/>
          <w:szCs w:val="22"/>
        </w:rPr>
        <w:t xml:space="preserve"> </w:t>
      </w:r>
      <w:r>
        <w:rPr>
          <w:rFonts w:ascii="宋体" w:eastAsia="宋体" w:hAnsi="宋体" w:cs="宋体"/>
          <w:spacing w:val="-15"/>
          <w:sz w:val="22"/>
          <w:szCs w:val="22"/>
        </w:rPr>
        <w:t>花色苷还能被酶解成糖和配基，以至褪色。</w:t>
      </w:r>
    </w:p>
    <w:p w:rsidR="00EA40A3" w:rsidRDefault="00E86C16">
      <w:pPr>
        <w:spacing w:before="51" w:line="248" w:lineRule="auto"/>
        <w:ind w:right="51" w:firstLine="419"/>
        <w:jc w:val="both"/>
        <w:rPr>
          <w:rFonts w:ascii="宋体" w:eastAsia="宋体" w:hAnsi="宋体" w:cs="宋体"/>
          <w:sz w:val="22"/>
          <w:szCs w:val="22"/>
        </w:rPr>
      </w:pPr>
      <w:r>
        <w:rPr>
          <w:rFonts w:ascii="宋体" w:eastAsia="宋体" w:hAnsi="宋体" w:cs="宋体"/>
          <w:spacing w:val="-6"/>
          <w:sz w:val="22"/>
          <w:szCs w:val="22"/>
        </w:rPr>
        <w:t>原花青素</w:t>
      </w:r>
      <w:r>
        <w:rPr>
          <w:rFonts w:ascii="宋体" w:eastAsia="宋体" w:hAnsi="宋体" w:cs="宋体"/>
          <w:spacing w:val="-13"/>
          <w:sz w:val="22"/>
          <w:szCs w:val="22"/>
        </w:rPr>
        <w:t xml:space="preserve"> </w:t>
      </w:r>
      <w:r>
        <w:rPr>
          <w:rFonts w:ascii="宋体" w:eastAsia="宋体" w:hAnsi="宋体" w:cs="宋体"/>
          <w:spacing w:val="-6"/>
          <w:sz w:val="22"/>
          <w:szCs w:val="22"/>
        </w:rPr>
        <w:t>(proanthocyanidin,PC)</w:t>
      </w:r>
      <w:r>
        <w:rPr>
          <w:rFonts w:ascii="宋体" w:eastAsia="宋体" w:hAnsi="宋体" w:cs="宋体"/>
          <w:spacing w:val="-47"/>
          <w:sz w:val="22"/>
          <w:szCs w:val="22"/>
        </w:rPr>
        <w:t xml:space="preserve"> </w:t>
      </w:r>
      <w:r>
        <w:rPr>
          <w:rFonts w:ascii="宋体" w:eastAsia="宋体" w:hAnsi="宋体" w:cs="宋体"/>
          <w:spacing w:val="-6"/>
          <w:sz w:val="22"/>
          <w:szCs w:val="22"/>
        </w:rPr>
        <w:t>是自然界中广泛存在的一大类多酚类化</w:t>
      </w:r>
      <w:r>
        <w:rPr>
          <w:rFonts w:ascii="宋体" w:eastAsia="宋体" w:hAnsi="宋体" w:cs="宋体"/>
          <w:sz w:val="22"/>
          <w:szCs w:val="22"/>
        </w:rPr>
        <w:t xml:space="preserve"> </w:t>
      </w:r>
      <w:r>
        <w:rPr>
          <w:rFonts w:ascii="宋体" w:eastAsia="宋体" w:hAnsi="宋体" w:cs="宋体"/>
          <w:spacing w:val="-13"/>
          <w:sz w:val="22"/>
          <w:szCs w:val="22"/>
        </w:rPr>
        <w:t>合物的总称，由不同数量儿茶素或表儿茶素结合而成的二聚体、三聚体直至十聚</w:t>
      </w:r>
      <w:r>
        <w:rPr>
          <w:rFonts w:ascii="宋体" w:eastAsia="宋体" w:hAnsi="宋体" w:cs="宋体"/>
          <w:spacing w:val="14"/>
          <w:sz w:val="22"/>
          <w:szCs w:val="22"/>
        </w:rPr>
        <w:t xml:space="preserve"> </w:t>
      </w:r>
      <w:r>
        <w:rPr>
          <w:rFonts w:ascii="宋体" w:eastAsia="宋体" w:hAnsi="宋体" w:cs="宋体"/>
          <w:spacing w:val="-3"/>
          <w:sz w:val="22"/>
          <w:szCs w:val="22"/>
        </w:rPr>
        <w:t>体，按聚合度大小通常将2～4聚体称</w:t>
      </w:r>
      <w:r>
        <w:rPr>
          <w:rFonts w:ascii="宋体" w:eastAsia="宋体" w:hAnsi="宋体" w:cs="宋体"/>
          <w:spacing w:val="-4"/>
          <w:sz w:val="22"/>
          <w:szCs w:val="22"/>
        </w:rPr>
        <w:t>低聚体</w:t>
      </w:r>
      <w:r>
        <w:rPr>
          <w:rFonts w:ascii="宋体" w:eastAsia="宋体" w:hAnsi="宋体" w:cs="宋体"/>
          <w:spacing w:val="-20"/>
          <w:sz w:val="22"/>
          <w:szCs w:val="22"/>
        </w:rPr>
        <w:t xml:space="preserve"> </w:t>
      </w:r>
      <w:r>
        <w:rPr>
          <w:rFonts w:ascii="宋体" w:eastAsia="宋体" w:hAnsi="宋体" w:cs="宋体"/>
          <w:spacing w:val="-4"/>
          <w:sz w:val="22"/>
          <w:szCs w:val="22"/>
        </w:rPr>
        <w:t>(</w:t>
      </w:r>
      <w:r>
        <w:rPr>
          <w:rFonts w:ascii="宋体" w:eastAsia="宋体" w:hAnsi="宋体" w:cs="宋体"/>
          <w:spacing w:val="-3"/>
          <w:sz w:val="22"/>
          <w:szCs w:val="22"/>
        </w:rPr>
        <w:t>procyanidolic</w:t>
      </w:r>
      <w:r>
        <w:rPr>
          <w:rFonts w:ascii="宋体" w:eastAsia="宋体" w:hAnsi="宋体" w:cs="宋体"/>
          <w:spacing w:val="5"/>
          <w:sz w:val="22"/>
          <w:szCs w:val="22"/>
        </w:rPr>
        <w:t xml:space="preserve"> </w:t>
      </w:r>
      <w:r>
        <w:rPr>
          <w:rFonts w:ascii="宋体" w:eastAsia="宋体" w:hAnsi="宋体" w:cs="宋体"/>
          <w:spacing w:val="-3"/>
          <w:sz w:val="22"/>
          <w:szCs w:val="22"/>
        </w:rPr>
        <w:t>oligomer</w:t>
      </w:r>
      <w:r>
        <w:rPr>
          <w:rFonts w:ascii="宋体" w:eastAsia="宋体" w:hAnsi="宋体" w:cs="宋体"/>
          <w:spacing w:val="-4"/>
          <w:sz w:val="22"/>
          <w:szCs w:val="22"/>
        </w:rPr>
        <w:t>,</w:t>
      </w:r>
      <w:r>
        <w:rPr>
          <w:rFonts w:ascii="宋体" w:eastAsia="宋体" w:hAnsi="宋体" w:cs="宋体"/>
          <w:spacing w:val="-3"/>
          <w:sz w:val="22"/>
          <w:szCs w:val="22"/>
        </w:rPr>
        <w:t>OPC</w:t>
      </w:r>
      <w:r>
        <w:rPr>
          <w:rFonts w:ascii="宋体" w:eastAsia="宋体" w:hAnsi="宋体" w:cs="宋体"/>
          <w:spacing w:val="-4"/>
          <w:sz w:val="22"/>
          <w:szCs w:val="22"/>
        </w:rPr>
        <w:t>),</w:t>
      </w:r>
      <w:r>
        <w:rPr>
          <w:rFonts w:ascii="宋体" w:eastAsia="宋体" w:hAnsi="宋体" w:cs="宋体"/>
          <w:sz w:val="22"/>
          <w:szCs w:val="22"/>
        </w:rPr>
        <w:t xml:space="preserve"> </w:t>
      </w:r>
      <w:r>
        <w:rPr>
          <w:rFonts w:ascii="宋体" w:eastAsia="宋体" w:hAnsi="宋体" w:cs="宋体"/>
          <w:spacing w:val="-11"/>
          <w:sz w:val="22"/>
          <w:szCs w:val="22"/>
        </w:rPr>
        <w:t>将五聚体以上的称</w:t>
      </w:r>
      <w:r>
        <w:rPr>
          <w:rFonts w:ascii="宋体" w:eastAsia="宋体" w:hAnsi="宋体" w:cs="宋体"/>
          <w:spacing w:val="-12"/>
          <w:sz w:val="22"/>
          <w:szCs w:val="22"/>
        </w:rPr>
        <w:t>高聚体</w:t>
      </w:r>
      <w:r>
        <w:rPr>
          <w:rFonts w:ascii="宋体" w:eastAsia="宋体" w:hAnsi="宋体" w:cs="宋体"/>
          <w:spacing w:val="-20"/>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procyanidolic</w:t>
      </w:r>
      <w:r>
        <w:rPr>
          <w:rFonts w:ascii="宋体" w:eastAsia="宋体" w:hAnsi="宋体" w:cs="宋体"/>
          <w:spacing w:val="1"/>
          <w:sz w:val="22"/>
          <w:szCs w:val="22"/>
        </w:rPr>
        <w:t xml:space="preserve"> </w:t>
      </w:r>
      <w:r>
        <w:rPr>
          <w:rFonts w:ascii="宋体" w:eastAsia="宋体" w:hAnsi="宋体" w:cs="宋体"/>
          <w:spacing w:val="-11"/>
          <w:sz w:val="22"/>
          <w:szCs w:val="22"/>
        </w:rPr>
        <w:t>polymer</w:t>
      </w:r>
      <w:r>
        <w:rPr>
          <w:rFonts w:ascii="宋体" w:eastAsia="宋体" w:hAnsi="宋体" w:cs="宋体"/>
          <w:spacing w:val="-12"/>
          <w:sz w:val="22"/>
          <w:szCs w:val="22"/>
        </w:rPr>
        <w:t>,</w:t>
      </w:r>
      <w:r>
        <w:rPr>
          <w:rFonts w:ascii="宋体" w:eastAsia="宋体" w:hAnsi="宋体" w:cs="宋体"/>
          <w:spacing w:val="-11"/>
          <w:sz w:val="22"/>
          <w:szCs w:val="22"/>
        </w:rPr>
        <w:t>PPC</w:t>
      </w:r>
      <w:r>
        <w:rPr>
          <w:rFonts w:ascii="宋体" w:eastAsia="宋体" w:hAnsi="宋体" w:cs="宋体"/>
          <w:spacing w:val="-12"/>
          <w:sz w:val="22"/>
          <w:szCs w:val="22"/>
        </w:rPr>
        <w:t>)。</w:t>
      </w:r>
      <w:r>
        <w:rPr>
          <w:rFonts w:ascii="宋体" w:eastAsia="宋体" w:hAnsi="宋体" w:cs="宋体"/>
          <w:sz w:val="22"/>
          <w:szCs w:val="22"/>
        </w:rPr>
        <w:t xml:space="preserve"> </w:t>
      </w:r>
      <w:r>
        <w:rPr>
          <w:rFonts w:ascii="宋体" w:eastAsia="宋体" w:hAnsi="宋体" w:cs="宋体"/>
          <w:spacing w:val="-12"/>
          <w:sz w:val="22"/>
          <w:szCs w:val="22"/>
        </w:rPr>
        <w:t>二聚体中因两个单体</w:t>
      </w:r>
      <w:r>
        <w:rPr>
          <w:rFonts w:ascii="宋体" w:eastAsia="宋体" w:hAnsi="宋体" w:cs="宋体"/>
          <w:sz w:val="22"/>
          <w:szCs w:val="22"/>
        </w:rPr>
        <w:t xml:space="preserve"> </w:t>
      </w:r>
      <w:r>
        <w:rPr>
          <w:rFonts w:ascii="宋体" w:eastAsia="宋体" w:hAnsi="宋体" w:cs="宋体"/>
          <w:spacing w:val="-10"/>
          <w:sz w:val="22"/>
          <w:szCs w:val="22"/>
        </w:rPr>
        <w:t>的构象或键合位置的不同，可有多种异构体，已分离鉴定的8种结构形式分别命</w:t>
      </w:r>
      <w:r>
        <w:rPr>
          <w:rFonts w:ascii="宋体" w:eastAsia="宋体" w:hAnsi="宋体" w:cs="宋体"/>
          <w:spacing w:val="18"/>
          <w:sz w:val="22"/>
          <w:szCs w:val="22"/>
        </w:rPr>
        <w:t xml:space="preserve"> </w:t>
      </w:r>
      <w:r>
        <w:rPr>
          <w:rFonts w:ascii="宋体" w:eastAsia="宋体" w:hAnsi="宋体" w:cs="宋体"/>
          <w:spacing w:val="-2"/>
          <w:sz w:val="22"/>
          <w:szCs w:val="22"/>
        </w:rPr>
        <w:t>名为B¹~B8,</w:t>
      </w:r>
      <w:r>
        <w:rPr>
          <w:rFonts w:ascii="宋体" w:eastAsia="宋体" w:hAnsi="宋体" w:cs="宋体"/>
          <w:spacing w:val="22"/>
          <w:sz w:val="22"/>
          <w:szCs w:val="22"/>
        </w:rPr>
        <w:t xml:space="preserve"> </w:t>
      </w:r>
      <w:r>
        <w:rPr>
          <w:rFonts w:ascii="宋体" w:eastAsia="宋体" w:hAnsi="宋体" w:cs="宋体"/>
          <w:spacing w:val="-2"/>
          <w:sz w:val="22"/>
          <w:szCs w:val="22"/>
        </w:rPr>
        <w:t>其中B1～B4</w:t>
      </w:r>
      <w:r>
        <w:rPr>
          <w:rFonts w:ascii="宋体" w:eastAsia="宋体" w:hAnsi="宋体" w:cs="宋体"/>
          <w:spacing w:val="-37"/>
          <w:sz w:val="22"/>
          <w:szCs w:val="22"/>
        </w:rPr>
        <w:t xml:space="preserve"> </w:t>
      </w:r>
      <w:r>
        <w:rPr>
          <w:rFonts w:ascii="宋体" w:eastAsia="宋体" w:hAnsi="宋体" w:cs="宋体"/>
          <w:spacing w:val="-2"/>
          <w:sz w:val="22"/>
          <w:szCs w:val="22"/>
        </w:rPr>
        <w:t>由</w:t>
      </w:r>
      <w:r>
        <w:rPr>
          <w:rFonts w:ascii="宋体" w:eastAsia="宋体" w:hAnsi="宋体" w:cs="宋体"/>
          <w:spacing w:val="-34"/>
          <w:sz w:val="22"/>
          <w:szCs w:val="22"/>
        </w:rPr>
        <w:t xml:space="preserve"> </w:t>
      </w:r>
      <w:r>
        <w:rPr>
          <w:rFonts w:ascii="宋体" w:eastAsia="宋体" w:hAnsi="宋体" w:cs="宋体"/>
          <w:spacing w:val="-2"/>
          <w:sz w:val="22"/>
          <w:szCs w:val="22"/>
        </w:rPr>
        <w:t>C4→C8</w:t>
      </w:r>
      <w:r>
        <w:rPr>
          <w:rFonts w:ascii="宋体" w:eastAsia="宋体" w:hAnsi="宋体" w:cs="宋体"/>
          <w:spacing w:val="-14"/>
          <w:sz w:val="22"/>
          <w:szCs w:val="22"/>
        </w:rPr>
        <w:t xml:space="preserve"> </w:t>
      </w:r>
      <w:r>
        <w:rPr>
          <w:rFonts w:ascii="宋体" w:eastAsia="宋体" w:hAnsi="宋体" w:cs="宋体"/>
          <w:spacing w:val="-2"/>
          <w:sz w:val="22"/>
          <w:szCs w:val="22"/>
        </w:rPr>
        <w:t>键合，</w:t>
      </w:r>
      <w:r>
        <w:rPr>
          <w:rFonts w:ascii="宋体" w:eastAsia="宋体" w:hAnsi="宋体" w:cs="宋体"/>
          <w:spacing w:val="-43"/>
          <w:sz w:val="22"/>
          <w:szCs w:val="22"/>
        </w:rPr>
        <w:t xml:space="preserve"> </w:t>
      </w:r>
      <w:r>
        <w:rPr>
          <w:rFonts w:ascii="宋体" w:eastAsia="宋体" w:hAnsi="宋体" w:cs="宋体"/>
          <w:spacing w:val="-2"/>
          <w:sz w:val="22"/>
          <w:szCs w:val="22"/>
        </w:rPr>
        <w:t>B5～B8</w:t>
      </w:r>
      <w:r>
        <w:rPr>
          <w:rFonts w:ascii="宋体" w:eastAsia="宋体" w:hAnsi="宋体" w:cs="宋体"/>
          <w:spacing w:val="-6"/>
          <w:sz w:val="22"/>
          <w:szCs w:val="22"/>
        </w:rPr>
        <w:t xml:space="preserve"> </w:t>
      </w:r>
      <w:r>
        <w:rPr>
          <w:rFonts w:ascii="宋体" w:eastAsia="宋体" w:hAnsi="宋体" w:cs="宋体"/>
          <w:spacing w:val="-2"/>
          <w:sz w:val="22"/>
          <w:szCs w:val="22"/>
        </w:rPr>
        <w:t>由</w:t>
      </w:r>
      <w:r>
        <w:rPr>
          <w:rFonts w:ascii="宋体" w:eastAsia="宋体" w:hAnsi="宋体" w:cs="宋体"/>
          <w:spacing w:val="-35"/>
          <w:sz w:val="22"/>
          <w:szCs w:val="22"/>
        </w:rPr>
        <w:t xml:space="preserve"> </w:t>
      </w:r>
      <w:r>
        <w:rPr>
          <w:rFonts w:ascii="宋体" w:eastAsia="宋体" w:hAnsi="宋体" w:cs="宋体"/>
          <w:spacing w:val="-2"/>
          <w:sz w:val="22"/>
          <w:szCs w:val="22"/>
        </w:rPr>
        <w:t>C4→C6</w:t>
      </w:r>
      <w:r>
        <w:rPr>
          <w:rFonts w:ascii="宋体" w:eastAsia="宋体" w:hAnsi="宋体" w:cs="宋体"/>
          <w:spacing w:val="7"/>
          <w:sz w:val="22"/>
          <w:szCs w:val="22"/>
        </w:rPr>
        <w:t xml:space="preserve"> </w:t>
      </w:r>
      <w:r>
        <w:rPr>
          <w:rFonts w:ascii="宋体" w:eastAsia="宋体" w:hAnsi="宋体" w:cs="宋体"/>
          <w:spacing w:val="-2"/>
          <w:sz w:val="22"/>
          <w:szCs w:val="22"/>
        </w:rPr>
        <w:t>键合。在各类</w:t>
      </w:r>
      <w:r>
        <w:rPr>
          <w:rFonts w:ascii="宋体" w:eastAsia="宋体" w:hAnsi="宋体" w:cs="宋体"/>
          <w:sz w:val="22"/>
          <w:szCs w:val="22"/>
        </w:rPr>
        <w:t xml:space="preserve"> </w:t>
      </w:r>
      <w:r>
        <w:rPr>
          <w:rFonts w:ascii="宋体" w:eastAsia="宋体" w:hAnsi="宋体" w:cs="宋体"/>
          <w:spacing w:val="-13"/>
          <w:sz w:val="22"/>
          <w:szCs w:val="22"/>
        </w:rPr>
        <w:t>原花青素中二聚体分布最广，研究最多，是最重要的一类原花青素。</w:t>
      </w:r>
    </w:p>
    <w:p w:rsidR="00EA40A3" w:rsidRDefault="00E86C16">
      <w:pPr>
        <w:spacing w:before="90" w:line="235" w:lineRule="auto"/>
        <w:ind w:right="102" w:firstLine="419"/>
        <w:jc w:val="both"/>
        <w:rPr>
          <w:rFonts w:ascii="宋体" w:eastAsia="宋体" w:hAnsi="宋体" w:cs="宋体"/>
          <w:sz w:val="22"/>
          <w:szCs w:val="22"/>
        </w:rPr>
      </w:pPr>
      <w:r>
        <w:rPr>
          <w:rFonts w:ascii="宋体" w:eastAsia="宋体" w:hAnsi="宋体" w:cs="宋体"/>
          <w:spacing w:val="-6"/>
          <w:sz w:val="22"/>
          <w:szCs w:val="22"/>
        </w:rPr>
        <w:t>花青苷具有抗氧化及清除自由基的功能，有降血清及肝脏中脂肪</w:t>
      </w:r>
      <w:r>
        <w:rPr>
          <w:rFonts w:ascii="宋体" w:eastAsia="宋体" w:hAnsi="宋体" w:cs="宋体"/>
          <w:spacing w:val="-7"/>
          <w:sz w:val="22"/>
          <w:szCs w:val="22"/>
        </w:rPr>
        <w:t>含量的作</w:t>
      </w:r>
      <w:r>
        <w:rPr>
          <w:rFonts w:ascii="宋体" w:eastAsia="宋体" w:hAnsi="宋体" w:cs="宋体"/>
          <w:sz w:val="22"/>
          <w:szCs w:val="22"/>
        </w:rPr>
        <w:t xml:space="preserve"> </w:t>
      </w:r>
      <w:r>
        <w:rPr>
          <w:rFonts w:ascii="宋体" w:eastAsia="宋体" w:hAnsi="宋体" w:cs="宋体"/>
          <w:spacing w:val="-13"/>
          <w:sz w:val="22"/>
          <w:szCs w:val="22"/>
        </w:rPr>
        <w:t>用。花青苷可抗变异及抗肿瘤，还具有抑制超氧自由基的作用，有利于人体对异</w:t>
      </w:r>
      <w:r>
        <w:rPr>
          <w:rFonts w:ascii="宋体" w:eastAsia="宋体" w:hAnsi="宋体" w:cs="宋体"/>
          <w:spacing w:val="16"/>
          <w:sz w:val="22"/>
          <w:szCs w:val="22"/>
        </w:rPr>
        <w:t xml:space="preserve"> </w:t>
      </w:r>
      <w:r>
        <w:rPr>
          <w:rFonts w:ascii="宋体" w:eastAsia="宋体" w:hAnsi="宋体" w:cs="宋体"/>
          <w:spacing w:val="-13"/>
          <w:sz w:val="22"/>
          <w:szCs w:val="22"/>
        </w:rPr>
        <w:t>物的解毒及排泄功能，可防止人体内的过氧化作用。</w:t>
      </w:r>
    </w:p>
    <w:p w:rsidR="00EA40A3" w:rsidRDefault="00E86C16">
      <w:pPr>
        <w:spacing w:before="69" w:line="244" w:lineRule="auto"/>
        <w:ind w:right="106" w:firstLine="419"/>
        <w:jc w:val="both"/>
        <w:rPr>
          <w:rFonts w:ascii="宋体" w:eastAsia="宋体" w:hAnsi="宋体" w:cs="宋体"/>
          <w:sz w:val="22"/>
          <w:szCs w:val="22"/>
        </w:rPr>
      </w:pPr>
      <w:r>
        <w:rPr>
          <w:rFonts w:ascii="宋体" w:eastAsia="宋体" w:hAnsi="宋体" w:cs="宋体"/>
          <w:spacing w:val="-2"/>
          <w:sz w:val="22"/>
          <w:szCs w:val="22"/>
        </w:rPr>
        <w:t>原花青素有很强的抗氧化性，可用于保护细胞DNA</w:t>
      </w:r>
      <w:r>
        <w:rPr>
          <w:rFonts w:ascii="宋体" w:eastAsia="宋体" w:hAnsi="宋体" w:cs="宋体"/>
          <w:spacing w:val="84"/>
          <w:sz w:val="22"/>
          <w:szCs w:val="22"/>
        </w:rPr>
        <w:t xml:space="preserve"> </w:t>
      </w:r>
      <w:r>
        <w:rPr>
          <w:rFonts w:ascii="宋体" w:eastAsia="宋体" w:hAnsi="宋体" w:cs="宋体"/>
          <w:spacing w:val="-2"/>
          <w:sz w:val="22"/>
          <w:szCs w:val="22"/>
        </w:rPr>
        <w:t>免遭自由</w:t>
      </w:r>
      <w:r>
        <w:rPr>
          <w:rFonts w:ascii="宋体" w:eastAsia="宋体" w:hAnsi="宋体" w:cs="宋体"/>
          <w:spacing w:val="-3"/>
          <w:sz w:val="22"/>
          <w:szCs w:val="22"/>
        </w:rPr>
        <w:t>基的氧化损</w:t>
      </w:r>
      <w:r>
        <w:rPr>
          <w:rFonts w:ascii="宋体" w:eastAsia="宋体" w:hAnsi="宋体" w:cs="宋体"/>
          <w:sz w:val="22"/>
          <w:szCs w:val="22"/>
        </w:rPr>
        <w:t xml:space="preserve"> </w:t>
      </w:r>
      <w:r>
        <w:rPr>
          <w:rFonts w:ascii="宋体" w:eastAsia="宋体" w:hAnsi="宋体" w:cs="宋体"/>
          <w:spacing w:val="-13"/>
          <w:sz w:val="22"/>
          <w:szCs w:val="22"/>
        </w:rPr>
        <w:t>伤，从而预防导致痛症的基因突变；可预防自由基对晶状体蛋白质的氧化，从而</w:t>
      </w:r>
      <w:r>
        <w:rPr>
          <w:rFonts w:ascii="宋体" w:eastAsia="宋体" w:hAnsi="宋体" w:cs="宋体"/>
          <w:spacing w:val="14"/>
          <w:sz w:val="22"/>
          <w:szCs w:val="22"/>
        </w:rPr>
        <w:t xml:space="preserve"> </w:t>
      </w:r>
      <w:r>
        <w:rPr>
          <w:rFonts w:ascii="宋体" w:eastAsia="宋体" w:hAnsi="宋体" w:cs="宋体"/>
          <w:spacing w:val="-12"/>
          <w:sz w:val="22"/>
          <w:szCs w:val="22"/>
        </w:rPr>
        <w:t>预防白内障的发生；可抑制诸如组胺、5-羟色胺、前列腺素</w:t>
      </w:r>
      <w:r>
        <w:rPr>
          <w:rFonts w:ascii="宋体" w:eastAsia="宋体" w:hAnsi="宋体" w:cs="宋体"/>
          <w:spacing w:val="-13"/>
          <w:sz w:val="22"/>
          <w:szCs w:val="22"/>
        </w:rPr>
        <w:t>及白三烯等炎性因子</w:t>
      </w:r>
      <w:r>
        <w:rPr>
          <w:rFonts w:ascii="宋体" w:eastAsia="宋体" w:hAnsi="宋体" w:cs="宋体"/>
          <w:sz w:val="22"/>
          <w:szCs w:val="22"/>
        </w:rPr>
        <w:t xml:space="preserve"> </w:t>
      </w:r>
      <w:r>
        <w:rPr>
          <w:rFonts w:ascii="宋体" w:eastAsia="宋体" w:hAnsi="宋体" w:cs="宋体"/>
          <w:spacing w:val="-13"/>
          <w:sz w:val="22"/>
          <w:szCs w:val="22"/>
        </w:rPr>
        <w:t>的合成和释放，具有抗过敏、抗炎作用；还可选择性地结合在关节的结缔组织上</w:t>
      </w:r>
    </w:p>
    <w:p w:rsidR="00EA40A3" w:rsidRDefault="00E86C16">
      <w:pPr>
        <w:spacing w:before="16"/>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158</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pgSz w:w="9220" w:h="13360"/>
          <w:pgMar w:top="400" w:right="1033" w:bottom="400" w:left="820" w:header="0" w:footer="0" w:gutter="0"/>
          <w:cols w:space="720"/>
        </w:sectPr>
      </w:pPr>
    </w:p>
    <w:p w:rsidR="00EA40A3" w:rsidRDefault="00EA40A3">
      <w:pPr>
        <w:spacing w:line="268" w:lineRule="auto"/>
      </w:pPr>
    </w:p>
    <w:p w:rsidR="00EA40A3" w:rsidRDefault="00EA40A3">
      <w:pPr>
        <w:spacing w:line="269" w:lineRule="auto"/>
      </w:pPr>
    </w:p>
    <w:p w:rsidR="00EA40A3" w:rsidRDefault="00E86C16">
      <w:pPr>
        <w:spacing w:before="68" w:line="260" w:lineRule="auto"/>
        <w:ind w:right="64"/>
        <w:jc w:val="both"/>
        <w:rPr>
          <w:rFonts w:ascii="宋体" w:eastAsia="宋体" w:hAnsi="宋体" w:cs="宋体"/>
        </w:rPr>
      </w:pPr>
      <w:bookmarkStart w:id="33" w:name="_bookmark37"/>
      <w:bookmarkEnd w:id="33"/>
      <w:r>
        <w:rPr>
          <w:rFonts w:ascii="宋体" w:eastAsia="宋体" w:hAnsi="宋体" w:cs="宋体"/>
          <w:spacing w:val="-3"/>
        </w:rPr>
        <w:t>以预防关节肿胀，帮助治愈受损组织，缓解疼痛，因而对各种类型的关节</w:t>
      </w:r>
      <w:r>
        <w:rPr>
          <w:rFonts w:ascii="宋体" w:eastAsia="宋体" w:hAnsi="宋体" w:cs="宋体"/>
          <w:spacing w:val="-4"/>
        </w:rPr>
        <w:t>炎效果</w:t>
      </w:r>
      <w:r>
        <w:rPr>
          <w:rFonts w:ascii="宋体" w:eastAsia="宋体" w:hAnsi="宋体" w:cs="宋体"/>
        </w:rPr>
        <w:t xml:space="preserve"> </w:t>
      </w:r>
      <w:r>
        <w:rPr>
          <w:rFonts w:ascii="宋体" w:eastAsia="宋体" w:hAnsi="宋体" w:cs="宋体"/>
          <w:spacing w:val="-3"/>
        </w:rPr>
        <w:t>显著。通过抗炎功效、自由基清除功效及结缔组织保护作用，对龋齿及</w:t>
      </w:r>
      <w:r>
        <w:rPr>
          <w:rFonts w:ascii="宋体" w:eastAsia="宋体" w:hAnsi="宋体" w:cs="宋体"/>
          <w:spacing w:val="-4"/>
        </w:rPr>
        <w:t>牙龈炎具</w:t>
      </w:r>
      <w:r>
        <w:rPr>
          <w:rFonts w:ascii="宋体" w:eastAsia="宋体" w:hAnsi="宋体" w:cs="宋体"/>
        </w:rPr>
        <w:t xml:space="preserve"> </w:t>
      </w:r>
      <w:r>
        <w:rPr>
          <w:rFonts w:ascii="宋体" w:eastAsia="宋体" w:hAnsi="宋体" w:cs="宋体"/>
          <w:spacing w:val="-3"/>
        </w:rPr>
        <w:t>有预防和治疗作用。原花青素还可用于心血管的保护，包括降血压、降</w:t>
      </w:r>
      <w:r>
        <w:rPr>
          <w:rFonts w:ascii="宋体" w:eastAsia="宋体" w:hAnsi="宋体" w:cs="宋体"/>
          <w:spacing w:val="-4"/>
        </w:rPr>
        <w:t>胆固醇及</w:t>
      </w:r>
      <w:r>
        <w:rPr>
          <w:rFonts w:ascii="宋体" w:eastAsia="宋体" w:hAnsi="宋体" w:cs="宋体"/>
        </w:rPr>
        <w:t xml:space="preserve"> </w:t>
      </w:r>
      <w:r>
        <w:rPr>
          <w:rFonts w:ascii="宋体" w:eastAsia="宋体" w:hAnsi="宋体" w:cs="宋体"/>
          <w:spacing w:val="-3"/>
        </w:rPr>
        <w:t>缩小沉积于血管壁上的胆固醇沉积物体积。原花青素还是一种抗皱美容产品，在</w:t>
      </w:r>
      <w:r>
        <w:rPr>
          <w:rFonts w:ascii="宋体" w:eastAsia="宋体" w:hAnsi="宋体" w:cs="宋体"/>
          <w:spacing w:val="15"/>
        </w:rPr>
        <w:t xml:space="preserve"> </w:t>
      </w:r>
      <w:r>
        <w:rPr>
          <w:rFonts w:ascii="宋体" w:eastAsia="宋体" w:hAnsi="宋体" w:cs="宋体"/>
          <w:spacing w:val="-3"/>
        </w:rPr>
        <w:t>欧美国家享有皮肤维生素或口服化妆品的美誉。其他功能作用还包括抗溃疡、预</w:t>
      </w:r>
      <w:r>
        <w:rPr>
          <w:rFonts w:ascii="宋体" w:eastAsia="宋体" w:hAnsi="宋体" w:cs="宋体"/>
          <w:spacing w:val="12"/>
        </w:rPr>
        <w:t xml:space="preserve"> </w:t>
      </w:r>
      <w:r>
        <w:rPr>
          <w:rFonts w:ascii="宋体" w:eastAsia="宋体" w:hAnsi="宋体" w:cs="宋体"/>
          <w:spacing w:val="-1"/>
        </w:rPr>
        <w:t>防老年性痴呆、</w:t>
      </w:r>
      <w:r>
        <w:rPr>
          <w:rFonts w:ascii="宋体" w:eastAsia="宋体" w:hAnsi="宋体" w:cs="宋体"/>
          <w:spacing w:val="-2"/>
        </w:rPr>
        <w:t>治疗哮喘及前列腺炎等。如葡萄原花青素</w:t>
      </w:r>
      <w:r>
        <w:rPr>
          <w:rFonts w:ascii="宋体" w:eastAsia="宋体" w:hAnsi="宋体" w:cs="宋体"/>
          <w:spacing w:val="-16"/>
        </w:rPr>
        <w:t xml:space="preserve"> </w:t>
      </w:r>
      <w:r>
        <w:rPr>
          <w:rFonts w:ascii="宋体" w:eastAsia="宋体" w:hAnsi="宋体" w:cs="宋体"/>
          <w:spacing w:val="-2"/>
        </w:rPr>
        <w:t>(</w:t>
      </w:r>
      <w:r>
        <w:rPr>
          <w:rFonts w:ascii="宋体" w:eastAsia="宋体" w:hAnsi="宋体" w:cs="宋体"/>
          <w:spacing w:val="-1"/>
        </w:rPr>
        <w:t>grape</w:t>
      </w:r>
      <w:r>
        <w:rPr>
          <w:rFonts w:ascii="宋体" w:eastAsia="宋体" w:hAnsi="宋体" w:cs="宋体"/>
          <w:spacing w:val="-2"/>
        </w:rPr>
        <w:t xml:space="preserve"> </w:t>
      </w:r>
      <w:r>
        <w:rPr>
          <w:rFonts w:ascii="宋体" w:eastAsia="宋体" w:hAnsi="宋体" w:cs="宋体"/>
          <w:spacing w:val="-1"/>
        </w:rPr>
        <w:t>procyanidin</w:t>
      </w:r>
      <w:r>
        <w:rPr>
          <w:rFonts w:ascii="宋体" w:eastAsia="宋体" w:hAnsi="宋体" w:cs="宋体"/>
          <w:spacing w:val="-2"/>
        </w:rPr>
        <w:t>,</w:t>
      </w:r>
      <w:r>
        <w:rPr>
          <w:rFonts w:ascii="宋体" w:eastAsia="宋体" w:hAnsi="宋体" w:cs="宋体"/>
        </w:rPr>
        <w:t xml:space="preserve"> </w:t>
      </w:r>
      <w:r>
        <w:rPr>
          <w:rFonts w:ascii="宋体" w:eastAsia="宋体" w:hAnsi="宋体" w:cs="宋体"/>
          <w:spacing w:val="-3"/>
        </w:rPr>
        <w:t>GPC)</w:t>
      </w:r>
      <w:r>
        <w:rPr>
          <w:rFonts w:ascii="宋体" w:eastAsia="宋体" w:hAnsi="宋体" w:cs="宋体"/>
          <w:spacing w:val="100"/>
        </w:rPr>
        <w:t xml:space="preserve"> </w:t>
      </w:r>
      <w:r>
        <w:rPr>
          <w:rFonts w:ascii="宋体" w:eastAsia="宋体" w:hAnsi="宋体" w:cs="宋体"/>
          <w:spacing w:val="-3"/>
        </w:rPr>
        <w:t>是从葡萄中提取的一种天然植物多酚，具有抗氧化、清除自由基、抑制血</w:t>
      </w:r>
      <w:r>
        <w:rPr>
          <w:rFonts w:ascii="宋体" w:eastAsia="宋体" w:hAnsi="宋体" w:cs="宋体"/>
        </w:rPr>
        <w:t xml:space="preserve"> </w:t>
      </w:r>
      <w:r>
        <w:rPr>
          <w:rFonts w:ascii="宋体" w:eastAsia="宋体" w:hAnsi="宋体" w:cs="宋体"/>
          <w:spacing w:val="-3"/>
        </w:rPr>
        <w:t>小板聚集等多种生物学效应，并能减轻一些化学毒物对细胞的毒性作</w:t>
      </w:r>
      <w:r>
        <w:rPr>
          <w:rFonts w:ascii="宋体" w:eastAsia="宋体" w:hAnsi="宋体" w:cs="宋体"/>
          <w:spacing w:val="-4"/>
        </w:rPr>
        <w:t>用，有极强</w:t>
      </w:r>
      <w:r>
        <w:rPr>
          <w:rFonts w:ascii="宋体" w:eastAsia="宋体" w:hAnsi="宋体" w:cs="宋体"/>
        </w:rPr>
        <w:t xml:space="preserve"> 的抗氧化活性；可对胶原酶、弹性酶、透明质酸酶和β-葡糖醛酸</w:t>
      </w:r>
      <w:r>
        <w:rPr>
          <w:rFonts w:ascii="宋体" w:eastAsia="宋体" w:hAnsi="宋体" w:cs="宋体"/>
          <w:spacing w:val="-1"/>
        </w:rPr>
        <w:t>苷酶产生强大</w:t>
      </w:r>
      <w:r>
        <w:rPr>
          <w:rFonts w:ascii="宋体" w:eastAsia="宋体" w:hAnsi="宋体" w:cs="宋体"/>
        </w:rPr>
        <w:t xml:space="preserve"> </w:t>
      </w:r>
      <w:r>
        <w:rPr>
          <w:rFonts w:ascii="宋体" w:eastAsia="宋体" w:hAnsi="宋体" w:cs="宋体"/>
          <w:spacing w:val="-3"/>
        </w:rPr>
        <w:t>的抑制作用，而这些酶可分别对胶原、弹性蛋白和透明质酸等构成</w:t>
      </w:r>
      <w:r>
        <w:rPr>
          <w:rFonts w:ascii="宋体" w:eastAsia="宋体" w:hAnsi="宋体" w:cs="宋体"/>
          <w:spacing w:val="-4"/>
        </w:rPr>
        <w:t>血管内壁的重</w:t>
      </w:r>
      <w:r>
        <w:rPr>
          <w:rFonts w:ascii="宋体" w:eastAsia="宋体" w:hAnsi="宋体" w:cs="宋体"/>
        </w:rPr>
        <w:t xml:space="preserve"> </w:t>
      </w:r>
      <w:r>
        <w:rPr>
          <w:rFonts w:ascii="宋体" w:eastAsia="宋体" w:hAnsi="宋体" w:cs="宋体"/>
          <w:spacing w:val="-3"/>
        </w:rPr>
        <w:t>要物质造成破坏。而越橘中所含花青素是一种水溶性色素，可改善视觉并减少因</w:t>
      </w:r>
      <w:r>
        <w:rPr>
          <w:rFonts w:ascii="宋体" w:eastAsia="宋体" w:hAnsi="宋体" w:cs="宋体"/>
          <w:spacing w:val="5"/>
        </w:rPr>
        <w:t xml:space="preserve"> </w:t>
      </w:r>
      <w:r>
        <w:rPr>
          <w:rFonts w:ascii="宋体" w:eastAsia="宋体" w:hAnsi="宋体" w:cs="宋体"/>
          <w:spacing w:val="-11"/>
        </w:rPr>
        <w:t>老化产生的疾病。</w:t>
      </w:r>
    </w:p>
    <w:p w:rsidR="00EA40A3" w:rsidRDefault="00E86C16">
      <w:pPr>
        <w:spacing w:before="236" w:line="221" w:lineRule="auto"/>
        <w:ind w:left="3"/>
        <w:outlineLvl w:val="6"/>
        <w:rPr>
          <w:rFonts w:ascii="黑体" w:eastAsia="黑体" w:hAnsi="黑体" w:cs="黑体"/>
          <w:sz w:val="25"/>
          <w:szCs w:val="25"/>
        </w:rPr>
      </w:pPr>
      <w:r>
        <w:rPr>
          <w:rFonts w:ascii="黑体" w:eastAsia="黑体" w:hAnsi="黑体" w:cs="黑体"/>
          <w:b/>
          <w:bCs/>
          <w:spacing w:val="-15"/>
          <w:sz w:val="25"/>
          <w:szCs w:val="25"/>
        </w:rPr>
        <w:t>5.2.3</w:t>
      </w:r>
      <w:r>
        <w:rPr>
          <w:rFonts w:ascii="黑体" w:eastAsia="黑体" w:hAnsi="黑体" w:cs="黑体"/>
          <w:spacing w:val="19"/>
          <w:sz w:val="25"/>
          <w:szCs w:val="25"/>
        </w:rPr>
        <w:t xml:space="preserve">  </w:t>
      </w:r>
      <w:r>
        <w:rPr>
          <w:rFonts w:ascii="黑体" w:eastAsia="黑体" w:hAnsi="黑体" w:cs="黑体"/>
          <w:b/>
          <w:bCs/>
          <w:spacing w:val="-15"/>
          <w:sz w:val="25"/>
          <w:szCs w:val="25"/>
        </w:rPr>
        <w:t>茶多酚</w:t>
      </w:r>
    </w:p>
    <w:p w:rsidR="00EA40A3" w:rsidRDefault="00E86C16">
      <w:pPr>
        <w:spacing w:before="198" w:line="256" w:lineRule="auto"/>
        <w:ind w:right="93" w:firstLine="410"/>
        <w:rPr>
          <w:rFonts w:ascii="宋体" w:eastAsia="宋体" w:hAnsi="宋体" w:cs="宋体"/>
        </w:rPr>
      </w:pPr>
      <w:r>
        <w:rPr>
          <w:rFonts w:ascii="宋体" w:eastAsia="宋体" w:hAnsi="宋体" w:cs="宋体"/>
          <w:spacing w:val="-6"/>
        </w:rPr>
        <w:t>多酚类</w:t>
      </w:r>
      <w:r>
        <w:rPr>
          <w:rFonts w:ascii="宋体" w:eastAsia="宋体" w:hAnsi="宋体" w:cs="宋体"/>
          <w:spacing w:val="13"/>
        </w:rPr>
        <w:t xml:space="preserve"> </w:t>
      </w:r>
      <w:r>
        <w:rPr>
          <w:rFonts w:ascii="宋体" w:eastAsia="宋体" w:hAnsi="宋体" w:cs="宋体"/>
          <w:spacing w:val="-6"/>
        </w:rPr>
        <w:t>(polyphenol)</w:t>
      </w:r>
      <w:r>
        <w:rPr>
          <w:rFonts w:ascii="宋体" w:eastAsia="宋体" w:hAnsi="宋体" w:cs="宋体"/>
          <w:spacing w:val="-60"/>
        </w:rPr>
        <w:t xml:space="preserve"> </w:t>
      </w:r>
      <w:r>
        <w:rPr>
          <w:rFonts w:ascii="宋体" w:eastAsia="宋体" w:hAnsi="宋体" w:cs="宋体"/>
          <w:spacing w:val="-6"/>
        </w:rPr>
        <w:t>可分为两大类化合物，</w:t>
      </w:r>
      <w:r>
        <w:rPr>
          <w:rFonts w:ascii="宋体" w:eastAsia="宋体" w:hAnsi="宋体" w:cs="宋体"/>
          <w:spacing w:val="58"/>
        </w:rPr>
        <w:t xml:space="preserve"> </w:t>
      </w:r>
      <w:r>
        <w:rPr>
          <w:rFonts w:ascii="宋体" w:eastAsia="宋体" w:hAnsi="宋体" w:cs="宋体"/>
          <w:spacing w:val="-6"/>
        </w:rPr>
        <w:t>一类是多</w:t>
      </w:r>
      <w:r>
        <w:rPr>
          <w:rFonts w:ascii="宋体" w:eastAsia="宋体" w:hAnsi="宋体" w:cs="宋体"/>
          <w:spacing w:val="-7"/>
        </w:rPr>
        <w:t>酚的单体，即非聚合</w:t>
      </w:r>
      <w:r>
        <w:rPr>
          <w:rFonts w:ascii="宋体" w:eastAsia="宋体" w:hAnsi="宋体" w:cs="宋体"/>
        </w:rPr>
        <w:t xml:space="preserve"> </w:t>
      </w:r>
      <w:r>
        <w:rPr>
          <w:rFonts w:ascii="宋体" w:eastAsia="宋体" w:hAnsi="宋体" w:cs="宋体"/>
          <w:spacing w:val="-3"/>
        </w:rPr>
        <w:t>物，包括各种黄酮类化合物及其苷类，另一类则是由单体聚合而成的</w:t>
      </w:r>
      <w:r>
        <w:rPr>
          <w:rFonts w:ascii="宋体" w:eastAsia="宋体" w:hAnsi="宋体" w:cs="宋体"/>
          <w:spacing w:val="-4"/>
        </w:rPr>
        <w:t>低聚或多聚</w:t>
      </w:r>
      <w:r>
        <w:rPr>
          <w:rFonts w:ascii="宋体" w:eastAsia="宋体" w:hAnsi="宋体" w:cs="宋体"/>
        </w:rPr>
        <w:t xml:space="preserve"> </w:t>
      </w:r>
      <w:r>
        <w:rPr>
          <w:rFonts w:ascii="宋体" w:eastAsia="宋体" w:hAnsi="宋体" w:cs="宋体"/>
          <w:spacing w:val="-6"/>
        </w:rPr>
        <w:t>体。这些物质都有一定量的</w:t>
      </w:r>
      <w:r>
        <w:rPr>
          <w:rFonts w:ascii="宋体" w:eastAsia="宋体" w:hAnsi="宋体" w:cs="宋体"/>
          <w:spacing w:val="-27"/>
        </w:rPr>
        <w:t xml:space="preserve"> </w:t>
      </w:r>
      <w:r>
        <w:rPr>
          <w:rFonts w:ascii="宋体" w:eastAsia="宋体" w:hAnsi="宋体" w:cs="宋体"/>
          <w:spacing w:val="-6"/>
        </w:rPr>
        <w:t>·ROH</w:t>
      </w:r>
      <w:r>
        <w:rPr>
          <w:rFonts w:ascii="宋体" w:eastAsia="宋体" w:hAnsi="宋体" w:cs="宋体"/>
          <w:spacing w:val="5"/>
        </w:rPr>
        <w:t xml:space="preserve">  </w:t>
      </w:r>
      <w:r>
        <w:rPr>
          <w:rFonts w:ascii="宋体" w:eastAsia="宋体" w:hAnsi="宋体" w:cs="宋体"/>
          <w:spacing w:val="-6"/>
        </w:rPr>
        <w:t>基，能形成有抗氧化作用的氢自由基</w:t>
      </w:r>
      <w:r>
        <w:rPr>
          <w:rFonts w:ascii="宋体" w:eastAsia="宋体" w:hAnsi="宋体" w:cs="宋体"/>
          <w:spacing w:val="-13"/>
        </w:rPr>
        <w:t xml:space="preserve"> </w:t>
      </w:r>
      <w:r>
        <w:rPr>
          <w:rFonts w:ascii="宋体" w:eastAsia="宋体" w:hAnsi="宋体" w:cs="宋体"/>
          <w:spacing w:val="-6"/>
        </w:rPr>
        <w:t>(H*),</w:t>
      </w:r>
      <w:r>
        <w:rPr>
          <w:rFonts w:ascii="宋体" w:eastAsia="宋体" w:hAnsi="宋体" w:cs="宋体"/>
        </w:rPr>
        <w:t xml:space="preserve">  </w:t>
      </w:r>
      <w:r>
        <w:rPr>
          <w:rFonts w:ascii="宋体" w:eastAsia="宋体" w:hAnsi="宋体" w:cs="宋体"/>
          <w:spacing w:val="-4"/>
        </w:rPr>
        <w:t>以</w:t>
      </w:r>
      <w:r>
        <w:rPr>
          <w:rFonts w:ascii="宋体" w:eastAsia="宋体" w:hAnsi="宋体" w:cs="宋体"/>
          <w:spacing w:val="-42"/>
        </w:rPr>
        <w:t xml:space="preserve"> </w:t>
      </w:r>
      <w:r>
        <w:rPr>
          <w:rFonts w:ascii="宋体" w:eastAsia="宋体" w:hAnsi="宋体" w:cs="宋体"/>
          <w:spacing w:val="-4"/>
        </w:rPr>
        <w:t>消</w:t>
      </w:r>
      <w:r>
        <w:rPr>
          <w:rFonts w:ascii="宋体" w:eastAsia="宋体" w:hAnsi="宋体" w:cs="宋体"/>
          <w:spacing w:val="-34"/>
        </w:rPr>
        <w:t xml:space="preserve"> </w:t>
      </w:r>
      <w:r>
        <w:rPr>
          <w:rFonts w:ascii="宋体" w:eastAsia="宋体" w:hAnsi="宋体" w:cs="宋体"/>
          <w:spacing w:val="-4"/>
        </w:rPr>
        <w:t>除</w:t>
      </w:r>
      <w:r>
        <w:rPr>
          <w:rFonts w:ascii="宋体" w:eastAsia="宋体" w:hAnsi="宋体" w:cs="宋体"/>
          <w:spacing w:val="-9"/>
        </w:rPr>
        <w:t xml:space="preserve"> </w:t>
      </w:r>
      <w:r>
        <w:rPr>
          <w:rFonts w:ascii="宋体" w:eastAsia="宋体" w:hAnsi="宋体" w:cs="宋体"/>
          <w:spacing w:val="-4"/>
        </w:rPr>
        <w:t>(</w:t>
      </w:r>
      <w:r>
        <w:rPr>
          <w:rFonts w:ascii="Calibri" w:eastAsia="Calibri" w:hAnsi="Calibri" w:cs="Calibri"/>
          <w:spacing w:val="-4"/>
        </w:rPr>
        <w:t>₂</w:t>
      </w:r>
      <w:r>
        <w:rPr>
          <w:rFonts w:ascii="宋体" w:eastAsia="宋体" w:hAnsi="宋体" w:cs="宋体"/>
          <w:spacing w:val="-4"/>
        </w:rPr>
        <w:t>和</w:t>
      </w:r>
      <w:r>
        <w:rPr>
          <w:rFonts w:ascii="宋体" w:eastAsia="宋体" w:hAnsi="宋体" w:cs="宋体"/>
          <w:spacing w:val="19"/>
        </w:rPr>
        <w:t xml:space="preserve"> </w:t>
      </w:r>
      <w:r>
        <w:rPr>
          <w:rFonts w:ascii="宋体" w:eastAsia="宋体" w:hAnsi="宋体" w:cs="宋体"/>
          <w:spacing w:val="-4"/>
        </w:rPr>
        <w:t>OH</w:t>
      </w:r>
      <w:r>
        <w:rPr>
          <w:rFonts w:ascii="宋体" w:eastAsia="宋体" w:hAnsi="宋体" w:cs="宋体"/>
          <w:spacing w:val="-25"/>
        </w:rPr>
        <w:t xml:space="preserve"> </w:t>
      </w:r>
      <w:r>
        <w:rPr>
          <w:rFonts w:ascii="宋体" w:eastAsia="宋体" w:hAnsi="宋体" w:cs="宋体"/>
          <w:spacing w:val="-4"/>
        </w:rPr>
        <w:t>·</w:t>
      </w:r>
      <w:r>
        <w:rPr>
          <w:rFonts w:ascii="宋体" w:eastAsia="宋体" w:hAnsi="宋体" w:cs="宋体"/>
          <w:spacing w:val="-47"/>
        </w:rPr>
        <w:t xml:space="preserve"> </w:t>
      </w:r>
      <w:r>
        <w:rPr>
          <w:rFonts w:ascii="宋体" w:eastAsia="宋体" w:hAnsi="宋体" w:cs="宋体"/>
          <w:spacing w:val="-4"/>
        </w:rPr>
        <w:t>等自由基的活性，从而保护组织免受氧化作</w:t>
      </w:r>
      <w:r>
        <w:rPr>
          <w:rFonts w:ascii="宋体" w:eastAsia="宋体" w:hAnsi="宋体" w:cs="宋体"/>
          <w:spacing w:val="-5"/>
        </w:rPr>
        <w:t>用的损害，以及</w:t>
      </w:r>
      <w:r>
        <w:rPr>
          <w:rFonts w:ascii="宋体" w:eastAsia="宋体" w:hAnsi="宋体" w:cs="宋体"/>
        </w:rPr>
        <w:t xml:space="preserve"> </w:t>
      </w:r>
      <w:r>
        <w:rPr>
          <w:rFonts w:ascii="宋体" w:eastAsia="宋体" w:hAnsi="宋体" w:cs="宋体"/>
          <w:spacing w:val="-4"/>
        </w:rPr>
        <w:t>增强免疫功能、抗癌、抗衰老、抗龋齿、抗菌和抑制胆固醇升高等作用。</w:t>
      </w:r>
    </w:p>
    <w:p w:rsidR="00EA40A3" w:rsidRDefault="00E86C16">
      <w:pPr>
        <w:spacing w:before="78" w:line="253" w:lineRule="auto"/>
        <w:ind w:firstLine="410"/>
        <w:rPr>
          <w:rFonts w:ascii="宋体" w:eastAsia="宋体" w:hAnsi="宋体" w:cs="宋体"/>
        </w:rPr>
      </w:pPr>
      <w:r>
        <w:rPr>
          <w:rFonts w:ascii="宋体" w:eastAsia="宋体" w:hAnsi="宋体" w:cs="宋体"/>
          <w:spacing w:val="-3"/>
        </w:rPr>
        <w:t>不同植物中提取的多酚会有一些不同的生理功能，目前研究较多、时间</w:t>
      </w:r>
      <w:r>
        <w:rPr>
          <w:rFonts w:ascii="宋体" w:eastAsia="宋体" w:hAnsi="宋体" w:cs="宋体"/>
          <w:spacing w:val="-4"/>
        </w:rPr>
        <w:t>较长</w:t>
      </w:r>
      <w:r>
        <w:rPr>
          <w:rFonts w:ascii="宋体" w:eastAsia="宋体" w:hAnsi="宋体" w:cs="宋体"/>
        </w:rPr>
        <w:t xml:space="preserve">  </w:t>
      </w:r>
      <w:r>
        <w:rPr>
          <w:rFonts w:ascii="宋体" w:eastAsia="宋体" w:hAnsi="宋体" w:cs="宋体"/>
          <w:spacing w:val="-1"/>
        </w:rPr>
        <w:t>的是茶叶多酚</w:t>
      </w:r>
      <w:r>
        <w:rPr>
          <w:rFonts w:ascii="宋体" w:eastAsia="宋体" w:hAnsi="宋体" w:cs="宋体"/>
          <w:spacing w:val="4"/>
        </w:rPr>
        <w:t xml:space="preserve"> </w:t>
      </w:r>
      <w:r>
        <w:rPr>
          <w:rFonts w:ascii="宋体" w:eastAsia="宋体" w:hAnsi="宋体" w:cs="宋体"/>
          <w:spacing w:val="-1"/>
        </w:rPr>
        <w:t>(tea</w:t>
      </w:r>
      <w:r>
        <w:rPr>
          <w:rFonts w:ascii="宋体" w:eastAsia="宋体" w:hAnsi="宋体" w:cs="宋体"/>
          <w:spacing w:val="19"/>
        </w:rPr>
        <w:t xml:space="preserve">  </w:t>
      </w:r>
      <w:r>
        <w:rPr>
          <w:rFonts w:ascii="宋体" w:eastAsia="宋体" w:hAnsi="宋体" w:cs="宋体"/>
          <w:spacing w:val="-1"/>
        </w:rPr>
        <w:t>polyphenol,TP)。TP大量存在于茶叶中，约占其干物质的</w:t>
      </w:r>
      <w:r>
        <w:rPr>
          <w:rFonts w:ascii="宋体" w:eastAsia="宋体" w:hAnsi="宋体" w:cs="宋体"/>
        </w:rPr>
        <w:t xml:space="preserve">  </w:t>
      </w:r>
      <w:r>
        <w:rPr>
          <w:rFonts w:ascii="宋体" w:eastAsia="宋体" w:hAnsi="宋体" w:cs="宋体"/>
          <w:spacing w:val="8"/>
        </w:rPr>
        <w:t>24%～38%,主要由黄烷醇、花白素、花青素、黄酮类、黄酮醇类、黄烷酮类、</w:t>
      </w:r>
      <w:r>
        <w:rPr>
          <w:rFonts w:ascii="宋体" w:eastAsia="宋体" w:hAnsi="宋体" w:cs="宋体"/>
          <w:spacing w:val="3"/>
        </w:rPr>
        <w:t xml:space="preserve"> </w:t>
      </w:r>
      <w:r>
        <w:rPr>
          <w:rFonts w:ascii="宋体" w:eastAsia="宋体" w:hAnsi="宋体" w:cs="宋体"/>
          <w:spacing w:val="-9"/>
        </w:rPr>
        <w:t>黄烷酮醇及酚酸类等组成。</w:t>
      </w:r>
    </w:p>
    <w:p w:rsidR="00EA40A3" w:rsidRDefault="00E86C16">
      <w:pPr>
        <w:spacing w:before="94" w:line="260" w:lineRule="auto"/>
        <w:ind w:firstLine="410"/>
        <w:rPr>
          <w:rFonts w:ascii="宋体" w:eastAsia="宋体" w:hAnsi="宋体" w:cs="宋体"/>
        </w:rPr>
      </w:pPr>
      <w:r>
        <w:rPr>
          <w:rFonts w:ascii="宋体" w:eastAsia="宋体" w:hAnsi="宋体" w:cs="宋体"/>
        </w:rPr>
        <w:t xml:space="preserve">TP </w:t>
      </w:r>
      <w:r>
        <w:rPr>
          <w:rFonts w:ascii="宋体" w:eastAsia="宋体" w:hAnsi="宋体" w:cs="宋体"/>
          <w:spacing w:val="4"/>
        </w:rPr>
        <w:t>及其氧化产物是一类含多个酚—</w:t>
      </w:r>
      <w:r>
        <w:rPr>
          <w:rFonts w:ascii="宋体" w:eastAsia="宋体" w:hAnsi="宋体" w:cs="宋体"/>
        </w:rPr>
        <w:t>OH</w:t>
      </w:r>
      <w:r>
        <w:rPr>
          <w:rFonts w:ascii="宋体" w:eastAsia="宋体" w:hAnsi="宋体" w:cs="宋体"/>
          <w:spacing w:val="92"/>
        </w:rPr>
        <w:t xml:space="preserve"> </w:t>
      </w:r>
      <w:r>
        <w:rPr>
          <w:rFonts w:ascii="宋体" w:eastAsia="宋体" w:hAnsi="宋体" w:cs="宋体"/>
          <w:spacing w:val="4"/>
        </w:rPr>
        <w:t>的化合物，较易氧化而提</w:t>
      </w:r>
      <w:r>
        <w:rPr>
          <w:rFonts w:ascii="宋体" w:eastAsia="宋体" w:hAnsi="宋体" w:cs="宋体"/>
          <w:spacing w:val="3"/>
        </w:rPr>
        <w:t>供质子，</w:t>
      </w:r>
      <w:r>
        <w:rPr>
          <w:rFonts w:ascii="宋体" w:eastAsia="宋体" w:hAnsi="宋体" w:cs="宋体"/>
        </w:rPr>
        <w:t xml:space="preserve"> </w:t>
      </w:r>
      <w:r>
        <w:rPr>
          <w:rFonts w:ascii="宋体" w:eastAsia="宋体" w:hAnsi="宋体" w:cs="宋体"/>
          <w:spacing w:val="4"/>
        </w:rPr>
        <w:t>具酚类抗氧化剂的通性。尤其B</w:t>
      </w:r>
      <w:r>
        <w:rPr>
          <w:rFonts w:ascii="宋体" w:eastAsia="宋体" w:hAnsi="宋体" w:cs="宋体"/>
          <w:spacing w:val="-17"/>
        </w:rPr>
        <w:t xml:space="preserve"> </w:t>
      </w:r>
      <w:r>
        <w:rPr>
          <w:rFonts w:ascii="宋体" w:eastAsia="宋体" w:hAnsi="宋体" w:cs="宋体"/>
          <w:spacing w:val="4"/>
        </w:rPr>
        <w:t>环上的邻位酚或连位酚有较高的还原性，易</w:t>
      </w:r>
      <w:r>
        <w:rPr>
          <w:rFonts w:ascii="宋体" w:eastAsia="宋体" w:hAnsi="宋体" w:cs="宋体"/>
          <w:spacing w:val="3"/>
        </w:rPr>
        <w:t>发</w:t>
      </w:r>
      <w:r>
        <w:rPr>
          <w:rFonts w:ascii="宋体" w:eastAsia="宋体" w:hAnsi="宋体" w:cs="宋体"/>
        </w:rPr>
        <w:t xml:space="preserve"> </w:t>
      </w:r>
      <w:r>
        <w:rPr>
          <w:rFonts w:ascii="宋体" w:eastAsia="宋体" w:hAnsi="宋体" w:cs="宋体"/>
          <w:spacing w:val="-1"/>
        </w:rPr>
        <w:t>生氧化产生邻醌类物质，而提供</w:t>
      </w:r>
      <w:r>
        <w:rPr>
          <w:rFonts w:ascii="宋体" w:eastAsia="宋体" w:hAnsi="宋体" w:cs="宋体"/>
          <w:spacing w:val="-47"/>
        </w:rPr>
        <w:t xml:space="preserve"> </w:t>
      </w:r>
      <w:r>
        <w:rPr>
          <w:rFonts w:ascii="宋体" w:eastAsia="宋体" w:hAnsi="宋体" w:cs="宋体"/>
          <w:spacing w:val="-1"/>
        </w:rPr>
        <w:t>H+</w:t>
      </w:r>
      <w:r>
        <w:rPr>
          <w:rFonts w:ascii="宋体" w:eastAsia="宋体" w:hAnsi="宋体" w:cs="宋体"/>
          <w:spacing w:val="-2"/>
        </w:rPr>
        <w:t xml:space="preserve"> </w:t>
      </w:r>
      <w:r>
        <w:rPr>
          <w:rFonts w:ascii="宋体" w:eastAsia="宋体" w:hAnsi="宋体" w:cs="宋体"/>
          <w:spacing w:val="-1"/>
        </w:rPr>
        <w:t>与自由基结合，可直接清除自由基，避免氧</w:t>
      </w:r>
      <w:r>
        <w:rPr>
          <w:rFonts w:ascii="宋体" w:eastAsia="宋体" w:hAnsi="宋体" w:cs="宋体"/>
        </w:rPr>
        <w:t xml:space="preserve"> </w:t>
      </w:r>
      <w:r>
        <w:rPr>
          <w:rFonts w:ascii="宋体" w:eastAsia="宋体" w:hAnsi="宋体" w:cs="宋体"/>
          <w:spacing w:val="-4"/>
        </w:rPr>
        <w:t>化损伤。其次，</w:t>
      </w:r>
      <w:r>
        <w:rPr>
          <w:rFonts w:ascii="宋体" w:eastAsia="宋体" w:hAnsi="宋体" w:cs="宋体"/>
          <w:spacing w:val="4"/>
        </w:rPr>
        <w:t xml:space="preserve"> </w:t>
      </w:r>
      <w:r>
        <w:rPr>
          <w:rFonts w:ascii="宋体" w:eastAsia="宋体" w:hAnsi="宋体" w:cs="宋体"/>
          <w:spacing w:val="-4"/>
        </w:rPr>
        <w:t>TP</w:t>
      </w:r>
      <w:r>
        <w:rPr>
          <w:rFonts w:ascii="宋体" w:eastAsia="宋体" w:hAnsi="宋体" w:cs="宋体"/>
          <w:spacing w:val="20"/>
        </w:rPr>
        <w:t xml:space="preserve"> </w:t>
      </w:r>
      <w:r>
        <w:rPr>
          <w:rFonts w:ascii="宋体" w:eastAsia="宋体" w:hAnsi="宋体" w:cs="宋体"/>
          <w:spacing w:val="-4"/>
        </w:rPr>
        <w:t>及其氧化产物可作用于产生自</w:t>
      </w:r>
      <w:r>
        <w:rPr>
          <w:rFonts w:ascii="宋体" w:eastAsia="宋体" w:hAnsi="宋体" w:cs="宋体"/>
          <w:spacing w:val="-5"/>
        </w:rPr>
        <w:t>由基的相关酶类，络合金属离</w:t>
      </w:r>
      <w:r>
        <w:rPr>
          <w:rFonts w:ascii="宋体" w:eastAsia="宋体" w:hAnsi="宋体" w:cs="宋体"/>
        </w:rPr>
        <w:t xml:space="preserve">  </w:t>
      </w:r>
      <w:r>
        <w:rPr>
          <w:rFonts w:ascii="宋体" w:eastAsia="宋体" w:hAnsi="宋体" w:cs="宋体"/>
          <w:spacing w:val="-3"/>
        </w:rPr>
        <w:t>子，间接清除自由基，起到预防和断链双重作用。第三，</w:t>
      </w:r>
      <w:r>
        <w:rPr>
          <w:rFonts w:ascii="宋体" w:eastAsia="宋体" w:hAnsi="宋体" w:cs="宋体"/>
          <w:spacing w:val="-5"/>
        </w:rPr>
        <w:t xml:space="preserve"> </w:t>
      </w:r>
      <w:r>
        <w:rPr>
          <w:rFonts w:ascii="宋体" w:eastAsia="宋体" w:hAnsi="宋体" w:cs="宋体"/>
          <w:spacing w:val="-3"/>
        </w:rPr>
        <w:t>TP</w:t>
      </w:r>
      <w:r>
        <w:rPr>
          <w:rFonts w:ascii="宋体" w:eastAsia="宋体" w:hAnsi="宋体" w:cs="宋体"/>
          <w:spacing w:val="30"/>
        </w:rPr>
        <w:t xml:space="preserve"> </w:t>
      </w:r>
      <w:r>
        <w:rPr>
          <w:rFonts w:ascii="宋体" w:eastAsia="宋体" w:hAnsi="宋体" w:cs="宋体"/>
          <w:spacing w:val="-3"/>
        </w:rPr>
        <w:t>及其氧</w:t>
      </w:r>
      <w:r>
        <w:rPr>
          <w:rFonts w:ascii="宋体" w:eastAsia="宋体" w:hAnsi="宋体" w:cs="宋体"/>
          <w:spacing w:val="-4"/>
        </w:rPr>
        <w:t>化产物丰富</w:t>
      </w:r>
      <w:r>
        <w:rPr>
          <w:rFonts w:ascii="宋体" w:eastAsia="宋体" w:hAnsi="宋体" w:cs="宋体"/>
        </w:rPr>
        <w:t xml:space="preserve"> </w:t>
      </w:r>
      <w:r>
        <w:rPr>
          <w:rFonts w:ascii="宋体" w:eastAsia="宋体" w:hAnsi="宋体" w:cs="宋体"/>
          <w:spacing w:val="-3"/>
        </w:rPr>
        <w:t>的活性—OH</w:t>
      </w:r>
      <w:r>
        <w:rPr>
          <w:rFonts w:ascii="宋体" w:eastAsia="宋体" w:hAnsi="宋体" w:cs="宋体"/>
          <w:spacing w:val="86"/>
        </w:rPr>
        <w:t xml:space="preserve"> </w:t>
      </w:r>
      <w:r>
        <w:rPr>
          <w:rFonts w:ascii="宋体" w:eastAsia="宋体" w:hAnsi="宋体" w:cs="宋体"/>
          <w:spacing w:val="-3"/>
        </w:rPr>
        <w:t>可与蛋白质等大分子通过氢键结合而影响许多生理过程，如可影响</w:t>
      </w:r>
      <w:r>
        <w:rPr>
          <w:rFonts w:ascii="宋体" w:eastAsia="宋体" w:hAnsi="宋体" w:cs="宋体"/>
        </w:rPr>
        <w:t xml:space="preserve">  </w:t>
      </w:r>
      <w:r>
        <w:rPr>
          <w:rFonts w:ascii="宋体" w:eastAsia="宋体" w:hAnsi="宋体" w:cs="宋体"/>
          <w:spacing w:val="4"/>
        </w:rPr>
        <w:t>许多酶的活性，包括增强抗氧化酶</w:t>
      </w:r>
      <w:r>
        <w:rPr>
          <w:rFonts w:ascii="宋体" w:eastAsia="宋体" w:hAnsi="宋体" w:cs="宋体"/>
        </w:rPr>
        <w:t>GSH</w:t>
      </w:r>
      <w:r>
        <w:rPr>
          <w:rFonts w:ascii="宋体" w:eastAsia="宋体" w:hAnsi="宋体" w:cs="宋体"/>
          <w:spacing w:val="4"/>
        </w:rPr>
        <w:t>-</w:t>
      </w:r>
      <w:r>
        <w:rPr>
          <w:rFonts w:ascii="宋体" w:eastAsia="宋体" w:hAnsi="宋体" w:cs="宋体"/>
        </w:rPr>
        <w:t>Px</w:t>
      </w:r>
      <w:r>
        <w:rPr>
          <w:rFonts w:ascii="宋体" w:eastAsia="宋体" w:hAnsi="宋体" w:cs="宋体"/>
          <w:spacing w:val="4"/>
        </w:rPr>
        <w:t>、</w:t>
      </w:r>
      <w:r>
        <w:rPr>
          <w:rFonts w:ascii="宋体" w:eastAsia="宋体" w:hAnsi="宋体" w:cs="宋体"/>
        </w:rPr>
        <w:t>CAT</w:t>
      </w:r>
      <w:r>
        <w:rPr>
          <w:rFonts w:ascii="宋体" w:eastAsia="宋体" w:hAnsi="宋体" w:cs="宋体"/>
          <w:spacing w:val="9"/>
        </w:rPr>
        <w:t xml:space="preserve">   </w:t>
      </w:r>
      <w:r>
        <w:rPr>
          <w:rFonts w:ascii="宋体" w:eastAsia="宋体" w:hAnsi="宋体" w:cs="宋体"/>
          <w:spacing w:val="4"/>
        </w:rPr>
        <w:t>和谷胱甘肽硫转移酶活性，</w:t>
      </w:r>
      <w:r>
        <w:rPr>
          <w:rFonts w:ascii="宋体" w:eastAsia="宋体" w:hAnsi="宋体" w:cs="宋体"/>
        </w:rPr>
        <w:t xml:space="preserve"> </w:t>
      </w:r>
      <w:r>
        <w:rPr>
          <w:rFonts w:ascii="宋体" w:eastAsia="宋体" w:hAnsi="宋体" w:cs="宋体"/>
          <w:spacing w:val="-3"/>
        </w:rPr>
        <w:t>并抑制鸟氨酸脱羧酶、环加氧酶、黄嘌呤氧化酶等多种氧化酶的</w:t>
      </w:r>
      <w:r>
        <w:rPr>
          <w:rFonts w:ascii="宋体" w:eastAsia="宋体" w:hAnsi="宋体" w:cs="宋体"/>
          <w:spacing w:val="-4"/>
        </w:rPr>
        <w:t>活性，从而对许</w:t>
      </w:r>
      <w:r>
        <w:rPr>
          <w:rFonts w:ascii="宋体" w:eastAsia="宋体" w:hAnsi="宋体" w:cs="宋体"/>
        </w:rPr>
        <w:t xml:space="preserve">  </w:t>
      </w:r>
      <w:r>
        <w:rPr>
          <w:rFonts w:ascii="宋体" w:eastAsia="宋体" w:hAnsi="宋体" w:cs="宋体"/>
          <w:spacing w:val="7"/>
        </w:rPr>
        <w:t>多病理过程起显著抑制作用。可通过抑制肝脏脂质过氧化、促进肝中</w:t>
      </w:r>
      <w:r>
        <w:rPr>
          <w:rFonts w:ascii="宋体" w:eastAsia="宋体" w:hAnsi="宋体" w:cs="宋体"/>
        </w:rPr>
        <w:t>ATP</w:t>
      </w:r>
      <w:r>
        <w:rPr>
          <w:rFonts w:ascii="宋体" w:eastAsia="宋体" w:hAnsi="宋体" w:cs="宋体"/>
          <w:spacing w:val="102"/>
        </w:rPr>
        <w:t xml:space="preserve"> </w:t>
      </w:r>
      <w:r>
        <w:rPr>
          <w:rFonts w:ascii="宋体" w:eastAsia="宋体" w:hAnsi="宋体" w:cs="宋体"/>
          <w:spacing w:val="7"/>
        </w:rPr>
        <w:t>合</w:t>
      </w:r>
      <w:r>
        <w:rPr>
          <w:rFonts w:ascii="宋体" w:eastAsia="宋体" w:hAnsi="宋体" w:cs="宋体"/>
        </w:rPr>
        <w:t xml:space="preserve"> </w:t>
      </w:r>
      <w:r>
        <w:rPr>
          <w:rFonts w:ascii="宋体" w:eastAsia="宋体" w:hAnsi="宋体" w:cs="宋体"/>
          <w:spacing w:val="-3"/>
        </w:rPr>
        <w:t>成、防止胆固醇和中性脂肪积累，来预防肝中毒和肝硬化；其抗氧化作用可使神</w:t>
      </w:r>
      <w:r>
        <w:rPr>
          <w:rFonts w:ascii="宋体" w:eastAsia="宋体" w:hAnsi="宋体" w:cs="宋体"/>
        </w:rPr>
        <w:t xml:space="preserve">  </w:t>
      </w:r>
      <w:r>
        <w:rPr>
          <w:rFonts w:ascii="宋体" w:eastAsia="宋体" w:hAnsi="宋体" w:cs="宋体"/>
          <w:spacing w:val="9"/>
        </w:rPr>
        <w:t>经原免受自由基伤害，对慢性脑病变的发生发展有防治意义，可预防老年性</w:t>
      </w:r>
      <w:r>
        <w:rPr>
          <w:rFonts w:ascii="宋体" w:eastAsia="宋体" w:hAnsi="宋体" w:cs="宋体"/>
          <w:spacing w:val="5"/>
        </w:rPr>
        <w:t xml:space="preserve">  </w:t>
      </w:r>
      <w:r>
        <w:rPr>
          <w:rFonts w:ascii="宋体" w:eastAsia="宋体" w:hAnsi="宋体" w:cs="宋体"/>
          <w:spacing w:val="-9"/>
        </w:rPr>
        <w:t>痴呆。</w:t>
      </w:r>
    </w:p>
    <w:p w:rsidR="00EA40A3" w:rsidRDefault="00E86C16">
      <w:pPr>
        <w:spacing w:before="128" w:line="219" w:lineRule="auto"/>
        <w:ind w:left="410"/>
        <w:rPr>
          <w:rFonts w:ascii="宋体" w:eastAsia="宋体" w:hAnsi="宋体" w:cs="宋体"/>
        </w:rPr>
      </w:pPr>
      <w:r>
        <w:rPr>
          <w:rFonts w:ascii="宋体" w:eastAsia="宋体" w:hAnsi="宋体" w:cs="宋体"/>
        </w:rPr>
        <w:t xml:space="preserve">TP </w:t>
      </w:r>
      <w:r>
        <w:rPr>
          <w:rFonts w:ascii="宋体" w:eastAsia="宋体" w:hAnsi="宋体" w:cs="宋体"/>
          <w:spacing w:val="1"/>
        </w:rPr>
        <w:t>在脂肪代谢中起着重要作用，不仅有明显的降血清总胆固醇、</w:t>
      </w:r>
      <w:r>
        <w:rPr>
          <w:rFonts w:ascii="宋体" w:eastAsia="宋体" w:hAnsi="宋体" w:cs="宋体"/>
        </w:rPr>
        <w:t>降低低密</w:t>
      </w:r>
    </w:p>
    <w:p w:rsidR="00EA40A3" w:rsidRDefault="00E86C16">
      <w:pPr>
        <w:spacing w:before="105"/>
        <w:ind w:right="99"/>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30"/>
          <w:sz w:val="17"/>
          <w:szCs w:val="17"/>
        </w:rPr>
        <w:t xml:space="preserve"> </w:t>
      </w:r>
      <w:r>
        <w:rPr>
          <w:rFonts w:ascii="宋体" w:eastAsia="宋体" w:hAnsi="宋体" w:cs="宋体"/>
          <w:spacing w:val="-17"/>
          <w:sz w:val="17"/>
          <w:szCs w:val="17"/>
        </w:rPr>
        <w:t>159</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1014" w:bottom="400" w:left="869" w:header="0" w:footer="0" w:gutter="0"/>
          <w:cols w:space="720"/>
        </w:sectPr>
      </w:pPr>
    </w:p>
    <w:p w:rsidR="00EA40A3" w:rsidRDefault="00EA40A3">
      <w:pPr>
        <w:spacing w:line="276" w:lineRule="auto"/>
      </w:pPr>
    </w:p>
    <w:p w:rsidR="00EA40A3" w:rsidRDefault="00EA40A3">
      <w:pPr>
        <w:spacing w:line="276" w:lineRule="auto"/>
      </w:pPr>
    </w:p>
    <w:p w:rsidR="00EA40A3" w:rsidRDefault="00E86C16">
      <w:pPr>
        <w:spacing w:before="68" w:line="257" w:lineRule="auto"/>
        <w:ind w:right="74"/>
        <w:jc w:val="both"/>
        <w:rPr>
          <w:rFonts w:ascii="宋体" w:eastAsia="宋体" w:hAnsi="宋体" w:cs="宋体"/>
        </w:rPr>
      </w:pPr>
      <w:bookmarkStart w:id="34" w:name="_bookmark38"/>
      <w:bookmarkEnd w:id="34"/>
      <w:r>
        <w:rPr>
          <w:rFonts w:ascii="宋体" w:eastAsia="宋体" w:hAnsi="宋体" w:cs="宋体"/>
          <w:spacing w:val="-7"/>
        </w:rPr>
        <w:t>度脂蛋白胆固醇</w:t>
      </w:r>
      <w:r>
        <w:rPr>
          <w:rFonts w:ascii="宋体" w:eastAsia="宋体" w:hAnsi="宋体" w:cs="宋体"/>
          <w:spacing w:val="-18"/>
        </w:rPr>
        <w:t xml:space="preserve"> </w:t>
      </w:r>
      <w:r>
        <w:rPr>
          <w:rFonts w:ascii="宋体" w:eastAsia="宋体" w:hAnsi="宋体" w:cs="宋体"/>
          <w:spacing w:val="-7"/>
        </w:rPr>
        <w:t>(</w:t>
      </w:r>
      <w:r>
        <w:rPr>
          <w:rFonts w:ascii="宋体" w:eastAsia="宋体" w:hAnsi="宋体" w:cs="宋体"/>
          <w:spacing w:val="-6"/>
        </w:rPr>
        <w:t>low</w:t>
      </w:r>
      <w:r>
        <w:rPr>
          <w:rFonts w:ascii="宋体" w:eastAsia="宋体" w:hAnsi="宋体" w:cs="宋体"/>
          <w:spacing w:val="4"/>
        </w:rPr>
        <w:t xml:space="preserve"> </w:t>
      </w:r>
      <w:r>
        <w:rPr>
          <w:rFonts w:ascii="宋体" w:eastAsia="宋体" w:hAnsi="宋体" w:cs="宋体"/>
          <w:spacing w:val="-6"/>
        </w:rPr>
        <w:t>density</w:t>
      </w:r>
      <w:r>
        <w:rPr>
          <w:rFonts w:ascii="宋体" w:eastAsia="宋体" w:hAnsi="宋体" w:cs="宋体"/>
          <w:spacing w:val="12"/>
        </w:rPr>
        <w:t xml:space="preserve"> </w:t>
      </w:r>
      <w:r>
        <w:rPr>
          <w:rFonts w:ascii="宋体" w:eastAsia="宋体" w:hAnsi="宋体" w:cs="宋体"/>
          <w:spacing w:val="-6"/>
        </w:rPr>
        <w:t>lipoprotein</w:t>
      </w:r>
      <w:r>
        <w:rPr>
          <w:rFonts w:ascii="宋体" w:eastAsia="宋体" w:hAnsi="宋体" w:cs="宋体"/>
          <w:spacing w:val="-7"/>
        </w:rPr>
        <w:t>-</w:t>
      </w:r>
      <w:r>
        <w:rPr>
          <w:rFonts w:ascii="宋体" w:eastAsia="宋体" w:hAnsi="宋体" w:cs="宋体"/>
          <w:spacing w:val="-6"/>
        </w:rPr>
        <w:t>choleste</w:t>
      </w:r>
      <w:r>
        <w:rPr>
          <w:rFonts w:ascii="宋体" w:eastAsia="宋体" w:hAnsi="宋体" w:cs="宋体"/>
          <w:spacing w:val="-7"/>
        </w:rPr>
        <w:t>rol,LDL-C)</w:t>
      </w:r>
      <w:r>
        <w:rPr>
          <w:rFonts w:ascii="宋体" w:eastAsia="宋体" w:hAnsi="宋体" w:cs="宋体"/>
          <w:spacing w:val="-48"/>
        </w:rPr>
        <w:t xml:space="preserve"> </w:t>
      </w:r>
      <w:r>
        <w:rPr>
          <w:rFonts w:ascii="宋体" w:eastAsia="宋体" w:hAnsi="宋体" w:cs="宋体"/>
          <w:spacing w:val="-7"/>
        </w:rPr>
        <w:t>和升高高密度脂</w:t>
      </w:r>
      <w:r>
        <w:rPr>
          <w:rFonts w:ascii="宋体" w:eastAsia="宋体" w:hAnsi="宋体" w:cs="宋体"/>
        </w:rPr>
        <w:t xml:space="preserve"> </w:t>
      </w:r>
      <w:r>
        <w:rPr>
          <w:rFonts w:ascii="宋体" w:eastAsia="宋体" w:hAnsi="宋体" w:cs="宋体"/>
          <w:spacing w:val="-5"/>
        </w:rPr>
        <w:t>蛋白胆固醇</w:t>
      </w:r>
      <w:r>
        <w:rPr>
          <w:rFonts w:ascii="宋体" w:eastAsia="宋体" w:hAnsi="宋体" w:cs="宋体"/>
          <w:spacing w:val="-11"/>
        </w:rPr>
        <w:t xml:space="preserve"> </w:t>
      </w:r>
      <w:r>
        <w:rPr>
          <w:rFonts w:ascii="宋体" w:eastAsia="宋体" w:hAnsi="宋体" w:cs="宋体"/>
          <w:spacing w:val="-5"/>
        </w:rPr>
        <w:t>(high</w:t>
      </w:r>
      <w:r>
        <w:rPr>
          <w:rFonts w:ascii="宋体" w:eastAsia="宋体" w:hAnsi="宋体" w:cs="宋体"/>
          <w:spacing w:val="5"/>
        </w:rPr>
        <w:t xml:space="preserve"> </w:t>
      </w:r>
      <w:r>
        <w:rPr>
          <w:rFonts w:ascii="宋体" w:eastAsia="宋体" w:hAnsi="宋体" w:cs="宋体"/>
          <w:spacing w:val="-5"/>
        </w:rPr>
        <w:t>density</w:t>
      </w:r>
      <w:r>
        <w:rPr>
          <w:rFonts w:ascii="宋体" w:eastAsia="宋体" w:hAnsi="宋体" w:cs="宋体"/>
          <w:spacing w:val="14"/>
        </w:rPr>
        <w:t xml:space="preserve"> </w:t>
      </w:r>
      <w:r>
        <w:rPr>
          <w:rFonts w:ascii="宋体" w:eastAsia="宋体" w:hAnsi="宋体" w:cs="宋体"/>
          <w:spacing w:val="-5"/>
        </w:rPr>
        <w:t>lipoprotein-cholesterol</w:t>
      </w:r>
      <w:r>
        <w:rPr>
          <w:rFonts w:ascii="宋体" w:eastAsia="宋体" w:hAnsi="宋体" w:cs="宋体"/>
          <w:spacing w:val="-6"/>
        </w:rPr>
        <w:t>,</w:t>
      </w:r>
      <w:r>
        <w:rPr>
          <w:rFonts w:ascii="宋体" w:eastAsia="宋体" w:hAnsi="宋体" w:cs="宋体"/>
          <w:spacing w:val="-5"/>
        </w:rPr>
        <w:t>HDL</w:t>
      </w:r>
      <w:r>
        <w:rPr>
          <w:rFonts w:ascii="宋体" w:eastAsia="宋体" w:hAnsi="宋体" w:cs="宋体"/>
          <w:spacing w:val="-6"/>
        </w:rPr>
        <w:t>-C)</w:t>
      </w:r>
      <w:r>
        <w:rPr>
          <w:rFonts w:ascii="宋体" w:eastAsia="宋体" w:hAnsi="宋体" w:cs="宋体"/>
          <w:spacing w:val="-39"/>
        </w:rPr>
        <w:t xml:space="preserve"> </w:t>
      </w:r>
      <w:r>
        <w:rPr>
          <w:rFonts w:ascii="宋体" w:eastAsia="宋体" w:hAnsi="宋体" w:cs="宋体"/>
          <w:spacing w:val="-6"/>
        </w:rPr>
        <w:t>的作用，还可明显</w:t>
      </w:r>
      <w:r>
        <w:rPr>
          <w:rFonts w:ascii="宋体" w:eastAsia="宋体" w:hAnsi="宋体" w:cs="宋体"/>
        </w:rPr>
        <w:t xml:space="preserve"> </w:t>
      </w:r>
      <w:r>
        <w:rPr>
          <w:rFonts w:ascii="宋体" w:eastAsia="宋体" w:hAnsi="宋体" w:cs="宋体"/>
          <w:spacing w:val="-3"/>
        </w:rPr>
        <w:t>降低血浆和心肌组织中过氧化脂质的数量，有抗脂质过氧化和延迟脂褐质生成的</w:t>
      </w:r>
      <w:r>
        <w:rPr>
          <w:rFonts w:ascii="宋体" w:eastAsia="宋体" w:hAnsi="宋体" w:cs="宋体"/>
        </w:rPr>
        <w:t xml:space="preserve"> </w:t>
      </w:r>
      <w:r>
        <w:rPr>
          <w:rFonts w:ascii="宋体" w:eastAsia="宋体" w:hAnsi="宋体" w:cs="宋体"/>
          <w:spacing w:val="-2"/>
        </w:rPr>
        <w:t>作用。</w:t>
      </w:r>
      <w:r>
        <w:rPr>
          <w:rFonts w:ascii="宋体" w:eastAsia="宋体" w:hAnsi="宋体" w:cs="宋体"/>
          <w:spacing w:val="-39"/>
        </w:rPr>
        <w:t xml:space="preserve"> </w:t>
      </w:r>
      <w:r>
        <w:rPr>
          <w:rFonts w:ascii="宋体" w:eastAsia="宋体" w:hAnsi="宋体" w:cs="宋体"/>
          <w:spacing w:val="-2"/>
        </w:rPr>
        <w:t>TP</w:t>
      </w:r>
      <w:r>
        <w:rPr>
          <w:rFonts w:ascii="宋体" w:eastAsia="宋体" w:hAnsi="宋体" w:cs="宋体"/>
        </w:rPr>
        <w:t xml:space="preserve"> </w:t>
      </w:r>
      <w:r>
        <w:rPr>
          <w:rFonts w:ascii="宋体" w:eastAsia="宋体" w:hAnsi="宋体" w:cs="宋体"/>
          <w:spacing w:val="-2"/>
        </w:rPr>
        <w:t>通过调节血脂代谢、抗凝、促纤溶及控制血小板聚集，抑制</w:t>
      </w:r>
      <w:r>
        <w:rPr>
          <w:rFonts w:ascii="宋体" w:eastAsia="宋体" w:hAnsi="宋体" w:cs="宋体"/>
          <w:spacing w:val="-3"/>
        </w:rPr>
        <w:t>小肠对胆</w:t>
      </w:r>
      <w:r>
        <w:rPr>
          <w:rFonts w:ascii="宋体" w:eastAsia="宋体" w:hAnsi="宋体" w:cs="宋体"/>
        </w:rPr>
        <w:t xml:space="preserve"> </w:t>
      </w:r>
      <w:r>
        <w:rPr>
          <w:rFonts w:ascii="宋体" w:eastAsia="宋体" w:hAnsi="宋体" w:cs="宋体"/>
          <w:spacing w:val="-4"/>
        </w:rPr>
        <w:t>固醇的吸收等，对动脉粥样硬化有独特的</w:t>
      </w:r>
      <w:r>
        <w:rPr>
          <w:rFonts w:ascii="宋体" w:eastAsia="宋体" w:hAnsi="宋体" w:cs="宋体"/>
          <w:spacing w:val="-5"/>
        </w:rPr>
        <w:t>抑制效果。此外，</w:t>
      </w:r>
      <w:r>
        <w:rPr>
          <w:rFonts w:ascii="宋体" w:eastAsia="宋体" w:hAnsi="宋体" w:cs="宋体"/>
          <w:spacing w:val="23"/>
        </w:rPr>
        <w:t xml:space="preserve"> </w:t>
      </w:r>
      <w:r>
        <w:rPr>
          <w:rFonts w:ascii="宋体" w:eastAsia="宋体" w:hAnsi="宋体" w:cs="宋体"/>
          <w:spacing w:val="-4"/>
        </w:rPr>
        <w:t>TP</w:t>
      </w:r>
      <w:r>
        <w:rPr>
          <w:rFonts w:ascii="宋体" w:eastAsia="宋体" w:hAnsi="宋体" w:cs="宋体"/>
          <w:spacing w:val="20"/>
        </w:rPr>
        <w:t xml:space="preserve"> </w:t>
      </w:r>
      <w:r>
        <w:rPr>
          <w:rFonts w:ascii="宋体" w:eastAsia="宋体" w:hAnsi="宋体" w:cs="宋体"/>
          <w:spacing w:val="-5"/>
        </w:rPr>
        <w:t>可抑制血管紧张</w:t>
      </w:r>
      <w:r>
        <w:rPr>
          <w:rFonts w:ascii="宋体" w:eastAsia="宋体" w:hAnsi="宋体" w:cs="宋体"/>
        </w:rPr>
        <w:t xml:space="preserve"> </w:t>
      </w:r>
      <w:r>
        <w:rPr>
          <w:rFonts w:ascii="宋体" w:eastAsia="宋体" w:hAnsi="宋体" w:cs="宋体"/>
          <w:spacing w:val="-4"/>
        </w:rPr>
        <w:t>素I转换酶的活性，对高血压有一定的预防作用。</w:t>
      </w:r>
    </w:p>
    <w:p w:rsidR="00EA40A3" w:rsidRDefault="00E86C16">
      <w:pPr>
        <w:spacing w:before="107" w:line="258" w:lineRule="auto"/>
        <w:ind w:right="76" w:firstLine="409"/>
        <w:rPr>
          <w:rFonts w:ascii="宋体" w:eastAsia="宋体" w:hAnsi="宋体" w:cs="宋体"/>
        </w:rPr>
      </w:pPr>
      <w:r>
        <w:rPr>
          <w:rFonts w:ascii="宋体" w:eastAsia="宋体" w:hAnsi="宋体" w:cs="宋体"/>
        </w:rPr>
        <w:t>TP</w:t>
      </w:r>
      <w:r>
        <w:rPr>
          <w:rFonts w:ascii="宋体" w:eastAsia="宋体" w:hAnsi="宋体" w:cs="宋体"/>
          <w:spacing w:val="9"/>
        </w:rPr>
        <w:t xml:space="preserve"> </w:t>
      </w:r>
      <w:r>
        <w:rPr>
          <w:rFonts w:ascii="宋体" w:eastAsia="宋体" w:hAnsi="宋体" w:cs="宋体"/>
          <w:spacing w:val="2"/>
        </w:rPr>
        <w:t>主体物质儿茶素明显地抑制</w:t>
      </w:r>
      <w:r>
        <w:rPr>
          <w:rFonts w:ascii="宋体" w:eastAsia="宋体" w:hAnsi="宋体" w:cs="宋体"/>
          <w:spacing w:val="-45"/>
        </w:rPr>
        <w:t xml:space="preserve"> </w:t>
      </w:r>
      <w:r>
        <w:rPr>
          <w:rFonts w:ascii="宋体" w:eastAsia="宋体" w:hAnsi="宋体" w:cs="宋体"/>
        </w:rPr>
        <w:t>AFB</w:t>
      </w:r>
      <w:r>
        <w:rPr>
          <w:rFonts w:ascii="Calibri" w:eastAsia="Calibri" w:hAnsi="Calibri" w:cs="Calibri"/>
          <w:spacing w:val="2"/>
        </w:rPr>
        <w:t>₁</w:t>
      </w:r>
      <w:r>
        <w:rPr>
          <w:rFonts w:ascii="Calibri" w:eastAsia="Calibri" w:hAnsi="Calibri" w:cs="Calibri"/>
          <w:spacing w:val="14"/>
        </w:rPr>
        <w:t xml:space="preserve">   </w:t>
      </w:r>
      <w:r>
        <w:rPr>
          <w:rFonts w:ascii="宋体" w:eastAsia="宋体" w:hAnsi="宋体" w:cs="宋体"/>
          <w:spacing w:val="2"/>
        </w:rPr>
        <w:t>和</w:t>
      </w:r>
      <w:r>
        <w:rPr>
          <w:rFonts w:ascii="宋体" w:eastAsia="宋体" w:hAnsi="宋体" w:cs="宋体"/>
          <w:spacing w:val="-25"/>
        </w:rPr>
        <w:t xml:space="preserve"> </w:t>
      </w:r>
      <w:r>
        <w:rPr>
          <w:rFonts w:ascii="宋体" w:eastAsia="宋体" w:hAnsi="宋体" w:cs="宋体"/>
        </w:rPr>
        <w:t>Bap</w:t>
      </w:r>
      <w:r>
        <w:rPr>
          <w:rFonts w:ascii="宋体" w:eastAsia="宋体" w:hAnsi="宋体" w:cs="宋体"/>
          <w:spacing w:val="-27"/>
        </w:rPr>
        <w:t xml:space="preserve"> </w:t>
      </w:r>
      <w:r>
        <w:rPr>
          <w:rFonts w:ascii="宋体" w:eastAsia="宋体" w:hAnsi="宋体" w:cs="宋体"/>
          <w:spacing w:val="2"/>
        </w:rPr>
        <w:t>诱导的V</w:t>
      </w:r>
      <w:r>
        <w:rPr>
          <w:rFonts w:ascii="Calibri" w:eastAsia="Calibri" w:hAnsi="Calibri" w:cs="Calibri"/>
          <w:spacing w:val="2"/>
        </w:rPr>
        <w:t>₇</w:t>
      </w:r>
      <w:r>
        <w:rPr>
          <w:rFonts w:ascii="宋体" w:eastAsia="宋体" w:hAnsi="宋体" w:cs="宋体"/>
          <w:spacing w:val="2"/>
        </w:rPr>
        <w:t>g</w:t>
      </w:r>
      <w:r>
        <w:rPr>
          <w:rFonts w:ascii="宋体" w:eastAsia="宋体" w:hAnsi="宋体" w:cs="宋体"/>
          <w:spacing w:val="-59"/>
        </w:rPr>
        <w:t xml:space="preserve"> </w:t>
      </w:r>
      <w:r>
        <w:rPr>
          <w:rFonts w:ascii="宋体" w:eastAsia="宋体" w:hAnsi="宋体" w:cs="宋体"/>
          <w:spacing w:val="2"/>
        </w:rPr>
        <w:t>细胞基因正向突变</w:t>
      </w:r>
      <w:r>
        <w:rPr>
          <w:rFonts w:ascii="宋体" w:eastAsia="宋体" w:hAnsi="宋体" w:cs="宋体"/>
        </w:rPr>
        <w:t xml:space="preserve"> </w:t>
      </w:r>
      <w:r>
        <w:rPr>
          <w:rFonts w:ascii="宋体" w:eastAsia="宋体" w:hAnsi="宋体" w:cs="宋体"/>
          <w:spacing w:val="2"/>
        </w:rPr>
        <w:t>以及</w:t>
      </w:r>
      <w:r>
        <w:rPr>
          <w:rFonts w:ascii="宋体" w:eastAsia="宋体" w:hAnsi="宋体" w:cs="宋体"/>
        </w:rPr>
        <w:t>AFB</w:t>
      </w:r>
      <w:r>
        <w:rPr>
          <w:rFonts w:ascii="Calibri" w:eastAsia="Calibri" w:hAnsi="Calibri" w:cs="Calibri"/>
          <w:spacing w:val="2"/>
        </w:rPr>
        <w:t>₁</w:t>
      </w:r>
      <w:r>
        <w:rPr>
          <w:rFonts w:ascii="Calibri" w:eastAsia="Calibri" w:hAnsi="Calibri" w:cs="Calibri"/>
          <w:spacing w:val="14"/>
        </w:rPr>
        <w:t xml:space="preserve">   </w:t>
      </w:r>
      <w:r>
        <w:rPr>
          <w:rFonts w:ascii="宋体" w:eastAsia="宋体" w:hAnsi="宋体" w:cs="宋体"/>
          <w:spacing w:val="2"/>
        </w:rPr>
        <w:t>诱导的V</w:t>
      </w:r>
      <w:r>
        <w:rPr>
          <w:rFonts w:ascii="Calibri" w:eastAsia="Calibri" w:hAnsi="Calibri" w:cs="Calibri"/>
          <w:spacing w:val="2"/>
        </w:rPr>
        <w:t>₇</w:t>
      </w:r>
      <w:r>
        <w:rPr>
          <w:rFonts w:ascii="宋体" w:eastAsia="宋体" w:hAnsi="宋体" w:cs="宋体"/>
          <w:spacing w:val="2"/>
        </w:rPr>
        <w:t>g</w:t>
      </w:r>
      <w:r>
        <w:rPr>
          <w:rFonts w:ascii="宋体" w:eastAsia="宋体" w:hAnsi="宋体" w:cs="宋体"/>
          <w:spacing w:val="-59"/>
        </w:rPr>
        <w:t xml:space="preserve"> </w:t>
      </w:r>
      <w:r>
        <w:rPr>
          <w:rFonts w:ascii="宋体" w:eastAsia="宋体" w:hAnsi="宋体" w:cs="宋体"/>
          <w:spacing w:val="2"/>
        </w:rPr>
        <w:t>细胞姊妹染色单体交换和染色体突变；对丝裂霉素C</w:t>
      </w:r>
      <w:r>
        <w:rPr>
          <w:rFonts w:ascii="宋体" w:eastAsia="宋体" w:hAnsi="宋体" w:cs="宋体"/>
          <w:spacing w:val="-4"/>
        </w:rPr>
        <w:t xml:space="preserve"> </w:t>
      </w:r>
      <w:r>
        <w:rPr>
          <w:rFonts w:ascii="宋体" w:eastAsia="宋体" w:hAnsi="宋体" w:cs="宋体"/>
          <w:spacing w:val="2"/>
        </w:rPr>
        <w:t>的</w:t>
      </w:r>
      <w:r>
        <w:rPr>
          <w:rFonts w:ascii="宋体" w:eastAsia="宋体" w:hAnsi="宋体" w:cs="宋体"/>
          <w:spacing w:val="1"/>
        </w:rPr>
        <w:t>诱</w:t>
      </w:r>
      <w:r>
        <w:rPr>
          <w:rFonts w:ascii="宋体" w:eastAsia="宋体" w:hAnsi="宋体" w:cs="宋体"/>
        </w:rPr>
        <w:t xml:space="preserve"> </w:t>
      </w:r>
      <w:r>
        <w:rPr>
          <w:rFonts w:ascii="宋体" w:eastAsia="宋体" w:hAnsi="宋体" w:cs="宋体"/>
          <w:spacing w:val="-3"/>
        </w:rPr>
        <w:t>致突变性有明显的抑制效应。程书均等发现绿茶儿茶素可能降低吸烟、辐射及化</w:t>
      </w:r>
      <w:r>
        <w:rPr>
          <w:rFonts w:ascii="宋体" w:eastAsia="宋体" w:hAnsi="宋体" w:cs="宋体"/>
          <w:spacing w:val="12"/>
        </w:rPr>
        <w:t xml:space="preserve"> </w:t>
      </w:r>
      <w:r>
        <w:rPr>
          <w:rFonts w:ascii="宋体" w:eastAsia="宋体" w:hAnsi="宋体" w:cs="宋体"/>
          <w:spacing w:val="-3"/>
        </w:rPr>
        <w:t>学致癌物引起的人类癌症发生率，可显著抑制香烟浓缩物处理大鼠皮肤细胞的畸</w:t>
      </w:r>
      <w:r>
        <w:rPr>
          <w:rFonts w:ascii="宋体" w:eastAsia="宋体" w:hAnsi="宋体" w:cs="宋体"/>
          <w:spacing w:val="12"/>
        </w:rPr>
        <w:t xml:space="preserve"> </w:t>
      </w:r>
      <w:r>
        <w:rPr>
          <w:rFonts w:ascii="宋体" w:eastAsia="宋体" w:hAnsi="宋体" w:cs="宋体"/>
          <w:spacing w:val="2"/>
        </w:rPr>
        <w:t>增，无毛小鼠口服或皮肤涂敷</w:t>
      </w:r>
      <w:r>
        <w:rPr>
          <w:rFonts w:ascii="宋体" w:eastAsia="宋体" w:hAnsi="宋体" w:cs="宋体"/>
        </w:rPr>
        <w:t>TP</w:t>
      </w:r>
      <w:r>
        <w:rPr>
          <w:rFonts w:ascii="宋体" w:eastAsia="宋体" w:hAnsi="宋体" w:cs="宋体"/>
          <w:spacing w:val="23"/>
        </w:rPr>
        <w:t xml:space="preserve"> </w:t>
      </w:r>
      <w:r>
        <w:rPr>
          <w:rFonts w:ascii="宋体" w:eastAsia="宋体" w:hAnsi="宋体" w:cs="宋体"/>
          <w:spacing w:val="2"/>
        </w:rPr>
        <w:t>后照射紫外线可降低皮肤癌的形成。故</w:t>
      </w:r>
      <w:r>
        <w:rPr>
          <w:rFonts w:ascii="宋体" w:eastAsia="宋体" w:hAnsi="宋体" w:cs="宋体"/>
        </w:rPr>
        <w:t>TP</w:t>
      </w:r>
      <w:r>
        <w:rPr>
          <w:rFonts w:ascii="宋体" w:eastAsia="宋体" w:hAnsi="宋体" w:cs="宋体"/>
          <w:spacing w:val="21"/>
        </w:rPr>
        <w:t xml:space="preserve"> </w:t>
      </w:r>
      <w:r>
        <w:rPr>
          <w:rFonts w:ascii="宋体" w:eastAsia="宋体" w:hAnsi="宋体" w:cs="宋体"/>
          <w:spacing w:val="2"/>
        </w:rPr>
        <w:t>具</w:t>
      </w:r>
      <w:r>
        <w:rPr>
          <w:rFonts w:ascii="宋体" w:eastAsia="宋体" w:hAnsi="宋体" w:cs="宋体"/>
        </w:rPr>
        <w:t xml:space="preserve"> </w:t>
      </w:r>
      <w:r>
        <w:rPr>
          <w:rFonts w:ascii="宋体" w:eastAsia="宋体" w:hAnsi="宋体" w:cs="宋体"/>
          <w:spacing w:val="3"/>
        </w:rPr>
        <w:t>有抗肿瘤作用，对口腔癌、胃癌、皮肤癌、十二指肠癌、结肠癌、</w:t>
      </w:r>
      <w:r>
        <w:rPr>
          <w:rFonts w:ascii="宋体" w:eastAsia="宋体" w:hAnsi="宋体" w:cs="宋体"/>
          <w:spacing w:val="2"/>
        </w:rPr>
        <w:t>肝癌、胰脏</w:t>
      </w:r>
      <w:r>
        <w:rPr>
          <w:rFonts w:ascii="宋体" w:eastAsia="宋体" w:hAnsi="宋体" w:cs="宋体"/>
        </w:rPr>
        <w:t xml:space="preserve"> </w:t>
      </w:r>
      <w:r>
        <w:rPr>
          <w:rFonts w:ascii="宋体" w:eastAsia="宋体" w:hAnsi="宋体" w:cs="宋体"/>
          <w:spacing w:val="-6"/>
        </w:rPr>
        <w:t>癌、乳腺癌、前列腺癌及肺癌有抑制作用。</w:t>
      </w:r>
    </w:p>
    <w:p w:rsidR="00EA40A3" w:rsidRDefault="00E86C16">
      <w:pPr>
        <w:spacing w:before="77" w:line="249" w:lineRule="auto"/>
        <w:ind w:right="76" w:firstLine="409"/>
        <w:rPr>
          <w:rFonts w:ascii="宋体" w:eastAsia="宋体" w:hAnsi="宋体" w:cs="宋体"/>
        </w:rPr>
      </w:pPr>
      <w:r>
        <w:rPr>
          <w:rFonts w:ascii="宋体" w:eastAsia="宋体" w:hAnsi="宋体" w:cs="宋体"/>
          <w:spacing w:val="-1"/>
        </w:rPr>
        <w:t>TP</w:t>
      </w:r>
      <w:r>
        <w:rPr>
          <w:rFonts w:ascii="宋体" w:eastAsia="宋体" w:hAnsi="宋体" w:cs="宋体"/>
          <w:spacing w:val="19"/>
        </w:rPr>
        <w:t xml:space="preserve"> </w:t>
      </w:r>
      <w:r>
        <w:rPr>
          <w:rFonts w:ascii="宋体" w:eastAsia="宋体" w:hAnsi="宋体" w:cs="宋体"/>
          <w:spacing w:val="-1"/>
        </w:rPr>
        <w:t>还有抗变态反应和增强免疫功能的作用，其抗变态反应能力与公认的对</w:t>
      </w:r>
      <w:r>
        <w:rPr>
          <w:rFonts w:ascii="宋体" w:eastAsia="宋体" w:hAnsi="宋体" w:cs="宋体"/>
        </w:rPr>
        <w:t xml:space="preserve"> </w:t>
      </w:r>
      <w:r>
        <w:rPr>
          <w:rFonts w:ascii="宋体" w:eastAsia="宋体" w:hAnsi="宋体" w:cs="宋体"/>
          <w:spacing w:val="-4"/>
        </w:rPr>
        <w:t>抗变态反应极为有效的甜茶相当。</w:t>
      </w:r>
      <w:r>
        <w:rPr>
          <w:rFonts w:ascii="宋体" w:eastAsia="宋体" w:hAnsi="宋体" w:cs="宋体"/>
          <w:spacing w:val="17"/>
        </w:rPr>
        <w:t xml:space="preserve"> </w:t>
      </w:r>
      <w:r>
        <w:rPr>
          <w:rFonts w:ascii="宋体" w:eastAsia="宋体" w:hAnsi="宋体" w:cs="宋体"/>
          <w:spacing w:val="-4"/>
        </w:rPr>
        <w:t>TP</w:t>
      </w:r>
      <w:r>
        <w:rPr>
          <w:rFonts w:ascii="宋体" w:eastAsia="宋体" w:hAnsi="宋体" w:cs="宋体"/>
          <w:spacing w:val="30"/>
        </w:rPr>
        <w:t xml:space="preserve"> </w:t>
      </w:r>
      <w:r>
        <w:rPr>
          <w:rFonts w:ascii="宋体" w:eastAsia="宋体" w:hAnsi="宋体" w:cs="宋体"/>
          <w:spacing w:val="-4"/>
        </w:rPr>
        <w:t>有缓解机体产生过激变态反应的能力，对</w:t>
      </w:r>
      <w:r>
        <w:rPr>
          <w:rFonts w:ascii="宋体" w:eastAsia="宋体" w:hAnsi="宋体" w:cs="宋体"/>
        </w:rPr>
        <w:t xml:space="preserve"> </w:t>
      </w:r>
      <w:r>
        <w:rPr>
          <w:rFonts w:ascii="宋体" w:eastAsia="宋体" w:hAnsi="宋体" w:cs="宋体"/>
          <w:spacing w:val="-6"/>
        </w:rPr>
        <w:t>机体整体的免疫功能有促进作用。</w:t>
      </w:r>
    </w:p>
    <w:p w:rsidR="00EA40A3" w:rsidRDefault="00E86C16">
      <w:pPr>
        <w:spacing w:before="81" w:line="233" w:lineRule="auto"/>
        <w:ind w:right="105" w:firstLine="409"/>
        <w:rPr>
          <w:rFonts w:ascii="宋体" w:eastAsia="宋体" w:hAnsi="宋体" w:cs="宋体"/>
        </w:rPr>
      </w:pPr>
      <w:r>
        <w:rPr>
          <w:rFonts w:ascii="宋体" w:eastAsia="宋体" w:hAnsi="宋体" w:cs="宋体"/>
          <w:spacing w:val="-1"/>
        </w:rPr>
        <w:t>TP</w:t>
      </w:r>
      <w:r>
        <w:rPr>
          <w:rFonts w:ascii="宋体" w:eastAsia="宋体" w:hAnsi="宋体" w:cs="宋体"/>
          <w:spacing w:val="26"/>
        </w:rPr>
        <w:t xml:space="preserve"> </w:t>
      </w:r>
      <w:r>
        <w:rPr>
          <w:rFonts w:ascii="宋体" w:eastAsia="宋体" w:hAnsi="宋体" w:cs="宋体"/>
          <w:spacing w:val="-1"/>
        </w:rPr>
        <w:t>除具有以上生物学作用外，还具有降血糖、防龋齿、防口臭、调节甲状</w:t>
      </w:r>
      <w:r>
        <w:rPr>
          <w:rFonts w:ascii="宋体" w:eastAsia="宋体" w:hAnsi="宋体" w:cs="宋体"/>
        </w:rPr>
        <w:t xml:space="preserve"> </w:t>
      </w:r>
      <w:r>
        <w:rPr>
          <w:rFonts w:ascii="宋体" w:eastAsia="宋体" w:hAnsi="宋体" w:cs="宋体"/>
          <w:spacing w:val="-4"/>
        </w:rPr>
        <w:t>腺、消炎、止泻、杀菌以及抗病毒等作用。</w:t>
      </w:r>
    </w:p>
    <w:p w:rsidR="00EA40A3" w:rsidRDefault="00E86C16">
      <w:pPr>
        <w:spacing w:before="82" w:line="256" w:lineRule="auto"/>
        <w:ind w:right="3" w:firstLine="409"/>
        <w:rPr>
          <w:rFonts w:ascii="宋体" w:eastAsia="宋体" w:hAnsi="宋体" w:cs="宋体"/>
        </w:rPr>
      </w:pPr>
      <w:r>
        <w:rPr>
          <w:rFonts w:ascii="宋体" w:eastAsia="宋体" w:hAnsi="宋体" w:cs="宋体"/>
          <w:spacing w:val="-2"/>
        </w:rPr>
        <w:t>TP</w:t>
      </w:r>
      <w:r>
        <w:rPr>
          <w:rFonts w:ascii="宋体" w:eastAsia="宋体" w:hAnsi="宋体" w:cs="宋体"/>
          <w:spacing w:val="37"/>
        </w:rPr>
        <w:t xml:space="preserve"> </w:t>
      </w:r>
      <w:r>
        <w:rPr>
          <w:rFonts w:ascii="宋体" w:eastAsia="宋体" w:hAnsi="宋体" w:cs="宋体"/>
          <w:spacing w:val="-2"/>
        </w:rPr>
        <w:t>化合物在人体中可很快被吸收，血浆中TP</w:t>
      </w:r>
      <w:r>
        <w:rPr>
          <w:rFonts w:ascii="宋体" w:eastAsia="宋体" w:hAnsi="宋体" w:cs="宋体"/>
          <w:spacing w:val="21"/>
        </w:rPr>
        <w:t xml:space="preserve"> </w:t>
      </w:r>
      <w:r>
        <w:rPr>
          <w:rFonts w:ascii="宋体" w:eastAsia="宋体" w:hAnsi="宋体" w:cs="宋体"/>
          <w:spacing w:val="-2"/>
        </w:rPr>
        <w:t>含量水平取决于口服的剂量。</w:t>
      </w:r>
      <w:r>
        <w:rPr>
          <w:rFonts w:ascii="宋体" w:eastAsia="宋体" w:hAnsi="宋体" w:cs="宋体"/>
        </w:rPr>
        <w:t xml:space="preserve"> </w:t>
      </w:r>
      <w:r>
        <w:rPr>
          <w:rFonts w:ascii="宋体" w:eastAsia="宋体" w:hAnsi="宋体" w:cs="宋体"/>
          <w:spacing w:val="-9"/>
        </w:rPr>
        <w:t>TP</w:t>
      </w:r>
      <w:r>
        <w:rPr>
          <w:rFonts w:ascii="宋体" w:eastAsia="宋体" w:hAnsi="宋体" w:cs="宋体"/>
          <w:spacing w:val="20"/>
        </w:rPr>
        <w:t xml:space="preserve"> </w:t>
      </w:r>
      <w:r>
        <w:rPr>
          <w:rFonts w:ascii="宋体" w:eastAsia="宋体" w:hAnsi="宋体" w:cs="宋体"/>
          <w:spacing w:val="-9"/>
        </w:rPr>
        <w:t>主体成分表没食子儿茶素没食子酸酯</w:t>
      </w:r>
      <w:r>
        <w:rPr>
          <w:rFonts w:ascii="宋体" w:eastAsia="宋体" w:hAnsi="宋体" w:cs="宋体"/>
          <w:spacing w:val="-18"/>
        </w:rPr>
        <w:t xml:space="preserve"> </w:t>
      </w:r>
      <w:r>
        <w:rPr>
          <w:rFonts w:ascii="宋体" w:eastAsia="宋体" w:hAnsi="宋体" w:cs="宋体"/>
          <w:spacing w:val="-9"/>
        </w:rPr>
        <w:t>[L-</w:t>
      </w:r>
      <w:r>
        <w:rPr>
          <w:rFonts w:ascii="宋体" w:eastAsia="宋体" w:hAnsi="宋体" w:cs="宋体"/>
          <w:spacing w:val="-49"/>
        </w:rPr>
        <w:t xml:space="preserve"> </w:t>
      </w:r>
      <w:r>
        <w:rPr>
          <w:rFonts w:ascii="宋体" w:eastAsia="宋体" w:hAnsi="宋体" w:cs="宋体"/>
          <w:spacing w:val="-9"/>
        </w:rPr>
        <w:t>(一)-epigallocatechin-3-gallate,</w:t>
      </w:r>
      <w:r>
        <w:rPr>
          <w:rFonts w:ascii="宋体" w:eastAsia="宋体" w:hAnsi="宋体" w:cs="宋体"/>
          <w:spacing w:val="-10"/>
        </w:rPr>
        <w:t>L-</w:t>
      </w:r>
      <w:r>
        <w:rPr>
          <w:rFonts w:ascii="宋体" w:eastAsia="宋体" w:hAnsi="宋体" w:cs="宋体"/>
        </w:rPr>
        <w:t xml:space="preserve">  </w:t>
      </w:r>
      <w:r>
        <w:rPr>
          <w:rFonts w:ascii="宋体" w:eastAsia="宋体" w:hAnsi="宋体" w:cs="宋体"/>
          <w:spacing w:val="-2"/>
        </w:rPr>
        <w:t>EGCG]</w:t>
      </w:r>
      <w:r>
        <w:rPr>
          <w:rFonts w:ascii="宋体" w:eastAsia="宋体" w:hAnsi="宋体" w:cs="宋体"/>
          <w:spacing w:val="20"/>
        </w:rPr>
        <w:t xml:space="preserve">  </w:t>
      </w:r>
      <w:r>
        <w:rPr>
          <w:rFonts w:ascii="宋体" w:eastAsia="宋体" w:hAnsi="宋体" w:cs="宋体"/>
          <w:spacing w:val="-2"/>
        </w:rPr>
        <w:t>在口腔中可很快转变为表没食子儿茶素</w:t>
      </w:r>
      <w:r>
        <w:rPr>
          <w:rFonts w:ascii="宋体" w:eastAsia="宋体" w:hAnsi="宋体" w:cs="宋体"/>
          <w:spacing w:val="-15"/>
        </w:rPr>
        <w:t xml:space="preserve"> </w:t>
      </w:r>
      <w:r>
        <w:rPr>
          <w:rFonts w:ascii="宋体" w:eastAsia="宋体" w:hAnsi="宋体" w:cs="宋体"/>
          <w:spacing w:val="-2"/>
        </w:rPr>
        <w:t>[L-</w:t>
      </w:r>
      <w:r>
        <w:rPr>
          <w:rFonts w:ascii="宋体" w:eastAsia="宋体" w:hAnsi="宋体" w:cs="宋体"/>
          <w:spacing w:val="-39"/>
        </w:rPr>
        <w:t xml:space="preserve"> </w:t>
      </w:r>
      <w:r>
        <w:rPr>
          <w:rFonts w:ascii="宋体" w:eastAsia="宋体" w:hAnsi="宋体" w:cs="宋体"/>
          <w:spacing w:val="-2"/>
        </w:rPr>
        <w:t>(一</w:t>
      </w:r>
      <w:r>
        <w:rPr>
          <w:rFonts w:ascii="宋体" w:eastAsia="宋体" w:hAnsi="宋体" w:cs="宋体"/>
          <w:spacing w:val="-3"/>
        </w:rPr>
        <w:t>)-</w:t>
      </w:r>
      <w:r>
        <w:rPr>
          <w:rFonts w:ascii="宋体" w:eastAsia="宋体" w:hAnsi="宋体" w:cs="宋体"/>
          <w:spacing w:val="-2"/>
        </w:rPr>
        <w:t>epigallocatechin</w:t>
      </w:r>
      <w:r>
        <w:rPr>
          <w:rFonts w:ascii="宋体" w:eastAsia="宋体" w:hAnsi="宋体" w:cs="宋体"/>
          <w:spacing w:val="-3"/>
        </w:rPr>
        <w:t>,L-</w:t>
      </w:r>
      <w:r>
        <w:rPr>
          <w:rFonts w:ascii="宋体" w:eastAsia="宋体" w:hAnsi="宋体" w:cs="宋体"/>
        </w:rPr>
        <w:t xml:space="preserve">  EGC</w:t>
      </w:r>
      <w:r>
        <w:rPr>
          <w:rFonts w:ascii="宋体" w:eastAsia="宋体" w:hAnsi="宋体" w:cs="宋体"/>
          <w:spacing w:val="2"/>
        </w:rPr>
        <w:t>],</w:t>
      </w:r>
      <w:r>
        <w:rPr>
          <w:rFonts w:ascii="宋体" w:eastAsia="宋体" w:hAnsi="宋体" w:cs="宋体"/>
        </w:rPr>
        <w:t xml:space="preserve">  </w:t>
      </w:r>
      <w:r>
        <w:rPr>
          <w:rFonts w:ascii="宋体" w:eastAsia="宋体" w:hAnsi="宋体" w:cs="宋体"/>
          <w:spacing w:val="2"/>
        </w:rPr>
        <w:t>餐后3～5h</w:t>
      </w:r>
      <w:r>
        <w:rPr>
          <w:rFonts w:ascii="宋体" w:eastAsia="宋体" w:hAnsi="宋体" w:cs="宋体"/>
          <w:spacing w:val="-55"/>
        </w:rPr>
        <w:t xml:space="preserve"> </w:t>
      </w:r>
      <w:r>
        <w:rPr>
          <w:rFonts w:ascii="宋体" w:eastAsia="宋体" w:hAnsi="宋体" w:cs="宋体"/>
          <w:spacing w:val="2"/>
        </w:rPr>
        <w:t>在血液中浓度可达峰值，半衰期3</w:t>
      </w:r>
      <w:r>
        <w:rPr>
          <w:rFonts w:ascii="宋体" w:eastAsia="宋体" w:hAnsi="宋体" w:cs="宋体"/>
          <w:spacing w:val="1"/>
        </w:rPr>
        <w:t>.9h。其中儿茶素没食子酸</w:t>
      </w:r>
      <w:r>
        <w:rPr>
          <w:rFonts w:ascii="宋体" w:eastAsia="宋体" w:hAnsi="宋体" w:cs="宋体"/>
        </w:rPr>
        <w:t xml:space="preserve"> </w:t>
      </w:r>
      <w:r>
        <w:rPr>
          <w:rFonts w:ascii="宋体" w:eastAsia="宋体" w:hAnsi="宋体" w:cs="宋体"/>
          <w:spacing w:val="4"/>
        </w:rPr>
        <w:t>酯[(+)-</w:t>
      </w:r>
      <w:r>
        <w:rPr>
          <w:rFonts w:ascii="宋体" w:eastAsia="宋体" w:hAnsi="宋体" w:cs="宋体"/>
        </w:rPr>
        <w:t>catechingallate</w:t>
      </w:r>
      <w:r>
        <w:rPr>
          <w:rFonts w:ascii="宋体" w:eastAsia="宋体" w:hAnsi="宋体" w:cs="宋体"/>
          <w:spacing w:val="4"/>
        </w:rPr>
        <w:t>,</w:t>
      </w:r>
      <w:r>
        <w:rPr>
          <w:rFonts w:ascii="宋体" w:eastAsia="宋体" w:hAnsi="宋体" w:cs="宋体"/>
        </w:rPr>
        <w:t>DCG</w:t>
      </w:r>
      <w:r>
        <w:rPr>
          <w:rFonts w:ascii="宋体" w:eastAsia="宋体" w:hAnsi="宋体" w:cs="宋体"/>
          <w:spacing w:val="4"/>
        </w:rPr>
        <w:t>]</w:t>
      </w:r>
      <w:r>
        <w:rPr>
          <w:rFonts w:ascii="宋体" w:eastAsia="宋体" w:hAnsi="宋体" w:cs="宋体"/>
          <w:spacing w:val="-23"/>
        </w:rPr>
        <w:t xml:space="preserve"> </w:t>
      </w:r>
      <w:r>
        <w:rPr>
          <w:rFonts w:ascii="宋体" w:eastAsia="宋体" w:hAnsi="宋体" w:cs="宋体"/>
          <w:spacing w:val="4"/>
        </w:rPr>
        <w:t>主要通过胆汁代谢排泄，在小肠中含量高，其</w:t>
      </w:r>
      <w:r>
        <w:rPr>
          <w:rFonts w:ascii="宋体" w:eastAsia="宋体" w:hAnsi="宋体" w:cs="宋体"/>
        </w:rPr>
        <w:t xml:space="preserve">  </w:t>
      </w:r>
      <w:r>
        <w:rPr>
          <w:rFonts w:ascii="宋体" w:eastAsia="宋体" w:hAnsi="宋体" w:cs="宋体"/>
          <w:spacing w:val="-2"/>
        </w:rPr>
        <w:t>他儿茶素在肾脏中含量高，主要通过尿液排出</w:t>
      </w:r>
    </w:p>
    <w:p w:rsidR="00EA40A3" w:rsidRDefault="00E86C16">
      <w:pPr>
        <w:spacing w:before="83" w:line="259" w:lineRule="auto"/>
        <w:ind w:firstLine="409"/>
        <w:rPr>
          <w:rFonts w:ascii="宋体" w:eastAsia="宋体" w:hAnsi="宋体" w:cs="宋体"/>
        </w:rPr>
      </w:pPr>
      <w:r>
        <w:rPr>
          <w:rFonts w:ascii="宋体" w:eastAsia="宋体" w:hAnsi="宋体" w:cs="宋体"/>
        </w:rPr>
        <w:t>TP</w:t>
      </w:r>
      <w:r>
        <w:rPr>
          <w:rFonts w:ascii="宋体" w:eastAsia="宋体" w:hAnsi="宋体" w:cs="宋体"/>
          <w:spacing w:val="24"/>
        </w:rPr>
        <w:t xml:space="preserve"> </w:t>
      </w:r>
      <w:r>
        <w:rPr>
          <w:rFonts w:ascii="宋体" w:eastAsia="宋体" w:hAnsi="宋体" w:cs="宋体"/>
          <w:spacing w:val="1"/>
        </w:rPr>
        <w:t>急性毒性试验小鼠的</w:t>
      </w:r>
      <w:r>
        <w:rPr>
          <w:rFonts w:ascii="宋体" w:eastAsia="宋体" w:hAnsi="宋体" w:cs="宋体"/>
        </w:rPr>
        <w:t>LDso</w:t>
      </w:r>
      <w:r>
        <w:rPr>
          <w:rFonts w:ascii="宋体" w:eastAsia="宋体" w:hAnsi="宋体" w:cs="宋体"/>
          <w:spacing w:val="1"/>
        </w:rPr>
        <w:t>为每千克体重2496～2816</w:t>
      </w:r>
      <w:r>
        <w:rPr>
          <w:rFonts w:ascii="宋体" w:eastAsia="宋体" w:hAnsi="宋体" w:cs="宋体"/>
        </w:rPr>
        <w:t>mg</w:t>
      </w:r>
      <w:r>
        <w:rPr>
          <w:rFonts w:ascii="宋体" w:eastAsia="宋体" w:hAnsi="宋体" w:cs="宋体"/>
          <w:spacing w:val="1"/>
        </w:rPr>
        <w:t>,</w:t>
      </w:r>
      <w:r>
        <w:rPr>
          <w:rFonts w:ascii="宋体" w:eastAsia="宋体" w:hAnsi="宋体" w:cs="宋体"/>
          <w:spacing w:val="43"/>
        </w:rPr>
        <w:t xml:space="preserve"> </w:t>
      </w:r>
      <w:r>
        <w:rPr>
          <w:rFonts w:ascii="宋体" w:eastAsia="宋体" w:hAnsi="宋体" w:cs="宋体"/>
          <w:spacing w:val="1"/>
        </w:rPr>
        <w:t>有中等蓄积性；</w:t>
      </w:r>
      <w:r>
        <w:rPr>
          <w:rFonts w:ascii="宋体" w:eastAsia="宋体" w:hAnsi="宋体" w:cs="宋体"/>
        </w:rPr>
        <w:t xml:space="preserve"> </w:t>
      </w:r>
      <w:r>
        <w:rPr>
          <w:rFonts w:ascii="宋体" w:eastAsia="宋体" w:hAnsi="宋体" w:cs="宋体"/>
          <w:spacing w:val="-3"/>
        </w:rPr>
        <w:t>亚急性毒性试验小鼠血红蛋白、红细胞数、白细胞数、体重、肝</w:t>
      </w:r>
      <w:r>
        <w:rPr>
          <w:rFonts w:ascii="宋体" w:eastAsia="宋体" w:hAnsi="宋体" w:cs="宋体"/>
          <w:spacing w:val="-4"/>
        </w:rPr>
        <w:t>重、胸腺和脾脏</w:t>
      </w:r>
      <w:r>
        <w:rPr>
          <w:rFonts w:ascii="宋体" w:eastAsia="宋体" w:hAnsi="宋体" w:cs="宋体"/>
        </w:rPr>
        <w:t xml:space="preserve">  </w:t>
      </w:r>
      <w:r>
        <w:rPr>
          <w:rFonts w:ascii="宋体" w:eastAsia="宋体" w:hAnsi="宋体" w:cs="宋体"/>
          <w:spacing w:val="-3"/>
        </w:rPr>
        <w:t>的细胞数与对照组比较均无差别；药理试验血压、心电、呼吸和肠道活动结</w:t>
      </w:r>
      <w:r>
        <w:rPr>
          <w:rFonts w:ascii="宋体" w:eastAsia="宋体" w:hAnsi="宋体" w:cs="宋体"/>
          <w:spacing w:val="-4"/>
        </w:rPr>
        <w:t>果均</w:t>
      </w:r>
      <w:r>
        <w:rPr>
          <w:rFonts w:ascii="宋体" w:eastAsia="宋体" w:hAnsi="宋体" w:cs="宋体"/>
        </w:rPr>
        <w:t xml:space="preserve">  </w:t>
      </w:r>
      <w:r>
        <w:rPr>
          <w:rFonts w:ascii="宋体" w:eastAsia="宋体" w:hAnsi="宋体" w:cs="宋体"/>
          <w:spacing w:val="2"/>
        </w:rPr>
        <w:t>在正常范围；</w:t>
      </w:r>
      <w:r>
        <w:rPr>
          <w:rFonts w:ascii="宋体" w:eastAsia="宋体" w:hAnsi="宋体" w:cs="宋体"/>
          <w:spacing w:val="-2"/>
        </w:rPr>
        <w:t xml:space="preserve"> </w:t>
      </w:r>
      <w:r>
        <w:rPr>
          <w:rFonts w:ascii="宋体" w:eastAsia="宋体" w:hAnsi="宋体" w:cs="宋体"/>
        </w:rPr>
        <w:t>Ames</w:t>
      </w:r>
      <w:r>
        <w:rPr>
          <w:rFonts w:ascii="宋体" w:eastAsia="宋体" w:hAnsi="宋体" w:cs="宋体"/>
          <w:spacing w:val="36"/>
        </w:rPr>
        <w:t xml:space="preserve"> </w:t>
      </w:r>
      <w:r>
        <w:rPr>
          <w:rFonts w:ascii="宋体" w:eastAsia="宋体" w:hAnsi="宋体" w:cs="宋体"/>
          <w:spacing w:val="2"/>
        </w:rPr>
        <w:t>试验其突变性为阴性。因此，第11届全国食品添加剂标准</w:t>
      </w:r>
      <w:r>
        <w:rPr>
          <w:rFonts w:ascii="宋体" w:eastAsia="宋体" w:hAnsi="宋体" w:cs="宋体"/>
        </w:rPr>
        <w:t xml:space="preserve">  </w:t>
      </w:r>
      <w:r>
        <w:rPr>
          <w:rFonts w:ascii="宋体" w:eastAsia="宋体" w:hAnsi="宋体" w:cs="宋体"/>
          <w:spacing w:val="-1"/>
        </w:rPr>
        <w:t>委员会同意将TP</w:t>
      </w:r>
      <w:r>
        <w:rPr>
          <w:rFonts w:ascii="宋体" w:eastAsia="宋体" w:hAnsi="宋体" w:cs="宋体"/>
          <w:spacing w:val="10"/>
        </w:rPr>
        <w:t xml:space="preserve"> </w:t>
      </w:r>
      <w:r>
        <w:rPr>
          <w:rFonts w:ascii="宋体" w:eastAsia="宋体" w:hAnsi="宋体" w:cs="宋体"/>
          <w:spacing w:val="-1"/>
        </w:rPr>
        <w:t>列入标准。</w:t>
      </w:r>
      <w:r>
        <w:rPr>
          <w:rFonts w:ascii="宋体" w:eastAsia="宋体" w:hAnsi="宋体" w:cs="宋体"/>
          <w:spacing w:val="-6"/>
        </w:rPr>
        <w:t xml:space="preserve"> </w:t>
      </w:r>
      <w:r>
        <w:rPr>
          <w:rFonts w:ascii="宋体" w:eastAsia="宋体" w:hAnsi="宋体" w:cs="宋体"/>
          <w:spacing w:val="-1"/>
        </w:rPr>
        <w:t>TP</w:t>
      </w:r>
      <w:r>
        <w:rPr>
          <w:rFonts w:ascii="宋体" w:eastAsia="宋体" w:hAnsi="宋体" w:cs="宋体"/>
          <w:spacing w:val="31"/>
        </w:rPr>
        <w:t xml:space="preserve"> </w:t>
      </w:r>
      <w:r>
        <w:rPr>
          <w:rFonts w:ascii="宋体" w:eastAsia="宋体" w:hAnsi="宋体" w:cs="宋体"/>
          <w:spacing w:val="-1"/>
        </w:rPr>
        <w:t>在食品工业、医药、卫生及保健方面有重要的</w:t>
      </w:r>
      <w:r>
        <w:rPr>
          <w:rFonts w:ascii="宋体" w:eastAsia="宋体" w:hAnsi="宋体" w:cs="宋体"/>
        </w:rPr>
        <w:t xml:space="preserve">  </w:t>
      </w:r>
      <w:r>
        <w:rPr>
          <w:rFonts w:ascii="宋体" w:eastAsia="宋体" w:hAnsi="宋体" w:cs="宋体"/>
          <w:spacing w:val="-3"/>
        </w:rPr>
        <w:t>应用价值。在食品工业作为防止和延缓脂质变质的保鲜剂、除臭</w:t>
      </w:r>
      <w:r>
        <w:rPr>
          <w:rFonts w:ascii="宋体" w:eastAsia="宋体" w:hAnsi="宋体" w:cs="宋体"/>
          <w:spacing w:val="-4"/>
        </w:rPr>
        <w:t>剂及天然食用色</w:t>
      </w:r>
      <w:r>
        <w:rPr>
          <w:rFonts w:ascii="宋体" w:eastAsia="宋体" w:hAnsi="宋体" w:cs="宋体"/>
        </w:rPr>
        <w:t xml:space="preserve">  </w:t>
      </w:r>
      <w:r>
        <w:rPr>
          <w:rFonts w:ascii="宋体" w:eastAsia="宋体" w:hAnsi="宋体" w:cs="宋体"/>
          <w:spacing w:val="-3"/>
        </w:rPr>
        <w:t>素稳定剂；在日、俄被用于减肥食品；美国目前已批准将绿茶作为预防癌症的药</w:t>
      </w:r>
      <w:r>
        <w:rPr>
          <w:rFonts w:ascii="宋体" w:eastAsia="宋体" w:hAnsi="宋体" w:cs="宋体"/>
          <w:spacing w:val="13"/>
        </w:rPr>
        <w:t xml:space="preserve"> </w:t>
      </w:r>
      <w:r>
        <w:rPr>
          <w:rFonts w:ascii="宋体" w:eastAsia="宋体" w:hAnsi="宋体" w:cs="宋体"/>
          <w:spacing w:val="-8"/>
        </w:rPr>
        <w:t>物使用。</w:t>
      </w:r>
    </w:p>
    <w:p w:rsidR="00EA40A3" w:rsidRDefault="00EA40A3">
      <w:pPr>
        <w:spacing w:line="272" w:lineRule="auto"/>
      </w:pPr>
    </w:p>
    <w:p w:rsidR="00EA40A3" w:rsidRDefault="00E86C16">
      <w:pPr>
        <w:spacing w:before="88" w:line="219" w:lineRule="auto"/>
        <w:ind w:left="2599"/>
        <w:rPr>
          <w:rFonts w:ascii="宋体" w:eastAsia="宋体" w:hAnsi="宋体" w:cs="宋体"/>
          <w:sz w:val="27"/>
          <w:szCs w:val="27"/>
        </w:rPr>
      </w:pPr>
      <w:r>
        <w:rPr>
          <w:rFonts w:ascii="宋体" w:eastAsia="宋体" w:hAnsi="宋体" w:cs="宋体"/>
          <w:spacing w:val="3"/>
          <w:sz w:val="27"/>
          <w:szCs w:val="27"/>
        </w:rPr>
        <w:t>5.3</w:t>
      </w:r>
      <w:r>
        <w:rPr>
          <w:rFonts w:ascii="宋体" w:eastAsia="宋体" w:hAnsi="宋体" w:cs="宋体"/>
          <w:spacing w:val="11"/>
          <w:sz w:val="27"/>
          <w:szCs w:val="27"/>
        </w:rPr>
        <w:t xml:space="preserve">  </w:t>
      </w:r>
      <w:r>
        <w:rPr>
          <w:rFonts w:ascii="宋体" w:eastAsia="宋体" w:hAnsi="宋体" w:cs="宋体"/>
          <w:spacing w:val="3"/>
          <w:sz w:val="27"/>
          <w:szCs w:val="27"/>
        </w:rPr>
        <w:t>类胡萝卜素</w:t>
      </w:r>
    </w:p>
    <w:p w:rsidR="00EA40A3" w:rsidRDefault="00EA40A3">
      <w:pPr>
        <w:spacing w:line="264" w:lineRule="auto"/>
      </w:pPr>
    </w:p>
    <w:p w:rsidR="00EA40A3" w:rsidRDefault="00E86C16">
      <w:pPr>
        <w:spacing w:before="69" w:line="220" w:lineRule="auto"/>
        <w:ind w:left="409"/>
        <w:rPr>
          <w:rFonts w:ascii="仿宋" w:eastAsia="仿宋" w:hAnsi="仿宋" w:cs="仿宋"/>
        </w:rPr>
      </w:pPr>
      <w:r>
        <w:rPr>
          <w:rFonts w:ascii="仿宋" w:eastAsia="仿宋" w:hAnsi="仿宋" w:cs="仿宋"/>
          <w:spacing w:val="-1"/>
        </w:rPr>
        <w:t>类胡萝卜素</w:t>
      </w:r>
      <w:r>
        <w:rPr>
          <w:rFonts w:ascii="仿宋" w:eastAsia="仿宋" w:hAnsi="仿宋" w:cs="仿宋"/>
          <w:spacing w:val="1"/>
        </w:rPr>
        <w:t xml:space="preserve"> </w:t>
      </w:r>
      <w:r>
        <w:rPr>
          <w:rFonts w:ascii="仿宋" w:eastAsia="仿宋" w:hAnsi="仿宋" w:cs="仿宋"/>
          <w:spacing w:val="-1"/>
        </w:rPr>
        <w:t>(carotenoid)</w:t>
      </w:r>
      <w:r>
        <w:rPr>
          <w:rFonts w:ascii="仿宋" w:eastAsia="仿宋" w:hAnsi="仿宋" w:cs="仿宋"/>
          <w:spacing w:val="-40"/>
        </w:rPr>
        <w:t xml:space="preserve"> </w:t>
      </w:r>
      <w:r>
        <w:rPr>
          <w:rFonts w:ascii="仿宋" w:eastAsia="仿宋" w:hAnsi="仿宋" w:cs="仿宋"/>
          <w:spacing w:val="-1"/>
        </w:rPr>
        <w:t>是植物中广泛分布的一类脂溶性多</w:t>
      </w:r>
      <w:r>
        <w:rPr>
          <w:rFonts w:ascii="仿宋" w:eastAsia="仿宋" w:hAnsi="仿宋" w:cs="仿宋"/>
          <w:spacing w:val="-2"/>
        </w:rPr>
        <w:t>烯色素，属四</w:t>
      </w:r>
    </w:p>
    <w:p w:rsidR="00EA40A3" w:rsidRDefault="00E86C16">
      <w:pPr>
        <w:spacing w:before="49"/>
        <w:ind w:left="139"/>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160</w:t>
      </w:r>
      <w:r>
        <w:rPr>
          <w:rFonts w:ascii="宋体" w:eastAsia="宋体" w:hAnsi="宋体" w:cs="宋体"/>
          <w:spacing w:val="55"/>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024" w:bottom="400" w:left="860" w:header="0" w:footer="0" w:gutter="0"/>
          <w:cols w:space="720"/>
        </w:sectPr>
      </w:pPr>
    </w:p>
    <w:p w:rsidR="00EA40A3" w:rsidRDefault="00EA40A3">
      <w:pPr>
        <w:spacing w:line="291" w:lineRule="auto"/>
      </w:pPr>
    </w:p>
    <w:p w:rsidR="00EA40A3" w:rsidRDefault="00EA40A3">
      <w:pPr>
        <w:spacing w:line="292" w:lineRule="auto"/>
      </w:pPr>
    </w:p>
    <w:p w:rsidR="00EA40A3" w:rsidRDefault="00E86C16">
      <w:pPr>
        <w:spacing w:before="71" w:line="247" w:lineRule="auto"/>
        <w:ind w:right="22"/>
        <w:jc w:val="both"/>
        <w:rPr>
          <w:rFonts w:ascii="宋体" w:eastAsia="宋体" w:hAnsi="宋体" w:cs="宋体"/>
          <w:sz w:val="22"/>
          <w:szCs w:val="22"/>
        </w:rPr>
      </w:pPr>
      <w:bookmarkStart w:id="35" w:name="_bookmark39"/>
      <w:bookmarkStart w:id="36" w:name="_bookmark40"/>
      <w:bookmarkEnd w:id="35"/>
      <w:bookmarkEnd w:id="36"/>
      <w:r>
        <w:rPr>
          <w:rFonts w:ascii="宋体" w:eastAsia="宋体" w:hAnsi="宋体" w:cs="宋体"/>
          <w:spacing w:val="-9"/>
          <w:sz w:val="22"/>
          <w:szCs w:val="22"/>
        </w:rPr>
        <w:t>萜类。已知的类胡萝卜素达600多种，颜色从红、橙、黄以至紫</w:t>
      </w:r>
      <w:r>
        <w:rPr>
          <w:rFonts w:ascii="宋体" w:eastAsia="宋体" w:hAnsi="宋体" w:cs="宋体"/>
          <w:spacing w:val="-10"/>
          <w:sz w:val="22"/>
          <w:szCs w:val="22"/>
        </w:rPr>
        <w:t>色都有。按组成</w:t>
      </w:r>
      <w:r>
        <w:rPr>
          <w:rFonts w:ascii="宋体" w:eastAsia="宋体" w:hAnsi="宋体" w:cs="宋体"/>
          <w:sz w:val="22"/>
          <w:szCs w:val="22"/>
        </w:rPr>
        <w:t xml:space="preserve"> </w:t>
      </w:r>
      <w:r>
        <w:rPr>
          <w:rFonts w:ascii="宋体" w:eastAsia="宋体" w:hAnsi="宋体" w:cs="宋体"/>
          <w:spacing w:val="-18"/>
          <w:sz w:val="22"/>
          <w:szCs w:val="22"/>
        </w:rPr>
        <w:t>和溶解性质可分为胡萝卜素类和叶黄素类。胡萝卜素</w:t>
      </w:r>
      <w:r>
        <w:rPr>
          <w:rFonts w:ascii="宋体" w:eastAsia="宋体" w:hAnsi="宋体" w:cs="宋体"/>
          <w:spacing w:val="-19"/>
          <w:sz w:val="22"/>
          <w:szCs w:val="22"/>
        </w:rPr>
        <w:t>类包括α-胡萝卜素、β-胡萝</w:t>
      </w:r>
      <w:r>
        <w:rPr>
          <w:rFonts w:ascii="宋体" w:eastAsia="宋体" w:hAnsi="宋体" w:cs="宋体"/>
          <w:sz w:val="22"/>
          <w:szCs w:val="22"/>
        </w:rPr>
        <w:t xml:space="preserve"> </w:t>
      </w:r>
      <w:r>
        <w:rPr>
          <w:rFonts w:ascii="宋体" w:eastAsia="宋体" w:hAnsi="宋体" w:cs="宋体"/>
          <w:spacing w:val="-15"/>
          <w:sz w:val="22"/>
          <w:szCs w:val="22"/>
        </w:rPr>
        <w:t>卜素、y-胡萝卜素、δ-胡萝卜素、</w:t>
      </w:r>
      <w:r>
        <w:rPr>
          <w:rFonts w:ascii="宋体" w:eastAsia="宋体" w:hAnsi="宋体" w:cs="宋体"/>
          <w:spacing w:val="-36"/>
          <w:sz w:val="22"/>
          <w:szCs w:val="22"/>
        </w:rPr>
        <w:t xml:space="preserve"> </w:t>
      </w:r>
      <w:r>
        <w:rPr>
          <w:rFonts w:ascii="宋体" w:eastAsia="宋体" w:hAnsi="宋体" w:cs="宋体"/>
          <w:spacing w:val="-15"/>
          <w:sz w:val="22"/>
          <w:szCs w:val="22"/>
        </w:rPr>
        <w:t>s-胡萝卜素及番茄红素</w:t>
      </w:r>
      <w:r>
        <w:rPr>
          <w:rFonts w:ascii="宋体" w:eastAsia="宋体" w:hAnsi="宋体" w:cs="宋体"/>
          <w:spacing w:val="-20"/>
          <w:sz w:val="22"/>
          <w:szCs w:val="22"/>
        </w:rPr>
        <w:t xml:space="preserve"> </w:t>
      </w:r>
      <w:r>
        <w:rPr>
          <w:rFonts w:ascii="宋体" w:eastAsia="宋体" w:hAnsi="宋体" w:cs="宋体"/>
          <w:spacing w:val="-15"/>
          <w:sz w:val="22"/>
          <w:szCs w:val="22"/>
        </w:rPr>
        <w:t>(lycopene)</w:t>
      </w:r>
      <w:r>
        <w:rPr>
          <w:rFonts w:ascii="宋体" w:eastAsia="宋体" w:hAnsi="宋体" w:cs="宋体"/>
          <w:spacing w:val="-37"/>
          <w:sz w:val="22"/>
          <w:szCs w:val="22"/>
        </w:rPr>
        <w:t xml:space="preserve"> </w:t>
      </w:r>
      <w:r>
        <w:rPr>
          <w:rFonts w:ascii="宋体" w:eastAsia="宋体" w:hAnsi="宋体" w:cs="宋体"/>
          <w:spacing w:val="-15"/>
          <w:sz w:val="22"/>
          <w:szCs w:val="22"/>
        </w:rPr>
        <w:t>等；叶黄</w:t>
      </w:r>
      <w:r>
        <w:rPr>
          <w:rFonts w:ascii="宋体" w:eastAsia="宋体" w:hAnsi="宋体" w:cs="宋体"/>
          <w:sz w:val="22"/>
          <w:szCs w:val="22"/>
        </w:rPr>
        <w:t xml:space="preserve"> </w:t>
      </w:r>
      <w:r>
        <w:rPr>
          <w:rFonts w:ascii="宋体" w:eastAsia="宋体" w:hAnsi="宋体" w:cs="宋体"/>
          <w:spacing w:val="-7"/>
          <w:sz w:val="22"/>
          <w:szCs w:val="22"/>
        </w:rPr>
        <w:t>素则是胡萝卜素的加氧衍生物或环氧衍生物，食品中常见的有叶黄素、玉米黄</w:t>
      </w:r>
      <w:r>
        <w:rPr>
          <w:rFonts w:ascii="宋体" w:eastAsia="宋体" w:hAnsi="宋体" w:cs="宋体"/>
          <w:spacing w:val="15"/>
          <w:sz w:val="22"/>
          <w:szCs w:val="22"/>
        </w:rPr>
        <w:t xml:space="preserve"> </w:t>
      </w:r>
      <w:r>
        <w:rPr>
          <w:rFonts w:ascii="宋体" w:eastAsia="宋体" w:hAnsi="宋体" w:cs="宋体"/>
          <w:spacing w:val="-13"/>
          <w:sz w:val="22"/>
          <w:szCs w:val="22"/>
        </w:rPr>
        <w:t>素、隐黄素、辣椒红素和虾黄素等。按结构可分为三大类，即无环化合物，如番</w:t>
      </w:r>
      <w:r>
        <w:rPr>
          <w:rFonts w:ascii="宋体" w:eastAsia="宋体" w:hAnsi="宋体" w:cs="宋体"/>
          <w:spacing w:val="15"/>
          <w:sz w:val="22"/>
          <w:szCs w:val="22"/>
        </w:rPr>
        <w:t xml:space="preserve"> </w:t>
      </w:r>
      <w:r>
        <w:rPr>
          <w:rFonts w:ascii="宋体" w:eastAsia="宋体" w:hAnsi="宋体" w:cs="宋体"/>
          <w:spacing w:val="-15"/>
          <w:sz w:val="22"/>
          <w:szCs w:val="22"/>
        </w:rPr>
        <w:t>茄红素，单环化合物，如γ-胡萝卜素及双环化合物，如α-和β胡萝卜素。4种主</w:t>
      </w:r>
      <w:r>
        <w:rPr>
          <w:rFonts w:ascii="宋体" w:eastAsia="宋体" w:hAnsi="宋体" w:cs="宋体"/>
          <w:spacing w:val="5"/>
          <w:sz w:val="22"/>
          <w:szCs w:val="22"/>
        </w:rPr>
        <w:t xml:space="preserve"> </w:t>
      </w:r>
      <w:r>
        <w:rPr>
          <w:rFonts w:ascii="宋体" w:eastAsia="宋体" w:hAnsi="宋体" w:cs="宋体"/>
          <w:spacing w:val="-10"/>
          <w:sz w:val="22"/>
          <w:szCs w:val="22"/>
        </w:rPr>
        <w:t>要胡萝卜素的结构如图5-3所示：</w:t>
      </w:r>
    </w:p>
    <w:p w:rsidR="00EA40A3" w:rsidRDefault="00EA40A3"/>
    <w:p w:rsidR="00EA40A3" w:rsidRDefault="00EA40A3">
      <w:pPr>
        <w:spacing w:line="103" w:lineRule="auto"/>
        <w:rPr>
          <w:sz w:val="2"/>
        </w:rPr>
      </w:pPr>
    </w:p>
    <w:p w:rsidR="00EA40A3" w:rsidRDefault="00EA40A3">
      <w:pPr>
        <w:sectPr w:rsidR="00EA40A3">
          <w:footerReference w:type="default" r:id="rId142"/>
          <w:pgSz w:w="9220" w:h="13360"/>
          <w:pgMar w:top="400" w:right="1055" w:bottom="1216" w:left="879" w:header="0" w:footer="995" w:gutter="0"/>
          <w:cols w:space="720" w:equalWidth="0">
            <w:col w:w="7285"/>
          </w:cols>
        </w:sectPr>
      </w:pPr>
    </w:p>
    <w:p w:rsidR="00EA40A3" w:rsidRDefault="00E86C16">
      <w:pPr>
        <w:spacing w:line="719" w:lineRule="exact"/>
        <w:ind w:firstLine="1200"/>
        <w:textAlignment w:val="center"/>
      </w:pPr>
      <w:r>
        <w:rPr>
          <w:noProof/>
        </w:rPr>
        <w:drawing>
          <wp:inline distT="0" distB="0" distL="0" distR="0">
            <wp:extent cx="2412365" cy="456565"/>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43"/>
                    <a:stretch>
                      <a:fillRect/>
                    </a:stretch>
                  </pic:blipFill>
                  <pic:spPr>
                    <a:xfrm>
                      <a:off x="0" y="0"/>
                      <a:ext cx="2412955" cy="457181"/>
                    </a:xfrm>
                    <a:prstGeom prst="rect">
                      <a:avLst/>
                    </a:prstGeom>
                  </pic:spPr>
                </pic:pic>
              </a:graphicData>
            </a:graphic>
          </wp:inline>
        </w:drawing>
      </w:r>
    </w:p>
    <w:p w:rsidR="00EA40A3" w:rsidRDefault="00E86C16">
      <w:pPr>
        <w:spacing w:before="169" w:line="730" w:lineRule="exact"/>
        <w:ind w:firstLine="1200"/>
        <w:textAlignment w:val="center"/>
      </w:pPr>
      <w:r>
        <w:rPr>
          <w:noProof/>
        </w:rPr>
        <w:drawing>
          <wp:inline distT="0" distB="0" distL="0" distR="0">
            <wp:extent cx="2412365" cy="46291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44"/>
                    <a:stretch>
                      <a:fillRect/>
                    </a:stretch>
                  </pic:blipFill>
                  <pic:spPr>
                    <a:xfrm>
                      <a:off x="0" y="0"/>
                      <a:ext cx="2412955" cy="463543"/>
                    </a:xfrm>
                    <a:prstGeom prst="rect">
                      <a:avLst/>
                    </a:prstGeom>
                  </pic:spPr>
                </pic:pic>
              </a:graphicData>
            </a:graphic>
          </wp:inline>
        </w:drawing>
      </w:r>
    </w:p>
    <w:p w:rsidR="00EA40A3" w:rsidRDefault="00EA40A3">
      <w:pPr>
        <w:spacing w:line="288" w:lineRule="auto"/>
      </w:pPr>
    </w:p>
    <w:p w:rsidR="00EA40A3" w:rsidRDefault="00E86C16">
      <w:pPr>
        <w:spacing w:line="720" w:lineRule="exact"/>
        <w:ind w:firstLine="1190"/>
        <w:textAlignment w:val="center"/>
      </w:pPr>
      <w:r>
        <w:rPr>
          <w:noProof/>
        </w:rPr>
        <w:drawing>
          <wp:inline distT="0" distB="0" distL="0" distR="0">
            <wp:extent cx="2413000" cy="456565"/>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45"/>
                    <a:stretch>
                      <a:fillRect/>
                    </a:stretch>
                  </pic:blipFill>
                  <pic:spPr>
                    <a:xfrm>
                      <a:off x="0" y="0"/>
                      <a:ext cx="2413014" cy="457181"/>
                    </a:xfrm>
                    <a:prstGeom prst="rect">
                      <a:avLst/>
                    </a:prstGeom>
                  </pic:spPr>
                </pic:pic>
              </a:graphicData>
            </a:graphic>
          </wp:inline>
        </w:drawing>
      </w:r>
    </w:p>
    <w:p w:rsidR="00EA40A3" w:rsidRDefault="00E86C16">
      <w:pPr>
        <w:spacing w:before="160" w:line="730" w:lineRule="exact"/>
        <w:ind w:firstLine="1170"/>
        <w:textAlignment w:val="center"/>
      </w:pPr>
      <w:r>
        <w:rPr>
          <w:noProof/>
        </w:rPr>
        <w:drawing>
          <wp:inline distT="0" distB="0" distL="0" distR="0">
            <wp:extent cx="2418715" cy="46291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46"/>
                    <a:stretch>
                      <a:fillRect/>
                    </a:stretch>
                  </pic:blipFill>
                  <pic:spPr>
                    <a:xfrm>
                      <a:off x="0" y="0"/>
                      <a:ext cx="2419337" cy="463543"/>
                    </a:xfrm>
                    <a:prstGeom prst="rect">
                      <a:avLst/>
                    </a:prstGeom>
                  </pic:spPr>
                </pic:pic>
              </a:graphicData>
            </a:graphic>
          </wp:inline>
        </w:drawing>
      </w:r>
    </w:p>
    <w:p w:rsidR="00EA40A3" w:rsidRDefault="00EA40A3">
      <w:pPr>
        <w:spacing w:line="269" w:lineRule="auto"/>
      </w:pPr>
    </w:p>
    <w:p w:rsidR="00EA40A3" w:rsidRDefault="00E86C16">
      <w:pPr>
        <w:spacing w:before="56" w:line="184" w:lineRule="auto"/>
        <w:ind w:left="2380"/>
        <w:rPr>
          <w:rFonts w:ascii="宋体" w:eastAsia="宋体" w:hAnsi="宋体" w:cs="宋体"/>
          <w:sz w:val="17"/>
          <w:szCs w:val="17"/>
        </w:rPr>
      </w:pPr>
      <w:r>
        <w:rPr>
          <w:rFonts w:ascii="宋体" w:eastAsia="宋体" w:hAnsi="宋体" w:cs="宋体"/>
          <w:spacing w:val="8"/>
          <w:sz w:val="17"/>
          <w:szCs w:val="17"/>
        </w:rPr>
        <w:t>图5-</w:t>
      </w:r>
      <w:r>
        <w:rPr>
          <w:rFonts w:ascii="宋体" w:eastAsia="宋体" w:hAnsi="宋体" w:cs="宋体"/>
          <w:spacing w:val="-49"/>
          <w:sz w:val="17"/>
          <w:szCs w:val="17"/>
        </w:rPr>
        <w:t xml:space="preserve"> </w:t>
      </w:r>
      <w:r>
        <w:rPr>
          <w:rFonts w:ascii="宋体" w:eastAsia="宋体" w:hAnsi="宋体" w:cs="宋体"/>
          <w:spacing w:val="8"/>
          <w:sz w:val="17"/>
          <w:szCs w:val="17"/>
        </w:rPr>
        <w:t>3</w:t>
      </w:r>
      <w:r>
        <w:rPr>
          <w:rFonts w:ascii="宋体" w:eastAsia="宋体" w:hAnsi="宋体" w:cs="宋体"/>
          <w:spacing w:val="54"/>
          <w:sz w:val="17"/>
          <w:szCs w:val="17"/>
        </w:rPr>
        <w:t xml:space="preserve"> </w:t>
      </w:r>
      <w:r>
        <w:rPr>
          <w:rFonts w:ascii="宋体" w:eastAsia="宋体" w:hAnsi="宋体" w:cs="宋体"/>
          <w:spacing w:val="8"/>
          <w:sz w:val="17"/>
          <w:szCs w:val="17"/>
        </w:rPr>
        <w:t>几种主要胡萝卜素的结构</w:t>
      </w:r>
    </w:p>
    <w:p w:rsidR="00EA40A3" w:rsidRDefault="00E86C16">
      <w:pPr>
        <w:spacing w:line="14" w:lineRule="auto"/>
        <w:rPr>
          <w:sz w:val="2"/>
        </w:rPr>
      </w:pPr>
      <w:r>
        <w:rPr>
          <w:sz w:val="2"/>
          <w:szCs w:val="2"/>
        </w:rPr>
        <w:br w:type="column"/>
      </w:r>
    </w:p>
    <w:p w:rsidR="00EA40A3" w:rsidRDefault="00E86C16">
      <w:pPr>
        <w:spacing w:before="195" w:line="219" w:lineRule="auto"/>
        <w:rPr>
          <w:rFonts w:ascii="宋体" w:eastAsia="宋体" w:hAnsi="宋体" w:cs="宋体"/>
          <w:sz w:val="17"/>
          <w:szCs w:val="17"/>
        </w:rPr>
      </w:pPr>
      <w:r>
        <w:rPr>
          <w:rFonts w:ascii="宋体" w:eastAsia="宋体" w:hAnsi="宋体" w:cs="宋体"/>
          <w:spacing w:val="-16"/>
          <w:sz w:val="17"/>
          <w:szCs w:val="17"/>
        </w:rPr>
        <w:t>番茄红素</w:t>
      </w:r>
    </w:p>
    <w:p w:rsidR="00EA40A3" w:rsidRDefault="00EA40A3">
      <w:pPr>
        <w:spacing w:line="319" w:lineRule="auto"/>
      </w:pPr>
    </w:p>
    <w:p w:rsidR="00EA40A3" w:rsidRDefault="00EA40A3">
      <w:pPr>
        <w:spacing w:line="319" w:lineRule="auto"/>
      </w:pPr>
    </w:p>
    <w:p w:rsidR="00EA40A3" w:rsidRDefault="00E86C16">
      <w:pPr>
        <w:spacing w:before="55" w:line="219" w:lineRule="auto"/>
        <w:rPr>
          <w:rFonts w:ascii="宋体" w:eastAsia="宋体" w:hAnsi="宋体" w:cs="宋体"/>
          <w:sz w:val="17"/>
          <w:szCs w:val="17"/>
        </w:rPr>
      </w:pPr>
      <w:r>
        <w:rPr>
          <w:rFonts w:ascii="宋体" w:eastAsia="宋体" w:hAnsi="宋体" w:cs="宋体"/>
          <w:spacing w:val="-17"/>
          <w:sz w:val="17"/>
          <w:szCs w:val="17"/>
        </w:rPr>
        <w:t>β-胡萝卜素</w:t>
      </w:r>
    </w:p>
    <w:p w:rsidR="00EA40A3" w:rsidRDefault="00EA40A3">
      <w:pPr>
        <w:spacing w:line="359" w:lineRule="auto"/>
      </w:pPr>
    </w:p>
    <w:p w:rsidR="00EA40A3" w:rsidRDefault="00EA40A3">
      <w:pPr>
        <w:spacing w:line="359" w:lineRule="auto"/>
      </w:pPr>
    </w:p>
    <w:p w:rsidR="00EA40A3" w:rsidRDefault="00E86C16">
      <w:pPr>
        <w:spacing w:before="55" w:line="219" w:lineRule="auto"/>
        <w:rPr>
          <w:rFonts w:ascii="宋体" w:eastAsia="宋体" w:hAnsi="宋体" w:cs="宋体"/>
          <w:sz w:val="17"/>
          <w:szCs w:val="17"/>
        </w:rPr>
      </w:pPr>
      <w:r>
        <w:rPr>
          <w:rFonts w:ascii="宋体" w:eastAsia="宋体" w:hAnsi="宋体" w:cs="宋体"/>
          <w:spacing w:val="-17"/>
          <w:sz w:val="17"/>
          <w:szCs w:val="17"/>
        </w:rPr>
        <w:t>α-胡萝卜素</w:t>
      </w:r>
    </w:p>
    <w:p w:rsidR="00EA40A3" w:rsidRDefault="00EA40A3">
      <w:pPr>
        <w:spacing w:line="308" w:lineRule="auto"/>
      </w:pPr>
    </w:p>
    <w:p w:rsidR="00EA40A3" w:rsidRDefault="00EA40A3">
      <w:pPr>
        <w:spacing w:line="308" w:lineRule="auto"/>
      </w:pPr>
    </w:p>
    <w:p w:rsidR="00EA40A3" w:rsidRDefault="00E86C16">
      <w:pPr>
        <w:spacing w:before="56" w:line="215" w:lineRule="auto"/>
        <w:rPr>
          <w:rFonts w:ascii="宋体" w:eastAsia="宋体" w:hAnsi="宋体" w:cs="宋体"/>
          <w:sz w:val="17"/>
          <w:szCs w:val="17"/>
        </w:rPr>
      </w:pPr>
      <w:r>
        <w:rPr>
          <w:rFonts w:ascii="宋体" w:eastAsia="宋体" w:hAnsi="宋体" w:cs="宋体"/>
          <w:spacing w:val="-10"/>
          <w:sz w:val="17"/>
          <w:szCs w:val="17"/>
        </w:rPr>
        <w:t>y-胡萝卜素</w:t>
      </w:r>
    </w:p>
    <w:p w:rsidR="00EA40A3" w:rsidRDefault="00EA40A3">
      <w:pPr>
        <w:sectPr w:rsidR="00EA40A3">
          <w:type w:val="continuous"/>
          <w:pgSz w:w="9220" w:h="13360"/>
          <w:pgMar w:top="400" w:right="1055" w:bottom="1216" w:left="879" w:header="0" w:footer="995" w:gutter="0"/>
          <w:cols w:num="2" w:space="720" w:equalWidth="0">
            <w:col w:w="5281" w:space="100"/>
            <w:col w:w="1905"/>
          </w:cols>
        </w:sectPr>
      </w:pPr>
    </w:p>
    <w:p w:rsidR="00EA40A3" w:rsidRDefault="00EA40A3">
      <w:pPr>
        <w:spacing w:line="423" w:lineRule="auto"/>
      </w:pPr>
    </w:p>
    <w:p w:rsidR="00EA40A3" w:rsidRDefault="00E86C16">
      <w:pPr>
        <w:spacing w:before="73" w:line="221" w:lineRule="auto"/>
        <w:ind w:left="3"/>
        <w:outlineLvl w:val="6"/>
        <w:rPr>
          <w:rFonts w:ascii="黑体" w:eastAsia="黑体" w:hAnsi="黑体" w:cs="黑体"/>
          <w:sz w:val="22"/>
          <w:szCs w:val="22"/>
        </w:rPr>
      </w:pPr>
      <w:r>
        <w:rPr>
          <w:rFonts w:ascii="黑体" w:eastAsia="黑体" w:hAnsi="黑体" w:cs="黑体"/>
          <w:b/>
          <w:bCs/>
          <w:spacing w:val="9"/>
          <w:sz w:val="22"/>
          <w:szCs w:val="22"/>
        </w:rPr>
        <w:t>5.3.1</w:t>
      </w:r>
      <w:r>
        <w:rPr>
          <w:rFonts w:ascii="黑体" w:eastAsia="黑体" w:hAnsi="黑体" w:cs="黑体"/>
          <w:spacing w:val="32"/>
          <w:sz w:val="22"/>
          <w:szCs w:val="22"/>
        </w:rPr>
        <w:t xml:space="preserve">  </w:t>
      </w:r>
      <w:r>
        <w:rPr>
          <w:rFonts w:ascii="黑体" w:eastAsia="黑体" w:hAnsi="黑体" w:cs="黑体"/>
          <w:b/>
          <w:bCs/>
          <w:spacing w:val="9"/>
          <w:sz w:val="22"/>
          <w:szCs w:val="22"/>
        </w:rPr>
        <w:t>类胡萝卜素的生理功能</w:t>
      </w:r>
    </w:p>
    <w:p w:rsidR="00EA40A3" w:rsidRDefault="00E86C16">
      <w:pPr>
        <w:spacing w:before="247" w:line="220"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22"/>
          <w:sz w:val="22"/>
          <w:szCs w:val="22"/>
        </w:rPr>
        <w:t xml:space="preserve"> </w:t>
      </w:r>
      <w:r>
        <w:rPr>
          <w:rFonts w:ascii="仿宋" w:eastAsia="仿宋" w:hAnsi="仿宋" w:cs="仿宋"/>
          <w:spacing w:val="10"/>
          <w:sz w:val="22"/>
          <w:szCs w:val="22"/>
        </w:rPr>
        <w:t>抗氧化作用</w:t>
      </w:r>
    </w:p>
    <w:p w:rsidR="00EA40A3" w:rsidRDefault="00E86C16">
      <w:pPr>
        <w:spacing w:before="195" w:line="243" w:lineRule="auto"/>
        <w:ind w:firstLine="430"/>
        <w:jc w:val="both"/>
        <w:rPr>
          <w:rFonts w:ascii="宋体" w:eastAsia="宋体" w:hAnsi="宋体" w:cs="宋体"/>
          <w:sz w:val="22"/>
          <w:szCs w:val="22"/>
        </w:rPr>
      </w:pPr>
      <w:r>
        <w:rPr>
          <w:rFonts w:ascii="宋体" w:eastAsia="宋体" w:hAnsi="宋体" w:cs="宋体"/>
          <w:spacing w:val="-13"/>
          <w:sz w:val="22"/>
          <w:szCs w:val="22"/>
        </w:rPr>
        <w:t>类胡萝卜素是一类在自然界中广泛分布的、生物来源的抗氧化剂，可有效淬</w:t>
      </w:r>
      <w:r>
        <w:rPr>
          <w:rFonts w:ascii="宋体" w:eastAsia="宋体" w:hAnsi="宋体" w:cs="宋体"/>
          <w:spacing w:val="15"/>
          <w:sz w:val="22"/>
          <w:szCs w:val="22"/>
        </w:rPr>
        <w:t xml:space="preserve"> </w:t>
      </w:r>
      <w:r>
        <w:rPr>
          <w:rFonts w:ascii="宋体" w:eastAsia="宋体" w:hAnsi="宋体" w:cs="宋体"/>
          <w:spacing w:val="-12"/>
          <w:sz w:val="22"/>
          <w:szCs w:val="22"/>
        </w:rPr>
        <w:t>灭单线态氧、清除过氧化自由基，在以卵磷脂、胆固醇与类胡萝</w:t>
      </w:r>
      <w:r>
        <w:rPr>
          <w:rFonts w:ascii="宋体" w:eastAsia="宋体" w:hAnsi="宋体" w:cs="宋体"/>
          <w:spacing w:val="-13"/>
          <w:sz w:val="22"/>
          <w:szCs w:val="22"/>
        </w:rPr>
        <w:t>卜素组成的脂质</w:t>
      </w:r>
      <w:r>
        <w:rPr>
          <w:rFonts w:ascii="宋体" w:eastAsia="宋体" w:hAnsi="宋体" w:cs="宋体"/>
          <w:sz w:val="22"/>
          <w:szCs w:val="22"/>
        </w:rPr>
        <w:t xml:space="preserve"> </w:t>
      </w:r>
      <w:r>
        <w:rPr>
          <w:rFonts w:ascii="宋体" w:eastAsia="宋体" w:hAnsi="宋体" w:cs="宋体"/>
          <w:spacing w:val="-13"/>
          <w:sz w:val="22"/>
          <w:szCs w:val="22"/>
        </w:rPr>
        <w:t>体系统中，可抑制脂质过氧化的发生，明显减少丙二醛的生成。其中番茄红素虽</w:t>
      </w:r>
      <w:r>
        <w:rPr>
          <w:rFonts w:ascii="宋体" w:eastAsia="宋体" w:hAnsi="宋体" w:cs="宋体"/>
          <w:spacing w:val="16"/>
          <w:sz w:val="22"/>
          <w:szCs w:val="22"/>
        </w:rPr>
        <w:t xml:space="preserve"> </w:t>
      </w:r>
      <w:r>
        <w:rPr>
          <w:rFonts w:ascii="宋体" w:eastAsia="宋体" w:hAnsi="宋体" w:cs="宋体"/>
          <w:spacing w:val="-7"/>
          <w:sz w:val="22"/>
          <w:szCs w:val="22"/>
        </w:rPr>
        <w:t>没有维生素A</w:t>
      </w:r>
      <w:r>
        <w:rPr>
          <w:rFonts w:ascii="宋体" w:eastAsia="宋体" w:hAnsi="宋体" w:cs="宋体"/>
          <w:spacing w:val="16"/>
          <w:sz w:val="22"/>
          <w:szCs w:val="22"/>
        </w:rPr>
        <w:t xml:space="preserve"> </w:t>
      </w:r>
      <w:r>
        <w:rPr>
          <w:rFonts w:ascii="宋体" w:eastAsia="宋体" w:hAnsi="宋体" w:cs="宋体"/>
          <w:spacing w:val="-7"/>
          <w:sz w:val="22"/>
          <w:szCs w:val="22"/>
        </w:rPr>
        <w:t>的活性，但却是一种强有力的抗氧化剂，其抗氧化能力在生物体</w:t>
      </w:r>
      <w:r>
        <w:rPr>
          <w:rFonts w:ascii="宋体" w:eastAsia="宋体" w:hAnsi="宋体" w:cs="宋体"/>
          <w:sz w:val="22"/>
          <w:szCs w:val="22"/>
        </w:rPr>
        <w:t xml:space="preserve"> </w:t>
      </w:r>
      <w:r>
        <w:rPr>
          <w:rFonts w:ascii="宋体" w:eastAsia="宋体" w:hAnsi="宋体" w:cs="宋体"/>
          <w:spacing w:val="-7"/>
          <w:sz w:val="22"/>
          <w:szCs w:val="22"/>
        </w:rPr>
        <w:t>内是β胡萝卜素的两倍以上，可保护人体免受自由基的损害。有研究报道，番</w:t>
      </w:r>
      <w:r>
        <w:rPr>
          <w:rFonts w:ascii="宋体" w:eastAsia="宋体" w:hAnsi="宋体" w:cs="宋体"/>
          <w:spacing w:val="18"/>
          <w:sz w:val="22"/>
          <w:szCs w:val="22"/>
        </w:rPr>
        <w:t xml:space="preserve"> </w:t>
      </w:r>
      <w:r>
        <w:rPr>
          <w:rFonts w:ascii="宋体" w:eastAsia="宋体" w:hAnsi="宋体" w:cs="宋体"/>
          <w:spacing w:val="-17"/>
          <w:sz w:val="22"/>
          <w:szCs w:val="22"/>
        </w:rPr>
        <w:t>茄红素对氧化胁迫介导的皮肤损害有保护效应。</w:t>
      </w:r>
      <w:r>
        <w:rPr>
          <w:rFonts w:ascii="宋体" w:eastAsia="宋体" w:hAnsi="宋体" w:cs="宋体"/>
          <w:spacing w:val="50"/>
          <w:sz w:val="22"/>
          <w:szCs w:val="22"/>
        </w:rPr>
        <w:t xml:space="preserve"> </w:t>
      </w:r>
      <w:r>
        <w:rPr>
          <w:rFonts w:ascii="宋体" w:eastAsia="宋体" w:hAnsi="宋体" w:cs="宋体"/>
          <w:spacing w:val="-17"/>
          <w:sz w:val="22"/>
          <w:szCs w:val="22"/>
        </w:rPr>
        <w:t>一些类胡萝卜素淬灭单线态氧的</w:t>
      </w:r>
      <w:r>
        <w:rPr>
          <w:rFonts w:ascii="宋体" w:eastAsia="宋体" w:hAnsi="宋体" w:cs="宋体"/>
          <w:sz w:val="22"/>
          <w:szCs w:val="22"/>
        </w:rPr>
        <w:t xml:space="preserve"> </w:t>
      </w:r>
      <w:r>
        <w:rPr>
          <w:rFonts w:ascii="宋体" w:eastAsia="宋体" w:hAnsi="宋体" w:cs="宋体"/>
          <w:spacing w:val="-20"/>
          <w:sz w:val="22"/>
          <w:szCs w:val="22"/>
        </w:rPr>
        <w:t>速度由高至低依次为：番茄红素、γ-胡萝卜素、虾青素、α-胡萝卜素、β-胡萝卜</w:t>
      </w:r>
      <w:r>
        <w:rPr>
          <w:rFonts w:ascii="宋体" w:eastAsia="宋体" w:hAnsi="宋体" w:cs="宋体"/>
          <w:spacing w:val="13"/>
          <w:sz w:val="22"/>
          <w:szCs w:val="22"/>
        </w:rPr>
        <w:t xml:space="preserve"> </w:t>
      </w:r>
      <w:r>
        <w:rPr>
          <w:rFonts w:ascii="宋体" w:eastAsia="宋体" w:hAnsi="宋体" w:cs="宋体"/>
          <w:spacing w:val="-10"/>
          <w:sz w:val="22"/>
          <w:szCs w:val="22"/>
        </w:rPr>
        <w:t>素和红木素、玉米黄质、叶黄素、番红花苷，均优于维生</w:t>
      </w:r>
      <w:r>
        <w:rPr>
          <w:rFonts w:ascii="宋体" w:eastAsia="宋体" w:hAnsi="宋体" w:cs="宋体"/>
          <w:spacing w:val="-11"/>
          <w:sz w:val="22"/>
          <w:szCs w:val="22"/>
        </w:rPr>
        <w:t>素E。</w:t>
      </w:r>
    </w:p>
    <w:p w:rsidR="00EA40A3" w:rsidRDefault="00EA40A3">
      <w:pPr>
        <w:sectPr w:rsidR="00EA40A3">
          <w:type w:val="continuous"/>
          <w:pgSz w:w="9220" w:h="13360"/>
          <w:pgMar w:top="400" w:right="1055" w:bottom="1216" w:left="879" w:header="0" w:footer="995" w:gutter="0"/>
          <w:cols w:space="720" w:equalWidth="0">
            <w:col w:w="7285"/>
          </w:cols>
        </w:sectPr>
      </w:pPr>
    </w:p>
    <w:p w:rsidR="00EA40A3" w:rsidRDefault="00EA40A3">
      <w:pPr>
        <w:spacing w:line="249" w:lineRule="auto"/>
      </w:pPr>
    </w:p>
    <w:p w:rsidR="00EA40A3" w:rsidRDefault="00EA40A3">
      <w:pPr>
        <w:spacing w:line="250" w:lineRule="auto"/>
      </w:pPr>
    </w:p>
    <w:p w:rsidR="00EA40A3" w:rsidRDefault="00EA40A3">
      <w:pPr>
        <w:spacing w:line="250"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15"/>
          <w:sz w:val="22"/>
          <w:szCs w:val="22"/>
        </w:rPr>
        <w:t>2.</w:t>
      </w:r>
      <w:r>
        <w:rPr>
          <w:rFonts w:ascii="仿宋" w:eastAsia="仿宋" w:hAnsi="仿宋" w:cs="仿宋"/>
          <w:spacing w:val="-27"/>
          <w:sz w:val="22"/>
          <w:szCs w:val="22"/>
        </w:rPr>
        <w:t xml:space="preserve"> </w:t>
      </w:r>
      <w:r>
        <w:rPr>
          <w:rFonts w:ascii="仿宋" w:eastAsia="仿宋" w:hAnsi="仿宋" w:cs="仿宋"/>
          <w:spacing w:val="15"/>
          <w:sz w:val="22"/>
          <w:szCs w:val="22"/>
        </w:rPr>
        <w:t>增强免疫功能和预防肿瘤</w:t>
      </w:r>
    </w:p>
    <w:p w:rsidR="00EA40A3" w:rsidRDefault="00E86C16">
      <w:pPr>
        <w:spacing w:before="190" w:line="248" w:lineRule="auto"/>
        <w:ind w:right="4" w:firstLine="439"/>
        <w:jc w:val="both"/>
        <w:rPr>
          <w:rFonts w:ascii="宋体" w:eastAsia="宋体" w:hAnsi="宋体" w:cs="宋体"/>
          <w:sz w:val="22"/>
          <w:szCs w:val="22"/>
        </w:rPr>
      </w:pPr>
      <w:r>
        <w:rPr>
          <w:rFonts w:ascii="宋体" w:eastAsia="宋体" w:hAnsi="宋体" w:cs="宋体"/>
          <w:spacing w:val="-13"/>
          <w:sz w:val="22"/>
          <w:szCs w:val="22"/>
        </w:rPr>
        <w:t>类胡萝卜素可增强机体免疫功能，保护吞噬细胞免受自身的氧化损伤</w:t>
      </w:r>
      <w:r>
        <w:rPr>
          <w:rFonts w:ascii="宋体" w:eastAsia="宋体" w:hAnsi="宋体" w:cs="宋体"/>
          <w:spacing w:val="-14"/>
          <w:sz w:val="22"/>
          <w:szCs w:val="22"/>
        </w:rPr>
        <w:t>，促进</w:t>
      </w:r>
      <w:r>
        <w:rPr>
          <w:rFonts w:ascii="宋体" w:eastAsia="宋体" w:hAnsi="宋体" w:cs="宋体"/>
          <w:sz w:val="22"/>
          <w:szCs w:val="22"/>
        </w:rPr>
        <w:t xml:space="preserve"> </w:t>
      </w:r>
      <w:r>
        <w:rPr>
          <w:rFonts w:ascii="宋体" w:eastAsia="宋体" w:hAnsi="宋体" w:cs="宋体"/>
          <w:spacing w:val="-10"/>
          <w:sz w:val="22"/>
          <w:szCs w:val="22"/>
        </w:rPr>
        <w:t>T</w:t>
      </w:r>
      <w:r>
        <w:rPr>
          <w:rFonts w:ascii="宋体" w:eastAsia="宋体" w:hAnsi="宋体" w:cs="宋体"/>
          <w:spacing w:val="-34"/>
          <w:sz w:val="22"/>
          <w:szCs w:val="22"/>
        </w:rPr>
        <w:t xml:space="preserve"> </w:t>
      </w:r>
      <w:r>
        <w:rPr>
          <w:rFonts w:ascii="宋体" w:eastAsia="宋体" w:hAnsi="宋体" w:cs="宋体"/>
          <w:spacing w:val="-10"/>
          <w:sz w:val="22"/>
          <w:szCs w:val="22"/>
        </w:rPr>
        <w:t>淋巴细胞、</w:t>
      </w:r>
      <w:r>
        <w:rPr>
          <w:rFonts w:ascii="宋体" w:eastAsia="宋体" w:hAnsi="宋体" w:cs="宋体"/>
          <w:spacing w:val="-18"/>
          <w:sz w:val="22"/>
          <w:szCs w:val="22"/>
        </w:rPr>
        <w:t xml:space="preserve"> </w:t>
      </w:r>
      <w:r>
        <w:rPr>
          <w:rFonts w:ascii="宋体" w:eastAsia="宋体" w:hAnsi="宋体" w:cs="宋体"/>
          <w:spacing w:val="-10"/>
          <w:sz w:val="22"/>
          <w:szCs w:val="22"/>
        </w:rPr>
        <w:t>B</w:t>
      </w:r>
      <w:r>
        <w:rPr>
          <w:rFonts w:ascii="宋体" w:eastAsia="宋体" w:hAnsi="宋体" w:cs="宋体"/>
          <w:spacing w:val="-37"/>
          <w:sz w:val="22"/>
          <w:szCs w:val="22"/>
        </w:rPr>
        <w:t xml:space="preserve"> </w:t>
      </w:r>
      <w:r>
        <w:rPr>
          <w:rFonts w:ascii="宋体" w:eastAsia="宋体" w:hAnsi="宋体" w:cs="宋体"/>
          <w:spacing w:val="-10"/>
          <w:sz w:val="22"/>
          <w:szCs w:val="22"/>
        </w:rPr>
        <w:t>淋巴细胞的增殖，增强巨噬细胞、细胞毒性T</w:t>
      </w:r>
      <w:r>
        <w:rPr>
          <w:rFonts w:ascii="宋体" w:eastAsia="宋体" w:hAnsi="宋体" w:cs="宋体"/>
          <w:spacing w:val="-14"/>
          <w:sz w:val="22"/>
          <w:szCs w:val="22"/>
        </w:rPr>
        <w:t xml:space="preserve"> </w:t>
      </w:r>
      <w:r>
        <w:rPr>
          <w:rFonts w:ascii="宋体" w:eastAsia="宋体" w:hAnsi="宋体" w:cs="宋体"/>
          <w:spacing w:val="-10"/>
          <w:sz w:val="22"/>
          <w:szCs w:val="22"/>
        </w:rPr>
        <w:t>细胞和NK</w:t>
      </w:r>
      <w:r>
        <w:rPr>
          <w:rFonts w:ascii="宋体" w:eastAsia="宋体" w:hAnsi="宋体" w:cs="宋体"/>
          <w:spacing w:val="42"/>
          <w:sz w:val="22"/>
          <w:szCs w:val="22"/>
        </w:rPr>
        <w:t xml:space="preserve"> </w:t>
      </w:r>
      <w:r>
        <w:rPr>
          <w:rFonts w:ascii="宋体" w:eastAsia="宋体" w:hAnsi="宋体" w:cs="宋体"/>
          <w:spacing w:val="-10"/>
          <w:sz w:val="22"/>
          <w:szCs w:val="22"/>
        </w:rPr>
        <w:t>细胞杀</w:t>
      </w:r>
      <w:r>
        <w:rPr>
          <w:rFonts w:ascii="宋体" w:eastAsia="宋体" w:hAnsi="宋体" w:cs="宋体"/>
          <w:sz w:val="22"/>
          <w:szCs w:val="22"/>
        </w:rPr>
        <w:t xml:space="preserve"> </w:t>
      </w:r>
      <w:r>
        <w:rPr>
          <w:rFonts w:ascii="宋体" w:eastAsia="宋体" w:hAnsi="宋体" w:cs="宋体"/>
          <w:spacing w:val="-12"/>
          <w:sz w:val="22"/>
          <w:szCs w:val="22"/>
        </w:rPr>
        <w:t>伤肿瘤的能力，以及促进某些白介素的产生。类胡萝卜素能抑制致癌物诱发</w:t>
      </w:r>
      <w:r>
        <w:rPr>
          <w:rFonts w:ascii="宋体" w:eastAsia="宋体" w:hAnsi="宋体" w:cs="宋体"/>
          <w:spacing w:val="-13"/>
          <w:sz w:val="22"/>
          <w:szCs w:val="22"/>
        </w:rPr>
        <w:t>的肿</w:t>
      </w:r>
      <w:r>
        <w:rPr>
          <w:rFonts w:ascii="宋体" w:eastAsia="宋体" w:hAnsi="宋体" w:cs="宋体"/>
          <w:sz w:val="22"/>
          <w:szCs w:val="22"/>
        </w:rPr>
        <w:t xml:space="preserve"> </w:t>
      </w:r>
      <w:r>
        <w:rPr>
          <w:rFonts w:ascii="宋体" w:eastAsia="宋体" w:hAnsi="宋体" w:cs="宋体"/>
          <w:spacing w:val="-18"/>
          <w:sz w:val="22"/>
          <w:szCs w:val="22"/>
        </w:rPr>
        <w:t>瘤转化，抑制肿瘤的发生和生长，具有抗癌作用。</w:t>
      </w:r>
      <w:r>
        <w:rPr>
          <w:rFonts w:ascii="宋体" w:eastAsia="宋体" w:hAnsi="宋体" w:cs="宋体"/>
          <w:spacing w:val="33"/>
          <w:sz w:val="22"/>
          <w:szCs w:val="22"/>
        </w:rPr>
        <w:t xml:space="preserve"> </w:t>
      </w:r>
      <w:r>
        <w:rPr>
          <w:rFonts w:ascii="宋体" w:eastAsia="宋体" w:hAnsi="宋体" w:cs="宋体"/>
          <w:spacing w:val="-18"/>
          <w:sz w:val="22"/>
          <w:szCs w:val="22"/>
        </w:rPr>
        <w:t>一些实</w:t>
      </w:r>
      <w:r>
        <w:rPr>
          <w:rFonts w:ascii="宋体" w:eastAsia="宋体" w:hAnsi="宋体" w:cs="宋体"/>
          <w:spacing w:val="-19"/>
          <w:sz w:val="22"/>
          <w:szCs w:val="22"/>
        </w:rPr>
        <w:t>验数据显示，β-胡萝卜</w:t>
      </w:r>
      <w:r>
        <w:rPr>
          <w:rFonts w:ascii="宋体" w:eastAsia="宋体" w:hAnsi="宋体" w:cs="宋体"/>
          <w:sz w:val="22"/>
          <w:szCs w:val="22"/>
        </w:rPr>
        <w:t xml:space="preserve"> </w:t>
      </w:r>
      <w:r>
        <w:rPr>
          <w:rFonts w:ascii="宋体" w:eastAsia="宋体" w:hAnsi="宋体" w:cs="宋体"/>
          <w:spacing w:val="-10"/>
          <w:sz w:val="22"/>
          <w:szCs w:val="22"/>
        </w:rPr>
        <w:t>素可预防应激诱发的胸腺萎缩和淋巴细胞下降，增强对</w:t>
      </w:r>
      <w:r>
        <w:rPr>
          <w:rFonts w:ascii="宋体" w:eastAsia="宋体" w:hAnsi="宋体" w:cs="宋体"/>
          <w:spacing w:val="-11"/>
          <w:sz w:val="22"/>
          <w:szCs w:val="22"/>
        </w:rPr>
        <w:t>异体移植物的排斥反应，</w:t>
      </w:r>
      <w:r>
        <w:rPr>
          <w:rFonts w:ascii="宋体" w:eastAsia="宋体" w:hAnsi="宋体" w:cs="宋体"/>
          <w:sz w:val="22"/>
          <w:szCs w:val="22"/>
        </w:rPr>
        <w:t xml:space="preserve"> </w:t>
      </w:r>
      <w:r>
        <w:rPr>
          <w:rFonts w:ascii="宋体" w:eastAsia="宋体" w:hAnsi="宋体" w:cs="宋体"/>
          <w:spacing w:val="-5"/>
          <w:sz w:val="22"/>
          <w:szCs w:val="22"/>
        </w:rPr>
        <w:t>促进T</w:t>
      </w:r>
      <w:r>
        <w:rPr>
          <w:rFonts w:ascii="宋体" w:eastAsia="宋体" w:hAnsi="宋体" w:cs="宋体"/>
          <w:spacing w:val="-7"/>
          <w:sz w:val="22"/>
          <w:szCs w:val="22"/>
        </w:rPr>
        <w:t xml:space="preserve"> </w:t>
      </w:r>
      <w:r>
        <w:rPr>
          <w:rFonts w:ascii="宋体" w:eastAsia="宋体" w:hAnsi="宋体" w:cs="宋体"/>
          <w:spacing w:val="-5"/>
          <w:sz w:val="22"/>
          <w:szCs w:val="22"/>
        </w:rPr>
        <w:t>淋巴细胞和B</w:t>
      </w:r>
      <w:r>
        <w:rPr>
          <w:rFonts w:ascii="宋体" w:eastAsia="宋体" w:hAnsi="宋体" w:cs="宋体"/>
          <w:spacing w:val="-36"/>
          <w:sz w:val="22"/>
          <w:szCs w:val="22"/>
        </w:rPr>
        <w:t xml:space="preserve"> </w:t>
      </w:r>
      <w:r>
        <w:rPr>
          <w:rFonts w:ascii="宋体" w:eastAsia="宋体" w:hAnsi="宋体" w:cs="宋体"/>
          <w:spacing w:val="-5"/>
          <w:sz w:val="22"/>
          <w:szCs w:val="22"/>
        </w:rPr>
        <w:t>淋巴细胞增殖，维持巨噬细胞抗原受体的功能及增强中性</w:t>
      </w:r>
      <w:r>
        <w:rPr>
          <w:rFonts w:ascii="宋体" w:eastAsia="宋体" w:hAnsi="宋体" w:cs="宋体"/>
          <w:sz w:val="22"/>
          <w:szCs w:val="22"/>
        </w:rPr>
        <w:t xml:space="preserve"> </w:t>
      </w:r>
      <w:r>
        <w:rPr>
          <w:rFonts w:ascii="宋体" w:eastAsia="宋体" w:hAnsi="宋体" w:cs="宋体"/>
          <w:spacing w:val="-12"/>
          <w:sz w:val="22"/>
          <w:szCs w:val="22"/>
        </w:rPr>
        <w:t>细胞杀死假丝酵母，并促进病毒诱发肿瘤的退化。而</w:t>
      </w:r>
      <w:r>
        <w:rPr>
          <w:rFonts w:ascii="宋体" w:eastAsia="宋体" w:hAnsi="宋体" w:cs="宋体"/>
          <w:spacing w:val="-13"/>
          <w:sz w:val="22"/>
          <w:szCs w:val="22"/>
        </w:rPr>
        <w:t>对子宫、乳腺和肺的癌细胞</w:t>
      </w:r>
      <w:r>
        <w:rPr>
          <w:rFonts w:ascii="宋体" w:eastAsia="宋体" w:hAnsi="宋体" w:cs="宋体"/>
          <w:sz w:val="22"/>
          <w:szCs w:val="22"/>
        </w:rPr>
        <w:t xml:space="preserve"> </w:t>
      </w:r>
      <w:r>
        <w:rPr>
          <w:rFonts w:ascii="宋体" w:eastAsia="宋体" w:hAnsi="宋体" w:cs="宋体"/>
          <w:spacing w:val="-9"/>
          <w:sz w:val="22"/>
          <w:szCs w:val="22"/>
        </w:rPr>
        <w:t>的抑制能力，番茄红素明显高于β-胡萝卜素。番茄红素也能抑制胰岛素生长因</w:t>
      </w:r>
      <w:r>
        <w:rPr>
          <w:rFonts w:ascii="宋体" w:eastAsia="宋体" w:hAnsi="宋体" w:cs="宋体"/>
          <w:spacing w:val="5"/>
          <w:sz w:val="22"/>
          <w:szCs w:val="22"/>
        </w:rPr>
        <w:t xml:space="preserve"> </w:t>
      </w:r>
      <w:r>
        <w:rPr>
          <w:rFonts w:ascii="宋体" w:eastAsia="宋体" w:hAnsi="宋体" w:cs="宋体"/>
          <w:spacing w:val="-18"/>
          <w:sz w:val="22"/>
          <w:szCs w:val="22"/>
        </w:rPr>
        <w:t>子刺激的癌细胞增殖。</w:t>
      </w:r>
    </w:p>
    <w:p w:rsidR="00EA40A3" w:rsidRDefault="00E86C16">
      <w:pPr>
        <w:spacing w:before="265" w:line="222" w:lineRule="auto"/>
        <w:rPr>
          <w:rFonts w:ascii="仿宋" w:eastAsia="仿宋" w:hAnsi="仿宋" w:cs="仿宋"/>
          <w:sz w:val="22"/>
          <w:szCs w:val="22"/>
        </w:rPr>
      </w:pPr>
      <w:r>
        <w:rPr>
          <w:rFonts w:ascii="仿宋" w:eastAsia="仿宋" w:hAnsi="仿宋" w:cs="仿宋"/>
          <w:spacing w:val="12"/>
          <w:sz w:val="22"/>
          <w:szCs w:val="22"/>
        </w:rPr>
        <w:t>3.</w:t>
      </w:r>
      <w:r>
        <w:rPr>
          <w:rFonts w:ascii="仿宋" w:eastAsia="仿宋" w:hAnsi="仿宋" w:cs="仿宋"/>
          <w:spacing w:val="6"/>
          <w:sz w:val="22"/>
          <w:szCs w:val="22"/>
        </w:rPr>
        <w:t xml:space="preserve"> </w:t>
      </w:r>
      <w:r>
        <w:rPr>
          <w:rFonts w:ascii="仿宋" w:eastAsia="仿宋" w:hAnsi="仿宋" w:cs="仿宋"/>
          <w:spacing w:val="12"/>
          <w:sz w:val="22"/>
          <w:szCs w:val="22"/>
        </w:rPr>
        <w:t>预防眼病、心血管病及其他</w:t>
      </w:r>
    </w:p>
    <w:p w:rsidR="00EA40A3" w:rsidRDefault="00E86C16">
      <w:pPr>
        <w:spacing w:before="206" w:line="244" w:lineRule="auto"/>
        <w:ind w:right="4" w:firstLine="439"/>
        <w:jc w:val="both"/>
        <w:rPr>
          <w:rFonts w:ascii="宋体" w:eastAsia="宋体" w:hAnsi="宋体" w:cs="宋体"/>
          <w:sz w:val="22"/>
          <w:szCs w:val="22"/>
        </w:rPr>
      </w:pPr>
      <w:r>
        <w:rPr>
          <w:rFonts w:ascii="宋体" w:eastAsia="宋体" w:hAnsi="宋体" w:cs="宋体"/>
          <w:spacing w:val="-12"/>
          <w:sz w:val="22"/>
          <w:szCs w:val="22"/>
        </w:rPr>
        <w:t>类胡萝卜素可降低白内障疾患的危险性，并能预防眼底黄斑性病变</w:t>
      </w:r>
      <w:r>
        <w:rPr>
          <w:rFonts w:ascii="宋体" w:eastAsia="宋体" w:hAnsi="宋体" w:cs="宋体"/>
          <w:spacing w:val="-13"/>
          <w:sz w:val="22"/>
          <w:szCs w:val="22"/>
        </w:rPr>
        <w:t>。β胡萝</w:t>
      </w:r>
      <w:r>
        <w:rPr>
          <w:rFonts w:ascii="宋体" w:eastAsia="宋体" w:hAnsi="宋体" w:cs="宋体"/>
          <w:sz w:val="22"/>
          <w:szCs w:val="22"/>
        </w:rPr>
        <w:t xml:space="preserve"> </w:t>
      </w:r>
      <w:r>
        <w:rPr>
          <w:rFonts w:ascii="宋体" w:eastAsia="宋体" w:hAnsi="宋体" w:cs="宋体"/>
          <w:spacing w:val="-9"/>
          <w:sz w:val="22"/>
          <w:szCs w:val="22"/>
        </w:rPr>
        <w:t>卜素及番茄红素可有效阻断LDL</w:t>
      </w:r>
      <w:r>
        <w:rPr>
          <w:rFonts w:ascii="宋体" w:eastAsia="宋体" w:hAnsi="宋体" w:cs="宋体"/>
          <w:spacing w:val="44"/>
          <w:sz w:val="22"/>
          <w:szCs w:val="22"/>
        </w:rPr>
        <w:t xml:space="preserve"> </w:t>
      </w:r>
      <w:r>
        <w:rPr>
          <w:rFonts w:ascii="宋体" w:eastAsia="宋体" w:hAnsi="宋体" w:cs="宋体"/>
          <w:spacing w:val="-9"/>
          <w:sz w:val="22"/>
          <w:szCs w:val="22"/>
        </w:rPr>
        <w:t>的氧化，减少心脏病及中风的发病率。番茄红</w:t>
      </w:r>
      <w:r>
        <w:rPr>
          <w:rFonts w:ascii="宋体" w:eastAsia="宋体" w:hAnsi="宋体" w:cs="宋体"/>
          <w:sz w:val="22"/>
          <w:szCs w:val="22"/>
        </w:rPr>
        <w:t xml:space="preserve">  </w:t>
      </w:r>
      <w:r>
        <w:rPr>
          <w:rFonts w:ascii="宋体" w:eastAsia="宋体" w:hAnsi="宋体" w:cs="宋体"/>
          <w:spacing w:val="-10"/>
          <w:sz w:val="22"/>
          <w:szCs w:val="22"/>
        </w:rPr>
        <w:t>素还是血清中与老化疾病相关的微量营养素，可以抑制</w:t>
      </w:r>
      <w:r>
        <w:rPr>
          <w:rFonts w:ascii="宋体" w:eastAsia="宋体" w:hAnsi="宋体" w:cs="宋体"/>
          <w:spacing w:val="-11"/>
          <w:sz w:val="22"/>
          <w:szCs w:val="22"/>
        </w:rPr>
        <w:t>与老化相关的退化疾病，</w:t>
      </w:r>
      <w:r>
        <w:rPr>
          <w:rFonts w:ascii="宋体" w:eastAsia="宋体" w:hAnsi="宋体" w:cs="宋体"/>
          <w:sz w:val="22"/>
          <w:szCs w:val="22"/>
        </w:rPr>
        <w:t xml:space="preserve"> </w:t>
      </w:r>
      <w:r>
        <w:rPr>
          <w:rFonts w:ascii="宋体" w:eastAsia="宋体" w:hAnsi="宋体" w:cs="宋体"/>
          <w:spacing w:val="-13"/>
          <w:sz w:val="22"/>
          <w:szCs w:val="22"/>
        </w:rPr>
        <w:t>有抗衰老的作用，并具有清除毒物如香烟和汽车废气中有毒物质的作用。</w:t>
      </w:r>
    </w:p>
    <w:p w:rsidR="00EA40A3" w:rsidRDefault="00E86C16">
      <w:pPr>
        <w:spacing w:before="233" w:line="221" w:lineRule="auto"/>
        <w:ind w:left="3"/>
        <w:outlineLvl w:val="6"/>
        <w:rPr>
          <w:rFonts w:ascii="黑体" w:eastAsia="黑体" w:hAnsi="黑体" w:cs="黑体"/>
          <w:sz w:val="22"/>
          <w:szCs w:val="22"/>
        </w:rPr>
      </w:pPr>
      <w:r>
        <w:rPr>
          <w:rFonts w:ascii="黑体" w:eastAsia="黑体" w:hAnsi="黑体" w:cs="黑体"/>
          <w:b/>
          <w:bCs/>
          <w:spacing w:val="9"/>
          <w:sz w:val="22"/>
          <w:szCs w:val="22"/>
        </w:rPr>
        <w:t>5.3.2</w:t>
      </w:r>
      <w:r>
        <w:rPr>
          <w:rFonts w:ascii="黑体" w:eastAsia="黑体" w:hAnsi="黑体" w:cs="黑体"/>
          <w:spacing w:val="12"/>
          <w:sz w:val="22"/>
          <w:szCs w:val="22"/>
        </w:rPr>
        <w:t xml:space="preserve">   </w:t>
      </w:r>
      <w:r>
        <w:rPr>
          <w:rFonts w:ascii="黑体" w:eastAsia="黑体" w:hAnsi="黑体" w:cs="黑体"/>
          <w:b/>
          <w:bCs/>
          <w:spacing w:val="9"/>
          <w:sz w:val="22"/>
          <w:szCs w:val="22"/>
        </w:rPr>
        <w:t>类胡萝卜的摄入量及食物来源</w:t>
      </w:r>
    </w:p>
    <w:p w:rsidR="00EA40A3" w:rsidRDefault="00E86C16">
      <w:pPr>
        <w:spacing w:before="238" w:line="221"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8"/>
          <w:sz w:val="22"/>
          <w:szCs w:val="22"/>
        </w:rPr>
        <w:t xml:space="preserve"> </w:t>
      </w:r>
      <w:r>
        <w:rPr>
          <w:rFonts w:ascii="仿宋" w:eastAsia="仿宋" w:hAnsi="仿宋" w:cs="仿宋"/>
          <w:spacing w:val="10"/>
          <w:sz w:val="22"/>
          <w:szCs w:val="22"/>
        </w:rPr>
        <w:t>类胡萝卜素的摄入量</w:t>
      </w:r>
    </w:p>
    <w:p w:rsidR="00EA40A3" w:rsidRDefault="00E86C16">
      <w:pPr>
        <w:spacing w:before="211" w:line="246" w:lineRule="auto"/>
        <w:ind w:firstLine="439"/>
        <w:rPr>
          <w:rFonts w:ascii="宋体" w:eastAsia="宋体" w:hAnsi="宋体" w:cs="宋体"/>
          <w:sz w:val="22"/>
          <w:szCs w:val="22"/>
        </w:rPr>
      </w:pPr>
      <w:r>
        <w:rPr>
          <w:rFonts w:ascii="宋体" w:eastAsia="宋体" w:hAnsi="宋体" w:cs="宋体"/>
          <w:spacing w:val="-12"/>
          <w:sz w:val="22"/>
          <w:szCs w:val="22"/>
        </w:rPr>
        <w:t>各种类胡萝卜素由于化学结构和理化性质不同，在吸收及体内</w:t>
      </w:r>
      <w:r>
        <w:rPr>
          <w:rFonts w:ascii="宋体" w:eastAsia="宋体" w:hAnsi="宋体" w:cs="宋体"/>
          <w:spacing w:val="-13"/>
          <w:sz w:val="22"/>
          <w:szCs w:val="22"/>
        </w:rPr>
        <w:t>代谢等方面存</w:t>
      </w:r>
      <w:r>
        <w:rPr>
          <w:rFonts w:ascii="宋体" w:eastAsia="宋体" w:hAnsi="宋体" w:cs="宋体"/>
          <w:sz w:val="22"/>
          <w:szCs w:val="22"/>
        </w:rPr>
        <w:t xml:space="preserve"> </w:t>
      </w:r>
      <w:r>
        <w:rPr>
          <w:rFonts w:ascii="宋体" w:eastAsia="宋体" w:hAnsi="宋体" w:cs="宋体"/>
          <w:spacing w:val="-6"/>
          <w:sz w:val="22"/>
          <w:szCs w:val="22"/>
        </w:rPr>
        <w:t>在很大差异。胡萝卜素吸收率大约为维生素</w:t>
      </w:r>
      <w:r>
        <w:rPr>
          <w:rFonts w:ascii="宋体" w:eastAsia="宋体" w:hAnsi="宋体" w:cs="宋体"/>
          <w:spacing w:val="-55"/>
          <w:sz w:val="22"/>
          <w:szCs w:val="22"/>
        </w:rPr>
        <w:t xml:space="preserve"> </w:t>
      </w:r>
      <w:r>
        <w:rPr>
          <w:rFonts w:ascii="宋体" w:eastAsia="宋体" w:hAnsi="宋体" w:cs="宋体"/>
          <w:spacing w:val="-6"/>
          <w:sz w:val="22"/>
          <w:szCs w:val="22"/>
        </w:rPr>
        <w:t>A</w:t>
      </w:r>
      <w:r>
        <w:rPr>
          <w:rFonts w:ascii="宋体" w:eastAsia="宋体" w:hAnsi="宋体" w:cs="宋体"/>
          <w:spacing w:val="12"/>
          <w:sz w:val="22"/>
          <w:szCs w:val="22"/>
        </w:rPr>
        <w:t xml:space="preserve"> </w:t>
      </w:r>
      <w:r>
        <w:rPr>
          <w:rFonts w:ascii="宋体" w:eastAsia="宋体" w:hAnsi="宋体" w:cs="宋体"/>
          <w:spacing w:val="-6"/>
          <w:sz w:val="22"/>
          <w:szCs w:val="22"/>
        </w:rPr>
        <w:t>的一半，并随膳食摄入量增加，</w:t>
      </w:r>
      <w:r>
        <w:rPr>
          <w:rFonts w:ascii="宋体" w:eastAsia="宋体" w:hAnsi="宋体" w:cs="宋体"/>
          <w:sz w:val="22"/>
          <w:szCs w:val="22"/>
        </w:rPr>
        <w:t xml:space="preserve"> </w:t>
      </w:r>
      <w:r>
        <w:rPr>
          <w:rFonts w:ascii="宋体" w:eastAsia="宋体" w:hAnsi="宋体" w:cs="宋体"/>
          <w:spacing w:val="-6"/>
          <w:sz w:val="22"/>
          <w:szCs w:val="22"/>
        </w:rPr>
        <w:t>吸收率明显下降至10%以下。动物实验表明，当每天补充β-胡萝卜素剂量超过</w:t>
      </w:r>
      <w:r>
        <w:rPr>
          <w:rFonts w:ascii="宋体" w:eastAsia="宋体" w:hAnsi="宋体" w:cs="宋体"/>
          <w:spacing w:val="3"/>
          <w:sz w:val="22"/>
          <w:szCs w:val="22"/>
        </w:rPr>
        <w:t xml:space="preserve"> </w:t>
      </w:r>
      <w:r>
        <w:rPr>
          <w:rFonts w:ascii="宋体" w:eastAsia="宋体" w:hAnsi="宋体" w:cs="宋体"/>
          <w:spacing w:val="-7"/>
          <w:sz w:val="22"/>
          <w:szCs w:val="22"/>
        </w:rPr>
        <w:t>每千克体重4.28mg,8</w:t>
      </w:r>
      <w:r>
        <w:rPr>
          <w:rFonts w:ascii="宋体" w:eastAsia="宋体" w:hAnsi="宋体" w:cs="宋体"/>
          <w:spacing w:val="86"/>
          <w:sz w:val="22"/>
          <w:szCs w:val="22"/>
        </w:rPr>
        <w:t xml:space="preserve"> </w:t>
      </w:r>
      <w:r>
        <w:rPr>
          <w:rFonts w:ascii="宋体" w:eastAsia="宋体" w:hAnsi="宋体" w:cs="宋体"/>
          <w:spacing w:val="-7"/>
          <w:sz w:val="22"/>
          <w:szCs w:val="22"/>
        </w:rPr>
        <w:t>周后，机体的抗脂质过氧化能力明显增强，表现为GSH-</w:t>
      </w:r>
      <w:r>
        <w:rPr>
          <w:rFonts w:ascii="宋体" w:eastAsia="宋体" w:hAnsi="宋体" w:cs="宋体"/>
          <w:sz w:val="22"/>
          <w:szCs w:val="22"/>
        </w:rPr>
        <w:t xml:space="preserve">  </w:t>
      </w:r>
      <w:r>
        <w:rPr>
          <w:rFonts w:ascii="宋体" w:eastAsia="宋体" w:hAnsi="宋体" w:cs="宋体"/>
          <w:spacing w:val="-8"/>
          <w:sz w:val="22"/>
          <w:szCs w:val="22"/>
        </w:rPr>
        <w:t>Px</w:t>
      </w:r>
      <w:r>
        <w:rPr>
          <w:rFonts w:ascii="宋体" w:eastAsia="宋体" w:hAnsi="宋体" w:cs="宋体"/>
          <w:spacing w:val="-42"/>
          <w:sz w:val="22"/>
          <w:szCs w:val="22"/>
        </w:rPr>
        <w:t xml:space="preserve"> </w:t>
      </w:r>
      <w:r>
        <w:rPr>
          <w:rFonts w:ascii="宋体" w:eastAsia="宋体" w:hAnsi="宋体" w:cs="宋体"/>
          <w:spacing w:val="-8"/>
          <w:sz w:val="22"/>
          <w:szCs w:val="22"/>
        </w:rPr>
        <w:t>活性明显升高，内二醛显著降低。但超过该剂量后，机体的抗氧化功能并没</w:t>
      </w:r>
      <w:r>
        <w:rPr>
          <w:rFonts w:ascii="宋体" w:eastAsia="宋体" w:hAnsi="宋体" w:cs="宋体"/>
          <w:sz w:val="22"/>
          <w:szCs w:val="22"/>
        </w:rPr>
        <w:t xml:space="preserve"> </w:t>
      </w:r>
      <w:r>
        <w:rPr>
          <w:rFonts w:ascii="宋体" w:eastAsia="宋体" w:hAnsi="宋体" w:cs="宋体"/>
          <w:spacing w:val="-14"/>
          <w:sz w:val="22"/>
          <w:szCs w:val="22"/>
        </w:rPr>
        <w:t>有明显改善。大剂量补充时可能引起脂质过氧化反应。</w:t>
      </w:r>
    </w:p>
    <w:p w:rsidR="00EA40A3" w:rsidRDefault="00E86C16">
      <w:pPr>
        <w:spacing w:before="247"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9"/>
          <w:sz w:val="22"/>
          <w:szCs w:val="22"/>
        </w:rPr>
        <w:t xml:space="preserve"> </w:t>
      </w:r>
      <w:r>
        <w:rPr>
          <w:rFonts w:ascii="仿宋" w:eastAsia="仿宋" w:hAnsi="仿宋" w:cs="仿宋"/>
          <w:spacing w:val="13"/>
          <w:sz w:val="22"/>
          <w:szCs w:val="22"/>
        </w:rPr>
        <w:t>类胡萝卜素的食物来源</w:t>
      </w:r>
    </w:p>
    <w:p w:rsidR="00EA40A3" w:rsidRDefault="00E86C16">
      <w:pPr>
        <w:spacing w:before="197" w:line="253" w:lineRule="auto"/>
        <w:ind w:right="42" w:firstLine="439"/>
        <w:jc w:val="both"/>
        <w:rPr>
          <w:rFonts w:ascii="宋体" w:eastAsia="宋体" w:hAnsi="宋体" w:cs="宋体"/>
          <w:sz w:val="22"/>
          <w:szCs w:val="22"/>
        </w:rPr>
      </w:pPr>
      <w:r>
        <w:rPr>
          <w:rFonts w:ascii="宋体" w:eastAsia="宋体" w:hAnsi="宋体" w:cs="宋体"/>
          <w:spacing w:val="-12"/>
          <w:sz w:val="22"/>
          <w:szCs w:val="22"/>
        </w:rPr>
        <w:t>类胡萝卜素广泛分布于绿叶菜和橘色、黄色蔬菜及水果中，藻类特</w:t>
      </w:r>
      <w:r>
        <w:rPr>
          <w:rFonts w:ascii="宋体" w:eastAsia="宋体" w:hAnsi="宋体" w:cs="宋体"/>
          <w:spacing w:val="-13"/>
          <w:sz w:val="22"/>
          <w:szCs w:val="22"/>
        </w:rPr>
        <w:t>别是一些</w:t>
      </w:r>
      <w:r>
        <w:rPr>
          <w:rFonts w:ascii="宋体" w:eastAsia="宋体" w:hAnsi="宋体" w:cs="宋体"/>
          <w:sz w:val="22"/>
          <w:szCs w:val="22"/>
        </w:rPr>
        <w:t xml:space="preserve"> </w:t>
      </w:r>
      <w:r>
        <w:rPr>
          <w:rFonts w:ascii="宋体" w:eastAsia="宋体" w:hAnsi="宋体" w:cs="宋体"/>
          <w:spacing w:val="-17"/>
          <w:sz w:val="22"/>
          <w:szCs w:val="22"/>
        </w:rPr>
        <w:t>微藻是天然类胡萝卜素的重要来源，</w:t>
      </w:r>
      <w:r>
        <w:rPr>
          <w:rFonts w:ascii="宋体" w:eastAsia="宋体" w:hAnsi="宋体" w:cs="宋体"/>
          <w:spacing w:val="60"/>
          <w:sz w:val="22"/>
          <w:szCs w:val="22"/>
        </w:rPr>
        <w:t xml:space="preserve"> </w:t>
      </w:r>
      <w:r>
        <w:rPr>
          <w:rFonts w:ascii="宋体" w:eastAsia="宋体" w:hAnsi="宋体" w:cs="宋体"/>
          <w:spacing w:val="-17"/>
          <w:sz w:val="22"/>
          <w:szCs w:val="22"/>
        </w:rPr>
        <w:t>一些微生物也能合成，但动物不能合成类胡</w:t>
      </w:r>
      <w:r>
        <w:rPr>
          <w:rFonts w:ascii="宋体" w:eastAsia="宋体" w:hAnsi="宋体" w:cs="宋体"/>
          <w:sz w:val="22"/>
          <w:szCs w:val="22"/>
        </w:rPr>
        <w:t xml:space="preserve"> </w:t>
      </w:r>
      <w:r>
        <w:rPr>
          <w:rFonts w:ascii="宋体" w:eastAsia="宋体" w:hAnsi="宋体" w:cs="宋体"/>
          <w:spacing w:val="-11"/>
          <w:sz w:val="22"/>
          <w:szCs w:val="22"/>
        </w:rPr>
        <w:t>萝卜素，其体内的蓄积来源于植物界，只能从食物中摄取。</w:t>
      </w:r>
      <w:r>
        <w:rPr>
          <w:rFonts w:ascii="宋体" w:eastAsia="宋体" w:hAnsi="宋体" w:cs="宋体"/>
          <w:spacing w:val="58"/>
          <w:sz w:val="22"/>
          <w:szCs w:val="22"/>
        </w:rPr>
        <w:t xml:space="preserve"> </w:t>
      </w:r>
      <w:r>
        <w:rPr>
          <w:rFonts w:ascii="宋体" w:eastAsia="宋体" w:hAnsi="宋体" w:cs="宋体"/>
          <w:spacing w:val="-11"/>
          <w:sz w:val="22"/>
          <w:szCs w:val="22"/>
        </w:rPr>
        <w:t>一些类胡萝卜素如</w:t>
      </w:r>
      <w:r>
        <w:rPr>
          <w:rFonts w:ascii="宋体" w:eastAsia="宋体" w:hAnsi="宋体" w:cs="宋体"/>
          <w:sz w:val="22"/>
          <w:szCs w:val="22"/>
        </w:rPr>
        <w:t xml:space="preserve"> </w:t>
      </w:r>
      <w:r>
        <w:rPr>
          <w:rFonts w:ascii="宋体" w:eastAsia="宋体" w:hAnsi="宋体" w:cs="宋体"/>
          <w:spacing w:val="-6"/>
          <w:sz w:val="22"/>
          <w:szCs w:val="22"/>
        </w:rPr>
        <w:t>β-胡萝卜素在体内可转化为维生素A,</w:t>
      </w:r>
      <w:r>
        <w:rPr>
          <w:rFonts w:ascii="宋体" w:eastAsia="宋体" w:hAnsi="宋体" w:cs="宋体"/>
          <w:spacing w:val="41"/>
          <w:sz w:val="22"/>
          <w:szCs w:val="22"/>
        </w:rPr>
        <w:t xml:space="preserve"> </w:t>
      </w:r>
      <w:r>
        <w:rPr>
          <w:rFonts w:ascii="宋体" w:eastAsia="宋体" w:hAnsi="宋体" w:cs="宋体"/>
          <w:spacing w:val="-6"/>
          <w:sz w:val="22"/>
          <w:szCs w:val="22"/>
        </w:rPr>
        <w:t>称维生</w:t>
      </w:r>
      <w:r>
        <w:rPr>
          <w:rFonts w:ascii="宋体" w:eastAsia="宋体" w:hAnsi="宋体" w:cs="宋体"/>
          <w:spacing w:val="-7"/>
          <w:sz w:val="22"/>
          <w:szCs w:val="22"/>
        </w:rPr>
        <w:t>素A</w:t>
      </w:r>
      <w:r>
        <w:rPr>
          <w:rFonts w:ascii="宋体" w:eastAsia="宋体" w:hAnsi="宋体" w:cs="宋体"/>
          <w:spacing w:val="2"/>
          <w:sz w:val="22"/>
          <w:szCs w:val="22"/>
        </w:rPr>
        <w:t xml:space="preserve"> </w:t>
      </w:r>
      <w:r>
        <w:rPr>
          <w:rFonts w:ascii="宋体" w:eastAsia="宋体" w:hAnsi="宋体" w:cs="宋体"/>
          <w:spacing w:val="-7"/>
          <w:sz w:val="22"/>
          <w:szCs w:val="22"/>
        </w:rPr>
        <w:t>原，有些则是有效的抗衰老</w:t>
      </w:r>
      <w:r>
        <w:rPr>
          <w:rFonts w:ascii="宋体" w:eastAsia="宋体" w:hAnsi="宋体" w:cs="宋体"/>
          <w:sz w:val="22"/>
          <w:szCs w:val="22"/>
        </w:rPr>
        <w:t xml:space="preserve"> </w:t>
      </w:r>
      <w:r>
        <w:rPr>
          <w:rFonts w:ascii="宋体" w:eastAsia="宋体" w:hAnsi="宋体" w:cs="宋体"/>
          <w:spacing w:val="-9"/>
          <w:sz w:val="22"/>
          <w:szCs w:val="22"/>
        </w:rPr>
        <w:t>剂如α-胡萝卜素。类胡萝卜素中研究较多的番茄红素主要存在于</w:t>
      </w:r>
      <w:r>
        <w:rPr>
          <w:rFonts w:ascii="宋体" w:eastAsia="宋体" w:hAnsi="宋体" w:cs="宋体"/>
          <w:spacing w:val="-10"/>
          <w:sz w:val="22"/>
          <w:szCs w:val="22"/>
        </w:rPr>
        <w:t>成熟的红色植</w:t>
      </w:r>
      <w:r>
        <w:rPr>
          <w:rFonts w:ascii="宋体" w:eastAsia="宋体" w:hAnsi="宋体" w:cs="宋体"/>
          <w:sz w:val="22"/>
          <w:szCs w:val="22"/>
        </w:rPr>
        <w:t xml:space="preserve"> </w:t>
      </w:r>
      <w:r>
        <w:rPr>
          <w:rFonts w:ascii="宋体" w:eastAsia="宋体" w:hAnsi="宋体" w:cs="宋体"/>
          <w:spacing w:val="-11"/>
          <w:sz w:val="22"/>
          <w:szCs w:val="22"/>
        </w:rPr>
        <w:t>物果实如番茄、西瓜、红色葡萄柚、木瓜、苦瓜</w:t>
      </w:r>
      <w:r>
        <w:rPr>
          <w:rFonts w:ascii="宋体" w:eastAsia="宋体" w:hAnsi="宋体" w:cs="宋体"/>
          <w:spacing w:val="-12"/>
          <w:sz w:val="22"/>
          <w:szCs w:val="22"/>
        </w:rPr>
        <w:t>籽及番石榴等食物中，并以番茄</w:t>
      </w:r>
      <w:r>
        <w:rPr>
          <w:rFonts w:ascii="宋体" w:eastAsia="宋体" w:hAnsi="宋体" w:cs="宋体"/>
          <w:sz w:val="22"/>
          <w:szCs w:val="22"/>
        </w:rPr>
        <w:t xml:space="preserve"> </w:t>
      </w:r>
      <w:r>
        <w:rPr>
          <w:rFonts w:ascii="宋体" w:eastAsia="宋体" w:hAnsi="宋体" w:cs="宋体"/>
          <w:spacing w:val="-5"/>
          <w:sz w:val="22"/>
          <w:szCs w:val="22"/>
        </w:rPr>
        <w:t>中含量最高，在成熟番茄果实中可高达3～14mg/100g</w:t>
      </w:r>
      <w:r>
        <w:rPr>
          <w:rFonts w:ascii="宋体" w:eastAsia="宋体" w:hAnsi="宋体" w:cs="宋体"/>
          <w:spacing w:val="-6"/>
          <w:sz w:val="22"/>
          <w:szCs w:val="22"/>
        </w:rPr>
        <w:t>,</w:t>
      </w:r>
      <w:r>
        <w:rPr>
          <w:rFonts w:ascii="宋体" w:eastAsia="宋体" w:hAnsi="宋体" w:cs="宋体"/>
          <w:spacing w:val="2"/>
          <w:sz w:val="22"/>
          <w:szCs w:val="22"/>
        </w:rPr>
        <w:t xml:space="preserve"> </w:t>
      </w:r>
      <w:r>
        <w:rPr>
          <w:rFonts w:ascii="宋体" w:eastAsia="宋体" w:hAnsi="宋体" w:cs="宋体"/>
          <w:spacing w:val="-6"/>
          <w:sz w:val="22"/>
          <w:szCs w:val="22"/>
        </w:rPr>
        <w:t>且成熟度越高，含量越</w:t>
      </w:r>
    </w:p>
    <w:p w:rsidR="00EA40A3" w:rsidRDefault="00E86C16">
      <w:pPr>
        <w:spacing w:before="58"/>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162</w:t>
      </w:r>
      <w:r>
        <w:rPr>
          <w:rFonts w:ascii="宋体" w:eastAsia="宋体" w:hAnsi="宋体" w:cs="宋体"/>
          <w:spacing w:val="50"/>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147"/>
          <w:pgSz w:w="9220" w:h="13360"/>
          <w:pgMar w:top="400" w:right="1055" w:bottom="400" w:left="820" w:header="0" w:footer="0" w:gutter="0"/>
          <w:cols w:space="720"/>
        </w:sectPr>
      </w:pPr>
    </w:p>
    <w:p w:rsidR="00EA40A3" w:rsidRDefault="00EA40A3">
      <w:pPr>
        <w:spacing w:line="290" w:lineRule="auto"/>
      </w:pPr>
    </w:p>
    <w:p w:rsidR="00EA40A3" w:rsidRDefault="00EA40A3">
      <w:pPr>
        <w:spacing w:line="291" w:lineRule="auto"/>
      </w:pPr>
    </w:p>
    <w:p w:rsidR="00EA40A3" w:rsidRDefault="00E86C16">
      <w:pPr>
        <w:spacing w:before="75" w:line="219" w:lineRule="auto"/>
        <w:rPr>
          <w:rFonts w:ascii="宋体" w:eastAsia="宋体" w:hAnsi="宋体" w:cs="宋体"/>
          <w:sz w:val="23"/>
          <w:szCs w:val="23"/>
        </w:rPr>
      </w:pPr>
      <w:r>
        <w:rPr>
          <w:rFonts w:ascii="宋体" w:eastAsia="宋体" w:hAnsi="宋体" w:cs="宋体"/>
          <w:spacing w:val="-17"/>
          <w:sz w:val="23"/>
          <w:szCs w:val="23"/>
        </w:rPr>
        <w:t>高。红色棕榈油也含较高的番茄红素。</w:t>
      </w:r>
      <w:r>
        <w:rPr>
          <w:rFonts w:ascii="宋体" w:eastAsia="宋体" w:hAnsi="宋体" w:cs="宋体"/>
          <w:spacing w:val="3"/>
          <w:sz w:val="23"/>
          <w:szCs w:val="23"/>
        </w:rPr>
        <w:t xml:space="preserve"> </w:t>
      </w:r>
      <w:r>
        <w:rPr>
          <w:rFonts w:ascii="宋体" w:eastAsia="宋体" w:hAnsi="宋体" w:cs="宋体"/>
          <w:spacing w:val="-17"/>
          <w:sz w:val="23"/>
          <w:szCs w:val="23"/>
        </w:rPr>
        <w:t>FAO/WHO、FDA</w:t>
      </w:r>
      <w:r>
        <w:rPr>
          <w:rFonts w:ascii="宋体" w:eastAsia="宋体" w:hAnsi="宋体" w:cs="宋体"/>
          <w:spacing w:val="23"/>
          <w:sz w:val="23"/>
          <w:szCs w:val="23"/>
        </w:rPr>
        <w:t xml:space="preserve">   </w:t>
      </w:r>
      <w:r>
        <w:rPr>
          <w:rFonts w:ascii="宋体" w:eastAsia="宋体" w:hAnsi="宋体" w:cs="宋体"/>
          <w:spacing w:val="-17"/>
          <w:sz w:val="23"/>
          <w:szCs w:val="23"/>
        </w:rPr>
        <w:t>和欧盟均已将番茄红</w:t>
      </w:r>
    </w:p>
    <w:p w:rsidR="00EA40A3" w:rsidRDefault="00E86C16">
      <w:pPr>
        <w:spacing w:before="25" w:line="219" w:lineRule="auto"/>
        <w:rPr>
          <w:rFonts w:ascii="宋体" w:eastAsia="宋体" w:hAnsi="宋体" w:cs="宋体"/>
          <w:sz w:val="23"/>
          <w:szCs w:val="23"/>
        </w:rPr>
      </w:pPr>
      <w:r>
        <w:rPr>
          <w:rFonts w:ascii="宋体" w:eastAsia="宋体" w:hAnsi="宋体" w:cs="宋体"/>
          <w:spacing w:val="-25"/>
          <w:sz w:val="23"/>
          <w:szCs w:val="23"/>
        </w:rPr>
        <w:t>素列入食品添加剂使用品种。</w:t>
      </w:r>
    </w:p>
    <w:p w:rsidR="00EA40A3" w:rsidRDefault="00E86C16">
      <w:pPr>
        <w:spacing w:before="310" w:line="226" w:lineRule="auto"/>
        <w:ind w:left="2749"/>
        <w:rPr>
          <w:rFonts w:ascii="宋体" w:eastAsia="宋体" w:hAnsi="宋体" w:cs="宋体"/>
          <w:sz w:val="29"/>
          <w:szCs w:val="29"/>
        </w:rPr>
      </w:pPr>
      <w:r>
        <w:rPr>
          <w:rFonts w:ascii="宋体" w:eastAsia="宋体" w:hAnsi="宋体" w:cs="宋体"/>
          <w:spacing w:val="-6"/>
          <w:sz w:val="29"/>
          <w:szCs w:val="29"/>
        </w:rPr>
        <w:t>5.4</w:t>
      </w:r>
      <w:r>
        <w:rPr>
          <w:rFonts w:ascii="宋体" w:eastAsia="宋体" w:hAnsi="宋体" w:cs="宋体"/>
          <w:spacing w:val="117"/>
          <w:sz w:val="29"/>
          <w:szCs w:val="29"/>
        </w:rPr>
        <w:t xml:space="preserve"> </w:t>
      </w:r>
      <w:r>
        <w:rPr>
          <w:rFonts w:ascii="宋体" w:eastAsia="宋体" w:hAnsi="宋体" w:cs="宋体"/>
          <w:spacing w:val="-6"/>
          <w:sz w:val="29"/>
          <w:szCs w:val="29"/>
        </w:rPr>
        <w:t>皂</w:t>
      </w:r>
      <w:r>
        <w:rPr>
          <w:rFonts w:ascii="宋体" w:eastAsia="宋体" w:hAnsi="宋体" w:cs="宋体"/>
          <w:spacing w:val="35"/>
          <w:sz w:val="29"/>
          <w:szCs w:val="29"/>
        </w:rPr>
        <w:t xml:space="preserve">   </w:t>
      </w:r>
      <w:r>
        <w:rPr>
          <w:rFonts w:ascii="宋体" w:eastAsia="宋体" w:hAnsi="宋体" w:cs="宋体"/>
          <w:spacing w:val="-6"/>
          <w:sz w:val="29"/>
          <w:szCs w:val="29"/>
        </w:rPr>
        <w:t>苷</w:t>
      </w:r>
    </w:p>
    <w:p w:rsidR="00EA40A3" w:rsidRDefault="00E86C16">
      <w:pPr>
        <w:spacing w:before="275" w:line="246" w:lineRule="auto"/>
        <w:ind w:right="98" w:firstLine="419"/>
        <w:jc w:val="both"/>
        <w:rPr>
          <w:rFonts w:ascii="宋体" w:eastAsia="宋体" w:hAnsi="宋体" w:cs="宋体"/>
          <w:sz w:val="23"/>
          <w:szCs w:val="23"/>
        </w:rPr>
      </w:pPr>
      <w:r>
        <w:rPr>
          <w:rFonts w:ascii="宋体" w:eastAsia="宋体" w:hAnsi="宋体" w:cs="宋体"/>
          <w:spacing w:val="-18"/>
          <w:sz w:val="23"/>
          <w:szCs w:val="23"/>
        </w:rPr>
        <w:t>又名皂素或皂草苷</w:t>
      </w:r>
      <w:r>
        <w:rPr>
          <w:rFonts w:ascii="宋体" w:eastAsia="宋体" w:hAnsi="宋体" w:cs="宋体"/>
          <w:spacing w:val="-26"/>
          <w:sz w:val="23"/>
          <w:szCs w:val="23"/>
        </w:rPr>
        <w:t xml:space="preserve"> </w:t>
      </w:r>
      <w:r>
        <w:rPr>
          <w:rFonts w:ascii="宋体" w:eastAsia="宋体" w:hAnsi="宋体" w:cs="宋体"/>
          <w:spacing w:val="-18"/>
          <w:sz w:val="23"/>
          <w:szCs w:val="23"/>
        </w:rPr>
        <w:t>(saponin),</w:t>
      </w:r>
      <w:r>
        <w:rPr>
          <w:rFonts w:ascii="宋体" w:eastAsia="宋体" w:hAnsi="宋体" w:cs="宋体"/>
          <w:spacing w:val="-62"/>
          <w:sz w:val="23"/>
          <w:szCs w:val="23"/>
        </w:rPr>
        <w:t xml:space="preserve"> </w:t>
      </w:r>
      <w:r>
        <w:rPr>
          <w:rFonts w:ascii="宋体" w:eastAsia="宋体" w:hAnsi="宋体" w:cs="宋体"/>
          <w:spacing w:val="-18"/>
          <w:sz w:val="23"/>
          <w:szCs w:val="23"/>
        </w:rPr>
        <w:t>是一类比较复杂的苷类化合物，</w:t>
      </w:r>
      <w:r>
        <w:rPr>
          <w:rFonts w:ascii="宋体" w:eastAsia="宋体" w:hAnsi="宋体" w:cs="宋体"/>
          <w:spacing w:val="-19"/>
          <w:sz w:val="23"/>
          <w:szCs w:val="23"/>
        </w:rPr>
        <w:t>大多可溶于</w:t>
      </w:r>
      <w:r>
        <w:rPr>
          <w:rFonts w:ascii="宋体" w:eastAsia="宋体" w:hAnsi="宋体" w:cs="宋体"/>
          <w:sz w:val="23"/>
          <w:szCs w:val="23"/>
        </w:rPr>
        <w:t xml:space="preserve"> </w:t>
      </w:r>
      <w:r>
        <w:rPr>
          <w:rFonts w:ascii="宋体" w:eastAsia="宋体" w:hAnsi="宋体" w:cs="宋体"/>
          <w:spacing w:val="-23"/>
          <w:sz w:val="23"/>
          <w:szCs w:val="23"/>
        </w:rPr>
        <w:t>水，易溶于热水，味苦而辛辣，振荡时可产生</w:t>
      </w:r>
      <w:r>
        <w:rPr>
          <w:rFonts w:ascii="宋体" w:eastAsia="宋体" w:hAnsi="宋体" w:cs="宋体"/>
          <w:spacing w:val="-24"/>
          <w:sz w:val="23"/>
          <w:szCs w:val="23"/>
        </w:rPr>
        <w:t>大量肥皂样泡沫，故名皂苷。皂苷</w:t>
      </w:r>
      <w:r>
        <w:rPr>
          <w:rFonts w:ascii="宋体" w:eastAsia="宋体" w:hAnsi="宋体" w:cs="宋体"/>
          <w:sz w:val="23"/>
          <w:szCs w:val="23"/>
        </w:rPr>
        <w:t xml:space="preserve"> </w:t>
      </w:r>
      <w:r>
        <w:rPr>
          <w:rFonts w:ascii="宋体" w:eastAsia="宋体" w:hAnsi="宋体" w:cs="宋体"/>
          <w:spacing w:val="-17"/>
          <w:sz w:val="23"/>
          <w:szCs w:val="23"/>
        </w:rPr>
        <w:t>的水溶液大多能破坏红血球而有溶血作用，又常被称为皂毒素</w:t>
      </w:r>
      <w:r>
        <w:rPr>
          <w:rFonts w:ascii="宋体" w:eastAsia="宋体" w:hAnsi="宋体" w:cs="宋体"/>
          <w:spacing w:val="-4"/>
          <w:sz w:val="23"/>
          <w:szCs w:val="23"/>
        </w:rPr>
        <w:t xml:space="preserve"> </w:t>
      </w:r>
      <w:r>
        <w:rPr>
          <w:rFonts w:ascii="宋体" w:eastAsia="宋体" w:hAnsi="宋体" w:cs="宋体"/>
          <w:spacing w:val="-17"/>
          <w:sz w:val="23"/>
          <w:szCs w:val="23"/>
        </w:rPr>
        <w:t>(sapotoxin),但</w:t>
      </w:r>
      <w:r>
        <w:rPr>
          <w:rFonts w:ascii="宋体" w:eastAsia="宋体" w:hAnsi="宋体" w:cs="宋体"/>
          <w:sz w:val="23"/>
          <w:szCs w:val="23"/>
        </w:rPr>
        <w:t xml:space="preserve"> </w:t>
      </w:r>
      <w:r>
        <w:rPr>
          <w:rFonts w:ascii="宋体" w:eastAsia="宋体" w:hAnsi="宋体" w:cs="宋体"/>
          <w:spacing w:val="-23"/>
          <w:sz w:val="23"/>
          <w:szCs w:val="23"/>
        </w:rPr>
        <w:t>对高等动物口服无毒。根据皂苷元化学结构，可将皂苷分为甾体皂苷</w:t>
      </w:r>
      <w:r>
        <w:rPr>
          <w:rFonts w:ascii="宋体" w:eastAsia="宋体" w:hAnsi="宋体" w:cs="宋体"/>
          <w:spacing w:val="-9"/>
          <w:sz w:val="23"/>
          <w:szCs w:val="23"/>
        </w:rPr>
        <w:t xml:space="preserve"> </w:t>
      </w:r>
      <w:r>
        <w:rPr>
          <w:rFonts w:ascii="宋体" w:eastAsia="宋体" w:hAnsi="宋体" w:cs="宋体"/>
          <w:spacing w:val="-23"/>
          <w:sz w:val="23"/>
          <w:szCs w:val="23"/>
        </w:rPr>
        <w:t>(steroidal</w:t>
      </w:r>
      <w:r>
        <w:rPr>
          <w:rFonts w:ascii="宋体" w:eastAsia="宋体" w:hAnsi="宋体" w:cs="宋体"/>
          <w:sz w:val="23"/>
          <w:szCs w:val="23"/>
        </w:rPr>
        <w:t xml:space="preserve"> </w:t>
      </w:r>
      <w:r>
        <w:rPr>
          <w:rFonts w:ascii="宋体" w:eastAsia="宋体" w:hAnsi="宋体" w:cs="宋体"/>
          <w:spacing w:val="-16"/>
          <w:sz w:val="23"/>
          <w:szCs w:val="23"/>
        </w:rPr>
        <w:t>saponin)</w:t>
      </w:r>
      <w:r>
        <w:rPr>
          <w:rFonts w:ascii="宋体" w:eastAsia="宋体" w:hAnsi="宋体" w:cs="宋体"/>
          <w:spacing w:val="-50"/>
          <w:sz w:val="23"/>
          <w:szCs w:val="23"/>
        </w:rPr>
        <w:t xml:space="preserve"> </w:t>
      </w:r>
      <w:r>
        <w:rPr>
          <w:rFonts w:ascii="宋体" w:eastAsia="宋体" w:hAnsi="宋体" w:cs="宋体"/>
          <w:spacing w:val="-16"/>
          <w:sz w:val="23"/>
          <w:szCs w:val="23"/>
        </w:rPr>
        <w:t>和三萜皂苷 (triterpenoid</w:t>
      </w:r>
      <w:r>
        <w:rPr>
          <w:rFonts w:ascii="宋体" w:eastAsia="宋体" w:hAnsi="宋体" w:cs="宋体"/>
          <w:spacing w:val="-5"/>
          <w:sz w:val="23"/>
          <w:szCs w:val="23"/>
        </w:rPr>
        <w:t xml:space="preserve"> </w:t>
      </w:r>
      <w:r>
        <w:rPr>
          <w:rFonts w:ascii="宋体" w:eastAsia="宋体" w:hAnsi="宋体" w:cs="宋体"/>
          <w:spacing w:val="-16"/>
          <w:sz w:val="23"/>
          <w:szCs w:val="23"/>
        </w:rPr>
        <w:t>saponin)</w:t>
      </w:r>
      <w:r>
        <w:rPr>
          <w:rFonts w:ascii="宋体" w:eastAsia="宋体" w:hAnsi="宋体" w:cs="宋体"/>
          <w:spacing w:val="-47"/>
          <w:sz w:val="23"/>
          <w:szCs w:val="23"/>
        </w:rPr>
        <w:t xml:space="preserve"> </w:t>
      </w:r>
      <w:r>
        <w:rPr>
          <w:rFonts w:ascii="宋体" w:eastAsia="宋体" w:hAnsi="宋体" w:cs="宋体"/>
          <w:spacing w:val="-17"/>
          <w:sz w:val="23"/>
          <w:szCs w:val="23"/>
        </w:rPr>
        <w:t>两种。其中甾体皂苷通常由27个</w:t>
      </w:r>
      <w:r>
        <w:rPr>
          <w:rFonts w:ascii="宋体" w:eastAsia="宋体" w:hAnsi="宋体" w:cs="宋体"/>
          <w:sz w:val="23"/>
          <w:szCs w:val="23"/>
        </w:rPr>
        <w:t xml:space="preserve"> </w:t>
      </w:r>
      <w:r>
        <w:rPr>
          <w:rFonts w:ascii="宋体" w:eastAsia="宋体" w:hAnsi="宋体" w:cs="宋体"/>
          <w:spacing w:val="-13"/>
          <w:sz w:val="23"/>
          <w:szCs w:val="23"/>
        </w:rPr>
        <w:t>碳原子组成，为中性皂苷，如薯蓣科和百合科植</w:t>
      </w:r>
      <w:r>
        <w:rPr>
          <w:rFonts w:ascii="宋体" w:eastAsia="宋体" w:hAnsi="宋体" w:cs="宋体"/>
          <w:spacing w:val="-14"/>
          <w:sz w:val="23"/>
          <w:szCs w:val="23"/>
        </w:rPr>
        <w:t>物皂苷；三萜皂苷是由6分子</w:t>
      </w:r>
      <w:r>
        <w:rPr>
          <w:rFonts w:ascii="宋体" w:eastAsia="宋体" w:hAnsi="宋体" w:cs="宋体"/>
          <w:sz w:val="23"/>
          <w:szCs w:val="23"/>
        </w:rPr>
        <w:t xml:space="preserve"> </w:t>
      </w:r>
      <w:r>
        <w:rPr>
          <w:rFonts w:ascii="宋体" w:eastAsia="宋体" w:hAnsi="宋体" w:cs="宋体"/>
          <w:spacing w:val="-17"/>
          <w:sz w:val="23"/>
          <w:szCs w:val="23"/>
        </w:rPr>
        <w:t>C</w:t>
      </w:r>
      <w:r>
        <w:rPr>
          <w:rFonts w:ascii="Calibri" w:eastAsia="Calibri" w:hAnsi="Calibri" w:cs="Calibri"/>
          <w:spacing w:val="-17"/>
          <w:sz w:val="23"/>
          <w:szCs w:val="23"/>
        </w:rPr>
        <w:t>₅</w:t>
      </w:r>
      <w:r>
        <w:rPr>
          <w:rFonts w:ascii="宋体" w:eastAsia="宋体" w:hAnsi="宋体" w:cs="宋体"/>
          <w:spacing w:val="-17"/>
          <w:sz w:val="23"/>
          <w:szCs w:val="23"/>
        </w:rPr>
        <w:t>H</w:t>
      </w:r>
      <w:r>
        <w:rPr>
          <w:rFonts w:ascii="Calibri" w:eastAsia="Calibri" w:hAnsi="Calibri" w:cs="Calibri"/>
          <w:spacing w:val="-17"/>
          <w:sz w:val="23"/>
          <w:szCs w:val="23"/>
        </w:rPr>
        <w:t>₈</w:t>
      </w:r>
      <w:r>
        <w:rPr>
          <w:rFonts w:ascii="Calibri" w:eastAsia="Calibri" w:hAnsi="Calibri" w:cs="Calibri"/>
          <w:spacing w:val="17"/>
          <w:sz w:val="23"/>
          <w:szCs w:val="23"/>
        </w:rPr>
        <w:t xml:space="preserve">  </w:t>
      </w:r>
      <w:r>
        <w:rPr>
          <w:rFonts w:ascii="宋体" w:eastAsia="宋体" w:hAnsi="宋体" w:cs="宋体"/>
          <w:spacing w:val="-17"/>
          <w:sz w:val="23"/>
          <w:szCs w:val="23"/>
        </w:rPr>
        <w:t>连接而成的具有30个碳原子的化合物，直链或具有三环</w:t>
      </w:r>
      <w:r>
        <w:rPr>
          <w:rFonts w:ascii="宋体" w:eastAsia="宋体" w:hAnsi="宋体" w:cs="宋体"/>
          <w:spacing w:val="-18"/>
          <w:sz w:val="23"/>
          <w:szCs w:val="23"/>
        </w:rPr>
        <w:t>、四环与五环，游</w:t>
      </w:r>
      <w:r>
        <w:rPr>
          <w:rFonts w:ascii="宋体" w:eastAsia="宋体" w:hAnsi="宋体" w:cs="宋体"/>
          <w:sz w:val="23"/>
          <w:szCs w:val="23"/>
        </w:rPr>
        <w:t xml:space="preserve"> </w:t>
      </w:r>
      <w:r>
        <w:rPr>
          <w:rFonts w:ascii="宋体" w:eastAsia="宋体" w:hAnsi="宋体" w:cs="宋体"/>
          <w:spacing w:val="-23"/>
          <w:sz w:val="23"/>
          <w:szCs w:val="23"/>
        </w:rPr>
        <w:t>离或与糖结合，大多为含氧化合物，多为酸性皂苷，分布比甾体皂苷广泛，五加</w:t>
      </w:r>
      <w:r>
        <w:rPr>
          <w:rFonts w:ascii="宋体" w:eastAsia="宋体" w:hAnsi="宋体" w:cs="宋体"/>
          <w:spacing w:val="10"/>
          <w:sz w:val="23"/>
          <w:szCs w:val="23"/>
        </w:rPr>
        <w:t xml:space="preserve"> </w:t>
      </w:r>
      <w:r>
        <w:rPr>
          <w:rFonts w:ascii="宋体" w:eastAsia="宋体" w:hAnsi="宋体" w:cs="宋体"/>
          <w:spacing w:val="-24"/>
          <w:sz w:val="23"/>
          <w:szCs w:val="23"/>
        </w:rPr>
        <w:t>科、豆科、石竹科、伞形科、七叶树科植物中所含皂苷属于此类。</w:t>
      </w:r>
    </w:p>
    <w:p w:rsidR="00EA40A3" w:rsidRDefault="00E86C16">
      <w:pPr>
        <w:spacing w:before="225" w:line="222" w:lineRule="auto"/>
        <w:ind w:left="3"/>
        <w:outlineLvl w:val="6"/>
        <w:rPr>
          <w:rFonts w:ascii="黑体" w:eastAsia="黑体" w:hAnsi="黑体" w:cs="黑体"/>
          <w:sz w:val="23"/>
          <w:szCs w:val="23"/>
        </w:rPr>
      </w:pPr>
      <w:r>
        <w:rPr>
          <w:rFonts w:ascii="黑体" w:eastAsia="黑体" w:hAnsi="黑体" w:cs="黑体"/>
          <w:b/>
          <w:bCs/>
          <w:spacing w:val="1"/>
          <w:sz w:val="23"/>
          <w:szCs w:val="23"/>
        </w:rPr>
        <w:t>5.4.1</w:t>
      </w:r>
      <w:r>
        <w:rPr>
          <w:rFonts w:ascii="黑体" w:eastAsia="黑体" w:hAnsi="黑体" w:cs="黑体"/>
          <w:spacing w:val="9"/>
          <w:sz w:val="23"/>
          <w:szCs w:val="23"/>
        </w:rPr>
        <w:t xml:space="preserve">  </w:t>
      </w:r>
      <w:r>
        <w:rPr>
          <w:rFonts w:ascii="黑体" w:eastAsia="黑体" w:hAnsi="黑体" w:cs="黑体"/>
          <w:b/>
          <w:bCs/>
          <w:spacing w:val="1"/>
          <w:sz w:val="23"/>
          <w:szCs w:val="23"/>
        </w:rPr>
        <w:t>皂苷的生理功能</w:t>
      </w:r>
    </w:p>
    <w:p w:rsidR="00EA40A3" w:rsidRDefault="00E86C16">
      <w:pPr>
        <w:spacing w:before="232" w:line="220" w:lineRule="auto"/>
        <w:rPr>
          <w:rFonts w:ascii="仿宋" w:eastAsia="仿宋" w:hAnsi="仿宋" w:cs="仿宋"/>
          <w:sz w:val="23"/>
          <w:szCs w:val="23"/>
        </w:rPr>
      </w:pPr>
      <w:r>
        <w:rPr>
          <w:rFonts w:ascii="仿宋" w:eastAsia="仿宋" w:hAnsi="仿宋" w:cs="仿宋"/>
          <w:spacing w:val="4"/>
          <w:sz w:val="23"/>
          <w:szCs w:val="23"/>
        </w:rPr>
        <w:t>1.</w:t>
      </w:r>
      <w:r>
        <w:rPr>
          <w:rFonts w:ascii="仿宋" w:eastAsia="仿宋" w:hAnsi="仿宋" w:cs="仿宋"/>
          <w:spacing w:val="-35"/>
          <w:sz w:val="23"/>
          <w:szCs w:val="23"/>
        </w:rPr>
        <w:t xml:space="preserve"> </w:t>
      </w:r>
      <w:r>
        <w:rPr>
          <w:rFonts w:ascii="仿宋" w:eastAsia="仿宋" w:hAnsi="仿宋" w:cs="仿宋"/>
          <w:spacing w:val="4"/>
          <w:sz w:val="23"/>
          <w:szCs w:val="23"/>
        </w:rPr>
        <w:t>抗菌及抗病毒作用</w:t>
      </w:r>
    </w:p>
    <w:p w:rsidR="00EA40A3" w:rsidRDefault="00E86C16">
      <w:pPr>
        <w:spacing w:before="185" w:line="238" w:lineRule="auto"/>
        <w:ind w:right="90" w:firstLine="419"/>
        <w:jc w:val="both"/>
        <w:rPr>
          <w:rFonts w:ascii="宋体" w:eastAsia="宋体" w:hAnsi="宋体" w:cs="宋体"/>
          <w:sz w:val="23"/>
          <w:szCs w:val="23"/>
        </w:rPr>
      </w:pPr>
      <w:r>
        <w:rPr>
          <w:rFonts w:ascii="宋体" w:eastAsia="宋体" w:hAnsi="宋体" w:cs="宋体"/>
          <w:spacing w:val="-23"/>
          <w:sz w:val="23"/>
          <w:szCs w:val="23"/>
        </w:rPr>
        <w:t>许多皂苷具有抗菌及抗病毒作用。据报道，从大豆中提取的两种新皂苷具</w:t>
      </w:r>
      <w:r>
        <w:rPr>
          <w:rFonts w:ascii="宋体" w:eastAsia="宋体" w:hAnsi="宋体" w:cs="宋体"/>
          <w:spacing w:val="-24"/>
          <w:sz w:val="23"/>
          <w:szCs w:val="23"/>
        </w:rPr>
        <w:t>有</w:t>
      </w:r>
      <w:r>
        <w:rPr>
          <w:rFonts w:ascii="宋体" w:eastAsia="宋体" w:hAnsi="宋体" w:cs="宋体"/>
          <w:sz w:val="23"/>
          <w:szCs w:val="23"/>
        </w:rPr>
        <w:t xml:space="preserve"> </w:t>
      </w:r>
      <w:r>
        <w:rPr>
          <w:rFonts w:ascii="宋体" w:eastAsia="宋体" w:hAnsi="宋体" w:cs="宋体"/>
          <w:spacing w:val="-23"/>
          <w:sz w:val="23"/>
          <w:szCs w:val="23"/>
        </w:rPr>
        <w:t>抑制肺炎、大肠杆菌、金黄色葡萄球菌和枯草杆菌的作用；大豆皂苷还对治疗疱</w:t>
      </w:r>
      <w:r>
        <w:rPr>
          <w:rFonts w:ascii="宋体" w:eastAsia="宋体" w:hAnsi="宋体" w:cs="宋体"/>
          <w:spacing w:val="6"/>
          <w:sz w:val="23"/>
          <w:szCs w:val="23"/>
        </w:rPr>
        <w:t xml:space="preserve"> </w:t>
      </w:r>
      <w:r>
        <w:rPr>
          <w:rFonts w:ascii="宋体" w:eastAsia="宋体" w:hAnsi="宋体" w:cs="宋体"/>
          <w:spacing w:val="-16"/>
          <w:sz w:val="23"/>
          <w:szCs w:val="23"/>
        </w:rPr>
        <w:t>疹性口唇炎和口腔溃疡效果显著，具有广谱抗病毒能力。另外，其B</w:t>
      </w:r>
      <w:r>
        <w:rPr>
          <w:rFonts w:ascii="宋体" w:eastAsia="宋体" w:hAnsi="宋体" w:cs="宋体"/>
          <w:spacing w:val="-28"/>
          <w:sz w:val="23"/>
          <w:szCs w:val="23"/>
        </w:rPr>
        <w:t xml:space="preserve"> </w:t>
      </w:r>
      <w:r>
        <w:rPr>
          <w:rFonts w:ascii="宋体" w:eastAsia="宋体" w:hAnsi="宋体" w:cs="宋体"/>
          <w:spacing w:val="-16"/>
          <w:sz w:val="23"/>
          <w:szCs w:val="23"/>
        </w:rPr>
        <w:t>类皂苷对</w:t>
      </w:r>
      <w:r>
        <w:rPr>
          <w:rFonts w:ascii="宋体" w:eastAsia="宋体" w:hAnsi="宋体" w:cs="宋体"/>
          <w:sz w:val="23"/>
          <w:szCs w:val="23"/>
        </w:rPr>
        <w:t xml:space="preserve"> </w:t>
      </w:r>
      <w:r>
        <w:rPr>
          <w:rFonts w:ascii="宋体" w:eastAsia="宋体" w:hAnsi="宋体" w:cs="宋体"/>
          <w:spacing w:val="-15"/>
          <w:sz w:val="23"/>
          <w:szCs w:val="23"/>
        </w:rPr>
        <w:t>人体艾滋病病毒的感染有一定的抑制作用。人</w:t>
      </w:r>
      <w:r>
        <w:rPr>
          <w:rFonts w:ascii="宋体" w:eastAsia="宋体" w:hAnsi="宋体" w:cs="宋体"/>
          <w:spacing w:val="-16"/>
          <w:sz w:val="23"/>
          <w:szCs w:val="23"/>
        </w:rPr>
        <w:t>参皂苷的浓度为0.001%对大肠杆</w:t>
      </w:r>
      <w:r>
        <w:rPr>
          <w:rFonts w:ascii="宋体" w:eastAsia="宋体" w:hAnsi="宋体" w:cs="宋体"/>
          <w:sz w:val="23"/>
          <w:szCs w:val="23"/>
        </w:rPr>
        <w:t xml:space="preserve"> </w:t>
      </w:r>
      <w:r>
        <w:rPr>
          <w:rFonts w:ascii="宋体" w:eastAsia="宋体" w:hAnsi="宋体" w:cs="宋体"/>
          <w:spacing w:val="-16"/>
          <w:sz w:val="23"/>
          <w:szCs w:val="23"/>
        </w:rPr>
        <w:t>菌有抑制作用，浓度为5%则可完全抑制黄曲霉毒素的产生，还能通过抑制幽门</w:t>
      </w:r>
      <w:r>
        <w:rPr>
          <w:rFonts w:ascii="宋体" w:eastAsia="宋体" w:hAnsi="宋体" w:cs="宋体"/>
          <w:spacing w:val="3"/>
          <w:sz w:val="23"/>
          <w:szCs w:val="23"/>
        </w:rPr>
        <w:t xml:space="preserve"> </w:t>
      </w:r>
      <w:r>
        <w:rPr>
          <w:rFonts w:ascii="宋体" w:eastAsia="宋体" w:hAnsi="宋体" w:cs="宋体"/>
          <w:spacing w:val="-23"/>
          <w:sz w:val="23"/>
          <w:szCs w:val="23"/>
        </w:rPr>
        <w:t>螺杆菌而达到预防及治疗十二指肠和胃溃疡的作用。甘草素对单纯疱疹病毒、水</w:t>
      </w:r>
      <w:r>
        <w:rPr>
          <w:rFonts w:ascii="宋体" w:eastAsia="宋体" w:hAnsi="宋体" w:cs="宋体"/>
          <w:spacing w:val="3"/>
          <w:sz w:val="23"/>
          <w:szCs w:val="23"/>
        </w:rPr>
        <w:t xml:space="preserve"> </w:t>
      </w:r>
      <w:r>
        <w:rPr>
          <w:rFonts w:ascii="宋体" w:eastAsia="宋体" w:hAnsi="宋体" w:cs="宋体"/>
          <w:spacing w:val="-17"/>
          <w:sz w:val="23"/>
          <w:szCs w:val="23"/>
        </w:rPr>
        <w:t>痘病毒及带状疱疹病毒均有抑制作用，并可抑制艾滋病毒的繁殖，但无灭活作</w:t>
      </w:r>
      <w:r>
        <w:rPr>
          <w:rFonts w:ascii="宋体" w:eastAsia="宋体" w:hAnsi="宋体" w:cs="宋体"/>
          <w:spacing w:val="11"/>
          <w:sz w:val="23"/>
          <w:szCs w:val="23"/>
        </w:rPr>
        <w:t xml:space="preserve"> </w:t>
      </w:r>
      <w:r>
        <w:rPr>
          <w:rFonts w:ascii="宋体" w:eastAsia="宋体" w:hAnsi="宋体" w:cs="宋体"/>
          <w:spacing w:val="-23"/>
          <w:sz w:val="23"/>
          <w:szCs w:val="23"/>
        </w:rPr>
        <w:t>用。茶叶皂苷对多种致病菌如白色链球菌、大肠杆菌和单细胞真菌，尤其是对皮</w:t>
      </w:r>
      <w:r>
        <w:rPr>
          <w:rFonts w:ascii="宋体" w:eastAsia="宋体" w:hAnsi="宋体" w:cs="宋体"/>
          <w:spacing w:val="3"/>
          <w:sz w:val="23"/>
          <w:szCs w:val="23"/>
        </w:rPr>
        <w:t xml:space="preserve"> </w:t>
      </w:r>
      <w:r>
        <w:rPr>
          <w:rFonts w:ascii="宋体" w:eastAsia="宋体" w:hAnsi="宋体" w:cs="宋体"/>
          <w:spacing w:val="-25"/>
          <w:sz w:val="23"/>
          <w:szCs w:val="23"/>
        </w:rPr>
        <w:t>肤致病菌有良好的抑制活性。</w:t>
      </w:r>
    </w:p>
    <w:p w:rsidR="00EA40A3" w:rsidRDefault="00E86C16">
      <w:pPr>
        <w:spacing w:before="273" w:line="220" w:lineRule="auto"/>
        <w:rPr>
          <w:rFonts w:ascii="仿宋" w:eastAsia="仿宋" w:hAnsi="仿宋" w:cs="仿宋"/>
          <w:sz w:val="23"/>
          <w:szCs w:val="23"/>
        </w:rPr>
      </w:pPr>
      <w:r>
        <w:rPr>
          <w:rFonts w:ascii="仿宋" w:eastAsia="仿宋" w:hAnsi="仿宋" w:cs="仿宋"/>
          <w:spacing w:val="3"/>
          <w:sz w:val="23"/>
          <w:szCs w:val="23"/>
        </w:rPr>
        <w:t>2.</w:t>
      </w:r>
      <w:r>
        <w:rPr>
          <w:rFonts w:ascii="仿宋" w:eastAsia="仿宋" w:hAnsi="仿宋" w:cs="仿宋"/>
          <w:spacing w:val="-9"/>
          <w:sz w:val="23"/>
          <w:szCs w:val="23"/>
        </w:rPr>
        <w:t xml:space="preserve"> </w:t>
      </w:r>
      <w:r>
        <w:rPr>
          <w:rFonts w:ascii="仿宋" w:eastAsia="仿宋" w:hAnsi="仿宋" w:cs="仿宋"/>
          <w:spacing w:val="3"/>
          <w:sz w:val="23"/>
          <w:szCs w:val="23"/>
        </w:rPr>
        <w:t>免疫调节作用</w:t>
      </w:r>
    </w:p>
    <w:p w:rsidR="00EA40A3" w:rsidRDefault="00E86C16">
      <w:pPr>
        <w:spacing w:before="170" w:line="239" w:lineRule="auto"/>
        <w:ind w:right="98" w:firstLine="419"/>
        <w:jc w:val="both"/>
        <w:rPr>
          <w:rFonts w:ascii="宋体" w:eastAsia="宋体" w:hAnsi="宋体" w:cs="宋体"/>
          <w:sz w:val="23"/>
          <w:szCs w:val="23"/>
        </w:rPr>
      </w:pPr>
      <w:r>
        <w:rPr>
          <w:rFonts w:ascii="宋体" w:eastAsia="宋体" w:hAnsi="宋体" w:cs="宋体"/>
          <w:spacing w:val="-23"/>
          <w:sz w:val="23"/>
          <w:szCs w:val="23"/>
        </w:rPr>
        <w:t>皂苷可增强机体免疫功能，如人参皂苷、黄芪皂苷和绞股蓝皂苷均可明显增</w:t>
      </w:r>
      <w:r>
        <w:rPr>
          <w:rFonts w:ascii="宋体" w:eastAsia="宋体" w:hAnsi="宋体" w:cs="宋体"/>
          <w:spacing w:val="5"/>
          <w:sz w:val="23"/>
          <w:szCs w:val="23"/>
        </w:rPr>
        <w:t xml:space="preserve"> </w:t>
      </w:r>
      <w:r>
        <w:rPr>
          <w:rFonts w:ascii="宋体" w:eastAsia="宋体" w:hAnsi="宋体" w:cs="宋体"/>
          <w:spacing w:val="-17"/>
          <w:sz w:val="23"/>
          <w:szCs w:val="23"/>
        </w:rPr>
        <w:t>强巨噬细胞的吞噬功能，提高T</w:t>
      </w:r>
      <w:r>
        <w:rPr>
          <w:rFonts w:ascii="宋体" w:eastAsia="宋体" w:hAnsi="宋体" w:cs="宋体"/>
          <w:spacing w:val="11"/>
          <w:sz w:val="23"/>
          <w:szCs w:val="23"/>
        </w:rPr>
        <w:t xml:space="preserve"> </w:t>
      </w:r>
      <w:r>
        <w:rPr>
          <w:rFonts w:ascii="宋体" w:eastAsia="宋体" w:hAnsi="宋体" w:cs="宋体"/>
          <w:spacing w:val="-17"/>
          <w:sz w:val="23"/>
          <w:szCs w:val="23"/>
        </w:rPr>
        <w:t>细胞的数量及血清补体水平；大豆皂苷能明显</w:t>
      </w:r>
      <w:r>
        <w:rPr>
          <w:rFonts w:ascii="宋体" w:eastAsia="宋体" w:hAnsi="宋体" w:cs="宋体"/>
          <w:sz w:val="23"/>
          <w:szCs w:val="23"/>
        </w:rPr>
        <w:t xml:space="preserve"> </w:t>
      </w:r>
      <w:r>
        <w:rPr>
          <w:rFonts w:ascii="宋体" w:eastAsia="宋体" w:hAnsi="宋体" w:cs="宋体"/>
          <w:spacing w:val="-21"/>
          <w:sz w:val="23"/>
          <w:szCs w:val="23"/>
        </w:rPr>
        <w:t>提高</w:t>
      </w:r>
      <w:r>
        <w:rPr>
          <w:rFonts w:ascii="宋体" w:eastAsia="宋体" w:hAnsi="宋体" w:cs="宋体"/>
          <w:spacing w:val="-64"/>
          <w:sz w:val="23"/>
          <w:szCs w:val="23"/>
        </w:rPr>
        <w:t xml:space="preserve"> </w:t>
      </w:r>
      <w:r>
        <w:rPr>
          <w:rFonts w:ascii="宋体" w:eastAsia="宋体" w:hAnsi="宋体" w:cs="宋体"/>
          <w:spacing w:val="-21"/>
          <w:sz w:val="23"/>
          <w:szCs w:val="23"/>
        </w:rPr>
        <w:t>NK</w:t>
      </w:r>
      <w:r>
        <w:rPr>
          <w:rFonts w:ascii="宋体" w:eastAsia="宋体" w:hAnsi="宋体" w:cs="宋体"/>
          <w:spacing w:val="16"/>
          <w:sz w:val="23"/>
          <w:szCs w:val="23"/>
        </w:rPr>
        <w:t xml:space="preserve"> </w:t>
      </w:r>
      <w:r>
        <w:rPr>
          <w:rFonts w:ascii="宋体" w:eastAsia="宋体" w:hAnsi="宋体" w:cs="宋体"/>
          <w:spacing w:val="-21"/>
          <w:sz w:val="23"/>
          <w:szCs w:val="23"/>
        </w:rPr>
        <w:t>细胞、</w:t>
      </w:r>
      <w:r>
        <w:rPr>
          <w:rFonts w:ascii="宋体" w:eastAsia="宋体" w:hAnsi="宋体" w:cs="宋体"/>
          <w:spacing w:val="-55"/>
          <w:sz w:val="23"/>
          <w:szCs w:val="23"/>
        </w:rPr>
        <w:t xml:space="preserve"> </w:t>
      </w:r>
      <w:r>
        <w:rPr>
          <w:rFonts w:ascii="宋体" w:eastAsia="宋体" w:hAnsi="宋体" w:cs="宋体"/>
          <w:spacing w:val="-21"/>
          <w:sz w:val="23"/>
          <w:szCs w:val="23"/>
        </w:rPr>
        <w:t>LAK</w:t>
      </w:r>
      <w:r>
        <w:rPr>
          <w:rFonts w:ascii="宋体" w:eastAsia="宋体" w:hAnsi="宋体" w:cs="宋体"/>
          <w:spacing w:val="47"/>
          <w:sz w:val="23"/>
          <w:szCs w:val="23"/>
        </w:rPr>
        <w:t xml:space="preserve"> </w:t>
      </w:r>
      <w:r>
        <w:rPr>
          <w:rFonts w:ascii="宋体" w:eastAsia="宋体" w:hAnsi="宋体" w:cs="宋体"/>
          <w:spacing w:val="-21"/>
          <w:sz w:val="23"/>
          <w:szCs w:val="23"/>
        </w:rPr>
        <w:t>细胞的活性，表现出明显的免疫调节</w:t>
      </w:r>
      <w:r>
        <w:rPr>
          <w:rFonts w:ascii="宋体" w:eastAsia="宋体" w:hAnsi="宋体" w:cs="宋体"/>
          <w:spacing w:val="-22"/>
          <w:sz w:val="23"/>
          <w:szCs w:val="23"/>
        </w:rPr>
        <w:t>作用。</w:t>
      </w:r>
    </w:p>
    <w:p w:rsidR="00EA40A3" w:rsidRDefault="00E86C16">
      <w:pPr>
        <w:spacing w:before="202" w:line="220" w:lineRule="auto"/>
        <w:rPr>
          <w:rFonts w:ascii="仿宋" w:eastAsia="仿宋" w:hAnsi="仿宋" w:cs="仿宋"/>
          <w:sz w:val="23"/>
          <w:szCs w:val="23"/>
        </w:rPr>
      </w:pPr>
      <w:r>
        <w:rPr>
          <w:rFonts w:ascii="仿宋" w:eastAsia="仿宋" w:hAnsi="仿宋" w:cs="仿宋"/>
          <w:spacing w:val="3"/>
          <w:sz w:val="23"/>
          <w:szCs w:val="23"/>
        </w:rPr>
        <w:t>3.</w:t>
      </w:r>
      <w:r>
        <w:rPr>
          <w:rFonts w:ascii="仿宋" w:eastAsia="仿宋" w:hAnsi="仿宋" w:cs="仿宋"/>
          <w:spacing w:val="-28"/>
          <w:sz w:val="23"/>
          <w:szCs w:val="23"/>
        </w:rPr>
        <w:t xml:space="preserve"> </w:t>
      </w:r>
      <w:r>
        <w:rPr>
          <w:rFonts w:ascii="仿宋" w:eastAsia="仿宋" w:hAnsi="仿宋" w:cs="仿宋"/>
          <w:spacing w:val="3"/>
          <w:sz w:val="23"/>
          <w:szCs w:val="23"/>
        </w:rPr>
        <w:t>对心血管系统的作用</w:t>
      </w:r>
    </w:p>
    <w:p w:rsidR="00EA40A3" w:rsidRDefault="00E86C16">
      <w:pPr>
        <w:spacing w:before="181" w:line="238" w:lineRule="auto"/>
        <w:ind w:firstLine="419"/>
        <w:rPr>
          <w:rFonts w:ascii="宋体" w:eastAsia="宋体" w:hAnsi="宋体" w:cs="宋体"/>
          <w:sz w:val="23"/>
          <w:szCs w:val="23"/>
        </w:rPr>
      </w:pPr>
      <w:r>
        <w:rPr>
          <w:rFonts w:ascii="宋体" w:eastAsia="宋体" w:hAnsi="宋体" w:cs="宋体"/>
          <w:spacing w:val="-20"/>
          <w:sz w:val="23"/>
          <w:szCs w:val="23"/>
        </w:rPr>
        <w:t>皂苷可抑制胆固醇在肠道的吸收，有降胆固醇的作用。在甾苷类化合物中，</w:t>
      </w:r>
      <w:r>
        <w:rPr>
          <w:rFonts w:ascii="宋体" w:eastAsia="宋体" w:hAnsi="宋体" w:cs="宋体"/>
          <w:spacing w:val="4"/>
          <w:sz w:val="23"/>
          <w:szCs w:val="23"/>
        </w:rPr>
        <w:t xml:space="preserve"> </w:t>
      </w:r>
      <w:r>
        <w:rPr>
          <w:rFonts w:ascii="宋体" w:eastAsia="宋体" w:hAnsi="宋体" w:cs="宋体"/>
          <w:spacing w:val="-22"/>
          <w:sz w:val="23"/>
          <w:szCs w:val="23"/>
        </w:rPr>
        <w:t>螺甾烷醇苷类降胆固醇活性比呋甾烷醇苷类强，且螺甾烷醇</w:t>
      </w:r>
      <w:r>
        <w:rPr>
          <w:rFonts w:ascii="宋体" w:eastAsia="宋体" w:hAnsi="宋体" w:cs="宋体"/>
          <w:spacing w:val="-23"/>
          <w:sz w:val="23"/>
          <w:szCs w:val="23"/>
        </w:rPr>
        <w:t>活性随糖链中单糖数</w:t>
      </w:r>
    </w:p>
    <w:p w:rsidR="00EA40A3" w:rsidRDefault="00E86C16">
      <w:pPr>
        <w:spacing w:before="71"/>
        <w:ind w:right="109"/>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10"/>
          <w:sz w:val="17"/>
          <w:szCs w:val="17"/>
        </w:rPr>
        <w:t xml:space="preserve"> </w:t>
      </w:r>
      <w:r>
        <w:rPr>
          <w:rFonts w:ascii="宋体" w:eastAsia="宋体" w:hAnsi="宋体" w:cs="宋体"/>
          <w:spacing w:val="-17"/>
          <w:sz w:val="17"/>
          <w:szCs w:val="17"/>
        </w:rPr>
        <w:t>163</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974" w:bottom="400" w:left="890"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2" w:line="247" w:lineRule="auto"/>
        <w:ind w:right="19"/>
        <w:jc w:val="both"/>
        <w:rPr>
          <w:rFonts w:ascii="宋体" w:eastAsia="宋体" w:hAnsi="宋体" w:cs="宋体"/>
          <w:sz w:val="22"/>
          <w:szCs w:val="22"/>
        </w:rPr>
      </w:pPr>
      <w:bookmarkStart w:id="37" w:name="_bookmark41"/>
      <w:bookmarkEnd w:id="37"/>
      <w:r>
        <w:rPr>
          <w:rFonts w:ascii="宋体" w:eastAsia="宋体" w:hAnsi="宋体" w:cs="宋体"/>
          <w:spacing w:val="-13"/>
          <w:sz w:val="22"/>
          <w:szCs w:val="22"/>
        </w:rPr>
        <w:t>目的增加而增加。而从配基结构来说，皂苷的降胆固醇活性由高到</w:t>
      </w:r>
      <w:r>
        <w:rPr>
          <w:rFonts w:ascii="宋体" w:eastAsia="宋体" w:hAnsi="宋体" w:cs="宋体"/>
          <w:spacing w:val="-14"/>
          <w:sz w:val="22"/>
          <w:szCs w:val="22"/>
        </w:rPr>
        <w:t>低依次为海可</w:t>
      </w:r>
      <w:r>
        <w:rPr>
          <w:rFonts w:ascii="宋体" w:eastAsia="宋体" w:hAnsi="宋体" w:cs="宋体"/>
          <w:sz w:val="22"/>
          <w:szCs w:val="22"/>
        </w:rPr>
        <w:t xml:space="preserve">  </w:t>
      </w:r>
      <w:r>
        <w:rPr>
          <w:rFonts w:ascii="宋体" w:eastAsia="宋体" w:hAnsi="宋体" w:cs="宋体"/>
          <w:spacing w:val="-10"/>
          <w:sz w:val="22"/>
          <w:szCs w:val="22"/>
        </w:rPr>
        <w:t>皂苷配基、洛可皂苷配基、洋羧契皂苷配基、薯蓣皂苷配</w:t>
      </w:r>
      <w:r>
        <w:rPr>
          <w:rFonts w:ascii="宋体" w:eastAsia="宋体" w:hAnsi="宋体" w:cs="宋体"/>
          <w:spacing w:val="-11"/>
          <w:sz w:val="22"/>
          <w:szCs w:val="22"/>
        </w:rPr>
        <w:t>基、毛地黄皂苷配基。</w:t>
      </w:r>
      <w:r>
        <w:rPr>
          <w:rFonts w:ascii="宋体" w:eastAsia="宋体" w:hAnsi="宋体" w:cs="宋体"/>
          <w:sz w:val="22"/>
          <w:szCs w:val="22"/>
        </w:rPr>
        <w:t xml:space="preserve"> </w:t>
      </w:r>
      <w:r>
        <w:rPr>
          <w:rFonts w:ascii="宋体" w:eastAsia="宋体" w:hAnsi="宋体" w:cs="宋体"/>
          <w:spacing w:val="-10"/>
          <w:sz w:val="22"/>
          <w:szCs w:val="22"/>
        </w:rPr>
        <w:t>在三萜皂苷中，柴胡皂苷、甘草皂苷及驴蹄草总皂苷都有</w:t>
      </w:r>
      <w:r>
        <w:rPr>
          <w:rFonts w:ascii="宋体" w:eastAsia="宋体" w:hAnsi="宋体" w:cs="宋体"/>
          <w:spacing w:val="-11"/>
          <w:sz w:val="22"/>
          <w:szCs w:val="22"/>
        </w:rPr>
        <w:t>明显的降胆固醇作用。</w:t>
      </w:r>
      <w:r>
        <w:rPr>
          <w:rFonts w:ascii="宋体" w:eastAsia="宋体" w:hAnsi="宋体" w:cs="宋体"/>
          <w:sz w:val="22"/>
          <w:szCs w:val="22"/>
        </w:rPr>
        <w:t xml:space="preserve"> </w:t>
      </w:r>
      <w:r>
        <w:rPr>
          <w:rFonts w:ascii="宋体" w:eastAsia="宋体" w:hAnsi="宋体" w:cs="宋体"/>
          <w:spacing w:val="-13"/>
          <w:sz w:val="22"/>
          <w:szCs w:val="22"/>
        </w:rPr>
        <w:t>其他如大豆皂苷和人参皂苷可促进人体内胆固醇和脂肪的代谢，降低血中胆固醇</w:t>
      </w:r>
      <w:r>
        <w:rPr>
          <w:rFonts w:ascii="宋体" w:eastAsia="宋体" w:hAnsi="宋体" w:cs="宋体"/>
          <w:spacing w:val="12"/>
          <w:sz w:val="22"/>
          <w:szCs w:val="22"/>
        </w:rPr>
        <w:t xml:space="preserve"> </w:t>
      </w:r>
      <w:r>
        <w:rPr>
          <w:rFonts w:ascii="宋体" w:eastAsia="宋体" w:hAnsi="宋体" w:cs="宋体"/>
          <w:spacing w:val="-13"/>
          <w:sz w:val="22"/>
          <w:szCs w:val="22"/>
        </w:rPr>
        <w:t>和甘油三酯的含量。大豆皂苷还可以抑制血小板减少和凝血酶引起的血栓纤维蛋</w:t>
      </w:r>
      <w:r>
        <w:rPr>
          <w:rFonts w:ascii="宋体" w:eastAsia="宋体" w:hAnsi="宋体" w:cs="宋体"/>
          <w:spacing w:val="13"/>
          <w:sz w:val="22"/>
          <w:szCs w:val="22"/>
        </w:rPr>
        <w:t xml:space="preserve"> </w:t>
      </w:r>
      <w:r>
        <w:rPr>
          <w:rFonts w:ascii="宋体" w:eastAsia="宋体" w:hAnsi="宋体" w:cs="宋体"/>
          <w:spacing w:val="-12"/>
          <w:sz w:val="22"/>
          <w:szCs w:val="22"/>
        </w:rPr>
        <w:t>白形成，具有抗血栓作用。绞股蓝皂苷可明显抑</w:t>
      </w:r>
      <w:r>
        <w:rPr>
          <w:rFonts w:ascii="宋体" w:eastAsia="宋体" w:hAnsi="宋体" w:cs="宋体"/>
          <w:spacing w:val="-13"/>
          <w:sz w:val="22"/>
          <w:szCs w:val="22"/>
        </w:rPr>
        <w:t>制小鼠血小板血栓和静脉血栓的</w:t>
      </w:r>
      <w:r>
        <w:rPr>
          <w:rFonts w:ascii="宋体" w:eastAsia="宋体" w:hAnsi="宋体" w:cs="宋体"/>
          <w:sz w:val="22"/>
          <w:szCs w:val="22"/>
        </w:rPr>
        <w:t xml:space="preserve"> </w:t>
      </w:r>
      <w:r>
        <w:rPr>
          <w:rFonts w:ascii="宋体" w:eastAsia="宋体" w:hAnsi="宋体" w:cs="宋体"/>
          <w:spacing w:val="2"/>
          <w:sz w:val="22"/>
          <w:szCs w:val="22"/>
        </w:rPr>
        <w:t>形成，血栓平均质量分别下降34%和68%。</w:t>
      </w:r>
    </w:p>
    <w:p w:rsidR="00EA40A3" w:rsidRDefault="00E86C16">
      <w:pPr>
        <w:spacing w:before="234" w:line="220"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18"/>
          <w:sz w:val="22"/>
          <w:szCs w:val="22"/>
        </w:rPr>
        <w:t xml:space="preserve"> </w:t>
      </w:r>
      <w:r>
        <w:rPr>
          <w:rFonts w:ascii="仿宋" w:eastAsia="仿宋" w:hAnsi="仿宋" w:cs="仿宋"/>
          <w:spacing w:val="13"/>
          <w:sz w:val="22"/>
          <w:szCs w:val="22"/>
        </w:rPr>
        <w:t>对中枢神经系统的作用</w:t>
      </w:r>
    </w:p>
    <w:p w:rsidR="00EA40A3" w:rsidRDefault="00E86C16">
      <w:pPr>
        <w:spacing w:before="192" w:line="246" w:lineRule="auto"/>
        <w:ind w:right="92" w:firstLine="439"/>
        <w:jc w:val="both"/>
        <w:rPr>
          <w:rFonts w:ascii="宋体" w:eastAsia="宋体" w:hAnsi="宋体" w:cs="宋体"/>
          <w:sz w:val="22"/>
          <w:szCs w:val="22"/>
        </w:rPr>
      </w:pPr>
      <w:r>
        <w:rPr>
          <w:rFonts w:ascii="宋体" w:eastAsia="宋体" w:hAnsi="宋体" w:cs="宋体"/>
          <w:spacing w:val="-6"/>
          <w:sz w:val="22"/>
          <w:szCs w:val="22"/>
        </w:rPr>
        <w:t>皂苷可作用于中枢神经系统，人参总皂苷及其单体Rb1</w:t>
      </w:r>
      <w:r>
        <w:rPr>
          <w:rFonts w:ascii="宋体" w:eastAsia="宋体" w:hAnsi="宋体" w:cs="宋体"/>
          <w:spacing w:val="-14"/>
          <w:sz w:val="22"/>
          <w:szCs w:val="22"/>
        </w:rPr>
        <w:t xml:space="preserve"> </w:t>
      </w:r>
      <w:r>
        <w:rPr>
          <w:rFonts w:ascii="宋体" w:eastAsia="宋体" w:hAnsi="宋体" w:cs="宋体"/>
          <w:spacing w:val="-7"/>
          <w:sz w:val="22"/>
          <w:szCs w:val="22"/>
        </w:rPr>
        <w:t>在小剂量时可增强</w:t>
      </w:r>
      <w:r>
        <w:rPr>
          <w:rFonts w:ascii="宋体" w:eastAsia="宋体" w:hAnsi="宋体" w:cs="宋体"/>
          <w:sz w:val="22"/>
          <w:szCs w:val="22"/>
        </w:rPr>
        <w:t xml:space="preserve"> </w:t>
      </w:r>
      <w:r>
        <w:rPr>
          <w:rFonts w:ascii="宋体" w:eastAsia="宋体" w:hAnsi="宋体" w:cs="宋体"/>
          <w:spacing w:val="-13"/>
          <w:sz w:val="22"/>
          <w:szCs w:val="22"/>
        </w:rPr>
        <w:t>中枢神经的兴奋过程，大剂量时却增强抑制过程。柴胡皂苷具有镇静、镇痛和抗</w:t>
      </w:r>
      <w:r>
        <w:rPr>
          <w:rFonts w:ascii="宋体" w:eastAsia="宋体" w:hAnsi="宋体" w:cs="宋体"/>
          <w:spacing w:val="12"/>
          <w:sz w:val="22"/>
          <w:szCs w:val="22"/>
        </w:rPr>
        <w:t xml:space="preserve"> </w:t>
      </w:r>
      <w:r>
        <w:rPr>
          <w:rFonts w:ascii="宋体" w:eastAsia="宋体" w:hAnsi="宋体" w:cs="宋体"/>
          <w:spacing w:val="-6"/>
          <w:sz w:val="22"/>
          <w:szCs w:val="22"/>
        </w:rPr>
        <w:t>惊厥作用，并可延长猫的睡眠时间，特别是慢波睡眠Ⅱ期</w:t>
      </w:r>
      <w:r>
        <w:rPr>
          <w:rFonts w:ascii="宋体" w:eastAsia="宋体" w:hAnsi="宋体" w:cs="宋体"/>
          <w:spacing w:val="-7"/>
          <w:sz w:val="22"/>
          <w:szCs w:val="22"/>
        </w:rPr>
        <w:t>和快动眼睡眠期的增</w:t>
      </w:r>
      <w:r>
        <w:rPr>
          <w:rFonts w:ascii="宋体" w:eastAsia="宋体" w:hAnsi="宋体" w:cs="宋体"/>
          <w:sz w:val="22"/>
          <w:szCs w:val="22"/>
        </w:rPr>
        <w:t xml:space="preserve"> </w:t>
      </w:r>
      <w:r>
        <w:rPr>
          <w:rFonts w:ascii="宋体" w:eastAsia="宋体" w:hAnsi="宋体" w:cs="宋体"/>
          <w:spacing w:val="-13"/>
          <w:sz w:val="22"/>
          <w:szCs w:val="22"/>
        </w:rPr>
        <w:t>加，其作用优于成药朱砂安神丸。黄芪皂苷具有镇痛和中枢抑制作用，能明显延</w:t>
      </w:r>
      <w:r>
        <w:rPr>
          <w:rFonts w:ascii="宋体" w:eastAsia="宋体" w:hAnsi="宋体" w:cs="宋体"/>
          <w:spacing w:val="16"/>
          <w:sz w:val="22"/>
          <w:szCs w:val="22"/>
        </w:rPr>
        <w:t xml:space="preserve"> </w:t>
      </w:r>
      <w:r>
        <w:rPr>
          <w:rFonts w:ascii="宋体" w:eastAsia="宋体" w:hAnsi="宋体" w:cs="宋体"/>
          <w:spacing w:val="-13"/>
          <w:sz w:val="22"/>
          <w:szCs w:val="22"/>
        </w:rPr>
        <w:t>长硫喷妥钠所致小鼠的麻醉时间；绞股蓝皂苷也具有镇静、镇痛作用和对小鼠学</w:t>
      </w:r>
      <w:r>
        <w:rPr>
          <w:rFonts w:ascii="宋体" w:eastAsia="宋体" w:hAnsi="宋体" w:cs="宋体"/>
          <w:spacing w:val="15"/>
          <w:sz w:val="22"/>
          <w:szCs w:val="22"/>
        </w:rPr>
        <w:t xml:space="preserve"> </w:t>
      </w:r>
      <w:r>
        <w:rPr>
          <w:rFonts w:ascii="宋体" w:eastAsia="宋体" w:hAnsi="宋体" w:cs="宋体"/>
          <w:spacing w:val="-14"/>
          <w:sz w:val="22"/>
          <w:szCs w:val="22"/>
        </w:rPr>
        <w:t>习记忆的促进作用。酸枣仁所含皂苷对动物则有镇静和精神安定作用。</w:t>
      </w:r>
    </w:p>
    <w:p w:rsidR="00EA40A3" w:rsidRDefault="00E86C16">
      <w:pPr>
        <w:spacing w:before="216" w:line="220" w:lineRule="auto"/>
        <w:rPr>
          <w:rFonts w:ascii="仿宋" w:eastAsia="仿宋" w:hAnsi="仿宋" w:cs="仿宋"/>
          <w:sz w:val="22"/>
          <w:szCs w:val="22"/>
        </w:rPr>
      </w:pPr>
      <w:r>
        <w:rPr>
          <w:rFonts w:ascii="仿宋" w:eastAsia="仿宋" w:hAnsi="仿宋" w:cs="仿宋"/>
          <w:spacing w:val="2"/>
          <w:sz w:val="22"/>
          <w:szCs w:val="22"/>
        </w:rPr>
        <w:t>5.</w:t>
      </w:r>
      <w:r>
        <w:rPr>
          <w:rFonts w:ascii="仿宋" w:eastAsia="仿宋" w:hAnsi="仿宋" w:cs="仿宋"/>
          <w:spacing w:val="34"/>
          <w:sz w:val="22"/>
          <w:szCs w:val="22"/>
        </w:rPr>
        <w:t xml:space="preserve"> </w:t>
      </w:r>
      <w:r>
        <w:rPr>
          <w:rFonts w:ascii="仿宋" w:eastAsia="仿宋" w:hAnsi="仿宋" w:cs="仿宋"/>
          <w:spacing w:val="2"/>
          <w:sz w:val="22"/>
          <w:szCs w:val="22"/>
        </w:rPr>
        <w:t>降血糖作用</w:t>
      </w:r>
    </w:p>
    <w:p w:rsidR="00EA40A3" w:rsidRDefault="00E86C16">
      <w:pPr>
        <w:spacing w:before="213" w:line="235" w:lineRule="auto"/>
        <w:ind w:right="61" w:firstLine="439"/>
        <w:jc w:val="both"/>
        <w:rPr>
          <w:rFonts w:ascii="宋体" w:eastAsia="宋体" w:hAnsi="宋体" w:cs="宋体"/>
          <w:sz w:val="22"/>
          <w:szCs w:val="22"/>
        </w:rPr>
      </w:pPr>
      <w:r>
        <w:rPr>
          <w:rFonts w:ascii="宋体" w:eastAsia="宋体" w:hAnsi="宋体" w:cs="宋体"/>
          <w:spacing w:val="-12"/>
          <w:sz w:val="22"/>
          <w:szCs w:val="22"/>
        </w:rPr>
        <w:t>皂苷具有降血糖作用，苦瓜皂苷有类胰岛素作用，可降血糖，</w:t>
      </w:r>
      <w:r>
        <w:rPr>
          <w:rFonts w:ascii="宋体" w:eastAsia="宋体" w:hAnsi="宋体" w:cs="宋体"/>
          <w:spacing w:val="-13"/>
          <w:sz w:val="22"/>
          <w:szCs w:val="22"/>
        </w:rPr>
        <w:t>作用缓慢而持</w:t>
      </w:r>
      <w:r>
        <w:rPr>
          <w:rFonts w:ascii="宋体" w:eastAsia="宋体" w:hAnsi="宋体" w:cs="宋体"/>
          <w:sz w:val="22"/>
          <w:szCs w:val="22"/>
        </w:rPr>
        <w:t xml:space="preserve"> </w:t>
      </w:r>
      <w:r>
        <w:rPr>
          <w:rFonts w:ascii="宋体" w:eastAsia="宋体" w:hAnsi="宋体" w:cs="宋体"/>
          <w:spacing w:val="-5"/>
          <w:sz w:val="22"/>
          <w:szCs w:val="22"/>
        </w:rPr>
        <w:t>久。人参总皂苷及其单体Rb2</w:t>
      </w:r>
      <w:r>
        <w:rPr>
          <w:rFonts w:ascii="宋体" w:eastAsia="宋体" w:hAnsi="宋体" w:cs="宋体"/>
          <w:spacing w:val="-14"/>
          <w:sz w:val="22"/>
          <w:szCs w:val="22"/>
        </w:rPr>
        <w:t xml:space="preserve"> </w:t>
      </w:r>
      <w:r>
        <w:rPr>
          <w:rFonts w:ascii="宋体" w:eastAsia="宋体" w:hAnsi="宋体" w:cs="宋体"/>
          <w:spacing w:val="-5"/>
          <w:sz w:val="22"/>
          <w:szCs w:val="22"/>
        </w:rPr>
        <w:t>可抑制肝中G-6-</w:t>
      </w:r>
      <w:r>
        <w:rPr>
          <w:rFonts w:ascii="宋体" w:eastAsia="宋体" w:hAnsi="宋体" w:cs="宋体"/>
          <w:spacing w:val="-6"/>
          <w:sz w:val="22"/>
          <w:szCs w:val="22"/>
        </w:rPr>
        <w:t>磷酸酶，而刺激葡萄糖激酶的活</w:t>
      </w:r>
      <w:r>
        <w:rPr>
          <w:rFonts w:ascii="宋体" w:eastAsia="宋体" w:hAnsi="宋体" w:cs="宋体"/>
          <w:sz w:val="22"/>
          <w:szCs w:val="22"/>
        </w:rPr>
        <w:t xml:space="preserve"> </w:t>
      </w:r>
      <w:r>
        <w:rPr>
          <w:rFonts w:ascii="宋体" w:eastAsia="宋体" w:hAnsi="宋体" w:cs="宋体"/>
          <w:spacing w:val="-14"/>
          <w:sz w:val="22"/>
          <w:szCs w:val="22"/>
        </w:rPr>
        <w:t>性，对实验性糖尿病小鼠和大鼠均有明显的降糖作用。</w:t>
      </w:r>
    </w:p>
    <w:p w:rsidR="00EA40A3" w:rsidRDefault="00E86C16">
      <w:pPr>
        <w:spacing w:before="214" w:line="220" w:lineRule="auto"/>
        <w:rPr>
          <w:rFonts w:ascii="仿宋" w:eastAsia="仿宋" w:hAnsi="仿宋" w:cs="仿宋"/>
          <w:sz w:val="22"/>
          <w:szCs w:val="22"/>
        </w:rPr>
      </w:pPr>
      <w:r>
        <w:rPr>
          <w:rFonts w:ascii="仿宋" w:eastAsia="仿宋" w:hAnsi="仿宋" w:cs="仿宋"/>
          <w:spacing w:val="14"/>
          <w:sz w:val="22"/>
          <w:szCs w:val="22"/>
        </w:rPr>
        <w:t>6.</w:t>
      </w:r>
      <w:r>
        <w:rPr>
          <w:rFonts w:ascii="仿宋" w:eastAsia="仿宋" w:hAnsi="仿宋" w:cs="仿宋"/>
          <w:sz w:val="22"/>
          <w:szCs w:val="22"/>
        </w:rPr>
        <w:t xml:space="preserve"> </w:t>
      </w:r>
      <w:r>
        <w:rPr>
          <w:rFonts w:ascii="仿宋" w:eastAsia="仿宋" w:hAnsi="仿宋" w:cs="仿宋"/>
          <w:spacing w:val="14"/>
          <w:sz w:val="22"/>
          <w:szCs w:val="22"/>
        </w:rPr>
        <w:t>抗肿瘤及其他功能作用</w:t>
      </w:r>
    </w:p>
    <w:p w:rsidR="00EA40A3" w:rsidRDefault="00E86C16">
      <w:pPr>
        <w:spacing w:before="205" w:line="245" w:lineRule="auto"/>
        <w:ind w:right="80" w:firstLine="439"/>
        <w:jc w:val="both"/>
        <w:rPr>
          <w:rFonts w:ascii="宋体" w:eastAsia="宋体" w:hAnsi="宋体" w:cs="宋体"/>
          <w:sz w:val="22"/>
          <w:szCs w:val="22"/>
        </w:rPr>
      </w:pPr>
      <w:r>
        <w:rPr>
          <w:rFonts w:ascii="宋体" w:eastAsia="宋体" w:hAnsi="宋体" w:cs="宋体"/>
          <w:spacing w:val="-6"/>
          <w:sz w:val="22"/>
          <w:szCs w:val="22"/>
        </w:rPr>
        <w:t>一些皂苷具有抗肿瘤作用，人参皂苷Rh2</w:t>
      </w:r>
      <w:r>
        <w:rPr>
          <w:rFonts w:ascii="宋体" w:eastAsia="宋体" w:hAnsi="宋体" w:cs="宋体"/>
          <w:spacing w:val="-4"/>
          <w:sz w:val="22"/>
          <w:szCs w:val="22"/>
        </w:rPr>
        <w:t xml:space="preserve"> </w:t>
      </w:r>
      <w:r>
        <w:rPr>
          <w:rFonts w:ascii="宋体" w:eastAsia="宋体" w:hAnsi="宋体" w:cs="宋体"/>
          <w:spacing w:val="-6"/>
          <w:sz w:val="22"/>
          <w:szCs w:val="22"/>
        </w:rPr>
        <w:t>在2μg/mL</w:t>
      </w:r>
      <w:r>
        <w:rPr>
          <w:rFonts w:ascii="宋体" w:eastAsia="宋体" w:hAnsi="宋体" w:cs="宋体"/>
          <w:spacing w:val="12"/>
          <w:sz w:val="22"/>
          <w:szCs w:val="22"/>
        </w:rPr>
        <w:t xml:space="preserve"> </w:t>
      </w:r>
      <w:r>
        <w:rPr>
          <w:rFonts w:ascii="宋体" w:eastAsia="宋体" w:hAnsi="宋体" w:cs="宋体"/>
          <w:spacing w:val="-6"/>
          <w:sz w:val="22"/>
          <w:szCs w:val="22"/>
        </w:rPr>
        <w:t>浓度时可抑制人白血</w:t>
      </w:r>
      <w:r>
        <w:rPr>
          <w:rFonts w:ascii="宋体" w:eastAsia="宋体" w:hAnsi="宋体" w:cs="宋体"/>
          <w:sz w:val="22"/>
          <w:szCs w:val="22"/>
        </w:rPr>
        <w:t xml:space="preserve"> </w:t>
      </w:r>
      <w:r>
        <w:rPr>
          <w:rFonts w:ascii="宋体" w:eastAsia="宋体" w:hAnsi="宋体" w:cs="宋体"/>
          <w:spacing w:val="-9"/>
          <w:sz w:val="22"/>
          <w:szCs w:val="22"/>
        </w:rPr>
        <w:t>病细胞</w:t>
      </w:r>
      <w:r>
        <w:rPr>
          <w:rFonts w:ascii="宋体" w:eastAsia="宋体" w:hAnsi="宋体" w:cs="宋体"/>
          <w:spacing w:val="-7"/>
          <w:sz w:val="22"/>
          <w:szCs w:val="22"/>
        </w:rPr>
        <w:t xml:space="preserve"> </w:t>
      </w:r>
      <w:r>
        <w:rPr>
          <w:rFonts w:ascii="宋体" w:eastAsia="宋体" w:hAnsi="宋体" w:cs="宋体"/>
          <w:spacing w:val="-9"/>
          <w:sz w:val="22"/>
          <w:szCs w:val="22"/>
        </w:rPr>
        <w:t>(HL-60)</w:t>
      </w:r>
      <w:r>
        <w:rPr>
          <w:rFonts w:ascii="宋体" w:eastAsia="宋体" w:hAnsi="宋体" w:cs="宋体"/>
          <w:spacing w:val="68"/>
          <w:sz w:val="22"/>
          <w:szCs w:val="22"/>
        </w:rPr>
        <w:t xml:space="preserve"> </w:t>
      </w:r>
      <w:r>
        <w:rPr>
          <w:rFonts w:ascii="宋体" w:eastAsia="宋体" w:hAnsi="宋体" w:cs="宋体"/>
          <w:spacing w:val="-9"/>
          <w:sz w:val="22"/>
          <w:szCs w:val="22"/>
        </w:rPr>
        <w:t>的生长，还可抑制B16</w:t>
      </w:r>
      <w:r>
        <w:rPr>
          <w:rFonts w:ascii="宋体" w:eastAsia="宋体" w:hAnsi="宋体" w:cs="宋体"/>
          <w:spacing w:val="-47"/>
          <w:sz w:val="22"/>
          <w:szCs w:val="22"/>
        </w:rPr>
        <w:t xml:space="preserve"> </w:t>
      </w:r>
      <w:r>
        <w:rPr>
          <w:rFonts w:ascii="宋体" w:eastAsia="宋体" w:hAnsi="宋体" w:cs="宋体"/>
          <w:spacing w:val="-9"/>
          <w:sz w:val="22"/>
          <w:szCs w:val="22"/>
        </w:rPr>
        <w:t>黑色素瘤细胞的生长。大豆皂苷可明显</w:t>
      </w:r>
      <w:r>
        <w:rPr>
          <w:rFonts w:ascii="宋体" w:eastAsia="宋体" w:hAnsi="宋体" w:cs="宋体"/>
          <w:sz w:val="22"/>
          <w:szCs w:val="22"/>
        </w:rPr>
        <w:t xml:space="preserve"> </w:t>
      </w:r>
      <w:r>
        <w:rPr>
          <w:rFonts w:ascii="宋体" w:eastAsia="宋体" w:hAnsi="宋体" w:cs="宋体"/>
          <w:spacing w:val="-8"/>
          <w:sz w:val="22"/>
          <w:szCs w:val="22"/>
        </w:rPr>
        <w:t>抑制肿瘤细胞的增长，对肿瘤细胞的DNA</w:t>
      </w:r>
      <w:r>
        <w:rPr>
          <w:rFonts w:ascii="宋体" w:eastAsia="宋体" w:hAnsi="宋体" w:cs="宋体"/>
          <w:spacing w:val="84"/>
          <w:sz w:val="22"/>
          <w:szCs w:val="22"/>
        </w:rPr>
        <w:t xml:space="preserve"> </w:t>
      </w:r>
      <w:r>
        <w:rPr>
          <w:rFonts w:ascii="宋体" w:eastAsia="宋体" w:hAnsi="宋体" w:cs="宋体"/>
          <w:spacing w:val="-8"/>
          <w:sz w:val="22"/>
          <w:szCs w:val="22"/>
        </w:rPr>
        <w:t>合成和细胞转移有抑</w:t>
      </w:r>
      <w:r>
        <w:rPr>
          <w:rFonts w:ascii="宋体" w:eastAsia="宋体" w:hAnsi="宋体" w:cs="宋体"/>
          <w:spacing w:val="-9"/>
          <w:sz w:val="22"/>
          <w:szCs w:val="22"/>
        </w:rPr>
        <w:t>制作用，能直接</w:t>
      </w:r>
      <w:r>
        <w:rPr>
          <w:rFonts w:ascii="宋体" w:eastAsia="宋体" w:hAnsi="宋体" w:cs="宋体"/>
          <w:sz w:val="22"/>
          <w:szCs w:val="22"/>
        </w:rPr>
        <w:t xml:space="preserve"> </w:t>
      </w:r>
      <w:r>
        <w:rPr>
          <w:rFonts w:ascii="宋体" w:eastAsia="宋体" w:hAnsi="宋体" w:cs="宋体"/>
          <w:spacing w:val="-11"/>
          <w:sz w:val="22"/>
          <w:szCs w:val="22"/>
        </w:rPr>
        <w:t>杀伤肿瘤细胞，特别是对人类白血病细胞DNA</w:t>
      </w:r>
      <w:r>
        <w:rPr>
          <w:rFonts w:ascii="宋体" w:eastAsia="宋体" w:hAnsi="宋体" w:cs="宋体"/>
          <w:spacing w:val="94"/>
          <w:sz w:val="22"/>
          <w:szCs w:val="22"/>
        </w:rPr>
        <w:t xml:space="preserve"> </w:t>
      </w:r>
      <w:r>
        <w:rPr>
          <w:rFonts w:ascii="宋体" w:eastAsia="宋体" w:hAnsi="宋体" w:cs="宋体"/>
          <w:spacing w:val="-11"/>
          <w:sz w:val="22"/>
          <w:szCs w:val="22"/>
        </w:rPr>
        <w:t>的合</w:t>
      </w:r>
      <w:r>
        <w:rPr>
          <w:rFonts w:ascii="宋体" w:eastAsia="宋体" w:hAnsi="宋体" w:cs="宋体"/>
          <w:spacing w:val="-12"/>
          <w:sz w:val="22"/>
          <w:szCs w:val="22"/>
        </w:rPr>
        <w:t>成有抑制作用。</w:t>
      </w:r>
    </w:p>
    <w:p w:rsidR="00EA40A3" w:rsidRDefault="00E86C16">
      <w:pPr>
        <w:spacing w:before="68"/>
        <w:ind w:firstLine="439"/>
        <w:jc w:val="both"/>
        <w:rPr>
          <w:rFonts w:ascii="宋体" w:eastAsia="宋体" w:hAnsi="宋体" w:cs="宋体"/>
          <w:sz w:val="22"/>
          <w:szCs w:val="22"/>
        </w:rPr>
      </w:pPr>
      <w:r>
        <w:rPr>
          <w:rFonts w:ascii="宋体" w:eastAsia="宋体" w:hAnsi="宋体" w:cs="宋体"/>
          <w:spacing w:val="-13"/>
          <w:sz w:val="22"/>
          <w:szCs w:val="22"/>
        </w:rPr>
        <w:t>此外，皂苷还有杀精及抗生育作用，如常春藤中的皂苷常春藤素。人参皂苷</w:t>
      </w:r>
      <w:r>
        <w:rPr>
          <w:rFonts w:ascii="宋体" w:eastAsia="宋体" w:hAnsi="宋体" w:cs="宋体"/>
          <w:spacing w:val="8"/>
          <w:sz w:val="22"/>
          <w:szCs w:val="22"/>
        </w:rPr>
        <w:t xml:space="preserve"> </w:t>
      </w:r>
      <w:r>
        <w:rPr>
          <w:rFonts w:ascii="宋体" w:eastAsia="宋体" w:hAnsi="宋体" w:cs="宋体"/>
          <w:spacing w:val="-13"/>
          <w:sz w:val="22"/>
          <w:szCs w:val="22"/>
        </w:rPr>
        <w:t>可增加肾上腺皮质激素的分泌，使肾上腺质量增加，也是一种非特异性酶的激活</w:t>
      </w:r>
      <w:r>
        <w:rPr>
          <w:rFonts w:ascii="宋体" w:eastAsia="宋体" w:hAnsi="宋体" w:cs="宋体"/>
          <w:spacing w:val="6"/>
          <w:sz w:val="22"/>
          <w:szCs w:val="22"/>
        </w:rPr>
        <w:t xml:space="preserve">  </w:t>
      </w:r>
      <w:r>
        <w:rPr>
          <w:rFonts w:ascii="宋体" w:eastAsia="宋体" w:hAnsi="宋体" w:cs="宋体"/>
          <w:spacing w:val="-6"/>
          <w:sz w:val="22"/>
          <w:szCs w:val="22"/>
        </w:rPr>
        <w:t>剂，可激活兔肝中黄嘌呤氧化酶；人参皂苷Rbl</w:t>
      </w:r>
      <w:r>
        <w:rPr>
          <w:rFonts w:ascii="宋体" w:eastAsia="宋体" w:hAnsi="宋体" w:cs="宋体"/>
          <w:spacing w:val="-4"/>
          <w:sz w:val="22"/>
          <w:szCs w:val="22"/>
        </w:rPr>
        <w:t xml:space="preserve"> </w:t>
      </w:r>
      <w:r>
        <w:rPr>
          <w:rFonts w:ascii="宋体" w:eastAsia="宋体" w:hAnsi="宋体" w:cs="宋体"/>
          <w:spacing w:val="-6"/>
          <w:sz w:val="22"/>
          <w:szCs w:val="22"/>
        </w:rPr>
        <w:t>还能通过抑</w:t>
      </w:r>
      <w:r>
        <w:rPr>
          <w:rFonts w:ascii="宋体" w:eastAsia="宋体" w:hAnsi="宋体" w:cs="宋体"/>
          <w:spacing w:val="-7"/>
          <w:sz w:val="22"/>
          <w:szCs w:val="22"/>
        </w:rPr>
        <w:t>制脂质过氧化，提</w:t>
      </w:r>
      <w:r>
        <w:rPr>
          <w:rFonts w:ascii="宋体" w:eastAsia="宋体" w:hAnsi="宋体" w:cs="宋体"/>
          <w:sz w:val="22"/>
          <w:szCs w:val="22"/>
        </w:rPr>
        <w:t xml:space="preserve">  </w:t>
      </w:r>
      <w:r>
        <w:rPr>
          <w:rFonts w:ascii="宋体" w:eastAsia="宋体" w:hAnsi="宋体" w:cs="宋体"/>
          <w:spacing w:val="-7"/>
          <w:sz w:val="22"/>
          <w:szCs w:val="22"/>
        </w:rPr>
        <w:t>高SOD</w:t>
      </w:r>
      <w:r>
        <w:rPr>
          <w:rFonts w:ascii="宋体" w:eastAsia="宋体" w:hAnsi="宋体" w:cs="宋体"/>
          <w:spacing w:val="29"/>
          <w:sz w:val="22"/>
          <w:szCs w:val="22"/>
        </w:rPr>
        <w:t xml:space="preserve"> </w:t>
      </w:r>
      <w:r>
        <w:rPr>
          <w:rFonts w:ascii="宋体" w:eastAsia="宋体" w:hAnsi="宋体" w:cs="宋体"/>
          <w:spacing w:val="-7"/>
          <w:sz w:val="22"/>
          <w:szCs w:val="22"/>
        </w:rPr>
        <w:t>活性起延缓衰老的作用；可刺激造血细胞增殖，促进造</w:t>
      </w:r>
      <w:r>
        <w:rPr>
          <w:rFonts w:ascii="宋体" w:eastAsia="宋体" w:hAnsi="宋体" w:cs="宋体"/>
          <w:spacing w:val="-8"/>
          <w:sz w:val="22"/>
          <w:szCs w:val="22"/>
        </w:rPr>
        <w:t>血功能；还能保</w:t>
      </w:r>
      <w:r>
        <w:rPr>
          <w:rFonts w:ascii="宋体" w:eastAsia="宋体" w:hAnsi="宋体" w:cs="宋体"/>
          <w:sz w:val="22"/>
          <w:szCs w:val="22"/>
        </w:rPr>
        <w:t xml:space="preserve">  </w:t>
      </w:r>
      <w:r>
        <w:rPr>
          <w:rFonts w:ascii="宋体" w:eastAsia="宋体" w:hAnsi="宋体" w:cs="宋体"/>
          <w:spacing w:val="-10"/>
          <w:sz w:val="22"/>
          <w:szCs w:val="22"/>
        </w:rPr>
        <w:t>护肾脏免受化学药物损伤。茶叶皂苷可抑制乙醇吸收和保护肠胃，可抗高血压，</w:t>
      </w:r>
      <w:r>
        <w:rPr>
          <w:rFonts w:ascii="宋体" w:eastAsia="宋体" w:hAnsi="宋体" w:cs="宋体"/>
          <w:spacing w:val="9"/>
          <w:sz w:val="22"/>
          <w:szCs w:val="22"/>
        </w:rPr>
        <w:t xml:space="preserve"> </w:t>
      </w:r>
      <w:r>
        <w:rPr>
          <w:rFonts w:ascii="宋体" w:eastAsia="宋体" w:hAnsi="宋体" w:cs="宋体"/>
          <w:spacing w:val="-9"/>
          <w:sz w:val="22"/>
          <w:szCs w:val="22"/>
        </w:rPr>
        <w:t>还有很好的抗白三烯D4</w:t>
      </w:r>
      <w:r>
        <w:rPr>
          <w:rFonts w:ascii="宋体" w:eastAsia="宋体" w:hAnsi="宋体" w:cs="宋体"/>
          <w:spacing w:val="-16"/>
          <w:sz w:val="22"/>
          <w:szCs w:val="22"/>
        </w:rPr>
        <w:t xml:space="preserve"> </w:t>
      </w:r>
      <w:r>
        <w:rPr>
          <w:rFonts w:ascii="宋体" w:eastAsia="宋体" w:hAnsi="宋体" w:cs="宋体"/>
          <w:spacing w:val="-9"/>
          <w:sz w:val="22"/>
          <w:szCs w:val="22"/>
        </w:rPr>
        <w:t>的作用，可在炎症的初起阶段使受障碍的毛细血管</w:t>
      </w:r>
      <w:r>
        <w:rPr>
          <w:rFonts w:ascii="宋体" w:eastAsia="宋体" w:hAnsi="宋体" w:cs="宋体"/>
          <w:spacing w:val="-10"/>
          <w:sz w:val="22"/>
          <w:szCs w:val="22"/>
        </w:rPr>
        <w:t>透过</w:t>
      </w:r>
      <w:r>
        <w:rPr>
          <w:rFonts w:ascii="宋体" w:eastAsia="宋体" w:hAnsi="宋体" w:cs="宋体"/>
          <w:sz w:val="22"/>
          <w:szCs w:val="22"/>
        </w:rPr>
        <w:t xml:space="preserve">  </w:t>
      </w:r>
      <w:r>
        <w:rPr>
          <w:rFonts w:ascii="宋体" w:eastAsia="宋体" w:hAnsi="宋体" w:cs="宋体"/>
          <w:spacing w:val="-17"/>
          <w:sz w:val="22"/>
          <w:szCs w:val="22"/>
        </w:rPr>
        <w:t>性正常化，具有抗炎作用：</w:t>
      </w:r>
    </w:p>
    <w:p w:rsidR="00EA40A3" w:rsidRDefault="00E86C16">
      <w:pPr>
        <w:spacing w:before="254" w:line="221" w:lineRule="auto"/>
        <w:ind w:left="3"/>
        <w:outlineLvl w:val="6"/>
        <w:rPr>
          <w:rFonts w:ascii="黑体" w:eastAsia="黑体" w:hAnsi="黑体" w:cs="黑体"/>
          <w:sz w:val="22"/>
          <w:szCs w:val="22"/>
        </w:rPr>
      </w:pPr>
      <w:r>
        <w:rPr>
          <w:rFonts w:ascii="黑体" w:eastAsia="黑体" w:hAnsi="黑体" w:cs="黑体"/>
          <w:b/>
          <w:bCs/>
          <w:spacing w:val="-4"/>
          <w:sz w:val="22"/>
          <w:szCs w:val="22"/>
        </w:rPr>
        <w:t>5.4.2</w:t>
      </w:r>
      <w:r>
        <w:rPr>
          <w:rFonts w:ascii="黑体" w:eastAsia="黑体" w:hAnsi="黑体" w:cs="黑体"/>
          <w:spacing w:val="20"/>
          <w:sz w:val="22"/>
          <w:szCs w:val="22"/>
        </w:rPr>
        <w:t xml:space="preserve">   </w:t>
      </w:r>
      <w:r>
        <w:rPr>
          <w:rFonts w:ascii="黑体" w:eastAsia="黑体" w:hAnsi="黑体" w:cs="黑体"/>
          <w:b/>
          <w:bCs/>
          <w:spacing w:val="-4"/>
          <w:sz w:val="22"/>
          <w:szCs w:val="22"/>
        </w:rPr>
        <w:t>皂苷的食物来源</w:t>
      </w:r>
    </w:p>
    <w:p w:rsidR="00EA40A3" w:rsidRDefault="00E86C16">
      <w:pPr>
        <w:spacing w:before="222" w:line="219" w:lineRule="auto"/>
        <w:ind w:left="439"/>
        <w:rPr>
          <w:rFonts w:ascii="宋体" w:eastAsia="宋体" w:hAnsi="宋体" w:cs="宋体"/>
          <w:sz w:val="22"/>
          <w:szCs w:val="22"/>
        </w:rPr>
      </w:pPr>
      <w:r>
        <w:rPr>
          <w:rFonts w:ascii="宋体" w:eastAsia="宋体" w:hAnsi="宋体" w:cs="宋体"/>
          <w:spacing w:val="-12"/>
          <w:sz w:val="22"/>
          <w:szCs w:val="22"/>
        </w:rPr>
        <w:t>皂苷是广泛存在于植物界以及某些海洋生物中的</w:t>
      </w:r>
      <w:r>
        <w:rPr>
          <w:rFonts w:ascii="宋体" w:eastAsia="宋体" w:hAnsi="宋体" w:cs="宋体"/>
          <w:spacing w:val="-13"/>
          <w:sz w:val="22"/>
          <w:szCs w:val="22"/>
        </w:rPr>
        <w:t>一种特殊苷类，如枇杷、茶</w:t>
      </w:r>
    </w:p>
    <w:p w:rsidR="00EA40A3" w:rsidRDefault="00E86C16">
      <w:pPr>
        <w:spacing w:before="33"/>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164</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29" w:bottom="400" w:left="829" w:header="0" w:footer="0" w:gutter="0"/>
          <w:cols w:space="720"/>
        </w:sectPr>
      </w:pPr>
    </w:p>
    <w:p w:rsidR="00EA40A3" w:rsidRDefault="00EA40A3">
      <w:pPr>
        <w:spacing w:line="289" w:lineRule="auto"/>
      </w:pPr>
    </w:p>
    <w:p w:rsidR="00EA40A3" w:rsidRDefault="00EA40A3">
      <w:pPr>
        <w:spacing w:line="289" w:lineRule="auto"/>
      </w:pPr>
    </w:p>
    <w:p w:rsidR="00EA40A3" w:rsidRDefault="00E86C16">
      <w:pPr>
        <w:spacing w:before="68" w:line="258" w:lineRule="auto"/>
        <w:ind w:right="30"/>
        <w:jc w:val="both"/>
        <w:rPr>
          <w:rFonts w:ascii="宋体" w:eastAsia="宋体" w:hAnsi="宋体" w:cs="宋体"/>
        </w:rPr>
      </w:pPr>
      <w:bookmarkStart w:id="38" w:name="_bookmark43"/>
      <w:bookmarkStart w:id="39" w:name="_bookmark42"/>
      <w:bookmarkEnd w:id="38"/>
      <w:bookmarkEnd w:id="39"/>
      <w:r>
        <w:rPr>
          <w:rFonts w:ascii="宋体" w:eastAsia="宋体" w:hAnsi="宋体" w:cs="宋体"/>
          <w:spacing w:val="-2"/>
        </w:rPr>
        <w:t>叶、豆类及酸枣仁等，在豆类中的含量从高到低依次</w:t>
      </w:r>
      <w:r>
        <w:rPr>
          <w:rFonts w:ascii="宋体" w:eastAsia="宋体" w:hAnsi="宋体" w:cs="宋体"/>
          <w:spacing w:val="-3"/>
        </w:rPr>
        <w:t>为青刀豆、豇豆、赤豆、黄</w:t>
      </w:r>
      <w:r>
        <w:rPr>
          <w:rFonts w:ascii="宋体" w:eastAsia="宋体" w:hAnsi="宋体" w:cs="宋体"/>
        </w:rPr>
        <w:t xml:space="preserve"> </w:t>
      </w:r>
      <w:r>
        <w:rPr>
          <w:rFonts w:ascii="宋体" w:eastAsia="宋体" w:hAnsi="宋体" w:cs="宋体"/>
          <w:spacing w:val="-3"/>
        </w:rPr>
        <w:t>大豆、绿大豆、黑大豆、扁豆、四季豆及绿豆。许多已作为保健食品来开发利用</w:t>
      </w:r>
      <w:r>
        <w:rPr>
          <w:rFonts w:ascii="宋体" w:eastAsia="宋体" w:hAnsi="宋体" w:cs="宋体"/>
          <w:spacing w:val="9"/>
        </w:rPr>
        <w:t xml:space="preserve"> </w:t>
      </w:r>
      <w:r>
        <w:rPr>
          <w:rFonts w:ascii="宋体" w:eastAsia="宋体" w:hAnsi="宋体" w:cs="宋体"/>
          <w:spacing w:val="-3"/>
        </w:rPr>
        <w:t>的中草药如人参、西洋参、茯苓、甘草、山药、三七、罗汉果及酸枣</w:t>
      </w:r>
      <w:r>
        <w:rPr>
          <w:rFonts w:ascii="宋体" w:eastAsia="宋体" w:hAnsi="宋体" w:cs="宋体"/>
          <w:spacing w:val="-4"/>
        </w:rPr>
        <w:t>仁等都含有</w:t>
      </w:r>
      <w:r>
        <w:rPr>
          <w:rFonts w:ascii="宋体" w:eastAsia="宋体" w:hAnsi="宋体" w:cs="宋体"/>
        </w:rPr>
        <w:t xml:space="preserve"> </w:t>
      </w:r>
      <w:r>
        <w:rPr>
          <w:rFonts w:ascii="宋体" w:eastAsia="宋体" w:hAnsi="宋体" w:cs="宋体"/>
          <w:spacing w:val="-3"/>
        </w:rPr>
        <w:t>皂苷。海洋生物海参、海星和动物中也含有皂苷。遗传因素及加工</w:t>
      </w:r>
      <w:r>
        <w:rPr>
          <w:rFonts w:ascii="宋体" w:eastAsia="宋体" w:hAnsi="宋体" w:cs="宋体"/>
          <w:spacing w:val="-4"/>
        </w:rPr>
        <w:t>工艺等影响大</w:t>
      </w:r>
      <w:r>
        <w:rPr>
          <w:rFonts w:ascii="宋体" w:eastAsia="宋体" w:hAnsi="宋体" w:cs="宋体"/>
        </w:rPr>
        <w:t xml:space="preserve"> </w:t>
      </w:r>
      <w:r>
        <w:rPr>
          <w:rFonts w:ascii="宋体" w:eastAsia="宋体" w:hAnsi="宋体" w:cs="宋体"/>
          <w:spacing w:val="7"/>
        </w:rPr>
        <w:t>豆皂苷的含量及组成，种子中含量可达0.22%～0.33%,传统大豆食品</w:t>
      </w:r>
      <w:r>
        <w:rPr>
          <w:rFonts w:ascii="宋体" w:eastAsia="宋体" w:hAnsi="宋体" w:cs="宋体"/>
          <w:spacing w:val="6"/>
        </w:rPr>
        <w:t>如豆奶、</w:t>
      </w:r>
      <w:r>
        <w:rPr>
          <w:rFonts w:ascii="宋体" w:eastAsia="宋体" w:hAnsi="宋体" w:cs="宋体"/>
        </w:rPr>
        <w:t xml:space="preserve"> </w:t>
      </w:r>
      <w:r>
        <w:rPr>
          <w:rFonts w:ascii="宋体" w:eastAsia="宋体" w:hAnsi="宋体" w:cs="宋体"/>
          <w:spacing w:val="6"/>
        </w:rPr>
        <w:t>豆腐皂苷含量与大豆中相当，发酵食品相对低，而全脂豆粉达</w:t>
      </w:r>
      <w:r>
        <w:rPr>
          <w:rFonts w:ascii="宋体" w:eastAsia="宋体" w:hAnsi="宋体" w:cs="宋体"/>
          <w:spacing w:val="5"/>
        </w:rPr>
        <w:t>0.5%,大豆分离</w:t>
      </w:r>
      <w:r>
        <w:rPr>
          <w:rFonts w:ascii="宋体" w:eastAsia="宋体" w:hAnsi="宋体" w:cs="宋体"/>
        </w:rPr>
        <w:t xml:space="preserve"> </w:t>
      </w:r>
      <w:r>
        <w:rPr>
          <w:rFonts w:ascii="宋体" w:eastAsia="宋体" w:hAnsi="宋体" w:cs="宋体"/>
          <w:spacing w:val="6"/>
        </w:rPr>
        <w:t>蛋白约0.8%,主要因为皂苷可能与蛋白质紧密结合，在</w:t>
      </w:r>
      <w:r>
        <w:rPr>
          <w:rFonts w:ascii="宋体" w:eastAsia="宋体" w:hAnsi="宋体" w:cs="宋体"/>
          <w:spacing w:val="5"/>
        </w:rPr>
        <w:t>分离过程中与蛋白质一</w:t>
      </w:r>
      <w:r>
        <w:rPr>
          <w:rFonts w:ascii="宋体" w:eastAsia="宋体" w:hAnsi="宋体" w:cs="宋体"/>
        </w:rPr>
        <w:t xml:space="preserve"> </w:t>
      </w:r>
      <w:r>
        <w:rPr>
          <w:rFonts w:ascii="宋体" w:eastAsia="宋体" w:hAnsi="宋体" w:cs="宋体"/>
          <w:spacing w:val="-10"/>
        </w:rPr>
        <w:t>起被保存下来。</w:t>
      </w:r>
    </w:p>
    <w:p w:rsidR="00EA40A3" w:rsidRDefault="00E86C16">
      <w:pPr>
        <w:spacing w:before="90" w:line="259" w:lineRule="auto"/>
        <w:ind w:right="49" w:firstLine="450"/>
        <w:jc w:val="both"/>
        <w:rPr>
          <w:rFonts w:ascii="宋体" w:eastAsia="宋体" w:hAnsi="宋体" w:cs="宋体"/>
        </w:rPr>
      </w:pPr>
      <w:r>
        <w:rPr>
          <w:rFonts w:ascii="宋体" w:eastAsia="宋体" w:hAnsi="宋体" w:cs="宋体"/>
          <w:spacing w:val="-3"/>
        </w:rPr>
        <w:t>皂苷具有广泛的生理活性，已成为天然药物研究中的一个重要领域。可应用</w:t>
      </w:r>
      <w:r>
        <w:rPr>
          <w:rFonts w:ascii="宋体" w:eastAsia="宋体" w:hAnsi="宋体" w:cs="宋体"/>
          <w:spacing w:val="3"/>
        </w:rPr>
        <w:t xml:space="preserve"> </w:t>
      </w:r>
      <w:r>
        <w:rPr>
          <w:rFonts w:ascii="宋体" w:eastAsia="宋体" w:hAnsi="宋体" w:cs="宋体"/>
          <w:spacing w:val="-3"/>
        </w:rPr>
        <w:t>于食品添加剂、保健食品、药品及化妆品。人参、茯苓、绞股蓝和</w:t>
      </w:r>
      <w:r>
        <w:rPr>
          <w:rFonts w:ascii="宋体" w:eastAsia="宋体" w:hAnsi="宋体" w:cs="宋体"/>
          <w:spacing w:val="-4"/>
        </w:rPr>
        <w:t>刺五加等中草</w:t>
      </w:r>
      <w:r>
        <w:rPr>
          <w:rFonts w:ascii="宋体" w:eastAsia="宋体" w:hAnsi="宋体" w:cs="宋体"/>
        </w:rPr>
        <w:t xml:space="preserve"> </w:t>
      </w:r>
      <w:r>
        <w:rPr>
          <w:rFonts w:ascii="宋体" w:eastAsia="宋体" w:hAnsi="宋体" w:cs="宋体"/>
          <w:spacing w:val="-3"/>
        </w:rPr>
        <w:t>药已被作为保健食品的新资源来开发利用，如西洋参冲剂、人参</w:t>
      </w:r>
      <w:r>
        <w:rPr>
          <w:rFonts w:ascii="宋体" w:eastAsia="宋体" w:hAnsi="宋体" w:cs="宋体"/>
          <w:spacing w:val="-4"/>
        </w:rPr>
        <w:t>糖果、茯苓夹饼</w:t>
      </w:r>
      <w:r>
        <w:rPr>
          <w:rFonts w:ascii="宋体" w:eastAsia="宋体" w:hAnsi="宋体" w:cs="宋体"/>
        </w:rPr>
        <w:t xml:space="preserve"> </w:t>
      </w:r>
      <w:r>
        <w:rPr>
          <w:rFonts w:ascii="宋体" w:eastAsia="宋体" w:hAnsi="宋体" w:cs="宋体"/>
          <w:spacing w:val="-5"/>
        </w:rPr>
        <w:t>及绞股兰茶等。日本已上市大豆皂苷饮料。</w:t>
      </w:r>
    </w:p>
    <w:p w:rsidR="00EA40A3" w:rsidRDefault="00E86C16">
      <w:pPr>
        <w:spacing w:before="313" w:line="219" w:lineRule="auto"/>
        <w:ind w:left="2550"/>
        <w:rPr>
          <w:rFonts w:ascii="宋体" w:eastAsia="宋体" w:hAnsi="宋体" w:cs="宋体"/>
          <w:sz w:val="28"/>
          <w:szCs w:val="28"/>
        </w:rPr>
      </w:pPr>
      <w:r>
        <w:rPr>
          <w:rFonts w:ascii="宋体" w:eastAsia="宋体" w:hAnsi="宋体" w:cs="宋体"/>
          <w:spacing w:val="-3"/>
          <w:sz w:val="28"/>
          <w:szCs w:val="28"/>
        </w:rPr>
        <w:t>5.5</w:t>
      </w:r>
      <w:r>
        <w:rPr>
          <w:rFonts w:ascii="宋体" w:eastAsia="宋体" w:hAnsi="宋体" w:cs="宋体"/>
          <w:spacing w:val="116"/>
          <w:sz w:val="28"/>
          <w:szCs w:val="28"/>
        </w:rPr>
        <w:t xml:space="preserve"> </w:t>
      </w:r>
      <w:r>
        <w:rPr>
          <w:rFonts w:ascii="宋体" w:eastAsia="宋体" w:hAnsi="宋体" w:cs="宋体"/>
          <w:spacing w:val="-3"/>
          <w:sz w:val="28"/>
          <w:szCs w:val="28"/>
        </w:rPr>
        <w:t>有机硫化合物</w:t>
      </w:r>
    </w:p>
    <w:p w:rsidR="00EA40A3" w:rsidRDefault="00E86C16">
      <w:pPr>
        <w:spacing w:before="132" w:line="221" w:lineRule="auto"/>
        <w:ind w:left="3"/>
        <w:outlineLvl w:val="6"/>
        <w:rPr>
          <w:rFonts w:ascii="黑体" w:eastAsia="黑体" w:hAnsi="黑体" w:cs="黑体"/>
          <w:sz w:val="25"/>
          <w:szCs w:val="25"/>
        </w:rPr>
      </w:pPr>
      <w:r>
        <w:rPr>
          <w:rFonts w:ascii="黑体" w:eastAsia="黑体" w:hAnsi="黑体" w:cs="黑体"/>
          <w:b/>
          <w:bCs/>
          <w:spacing w:val="-10"/>
          <w:sz w:val="25"/>
          <w:szCs w:val="25"/>
        </w:rPr>
        <w:t>5.5.1</w:t>
      </w:r>
      <w:r>
        <w:rPr>
          <w:rFonts w:ascii="黑体" w:eastAsia="黑体" w:hAnsi="黑体" w:cs="黑体"/>
          <w:spacing w:val="79"/>
          <w:sz w:val="25"/>
          <w:szCs w:val="25"/>
        </w:rPr>
        <w:t xml:space="preserve"> </w:t>
      </w:r>
      <w:r>
        <w:rPr>
          <w:rFonts w:ascii="黑体" w:eastAsia="黑体" w:hAnsi="黑体" w:cs="黑体"/>
          <w:b/>
          <w:bCs/>
          <w:spacing w:val="-10"/>
          <w:sz w:val="25"/>
          <w:szCs w:val="25"/>
        </w:rPr>
        <w:t>异硫氰酸盐</w:t>
      </w:r>
    </w:p>
    <w:p w:rsidR="00EA40A3" w:rsidRDefault="00E86C16">
      <w:pPr>
        <w:spacing w:before="198" w:line="259" w:lineRule="auto"/>
        <w:ind w:firstLine="450"/>
        <w:jc w:val="both"/>
        <w:rPr>
          <w:rFonts w:ascii="宋体" w:eastAsia="宋体" w:hAnsi="宋体" w:cs="宋体"/>
        </w:rPr>
      </w:pPr>
      <w:r>
        <w:rPr>
          <w:rFonts w:ascii="宋体" w:eastAsia="宋体" w:hAnsi="宋体" w:cs="宋体"/>
          <w:spacing w:val="-1"/>
        </w:rPr>
        <w:t>异硫氰酸盐</w:t>
      </w:r>
      <w:r>
        <w:rPr>
          <w:rFonts w:ascii="宋体" w:eastAsia="宋体" w:hAnsi="宋体" w:cs="宋体"/>
          <w:spacing w:val="-15"/>
        </w:rPr>
        <w:t xml:space="preserve"> </w:t>
      </w:r>
      <w:r>
        <w:rPr>
          <w:rFonts w:ascii="宋体" w:eastAsia="宋体" w:hAnsi="宋体" w:cs="宋体"/>
          <w:spacing w:val="-1"/>
        </w:rPr>
        <w:t>(isothiocyanatea,IT)</w:t>
      </w:r>
      <w:r>
        <w:rPr>
          <w:rFonts w:ascii="宋体" w:eastAsia="宋体" w:hAnsi="宋体" w:cs="宋体"/>
          <w:spacing w:val="-50"/>
        </w:rPr>
        <w:t xml:space="preserve"> </w:t>
      </w:r>
      <w:r>
        <w:rPr>
          <w:rFonts w:ascii="宋体" w:eastAsia="宋体" w:hAnsi="宋体" w:cs="宋体"/>
          <w:spacing w:val="-1"/>
        </w:rPr>
        <w:t>通常以葡萄糖异硫氰酸盐的形式存</w:t>
      </w:r>
      <w:r>
        <w:rPr>
          <w:rFonts w:ascii="宋体" w:eastAsia="宋体" w:hAnsi="宋体" w:cs="宋体"/>
          <w:spacing w:val="-2"/>
        </w:rPr>
        <w:t>在于</w:t>
      </w:r>
      <w:r>
        <w:rPr>
          <w:rFonts w:ascii="宋体" w:eastAsia="宋体" w:hAnsi="宋体" w:cs="宋体"/>
        </w:rPr>
        <w:t xml:space="preserve"> </w:t>
      </w:r>
      <w:r>
        <w:rPr>
          <w:rFonts w:ascii="宋体" w:eastAsia="宋体" w:hAnsi="宋体" w:cs="宋体"/>
          <w:spacing w:val="-4"/>
        </w:rPr>
        <w:t>十字花科 (Cruciferae)</w:t>
      </w:r>
      <w:r>
        <w:rPr>
          <w:rFonts w:ascii="宋体" w:eastAsia="宋体" w:hAnsi="宋体" w:cs="宋体"/>
          <w:spacing w:val="-59"/>
        </w:rPr>
        <w:t xml:space="preserve"> </w:t>
      </w:r>
      <w:r>
        <w:rPr>
          <w:rFonts w:ascii="宋体" w:eastAsia="宋体" w:hAnsi="宋体" w:cs="宋体"/>
          <w:spacing w:val="-4"/>
        </w:rPr>
        <w:t>蔬菜如白菜、卷心菜、西兰花、菜花、芥菜和萝卜等中，</w:t>
      </w:r>
      <w:r>
        <w:rPr>
          <w:rFonts w:ascii="宋体" w:eastAsia="宋体" w:hAnsi="宋体" w:cs="宋体"/>
        </w:rPr>
        <w:t xml:space="preserve"> </w:t>
      </w:r>
      <w:r>
        <w:rPr>
          <w:rFonts w:ascii="宋体" w:eastAsia="宋体" w:hAnsi="宋体" w:cs="宋体"/>
          <w:spacing w:val="-3"/>
        </w:rPr>
        <w:t>是一大类含硫的糖苷。在无黑芥子硫苷酸酶作用、未加工和未经</w:t>
      </w:r>
      <w:r>
        <w:rPr>
          <w:rFonts w:ascii="宋体" w:eastAsia="宋体" w:hAnsi="宋体" w:cs="宋体"/>
          <w:spacing w:val="-4"/>
        </w:rPr>
        <w:t>咀嚼时，葡萄糖</w:t>
      </w:r>
      <w:r>
        <w:rPr>
          <w:rFonts w:ascii="宋体" w:eastAsia="宋体" w:hAnsi="宋体" w:cs="宋体"/>
        </w:rPr>
        <w:t xml:space="preserve">  </w:t>
      </w:r>
      <w:r>
        <w:rPr>
          <w:rFonts w:ascii="宋体" w:eastAsia="宋体" w:hAnsi="宋体" w:cs="宋体"/>
          <w:spacing w:val="-3"/>
        </w:rPr>
        <w:t>异硫氰酸酯仍保持完好；而在黑芥子硫苷酸酶作用下，则释放出葡萄糖及</w:t>
      </w:r>
      <w:r>
        <w:rPr>
          <w:rFonts w:ascii="宋体" w:eastAsia="宋体" w:hAnsi="宋体" w:cs="宋体"/>
          <w:spacing w:val="-4"/>
        </w:rPr>
        <w:t>包括异</w:t>
      </w:r>
      <w:r>
        <w:rPr>
          <w:rFonts w:ascii="宋体" w:eastAsia="宋体" w:hAnsi="宋体" w:cs="宋体"/>
        </w:rPr>
        <w:t xml:space="preserve">  </w:t>
      </w:r>
      <w:r>
        <w:rPr>
          <w:rFonts w:ascii="宋体" w:eastAsia="宋体" w:hAnsi="宋体" w:cs="宋体"/>
          <w:spacing w:val="4"/>
        </w:rPr>
        <w:t>硫氰酸酯在内的其他分解产物。体外试验表明异硫氰酸酯等是Ⅱ相酶的</w:t>
      </w:r>
      <w:r>
        <w:rPr>
          <w:rFonts w:ascii="宋体" w:eastAsia="宋体" w:hAnsi="宋体" w:cs="宋体"/>
          <w:spacing w:val="3"/>
        </w:rPr>
        <w:t>强诱导</w:t>
      </w:r>
      <w:r>
        <w:rPr>
          <w:rFonts w:ascii="宋体" w:eastAsia="宋体" w:hAnsi="宋体" w:cs="宋体"/>
        </w:rPr>
        <w:t xml:space="preserve"> </w:t>
      </w:r>
      <w:r>
        <w:rPr>
          <w:rFonts w:ascii="宋体" w:eastAsia="宋体" w:hAnsi="宋体" w:cs="宋体"/>
          <w:spacing w:val="-1"/>
        </w:rPr>
        <w:t>剂；而体内外实验均表明异硫氰酸酯还抑制有丝分裂、诱导人类肿瘤细胞凋亡，</w:t>
      </w:r>
      <w:r>
        <w:rPr>
          <w:rFonts w:ascii="宋体" w:eastAsia="宋体" w:hAnsi="宋体" w:cs="宋体"/>
          <w:spacing w:val="18"/>
        </w:rPr>
        <w:t xml:space="preserve"> </w:t>
      </w:r>
      <w:r>
        <w:rPr>
          <w:rFonts w:ascii="宋体" w:eastAsia="宋体" w:hAnsi="宋体" w:cs="宋体"/>
          <w:spacing w:val="3"/>
        </w:rPr>
        <w:t>可阻止大鼠肺、乳腺、食管、肝、小肠、结肠和膀胱癌的发生，其作用大小与</w:t>
      </w:r>
      <w:r>
        <w:rPr>
          <w:rFonts w:ascii="宋体" w:eastAsia="宋体" w:hAnsi="宋体" w:cs="宋体"/>
          <w:spacing w:val="1"/>
        </w:rPr>
        <w:t xml:space="preserve">  </w:t>
      </w:r>
      <w:r>
        <w:rPr>
          <w:rFonts w:ascii="宋体" w:eastAsia="宋体" w:hAnsi="宋体" w:cs="宋体"/>
          <w:spacing w:val="-9"/>
        </w:rPr>
        <w:t>IT</w:t>
      </w:r>
      <w:r>
        <w:rPr>
          <w:rFonts w:ascii="宋体" w:eastAsia="宋体" w:hAnsi="宋体" w:cs="宋体"/>
          <w:spacing w:val="-31"/>
        </w:rPr>
        <w:t xml:space="preserve"> </w:t>
      </w:r>
      <w:r>
        <w:rPr>
          <w:rFonts w:ascii="宋体" w:eastAsia="宋体" w:hAnsi="宋体" w:cs="宋体"/>
          <w:spacing w:val="-9"/>
        </w:rPr>
        <w:t>的结构有关。</w:t>
      </w:r>
    </w:p>
    <w:p w:rsidR="00EA40A3" w:rsidRDefault="00E86C16">
      <w:pPr>
        <w:spacing w:before="91" w:line="256" w:lineRule="auto"/>
        <w:ind w:right="25" w:firstLine="450"/>
        <w:jc w:val="both"/>
        <w:rPr>
          <w:rFonts w:ascii="宋体" w:eastAsia="宋体" w:hAnsi="宋体" w:cs="宋体"/>
        </w:rPr>
      </w:pPr>
      <w:r>
        <w:rPr>
          <w:rFonts w:ascii="宋体" w:eastAsia="宋体" w:hAnsi="宋体" w:cs="宋体"/>
          <w:spacing w:val="-2"/>
        </w:rPr>
        <w:t>葡萄糖异硫氰酸酯会在蔬菜的储存过程中增加或减少，也可在</w:t>
      </w:r>
      <w:r>
        <w:rPr>
          <w:rFonts w:ascii="宋体" w:eastAsia="宋体" w:hAnsi="宋体" w:cs="宋体"/>
          <w:spacing w:val="-3"/>
        </w:rPr>
        <w:t>加工过程中分</w:t>
      </w:r>
      <w:r>
        <w:rPr>
          <w:rFonts w:ascii="宋体" w:eastAsia="宋体" w:hAnsi="宋体" w:cs="宋体"/>
        </w:rPr>
        <w:t xml:space="preserve"> </w:t>
      </w:r>
      <w:r>
        <w:rPr>
          <w:rFonts w:ascii="宋体" w:eastAsia="宋体" w:hAnsi="宋体" w:cs="宋体"/>
          <w:spacing w:val="-3"/>
        </w:rPr>
        <w:t>解或浸出，或因加热黑芥子硫苷酸酶失活而得到保护。人体摄入</w:t>
      </w:r>
      <w:r>
        <w:rPr>
          <w:rFonts w:ascii="宋体" w:eastAsia="宋体" w:hAnsi="宋体" w:cs="宋体"/>
          <w:spacing w:val="-4"/>
        </w:rPr>
        <w:t>后可在小肠中经</w:t>
      </w:r>
      <w:r>
        <w:rPr>
          <w:rFonts w:ascii="宋体" w:eastAsia="宋体" w:hAnsi="宋体" w:cs="宋体"/>
        </w:rPr>
        <w:t xml:space="preserve"> </w:t>
      </w:r>
      <w:r>
        <w:rPr>
          <w:rFonts w:ascii="宋体" w:eastAsia="宋体" w:hAnsi="宋体" w:cs="宋体"/>
          <w:spacing w:val="-3"/>
        </w:rPr>
        <w:t>植物黑芥子硫苷酸酶或结肠细菌分解的黑芥子硫苷酸酶作用而分解。异硫</w:t>
      </w:r>
      <w:r>
        <w:rPr>
          <w:rFonts w:ascii="宋体" w:eastAsia="宋体" w:hAnsi="宋体" w:cs="宋体"/>
          <w:spacing w:val="-4"/>
        </w:rPr>
        <w:t>氰酸酯</w:t>
      </w:r>
      <w:r>
        <w:rPr>
          <w:rFonts w:ascii="宋体" w:eastAsia="宋体" w:hAnsi="宋体" w:cs="宋体"/>
        </w:rPr>
        <w:t xml:space="preserve"> </w:t>
      </w:r>
      <w:r>
        <w:rPr>
          <w:rFonts w:ascii="宋体" w:eastAsia="宋体" w:hAnsi="宋体" w:cs="宋体"/>
          <w:spacing w:val="6"/>
        </w:rPr>
        <w:t>可被小肠和结肠吸收，人体摄入十字花科蔬菜2～3h后可从尿中检出其代</w:t>
      </w:r>
      <w:r>
        <w:rPr>
          <w:rFonts w:ascii="宋体" w:eastAsia="宋体" w:hAnsi="宋体" w:cs="宋体"/>
          <w:spacing w:val="5"/>
        </w:rPr>
        <w:t>谢产</w:t>
      </w:r>
      <w:r>
        <w:rPr>
          <w:rFonts w:ascii="宋体" w:eastAsia="宋体" w:hAnsi="宋体" w:cs="宋体"/>
        </w:rPr>
        <w:t xml:space="preserve"> </w:t>
      </w:r>
      <w:r>
        <w:rPr>
          <w:rFonts w:ascii="宋体" w:eastAsia="宋体" w:hAnsi="宋体" w:cs="宋体"/>
          <w:spacing w:val="-2"/>
        </w:rPr>
        <w:t>物。要开发利用十字花科蔬菜的保健作用还需要深入</w:t>
      </w:r>
      <w:r>
        <w:rPr>
          <w:rFonts w:ascii="宋体" w:eastAsia="宋体" w:hAnsi="宋体" w:cs="宋体"/>
          <w:spacing w:val="-3"/>
        </w:rPr>
        <w:t>研究葡萄糖异硫氰酸酯的化</w:t>
      </w:r>
      <w:r>
        <w:rPr>
          <w:rFonts w:ascii="宋体" w:eastAsia="宋体" w:hAnsi="宋体" w:cs="宋体"/>
        </w:rPr>
        <w:t xml:space="preserve"> </w:t>
      </w:r>
      <w:r>
        <w:rPr>
          <w:rFonts w:ascii="宋体" w:eastAsia="宋体" w:hAnsi="宋体" w:cs="宋体"/>
          <w:spacing w:val="-5"/>
        </w:rPr>
        <w:t>学性质和代谢以及在整个食物链中的变化。</w:t>
      </w:r>
    </w:p>
    <w:p w:rsidR="00EA40A3" w:rsidRDefault="00E86C16">
      <w:pPr>
        <w:spacing w:before="197" w:line="222" w:lineRule="auto"/>
        <w:ind w:left="3"/>
        <w:outlineLvl w:val="6"/>
        <w:rPr>
          <w:rFonts w:ascii="黑体" w:eastAsia="黑体" w:hAnsi="黑体" w:cs="黑体"/>
          <w:sz w:val="25"/>
          <w:szCs w:val="25"/>
        </w:rPr>
      </w:pPr>
      <w:r>
        <w:rPr>
          <w:rFonts w:ascii="黑体" w:eastAsia="黑体" w:hAnsi="黑体" w:cs="黑体"/>
          <w:b/>
          <w:bCs/>
          <w:spacing w:val="-12"/>
          <w:sz w:val="25"/>
          <w:szCs w:val="25"/>
        </w:rPr>
        <w:t>5.5.2</w:t>
      </w:r>
      <w:r>
        <w:rPr>
          <w:rFonts w:ascii="黑体" w:eastAsia="黑体" w:hAnsi="黑体" w:cs="黑体"/>
          <w:spacing w:val="111"/>
          <w:sz w:val="25"/>
          <w:szCs w:val="25"/>
        </w:rPr>
        <w:t xml:space="preserve"> </w:t>
      </w:r>
      <w:r>
        <w:rPr>
          <w:rFonts w:ascii="黑体" w:eastAsia="黑体" w:hAnsi="黑体" w:cs="黑体"/>
          <w:b/>
          <w:bCs/>
          <w:spacing w:val="-12"/>
          <w:sz w:val="25"/>
          <w:szCs w:val="25"/>
        </w:rPr>
        <w:t>烯丙基二硫化合物</w:t>
      </w:r>
    </w:p>
    <w:p w:rsidR="00EA40A3" w:rsidRDefault="00E86C16">
      <w:pPr>
        <w:spacing w:before="207" w:line="254" w:lineRule="auto"/>
        <w:ind w:right="65" w:firstLine="450"/>
        <w:jc w:val="both"/>
        <w:rPr>
          <w:rFonts w:ascii="宋体" w:eastAsia="宋体" w:hAnsi="宋体" w:cs="宋体"/>
        </w:rPr>
      </w:pPr>
      <w:r>
        <w:rPr>
          <w:rFonts w:ascii="宋体" w:eastAsia="宋体" w:hAnsi="宋体" w:cs="宋体"/>
          <w:spacing w:val="-6"/>
        </w:rPr>
        <w:t>大蒜</w:t>
      </w:r>
      <w:r>
        <w:rPr>
          <w:rFonts w:ascii="宋体" w:eastAsia="宋体" w:hAnsi="宋体" w:cs="宋体"/>
          <w:spacing w:val="6"/>
        </w:rPr>
        <w:t xml:space="preserve"> </w:t>
      </w:r>
      <w:r>
        <w:rPr>
          <w:rFonts w:ascii="宋体" w:eastAsia="宋体" w:hAnsi="宋体" w:cs="宋体"/>
          <w:spacing w:val="-6"/>
        </w:rPr>
        <w:t>(Allium</w:t>
      </w:r>
      <w:r>
        <w:rPr>
          <w:rFonts w:ascii="宋体" w:eastAsia="宋体" w:hAnsi="宋体" w:cs="宋体"/>
          <w:spacing w:val="17"/>
        </w:rPr>
        <w:t xml:space="preserve"> </w:t>
      </w:r>
      <w:r>
        <w:rPr>
          <w:rFonts w:ascii="宋体" w:eastAsia="宋体" w:hAnsi="宋体" w:cs="宋体"/>
          <w:spacing w:val="-6"/>
        </w:rPr>
        <w:t>sativum)、</w:t>
      </w:r>
      <w:r>
        <w:rPr>
          <w:rFonts w:ascii="宋体" w:eastAsia="宋体" w:hAnsi="宋体" w:cs="宋体"/>
          <w:spacing w:val="-4"/>
        </w:rPr>
        <w:t xml:space="preserve"> </w:t>
      </w:r>
      <w:r>
        <w:rPr>
          <w:rFonts w:ascii="宋体" w:eastAsia="宋体" w:hAnsi="宋体" w:cs="宋体"/>
          <w:spacing w:val="-6"/>
        </w:rPr>
        <w:t>洋葱</w:t>
      </w:r>
      <w:r>
        <w:rPr>
          <w:rFonts w:ascii="宋体" w:eastAsia="宋体" w:hAnsi="宋体" w:cs="宋体"/>
          <w:spacing w:val="-11"/>
        </w:rPr>
        <w:t xml:space="preserve"> </w:t>
      </w:r>
      <w:r>
        <w:rPr>
          <w:rFonts w:ascii="宋体" w:eastAsia="宋体" w:hAnsi="宋体" w:cs="宋体"/>
          <w:spacing w:val="-6"/>
        </w:rPr>
        <w:t>(Allium</w:t>
      </w:r>
      <w:r>
        <w:rPr>
          <w:rFonts w:ascii="宋体" w:eastAsia="宋体" w:hAnsi="宋体" w:cs="宋体"/>
          <w:spacing w:val="69"/>
        </w:rPr>
        <w:t xml:space="preserve"> </w:t>
      </w:r>
      <w:r>
        <w:rPr>
          <w:rFonts w:ascii="宋体" w:eastAsia="宋体" w:hAnsi="宋体" w:cs="宋体"/>
          <w:spacing w:val="-6"/>
        </w:rPr>
        <w:t>cepa)</w:t>
      </w:r>
      <w:r>
        <w:rPr>
          <w:rFonts w:ascii="宋体" w:eastAsia="宋体" w:hAnsi="宋体" w:cs="宋体"/>
          <w:spacing w:val="-61"/>
        </w:rPr>
        <w:t xml:space="preserve"> </w:t>
      </w:r>
      <w:r>
        <w:rPr>
          <w:rFonts w:ascii="宋体" w:eastAsia="宋体" w:hAnsi="宋体" w:cs="宋体"/>
          <w:spacing w:val="-6"/>
        </w:rPr>
        <w:t>等葱属</w:t>
      </w:r>
      <w:r>
        <w:rPr>
          <w:rFonts w:ascii="宋体" w:eastAsia="宋体" w:hAnsi="宋体" w:cs="宋体"/>
          <w:spacing w:val="-13"/>
        </w:rPr>
        <w:t xml:space="preserve"> </w:t>
      </w:r>
      <w:r>
        <w:rPr>
          <w:rFonts w:ascii="宋体" w:eastAsia="宋体" w:hAnsi="宋体" w:cs="宋体"/>
          <w:spacing w:val="-6"/>
        </w:rPr>
        <w:t>(Allium)</w:t>
      </w:r>
      <w:r>
        <w:rPr>
          <w:rFonts w:ascii="宋体" w:eastAsia="宋体" w:hAnsi="宋体" w:cs="宋体"/>
          <w:spacing w:val="50"/>
        </w:rPr>
        <w:t xml:space="preserve"> </w:t>
      </w:r>
      <w:r>
        <w:rPr>
          <w:rFonts w:ascii="宋体" w:eastAsia="宋体" w:hAnsi="宋体" w:cs="宋体"/>
          <w:spacing w:val="-6"/>
        </w:rPr>
        <w:t>蔬菜除具</w:t>
      </w:r>
      <w:r>
        <w:rPr>
          <w:rFonts w:ascii="宋体" w:eastAsia="宋体" w:hAnsi="宋体" w:cs="宋体"/>
        </w:rPr>
        <w:t xml:space="preserve"> </w:t>
      </w:r>
      <w:r>
        <w:rPr>
          <w:rFonts w:ascii="宋体" w:eastAsia="宋体" w:hAnsi="宋体" w:cs="宋体"/>
          <w:spacing w:val="-2"/>
        </w:rPr>
        <w:t>强抗菌作用外，还有消炎、降血脂、降血糖、抗血栓</w:t>
      </w:r>
      <w:r>
        <w:rPr>
          <w:rFonts w:ascii="宋体" w:eastAsia="宋体" w:hAnsi="宋体" w:cs="宋体"/>
          <w:spacing w:val="-3"/>
        </w:rPr>
        <w:t>形成、抑制血小板聚集、提</w:t>
      </w:r>
      <w:r>
        <w:rPr>
          <w:rFonts w:ascii="宋体" w:eastAsia="宋体" w:hAnsi="宋体" w:cs="宋体"/>
        </w:rPr>
        <w:t xml:space="preserve"> </w:t>
      </w:r>
      <w:r>
        <w:rPr>
          <w:rFonts w:ascii="宋体" w:eastAsia="宋体" w:hAnsi="宋体" w:cs="宋体"/>
          <w:spacing w:val="-2"/>
        </w:rPr>
        <w:t>高免疫力和防癌的功能，其主要有效成分是多种烯丙基</w:t>
      </w:r>
      <w:r>
        <w:rPr>
          <w:rFonts w:ascii="宋体" w:eastAsia="宋体" w:hAnsi="宋体" w:cs="宋体"/>
          <w:spacing w:val="-3"/>
        </w:rPr>
        <w:t>二硫化合物，也是这类食</w:t>
      </w:r>
      <w:r>
        <w:rPr>
          <w:rFonts w:ascii="宋体" w:eastAsia="宋体" w:hAnsi="宋体" w:cs="宋体"/>
        </w:rPr>
        <w:t xml:space="preserve"> </w:t>
      </w:r>
      <w:r>
        <w:rPr>
          <w:rFonts w:ascii="宋体" w:eastAsia="宋体" w:hAnsi="宋体" w:cs="宋体"/>
          <w:spacing w:val="-2"/>
        </w:rPr>
        <w:t>物主要的风味成分。大蒜的主要活性物质二烯丙基硫</w:t>
      </w:r>
      <w:r>
        <w:rPr>
          <w:rFonts w:ascii="宋体" w:eastAsia="宋体" w:hAnsi="宋体" w:cs="宋体"/>
          <w:spacing w:val="-3"/>
        </w:rPr>
        <w:t>代磺酸酯、二烯丙基二硫化</w:t>
      </w:r>
    </w:p>
    <w:p w:rsidR="00EA40A3" w:rsidRDefault="00E86C16">
      <w:pPr>
        <w:spacing w:before="105"/>
        <w:ind w:right="81"/>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165</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05" w:bottom="400" w:left="879" w:header="0" w:footer="0" w:gutter="0"/>
          <w:cols w:space="720"/>
        </w:sectPr>
      </w:pPr>
    </w:p>
    <w:p w:rsidR="00EA40A3" w:rsidRDefault="00EA40A3">
      <w:pPr>
        <w:spacing w:line="269" w:lineRule="auto"/>
      </w:pPr>
    </w:p>
    <w:p w:rsidR="00EA40A3" w:rsidRDefault="00EA40A3">
      <w:pPr>
        <w:spacing w:line="269" w:lineRule="auto"/>
      </w:pPr>
    </w:p>
    <w:p w:rsidR="00EA40A3" w:rsidRDefault="00E86C16">
      <w:pPr>
        <w:spacing w:before="68" w:line="257" w:lineRule="auto"/>
        <w:ind w:right="91"/>
        <w:jc w:val="both"/>
        <w:rPr>
          <w:rFonts w:ascii="宋体" w:eastAsia="宋体" w:hAnsi="宋体" w:cs="宋体"/>
        </w:rPr>
      </w:pPr>
      <w:bookmarkStart w:id="40" w:name="_bookmark44"/>
      <w:bookmarkEnd w:id="40"/>
      <w:r>
        <w:rPr>
          <w:rFonts w:ascii="宋体" w:eastAsia="宋体" w:hAnsi="宋体" w:cs="宋体"/>
          <w:spacing w:val="1"/>
        </w:rPr>
        <w:t>合物、</w:t>
      </w:r>
      <w:r>
        <w:rPr>
          <w:rFonts w:ascii="宋体" w:eastAsia="宋体" w:hAnsi="宋体" w:cs="宋体"/>
          <w:spacing w:val="-41"/>
        </w:rPr>
        <w:t xml:space="preserve"> </w:t>
      </w:r>
      <w:r>
        <w:rPr>
          <w:rFonts w:ascii="宋体" w:eastAsia="宋体" w:hAnsi="宋体" w:cs="宋体"/>
          <w:spacing w:val="1"/>
        </w:rPr>
        <w:t>S-烯丙基甲基硫代磺酸酯、甲基烯丙基二硫化合物、二烯丙基硫醚等有</w:t>
      </w:r>
      <w:r>
        <w:rPr>
          <w:rFonts w:ascii="宋体" w:eastAsia="宋体" w:hAnsi="宋体" w:cs="宋体"/>
        </w:rPr>
        <w:t xml:space="preserve"> </w:t>
      </w:r>
      <w:r>
        <w:rPr>
          <w:rFonts w:ascii="宋体" w:eastAsia="宋体" w:hAnsi="宋体" w:cs="宋体"/>
          <w:spacing w:val="-8"/>
        </w:rPr>
        <w:t>机硫化合物成分，均来自γ-谷氨酰半胱氨酸</w:t>
      </w:r>
      <w:r>
        <w:rPr>
          <w:rFonts w:ascii="宋体" w:eastAsia="宋体" w:hAnsi="宋体" w:cs="宋体"/>
          <w:spacing w:val="-9"/>
        </w:rPr>
        <w:t>(γ-</w:t>
      </w:r>
      <w:r>
        <w:rPr>
          <w:rFonts w:ascii="宋体" w:eastAsia="宋体" w:hAnsi="宋体" w:cs="宋体"/>
          <w:spacing w:val="-8"/>
        </w:rPr>
        <w:t>glutamylcysteine</w:t>
      </w:r>
      <w:r>
        <w:rPr>
          <w:rFonts w:ascii="宋体" w:eastAsia="宋体" w:hAnsi="宋体" w:cs="宋体"/>
          <w:spacing w:val="-9"/>
        </w:rPr>
        <w:t>)。</w:t>
      </w:r>
      <w:r>
        <w:rPr>
          <w:rFonts w:ascii="宋体" w:eastAsia="宋体" w:hAnsi="宋体" w:cs="宋体"/>
          <w:spacing w:val="-29"/>
        </w:rPr>
        <w:t xml:space="preserve"> </w:t>
      </w:r>
      <w:r>
        <w:rPr>
          <w:rFonts w:ascii="宋体" w:eastAsia="宋体" w:hAnsi="宋体" w:cs="宋体"/>
          <w:spacing w:val="-9"/>
        </w:rPr>
        <w:t>洋葱的含硫</w:t>
      </w:r>
      <w:r>
        <w:rPr>
          <w:rFonts w:ascii="宋体" w:eastAsia="宋体" w:hAnsi="宋体" w:cs="宋体"/>
        </w:rPr>
        <w:t xml:space="preserve"> </w:t>
      </w:r>
      <w:r>
        <w:rPr>
          <w:rFonts w:ascii="宋体" w:eastAsia="宋体" w:hAnsi="宋体" w:cs="宋体"/>
          <w:spacing w:val="1"/>
        </w:rPr>
        <w:t>化合物主要为烷基半胱氨酸硫氧化物</w:t>
      </w:r>
      <w:r>
        <w:rPr>
          <w:rFonts w:ascii="宋体" w:eastAsia="宋体" w:hAnsi="宋体" w:cs="宋体"/>
          <w:spacing w:val="4"/>
        </w:rPr>
        <w:t xml:space="preserve"> </w:t>
      </w:r>
      <w:r>
        <w:rPr>
          <w:rFonts w:ascii="宋体" w:eastAsia="宋体" w:hAnsi="宋体" w:cs="宋体"/>
          <w:spacing w:val="1"/>
        </w:rPr>
        <w:t>(</w:t>
      </w:r>
      <w:r>
        <w:rPr>
          <w:rFonts w:ascii="宋体" w:eastAsia="宋体" w:hAnsi="宋体" w:cs="宋体"/>
        </w:rPr>
        <w:t>ACSO</w:t>
      </w:r>
      <w:r>
        <w:rPr>
          <w:rFonts w:ascii="宋体" w:eastAsia="宋体" w:hAnsi="宋体" w:cs="宋体"/>
          <w:spacing w:val="1"/>
        </w:rPr>
        <w:t>),</w:t>
      </w:r>
      <w:r>
        <w:rPr>
          <w:rFonts w:ascii="宋体" w:eastAsia="宋体" w:hAnsi="宋体" w:cs="宋体"/>
          <w:spacing w:val="45"/>
        </w:rPr>
        <w:t xml:space="preserve">  </w:t>
      </w:r>
      <w:r>
        <w:rPr>
          <w:rFonts w:ascii="宋体" w:eastAsia="宋体" w:hAnsi="宋体" w:cs="宋体"/>
          <w:spacing w:val="1"/>
        </w:rPr>
        <w:t>在组织受伤时其在蒜氨</w:t>
      </w:r>
      <w:r>
        <w:rPr>
          <w:rFonts w:ascii="宋体" w:eastAsia="宋体" w:hAnsi="宋体" w:cs="宋体"/>
        </w:rPr>
        <w:t>酸酶作 用下水解产生α-亚氨基丙酸和S-烷基半胱氨酸次磺酸，产生特有的刺激性味道</w:t>
      </w:r>
      <w:r>
        <w:rPr>
          <w:rFonts w:ascii="宋体" w:eastAsia="宋体" w:hAnsi="宋体" w:cs="宋体"/>
          <w:spacing w:val="13"/>
        </w:rPr>
        <w:t xml:space="preserve"> </w:t>
      </w:r>
      <w:r>
        <w:rPr>
          <w:rFonts w:ascii="宋体" w:eastAsia="宋体" w:hAnsi="宋体" w:cs="宋体"/>
          <w:spacing w:val="3"/>
        </w:rPr>
        <w:t>并最终形成一个含50多种含硫化合物的混合物，包括硫代亚磺酸酯、硫代磺酸</w:t>
      </w:r>
      <w:r>
        <w:rPr>
          <w:rFonts w:ascii="宋体" w:eastAsia="宋体" w:hAnsi="宋体" w:cs="宋体"/>
          <w:spacing w:val="12"/>
        </w:rPr>
        <w:t xml:space="preserve"> </w:t>
      </w:r>
      <w:r>
        <w:rPr>
          <w:rFonts w:ascii="宋体" w:eastAsia="宋体" w:hAnsi="宋体" w:cs="宋体"/>
          <w:spacing w:val="-3"/>
        </w:rPr>
        <w:t>盐、单硫化物、双硫化物、三硫化物以及一些特殊化合物，如催泪因子、硫代丙</w:t>
      </w:r>
      <w:r>
        <w:rPr>
          <w:rFonts w:ascii="宋体" w:eastAsia="宋体" w:hAnsi="宋体" w:cs="宋体"/>
          <w:spacing w:val="17"/>
        </w:rPr>
        <w:t xml:space="preserve"> </w:t>
      </w:r>
      <w:r>
        <w:rPr>
          <w:rFonts w:ascii="宋体" w:eastAsia="宋体" w:hAnsi="宋体" w:cs="宋体"/>
          <w:spacing w:val="-10"/>
        </w:rPr>
        <w:t>烷硫氧化物。</w:t>
      </w:r>
    </w:p>
    <w:p w:rsidR="00EA40A3" w:rsidRDefault="00E86C16">
      <w:pPr>
        <w:spacing w:before="94" w:line="256" w:lineRule="auto"/>
        <w:ind w:right="68" w:firstLine="439"/>
        <w:jc w:val="both"/>
        <w:rPr>
          <w:rFonts w:ascii="宋体" w:eastAsia="宋体" w:hAnsi="宋体" w:cs="宋体"/>
        </w:rPr>
      </w:pPr>
      <w:r>
        <w:rPr>
          <w:rFonts w:ascii="宋体" w:eastAsia="宋体" w:hAnsi="宋体" w:cs="宋体"/>
          <w:spacing w:val="-2"/>
        </w:rPr>
        <w:t>烯丙基硫化合物有重要的生理功能，可通过对I</w:t>
      </w:r>
      <w:r>
        <w:rPr>
          <w:rFonts w:ascii="宋体" w:eastAsia="宋体" w:hAnsi="宋体" w:cs="宋体"/>
          <w:spacing w:val="-19"/>
        </w:rPr>
        <w:t xml:space="preserve"> </w:t>
      </w:r>
      <w:r>
        <w:rPr>
          <w:rFonts w:ascii="宋体" w:eastAsia="宋体" w:hAnsi="宋体" w:cs="宋体"/>
          <w:spacing w:val="-2"/>
        </w:rPr>
        <w:t>相酶、Ⅱ相酶、抗氧化酶的</w:t>
      </w:r>
      <w:r>
        <w:rPr>
          <w:rFonts w:ascii="宋体" w:eastAsia="宋体" w:hAnsi="宋体" w:cs="宋体"/>
        </w:rPr>
        <w:t xml:space="preserve"> </w:t>
      </w:r>
      <w:r>
        <w:rPr>
          <w:rFonts w:ascii="宋体" w:eastAsia="宋体" w:hAnsi="宋体" w:cs="宋体"/>
          <w:spacing w:val="-3"/>
        </w:rPr>
        <w:t>选择性诱导作用来抑制致癌物的活性，达到抗癌作用；可与亚硝酸盐生成硫代亚</w:t>
      </w:r>
      <w:r>
        <w:rPr>
          <w:rFonts w:ascii="宋体" w:eastAsia="宋体" w:hAnsi="宋体" w:cs="宋体"/>
          <w:spacing w:val="13"/>
        </w:rPr>
        <w:t xml:space="preserve"> </w:t>
      </w:r>
      <w:r>
        <w:rPr>
          <w:rFonts w:ascii="宋体" w:eastAsia="宋体" w:hAnsi="宋体" w:cs="宋体"/>
          <w:spacing w:val="-3"/>
        </w:rPr>
        <w:t>硝酸酯类化合物，阻断亚硝胺合成，抑制亚硝胺的吸收；可使瘤细胞环化腺苷酸</w:t>
      </w:r>
      <w:r>
        <w:rPr>
          <w:rFonts w:ascii="宋体" w:eastAsia="宋体" w:hAnsi="宋体" w:cs="宋体"/>
          <w:spacing w:val="12"/>
        </w:rPr>
        <w:t xml:space="preserve"> </w:t>
      </w:r>
      <w:r>
        <w:rPr>
          <w:rFonts w:ascii="宋体" w:eastAsia="宋体" w:hAnsi="宋体" w:cs="宋体"/>
          <w:spacing w:val="1"/>
        </w:rPr>
        <w:t>(</w:t>
      </w:r>
      <w:r>
        <w:rPr>
          <w:rFonts w:ascii="宋体" w:eastAsia="宋体" w:hAnsi="宋体" w:cs="宋体"/>
        </w:rPr>
        <w:t>cAMP</w:t>
      </w:r>
      <w:r>
        <w:rPr>
          <w:rFonts w:ascii="宋体" w:eastAsia="宋体" w:hAnsi="宋体" w:cs="宋体"/>
          <w:spacing w:val="1"/>
        </w:rPr>
        <w:t>)</w:t>
      </w:r>
      <w:r>
        <w:rPr>
          <w:rFonts w:ascii="宋体" w:eastAsia="宋体" w:hAnsi="宋体" w:cs="宋体"/>
          <w:spacing w:val="32"/>
        </w:rPr>
        <w:t xml:space="preserve">  </w:t>
      </w:r>
      <w:r>
        <w:rPr>
          <w:rFonts w:ascii="宋体" w:eastAsia="宋体" w:hAnsi="宋体" w:cs="宋体"/>
          <w:spacing w:val="1"/>
        </w:rPr>
        <w:t xml:space="preserve">水平升高，抑制肿瘤细胞的生长；可激活巨噬细胞，刺激体内产生抗 </w:t>
      </w:r>
      <w:r>
        <w:rPr>
          <w:rFonts w:ascii="宋体" w:eastAsia="宋体" w:hAnsi="宋体" w:cs="宋体"/>
          <w:spacing w:val="-3"/>
        </w:rPr>
        <w:t>癌干扰素，增强机体免疫力；还具有杀菌、消炎、降低胆固醇、预防脑血栓、冠</w:t>
      </w:r>
      <w:r>
        <w:rPr>
          <w:rFonts w:ascii="宋体" w:eastAsia="宋体" w:hAnsi="宋体" w:cs="宋体"/>
          <w:spacing w:val="14"/>
        </w:rPr>
        <w:t xml:space="preserve"> </w:t>
      </w:r>
      <w:r>
        <w:rPr>
          <w:rFonts w:ascii="宋体" w:eastAsia="宋体" w:hAnsi="宋体" w:cs="宋体"/>
          <w:spacing w:val="-6"/>
        </w:rPr>
        <w:t>心病等多种功能。</w:t>
      </w:r>
    </w:p>
    <w:p w:rsidR="00EA40A3" w:rsidRDefault="00E86C16">
      <w:pPr>
        <w:spacing w:before="189" w:line="223" w:lineRule="auto"/>
        <w:ind w:left="3"/>
        <w:outlineLvl w:val="6"/>
        <w:rPr>
          <w:rFonts w:ascii="黑体" w:eastAsia="黑体" w:hAnsi="黑体" w:cs="黑体"/>
          <w:sz w:val="25"/>
          <w:szCs w:val="25"/>
        </w:rPr>
      </w:pPr>
      <w:r>
        <w:rPr>
          <w:rFonts w:ascii="黑体" w:eastAsia="黑体" w:hAnsi="黑体" w:cs="黑体"/>
          <w:b/>
          <w:bCs/>
          <w:spacing w:val="-12"/>
          <w:sz w:val="25"/>
          <w:szCs w:val="25"/>
        </w:rPr>
        <w:t>5.5.3</w:t>
      </w:r>
      <w:r>
        <w:rPr>
          <w:rFonts w:ascii="黑体" w:eastAsia="黑体" w:hAnsi="黑体" w:cs="黑体"/>
          <w:spacing w:val="117"/>
          <w:sz w:val="25"/>
          <w:szCs w:val="25"/>
        </w:rPr>
        <w:t xml:space="preserve"> </w:t>
      </w:r>
      <w:r>
        <w:rPr>
          <w:rFonts w:ascii="黑体" w:eastAsia="黑体" w:hAnsi="黑体" w:cs="黑体"/>
          <w:b/>
          <w:bCs/>
          <w:spacing w:val="-12"/>
          <w:sz w:val="25"/>
          <w:szCs w:val="25"/>
        </w:rPr>
        <w:t>二甲基砜</w:t>
      </w:r>
    </w:p>
    <w:p w:rsidR="00EA40A3" w:rsidRDefault="00E86C16">
      <w:pPr>
        <w:spacing w:before="205" w:line="260" w:lineRule="auto"/>
        <w:ind w:right="76" w:firstLine="439"/>
        <w:jc w:val="both"/>
        <w:rPr>
          <w:rFonts w:ascii="宋体" w:eastAsia="宋体" w:hAnsi="宋体" w:cs="宋体"/>
        </w:rPr>
      </w:pPr>
      <w:r>
        <w:rPr>
          <w:rFonts w:ascii="宋体" w:eastAsia="宋体" w:hAnsi="宋体" w:cs="宋体"/>
          <w:spacing w:val="3"/>
        </w:rPr>
        <w:t>早在1985年就有人提出二甲基砜在食品和医药方面应用的专利，以后陆</w:t>
      </w:r>
      <w:r>
        <w:rPr>
          <w:rFonts w:ascii="宋体" w:eastAsia="宋体" w:hAnsi="宋体" w:cs="宋体"/>
          <w:spacing w:val="2"/>
        </w:rPr>
        <w:t>续</w:t>
      </w:r>
      <w:r>
        <w:rPr>
          <w:rFonts w:ascii="宋体" w:eastAsia="宋体" w:hAnsi="宋体" w:cs="宋体"/>
        </w:rPr>
        <w:t xml:space="preserve"> </w:t>
      </w:r>
      <w:r>
        <w:rPr>
          <w:rFonts w:ascii="宋体" w:eastAsia="宋体" w:hAnsi="宋体" w:cs="宋体"/>
          <w:spacing w:val="-3"/>
        </w:rPr>
        <w:t>报道二甲基砜在食品和医药方面的研究，表明其作为饮食营养补充剂，对许多疾</w:t>
      </w:r>
      <w:r>
        <w:rPr>
          <w:rFonts w:ascii="宋体" w:eastAsia="宋体" w:hAnsi="宋体" w:cs="宋体"/>
          <w:spacing w:val="12"/>
        </w:rPr>
        <w:t xml:space="preserve"> </w:t>
      </w:r>
      <w:r>
        <w:rPr>
          <w:rFonts w:ascii="宋体" w:eastAsia="宋体" w:hAnsi="宋体" w:cs="宋体"/>
          <w:spacing w:val="-3"/>
        </w:rPr>
        <w:t>病有很好的辅助效果。二甲基砜可作为胃肠疾病的保健补充食品，用于治疗胃酸</w:t>
      </w:r>
      <w:r>
        <w:rPr>
          <w:rFonts w:ascii="宋体" w:eastAsia="宋体" w:hAnsi="宋体" w:cs="宋体"/>
          <w:spacing w:val="12"/>
        </w:rPr>
        <w:t xml:space="preserve"> </w:t>
      </w:r>
      <w:r>
        <w:rPr>
          <w:rFonts w:ascii="宋体" w:eastAsia="宋体" w:hAnsi="宋体" w:cs="宋体"/>
          <w:spacing w:val="-3"/>
        </w:rPr>
        <w:t>过多、腹泻和便秘等；可作为风湿性关节炎保健补充食品，因为研究发现关节炎</w:t>
      </w:r>
      <w:r>
        <w:rPr>
          <w:rFonts w:ascii="宋体" w:eastAsia="宋体" w:hAnsi="宋体" w:cs="宋体"/>
          <w:spacing w:val="16"/>
        </w:rPr>
        <w:t xml:space="preserve"> </w:t>
      </w:r>
      <w:r>
        <w:rPr>
          <w:rFonts w:ascii="宋体" w:eastAsia="宋体" w:hAnsi="宋体" w:cs="宋体"/>
          <w:spacing w:val="3"/>
        </w:rPr>
        <w:t>患者软骨含硫量只有正常人软骨含硫量的1/3,补充胱氨酸可帮助关节炎患者康</w:t>
      </w:r>
      <w:r>
        <w:rPr>
          <w:rFonts w:ascii="宋体" w:eastAsia="宋体" w:hAnsi="宋体" w:cs="宋体"/>
          <w:spacing w:val="10"/>
        </w:rPr>
        <w:t xml:space="preserve"> </w:t>
      </w:r>
      <w:r>
        <w:rPr>
          <w:rFonts w:ascii="宋体" w:eastAsia="宋体" w:hAnsi="宋体" w:cs="宋体"/>
          <w:spacing w:val="-2"/>
        </w:rPr>
        <w:t>复，而胱氨酸中的硫来自二甲基砜。美国、加拿</w:t>
      </w:r>
      <w:r>
        <w:rPr>
          <w:rFonts w:ascii="宋体" w:eastAsia="宋体" w:hAnsi="宋体" w:cs="宋体"/>
          <w:spacing w:val="-3"/>
        </w:rPr>
        <w:t>大等国市场已有二甲基砜、葡萄</w:t>
      </w:r>
      <w:r>
        <w:rPr>
          <w:rFonts w:ascii="宋体" w:eastAsia="宋体" w:hAnsi="宋体" w:cs="宋体"/>
        </w:rPr>
        <w:t xml:space="preserve"> </w:t>
      </w:r>
      <w:r>
        <w:rPr>
          <w:rFonts w:ascii="宋体" w:eastAsia="宋体" w:hAnsi="宋体" w:cs="宋体"/>
          <w:spacing w:val="-2"/>
        </w:rPr>
        <w:t>糖胺硫酸盐和硫酸软骨素组成的膳食补充剂作为治疗关节炎的辅助食物；二</w:t>
      </w:r>
      <w:r>
        <w:rPr>
          <w:rFonts w:ascii="宋体" w:eastAsia="宋体" w:hAnsi="宋体" w:cs="宋体"/>
          <w:spacing w:val="-3"/>
        </w:rPr>
        <w:t>甲基</w:t>
      </w:r>
      <w:r>
        <w:rPr>
          <w:rFonts w:ascii="宋体" w:eastAsia="宋体" w:hAnsi="宋体" w:cs="宋体"/>
        </w:rPr>
        <w:t xml:space="preserve"> </w:t>
      </w:r>
      <w:r>
        <w:rPr>
          <w:rFonts w:ascii="宋体" w:eastAsia="宋体" w:hAnsi="宋体" w:cs="宋体"/>
          <w:spacing w:val="3"/>
        </w:rPr>
        <w:t>砜可作为抗过敏补充食品，每日饮食中加入100～1000</w:t>
      </w:r>
      <w:r>
        <w:rPr>
          <w:rFonts w:ascii="宋体" w:eastAsia="宋体" w:hAnsi="宋体" w:cs="宋体"/>
        </w:rPr>
        <w:t>mg</w:t>
      </w:r>
      <w:r>
        <w:rPr>
          <w:rFonts w:ascii="宋体" w:eastAsia="宋体" w:hAnsi="宋体" w:cs="宋体"/>
          <w:spacing w:val="9"/>
        </w:rPr>
        <w:t xml:space="preserve"> </w:t>
      </w:r>
      <w:r>
        <w:rPr>
          <w:rFonts w:ascii="宋体" w:eastAsia="宋体" w:hAnsi="宋体" w:cs="宋体"/>
          <w:spacing w:val="3"/>
        </w:rPr>
        <w:t>就可消除或减轻对海</w:t>
      </w:r>
      <w:r>
        <w:rPr>
          <w:rFonts w:ascii="宋体" w:eastAsia="宋体" w:hAnsi="宋体" w:cs="宋体"/>
        </w:rPr>
        <w:t xml:space="preserve"> </w:t>
      </w:r>
      <w:r>
        <w:rPr>
          <w:rFonts w:ascii="宋体" w:eastAsia="宋体" w:hAnsi="宋体" w:cs="宋体"/>
          <w:spacing w:val="3"/>
        </w:rPr>
        <w:t>产品、药物或某些食物(如谷类、奶类)的过敏反应；可作为谷胱甘肽硫的来源</w:t>
      </w:r>
      <w:r>
        <w:rPr>
          <w:rFonts w:ascii="宋体" w:eastAsia="宋体" w:hAnsi="宋体" w:cs="宋体"/>
          <w:spacing w:val="12"/>
        </w:rPr>
        <w:t xml:space="preserve"> </w:t>
      </w:r>
      <w:r>
        <w:rPr>
          <w:rFonts w:ascii="宋体" w:eastAsia="宋体" w:hAnsi="宋体" w:cs="宋体"/>
          <w:spacing w:val="-3"/>
        </w:rPr>
        <w:t>而用作免疫调节保健食品；可作为皮肤治疗药剂，用于配制皮肤湿润剂、治疗皮</w:t>
      </w:r>
      <w:r>
        <w:rPr>
          <w:rFonts w:ascii="宋体" w:eastAsia="宋体" w:hAnsi="宋体" w:cs="宋体"/>
          <w:spacing w:val="13"/>
        </w:rPr>
        <w:t xml:space="preserve"> </w:t>
      </w:r>
      <w:r>
        <w:rPr>
          <w:rFonts w:ascii="宋体" w:eastAsia="宋体" w:hAnsi="宋体" w:cs="宋体"/>
          <w:spacing w:val="-3"/>
        </w:rPr>
        <w:t>炎和皮肤癌；其他还可用在哮喘、肌腱炎、肌肉痉挛、背部疼痛</w:t>
      </w:r>
      <w:r>
        <w:rPr>
          <w:rFonts w:ascii="宋体" w:eastAsia="宋体" w:hAnsi="宋体" w:cs="宋体"/>
          <w:spacing w:val="-4"/>
        </w:rPr>
        <w:t>、增加体力、促</w:t>
      </w:r>
      <w:r>
        <w:rPr>
          <w:rFonts w:ascii="宋体" w:eastAsia="宋体" w:hAnsi="宋体" w:cs="宋体"/>
        </w:rPr>
        <w:t xml:space="preserve"> </w:t>
      </w:r>
      <w:r>
        <w:rPr>
          <w:rFonts w:ascii="宋体" w:eastAsia="宋体" w:hAnsi="宋体" w:cs="宋体"/>
          <w:spacing w:val="10"/>
        </w:rPr>
        <w:t>进血液循环、加速伤口愈合等。二甲基砜是生产保健食品和相关医药的重要</w:t>
      </w:r>
      <w:r>
        <w:rPr>
          <w:rFonts w:ascii="宋体" w:eastAsia="宋体" w:hAnsi="宋体" w:cs="宋体"/>
        </w:rPr>
        <w:t xml:space="preserve"> </w:t>
      </w:r>
      <w:r>
        <w:rPr>
          <w:rFonts w:ascii="宋体" w:eastAsia="宋体" w:hAnsi="宋体" w:cs="宋体"/>
          <w:spacing w:val="-15"/>
        </w:rPr>
        <w:t>原料。</w:t>
      </w:r>
    </w:p>
    <w:p w:rsidR="00EA40A3" w:rsidRDefault="00E86C16">
      <w:pPr>
        <w:spacing w:before="146" w:line="257" w:lineRule="auto"/>
        <w:ind w:firstLine="439"/>
        <w:jc w:val="both"/>
        <w:rPr>
          <w:rFonts w:ascii="宋体" w:eastAsia="宋体" w:hAnsi="宋体" w:cs="宋体"/>
        </w:rPr>
      </w:pPr>
      <w:r>
        <w:rPr>
          <w:rFonts w:ascii="宋体" w:eastAsia="宋体" w:hAnsi="宋体" w:cs="宋体"/>
          <w:spacing w:val="-3"/>
        </w:rPr>
        <w:t>海洋生物、植物、动物和人体均含有二甲基砜，二甲基砜是人体、动物等合</w:t>
      </w:r>
      <w:r>
        <w:rPr>
          <w:rFonts w:ascii="宋体" w:eastAsia="宋体" w:hAnsi="宋体" w:cs="宋体"/>
          <w:spacing w:val="6"/>
        </w:rPr>
        <w:t xml:space="preserve"> </w:t>
      </w:r>
      <w:r>
        <w:rPr>
          <w:rFonts w:ascii="宋体" w:eastAsia="宋体" w:hAnsi="宋体" w:cs="宋体"/>
          <w:spacing w:val="-3"/>
        </w:rPr>
        <w:t>成蛋氨酸、胱氨酸、蛋白以及含硫组织中硫的主要供应源之一，生命体的含硫组</w:t>
      </w:r>
      <w:r>
        <w:rPr>
          <w:rFonts w:ascii="宋体" w:eastAsia="宋体" w:hAnsi="宋体" w:cs="宋体"/>
          <w:spacing w:val="1"/>
        </w:rPr>
        <w:t xml:space="preserve">  </w:t>
      </w:r>
      <w:r>
        <w:rPr>
          <w:rFonts w:ascii="宋体" w:eastAsia="宋体" w:hAnsi="宋体" w:cs="宋体"/>
          <w:spacing w:val="6"/>
        </w:rPr>
        <w:t xml:space="preserve">织中有85%的硫是由二甲基砜、二甲基亚砜同系物提供。但由于许多食物在运  </w:t>
      </w:r>
      <w:r>
        <w:rPr>
          <w:rFonts w:ascii="宋体" w:eastAsia="宋体" w:hAnsi="宋体" w:cs="宋体"/>
        </w:rPr>
        <w:t>输、储存中二甲基砜会损失，更主要是人们在食用时进行热加工而造成的损失，</w:t>
      </w:r>
      <w:r>
        <w:rPr>
          <w:rFonts w:ascii="宋体" w:eastAsia="宋体" w:hAnsi="宋体" w:cs="宋体"/>
          <w:spacing w:val="3"/>
        </w:rPr>
        <w:t xml:space="preserve"> </w:t>
      </w:r>
      <w:r>
        <w:rPr>
          <w:rFonts w:ascii="宋体" w:eastAsia="宋体" w:hAnsi="宋体" w:cs="宋体"/>
          <w:spacing w:val="4"/>
        </w:rPr>
        <w:t>使许多人无法从饮食中获得新陈代谢所需数量的二甲基砜，而引起某些健</w:t>
      </w:r>
      <w:r>
        <w:rPr>
          <w:rFonts w:ascii="宋体" w:eastAsia="宋体" w:hAnsi="宋体" w:cs="宋体"/>
          <w:spacing w:val="3"/>
        </w:rPr>
        <w:t>康问</w:t>
      </w:r>
      <w:r>
        <w:rPr>
          <w:rFonts w:ascii="宋体" w:eastAsia="宋体" w:hAnsi="宋体" w:cs="宋体"/>
        </w:rPr>
        <w:t xml:space="preserve"> </w:t>
      </w:r>
      <w:r>
        <w:rPr>
          <w:rFonts w:ascii="宋体" w:eastAsia="宋体" w:hAnsi="宋体" w:cs="宋体"/>
          <w:spacing w:val="-3"/>
        </w:rPr>
        <w:t>题。目前，二甲基砜可以二甲基亚砜为原料，在紫外线照射下氧化合成、氧化氮</w:t>
      </w:r>
      <w:r>
        <w:rPr>
          <w:rFonts w:ascii="宋体" w:eastAsia="宋体" w:hAnsi="宋体" w:cs="宋体"/>
          <w:spacing w:val="6"/>
        </w:rPr>
        <w:t xml:space="preserve">  </w:t>
      </w:r>
      <w:r>
        <w:rPr>
          <w:rFonts w:ascii="宋体" w:eastAsia="宋体" w:hAnsi="宋体" w:cs="宋体"/>
          <w:spacing w:val="1"/>
        </w:rPr>
        <w:t>氧化合成或双氧水氧化合成。二甲基砜在生物体内</w:t>
      </w:r>
      <w:r>
        <w:rPr>
          <w:rFonts w:ascii="宋体" w:eastAsia="宋体" w:hAnsi="宋体" w:cs="宋体"/>
        </w:rPr>
        <w:t>毒性类似于水，</w:t>
      </w:r>
      <w:r>
        <w:rPr>
          <w:rFonts w:ascii="宋体" w:eastAsia="宋体" w:hAnsi="宋体" w:cs="宋体"/>
          <w:spacing w:val="-56"/>
        </w:rPr>
        <w:t xml:space="preserve"> </w:t>
      </w:r>
      <w:r>
        <w:rPr>
          <w:rFonts w:ascii="宋体" w:eastAsia="宋体" w:hAnsi="宋体" w:cs="宋体"/>
        </w:rPr>
        <w:t>LD</w:t>
      </w:r>
      <w:r>
        <w:rPr>
          <w:rFonts w:ascii="宋体" w:eastAsia="宋体" w:hAnsi="宋体" w:cs="宋体"/>
          <w:spacing w:val="13"/>
        </w:rPr>
        <w:t xml:space="preserve">  </w:t>
      </w:r>
      <w:r>
        <w:rPr>
          <w:rFonts w:ascii="宋体" w:eastAsia="宋体" w:hAnsi="宋体" w:cs="宋体"/>
        </w:rPr>
        <w:t xml:space="preserve">大于每  </w:t>
      </w:r>
      <w:r>
        <w:rPr>
          <w:rFonts w:ascii="宋体" w:eastAsia="宋体" w:hAnsi="宋体" w:cs="宋体"/>
          <w:spacing w:val="6"/>
        </w:rPr>
        <w:t>千克体重20g,</w:t>
      </w:r>
      <w:r>
        <w:rPr>
          <w:rFonts w:ascii="宋体" w:eastAsia="宋体" w:hAnsi="宋体" w:cs="宋体"/>
          <w:spacing w:val="-1"/>
        </w:rPr>
        <w:t xml:space="preserve"> </w:t>
      </w:r>
      <w:r>
        <w:rPr>
          <w:rFonts w:ascii="宋体" w:eastAsia="宋体" w:hAnsi="宋体" w:cs="宋体"/>
          <w:spacing w:val="6"/>
        </w:rPr>
        <w:t>可以认为是无毒物；其合成原料二甲基亚砜</w:t>
      </w:r>
      <w:r>
        <w:rPr>
          <w:rFonts w:ascii="宋体" w:eastAsia="宋体" w:hAnsi="宋体" w:cs="宋体"/>
        </w:rPr>
        <w:t>LDo</w:t>
      </w:r>
      <w:r>
        <w:rPr>
          <w:rFonts w:ascii="宋体" w:eastAsia="宋体" w:hAnsi="宋体" w:cs="宋体"/>
          <w:spacing w:val="26"/>
        </w:rPr>
        <w:t xml:space="preserve"> </w:t>
      </w:r>
      <w:r>
        <w:rPr>
          <w:rFonts w:ascii="宋体" w:eastAsia="宋体" w:hAnsi="宋体" w:cs="宋体"/>
          <w:spacing w:val="6"/>
        </w:rPr>
        <w:t>为每千克体重</w:t>
      </w:r>
    </w:p>
    <w:p w:rsidR="00EA40A3" w:rsidRDefault="00E86C16">
      <w:pPr>
        <w:spacing w:before="100"/>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166</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15" w:bottom="400" w:left="849" w:header="0" w:footer="0" w:gutter="0"/>
          <w:cols w:space="720"/>
        </w:sectPr>
      </w:pPr>
    </w:p>
    <w:p w:rsidR="00EA40A3" w:rsidRDefault="00EA40A3">
      <w:pPr>
        <w:spacing w:line="251" w:lineRule="auto"/>
      </w:pPr>
    </w:p>
    <w:p w:rsidR="00EA40A3" w:rsidRDefault="00EA40A3">
      <w:pPr>
        <w:spacing w:line="252" w:lineRule="auto"/>
      </w:pPr>
    </w:p>
    <w:p w:rsidR="00EA40A3" w:rsidRDefault="00E86C16">
      <w:pPr>
        <w:spacing w:before="68" w:line="252" w:lineRule="auto"/>
        <w:ind w:left="139" w:firstLine="20"/>
        <w:rPr>
          <w:rFonts w:ascii="宋体" w:eastAsia="宋体" w:hAnsi="宋体" w:cs="宋体"/>
        </w:rPr>
      </w:pPr>
      <w:bookmarkStart w:id="41" w:name="_bookmark45"/>
      <w:bookmarkEnd w:id="41"/>
      <w:r>
        <w:rPr>
          <w:rFonts w:ascii="Times New Roman" w:eastAsia="Times New Roman" w:hAnsi="Times New Roman" w:cs="Times New Roman"/>
        </w:rPr>
        <w:t>18g,</w:t>
      </w:r>
      <w:r>
        <w:rPr>
          <w:rFonts w:ascii="Times New Roman" w:eastAsia="Times New Roman" w:hAnsi="Times New Roman" w:cs="Times New Roman"/>
          <w:spacing w:val="21"/>
        </w:rPr>
        <w:t xml:space="preserve">  </w:t>
      </w:r>
      <w:r>
        <w:rPr>
          <w:rFonts w:ascii="宋体" w:eastAsia="宋体" w:hAnsi="宋体" w:cs="宋体"/>
        </w:rPr>
        <w:t>也属无毒物。美国、加拿大等国已提供以二甲基砜为主的膳</w:t>
      </w:r>
      <w:r>
        <w:rPr>
          <w:rFonts w:ascii="宋体" w:eastAsia="宋体" w:hAnsi="宋体" w:cs="宋体"/>
          <w:spacing w:val="-1"/>
        </w:rPr>
        <w:t>食补充剂，以</w:t>
      </w:r>
      <w:r>
        <w:rPr>
          <w:rFonts w:ascii="宋体" w:eastAsia="宋体" w:hAnsi="宋体" w:cs="宋体"/>
        </w:rPr>
        <w:t xml:space="preserve"> </w:t>
      </w:r>
      <w:r>
        <w:rPr>
          <w:rFonts w:ascii="宋体" w:eastAsia="宋体" w:hAnsi="宋体" w:cs="宋体"/>
          <w:spacing w:val="-3"/>
        </w:rPr>
        <w:t>补充饮食的不足。但我国至今未见含二甲基砜食品、保健品和医药品等出售。</w:t>
      </w:r>
    </w:p>
    <w:p w:rsidR="00EA40A3" w:rsidRDefault="00E86C16">
      <w:pPr>
        <w:spacing w:before="230" w:line="222" w:lineRule="auto"/>
        <w:ind w:left="130"/>
        <w:rPr>
          <w:rFonts w:ascii="黑体" w:eastAsia="黑体" w:hAnsi="黑体" w:cs="黑体"/>
        </w:rPr>
      </w:pPr>
      <w:r>
        <w:rPr>
          <w:rFonts w:ascii="黑体" w:eastAsia="黑体" w:hAnsi="黑体" w:cs="黑体"/>
          <w:spacing w:val="15"/>
        </w:rPr>
        <w:t>5.5.4</w:t>
      </w:r>
      <w:r>
        <w:rPr>
          <w:rFonts w:ascii="黑体" w:eastAsia="黑体" w:hAnsi="黑体" w:cs="黑体"/>
          <w:spacing w:val="49"/>
        </w:rPr>
        <w:t xml:space="preserve">  </w:t>
      </w:r>
      <w:r>
        <w:rPr>
          <w:rFonts w:ascii="黑体" w:eastAsia="黑体" w:hAnsi="黑体" w:cs="黑体"/>
          <w:spacing w:val="15"/>
        </w:rPr>
        <w:t>其他有机硫化合物</w:t>
      </w:r>
    </w:p>
    <w:p w:rsidR="00EA40A3" w:rsidRDefault="00E86C16">
      <w:pPr>
        <w:spacing w:before="206" w:line="237" w:lineRule="auto"/>
        <w:ind w:left="119" w:right="10" w:firstLine="420"/>
        <w:rPr>
          <w:rFonts w:ascii="宋体" w:eastAsia="宋体" w:hAnsi="宋体" w:cs="宋体"/>
        </w:rPr>
      </w:pPr>
      <w:r>
        <w:rPr>
          <w:rFonts w:ascii="宋体" w:eastAsia="宋体" w:hAnsi="宋体" w:cs="宋体"/>
          <w:spacing w:val="3"/>
        </w:rPr>
        <w:t>食物中其他有机硫化合物还有牛磺酸和金属硫蛋白(已在第3章中介绍，此</w:t>
      </w:r>
      <w:r>
        <w:rPr>
          <w:rFonts w:ascii="宋体" w:eastAsia="宋体" w:hAnsi="宋体" w:cs="宋体"/>
          <w:spacing w:val="17"/>
        </w:rPr>
        <w:t xml:space="preserve"> </w:t>
      </w:r>
      <w:r>
        <w:rPr>
          <w:rFonts w:ascii="宋体" w:eastAsia="宋体" w:hAnsi="宋体" w:cs="宋体"/>
          <w:spacing w:val="5"/>
        </w:rPr>
        <w:t>略)以及硫辛酸(已在类维生素中介绍，此略)。</w:t>
      </w:r>
    </w:p>
    <w:p w:rsidR="00EA40A3" w:rsidRDefault="00EA40A3">
      <w:pPr>
        <w:spacing w:line="259" w:lineRule="auto"/>
      </w:pPr>
    </w:p>
    <w:p w:rsidR="00EA40A3" w:rsidRDefault="00E86C16">
      <w:pPr>
        <w:spacing w:before="84" w:line="220" w:lineRule="auto"/>
        <w:ind w:left="2719"/>
        <w:rPr>
          <w:rFonts w:ascii="宋体" w:eastAsia="宋体" w:hAnsi="宋体" w:cs="宋体"/>
          <w:sz w:val="26"/>
          <w:szCs w:val="26"/>
        </w:rPr>
      </w:pPr>
      <w:r>
        <w:rPr>
          <w:rFonts w:ascii="宋体" w:eastAsia="宋体" w:hAnsi="宋体" w:cs="宋体"/>
          <w:spacing w:val="-7"/>
          <w:sz w:val="26"/>
          <w:szCs w:val="26"/>
        </w:rPr>
        <w:t>5.6</w:t>
      </w:r>
      <w:r>
        <w:rPr>
          <w:rFonts w:ascii="宋体" w:eastAsia="宋体" w:hAnsi="宋体" w:cs="宋体"/>
          <w:spacing w:val="13"/>
          <w:sz w:val="26"/>
          <w:szCs w:val="26"/>
        </w:rPr>
        <w:t xml:space="preserve">  </w:t>
      </w:r>
      <w:r>
        <w:rPr>
          <w:rFonts w:ascii="宋体" w:eastAsia="宋体" w:hAnsi="宋体" w:cs="宋体"/>
          <w:spacing w:val="-7"/>
          <w:sz w:val="26"/>
          <w:szCs w:val="26"/>
        </w:rPr>
        <w:t>茶</w:t>
      </w:r>
      <w:r>
        <w:rPr>
          <w:rFonts w:ascii="宋体" w:eastAsia="宋体" w:hAnsi="宋体" w:cs="宋体"/>
          <w:spacing w:val="27"/>
          <w:sz w:val="26"/>
          <w:szCs w:val="26"/>
        </w:rPr>
        <w:t xml:space="preserve">  </w:t>
      </w:r>
      <w:r>
        <w:rPr>
          <w:rFonts w:ascii="宋体" w:eastAsia="宋体" w:hAnsi="宋体" w:cs="宋体"/>
          <w:spacing w:val="-7"/>
          <w:sz w:val="26"/>
          <w:szCs w:val="26"/>
        </w:rPr>
        <w:t>氨</w:t>
      </w:r>
      <w:r>
        <w:rPr>
          <w:rFonts w:ascii="宋体" w:eastAsia="宋体" w:hAnsi="宋体" w:cs="宋体"/>
          <w:spacing w:val="20"/>
          <w:sz w:val="26"/>
          <w:szCs w:val="26"/>
        </w:rPr>
        <w:t xml:space="preserve">  </w:t>
      </w:r>
      <w:r>
        <w:rPr>
          <w:rFonts w:ascii="宋体" w:eastAsia="宋体" w:hAnsi="宋体" w:cs="宋体"/>
          <w:spacing w:val="-7"/>
          <w:sz w:val="26"/>
          <w:szCs w:val="26"/>
        </w:rPr>
        <w:t>酸</w:t>
      </w:r>
    </w:p>
    <w:p w:rsidR="00EA40A3" w:rsidRDefault="00EA40A3">
      <w:pPr>
        <w:spacing w:line="243" w:lineRule="auto"/>
      </w:pPr>
    </w:p>
    <w:p w:rsidR="00EA40A3" w:rsidRDefault="00E86C16">
      <w:pPr>
        <w:spacing w:before="69" w:line="249" w:lineRule="auto"/>
        <w:ind w:left="100" w:right="28" w:firstLine="409"/>
        <w:rPr>
          <w:rFonts w:ascii="宋体" w:eastAsia="宋体" w:hAnsi="宋体" w:cs="宋体"/>
        </w:rPr>
      </w:pPr>
      <w:r>
        <w:rPr>
          <w:rFonts w:ascii="宋体" w:eastAsia="宋体" w:hAnsi="宋体" w:cs="宋体"/>
        </w:rPr>
        <w:t>茶氨酸</w:t>
      </w:r>
      <w:r>
        <w:rPr>
          <w:rFonts w:ascii="宋体" w:eastAsia="宋体" w:hAnsi="宋体" w:cs="宋体"/>
          <w:spacing w:val="14"/>
        </w:rPr>
        <w:t xml:space="preserve"> </w:t>
      </w:r>
      <w:r>
        <w:rPr>
          <w:rFonts w:ascii="Times New Roman" w:eastAsia="Times New Roman" w:hAnsi="Times New Roman" w:cs="Times New Roman"/>
        </w:rPr>
        <w:t>(theanine)</w:t>
      </w:r>
      <w:r>
        <w:rPr>
          <w:rFonts w:ascii="Times New Roman" w:eastAsia="Times New Roman" w:hAnsi="Times New Roman" w:cs="Times New Roman"/>
          <w:spacing w:val="17"/>
        </w:rPr>
        <w:t xml:space="preserve">   </w:t>
      </w:r>
      <w:r>
        <w:rPr>
          <w:rFonts w:ascii="宋体" w:eastAsia="宋体" w:hAnsi="宋体" w:cs="宋体"/>
        </w:rPr>
        <w:t xml:space="preserve">是茶树体内特有的氨基酸，属酰胺类化合物。化学上系 </w:t>
      </w:r>
      <w:r>
        <w:rPr>
          <w:rFonts w:ascii="宋体" w:eastAsia="宋体" w:hAnsi="宋体" w:cs="宋体"/>
          <w:spacing w:val="-8"/>
        </w:rPr>
        <w:t>统命名为N-</w:t>
      </w:r>
      <w:r>
        <w:rPr>
          <w:rFonts w:ascii="宋体" w:eastAsia="宋体" w:hAnsi="宋体" w:cs="宋体"/>
          <w:spacing w:val="-29"/>
        </w:rPr>
        <w:t xml:space="preserve"> </w:t>
      </w:r>
      <w:r>
        <w:rPr>
          <w:rFonts w:ascii="宋体" w:eastAsia="宋体" w:hAnsi="宋体" w:cs="宋体"/>
          <w:spacing w:val="-8"/>
        </w:rPr>
        <w:t>乙基-</w:t>
      </w:r>
      <w:r>
        <w:rPr>
          <w:rFonts w:ascii="宋体" w:eastAsia="宋体" w:hAnsi="宋体" w:cs="宋体"/>
          <w:spacing w:val="-61"/>
        </w:rPr>
        <w:t xml:space="preserve"> </w:t>
      </w:r>
      <w:r>
        <w:rPr>
          <w:rFonts w:ascii="宋体" w:eastAsia="宋体" w:hAnsi="宋体" w:cs="宋体"/>
          <w:spacing w:val="-8"/>
        </w:rPr>
        <w:t>γ-L-谷氨酰胺</w:t>
      </w:r>
      <w:r>
        <w:rPr>
          <w:rFonts w:ascii="宋体" w:eastAsia="宋体" w:hAnsi="宋体" w:cs="宋体"/>
          <w:spacing w:val="-25"/>
        </w:rPr>
        <w:t xml:space="preserve"> </w:t>
      </w:r>
      <w:r>
        <w:rPr>
          <w:rFonts w:ascii="宋体" w:eastAsia="宋体" w:hAnsi="宋体" w:cs="宋体"/>
          <w:spacing w:val="-8"/>
        </w:rPr>
        <w:t>(N-ethyl-y-L-glutamine)。</w:t>
      </w:r>
      <w:r>
        <w:rPr>
          <w:rFonts w:ascii="宋体" w:eastAsia="宋体" w:hAnsi="宋体" w:cs="宋体"/>
          <w:spacing w:val="-15"/>
        </w:rPr>
        <w:t xml:space="preserve"> </w:t>
      </w:r>
      <w:r>
        <w:rPr>
          <w:rFonts w:ascii="宋体" w:eastAsia="宋体" w:hAnsi="宋体" w:cs="宋体"/>
          <w:spacing w:val="-8"/>
        </w:rPr>
        <w:t>结构如图5-4:</w:t>
      </w:r>
    </w:p>
    <w:p w:rsidR="00EA40A3" w:rsidRDefault="00E86C16">
      <w:pPr>
        <w:spacing w:before="148" w:line="800" w:lineRule="exact"/>
        <w:ind w:firstLine="2040"/>
        <w:textAlignment w:val="center"/>
      </w:pPr>
      <w:r>
        <w:rPr>
          <w:noProof/>
        </w:rPr>
        <w:drawing>
          <wp:inline distT="0" distB="0" distL="0" distR="0">
            <wp:extent cx="2145665" cy="507365"/>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48"/>
                    <a:stretch>
                      <a:fillRect/>
                    </a:stretch>
                  </pic:blipFill>
                  <pic:spPr>
                    <a:xfrm>
                      <a:off x="0" y="0"/>
                      <a:ext cx="2146274" cy="507998"/>
                    </a:xfrm>
                    <a:prstGeom prst="rect">
                      <a:avLst/>
                    </a:prstGeom>
                  </pic:spPr>
                </pic:pic>
              </a:graphicData>
            </a:graphic>
          </wp:inline>
        </w:drawing>
      </w:r>
    </w:p>
    <w:p w:rsidR="00EA40A3" w:rsidRDefault="00E86C16">
      <w:pPr>
        <w:spacing w:before="119" w:line="220" w:lineRule="auto"/>
        <w:ind w:left="2619"/>
        <w:rPr>
          <w:rFonts w:ascii="宋体" w:eastAsia="宋体" w:hAnsi="宋体" w:cs="宋体"/>
        </w:rPr>
      </w:pPr>
      <w:r>
        <w:rPr>
          <w:rFonts w:ascii="宋体" w:eastAsia="宋体" w:hAnsi="宋体" w:cs="宋体"/>
          <w:spacing w:val="-19"/>
          <w:w w:val="97"/>
        </w:rPr>
        <w:t>图5-4</w:t>
      </w:r>
      <w:r>
        <w:rPr>
          <w:rFonts w:ascii="宋体" w:eastAsia="宋体" w:hAnsi="宋体" w:cs="宋体"/>
          <w:spacing w:val="54"/>
        </w:rPr>
        <w:t xml:space="preserve"> </w:t>
      </w:r>
      <w:r>
        <w:rPr>
          <w:rFonts w:ascii="宋体" w:eastAsia="宋体" w:hAnsi="宋体" w:cs="宋体"/>
          <w:spacing w:val="-19"/>
          <w:w w:val="97"/>
        </w:rPr>
        <w:t>茶氨酸的化学结构式</w:t>
      </w:r>
    </w:p>
    <w:p w:rsidR="00EA40A3" w:rsidRDefault="00EA40A3">
      <w:pPr>
        <w:spacing w:line="304" w:lineRule="auto"/>
      </w:pPr>
    </w:p>
    <w:p w:rsidR="00EA40A3" w:rsidRDefault="00E86C16">
      <w:pPr>
        <w:spacing w:before="69" w:line="247" w:lineRule="auto"/>
        <w:ind w:left="89" w:right="37" w:firstLine="410"/>
        <w:rPr>
          <w:rFonts w:ascii="宋体" w:eastAsia="宋体" w:hAnsi="宋体" w:cs="宋体"/>
        </w:rPr>
      </w:pPr>
      <w:r>
        <w:rPr>
          <w:rFonts w:ascii="宋体" w:eastAsia="宋体" w:hAnsi="宋体" w:cs="宋体"/>
          <w:spacing w:val="19"/>
        </w:rPr>
        <w:t>茶氨酸占茶叶干重的1%～2%,是茶叶鲜爽味的主要成分。自20世纪50</w:t>
      </w:r>
      <w:r>
        <w:rPr>
          <w:rFonts w:ascii="宋体" w:eastAsia="宋体" w:hAnsi="宋体" w:cs="宋体"/>
          <w:spacing w:val="8"/>
        </w:rPr>
        <w:t xml:space="preserve"> </w:t>
      </w:r>
      <w:r>
        <w:rPr>
          <w:rFonts w:ascii="宋体" w:eastAsia="宋体" w:hAnsi="宋体" w:cs="宋体"/>
          <w:spacing w:val="-4"/>
        </w:rPr>
        <w:t>年代日本酒户弥二郎从茶叶中分离鉴定出茶氨酸起，茶氨酸就受到极大关注。</w:t>
      </w:r>
    </w:p>
    <w:p w:rsidR="00EA40A3" w:rsidRDefault="00E86C16">
      <w:pPr>
        <w:spacing w:before="190" w:line="220" w:lineRule="auto"/>
        <w:ind w:left="80"/>
        <w:rPr>
          <w:rFonts w:ascii="黑体" w:eastAsia="黑体" w:hAnsi="黑体" w:cs="黑体"/>
        </w:rPr>
      </w:pPr>
      <w:r>
        <w:rPr>
          <w:rFonts w:ascii="黑体" w:eastAsia="黑体" w:hAnsi="黑体" w:cs="黑体"/>
          <w:spacing w:val="16"/>
        </w:rPr>
        <w:t>5.6.1</w:t>
      </w:r>
      <w:r>
        <w:rPr>
          <w:rFonts w:ascii="黑体" w:eastAsia="黑体" w:hAnsi="黑体" w:cs="黑体"/>
          <w:spacing w:val="1"/>
        </w:rPr>
        <w:t xml:space="preserve">   </w:t>
      </w:r>
      <w:r>
        <w:rPr>
          <w:rFonts w:ascii="黑体" w:eastAsia="黑体" w:hAnsi="黑体" w:cs="黑体"/>
          <w:spacing w:val="16"/>
        </w:rPr>
        <w:t>茶氨酸的生理功能</w:t>
      </w:r>
    </w:p>
    <w:p w:rsidR="00EA40A3" w:rsidRDefault="00E86C16">
      <w:pPr>
        <w:spacing w:before="278" w:line="220" w:lineRule="auto"/>
        <w:ind w:left="80"/>
        <w:rPr>
          <w:rFonts w:ascii="仿宋" w:eastAsia="仿宋" w:hAnsi="仿宋" w:cs="仿宋"/>
        </w:rPr>
      </w:pPr>
      <w:r>
        <w:rPr>
          <w:rFonts w:ascii="仿宋" w:eastAsia="仿宋" w:hAnsi="仿宋" w:cs="仿宋"/>
          <w:spacing w:val="18"/>
        </w:rPr>
        <w:t>1.</w:t>
      </w:r>
      <w:r>
        <w:rPr>
          <w:rFonts w:ascii="仿宋" w:eastAsia="仿宋" w:hAnsi="仿宋" w:cs="仿宋"/>
          <w:spacing w:val="11"/>
        </w:rPr>
        <w:t xml:space="preserve"> </w:t>
      </w:r>
      <w:r>
        <w:rPr>
          <w:rFonts w:ascii="仿宋" w:eastAsia="仿宋" w:hAnsi="仿宋" w:cs="仿宋"/>
          <w:spacing w:val="18"/>
        </w:rPr>
        <w:t>对神经系统的作用</w:t>
      </w:r>
    </w:p>
    <w:p w:rsidR="00EA40A3" w:rsidRDefault="00E86C16">
      <w:pPr>
        <w:spacing w:before="213" w:line="260" w:lineRule="auto"/>
        <w:ind w:left="40" w:right="59" w:firstLine="430"/>
        <w:jc w:val="both"/>
        <w:rPr>
          <w:rFonts w:ascii="宋体" w:eastAsia="宋体" w:hAnsi="宋体" w:cs="宋体"/>
        </w:rPr>
      </w:pPr>
      <w:r>
        <w:rPr>
          <w:rFonts w:ascii="宋体" w:eastAsia="宋体" w:hAnsi="宋体" w:cs="宋体"/>
          <w:spacing w:val="4"/>
        </w:rPr>
        <w:t>茶氨酸是一种神经传递物质，进入大脑后可降低脑中5-</w:t>
      </w:r>
      <w:r>
        <w:rPr>
          <w:rFonts w:ascii="宋体" w:eastAsia="宋体" w:hAnsi="宋体" w:cs="宋体"/>
          <w:spacing w:val="3"/>
        </w:rPr>
        <w:t>羟色胺浓度，使线</w:t>
      </w:r>
      <w:r>
        <w:rPr>
          <w:rFonts w:ascii="宋体" w:eastAsia="宋体" w:hAnsi="宋体" w:cs="宋体"/>
        </w:rPr>
        <w:t xml:space="preserve"> </w:t>
      </w:r>
      <w:r>
        <w:rPr>
          <w:rFonts w:ascii="宋体" w:eastAsia="宋体" w:hAnsi="宋体" w:cs="宋体"/>
          <w:spacing w:val="-2"/>
        </w:rPr>
        <w:t>粒体神经传导物质多巴胺显著增加，而多巴胺在脑中</w:t>
      </w:r>
      <w:r>
        <w:rPr>
          <w:rFonts w:ascii="宋体" w:eastAsia="宋体" w:hAnsi="宋体" w:cs="宋体"/>
          <w:spacing w:val="-3"/>
        </w:rPr>
        <w:t>起重要作用，缺乏时会引发</w:t>
      </w:r>
      <w:r>
        <w:rPr>
          <w:rFonts w:ascii="宋体" w:eastAsia="宋体" w:hAnsi="宋体" w:cs="宋体"/>
        </w:rPr>
        <w:t xml:space="preserve"> </w:t>
      </w:r>
      <w:r>
        <w:rPr>
          <w:rFonts w:ascii="宋体" w:eastAsia="宋体" w:hAnsi="宋体" w:cs="宋体"/>
          <w:spacing w:val="-2"/>
        </w:rPr>
        <w:t>帕金森症、精神分裂症，所以茶氨酸对帕金森氏症和传导神经功能紊乱等疾病起</w:t>
      </w:r>
      <w:r>
        <w:rPr>
          <w:rFonts w:ascii="宋体" w:eastAsia="宋体" w:hAnsi="宋体" w:cs="宋体"/>
          <w:spacing w:val="7"/>
        </w:rPr>
        <w:t xml:space="preserve"> </w:t>
      </w:r>
      <w:r>
        <w:rPr>
          <w:rFonts w:ascii="宋体" w:eastAsia="宋体" w:hAnsi="宋体" w:cs="宋体"/>
          <w:spacing w:val="-3"/>
        </w:rPr>
        <w:t>预防作用。茶氨酸可保护神经细胞，能抑制短暂脑缺血引起的神经细胞死亡。茶</w:t>
      </w:r>
      <w:r>
        <w:rPr>
          <w:rFonts w:ascii="宋体" w:eastAsia="宋体" w:hAnsi="宋体" w:cs="宋体"/>
          <w:spacing w:val="12"/>
        </w:rPr>
        <w:t xml:space="preserve"> </w:t>
      </w:r>
      <w:r>
        <w:rPr>
          <w:rFonts w:ascii="宋体" w:eastAsia="宋体" w:hAnsi="宋体" w:cs="宋体"/>
          <w:spacing w:val="-2"/>
        </w:rPr>
        <w:t>氨酸可与兴奋型神经传导物质谷氨酸竞争细胞中谷氨</w:t>
      </w:r>
      <w:r>
        <w:rPr>
          <w:rFonts w:ascii="宋体" w:eastAsia="宋体" w:hAnsi="宋体" w:cs="宋体"/>
          <w:spacing w:val="-3"/>
        </w:rPr>
        <w:t>酸结合部位，可抑制谷氨酸</w:t>
      </w:r>
      <w:r>
        <w:rPr>
          <w:rFonts w:ascii="宋体" w:eastAsia="宋体" w:hAnsi="宋体" w:cs="宋体"/>
        </w:rPr>
        <w:t xml:space="preserve"> </w:t>
      </w:r>
      <w:r>
        <w:rPr>
          <w:rFonts w:ascii="宋体" w:eastAsia="宋体" w:hAnsi="宋体" w:cs="宋体"/>
          <w:spacing w:val="-3"/>
        </w:rPr>
        <w:t>过多而引起的神经细胞死亡。这些结果使茶氨酸有可能用于脑栓塞、脑出血、脑</w:t>
      </w:r>
      <w:r>
        <w:rPr>
          <w:rFonts w:ascii="宋体" w:eastAsia="宋体" w:hAnsi="宋体" w:cs="宋体"/>
          <w:spacing w:val="13"/>
        </w:rPr>
        <w:t xml:space="preserve"> </w:t>
      </w:r>
      <w:r>
        <w:rPr>
          <w:rFonts w:ascii="宋体" w:eastAsia="宋体" w:hAnsi="宋体" w:cs="宋体"/>
          <w:spacing w:val="-5"/>
        </w:rPr>
        <w:t>中风、脑缺血以及老年痴呆等疾病的防治。</w:t>
      </w:r>
    </w:p>
    <w:p w:rsidR="00EA40A3" w:rsidRDefault="00E86C16">
      <w:pPr>
        <w:spacing w:before="207" w:line="220" w:lineRule="auto"/>
        <w:ind w:left="49"/>
        <w:rPr>
          <w:rFonts w:ascii="仿宋" w:eastAsia="仿宋" w:hAnsi="仿宋" w:cs="仿宋"/>
        </w:rPr>
      </w:pPr>
      <w:r>
        <w:rPr>
          <w:rFonts w:ascii="仿宋" w:eastAsia="仿宋" w:hAnsi="仿宋" w:cs="仿宋"/>
          <w:spacing w:val="13"/>
        </w:rPr>
        <w:t>2.</w:t>
      </w:r>
      <w:r>
        <w:rPr>
          <w:rFonts w:ascii="仿宋" w:eastAsia="仿宋" w:hAnsi="仿宋" w:cs="仿宋"/>
          <w:spacing w:val="30"/>
        </w:rPr>
        <w:t xml:space="preserve"> </w:t>
      </w:r>
      <w:r>
        <w:rPr>
          <w:rFonts w:ascii="仿宋" w:eastAsia="仿宋" w:hAnsi="仿宋" w:cs="仿宋"/>
          <w:spacing w:val="13"/>
        </w:rPr>
        <w:t>降血压作用</w:t>
      </w:r>
    </w:p>
    <w:p w:rsidR="00EA40A3" w:rsidRDefault="00E86C16">
      <w:pPr>
        <w:spacing w:before="221" w:line="262" w:lineRule="auto"/>
        <w:ind w:right="13" w:firstLine="430"/>
        <w:jc w:val="both"/>
        <w:rPr>
          <w:rFonts w:ascii="宋体" w:eastAsia="宋体" w:hAnsi="宋体" w:cs="宋体"/>
        </w:rPr>
      </w:pPr>
      <w:r>
        <w:rPr>
          <w:rFonts w:ascii="宋体" w:eastAsia="宋体" w:hAnsi="宋体" w:cs="宋体"/>
          <w:spacing w:val="-2"/>
        </w:rPr>
        <w:t>茶氨酸可通过影响脑和末梢神经的色胺等胺类物质起降血压作用。给高血压</w:t>
      </w:r>
      <w:r>
        <w:rPr>
          <w:rFonts w:ascii="宋体" w:eastAsia="宋体" w:hAnsi="宋体" w:cs="宋体"/>
          <w:spacing w:val="4"/>
        </w:rPr>
        <w:t xml:space="preserve"> </w:t>
      </w:r>
      <w:r>
        <w:rPr>
          <w:rFonts w:ascii="宋体" w:eastAsia="宋体" w:hAnsi="宋体" w:cs="宋体"/>
          <w:spacing w:val="6"/>
        </w:rPr>
        <w:t>自发症大鼠注射1500～2000</w:t>
      </w:r>
      <w:r>
        <w:rPr>
          <w:rFonts w:ascii="Times New Roman" w:eastAsia="Times New Roman" w:hAnsi="Times New Roman" w:cs="Times New Roman"/>
        </w:rPr>
        <w:t>mg</w:t>
      </w:r>
      <w:r>
        <w:rPr>
          <w:rFonts w:ascii="Times New Roman" w:eastAsia="Times New Roman" w:hAnsi="Times New Roman" w:cs="Times New Roman"/>
          <w:spacing w:val="6"/>
        </w:rPr>
        <w:t>/</w:t>
      </w:r>
      <w:r>
        <w:rPr>
          <w:rFonts w:ascii="Times New Roman" w:eastAsia="Times New Roman" w:hAnsi="Times New Roman" w:cs="Times New Roman"/>
        </w:rPr>
        <w:t>kg</w:t>
      </w:r>
      <w:r>
        <w:rPr>
          <w:rFonts w:ascii="Times New Roman" w:eastAsia="Times New Roman" w:hAnsi="Times New Roman" w:cs="Times New Roman"/>
          <w:spacing w:val="10"/>
        </w:rPr>
        <w:t xml:space="preserve">  </w:t>
      </w:r>
      <w:r>
        <w:rPr>
          <w:rFonts w:ascii="宋体" w:eastAsia="宋体" w:hAnsi="宋体" w:cs="宋体"/>
          <w:spacing w:val="6"/>
        </w:rPr>
        <w:t>的茶氨酸会引</w:t>
      </w:r>
      <w:r>
        <w:rPr>
          <w:rFonts w:ascii="宋体" w:eastAsia="宋体" w:hAnsi="宋体" w:cs="宋体"/>
          <w:spacing w:val="5"/>
        </w:rPr>
        <w:t>起血压显著降低，其收缩压、</w:t>
      </w:r>
      <w:r>
        <w:rPr>
          <w:rFonts w:ascii="宋体" w:eastAsia="宋体" w:hAnsi="宋体" w:cs="宋体"/>
        </w:rPr>
        <w:t xml:space="preserve"> </w:t>
      </w:r>
      <w:r>
        <w:rPr>
          <w:rFonts w:ascii="宋体" w:eastAsia="宋体" w:hAnsi="宋体" w:cs="宋体"/>
          <w:spacing w:val="3"/>
        </w:rPr>
        <w:t>舒张压及平均血压均有明显下降。其降低程度与剂量有关，2000</w:t>
      </w:r>
      <w:r>
        <w:rPr>
          <w:rFonts w:ascii="Times New Roman" w:eastAsia="Times New Roman" w:hAnsi="Times New Roman" w:cs="Times New Roman"/>
        </w:rPr>
        <w:t>mg</w:t>
      </w:r>
      <w:r>
        <w:rPr>
          <w:rFonts w:ascii="Times New Roman" w:eastAsia="Times New Roman" w:hAnsi="Times New Roman" w:cs="Times New Roman"/>
          <w:spacing w:val="3"/>
        </w:rPr>
        <w:t>/</w:t>
      </w:r>
      <w:r>
        <w:rPr>
          <w:rFonts w:ascii="Times New Roman" w:eastAsia="Times New Roman" w:hAnsi="Times New Roman" w:cs="Times New Roman"/>
        </w:rPr>
        <w:t>kg</w:t>
      </w:r>
      <w:r>
        <w:rPr>
          <w:rFonts w:ascii="Times New Roman" w:eastAsia="Times New Roman" w:hAnsi="Times New Roman" w:cs="Times New Roman"/>
          <w:spacing w:val="14"/>
          <w:w w:val="101"/>
        </w:rPr>
        <w:t xml:space="preserve">  </w:t>
      </w:r>
      <w:r>
        <w:rPr>
          <w:rFonts w:ascii="宋体" w:eastAsia="宋体" w:hAnsi="宋体" w:cs="宋体"/>
          <w:spacing w:val="3"/>
        </w:rPr>
        <w:t>时降低</w:t>
      </w:r>
      <w:r>
        <w:rPr>
          <w:rFonts w:ascii="宋体" w:eastAsia="宋体" w:hAnsi="宋体" w:cs="宋体"/>
        </w:rPr>
        <w:t xml:space="preserve">  </w:t>
      </w:r>
      <w:r>
        <w:rPr>
          <w:rFonts w:ascii="宋体" w:eastAsia="宋体" w:hAnsi="宋体" w:cs="宋体"/>
          <w:spacing w:val="5"/>
        </w:rPr>
        <w:t>约40</w:t>
      </w:r>
      <w:r>
        <w:rPr>
          <w:rFonts w:ascii="Times New Roman" w:eastAsia="Times New Roman" w:hAnsi="Times New Roman" w:cs="Times New Roman"/>
        </w:rPr>
        <w:t>mmHg</w:t>
      </w:r>
      <w:r>
        <w:rPr>
          <w:rFonts w:ascii="Times New Roman" w:eastAsia="Times New Roman" w:hAnsi="Times New Roman" w:cs="Times New Roman"/>
          <w:spacing w:val="5"/>
        </w:rPr>
        <w:t>,</w:t>
      </w:r>
      <w:r>
        <w:rPr>
          <w:rFonts w:ascii="Times New Roman" w:eastAsia="Times New Roman" w:hAnsi="Times New Roman" w:cs="Times New Roman"/>
          <w:spacing w:val="8"/>
        </w:rPr>
        <w:t xml:space="preserve">   </w:t>
      </w:r>
      <w:r>
        <w:rPr>
          <w:rFonts w:ascii="宋体" w:eastAsia="宋体" w:hAnsi="宋体" w:cs="宋体"/>
          <w:spacing w:val="5"/>
        </w:rPr>
        <w:t>但心率没有大的变化，此剂量比儿茶素、色氨酸高10～15倍。茶</w:t>
      </w:r>
      <w:r>
        <w:rPr>
          <w:rFonts w:ascii="宋体" w:eastAsia="宋体" w:hAnsi="宋体" w:cs="宋体"/>
        </w:rPr>
        <w:t xml:space="preserve">  </w:t>
      </w:r>
      <w:r>
        <w:rPr>
          <w:rFonts w:ascii="宋体" w:eastAsia="宋体" w:hAnsi="宋体" w:cs="宋体"/>
          <w:spacing w:val="-2"/>
        </w:rPr>
        <w:t>氨酸可能是通过调节中枢神经传达物质的浓度来发挥降血压作用。茶氨酸对血压</w:t>
      </w:r>
    </w:p>
    <w:p w:rsidR="00EA40A3" w:rsidRDefault="00EA40A3">
      <w:pPr>
        <w:sectPr w:rsidR="00EA40A3">
          <w:footerReference w:type="default" r:id="rId149"/>
          <w:pgSz w:w="9220" w:h="13360"/>
          <w:pgMar w:top="400" w:right="941" w:bottom="1240" w:left="890" w:header="0" w:footer="1058" w:gutter="0"/>
          <w:cols w:space="720"/>
        </w:sectPr>
      </w:pPr>
    </w:p>
    <w:p w:rsidR="00EA40A3" w:rsidRDefault="00EA40A3">
      <w:pPr>
        <w:spacing w:line="270" w:lineRule="auto"/>
      </w:pPr>
    </w:p>
    <w:p w:rsidR="00EA40A3" w:rsidRDefault="00EA40A3">
      <w:pPr>
        <w:spacing w:line="271" w:lineRule="auto"/>
      </w:pPr>
    </w:p>
    <w:p w:rsidR="00EA40A3" w:rsidRDefault="00E86C16">
      <w:pPr>
        <w:spacing w:before="75" w:line="219" w:lineRule="auto"/>
        <w:rPr>
          <w:rFonts w:ascii="宋体" w:eastAsia="宋体" w:hAnsi="宋体" w:cs="宋体"/>
          <w:sz w:val="23"/>
          <w:szCs w:val="23"/>
        </w:rPr>
      </w:pPr>
      <w:bookmarkStart w:id="42" w:name="_bookmark46"/>
      <w:bookmarkStart w:id="43" w:name="_bookmark47"/>
      <w:bookmarkEnd w:id="42"/>
      <w:bookmarkEnd w:id="43"/>
      <w:r>
        <w:rPr>
          <w:rFonts w:ascii="宋体" w:eastAsia="宋体" w:hAnsi="宋体" w:cs="宋体"/>
          <w:spacing w:val="-24"/>
          <w:sz w:val="23"/>
          <w:szCs w:val="23"/>
        </w:rPr>
        <w:t>正常的大鼠没有降血压作用。</w:t>
      </w:r>
    </w:p>
    <w:p w:rsidR="00EA40A3" w:rsidRDefault="00E86C16">
      <w:pPr>
        <w:spacing w:before="192" w:line="220" w:lineRule="auto"/>
        <w:rPr>
          <w:rFonts w:ascii="仿宋" w:eastAsia="仿宋" w:hAnsi="仿宋" w:cs="仿宋"/>
          <w:sz w:val="23"/>
          <w:szCs w:val="23"/>
        </w:rPr>
      </w:pPr>
      <w:r>
        <w:rPr>
          <w:rFonts w:ascii="仿宋" w:eastAsia="仿宋" w:hAnsi="仿宋" w:cs="仿宋"/>
          <w:spacing w:val="-1"/>
          <w:sz w:val="23"/>
          <w:szCs w:val="23"/>
        </w:rPr>
        <w:t>3.</w:t>
      </w:r>
      <w:r>
        <w:rPr>
          <w:rFonts w:ascii="仿宋" w:eastAsia="仿宋" w:hAnsi="仿宋" w:cs="仿宋"/>
          <w:spacing w:val="-29"/>
          <w:sz w:val="23"/>
          <w:szCs w:val="23"/>
        </w:rPr>
        <w:t xml:space="preserve"> </w:t>
      </w:r>
      <w:r>
        <w:rPr>
          <w:rFonts w:ascii="仿宋" w:eastAsia="仿宋" w:hAnsi="仿宋" w:cs="仿宋"/>
          <w:spacing w:val="-1"/>
          <w:sz w:val="23"/>
          <w:szCs w:val="23"/>
        </w:rPr>
        <w:t>镇静作用</w:t>
      </w:r>
    </w:p>
    <w:p w:rsidR="00EA40A3" w:rsidRDefault="00E86C16">
      <w:pPr>
        <w:spacing w:before="187" w:line="237" w:lineRule="auto"/>
        <w:ind w:firstLine="430"/>
        <w:jc w:val="both"/>
        <w:rPr>
          <w:rFonts w:ascii="宋体" w:eastAsia="宋体" w:hAnsi="宋体" w:cs="宋体"/>
          <w:sz w:val="23"/>
          <w:szCs w:val="23"/>
        </w:rPr>
      </w:pPr>
      <w:r>
        <w:rPr>
          <w:rFonts w:ascii="宋体" w:eastAsia="宋体" w:hAnsi="宋体" w:cs="宋体"/>
          <w:spacing w:val="-21"/>
          <w:sz w:val="23"/>
          <w:szCs w:val="23"/>
        </w:rPr>
        <w:t>茶氨酸可使大脑血清素含量明显降低，主要表现在茶氨酸对去甲肾上腺素、</w:t>
      </w:r>
      <w:r>
        <w:rPr>
          <w:rFonts w:ascii="宋体" w:eastAsia="宋体" w:hAnsi="宋体" w:cs="宋体"/>
          <w:spacing w:val="17"/>
          <w:sz w:val="23"/>
          <w:szCs w:val="23"/>
        </w:rPr>
        <w:t xml:space="preserve"> </w:t>
      </w:r>
      <w:r>
        <w:rPr>
          <w:rFonts w:ascii="宋体" w:eastAsia="宋体" w:hAnsi="宋体" w:cs="宋体"/>
          <w:spacing w:val="-20"/>
          <w:sz w:val="23"/>
          <w:szCs w:val="23"/>
        </w:rPr>
        <w:t>γ-氨基丁酸、5-羟色胺和5-羟吲哚乙酸等含量的影响，最终影响cAMP</w:t>
      </w:r>
      <w:r>
        <w:rPr>
          <w:rFonts w:ascii="宋体" w:eastAsia="宋体" w:hAnsi="宋体" w:cs="宋体"/>
          <w:spacing w:val="78"/>
          <w:sz w:val="23"/>
          <w:szCs w:val="23"/>
        </w:rPr>
        <w:t xml:space="preserve"> </w:t>
      </w:r>
      <w:r>
        <w:rPr>
          <w:rFonts w:ascii="宋体" w:eastAsia="宋体" w:hAnsi="宋体" w:cs="宋体"/>
          <w:spacing w:val="-21"/>
          <w:sz w:val="23"/>
          <w:szCs w:val="23"/>
        </w:rPr>
        <w:t>的形成，</w:t>
      </w:r>
      <w:r>
        <w:rPr>
          <w:rFonts w:ascii="宋体" w:eastAsia="宋体" w:hAnsi="宋体" w:cs="宋体"/>
          <w:sz w:val="23"/>
          <w:szCs w:val="23"/>
        </w:rPr>
        <w:t xml:space="preserve"> </w:t>
      </w:r>
      <w:r>
        <w:rPr>
          <w:rFonts w:ascii="宋体" w:eastAsia="宋体" w:hAnsi="宋体" w:cs="宋体"/>
          <w:spacing w:val="-23"/>
          <w:sz w:val="23"/>
          <w:szCs w:val="23"/>
        </w:rPr>
        <w:t>起到镇静作用。口服茶氨酸可诱导放松状态，使人镇静，特别是对容易不安、烦</w:t>
      </w:r>
      <w:r>
        <w:rPr>
          <w:rFonts w:ascii="宋体" w:eastAsia="宋体" w:hAnsi="宋体" w:cs="宋体"/>
          <w:spacing w:val="17"/>
          <w:sz w:val="23"/>
          <w:szCs w:val="23"/>
        </w:rPr>
        <w:t xml:space="preserve"> </w:t>
      </w:r>
      <w:r>
        <w:rPr>
          <w:rFonts w:ascii="宋体" w:eastAsia="宋体" w:hAnsi="宋体" w:cs="宋体"/>
          <w:spacing w:val="-23"/>
          <w:sz w:val="23"/>
          <w:szCs w:val="23"/>
        </w:rPr>
        <w:t>躁的人更有效。现已作为镇静剂中的有效成分，其镇静作用还可缓解妇女经期综</w:t>
      </w:r>
      <w:r>
        <w:rPr>
          <w:rFonts w:ascii="宋体" w:eastAsia="宋体" w:hAnsi="宋体" w:cs="宋体"/>
          <w:spacing w:val="12"/>
          <w:sz w:val="23"/>
          <w:szCs w:val="23"/>
        </w:rPr>
        <w:t xml:space="preserve"> </w:t>
      </w:r>
      <w:r>
        <w:rPr>
          <w:rFonts w:ascii="宋体" w:eastAsia="宋体" w:hAnsi="宋体" w:cs="宋体"/>
          <w:spacing w:val="-19"/>
          <w:sz w:val="23"/>
          <w:szCs w:val="23"/>
        </w:rPr>
        <w:t>合征。</w:t>
      </w:r>
    </w:p>
    <w:p w:rsidR="00EA40A3" w:rsidRDefault="00E86C16">
      <w:pPr>
        <w:spacing w:before="192" w:line="220" w:lineRule="auto"/>
        <w:rPr>
          <w:rFonts w:ascii="仿宋" w:eastAsia="仿宋" w:hAnsi="仿宋" w:cs="仿宋"/>
          <w:sz w:val="23"/>
          <w:szCs w:val="23"/>
        </w:rPr>
      </w:pPr>
      <w:r>
        <w:rPr>
          <w:rFonts w:ascii="仿宋" w:eastAsia="仿宋" w:hAnsi="仿宋" w:cs="仿宋"/>
          <w:spacing w:val="7"/>
          <w:sz w:val="23"/>
          <w:szCs w:val="23"/>
        </w:rPr>
        <w:t>4.</w:t>
      </w:r>
      <w:r>
        <w:rPr>
          <w:rFonts w:ascii="仿宋" w:eastAsia="仿宋" w:hAnsi="仿宋" w:cs="仿宋"/>
          <w:spacing w:val="-34"/>
          <w:sz w:val="23"/>
          <w:szCs w:val="23"/>
        </w:rPr>
        <w:t xml:space="preserve"> </w:t>
      </w:r>
      <w:r>
        <w:rPr>
          <w:rFonts w:ascii="仿宋" w:eastAsia="仿宋" w:hAnsi="仿宋" w:cs="仿宋"/>
          <w:spacing w:val="7"/>
          <w:sz w:val="23"/>
          <w:szCs w:val="23"/>
        </w:rPr>
        <w:t>抗肿瘤作用</w:t>
      </w:r>
    </w:p>
    <w:p w:rsidR="00EA40A3" w:rsidRDefault="00E86C16">
      <w:pPr>
        <w:spacing w:before="192" w:line="239" w:lineRule="auto"/>
        <w:ind w:right="69" w:firstLine="430"/>
        <w:jc w:val="both"/>
        <w:rPr>
          <w:rFonts w:ascii="宋体" w:eastAsia="宋体" w:hAnsi="宋体" w:cs="宋体"/>
          <w:sz w:val="23"/>
          <w:szCs w:val="23"/>
        </w:rPr>
      </w:pPr>
      <w:r>
        <w:rPr>
          <w:rFonts w:ascii="宋体" w:eastAsia="宋体" w:hAnsi="宋体" w:cs="宋体"/>
          <w:spacing w:val="-19"/>
          <w:w w:val="98"/>
          <w:sz w:val="23"/>
          <w:szCs w:val="23"/>
        </w:rPr>
        <w:t>茶氨酸作为谷氨酰胺的竞争物，可通过干扰谷氨酰胺的代谢来抑制癌细胞的</w:t>
      </w:r>
      <w:r>
        <w:rPr>
          <w:rFonts w:ascii="宋体" w:eastAsia="宋体" w:hAnsi="宋体" w:cs="宋体"/>
          <w:spacing w:val="24"/>
          <w:sz w:val="23"/>
          <w:szCs w:val="23"/>
        </w:rPr>
        <w:t xml:space="preserve"> </w:t>
      </w:r>
      <w:r>
        <w:rPr>
          <w:rFonts w:ascii="宋体" w:eastAsia="宋体" w:hAnsi="宋体" w:cs="宋体"/>
          <w:spacing w:val="-23"/>
          <w:sz w:val="23"/>
          <w:szCs w:val="23"/>
        </w:rPr>
        <w:t>生长。动物试验证明茶氨酸对小鼠可转移性肿瘤有延缓作用，对患白血病小鼠可</w:t>
      </w:r>
      <w:r>
        <w:rPr>
          <w:rFonts w:ascii="宋体" w:eastAsia="宋体" w:hAnsi="宋体" w:cs="宋体"/>
          <w:spacing w:val="12"/>
          <w:sz w:val="23"/>
          <w:szCs w:val="23"/>
        </w:rPr>
        <w:t xml:space="preserve"> </w:t>
      </w:r>
      <w:r>
        <w:rPr>
          <w:rFonts w:ascii="宋体" w:eastAsia="宋体" w:hAnsi="宋体" w:cs="宋体"/>
          <w:spacing w:val="-23"/>
          <w:sz w:val="23"/>
          <w:szCs w:val="23"/>
        </w:rPr>
        <w:t>延长其存活期，因此可开发为治疗肿瘤的辅助药物。茶氨酸还能提高多种抗肿瘤</w:t>
      </w:r>
      <w:r>
        <w:rPr>
          <w:rFonts w:ascii="宋体" w:eastAsia="宋体" w:hAnsi="宋体" w:cs="宋体"/>
          <w:spacing w:val="15"/>
          <w:sz w:val="23"/>
          <w:szCs w:val="23"/>
        </w:rPr>
        <w:t xml:space="preserve"> </w:t>
      </w:r>
      <w:r>
        <w:rPr>
          <w:rFonts w:ascii="宋体" w:eastAsia="宋体" w:hAnsi="宋体" w:cs="宋体"/>
          <w:spacing w:val="-15"/>
          <w:sz w:val="23"/>
          <w:szCs w:val="23"/>
        </w:rPr>
        <w:t>药物的疗效。如将M5076</w:t>
      </w:r>
      <w:r>
        <w:rPr>
          <w:rFonts w:ascii="宋体" w:eastAsia="宋体" w:hAnsi="宋体" w:cs="宋体"/>
          <w:spacing w:val="-19"/>
          <w:sz w:val="23"/>
          <w:szCs w:val="23"/>
        </w:rPr>
        <w:t xml:space="preserve"> </w:t>
      </w:r>
      <w:r>
        <w:rPr>
          <w:rFonts w:ascii="宋体" w:eastAsia="宋体" w:hAnsi="宋体" w:cs="宋体"/>
          <w:spacing w:val="-15"/>
          <w:sz w:val="23"/>
          <w:szCs w:val="23"/>
        </w:rPr>
        <w:t>卵巢癌细胞移植小鼠背部皮下使其长出肿瘤后，单</w:t>
      </w:r>
      <w:r>
        <w:rPr>
          <w:rFonts w:ascii="宋体" w:eastAsia="宋体" w:hAnsi="宋体" w:cs="宋体"/>
          <w:spacing w:val="-16"/>
          <w:sz w:val="23"/>
          <w:szCs w:val="23"/>
        </w:rPr>
        <w:t>独</w:t>
      </w:r>
      <w:r>
        <w:rPr>
          <w:rFonts w:ascii="宋体" w:eastAsia="宋体" w:hAnsi="宋体" w:cs="宋体"/>
          <w:sz w:val="23"/>
          <w:szCs w:val="23"/>
        </w:rPr>
        <w:t xml:space="preserve"> </w:t>
      </w:r>
      <w:r>
        <w:rPr>
          <w:rFonts w:ascii="宋体" w:eastAsia="宋体" w:hAnsi="宋体" w:cs="宋体"/>
          <w:spacing w:val="-10"/>
          <w:sz w:val="23"/>
          <w:szCs w:val="23"/>
        </w:rPr>
        <w:t>使用阿霉素</w:t>
      </w:r>
      <w:r>
        <w:rPr>
          <w:rFonts w:ascii="宋体" w:eastAsia="宋体" w:hAnsi="宋体" w:cs="宋体"/>
          <w:spacing w:val="-25"/>
          <w:sz w:val="23"/>
          <w:szCs w:val="23"/>
        </w:rPr>
        <w:t xml:space="preserve"> </w:t>
      </w:r>
      <w:r>
        <w:rPr>
          <w:rFonts w:ascii="宋体" w:eastAsia="宋体" w:hAnsi="宋体" w:cs="宋体"/>
          <w:spacing w:val="-10"/>
          <w:sz w:val="23"/>
          <w:szCs w:val="23"/>
        </w:rPr>
        <w:t>(doxorubicin,DOX)</w:t>
      </w:r>
      <w:r>
        <w:rPr>
          <w:rFonts w:ascii="宋体" w:eastAsia="宋体" w:hAnsi="宋体" w:cs="宋体"/>
          <w:spacing w:val="-1"/>
          <w:sz w:val="23"/>
          <w:szCs w:val="23"/>
        </w:rPr>
        <w:t xml:space="preserve"> </w:t>
      </w:r>
      <w:r>
        <w:rPr>
          <w:rFonts w:ascii="宋体" w:eastAsia="宋体" w:hAnsi="宋体" w:cs="宋体"/>
          <w:spacing w:val="-10"/>
          <w:sz w:val="23"/>
          <w:szCs w:val="23"/>
        </w:rPr>
        <w:t>时肿瘤无变化，当与茶氨</w:t>
      </w:r>
      <w:r>
        <w:rPr>
          <w:rFonts w:ascii="宋体" w:eastAsia="宋体" w:hAnsi="宋体" w:cs="宋体"/>
          <w:spacing w:val="-11"/>
          <w:sz w:val="23"/>
          <w:szCs w:val="23"/>
        </w:rPr>
        <w:t>酸一起使用时肿瘤</w:t>
      </w:r>
      <w:r>
        <w:rPr>
          <w:rFonts w:ascii="宋体" w:eastAsia="宋体" w:hAnsi="宋体" w:cs="宋体"/>
          <w:sz w:val="23"/>
          <w:szCs w:val="23"/>
        </w:rPr>
        <w:t xml:space="preserve"> </w:t>
      </w:r>
      <w:r>
        <w:rPr>
          <w:rFonts w:ascii="宋体" w:eastAsia="宋体" w:hAnsi="宋体" w:cs="宋体"/>
          <w:spacing w:val="-9"/>
          <w:sz w:val="23"/>
          <w:szCs w:val="23"/>
        </w:rPr>
        <w:t>减小到CK</w:t>
      </w:r>
      <w:r>
        <w:rPr>
          <w:rFonts w:ascii="宋体" w:eastAsia="宋体" w:hAnsi="宋体" w:cs="宋体"/>
          <w:spacing w:val="22"/>
          <w:sz w:val="23"/>
          <w:szCs w:val="23"/>
        </w:rPr>
        <w:t xml:space="preserve"> </w:t>
      </w:r>
      <w:r>
        <w:rPr>
          <w:rFonts w:ascii="宋体" w:eastAsia="宋体" w:hAnsi="宋体" w:cs="宋体"/>
          <w:spacing w:val="-9"/>
          <w:sz w:val="23"/>
          <w:szCs w:val="23"/>
        </w:rPr>
        <w:t>的62%,并且肿瘤中阿霉素的浓度增加2.</w:t>
      </w:r>
      <w:r>
        <w:rPr>
          <w:rFonts w:ascii="宋体" w:eastAsia="宋体" w:hAnsi="宋体" w:cs="宋体"/>
          <w:spacing w:val="-10"/>
          <w:sz w:val="23"/>
          <w:szCs w:val="23"/>
        </w:rPr>
        <w:t>7倍，从而增强了阿霉素的</w:t>
      </w:r>
      <w:r>
        <w:rPr>
          <w:rFonts w:ascii="宋体" w:eastAsia="宋体" w:hAnsi="宋体" w:cs="宋体"/>
          <w:sz w:val="23"/>
          <w:szCs w:val="23"/>
        </w:rPr>
        <w:t xml:space="preserve"> </w:t>
      </w:r>
      <w:r>
        <w:rPr>
          <w:rFonts w:ascii="宋体" w:eastAsia="宋体" w:hAnsi="宋体" w:cs="宋体"/>
          <w:spacing w:val="-23"/>
          <w:sz w:val="23"/>
          <w:szCs w:val="23"/>
        </w:rPr>
        <w:t>抗癌效果，同时茶氨酸不增加阿霉素在正常组织中的浓度。茶氨酸的增强抗癌效</w:t>
      </w:r>
      <w:r>
        <w:rPr>
          <w:rFonts w:ascii="宋体" w:eastAsia="宋体" w:hAnsi="宋体" w:cs="宋体"/>
          <w:spacing w:val="12"/>
          <w:sz w:val="23"/>
          <w:szCs w:val="23"/>
        </w:rPr>
        <w:t xml:space="preserve"> </w:t>
      </w:r>
      <w:r>
        <w:rPr>
          <w:rFonts w:ascii="宋体" w:eastAsia="宋体" w:hAnsi="宋体" w:cs="宋体"/>
          <w:spacing w:val="-22"/>
          <w:sz w:val="23"/>
          <w:szCs w:val="23"/>
        </w:rPr>
        <w:t>果的作用还在阿霉素对艾氏腹水肿瘤的试验中</w:t>
      </w:r>
      <w:r>
        <w:rPr>
          <w:rFonts w:ascii="宋体" w:eastAsia="宋体" w:hAnsi="宋体" w:cs="宋体"/>
          <w:spacing w:val="-23"/>
          <w:sz w:val="23"/>
          <w:szCs w:val="23"/>
        </w:rPr>
        <w:t>观察到。茶氨酸与其他抗肿瘤药如</w:t>
      </w:r>
      <w:r>
        <w:rPr>
          <w:rFonts w:ascii="宋体" w:eastAsia="宋体" w:hAnsi="宋体" w:cs="宋体"/>
          <w:sz w:val="23"/>
          <w:szCs w:val="23"/>
        </w:rPr>
        <w:t xml:space="preserve"> </w:t>
      </w:r>
      <w:r>
        <w:rPr>
          <w:rFonts w:ascii="宋体" w:eastAsia="宋体" w:hAnsi="宋体" w:cs="宋体"/>
          <w:spacing w:val="-20"/>
          <w:sz w:val="23"/>
          <w:szCs w:val="23"/>
        </w:rPr>
        <w:t>pirarubicin或idarubicin等合用时，不但有增强抗癌疗效的作用，同时还能减轻</w:t>
      </w:r>
      <w:r>
        <w:rPr>
          <w:rFonts w:ascii="宋体" w:eastAsia="宋体" w:hAnsi="宋体" w:cs="宋体"/>
          <w:spacing w:val="12"/>
          <w:sz w:val="23"/>
          <w:szCs w:val="23"/>
        </w:rPr>
        <w:t xml:space="preserve"> </w:t>
      </w:r>
      <w:r>
        <w:rPr>
          <w:rFonts w:ascii="宋体" w:eastAsia="宋体" w:hAnsi="宋体" w:cs="宋体"/>
          <w:spacing w:val="-16"/>
          <w:sz w:val="23"/>
          <w:szCs w:val="23"/>
        </w:rPr>
        <w:t>抗癌药物引起的白血球及骨髓细胞减少等不良反应。茶氨酸与阿霉素一起使</w:t>
      </w:r>
      <w:r>
        <w:rPr>
          <w:rFonts w:ascii="宋体" w:eastAsia="宋体" w:hAnsi="宋体" w:cs="宋体"/>
          <w:spacing w:val="-17"/>
          <w:sz w:val="23"/>
          <w:szCs w:val="23"/>
        </w:rPr>
        <w:t>用</w:t>
      </w:r>
      <w:r>
        <w:rPr>
          <w:rFonts w:ascii="宋体" w:eastAsia="宋体" w:hAnsi="宋体" w:cs="宋体"/>
          <w:sz w:val="23"/>
          <w:szCs w:val="23"/>
        </w:rPr>
        <w:t xml:space="preserve"> </w:t>
      </w:r>
      <w:r>
        <w:rPr>
          <w:rFonts w:ascii="宋体" w:eastAsia="宋体" w:hAnsi="宋体" w:cs="宋体"/>
          <w:spacing w:val="-18"/>
          <w:sz w:val="23"/>
          <w:szCs w:val="23"/>
        </w:rPr>
        <w:t>时，不但提高DOX</w:t>
      </w:r>
      <w:r>
        <w:rPr>
          <w:rFonts w:ascii="宋体" w:eastAsia="宋体" w:hAnsi="宋体" w:cs="宋体"/>
          <w:spacing w:val="68"/>
          <w:sz w:val="23"/>
          <w:szCs w:val="23"/>
        </w:rPr>
        <w:t xml:space="preserve"> </w:t>
      </w:r>
      <w:r>
        <w:rPr>
          <w:rFonts w:ascii="宋体" w:eastAsia="宋体" w:hAnsi="宋体" w:cs="宋体"/>
          <w:spacing w:val="-18"/>
          <w:sz w:val="23"/>
          <w:szCs w:val="23"/>
        </w:rPr>
        <w:t>的抗肿瘤活性，而且还提高其抑制肿瘤转移活性。茶氨酸还</w:t>
      </w:r>
      <w:r>
        <w:rPr>
          <w:rFonts w:ascii="宋体" w:eastAsia="宋体" w:hAnsi="宋体" w:cs="宋体"/>
          <w:sz w:val="23"/>
          <w:szCs w:val="23"/>
        </w:rPr>
        <w:t xml:space="preserve"> </w:t>
      </w:r>
      <w:r>
        <w:rPr>
          <w:rFonts w:ascii="宋体" w:eastAsia="宋体" w:hAnsi="宋体" w:cs="宋体"/>
          <w:spacing w:val="-18"/>
          <w:sz w:val="23"/>
          <w:szCs w:val="23"/>
        </w:rPr>
        <w:t>可抑制癌细胞的浸润，防止原生部的癌细胞通过对周围组织的浸润进行局部扩</w:t>
      </w:r>
      <w:r>
        <w:rPr>
          <w:rFonts w:ascii="宋体" w:eastAsia="宋体" w:hAnsi="宋体" w:cs="宋体"/>
          <w:spacing w:val="11"/>
          <w:sz w:val="23"/>
          <w:szCs w:val="23"/>
        </w:rPr>
        <w:t xml:space="preserve"> </w:t>
      </w:r>
      <w:r>
        <w:rPr>
          <w:rFonts w:ascii="宋体" w:eastAsia="宋体" w:hAnsi="宋体" w:cs="宋体"/>
          <w:spacing w:val="-23"/>
          <w:sz w:val="23"/>
          <w:szCs w:val="23"/>
        </w:rPr>
        <w:t>散，转移到身体的其他部位。其阻碍癌细胞浸润的能力随浓度提高而增强。</w:t>
      </w:r>
    </w:p>
    <w:p w:rsidR="00EA40A3" w:rsidRDefault="00E86C16">
      <w:pPr>
        <w:spacing w:before="253" w:line="222" w:lineRule="auto"/>
        <w:rPr>
          <w:rFonts w:ascii="仿宋" w:eastAsia="仿宋" w:hAnsi="仿宋" w:cs="仿宋"/>
          <w:sz w:val="23"/>
          <w:szCs w:val="23"/>
        </w:rPr>
      </w:pPr>
      <w:r>
        <w:rPr>
          <w:rFonts w:ascii="仿宋" w:eastAsia="仿宋" w:hAnsi="仿宋" w:cs="仿宋"/>
          <w:spacing w:val="2"/>
          <w:sz w:val="23"/>
          <w:szCs w:val="23"/>
        </w:rPr>
        <w:t>5.</w:t>
      </w:r>
      <w:r>
        <w:rPr>
          <w:rFonts w:ascii="仿宋" w:eastAsia="仿宋" w:hAnsi="仿宋" w:cs="仿宋"/>
          <w:spacing w:val="-38"/>
          <w:sz w:val="23"/>
          <w:szCs w:val="23"/>
        </w:rPr>
        <w:t xml:space="preserve"> </w:t>
      </w:r>
      <w:r>
        <w:rPr>
          <w:rFonts w:ascii="仿宋" w:eastAsia="仿宋" w:hAnsi="仿宋" w:cs="仿宋"/>
          <w:spacing w:val="2"/>
          <w:sz w:val="23"/>
          <w:szCs w:val="23"/>
        </w:rPr>
        <w:t>其他功能</w:t>
      </w:r>
    </w:p>
    <w:p w:rsidR="00EA40A3" w:rsidRDefault="00E86C16">
      <w:pPr>
        <w:spacing w:before="197" w:line="229" w:lineRule="auto"/>
        <w:ind w:right="77" w:firstLine="430"/>
        <w:jc w:val="both"/>
        <w:rPr>
          <w:rFonts w:ascii="宋体" w:eastAsia="宋体" w:hAnsi="宋体" w:cs="宋体"/>
          <w:sz w:val="23"/>
          <w:szCs w:val="23"/>
        </w:rPr>
      </w:pPr>
      <w:r>
        <w:rPr>
          <w:rFonts w:ascii="宋体" w:eastAsia="宋体" w:hAnsi="宋体" w:cs="宋体"/>
          <w:spacing w:val="-23"/>
          <w:sz w:val="23"/>
          <w:szCs w:val="23"/>
        </w:rPr>
        <w:t>茶氨酸是咖啡碱的抑制物，可有效抑制高剂量咖啡碱引起的兴奋震颤作用和</w:t>
      </w:r>
      <w:r>
        <w:rPr>
          <w:rFonts w:ascii="宋体" w:eastAsia="宋体" w:hAnsi="宋体" w:cs="宋体"/>
          <w:spacing w:val="5"/>
          <w:sz w:val="23"/>
          <w:szCs w:val="23"/>
        </w:rPr>
        <w:t xml:space="preserve"> </w:t>
      </w:r>
      <w:r>
        <w:rPr>
          <w:rFonts w:ascii="宋体" w:eastAsia="宋体" w:hAnsi="宋体" w:cs="宋体"/>
          <w:spacing w:val="-21"/>
          <w:w w:val="99"/>
          <w:sz w:val="23"/>
          <w:szCs w:val="23"/>
        </w:rPr>
        <w:t>低剂量咖啡碱对自发运动神经的强化作用，还有缓解咖啡碱推迟睡眠发生和缩短</w:t>
      </w:r>
      <w:r>
        <w:rPr>
          <w:rFonts w:ascii="宋体" w:eastAsia="宋体" w:hAnsi="宋体" w:cs="宋体"/>
          <w:spacing w:val="23"/>
          <w:sz w:val="23"/>
          <w:szCs w:val="23"/>
        </w:rPr>
        <w:t xml:space="preserve"> </w:t>
      </w:r>
      <w:r>
        <w:rPr>
          <w:rFonts w:ascii="宋体" w:eastAsia="宋体" w:hAnsi="宋体" w:cs="宋体"/>
          <w:spacing w:val="-24"/>
          <w:sz w:val="23"/>
          <w:szCs w:val="23"/>
        </w:rPr>
        <w:t>睡眠时间的作用。茶氨酸有降血脂及降胆固醇作用，可抑制氨基半乳糖所引起的</w:t>
      </w:r>
      <w:r>
        <w:rPr>
          <w:rFonts w:ascii="宋体" w:eastAsia="宋体" w:hAnsi="宋体" w:cs="宋体"/>
          <w:spacing w:val="15"/>
          <w:sz w:val="23"/>
          <w:szCs w:val="23"/>
        </w:rPr>
        <w:t xml:space="preserve"> </w:t>
      </w:r>
      <w:r>
        <w:rPr>
          <w:rFonts w:ascii="宋体" w:eastAsia="宋体" w:hAnsi="宋体" w:cs="宋体"/>
          <w:spacing w:val="-22"/>
          <w:w w:val="98"/>
          <w:sz w:val="23"/>
          <w:szCs w:val="23"/>
        </w:rPr>
        <w:t>肝细胞坏死，还能抑制脂质过氧化。</w:t>
      </w:r>
    </w:p>
    <w:p w:rsidR="00EA40A3" w:rsidRDefault="00E86C16">
      <w:pPr>
        <w:spacing w:before="213" w:line="220" w:lineRule="auto"/>
        <w:ind w:left="3"/>
        <w:outlineLvl w:val="6"/>
        <w:rPr>
          <w:rFonts w:ascii="黑体" w:eastAsia="黑体" w:hAnsi="黑体" w:cs="黑体"/>
          <w:sz w:val="23"/>
          <w:szCs w:val="23"/>
        </w:rPr>
      </w:pPr>
      <w:r>
        <w:rPr>
          <w:rFonts w:ascii="黑体" w:eastAsia="黑体" w:hAnsi="黑体" w:cs="黑体"/>
          <w:b/>
          <w:bCs/>
          <w:spacing w:val="3"/>
          <w:sz w:val="23"/>
          <w:szCs w:val="23"/>
        </w:rPr>
        <w:t>5.6.2</w:t>
      </w:r>
      <w:r>
        <w:rPr>
          <w:rFonts w:ascii="黑体" w:eastAsia="黑体" w:hAnsi="黑体" w:cs="黑体"/>
          <w:spacing w:val="24"/>
          <w:sz w:val="23"/>
          <w:szCs w:val="23"/>
        </w:rPr>
        <w:t xml:space="preserve">  </w:t>
      </w:r>
      <w:r>
        <w:rPr>
          <w:rFonts w:ascii="黑体" w:eastAsia="黑体" w:hAnsi="黑体" w:cs="黑体"/>
          <w:b/>
          <w:bCs/>
          <w:spacing w:val="3"/>
          <w:sz w:val="23"/>
          <w:szCs w:val="23"/>
        </w:rPr>
        <w:t>茶氨酸的代谢及安全性</w:t>
      </w:r>
    </w:p>
    <w:p w:rsidR="00EA40A3" w:rsidRDefault="00E86C16">
      <w:pPr>
        <w:spacing w:before="208" w:line="237" w:lineRule="auto"/>
        <w:ind w:right="63" w:firstLine="430"/>
        <w:jc w:val="both"/>
        <w:rPr>
          <w:rFonts w:ascii="宋体" w:eastAsia="宋体" w:hAnsi="宋体" w:cs="宋体"/>
          <w:sz w:val="23"/>
          <w:szCs w:val="23"/>
        </w:rPr>
      </w:pPr>
      <w:r>
        <w:rPr>
          <w:rFonts w:ascii="宋体" w:eastAsia="宋体" w:hAnsi="宋体" w:cs="宋体"/>
          <w:spacing w:val="-20"/>
          <w:sz w:val="23"/>
          <w:szCs w:val="23"/>
        </w:rPr>
        <w:t>同其他氨基酸一样，L</w:t>
      </w:r>
      <w:r>
        <w:rPr>
          <w:rFonts w:ascii="宋体" w:eastAsia="宋体" w:hAnsi="宋体" w:cs="宋体"/>
          <w:spacing w:val="-3"/>
          <w:sz w:val="23"/>
          <w:szCs w:val="23"/>
        </w:rPr>
        <w:t xml:space="preserve"> </w:t>
      </w:r>
      <w:r>
        <w:rPr>
          <w:rFonts w:ascii="宋体" w:eastAsia="宋体" w:hAnsi="宋体" w:cs="宋体"/>
          <w:spacing w:val="-20"/>
          <w:sz w:val="23"/>
          <w:szCs w:val="23"/>
        </w:rPr>
        <w:t>茶氨酸在肠道吸收</w:t>
      </w:r>
      <w:r>
        <w:rPr>
          <w:rFonts w:ascii="宋体" w:eastAsia="宋体" w:hAnsi="宋体" w:cs="宋体"/>
          <w:spacing w:val="-21"/>
          <w:sz w:val="23"/>
          <w:szCs w:val="23"/>
        </w:rPr>
        <w:t>。</w:t>
      </w:r>
      <w:r>
        <w:rPr>
          <w:rFonts w:ascii="宋体" w:eastAsia="宋体" w:hAnsi="宋体" w:cs="宋体"/>
          <w:spacing w:val="-6"/>
          <w:sz w:val="23"/>
          <w:szCs w:val="23"/>
        </w:rPr>
        <w:t xml:space="preserve"> </w:t>
      </w:r>
      <w:r>
        <w:rPr>
          <w:rFonts w:ascii="宋体" w:eastAsia="宋体" w:hAnsi="宋体" w:cs="宋体"/>
          <w:spacing w:val="-20"/>
          <w:sz w:val="23"/>
          <w:szCs w:val="23"/>
        </w:rPr>
        <w:t>Kitaoka</w:t>
      </w:r>
      <w:r>
        <w:rPr>
          <w:rFonts w:ascii="宋体" w:eastAsia="宋体" w:hAnsi="宋体" w:cs="宋体"/>
          <w:spacing w:val="-21"/>
          <w:sz w:val="23"/>
          <w:szCs w:val="23"/>
        </w:rPr>
        <w:t>等研究表明，茶氨酸在</w:t>
      </w:r>
      <w:r>
        <w:rPr>
          <w:rFonts w:ascii="宋体" w:eastAsia="宋体" w:hAnsi="宋体" w:cs="宋体"/>
          <w:sz w:val="23"/>
          <w:szCs w:val="23"/>
        </w:rPr>
        <w:t xml:space="preserve"> </w:t>
      </w:r>
      <w:r>
        <w:rPr>
          <w:rFonts w:ascii="宋体" w:eastAsia="宋体" w:hAnsi="宋体" w:cs="宋体"/>
          <w:spacing w:val="-14"/>
          <w:sz w:val="23"/>
          <w:szCs w:val="23"/>
        </w:rPr>
        <w:t>肠道内的吸收可能是与谷氨酸共用一个由Na*</w:t>
      </w:r>
      <w:r>
        <w:rPr>
          <w:rFonts w:ascii="宋体" w:eastAsia="宋体" w:hAnsi="宋体" w:cs="宋体"/>
          <w:spacing w:val="-49"/>
          <w:sz w:val="23"/>
          <w:szCs w:val="23"/>
        </w:rPr>
        <w:t xml:space="preserve"> </w:t>
      </w:r>
      <w:r>
        <w:rPr>
          <w:rFonts w:ascii="宋体" w:eastAsia="宋体" w:hAnsi="宋体" w:cs="宋体"/>
          <w:spacing w:val="-15"/>
          <w:sz w:val="23"/>
          <w:szCs w:val="23"/>
        </w:rPr>
        <w:t>偶联的协同运转蛋白，但亲和力</w:t>
      </w:r>
      <w:r>
        <w:rPr>
          <w:rFonts w:ascii="宋体" w:eastAsia="宋体" w:hAnsi="宋体" w:cs="宋体"/>
          <w:sz w:val="23"/>
          <w:szCs w:val="23"/>
        </w:rPr>
        <w:t xml:space="preserve"> </w:t>
      </w:r>
      <w:r>
        <w:rPr>
          <w:rFonts w:ascii="宋体" w:eastAsia="宋体" w:hAnsi="宋体" w:cs="宋体"/>
          <w:spacing w:val="-23"/>
          <w:sz w:val="23"/>
          <w:szCs w:val="23"/>
        </w:rPr>
        <w:t>比谷氨酸低。吸收后迅速进入血液并输送至肝和脑中。以鼠为对象研究茶氨酸在</w:t>
      </w:r>
      <w:r>
        <w:rPr>
          <w:rFonts w:ascii="宋体" w:eastAsia="宋体" w:hAnsi="宋体" w:cs="宋体"/>
          <w:spacing w:val="15"/>
          <w:sz w:val="23"/>
          <w:szCs w:val="23"/>
        </w:rPr>
        <w:t xml:space="preserve"> </w:t>
      </w:r>
      <w:r>
        <w:rPr>
          <w:rFonts w:ascii="宋体" w:eastAsia="宋体" w:hAnsi="宋体" w:cs="宋体"/>
          <w:spacing w:val="-16"/>
          <w:sz w:val="23"/>
          <w:szCs w:val="23"/>
        </w:rPr>
        <w:t>体内的代谢动力学变化表明，经口灌胃1h后，鼠血清、脑及肝中茶氨酸浓度明</w:t>
      </w:r>
      <w:r>
        <w:rPr>
          <w:rFonts w:ascii="宋体" w:eastAsia="宋体" w:hAnsi="宋体" w:cs="宋体"/>
          <w:spacing w:val="12"/>
          <w:sz w:val="23"/>
          <w:szCs w:val="23"/>
        </w:rPr>
        <w:t xml:space="preserve"> </w:t>
      </w:r>
      <w:r>
        <w:rPr>
          <w:rFonts w:ascii="宋体" w:eastAsia="宋体" w:hAnsi="宋体" w:cs="宋体"/>
          <w:spacing w:val="-23"/>
          <w:sz w:val="23"/>
          <w:szCs w:val="23"/>
        </w:rPr>
        <w:t>显增加，此后，随时间延长，血清和肝中的茶氨酸浓度逐渐降低，而脑中的茶氨</w:t>
      </w:r>
    </w:p>
    <w:p w:rsidR="00EA40A3" w:rsidRDefault="00E86C16">
      <w:pPr>
        <w:spacing w:before="51"/>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168</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footerReference w:type="default" r:id="rId150"/>
          <w:pgSz w:w="9220" w:h="13360"/>
          <w:pgMar w:top="400" w:right="1064" w:bottom="400" w:left="809" w:header="0" w:footer="0" w:gutter="0"/>
          <w:cols w:space="720"/>
        </w:sectPr>
      </w:pPr>
    </w:p>
    <w:p w:rsidR="00EA40A3" w:rsidRDefault="00EA40A3">
      <w:pPr>
        <w:spacing w:line="269" w:lineRule="auto"/>
      </w:pPr>
    </w:p>
    <w:p w:rsidR="00EA40A3" w:rsidRDefault="00EA40A3">
      <w:pPr>
        <w:spacing w:line="270" w:lineRule="auto"/>
      </w:pPr>
    </w:p>
    <w:p w:rsidR="00EA40A3" w:rsidRDefault="00E86C16">
      <w:pPr>
        <w:spacing w:before="75" w:line="234" w:lineRule="auto"/>
        <w:ind w:right="21"/>
        <w:jc w:val="both"/>
        <w:rPr>
          <w:rFonts w:ascii="宋体" w:eastAsia="宋体" w:hAnsi="宋体" w:cs="宋体"/>
          <w:sz w:val="23"/>
          <w:szCs w:val="23"/>
        </w:rPr>
      </w:pPr>
      <w:r>
        <w:rPr>
          <w:rFonts w:ascii="宋体" w:eastAsia="宋体" w:hAnsi="宋体" w:cs="宋体"/>
          <w:spacing w:val="-19"/>
          <w:sz w:val="23"/>
          <w:szCs w:val="23"/>
        </w:rPr>
        <w:t>酸浓度则继续保持增长趋势，</w:t>
      </w:r>
      <w:r>
        <w:rPr>
          <w:rFonts w:ascii="宋体" w:eastAsia="宋体" w:hAnsi="宋体" w:cs="宋体"/>
          <w:spacing w:val="69"/>
          <w:sz w:val="23"/>
          <w:szCs w:val="23"/>
        </w:rPr>
        <w:t xml:space="preserve"> </w:t>
      </w:r>
      <w:r>
        <w:rPr>
          <w:rFonts w:ascii="宋体" w:eastAsia="宋体" w:hAnsi="宋体" w:cs="宋体"/>
          <w:spacing w:val="-19"/>
          <w:sz w:val="23"/>
          <w:szCs w:val="23"/>
        </w:rPr>
        <w:t>一直到灌胃5h</w:t>
      </w:r>
      <w:r>
        <w:rPr>
          <w:rFonts w:ascii="宋体" w:eastAsia="宋体" w:hAnsi="宋体" w:cs="宋体"/>
          <w:spacing w:val="-64"/>
          <w:sz w:val="23"/>
          <w:szCs w:val="23"/>
        </w:rPr>
        <w:t xml:space="preserve"> </w:t>
      </w:r>
      <w:r>
        <w:rPr>
          <w:rFonts w:ascii="宋体" w:eastAsia="宋体" w:hAnsi="宋体" w:cs="宋体"/>
          <w:spacing w:val="-19"/>
          <w:sz w:val="23"/>
          <w:szCs w:val="23"/>
        </w:rPr>
        <w:t>后浓度才达最高值，24h后这些组</w:t>
      </w:r>
      <w:r>
        <w:rPr>
          <w:rFonts w:ascii="宋体" w:eastAsia="宋体" w:hAnsi="宋体" w:cs="宋体"/>
          <w:sz w:val="23"/>
          <w:szCs w:val="23"/>
        </w:rPr>
        <w:t xml:space="preserve"> </w:t>
      </w:r>
      <w:r>
        <w:rPr>
          <w:rFonts w:ascii="宋体" w:eastAsia="宋体" w:hAnsi="宋体" w:cs="宋体"/>
          <w:spacing w:val="-23"/>
          <w:w w:val="98"/>
          <w:sz w:val="23"/>
          <w:szCs w:val="23"/>
        </w:rPr>
        <w:t>织中的茶氨酸都消失。茶氨酸的代谢部位是肾脏，</w:t>
      </w:r>
      <w:r>
        <w:rPr>
          <w:rFonts w:ascii="宋体" w:eastAsia="宋体" w:hAnsi="宋体" w:cs="宋体"/>
          <w:spacing w:val="47"/>
          <w:sz w:val="23"/>
          <w:szCs w:val="23"/>
        </w:rPr>
        <w:t xml:space="preserve"> </w:t>
      </w:r>
      <w:r>
        <w:rPr>
          <w:rFonts w:ascii="宋体" w:eastAsia="宋体" w:hAnsi="宋体" w:cs="宋体"/>
          <w:spacing w:val="-23"/>
          <w:w w:val="98"/>
          <w:sz w:val="23"/>
          <w:szCs w:val="23"/>
        </w:rPr>
        <w:t>一部分在肾脏被分解为乙胺和</w:t>
      </w:r>
      <w:r>
        <w:rPr>
          <w:rFonts w:ascii="宋体" w:eastAsia="宋体" w:hAnsi="宋体" w:cs="宋体"/>
          <w:sz w:val="23"/>
          <w:szCs w:val="23"/>
        </w:rPr>
        <w:t xml:space="preserve"> </w:t>
      </w:r>
      <w:r>
        <w:rPr>
          <w:rFonts w:ascii="宋体" w:eastAsia="宋体" w:hAnsi="宋体" w:cs="宋体"/>
          <w:spacing w:val="-24"/>
          <w:sz w:val="23"/>
          <w:szCs w:val="23"/>
        </w:rPr>
        <w:t>谷氨酸后通过尿排出体外，另一部分直接排出体外。</w:t>
      </w:r>
    </w:p>
    <w:p w:rsidR="00EA40A3" w:rsidRDefault="00E86C16">
      <w:pPr>
        <w:spacing w:before="57" w:line="235" w:lineRule="auto"/>
        <w:ind w:right="20" w:firstLine="390"/>
        <w:jc w:val="both"/>
        <w:rPr>
          <w:rFonts w:ascii="宋体" w:eastAsia="宋体" w:hAnsi="宋体" w:cs="宋体"/>
          <w:sz w:val="23"/>
          <w:szCs w:val="23"/>
        </w:rPr>
      </w:pPr>
      <w:r>
        <w:rPr>
          <w:rFonts w:ascii="宋体" w:eastAsia="宋体" w:hAnsi="宋体" w:cs="宋体"/>
          <w:spacing w:val="-16"/>
          <w:sz w:val="23"/>
          <w:szCs w:val="23"/>
        </w:rPr>
        <w:t>早在1985年，美国FDA</w:t>
      </w:r>
      <w:r>
        <w:rPr>
          <w:rFonts w:ascii="宋体" w:eastAsia="宋体" w:hAnsi="宋体" w:cs="宋体"/>
          <w:spacing w:val="29"/>
          <w:sz w:val="23"/>
          <w:szCs w:val="23"/>
        </w:rPr>
        <w:t xml:space="preserve"> </w:t>
      </w:r>
      <w:r>
        <w:rPr>
          <w:rFonts w:ascii="宋体" w:eastAsia="宋体" w:hAnsi="宋体" w:cs="宋体"/>
          <w:spacing w:val="-16"/>
          <w:sz w:val="23"/>
          <w:szCs w:val="23"/>
        </w:rPr>
        <w:t>就认可并确认茶氨酸是一公认为安全的物质，在使</w:t>
      </w:r>
      <w:r>
        <w:rPr>
          <w:rFonts w:ascii="宋体" w:eastAsia="宋体" w:hAnsi="宋体" w:cs="宋体"/>
          <w:sz w:val="23"/>
          <w:szCs w:val="23"/>
        </w:rPr>
        <w:t xml:space="preserve"> </w:t>
      </w:r>
      <w:r>
        <w:rPr>
          <w:rFonts w:ascii="宋体" w:eastAsia="宋体" w:hAnsi="宋体" w:cs="宋体"/>
          <w:spacing w:val="-20"/>
          <w:sz w:val="23"/>
          <w:szCs w:val="23"/>
        </w:rPr>
        <w:t>用过程中不做限量规定。在连续服用28d</w:t>
      </w:r>
      <w:r>
        <w:rPr>
          <w:rFonts w:ascii="宋体" w:eastAsia="宋体" w:hAnsi="宋体" w:cs="宋体"/>
          <w:spacing w:val="-57"/>
          <w:sz w:val="23"/>
          <w:szCs w:val="23"/>
        </w:rPr>
        <w:t xml:space="preserve"> </w:t>
      </w:r>
      <w:r>
        <w:rPr>
          <w:rFonts w:ascii="宋体" w:eastAsia="宋体" w:hAnsi="宋体" w:cs="宋体"/>
          <w:spacing w:val="-20"/>
          <w:sz w:val="23"/>
          <w:szCs w:val="23"/>
        </w:rPr>
        <w:t>的</w:t>
      </w:r>
      <w:r>
        <w:rPr>
          <w:rFonts w:ascii="宋体" w:eastAsia="宋体" w:hAnsi="宋体" w:cs="宋体"/>
          <w:spacing w:val="-21"/>
          <w:sz w:val="23"/>
          <w:szCs w:val="23"/>
        </w:rPr>
        <w:t>亚急性实验中，大鼠未见有任何毒性</w:t>
      </w:r>
      <w:r>
        <w:rPr>
          <w:rFonts w:ascii="宋体" w:eastAsia="宋体" w:hAnsi="宋体" w:cs="宋体"/>
          <w:sz w:val="23"/>
          <w:szCs w:val="23"/>
        </w:rPr>
        <w:t xml:space="preserve"> </w:t>
      </w:r>
      <w:r>
        <w:rPr>
          <w:rFonts w:ascii="宋体" w:eastAsia="宋体" w:hAnsi="宋体" w:cs="宋体"/>
          <w:spacing w:val="-23"/>
          <w:sz w:val="23"/>
          <w:szCs w:val="23"/>
        </w:rPr>
        <w:t>反应；在致突变实验中也未见有任何诱变作用，细菌回复突变实</w:t>
      </w:r>
      <w:r>
        <w:rPr>
          <w:rFonts w:ascii="宋体" w:eastAsia="宋体" w:hAnsi="宋体" w:cs="宋体"/>
          <w:spacing w:val="-24"/>
          <w:sz w:val="23"/>
          <w:szCs w:val="23"/>
        </w:rPr>
        <w:t>验中也未导致基</w:t>
      </w:r>
      <w:r>
        <w:rPr>
          <w:rFonts w:ascii="宋体" w:eastAsia="宋体" w:hAnsi="宋体" w:cs="宋体"/>
          <w:sz w:val="23"/>
          <w:szCs w:val="23"/>
        </w:rPr>
        <w:t xml:space="preserve"> </w:t>
      </w:r>
      <w:r>
        <w:rPr>
          <w:rFonts w:ascii="宋体" w:eastAsia="宋体" w:hAnsi="宋体" w:cs="宋体"/>
          <w:spacing w:val="-23"/>
          <w:sz w:val="23"/>
          <w:szCs w:val="23"/>
        </w:rPr>
        <w:t>因变异，因此，茶氨酸是一种安全无毒、具有多种生理功</w:t>
      </w:r>
      <w:r>
        <w:rPr>
          <w:rFonts w:ascii="宋体" w:eastAsia="宋体" w:hAnsi="宋体" w:cs="宋体"/>
          <w:spacing w:val="-24"/>
          <w:sz w:val="23"/>
          <w:szCs w:val="23"/>
        </w:rPr>
        <w:t>能的天然食品添加剂。</w:t>
      </w:r>
    </w:p>
    <w:p w:rsidR="00EA40A3" w:rsidRDefault="00E86C16">
      <w:pPr>
        <w:spacing w:before="212" w:line="220" w:lineRule="auto"/>
        <w:ind w:left="3"/>
        <w:outlineLvl w:val="6"/>
        <w:rPr>
          <w:rFonts w:ascii="黑体" w:eastAsia="黑体" w:hAnsi="黑体" w:cs="黑体"/>
          <w:sz w:val="23"/>
          <w:szCs w:val="23"/>
        </w:rPr>
      </w:pPr>
      <w:r>
        <w:rPr>
          <w:rFonts w:ascii="黑体" w:eastAsia="黑体" w:hAnsi="黑体" w:cs="黑体"/>
          <w:b/>
          <w:bCs/>
          <w:spacing w:val="1"/>
          <w:sz w:val="23"/>
          <w:szCs w:val="23"/>
        </w:rPr>
        <w:t>5.6.3</w:t>
      </w:r>
      <w:r>
        <w:rPr>
          <w:rFonts w:ascii="黑体" w:eastAsia="黑体" w:hAnsi="黑体" w:cs="黑体"/>
          <w:spacing w:val="45"/>
          <w:sz w:val="23"/>
          <w:szCs w:val="23"/>
        </w:rPr>
        <w:t xml:space="preserve">  </w:t>
      </w:r>
      <w:r>
        <w:rPr>
          <w:rFonts w:ascii="黑体" w:eastAsia="黑体" w:hAnsi="黑体" w:cs="黑体"/>
          <w:b/>
          <w:bCs/>
          <w:spacing w:val="1"/>
          <w:sz w:val="23"/>
          <w:szCs w:val="23"/>
        </w:rPr>
        <w:t>茶氨酸的食物来源</w:t>
      </w:r>
    </w:p>
    <w:p w:rsidR="00EA40A3" w:rsidRDefault="00E86C16">
      <w:pPr>
        <w:spacing w:before="172" w:line="233" w:lineRule="auto"/>
        <w:ind w:right="16" w:firstLine="390"/>
        <w:rPr>
          <w:rFonts w:ascii="宋体" w:eastAsia="宋体" w:hAnsi="宋体" w:cs="宋体"/>
          <w:sz w:val="23"/>
          <w:szCs w:val="23"/>
        </w:rPr>
      </w:pPr>
      <w:r>
        <w:rPr>
          <w:rFonts w:ascii="宋体" w:eastAsia="宋体" w:hAnsi="宋体" w:cs="宋体"/>
          <w:spacing w:val="-22"/>
          <w:sz w:val="23"/>
          <w:szCs w:val="23"/>
        </w:rPr>
        <w:t>茶氨酸富含于茶、茶梅、油茶、红山茶及蕈等植物中。其性质较稳定，耐热</w:t>
      </w:r>
      <w:r>
        <w:rPr>
          <w:rFonts w:ascii="宋体" w:eastAsia="宋体" w:hAnsi="宋体" w:cs="宋体"/>
          <w:spacing w:val="7"/>
          <w:sz w:val="23"/>
          <w:szCs w:val="23"/>
        </w:rPr>
        <w:t xml:space="preserve"> </w:t>
      </w:r>
      <w:r>
        <w:rPr>
          <w:rFonts w:ascii="宋体" w:eastAsia="宋体" w:hAnsi="宋体" w:cs="宋体"/>
          <w:spacing w:val="-23"/>
          <w:sz w:val="23"/>
          <w:szCs w:val="23"/>
        </w:rPr>
        <w:t>耐酸，通常的食品加工、杀菌过程不会影响茶氨酸性质。</w:t>
      </w:r>
    </w:p>
    <w:p w:rsidR="00EA40A3" w:rsidRDefault="00E86C16">
      <w:pPr>
        <w:spacing w:before="28" w:line="239" w:lineRule="auto"/>
        <w:ind w:firstLine="390"/>
        <w:rPr>
          <w:rFonts w:ascii="宋体" w:eastAsia="宋体" w:hAnsi="宋体" w:cs="宋体"/>
          <w:sz w:val="23"/>
          <w:szCs w:val="23"/>
        </w:rPr>
      </w:pPr>
      <w:r>
        <w:rPr>
          <w:rFonts w:ascii="宋体" w:eastAsia="宋体" w:hAnsi="宋体" w:cs="宋体"/>
          <w:spacing w:val="-22"/>
          <w:sz w:val="23"/>
          <w:szCs w:val="23"/>
        </w:rPr>
        <w:t>对茶氨酸的应用研究以日本起步较早、贡献突出，添加茶氨酸的保健食品深</w:t>
      </w:r>
      <w:r>
        <w:rPr>
          <w:rFonts w:ascii="宋体" w:eastAsia="宋体" w:hAnsi="宋体" w:cs="宋体"/>
          <w:spacing w:val="6"/>
          <w:sz w:val="23"/>
          <w:szCs w:val="23"/>
        </w:rPr>
        <w:t xml:space="preserve"> </w:t>
      </w:r>
      <w:r>
        <w:rPr>
          <w:rFonts w:ascii="宋体" w:eastAsia="宋体" w:hAnsi="宋体" w:cs="宋体"/>
          <w:spacing w:val="-22"/>
          <w:sz w:val="23"/>
          <w:szCs w:val="23"/>
        </w:rPr>
        <w:t>受人们喜爱。作为一种食品添加剂被广泛用于点心、糖果及果冻、饮料、口</w:t>
      </w:r>
      <w:r>
        <w:rPr>
          <w:rFonts w:ascii="宋体" w:eastAsia="宋体" w:hAnsi="宋体" w:cs="宋体"/>
          <w:spacing w:val="-23"/>
          <w:sz w:val="23"/>
          <w:szCs w:val="23"/>
        </w:rPr>
        <w:t>香糖</w:t>
      </w:r>
      <w:r>
        <w:rPr>
          <w:rFonts w:ascii="宋体" w:eastAsia="宋体" w:hAnsi="宋体" w:cs="宋体"/>
          <w:sz w:val="23"/>
          <w:szCs w:val="23"/>
        </w:rPr>
        <w:t xml:space="preserve"> </w:t>
      </w:r>
      <w:r>
        <w:rPr>
          <w:rFonts w:ascii="宋体" w:eastAsia="宋体" w:hAnsi="宋体" w:cs="宋体"/>
          <w:spacing w:val="-22"/>
          <w:sz w:val="23"/>
          <w:szCs w:val="23"/>
        </w:rPr>
        <w:t>等食品中。毒性试验表明茶氨酸的摄入量不受限制，可</w:t>
      </w:r>
      <w:r>
        <w:rPr>
          <w:rFonts w:ascii="宋体" w:eastAsia="宋体" w:hAnsi="宋体" w:cs="宋体"/>
          <w:spacing w:val="-23"/>
          <w:sz w:val="23"/>
          <w:szCs w:val="23"/>
        </w:rPr>
        <w:t>按需添加。</w:t>
      </w:r>
    </w:p>
    <w:p w:rsidR="00EA40A3" w:rsidRDefault="00E86C16">
      <w:pPr>
        <w:spacing w:before="290" w:line="219" w:lineRule="auto"/>
        <w:ind w:left="2670"/>
        <w:rPr>
          <w:rFonts w:ascii="宋体" w:eastAsia="宋体" w:hAnsi="宋体" w:cs="宋体"/>
          <w:sz w:val="30"/>
          <w:szCs w:val="30"/>
        </w:rPr>
      </w:pPr>
      <w:r>
        <w:rPr>
          <w:rFonts w:ascii="宋体" w:eastAsia="宋体" w:hAnsi="宋体" w:cs="宋体"/>
          <w:spacing w:val="-17"/>
          <w:sz w:val="30"/>
          <w:szCs w:val="30"/>
        </w:rPr>
        <w:t>5.7</w:t>
      </w:r>
      <w:r>
        <w:rPr>
          <w:rFonts w:ascii="宋体" w:eastAsia="宋体" w:hAnsi="宋体" w:cs="宋体"/>
          <w:spacing w:val="96"/>
          <w:sz w:val="30"/>
          <w:szCs w:val="30"/>
        </w:rPr>
        <w:t xml:space="preserve"> </w:t>
      </w:r>
      <w:r>
        <w:rPr>
          <w:rFonts w:ascii="宋体" w:eastAsia="宋体" w:hAnsi="宋体" w:cs="宋体"/>
          <w:spacing w:val="-17"/>
          <w:sz w:val="30"/>
          <w:szCs w:val="30"/>
        </w:rPr>
        <w:t>植</w:t>
      </w:r>
      <w:r>
        <w:rPr>
          <w:rFonts w:ascii="宋体" w:eastAsia="宋体" w:hAnsi="宋体" w:cs="宋体"/>
          <w:spacing w:val="-66"/>
          <w:sz w:val="30"/>
          <w:szCs w:val="30"/>
        </w:rPr>
        <w:t xml:space="preserve"> </w:t>
      </w:r>
      <w:r>
        <w:rPr>
          <w:rFonts w:ascii="宋体" w:eastAsia="宋体" w:hAnsi="宋体" w:cs="宋体"/>
          <w:spacing w:val="-17"/>
          <w:sz w:val="30"/>
          <w:szCs w:val="30"/>
        </w:rPr>
        <w:t>物</w:t>
      </w:r>
      <w:r>
        <w:rPr>
          <w:rFonts w:ascii="宋体" w:eastAsia="宋体" w:hAnsi="宋体" w:cs="宋体"/>
          <w:spacing w:val="-32"/>
          <w:sz w:val="30"/>
          <w:szCs w:val="30"/>
        </w:rPr>
        <w:t xml:space="preserve"> </w:t>
      </w:r>
      <w:r>
        <w:rPr>
          <w:rFonts w:ascii="宋体" w:eastAsia="宋体" w:hAnsi="宋体" w:cs="宋体"/>
          <w:spacing w:val="-17"/>
          <w:sz w:val="30"/>
          <w:szCs w:val="30"/>
        </w:rPr>
        <w:t>甾</w:t>
      </w:r>
      <w:r>
        <w:rPr>
          <w:rFonts w:ascii="宋体" w:eastAsia="宋体" w:hAnsi="宋体" w:cs="宋体"/>
          <w:spacing w:val="-62"/>
          <w:sz w:val="30"/>
          <w:szCs w:val="30"/>
        </w:rPr>
        <w:t xml:space="preserve"> </w:t>
      </w:r>
      <w:r>
        <w:rPr>
          <w:rFonts w:ascii="宋体" w:eastAsia="宋体" w:hAnsi="宋体" w:cs="宋体"/>
          <w:spacing w:val="-17"/>
          <w:sz w:val="30"/>
          <w:szCs w:val="30"/>
        </w:rPr>
        <w:t>醇</w:t>
      </w:r>
    </w:p>
    <w:p w:rsidR="00EA40A3" w:rsidRDefault="00E86C16">
      <w:pPr>
        <w:spacing w:before="284" w:line="238" w:lineRule="auto"/>
        <w:ind w:firstLine="390"/>
        <w:jc w:val="both"/>
        <w:rPr>
          <w:rFonts w:ascii="宋体" w:eastAsia="宋体" w:hAnsi="宋体" w:cs="宋体"/>
          <w:sz w:val="23"/>
          <w:szCs w:val="23"/>
        </w:rPr>
      </w:pPr>
      <w:r>
        <w:rPr>
          <w:rFonts w:ascii="宋体" w:eastAsia="宋体" w:hAnsi="宋体" w:cs="宋体"/>
          <w:spacing w:val="-13"/>
          <w:sz w:val="23"/>
          <w:szCs w:val="23"/>
        </w:rPr>
        <w:t>植物甾醇类</w:t>
      </w:r>
      <w:r>
        <w:rPr>
          <w:rFonts w:ascii="宋体" w:eastAsia="宋体" w:hAnsi="宋体" w:cs="宋体"/>
          <w:spacing w:val="-25"/>
          <w:sz w:val="23"/>
          <w:szCs w:val="23"/>
        </w:rPr>
        <w:t xml:space="preserve"> </w:t>
      </w:r>
      <w:r>
        <w:rPr>
          <w:rFonts w:ascii="宋体" w:eastAsia="宋体" w:hAnsi="宋体" w:cs="宋体"/>
          <w:spacing w:val="-13"/>
          <w:sz w:val="23"/>
          <w:szCs w:val="23"/>
        </w:rPr>
        <w:t>(phytosterol)</w:t>
      </w:r>
      <w:r>
        <w:rPr>
          <w:rFonts w:ascii="宋体" w:eastAsia="宋体" w:hAnsi="宋体" w:cs="宋体"/>
          <w:spacing w:val="-59"/>
          <w:sz w:val="23"/>
          <w:szCs w:val="23"/>
        </w:rPr>
        <w:t xml:space="preserve"> </w:t>
      </w:r>
      <w:r>
        <w:rPr>
          <w:rFonts w:ascii="宋体" w:eastAsia="宋体" w:hAnsi="宋体" w:cs="宋体"/>
          <w:spacing w:val="-13"/>
          <w:sz w:val="23"/>
          <w:szCs w:val="23"/>
        </w:rPr>
        <w:t>是以环戊烷全氢</w:t>
      </w:r>
      <w:r>
        <w:rPr>
          <w:rFonts w:ascii="宋体" w:eastAsia="宋体" w:hAnsi="宋体" w:cs="宋体"/>
          <w:spacing w:val="-14"/>
          <w:sz w:val="23"/>
          <w:szCs w:val="23"/>
        </w:rPr>
        <w:t>菲为骨架(又称甾核)的一种物</w:t>
      </w:r>
      <w:r>
        <w:rPr>
          <w:rFonts w:ascii="宋体" w:eastAsia="宋体" w:hAnsi="宋体" w:cs="宋体"/>
          <w:sz w:val="23"/>
          <w:szCs w:val="23"/>
        </w:rPr>
        <w:t xml:space="preserve"> </w:t>
      </w:r>
      <w:r>
        <w:rPr>
          <w:rFonts w:ascii="宋体" w:eastAsia="宋体" w:hAnsi="宋体" w:cs="宋体"/>
          <w:spacing w:val="-15"/>
          <w:sz w:val="23"/>
          <w:szCs w:val="23"/>
        </w:rPr>
        <w:t>质，包括植物甾醇及酯、植物甾烷醇</w:t>
      </w:r>
      <w:r>
        <w:rPr>
          <w:rFonts w:ascii="宋体" w:eastAsia="宋体" w:hAnsi="宋体" w:cs="宋体"/>
          <w:spacing w:val="-16"/>
          <w:sz w:val="23"/>
          <w:szCs w:val="23"/>
        </w:rPr>
        <w:t xml:space="preserve"> </w:t>
      </w:r>
      <w:r>
        <w:rPr>
          <w:rFonts w:ascii="宋体" w:eastAsia="宋体" w:hAnsi="宋体" w:cs="宋体"/>
          <w:spacing w:val="-15"/>
          <w:sz w:val="23"/>
          <w:szCs w:val="23"/>
        </w:rPr>
        <w:t>(phytostanol)</w:t>
      </w:r>
      <w:r>
        <w:rPr>
          <w:rFonts w:ascii="宋体" w:eastAsia="宋体" w:hAnsi="宋体" w:cs="宋体"/>
          <w:spacing w:val="-61"/>
          <w:sz w:val="23"/>
          <w:szCs w:val="23"/>
        </w:rPr>
        <w:t xml:space="preserve"> </w:t>
      </w:r>
      <w:r>
        <w:rPr>
          <w:rFonts w:ascii="宋体" w:eastAsia="宋体" w:hAnsi="宋体" w:cs="宋体"/>
          <w:spacing w:val="-15"/>
          <w:sz w:val="23"/>
          <w:szCs w:val="23"/>
        </w:rPr>
        <w:t>及酯，有豆甾醇、莱油甾</w:t>
      </w:r>
      <w:r>
        <w:rPr>
          <w:rFonts w:ascii="宋体" w:eastAsia="宋体" w:hAnsi="宋体" w:cs="宋体"/>
          <w:sz w:val="23"/>
          <w:szCs w:val="23"/>
        </w:rPr>
        <w:t xml:space="preserve"> </w:t>
      </w:r>
      <w:r>
        <w:rPr>
          <w:rFonts w:ascii="宋体" w:eastAsia="宋体" w:hAnsi="宋体" w:cs="宋体"/>
          <w:spacing w:val="-25"/>
          <w:sz w:val="23"/>
          <w:szCs w:val="23"/>
        </w:rPr>
        <w:t>醇、β-谷甾醇等。在自然界中以游离态和结合态形式存在，以结合态存在的有甾</w:t>
      </w:r>
      <w:r>
        <w:rPr>
          <w:rFonts w:ascii="宋体" w:eastAsia="宋体" w:hAnsi="宋体" w:cs="宋体"/>
          <w:spacing w:val="12"/>
          <w:sz w:val="23"/>
          <w:szCs w:val="23"/>
        </w:rPr>
        <w:t xml:space="preserve"> </w:t>
      </w:r>
      <w:r>
        <w:rPr>
          <w:rFonts w:ascii="宋体" w:eastAsia="宋体" w:hAnsi="宋体" w:cs="宋体"/>
          <w:spacing w:val="-23"/>
          <w:sz w:val="23"/>
          <w:szCs w:val="23"/>
        </w:rPr>
        <w:t>醇酯、甾醇糖苷、甾醇脂肪酸酯、甾醇咖啡酸酯等。植物甾醇是一种重要的天然</w:t>
      </w:r>
      <w:r>
        <w:rPr>
          <w:rFonts w:ascii="宋体" w:eastAsia="宋体" w:hAnsi="宋体" w:cs="宋体"/>
          <w:spacing w:val="14"/>
          <w:sz w:val="23"/>
          <w:szCs w:val="23"/>
        </w:rPr>
        <w:t xml:space="preserve"> </w:t>
      </w:r>
      <w:r>
        <w:rPr>
          <w:rFonts w:ascii="宋体" w:eastAsia="宋体" w:hAnsi="宋体" w:cs="宋体"/>
          <w:spacing w:val="-23"/>
          <w:sz w:val="23"/>
          <w:szCs w:val="23"/>
        </w:rPr>
        <w:t>活性物质，目前主要用于合成甾体药物。</w:t>
      </w:r>
    </w:p>
    <w:p w:rsidR="00EA40A3" w:rsidRDefault="00E86C16">
      <w:pPr>
        <w:spacing w:before="199" w:line="221" w:lineRule="auto"/>
        <w:ind w:left="3"/>
        <w:outlineLvl w:val="6"/>
        <w:rPr>
          <w:rFonts w:ascii="黑体" w:eastAsia="黑体" w:hAnsi="黑体" w:cs="黑体"/>
          <w:sz w:val="23"/>
          <w:szCs w:val="23"/>
        </w:rPr>
      </w:pPr>
      <w:r>
        <w:rPr>
          <w:rFonts w:ascii="黑体" w:eastAsia="黑体" w:hAnsi="黑体" w:cs="黑体"/>
          <w:b/>
          <w:bCs/>
          <w:spacing w:val="4"/>
          <w:sz w:val="23"/>
          <w:szCs w:val="23"/>
        </w:rPr>
        <w:t>5.7.1</w:t>
      </w:r>
      <w:r>
        <w:rPr>
          <w:rFonts w:ascii="黑体" w:eastAsia="黑体" w:hAnsi="黑体" w:cs="黑体"/>
          <w:spacing w:val="15"/>
          <w:sz w:val="23"/>
          <w:szCs w:val="23"/>
        </w:rPr>
        <w:t xml:space="preserve">  </w:t>
      </w:r>
      <w:r>
        <w:rPr>
          <w:rFonts w:ascii="黑体" w:eastAsia="黑体" w:hAnsi="黑体" w:cs="黑体"/>
          <w:b/>
          <w:bCs/>
          <w:spacing w:val="4"/>
          <w:sz w:val="23"/>
          <w:szCs w:val="23"/>
        </w:rPr>
        <w:t>植物甾醇的生理功能</w:t>
      </w:r>
    </w:p>
    <w:p w:rsidR="00EA40A3" w:rsidRDefault="00E86C16">
      <w:pPr>
        <w:spacing w:before="207" w:line="237" w:lineRule="auto"/>
        <w:ind w:right="15" w:firstLine="390"/>
        <w:jc w:val="both"/>
        <w:rPr>
          <w:rFonts w:ascii="宋体" w:eastAsia="宋体" w:hAnsi="宋体" w:cs="宋体"/>
          <w:sz w:val="23"/>
          <w:szCs w:val="23"/>
        </w:rPr>
      </w:pPr>
      <w:r>
        <w:rPr>
          <w:rFonts w:ascii="宋体" w:eastAsia="宋体" w:hAnsi="宋体" w:cs="宋体"/>
          <w:spacing w:val="-22"/>
          <w:sz w:val="23"/>
          <w:szCs w:val="23"/>
        </w:rPr>
        <w:t>植物甾醇对人体有重要的生理功能。可竞争性阻碍小肠吸收胆固醇，有降低</w:t>
      </w:r>
      <w:r>
        <w:rPr>
          <w:rFonts w:ascii="宋体" w:eastAsia="宋体" w:hAnsi="宋体" w:cs="宋体"/>
          <w:spacing w:val="8"/>
          <w:sz w:val="23"/>
          <w:szCs w:val="23"/>
        </w:rPr>
        <w:t xml:space="preserve"> </w:t>
      </w:r>
      <w:r>
        <w:rPr>
          <w:rFonts w:ascii="宋体" w:eastAsia="宋体" w:hAnsi="宋体" w:cs="宋体"/>
          <w:spacing w:val="-23"/>
          <w:sz w:val="23"/>
          <w:szCs w:val="23"/>
        </w:rPr>
        <w:t>胆固醇和预防心血管疾病的功能。很多研究报告指出，经常食用植物甾醇含量高</w:t>
      </w:r>
      <w:r>
        <w:rPr>
          <w:rFonts w:ascii="宋体" w:eastAsia="宋体" w:hAnsi="宋体" w:cs="宋体"/>
          <w:spacing w:val="12"/>
          <w:sz w:val="23"/>
          <w:szCs w:val="23"/>
        </w:rPr>
        <w:t xml:space="preserve"> </w:t>
      </w:r>
      <w:r>
        <w:rPr>
          <w:rFonts w:ascii="宋体" w:eastAsia="宋体" w:hAnsi="宋体" w:cs="宋体"/>
          <w:spacing w:val="-23"/>
          <w:sz w:val="23"/>
          <w:szCs w:val="23"/>
        </w:rPr>
        <w:t>的植物油可有效调节血脂和降胆固醇。甾醇是降血脂药物类固醇的原料，和其他</w:t>
      </w:r>
      <w:r>
        <w:rPr>
          <w:rFonts w:ascii="宋体" w:eastAsia="宋体" w:hAnsi="宋体" w:cs="宋体"/>
          <w:spacing w:val="12"/>
          <w:sz w:val="23"/>
          <w:szCs w:val="23"/>
        </w:rPr>
        <w:t xml:space="preserve"> </w:t>
      </w:r>
      <w:r>
        <w:rPr>
          <w:rFonts w:ascii="宋体" w:eastAsia="宋体" w:hAnsi="宋体" w:cs="宋体"/>
          <w:spacing w:val="-23"/>
          <w:sz w:val="23"/>
          <w:szCs w:val="23"/>
        </w:rPr>
        <w:t>药物复配的谷甾醇片有良好的降血脂和血清胆固醇作用。甾醇对预防和治疗冠状</w:t>
      </w:r>
      <w:r>
        <w:rPr>
          <w:rFonts w:ascii="宋体" w:eastAsia="宋体" w:hAnsi="宋体" w:cs="宋体"/>
          <w:spacing w:val="12"/>
          <w:sz w:val="23"/>
          <w:szCs w:val="23"/>
        </w:rPr>
        <w:t xml:space="preserve"> </w:t>
      </w:r>
      <w:r>
        <w:rPr>
          <w:rFonts w:ascii="宋体" w:eastAsia="宋体" w:hAnsi="宋体" w:cs="宋体"/>
          <w:spacing w:val="-24"/>
          <w:sz w:val="23"/>
          <w:szCs w:val="23"/>
        </w:rPr>
        <w:t>动脉硬化类心脏病、治疗溃疡、皮肤鳞癌也有明显功效。</w:t>
      </w:r>
    </w:p>
    <w:p w:rsidR="00EA40A3" w:rsidRDefault="00E86C16">
      <w:pPr>
        <w:spacing w:before="54" w:line="236" w:lineRule="auto"/>
        <w:ind w:right="15" w:firstLine="390"/>
        <w:jc w:val="both"/>
        <w:rPr>
          <w:rFonts w:ascii="宋体" w:eastAsia="宋体" w:hAnsi="宋体" w:cs="宋体"/>
          <w:sz w:val="23"/>
          <w:szCs w:val="23"/>
        </w:rPr>
      </w:pPr>
      <w:r>
        <w:rPr>
          <w:rFonts w:ascii="宋体" w:eastAsia="宋体" w:hAnsi="宋体" w:cs="宋体"/>
          <w:spacing w:val="-23"/>
          <w:sz w:val="23"/>
          <w:szCs w:val="23"/>
        </w:rPr>
        <w:t>谷甾醇具有类似阿司匹林的退热作用，克服由角叉胶在鼠身上诱发的水肿和</w:t>
      </w:r>
      <w:r>
        <w:rPr>
          <w:rFonts w:ascii="宋体" w:eastAsia="宋体" w:hAnsi="宋体" w:cs="宋体"/>
          <w:spacing w:val="5"/>
          <w:sz w:val="23"/>
          <w:szCs w:val="23"/>
        </w:rPr>
        <w:t xml:space="preserve"> </w:t>
      </w:r>
      <w:r>
        <w:rPr>
          <w:rFonts w:ascii="宋体" w:eastAsia="宋体" w:hAnsi="宋体" w:cs="宋体"/>
          <w:spacing w:val="-23"/>
          <w:sz w:val="23"/>
          <w:szCs w:val="23"/>
        </w:rPr>
        <w:t>由棉籽粉移植引起的肉芽组织生成，表现出强烈的抗炎作用，是一种抗炎和退热</w:t>
      </w:r>
      <w:r>
        <w:rPr>
          <w:rFonts w:ascii="宋体" w:eastAsia="宋体" w:hAnsi="宋体" w:cs="宋体"/>
          <w:spacing w:val="16"/>
          <w:sz w:val="23"/>
          <w:szCs w:val="23"/>
        </w:rPr>
        <w:t xml:space="preserve"> </w:t>
      </w:r>
      <w:r>
        <w:rPr>
          <w:rFonts w:ascii="宋体" w:eastAsia="宋体" w:hAnsi="宋体" w:cs="宋体"/>
          <w:spacing w:val="-18"/>
          <w:sz w:val="23"/>
          <w:szCs w:val="23"/>
        </w:rPr>
        <w:t>作用显著且应用安全的天然物质。</w:t>
      </w:r>
      <w:r>
        <w:rPr>
          <w:rFonts w:ascii="宋体" w:eastAsia="宋体" w:hAnsi="宋体" w:cs="宋体"/>
          <w:spacing w:val="11"/>
          <w:sz w:val="23"/>
          <w:szCs w:val="23"/>
        </w:rPr>
        <w:t xml:space="preserve"> </w:t>
      </w:r>
      <w:r>
        <w:rPr>
          <w:rFonts w:ascii="宋体" w:eastAsia="宋体" w:hAnsi="宋体" w:cs="宋体"/>
          <w:spacing w:val="-18"/>
          <w:sz w:val="23"/>
          <w:szCs w:val="23"/>
        </w:rPr>
        <w:t>Hagiware通过细胞培养发现谷甾醇能促进产</w:t>
      </w:r>
      <w:r>
        <w:rPr>
          <w:rFonts w:ascii="宋体" w:eastAsia="宋体" w:hAnsi="宋体" w:cs="宋体"/>
          <w:sz w:val="23"/>
          <w:szCs w:val="23"/>
        </w:rPr>
        <w:t xml:space="preserve"> </w:t>
      </w:r>
      <w:r>
        <w:rPr>
          <w:rFonts w:ascii="宋体" w:eastAsia="宋体" w:hAnsi="宋体" w:cs="宋体"/>
          <w:spacing w:val="-23"/>
          <w:sz w:val="23"/>
          <w:szCs w:val="23"/>
        </w:rPr>
        <w:t>生血纤维蛋白溶酶原激活因子，可作为血纤维溶解触发素对血栓有预防作用。</w:t>
      </w:r>
    </w:p>
    <w:p w:rsidR="00EA40A3" w:rsidRDefault="00E86C16">
      <w:pPr>
        <w:spacing w:before="182" w:line="221" w:lineRule="auto"/>
        <w:ind w:left="3"/>
        <w:outlineLvl w:val="6"/>
        <w:rPr>
          <w:rFonts w:ascii="黑体" w:eastAsia="黑体" w:hAnsi="黑体" w:cs="黑体"/>
          <w:sz w:val="23"/>
          <w:szCs w:val="23"/>
        </w:rPr>
      </w:pPr>
      <w:r>
        <w:rPr>
          <w:rFonts w:ascii="黑体" w:eastAsia="黑体" w:hAnsi="黑体" w:cs="黑体"/>
          <w:b/>
          <w:bCs/>
          <w:spacing w:val="1"/>
          <w:sz w:val="23"/>
          <w:szCs w:val="23"/>
        </w:rPr>
        <w:t>5.7.2</w:t>
      </w:r>
      <w:r>
        <w:rPr>
          <w:rFonts w:ascii="黑体" w:eastAsia="黑体" w:hAnsi="黑体" w:cs="黑体"/>
          <w:spacing w:val="13"/>
          <w:sz w:val="23"/>
          <w:szCs w:val="23"/>
        </w:rPr>
        <w:t xml:space="preserve">  </w:t>
      </w:r>
      <w:r>
        <w:rPr>
          <w:rFonts w:ascii="黑体" w:eastAsia="黑体" w:hAnsi="黑体" w:cs="黑体"/>
          <w:b/>
          <w:bCs/>
          <w:spacing w:val="1"/>
          <w:sz w:val="23"/>
          <w:szCs w:val="23"/>
        </w:rPr>
        <w:t>植物甾醇的食物来源</w:t>
      </w:r>
    </w:p>
    <w:p w:rsidR="00EA40A3" w:rsidRDefault="00E86C16">
      <w:pPr>
        <w:spacing w:before="190" w:line="219" w:lineRule="auto"/>
        <w:ind w:left="390"/>
        <w:rPr>
          <w:rFonts w:ascii="宋体" w:eastAsia="宋体" w:hAnsi="宋体" w:cs="宋体"/>
          <w:sz w:val="23"/>
          <w:szCs w:val="23"/>
        </w:rPr>
      </w:pPr>
      <w:r>
        <w:rPr>
          <w:rFonts w:ascii="宋体" w:eastAsia="宋体" w:hAnsi="宋体" w:cs="宋体"/>
          <w:spacing w:val="-22"/>
          <w:sz w:val="23"/>
          <w:szCs w:val="23"/>
        </w:rPr>
        <w:t>植物甾醇广泛存在于植物的根、茎、叶、果实和种子中，在所有来源于植物</w:t>
      </w:r>
    </w:p>
    <w:p w:rsidR="00EA40A3" w:rsidRDefault="00E86C16">
      <w:pPr>
        <w:spacing w:before="101"/>
        <w:ind w:right="4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169</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01" w:bottom="400" w:left="939" w:header="0" w:footer="0" w:gutter="0"/>
          <w:cols w:space="720"/>
        </w:sectPr>
      </w:pPr>
    </w:p>
    <w:p w:rsidR="00EA40A3" w:rsidRDefault="00EA40A3">
      <w:pPr>
        <w:spacing w:line="269" w:lineRule="auto"/>
      </w:pPr>
    </w:p>
    <w:p w:rsidR="00EA40A3" w:rsidRDefault="00EA40A3">
      <w:pPr>
        <w:spacing w:line="269" w:lineRule="auto"/>
      </w:pPr>
    </w:p>
    <w:p w:rsidR="00EA40A3" w:rsidRDefault="00E86C16">
      <w:pPr>
        <w:spacing w:before="68" w:line="254" w:lineRule="auto"/>
        <w:ind w:right="94"/>
        <w:jc w:val="both"/>
        <w:rPr>
          <w:rFonts w:ascii="宋体" w:eastAsia="宋体" w:hAnsi="宋体" w:cs="宋体"/>
        </w:rPr>
      </w:pPr>
      <w:bookmarkStart w:id="44" w:name="_bookmark49"/>
      <w:bookmarkStart w:id="45" w:name="_bookmark48"/>
      <w:bookmarkEnd w:id="44"/>
      <w:bookmarkEnd w:id="45"/>
      <w:r>
        <w:rPr>
          <w:rFonts w:ascii="宋体" w:eastAsia="宋体" w:hAnsi="宋体" w:cs="宋体"/>
          <w:spacing w:val="4"/>
        </w:rPr>
        <w:t>种子的油脂中都含有甾醇。丰富来源有芝麻、向日葵、油菜、花生、高粱、玉</w:t>
      </w:r>
      <w:r>
        <w:rPr>
          <w:rFonts w:ascii="宋体" w:eastAsia="宋体" w:hAnsi="宋体" w:cs="宋体"/>
          <w:spacing w:val="3"/>
        </w:rPr>
        <w:t xml:space="preserve"> </w:t>
      </w:r>
      <w:r>
        <w:rPr>
          <w:rFonts w:ascii="宋体" w:eastAsia="宋体" w:hAnsi="宋体" w:cs="宋体"/>
          <w:spacing w:val="-2"/>
        </w:rPr>
        <w:t>米、蚕豆和核桃，良好来源有小麦、赤豆、大豆和银杏。工业上植物甾醇是油脂</w:t>
      </w:r>
      <w:r>
        <w:rPr>
          <w:rFonts w:ascii="宋体" w:eastAsia="宋体" w:hAnsi="宋体" w:cs="宋体"/>
        </w:rPr>
        <w:t xml:space="preserve"> </w:t>
      </w:r>
      <w:r>
        <w:rPr>
          <w:rFonts w:ascii="宋体" w:eastAsia="宋体" w:hAnsi="宋体" w:cs="宋体"/>
          <w:spacing w:val="-5"/>
        </w:rPr>
        <w:t>加工的副产品，从油脚和脱臭馏出物中分离。</w:t>
      </w:r>
    </w:p>
    <w:p w:rsidR="00EA40A3" w:rsidRDefault="00E86C16">
      <w:pPr>
        <w:spacing w:before="64" w:line="256" w:lineRule="auto"/>
        <w:ind w:right="95" w:firstLine="420"/>
        <w:jc w:val="both"/>
        <w:rPr>
          <w:rFonts w:ascii="宋体" w:eastAsia="宋体" w:hAnsi="宋体" w:cs="宋体"/>
        </w:rPr>
      </w:pPr>
      <w:r>
        <w:rPr>
          <w:rFonts w:ascii="宋体" w:eastAsia="宋体" w:hAnsi="宋体" w:cs="宋体"/>
          <w:spacing w:val="-2"/>
        </w:rPr>
        <w:t>植物甾醇的生理功能良好，安全性高，有可能在保健食品中得到</w:t>
      </w:r>
      <w:r>
        <w:rPr>
          <w:rFonts w:ascii="宋体" w:eastAsia="宋体" w:hAnsi="宋体" w:cs="宋体"/>
          <w:spacing w:val="-3"/>
        </w:rPr>
        <w:t>应用。日本</w:t>
      </w:r>
      <w:r>
        <w:rPr>
          <w:rFonts w:ascii="宋体" w:eastAsia="宋体" w:hAnsi="宋体" w:cs="宋体"/>
        </w:rPr>
        <w:t xml:space="preserve"> 已批准植物甾醇为特定专用保</w:t>
      </w:r>
      <w:r>
        <w:rPr>
          <w:rFonts w:ascii="宋体" w:eastAsia="宋体" w:hAnsi="宋体" w:cs="宋体"/>
          <w:spacing w:val="-1"/>
        </w:rPr>
        <w:t>健食品</w:t>
      </w:r>
      <w:r>
        <w:rPr>
          <w:rFonts w:ascii="宋体" w:eastAsia="宋体" w:hAnsi="宋体" w:cs="宋体"/>
          <w:spacing w:val="16"/>
        </w:rPr>
        <w:t xml:space="preserve"> </w:t>
      </w:r>
      <w:r>
        <w:rPr>
          <w:rFonts w:ascii="宋体" w:eastAsia="宋体" w:hAnsi="宋体" w:cs="宋体"/>
          <w:spacing w:val="-1"/>
        </w:rPr>
        <w:t>(</w:t>
      </w:r>
      <w:r>
        <w:rPr>
          <w:rFonts w:ascii="宋体" w:eastAsia="宋体" w:hAnsi="宋体" w:cs="宋体"/>
        </w:rPr>
        <w:t>FSHU</w:t>
      </w:r>
      <w:r>
        <w:rPr>
          <w:rFonts w:ascii="宋体" w:eastAsia="宋体" w:hAnsi="宋体" w:cs="宋体"/>
          <w:spacing w:val="-1"/>
        </w:rPr>
        <w:t>)</w:t>
      </w:r>
      <w:r>
        <w:rPr>
          <w:rFonts w:ascii="宋体" w:eastAsia="宋体" w:hAnsi="宋体" w:cs="宋体"/>
          <w:spacing w:val="3"/>
        </w:rPr>
        <w:t xml:space="preserve">   </w:t>
      </w:r>
      <w:r>
        <w:rPr>
          <w:rFonts w:ascii="宋体" w:eastAsia="宋体" w:hAnsi="宋体" w:cs="宋体"/>
          <w:spacing w:val="-1"/>
        </w:rPr>
        <w:t>的功能性添加剂；美国</w:t>
      </w:r>
      <w:r>
        <w:rPr>
          <w:rFonts w:ascii="宋体" w:eastAsia="宋体" w:hAnsi="宋体" w:cs="宋体"/>
        </w:rPr>
        <w:t>FDA</w:t>
      </w:r>
      <w:r>
        <w:rPr>
          <w:rFonts w:ascii="宋体" w:eastAsia="宋体" w:hAnsi="宋体" w:cs="宋体"/>
          <w:spacing w:val="75"/>
        </w:rPr>
        <w:t xml:space="preserve"> </w:t>
      </w:r>
      <w:r>
        <w:rPr>
          <w:rFonts w:ascii="宋体" w:eastAsia="宋体" w:hAnsi="宋体" w:cs="宋体"/>
          <w:spacing w:val="-1"/>
        </w:rPr>
        <w:t>公</w:t>
      </w:r>
      <w:r>
        <w:rPr>
          <w:rFonts w:ascii="宋体" w:eastAsia="宋体" w:hAnsi="宋体" w:cs="宋体"/>
        </w:rPr>
        <w:t xml:space="preserve"> </w:t>
      </w:r>
      <w:r>
        <w:rPr>
          <w:rFonts w:ascii="宋体" w:eastAsia="宋体" w:hAnsi="宋体" w:cs="宋体"/>
          <w:spacing w:val="-3"/>
        </w:rPr>
        <w:t>告称植物甾醇类可降低胆固醇而有助于减少冠心病危险，建议有效膳食摄入水平</w:t>
      </w:r>
      <w:r>
        <w:rPr>
          <w:rFonts w:ascii="宋体" w:eastAsia="宋体" w:hAnsi="宋体" w:cs="宋体"/>
          <w:spacing w:val="13"/>
        </w:rPr>
        <w:t xml:space="preserve"> </w:t>
      </w:r>
      <w:r>
        <w:rPr>
          <w:rFonts w:ascii="宋体" w:eastAsia="宋体" w:hAnsi="宋体" w:cs="宋体"/>
          <w:spacing w:val="-2"/>
        </w:rPr>
        <w:t>为1.3～3.4g/d;</w:t>
      </w:r>
      <w:r>
        <w:rPr>
          <w:rFonts w:ascii="宋体" w:eastAsia="宋体" w:hAnsi="宋体" w:cs="宋体"/>
          <w:spacing w:val="6"/>
        </w:rPr>
        <w:t xml:space="preserve"> </w:t>
      </w:r>
      <w:r>
        <w:rPr>
          <w:rFonts w:ascii="宋体" w:eastAsia="宋体" w:hAnsi="宋体" w:cs="宋体"/>
          <w:spacing w:val="-2"/>
        </w:rPr>
        <w:t>芬兰推出了一种从木</w:t>
      </w:r>
      <w:r>
        <w:rPr>
          <w:rFonts w:ascii="宋体" w:eastAsia="宋体" w:hAnsi="宋体" w:cs="宋体"/>
          <w:spacing w:val="-3"/>
        </w:rPr>
        <w:t>材中提取的植物甾醇</w:t>
      </w:r>
      <w:r>
        <w:rPr>
          <w:rFonts w:ascii="宋体" w:eastAsia="宋体" w:hAnsi="宋体" w:cs="宋体"/>
          <w:spacing w:val="-2"/>
        </w:rPr>
        <w:t>Forbes</w:t>
      </w:r>
      <w:r>
        <w:rPr>
          <w:rFonts w:ascii="宋体" w:eastAsia="宋体" w:hAnsi="宋体" w:cs="宋体"/>
          <w:spacing w:val="-5"/>
        </w:rPr>
        <w:t xml:space="preserve"> </w:t>
      </w:r>
      <w:r>
        <w:rPr>
          <w:rFonts w:ascii="宋体" w:eastAsia="宋体" w:hAnsi="宋体" w:cs="宋体"/>
          <w:spacing w:val="-2"/>
        </w:rPr>
        <w:t>Wood</w:t>
      </w:r>
      <w:r>
        <w:rPr>
          <w:rFonts w:ascii="宋体" w:eastAsia="宋体" w:hAnsi="宋体" w:cs="宋体"/>
          <w:spacing w:val="3"/>
        </w:rPr>
        <w:t xml:space="preserve"> </w:t>
      </w:r>
      <w:r>
        <w:rPr>
          <w:rFonts w:ascii="宋体" w:eastAsia="宋体" w:hAnsi="宋体" w:cs="宋体"/>
          <w:spacing w:val="-2"/>
        </w:rPr>
        <w:t>Sterol</w:t>
      </w:r>
      <w:r>
        <w:rPr>
          <w:rFonts w:ascii="宋体" w:eastAsia="宋体" w:hAnsi="宋体" w:cs="宋体"/>
          <w:spacing w:val="-3"/>
        </w:rPr>
        <w:t>,</w:t>
      </w:r>
      <w:r>
        <w:rPr>
          <w:rFonts w:ascii="宋体" w:eastAsia="宋体" w:hAnsi="宋体" w:cs="宋体"/>
        </w:rPr>
        <w:t xml:space="preserve"> </w:t>
      </w:r>
      <w:r>
        <w:rPr>
          <w:rFonts w:ascii="宋体" w:eastAsia="宋体" w:hAnsi="宋体" w:cs="宋体"/>
          <w:spacing w:val="-1"/>
        </w:rPr>
        <w:t>服用1～2g/d</w:t>
      </w:r>
      <w:r>
        <w:rPr>
          <w:rFonts w:ascii="宋体" w:eastAsia="宋体" w:hAnsi="宋体" w:cs="宋体"/>
          <w:spacing w:val="-36"/>
        </w:rPr>
        <w:t xml:space="preserve"> </w:t>
      </w:r>
      <w:r>
        <w:rPr>
          <w:rFonts w:ascii="宋体" w:eastAsia="宋体" w:hAnsi="宋体" w:cs="宋体"/>
          <w:spacing w:val="-1"/>
        </w:rPr>
        <w:t>即有降低胆固醇的作用。植物甾醇结构与胆固醇相似，在生物体内</w:t>
      </w:r>
      <w:r>
        <w:rPr>
          <w:rFonts w:ascii="宋体" w:eastAsia="宋体" w:hAnsi="宋体" w:cs="宋体"/>
        </w:rPr>
        <w:t xml:space="preserve"> </w:t>
      </w:r>
      <w:r>
        <w:rPr>
          <w:rFonts w:ascii="宋体" w:eastAsia="宋体" w:hAnsi="宋体" w:cs="宋体"/>
          <w:spacing w:val="-1"/>
        </w:rPr>
        <w:t>以与胆固醇相同的方式吸收。但吸收率比胆固醇低，</w:t>
      </w:r>
      <w:r>
        <w:rPr>
          <w:rFonts w:ascii="宋体" w:eastAsia="宋体" w:hAnsi="宋体" w:cs="宋体"/>
          <w:spacing w:val="78"/>
        </w:rPr>
        <w:t xml:space="preserve"> </w:t>
      </w:r>
      <w:r>
        <w:rPr>
          <w:rFonts w:ascii="宋体" w:eastAsia="宋体" w:hAnsi="宋体" w:cs="宋体"/>
          <w:spacing w:val="-1"/>
        </w:rPr>
        <w:t>一般只有5%～10%。</w:t>
      </w:r>
    </w:p>
    <w:p w:rsidR="00EA40A3" w:rsidRDefault="00E86C16">
      <w:pPr>
        <w:spacing w:before="325" w:line="220" w:lineRule="auto"/>
        <w:ind w:left="2820"/>
        <w:rPr>
          <w:rFonts w:ascii="宋体" w:eastAsia="宋体" w:hAnsi="宋体" w:cs="宋体"/>
          <w:sz w:val="30"/>
          <w:szCs w:val="30"/>
        </w:rPr>
      </w:pPr>
      <w:r>
        <w:rPr>
          <w:rFonts w:ascii="宋体" w:eastAsia="宋体" w:hAnsi="宋体" w:cs="宋体"/>
          <w:spacing w:val="-7"/>
          <w:sz w:val="30"/>
          <w:szCs w:val="30"/>
        </w:rPr>
        <w:t>5.8</w:t>
      </w:r>
      <w:r>
        <w:rPr>
          <w:rFonts w:ascii="宋体" w:eastAsia="宋体" w:hAnsi="宋体" w:cs="宋体"/>
          <w:spacing w:val="88"/>
          <w:sz w:val="30"/>
          <w:szCs w:val="30"/>
        </w:rPr>
        <w:t xml:space="preserve"> </w:t>
      </w:r>
      <w:r>
        <w:rPr>
          <w:rFonts w:ascii="宋体" w:eastAsia="宋体" w:hAnsi="宋体" w:cs="宋体"/>
          <w:spacing w:val="-7"/>
          <w:sz w:val="30"/>
          <w:szCs w:val="30"/>
        </w:rPr>
        <w:t>核</w:t>
      </w:r>
      <w:r>
        <w:rPr>
          <w:rFonts w:ascii="宋体" w:eastAsia="宋体" w:hAnsi="宋体" w:cs="宋体"/>
          <w:spacing w:val="35"/>
          <w:sz w:val="30"/>
          <w:szCs w:val="30"/>
        </w:rPr>
        <w:t xml:space="preserve">   </w:t>
      </w:r>
      <w:r>
        <w:rPr>
          <w:rFonts w:ascii="宋体" w:eastAsia="宋体" w:hAnsi="宋体" w:cs="宋体"/>
          <w:spacing w:val="-7"/>
          <w:sz w:val="30"/>
          <w:szCs w:val="30"/>
        </w:rPr>
        <w:t>酸</w:t>
      </w:r>
    </w:p>
    <w:p w:rsidR="00EA40A3" w:rsidRDefault="00EA40A3">
      <w:pPr>
        <w:spacing w:line="249" w:lineRule="auto"/>
      </w:pPr>
    </w:p>
    <w:p w:rsidR="00EA40A3" w:rsidRDefault="00E86C16">
      <w:pPr>
        <w:spacing w:before="68" w:line="252" w:lineRule="auto"/>
        <w:ind w:firstLine="420"/>
        <w:jc w:val="both"/>
        <w:rPr>
          <w:rFonts w:ascii="宋体" w:eastAsia="宋体" w:hAnsi="宋体" w:cs="宋体"/>
        </w:rPr>
      </w:pPr>
      <w:r>
        <w:rPr>
          <w:rFonts w:ascii="宋体" w:eastAsia="宋体" w:hAnsi="宋体" w:cs="宋体"/>
          <w:spacing w:val="-3"/>
        </w:rPr>
        <w:t>核酸</w:t>
      </w:r>
      <w:r>
        <w:rPr>
          <w:rFonts w:ascii="宋体" w:eastAsia="宋体" w:hAnsi="宋体" w:cs="宋体"/>
          <w:spacing w:val="-10"/>
        </w:rPr>
        <w:t xml:space="preserve"> </w:t>
      </w:r>
      <w:r>
        <w:rPr>
          <w:rFonts w:ascii="宋体" w:eastAsia="宋体" w:hAnsi="宋体" w:cs="宋体"/>
          <w:spacing w:val="-3"/>
        </w:rPr>
        <w:t>(nucleic acid)</w:t>
      </w:r>
      <w:r>
        <w:rPr>
          <w:rFonts w:ascii="宋体" w:eastAsia="宋体" w:hAnsi="宋体" w:cs="宋体"/>
          <w:spacing w:val="-56"/>
        </w:rPr>
        <w:t xml:space="preserve"> </w:t>
      </w:r>
      <w:r>
        <w:rPr>
          <w:rFonts w:ascii="宋体" w:eastAsia="宋体" w:hAnsi="宋体" w:cs="宋体"/>
          <w:spacing w:val="-3"/>
        </w:rPr>
        <w:t>是一切生物细胞的基本成分，并对生物体的生长发育、</w:t>
      </w:r>
      <w:r>
        <w:rPr>
          <w:rFonts w:ascii="宋体" w:eastAsia="宋体" w:hAnsi="宋体" w:cs="宋体"/>
        </w:rPr>
        <w:t xml:space="preserve"> </w:t>
      </w:r>
      <w:r>
        <w:rPr>
          <w:rFonts w:ascii="宋体" w:eastAsia="宋体" w:hAnsi="宋体" w:cs="宋体"/>
          <w:spacing w:val="4"/>
        </w:rPr>
        <w:t>繁殖、遗传及变异等重大生命现象起着主宰作用。从1868年人类发现核酸后，</w:t>
      </w:r>
      <w:r>
        <w:rPr>
          <w:rFonts w:ascii="宋体" w:eastAsia="宋体" w:hAnsi="宋体" w:cs="宋体"/>
          <w:spacing w:val="10"/>
        </w:rPr>
        <w:t xml:space="preserve"> </w:t>
      </w:r>
      <w:r>
        <w:rPr>
          <w:rFonts w:ascii="宋体" w:eastAsia="宋体" w:hAnsi="宋体" w:cs="宋体"/>
          <w:spacing w:val="-2"/>
        </w:rPr>
        <w:t>关于核酸生长和食物中核酸的摄入、消化、吸收、代谢、营养功能及调节控制</w:t>
      </w:r>
      <w:r>
        <w:rPr>
          <w:rFonts w:ascii="宋体" w:eastAsia="宋体" w:hAnsi="宋体" w:cs="宋体"/>
          <w:spacing w:val="-3"/>
        </w:rPr>
        <w:t>等</w:t>
      </w:r>
      <w:r>
        <w:rPr>
          <w:rFonts w:ascii="宋体" w:eastAsia="宋体" w:hAnsi="宋体" w:cs="宋体"/>
        </w:rPr>
        <w:t xml:space="preserve">  </w:t>
      </w:r>
      <w:r>
        <w:rPr>
          <w:rFonts w:ascii="宋体" w:eastAsia="宋体" w:hAnsi="宋体" w:cs="宋体"/>
          <w:spacing w:val="-6"/>
        </w:rPr>
        <w:t>方面的研究已获得很大进展。</w:t>
      </w:r>
    </w:p>
    <w:p w:rsidR="00EA40A3" w:rsidRDefault="00E86C16">
      <w:pPr>
        <w:spacing w:before="188" w:line="221" w:lineRule="auto"/>
        <w:ind w:left="3"/>
        <w:outlineLvl w:val="6"/>
        <w:rPr>
          <w:rFonts w:ascii="黑体" w:eastAsia="黑体" w:hAnsi="黑体" w:cs="黑体"/>
          <w:sz w:val="25"/>
          <w:szCs w:val="25"/>
        </w:rPr>
      </w:pPr>
      <w:r>
        <w:rPr>
          <w:rFonts w:ascii="黑体" w:eastAsia="黑体" w:hAnsi="黑体" w:cs="黑体"/>
          <w:b/>
          <w:bCs/>
          <w:spacing w:val="-9"/>
          <w:sz w:val="25"/>
          <w:szCs w:val="25"/>
        </w:rPr>
        <w:t>5.8.1</w:t>
      </w:r>
      <w:r>
        <w:rPr>
          <w:rFonts w:ascii="黑体" w:eastAsia="黑体" w:hAnsi="黑体" w:cs="黑体"/>
          <w:spacing w:val="73"/>
          <w:sz w:val="25"/>
          <w:szCs w:val="25"/>
        </w:rPr>
        <w:t xml:space="preserve"> </w:t>
      </w:r>
      <w:r>
        <w:rPr>
          <w:rFonts w:ascii="黑体" w:eastAsia="黑体" w:hAnsi="黑体" w:cs="黑体"/>
          <w:b/>
          <w:bCs/>
          <w:spacing w:val="-9"/>
          <w:sz w:val="25"/>
          <w:szCs w:val="25"/>
        </w:rPr>
        <w:t>核酸的生理功能</w:t>
      </w:r>
    </w:p>
    <w:p w:rsidR="00EA40A3" w:rsidRDefault="00E86C16">
      <w:pPr>
        <w:spacing w:before="197" w:line="257" w:lineRule="auto"/>
        <w:ind w:right="40" w:firstLine="420"/>
        <w:jc w:val="both"/>
        <w:rPr>
          <w:rFonts w:ascii="宋体" w:eastAsia="宋体" w:hAnsi="宋体" w:cs="宋体"/>
        </w:rPr>
      </w:pPr>
      <w:r>
        <w:rPr>
          <w:rFonts w:ascii="宋体" w:eastAsia="宋体" w:hAnsi="宋体" w:cs="宋体"/>
          <w:spacing w:val="-2"/>
        </w:rPr>
        <w:t>核酸是维持正常细胞免疫的必需营养物质，可提高机体免疫力</w:t>
      </w:r>
      <w:r>
        <w:rPr>
          <w:rFonts w:ascii="宋体" w:eastAsia="宋体" w:hAnsi="宋体" w:cs="宋体"/>
          <w:spacing w:val="-3"/>
        </w:rPr>
        <w:t>特别是细胞免</w:t>
      </w:r>
      <w:r>
        <w:rPr>
          <w:rFonts w:ascii="宋体" w:eastAsia="宋体" w:hAnsi="宋体" w:cs="宋体"/>
        </w:rPr>
        <w:t xml:space="preserve"> </w:t>
      </w:r>
      <w:r>
        <w:rPr>
          <w:rFonts w:ascii="宋体" w:eastAsia="宋体" w:hAnsi="宋体" w:cs="宋体"/>
          <w:spacing w:val="-2"/>
        </w:rPr>
        <w:t>疫功能；核酸可作为内源性自由基清除剂和抗氧化剂；核酸可提高单不饱和脂肪</w:t>
      </w:r>
      <w:r>
        <w:rPr>
          <w:rFonts w:ascii="宋体" w:eastAsia="宋体" w:hAnsi="宋体" w:cs="宋体"/>
        </w:rPr>
        <w:t xml:space="preserve"> </w:t>
      </w:r>
      <w:r>
        <w:rPr>
          <w:rFonts w:ascii="宋体" w:eastAsia="宋体" w:hAnsi="宋体" w:cs="宋体"/>
          <w:spacing w:val="-2"/>
        </w:rPr>
        <w:t>酸含量和血清高密度脂蛋白水平，降低胆固醇水平，影响脂类代谢；核酸可</w:t>
      </w:r>
      <w:r>
        <w:rPr>
          <w:rFonts w:ascii="宋体" w:eastAsia="宋体" w:hAnsi="宋体" w:cs="宋体"/>
          <w:spacing w:val="-3"/>
        </w:rPr>
        <w:t>促进</w:t>
      </w:r>
      <w:r>
        <w:rPr>
          <w:rFonts w:ascii="宋体" w:eastAsia="宋体" w:hAnsi="宋体" w:cs="宋体"/>
        </w:rPr>
        <w:t xml:space="preserve"> </w:t>
      </w:r>
      <w:r>
        <w:rPr>
          <w:rFonts w:ascii="宋体" w:eastAsia="宋体" w:hAnsi="宋体" w:cs="宋体"/>
          <w:spacing w:val="-3"/>
        </w:rPr>
        <w:t>细胞再生与修复，抗放射性与化疗损伤；核酸可维持肠道正常菌</w:t>
      </w:r>
      <w:r>
        <w:rPr>
          <w:rFonts w:ascii="宋体" w:eastAsia="宋体" w:hAnsi="宋体" w:cs="宋体"/>
          <w:spacing w:val="-4"/>
        </w:rPr>
        <w:t>群，促进双歧杆</w:t>
      </w:r>
      <w:r>
        <w:rPr>
          <w:rFonts w:ascii="宋体" w:eastAsia="宋体" w:hAnsi="宋体" w:cs="宋体"/>
        </w:rPr>
        <w:t xml:space="preserve">  </w:t>
      </w:r>
      <w:r>
        <w:rPr>
          <w:rFonts w:ascii="宋体" w:eastAsia="宋体" w:hAnsi="宋体" w:cs="宋体"/>
          <w:spacing w:val="-2"/>
        </w:rPr>
        <w:t>菌的生长；核酸对三大营养物质的吸收和利用起调节的作用，保证人体的</w:t>
      </w:r>
      <w:r>
        <w:rPr>
          <w:rFonts w:ascii="宋体" w:eastAsia="宋体" w:hAnsi="宋体" w:cs="宋体"/>
          <w:spacing w:val="-3"/>
        </w:rPr>
        <w:t>能量供</w:t>
      </w:r>
      <w:r>
        <w:rPr>
          <w:rFonts w:ascii="宋体" w:eastAsia="宋体" w:hAnsi="宋体" w:cs="宋体"/>
        </w:rPr>
        <w:t xml:space="preserve"> 应；核酸还能提高机体对环境变化的耐受力，</w:t>
      </w:r>
      <w:r>
        <w:rPr>
          <w:rFonts w:ascii="宋体" w:eastAsia="宋体" w:hAnsi="宋体" w:cs="宋体"/>
          <w:spacing w:val="-1"/>
        </w:rPr>
        <w:t>有抗疲劳、促进氧气利用等功能。</w:t>
      </w:r>
      <w:r>
        <w:rPr>
          <w:rFonts w:ascii="宋体" w:eastAsia="宋体" w:hAnsi="宋体" w:cs="宋体"/>
        </w:rPr>
        <w:t xml:space="preserve"> </w:t>
      </w:r>
      <w:r>
        <w:rPr>
          <w:rFonts w:ascii="宋体" w:eastAsia="宋体" w:hAnsi="宋体" w:cs="宋体"/>
          <w:spacing w:val="-4"/>
        </w:rPr>
        <w:t>此外，核酸还是一种葆春物质，既能延缓衰老，又能健肤美容。</w:t>
      </w:r>
    </w:p>
    <w:p w:rsidR="00EA40A3" w:rsidRDefault="00E86C16">
      <w:pPr>
        <w:spacing w:before="216" w:line="221" w:lineRule="auto"/>
        <w:ind w:left="3"/>
        <w:outlineLvl w:val="6"/>
        <w:rPr>
          <w:rFonts w:ascii="黑体" w:eastAsia="黑体" w:hAnsi="黑体" w:cs="黑体"/>
          <w:sz w:val="25"/>
          <w:szCs w:val="25"/>
        </w:rPr>
      </w:pPr>
      <w:r>
        <w:rPr>
          <w:rFonts w:ascii="黑体" w:eastAsia="黑体" w:hAnsi="黑体" w:cs="黑体"/>
          <w:b/>
          <w:bCs/>
          <w:spacing w:val="-9"/>
          <w:sz w:val="25"/>
          <w:szCs w:val="25"/>
        </w:rPr>
        <w:t>5.8.2</w:t>
      </w:r>
      <w:r>
        <w:rPr>
          <w:rFonts w:ascii="黑体" w:eastAsia="黑体" w:hAnsi="黑体" w:cs="黑体"/>
          <w:spacing w:val="1"/>
          <w:sz w:val="25"/>
          <w:szCs w:val="25"/>
        </w:rPr>
        <w:t xml:space="preserve">  </w:t>
      </w:r>
      <w:r>
        <w:rPr>
          <w:rFonts w:ascii="黑体" w:eastAsia="黑体" w:hAnsi="黑体" w:cs="黑体"/>
          <w:b/>
          <w:bCs/>
          <w:spacing w:val="-9"/>
          <w:sz w:val="25"/>
          <w:szCs w:val="25"/>
        </w:rPr>
        <w:t>核酸的代谢</w:t>
      </w:r>
    </w:p>
    <w:p w:rsidR="00EA40A3" w:rsidRDefault="00E86C16">
      <w:pPr>
        <w:spacing w:before="204" w:line="255" w:lineRule="auto"/>
        <w:ind w:right="84" w:firstLine="420"/>
        <w:jc w:val="both"/>
        <w:rPr>
          <w:rFonts w:ascii="宋体" w:eastAsia="宋体" w:hAnsi="宋体" w:cs="宋体"/>
        </w:rPr>
      </w:pPr>
      <w:r>
        <w:rPr>
          <w:rFonts w:ascii="宋体" w:eastAsia="宋体" w:hAnsi="宋体" w:cs="宋体"/>
          <w:spacing w:val="-2"/>
        </w:rPr>
        <w:t>核酸存在于细胞核内，在人体细胞中大量存在。多数食物都含</w:t>
      </w:r>
      <w:r>
        <w:rPr>
          <w:rFonts w:ascii="宋体" w:eastAsia="宋体" w:hAnsi="宋体" w:cs="宋体"/>
          <w:spacing w:val="-3"/>
        </w:rPr>
        <w:t>有核酸，人每</w:t>
      </w:r>
      <w:r>
        <w:rPr>
          <w:rFonts w:ascii="宋体" w:eastAsia="宋体" w:hAnsi="宋体" w:cs="宋体"/>
        </w:rPr>
        <w:t xml:space="preserve"> </w:t>
      </w:r>
      <w:r>
        <w:rPr>
          <w:rFonts w:ascii="宋体" w:eastAsia="宋体" w:hAnsi="宋体" w:cs="宋体"/>
          <w:spacing w:val="-3"/>
        </w:rPr>
        <w:t>天都会从饮食中摄取大量核酸。正常人不存在核酸匮乏问题。但对于膳食结构不</w:t>
      </w:r>
      <w:r>
        <w:rPr>
          <w:rFonts w:ascii="宋体" w:eastAsia="宋体" w:hAnsi="宋体" w:cs="宋体"/>
          <w:spacing w:val="15"/>
        </w:rPr>
        <w:t xml:space="preserve"> </w:t>
      </w:r>
      <w:r>
        <w:rPr>
          <w:rFonts w:ascii="宋体" w:eastAsia="宋体" w:hAnsi="宋体" w:cs="宋体"/>
          <w:spacing w:val="3"/>
        </w:rPr>
        <w:t>科学、日常饮食不规律且肠道消化吸收功能及肝脏合成代谢功能虚弱的特定人</w:t>
      </w:r>
      <w:r>
        <w:rPr>
          <w:rFonts w:ascii="宋体" w:eastAsia="宋体" w:hAnsi="宋体" w:cs="宋体"/>
          <w:spacing w:val="16"/>
        </w:rPr>
        <w:t xml:space="preserve"> </w:t>
      </w:r>
      <w:r>
        <w:rPr>
          <w:rFonts w:ascii="宋体" w:eastAsia="宋体" w:hAnsi="宋体" w:cs="宋体"/>
          <w:spacing w:val="-5"/>
        </w:rPr>
        <w:t>群，如老年体弱多病、肝功能不全、外伤手术及白细胞、</w:t>
      </w:r>
      <w:r>
        <w:rPr>
          <w:rFonts w:ascii="宋体" w:eastAsia="宋体" w:hAnsi="宋体" w:cs="宋体"/>
          <w:spacing w:val="4"/>
        </w:rPr>
        <w:t xml:space="preserve"> </w:t>
      </w:r>
      <w:r>
        <w:rPr>
          <w:rFonts w:ascii="宋体" w:eastAsia="宋体" w:hAnsi="宋体" w:cs="宋体"/>
          <w:spacing w:val="-5"/>
        </w:rPr>
        <w:t>T</w:t>
      </w:r>
      <w:r>
        <w:rPr>
          <w:rFonts w:ascii="宋体" w:eastAsia="宋体" w:hAnsi="宋体" w:cs="宋体"/>
          <w:spacing w:val="5"/>
        </w:rPr>
        <w:t xml:space="preserve"> </w:t>
      </w:r>
      <w:r>
        <w:rPr>
          <w:rFonts w:ascii="宋体" w:eastAsia="宋体" w:hAnsi="宋体" w:cs="宋体"/>
          <w:spacing w:val="-5"/>
        </w:rPr>
        <w:t>细胞、淋巴细胞降低</w:t>
      </w:r>
      <w:r>
        <w:rPr>
          <w:rFonts w:ascii="宋体" w:eastAsia="宋体" w:hAnsi="宋体" w:cs="宋体"/>
        </w:rPr>
        <w:t xml:space="preserve"> </w:t>
      </w:r>
      <w:r>
        <w:rPr>
          <w:rFonts w:ascii="宋体" w:eastAsia="宋体" w:hAnsi="宋体" w:cs="宋体"/>
          <w:spacing w:val="-4"/>
        </w:rPr>
        <w:t>等亚健康人群，可将其作为条件型必需营养素予以补充。</w:t>
      </w:r>
    </w:p>
    <w:p w:rsidR="00EA40A3" w:rsidRDefault="00E86C16">
      <w:pPr>
        <w:spacing w:before="91" w:line="246" w:lineRule="auto"/>
        <w:ind w:firstLine="420"/>
        <w:jc w:val="both"/>
        <w:rPr>
          <w:rFonts w:ascii="宋体" w:eastAsia="宋体" w:hAnsi="宋体" w:cs="宋体"/>
        </w:rPr>
      </w:pPr>
      <w:r>
        <w:rPr>
          <w:rFonts w:ascii="宋体" w:eastAsia="宋体" w:hAnsi="宋体" w:cs="宋体"/>
          <w:spacing w:val="1"/>
        </w:rPr>
        <w:t>核酸需在体内代谢降解为核苷酸、核苷和碱基，才能被</w:t>
      </w:r>
      <w:r>
        <w:rPr>
          <w:rFonts w:ascii="宋体" w:eastAsia="宋体" w:hAnsi="宋体" w:cs="宋体"/>
        </w:rPr>
        <w:t xml:space="preserve">小肠上皮细胞吸收。 </w:t>
      </w:r>
      <w:r>
        <w:rPr>
          <w:rFonts w:ascii="宋体" w:eastAsia="宋体" w:hAnsi="宋体" w:cs="宋体"/>
          <w:spacing w:val="3"/>
        </w:rPr>
        <w:t>如过量服用核酸，将会分解形成较多的嘌呤类核苷酸，有可能促进尿酸过量生</w:t>
      </w:r>
      <w:r>
        <w:rPr>
          <w:rFonts w:ascii="宋体" w:eastAsia="宋体" w:hAnsi="宋体" w:cs="宋体"/>
          <w:spacing w:val="8"/>
        </w:rPr>
        <w:t xml:space="preserve">  </w:t>
      </w:r>
      <w:r>
        <w:rPr>
          <w:rFonts w:ascii="宋体" w:eastAsia="宋体" w:hAnsi="宋体" w:cs="宋体"/>
          <w:spacing w:val="-2"/>
        </w:rPr>
        <w:t>成，引起痛风。因此，痛风症患者或有痛风病家族史的人不宜外源性补充核酸产</w:t>
      </w:r>
      <w:r>
        <w:rPr>
          <w:rFonts w:ascii="宋体" w:eastAsia="宋体" w:hAnsi="宋体" w:cs="宋体"/>
        </w:rPr>
        <w:t xml:space="preserve">  </w:t>
      </w:r>
      <w:r>
        <w:rPr>
          <w:rFonts w:ascii="宋体" w:eastAsia="宋体" w:hAnsi="宋体" w:cs="宋体"/>
          <w:spacing w:val="-6"/>
        </w:rPr>
        <w:t>品及富含核酸的食物。</w:t>
      </w:r>
    </w:p>
    <w:p w:rsidR="00EA40A3" w:rsidRDefault="00E86C16">
      <w:pPr>
        <w:spacing w:before="87"/>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3"/>
          <w:sz w:val="18"/>
          <w:szCs w:val="18"/>
        </w:rPr>
        <w:t xml:space="preserve"> </w:t>
      </w:r>
      <w:r>
        <w:rPr>
          <w:rFonts w:ascii="宋体" w:eastAsia="宋体" w:hAnsi="宋体" w:cs="宋体"/>
          <w:spacing w:val="-29"/>
          <w:sz w:val="18"/>
          <w:szCs w:val="18"/>
        </w:rPr>
        <w:t>170</w:t>
      </w:r>
      <w:r>
        <w:rPr>
          <w:rFonts w:ascii="宋体" w:eastAsia="宋体" w:hAnsi="宋体" w:cs="宋体"/>
          <w:spacing w:val="45"/>
          <w:sz w:val="18"/>
          <w:szCs w:val="18"/>
        </w:rPr>
        <w:t xml:space="preserve"> </w:t>
      </w:r>
      <w:r>
        <w:rPr>
          <w:rFonts w:ascii="宋体" w:eastAsia="宋体" w:hAnsi="宋体" w:cs="宋体"/>
          <w:spacing w:val="-29"/>
          <w:sz w:val="18"/>
          <w:szCs w:val="18"/>
        </w:rPr>
        <w:t>·</w:t>
      </w:r>
    </w:p>
    <w:p w:rsidR="00EA40A3" w:rsidRDefault="00EA40A3">
      <w:pPr>
        <w:sectPr w:rsidR="00EA40A3">
          <w:pgSz w:w="9220" w:h="13360"/>
          <w:pgMar w:top="400" w:right="1034" w:bottom="400" w:left="809" w:header="0" w:footer="0" w:gutter="0"/>
          <w:cols w:space="720"/>
        </w:sectPr>
      </w:pPr>
    </w:p>
    <w:p w:rsidR="00EA40A3" w:rsidRDefault="00EA40A3">
      <w:pPr>
        <w:spacing w:line="319" w:lineRule="auto"/>
      </w:pPr>
    </w:p>
    <w:p w:rsidR="00EA40A3" w:rsidRDefault="00EA40A3">
      <w:pPr>
        <w:spacing w:line="320" w:lineRule="auto"/>
      </w:pPr>
    </w:p>
    <w:p w:rsidR="00EA40A3" w:rsidRDefault="00E86C16">
      <w:pPr>
        <w:spacing w:before="81" w:line="221" w:lineRule="auto"/>
        <w:ind w:left="3"/>
        <w:outlineLvl w:val="6"/>
        <w:rPr>
          <w:rFonts w:ascii="黑体" w:eastAsia="黑体" w:hAnsi="黑体" w:cs="黑体"/>
          <w:sz w:val="25"/>
          <w:szCs w:val="25"/>
        </w:rPr>
      </w:pPr>
      <w:r>
        <w:rPr>
          <w:rFonts w:ascii="黑体" w:eastAsia="黑体" w:hAnsi="黑体" w:cs="黑体"/>
          <w:b/>
          <w:bCs/>
          <w:spacing w:val="-8"/>
          <w:sz w:val="25"/>
          <w:szCs w:val="25"/>
        </w:rPr>
        <w:t>5.8.3</w:t>
      </w:r>
      <w:r>
        <w:rPr>
          <w:rFonts w:ascii="黑体" w:eastAsia="黑体" w:hAnsi="黑体" w:cs="黑体"/>
          <w:spacing w:val="4"/>
          <w:sz w:val="25"/>
          <w:szCs w:val="25"/>
        </w:rPr>
        <w:t xml:space="preserve">  </w:t>
      </w:r>
      <w:r>
        <w:rPr>
          <w:rFonts w:ascii="黑体" w:eastAsia="黑体" w:hAnsi="黑体" w:cs="黑体"/>
          <w:b/>
          <w:bCs/>
          <w:spacing w:val="-8"/>
          <w:sz w:val="25"/>
          <w:szCs w:val="25"/>
        </w:rPr>
        <w:t>核酸的食物来源</w:t>
      </w:r>
    </w:p>
    <w:p w:rsidR="00EA40A3" w:rsidRDefault="00E86C16">
      <w:pPr>
        <w:spacing w:before="156" w:line="250" w:lineRule="auto"/>
        <w:ind w:firstLine="479"/>
        <w:rPr>
          <w:rFonts w:ascii="宋体" w:eastAsia="宋体" w:hAnsi="宋体" w:cs="宋体"/>
          <w:sz w:val="22"/>
          <w:szCs w:val="22"/>
        </w:rPr>
      </w:pPr>
      <w:r>
        <w:rPr>
          <w:rFonts w:ascii="宋体" w:eastAsia="宋体" w:hAnsi="宋体" w:cs="宋体"/>
          <w:spacing w:val="-13"/>
          <w:sz w:val="22"/>
          <w:szCs w:val="22"/>
        </w:rPr>
        <w:t>含核酸最丰富的食物是沙丁鱼。此外，鱼虾类、螃蟹、牡蛎、动物肝脏、蘑</w:t>
      </w:r>
      <w:r>
        <w:rPr>
          <w:rFonts w:ascii="宋体" w:eastAsia="宋体" w:hAnsi="宋体" w:cs="宋体"/>
          <w:spacing w:val="18"/>
          <w:sz w:val="22"/>
          <w:szCs w:val="22"/>
        </w:rPr>
        <w:t xml:space="preserve"> </w:t>
      </w:r>
      <w:r>
        <w:rPr>
          <w:rFonts w:ascii="宋体" w:eastAsia="宋体" w:hAnsi="宋体" w:cs="宋体"/>
          <w:spacing w:val="-11"/>
          <w:sz w:val="22"/>
          <w:szCs w:val="22"/>
        </w:rPr>
        <w:t>菇、木耳、花粉及酵母等也含有丰富的核酸。其次，黄豆、扁豆、绿豆、蚕豆、</w:t>
      </w:r>
      <w:r>
        <w:rPr>
          <w:rFonts w:ascii="宋体" w:eastAsia="宋体" w:hAnsi="宋体" w:cs="宋体"/>
          <w:spacing w:val="14"/>
          <w:sz w:val="22"/>
          <w:szCs w:val="22"/>
        </w:rPr>
        <w:t xml:space="preserve"> </w:t>
      </w:r>
      <w:r>
        <w:rPr>
          <w:rFonts w:ascii="宋体" w:eastAsia="宋体" w:hAnsi="宋体" w:cs="宋体"/>
          <w:spacing w:val="-13"/>
          <w:sz w:val="22"/>
          <w:szCs w:val="22"/>
        </w:rPr>
        <w:t>洋葱、菠菜、鲜笋、萝卜、韭菜及西兰花等蔬菜中也含有许</w:t>
      </w:r>
      <w:r>
        <w:rPr>
          <w:rFonts w:ascii="宋体" w:eastAsia="宋体" w:hAnsi="宋体" w:cs="宋体"/>
          <w:spacing w:val="-14"/>
          <w:sz w:val="22"/>
          <w:szCs w:val="22"/>
        </w:rPr>
        <w:t>多核酸和制造核酸的</w:t>
      </w:r>
      <w:r>
        <w:rPr>
          <w:rFonts w:ascii="宋体" w:eastAsia="宋体" w:hAnsi="宋体" w:cs="宋体"/>
          <w:sz w:val="22"/>
          <w:szCs w:val="22"/>
        </w:rPr>
        <w:t xml:space="preserve">  </w:t>
      </w:r>
      <w:r>
        <w:rPr>
          <w:rFonts w:ascii="宋体" w:eastAsia="宋体" w:hAnsi="宋体" w:cs="宋体"/>
          <w:spacing w:val="-9"/>
          <w:sz w:val="22"/>
          <w:szCs w:val="22"/>
        </w:rPr>
        <w:t>物质。</w:t>
      </w:r>
    </w:p>
    <w:p w:rsidR="00EA40A3" w:rsidRDefault="00E86C16">
      <w:pPr>
        <w:spacing w:before="320" w:line="220" w:lineRule="auto"/>
        <w:ind w:left="2649"/>
        <w:rPr>
          <w:rFonts w:ascii="宋体" w:eastAsia="宋体" w:hAnsi="宋体" w:cs="宋体"/>
          <w:sz w:val="28"/>
          <w:szCs w:val="28"/>
        </w:rPr>
      </w:pPr>
      <w:r>
        <w:rPr>
          <w:rFonts w:ascii="宋体" w:eastAsia="宋体" w:hAnsi="宋体" w:cs="宋体"/>
          <w:spacing w:val="-4"/>
          <w:sz w:val="28"/>
          <w:szCs w:val="28"/>
        </w:rPr>
        <w:t>5.9</w:t>
      </w:r>
      <w:r>
        <w:rPr>
          <w:rFonts w:ascii="宋体" w:eastAsia="宋体" w:hAnsi="宋体" w:cs="宋体"/>
          <w:spacing w:val="128"/>
          <w:sz w:val="28"/>
          <w:szCs w:val="28"/>
        </w:rPr>
        <w:t xml:space="preserve"> </w:t>
      </w:r>
      <w:r>
        <w:rPr>
          <w:rFonts w:ascii="宋体" w:eastAsia="宋体" w:hAnsi="宋体" w:cs="宋体"/>
          <w:spacing w:val="-4"/>
          <w:sz w:val="28"/>
          <w:szCs w:val="28"/>
        </w:rPr>
        <w:t>二十八烷醇</w:t>
      </w:r>
    </w:p>
    <w:p w:rsidR="00EA40A3" w:rsidRDefault="00E86C16">
      <w:pPr>
        <w:spacing w:before="302" w:line="247" w:lineRule="auto"/>
        <w:ind w:right="31" w:firstLine="500"/>
        <w:jc w:val="both"/>
        <w:rPr>
          <w:rFonts w:ascii="宋体" w:eastAsia="宋体" w:hAnsi="宋体" w:cs="宋体"/>
          <w:sz w:val="22"/>
          <w:szCs w:val="22"/>
        </w:rPr>
      </w:pPr>
      <w:r>
        <w:rPr>
          <w:rFonts w:ascii="宋体" w:eastAsia="宋体" w:hAnsi="宋体" w:cs="宋体"/>
          <w:spacing w:val="-8"/>
          <w:sz w:val="22"/>
          <w:szCs w:val="22"/>
        </w:rPr>
        <w:t>二十八烷醇是一元直链天然存在的高级脂肪醇。主要存在于糠蜡、小麦胚</w:t>
      </w:r>
      <w:r>
        <w:rPr>
          <w:rFonts w:ascii="宋体" w:eastAsia="宋体" w:hAnsi="宋体" w:cs="宋体"/>
          <w:spacing w:val="14"/>
          <w:sz w:val="22"/>
          <w:szCs w:val="22"/>
        </w:rPr>
        <w:t xml:space="preserve"> </w:t>
      </w:r>
      <w:r>
        <w:rPr>
          <w:rFonts w:ascii="宋体" w:eastAsia="宋体" w:hAnsi="宋体" w:cs="宋体"/>
          <w:spacing w:val="-14"/>
          <w:sz w:val="22"/>
          <w:szCs w:val="22"/>
        </w:rPr>
        <w:t>芽、蜂蜡及虫蜡等天然产物中，苹果、葡萄、苜蓿、甘蔗和大米等一类植物蜡中</w:t>
      </w:r>
      <w:r>
        <w:rPr>
          <w:rFonts w:ascii="宋体" w:eastAsia="宋体" w:hAnsi="宋体" w:cs="宋体"/>
          <w:spacing w:val="11"/>
          <w:sz w:val="22"/>
          <w:szCs w:val="22"/>
        </w:rPr>
        <w:t xml:space="preserve"> </w:t>
      </w:r>
      <w:r>
        <w:rPr>
          <w:rFonts w:ascii="宋体" w:eastAsia="宋体" w:hAnsi="宋体" w:cs="宋体"/>
          <w:spacing w:val="-2"/>
          <w:sz w:val="22"/>
          <w:szCs w:val="22"/>
        </w:rPr>
        <w:t>也含有。小麦胚芽二十八烷醇含量为10mg/kg,</w:t>
      </w:r>
      <w:r>
        <w:rPr>
          <w:rFonts w:ascii="宋体" w:eastAsia="宋体" w:hAnsi="宋体" w:cs="宋体"/>
          <w:spacing w:val="32"/>
          <w:sz w:val="22"/>
          <w:szCs w:val="22"/>
        </w:rPr>
        <w:t xml:space="preserve"> </w:t>
      </w:r>
      <w:r>
        <w:rPr>
          <w:rFonts w:ascii="宋体" w:eastAsia="宋体" w:hAnsi="宋体" w:cs="宋体"/>
          <w:spacing w:val="-2"/>
          <w:sz w:val="22"/>
          <w:szCs w:val="22"/>
        </w:rPr>
        <w:t>胚芽油含量为100mg/kg。</w:t>
      </w:r>
      <w:r>
        <w:rPr>
          <w:rFonts w:ascii="宋体" w:eastAsia="宋体" w:hAnsi="宋体" w:cs="宋体"/>
          <w:spacing w:val="53"/>
          <w:sz w:val="22"/>
          <w:szCs w:val="22"/>
        </w:rPr>
        <w:t xml:space="preserve"> </w:t>
      </w:r>
      <w:r>
        <w:rPr>
          <w:rFonts w:ascii="宋体" w:eastAsia="宋体" w:hAnsi="宋体" w:cs="宋体"/>
          <w:spacing w:val="-3"/>
          <w:sz w:val="22"/>
          <w:szCs w:val="22"/>
        </w:rPr>
        <w:t>自</w:t>
      </w:r>
      <w:r>
        <w:rPr>
          <w:rFonts w:ascii="宋体" w:eastAsia="宋体" w:hAnsi="宋体" w:cs="宋体"/>
          <w:sz w:val="22"/>
          <w:szCs w:val="22"/>
        </w:rPr>
        <w:t xml:space="preserve"> </w:t>
      </w:r>
      <w:r>
        <w:rPr>
          <w:rFonts w:ascii="宋体" w:eastAsia="宋体" w:hAnsi="宋体" w:cs="宋体"/>
          <w:spacing w:val="-7"/>
          <w:sz w:val="22"/>
          <w:szCs w:val="22"/>
        </w:rPr>
        <w:t>1937年发现它对人体的生殖障碍疾病有治疗作用后，渐渐为人们所知。从1949</w:t>
      </w:r>
      <w:r>
        <w:rPr>
          <w:rFonts w:ascii="宋体" w:eastAsia="宋体" w:hAnsi="宋体" w:cs="宋体"/>
          <w:spacing w:val="16"/>
          <w:sz w:val="22"/>
          <w:szCs w:val="22"/>
        </w:rPr>
        <w:t xml:space="preserve"> </w:t>
      </w:r>
      <w:r>
        <w:rPr>
          <w:rFonts w:ascii="宋体" w:eastAsia="宋体" w:hAnsi="宋体" w:cs="宋体"/>
          <w:spacing w:val="-4"/>
          <w:sz w:val="22"/>
          <w:szCs w:val="22"/>
        </w:rPr>
        <w:t>年起，美国伊利诺伊大学Cureton等学者进行了20多年的研究，证明它是一种</w:t>
      </w:r>
      <w:r>
        <w:rPr>
          <w:rFonts w:ascii="宋体" w:eastAsia="宋体" w:hAnsi="宋体" w:cs="宋体"/>
          <w:spacing w:val="17"/>
          <w:sz w:val="22"/>
          <w:szCs w:val="22"/>
        </w:rPr>
        <w:t xml:space="preserve"> </w:t>
      </w:r>
      <w:r>
        <w:rPr>
          <w:rFonts w:ascii="宋体" w:eastAsia="宋体" w:hAnsi="宋体" w:cs="宋体"/>
          <w:spacing w:val="-13"/>
          <w:sz w:val="22"/>
          <w:szCs w:val="22"/>
        </w:rPr>
        <w:t>抗疲劳活性物质，应用极微量就能显示出其活性作用，是一种理想的天然健康食</w:t>
      </w:r>
      <w:r>
        <w:rPr>
          <w:rFonts w:ascii="宋体" w:eastAsia="宋体" w:hAnsi="宋体" w:cs="宋体"/>
          <w:spacing w:val="13"/>
          <w:sz w:val="22"/>
          <w:szCs w:val="22"/>
        </w:rPr>
        <w:t xml:space="preserve"> </w:t>
      </w:r>
      <w:r>
        <w:rPr>
          <w:rFonts w:ascii="宋体" w:eastAsia="宋体" w:hAnsi="宋体" w:cs="宋体"/>
          <w:spacing w:val="-16"/>
          <w:sz w:val="22"/>
          <w:szCs w:val="22"/>
        </w:rPr>
        <w:t>品添加剂。</w:t>
      </w:r>
    </w:p>
    <w:p w:rsidR="00EA40A3" w:rsidRDefault="00E86C16">
      <w:pPr>
        <w:spacing w:before="90" w:line="244" w:lineRule="auto"/>
        <w:ind w:right="62" w:firstLine="439"/>
        <w:jc w:val="both"/>
        <w:rPr>
          <w:rFonts w:ascii="宋体" w:eastAsia="宋体" w:hAnsi="宋体" w:cs="宋体"/>
          <w:sz w:val="22"/>
          <w:szCs w:val="22"/>
        </w:rPr>
      </w:pPr>
      <w:r>
        <w:rPr>
          <w:rFonts w:ascii="宋体" w:eastAsia="宋体" w:hAnsi="宋体" w:cs="宋体"/>
          <w:spacing w:val="-13"/>
          <w:sz w:val="22"/>
          <w:szCs w:val="22"/>
        </w:rPr>
        <w:t>生理功能包括：提高肌力，降低肌肉摩擦，消除肌肉疼痛；增强耐</w:t>
      </w:r>
      <w:r>
        <w:rPr>
          <w:rFonts w:ascii="宋体" w:eastAsia="宋体" w:hAnsi="宋体" w:cs="宋体"/>
          <w:spacing w:val="-14"/>
          <w:sz w:val="22"/>
          <w:szCs w:val="22"/>
        </w:rPr>
        <w:t>力、精力</w:t>
      </w:r>
      <w:r>
        <w:rPr>
          <w:rFonts w:ascii="宋体" w:eastAsia="宋体" w:hAnsi="宋体" w:cs="宋体"/>
          <w:sz w:val="22"/>
          <w:szCs w:val="22"/>
        </w:rPr>
        <w:t xml:space="preserve"> </w:t>
      </w:r>
      <w:r>
        <w:rPr>
          <w:rFonts w:ascii="宋体" w:eastAsia="宋体" w:hAnsi="宋体" w:cs="宋体"/>
          <w:spacing w:val="-7"/>
          <w:sz w:val="22"/>
          <w:szCs w:val="22"/>
        </w:rPr>
        <w:t>和体力；能降低缺氧的发生率，帮助身体使其在压力状态时更有效率地运用氧</w:t>
      </w:r>
      <w:r>
        <w:rPr>
          <w:rFonts w:ascii="宋体" w:eastAsia="宋体" w:hAnsi="宋体" w:cs="宋体"/>
          <w:spacing w:val="16"/>
          <w:sz w:val="22"/>
          <w:szCs w:val="22"/>
        </w:rPr>
        <w:t xml:space="preserve"> </w:t>
      </w:r>
      <w:r>
        <w:rPr>
          <w:rFonts w:ascii="宋体" w:eastAsia="宋体" w:hAnsi="宋体" w:cs="宋体"/>
          <w:spacing w:val="-13"/>
          <w:sz w:val="22"/>
          <w:szCs w:val="22"/>
        </w:rPr>
        <w:t>气，增强对高山反应的抵抗力；还有降低收缩期血压、缩短反应时间、刺激性激</w:t>
      </w:r>
      <w:r>
        <w:rPr>
          <w:rFonts w:ascii="宋体" w:eastAsia="宋体" w:hAnsi="宋体" w:cs="宋体"/>
          <w:spacing w:val="12"/>
          <w:sz w:val="22"/>
          <w:szCs w:val="22"/>
        </w:rPr>
        <w:t xml:space="preserve"> </w:t>
      </w:r>
      <w:r>
        <w:rPr>
          <w:rFonts w:ascii="宋体" w:eastAsia="宋体" w:hAnsi="宋体" w:cs="宋体"/>
          <w:spacing w:val="-13"/>
          <w:sz w:val="22"/>
          <w:szCs w:val="22"/>
        </w:rPr>
        <w:t>素及强化心脏机能的作用。日本多以米糠油为原料提取二十八烷醇，在其二十八</w:t>
      </w:r>
      <w:r>
        <w:rPr>
          <w:rFonts w:ascii="宋体" w:eastAsia="宋体" w:hAnsi="宋体" w:cs="宋体"/>
          <w:spacing w:val="13"/>
          <w:sz w:val="22"/>
          <w:szCs w:val="22"/>
        </w:rPr>
        <w:t xml:space="preserve"> </w:t>
      </w:r>
      <w:r>
        <w:rPr>
          <w:rFonts w:ascii="宋体" w:eastAsia="宋体" w:hAnsi="宋体" w:cs="宋体"/>
          <w:spacing w:val="1"/>
          <w:sz w:val="22"/>
          <w:szCs w:val="22"/>
        </w:rPr>
        <w:t>烷醇商品中，二十八烷醇含量一般为10%～15%,系C22～C</w:t>
      </w:r>
      <w:r>
        <w:rPr>
          <w:rFonts w:ascii="宋体" w:eastAsia="宋体" w:hAnsi="宋体" w:cs="宋体"/>
          <w:sz w:val="22"/>
          <w:szCs w:val="22"/>
        </w:rPr>
        <w:t>36</w:t>
      </w:r>
      <w:r>
        <w:rPr>
          <w:rFonts w:ascii="宋体" w:eastAsia="宋体" w:hAnsi="宋体" w:cs="宋体"/>
          <w:spacing w:val="-34"/>
          <w:sz w:val="22"/>
          <w:szCs w:val="22"/>
        </w:rPr>
        <w:t xml:space="preserve"> </w:t>
      </w:r>
      <w:r>
        <w:rPr>
          <w:rFonts w:ascii="宋体" w:eastAsia="宋体" w:hAnsi="宋体" w:cs="宋体"/>
          <w:sz w:val="22"/>
          <w:szCs w:val="22"/>
        </w:rPr>
        <w:t>脂肪醇混合物。</w:t>
      </w:r>
    </w:p>
    <w:p w:rsidR="00EA40A3" w:rsidRDefault="00EA40A3">
      <w:pPr>
        <w:spacing w:line="265" w:lineRule="auto"/>
      </w:pPr>
    </w:p>
    <w:p w:rsidR="00EA40A3" w:rsidRDefault="00E86C16">
      <w:pPr>
        <w:spacing w:before="92" w:line="219" w:lineRule="auto"/>
        <w:ind w:left="1729"/>
        <w:rPr>
          <w:rFonts w:ascii="宋体" w:eastAsia="宋体" w:hAnsi="宋体" w:cs="宋体"/>
          <w:sz w:val="28"/>
          <w:szCs w:val="28"/>
        </w:rPr>
      </w:pPr>
      <w:r>
        <w:rPr>
          <w:rFonts w:ascii="宋体" w:eastAsia="宋体" w:hAnsi="宋体" w:cs="宋体"/>
          <w:spacing w:val="-3"/>
          <w:sz w:val="28"/>
          <w:szCs w:val="28"/>
        </w:rPr>
        <w:t>5.10</w:t>
      </w:r>
      <w:r>
        <w:rPr>
          <w:rFonts w:ascii="宋体" w:eastAsia="宋体" w:hAnsi="宋体" w:cs="宋体"/>
          <w:spacing w:val="123"/>
          <w:sz w:val="28"/>
          <w:szCs w:val="28"/>
        </w:rPr>
        <w:t xml:space="preserve"> </w:t>
      </w:r>
      <w:r>
        <w:rPr>
          <w:rFonts w:ascii="宋体" w:eastAsia="宋体" w:hAnsi="宋体" w:cs="宋体"/>
          <w:spacing w:val="-3"/>
          <w:sz w:val="28"/>
          <w:szCs w:val="28"/>
        </w:rPr>
        <w:t>咖啡碱、茶叶碱和可可碱</w:t>
      </w:r>
    </w:p>
    <w:p w:rsidR="00EA40A3" w:rsidRDefault="00E86C16">
      <w:pPr>
        <w:spacing w:before="306" w:line="241" w:lineRule="auto"/>
        <w:ind w:right="70" w:firstLine="419"/>
        <w:jc w:val="both"/>
        <w:rPr>
          <w:rFonts w:ascii="宋体" w:eastAsia="宋体" w:hAnsi="宋体" w:cs="宋体"/>
          <w:sz w:val="22"/>
          <w:szCs w:val="22"/>
        </w:rPr>
      </w:pPr>
      <w:r>
        <w:rPr>
          <w:rFonts w:ascii="宋体" w:eastAsia="宋体" w:hAnsi="宋体" w:cs="宋体"/>
          <w:spacing w:val="-13"/>
          <w:sz w:val="22"/>
          <w:szCs w:val="22"/>
        </w:rPr>
        <w:t>咖啡碱、茶叶碱和可可碱均为甲基嘌呤衍生物，人们很早就知道嘌呤类化合</w:t>
      </w:r>
      <w:r>
        <w:rPr>
          <w:rFonts w:ascii="宋体" w:eastAsia="宋体" w:hAnsi="宋体" w:cs="宋体"/>
          <w:spacing w:val="6"/>
          <w:sz w:val="22"/>
          <w:szCs w:val="22"/>
        </w:rPr>
        <w:t xml:space="preserve"> </w:t>
      </w:r>
      <w:r>
        <w:rPr>
          <w:rFonts w:ascii="宋体" w:eastAsia="宋体" w:hAnsi="宋体" w:cs="宋体"/>
          <w:spacing w:val="-13"/>
          <w:sz w:val="22"/>
          <w:szCs w:val="22"/>
        </w:rPr>
        <w:t>物可影响神经系统活性，产生血管效应，有镇静、解痉、扩张血管、降低血压等</w:t>
      </w:r>
      <w:r>
        <w:rPr>
          <w:rFonts w:ascii="宋体" w:eastAsia="宋体" w:hAnsi="宋体" w:cs="宋体"/>
          <w:spacing w:val="13"/>
          <w:sz w:val="22"/>
          <w:szCs w:val="22"/>
        </w:rPr>
        <w:t xml:space="preserve"> </w:t>
      </w:r>
      <w:r>
        <w:rPr>
          <w:rFonts w:ascii="宋体" w:eastAsia="宋体" w:hAnsi="宋体" w:cs="宋体"/>
          <w:spacing w:val="-13"/>
          <w:sz w:val="22"/>
          <w:szCs w:val="22"/>
        </w:rPr>
        <w:t>生理活性。其结构式如图5-5。</w:t>
      </w:r>
    </w:p>
    <w:p w:rsidR="00EA40A3" w:rsidRDefault="00EA40A3">
      <w:pPr>
        <w:spacing w:line="208" w:lineRule="exact"/>
      </w:pPr>
    </w:p>
    <w:p w:rsidR="00EA40A3" w:rsidRDefault="00EA40A3">
      <w:pPr>
        <w:sectPr w:rsidR="00EA40A3">
          <w:footerReference w:type="default" r:id="rId151"/>
          <w:pgSz w:w="9220" w:h="13360"/>
          <w:pgMar w:top="400" w:right="919" w:bottom="1268" w:left="970" w:header="0" w:footer="1074" w:gutter="0"/>
          <w:cols w:space="720" w:equalWidth="0">
            <w:col w:w="7331"/>
          </w:cols>
        </w:sectPr>
      </w:pPr>
    </w:p>
    <w:p w:rsidR="00EA40A3" w:rsidRDefault="00E86C16">
      <w:pPr>
        <w:spacing w:line="1260" w:lineRule="exact"/>
        <w:ind w:firstLine="929"/>
        <w:textAlignment w:val="center"/>
      </w:pPr>
      <w:r>
        <w:rPr>
          <w:noProof/>
        </w:rPr>
        <w:drawing>
          <wp:inline distT="0" distB="0" distL="0" distR="0">
            <wp:extent cx="996950" cy="79946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52"/>
                    <a:stretch>
                      <a:fillRect/>
                    </a:stretch>
                  </pic:blipFill>
                  <pic:spPr>
                    <a:xfrm>
                      <a:off x="0" y="0"/>
                      <a:ext cx="996996" cy="800088"/>
                    </a:xfrm>
                    <a:prstGeom prst="rect">
                      <a:avLst/>
                    </a:prstGeom>
                  </pic:spPr>
                </pic:pic>
              </a:graphicData>
            </a:graphic>
          </wp:inline>
        </w:drawing>
      </w:r>
    </w:p>
    <w:p w:rsidR="00EA40A3" w:rsidRDefault="00E86C16">
      <w:pPr>
        <w:spacing w:before="204" w:line="219" w:lineRule="auto"/>
        <w:ind w:left="1472"/>
        <w:rPr>
          <w:rFonts w:ascii="宋体" w:eastAsia="宋体" w:hAnsi="宋体" w:cs="宋体"/>
          <w:sz w:val="15"/>
          <w:szCs w:val="15"/>
        </w:rPr>
      </w:pPr>
      <w:r>
        <w:rPr>
          <w:rFonts w:ascii="宋体" w:eastAsia="宋体" w:hAnsi="宋体" w:cs="宋体"/>
          <w:b/>
          <w:bCs/>
          <w:spacing w:val="-4"/>
          <w:sz w:val="15"/>
          <w:szCs w:val="15"/>
        </w:rPr>
        <w:t>茶叶碱</w:t>
      </w:r>
    </w:p>
    <w:p w:rsidR="00EA40A3" w:rsidRDefault="00E86C16">
      <w:pPr>
        <w:spacing w:line="14" w:lineRule="auto"/>
        <w:rPr>
          <w:sz w:val="2"/>
        </w:rPr>
      </w:pPr>
      <w:r>
        <w:rPr>
          <w:sz w:val="2"/>
          <w:szCs w:val="2"/>
        </w:rPr>
        <w:br w:type="column"/>
      </w:r>
    </w:p>
    <w:p w:rsidR="00EA40A3" w:rsidRDefault="00E86C16">
      <w:pPr>
        <w:spacing w:before="9" w:line="1260" w:lineRule="exact"/>
        <w:textAlignment w:val="center"/>
      </w:pPr>
      <w:r>
        <w:rPr>
          <w:noProof/>
        </w:rPr>
        <w:drawing>
          <wp:inline distT="0" distB="0" distL="0" distR="0">
            <wp:extent cx="939165" cy="799465"/>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53"/>
                    <a:stretch>
                      <a:fillRect/>
                    </a:stretch>
                  </pic:blipFill>
                  <pic:spPr>
                    <a:xfrm>
                      <a:off x="0" y="0"/>
                      <a:ext cx="939796" cy="800088"/>
                    </a:xfrm>
                    <a:prstGeom prst="rect">
                      <a:avLst/>
                    </a:prstGeom>
                  </pic:spPr>
                </pic:pic>
              </a:graphicData>
            </a:graphic>
          </wp:inline>
        </w:drawing>
      </w:r>
    </w:p>
    <w:p w:rsidR="00EA40A3" w:rsidRDefault="00E86C16">
      <w:pPr>
        <w:spacing w:before="208" w:line="206" w:lineRule="auto"/>
        <w:ind w:left="339"/>
        <w:rPr>
          <w:rFonts w:ascii="宋体" w:eastAsia="宋体" w:hAnsi="宋体" w:cs="宋体"/>
          <w:sz w:val="15"/>
          <w:szCs w:val="15"/>
        </w:rPr>
      </w:pPr>
      <w:r>
        <w:rPr>
          <w:rFonts w:ascii="宋体" w:eastAsia="宋体" w:hAnsi="宋体" w:cs="宋体"/>
          <w:spacing w:val="-2"/>
          <w:sz w:val="15"/>
          <w:szCs w:val="15"/>
        </w:rPr>
        <w:t>可可碱</w:t>
      </w:r>
    </w:p>
    <w:p w:rsidR="00EA40A3" w:rsidRDefault="00E86C16">
      <w:pPr>
        <w:spacing w:line="14" w:lineRule="auto"/>
        <w:rPr>
          <w:sz w:val="2"/>
        </w:rPr>
      </w:pPr>
      <w:r>
        <w:rPr>
          <w:sz w:val="2"/>
          <w:szCs w:val="2"/>
        </w:rPr>
        <w:br w:type="column"/>
      </w:r>
    </w:p>
    <w:p w:rsidR="00EA40A3" w:rsidRDefault="00E86C16">
      <w:pPr>
        <w:spacing w:before="9" w:line="1270" w:lineRule="exact"/>
        <w:textAlignment w:val="center"/>
      </w:pPr>
      <w:r>
        <w:rPr>
          <w:noProof/>
        </w:rPr>
        <w:drawing>
          <wp:inline distT="0" distB="0" distL="0" distR="0">
            <wp:extent cx="1040765" cy="80645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54"/>
                    <a:stretch>
                      <a:fillRect/>
                    </a:stretch>
                  </pic:blipFill>
                  <pic:spPr>
                    <a:xfrm>
                      <a:off x="0" y="0"/>
                      <a:ext cx="1041375" cy="806451"/>
                    </a:xfrm>
                    <a:prstGeom prst="rect">
                      <a:avLst/>
                    </a:prstGeom>
                  </pic:spPr>
                </pic:pic>
              </a:graphicData>
            </a:graphic>
          </wp:inline>
        </w:drawing>
      </w:r>
    </w:p>
    <w:p w:rsidR="00EA40A3" w:rsidRDefault="00E86C16">
      <w:pPr>
        <w:spacing w:before="216" w:line="184" w:lineRule="auto"/>
        <w:ind w:left="612"/>
        <w:rPr>
          <w:rFonts w:ascii="宋体" w:eastAsia="宋体" w:hAnsi="宋体" w:cs="宋体"/>
          <w:sz w:val="15"/>
          <w:szCs w:val="15"/>
        </w:rPr>
      </w:pPr>
      <w:r>
        <w:rPr>
          <w:rFonts w:ascii="宋体" w:eastAsia="宋体" w:hAnsi="宋体" w:cs="宋体"/>
          <w:b/>
          <w:bCs/>
          <w:spacing w:val="-5"/>
          <w:sz w:val="15"/>
          <w:szCs w:val="15"/>
        </w:rPr>
        <w:t>咖啡碱</w:t>
      </w:r>
    </w:p>
    <w:p w:rsidR="00EA40A3" w:rsidRDefault="00EA40A3">
      <w:pPr>
        <w:sectPr w:rsidR="00EA40A3">
          <w:type w:val="continuous"/>
          <w:pgSz w:w="9220" w:h="13360"/>
          <w:pgMar w:top="400" w:right="919" w:bottom="1268" w:left="970" w:header="0" w:footer="1074" w:gutter="0"/>
          <w:cols w:num="3" w:space="720" w:equalWidth="0">
            <w:col w:w="2750" w:space="100"/>
            <w:col w:w="1770" w:space="100"/>
            <w:col w:w="2611"/>
          </w:cols>
        </w:sectPr>
      </w:pPr>
    </w:p>
    <w:p w:rsidR="00EA40A3" w:rsidRDefault="00E86C16">
      <w:pPr>
        <w:spacing w:before="283" w:line="184" w:lineRule="auto"/>
        <w:ind w:left="1769"/>
        <w:rPr>
          <w:rFonts w:ascii="宋体" w:eastAsia="宋体" w:hAnsi="宋体" w:cs="宋体"/>
          <w:sz w:val="19"/>
          <w:szCs w:val="19"/>
        </w:rPr>
      </w:pPr>
      <w:r>
        <w:rPr>
          <w:rFonts w:ascii="宋体" w:eastAsia="宋体" w:hAnsi="宋体" w:cs="宋体"/>
          <w:spacing w:val="-10"/>
          <w:sz w:val="19"/>
          <w:szCs w:val="19"/>
        </w:rPr>
        <w:t>图5-5</w:t>
      </w:r>
      <w:r>
        <w:rPr>
          <w:rFonts w:ascii="宋体" w:eastAsia="宋体" w:hAnsi="宋体" w:cs="宋体"/>
          <w:spacing w:val="88"/>
          <w:sz w:val="19"/>
          <w:szCs w:val="19"/>
        </w:rPr>
        <w:t xml:space="preserve"> </w:t>
      </w:r>
      <w:r>
        <w:rPr>
          <w:rFonts w:ascii="宋体" w:eastAsia="宋体" w:hAnsi="宋体" w:cs="宋体"/>
          <w:spacing w:val="-10"/>
          <w:sz w:val="19"/>
          <w:szCs w:val="19"/>
        </w:rPr>
        <w:t>咖啡碱、茶叶碱和可可碱的化学结构式</w:t>
      </w:r>
    </w:p>
    <w:p w:rsidR="00EA40A3" w:rsidRDefault="00EA40A3">
      <w:pPr>
        <w:sectPr w:rsidR="00EA40A3">
          <w:type w:val="continuous"/>
          <w:pgSz w:w="9220" w:h="13360"/>
          <w:pgMar w:top="400" w:right="919" w:bottom="1268" w:left="970" w:header="0" w:footer="1074" w:gutter="0"/>
          <w:cols w:space="720" w:equalWidth="0">
            <w:col w:w="7331"/>
          </w:cols>
        </w:sectPr>
      </w:pPr>
    </w:p>
    <w:p w:rsidR="00EA40A3" w:rsidRDefault="00EA40A3">
      <w:pPr>
        <w:spacing w:line="333" w:lineRule="auto"/>
      </w:pPr>
    </w:p>
    <w:p w:rsidR="00EA40A3" w:rsidRDefault="00EA40A3">
      <w:pPr>
        <w:spacing w:line="333" w:lineRule="auto"/>
      </w:pPr>
    </w:p>
    <w:p w:rsidR="00EA40A3" w:rsidRDefault="00E86C16">
      <w:pPr>
        <w:spacing w:before="85" w:line="222" w:lineRule="auto"/>
        <w:ind w:left="3"/>
        <w:outlineLvl w:val="6"/>
        <w:rPr>
          <w:rFonts w:ascii="黑体" w:eastAsia="黑体" w:hAnsi="黑体" w:cs="黑体"/>
          <w:sz w:val="26"/>
          <w:szCs w:val="26"/>
        </w:rPr>
      </w:pPr>
      <w:r>
        <w:rPr>
          <w:rFonts w:ascii="黑体" w:eastAsia="黑体" w:hAnsi="黑体" w:cs="黑体"/>
          <w:b/>
          <w:bCs/>
          <w:spacing w:val="-13"/>
          <w:sz w:val="26"/>
          <w:szCs w:val="26"/>
        </w:rPr>
        <w:t>5.10.1</w:t>
      </w:r>
      <w:r>
        <w:rPr>
          <w:rFonts w:ascii="黑体" w:eastAsia="黑体" w:hAnsi="黑体" w:cs="黑体"/>
          <w:spacing w:val="16"/>
          <w:sz w:val="26"/>
          <w:szCs w:val="26"/>
        </w:rPr>
        <w:t xml:space="preserve">  </w:t>
      </w:r>
      <w:r>
        <w:rPr>
          <w:rFonts w:ascii="黑体" w:eastAsia="黑体" w:hAnsi="黑体" w:cs="黑体"/>
          <w:b/>
          <w:bCs/>
          <w:spacing w:val="-13"/>
          <w:sz w:val="26"/>
          <w:szCs w:val="26"/>
        </w:rPr>
        <w:t>咖啡碱</w:t>
      </w:r>
    </w:p>
    <w:p w:rsidR="00EA40A3" w:rsidRDefault="00E86C16">
      <w:pPr>
        <w:spacing w:before="179" w:line="244" w:lineRule="auto"/>
        <w:ind w:right="73" w:firstLine="419"/>
        <w:jc w:val="both"/>
        <w:rPr>
          <w:rFonts w:ascii="宋体" w:eastAsia="宋体" w:hAnsi="宋体" w:cs="宋体"/>
          <w:sz w:val="22"/>
          <w:szCs w:val="22"/>
        </w:rPr>
      </w:pPr>
      <w:r>
        <w:rPr>
          <w:rFonts w:ascii="宋体" w:eastAsia="宋体" w:hAnsi="宋体" w:cs="宋体"/>
          <w:spacing w:val="-9"/>
          <w:sz w:val="22"/>
          <w:szCs w:val="22"/>
        </w:rPr>
        <w:t>咖啡碱</w:t>
      </w:r>
      <w:r>
        <w:rPr>
          <w:rFonts w:ascii="宋体" w:eastAsia="宋体" w:hAnsi="宋体" w:cs="宋体"/>
          <w:spacing w:val="-19"/>
          <w:sz w:val="22"/>
          <w:szCs w:val="22"/>
        </w:rPr>
        <w:t xml:space="preserve"> </w:t>
      </w:r>
      <w:r>
        <w:rPr>
          <w:rFonts w:ascii="宋体" w:eastAsia="宋体" w:hAnsi="宋体" w:cs="宋体"/>
          <w:spacing w:val="-9"/>
          <w:sz w:val="22"/>
          <w:szCs w:val="22"/>
        </w:rPr>
        <w:t>(caffeine)</w:t>
      </w:r>
      <w:r>
        <w:rPr>
          <w:rFonts w:ascii="宋体" w:eastAsia="宋体" w:hAnsi="宋体" w:cs="宋体"/>
          <w:spacing w:val="-52"/>
          <w:sz w:val="22"/>
          <w:szCs w:val="22"/>
        </w:rPr>
        <w:t xml:space="preserve"> </w:t>
      </w:r>
      <w:r>
        <w:rPr>
          <w:rFonts w:ascii="宋体" w:eastAsia="宋体" w:hAnsi="宋体" w:cs="宋体"/>
          <w:spacing w:val="-9"/>
          <w:sz w:val="22"/>
          <w:szCs w:val="22"/>
        </w:rPr>
        <w:t>又名1,3,7-三甲基黄嘌呤，不仅存在于咖啡、茶叶和</w:t>
      </w:r>
      <w:r>
        <w:rPr>
          <w:rFonts w:ascii="宋体" w:eastAsia="宋体" w:hAnsi="宋体" w:cs="宋体"/>
          <w:spacing w:val="-10"/>
          <w:sz w:val="22"/>
          <w:szCs w:val="22"/>
        </w:rPr>
        <w:t>可</w:t>
      </w:r>
      <w:r>
        <w:rPr>
          <w:rFonts w:ascii="宋体" w:eastAsia="宋体" w:hAnsi="宋体" w:cs="宋体"/>
          <w:sz w:val="22"/>
          <w:szCs w:val="22"/>
        </w:rPr>
        <w:t xml:space="preserve"> </w:t>
      </w:r>
      <w:r>
        <w:rPr>
          <w:rFonts w:ascii="宋体" w:eastAsia="宋体" w:hAnsi="宋体" w:cs="宋体"/>
          <w:spacing w:val="-3"/>
          <w:sz w:val="22"/>
          <w:szCs w:val="22"/>
        </w:rPr>
        <w:t>可，还存在于软饮料如可乐型饮料以及含咖啡碱的药物等。</w:t>
      </w:r>
      <w:r>
        <w:rPr>
          <w:rFonts w:ascii="宋体" w:eastAsia="宋体" w:hAnsi="宋体" w:cs="宋体"/>
          <w:spacing w:val="-4"/>
          <w:sz w:val="22"/>
          <w:szCs w:val="22"/>
        </w:rPr>
        <w:t>世界上80%以上的</w:t>
      </w:r>
      <w:r>
        <w:rPr>
          <w:rFonts w:ascii="宋体" w:eastAsia="宋体" w:hAnsi="宋体" w:cs="宋体"/>
          <w:sz w:val="22"/>
          <w:szCs w:val="22"/>
        </w:rPr>
        <w:t xml:space="preserve"> </w:t>
      </w:r>
      <w:r>
        <w:rPr>
          <w:rFonts w:ascii="宋体" w:eastAsia="宋体" w:hAnsi="宋体" w:cs="宋体"/>
          <w:spacing w:val="-3"/>
          <w:sz w:val="22"/>
          <w:szCs w:val="22"/>
        </w:rPr>
        <w:t>成年人或多或少地摄入咖啡碱。摄入体内的咖</w:t>
      </w:r>
      <w:r>
        <w:rPr>
          <w:rFonts w:ascii="宋体" w:eastAsia="宋体" w:hAnsi="宋体" w:cs="宋体"/>
          <w:spacing w:val="-4"/>
          <w:sz w:val="22"/>
          <w:szCs w:val="22"/>
        </w:rPr>
        <w:t>啡碱90%经脱甲基和氧化后生成</w:t>
      </w:r>
      <w:r>
        <w:rPr>
          <w:rFonts w:ascii="宋体" w:eastAsia="宋体" w:hAnsi="宋体" w:cs="宋体"/>
          <w:sz w:val="22"/>
          <w:szCs w:val="22"/>
        </w:rPr>
        <w:t xml:space="preserve"> </w:t>
      </w:r>
      <w:r>
        <w:rPr>
          <w:rFonts w:ascii="宋体" w:eastAsia="宋体" w:hAnsi="宋体" w:cs="宋体"/>
          <w:spacing w:val="-10"/>
          <w:sz w:val="22"/>
          <w:szCs w:val="22"/>
        </w:rPr>
        <w:t>甲基尿酸排出体外，10%不经代谢直接排出体外。</w:t>
      </w:r>
    </w:p>
    <w:p w:rsidR="00EA40A3" w:rsidRDefault="00E86C16">
      <w:pPr>
        <w:spacing w:before="205" w:line="222"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4"/>
          <w:sz w:val="22"/>
          <w:szCs w:val="22"/>
        </w:rPr>
        <w:t xml:space="preserve"> </w:t>
      </w:r>
      <w:r>
        <w:rPr>
          <w:rFonts w:ascii="仿宋" w:eastAsia="仿宋" w:hAnsi="仿宋" w:cs="仿宋"/>
          <w:spacing w:val="11"/>
          <w:sz w:val="22"/>
          <w:szCs w:val="22"/>
        </w:rPr>
        <w:t>咖啡碱的主要生理功能</w:t>
      </w:r>
    </w:p>
    <w:p w:rsidR="00EA40A3" w:rsidRDefault="00E86C16">
      <w:pPr>
        <w:spacing w:before="193" w:line="248" w:lineRule="auto"/>
        <w:ind w:right="48" w:firstLine="419"/>
        <w:jc w:val="both"/>
        <w:rPr>
          <w:rFonts w:ascii="宋体" w:eastAsia="宋体" w:hAnsi="宋体" w:cs="宋体"/>
          <w:sz w:val="22"/>
          <w:szCs w:val="22"/>
        </w:rPr>
      </w:pPr>
      <w:r>
        <w:rPr>
          <w:rFonts w:ascii="宋体" w:eastAsia="宋体" w:hAnsi="宋体" w:cs="宋体"/>
          <w:spacing w:val="-6"/>
          <w:sz w:val="22"/>
          <w:szCs w:val="22"/>
        </w:rPr>
        <w:t>咖啡碱是中枢神经系统的兴奋剂，可作用于大脑皮层使精神振奋，睡意消</w:t>
      </w:r>
      <w:r>
        <w:rPr>
          <w:rFonts w:ascii="宋体" w:eastAsia="宋体" w:hAnsi="宋体" w:cs="宋体"/>
          <w:spacing w:val="12"/>
          <w:sz w:val="22"/>
          <w:szCs w:val="22"/>
        </w:rPr>
        <w:t xml:space="preserve"> </w:t>
      </w:r>
      <w:r>
        <w:rPr>
          <w:rFonts w:ascii="宋体" w:eastAsia="宋体" w:hAnsi="宋体" w:cs="宋体"/>
          <w:spacing w:val="-13"/>
          <w:sz w:val="22"/>
          <w:szCs w:val="22"/>
        </w:rPr>
        <w:t>失，疲乏减轻。较大剂量能兴奋下级中枢和脊髓，特别当延脑呼吸中枢、血管运</w:t>
      </w:r>
      <w:r>
        <w:rPr>
          <w:rFonts w:ascii="宋体" w:eastAsia="宋体" w:hAnsi="宋体" w:cs="宋体"/>
          <w:spacing w:val="2"/>
          <w:sz w:val="22"/>
          <w:szCs w:val="22"/>
        </w:rPr>
        <w:t xml:space="preserve"> </w:t>
      </w:r>
      <w:r>
        <w:rPr>
          <w:rFonts w:ascii="宋体" w:eastAsia="宋体" w:hAnsi="宋体" w:cs="宋体"/>
          <w:spacing w:val="-13"/>
          <w:sz w:val="22"/>
          <w:szCs w:val="22"/>
        </w:rPr>
        <w:t>动中枢及迷走神经中枢受抑制时，咖啡碱有明显的兴奋作用，能使呼吸加快、加</w:t>
      </w:r>
      <w:r>
        <w:rPr>
          <w:rFonts w:ascii="宋体" w:eastAsia="宋体" w:hAnsi="宋体" w:cs="宋体"/>
          <w:spacing w:val="10"/>
          <w:sz w:val="22"/>
          <w:szCs w:val="22"/>
        </w:rPr>
        <w:t xml:space="preserve"> </w:t>
      </w:r>
      <w:r>
        <w:rPr>
          <w:rFonts w:ascii="宋体" w:eastAsia="宋体" w:hAnsi="宋体" w:cs="宋体"/>
          <w:spacing w:val="-13"/>
          <w:sz w:val="22"/>
          <w:szCs w:val="22"/>
        </w:rPr>
        <w:t>深和血压回升。在医药上，咖啡碱被用于兴奋中枢和血管运动中枢，缓解严重传</w:t>
      </w:r>
      <w:r>
        <w:rPr>
          <w:rFonts w:ascii="宋体" w:eastAsia="宋体" w:hAnsi="宋体" w:cs="宋体"/>
          <w:spacing w:val="4"/>
          <w:sz w:val="22"/>
          <w:szCs w:val="22"/>
        </w:rPr>
        <w:t xml:space="preserve"> </w:t>
      </w:r>
      <w:r>
        <w:rPr>
          <w:rFonts w:ascii="宋体" w:eastAsia="宋体" w:hAnsi="宋体" w:cs="宋体"/>
          <w:spacing w:val="-13"/>
          <w:sz w:val="22"/>
          <w:szCs w:val="22"/>
        </w:rPr>
        <w:t>染病和中枢抑制药中毒引起的中枢抑制，能直接舒张皮肤血管、肺肾血管和兴奋</w:t>
      </w:r>
      <w:r>
        <w:rPr>
          <w:rFonts w:ascii="宋体" w:eastAsia="宋体" w:hAnsi="宋体" w:cs="宋体"/>
          <w:spacing w:val="4"/>
          <w:sz w:val="22"/>
          <w:szCs w:val="22"/>
        </w:rPr>
        <w:t xml:space="preserve"> </w:t>
      </w:r>
      <w:r>
        <w:rPr>
          <w:rFonts w:ascii="宋体" w:eastAsia="宋体" w:hAnsi="宋体" w:cs="宋体"/>
          <w:spacing w:val="-13"/>
          <w:sz w:val="22"/>
          <w:szCs w:val="22"/>
        </w:rPr>
        <w:t>心肌，在不明显改变血压的情况下综合影响心血管系统，而对中枢抑制引起的循</w:t>
      </w:r>
      <w:r>
        <w:rPr>
          <w:rFonts w:ascii="宋体" w:eastAsia="宋体" w:hAnsi="宋体" w:cs="宋体"/>
          <w:spacing w:val="2"/>
          <w:sz w:val="22"/>
          <w:szCs w:val="22"/>
        </w:rPr>
        <w:t xml:space="preserve"> </w:t>
      </w:r>
      <w:r>
        <w:rPr>
          <w:rFonts w:ascii="宋体" w:eastAsia="宋体" w:hAnsi="宋体" w:cs="宋体"/>
          <w:spacing w:val="-13"/>
          <w:sz w:val="22"/>
          <w:szCs w:val="22"/>
        </w:rPr>
        <w:t>环虚脱却有升压作用。因此，咖啡碱常与解热镇痛药配伍以增强其镇痛效果，与</w:t>
      </w:r>
      <w:r>
        <w:rPr>
          <w:rFonts w:ascii="宋体" w:eastAsia="宋体" w:hAnsi="宋体" w:cs="宋体"/>
          <w:spacing w:val="11"/>
          <w:sz w:val="22"/>
          <w:szCs w:val="22"/>
        </w:rPr>
        <w:t xml:space="preserve"> </w:t>
      </w:r>
      <w:r>
        <w:rPr>
          <w:rFonts w:ascii="宋体" w:eastAsia="宋体" w:hAnsi="宋体" w:cs="宋体"/>
          <w:spacing w:val="-14"/>
          <w:sz w:val="22"/>
          <w:szCs w:val="22"/>
        </w:rPr>
        <w:t>麦角胺合用以治疗偏头痛，与溴化物合用以治疗神经衰</w:t>
      </w:r>
      <w:r>
        <w:rPr>
          <w:rFonts w:ascii="宋体" w:eastAsia="宋体" w:hAnsi="宋体" w:cs="宋体"/>
          <w:spacing w:val="-15"/>
          <w:sz w:val="22"/>
          <w:szCs w:val="22"/>
        </w:rPr>
        <w:t>弱。</w:t>
      </w:r>
    </w:p>
    <w:p w:rsidR="00EA40A3" w:rsidRDefault="00E86C16">
      <w:pPr>
        <w:spacing w:before="103" w:line="248" w:lineRule="auto"/>
        <w:ind w:firstLine="419"/>
        <w:jc w:val="both"/>
        <w:rPr>
          <w:rFonts w:ascii="宋体" w:eastAsia="宋体" w:hAnsi="宋体" w:cs="宋体"/>
          <w:sz w:val="22"/>
          <w:szCs w:val="22"/>
        </w:rPr>
      </w:pPr>
      <w:r>
        <w:rPr>
          <w:rFonts w:ascii="宋体" w:eastAsia="宋体" w:hAnsi="宋体" w:cs="宋体"/>
          <w:spacing w:val="-7"/>
          <w:sz w:val="22"/>
          <w:szCs w:val="22"/>
        </w:rPr>
        <w:t>咖啡碱可增加血管有效直径，增强心血管壁弹性，对心脏有阳性收缩能效</w:t>
      </w:r>
      <w:r>
        <w:rPr>
          <w:rFonts w:ascii="宋体" w:eastAsia="宋体" w:hAnsi="宋体" w:cs="宋体"/>
          <w:spacing w:val="12"/>
          <w:sz w:val="22"/>
          <w:szCs w:val="22"/>
        </w:rPr>
        <w:t xml:space="preserve"> </w:t>
      </w:r>
      <w:r>
        <w:rPr>
          <w:rFonts w:ascii="宋体" w:eastAsia="宋体" w:hAnsi="宋体" w:cs="宋体"/>
          <w:spacing w:val="-13"/>
          <w:sz w:val="22"/>
          <w:szCs w:val="22"/>
        </w:rPr>
        <w:t>应，促进血液循环。其机制是抑制环磷酸腺苷转化为环磷酸鸟苷。可用于哮喘病</w:t>
      </w:r>
      <w:r>
        <w:rPr>
          <w:rFonts w:ascii="宋体" w:eastAsia="宋体" w:hAnsi="宋体" w:cs="宋体"/>
          <w:spacing w:val="8"/>
          <w:sz w:val="22"/>
          <w:szCs w:val="22"/>
        </w:rPr>
        <w:t xml:space="preserve"> </w:t>
      </w:r>
      <w:r>
        <w:rPr>
          <w:rFonts w:ascii="宋体" w:eastAsia="宋体" w:hAnsi="宋体" w:cs="宋体"/>
          <w:spacing w:val="-1"/>
          <w:sz w:val="22"/>
          <w:szCs w:val="22"/>
        </w:rPr>
        <w:t>人作为支气管扩张剂，但同样剂量下效果仅为茶叶碱的40%</w:t>
      </w:r>
      <w:r>
        <w:rPr>
          <w:rFonts w:ascii="宋体" w:eastAsia="宋体" w:hAnsi="宋体" w:cs="宋体"/>
          <w:spacing w:val="-2"/>
          <w:sz w:val="22"/>
          <w:szCs w:val="22"/>
        </w:rPr>
        <w:t>,而产生的中枢神</w:t>
      </w:r>
      <w:r>
        <w:rPr>
          <w:rFonts w:ascii="宋体" w:eastAsia="宋体" w:hAnsi="宋体" w:cs="宋体"/>
          <w:sz w:val="22"/>
          <w:szCs w:val="22"/>
        </w:rPr>
        <w:t xml:space="preserve">  </w:t>
      </w:r>
      <w:r>
        <w:rPr>
          <w:rFonts w:ascii="宋体" w:eastAsia="宋体" w:hAnsi="宋体" w:cs="宋体"/>
          <w:spacing w:val="-11"/>
          <w:sz w:val="22"/>
          <w:szCs w:val="22"/>
        </w:rPr>
        <w:t>经毒性则高于茶叶碱。咖啡碱可兴奋心肌，使心动幅度、心率及心输出量增高；</w:t>
      </w:r>
      <w:r>
        <w:rPr>
          <w:rFonts w:ascii="宋体" w:eastAsia="宋体" w:hAnsi="宋体" w:cs="宋体"/>
          <w:spacing w:val="13"/>
          <w:sz w:val="22"/>
          <w:szCs w:val="22"/>
        </w:rPr>
        <w:t xml:space="preserve"> </w:t>
      </w:r>
      <w:r>
        <w:rPr>
          <w:rFonts w:ascii="宋体" w:eastAsia="宋体" w:hAnsi="宋体" w:cs="宋体"/>
          <w:spacing w:val="-13"/>
          <w:sz w:val="22"/>
          <w:szCs w:val="22"/>
        </w:rPr>
        <w:t>但其兴奋延髓的迷走神经核又使心跳减慢，最终效果为两种兴奋相互作用的总结</w:t>
      </w:r>
      <w:r>
        <w:rPr>
          <w:rFonts w:ascii="宋体" w:eastAsia="宋体" w:hAnsi="宋体" w:cs="宋体"/>
          <w:spacing w:val="6"/>
          <w:sz w:val="22"/>
          <w:szCs w:val="22"/>
        </w:rPr>
        <w:t xml:space="preserve"> </w:t>
      </w:r>
      <w:r>
        <w:rPr>
          <w:rFonts w:ascii="宋体" w:eastAsia="宋体" w:hAnsi="宋体" w:cs="宋体"/>
          <w:spacing w:val="-13"/>
          <w:sz w:val="22"/>
          <w:szCs w:val="22"/>
        </w:rPr>
        <w:t>果。而在不同个体可能出现心动过缓或过速。大剂量可发生心动过速，最后引起</w:t>
      </w:r>
      <w:r>
        <w:rPr>
          <w:rFonts w:ascii="宋体" w:eastAsia="宋体" w:hAnsi="宋体" w:cs="宋体"/>
          <w:spacing w:val="2"/>
          <w:sz w:val="22"/>
          <w:szCs w:val="22"/>
        </w:rPr>
        <w:t xml:space="preserve"> </w:t>
      </w:r>
      <w:r>
        <w:rPr>
          <w:rFonts w:ascii="宋体" w:eastAsia="宋体" w:hAnsi="宋体" w:cs="宋体"/>
          <w:spacing w:val="-13"/>
          <w:sz w:val="22"/>
          <w:szCs w:val="22"/>
        </w:rPr>
        <w:t>心搏不规则。因此过量饮用咖啡碱，偶有心率不齐发生。也有研究表明，不合理</w:t>
      </w:r>
      <w:r>
        <w:rPr>
          <w:rFonts w:ascii="宋体" w:eastAsia="宋体" w:hAnsi="宋体" w:cs="宋体"/>
          <w:spacing w:val="1"/>
          <w:sz w:val="22"/>
          <w:szCs w:val="22"/>
        </w:rPr>
        <w:t xml:space="preserve"> </w:t>
      </w:r>
      <w:r>
        <w:rPr>
          <w:rFonts w:ascii="宋体" w:eastAsia="宋体" w:hAnsi="宋体" w:cs="宋体"/>
          <w:spacing w:val="-13"/>
          <w:sz w:val="22"/>
          <w:szCs w:val="22"/>
        </w:rPr>
        <w:t>的摄入咖啡碱对血压升高有促进作用，造成高血压的危险，甚至对</w:t>
      </w:r>
      <w:r>
        <w:rPr>
          <w:rFonts w:ascii="宋体" w:eastAsia="宋体" w:hAnsi="宋体" w:cs="宋体"/>
          <w:spacing w:val="-14"/>
          <w:sz w:val="22"/>
          <w:szCs w:val="22"/>
        </w:rPr>
        <w:t>整个心血管系</w:t>
      </w:r>
      <w:r>
        <w:rPr>
          <w:rFonts w:ascii="宋体" w:eastAsia="宋体" w:hAnsi="宋体" w:cs="宋体"/>
          <w:sz w:val="22"/>
          <w:szCs w:val="22"/>
        </w:rPr>
        <w:t xml:space="preserve">  </w:t>
      </w:r>
      <w:r>
        <w:rPr>
          <w:rFonts w:ascii="宋体" w:eastAsia="宋体" w:hAnsi="宋体" w:cs="宋体"/>
          <w:spacing w:val="-17"/>
          <w:sz w:val="22"/>
          <w:szCs w:val="22"/>
        </w:rPr>
        <w:t>统造成危害。</w:t>
      </w:r>
    </w:p>
    <w:p w:rsidR="00EA40A3" w:rsidRDefault="00E86C16">
      <w:pPr>
        <w:spacing w:before="89" w:line="246" w:lineRule="auto"/>
        <w:ind w:firstLine="419"/>
        <w:jc w:val="both"/>
        <w:rPr>
          <w:rFonts w:ascii="宋体" w:eastAsia="宋体" w:hAnsi="宋体" w:cs="宋体"/>
          <w:sz w:val="22"/>
          <w:szCs w:val="22"/>
        </w:rPr>
      </w:pPr>
      <w:r>
        <w:rPr>
          <w:rFonts w:ascii="宋体" w:eastAsia="宋体" w:hAnsi="宋体" w:cs="宋体"/>
          <w:spacing w:val="-13"/>
          <w:sz w:val="22"/>
          <w:szCs w:val="22"/>
        </w:rPr>
        <w:t>咖啡碱还可以通过刺激肠胃，促使胃液分泌，从而增进食欲，帮助消化。</w:t>
      </w:r>
      <w:r>
        <w:rPr>
          <w:rFonts w:ascii="宋体" w:eastAsia="宋体" w:hAnsi="宋体" w:cs="宋体"/>
          <w:spacing w:val="-14"/>
          <w:sz w:val="22"/>
          <w:szCs w:val="22"/>
        </w:rPr>
        <w:t>而</w:t>
      </w:r>
      <w:r>
        <w:rPr>
          <w:rFonts w:ascii="宋体" w:eastAsia="宋体" w:hAnsi="宋体" w:cs="宋体"/>
          <w:sz w:val="22"/>
          <w:szCs w:val="22"/>
        </w:rPr>
        <w:t xml:space="preserve"> </w:t>
      </w:r>
      <w:r>
        <w:rPr>
          <w:rFonts w:ascii="宋体" w:eastAsia="宋体" w:hAnsi="宋体" w:cs="宋体"/>
          <w:spacing w:val="-13"/>
          <w:sz w:val="22"/>
          <w:szCs w:val="22"/>
        </w:rPr>
        <w:t>咖啡碱的利尿作用则是通过肾促进尿液中水的滤出率实现的，咖啡碱能促进肾脏</w:t>
      </w:r>
      <w:r>
        <w:rPr>
          <w:rFonts w:ascii="宋体" w:eastAsia="宋体" w:hAnsi="宋体" w:cs="宋体"/>
          <w:spacing w:val="2"/>
          <w:sz w:val="22"/>
          <w:szCs w:val="22"/>
        </w:rPr>
        <w:t xml:space="preserve"> </w:t>
      </w:r>
      <w:r>
        <w:rPr>
          <w:rFonts w:ascii="宋体" w:eastAsia="宋体" w:hAnsi="宋体" w:cs="宋体"/>
          <w:spacing w:val="-12"/>
          <w:sz w:val="22"/>
          <w:szCs w:val="22"/>
        </w:rPr>
        <w:t>排尿速率。在临床上常用咖啡碱排除体内过多</w:t>
      </w:r>
      <w:r>
        <w:rPr>
          <w:rFonts w:ascii="宋体" w:eastAsia="宋体" w:hAnsi="宋体" w:cs="宋体"/>
          <w:spacing w:val="-13"/>
          <w:sz w:val="22"/>
          <w:szCs w:val="22"/>
        </w:rPr>
        <w:t>的细胞外水分。咖啡碱的利尿作用</w:t>
      </w:r>
      <w:r>
        <w:rPr>
          <w:rFonts w:ascii="宋体" w:eastAsia="宋体" w:hAnsi="宋体" w:cs="宋体"/>
          <w:sz w:val="22"/>
          <w:szCs w:val="22"/>
        </w:rPr>
        <w:t xml:space="preserve"> </w:t>
      </w:r>
      <w:r>
        <w:rPr>
          <w:rFonts w:ascii="宋体" w:eastAsia="宋体" w:hAnsi="宋体" w:cs="宋体"/>
          <w:spacing w:val="-13"/>
          <w:sz w:val="22"/>
          <w:szCs w:val="22"/>
        </w:rPr>
        <w:t>也有助于醒酒，解除乙醇毒害。这主要是因为适量的咖啡碱能提高肝脏物质代谢</w:t>
      </w:r>
      <w:r>
        <w:rPr>
          <w:rFonts w:ascii="宋体" w:eastAsia="宋体" w:hAnsi="宋体" w:cs="宋体"/>
          <w:spacing w:val="1"/>
          <w:sz w:val="22"/>
          <w:szCs w:val="22"/>
        </w:rPr>
        <w:t xml:space="preserve"> </w:t>
      </w:r>
      <w:r>
        <w:rPr>
          <w:rFonts w:ascii="宋体" w:eastAsia="宋体" w:hAnsi="宋体" w:cs="宋体"/>
          <w:spacing w:val="-11"/>
          <w:sz w:val="22"/>
          <w:szCs w:val="22"/>
        </w:rPr>
        <w:t>能力，增强血液循环，把血液中乙醇排出体外，缓和或消除由乙醇引起的刺激；</w:t>
      </w:r>
      <w:r>
        <w:rPr>
          <w:rFonts w:ascii="宋体" w:eastAsia="宋体" w:hAnsi="宋体" w:cs="宋体"/>
          <w:spacing w:val="13"/>
          <w:sz w:val="22"/>
          <w:szCs w:val="22"/>
        </w:rPr>
        <w:t xml:space="preserve"> </w:t>
      </w:r>
      <w:r>
        <w:rPr>
          <w:rFonts w:ascii="宋体" w:eastAsia="宋体" w:hAnsi="宋体" w:cs="宋体"/>
          <w:spacing w:val="-14"/>
          <w:sz w:val="22"/>
          <w:szCs w:val="22"/>
        </w:rPr>
        <w:t>同时也因为咖啡碱有强心、利尿作用，可刺激肾脏加速乙醇排出。</w:t>
      </w:r>
    </w:p>
    <w:p w:rsidR="00EA40A3" w:rsidRDefault="00E86C16">
      <w:pPr>
        <w:spacing w:before="61" w:line="245" w:lineRule="auto"/>
        <w:ind w:right="77" w:firstLine="419"/>
        <w:jc w:val="both"/>
        <w:rPr>
          <w:rFonts w:ascii="宋体" w:eastAsia="宋体" w:hAnsi="宋体" w:cs="宋体"/>
          <w:sz w:val="22"/>
          <w:szCs w:val="22"/>
        </w:rPr>
      </w:pPr>
      <w:r>
        <w:rPr>
          <w:rFonts w:ascii="宋体" w:eastAsia="宋体" w:hAnsi="宋体" w:cs="宋体"/>
          <w:spacing w:val="-7"/>
          <w:sz w:val="22"/>
          <w:szCs w:val="22"/>
        </w:rPr>
        <w:t>此外，咖啡碱可刺激脑干呼吸中心的敏感性，进而影响CO</w:t>
      </w:r>
      <w:r>
        <w:rPr>
          <w:rFonts w:ascii="Calibri" w:eastAsia="Calibri" w:hAnsi="Calibri" w:cs="Calibri"/>
          <w:spacing w:val="-7"/>
          <w:sz w:val="22"/>
          <w:szCs w:val="22"/>
        </w:rPr>
        <w:t>₂</w:t>
      </w:r>
      <w:r>
        <w:rPr>
          <w:rFonts w:ascii="Calibri" w:eastAsia="Calibri" w:hAnsi="Calibri" w:cs="Calibri"/>
          <w:spacing w:val="5"/>
          <w:sz w:val="22"/>
          <w:szCs w:val="22"/>
        </w:rPr>
        <w:t xml:space="preserve">   </w:t>
      </w:r>
      <w:r>
        <w:rPr>
          <w:rFonts w:ascii="宋体" w:eastAsia="宋体" w:hAnsi="宋体" w:cs="宋体"/>
          <w:spacing w:val="-7"/>
          <w:sz w:val="22"/>
          <w:szCs w:val="22"/>
        </w:rPr>
        <w:t>的释放。已被</w:t>
      </w:r>
      <w:r>
        <w:rPr>
          <w:rFonts w:ascii="宋体" w:eastAsia="宋体" w:hAnsi="宋体" w:cs="宋体"/>
          <w:spacing w:val="1"/>
          <w:sz w:val="22"/>
          <w:szCs w:val="22"/>
        </w:rPr>
        <w:t xml:space="preserve"> </w:t>
      </w:r>
      <w:r>
        <w:rPr>
          <w:rFonts w:ascii="宋体" w:eastAsia="宋体" w:hAnsi="宋体" w:cs="宋体"/>
          <w:spacing w:val="-13"/>
          <w:sz w:val="22"/>
          <w:szCs w:val="22"/>
        </w:rPr>
        <w:t>用作防止新生儿周期性呼吸停止的药物。还可刺激胃酸的分泌，提高血浆中游离</w:t>
      </w:r>
      <w:r>
        <w:rPr>
          <w:rFonts w:ascii="宋体" w:eastAsia="宋体" w:hAnsi="宋体" w:cs="宋体"/>
          <w:spacing w:val="6"/>
          <w:sz w:val="22"/>
          <w:szCs w:val="22"/>
        </w:rPr>
        <w:t xml:space="preserve"> </w:t>
      </w:r>
      <w:r>
        <w:rPr>
          <w:rFonts w:ascii="宋体" w:eastAsia="宋体" w:hAnsi="宋体" w:cs="宋体"/>
          <w:spacing w:val="-13"/>
          <w:sz w:val="22"/>
          <w:szCs w:val="22"/>
        </w:rPr>
        <w:t>脂肪酸和葡萄糖水平以及氧的消耗量。咖啡碱促进机体代谢，使循环中儿茶酚胺</w:t>
      </w:r>
      <w:r>
        <w:rPr>
          <w:rFonts w:ascii="宋体" w:eastAsia="宋体" w:hAnsi="宋体" w:cs="宋体"/>
          <w:spacing w:val="3"/>
          <w:sz w:val="22"/>
          <w:szCs w:val="22"/>
        </w:rPr>
        <w:t xml:space="preserve"> </w:t>
      </w:r>
      <w:r>
        <w:rPr>
          <w:rFonts w:ascii="宋体" w:eastAsia="宋体" w:hAnsi="宋体" w:cs="宋体"/>
          <w:spacing w:val="-13"/>
          <w:sz w:val="22"/>
          <w:szCs w:val="22"/>
        </w:rPr>
        <w:t>含量升高，影响代谢过程中脂肪水解，使血清中游离脂肪酸含量升高。咖啡碱还</w:t>
      </w:r>
      <w:r>
        <w:rPr>
          <w:rFonts w:ascii="宋体" w:eastAsia="宋体" w:hAnsi="宋体" w:cs="宋体"/>
          <w:spacing w:val="2"/>
          <w:sz w:val="22"/>
          <w:szCs w:val="22"/>
        </w:rPr>
        <w:t xml:space="preserve"> </w:t>
      </w:r>
      <w:r>
        <w:rPr>
          <w:rFonts w:ascii="宋体" w:eastAsia="宋体" w:hAnsi="宋体" w:cs="宋体"/>
          <w:spacing w:val="-17"/>
          <w:sz w:val="22"/>
          <w:szCs w:val="22"/>
        </w:rPr>
        <w:t>影响脑代谢。</w:t>
      </w:r>
    </w:p>
    <w:p w:rsidR="00EA40A3" w:rsidRDefault="00E86C16">
      <w:pPr>
        <w:spacing w:before="74"/>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3"/>
          <w:sz w:val="18"/>
          <w:szCs w:val="18"/>
        </w:rPr>
        <w:t xml:space="preserve"> </w:t>
      </w:r>
      <w:r>
        <w:rPr>
          <w:rFonts w:ascii="宋体" w:eastAsia="宋体" w:hAnsi="宋体" w:cs="宋体"/>
          <w:spacing w:val="-29"/>
          <w:sz w:val="18"/>
          <w:szCs w:val="18"/>
        </w:rPr>
        <w:t>172</w:t>
      </w:r>
      <w:r>
        <w:rPr>
          <w:rFonts w:ascii="宋体" w:eastAsia="宋体" w:hAnsi="宋体" w:cs="宋体"/>
          <w:spacing w:val="45"/>
          <w:sz w:val="18"/>
          <w:szCs w:val="18"/>
        </w:rPr>
        <w:t xml:space="preserve"> </w:t>
      </w:r>
      <w:r>
        <w:rPr>
          <w:rFonts w:ascii="宋体" w:eastAsia="宋体" w:hAnsi="宋体" w:cs="宋体"/>
          <w:spacing w:val="-29"/>
          <w:sz w:val="18"/>
          <w:szCs w:val="18"/>
        </w:rPr>
        <w:t>·</w:t>
      </w:r>
    </w:p>
    <w:p w:rsidR="00EA40A3" w:rsidRDefault="00EA40A3">
      <w:pPr>
        <w:sectPr w:rsidR="00EA40A3">
          <w:footerReference w:type="default" r:id="rId155"/>
          <w:pgSz w:w="9220" w:h="13360"/>
          <w:pgMar w:top="400" w:right="1090" w:bottom="400" w:left="800" w:header="0" w:footer="0" w:gutter="0"/>
          <w:cols w:space="720"/>
        </w:sectPr>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86C16">
      <w:pPr>
        <w:spacing w:before="72" w:line="220" w:lineRule="auto"/>
        <w:rPr>
          <w:rFonts w:ascii="仿宋" w:eastAsia="仿宋" w:hAnsi="仿宋" w:cs="仿宋"/>
          <w:sz w:val="22"/>
          <w:szCs w:val="22"/>
        </w:rPr>
      </w:pPr>
      <w:bookmarkStart w:id="46" w:name="_bookmark50"/>
      <w:bookmarkEnd w:id="46"/>
      <w:r>
        <w:rPr>
          <w:rFonts w:ascii="仿宋" w:eastAsia="仿宋" w:hAnsi="仿宋" w:cs="仿宋"/>
          <w:spacing w:val="12"/>
          <w:sz w:val="22"/>
          <w:szCs w:val="22"/>
        </w:rPr>
        <w:t>2.</w:t>
      </w:r>
      <w:r>
        <w:rPr>
          <w:rFonts w:ascii="仿宋" w:eastAsia="仿宋" w:hAnsi="仿宋" w:cs="仿宋"/>
          <w:spacing w:val="-4"/>
          <w:sz w:val="22"/>
          <w:szCs w:val="22"/>
        </w:rPr>
        <w:t xml:space="preserve"> </w:t>
      </w:r>
      <w:r>
        <w:rPr>
          <w:rFonts w:ascii="仿宋" w:eastAsia="仿宋" w:hAnsi="仿宋" w:cs="仿宋"/>
          <w:spacing w:val="12"/>
          <w:sz w:val="22"/>
          <w:szCs w:val="22"/>
        </w:rPr>
        <w:t>咖啡碱的代谢及食用安全性</w:t>
      </w:r>
    </w:p>
    <w:p w:rsidR="00EA40A3" w:rsidRDefault="00E86C16">
      <w:pPr>
        <w:spacing w:before="169" w:line="249" w:lineRule="auto"/>
        <w:ind w:right="39" w:firstLine="430"/>
        <w:jc w:val="both"/>
        <w:rPr>
          <w:rFonts w:ascii="宋体" w:eastAsia="宋体" w:hAnsi="宋体" w:cs="宋体"/>
          <w:sz w:val="22"/>
          <w:szCs w:val="22"/>
        </w:rPr>
      </w:pPr>
      <w:r>
        <w:rPr>
          <w:rFonts w:ascii="宋体" w:eastAsia="宋体" w:hAnsi="宋体" w:cs="宋体"/>
          <w:sz w:val="22"/>
          <w:szCs w:val="22"/>
        </w:rPr>
        <w:t xml:space="preserve">咖啡碱是一种在人体内迅速代谢并被排出体外的化合物，半衰期为2.5~ </w:t>
      </w:r>
      <w:r>
        <w:rPr>
          <w:rFonts w:ascii="宋体" w:eastAsia="宋体" w:hAnsi="宋体" w:cs="宋体"/>
          <w:spacing w:val="-5"/>
          <w:sz w:val="22"/>
          <w:szCs w:val="22"/>
        </w:rPr>
        <w:t>4.5h。在正常饮用剂量下对运动和神经功能有好处，咖啡碱是安全范围较大、</w:t>
      </w:r>
      <w:r>
        <w:rPr>
          <w:rFonts w:ascii="宋体" w:eastAsia="宋体" w:hAnsi="宋体" w:cs="宋体"/>
          <w:sz w:val="22"/>
          <w:szCs w:val="22"/>
        </w:rPr>
        <w:t xml:space="preserve"> </w:t>
      </w:r>
      <w:r>
        <w:rPr>
          <w:rFonts w:ascii="宋体" w:eastAsia="宋体" w:hAnsi="宋体" w:cs="宋体"/>
          <w:spacing w:val="-4"/>
          <w:sz w:val="22"/>
          <w:szCs w:val="22"/>
        </w:rPr>
        <w:t>不良反应轻微的药物和食品添加剂，使用过量(&gt;400mg)</w:t>
      </w:r>
      <w:r>
        <w:rPr>
          <w:rFonts w:ascii="宋体" w:eastAsia="宋体" w:hAnsi="宋体" w:cs="宋体"/>
          <w:spacing w:val="32"/>
          <w:sz w:val="22"/>
          <w:szCs w:val="22"/>
        </w:rPr>
        <w:t xml:space="preserve"> </w:t>
      </w:r>
      <w:r>
        <w:rPr>
          <w:rFonts w:ascii="宋体" w:eastAsia="宋体" w:hAnsi="宋体" w:cs="宋体"/>
          <w:spacing w:val="-4"/>
          <w:sz w:val="22"/>
          <w:szCs w:val="22"/>
        </w:rPr>
        <w:t>会</w:t>
      </w:r>
      <w:r>
        <w:rPr>
          <w:rFonts w:ascii="宋体" w:eastAsia="宋体" w:hAnsi="宋体" w:cs="宋体"/>
          <w:spacing w:val="-5"/>
          <w:sz w:val="22"/>
          <w:szCs w:val="22"/>
        </w:rPr>
        <w:t>出现失眠、呼吸加</w:t>
      </w:r>
      <w:r>
        <w:rPr>
          <w:rFonts w:ascii="宋体" w:eastAsia="宋体" w:hAnsi="宋体" w:cs="宋体"/>
          <w:sz w:val="22"/>
          <w:szCs w:val="22"/>
        </w:rPr>
        <w:t xml:space="preserve"> </w:t>
      </w:r>
      <w:r>
        <w:rPr>
          <w:rFonts w:ascii="宋体" w:eastAsia="宋体" w:hAnsi="宋体" w:cs="宋体"/>
          <w:spacing w:val="-12"/>
          <w:sz w:val="22"/>
          <w:szCs w:val="22"/>
        </w:rPr>
        <w:t>快和心动过速等。长期饮用产生轻度成瘾，</w:t>
      </w:r>
      <w:r>
        <w:rPr>
          <w:rFonts w:ascii="宋体" w:eastAsia="宋体" w:hAnsi="宋体" w:cs="宋体"/>
          <w:spacing w:val="58"/>
          <w:sz w:val="22"/>
          <w:szCs w:val="22"/>
        </w:rPr>
        <w:t xml:space="preserve"> </w:t>
      </w:r>
      <w:r>
        <w:rPr>
          <w:rFonts w:ascii="宋体" w:eastAsia="宋体" w:hAnsi="宋体" w:cs="宋体"/>
          <w:spacing w:val="-12"/>
          <w:sz w:val="22"/>
          <w:szCs w:val="22"/>
        </w:rPr>
        <w:t>一旦停用可表现短期数日头痛或不</w:t>
      </w:r>
      <w:r>
        <w:rPr>
          <w:rFonts w:ascii="宋体" w:eastAsia="宋体" w:hAnsi="宋体" w:cs="宋体"/>
          <w:sz w:val="22"/>
          <w:szCs w:val="22"/>
        </w:rPr>
        <w:t xml:space="preserve"> </w:t>
      </w:r>
      <w:r>
        <w:rPr>
          <w:rFonts w:ascii="宋体" w:eastAsia="宋体" w:hAnsi="宋体" w:cs="宋体"/>
          <w:spacing w:val="-7"/>
          <w:sz w:val="22"/>
          <w:szCs w:val="22"/>
        </w:rPr>
        <w:t>适。摄入中毒剂量可引起阵挛性惊厥。但通过日常饮食摄入中毒剂量几</w:t>
      </w:r>
      <w:r>
        <w:rPr>
          <w:rFonts w:ascii="宋体" w:eastAsia="宋体" w:hAnsi="宋体" w:cs="宋体"/>
          <w:spacing w:val="-8"/>
          <w:sz w:val="22"/>
          <w:szCs w:val="22"/>
        </w:rPr>
        <w:t>乎不可</w:t>
      </w:r>
      <w:r>
        <w:rPr>
          <w:rFonts w:ascii="宋体" w:eastAsia="宋体" w:hAnsi="宋体" w:cs="宋体"/>
          <w:sz w:val="22"/>
          <w:szCs w:val="22"/>
        </w:rPr>
        <w:t xml:space="preserve"> </w:t>
      </w:r>
      <w:r>
        <w:rPr>
          <w:rFonts w:ascii="宋体" w:eastAsia="宋体" w:hAnsi="宋体" w:cs="宋体"/>
          <w:spacing w:val="-9"/>
          <w:sz w:val="22"/>
          <w:szCs w:val="22"/>
        </w:rPr>
        <w:t>能。美国FDA</w:t>
      </w:r>
      <w:r>
        <w:rPr>
          <w:rFonts w:ascii="宋体" w:eastAsia="宋体" w:hAnsi="宋体" w:cs="宋体"/>
          <w:spacing w:val="55"/>
          <w:sz w:val="22"/>
          <w:szCs w:val="22"/>
        </w:rPr>
        <w:t xml:space="preserve"> </w:t>
      </w:r>
      <w:r>
        <w:rPr>
          <w:rFonts w:ascii="宋体" w:eastAsia="宋体" w:hAnsi="宋体" w:cs="宋体"/>
          <w:spacing w:val="-9"/>
          <w:sz w:val="22"/>
          <w:szCs w:val="22"/>
        </w:rPr>
        <w:t>在最近的研究中确定咖啡碱的无</w:t>
      </w:r>
      <w:r>
        <w:rPr>
          <w:rFonts w:ascii="宋体" w:eastAsia="宋体" w:hAnsi="宋体" w:cs="宋体"/>
          <w:spacing w:val="-10"/>
          <w:sz w:val="22"/>
          <w:szCs w:val="22"/>
        </w:rPr>
        <w:t>作用剂量为40</w:t>
      </w:r>
      <w:r>
        <w:rPr>
          <w:rFonts w:ascii="宋体" w:eastAsia="宋体" w:hAnsi="宋体" w:cs="宋体"/>
          <w:spacing w:val="-9"/>
          <w:sz w:val="22"/>
          <w:szCs w:val="22"/>
        </w:rPr>
        <w:t>mg</w:t>
      </w:r>
      <w:r>
        <w:rPr>
          <w:rFonts w:ascii="宋体" w:eastAsia="宋体" w:hAnsi="宋体" w:cs="宋体"/>
          <w:spacing w:val="-10"/>
          <w:sz w:val="22"/>
          <w:szCs w:val="22"/>
        </w:rPr>
        <w:t>/(</w:t>
      </w:r>
      <w:r>
        <w:rPr>
          <w:rFonts w:ascii="宋体" w:eastAsia="宋体" w:hAnsi="宋体" w:cs="宋体"/>
          <w:spacing w:val="-9"/>
          <w:sz w:val="22"/>
          <w:szCs w:val="22"/>
        </w:rPr>
        <w:t>kg</w:t>
      </w:r>
      <w:r>
        <w:rPr>
          <w:rFonts w:ascii="宋体" w:eastAsia="宋体" w:hAnsi="宋体" w:cs="宋体"/>
          <w:spacing w:val="-26"/>
          <w:sz w:val="22"/>
          <w:szCs w:val="22"/>
        </w:rPr>
        <w:t xml:space="preserve"> </w:t>
      </w:r>
      <w:r>
        <w:rPr>
          <w:rFonts w:ascii="宋体" w:eastAsia="宋体" w:hAnsi="宋体" w:cs="宋体"/>
          <w:spacing w:val="-10"/>
          <w:sz w:val="22"/>
          <w:szCs w:val="22"/>
        </w:rPr>
        <w:t>·d),</w:t>
      </w:r>
      <w:r>
        <w:rPr>
          <w:rFonts w:ascii="宋体" w:eastAsia="宋体" w:hAnsi="宋体" w:cs="宋体"/>
          <w:spacing w:val="-8"/>
          <w:sz w:val="22"/>
          <w:szCs w:val="22"/>
        </w:rPr>
        <w:t xml:space="preserve"> </w:t>
      </w:r>
      <w:r>
        <w:rPr>
          <w:rFonts w:ascii="宋体" w:eastAsia="宋体" w:hAnsi="宋体" w:cs="宋体"/>
          <w:spacing w:val="-10"/>
          <w:sz w:val="22"/>
          <w:szCs w:val="22"/>
        </w:rPr>
        <w:t>该剂</w:t>
      </w:r>
      <w:r>
        <w:rPr>
          <w:rFonts w:ascii="宋体" w:eastAsia="宋体" w:hAnsi="宋体" w:cs="宋体"/>
          <w:sz w:val="22"/>
          <w:szCs w:val="22"/>
        </w:rPr>
        <w:t xml:space="preserve"> </w:t>
      </w:r>
      <w:r>
        <w:rPr>
          <w:rFonts w:ascii="宋体" w:eastAsia="宋体" w:hAnsi="宋体" w:cs="宋体"/>
          <w:spacing w:val="-10"/>
          <w:sz w:val="22"/>
          <w:szCs w:val="22"/>
        </w:rPr>
        <w:t>量比正常摄入剂量高8～10倍，因此可以认为是安全的，即使过量，其不良反应</w:t>
      </w:r>
      <w:r>
        <w:rPr>
          <w:rFonts w:ascii="宋体" w:eastAsia="宋体" w:hAnsi="宋体" w:cs="宋体"/>
          <w:spacing w:val="8"/>
          <w:sz w:val="22"/>
          <w:szCs w:val="22"/>
        </w:rPr>
        <w:t xml:space="preserve"> </w:t>
      </w:r>
      <w:r>
        <w:rPr>
          <w:rFonts w:ascii="宋体" w:eastAsia="宋体" w:hAnsi="宋体" w:cs="宋体"/>
          <w:spacing w:val="-10"/>
          <w:sz w:val="22"/>
          <w:szCs w:val="22"/>
        </w:rPr>
        <w:t>也是短暂而且可以恢复的。咖啡碱已被160多个国家准许在饮料中作为苦味剂使</w:t>
      </w:r>
      <w:r>
        <w:rPr>
          <w:rFonts w:ascii="宋体" w:eastAsia="宋体" w:hAnsi="宋体" w:cs="宋体"/>
          <w:spacing w:val="9"/>
          <w:sz w:val="22"/>
          <w:szCs w:val="22"/>
        </w:rPr>
        <w:t xml:space="preserve"> </w:t>
      </w:r>
      <w:r>
        <w:rPr>
          <w:rFonts w:ascii="宋体" w:eastAsia="宋体" w:hAnsi="宋体" w:cs="宋体"/>
          <w:spacing w:val="-6"/>
          <w:sz w:val="22"/>
          <w:szCs w:val="22"/>
        </w:rPr>
        <w:t>用，</w:t>
      </w:r>
      <w:r>
        <w:rPr>
          <w:rFonts w:ascii="宋体" w:eastAsia="宋体" w:hAnsi="宋体" w:cs="宋体"/>
          <w:spacing w:val="-30"/>
          <w:sz w:val="22"/>
          <w:szCs w:val="22"/>
        </w:rPr>
        <w:t xml:space="preserve"> </w:t>
      </w:r>
      <w:r>
        <w:rPr>
          <w:rFonts w:ascii="宋体" w:eastAsia="宋体" w:hAnsi="宋体" w:cs="宋体"/>
          <w:spacing w:val="-6"/>
          <w:sz w:val="22"/>
          <w:szCs w:val="22"/>
        </w:rPr>
        <w:t>一般允许最大用量为100～200mg/kg,</w:t>
      </w:r>
      <w:r>
        <w:rPr>
          <w:rFonts w:ascii="宋体" w:eastAsia="宋体" w:hAnsi="宋体" w:cs="宋体"/>
          <w:spacing w:val="23"/>
          <w:sz w:val="22"/>
          <w:szCs w:val="22"/>
        </w:rPr>
        <w:t xml:space="preserve"> </w:t>
      </w:r>
      <w:r>
        <w:rPr>
          <w:rFonts w:ascii="宋体" w:eastAsia="宋体" w:hAnsi="宋体" w:cs="宋体"/>
          <w:spacing w:val="-6"/>
          <w:sz w:val="22"/>
          <w:szCs w:val="22"/>
        </w:rPr>
        <w:t>美国则规定在饮料中只准许使用天</w:t>
      </w:r>
      <w:r>
        <w:rPr>
          <w:rFonts w:ascii="宋体" w:eastAsia="宋体" w:hAnsi="宋体" w:cs="宋体"/>
          <w:sz w:val="22"/>
          <w:szCs w:val="22"/>
        </w:rPr>
        <w:t xml:space="preserve"> </w:t>
      </w:r>
      <w:r>
        <w:rPr>
          <w:rFonts w:ascii="宋体" w:eastAsia="宋体" w:hAnsi="宋体" w:cs="宋体"/>
          <w:spacing w:val="-9"/>
          <w:sz w:val="22"/>
          <w:szCs w:val="22"/>
        </w:rPr>
        <w:t>然来源的咖啡碱。</w:t>
      </w:r>
      <w:r>
        <w:rPr>
          <w:rFonts w:ascii="宋体" w:eastAsia="宋体" w:hAnsi="宋体" w:cs="宋体"/>
          <w:spacing w:val="-11"/>
          <w:sz w:val="22"/>
          <w:szCs w:val="22"/>
        </w:rPr>
        <w:t xml:space="preserve"> </w:t>
      </w:r>
      <w:r>
        <w:rPr>
          <w:rFonts w:ascii="宋体" w:eastAsia="宋体" w:hAnsi="宋体" w:cs="宋体"/>
          <w:spacing w:val="-9"/>
          <w:sz w:val="22"/>
          <w:szCs w:val="22"/>
        </w:rPr>
        <w:t>FAO/WHO(1984)</w:t>
      </w:r>
      <w:r>
        <w:rPr>
          <w:rFonts w:ascii="宋体" w:eastAsia="宋体" w:hAnsi="宋体" w:cs="宋体"/>
          <w:spacing w:val="11"/>
          <w:sz w:val="22"/>
          <w:szCs w:val="22"/>
        </w:rPr>
        <w:t xml:space="preserve">    </w:t>
      </w:r>
      <w:r>
        <w:rPr>
          <w:rFonts w:ascii="宋体" w:eastAsia="宋体" w:hAnsi="宋体" w:cs="宋体"/>
          <w:spacing w:val="-9"/>
          <w:sz w:val="22"/>
          <w:szCs w:val="22"/>
        </w:rPr>
        <w:t>规定</w:t>
      </w:r>
      <w:r>
        <w:rPr>
          <w:rFonts w:ascii="宋体" w:eastAsia="宋体" w:hAnsi="宋体" w:cs="宋体"/>
          <w:spacing w:val="-10"/>
          <w:sz w:val="22"/>
          <w:szCs w:val="22"/>
        </w:rPr>
        <w:t>最高允许量为200</w:t>
      </w:r>
      <w:r>
        <w:rPr>
          <w:rFonts w:ascii="宋体" w:eastAsia="宋体" w:hAnsi="宋体" w:cs="宋体"/>
          <w:spacing w:val="-9"/>
          <w:sz w:val="22"/>
          <w:szCs w:val="22"/>
        </w:rPr>
        <w:t>mg</w:t>
      </w:r>
      <w:r>
        <w:rPr>
          <w:rFonts w:ascii="宋体" w:eastAsia="宋体" w:hAnsi="宋体" w:cs="宋体"/>
          <w:spacing w:val="-10"/>
          <w:sz w:val="22"/>
          <w:szCs w:val="22"/>
        </w:rPr>
        <w:t>/</w:t>
      </w:r>
      <w:r>
        <w:rPr>
          <w:rFonts w:ascii="宋体" w:eastAsia="宋体" w:hAnsi="宋体" w:cs="宋体"/>
          <w:spacing w:val="-9"/>
          <w:sz w:val="22"/>
          <w:szCs w:val="22"/>
        </w:rPr>
        <w:t>kg</w:t>
      </w:r>
      <w:r>
        <w:rPr>
          <w:rFonts w:ascii="宋体" w:eastAsia="宋体" w:hAnsi="宋体" w:cs="宋体"/>
          <w:spacing w:val="-10"/>
          <w:sz w:val="22"/>
          <w:szCs w:val="22"/>
        </w:rPr>
        <w:t>。</w:t>
      </w:r>
      <w:r>
        <w:rPr>
          <w:rFonts w:ascii="宋体" w:eastAsia="宋体" w:hAnsi="宋体" w:cs="宋体"/>
          <w:spacing w:val="8"/>
          <w:sz w:val="22"/>
          <w:szCs w:val="22"/>
        </w:rPr>
        <w:t xml:space="preserve"> </w:t>
      </w:r>
      <w:r>
        <w:rPr>
          <w:rFonts w:ascii="宋体" w:eastAsia="宋体" w:hAnsi="宋体" w:cs="宋体"/>
          <w:spacing w:val="-10"/>
          <w:sz w:val="22"/>
          <w:szCs w:val="22"/>
        </w:rPr>
        <w:t>我国一直</w:t>
      </w:r>
      <w:r>
        <w:rPr>
          <w:rFonts w:ascii="宋体" w:eastAsia="宋体" w:hAnsi="宋体" w:cs="宋体"/>
          <w:sz w:val="22"/>
          <w:szCs w:val="22"/>
        </w:rPr>
        <w:t xml:space="preserve"> </w:t>
      </w:r>
      <w:r>
        <w:rPr>
          <w:rFonts w:ascii="宋体" w:eastAsia="宋体" w:hAnsi="宋体" w:cs="宋体"/>
          <w:spacing w:val="-14"/>
          <w:sz w:val="22"/>
          <w:szCs w:val="22"/>
        </w:rPr>
        <w:t>把咖啡碱列为药物，未规定其最高允许用量。</w:t>
      </w:r>
    </w:p>
    <w:p w:rsidR="00EA40A3" w:rsidRDefault="00E86C16">
      <w:pPr>
        <w:spacing w:before="224" w:line="222" w:lineRule="auto"/>
        <w:ind w:left="3"/>
        <w:outlineLvl w:val="6"/>
        <w:rPr>
          <w:rFonts w:ascii="黑体" w:eastAsia="黑体" w:hAnsi="黑体" w:cs="黑体"/>
          <w:sz w:val="25"/>
          <w:szCs w:val="25"/>
        </w:rPr>
      </w:pPr>
      <w:r>
        <w:rPr>
          <w:rFonts w:ascii="黑体" w:eastAsia="黑体" w:hAnsi="黑体" w:cs="黑体"/>
          <w:b/>
          <w:bCs/>
          <w:spacing w:val="-10"/>
          <w:sz w:val="25"/>
          <w:szCs w:val="25"/>
        </w:rPr>
        <w:t>5.10.2</w:t>
      </w:r>
      <w:r>
        <w:rPr>
          <w:rFonts w:ascii="黑体" w:eastAsia="黑体" w:hAnsi="黑体" w:cs="黑体"/>
          <w:spacing w:val="114"/>
          <w:sz w:val="25"/>
          <w:szCs w:val="25"/>
        </w:rPr>
        <w:t xml:space="preserve"> </w:t>
      </w:r>
      <w:r>
        <w:rPr>
          <w:rFonts w:ascii="黑体" w:eastAsia="黑体" w:hAnsi="黑体" w:cs="黑体"/>
          <w:b/>
          <w:bCs/>
          <w:spacing w:val="-10"/>
          <w:sz w:val="25"/>
          <w:szCs w:val="25"/>
        </w:rPr>
        <w:t>茶叶碱</w:t>
      </w:r>
    </w:p>
    <w:p w:rsidR="00EA40A3" w:rsidRDefault="00E86C16">
      <w:pPr>
        <w:spacing w:before="176" w:line="247" w:lineRule="auto"/>
        <w:ind w:right="59" w:firstLine="430"/>
        <w:jc w:val="both"/>
        <w:rPr>
          <w:rFonts w:ascii="宋体" w:eastAsia="宋体" w:hAnsi="宋体" w:cs="宋体"/>
          <w:sz w:val="22"/>
          <w:szCs w:val="22"/>
        </w:rPr>
      </w:pPr>
      <w:r>
        <w:rPr>
          <w:rFonts w:ascii="宋体" w:eastAsia="宋体" w:hAnsi="宋体" w:cs="宋体"/>
          <w:spacing w:val="-8"/>
          <w:sz w:val="22"/>
          <w:szCs w:val="22"/>
        </w:rPr>
        <w:t>茶叶碱</w:t>
      </w:r>
      <w:r>
        <w:rPr>
          <w:rFonts w:ascii="宋体" w:eastAsia="宋体" w:hAnsi="宋体" w:cs="宋体"/>
          <w:spacing w:val="-14"/>
          <w:sz w:val="22"/>
          <w:szCs w:val="22"/>
        </w:rPr>
        <w:t xml:space="preserve"> </w:t>
      </w:r>
      <w:r>
        <w:rPr>
          <w:rFonts w:ascii="宋体" w:eastAsia="宋体" w:hAnsi="宋体" w:cs="宋体"/>
          <w:spacing w:val="-8"/>
          <w:sz w:val="22"/>
          <w:szCs w:val="22"/>
        </w:rPr>
        <w:t>(theophylline)</w:t>
      </w:r>
      <w:r>
        <w:rPr>
          <w:rFonts w:ascii="宋体" w:eastAsia="宋体" w:hAnsi="宋体" w:cs="宋体"/>
          <w:spacing w:val="-53"/>
          <w:sz w:val="22"/>
          <w:szCs w:val="22"/>
        </w:rPr>
        <w:t xml:space="preserve"> </w:t>
      </w:r>
      <w:r>
        <w:rPr>
          <w:rFonts w:ascii="宋体" w:eastAsia="宋体" w:hAnsi="宋体" w:cs="宋体"/>
          <w:spacing w:val="-8"/>
          <w:sz w:val="22"/>
          <w:szCs w:val="22"/>
        </w:rPr>
        <w:t>简称茶碱，又名1,3-二甲基黄嘌呤。早在1937年就</w:t>
      </w:r>
      <w:r>
        <w:rPr>
          <w:rFonts w:ascii="宋体" w:eastAsia="宋体" w:hAnsi="宋体" w:cs="宋体"/>
          <w:sz w:val="22"/>
          <w:szCs w:val="22"/>
        </w:rPr>
        <w:t xml:space="preserve"> </w:t>
      </w:r>
      <w:r>
        <w:rPr>
          <w:rFonts w:ascii="宋体" w:eastAsia="宋体" w:hAnsi="宋体" w:cs="宋体"/>
          <w:spacing w:val="-13"/>
          <w:sz w:val="22"/>
          <w:szCs w:val="22"/>
        </w:rPr>
        <w:t>开始用于临床治疗心力衰竭，认为有极强的舒张支气管平滑肌的作用，</w:t>
      </w:r>
      <w:r>
        <w:rPr>
          <w:rFonts w:ascii="宋体" w:eastAsia="宋体" w:hAnsi="宋体" w:cs="宋体"/>
          <w:spacing w:val="-14"/>
          <w:sz w:val="22"/>
          <w:szCs w:val="22"/>
        </w:rPr>
        <w:t>可用于支</w:t>
      </w:r>
      <w:r>
        <w:rPr>
          <w:rFonts w:ascii="宋体" w:eastAsia="宋体" w:hAnsi="宋体" w:cs="宋体"/>
          <w:sz w:val="22"/>
          <w:szCs w:val="22"/>
        </w:rPr>
        <w:t xml:space="preserve"> </w:t>
      </w:r>
      <w:r>
        <w:rPr>
          <w:rFonts w:ascii="宋体" w:eastAsia="宋体" w:hAnsi="宋体" w:cs="宋体"/>
          <w:spacing w:val="-13"/>
          <w:sz w:val="22"/>
          <w:szCs w:val="22"/>
        </w:rPr>
        <w:t>气管喘息的治疗。其作用机制是抑制了细胞内磷酸二酯酶的活性，从而抑制环磷</w:t>
      </w:r>
      <w:r>
        <w:rPr>
          <w:rFonts w:ascii="宋体" w:eastAsia="宋体" w:hAnsi="宋体" w:cs="宋体"/>
          <w:spacing w:val="13"/>
          <w:sz w:val="22"/>
          <w:szCs w:val="22"/>
        </w:rPr>
        <w:t xml:space="preserve"> </w:t>
      </w:r>
      <w:r>
        <w:rPr>
          <w:rFonts w:ascii="宋体" w:eastAsia="宋体" w:hAnsi="宋体" w:cs="宋体"/>
          <w:spacing w:val="-13"/>
          <w:sz w:val="22"/>
          <w:szCs w:val="22"/>
        </w:rPr>
        <w:t>酸腺苷转化为环磷酸鸟苷的反应，所以，茶碱只起缓解哮喘的作</w:t>
      </w:r>
      <w:r>
        <w:rPr>
          <w:rFonts w:ascii="宋体" w:eastAsia="宋体" w:hAnsi="宋体" w:cs="宋体"/>
          <w:spacing w:val="-14"/>
          <w:sz w:val="22"/>
          <w:szCs w:val="22"/>
        </w:rPr>
        <w:t>用，并不能从根</w:t>
      </w:r>
      <w:r>
        <w:rPr>
          <w:rFonts w:ascii="宋体" w:eastAsia="宋体" w:hAnsi="宋体" w:cs="宋体"/>
          <w:sz w:val="22"/>
          <w:szCs w:val="22"/>
        </w:rPr>
        <w:t xml:space="preserve"> </w:t>
      </w:r>
      <w:r>
        <w:rPr>
          <w:rFonts w:ascii="宋体" w:eastAsia="宋体" w:hAnsi="宋体" w:cs="宋体"/>
          <w:spacing w:val="-14"/>
          <w:sz w:val="22"/>
          <w:szCs w:val="22"/>
        </w:rPr>
        <w:t>本上治疗支气管哮喘。此外，茶碱在治疗心力衰竭、白血病、肝硬化等方面也有</w:t>
      </w:r>
      <w:r>
        <w:rPr>
          <w:rFonts w:ascii="宋体" w:eastAsia="宋体" w:hAnsi="宋体" w:cs="宋体"/>
          <w:spacing w:val="9"/>
          <w:sz w:val="22"/>
          <w:szCs w:val="22"/>
        </w:rPr>
        <w:t xml:space="preserve"> </w:t>
      </w:r>
      <w:r>
        <w:rPr>
          <w:rFonts w:ascii="宋体" w:eastAsia="宋体" w:hAnsi="宋体" w:cs="宋体"/>
          <w:spacing w:val="-13"/>
          <w:sz w:val="22"/>
          <w:szCs w:val="22"/>
        </w:rPr>
        <w:t>一定作用。茶碱还对肥大细胞释放过敏介质的过程有一定抑制作用。</w:t>
      </w:r>
    </w:p>
    <w:p w:rsidR="00EA40A3" w:rsidRDefault="00E86C16">
      <w:pPr>
        <w:spacing w:before="97" w:line="247" w:lineRule="auto"/>
        <w:ind w:firstLine="430"/>
        <w:jc w:val="both"/>
        <w:rPr>
          <w:rFonts w:ascii="宋体" w:eastAsia="宋体" w:hAnsi="宋体" w:cs="宋体"/>
          <w:sz w:val="22"/>
          <w:szCs w:val="22"/>
        </w:rPr>
      </w:pPr>
      <w:r>
        <w:rPr>
          <w:rFonts w:ascii="宋体" w:eastAsia="宋体" w:hAnsi="宋体" w:cs="宋体"/>
          <w:spacing w:val="-14"/>
          <w:sz w:val="22"/>
          <w:szCs w:val="22"/>
        </w:rPr>
        <w:t>由于茶碱在水中溶解度较低，不易吸收，对胃肠道有刺激作用，在临床上一</w:t>
      </w:r>
      <w:r>
        <w:rPr>
          <w:rFonts w:ascii="宋体" w:eastAsia="宋体" w:hAnsi="宋体" w:cs="宋体"/>
          <w:spacing w:val="6"/>
          <w:sz w:val="22"/>
          <w:szCs w:val="22"/>
        </w:rPr>
        <w:t xml:space="preserve">  </w:t>
      </w:r>
      <w:r>
        <w:rPr>
          <w:rFonts w:ascii="宋体" w:eastAsia="宋体" w:hAnsi="宋体" w:cs="宋体"/>
          <w:spacing w:val="-13"/>
          <w:sz w:val="22"/>
          <w:szCs w:val="22"/>
        </w:rPr>
        <w:t>般制成其衍生物氨茶碱、单氢茶碱、胆茶碱或茶碱乙醇胺等，以</w:t>
      </w:r>
      <w:r>
        <w:rPr>
          <w:rFonts w:ascii="宋体" w:eastAsia="宋体" w:hAnsi="宋体" w:cs="宋体"/>
          <w:spacing w:val="-14"/>
          <w:sz w:val="22"/>
          <w:szCs w:val="22"/>
        </w:rPr>
        <w:t>提高水溶性。茶</w:t>
      </w:r>
      <w:r>
        <w:rPr>
          <w:rFonts w:ascii="宋体" w:eastAsia="宋体" w:hAnsi="宋体" w:cs="宋体"/>
          <w:sz w:val="22"/>
          <w:szCs w:val="22"/>
        </w:rPr>
        <w:t xml:space="preserve">  </w:t>
      </w:r>
      <w:r>
        <w:rPr>
          <w:rFonts w:ascii="宋体" w:eastAsia="宋体" w:hAnsi="宋体" w:cs="宋体"/>
          <w:spacing w:val="-10"/>
          <w:sz w:val="22"/>
          <w:szCs w:val="22"/>
        </w:rPr>
        <w:t>碱pH</w:t>
      </w:r>
      <w:r>
        <w:rPr>
          <w:rFonts w:ascii="宋体" w:eastAsia="宋体" w:hAnsi="宋体" w:cs="宋体"/>
          <w:spacing w:val="19"/>
          <w:sz w:val="22"/>
          <w:szCs w:val="22"/>
        </w:rPr>
        <w:t xml:space="preserve"> </w:t>
      </w:r>
      <w:r>
        <w:rPr>
          <w:rFonts w:ascii="宋体" w:eastAsia="宋体" w:hAnsi="宋体" w:cs="宋体"/>
          <w:spacing w:val="-10"/>
          <w:sz w:val="22"/>
          <w:szCs w:val="22"/>
        </w:rPr>
        <w:t>值较高，因此肌肉注射有疼痛感，静脉注射易引起中毒，常用的方法是口</w:t>
      </w:r>
      <w:r>
        <w:rPr>
          <w:rFonts w:ascii="宋体" w:eastAsia="宋体" w:hAnsi="宋体" w:cs="宋体"/>
          <w:sz w:val="22"/>
          <w:szCs w:val="22"/>
        </w:rPr>
        <w:t xml:space="preserve"> </w:t>
      </w:r>
      <w:r>
        <w:rPr>
          <w:rFonts w:ascii="宋体" w:eastAsia="宋体" w:hAnsi="宋体" w:cs="宋体"/>
          <w:spacing w:val="-13"/>
          <w:sz w:val="22"/>
          <w:szCs w:val="22"/>
        </w:rPr>
        <w:t>服，制成缓释胶囊，经胃肠道吸收良好。茶碱摄入后一部分可不经代谢直接排出</w:t>
      </w:r>
      <w:r>
        <w:rPr>
          <w:rFonts w:ascii="宋体" w:eastAsia="宋体" w:hAnsi="宋体" w:cs="宋体"/>
          <w:spacing w:val="9"/>
          <w:sz w:val="22"/>
          <w:szCs w:val="22"/>
        </w:rPr>
        <w:t xml:space="preserve"> </w:t>
      </w:r>
      <w:r>
        <w:rPr>
          <w:rFonts w:ascii="宋体" w:eastAsia="宋体" w:hAnsi="宋体" w:cs="宋体"/>
          <w:spacing w:val="-6"/>
          <w:sz w:val="22"/>
          <w:szCs w:val="22"/>
        </w:rPr>
        <w:t>体外，另有约90%经代谢分解为1,3-二甲基脲酸、3-甲基黄</w:t>
      </w:r>
      <w:r>
        <w:rPr>
          <w:rFonts w:ascii="宋体" w:eastAsia="宋体" w:hAnsi="宋体" w:cs="宋体"/>
          <w:spacing w:val="-7"/>
          <w:sz w:val="22"/>
          <w:szCs w:val="22"/>
        </w:rPr>
        <w:t>嘌呤和1-甲基脲酸，</w:t>
      </w:r>
      <w:r>
        <w:rPr>
          <w:rFonts w:ascii="宋体" w:eastAsia="宋体" w:hAnsi="宋体" w:cs="宋体"/>
          <w:sz w:val="22"/>
          <w:szCs w:val="22"/>
        </w:rPr>
        <w:t xml:space="preserve"> </w:t>
      </w:r>
      <w:r>
        <w:rPr>
          <w:rFonts w:ascii="宋体" w:eastAsia="宋体" w:hAnsi="宋体" w:cs="宋体"/>
          <w:spacing w:val="-17"/>
          <w:sz w:val="22"/>
          <w:szCs w:val="22"/>
        </w:rPr>
        <w:t>经尿液排出体外。</w:t>
      </w:r>
    </w:p>
    <w:p w:rsidR="00EA40A3" w:rsidRDefault="00E86C16">
      <w:pPr>
        <w:spacing w:before="202" w:line="222" w:lineRule="auto"/>
        <w:ind w:left="3"/>
        <w:outlineLvl w:val="6"/>
        <w:rPr>
          <w:rFonts w:ascii="黑体" w:eastAsia="黑体" w:hAnsi="黑体" w:cs="黑体"/>
          <w:sz w:val="22"/>
          <w:szCs w:val="22"/>
        </w:rPr>
      </w:pPr>
      <w:r>
        <w:rPr>
          <w:rFonts w:ascii="黑体" w:eastAsia="黑体" w:hAnsi="黑体" w:cs="黑体"/>
          <w:b/>
          <w:bCs/>
          <w:spacing w:val="6"/>
          <w:sz w:val="22"/>
          <w:szCs w:val="22"/>
        </w:rPr>
        <w:t>5.10.3</w:t>
      </w:r>
      <w:r>
        <w:rPr>
          <w:rFonts w:ascii="黑体" w:eastAsia="黑体" w:hAnsi="黑体" w:cs="黑体"/>
          <w:spacing w:val="32"/>
          <w:sz w:val="22"/>
          <w:szCs w:val="22"/>
        </w:rPr>
        <w:t xml:space="preserve">  </w:t>
      </w:r>
      <w:r>
        <w:rPr>
          <w:rFonts w:ascii="黑体" w:eastAsia="黑体" w:hAnsi="黑体" w:cs="黑体"/>
          <w:b/>
          <w:bCs/>
          <w:spacing w:val="6"/>
          <w:sz w:val="22"/>
          <w:szCs w:val="22"/>
        </w:rPr>
        <w:t>可可碱</w:t>
      </w:r>
    </w:p>
    <w:p w:rsidR="00EA40A3" w:rsidRDefault="00E86C16">
      <w:pPr>
        <w:spacing w:before="202" w:line="243" w:lineRule="auto"/>
        <w:ind w:right="88" w:firstLine="430"/>
        <w:jc w:val="both"/>
        <w:rPr>
          <w:rFonts w:ascii="宋体" w:eastAsia="宋体" w:hAnsi="宋体" w:cs="宋体"/>
          <w:sz w:val="22"/>
          <w:szCs w:val="22"/>
        </w:rPr>
      </w:pPr>
      <w:r>
        <w:rPr>
          <w:rFonts w:ascii="宋体" w:eastAsia="宋体" w:hAnsi="宋体" w:cs="宋体"/>
          <w:spacing w:val="-8"/>
          <w:sz w:val="22"/>
          <w:szCs w:val="22"/>
        </w:rPr>
        <w:t>当前对可可碱</w:t>
      </w:r>
      <w:r>
        <w:rPr>
          <w:rFonts w:ascii="宋体" w:eastAsia="宋体" w:hAnsi="宋体" w:cs="宋体"/>
          <w:spacing w:val="-1"/>
          <w:sz w:val="22"/>
          <w:szCs w:val="22"/>
        </w:rPr>
        <w:t xml:space="preserve"> </w:t>
      </w:r>
      <w:r>
        <w:rPr>
          <w:rFonts w:ascii="宋体" w:eastAsia="宋体" w:hAnsi="宋体" w:cs="宋体"/>
          <w:spacing w:val="-8"/>
          <w:sz w:val="22"/>
          <w:szCs w:val="22"/>
        </w:rPr>
        <w:t>(theobromine)</w:t>
      </w:r>
      <w:r>
        <w:rPr>
          <w:rFonts w:ascii="宋体" w:eastAsia="宋体" w:hAnsi="宋体" w:cs="宋体"/>
          <w:spacing w:val="-37"/>
          <w:sz w:val="22"/>
          <w:szCs w:val="22"/>
        </w:rPr>
        <w:t xml:space="preserve"> </w:t>
      </w:r>
      <w:r>
        <w:rPr>
          <w:rFonts w:ascii="宋体" w:eastAsia="宋体" w:hAnsi="宋体" w:cs="宋体"/>
          <w:spacing w:val="-8"/>
          <w:sz w:val="22"/>
          <w:szCs w:val="22"/>
        </w:rPr>
        <w:t>的利用多是对其进行必要的修饰，如水杨酸</w:t>
      </w:r>
      <w:r>
        <w:rPr>
          <w:rFonts w:ascii="宋体" w:eastAsia="宋体" w:hAnsi="宋体" w:cs="宋体"/>
          <w:sz w:val="22"/>
          <w:szCs w:val="22"/>
        </w:rPr>
        <w:t xml:space="preserve"> </w:t>
      </w:r>
      <w:r>
        <w:rPr>
          <w:rFonts w:ascii="宋体" w:eastAsia="宋体" w:hAnsi="宋体" w:cs="宋体"/>
          <w:spacing w:val="-13"/>
          <w:sz w:val="22"/>
          <w:szCs w:val="22"/>
        </w:rPr>
        <w:t>钙可可碱、乙酸钠可可碱和己酮可可碱。已发现己酮可可碱可减轻血小板激活因</w:t>
      </w:r>
      <w:r>
        <w:rPr>
          <w:rFonts w:ascii="宋体" w:eastAsia="宋体" w:hAnsi="宋体" w:cs="宋体"/>
          <w:spacing w:val="5"/>
          <w:sz w:val="22"/>
          <w:szCs w:val="22"/>
        </w:rPr>
        <w:t xml:space="preserve"> </w:t>
      </w:r>
      <w:r>
        <w:rPr>
          <w:rFonts w:ascii="宋体" w:eastAsia="宋体" w:hAnsi="宋体" w:cs="宋体"/>
          <w:spacing w:val="-13"/>
          <w:sz w:val="22"/>
          <w:szCs w:val="22"/>
        </w:rPr>
        <w:t>子致离体豚鼠肺通透性水肿。己酮可可碱还可通过作用于白细胞</w:t>
      </w:r>
      <w:r>
        <w:rPr>
          <w:rFonts w:ascii="宋体" w:eastAsia="宋体" w:hAnsi="宋体" w:cs="宋体"/>
          <w:spacing w:val="-14"/>
          <w:sz w:val="22"/>
          <w:szCs w:val="22"/>
        </w:rPr>
        <w:t>，降低白细胞对</w:t>
      </w:r>
      <w:r>
        <w:rPr>
          <w:rFonts w:ascii="宋体" w:eastAsia="宋体" w:hAnsi="宋体" w:cs="宋体"/>
          <w:sz w:val="22"/>
          <w:szCs w:val="22"/>
        </w:rPr>
        <w:t xml:space="preserve"> </w:t>
      </w:r>
      <w:r>
        <w:rPr>
          <w:rFonts w:ascii="宋体" w:eastAsia="宋体" w:hAnsi="宋体" w:cs="宋体"/>
          <w:spacing w:val="-18"/>
          <w:sz w:val="22"/>
          <w:szCs w:val="22"/>
        </w:rPr>
        <w:t>内皮细胞的黏附作用数量。</w:t>
      </w:r>
    </w:p>
    <w:p w:rsidR="00EA40A3" w:rsidRDefault="00EA40A3">
      <w:pPr>
        <w:sectPr w:rsidR="00EA40A3">
          <w:footerReference w:type="default" r:id="rId156"/>
          <w:pgSz w:w="9220" w:h="13360"/>
          <w:pgMar w:top="400" w:right="979" w:bottom="1255" w:left="899" w:header="0" w:footer="1035" w:gutter="0"/>
          <w:cols w:space="720"/>
        </w:sectPr>
      </w:pPr>
    </w:p>
    <w:p w:rsidR="00EA40A3" w:rsidRDefault="00EA40A3">
      <w:pPr>
        <w:spacing w:line="270" w:lineRule="auto"/>
      </w:pPr>
    </w:p>
    <w:p w:rsidR="00EA40A3" w:rsidRDefault="00EA40A3">
      <w:pPr>
        <w:spacing w:line="270" w:lineRule="auto"/>
      </w:pPr>
    </w:p>
    <w:p w:rsidR="00EA40A3" w:rsidRDefault="00EA40A3">
      <w:pPr>
        <w:spacing w:line="270" w:lineRule="auto"/>
      </w:pPr>
    </w:p>
    <w:p w:rsidR="00EA40A3" w:rsidRDefault="00E86C16">
      <w:pPr>
        <w:spacing w:before="97" w:line="219" w:lineRule="auto"/>
        <w:ind w:left="2459"/>
        <w:rPr>
          <w:rFonts w:ascii="宋体" w:eastAsia="宋体" w:hAnsi="宋体" w:cs="宋体"/>
          <w:sz w:val="30"/>
          <w:szCs w:val="30"/>
        </w:rPr>
      </w:pPr>
      <w:r>
        <w:rPr>
          <w:rFonts w:ascii="宋体" w:eastAsia="宋体" w:hAnsi="宋体" w:cs="宋体"/>
          <w:spacing w:val="-5"/>
          <w:sz w:val="30"/>
          <w:szCs w:val="30"/>
        </w:rPr>
        <w:t>5.11</w:t>
      </w:r>
      <w:r>
        <w:rPr>
          <w:rFonts w:ascii="宋体" w:eastAsia="宋体" w:hAnsi="宋体" w:cs="宋体"/>
          <w:spacing w:val="96"/>
          <w:sz w:val="30"/>
          <w:szCs w:val="30"/>
        </w:rPr>
        <w:t xml:space="preserve"> </w:t>
      </w:r>
      <w:r>
        <w:rPr>
          <w:rFonts w:ascii="宋体" w:eastAsia="宋体" w:hAnsi="宋体" w:cs="宋体"/>
          <w:spacing w:val="-5"/>
          <w:sz w:val="30"/>
          <w:szCs w:val="30"/>
        </w:rPr>
        <w:t>辅酶Q</w:t>
      </w:r>
      <w:r>
        <w:rPr>
          <w:rFonts w:ascii="宋体" w:eastAsia="宋体" w:hAnsi="宋体" w:cs="宋体"/>
          <w:spacing w:val="69"/>
          <w:sz w:val="30"/>
          <w:szCs w:val="30"/>
        </w:rPr>
        <w:t xml:space="preserve"> </w:t>
      </w:r>
      <w:r>
        <w:rPr>
          <w:rFonts w:ascii="宋体" w:eastAsia="宋体" w:hAnsi="宋体" w:cs="宋体"/>
          <w:spacing w:val="-5"/>
          <w:sz w:val="30"/>
          <w:szCs w:val="30"/>
        </w:rPr>
        <w:t>(泛醌)</w:t>
      </w:r>
    </w:p>
    <w:p w:rsidR="00EA40A3" w:rsidRDefault="00E86C16">
      <w:pPr>
        <w:spacing w:before="305" w:line="260" w:lineRule="auto"/>
        <w:ind w:firstLine="423"/>
        <w:jc w:val="both"/>
        <w:rPr>
          <w:rFonts w:ascii="宋体" w:eastAsia="宋体" w:hAnsi="宋体" w:cs="宋体"/>
        </w:rPr>
      </w:pPr>
      <w:r>
        <w:rPr>
          <w:rFonts w:ascii="宋体" w:eastAsia="宋体" w:hAnsi="宋体" w:cs="宋体"/>
          <w:b/>
          <w:bCs/>
        </w:rPr>
        <w:t>辅酶</w:t>
      </w:r>
      <w:r>
        <w:rPr>
          <w:rFonts w:ascii="Times New Roman" w:eastAsia="Times New Roman" w:hAnsi="Times New Roman" w:cs="Times New Roman"/>
          <w:b/>
          <w:bCs/>
        </w:rPr>
        <w:t>Q</w:t>
      </w:r>
      <w:r>
        <w:rPr>
          <w:rFonts w:ascii="Times New Roman" w:eastAsia="Times New Roman" w:hAnsi="Times New Roman" w:cs="Times New Roman"/>
          <w:spacing w:val="5"/>
        </w:rPr>
        <w:t xml:space="preserve">  </w:t>
      </w:r>
      <w:r>
        <w:rPr>
          <w:rFonts w:ascii="Times New Roman" w:eastAsia="Times New Roman" w:hAnsi="Times New Roman" w:cs="Times New Roman"/>
        </w:rPr>
        <w:t>(coenzyme</w:t>
      </w:r>
      <w:r>
        <w:rPr>
          <w:rFonts w:ascii="Times New Roman" w:eastAsia="Times New Roman" w:hAnsi="Times New Roman" w:cs="Times New Roman"/>
          <w:spacing w:val="23"/>
          <w:w w:val="101"/>
        </w:rPr>
        <w:t xml:space="preserve">  </w:t>
      </w:r>
      <w:r>
        <w:rPr>
          <w:rFonts w:ascii="Times New Roman" w:eastAsia="Times New Roman" w:hAnsi="Times New Roman" w:cs="Times New Roman"/>
        </w:rPr>
        <w:t>Q)</w:t>
      </w:r>
      <w:r>
        <w:rPr>
          <w:rFonts w:ascii="Times New Roman" w:eastAsia="Times New Roman" w:hAnsi="Times New Roman" w:cs="Times New Roman"/>
          <w:spacing w:val="39"/>
        </w:rPr>
        <w:t xml:space="preserve"> </w:t>
      </w:r>
      <w:r>
        <w:rPr>
          <w:rFonts w:ascii="宋体" w:eastAsia="宋体" w:hAnsi="宋体" w:cs="宋体"/>
        </w:rPr>
        <w:t>是多种泛醌</w:t>
      </w:r>
      <w:r>
        <w:rPr>
          <w:rFonts w:ascii="宋体" w:eastAsia="宋体" w:hAnsi="宋体" w:cs="宋体"/>
          <w:spacing w:val="6"/>
        </w:rPr>
        <w:t xml:space="preserve"> </w:t>
      </w:r>
      <w:r>
        <w:rPr>
          <w:rFonts w:ascii="Times New Roman" w:eastAsia="Times New Roman" w:hAnsi="Times New Roman" w:cs="Times New Roman"/>
        </w:rPr>
        <w:t>(ubiquinone)</w:t>
      </w:r>
      <w:r>
        <w:rPr>
          <w:rFonts w:ascii="Times New Roman" w:eastAsia="Times New Roman" w:hAnsi="Times New Roman" w:cs="Times New Roman"/>
          <w:spacing w:val="15"/>
          <w:w w:val="101"/>
        </w:rPr>
        <w:t xml:space="preserve">   </w:t>
      </w:r>
      <w:r>
        <w:rPr>
          <w:rFonts w:ascii="宋体" w:eastAsia="宋体" w:hAnsi="宋体" w:cs="宋体"/>
        </w:rPr>
        <w:t>的合</w:t>
      </w:r>
      <w:r>
        <w:rPr>
          <w:rFonts w:ascii="宋体" w:eastAsia="宋体" w:hAnsi="宋体" w:cs="宋体"/>
          <w:spacing w:val="-1"/>
        </w:rPr>
        <w:t>称，其化学结构同维</w:t>
      </w:r>
      <w:r>
        <w:rPr>
          <w:rFonts w:ascii="宋体" w:eastAsia="宋体" w:hAnsi="宋体" w:cs="宋体"/>
        </w:rPr>
        <w:t xml:space="preserve"> </w:t>
      </w:r>
      <w:r>
        <w:rPr>
          <w:rFonts w:ascii="宋体" w:eastAsia="宋体" w:hAnsi="宋体" w:cs="宋体"/>
          <w:spacing w:val="6"/>
        </w:rPr>
        <w:t>生素</w:t>
      </w:r>
      <w:r>
        <w:rPr>
          <w:rFonts w:ascii="宋体" w:eastAsia="宋体" w:hAnsi="宋体" w:cs="宋体"/>
          <w:spacing w:val="-56"/>
        </w:rPr>
        <w:t xml:space="preserve"> </w:t>
      </w:r>
      <w:r>
        <w:rPr>
          <w:rFonts w:ascii="宋体" w:eastAsia="宋体" w:hAnsi="宋体" w:cs="宋体"/>
          <w:spacing w:val="6"/>
        </w:rPr>
        <w:t>E、K</w:t>
      </w:r>
      <w:r>
        <w:rPr>
          <w:rFonts w:ascii="宋体" w:eastAsia="宋体" w:hAnsi="宋体" w:cs="宋体"/>
          <w:spacing w:val="30"/>
        </w:rPr>
        <w:t xml:space="preserve"> </w:t>
      </w:r>
      <w:r>
        <w:rPr>
          <w:rFonts w:ascii="宋体" w:eastAsia="宋体" w:hAnsi="宋体" w:cs="宋体"/>
          <w:spacing w:val="6"/>
        </w:rPr>
        <w:t>类似。辅酶Q</w:t>
      </w:r>
      <w:r>
        <w:rPr>
          <w:rFonts w:ascii="宋体" w:eastAsia="宋体" w:hAnsi="宋体" w:cs="宋体"/>
          <w:spacing w:val="17"/>
        </w:rPr>
        <w:t xml:space="preserve"> </w:t>
      </w:r>
      <w:r>
        <w:rPr>
          <w:rFonts w:ascii="宋体" w:eastAsia="宋体" w:hAnsi="宋体" w:cs="宋体"/>
          <w:spacing w:val="6"/>
        </w:rPr>
        <w:t>存在于一切活细胞中，以细胞线粒体内的含量为多</w:t>
      </w:r>
      <w:r>
        <w:rPr>
          <w:rFonts w:ascii="宋体" w:eastAsia="宋体" w:hAnsi="宋体" w:cs="宋体"/>
          <w:spacing w:val="5"/>
        </w:rPr>
        <w:t>，</w:t>
      </w:r>
      <w:r>
        <w:rPr>
          <w:rFonts w:ascii="宋体" w:eastAsia="宋体" w:hAnsi="宋体" w:cs="宋体"/>
        </w:rPr>
        <w:t xml:space="preserve"> </w:t>
      </w:r>
      <w:r>
        <w:rPr>
          <w:rFonts w:ascii="宋体" w:eastAsia="宋体" w:hAnsi="宋体" w:cs="宋体"/>
          <w:spacing w:val="-3"/>
        </w:rPr>
        <w:t>是呼吸链中的一个重要的参与物质，为产能营养素释放能量所必需。如缺乏细胞</w:t>
      </w:r>
      <w:r>
        <w:rPr>
          <w:rFonts w:ascii="宋体" w:eastAsia="宋体" w:hAnsi="宋体" w:cs="宋体"/>
          <w:spacing w:val="12"/>
        </w:rPr>
        <w:t xml:space="preserve"> </w:t>
      </w:r>
      <w:r>
        <w:rPr>
          <w:rFonts w:ascii="宋体" w:eastAsia="宋体" w:hAnsi="宋体" w:cs="宋体"/>
          <w:spacing w:val="-1"/>
        </w:rPr>
        <w:t>就不能进行充分的氧化，就不能为机体提供足够的能量，生命活动</w:t>
      </w:r>
      <w:r>
        <w:rPr>
          <w:rFonts w:ascii="宋体" w:eastAsia="宋体" w:hAnsi="宋体" w:cs="宋体"/>
          <w:spacing w:val="-2"/>
        </w:rPr>
        <w:t>就会受影响。</w:t>
      </w:r>
      <w:r>
        <w:rPr>
          <w:rFonts w:ascii="宋体" w:eastAsia="宋体" w:hAnsi="宋体" w:cs="宋体"/>
        </w:rPr>
        <w:t xml:space="preserve"> </w:t>
      </w:r>
      <w:r>
        <w:rPr>
          <w:rFonts w:ascii="宋体" w:eastAsia="宋体" w:hAnsi="宋体" w:cs="宋体"/>
          <w:spacing w:val="3"/>
        </w:rPr>
        <w:t>由于辅酶Q</w:t>
      </w:r>
      <w:r>
        <w:rPr>
          <w:rFonts w:ascii="宋体" w:eastAsia="宋体" w:hAnsi="宋体" w:cs="宋体"/>
          <w:spacing w:val="17"/>
        </w:rPr>
        <w:t xml:space="preserve"> </w:t>
      </w:r>
      <w:r>
        <w:rPr>
          <w:rFonts w:ascii="宋体" w:eastAsia="宋体" w:hAnsi="宋体" w:cs="宋体"/>
          <w:spacing w:val="3"/>
        </w:rPr>
        <w:t>对能量库线粒体的重要保护作用，促进细胞的能量代谢，故对大脑</w:t>
      </w:r>
      <w:r>
        <w:rPr>
          <w:rFonts w:ascii="宋体" w:eastAsia="宋体" w:hAnsi="宋体" w:cs="宋体"/>
        </w:rPr>
        <w:t xml:space="preserve"> </w:t>
      </w:r>
      <w:r>
        <w:rPr>
          <w:rFonts w:ascii="宋体" w:eastAsia="宋体" w:hAnsi="宋体" w:cs="宋体"/>
          <w:spacing w:val="-5"/>
        </w:rPr>
        <w:t>退化性疾病起到预防作用，如早老性痴呆和记忆力减退等。</w:t>
      </w:r>
    </w:p>
    <w:p w:rsidR="00EA40A3" w:rsidRDefault="00E86C16">
      <w:pPr>
        <w:spacing w:before="197" w:line="222" w:lineRule="auto"/>
        <w:ind w:left="3"/>
        <w:outlineLvl w:val="6"/>
        <w:rPr>
          <w:rFonts w:ascii="黑体" w:eastAsia="黑体" w:hAnsi="黑体" w:cs="黑体"/>
          <w:sz w:val="25"/>
          <w:szCs w:val="25"/>
        </w:rPr>
      </w:pPr>
      <w:r>
        <w:rPr>
          <w:rFonts w:ascii="黑体" w:eastAsia="黑体" w:hAnsi="黑体" w:cs="黑体"/>
          <w:b/>
          <w:bCs/>
          <w:spacing w:val="-5"/>
          <w:sz w:val="25"/>
          <w:szCs w:val="25"/>
        </w:rPr>
        <w:t>5.11.1</w:t>
      </w:r>
      <w:r>
        <w:rPr>
          <w:rFonts w:ascii="黑体" w:eastAsia="黑体" w:hAnsi="黑体" w:cs="黑体"/>
          <w:spacing w:val="26"/>
          <w:sz w:val="25"/>
          <w:szCs w:val="25"/>
        </w:rPr>
        <w:t xml:space="preserve">  </w:t>
      </w:r>
      <w:r>
        <w:rPr>
          <w:rFonts w:ascii="黑体" w:eastAsia="黑体" w:hAnsi="黑体" w:cs="黑体"/>
          <w:b/>
          <w:bCs/>
          <w:spacing w:val="-5"/>
          <w:sz w:val="25"/>
          <w:szCs w:val="25"/>
        </w:rPr>
        <w:t>辅酶Q</w:t>
      </w:r>
      <w:r>
        <w:rPr>
          <w:rFonts w:ascii="黑体" w:eastAsia="黑体" w:hAnsi="黑体" w:cs="黑体"/>
          <w:spacing w:val="-13"/>
          <w:sz w:val="25"/>
          <w:szCs w:val="25"/>
        </w:rPr>
        <w:t xml:space="preserve"> </w:t>
      </w:r>
      <w:r>
        <w:rPr>
          <w:rFonts w:ascii="黑体" w:eastAsia="黑体" w:hAnsi="黑体" w:cs="黑体"/>
          <w:b/>
          <w:bCs/>
          <w:spacing w:val="-5"/>
          <w:sz w:val="25"/>
          <w:szCs w:val="25"/>
        </w:rPr>
        <w:t>的生理功能</w:t>
      </w:r>
    </w:p>
    <w:p w:rsidR="00EA40A3" w:rsidRDefault="00E86C16">
      <w:pPr>
        <w:spacing w:before="193" w:line="259" w:lineRule="auto"/>
        <w:ind w:right="51" w:firstLine="420"/>
        <w:jc w:val="both"/>
        <w:rPr>
          <w:rFonts w:ascii="宋体" w:eastAsia="宋体" w:hAnsi="宋体" w:cs="宋体"/>
        </w:rPr>
      </w:pPr>
      <w:r>
        <w:rPr>
          <w:rFonts w:ascii="宋体" w:eastAsia="宋体" w:hAnsi="宋体" w:cs="宋体"/>
          <w:spacing w:val="1"/>
        </w:rPr>
        <w:t>辅酶Q</w:t>
      </w:r>
      <w:r>
        <w:rPr>
          <w:rFonts w:ascii="宋体" w:eastAsia="宋体" w:hAnsi="宋体" w:cs="宋体"/>
          <w:spacing w:val="21"/>
        </w:rPr>
        <w:t xml:space="preserve"> </w:t>
      </w:r>
      <w:r>
        <w:rPr>
          <w:rFonts w:ascii="宋体" w:eastAsia="宋体" w:hAnsi="宋体" w:cs="宋体"/>
          <w:spacing w:val="1"/>
        </w:rPr>
        <w:t>在心肌细胞中含量最高，因为心脏需大量辅酶</w:t>
      </w:r>
      <w:r>
        <w:rPr>
          <w:rFonts w:ascii="宋体" w:eastAsia="宋体" w:hAnsi="宋体" w:cs="宋体"/>
          <w:spacing w:val="-48"/>
        </w:rPr>
        <w:t xml:space="preserve"> </w:t>
      </w:r>
      <w:r>
        <w:rPr>
          <w:rFonts w:ascii="宋体" w:eastAsia="宋体" w:hAnsi="宋体" w:cs="宋体"/>
          <w:spacing w:val="1"/>
        </w:rPr>
        <w:t>Q</w:t>
      </w:r>
      <w:r>
        <w:rPr>
          <w:rFonts w:ascii="宋体" w:eastAsia="宋体" w:hAnsi="宋体" w:cs="宋体"/>
          <w:spacing w:val="7"/>
        </w:rPr>
        <w:t xml:space="preserve"> </w:t>
      </w:r>
      <w:r>
        <w:rPr>
          <w:rFonts w:ascii="宋体" w:eastAsia="宋体" w:hAnsi="宋体" w:cs="宋体"/>
          <w:spacing w:val="1"/>
        </w:rPr>
        <w:t>来维持每天千百次</w:t>
      </w:r>
      <w:r>
        <w:rPr>
          <w:rFonts w:ascii="宋体" w:eastAsia="宋体" w:hAnsi="宋体" w:cs="宋体"/>
        </w:rPr>
        <w:t xml:space="preserve"> </w:t>
      </w:r>
      <w:r>
        <w:rPr>
          <w:rFonts w:ascii="宋体" w:eastAsia="宋体" w:hAnsi="宋体" w:cs="宋体"/>
          <w:spacing w:val="3"/>
        </w:rPr>
        <w:t>的跳动。许多心脏衰弱的人往往缺乏辅酶Q。</w:t>
      </w:r>
      <w:r>
        <w:rPr>
          <w:rFonts w:ascii="宋体" w:eastAsia="宋体" w:hAnsi="宋体" w:cs="宋体"/>
          <w:spacing w:val="-3"/>
        </w:rPr>
        <w:t xml:space="preserve"> </w:t>
      </w:r>
      <w:r>
        <w:rPr>
          <w:rFonts w:ascii="宋体" w:eastAsia="宋体" w:hAnsi="宋体" w:cs="宋体"/>
          <w:spacing w:val="3"/>
        </w:rPr>
        <w:t>心脏病患者血</w:t>
      </w:r>
      <w:r>
        <w:rPr>
          <w:rFonts w:ascii="宋体" w:eastAsia="宋体" w:hAnsi="宋体" w:cs="宋体"/>
          <w:spacing w:val="2"/>
        </w:rPr>
        <w:t>液中辅酶Q</w:t>
      </w:r>
      <w:r>
        <w:rPr>
          <w:rFonts w:ascii="宋体" w:eastAsia="宋体" w:hAnsi="宋体" w:cs="宋体"/>
          <w:spacing w:val="26"/>
        </w:rPr>
        <w:t xml:space="preserve"> </w:t>
      </w:r>
      <w:r>
        <w:rPr>
          <w:rFonts w:ascii="宋体" w:eastAsia="宋体" w:hAnsi="宋体" w:cs="宋体"/>
          <w:spacing w:val="2"/>
        </w:rPr>
        <w:t>的含量</w:t>
      </w:r>
      <w:r>
        <w:rPr>
          <w:rFonts w:ascii="宋体" w:eastAsia="宋体" w:hAnsi="宋体" w:cs="宋体"/>
        </w:rPr>
        <w:t xml:space="preserve"> </w:t>
      </w:r>
      <w:r>
        <w:rPr>
          <w:rFonts w:ascii="宋体" w:eastAsia="宋体" w:hAnsi="宋体" w:cs="宋体"/>
          <w:spacing w:val="7"/>
        </w:rPr>
        <w:t>比对照低1/4,75%的心脏病患者心脏组织中严重缺乏辅酶</w:t>
      </w:r>
      <w:r>
        <w:rPr>
          <w:rFonts w:ascii="宋体" w:eastAsia="宋体" w:hAnsi="宋体" w:cs="宋体"/>
          <w:spacing w:val="-63"/>
        </w:rPr>
        <w:t xml:space="preserve"> </w:t>
      </w:r>
      <w:r>
        <w:rPr>
          <w:rFonts w:ascii="宋体" w:eastAsia="宋体" w:hAnsi="宋体" w:cs="宋体"/>
          <w:spacing w:val="6"/>
        </w:rPr>
        <w:t>Q,3/4</w:t>
      </w:r>
      <w:r>
        <w:rPr>
          <w:rFonts w:ascii="宋体" w:eastAsia="宋体" w:hAnsi="宋体" w:cs="宋体"/>
          <w:spacing w:val="5"/>
        </w:rPr>
        <w:t xml:space="preserve">  </w:t>
      </w:r>
      <w:r>
        <w:rPr>
          <w:rFonts w:ascii="宋体" w:eastAsia="宋体" w:hAnsi="宋体" w:cs="宋体"/>
          <w:spacing w:val="6"/>
        </w:rPr>
        <w:t>的心脏病老</w:t>
      </w:r>
      <w:r>
        <w:rPr>
          <w:rFonts w:ascii="宋体" w:eastAsia="宋体" w:hAnsi="宋体" w:cs="宋体"/>
        </w:rPr>
        <w:t xml:space="preserve"> </w:t>
      </w:r>
      <w:r>
        <w:rPr>
          <w:rFonts w:ascii="宋体" w:eastAsia="宋体" w:hAnsi="宋体" w:cs="宋体"/>
          <w:spacing w:val="3"/>
        </w:rPr>
        <w:t>年患者在服用辅酶Q</w:t>
      </w:r>
      <w:r>
        <w:rPr>
          <w:rFonts w:ascii="宋体" w:eastAsia="宋体" w:hAnsi="宋体" w:cs="宋体"/>
          <w:spacing w:val="14"/>
        </w:rPr>
        <w:t xml:space="preserve"> </w:t>
      </w:r>
      <w:r>
        <w:rPr>
          <w:rFonts w:ascii="宋体" w:eastAsia="宋体" w:hAnsi="宋体" w:cs="宋体"/>
          <w:spacing w:val="3"/>
        </w:rPr>
        <w:t>后病情有了明显好转。有研究者认为心血管疾病在很大程</w:t>
      </w:r>
      <w:r>
        <w:rPr>
          <w:rFonts w:ascii="宋体" w:eastAsia="宋体" w:hAnsi="宋体" w:cs="宋体"/>
        </w:rPr>
        <w:t xml:space="preserve"> </w:t>
      </w:r>
      <w:r>
        <w:rPr>
          <w:rFonts w:ascii="宋体" w:eastAsia="宋体" w:hAnsi="宋体" w:cs="宋体"/>
          <w:spacing w:val="-1"/>
        </w:rPr>
        <w:t>度上是由辅酶</w:t>
      </w:r>
      <w:r>
        <w:rPr>
          <w:rFonts w:ascii="宋体" w:eastAsia="宋体" w:hAnsi="宋体" w:cs="宋体"/>
          <w:spacing w:val="-51"/>
        </w:rPr>
        <w:t xml:space="preserve"> </w:t>
      </w:r>
      <w:r>
        <w:rPr>
          <w:rFonts w:ascii="宋体" w:eastAsia="宋体" w:hAnsi="宋体" w:cs="宋体"/>
          <w:spacing w:val="-1"/>
        </w:rPr>
        <w:t>Qo</w:t>
      </w:r>
      <w:r>
        <w:rPr>
          <w:rFonts w:ascii="宋体" w:eastAsia="宋体" w:hAnsi="宋体" w:cs="宋体"/>
          <w:spacing w:val="2"/>
        </w:rPr>
        <w:t xml:space="preserve"> </w:t>
      </w:r>
      <w:r>
        <w:rPr>
          <w:rFonts w:ascii="宋体" w:eastAsia="宋体" w:hAnsi="宋体" w:cs="宋体"/>
          <w:spacing w:val="-1"/>
        </w:rPr>
        <w:t>的缺乏引起。辅酶Q</w:t>
      </w:r>
      <w:r>
        <w:rPr>
          <w:rFonts w:ascii="宋体" w:eastAsia="宋体" w:hAnsi="宋体" w:cs="宋体"/>
          <w:spacing w:val="16"/>
        </w:rPr>
        <w:t xml:space="preserve"> </w:t>
      </w:r>
      <w:r>
        <w:rPr>
          <w:rFonts w:ascii="宋体" w:eastAsia="宋体" w:hAnsi="宋体" w:cs="宋体"/>
          <w:spacing w:val="-1"/>
        </w:rPr>
        <w:t>能抑制血脂过氧化反应，保护细胞免受自</w:t>
      </w:r>
      <w:r>
        <w:rPr>
          <w:rFonts w:ascii="宋体" w:eastAsia="宋体" w:hAnsi="宋体" w:cs="宋体"/>
        </w:rPr>
        <w:t xml:space="preserve"> </w:t>
      </w:r>
      <w:r>
        <w:rPr>
          <w:rFonts w:ascii="宋体" w:eastAsia="宋体" w:hAnsi="宋体" w:cs="宋体"/>
          <w:spacing w:val="2"/>
        </w:rPr>
        <w:t>由基的破坏。波士顿大学研究认为，辅酶Q</w:t>
      </w:r>
      <w:r>
        <w:rPr>
          <w:rFonts w:ascii="宋体" w:eastAsia="宋体" w:hAnsi="宋体" w:cs="宋体"/>
          <w:spacing w:val="30"/>
        </w:rPr>
        <w:t xml:space="preserve"> </w:t>
      </w:r>
      <w:r>
        <w:rPr>
          <w:rFonts w:ascii="宋体" w:eastAsia="宋体" w:hAnsi="宋体" w:cs="宋体"/>
          <w:spacing w:val="2"/>
        </w:rPr>
        <w:t>在防止不良的胆固醇氧化对动脉血</w:t>
      </w:r>
      <w:r>
        <w:rPr>
          <w:rFonts w:ascii="宋体" w:eastAsia="宋体" w:hAnsi="宋体" w:cs="宋体"/>
        </w:rPr>
        <w:t xml:space="preserve"> </w:t>
      </w:r>
      <w:r>
        <w:rPr>
          <w:rFonts w:ascii="宋体" w:eastAsia="宋体" w:hAnsi="宋体" w:cs="宋体"/>
          <w:spacing w:val="-2"/>
        </w:rPr>
        <w:t>管的破坏方面要比维生素E</w:t>
      </w:r>
      <w:r>
        <w:rPr>
          <w:rFonts w:ascii="宋体" w:eastAsia="宋体" w:hAnsi="宋体" w:cs="宋体"/>
          <w:spacing w:val="-15"/>
        </w:rPr>
        <w:t xml:space="preserve"> </w:t>
      </w:r>
      <w:r>
        <w:rPr>
          <w:rFonts w:ascii="宋体" w:eastAsia="宋体" w:hAnsi="宋体" w:cs="宋体"/>
          <w:spacing w:val="-2"/>
        </w:rPr>
        <w:t>和β-胡萝卜素更加有效，大量的辅酶Qo</w:t>
      </w:r>
      <w:r>
        <w:rPr>
          <w:rFonts w:ascii="宋体" w:eastAsia="宋体" w:hAnsi="宋体" w:cs="宋体"/>
          <w:spacing w:val="11"/>
        </w:rPr>
        <w:t xml:space="preserve"> </w:t>
      </w:r>
      <w:r>
        <w:rPr>
          <w:rFonts w:ascii="宋体" w:eastAsia="宋体" w:hAnsi="宋体" w:cs="宋体"/>
          <w:spacing w:val="-2"/>
        </w:rPr>
        <w:t>对防</w:t>
      </w:r>
      <w:r>
        <w:rPr>
          <w:rFonts w:ascii="宋体" w:eastAsia="宋体" w:hAnsi="宋体" w:cs="宋体"/>
          <w:spacing w:val="-3"/>
        </w:rPr>
        <w:t>止动脉</w:t>
      </w:r>
      <w:r>
        <w:rPr>
          <w:rFonts w:ascii="宋体" w:eastAsia="宋体" w:hAnsi="宋体" w:cs="宋体"/>
        </w:rPr>
        <w:t xml:space="preserve"> </w:t>
      </w:r>
      <w:r>
        <w:rPr>
          <w:rFonts w:ascii="宋体" w:eastAsia="宋体" w:hAnsi="宋体" w:cs="宋体"/>
          <w:spacing w:val="3"/>
        </w:rPr>
        <w:t>栓塞非常重要。而得克萨斯州心脏病专家还认为辅酶Q</w:t>
      </w:r>
      <w:r>
        <w:rPr>
          <w:rFonts w:ascii="宋体" w:eastAsia="宋体" w:hAnsi="宋体" w:cs="宋体"/>
          <w:spacing w:val="18"/>
        </w:rPr>
        <w:t xml:space="preserve"> </w:t>
      </w:r>
      <w:r>
        <w:rPr>
          <w:rFonts w:ascii="宋体" w:eastAsia="宋体" w:hAnsi="宋体" w:cs="宋体"/>
          <w:spacing w:val="3"/>
        </w:rPr>
        <w:t>对预防可控制高血压具</w:t>
      </w:r>
      <w:r>
        <w:rPr>
          <w:rFonts w:ascii="宋体" w:eastAsia="宋体" w:hAnsi="宋体" w:cs="宋体"/>
        </w:rPr>
        <w:t xml:space="preserve"> </w:t>
      </w:r>
      <w:r>
        <w:rPr>
          <w:rFonts w:ascii="宋体" w:eastAsia="宋体" w:hAnsi="宋体" w:cs="宋体"/>
          <w:spacing w:val="8"/>
        </w:rPr>
        <w:t>有重要作用，他们给109名高血压患者每天服用255</w:t>
      </w:r>
      <w:r>
        <w:rPr>
          <w:rFonts w:ascii="宋体" w:eastAsia="宋体" w:hAnsi="宋体" w:cs="宋体"/>
        </w:rPr>
        <w:t>mg</w:t>
      </w:r>
      <w:r>
        <w:rPr>
          <w:rFonts w:ascii="宋体" w:eastAsia="宋体" w:hAnsi="宋体" w:cs="宋体"/>
          <w:spacing w:val="23"/>
        </w:rPr>
        <w:t xml:space="preserve"> </w:t>
      </w:r>
      <w:r>
        <w:rPr>
          <w:rFonts w:ascii="宋体" w:eastAsia="宋体" w:hAnsi="宋体" w:cs="宋体"/>
          <w:spacing w:val="8"/>
        </w:rPr>
        <w:t>辅酶Q</w:t>
      </w:r>
      <w:r>
        <w:rPr>
          <w:rFonts w:ascii="宋体" w:eastAsia="宋体" w:hAnsi="宋体" w:cs="宋体"/>
          <w:spacing w:val="17"/>
        </w:rPr>
        <w:t xml:space="preserve"> </w:t>
      </w:r>
      <w:r>
        <w:rPr>
          <w:rFonts w:ascii="宋体" w:eastAsia="宋体" w:hAnsi="宋体" w:cs="宋体"/>
          <w:spacing w:val="8"/>
        </w:rPr>
        <w:t>后，85%的人血</w:t>
      </w:r>
      <w:r>
        <w:rPr>
          <w:rFonts w:ascii="宋体" w:eastAsia="宋体" w:hAnsi="宋体" w:cs="宋体"/>
        </w:rPr>
        <w:t xml:space="preserve"> </w:t>
      </w:r>
      <w:r>
        <w:rPr>
          <w:rFonts w:ascii="宋体" w:eastAsia="宋体" w:hAnsi="宋体" w:cs="宋体"/>
          <w:spacing w:val="9"/>
        </w:rPr>
        <w:t>压下降，51%的患者可完全停止服用1～3种降压药，而25%的人可完全</w:t>
      </w:r>
      <w:r>
        <w:rPr>
          <w:rFonts w:ascii="宋体" w:eastAsia="宋体" w:hAnsi="宋体" w:cs="宋体"/>
          <w:spacing w:val="8"/>
        </w:rPr>
        <w:t>依靠辅</w:t>
      </w:r>
      <w:r>
        <w:rPr>
          <w:rFonts w:ascii="宋体" w:eastAsia="宋体" w:hAnsi="宋体" w:cs="宋体"/>
        </w:rPr>
        <w:t xml:space="preserve"> </w:t>
      </w:r>
      <w:r>
        <w:rPr>
          <w:rFonts w:ascii="宋体" w:eastAsia="宋体" w:hAnsi="宋体" w:cs="宋体"/>
          <w:spacing w:val="3"/>
        </w:rPr>
        <w:t>酶</w:t>
      </w:r>
      <w:r>
        <w:rPr>
          <w:rFonts w:ascii="宋体" w:eastAsia="宋体" w:hAnsi="宋体" w:cs="宋体"/>
          <w:spacing w:val="-46"/>
        </w:rPr>
        <w:t xml:space="preserve"> </w:t>
      </w:r>
      <w:r>
        <w:rPr>
          <w:rFonts w:ascii="宋体" w:eastAsia="宋体" w:hAnsi="宋体" w:cs="宋体"/>
          <w:spacing w:val="3"/>
        </w:rPr>
        <w:t>Q</w:t>
      </w:r>
      <w:r>
        <w:rPr>
          <w:rFonts w:ascii="宋体" w:eastAsia="宋体" w:hAnsi="宋体" w:cs="宋体"/>
          <w:spacing w:val="-4"/>
        </w:rPr>
        <w:t xml:space="preserve"> </w:t>
      </w:r>
      <w:r>
        <w:rPr>
          <w:rFonts w:ascii="宋体" w:eastAsia="宋体" w:hAnsi="宋体" w:cs="宋体"/>
          <w:spacing w:val="3"/>
        </w:rPr>
        <w:t>来控制血压。辅酶Q</w:t>
      </w:r>
      <w:r>
        <w:rPr>
          <w:rFonts w:ascii="宋体" w:eastAsia="宋体" w:hAnsi="宋体" w:cs="宋体"/>
          <w:spacing w:val="17"/>
        </w:rPr>
        <w:t xml:space="preserve"> </w:t>
      </w:r>
      <w:r>
        <w:rPr>
          <w:rFonts w:ascii="宋体" w:eastAsia="宋体" w:hAnsi="宋体" w:cs="宋体"/>
          <w:spacing w:val="3"/>
        </w:rPr>
        <w:t>可刺激免疫功能和治疗免疫缺乏，可有效地促进</w:t>
      </w:r>
      <w:r>
        <w:rPr>
          <w:rFonts w:ascii="宋体" w:eastAsia="宋体" w:hAnsi="宋体" w:cs="宋体"/>
        </w:rPr>
        <w:t xml:space="preserve">lgG </w:t>
      </w:r>
      <w:r>
        <w:rPr>
          <w:rFonts w:ascii="宋体" w:eastAsia="宋体" w:hAnsi="宋体" w:cs="宋体"/>
          <w:spacing w:val="1"/>
        </w:rPr>
        <w:t>抗体的生成，如每天口服60</w:t>
      </w:r>
      <w:r>
        <w:rPr>
          <w:rFonts w:ascii="宋体" w:eastAsia="宋体" w:hAnsi="宋体" w:cs="宋体"/>
        </w:rPr>
        <w:t>mg</w:t>
      </w:r>
      <w:r>
        <w:rPr>
          <w:rFonts w:ascii="宋体" w:eastAsia="宋体" w:hAnsi="宋体" w:cs="宋体"/>
          <w:spacing w:val="-16"/>
        </w:rPr>
        <w:t xml:space="preserve"> </w:t>
      </w:r>
      <w:r>
        <w:rPr>
          <w:rFonts w:ascii="宋体" w:eastAsia="宋体" w:hAnsi="宋体" w:cs="宋体"/>
          <w:spacing w:val="1"/>
        </w:rPr>
        <w:t>辅酶Q,</w:t>
      </w:r>
      <w:r>
        <w:rPr>
          <w:rFonts w:ascii="宋体" w:eastAsia="宋体" w:hAnsi="宋体" w:cs="宋体"/>
          <w:spacing w:val="62"/>
        </w:rPr>
        <w:t xml:space="preserve"> </w:t>
      </w:r>
      <w:r>
        <w:rPr>
          <w:rFonts w:ascii="宋体" w:eastAsia="宋体" w:hAnsi="宋体" w:cs="宋体"/>
          <w:spacing w:val="1"/>
        </w:rPr>
        <w:t>该抗体有明显增加。</w:t>
      </w:r>
    </w:p>
    <w:p w:rsidR="00EA40A3" w:rsidRDefault="00E86C16">
      <w:pPr>
        <w:spacing w:before="144" w:line="234" w:lineRule="auto"/>
        <w:ind w:right="74" w:firstLine="420"/>
        <w:rPr>
          <w:rFonts w:ascii="宋体" w:eastAsia="宋体" w:hAnsi="宋体" w:cs="宋体"/>
        </w:rPr>
      </w:pPr>
      <w:r>
        <w:rPr>
          <w:rFonts w:ascii="宋体" w:eastAsia="宋体" w:hAnsi="宋体" w:cs="宋体"/>
          <w:spacing w:val="4"/>
        </w:rPr>
        <w:t>辅酶Q</w:t>
      </w:r>
      <w:r>
        <w:rPr>
          <w:rFonts w:ascii="宋体" w:eastAsia="宋体" w:hAnsi="宋体" w:cs="宋体"/>
          <w:spacing w:val="20"/>
        </w:rPr>
        <w:t xml:space="preserve"> </w:t>
      </w:r>
      <w:r>
        <w:rPr>
          <w:rFonts w:ascii="宋体" w:eastAsia="宋体" w:hAnsi="宋体" w:cs="宋体"/>
          <w:spacing w:val="4"/>
        </w:rPr>
        <w:t>还有减轻维生素E</w:t>
      </w:r>
      <w:r>
        <w:rPr>
          <w:rFonts w:ascii="宋体" w:eastAsia="宋体" w:hAnsi="宋体" w:cs="宋体"/>
          <w:spacing w:val="-24"/>
        </w:rPr>
        <w:t xml:space="preserve"> </w:t>
      </w:r>
      <w:r>
        <w:rPr>
          <w:rFonts w:ascii="宋体" w:eastAsia="宋体" w:hAnsi="宋体" w:cs="宋体"/>
          <w:spacing w:val="4"/>
        </w:rPr>
        <w:t>缺乏症的某些症状的作用，而维生素E</w:t>
      </w:r>
      <w:r>
        <w:rPr>
          <w:rFonts w:ascii="宋体" w:eastAsia="宋体" w:hAnsi="宋体" w:cs="宋体"/>
          <w:spacing w:val="-15"/>
        </w:rPr>
        <w:t xml:space="preserve"> </w:t>
      </w:r>
      <w:r>
        <w:rPr>
          <w:rFonts w:ascii="宋体" w:eastAsia="宋体" w:hAnsi="宋体" w:cs="宋体"/>
          <w:spacing w:val="4"/>
        </w:rPr>
        <w:t>和硒能使</w:t>
      </w:r>
      <w:r>
        <w:rPr>
          <w:rFonts w:ascii="宋体" w:eastAsia="宋体" w:hAnsi="宋体" w:cs="宋体"/>
        </w:rPr>
        <w:t xml:space="preserve"> </w:t>
      </w:r>
      <w:r>
        <w:rPr>
          <w:rFonts w:ascii="宋体" w:eastAsia="宋体" w:hAnsi="宋体" w:cs="宋体"/>
          <w:spacing w:val="5"/>
        </w:rPr>
        <w:t>机体组织中保持高浓度的辅酶Q,</w:t>
      </w:r>
      <w:r>
        <w:rPr>
          <w:rFonts w:ascii="宋体" w:eastAsia="宋体" w:hAnsi="宋体" w:cs="宋体"/>
          <w:spacing w:val="61"/>
        </w:rPr>
        <w:t xml:space="preserve"> </w:t>
      </w:r>
      <w:r>
        <w:rPr>
          <w:rFonts w:ascii="宋体" w:eastAsia="宋体" w:hAnsi="宋体" w:cs="宋体"/>
          <w:spacing w:val="5"/>
        </w:rPr>
        <w:t>辅酶Q</w:t>
      </w:r>
      <w:r>
        <w:rPr>
          <w:rFonts w:ascii="宋体" w:eastAsia="宋体" w:hAnsi="宋体" w:cs="宋体"/>
          <w:spacing w:val="6"/>
        </w:rPr>
        <w:t xml:space="preserve"> </w:t>
      </w:r>
      <w:r>
        <w:rPr>
          <w:rFonts w:ascii="宋体" w:eastAsia="宋体" w:hAnsi="宋体" w:cs="宋体"/>
          <w:spacing w:val="5"/>
        </w:rPr>
        <w:t>被认为</w:t>
      </w:r>
      <w:r>
        <w:rPr>
          <w:rFonts w:ascii="宋体" w:eastAsia="宋体" w:hAnsi="宋体" w:cs="宋体"/>
          <w:spacing w:val="4"/>
        </w:rPr>
        <w:t>是延缓细胞衰老进程中起重要</w:t>
      </w:r>
    </w:p>
    <w:p w:rsidR="00EA40A3" w:rsidRDefault="00E86C16">
      <w:pPr>
        <w:spacing w:before="47" w:line="219" w:lineRule="auto"/>
        <w:rPr>
          <w:rFonts w:ascii="宋体" w:eastAsia="宋体" w:hAnsi="宋体" w:cs="宋体"/>
        </w:rPr>
      </w:pPr>
      <w:r>
        <w:rPr>
          <w:rFonts w:ascii="宋体" w:eastAsia="宋体" w:hAnsi="宋体" w:cs="宋体"/>
          <w:spacing w:val="8"/>
        </w:rPr>
        <w:t>作用的物质。其中辅酶</w:t>
      </w:r>
      <w:r>
        <w:rPr>
          <w:rFonts w:ascii="宋体" w:eastAsia="宋体" w:hAnsi="宋体" w:cs="宋体"/>
        </w:rPr>
        <w:t>Qo</w:t>
      </w:r>
      <w:r>
        <w:rPr>
          <w:rFonts w:ascii="宋体" w:eastAsia="宋体" w:hAnsi="宋体" w:cs="宋体"/>
          <w:spacing w:val="8"/>
        </w:rPr>
        <w:t>(n=10)</w:t>
      </w:r>
      <w:r>
        <w:rPr>
          <w:rFonts w:ascii="宋体" w:eastAsia="宋体" w:hAnsi="宋体" w:cs="宋体"/>
          <w:spacing w:val="17"/>
        </w:rPr>
        <w:t xml:space="preserve">    </w:t>
      </w:r>
      <w:r>
        <w:rPr>
          <w:rFonts w:ascii="宋体" w:eastAsia="宋体" w:hAnsi="宋体" w:cs="宋体"/>
          <w:spacing w:val="8"/>
        </w:rPr>
        <w:t>在临床上用于治疗心脏病、高血压及癌</w:t>
      </w:r>
    </w:p>
    <w:p w:rsidR="00EA40A3" w:rsidRDefault="00E86C16">
      <w:pPr>
        <w:spacing w:before="40" w:line="219" w:lineRule="auto"/>
        <w:rPr>
          <w:rFonts w:ascii="宋体" w:eastAsia="宋体" w:hAnsi="宋体" w:cs="宋体"/>
        </w:rPr>
      </w:pPr>
      <w:r>
        <w:rPr>
          <w:rFonts w:ascii="宋体" w:eastAsia="宋体" w:hAnsi="宋体" w:cs="宋体"/>
          <w:spacing w:val="-9"/>
        </w:rPr>
        <w:t>症等。</w:t>
      </w:r>
    </w:p>
    <w:p w:rsidR="00EA40A3" w:rsidRDefault="00E86C16">
      <w:pPr>
        <w:spacing w:before="96" w:line="249" w:lineRule="auto"/>
        <w:ind w:right="20" w:firstLine="420"/>
        <w:jc w:val="both"/>
        <w:rPr>
          <w:rFonts w:ascii="宋体" w:eastAsia="宋体" w:hAnsi="宋体" w:cs="宋体"/>
        </w:rPr>
      </w:pPr>
      <w:r>
        <w:rPr>
          <w:rFonts w:ascii="宋体" w:eastAsia="宋体" w:hAnsi="宋体" w:cs="宋体"/>
          <w:spacing w:val="-2"/>
        </w:rPr>
        <w:t>人体可自身合成辅酶Q,</w:t>
      </w:r>
      <w:r>
        <w:rPr>
          <w:rFonts w:ascii="宋体" w:eastAsia="宋体" w:hAnsi="宋体" w:cs="宋体"/>
          <w:spacing w:val="62"/>
        </w:rPr>
        <w:t xml:space="preserve"> </w:t>
      </w:r>
      <w:r>
        <w:rPr>
          <w:rFonts w:ascii="宋体" w:eastAsia="宋体" w:hAnsi="宋体" w:cs="宋体"/>
          <w:spacing w:val="-2"/>
        </w:rPr>
        <w:t>但人体产生辅酶</w:t>
      </w:r>
      <w:r>
        <w:rPr>
          <w:rFonts w:ascii="宋体" w:eastAsia="宋体" w:hAnsi="宋体" w:cs="宋体"/>
          <w:spacing w:val="-59"/>
        </w:rPr>
        <w:t xml:space="preserve"> </w:t>
      </w:r>
      <w:r>
        <w:rPr>
          <w:rFonts w:ascii="宋体" w:eastAsia="宋体" w:hAnsi="宋体" w:cs="宋体"/>
          <w:spacing w:val="-2"/>
        </w:rPr>
        <w:t>Q</w:t>
      </w:r>
      <w:r>
        <w:rPr>
          <w:rFonts w:ascii="宋体" w:eastAsia="宋体" w:hAnsi="宋体" w:cs="宋体"/>
          <w:spacing w:val="27"/>
        </w:rPr>
        <w:t xml:space="preserve"> </w:t>
      </w:r>
      <w:r>
        <w:rPr>
          <w:rFonts w:ascii="宋体" w:eastAsia="宋体" w:hAnsi="宋体" w:cs="宋体"/>
          <w:spacing w:val="-2"/>
        </w:rPr>
        <w:t>的功能随年龄增加而合成减少，</w:t>
      </w:r>
      <w:r>
        <w:rPr>
          <w:rFonts w:ascii="宋体" w:eastAsia="宋体" w:hAnsi="宋体" w:cs="宋体"/>
        </w:rPr>
        <w:t xml:space="preserve"> </w:t>
      </w:r>
      <w:r>
        <w:rPr>
          <w:rFonts w:ascii="宋体" w:eastAsia="宋体" w:hAnsi="宋体" w:cs="宋体"/>
          <w:spacing w:val="3"/>
        </w:rPr>
        <w:t>在20岁后开始下降，中年时达严重缺乏状态。有研究表明，50岁后大量出现的</w:t>
      </w:r>
      <w:r>
        <w:rPr>
          <w:rFonts w:ascii="宋体" w:eastAsia="宋体" w:hAnsi="宋体" w:cs="宋体"/>
          <w:spacing w:val="17"/>
        </w:rPr>
        <w:t xml:space="preserve"> </w:t>
      </w:r>
      <w:r>
        <w:rPr>
          <w:rFonts w:ascii="宋体" w:eastAsia="宋体" w:hAnsi="宋体" w:cs="宋体"/>
          <w:spacing w:val="2"/>
        </w:rPr>
        <w:t>心脏退化和许多疾病与体内辅酶Q</w:t>
      </w:r>
      <w:r>
        <w:rPr>
          <w:rFonts w:ascii="宋体" w:eastAsia="宋体" w:hAnsi="宋体" w:cs="宋体"/>
          <w:spacing w:val="25"/>
        </w:rPr>
        <w:t xml:space="preserve"> </w:t>
      </w:r>
      <w:r>
        <w:rPr>
          <w:rFonts w:ascii="宋体" w:eastAsia="宋体" w:hAnsi="宋体" w:cs="宋体"/>
          <w:spacing w:val="2"/>
        </w:rPr>
        <w:t>的下降有关，即当身体需要辅酶Q</w:t>
      </w:r>
      <w:r>
        <w:rPr>
          <w:rFonts w:ascii="宋体" w:eastAsia="宋体" w:hAnsi="宋体" w:cs="宋体"/>
          <w:spacing w:val="6"/>
        </w:rPr>
        <w:t xml:space="preserve"> </w:t>
      </w:r>
      <w:r>
        <w:rPr>
          <w:rFonts w:ascii="宋体" w:eastAsia="宋体" w:hAnsi="宋体" w:cs="宋体"/>
          <w:spacing w:val="2"/>
        </w:rPr>
        <w:t>来抵抗衰</w:t>
      </w:r>
      <w:r>
        <w:rPr>
          <w:rFonts w:ascii="宋体" w:eastAsia="宋体" w:hAnsi="宋体" w:cs="宋体"/>
        </w:rPr>
        <w:t xml:space="preserve"> </w:t>
      </w:r>
      <w:r>
        <w:rPr>
          <w:rFonts w:ascii="宋体" w:eastAsia="宋体" w:hAnsi="宋体" w:cs="宋体"/>
          <w:spacing w:val="3"/>
        </w:rPr>
        <w:t>老的时候，反而减少了。所以要阻止衰老的进程就需补充辅酶Q</w:t>
      </w:r>
      <w:r>
        <w:rPr>
          <w:rFonts w:ascii="宋体" w:eastAsia="宋体" w:hAnsi="宋体" w:cs="宋体"/>
          <w:spacing w:val="16"/>
        </w:rPr>
        <w:t xml:space="preserve"> </w:t>
      </w:r>
      <w:r>
        <w:rPr>
          <w:rFonts w:ascii="宋体" w:eastAsia="宋体" w:hAnsi="宋体" w:cs="宋体"/>
          <w:spacing w:val="3"/>
        </w:rPr>
        <w:t>或可促进其生</w:t>
      </w:r>
      <w:r>
        <w:rPr>
          <w:rFonts w:ascii="宋体" w:eastAsia="宋体" w:hAnsi="宋体" w:cs="宋体"/>
        </w:rPr>
        <w:t xml:space="preserve"> </w:t>
      </w:r>
      <w:r>
        <w:rPr>
          <w:rFonts w:ascii="宋体" w:eastAsia="宋体" w:hAnsi="宋体" w:cs="宋体"/>
          <w:spacing w:val="-7"/>
        </w:rPr>
        <w:t>成的物质。</w:t>
      </w:r>
    </w:p>
    <w:p w:rsidR="00EA40A3" w:rsidRDefault="00E86C16">
      <w:pPr>
        <w:spacing w:before="225" w:line="221" w:lineRule="auto"/>
        <w:ind w:left="3"/>
        <w:outlineLvl w:val="6"/>
        <w:rPr>
          <w:rFonts w:ascii="黑体" w:eastAsia="黑体" w:hAnsi="黑体" w:cs="黑体"/>
          <w:sz w:val="25"/>
          <w:szCs w:val="25"/>
        </w:rPr>
      </w:pPr>
      <w:r>
        <w:rPr>
          <w:rFonts w:ascii="黑体" w:eastAsia="黑体" w:hAnsi="黑体" w:cs="黑体"/>
          <w:b/>
          <w:bCs/>
          <w:spacing w:val="-7"/>
          <w:sz w:val="25"/>
          <w:szCs w:val="25"/>
        </w:rPr>
        <w:t>5.11.2</w:t>
      </w:r>
      <w:r>
        <w:rPr>
          <w:rFonts w:ascii="黑体" w:eastAsia="黑体" w:hAnsi="黑体" w:cs="黑体"/>
          <w:spacing w:val="97"/>
          <w:sz w:val="25"/>
          <w:szCs w:val="25"/>
        </w:rPr>
        <w:t xml:space="preserve"> </w:t>
      </w:r>
      <w:r>
        <w:rPr>
          <w:rFonts w:ascii="黑体" w:eastAsia="黑体" w:hAnsi="黑体" w:cs="黑体"/>
          <w:b/>
          <w:bCs/>
          <w:spacing w:val="-7"/>
          <w:sz w:val="25"/>
          <w:szCs w:val="25"/>
        </w:rPr>
        <w:t>辅酶Q</w:t>
      </w:r>
      <w:r>
        <w:rPr>
          <w:rFonts w:ascii="黑体" w:eastAsia="黑体" w:hAnsi="黑体" w:cs="黑体"/>
          <w:spacing w:val="-3"/>
          <w:sz w:val="25"/>
          <w:szCs w:val="25"/>
        </w:rPr>
        <w:t xml:space="preserve"> </w:t>
      </w:r>
      <w:r>
        <w:rPr>
          <w:rFonts w:ascii="黑体" w:eastAsia="黑体" w:hAnsi="黑体" w:cs="黑体"/>
          <w:b/>
          <w:bCs/>
          <w:spacing w:val="-7"/>
          <w:sz w:val="25"/>
          <w:szCs w:val="25"/>
        </w:rPr>
        <w:t>的食物来源</w:t>
      </w:r>
    </w:p>
    <w:p w:rsidR="00EA40A3" w:rsidRDefault="00E86C16">
      <w:pPr>
        <w:spacing w:before="209" w:line="239" w:lineRule="auto"/>
        <w:ind w:right="71" w:firstLine="420"/>
        <w:rPr>
          <w:rFonts w:ascii="仿宋" w:eastAsia="仿宋" w:hAnsi="仿宋" w:cs="仿宋"/>
        </w:rPr>
      </w:pPr>
      <w:r>
        <w:rPr>
          <w:rFonts w:ascii="仿宋" w:eastAsia="仿宋" w:hAnsi="仿宋" w:cs="仿宋"/>
          <w:spacing w:val="4"/>
        </w:rPr>
        <w:t>辅酶Q</w:t>
      </w:r>
      <w:r>
        <w:rPr>
          <w:rFonts w:ascii="仿宋" w:eastAsia="仿宋" w:hAnsi="仿宋" w:cs="仿宋"/>
          <w:spacing w:val="5"/>
        </w:rPr>
        <w:t xml:space="preserve"> </w:t>
      </w:r>
      <w:r>
        <w:rPr>
          <w:rFonts w:ascii="仿宋" w:eastAsia="仿宋" w:hAnsi="仿宋" w:cs="仿宋"/>
          <w:spacing w:val="4"/>
        </w:rPr>
        <w:t>类化合物广泛存在于微生物、高等植物和动</w:t>
      </w:r>
      <w:r>
        <w:rPr>
          <w:rFonts w:ascii="仿宋" w:eastAsia="仿宋" w:hAnsi="仿宋" w:cs="仿宋"/>
          <w:spacing w:val="3"/>
        </w:rPr>
        <w:t>物中。其中以大豆、植</w:t>
      </w:r>
      <w:r>
        <w:rPr>
          <w:rFonts w:ascii="仿宋" w:eastAsia="仿宋" w:hAnsi="仿宋" w:cs="仿宋"/>
        </w:rPr>
        <w:t xml:space="preserve"> </w:t>
      </w:r>
      <w:r>
        <w:rPr>
          <w:rFonts w:ascii="仿宋" w:eastAsia="仿宋" w:hAnsi="仿宋" w:cs="仿宋"/>
          <w:spacing w:val="1"/>
        </w:rPr>
        <w:t>物油及许多动物组织的含量较高。鱼类尤其是鱼油中</w:t>
      </w:r>
      <w:r>
        <w:rPr>
          <w:rFonts w:ascii="仿宋" w:eastAsia="仿宋" w:hAnsi="仿宋" w:cs="仿宋"/>
        </w:rPr>
        <w:t>有丰富的辅酶Qo,</w:t>
      </w:r>
      <w:r>
        <w:rPr>
          <w:rFonts w:ascii="仿宋" w:eastAsia="仿宋" w:hAnsi="仿宋" w:cs="仿宋"/>
          <w:spacing w:val="95"/>
        </w:rPr>
        <w:t xml:space="preserve"> </w:t>
      </w:r>
      <w:r>
        <w:rPr>
          <w:rFonts w:ascii="仿宋" w:eastAsia="仿宋" w:hAnsi="仿宋" w:cs="仿宋"/>
        </w:rPr>
        <w:t>其他如</w:t>
      </w:r>
    </w:p>
    <w:p w:rsidR="00EA40A3" w:rsidRDefault="00E86C16">
      <w:pPr>
        <w:spacing w:before="67"/>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174</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footerReference w:type="default" r:id="rId157"/>
          <w:pgSz w:w="9220" w:h="13360"/>
          <w:pgMar w:top="400" w:right="1074" w:bottom="400" w:left="809" w:header="0" w:footer="0" w:gutter="0"/>
          <w:cols w:space="720"/>
        </w:sectPr>
      </w:pPr>
    </w:p>
    <w:p w:rsidR="00EA40A3" w:rsidRDefault="00EA40A3">
      <w:pPr>
        <w:spacing w:line="303" w:lineRule="auto"/>
      </w:pPr>
    </w:p>
    <w:p w:rsidR="00EA40A3" w:rsidRDefault="00EA40A3">
      <w:pPr>
        <w:spacing w:line="303" w:lineRule="auto"/>
      </w:pPr>
    </w:p>
    <w:p w:rsidR="00EA40A3" w:rsidRDefault="00E86C16">
      <w:pPr>
        <w:spacing w:before="71" w:line="246" w:lineRule="auto"/>
        <w:jc w:val="both"/>
        <w:rPr>
          <w:rFonts w:ascii="宋体" w:eastAsia="宋体" w:hAnsi="宋体" w:cs="宋体"/>
          <w:sz w:val="22"/>
          <w:szCs w:val="22"/>
        </w:rPr>
      </w:pPr>
      <w:r>
        <w:rPr>
          <w:rFonts w:ascii="宋体" w:eastAsia="宋体" w:hAnsi="宋体" w:cs="宋体"/>
          <w:spacing w:val="-13"/>
          <w:sz w:val="22"/>
          <w:szCs w:val="22"/>
        </w:rPr>
        <w:t>动物的肝脏、心脏、肾脏及牛肉、豆油和花生中也含有较多的辅酶Q。</w:t>
      </w:r>
      <w:r>
        <w:rPr>
          <w:rFonts w:ascii="宋体" w:eastAsia="宋体" w:hAnsi="宋体" w:cs="宋体"/>
          <w:spacing w:val="4"/>
          <w:sz w:val="22"/>
          <w:szCs w:val="22"/>
        </w:rPr>
        <w:t xml:space="preserve"> </w:t>
      </w:r>
      <w:r>
        <w:rPr>
          <w:rFonts w:ascii="宋体" w:eastAsia="宋体" w:hAnsi="宋体" w:cs="宋体"/>
          <w:spacing w:val="-13"/>
          <w:sz w:val="22"/>
          <w:szCs w:val="22"/>
        </w:rPr>
        <w:t>目前还有</w:t>
      </w:r>
      <w:r>
        <w:rPr>
          <w:rFonts w:ascii="宋体" w:eastAsia="宋体" w:hAnsi="宋体" w:cs="宋体"/>
          <w:sz w:val="22"/>
          <w:szCs w:val="22"/>
        </w:rPr>
        <w:t xml:space="preserve">  </w:t>
      </w:r>
      <w:r>
        <w:rPr>
          <w:rFonts w:ascii="宋体" w:eastAsia="宋体" w:hAnsi="宋体" w:cs="宋体"/>
          <w:spacing w:val="-6"/>
          <w:sz w:val="22"/>
          <w:szCs w:val="22"/>
        </w:rPr>
        <w:t>提纯的辅酶Qo。</w:t>
      </w:r>
      <w:r>
        <w:rPr>
          <w:rFonts w:ascii="宋体" w:eastAsia="宋体" w:hAnsi="宋体" w:cs="宋体"/>
          <w:spacing w:val="24"/>
          <w:sz w:val="22"/>
          <w:szCs w:val="22"/>
        </w:rPr>
        <w:t xml:space="preserve"> </w:t>
      </w:r>
      <w:r>
        <w:rPr>
          <w:rFonts w:ascii="宋体" w:eastAsia="宋体" w:hAnsi="宋体" w:cs="宋体"/>
          <w:spacing w:val="-6"/>
          <w:sz w:val="22"/>
          <w:szCs w:val="22"/>
        </w:rPr>
        <w:t>对于50岁以上成人补充30mg/d</w:t>
      </w:r>
      <w:r>
        <w:rPr>
          <w:rFonts w:ascii="宋体" w:eastAsia="宋体" w:hAnsi="宋体" w:cs="宋体"/>
          <w:spacing w:val="-18"/>
          <w:sz w:val="22"/>
          <w:szCs w:val="22"/>
        </w:rPr>
        <w:t xml:space="preserve"> </w:t>
      </w:r>
      <w:r>
        <w:rPr>
          <w:rFonts w:ascii="宋体" w:eastAsia="宋体" w:hAnsi="宋体" w:cs="宋体"/>
          <w:spacing w:val="-6"/>
          <w:sz w:val="22"/>
          <w:szCs w:val="22"/>
        </w:rPr>
        <w:t>足以达到</w:t>
      </w:r>
      <w:r>
        <w:rPr>
          <w:rFonts w:ascii="宋体" w:eastAsia="宋体" w:hAnsi="宋体" w:cs="宋体"/>
          <w:spacing w:val="-7"/>
          <w:sz w:val="22"/>
          <w:szCs w:val="22"/>
        </w:rPr>
        <w:t>抗衰老的目的，如有</w:t>
      </w:r>
      <w:r>
        <w:rPr>
          <w:rFonts w:ascii="宋体" w:eastAsia="宋体" w:hAnsi="宋体" w:cs="宋体"/>
          <w:sz w:val="22"/>
          <w:szCs w:val="22"/>
        </w:rPr>
        <w:t xml:space="preserve">  </w:t>
      </w:r>
      <w:r>
        <w:rPr>
          <w:rFonts w:ascii="宋体" w:eastAsia="宋体" w:hAnsi="宋体" w:cs="宋体"/>
          <w:spacing w:val="-4"/>
          <w:sz w:val="22"/>
          <w:szCs w:val="22"/>
        </w:rPr>
        <w:t>慢性病的老人则可服50～150mg。</w:t>
      </w:r>
      <w:r>
        <w:rPr>
          <w:rFonts w:ascii="宋体" w:eastAsia="宋体" w:hAnsi="宋体" w:cs="宋体"/>
          <w:spacing w:val="16"/>
          <w:sz w:val="22"/>
          <w:szCs w:val="22"/>
        </w:rPr>
        <w:t xml:space="preserve"> </w:t>
      </w:r>
      <w:r>
        <w:rPr>
          <w:rFonts w:ascii="宋体" w:eastAsia="宋体" w:hAnsi="宋体" w:cs="宋体"/>
          <w:spacing w:val="-4"/>
          <w:sz w:val="22"/>
          <w:szCs w:val="22"/>
        </w:rPr>
        <w:t>由于其为脂溶性，服用时要有脂肪的配合，</w:t>
      </w:r>
      <w:r>
        <w:rPr>
          <w:rFonts w:ascii="宋体" w:eastAsia="宋体" w:hAnsi="宋体" w:cs="宋体"/>
          <w:sz w:val="22"/>
          <w:szCs w:val="22"/>
        </w:rPr>
        <w:t xml:space="preserve"> </w:t>
      </w:r>
      <w:r>
        <w:rPr>
          <w:rFonts w:ascii="宋体" w:eastAsia="宋体" w:hAnsi="宋体" w:cs="宋体"/>
          <w:spacing w:val="-7"/>
          <w:sz w:val="22"/>
          <w:szCs w:val="22"/>
        </w:rPr>
        <w:t>如同时服用维生素E</w:t>
      </w:r>
      <w:r>
        <w:rPr>
          <w:rFonts w:ascii="宋体" w:eastAsia="宋体" w:hAnsi="宋体" w:cs="宋体"/>
          <w:spacing w:val="-25"/>
          <w:sz w:val="22"/>
          <w:szCs w:val="22"/>
        </w:rPr>
        <w:t xml:space="preserve"> </w:t>
      </w:r>
      <w:r>
        <w:rPr>
          <w:rFonts w:ascii="宋体" w:eastAsia="宋体" w:hAnsi="宋体" w:cs="宋体"/>
          <w:spacing w:val="-7"/>
          <w:sz w:val="22"/>
          <w:szCs w:val="22"/>
        </w:rPr>
        <w:t>可促进辅酶Q</w:t>
      </w:r>
      <w:r>
        <w:rPr>
          <w:rFonts w:ascii="宋体" w:eastAsia="宋体" w:hAnsi="宋体" w:cs="宋体"/>
          <w:spacing w:val="6"/>
          <w:sz w:val="22"/>
          <w:szCs w:val="22"/>
        </w:rPr>
        <w:t xml:space="preserve"> </w:t>
      </w:r>
      <w:r>
        <w:rPr>
          <w:rFonts w:ascii="宋体" w:eastAsia="宋体" w:hAnsi="宋体" w:cs="宋体"/>
          <w:spacing w:val="-7"/>
          <w:sz w:val="22"/>
          <w:szCs w:val="22"/>
        </w:rPr>
        <w:t>的生成。有试验表明</w:t>
      </w:r>
      <w:r>
        <w:rPr>
          <w:rFonts w:ascii="宋体" w:eastAsia="宋体" w:hAnsi="宋体" w:cs="宋体"/>
          <w:spacing w:val="-8"/>
          <w:sz w:val="22"/>
          <w:szCs w:val="22"/>
        </w:rPr>
        <w:t>，服用维生素</w:t>
      </w:r>
      <w:r>
        <w:rPr>
          <w:rFonts w:ascii="宋体" w:eastAsia="宋体" w:hAnsi="宋体" w:cs="宋体"/>
          <w:spacing w:val="-60"/>
          <w:sz w:val="22"/>
          <w:szCs w:val="22"/>
        </w:rPr>
        <w:t xml:space="preserve"> </w:t>
      </w:r>
      <w:r>
        <w:rPr>
          <w:rFonts w:ascii="宋体" w:eastAsia="宋体" w:hAnsi="宋体" w:cs="宋体"/>
          <w:spacing w:val="-8"/>
          <w:sz w:val="22"/>
          <w:szCs w:val="22"/>
        </w:rPr>
        <w:t>E</w:t>
      </w:r>
      <w:r>
        <w:rPr>
          <w:rFonts w:ascii="宋体" w:eastAsia="宋体" w:hAnsi="宋体" w:cs="宋体"/>
          <w:spacing w:val="-14"/>
          <w:sz w:val="22"/>
          <w:szCs w:val="22"/>
        </w:rPr>
        <w:t xml:space="preserve"> </w:t>
      </w:r>
      <w:r>
        <w:rPr>
          <w:rFonts w:ascii="宋体" w:eastAsia="宋体" w:hAnsi="宋体" w:cs="宋体"/>
          <w:spacing w:val="-8"/>
          <w:sz w:val="22"/>
          <w:szCs w:val="22"/>
        </w:rPr>
        <w:t>的动物</w:t>
      </w:r>
      <w:r>
        <w:rPr>
          <w:rFonts w:ascii="宋体" w:eastAsia="宋体" w:hAnsi="宋体" w:cs="宋体"/>
          <w:sz w:val="22"/>
          <w:szCs w:val="22"/>
        </w:rPr>
        <w:t xml:space="preserve">  </w:t>
      </w:r>
      <w:r>
        <w:rPr>
          <w:rFonts w:ascii="宋体" w:eastAsia="宋体" w:hAnsi="宋体" w:cs="宋体"/>
          <w:spacing w:val="-2"/>
          <w:sz w:val="22"/>
          <w:szCs w:val="22"/>
        </w:rPr>
        <w:t>其肝脏中辅酶Q</w:t>
      </w:r>
      <w:r>
        <w:rPr>
          <w:rFonts w:ascii="宋体" w:eastAsia="宋体" w:hAnsi="宋体" w:cs="宋体"/>
          <w:spacing w:val="6"/>
          <w:sz w:val="22"/>
          <w:szCs w:val="22"/>
        </w:rPr>
        <w:t xml:space="preserve"> </w:t>
      </w:r>
      <w:r>
        <w:rPr>
          <w:rFonts w:ascii="宋体" w:eastAsia="宋体" w:hAnsi="宋体" w:cs="宋体"/>
          <w:spacing w:val="-2"/>
          <w:sz w:val="22"/>
          <w:szCs w:val="22"/>
        </w:rPr>
        <w:t>的含量可提高30%。微量元素硒及维生素</w:t>
      </w:r>
      <w:r>
        <w:rPr>
          <w:rFonts w:ascii="宋体" w:eastAsia="宋体" w:hAnsi="宋体" w:cs="宋体"/>
          <w:spacing w:val="-60"/>
          <w:sz w:val="22"/>
          <w:szCs w:val="22"/>
        </w:rPr>
        <w:t xml:space="preserve"> </w:t>
      </w:r>
      <w:r>
        <w:rPr>
          <w:rFonts w:ascii="宋体" w:eastAsia="宋体" w:hAnsi="宋体" w:cs="宋体"/>
          <w:spacing w:val="-2"/>
          <w:sz w:val="22"/>
          <w:szCs w:val="22"/>
        </w:rPr>
        <w:t>B</w:t>
      </w:r>
      <w:r>
        <w:rPr>
          <w:rFonts w:ascii="Calibri" w:eastAsia="Calibri" w:hAnsi="Calibri" w:cs="Calibri"/>
          <w:spacing w:val="-2"/>
          <w:sz w:val="22"/>
          <w:szCs w:val="22"/>
        </w:rPr>
        <w:t>₂</w:t>
      </w:r>
      <w:r>
        <w:rPr>
          <w:rFonts w:ascii="Calibri" w:eastAsia="Calibri" w:hAnsi="Calibri" w:cs="Calibri"/>
          <w:spacing w:val="-26"/>
          <w:sz w:val="22"/>
          <w:szCs w:val="22"/>
        </w:rPr>
        <w:t xml:space="preserve"> </w:t>
      </w:r>
      <w:r>
        <w:rPr>
          <w:rFonts w:ascii="宋体" w:eastAsia="宋体" w:hAnsi="宋体" w:cs="宋体"/>
          <w:spacing w:val="-2"/>
          <w:sz w:val="22"/>
          <w:szCs w:val="22"/>
        </w:rPr>
        <w:t>、B、B</w:t>
      </w:r>
      <w:r>
        <w:rPr>
          <w:rFonts w:ascii="Calibri" w:eastAsia="Calibri" w:hAnsi="Calibri" w:cs="Calibri"/>
          <w:spacing w:val="-2"/>
          <w:sz w:val="22"/>
          <w:szCs w:val="22"/>
        </w:rPr>
        <w:t>₁</w:t>
      </w:r>
      <w:r>
        <w:rPr>
          <w:rFonts w:ascii="Calibri" w:eastAsia="Calibri" w:hAnsi="Calibri" w:cs="Calibri"/>
          <w:spacing w:val="-25"/>
          <w:sz w:val="22"/>
          <w:szCs w:val="22"/>
        </w:rPr>
        <w:t xml:space="preserve"> </w:t>
      </w:r>
      <w:r>
        <w:rPr>
          <w:rFonts w:ascii="宋体" w:eastAsia="宋体" w:hAnsi="宋体" w:cs="宋体"/>
          <w:spacing w:val="-3"/>
          <w:sz w:val="22"/>
          <w:szCs w:val="22"/>
        </w:rPr>
        <w:t>、</w:t>
      </w:r>
      <w:r>
        <w:rPr>
          <w:rFonts w:ascii="宋体" w:eastAsia="宋体" w:hAnsi="宋体" w:cs="宋体"/>
          <w:spacing w:val="-2"/>
          <w:sz w:val="22"/>
          <w:szCs w:val="22"/>
        </w:rPr>
        <w:t>Br</w:t>
      </w:r>
      <w:r>
        <w:rPr>
          <w:rFonts w:ascii="Calibri" w:eastAsia="Calibri" w:hAnsi="Calibri" w:cs="Calibri"/>
          <w:spacing w:val="-3"/>
          <w:sz w:val="22"/>
          <w:szCs w:val="22"/>
        </w:rPr>
        <w:t>₂</w:t>
      </w:r>
      <w:r>
        <w:rPr>
          <w:rFonts w:ascii="Calibri" w:eastAsia="Calibri" w:hAnsi="Calibri" w:cs="Calibri"/>
          <w:spacing w:val="3"/>
          <w:sz w:val="22"/>
          <w:szCs w:val="22"/>
        </w:rPr>
        <w:t xml:space="preserve">    </w:t>
      </w:r>
      <w:r>
        <w:rPr>
          <w:rFonts w:ascii="宋体" w:eastAsia="宋体" w:hAnsi="宋体" w:cs="宋体"/>
          <w:spacing w:val="-3"/>
          <w:sz w:val="22"/>
          <w:szCs w:val="22"/>
        </w:rPr>
        <w:t>和</w:t>
      </w:r>
      <w:r>
        <w:rPr>
          <w:rFonts w:ascii="宋体" w:eastAsia="宋体" w:hAnsi="宋体" w:cs="宋体"/>
          <w:spacing w:val="1"/>
          <w:sz w:val="22"/>
          <w:szCs w:val="22"/>
        </w:rPr>
        <w:t xml:space="preserve"> </w:t>
      </w:r>
      <w:r>
        <w:rPr>
          <w:rFonts w:ascii="宋体" w:eastAsia="宋体" w:hAnsi="宋体" w:cs="宋体"/>
          <w:spacing w:val="-11"/>
          <w:sz w:val="22"/>
          <w:szCs w:val="22"/>
        </w:rPr>
        <w:t>烟酸都是合成辅酶Qo</w:t>
      </w:r>
      <w:r>
        <w:rPr>
          <w:rFonts w:ascii="宋体" w:eastAsia="宋体" w:hAnsi="宋体" w:cs="宋体"/>
          <w:spacing w:val="-12"/>
          <w:sz w:val="22"/>
          <w:szCs w:val="22"/>
        </w:rPr>
        <w:t xml:space="preserve"> </w:t>
      </w:r>
      <w:r>
        <w:rPr>
          <w:rFonts w:ascii="宋体" w:eastAsia="宋体" w:hAnsi="宋体" w:cs="宋体"/>
          <w:spacing w:val="-11"/>
          <w:sz w:val="22"/>
          <w:szCs w:val="22"/>
        </w:rPr>
        <w:t>的重要原料。</w:t>
      </w:r>
    </w:p>
    <w:p w:rsidR="00EA40A3" w:rsidRDefault="00EA40A3">
      <w:pPr>
        <w:spacing w:line="257" w:lineRule="auto"/>
      </w:pPr>
    </w:p>
    <w:p w:rsidR="00EA40A3" w:rsidRDefault="00E86C16">
      <w:pPr>
        <w:spacing w:before="91" w:line="212" w:lineRule="auto"/>
        <w:ind w:left="2659"/>
        <w:rPr>
          <w:rFonts w:ascii="宋体" w:eastAsia="宋体" w:hAnsi="宋体" w:cs="宋体"/>
          <w:sz w:val="28"/>
          <w:szCs w:val="28"/>
        </w:rPr>
      </w:pPr>
      <w:r>
        <w:rPr>
          <w:rFonts w:ascii="宋体" w:eastAsia="宋体" w:hAnsi="宋体" w:cs="宋体"/>
          <w:spacing w:val="-19"/>
          <w:sz w:val="28"/>
          <w:szCs w:val="28"/>
        </w:rPr>
        <w:t>5.12</w:t>
      </w:r>
      <w:r>
        <w:rPr>
          <w:rFonts w:ascii="宋体" w:eastAsia="宋体" w:hAnsi="宋体" w:cs="宋体"/>
          <w:spacing w:val="145"/>
          <w:sz w:val="28"/>
          <w:szCs w:val="28"/>
        </w:rPr>
        <w:t xml:space="preserve"> </w:t>
      </w:r>
      <w:r>
        <w:rPr>
          <w:rFonts w:ascii="宋体" w:eastAsia="宋体" w:hAnsi="宋体" w:cs="宋体"/>
          <w:spacing w:val="-19"/>
          <w:sz w:val="28"/>
          <w:szCs w:val="28"/>
        </w:rPr>
        <w:t>γ-氨基丁酸</w:t>
      </w:r>
    </w:p>
    <w:p w:rsidR="00EA40A3" w:rsidRDefault="00EA40A3">
      <w:pPr>
        <w:spacing w:line="248" w:lineRule="auto"/>
      </w:pPr>
    </w:p>
    <w:p w:rsidR="00EA40A3" w:rsidRDefault="00E86C16">
      <w:pPr>
        <w:spacing w:before="71" w:line="242" w:lineRule="auto"/>
        <w:ind w:right="61" w:firstLine="439"/>
        <w:rPr>
          <w:rFonts w:ascii="宋体" w:eastAsia="宋体" w:hAnsi="宋体" w:cs="宋体"/>
          <w:sz w:val="22"/>
          <w:szCs w:val="22"/>
        </w:rPr>
      </w:pPr>
      <w:r>
        <w:rPr>
          <w:rFonts w:ascii="宋体" w:eastAsia="宋体" w:hAnsi="宋体" w:cs="宋体"/>
          <w:spacing w:val="-3"/>
          <w:sz w:val="22"/>
          <w:szCs w:val="22"/>
        </w:rPr>
        <w:t>1963年，</w:t>
      </w:r>
      <w:r>
        <w:rPr>
          <w:rFonts w:ascii="宋体" w:eastAsia="宋体" w:hAnsi="宋体" w:cs="宋体"/>
          <w:spacing w:val="-26"/>
          <w:sz w:val="22"/>
          <w:szCs w:val="22"/>
        </w:rPr>
        <w:t xml:space="preserve"> </w:t>
      </w:r>
      <w:r>
        <w:rPr>
          <w:rFonts w:ascii="宋体" w:eastAsia="宋体" w:hAnsi="宋体" w:cs="宋体"/>
          <w:spacing w:val="-3"/>
          <w:sz w:val="22"/>
          <w:szCs w:val="22"/>
        </w:rPr>
        <w:t>Stanto就发现</w:t>
      </w:r>
      <w:r>
        <w:rPr>
          <w:rFonts w:ascii="宋体" w:eastAsia="宋体" w:hAnsi="宋体" w:cs="宋体"/>
          <w:spacing w:val="-58"/>
          <w:sz w:val="22"/>
          <w:szCs w:val="22"/>
        </w:rPr>
        <w:t xml:space="preserve"> </w:t>
      </w:r>
      <w:r>
        <w:rPr>
          <w:rFonts w:ascii="宋体" w:eastAsia="宋体" w:hAnsi="宋体" w:cs="宋体"/>
          <w:spacing w:val="-3"/>
          <w:sz w:val="22"/>
          <w:szCs w:val="22"/>
        </w:rPr>
        <w:t>y-氨基</w:t>
      </w:r>
      <w:r>
        <w:rPr>
          <w:rFonts w:ascii="宋体" w:eastAsia="宋体" w:hAnsi="宋体" w:cs="宋体"/>
          <w:spacing w:val="-4"/>
          <w:sz w:val="22"/>
          <w:szCs w:val="22"/>
        </w:rPr>
        <w:t>丁酸</w:t>
      </w:r>
      <w:r>
        <w:rPr>
          <w:rFonts w:ascii="宋体" w:eastAsia="宋体" w:hAnsi="宋体" w:cs="宋体"/>
          <w:spacing w:val="8"/>
          <w:sz w:val="22"/>
          <w:szCs w:val="22"/>
        </w:rPr>
        <w:t xml:space="preserve"> </w:t>
      </w:r>
      <w:r>
        <w:rPr>
          <w:rFonts w:ascii="宋体" w:eastAsia="宋体" w:hAnsi="宋体" w:cs="宋体"/>
          <w:spacing w:val="-4"/>
          <w:sz w:val="22"/>
          <w:szCs w:val="22"/>
        </w:rPr>
        <w:t>(</w:t>
      </w:r>
      <w:r>
        <w:rPr>
          <w:rFonts w:ascii="宋体" w:eastAsia="宋体" w:hAnsi="宋体" w:cs="宋体"/>
          <w:spacing w:val="-3"/>
          <w:sz w:val="22"/>
          <w:szCs w:val="22"/>
        </w:rPr>
        <w:t>gamma</w:t>
      </w:r>
      <w:r>
        <w:rPr>
          <w:rFonts w:ascii="宋体" w:eastAsia="宋体" w:hAnsi="宋体" w:cs="宋体"/>
          <w:spacing w:val="72"/>
          <w:sz w:val="22"/>
          <w:szCs w:val="22"/>
        </w:rPr>
        <w:t xml:space="preserve"> </w:t>
      </w:r>
      <w:r>
        <w:rPr>
          <w:rFonts w:ascii="宋体" w:eastAsia="宋体" w:hAnsi="宋体" w:cs="宋体"/>
          <w:spacing w:val="-3"/>
          <w:sz w:val="22"/>
          <w:szCs w:val="22"/>
        </w:rPr>
        <w:t>aminobutyric</w:t>
      </w:r>
      <w:r>
        <w:rPr>
          <w:rFonts w:ascii="宋体" w:eastAsia="宋体" w:hAnsi="宋体" w:cs="宋体"/>
          <w:spacing w:val="73"/>
          <w:sz w:val="22"/>
          <w:szCs w:val="22"/>
        </w:rPr>
        <w:t xml:space="preserve"> </w:t>
      </w:r>
      <w:r>
        <w:rPr>
          <w:rFonts w:ascii="宋体" w:eastAsia="宋体" w:hAnsi="宋体" w:cs="宋体"/>
          <w:spacing w:val="-3"/>
          <w:sz w:val="22"/>
          <w:szCs w:val="22"/>
        </w:rPr>
        <w:t>acid</w:t>
      </w:r>
      <w:r>
        <w:rPr>
          <w:rFonts w:ascii="宋体" w:eastAsia="宋体" w:hAnsi="宋体" w:cs="宋体"/>
          <w:spacing w:val="-4"/>
          <w:sz w:val="22"/>
          <w:szCs w:val="22"/>
        </w:rPr>
        <w:t>,</w:t>
      </w:r>
      <w:r>
        <w:rPr>
          <w:rFonts w:ascii="宋体" w:eastAsia="宋体" w:hAnsi="宋体" w:cs="宋体"/>
          <w:spacing w:val="-3"/>
          <w:sz w:val="22"/>
          <w:szCs w:val="22"/>
        </w:rPr>
        <w:t>GABA</w:t>
      </w:r>
      <w:r>
        <w:rPr>
          <w:rFonts w:ascii="宋体" w:eastAsia="宋体" w:hAnsi="宋体" w:cs="宋体"/>
          <w:spacing w:val="-4"/>
          <w:sz w:val="22"/>
          <w:szCs w:val="22"/>
        </w:rPr>
        <w:t>)</w:t>
      </w:r>
      <w:r>
        <w:rPr>
          <w:rFonts w:ascii="宋体" w:eastAsia="宋体" w:hAnsi="宋体" w:cs="宋体"/>
          <w:sz w:val="22"/>
          <w:szCs w:val="22"/>
        </w:rPr>
        <w:t xml:space="preserve"> </w:t>
      </w:r>
      <w:r>
        <w:rPr>
          <w:rFonts w:ascii="宋体" w:eastAsia="宋体" w:hAnsi="宋体" w:cs="宋体"/>
          <w:spacing w:val="-7"/>
          <w:sz w:val="22"/>
          <w:szCs w:val="22"/>
        </w:rPr>
        <w:t>具有治疗高血压的作用，其机制是因GABA</w:t>
      </w:r>
      <w:r>
        <w:rPr>
          <w:rFonts w:ascii="宋体" w:eastAsia="宋体" w:hAnsi="宋体" w:cs="宋体"/>
          <w:spacing w:val="7"/>
          <w:sz w:val="22"/>
          <w:szCs w:val="22"/>
        </w:rPr>
        <w:t xml:space="preserve">  </w:t>
      </w:r>
      <w:r>
        <w:rPr>
          <w:rFonts w:ascii="宋体" w:eastAsia="宋体" w:hAnsi="宋体" w:cs="宋体"/>
          <w:spacing w:val="-7"/>
          <w:sz w:val="22"/>
          <w:szCs w:val="22"/>
        </w:rPr>
        <w:t>可作用于脊髓的血管运动中枢，</w:t>
      </w:r>
      <w:r>
        <w:rPr>
          <w:rFonts w:ascii="宋体" w:eastAsia="宋体" w:hAnsi="宋体" w:cs="宋体"/>
          <w:spacing w:val="-8"/>
          <w:sz w:val="22"/>
          <w:szCs w:val="22"/>
        </w:rPr>
        <w:t>有</w:t>
      </w:r>
      <w:r>
        <w:rPr>
          <w:rFonts w:ascii="宋体" w:eastAsia="宋体" w:hAnsi="宋体" w:cs="宋体"/>
          <w:spacing w:val="1"/>
          <w:sz w:val="22"/>
          <w:szCs w:val="22"/>
        </w:rPr>
        <w:t xml:space="preserve"> </w:t>
      </w:r>
      <w:r>
        <w:rPr>
          <w:rFonts w:ascii="宋体" w:eastAsia="宋体" w:hAnsi="宋体" w:cs="宋体"/>
          <w:spacing w:val="-8"/>
          <w:sz w:val="22"/>
          <w:szCs w:val="22"/>
        </w:rPr>
        <w:t>效促进血管扩张而达到降低血压目的，黄芪等中药的有效降压成分即为GABA。</w:t>
      </w:r>
    </w:p>
    <w:p w:rsidR="00EA40A3" w:rsidRDefault="00E86C16">
      <w:pPr>
        <w:spacing w:before="41" w:line="245" w:lineRule="auto"/>
        <w:ind w:right="98"/>
        <w:rPr>
          <w:rFonts w:ascii="宋体" w:eastAsia="宋体" w:hAnsi="宋体" w:cs="宋体"/>
          <w:sz w:val="22"/>
          <w:szCs w:val="22"/>
        </w:rPr>
      </w:pPr>
      <w:r>
        <w:rPr>
          <w:rFonts w:ascii="宋体" w:eastAsia="宋体" w:hAnsi="宋体" w:cs="宋体"/>
          <w:spacing w:val="-8"/>
          <w:sz w:val="22"/>
          <w:szCs w:val="22"/>
        </w:rPr>
        <w:t>GABA</w:t>
      </w:r>
      <w:r>
        <w:rPr>
          <w:rFonts w:ascii="宋体" w:eastAsia="宋体" w:hAnsi="宋体" w:cs="宋体"/>
          <w:spacing w:val="10"/>
          <w:sz w:val="22"/>
          <w:szCs w:val="22"/>
        </w:rPr>
        <w:t xml:space="preserve">  </w:t>
      </w:r>
      <w:r>
        <w:rPr>
          <w:rFonts w:ascii="宋体" w:eastAsia="宋体" w:hAnsi="宋体" w:cs="宋体"/>
          <w:spacing w:val="-8"/>
          <w:sz w:val="22"/>
          <w:szCs w:val="22"/>
        </w:rPr>
        <w:t>可降低神经元活性，是一种重要的中枢神经系统的抑制性物质。</w:t>
      </w:r>
      <w:r>
        <w:rPr>
          <w:rFonts w:ascii="宋体" w:eastAsia="宋体" w:hAnsi="宋体" w:cs="宋体"/>
          <w:sz w:val="22"/>
          <w:szCs w:val="22"/>
        </w:rPr>
        <w:t xml:space="preserve"> </w:t>
      </w:r>
      <w:r>
        <w:rPr>
          <w:rFonts w:ascii="宋体" w:eastAsia="宋体" w:hAnsi="宋体" w:cs="宋体"/>
          <w:spacing w:val="-8"/>
          <w:sz w:val="22"/>
          <w:szCs w:val="22"/>
        </w:rPr>
        <w:t>GABA</w:t>
      </w:r>
      <w:r>
        <w:rPr>
          <w:rFonts w:ascii="宋体" w:eastAsia="宋体" w:hAnsi="宋体" w:cs="宋体"/>
          <w:sz w:val="22"/>
          <w:szCs w:val="22"/>
        </w:rPr>
        <w:t xml:space="preserve">  </w:t>
      </w:r>
      <w:r>
        <w:rPr>
          <w:rFonts w:ascii="宋体" w:eastAsia="宋体" w:hAnsi="宋体" w:cs="宋体"/>
          <w:spacing w:val="-8"/>
          <w:sz w:val="22"/>
          <w:szCs w:val="22"/>
        </w:rPr>
        <w:t>可抑制谷氨酸的脱羧反应，与α-酮戊二酸生成谷氨酸使血氨降低，摄入GABA</w:t>
      </w:r>
      <w:r>
        <w:rPr>
          <w:rFonts w:ascii="宋体" w:eastAsia="宋体" w:hAnsi="宋体" w:cs="宋体"/>
          <w:spacing w:val="5"/>
          <w:sz w:val="22"/>
          <w:szCs w:val="22"/>
        </w:rPr>
        <w:t xml:space="preserve">  </w:t>
      </w:r>
      <w:r>
        <w:rPr>
          <w:rFonts w:ascii="宋体" w:eastAsia="宋体" w:hAnsi="宋体" w:cs="宋体"/>
          <w:spacing w:val="-13"/>
          <w:sz w:val="22"/>
          <w:szCs w:val="22"/>
        </w:rPr>
        <w:t>可提高葡萄糖酸酯酶的活性，促进脑组织的新陈代谢和恢复脑细胞的功能，改善</w:t>
      </w:r>
      <w:r>
        <w:rPr>
          <w:rFonts w:ascii="宋体" w:eastAsia="宋体" w:hAnsi="宋体" w:cs="宋体"/>
          <w:spacing w:val="4"/>
          <w:sz w:val="22"/>
          <w:szCs w:val="22"/>
        </w:rPr>
        <w:t xml:space="preserve"> </w:t>
      </w:r>
      <w:r>
        <w:rPr>
          <w:rFonts w:ascii="宋体" w:eastAsia="宋体" w:hAnsi="宋体" w:cs="宋体"/>
          <w:spacing w:val="-9"/>
          <w:sz w:val="22"/>
          <w:szCs w:val="22"/>
        </w:rPr>
        <w:t>神经机能。</w:t>
      </w:r>
      <w:r>
        <w:rPr>
          <w:rFonts w:ascii="宋体" w:eastAsia="宋体" w:hAnsi="宋体" w:cs="宋体"/>
          <w:spacing w:val="-31"/>
          <w:sz w:val="22"/>
          <w:szCs w:val="22"/>
        </w:rPr>
        <w:t xml:space="preserve"> </w:t>
      </w:r>
      <w:r>
        <w:rPr>
          <w:rFonts w:ascii="宋体" w:eastAsia="宋体" w:hAnsi="宋体" w:cs="宋体"/>
          <w:spacing w:val="-9"/>
          <w:sz w:val="22"/>
          <w:szCs w:val="22"/>
        </w:rPr>
        <w:t>GABA</w:t>
      </w:r>
      <w:r>
        <w:rPr>
          <w:rFonts w:ascii="宋体" w:eastAsia="宋体" w:hAnsi="宋体" w:cs="宋体"/>
          <w:spacing w:val="3"/>
          <w:sz w:val="22"/>
          <w:szCs w:val="22"/>
        </w:rPr>
        <w:t xml:space="preserve">  </w:t>
      </w:r>
      <w:r>
        <w:rPr>
          <w:rFonts w:ascii="宋体" w:eastAsia="宋体" w:hAnsi="宋体" w:cs="宋体"/>
          <w:spacing w:val="-9"/>
          <w:sz w:val="22"/>
          <w:szCs w:val="22"/>
        </w:rPr>
        <w:t>还有活化肾功能、改善肝功能、防止肥胖、促进乙醇代谢及</w:t>
      </w:r>
      <w:r>
        <w:rPr>
          <w:rFonts w:ascii="宋体" w:eastAsia="宋体" w:hAnsi="宋体" w:cs="宋体"/>
          <w:sz w:val="22"/>
          <w:szCs w:val="22"/>
        </w:rPr>
        <w:t xml:space="preserve"> </w:t>
      </w:r>
      <w:r>
        <w:rPr>
          <w:rFonts w:ascii="宋体" w:eastAsia="宋体" w:hAnsi="宋体" w:cs="宋体"/>
          <w:spacing w:val="-20"/>
          <w:sz w:val="22"/>
          <w:szCs w:val="22"/>
        </w:rPr>
        <w:t>消臭的作用，</w:t>
      </w:r>
    </w:p>
    <w:p w:rsidR="00EA40A3" w:rsidRDefault="00E86C16">
      <w:pPr>
        <w:spacing w:before="86" w:line="246" w:lineRule="auto"/>
        <w:ind w:right="60" w:firstLine="439"/>
        <w:rPr>
          <w:rFonts w:ascii="宋体" w:eastAsia="宋体" w:hAnsi="宋体" w:cs="宋体"/>
          <w:sz w:val="22"/>
          <w:szCs w:val="22"/>
        </w:rPr>
      </w:pPr>
      <w:r>
        <w:rPr>
          <w:rFonts w:ascii="宋体" w:eastAsia="宋体" w:hAnsi="宋体" w:cs="宋体"/>
          <w:spacing w:val="-5"/>
          <w:sz w:val="22"/>
          <w:szCs w:val="22"/>
        </w:rPr>
        <w:t>GABA</w:t>
      </w:r>
      <w:r>
        <w:rPr>
          <w:rFonts w:ascii="宋体" w:eastAsia="宋体" w:hAnsi="宋体" w:cs="宋体"/>
          <w:spacing w:val="2"/>
          <w:sz w:val="22"/>
          <w:szCs w:val="22"/>
        </w:rPr>
        <w:t xml:space="preserve">  </w:t>
      </w:r>
      <w:r>
        <w:rPr>
          <w:rFonts w:ascii="宋体" w:eastAsia="宋体" w:hAnsi="宋体" w:cs="宋体"/>
          <w:spacing w:val="-5"/>
          <w:sz w:val="22"/>
          <w:szCs w:val="22"/>
        </w:rPr>
        <w:t>与某些疾病的形成有关，帕金</w:t>
      </w:r>
      <w:r>
        <w:rPr>
          <w:rFonts w:ascii="宋体" w:eastAsia="宋体" w:hAnsi="宋体" w:cs="宋体"/>
          <w:spacing w:val="-6"/>
          <w:sz w:val="22"/>
          <w:szCs w:val="22"/>
        </w:rPr>
        <w:t>森病人脊髓中</w:t>
      </w:r>
      <w:r>
        <w:rPr>
          <w:rFonts w:ascii="宋体" w:eastAsia="宋体" w:hAnsi="宋体" w:cs="宋体"/>
          <w:spacing w:val="-5"/>
          <w:sz w:val="22"/>
          <w:szCs w:val="22"/>
        </w:rPr>
        <w:t>GABA</w:t>
      </w:r>
      <w:r>
        <w:rPr>
          <w:rFonts w:ascii="宋体" w:eastAsia="宋体" w:hAnsi="宋体" w:cs="宋体"/>
          <w:spacing w:val="97"/>
          <w:sz w:val="22"/>
          <w:szCs w:val="22"/>
        </w:rPr>
        <w:t xml:space="preserve"> </w:t>
      </w:r>
      <w:r>
        <w:rPr>
          <w:rFonts w:ascii="宋体" w:eastAsia="宋体" w:hAnsi="宋体" w:cs="宋体"/>
          <w:spacing w:val="-6"/>
          <w:sz w:val="22"/>
          <w:szCs w:val="22"/>
        </w:rPr>
        <w:t>浓度较低，神经</w:t>
      </w:r>
      <w:r>
        <w:rPr>
          <w:rFonts w:ascii="宋体" w:eastAsia="宋体" w:hAnsi="宋体" w:cs="宋体"/>
          <w:sz w:val="22"/>
          <w:szCs w:val="22"/>
        </w:rPr>
        <w:t xml:space="preserve"> </w:t>
      </w:r>
      <w:r>
        <w:rPr>
          <w:rFonts w:ascii="宋体" w:eastAsia="宋体" w:hAnsi="宋体" w:cs="宋体"/>
          <w:spacing w:val="-8"/>
          <w:sz w:val="22"/>
          <w:szCs w:val="22"/>
        </w:rPr>
        <w:t>组织中GABA</w:t>
      </w:r>
      <w:r>
        <w:rPr>
          <w:rFonts w:ascii="宋体" w:eastAsia="宋体" w:hAnsi="宋体" w:cs="宋体"/>
          <w:spacing w:val="10"/>
          <w:sz w:val="22"/>
          <w:szCs w:val="22"/>
        </w:rPr>
        <w:t xml:space="preserve">  </w:t>
      </w:r>
      <w:r>
        <w:rPr>
          <w:rFonts w:ascii="宋体" w:eastAsia="宋体" w:hAnsi="宋体" w:cs="宋体"/>
          <w:spacing w:val="-8"/>
          <w:sz w:val="22"/>
          <w:szCs w:val="22"/>
        </w:rPr>
        <w:t>的降低与Huntingten疾病、老年痴呆等有关。</w:t>
      </w:r>
      <w:r>
        <w:rPr>
          <w:rFonts w:ascii="宋体" w:eastAsia="宋体" w:hAnsi="宋体" w:cs="宋体"/>
          <w:spacing w:val="-31"/>
          <w:sz w:val="22"/>
          <w:szCs w:val="22"/>
        </w:rPr>
        <w:t xml:space="preserve"> </w:t>
      </w:r>
      <w:r>
        <w:rPr>
          <w:rFonts w:ascii="宋体" w:eastAsia="宋体" w:hAnsi="宋体" w:cs="宋体"/>
          <w:spacing w:val="-8"/>
          <w:sz w:val="22"/>
          <w:szCs w:val="22"/>
        </w:rPr>
        <w:t>GABA</w:t>
      </w:r>
      <w:r>
        <w:rPr>
          <w:rFonts w:ascii="宋体" w:eastAsia="宋体" w:hAnsi="宋体" w:cs="宋体"/>
          <w:spacing w:val="8"/>
          <w:sz w:val="22"/>
          <w:szCs w:val="22"/>
        </w:rPr>
        <w:t xml:space="preserve">  </w:t>
      </w:r>
      <w:r>
        <w:rPr>
          <w:rFonts w:ascii="宋体" w:eastAsia="宋体" w:hAnsi="宋体" w:cs="宋体"/>
          <w:spacing w:val="-8"/>
          <w:sz w:val="22"/>
          <w:szCs w:val="22"/>
        </w:rPr>
        <w:t>对脑血管障</w:t>
      </w:r>
      <w:r>
        <w:rPr>
          <w:rFonts w:ascii="宋体" w:eastAsia="宋体" w:hAnsi="宋体" w:cs="宋体"/>
          <w:sz w:val="22"/>
          <w:szCs w:val="22"/>
        </w:rPr>
        <w:t xml:space="preserve"> </w:t>
      </w:r>
      <w:r>
        <w:rPr>
          <w:rFonts w:ascii="宋体" w:eastAsia="宋体" w:hAnsi="宋体" w:cs="宋体"/>
          <w:spacing w:val="-12"/>
          <w:sz w:val="22"/>
          <w:szCs w:val="22"/>
        </w:rPr>
        <w:t>碍引起的症状如偏瘫、记忆障碍、儿童智力发育迟缓</w:t>
      </w:r>
      <w:r>
        <w:rPr>
          <w:rFonts w:ascii="宋体" w:eastAsia="宋体" w:hAnsi="宋体" w:cs="宋体"/>
          <w:spacing w:val="-13"/>
          <w:sz w:val="22"/>
          <w:szCs w:val="22"/>
        </w:rPr>
        <w:t>及精神幼稚症等有很好的疗</w:t>
      </w:r>
      <w:r>
        <w:rPr>
          <w:rFonts w:ascii="宋体" w:eastAsia="宋体" w:hAnsi="宋体" w:cs="宋体"/>
          <w:sz w:val="22"/>
          <w:szCs w:val="22"/>
        </w:rPr>
        <w:t xml:space="preserve"> </w:t>
      </w:r>
      <w:r>
        <w:rPr>
          <w:rFonts w:ascii="宋体" w:eastAsia="宋体" w:hAnsi="宋体" w:cs="宋体"/>
          <w:spacing w:val="-1"/>
          <w:sz w:val="22"/>
          <w:szCs w:val="22"/>
        </w:rPr>
        <w:t>效。还被用作尿毒症、睡眠障碍及一氧化碳中毒的治疗药物，并有精神安定</w:t>
      </w:r>
      <w:r>
        <w:rPr>
          <w:rFonts w:ascii="宋体" w:eastAsia="宋体" w:hAnsi="宋体" w:cs="宋体"/>
          <w:spacing w:val="18"/>
          <w:sz w:val="22"/>
          <w:szCs w:val="22"/>
        </w:rPr>
        <w:t xml:space="preserve"> </w:t>
      </w:r>
      <w:r>
        <w:rPr>
          <w:rFonts w:ascii="宋体" w:eastAsia="宋体" w:hAnsi="宋体" w:cs="宋体"/>
          <w:spacing w:val="-18"/>
          <w:sz w:val="22"/>
          <w:szCs w:val="22"/>
        </w:rPr>
        <w:t>作用。</w:t>
      </w:r>
    </w:p>
    <w:p w:rsidR="00EA40A3" w:rsidRDefault="00E86C16">
      <w:pPr>
        <w:spacing w:before="78" w:line="244" w:lineRule="auto"/>
        <w:ind w:right="61" w:firstLine="439"/>
        <w:rPr>
          <w:rFonts w:ascii="宋体" w:eastAsia="宋体" w:hAnsi="宋体" w:cs="宋体"/>
          <w:sz w:val="22"/>
          <w:szCs w:val="22"/>
        </w:rPr>
      </w:pPr>
      <w:r>
        <w:rPr>
          <w:rFonts w:ascii="宋体" w:eastAsia="宋体" w:hAnsi="宋体" w:cs="宋体"/>
          <w:spacing w:val="-6"/>
          <w:sz w:val="22"/>
          <w:szCs w:val="22"/>
        </w:rPr>
        <w:t>GABA</w:t>
      </w:r>
      <w:r>
        <w:rPr>
          <w:rFonts w:ascii="宋体" w:eastAsia="宋体" w:hAnsi="宋体" w:cs="宋体"/>
          <w:spacing w:val="2"/>
          <w:sz w:val="22"/>
          <w:szCs w:val="22"/>
        </w:rPr>
        <w:t xml:space="preserve">  </w:t>
      </w:r>
      <w:r>
        <w:rPr>
          <w:rFonts w:ascii="宋体" w:eastAsia="宋体" w:hAnsi="宋体" w:cs="宋体"/>
          <w:spacing w:val="-6"/>
          <w:sz w:val="22"/>
          <w:szCs w:val="22"/>
        </w:rPr>
        <w:t>是一种天然活性成分，广泛分布于动</w:t>
      </w:r>
      <w:r>
        <w:rPr>
          <w:rFonts w:ascii="宋体" w:eastAsia="宋体" w:hAnsi="宋体" w:cs="宋体"/>
          <w:spacing w:val="-7"/>
          <w:sz w:val="22"/>
          <w:szCs w:val="22"/>
        </w:rPr>
        <w:t>植物体内。在人脑中</w:t>
      </w:r>
      <w:r>
        <w:rPr>
          <w:rFonts w:ascii="宋体" w:eastAsia="宋体" w:hAnsi="宋体" w:cs="宋体"/>
          <w:spacing w:val="-6"/>
          <w:sz w:val="22"/>
          <w:szCs w:val="22"/>
        </w:rPr>
        <w:t>GABA</w:t>
      </w:r>
      <w:r>
        <w:rPr>
          <w:rFonts w:ascii="宋体" w:eastAsia="宋体" w:hAnsi="宋体" w:cs="宋体"/>
          <w:spacing w:val="8"/>
          <w:sz w:val="22"/>
          <w:szCs w:val="22"/>
        </w:rPr>
        <w:t xml:space="preserve">  </w:t>
      </w:r>
      <w:r>
        <w:rPr>
          <w:rFonts w:ascii="宋体" w:eastAsia="宋体" w:hAnsi="宋体" w:cs="宋体"/>
          <w:spacing w:val="-7"/>
          <w:sz w:val="22"/>
          <w:szCs w:val="22"/>
        </w:rPr>
        <w:t>可</w:t>
      </w:r>
      <w:r>
        <w:rPr>
          <w:rFonts w:ascii="宋体" w:eastAsia="宋体" w:hAnsi="宋体" w:cs="宋体"/>
          <w:spacing w:val="1"/>
          <w:sz w:val="22"/>
          <w:szCs w:val="22"/>
        </w:rPr>
        <w:t xml:space="preserve"> </w:t>
      </w:r>
      <w:r>
        <w:rPr>
          <w:rFonts w:ascii="宋体" w:eastAsia="宋体" w:hAnsi="宋体" w:cs="宋体"/>
          <w:spacing w:val="-13"/>
          <w:sz w:val="22"/>
          <w:szCs w:val="22"/>
        </w:rPr>
        <w:t>由脑部的谷氨酸在专一性较强的谷氨酸脱羧酶作用下经转换而生成，但随年龄的</w:t>
      </w:r>
      <w:r>
        <w:rPr>
          <w:rFonts w:ascii="宋体" w:eastAsia="宋体" w:hAnsi="宋体" w:cs="宋体"/>
          <w:spacing w:val="10"/>
          <w:sz w:val="22"/>
          <w:szCs w:val="22"/>
        </w:rPr>
        <w:t xml:space="preserve"> </w:t>
      </w:r>
      <w:r>
        <w:rPr>
          <w:rFonts w:ascii="宋体" w:eastAsia="宋体" w:hAnsi="宋体" w:cs="宋体"/>
          <w:spacing w:val="-7"/>
          <w:sz w:val="22"/>
          <w:szCs w:val="22"/>
        </w:rPr>
        <w:t>增长或精神压力的加大会使GABA</w:t>
      </w:r>
      <w:r>
        <w:rPr>
          <w:rFonts w:ascii="宋体" w:eastAsia="宋体" w:hAnsi="宋体" w:cs="宋体"/>
          <w:spacing w:val="17"/>
          <w:sz w:val="22"/>
          <w:szCs w:val="22"/>
        </w:rPr>
        <w:t xml:space="preserve">  </w:t>
      </w:r>
      <w:r>
        <w:rPr>
          <w:rFonts w:ascii="宋体" w:eastAsia="宋体" w:hAnsi="宋体" w:cs="宋体"/>
          <w:spacing w:val="-7"/>
          <w:sz w:val="22"/>
          <w:szCs w:val="22"/>
        </w:rPr>
        <w:t>积累困难，而通过日常饮食补充可有效改善</w:t>
      </w:r>
      <w:r>
        <w:rPr>
          <w:rFonts w:ascii="宋体" w:eastAsia="宋体" w:hAnsi="宋体" w:cs="宋体"/>
          <w:sz w:val="22"/>
          <w:szCs w:val="22"/>
        </w:rPr>
        <w:t xml:space="preserve"> </w:t>
      </w:r>
      <w:r>
        <w:rPr>
          <w:rFonts w:ascii="宋体" w:eastAsia="宋体" w:hAnsi="宋体" w:cs="宋体"/>
          <w:spacing w:val="-8"/>
          <w:sz w:val="22"/>
          <w:szCs w:val="22"/>
        </w:rPr>
        <w:t>这种状况。</w:t>
      </w:r>
      <w:r>
        <w:rPr>
          <w:rFonts w:ascii="宋体" w:eastAsia="宋体" w:hAnsi="宋体" w:cs="宋体"/>
          <w:spacing w:val="-38"/>
          <w:sz w:val="22"/>
          <w:szCs w:val="22"/>
        </w:rPr>
        <w:t xml:space="preserve"> </w:t>
      </w:r>
      <w:r>
        <w:rPr>
          <w:rFonts w:ascii="宋体" w:eastAsia="宋体" w:hAnsi="宋体" w:cs="宋体"/>
          <w:spacing w:val="-8"/>
          <w:sz w:val="22"/>
          <w:szCs w:val="22"/>
        </w:rPr>
        <w:t>GABA</w:t>
      </w:r>
      <w:r>
        <w:rPr>
          <w:rFonts w:ascii="宋体" w:eastAsia="宋体" w:hAnsi="宋体" w:cs="宋体"/>
          <w:spacing w:val="3"/>
          <w:sz w:val="22"/>
          <w:szCs w:val="22"/>
        </w:rPr>
        <w:t xml:space="preserve">  </w:t>
      </w:r>
      <w:r>
        <w:rPr>
          <w:rFonts w:ascii="宋体" w:eastAsia="宋体" w:hAnsi="宋体" w:cs="宋体"/>
          <w:spacing w:val="-8"/>
          <w:sz w:val="22"/>
          <w:szCs w:val="22"/>
        </w:rPr>
        <w:t>富含于茶叶、胚芽、奶酪等。富GABA</w:t>
      </w:r>
      <w:r>
        <w:rPr>
          <w:rFonts w:ascii="宋体" w:eastAsia="宋体" w:hAnsi="宋体" w:cs="宋体"/>
          <w:spacing w:val="3"/>
          <w:sz w:val="22"/>
          <w:szCs w:val="22"/>
        </w:rPr>
        <w:t xml:space="preserve">  </w:t>
      </w:r>
      <w:r>
        <w:rPr>
          <w:rFonts w:ascii="宋体" w:eastAsia="宋体" w:hAnsi="宋体" w:cs="宋体"/>
          <w:spacing w:val="-8"/>
          <w:sz w:val="22"/>
          <w:szCs w:val="22"/>
        </w:rPr>
        <w:t>食品的开发始于1986</w:t>
      </w:r>
      <w:r>
        <w:rPr>
          <w:rFonts w:ascii="宋体" w:eastAsia="宋体" w:hAnsi="宋体" w:cs="宋体"/>
          <w:sz w:val="22"/>
          <w:szCs w:val="22"/>
        </w:rPr>
        <w:t xml:space="preserve"> </w:t>
      </w:r>
      <w:r>
        <w:rPr>
          <w:rFonts w:ascii="宋体" w:eastAsia="宋体" w:hAnsi="宋体" w:cs="宋体"/>
          <w:spacing w:val="-4"/>
          <w:sz w:val="22"/>
          <w:szCs w:val="22"/>
        </w:rPr>
        <w:t>年，日本首先开发成功一类新茶GABARON</w:t>
      </w:r>
      <w:r>
        <w:rPr>
          <w:rFonts w:ascii="宋体" w:eastAsia="宋体" w:hAnsi="宋体" w:cs="宋体"/>
          <w:spacing w:val="14"/>
          <w:sz w:val="22"/>
          <w:szCs w:val="22"/>
        </w:rPr>
        <w:t xml:space="preserve">   </w:t>
      </w:r>
      <w:r>
        <w:rPr>
          <w:rFonts w:ascii="宋体" w:eastAsia="宋体" w:hAnsi="宋体" w:cs="宋体"/>
          <w:spacing w:val="-4"/>
          <w:sz w:val="22"/>
          <w:szCs w:val="22"/>
        </w:rPr>
        <w:t>茶，是将鲜茶叶在N</w:t>
      </w:r>
      <w:r>
        <w:rPr>
          <w:rFonts w:ascii="Calibri" w:eastAsia="Calibri" w:hAnsi="Calibri" w:cs="Calibri"/>
          <w:spacing w:val="-4"/>
          <w:sz w:val="22"/>
          <w:szCs w:val="22"/>
        </w:rPr>
        <w:t>₂</w:t>
      </w:r>
      <w:r>
        <w:rPr>
          <w:rFonts w:ascii="Calibri" w:eastAsia="Calibri" w:hAnsi="Calibri" w:cs="Calibri"/>
          <w:spacing w:val="14"/>
          <w:w w:val="101"/>
          <w:sz w:val="22"/>
          <w:szCs w:val="22"/>
        </w:rPr>
        <w:t xml:space="preserve">  </w:t>
      </w:r>
      <w:r>
        <w:rPr>
          <w:rFonts w:ascii="宋体" w:eastAsia="宋体" w:hAnsi="宋体" w:cs="宋体"/>
          <w:spacing w:val="-4"/>
          <w:sz w:val="22"/>
          <w:szCs w:val="22"/>
        </w:rPr>
        <w:t>下</w:t>
      </w:r>
      <w:r>
        <w:rPr>
          <w:rFonts w:ascii="宋体" w:eastAsia="宋体" w:hAnsi="宋体" w:cs="宋体"/>
          <w:spacing w:val="-43"/>
          <w:sz w:val="22"/>
          <w:szCs w:val="22"/>
        </w:rPr>
        <w:t xml:space="preserve"> </w:t>
      </w:r>
      <w:r>
        <w:rPr>
          <w:rFonts w:ascii="宋体" w:eastAsia="宋体" w:hAnsi="宋体" w:cs="宋体"/>
          <w:spacing w:val="-4"/>
          <w:sz w:val="22"/>
          <w:szCs w:val="22"/>
        </w:rPr>
        <w:t>6h,GA-</w:t>
      </w:r>
    </w:p>
    <w:p w:rsidR="00EA40A3" w:rsidRDefault="00E86C16">
      <w:pPr>
        <w:spacing w:before="38" w:line="233" w:lineRule="auto"/>
        <w:ind w:right="100"/>
        <w:rPr>
          <w:rFonts w:ascii="宋体" w:eastAsia="宋体" w:hAnsi="宋体" w:cs="宋体"/>
          <w:sz w:val="22"/>
          <w:szCs w:val="22"/>
        </w:rPr>
      </w:pPr>
      <w:r>
        <w:rPr>
          <w:rFonts w:ascii="宋体" w:eastAsia="宋体" w:hAnsi="宋体" w:cs="宋体"/>
          <w:spacing w:val="-3"/>
          <w:sz w:val="22"/>
          <w:szCs w:val="22"/>
        </w:rPr>
        <w:t>BA</w:t>
      </w:r>
      <w:r>
        <w:rPr>
          <w:rFonts w:ascii="宋体" w:eastAsia="宋体" w:hAnsi="宋体" w:cs="宋体"/>
          <w:spacing w:val="24"/>
          <w:sz w:val="22"/>
          <w:szCs w:val="22"/>
        </w:rPr>
        <w:t xml:space="preserve"> </w:t>
      </w:r>
      <w:r>
        <w:rPr>
          <w:rFonts w:ascii="宋体" w:eastAsia="宋体" w:hAnsi="宋体" w:cs="宋体"/>
          <w:spacing w:val="-3"/>
          <w:sz w:val="22"/>
          <w:szCs w:val="22"/>
        </w:rPr>
        <w:t>由一般加工法的300mg/kg</w:t>
      </w:r>
      <w:r>
        <w:rPr>
          <w:rFonts w:ascii="宋体" w:eastAsia="宋体" w:hAnsi="宋体" w:cs="宋体"/>
          <w:spacing w:val="-18"/>
          <w:sz w:val="22"/>
          <w:szCs w:val="22"/>
        </w:rPr>
        <w:t xml:space="preserve"> </w:t>
      </w:r>
      <w:r>
        <w:rPr>
          <w:rFonts w:ascii="宋体" w:eastAsia="宋体" w:hAnsi="宋体" w:cs="宋体"/>
          <w:spacing w:val="-3"/>
          <w:sz w:val="22"/>
          <w:szCs w:val="22"/>
        </w:rPr>
        <w:t>增加到2000mg/kg;</w:t>
      </w:r>
      <w:r>
        <w:rPr>
          <w:rFonts w:ascii="宋体" w:eastAsia="宋体" w:hAnsi="宋体" w:cs="宋体"/>
          <w:spacing w:val="33"/>
          <w:sz w:val="22"/>
          <w:szCs w:val="22"/>
        </w:rPr>
        <w:t xml:space="preserve"> </w:t>
      </w:r>
      <w:r>
        <w:rPr>
          <w:rFonts w:ascii="宋体" w:eastAsia="宋体" w:hAnsi="宋体" w:cs="宋体"/>
          <w:spacing w:val="-3"/>
          <w:sz w:val="22"/>
          <w:szCs w:val="22"/>
        </w:rPr>
        <w:t>如采用3h</w:t>
      </w:r>
      <w:r>
        <w:rPr>
          <w:rFonts w:ascii="宋体" w:eastAsia="宋体" w:hAnsi="宋体" w:cs="宋体"/>
          <w:spacing w:val="-44"/>
          <w:sz w:val="22"/>
          <w:szCs w:val="22"/>
        </w:rPr>
        <w:t xml:space="preserve"> </w:t>
      </w:r>
      <w:r>
        <w:rPr>
          <w:rFonts w:ascii="宋体" w:eastAsia="宋体" w:hAnsi="宋体" w:cs="宋体"/>
          <w:spacing w:val="-3"/>
          <w:sz w:val="22"/>
          <w:szCs w:val="22"/>
        </w:rPr>
        <w:t>隔氧、</w:t>
      </w:r>
      <w:r>
        <w:rPr>
          <w:rFonts w:ascii="宋体" w:eastAsia="宋体" w:hAnsi="宋体" w:cs="宋体"/>
          <w:spacing w:val="-50"/>
          <w:sz w:val="22"/>
          <w:szCs w:val="22"/>
        </w:rPr>
        <w:t xml:space="preserve"> </w:t>
      </w:r>
      <w:r>
        <w:rPr>
          <w:rFonts w:ascii="宋体" w:eastAsia="宋体" w:hAnsi="宋体" w:cs="宋体"/>
          <w:spacing w:val="-3"/>
          <w:sz w:val="22"/>
          <w:szCs w:val="22"/>
        </w:rPr>
        <w:t>lh</w:t>
      </w:r>
      <w:r>
        <w:rPr>
          <w:rFonts w:ascii="宋体" w:eastAsia="宋体" w:hAnsi="宋体" w:cs="宋体"/>
          <w:spacing w:val="-48"/>
          <w:sz w:val="22"/>
          <w:szCs w:val="22"/>
        </w:rPr>
        <w:t xml:space="preserve"> </w:t>
      </w:r>
      <w:r>
        <w:rPr>
          <w:rFonts w:ascii="宋体" w:eastAsia="宋体" w:hAnsi="宋体" w:cs="宋体"/>
          <w:spacing w:val="-3"/>
          <w:sz w:val="22"/>
          <w:szCs w:val="22"/>
        </w:rPr>
        <w:t>有氧循</w:t>
      </w:r>
      <w:r>
        <w:rPr>
          <w:rFonts w:ascii="宋体" w:eastAsia="宋体" w:hAnsi="宋体" w:cs="宋体"/>
          <w:sz w:val="22"/>
          <w:szCs w:val="22"/>
        </w:rPr>
        <w:t xml:space="preserve"> </w:t>
      </w:r>
      <w:r>
        <w:rPr>
          <w:rFonts w:ascii="宋体" w:eastAsia="宋体" w:hAnsi="宋体" w:cs="宋体"/>
          <w:spacing w:val="1"/>
          <w:sz w:val="22"/>
          <w:szCs w:val="22"/>
        </w:rPr>
        <w:t>环处理3次，可使茶中</w:t>
      </w:r>
      <w:r>
        <w:rPr>
          <w:rFonts w:ascii="宋体" w:eastAsia="宋体" w:hAnsi="宋体" w:cs="宋体"/>
          <w:sz w:val="22"/>
          <w:szCs w:val="22"/>
        </w:rPr>
        <w:t>GABA</w:t>
      </w:r>
      <w:r>
        <w:rPr>
          <w:rFonts w:ascii="宋体" w:eastAsia="宋体" w:hAnsi="宋体" w:cs="宋体"/>
          <w:spacing w:val="119"/>
          <w:sz w:val="22"/>
          <w:szCs w:val="22"/>
        </w:rPr>
        <w:t xml:space="preserve"> </w:t>
      </w:r>
      <w:r>
        <w:rPr>
          <w:rFonts w:ascii="宋体" w:eastAsia="宋体" w:hAnsi="宋体" w:cs="宋体"/>
          <w:spacing w:val="1"/>
          <w:sz w:val="22"/>
          <w:szCs w:val="22"/>
        </w:rPr>
        <w:t>增至4500</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z w:val="22"/>
          <w:szCs w:val="22"/>
        </w:rPr>
        <w:t>kg</w:t>
      </w:r>
      <w:r>
        <w:rPr>
          <w:rFonts w:ascii="宋体" w:eastAsia="宋体" w:hAnsi="宋体" w:cs="宋体"/>
          <w:spacing w:val="1"/>
          <w:sz w:val="22"/>
          <w:szCs w:val="22"/>
        </w:rPr>
        <w:t>。</w:t>
      </w:r>
    </w:p>
    <w:p w:rsidR="00EA40A3" w:rsidRDefault="00EA40A3">
      <w:pPr>
        <w:spacing w:line="283" w:lineRule="auto"/>
      </w:pPr>
    </w:p>
    <w:p w:rsidR="00EA40A3" w:rsidRDefault="00E86C16">
      <w:pPr>
        <w:spacing w:before="92" w:line="221" w:lineRule="auto"/>
        <w:ind w:left="2589"/>
        <w:rPr>
          <w:rFonts w:ascii="宋体" w:eastAsia="宋体" w:hAnsi="宋体" w:cs="宋体"/>
          <w:sz w:val="28"/>
          <w:szCs w:val="28"/>
        </w:rPr>
      </w:pPr>
      <w:r>
        <w:rPr>
          <w:rFonts w:ascii="宋体" w:eastAsia="宋体" w:hAnsi="宋体" w:cs="宋体"/>
          <w:spacing w:val="-11"/>
          <w:sz w:val="28"/>
          <w:szCs w:val="28"/>
        </w:rPr>
        <w:t>5.13</w:t>
      </w:r>
      <w:r>
        <w:rPr>
          <w:rFonts w:ascii="宋体" w:eastAsia="宋体" w:hAnsi="宋体" w:cs="宋体"/>
          <w:spacing w:val="112"/>
          <w:sz w:val="28"/>
          <w:szCs w:val="28"/>
        </w:rPr>
        <w:t xml:space="preserve"> </w:t>
      </w:r>
      <w:r>
        <w:rPr>
          <w:rFonts w:ascii="宋体" w:eastAsia="宋体" w:hAnsi="宋体" w:cs="宋体"/>
          <w:spacing w:val="-11"/>
          <w:sz w:val="28"/>
          <w:szCs w:val="28"/>
        </w:rPr>
        <w:t>左</w:t>
      </w:r>
      <w:r>
        <w:rPr>
          <w:rFonts w:ascii="宋体" w:eastAsia="宋体" w:hAnsi="宋体" w:cs="宋体"/>
          <w:spacing w:val="-32"/>
          <w:sz w:val="28"/>
          <w:szCs w:val="28"/>
        </w:rPr>
        <w:t xml:space="preserve"> </w:t>
      </w:r>
      <w:r>
        <w:rPr>
          <w:rFonts w:ascii="宋体" w:eastAsia="宋体" w:hAnsi="宋体" w:cs="宋体"/>
          <w:spacing w:val="-11"/>
          <w:sz w:val="28"/>
          <w:szCs w:val="28"/>
        </w:rPr>
        <w:t>旋</w:t>
      </w:r>
      <w:r>
        <w:rPr>
          <w:rFonts w:ascii="宋体" w:eastAsia="宋体" w:hAnsi="宋体" w:cs="宋体"/>
          <w:spacing w:val="-7"/>
          <w:sz w:val="28"/>
          <w:szCs w:val="28"/>
        </w:rPr>
        <w:t xml:space="preserve"> </w:t>
      </w:r>
      <w:r>
        <w:rPr>
          <w:rFonts w:ascii="宋体" w:eastAsia="宋体" w:hAnsi="宋体" w:cs="宋体"/>
          <w:spacing w:val="-11"/>
          <w:sz w:val="28"/>
          <w:szCs w:val="28"/>
        </w:rPr>
        <w:t>肉</w:t>
      </w:r>
      <w:r>
        <w:rPr>
          <w:rFonts w:ascii="宋体" w:eastAsia="宋体" w:hAnsi="宋体" w:cs="宋体"/>
          <w:spacing w:val="-37"/>
          <w:sz w:val="28"/>
          <w:szCs w:val="28"/>
        </w:rPr>
        <w:t xml:space="preserve"> </w:t>
      </w:r>
      <w:r>
        <w:rPr>
          <w:rFonts w:ascii="宋体" w:eastAsia="宋体" w:hAnsi="宋体" w:cs="宋体"/>
          <w:spacing w:val="-11"/>
          <w:sz w:val="28"/>
          <w:szCs w:val="28"/>
        </w:rPr>
        <w:t>碱</w:t>
      </w:r>
    </w:p>
    <w:p w:rsidR="00EA40A3" w:rsidRDefault="00E86C16">
      <w:pPr>
        <w:spacing w:before="304" w:line="238" w:lineRule="auto"/>
        <w:ind w:right="60" w:firstLine="439"/>
        <w:rPr>
          <w:rFonts w:ascii="宋体" w:eastAsia="宋体" w:hAnsi="宋体" w:cs="宋体"/>
          <w:sz w:val="22"/>
          <w:szCs w:val="22"/>
        </w:rPr>
      </w:pPr>
      <w:r>
        <w:rPr>
          <w:rFonts w:ascii="宋体" w:eastAsia="宋体" w:hAnsi="宋体" w:cs="宋体"/>
          <w:spacing w:val="-16"/>
          <w:sz w:val="22"/>
          <w:szCs w:val="22"/>
        </w:rPr>
        <w:t>左旋肉碱</w:t>
      </w:r>
      <w:r>
        <w:rPr>
          <w:rFonts w:ascii="宋体" w:eastAsia="宋体" w:hAnsi="宋体" w:cs="宋体"/>
          <w:spacing w:val="-18"/>
          <w:sz w:val="22"/>
          <w:szCs w:val="22"/>
        </w:rPr>
        <w:t xml:space="preserve"> </w:t>
      </w:r>
      <w:r>
        <w:rPr>
          <w:rFonts w:ascii="宋体" w:eastAsia="宋体" w:hAnsi="宋体" w:cs="宋体"/>
          <w:spacing w:val="-16"/>
          <w:sz w:val="22"/>
          <w:szCs w:val="22"/>
        </w:rPr>
        <w:t>(L.carnitine)</w:t>
      </w:r>
      <w:r>
        <w:rPr>
          <w:rFonts w:ascii="宋体" w:eastAsia="宋体" w:hAnsi="宋体" w:cs="宋体"/>
          <w:spacing w:val="-52"/>
          <w:sz w:val="22"/>
          <w:szCs w:val="22"/>
        </w:rPr>
        <w:t xml:space="preserve"> </w:t>
      </w:r>
      <w:r>
        <w:rPr>
          <w:rFonts w:ascii="宋体" w:eastAsia="宋体" w:hAnsi="宋体" w:cs="宋体"/>
          <w:spacing w:val="-16"/>
          <w:sz w:val="22"/>
          <w:szCs w:val="22"/>
        </w:rPr>
        <w:t>又称肉毒碱，化学名称为β-羟基-y-三甲胺丁酸。成</w:t>
      </w:r>
      <w:r>
        <w:rPr>
          <w:rFonts w:ascii="宋体" w:eastAsia="宋体" w:hAnsi="宋体" w:cs="宋体"/>
          <w:sz w:val="22"/>
          <w:szCs w:val="22"/>
        </w:rPr>
        <w:t xml:space="preserve"> </w:t>
      </w:r>
      <w:r>
        <w:rPr>
          <w:rFonts w:ascii="宋体" w:eastAsia="宋体" w:hAnsi="宋体" w:cs="宋体"/>
          <w:spacing w:val="-13"/>
          <w:sz w:val="22"/>
          <w:szCs w:val="22"/>
        </w:rPr>
        <w:t>人体内可以合成，但婴儿体内不能合成或合成速度不能满足自身需要。</w:t>
      </w:r>
    </w:p>
    <w:p w:rsidR="00EA40A3" w:rsidRDefault="00E86C16">
      <w:pPr>
        <w:spacing w:before="39" w:line="248" w:lineRule="auto"/>
        <w:ind w:right="68" w:firstLine="439"/>
        <w:rPr>
          <w:rFonts w:ascii="宋体" w:eastAsia="宋体" w:hAnsi="宋体" w:cs="宋体"/>
          <w:sz w:val="22"/>
          <w:szCs w:val="22"/>
        </w:rPr>
      </w:pPr>
      <w:r>
        <w:rPr>
          <w:rFonts w:ascii="宋体" w:eastAsia="宋体" w:hAnsi="宋体" w:cs="宋体"/>
          <w:spacing w:val="-9"/>
          <w:sz w:val="22"/>
          <w:szCs w:val="22"/>
        </w:rPr>
        <w:t>L-肉碱是动物组织中的一种必需辅酶，在线粒体脂肪酸的β氧化及</w:t>
      </w:r>
      <w:r>
        <w:rPr>
          <w:rFonts w:ascii="宋体" w:eastAsia="宋体" w:hAnsi="宋体" w:cs="宋体"/>
          <w:spacing w:val="-60"/>
          <w:sz w:val="22"/>
          <w:szCs w:val="22"/>
        </w:rPr>
        <w:t xml:space="preserve"> </w:t>
      </w:r>
      <w:r>
        <w:rPr>
          <w:rFonts w:ascii="宋体" w:eastAsia="宋体" w:hAnsi="宋体" w:cs="宋体"/>
          <w:spacing w:val="-9"/>
          <w:sz w:val="22"/>
          <w:szCs w:val="22"/>
        </w:rPr>
        <w:t>TCA</w:t>
      </w:r>
      <w:r>
        <w:rPr>
          <w:rFonts w:ascii="宋体" w:eastAsia="宋体" w:hAnsi="宋体" w:cs="宋体"/>
          <w:spacing w:val="56"/>
          <w:sz w:val="22"/>
          <w:szCs w:val="22"/>
        </w:rPr>
        <w:t xml:space="preserve"> </w:t>
      </w:r>
      <w:r>
        <w:rPr>
          <w:rFonts w:ascii="宋体" w:eastAsia="宋体" w:hAnsi="宋体" w:cs="宋体"/>
          <w:spacing w:val="-9"/>
          <w:sz w:val="22"/>
          <w:szCs w:val="22"/>
        </w:rPr>
        <w:t>循</w:t>
      </w:r>
      <w:r>
        <w:rPr>
          <w:rFonts w:ascii="宋体" w:eastAsia="宋体" w:hAnsi="宋体" w:cs="宋体"/>
          <w:sz w:val="22"/>
          <w:szCs w:val="22"/>
        </w:rPr>
        <w:t xml:space="preserve"> </w:t>
      </w:r>
      <w:r>
        <w:rPr>
          <w:rFonts w:ascii="宋体" w:eastAsia="宋体" w:hAnsi="宋体" w:cs="宋体"/>
          <w:spacing w:val="-12"/>
          <w:sz w:val="22"/>
          <w:szCs w:val="22"/>
        </w:rPr>
        <w:t>环中起重要作用，它可将脂肪酸以酯酰基形式从线粒体</w:t>
      </w:r>
      <w:r>
        <w:rPr>
          <w:rFonts w:ascii="宋体" w:eastAsia="宋体" w:hAnsi="宋体" w:cs="宋体"/>
          <w:spacing w:val="-13"/>
          <w:sz w:val="22"/>
          <w:szCs w:val="22"/>
        </w:rPr>
        <w:t>膜外转移到膜内，也可将</w:t>
      </w:r>
    </w:p>
    <w:p w:rsidR="00EA40A3" w:rsidRDefault="00E86C16">
      <w:pPr>
        <w:spacing w:before="94"/>
        <w:ind w:right="7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175</w:t>
      </w:r>
      <w:r>
        <w:rPr>
          <w:rFonts w:ascii="宋体" w:eastAsia="宋体" w:hAnsi="宋体" w:cs="宋体"/>
          <w:spacing w:val="55"/>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030" w:bottom="400" w:left="840" w:header="0" w:footer="0" w:gutter="0"/>
          <w:cols w:space="720"/>
        </w:sectPr>
      </w:pPr>
    </w:p>
    <w:p w:rsidR="00EA40A3" w:rsidRDefault="00EA40A3">
      <w:pPr>
        <w:spacing w:line="312" w:lineRule="auto"/>
      </w:pPr>
    </w:p>
    <w:p w:rsidR="00EA40A3" w:rsidRDefault="00EA40A3">
      <w:pPr>
        <w:spacing w:line="312" w:lineRule="auto"/>
      </w:pPr>
    </w:p>
    <w:p w:rsidR="00EA40A3" w:rsidRDefault="00E86C16">
      <w:pPr>
        <w:spacing w:before="68" w:line="255" w:lineRule="auto"/>
        <w:jc w:val="both"/>
        <w:rPr>
          <w:rFonts w:ascii="宋体" w:eastAsia="宋体" w:hAnsi="宋体" w:cs="宋体"/>
        </w:rPr>
      </w:pPr>
      <w:r>
        <w:rPr>
          <w:rFonts w:ascii="宋体" w:eastAsia="宋体" w:hAnsi="宋体" w:cs="宋体"/>
          <w:spacing w:val="1"/>
        </w:rPr>
        <w:t>脂肪酸、氨基酸和葡萄糖氧化的共同产物乙酰</w:t>
      </w:r>
      <w:r>
        <w:rPr>
          <w:rFonts w:ascii="宋体" w:eastAsia="宋体" w:hAnsi="宋体" w:cs="宋体"/>
          <w:spacing w:val="-56"/>
        </w:rPr>
        <w:t xml:space="preserve"> </w:t>
      </w:r>
      <w:r>
        <w:rPr>
          <w:rFonts w:ascii="宋体" w:eastAsia="宋体" w:hAnsi="宋体" w:cs="宋体"/>
        </w:rPr>
        <w:t>CoA</w:t>
      </w:r>
      <w:r>
        <w:rPr>
          <w:rFonts w:ascii="宋体" w:eastAsia="宋体" w:hAnsi="宋体" w:cs="宋体"/>
          <w:spacing w:val="57"/>
        </w:rPr>
        <w:t xml:space="preserve"> </w:t>
      </w:r>
      <w:r>
        <w:rPr>
          <w:rFonts w:ascii="宋体" w:eastAsia="宋体" w:hAnsi="宋体" w:cs="宋体"/>
          <w:spacing w:val="1"/>
        </w:rPr>
        <w:t>以</w:t>
      </w:r>
      <w:r>
        <w:rPr>
          <w:rFonts w:ascii="宋体" w:eastAsia="宋体" w:hAnsi="宋体" w:cs="宋体"/>
        </w:rPr>
        <w:t xml:space="preserve">乙酰肉碱的形式通过细胞 </w:t>
      </w:r>
      <w:r>
        <w:rPr>
          <w:rFonts w:ascii="宋体" w:eastAsia="宋体" w:hAnsi="宋体" w:cs="宋体"/>
          <w:spacing w:val="-8"/>
        </w:rPr>
        <w:t>膜，所以， L-肉碱在机体中具有促进三大能量营养素氧化的功能。</w:t>
      </w:r>
      <w:r>
        <w:rPr>
          <w:rFonts w:ascii="宋体" w:eastAsia="宋体" w:hAnsi="宋体" w:cs="宋体"/>
          <w:spacing w:val="15"/>
        </w:rPr>
        <w:t xml:space="preserve"> </w:t>
      </w:r>
      <w:r>
        <w:rPr>
          <w:rFonts w:ascii="宋体" w:eastAsia="宋体" w:hAnsi="宋体" w:cs="宋体"/>
          <w:spacing w:val="-8"/>
        </w:rPr>
        <w:t>L-肉碱</w:t>
      </w:r>
      <w:r>
        <w:rPr>
          <w:rFonts w:ascii="宋体" w:eastAsia="宋体" w:hAnsi="宋体" w:cs="宋体"/>
          <w:spacing w:val="-9"/>
        </w:rPr>
        <w:t>还可促</w:t>
      </w:r>
      <w:r>
        <w:rPr>
          <w:rFonts w:ascii="宋体" w:eastAsia="宋体" w:hAnsi="宋体" w:cs="宋体"/>
        </w:rPr>
        <w:t xml:space="preserve"> </w:t>
      </w:r>
      <w:r>
        <w:rPr>
          <w:rFonts w:ascii="宋体" w:eastAsia="宋体" w:hAnsi="宋体" w:cs="宋体"/>
          <w:spacing w:val="2"/>
        </w:rPr>
        <w:t>进乙酰乙酸的氧化，可能在酮体利用中起作用。当机体缺乏</w:t>
      </w:r>
      <w:r>
        <w:rPr>
          <w:rFonts w:ascii="宋体" w:eastAsia="宋体" w:hAnsi="宋体" w:cs="宋体"/>
          <w:spacing w:val="-47"/>
        </w:rPr>
        <w:t xml:space="preserve"> </w:t>
      </w:r>
      <w:r>
        <w:rPr>
          <w:rFonts w:ascii="宋体" w:eastAsia="宋体" w:hAnsi="宋体" w:cs="宋体"/>
          <w:spacing w:val="2"/>
        </w:rPr>
        <w:t>L-肉碱时，脂肪酸</w:t>
      </w:r>
      <w:r>
        <w:rPr>
          <w:rFonts w:ascii="宋体" w:eastAsia="宋体" w:hAnsi="宋体" w:cs="宋体"/>
        </w:rPr>
        <w:t xml:space="preserve"> </w:t>
      </w:r>
      <w:r>
        <w:rPr>
          <w:rFonts w:ascii="宋体" w:eastAsia="宋体" w:hAnsi="宋体" w:cs="宋体"/>
          <w:spacing w:val="-3"/>
        </w:rPr>
        <w:t>β-氧化受抑制，会导致脂肪浸润。补充L-肉碱，能改善脂肪代谢紊乱，降血脂，</w:t>
      </w:r>
      <w:r>
        <w:rPr>
          <w:rFonts w:ascii="宋体" w:eastAsia="宋体" w:hAnsi="宋体" w:cs="宋体"/>
        </w:rPr>
        <w:t xml:space="preserve"> </w:t>
      </w:r>
      <w:r>
        <w:rPr>
          <w:rFonts w:ascii="宋体" w:eastAsia="宋体" w:hAnsi="宋体" w:cs="宋体"/>
          <w:spacing w:val="-7"/>
        </w:rPr>
        <w:t>治疗肥胖症以及纠正脂肪肝等。</w:t>
      </w:r>
    </w:p>
    <w:p w:rsidR="00EA40A3" w:rsidRDefault="00E86C16">
      <w:pPr>
        <w:spacing w:before="80" w:line="253" w:lineRule="auto"/>
        <w:ind w:right="55" w:firstLine="439"/>
        <w:rPr>
          <w:rFonts w:ascii="宋体" w:eastAsia="宋体" w:hAnsi="宋体" w:cs="宋体"/>
        </w:rPr>
      </w:pPr>
      <w:r>
        <w:rPr>
          <w:rFonts w:ascii="宋体" w:eastAsia="宋体" w:hAnsi="宋体" w:cs="宋体"/>
          <w:spacing w:val="4"/>
        </w:rPr>
        <w:t>L-肉碱能提高疾病患者在练习中的耐受力，如在机体补充L</w:t>
      </w:r>
      <w:r>
        <w:rPr>
          <w:rFonts w:ascii="宋体" w:eastAsia="宋体" w:hAnsi="宋体" w:cs="宋体"/>
          <w:spacing w:val="3"/>
        </w:rPr>
        <w:t>-肉碱后，练习</w:t>
      </w:r>
      <w:r>
        <w:rPr>
          <w:rFonts w:ascii="宋体" w:eastAsia="宋体" w:hAnsi="宋体" w:cs="宋体"/>
        </w:rPr>
        <w:t xml:space="preserve"> </w:t>
      </w:r>
      <w:r>
        <w:rPr>
          <w:rFonts w:ascii="宋体" w:eastAsia="宋体" w:hAnsi="宋体" w:cs="宋体"/>
          <w:spacing w:val="3"/>
        </w:rPr>
        <w:t>时间、最大氧吸收和乳酸阈值等指标都会有不同程度的提高。口服L-肉碱可使</w:t>
      </w:r>
      <w:r>
        <w:rPr>
          <w:rFonts w:ascii="宋体" w:eastAsia="宋体" w:hAnsi="宋体" w:cs="宋体"/>
          <w:spacing w:val="5"/>
        </w:rPr>
        <w:t xml:space="preserve"> </w:t>
      </w:r>
      <w:r>
        <w:rPr>
          <w:rFonts w:ascii="宋体" w:eastAsia="宋体" w:hAnsi="宋体" w:cs="宋体"/>
          <w:spacing w:val="-2"/>
        </w:rPr>
        <w:t>最大氧吸收时的肌肉耐受力提高，防止乳酸积累，缩短剧</w:t>
      </w:r>
      <w:r>
        <w:rPr>
          <w:rFonts w:ascii="宋体" w:eastAsia="宋体" w:hAnsi="宋体" w:cs="宋体"/>
          <w:spacing w:val="-3"/>
        </w:rPr>
        <w:t>烈运动后的恢复期，减</w:t>
      </w:r>
      <w:r>
        <w:rPr>
          <w:rFonts w:ascii="宋体" w:eastAsia="宋体" w:hAnsi="宋体" w:cs="宋体"/>
        </w:rPr>
        <w:t xml:space="preserve"> </w:t>
      </w:r>
      <w:r>
        <w:rPr>
          <w:rFonts w:ascii="宋体" w:eastAsia="宋体" w:hAnsi="宋体" w:cs="宋体"/>
          <w:spacing w:val="-8"/>
        </w:rPr>
        <w:t>轻运动带来的紧张感和疲劳感。</w:t>
      </w:r>
    </w:p>
    <w:p w:rsidR="00EA40A3" w:rsidRDefault="00E86C16">
      <w:pPr>
        <w:spacing w:before="61" w:line="245" w:lineRule="auto"/>
        <w:ind w:right="53" w:firstLine="439"/>
        <w:rPr>
          <w:rFonts w:ascii="宋体" w:eastAsia="宋体" w:hAnsi="宋体" w:cs="宋体"/>
        </w:rPr>
      </w:pPr>
      <w:r>
        <w:rPr>
          <w:rFonts w:ascii="宋体" w:eastAsia="宋体" w:hAnsi="宋体" w:cs="宋体"/>
          <w:spacing w:val="-5"/>
        </w:rPr>
        <w:t>L-肉碱参与心肌脂肪代谢过程，有保护缺血心肌的作用。</w:t>
      </w:r>
      <w:r>
        <w:rPr>
          <w:rFonts w:ascii="宋体" w:eastAsia="宋体" w:hAnsi="宋体" w:cs="宋体"/>
          <w:spacing w:val="-1"/>
        </w:rPr>
        <w:t xml:space="preserve"> </w:t>
      </w:r>
      <w:r>
        <w:rPr>
          <w:rFonts w:ascii="宋体" w:eastAsia="宋体" w:hAnsi="宋体" w:cs="宋体"/>
          <w:spacing w:val="-5"/>
        </w:rPr>
        <w:t>L</w:t>
      </w:r>
      <w:r>
        <w:rPr>
          <w:rFonts w:ascii="宋体" w:eastAsia="宋体" w:hAnsi="宋体" w:cs="宋体"/>
          <w:spacing w:val="-6"/>
        </w:rPr>
        <w:t>-肉碱可用于治疗</w:t>
      </w:r>
      <w:r>
        <w:rPr>
          <w:rFonts w:ascii="宋体" w:eastAsia="宋体" w:hAnsi="宋体" w:cs="宋体"/>
        </w:rPr>
        <w:t xml:space="preserve"> </w:t>
      </w:r>
      <w:r>
        <w:rPr>
          <w:rFonts w:ascii="宋体" w:eastAsia="宋体" w:hAnsi="宋体" w:cs="宋体"/>
          <w:spacing w:val="-6"/>
        </w:rPr>
        <w:t>心力衰竭、缺血性心脏病及心率失常，</w:t>
      </w:r>
    </w:p>
    <w:p w:rsidR="00EA40A3" w:rsidRDefault="00E86C16">
      <w:pPr>
        <w:spacing w:before="61" w:line="246" w:lineRule="auto"/>
        <w:ind w:right="53" w:firstLine="439"/>
        <w:rPr>
          <w:rFonts w:ascii="宋体" w:eastAsia="宋体" w:hAnsi="宋体" w:cs="宋体"/>
        </w:rPr>
      </w:pPr>
      <w:r>
        <w:rPr>
          <w:rFonts w:ascii="宋体" w:eastAsia="宋体" w:hAnsi="宋体" w:cs="宋体"/>
          <w:spacing w:val="-6"/>
        </w:rPr>
        <w:t>L-肉碱是精子成熟的一种能量物质，具有提高精子数目与活力的功能。</w:t>
      </w:r>
      <w:r>
        <w:rPr>
          <w:rFonts w:ascii="宋体" w:eastAsia="宋体" w:hAnsi="宋体" w:cs="宋体"/>
          <w:spacing w:val="25"/>
        </w:rPr>
        <w:t xml:space="preserve"> </w:t>
      </w:r>
      <w:r>
        <w:rPr>
          <w:rFonts w:ascii="宋体" w:eastAsia="宋体" w:hAnsi="宋体" w:cs="宋体"/>
          <w:spacing w:val="-6"/>
        </w:rPr>
        <w:t>L-肉</w:t>
      </w:r>
      <w:r>
        <w:rPr>
          <w:rFonts w:ascii="宋体" w:eastAsia="宋体" w:hAnsi="宋体" w:cs="宋体"/>
        </w:rPr>
        <w:t xml:space="preserve"> </w:t>
      </w:r>
      <w:r>
        <w:rPr>
          <w:rFonts w:ascii="宋体" w:eastAsia="宋体" w:hAnsi="宋体" w:cs="宋体"/>
          <w:spacing w:val="-4"/>
        </w:rPr>
        <w:t>碱还有缓解动物败血症休克的作用。</w:t>
      </w:r>
    </w:p>
    <w:p w:rsidR="00EA40A3" w:rsidRDefault="00E86C16">
      <w:pPr>
        <w:spacing w:before="52" w:line="258" w:lineRule="auto"/>
        <w:ind w:right="55" w:firstLine="439"/>
        <w:rPr>
          <w:rFonts w:ascii="宋体" w:eastAsia="宋体" w:hAnsi="宋体" w:cs="宋体"/>
        </w:rPr>
      </w:pPr>
      <w:r>
        <w:rPr>
          <w:rFonts w:ascii="宋体" w:eastAsia="宋体" w:hAnsi="宋体" w:cs="宋体"/>
          <w:spacing w:val="4"/>
        </w:rPr>
        <w:t>植物性食品L-肉碱含量较低，同时合成肉碱的两种必需氨基酸赖氨</w:t>
      </w:r>
      <w:r>
        <w:rPr>
          <w:rFonts w:ascii="宋体" w:eastAsia="宋体" w:hAnsi="宋体" w:cs="宋体"/>
          <w:spacing w:val="3"/>
        </w:rPr>
        <w:t>酸和蛋</w:t>
      </w:r>
      <w:r>
        <w:rPr>
          <w:rFonts w:ascii="宋体" w:eastAsia="宋体" w:hAnsi="宋体" w:cs="宋体"/>
        </w:rPr>
        <w:t xml:space="preserve"> </w:t>
      </w:r>
      <w:r>
        <w:rPr>
          <w:rFonts w:ascii="宋体" w:eastAsia="宋体" w:hAnsi="宋体" w:cs="宋体"/>
          <w:spacing w:val="4"/>
        </w:rPr>
        <w:t>氨酸含量也低。动物性食物含量较高。含L-肉碱丰富的食</w:t>
      </w:r>
      <w:r>
        <w:rPr>
          <w:rFonts w:ascii="宋体" w:eastAsia="宋体" w:hAnsi="宋体" w:cs="宋体"/>
          <w:spacing w:val="3"/>
        </w:rPr>
        <w:t>物有酵母、乳、肝及</w:t>
      </w:r>
      <w:r>
        <w:rPr>
          <w:rFonts w:ascii="宋体" w:eastAsia="宋体" w:hAnsi="宋体" w:cs="宋体"/>
        </w:rPr>
        <w:t xml:space="preserve"> </w:t>
      </w:r>
      <w:r>
        <w:rPr>
          <w:rFonts w:ascii="宋体" w:eastAsia="宋体" w:hAnsi="宋体" w:cs="宋体"/>
          <w:spacing w:val="-3"/>
        </w:rPr>
        <w:t>肉等动物性食品。人和大多数动物还可通过自身体内合成来满足生理需要，在正</w:t>
      </w:r>
      <w:r>
        <w:rPr>
          <w:rFonts w:ascii="宋体" w:eastAsia="宋体" w:hAnsi="宋体" w:cs="宋体"/>
          <w:spacing w:val="6"/>
        </w:rPr>
        <w:t xml:space="preserve"> </w:t>
      </w:r>
      <w:r>
        <w:rPr>
          <w:rFonts w:ascii="宋体" w:eastAsia="宋体" w:hAnsi="宋体" w:cs="宋体"/>
          <w:spacing w:val="2"/>
        </w:rPr>
        <w:t>常情况下</w:t>
      </w:r>
      <w:r>
        <w:rPr>
          <w:rFonts w:ascii="宋体" w:eastAsia="宋体" w:hAnsi="宋体" w:cs="宋体"/>
          <w:spacing w:val="-48"/>
        </w:rPr>
        <w:t xml:space="preserve"> </w:t>
      </w:r>
      <w:r>
        <w:rPr>
          <w:rFonts w:ascii="宋体" w:eastAsia="宋体" w:hAnsi="宋体" w:cs="宋体"/>
          <w:spacing w:val="2"/>
        </w:rPr>
        <w:t>L-肉碱不会缺乏。当出现代谢异常如糖尿病、营养障碍及甲状腺亢进</w:t>
      </w:r>
      <w:r>
        <w:rPr>
          <w:rFonts w:ascii="宋体" w:eastAsia="宋体" w:hAnsi="宋体" w:cs="宋体"/>
        </w:rPr>
        <w:t xml:space="preserve"> </w:t>
      </w:r>
      <w:r>
        <w:rPr>
          <w:rFonts w:ascii="宋体" w:eastAsia="宋体" w:hAnsi="宋体" w:cs="宋体"/>
          <w:spacing w:val="2"/>
        </w:rPr>
        <w:t>等，会抑制</w:t>
      </w:r>
      <w:r>
        <w:rPr>
          <w:rFonts w:ascii="宋体" w:eastAsia="宋体" w:hAnsi="宋体" w:cs="宋体"/>
          <w:spacing w:val="-49"/>
        </w:rPr>
        <w:t xml:space="preserve"> </w:t>
      </w:r>
      <w:r>
        <w:rPr>
          <w:rFonts w:ascii="宋体" w:eastAsia="宋体" w:hAnsi="宋体" w:cs="宋体"/>
          <w:spacing w:val="2"/>
        </w:rPr>
        <w:t>L-肉碱的合成、干扰利用或增加L-肉碱的分解代谢，于是可能引起</w:t>
      </w:r>
      <w:r>
        <w:rPr>
          <w:rFonts w:ascii="宋体" w:eastAsia="宋体" w:hAnsi="宋体" w:cs="宋体"/>
        </w:rPr>
        <w:t xml:space="preserve"> </w:t>
      </w:r>
      <w:r>
        <w:rPr>
          <w:rFonts w:ascii="宋体" w:eastAsia="宋体" w:hAnsi="宋体" w:cs="宋体"/>
          <w:spacing w:val="-4"/>
        </w:rPr>
        <w:t>疾病。</w:t>
      </w:r>
      <w:r>
        <w:rPr>
          <w:rFonts w:ascii="宋体" w:eastAsia="宋体" w:hAnsi="宋体" w:cs="宋体"/>
          <w:spacing w:val="-36"/>
        </w:rPr>
        <w:t xml:space="preserve"> </w:t>
      </w:r>
      <w:r>
        <w:rPr>
          <w:rFonts w:ascii="宋体" w:eastAsia="宋体" w:hAnsi="宋体" w:cs="宋体"/>
          <w:spacing w:val="-4"/>
        </w:rPr>
        <w:t>L-肉碱缺乏时，可出现脂肪堆积，症状通常为肌肉软弱无力，膳食中增加</w:t>
      </w:r>
      <w:r>
        <w:rPr>
          <w:rFonts w:ascii="宋体" w:eastAsia="宋体" w:hAnsi="宋体" w:cs="宋体"/>
        </w:rPr>
        <w:t xml:space="preserve"> </w:t>
      </w:r>
      <w:r>
        <w:rPr>
          <w:rFonts w:ascii="宋体" w:eastAsia="宋体" w:hAnsi="宋体" w:cs="宋体"/>
          <w:spacing w:val="2"/>
        </w:rPr>
        <w:t>L-肉碱则可使症状减轻。动物实验发现，肾上腺的</w:t>
      </w:r>
      <w:r>
        <w:rPr>
          <w:rFonts w:ascii="宋体" w:eastAsia="宋体" w:hAnsi="宋体" w:cs="宋体"/>
          <w:spacing w:val="-45"/>
        </w:rPr>
        <w:t xml:space="preserve"> </w:t>
      </w:r>
      <w:r>
        <w:rPr>
          <w:rFonts w:ascii="宋体" w:eastAsia="宋体" w:hAnsi="宋体" w:cs="宋体"/>
          <w:spacing w:val="2"/>
        </w:rPr>
        <w:t>L-肉碱浓度最高，其次是心</w:t>
      </w:r>
      <w:r>
        <w:rPr>
          <w:rFonts w:ascii="宋体" w:eastAsia="宋体" w:hAnsi="宋体" w:cs="宋体"/>
        </w:rPr>
        <w:t xml:space="preserve"> </w:t>
      </w:r>
      <w:r>
        <w:rPr>
          <w:rFonts w:ascii="宋体" w:eastAsia="宋体" w:hAnsi="宋体" w:cs="宋体"/>
          <w:spacing w:val="-1"/>
        </w:rPr>
        <w:t>脏、骨骼、肌肉、脂肪组织和肝脏。游离的L-肉碱是通过尿排</w:t>
      </w:r>
      <w:r>
        <w:rPr>
          <w:rFonts w:ascii="宋体" w:eastAsia="宋体" w:hAnsi="宋体" w:cs="宋体"/>
          <w:spacing w:val="-2"/>
        </w:rPr>
        <w:t>出的。</w:t>
      </w:r>
    </w:p>
    <w:p w:rsidR="00EA40A3" w:rsidRDefault="00E86C16">
      <w:pPr>
        <w:spacing w:before="111" w:line="252" w:lineRule="auto"/>
        <w:ind w:right="76" w:firstLine="439"/>
        <w:jc w:val="both"/>
        <w:rPr>
          <w:rFonts w:ascii="宋体" w:eastAsia="宋体" w:hAnsi="宋体" w:cs="宋体"/>
        </w:rPr>
      </w:pPr>
      <w:r>
        <w:rPr>
          <w:rFonts w:ascii="宋体" w:eastAsia="宋体" w:hAnsi="宋体" w:cs="宋体"/>
          <w:spacing w:val="3"/>
        </w:rPr>
        <w:t>由于大多数的植物缺乏肉碱及其前体赖氨酸和蛋氨酸，素食者应注意其摄</w:t>
      </w:r>
      <w:r>
        <w:rPr>
          <w:rFonts w:ascii="宋体" w:eastAsia="宋体" w:hAnsi="宋体" w:cs="宋体"/>
          <w:spacing w:val="12"/>
        </w:rPr>
        <w:t xml:space="preserve"> </w:t>
      </w:r>
      <w:r>
        <w:rPr>
          <w:rFonts w:ascii="宋体" w:eastAsia="宋体" w:hAnsi="宋体" w:cs="宋体"/>
          <w:spacing w:val="-3"/>
        </w:rPr>
        <w:t>入。肉碱耐热、酸和碱，易溶于水和乙醇，吸湿性强。与水溶性维生</w:t>
      </w:r>
      <w:r>
        <w:rPr>
          <w:rFonts w:ascii="宋体" w:eastAsia="宋体" w:hAnsi="宋体" w:cs="宋体"/>
          <w:spacing w:val="-4"/>
        </w:rPr>
        <w:t>素相似，肉</w:t>
      </w:r>
      <w:r>
        <w:rPr>
          <w:rFonts w:ascii="宋体" w:eastAsia="宋体" w:hAnsi="宋体" w:cs="宋体"/>
        </w:rPr>
        <w:t xml:space="preserve"> </w:t>
      </w:r>
      <w:r>
        <w:rPr>
          <w:rFonts w:ascii="宋体" w:eastAsia="宋体" w:hAnsi="宋体" w:cs="宋体"/>
          <w:spacing w:val="-2"/>
        </w:rPr>
        <w:t>碱既易溶于水又能被完全吸收。由于水溶性很强，使</w:t>
      </w:r>
      <w:r>
        <w:rPr>
          <w:rFonts w:ascii="宋体" w:eastAsia="宋体" w:hAnsi="宋体" w:cs="宋体"/>
          <w:spacing w:val="-3"/>
        </w:rPr>
        <w:t>用加热、加水的烹饪程序都</w:t>
      </w:r>
      <w:r>
        <w:rPr>
          <w:rFonts w:ascii="宋体" w:eastAsia="宋体" w:hAnsi="宋体" w:cs="宋体"/>
        </w:rPr>
        <w:t xml:space="preserve"> </w:t>
      </w:r>
      <w:r>
        <w:rPr>
          <w:rFonts w:ascii="宋体" w:eastAsia="宋体" w:hAnsi="宋体" w:cs="宋体"/>
          <w:spacing w:val="-6"/>
        </w:rPr>
        <w:t>会造成游离肉碱的损失。</w:t>
      </w:r>
    </w:p>
    <w:p w:rsidR="00EA40A3" w:rsidRDefault="00E86C16">
      <w:pPr>
        <w:spacing w:before="317" w:line="220" w:lineRule="auto"/>
        <w:ind w:left="2709"/>
        <w:rPr>
          <w:rFonts w:ascii="宋体" w:eastAsia="宋体" w:hAnsi="宋体" w:cs="宋体"/>
          <w:sz w:val="29"/>
          <w:szCs w:val="29"/>
        </w:rPr>
      </w:pPr>
      <w:r>
        <w:rPr>
          <w:rFonts w:ascii="宋体" w:eastAsia="宋体" w:hAnsi="宋体" w:cs="宋体"/>
          <w:spacing w:val="-5"/>
          <w:sz w:val="29"/>
          <w:szCs w:val="29"/>
        </w:rPr>
        <w:t>5.14</w:t>
      </w:r>
      <w:r>
        <w:rPr>
          <w:rFonts w:ascii="宋体" w:eastAsia="宋体" w:hAnsi="宋体" w:cs="宋体"/>
          <w:spacing w:val="125"/>
          <w:sz w:val="29"/>
          <w:szCs w:val="29"/>
        </w:rPr>
        <w:t xml:space="preserve"> </w:t>
      </w:r>
      <w:r>
        <w:rPr>
          <w:rFonts w:ascii="宋体" w:eastAsia="宋体" w:hAnsi="宋体" w:cs="宋体"/>
          <w:spacing w:val="-5"/>
          <w:sz w:val="29"/>
          <w:szCs w:val="29"/>
        </w:rPr>
        <w:t>肌</w:t>
      </w:r>
      <w:r>
        <w:rPr>
          <w:rFonts w:ascii="宋体" w:eastAsia="宋体" w:hAnsi="宋体" w:cs="宋体"/>
          <w:spacing w:val="38"/>
          <w:sz w:val="29"/>
          <w:szCs w:val="29"/>
        </w:rPr>
        <w:t xml:space="preserve">   </w:t>
      </w:r>
      <w:r>
        <w:rPr>
          <w:rFonts w:ascii="宋体" w:eastAsia="宋体" w:hAnsi="宋体" w:cs="宋体"/>
          <w:spacing w:val="-5"/>
          <w:sz w:val="29"/>
          <w:szCs w:val="29"/>
        </w:rPr>
        <w:t>醇</w:t>
      </w:r>
    </w:p>
    <w:p w:rsidR="00EA40A3" w:rsidRDefault="00EA40A3">
      <w:pPr>
        <w:spacing w:line="259" w:lineRule="auto"/>
      </w:pPr>
    </w:p>
    <w:p w:rsidR="00EA40A3" w:rsidRDefault="00E86C16">
      <w:pPr>
        <w:spacing w:before="68" w:line="255" w:lineRule="auto"/>
        <w:ind w:right="55" w:firstLine="439"/>
        <w:jc w:val="both"/>
        <w:rPr>
          <w:rFonts w:ascii="宋体" w:eastAsia="宋体" w:hAnsi="宋体" w:cs="宋体"/>
        </w:rPr>
      </w:pPr>
      <w:r>
        <w:rPr>
          <w:rFonts w:ascii="宋体" w:eastAsia="宋体" w:hAnsi="宋体" w:cs="宋体"/>
          <w:spacing w:val="-1"/>
        </w:rPr>
        <w:t>肌醇</w:t>
      </w:r>
      <w:r>
        <w:rPr>
          <w:rFonts w:ascii="宋体" w:eastAsia="宋体" w:hAnsi="宋体" w:cs="宋体"/>
          <w:spacing w:val="1"/>
        </w:rPr>
        <w:t xml:space="preserve"> </w:t>
      </w:r>
      <w:r>
        <w:rPr>
          <w:rFonts w:ascii="宋体" w:eastAsia="宋体" w:hAnsi="宋体" w:cs="宋体"/>
          <w:spacing w:val="-1"/>
        </w:rPr>
        <w:t>(inositol)</w:t>
      </w:r>
      <w:r>
        <w:rPr>
          <w:rFonts w:ascii="宋体" w:eastAsia="宋体" w:hAnsi="宋体" w:cs="宋体"/>
          <w:spacing w:val="-46"/>
        </w:rPr>
        <w:t xml:space="preserve"> </w:t>
      </w:r>
      <w:r>
        <w:rPr>
          <w:rFonts w:ascii="宋体" w:eastAsia="宋体" w:hAnsi="宋体" w:cs="宋体"/>
          <w:spacing w:val="-1"/>
        </w:rPr>
        <w:t>是广泛存在于食物中的一种物质，结构类似于葡萄糖。纯</w:t>
      </w:r>
      <w:r>
        <w:rPr>
          <w:rFonts w:ascii="宋体" w:eastAsia="宋体" w:hAnsi="宋体" w:cs="宋体"/>
        </w:rPr>
        <w:t xml:space="preserve"> </w:t>
      </w:r>
      <w:r>
        <w:rPr>
          <w:rFonts w:ascii="宋体" w:eastAsia="宋体" w:hAnsi="宋体" w:cs="宋体"/>
          <w:spacing w:val="-2"/>
        </w:rPr>
        <w:t>的肌醇为一种稳定的白色结晶，能溶于水而有甜味，</w:t>
      </w:r>
      <w:r>
        <w:rPr>
          <w:rFonts w:ascii="宋体" w:eastAsia="宋体" w:hAnsi="宋体" w:cs="宋体"/>
          <w:spacing w:val="-3"/>
        </w:rPr>
        <w:t>耐酸、碱及热。在动物细胞</w:t>
      </w:r>
      <w:r>
        <w:rPr>
          <w:rFonts w:ascii="宋体" w:eastAsia="宋体" w:hAnsi="宋体" w:cs="宋体"/>
        </w:rPr>
        <w:t xml:space="preserve"> </w:t>
      </w:r>
      <w:r>
        <w:rPr>
          <w:rFonts w:ascii="宋体" w:eastAsia="宋体" w:hAnsi="宋体" w:cs="宋体"/>
          <w:spacing w:val="-2"/>
        </w:rPr>
        <w:t>中，它主要以磷脂的形式出现，有时则称为肌醇磷脂</w:t>
      </w:r>
      <w:r>
        <w:rPr>
          <w:rFonts w:ascii="宋体" w:eastAsia="宋体" w:hAnsi="宋体" w:cs="宋体"/>
          <w:spacing w:val="-3"/>
        </w:rPr>
        <w:t>。在谷物中则常与磷酸结合</w:t>
      </w:r>
      <w:r>
        <w:rPr>
          <w:rFonts w:ascii="宋体" w:eastAsia="宋体" w:hAnsi="宋体" w:cs="宋体"/>
        </w:rPr>
        <w:t xml:space="preserve"> </w:t>
      </w:r>
      <w:r>
        <w:rPr>
          <w:rFonts w:ascii="宋体" w:eastAsia="宋体" w:hAnsi="宋体" w:cs="宋体"/>
          <w:spacing w:val="-2"/>
        </w:rPr>
        <w:t>形成六磷酸酯即植酸，而植酸能与钙、铁、锌结合成</w:t>
      </w:r>
      <w:r>
        <w:rPr>
          <w:rFonts w:ascii="宋体" w:eastAsia="宋体" w:hAnsi="宋体" w:cs="宋体"/>
          <w:spacing w:val="-3"/>
        </w:rPr>
        <w:t>不溶性化合物，干扰人体对</w:t>
      </w:r>
      <w:r>
        <w:rPr>
          <w:rFonts w:ascii="宋体" w:eastAsia="宋体" w:hAnsi="宋体" w:cs="宋体"/>
        </w:rPr>
        <w:t xml:space="preserve"> </w:t>
      </w:r>
      <w:r>
        <w:rPr>
          <w:rFonts w:ascii="宋体" w:eastAsia="宋体" w:hAnsi="宋体" w:cs="宋体"/>
          <w:spacing w:val="-4"/>
        </w:rPr>
        <w:t>这些化合物的吸收。但大豆中的肌醇则为游离状态。</w:t>
      </w:r>
    </w:p>
    <w:p w:rsidR="00EA40A3" w:rsidRDefault="00E86C16">
      <w:pPr>
        <w:spacing w:before="70" w:line="255" w:lineRule="auto"/>
        <w:ind w:right="52" w:firstLine="439"/>
        <w:jc w:val="both"/>
        <w:rPr>
          <w:rFonts w:ascii="宋体" w:eastAsia="宋体" w:hAnsi="宋体" w:cs="宋体"/>
        </w:rPr>
      </w:pPr>
      <w:r>
        <w:rPr>
          <w:rFonts w:ascii="宋体" w:eastAsia="宋体" w:hAnsi="宋体" w:cs="宋体"/>
          <w:spacing w:val="-3"/>
        </w:rPr>
        <w:t>肌醇的作用主要在于其亲脂性，可促进脂肪代谢，降低血胆固醇；可与胆碱</w:t>
      </w:r>
      <w:r>
        <w:rPr>
          <w:rFonts w:ascii="宋体" w:eastAsia="宋体" w:hAnsi="宋体" w:cs="宋体"/>
          <w:spacing w:val="16"/>
        </w:rPr>
        <w:t xml:space="preserve"> </w:t>
      </w:r>
      <w:r>
        <w:rPr>
          <w:rFonts w:ascii="宋体" w:eastAsia="宋体" w:hAnsi="宋体" w:cs="宋体"/>
          <w:spacing w:val="-2"/>
        </w:rPr>
        <w:t>结合，预防动脉硬化及保护心脏；还可促进机体产生卵磷脂，而卵磷脂则有助于</w:t>
      </w:r>
      <w:r>
        <w:rPr>
          <w:rFonts w:ascii="宋体" w:eastAsia="宋体" w:hAnsi="宋体" w:cs="宋体"/>
          <w:spacing w:val="11"/>
        </w:rPr>
        <w:t xml:space="preserve"> </w:t>
      </w:r>
      <w:r>
        <w:rPr>
          <w:rFonts w:ascii="宋体" w:eastAsia="宋体" w:hAnsi="宋体" w:cs="宋体"/>
          <w:spacing w:val="-2"/>
        </w:rPr>
        <w:t>将肝脏脂肪转移到细胞，可使实验动物避免脂肪肝的发生。此</w:t>
      </w:r>
      <w:r>
        <w:rPr>
          <w:rFonts w:ascii="宋体" w:eastAsia="宋体" w:hAnsi="宋体" w:cs="宋体"/>
          <w:spacing w:val="-3"/>
        </w:rPr>
        <w:t>外，肌醇在细胞膜</w:t>
      </w:r>
    </w:p>
    <w:p w:rsidR="00EA40A3" w:rsidRDefault="00E86C16">
      <w:pPr>
        <w:spacing w:before="56"/>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176</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74" w:bottom="400" w:left="800" w:header="0" w:footer="0" w:gutter="0"/>
          <w:cols w:space="720"/>
        </w:sectPr>
      </w:pPr>
    </w:p>
    <w:p w:rsidR="00EA40A3" w:rsidRDefault="00EA40A3">
      <w:pPr>
        <w:spacing w:line="308" w:lineRule="auto"/>
      </w:pPr>
    </w:p>
    <w:p w:rsidR="00EA40A3" w:rsidRDefault="00EA40A3">
      <w:pPr>
        <w:spacing w:line="308" w:lineRule="auto"/>
      </w:pPr>
    </w:p>
    <w:p w:rsidR="00EA40A3" w:rsidRDefault="00E86C16">
      <w:pPr>
        <w:spacing w:before="68" w:line="260" w:lineRule="auto"/>
        <w:ind w:left="130" w:right="92"/>
        <w:rPr>
          <w:rFonts w:ascii="宋体" w:eastAsia="宋体" w:hAnsi="宋体" w:cs="宋体"/>
        </w:rPr>
      </w:pPr>
      <w:r>
        <w:rPr>
          <w:rFonts w:ascii="宋体" w:eastAsia="宋体" w:hAnsi="宋体" w:cs="宋体"/>
          <w:spacing w:val="-3"/>
        </w:rPr>
        <w:t>的通透性、线粒体的收缩、精子的活动、离子的运载及神经介质的传递等</w:t>
      </w:r>
      <w:r>
        <w:rPr>
          <w:rFonts w:ascii="宋体" w:eastAsia="宋体" w:hAnsi="宋体" w:cs="宋体"/>
          <w:spacing w:val="-4"/>
        </w:rPr>
        <w:t>方面也</w:t>
      </w:r>
      <w:r>
        <w:rPr>
          <w:rFonts w:ascii="宋体" w:eastAsia="宋体" w:hAnsi="宋体" w:cs="宋体"/>
        </w:rPr>
        <w:t xml:space="preserve"> </w:t>
      </w:r>
      <w:r>
        <w:rPr>
          <w:rFonts w:ascii="宋体" w:eastAsia="宋体" w:hAnsi="宋体" w:cs="宋体"/>
          <w:spacing w:val="-13"/>
        </w:rPr>
        <w:t>有作用。</w:t>
      </w:r>
    </w:p>
    <w:p w:rsidR="00EA40A3" w:rsidRDefault="00E86C16">
      <w:pPr>
        <w:spacing w:before="29" w:line="259" w:lineRule="auto"/>
        <w:ind w:left="130" w:right="74" w:firstLine="399"/>
        <w:jc w:val="both"/>
        <w:rPr>
          <w:rFonts w:ascii="宋体" w:eastAsia="宋体" w:hAnsi="宋体" w:cs="宋体"/>
        </w:rPr>
      </w:pPr>
      <w:r>
        <w:rPr>
          <w:rFonts w:ascii="宋体" w:eastAsia="宋体" w:hAnsi="宋体" w:cs="宋体"/>
          <w:spacing w:val="-4"/>
        </w:rPr>
        <w:t>由于人类的食物中广泛存在肌醇，人体细胞能够合成肌醇，未发现人类有肌</w:t>
      </w:r>
      <w:r>
        <w:rPr>
          <w:rFonts w:ascii="宋体" w:eastAsia="宋体" w:hAnsi="宋体" w:cs="宋体"/>
          <w:spacing w:val="18"/>
        </w:rPr>
        <w:t xml:space="preserve"> </w:t>
      </w:r>
      <w:r>
        <w:rPr>
          <w:rFonts w:ascii="宋体" w:eastAsia="宋体" w:hAnsi="宋体" w:cs="宋体"/>
          <w:spacing w:val="-3"/>
        </w:rPr>
        <w:t>醇缺乏症。但对于一些不以牛乳蛋白作为蛋白质来源的配方食品，以及以治疗为</w:t>
      </w:r>
      <w:r>
        <w:rPr>
          <w:rFonts w:ascii="宋体" w:eastAsia="宋体" w:hAnsi="宋体" w:cs="宋体"/>
          <w:spacing w:val="14"/>
        </w:rPr>
        <w:t xml:space="preserve"> </w:t>
      </w:r>
      <w:r>
        <w:rPr>
          <w:rFonts w:ascii="宋体" w:eastAsia="宋体" w:hAnsi="宋体" w:cs="宋体"/>
          <w:spacing w:val="-3"/>
        </w:rPr>
        <w:t>目的而设计的配方食品，在肌醇很低或没有肌醇时，可能对健康有</w:t>
      </w:r>
      <w:r>
        <w:rPr>
          <w:rFonts w:ascii="宋体" w:eastAsia="宋体" w:hAnsi="宋体" w:cs="宋体"/>
          <w:spacing w:val="-4"/>
        </w:rPr>
        <w:t>影响，其缺乏</w:t>
      </w:r>
      <w:r>
        <w:rPr>
          <w:rFonts w:ascii="宋体" w:eastAsia="宋体" w:hAnsi="宋体" w:cs="宋体"/>
        </w:rPr>
        <w:t xml:space="preserve"> </w:t>
      </w:r>
      <w:r>
        <w:rPr>
          <w:rFonts w:ascii="宋体" w:eastAsia="宋体" w:hAnsi="宋体" w:cs="宋体"/>
          <w:spacing w:val="-7"/>
        </w:rPr>
        <w:t>的主要症状为生长缓慢与脱毛。</w:t>
      </w:r>
    </w:p>
    <w:p w:rsidR="00EA40A3" w:rsidRDefault="00E86C16">
      <w:pPr>
        <w:spacing w:before="64" w:line="263" w:lineRule="auto"/>
        <w:ind w:left="130" w:firstLine="399"/>
        <w:jc w:val="both"/>
        <w:rPr>
          <w:rFonts w:ascii="宋体" w:eastAsia="宋体" w:hAnsi="宋体" w:cs="宋体"/>
        </w:rPr>
      </w:pPr>
      <w:r>
        <w:rPr>
          <w:rFonts w:ascii="宋体" w:eastAsia="宋体" w:hAnsi="宋体" w:cs="宋体"/>
          <w:spacing w:val="3"/>
        </w:rPr>
        <w:t>人每天约从食物中摄入300～1000</w:t>
      </w:r>
      <w:r>
        <w:rPr>
          <w:rFonts w:ascii="宋体" w:eastAsia="宋体" w:hAnsi="宋体" w:cs="宋体"/>
        </w:rPr>
        <w:t>mg</w:t>
      </w:r>
      <w:r>
        <w:rPr>
          <w:rFonts w:ascii="宋体" w:eastAsia="宋体" w:hAnsi="宋体" w:cs="宋体"/>
          <w:spacing w:val="17"/>
        </w:rPr>
        <w:t xml:space="preserve"> </w:t>
      </w:r>
      <w:r>
        <w:rPr>
          <w:rFonts w:ascii="宋体" w:eastAsia="宋体" w:hAnsi="宋体" w:cs="宋体"/>
          <w:spacing w:val="3"/>
        </w:rPr>
        <w:t>肌醇，另外，人体还能从细胞葡萄</w:t>
      </w:r>
      <w:r>
        <w:rPr>
          <w:rFonts w:ascii="宋体" w:eastAsia="宋体" w:hAnsi="宋体" w:cs="宋体"/>
          <w:spacing w:val="2"/>
        </w:rPr>
        <w:t>糖</w:t>
      </w:r>
      <w:r>
        <w:rPr>
          <w:rFonts w:ascii="宋体" w:eastAsia="宋体" w:hAnsi="宋体" w:cs="宋体"/>
        </w:rPr>
        <w:t xml:space="preserve">  </w:t>
      </w:r>
      <w:r>
        <w:rPr>
          <w:rFonts w:ascii="宋体" w:eastAsia="宋体" w:hAnsi="宋体" w:cs="宋体"/>
          <w:spacing w:val="3"/>
        </w:rPr>
        <w:t>合成足以供自身需要的肌醇。肾是肌醇分解代谢的基本单位，但从尿中排泄不</w:t>
      </w:r>
      <w:r>
        <w:rPr>
          <w:rFonts w:ascii="宋体" w:eastAsia="宋体" w:hAnsi="宋体" w:cs="宋体"/>
          <w:spacing w:val="18"/>
        </w:rPr>
        <w:t xml:space="preserve"> </w:t>
      </w:r>
      <w:r>
        <w:rPr>
          <w:rFonts w:ascii="宋体" w:eastAsia="宋体" w:hAnsi="宋体" w:cs="宋体"/>
          <w:spacing w:val="2"/>
        </w:rPr>
        <w:t>多，平均约37</w:t>
      </w:r>
      <w:r>
        <w:rPr>
          <w:rFonts w:ascii="宋体" w:eastAsia="宋体" w:hAnsi="宋体" w:cs="宋体"/>
        </w:rPr>
        <w:t>mg</w:t>
      </w:r>
      <w:r>
        <w:rPr>
          <w:rFonts w:ascii="宋体" w:eastAsia="宋体" w:hAnsi="宋体" w:cs="宋体"/>
          <w:spacing w:val="2"/>
        </w:rPr>
        <w:t>,</w:t>
      </w:r>
      <w:r>
        <w:rPr>
          <w:rFonts w:ascii="宋体" w:eastAsia="宋体" w:hAnsi="宋体" w:cs="宋体"/>
          <w:spacing w:val="42"/>
        </w:rPr>
        <w:t xml:space="preserve"> </w:t>
      </w:r>
      <w:r>
        <w:rPr>
          <w:rFonts w:ascii="宋体" w:eastAsia="宋体" w:hAnsi="宋体" w:cs="宋体"/>
          <w:spacing w:val="2"/>
        </w:rPr>
        <w:t>可糖尿病人的排泄量远远超过此量。</w:t>
      </w:r>
      <w:r>
        <w:rPr>
          <w:rFonts w:ascii="宋体" w:eastAsia="宋体" w:hAnsi="宋体" w:cs="宋体"/>
          <w:spacing w:val="1"/>
        </w:rPr>
        <w:t>肌醇的丰富来源为动物</w:t>
      </w:r>
      <w:r>
        <w:rPr>
          <w:rFonts w:ascii="宋体" w:eastAsia="宋体" w:hAnsi="宋体" w:cs="宋体"/>
        </w:rPr>
        <w:t xml:space="preserve">  </w:t>
      </w:r>
      <w:r>
        <w:rPr>
          <w:rFonts w:ascii="宋体" w:eastAsia="宋体" w:hAnsi="宋体" w:cs="宋体"/>
          <w:spacing w:val="-1"/>
        </w:rPr>
        <w:t>的肾、脑、肝、心、酵母及麦芽，还有柑橘类水果。其良好来源为瘦肉、水果、</w:t>
      </w:r>
      <w:r>
        <w:rPr>
          <w:rFonts w:ascii="宋体" w:eastAsia="宋体" w:hAnsi="宋体" w:cs="宋体"/>
          <w:spacing w:val="18"/>
        </w:rPr>
        <w:t xml:space="preserve"> </w:t>
      </w:r>
      <w:r>
        <w:rPr>
          <w:rFonts w:ascii="宋体" w:eastAsia="宋体" w:hAnsi="宋体" w:cs="宋体"/>
          <w:spacing w:val="-6"/>
        </w:rPr>
        <w:t>全谷、坚果、豆类、牛奶及蔬菜。</w:t>
      </w:r>
    </w:p>
    <w:p w:rsidR="00EA40A3" w:rsidRDefault="00E86C16">
      <w:pPr>
        <w:spacing w:before="284" w:line="587" w:lineRule="exact"/>
        <w:ind w:left="2500"/>
        <w:rPr>
          <w:rFonts w:ascii="宋体" w:eastAsia="宋体" w:hAnsi="宋体" w:cs="宋体"/>
          <w:sz w:val="28"/>
          <w:szCs w:val="28"/>
        </w:rPr>
      </w:pPr>
      <w:r>
        <w:rPr>
          <w:rFonts w:ascii="宋体" w:eastAsia="宋体" w:hAnsi="宋体" w:cs="宋体"/>
          <w:spacing w:val="-3"/>
          <w:position w:val="23"/>
          <w:sz w:val="28"/>
          <w:szCs w:val="28"/>
        </w:rPr>
        <w:t>5.15</w:t>
      </w:r>
      <w:r>
        <w:rPr>
          <w:rFonts w:ascii="宋体" w:eastAsia="宋体" w:hAnsi="宋体" w:cs="宋体"/>
          <w:spacing w:val="118"/>
          <w:position w:val="23"/>
          <w:sz w:val="28"/>
          <w:szCs w:val="28"/>
        </w:rPr>
        <w:t xml:space="preserve"> </w:t>
      </w:r>
      <w:r>
        <w:rPr>
          <w:rFonts w:ascii="宋体" w:eastAsia="宋体" w:hAnsi="宋体" w:cs="宋体"/>
          <w:spacing w:val="-3"/>
          <w:position w:val="23"/>
          <w:sz w:val="28"/>
          <w:szCs w:val="28"/>
        </w:rPr>
        <w:t>其他功能成分</w:t>
      </w:r>
    </w:p>
    <w:p w:rsidR="00EA40A3" w:rsidRDefault="00E86C16">
      <w:pPr>
        <w:spacing w:line="220" w:lineRule="auto"/>
        <w:ind w:left="529"/>
        <w:rPr>
          <w:rFonts w:ascii="宋体" w:eastAsia="宋体" w:hAnsi="宋体" w:cs="宋体"/>
        </w:rPr>
      </w:pPr>
      <w:r>
        <w:rPr>
          <w:rFonts w:ascii="宋体" w:eastAsia="宋体" w:hAnsi="宋体" w:cs="宋体"/>
          <w:spacing w:val="-3"/>
        </w:rPr>
        <w:t>食物中其他功能成分如表5-2。</w:t>
      </w:r>
    </w:p>
    <w:p w:rsidR="00EA40A3" w:rsidRDefault="00E86C16">
      <w:pPr>
        <w:spacing w:before="195" w:line="222" w:lineRule="auto"/>
        <w:ind w:left="2622"/>
        <w:rPr>
          <w:rFonts w:ascii="黑体" w:eastAsia="黑体" w:hAnsi="黑体" w:cs="黑体"/>
          <w:sz w:val="17"/>
          <w:szCs w:val="17"/>
        </w:rPr>
      </w:pPr>
      <w:r>
        <w:rPr>
          <w:rFonts w:ascii="黑体" w:eastAsia="黑体" w:hAnsi="黑体" w:cs="黑体"/>
          <w:b/>
          <w:bCs/>
          <w:spacing w:val="6"/>
          <w:sz w:val="17"/>
          <w:szCs w:val="17"/>
        </w:rPr>
        <w:t>表5-2</w:t>
      </w:r>
      <w:r>
        <w:rPr>
          <w:rFonts w:ascii="黑体" w:eastAsia="黑体" w:hAnsi="黑体" w:cs="黑体"/>
          <w:spacing w:val="79"/>
          <w:sz w:val="17"/>
          <w:szCs w:val="17"/>
        </w:rPr>
        <w:t xml:space="preserve"> </w:t>
      </w:r>
      <w:r>
        <w:rPr>
          <w:rFonts w:ascii="黑体" w:eastAsia="黑体" w:hAnsi="黑体" w:cs="黑体"/>
          <w:b/>
          <w:bCs/>
          <w:spacing w:val="6"/>
          <w:sz w:val="17"/>
          <w:szCs w:val="17"/>
        </w:rPr>
        <w:t>食物中其他功能成分</w:t>
      </w:r>
    </w:p>
    <w:p w:rsidR="00EA40A3" w:rsidRDefault="00EA40A3">
      <w:pPr>
        <w:spacing w:line="35" w:lineRule="exact"/>
      </w:pPr>
    </w:p>
    <w:tbl>
      <w:tblPr>
        <w:tblStyle w:val="TableNormal"/>
        <w:tblW w:w="7399" w:type="dxa"/>
        <w:tblInd w:w="0" w:type="dxa"/>
        <w:tblBorders>
          <w:top w:val="none" w:sz="8" w:space="0" w:color="000000"/>
          <w:left w:val="none" w:sz="8" w:space="0" w:color="000000"/>
          <w:bottom w:val="none" w:sz="8" w:space="0" w:color="000000"/>
          <w:right w:val="none" w:sz="8" w:space="0" w:color="000000"/>
          <w:insideH w:val="none" w:sz="8" w:space="0" w:color="000000"/>
          <w:insideV w:val="none" w:sz="8" w:space="0" w:color="000000"/>
        </w:tblBorders>
        <w:tblLayout w:type="fixed"/>
        <w:tblLook w:val="04A0" w:firstRow="1" w:lastRow="0" w:firstColumn="1" w:lastColumn="0" w:noHBand="0" w:noVBand="1"/>
      </w:tblPr>
      <w:tblGrid>
        <w:gridCol w:w="1067"/>
        <w:gridCol w:w="3776"/>
        <w:gridCol w:w="2556"/>
      </w:tblGrid>
      <w:tr w:rsidR="00EA40A3">
        <w:trPr>
          <w:trHeight w:val="294"/>
        </w:trPr>
        <w:tc>
          <w:tcPr>
            <w:tcW w:w="7399" w:type="dxa"/>
            <w:gridSpan w:val="3"/>
            <w:tcBorders>
              <w:top w:val="single" w:sz="4" w:space="0" w:color="000000"/>
              <w:left w:val="nil"/>
              <w:bottom w:val="single" w:sz="4" w:space="0" w:color="000000"/>
              <w:right w:val="nil"/>
            </w:tcBorders>
          </w:tcPr>
          <w:p w:rsidR="00EA40A3" w:rsidRDefault="00E86C16">
            <w:pPr>
              <w:spacing w:before="92" w:line="210" w:lineRule="auto"/>
              <w:ind w:left="339"/>
              <w:rPr>
                <w:rFonts w:ascii="宋体" w:eastAsia="宋体" w:hAnsi="宋体" w:cs="宋体"/>
                <w:sz w:val="16"/>
                <w:szCs w:val="16"/>
              </w:rPr>
            </w:pPr>
            <w:r>
              <w:rPr>
                <w:rFonts w:ascii="宋体" w:eastAsia="宋体" w:hAnsi="宋体" w:cs="宋体"/>
                <w:spacing w:val="-1"/>
                <w:position w:val="1"/>
                <w:sz w:val="16"/>
                <w:szCs w:val="16"/>
              </w:rPr>
              <w:t>功能成分</w:t>
            </w:r>
            <w:r>
              <w:rPr>
                <w:rFonts w:ascii="宋体" w:eastAsia="宋体" w:hAnsi="宋体" w:cs="宋体"/>
                <w:spacing w:val="3"/>
                <w:position w:val="1"/>
                <w:sz w:val="16"/>
                <w:szCs w:val="16"/>
              </w:rPr>
              <w:t xml:space="preserve">                    </w:t>
            </w:r>
            <w:r>
              <w:rPr>
                <w:rFonts w:ascii="宋体" w:eastAsia="宋体" w:hAnsi="宋体" w:cs="宋体"/>
                <w:spacing w:val="-1"/>
                <w:position w:val="-1"/>
                <w:sz w:val="16"/>
                <w:szCs w:val="16"/>
              </w:rPr>
              <w:t>主要生理功能</w:t>
            </w:r>
            <w:r>
              <w:rPr>
                <w:rFonts w:ascii="宋体" w:eastAsia="宋体" w:hAnsi="宋体" w:cs="宋体"/>
                <w:spacing w:val="1"/>
                <w:position w:val="-1"/>
                <w:sz w:val="16"/>
                <w:szCs w:val="16"/>
              </w:rPr>
              <w:t xml:space="preserve">                          </w:t>
            </w:r>
            <w:r>
              <w:rPr>
                <w:rFonts w:ascii="宋体" w:eastAsia="宋体" w:hAnsi="宋体" w:cs="宋体"/>
                <w:spacing w:val="-1"/>
                <w:sz w:val="16"/>
                <w:szCs w:val="16"/>
              </w:rPr>
              <w:t>富含的食物</w:t>
            </w:r>
          </w:p>
        </w:tc>
      </w:tr>
      <w:tr w:rsidR="00EA40A3">
        <w:trPr>
          <w:trHeight w:val="1673"/>
        </w:trPr>
        <w:tc>
          <w:tcPr>
            <w:tcW w:w="1067" w:type="dxa"/>
            <w:tcBorders>
              <w:top w:val="single" w:sz="4" w:space="0" w:color="000000"/>
              <w:left w:val="nil"/>
            </w:tcBorders>
          </w:tcPr>
          <w:p w:rsidR="00EA40A3" w:rsidRDefault="00EA40A3">
            <w:pPr>
              <w:spacing w:line="303" w:lineRule="auto"/>
            </w:pPr>
          </w:p>
          <w:p w:rsidR="00EA40A3" w:rsidRDefault="00E86C16">
            <w:pPr>
              <w:spacing w:before="52" w:line="219" w:lineRule="auto"/>
              <w:ind w:left="119"/>
              <w:rPr>
                <w:rFonts w:ascii="宋体" w:eastAsia="宋体" w:hAnsi="宋体" w:cs="宋体"/>
                <w:sz w:val="16"/>
                <w:szCs w:val="16"/>
              </w:rPr>
            </w:pPr>
            <w:r>
              <w:rPr>
                <w:rFonts w:ascii="宋体" w:eastAsia="宋体" w:hAnsi="宋体" w:cs="宋体"/>
                <w:spacing w:val="-2"/>
                <w:sz w:val="16"/>
                <w:szCs w:val="16"/>
              </w:rPr>
              <w:t>氰苷</w:t>
            </w:r>
          </w:p>
          <w:p w:rsidR="00EA40A3" w:rsidRDefault="00E86C16">
            <w:pPr>
              <w:spacing w:before="4" w:line="234" w:lineRule="auto"/>
              <w:ind w:left="119" w:right="155"/>
              <w:rPr>
                <w:rFonts w:ascii="宋体" w:eastAsia="宋体" w:hAnsi="宋体" w:cs="宋体"/>
                <w:sz w:val="16"/>
                <w:szCs w:val="16"/>
              </w:rPr>
            </w:pPr>
            <w:r>
              <w:rPr>
                <w:rFonts w:ascii="宋体" w:eastAsia="宋体" w:hAnsi="宋体" w:cs="宋体"/>
                <w:spacing w:val="-4"/>
                <w:sz w:val="16"/>
                <w:szCs w:val="16"/>
              </w:rPr>
              <w:t>(cynogenic</w:t>
            </w:r>
            <w:r>
              <w:rPr>
                <w:rFonts w:ascii="宋体" w:eastAsia="宋体" w:hAnsi="宋体" w:cs="宋体"/>
                <w:spacing w:val="4"/>
                <w:sz w:val="16"/>
                <w:szCs w:val="16"/>
              </w:rPr>
              <w:t xml:space="preserve"> </w:t>
            </w:r>
            <w:r>
              <w:rPr>
                <w:rFonts w:ascii="宋体" w:eastAsia="宋体" w:hAnsi="宋体" w:cs="宋体"/>
                <w:spacing w:val="-1"/>
                <w:sz w:val="16"/>
                <w:szCs w:val="16"/>
              </w:rPr>
              <w:t>glycoside)</w:t>
            </w:r>
          </w:p>
        </w:tc>
        <w:tc>
          <w:tcPr>
            <w:tcW w:w="3776" w:type="dxa"/>
            <w:tcBorders>
              <w:top w:val="single" w:sz="4" w:space="0" w:color="000000"/>
            </w:tcBorders>
          </w:tcPr>
          <w:p w:rsidR="00EA40A3" w:rsidRDefault="00E86C16">
            <w:pPr>
              <w:spacing w:before="137" w:line="238" w:lineRule="auto"/>
              <w:ind w:left="82" w:right="46" w:firstLine="20"/>
              <w:jc w:val="both"/>
              <w:rPr>
                <w:rFonts w:ascii="宋体" w:eastAsia="宋体" w:hAnsi="宋体" w:cs="宋体"/>
                <w:sz w:val="16"/>
                <w:szCs w:val="16"/>
              </w:rPr>
            </w:pPr>
            <w:r>
              <w:rPr>
                <w:rFonts w:ascii="宋体" w:eastAsia="宋体" w:hAnsi="宋体" w:cs="宋体"/>
                <w:spacing w:val="12"/>
                <w:sz w:val="16"/>
                <w:szCs w:val="16"/>
              </w:rPr>
              <w:t>由含氰基(一C=N)的氰醇衍生物和1～2个单糖结</w:t>
            </w:r>
            <w:r>
              <w:rPr>
                <w:rFonts w:ascii="宋体" w:eastAsia="宋体" w:hAnsi="宋体" w:cs="宋体"/>
                <w:sz w:val="16"/>
                <w:szCs w:val="16"/>
              </w:rPr>
              <w:t xml:space="preserve"> </w:t>
            </w:r>
            <w:r>
              <w:rPr>
                <w:rFonts w:ascii="宋体" w:eastAsia="宋体" w:hAnsi="宋体" w:cs="宋体"/>
                <w:spacing w:val="-2"/>
                <w:sz w:val="16"/>
                <w:szCs w:val="16"/>
              </w:rPr>
              <w:t>合而成，是一种含氰化物、可能有毒的物质，能给机</w:t>
            </w:r>
            <w:r>
              <w:rPr>
                <w:rFonts w:ascii="宋体" w:eastAsia="宋体" w:hAnsi="宋体" w:cs="宋体"/>
                <w:spacing w:val="11"/>
                <w:sz w:val="16"/>
                <w:szCs w:val="16"/>
              </w:rPr>
              <w:t xml:space="preserve"> </w:t>
            </w:r>
            <w:r>
              <w:rPr>
                <w:rFonts w:ascii="宋体" w:eastAsia="宋体" w:hAnsi="宋体" w:cs="宋体"/>
                <w:spacing w:val="-2"/>
                <w:sz w:val="16"/>
                <w:szCs w:val="16"/>
              </w:rPr>
              <w:t>体提供低剂量而恒定的氰酸，具有镇咳作用。人和其</w:t>
            </w:r>
            <w:r>
              <w:rPr>
                <w:rFonts w:ascii="宋体" w:eastAsia="宋体" w:hAnsi="宋体" w:cs="宋体"/>
                <w:spacing w:val="11"/>
                <w:sz w:val="16"/>
                <w:szCs w:val="16"/>
              </w:rPr>
              <w:t xml:space="preserve"> </w:t>
            </w:r>
            <w:r>
              <w:rPr>
                <w:rFonts w:ascii="宋体" w:eastAsia="宋体" w:hAnsi="宋体" w:cs="宋体"/>
                <w:spacing w:val="-2"/>
                <w:sz w:val="16"/>
                <w:szCs w:val="16"/>
              </w:rPr>
              <w:t>他哺乳动物有一种硫氰酸酶，能使氰化物转变成硫氰</w:t>
            </w:r>
            <w:r>
              <w:rPr>
                <w:rFonts w:ascii="宋体" w:eastAsia="宋体" w:hAnsi="宋体" w:cs="宋体"/>
                <w:spacing w:val="11"/>
                <w:sz w:val="16"/>
                <w:szCs w:val="16"/>
              </w:rPr>
              <w:t xml:space="preserve"> </w:t>
            </w:r>
            <w:r>
              <w:rPr>
                <w:rFonts w:ascii="宋体" w:eastAsia="宋体" w:hAnsi="宋体" w:cs="宋体"/>
                <w:spacing w:val="1"/>
                <w:sz w:val="16"/>
                <w:szCs w:val="16"/>
              </w:rPr>
              <w:t>酸盐，在预防和治疗癌症方面可能有一定作用</w:t>
            </w:r>
          </w:p>
          <w:p w:rsidR="00EA40A3" w:rsidRDefault="00E86C16">
            <w:pPr>
              <w:spacing w:before="105" w:line="230" w:lineRule="auto"/>
              <w:ind w:left="92" w:right="104"/>
              <w:rPr>
                <w:rFonts w:ascii="宋体" w:eastAsia="宋体" w:hAnsi="宋体" w:cs="宋体"/>
                <w:sz w:val="16"/>
                <w:szCs w:val="16"/>
              </w:rPr>
            </w:pPr>
            <w:r>
              <w:rPr>
                <w:rFonts w:ascii="宋体" w:eastAsia="宋体" w:hAnsi="宋体" w:cs="宋体"/>
                <w:spacing w:val="2"/>
                <w:sz w:val="16"/>
                <w:szCs w:val="16"/>
              </w:rPr>
              <w:t>可清除机体代谢过程中所产生的过量O²</w:t>
            </w:r>
            <w:r>
              <w:rPr>
                <w:rFonts w:ascii="宋体" w:eastAsia="宋体" w:hAnsi="宋体" w:cs="宋体"/>
                <w:spacing w:val="-4"/>
                <w:sz w:val="16"/>
                <w:szCs w:val="16"/>
              </w:rPr>
              <w:t xml:space="preserve"> </w:t>
            </w:r>
            <w:r>
              <w:rPr>
                <w:rFonts w:ascii="宋体" w:eastAsia="宋体" w:hAnsi="宋体" w:cs="宋体"/>
                <w:spacing w:val="2"/>
                <w:sz w:val="16"/>
                <w:szCs w:val="16"/>
              </w:rPr>
              <w:t>·</w:t>
            </w:r>
            <w:r>
              <w:rPr>
                <w:rFonts w:ascii="宋体" w:eastAsia="宋体" w:hAnsi="宋体" w:cs="宋体"/>
                <w:spacing w:val="-65"/>
                <w:sz w:val="16"/>
                <w:szCs w:val="16"/>
              </w:rPr>
              <w:t xml:space="preserve"> </w:t>
            </w:r>
            <w:r>
              <w:rPr>
                <w:rFonts w:ascii="宋体" w:eastAsia="宋体" w:hAnsi="宋体" w:cs="宋体"/>
                <w:spacing w:val="2"/>
                <w:sz w:val="16"/>
                <w:szCs w:val="16"/>
              </w:rPr>
              <w:t>,延缓由</w:t>
            </w:r>
            <w:r>
              <w:rPr>
                <w:rFonts w:ascii="宋体" w:eastAsia="宋体" w:hAnsi="宋体" w:cs="宋体"/>
                <w:sz w:val="16"/>
                <w:szCs w:val="16"/>
              </w:rPr>
              <w:t xml:space="preserve"> </w:t>
            </w:r>
            <w:r>
              <w:rPr>
                <w:rFonts w:ascii="宋体" w:eastAsia="宋体" w:hAnsi="宋体" w:cs="宋体"/>
                <w:spacing w:val="2"/>
                <w:sz w:val="16"/>
                <w:szCs w:val="16"/>
              </w:rPr>
              <w:t>于自由基侵害而出现的衰老现象；可提高人体对那</w:t>
            </w:r>
          </w:p>
        </w:tc>
        <w:tc>
          <w:tcPr>
            <w:tcW w:w="2556" w:type="dxa"/>
            <w:vMerge w:val="restart"/>
            <w:tcBorders>
              <w:top w:val="single" w:sz="4" w:space="0" w:color="000000"/>
              <w:bottom w:val="nil"/>
              <w:right w:val="nil"/>
            </w:tcBorders>
          </w:tcPr>
          <w:p w:rsidR="00EA40A3" w:rsidRDefault="00E86C16">
            <w:pPr>
              <w:spacing w:before="136" w:line="219" w:lineRule="auto"/>
              <w:ind w:left="136"/>
              <w:rPr>
                <w:rFonts w:ascii="宋体" w:eastAsia="宋体" w:hAnsi="宋体" w:cs="宋体"/>
                <w:sz w:val="16"/>
                <w:szCs w:val="16"/>
              </w:rPr>
            </w:pPr>
            <w:r>
              <w:rPr>
                <w:rFonts w:ascii="宋体" w:eastAsia="宋体" w:hAnsi="宋体" w:cs="宋体"/>
                <w:spacing w:val="-1"/>
                <w:sz w:val="16"/>
                <w:szCs w:val="16"/>
              </w:rPr>
              <w:t>蔷薇科植物如桃、杏、梅、枇杷</w:t>
            </w:r>
          </w:p>
          <w:p w:rsidR="00EA40A3" w:rsidRDefault="00E86C16">
            <w:pPr>
              <w:spacing w:line="242" w:lineRule="auto"/>
              <w:ind w:left="56" w:right="18" w:firstLine="80"/>
              <w:rPr>
                <w:rFonts w:ascii="宋体" w:eastAsia="宋体" w:hAnsi="宋体" w:cs="宋体"/>
                <w:sz w:val="16"/>
                <w:szCs w:val="16"/>
              </w:rPr>
            </w:pPr>
            <w:r>
              <w:rPr>
                <w:rFonts w:ascii="宋体" w:eastAsia="宋体" w:hAnsi="宋体" w:cs="宋体"/>
                <w:spacing w:val="-1"/>
                <w:sz w:val="16"/>
                <w:szCs w:val="16"/>
              </w:rPr>
              <w:t>等的种子、叶与树皮中较多。在</w:t>
            </w:r>
            <w:r>
              <w:rPr>
                <w:rFonts w:ascii="宋体" w:eastAsia="宋体" w:hAnsi="宋体" w:cs="宋体"/>
                <w:spacing w:val="1"/>
                <w:sz w:val="16"/>
                <w:szCs w:val="16"/>
              </w:rPr>
              <w:t xml:space="preserve">   </w:t>
            </w:r>
            <w:r>
              <w:rPr>
                <w:rFonts w:ascii="宋体" w:eastAsia="宋体" w:hAnsi="宋体" w:cs="宋体"/>
                <w:spacing w:val="5"/>
                <w:sz w:val="16"/>
                <w:szCs w:val="16"/>
              </w:rPr>
              <w:t>忍冬科、豆科、亚麻科、大戟科、</w:t>
            </w:r>
          </w:p>
          <w:p w:rsidR="00EA40A3" w:rsidRDefault="00E86C16">
            <w:pPr>
              <w:spacing w:before="10" w:line="232" w:lineRule="auto"/>
              <w:ind w:left="86" w:right="164" w:firstLine="50"/>
              <w:rPr>
                <w:rFonts w:ascii="宋体" w:eastAsia="宋体" w:hAnsi="宋体" w:cs="宋体"/>
                <w:sz w:val="16"/>
                <w:szCs w:val="16"/>
              </w:rPr>
            </w:pPr>
            <w:r>
              <w:rPr>
                <w:rFonts w:ascii="宋体" w:eastAsia="宋体" w:hAnsi="宋体" w:cs="宋体"/>
                <w:spacing w:val="1"/>
                <w:sz w:val="16"/>
                <w:szCs w:val="16"/>
              </w:rPr>
              <w:t>景天科等植物中也有。木薯含约</w:t>
            </w:r>
            <w:r>
              <w:rPr>
                <w:rFonts w:ascii="宋体" w:eastAsia="宋体" w:hAnsi="宋体" w:cs="宋体"/>
                <w:sz w:val="16"/>
                <w:szCs w:val="16"/>
              </w:rPr>
              <w:t xml:space="preserve"> </w:t>
            </w:r>
            <w:r>
              <w:rPr>
                <w:rFonts w:ascii="宋体" w:eastAsia="宋体" w:hAnsi="宋体" w:cs="宋体"/>
                <w:spacing w:val="-1"/>
                <w:sz w:val="16"/>
                <w:szCs w:val="16"/>
              </w:rPr>
              <w:t>0.5%的苦杏仁苷</w:t>
            </w:r>
          </w:p>
          <w:p w:rsidR="00EA40A3" w:rsidRDefault="00E86C16">
            <w:pPr>
              <w:spacing w:before="118" w:line="227" w:lineRule="auto"/>
              <w:ind w:left="136" w:right="172" w:firstLine="39"/>
              <w:jc w:val="both"/>
              <w:rPr>
                <w:rFonts w:ascii="宋体" w:eastAsia="宋体" w:hAnsi="宋体" w:cs="宋体"/>
                <w:sz w:val="16"/>
                <w:szCs w:val="16"/>
              </w:rPr>
            </w:pPr>
            <w:r>
              <w:rPr>
                <w:rFonts w:ascii="宋体" w:eastAsia="宋体" w:hAnsi="宋体" w:cs="宋体"/>
                <w:spacing w:val="-1"/>
                <w:sz w:val="16"/>
                <w:szCs w:val="16"/>
              </w:rPr>
              <w:t>SOD存在于几乎所有靠有氧呼吸</w:t>
            </w:r>
            <w:r>
              <w:rPr>
                <w:rFonts w:ascii="宋体" w:eastAsia="宋体" w:hAnsi="宋体" w:cs="宋体"/>
                <w:spacing w:val="7"/>
                <w:sz w:val="16"/>
                <w:szCs w:val="16"/>
              </w:rPr>
              <w:t xml:space="preserve"> </w:t>
            </w:r>
            <w:r>
              <w:rPr>
                <w:rFonts w:ascii="宋体" w:eastAsia="宋体" w:hAnsi="宋体" w:cs="宋体"/>
                <w:sz w:val="16"/>
                <w:szCs w:val="16"/>
              </w:rPr>
              <w:t>的生物体内，从细菌、真菌、高</w:t>
            </w:r>
            <w:r>
              <w:rPr>
                <w:rFonts w:ascii="宋体" w:eastAsia="宋体" w:hAnsi="宋体" w:cs="宋体"/>
                <w:spacing w:val="5"/>
                <w:sz w:val="16"/>
                <w:szCs w:val="16"/>
              </w:rPr>
              <w:t xml:space="preserve"> </w:t>
            </w:r>
            <w:r>
              <w:rPr>
                <w:rFonts w:ascii="宋体" w:eastAsia="宋体" w:hAnsi="宋体" w:cs="宋体"/>
                <w:spacing w:val="-1"/>
                <w:sz w:val="16"/>
                <w:szCs w:val="16"/>
              </w:rPr>
              <w:t>等植物、高等动物直至人体内均</w:t>
            </w:r>
          </w:p>
          <w:p w:rsidR="00EA40A3" w:rsidRDefault="00E86C16">
            <w:pPr>
              <w:spacing w:before="29" w:line="231" w:lineRule="auto"/>
              <w:ind w:left="76" w:right="185" w:firstLine="99"/>
              <w:jc w:val="both"/>
              <w:rPr>
                <w:rFonts w:ascii="宋体" w:eastAsia="宋体" w:hAnsi="宋体" w:cs="宋体"/>
                <w:sz w:val="16"/>
                <w:szCs w:val="16"/>
              </w:rPr>
            </w:pPr>
            <w:r>
              <w:rPr>
                <w:rFonts w:ascii="宋体" w:eastAsia="宋体" w:hAnsi="宋体" w:cs="宋体"/>
                <w:spacing w:val="-1"/>
                <w:sz w:val="16"/>
                <w:szCs w:val="16"/>
              </w:rPr>
              <w:t>有存在。含SOD较高的天然植物</w:t>
            </w:r>
            <w:r>
              <w:rPr>
                <w:rFonts w:ascii="宋体" w:eastAsia="宋体" w:hAnsi="宋体" w:cs="宋体"/>
                <w:spacing w:val="7"/>
                <w:sz w:val="16"/>
                <w:szCs w:val="16"/>
              </w:rPr>
              <w:t xml:space="preserve"> </w:t>
            </w:r>
            <w:r>
              <w:rPr>
                <w:rFonts w:ascii="宋体" w:eastAsia="宋体" w:hAnsi="宋体" w:cs="宋体"/>
                <w:spacing w:val="3"/>
                <w:sz w:val="16"/>
                <w:szCs w:val="16"/>
              </w:rPr>
              <w:t>有大蒜，其他如油菜、柠檬和番</w:t>
            </w:r>
            <w:r>
              <w:rPr>
                <w:rFonts w:ascii="宋体" w:eastAsia="宋体" w:hAnsi="宋体" w:cs="宋体"/>
                <w:spacing w:val="10"/>
                <w:sz w:val="16"/>
                <w:szCs w:val="16"/>
              </w:rPr>
              <w:t xml:space="preserve"> </w:t>
            </w:r>
            <w:r>
              <w:rPr>
                <w:rFonts w:ascii="宋体" w:eastAsia="宋体" w:hAnsi="宋体" w:cs="宋体"/>
                <w:spacing w:val="-2"/>
                <w:sz w:val="16"/>
                <w:szCs w:val="16"/>
              </w:rPr>
              <w:t>茄等也含有</w:t>
            </w:r>
          </w:p>
          <w:p w:rsidR="00EA40A3" w:rsidRDefault="00E86C16">
            <w:pPr>
              <w:spacing w:before="89" w:line="234" w:lineRule="auto"/>
              <w:ind w:left="76" w:right="99" w:firstLine="60"/>
              <w:jc w:val="both"/>
              <w:rPr>
                <w:rFonts w:ascii="宋体" w:eastAsia="宋体" w:hAnsi="宋体" w:cs="宋体"/>
                <w:sz w:val="16"/>
                <w:szCs w:val="16"/>
              </w:rPr>
            </w:pPr>
            <w:r>
              <w:rPr>
                <w:rFonts w:ascii="宋体" w:eastAsia="宋体" w:hAnsi="宋体" w:cs="宋体"/>
                <w:spacing w:val="-1"/>
                <w:sz w:val="16"/>
                <w:szCs w:val="16"/>
              </w:rPr>
              <w:t>主要存在于米糠油、胚芽油、稞</w:t>
            </w:r>
            <w:r>
              <w:rPr>
                <w:rFonts w:ascii="宋体" w:eastAsia="宋体" w:hAnsi="宋体" w:cs="宋体"/>
                <w:spacing w:val="2"/>
                <w:sz w:val="16"/>
                <w:szCs w:val="16"/>
              </w:rPr>
              <w:t xml:space="preserve">  </w:t>
            </w:r>
            <w:r>
              <w:rPr>
                <w:rFonts w:ascii="宋体" w:eastAsia="宋体" w:hAnsi="宋体" w:cs="宋体"/>
                <w:spacing w:val="9"/>
                <w:sz w:val="16"/>
                <w:szCs w:val="16"/>
              </w:rPr>
              <w:t>麦糠油和菜籽油等谷物油脂中，</w:t>
            </w:r>
            <w:r>
              <w:rPr>
                <w:rFonts w:ascii="宋体" w:eastAsia="宋体" w:hAnsi="宋体" w:cs="宋体"/>
                <w:spacing w:val="12"/>
                <w:sz w:val="16"/>
                <w:szCs w:val="16"/>
              </w:rPr>
              <w:t xml:space="preserve"> </w:t>
            </w:r>
            <w:r>
              <w:rPr>
                <w:rFonts w:ascii="宋体" w:eastAsia="宋体" w:hAnsi="宋体" w:cs="宋体"/>
                <w:spacing w:val="-4"/>
                <w:sz w:val="16"/>
                <w:szCs w:val="16"/>
              </w:rPr>
              <w:t>以毛糠油含量最高。</w:t>
            </w:r>
            <w:r>
              <w:rPr>
                <w:rFonts w:ascii="宋体" w:eastAsia="宋体" w:hAnsi="宋体" w:cs="宋体"/>
                <w:spacing w:val="45"/>
                <w:sz w:val="16"/>
                <w:szCs w:val="16"/>
              </w:rPr>
              <w:t xml:space="preserve"> </w:t>
            </w:r>
            <w:r>
              <w:rPr>
                <w:rFonts w:ascii="宋体" w:eastAsia="宋体" w:hAnsi="宋体" w:cs="宋体"/>
                <w:spacing w:val="-4"/>
                <w:sz w:val="16"/>
                <w:szCs w:val="16"/>
              </w:rPr>
              <w:t>一般寒带稻</w:t>
            </w:r>
            <w:r>
              <w:rPr>
                <w:rFonts w:ascii="宋体" w:eastAsia="宋体" w:hAnsi="宋体" w:cs="宋体"/>
                <w:sz w:val="16"/>
                <w:szCs w:val="16"/>
              </w:rPr>
              <w:t xml:space="preserve">  </w:t>
            </w:r>
            <w:r>
              <w:rPr>
                <w:rFonts w:ascii="宋体" w:eastAsia="宋体" w:hAnsi="宋体" w:cs="宋体"/>
                <w:spacing w:val="-1"/>
                <w:sz w:val="16"/>
                <w:szCs w:val="16"/>
              </w:rPr>
              <w:t>谷米糠的谷维素高于热带稻谷</w:t>
            </w:r>
          </w:p>
          <w:p w:rsidR="00EA40A3" w:rsidRDefault="00EA40A3">
            <w:pPr>
              <w:spacing w:line="346" w:lineRule="auto"/>
            </w:pPr>
          </w:p>
          <w:p w:rsidR="00EA40A3" w:rsidRDefault="00E86C16">
            <w:pPr>
              <w:spacing w:before="52" w:line="224" w:lineRule="auto"/>
              <w:ind w:left="66" w:right="185" w:firstLine="70"/>
              <w:rPr>
                <w:rFonts w:ascii="宋体" w:eastAsia="宋体" w:hAnsi="宋体" w:cs="宋体"/>
                <w:sz w:val="16"/>
                <w:szCs w:val="16"/>
              </w:rPr>
            </w:pPr>
            <w:r>
              <w:rPr>
                <w:rFonts w:ascii="宋体" w:eastAsia="宋体" w:hAnsi="宋体" w:cs="宋体"/>
                <w:spacing w:val="-1"/>
                <w:sz w:val="16"/>
                <w:szCs w:val="16"/>
              </w:rPr>
              <w:t>丰富来源为酵母、肝脏、鱼、蛋</w:t>
            </w:r>
            <w:r>
              <w:rPr>
                <w:rFonts w:ascii="宋体" w:eastAsia="宋体" w:hAnsi="宋体" w:cs="宋体"/>
                <w:spacing w:val="6"/>
                <w:sz w:val="16"/>
                <w:szCs w:val="16"/>
              </w:rPr>
              <w:t xml:space="preserve"> </w:t>
            </w:r>
            <w:r>
              <w:rPr>
                <w:rFonts w:ascii="宋体" w:eastAsia="宋体" w:hAnsi="宋体" w:cs="宋体"/>
                <w:spacing w:val="-1"/>
                <w:sz w:val="16"/>
                <w:szCs w:val="16"/>
              </w:rPr>
              <w:t>类、大豆、花生及麦芽等</w:t>
            </w:r>
          </w:p>
          <w:p w:rsidR="00EA40A3" w:rsidRDefault="00EA40A3">
            <w:pPr>
              <w:spacing w:line="292" w:lineRule="auto"/>
            </w:pPr>
          </w:p>
          <w:p w:rsidR="00EA40A3" w:rsidRDefault="00EA40A3">
            <w:pPr>
              <w:spacing w:line="292" w:lineRule="auto"/>
            </w:pPr>
          </w:p>
          <w:p w:rsidR="00EA40A3" w:rsidRDefault="00E86C16">
            <w:pPr>
              <w:spacing w:before="53" w:line="225" w:lineRule="auto"/>
              <w:ind w:left="136" w:right="18" w:hanging="80"/>
              <w:rPr>
                <w:rFonts w:ascii="宋体" w:eastAsia="宋体" w:hAnsi="宋体" w:cs="宋体"/>
                <w:sz w:val="16"/>
                <w:szCs w:val="16"/>
              </w:rPr>
            </w:pPr>
            <w:r>
              <w:rPr>
                <w:rFonts w:ascii="宋体" w:eastAsia="宋体" w:hAnsi="宋体" w:cs="宋体"/>
                <w:spacing w:val="5"/>
                <w:sz w:val="16"/>
                <w:szCs w:val="16"/>
              </w:rPr>
              <w:t>燕麦、甜玉米、姜、番茄、香蕉、</w:t>
            </w:r>
            <w:r>
              <w:rPr>
                <w:rFonts w:ascii="宋体" w:eastAsia="宋体" w:hAnsi="宋体" w:cs="宋体"/>
                <w:spacing w:val="4"/>
                <w:sz w:val="16"/>
                <w:szCs w:val="16"/>
              </w:rPr>
              <w:t xml:space="preserve"> </w:t>
            </w:r>
            <w:r>
              <w:rPr>
                <w:rFonts w:ascii="宋体" w:eastAsia="宋体" w:hAnsi="宋体" w:cs="宋体"/>
                <w:spacing w:val="-1"/>
                <w:sz w:val="16"/>
                <w:szCs w:val="16"/>
              </w:rPr>
              <w:t>黄瓜和日本红萝卜中含有与人体</w:t>
            </w:r>
          </w:p>
          <w:p w:rsidR="00EA40A3" w:rsidRDefault="00E86C16">
            <w:pPr>
              <w:spacing w:before="21" w:line="219" w:lineRule="auto"/>
              <w:ind w:left="46"/>
              <w:rPr>
                <w:rFonts w:ascii="宋体" w:eastAsia="宋体" w:hAnsi="宋体" w:cs="宋体"/>
                <w:sz w:val="16"/>
                <w:szCs w:val="16"/>
              </w:rPr>
            </w:pPr>
            <w:r>
              <w:rPr>
                <w:rFonts w:ascii="宋体" w:eastAsia="宋体" w:hAnsi="宋体" w:cs="宋体"/>
                <w:spacing w:val="-1"/>
                <w:sz w:val="16"/>
                <w:szCs w:val="16"/>
              </w:rPr>
              <w:t>脑部松果体分泌相似的松果体素</w:t>
            </w:r>
          </w:p>
        </w:tc>
      </w:tr>
      <w:tr w:rsidR="00EA40A3">
        <w:trPr>
          <w:trHeight w:val="419"/>
        </w:trPr>
        <w:tc>
          <w:tcPr>
            <w:tcW w:w="4843" w:type="dxa"/>
            <w:gridSpan w:val="2"/>
            <w:tcBorders>
              <w:left w:val="nil"/>
            </w:tcBorders>
          </w:tcPr>
          <w:p w:rsidR="00EA40A3" w:rsidRDefault="00E86C16">
            <w:pPr>
              <w:spacing w:before="13" w:line="234" w:lineRule="auto"/>
              <w:ind w:left="109" w:right="144" w:firstLine="9"/>
              <w:rPr>
                <w:rFonts w:ascii="宋体" w:eastAsia="宋体" w:hAnsi="宋体" w:cs="宋体"/>
                <w:sz w:val="16"/>
                <w:szCs w:val="16"/>
              </w:rPr>
            </w:pPr>
            <w:r>
              <w:rPr>
                <w:rFonts w:ascii="宋体" w:eastAsia="宋体" w:hAnsi="宋体" w:cs="宋体"/>
                <w:spacing w:val="9"/>
                <w:sz w:val="16"/>
                <w:szCs w:val="16"/>
              </w:rPr>
              <w:t>超氧化物歧些由于自由基侵害而诱发的疾病的抵抗力；可提高</w:t>
            </w:r>
            <w:r>
              <w:rPr>
                <w:rFonts w:ascii="宋体" w:eastAsia="宋体" w:hAnsi="宋体" w:cs="宋体"/>
                <w:spacing w:val="3"/>
                <w:sz w:val="16"/>
                <w:szCs w:val="16"/>
              </w:rPr>
              <w:t xml:space="preserve"> </w:t>
            </w:r>
            <w:r>
              <w:rPr>
                <w:rFonts w:ascii="宋体" w:eastAsia="宋体" w:hAnsi="宋体" w:cs="宋体"/>
                <w:spacing w:val="13"/>
                <w:sz w:val="16"/>
                <w:szCs w:val="16"/>
              </w:rPr>
              <w:t>化酶(</w:t>
            </w:r>
            <w:r>
              <w:rPr>
                <w:rFonts w:ascii="宋体" w:eastAsia="宋体" w:hAnsi="宋体" w:cs="宋体"/>
                <w:sz w:val="16"/>
                <w:szCs w:val="16"/>
              </w:rPr>
              <w:t>SOD</w:t>
            </w:r>
            <w:r>
              <w:rPr>
                <w:rFonts w:ascii="宋体" w:eastAsia="宋体" w:hAnsi="宋体" w:cs="宋体"/>
                <w:spacing w:val="13"/>
                <w:sz w:val="16"/>
                <w:szCs w:val="16"/>
              </w:rPr>
              <w:t>)人体对自由基外界诱发因子的抵抗力；可减轻肿瘤</w:t>
            </w:r>
          </w:p>
        </w:tc>
        <w:tc>
          <w:tcPr>
            <w:tcW w:w="2556" w:type="dxa"/>
            <w:vMerge/>
            <w:tcBorders>
              <w:top w:val="nil"/>
              <w:bottom w:val="nil"/>
              <w:right w:val="nil"/>
            </w:tcBorders>
          </w:tcPr>
          <w:p w:rsidR="00EA40A3" w:rsidRDefault="00EA40A3"/>
        </w:tc>
      </w:tr>
      <w:tr w:rsidR="00EA40A3">
        <w:trPr>
          <w:trHeight w:val="3593"/>
        </w:trPr>
        <w:tc>
          <w:tcPr>
            <w:tcW w:w="1067" w:type="dxa"/>
            <w:tcBorders>
              <w:left w:val="nil"/>
              <w:bottom w:val="single" w:sz="4" w:space="0" w:color="000000"/>
            </w:tcBorders>
          </w:tcPr>
          <w:p w:rsidR="00EA40A3" w:rsidRDefault="00EA40A3">
            <w:pPr>
              <w:spacing w:line="324" w:lineRule="auto"/>
            </w:pPr>
          </w:p>
          <w:p w:rsidR="00EA40A3" w:rsidRDefault="00EA40A3">
            <w:pPr>
              <w:spacing w:line="325" w:lineRule="auto"/>
            </w:pPr>
          </w:p>
          <w:p w:rsidR="00EA40A3" w:rsidRDefault="00E86C16">
            <w:pPr>
              <w:spacing w:before="52" w:line="219" w:lineRule="auto"/>
              <w:ind w:left="79"/>
              <w:rPr>
                <w:rFonts w:ascii="宋体" w:eastAsia="宋体" w:hAnsi="宋体" w:cs="宋体"/>
                <w:sz w:val="16"/>
                <w:szCs w:val="16"/>
              </w:rPr>
            </w:pPr>
            <w:r>
              <w:rPr>
                <w:rFonts w:ascii="宋体" w:eastAsia="宋体" w:hAnsi="宋体" w:cs="宋体"/>
                <w:spacing w:val="-2"/>
                <w:sz w:val="16"/>
                <w:szCs w:val="16"/>
              </w:rPr>
              <w:t>谷维素</w:t>
            </w:r>
          </w:p>
          <w:p w:rsidR="00EA40A3" w:rsidRDefault="00E86C16">
            <w:pPr>
              <w:spacing w:before="26" w:line="215" w:lineRule="auto"/>
              <w:ind w:left="79"/>
              <w:rPr>
                <w:rFonts w:ascii="宋体" w:eastAsia="宋体" w:hAnsi="宋体" w:cs="宋体"/>
                <w:sz w:val="16"/>
                <w:szCs w:val="16"/>
              </w:rPr>
            </w:pPr>
            <w:r>
              <w:rPr>
                <w:rFonts w:ascii="宋体" w:eastAsia="宋体" w:hAnsi="宋体" w:cs="宋体"/>
                <w:spacing w:val="-4"/>
                <w:sz w:val="16"/>
                <w:szCs w:val="16"/>
              </w:rPr>
              <w:t>(oryzanol)</w:t>
            </w:r>
          </w:p>
          <w:p w:rsidR="00EA40A3" w:rsidRDefault="00EA40A3">
            <w:pPr>
              <w:spacing w:line="270" w:lineRule="auto"/>
            </w:pPr>
          </w:p>
          <w:p w:rsidR="00EA40A3" w:rsidRDefault="00EA40A3">
            <w:pPr>
              <w:spacing w:line="271" w:lineRule="auto"/>
            </w:pPr>
          </w:p>
          <w:p w:rsidR="00EA40A3" w:rsidRDefault="00E86C16">
            <w:pPr>
              <w:spacing w:before="52" w:line="228" w:lineRule="auto"/>
              <w:ind w:left="79" w:right="32"/>
              <w:rPr>
                <w:rFonts w:ascii="宋体" w:eastAsia="宋体" w:hAnsi="宋体" w:cs="宋体"/>
                <w:sz w:val="16"/>
                <w:szCs w:val="16"/>
              </w:rPr>
            </w:pPr>
            <w:r>
              <w:rPr>
                <w:rFonts w:ascii="宋体" w:eastAsia="宋体" w:hAnsi="宋体" w:cs="宋体"/>
                <w:spacing w:val="-1"/>
                <w:sz w:val="16"/>
                <w:szCs w:val="16"/>
              </w:rPr>
              <w:t>对氨基苯甲酸</w:t>
            </w:r>
            <w:r>
              <w:rPr>
                <w:rFonts w:ascii="宋体" w:eastAsia="宋体" w:hAnsi="宋体" w:cs="宋体"/>
                <w:sz w:val="16"/>
                <w:szCs w:val="16"/>
              </w:rPr>
              <w:t xml:space="preserve"> </w:t>
            </w:r>
            <w:r>
              <w:rPr>
                <w:rFonts w:ascii="宋体" w:eastAsia="宋体" w:hAnsi="宋体" w:cs="宋体"/>
                <w:spacing w:val="-5"/>
                <w:sz w:val="16"/>
                <w:szCs w:val="16"/>
              </w:rPr>
              <w:t>(PABA)</w:t>
            </w:r>
          </w:p>
          <w:p w:rsidR="00EA40A3" w:rsidRDefault="00EA40A3">
            <w:pPr>
              <w:spacing w:line="324" w:lineRule="auto"/>
            </w:pPr>
          </w:p>
          <w:p w:rsidR="00EA40A3" w:rsidRDefault="00EA40A3">
            <w:pPr>
              <w:spacing w:line="325" w:lineRule="auto"/>
            </w:pPr>
          </w:p>
          <w:p w:rsidR="00EA40A3" w:rsidRDefault="00E86C16">
            <w:pPr>
              <w:spacing w:before="52" w:line="219" w:lineRule="auto"/>
              <w:ind w:left="59"/>
              <w:rPr>
                <w:rFonts w:ascii="宋体" w:eastAsia="宋体" w:hAnsi="宋体" w:cs="宋体"/>
                <w:sz w:val="16"/>
                <w:szCs w:val="16"/>
              </w:rPr>
            </w:pPr>
            <w:r>
              <w:rPr>
                <w:rFonts w:ascii="宋体" w:eastAsia="宋体" w:hAnsi="宋体" w:cs="宋体"/>
                <w:spacing w:val="-2"/>
                <w:sz w:val="16"/>
                <w:szCs w:val="16"/>
              </w:rPr>
              <w:t>松果体素</w:t>
            </w:r>
          </w:p>
          <w:p w:rsidR="00EA40A3" w:rsidRDefault="00E86C16">
            <w:pPr>
              <w:spacing w:before="42" w:line="222" w:lineRule="auto"/>
              <w:ind w:left="59"/>
              <w:rPr>
                <w:rFonts w:ascii="宋体" w:eastAsia="宋体" w:hAnsi="宋体" w:cs="宋体"/>
                <w:sz w:val="16"/>
                <w:szCs w:val="16"/>
              </w:rPr>
            </w:pPr>
            <w:r>
              <w:rPr>
                <w:rFonts w:ascii="宋体" w:eastAsia="宋体" w:hAnsi="宋体" w:cs="宋体"/>
                <w:spacing w:val="-3"/>
                <w:sz w:val="16"/>
                <w:szCs w:val="16"/>
              </w:rPr>
              <w:t>(melatonin)</w:t>
            </w:r>
          </w:p>
        </w:tc>
        <w:tc>
          <w:tcPr>
            <w:tcW w:w="3776" w:type="dxa"/>
            <w:tcBorders>
              <w:bottom w:val="single" w:sz="4" w:space="0" w:color="000000"/>
            </w:tcBorders>
          </w:tcPr>
          <w:p w:rsidR="00EA40A3" w:rsidRDefault="00E86C16">
            <w:pPr>
              <w:spacing w:before="34" w:line="248" w:lineRule="auto"/>
              <w:ind w:left="72" w:right="126" w:firstLine="9"/>
              <w:jc w:val="both"/>
              <w:rPr>
                <w:rFonts w:ascii="宋体" w:eastAsia="宋体" w:hAnsi="宋体" w:cs="宋体"/>
                <w:sz w:val="16"/>
                <w:szCs w:val="16"/>
              </w:rPr>
            </w:pPr>
            <w:r>
              <w:rPr>
                <w:rFonts w:ascii="宋体" w:eastAsia="宋体" w:hAnsi="宋体" w:cs="宋体"/>
                <w:spacing w:val="2"/>
                <w:sz w:val="16"/>
                <w:szCs w:val="16"/>
              </w:rPr>
              <w:t>患者在化疗、放疗时的疼痛及严重的不良反应；并</w:t>
            </w:r>
            <w:r>
              <w:rPr>
                <w:rFonts w:ascii="宋体" w:eastAsia="宋体" w:hAnsi="宋体" w:cs="宋体"/>
                <w:spacing w:val="1"/>
                <w:sz w:val="16"/>
                <w:szCs w:val="16"/>
              </w:rPr>
              <w:t xml:space="preserve"> 可消除机体疲劳，增强对超负荷大运动量的适应力</w:t>
            </w:r>
            <w:r>
              <w:rPr>
                <w:rFonts w:ascii="宋体" w:eastAsia="宋体" w:hAnsi="宋体" w:cs="宋体"/>
                <w:spacing w:val="10"/>
                <w:sz w:val="16"/>
                <w:szCs w:val="16"/>
              </w:rPr>
              <w:t xml:space="preserve"> </w:t>
            </w:r>
            <w:r>
              <w:rPr>
                <w:rFonts w:ascii="宋体" w:eastAsia="宋体" w:hAnsi="宋体" w:cs="宋体"/>
                <w:spacing w:val="2"/>
                <w:sz w:val="16"/>
                <w:szCs w:val="16"/>
              </w:rPr>
              <w:t>是阿魏酸与植物甾醇的结合酯。可降低血清甘油三</w:t>
            </w:r>
            <w:r>
              <w:rPr>
                <w:rFonts w:ascii="宋体" w:eastAsia="宋体" w:hAnsi="宋体" w:cs="宋体"/>
                <w:spacing w:val="1"/>
                <w:sz w:val="16"/>
                <w:szCs w:val="16"/>
              </w:rPr>
              <w:t xml:space="preserve"> </w:t>
            </w:r>
            <w:r>
              <w:rPr>
                <w:rFonts w:ascii="宋体" w:eastAsia="宋体" w:hAnsi="宋体" w:cs="宋体"/>
                <w:spacing w:val="2"/>
                <w:sz w:val="16"/>
                <w:szCs w:val="16"/>
              </w:rPr>
              <w:t>酯、降低肝脏脂质和血清过氧化脂质，可减少胆固</w:t>
            </w:r>
          </w:p>
          <w:p w:rsidR="00EA40A3" w:rsidRDefault="00E86C16">
            <w:pPr>
              <w:spacing w:before="21" w:line="225" w:lineRule="auto"/>
              <w:ind w:left="62" w:right="136" w:hanging="10"/>
              <w:rPr>
                <w:rFonts w:ascii="宋体" w:eastAsia="宋体" w:hAnsi="宋体" w:cs="宋体"/>
                <w:sz w:val="16"/>
                <w:szCs w:val="16"/>
              </w:rPr>
            </w:pPr>
            <w:r>
              <w:rPr>
                <w:rFonts w:ascii="宋体" w:eastAsia="宋体" w:hAnsi="宋体" w:cs="宋体"/>
                <w:spacing w:val="3"/>
                <w:sz w:val="16"/>
                <w:szCs w:val="16"/>
              </w:rPr>
              <w:t>醇的吸收、降低血清总胆固醇、阻碍胆固醇在动脉</w:t>
            </w:r>
            <w:r>
              <w:rPr>
                <w:rFonts w:ascii="宋体" w:eastAsia="宋体" w:hAnsi="宋体" w:cs="宋体"/>
                <w:sz w:val="16"/>
                <w:szCs w:val="16"/>
              </w:rPr>
              <w:t xml:space="preserve"> </w:t>
            </w:r>
            <w:r>
              <w:rPr>
                <w:rFonts w:ascii="宋体" w:eastAsia="宋体" w:hAnsi="宋体" w:cs="宋体"/>
                <w:spacing w:val="-1"/>
                <w:sz w:val="16"/>
                <w:szCs w:val="16"/>
              </w:rPr>
              <w:t>壁的沉积并减少胆石的形成</w:t>
            </w:r>
          </w:p>
          <w:p w:rsidR="00EA40A3" w:rsidRDefault="00E86C16">
            <w:pPr>
              <w:spacing w:before="80" w:line="235" w:lineRule="auto"/>
              <w:ind w:left="32" w:right="141" w:firstLine="30"/>
              <w:jc w:val="both"/>
              <w:rPr>
                <w:rFonts w:ascii="宋体" w:eastAsia="宋体" w:hAnsi="宋体" w:cs="宋体"/>
                <w:sz w:val="16"/>
                <w:szCs w:val="16"/>
              </w:rPr>
            </w:pPr>
            <w:r>
              <w:rPr>
                <w:rFonts w:ascii="宋体" w:eastAsia="宋体" w:hAnsi="宋体" w:cs="宋体"/>
                <w:spacing w:val="2"/>
                <w:sz w:val="16"/>
                <w:szCs w:val="16"/>
              </w:rPr>
              <w:t>是叶酸的组成成分。作为辅酶对蛋白质的分解、利</w:t>
            </w:r>
            <w:r>
              <w:rPr>
                <w:rFonts w:ascii="宋体" w:eastAsia="宋体" w:hAnsi="宋体" w:cs="宋体"/>
                <w:spacing w:val="6"/>
                <w:sz w:val="16"/>
                <w:szCs w:val="16"/>
              </w:rPr>
              <w:t xml:space="preserve"> </w:t>
            </w:r>
            <w:r>
              <w:rPr>
                <w:rFonts w:ascii="宋体" w:eastAsia="宋体" w:hAnsi="宋体" w:cs="宋体"/>
                <w:spacing w:val="2"/>
                <w:sz w:val="16"/>
                <w:szCs w:val="16"/>
              </w:rPr>
              <w:t>用及对红细胞的形成有极重要的作用。在小肠内很</w:t>
            </w:r>
            <w:r>
              <w:rPr>
                <w:rFonts w:ascii="宋体" w:eastAsia="宋体" w:hAnsi="宋体" w:cs="宋体"/>
                <w:spacing w:val="3"/>
                <w:sz w:val="16"/>
                <w:szCs w:val="16"/>
              </w:rPr>
              <w:t xml:space="preserve"> 少合成叶酸的动物中则具叶酸活性。还可添加在软</w:t>
            </w:r>
            <w:r>
              <w:rPr>
                <w:rFonts w:ascii="宋体" w:eastAsia="宋体" w:hAnsi="宋体" w:cs="宋体"/>
                <w:spacing w:val="10"/>
                <w:sz w:val="16"/>
                <w:szCs w:val="16"/>
              </w:rPr>
              <w:t xml:space="preserve"> </w:t>
            </w:r>
            <w:r>
              <w:rPr>
                <w:rFonts w:ascii="宋体" w:eastAsia="宋体" w:hAnsi="宋体" w:cs="宋体"/>
                <w:spacing w:val="11"/>
                <w:sz w:val="16"/>
                <w:szCs w:val="16"/>
              </w:rPr>
              <w:t>膏中作为防晒剂。</w:t>
            </w:r>
            <w:r>
              <w:rPr>
                <w:rFonts w:ascii="宋体" w:eastAsia="宋体" w:hAnsi="宋体" w:cs="宋体"/>
                <w:sz w:val="16"/>
                <w:szCs w:val="16"/>
              </w:rPr>
              <w:t>PABA</w:t>
            </w:r>
            <w:r>
              <w:rPr>
                <w:rFonts w:ascii="宋体" w:eastAsia="宋体" w:hAnsi="宋体" w:cs="宋体"/>
                <w:spacing w:val="11"/>
                <w:sz w:val="16"/>
                <w:szCs w:val="16"/>
              </w:rPr>
              <w:t>对人类基本无害，但连续</w:t>
            </w:r>
            <w:r>
              <w:rPr>
                <w:rFonts w:ascii="宋体" w:eastAsia="宋体" w:hAnsi="宋体" w:cs="宋体"/>
                <w:spacing w:val="8"/>
                <w:sz w:val="16"/>
                <w:szCs w:val="16"/>
              </w:rPr>
              <w:t xml:space="preserve"> </w:t>
            </w:r>
            <w:r>
              <w:rPr>
                <w:rFonts w:ascii="宋体" w:eastAsia="宋体" w:hAnsi="宋体" w:cs="宋体"/>
                <w:spacing w:val="1"/>
                <w:sz w:val="16"/>
                <w:szCs w:val="16"/>
              </w:rPr>
              <w:t>大剂量使用可能有恶心、呕吐等毒性作用</w:t>
            </w:r>
          </w:p>
          <w:p w:rsidR="00EA40A3" w:rsidRDefault="00E86C16">
            <w:pPr>
              <w:spacing w:before="100" w:line="233" w:lineRule="auto"/>
              <w:ind w:left="42" w:right="146"/>
              <w:jc w:val="both"/>
              <w:rPr>
                <w:rFonts w:ascii="宋体" w:eastAsia="宋体" w:hAnsi="宋体" w:cs="宋体"/>
                <w:sz w:val="16"/>
                <w:szCs w:val="16"/>
              </w:rPr>
            </w:pPr>
            <w:r>
              <w:rPr>
                <w:rFonts w:ascii="宋体" w:eastAsia="宋体" w:hAnsi="宋体" w:cs="宋体"/>
                <w:spacing w:val="1"/>
                <w:sz w:val="16"/>
                <w:szCs w:val="16"/>
              </w:rPr>
              <w:t>可维持正常生理节奏，还能很好地调节时差；可释</w:t>
            </w:r>
            <w:r>
              <w:rPr>
                <w:rFonts w:ascii="宋体" w:eastAsia="宋体" w:hAnsi="宋体" w:cs="宋体"/>
                <w:spacing w:val="5"/>
                <w:sz w:val="16"/>
                <w:szCs w:val="16"/>
              </w:rPr>
              <w:t xml:space="preserve"> </w:t>
            </w:r>
            <w:r>
              <w:rPr>
                <w:rFonts w:ascii="宋体" w:eastAsia="宋体" w:hAnsi="宋体" w:cs="宋体"/>
                <w:spacing w:val="3"/>
                <w:sz w:val="16"/>
                <w:szCs w:val="16"/>
              </w:rPr>
              <w:t>放神经递质，改善痴呆者记忆力；可抑制脂质过氧</w:t>
            </w:r>
            <w:r>
              <w:rPr>
                <w:rFonts w:ascii="宋体" w:eastAsia="宋体" w:hAnsi="宋体" w:cs="宋体"/>
                <w:sz w:val="16"/>
                <w:szCs w:val="16"/>
              </w:rPr>
              <w:t xml:space="preserve"> </w:t>
            </w:r>
            <w:r>
              <w:rPr>
                <w:rFonts w:ascii="宋体" w:eastAsia="宋体" w:hAnsi="宋体" w:cs="宋体"/>
                <w:spacing w:val="1"/>
                <w:sz w:val="16"/>
                <w:szCs w:val="16"/>
              </w:rPr>
              <w:t>化作用；可降低过高血压、预防心脏病及中风以及</w:t>
            </w:r>
            <w:r>
              <w:rPr>
                <w:rFonts w:ascii="宋体" w:eastAsia="宋体" w:hAnsi="宋体" w:cs="宋体"/>
                <w:spacing w:val="5"/>
                <w:sz w:val="16"/>
                <w:szCs w:val="16"/>
              </w:rPr>
              <w:t xml:space="preserve"> </w:t>
            </w:r>
            <w:r>
              <w:rPr>
                <w:rFonts w:ascii="宋体" w:eastAsia="宋体" w:hAnsi="宋体" w:cs="宋体"/>
                <w:spacing w:val="2"/>
                <w:sz w:val="16"/>
                <w:szCs w:val="16"/>
              </w:rPr>
              <w:t>防止精神应激引起的疾病；此外，还有防治眼部疾</w:t>
            </w:r>
            <w:r>
              <w:rPr>
                <w:rFonts w:ascii="宋体" w:eastAsia="宋体" w:hAnsi="宋体" w:cs="宋体"/>
                <w:spacing w:val="1"/>
                <w:sz w:val="16"/>
                <w:szCs w:val="16"/>
              </w:rPr>
              <w:t xml:space="preserve"> </w:t>
            </w:r>
            <w:r>
              <w:rPr>
                <w:rFonts w:ascii="宋体" w:eastAsia="宋体" w:hAnsi="宋体" w:cs="宋体"/>
                <w:spacing w:val="-1"/>
                <w:sz w:val="16"/>
                <w:szCs w:val="16"/>
              </w:rPr>
              <w:t>病如白内障、青光眼和视网膜黄斑退化的功能</w:t>
            </w:r>
          </w:p>
        </w:tc>
        <w:tc>
          <w:tcPr>
            <w:tcW w:w="2556" w:type="dxa"/>
            <w:vMerge/>
            <w:tcBorders>
              <w:top w:val="nil"/>
              <w:bottom w:val="single" w:sz="4" w:space="0" w:color="000000"/>
              <w:right w:val="nil"/>
            </w:tcBorders>
          </w:tcPr>
          <w:p w:rsidR="00EA40A3" w:rsidRDefault="00EA40A3"/>
        </w:tc>
      </w:tr>
    </w:tbl>
    <w:p w:rsidR="00EA40A3" w:rsidRDefault="00E86C16">
      <w:pPr>
        <w:spacing w:before="139"/>
        <w:ind w:right="181"/>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177</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895" w:bottom="400" w:left="860" w:header="0" w:footer="0" w:gutter="0"/>
          <w:cols w:space="720"/>
        </w:sectPr>
      </w:pPr>
    </w:p>
    <w:p w:rsidR="00EA40A3" w:rsidRDefault="00EA40A3">
      <w:pPr>
        <w:spacing w:line="106" w:lineRule="exact"/>
      </w:pPr>
    </w:p>
    <w:p w:rsidR="00EA40A3" w:rsidRDefault="00EA40A3">
      <w:pPr>
        <w:sectPr w:rsidR="00EA40A3">
          <w:headerReference w:type="default" r:id="rId158"/>
          <w:pgSz w:w="9350" w:h="13450"/>
          <w:pgMar w:top="1268" w:right="999" w:bottom="400" w:left="979" w:header="1078" w:footer="0" w:gutter="0"/>
          <w:cols w:space="720" w:equalWidth="0">
            <w:col w:w="7371"/>
          </w:cols>
        </w:sectPr>
      </w:pPr>
    </w:p>
    <w:p w:rsidR="00EA40A3" w:rsidRDefault="00E86C16">
      <w:pPr>
        <w:spacing w:before="32" w:line="185" w:lineRule="auto"/>
        <w:ind w:left="300"/>
        <w:rPr>
          <w:rFonts w:ascii="宋体" w:eastAsia="宋体" w:hAnsi="宋体" w:cs="宋体"/>
          <w:sz w:val="16"/>
          <w:szCs w:val="16"/>
        </w:rPr>
      </w:pPr>
      <w:r>
        <w:rPr>
          <w:rFonts w:ascii="宋体" w:eastAsia="宋体" w:hAnsi="宋体" w:cs="宋体"/>
          <w:spacing w:val="-2"/>
          <w:sz w:val="16"/>
          <w:szCs w:val="16"/>
        </w:rPr>
        <w:t>功能成分</w:t>
      </w:r>
    </w:p>
    <w:p w:rsidR="00EA40A3" w:rsidRDefault="00E86C16">
      <w:pPr>
        <w:spacing w:line="14" w:lineRule="auto"/>
        <w:rPr>
          <w:sz w:val="2"/>
        </w:rPr>
      </w:pPr>
      <w:r>
        <w:rPr>
          <w:sz w:val="2"/>
          <w:szCs w:val="2"/>
        </w:rPr>
        <w:br w:type="column"/>
      </w:r>
    </w:p>
    <w:p w:rsidR="00EA40A3" w:rsidRDefault="00E86C16">
      <w:pPr>
        <w:spacing w:before="32" w:line="184" w:lineRule="auto"/>
        <w:rPr>
          <w:rFonts w:ascii="宋体" w:eastAsia="宋体" w:hAnsi="宋体" w:cs="宋体"/>
          <w:sz w:val="16"/>
          <w:szCs w:val="16"/>
        </w:rPr>
      </w:pPr>
      <w:r>
        <w:rPr>
          <w:rFonts w:ascii="宋体" w:eastAsia="宋体" w:hAnsi="宋体" w:cs="宋体"/>
          <w:spacing w:val="-2"/>
          <w:sz w:val="16"/>
          <w:szCs w:val="16"/>
        </w:rPr>
        <w:t>主要生理功能</w:t>
      </w:r>
    </w:p>
    <w:p w:rsidR="00EA40A3" w:rsidRDefault="00E86C16">
      <w:pPr>
        <w:spacing w:line="14" w:lineRule="auto"/>
        <w:rPr>
          <w:sz w:val="2"/>
        </w:rPr>
      </w:pPr>
      <w:r>
        <w:rPr>
          <w:sz w:val="2"/>
          <w:szCs w:val="2"/>
        </w:rPr>
        <w:br w:type="column"/>
      </w:r>
    </w:p>
    <w:p w:rsidR="00EA40A3" w:rsidRDefault="00E86C16">
      <w:pPr>
        <w:spacing w:before="30" w:line="186" w:lineRule="auto"/>
        <w:rPr>
          <w:rFonts w:ascii="宋体" w:eastAsia="宋体" w:hAnsi="宋体" w:cs="宋体"/>
          <w:sz w:val="16"/>
          <w:szCs w:val="16"/>
        </w:rPr>
      </w:pPr>
      <w:r>
        <w:rPr>
          <w:rFonts w:ascii="宋体" w:eastAsia="宋体" w:hAnsi="宋体" w:cs="宋体"/>
          <w:spacing w:val="1"/>
          <w:sz w:val="16"/>
          <w:szCs w:val="16"/>
        </w:rPr>
        <w:t>富含的食物</w:t>
      </w:r>
    </w:p>
    <w:p w:rsidR="00EA40A3" w:rsidRDefault="00EA40A3">
      <w:pPr>
        <w:sectPr w:rsidR="00EA40A3">
          <w:type w:val="continuous"/>
          <w:pgSz w:w="9350" w:h="13450"/>
          <w:pgMar w:top="1268" w:right="999" w:bottom="400" w:left="979" w:header="1078" w:footer="0" w:gutter="0"/>
          <w:cols w:num="3" w:space="720" w:equalWidth="0">
            <w:col w:w="2511" w:space="100"/>
            <w:col w:w="3041" w:space="100"/>
            <w:col w:w="1620"/>
          </w:cols>
        </w:sectPr>
      </w:pPr>
    </w:p>
    <w:p w:rsidR="00EA40A3" w:rsidRDefault="00EA40A3">
      <w:pPr>
        <w:spacing w:line="17" w:lineRule="exact"/>
      </w:pPr>
    </w:p>
    <w:tbl>
      <w:tblPr>
        <w:tblStyle w:val="TableNormal"/>
        <w:tblW w:w="7350" w:type="dxa"/>
        <w:tblInd w:w="20" w:type="dxa"/>
        <w:tblBorders>
          <w:top w:val="none" w:sz="8" w:space="0" w:color="000000"/>
          <w:left w:val="none" w:sz="8" w:space="0" w:color="000000"/>
          <w:bottom w:val="none" w:sz="8" w:space="0" w:color="000000"/>
          <w:right w:val="none" w:sz="8" w:space="0" w:color="000000"/>
          <w:insideH w:val="none" w:sz="8" w:space="0" w:color="000000"/>
          <w:insideV w:val="none" w:sz="8" w:space="0" w:color="000000"/>
        </w:tblBorders>
        <w:tblLayout w:type="fixed"/>
        <w:tblLook w:val="04A0" w:firstRow="1" w:lastRow="0" w:firstColumn="1" w:lastColumn="0" w:noHBand="0" w:noVBand="1"/>
      </w:tblPr>
      <w:tblGrid>
        <w:gridCol w:w="987"/>
        <w:gridCol w:w="3793"/>
        <w:gridCol w:w="2570"/>
      </w:tblGrid>
      <w:tr w:rsidR="00EA40A3">
        <w:trPr>
          <w:trHeight w:val="2597"/>
        </w:trPr>
        <w:tc>
          <w:tcPr>
            <w:tcW w:w="987" w:type="dxa"/>
            <w:tcBorders>
              <w:top w:val="single" w:sz="4" w:space="0" w:color="000000"/>
              <w:left w:val="nil"/>
            </w:tcBorders>
          </w:tcPr>
          <w:p w:rsidR="00EA40A3" w:rsidRDefault="00EA40A3">
            <w:pPr>
              <w:spacing w:line="312" w:lineRule="auto"/>
            </w:pPr>
          </w:p>
          <w:p w:rsidR="00EA40A3" w:rsidRDefault="00EA40A3">
            <w:pPr>
              <w:spacing w:line="313" w:lineRule="auto"/>
            </w:pPr>
          </w:p>
          <w:p w:rsidR="00EA40A3" w:rsidRDefault="00E86C16">
            <w:pPr>
              <w:spacing w:before="52" w:line="219" w:lineRule="auto"/>
              <w:ind w:left="60"/>
              <w:rPr>
                <w:rFonts w:ascii="宋体" w:eastAsia="宋体" w:hAnsi="宋体" w:cs="宋体"/>
                <w:sz w:val="16"/>
                <w:szCs w:val="16"/>
              </w:rPr>
            </w:pPr>
            <w:r>
              <w:rPr>
                <w:rFonts w:ascii="宋体" w:eastAsia="宋体" w:hAnsi="宋体" w:cs="宋体"/>
                <w:spacing w:val="-2"/>
                <w:sz w:val="16"/>
                <w:szCs w:val="16"/>
              </w:rPr>
              <w:t>潘氨酸</w:t>
            </w:r>
          </w:p>
          <w:p w:rsidR="00EA40A3" w:rsidRDefault="00E86C16">
            <w:pPr>
              <w:spacing w:before="30" w:line="219" w:lineRule="auto"/>
              <w:ind w:left="60" w:right="91"/>
              <w:rPr>
                <w:rFonts w:ascii="宋体" w:eastAsia="宋体" w:hAnsi="宋体" w:cs="宋体"/>
                <w:sz w:val="16"/>
                <w:szCs w:val="16"/>
              </w:rPr>
            </w:pPr>
            <w:r>
              <w:rPr>
                <w:rFonts w:ascii="宋体" w:eastAsia="宋体" w:hAnsi="宋体" w:cs="宋体"/>
                <w:spacing w:val="5"/>
                <w:sz w:val="16"/>
                <w:szCs w:val="16"/>
              </w:rPr>
              <w:t>(泛配子酸)</w:t>
            </w:r>
            <w:r>
              <w:rPr>
                <w:rFonts w:ascii="宋体" w:eastAsia="宋体" w:hAnsi="宋体" w:cs="宋体"/>
                <w:spacing w:val="3"/>
                <w:sz w:val="16"/>
                <w:szCs w:val="16"/>
              </w:rPr>
              <w:t xml:space="preserve"> </w:t>
            </w:r>
            <w:r>
              <w:rPr>
                <w:rFonts w:ascii="宋体" w:eastAsia="宋体" w:hAnsi="宋体" w:cs="宋体"/>
                <w:spacing w:val="-4"/>
                <w:sz w:val="16"/>
                <w:szCs w:val="16"/>
              </w:rPr>
              <w:t>(pangamic</w:t>
            </w:r>
          </w:p>
          <w:p w:rsidR="00EA40A3" w:rsidRDefault="00E86C16">
            <w:pPr>
              <w:spacing w:before="2" w:line="222" w:lineRule="auto"/>
              <w:ind w:left="60"/>
              <w:rPr>
                <w:rFonts w:ascii="宋体" w:eastAsia="宋体" w:hAnsi="宋体" w:cs="宋体"/>
                <w:sz w:val="16"/>
                <w:szCs w:val="16"/>
              </w:rPr>
            </w:pPr>
            <w:r>
              <w:rPr>
                <w:rFonts w:ascii="宋体" w:eastAsia="宋体" w:hAnsi="宋体" w:cs="宋体"/>
                <w:spacing w:val="-2"/>
                <w:sz w:val="16"/>
                <w:szCs w:val="16"/>
              </w:rPr>
              <w:t>acid)</w:t>
            </w:r>
          </w:p>
          <w:p w:rsidR="00EA40A3" w:rsidRDefault="00EA40A3">
            <w:pPr>
              <w:spacing w:line="295" w:lineRule="auto"/>
            </w:pPr>
          </w:p>
          <w:p w:rsidR="00EA40A3" w:rsidRDefault="00EA40A3">
            <w:pPr>
              <w:spacing w:line="296" w:lineRule="auto"/>
            </w:pPr>
          </w:p>
          <w:p w:rsidR="00EA40A3" w:rsidRDefault="00EA40A3">
            <w:pPr>
              <w:spacing w:line="296" w:lineRule="auto"/>
            </w:pPr>
          </w:p>
          <w:p w:rsidR="00EA40A3" w:rsidRDefault="00E86C16">
            <w:pPr>
              <w:spacing w:before="52" w:line="203" w:lineRule="auto"/>
              <w:ind w:left="50"/>
              <w:rPr>
                <w:rFonts w:ascii="宋体" w:eastAsia="宋体" w:hAnsi="宋体" w:cs="宋体"/>
                <w:sz w:val="16"/>
                <w:szCs w:val="16"/>
              </w:rPr>
            </w:pPr>
            <w:r>
              <w:rPr>
                <w:rFonts w:ascii="宋体" w:eastAsia="宋体" w:hAnsi="宋体" w:cs="宋体"/>
                <w:spacing w:val="2"/>
                <w:sz w:val="16"/>
                <w:szCs w:val="16"/>
              </w:rPr>
              <w:t>叶绿素</w:t>
            </w:r>
          </w:p>
        </w:tc>
        <w:tc>
          <w:tcPr>
            <w:tcW w:w="3793" w:type="dxa"/>
            <w:tcBorders>
              <w:top w:val="single" w:sz="4" w:space="0" w:color="000000"/>
              <w:right w:val="nil"/>
            </w:tcBorders>
          </w:tcPr>
          <w:p w:rsidR="00EA40A3" w:rsidRDefault="00E86C16">
            <w:pPr>
              <w:spacing w:before="74" w:line="234" w:lineRule="auto"/>
              <w:ind w:left="103" w:right="81"/>
              <w:jc w:val="both"/>
              <w:rPr>
                <w:rFonts w:ascii="宋体" w:eastAsia="宋体" w:hAnsi="宋体" w:cs="宋体"/>
                <w:sz w:val="16"/>
                <w:szCs w:val="16"/>
              </w:rPr>
            </w:pPr>
            <w:r>
              <w:rPr>
                <w:rFonts w:ascii="宋体" w:eastAsia="宋体" w:hAnsi="宋体" w:cs="宋体"/>
                <w:spacing w:val="4"/>
                <w:sz w:val="16"/>
                <w:szCs w:val="16"/>
              </w:rPr>
              <w:t>具有激发甲基转移作用，从而激发肌肉和心脏组织</w:t>
            </w:r>
            <w:r>
              <w:rPr>
                <w:rFonts w:ascii="宋体" w:eastAsia="宋体" w:hAnsi="宋体" w:cs="宋体"/>
                <w:sz w:val="16"/>
                <w:szCs w:val="16"/>
              </w:rPr>
              <w:t xml:space="preserve"> </w:t>
            </w:r>
            <w:r>
              <w:rPr>
                <w:rFonts w:ascii="宋体" w:eastAsia="宋体" w:hAnsi="宋体" w:cs="宋体"/>
                <w:spacing w:val="8"/>
                <w:sz w:val="16"/>
                <w:szCs w:val="16"/>
              </w:rPr>
              <w:t>中肌酸的合成，肌酸与体内多余的能量</w:t>
            </w:r>
            <w:r>
              <w:rPr>
                <w:rFonts w:ascii="宋体" w:eastAsia="宋体" w:hAnsi="宋体" w:cs="宋体"/>
                <w:sz w:val="16"/>
                <w:szCs w:val="16"/>
              </w:rPr>
              <w:t>ATP</w:t>
            </w:r>
            <w:r>
              <w:rPr>
                <w:rFonts w:ascii="宋体" w:eastAsia="宋体" w:hAnsi="宋体" w:cs="宋体"/>
                <w:spacing w:val="8"/>
                <w:sz w:val="16"/>
                <w:szCs w:val="16"/>
              </w:rPr>
              <w:t>结合成</w:t>
            </w:r>
            <w:r>
              <w:rPr>
                <w:rFonts w:ascii="宋体" w:eastAsia="宋体" w:hAnsi="宋体" w:cs="宋体"/>
                <w:spacing w:val="6"/>
                <w:sz w:val="16"/>
                <w:szCs w:val="16"/>
              </w:rPr>
              <w:t xml:space="preserve"> </w:t>
            </w:r>
            <w:r>
              <w:rPr>
                <w:rFonts w:ascii="宋体" w:eastAsia="宋体" w:hAnsi="宋体" w:cs="宋体"/>
                <w:spacing w:val="2"/>
                <w:sz w:val="16"/>
                <w:szCs w:val="16"/>
              </w:rPr>
              <w:t>为磷酸肌酸，储存于肌肉中，而磷酸肌酸是能量的</w:t>
            </w:r>
            <w:r>
              <w:rPr>
                <w:rFonts w:ascii="宋体" w:eastAsia="宋体" w:hAnsi="宋体" w:cs="宋体"/>
                <w:spacing w:val="7"/>
                <w:sz w:val="16"/>
                <w:szCs w:val="16"/>
              </w:rPr>
              <w:t xml:space="preserve"> </w:t>
            </w:r>
            <w:r>
              <w:rPr>
                <w:rFonts w:ascii="宋体" w:eastAsia="宋体" w:hAnsi="宋体" w:cs="宋体"/>
                <w:spacing w:val="3"/>
                <w:sz w:val="16"/>
                <w:szCs w:val="16"/>
              </w:rPr>
              <w:t>一种比较稳定的形态；可加强氧从血流中输送到细</w:t>
            </w:r>
            <w:r>
              <w:rPr>
                <w:rFonts w:ascii="宋体" w:eastAsia="宋体" w:hAnsi="宋体" w:cs="宋体"/>
                <w:spacing w:val="2"/>
                <w:sz w:val="16"/>
                <w:szCs w:val="16"/>
              </w:rPr>
              <w:t xml:space="preserve"> </w:t>
            </w:r>
            <w:r>
              <w:rPr>
                <w:rFonts w:ascii="宋体" w:eastAsia="宋体" w:hAnsi="宋体" w:cs="宋体"/>
                <w:spacing w:val="3"/>
                <w:sz w:val="16"/>
                <w:szCs w:val="16"/>
              </w:rPr>
              <w:t>胞的效率，防止活组织供氧不足，特别是心肌和其</w:t>
            </w:r>
            <w:r>
              <w:rPr>
                <w:rFonts w:ascii="宋体" w:eastAsia="宋体" w:hAnsi="宋体" w:cs="宋体"/>
                <w:sz w:val="16"/>
                <w:szCs w:val="16"/>
              </w:rPr>
              <w:t xml:space="preserve"> </w:t>
            </w:r>
            <w:r>
              <w:rPr>
                <w:rFonts w:ascii="宋体" w:eastAsia="宋体" w:hAnsi="宋体" w:cs="宋体"/>
                <w:spacing w:val="3"/>
                <w:sz w:val="16"/>
                <w:szCs w:val="16"/>
              </w:rPr>
              <w:t>他肌肉的供氧不足；还能抑制脂肪肝的形成，使动</w:t>
            </w:r>
            <w:r>
              <w:rPr>
                <w:rFonts w:ascii="宋体" w:eastAsia="宋体" w:hAnsi="宋体" w:cs="宋体"/>
                <w:spacing w:val="4"/>
                <w:sz w:val="16"/>
                <w:szCs w:val="16"/>
              </w:rPr>
              <w:t xml:space="preserve"> </w:t>
            </w:r>
            <w:r>
              <w:rPr>
                <w:rFonts w:ascii="宋体" w:eastAsia="宋体" w:hAnsi="宋体" w:cs="宋体"/>
                <w:spacing w:val="2"/>
                <w:sz w:val="16"/>
                <w:szCs w:val="16"/>
              </w:rPr>
              <w:t>物适应强运动量练习以及控制血浆胆固醇水平；对 多种皮肤病如湿疹、牛皮癣、硬皮病及其他皮肤病</w:t>
            </w:r>
            <w:r>
              <w:rPr>
                <w:rFonts w:ascii="宋体" w:eastAsia="宋体" w:hAnsi="宋体" w:cs="宋体"/>
                <w:spacing w:val="6"/>
                <w:sz w:val="16"/>
                <w:szCs w:val="16"/>
              </w:rPr>
              <w:t xml:space="preserve"> </w:t>
            </w:r>
            <w:r>
              <w:rPr>
                <w:rFonts w:ascii="宋体" w:eastAsia="宋体" w:hAnsi="宋体" w:cs="宋体"/>
                <w:spacing w:val="2"/>
                <w:sz w:val="16"/>
                <w:szCs w:val="16"/>
              </w:rPr>
              <w:t xml:space="preserve">有一定作用。临床上可用于心血管疾病、肝炎、皮 </w:t>
            </w:r>
            <w:r>
              <w:rPr>
                <w:rFonts w:ascii="宋体" w:eastAsia="宋体" w:hAnsi="宋体" w:cs="宋体"/>
                <w:spacing w:val="-1"/>
                <w:sz w:val="16"/>
                <w:szCs w:val="16"/>
              </w:rPr>
              <w:t>肤病和肿瘤</w:t>
            </w:r>
          </w:p>
          <w:p w:rsidR="00EA40A3" w:rsidRDefault="00E86C16">
            <w:pPr>
              <w:spacing w:before="118" w:line="217" w:lineRule="auto"/>
              <w:ind w:left="93" w:right="121" w:firstLine="10"/>
              <w:rPr>
                <w:rFonts w:ascii="宋体" w:eastAsia="宋体" w:hAnsi="宋体" w:cs="宋体"/>
                <w:sz w:val="16"/>
                <w:szCs w:val="16"/>
              </w:rPr>
            </w:pPr>
            <w:r>
              <w:rPr>
                <w:rFonts w:ascii="宋体" w:eastAsia="宋体" w:hAnsi="宋体" w:cs="宋体"/>
                <w:spacing w:val="2"/>
                <w:sz w:val="16"/>
                <w:szCs w:val="16"/>
              </w:rPr>
              <w:t>可加速伤口痊愈；可抗变态反应，口服叶绿素铜钠</w:t>
            </w:r>
            <w:r>
              <w:rPr>
                <w:rFonts w:ascii="宋体" w:eastAsia="宋体" w:hAnsi="宋体" w:cs="宋体"/>
                <w:spacing w:val="3"/>
                <w:sz w:val="16"/>
                <w:szCs w:val="16"/>
              </w:rPr>
              <w:t xml:space="preserve"> </w:t>
            </w:r>
            <w:r>
              <w:rPr>
                <w:rFonts w:ascii="宋体" w:eastAsia="宋体" w:hAnsi="宋体" w:cs="宋体"/>
                <w:spacing w:val="2"/>
                <w:sz w:val="16"/>
                <w:szCs w:val="16"/>
              </w:rPr>
              <w:t>对慢性荨麻疹、慢性湿疹、支气管哮喘及冻疮等变</w:t>
            </w:r>
          </w:p>
        </w:tc>
        <w:tc>
          <w:tcPr>
            <w:tcW w:w="2570" w:type="dxa"/>
            <w:vMerge w:val="restart"/>
            <w:tcBorders>
              <w:top w:val="single" w:sz="4" w:space="0" w:color="000000"/>
              <w:left w:val="nil"/>
              <w:bottom w:val="nil"/>
              <w:right w:val="nil"/>
            </w:tcBorders>
          </w:tcPr>
          <w:p w:rsidR="00EA40A3" w:rsidRDefault="00EA40A3">
            <w:pPr>
              <w:spacing w:line="262" w:lineRule="auto"/>
            </w:pPr>
          </w:p>
          <w:p w:rsidR="00EA40A3" w:rsidRDefault="00EA40A3">
            <w:pPr>
              <w:spacing w:line="262" w:lineRule="auto"/>
            </w:pPr>
          </w:p>
          <w:p w:rsidR="00EA40A3" w:rsidRDefault="00E86C16">
            <w:pPr>
              <w:spacing w:before="52" w:line="238" w:lineRule="auto"/>
              <w:ind w:left="90" w:right="159"/>
              <w:rPr>
                <w:rFonts w:ascii="宋体" w:eastAsia="宋体" w:hAnsi="宋体" w:cs="宋体"/>
                <w:sz w:val="16"/>
                <w:szCs w:val="16"/>
              </w:rPr>
            </w:pPr>
            <w:r>
              <w:rPr>
                <w:rFonts w:ascii="宋体" w:eastAsia="宋体" w:hAnsi="宋体" w:cs="宋体"/>
                <w:spacing w:val="5"/>
                <w:sz w:val="16"/>
                <w:szCs w:val="16"/>
              </w:rPr>
              <w:t>向日葵籽、南瓜籽、酵母、肝、</w:t>
            </w:r>
            <w:r>
              <w:rPr>
                <w:rFonts w:ascii="宋体" w:eastAsia="宋体" w:hAnsi="宋体" w:cs="宋体"/>
                <w:spacing w:val="9"/>
                <w:sz w:val="16"/>
                <w:szCs w:val="16"/>
              </w:rPr>
              <w:t xml:space="preserve"> </w:t>
            </w:r>
            <w:r>
              <w:rPr>
                <w:rFonts w:ascii="宋体" w:eastAsia="宋体" w:hAnsi="宋体" w:cs="宋体"/>
                <w:spacing w:val="1"/>
                <w:sz w:val="16"/>
                <w:szCs w:val="16"/>
              </w:rPr>
              <w:t>稻米、整粒谷物、杏仁和其他种</w:t>
            </w:r>
            <w:r>
              <w:rPr>
                <w:rFonts w:ascii="宋体" w:eastAsia="宋体" w:hAnsi="宋体" w:cs="宋体"/>
                <w:spacing w:val="8"/>
                <w:sz w:val="16"/>
                <w:szCs w:val="16"/>
              </w:rPr>
              <w:t xml:space="preserve"> </w:t>
            </w:r>
            <w:r>
              <w:rPr>
                <w:rFonts w:ascii="宋体" w:eastAsia="宋体" w:hAnsi="宋体" w:cs="宋体"/>
                <w:spacing w:val="-1"/>
                <w:sz w:val="16"/>
                <w:szCs w:val="16"/>
              </w:rPr>
              <w:t>子都是良好的来源。此外，凡是</w:t>
            </w:r>
            <w:r>
              <w:rPr>
                <w:rFonts w:ascii="宋体" w:eastAsia="宋体" w:hAnsi="宋体" w:cs="宋体"/>
                <w:spacing w:val="3"/>
                <w:sz w:val="16"/>
                <w:szCs w:val="16"/>
              </w:rPr>
              <w:t xml:space="preserve">  </w:t>
            </w:r>
            <w:r>
              <w:rPr>
                <w:rFonts w:ascii="宋体" w:eastAsia="宋体" w:hAnsi="宋体" w:cs="宋体"/>
                <w:spacing w:val="1"/>
                <w:sz w:val="16"/>
                <w:szCs w:val="16"/>
              </w:rPr>
              <w:t>有复合维生素B存在的天然食物</w:t>
            </w:r>
            <w:r>
              <w:rPr>
                <w:rFonts w:ascii="宋体" w:eastAsia="宋体" w:hAnsi="宋体" w:cs="宋体"/>
                <w:spacing w:val="4"/>
                <w:sz w:val="16"/>
                <w:szCs w:val="16"/>
              </w:rPr>
              <w:t xml:space="preserve">  </w:t>
            </w:r>
            <w:r>
              <w:rPr>
                <w:rFonts w:ascii="宋体" w:eastAsia="宋体" w:hAnsi="宋体" w:cs="宋体"/>
                <w:spacing w:val="-2"/>
                <w:sz w:val="16"/>
                <w:szCs w:val="16"/>
              </w:rPr>
              <w:t>都含有潘氨酸</w:t>
            </w:r>
          </w:p>
          <w:p w:rsidR="00EA40A3" w:rsidRDefault="00EA40A3">
            <w:pPr>
              <w:spacing w:line="290" w:lineRule="auto"/>
            </w:pPr>
          </w:p>
          <w:p w:rsidR="00EA40A3" w:rsidRDefault="00EA40A3">
            <w:pPr>
              <w:spacing w:line="291" w:lineRule="auto"/>
            </w:pPr>
          </w:p>
          <w:p w:rsidR="00EA40A3" w:rsidRDefault="00EA40A3">
            <w:pPr>
              <w:spacing w:line="291" w:lineRule="auto"/>
            </w:pPr>
          </w:p>
          <w:p w:rsidR="00EA40A3" w:rsidRDefault="00E86C16">
            <w:pPr>
              <w:spacing w:before="52" w:line="219" w:lineRule="auto"/>
              <w:ind w:left="90"/>
              <w:rPr>
                <w:rFonts w:ascii="宋体" w:eastAsia="宋体" w:hAnsi="宋体" w:cs="宋体"/>
                <w:sz w:val="16"/>
                <w:szCs w:val="16"/>
              </w:rPr>
            </w:pPr>
            <w:r>
              <w:rPr>
                <w:rFonts w:ascii="宋体" w:eastAsia="宋体" w:hAnsi="宋体" w:cs="宋体"/>
                <w:spacing w:val="1"/>
                <w:sz w:val="16"/>
                <w:szCs w:val="16"/>
              </w:rPr>
              <w:t>广泛存在于高等植物的叶绿体中</w:t>
            </w:r>
          </w:p>
          <w:p w:rsidR="00EA40A3" w:rsidRDefault="00EA40A3">
            <w:pPr>
              <w:spacing w:line="277" w:lineRule="auto"/>
            </w:pPr>
          </w:p>
          <w:p w:rsidR="00EA40A3" w:rsidRDefault="00EA40A3">
            <w:pPr>
              <w:spacing w:line="277" w:lineRule="auto"/>
            </w:pPr>
          </w:p>
          <w:p w:rsidR="00EA40A3" w:rsidRDefault="00E86C16">
            <w:pPr>
              <w:spacing w:before="52" w:line="231" w:lineRule="auto"/>
              <w:ind w:left="90" w:right="247"/>
              <w:rPr>
                <w:rFonts w:ascii="宋体" w:eastAsia="宋体" w:hAnsi="宋体" w:cs="宋体"/>
                <w:sz w:val="16"/>
                <w:szCs w:val="16"/>
              </w:rPr>
            </w:pPr>
            <w:r>
              <w:rPr>
                <w:rFonts w:ascii="宋体" w:eastAsia="宋体" w:hAnsi="宋体" w:cs="宋体"/>
                <w:spacing w:val="-1"/>
                <w:sz w:val="16"/>
                <w:szCs w:val="16"/>
              </w:rPr>
              <w:t>草莓、番茄、樱桃、葡萄和柑橘</w:t>
            </w:r>
            <w:r>
              <w:rPr>
                <w:rFonts w:ascii="宋体" w:eastAsia="宋体" w:hAnsi="宋体" w:cs="宋体"/>
                <w:spacing w:val="5"/>
                <w:sz w:val="16"/>
                <w:szCs w:val="16"/>
              </w:rPr>
              <w:t xml:space="preserve"> </w:t>
            </w:r>
            <w:r>
              <w:rPr>
                <w:rFonts w:ascii="宋体" w:eastAsia="宋体" w:hAnsi="宋体" w:cs="宋体"/>
                <w:spacing w:val="2"/>
                <w:sz w:val="16"/>
                <w:szCs w:val="16"/>
              </w:rPr>
              <w:t>等浆果富含此类物质</w:t>
            </w:r>
          </w:p>
        </w:tc>
      </w:tr>
      <w:tr w:rsidR="00EA40A3">
        <w:trPr>
          <w:trHeight w:val="516"/>
        </w:trPr>
        <w:tc>
          <w:tcPr>
            <w:tcW w:w="4780" w:type="dxa"/>
            <w:gridSpan w:val="2"/>
            <w:tcBorders>
              <w:left w:val="nil"/>
              <w:right w:val="nil"/>
            </w:tcBorders>
          </w:tcPr>
          <w:p w:rsidR="00EA40A3" w:rsidRDefault="00E86C16">
            <w:pPr>
              <w:spacing w:before="30" w:line="234" w:lineRule="auto"/>
              <w:ind w:left="1090" w:right="113" w:hanging="1040"/>
              <w:rPr>
                <w:rFonts w:ascii="宋体" w:eastAsia="宋体" w:hAnsi="宋体" w:cs="宋体"/>
                <w:sz w:val="16"/>
                <w:szCs w:val="16"/>
              </w:rPr>
            </w:pPr>
            <w:r>
              <w:rPr>
                <w:rFonts w:ascii="宋体" w:eastAsia="宋体" w:hAnsi="宋体" w:cs="宋体"/>
                <w:spacing w:val="2"/>
                <w:sz w:val="16"/>
                <w:szCs w:val="16"/>
              </w:rPr>
              <w:t>(</w:t>
            </w:r>
            <w:r>
              <w:rPr>
                <w:rFonts w:ascii="宋体" w:eastAsia="宋体" w:hAnsi="宋体" w:cs="宋体"/>
                <w:sz w:val="16"/>
                <w:szCs w:val="16"/>
              </w:rPr>
              <w:t>chlorophyll</w:t>
            </w:r>
            <w:r>
              <w:rPr>
                <w:rFonts w:ascii="宋体" w:eastAsia="宋体" w:hAnsi="宋体" w:cs="宋体"/>
                <w:spacing w:val="2"/>
                <w:sz w:val="16"/>
                <w:szCs w:val="16"/>
              </w:rPr>
              <w:t>)态反应有明显的功效；还有脱臭及降低血液中胆固</w:t>
            </w:r>
            <w:r>
              <w:rPr>
                <w:rFonts w:ascii="宋体" w:eastAsia="宋体" w:hAnsi="宋体" w:cs="宋体"/>
                <w:spacing w:val="7"/>
                <w:sz w:val="16"/>
                <w:szCs w:val="16"/>
              </w:rPr>
              <w:t xml:space="preserve"> </w:t>
            </w:r>
            <w:r>
              <w:rPr>
                <w:rFonts w:ascii="宋体" w:eastAsia="宋体" w:hAnsi="宋体" w:cs="宋体"/>
                <w:spacing w:val="9"/>
                <w:sz w:val="16"/>
                <w:szCs w:val="16"/>
              </w:rPr>
              <w:t>醇的作用</w:t>
            </w:r>
          </w:p>
        </w:tc>
        <w:tc>
          <w:tcPr>
            <w:tcW w:w="2570" w:type="dxa"/>
            <w:vMerge/>
            <w:tcBorders>
              <w:top w:val="nil"/>
              <w:left w:val="nil"/>
              <w:bottom w:val="nil"/>
              <w:right w:val="nil"/>
            </w:tcBorders>
          </w:tcPr>
          <w:p w:rsidR="00EA40A3" w:rsidRDefault="00EA40A3"/>
        </w:tc>
      </w:tr>
      <w:tr w:rsidR="00EA40A3">
        <w:trPr>
          <w:trHeight w:val="836"/>
        </w:trPr>
        <w:tc>
          <w:tcPr>
            <w:tcW w:w="987" w:type="dxa"/>
            <w:tcBorders>
              <w:left w:val="nil"/>
              <w:bottom w:val="single" w:sz="4" w:space="0" w:color="000000"/>
            </w:tcBorders>
          </w:tcPr>
          <w:p w:rsidR="00EA40A3" w:rsidRDefault="00E86C16">
            <w:pPr>
              <w:spacing w:before="128" w:line="214" w:lineRule="auto"/>
              <w:ind w:left="80"/>
              <w:rPr>
                <w:rFonts w:ascii="宋体" w:eastAsia="宋体" w:hAnsi="宋体" w:cs="宋体"/>
                <w:sz w:val="16"/>
                <w:szCs w:val="16"/>
              </w:rPr>
            </w:pPr>
            <w:r>
              <w:rPr>
                <w:rFonts w:ascii="宋体" w:eastAsia="宋体" w:hAnsi="宋体" w:cs="宋体"/>
                <w:spacing w:val="-2"/>
                <w:sz w:val="16"/>
                <w:szCs w:val="16"/>
              </w:rPr>
              <w:t>天然水杨酸</w:t>
            </w:r>
          </w:p>
          <w:p w:rsidR="00EA40A3" w:rsidRDefault="00E86C16">
            <w:pPr>
              <w:spacing w:line="216" w:lineRule="exact"/>
              <w:ind w:left="80"/>
              <w:rPr>
                <w:rFonts w:ascii="宋体" w:eastAsia="宋体" w:hAnsi="宋体" w:cs="宋体"/>
                <w:sz w:val="12"/>
                <w:szCs w:val="12"/>
              </w:rPr>
            </w:pPr>
            <w:r>
              <w:rPr>
                <w:rFonts w:ascii="宋体" w:eastAsia="宋体" w:hAnsi="宋体" w:cs="宋体"/>
                <w:spacing w:val="-3"/>
                <w:position w:val="7"/>
                <w:sz w:val="12"/>
                <w:szCs w:val="12"/>
              </w:rPr>
              <w:t>(salicylic</w:t>
            </w:r>
          </w:p>
          <w:p w:rsidR="00EA40A3" w:rsidRDefault="00E86C16">
            <w:pPr>
              <w:spacing w:line="222" w:lineRule="auto"/>
              <w:ind w:left="80"/>
              <w:rPr>
                <w:rFonts w:ascii="宋体" w:eastAsia="宋体" w:hAnsi="宋体" w:cs="宋体"/>
                <w:sz w:val="16"/>
                <w:szCs w:val="16"/>
              </w:rPr>
            </w:pPr>
            <w:r>
              <w:rPr>
                <w:rFonts w:ascii="宋体" w:eastAsia="宋体" w:hAnsi="宋体" w:cs="宋体"/>
                <w:spacing w:val="-2"/>
                <w:sz w:val="16"/>
                <w:szCs w:val="16"/>
              </w:rPr>
              <w:t>acid)</w:t>
            </w:r>
          </w:p>
        </w:tc>
        <w:tc>
          <w:tcPr>
            <w:tcW w:w="3793" w:type="dxa"/>
            <w:tcBorders>
              <w:bottom w:val="single" w:sz="4" w:space="0" w:color="000000"/>
              <w:right w:val="nil"/>
            </w:tcBorders>
          </w:tcPr>
          <w:p w:rsidR="00EA40A3" w:rsidRDefault="00E86C16">
            <w:pPr>
              <w:spacing w:before="207" w:line="237" w:lineRule="auto"/>
              <w:ind w:left="93" w:right="179" w:firstLine="10"/>
              <w:rPr>
                <w:rFonts w:ascii="宋体" w:eastAsia="宋体" w:hAnsi="宋体" w:cs="宋体"/>
                <w:sz w:val="16"/>
                <w:szCs w:val="16"/>
              </w:rPr>
            </w:pPr>
            <w:r>
              <w:rPr>
                <w:rFonts w:ascii="宋体" w:eastAsia="宋体" w:hAnsi="宋体" w:cs="宋体"/>
                <w:spacing w:val="-1"/>
                <w:sz w:val="16"/>
                <w:szCs w:val="16"/>
              </w:rPr>
              <w:t>天然水杨酸有助于抑制血小板的黏附、聚积，对预</w:t>
            </w:r>
            <w:r>
              <w:rPr>
                <w:rFonts w:ascii="宋体" w:eastAsia="宋体" w:hAnsi="宋体" w:cs="宋体"/>
                <w:spacing w:val="11"/>
                <w:sz w:val="16"/>
                <w:szCs w:val="16"/>
              </w:rPr>
              <w:t xml:space="preserve"> </w:t>
            </w:r>
            <w:r>
              <w:rPr>
                <w:rFonts w:ascii="宋体" w:eastAsia="宋体" w:hAnsi="宋体" w:cs="宋体"/>
                <w:spacing w:val="1"/>
                <w:sz w:val="16"/>
                <w:szCs w:val="16"/>
              </w:rPr>
              <w:t>防血栓形成及降低高黏血症有一定作用</w:t>
            </w:r>
          </w:p>
        </w:tc>
        <w:tc>
          <w:tcPr>
            <w:tcW w:w="2570" w:type="dxa"/>
            <w:vMerge/>
            <w:tcBorders>
              <w:top w:val="nil"/>
              <w:left w:val="nil"/>
              <w:bottom w:val="single" w:sz="4" w:space="0" w:color="000000"/>
              <w:right w:val="nil"/>
            </w:tcBorders>
          </w:tcPr>
          <w:p w:rsidR="00EA40A3" w:rsidRDefault="00EA40A3"/>
        </w:tc>
      </w:tr>
    </w:tbl>
    <w:p w:rsidR="00EA40A3" w:rsidRDefault="00EA40A3">
      <w:pPr>
        <w:spacing w:line="456" w:lineRule="auto"/>
      </w:pPr>
    </w:p>
    <w:p w:rsidR="00EA40A3" w:rsidRDefault="00E86C16">
      <w:pPr>
        <w:spacing w:before="72" w:line="222" w:lineRule="auto"/>
        <w:ind w:left="3173"/>
        <w:rPr>
          <w:rFonts w:ascii="黑体" w:eastAsia="黑体" w:hAnsi="黑体" w:cs="黑体"/>
          <w:sz w:val="22"/>
          <w:szCs w:val="22"/>
        </w:rPr>
      </w:pPr>
      <w:r>
        <w:rPr>
          <w:rFonts w:ascii="黑体" w:eastAsia="黑体" w:hAnsi="黑体" w:cs="黑体"/>
          <w:b/>
          <w:bCs/>
          <w:spacing w:val="-9"/>
          <w:sz w:val="22"/>
          <w:szCs w:val="22"/>
        </w:rPr>
        <w:t>思</w:t>
      </w:r>
      <w:r>
        <w:rPr>
          <w:rFonts w:ascii="黑体" w:eastAsia="黑体" w:hAnsi="黑体" w:cs="黑体"/>
          <w:spacing w:val="80"/>
          <w:sz w:val="22"/>
          <w:szCs w:val="22"/>
        </w:rPr>
        <w:t xml:space="preserve"> </w:t>
      </w:r>
      <w:r>
        <w:rPr>
          <w:rFonts w:ascii="黑体" w:eastAsia="黑体" w:hAnsi="黑体" w:cs="黑体"/>
          <w:b/>
          <w:bCs/>
          <w:spacing w:val="-9"/>
          <w:sz w:val="22"/>
          <w:szCs w:val="22"/>
        </w:rPr>
        <w:t>考</w:t>
      </w:r>
      <w:r>
        <w:rPr>
          <w:rFonts w:ascii="黑体" w:eastAsia="黑体" w:hAnsi="黑体" w:cs="黑体"/>
          <w:spacing w:val="79"/>
          <w:sz w:val="22"/>
          <w:szCs w:val="22"/>
        </w:rPr>
        <w:t xml:space="preserve"> </w:t>
      </w:r>
      <w:r>
        <w:rPr>
          <w:rFonts w:ascii="黑体" w:eastAsia="黑体" w:hAnsi="黑体" w:cs="黑体"/>
          <w:b/>
          <w:bCs/>
          <w:spacing w:val="-9"/>
          <w:sz w:val="22"/>
          <w:szCs w:val="22"/>
        </w:rPr>
        <w:t>题</w:t>
      </w:r>
    </w:p>
    <w:p w:rsidR="00EA40A3" w:rsidRDefault="00E86C16">
      <w:pPr>
        <w:spacing w:before="197" w:line="219" w:lineRule="auto"/>
        <w:ind w:left="370"/>
        <w:rPr>
          <w:rFonts w:ascii="宋体" w:eastAsia="宋体" w:hAnsi="宋体" w:cs="宋体"/>
          <w:sz w:val="19"/>
          <w:szCs w:val="19"/>
        </w:rPr>
      </w:pPr>
      <w:r>
        <w:rPr>
          <w:rFonts w:ascii="宋体" w:eastAsia="宋体" w:hAnsi="宋体" w:cs="宋体"/>
          <w:spacing w:val="-8"/>
          <w:sz w:val="19"/>
          <w:szCs w:val="19"/>
        </w:rPr>
        <w:t>1.</w:t>
      </w:r>
      <w:r>
        <w:rPr>
          <w:rFonts w:ascii="宋体" w:eastAsia="宋体" w:hAnsi="宋体" w:cs="宋体"/>
          <w:spacing w:val="-21"/>
          <w:sz w:val="19"/>
          <w:szCs w:val="19"/>
        </w:rPr>
        <w:t xml:space="preserve"> </w:t>
      </w:r>
      <w:r>
        <w:rPr>
          <w:rFonts w:ascii="宋体" w:eastAsia="宋体" w:hAnsi="宋体" w:cs="宋体"/>
          <w:spacing w:val="-8"/>
          <w:sz w:val="19"/>
          <w:szCs w:val="19"/>
        </w:rPr>
        <w:t>何谓膳食纤维?膳食纤维有哪些重要的生理功能?</w:t>
      </w:r>
    </w:p>
    <w:p w:rsidR="00EA40A3" w:rsidRDefault="00E86C16">
      <w:pPr>
        <w:spacing w:before="53" w:line="219" w:lineRule="auto"/>
        <w:ind w:left="370"/>
        <w:rPr>
          <w:rFonts w:ascii="宋体" w:eastAsia="宋体" w:hAnsi="宋体" w:cs="宋体"/>
          <w:sz w:val="19"/>
          <w:szCs w:val="19"/>
        </w:rPr>
      </w:pPr>
      <w:r>
        <w:rPr>
          <w:rFonts w:ascii="宋体" w:eastAsia="宋体" w:hAnsi="宋体" w:cs="宋体"/>
          <w:spacing w:val="-11"/>
          <w:sz w:val="19"/>
          <w:szCs w:val="19"/>
        </w:rPr>
        <w:t>2.</w:t>
      </w:r>
      <w:r>
        <w:rPr>
          <w:rFonts w:ascii="宋体" w:eastAsia="宋体" w:hAnsi="宋体" w:cs="宋体"/>
          <w:spacing w:val="-23"/>
          <w:sz w:val="19"/>
          <w:szCs w:val="19"/>
        </w:rPr>
        <w:t xml:space="preserve"> </w:t>
      </w:r>
      <w:r>
        <w:rPr>
          <w:rFonts w:ascii="宋体" w:eastAsia="宋体" w:hAnsi="宋体" w:cs="宋体"/>
          <w:spacing w:val="-11"/>
          <w:sz w:val="19"/>
          <w:szCs w:val="19"/>
        </w:rPr>
        <w:t>简述生物类黄酮及其生理功能。</w:t>
      </w:r>
    </w:p>
    <w:p w:rsidR="00EA40A3" w:rsidRDefault="00E86C16">
      <w:pPr>
        <w:spacing w:before="54" w:line="219" w:lineRule="auto"/>
        <w:ind w:left="370"/>
        <w:rPr>
          <w:rFonts w:ascii="宋体" w:eastAsia="宋体" w:hAnsi="宋体" w:cs="宋体"/>
          <w:sz w:val="19"/>
          <w:szCs w:val="19"/>
        </w:rPr>
      </w:pPr>
      <w:r>
        <w:rPr>
          <w:rFonts w:ascii="宋体" w:eastAsia="宋体" w:hAnsi="宋体" w:cs="宋体"/>
          <w:spacing w:val="-11"/>
          <w:sz w:val="19"/>
          <w:szCs w:val="19"/>
        </w:rPr>
        <w:t>3.</w:t>
      </w:r>
      <w:r>
        <w:rPr>
          <w:rFonts w:ascii="宋体" w:eastAsia="宋体" w:hAnsi="宋体" w:cs="宋体"/>
          <w:spacing w:val="-38"/>
          <w:sz w:val="19"/>
          <w:szCs w:val="19"/>
        </w:rPr>
        <w:t xml:space="preserve"> </w:t>
      </w:r>
      <w:r>
        <w:rPr>
          <w:rFonts w:ascii="宋体" w:eastAsia="宋体" w:hAnsi="宋体" w:cs="宋体"/>
          <w:spacing w:val="-11"/>
          <w:sz w:val="19"/>
          <w:szCs w:val="19"/>
        </w:rPr>
        <w:t>异黄酮和花青素有何特有的生理作用?</w:t>
      </w:r>
    </w:p>
    <w:p w:rsidR="00EA40A3" w:rsidRDefault="00E86C16">
      <w:pPr>
        <w:spacing w:before="55" w:line="219" w:lineRule="auto"/>
        <w:ind w:left="370"/>
        <w:rPr>
          <w:rFonts w:ascii="宋体" w:eastAsia="宋体" w:hAnsi="宋体" w:cs="宋体"/>
          <w:sz w:val="19"/>
          <w:szCs w:val="19"/>
        </w:rPr>
      </w:pPr>
      <w:r>
        <w:rPr>
          <w:rFonts w:ascii="宋体" w:eastAsia="宋体" w:hAnsi="宋体" w:cs="宋体"/>
          <w:spacing w:val="-7"/>
          <w:sz w:val="19"/>
          <w:szCs w:val="19"/>
        </w:rPr>
        <w:t>4.</w:t>
      </w:r>
      <w:r>
        <w:rPr>
          <w:rFonts w:ascii="宋体" w:eastAsia="宋体" w:hAnsi="宋体" w:cs="宋体"/>
          <w:spacing w:val="-35"/>
          <w:sz w:val="19"/>
          <w:szCs w:val="19"/>
        </w:rPr>
        <w:t xml:space="preserve"> </w:t>
      </w:r>
      <w:r>
        <w:rPr>
          <w:rFonts w:ascii="宋体" w:eastAsia="宋体" w:hAnsi="宋体" w:cs="宋体"/>
          <w:spacing w:val="-7"/>
          <w:sz w:val="19"/>
          <w:szCs w:val="19"/>
        </w:rPr>
        <w:t>类胡萝卜素有哪些重要的生理功能?富含在哪些食品中?</w:t>
      </w:r>
    </w:p>
    <w:p w:rsidR="00EA40A3" w:rsidRDefault="00E86C16">
      <w:pPr>
        <w:spacing w:before="54" w:line="219" w:lineRule="auto"/>
        <w:ind w:left="370"/>
        <w:rPr>
          <w:rFonts w:ascii="宋体" w:eastAsia="宋体" w:hAnsi="宋体" w:cs="宋体"/>
          <w:sz w:val="19"/>
          <w:szCs w:val="19"/>
        </w:rPr>
      </w:pPr>
      <w:r>
        <w:rPr>
          <w:rFonts w:ascii="宋体" w:eastAsia="宋体" w:hAnsi="宋体" w:cs="宋体"/>
          <w:spacing w:val="-8"/>
          <w:sz w:val="19"/>
          <w:szCs w:val="19"/>
        </w:rPr>
        <w:t>5.</w:t>
      </w:r>
      <w:r>
        <w:rPr>
          <w:rFonts w:ascii="宋体" w:eastAsia="宋体" w:hAnsi="宋体" w:cs="宋体"/>
          <w:spacing w:val="-34"/>
          <w:sz w:val="19"/>
          <w:szCs w:val="19"/>
        </w:rPr>
        <w:t xml:space="preserve"> </w:t>
      </w:r>
      <w:r>
        <w:rPr>
          <w:rFonts w:ascii="宋体" w:eastAsia="宋体" w:hAnsi="宋体" w:cs="宋体"/>
          <w:spacing w:val="-8"/>
          <w:sz w:val="19"/>
          <w:szCs w:val="19"/>
        </w:rPr>
        <w:t>有机硫化合物主要包括哪几类?各自有何特有的生</w:t>
      </w:r>
      <w:r>
        <w:rPr>
          <w:rFonts w:ascii="宋体" w:eastAsia="宋体" w:hAnsi="宋体" w:cs="宋体"/>
          <w:spacing w:val="-9"/>
          <w:sz w:val="19"/>
          <w:szCs w:val="19"/>
        </w:rPr>
        <w:t>理功能?</w:t>
      </w:r>
    </w:p>
    <w:p w:rsidR="00EA40A3" w:rsidRDefault="00E86C16">
      <w:pPr>
        <w:spacing w:before="56" w:line="219" w:lineRule="auto"/>
        <w:ind w:left="370"/>
        <w:rPr>
          <w:rFonts w:ascii="宋体" w:eastAsia="宋体" w:hAnsi="宋体" w:cs="宋体"/>
          <w:sz w:val="19"/>
          <w:szCs w:val="19"/>
        </w:rPr>
      </w:pPr>
      <w:r>
        <w:rPr>
          <w:rFonts w:ascii="宋体" w:eastAsia="宋体" w:hAnsi="宋体" w:cs="宋体"/>
          <w:spacing w:val="-10"/>
          <w:sz w:val="19"/>
          <w:szCs w:val="19"/>
        </w:rPr>
        <w:t>6. 皂苷、茶氨酸、辅酶Q、</w:t>
      </w:r>
      <w:r>
        <w:rPr>
          <w:rFonts w:ascii="宋体" w:eastAsia="宋体" w:hAnsi="宋体" w:cs="宋体"/>
          <w:spacing w:val="-37"/>
          <w:sz w:val="19"/>
          <w:szCs w:val="19"/>
        </w:rPr>
        <w:t xml:space="preserve"> </w:t>
      </w:r>
      <w:r>
        <w:rPr>
          <w:rFonts w:ascii="宋体" w:eastAsia="宋体" w:hAnsi="宋体" w:cs="宋体"/>
          <w:spacing w:val="-10"/>
          <w:sz w:val="19"/>
          <w:szCs w:val="19"/>
        </w:rPr>
        <w:t>植物甾醇、二十八烷醇、褪黑素及咖啡碱等有何生理功能?</w:t>
      </w:r>
    </w:p>
    <w:p w:rsidR="00EA40A3" w:rsidRDefault="00EA40A3">
      <w:pPr>
        <w:spacing w:line="319" w:lineRule="auto"/>
      </w:pPr>
    </w:p>
    <w:p w:rsidR="00EA40A3" w:rsidRDefault="00E86C16">
      <w:pPr>
        <w:spacing w:before="72" w:line="225" w:lineRule="auto"/>
        <w:ind w:left="4820"/>
        <w:rPr>
          <w:rFonts w:ascii="楷体" w:eastAsia="楷体" w:hAnsi="楷体" w:cs="楷体"/>
          <w:sz w:val="22"/>
          <w:szCs w:val="22"/>
        </w:rPr>
      </w:pPr>
      <w:r>
        <w:rPr>
          <w:rFonts w:ascii="楷体" w:eastAsia="楷体" w:hAnsi="楷体" w:cs="楷体"/>
          <w:spacing w:val="-10"/>
          <w:sz w:val="22"/>
          <w:szCs w:val="22"/>
        </w:rPr>
        <w:t>(本章编写人：周才琼)</w:t>
      </w:r>
    </w:p>
    <w:p w:rsidR="00EA40A3" w:rsidRDefault="00E86C16">
      <w:pPr>
        <w:spacing w:before="220" w:line="222" w:lineRule="auto"/>
        <w:ind w:left="3062"/>
        <w:rPr>
          <w:rFonts w:ascii="黑体" w:eastAsia="黑体" w:hAnsi="黑体" w:cs="黑体"/>
          <w:sz w:val="19"/>
          <w:szCs w:val="19"/>
        </w:rPr>
      </w:pPr>
      <w:r>
        <w:rPr>
          <w:rFonts w:ascii="黑体" w:eastAsia="黑体" w:hAnsi="黑体" w:cs="黑体"/>
          <w:b/>
          <w:bCs/>
          <w:spacing w:val="13"/>
          <w:sz w:val="19"/>
          <w:szCs w:val="19"/>
        </w:rPr>
        <w:t>主要参考文献</w:t>
      </w:r>
    </w:p>
    <w:p w:rsidR="00EA40A3" w:rsidRDefault="00E86C16">
      <w:pPr>
        <w:spacing w:before="192" w:line="237" w:lineRule="auto"/>
        <w:ind w:right="502"/>
        <w:rPr>
          <w:rFonts w:ascii="宋体" w:eastAsia="宋体" w:hAnsi="宋体" w:cs="宋体"/>
          <w:sz w:val="19"/>
          <w:szCs w:val="19"/>
        </w:rPr>
      </w:pPr>
      <w:r>
        <w:rPr>
          <w:rFonts w:ascii="宋体" w:eastAsia="宋体" w:hAnsi="宋体" w:cs="宋体"/>
          <w:spacing w:val="-17"/>
          <w:sz w:val="19"/>
          <w:szCs w:val="19"/>
        </w:rPr>
        <w:t>鲍曼BA,</w:t>
      </w:r>
      <w:r>
        <w:rPr>
          <w:rFonts w:ascii="宋体" w:eastAsia="宋体" w:hAnsi="宋体" w:cs="宋体"/>
          <w:spacing w:val="62"/>
          <w:sz w:val="19"/>
          <w:szCs w:val="19"/>
        </w:rPr>
        <w:t xml:space="preserve"> </w:t>
      </w:r>
      <w:r>
        <w:rPr>
          <w:rFonts w:ascii="宋体" w:eastAsia="宋体" w:hAnsi="宋体" w:cs="宋体"/>
          <w:spacing w:val="-17"/>
          <w:sz w:val="19"/>
          <w:szCs w:val="19"/>
        </w:rPr>
        <w:t>拉塞尔RM.</w:t>
      </w:r>
      <w:r>
        <w:rPr>
          <w:rFonts w:ascii="宋体" w:eastAsia="宋体" w:hAnsi="宋体" w:cs="宋体"/>
          <w:spacing w:val="81"/>
          <w:sz w:val="19"/>
          <w:szCs w:val="19"/>
        </w:rPr>
        <w:t xml:space="preserve"> </w:t>
      </w:r>
      <w:r>
        <w:rPr>
          <w:rFonts w:ascii="宋体" w:eastAsia="宋体" w:hAnsi="宋体" w:cs="宋体"/>
          <w:spacing w:val="-17"/>
          <w:sz w:val="19"/>
          <w:szCs w:val="19"/>
        </w:rPr>
        <w:t>2004.现代营养学.第8版.荫士安，汪之顼主译.北京：化学工业出版社</w:t>
      </w:r>
      <w:r>
        <w:rPr>
          <w:rFonts w:ascii="宋体" w:eastAsia="宋体" w:hAnsi="宋体" w:cs="宋体"/>
          <w:sz w:val="19"/>
          <w:szCs w:val="19"/>
        </w:rPr>
        <w:t xml:space="preserve"> </w:t>
      </w:r>
      <w:r>
        <w:rPr>
          <w:rFonts w:ascii="宋体" w:eastAsia="宋体" w:hAnsi="宋体" w:cs="宋体"/>
          <w:spacing w:val="-20"/>
          <w:sz w:val="19"/>
          <w:szCs w:val="19"/>
        </w:rPr>
        <w:t>陈仁淳.2001.营养保健食品.北京：人民卫生出版社</w:t>
      </w:r>
    </w:p>
    <w:p w:rsidR="00EA40A3" w:rsidRDefault="00E86C16">
      <w:pPr>
        <w:spacing w:before="34" w:line="219" w:lineRule="auto"/>
        <w:rPr>
          <w:rFonts w:ascii="宋体" w:eastAsia="宋体" w:hAnsi="宋体" w:cs="宋体"/>
          <w:sz w:val="19"/>
          <w:szCs w:val="19"/>
        </w:rPr>
      </w:pPr>
      <w:r>
        <w:rPr>
          <w:rFonts w:ascii="宋体" w:eastAsia="宋体" w:hAnsi="宋体" w:cs="宋体"/>
          <w:spacing w:val="-21"/>
          <w:w w:val="98"/>
          <w:sz w:val="19"/>
          <w:szCs w:val="19"/>
        </w:rPr>
        <w:t>陈宗道，周才琼，童华荣.1999.茶叶化学工程学.重庆：西南师范大学出版社</w:t>
      </w:r>
    </w:p>
    <w:p w:rsidR="00EA40A3" w:rsidRDefault="00E86C16">
      <w:pPr>
        <w:spacing w:before="35" w:line="219" w:lineRule="auto"/>
        <w:rPr>
          <w:rFonts w:ascii="宋体" w:eastAsia="宋体" w:hAnsi="宋体" w:cs="宋体"/>
          <w:sz w:val="19"/>
          <w:szCs w:val="19"/>
        </w:rPr>
      </w:pPr>
      <w:r>
        <w:rPr>
          <w:rFonts w:ascii="宋体" w:eastAsia="宋体" w:hAnsi="宋体" w:cs="宋体"/>
          <w:spacing w:val="-20"/>
          <w:sz w:val="19"/>
          <w:szCs w:val="19"/>
        </w:rPr>
        <w:t>迟玉杰.2000.超氧化物歧化酶对人体的营养保健作用.中国乳品工业，(4):27～29</w:t>
      </w:r>
    </w:p>
    <w:p w:rsidR="00EA40A3" w:rsidRDefault="00E86C16">
      <w:pPr>
        <w:spacing w:before="35" w:line="236" w:lineRule="auto"/>
        <w:ind w:right="224"/>
        <w:rPr>
          <w:rFonts w:ascii="宋体" w:eastAsia="宋体" w:hAnsi="宋体" w:cs="宋体"/>
          <w:sz w:val="19"/>
          <w:szCs w:val="19"/>
        </w:rPr>
      </w:pPr>
      <w:r>
        <w:rPr>
          <w:rFonts w:ascii="宋体" w:eastAsia="宋体" w:hAnsi="宋体" w:cs="宋体"/>
          <w:spacing w:val="-20"/>
          <w:w w:val="97"/>
          <w:sz w:val="19"/>
          <w:szCs w:val="19"/>
        </w:rPr>
        <w:t>冯长根，吴悟贤，刘霞等.2003.洋葱的化学成分及药理作用研究进展.上海中医药杂志，37(3):63～64</w:t>
      </w:r>
      <w:r>
        <w:rPr>
          <w:rFonts w:ascii="宋体" w:eastAsia="宋体" w:hAnsi="宋体" w:cs="宋体"/>
          <w:spacing w:val="3"/>
          <w:sz w:val="19"/>
          <w:szCs w:val="19"/>
        </w:rPr>
        <w:t xml:space="preserve"> </w:t>
      </w:r>
      <w:r>
        <w:rPr>
          <w:rFonts w:ascii="宋体" w:eastAsia="宋体" w:hAnsi="宋体" w:cs="宋体"/>
          <w:spacing w:val="-23"/>
          <w:sz w:val="19"/>
          <w:szCs w:val="19"/>
        </w:rPr>
        <w:t>顾维雄。2001.保健食品.上海：上海人民出版社</w:t>
      </w:r>
    </w:p>
    <w:p w:rsidR="00EA40A3" w:rsidRDefault="00E86C16">
      <w:pPr>
        <w:spacing w:before="35" w:line="219" w:lineRule="auto"/>
        <w:rPr>
          <w:rFonts w:ascii="宋体" w:eastAsia="宋体" w:hAnsi="宋体" w:cs="宋体"/>
          <w:sz w:val="19"/>
          <w:szCs w:val="19"/>
        </w:rPr>
      </w:pPr>
      <w:r>
        <w:rPr>
          <w:rFonts w:ascii="宋体" w:eastAsia="宋体" w:hAnsi="宋体" w:cs="宋体"/>
          <w:spacing w:val="-18"/>
          <w:sz w:val="19"/>
          <w:szCs w:val="19"/>
        </w:rPr>
        <w:t>何志谦.2000.人类营养学.第2版.北京：人民卫生出版社</w:t>
      </w:r>
    </w:p>
    <w:p w:rsidR="00EA40A3" w:rsidRDefault="00E86C16">
      <w:pPr>
        <w:spacing w:before="33" w:line="236" w:lineRule="auto"/>
        <w:ind w:right="90"/>
        <w:rPr>
          <w:rFonts w:ascii="宋体" w:eastAsia="宋体" w:hAnsi="宋体" w:cs="宋体"/>
          <w:sz w:val="19"/>
          <w:szCs w:val="19"/>
        </w:rPr>
      </w:pPr>
      <w:r>
        <w:rPr>
          <w:rFonts w:ascii="宋体" w:eastAsia="宋体" w:hAnsi="宋体" w:cs="宋体"/>
          <w:spacing w:val="-19"/>
          <w:w w:val="97"/>
          <w:sz w:val="19"/>
          <w:szCs w:val="19"/>
        </w:rPr>
        <w:t>黄建，孙静.2003.葡糖异硫氰酸酯的生物利用率及对人体健康的意义.国外医学卫生分册，30(2):93~97</w:t>
      </w:r>
      <w:r>
        <w:rPr>
          <w:rFonts w:ascii="宋体" w:eastAsia="宋体" w:hAnsi="宋体" w:cs="宋体"/>
          <w:spacing w:val="11"/>
          <w:sz w:val="19"/>
          <w:szCs w:val="19"/>
        </w:rPr>
        <w:t xml:space="preserve"> </w:t>
      </w:r>
      <w:r>
        <w:rPr>
          <w:rFonts w:ascii="宋体" w:eastAsia="宋体" w:hAnsi="宋体" w:cs="宋体"/>
          <w:spacing w:val="-14"/>
          <w:sz w:val="19"/>
          <w:szCs w:val="19"/>
        </w:rPr>
        <w:t>陆茂松，闵吉梅.2001.大蒜有机硫化合物的研究.中草药，32(10):867</w:t>
      </w:r>
      <w:r>
        <w:rPr>
          <w:rFonts w:ascii="宋体" w:eastAsia="宋体" w:hAnsi="宋体" w:cs="宋体"/>
          <w:spacing w:val="-15"/>
          <w:sz w:val="19"/>
          <w:szCs w:val="19"/>
        </w:rPr>
        <w:t>~870</w:t>
      </w:r>
    </w:p>
    <w:p w:rsidR="00EA40A3" w:rsidRDefault="00E86C16">
      <w:pPr>
        <w:spacing w:before="74" w:line="219" w:lineRule="auto"/>
        <w:rPr>
          <w:rFonts w:ascii="宋体" w:eastAsia="宋体" w:hAnsi="宋体" w:cs="宋体"/>
          <w:sz w:val="19"/>
          <w:szCs w:val="19"/>
        </w:rPr>
      </w:pPr>
      <w:r>
        <w:rPr>
          <w:rFonts w:ascii="宋体" w:eastAsia="宋体" w:hAnsi="宋体" w:cs="宋体"/>
          <w:spacing w:val="-21"/>
          <w:sz w:val="19"/>
          <w:szCs w:val="19"/>
        </w:rPr>
        <w:t>吕毅，郭雯飞，倪捷儿等，2003.茶氨酸的生理作用及合成.</w:t>
      </w:r>
      <w:r>
        <w:rPr>
          <w:rFonts w:ascii="宋体" w:eastAsia="宋体" w:hAnsi="宋体" w:cs="宋体"/>
          <w:spacing w:val="-22"/>
          <w:sz w:val="19"/>
          <w:szCs w:val="19"/>
        </w:rPr>
        <w:t>茶叶科学，23(1):1～5</w:t>
      </w:r>
    </w:p>
    <w:p w:rsidR="00EA40A3" w:rsidRDefault="00E86C16">
      <w:pPr>
        <w:spacing w:before="56" w:line="184" w:lineRule="auto"/>
        <w:rPr>
          <w:rFonts w:ascii="宋体" w:eastAsia="宋体" w:hAnsi="宋体" w:cs="宋体"/>
          <w:sz w:val="19"/>
          <w:szCs w:val="19"/>
        </w:rPr>
      </w:pPr>
      <w:r>
        <w:rPr>
          <w:rFonts w:ascii="宋体" w:eastAsia="宋体" w:hAnsi="宋体" w:cs="宋体"/>
          <w:spacing w:val="-34"/>
          <w:sz w:val="19"/>
          <w:szCs w:val="19"/>
        </w:rPr>
        <w:t>·</w:t>
      </w:r>
      <w:r>
        <w:rPr>
          <w:rFonts w:ascii="宋体" w:eastAsia="宋体" w:hAnsi="宋体" w:cs="宋体"/>
          <w:spacing w:val="-2"/>
          <w:sz w:val="19"/>
          <w:szCs w:val="19"/>
        </w:rPr>
        <w:t xml:space="preserve"> </w:t>
      </w:r>
      <w:r>
        <w:rPr>
          <w:rFonts w:ascii="宋体" w:eastAsia="宋体" w:hAnsi="宋体" w:cs="宋体"/>
          <w:spacing w:val="-34"/>
          <w:sz w:val="19"/>
          <w:szCs w:val="19"/>
        </w:rPr>
        <w:t>178</w:t>
      </w:r>
      <w:r>
        <w:rPr>
          <w:rFonts w:ascii="宋体" w:eastAsia="宋体" w:hAnsi="宋体" w:cs="宋体"/>
          <w:spacing w:val="40"/>
          <w:sz w:val="19"/>
          <w:szCs w:val="19"/>
        </w:rPr>
        <w:t xml:space="preserve"> </w:t>
      </w:r>
      <w:r>
        <w:rPr>
          <w:rFonts w:ascii="宋体" w:eastAsia="宋体" w:hAnsi="宋体" w:cs="宋体"/>
          <w:spacing w:val="-34"/>
          <w:sz w:val="19"/>
          <w:szCs w:val="19"/>
        </w:rPr>
        <w:t>·</w:t>
      </w:r>
    </w:p>
    <w:p w:rsidR="00EA40A3" w:rsidRDefault="00EA40A3">
      <w:pPr>
        <w:sectPr w:rsidR="00EA40A3">
          <w:type w:val="continuous"/>
          <w:pgSz w:w="9350" w:h="13450"/>
          <w:pgMar w:top="1268" w:right="999" w:bottom="400" w:left="979" w:header="1078" w:footer="0" w:gutter="0"/>
          <w:cols w:space="720" w:equalWidth="0">
            <w:col w:w="7371"/>
          </w:cols>
        </w:sectPr>
      </w:pPr>
    </w:p>
    <w:p w:rsidR="00EA40A3" w:rsidRDefault="00EA40A3">
      <w:pPr>
        <w:spacing w:line="288" w:lineRule="auto"/>
      </w:pPr>
    </w:p>
    <w:p w:rsidR="00EA40A3" w:rsidRDefault="00EA40A3">
      <w:pPr>
        <w:spacing w:line="289" w:lineRule="auto"/>
      </w:pPr>
    </w:p>
    <w:p w:rsidR="00EA40A3" w:rsidRDefault="00E86C16">
      <w:pPr>
        <w:spacing w:before="52" w:line="255" w:lineRule="auto"/>
        <w:ind w:right="216"/>
        <w:rPr>
          <w:rFonts w:ascii="宋体" w:eastAsia="宋体" w:hAnsi="宋体" w:cs="宋体"/>
          <w:sz w:val="16"/>
          <w:szCs w:val="16"/>
        </w:rPr>
      </w:pPr>
      <w:r>
        <w:rPr>
          <w:rFonts w:ascii="宋体" w:eastAsia="宋体" w:hAnsi="宋体" w:cs="宋体"/>
          <w:spacing w:val="4"/>
          <w:sz w:val="16"/>
          <w:szCs w:val="16"/>
        </w:rPr>
        <w:t>塞泽尔</w:t>
      </w:r>
      <w:r>
        <w:rPr>
          <w:rFonts w:ascii="宋体" w:eastAsia="宋体" w:hAnsi="宋体" w:cs="宋体"/>
          <w:sz w:val="16"/>
          <w:szCs w:val="16"/>
        </w:rPr>
        <w:t>FS</w:t>
      </w:r>
      <w:r>
        <w:rPr>
          <w:rFonts w:ascii="宋体" w:eastAsia="宋体" w:hAnsi="宋体" w:cs="宋体"/>
          <w:spacing w:val="4"/>
          <w:sz w:val="16"/>
          <w:szCs w:val="16"/>
        </w:rPr>
        <w:t>,</w:t>
      </w:r>
      <w:r>
        <w:rPr>
          <w:rFonts w:ascii="宋体" w:eastAsia="宋体" w:hAnsi="宋体" w:cs="宋体"/>
          <w:spacing w:val="73"/>
          <w:sz w:val="16"/>
          <w:szCs w:val="16"/>
        </w:rPr>
        <w:t xml:space="preserve"> </w:t>
      </w:r>
      <w:r>
        <w:rPr>
          <w:rFonts w:ascii="宋体" w:eastAsia="宋体" w:hAnsi="宋体" w:cs="宋体"/>
          <w:spacing w:val="4"/>
          <w:sz w:val="16"/>
          <w:szCs w:val="16"/>
        </w:rPr>
        <w:t>惠特尼</w:t>
      </w:r>
      <w:r>
        <w:rPr>
          <w:rFonts w:ascii="宋体" w:eastAsia="宋体" w:hAnsi="宋体" w:cs="宋体"/>
          <w:spacing w:val="-27"/>
          <w:sz w:val="16"/>
          <w:szCs w:val="16"/>
        </w:rPr>
        <w:t xml:space="preserve"> </w:t>
      </w:r>
      <w:r>
        <w:rPr>
          <w:rFonts w:ascii="宋体" w:eastAsia="宋体" w:hAnsi="宋体" w:cs="宋体"/>
          <w:sz w:val="16"/>
          <w:szCs w:val="16"/>
        </w:rPr>
        <w:t>EN</w:t>
      </w:r>
      <w:r>
        <w:rPr>
          <w:rFonts w:ascii="宋体" w:eastAsia="宋体" w:hAnsi="宋体" w:cs="宋体"/>
          <w:spacing w:val="4"/>
          <w:sz w:val="16"/>
          <w:szCs w:val="16"/>
        </w:rPr>
        <w:t>.2004.</w:t>
      </w:r>
      <w:r>
        <w:rPr>
          <w:rFonts w:ascii="宋体" w:eastAsia="宋体" w:hAnsi="宋体" w:cs="宋体"/>
          <w:spacing w:val="32"/>
          <w:sz w:val="16"/>
          <w:szCs w:val="16"/>
        </w:rPr>
        <w:t xml:space="preserve">  </w:t>
      </w:r>
      <w:r>
        <w:rPr>
          <w:rFonts w:ascii="宋体" w:eastAsia="宋体" w:hAnsi="宋体" w:cs="宋体"/>
          <w:spacing w:val="4"/>
          <w:sz w:val="16"/>
          <w:szCs w:val="16"/>
        </w:rPr>
        <w:t>营养学——概念与争论</w:t>
      </w:r>
      <w:r>
        <w:rPr>
          <w:rFonts w:ascii="宋体" w:eastAsia="宋体" w:hAnsi="宋体" w:cs="宋体"/>
          <w:spacing w:val="3"/>
          <w:sz w:val="16"/>
          <w:szCs w:val="16"/>
        </w:rPr>
        <w:t>.第8版.王希成主译.北京：清华大学出版社</w:t>
      </w:r>
      <w:r>
        <w:rPr>
          <w:rFonts w:ascii="宋体" w:eastAsia="宋体" w:hAnsi="宋体" w:cs="宋体"/>
          <w:sz w:val="16"/>
          <w:szCs w:val="16"/>
        </w:rPr>
        <w:t xml:space="preserve"> </w:t>
      </w:r>
      <w:r>
        <w:rPr>
          <w:rFonts w:ascii="宋体" w:eastAsia="宋体" w:hAnsi="宋体" w:cs="宋体"/>
          <w:spacing w:val="3"/>
          <w:sz w:val="16"/>
          <w:szCs w:val="16"/>
        </w:rPr>
        <w:t>宋红普，贯剑，何裕民.1999.葛根的药学研究及其临床应用.上海中医药杂志，(4):47～49</w:t>
      </w:r>
    </w:p>
    <w:p w:rsidR="00EA40A3" w:rsidRDefault="00E86C16">
      <w:pPr>
        <w:spacing w:before="61" w:line="250" w:lineRule="exact"/>
        <w:rPr>
          <w:rFonts w:ascii="宋体" w:eastAsia="宋体" w:hAnsi="宋体" w:cs="宋体"/>
          <w:sz w:val="16"/>
          <w:szCs w:val="16"/>
        </w:rPr>
      </w:pPr>
      <w:r>
        <w:rPr>
          <w:rFonts w:ascii="宋体" w:eastAsia="宋体" w:hAnsi="宋体" w:cs="宋体"/>
          <w:spacing w:val="4"/>
          <w:position w:val="6"/>
          <w:sz w:val="16"/>
          <w:szCs w:val="16"/>
        </w:rPr>
        <w:t>宋晓凯.2004.天然药物化学.北京：化学工业出版社</w:t>
      </w:r>
    </w:p>
    <w:p w:rsidR="00EA40A3" w:rsidRDefault="00E86C16">
      <w:pPr>
        <w:spacing w:line="219" w:lineRule="auto"/>
        <w:rPr>
          <w:rFonts w:ascii="宋体" w:eastAsia="宋体" w:hAnsi="宋体" w:cs="宋体"/>
          <w:sz w:val="16"/>
          <w:szCs w:val="16"/>
        </w:rPr>
      </w:pPr>
      <w:r>
        <w:rPr>
          <w:rFonts w:ascii="宋体" w:eastAsia="宋体" w:hAnsi="宋体" w:cs="宋体"/>
          <w:spacing w:val="5"/>
          <w:sz w:val="16"/>
          <w:szCs w:val="16"/>
        </w:rPr>
        <w:t>王光慈.2001.食品营养学.北京：中国农业出版社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2"/>
          <w:sz w:val="16"/>
          <w:szCs w:val="16"/>
        </w:rPr>
        <w:t>徐国钧，施大文.</w:t>
      </w:r>
      <w:r>
        <w:rPr>
          <w:rFonts w:ascii="宋体" w:eastAsia="宋体" w:hAnsi="宋体" w:cs="宋体"/>
          <w:spacing w:val="11"/>
          <w:sz w:val="16"/>
          <w:szCs w:val="16"/>
        </w:rPr>
        <w:t xml:space="preserve"> </w:t>
      </w:r>
      <w:r>
        <w:rPr>
          <w:rFonts w:ascii="宋体" w:eastAsia="宋体" w:hAnsi="宋体" w:cs="宋体"/>
          <w:spacing w:val="2"/>
          <w:sz w:val="16"/>
          <w:szCs w:val="16"/>
        </w:rPr>
        <w:t>1987.生药学.北京：人民卫生出版社</w:t>
      </w:r>
    </w:p>
    <w:p w:rsidR="00EA40A3" w:rsidRDefault="00E86C16">
      <w:pPr>
        <w:spacing w:before="59" w:line="219" w:lineRule="auto"/>
        <w:rPr>
          <w:rFonts w:ascii="宋体" w:eastAsia="宋体" w:hAnsi="宋体" w:cs="宋体"/>
          <w:sz w:val="16"/>
          <w:szCs w:val="16"/>
        </w:rPr>
      </w:pPr>
      <w:r>
        <w:rPr>
          <w:rFonts w:ascii="宋体" w:eastAsia="宋体" w:hAnsi="宋体" w:cs="宋体"/>
          <w:spacing w:val="3"/>
          <w:sz w:val="16"/>
          <w:szCs w:val="16"/>
        </w:rPr>
        <w:t>尤新.2005.食用植物提取物——功能性食品添加剂的开发热点.中国</w:t>
      </w:r>
      <w:r>
        <w:rPr>
          <w:rFonts w:ascii="宋体" w:eastAsia="宋体" w:hAnsi="宋体" w:cs="宋体"/>
          <w:spacing w:val="2"/>
          <w:sz w:val="16"/>
          <w:szCs w:val="16"/>
        </w:rPr>
        <w:t>食物与营养，(2):19～22</w:t>
      </w:r>
    </w:p>
    <w:p w:rsidR="00EA40A3" w:rsidRDefault="00E86C16">
      <w:pPr>
        <w:spacing w:before="61" w:line="219" w:lineRule="auto"/>
        <w:rPr>
          <w:rFonts w:ascii="宋体" w:eastAsia="宋体" w:hAnsi="宋体" w:cs="宋体"/>
          <w:sz w:val="16"/>
          <w:szCs w:val="16"/>
        </w:rPr>
      </w:pPr>
      <w:r>
        <w:rPr>
          <w:rFonts w:ascii="宋体" w:eastAsia="宋体" w:hAnsi="宋体" w:cs="宋体"/>
          <w:spacing w:val="7"/>
          <w:sz w:val="16"/>
          <w:szCs w:val="16"/>
        </w:rPr>
        <w:t>袁建平，望江海.2002.褪黑激素新论(1)褪黑激素生理节律与睡眠</w:t>
      </w:r>
      <w:r>
        <w:rPr>
          <w:rFonts w:ascii="宋体" w:eastAsia="宋体" w:hAnsi="宋体" w:cs="宋体"/>
          <w:spacing w:val="6"/>
          <w:sz w:val="16"/>
          <w:szCs w:val="16"/>
        </w:rPr>
        <w:t>.中国食品学报，2(2):40～45</w:t>
      </w:r>
    </w:p>
    <w:p w:rsidR="00EA40A3" w:rsidRDefault="00E86C16">
      <w:pPr>
        <w:spacing w:before="59" w:line="219" w:lineRule="auto"/>
        <w:rPr>
          <w:rFonts w:ascii="宋体" w:eastAsia="宋体" w:hAnsi="宋体" w:cs="宋体"/>
          <w:sz w:val="16"/>
          <w:szCs w:val="16"/>
        </w:rPr>
      </w:pPr>
      <w:r>
        <w:rPr>
          <w:rFonts w:ascii="宋体" w:eastAsia="宋体" w:hAnsi="宋体" w:cs="宋体"/>
          <w:sz w:val="16"/>
          <w:szCs w:val="16"/>
        </w:rPr>
        <w:t>袁静萍.2002.大蒜烯丙基硫化物的抗癌机制.国外医学、生理、病理科学与临床分册，22(6):556～558</w:t>
      </w:r>
    </w:p>
    <w:p w:rsidR="00EA40A3" w:rsidRDefault="00E86C16">
      <w:pPr>
        <w:spacing w:before="60" w:line="254" w:lineRule="auto"/>
        <w:ind w:right="1203"/>
        <w:rPr>
          <w:rFonts w:ascii="宋体" w:eastAsia="宋体" w:hAnsi="宋体" w:cs="宋体"/>
          <w:sz w:val="16"/>
          <w:szCs w:val="16"/>
        </w:rPr>
      </w:pPr>
      <w:r>
        <w:rPr>
          <w:rFonts w:ascii="宋体" w:eastAsia="宋体" w:hAnsi="宋体" w:cs="宋体"/>
          <w:spacing w:val="4"/>
          <w:sz w:val="16"/>
          <w:szCs w:val="16"/>
        </w:rPr>
        <w:t>张桂枝，安利佳.2002.人参皂苷生理活性的研究</w:t>
      </w:r>
      <w:r>
        <w:rPr>
          <w:rFonts w:ascii="宋体" w:eastAsia="宋体" w:hAnsi="宋体" w:cs="宋体"/>
          <w:spacing w:val="3"/>
          <w:sz w:val="16"/>
          <w:szCs w:val="16"/>
        </w:rPr>
        <w:t>进展.食品与发酵工业，(28):70～72</w:t>
      </w:r>
      <w:r>
        <w:rPr>
          <w:rFonts w:ascii="宋体" w:eastAsia="宋体" w:hAnsi="宋体" w:cs="宋体"/>
          <w:sz w:val="16"/>
          <w:szCs w:val="16"/>
        </w:rPr>
        <w:t xml:space="preserve"> </w:t>
      </w:r>
      <w:r>
        <w:rPr>
          <w:rFonts w:ascii="宋体" w:eastAsia="宋体" w:hAnsi="宋体" w:cs="宋体"/>
          <w:spacing w:val="8"/>
          <w:sz w:val="16"/>
          <w:szCs w:val="16"/>
        </w:rPr>
        <w:t>郑建仙.1999.功能性食品(第2卷).北京：中国轻工出版社</w:t>
      </w:r>
    </w:p>
    <w:p w:rsidR="00EA40A3" w:rsidRDefault="00E86C16">
      <w:pPr>
        <w:spacing w:before="66" w:line="272" w:lineRule="auto"/>
        <w:ind w:left="178" w:right="20" w:hanging="179"/>
        <w:rPr>
          <w:rFonts w:ascii="宋体" w:eastAsia="宋体" w:hAnsi="宋体" w:cs="宋体"/>
          <w:sz w:val="16"/>
          <w:szCs w:val="16"/>
        </w:rPr>
      </w:pPr>
      <w:r>
        <w:rPr>
          <w:rFonts w:ascii="Times New Roman" w:eastAsia="Times New Roman" w:hAnsi="Times New Roman" w:cs="Times New Roman"/>
          <w:sz w:val="16"/>
          <w:szCs w:val="16"/>
        </w:rPr>
        <w:t>Wang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HJ</w:t>
      </w:r>
      <w:r>
        <w:rPr>
          <w:rFonts w:ascii="Times New Roman" w:eastAsia="Times New Roman" w:hAnsi="Times New Roman" w:cs="Times New Roman"/>
          <w:spacing w:val="-1"/>
          <w:sz w:val="16"/>
          <w:szCs w:val="16"/>
        </w:rPr>
        <w:t>.</w:t>
      </w:r>
      <w:r>
        <w:rPr>
          <w:rFonts w:ascii="Times New Roman" w:eastAsia="Times New Roman" w:hAnsi="Times New Roman" w:cs="Times New Roman"/>
          <w:spacing w:val="12"/>
          <w:w w:val="101"/>
          <w:sz w:val="16"/>
          <w:szCs w:val="16"/>
        </w:rPr>
        <w:t xml:space="preserve">  </w:t>
      </w:r>
      <w:r>
        <w:rPr>
          <w:rFonts w:ascii="Times New Roman" w:eastAsia="Times New Roman" w:hAnsi="Times New Roman" w:cs="Times New Roman"/>
          <w:spacing w:val="-1"/>
          <w:sz w:val="16"/>
          <w:szCs w:val="16"/>
        </w:rPr>
        <w:t>1996.</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Mass</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balance</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study</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o</w:t>
      </w:r>
      <w:r>
        <w:rPr>
          <w:rFonts w:ascii="Times New Roman" w:eastAsia="Times New Roman" w:hAnsi="Times New Roman" w:cs="Times New Roman"/>
          <w:spacing w:val="-1"/>
          <w:sz w:val="16"/>
          <w:szCs w:val="16"/>
        </w:rPr>
        <w:t>f</w:t>
      </w:r>
      <w:r>
        <w:rPr>
          <w:rFonts w:ascii="Times New Roman" w:eastAsia="Times New Roman" w:hAnsi="Times New Roman" w:cs="Times New Roman"/>
          <w:spacing w:val="36"/>
          <w:sz w:val="16"/>
          <w:szCs w:val="16"/>
        </w:rPr>
        <w:t xml:space="preserve"> </w:t>
      </w:r>
      <w:r>
        <w:rPr>
          <w:rFonts w:ascii="Times New Roman" w:eastAsia="Times New Roman" w:hAnsi="Times New Roman" w:cs="Times New Roman"/>
          <w:spacing w:val="-1"/>
          <w:sz w:val="16"/>
          <w:szCs w:val="16"/>
        </w:rPr>
        <w:t>isoflavones</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during</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soybean</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processing.</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J</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Agic</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food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Chem,(44):</w:t>
      </w:r>
      <w:r>
        <w:rPr>
          <w:rFonts w:ascii="Times New Roman" w:eastAsia="Times New Roman" w:hAnsi="Times New Roman" w:cs="Times New Roman"/>
          <w:spacing w:val="1"/>
          <w:sz w:val="16"/>
          <w:szCs w:val="16"/>
        </w:rPr>
        <w:t xml:space="preserve"> </w:t>
      </w:r>
      <w:r>
        <w:rPr>
          <w:rFonts w:ascii="宋体" w:eastAsia="宋体" w:hAnsi="宋体" w:cs="宋体"/>
          <w:spacing w:val="-1"/>
          <w:sz w:val="16"/>
          <w:szCs w:val="16"/>
        </w:rPr>
        <w:t>2377～2383</w:t>
      </w:r>
    </w:p>
    <w:p w:rsidR="00EA40A3" w:rsidRDefault="00E86C16">
      <w:pPr>
        <w:spacing w:before="167" w:line="250" w:lineRule="auto"/>
        <w:ind w:left="178" w:right="2" w:hanging="179"/>
        <w:rPr>
          <w:rFonts w:ascii="Times New Roman" w:eastAsia="Times New Roman" w:hAnsi="Times New Roman" w:cs="Times New Roman"/>
          <w:sz w:val="16"/>
          <w:szCs w:val="16"/>
        </w:rPr>
      </w:pPr>
      <w:r>
        <w:rPr>
          <w:rFonts w:ascii="Times New Roman" w:eastAsia="Times New Roman" w:hAnsi="Times New Roman" w:cs="Times New Roman"/>
          <w:sz w:val="16"/>
          <w:szCs w:val="16"/>
        </w:rPr>
        <w:t>WuJ</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WangXX</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Chiba</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H</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et</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al</w:t>
      </w:r>
      <w:r>
        <w:rPr>
          <w:rFonts w:ascii="Times New Roman" w:eastAsia="Times New Roman" w:hAnsi="Times New Roman" w:cs="Times New Roman"/>
          <w:spacing w:val="-1"/>
          <w:sz w:val="16"/>
          <w:szCs w:val="16"/>
        </w:rPr>
        <w:t>.</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2003.</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Combined</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intervention</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o</w:t>
      </w:r>
      <w:r>
        <w:rPr>
          <w:rFonts w:ascii="Times New Roman" w:eastAsia="Times New Roman" w:hAnsi="Times New Roman" w:cs="Times New Roman"/>
          <w:spacing w:val="-1"/>
          <w:sz w:val="16"/>
          <w:szCs w:val="16"/>
        </w:rPr>
        <w:t>f</w:t>
      </w:r>
      <w:r>
        <w:rPr>
          <w:rFonts w:ascii="Times New Roman" w:eastAsia="Times New Roman" w:hAnsi="Times New Roman" w:cs="Times New Roman"/>
          <w:spacing w:val="38"/>
          <w:sz w:val="16"/>
          <w:szCs w:val="16"/>
        </w:rPr>
        <w:t xml:space="preserve"> </w:t>
      </w:r>
      <w:r>
        <w:rPr>
          <w:rFonts w:ascii="Times New Roman" w:eastAsia="Times New Roman" w:hAnsi="Times New Roman" w:cs="Times New Roman"/>
          <w:spacing w:val="-1"/>
          <w:sz w:val="16"/>
          <w:szCs w:val="16"/>
        </w:rPr>
        <w:t>exercise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genistein</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prevented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androgen</w:t>
      </w:r>
      <w:r>
        <w:rPr>
          <w:rFonts w:ascii="Times New Roman" w:eastAsia="Times New Roman" w:hAnsi="Times New Roman" w:cs="Times New Roman"/>
          <w:sz w:val="16"/>
          <w:szCs w:val="16"/>
        </w:rPr>
        <w:t xml:space="preserve"> deficiency</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induced</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bone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loss</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in</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mice</w:t>
      </w:r>
      <w:r>
        <w:rPr>
          <w:rFonts w:ascii="Times New Roman" w:eastAsia="Times New Roman" w:hAnsi="Times New Roman" w:cs="Times New Roman"/>
          <w:spacing w:val="-1"/>
          <w:sz w:val="16"/>
          <w:szCs w:val="16"/>
        </w:rPr>
        <w:t>.</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Appl</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Physiol,(94):335</w:t>
      </w:r>
      <w:r>
        <w:rPr>
          <w:rFonts w:ascii="宋体" w:eastAsia="宋体" w:hAnsi="宋体" w:cs="宋体"/>
          <w:spacing w:val="-1"/>
          <w:sz w:val="16"/>
          <w:szCs w:val="16"/>
        </w:rPr>
        <w:t>～</w:t>
      </w:r>
      <w:r>
        <w:rPr>
          <w:rFonts w:ascii="Times New Roman" w:eastAsia="Times New Roman" w:hAnsi="Times New Roman" w:cs="Times New Roman"/>
          <w:spacing w:val="-1"/>
          <w:sz w:val="16"/>
          <w:szCs w:val="16"/>
        </w:rPr>
        <w:t>342</w:t>
      </w:r>
    </w:p>
    <w:p w:rsidR="00EA40A3" w:rsidRDefault="00E86C16">
      <w:pPr>
        <w:spacing w:before="92" w:line="238" w:lineRule="auto"/>
        <w:ind w:left="178" w:right="28" w:hanging="179"/>
        <w:rPr>
          <w:rFonts w:ascii="Times New Roman" w:eastAsia="Times New Roman" w:hAnsi="Times New Roman" w:cs="Times New Roman"/>
          <w:sz w:val="16"/>
          <w:szCs w:val="16"/>
        </w:rPr>
      </w:pPr>
      <w:r>
        <w:rPr>
          <w:rFonts w:ascii="Times New Roman" w:eastAsia="Times New Roman" w:hAnsi="Times New Roman" w:cs="Times New Roman"/>
          <w:sz w:val="16"/>
          <w:szCs w:val="16"/>
        </w:rPr>
        <w:t>Yong</w:t>
      </w:r>
      <w:r>
        <w:rPr>
          <w:rFonts w:ascii="Times New Roman" w:eastAsia="Times New Roman" w:hAnsi="Times New Roman" w:cs="Times New Roman"/>
          <w:spacing w:val="37"/>
          <w:sz w:val="16"/>
          <w:szCs w:val="16"/>
        </w:rPr>
        <w:t xml:space="preserve"> </w:t>
      </w:r>
      <w:r>
        <w:rPr>
          <w:rFonts w:ascii="Times New Roman" w:eastAsia="Times New Roman" w:hAnsi="Times New Roman" w:cs="Times New Roman"/>
          <w:sz w:val="16"/>
          <w:szCs w:val="16"/>
        </w:rPr>
        <w:t>Soon</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z w:val="16"/>
          <w:szCs w:val="16"/>
        </w:rPr>
        <w:t>Choi</w:t>
      </w:r>
      <w:r>
        <w:rPr>
          <w:rFonts w:ascii="Times New Roman" w:eastAsia="Times New Roman" w:hAnsi="Times New Roman" w:cs="Times New Roman"/>
          <w:spacing w:val="-1"/>
          <w:sz w:val="16"/>
          <w:szCs w:val="16"/>
        </w:rPr>
        <w:t>.2000.</w:t>
      </w:r>
      <w:r>
        <w:rPr>
          <w:rFonts w:ascii="Times New Roman" w:eastAsia="Times New Roman" w:hAnsi="Times New Roman" w:cs="Times New Roman"/>
          <w:spacing w:val="32"/>
          <w:w w:val="102"/>
          <w:sz w:val="16"/>
          <w:szCs w:val="16"/>
        </w:rPr>
        <w:t xml:space="preserve"> </w:t>
      </w:r>
      <w:r>
        <w:rPr>
          <w:rFonts w:ascii="Times New Roman" w:eastAsia="Times New Roman" w:hAnsi="Times New Roman" w:cs="Times New Roman"/>
          <w:sz w:val="16"/>
          <w:szCs w:val="16"/>
        </w:rPr>
        <w:t>Concentration</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z w:val="16"/>
          <w:szCs w:val="16"/>
        </w:rPr>
        <w:t>of</w:t>
      </w:r>
      <w:r>
        <w:rPr>
          <w:rFonts w:ascii="Times New Roman" w:eastAsia="Times New Roman" w:hAnsi="Times New Roman" w:cs="Times New Roman"/>
          <w:spacing w:val="10"/>
          <w:sz w:val="16"/>
          <w:szCs w:val="16"/>
        </w:rPr>
        <w:t xml:space="preserve"> </w:t>
      </w:r>
      <w:r>
        <w:rPr>
          <w:rFonts w:ascii="Times New Roman" w:eastAsia="Times New Roman" w:hAnsi="Times New Roman" w:cs="Times New Roman"/>
          <w:sz w:val="16"/>
          <w:szCs w:val="16"/>
        </w:rPr>
        <w:t>phytoes</w:t>
      </w:r>
      <w:r>
        <w:rPr>
          <w:rFonts w:ascii="Times New Roman" w:eastAsia="Times New Roman" w:hAnsi="Times New Roman" w:cs="Times New Roman"/>
          <w:spacing w:val="-1"/>
          <w:sz w:val="16"/>
          <w:szCs w:val="16"/>
        </w:rPr>
        <w:t>trogens</w:t>
      </w:r>
      <w:r>
        <w:rPr>
          <w:rFonts w:ascii="Times New Roman" w:eastAsia="Times New Roman" w:hAnsi="Times New Roman" w:cs="Times New Roman"/>
          <w:spacing w:val="31"/>
          <w:w w:val="102"/>
          <w:sz w:val="16"/>
          <w:szCs w:val="16"/>
        </w:rPr>
        <w:t xml:space="preserve"> </w:t>
      </w:r>
      <w:r>
        <w:rPr>
          <w:rFonts w:ascii="Times New Roman" w:eastAsia="Times New Roman" w:hAnsi="Times New Roman" w:cs="Times New Roman"/>
          <w:spacing w:val="-1"/>
          <w:sz w:val="16"/>
          <w:szCs w:val="16"/>
        </w:rPr>
        <w:t>in</w:t>
      </w:r>
      <w:r>
        <w:rPr>
          <w:rFonts w:ascii="Times New Roman" w:eastAsia="Times New Roman" w:hAnsi="Times New Roman" w:cs="Times New Roman"/>
          <w:spacing w:val="34"/>
          <w:w w:val="102"/>
          <w:sz w:val="16"/>
          <w:szCs w:val="16"/>
        </w:rPr>
        <w:t xml:space="preserve"> </w:t>
      </w:r>
      <w:r>
        <w:rPr>
          <w:rFonts w:ascii="Times New Roman" w:eastAsia="Times New Roman" w:hAnsi="Times New Roman" w:cs="Times New Roman"/>
          <w:spacing w:val="-1"/>
          <w:sz w:val="16"/>
          <w:szCs w:val="16"/>
        </w:rPr>
        <w:t>soybeans</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34"/>
          <w:w w:val="102"/>
          <w:sz w:val="16"/>
          <w:szCs w:val="16"/>
        </w:rPr>
        <w:t xml:space="preserve"> </w:t>
      </w:r>
      <w:r>
        <w:rPr>
          <w:rFonts w:ascii="Times New Roman" w:eastAsia="Times New Roman" w:hAnsi="Times New Roman" w:cs="Times New Roman"/>
          <w:spacing w:val="-1"/>
          <w:sz w:val="16"/>
          <w:szCs w:val="16"/>
        </w:rPr>
        <w:t>soybean</w:t>
      </w:r>
      <w:r>
        <w:rPr>
          <w:rFonts w:ascii="Times New Roman" w:eastAsia="Times New Roman" w:hAnsi="Times New Roman" w:cs="Times New Roman"/>
          <w:spacing w:val="26"/>
          <w:w w:val="101"/>
          <w:sz w:val="16"/>
          <w:szCs w:val="16"/>
        </w:rPr>
        <w:t xml:space="preserve"> </w:t>
      </w:r>
      <w:r>
        <w:rPr>
          <w:rFonts w:ascii="Times New Roman" w:eastAsia="Times New Roman" w:hAnsi="Times New Roman" w:cs="Times New Roman"/>
          <w:spacing w:val="-1"/>
          <w:sz w:val="16"/>
          <w:szCs w:val="16"/>
        </w:rPr>
        <w:t>products</w:t>
      </w:r>
      <w:r>
        <w:rPr>
          <w:rFonts w:ascii="Times New Roman" w:eastAsia="Times New Roman" w:hAnsi="Times New Roman" w:cs="Times New Roman"/>
          <w:spacing w:val="31"/>
          <w:w w:val="101"/>
          <w:sz w:val="16"/>
          <w:szCs w:val="16"/>
        </w:rPr>
        <w:t xml:space="preserve"> </w:t>
      </w:r>
      <w:r>
        <w:rPr>
          <w:rFonts w:ascii="Times New Roman" w:eastAsia="Times New Roman" w:hAnsi="Times New Roman" w:cs="Times New Roman"/>
          <w:spacing w:val="-1"/>
          <w:sz w:val="16"/>
          <w:szCs w:val="16"/>
        </w:rPr>
        <w:t>in</w:t>
      </w:r>
      <w:r>
        <w:rPr>
          <w:rFonts w:ascii="Times New Roman" w:eastAsia="Times New Roman" w:hAnsi="Times New Roman" w:cs="Times New Roman"/>
          <w:spacing w:val="30"/>
          <w:sz w:val="16"/>
          <w:szCs w:val="16"/>
        </w:rPr>
        <w:t xml:space="preserve"> </w:t>
      </w:r>
      <w:r>
        <w:rPr>
          <w:rFonts w:ascii="Times New Roman" w:eastAsia="Times New Roman" w:hAnsi="Times New Roman" w:cs="Times New Roman"/>
          <w:spacing w:val="-1"/>
          <w:sz w:val="16"/>
          <w:szCs w:val="16"/>
        </w:rPr>
        <w:t>Korea.</w:t>
      </w:r>
      <w:r>
        <w:rPr>
          <w:rFonts w:ascii="Times New Roman" w:eastAsia="Times New Roman" w:hAnsi="Times New Roman" w:cs="Times New Roman"/>
          <w:spacing w:val="30"/>
          <w:sz w:val="16"/>
          <w:szCs w:val="16"/>
        </w:rPr>
        <w:t xml:space="preserve"> </w:t>
      </w:r>
      <w:r>
        <w:rPr>
          <w:rFonts w:ascii="Times New Roman" w:eastAsia="Times New Roman" w:hAnsi="Times New Roman" w:cs="Times New Roman"/>
          <w:spacing w:val="-1"/>
          <w:sz w:val="16"/>
          <w:szCs w:val="16"/>
        </w:rPr>
        <w:t>J</w:t>
      </w:r>
      <w:r>
        <w:rPr>
          <w:rFonts w:ascii="Times New Roman" w:eastAsia="Times New Roman" w:hAnsi="Times New Roman" w:cs="Times New Roman"/>
          <w:spacing w:val="28"/>
          <w:w w:val="101"/>
          <w:sz w:val="16"/>
          <w:szCs w:val="16"/>
        </w:rPr>
        <w:t xml:space="preserve"> </w:t>
      </w:r>
      <w:r>
        <w:rPr>
          <w:rFonts w:ascii="Times New Roman" w:eastAsia="Times New Roman" w:hAnsi="Times New Roman" w:cs="Times New Roman"/>
          <w:spacing w:val="-1"/>
          <w:sz w:val="16"/>
          <w:szCs w:val="16"/>
        </w:rPr>
        <w:t>Aric</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Food</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Chem,(80):1709</w:t>
      </w:r>
      <w:r>
        <w:rPr>
          <w:rFonts w:ascii="宋体" w:eastAsia="宋体" w:hAnsi="宋体" w:cs="宋体"/>
          <w:spacing w:val="-1"/>
          <w:sz w:val="16"/>
          <w:szCs w:val="16"/>
        </w:rPr>
        <w:t>～</w:t>
      </w:r>
      <w:r>
        <w:rPr>
          <w:rFonts w:ascii="Times New Roman" w:eastAsia="Times New Roman" w:hAnsi="Times New Roman" w:cs="Times New Roman"/>
          <w:spacing w:val="-1"/>
          <w:sz w:val="16"/>
          <w:szCs w:val="16"/>
        </w:rPr>
        <w:t>1712</w:t>
      </w:r>
    </w:p>
    <w:p w:rsidR="00EA40A3" w:rsidRDefault="00E86C16">
      <w:pPr>
        <w:spacing w:before="100" w:line="257" w:lineRule="auto"/>
        <w:ind w:left="178" w:hanging="179"/>
        <w:rPr>
          <w:rFonts w:ascii="Times New Roman" w:eastAsia="Times New Roman" w:hAnsi="Times New Roman" w:cs="Times New Roman"/>
          <w:sz w:val="16"/>
          <w:szCs w:val="16"/>
        </w:rPr>
      </w:pPr>
      <w:r>
        <w:rPr>
          <w:rFonts w:ascii="Times New Roman" w:eastAsia="Times New Roman" w:hAnsi="Times New Roman" w:cs="Times New Roman"/>
          <w:sz w:val="16"/>
          <w:szCs w:val="16"/>
        </w:rPr>
        <w:t>Zhang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P</w:t>
      </w:r>
      <w:r>
        <w:rPr>
          <w:rFonts w:ascii="Times New Roman" w:eastAsia="Times New Roman" w:hAnsi="Times New Roman" w:cs="Times New Roman"/>
          <w:spacing w:val="-1"/>
          <w:sz w:val="16"/>
          <w:szCs w:val="16"/>
        </w:rPr>
        <w:t>,</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Omaye</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z w:val="16"/>
          <w:szCs w:val="16"/>
        </w:rPr>
        <w:t>S</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T</w:t>
      </w:r>
      <w:r>
        <w:rPr>
          <w:rFonts w:ascii="Times New Roman" w:eastAsia="Times New Roman" w:hAnsi="Times New Roman" w:cs="Times New Roman"/>
          <w:spacing w:val="-1"/>
          <w:sz w:val="16"/>
          <w:szCs w:val="16"/>
        </w:rPr>
        <w:t>.</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2001.</w:t>
      </w:r>
      <w:r>
        <w:rPr>
          <w:rFonts w:ascii="Times New Roman" w:eastAsia="Times New Roman" w:hAnsi="Times New Roman" w:cs="Times New Roman"/>
          <w:sz w:val="16"/>
          <w:szCs w:val="16"/>
        </w:rPr>
        <w:t>DNA</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strand</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breaka</w:t>
      </w:r>
      <w:r>
        <w:rPr>
          <w:rFonts w:ascii="Times New Roman" w:eastAsia="Times New Roman" w:hAnsi="Times New Roman" w:cs="Times New Roman"/>
          <w:spacing w:val="-1"/>
          <w:sz w:val="16"/>
          <w:szCs w:val="16"/>
        </w:rPr>
        <w:t>ge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oxygen</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tention:</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effeet</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pacing w:val="29"/>
          <w:w w:val="102"/>
          <w:sz w:val="16"/>
          <w:szCs w:val="16"/>
        </w:rPr>
        <w:t xml:space="preserve"> </w:t>
      </w:r>
      <w:r>
        <w:rPr>
          <w:rFonts w:ascii="Times New Roman" w:eastAsia="Times New Roman" w:hAnsi="Times New Roman" w:cs="Times New Roman"/>
          <w:spacing w:val="-1"/>
          <w:sz w:val="16"/>
          <w:szCs w:val="16"/>
        </w:rPr>
        <w:t>pcarotcne,</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a</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tocopherol</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1"/>
          <w:sz w:val="16"/>
          <w:szCs w:val="16"/>
        </w:rPr>
        <w:t xml:space="preserve">  </w:t>
      </w:r>
      <w:r>
        <w:rPr>
          <w:rFonts w:ascii="Times New Roman" w:eastAsia="Times New Roman" w:hAnsi="Times New Roman" w:cs="Times New Roman"/>
          <w:spacing w:val="-1"/>
          <w:sz w:val="16"/>
          <w:szCs w:val="16"/>
        </w:rPr>
        <w:t>ascorbic</w:t>
      </w:r>
      <w:r>
        <w:rPr>
          <w:rFonts w:ascii="Times New Roman" w:eastAsia="Times New Roman" w:hAnsi="Times New Roman" w:cs="Times New Roman"/>
          <w:spacing w:val="15"/>
          <w:w w:val="101"/>
          <w:sz w:val="16"/>
          <w:szCs w:val="16"/>
        </w:rPr>
        <w:t xml:space="preserve">  </w:t>
      </w:r>
      <w:r>
        <w:rPr>
          <w:rFonts w:ascii="Times New Roman" w:eastAsia="Times New Roman" w:hAnsi="Times New Roman" w:cs="Times New Roman"/>
          <w:spacing w:val="-1"/>
          <w:sz w:val="16"/>
          <w:szCs w:val="16"/>
        </w:rPr>
        <w:t>acid.</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Food</w:t>
      </w:r>
      <w:r>
        <w:rPr>
          <w:rFonts w:ascii="Times New Roman" w:eastAsia="Times New Roman" w:hAnsi="Times New Roman" w:cs="Times New Roman"/>
          <w:spacing w:val="15"/>
          <w:w w:val="101"/>
          <w:sz w:val="16"/>
          <w:szCs w:val="16"/>
        </w:rPr>
        <w:t xml:space="preserve">  </w:t>
      </w:r>
      <w:r>
        <w:rPr>
          <w:rFonts w:ascii="Times New Roman" w:eastAsia="Times New Roman" w:hAnsi="Times New Roman" w:cs="Times New Roman"/>
          <w:spacing w:val="-1"/>
          <w:sz w:val="16"/>
          <w:szCs w:val="16"/>
        </w:rPr>
        <w:t>Chem</w:t>
      </w:r>
      <w:r>
        <w:rPr>
          <w:rFonts w:ascii="Times New Roman" w:eastAsia="Times New Roman" w:hAnsi="Times New Roman" w:cs="Times New Roman"/>
          <w:spacing w:val="14"/>
          <w:w w:val="101"/>
          <w:sz w:val="16"/>
          <w:szCs w:val="16"/>
        </w:rPr>
        <w:t xml:space="preserve">  </w:t>
      </w:r>
      <w:r>
        <w:rPr>
          <w:rFonts w:ascii="Times New Roman" w:eastAsia="Times New Roman" w:hAnsi="Times New Roman" w:cs="Times New Roman"/>
          <w:spacing w:val="-1"/>
          <w:sz w:val="16"/>
          <w:szCs w:val="16"/>
        </w:rPr>
        <w:t>Toxicol,(39):239</w:t>
      </w:r>
      <w:r>
        <w:rPr>
          <w:rFonts w:ascii="宋体" w:eastAsia="宋体" w:hAnsi="宋体" w:cs="宋体"/>
          <w:spacing w:val="-1"/>
          <w:sz w:val="16"/>
          <w:szCs w:val="16"/>
        </w:rPr>
        <w:t>～</w:t>
      </w:r>
      <w:r>
        <w:rPr>
          <w:rFonts w:ascii="Times New Roman" w:eastAsia="Times New Roman" w:hAnsi="Times New Roman" w:cs="Times New Roman"/>
          <w:spacing w:val="-1"/>
          <w:sz w:val="16"/>
          <w:szCs w:val="16"/>
        </w:rPr>
        <w:t>246</w:t>
      </w:r>
    </w:p>
    <w:p w:rsidR="00EA40A3" w:rsidRDefault="00EA40A3">
      <w:pPr>
        <w:sectPr w:rsidR="00EA40A3">
          <w:headerReference w:type="default" r:id="rId159"/>
          <w:footerReference w:type="default" r:id="rId160"/>
          <w:pgSz w:w="9220" w:h="13360"/>
          <w:pgMar w:top="400" w:right="986" w:bottom="1227" w:left="950" w:header="0" w:footer="1019" w:gutter="0"/>
          <w:cols w:space="720"/>
        </w:sectPr>
      </w:pPr>
    </w:p>
    <w:p w:rsidR="00EA40A3" w:rsidRDefault="00EA40A3">
      <w:pPr>
        <w:spacing w:line="282" w:lineRule="auto"/>
      </w:pPr>
    </w:p>
    <w:p w:rsidR="00EA40A3" w:rsidRDefault="00EA40A3">
      <w:pPr>
        <w:spacing w:line="282" w:lineRule="auto"/>
      </w:pPr>
    </w:p>
    <w:p w:rsidR="00EA40A3" w:rsidRDefault="00EA40A3">
      <w:pPr>
        <w:spacing w:line="283" w:lineRule="auto"/>
      </w:pPr>
    </w:p>
    <w:p w:rsidR="00EA40A3" w:rsidRDefault="00EA40A3">
      <w:pPr>
        <w:spacing w:line="283" w:lineRule="auto"/>
      </w:pPr>
    </w:p>
    <w:p w:rsidR="00EA40A3" w:rsidRDefault="00EA40A3">
      <w:pPr>
        <w:spacing w:line="283" w:lineRule="auto"/>
      </w:pPr>
    </w:p>
    <w:p w:rsidR="00EA40A3" w:rsidRDefault="00E86C16">
      <w:pPr>
        <w:spacing w:before="104" w:line="218" w:lineRule="auto"/>
        <w:ind w:left="1684"/>
        <w:rPr>
          <w:rFonts w:ascii="宋体" w:eastAsia="宋体" w:hAnsi="宋体" w:cs="宋体"/>
          <w:sz w:val="32"/>
          <w:szCs w:val="32"/>
        </w:rPr>
      </w:pPr>
      <w:r>
        <w:rPr>
          <w:rFonts w:ascii="宋体" w:eastAsia="宋体" w:hAnsi="宋体" w:cs="宋体"/>
          <w:b/>
          <w:bCs/>
          <w:spacing w:val="1"/>
          <w:sz w:val="32"/>
          <w:szCs w:val="32"/>
        </w:rPr>
        <w:t>第6章</w:t>
      </w:r>
      <w:r>
        <w:rPr>
          <w:rFonts w:ascii="宋体" w:eastAsia="宋体" w:hAnsi="宋体" w:cs="宋体"/>
          <w:spacing w:val="119"/>
          <w:sz w:val="32"/>
          <w:szCs w:val="32"/>
        </w:rPr>
        <w:t xml:space="preserve"> </w:t>
      </w:r>
      <w:r>
        <w:rPr>
          <w:rFonts w:ascii="宋体" w:eastAsia="宋体" w:hAnsi="宋体" w:cs="宋体"/>
          <w:b/>
          <w:bCs/>
          <w:spacing w:val="1"/>
          <w:sz w:val="32"/>
          <w:szCs w:val="32"/>
        </w:rPr>
        <w:t>各类食物的营养价值</w:t>
      </w:r>
    </w:p>
    <w:p w:rsidR="00EA40A3" w:rsidRDefault="00EA40A3">
      <w:pPr>
        <w:spacing w:line="376" w:lineRule="auto"/>
      </w:pPr>
    </w:p>
    <w:p w:rsidR="00EA40A3" w:rsidRDefault="00E86C16">
      <w:pPr>
        <w:spacing w:before="72" w:line="221" w:lineRule="auto"/>
        <w:ind w:left="3183"/>
        <w:rPr>
          <w:rFonts w:ascii="黑体" w:eastAsia="黑体" w:hAnsi="黑体" w:cs="黑体"/>
          <w:sz w:val="22"/>
          <w:szCs w:val="22"/>
        </w:rPr>
      </w:pPr>
      <w:r>
        <w:rPr>
          <w:rFonts w:ascii="黑体" w:eastAsia="黑体" w:hAnsi="黑体" w:cs="黑体"/>
          <w:b/>
          <w:bCs/>
          <w:spacing w:val="27"/>
          <w:sz w:val="22"/>
          <w:szCs w:val="22"/>
        </w:rPr>
        <w:t>教学目标</w:t>
      </w:r>
    </w:p>
    <w:p w:rsidR="00EA40A3" w:rsidRDefault="00E86C16">
      <w:pPr>
        <w:spacing w:before="198" w:line="299" w:lineRule="exact"/>
        <w:ind w:left="540"/>
        <w:rPr>
          <w:rFonts w:ascii="楷体" w:eastAsia="楷体" w:hAnsi="楷体" w:cs="楷体"/>
          <w:sz w:val="22"/>
          <w:szCs w:val="22"/>
        </w:rPr>
      </w:pPr>
      <w:r>
        <w:rPr>
          <w:rFonts w:ascii="楷体" w:eastAsia="楷体" w:hAnsi="楷体" w:cs="楷体"/>
          <w:spacing w:val="-15"/>
          <w:position w:val="5"/>
          <w:sz w:val="22"/>
          <w:szCs w:val="22"/>
        </w:rPr>
        <w:t>·理解食物营养价值的相对性。</w:t>
      </w:r>
    </w:p>
    <w:p w:rsidR="00EA40A3" w:rsidRDefault="00E86C16">
      <w:pPr>
        <w:spacing w:line="223" w:lineRule="auto"/>
        <w:ind w:left="540"/>
        <w:rPr>
          <w:rFonts w:ascii="楷体" w:eastAsia="楷体" w:hAnsi="楷体" w:cs="楷体"/>
          <w:sz w:val="22"/>
          <w:szCs w:val="22"/>
        </w:rPr>
      </w:pPr>
      <w:r>
        <w:rPr>
          <w:rFonts w:ascii="楷体" w:eastAsia="楷体" w:hAnsi="楷体" w:cs="楷体"/>
          <w:spacing w:val="-17"/>
          <w:sz w:val="22"/>
          <w:szCs w:val="22"/>
        </w:rPr>
        <w:t>·</w:t>
      </w:r>
      <w:r>
        <w:rPr>
          <w:rFonts w:ascii="楷体" w:eastAsia="楷体" w:hAnsi="楷体" w:cs="楷体"/>
          <w:spacing w:val="-86"/>
          <w:sz w:val="22"/>
          <w:szCs w:val="22"/>
        </w:rPr>
        <w:t xml:space="preserve"> </w:t>
      </w:r>
      <w:r>
        <w:rPr>
          <w:rFonts w:ascii="楷体" w:eastAsia="楷体" w:hAnsi="楷体" w:cs="楷体"/>
          <w:spacing w:val="-17"/>
          <w:sz w:val="22"/>
          <w:szCs w:val="22"/>
        </w:rPr>
        <w:t>掌握营养素密度的概念。</w:t>
      </w:r>
    </w:p>
    <w:p w:rsidR="00EA40A3" w:rsidRDefault="00E86C16">
      <w:pPr>
        <w:spacing w:before="33" w:line="224" w:lineRule="auto"/>
        <w:ind w:left="540"/>
        <w:rPr>
          <w:rFonts w:ascii="楷体" w:eastAsia="楷体" w:hAnsi="楷体" w:cs="楷体"/>
          <w:sz w:val="22"/>
          <w:szCs w:val="22"/>
        </w:rPr>
      </w:pPr>
      <w:r>
        <w:rPr>
          <w:rFonts w:ascii="楷体" w:eastAsia="楷体" w:hAnsi="楷体" w:cs="楷体"/>
          <w:spacing w:val="-17"/>
          <w:sz w:val="22"/>
          <w:szCs w:val="22"/>
        </w:rPr>
        <w:t>·</w:t>
      </w:r>
      <w:r>
        <w:rPr>
          <w:rFonts w:ascii="楷体" w:eastAsia="楷体" w:hAnsi="楷体" w:cs="楷体"/>
          <w:spacing w:val="-75"/>
          <w:sz w:val="22"/>
          <w:szCs w:val="22"/>
        </w:rPr>
        <w:t xml:space="preserve"> </w:t>
      </w:r>
      <w:r>
        <w:rPr>
          <w:rFonts w:ascii="楷体" w:eastAsia="楷体" w:hAnsi="楷体" w:cs="楷体"/>
          <w:spacing w:val="-17"/>
          <w:sz w:val="22"/>
          <w:szCs w:val="22"/>
        </w:rPr>
        <w:t>掌握营养素的生物利用率概念。</w:t>
      </w:r>
    </w:p>
    <w:p w:rsidR="00EA40A3" w:rsidRDefault="00E86C16">
      <w:pPr>
        <w:spacing w:before="31" w:line="243" w:lineRule="auto"/>
        <w:ind w:right="56" w:firstLine="439"/>
        <w:rPr>
          <w:rFonts w:ascii="楷体" w:eastAsia="楷体" w:hAnsi="楷体" w:cs="楷体"/>
          <w:sz w:val="22"/>
          <w:szCs w:val="22"/>
        </w:rPr>
      </w:pPr>
      <w:r>
        <w:rPr>
          <w:rFonts w:ascii="楷体" w:eastAsia="楷体" w:hAnsi="楷体" w:cs="楷体"/>
          <w:spacing w:val="-9"/>
          <w:sz w:val="22"/>
          <w:szCs w:val="22"/>
        </w:rPr>
        <w:t>·</w:t>
      </w:r>
      <w:r>
        <w:rPr>
          <w:rFonts w:ascii="楷体" w:eastAsia="楷体" w:hAnsi="楷体" w:cs="楷体"/>
          <w:spacing w:val="-83"/>
          <w:sz w:val="22"/>
          <w:szCs w:val="22"/>
        </w:rPr>
        <w:t xml:space="preserve"> </w:t>
      </w:r>
      <w:r>
        <w:rPr>
          <w:rFonts w:ascii="楷体" w:eastAsia="楷体" w:hAnsi="楷体" w:cs="楷体"/>
          <w:spacing w:val="-9"/>
          <w:sz w:val="22"/>
          <w:szCs w:val="22"/>
        </w:rPr>
        <w:t>熟悉谷类、豆类和坚果、蔬菜、薯类、水果、肉、乳、蛋类食品</w:t>
      </w:r>
      <w:r>
        <w:rPr>
          <w:rFonts w:ascii="楷体" w:eastAsia="楷体" w:hAnsi="楷体" w:cs="楷体"/>
          <w:spacing w:val="-10"/>
          <w:sz w:val="22"/>
          <w:szCs w:val="22"/>
        </w:rPr>
        <w:t>的营养</w:t>
      </w:r>
      <w:r>
        <w:rPr>
          <w:rFonts w:ascii="楷体" w:eastAsia="楷体" w:hAnsi="楷体" w:cs="楷体"/>
          <w:sz w:val="22"/>
          <w:szCs w:val="22"/>
        </w:rPr>
        <w:t xml:space="preserve"> </w:t>
      </w:r>
      <w:r>
        <w:rPr>
          <w:rFonts w:ascii="楷体" w:eastAsia="楷体" w:hAnsi="楷体" w:cs="楷体"/>
          <w:spacing w:val="-18"/>
          <w:sz w:val="22"/>
          <w:szCs w:val="22"/>
        </w:rPr>
        <w:t>价值特点。</w:t>
      </w:r>
    </w:p>
    <w:p w:rsidR="00EA40A3" w:rsidRDefault="00EA40A3">
      <w:pPr>
        <w:spacing w:line="280" w:lineRule="auto"/>
      </w:pPr>
    </w:p>
    <w:p w:rsidR="00EA40A3" w:rsidRDefault="00E86C16">
      <w:pPr>
        <w:spacing w:before="72" w:line="252" w:lineRule="auto"/>
        <w:ind w:right="12" w:firstLine="439"/>
        <w:jc w:val="both"/>
        <w:rPr>
          <w:rFonts w:ascii="宋体" w:eastAsia="宋体" w:hAnsi="宋体" w:cs="宋体"/>
          <w:sz w:val="22"/>
          <w:szCs w:val="22"/>
        </w:rPr>
      </w:pPr>
      <w:r>
        <w:rPr>
          <w:rFonts w:ascii="宋体" w:eastAsia="宋体" w:hAnsi="宋体" w:cs="宋体"/>
          <w:spacing w:val="-14"/>
          <w:sz w:val="22"/>
          <w:szCs w:val="22"/>
        </w:rPr>
        <w:t>人体所需要的各种营养素，归根到底要靠各种食物来提供，营养平衡的膳食</w:t>
      </w:r>
      <w:r>
        <w:rPr>
          <w:rFonts w:ascii="宋体" w:eastAsia="宋体" w:hAnsi="宋体" w:cs="宋体"/>
          <w:spacing w:val="10"/>
          <w:sz w:val="22"/>
          <w:szCs w:val="22"/>
        </w:rPr>
        <w:t xml:space="preserve"> </w:t>
      </w:r>
      <w:r>
        <w:rPr>
          <w:rFonts w:ascii="宋体" w:eastAsia="宋体" w:hAnsi="宋体" w:cs="宋体"/>
          <w:spacing w:val="-13"/>
          <w:sz w:val="22"/>
          <w:szCs w:val="22"/>
        </w:rPr>
        <w:t>也需要用多种多样的食物来组成。从另一方面来说，农产品的生产以及各种食品</w:t>
      </w:r>
      <w:r>
        <w:rPr>
          <w:rFonts w:ascii="宋体" w:eastAsia="宋体" w:hAnsi="宋体" w:cs="宋体"/>
          <w:spacing w:val="15"/>
          <w:sz w:val="22"/>
          <w:szCs w:val="22"/>
        </w:rPr>
        <w:t xml:space="preserve"> </w:t>
      </w:r>
      <w:r>
        <w:rPr>
          <w:rFonts w:ascii="宋体" w:eastAsia="宋体" w:hAnsi="宋体" w:cs="宋体"/>
          <w:spacing w:val="-13"/>
          <w:sz w:val="22"/>
          <w:szCs w:val="22"/>
        </w:rPr>
        <w:t>的加工、储藏和烹调处理，从根本上来说，目标都是提供营养、卫生、便于消化</w:t>
      </w:r>
      <w:r>
        <w:rPr>
          <w:rFonts w:ascii="宋体" w:eastAsia="宋体" w:hAnsi="宋体" w:cs="宋体"/>
          <w:spacing w:val="2"/>
          <w:sz w:val="22"/>
          <w:szCs w:val="22"/>
        </w:rPr>
        <w:t xml:space="preserve"> </w:t>
      </w:r>
      <w:r>
        <w:rPr>
          <w:rFonts w:ascii="宋体" w:eastAsia="宋体" w:hAnsi="宋体" w:cs="宋体"/>
          <w:spacing w:val="-13"/>
          <w:sz w:val="22"/>
          <w:szCs w:val="22"/>
        </w:rPr>
        <w:t>的食物，从而为人体供应充足的营养素。因此，营养、食品和农业行业的从业者</w:t>
      </w:r>
      <w:r>
        <w:rPr>
          <w:rFonts w:ascii="宋体" w:eastAsia="宋体" w:hAnsi="宋体" w:cs="宋体"/>
          <w:spacing w:val="3"/>
          <w:sz w:val="22"/>
          <w:szCs w:val="22"/>
        </w:rPr>
        <w:t xml:space="preserve"> </w:t>
      </w:r>
      <w:r>
        <w:rPr>
          <w:rFonts w:ascii="宋体" w:eastAsia="宋体" w:hAnsi="宋体" w:cs="宋体"/>
          <w:spacing w:val="-13"/>
          <w:sz w:val="22"/>
          <w:szCs w:val="22"/>
        </w:rPr>
        <w:t>都应当对食物的营养价值有正确的认识，并充分了解常见各类食物的营养价值。</w:t>
      </w:r>
    </w:p>
    <w:p w:rsidR="00EA40A3" w:rsidRDefault="00E86C16">
      <w:pPr>
        <w:spacing w:before="321" w:line="218" w:lineRule="auto"/>
        <w:ind w:left="2100"/>
        <w:rPr>
          <w:rFonts w:ascii="宋体" w:eastAsia="宋体" w:hAnsi="宋体" w:cs="宋体"/>
          <w:sz w:val="27"/>
          <w:szCs w:val="27"/>
        </w:rPr>
      </w:pPr>
      <w:r>
        <w:rPr>
          <w:rFonts w:ascii="宋体" w:eastAsia="宋体" w:hAnsi="宋体" w:cs="宋体"/>
          <w:spacing w:val="3"/>
          <w:sz w:val="27"/>
          <w:szCs w:val="27"/>
        </w:rPr>
        <w:t>6.1</w:t>
      </w:r>
      <w:r>
        <w:rPr>
          <w:rFonts w:ascii="宋体" w:eastAsia="宋体" w:hAnsi="宋体" w:cs="宋体"/>
          <w:spacing w:val="124"/>
          <w:sz w:val="27"/>
          <w:szCs w:val="27"/>
        </w:rPr>
        <w:t xml:space="preserve"> </w:t>
      </w:r>
      <w:r>
        <w:rPr>
          <w:rFonts w:ascii="宋体" w:eastAsia="宋体" w:hAnsi="宋体" w:cs="宋体"/>
          <w:spacing w:val="3"/>
          <w:sz w:val="27"/>
          <w:szCs w:val="27"/>
        </w:rPr>
        <w:t>食物营养价值的评价</w:t>
      </w:r>
    </w:p>
    <w:p w:rsidR="00EA40A3" w:rsidRDefault="00E86C16">
      <w:pPr>
        <w:spacing w:before="156" w:line="221" w:lineRule="auto"/>
        <w:ind w:left="3"/>
        <w:outlineLvl w:val="6"/>
        <w:rPr>
          <w:rFonts w:ascii="黑体" w:eastAsia="黑体" w:hAnsi="黑体" w:cs="黑体"/>
          <w:sz w:val="22"/>
          <w:szCs w:val="22"/>
        </w:rPr>
      </w:pPr>
      <w:r>
        <w:rPr>
          <w:rFonts w:ascii="黑体" w:eastAsia="黑体" w:hAnsi="黑体" w:cs="黑体"/>
          <w:b/>
          <w:bCs/>
          <w:spacing w:val="8"/>
          <w:sz w:val="22"/>
          <w:szCs w:val="22"/>
        </w:rPr>
        <w:t>6.1.1</w:t>
      </w:r>
      <w:r>
        <w:rPr>
          <w:rFonts w:ascii="黑体" w:eastAsia="黑体" w:hAnsi="黑体" w:cs="黑体"/>
          <w:spacing w:val="30"/>
          <w:sz w:val="22"/>
          <w:szCs w:val="22"/>
        </w:rPr>
        <w:t xml:space="preserve">  </w:t>
      </w:r>
      <w:r>
        <w:rPr>
          <w:rFonts w:ascii="黑体" w:eastAsia="黑体" w:hAnsi="黑体" w:cs="黑体"/>
          <w:b/>
          <w:bCs/>
          <w:spacing w:val="8"/>
          <w:sz w:val="22"/>
          <w:szCs w:val="22"/>
        </w:rPr>
        <w:t>食物营养价值的相对性</w:t>
      </w:r>
    </w:p>
    <w:p w:rsidR="00EA40A3" w:rsidRDefault="00E86C16">
      <w:pPr>
        <w:spacing w:before="190" w:line="241" w:lineRule="auto"/>
        <w:ind w:right="3" w:firstLine="439"/>
        <w:rPr>
          <w:rFonts w:ascii="宋体" w:eastAsia="宋体" w:hAnsi="宋体" w:cs="宋体"/>
          <w:sz w:val="22"/>
          <w:szCs w:val="22"/>
        </w:rPr>
      </w:pPr>
      <w:r>
        <w:rPr>
          <w:rFonts w:ascii="宋体" w:eastAsia="宋体" w:hAnsi="宋体" w:cs="宋体"/>
          <w:spacing w:val="-13"/>
          <w:sz w:val="22"/>
          <w:szCs w:val="22"/>
        </w:rPr>
        <w:t>食物的营养价值是指食物中所含的能量和营养素能满足人体需要的程度</w:t>
      </w:r>
      <w:r>
        <w:rPr>
          <w:rFonts w:ascii="宋体" w:eastAsia="宋体" w:hAnsi="宋体" w:cs="宋体"/>
          <w:spacing w:val="-14"/>
          <w:sz w:val="22"/>
          <w:szCs w:val="22"/>
        </w:rPr>
        <w:t>，包</w:t>
      </w:r>
      <w:r>
        <w:rPr>
          <w:rFonts w:ascii="宋体" w:eastAsia="宋体" w:hAnsi="宋体" w:cs="宋体"/>
          <w:sz w:val="22"/>
          <w:szCs w:val="22"/>
        </w:rPr>
        <w:t xml:space="preserve"> </w:t>
      </w:r>
      <w:r>
        <w:rPr>
          <w:rFonts w:ascii="宋体" w:eastAsia="宋体" w:hAnsi="宋体" w:cs="宋体"/>
          <w:spacing w:val="-13"/>
          <w:sz w:val="22"/>
          <w:szCs w:val="22"/>
        </w:rPr>
        <w:t>括营养素的种类、数量和比例，被人体消化吸</w:t>
      </w:r>
      <w:r>
        <w:rPr>
          <w:rFonts w:ascii="宋体" w:eastAsia="宋体" w:hAnsi="宋体" w:cs="宋体"/>
          <w:spacing w:val="-14"/>
          <w:sz w:val="22"/>
          <w:szCs w:val="22"/>
        </w:rPr>
        <w:t>收和利用的效率，所含营养素之间</w:t>
      </w:r>
      <w:r>
        <w:rPr>
          <w:rFonts w:ascii="宋体" w:eastAsia="宋体" w:hAnsi="宋体" w:cs="宋体"/>
          <w:sz w:val="22"/>
          <w:szCs w:val="22"/>
        </w:rPr>
        <w:t xml:space="preserve"> </w:t>
      </w:r>
      <w:r>
        <w:rPr>
          <w:rFonts w:ascii="宋体" w:eastAsia="宋体" w:hAnsi="宋体" w:cs="宋体"/>
          <w:spacing w:val="-15"/>
          <w:sz w:val="22"/>
          <w:szCs w:val="22"/>
        </w:rPr>
        <w:t>有何相互作用等几个方面。</w:t>
      </w:r>
    </w:p>
    <w:p w:rsidR="00EA40A3" w:rsidRDefault="00E86C16">
      <w:pPr>
        <w:spacing w:before="58" w:line="236" w:lineRule="auto"/>
        <w:ind w:firstLine="439"/>
        <w:rPr>
          <w:rFonts w:ascii="宋体" w:eastAsia="宋体" w:hAnsi="宋体" w:cs="宋体"/>
          <w:sz w:val="22"/>
          <w:szCs w:val="22"/>
        </w:rPr>
      </w:pPr>
      <w:r>
        <w:rPr>
          <w:rFonts w:ascii="宋体" w:eastAsia="宋体" w:hAnsi="宋体" w:cs="宋体"/>
          <w:spacing w:val="-13"/>
          <w:sz w:val="22"/>
          <w:szCs w:val="22"/>
        </w:rPr>
        <w:t>食物的营养价值并非绝对，而是相对的。在评价食物的营养价值时必须注意</w:t>
      </w:r>
      <w:r>
        <w:rPr>
          <w:rFonts w:ascii="宋体" w:eastAsia="宋体" w:hAnsi="宋体" w:cs="宋体"/>
          <w:spacing w:val="1"/>
          <w:sz w:val="22"/>
          <w:szCs w:val="22"/>
        </w:rPr>
        <w:t xml:space="preserve"> </w:t>
      </w:r>
      <w:r>
        <w:rPr>
          <w:rFonts w:ascii="宋体" w:eastAsia="宋体" w:hAnsi="宋体" w:cs="宋体"/>
          <w:spacing w:val="-18"/>
          <w:sz w:val="22"/>
          <w:szCs w:val="22"/>
        </w:rPr>
        <w:t>以下几个问题：</w:t>
      </w:r>
    </w:p>
    <w:p w:rsidR="00EA40A3" w:rsidRDefault="00E86C16">
      <w:pPr>
        <w:spacing w:before="51" w:line="247" w:lineRule="auto"/>
        <w:ind w:right="2" w:firstLine="439"/>
        <w:rPr>
          <w:rFonts w:ascii="宋体" w:eastAsia="宋体" w:hAnsi="宋体" w:cs="宋体"/>
          <w:sz w:val="22"/>
          <w:szCs w:val="22"/>
        </w:rPr>
      </w:pPr>
      <w:r>
        <w:rPr>
          <w:rFonts w:ascii="宋体" w:eastAsia="宋体" w:hAnsi="宋体" w:cs="宋体"/>
          <w:spacing w:val="-9"/>
          <w:sz w:val="22"/>
          <w:szCs w:val="22"/>
        </w:rPr>
        <w:t>(1)几乎所有天然食物中都含有人体所需要</w:t>
      </w:r>
      <w:r>
        <w:rPr>
          <w:rFonts w:ascii="宋体" w:eastAsia="宋体" w:hAnsi="宋体" w:cs="宋体"/>
          <w:spacing w:val="-10"/>
          <w:sz w:val="22"/>
          <w:szCs w:val="22"/>
        </w:rPr>
        <w:t>的一种以上的营养素。除去某些</w:t>
      </w:r>
      <w:r>
        <w:rPr>
          <w:rFonts w:ascii="宋体" w:eastAsia="宋体" w:hAnsi="宋体" w:cs="宋体"/>
          <w:sz w:val="22"/>
          <w:szCs w:val="22"/>
        </w:rPr>
        <w:t xml:space="preserve"> </w:t>
      </w:r>
      <w:r>
        <w:rPr>
          <w:rFonts w:ascii="宋体" w:eastAsia="宋体" w:hAnsi="宋体" w:cs="宋体"/>
          <w:spacing w:val="-4"/>
          <w:sz w:val="22"/>
          <w:szCs w:val="22"/>
        </w:rPr>
        <w:t>特别设计的食品(如病人用无渣膳、婴儿奶粉和宇航食</w:t>
      </w:r>
      <w:r>
        <w:rPr>
          <w:rFonts w:ascii="宋体" w:eastAsia="宋体" w:hAnsi="宋体" w:cs="宋体"/>
          <w:spacing w:val="-5"/>
          <w:sz w:val="22"/>
          <w:szCs w:val="22"/>
        </w:rPr>
        <w:t>品等)以及4个月内婴儿</w:t>
      </w:r>
      <w:r>
        <w:rPr>
          <w:rFonts w:ascii="宋体" w:eastAsia="宋体" w:hAnsi="宋体" w:cs="宋体"/>
          <w:sz w:val="22"/>
          <w:szCs w:val="22"/>
        </w:rPr>
        <w:t xml:space="preserve"> </w:t>
      </w:r>
      <w:r>
        <w:rPr>
          <w:rFonts w:ascii="宋体" w:eastAsia="宋体" w:hAnsi="宋体" w:cs="宋体"/>
          <w:spacing w:val="-8"/>
          <w:sz w:val="22"/>
          <w:szCs w:val="22"/>
        </w:rPr>
        <w:t>喂养的母乳之外，没有一种食品的营养价值全面到足以满足人体的全部营养需</w:t>
      </w:r>
      <w:r>
        <w:rPr>
          <w:rFonts w:ascii="宋体" w:eastAsia="宋体" w:hAnsi="宋体" w:cs="宋体"/>
          <w:spacing w:val="14"/>
          <w:sz w:val="22"/>
          <w:szCs w:val="22"/>
        </w:rPr>
        <w:t xml:space="preserve"> </w:t>
      </w:r>
      <w:r>
        <w:rPr>
          <w:rFonts w:ascii="宋体" w:eastAsia="宋体" w:hAnsi="宋体" w:cs="宋体"/>
          <w:spacing w:val="-13"/>
          <w:sz w:val="22"/>
          <w:szCs w:val="22"/>
        </w:rPr>
        <w:t>要。例如，牛奶虽然是一种营养价值相当高的食物，但是其中铁的含量和利用率</w:t>
      </w:r>
      <w:r>
        <w:rPr>
          <w:rFonts w:ascii="宋体" w:eastAsia="宋体" w:hAnsi="宋体" w:cs="宋体"/>
          <w:spacing w:val="3"/>
          <w:sz w:val="22"/>
          <w:szCs w:val="22"/>
        </w:rPr>
        <w:t xml:space="preserve"> </w:t>
      </w:r>
      <w:r>
        <w:rPr>
          <w:rFonts w:ascii="宋体" w:eastAsia="宋体" w:hAnsi="宋体" w:cs="宋体"/>
          <w:spacing w:val="-13"/>
          <w:sz w:val="22"/>
          <w:szCs w:val="22"/>
        </w:rPr>
        <w:t>都较低；胡萝卜也是一种被公认营养价值较高的蔬菜，但其蛋白质含量很低。通</w:t>
      </w:r>
      <w:r>
        <w:rPr>
          <w:rFonts w:ascii="宋体" w:eastAsia="宋体" w:hAnsi="宋体" w:cs="宋体"/>
          <w:spacing w:val="2"/>
          <w:sz w:val="22"/>
          <w:szCs w:val="22"/>
        </w:rPr>
        <w:t xml:space="preserve"> </w:t>
      </w:r>
      <w:r>
        <w:rPr>
          <w:rFonts w:ascii="宋体" w:eastAsia="宋体" w:hAnsi="宋体" w:cs="宋体"/>
          <w:spacing w:val="-6"/>
          <w:sz w:val="22"/>
          <w:szCs w:val="22"/>
        </w:rPr>
        <w:t>常被称为“营养价值高”的食物往往是指多数人容易缺乏的那</w:t>
      </w:r>
      <w:r>
        <w:rPr>
          <w:rFonts w:ascii="宋体" w:eastAsia="宋体" w:hAnsi="宋体" w:cs="宋体"/>
          <w:spacing w:val="-7"/>
          <w:sz w:val="22"/>
          <w:szCs w:val="22"/>
        </w:rPr>
        <w:t>些营养素含量较</w:t>
      </w:r>
      <w:r>
        <w:rPr>
          <w:rFonts w:ascii="宋体" w:eastAsia="宋体" w:hAnsi="宋体" w:cs="宋体"/>
          <w:sz w:val="22"/>
          <w:szCs w:val="22"/>
        </w:rPr>
        <w:t xml:space="preserve"> </w:t>
      </w:r>
      <w:r>
        <w:rPr>
          <w:rFonts w:ascii="宋体" w:eastAsia="宋体" w:hAnsi="宋体" w:cs="宋体"/>
          <w:spacing w:val="-17"/>
          <w:sz w:val="22"/>
          <w:szCs w:val="22"/>
        </w:rPr>
        <w:t>高，或多种营养素都比较丰富的那些食物。</w:t>
      </w:r>
    </w:p>
    <w:p w:rsidR="00EA40A3" w:rsidRDefault="00E86C16">
      <w:pPr>
        <w:spacing w:before="37" w:line="236" w:lineRule="auto"/>
        <w:ind w:right="23" w:firstLine="439"/>
        <w:rPr>
          <w:rFonts w:ascii="宋体" w:eastAsia="宋体" w:hAnsi="宋体" w:cs="宋体"/>
          <w:sz w:val="22"/>
          <w:szCs w:val="22"/>
        </w:rPr>
      </w:pPr>
      <w:r>
        <w:rPr>
          <w:rFonts w:ascii="宋体" w:eastAsia="宋体" w:hAnsi="宋体" w:cs="宋体"/>
          <w:spacing w:val="-11"/>
          <w:sz w:val="22"/>
          <w:szCs w:val="22"/>
        </w:rPr>
        <w:t>(2)不同的食物中能量和营养素的含量不同，同一种食物的不同品种、不同</w:t>
      </w:r>
      <w:r>
        <w:rPr>
          <w:rFonts w:ascii="宋体" w:eastAsia="宋体" w:hAnsi="宋体" w:cs="宋体"/>
          <w:spacing w:val="11"/>
          <w:sz w:val="22"/>
          <w:szCs w:val="22"/>
        </w:rPr>
        <w:t xml:space="preserve"> </w:t>
      </w:r>
      <w:r>
        <w:rPr>
          <w:rFonts w:ascii="宋体" w:eastAsia="宋体" w:hAnsi="宋体" w:cs="宋体"/>
          <w:spacing w:val="-13"/>
          <w:sz w:val="22"/>
          <w:szCs w:val="22"/>
        </w:rPr>
        <w:t>部位、不同产地、不同成熟程度之间也有相当大的差别。例如，同样是番茄，大</w:t>
      </w:r>
    </w:p>
    <w:p w:rsidR="00EA40A3" w:rsidRDefault="00E86C16">
      <w:pPr>
        <w:spacing w:before="115"/>
        <w:ind w:left="150"/>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180</w:t>
      </w:r>
      <w:r>
        <w:rPr>
          <w:rFonts w:ascii="宋体" w:eastAsia="宋体" w:hAnsi="宋体" w:cs="宋体"/>
          <w:spacing w:val="50"/>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161"/>
          <w:pgSz w:w="9220" w:h="13360"/>
          <w:pgMar w:top="400" w:right="1096" w:bottom="400" w:left="849" w:header="0" w:footer="0" w:gutter="0"/>
          <w:cols w:space="720"/>
        </w:sectPr>
      </w:pPr>
    </w:p>
    <w:p w:rsidR="00EA40A3" w:rsidRDefault="00EA40A3">
      <w:pPr>
        <w:spacing w:line="267" w:lineRule="auto"/>
      </w:pPr>
    </w:p>
    <w:p w:rsidR="00EA40A3" w:rsidRDefault="00EA40A3">
      <w:pPr>
        <w:spacing w:line="268" w:lineRule="auto"/>
      </w:pPr>
    </w:p>
    <w:p w:rsidR="00EA40A3" w:rsidRDefault="00E86C16">
      <w:pPr>
        <w:spacing w:before="68" w:line="242" w:lineRule="auto"/>
        <w:ind w:right="75"/>
        <w:rPr>
          <w:rFonts w:ascii="宋体" w:eastAsia="宋体" w:hAnsi="宋体" w:cs="宋体"/>
        </w:rPr>
      </w:pPr>
      <w:r>
        <w:rPr>
          <w:rFonts w:ascii="宋体" w:eastAsia="宋体" w:hAnsi="宋体" w:cs="宋体"/>
          <w:spacing w:val="2"/>
        </w:rPr>
        <w:t>棚生产与露地生产的果实维生素</w:t>
      </w:r>
      <w:r>
        <w:rPr>
          <w:rFonts w:ascii="宋体" w:eastAsia="宋体" w:hAnsi="宋体" w:cs="宋体"/>
          <w:spacing w:val="-58"/>
        </w:rPr>
        <w:t xml:space="preserve"> </w:t>
      </w:r>
      <w:r>
        <w:rPr>
          <w:rFonts w:ascii="宋体" w:eastAsia="宋体" w:hAnsi="宋体" w:cs="宋体"/>
          <w:spacing w:val="2"/>
        </w:rPr>
        <w:t>C</w:t>
      </w:r>
      <w:r>
        <w:rPr>
          <w:rFonts w:ascii="宋体" w:eastAsia="宋体" w:hAnsi="宋体" w:cs="宋体"/>
          <w:spacing w:val="-4"/>
        </w:rPr>
        <w:t xml:space="preserve"> </w:t>
      </w:r>
      <w:r>
        <w:rPr>
          <w:rFonts w:ascii="宋体" w:eastAsia="宋体" w:hAnsi="宋体" w:cs="宋体"/>
          <w:spacing w:val="2"/>
        </w:rPr>
        <w:t>含量不同。因此</w:t>
      </w:r>
      <w:r>
        <w:rPr>
          <w:rFonts w:ascii="宋体" w:eastAsia="宋体" w:hAnsi="宋体" w:cs="宋体"/>
          <w:spacing w:val="1"/>
        </w:rPr>
        <w:t>，食物成分表中的营养素含</w:t>
      </w:r>
      <w:r>
        <w:rPr>
          <w:rFonts w:ascii="宋体" w:eastAsia="宋体" w:hAnsi="宋体" w:cs="宋体"/>
        </w:rPr>
        <w:t xml:space="preserve"> </w:t>
      </w:r>
      <w:r>
        <w:rPr>
          <w:rFonts w:ascii="宋体" w:eastAsia="宋体" w:hAnsi="宋体" w:cs="宋体"/>
          <w:spacing w:val="-7"/>
        </w:rPr>
        <w:t>量只是这种食物的一个代表值。</w:t>
      </w:r>
    </w:p>
    <w:p w:rsidR="00EA40A3" w:rsidRDefault="00E86C16">
      <w:pPr>
        <w:spacing w:before="58" w:line="253" w:lineRule="auto"/>
        <w:ind w:right="73" w:firstLine="430"/>
        <w:jc w:val="both"/>
        <w:rPr>
          <w:rFonts w:ascii="宋体" w:eastAsia="宋体" w:hAnsi="宋体" w:cs="宋体"/>
        </w:rPr>
      </w:pPr>
      <w:r>
        <w:rPr>
          <w:rFonts w:ascii="宋体" w:eastAsia="宋体" w:hAnsi="宋体" w:cs="宋体"/>
        </w:rPr>
        <w:t>(3)食物的营养价值也受储存、加工和烹调</w:t>
      </w:r>
      <w:r>
        <w:rPr>
          <w:rFonts w:ascii="宋体" w:eastAsia="宋体" w:hAnsi="宋体" w:cs="宋体"/>
          <w:spacing w:val="-1"/>
        </w:rPr>
        <w:t>的影响。有些食物经过烹调加工</w:t>
      </w:r>
      <w:r>
        <w:rPr>
          <w:rFonts w:ascii="宋体" w:eastAsia="宋体" w:hAnsi="宋体" w:cs="宋体"/>
        </w:rPr>
        <w:t xml:space="preserve"> </w:t>
      </w:r>
      <w:r>
        <w:rPr>
          <w:rFonts w:ascii="宋体" w:eastAsia="宋体" w:hAnsi="宋体" w:cs="宋体"/>
          <w:spacing w:val="1"/>
        </w:rPr>
        <w:t>处理后会损失原有的营养成分，例如，蔬菜经热加工处理后，维生素</w:t>
      </w:r>
      <w:r>
        <w:rPr>
          <w:rFonts w:ascii="宋体" w:eastAsia="宋体" w:hAnsi="宋体" w:cs="宋体"/>
          <w:spacing w:val="-45"/>
        </w:rPr>
        <w:t xml:space="preserve"> </w:t>
      </w:r>
      <w:r>
        <w:rPr>
          <w:rFonts w:ascii="宋体" w:eastAsia="宋体" w:hAnsi="宋体" w:cs="宋体"/>
          <w:spacing w:val="1"/>
        </w:rPr>
        <w:t>C</w:t>
      </w:r>
      <w:r>
        <w:rPr>
          <w:rFonts w:ascii="宋体" w:eastAsia="宋体" w:hAnsi="宋体" w:cs="宋体"/>
          <w:spacing w:val="-14"/>
        </w:rPr>
        <w:t xml:space="preserve"> </w:t>
      </w:r>
      <w:r>
        <w:rPr>
          <w:rFonts w:ascii="宋体" w:eastAsia="宋体" w:hAnsi="宋体" w:cs="宋体"/>
          <w:spacing w:val="1"/>
        </w:rPr>
        <w:t>损失较</w:t>
      </w:r>
      <w:r>
        <w:rPr>
          <w:rFonts w:ascii="宋体" w:eastAsia="宋体" w:hAnsi="宋体" w:cs="宋体"/>
        </w:rPr>
        <w:t xml:space="preserve"> </w:t>
      </w:r>
      <w:r>
        <w:rPr>
          <w:rFonts w:ascii="宋体" w:eastAsia="宋体" w:hAnsi="宋体" w:cs="宋体"/>
          <w:spacing w:val="-4"/>
        </w:rPr>
        <w:t>大；但是也有些食物经过加工烹调提高了营养素的吸收利用率，如大豆制品、发</w:t>
      </w:r>
      <w:r>
        <w:rPr>
          <w:rFonts w:ascii="宋体" w:eastAsia="宋体" w:hAnsi="宋体" w:cs="宋体"/>
          <w:spacing w:val="7"/>
        </w:rPr>
        <w:t xml:space="preserve"> </w:t>
      </w:r>
      <w:r>
        <w:rPr>
          <w:rFonts w:ascii="宋体" w:eastAsia="宋体" w:hAnsi="宋体" w:cs="宋体"/>
          <w:spacing w:val="-13"/>
        </w:rPr>
        <w:t>酵制品等。</w:t>
      </w:r>
    </w:p>
    <w:p w:rsidR="00EA40A3" w:rsidRDefault="00E86C16">
      <w:pPr>
        <w:spacing w:before="50" w:line="252" w:lineRule="auto"/>
        <w:ind w:right="71" w:firstLine="430"/>
        <w:jc w:val="both"/>
        <w:rPr>
          <w:rFonts w:ascii="宋体" w:eastAsia="宋体" w:hAnsi="宋体" w:cs="宋体"/>
        </w:rPr>
      </w:pPr>
      <w:r>
        <w:rPr>
          <w:rFonts w:ascii="宋体" w:eastAsia="宋体" w:hAnsi="宋体" w:cs="宋体"/>
          <w:spacing w:val="-1"/>
        </w:rPr>
        <w:t>(4)有些食物中存在一些天然抗营养成分或有毒物质。如菠菜中的草酸会影</w:t>
      </w:r>
      <w:r>
        <w:rPr>
          <w:rFonts w:ascii="宋体" w:eastAsia="宋体" w:hAnsi="宋体" w:cs="宋体"/>
          <w:spacing w:val="16"/>
        </w:rPr>
        <w:t xml:space="preserve"> </w:t>
      </w:r>
      <w:r>
        <w:rPr>
          <w:rFonts w:ascii="宋体" w:eastAsia="宋体" w:hAnsi="宋体" w:cs="宋体"/>
          <w:spacing w:val="-3"/>
        </w:rPr>
        <w:t>响钙的吸收、生大豆中的抗胰蛋白酶影响蛋白质的吸收、生蛋清</w:t>
      </w:r>
      <w:r>
        <w:rPr>
          <w:rFonts w:ascii="宋体" w:eastAsia="宋体" w:hAnsi="宋体" w:cs="宋体"/>
          <w:spacing w:val="-4"/>
        </w:rPr>
        <w:t>中的生物素结合</w:t>
      </w:r>
      <w:r>
        <w:rPr>
          <w:rFonts w:ascii="宋体" w:eastAsia="宋体" w:hAnsi="宋体" w:cs="宋体"/>
        </w:rPr>
        <w:t xml:space="preserve"> </w:t>
      </w:r>
      <w:r>
        <w:rPr>
          <w:rFonts w:ascii="宋体" w:eastAsia="宋体" w:hAnsi="宋体" w:cs="宋体"/>
          <w:spacing w:val="-3"/>
        </w:rPr>
        <w:t>蛋白影响生物素的利用、生扁豆中的毒物会引起中毒等。这些物质会对食物</w:t>
      </w:r>
      <w:r>
        <w:rPr>
          <w:rFonts w:ascii="宋体" w:eastAsia="宋体" w:hAnsi="宋体" w:cs="宋体"/>
          <w:spacing w:val="-4"/>
        </w:rPr>
        <w:t>的营</w:t>
      </w:r>
      <w:r>
        <w:rPr>
          <w:rFonts w:ascii="宋体" w:eastAsia="宋体" w:hAnsi="宋体" w:cs="宋体"/>
        </w:rPr>
        <w:t xml:space="preserve"> </w:t>
      </w:r>
      <w:r>
        <w:rPr>
          <w:rFonts w:ascii="宋体" w:eastAsia="宋体" w:hAnsi="宋体" w:cs="宋体"/>
          <w:spacing w:val="-5"/>
        </w:rPr>
        <w:t>养价值和人体健康产生不良影响，应当通过适当的加工烹调</w:t>
      </w:r>
      <w:r>
        <w:rPr>
          <w:rFonts w:ascii="宋体" w:eastAsia="宋体" w:hAnsi="宋体" w:cs="宋体"/>
          <w:spacing w:val="-6"/>
        </w:rPr>
        <w:t>使之失活。</w:t>
      </w:r>
    </w:p>
    <w:p w:rsidR="00EA40A3" w:rsidRDefault="00E86C16">
      <w:pPr>
        <w:spacing w:before="54"/>
        <w:ind w:right="74" w:firstLine="430"/>
        <w:jc w:val="both"/>
        <w:rPr>
          <w:rFonts w:ascii="宋体" w:eastAsia="宋体" w:hAnsi="宋体" w:cs="宋体"/>
        </w:rPr>
      </w:pPr>
      <w:r>
        <w:rPr>
          <w:rFonts w:ascii="宋体" w:eastAsia="宋体" w:hAnsi="宋体" w:cs="宋体"/>
          <w:spacing w:val="-1"/>
        </w:rPr>
        <w:t>(5)食品的安全性是首要的问题。如果食品受到来自微生物或化学毒物的污</w:t>
      </w:r>
      <w:r>
        <w:rPr>
          <w:rFonts w:ascii="宋体" w:eastAsia="宋体" w:hAnsi="宋体" w:cs="宋体"/>
          <w:spacing w:val="18"/>
        </w:rPr>
        <w:t xml:space="preserve"> </w:t>
      </w:r>
      <w:r>
        <w:rPr>
          <w:rFonts w:ascii="宋体" w:eastAsia="宋体" w:hAnsi="宋体" w:cs="宋体"/>
          <w:spacing w:val="-6"/>
        </w:rPr>
        <w:t>染，就无法考虑其营养价值。</w:t>
      </w:r>
    </w:p>
    <w:p w:rsidR="00EA40A3" w:rsidRDefault="00E86C16">
      <w:pPr>
        <w:spacing w:before="113" w:line="252" w:lineRule="auto"/>
        <w:ind w:firstLine="430"/>
        <w:jc w:val="both"/>
        <w:rPr>
          <w:rFonts w:ascii="宋体" w:eastAsia="宋体" w:hAnsi="宋体" w:cs="宋体"/>
        </w:rPr>
      </w:pPr>
      <w:r>
        <w:rPr>
          <w:rFonts w:ascii="宋体" w:eastAsia="宋体" w:hAnsi="宋体" w:cs="宋体"/>
          <w:spacing w:val="-4"/>
        </w:rPr>
        <w:t>食物除营养功能外，还具有感官功能。食物的感官功能可以促进食欲，并带</w:t>
      </w:r>
      <w:r>
        <w:rPr>
          <w:rFonts w:ascii="宋体" w:eastAsia="宋体" w:hAnsi="宋体" w:cs="宋体"/>
          <w:spacing w:val="11"/>
        </w:rPr>
        <w:t xml:space="preserve"> </w:t>
      </w:r>
      <w:r>
        <w:rPr>
          <w:rFonts w:ascii="宋体" w:eastAsia="宋体" w:hAnsi="宋体" w:cs="宋体"/>
          <w:spacing w:val="-3"/>
        </w:rPr>
        <w:t>来饮食的享受，但非天然的风味与营养价值没有必然的联系，因此片面追</w:t>
      </w:r>
      <w:r>
        <w:rPr>
          <w:rFonts w:ascii="宋体" w:eastAsia="宋体" w:hAnsi="宋体" w:cs="宋体"/>
          <w:spacing w:val="-4"/>
        </w:rPr>
        <w:t>求感官</w:t>
      </w:r>
      <w:r>
        <w:rPr>
          <w:rFonts w:ascii="宋体" w:eastAsia="宋体" w:hAnsi="宋体" w:cs="宋体"/>
        </w:rPr>
        <w:t xml:space="preserve"> </w:t>
      </w:r>
      <w:r>
        <w:rPr>
          <w:rFonts w:ascii="宋体" w:eastAsia="宋体" w:hAnsi="宋体" w:cs="宋体"/>
          <w:spacing w:val="-1"/>
        </w:rPr>
        <w:t>享受往往不能获得营养平衡的膳食。食物的生理调节功能不仅与营养价值相关，</w:t>
      </w:r>
      <w:r>
        <w:rPr>
          <w:rFonts w:ascii="宋体" w:eastAsia="宋体" w:hAnsi="宋体" w:cs="宋体"/>
        </w:rPr>
        <w:t xml:space="preserve"> </w:t>
      </w:r>
      <w:r>
        <w:rPr>
          <w:rFonts w:ascii="宋体" w:eastAsia="宋体" w:hAnsi="宋体" w:cs="宋体"/>
          <w:spacing w:val="-3"/>
        </w:rPr>
        <w:t>还取决于一些非营养素的生理活性成分，与其营养价值的概念并非完全一</w:t>
      </w:r>
      <w:r>
        <w:rPr>
          <w:rFonts w:ascii="宋体" w:eastAsia="宋体" w:hAnsi="宋体" w:cs="宋体"/>
          <w:spacing w:val="-4"/>
        </w:rPr>
        <w:t>致。</w:t>
      </w:r>
    </w:p>
    <w:p w:rsidR="00EA40A3" w:rsidRDefault="00E86C16">
      <w:pPr>
        <w:spacing w:before="75" w:line="253" w:lineRule="auto"/>
        <w:ind w:right="73" w:firstLine="430"/>
        <w:jc w:val="both"/>
        <w:rPr>
          <w:rFonts w:ascii="宋体" w:eastAsia="宋体" w:hAnsi="宋体" w:cs="宋体"/>
        </w:rPr>
      </w:pPr>
      <w:r>
        <w:rPr>
          <w:rFonts w:ascii="宋体" w:eastAsia="宋体" w:hAnsi="宋体" w:cs="宋体"/>
          <w:spacing w:val="3"/>
        </w:rPr>
        <w:t>营养与食品工作者应当认识到，食品除了满足人的营养</w:t>
      </w:r>
      <w:r>
        <w:rPr>
          <w:rFonts w:ascii="宋体" w:eastAsia="宋体" w:hAnsi="宋体" w:cs="宋体"/>
          <w:spacing w:val="2"/>
        </w:rPr>
        <w:t>需要之外，尚有社</w:t>
      </w:r>
      <w:r>
        <w:rPr>
          <w:rFonts w:ascii="宋体" w:eastAsia="宋体" w:hAnsi="宋体" w:cs="宋体"/>
        </w:rPr>
        <w:t xml:space="preserve"> </w:t>
      </w:r>
      <w:r>
        <w:rPr>
          <w:rFonts w:ascii="宋体" w:eastAsia="宋体" w:hAnsi="宋体" w:cs="宋体"/>
          <w:spacing w:val="-3"/>
        </w:rPr>
        <w:t>会、经济、文化、心理等方面的意义。食物的购买和选择取决于</w:t>
      </w:r>
      <w:r>
        <w:rPr>
          <w:rFonts w:ascii="宋体" w:eastAsia="宋体" w:hAnsi="宋体" w:cs="宋体"/>
          <w:spacing w:val="-4"/>
        </w:rPr>
        <w:t>价格高低、口味</w:t>
      </w:r>
      <w:r>
        <w:rPr>
          <w:rFonts w:ascii="宋体" w:eastAsia="宋体" w:hAnsi="宋体" w:cs="宋体"/>
        </w:rPr>
        <w:t xml:space="preserve"> </w:t>
      </w:r>
      <w:r>
        <w:rPr>
          <w:rFonts w:ascii="宋体" w:eastAsia="宋体" w:hAnsi="宋体" w:cs="宋体"/>
          <w:spacing w:val="-3"/>
        </w:rPr>
        <w:t>嗜好、传统观念和心理需要等多种因素。因此，食物的营养价值常常与</w:t>
      </w:r>
      <w:r>
        <w:rPr>
          <w:rFonts w:ascii="宋体" w:eastAsia="宋体" w:hAnsi="宋体" w:cs="宋体"/>
          <w:spacing w:val="-4"/>
        </w:rPr>
        <w:t>其价格不</w:t>
      </w:r>
      <w:r>
        <w:rPr>
          <w:rFonts w:ascii="宋体" w:eastAsia="宋体" w:hAnsi="宋体" w:cs="宋体"/>
        </w:rPr>
        <w:t xml:space="preserve"> </w:t>
      </w:r>
      <w:r>
        <w:rPr>
          <w:rFonts w:ascii="宋体" w:eastAsia="宋体" w:hAnsi="宋体" w:cs="宋体"/>
          <w:spacing w:val="-7"/>
        </w:rPr>
        <w:t>成比例，甚至相去甚远。</w:t>
      </w:r>
    </w:p>
    <w:p w:rsidR="00EA40A3" w:rsidRDefault="00E86C16">
      <w:pPr>
        <w:spacing w:before="203" w:line="221" w:lineRule="auto"/>
        <w:ind w:left="3"/>
        <w:outlineLvl w:val="6"/>
        <w:rPr>
          <w:rFonts w:ascii="黑体" w:eastAsia="黑体" w:hAnsi="黑体" w:cs="黑体"/>
          <w:sz w:val="24"/>
          <w:szCs w:val="24"/>
        </w:rPr>
      </w:pPr>
      <w:r>
        <w:rPr>
          <w:rFonts w:ascii="黑体" w:eastAsia="黑体" w:hAnsi="黑体" w:cs="黑体"/>
          <w:b/>
          <w:bCs/>
          <w:spacing w:val="-4"/>
          <w:sz w:val="24"/>
          <w:szCs w:val="24"/>
        </w:rPr>
        <w:t>6.1.2</w:t>
      </w:r>
      <w:r>
        <w:rPr>
          <w:rFonts w:ascii="黑体" w:eastAsia="黑体" w:hAnsi="黑体" w:cs="黑体"/>
          <w:spacing w:val="17"/>
          <w:sz w:val="24"/>
          <w:szCs w:val="24"/>
        </w:rPr>
        <w:t xml:space="preserve">  </w:t>
      </w:r>
      <w:r>
        <w:rPr>
          <w:rFonts w:ascii="黑体" w:eastAsia="黑体" w:hAnsi="黑体" w:cs="黑体"/>
          <w:b/>
          <w:bCs/>
          <w:spacing w:val="-4"/>
          <w:sz w:val="24"/>
          <w:szCs w:val="24"/>
        </w:rPr>
        <w:t>食物营养素密度与平衡膳食</w:t>
      </w:r>
    </w:p>
    <w:p w:rsidR="00EA40A3" w:rsidRDefault="00E86C16">
      <w:pPr>
        <w:spacing w:before="197" w:line="249" w:lineRule="auto"/>
        <w:ind w:right="54" w:firstLine="430"/>
        <w:jc w:val="both"/>
        <w:rPr>
          <w:rFonts w:ascii="宋体" w:eastAsia="宋体" w:hAnsi="宋体" w:cs="宋体"/>
        </w:rPr>
      </w:pPr>
      <w:r>
        <w:rPr>
          <w:rFonts w:ascii="宋体" w:eastAsia="宋体" w:hAnsi="宋体" w:cs="宋体"/>
          <w:spacing w:val="-3"/>
        </w:rPr>
        <w:t>食物的营养价值不能以一或两种营养素的含量来决定，而必须看它在膳食</w:t>
      </w:r>
      <w:r>
        <w:rPr>
          <w:rFonts w:ascii="宋体" w:eastAsia="宋体" w:hAnsi="宋体" w:cs="宋体"/>
          <w:spacing w:val="-4"/>
        </w:rPr>
        <w:t>整</w:t>
      </w:r>
      <w:r>
        <w:rPr>
          <w:rFonts w:ascii="宋体" w:eastAsia="宋体" w:hAnsi="宋体" w:cs="宋体"/>
        </w:rPr>
        <w:t xml:space="preserve"> </w:t>
      </w:r>
      <w:r>
        <w:rPr>
          <w:rFonts w:ascii="宋体" w:eastAsia="宋体" w:hAnsi="宋体" w:cs="宋体"/>
          <w:spacing w:val="-7"/>
        </w:rPr>
        <w:t>体中对营养平衡的贡献。</w:t>
      </w:r>
      <w:r>
        <w:rPr>
          <w:rFonts w:ascii="宋体" w:eastAsia="宋体" w:hAnsi="宋体" w:cs="宋体"/>
          <w:spacing w:val="39"/>
        </w:rPr>
        <w:t xml:space="preserve"> </w:t>
      </w:r>
      <w:r>
        <w:rPr>
          <w:rFonts w:ascii="宋体" w:eastAsia="宋体" w:hAnsi="宋体" w:cs="宋体"/>
          <w:spacing w:val="-7"/>
        </w:rPr>
        <w:t>一种食物，无论其中某些营养素</w:t>
      </w:r>
      <w:r>
        <w:rPr>
          <w:rFonts w:ascii="宋体" w:eastAsia="宋体" w:hAnsi="宋体" w:cs="宋体"/>
          <w:spacing w:val="-8"/>
        </w:rPr>
        <w:t>含量如何丰富，也不能</w:t>
      </w:r>
      <w:r>
        <w:rPr>
          <w:rFonts w:ascii="宋体" w:eastAsia="宋体" w:hAnsi="宋体" w:cs="宋体"/>
        </w:rPr>
        <w:t xml:space="preserve"> </w:t>
      </w:r>
      <w:r>
        <w:rPr>
          <w:rFonts w:ascii="宋体" w:eastAsia="宋体" w:hAnsi="宋体" w:cs="宋体"/>
          <w:spacing w:val="-7"/>
        </w:rPr>
        <w:t>代替由多种食物组成的营养平衡的膳食。</w:t>
      </w:r>
    </w:p>
    <w:p w:rsidR="00EA40A3" w:rsidRDefault="00E86C16">
      <w:pPr>
        <w:spacing w:before="70" w:line="255" w:lineRule="auto"/>
        <w:ind w:right="42" w:firstLine="430"/>
        <w:jc w:val="both"/>
        <w:rPr>
          <w:rFonts w:ascii="宋体" w:eastAsia="宋体" w:hAnsi="宋体" w:cs="宋体"/>
        </w:rPr>
      </w:pPr>
      <w:r>
        <w:rPr>
          <w:rFonts w:ascii="宋体" w:eastAsia="宋体" w:hAnsi="宋体" w:cs="宋体"/>
          <w:spacing w:val="3"/>
        </w:rPr>
        <w:t>由于食物的营养素组成特点不同，在平衡膳食中所发挥的作用也不同。例</w:t>
      </w:r>
      <w:r>
        <w:rPr>
          <w:rFonts w:ascii="宋体" w:eastAsia="宋体" w:hAnsi="宋体" w:cs="宋体"/>
        </w:rPr>
        <w:t xml:space="preserve"> </w:t>
      </w:r>
      <w:r>
        <w:rPr>
          <w:rFonts w:ascii="宋体" w:eastAsia="宋体" w:hAnsi="宋体" w:cs="宋体"/>
          <w:spacing w:val="4"/>
        </w:rPr>
        <w:t>如，蔬菜当中蛋白质含量低而维生素C</w:t>
      </w:r>
      <w:r>
        <w:rPr>
          <w:rFonts w:ascii="宋体" w:eastAsia="宋体" w:hAnsi="宋体" w:cs="宋体"/>
          <w:spacing w:val="-4"/>
        </w:rPr>
        <w:t xml:space="preserve"> </w:t>
      </w:r>
      <w:r>
        <w:rPr>
          <w:rFonts w:ascii="宋体" w:eastAsia="宋体" w:hAnsi="宋体" w:cs="宋体"/>
          <w:spacing w:val="4"/>
        </w:rPr>
        <w:t>含量高，钠含量低而钾含量高；肉类中</w:t>
      </w:r>
      <w:r>
        <w:rPr>
          <w:rFonts w:ascii="宋体" w:eastAsia="宋体" w:hAnsi="宋体" w:cs="宋体"/>
        </w:rPr>
        <w:t xml:space="preserve"> 蛋白质含量高而不含维生素C,</w:t>
      </w:r>
      <w:r>
        <w:rPr>
          <w:rFonts w:ascii="宋体" w:eastAsia="宋体" w:hAnsi="宋体" w:cs="宋体"/>
          <w:spacing w:val="31"/>
        </w:rPr>
        <w:t xml:space="preserve"> </w:t>
      </w:r>
      <w:r>
        <w:rPr>
          <w:rFonts w:ascii="宋体" w:eastAsia="宋体" w:hAnsi="宋体" w:cs="宋体"/>
        </w:rPr>
        <w:t>钾含量低而钠含量高。营养平衡的膳</w:t>
      </w:r>
      <w:r>
        <w:rPr>
          <w:rFonts w:ascii="宋体" w:eastAsia="宋体" w:hAnsi="宋体" w:cs="宋体"/>
          <w:spacing w:val="-1"/>
        </w:rPr>
        <w:t>食需要通过</w:t>
      </w:r>
      <w:r>
        <w:rPr>
          <w:rFonts w:ascii="宋体" w:eastAsia="宋体" w:hAnsi="宋体" w:cs="宋体"/>
        </w:rPr>
        <w:t xml:space="preserve"> </w:t>
      </w:r>
      <w:r>
        <w:rPr>
          <w:rFonts w:ascii="宋体" w:eastAsia="宋体" w:hAnsi="宋体" w:cs="宋体"/>
          <w:spacing w:val="-3"/>
        </w:rPr>
        <w:t>各种食物恰当配合来满足人体对所有营养物质的需要，因此膳食中各</w:t>
      </w:r>
      <w:r>
        <w:rPr>
          <w:rFonts w:ascii="宋体" w:eastAsia="宋体" w:hAnsi="宋体" w:cs="宋体"/>
          <w:spacing w:val="-4"/>
        </w:rPr>
        <w:t>类食品均有</w:t>
      </w:r>
      <w:r>
        <w:rPr>
          <w:rFonts w:ascii="宋体" w:eastAsia="宋体" w:hAnsi="宋体" w:cs="宋体"/>
        </w:rPr>
        <w:t xml:space="preserve"> </w:t>
      </w:r>
      <w:r>
        <w:rPr>
          <w:rFonts w:ascii="宋体" w:eastAsia="宋体" w:hAnsi="宋体" w:cs="宋体"/>
          <w:spacing w:val="-11"/>
        </w:rPr>
        <w:t>其营养意义。</w:t>
      </w:r>
    </w:p>
    <w:p w:rsidR="00EA40A3" w:rsidRDefault="00E86C16">
      <w:pPr>
        <w:spacing w:before="76" w:line="247" w:lineRule="auto"/>
        <w:ind w:right="44" w:firstLine="430"/>
        <w:jc w:val="both"/>
        <w:rPr>
          <w:rFonts w:ascii="宋体" w:eastAsia="宋体" w:hAnsi="宋体" w:cs="宋体"/>
        </w:rPr>
      </w:pPr>
      <w:r>
        <w:rPr>
          <w:rFonts w:ascii="宋体" w:eastAsia="宋体" w:hAnsi="宋体" w:cs="宋体"/>
          <w:spacing w:val="-7"/>
        </w:rPr>
        <w:t>在评价各种食物的营养特点时，可以采用“营养素</w:t>
      </w:r>
      <w:r>
        <w:rPr>
          <w:rFonts w:ascii="宋体" w:eastAsia="宋体" w:hAnsi="宋体" w:cs="宋体"/>
          <w:spacing w:val="-8"/>
        </w:rPr>
        <w:t>密度”(</w:t>
      </w:r>
      <w:r>
        <w:rPr>
          <w:rFonts w:ascii="宋体" w:eastAsia="宋体" w:hAnsi="宋体" w:cs="宋体"/>
          <w:spacing w:val="-7"/>
        </w:rPr>
        <w:t>nutrient</w:t>
      </w:r>
      <w:r>
        <w:rPr>
          <w:rFonts w:ascii="宋体" w:eastAsia="宋体" w:hAnsi="宋体" w:cs="宋体"/>
          <w:spacing w:val="-1"/>
        </w:rPr>
        <w:t xml:space="preserve"> </w:t>
      </w:r>
      <w:r>
        <w:rPr>
          <w:rFonts w:ascii="宋体" w:eastAsia="宋体" w:hAnsi="宋体" w:cs="宋体"/>
          <w:spacing w:val="-7"/>
        </w:rPr>
        <w:t>density</w:t>
      </w:r>
      <w:r>
        <w:rPr>
          <w:rFonts w:ascii="宋体" w:eastAsia="宋体" w:hAnsi="宋体" w:cs="宋体"/>
          <w:spacing w:val="-8"/>
        </w:rPr>
        <w:t>)</w:t>
      </w:r>
      <w:r>
        <w:rPr>
          <w:rFonts w:ascii="宋体" w:eastAsia="宋体" w:hAnsi="宋体" w:cs="宋体"/>
        </w:rPr>
        <w:t xml:space="preserve"> </w:t>
      </w:r>
      <w:r>
        <w:rPr>
          <w:rFonts w:ascii="宋体" w:eastAsia="宋体" w:hAnsi="宋体" w:cs="宋体"/>
          <w:spacing w:val="-3"/>
        </w:rPr>
        <w:t>这个概念，即食物中某营养素满足人体需要的程度与其能量满足</w:t>
      </w:r>
      <w:r>
        <w:rPr>
          <w:rFonts w:ascii="宋体" w:eastAsia="宋体" w:hAnsi="宋体" w:cs="宋体"/>
          <w:spacing w:val="-4"/>
        </w:rPr>
        <w:t>人体需要程度之</w:t>
      </w:r>
      <w:r>
        <w:rPr>
          <w:rFonts w:ascii="宋体" w:eastAsia="宋体" w:hAnsi="宋体" w:cs="宋体"/>
        </w:rPr>
        <w:t xml:space="preserve"> </w:t>
      </w:r>
      <w:r>
        <w:rPr>
          <w:rFonts w:ascii="宋体" w:eastAsia="宋体" w:hAnsi="宋体" w:cs="宋体"/>
          <w:spacing w:val="5"/>
        </w:rPr>
        <w:t>比值。也可以表述为食物中相应于1000</w:t>
      </w:r>
      <w:r>
        <w:rPr>
          <w:rFonts w:ascii="宋体" w:eastAsia="宋体" w:hAnsi="宋体" w:cs="宋体"/>
        </w:rPr>
        <w:t>kcal</w:t>
      </w:r>
      <w:r>
        <w:rPr>
          <w:rFonts w:ascii="宋体" w:eastAsia="宋体" w:hAnsi="宋体" w:cs="宋体"/>
          <w:spacing w:val="5"/>
        </w:rPr>
        <w:t>(418</w:t>
      </w:r>
      <w:r>
        <w:rPr>
          <w:rFonts w:ascii="宋体" w:eastAsia="宋体" w:hAnsi="宋体" w:cs="宋体"/>
          <w:spacing w:val="4"/>
        </w:rPr>
        <w:t>4</w:t>
      </w:r>
      <w:r>
        <w:rPr>
          <w:rFonts w:ascii="宋体" w:eastAsia="宋体" w:hAnsi="宋体" w:cs="宋体"/>
        </w:rPr>
        <w:t>kJ</w:t>
      </w:r>
      <w:r>
        <w:rPr>
          <w:rFonts w:ascii="宋体" w:eastAsia="宋体" w:hAnsi="宋体" w:cs="宋体"/>
          <w:spacing w:val="4"/>
        </w:rPr>
        <w:t>)</w:t>
      </w:r>
      <w:r>
        <w:rPr>
          <w:rFonts w:ascii="宋体" w:eastAsia="宋体" w:hAnsi="宋体" w:cs="宋体"/>
          <w:spacing w:val="41"/>
        </w:rPr>
        <w:t xml:space="preserve"> </w:t>
      </w:r>
      <w:r>
        <w:rPr>
          <w:rFonts w:ascii="宋体" w:eastAsia="宋体" w:hAnsi="宋体" w:cs="宋体"/>
          <w:spacing w:val="4"/>
        </w:rPr>
        <w:t>能量含量的某营养素含</w:t>
      </w:r>
      <w:r>
        <w:rPr>
          <w:rFonts w:ascii="宋体" w:eastAsia="宋体" w:hAnsi="宋体" w:cs="宋体"/>
        </w:rPr>
        <w:t xml:space="preserve"> </w:t>
      </w:r>
      <w:r>
        <w:rPr>
          <w:rFonts w:ascii="宋体" w:eastAsia="宋体" w:hAnsi="宋体" w:cs="宋体"/>
          <w:spacing w:val="-6"/>
        </w:rPr>
        <w:t>量。其计算公式为：</w:t>
      </w:r>
    </w:p>
    <w:p w:rsidR="00EA40A3" w:rsidRDefault="00E86C16">
      <w:pPr>
        <w:spacing w:before="100" w:line="236" w:lineRule="auto"/>
        <w:ind w:right="34" w:firstLine="430"/>
        <w:rPr>
          <w:rFonts w:ascii="宋体" w:eastAsia="宋体" w:hAnsi="宋体" w:cs="宋体"/>
        </w:rPr>
      </w:pPr>
      <w:r>
        <w:rPr>
          <w:rFonts w:ascii="宋体" w:eastAsia="宋体" w:hAnsi="宋体" w:cs="宋体"/>
          <w:spacing w:val="14"/>
        </w:rPr>
        <w:t>营养素密度=(一定数量某食物中的某营养素含量/同量该食物中</w:t>
      </w:r>
      <w:r>
        <w:rPr>
          <w:rFonts w:ascii="宋体" w:eastAsia="宋体" w:hAnsi="宋体" w:cs="宋体"/>
          <w:spacing w:val="13"/>
        </w:rPr>
        <w:t>的含能</w:t>
      </w:r>
      <w:r>
        <w:rPr>
          <w:rFonts w:ascii="宋体" w:eastAsia="宋体" w:hAnsi="宋体" w:cs="宋体"/>
        </w:rPr>
        <w:t xml:space="preserve"> </w:t>
      </w:r>
      <w:r>
        <w:rPr>
          <w:rFonts w:ascii="宋体" w:eastAsia="宋体" w:hAnsi="宋体" w:cs="宋体"/>
          <w:spacing w:val="-5"/>
        </w:rPr>
        <w:t>量)×1000</w:t>
      </w:r>
    </w:p>
    <w:p w:rsidR="00EA40A3" w:rsidRDefault="00E86C16">
      <w:pPr>
        <w:spacing w:before="100"/>
        <w:ind w:right="80"/>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1"/>
          <w:sz w:val="18"/>
          <w:szCs w:val="18"/>
        </w:rPr>
        <w:t xml:space="preserve"> </w:t>
      </w:r>
      <w:r>
        <w:rPr>
          <w:rFonts w:ascii="宋体" w:eastAsia="宋体" w:hAnsi="宋体" w:cs="宋体"/>
          <w:spacing w:val="-30"/>
          <w:sz w:val="18"/>
          <w:szCs w:val="18"/>
        </w:rPr>
        <w:t>181</w:t>
      </w:r>
      <w:r>
        <w:rPr>
          <w:rFonts w:ascii="宋体" w:eastAsia="宋体" w:hAnsi="宋体" w:cs="宋体"/>
          <w:spacing w:val="42"/>
          <w:w w:val="101"/>
          <w:sz w:val="18"/>
          <w:szCs w:val="18"/>
        </w:rPr>
        <w:t xml:space="preserve"> </w:t>
      </w:r>
      <w:r>
        <w:rPr>
          <w:rFonts w:ascii="宋体" w:eastAsia="宋体" w:hAnsi="宋体" w:cs="宋体"/>
          <w:spacing w:val="-30"/>
          <w:sz w:val="18"/>
          <w:szCs w:val="18"/>
        </w:rPr>
        <w:t>·</w:t>
      </w:r>
    </w:p>
    <w:p w:rsidR="00EA40A3" w:rsidRDefault="00EA40A3">
      <w:pPr>
        <w:sectPr w:rsidR="00EA40A3">
          <w:pgSz w:w="9220" w:h="13360"/>
          <w:pgMar w:top="400" w:right="1024" w:bottom="400" w:left="879" w:header="0" w:footer="0" w:gutter="0"/>
          <w:cols w:space="720"/>
        </w:sectPr>
      </w:pPr>
    </w:p>
    <w:p w:rsidR="00EA40A3" w:rsidRDefault="00EA40A3">
      <w:pPr>
        <w:spacing w:line="257" w:lineRule="auto"/>
      </w:pPr>
    </w:p>
    <w:p w:rsidR="00EA40A3" w:rsidRDefault="00EA40A3">
      <w:pPr>
        <w:spacing w:line="258" w:lineRule="auto"/>
      </w:pPr>
    </w:p>
    <w:p w:rsidR="00EA40A3" w:rsidRDefault="00E86C16">
      <w:pPr>
        <w:spacing w:before="71" w:line="246" w:lineRule="auto"/>
        <w:ind w:firstLine="429"/>
        <w:jc w:val="both"/>
        <w:rPr>
          <w:rFonts w:ascii="宋体" w:eastAsia="宋体" w:hAnsi="宋体" w:cs="宋体"/>
          <w:sz w:val="22"/>
          <w:szCs w:val="22"/>
        </w:rPr>
      </w:pPr>
      <w:bookmarkStart w:id="47" w:name="_bookmark51"/>
      <w:bookmarkEnd w:id="47"/>
      <w:r>
        <w:rPr>
          <w:rFonts w:ascii="宋体" w:eastAsia="宋体" w:hAnsi="宋体" w:cs="宋体"/>
          <w:spacing w:val="-13"/>
          <w:sz w:val="22"/>
          <w:szCs w:val="22"/>
        </w:rPr>
        <w:t>要注意的问题是，营养素的含量与其营养素密度并非等同。例如，以维</w:t>
      </w:r>
      <w:r>
        <w:rPr>
          <w:rFonts w:ascii="宋体" w:eastAsia="宋体" w:hAnsi="宋体" w:cs="宋体"/>
          <w:spacing w:val="-14"/>
          <w:sz w:val="22"/>
          <w:szCs w:val="22"/>
        </w:rPr>
        <w:t>生素</w:t>
      </w:r>
      <w:r>
        <w:rPr>
          <w:rFonts w:ascii="宋体" w:eastAsia="宋体" w:hAnsi="宋体" w:cs="宋体"/>
          <w:sz w:val="22"/>
          <w:szCs w:val="22"/>
        </w:rPr>
        <w:t xml:space="preserve"> </w:t>
      </w:r>
      <w:r>
        <w:rPr>
          <w:rFonts w:ascii="宋体" w:eastAsia="宋体" w:hAnsi="宋体" w:cs="宋体"/>
          <w:spacing w:val="4"/>
          <w:sz w:val="22"/>
          <w:szCs w:val="22"/>
        </w:rPr>
        <w:t>B2</w:t>
      </w:r>
      <w:r>
        <w:rPr>
          <w:rFonts w:ascii="宋体" w:eastAsia="宋体" w:hAnsi="宋体" w:cs="宋体"/>
          <w:spacing w:val="-49"/>
          <w:sz w:val="22"/>
          <w:szCs w:val="22"/>
        </w:rPr>
        <w:t xml:space="preserve"> </w:t>
      </w:r>
      <w:r>
        <w:rPr>
          <w:rFonts w:ascii="宋体" w:eastAsia="宋体" w:hAnsi="宋体" w:cs="宋体"/>
          <w:spacing w:val="4"/>
          <w:sz w:val="22"/>
          <w:szCs w:val="22"/>
        </w:rPr>
        <w:t xml:space="preserve">含量而论，炒葵花籽的含量为0.26 </w:t>
      </w:r>
      <w:r>
        <w:rPr>
          <w:rFonts w:ascii="宋体" w:eastAsia="宋体" w:hAnsi="宋体" w:cs="宋体"/>
          <w:sz w:val="22"/>
          <w:szCs w:val="22"/>
        </w:rPr>
        <w:t>mg</w:t>
      </w:r>
      <w:r>
        <w:rPr>
          <w:rFonts w:ascii="宋体" w:eastAsia="宋体" w:hAnsi="宋体" w:cs="宋体"/>
          <w:spacing w:val="4"/>
          <w:sz w:val="22"/>
          <w:szCs w:val="22"/>
        </w:rPr>
        <w:t>/100g,</w:t>
      </w:r>
      <w:r>
        <w:rPr>
          <w:rFonts w:ascii="宋体" w:eastAsia="宋体" w:hAnsi="宋体" w:cs="宋体"/>
          <w:spacing w:val="23"/>
          <w:sz w:val="22"/>
          <w:szCs w:val="22"/>
        </w:rPr>
        <w:t xml:space="preserve"> </w:t>
      </w:r>
      <w:r>
        <w:rPr>
          <w:rFonts w:ascii="宋体" w:eastAsia="宋体" w:hAnsi="宋体" w:cs="宋体"/>
          <w:spacing w:val="4"/>
          <w:sz w:val="22"/>
          <w:szCs w:val="22"/>
        </w:rPr>
        <w:t>而全脂牛奶的含量为0.16</w:t>
      </w:r>
      <w:r>
        <w:rPr>
          <w:rFonts w:ascii="宋体" w:eastAsia="宋体" w:hAnsi="宋体" w:cs="宋体"/>
          <w:sz w:val="22"/>
          <w:szCs w:val="22"/>
        </w:rPr>
        <w:t xml:space="preserve"> </w:t>
      </w:r>
      <w:r>
        <w:rPr>
          <w:rFonts w:ascii="宋体" w:eastAsia="宋体" w:hAnsi="宋体" w:cs="宋体"/>
          <w:spacing w:val="-1"/>
          <w:sz w:val="22"/>
          <w:szCs w:val="22"/>
        </w:rPr>
        <w:t>mg/100g,</w:t>
      </w:r>
      <w:r>
        <w:rPr>
          <w:rFonts w:ascii="宋体" w:eastAsia="宋体" w:hAnsi="宋体" w:cs="宋体"/>
          <w:spacing w:val="23"/>
          <w:sz w:val="22"/>
          <w:szCs w:val="22"/>
        </w:rPr>
        <w:t xml:space="preserve"> </w:t>
      </w:r>
      <w:r>
        <w:rPr>
          <w:rFonts w:ascii="宋体" w:eastAsia="宋体" w:hAnsi="宋体" w:cs="宋体"/>
          <w:spacing w:val="-1"/>
          <w:sz w:val="22"/>
          <w:szCs w:val="22"/>
        </w:rPr>
        <w:t>前者比较高。然而若以维生素</w:t>
      </w:r>
      <w:r>
        <w:rPr>
          <w:rFonts w:ascii="宋体" w:eastAsia="宋体" w:hAnsi="宋体" w:cs="宋体"/>
          <w:spacing w:val="-60"/>
          <w:sz w:val="22"/>
          <w:szCs w:val="22"/>
        </w:rPr>
        <w:t xml:space="preserve"> </w:t>
      </w:r>
      <w:r>
        <w:rPr>
          <w:rFonts w:ascii="宋体" w:eastAsia="宋体" w:hAnsi="宋体" w:cs="宋体"/>
          <w:spacing w:val="-1"/>
          <w:sz w:val="22"/>
          <w:szCs w:val="22"/>
        </w:rPr>
        <w:t>B</w:t>
      </w:r>
      <w:r>
        <w:rPr>
          <w:rFonts w:ascii="Calibri" w:eastAsia="Calibri" w:hAnsi="Calibri" w:cs="Calibri"/>
          <w:spacing w:val="-1"/>
          <w:sz w:val="22"/>
          <w:szCs w:val="22"/>
        </w:rPr>
        <w:t>₂</w:t>
      </w:r>
      <w:r>
        <w:rPr>
          <w:rFonts w:ascii="Calibri" w:eastAsia="Calibri" w:hAnsi="Calibri" w:cs="Calibri"/>
          <w:spacing w:val="5"/>
          <w:sz w:val="22"/>
          <w:szCs w:val="22"/>
        </w:rPr>
        <w:t xml:space="preserve">  </w:t>
      </w:r>
      <w:r>
        <w:rPr>
          <w:rFonts w:ascii="宋体" w:eastAsia="宋体" w:hAnsi="宋体" w:cs="宋体"/>
          <w:spacing w:val="-1"/>
          <w:sz w:val="22"/>
          <w:szCs w:val="22"/>
        </w:rPr>
        <w:t>的营养素密度而论，炒葵花籽为</w:t>
      </w:r>
      <w:r>
        <w:rPr>
          <w:rFonts w:ascii="宋体" w:eastAsia="宋体" w:hAnsi="宋体" w:cs="宋体"/>
          <w:sz w:val="22"/>
          <w:szCs w:val="22"/>
        </w:rPr>
        <w:t xml:space="preserve"> </w:t>
      </w:r>
      <w:r>
        <w:rPr>
          <w:rFonts w:ascii="宋体" w:eastAsia="宋体" w:hAnsi="宋体" w:cs="宋体"/>
          <w:spacing w:val="-4"/>
          <w:sz w:val="22"/>
          <w:szCs w:val="22"/>
        </w:rPr>
        <w:t>0.43,而全脂牛奶为2.96,显然后者更高。这就意味着，安排平衡膳食的时候，</w:t>
      </w:r>
      <w:r>
        <w:rPr>
          <w:rFonts w:ascii="宋体" w:eastAsia="宋体" w:hAnsi="宋体" w:cs="宋体"/>
          <w:spacing w:val="14"/>
          <w:sz w:val="22"/>
          <w:szCs w:val="22"/>
        </w:rPr>
        <w:t xml:space="preserve"> </w:t>
      </w:r>
      <w:r>
        <w:rPr>
          <w:rFonts w:ascii="宋体" w:eastAsia="宋体" w:hAnsi="宋体" w:cs="宋体"/>
          <w:spacing w:val="-9"/>
          <w:sz w:val="22"/>
          <w:szCs w:val="22"/>
        </w:rPr>
        <w:t>如果不希望增加很多能量而希望供应较多的维生素</w:t>
      </w:r>
      <w:r>
        <w:rPr>
          <w:rFonts w:ascii="宋体" w:eastAsia="宋体" w:hAnsi="宋体" w:cs="宋体"/>
          <w:spacing w:val="-50"/>
          <w:sz w:val="22"/>
          <w:szCs w:val="22"/>
        </w:rPr>
        <w:t xml:space="preserve"> </w:t>
      </w:r>
      <w:r>
        <w:rPr>
          <w:rFonts w:ascii="宋体" w:eastAsia="宋体" w:hAnsi="宋体" w:cs="宋体"/>
          <w:spacing w:val="-9"/>
          <w:sz w:val="22"/>
          <w:szCs w:val="22"/>
        </w:rPr>
        <w:t>B2,</w:t>
      </w:r>
      <w:r>
        <w:rPr>
          <w:rFonts w:ascii="宋体" w:eastAsia="宋体" w:hAnsi="宋体" w:cs="宋体"/>
          <w:spacing w:val="-6"/>
          <w:sz w:val="22"/>
          <w:szCs w:val="22"/>
        </w:rPr>
        <w:t xml:space="preserve"> </w:t>
      </w:r>
      <w:r>
        <w:rPr>
          <w:rFonts w:ascii="宋体" w:eastAsia="宋体" w:hAnsi="宋体" w:cs="宋体"/>
          <w:spacing w:val="-9"/>
          <w:sz w:val="22"/>
          <w:szCs w:val="22"/>
        </w:rPr>
        <w:t>例如为一位缺乏维生素</w:t>
      </w:r>
      <w:r>
        <w:rPr>
          <w:rFonts w:ascii="宋体" w:eastAsia="宋体" w:hAnsi="宋体" w:cs="宋体"/>
          <w:sz w:val="22"/>
          <w:szCs w:val="22"/>
        </w:rPr>
        <w:t xml:space="preserve">  </w:t>
      </w:r>
      <w:r>
        <w:rPr>
          <w:rFonts w:ascii="宋体" w:eastAsia="宋体" w:hAnsi="宋体" w:cs="宋体"/>
          <w:spacing w:val="-12"/>
          <w:sz w:val="22"/>
          <w:szCs w:val="22"/>
        </w:rPr>
        <w:t>B</w:t>
      </w:r>
      <w:r>
        <w:rPr>
          <w:rFonts w:ascii="Calibri" w:eastAsia="Calibri" w:hAnsi="Calibri" w:cs="Calibri"/>
          <w:spacing w:val="-12"/>
          <w:sz w:val="22"/>
          <w:szCs w:val="22"/>
        </w:rPr>
        <w:t>₂</w:t>
      </w:r>
      <w:r>
        <w:rPr>
          <w:rFonts w:ascii="Calibri" w:eastAsia="Calibri" w:hAnsi="Calibri" w:cs="Calibri"/>
          <w:spacing w:val="10"/>
          <w:sz w:val="22"/>
          <w:szCs w:val="22"/>
        </w:rPr>
        <w:t xml:space="preserve"> </w:t>
      </w:r>
      <w:r>
        <w:rPr>
          <w:rFonts w:ascii="宋体" w:eastAsia="宋体" w:hAnsi="宋体" w:cs="宋体"/>
          <w:spacing w:val="-12"/>
          <w:sz w:val="22"/>
          <w:szCs w:val="22"/>
        </w:rPr>
        <w:t>的肥胖者制作食谱时，选择牛奶作为这种维生素的供应来源</w:t>
      </w:r>
      <w:r>
        <w:rPr>
          <w:rFonts w:ascii="宋体" w:eastAsia="宋体" w:hAnsi="宋体" w:cs="宋体"/>
          <w:spacing w:val="-13"/>
          <w:sz w:val="22"/>
          <w:szCs w:val="22"/>
        </w:rPr>
        <w:t>更为适当。</w:t>
      </w:r>
    </w:p>
    <w:p w:rsidR="00EA40A3" w:rsidRDefault="00E86C16">
      <w:pPr>
        <w:spacing w:before="77" w:line="249" w:lineRule="auto"/>
        <w:ind w:right="72" w:firstLine="429"/>
        <w:jc w:val="both"/>
        <w:rPr>
          <w:rFonts w:ascii="宋体" w:eastAsia="宋体" w:hAnsi="宋体" w:cs="宋体"/>
          <w:sz w:val="22"/>
          <w:szCs w:val="22"/>
        </w:rPr>
      </w:pPr>
      <w:r>
        <w:rPr>
          <w:rFonts w:ascii="宋体" w:eastAsia="宋体" w:hAnsi="宋体" w:cs="宋体"/>
          <w:spacing w:val="-13"/>
          <w:sz w:val="22"/>
          <w:szCs w:val="22"/>
        </w:rPr>
        <w:t>人体对膳食中能量的需要是有限的，而且膳食能量的供应必须与体力活动相</w:t>
      </w:r>
      <w:r>
        <w:rPr>
          <w:rFonts w:ascii="宋体" w:eastAsia="宋体" w:hAnsi="宋体" w:cs="宋体"/>
          <w:spacing w:val="5"/>
          <w:sz w:val="22"/>
          <w:szCs w:val="22"/>
        </w:rPr>
        <w:t xml:space="preserve"> </w:t>
      </w:r>
      <w:r>
        <w:rPr>
          <w:rFonts w:ascii="宋体" w:eastAsia="宋体" w:hAnsi="宋体" w:cs="宋体"/>
          <w:spacing w:val="-13"/>
          <w:sz w:val="22"/>
          <w:szCs w:val="22"/>
        </w:rPr>
        <w:t>平衡。由于机械化、自动化、电气化和现代交通工具的应用，现代人的体力活动</w:t>
      </w:r>
      <w:r>
        <w:rPr>
          <w:rFonts w:ascii="宋体" w:eastAsia="宋体" w:hAnsi="宋体" w:cs="宋体"/>
          <w:spacing w:val="18"/>
          <w:sz w:val="22"/>
          <w:szCs w:val="22"/>
        </w:rPr>
        <w:t xml:space="preserve"> </w:t>
      </w:r>
      <w:r>
        <w:rPr>
          <w:rFonts w:ascii="宋体" w:eastAsia="宋体" w:hAnsi="宋体" w:cs="宋体"/>
          <w:spacing w:val="-12"/>
          <w:sz w:val="22"/>
          <w:szCs w:val="22"/>
        </w:rPr>
        <w:t>不断减少，同时食物极大丰富，人们非常容易</w:t>
      </w:r>
      <w:r>
        <w:rPr>
          <w:rFonts w:ascii="宋体" w:eastAsia="宋体" w:hAnsi="宋体" w:cs="宋体"/>
          <w:spacing w:val="-13"/>
          <w:sz w:val="22"/>
          <w:szCs w:val="22"/>
        </w:rPr>
        <w:t>获得高能量膳食，膳食能量超过身</w:t>
      </w:r>
      <w:r>
        <w:rPr>
          <w:rFonts w:ascii="宋体" w:eastAsia="宋体" w:hAnsi="宋体" w:cs="宋体"/>
          <w:sz w:val="22"/>
          <w:szCs w:val="22"/>
        </w:rPr>
        <w:t xml:space="preserve"> </w:t>
      </w:r>
      <w:r>
        <w:rPr>
          <w:rFonts w:ascii="宋体" w:eastAsia="宋体" w:hAnsi="宋体" w:cs="宋体"/>
          <w:spacing w:val="-13"/>
          <w:sz w:val="22"/>
          <w:szCs w:val="22"/>
        </w:rPr>
        <w:t>体需求导致的超重和肥胖已经成为普遍的社会问题。因此，获得充足的营养素而</w:t>
      </w:r>
      <w:r>
        <w:rPr>
          <w:rFonts w:ascii="宋体" w:eastAsia="宋体" w:hAnsi="宋体" w:cs="宋体"/>
          <w:spacing w:val="14"/>
          <w:sz w:val="22"/>
          <w:szCs w:val="22"/>
        </w:rPr>
        <w:t xml:space="preserve"> </w:t>
      </w:r>
      <w:r>
        <w:rPr>
          <w:rFonts w:ascii="宋体" w:eastAsia="宋体" w:hAnsi="宋体" w:cs="宋体"/>
          <w:spacing w:val="-13"/>
          <w:sz w:val="22"/>
          <w:szCs w:val="22"/>
        </w:rPr>
        <w:t>不会造成能量过剩是合理膳食的重要要求之一。从这个角度来说，在用食物补充</w:t>
      </w:r>
      <w:r>
        <w:rPr>
          <w:rFonts w:ascii="宋体" w:eastAsia="宋体" w:hAnsi="宋体" w:cs="宋体"/>
          <w:spacing w:val="3"/>
          <w:sz w:val="22"/>
          <w:szCs w:val="22"/>
        </w:rPr>
        <w:t xml:space="preserve"> </w:t>
      </w:r>
      <w:r>
        <w:rPr>
          <w:rFonts w:ascii="宋体" w:eastAsia="宋体" w:hAnsi="宋体" w:cs="宋体"/>
          <w:spacing w:val="-13"/>
          <w:sz w:val="22"/>
          <w:szCs w:val="22"/>
        </w:rPr>
        <w:t>某些维生素或矿物质时，营养素密度是比营养素含量更为重要的参考数据。如果</w:t>
      </w:r>
      <w:r>
        <w:rPr>
          <w:rFonts w:ascii="宋体" w:eastAsia="宋体" w:hAnsi="宋体" w:cs="宋体"/>
          <w:spacing w:val="16"/>
          <w:sz w:val="22"/>
          <w:szCs w:val="22"/>
        </w:rPr>
        <w:t xml:space="preserve"> </w:t>
      </w:r>
      <w:r>
        <w:rPr>
          <w:rFonts w:ascii="宋体" w:eastAsia="宋体" w:hAnsi="宋体" w:cs="宋体"/>
          <w:spacing w:val="-13"/>
          <w:sz w:val="22"/>
          <w:szCs w:val="22"/>
        </w:rPr>
        <w:t>对食物进行脱脂、低脂、低糖、无糖等处理，就可以有效地提高膳食中食品的营</w:t>
      </w:r>
      <w:r>
        <w:rPr>
          <w:rFonts w:ascii="宋体" w:eastAsia="宋体" w:hAnsi="宋体" w:cs="宋体"/>
          <w:spacing w:val="17"/>
          <w:sz w:val="22"/>
          <w:szCs w:val="22"/>
        </w:rPr>
        <w:t xml:space="preserve"> </w:t>
      </w:r>
      <w:r>
        <w:rPr>
          <w:rFonts w:ascii="宋体" w:eastAsia="宋体" w:hAnsi="宋体" w:cs="宋体"/>
          <w:spacing w:val="-13"/>
          <w:sz w:val="22"/>
          <w:szCs w:val="22"/>
        </w:rPr>
        <w:t>养素密度，如半脱脂牛奶、无糖酸奶、低脂肪奶酪、低脂肪花生酱等。反之，在</w:t>
      </w:r>
      <w:r>
        <w:rPr>
          <w:rFonts w:ascii="宋体" w:eastAsia="宋体" w:hAnsi="宋体" w:cs="宋体"/>
          <w:spacing w:val="15"/>
          <w:sz w:val="22"/>
          <w:szCs w:val="22"/>
        </w:rPr>
        <w:t xml:space="preserve"> </w:t>
      </w:r>
      <w:r>
        <w:rPr>
          <w:rFonts w:ascii="宋体" w:eastAsia="宋体" w:hAnsi="宋体" w:cs="宋体"/>
          <w:spacing w:val="-13"/>
          <w:sz w:val="22"/>
          <w:szCs w:val="22"/>
        </w:rPr>
        <w:t>食物中加入脂肪、糖、淀粉水解物等成分，便会大大降低食物的营养素密度。对</w:t>
      </w:r>
      <w:r>
        <w:rPr>
          <w:rFonts w:ascii="宋体" w:eastAsia="宋体" w:hAnsi="宋体" w:cs="宋体"/>
          <w:spacing w:val="12"/>
          <w:sz w:val="22"/>
          <w:szCs w:val="22"/>
        </w:rPr>
        <w:t xml:space="preserve"> </w:t>
      </w:r>
      <w:r>
        <w:rPr>
          <w:rFonts w:ascii="宋体" w:eastAsia="宋体" w:hAnsi="宋体" w:cs="宋体"/>
          <w:spacing w:val="-13"/>
          <w:sz w:val="22"/>
          <w:szCs w:val="22"/>
        </w:rPr>
        <w:t>于食量有限的幼儿、老人、缺乏锻炼的脑力劳动者、需要控制体重者，以及营养</w:t>
      </w:r>
      <w:r>
        <w:rPr>
          <w:rFonts w:ascii="宋体" w:eastAsia="宋体" w:hAnsi="宋体" w:cs="宋体"/>
          <w:spacing w:val="13"/>
          <w:sz w:val="22"/>
          <w:szCs w:val="22"/>
        </w:rPr>
        <w:t xml:space="preserve"> </w:t>
      </w:r>
      <w:r>
        <w:rPr>
          <w:rFonts w:ascii="宋体" w:eastAsia="宋体" w:hAnsi="宋体" w:cs="宋体"/>
          <w:spacing w:val="-13"/>
          <w:sz w:val="22"/>
          <w:szCs w:val="22"/>
        </w:rPr>
        <w:t>素需求极其旺盛的孕妇、乳母来说，都要特别注意膳食中食物的营</w:t>
      </w:r>
      <w:r>
        <w:rPr>
          <w:rFonts w:ascii="宋体" w:eastAsia="宋体" w:hAnsi="宋体" w:cs="宋体"/>
          <w:spacing w:val="-14"/>
          <w:sz w:val="22"/>
          <w:szCs w:val="22"/>
        </w:rPr>
        <w:t>养素密度。</w:t>
      </w:r>
    </w:p>
    <w:p w:rsidR="00EA40A3" w:rsidRDefault="00E86C16">
      <w:pPr>
        <w:spacing w:before="111" w:line="230" w:lineRule="auto"/>
        <w:ind w:right="32" w:firstLine="429"/>
        <w:rPr>
          <w:rFonts w:ascii="宋体" w:eastAsia="宋体" w:hAnsi="宋体" w:cs="宋体"/>
          <w:sz w:val="22"/>
          <w:szCs w:val="22"/>
        </w:rPr>
      </w:pPr>
      <w:r>
        <w:rPr>
          <w:rFonts w:ascii="宋体" w:eastAsia="宋体" w:hAnsi="宋体" w:cs="宋体"/>
          <w:spacing w:val="-13"/>
          <w:sz w:val="22"/>
          <w:szCs w:val="22"/>
        </w:rPr>
        <w:t>另一个有关营养素密度的概念是营养质量指数</w:t>
      </w:r>
      <w:r>
        <w:rPr>
          <w:rFonts w:ascii="宋体" w:eastAsia="宋体" w:hAnsi="宋体" w:cs="宋体"/>
          <w:spacing w:val="-5"/>
          <w:sz w:val="22"/>
          <w:szCs w:val="22"/>
        </w:rPr>
        <w:t xml:space="preserve"> </w:t>
      </w:r>
      <w:r>
        <w:rPr>
          <w:rFonts w:ascii="宋体" w:eastAsia="宋体" w:hAnsi="宋体" w:cs="宋体"/>
          <w:spacing w:val="-13"/>
          <w:sz w:val="22"/>
          <w:szCs w:val="22"/>
        </w:rPr>
        <w:t>(index</w:t>
      </w:r>
      <w:r>
        <w:rPr>
          <w:rFonts w:ascii="宋体" w:eastAsia="宋体" w:hAnsi="宋体" w:cs="宋体"/>
          <w:spacing w:val="-8"/>
          <w:sz w:val="22"/>
          <w:szCs w:val="22"/>
        </w:rPr>
        <w:t xml:space="preserve"> </w:t>
      </w:r>
      <w:r>
        <w:rPr>
          <w:rFonts w:ascii="宋体" w:eastAsia="宋体" w:hAnsi="宋体" w:cs="宋体"/>
          <w:spacing w:val="-13"/>
          <w:sz w:val="22"/>
          <w:szCs w:val="22"/>
        </w:rPr>
        <w:t>of</w:t>
      </w:r>
      <w:r>
        <w:rPr>
          <w:rFonts w:ascii="宋体" w:eastAsia="宋体" w:hAnsi="宋体" w:cs="宋体"/>
          <w:spacing w:val="-11"/>
          <w:sz w:val="22"/>
          <w:szCs w:val="22"/>
        </w:rPr>
        <w:t xml:space="preserve"> </w:t>
      </w:r>
      <w:r>
        <w:rPr>
          <w:rFonts w:ascii="宋体" w:eastAsia="宋体" w:hAnsi="宋体" w:cs="宋体"/>
          <w:spacing w:val="-13"/>
          <w:sz w:val="22"/>
          <w:szCs w:val="22"/>
        </w:rPr>
        <w:t>nutrient</w:t>
      </w:r>
      <w:r>
        <w:rPr>
          <w:rFonts w:ascii="宋体" w:eastAsia="宋体" w:hAnsi="宋体" w:cs="宋体"/>
          <w:spacing w:val="-8"/>
          <w:sz w:val="22"/>
          <w:szCs w:val="22"/>
        </w:rPr>
        <w:t xml:space="preserve"> </w:t>
      </w:r>
      <w:r>
        <w:rPr>
          <w:rFonts w:ascii="宋体" w:eastAsia="宋体" w:hAnsi="宋体" w:cs="宋体"/>
          <w:spacing w:val="-13"/>
          <w:sz w:val="22"/>
          <w:szCs w:val="22"/>
        </w:rPr>
        <w:t>quality,</w:t>
      </w:r>
      <w:r>
        <w:rPr>
          <w:rFonts w:ascii="宋体" w:eastAsia="宋体" w:hAnsi="宋体" w:cs="宋体"/>
          <w:sz w:val="22"/>
          <w:szCs w:val="22"/>
        </w:rPr>
        <w:t xml:space="preserve"> </w:t>
      </w:r>
      <w:r>
        <w:rPr>
          <w:rFonts w:ascii="宋体" w:eastAsia="宋体" w:hAnsi="宋体" w:cs="宋体"/>
          <w:spacing w:val="-18"/>
          <w:sz w:val="22"/>
          <w:szCs w:val="22"/>
        </w:rPr>
        <w:t>INQ)。</w:t>
      </w:r>
      <w:r>
        <w:rPr>
          <w:rFonts w:ascii="宋体" w:eastAsia="宋体" w:hAnsi="宋体" w:cs="宋体"/>
          <w:spacing w:val="42"/>
          <w:sz w:val="22"/>
          <w:szCs w:val="22"/>
        </w:rPr>
        <w:t xml:space="preserve"> </w:t>
      </w:r>
      <w:r>
        <w:rPr>
          <w:rFonts w:ascii="宋体" w:eastAsia="宋体" w:hAnsi="宋体" w:cs="宋体"/>
          <w:spacing w:val="-18"/>
          <w:sz w:val="22"/>
          <w:szCs w:val="22"/>
        </w:rPr>
        <w:t>其计算方法为：</w:t>
      </w:r>
    </w:p>
    <w:p w:rsidR="00EA40A3" w:rsidRDefault="00E86C16">
      <w:pPr>
        <w:spacing w:before="61" w:line="238" w:lineRule="auto"/>
        <w:ind w:right="62" w:firstLine="429"/>
        <w:rPr>
          <w:rFonts w:ascii="宋体" w:eastAsia="宋体" w:hAnsi="宋体" w:cs="宋体"/>
          <w:sz w:val="22"/>
          <w:szCs w:val="22"/>
        </w:rPr>
      </w:pPr>
      <w:r>
        <w:rPr>
          <w:rFonts w:ascii="宋体" w:eastAsia="宋体" w:hAnsi="宋体" w:cs="宋体"/>
          <w:spacing w:val="-7"/>
          <w:sz w:val="22"/>
          <w:szCs w:val="22"/>
        </w:rPr>
        <w:t>INQ=(100g</w:t>
      </w:r>
      <w:r>
        <w:rPr>
          <w:rFonts w:ascii="宋体" w:eastAsia="宋体" w:hAnsi="宋体" w:cs="宋体"/>
          <w:spacing w:val="86"/>
          <w:sz w:val="22"/>
          <w:szCs w:val="22"/>
        </w:rPr>
        <w:t xml:space="preserve"> </w:t>
      </w:r>
      <w:r>
        <w:rPr>
          <w:rFonts w:ascii="宋体" w:eastAsia="宋体" w:hAnsi="宋体" w:cs="宋体"/>
          <w:spacing w:val="-7"/>
          <w:sz w:val="22"/>
          <w:szCs w:val="22"/>
        </w:rPr>
        <w:t>某种食物中某营养素的含量/某营养素的日推荐摄入量)/(100g</w:t>
      </w:r>
      <w:r>
        <w:rPr>
          <w:rFonts w:ascii="宋体" w:eastAsia="宋体" w:hAnsi="宋体" w:cs="宋体"/>
          <w:sz w:val="22"/>
          <w:szCs w:val="22"/>
        </w:rPr>
        <w:t xml:space="preserve"> </w:t>
      </w:r>
      <w:r>
        <w:rPr>
          <w:rFonts w:ascii="宋体" w:eastAsia="宋体" w:hAnsi="宋体" w:cs="宋体"/>
          <w:spacing w:val="-11"/>
          <w:sz w:val="22"/>
          <w:szCs w:val="22"/>
        </w:rPr>
        <w:t>该食物中所含能量/能量的日推荐摄入量)</w:t>
      </w:r>
    </w:p>
    <w:p w:rsidR="00EA40A3" w:rsidRDefault="00E86C16">
      <w:pPr>
        <w:spacing w:before="60" w:line="235" w:lineRule="auto"/>
        <w:ind w:right="81" w:firstLine="429"/>
        <w:rPr>
          <w:rFonts w:ascii="宋体" w:eastAsia="宋体" w:hAnsi="宋体" w:cs="宋体"/>
          <w:sz w:val="22"/>
          <w:szCs w:val="22"/>
        </w:rPr>
      </w:pPr>
      <w:r>
        <w:rPr>
          <w:rFonts w:ascii="宋体" w:eastAsia="宋体" w:hAnsi="宋体" w:cs="宋体"/>
          <w:spacing w:val="-13"/>
          <w:sz w:val="22"/>
          <w:szCs w:val="22"/>
        </w:rPr>
        <w:t>这个参数是某种食物中的某一种营养素满足一日所需程度与能量满</w:t>
      </w:r>
      <w:r>
        <w:rPr>
          <w:rFonts w:ascii="宋体" w:eastAsia="宋体" w:hAnsi="宋体" w:cs="宋体"/>
          <w:spacing w:val="-14"/>
          <w:sz w:val="22"/>
          <w:szCs w:val="22"/>
        </w:rPr>
        <w:t>足一日所</w:t>
      </w:r>
      <w:r>
        <w:rPr>
          <w:rFonts w:ascii="宋体" w:eastAsia="宋体" w:hAnsi="宋体" w:cs="宋体"/>
          <w:sz w:val="22"/>
          <w:szCs w:val="22"/>
        </w:rPr>
        <w:t xml:space="preserve"> </w:t>
      </w:r>
      <w:r>
        <w:rPr>
          <w:rFonts w:ascii="宋体" w:eastAsia="宋体" w:hAnsi="宋体" w:cs="宋体"/>
          <w:spacing w:val="-13"/>
          <w:sz w:val="22"/>
          <w:szCs w:val="22"/>
        </w:rPr>
        <w:t>需程度的比值。其数值较大，表明增加该食物的摄入，有利于在日常膳食中充分</w:t>
      </w:r>
      <w:r>
        <w:rPr>
          <w:rFonts w:ascii="宋体" w:eastAsia="宋体" w:hAnsi="宋体" w:cs="宋体"/>
          <w:spacing w:val="12"/>
          <w:sz w:val="22"/>
          <w:szCs w:val="22"/>
        </w:rPr>
        <w:t xml:space="preserve"> </w:t>
      </w:r>
      <w:r>
        <w:rPr>
          <w:rFonts w:ascii="宋体" w:eastAsia="宋体" w:hAnsi="宋体" w:cs="宋体"/>
          <w:spacing w:val="-13"/>
          <w:sz w:val="22"/>
          <w:szCs w:val="22"/>
        </w:rPr>
        <w:t>提供这种营养素，而不至于过多增加膳食能量。</w:t>
      </w:r>
    </w:p>
    <w:p w:rsidR="00EA40A3" w:rsidRDefault="00E86C16">
      <w:pPr>
        <w:spacing w:before="225" w:line="221" w:lineRule="auto"/>
        <w:ind w:left="3"/>
        <w:outlineLvl w:val="6"/>
        <w:rPr>
          <w:rFonts w:ascii="黑体" w:eastAsia="黑体" w:hAnsi="黑体" w:cs="黑体"/>
          <w:sz w:val="22"/>
          <w:szCs w:val="22"/>
        </w:rPr>
      </w:pPr>
      <w:r>
        <w:rPr>
          <w:rFonts w:ascii="黑体" w:eastAsia="黑体" w:hAnsi="黑体" w:cs="黑体"/>
          <w:b/>
          <w:bCs/>
          <w:spacing w:val="8"/>
          <w:sz w:val="22"/>
          <w:szCs w:val="22"/>
        </w:rPr>
        <w:t>6.1.3</w:t>
      </w:r>
      <w:r>
        <w:rPr>
          <w:rFonts w:ascii="黑体" w:eastAsia="黑体" w:hAnsi="黑体" w:cs="黑体"/>
          <w:spacing w:val="29"/>
          <w:sz w:val="22"/>
          <w:szCs w:val="22"/>
        </w:rPr>
        <w:t xml:space="preserve">  </w:t>
      </w:r>
      <w:r>
        <w:rPr>
          <w:rFonts w:ascii="黑体" w:eastAsia="黑体" w:hAnsi="黑体" w:cs="黑体"/>
          <w:b/>
          <w:bCs/>
          <w:spacing w:val="8"/>
          <w:sz w:val="22"/>
          <w:szCs w:val="22"/>
        </w:rPr>
        <w:t>营养素的生物利用率</w:t>
      </w:r>
    </w:p>
    <w:p w:rsidR="00EA40A3" w:rsidRDefault="00E86C16">
      <w:pPr>
        <w:spacing w:before="193" w:line="238" w:lineRule="auto"/>
        <w:ind w:firstLine="429"/>
        <w:jc w:val="both"/>
        <w:rPr>
          <w:rFonts w:ascii="宋体" w:eastAsia="宋体" w:hAnsi="宋体" w:cs="宋体"/>
          <w:sz w:val="22"/>
          <w:szCs w:val="22"/>
        </w:rPr>
      </w:pPr>
      <w:r>
        <w:rPr>
          <w:rFonts w:ascii="宋体" w:eastAsia="宋体" w:hAnsi="宋体" w:cs="宋体"/>
          <w:spacing w:val="-13"/>
          <w:sz w:val="22"/>
          <w:szCs w:val="22"/>
        </w:rPr>
        <w:t>食物中所存在的营养素往往并非人体直接可以利用的形式，而必须先经过消</w:t>
      </w:r>
      <w:r>
        <w:rPr>
          <w:rFonts w:ascii="宋体" w:eastAsia="宋体" w:hAnsi="宋体" w:cs="宋体"/>
          <w:spacing w:val="8"/>
          <w:sz w:val="22"/>
          <w:szCs w:val="22"/>
        </w:rPr>
        <w:t xml:space="preserve"> </w:t>
      </w:r>
      <w:r>
        <w:rPr>
          <w:rFonts w:ascii="宋体" w:eastAsia="宋体" w:hAnsi="宋体" w:cs="宋体"/>
          <w:spacing w:val="-13"/>
          <w:sz w:val="22"/>
          <w:szCs w:val="22"/>
        </w:rPr>
        <w:t>化、吸收和转化才能发挥其营养作用。所谓营养素的“生物利用率”</w:t>
      </w:r>
      <w:r>
        <w:rPr>
          <w:rFonts w:ascii="宋体" w:eastAsia="宋体" w:hAnsi="宋体" w:cs="宋体"/>
          <w:spacing w:val="-53"/>
          <w:sz w:val="22"/>
          <w:szCs w:val="22"/>
        </w:rPr>
        <w:t xml:space="preserve"> </w:t>
      </w:r>
      <w:r>
        <w:rPr>
          <w:rFonts w:ascii="宋体" w:eastAsia="宋体" w:hAnsi="宋体" w:cs="宋体"/>
          <w:spacing w:val="-14"/>
          <w:sz w:val="22"/>
          <w:szCs w:val="22"/>
        </w:rPr>
        <w:t>(</w:t>
      </w:r>
      <w:r>
        <w:rPr>
          <w:rFonts w:ascii="宋体" w:eastAsia="宋体" w:hAnsi="宋体" w:cs="宋体"/>
          <w:spacing w:val="-13"/>
          <w:sz w:val="22"/>
          <w:szCs w:val="22"/>
        </w:rPr>
        <w:t>bioavail</w:t>
      </w:r>
      <w:r>
        <w:rPr>
          <w:rFonts w:ascii="宋体" w:eastAsia="宋体" w:hAnsi="宋体" w:cs="宋体"/>
          <w:spacing w:val="-14"/>
          <w:sz w:val="22"/>
          <w:szCs w:val="22"/>
        </w:rPr>
        <w:t>-</w:t>
      </w:r>
      <w:r>
        <w:rPr>
          <w:rFonts w:ascii="宋体" w:eastAsia="宋体" w:hAnsi="宋体" w:cs="宋体"/>
          <w:sz w:val="22"/>
          <w:szCs w:val="22"/>
        </w:rPr>
        <w:t xml:space="preserve">  </w:t>
      </w:r>
      <w:r>
        <w:rPr>
          <w:rFonts w:ascii="宋体" w:eastAsia="宋体" w:hAnsi="宋体" w:cs="宋体"/>
          <w:spacing w:val="-12"/>
          <w:sz w:val="22"/>
          <w:szCs w:val="22"/>
        </w:rPr>
        <w:t>ability),是指食品中所含的营养素能够在多大程度上真正在人体代谢中被利用。</w:t>
      </w:r>
      <w:r>
        <w:rPr>
          <w:rFonts w:ascii="宋体" w:eastAsia="宋体" w:hAnsi="宋体" w:cs="宋体"/>
          <w:spacing w:val="8"/>
          <w:sz w:val="22"/>
          <w:szCs w:val="22"/>
        </w:rPr>
        <w:t xml:space="preserve"> </w:t>
      </w:r>
      <w:r>
        <w:rPr>
          <w:rFonts w:ascii="宋体" w:eastAsia="宋体" w:hAnsi="宋体" w:cs="宋体"/>
          <w:spacing w:val="-13"/>
          <w:sz w:val="22"/>
          <w:szCs w:val="22"/>
        </w:rPr>
        <w:t>在不同的食品中、不同的加工烹调方式与不同食物成分同时摄入时，营养素的生</w:t>
      </w:r>
      <w:r>
        <w:rPr>
          <w:rFonts w:ascii="宋体" w:eastAsia="宋体" w:hAnsi="宋体" w:cs="宋体"/>
          <w:spacing w:val="13"/>
          <w:sz w:val="22"/>
          <w:szCs w:val="22"/>
        </w:rPr>
        <w:t xml:space="preserve"> </w:t>
      </w:r>
      <w:r>
        <w:rPr>
          <w:rFonts w:ascii="宋体" w:eastAsia="宋体" w:hAnsi="宋体" w:cs="宋体"/>
          <w:spacing w:val="-15"/>
          <w:sz w:val="22"/>
          <w:szCs w:val="22"/>
        </w:rPr>
        <w:t>物利用率会有很大差别。</w:t>
      </w:r>
    </w:p>
    <w:p w:rsidR="00EA40A3" w:rsidRDefault="00E86C16">
      <w:pPr>
        <w:spacing w:before="109" w:line="219" w:lineRule="auto"/>
        <w:ind w:left="429"/>
        <w:rPr>
          <w:rFonts w:ascii="宋体" w:eastAsia="宋体" w:hAnsi="宋体" w:cs="宋体"/>
          <w:sz w:val="22"/>
          <w:szCs w:val="22"/>
        </w:rPr>
      </w:pPr>
      <w:r>
        <w:rPr>
          <w:rFonts w:ascii="宋体" w:eastAsia="宋体" w:hAnsi="宋体" w:cs="宋体"/>
          <w:spacing w:val="-14"/>
          <w:sz w:val="22"/>
          <w:szCs w:val="22"/>
        </w:rPr>
        <w:t>影响营养素生物利用率的因素主要包括以下几个方面：</w:t>
      </w:r>
    </w:p>
    <w:p w:rsidR="00EA40A3" w:rsidRDefault="00E86C16">
      <w:pPr>
        <w:spacing w:before="49" w:line="236" w:lineRule="auto"/>
        <w:ind w:right="80" w:firstLine="429"/>
        <w:rPr>
          <w:rFonts w:ascii="宋体" w:eastAsia="宋体" w:hAnsi="宋体" w:cs="宋体"/>
          <w:sz w:val="22"/>
          <w:szCs w:val="22"/>
        </w:rPr>
      </w:pPr>
      <w:r>
        <w:rPr>
          <w:rFonts w:ascii="宋体" w:eastAsia="宋体" w:hAnsi="宋体" w:cs="宋体"/>
          <w:spacing w:val="-10"/>
          <w:sz w:val="22"/>
          <w:szCs w:val="22"/>
        </w:rPr>
        <w:t>(1)食品的消化率。例如，虾皮中富含钙、铁、锌等元素，然而由于很难将</w:t>
      </w:r>
      <w:r>
        <w:rPr>
          <w:rFonts w:ascii="宋体" w:eastAsia="宋体" w:hAnsi="宋体" w:cs="宋体"/>
          <w:spacing w:val="18"/>
          <w:sz w:val="22"/>
          <w:szCs w:val="22"/>
        </w:rPr>
        <w:t xml:space="preserve"> </w:t>
      </w:r>
      <w:r>
        <w:rPr>
          <w:rFonts w:ascii="宋体" w:eastAsia="宋体" w:hAnsi="宋体" w:cs="宋体"/>
          <w:spacing w:val="-13"/>
          <w:sz w:val="22"/>
          <w:szCs w:val="22"/>
        </w:rPr>
        <w:t>它彻底嚼碎，其消化率较低，因此其中营养素的生物利用率受到影响。</w:t>
      </w:r>
    </w:p>
    <w:p w:rsidR="00EA40A3" w:rsidRDefault="00E86C16">
      <w:pPr>
        <w:spacing w:before="38" w:line="236" w:lineRule="auto"/>
        <w:ind w:right="80" w:firstLine="429"/>
        <w:rPr>
          <w:rFonts w:ascii="宋体" w:eastAsia="宋体" w:hAnsi="宋体" w:cs="宋体"/>
          <w:sz w:val="22"/>
          <w:szCs w:val="22"/>
        </w:rPr>
      </w:pPr>
      <w:r>
        <w:rPr>
          <w:rFonts w:ascii="宋体" w:eastAsia="宋体" w:hAnsi="宋体" w:cs="宋体"/>
          <w:spacing w:val="-10"/>
          <w:sz w:val="22"/>
          <w:szCs w:val="22"/>
        </w:rPr>
        <w:t>(2)食物中营养素的存在形式。例如，在海带当中，铁主要以不溶性的三价</w:t>
      </w:r>
      <w:r>
        <w:rPr>
          <w:rFonts w:ascii="宋体" w:eastAsia="宋体" w:hAnsi="宋体" w:cs="宋体"/>
          <w:spacing w:val="18"/>
          <w:sz w:val="22"/>
          <w:szCs w:val="22"/>
        </w:rPr>
        <w:t xml:space="preserve"> </w:t>
      </w:r>
      <w:r>
        <w:rPr>
          <w:rFonts w:ascii="宋体" w:eastAsia="宋体" w:hAnsi="宋体" w:cs="宋体"/>
          <w:spacing w:val="-13"/>
          <w:sz w:val="22"/>
          <w:szCs w:val="22"/>
        </w:rPr>
        <w:t>铁复合物存在，其生物利用率较低；而鸡心当中的铁为血红素铁，其生物利用率</w:t>
      </w:r>
    </w:p>
    <w:p w:rsidR="00EA40A3" w:rsidRDefault="00E86C16">
      <w:pPr>
        <w:spacing w:before="63"/>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182</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39" w:bottom="400" w:left="840" w:header="0" w:footer="0" w:gutter="0"/>
          <w:cols w:space="720"/>
        </w:sectPr>
      </w:pPr>
    </w:p>
    <w:p w:rsidR="00EA40A3" w:rsidRDefault="00EA40A3">
      <w:pPr>
        <w:spacing w:line="263" w:lineRule="auto"/>
      </w:pPr>
    </w:p>
    <w:p w:rsidR="00EA40A3" w:rsidRDefault="00EA40A3">
      <w:pPr>
        <w:spacing w:line="264" w:lineRule="auto"/>
      </w:pPr>
    </w:p>
    <w:p w:rsidR="00EA40A3" w:rsidRDefault="00E86C16">
      <w:pPr>
        <w:spacing w:before="68" w:line="219" w:lineRule="auto"/>
        <w:rPr>
          <w:rFonts w:ascii="宋体" w:eastAsia="宋体" w:hAnsi="宋体" w:cs="宋体"/>
        </w:rPr>
      </w:pPr>
      <w:r>
        <w:rPr>
          <w:rFonts w:ascii="宋体" w:eastAsia="宋体" w:hAnsi="宋体" w:cs="宋体"/>
          <w:spacing w:val="-9"/>
        </w:rPr>
        <w:t>较高。</w:t>
      </w:r>
    </w:p>
    <w:p w:rsidR="00EA40A3" w:rsidRDefault="00E86C16">
      <w:pPr>
        <w:spacing w:before="58" w:line="249" w:lineRule="auto"/>
        <w:ind w:right="80" w:firstLine="399"/>
        <w:jc w:val="both"/>
        <w:rPr>
          <w:rFonts w:ascii="宋体" w:eastAsia="宋体" w:hAnsi="宋体" w:cs="宋体"/>
        </w:rPr>
      </w:pPr>
      <w:r>
        <w:rPr>
          <w:rFonts w:ascii="宋体" w:eastAsia="宋体" w:hAnsi="宋体" w:cs="宋体"/>
        </w:rPr>
        <w:t>(3)食物中营养素与其他食物成分共存的状态，是否有干扰或促进吸收的因</w:t>
      </w:r>
      <w:r>
        <w:rPr>
          <w:rFonts w:ascii="宋体" w:eastAsia="宋体" w:hAnsi="宋体" w:cs="宋体"/>
          <w:spacing w:val="5"/>
        </w:rPr>
        <w:t xml:space="preserve"> </w:t>
      </w:r>
      <w:r>
        <w:rPr>
          <w:rFonts w:ascii="宋体" w:eastAsia="宋体" w:hAnsi="宋体" w:cs="宋体"/>
          <w:spacing w:val="-3"/>
        </w:rPr>
        <w:t>素。例如，在菠菜中由于草酸的存在使钙和铁的生物利用率降低，而在牛奶中由</w:t>
      </w:r>
      <w:r>
        <w:rPr>
          <w:rFonts w:ascii="宋体" w:eastAsia="宋体" w:hAnsi="宋体" w:cs="宋体"/>
          <w:spacing w:val="8"/>
        </w:rPr>
        <w:t xml:space="preserve"> </w:t>
      </w:r>
      <w:r>
        <w:rPr>
          <w:rFonts w:ascii="宋体" w:eastAsia="宋体" w:hAnsi="宋体" w:cs="宋体"/>
          <w:spacing w:val="-4"/>
        </w:rPr>
        <w:t>于维生素D 和乳糖的存在促进了钙的吸收。</w:t>
      </w:r>
    </w:p>
    <w:p w:rsidR="00EA40A3" w:rsidRDefault="00E86C16">
      <w:pPr>
        <w:spacing w:before="50" w:line="249" w:lineRule="auto"/>
        <w:ind w:right="89" w:firstLine="399"/>
        <w:jc w:val="both"/>
        <w:rPr>
          <w:rFonts w:ascii="宋体" w:eastAsia="宋体" w:hAnsi="宋体" w:cs="宋体"/>
        </w:rPr>
      </w:pPr>
      <w:r>
        <w:rPr>
          <w:rFonts w:ascii="宋体" w:eastAsia="宋体" w:hAnsi="宋体" w:cs="宋体"/>
        </w:rPr>
        <w:t>(4)人体的需要状况与营养素的供应充足程度。在人体生理需求急迫或是食</w:t>
      </w:r>
      <w:r>
        <w:rPr>
          <w:rFonts w:ascii="宋体" w:eastAsia="宋体" w:hAnsi="宋体" w:cs="宋体"/>
          <w:spacing w:val="13"/>
        </w:rPr>
        <w:t xml:space="preserve"> </w:t>
      </w:r>
      <w:r>
        <w:rPr>
          <w:rFonts w:ascii="宋体" w:eastAsia="宋体" w:hAnsi="宋体" w:cs="宋体"/>
          <w:spacing w:val="-3"/>
        </w:rPr>
        <w:t>物供应不足时，许多营养素的生物利用率提高，反之在供应过量时便降低。例如</w:t>
      </w:r>
      <w:r>
        <w:rPr>
          <w:rFonts w:ascii="宋体" w:eastAsia="宋体" w:hAnsi="宋体" w:cs="宋体"/>
        </w:rPr>
        <w:t xml:space="preserve"> </w:t>
      </w:r>
      <w:r>
        <w:rPr>
          <w:rFonts w:ascii="宋体" w:eastAsia="宋体" w:hAnsi="宋体" w:cs="宋体"/>
          <w:spacing w:val="-3"/>
        </w:rPr>
        <w:t>乳母的钙吸收率比正常人提高，而每天大量服</w:t>
      </w:r>
      <w:r>
        <w:rPr>
          <w:rFonts w:ascii="宋体" w:eastAsia="宋体" w:hAnsi="宋体" w:cs="宋体"/>
          <w:spacing w:val="-4"/>
        </w:rPr>
        <w:t>用钙片会导致钙吸收率下降。</w:t>
      </w:r>
    </w:p>
    <w:p w:rsidR="00EA40A3" w:rsidRDefault="00E86C16">
      <w:pPr>
        <w:spacing w:before="90" w:line="244" w:lineRule="auto"/>
        <w:ind w:firstLine="399"/>
        <w:jc w:val="both"/>
        <w:rPr>
          <w:rFonts w:ascii="宋体" w:eastAsia="宋体" w:hAnsi="宋体" w:cs="宋体"/>
        </w:rPr>
      </w:pPr>
      <w:r>
        <w:rPr>
          <w:rFonts w:ascii="宋体" w:eastAsia="宋体" w:hAnsi="宋体" w:cs="宋体"/>
          <w:spacing w:val="-3"/>
        </w:rPr>
        <w:t>因此，评价一种食物中的营养素在膳食中的意义时，不能仅仅看其营养素的</w:t>
      </w:r>
      <w:r>
        <w:rPr>
          <w:rFonts w:ascii="宋体" w:eastAsia="宋体" w:hAnsi="宋体" w:cs="宋体"/>
          <w:spacing w:val="7"/>
        </w:rPr>
        <w:t xml:space="preserve">  </w:t>
      </w:r>
      <w:r>
        <w:rPr>
          <w:rFonts w:ascii="宋体" w:eastAsia="宋体" w:hAnsi="宋体" w:cs="宋体"/>
          <w:spacing w:val="-1"/>
        </w:rPr>
        <w:t>绝对含量，而要看其在体内可利用的数量。否则，就可能做出错误的食物评价，</w:t>
      </w:r>
      <w:r>
        <w:rPr>
          <w:rFonts w:ascii="宋体" w:eastAsia="宋体" w:hAnsi="宋体" w:cs="宋体"/>
          <w:spacing w:val="18"/>
        </w:rPr>
        <w:t xml:space="preserve"> </w:t>
      </w:r>
      <w:r>
        <w:rPr>
          <w:rFonts w:ascii="宋体" w:eastAsia="宋体" w:hAnsi="宋体" w:cs="宋体"/>
          <w:spacing w:val="-8"/>
        </w:rPr>
        <w:t>从而影响膳食选择。</w:t>
      </w:r>
    </w:p>
    <w:p w:rsidR="00EA40A3" w:rsidRDefault="00E86C16">
      <w:pPr>
        <w:spacing w:before="82" w:line="257" w:lineRule="auto"/>
        <w:ind w:right="59" w:firstLine="399"/>
        <w:jc w:val="both"/>
        <w:rPr>
          <w:rFonts w:ascii="宋体" w:eastAsia="宋体" w:hAnsi="宋体" w:cs="宋体"/>
        </w:rPr>
      </w:pPr>
      <w:r>
        <w:rPr>
          <w:rFonts w:ascii="宋体" w:eastAsia="宋体" w:hAnsi="宋体" w:cs="宋体"/>
          <w:spacing w:val="-4"/>
        </w:rPr>
        <w:t>人类的食物归根到底来自生物界，包括植物、动物和</w:t>
      </w:r>
      <w:r>
        <w:rPr>
          <w:rFonts w:ascii="宋体" w:eastAsia="宋体" w:hAnsi="宋体" w:cs="宋体"/>
          <w:spacing w:val="-5"/>
        </w:rPr>
        <w:t>微生物三大类。按照其</w:t>
      </w:r>
      <w:r>
        <w:rPr>
          <w:rFonts w:ascii="宋体" w:eastAsia="宋体" w:hAnsi="宋体" w:cs="宋体"/>
        </w:rPr>
        <w:t xml:space="preserve">  </w:t>
      </w:r>
      <w:r>
        <w:rPr>
          <w:rFonts w:ascii="宋体" w:eastAsia="宋体" w:hAnsi="宋体" w:cs="宋体"/>
          <w:spacing w:val="1"/>
        </w:rPr>
        <w:t>来源、生物学特点和成分不同，植物性食物又可以分为谷类食品(粮</w:t>
      </w:r>
      <w:r>
        <w:rPr>
          <w:rFonts w:ascii="宋体" w:eastAsia="宋体" w:hAnsi="宋体" w:cs="宋体"/>
        </w:rPr>
        <w:t xml:space="preserve">食类食品), </w:t>
      </w:r>
      <w:r>
        <w:rPr>
          <w:rFonts w:ascii="宋体" w:eastAsia="宋体" w:hAnsi="宋体" w:cs="宋体"/>
          <w:spacing w:val="-3"/>
        </w:rPr>
        <w:t>薯类食品、豆类食品、蔬菜类食品、来自微生物的菌类食品、水果类食品</w:t>
      </w:r>
      <w:r>
        <w:rPr>
          <w:rFonts w:ascii="宋体" w:eastAsia="宋体" w:hAnsi="宋体" w:cs="宋体"/>
          <w:spacing w:val="-4"/>
        </w:rPr>
        <w:t>和坚果</w:t>
      </w:r>
      <w:r>
        <w:rPr>
          <w:rFonts w:ascii="宋体" w:eastAsia="宋体" w:hAnsi="宋体" w:cs="宋体"/>
        </w:rPr>
        <w:t xml:space="preserve"> </w:t>
      </w:r>
      <w:r>
        <w:rPr>
          <w:rFonts w:ascii="宋体" w:eastAsia="宋体" w:hAnsi="宋体" w:cs="宋体"/>
          <w:spacing w:val="-3"/>
        </w:rPr>
        <w:t>类食品；动物性食品则可以分为肉类食品、水产类食品、乳类食品和蛋类食品等</w:t>
      </w:r>
      <w:r>
        <w:rPr>
          <w:rFonts w:ascii="宋体" w:eastAsia="宋体" w:hAnsi="宋体" w:cs="宋体"/>
          <w:spacing w:val="13"/>
        </w:rPr>
        <w:t xml:space="preserve"> </w:t>
      </w:r>
      <w:r>
        <w:rPr>
          <w:rFonts w:ascii="宋体" w:eastAsia="宋体" w:hAnsi="宋体" w:cs="宋体"/>
          <w:spacing w:val="-3"/>
        </w:rPr>
        <w:t>几类。每一大类食物在营养价值上有一定共性，其中每个品种之间又有其细微的</w:t>
      </w:r>
      <w:r>
        <w:rPr>
          <w:rFonts w:ascii="宋体" w:eastAsia="宋体" w:hAnsi="宋体" w:cs="宋体"/>
        </w:rPr>
        <w:t xml:space="preserve"> </w:t>
      </w:r>
      <w:r>
        <w:rPr>
          <w:rFonts w:ascii="宋体" w:eastAsia="宋体" w:hAnsi="宋体" w:cs="宋体"/>
          <w:spacing w:val="-3"/>
        </w:rPr>
        <w:t>差异。本书中为节约篇幅；把豆类和坚果类、蔬菜和水果类以及肉蛋水</w:t>
      </w:r>
      <w:r>
        <w:rPr>
          <w:rFonts w:ascii="宋体" w:eastAsia="宋体" w:hAnsi="宋体" w:cs="宋体"/>
          <w:spacing w:val="-4"/>
        </w:rPr>
        <w:t>产类放在</w:t>
      </w:r>
      <w:r>
        <w:rPr>
          <w:rFonts w:ascii="宋体" w:eastAsia="宋体" w:hAnsi="宋体" w:cs="宋体"/>
        </w:rPr>
        <w:t xml:space="preserve"> </w:t>
      </w:r>
      <w:r>
        <w:rPr>
          <w:rFonts w:ascii="宋体" w:eastAsia="宋体" w:hAnsi="宋体" w:cs="宋体"/>
          <w:spacing w:val="-3"/>
        </w:rPr>
        <w:t>一起进行讨论，而薯类食品和菌类食品作为蔬菜的一部分进行讨论。</w:t>
      </w:r>
    </w:p>
    <w:p w:rsidR="00EA40A3" w:rsidRDefault="00EA40A3">
      <w:pPr>
        <w:spacing w:line="278" w:lineRule="auto"/>
      </w:pPr>
    </w:p>
    <w:p w:rsidR="00EA40A3" w:rsidRDefault="00E86C16">
      <w:pPr>
        <w:spacing w:before="91" w:line="218" w:lineRule="auto"/>
        <w:ind w:left="2089"/>
        <w:rPr>
          <w:rFonts w:ascii="宋体" w:eastAsia="宋体" w:hAnsi="宋体" w:cs="宋体"/>
          <w:sz w:val="28"/>
          <w:szCs w:val="28"/>
        </w:rPr>
      </w:pPr>
      <w:r>
        <w:rPr>
          <w:rFonts w:ascii="宋体" w:eastAsia="宋体" w:hAnsi="宋体" w:cs="宋体"/>
          <w:spacing w:val="-3"/>
          <w:sz w:val="28"/>
          <w:szCs w:val="28"/>
        </w:rPr>
        <w:t>6.2</w:t>
      </w:r>
      <w:r>
        <w:rPr>
          <w:rFonts w:ascii="宋体" w:eastAsia="宋体" w:hAnsi="宋体" w:cs="宋体"/>
          <w:spacing w:val="123"/>
          <w:sz w:val="28"/>
          <w:szCs w:val="28"/>
        </w:rPr>
        <w:t xml:space="preserve"> </w:t>
      </w:r>
      <w:r>
        <w:rPr>
          <w:rFonts w:ascii="宋体" w:eastAsia="宋体" w:hAnsi="宋体" w:cs="宋体"/>
          <w:spacing w:val="-3"/>
          <w:sz w:val="28"/>
          <w:szCs w:val="28"/>
        </w:rPr>
        <w:t>谷类食品的营养价值</w:t>
      </w:r>
    </w:p>
    <w:p w:rsidR="00EA40A3" w:rsidRDefault="00E86C16">
      <w:pPr>
        <w:spacing w:before="308" w:line="255" w:lineRule="auto"/>
        <w:ind w:right="66" w:firstLine="399"/>
        <w:jc w:val="both"/>
        <w:rPr>
          <w:rFonts w:ascii="宋体" w:eastAsia="宋体" w:hAnsi="宋体" w:cs="宋体"/>
        </w:rPr>
      </w:pPr>
      <w:r>
        <w:rPr>
          <w:rFonts w:ascii="宋体" w:eastAsia="宋体" w:hAnsi="宋体" w:cs="宋体"/>
          <w:spacing w:val="4"/>
        </w:rPr>
        <w:t>谷类主要指单子叶禾本科植物的种子，包括稻谷、小</w:t>
      </w:r>
      <w:r>
        <w:rPr>
          <w:rFonts w:ascii="宋体" w:eastAsia="宋体" w:hAnsi="宋体" w:cs="宋体"/>
          <w:spacing w:val="3"/>
        </w:rPr>
        <w:t>麦、大麦、小米、高</w:t>
      </w:r>
      <w:r>
        <w:rPr>
          <w:rFonts w:ascii="宋体" w:eastAsia="宋体" w:hAnsi="宋体" w:cs="宋体"/>
        </w:rPr>
        <w:t xml:space="preserve"> </w:t>
      </w:r>
      <w:r>
        <w:rPr>
          <w:rFonts w:ascii="宋体" w:eastAsia="宋体" w:hAnsi="宋体" w:cs="宋体"/>
          <w:spacing w:val="-3"/>
        </w:rPr>
        <w:t>粱、玉米、糜子、燕麦等，也包括少数虽然不属于禾本科，但是习</w:t>
      </w:r>
      <w:r>
        <w:rPr>
          <w:rFonts w:ascii="宋体" w:eastAsia="宋体" w:hAnsi="宋体" w:cs="宋体"/>
          <w:spacing w:val="-4"/>
        </w:rPr>
        <w:t>惯于作为主食</w:t>
      </w:r>
      <w:r>
        <w:rPr>
          <w:rFonts w:ascii="宋体" w:eastAsia="宋体" w:hAnsi="宋体" w:cs="宋体"/>
        </w:rPr>
        <w:t xml:space="preserve"> </w:t>
      </w:r>
      <w:r>
        <w:rPr>
          <w:rFonts w:ascii="宋体" w:eastAsia="宋体" w:hAnsi="宋体" w:cs="宋体"/>
          <w:spacing w:val="-2"/>
        </w:rPr>
        <w:t>的植物种子，如属于双子叶蓼科植物的荞麦。谷类种</w:t>
      </w:r>
      <w:r>
        <w:rPr>
          <w:rFonts w:ascii="宋体" w:eastAsia="宋体" w:hAnsi="宋体" w:cs="宋体"/>
          <w:spacing w:val="-3"/>
        </w:rPr>
        <w:t>子中储备有丰富的养分，以</w:t>
      </w:r>
      <w:r>
        <w:rPr>
          <w:rFonts w:ascii="宋体" w:eastAsia="宋体" w:hAnsi="宋体" w:cs="宋体"/>
        </w:rPr>
        <w:t xml:space="preserve"> </w:t>
      </w:r>
      <w:r>
        <w:rPr>
          <w:rFonts w:ascii="宋体" w:eastAsia="宋体" w:hAnsi="宋体" w:cs="宋体"/>
          <w:spacing w:val="-3"/>
        </w:rPr>
        <w:t>便供第二代植物萌发时使用。其中最重要的养分是淀粉，也含有蛋白质等其他营</w:t>
      </w:r>
      <w:r>
        <w:rPr>
          <w:rFonts w:ascii="宋体" w:eastAsia="宋体" w:hAnsi="宋体" w:cs="宋体"/>
          <w:spacing w:val="17"/>
        </w:rPr>
        <w:t xml:space="preserve"> </w:t>
      </w:r>
      <w:r>
        <w:rPr>
          <w:rFonts w:ascii="宋体" w:eastAsia="宋体" w:hAnsi="宋体" w:cs="宋体"/>
          <w:spacing w:val="-13"/>
        </w:rPr>
        <w:t>养成分。</w:t>
      </w:r>
    </w:p>
    <w:p w:rsidR="00EA40A3" w:rsidRDefault="00E86C16">
      <w:pPr>
        <w:spacing w:before="92" w:line="253" w:lineRule="auto"/>
        <w:ind w:right="86" w:firstLine="399"/>
        <w:jc w:val="both"/>
        <w:rPr>
          <w:rFonts w:ascii="宋体" w:eastAsia="宋体" w:hAnsi="宋体" w:cs="宋体"/>
        </w:rPr>
      </w:pPr>
      <w:r>
        <w:rPr>
          <w:rFonts w:ascii="宋体" w:eastAsia="宋体" w:hAnsi="宋体" w:cs="宋体"/>
          <w:spacing w:val="4"/>
        </w:rPr>
        <w:t>谷类在我国人民的膳食中占有突出重要的地位</w:t>
      </w:r>
      <w:r>
        <w:rPr>
          <w:rFonts w:ascii="宋体" w:eastAsia="宋体" w:hAnsi="宋体" w:cs="宋体"/>
          <w:spacing w:val="3"/>
        </w:rPr>
        <w:t>，每日摄入量为250～500g,</w:t>
      </w:r>
      <w:r>
        <w:rPr>
          <w:rFonts w:ascii="宋体" w:eastAsia="宋体" w:hAnsi="宋体" w:cs="宋体"/>
        </w:rPr>
        <w:t xml:space="preserve"> </w:t>
      </w:r>
      <w:r>
        <w:rPr>
          <w:rFonts w:ascii="宋体" w:eastAsia="宋体" w:hAnsi="宋体" w:cs="宋体"/>
          <w:spacing w:val="3"/>
        </w:rPr>
        <w:t>按干重计算，是各种食物中摄入量最大的一种，故而被称为主食。在正</w:t>
      </w:r>
      <w:r>
        <w:rPr>
          <w:rFonts w:ascii="宋体" w:eastAsia="宋体" w:hAnsi="宋体" w:cs="宋体"/>
          <w:spacing w:val="2"/>
        </w:rPr>
        <w:t>常情况</w:t>
      </w:r>
      <w:r>
        <w:rPr>
          <w:rFonts w:ascii="宋体" w:eastAsia="宋体" w:hAnsi="宋体" w:cs="宋体"/>
        </w:rPr>
        <w:t xml:space="preserve"> </w:t>
      </w:r>
      <w:r>
        <w:rPr>
          <w:rFonts w:ascii="宋体" w:eastAsia="宋体" w:hAnsi="宋体" w:cs="宋体"/>
          <w:spacing w:val="14"/>
        </w:rPr>
        <w:t>下，主食为我国人民提供了膳食中50%～70%的能量、40%～60</w:t>
      </w:r>
      <w:r>
        <w:rPr>
          <w:rFonts w:ascii="宋体" w:eastAsia="宋体" w:hAnsi="宋体" w:cs="宋体"/>
          <w:spacing w:val="13"/>
        </w:rPr>
        <w:t>%的蛋白质和</w:t>
      </w:r>
      <w:r>
        <w:rPr>
          <w:rFonts w:ascii="宋体" w:eastAsia="宋体" w:hAnsi="宋体" w:cs="宋体"/>
        </w:rPr>
        <w:t xml:space="preserve"> </w:t>
      </w:r>
      <w:r>
        <w:rPr>
          <w:rFonts w:ascii="宋体" w:eastAsia="宋体" w:hAnsi="宋体" w:cs="宋体"/>
          <w:spacing w:val="1"/>
        </w:rPr>
        <w:t>50%以上的维生素B</w:t>
      </w:r>
      <w:r>
        <w:rPr>
          <w:rFonts w:ascii="Calibri" w:eastAsia="Calibri" w:hAnsi="Calibri" w:cs="Calibri"/>
          <w:spacing w:val="1"/>
        </w:rPr>
        <w:t>₁</w:t>
      </w:r>
      <w:r>
        <w:rPr>
          <w:rFonts w:ascii="宋体" w:eastAsia="宋体" w:hAnsi="宋体" w:cs="宋体"/>
          <w:spacing w:val="1"/>
        </w:rPr>
        <w:t>,</w:t>
      </w:r>
      <w:r>
        <w:rPr>
          <w:rFonts w:ascii="宋体" w:eastAsia="宋体" w:hAnsi="宋体" w:cs="宋体"/>
          <w:spacing w:val="66"/>
        </w:rPr>
        <w:t xml:space="preserve"> </w:t>
      </w:r>
      <w:r>
        <w:rPr>
          <w:rFonts w:ascii="宋体" w:eastAsia="宋体" w:hAnsi="宋体" w:cs="宋体"/>
          <w:spacing w:val="1"/>
        </w:rPr>
        <w:t>故而在营养供应当中</w:t>
      </w:r>
      <w:r>
        <w:rPr>
          <w:rFonts w:ascii="宋体" w:eastAsia="宋体" w:hAnsi="宋体" w:cs="宋体"/>
        </w:rPr>
        <w:t>占有特别重要的地位。</w:t>
      </w:r>
    </w:p>
    <w:p w:rsidR="00EA40A3" w:rsidRDefault="00E86C16">
      <w:pPr>
        <w:spacing w:before="176" w:line="222" w:lineRule="auto"/>
        <w:ind w:left="3"/>
        <w:outlineLvl w:val="6"/>
        <w:rPr>
          <w:rFonts w:ascii="黑体" w:eastAsia="黑体" w:hAnsi="黑体" w:cs="黑体"/>
          <w:sz w:val="25"/>
          <w:szCs w:val="25"/>
        </w:rPr>
      </w:pPr>
      <w:r>
        <w:rPr>
          <w:rFonts w:ascii="黑体" w:eastAsia="黑体" w:hAnsi="黑体" w:cs="黑体"/>
          <w:b/>
          <w:bCs/>
          <w:spacing w:val="-10"/>
          <w:sz w:val="25"/>
          <w:szCs w:val="25"/>
        </w:rPr>
        <w:t>6.2.1</w:t>
      </w:r>
      <w:r>
        <w:rPr>
          <w:rFonts w:ascii="黑体" w:eastAsia="黑体" w:hAnsi="黑体" w:cs="黑体"/>
          <w:spacing w:val="78"/>
          <w:sz w:val="25"/>
          <w:szCs w:val="25"/>
        </w:rPr>
        <w:t xml:space="preserve"> </w:t>
      </w:r>
      <w:r>
        <w:rPr>
          <w:rFonts w:ascii="黑体" w:eastAsia="黑体" w:hAnsi="黑体" w:cs="黑体"/>
          <w:b/>
          <w:bCs/>
          <w:spacing w:val="-10"/>
          <w:sz w:val="25"/>
          <w:szCs w:val="25"/>
        </w:rPr>
        <w:t>谷粒的构造</w:t>
      </w:r>
    </w:p>
    <w:p w:rsidR="00EA40A3" w:rsidRDefault="00E86C16">
      <w:pPr>
        <w:spacing w:before="221" w:line="243" w:lineRule="auto"/>
        <w:ind w:right="94" w:firstLine="399"/>
        <w:jc w:val="both"/>
        <w:rPr>
          <w:rFonts w:ascii="宋体" w:eastAsia="宋体" w:hAnsi="宋体" w:cs="宋体"/>
        </w:rPr>
      </w:pPr>
      <w:r>
        <w:rPr>
          <w:rFonts w:ascii="宋体" w:eastAsia="宋体" w:hAnsi="宋体" w:cs="宋体"/>
        </w:rPr>
        <w:t>谷粒结构的共同特点是具有谷皮、糊粉层、谷胚和胚乳4个主要部分。谷皮</w:t>
      </w:r>
      <w:r>
        <w:rPr>
          <w:rFonts w:ascii="宋体" w:eastAsia="宋体" w:hAnsi="宋体" w:cs="宋体"/>
          <w:spacing w:val="14"/>
        </w:rPr>
        <w:t xml:space="preserve"> </w:t>
      </w:r>
      <w:r>
        <w:rPr>
          <w:rFonts w:ascii="宋体" w:eastAsia="宋体" w:hAnsi="宋体" w:cs="宋体"/>
          <w:spacing w:val="-3"/>
        </w:rPr>
        <w:t>包括植物学上的果皮和种皮，糊粉层紧贴谷皮，处于胚乳的外层；</w:t>
      </w:r>
      <w:r>
        <w:rPr>
          <w:rFonts w:ascii="宋体" w:eastAsia="宋体" w:hAnsi="宋体" w:cs="宋体"/>
          <w:spacing w:val="-4"/>
        </w:rPr>
        <w:t>胚则处于种子</w:t>
      </w:r>
      <w:r>
        <w:rPr>
          <w:rFonts w:ascii="宋体" w:eastAsia="宋体" w:hAnsi="宋体" w:cs="宋体"/>
        </w:rPr>
        <w:t xml:space="preserve"> </w:t>
      </w:r>
      <w:r>
        <w:rPr>
          <w:rFonts w:ascii="宋体" w:eastAsia="宋体" w:hAnsi="宋体" w:cs="宋体"/>
          <w:spacing w:val="-8"/>
        </w:rPr>
        <w:t>下端的一侧边缘。</w:t>
      </w:r>
    </w:p>
    <w:p w:rsidR="00EA40A3" w:rsidRDefault="00E86C16">
      <w:pPr>
        <w:spacing w:before="89" w:line="246" w:lineRule="auto"/>
        <w:ind w:right="96" w:firstLine="399"/>
        <w:jc w:val="both"/>
        <w:rPr>
          <w:rFonts w:ascii="宋体" w:eastAsia="宋体" w:hAnsi="宋体" w:cs="宋体"/>
        </w:rPr>
      </w:pPr>
      <w:r>
        <w:rPr>
          <w:rFonts w:ascii="宋体" w:eastAsia="宋体" w:hAnsi="宋体" w:cs="宋体"/>
          <w:spacing w:val="-3"/>
        </w:rPr>
        <w:t>稻米和小麦在除去外壳之后称为糙米和全麦，再经过碾臼，除去外层较为粗</w:t>
      </w:r>
      <w:r>
        <w:rPr>
          <w:rFonts w:ascii="宋体" w:eastAsia="宋体" w:hAnsi="宋体" w:cs="宋体"/>
          <w:spacing w:val="6"/>
        </w:rPr>
        <w:t xml:space="preserve"> </w:t>
      </w:r>
      <w:r>
        <w:rPr>
          <w:rFonts w:ascii="宋体" w:eastAsia="宋体" w:hAnsi="宋体" w:cs="宋体"/>
          <w:spacing w:val="3"/>
        </w:rPr>
        <w:t>硬的部分，保留中间颜色较白的胚乳部分，便成为日常食用的精白米</w:t>
      </w:r>
      <w:r>
        <w:rPr>
          <w:rFonts w:ascii="宋体" w:eastAsia="宋体" w:hAnsi="宋体" w:cs="宋体"/>
          <w:spacing w:val="2"/>
        </w:rPr>
        <w:t>和精白面</w:t>
      </w:r>
    </w:p>
    <w:p w:rsidR="00EA40A3" w:rsidRDefault="00E86C16">
      <w:pPr>
        <w:spacing w:before="78"/>
        <w:ind w:right="81"/>
        <w:jc w:val="right"/>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183</w:t>
      </w:r>
      <w:r>
        <w:rPr>
          <w:rFonts w:ascii="宋体" w:eastAsia="宋体" w:hAnsi="宋体" w:cs="宋体"/>
          <w:spacing w:val="50"/>
          <w:sz w:val="18"/>
          <w:szCs w:val="18"/>
        </w:rPr>
        <w:t xml:space="preserve"> </w:t>
      </w:r>
      <w:r>
        <w:rPr>
          <w:rFonts w:ascii="宋体" w:eastAsia="宋体" w:hAnsi="宋体" w:cs="宋体"/>
          <w:spacing w:val="-27"/>
          <w:sz w:val="18"/>
          <w:szCs w:val="18"/>
        </w:rPr>
        <w:t>·</w:t>
      </w:r>
    </w:p>
    <w:p w:rsidR="00EA40A3" w:rsidRDefault="00EA40A3">
      <w:pPr>
        <w:sectPr w:rsidR="00EA40A3">
          <w:pgSz w:w="9220" w:h="13360"/>
          <w:pgMar w:top="400" w:right="955" w:bottom="400" w:left="930" w:header="0" w:footer="0" w:gutter="0"/>
          <w:cols w:space="720"/>
        </w:sectPr>
      </w:pPr>
    </w:p>
    <w:p w:rsidR="00EA40A3" w:rsidRDefault="00EA40A3">
      <w:pPr>
        <w:spacing w:line="268" w:lineRule="auto"/>
      </w:pPr>
    </w:p>
    <w:p w:rsidR="00EA40A3" w:rsidRDefault="00EA40A3">
      <w:pPr>
        <w:spacing w:line="269" w:lineRule="auto"/>
      </w:pPr>
    </w:p>
    <w:p w:rsidR="00EA40A3" w:rsidRDefault="00E86C16">
      <w:pPr>
        <w:spacing w:before="68" w:line="243" w:lineRule="auto"/>
        <w:ind w:left="105" w:right="108"/>
        <w:rPr>
          <w:rFonts w:ascii="宋体" w:eastAsia="宋体" w:hAnsi="宋体" w:cs="宋体"/>
        </w:rPr>
      </w:pPr>
      <w:r>
        <w:rPr>
          <w:rFonts w:ascii="宋体" w:eastAsia="宋体" w:hAnsi="宋体" w:cs="宋体"/>
          <w:spacing w:val="-3"/>
        </w:rPr>
        <w:t>粉，此时种皮、糊粉层和大部分胚随着糠麸被除去。在碾米</w:t>
      </w:r>
      <w:r>
        <w:rPr>
          <w:rFonts w:ascii="宋体" w:eastAsia="宋体" w:hAnsi="宋体" w:cs="宋体"/>
          <w:spacing w:val="-4"/>
        </w:rPr>
        <w:t>各成分中，糠层约占</w:t>
      </w:r>
      <w:r>
        <w:rPr>
          <w:rFonts w:ascii="宋体" w:eastAsia="宋体" w:hAnsi="宋体" w:cs="宋体"/>
        </w:rPr>
        <w:t xml:space="preserve"> </w:t>
      </w:r>
      <w:r>
        <w:rPr>
          <w:rFonts w:ascii="宋体" w:eastAsia="宋体" w:hAnsi="宋体" w:cs="宋体"/>
          <w:spacing w:val="24"/>
        </w:rPr>
        <w:t>稻米质量的5%～6%,胚和胚乳分别占2%～3%和91%～92%。</w:t>
      </w:r>
    </w:p>
    <w:p w:rsidR="00EA40A3" w:rsidRDefault="00E86C16">
      <w:pPr>
        <w:spacing w:before="68" w:line="252" w:lineRule="auto"/>
        <w:ind w:right="35" w:firstLine="505"/>
        <w:jc w:val="both"/>
        <w:rPr>
          <w:rFonts w:ascii="宋体" w:eastAsia="宋体" w:hAnsi="宋体" w:cs="宋体"/>
        </w:rPr>
      </w:pPr>
      <w:r>
        <w:rPr>
          <w:rFonts w:ascii="宋体" w:eastAsia="宋体" w:hAnsi="宋体" w:cs="宋体"/>
          <w:spacing w:val="3"/>
        </w:rPr>
        <w:t>稻米和小麦是世界上最重要的两种谷类作物。因为它们可以被“精磨”或</w:t>
      </w:r>
      <w:r>
        <w:rPr>
          <w:rFonts w:ascii="宋体" w:eastAsia="宋体" w:hAnsi="宋体" w:cs="宋体"/>
          <w:spacing w:val="13"/>
        </w:rPr>
        <w:t xml:space="preserve"> </w:t>
      </w:r>
      <w:r>
        <w:rPr>
          <w:rFonts w:ascii="宋体" w:eastAsia="宋体" w:hAnsi="宋体" w:cs="宋体"/>
          <w:spacing w:val="-1"/>
        </w:rPr>
        <w:t>“碾臼”,精制之后口感细腻柔软，因此被称为“细粮”。除了稻米和</w:t>
      </w:r>
      <w:r>
        <w:rPr>
          <w:rFonts w:ascii="宋体" w:eastAsia="宋体" w:hAnsi="宋体" w:cs="宋体"/>
          <w:spacing w:val="-2"/>
        </w:rPr>
        <w:t>小麦之外，</w:t>
      </w:r>
      <w:r>
        <w:rPr>
          <w:rFonts w:ascii="宋体" w:eastAsia="宋体" w:hAnsi="宋体" w:cs="宋体"/>
        </w:rPr>
        <w:t xml:space="preserve"> 玉米、小米等其他谷类没有经过精白处理，完整地保留了外层部分，因而口感较</w:t>
      </w:r>
      <w:r>
        <w:rPr>
          <w:rFonts w:ascii="宋体" w:eastAsia="宋体" w:hAnsi="宋体" w:cs="宋体"/>
          <w:spacing w:val="2"/>
        </w:rPr>
        <w:t xml:space="preserve"> </w:t>
      </w:r>
      <w:r>
        <w:rPr>
          <w:rFonts w:ascii="宋体" w:eastAsia="宋体" w:hAnsi="宋体" w:cs="宋体"/>
          <w:spacing w:val="-7"/>
        </w:rPr>
        <w:t>粗，被称为“粗粮”。</w:t>
      </w:r>
    </w:p>
    <w:p w:rsidR="00EA40A3" w:rsidRDefault="00E86C16">
      <w:pPr>
        <w:spacing w:before="93" w:line="254" w:lineRule="auto"/>
        <w:ind w:left="104" w:firstLine="400"/>
        <w:jc w:val="both"/>
        <w:rPr>
          <w:rFonts w:ascii="宋体" w:eastAsia="宋体" w:hAnsi="宋体" w:cs="宋体"/>
        </w:rPr>
      </w:pPr>
      <w:r>
        <w:rPr>
          <w:rFonts w:ascii="宋体" w:eastAsia="宋体" w:hAnsi="宋体" w:cs="宋体"/>
          <w:spacing w:val="-2"/>
        </w:rPr>
        <w:t>谷粒最外层的谷皮主要由纤维素、半纤维素构成，含较多的</w:t>
      </w:r>
      <w:r>
        <w:rPr>
          <w:rFonts w:ascii="宋体" w:eastAsia="宋体" w:hAnsi="宋体" w:cs="宋体"/>
          <w:spacing w:val="-3"/>
        </w:rPr>
        <w:t>矿物质、脂肪和</w:t>
      </w:r>
      <w:r>
        <w:rPr>
          <w:rFonts w:ascii="宋体" w:eastAsia="宋体" w:hAnsi="宋体" w:cs="宋体"/>
        </w:rPr>
        <w:t xml:space="preserve">  维生素。谷皮不含淀粉，其中纤维和植酸含量高，因而在加工中作</w:t>
      </w:r>
      <w:r>
        <w:rPr>
          <w:rFonts w:ascii="宋体" w:eastAsia="宋体" w:hAnsi="宋体" w:cs="宋体"/>
          <w:spacing w:val="-1"/>
        </w:rPr>
        <w:t>为糠麸除去。</w:t>
      </w:r>
      <w:r>
        <w:rPr>
          <w:rFonts w:ascii="宋体" w:eastAsia="宋体" w:hAnsi="宋体" w:cs="宋体"/>
        </w:rPr>
        <w:t xml:space="preserve"> </w:t>
      </w:r>
      <w:r>
        <w:rPr>
          <w:rFonts w:ascii="宋体" w:eastAsia="宋体" w:hAnsi="宋体" w:cs="宋体"/>
          <w:spacing w:val="-4"/>
        </w:rPr>
        <w:t>在加工精度不高的谷物中，允许保留少量谷皮成分。</w:t>
      </w:r>
    </w:p>
    <w:p w:rsidR="00EA40A3" w:rsidRDefault="00E86C16">
      <w:pPr>
        <w:spacing w:before="60" w:line="249" w:lineRule="auto"/>
        <w:ind w:left="105" w:firstLine="400"/>
        <w:jc w:val="both"/>
        <w:rPr>
          <w:rFonts w:ascii="宋体" w:eastAsia="宋体" w:hAnsi="宋体" w:cs="宋体"/>
        </w:rPr>
      </w:pPr>
      <w:r>
        <w:rPr>
          <w:rFonts w:ascii="宋体" w:eastAsia="宋体" w:hAnsi="宋体" w:cs="宋体"/>
          <w:spacing w:val="-3"/>
        </w:rPr>
        <w:t>糊粉层介于胚乳淀粉细胞和皮层之间，含蛋白质、脂类物质、矿物质和维生</w:t>
      </w:r>
      <w:r>
        <w:rPr>
          <w:rFonts w:ascii="宋体" w:eastAsia="宋体" w:hAnsi="宋体" w:cs="宋体"/>
          <w:spacing w:val="8"/>
        </w:rPr>
        <w:t xml:space="preserve">  </w:t>
      </w:r>
      <w:r>
        <w:rPr>
          <w:rFonts w:ascii="宋体" w:eastAsia="宋体" w:hAnsi="宋体" w:cs="宋体"/>
        </w:rPr>
        <w:t>素，营养价值高。但糊粉层细胞的细胞壁较厚，不易消化，而且含</w:t>
      </w:r>
      <w:r>
        <w:rPr>
          <w:rFonts w:ascii="宋体" w:eastAsia="宋体" w:hAnsi="宋体" w:cs="宋体"/>
          <w:spacing w:val="-1"/>
        </w:rPr>
        <w:t>有较多酶类，</w:t>
      </w:r>
      <w:r>
        <w:rPr>
          <w:rFonts w:ascii="宋体" w:eastAsia="宋体" w:hAnsi="宋体" w:cs="宋体"/>
        </w:rPr>
        <w:t xml:space="preserve"> </w:t>
      </w:r>
      <w:r>
        <w:rPr>
          <w:rFonts w:ascii="宋体" w:eastAsia="宋体" w:hAnsi="宋体" w:cs="宋体"/>
          <w:spacing w:val="-3"/>
        </w:rPr>
        <w:t>影响产品的储藏性能，因而在精加工中常常和谷皮一起磨去。</w:t>
      </w:r>
    </w:p>
    <w:p w:rsidR="00EA40A3" w:rsidRDefault="00E86C16">
      <w:pPr>
        <w:spacing w:before="68" w:line="264" w:lineRule="auto"/>
        <w:ind w:left="104" w:right="72" w:firstLine="400"/>
        <w:jc w:val="both"/>
        <w:rPr>
          <w:rFonts w:ascii="宋体" w:eastAsia="宋体" w:hAnsi="宋体" w:cs="宋体"/>
        </w:rPr>
      </w:pPr>
      <w:r>
        <w:rPr>
          <w:rFonts w:ascii="宋体" w:eastAsia="宋体" w:hAnsi="宋体" w:cs="宋体"/>
          <w:spacing w:val="-3"/>
        </w:rPr>
        <w:t>谷胚是种子中生理活性最强、营养价值最高的部分，含有丰富的脂肪、维生</w:t>
      </w:r>
      <w:r>
        <w:rPr>
          <w:rFonts w:ascii="宋体" w:eastAsia="宋体" w:hAnsi="宋体" w:cs="宋体"/>
          <w:spacing w:val="17"/>
        </w:rPr>
        <w:t xml:space="preserve"> </w:t>
      </w:r>
      <w:r>
        <w:rPr>
          <w:rFonts w:ascii="宋体" w:eastAsia="宋体" w:hAnsi="宋体" w:cs="宋体"/>
        </w:rPr>
        <w:t>素</w:t>
      </w:r>
      <w:r>
        <w:rPr>
          <w:rFonts w:ascii="宋体" w:eastAsia="宋体" w:hAnsi="宋体" w:cs="宋体"/>
          <w:spacing w:val="-39"/>
        </w:rPr>
        <w:t xml:space="preserve"> </w:t>
      </w:r>
      <w:r>
        <w:rPr>
          <w:rFonts w:ascii="宋体" w:eastAsia="宋体" w:hAnsi="宋体" w:cs="宋体"/>
        </w:rPr>
        <w:t>B</w:t>
      </w:r>
      <w:r>
        <w:rPr>
          <w:rFonts w:ascii="Calibri" w:eastAsia="Calibri" w:hAnsi="Calibri" w:cs="Calibri"/>
        </w:rPr>
        <w:t>₁</w:t>
      </w:r>
      <w:r>
        <w:rPr>
          <w:rFonts w:ascii="Calibri" w:eastAsia="Calibri" w:hAnsi="Calibri" w:cs="Calibri"/>
          <w:spacing w:val="11"/>
        </w:rPr>
        <w:t xml:space="preserve">  </w:t>
      </w:r>
      <w:r>
        <w:rPr>
          <w:rFonts w:ascii="宋体" w:eastAsia="宋体" w:hAnsi="宋体" w:cs="宋体"/>
        </w:rPr>
        <w:t xml:space="preserve">和矿物质，蛋白质和可溶性糖也较多。谷胚蛋白质与胚乳蛋白质的成分不 </w:t>
      </w:r>
      <w:r>
        <w:rPr>
          <w:rFonts w:ascii="宋体" w:eastAsia="宋体" w:hAnsi="宋体" w:cs="宋体"/>
          <w:spacing w:val="-3"/>
        </w:rPr>
        <w:t>同，其中富含赖氨酸，生物价值很高。在食品加工当中，谷胚常被作为食品的营</w:t>
      </w:r>
      <w:r>
        <w:rPr>
          <w:rFonts w:ascii="宋体" w:eastAsia="宋体" w:hAnsi="宋体" w:cs="宋体"/>
          <w:spacing w:val="7"/>
        </w:rPr>
        <w:t xml:space="preserve"> </w:t>
      </w:r>
      <w:r>
        <w:rPr>
          <w:rFonts w:ascii="宋体" w:eastAsia="宋体" w:hAnsi="宋体" w:cs="宋体"/>
          <w:spacing w:val="-2"/>
        </w:rPr>
        <w:t>养补充剂添加到多种主食品当中。在精白处理中，谷胚大部分</w:t>
      </w:r>
      <w:r>
        <w:rPr>
          <w:rFonts w:ascii="宋体" w:eastAsia="宋体" w:hAnsi="宋体" w:cs="宋体"/>
          <w:spacing w:val="-3"/>
        </w:rPr>
        <w:t>被除去，降低了产</w:t>
      </w:r>
      <w:r>
        <w:rPr>
          <w:rFonts w:ascii="宋体" w:eastAsia="宋体" w:hAnsi="宋体" w:cs="宋体"/>
        </w:rPr>
        <w:t xml:space="preserve"> </w:t>
      </w:r>
      <w:r>
        <w:rPr>
          <w:rFonts w:ascii="宋体" w:eastAsia="宋体" w:hAnsi="宋体" w:cs="宋体"/>
          <w:spacing w:val="-3"/>
        </w:rPr>
        <w:t>品的营养价值，但可提高产品的储藏性，因为胚的吸湿性较强，其中的脂肪还可</w:t>
      </w:r>
      <w:r>
        <w:rPr>
          <w:rFonts w:ascii="宋体" w:eastAsia="宋体" w:hAnsi="宋体" w:cs="宋体"/>
          <w:spacing w:val="2"/>
        </w:rPr>
        <w:t xml:space="preserve"> </w:t>
      </w:r>
      <w:r>
        <w:rPr>
          <w:rFonts w:ascii="宋体" w:eastAsia="宋体" w:hAnsi="宋体" w:cs="宋体"/>
          <w:spacing w:val="-4"/>
        </w:rPr>
        <w:t>能在储藏当中发生氧化酸败，产生不良的气味。</w:t>
      </w:r>
    </w:p>
    <w:p w:rsidR="00EA40A3" w:rsidRDefault="00E86C16">
      <w:pPr>
        <w:spacing w:before="72" w:line="259" w:lineRule="auto"/>
        <w:ind w:left="105" w:right="76" w:firstLine="400"/>
        <w:jc w:val="both"/>
        <w:rPr>
          <w:rFonts w:ascii="宋体" w:eastAsia="宋体" w:hAnsi="宋体" w:cs="宋体"/>
        </w:rPr>
      </w:pPr>
      <w:r>
        <w:rPr>
          <w:rFonts w:ascii="宋体" w:eastAsia="宋体" w:hAnsi="宋体" w:cs="宋体"/>
          <w:spacing w:val="-3"/>
        </w:rPr>
        <w:t>胚乳是种子的储藏组织，含有大量淀粉和一定量的蛋白质，靠近胚的部分蛋</w:t>
      </w:r>
      <w:r>
        <w:rPr>
          <w:rFonts w:ascii="宋体" w:eastAsia="宋体" w:hAnsi="宋体" w:cs="宋体"/>
          <w:spacing w:val="17"/>
        </w:rPr>
        <w:t xml:space="preserve"> </w:t>
      </w:r>
      <w:r>
        <w:rPr>
          <w:rFonts w:ascii="宋体" w:eastAsia="宋体" w:hAnsi="宋体" w:cs="宋体"/>
          <w:spacing w:val="-3"/>
        </w:rPr>
        <w:t>白质含量较高。谷胚容易消化，适口性好，耐储藏，但是维生素和矿物质等营养</w:t>
      </w:r>
      <w:r>
        <w:rPr>
          <w:rFonts w:ascii="宋体" w:eastAsia="宋体" w:hAnsi="宋体" w:cs="宋体"/>
          <w:spacing w:val="3"/>
        </w:rPr>
        <w:t xml:space="preserve"> </w:t>
      </w:r>
      <w:r>
        <w:rPr>
          <w:rFonts w:ascii="宋体" w:eastAsia="宋体" w:hAnsi="宋体" w:cs="宋体"/>
          <w:spacing w:val="-2"/>
        </w:rPr>
        <w:t>素的含量很低。日常消费的精白米和富强粉中以胚乳</w:t>
      </w:r>
      <w:r>
        <w:rPr>
          <w:rFonts w:ascii="宋体" w:eastAsia="宋体" w:hAnsi="宋体" w:cs="宋体"/>
          <w:spacing w:val="-3"/>
        </w:rPr>
        <w:t>为主要成分，小麦粒各部分</w:t>
      </w:r>
      <w:r>
        <w:rPr>
          <w:rFonts w:ascii="宋体" w:eastAsia="宋体" w:hAnsi="宋体" w:cs="宋体"/>
        </w:rPr>
        <w:t xml:space="preserve"> </w:t>
      </w:r>
      <w:r>
        <w:rPr>
          <w:rFonts w:ascii="宋体" w:eastAsia="宋体" w:hAnsi="宋体" w:cs="宋体"/>
          <w:spacing w:val="-2"/>
        </w:rPr>
        <w:t>的质量和营养素占全粒的比例见表6-1。</w:t>
      </w:r>
    </w:p>
    <w:p w:rsidR="00EA40A3" w:rsidRDefault="00EA40A3">
      <w:pPr>
        <w:spacing w:line="295" w:lineRule="auto"/>
      </w:pPr>
    </w:p>
    <w:p w:rsidR="00EA40A3" w:rsidRDefault="00E86C16">
      <w:pPr>
        <w:spacing w:before="69" w:line="230" w:lineRule="auto"/>
        <w:ind w:left="1768"/>
        <w:rPr>
          <w:rFonts w:ascii="宋体" w:eastAsia="宋体" w:hAnsi="宋体" w:cs="宋体"/>
        </w:rPr>
      </w:pPr>
      <w:r>
        <w:rPr>
          <w:rFonts w:ascii="黑体" w:eastAsia="黑体" w:hAnsi="黑体" w:cs="黑体"/>
          <w:b/>
          <w:bCs/>
          <w:spacing w:val="-18"/>
          <w:w w:val="95"/>
        </w:rPr>
        <w:t>表6-1</w:t>
      </w:r>
      <w:r>
        <w:rPr>
          <w:rFonts w:ascii="黑体" w:eastAsia="黑体" w:hAnsi="黑体" w:cs="黑体"/>
          <w:spacing w:val="11"/>
        </w:rPr>
        <w:t xml:space="preserve"> </w:t>
      </w:r>
      <w:r>
        <w:rPr>
          <w:rFonts w:ascii="黑体" w:eastAsia="黑体" w:hAnsi="黑体" w:cs="黑体"/>
          <w:b/>
          <w:bCs/>
          <w:spacing w:val="-18"/>
          <w:w w:val="95"/>
        </w:rPr>
        <w:t>小麦粒各部分的质量和营养素占全粒的比例</w:t>
      </w:r>
      <w:r>
        <w:rPr>
          <w:rFonts w:ascii="黑体" w:eastAsia="黑体" w:hAnsi="黑体" w:cs="黑体"/>
          <w:spacing w:val="22"/>
        </w:rPr>
        <w:t xml:space="preserve">    </w:t>
      </w:r>
      <w:r>
        <w:rPr>
          <w:rFonts w:ascii="宋体" w:eastAsia="宋体" w:hAnsi="宋体" w:cs="宋体"/>
          <w:spacing w:val="-18"/>
          <w:w w:val="95"/>
          <w:position w:val="-2"/>
        </w:rPr>
        <w:t>(单位：%)</w:t>
      </w:r>
    </w:p>
    <w:tbl>
      <w:tblPr>
        <w:tblStyle w:val="TableNormal"/>
        <w:tblW w:w="7329" w:type="dxa"/>
        <w:tblInd w:w="105"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78"/>
        <w:gridCol w:w="933"/>
        <w:gridCol w:w="949"/>
        <w:gridCol w:w="943"/>
        <w:gridCol w:w="954"/>
        <w:gridCol w:w="996"/>
        <w:gridCol w:w="861"/>
        <w:gridCol w:w="1015"/>
      </w:tblGrid>
      <w:tr w:rsidR="00EA40A3">
        <w:trPr>
          <w:trHeight w:val="322"/>
        </w:trPr>
        <w:tc>
          <w:tcPr>
            <w:tcW w:w="678" w:type="dxa"/>
            <w:tcBorders>
              <w:top w:val="single" w:sz="4" w:space="0" w:color="000000"/>
            </w:tcBorders>
          </w:tcPr>
          <w:p w:rsidR="00EA40A3" w:rsidRDefault="00E86C16">
            <w:pPr>
              <w:spacing w:before="101" w:line="219" w:lineRule="auto"/>
              <w:ind w:left="130"/>
              <w:rPr>
                <w:rFonts w:ascii="宋体" w:eastAsia="宋体" w:hAnsi="宋体" w:cs="宋体"/>
                <w:sz w:val="16"/>
                <w:szCs w:val="16"/>
              </w:rPr>
            </w:pPr>
            <w:r>
              <w:rPr>
                <w:rFonts w:ascii="宋体" w:eastAsia="宋体" w:hAnsi="宋体" w:cs="宋体"/>
                <w:spacing w:val="-3"/>
                <w:sz w:val="16"/>
                <w:szCs w:val="16"/>
              </w:rPr>
              <w:t>部位</w:t>
            </w:r>
          </w:p>
        </w:tc>
        <w:tc>
          <w:tcPr>
            <w:tcW w:w="933" w:type="dxa"/>
            <w:tcBorders>
              <w:top w:val="single" w:sz="4" w:space="0" w:color="000000"/>
            </w:tcBorders>
          </w:tcPr>
          <w:p w:rsidR="00EA40A3" w:rsidRDefault="00E86C16">
            <w:pPr>
              <w:spacing w:before="112" w:line="220" w:lineRule="auto"/>
              <w:ind w:left="242"/>
              <w:rPr>
                <w:rFonts w:ascii="宋体" w:eastAsia="宋体" w:hAnsi="宋体" w:cs="宋体"/>
                <w:sz w:val="16"/>
                <w:szCs w:val="16"/>
              </w:rPr>
            </w:pPr>
            <w:r>
              <w:rPr>
                <w:rFonts w:ascii="宋体" w:eastAsia="宋体" w:hAnsi="宋体" w:cs="宋体"/>
                <w:spacing w:val="-2"/>
                <w:sz w:val="16"/>
                <w:szCs w:val="16"/>
              </w:rPr>
              <w:t>质量</w:t>
            </w:r>
          </w:p>
        </w:tc>
        <w:tc>
          <w:tcPr>
            <w:tcW w:w="949" w:type="dxa"/>
            <w:tcBorders>
              <w:top w:val="single" w:sz="4" w:space="0" w:color="000000"/>
            </w:tcBorders>
          </w:tcPr>
          <w:p w:rsidR="00EA40A3" w:rsidRDefault="00E86C16">
            <w:pPr>
              <w:spacing w:before="112" w:line="220" w:lineRule="auto"/>
              <w:ind w:left="229"/>
              <w:rPr>
                <w:rFonts w:ascii="宋体" w:eastAsia="宋体" w:hAnsi="宋体" w:cs="宋体"/>
                <w:sz w:val="16"/>
                <w:szCs w:val="16"/>
              </w:rPr>
            </w:pPr>
            <w:r>
              <w:rPr>
                <w:rFonts w:ascii="宋体" w:eastAsia="宋体" w:hAnsi="宋体" w:cs="宋体"/>
                <w:spacing w:val="6"/>
                <w:sz w:val="16"/>
                <w:szCs w:val="16"/>
              </w:rPr>
              <w:t>蛋白质</w:t>
            </w:r>
          </w:p>
        </w:tc>
        <w:tc>
          <w:tcPr>
            <w:tcW w:w="943" w:type="dxa"/>
            <w:tcBorders>
              <w:top w:val="single" w:sz="4" w:space="0" w:color="000000"/>
            </w:tcBorders>
          </w:tcPr>
          <w:p w:rsidR="00EA40A3" w:rsidRDefault="00E86C16">
            <w:pPr>
              <w:spacing w:before="111" w:line="219" w:lineRule="auto"/>
              <w:ind w:left="240"/>
              <w:rPr>
                <w:rFonts w:ascii="宋体" w:eastAsia="宋体" w:hAnsi="宋体" w:cs="宋体"/>
                <w:sz w:val="16"/>
                <w:szCs w:val="16"/>
              </w:rPr>
            </w:pPr>
            <w:r>
              <w:rPr>
                <w:rFonts w:ascii="宋体" w:eastAsia="宋体" w:hAnsi="宋体" w:cs="宋体"/>
                <w:spacing w:val="-2"/>
                <w:sz w:val="16"/>
                <w:szCs w:val="16"/>
              </w:rPr>
              <w:t>硫胺素</w:t>
            </w:r>
          </w:p>
        </w:tc>
        <w:tc>
          <w:tcPr>
            <w:tcW w:w="954" w:type="dxa"/>
            <w:tcBorders>
              <w:top w:val="single" w:sz="4" w:space="0" w:color="000000"/>
            </w:tcBorders>
          </w:tcPr>
          <w:p w:rsidR="00EA40A3" w:rsidRDefault="00E86C16">
            <w:pPr>
              <w:spacing w:before="111" w:line="219" w:lineRule="auto"/>
              <w:ind w:left="237"/>
              <w:rPr>
                <w:rFonts w:ascii="宋体" w:eastAsia="宋体" w:hAnsi="宋体" w:cs="宋体"/>
                <w:sz w:val="16"/>
                <w:szCs w:val="16"/>
              </w:rPr>
            </w:pPr>
            <w:r>
              <w:rPr>
                <w:rFonts w:ascii="宋体" w:eastAsia="宋体" w:hAnsi="宋体" w:cs="宋体"/>
                <w:spacing w:val="-2"/>
                <w:sz w:val="16"/>
                <w:szCs w:val="16"/>
              </w:rPr>
              <w:t>核黄素</w:t>
            </w:r>
          </w:p>
        </w:tc>
        <w:tc>
          <w:tcPr>
            <w:tcW w:w="996" w:type="dxa"/>
            <w:tcBorders>
              <w:top w:val="single" w:sz="4" w:space="0" w:color="000000"/>
            </w:tcBorders>
          </w:tcPr>
          <w:p w:rsidR="00EA40A3" w:rsidRDefault="00E86C16">
            <w:pPr>
              <w:spacing w:before="121" w:line="219" w:lineRule="auto"/>
              <w:ind w:left="253"/>
              <w:rPr>
                <w:rFonts w:ascii="宋体" w:eastAsia="宋体" w:hAnsi="宋体" w:cs="宋体"/>
                <w:sz w:val="16"/>
                <w:szCs w:val="16"/>
              </w:rPr>
            </w:pPr>
            <w:r>
              <w:rPr>
                <w:rFonts w:ascii="宋体" w:eastAsia="宋体" w:hAnsi="宋体" w:cs="宋体"/>
                <w:spacing w:val="-2"/>
                <w:sz w:val="16"/>
                <w:szCs w:val="16"/>
              </w:rPr>
              <w:t>尼克酸</w:t>
            </w:r>
          </w:p>
        </w:tc>
        <w:tc>
          <w:tcPr>
            <w:tcW w:w="861" w:type="dxa"/>
            <w:tcBorders>
              <w:top w:val="single" w:sz="4" w:space="0" w:color="000000"/>
            </w:tcBorders>
          </w:tcPr>
          <w:p w:rsidR="00EA40A3" w:rsidRDefault="00E86C16">
            <w:pPr>
              <w:spacing w:before="122" w:line="221" w:lineRule="auto"/>
              <w:ind w:left="277"/>
              <w:rPr>
                <w:rFonts w:ascii="宋体" w:eastAsia="宋体" w:hAnsi="宋体" w:cs="宋体"/>
                <w:sz w:val="16"/>
                <w:szCs w:val="16"/>
              </w:rPr>
            </w:pPr>
            <w:r>
              <w:rPr>
                <w:rFonts w:ascii="宋体" w:eastAsia="宋体" w:hAnsi="宋体" w:cs="宋体"/>
                <w:spacing w:val="-2"/>
                <w:sz w:val="16"/>
                <w:szCs w:val="16"/>
              </w:rPr>
              <w:t>泛酸</w:t>
            </w:r>
          </w:p>
        </w:tc>
        <w:tc>
          <w:tcPr>
            <w:tcW w:w="1015" w:type="dxa"/>
            <w:tcBorders>
              <w:top w:val="single" w:sz="4" w:space="0" w:color="000000"/>
            </w:tcBorders>
          </w:tcPr>
          <w:p w:rsidR="00EA40A3" w:rsidRDefault="00E86C16">
            <w:pPr>
              <w:spacing w:before="119" w:line="220" w:lineRule="auto"/>
              <w:ind w:left="278"/>
              <w:rPr>
                <w:rFonts w:ascii="宋体" w:eastAsia="宋体" w:hAnsi="宋体" w:cs="宋体"/>
                <w:sz w:val="16"/>
                <w:szCs w:val="16"/>
              </w:rPr>
            </w:pPr>
            <w:r>
              <w:rPr>
                <w:rFonts w:ascii="宋体" w:eastAsia="宋体" w:hAnsi="宋体" w:cs="宋体"/>
                <w:b/>
                <w:bCs/>
                <w:spacing w:val="-5"/>
                <w:sz w:val="16"/>
                <w:szCs w:val="16"/>
              </w:rPr>
              <w:t>吡哆醇</w:t>
            </w:r>
          </w:p>
        </w:tc>
      </w:tr>
      <w:tr w:rsidR="00EA40A3">
        <w:trPr>
          <w:trHeight w:val="265"/>
        </w:trPr>
        <w:tc>
          <w:tcPr>
            <w:tcW w:w="678" w:type="dxa"/>
          </w:tcPr>
          <w:p w:rsidR="00EA40A3" w:rsidRDefault="00E86C16">
            <w:pPr>
              <w:spacing w:before="50" w:line="220" w:lineRule="auto"/>
              <w:ind w:left="130"/>
              <w:rPr>
                <w:rFonts w:ascii="宋体" w:eastAsia="宋体" w:hAnsi="宋体" w:cs="宋体"/>
                <w:sz w:val="16"/>
                <w:szCs w:val="16"/>
              </w:rPr>
            </w:pPr>
            <w:r>
              <w:rPr>
                <w:rFonts w:ascii="宋体" w:eastAsia="宋体" w:hAnsi="宋体" w:cs="宋体"/>
                <w:spacing w:val="-2"/>
                <w:sz w:val="16"/>
                <w:szCs w:val="16"/>
              </w:rPr>
              <w:t>谷皮</w:t>
            </w:r>
          </w:p>
        </w:tc>
        <w:tc>
          <w:tcPr>
            <w:tcW w:w="933" w:type="dxa"/>
          </w:tcPr>
          <w:p w:rsidR="00EA40A3" w:rsidRDefault="00E86C16">
            <w:pPr>
              <w:spacing w:before="100" w:line="184" w:lineRule="auto"/>
              <w:ind w:left="252"/>
              <w:rPr>
                <w:rFonts w:ascii="宋体" w:eastAsia="宋体" w:hAnsi="宋体" w:cs="宋体"/>
                <w:sz w:val="16"/>
                <w:szCs w:val="16"/>
              </w:rPr>
            </w:pPr>
            <w:r>
              <w:rPr>
                <w:rFonts w:ascii="宋体" w:eastAsia="宋体" w:hAnsi="宋体" w:cs="宋体"/>
                <w:spacing w:val="-4"/>
                <w:sz w:val="16"/>
                <w:szCs w:val="16"/>
              </w:rPr>
              <w:t>13～15</w:t>
            </w:r>
          </w:p>
        </w:tc>
        <w:tc>
          <w:tcPr>
            <w:tcW w:w="949" w:type="dxa"/>
          </w:tcPr>
          <w:p w:rsidR="00EA40A3" w:rsidRDefault="00E86C16">
            <w:pPr>
              <w:spacing w:before="100" w:line="184" w:lineRule="auto"/>
              <w:ind w:left="389"/>
              <w:rPr>
                <w:rFonts w:ascii="宋体" w:eastAsia="宋体" w:hAnsi="宋体" w:cs="宋体"/>
                <w:sz w:val="16"/>
                <w:szCs w:val="16"/>
              </w:rPr>
            </w:pPr>
            <w:r>
              <w:rPr>
                <w:rFonts w:ascii="宋体" w:eastAsia="宋体" w:hAnsi="宋体" w:cs="宋体"/>
                <w:spacing w:val="-5"/>
                <w:sz w:val="16"/>
                <w:szCs w:val="16"/>
              </w:rPr>
              <w:t>19</w:t>
            </w:r>
          </w:p>
        </w:tc>
        <w:tc>
          <w:tcPr>
            <w:tcW w:w="943" w:type="dxa"/>
          </w:tcPr>
          <w:p w:rsidR="00EA40A3" w:rsidRDefault="00E86C16">
            <w:pPr>
              <w:spacing w:before="100" w:line="183" w:lineRule="auto"/>
              <w:ind w:left="399"/>
              <w:rPr>
                <w:rFonts w:ascii="宋体" w:eastAsia="宋体" w:hAnsi="宋体" w:cs="宋体"/>
                <w:sz w:val="16"/>
                <w:szCs w:val="16"/>
              </w:rPr>
            </w:pPr>
            <w:r>
              <w:rPr>
                <w:rFonts w:ascii="宋体" w:eastAsia="宋体" w:hAnsi="宋体" w:cs="宋体"/>
                <w:spacing w:val="-3"/>
                <w:sz w:val="16"/>
                <w:szCs w:val="16"/>
              </w:rPr>
              <w:t>33</w:t>
            </w:r>
          </w:p>
        </w:tc>
        <w:tc>
          <w:tcPr>
            <w:tcW w:w="954" w:type="dxa"/>
          </w:tcPr>
          <w:p w:rsidR="00EA40A3" w:rsidRDefault="00E86C16">
            <w:pPr>
              <w:spacing w:before="100" w:line="183" w:lineRule="auto"/>
              <w:ind w:left="397"/>
              <w:rPr>
                <w:rFonts w:ascii="宋体" w:eastAsia="宋体" w:hAnsi="宋体" w:cs="宋体"/>
                <w:sz w:val="16"/>
                <w:szCs w:val="16"/>
              </w:rPr>
            </w:pPr>
            <w:r>
              <w:rPr>
                <w:rFonts w:ascii="宋体" w:eastAsia="宋体" w:hAnsi="宋体" w:cs="宋体"/>
                <w:spacing w:val="-2"/>
                <w:sz w:val="16"/>
                <w:szCs w:val="16"/>
              </w:rPr>
              <w:t>42</w:t>
            </w:r>
          </w:p>
        </w:tc>
        <w:tc>
          <w:tcPr>
            <w:tcW w:w="996" w:type="dxa"/>
          </w:tcPr>
          <w:p w:rsidR="00EA40A3" w:rsidRDefault="00E86C16">
            <w:pPr>
              <w:spacing w:before="100" w:line="183" w:lineRule="auto"/>
              <w:ind w:left="413"/>
              <w:rPr>
                <w:rFonts w:ascii="宋体" w:eastAsia="宋体" w:hAnsi="宋体" w:cs="宋体"/>
                <w:sz w:val="16"/>
                <w:szCs w:val="16"/>
              </w:rPr>
            </w:pPr>
            <w:r>
              <w:rPr>
                <w:rFonts w:ascii="宋体" w:eastAsia="宋体" w:hAnsi="宋体" w:cs="宋体"/>
                <w:spacing w:val="-2"/>
                <w:sz w:val="16"/>
                <w:szCs w:val="16"/>
              </w:rPr>
              <w:t>86</w:t>
            </w:r>
          </w:p>
        </w:tc>
        <w:tc>
          <w:tcPr>
            <w:tcW w:w="861" w:type="dxa"/>
          </w:tcPr>
          <w:p w:rsidR="00EA40A3" w:rsidRDefault="00E86C16">
            <w:pPr>
              <w:spacing w:before="110" w:line="178" w:lineRule="auto"/>
              <w:ind w:left="357"/>
              <w:rPr>
                <w:rFonts w:ascii="宋体" w:eastAsia="宋体" w:hAnsi="宋体" w:cs="宋体"/>
                <w:sz w:val="16"/>
                <w:szCs w:val="16"/>
              </w:rPr>
            </w:pPr>
            <w:r>
              <w:rPr>
                <w:rFonts w:ascii="宋体" w:eastAsia="宋体" w:hAnsi="宋体" w:cs="宋体"/>
                <w:spacing w:val="-3"/>
                <w:sz w:val="16"/>
                <w:szCs w:val="16"/>
              </w:rPr>
              <w:t>50</w:t>
            </w:r>
          </w:p>
        </w:tc>
        <w:tc>
          <w:tcPr>
            <w:tcW w:w="1015" w:type="dxa"/>
          </w:tcPr>
          <w:p w:rsidR="00EA40A3" w:rsidRDefault="00E86C16">
            <w:pPr>
              <w:spacing w:before="110" w:line="178" w:lineRule="auto"/>
              <w:ind w:left="436"/>
              <w:rPr>
                <w:rFonts w:ascii="宋体" w:eastAsia="宋体" w:hAnsi="宋体" w:cs="宋体"/>
                <w:sz w:val="16"/>
                <w:szCs w:val="16"/>
              </w:rPr>
            </w:pPr>
            <w:r>
              <w:rPr>
                <w:rFonts w:ascii="宋体" w:eastAsia="宋体" w:hAnsi="宋体" w:cs="宋体"/>
                <w:spacing w:val="-3"/>
                <w:sz w:val="16"/>
                <w:szCs w:val="16"/>
              </w:rPr>
              <w:t>73</w:t>
            </w:r>
          </w:p>
        </w:tc>
      </w:tr>
      <w:tr w:rsidR="00EA40A3">
        <w:trPr>
          <w:trHeight w:val="292"/>
        </w:trPr>
        <w:tc>
          <w:tcPr>
            <w:tcW w:w="678" w:type="dxa"/>
          </w:tcPr>
          <w:p w:rsidR="00EA40A3" w:rsidRDefault="00E86C16">
            <w:pPr>
              <w:spacing w:before="45" w:line="220" w:lineRule="auto"/>
              <w:ind w:left="130"/>
              <w:rPr>
                <w:rFonts w:ascii="宋体" w:eastAsia="宋体" w:hAnsi="宋体" w:cs="宋体"/>
                <w:sz w:val="16"/>
                <w:szCs w:val="16"/>
              </w:rPr>
            </w:pPr>
            <w:r>
              <w:rPr>
                <w:rFonts w:ascii="宋体" w:eastAsia="宋体" w:hAnsi="宋体" w:cs="宋体"/>
                <w:spacing w:val="-2"/>
                <w:sz w:val="16"/>
                <w:szCs w:val="16"/>
              </w:rPr>
              <w:t>谷胚</w:t>
            </w:r>
          </w:p>
        </w:tc>
        <w:tc>
          <w:tcPr>
            <w:tcW w:w="933" w:type="dxa"/>
          </w:tcPr>
          <w:p w:rsidR="00EA40A3" w:rsidRDefault="00E86C16">
            <w:pPr>
              <w:spacing w:before="85" w:line="183" w:lineRule="auto"/>
              <w:ind w:left="332"/>
              <w:rPr>
                <w:rFonts w:ascii="宋体" w:eastAsia="宋体" w:hAnsi="宋体" w:cs="宋体"/>
                <w:sz w:val="16"/>
                <w:szCs w:val="16"/>
              </w:rPr>
            </w:pPr>
            <w:r>
              <w:rPr>
                <w:rFonts w:ascii="宋体" w:eastAsia="宋体" w:hAnsi="宋体" w:cs="宋体"/>
                <w:spacing w:val="-3"/>
                <w:sz w:val="16"/>
                <w:szCs w:val="16"/>
              </w:rPr>
              <w:t>2～3</w:t>
            </w:r>
          </w:p>
        </w:tc>
        <w:tc>
          <w:tcPr>
            <w:tcW w:w="949" w:type="dxa"/>
          </w:tcPr>
          <w:p w:rsidR="00EA40A3" w:rsidRDefault="00E86C16">
            <w:pPr>
              <w:spacing w:before="85" w:line="183" w:lineRule="auto"/>
              <w:ind w:left="429"/>
              <w:rPr>
                <w:rFonts w:ascii="宋体" w:eastAsia="宋体" w:hAnsi="宋体" w:cs="宋体"/>
                <w:sz w:val="16"/>
                <w:szCs w:val="16"/>
              </w:rPr>
            </w:pPr>
            <w:r>
              <w:rPr>
                <w:rFonts w:ascii="宋体" w:eastAsia="宋体" w:hAnsi="宋体" w:cs="宋体"/>
                <w:sz w:val="16"/>
                <w:szCs w:val="16"/>
              </w:rPr>
              <w:t>8</w:t>
            </w:r>
          </w:p>
        </w:tc>
        <w:tc>
          <w:tcPr>
            <w:tcW w:w="943" w:type="dxa"/>
          </w:tcPr>
          <w:p w:rsidR="00EA40A3" w:rsidRDefault="00E86C16">
            <w:pPr>
              <w:spacing w:before="85" w:line="183" w:lineRule="auto"/>
              <w:ind w:left="399"/>
              <w:rPr>
                <w:rFonts w:ascii="宋体" w:eastAsia="宋体" w:hAnsi="宋体" w:cs="宋体"/>
                <w:sz w:val="16"/>
                <w:szCs w:val="16"/>
              </w:rPr>
            </w:pPr>
            <w:r>
              <w:rPr>
                <w:rFonts w:ascii="宋体" w:eastAsia="宋体" w:hAnsi="宋体" w:cs="宋体"/>
                <w:spacing w:val="-2"/>
                <w:sz w:val="16"/>
                <w:szCs w:val="16"/>
              </w:rPr>
              <w:t>64</w:t>
            </w:r>
          </w:p>
        </w:tc>
        <w:tc>
          <w:tcPr>
            <w:tcW w:w="954" w:type="dxa"/>
          </w:tcPr>
          <w:p w:rsidR="00EA40A3" w:rsidRDefault="00E86C16">
            <w:pPr>
              <w:spacing w:before="85" w:line="183" w:lineRule="auto"/>
              <w:ind w:left="397"/>
              <w:rPr>
                <w:rFonts w:ascii="宋体" w:eastAsia="宋体" w:hAnsi="宋体" w:cs="宋体"/>
                <w:sz w:val="16"/>
                <w:szCs w:val="16"/>
              </w:rPr>
            </w:pPr>
            <w:r>
              <w:rPr>
                <w:rFonts w:ascii="宋体" w:eastAsia="宋体" w:hAnsi="宋体" w:cs="宋体"/>
                <w:spacing w:val="-3"/>
                <w:sz w:val="16"/>
                <w:szCs w:val="16"/>
              </w:rPr>
              <w:t>26</w:t>
            </w:r>
          </w:p>
        </w:tc>
        <w:tc>
          <w:tcPr>
            <w:tcW w:w="996" w:type="dxa"/>
          </w:tcPr>
          <w:p w:rsidR="00EA40A3" w:rsidRDefault="00E86C16">
            <w:pPr>
              <w:spacing w:before="125" w:line="183" w:lineRule="auto"/>
              <w:ind w:left="453"/>
              <w:rPr>
                <w:rFonts w:ascii="宋体" w:eastAsia="宋体" w:hAnsi="宋体" w:cs="宋体"/>
                <w:sz w:val="16"/>
                <w:szCs w:val="16"/>
              </w:rPr>
            </w:pPr>
            <w:r>
              <w:rPr>
                <w:rFonts w:ascii="宋体" w:eastAsia="宋体" w:hAnsi="宋体" w:cs="宋体"/>
                <w:sz w:val="16"/>
                <w:szCs w:val="16"/>
              </w:rPr>
              <w:t>2</w:t>
            </w:r>
          </w:p>
        </w:tc>
        <w:tc>
          <w:tcPr>
            <w:tcW w:w="861" w:type="dxa"/>
          </w:tcPr>
          <w:p w:rsidR="00EA40A3" w:rsidRDefault="00E86C16">
            <w:pPr>
              <w:spacing w:before="116" w:line="182" w:lineRule="auto"/>
              <w:ind w:left="396"/>
              <w:rPr>
                <w:rFonts w:ascii="宋体" w:eastAsia="宋体" w:hAnsi="宋体" w:cs="宋体"/>
                <w:sz w:val="16"/>
                <w:szCs w:val="16"/>
              </w:rPr>
            </w:pPr>
            <w:r>
              <w:rPr>
                <w:rFonts w:ascii="宋体" w:eastAsia="宋体" w:hAnsi="宋体" w:cs="宋体"/>
                <w:sz w:val="16"/>
                <w:szCs w:val="16"/>
              </w:rPr>
              <w:t>7</w:t>
            </w:r>
          </w:p>
        </w:tc>
        <w:tc>
          <w:tcPr>
            <w:tcW w:w="1015" w:type="dxa"/>
          </w:tcPr>
          <w:p w:rsidR="00EA40A3" w:rsidRDefault="00E86C16">
            <w:pPr>
              <w:spacing w:before="125" w:line="184" w:lineRule="auto"/>
              <w:ind w:left="436"/>
              <w:rPr>
                <w:rFonts w:ascii="宋体" w:eastAsia="宋体" w:hAnsi="宋体" w:cs="宋体"/>
                <w:sz w:val="16"/>
                <w:szCs w:val="16"/>
              </w:rPr>
            </w:pPr>
            <w:r>
              <w:rPr>
                <w:rFonts w:ascii="宋体" w:eastAsia="宋体" w:hAnsi="宋体" w:cs="宋体"/>
                <w:spacing w:val="-3"/>
                <w:sz w:val="16"/>
                <w:szCs w:val="16"/>
              </w:rPr>
              <w:t>21</w:t>
            </w:r>
          </w:p>
        </w:tc>
      </w:tr>
      <w:tr w:rsidR="00EA40A3">
        <w:trPr>
          <w:trHeight w:val="240"/>
        </w:trPr>
        <w:tc>
          <w:tcPr>
            <w:tcW w:w="678" w:type="dxa"/>
            <w:tcBorders>
              <w:bottom w:val="single" w:sz="4" w:space="0" w:color="000000"/>
            </w:tcBorders>
          </w:tcPr>
          <w:p w:rsidR="00EA40A3" w:rsidRDefault="00E86C16">
            <w:pPr>
              <w:spacing w:before="72" w:line="193" w:lineRule="auto"/>
              <w:ind w:left="130"/>
              <w:rPr>
                <w:rFonts w:ascii="宋体" w:eastAsia="宋体" w:hAnsi="宋体" w:cs="宋体"/>
                <w:sz w:val="16"/>
                <w:szCs w:val="16"/>
              </w:rPr>
            </w:pPr>
            <w:r>
              <w:rPr>
                <w:rFonts w:ascii="宋体" w:eastAsia="宋体" w:hAnsi="宋体" w:cs="宋体"/>
                <w:spacing w:val="-2"/>
                <w:sz w:val="16"/>
                <w:szCs w:val="16"/>
              </w:rPr>
              <w:t>胚乳</w:t>
            </w:r>
          </w:p>
        </w:tc>
        <w:tc>
          <w:tcPr>
            <w:tcW w:w="933" w:type="dxa"/>
            <w:tcBorders>
              <w:bottom w:val="single" w:sz="4" w:space="0" w:color="000000"/>
            </w:tcBorders>
          </w:tcPr>
          <w:p w:rsidR="00EA40A3" w:rsidRDefault="00E86C16">
            <w:pPr>
              <w:spacing w:before="113" w:line="126" w:lineRule="exact"/>
              <w:ind w:left="411"/>
              <w:rPr>
                <w:rFonts w:ascii="宋体" w:eastAsia="宋体" w:hAnsi="宋体" w:cs="宋体"/>
                <w:sz w:val="16"/>
                <w:szCs w:val="16"/>
              </w:rPr>
            </w:pPr>
            <w:r>
              <w:rPr>
                <w:rFonts w:ascii="宋体" w:eastAsia="宋体" w:hAnsi="宋体" w:cs="宋体"/>
                <w:spacing w:val="-2"/>
                <w:position w:val="-2"/>
                <w:sz w:val="16"/>
                <w:szCs w:val="16"/>
              </w:rPr>
              <w:t>83</w:t>
            </w:r>
          </w:p>
        </w:tc>
        <w:tc>
          <w:tcPr>
            <w:tcW w:w="949" w:type="dxa"/>
            <w:tcBorders>
              <w:bottom w:val="single" w:sz="4" w:space="0" w:color="000000"/>
            </w:tcBorders>
          </w:tcPr>
          <w:p w:rsidR="00EA40A3" w:rsidRDefault="00E86C16">
            <w:pPr>
              <w:spacing w:before="73" w:line="183" w:lineRule="auto"/>
              <w:ind w:left="229"/>
              <w:rPr>
                <w:rFonts w:ascii="宋体" w:eastAsia="宋体" w:hAnsi="宋体" w:cs="宋体"/>
                <w:sz w:val="16"/>
                <w:szCs w:val="16"/>
              </w:rPr>
            </w:pPr>
            <w:r>
              <w:rPr>
                <w:rFonts w:ascii="宋体" w:eastAsia="宋体" w:hAnsi="宋体" w:cs="宋体"/>
                <w:spacing w:val="-2"/>
                <w:sz w:val="16"/>
                <w:szCs w:val="16"/>
              </w:rPr>
              <w:t>70～75</w:t>
            </w:r>
          </w:p>
        </w:tc>
        <w:tc>
          <w:tcPr>
            <w:tcW w:w="943" w:type="dxa"/>
            <w:tcBorders>
              <w:bottom w:val="single" w:sz="4" w:space="0" w:color="000000"/>
            </w:tcBorders>
          </w:tcPr>
          <w:p w:rsidR="00EA40A3" w:rsidRDefault="00E86C16">
            <w:pPr>
              <w:spacing w:before="73" w:line="183" w:lineRule="auto"/>
              <w:ind w:left="440"/>
              <w:rPr>
                <w:rFonts w:ascii="宋体" w:eastAsia="宋体" w:hAnsi="宋体" w:cs="宋体"/>
                <w:sz w:val="16"/>
                <w:szCs w:val="16"/>
              </w:rPr>
            </w:pPr>
            <w:r>
              <w:rPr>
                <w:rFonts w:ascii="宋体" w:eastAsia="宋体" w:hAnsi="宋体" w:cs="宋体"/>
                <w:sz w:val="16"/>
                <w:szCs w:val="16"/>
              </w:rPr>
              <w:t>3</w:t>
            </w:r>
          </w:p>
        </w:tc>
        <w:tc>
          <w:tcPr>
            <w:tcW w:w="954" w:type="dxa"/>
            <w:tcBorders>
              <w:bottom w:val="single" w:sz="4" w:space="0" w:color="000000"/>
            </w:tcBorders>
          </w:tcPr>
          <w:p w:rsidR="00EA40A3" w:rsidRDefault="00E86C16">
            <w:pPr>
              <w:spacing w:before="113" w:line="126" w:lineRule="exact"/>
              <w:ind w:left="397"/>
              <w:rPr>
                <w:rFonts w:ascii="宋体" w:eastAsia="宋体" w:hAnsi="宋体" w:cs="宋体"/>
                <w:sz w:val="16"/>
                <w:szCs w:val="16"/>
              </w:rPr>
            </w:pPr>
            <w:r>
              <w:rPr>
                <w:rFonts w:ascii="宋体" w:eastAsia="宋体" w:hAnsi="宋体" w:cs="宋体"/>
                <w:spacing w:val="-3"/>
                <w:position w:val="-2"/>
                <w:sz w:val="16"/>
                <w:szCs w:val="16"/>
              </w:rPr>
              <w:t>32</w:t>
            </w:r>
          </w:p>
        </w:tc>
        <w:tc>
          <w:tcPr>
            <w:tcW w:w="996" w:type="dxa"/>
            <w:tcBorders>
              <w:bottom w:val="single" w:sz="4" w:space="0" w:color="000000"/>
            </w:tcBorders>
          </w:tcPr>
          <w:p w:rsidR="00EA40A3" w:rsidRDefault="00E86C16">
            <w:pPr>
              <w:spacing w:before="72" w:line="184" w:lineRule="auto"/>
              <w:ind w:left="413"/>
              <w:rPr>
                <w:rFonts w:ascii="宋体" w:eastAsia="宋体" w:hAnsi="宋体" w:cs="宋体"/>
                <w:sz w:val="16"/>
                <w:szCs w:val="16"/>
              </w:rPr>
            </w:pPr>
            <w:r>
              <w:rPr>
                <w:rFonts w:ascii="宋体" w:eastAsia="宋体" w:hAnsi="宋体" w:cs="宋体"/>
                <w:spacing w:val="-5"/>
                <w:sz w:val="16"/>
                <w:szCs w:val="16"/>
              </w:rPr>
              <w:t>12</w:t>
            </w:r>
          </w:p>
        </w:tc>
        <w:tc>
          <w:tcPr>
            <w:tcW w:w="861" w:type="dxa"/>
            <w:tcBorders>
              <w:bottom w:val="single" w:sz="4" w:space="0" w:color="000000"/>
            </w:tcBorders>
          </w:tcPr>
          <w:p w:rsidR="00EA40A3" w:rsidRDefault="00E86C16">
            <w:pPr>
              <w:spacing w:before="73" w:line="183" w:lineRule="auto"/>
              <w:ind w:left="357"/>
              <w:rPr>
                <w:rFonts w:ascii="宋体" w:eastAsia="宋体" w:hAnsi="宋体" w:cs="宋体"/>
                <w:sz w:val="16"/>
                <w:szCs w:val="16"/>
              </w:rPr>
            </w:pPr>
            <w:r>
              <w:rPr>
                <w:rFonts w:ascii="宋体" w:eastAsia="宋体" w:hAnsi="宋体" w:cs="宋体"/>
                <w:spacing w:val="-2"/>
                <w:sz w:val="16"/>
                <w:szCs w:val="16"/>
              </w:rPr>
              <w:t>43</w:t>
            </w:r>
          </w:p>
        </w:tc>
        <w:tc>
          <w:tcPr>
            <w:tcW w:w="1015" w:type="dxa"/>
            <w:tcBorders>
              <w:bottom w:val="single" w:sz="4" w:space="0" w:color="000000"/>
            </w:tcBorders>
          </w:tcPr>
          <w:p w:rsidR="00EA40A3" w:rsidRDefault="00E86C16">
            <w:pPr>
              <w:spacing w:before="113" w:line="126" w:lineRule="exact"/>
              <w:ind w:left="476"/>
              <w:rPr>
                <w:rFonts w:ascii="宋体" w:eastAsia="宋体" w:hAnsi="宋体" w:cs="宋体"/>
                <w:sz w:val="16"/>
                <w:szCs w:val="16"/>
              </w:rPr>
            </w:pPr>
            <w:r>
              <w:rPr>
                <w:rFonts w:ascii="宋体" w:eastAsia="宋体" w:hAnsi="宋体" w:cs="宋体"/>
                <w:position w:val="-2"/>
                <w:sz w:val="16"/>
                <w:szCs w:val="16"/>
              </w:rPr>
              <w:t>6</w:t>
            </w:r>
          </w:p>
        </w:tc>
      </w:tr>
    </w:tbl>
    <w:p w:rsidR="00EA40A3" w:rsidRDefault="00E86C16">
      <w:pPr>
        <w:spacing w:before="100" w:line="219" w:lineRule="auto"/>
        <w:ind w:left="445"/>
        <w:rPr>
          <w:rFonts w:ascii="宋体" w:eastAsia="宋体" w:hAnsi="宋体" w:cs="宋体"/>
          <w:sz w:val="16"/>
          <w:szCs w:val="16"/>
        </w:rPr>
      </w:pPr>
      <w:r>
        <w:rPr>
          <w:rFonts w:ascii="宋体" w:eastAsia="宋体" w:hAnsi="宋体" w:cs="宋体"/>
          <w:sz w:val="16"/>
          <w:szCs w:val="16"/>
        </w:rPr>
        <w:t>资料来源：周世英，钟丽玉.1986.粮食学与粮食</w:t>
      </w:r>
      <w:r>
        <w:rPr>
          <w:rFonts w:ascii="宋体" w:eastAsia="宋体" w:hAnsi="宋体" w:cs="宋体"/>
          <w:spacing w:val="-1"/>
          <w:sz w:val="16"/>
          <w:szCs w:val="16"/>
        </w:rPr>
        <w:t>化学，北京：中国商业出版社</w:t>
      </w:r>
    </w:p>
    <w:p w:rsidR="00EA40A3" w:rsidRDefault="00EA40A3">
      <w:pPr>
        <w:spacing w:line="458" w:lineRule="auto"/>
      </w:pPr>
    </w:p>
    <w:p w:rsidR="00EA40A3" w:rsidRDefault="00E86C16">
      <w:pPr>
        <w:spacing w:before="78" w:line="221" w:lineRule="auto"/>
        <w:ind w:left="108"/>
        <w:outlineLvl w:val="6"/>
        <w:rPr>
          <w:rFonts w:ascii="黑体" w:eastAsia="黑体" w:hAnsi="黑体" w:cs="黑体"/>
          <w:sz w:val="24"/>
          <w:szCs w:val="24"/>
        </w:rPr>
      </w:pPr>
      <w:r>
        <w:rPr>
          <w:rFonts w:ascii="黑体" w:eastAsia="黑体" w:hAnsi="黑体" w:cs="黑体"/>
          <w:b/>
          <w:bCs/>
          <w:spacing w:val="-4"/>
          <w:sz w:val="24"/>
          <w:szCs w:val="24"/>
        </w:rPr>
        <w:t>6.2.2</w:t>
      </w:r>
      <w:r>
        <w:rPr>
          <w:rFonts w:ascii="黑体" w:eastAsia="黑体" w:hAnsi="黑体" w:cs="黑体"/>
          <w:spacing w:val="124"/>
          <w:sz w:val="24"/>
          <w:szCs w:val="24"/>
        </w:rPr>
        <w:t xml:space="preserve"> </w:t>
      </w:r>
      <w:r>
        <w:rPr>
          <w:rFonts w:ascii="黑体" w:eastAsia="黑体" w:hAnsi="黑体" w:cs="黑体"/>
          <w:b/>
          <w:bCs/>
          <w:spacing w:val="-4"/>
          <w:sz w:val="24"/>
          <w:szCs w:val="24"/>
        </w:rPr>
        <w:t>谷类种子的营养价值总述</w:t>
      </w:r>
    </w:p>
    <w:p w:rsidR="00EA40A3" w:rsidRDefault="00E86C16">
      <w:pPr>
        <w:spacing w:before="244" w:line="221" w:lineRule="auto"/>
        <w:ind w:left="104"/>
        <w:rPr>
          <w:rFonts w:ascii="仿宋" w:eastAsia="仿宋" w:hAnsi="仿宋" w:cs="仿宋"/>
        </w:rPr>
      </w:pPr>
      <w:r>
        <w:rPr>
          <w:rFonts w:ascii="仿宋" w:eastAsia="仿宋" w:hAnsi="仿宋" w:cs="仿宋"/>
          <w:spacing w:val="14"/>
        </w:rPr>
        <w:t>1.</w:t>
      </w:r>
      <w:r>
        <w:rPr>
          <w:rFonts w:ascii="仿宋" w:eastAsia="仿宋" w:hAnsi="仿宋" w:cs="仿宋"/>
          <w:spacing w:val="1"/>
        </w:rPr>
        <w:t xml:space="preserve"> </w:t>
      </w:r>
      <w:r>
        <w:rPr>
          <w:rFonts w:ascii="仿宋" w:eastAsia="仿宋" w:hAnsi="仿宋" w:cs="仿宋"/>
          <w:spacing w:val="14"/>
        </w:rPr>
        <w:t>碳水化合物</w:t>
      </w:r>
    </w:p>
    <w:p w:rsidR="00EA40A3" w:rsidRDefault="00E86C16">
      <w:pPr>
        <w:spacing w:before="232" w:line="249" w:lineRule="auto"/>
        <w:ind w:left="105" w:firstLine="400"/>
        <w:rPr>
          <w:rFonts w:ascii="宋体" w:eastAsia="宋体" w:hAnsi="宋体" w:cs="宋体"/>
        </w:rPr>
      </w:pPr>
      <w:r>
        <w:rPr>
          <w:rFonts w:ascii="宋体" w:eastAsia="宋体" w:hAnsi="宋体" w:cs="宋体"/>
          <w:spacing w:val="-1"/>
        </w:rPr>
        <w:t>谷类种子是碳水化合物的丰富来源，其中淀粉含量达70%以上。</w:t>
      </w:r>
      <w:r>
        <w:rPr>
          <w:rFonts w:ascii="宋体" w:eastAsia="宋体" w:hAnsi="宋体" w:cs="宋体"/>
          <w:spacing w:val="48"/>
        </w:rPr>
        <w:t xml:space="preserve"> </w:t>
      </w:r>
      <w:r>
        <w:rPr>
          <w:rFonts w:ascii="宋体" w:eastAsia="宋体" w:hAnsi="宋体" w:cs="宋体"/>
          <w:spacing w:val="-1"/>
        </w:rPr>
        <w:t>一般来说，</w:t>
      </w:r>
      <w:r>
        <w:rPr>
          <w:rFonts w:ascii="宋体" w:eastAsia="宋体" w:hAnsi="宋体" w:cs="宋体"/>
        </w:rPr>
        <w:t xml:space="preserve"> </w:t>
      </w:r>
      <w:r>
        <w:rPr>
          <w:rFonts w:ascii="宋体" w:eastAsia="宋体" w:hAnsi="宋体" w:cs="宋体"/>
          <w:spacing w:val="-1"/>
        </w:rPr>
        <w:t>每百克谷类种子中所含能量达1255kJ(300kcal)</w:t>
      </w:r>
      <w:r>
        <w:rPr>
          <w:rFonts w:ascii="宋体" w:eastAsia="宋体" w:hAnsi="宋体" w:cs="宋体"/>
          <w:spacing w:val="33"/>
        </w:rPr>
        <w:t xml:space="preserve"> </w:t>
      </w:r>
      <w:r>
        <w:rPr>
          <w:rFonts w:ascii="宋体" w:eastAsia="宋体" w:hAnsi="宋体" w:cs="宋体"/>
          <w:spacing w:val="-1"/>
        </w:rPr>
        <w:t>以上，是人体能量的良好来源。</w:t>
      </w:r>
    </w:p>
    <w:p w:rsidR="00EA40A3" w:rsidRDefault="00E86C16">
      <w:pPr>
        <w:spacing w:before="40"/>
        <w:ind w:left="105"/>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184</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84" w:bottom="400" w:left="684" w:header="0" w:footer="0" w:gutter="0"/>
          <w:cols w:space="720"/>
        </w:sectPr>
      </w:pPr>
    </w:p>
    <w:p w:rsidR="00EA40A3" w:rsidRDefault="00EA40A3">
      <w:pPr>
        <w:spacing w:line="271" w:lineRule="auto"/>
      </w:pPr>
    </w:p>
    <w:p w:rsidR="00EA40A3" w:rsidRDefault="00EA40A3">
      <w:pPr>
        <w:spacing w:line="272" w:lineRule="auto"/>
      </w:pPr>
    </w:p>
    <w:p w:rsidR="00EA40A3" w:rsidRDefault="00E86C16">
      <w:pPr>
        <w:spacing w:before="72" w:line="244" w:lineRule="auto"/>
        <w:ind w:right="100" w:firstLine="430"/>
        <w:jc w:val="both"/>
        <w:rPr>
          <w:rFonts w:ascii="宋体" w:eastAsia="宋体" w:hAnsi="宋体" w:cs="宋体"/>
          <w:sz w:val="22"/>
          <w:szCs w:val="22"/>
        </w:rPr>
      </w:pPr>
      <w:r>
        <w:rPr>
          <w:rFonts w:ascii="宋体" w:eastAsia="宋体" w:hAnsi="宋体" w:cs="宋体"/>
          <w:spacing w:val="-11"/>
          <w:sz w:val="22"/>
          <w:szCs w:val="22"/>
        </w:rPr>
        <w:t>各种谷物的口感不同，在很大程度上取决于其中淀粉</w:t>
      </w:r>
      <w:r>
        <w:rPr>
          <w:rFonts w:ascii="宋体" w:eastAsia="宋体" w:hAnsi="宋体" w:cs="宋体"/>
          <w:spacing w:val="-12"/>
          <w:sz w:val="22"/>
          <w:szCs w:val="22"/>
        </w:rPr>
        <w:t>的特性差异。</w:t>
      </w:r>
      <w:r>
        <w:rPr>
          <w:rFonts w:ascii="宋体" w:eastAsia="宋体" w:hAnsi="宋体" w:cs="宋体"/>
          <w:spacing w:val="39"/>
          <w:sz w:val="22"/>
          <w:szCs w:val="22"/>
        </w:rPr>
        <w:t xml:space="preserve"> </w:t>
      </w:r>
      <w:r>
        <w:rPr>
          <w:rFonts w:ascii="宋体" w:eastAsia="宋体" w:hAnsi="宋体" w:cs="宋体"/>
          <w:spacing w:val="-12"/>
          <w:sz w:val="22"/>
          <w:szCs w:val="22"/>
        </w:rPr>
        <w:t>一般来</w:t>
      </w:r>
      <w:r>
        <w:rPr>
          <w:rFonts w:ascii="宋体" w:eastAsia="宋体" w:hAnsi="宋体" w:cs="宋体"/>
          <w:sz w:val="22"/>
          <w:szCs w:val="22"/>
        </w:rPr>
        <w:t xml:space="preserve"> </w:t>
      </w:r>
      <w:r>
        <w:rPr>
          <w:rFonts w:ascii="宋体" w:eastAsia="宋体" w:hAnsi="宋体" w:cs="宋体"/>
          <w:spacing w:val="-7"/>
          <w:sz w:val="22"/>
          <w:szCs w:val="22"/>
        </w:rPr>
        <w:t>说，其中直链淀粉比例较低，以支链淀粉为主，在品种间差异较大。不</w:t>
      </w:r>
      <w:r>
        <w:rPr>
          <w:rFonts w:ascii="宋体" w:eastAsia="宋体" w:hAnsi="宋体" w:cs="宋体"/>
          <w:spacing w:val="-8"/>
          <w:sz w:val="22"/>
          <w:szCs w:val="22"/>
        </w:rPr>
        <w:t>同谷类</w:t>
      </w:r>
      <w:r>
        <w:rPr>
          <w:rFonts w:ascii="宋体" w:eastAsia="宋体" w:hAnsi="宋体" w:cs="宋体"/>
          <w:sz w:val="22"/>
          <w:szCs w:val="22"/>
        </w:rPr>
        <w:t xml:space="preserve"> 和品种之间淀粉的性质差异影响到谷类的消化速度，</w:t>
      </w:r>
      <w:r>
        <w:rPr>
          <w:rFonts w:ascii="宋体" w:eastAsia="宋体" w:hAnsi="宋体" w:cs="宋体"/>
          <w:spacing w:val="-1"/>
          <w:sz w:val="22"/>
          <w:szCs w:val="22"/>
        </w:rPr>
        <w:t>以及摄入后血糖上升的</w:t>
      </w:r>
      <w:r>
        <w:rPr>
          <w:rFonts w:ascii="宋体" w:eastAsia="宋体" w:hAnsi="宋体" w:cs="宋体"/>
          <w:sz w:val="22"/>
          <w:szCs w:val="22"/>
        </w:rPr>
        <w:t xml:space="preserve"> </w:t>
      </w:r>
      <w:r>
        <w:rPr>
          <w:rFonts w:ascii="宋体" w:eastAsia="宋体" w:hAnsi="宋体" w:cs="宋体"/>
          <w:spacing w:val="-9"/>
          <w:sz w:val="22"/>
          <w:szCs w:val="22"/>
        </w:rPr>
        <w:t>速度。</w:t>
      </w:r>
    </w:p>
    <w:p w:rsidR="00EA40A3" w:rsidRDefault="00E86C16">
      <w:pPr>
        <w:spacing w:before="66" w:line="236" w:lineRule="auto"/>
        <w:ind w:right="98" w:firstLine="430"/>
        <w:jc w:val="both"/>
        <w:rPr>
          <w:rFonts w:ascii="宋体" w:eastAsia="宋体" w:hAnsi="宋体" w:cs="宋体"/>
          <w:sz w:val="22"/>
          <w:szCs w:val="22"/>
        </w:rPr>
      </w:pPr>
      <w:r>
        <w:rPr>
          <w:rFonts w:ascii="宋体" w:eastAsia="宋体" w:hAnsi="宋体" w:cs="宋体"/>
          <w:spacing w:val="-18"/>
          <w:sz w:val="22"/>
          <w:szCs w:val="22"/>
        </w:rPr>
        <w:t>除淀粉之外，谷类种子中尚含有少量可溶性糖和糊精。</w:t>
      </w:r>
      <w:r>
        <w:rPr>
          <w:rFonts w:ascii="宋体" w:eastAsia="宋体" w:hAnsi="宋体" w:cs="宋体"/>
          <w:spacing w:val="51"/>
          <w:sz w:val="22"/>
          <w:szCs w:val="22"/>
        </w:rPr>
        <w:t xml:space="preserve"> </w:t>
      </w:r>
      <w:r>
        <w:rPr>
          <w:rFonts w:ascii="宋体" w:eastAsia="宋体" w:hAnsi="宋体" w:cs="宋体"/>
          <w:spacing w:val="-18"/>
          <w:sz w:val="22"/>
          <w:szCs w:val="22"/>
        </w:rPr>
        <w:t>一般来说，可溶性糖</w:t>
      </w:r>
      <w:r>
        <w:rPr>
          <w:rFonts w:ascii="宋体" w:eastAsia="宋体" w:hAnsi="宋体" w:cs="宋体"/>
          <w:sz w:val="22"/>
          <w:szCs w:val="22"/>
        </w:rPr>
        <w:t xml:space="preserve"> </w:t>
      </w:r>
      <w:r>
        <w:rPr>
          <w:rFonts w:ascii="宋体" w:eastAsia="宋体" w:hAnsi="宋体" w:cs="宋体"/>
          <w:spacing w:val="-3"/>
          <w:sz w:val="22"/>
          <w:szCs w:val="22"/>
        </w:rPr>
        <w:t>的含量低于3%,包括葡萄糖、果糖、麦芽糖和蔗糖。含可溶性糖最多</w:t>
      </w:r>
      <w:r>
        <w:rPr>
          <w:rFonts w:ascii="宋体" w:eastAsia="宋体" w:hAnsi="宋体" w:cs="宋体"/>
          <w:spacing w:val="-4"/>
          <w:sz w:val="22"/>
          <w:szCs w:val="22"/>
        </w:rPr>
        <w:t>的部分是</w:t>
      </w:r>
      <w:r>
        <w:rPr>
          <w:rFonts w:ascii="宋体" w:eastAsia="宋体" w:hAnsi="宋体" w:cs="宋体"/>
          <w:sz w:val="22"/>
          <w:szCs w:val="22"/>
        </w:rPr>
        <w:t xml:space="preserve"> </w:t>
      </w:r>
      <w:r>
        <w:rPr>
          <w:rFonts w:ascii="宋体" w:eastAsia="宋体" w:hAnsi="宋体" w:cs="宋体"/>
          <w:spacing w:val="-18"/>
          <w:sz w:val="22"/>
          <w:szCs w:val="22"/>
        </w:rPr>
        <w:t>谷胚。</w:t>
      </w:r>
    </w:p>
    <w:p w:rsidR="00EA40A3" w:rsidRDefault="00E86C16">
      <w:pPr>
        <w:spacing w:before="78" w:line="245" w:lineRule="auto"/>
        <w:ind w:firstLine="430"/>
        <w:jc w:val="both"/>
        <w:rPr>
          <w:rFonts w:ascii="宋体" w:eastAsia="宋体" w:hAnsi="宋体" w:cs="宋体"/>
          <w:sz w:val="22"/>
          <w:szCs w:val="22"/>
        </w:rPr>
      </w:pPr>
      <w:r>
        <w:rPr>
          <w:rFonts w:ascii="宋体" w:eastAsia="宋体" w:hAnsi="宋体" w:cs="宋体"/>
          <w:spacing w:val="-12"/>
          <w:sz w:val="22"/>
          <w:szCs w:val="22"/>
        </w:rPr>
        <w:t>谷类食物含有较多的非淀粉多糖，包括纤维素</w:t>
      </w:r>
      <w:r>
        <w:rPr>
          <w:rFonts w:ascii="宋体" w:eastAsia="宋体" w:hAnsi="宋体" w:cs="宋体"/>
          <w:spacing w:val="-13"/>
          <w:sz w:val="22"/>
          <w:szCs w:val="22"/>
        </w:rPr>
        <w:t>、半纤维素、戊聚糖等，果胶</w:t>
      </w:r>
      <w:r>
        <w:rPr>
          <w:rFonts w:ascii="宋体" w:eastAsia="宋体" w:hAnsi="宋体" w:cs="宋体"/>
          <w:sz w:val="22"/>
          <w:szCs w:val="22"/>
        </w:rPr>
        <w:t xml:space="preserve"> 物质含量比较少。谷粒中的膳食纤维含量为2%～12%,主</w:t>
      </w:r>
      <w:r>
        <w:rPr>
          <w:rFonts w:ascii="宋体" w:eastAsia="宋体" w:hAnsi="宋体" w:cs="宋体"/>
          <w:spacing w:val="-1"/>
          <w:sz w:val="22"/>
          <w:szCs w:val="22"/>
        </w:rPr>
        <w:t>要存在于谷壳、谷皮</w:t>
      </w:r>
      <w:r>
        <w:rPr>
          <w:rFonts w:ascii="宋体" w:eastAsia="宋体" w:hAnsi="宋体" w:cs="宋体"/>
          <w:sz w:val="22"/>
          <w:szCs w:val="22"/>
        </w:rPr>
        <w:t xml:space="preserve">  </w:t>
      </w:r>
      <w:r>
        <w:rPr>
          <w:rFonts w:ascii="宋体" w:eastAsia="宋体" w:hAnsi="宋体" w:cs="宋体"/>
          <w:spacing w:val="-10"/>
          <w:sz w:val="22"/>
          <w:szCs w:val="22"/>
        </w:rPr>
        <w:t>和糊粉层中。其中纤维素主要存在于谷皮部分，往往损失于精磨时的糠麸之中，</w:t>
      </w:r>
      <w:r>
        <w:rPr>
          <w:rFonts w:ascii="宋体" w:eastAsia="宋体" w:hAnsi="宋体" w:cs="宋体"/>
          <w:spacing w:val="8"/>
          <w:sz w:val="22"/>
          <w:szCs w:val="22"/>
        </w:rPr>
        <w:t xml:space="preserve"> </w:t>
      </w:r>
      <w:r>
        <w:rPr>
          <w:rFonts w:ascii="宋体" w:eastAsia="宋体" w:hAnsi="宋体" w:cs="宋体"/>
          <w:spacing w:val="-6"/>
          <w:sz w:val="22"/>
          <w:szCs w:val="22"/>
        </w:rPr>
        <w:t>胚乳部分的纤维素含量不足0.3%。因此，各种未精制的谷类都是膳食纤维素的</w:t>
      </w:r>
      <w:r>
        <w:rPr>
          <w:rFonts w:ascii="宋体" w:eastAsia="宋体" w:hAnsi="宋体" w:cs="宋体"/>
          <w:sz w:val="22"/>
          <w:szCs w:val="22"/>
        </w:rPr>
        <w:t xml:space="preserve">  </w:t>
      </w:r>
      <w:r>
        <w:rPr>
          <w:rFonts w:ascii="宋体" w:eastAsia="宋体" w:hAnsi="宋体" w:cs="宋体"/>
          <w:spacing w:val="-20"/>
          <w:sz w:val="22"/>
          <w:szCs w:val="22"/>
        </w:rPr>
        <w:t>良好来源。</w:t>
      </w:r>
    </w:p>
    <w:p w:rsidR="00EA40A3" w:rsidRDefault="00E86C16">
      <w:pPr>
        <w:spacing w:before="57" w:line="239" w:lineRule="auto"/>
        <w:ind w:right="93" w:firstLine="430"/>
        <w:jc w:val="both"/>
        <w:rPr>
          <w:rFonts w:ascii="宋体" w:eastAsia="宋体" w:hAnsi="宋体" w:cs="宋体"/>
          <w:sz w:val="22"/>
          <w:szCs w:val="22"/>
        </w:rPr>
      </w:pPr>
      <w:r>
        <w:rPr>
          <w:rFonts w:ascii="宋体" w:eastAsia="宋体" w:hAnsi="宋体" w:cs="宋体"/>
          <w:spacing w:val="-10"/>
          <w:sz w:val="22"/>
          <w:szCs w:val="22"/>
        </w:rPr>
        <w:t>半纤维素的化学成分较为复杂，包括β-葡聚糖和戊糖、已糖、糖醛酸、蛋</w:t>
      </w:r>
      <w:r>
        <w:rPr>
          <w:rFonts w:ascii="宋体" w:eastAsia="宋体" w:hAnsi="宋体" w:cs="宋体"/>
          <w:spacing w:val="8"/>
          <w:sz w:val="22"/>
          <w:szCs w:val="22"/>
        </w:rPr>
        <w:t xml:space="preserve"> </w:t>
      </w:r>
      <w:r>
        <w:rPr>
          <w:rFonts w:ascii="宋体" w:eastAsia="宋体" w:hAnsi="宋体" w:cs="宋体"/>
          <w:spacing w:val="-10"/>
          <w:sz w:val="22"/>
          <w:szCs w:val="22"/>
        </w:rPr>
        <w:t>白质和分类的复杂多聚体。大麦和燕麦中富含β-葡聚糖，例如，大麦细胞壁中</w:t>
      </w:r>
      <w:r>
        <w:rPr>
          <w:rFonts w:ascii="宋体" w:eastAsia="宋体" w:hAnsi="宋体" w:cs="宋体"/>
          <w:spacing w:val="12"/>
          <w:sz w:val="22"/>
          <w:szCs w:val="22"/>
        </w:rPr>
        <w:t xml:space="preserve"> </w:t>
      </w:r>
      <w:r>
        <w:rPr>
          <w:rFonts w:ascii="宋体" w:eastAsia="宋体" w:hAnsi="宋体" w:cs="宋体"/>
          <w:spacing w:val="-6"/>
          <w:sz w:val="22"/>
          <w:szCs w:val="22"/>
        </w:rPr>
        <w:t>含有70%的β-葡聚糖以及20%的戊聚糖。β-葡聚糖近年来受到营养界的特别重</w:t>
      </w:r>
      <w:r>
        <w:rPr>
          <w:rFonts w:ascii="宋体" w:eastAsia="宋体" w:hAnsi="宋体" w:cs="宋体"/>
          <w:spacing w:val="6"/>
          <w:sz w:val="22"/>
          <w:szCs w:val="22"/>
        </w:rPr>
        <w:t xml:space="preserve"> </w:t>
      </w:r>
      <w:r>
        <w:rPr>
          <w:rFonts w:ascii="宋体" w:eastAsia="宋体" w:hAnsi="宋体" w:cs="宋体"/>
          <w:spacing w:val="-6"/>
          <w:sz w:val="22"/>
          <w:szCs w:val="22"/>
        </w:rPr>
        <w:t>视，经功能研究认为它具有降低血糖、降低血清胆固醇</w:t>
      </w:r>
      <w:r>
        <w:rPr>
          <w:rFonts w:ascii="宋体" w:eastAsia="宋体" w:hAnsi="宋体" w:cs="宋体"/>
          <w:spacing w:val="-7"/>
          <w:sz w:val="22"/>
          <w:szCs w:val="22"/>
        </w:rPr>
        <w:t>和预防慢性疾病发生的</w:t>
      </w:r>
      <w:r>
        <w:rPr>
          <w:rFonts w:ascii="宋体" w:eastAsia="宋体" w:hAnsi="宋体" w:cs="宋体"/>
          <w:sz w:val="22"/>
          <w:szCs w:val="22"/>
        </w:rPr>
        <w:t xml:space="preserve"> </w:t>
      </w:r>
      <w:r>
        <w:rPr>
          <w:rFonts w:ascii="宋体" w:eastAsia="宋体" w:hAnsi="宋体" w:cs="宋体"/>
          <w:spacing w:val="-18"/>
          <w:sz w:val="22"/>
          <w:szCs w:val="22"/>
        </w:rPr>
        <w:t>效应。</w:t>
      </w:r>
    </w:p>
    <w:p w:rsidR="00EA40A3" w:rsidRDefault="00E86C16">
      <w:pPr>
        <w:spacing w:before="248" w:line="224"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9"/>
          <w:sz w:val="22"/>
          <w:szCs w:val="22"/>
        </w:rPr>
        <w:t xml:space="preserve"> </w:t>
      </w:r>
      <w:r>
        <w:rPr>
          <w:rFonts w:ascii="仿宋" w:eastAsia="仿宋" w:hAnsi="仿宋" w:cs="仿宋"/>
          <w:spacing w:val="10"/>
          <w:sz w:val="22"/>
          <w:szCs w:val="22"/>
        </w:rPr>
        <w:t>蛋白质</w:t>
      </w:r>
    </w:p>
    <w:p w:rsidR="00EA40A3" w:rsidRDefault="00E86C16">
      <w:pPr>
        <w:spacing w:before="179" w:line="216" w:lineRule="auto"/>
        <w:ind w:left="430"/>
        <w:rPr>
          <w:rFonts w:ascii="宋体" w:eastAsia="宋体" w:hAnsi="宋体" w:cs="宋体"/>
          <w:sz w:val="22"/>
          <w:szCs w:val="22"/>
        </w:rPr>
      </w:pPr>
      <w:r>
        <w:rPr>
          <w:rFonts w:ascii="宋体" w:eastAsia="宋体" w:hAnsi="宋体" w:cs="宋体"/>
          <w:sz w:val="22"/>
          <w:szCs w:val="22"/>
        </w:rPr>
        <w:t>谷类种子的蛋白质含量为7%～16%,品种间有较大差异</w:t>
      </w:r>
      <w:r>
        <w:rPr>
          <w:rFonts w:ascii="宋体" w:eastAsia="宋体" w:hAnsi="宋体" w:cs="宋体"/>
          <w:spacing w:val="-1"/>
          <w:sz w:val="22"/>
          <w:szCs w:val="22"/>
        </w:rPr>
        <w:t>。</w:t>
      </w:r>
    </w:p>
    <w:p w:rsidR="00EA40A3" w:rsidRDefault="00E86C16">
      <w:pPr>
        <w:spacing w:before="71" w:line="248" w:lineRule="auto"/>
        <w:ind w:firstLine="430"/>
        <w:rPr>
          <w:rFonts w:ascii="宋体" w:eastAsia="宋体" w:hAnsi="宋体" w:cs="宋体"/>
          <w:sz w:val="22"/>
          <w:szCs w:val="22"/>
        </w:rPr>
      </w:pPr>
      <w:r>
        <w:rPr>
          <w:rFonts w:ascii="宋体" w:eastAsia="宋体" w:hAnsi="宋体" w:cs="宋体"/>
          <w:spacing w:val="-10"/>
          <w:sz w:val="22"/>
          <w:szCs w:val="22"/>
        </w:rPr>
        <w:t>按照蛋白质的溶解特性，谷类中的蛋白质可以划分为谷蛋白、醇溶谷蛋白</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3"/>
          <w:sz w:val="22"/>
          <w:szCs w:val="22"/>
        </w:rPr>
        <w:t>球蛋白和清蛋白4个组分。多数谷类种子中醇溶谷蛋白(也称麦胶蛋</w:t>
      </w:r>
      <w:r>
        <w:rPr>
          <w:rFonts w:ascii="宋体" w:eastAsia="宋体" w:hAnsi="宋体" w:cs="宋体"/>
          <w:spacing w:val="-4"/>
          <w:sz w:val="22"/>
          <w:szCs w:val="22"/>
        </w:rPr>
        <w:t>白)和谷蛋</w:t>
      </w:r>
      <w:r>
        <w:rPr>
          <w:rFonts w:ascii="宋体" w:eastAsia="宋体" w:hAnsi="宋体" w:cs="宋体"/>
          <w:sz w:val="22"/>
          <w:szCs w:val="22"/>
        </w:rPr>
        <w:t xml:space="preserve">  </w:t>
      </w:r>
      <w:r>
        <w:rPr>
          <w:rFonts w:ascii="宋体" w:eastAsia="宋体" w:hAnsi="宋体" w:cs="宋体"/>
          <w:spacing w:val="-13"/>
          <w:sz w:val="22"/>
          <w:szCs w:val="22"/>
        </w:rPr>
        <w:t>白所占比例较大，清蛋白和球蛋白含量相对较低。醇溶谷蛋白和谷蛋白属于储藏</w:t>
      </w:r>
      <w:r>
        <w:rPr>
          <w:rFonts w:ascii="宋体" w:eastAsia="宋体" w:hAnsi="宋体" w:cs="宋体"/>
          <w:spacing w:val="6"/>
          <w:sz w:val="22"/>
          <w:szCs w:val="22"/>
        </w:rPr>
        <w:t xml:space="preserve">  </w:t>
      </w:r>
      <w:r>
        <w:rPr>
          <w:rFonts w:ascii="宋体" w:eastAsia="宋体" w:hAnsi="宋体" w:cs="宋体"/>
          <w:spacing w:val="-7"/>
          <w:sz w:val="22"/>
          <w:szCs w:val="22"/>
        </w:rPr>
        <w:t>蛋白质，而醇溶谷蛋白中赖氨酸、色氨酸和蛋氨酸的含量均低于清蛋白和球蛋</w:t>
      </w:r>
      <w:r>
        <w:rPr>
          <w:rFonts w:ascii="宋体" w:eastAsia="宋体" w:hAnsi="宋体" w:cs="宋体"/>
          <w:spacing w:val="8"/>
          <w:sz w:val="22"/>
          <w:szCs w:val="22"/>
        </w:rPr>
        <w:t xml:space="preserve">  </w:t>
      </w:r>
      <w:r>
        <w:rPr>
          <w:rFonts w:ascii="宋体" w:eastAsia="宋体" w:hAnsi="宋体" w:cs="宋体"/>
          <w:spacing w:val="-13"/>
          <w:sz w:val="22"/>
          <w:szCs w:val="22"/>
        </w:rPr>
        <w:t>白，使得谷类蛋白质的生物价值较低。谷蛋白的氨基酸组成则变化较大，在小麦</w:t>
      </w:r>
      <w:r>
        <w:rPr>
          <w:rFonts w:ascii="宋体" w:eastAsia="宋体" w:hAnsi="宋体" w:cs="宋体"/>
          <w:spacing w:val="6"/>
          <w:sz w:val="22"/>
          <w:szCs w:val="22"/>
        </w:rPr>
        <w:t xml:space="preserve">  </w:t>
      </w:r>
      <w:r>
        <w:rPr>
          <w:rFonts w:ascii="宋体" w:eastAsia="宋体" w:hAnsi="宋体" w:cs="宋体"/>
          <w:spacing w:val="-13"/>
          <w:sz w:val="22"/>
          <w:szCs w:val="22"/>
        </w:rPr>
        <w:t>中，谷蛋白与醇溶谷蛋白的组成相似；而在玉米当中，谷蛋白中的赖氨酸含量远</w:t>
      </w:r>
      <w:r>
        <w:rPr>
          <w:rFonts w:ascii="宋体" w:eastAsia="宋体" w:hAnsi="宋体" w:cs="宋体"/>
          <w:spacing w:val="6"/>
          <w:sz w:val="22"/>
          <w:szCs w:val="22"/>
        </w:rPr>
        <w:t xml:space="preserve">  </w:t>
      </w:r>
      <w:r>
        <w:rPr>
          <w:rFonts w:ascii="宋体" w:eastAsia="宋体" w:hAnsi="宋体" w:cs="宋体"/>
          <w:spacing w:val="-12"/>
          <w:sz w:val="22"/>
          <w:szCs w:val="22"/>
        </w:rPr>
        <w:t>高于醇溶谷蛋白。随着品种蛋白质含量的提高，增</w:t>
      </w:r>
      <w:r>
        <w:rPr>
          <w:rFonts w:ascii="宋体" w:eastAsia="宋体" w:hAnsi="宋体" w:cs="宋体"/>
          <w:spacing w:val="-13"/>
          <w:sz w:val="22"/>
          <w:szCs w:val="22"/>
        </w:rPr>
        <w:t>加的主要是储藏蛋白，因此总</w:t>
      </w:r>
      <w:r>
        <w:rPr>
          <w:rFonts w:ascii="宋体" w:eastAsia="宋体" w:hAnsi="宋体" w:cs="宋体"/>
          <w:sz w:val="22"/>
          <w:szCs w:val="22"/>
        </w:rPr>
        <w:t xml:space="preserve">  </w:t>
      </w:r>
      <w:r>
        <w:rPr>
          <w:rFonts w:ascii="宋体" w:eastAsia="宋体" w:hAnsi="宋体" w:cs="宋体"/>
          <w:spacing w:val="-15"/>
          <w:sz w:val="22"/>
          <w:szCs w:val="22"/>
        </w:rPr>
        <w:t>体蛋白质质量会有所下降。</w:t>
      </w:r>
    </w:p>
    <w:p w:rsidR="00EA40A3" w:rsidRDefault="00E86C16">
      <w:pPr>
        <w:spacing w:before="88" w:line="237" w:lineRule="auto"/>
        <w:ind w:right="94" w:firstLine="430"/>
        <w:jc w:val="both"/>
        <w:rPr>
          <w:rFonts w:ascii="宋体" w:eastAsia="宋体" w:hAnsi="宋体" w:cs="宋体"/>
          <w:sz w:val="22"/>
          <w:szCs w:val="22"/>
        </w:rPr>
      </w:pPr>
      <w:r>
        <w:rPr>
          <w:rFonts w:ascii="宋体" w:eastAsia="宋体" w:hAnsi="宋体" w:cs="宋体"/>
          <w:spacing w:val="-13"/>
          <w:sz w:val="22"/>
          <w:szCs w:val="22"/>
        </w:rPr>
        <w:t>多数谷类种子的第一限制氨基酸是赖氨酸，第二限制氨基酸往往是色氨</w:t>
      </w:r>
      <w:r>
        <w:rPr>
          <w:rFonts w:ascii="宋体" w:eastAsia="宋体" w:hAnsi="宋体" w:cs="宋体"/>
          <w:spacing w:val="-14"/>
          <w:sz w:val="22"/>
          <w:szCs w:val="22"/>
        </w:rPr>
        <w:t>酸或</w:t>
      </w:r>
      <w:r>
        <w:rPr>
          <w:rFonts w:ascii="宋体" w:eastAsia="宋体" w:hAnsi="宋体" w:cs="宋体"/>
          <w:sz w:val="22"/>
          <w:szCs w:val="22"/>
        </w:rPr>
        <w:t xml:space="preserve"> </w:t>
      </w:r>
      <w:r>
        <w:rPr>
          <w:rFonts w:ascii="宋体" w:eastAsia="宋体" w:hAnsi="宋体" w:cs="宋体"/>
          <w:spacing w:val="-12"/>
          <w:sz w:val="22"/>
          <w:szCs w:val="22"/>
        </w:rPr>
        <w:t>苏氨酸。燕麦和荞麦的蛋白质是例外，其中赖</w:t>
      </w:r>
      <w:r>
        <w:rPr>
          <w:rFonts w:ascii="宋体" w:eastAsia="宋体" w:hAnsi="宋体" w:cs="宋体"/>
          <w:spacing w:val="-13"/>
          <w:sz w:val="22"/>
          <w:szCs w:val="22"/>
        </w:rPr>
        <w:t>氨酸含量充足，生物价值较高。如</w:t>
      </w:r>
      <w:r>
        <w:rPr>
          <w:rFonts w:ascii="宋体" w:eastAsia="宋体" w:hAnsi="宋体" w:cs="宋体"/>
          <w:sz w:val="22"/>
          <w:szCs w:val="22"/>
        </w:rPr>
        <w:t xml:space="preserve"> </w:t>
      </w:r>
      <w:r>
        <w:rPr>
          <w:rFonts w:ascii="宋体" w:eastAsia="宋体" w:hAnsi="宋体" w:cs="宋体"/>
          <w:spacing w:val="-13"/>
          <w:sz w:val="22"/>
          <w:szCs w:val="22"/>
        </w:rPr>
        <w:t>果与少量的豆类、奶类、蛋类或肉类同食，则可以通过蛋白质互补作用有效提高</w:t>
      </w:r>
      <w:r>
        <w:rPr>
          <w:rFonts w:ascii="宋体" w:eastAsia="宋体" w:hAnsi="宋体" w:cs="宋体"/>
          <w:spacing w:val="12"/>
          <w:sz w:val="22"/>
          <w:szCs w:val="22"/>
        </w:rPr>
        <w:t xml:space="preserve"> </w:t>
      </w:r>
      <w:r>
        <w:rPr>
          <w:rFonts w:ascii="宋体" w:eastAsia="宋体" w:hAnsi="宋体" w:cs="宋体"/>
          <w:spacing w:val="-17"/>
          <w:sz w:val="22"/>
          <w:szCs w:val="22"/>
        </w:rPr>
        <w:t>谷类蛋白质的生物价值。</w:t>
      </w:r>
    </w:p>
    <w:p w:rsidR="00EA40A3" w:rsidRDefault="00E86C16">
      <w:pPr>
        <w:spacing w:before="221" w:line="223" w:lineRule="auto"/>
        <w:rPr>
          <w:rFonts w:ascii="仿宋" w:eastAsia="仿宋" w:hAnsi="仿宋" w:cs="仿宋"/>
          <w:sz w:val="22"/>
          <w:szCs w:val="22"/>
        </w:rPr>
      </w:pPr>
      <w:r>
        <w:rPr>
          <w:rFonts w:ascii="仿宋" w:eastAsia="仿宋" w:hAnsi="仿宋" w:cs="仿宋"/>
          <w:spacing w:val="6"/>
          <w:sz w:val="22"/>
          <w:szCs w:val="22"/>
        </w:rPr>
        <w:t>3.</w:t>
      </w:r>
      <w:r>
        <w:rPr>
          <w:rFonts w:ascii="仿宋" w:eastAsia="仿宋" w:hAnsi="仿宋" w:cs="仿宋"/>
          <w:spacing w:val="-28"/>
          <w:sz w:val="22"/>
          <w:szCs w:val="22"/>
        </w:rPr>
        <w:t xml:space="preserve"> </w:t>
      </w:r>
      <w:r>
        <w:rPr>
          <w:rFonts w:ascii="仿宋" w:eastAsia="仿宋" w:hAnsi="仿宋" w:cs="仿宋"/>
          <w:spacing w:val="6"/>
          <w:sz w:val="22"/>
          <w:szCs w:val="22"/>
        </w:rPr>
        <w:t>脂类</w:t>
      </w:r>
    </w:p>
    <w:p w:rsidR="00EA40A3" w:rsidRDefault="00E86C16">
      <w:pPr>
        <w:spacing w:before="222" w:line="241" w:lineRule="auto"/>
        <w:ind w:right="70" w:firstLine="430"/>
        <w:rPr>
          <w:rFonts w:ascii="宋体" w:eastAsia="宋体" w:hAnsi="宋体" w:cs="宋体"/>
          <w:sz w:val="22"/>
          <w:szCs w:val="22"/>
        </w:rPr>
      </w:pPr>
      <w:r>
        <w:rPr>
          <w:rFonts w:ascii="宋体" w:eastAsia="宋体" w:hAnsi="宋体" w:cs="宋体"/>
          <w:spacing w:val="4"/>
          <w:sz w:val="22"/>
          <w:szCs w:val="22"/>
        </w:rPr>
        <w:t>谷类的脂肪含量较低，多数品种仅有2%～3%,主要集中于外层的胚、糊</w:t>
      </w:r>
      <w:r>
        <w:rPr>
          <w:rFonts w:ascii="宋体" w:eastAsia="宋体" w:hAnsi="宋体" w:cs="宋体"/>
          <w:spacing w:val="16"/>
          <w:sz w:val="22"/>
          <w:szCs w:val="22"/>
        </w:rPr>
        <w:t xml:space="preserve"> </w:t>
      </w:r>
      <w:r>
        <w:rPr>
          <w:rFonts w:ascii="宋体" w:eastAsia="宋体" w:hAnsi="宋体" w:cs="宋体"/>
          <w:spacing w:val="-12"/>
          <w:sz w:val="22"/>
          <w:szCs w:val="22"/>
        </w:rPr>
        <w:t>粉层和谷皮部分，这一部分被称为非淀粉脂类。其中含有丰富</w:t>
      </w:r>
      <w:r>
        <w:rPr>
          <w:rFonts w:ascii="宋体" w:eastAsia="宋体" w:hAnsi="宋体" w:cs="宋体"/>
          <w:spacing w:val="-13"/>
          <w:sz w:val="22"/>
          <w:szCs w:val="22"/>
        </w:rPr>
        <w:t>的亚油酸，含有磷</w:t>
      </w:r>
    </w:p>
    <w:p w:rsidR="00EA40A3" w:rsidRDefault="00E86C16">
      <w:pPr>
        <w:spacing w:before="94"/>
        <w:ind w:right="145"/>
        <w:jc w:val="right"/>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8"/>
          <w:sz w:val="17"/>
          <w:szCs w:val="17"/>
        </w:rPr>
        <w:t xml:space="preserve"> </w:t>
      </w:r>
      <w:r>
        <w:rPr>
          <w:rFonts w:ascii="宋体" w:eastAsia="宋体" w:hAnsi="宋体" w:cs="宋体"/>
          <w:spacing w:val="-24"/>
          <w:sz w:val="17"/>
          <w:szCs w:val="17"/>
        </w:rPr>
        <w:t>185</w:t>
      </w:r>
      <w:r>
        <w:rPr>
          <w:rFonts w:ascii="宋体" w:eastAsia="宋体" w:hAnsi="宋体" w:cs="宋体"/>
          <w:spacing w:val="50"/>
          <w:sz w:val="17"/>
          <w:szCs w:val="17"/>
        </w:rPr>
        <w:t xml:space="preserve"> </w:t>
      </w:r>
      <w:r>
        <w:rPr>
          <w:rFonts w:ascii="宋体" w:eastAsia="宋体" w:hAnsi="宋体" w:cs="宋体"/>
          <w:spacing w:val="-24"/>
          <w:sz w:val="17"/>
          <w:szCs w:val="17"/>
        </w:rPr>
        <w:t>·</w:t>
      </w:r>
    </w:p>
    <w:p w:rsidR="00EA40A3" w:rsidRDefault="00EA40A3">
      <w:pPr>
        <w:sectPr w:rsidR="00EA40A3">
          <w:pgSz w:w="9220" w:h="13360"/>
          <w:pgMar w:top="400" w:right="1010" w:bottom="400" w:left="849" w:header="0" w:footer="0" w:gutter="0"/>
          <w:cols w:space="720"/>
        </w:sectPr>
      </w:pPr>
    </w:p>
    <w:p w:rsidR="00EA40A3" w:rsidRDefault="00EA40A3">
      <w:pPr>
        <w:spacing w:line="251" w:lineRule="auto"/>
      </w:pPr>
    </w:p>
    <w:p w:rsidR="00EA40A3" w:rsidRDefault="00EA40A3">
      <w:pPr>
        <w:spacing w:line="251" w:lineRule="auto"/>
      </w:pPr>
    </w:p>
    <w:p w:rsidR="00EA40A3" w:rsidRDefault="00E86C16">
      <w:pPr>
        <w:spacing w:before="71" w:line="258" w:lineRule="auto"/>
        <w:ind w:left="20" w:right="39"/>
        <w:rPr>
          <w:rFonts w:ascii="宋体" w:eastAsia="宋体" w:hAnsi="宋体" w:cs="宋体"/>
          <w:sz w:val="22"/>
          <w:szCs w:val="22"/>
        </w:rPr>
      </w:pPr>
      <w:r>
        <w:rPr>
          <w:rFonts w:ascii="宋体" w:eastAsia="宋体" w:hAnsi="宋体" w:cs="宋体"/>
          <w:spacing w:val="-11"/>
          <w:sz w:val="22"/>
          <w:szCs w:val="22"/>
        </w:rPr>
        <w:t>脂和谷固醇等成分，并富含维生素E。</w:t>
      </w:r>
      <w:r>
        <w:rPr>
          <w:rFonts w:ascii="宋体" w:eastAsia="宋体" w:hAnsi="宋体" w:cs="宋体"/>
          <w:spacing w:val="-36"/>
          <w:sz w:val="22"/>
          <w:szCs w:val="22"/>
        </w:rPr>
        <w:t xml:space="preserve"> </w:t>
      </w:r>
      <w:r>
        <w:rPr>
          <w:rFonts w:ascii="宋体" w:eastAsia="宋体" w:hAnsi="宋体" w:cs="宋体"/>
          <w:spacing w:val="-11"/>
          <w:sz w:val="22"/>
          <w:szCs w:val="22"/>
        </w:rPr>
        <w:t>谷胚油常常被作为营养补充剂使用，具有</w:t>
      </w:r>
      <w:r>
        <w:rPr>
          <w:rFonts w:ascii="宋体" w:eastAsia="宋体" w:hAnsi="宋体" w:cs="宋体"/>
          <w:sz w:val="22"/>
          <w:szCs w:val="22"/>
        </w:rPr>
        <w:t xml:space="preserve"> </w:t>
      </w:r>
      <w:r>
        <w:rPr>
          <w:rFonts w:ascii="宋体" w:eastAsia="宋体" w:hAnsi="宋体" w:cs="宋体"/>
          <w:spacing w:val="-15"/>
          <w:sz w:val="22"/>
          <w:szCs w:val="22"/>
        </w:rPr>
        <w:t>防止动脉硬化的效果。</w:t>
      </w:r>
    </w:p>
    <w:p w:rsidR="00EA40A3" w:rsidRDefault="00E86C16">
      <w:pPr>
        <w:spacing w:before="17" w:line="252" w:lineRule="auto"/>
        <w:ind w:left="20" w:right="60" w:firstLine="340"/>
        <w:jc w:val="both"/>
        <w:rPr>
          <w:rFonts w:ascii="宋体" w:eastAsia="宋体" w:hAnsi="宋体" w:cs="宋体"/>
          <w:sz w:val="22"/>
          <w:szCs w:val="22"/>
        </w:rPr>
      </w:pPr>
      <w:r>
        <w:rPr>
          <w:rFonts w:ascii="宋体" w:eastAsia="宋体" w:hAnsi="宋体" w:cs="宋体"/>
          <w:spacing w:val="-6"/>
          <w:sz w:val="22"/>
          <w:szCs w:val="22"/>
        </w:rPr>
        <w:t>某些谷类品种或组分是油脂的重要来源，如高油玉米的胚中脂肪含量可达</w:t>
      </w:r>
      <w:r>
        <w:rPr>
          <w:rFonts w:ascii="宋体" w:eastAsia="宋体" w:hAnsi="宋体" w:cs="宋体"/>
          <w:sz w:val="22"/>
          <w:szCs w:val="22"/>
        </w:rPr>
        <w:t xml:space="preserve"> </w:t>
      </w:r>
      <w:r>
        <w:rPr>
          <w:rFonts w:ascii="宋体" w:eastAsia="宋体" w:hAnsi="宋体" w:cs="宋体"/>
          <w:spacing w:val="-9"/>
          <w:sz w:val="22"/>
          <w:szCs w:val="22"/>
        </w:rPr>
        <w:t>10%以上，可榨取玉米胚油；米糠和小麦胚也是高档油脂的来源</w:t>
      </w:r>
      <w:r>
        <w:rPr>
          <w:rFonts w:ascii="宋体" w:eastAsia="宋体" w:hAnsi="宋体" w:cs="宋体"/>
          <w:spacing w:val="-10"/>
          <w:sz w:val="22"/>
          <w:szCs w:val="22"/>
        </w:rPr>
        <w:t>。谷类及其组分</w:t>
      </w:r>
      <w:r>
        <w:rPr>
          <w:rFonts w:ascii="宋体" w:eastAsia="宋体" w:hAnsi="宋体" w:cs="宋体"/>
          <w:sz w:val="22"/>
          <w:szCs w:val="22"/>
        </w:rPr>
        <w:t xml:space="preserve"> </w:t>
      </w:r>
      <w:r>
        <w:rPr>
          <w:rFonts w:ascii="宋体" w:eastAsia="宋体" w:hAnsi="宋体" w:cs="宋体"/>
          <w:spacing w:val="-12"/>
          <w:sz w:val="22"/>
          <w:szCs w:val="22"/>
        </w:rPr>
        <w:t>的脂肪和脂肪酸构成见表6-2.</w:t>
      </w:r>
    </w:p>
    <w:p w:rsidR="00EA40A3" w:rsidRDefault="00EA40A3">
      <w:pPr>
        <w:spacing w:line="298" w:lineRule="auto"/>
      </w:pPr>
    </w:p>
    <w:p w:rsidR="00EA40A3" w:rsidRDefault="00E86C16">
      <w:pPr>
        <w:spacing w:before="52" w:line="221" w:lineRule="auto"/>
        <w:ind w:left="2022"/>
        <w:rPr>
          <w:rFonts w:ascii="黑体" w:eastAsia="黑体" w:hAnsi="黑体" w:cs="黑体"/>
          <w:sz w:val="16"/>
          <w:szCs w:val="16"/>
        </w:rPr>
      </w:pPr>
      <w:r>
        <w:rPr>
          <w:rFonts w:ascii="黑体" w:eastAsia="黑体" w:hAnsi="黑体" w:cs="黑体"/>
          <w:b/>
          <w:bCs/>
          <w:spacing w:val="14"/>
          <w:sz w:val="16"/>
          <w:szCs w:val="16"/>
        </w:rPr>
        <w:t>表6-</w:t>
      </w:r>
      <w:r>
        <w:rPr>
          <w:rFonts w:ascii="黑体" w:eastAsia="黑体" w:hAnsi="黑体" w:cs="黑体"/>
          <w:spacing w:val="-33"/>
          <w:sz w:val="16"/>
          <w:szCs w:val="16"/>
        </w:rPr>
        <w:t xml:space="preserve"> </w:t>
      </w:r>
      <w:r>
        <w:rPr>
          <w:rFonts w:ascii="黑体" w:eastAsia="黑体" w:hAnsi="黑体" w:cs="黑体"/>
          <w:b/>
          <w:bCs/>
          <w:spacing w:val="14"/>
          <w:sz w:val="16"/>
          <w:szCs w:val="16"/>
        </w:rPr>
        <w:t>2</w:t>
      </w:r>
      <w:r>
        <w:rPr>
          <w:rFonts w:ascii="黑体" w:eastAsia="黑体" w:hAnsi="黑体" w:cs="黑体"/>
          <w:spacing w:val="75"/>
          <w:w w:val="101"/>
          <w:sz w:val="16"/>
          <w:szCs w:val="16"/>
        </w:rPr>
        <w:t xml:space="preserve"> </w:t>
      </w:r>
      <w:r>
        <w:rPr>
          <w:rFonts w:ascii="黑体" w:eastAsia="黑体" w:hAnsi="黑体" w:cs="黑体"/>
          <w:b/>
          <w:bCs/>
          <w:spacing w:val="14"/>
          <w:sz w:val="16"/>
          <w:szCs w:val="16"/>
        </w:rPr>
        <w:t>谷类及其组分的脂肪和脂肪酸构成</w:t>
      </w: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536"/>
        <w:gridCol w:w="1493"/>
        <w:gridCol w:w="1290"/>
        <w:gridCol w:w="1606"/>
        <w:gridCol w:w="1415"/>
      </w:tblGrid>
      <w:tr w:rsidR="00EA40A3">
        <w:trPr>
          <w:trHeight w:val="572"/>
        </w:trPr>
        <w:tc>
          <w:tcPr>
            <w:tcW w:w="1536" w:type="dxa"/>
            <w:tcBorders>
              <w:top w:val="single" w:sz="4" w:space="0" w:color="000000"/>
              <w:bottom w:val="single" w:sz="4" w:space="0" w:color="000000"/>
            </w:tcBorders>
          </w:tcPr>
          <w:p w:rsidR="00EA40A3" w:rsidRDefault="00E86C16">
            <w:pPr>
              <w:spacing w:before="211" w:line="219" w:lineRule="auto"/>
              <w:ind w:left="460"/>
              <w:rPr>
                <w:rFonts w:ascii="宋体" w:eastAsia="宋体" w:hAnsi="宋体" w:cs="宋体"/>
                <w:sz w:val="16"/>
                <w:szCs w:val="16"/>
              </w:rPr>
            </w:pPr>
            <w:r>
              <w:rPr>
                <w:rFonts w:ascii="宋体" w:eastAsia="宋体" w:hAnsi="宋体" w:cs="宋体"/>
                <w:spacing w:val="-2"/>
                <w:sz w:val="16"/>
                <w:szCs w:val="16"/>
              </w:rPr>
              <w:t>谷类来源</w:t>
            </w:r>
          </w:p>
        </w:tc>
        <w:tc>
          <w:tcPr>
            <w:tcW w:w="1493" w:type="dxa"/>
            <w:tcBorders>
              <w:top w:val="single" w:sz="4" w:space="0" w:color="000000"/>
              <w:bottom w:val="single" w:sz="4" w:space="0" w:color="000000"/>
            </w:tcBorders>
          </w:tcPr>
          <w:p w:rsidR="00EA40A3" w:rsidRDefault="00E86C16">
            <w:pPr>
              <w:spacing w:before="211" w:line="219" w:lineRule="auto"/>
              <w:ind w:left="374"/>
              <w:rPr>
                <w:rFonts w:ascii="宋体" w:eastAsia="宋体" w:hAnsi="宋体" w:cs="宋体"/>
                <w:sz w:val="16"/>
                <w:szCs w:val="16"/>
              </w:rPr>
            </w:pPr>
            <w:r>
              <w:rPr>
                <w:rFonts w:ascii="宋体" w:eastAsia="宋体" w:hAnsi="宋体" w:cs="宋体"/>
                <w:spacing w:val="-2"/>
                <w:sz w:val="16"/>
                <w:szCs w:val="16"/>
              </w:rPr>
              <w:t>脂肪含量/%</w:t>
            </w:r>
          </w:p>
        </w:tc>
        <w:tc>
          <w:tcPr>
            <w:tcW w:w="1290" w:type="dxa"/>
            <w:tcBorders>
              <w:top w:val="single" w:sz="4" w:space="0" w:color="000000"/>
              <w:bottom w:val="single" w:sz="4" w:space="0" w:color="000000"/>
            </w:tcBorders>
          </w:tcPr>
          <w:p w:rsidR="00EA40A3" w:rsidRDefault="00EA40A3">
            <w:pPr>
              <w:spacing w:line="347" w:lineRule="auto"/>
            </w:pPr>
          </w:p>
          <w:p w:rsidR="00EA40A3" w:rsidRDefault="00E86C16">
            <w:pPr>
              <w:spacing w:before="52" w:line="196" w:lineRule="auto"/>
              <w:ind w:left="331"/>
              <w:rPr>
                <w:rFonts w:ascii="宋体" w:eastAsia="宋体" w:hAnsi="宋体" w:cs="宋体"/>
                <w:sz w:val="16"/>
                <w:szCs w:val="16"/>
              </w:rPr>
            </w:pPr>
            <w:r>
              <w:rPr>
                <w:rFonts w:ascii="宋体" w:eastAsia="宋体" w:hAnsi="宋体" w:cs="宋体"/>
                <w:spacing w:val="-1"/>
                <w:sz w:val="16"/>
                <w:szCs w:val="16"/>
              </w:rPr>
              <w:t>饱和脂肪酸</w:t>
            </w:r>
          </w:p>
        </w:tc>
        <w:tc>
          <w:tcPr>
            <w:tcW w:w="1606" w:type="dxa"/>
            <w:tcBorders>
              <w:top w:val="single" w:sz="4" w:space="0" w:color="000000"/>
              <w:bottom w:val="single" w:sz="4" w:space="0" w:color="000000"/>
            </w:tcBorders>
          </w:tcPr>
          <w:p w:rsidR="00EA40A3" w:rsidRDefault="00E86C16">
            <w:pPr>
              <w:spacing w:before="112" w:line="265" w:lineRule="auto"/>
              <w:ind w:left="251" w:right="151" w:hanging="80"/>
              <w:rPr>
                <w:rFonts w:ascii="宋体" w:eastAsia="宋体" w:hAnsi="宋体" w:cs="宋体"/>
                <w:sz w:val="16"/>
                <w:szCs w:val="16"/>
              </w:rPr>
            </w:pPr>
            <w:r>
              <w:rPr>
                <w:rFonts w:ascii="宋体" w:eastAsia="宋体" w:hAnsi="宋体" w:cs="宋体"/>
                <w:sz w:val="16"/>
                <w:szCs w:val="16"/>
              </w:rPr>
              <w:t>占总脂肪的比例/%</w:t>
            </w:r>
            <w:r>
              <w:rPr>
                <w:rFonts w:ascii="宋体" w:eastAsia="宋体" w:hAnsi="宋体" w:cs="宋体"/>
                <w:spacing w:val="2"/>
                <w:sz w:val="16"/>
                <w:szCs w:val="16"/>
              </w:rPr>
              <w:t xml:space="preserve"> </w:t>
            </w:r>
            <w:r>
              <w:rPr>
                <w:rFonts w:ascii="宋体" w:eastAsia="宋体" w:hAnsi="宋体" w:cs="宋体"/>
                <w:spacing w:val="-1"/>
                <w:sz w:val="16"/>
                <w:szCs w:val="16"/>
              </w:rPr>
              <w:t>单不饱和脂肪酸</w:t>
            </w:r>
          </w:p>
        </w:tc>
        <w:tc>
          <w:tcPr>
            <w:tcW w:w="1415" w:type="dxa"/>
            <w:tcBorders>
              <w:top w:val="single" w:sz="4" w:space="0" w:color="000000"/>
              <w:bottom w:val="single" w:sz="4" w:space="0" w:color="000000"/>
            </w:tcBorders>
          </w:tcPr>
          <w:p w:rsidR="00EA40A3" w:rsidRDefault="00EA40A3">
            <w:pPr>
              <w:spacing w:line="337" w:lineRule="auto"/>
            </w:pPr>
          </w:p>
          <w:p w:rsidR="00EA40A3" w:rsidRDefault="00E86C16">
            <w:pPr>
              <w:spacing w:before="52" w:line="208" w:lineRule="auto"/>
              <w:ind w:left="155"/>
              <w:rPr>
                <w:rFonts w:ascii="宋体" w:eastAsia="宋体" w:hAnsi="宋体" w:cs="宋体"/>
                <w:sz w:val="16"/>
                <w:szCs w:val="16"/>
              </w:rPr>
            </w:pPr>
            <w:r>
              <w:rPr>
                <w:rFonts w:ascii="宋体" w:eastAsia="宋体" w:hAnsi="宋体" w:cs="宋体"/>
                <w:sz w:val="16"/>
                <w:szCs w:val="16"/>
              </w:rPr>
              <w:t>多不饱和脂肪酸</w:t>
            </w:r>
          </w:p>
        </w:tc>
      </w:tr>
      <w:tr w:rsidR="00EA40A3">
        <w:trPr>
          <w:trHeight w:val="334"/>
        </w:trPr>
        <w:tc>
          <w:tcPr>
            <w:tcW w:w="1536" w:type="dxa"/>
            <w:tcBorders>
              <w:top w:val="single" w:sz="4" w:space="0" w:color="000000"/>
            </w:tcBorders>
          </w:tcPr>
          <w:p w:rsidR="00EA40A3" w:rsidRDefault="00E86C16">
            <w:pPr>
              <w:spacing w:before="88" w:line="219" w:lineRule="auto"/>
              <w:ind w:left="380"/>
              <w:rPr>
                <w:rFonts w:ascii="宋体" w:eastAsia="宋体" w:hAnsi="宋体" w:cs="宋体"/>
                <w:sz w:val="16"/>
                <w:szCs w:val="16"/>
              </w:rPr>
            </w:pPr>
            <w:r>
              <w:rPr>
                <w:rFonts w:ascii="宋体" w:eastAsia="宋体" w:hAnsi="宋体" w:cs="宋体"/>
                <w:spacing w:val="-2"/>
                <w:sz w:val="16"/>
                <w:szCs w:val="16"/>
              </w:rPr>
              <w:t>小麦富强粉</w:t>
            </w:r>
          </w:p>
        </w:tc>
        <w:tc>
          <w:tcPr>
            <w:tcW w:w="1493" w:type="dxa"/>
            <w:tcBorders>
              <w:top w:val="single" w:sz="4" w:space="0" w:color="000000"/>
            </w:tcBorders>
          </w:tcPr>
          <w:p w:rsidR="00EA40A3" w:rsidRDefault="00E86C16">
            <w:pPr>
              <w:spacing w:before="130" w:line="184" w:lineRule="auto"/>
              <w:ind w:left="654"/>
              <w:rPr>
                <w:rFonts w:ascii="宋体" w:eastAsia="宋体" w:hAnsi="宋体" w:cs="宋体"/>
                <w:sz w:val="16"/>
                <w:szCs w:val="16"/>
              </w:rPr>
            </w:pPr>
            <w:r>
              <w:rPr>
                <w:rFonts w:ascii="宋体" w:eastAsia="宋体" w:hAnsi="宋体" w:cs="宋体"/>
                <w:spacing w:val="-5"/>
                <w:sz w:val="16"/>
                <w:szCs w:val="16"/>
              </w:rPr>
              <w:t>1.1</w:t>
            </w:r>
          </w:p>
        </w:tc>
        <w:tc>
          <w:tcPr>
            <w:tcW w:w="1290" w:type="dxa"/>
            <w:tcBorders>
              <w:top w:val="single" w:sz="4" w:space="0" w:color="000000"/>
            </w:tcBorders>
          </w:tcPr>
          <w:p w:rsidR="00EA40A3" w:rsidRDefault="00E86C16">
            <w:pPr>
              <w:spacing w:before="130" w:line="183" w:lineRule="auto"/>
              <w:ind w:left="561"/>
              <w:rPr>
                <w:rFonts w:ascii="宋体" w:eastAsia="宋体" w:hAnsi="宋体" w:cs="宋体"/>
                <w:sz w:val="16"/>
                <w:szCs w:val="16"/>
              </w:rPr>
            </w:pPr>
            <w:r>
              <w:rPr>
                <w:rFonts w:ascii="宋体" w:eastAsia="宋体" w:hAnsi="宋体" w:cs="宋体"/>
                <w:spacing w:val="-2"/>
                <w:sz w:val="16"/>
                <w:szCs w:val="16"/>
              </w:rPr>
              <w:t>30.3</w:t>
            </w:r>
          </w:p>
        </w:tc>
        <w:tc>
          <w:tcPr>
            <w:tcW w:w="1606" w:type="dxa"/>
            <w:tcBorders>
              <w:top w:val="single" w:sz="4" w:space="0" w:color="000000"/>
            </w:tcBorders>
          </w:tcPr>
          <w:p w:rsidR="00EA40A3" w:rsidRDefault="00E86C16">
            <w:pPr>
              <w:spacing w:before="130" w:line="184" w:lineRule="auto"/>
              <w:ind w:left="651"/>
              <w:rPr>
                <w:rFonts w:ascii="宋体" w:eastAsia="宋体" w:hAnsi="宋体" w:cs="宋体"/>
                <w:sz w:val="16"/>
                <w:szCs w:val="16"/>
              </w:rPr>
            </w:pPr>
            <w:r>
              <w:rPr>
                <w:rFonts w:ascii="宋体" w:eastAsia="宋体" w:hAnsi="宋体" w:cs="宋体"/>
                <w:spacing w:val="-2"/>
                <w:sz w:val="16"/>
                <w:szCs w:val="16"/>
              </w:rPr>
              <w:t>24.1</w:t>
            </w:r>
          </w:p>
        </w:tc>
        <w:tc>
          <w:tcPr>
            <w:tcW w:w="1415" w:type="dxa"/>
            <w:tcBorders>
              <w:top w:val="single" w:sz="4" w:space="0" w:color="000000"/>
            </w:tcBorders>
          </w:tcPr>
          <w:p w:rsidR="00EA40A3" w:rsidRDefault="00E86C16">
            <w:pPr>
              <w:spacing w:before="130" w:line="183" w:lineRule="auto"/>
              <w:ind w:left="555"/>
              <w:rPr>
                <w:rFonts w:ascii="宋体" w:eastAsia="宋体" w:hAnsi="宋体" w:cs="宋体"/>
                <w:sz w:val="16"/>
                <w:szCs w:val="16"/>
              </w:rPr>
            </w:pPr>
            <w:r>
              <w:rPr>
                <w:rFonts w:ascii="宋体" w:eastAsia="宋体" w:hAnsi="宋体" w:cs="宋体"/>
                <w:spacing w:val="-2"/>
                <w:sz w:val="16"/>
                <w:szCs w:val="16"/>
              </w:rPr>
              <w:t>44.8</w:t>
            </w:r>
          </w:p>
        </w:tc>
      </w:tr>
      <w:tr w:rsidR="00EA40A3">
        <w:trPr>
          <w:trHeight w:val="328"/>
        </w:trPr>
        <w:tc>
          <w:tcPr>
            <w:tcW w:w="1536" w:type="dxa"/>
          </w:tcPr>
          <w:p w:rsidR="00EA40A3" w:rsidRDefault="00E86C16">
            <w:pPr>
              <w:spacing w:before="95" w:line="219" w:lineRule="auto"/>
              <w:ind w:left="620"/>
              <w:rPr>
                <w:rFonts w:ascii="宋体" w:eastAsia="宋体" w:hAnsi="宋体" w:cs="宋体"/>
                <w:sz w:val="16"/>
                <w:szCs w:val="16"/>
              </w:rPr>
            </w:pPr>
            <w:r>
              <w:rPr>
                <w:rFonts w:ascii="宋体" w:eastAsia="宋体" w:hAnsi="宋体" w:cs="宋体"/>
                <w:spacing w:val="-3"/>
                <w:sz w:val="16"/>
                <w:szCs w:val="16"/>
              </w:rPr>
              <w:t>黑米</w:t>
            </w:r>
          </w:p>
        </w:tc>
        <w:tc>
          <w:tcPr>
            <w:tcW w:w="1493" w:type="dxa"/>
          </w:tcPr>
          <w:p w:rsidR="00EA40A3" w:rsidRDefault="00E86C16">
            <w:pPr>
              <w:spacing w:before="136" w:line="183" w:lineRule="auto"/>
              <w:ind w:left="654"/>
              <w:rPr>
                <w:rFonts w:ascii="宋体" w:eastAsia="宋体" w:hAnsi="宋体" w:cs="宋体"/>
                <w:sz w:val="16"/>
                <w:szCs w:val="16"/>
              </w:rPr>
            </w:pPr>
            <w:r>
              <w:rPr>
                <w:rFonts w:ascii="宋体" w:eastAsia="宋体" w:hAnsi="宋体" w:cs="宋体"/>
                <w:spacing w:val="-2"/>
                <w:sz w:val="16"/>
                <w:szCs w:val="16"/>
              </w:rPr>
              <w:t>2.5</w:t>
            </w:r>
          </w:p>
        </w:tc>
        <w:tc>
          <w:tcPr>
            <w:tcW w:w="1290" w:type="dxa"/>
          </w:tcPr>
          <w:p w:rsidR="00EA40A3" w:rsidRDefault="00E86C16">
            <w:pPr>
              <w:spacing w:before="136" w:line="184" w:lineRule="auto"/>
              <w:ind w:left="561"/>
              <w:rPr>
                <w:rFonts w:ascii="宋体" w:eastAsia="宋体" w:hAnsi="宋体" w:cs="宋体"/>
                <w:sz w:val="16"/>
                <w:szCs w:val="16"/>
              </w:rPr>
            </w:pPr>
            <w:r>
              <w:rPr>
                <w:rFonts w:ascii="宋体" w:eastAsia="宋体" w:hAnsi="宋体" w:cs="宋体"/>
                <w:spacing w:val="-2"/>
                <w:sz w:val="16"/>
                <w:szCs w:val="16"/>
              </w:rPr>
              <w:t>35.1</w:t>
            </w:r>
          </w:p>
        </w:tc>
        <w:tc>
          <w:tcPr>
            <w:tcW w:w="1606" w:type="dxa"/>
          </w:tcPr>
          <w:p w:rsidR="00EA40A3" w:rsidRDefault="00E86C16">
            <w:pPr>
              <w:spacing w:before="136" w:line="183" w:lineRule="auto"/>
              <w:ind w:left="651"/>
              <w:rPr>
                <w:rFonts w:ascii="宋体" w:eastAsia="宋体" w:hAnsi="宋体" w:cs="宋体"/>
                <w:sz w:val="16"/>
                <w:szCs w:val="16"/>
              </w:rPr>
            </w:pPr>
            <w:r>
              <w:rPr>
                <w:rFonts w:ascii="宋体" w:eastAsia="宋体" w:hAnsi="宋体" w:cs="宋体"/>
                <w:spacing w:val="-2"/>
                <w:sz w:val="16"/>
                <w:szCs w:val="16"/>
              </w:rPr>
              <w:t>48.0</w:t>
            </w:r>
          </w:p>
        </w:tc>
        <w:tc>
          <w:tcPr>
            <w:tcW w:w="1415" w:type="dxa"/>
          </w:tcPr>
          <w:p w:rsidR="00EA40A3" w:rsidRDefault="00E86C16">
            <w:pPr>
              <w:spacing w:before="136" w:line="184" w:lineRule="auto"/>
              <w:ind w:left="555"/>
              <w:rPr>
                <w:rFonts w:ascii="宋体" w:eastAsia="宋体" w:hAnsi="宋体" w:cs="宋体"/>
                <w:sz w:val="16"/>
                <w:szCs w:val="16"/>
              </w:rPr>
            </w:pPr>
            <w:r>
              <w:rPr>
                <w:rFonts w:ascii="宋体" w:eastAsia="宋体" w:hAnsi="宋体" w:cs="宋体"/>
                <w:spacing w:val="-4"/>
                <w:sz w:val="16"/>
                <w:szCs w:val="16"/>
              </w:rPr>
              <w:t>16.3</w:t>
            </w:r>
          </w:p>
        </w:tc>
      </w:tr>
      <w:tr w:rsidR="00EA40A3">
        <w:trPr>
          <w:trHeight w:val="324"/>
        </w:trPr>
        <w:tc>
          <w:tcPr>
            <w:tcW w:w="1536" w:type="dxa"/>
          </w:tcPr>
          <w:p w:rsidR="00EA40A3" w:rsidRDefault="00E86C16">
            <w:pPr>
              <w:spacing w:before="87" w:line="219" w:lineRule="auto"/>
              <w:ind w:left="540"/>
              <w:rPr>
                <w:rFonts w:ascii="宋体" w:eastAsia="宋体" w:hAnsi="宋体" w:cs="宋体"/>
                <w:sz w:val="16"/>
                <w:szCs w:val="16"/>
              </w:rPr>
            </w:pPr>
            <w:r>
              <w:rPr>
                <w:rFonts w:ascii="宋体" w:eastAsia="宋体" w:hAnsi="宋体" w:cs="宋体"/>
                <w:spacing w:val="-2"/>
                <w:sz w:val="16"/>
                <w:szCs w:val="16"/>
              </w:rPr>
              <w:t>玉米面</w:t>
            </w:r>
          </w:p>
        </w:tc>
        <w:tc>
          <w:tcPr>
            <w:tcW w:w="1493" w:type="dxa"/>
          </w:tcPr>
          <w:p w:rsidR="00EA40A3" w:rsidRDefault="00E86C16">
            <w:pPr>
              <w:spacing w:before="128" w:line="183" w:lineRule="auto"/>
              <w:ind w:left="654"/>
              <w:rPr>
                <w:rFonts w:ascii="宋体" w:eastAsia="宋体" w:hAnsi="宋体" w:cs="宋体"/>
                <w:sz w:val="16"/>
                <w:szCs w:val="16"/>
              </w:rPr>
            </w:pPr>
            <w:r>
              <w:rPr>
                <w:rFonts w:ascii="宋体" w:eastAsia="宋体" w:hAnsi="宋体" w:cs="宋体"/>
                <w:spacing w:val="-2"/>
                <w:sz w:val="16"/>
                <w:szCs w:val="16"/>
              </w:rPr>
              <w:t>4.5</w:t>
            </w:r>
          </w:p>
        </w:tc>
        <w:tc>
          <w:tcPr>
            <w:tcW w:w="1290" w:type="dxa"/>
          </w:tcPr>
          <w:p w:rsidR="00EA40A3" w:rsidRDefault="00E86C16">
            <w:pPr>
              <w:spacing w:before="128" w:line="184" w:lineRule="auto"/>
              <w:ind w:left="561"/>
              <w:rPr>
                <w:rFonts w:ascii="宋体" w:eastAsia="宋体" w:hAnsi="宋体" w:cs="宋体"/>
                <w:sz w:val="16"/>
                <w:szCs w:val="16"/>
              </w:rPr>
            </w:pPr>
            <w:r>
              <w:rPr>
                <w:rFonts w:ascii="宋体" w:eastAsia="宋体" w:hAnsi="宋体" w:cs="宋体"/>
                <w:spacing w:val="-4"/>
                <w:sz w:val="16"/>
                <w:szCs w:val="16"/>
              </w:rPr>
              <w:t>15.3</w:t>
            </w:r>
          </w:p>
        </w:tc>
        <w:tc>
          <w:tcPr>
            <w:tcW w:w="1606" w:type="dxa"/>
          </w:tcPr>
          <w:p w:rsidR="00EA40A3" w:rsidRDefault="00E86C16">
            <w:pPr>
              <w:spacing w:before="128" w:line="183" w:lineRule="auto"/>
              <w:ind w:left="651"/>
              <w:rPr>
                <w:rFonts w:ascii="宋体" w:eastAsia="宋体" w:hAnsi="宋体" w:cs="宋体"/>
                <w:sz w:val="16"/>
                <w:szCs w:val="16"/>
              </w:rPr>
            </w:pPr>
            <w:r>
              <w:rPr>
                <w:rFonts w:ascii="宋体" w:eastAsia="宋体" w:hAnsi="宋体" w:cs="宋体"/>
                <w:spacing w:val="-2"/>
                <w:sz w:val="16"/>
                <w:szCs w:val="16"/>
              </w:rPr>
              <w:t>28.4</w:t>
            </w:r>
          </w:p>
        </w:tc>
        <w:tc>
          <w:tcPr>
            <w:tcW w:w="1415" w:type="dxa"/>
          </w:tcPr>
          <w:p w:rsidR="00EA40A3" w:rsidRDefault="00E86C16">
            <w:pPr>
              <w:spacing w:before="128" w:line="183" w:lineRule="auto"/>
              <w:ind w:left="555"/>
              <w:rPr>
                <w:rFonts w:ascii="宋体" w:eastAsia="宋体" w:hAnsi="宋体" w:cs="宋体"/>
                <w:sz w:val="16"/>
                <w:szCs w:val="16"/>
              </w:rPr>
            </w:pPr>
            <w:r>
              <w:rPr>
                <w:rFonts w:ascii="宋体" w:eastAsia="宋体" w:hAnsi="宋体" w:cs="宋体"/>
                <w:spacing w:val="-2"/>
                <w:sz w:val="16"/>
                <w:szCs w:val="16"/>
              </w:rPr>
              <w:t>56.3</w:t>
            </w:r>
          </w:p>
        </w:tc>
      </w:tr>
      <w:tr w:rsidR="00EA40A3">
        <w:trPr>
          <w:trHeight w:val="333"/>
        </w:trPr>
        <w:tc>
          <w:tcPr>
            <w:tcW w:w="1536" w:type="dxa"/>
          </w:tcPr>
          <w:p w:rsidR="00EA40A3" w:rsidRDefault="00E86C16">
            <w:pPr>
              <w:spacing w:before="93" w:line="219" w:lineRule="auto"/>
              <w:ind w:left="540"/>
              <w:rPr>
                <w:rFonts w:ascii="宋体" w:eastAsia="宋体" w:hAnsi="宋体" w:cs="宋体"/>
                <w:sz w:val="16"/>
                <w:szCs w:val="16"/>
              </w:rPr>
            </w:pPr>
            <w:r>
              <w:rPr>
                <w:rFonts w:ascii="宋体" w:eastAsia="宋体" w:hAnsi="宋体" w:cs="宋体"/>
                <w:spacing w:val="-3"/>
                <w:sz w:val="16"/>
                <w:szCs w:val="16"/>
              </w:rPr>
              <w:t>小米面</w:t>
            </w:r>
          </w:p>
        </w:tc>
        <w:tc>
          <w:tcPr>
            <w:tcW w:w="1493" w:type="dxa"/>
          </w:tcPr>
          <w:p w:rsidR="00EA40A3" w:rsidRDefault="00E86C16">
            <w:pPr>
              <w:spacing w:before="134" w:line="184" w:lineRule="auto"/>
              <w:ind w:left="654"/>
              <w:rPr>
                <w:rFonts w:ascii="宋体" w:eastAsia="宋体" w:hAnsi="宋体" w:cs="宋体"/>
                <w:sz w:val="16"/>
                <w:szCs w:val="16"/>
              </w:rPr>
            </w:pPr>
            <w:r>
              <w:rPr>
                <w:rFonts w:ascii="宋体" w:eastAsia="宋体" w:hAnsi="宋体" w:cs="宋体"/>
                <w:spacing w:val="-2"/>
                <w:sz w:val="16"/>
                <w:szCs w:val="16"/>
              </w:rPr>
              <w:t>2.1</w:t>
            </w:r>
          </w:p>
        </w:tc>
        <w:tc>
          <w:tcPr>
            <w:tcW w:w="1290" w:type="dxa"/>
          </w:tcPr>
          <w:p w:rsidR="00EA40A3" w:rsidRDefault="00E86C16">
            <w:pPr>
              <w:spacing w:before="134" w:line="183" w:lineRule="auto"/>
              <w:ind w:left="561"/>
              <w:rPr>
                <w:rFonts w:ascii="宋体" w:eastAsia="宋体" w:hAnsi="宋体" w:cs="宋体"/>
                <w:sz w:val="16"/>
                <w:szCs w:val="16"/>
              </w:rPr>
            </w:pPr>
            <w:r>
              <w:rPr>
                <w:rFonts w:ascii="宋体" w:eastAsia="宋体" w:hAnsi="宋体" w:cs="宋体"/>
                <w:spacing w:val="-2"/>
                <w:sz w:val="16"/>
                <w:szCs w:val="16"/>
              </w:rPr>
              <w:t>35.6</w:t>
            </w:r>
          </w:p>
        </w:tc>
        <w:tc>
          <w:tcPr>
            <w:tcW w:w="1606" w:type="dxa"/>
          </w:tcPr>
          <w:p w:rsidR="00EA40A3" w:rsidRDefault="00E86C16">
            <w:pPr>
              <w:spacing w:before="134" w:line="184" w:lineRule="auto"/>
              <w:ind w:left="651"/>
              <w:rPr>
                <w:rFonts w:ascii="宋体" w:eastAsia="宋体" w:hAnsi="宋体" w:cs="宋体"/>
                <w:sz w:val="16"/>
                <w:szCs w:val="16"/>
              </w:rPr>
            </w:pPr>
            <w:r>
              <w:rPr>
                <w:rFonts w:ascii="宋体" w:eastAsia="宋体" w:hAnsi="宋体" w:cs="宋体"/>
                <w:spacing w:val="-4"/>
                <w:sz w:val="16"/>
                <w:szCs w:val="16"/>
              </w:rPr>
              <w:t>14.6</w:t>
            </w:r>
          </w:p>
        </w:tc>
        <w:tc>
          <w:tcPr>
            <w:tcW w:w="1415" w:type="dxa"/>
          </w:tcPr>
          <w:p w:rsidR="00EA40A3" w:rsidRDefault="00E86C16">
            <w:pPr>
              <w:spacing w:before="134" w:line="183" w:lineRule="auto"/>
              <w:ind w:left="555"/>
              <w:rPr>
                <w:rFonts w:ascii="宋体" w:eastAsia="宋体" w:hAnsi="宋体" w:cs="宋体"/>
                <w:sz w:val="16"/>
                <w:szCs w:val="16"/>
              </w:rPr>
            </w:pPr>
            <w:r>
              <w:rPr>
                <w:rFonts w:ascii="宋体" w:eastAsia="宋体" w:hAnsi="宋体" w:cs="宋体"/>
                <w:spacing w:val="-2"/>
                <w:sz w:val="16"/>
                <w:szCs w:val="16"/>
              </w:rPr>
              <w:t>49.8</w:t>
            </w:r>
          </w:p>
        </w:tc>
      </w:tr>
      <w:tr w:rsidR="00EA40A3">
        <w:trPr>
          <w:trHeight w:val="339"/>
        </w:trPr>
        <w:tc>
          <w:tcPr>
            <w:tcW w:w="1536" w:type="dxa"/>
            <w:tcBorders>
              <w:bottom w:val="single" w:sz="4" w:space="0" w:color="000000"/>
            </w:tcBorders>
          </w:tcPr>
          <w:p w:rsidR="00EA40A3" w:rsidRDefault="00E86C16">
            <w:pPr>
              <w:spacing w:before="99" w:line="219" w:lineRule="auto"/>
              <w:ind w:left="620"/>
              <w:rPr>
                <w:rFonts w:ascii="宋体" w:eastAsia="宋体" w:hAnsi="宋体" w:cs="宋体"/>
                <w:sz w:val="16"/>
                <w:szCs w:val="16"/>
              </w:rPr>
            </w:pPr>
            <w:r>
              <w:rPr>
                <w:rFonts w:ascii="宋体" w:eastAsia="宋体" w:hAnsi="宋体" w:cs="宋体"/>
                <w:spacing w:val="-2"/>
                <w:sz w:val="16"/>
                <w:szCs w:val="16"/>
              </w:rPr>
              <w:t>荞麦</w:t>
            </w:r>
          </w:p>
        </w:tc>
        <w:tc>
          <w:tcPr>
            <w:tcW w:w="1493" w:type="dxa"/>
            <w:tcBorders>
              <w:bottom w:val="single" w:sz="4" w:space="0" w:color="000000"/>
            </w:tcBorders>
          </w:tcPr>
          <w:p w:rsidR="00EA40A3" w:rsidRDefault="00E86C16">
            <w:pPr>
              <w:spacing w:before="141" w:line="183" w:lineRule="auto"/>
              <w:ind w:left="654"/>
              <w:rPr>
                <w:rFonts w:ascii="宋体" w:eastAsia="宋体" w:hAnsi="宋体" w:cs="宋体"/>
                <w:sz w:val="16"/>
                <w:szCs w:val="16"/>
              </w:rPr>
            </w:pPr>
            <w:r>
              <w:rPr>
                <w:rFonts w:ascii="宋体" w:eastAsia="宋体" w:hAnsi="宋体" w:cs="宋体"/>
                <w:spacing w:val="-2"/>
                <w:sz w:val="16"/>
                <w:szCs w:val="16"/>
              </w:rPr>
              <w:t>2.3</w:t>
            </w:r>
          </w:p>
        </w:tc>
        <w:tc>
          <w:tcPr>
            <w:tcW w:w="1290" w:type="dxa"/>
            <w:tcBorders>
              <w:bottom w:val="single" w:sz="4" w:space="0" w:color="000000"/>
            </w:tcBorders>
          </w:tcPr>
          <w:p w:rsidR="00EA40A3" w:rsidRDefault="00E86C16">
            <w:pPr>
              <w:spacing w:before="141" w:line="183" w:lineRule="auto"/>
              <w:ind w:left="561"/>
              <w:rPr>
                <w:rFonts w:ascii="宋体" w:eastAsia="宋体" w:hAnsi="宋体" w:cs="宋体"/>
                <w:sz w:val="16"/>
                <w:szCs w:val="16"/>
              </w:rPr>
            </w:pPr>
            <w:r>
              <w:rPr>
                <w:rFonts w:ascii="宋体" w:eastAsia="宋体" w:hAnsi="宋体" w:cs="宋体"/>
                <w:spacing w:val="-2"/>
                <w:sz w:val="16"/>
                <w:szCs w:val="16"/>
              </w:rPr>
              <w:t>33.2</w:t>
            </w:r>
          </w:p>
        </w:tc>
        <w:tc>
          <w:tcPr>
            <w:tcW w:w="1606" w:type="dxa"/>
            <w:tcBorders>
              <w:bottom w:val="single" w:sz="4" w:space="0" w:color="000000"/>
            </w:tcBorders>
          </w:tcPr>
          <w:p w:rsidR="00EA40A3" w:rsidRDefault="00E86C16">
            <w:pPr>
              <w:spacing w:before="141" w:line="184" w:lineRule="auto"/>
              <w:ind w:left="651"/>
              <w:rPr>
                <w:rFonts w:ascii="宋体" w:eastAsia="宋体" w:hAnsi="宋体" w:cs="宋体"/>
                <w:sz w:val="16"/>
                <w:szCs w:val="16"/>
              </w:rPr>
            </w:pPr>
            <w:r>
              <w:rPr>
                <w:rFonts w:ascii="宋体" w:eastAsia="宋体" w:hAnsi="宋体" w:cs="宋体"/>
                <w:spacing w:val="-2"/>
                <w:sz w:val="16"/>
                <w:szCs w:val="16"/>
              </w:rPr>
              <w:t>51.6</w:t>
            </w:r>
          </w:p>
        </w:tc>
        <w:tc>
          <w:tcPr>
            <w:tcW w:w="1415" w:type="dxa"/>
            <w:tcBorders>
              <w:bottom w:val="single" w:sz="4" w:space="0" w:color="000000"/>
            </w:tcBorders>
          </w:tcPr>
          <w:p w:rsidR="00EA40A3" w:rsidRDefault="00E86C16">
            <w:pPr>
              <w:spacing w:before="141" w:line="184" w:lineRule="auto"/>
              <w:ind w:left="555"/>
              <w:rPr>
                <w:rFonts w:ascii="宋体" w:eastAsia="宋体" w:hAnsi="宋体" w:cs="宋体"/>
                <w:sz w:val="16"/>
                <w:szCs w:val="16"/>
              </w:rPr>
            </w:pPr>
            <w:r>
              <w:rPr>
                <w:rFonts w:ascii="宋体" w:eastAsia="宋体" w:hAnsi="宋体" w:cs="宋体"/>
                <w:spacing w:val="-4"/>
                <w:sz w:val="16"/>
                <w:szCs w:val="16"/>
              </w:rPr>
              <w:t>14.6</w:t>
            </w:r>
          </w:p>
        </w:tc>
      </w:tr>
    </w:tbl>
    <w:p w:rsidR="00EA40A3" w:rsidRDefault="00E86C16">
      <w:pPr>
        <w:spacing w:before="112" w:line="219" w:lineRule="auto"/>
        <w:ind w:left="360"/>
        <w:rPr>
          <w:rFonts w:ascii="宋体" w:eastAsia="宋体" w:hAnsi="宋体" w:cs="宋体"/>
          <w:sz w:val="16"/>
          <w:szCs w:val="16"/>
        </w:rPr>
      </w:pPr>
      <w:r>
        <w:rPr>
          <w:rFonts w:ascii="宋体" w:eastAsia="宋体" w:hAnsi="宋体" w:cs="宋体"/>
          <w:spacing w:val="3"/>
          <w:sz w:val="16"/>
          <w:szCs w:val="16"/>
        </w:rPr>
        <w:t>资料来源：杨月欣.2002.中国食物成分表.北京：北京大学医学出版社</w:t>
      </w:r>
    </w:p>
    <w:p w:rsidR="00EA40A3" w:rsidRDefault="00EA40A3">
      <w:pPr>
        <w:spacing w:line="249" w:lineRule="auto"/>
      </w:pPr>
    </w:p>
    <w:p w:rsidR="00EA40A3" w:rsidRDefault="00E86C16">
      <w:pPr>
        <w:spacing w:before="72" w:line="252" w:lineRule="auto"/>
        <w:ind w:left="20" w:right="61" w:firstLine="340"/>
        <w:jc w:val="both"/>
        <w:rPr>
          <w:rFonts w:ascii="宋体" w:eastAsia="宋体" w:hAnsi="宋体" w:cs="宋体"/>
          <w:sz w:val="22"/>
          <w:szCs w:val="22"/>
        </w:rPr>
      </w:pPr>
      <w:r>
        <w:rPr>
          <w:rFonts w:ascii="宋体" w:eastAsia="宋体" w:hAnsi="宋体" w:cs="宋体"/>
          <w:spacing w:val="-9"/>
          <w:sz w:val="22"/>
          <w:szCs w:val="22"/>
        </w:rPr>
        <w:t>胚乳部分的脂肪多以与淀粉结合的形式存在，称淀粉脂类，也称为淀</w:t>
      </w:r>
      <w:r>
        <w:rPr>
          <w:rFonts w:ascii="宋体" w:eastAsia="宋体" w:hAnsi="宋体" w:cs="宋体"/>
          <w:spacing w:val="-10"/>
          <w:sz w:val="22"/>
          <w:szCs w:val="22"/>
        </w:rPr>
        <w:t>粉-脂</w:t>
      </w:r>
      <w:r>
        <w:rPr>
          <w:rFonts w:ascii="宋体" w:eastAsia="宋体" w:hAnsi="宋体" w:cs="宋体"/>
          <w:sz w:val="22"/>
          <w:szCs w:val="22"/>
        </w:rPr>
        <w:t xml:space="preserve"> </w:t>
      </w:r>
      <w:r>
        <w:rPr>
          <w:rFonts w:ascii="宋体" w:eastAsia="宋体" w:hAnsi="宋体" w:cs="宋体"/>
          <w:spacing w:val="-13"/>
          <w:sz w:val="22"/>
          <w:szCs w:val="22"/>
        </w:rPr>
        <w:t>肪复合物，此结合物十分稳定，常温下难以分离。其中以磷脂为主，约占总淀粉</w:t>
      </w:r>
      <w:r>
        <w:rPr>
          <w:rFonts w:ascii="宋体" w:eastAsia="宋体" w:hAnsi="宋体" w:cs="宋体"/>
          <w:spacing w:val="12"/>
          <w:sz w:val="22"/>
          <w:szCs w:val="22"/>
        </w:rPr>
        <w:t xml:space="preserve"> </w:t>
      </w:r>
      <w:r>
        <w:rPr>
          <w:rFonts w:ascii="宋体" w:eastAsia="宋体" w:hAnsi="宋体" w:cs="宋体"/>
          <w:spacing w:val="-5"/>
          <w:sz w:val="22"/>
          <w:szCs w:val="22"/>
        </w:rPr>
        <w:t>脂类的85%。此外，糠麸中还含有少量蜡质。</w:t>
      </w:r>
    </w:p>
    <w:p w:rsidR="00EA40A3" w:rsidRDefault="00E86C16">
      <w:pPr>
        <w:spacing w:before="196" w:line="222" w:lineRule="auto"/>
        <w:ind w:left="20"/>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3"/>
          <w:sz w:val="22"/>
          <w:szCs w:val="22"/>
        </w:rPr>
        <w:t xml:space="preserve"> </w:t>
      </w:r>
      <w:r>
        <w:rPr>
          <w:rFonts w:ascii="仿宋" w:eastAsia="仿宋" w:hAnsi="仿宋" w:cs="仿宋"/>
          <w:spacing w:val="9"/>
          <w:sz w:val="22"/>
          <w:szCs w:val="22"/>
        </w:rPr>
        <w:t>维生素</w:t>
      </w:r>
    </w:p>
    <w:p w:rsidR="00EA40A3" w:rsidRDefault="00E86C16">
      <w:pPr>
        <w:spacing w:before="164" w:line="248" w:lineRule="auto"/>
        <w:ind w:left="20" w:right="56" w:firstLine="340"/>
        <w:jc w:val="both"/>
        <w:rPr>
          <w:rFonts w:ascii="宋体" w:eastAsia="宋体" w:hAnsi="宋体" w:cs="宋体"/>
          <w:sz w:val="22"/>
          <w:szCs w:val="22"/>
        </w:rPr>
      </w:pPr>
      <w:r>
        <w:rPr>
          <w:rFonts w:ascii="宋体" w:eastAsia="宋体" w:hAnsi="宋体" w:cs="宋体"/>
          <w:spacing w:val="-13"/>
          <w:sz w:val="22"/>
          <w:szCs w:val="22"/>
        </w:rPr>
        <w:t>谷类中脂肪含量较低，故而脂溶性维生素的含量也不高。黄色籽粒的谷类含</w:t>
      </w:r>
      <w:r>
        <w:rPr>
          <w:rFonts w:ascii="宋体" w:eastAsia="宋体" w:hAnsi="宋体" w:cs="宋体"/>
          <w:spacing w:val="17"/>
          <w:sz w:val="22"/>
          <w:szCs w:val="22"/>
        </w:rPr>
        <w:t xml:space="preserve"> </w:t>
      </w:r>
      <w:r>
        <w:rPr>
          <w:rFonts w:ascii="宋体" w:eastAsia="宋体" w:hAnsi="宋体" w:cs="宋体"/>
          <w:spacing w:val="-10"/>
          <w:sz w:val="22"/>
          <w:szCs w:val="22"/>
        </w:rPr>
        <w:t>有一定量的类胡萝卜素，可以在人体内少量转化成维生素A,</w:t>
      </w:r>
      <w:r>
        <w:rPr>
          <w:rFonts w:ascii="宋体" w:eastAsia="宋体" w:hAnsi="宋体" w:cs="宋体"/>
          <w:spacing w:val="21"/>
          <w:sz w:val="22"/>
          <w:szCs w:val="22"/>
        </w:rPr>
        <w:t xml:space="preserve"> </w:t>
      </w:r>
      <w:r>
        <w:rPr>
          <w:rFonts w:ascii="宋体" w:eastAsia="宋体" w:hAnsi="宋体" w:cs="宋体"/>
          <w:spacing w:val="-10"/>
          <w:sz w:val="22"/>
          <w:szCs w:val="22"/>
        </w:rPr>
        <w:t>但β胡萝</w:t>
      </w:r>
      <w:r>
        <w:rPr>
          <w:rFonts w:ascii="宋体" w:eastAsia="宋体" w:hAnsi="宋体" w:cs="宋体"/>
          <w:spacing w:val="-11"/>
          <w:sz w:val="22"/>
          <w:szCs w:val="22"/>
        </w:rPr>
        <w:t>卜素含量</w:t>
      </w:r>
      <w:r>
        <w:rPr>
          <w:rFonts w:ascii="宋体" w:eastAsia="宋体" w:hAnsi="宋体" w:cs="宋体"/>
          <w:sz w:val="22"/>
          <w:szCs w:val="22"/>
        </w:rPr>
        <w:t xml:space="preserve"> </w:t>
      </w:r>
      <w:r>
        <w:rPr>
          <w:rFonts w:ascii="宋体" w:eastAsia="宋体" w:hAnsi="宋体" w:cs="宋体"/>
          <w:spacing w:val="-11"/>
          <w:sz w:val="22"/>
          <w:szCs w:val="22"/>
        </w:rPr>
        <w:t>比较低，黄色主要来源于叶黄素类。谷类中不含有维生素D,</w:t>
      </w:r>
      <w:r>
        <w:rPr>
          <w:rFonts w:ascii="宋体" w:eastAsia="宋体" w:hAnsi="宋体" w:cs="宋体"/>
          <w:spacing w:val="34"/>
          <w:sz w:val="22"/>
          <w:szCs w:val="22"/>
        </w:rPr>
        <w:t xml:space="preserve"> </w:t>
      </w:r>
      <w:r>
        <w:rPr>
          <w:rFonts w:ascii="宋体" w:eastAsia="宋体" w:hAnsi="宋体" w:cs="宋体"/>
          <w:spacing w:val="-11"/>
          <w:sz w:val="22"/>
          <w:szCs w:val="22"/>
        </w:rPr>
        <w:t>只含有少量维生素</w:t>
      </w:r>
      <w:r>
        <w:rPr>
          <w:rFonts w:ascii="宋体" w:eastAsia="宋体" w:hAnsi="宋体" w:cs="宋体"/>
          <w:sz w:val="22"/>
          <w:szCs w:val="22"/>
        </w:rPr>
        <w:t xml:space="preserve"> </w:t>
      </w:r>
      <w:r>
        <w:rPr>
          <w:rFonts w:ascii="宋体" w:eastAsia="宋体" w:hAnsi="宋体" w:cs="宋体"/>
          <w:spacing w:val="-6"/>
          <w:sz w:val="22"/>
          <w:szCs w:val="22"/>
        </w:rPr>
        <w:t>D</w:t>
      </w:r>
      <w:r>
        <w:rPr>
          <w:rFonts w:ascii="宋体" w:eastAsia="宋体" w:hAnsi="宋体" w:cs="宋体"/>
          <w:spacing w:val="-18"/>
          <w:sz w:val="22"/>
          <w:szCs w:val="22"/>
        </w:rPr>
        <w:t xml:space="preserve"> </w:t>
      </w:r>
      <w:r>
        <w:rPr>
          <w:rFonts w:ascii="宋体" w:eastAsia="宋体" w:hAnsi="宋体" w:cs="宋体"/>
          <w:spacing w:val="-6"/>
          <w:sz w:val="22"/>
          <w:szCs w:val="22"/>
        </w:rPr>
        <w:t>的前体麦角固醇。其中维生素</w:t>
      </w:r>
      <w:r>
        <w:rPr>
          <w:rFonts w:ascii="宋体" w:eastAsia="宋体" w:hAnsi="宋体" w:cs="宋体"/>
          <w:spacing w:val="-60"/>
          <w:sz w:val="22"/>
          <w:szCs w:val="22"/>
        </w:rPr>
        <w:t xml:space="preserve"> </w:t>
      </w:r>
      <w:r>
        <w:rPr>
          <w:rFonts w:ascii="宋体" w:eastAsia="宋体" w:hAnsi="宋体" w:cs="宋体"/>
          <w:spacing w:val="-6"/>
          <w:sz w:val="22"/>
          <w:szCs w:val="22"/>
        </w:rPr>
        <w:t>K</w:t>
      </w:r>
      <w:r>
        <w:rPr>
          <w:rFonts w:ascii="宋体" w:eastAsia="宋体" w:hAnsi="宋体" w:cs="宋体"/>
          <w:spacing w:val="5"/>
          <w:sz w:val="22"/>
          <w:szCs w:val="22"/>
        </w:rPr>
        <w:t xml:space="preserve"> </w:t>
      </w:r>
      <w:r>
        <w:rPr>
          <w:rFonts w:ascii="宋体" w:eastAsia="宋体" w:hAnsi="宋体" w:cs="宋体"/>
          <w:spacing w:val="-6"/>
          <w:sz w:val="22"/>
          <w:szCs w:val="22"/>
        </w:rPr>
        <w:t>的含量也很低，例如小麦籽粒中的维生素K</w:t>
      </w:r>
      <w:r>
        <w:rPr>
          <w:rFonts w:ascii="宋体" w:eastAsia="宋体" w:hAnsi="宋体" w:cs="宋体"/>
          <w:sz w:val="22"/>
          <w:szCs w:val="22"/>
        </w:rPr>
        <w:t xml:space="preserve"> </w:t>
      </w:r>
      <w:r>
        <w:rPr>
          <w:rFonts w:ascii="宋体" w:eastAsia="宋体" w:hAnsi="宋体" w:cs="宋体"/>
          <w:spacing w:val="-10"/>
          <w:sz w:val="22"/>
          <w:szCs w:val="22"/>
        </w:rPr>
        <w:t>含量仅有10～100μg/100g。</w:t>
      </w:r>
      <w:r>
        <w:rPr>
          <w:rFonts w:ascii="宋体" w:eastAsia="宋体" w:hAnsi="宋体" w:cs="宋体"/>
          <w:spacing w:val="-56"/>
          <w:sz w:val="22"/>
          <w:szCs w:val="22"/>
        </w:rPr>
        <w:t xml:space="preserve"> </w:t>
      </w:r>
      <w:r>
        <w:rPr>
          <w:rFonts w:ascii="宋体" w:eastAsia="宋体" w:hAnsi="宋体" w:cs="宋体"/>
          <w:spacing w:val="-10"/>
          <w:sz w:val="22"/>
          <w:szCs w:val="22"/>
        </w:rPr>
        <w:t>然而，谷胚油中的维生素</w:t>
      </w:r>
      <w:r>
        <w:rPr>
          <w:rFonts w:ascii="宋体" w:eastAsia="宋体" w:hAnsi="宋体" w:cs="宋体"/>
          <w:spacing w:val="-61"/>
          <w:sz w:val="22"/>
          <w:szCs w:val="22"/>
        </w:rPr>
        <w:t xml:space="preserve"> </w:t>
      </w:r>
      <w:r>
        <w:rPr>
          <w:rFonts w:ascii="宋体" w:eastAsia="宋体" w:hAnsi="宋体" w:cs="宋体"/>
          <w:spacing w:val="-10"/>
          <w:sz w:val="22"/>
          <w:szCs w:val="22"/>
        </w:rPr>
        <w:t>E</w:t>
      </w:r>
      <w:r>
        <w:rPr>
          <w:rFonts w:ascii="宋体" w:eastAsia="宋体" w:hAnsi="宋体" w:cs="宋体"/>
          <w:spacing w:val="-24"/>
          <w:sz w:val="22"/>
          <w:szCs w:val="22"/>
        </w:rPr>
        <w:t xml:space="preserve"> </w:t>
      </w:r>
      <w:r>
        <w:rPr>
          <w:rFonts w:ascii="宋体" w:eastAsia="宋体" w:hAnsi="宋体" w:cs="宋体"/>
          <w:spacing w:val="-10"/>
          <w:sz w:val="22"/>
          <w:szCs w:val="22"/>
        </w:rPr>
        <w:t>含量较</w:t>
      </w:r>
      <w:r>
        <w:rPr>
          <w:rFonts w:ascii="宋体" w:eastAsia="宋体" w:hAnsi="宋体" w:cs="宋体"/>
          <w:spacing w:val="-11"/>
          <w:sz w:val="22"/>
          <w:szCs w:val="22"/>
        </w:rPr>
        <w:t>高，以小麦胚芽</w:t>
      </w:r>
      <w:r>
        <w:rPr>
          <w:rFonts w:ascii="宋体" w:eastAsia="宋体" w:hAnsi="宋体" w:cs="宋体"/>
          <w:sz w:val="22"/>
          <w:szCs w:val="22"/>
        </w:rPr>
        <w:t xml:space="preserve"> </w:t>
      </w:r>
      <w:r>
        <w:rPr>
          <w:rFonts w:ascii="宋体" w:eastAsia="宋体" w:hAnsi="宋体" w:cs="宋体"/>
          <w:spacing w:val="-7"/>
          <w:sz w:val="22"/>
          <w:szCs w:val="22"/>
        </w:rPr>
        <w:t>含量较高，达30～50mg/100g,</w:t>
      </w:r>
      <w:r>
        <w:rPr>
          <w:rFonts w:ascii="宋体" w:eastAsia="宋体" w:hAnsi="宋体" w:cs="宋体"/>
          <w:spacing w:val="23"/>
          <w:sz w:val="22"/>
          <w:szCs w:val="22"/>
        </w:rPr>
        <w:t xml:space="preserve"> </w:t>
      </w:r>
      <w:r>
        <w:rPr>
          <w:rFonts w:ascii="宋体" w:eastAsia="宋体" w:hAnsi="宋体" w:cs="宋体"/>
          <w:spacing w:val="-7"/>
          <w:sz w:val="22"/>
          <w:szCs w:val="22"/>
        </w:rPr>
        <w:t>玉米胚芽中含量次之。而且，胚芽中的维生素E</w:t>
      </w:r>
      <w:r>
        <w:rPr>
          <w:rFonts w:ascii="宋体" w:eastAsia="宋体" w:hAnsi="宋体" w:cs="宋体"/>
          <w:sz w:val="22"/>
          <w:szCs w:val="22"/>
        </w:rPr>
        <w:t xml:space="preserve"> </w:t>
      </w:r>
      <w:r>
        <w:rPr>
          <w:rFonts w:ascii="宋体" w:eastAsia="宋体" w:hAnsi="宋体" w:cs="宋体"/>
          <w:spacing w:val="-10"/>
          <w:sz w:val="22"/>
          <w:szCs w:val="22"/>
        </w:rPr>
        <w:t>以生物活性最高的α-生育酚为主，还含有一部分生育三烯酚。故而，全谷类食</w:t>
      </w:r>
      <w:r>
        <w:rPr>
          <w:rFonts w:ascii="宋体" w:eastAsia="宋体" w:hAnsi="宋体" w:cs="宋体"/>
          <w:spacing w:val="18"/>
          <w:sz w:val="22"/>
          <w:szCs w:val="22"/>
        </w:rPr>
        <w:t xml:space="preserve"> </w:t>
      </w:r>
      <w:r>
        <w:rPr>
          <w:rFonts w:ascii="宋体" w:eastAsia="宋体" w:hAnsi="宋体" w:cs="宋体"/>
          <w:spacing w:val="-11"/>
          <w:sz w:val="22"/>
          <w:szCs w:val="22"/>
        </w:rPr>
        <w:t>品也是维生素E</w:t>
      </w:r>
      <w:r>
        <w:rPr>
          <w:rFonts w:ascii="宋体" w:eastAsia="宋体" w:hAnsi="宋体" w:cs="宋体"/>
          <w:spacing w:val="-25"/>
          <w:sz w:val="22"/>
          <w:szCs w:val="22"/>
        </w:rPr>
        <w:t xml:space="preserve"> </w:t>
      </w:r>
      <w:r>
        <w:rPr>
          <w:rFonts w:ascii="宋体" w:eastAsia="宋体" w:hAnsi="宋体" w:cs="宋体"/>
          <w:spacing w:val="-11"/>
          <w:sz w:val="22"/>
          <w:szCs w:val="22"/>
        </w:rPr>
        <w:t>的来源之一，而精白处理后的米面维生素</w:t>
      </w:r>
      <w:r>
        <w:rPr>
          <w:rFonts w:ascii="宋体" w:eastAsia="宋体" w:hAnsi="宋体" w:cs="宋体"/>
          <w:spacing w:val="-60"/>
          <w:sz w:val="22"/>
          <w:szCs w:val="22"/>
        </w:rPr>
        <w:t xml:space="preserve"> </w:t>
      </w:r>
      <w:r>
        <w:rPr>
          <w:rFonts w:ascii="宋体" w:eastAsia="宋体" w:hAnsi="宋体" w:cs="宋体"/>
          <w:spacing w:val="-11"/>
          <w:sz w:val="22"/>
          <w:szCs w:val="22"/>
        </w:rPr>
        <w:t>E</w:t>
      </w:r>
      <w:r>
        <w:rPr>
          <w:rFonts w:ascii="宋体" w:eastAsia="宋体" w:hAnsi="宋体" w:cs="宋体"/>
          <w:spacing w:val="-24"/>
          <w:sz w:val="22"/>
          <w:szCs w:val="22"/>
        </w:rPr>
        <w:t xml:space="preserve"> </w:t>
      </w:r>
      <w:r>
        <w:rPr>
          <w:rFonts w:ascii="宋体" w:eastAsia="宋体" w:hAnsi="宋体" w:cs="宋体"/>
          <w:spacing w:val="-11"/>
          <w:sz w:val="22"/>
          <w:szCs w:val="22"/>
        </w:rPr>
        <w:t>含量</w:t>
      </w:r>
      <w:r>
        <w:rPr>
          <w:rFonts w:ascii="宋体" w:eastAsia="宋体" w:hAnsi="宋体" w:cs="宋体"/>
          <w:spacing w:val="-12"/>
          <w:sz w:val="22"/>
          <w:szCs w:val="22"/>
        </w:rPr>
        <w:t>极低。</w:t>
      </w:r>
    </w:p>
    <w:p w:rsidR="00EA40A3" w:rsidRDefault="00E86C16">
      <w:pPr>
        <w:spacing w:before="38" w:line="241" w:lineRule="auto"/>
        <w:ind w:left="20" w:right="60" w:firstLine="340"/>
        <w:jc w:val="both"/>
        <w:rPr>
          <w:rFonts w:ascii="宋体" w:eastAsia="宋体" w:hAnsi="宋体" w:cs="宋体"/>
          <w:sz w:val="22"/>
          <w:szCs w:val="22"/>
        </w:rPr>
      </w:pPr>
      <w:r>
        <w:rPr>
          <w:rFonts w:ascii="宋体" w:eastAsia="宋体" w:hAnsi="宋体" w:cs="宋体"/>
          <w:spacing w:val="-6"/>
          <w:sz w:val="22"/>
          <w:szCs w:val="22"/>
        </w:rPr>
        <w:t>谷类中不含有维生素C,</w:t>
      </w:r>
      <w:r>
        <w:rPr>
          <w:rFonts w:ascii="宋体" w:eastAsia="宋体" w:hAnsi="宋体" w:cs="宋体"/>
          <w:spacing w:val="43"/>
          <w:sz w:val="22"/>
          <w:szCs w:val="22"/>
        </w:rPr>
        <w:t xml:space="preserve"> </w:t>
      </w:r>
      <w:r>
        <w:rPr>
          <w:rFonts w:ascii="宋体" w:eastAsia="宋体" w:hAnsi="宋体" w:cs="宋体"/>
          <w:spacing w:val="-6"/>
          <w:sz w:val="22"/>
          <w:szCs w:val="22"/>
        </w:rPr>
        <w:t>但</w:t>
      </w:r>
      <w:r>
        <w:rPr>
          <w:rFonts w:ascii="宋体" w:eastAsia="宋体" w:hAnsi="宋体" w:cs="宋体"/>
          <w:spacing w:val="-63"/>
          <w:sz w:val="22"/>
          <w:szCs w:val="22"/>
        </w:rPr>
        <w:t xml:space="preserve"> </w:t>
      </w:r>
      <w:r>
        <w:rPr>
          <w:rFonts w:ascii="宋体" w:eastAsia="宋体" w:hAnsi="宋体" w:cs="宋体"/>
          <w:spacing w:val="-6"/>
          <w:sz w:val="22"/>
          <w:szCs w:val="22"/>
        </w:rPr>
        <w:t>B</w:t>
      </w:r>
      <w:r>
        <w:rPr>
          <w:rFonts w:ascii="宋体" w:eastAsia="宋体" w:hAnsi="宋体" w:cs="宋体"/>
          <w:spacing w:val="-37"/>
          <w:sz w:val="22"/>
          <w:szCs w:val="22"/>
        </w:rPr>
        <w:t xml:space="preserve"> </w:t>
      </w:r>
      <w:r>
        <w:rPr>
          <w:rFonts w:ascii="宋体" w:eastAsia="宋体" w:hAnsi="宋体" w:cs="宋体"/>
          <w:spacing w:val="-6"/>
          <w:sz w:val="22"/>
          <w:szCs w:val="22"/>
        </w:rPr>
        <w:t>族维生素比较丰富，特别是维生素B</w:t>
      </w:r>
      <w:r>
        <w:rPr>
          <w:rFonts w:ascii="Calibri" w:eastAsia="Calibri" w:hAnsi="Calibri" w:cs="Calibri"/>
          <w:spacing w:val="-6"/>
          <w:sz w:val="22"/>
          <w:szCs w:val="22"/>
        </w:rPr>
        <w:t>₁</w:t>
      </w:r>
      <w:r>
        <w:rPr>
          <w:rFonts w:ascii="Calibri" w:eastAsia="Calibri" w:hAnsi="Calibri" w:cs="Calibri"/>
          <w:spacing w:val="15"/>
          <w:sz w:val="22"/>
          <w:szCs w:val="22"/>
        </w:rPr>
        <w:t xml:space="preserve">  </w:t>
      </w:r>
      <w:r>
        <w:rPr>
          <w:rFonts w:ascii="宋体" w:eastAsia="宋体" w:hAnsi="宋体" w:cs="宋体"/>
          <w:spacing w:val="-6"/>
          <w:sz w:val="22"/>
          <w:szCs w:val="22"/>
        </w:rPr>
        <w:t>和烟酸</w:t>
      </w:r>
      <w:r>
        <w:rPr>
          <w:rFonts w:ascii="宋体" w:eastAsia="宋体" w:hAnsi="宋体" w:cs="宋体"/>
          <w:sz w:val="22"/>
          <w:szCs w:val="22"/>
        </w:rPr>
        <w:t xml:space="preserve"> </w:t>
      </w:r>
      <w:r>
        <w:rPr>
          <w:rFonts w:ascii="宋体" w:eastAsia="宋体" w:hAnsi="宋体" w:cs="宋体"/>
          <w:spacing w:val="-13"/>
          <w:sz w:val="22"/>
          <w:szCs w:val="22"/>
        </w:rPr>
        <w:t>含量较高，是膳食中这两种维生素的最重要来源。此外，尚含一定数量的维生素</w:t>
      </w:r>
      <w:r>
        <w:rPr>
          <w:rFonts w:ascii="宋体" w:eastAsia="宋体" w:hAnsi="宋体" w:cs="宋体"/>
          <w:spacing w:val="13"/>
          <w:sz w:val="22"/>
          <w:szCs w:val="22"/>
        </w:rPr>
        <w:t xml:space="preserve"> </w:t>
      </w:r>
      <w:r>
        <w:rPr>
          <w:rFonts w:ascii="宋体" w:eastAsia="宋体" w:hAnsi="宋体" w:cs="宋体"/>
          <w:spacing w:val="-8"/>
          <w:sz w:val="22"/>
          <w:szCs w:val="22"/>
        </w:rPr>
        <w:t>B2、泛酸和维生素B</w:t>
      </w:r>
      <w:r>
        <w:rPr>
          <w:rFonts w:ascii="Calibri" w:eastAsia="Calibri" w:hAnsi="Calibri" w:cs="Calibri"/>
          <w:spacing w:val="-8"/>
          <w:sz w:val="22"/>
          <w:szCs w:val="22"/>
        </w:rPr>
        <w:t>₆</w:t>
      </w:r>
      <w:r>
        <w:rPr>
          <w:rFonts w:ascii="宋体" w:eastAsia="宋体" w:hAnsi="宋体" w:cs="宋体"/>
          <w:spacing w:val="-8"/>
          <w:sz w:val="22"/>
          <w:szCs w:val="22"/>
        </w:rPr>
        <w:t>。</w:t>
      </w:r>
    </w:p>
    <w:p w:rsidR="00EA40A3" w:rsidRDefault="00E86C16">
      <w:pPr>
        <w:spacing w:before="91" w:line="246" w:lineRule="auto"/>
        <w:ind w:left="20" w:right="57" w:firstLine="340"/>
        <w:jc w:val="both"/>
        <w:rPr>
          <w:rFonts w:ascii="宋体" w:eastAsia="宋体" w:hAnsi="宋体" w:cs="宋体"/>
          <w:sz w:val="22"/>
          <w:szCs w:val="22"/>
        </w:rPr>
      </w:pPr>
      <w:r>
        <w:rPr>
          <w:rFonts w:ascii="宋体" w:eastAsia="宋体" w:hAnsi="宋体" w:cs="宋体"/>
          <w:spacing w:val="-13"/>
          <w:sz w:val="22"/>
          <w:szCs w:val="22"/>
        </w:rPr>
        <w:t>谷类籽粒中的维生素主要集中在外层的胚、糊粉层和谷皮部分，其中维生素</w:t>
      </w:r>
      <w:r>
        <w:rPr>
          <w:rFonts w:ascii="宋体" w:eastAsia="宋体" w:hAnsi="宋体" w:cs="宋体"/>
          <w:spacing w:val="17"/>
          <w:sz w:val="22"/>
          <w:szCs w:val="22"/>
        </w:rPr>
        <w:t xml:space="preserve"> </w:t>
      </w:r>
      <w:r>
        <w:rPr>
          <w:rFonts w:ascii="宋体" w:eastAsia="宋体" w:hAnsi="宋体" w:cs="宋体"/>
          <w:spacing w:val="-9"/>
          <w:sz w:val="22"/>
          <w:szCs w:val="22"/>
        </w:rPr>
        <w:t>B</w:t>
      </w:r>
      <w:r>
        <w:rPr>
          <w:rFonts w:ascii="Calibri" w:eastAsia="Calibri" w:hAnsi="Calibri" w:cs="Calibri"/>
          <w:spacing w:val="-9"/>
          <w:sz w:val="22"/>
          <w:szCs w:val="22"/>
        </w:rPr>
        <w:t>₁</w:t>
      </w:r>
      <w:r>
        <w:rPr>
          <w:rFonts w:ascii="Calibri" w:eastAsia="Calibri" w:hAnsi="Calibri" w:cs="Calibri"/>
          <w:spacing w:val="61"/>
          <w:w w:val="101"/>
          <w:sz w:val="22"/>
          <w:szCs w:val="22"/>
        </w:rPr>
        <w:t xml:space="preserve"> </w:t>
      </w:r>
      <w:r>
        <w:rPr>
          <w:rFonts w:ascii="宋体" w:eastAsia="宋体" w:hAnsi="宋体" w:cs="宋体"/>
          <w:spacing w:val="-9"/>
          <w:sz w:val="22"/>
          <w:szCs w:val="22"/>
        </w:rPr>
        <w:t>和维生素E</w:t>
      </w:r>
      <w:r>
        <w:rPr>
          <w:rFonts w:ascii="宋体" w:eastAsia="宋体" w:hAnsi="宋体" w:cs="宋体"/>
          <w:spacing w:val="-14"/>
          <w:sz w:val="22"/>
          <w:szCs w:val="22"/>
        </w:rPr>
        <w:t xml:space="preserve"> </w:t>
      </w:r>
      <w:r>
        <w:rPr>
          <w:rFonts w:ascii="宋体" w:eastAsia="宋体" w:hAnsi="宋体" w:cs="宋体"/>
          <w:spacing w:val="-9"/>
          <w:sz w:val="22"/>
          <w:szCs w:val="22"/>
        </w:rPr>
        <w:t>主要存在于谷胚中，尼克酸、维生素B</w:t>
      </w:r>
      <w:r>
        <w:rPr>
          <w:rFonts w:ascii="Calibri" w:eastAsia="Calibri" w:hAnsi="Calibri" w:cs="Calibri"/>
          <w:spacing w:val="-9"/>
          <w:sz w:val="22"/>
          <w:szCs w:val="22"/>
        </w:rPr>
        <w:t>₆</w:t>
      </w:r>
      <w:r>
        <w:rPr>
          <w:rFonts w:ascii="Calibri" w:eastAsia="Calibri" w:hAnsi="Calibri" w:cs="Calibri"/>
          <w:spacing w:val="45"/>
          <w:sz w:val="22"/>
          <w:szCs w:val="22"/>
        </w:rPr>
        <w:t xml:space="preserve"> </w:t>
      </w:r>
      <w:r>
        <w:rPr>
          <w:rFonts w:ascii="宋体" w:eastAsia="宋体" w:hAnsi="宋体" w:cs="宋体"/>
          <w:spacing w:val="-9"/>
          <w:sz w:val="22"/>
          <w:szCs w:val="22"/>
        </w:rPr>
        <w:t>和泛酸主要集中于糊粉层</w:t>
      </w:r>
      <w:r>
        <w:rPr>
          <w:rFonts w:ascii="宋体" w:eastAsia="宋体" w:hAnsi="宋体" w:cs="宋体"/>
          <w:sz w:val="22"/>
          <w:szCs w:val="22"/>
        </w:rPr>
        <w:t xml:space="preserve"> </w:t>
      </w:r>
      <w:r>
        <w:rPr>
          <w:rFonts w:ascii="宋体" w:eastAsia="宋体" w:hAnsi="宋体" w:cs="宋体"/>
          <w:spacing w:val="-6"/>
          <w:sz w:val="22"/>
          <w:szCs w:val="22"/>
        </w:rPr>
        <w:t>中，随着加工精度的提高，含量迅速下降(表6</w:t>
      </w:r>
      <w:r>
        <w:rPr>
          <w:rFonts w:ascii="宋体" w:eastAsia="宋体" w:hAnsi="宋体" w:cs="宋体"/>
          <w:spacing w:val="-7"/>
          <w:sz w:val="22"/>
          <w:szCs w:val="22"/>
        </w:rPr>
        <w:t>-3)。</w:t>
      </w:r>
    </w:p>
    <w:p w:rsidR="00EA40A3" w:rsidRDefault="00EA40A3">
      <w:pPr>
        <w:spacing w:line="329" w:lineRule="auto"/>
      </w:pPr>
    </w:p>
    <w:p w:rsidR="00EA40A3" w:rsidRDefault="00E86C16">
      <w:pPr>
        <w:spacing w:before="52"/>
        <w:ind w:left="20"/>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9"/>
          <w:sz w:val="16"/>
          <w:szCs w:val="16"/>
        </w:rPr>
        <w:t xml:space="preserve"> </w:t>
      </w:r>
      <w:r>
        <w:rPr>
          <w:rFonts w:ascii="宋体" w:eastAsia="宋体" w:hAnsi="宋体" w:cs="宋体"/>
          <w:spacing w:val="-16"/>
          <w:sz w:val="16"/>
          <w:szCs w:val="16"/>
        </w:rPr>
        <w:t>186</w:t>
      </w:r>
      <w:r>
        <w:rPr>
          <w:rFonts w:ascii="宋体" w:eastAsia="宋体" w:hAnsi="宋体" w:cs="宋体"/>
          <w:spacing w:val="61"/>
          <w:sz w:val="16"/>
          <w:szCs w:val="16"/>
        </w:rPr>
        <w:t xml:space="preserve"> </w:t>
      </w:r>
      <w:r>
        <w:rPr>
          <w:rFonts w:ascii="宋体" w:eastAsia="宋体" w:hAnsi="宋体" w:cs="宋体"/>
          <w:spacing w:val="-16"/>
          <w:sz w:val="16"/>
          <w:szCs w:val="16"/>
        </w:rPr>
        <w:t>·</w:t>
      </w:r>
    </w:p>
    <w:p w:rsidR="00EA40A3" w:rsidRDefault="00EA40A3">
      <w:pPr>
        <w:sectPr w:rsidR="00EA40A3">
          <w:pgSz w:w="9220" w:h="13360"/>
          <w:pgMar w:top="400" w:right="1000" w:bottom="400" w:left="879" w:header="0" w:footer="0" w:gutter="0"/>
          <w:cols w:space="720"/>
        </w:sectPr>
      </w:pPr>
    </w:p>
    <w:p w:rsidR="00EA40A3" w:rsidRDefault="00EA40A3">
      <w:pPr>
        <w:spacing w:line="242" w:lineRule="auto"/>
      </w:pPr>
    </w:p>
    <w:p w:rsidR="00EA40A3" w:rsidRDefault="00EA40A3">
      <w:pPr>
        <w:spacing w:line="242" w:lineRule="auto"/>
      </w:pPr>
    </w:p>
    <w:p w:rsidR="00EA40A3" w:rsidRDefault="00E86C16">
      <w:pPr>
        <w:spacing w:before="75" w:line="226" w:lineRule="auto"/>
        <w:ind w:right="364"/>
        <w:jc w:val="right"/>
        <w:rPr>
          <w:rFonts w:ascii="宋体" w:eastAsia="宋体" w:hAnsi="宋体" w:cs="宋体"/>
          <w:sz w:val="23"/>
          <w:szCs w:val="23"/>
        </w:rPr>
      </w:pPr>
      <w:r>
        <w:rPr>
          <w:rFonts w:ascii="黑体" w:eastAsia="黑体" w:hAnsi="黑体" w:cs="黑体"/>
          <w:b/>
          <w:bCs/>
          <w:spacing w:val="-15"/>
          <w:position w:val="-1"/>
          <w:sz w:val="19"/>
          <w:szCs w:val="19"/>
        </w:rPr>
        <w:t>表6-3</w:t>
      </w:r>
      <w:r>
        <w:rPr>
          <w:rFonts w:ascii="黑体" w:eastAsia="黑体" w:hAnsi="黑体" w:cs="黑体"/>
          <w:spacing w:val="50"/>
          <w:position w:val="-1"/>
          <w:sz w:val="19"/>
          <w:szCs w:val="19"/>
        </w:rPr>
        <w:t xml:space="preserve"> </w:t>
      </w:r>
      <w:r>
        <w:rPr>
          <w:rFonts w:ascii="黑体" w:eastAsia="黑体" w:hAnsi="黑体" w:cs="黑体"/>
          <w:b/>
          <w:bCs/>
          <w:spacing w:val="-15"/>
          <w:position w:val="-1"/>
          <w:sz w:val="19"/>
          <w:szCs w:val="19"/>
        </w:rPr>
        <w:t>粮食中维生素B</w:t>
      </w:r>
      <w:r>
        <w:rPr>
          <w:rFonts w:ascii="Calibri" w:eastAsia="Calibri" w:hAnsi="Calibri" w:cs="Calibri"/>
          <w:b/>
          <w:bCs/>
          <w:spacing w:val="-15"/>
          <w:position w:val="-1"/>
          <w:sz w:val="19"/>
          <w:szCs w:val="19"/>
        </w:rPr>
        <w:t>₁</w:t>
      </w:r>
      <w:r>
        <w:rPr>
          <w:rFonts w:ascii="Calibri" w:eastAsia="Calibri" w:hAnsi="Calibri" w:cs="Calibri"/>
          <w:spacing w:val="4"/>
          <w:position w:val="-1"/>
          <w:sz w:val="19"/>
          <w:szCs w:val="19"/>
        </w:rPr>
        <w:t xml:space="preserve">  </w:t>
      </w:r>
      <w:r>
        <w:rPr>
          <w:rFonts w:ascii="黑体" w:eastAsia="黑体" w:hAnsi="黑体" w:cs="黑体"/>
          <w:b/>
          <w:bCs/>
          <w:spacing w:val="-15"/>
          <w:position w:val="-1"/>
          <w:sz w:val="19"/>
          <w:szCs w:val="19"/>
        </w:rPr>
        <w:t>的含量</w:t>
      </w:r>
      <w:r>
        <w:rPr>
          <w:rFonts w:ascii="黑体" w:eastAsia="黑体" w:hAnsi="黑体" w:cs="黑体"/>
          <w:spacing w:val="7"/>
          <w:position w:val="-1"/>
          <w:sz w:val="19"/>
          <w:szCs w:val="19"/>
        </w:rPr>
        <w:t xml:space="preserve">      </w:t>
      </w:r>
      <w:r>
        <w:rPr>
          <w:rFonts w:ascii="宋体" w:eastAsia="宋体" w:hAnsi="宋体" w:cs="宋体"/>
          <w:spacing w:val="-15"/>
          <w:position w:val="1"/>
          <w:sz w:val="23"/>
          <w:szCs w:val="23"/>
        </w:rPr>
        <w:t>(单位：mg/1</w:t>
      </w:r>
      <w:r>
        <w:rPr>
          <w:rFonts w:ascii="宋体" w:eastAsia="宋体" w:hAnsi="宋体" w:cs="宋体"/>
          <w:spacing w:val="-16"/>
          <w:position w:val="1"/>
          <w:sz w:val="23"/>
          <w:szCs w:val="23"/>
        </w:rPr>
        <w:t>00g)</w:t>
      </w:r>
    </w:p>
    <w:p w:rsidR="00EA40A3" w:rsidRDefault="00EA40A3">
      <w:pPr>
        <w:spacing w:line="62" w:lineRule="exact"/>
      </w:pPr>
    </w:p>
    <w:tbl>
      <w:tblPr>
        <w:tblStyle w:val="TableNormal"/>
        <w:tblW w:w="7239" w:type="dxa"/>
        <w:tblInd w:w="5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65"/>
        <w:gridCol w:w="1845"/>
        <w:gridCol w:w="1682"/>
        <w:gridCol w:w="1947"/>
      </w:tblGrid>
      <w:tr w:rsidR="00EA40A3">
        <w:trPr>
          <w:trHeight w:val="264"/>
        </w:trPr>
        <w:tc>
          <w:tcPr>
            <w:tcW w:w="1765" w:type="dxa"/>
            <w:tcBorders>
              <w:top w:val="single" w:sz="4" w:space="0" w:color="000000"/>
              <w:bottom w:val="single" w:sz="4" w:space="0" w:color="000000"/>
            </w:tcBorders>
          </w:tcPr>
          <w:p w:rsidR="00EA40A3" w:rsidRDefault="00E86C16">
            <w:pPr>
              <w:spacing w:before="70" w:line="219" w:lineRule="auto"/>
              <w:ind w:left="520"/>
              <w:rPr>
                <w:rFonts w:ascii="宋体" w:eastAsia="宋体" w:hAnsi="宋体" w:cs="宋体"/>
                <w:sz w:val="16"/>
                <w:szCs w:val="16"/>
              </w:rPr>
            </w:pPr>
            <w:r>
              <w:rPr>
                <w:rFonts w:ascii="宋体" w:eastAsia="宋体" w:hAnsi="宋体" w:cs="宋体"/>
                <w:spacing w:val="-2"/>
                <w:sz w:val="16"/>
                <w:szCs w:val="16"/>
              </w:rPr>
              <w:t>粮食名称</w:t>
            </w:r>
          </w:p>
        </w:tc>
        <w:tc>
          <w:tcPr>
            <w:tcW w:w="1845" w:type="dxa"/>
            <w:tcBorders>
              <w:top w:val="single" w:sz="4" w:space="0" w:color="000000"/>
              <w:bottom w:val="single" w:sz="4" w:space="0" w:color="000000"/>
              <w:right w:val="single" w:sz="4" w:space="0" w:color="000000"/>
            </w:tcBorders>
          </w:tcPr>
          <w:p w:rsidR="00EA40A3" w:rsidRDefault="00E86C16">
            <w:pPr>
              <w:spacing w:before="61" w:line="219" w:lineRule="auto"/>
              <w:ind w:left="385"/>
              <w:rPr>
                <w:rFonts w:ascii="宋体" w:eastAsia="宋体" w:hAnsi="宋体" w:cs="宋体"/>
                <w:sz w:val="16"/>
                <w:szCs w:val="16"/>
              </w:rPr>
            </w:pPr>
            <w:r>
              <w:rPr>
                <w:rFonts w:ascii="宋体" w:eastAsia="宋体" w:hAnsi="宋体" w:cs="宋体"/>
                <w:spacing w:val="11"/>
                <w:sz w:val="16"/>
                <w:szCs w:val="16"/>
              </w:rPr>
              <w:t>维生素B</w:t>
            </w:r>
            <w:r>
              <w:rPr>
                <w:rFonts w:ascii="Calibri" w:eastAsia="Calibri" w:hAnsi="Calibri" w:cs="Calibri"/>
                <w:spacing w:val="11"/>
                <w:sz w:val="16"/>
                <w:szCs w:val="16"/>
              </w:rPr>
              <w:t>₁</w:t>
            </w:r>
            <w:r>
              <w:rPr>
                <w:rFonts w:ascii="宋体" w:eastAsia="宋体" w:hAnsi="宋体" w:cs="宋体"/>
                <w:spacing w:val="11"/>
                <w:sz w:val="16"/>
                <w:szCs w:val="16"/>
              </w:rPr>
              <w:t>含量</w:t>
            </w:r>
          </w:p>
        </w:tc>
        <w:tc>
          <w:tcPr>
            <w:tcW w:w="1682" w:type="dxa"/>
            <w:tcBorders>
              <w:top w:val="single" w:sz="4" w:space="0" w:color="000000"/>
              <w:left w:val="single" w:sz="4" w:space="0" w:color="000000"/>
              <w:bottom w:val="single" w:sz="4" w:space="0" w:color="000000"/>
            </w:tcBorders>
          </w:tcPr>
          <w:p w:rsidR="00EA40A3" w:rsidRDefault="00E86C16">
            <w:pPr>
              <w:spacing w:before="50" w:line="219" w:lineRule="auto"/>
              <w:ind w:left="555"/>
              <w:rPr>
                <w:rFonts w:ascii="宋体" w:eastAsia="宋体" w:hAnsi="宋体" w:cs="宋体"/>
                <w:sz w:val="16"/>
                <w:szCs w:val="16"/>
              </w:rPr>
            </w:pPr>
            <w:r>
              <w:rPr>
                <w:rFonts w:ascii="宋体" w:eastAsia="宋体" w:hAnsi="宋体" w:cs="宋体"/>
                <w:spacing w:val="-2"/>
                <w:sz w:val="16"/>
                <w:szCs w:val="16"/>
              </w:rPr>
              <w:t>粮食名称</w:t>
            </w:r>
          </w:p>
        </w:tc>
        <w:tc>
          <w:tcPr>
            <w:tcW w:w="1947" w:type="dxa"/>
            <w:tcBorders>
              <w:top w:val="single" w:sz="4" w:space="0" w:color="000000"/>
              <w:bottom w:val="single" w:sz="4" w:space="0" w:color="000000"/>
            </w:tcBorders>
          </w:tcPr>
          <w:p w:rsidR="00EA40A3" w:rsidRDefault="00E86C16">
            <w:pPr>
              <w:spacing w:before="51" w:line="219" w:lineRule="auto"/>
              <w:ind w:left="498"/>
              <w:rPr>
                <w:rFonts w:ascii="宋体" w:eastAsia="宋体" w:hAnsi="宋体" w:cs="宋体"/>
                <w:sz w:val="16"/>
                <w:szCs w:val="16"/>
              </w:rPr>
            </w:pPr>
            <w:r>
              <w:rPr>
                <w:rFonts w:ascii="宋体" w:eastAsia="宋体" w:hAnsi="宋体" w:cs="宋体"/>
                <w:spacing w:val="11"/>
                <w:sz w:val="16"/>
                <w:szCs w:val="16"/>
              </w:rPr>
              <w:t>维生素B</w:t>
            </w:r>
            <w:r>
              <w:rPr>
                <w:rFonts w:ascii="Calibri" w:eastAsia="Calibri" w:hAnsi="Calibri" w:cs="Calibri"/>
                <w:spacing w:val="11"/>
                <w:sz w:val="16"/>
                <w:szCs w:val="16"/>
              </w:rPr>
              <w:t>₁</w:t>
            </w:r>
            <w:r>
              <w:rPr>
                <w:rFonts w:ascii="宋体" w:eastAsia="宋体" w:hAnsi="宋体" w:cs="宋体"/>
                <w:spacing w:val="11"/>
                <w:sz w:val="16"/>
                <w:szCs w:val="16"/>
              </w:rPr>
              <w:t>含量</w:t>
            </w:r>
          </w:p>
        </w:tc>
      </w:tr>
      <w:tr w:rsidR="00EA40A3">
        <w:trPr>
          <w:trHeight w:val="268"/>
        </w:trPr>
        <w:tc>
          <w:tcPr>
            <w:tcW w:w="1765" w:type="dxa"/>
            <w:tcBorders>
              <w:top w:val="single" w:sz="4" w:space="0" w:color="000000"/>
            </w:tcBorders>
          </w:tcPr>
          <w:p w:rsidR="00EA40A3" w:rsidRDefault="00E86C16">
            <w:pPr>
              <w:spacing w:before="56" w:line="219" w:lineRule="auto"/>
              <w:ind w:left="520"/>
              <w:rPr>
                <w:rFonts w:ascii="宋体" w:eastAsia="宋体" w:hAnsi="宋体" w:cs="宋体"/>
                <w:sz w:val="16"/>
                <w:szCs w:val="16"/>
              </w:rPr>
            </w:pPr>
            <w:r>
              <w:rPr>
                <w:rFonts w:ascii="宋体" w:eastAsia="宋体" w:hAnsi="宋体" w:cs="宋体"/>
                <w:spacing w:val="-6"/>
                <w:sz w:val="16"/>
                <w:szCs w:val="16"/>
              </w:rPr>
              <w:t>小</w:t>
            </w:r>
            <w:r>
              <w:rPr>
                <w:rFonts w:ascii="宋体" w:eastAsia="宋体" w:hAnsi="宋体" w:cs="宋体"/>
                <w:spacing w:val="1"/>
                <w:sz w:val="16"/>
                <w:szCs w:val="16"/>
              </w:rPr>
              <w:t xml:space="preserve">    </w:t>
            </w:r>
            <w:r>
              <w:rPr>
                <w:rFonts w:ascii="宋体" w:eastAsia="宋体" w:hAnsi="宋体" w:cs="宋体"/>
                <w:spacing w:val="-6"/>
                <w:sz w:val="16"/>
                <w:szCs w:val="16"/>
              </w:rPr>
              <w:t>麦</w:t>
            </w:r>
          </w:p>
        </w:tc>
        <w:tc>
          <w:tcPr>
            <w:tcW w:w="1845" w:type="dxa"/>
            <w:tcBorders>
              <w:top w:val="single" w:sz="4" w:space="0" w:color="000000"/>
              <w:right w:val="single" w:sz="4" w:space="0" w:color="000000"/>
            </w:tcBorders>
          </w:tcPr>
          <w:p w:rsidR="00EA40A3" w:rsidRDefault="00E86C16">
            <w:pPr>
              <w:spacing w:before="98" w:line="184" w:lineRule="auto"/>
              <w:ind w:left="495"/>
              <w:rPr>
                <w:rFonts w:ascii="宋体" w:eastAsia="宋体" w:hAnsi="宋体" w:cs="宋体"/>
                <w:sz w:val="16"/>
                <w:szCs w:val="16"/>
              </w:rPr>
            </w:pPr>
            <w:r>
              <w:rPr>
                <w:rFonts w:ascii="宋体" w:eastAsia="宋体" w:hAnsi="宋体" w:cs="宋体"/>
                <w:spacing w:val="-1"/>
                <w:sz w:val="16"/>
                <w:szCs w:val="16"/>
              </w:rPr>
              <w:t>0.37～0.61</w:t>
            </w:r>
          </w:p>
        </w:tc>
        <w:tc>
          <w:tcPr>
            <w:tcW w:w="1682" w:type="dxa"/>
            <w:tcBorders>
              <w:top w:val="single" w:sz="4" w:space="0" w:color="000000"/>
              <w:left w:val="single" w:sz="4" w:space="0" w:color="000000"/>
            </w:tcBorders>
          </w:tcPr>
          <w:p w:rsidR="00EA40A3" w:rsidRDefault="00E86C16">
            <w:pPr>
              <w:spacing w:before="57" w:line="219" w:lineRule="auto"/>
              <w:ind w:left="675"/>
              <w:rPr>
                <w:rFonts w:ascii="宋体" w:eastAsia="宋体" w:hAnsi="宋体" w:cs="宋体"/>
                <w:sz w:val="16"/>
                <w:szCs w:val="16"/>
              </w:rPr>
            </w:pPr>
            <w:r>
              <w:rPr>
                <w:rFonts w:ascii="宋体" w:eastAsia="宋体" w:hAnsi="宋体" w:cs="宋体"/>
                <w:spacing w:val="-2"/>
                <w:sz w:val="16"/>
                <w:szCs w:val="16"/>
              </w:rPr>
              <w:t>糙米</w:t>
            </w:r>
          </w:p>
        </w:tc>
        <w:tc>
          <w:tcPr>
            <w:tcW w:w="1947" w:type="dxa"/>
            <w:tcBorders>
              <w:top w:val="single" w:sz="4" w:space="0" w:color="000000"/>
            </w:tcBorders>
          </w:tcPr>
          <w:p w:rsidR="00EA40A3" w:rsidRDefault="00E86C16">
            <w:pPr>
              <w:spacing w:before="98" w:line="183" w:lineRule="auto"/>
              <w:ind w:left="648"/>
              <w:rPr>
                <w:rFonts w:ascii="宋体" w:eastAsia="宋体" w:hAnsi="宋体" w:cs="宋体"/>
                <w:sz w:val="16"/>
                <w:szCs w:val="16"/>
              </w:rPr>
            </w:pPr>
            <w:r>
              <w:rPr>
                <w:rFonts w:ascii="宋体" w:eastAsia="宋体" w:hAnsi="宋体" w:cs="宋体"/>
                <w:spacing w:val="-1"/>
                <w:sz w:val="16"/>
                <w:szCs w:val="16"/>
              </w:rPr>
              <w:t>0.3～0.45</w:t>
            </w:r>
          </w:p>
        </w:tc>
      </w:tr>
      <w:tr w:rsidR="00EA40A3">
        <w:trPr>
          <w:trHeight w:val="289"/>
        </w:trPr>
        <w:tc>
          <w:tcPr>
            <w:tcW w:w="1765" w:type="dxa"/>
          </w:tcPr>
          <w:p w:rsidR="00EA40A3" w:rsidRDefault="00E86C16">
            <w:pPr>
              <w:spacing w:before="58" w:line="219" w:lineRule="auto"/>
              <w:ind w:left="520"/>
              <w:rPr>
                <w:rFonts w:ascii="宋体" w:eastAsia="宋体" w:hAnsi="宋体" w:cs="宋体"/>
                <w:sz w:val="16"/>
                <w:szCs w:val="16"/>
              </w:rPr>
            </w:pPr>
            <w:r>
              <w:rPr>
                <w:rFonts w:ascii="宋体" w:eastAsia="宋体" w:hAnsi="宋体" w:cs="宋体"/>
                <w:spacing w:val="-2"/>
                <w:sz w:val="16"/>
                <w:szCs w:val="16"/>
              </w:rPr>
              <w:t>小麦麸皮</w:t>
            </w:r>
          </w:p>
        </w:tc>
        <w:tc>
          <w:tcPr>
            <w:tcW w:w="1845" w:type="dxa"/>
            <w:tcBorders>
              <w:right w:val="single" w:sz="4" w:space="0" w:color="000000"/>
            </w:tcBorders>
          </w:tcPr>
          <w:p w:rsidR="00EA40A3" w:rsidRDefault="00E86C16">
            <w:pPr>
              <w:spacing w:before="120" w:line="183" w:lineRule="auto"/>
              <w:ind w:left="595"/>
              <w:rPr>
                <w:rFonts w:ascii="宋体" w:eastAsia="宋体" w:hAnsi="宋体" w:cs="宋体"/>
                <w:sz w:val="16"/>
                <w:szCs w:val="16"/>
              </w:rPr>
            </w:pPr>
            <w:r>
              <w:rPr>
                <w:rFonts w:ascii="宋体" w:eastAsia="宋体" w:hAnsi="宋体" w:cs="宋体"/>
                <w:spacing w:val="-2"/>
                <w:sz w:val="16"/>
                <w:szCs w:val="16"/>
              </w:rPr>
              <w:t>0.7～2.8</w:t>
            </w:r>
          </w:p>
        </w:tc>
        <w:tc>
          <w:tcPr>
            <w:tcW w:w="1682" w:type="dxa"/>
            <w:tcBorders>
              <w:left w:val="single" w:sz="4" w:space="0" w:color="000000"/>
            </w:tcBorders>
          </w:tcPr>
          <w:p w:rsidR="00EA40A3" w:rsidRDefault="00E86C16">
            <w:pPr>
              <w:spacing w:before="69" w:line="219" w:lineRule="auto"/>
              <w:ind w:left="675"/>
              <w:rPr>
                <w:rFonts w:ascii="宋体" w:eastAsia="宋体" w:hAnsi="宋体" w:cs="宋体"/>
                <w:sz w:val="16"/>
                <w:szCs w:val="16"/>
              </w:rPr>
            </w:pPr>
            <w:r>
              <w:rPr>
                <w:rFonts w:ascii="宋体" w:eastAsia="宋体" w:hAnsi="宋体" w:cs="宋体"/>
                <w:spacing w:val="-2"/>
                <w:sz w:val="16"/>
                <w:szCs w:val="16"/>
              </w:rPr>
              <w:t>米皮层</w:t>
            </w:r>
          </w:p>
        </w:tc>
        <w:tc>
          <w:tcPr>
            <w:tcW w:w="1947" w:type="dxa"/>
          </w:tcPr>
          <w:p w:rsidR="00EA40A3" w:rsidRDefault="00E86C16">
            <w:pPr>
              <w:spacing w:before="110" w:line="184" w:lineRule="auto"/>
              <w:ind w:left="708"/>
              <w:rPr>
                <w:rFonts w:ascii="宋体" w:eastAsia="宋体" w:hAnsi="宋体" w:cs="宋体"/>
                <w:sz w:val="16"/>
                <w:szCs w:val="16"/>
              </w:rPr>
            </w:pPr>
            <w:r>
              <w:rPr>
                <w:rFonts w:ascii="宋体" w:eastAsia="宋体" w:hAnsi="宋体" w:cs="宋体"/>
                <w:spacing w:val="-3"/>
                <w:sz w:val="16"/>
                <w:szCs w:val="16"/>
              </w:rPr>
              <w:t>1.5～3.0</w:t>
            </w:r>
          </w:p>
        </w:tc>
      </w:tr>
      <w:tr w:rsidR="00EA40A3">
        <w:trPr>
          <w:trHeight w:val="279"/>
        </w:trPr>
        <w:tc>
          <w:tcPr>
            <w:tcW w:w="1765" w:type="dxa"/>
          </w:tcPr>
          <w:p w:rsidR="00EA40A3" w:rsidRDefault="00E86C16">
            <w:pPr>
              <w:spacing w:before="69" w:line="219" w:lineRule="auto"/>
              <w:ind w:left="619"/>
              <w:rPr>
                <w:rFonts w:ascii="宋体" w:eastAsia="宋体" w:hAnsi="宋体" w:cs="宋体"/>
                <w:sz w:val="16"/>
                <w:szCs w:val="16"/>
              </w:rPr>
            </w:pPr>
            <w:r>
              <w:rPr>
                <w:rFonts w:ascii="宋体" w:eastAsia="宋体" w:hAnsi="宋体" w:cs="宋体"/>
                <w:spacing w:val="-2"/>
                <w:sz w:val="16"/>
                <w:szCs w:val="16"/>
              </w:rPr>
              <w:t>麦胚</w:t>
            </w:r>
          </w:p>
        </w:tc>
        <w:tc>
          <w:tcPr>
            <w:tcW w:w="1845" w:type="dxa"/>
            <w:tcBorders>
              <w:right w:val="single" w:sz="4" w:space="0" w:color="000000"/>
            </w:tcBorders>
          </w:tcPr>
          <w:p w:rsidR="00EA40A3" w:rsidRDefault="00E86C16">
            <w:pPr>
              <w:spacing w:before="101" w:line="184" w:lineRule="auto"/>
              <w:ind w:left="554"/>
              <w:rPr>
                <w:rFonts w:ascii="宋体" w:eastAsia="宋体" w:hAnsi="宋体" w:cs="宋体"/>
                <w:sz w:val="16"/>
                <w:szCs w:val="16"/>
              </w:rPr>
            </w:pPr>
            <w:r>
              <w:rPr>
                <w:rFonts w:ascii="宋体" w:eastAsia="宋体" w:hAnsi="宋体" w:cs="宋体"/>
                <w:spacing w:val="-3"/>
                <w:sz w:val="16"/>
                <w:szCs w:val="16"/>
              </w:rPr>
              <w:t>1.56～3.0</w:t>
            </w:r>
          </w:p>
        </w:tc>
        <w:tc>
          <w:tcPr>
            <w:tcW w:w="1682" w:type="dxa"/>
            <w:tcBorders>
              <w:left w:val="single" w:sz="4" w:space="0" w:color="000000"/>
            </w:tcBorders>
          </w:tcPr>
          <w:p w:rsidR="00EA40A3" w:rsidRDefault="00E86C16">
            <w:pPr>
              <w:spacing w:before="60" w:line="219" w:lineRule="auto"/>
              <w:ind w:left="675"/>
              <w:rPr>
                <w:rFonts w:ascii="宋体" w:eastAsia="宋体" w:hAnsi="宋体" w:cs="宋体"/>
                <w:sz w:val="16"/>
                <w:szCs w:val="16"/>
              </w:rPr>
            </w:pPr>
            <w:r>
              <w:rPr>
                <w:rFonts w:ascii="宋体" w:eastAsia="宋体" w:hAnsi="宋体" w:cs="宋体"/>
                <w:spacing w:val="-2"/>
                <w:sz w:val="16"/>
                <w:szCs w:val="16"/>
              </w:rPr>
              <w:t>米胚</w:t>
            </w:r>
          </w:p>
        </w:tc>
        <w:tc>
          <w:tcPr>
            <w:tcW w:w="1947" w:type="dxa"/>
          </w:tcPr>
          <w:p w:rsidR="00EA40A3" w:rsidRDefault="00E86C16">
            <w:pPr>
              <w:spacing w:before="101" w:line="183" w:lineRule="auto"/>
              <w:ind w:left="688"/>
              <w:rPr>
                <w:rFonts w:ascii="宋体" w:eastAsia="宋体" w:hAnsi="宋体" w:cs="宋体"/>
                <w:sz w:val="16"/>
                <w:szCs w:val="16"/>
              </w:rPr>
            </w:pPr>
            <w:r>
              <w:rPr>
                <w:rFonts w:ascii="宋体" w:eastAsia="宋体" w:hAnsi="宋体" w:cs="宋体"/>
                <w:spacing w:val="-2"/>
                <w:sz w:val="16"/>
                <w:szCs w:val="16"/>
              </w:rPr>
              <w:t>3.0～8.0</w:t>
            </w:r>
          </w:p>
        </w:tc>
      </w:tr>
      <w:tr w:rsidR="00EA40A3">
        <w:trPr>
          <w:trHeight w:val="278"/>
        </w:trPr>
        <w:tc>
          <w:tcPr>
            <w:tcW w:w="1765" w:type="dxa"/>
          </w:tcPr>
          <w:p w:rsidR="00EA40A3" w:rsidRDefault="00E86C16">
            <w:pPr>
              <w:spacing w:before="61" w:line="219" w:lineRule="auto"/>
              <w:ind w:left="169"/>
              <w:rPr>
                <w:rFonts w:ascii="宋体" w:eastAsia="宋体" w:hAnsi="宋体" w:cs="宋体"/>
                <w:sz w:val="16"/>
                <w:szCs w:val="16"/>
              </w:rPr>
            </w:pPr>
            <w:r>
              <w:rPr>
                <w:rFonts w:ascii="宋体" w:eastAsia="宋体" w:hAnsi="宋体" w:cs="宋体"/>
                <w:spacing w:val="3"/>
                <w:sz w:val="16"/>
                <w:szCs w:val="16"/>
              </w:rPr>
              <w:t>面粉(出粉率85%)</w:t>
            </w:r>
          </w:p>
        </w:tc>
        <w:tc>
          <w:tcPr>
            <w:tcW w:w="1845" w:type="dxa"/>
            <w:tcBorders>
              <w:right w:val="single" w:sz="4" w:space="0" w:color="000000"/>
            </w:tcBorders>
          </w:tcPr>
          <w:p w:rsidR="00EA40A3" w:rsidRDefault="00E86C16">
            <w:pPr>
              <w:spacing w:before="122" w:line="179" w:lineRule="auto"/>
              <w:ind w:left="595"/>
              <w:rPr>
                <w:rFonts w:ascii="宋体" w:eastAsia="宋体" w:hAnsi="宋体" w:cs="宋体"/>
                <w:sz w:val="16"/>
                <w:szCs w:val="16"/>
              </w:rPr>
            </w:pPr>
            <w:r>
              <w:rPr>
                <w:rFonts w:ascii="宋体" w:eastAsia="宋体" w:hAnsi="宋体" w:cs="宋体"/>
                <w:spacing w:val="-2"/>
                <w:sz w:val="16"/>
                <w:szCs w:val="16"/>
              </w:rPr>
              <w:t>0.3～0.4</w:t>
            </w:r>
          </w:p>
        </w:tc>
        <w:tc>
          <w:tcPr>
            <w:tcW w:w="1682" w:type="dxa"/>
            <w:tcBorders>
              <w:left w:val="single" w:sz="4" w:space="0" w:color="000000"/>
            </w:tcBorders>
          </w:tcPr>
          <w:p w:rsidR="00EA40A3" w:rsidRDefault="00E86C16">
            <w:pPr>
              <w:spacing w:before="61" w:line="219" w:lineRule="auto"/>
              <w:ind w:left="675"/>
              <w:rPr>
                <w:rFonts w:ascii="宋体" w:eastAsia="宋体" w:hAnsi="宋体" w:cs="宋体"/>
                <w:sz w:val="16"/>
                <w:szCs w:val="16"/>
              </w:rPr>
            </w:pPr>
            <w:r>
              <w:rPr>
                <w:rFonts w:ascii="宋体" w:eastAsia="宋体" w:hAnsi="宋体" w:cs="宋体"/>
                <w:spacing w:val="-2"/>
                <w:sz w:val="16"/>
                <w:szCs w:val="16"/>
              </w:rPr>
              <w:t>米胚乳</w:t>
            </w:r>
          </w:p>
        </w:tc>
        <w:tc>
          <w:tcPr>
            <w:tcW w:w="1947" w:type="dxa"/>
          </w:tcPr>
          <w:p w:rsidR="00EA40A3" w:rsidRDefault="00E86C16">
            <w:pPr>
              <w:spacing w:before="122" w:line="179" w:lineRule="auto"/>
              <w:ind w:left="837"/>
              <w:rPr>
                <w:rFonts w:ascii="宋体" w:eastAsia="宋体" w:hAnsi="宋体" w:cs="宋体"/>
                <w:sz w:val="16"/>
                <w:szCs w:val="16"/>
              </w:rPr>
            </w:pPr>
            <w:r>
              <w:rPr>
                <w:rFonts w:ascii="宋体" w:eastAsia="宋体" w:hAnsi="宋体" w:cs="宋体"/>
                <w:spacing w:val="-2"/>
                <w:sz w:val="16"/>
                <w:szCs w:val="16"/>
              </w:rPr>
              <w:t>0.03</w:t>
            </w:r>
          </w:p>
        </w:tc>
      </w:tr>
      <w:tr w:rsidR="00EA40A3">
        <w:trPr>
          <w:trHeight w:val="269"/>
        </w:trPr>
        <w:tc>
          <w:tcPr>
            <w:tcW w:w="1765" w:type="dxa"/>
          </w:tcPr>
          <w:p w:rsidR="00EA40A3" w:rsidRDefault="00E86C16">
            <w:pPr>
              <w:spacing w:before="53" w:line="219" w:lineRule="auto"/>
              <w:ind w:left="179"/>
              <w:rPr>
                <w:rFonts w:ascii="宋体" w:eastAsia="宋体" w:hAnsi="宋体" w:cs="宋体"/>
                <w:sz w:val="16"/>
                <w:szCs w:val="16"/>
              </w:rPr>
            </w:pPr>
            <w:r>
              <w:rPr>
                <w:rFonts w:ascii="宋体" w:eastAsia="宋体" w:hAnsi="宋体" w:cs="宋体"/>
                <w:spacing w:val="3"/>
                <w:sz w:val="16"/>
                <w:szCs w:val="16"/>
              </w:rPr>
              <w:t>面粉(出粉率73%)</w:t>
            </w:r>
          </w:p>
        </w:tc>
        <w:tc>
          <w:tcPr>
            <w:tcW w:w="1845" w:type="dxa"/>
            <w:tcBorders>
              <w:right w:val="single" w:sz="4" w:space="0" w:color="000000"/>
            </w:tcBorders>
          </w:tcPr>
          <w:p w:rsidR="00EA40A3" w:rsidRDefault="00E86C16">
            <w:pPr>
              <w:spacing w:before="94" w:line="184" w:lineRule="auto"/>
              <w:ind w:left="535"/>
              <w:rPr>
                <w:rFonts w:ascii="宋体" w:eastAsia="宋体" w:hAnsi="宋体" w:cs="宋体"/>
                <w:sz w:val="16"/>
                <w:szCs w:val="16"/>
              </w:rPr>
            </w:pPr>
            <w:r>
              <w:rPr>
                <w:rFonts w:ascii="宋体" w:eastAsia="宋体" w:hAnsi="宋体" w:cs="宋体"/>
                <w:spacing w:val="-1"/>
                <w:sz w:val="16"/>
                <w:szCs w:val="16"/>
              </w:rPr>
              <w:t>0.07～0.1</w:t>
            </w:r>
          </w:p>
        </w:tc>
        <w:tc>
          <w:tcPr>
            <w:tcW w:w="1682" w:type="dxa"/>
            <w:tcBorders>
              <w:left w:val="single" w:sz="4" w:space="0" w:color="000000"/>
            </w:tcBorders>
          </w:tcPr>
          <w:p w:rsidR="00EA40A3" w:rsidRDefault="00E86C16">
            <w:pPr>
              <w:spacing w:before="63" w:line="219" w:lineRule="auto"/>
              <w:ind w:left="675"/>
              <w:rPr>
                <w:rFonts w:ascii="宋体" w:eastAsia="宋体" w:hAnsi="宋体" w:cs="宋体"/>
                <w:sz w:val="16"/>
                <w:szCs w:val="16"/>
              </w:rPr>
            </w:pPr>
            <w:r>
              <w:rPr>
                <w:rFonts w:ascii="宋体" w:eastAsia="宋体" w:hAnsi="宋体" w:cs="宋体"/>
                <w:spacing w:val="-2"/>
                <w:sz w:val="16"/>
                <w:szCs w:val="16"/>
              </w:rPr>
              <w:t>玉米</w:t>
            </w:r>
          </w:p>
        </w:tc>
        <w:tc>
          <w:tcPr>
            <w:tcW w:w="1947" w:type="dxa"/>
          </w:tcPr>
          <w:p w:rsidR="00EA40A3" w:rsidRDefault="00E86C16">
            <w:pPr>
              <w:spacing w:before="104" w:line="183" w:lineRule="auto"/>
              <w:ind w:left="638"/>
              <w:rPr>
                <w:rFonts w:ascii="宋体" w:eastAsia="宋体" w:hAnsi="宋体" w:cs="宋体"/>
                <w:sz w:val="16"/>
                <w:szCs w:val="16"/>
              </w:rPr>
            </w:pPr>
            <w:r>
              <w:rPr>
                <w:rFonts w:ascii="宋体" w:eastAsia="宋体" w:hAnsi="宋体" w:cs="宋体"/>
                <w:spacing w:val="-1"/>
                <w:sz w:val="16"/>
                <w:szCs w:val="16"/>
              </w:rPr>
              <w:t>0.3～0.45</w:t>
            </w:r>
          </w:p>
        </w:tc>
      </w:tr>
      <w:tr w:rsidR="00EA40A3">
        <w:trPr>
          <w:trHeight w:val="263"/>
        </w:trPr>
        <w:tc>
          <w:tcPr>
            <w:tcW w:w="1765" w:type="dxa"/>
            <w:tcBorders>
              <w:bottom w:val="single" w:sz="4" w:space="0" w:color="000000"/>
            </w:tcBorders>
          </w:tcPr>
          <w:p w:rsidR="00EA40A3" w:rsidRDefault="00E86C16">
            <w:pPr>
              <w:spacing w:before="64" w:line="219" w:lineRule="auto"/>
              <w:ind w:left="179"/>
              <w:rPr>
                <w:rFonts w:ascii="宋体" w:eastAsia="宋体" w:hAnsi="宋体" w:cs="宋体"/>
                <w:sz w:val="16"/>
                <w:szCs w:val="16"/>
              </w:rPr>
            </w:pPr>
            <w:r>
              <w:rPr>
                <w:rFonts w:ascii="宋体" w:eastAsia="宋体" w:hAnsi="宋体" w:cs="宋体"/>
                <w:spacing w:val="3"/>
                <w:sz w:val="16"/>
                <w:szCs w:val="16"/>
              </w:rPr>
              <w:t>面粉(出粉率60%)</w:t>
            </w:r>
          </w:p>
        </w:tc>
        <w:tc>
          <w:tcPr>
            <w:tcW w:w="1845" w:type="dxa"/>
            <w:tcBorders>
              <w:bottom w:val="single" w:sz="4" w:space="0" w:color="000000"/>
              <w:right w:val="single" w:sz="4" w:space="0" w:color="000000"/>
            </w:tcBorders>
          </w:tcPr>
          <w:p w:rsidR="00EA40A3" w:rsidRDefault="00E86C16">
            <w:pPr>
              <w:spacing w:before="106" w:line="181" w:lineRule="auto"/>
              <w:ind w:left="504"/>
              <w:rPr>
                <w:rFonts w:ascii="宋体" w:eastAsia="宋体" w:hAnsi="宋体" w:cs="宋体"/>
                <w:sz w:val="16"/>
                <w:szCs w:val="16"/>
              </w:rPr>
            </w:pPr>
            <w:r>
              <w:rPr>
                <w:rFonts w:ascii="宋体" w:eastAsia="宋体" w:hAnsi="宋体" w:cs="宋体"/>
                <w:spacing w:val="-1"/>
                <w:sz w:val="16"/>
                <w:szCs w:val="16"/>
              </w:rPr>
              <w:t>0.07～0.08</w:t>
            </w:r>
          </w:p>
        </w:tc>
        <w:tc>
          <w:tcPr>
            <w:tcW w:w="1682" w:type="dxa"/>
            <w:tcBorders>
              <w:left w:val="single" w:sz="4" w:space="0" w:color="000000"/>
              <w:bottom w:val="single" w:sz="4" w:space="0" w:color="000000"/>
            </w:tcBorders>
          </w:tcPr>
          <w:p w:rsidR="00EA40A3" w:rsidRDefault="00EA40A3"/>
        </w:tc>
        <w:tc>
          <w:tcPr>
            <w:tcW w:w="1947" w:type="dxa"/>
            <w:tcBorders>
              <w:bottom w:val="single" w:sz="4" w:space="0" w:color="000000"/>
            </w:tcBorders>
          </w:tcPr>
          <w:p w:rsidR="00EA40A3" w:rsidRDefault="00EA40A3"/>
        </w:tc>
      </w:tr>
    </w:tbl>
    <w:p w:rsidR="00EA40A3" w:rsidRDefault="00E86C16">
      <w:pPr>
        <w:spacing w:before="81" w:line="219" w:lineRule="auto"/>
        <w:ind w:left="339"/>
        <w:rPr>
          <w:rFonts w:ascii="宋体" w:eastAsia="宋体" w:hAnsi="宋体" w:cs="宋体"/>
          <w:sz w:val="19"/>
          <w:szCs w:val="19"/>
        </w:rPr>
      </w:pPr>
      <w:r>
        <w:rPr>
          <w:rFonts w:ascii="宋体" w:eastAsia="宋体" w:hAnsi="宋体" w:cs="宋体"/>
          <w:spacing w:val="-20"/>
          <w:w w:val="97"/>
          <w:sz w:val="19"/>
          <w:szCs w:val="19"/>
        </w:rPr>
        <w:t>资料来源：周世英，钟丽玉.1986.粮食学与粮食化学.北京：中国商业出版社</w:t>
      </w:r>
    </w:p>
    <w:p w:rsidR="00EA40A3" w:rsidRDefault="00EA40A3">
      <w:pPr>
        <w:spacing w:line="416" w:lineRule="auto"/>
      </w:pPr>
    </w:p>
    <w:p w:rsidR="00EA40A3" w:rsidRDefault="00E86C16">
      <w:pPr>
        <w:spacing w:before="75" w:line="221" w:lineRule="auto"/>
        <w:rPr>
          <w:rFonts w:ascii="仿宋" w:eastAsia="仿宋" w:hAnsi="仿宋" w:cs="仿宋"/>
          <w:sz w:val="23"/>
          <w:szCs w:val="23"/>
        </w:rPr>
      </w:pPr>
      <w:r>
        <w:rPr>
          <w:rFonts w:ascii="仿宋" w:eastAsia="仿宋" w:hAnsi="仿宋" w:cs="仿宋"/>
          <w:spacing w:val="4"/>
          <w:sz w:val="23"/>
          <w:szCs w:val="23"/>
        </w:rPr>
        <w:t>5.</w:t>
      </w:r>
      <w:r>
        <w:rPr>
          <w:rFonts w:ascii="仿宋" w:eastAsia="仿宋" w:hAnsi="仿宋" w:cs="仿宋"/>
          <w:spacing w:val="-33"/>
          <w:sz w:val="23"/>
          <w:szCs w:val="23"/>
        </w:rPr>
        <w:t xml:space="preserve"> </w:t>
      </w:r>
      <w:r>
        <w:rPr>
          <w:rFonts w:ascii="仿宋" w:eastAsia="仿宋" w:hAnsi="仿宋" w:cs="仿宋"/>
          <w:spacing w:val="4"/>
          <w:sz w:val="23"/>
          <w:szCs w:val="23"/>
        </w:rPr>
        <w:t>矿物质</w:t>
      </w:r>
    </w:p>
    <w:p w:rsidR="00EA40A3" w:rsidRDefault="00E86C16">
      <w:pPr>
        <w:spacing w:before="149" w:line="244" w:lineRule="auto"/>
        <w:ind w:right="82" w:firstLine="339"/>
        <w:rPr>
          <w:rFonts w:ascii="宋体" w:eastAsia="宋体" w:hAnsi="宋体" w:cs="宋体"/>
          <w:sz w:val="23"/>
          <w:szCs w:val="23"/>
        </w:rPr>
      </w:pPr>
      <w:r>
        <w:rPr>
          <w:rFonts w:ascii="宋体" w:eastAsia="宋体" w:hAnsi="宋体" w:cs="宋体"/>
          <w:spacing w:val="-16"/>
          <w:sz w:val="23"/>
          <w:szCs w:val="23"/>
        </w:rPr>
        <w:t>谷类中含有30多种矿物质，但各元素的含量，特别是微量元素的含量与品</w:t>
      </w:r>
      <w:r>
        <w:rPr>
          <w:rFonts w:ascii="宋体" w:eastAsia="宋体" w:hAnsi="宋体" w:cs="宋体"/>
          <w:spacing w:val="8"/>
          <w:sz w:val="23"/>
          <w:szCs w:val="23"/>
        </w:rPr>
        <w:t xml:space="preserve"> </w:t>
      </w:r>
      <w:r>
        <w:rPr>
          <w:rFonts w:ascii="宋体" w:eastAsia="宋体" w:hAnsi="宋体" w:cs="宋体"/>
          <w:spacing w:val="-23"/>
          <w:sz w:val="23"/>
          <w:szCs w:val="23"/>
        </w:rPr>
        <w:t>种、气候、土壤、肥水等栽培环境条件关系极大，而且在籽粒中主要集中在外层</w:t>
      </w:r>
      <w:r>
        <w:rPr>
          <w:rFonts w:ascii="宋体" w:eastAsia="宋体" w:hAnsi="宋体" w:cs="宋体"/>
          <w:spacing w:val="6"/>
          <w:sz w:val="23"/>
          <w:szCs w:val="23"/>
        </w:rPr>
        <w:t xml:space="preserve"> </w:t>
      </w:r>
      <w:r>
        <w:rPr>
          <w:rFonts w:ascii="宋体" w:eastAsia="宋体" w:hAnsi="宋体" w:cs="宋体"/>
          <w:spacing w:val="-24"/>
          <w:sz w:val="23"/>
          <w:szCs w:val="23"/>
        </w:rPr>
        <w:t>的胚、糊粉层和谷皮部分，胚乳中心部分的含量比较低。</w:t>
      </w:r>
    </w:p>
    <w:p w:rsidR="00EA40A3" w:rsidRDefault="00E86C16">
      <w:pPr>
        <w:spacing w:before="8" w:line="244" w:lineRule="auto"/>
        <w:ind w:right="59" w:firstLine="339"/>
        <w:rPr>
          <w:rFonts w:ascii="宋体" w:eastAsia="宋体" w:hAnsi="宋体" w:cs="宋体"/>
          <w:sz w:val="23"/>
          <w:szCs w:val="23"/>
        </w:rPr>
      </w:pPr>
      <w:r>
        <w:rPr>
          <w:rFonts w:ascii="宋体" w:eastAsia="宋体" w:hAnsi="宋体" w:cs="宋体"/>
          <w:spacing w:val="-16"/>
          <w:sz w:val="23"/>
          <w:szCs w:val="23"/>
        </w:rPr>
        <w:t>在矿物质中，以磷的含量最为丰富，占矿物质总量的50%左右；其次是钾，</w:t>
      </w:r>
      <w:r>
        <w:rPr>
          <w:rFonts w:ascii="宋体" w:eastAsia="宋体" w:hAnsi="宋体" w:cs="宋体"/>
          <w:spacing w:val="3"/>
          <w:sz w:val="23"/>
          <w:szCs w:val="23"/>
        </w:rPr>
        <w:t xml:space="preserve"> </w:t>
      </w:r>
      <w:r>
        <w:rPr>
          <w:rFonts w:ascii="宋体" w:eastAsia="宋体" w:hAnsi="宋体" w:cs="宋体"/>
          <w:spacing w:val="-15"/>
          <w:sz w:val="23"/>
          <w:szCs w:val="23"/>
        </w:rPr>
        <w:t>约占总灰分的1/4～1/3。镁的含量也较高，但</w:t>
      </w:r>
      <w:r>
        <w:rPr>
          <w:rFonts w:ascii="宋体" w:eastAsia="宋体" w:hAnsi="宋体" w:cs="宋体"/>
          <w:spacing w:val="-16"/>
          <w:sz w:val="23"/>
          <w:szCs w:val="23"/>
        </w:rPr>
        <w:t>多数谷类钙含量低。锰的含量在</w:t>
      </w:r>
      <w:r>
        <w:rPr>
          <w:rFonts w:ascii="宋体" w:eastAsia="宋体" w:hAnsi="宋体" w:cs="宋体"/>
          <w:sz w:val="23"/>
          <w:szCs w:val="23"/>
        </w:rPr>
        <w:t xml:space="preserve"> </w:t>
      </w:r>
      <w:r>
        <w:rPr>
          <w:rFonts w:ascii="宋体" w:eastAsia="宋体" w:hAnsi="宋体" w:cs="宋体"/>
          <w:spacing w:val="-25"/>
          <w:sz w:val="23"/>
          <w:szCs w:val="23"/>
        </w:rPr>
        <w:t>各类食物中是比较高的。</w:t>
      </w:r>
    </w:p>
    <w:p w:rsidR="00EA40A3" w:rsidRDefault="00E86C16">
      <w:pPr>
        <w:spacing w:before="25" w:line="235" w:lineRule="auto"/>
        <w:ind w:right="84" w:firstLine="339"/>
        <w:rPr>
          <w:rFonts w:ascii="宋体" w:eastAsia="宋体" w:hAnsi="宋体" w:cs="宋体"/>
          <w:sz w:val="23"/>
          <w:szCs w:val="23"/>
        </w:rPr>
      </w:pPr>
      <w:r>
        <w:rPr>
          <w:rFonts w:ascii="宋体" w:eastAsia="宋体" w:hAnsi="宋体" w:cs="宋体"/>
          <w:spacing w:val="-23"/>
          <w:sz w:val="23"/>
          <w:szCs w:val="23"/>
        </w:rPr>
        <w:t>在谷类的精制加工中，将外层的胚、糊粉层和谷皮部分基本除去，甚至可以</w:t>
      </w:r>
      <w:r>
        <w:rPr>
          <w:rFonts w:ascii="宋体" w:eastAsia="宋体" w:hAnsi="宋体" w:cs="宋体"/>
          <w:spacing w:val="6"/>
          <w:sz w:val="23"/>
          <w:szCs w:val="23"/>
        </w:rPr>
        <w:t xml:space="preserve"> </w:t>
      </w:r>
      <w:r>
        <w:rPr>
          <w:rFonts w:ascii="宋体" w:eastAsia="宋体" w:hAnsi="宋体" w:cs="宋体"/>
          <w:spacing w:val="-17"/>
          <w:sz w:val="23"/>
          <w:szCs w:val="23"/>
        </w:rPr>
        <w:t>用矿物质的含量来测定加工的精度。因此，加工精度越高，其矿物质的含量就</w:t>
      </w:r>
      <w:r>
        <w:rPr>
          <w:rFonts w:ascii="宋体" w:eastAsia="宋体" w:hAnsi="宋体" w:cs="宋体"/>
          <w:spacing w:val="7"/>
          <w:sz w:val="23"/>
          <w:szCs w:val="23"/>
        </w:rPr>
        <w:t xml:space="preserve"> </w:t>
      </w:r>
      <w:r>
        <w:rPr>
          <w:rFonts w:ascii="宋体" w:eastAsia="宋体" w:hAnsi="宋体" w:cs="宋体"/>
          <w:spacing w:val="-24"/>
          <w:sz w:val="23"/>
          <w:szCs w:val="23"/>
        </w:rPr>
        <w:t>越低。</w:t>
      </w:r>
    </w:p>
    <w:p w:rsidR="00EA40A3" w:rsidRDefault="00E86C16">
      <w:pPr>
        <w:spacing w:before="43" w:line="237" w:lineRule="auto"/>
        <w:ind w:firstLine="339"/>
        <w:rPr>
          <w:rFonts w:ascii="宋体" w:eastAsia="宋体" w:hAnsi="宋体" w:cs="宋体"/>
          <w:sz w:val="23"/>
          <w:szCs w:val="23"/>
        </w:rPr>
      </w:pPr>
      <w:r>
        <w:rPr>
          <w:rFonts w:ascii="宋体" w:eastAsia="宋体" w:hAnsi="宋体" w:cs="宋体"/>
          <w:spacing w:val="-21"/>
          <w:w w:val="98"/>
          <w:sz w:val="23"/>
          <w:szCs w:val="23"/>
        </w:rPr>
        <w:t>从矿物质的生物利用率来说，谷类中矿物质的化合状态并非人类直接可以利</w:t>
      </w:r>
      <w:r>
        <w:rPr>
          <w:rFonts w:ascii="宋体" w:eastAsia="宋体" w:hAnsi="宋体" w:cs="宋体"/>
          <w:spacing w:val="19"/>
          <w:sz w:val="23"/>
          <w:szCs w:val="23"/>
        </w:rPr>
        <w:t xml:space="preserve">  </w:t>
      </w:r>
      <w:r>
        <w:rPr>
          <w:rFonts w:ascii="宋体" w:eastAsia="宋体" w:hAnsi="宋体" w:cs="宋体"/>
          <w:spacing w:val="-21"/>
          <w:sz w:val="23"/>
          <w:szCs w:val="23"/>
        </w:rPr>
        <w:t>用的形式，主要以不溶性形态存在，而且含有一些干扰吸收利用的因素。例如，</w:t>
      </w:r>
      <w:r>
        <w:rPr>
          <w:rFonts w:ascii="宋体" w:eastAsia="宋体" w:hAnsi="宋体" w:cs="宋体"/>
          <w:spacing w:val="18"/>
          <w:sz w:val="23"/>
          <w:szCs w:val="23"/>
        </w:rPr>
        <w:t xml:space="preserve"> </w:t>
      </w:r>
      <w:r>
        <w:rPr>
          <w:rFonts w:ascii="宋体" w:eastAsia="宋体" w:hAnsi="宋体" w:cs="宋体"/>
          <w:spacing w:val="-23"/>
          <w:sz w:val="23"/>
          <w:szCs w:val="23"/>
        </w:rPr>
        <w:t>粮食中所含的植酸常常与钙、铁等形成不溶性的盐类，对钙、铁、锌等元素的吸</w:t>
      </w:r>
      <w:r>
        <w:rPr>
          <w:rFonts w:ascii="宋体" w:eastAsia="宋体" w:hAnsi="宋体" w:cs="宋体"/>
          <w:spacing w:val="2"/>
          <w:sz w:val="23"/>
          <w:szCs w:val="23"/>
        </w:rPr>
        <w:t xml:space="preserve"> </w:t>
      </w:r>
      <w:r>
        <w:rPr>
          <w:rFonts w:ascii="宋体" w:eastAsia="宋体" w:hAnsi="宋体" w:cs="宋体"/>
          <w:spacing w:val="-23"/>
          <w:sz w:val="23"/>
          <w:szCs w:val="23"/>
        </w:rPr>
        <w:t>收有不利影响。植酸是磷的一种储藏形式，在种子发芽时由植酸酶水解，可以被</w:t>
      </w:r>
      <w:r>
        <w:rPr>
          <w:rFonts w:ascii="宋体" w:eastAsia="宋体" w:hAnsi="宋体" w:cs="宋体"/>
          <w:spacing w:val="2"/>
          <w:sz w:val="23"/>
          <w:szCs w:val="23"/>
        </w:rPr>
        <w:t xml:space="preserve"> </w:t>
      </w:r>
      <w:r>
        <w:rPr>
          <w:rFonts w:ascii="宋体" w:eastAsia="宋体" w:hAnsi="宋体" w:cs="宋体"/>
          <w:spacing w:val="-17"/>
          <w:sz w:val="23"/>
          <w:szCs w:val="23"/>
        </w:rPr>
        <w:t>幼芽利用。植酸和矿物质的分布类似，在谷粒的外层较多，胚乳中几乎不含植</w:t>
      </w:r>
      <w:r>
        <w:rPr>
          <w:rFonts w:ascii="宋体" w:eastAsia="宋体" w:hAnsi="宋体" w:cs="宋体"/>
          <w:spacing w:val="6"/>
          <w:sz w:val="23"/>
          <w:szCs w:val="23"/>
        </w:rPr>
        <w:t xml:space="preserve"> </w:t>
      </w:r>
      <w:r>
        <w:rPr>
          <w:rFonts w:ascii="宋体" w:eastAsia="宋体" w:hAnsi="宋体" w:cs="宋体"/>
          <w:spacing w:val="-23"/>
          <w:sz w:val="23"/>
          <w:szCs w:val="23"/>
        </w:rPr>
        <w:t>酸。所以，加工精度过低时，谷物的钙、铁、锌等矿物质利用率降低。</w:t>
      </w:r>
    </w:p>
    <w:p w:rsidR="00EA40A3" w:rsidRDefault="00E86C16">
      <w:pPr>
        <w:spacing w:before="233" w:line="221" w:lineRule="auto"/>
        <w:ind w:left="3"/>
        <w:outlineLvl w:val="6"/>
        <w:rPr>
          <w:rFonts w:ascii="黑体" w:eastAsia="黑体" w:hAnsi="黑体" w:cs="黑体"/>
          <w:sz w:val="23"/>
          <w:szCs w:val="23"/>
        </w:rPr>
      </w:pPr>
      <w:r>
        <w:rPr>
          <w:rFonts w:ascii="黑体" w:eastAsia="黑体" w:hAnsi="黑体" w:cs="黑体"/>
          <w:b/>
          <w:bCs/>
          <w:spacing w:val="1"/>
          <w:sz w:val="23"/>
          <w:szCs w:val="23"/>
        </w:rPr>
        <w:t>6.2.3</w:t>
      </w:r>
      <w:r>
        <w:rPr>
          <w:rFonts w:ascii="黑体" w:eastAsia="黑体" w:hAnsi="黑体" w:cs="黑体"/>
          <w:spacing w:val="26"/>
          <w:sz w:val="23"/>
          <w:szCs w:val="23"/>
        </w:rPr>
        <w:t xml:space="preserve">  </w:t>
      </w:r>
      <w:r>
        <w:rPr>
          <w:rFonts w:ascii="黑体" w:eastAsia="黑体" w:hAnsi="黑体" w:cs="黑体"/>
          <w:b/>
          <w:bCs/>
          <w:spacing w:val="1"/>
          <w:sz w:val="23"/>
          <w:szCs w:val="23"/>
        </w:rPr>
        <w:t>不同谷类种子的营养价值</w:t>
      </w:r>
    </w:p>
    <w:p w:rsidR="00EA40A3" w:rsidRDefault="00E86C16">
      <w:pPr>
        <w:spacing w:before="227" w:line="221" w:lineRule="auto"/>
        <w:rPr>
          <w:rFonts w:ascii="仿宋" w:eastAsia="仿宋" w:hAnsi="仿宋" w:cs="仿宋"/>
          <w:sz w:val="23"/>
          <w:szCs w:val="23"/>
        </w:rPr>
      </w:pPr>
      <w:r>
        <w:rPr>
          <w:rFonts w:ascii="仿宋" w:eastAsia="仿宋" w:hAnsi="仿宋" w:cs="仿宋"/>
          <w:spacing w:val="-2"/>
          <w:sz w:val="23"/>
          <w:szCs w:val="23"/>
        </w:rPr>
        <w:t>1. 稻米的营养价值</w:t>
      </w:r>
    </w:p>
    <w:p w:rsidR="00EA40A3" w:rsidRDefault="00E86C16">
      <w:pPr>
        <w:spacing w:before="173" w:line="237" w:lineRule="auto"/>
        <w:ind w:right="82" w:firstLine="339"/>
        <w:jc w:val="both"/>
        <w:rPr>
          <w:rFonts w:ascii="宋体" w:eastAsia="宋体" w:hAnsi="宋体" w:cs="宋体"/>
          <w:sz w:val="23"/>
          <w:szCs w:val="23"/>
        </w:rPr>
      </w:pPr>
      <w:r>
        <w:rPr>
          <w:rFonts w:ascii="宋体" w:eastAsia="宋体" w:hAnsi="宋体" w:cs="宋体"/>
          <w:spacing w:val="-23"/>
          <w:sz w:val="23"/>
          <w:szCs w:val="23"/>
        </w:rPr>
        <w:t>稻米是我国产量最大的粮食，按照品种不同分为籼米、粳米和糯米，还有早</w:t>
      </w:r>
      <w:r>
        <w:rPr>
          <w:rFonts w:ascii="宋体" w:eastAsia="宋体" w:hAnsi="宋体" w:cs="宋体"/>
          <w:spacing w:val="17"/>
          <w:sz w:val="23"/>
          <w:szCs w:val="23"/>
        </w:rPr>
        <w:t xml:space="preserve"> </w:t>
      </w:r>
      <w:r>
        <w:rPr>
          <w:rFonts w:ascii="宋体" w:eastAsia="宋体" w:hAnsi="宋体" w:cs="宋体"/>
          <w:spacing w:val="-10"/>
          <w:sz w:val="23"/>
          <w:szCs w:val="23"/>
        </w:rPr>
        <w:t>稻和晚稻之分，但其碳水化合物和蛋白质含量大致相似，</w:t>
      </w:r>
      <w:r>
        <w:rPr>
          <w:rFonts w:ascii="宋体" w:eastAsia="宋体" w:hAnsi="宋体" w:cs="宋体"/>
          <w:spacing w:val="-11"/>
          <w:sz w:val="23"/>
          <w:szCs w:val="23"/>
        </w:rPr>
        <w:t>脱壳后淀粉含量在</w:t>
      </w:r>
      <w:r>
        <w:rPr>
          <w:rFonts w:ascii="宋体" w:eastAsia="宋体" w:hAnsi="宋体" w:cs="宋体"/>
          <w:sz w:val="23"/>
          <w:szCs w:val="23"/>
        </w:rPr>
        <w:t xml:space="preserve"> </w:t>
      </w:r>
      <w:r>
        <w:rPr>
          <w:rFonts w:ascii="宋体" w:eastAsia="宋体" w:hAnsi="宋体" w:cs="宋体"/>
          <w:spacing w:val="-6"/>
          <w:sz w:val="23"/>
          <w:szCs w:val="23"/>
        </w:rPr>
        <w:t>75%以上，蛋白质含量为7%～9%。稻米的蛋白质含量</w:t>
      </w:r>
      <w:r>
        <w:rPr>
          <w:rFonts w:ascii="宋体" w:eastAsia="宋体" w:hAnsi="宋体" w:cs="宋体"/>
          <w:spacing w:val="-7"/>
          <w:sz w:val="23"/>
          <w:szCs w:val="23"/>
        </w:rPr>
        <w:t>虽然相对较低，但因其</w:t>
      </w:r>
      <w:r>
        <w:rPr>
          <w:rFonts w:ascii="宋体" w:eastAsia="宋体" w:hAnsi="宋体" w:cs="宋体"/>
          <w:sz w:val="23"/>
          <w:szCs w:val="23"/>
        </w:rPr>
        <w:t xml:space="preserve"> </w:t>
      </w:r>
      <w:r>
        <w:rPr>
          <w:rFonts w:ascii="宋体" w:eastAsia="宋体" w:hAnsi="宋体" w:cs="宋体"/>
          <w:spacing w:val="-23"/>
          <w:sz w:val="23"/>
          <w:szCs w:val="23"/>
        </w:rPr>
        <w:t>中醇溶谷蛋白含量相对较低，其生物价值较高，因此蛋白质的综合利用效率接近</w:t>
      </w:r>
      <w:r>
        <w:rPr>
          <w:rFonts w:ascii="宋体" w:eastAsia="宋体" w:hAnsi="宋体" w:cs="宋体"/>
          <w:spacing w:val="2"/>
          <w:sz w:val="23"/>
          <w:szCs w:val="23"/>
        </w:rPr>
        <w:t xml:space="preserve"> </w:t>
      </w:r>
      <w:r>
        <w:rPr>
          <w:rFonts w:ascii="宋体" w:eastAsia="宋体" w:hAnsi="宋体" w:cs="宋体"/>
          <w:spacing w:val="-28"/>
          <w:sz w:val="23"/>
          <w:szCs w:val="23"/>
        </w:rPr>
        <w:t>其他粮食品种。</w:t>
      </w:r>
    </w:p>
    <w:p w:rsidR="00EA40A3" w:rsidRDefault="00E86C16">
      <w:pPr>
        <w:spacing w:before="56" w:line="216" w:lineRule="auto"/>
        <w:ind w:left="339"/>
        <w:rPr>
          <w:rFonts w:ascii="宋体" w:eastAsia="宋体" w:hAnsi="宋体" w:cs="宋体"/>
          <w:sz w:val="23"/>
          <w:szCs w:val="23"/>
        </w:rPr>
      </w:pPr>
      <w:r>
        <w:rPr>
          <w:rFonts w:ascii="宋体" w:eastAsia="宋体" w:hAnsi="宋体" w:cs="宋体"/>
          <w:spacing w:val="-5"/>
          <w:sz w:val="23"/>
          <w:szCs w:val="23"/>
        </w:rPr>
        <w:t>稻米中脂类的含量与加工精度有关。稻谷的脂肪含量为2.6%～3.9%,而</w:t>
      </w:r>
    </w:p>
    <w:p w:rsidR="00EA40A3" w:rsidRDefault="00E86C16">
      <w:pPr>
        <w:spacing w:before="71"/>
        <w:ind w:right="91"/>
        <w:jc w:val="right"/>
        <w:rPr>
          <w:rFonts w:ascii="宋体" w:eastAsia="宋体" w:hAnsi="宋体" w:cs="宋体"/>
          <w:sz w:val="19"/>
          <w:szCs w:val="19"/>
        </w:rPr>
      </w:pPr>
      <w:r>
        <w:rPr>
          <w:rFonts w:ascii="宋体" w:eastAsia="宋体" w:hAnsi="宋体" w:cs="宋体"/>
          <w:spacing w:val="-33"/>
          <w:sz w:val="19"/>
          <w:szCs w:val="19"/>
        </w:rPr>
        <w:t>·</w:t>
      </w:r>
      <w:r>
        <w:rPr>
          <w:rFonts w:ascii="宋体" w:eastAsia="宋体" w:hAnsi="宋体" w:cs="宋体"/>
          <w:sz w:val="19"/>
          <w:szCs w:val="19"/>
        </w:rPr>
        <w:t xml:space="preserve"> </w:t>
      </w:r>
      <w:r>
        <w:rPr>
          <w:rFonts w:ascii="宋体" w:eastAsia="宋体" w:hAnsi="宋体" w:cs="宋体"/>
          <w:spacing w:val="-33"/>
          <w:sz w:val="19"/>
          <w:szCs w:val="19"/>
        </w:rPr>
        <w:t>187</w:t>
      </w:r>
      <w:r>
        <w:rPr>
          <w:rFonts w:ascii="宋体" w:eastAsia="宋体" w:hAnsi="宋体" w:cs="宋体"/>
          <w:spacing w:val="42"/>
          <w:sz w:val="19"/>
          <w:szCs w:val="19"/>
        </w:rPr>
        <w:t xml:space="preserve"> </w:t>
      </w:r>
      <w:r>
        <w:rPr>
          <w:rFonts w:ascii="宋体" w:eastAsia="宋体" w:hAnsi="宋体" w:cs="宋体"/>
          <w:spacing w:val="-33"/>
          <w:sz w:val="19"/>
          <w:szCs w:val="19"/>
        </w:rPr>
        <w:t>·</w:t>
      </w:r>
    </w:p>
    <w:p w:rsidR="00EA40A3" w:rsidRDefault="00EA40A3">
      <w:pPr>
        <w:sectPr w:rsidR="00EA40A3">
          <w:pgSz w:w="9330" w:h="13440"/>
          <w:pgMar w:top="400" w:right="985" w:bottom="400" w:left="1009" w:header="0" w:footer="0" w:gutter="0"/>
          <w:cols w:space="720"/>
        </w:sectPr>
      </w:pPr>
    </w:p>
    <w:p w:rsidR="00EA40A3" w:rsidRDefault="00EA40A3">
      <w:pPr>
        <w:spacing w:line="261" w:lineRule="auto"/>
      </w:pPr>
    </w:p>
    <w:p w:rsidR="00EA40A3" w:rsidRDefault="00EA40A3">
      <w:pPr>
        <w:spacing w:line="262" w:lineRule="auto"/>
      </w:pPr>
    </w:p>
    <w:p w:rsidR="00EA40A3" w:rsidRDefault="00E86C16">
      <w:pPr>
        <w:spacing w:before="68" w:line="243" w:lineRule="auto"/>
        <w:ind w:right="76"/>
        <w:rPr>
          <w:rFonts w:ascii="宋体" w:eastAsia="宋体" w:hAnsi="宋体" w:cs="宋体"/>
        </w:rPr>
      </w:pPr>
      <w:bookmarkStart w:id="48" w:name="_bookmark52"/>
      <w:bookmarkEnd w:id="48"/>
      <w:r>
        <w:rPr>
          <w:rFonts w:ascii="宋体" w:eastAsia="宋体" w:hAnsi="宋体" w:cs="宋体"/>
          <w:spacing w:val="14"/>
        </w:rPr>
        <w:t>精制大米中仅含0.3%～0.5%,80%以上的脂肪分布在稻米的外层部分。大米</w:t>
      </w:r>
      <w:r>
        <w:rPr>
          <w:rFonts w:ascii="宋体" w:eastAsia="宋体" w:hAnsi="宋体" w:cs="宋体"/>
          <w:spacing w:val="5"/>
        </w:rPr>
        <w:t xml:space="preserve"> </w:t>
      </w:r>
      <w:r>
        <w:rPr>
          <w:rFonts w:ascii="宋体" w:eastAsia="宋体" w:hAnsi="宋体" w:cs="宋体"/>
          <w:spacing w:val="6"/>
        </w:rPr>
        <w:t>胚芽油中含6%～7%的磷脂，主要是卵磷脂</w:t>
      </w:r>
      <w:r>
        <w:rPr>
          <w:rFonts w:ascii="宋体" w:eastAsia="宋体" w:hAnsi="宋体" w:cs="宋体"/>
          <w:spacing w:val="5"/>
        </w:rPr>
        <w:t>和脑磷脂。</w:t>
      </w:r>
    </w:p>
    <w:p w:rsidR="00EA40A3" w:rsidRDefault="00E86C16">
      <w:pPr>
        <w:spacing w:before="71" w:line="252" w:lineRule="auto"/>
        <w:ind w:right="75" w:firstLine="430"/>
        <w:jc w:val="both"/>
        <w:rPr>
          <w:rFonts w:ascii="宋体" w:eastAsia="宋体" w:hAnsi="宋体" w:cs="宋体"/>
        </w:rPr>
      </w:pPr>
      <w:r>
        <w:rPr>
          <w:rFonts w:ascii="宋体" w:eastAsia="宋体" w:hAnsi="宋体" w:cs="宋体"/>
          <w:spacing w:val="4"/>
        </w:rPr>
        <w:t>稻米中B</w:t>
      </w:r>
      <w:r>
        <w:rPr>
          <w:rFonts w:ascii="宋体" w:eastAsia="宋体" w:hAnsi="宋体" w:cs="宋体"/>
          <w:spacing w:val="-19"/>
        </w:rPr>
        <w:t xml:space="preserve"> </w:t>
      </w:r>
      <w:r>
        <w:rPr>
          <w:rFonts w:ascii="宋体" w:eastAsia="宋体" w:hAnsi="宋体" w:cs="宋体"/>
          <w:spacing w:val="4"/>
        </w:rPr>
        <w:t>族维生素含量较其他谷物低，而且越靠近米粒中心的部分维生素</w:t>
      </w:r>
      <w:r>
        <w:rPr>
          <w:rFonts w:ascii="宋体" w:eastAsia="宋体" w:hAnsi="宋体" w:cs="宋体"/>
        </w:rPr>
        <w:t xml:space="preserve"> </w:t>
      </w:r>
      <w:r>
        <w:rPr>
          <w:rFonts w:ascii="宋体" w:eastAsia="宋体" w:hAnsi="宋体" w:cs="宋体"/>
          <w:spacing w:val="3"/>
        </w:rPr>
        <w:t>的分布越少。故而精白米是各种谷物主食中B</w:t>
      </w:r>
      <w:r>
        <w:rPr>
          <w:rFonts w:ascii="宋体" w:eastAsia="宋体" w:hAnsi="宋体" w:cs="宋体"/>
          <w:spacing w:val="-20"/>
        </w:rPr>
        <w:t xml:space="preserve"> </w:t>
      </w:r>
      <w:r>
        <w:rPr>
          <w:rFonts w:ascii="宋体" w:eastAsia="宋体" w:hAnsi="宋体" w:cs="宋体"/>
          <w:spacing w:val="3"/>
        </w:rPr>
        <w:t>族维生素含量最低的一种。长期</w:t>
      </w:r>
      <w:r>
        <w:rPr>
          <w:rFonts w:ascii="宋体" w:eastAsia="宋体" w:hAnsi="宋体" w:cs="宋体"/>
        </w:rPr>
        <w:t xml:space="preserve"> </w:t>
      </w:r>
      <w:r>
        <w:rPr>
          <w:rFonts w:ascii="宋体" w:eastAsia="宋体" w:hAnsi="宋体" w:cs="宋体"/>
          <w:spacing w:val="3"/>
        </w:rPr>
        <w:t>以精白米为主食，如果菜肴搭配不当，则容易发生缺乏维生素B</w:t>
      </w:r>
      <w:r>
        <w:rPr>
          <w:rFonts w:ascii="宋体" w:eastAsia="宋体" w:hAnsi="宋体" w:cs="宋体"/>
          <w:spacing w:val="-1"/>
        </w:rPr>
        <w:t xml:space="preserve"> </w:t>
      </w:r>
      <w:r>
        <w:rPr>
          <w:rFonts w:ascii="宋体" w:eastAsia="宋体" w:hAnsi="宋体" w:cs="宋体"/>
          <w:spacing w:val="3"/>
        </w:rPr>
        <w:t>族所引起的脚</w:t>
      </w:r>
      <w:r>
        <w:rPr>
          <w:rFonts w:ascii="宋体" w:eastAsia="宋体" w:hAnsi="宋体" w:cs="宋体"/>
        </w:rPr>
        <w:t xml:space="preserve"> </w:t>
      </w:r>
      <w:r>
        <w:rPr>
          <w:rFonts w:ascii="宋体" w:eastAsia="宋体" w:hAnsi="宋体" w:cs="宋体"/>
          <w:spacing w:val="-6"/>
        </w:rPr>
        <w:t>气病。稻米以白色为主，其中几乎不含有胡萝卜素。</w:t>
      </w:r>
    </w:p>
    <w:p w:rsidR="00EA40A3" w:rsidRDefault="00E86C16">
      <w:pPr>
        <w:spacing w:before="80" w:line="253" w:lineRule="auto"/>
        <w:ind w:right="75" w:firstLine="430"/>
        <w:jc w:val="both"/>
        <w:rPr>
          <w:rFonts w:ascii="宋体" w:eastAsia="宋体" w:hAnsi="宋体" w:cs="宋体"/>
        </w:rPr>
      </w:pPr>
      <w:r>
        <w:rPr>
          <w:rFonts w:ascii="宋体" w:eastAsia="宋体" w:hAnsi="宋体" w:cs="宋体"/>
          <w:spacing w:val="6"/>
        </w:rPr>
        <w:t>稻米的矿物质中以磷含量最高，其次是钾和镁，其中90%以植酸盐的形式</w:t>
      </w:r>
      <w:r>
        <w:rPr>
          <w:rFonts w:ascii="宋体" w:eastAsia="宋体" w:hAnsi="宋体" w:cs="宋体"/>
          <w:spacing w:val="14"/>
        </w:rPr>
        <w:t xml:space="preserve"> </w:t>
      </w:r>
      <w:r>
        <w:rPr>
          <w:rFonts w:ascii="宋体" w:eastAsia="宋体" w:hAnsi="宋体" w:cs="宋体"/>
          <w:spacing w:val="-3"/>
        </w:rPr>
        <w:t>存在。精白米中矿物质含量很低，而且矿物质中磷的比例最高，因此属于成酸性</w:t>
      </w:r>
      <w:r>
        <w:rPr>
          <w:rFonts w:ascii="宋体" w:eastAsia="宋体" w:hAnsi="宋体" w:cs="宋体"/>
          <w:spacing w:val="12"/>
        </w:rPr>
        <w:t xml:space="preserve"> </w:t>
      </w:r>
      <w:r>
        <w:rPr>
          <w:rFonts w:ascii="宋体" w:eastAsia="宋体" w:hAnsi="宋体" w:cs="宋体"/>
          <w:spacing w:val="-3"/>
        </w:rPr>
        <w:t>食品，不利于维持人体的酸碱平衡。黑色、紫色、红色等有色稻米中的矿物质含</w:t>
      </w:r>
      <w:r>
        <w:rPr>
          <w:rFonts w:ascii="宋体" w:eastAsia="宋体" w:hAnsi="宋体" w:cs="宋体"/>
          <w:spacing w:val="13"/>
        </w:rPr>
        <w:t xml:space="preserve"> </w:t>
      </w:r>
      <w:r>
        <w:rPr>
          <w:rFonts w:ascii="宋体" w:eastAsia="宋体" w:hAnsi="宋体" w:cs="宋体"/>
          <w:spacing w:val="-8"/>
        </w:rPr>
        <w:t>量高于白色大米。</w:t>
      </w:r>
    </w:p>
    <w:p w:rsidR="00EA40A3" w:rsidRDefault="00E86C16">
      <w:pPr>
        <w:spacing w:before="227" w:line="221" w:lineRule="auto"/>
        <w:rPr>
          <w:rFonts w:ascii="仿宋" w:eastAsia="仿宋" w:hAnsi="仿宋" w:cs="仿宋"/>
        </w:rPr>
      </w:pPr>
      <w:r>
        <w:rPr>
          <w:rFonts w:ascii="仿宋" w:eastAsia="仿宋" w:hAnsi="仿宋" w:cs="仿宋"/>
          <w:spacing w:val="19"/>
        </w:rPr>
        <w:t>2.</w:t>
      </w:r>
      <w:r>
        <w:rPr>
          <w:rFonts w:ascii="仿宋" w:eastAsia="仿宋" w:hAnsi="仿宋" w:cs="仿宋"/>
          <w:spacing w:val="7"/>
        </w:rPr>
        <w:t xml:space="preserve"> </w:t>
      </w:r>
      <w:r>
        <w:rPr>
          <w:rFonts w:ascii="仿宋" w:eastAsia="仿宋" w:hAnsi="仿宋" w:cs="仿宋"/>
          <w:spacing w:val="19"/>
        </w:rPr>
        <w:t>小麦的营养价值</w:t>
      </w:r>
    </w:p>
    <w:p w:rsidR="00EA40A3" w:rsidRDefault="00E86C16">
      <w:pPr>
        <w:spacing w:before="201" w:line="241" w:lineRule="auto"/>
        <w:ind w:right="77" w:firstLine="430"/>
        <w:rPr>
          <w:rFonts w:ascii="宋体" w:eastAsia="宋体" w:hAnsi="宋体" w:cs="宋体"/>
        </w:rPr>
      </w:pPr>
      <w:r>
        <w:rPr>
          <w:rFonts w:ascii="宋体" w:eastAsia="宋体" w:hAnsi="宋体" w:cs="宋体"/>
          <w:spacing w:val="-3"/>
        </w:rPr>
        <w:t>小麦是世界上第一大栽培作物，也是各种面食品的原料，按品质可</w:t>
      </w:r>
      <w:r>
        <w:rPr>
          <w:rFonts w:ascii="宋体" w:eastAsia="宋体" w:hAnsi="宋体" w:cs="宋体"/>
          <w:spacing w:val="-4"/>
        </w:rPr>
        <w:t>分为硬粒</w:t>
      </w:r>
      <w:r>
        <w:rPr>
          <w:rFonts w:ascii="宋体" w:eastAsia="宋体" w:hAnsi="宋体" w:cs="宋体"/>
        </w:rPr>
        <w:t xml:space="preserve"> </w:t>
      </w:r>
      <w:r>
        <w:rPr>
          <w:rFonts w:ascii="宋体" w:eastAsia="宋体" w:hAnsi="宋体" w:cs="宋体"/>
          <w:spacing w:val="-5"/>
        </w:rPr>
        <w:t>小麦和软粒小麦两类，按栽培时间也分为冬小麦和春小麦。</w:t>
      </w:r>
    </w:p>
    <w:p w:rsidR="00EA40A3" w:rsidRDefault="00E86C16">
      <w:pPr>
        <w:spacing w:before="71" w:line="250" w:lineRule="auto"/>
        <w:ind w:firstLine="430"/>
        <w:rPr>
          <w:rFonts w:ascii="宋体" w:eastAsia="宋体" w:hAnsi="宋体" w:cs="宋体"/>
        </w:rPr>
      </w:pPr>
      <w:r>
        <w:rPr>
          <w:rFonts w:ascii="宋体" w:eastAsia="宋体" w:hAnsi="宋体" w:cs="宋体"/>
          <w:spacing w:val="14"/>
        </w:rPr>
        <w:t>小麦籽粒含淀粉约75%,可溶性糖约2.8%,胚乳中的可溶性糖含量甚少，</w:t>
      </w:r>
      <w:r>
        <w:rPr>
          <w:rFonts w:ascii="宋体" w:eastAsia="宋体" w:hAnsi="宋体" w:cs="宋体"/>
          <w:spacing w:val="8"/>
        </w:rPr>
        <w:t xml:space="preserve"> </w:t>
      </w:r>
      <w:r>
        <w:rPr>
          <w:rFonts w:ascii="宋体" w:eastAsia="宋体" w:hAnsi="宋体" w:cs="宋体"/>
          <w:spacing w:val="4"/>
        </w:rPr>
        <w:t>只有在发芽时，可溶性糖才会大幅度上升。然而，小麦胚芽</w:t>
      </w:r>
      <w:r>
        <w:rPr>
          <w:rFonts w:ascii="宋体" w:eastAsia="宋体" w:hAnsi="宋体" w:cs="宋体"/>
          <w:spacing w:val="3"/>
        </w:rPr>
        <w:t>的含糖量高达24%,</w:t>
      </w:r>
      <w:r>
        <w:rPr>
          <w:rFonts w:ascii="宋体" w:eastAsia="宋体" w:hAnsi="宋体" w:cs="宋体"/>
        </w:rPr>
        <w:t xml:space="preserve"> </w:t>
      </w:r>
      <w:r>
        <w:rPr>
          <w:rFonts w:ascii="宋体" w:eastAsia="宋体" w:hAnsi="宋体" w:cs="宋体"/>
          <w:spacing w:val="5"/>
        </w:rPr>
        <w:t>其中以蔗糖为主，约占其中的60%,其余为棉籽糖。</w:t>
      </w:r>
      <w:r>
        <w:rPr>
          <w:rFonts w:ascii="宋体" w:eastAsia="宋体" w:hAnsi="宋体" w:cs="宋体"/>
          <w:spacing w:val="58"/>
        </w:rPr>
        <w:t xml:space="preserve"> </w:t>
      </w:r>
      <w:r>
        <w:rPr>
          <w:rFonts w:ascii="宋体" w:eastAsia="宋体" w:hAnsi="宋体" w:cs="宋体"/>
          <w:spacing w:val="5"/>
        </w:rPr>
        <w:t>一片全麦粉烤制的面包约</w:t>
      </w:r>
      <w:r>
        <w:rPr>
          <w:rFonts w:ascii="宋体" w:eastAsia="宋体" w:hAnsi="宋体" w:cs="宋体"/>
        </w:rPr>
        <w:t xml:space="preserve"> </w:t>
      </w:r>
      <w:r>
        <w:rPr>
          <w:rFonts w:ascii="宋体" w:eastAsia="宋体" w:hAnsi="宋体" w:cs="宋体"/>
          <w:spacing w:val="2"/>
        </w:rPr>
        <w:t>可提供1.5g膳食纤维。</w:t>
      </w:r>
    </w:p>
    <w:p w:rsidR="00EA40A3" w:rsidRDefault="00E86C16">
      <w:pPr>
        <w:spacing w:before="71" w:line="253" w:lineRule="auto"/>
        <w:ind w:firstLine="430"/>
        <w:rPr>
          <w:rFonts w:ascii="宋体" w:eastAsia="宋体" w:hAnsi="宋体" w:cs="宋体"/>
        </w:rPr>
      </w:pPr>
      <w:r>
        <w:rPr>
          <w:rFonts w:ascii="宋体" w:eastAsia="宋体" w:hAnsi="宋体" w:cs="宋体"/>
          <w:spacing w:val="9"/>
        </w:rPr>
        <w:t>小麦蛋白质的含量差异比较大。普通小麦品种含蛋白质8%～13%,含量高</w:t>
      </w:r>
      <w:r>
        <w:rPr>
          <w:rFonts w:ascii="宋体" w:eastAsia="宋体" w:hAnsi="宋体" w:cs="宋体"/>
          <w:spacing w:val="11"/>
        </w:rPr>
        <w:t xml:space="preserve"> 的品种可达18%,低蛋白质品种的含量仅有8%左右。硬粒小麦面筋含量较高，</w:t>
      </w:r>
      <w:r>
        <w:rPr>
          <w:rFonts w:ascii="宋体" w:eastAsia="宋体" w:hAnsi="宋体" w:cs="宋体"/>
          <w:spacing w:val="8"/>
        </w:rPr>
        <w:t xml:space="preserve"> </w:t>
      </w:r>
      <w:r>
        <w:rPr>
          <w:rFonts w:ascii="宋体" w:eastAsia="宋体" w:hAnsi="宋体" w:cs="宋体"/>
          <w:spacing w:val="-3"/>
        </w:rPr>
        <w:t>适合用作面包、面条、饺子等食品的原料；软粒小麦面筋含量较低，适合制作糕</w:t>
      </w:r>
      <w:r>
        <w:rPr>
          <w:rFonts w:ascii="宋体" w:eastAsia="宋体" w:hAnsi="宋体" w:cs="宋体"/>
          <w:spacing w:val="13"/>
        </w:rPr>
        <w:t xml:space="preserve"> </w:t>
      </w:r>
      <w:r>
        <w:rPr>
          <w:rFonts w:ascii="宋体" w:eastAsia="宋体" w:hAnsi="宋体" w:cs="宋体"/>
          <w:spacing w:val="-5"/>
        </w:rPr>
        <w:t>点类产品。春小麦的蛋白质含量通常高于冬小麦。</w:t>
      </w:r>
    </w:p>
    <w:p w:rsidR="00EA40A3" w:rsidRDefault="00E86C16">
      <w:pPr>
        <w:spacing w:before="92" w:line="243" w:lineRule="auto"/>
        <w:ind w:right="68" w:firstLine="430"/>
        <w:rPr>
          <w:rFonts w:ascii="宋体" w:eastAsia="宋体" w:hAnsi="宋体" w:cs="宋体"/>
        </w:rPr>
      </w:pPr>
      <w:r>
        <w:rPr>
          <w:rFonts w:ascii="宋体" w:eastAsia="宋体" w:hAnsi="宋体" w:cs="宋体"/>
          <w:spacing w:val="-3"/>
        </w:rPr>
        <w:t>小麦含有几乎等量的谷蛋白和醇溶谷蛋白，能够形成独特的面筋结构，从</w:t>
      </w:r>
      <w:r>
        <w:rPr>
          <w:rFonts w:ascii="宋体" w:eastAsia="宋体" w:hAnsi="宋体" w:cs="宋体"/>
          <w:spacing w:val="-4"/>
        </w:rPr>
        <w:t>而</w:t>
      </w:r>
      <w:r>
        <w:rPr>
          <w:rFonts w:ascii="宋体" w:eastAsia="宋体" w:hAnsi="宋体" w:cs="宋体"/>
        </w:rPr>
        <w:t xml:space="preserve"> </w:t>
      </w:r>
      <w:r>
        <w:rPr>
          <w:rFonts w:ascii="宋体" w:eastAsia="宋体" w:hAnsi="宋体" w:cs="宋体"/>
          <w:spacing w:val="-2"/>
        </w:rPr>
        <w:t>能够加工成品种丰富的面食品，特别是发酵后具多</w:t>
      </w:r>
      <w:r>
        <w:rPr>
          <w:rFonts w:ascii="宋体" w:eastAsia="宋体" w:hAnsi="宋体" w:cs="宋体"/>
          <w:spacing w:val="-3"/>
        </w:rPr>
        <w:t>孔结构的面包。面筋的含量和</w:t>
      </w:r>
      <w:r>
        <w:rPr>
          <w:rFonts w:ascii="宋体" w:eastAsia="宋体" w:hAnsi="宋体" w:cs="宋体"/>
        </w:rPr>
        <w:t xml:space="preserve"> </w:t>
      </w:r>
      <w:r>
        <w:rPr>
          <w:rFonts w:ascii="宋体" w:eastAsia="宋体" w:hAnsi="宋体" w:cs="宋体"/>
          <w:spacing w:val="-7"/>
        </w:rPr>
        <w:t>质量高时，面包的品质也随之提高。</w:t>
      </w:r>
    </w:p>
    <w:p w:rsidR="00EA40A3" w:rsidRDefault="00E86C16">
      <w:pPr>
        <w:spacing w:before="91" w:line="246" w:lineRule="auto"/>
        <w:ind w:right="74" w:firstLine="430"/>
        <w:rPr>
          <w:rFonts w:ascii="宋体" w:eastAsia="宋体" w:hAnsi="宋体" w:cs="宋体"/>
        </w:rPr>
      </w:pPr>
      <w:r>
        <w:rPr>
          <w:rFonts w:ascii="宋体" w:eastAsia="宋体" w:hAnsi="宋体" w:cs="宋体"/>
          <w:spacing w:val="-3"/>
        </w:rPr>
        <w:t>小麦蛋白质的第一限制氨基酸是赖氨酸。糊粉层和谷胚中所含蛋白质</w:t>
      </w:r>
      <w:r>
        <w:rPr>
          <w:rFonts w:ascii="宋体" w:eastAsia="宋体" w:hAnsi="宋体" w:cs="宋体"/>
          <w:spacing w:val="-4"/>
        </w:rPr>
        <w:t>的氨基</w:t>
      </w:r>
      <w:r>
        <w:rPr>
          <w:rFonts w:ascii="宋体" w:eastAsia="宋体" w:hAnsi="宋体" w:cs="宋体"/>
        </w:rPr>
        <w:t xml:space="preserve"> </w:t>
      </w:r>
      <w:r>
        <w:rPr>
          <w:rFonts w:ascii="宋体" w:eastAsia="宋体" w:hAnsi="宋体" w:cs="宋体"/>
          <w:spacing w:val="3"/>
        </w:rPr>
        <w:t>酸比例合理，生物价值较高；越向胚乳内部，蛋白质中赖氨酸的含量越低。然</w:t>
      </w:r>
      <w:r>
        <w:rPr>
          <w:rFonts w:ascii="宋体" w:eastAsia="宋体" w:hAnsi="宋体" w:cs="宋体"/>
          <w:spacing w:val="17"/>
        </w:rPr>
        <w:t xml:space="preserve"> </w:t>
      </w:r>
      <w:r>
        <w:rPr>
          <w:rFonts w:ascii="宋体" w:eastAsia="宋体" w:hAnsi="宋体" w:cs="宋体"/>
          <w:spacing w:val="-3"/>
        </w:rPr>
        <w:t>而，外层质量较高的蛋白质在谷类的加工精制中大部分被损失了，精白米面中被</w:t>
      </w:r>
      <w:r>
        <w:rPr>
          <w:rFonts w:ascii="宋体" w:eastAsia="宋体" w:hAnsi="宋体" w:cs="宋体"/>
          <w:spacing w:val="12"/>
        </w:rPr>
        <w:t xml:space="preserve"> </w:t>
      </w:r>
      <w:r>
        <w:rPr>
          <w:rFonts w:ascii="宋体" w:eastAsia="宋体" w:hAnsi="宋体" w:cs="宋体"/>
          <w:spacing w:val="-5"/>
        </w:rPr>
        <w:t>保存下来的多是胚乳内部质量较低的蛋白质。</w:t>
      </w:r>
    </w:p>
    <w:p w:rsidR="00EA40A3" w:rsidRDefault="00E86C16">
      <w:pPr>
        <w:spacing w:before="100" w:line="243" w:lineRule="auto"/>
        <w:ind w:right="72" w:firstLine="430"/>
        <w:rPr>
          <w:rFonts w:ascii="宋体" w:eastAsia="宋体" w:hAnsi="宋体" w:cs="宋体"/>
        </w:rPr>
      </w:pPr>
      <w:r>
        <w:rPr>
          <w:rFonts w:ascii="宋体" w:eastAsia="宋体" w:hAnsi="宋体" w:cs="宋体"/>
          <w:spacing w:val="-3"/>
        </w:rPr>
        <w:t>小麦蛋白质的生物价虽然比大米蛋白质略低，但是经过与豆类的互补</w:t>
      </w:r>
      <w:r>
        <w:rPr>
          <w:rFonts w:ascii="宋体" w:eastAsia="宋体" w:hAnsi="宋体" w:cs="宋体"/>
          <w:spacing w:val="-4"/>
        </w:rPr>
        <w:t>，其数</w:t>
      </w:r>
      <w:r>
        <w:rPr>
          <w:rFonts w:ascii="宋体" w:eastAsia="宋体" w:hAnsi="宋体" w:cs="宋体"/>
        </w:rPr>
        <w:t xml:space="preserve"> </w:t>
      </w:r>
      <w:r>
        <w:rPr>
          <w:rFonts w:ascii="宋体" w:eastAsia="宋体" w:hAnsi="宋体" w:cs="宋体"/>
          <w:spacing w:val="-3"/>
        </w:rPr>
        <w:t>量上的优势就表现出来。因此，在混合膳食中，小麦的蛋白质营养价值仍然高于</w:t>
      </w:r>
      <w:r>
        <w:rPr>
          <w:rFonts w:ascii="宋体" w:eastAsia="宋体" w:hAnsi="宋体" w:cs="宋体"/>
          <w:spacing w:val="16"/>
        </w:rPr>
        <w:t xml:space="preserve"> </w:t>
      </w:r>
      <w:r>
        <w:rPr>
          <w:rFonts w:ascii="宋体" w:eastAsia="宋体" w:hAnsi="宋体" w:cs="宋体"/>
          <w:spacing w:val="-10"/>
        </w:rPr>
        <w:t>大米。</w:t>
      </w:r>
    </w:p>
    <w:p w:rsidR="00EA40A3" w:rsidRDefault="00E86C16">
      <w:pPr>
        <w:spacing w:before="90" w:line="232" w:lineRule="auto"/>
        <w:ind w:right="80" w:firstLine="430"/>
        <w:rPr>
          <w:rFonts w:ascii="宋体" w:eastAsia="宋体" w:hAnsi="宋体" w:cs="宋体"/>
        </w:rPr>
      </w:pPr>
      <w:r>
        <w:rPr>
          <w:rFonts w:ascii="宋体" w:eastAsia="宋体" w:hAnsi="宋体" w:cs="宋体"/>
          <w:spacing w:val="6"/>
        </w:rPr>
        <w:t>小麦籽粒中的脂肪主要集中于胚芽，小麦胚芽油中的不饱和脂肪酸占80%</w:t>
      </w:r>
      <w:r>
        <w:rPr>
          <w:rFonts w:ascii="宋体" w:eastAsia="宋体" w:hAnsi="宋体" w:cs="宋体"/>
          <w:spacing w:val="10"/>
        </w:rPr>
        <w:t xml:space="preserve"> 以上，其中亚油酸含量达60%,维生素E</w:t>
      </w:r>
      <w:r>
        <w:rPr>
          <w:rFonts w:ascii="宋体" w:eastAsia="宋体" w:hAnsi="宋体" w:cs="宋体"/>
          <w:spacing w:val="-10"/>
        </w:rPr>
        <w:t xml:space="preserve"> </w:t>
      </w:r>
      <w:r>
        <w:rPr>
          <w:rFonts w:ascii="宋体" w:eastAsia="宋体" w:hAnsi="宋体" w:cs="宋体"/>
          <w:spacing w:val="10"/>
        </w:rPr>
        <w:t>的含量达250~520</w:t>
      </w:r>
      <w:r>
        <w:rPr>
          <w:rFonts w:ascii="宋体" w:eastAsia="宋体" w:hAnsi="宋体" w:cs="宋体"/>
        </w:rPr>
        <w:t>mg</w:t>
      </w:r>
      <w:r>
        <w:rPr>
          <w:rFonts w:ascii="宋体" w:eastAsia="宋体" w:hAnsi="宋体" w:cs="宋体"/>
          <w:spacing w:val="10"/>
        </w:rPr>
        <w:t>/100g。</w:t>
      </w:r>
    </w:p>
    <w:p w:rsidR="00EA40A3" w:rsidRDefault="00E86C16">
      <w:pPr>
        <w:spacing w:before="83" w:line="232" w:lineRule="auto"/>
        <w:ind w:right="76" w:firstLine="430"/>
        <w:rPr>
          <w:rFonts w:ascii="宋体" w:eastAsia="宋体" w:hAnsi="宋体" w:cs="宋体"/>
        </w:rPr>
      </w:pPr>
      <w:r>
        <w:rPr>
          <w:rFonts w:ascii="宋体" w:eastAsia="宋体" w:hAnsi="宋体" w:cs="宋体"/>
          <w:spacing w:val="-3"/>
        </w:rPr>
        <w:t>小麦籽粒含有微量的类胡萝卜素，包括胡萝卜素和隐黄素等，因而未</w:t>
      </w:r>
      <w:r>
        <w:rPr>
          <w:rFonts w:ascii="宋体" w:eastAsia="宋体" w:hAnsi="宋体" w:cs="宋体"/>
          <w:spacing w:val="-4"/>
        </w:rPr>
        <w:t>漂白面</w:t>
      </w:r>
      <w:r>
        <w:rPr>
          <w:rFonts w:ascii="宋体" w:eastAsia="宋体" w:hAnsi="宋体" w:cs="宋体"/>
        </w:rPr>
        <w:t xml:space="preserve"> </w:t>
      </w:r>
      <w:r>
        <w:rPr>
          <w:rFonts w:ascii="宋体" w:eastAsia="宋体" w:hAnsi="宋体" w:cs="宋体"/>
          <w:spacing w:val="-5"/>
        </w:rPr>
        <w:t>粉呈现淡淡的黄色，被氧化后面粉颜色变白。</w:t>
      </w:r>
    </w:p>
    <w:p w:rsidR="00EA40A3" w:rsidRDefault="00E86C16">
      <w:pPr>
        <w:spacing w:before="68"/>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188</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1104" w:bottom="400" w:left="780" w:header="0" w:footer="0" w:gutter="0"/>
          <w:cols w:space="720"/>
        </w:sectPr>
      </w:pPr>
    </w:p>
    <w:p w:rsidR="00EA40A3" w:rsidRDefault="00EA40A3">
      <w:pPr>
        <w:spacing w:line="305" w:lineRule="auto"/>
      </w:pPr>
    </w:p>
    <w:p w:rsidR="00EA40A3" w:rsidRDefault="00EA40A3">
      <w:pPr>
        <w:spacing w:line="306" w:lineRule="auto"/>
      </w:pPr>
    </w:p>
    <w:p w:rsidR="00EA40A3" w:rsidRDefault="00E86C16">
      <w:pPr>
        <w:spacing w:before="72" w:line="241" w:lineRule="auto"/>
        <w:ind w:right="60" w:firstLine="399"/>
        <w:jc w:val="both"/>
        <w:rPr>
          <w:rFonts w:ascii="宋体" w:eastAsia="宋体" w:hAnsi="宋体" w:cs="宋体"/>
          <w:sz w:val="22"/>
          <w:szCs w:val="22"/>
        </w:rPr>
      </w:pPr>
      <w:r>
        <w:rPr>
          <w:rFonts w:ascii="宋体" w:eastAsia="宋体" w:hAnsi="宋体" w:cs="宋体"/>
          <w:spacing w:val="-6"/>
          <w:sz w:val="22"/>
          <w:szCs w:val="22"/>
        </w:rPr>
        <w:t>麦胚中含有大量B</w:t>
      </w:r>
      <w:r>
        <w:rPr>
          <w:rFonts w:ascii="宋体" w:eastAsia="宋体" w:hAnsi="宋体" w:cs="宋体"/>
          <w:spacing w:val="-21"/>
          <w:sz w:val="22"/>
          <w:szCs w:val="22"/>
        </w:rPr>
        <w:t xml:space="preserve"> </w:t>
      </w:r>
      <w:r>
        <w:rPr>
          <w:rFonts w:ascii="宋体" w:eastAsia="宋体" w:hAnsi="宋体" w:cs="宋体"/>
          <w:spacing w:val="-6"/>
          <w:sz w:val="22"/>
          <w:szCs w:val="22"/>
        </w:rPr>
        <w:t>族维生素，常作为营养强化剂添加于食品中。由于精制</w:t>
      </w:r>
      <w:r>
        <w:rPr>
          <w:rFonts w:ascii="宋体" w:eastAsia="宋体" w:hAnsi="宋体" w:cs="宋体"/>
          <w:sz w:val="22"/>
          <w:szCs w:val="22"/>
        </w:rPr>
        <w:t xml:space="preserve"> </w:t>
      </w:r>
      <w:r>
        <w:rPr>
          <w:rFonts w:ascii="宋体" w:eastAsia="宋体" w:hAnsi="宋体" w:cs="宋体"/>
          <w:spacing w:val="-8"/>
          <w:sz w:val="22"/>
          <w:szCs w:val="22"/>
        </w:rPr>
        <w:t>小麦粉中的维生素B</w:t>
      </w:r>
      <w:r>
        <w:rPr>
          <w:rFonts w:ascii="Calibri" w:eastAsia="Calibri" w:hAnsi="Calibri" w:cs="Calibri"/>
          <w:spacing w:val="-8"/>
          <w:sz w:val="22"/>
          <w:szCs w:val="22"/>
        </w:rPr>
        <w:t>₁</w:t>
      </w:r>
      <w:r>
        <w:rPr>
          <w:rFonts w:ascii="Calibri" w:eastAsia="Calibri" w:hAnsi="Calibri" w:cs="Calibri"/>
          <w:spacing w:val="64"/>
          <w:sz w:val="22"/>
          <w:szCs w:val="22"/>
        </w:rPr>
        <w:t xml:space="preserve"> </w:t>
      </w:r>
      <w:r>
        <w:rPr>
          <w:rFonts w:ascii="宋体" w:eastAsia="宋体" w:hAnsi="宋体" w:cs="宋体"/>
          <w:spacing w:val="-8"/>
          <w:sz w:val="22"/>
          <w:szCs w:val="22"/>
        </w:rPr>
        <w:t>含量比精白米中高，因此在副食不够丰富的情况下，以面</w:t>
      </w:r>
      <w:r>
        <w:rPr>
          <w:rFonts w:ascii="宋体" w:eastAsia="宋体" w:hAnsi="宋体" w:cs="宋体"/>
          <w:sz w:val="22"/>
          <w:szCs w:val="22"/>
        </w:rPr>
        <w:t xml:space="preserve"> </w:t>
      </w:r>
      <w:r>
        <w:rPr>
          <w:rFonts w:ascii="宋体" w:eastAsia="宋体" w:hAnsi="宋体" w:cs="宋体"/>
          <w:spacing w:val="-14"/>
          <w:sz w:val="22"/>
          <w:szCs w:val="22"/>
        </w:rPr>
        <w:t>粉为主食者比以精白米为主食者较少患脚气病。</w:t>
      </w:r>
    </w:p>
    <w:p w:rsidR="00EA40A3" w:rsidRDefault="00E86C16">
      <w:pPr>
        <w:spacing w:before="60" w:line="227" w:lineRule="auto"/>
        <w:ind w:right="80" w:firstLine="399"/>
        <w:jc w:val="both"/>
        <w:rPr>
          <w:rFonts w:ascii="宋体" w:eastAsia="宋体" w:hAnsi="宋体" w:cs="宋体"/>
          <w:sz w:val="22"/>
          <w:szCs w:val="22"/>
        </w:rPr>
      </w:pPr>
      <w:r>
        <w:rPr>
          <w:rFonts w:ascii="宋体" w:eastAsia="宋体" w:hAnsi="宋体" w:cs="宋体"/>
          <w:spacing w:val="-13"/>
          <w:sz w:val="22"/>
          <w:szCs w:val="22"/>
        </w:rPr>
        <w:t>小麦中的矿物质含量高于大米，但也集中于谷粒的外层。锌、铜、镁、锰等</w:t>
      </w:r>
      <w:r>
        <w:rPr>
          <w:rFonts w:ascii="宋体" w:eastAsia="宋体" w:hAnsi="宋体" w:cs="宋体"/>
          <w:spacing w:val="7"/>
          <w:sz w:val="22"/>
          <w:szCs w:val="22"/>
        </w:rPr>
        <w:t xml:space="preserve"> </w:t>
      </w:r>
      <w:r>
        <w:rPr>
          <w:rFonts w:ascii="宋体" w:eastAsia="宋体" w:hAnsi="宋体" w:cs="宋体"/>
          <w:spacing w:val="-6"/>
          <w:sz w:val="22"/>
          <w:szCs w:val="22"/>
        </w:rPr>
        <w:t>元素在胚乳中的含量不足全粒的10%。</w:t>
      </w:r>
    </w:p>
    <w:p w:rsidR="00EA40A3" w:rsidRDefault="00E86C16">
      <w:pPr>
        <w:spacing w:before="225" w:line="221"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15"/>
          <w:sz w:val="22"/>
          <w:szCs w:val="22"/>
        </w:rPr>
        <w:t xml:space="preserve"> </w:t>
      </w:r>
      <w:r>
        <w:rPr>
          <w:rFonts w:ascii="仿宋" w:eastAsia="仿宋" w:hAnsi="仿宋" w:cs="仿宋"/>
          <w:spacing w:val="11"/>
          <w:sz w:val="22"/>
          <w:szCs w:val="22"/>
        </w:rPr>
        <w:t>玉米的营养价值</w:t>
      </w:r>
    </w:p>
    <w:p w:rsidR="00EA40A3" w:rsidRDefault="00E86C16">
      <w:pPr>
        <w:spacing w:before="190"/>
        <w:ind w:right="78" w:firstLine="399"/>
        <w:rPr>
          <w:rFonts w:ascii="宋体" w:eastAsia="宋体" w:hAnsi="宋体" w:cs="宋体"/>
          <w:sz w:val="22"/>
          <w:szCs w:val="22"/>
        </w:rPr>
      </w:pPr>
      <w:r>
        <w:rPr>
          <w:rFonts w:ascii="宋体" w:eastAsia="宋体" w:hAnsi="宋体" w:cs="宋体"/>
          <w:spacing w:val="-3"/>
          <w:sz w:val="22"/>
          <w:szCs w:val="22"/>
        </w:rPr>
        <w:t>玉米属于粗粮，淀粉含量达70%以上，膳食纤维较为丰富，其蛋白质含量</w:t>
      </w:r>
      <w:r>
        <w:rPr>
          <w:rFonts w:ascii="宋体" w:eastAsia="宋体" w:hAnsi="宋体" w:cs="宋体"/>
          <w:spacing w:val="6"/>
          <w:sz w:val="22"/>
          <w:szCs w:val="22"/>
        </w:rPr>
        <w:t xml:space="preserve"> </w:t>
      </w:r>
      <w:r>
        <w:rPr>
          <w:rFonts w:ascii="宋体" w:eastAsia="宋体" w:hAnsi="宋体" w:cs="宋体"/>
          <w:spacing w:val="-4"/>
          <w:sz w:val="22"/>
          <w:szCs w:val="22"/>
        </w:rPr>
        <w:t>为7%～10%。普通玉米的蛋白质以醇溶谷蛋白为主，缺乏赖氨酸，色氨酸也不</w:t>
      </w:r>
      <w:r>
        <w:rPr>
          <w:rFonts w:ascii="宋体" w:eastAsia="宋体" w:hAnsi="宋体" w:cs="宋体"/>
          <w:spacing w:val="14"/>
          <w:sz w:val="22"/>
          <w:szCs w:val="22"/>
        </w:rPr>
        <w:t xml:space="preserve"> </w:t>
      </w:r>
      <w:r>
        <w:rPr>
          <w:rFonts w:ascii="宋体" w:eastAsia="宋体" w:hAnsi="宋体" w:cs="宋体"/>
          <w:spacing w:val="-15"/>
          <w:sz w:val="22"/>
          <w:szCs w:val="22"/>
        </w:rPr>
        <w:t>足，生物价值比小麦蛋白更低，但玉米胚的蛋白质质量较高。</w:t>
      </w:r>
    </w:p>
    <w:p w:rsidR="00EA40A3" w:rsidRDefault="00E86C16">
      <w:pPr>
        <w:spacing w:before="58" w:line="238" w:lineRule="auto"/>
        <w:ind w:right="63" w:firstLine="399"/>
        <w:rPr>
          <w:rFonts w:ascii="宋体" w:eastAsia="宋体" w:hAnsi="宋体" w:cs="宋体"/>
          <w:sz w:val="22"/>
          <w:szCs w:val="22"/>
        </w:rPr>
      </w:pPr>
      <w:r>
        <w:rPr>
          <w:rFonts w:ascii="宋体" w:eastAsia="宋体" w:hAnsi="宋体" w:cs="宋体"/>
          <w:spacing w:val="-13"/>
          <w:sz w:val="22"/>
          <w:szCs w:val="22"/>
        </w:rPr>
        <w:t>一些特殊的玉米品种具有较高的蛋白质营养价值。</w:t>
      </w:r>
      <w:r>
        <w:rPr>
          <w:rFonts w:ascii="宋体" w:eastAsia="宋体" w:hAnsi="宋体" w:cs="宋体"/>
          <w:spacing w:val="-14"/>
          <w:sz w:val="22"/>
          <w:szCs w:val="22"/>
        </w:rPr>
        <w:t>例如，高赖氨酸玉米的赖</w:t>
      </w:r>
      <w:r>
        <w:rPr>
          <w:rFonts w:ascii="宋体" w:eastAsia="宋体" w:hAnsi="宋体" w:cs="宋体"/>
          <w:sz w:val="22"/>
          <w:szCs w:val="22"/>
        </w:rPr>
        <w:t xml:space="preserve"> </w:t>
      </w:r>
      <w:r>
        <w:rPr>
          <w:rFonts w:ascii="宋体" w:eastAsia="宋体" w:hAnsi="宋体" w:cs="宋体"/>
          <w:spacing w:val="-13"/>
          <w:sz w:val="22"/>
          <w:szCs w:val="22"/>
        </w:rPr>
        <w:t>氨酸含量是普通玉米的两倍左右，色氨酸含量和蛋白质总量也有所提高，其蛋白</w:t>
      </w:r>
      <w:r>
        <w:rPr>
          <w:rFonts w:ascii="宋体" w:eastAsia="宋体" w:hAnsi="宋体" w:cs="宋体"/>
          <w:spacing w:val="10"/>
          <w:sz w:val="22"/>
          <w:szCs w:val="22"/>
        </w:rPr>
        <w:t xml:space="preserve"> </w:t>
      </w:r>
      <w:r>
        <w:rPr>
          <w:rFonts w:ascii="宋体" w:eastAsia="宋体" w:hAnsi="宋体" w:cs="宋体"/>
          <w:spacing w:val="-7"/>
          <w:sz w:val="22"/>
          <w:szCs w:val="22"/>
        </w:rPr>
        <w:t>质的生物价达70以上。高油玉米不仅具有较高的油脂含量，蛋白质品质也有一</w:t>
      </w:r>
      <w:r>
        <w:rPr>
          <w:rFonts w:ascii="宋体" w:eastAsia="宋体" w:hAnsi="宋体" w:cs="宋体"/>
          <w:spacing w:val="5"/>
          <w:sz w:val="22"/>
          <w:szCs w:val="22"/>
        </w:rPr>
        <w:t xml:space="preserve"> </w:t>
      </w:r>
      <w:r>
        <w:rPr>
          <w:rFonts w:ascii="宋体" w:eastAsia="宋体" w:hAnsi="宋体" w:cs="宋体"/>
          <w:spacing w:val="-15"/>
          <w:sz w:val="22"/>
          <w:szCs w:val="22"/>
        </w:rPr>
        <w:t>定改善。</w:t>
      </w:r>
    </w:p>
    <w:p w:rsidR="00EA40A3" w:rsidRDefault="00E86C16">
      <w:pPr>
        <w:spacing w:before="78" w:line="237" w:lineRule="auto"/>
        <w:ind w:firstLine="399"/>
        <w:rPr>
          <w:rFonts w:ascii="宋体" w:eastAsia="宋体" w:hAnsi="宋体" w:cs="宋体"/>
          <w:sz w:val="22"/>
          <w:szCs w:val="22"/>
        </w:rPr>
      </w:pPr>
      <w:r>
        <w:rPr>
          <w:rFonts w:ascii="宋体" w:eastAsia="宋体" w:hAnsi="宋体" w:cs="宋体"/>
          <w:spacing w:val="3"/>
          <w:sz w:val="22"/>
          <w:szCs w:val="22"/>
        </w:rPr>
        <w:t>普通玉米的脂肪含量可达3%～4%。玉米胚是食用油脂的一个重要来源，</w:t>
      </w:r>
      <w:r>
        <w:rPr>
          <w:rFonts w:ascii="宋体" w:eastAsia="宋体" w:hAnsi="宋体" w:cs="宋体"/>
          <w:sz w:val="22"/>
          <w:szCs w:val="22"/>
        </w:rPr>
        <w:t xml:space="preserve"> 其中不饱和脂肪酸的含量达85%,并含有丰富的维生素E。</w:t>
      </w:r>
    </w:p>
    <w:p w:rsidR="00EA40A3" w:rsidRDefault="00E86C16">
      <w:pPr>
        <w:spacing w:before="65" w:line="241" w:lineRule="auto"/>
        <w:ind w:right="78" w:firstLine="399"/>
        <w:rPr>
          <w:rFonts w:ascii="宋体" w:eastAsia="宋体" w:hAnsi="宋体" w:cs="宋体"/>
          <w:sz w:val="22"/>
          <w:szCs w:val="22"/>
        </w:rPr>
      </w:pPr>
      <w:r>
        <w:rPr>
          <w:rFonts w:ascii="宋体" w:eastAsia="宋体" w:hAnsi="宋体" w:cs="宋体"/>
          <w:spacing w:val="-8"/>
          <w:sz w:val="22"/>
          <w:szCs w:val="22"/>
        </w:rPr>
        <w:t>玉米未经精制，其中的B</w:t>
      </w:r>
      <w:r>
        <w:rPr>
          <w:rFonts w:ascii="宋体" w:eastAsia="宋体" w:hAnsi="宋体" w:cs="宋体"/>
          <w:spacing w:val="-25"/>
          <w:sz w:val="22"/>
          <w:szCs w:val="22"/>
        </w:rPr>
        <w:t xml:space="preserve"> </w:t>
      </w:r>
      <w:r>
        <w:rPr>
          <w:rFonts w:ascii="宋体" w:eastAsia="宋体" w:hAnsi="宋体" w:cs="宋体"/>
          <w:spacing w:val="-8"/>
          <w:sz w:val="22"/>
          <w:szCs w:val="22"/>
        </w:rPr>
        <w:t>族维生素得以充分保留，维生素B</w:t>
      </w:r>
      <w:r>
        <w:rPr>
          <w:rFonts w:ascii="Calibri" w:eastAsia="Calibri" w:hAnsi="Calibri" w:cs="Calibri"/>
          <w:spacing w:val="-8"/>
          <w:sz w:val="22"/>
          <w:szCs w:val="22"/>
        </w:rPr>
        <w:t>₁</w:t>
      </w:r>
      <w:r>
        <w:rPr>
          <w:rFonts w:ascii="Calibri" w:eastAsia="Calibri" w:hAnsi="Calibri" w:cs="Calibri"/>
          <w:spacing w:val="50"/>
          <w:sz w:val="22"/>
          <w:szCs w:val="22"/>
        </w:rPr>
        <w:t xml:space="preserve"> </w:t>
      </w:r>
      <w:r>
        <w:rPr>
          <w:rFonts w:ascii="宋体" w:eastAsia="宋体" w:hAnsi="宋体" w:cs="宋体"/>
          <w:spacing w:val="-8"/>
          <w:sz w:val="22"/>
          <w:szCs w:val="22"/>
        </w:rPr>
        <w:t>和维生素B2</w:t>
      </w:r>
      <w:r>
        <w:rPr>
          <w:rFonts w:ascii="宋体" w:eastAsia="宋体" w:hAnsi="宋体" w:cs="宋体"/>
          <w:spacing w:val="-57"/>
          <w:sz w:val="22"/>
          <w:szCs w:val="22"/>
        </w:rPr>
        <w:t xml:space="preserve"> </w:t>
      </w:r>
      <w:r>
        <w:rPr>
          <w:rFonts w:ascii="宋体" w:eastAsia="宋体" w:hAnsi="宋体" w:cs="宋体"/>
          <w:spacing w:val="-8"/>
          <w:sz w:val="22"/>
          <w:szCs w:val="22"/>
        </w:rPr>
        <w:t>较</w:t>
      </w:r>
      <w:r>
        <w:rPr>
          <w:rFonts w:ascii="宋体" w:eastAsia="宋体" w:hAnsi="宋体" w:cs="宋体"/>
          <w:sz w:val="22"/>
          <w:szCs w:val="22"/>
        </w:rPr>
        <w:t xml:space="preserve"> </w:t>
      </w:r>
      <w:r>
        <w:rPr>
          <w:rFonts w:ascii="宋体" w:eastAsia="宋体" w:hAnsi="宋体" w:cs="宋体"/>
          <w:spacing w:val="-7"/>
          <w:sz w:val="22"/>
          <w:szCs w:val="22"/>
        </w:rPr>
        <w:t>为丰富。玉米中的尼克酸含量也较高，但以结合形式存在，而且其中色氨酸</w:t>
      </w:r>
      <w:r>
        <w:rPr>
          <w:rFonts w:ascii="宋体" w:eastAsia="宋体" w:hAnsi="宋体" w:cs="宋体"/>
          <w:spacing w:val="-8"/>
          <w:sz w:val="22"/>
          <w:szCs w:val="22"/>
        </w:rPr>
        <w:t>不</w:t>
      </w:r>
      <w:r>
        <w:rPr>
          <w:rFonts w:ascii="宋体" w:eastAsia="宋体" w:hAnsi="宋体" w:cs="宋体"/>
          <w:sz w:val="22"/>
          <w:szCs w:val="22"/>
        </w:rPr>
        <w:t xml:space="preserve"> </w:t>
      </w:r>
      <w:r>
        <w:rPr>
          <w:rFonts w:ascii="宋体" w:eastAsia="宋体" w:hAnsi="宋体" w:cs="宋体"/>
          <w:spacing w:val="-14"/>
          <w:sz w:val="22"/>
          <w:szCs w:val="22"/>
        </w:rPr>
        <w:t>足，故而以玉米为主食又缺乏其他副食可能导致癞皮病。</w:t>
      </w:r>
    </w:p>
    <w:p w:rsidR="00EA40A3" w:rsidRDefault="00E86C16">
      <w:pPr>
        <w:spacing w:before="49" w:line="219" w:lineRule="auto"/>
        <w:ind w:left="399"/>
        <w:rPr>
          <w:rFonts w:ascii="宋体" w:eastAsia="宋体" w:hAnsi="宋体" w:cs="宋体"/>
          <w:sz w:val="22"/>
          <w:szCs w:val="22"/>
        </w:rPr>
      </w:pPr>
      <w:r>
        <w:rPr>
          <w:rFonts w:ascii="宋体" w:eastAsia="宋体" w:hAnsi="宋体" w:cs="宋体"/>
          <w:spacing w:val="-13"/>
          <w:sz w:val="22"/>
          <w:szCs w:val="22"/>
        </w:rPr>
        <w:t>玉米中的矿物质以磷、钾、镁等为主，其钾含量高于大米</w:t>
      </w:r>
      <w:r>
        <w:rPr>
          <w:rFonts w:ascii="宋体" w:eastAsia="宋体" w:hAnsi="宋体" w:cs="宋体"/>
          <w:spacing w:val="-14"/>
          <w:sz w:val="22"/>
          <w:szCs w:val="22"/>
        </w:rPr>
        <w:t>白面。</w:t>
      </w:r>
    </w:p>
    <w:p w:rsidR="00EA40A3" w:rsidRDefault="00E86C16">
      <w:pPr>
        <w:spacing w:before="185" w:line="221" w:lineRule="auto"/>
        <w:rPr>
          <w:rFonts w:ascii="仿宋" w:eastAsia="仿宋" w:hAnsi="仿宋" w:cs="仿宋"/>
          <w:sz w:val="22"/>
          <w:szCs w:val="22"/>
        </w:rPr>
      </w:pPr>
      <w:r>
        <w:rPr>
          <w:rFonts w:ascii="仿宋" w:eastAsia="仿宋" w:hAnsi="仿宋" w:cs="仿宋"/>
          <w:spacing w:val="4"/>
          <w:sz w:val="22"/>
          <w:szCs w:val="22"/>
        </w:rPr>
        <w:t>4.</w:t>
      </w:r>
      <w:r>
        <w:rPr>
          <w:rFonts w:ascii="仿宋" w:eastAsia="仿宋" w:hAnsi="仿宋" w:cs="仿宋"/>
          <w:spacing w:val="48"/>
          <w:sz w:val="22"/>
          <w:szCs w:val="22"/>
        </w:rPr>
        <w:t xml:space="preserve"> </w:t>
      </w:r>
      <w:r>
        <w:rPr>
          <w:rFonts w:ascii="仿宋" w:eastAsia="仿宋" w:hAnsi="仿宋" w:cs="仿宋"/>
          <w:spacing w:val="4"/>
          <w:sz w:val="22"/>
          <w:szCs w:val="22"/>
        </w:rPr>
        <w:t>小米的营养价值</w:t>
      </w:r>
    </w:p>
    <w:p w:rsidR="00EA40A3" w:rsidRDefault="00E86C16">
      <w:pPr>
        <w:spacing w:before="210" w:line="243" w:lineRule="auto"/>
        <w:ind w:right="60" w:firstLine="399"/>
        <w:jc w:val="both"/>
        <w:rPr>
          <w:rFonts w:ascii="宋体" w:eastAsia="宋体" w:hAnsi="宋体" w:cs="宋体"/>
          <w:sz w:val="22"/>
          <w:szCs w:val="22"/>
        </w:rPr>
      </w:pPr>
      <w:r>
        <w:rPr>
          <w:rFonts w:ascii="宋体" w:eastAsia="宋体" w:hAnsi="宋体" w:cs="宋体"/>
          <w:spacing w:val="-13"/>
          <w:sz w:val="22"/>
          <w:szCs w:val="22"/>
        </w:rPr>
        <w:t>小米也称为谷子、粟等，是我国最早的粮食作物。小米的淀粉含量与其他粮</w:t>
      </w:r>
      <w:r>
        <w:rPr>
          <w:rFonts w:ascii="宋体" w:eastAsia="宋体" w:hAnsi="宋体" w:cs="宋体"/>
          <w:spacing w:val="6"/>
          <w:sz w:val="22"/>
          <w:szCs w:val="22"/>
        </w:rPr>
        <w:t xml:space="preserve"> </w:t>
      </w:r>
      <w:r>
        <w:rPr>
          <w:rFonts w:ascii="宋体" w:eastAsia="宋体" w:hAnsi="宋体" w:cs="宋体"/>
          <w:spacing w:val="9"/>
          <w:sz w:val="22"/>
          <w:szCs w:val="22"/>
        </w:rPr>
        <w:t>食相当，蛋白质含量为7%～21%,大多为9%～14%。其蛋白质中</w:t>
      </w:r>
      <w:r>
        <w:rPr>
          <w:rFonts w:ascii="宋体" w:eastAsia="宋体" w:hAnsi="宋体" w:cs="宋体"/>
          <w:spacing w:val="8"/>
          <w:sz w:val="22"/>
          <w:szCs w:val="22"/>
        </w:rPr>
        <w:t>醇溶谷蛋白</w:t>
      </w:r>
      <w:r>
        <w:rPr>
          <w:rFonts w:ascii="宋体" w:eastAsia="宋体" w:hAnsi="宋体" w:cs="宋体"/>
          <w:sz w:val="22"/>
          <w:szCs w:val="22"/>
        </w:rPr>
        <w:t xml:space="preserve"> </w:t>
      </w:r>
      <w:r>
        <w:rPr>
          <w:rFonts w:ascii="宋体" w:eastAsia="宋体" w:hAnsi="宋体" w:cs="宋体"/>
          <w:spacing w:val="-13"/>
          <w:sz w:val="22"/>
          <w:szCs w:val="22"/>
        </w:rPr>
        <w:t>含量高，缺乏赖氨酸，但其他氨基酸比例较为合理。如能与其他富含赖氨酸的食</w:t>
      </w:r>
      <w:r>
        <w:rPr>
          <w:rFonts w:ascii="宋体" w:eastAsia="宋体" w:hAnsi="宋体" w:cs="宋体"/>
          <w:spacing w:val="13"/>
          <w:sz w:val="22"/>
          <w:szCs w:val="22"/>
        </w:rPr>
        <w:t xml:space="preserve"> </w:t>
      </w:r>
      <w:r>
        <w:rPr>
          <w:rFonts w:ascii="宋体" w:eastAsia="宋体" w:hAnsi="宋体" w:cs="宋体"/>
          <w:spacing w:val="-13"/>
          <w:sz w:val="22"/>
          <w:szCs w:val="22"/>
        </w:rPr>
        <w:t>物配合食用，则小米的蛋白质生物利用效率可以大幅度提高。</w:t>
      </w:r>
    </w:p>
    <w:p w:rsidR="00EA40A3" w:rsidRDefault="00E86C16">
      <w:pPr>
        <w:spacing w:before="60" w:line="236" w:lineRule="auto"/>
        <w:ind w:right="56" w:firstLine="399"/>
        <w:jc w:val="both"/>
        <w:rPr>
          <w:rFonts w:ascii="宋体" w:eastAsia="宋体" w:hAnsi="宋体" w:cs="宋体"/>
          <w:sz w:val="22"/>
          <w:szCs w:val="22"/>
        </w:rPr>
      </w:pPr>
      <w:r>
        <w:rPr>
          <w:rFonts w:ascii="宋体" w:eastAsia="宋体" w:hAnsi="宋体" w:cs="宋体"/>
          <w:spacing w:val="-10"/>
          <w:sz w:val="22"/>
          <w:szCs w:val="22"/>
        </w:rPr>
        <w:t>小米脱壳后即可食用，无需精磨，含有较为丰富的膳食纤维，以及</w:t>
      </w:r>
      <w:r>
        <w:rPr>
          <w:rFonts w:ascii="宋体" w:eastAsia="宋体" w:hAnsi="宋体" w:cs="宋体"/>
          <w:spacing w:val="-11"/>
          <w:sz w:val="22"/>
          <w:szCs w:val="22"/>
        </w:rPr>
        <w:t>较高的B</w:t>
      </w:r>
      <w:r>
        <w:rPr>
          <w:rFonts w:ascii="宋体" w:eastAsia="宋体" w:hAnsi="宋体" w:cs="宋体"/>
          <w:sz w:val="22"/>
          <w:szCs w:val="22"/>
        </w:rPr>
        <w:t xml:space="preserve"> </w:t>
      </w:r>
      <w:r>
        <w:rPr>
          <w:rFonts w:ascii="宋体" w:eastAsia="宋体" w:hAnsi="宋体" w:cs="宋体"/>
          <w:spacing w:val="-13"/>
          <w:sz w:val="22"/>
          <w:szCs w:val="22"/>
        </w:rPr>
        <w:t>族维生素。黄色小米中含有少量胡萝卜素。由于小米的铁含量较高，民间常用作</w:t>
      </w:r>
      <w:r>
        <w:rPr>
          <w:rFonts w:ascii="宋体" w:eastAsia="宋体" w:hAnsi="宋体" w:cs="宋体"/>
          <w:spacing w:val="17"/>
          <w:sz w:val="22"/>
          <w:szCs w:val="22"/>
        </w:rPr>
        <w:t xml:space="preserve"> </w:t>
      </w:r>
      <w:r>
        <w:rPr>
          <w:rFonts w:ascii="宋体" w:eastAsia="宋体" w:hAnsi="宋体" w:cs="宋体"/>
          <w:spacing w:val="-7"/>
          <w:sz w:val="22"/>
          <w:szCs w:val="22"/>
        </w:rPr>
        <w:t>产妇食品.</w:t>
      </w:r>
    </w:p>
    <w:p w:rsidR="00EA40A3" w:rsidRDefault="00E86C16">
      <w:pPr>
        <w:spacing w:before="225" w:line="221" w:lineRule="auto"/>
        <w:rPr>
          <w:rFonts w:ascii="仿宋" w:eastAsia="仿宋" w:hAnsi="仿宋" w:cs="仿宋"/>
          <w:sz w:val="22"/>
          <w:szCs w:val="22"/>
        </w:rPr>
      </w:pPr>
      <w:r>
        <w:rPr>
          <w:rFonts w:ascii="仿宋" w:eastAsia="仿宋" w:hAnsi="仿宋" w:cs="仿宋"/>
          <w:sz w:val="22"/>
          <w:szCs w:val="22"/>
        </w:rPr>
        <w:t>5.</w:t>
      </w:r>
      <w:r>
        <w:rPr>
          <w:rFonts w:ascii="仿宋" w:eastAsia="仿宋" w:hAnsi="仿宋" w:cs="仿宋"/>
          <w:spacing w:val="84"/>
          <w:sz w:val="22"/>
          <w:szCs w:val="22"/>
        </w:rPr>
        <w:t xml:space="preserve"> </w:t>
      </w:r>
      <w:r>
        <w:rPr>
          <w:rFonts w:ascii="仿宋" w:eastAsia="仿宋" w:hAnsi="仿宋" w:cs="仿宋"/>
          <w:sz w:val="22"/>
          <w:szCs w:val="22"/>
        </w:rPr>
        <w:t>燕麦的营养价值</w:t>
      </w:r>
    </w:p>
    <w:p w:rsidR="00EA40A3" w:rsidRDefault="00E86C16">
      <w:pPr>
        <w:spacing w:before="209" w:line="239" w:lineRule="auto"/>
        <w:ind w:right="80" w:firstLine="399"/>
        <w:jc w:val="both"/>
        <w:rPr>
          <w:rFonts w:ascii="宋体" w:eastAsia="宋体" w:hAnsi="宋体" w:cs="宋体"/>
          <w:sz w:val="22"/>
          <w:szCs w:val="22"/>
        </w:rPr>
      </w:pPr>
      <w:r>
        <w:rPr>
          <w:rFonts w:ascii="宋体" w:eastAsia="宋体" w:hAnsi="宋体" w:cs="宋体"/>
          <w:spacing w:val="-3"/>
          <w:sz w:val="22"/>
          <w:szCs w:val="22"/>
        </w:rPr>
        <w:t>燕麦的营养素含量在各种谷类当中十分突出，其中淀粉含量稍低，在60%</w:t>
      </w:r>
      <w:r>
        <w:rPr>
          <w:rFonts w:ascii="宋体" w:eastAsia="宋体" w:hAnsi="宋体" w:cs="宋体"/>
          <w:spacing w:val="2"/>
          <w:sz w:val="22"/>
          <w:szCs w:val="22"/>
        </w:rPr>
        <w:t xml:space="preserve"> </w:t>
      </w:r>
      <w:r>
        <w:rPr>
          <w:rFonts w:ascii="宋体" w:eastAsia="宋体" w:hAnsi="宋体" w:cs="宋体"/>
          <w:spacing w:val="-13"/>
          <w:sz w:val="22"/>
          <w:szCs w:val="22"/>
        </w:rPr>
        <w:t>以上。由于燕麦以全谷形式食用，其中富含膳食纤维，特别是大</w:t>
      </w:r>
      <w:r>
        <w:rPr>
          <w:rFonts w:ascii="宋体" w:eastAsia="宋体" w:hAnsi="宋体" w:cs="宋体"/>
          <w:spacing w:val="-14"/>
          <w:sz w:val="22"/>
          <w:szCs w:val="22"/>
        </w:rPr>
        <w:t>量的可溶性半纤</w:t>
      </w:r>
      <w:r>
        <w:rPr>
          <w:rFonts w:ascii="宋体" w:eastAsia="宋体" w:hAnsi="宋体" w:cs="宋体"/>
          <w:sz w:val="22"/>
          <w:szCs w:val="22"/>
        </w:rPr>
        <w:t xml:space="preserve"> </w:t>
      </w:r>
      <w:r>
        <w:rPr>
          <w:rFonts w:ascii="宋体" w:eastAsia="宋体" w:hAnsi="宋体" w:cs="宋体"/>
          <w:spacing w:val="2"/>
          <w:sz w:val="22"/>
          <w:szCs w:val="22"/>
        </w:rPr>
        <w:t>维素，主要是β-葡聚糖，含量可达燕麦总重的4%~6%,占燕麦半纤维素成分</w:t>
      </w:r>
      <w:r>
        <w:rPr>
          <w:rFonts w:ascii="宋体" w:eastAsia="宋体" w:hAnsi="宋体" w:cs="宋体"/>
          <w:spacing w:val="16"/>
          <w:sz w:val="22"/>
          <w:szCs w:val="22"/>
        </w:rPr>
        <w:t xml:space="preserve"> </w:t>
      </w:r>
      <w:r>
        <w:rPr>
          <w:rFonts w:ascii="宋体" w:eastAsia="宋体" w:hAnsi="宋体" w:cs="宋体"/>
          <w:spacing w:val="14"/>
          <w:sz w:val="22"/>
          <w:szCs w:val="22"/>
        </w:rPr>
        <w:t>的70%～87%。</w:t>
      </w:r>
    </w:p>
    <w:p w:rsidR="00EA40A3" w:rsidRDefault="00E86C16">
      <w:pPr>
        <w:spacing w:before="89" w:line="216" w:lineRule="auto"/>
        <w:ind w:left="399"/>
        <w:rPr>
          <w:rFonts w:ascii="宋体" w:eastAsia="宋体" w:hAnsi="宋体" w:cs="宋体"/>
          <w:sz w:val="22"/>
          <w:szCs w:val="22"/>
        </w:rPr>
      </w:pPr>
      <w:r>
        <w:rPr>
          <w:rFonts w:ascii="宋体" w:eastAsia="宋体" w:hAnsi="宋体" w:cs="宋体"/>
          <w:spacing w:val="4"/>
          <w:sz w:val="22"/>
          <w:szCs w:val="22"/>
        </w:rPr>
        <w:t>燕麦的蛋白质含量可达15%～17%,其中赖氨酸含量较高，生物</w:t>
      </w:r>
      <w:r>
        <w:rPr>
          <w:rFonts w:ascii="宋体" w:eastAsia="宋体" w:hAnsi="宋体" w:cs="宋体"/>
          <w:spacing w:val="3"/>
          <w:sz w:val="22"/>
          <w:szCs w:val="22"/>
        </w:rPr>
        <w:t>效价高于</w:t>
      </w:r>
    </w:p>
    <w:p w:rsidR="00EA40A3" w:rsidRDefault="00E86C16">
      <w:pPr>
        <w:spacing w:before="92"/>
        <w:ind w:right="76"/>
        <w:jc w:val="right"/>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189</w:t>
      </w:r>
      <w:r>
        <w:rPr>
          <w:rFonts w:ascii="宋体" w:eastAsia="宋体" w:hAnsi="宋体" w:cs="宋体"/>
          <w:spacing w:val="47"/>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09" w:bottom="400" w:left="890" w:header="0" w:footer="0" w:gutter="0"/>
          <w:cols w:space="720"/>
        </w:sectPr>
      </w:pPr>
    </w:p>
    <w:p w:rsidR="00EA40A3" w:rsidRDefault="00EA40A3">
      <w:pPr>
        <w:spacing w:line="281" w:lineRule="auto"/>
      </w:pPr>
    </w:p>
    <w:p w:rsidR="00EA40A3" w:rsidRDefault="00EA40A3">
      <w:pPr>
        <w:spacing w:line="281" w:lineRule="auto"/>
      </w:pPr>
    </w:p>
    <w:p w:rsidR="00EA40A3" w:rsidRDefault="00E86C16">
      <w:pPr>
        <w:spacing w:before="72" w:line="219" w:lineRule="auto"/>
        <w:rPr>
          <w:rFonts w:ascii="宋体" w:eastAsia="宋体" w:hAnsi="宋体" w:cs="宋体"/>
          <w:sz w:val="22"/>
          <w:szCs w:val="22"/>
        </w:rPr>
      </w:pPr>
      <w:r>
        <w:rPr>
          <w:rFonts w:ascii="宋体" w:eastAsia="宋体" w:hAnsi="宋体" w:cs="宋体"/>
          <w:spacing w:val="-5"/>
          <w:sz w:val="22"/>
          <w:szCs w:val="22"/>
        </w:rPr>
        <w:t>其他谷类蛋白质。这是由于燕麦中醇溶谷蛋白仅占总蛋白质的10%～15%。</w:t>
      </w:r>
    </w:p>
    <w:p w:rsidR="00EA40A3" w:rsidRDefault="00E86C16">
      <w:pPr>
        <w:spacing w:before="36" w:line="242" w:lineRule="auto"/>
        <w:ind w:right="117" w:firstLine="430"/>
        <w:jc w:val="both"/>
        <w:rPr>
          <w:rFonts w:ascii="宋体" w:eastAsia="宋体" w:hAnsi="宋体" w:cs="宋体"/>
          <w:sz w:val="22"/>
          <w:szCs w:val="22"/>
        </w:rPr>
      </w:pPr>
      <w:r>
        <w:rPr>
          <w:rFonts w:ascii="宋体" w:eastAsia="宋体" w:hAnsi="宋体" w:cs="宋体"/>
          <w:spacing w:val="4"/>
          <w:sz w:val="22"/>
          <w:szCs w:val="22"/>
        </w:rPr>
        <w:t>燕麦的脂肪含量为5%～9%,大部分脂类存在于胚乳</w:t>
      </w:r>
      <w:r>
        <w:rPr>
          <w:rFonts w:ascii="宋体" w:eastAsia="宋体" w:hAnsi="宋体" w:cs="宋体"/>
          <w:spacing w:val="3"/>
          <w:sz w:val="22"/>
          <w:szCs w:val="22"/>
        </w:rPr>
        <w:t>中而不是胚部。其中</w:t>
      </w:r>
      <w:r>
        <w:rPr>
          <w:rFonts w:ascii="宋体" w:eastAsia="宋体" w:hAnsi="宋体" w:cs="宋体"/>
          <w:sz w:val="22"/>
          <w:szCs w:val="22"/>
        </w:rPr>
        <w:t xml:space="preserve"> </w:t>
      </w:r>
      <w:r>
        <w:rPr>
          <w:rFonts w:ascii="宋体" w:eastAsia="宋体" w:hAnsi="宋体" w:cs="宋体"/>
          <w:spacing w:val="4"/>
          <w:sz w:val="22"/>
          <w:szCs w:val="22"/>
        </w:rPr>
        <w:t>富含不饱和脂肪酸，亚油酸含量为38%～46%</w:t>
      </w:r>
      <w:r>
        <w:rPr>
          <w:rFonts w:ascii="宋体" w:eastAsia="宋体" w:hAnsi="宋体" w:cs="宋体"/>
          <w:spacing w:val="3"/>
          <w:sz w:val="22"/>
          <w:szCs w:val="22"/>
        </w:rPr>
        <w:t>,油酸含量高于其他谷物脂肪。</w:t>
      </w:r>
      <w:r>
        <w:rPr>
          <w:rFonts w:ascii="宋体" w:eastAsia="宋体" w:hAnsi="宋体" w:cs="宋体"/>
          <w:sz w:val="22"/>
          <w:szCs w:val="22"/>
        </w:rPr>
        <w:t xml:space="preserve"> </w:t>
      </w:r>
      <w:r>
        <w:rPr>
          <w:rFonts w:ascii="宋体" w:eastAsia="宋体" w:hAnsi="宋体" w:cs="宋体"/>
          <w:spacing w:val="-16"/>
          <w:sz w:val="22"/>
          <w:szCs w:val="22"/>
        </w:rPr>
        <w:t>有益于心血管健康。</w:t>
      </w:r>
    </w:p>
    <w:p w:rsidR="00EA40A3" w:rsidRDefault="00E86C16">
      <w:pPr>
        <w:spacing w:before="58" w:line="241" w:lineRule="auto"/>
        <w:ind w:right="148" w:firstLine="430"/>
        <w:jc w:val="both"/>
        <w:rPr>
          <w:rFonts w:ascii="宋体" w:eastAsia="宋体" w:hAnsi="宋体" w:cs="宋体"/>
          <w:sz w:val="22"/>
          <w:szCs w:val="22"/>
        </w:rPr>
      </w:pPr>
      <w:r>
        <w:rPr>
          <w:rFonts w:ascii="宋体" w:eastAsia="宋体" w:hAnsi="宋体" w:cs="宋体"/>
          <w:spacing w:val="-6"/>
          <w:sz w:val="22"/>
          <w:szCs w:val="22"/>
        </w:rPr>
        <w:t>燕麦中的B</w:t>
      </w:r>
      <w:r>
        <w:rPr>
          <w:rFonts w:ascii="宋体" w:eastAsia="宋体" w:hAnsi="宋体" w:cs="宋体"/>
          <w:spacing w:val="-26"/>
          <w:sz w:val="22"/>
          <w:szCs w:val="22"/>
        </w:rPr>
        <w:t xml:space="preserve"> </w:t>
      </w:r>
      <w:r>
        <w:rPr>
          <w:rFonts w:ascii="宋体" w:eastAsia="宋体" w:hAnsi="宋体" w:cs="宋体"/>
          <w:spacing w:val="-6"/>
          <w:sz w:val="22"/>
          <w:szCs w:val="22"/>
        </w:rPr>
        <w:t>族维生素和维生素E</w:t>
      </w:r>
      <w:r>
        <w:rPr>
          <w:rFonts w:ascii="宋体" w:eastAsia="宋体" w:hAnsi="宋体" w:cs="宋体"/>
          <w:spacing w:val="-4"/>
          <w:sz w:val="22"/>
          <w:szCs w:val="22"/>
        </w:rPr>
        <w:t xml:space="preserve"> </w:t>
      </w:r>
      <w:r>
        <w:rPr>
          <w:rFonts w:ascii="宋体" w:eastAsia="宋体" w:hAnsi="宋体" w:cs="宋体"/>
          <w:spacing w:val="-6"/>
          <w:sz w:val="22"/>
          <w:szCs w:val="22"/>
        </w:rPr>
        <w:t>含量略高于其他谷类，矿物质含量显著高</w:t>
      </w:r>
      <w:r>
        <w:rPr>
          <w:rFonts w:ascii="宋体" w:eastAsia="宋体" w:hAnsi="宋体" w:cs="宋体"/>
          <w:sz w:val="22"/>
          <w:szCs w:val="22"/>
        </w:rPr>
        <w:t xml:space="preserve"> </w:t>
      </w:r>
      <w:r>
        <w:rPr>
          <w:rFonts w:ascii="宋体" w:eastAsia="宋体" w:hAnsi="宋体" w:cs="宋体"/>
          <w:spacing w:val="-13"/>
          <w:sz w:val="22"/>
          <w:szCs w:val="22"/>
        </w:rPr>
        <w:t>于其他谷物，特别是钙、铁、锌等。此外，其籽粒中还含有皂苷等有益健康的成</w:t>
      </w:r>
      <w:r>
        <w:rPr>
          <w:rFonts w:ascii="宋体" w:eastAsia="宋体" w:hAnsi="宋体" w:cs="宋体"/>
          <w:spacing w:val="3"/>
          <w:sz w:val="22"/>
          <w:szCs w:val="22"/>
        </w:rPr>
        <w:t xml:space="preserve"> </w:t>
      </w:r>
      <w:r>
        <w:rPr>
          <w:rFonts w:ascii="宋体" w:eastAsia="宋体" w:hAnsi="宋体" w:cs="宋体"/>
          <w:spacing w:val="-14"/>
          <w:sz w:val="22"/>
          <w:szCs w:val="22"/>
        </w:rPr>
        <w:t>分，对降低血胆固醇和甘油三酯具有一定作用。</w:t>
      </w:r>
    </w:p>
    <w:p w:rsidR="00EA40A3" w:rsidRDefault="00E86C16">
      <w:pPr>
        <w:spacing w:before="57" w:line="232" w:lineRule="auto"/>
        <w:ind w:right="118" w:firstLine="430"/>
        <w:jc w:val="both"/>
        <w:rPr>
          <w:rFonts w:ascii="宋体" w:eastAsia="宋体" w:hAnsi="宋体" w:cs="宋体"/>
          <w:sz w:val="22"/>
          <w:szCs w:val="22"/>
        </w:rPr>
      </w:pPr>
      <w:r>
        <w:rPr>
          <w:rFonts w:ascii="宋体" w:eastAsia="宋体" w:hAnsi="宋体" w:cs="宋体"/>
          <w:spacing w:val="-13"/>
          <w:sz w:val="22"/>
          <w:szCs w:val="22"/>
        </w:rPr>
        <w:t>莜麦也称为裸燕麦，营养价值与燕麦片相似。几种谷类的维生素和矿物质含</w:t>
      </w:r>
      <w:r>
        <w:rPr>
          <w:rFonts w:ascii="宋体" w:eastAsia="宋体" w:hAnsi="宋体" w:cs="宋体"/>
          <w:spacing w:val="17"/>
          <w:sz w:val="22"/>
          <w:szCs w:val="22"/>
        </w:rPr>
        <w:t xml:space="preserve"> </w:t>
      </w:r>
      <w:r>
        <w:rPr>
          <w:rFonts w:ascii="宋体" w:eastAsia="宋体" w:hAnsi="宋体" w:cs="宋体"/>
          <w:spacing w:val="-10"/>
          <w:sz w:val="22"/>
          <w:szCs w:val="22"/>
        </w:rPr>
        <w:t>量见表6-4。</w:t>
      </w:r>
    </w:p>
    <w:p w:rsidR="00EA40A3" w:rsidRDefault="00EA40A3">
      <w:pPr>
        <w:spacing w:line="278" w:lineRule="auto"/>
      </w:pPr>
    </w:p>
    <w:p w:rsidR="00EA40A3" w:rsidRDefault="00E86C16">
      <w:pPr>
        <w:spacing w:before="71" w:line="204" w:lineRule="auto"/>
        <w:ind w:left="2162"/>
        <w:rPr>
          <w:rFonts w:ascii="宋体" w:eastAsia="宋体" w:hAnsi="宋体" w:cs="宋体"/>
          <w:sz w:val="22"/>
          <w:szCs w:val="22"/>
        </w:rPr>
      </w:pPr>
      <w:r>
        <w:rPr>
          <w:rFonts w:ascii="黑体" w:eastAsia="黑体" w:hAnsi="黑体" w:cs="黑体"/>
          <w:b/>
          <w:bCs/>
          <w:spacing w:val="-5"/>
          <w:position w:val="1"/>
          <w:sz w:val="17"/>
          <w:szCs w:val="17"/>
        </w:rPr>
        <w:t>表6-4</w:t>
      </w:r>
      <w:r>
        <w:rPr>
          <w:rFonts w:ascii="黑体" w:eastAsia="黑体" w:hAnsi="黑体" w:cs="黑体"/>
          <w:spacing w:val="80"/>
          <w:position w:val="1"/>
          <w:sz w:val="17"/>
          <w:szCs w:val="17"/>
        </w:rPr>
        <w:t xml:space="preserve"> </w:t>
      </w:r>
      <w:r>
        <w:rPr>
          <w:rFonts w:ascii="黑体" w:eastAsia="黑体" w:hAnsi="黑体" w:cs="黑体"/>
          <w:b/>
          <w:bCs/>
          <w:spacing w:val="-5"/>
          <w:position w:val="1"/>
          <w:sz w:val="17"/>
          <w:szCs w:val="17"/>
        </w:rPr>
        <w:t>几种谷类的维生素和矿物质含量</w:t>
      </w:r>
      <w:r>
        <w:rPr>
          <w:rFonts w:ascii="黑体" w:eastAsia="黑体" w:hAnsi="黑体" w:cs="黑体"/>
          <w:spacing w:val="22"/>
          <w:position w:val="1"/>
          <w:sz w:val="17"/>
          <w:szCs w:val="17"/>
        </w:rPr>
        <w:t xml:space="preserve">   </w:t>
      </w:r>
      <w:r>
        <w:rPr>
          <w:rFonts w:ascii="宋体" w:eastAsia="宋体" w:hAnsi="宋体" w:cs="宋体"/>
          <w:spacing w:val="-5"/>
          <w:position w:val="-1"/>
          <w:sz w:val="22"/>
          <w:szCs w:val="22"/>
        </w:rPr>
        <w:t>(单位：</w:t>
      </w:r>
      <w:r>
        <w:rPr>
          <w:rFonts w:ascii="宋体" w:eastAsia="宋体" w:hAnsi="宋体" w:cs="宋体"/>
          <w:spacing w:val="-65"/>
          <w:position w:val="-1"/>
          <w:sz w:val="22"/>
          <w:szCs w:val="22"/>
        </w:rPr>
        <w:t xml:space="preserve"> </w:t>
      </w:r>
      <w:r>
        <w:rPr>
          <w:rFonts w:ascii="宋体" w:eastAsia="宋体" w:hAnsi="宋体" w:cs="宋体"/>
          <w:spacing w:val="-5"/>
          <w:position w:val="-1"/>
          <w:sz w:val="22"/>
          <w:szCs w:val="22"/>
        </w:rPr>
        <w:t>mg/100g)</w:t>
      </w:r>
    </w:p>
    <w:tbl>
      <w:tblPr>
        <w:tblStyle w:val="TableNormal"/>
        <w:tblW w:w="7329" w:type="dxa"/>
        <w:tblInd w:w="6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21"/>
        <w:gridCol w:w="1036"/>
        <w:gridCol w:w="1133"/>
        <w:gridCol w:w="921"/>
        <w:gridCol w:w="1001"/>
        <w:gridCol w:w="1019"/>
        <w:gridCol w:w="1098"/>
      </w:tblGrid>
      <w:tr w:rsidR="00EA40A3">
        <w:trPr>
          <w:trHeight w:val="293"/>
        </w:trPr>
        <w:tc>
          <w:tcPr>
            <w:tcW w:w="1121" w:type="dxa"/>
            <w:tcBorders>
              <w:top w:val="single" w:sz="4" w:space="0" w:color="000000"/>
              <w:bottom w:val="single" w:sz="4" w:space="0" w:color="000000"/>
            </w:tcBorders>
          </w:tcPr>
          <w:p w:rsidR="00EA40A3" w:rsidRDefault="00E86C16">
            <w:pPr>
              <w:spacing w:before="113" w:line="207" w:lineRule="auto"/>
              <w:ind w:left="410"/>
              <w:rPr>
                <w:rFonts w:ascii="宋体" w:eastAsia="宋体" w:hAnsi="宋体" w:cs="宋体"/>
                <w:sz w:val="16"/>
                <w:szCs w:val="16"/>
              </w:rPr>
            </w:pPr>
            <w:r>
              <w:rPr>
                <w:rFonts w:ascii="宋体" w:eastAsia="宋体" w:hAnsi="宋体" w:cs="宋体"/>
                <w:spacing w:val="-3"/>
                <w:sz w:val="16"/>
                <w:szCs w:val="16"/>
              </w:rPr>
              <w:t>名称</w:t>
            </w:r>
          </w:p>
        </w:tc>
        <w:tc>
          <w:tcPr>
            <w:tcW w:w="1036" w:type="dxa"/>
            <w:tcBorders>
              <w:top w:val="single" w:sz="4" w:space="0" w:color="000000"/>
              <w:bottom w:val="single" w:sz="4" w:space="0" w:color="000000"/>
            </w:tcBorders>
          </w:tcPr>
          <w:p w:rsidR="00EA40A3" w:rsidRDefault="00E86C16">
            <w:pPr>
              <w:spacing w:before="110" w:line="210" w:lineRule="auto"/>
              <w:ind w:left="168"/>
              <w:rPr>
                <w:rFonts w:ascii="Calibri" w:eastAsia="Calibri" w:hAnsi="Calibri" w:cs="Calibri"/>
                <w:sz w:val="16"/>
                <w:szCs w:val="16"/>
              </w:rPr>
            </w:pPr>
            <w:r>
              <w:rPr>
                <w:rFonts w:ascii="宋体" w:eastAsia="宋体" w:hAnsi="宋体" w:cs="宋体"/>
                <w:spacing w:val="19"/>
                <w:sz w:val="16"/>
                <w:szCs w:val="16"/>
              </w:rPr>
              <w:t>维生素B</w:t>
            </w:r>
            <w:r>
              <w:rPr>
                <w:rFonts w:ascii="Calibri" w:eastAsia="Calibri" w:hAnsi="Calibri" w:cs="Calibri"/>
                <w:spacing w:val="19"/>
                <w:sz w:val="16"/>
                <w:szCs w:val="16"/>
              </w:rPr>
              <w:t>₁</w:t>
            </w:r>
          </w:p>
        </w:tc>
        <w:tc>
          <w:tcPr>
            <w:tcW w:w="1133" w:type="dxa"/>
            <w:tcBorders>
              <w:top w:val="single" w:sz="4" w:space="0" w:color="000000"/>
              <w:bottom w:val="single" w:sz="4" w:space="0" w:color="000000"/>
            </w:tcBorders>
          </w:tcPr>
          <w:p w:rsidR="00EA40A3" w:rsidRDefault="00E86C16">
            <w:pPr>
              <w:spacing w:before="110" w:line="210" w:lineRule="auto"/>
              <w:ind w:left="183"/>
              <w:rPr>
                <w:rFonts w:ascii="宋体" w:eastAsia="宋体" w:hAnsi="宋体" w:cs="宋体"/>
                <w:sz w:val="16"/>
                <w:szCs w:val="16"/>
              </w:rPr>
            </w:pPr>
            <w:r>
              <w:rPr>
                <w:rFonts w:ascii="宋体" w:eastAsia="宋体" w:hAnsi="宋体" w:cs="宋体"/>
                <w:spacing w:val="-2"/>
                <w:sz w:val="16"/>
                <w:szCs w:val="16"/>
              </w:rPr>
              <w:t>维生素B2</w:t>
            </w:r>
          </w:p>
        </w:tc>
        <w:tc>
          <w:tcPr>
            <w:tcW w:w="921" w:type="dxa"/>
            <w:tcBorders>
              <w:top w:val="single" w:sz="4" w:space="0" w:color="000000"/>
              <w:bottom w:val="single" w:sz="4" w:space="0" w:color="000000"/>
            </w:tcBorders>
          </w:tcPr>
          <w:p w:rsidR="00EA40A3" w:rsidRDefault="00E86C16">
            <w:pPr>
              <w:spacing w:before="93" w:line="221" w:lineRule="auto"/>
              <w:ind w:left="329"/>
              <w:rPr>
                <w:rFonts w:ascii="宋体" w:eastAsia="宋体" w:hAnsi="宋体" w:cs="宋体"/>
                <w:sz w:val="16"/>
                <w:szCs w:val="16"/>
              </w:rPr>
            </w:pPr>
            <w:r>
              <w:rPr>
                <w:rFonts w:ascii="宋体" w:eastAsia="宋体" w:hAnsi="宋体" w:cs="宋体"/>
                <w:sz w:val="16"/>
                <w:szCs w:val="16"/>
              </w:rPr>
              <w:t>钙</w:t>
            </w:r>
          </w:p>
        </w:tc>
        <w:tc>
          <w:tcPr>
            <w:tcW w:w="1001" w:type="dxa"/>
            <w:tcBorders>
              <w:top w:val="single" w:sz="4" w:space="0" w:color="000000"/>
              <w:bottom w:val="single" w:sz="4" w:space="0" w:color="000000"/>
            </w:tcBorders>
          </w:tcPr>
          <w:p w:rsidR="00EA40A3" w:rsidRDefault="00E86C16">
            <w:pPr>
              <w:spacing w:before="122" w:line="197" w:lineRule="auto"/>
              <w:ind w:left="419"/>
              <w:rPr>
                <w:rFonts w:ascii="宋体" w:eastAsia="宋体" w:hAnsi="宋体" w:cs="宋体"/>
                <w:sz w:val="16"/>
                <w:szCs w:val="16"/>
              </w:rPr>
            </w:pPr>
            <w:r>
              <w:rPr>
                <w:rFonts w:ascii="宋体" w:eastAsia="宋体" w:hAnsi="宋体" w:cs="宋体"/>
                <w:sz w:val="16"/>
                <w:szCs w:val="16"/>
              </w:rPr>
              <w:t>钾</w:t>
            </w:r>
          </w:p>
        </w:tc>
        <w:tc>
          <w:tcPr>
            <w:tcW w:w="1019" w:type="dxa"/>
            <w:tcBorders>
              <w:top w:val="single" w:sz="4" w:space="0" w:color="000000"/>
              <w:bottom w:val="single" w:sz="4" w:space="0" w:color="000000"/>
            </w:tcBorders>
          </w:tcPr>
          <w:p w:rsidR="00EA40A3" w:rsidRDefault="00E86C16">
            <w:pPr>
              <w:spacing w:before="112" w:line="208" w:lineRule="auto"/>
              <w:ind w:left="438"/>
              <w:rPr>
                <w:rFonts w:ascii="宋体" w:eastAsia="宋体" w:hAnsi="宋体" w:cs="宋体"/>
                <w:sz w:val="16"/>
                <w:szCs w:val="16"/>
              </w:rPr>
            </w:pPr>
            <w:r>
              <w:rPr>
                <w:rFonts w:ascii="宋体" w:eastAsia="宋体" w:hAnsi="宋体" w:cs="宋体"/>
                <w:sz w:val="16"/>
                <w:szCs w:val="16"/>
              </w:rPr>
              <w:t>铁</w:t>
            </w:r>
          </w:p>
        </w:tc>
        <w:tc>
          <w:tcPr>
            <w:tcW w:w="1098" w:type="dxa"/>
            <w:tcBorders>
              <w:top w:val="single" w:sz="4" w:space="0" w:color="000000"/>
              <w:bottom w:val="single" w:sz="4" w:space="0" w:color="000000"/>
            </w:tcBorders>
          </w:tcPr>
          <w:p w:rsidR="00EA40A3" w:rsidRDefault="00E86C16">
            <w:pPr>
              <w:spacing w:before="102" w:line="220" w:lineRule="auto"/>
              <w:ind w:left="479"/>
              <w:rPr>
                <w:rFonts w:ascii="宋体" w:eastAsia="宋体" w:hAnsi="宋体" w:cs="宋体"/>
                <w:sz w:val="16"/>
                <w:szCs w:val="16"/>
              </w:rPr>
            </w:pPr>
            <w:r>
              <w:rPr>
                <w:rFonts w:ascii="宋体" w:eastAsia="宋体" w:hAnsi="宋体" w:cs="宋体"/>
                <w:sz w:val="16"/>
                <w:szCs w:val="16"/>
              </w:rPr>
              <w:t>锌</w:t>
            </w:r>
          </w:p>
        </w:tc>
      </w:tr>
      <w:tr w:rsidR="00EA40A3">
        <w:trPr>
          <w:trHeight w:val="302"/>
        </w:trPr>
        <w:tc>
          <w:tcPr>
            <w:tcW w:w="1121" w:type="dxa"/>
            <w:tcBorders>
              <w:top w:val="single" w:sz="4" w:space="0" w:color="000000"/>
            </w:tcBorders>
          </w:tcPr>
          <w:p w:rsidR="00EA40A3" w:rsidRDefault="00E86C16">
            <w:pPr>
              <w:spacing w:before="107" w:line="219" w:lineRule="auto"/>
              <w:ind w:left="170"/>
              <w:rPr>
                <w:rFonts w:ascii="宋体" w:eastAsia="宋体" w:hAnsi="宋体" w:cs="宋体"/>
                <w:sz w:val="16"/>
                <w:szCs w:val="16"/>
              </w:rPr>
            </w:pPr>
            <w:r>
              <w:rPr>
                <w:rFonts w:ascii="宋体" w:eastAsia="宋体" w:hAnsi="宋体" w:cs="宋体"/>
                <w:spacing w:val="-2"/>
                <w:sz w:val="16"/>
                <w:szCs w:val="16"/>
              </w:rPr>
              <w:t>小麦富强粉</w:t>
            </w:r>
          </w:p>
        </w:tc>
        <w:tc>
          <w:tcPr>
            <w:tcW w:w="1036" w:type="dxa"/>
            <w:tcBorders>
              <w:top w:val="single" w:sz="4" w:space="0" w:color="000000"/>
            </w:tcBorders>
          </w:tcPr>
          <w:p w:rsidR="00EA40A3" w:rsidRDefault="00E86C16">
            <w:pPr>
              <w:spacing w:before="129" w:line="183" w:lineRule="auto"/>
              <w:ind w:left="368"/>
              <w:rPr>
                <w:rFonts w:ascii="宋体" w:eastAsia="宋体" w:hAnsi="宋体" w:cs="宋体"/>
                <w:sz w:val="16"/>
                <w:szCs w:val="16"/>
              </w:rPr>
            </w:pPr>
            <w:r>
              <w:rPr>
                <w:rFonts w:ascii="宋体" w:eastAsia="宋体" w:hAnsi="宋体" w:cs="宋体"/>
                <w:spacing w:val="-2"/>
                <w:sz w:val="16"/>
                <w:szCs w:val="16"/>
              </w:rPr>
              <w:t>0.20</w:t>
            </w:r>
          </w:p>
        </w:tc>
        <w:tc>
          <w:tcPr>
            <w:tcW w:w="1133" w:type="dxa"/>
            <w:tcBorders>
              <w:top w:val="single" w:sz="4" w:space="0" w:color="000000"/>
            </w:tcBorders>
          </w:tcPr>
          <w:p w:rsidR="00EA40A3" w:rsidRDefault="00E86C16">
            <w:pPr>
              <w:spacing w:before="150" w:line="175" w:lineRule="auto"/>
              <w:ind w:left="352"/>
              <w:rPr>
                <w:rFonts w:ascii="宋体" w:eastAsia="宋体" w:hAnsi="宋体" w:cs="宋体"/>
                <w:sz w:val="16"/>
                <w:szCs w:val="16"/>
              </w:rPr>
            </w:pPr>
            <w:r>
              <w:rPr>
                <w:rFonts w:ascii="宋体" w:eastAsia="宋体" w:hAnsi="宋体" w:cs="宋体"/>
                <w:spacing w:val="-2"/>
                <w:sz w:val="16"/>
                <w:szCs w:val="16"/>
              </w:rPr>
              <w:t>0.04</w:t>
            </w:r>
          </w:p>
        </w:tc>
        <w:tc>
          <w:tcPr>
            <w:tcW w:w="921" w:type="dxa"/>
            <w:tcBorders>
              <w:top w:val="single" w:sz="4" w:space="0" w:color="000000"/>
            </w:tcBorders>
          </w:tcPr>
          <w:p w:rsidR="00EA40A3" w:rsidRDefault="00E86C16">
            <w:pPr>
              <w:spacing w:before="129" w:line="183" w:lineRule="auto"/>
              <w:ind w:left="329"/>
              <w:rPr>
                <w:rFonts w:ascii="宋体" w:eastAsia="宋体" w:hAnsi="宋体" w:cs="宋体"/>
                <w:sz w:val="16"/>
                <w:szCs w:val="16"/>
              </w:rPr>
            </w:pPr>
            <w:r>
              <w:rPr>
                <w:rFonts w:ascii="宋体" w:eastAsia="宋体" w:hAnsi="宋体" w:cs="宋体"/>
                <w:spacing w:val="-3"/>
                <w:sz w:val="16"/>
                <w:szCs w:val="16"/>
              </w:rPr>
              <w:t>27</w:t>
            </w:r>
          </w:p>
        </w:tc>
        <w:tc>
          <w:tcPr>
            <w:tcW w:w="1001" w:type="dxa"/>
            <w:tcBorders>
              <w:top w:val="single" w:sz="4" w:space="0" w:color="000000"/>
            </w:tcBorders>
          </w:tcPr>
          <w:p w:rsidR="00EA40A3" w:rsidRDefault="00E86C16">
            <w:pPr>
              <w:spacing w:before="139" w:line="184" w:lineRule="auto"/>
              <w:ind w:left="378"/>
              <w:rPr>
                <w:rFonts w:ascii="宋体" w:eastAsia="宋体" w:hAnsi="宋体" w:cs="宋体"/>
                <w:sz w:val="16"/>
                <w:szCs w:val="16"/>
              </w:rPr>
            </w:pPr>
            <w:r>
              <w:rPr>
                <w:rFonts w:ascii="宋体" w:eastAsia="宋体" w:hAnsi="宋体" w:cs="宋体"/>
                <w:spacing w:val="-5"/>
                <w:sz w:val="16"/>
                <w:szCs w:val="16"/>
              </w:rPr>
              <w:t>128</w:t>
            </w:r>
          </w:p>
        </w:tc>
        <w:tc>
          <w:tcPr>
            <w:tcW w:w="1019" w:type="dxa"/>
            <w:tcBorders>
              <w:top w:val="single" w:sz="4" w:space="0" w:color="000000"/>
            </w:tcBorders>
          </w:tcPr>
          <w:p w:rsidR="00EA40A3" w:rsidRDefault="00E86C16">
            <w:pPr>
              <w:spacing w:before="129" w:line="183" w:lineRule="auto"/>
              <w:ind w:left="398"/>
              <w:rPr>
                <w:rFonts w:ascii="宋体" w:eastAsia="宋体" w:hAnsi="宋体" w:cs="宋体"/>
                <w:sz w:val="16"/>
                <w:szCs w:val="16"/>
              </w:rPr>
            </w:pPr>
            <w:r>
              <w:rPr>
                <w:rFonts w:ascii="宋体" w:eastAsia="宋体" w:hAnsi="宋体" w:cs="宋体"/>
                <w:spacing w:val="-2"/>
                <w:sz w:val="16"/>
                <w:szCs w:val="16"/>
              </w:rPr>
              <w:t>2.7</w:t>
            </w:r>
          </w:p>
        </w:tc>
        <w:tc>
          <w:tcPr>
            <w:tcW w:w="1098" w:type="dxa"/>
            <w:tcBorders>
              <w:top w:val="single" w:sz="4" w:space="0" w:color="000000"/>
            </w:tcBorders>
          </w:tcPr>
          <w:p w:rsidR="00EA40A3" w:rsidRDefault="00E86C16">
            <w:pPr>
              <w:spacing w:before="139" w:line="183" w:lineRule="auto"/>
              <w:ind w:left="399"/>
              <w:rPr>
                <w:rFonts w:ascii="宋体" w:eastAsia="宋体" w:hAnsi="宋体" w:cs="宋体"/>
                <w:sz w:val="16"/>
                <w:szCs w:val="16"/>
              </w:rPr>
            </w:pPr>
            <w:r>
              <w:rPr>
                <w:rFonts w:ascii="宋体" w:eastAsia="宋体" w:hAnsi="宋体" w:cs="宋体"/>
                <w:spacing w:val="-2"/>
                <w:sz w:val="16"/>
                <w:szCs w:val="16"/>
              </w:rPr>
              <w:t>0.97</w:t>
            </w:r>
          </w:p>
        </w:tc>
      </w:tr>
      <w:tr w:rsidR="00EA40A3">
        <w:trPr>
          <w:trHeight w:val="279"/>
        </w:trPr>
        <w:tc>
          <w:tcPr>
            <w:tcW w:w="1121" w:type="dxa"/>
          </w:tcPr>
          <w:p w:rsidR="00EA40A3" w:rsidRDefault="00E86C16">
            <w:pPr>
              <w:spacing w:before="44" w:line="217" w:lineRule="auto"/>
              <w:ind w:left="249"/>
              <w:rPr>
                <w:rFonts w:ascii="宋体" w:eastAsia="宋体" w:hAnsi="宋体" w:cs="宋体"/>
                <w:sz w:val="16"/>
                <w:szCs w:val="16"/>
              </w:rPr>
            </w:pPr>
            <w:r>
              <w:rPr>
                <w:rFonts w:ascii="宋体" w:eastAsia="宋体" w:hAnsi="宋体" w:cs="宋体"/>
                <w:spacing w:val="-2"/>
                <w:sz w:val="16"/>
                <w:szCs w:val="16"/>
              </w:rPr>
              <w:t>特等粳米</w:t>
            </w:r>
          </w:p>
        </w:tc>
        <w:tc>
          <w:tcPr>
            <w:tcW w:w="1036" w:type="dxa"/>
          </w:tcPr>
          <w:p w:rsidR="00EA40A3" w:rsidRDefault="00E86C16">
            <w:pPr>
              <w:spacing w:before="128" w:line="174" w:lineRule="auto"/>
              <w:ind w:left="368"/>
              <w:rPr>
                <w:rFonts w:ascii="宋体" w:eastAsia="宋体" w:hAnsi="宋体" w:cs="宋体"/>
                <w:sz w:val="16"/>
                <w:szCs w:val="16"/>
              </w:rPr>
            </w:pPr>
            <w:r>
              <w:rPr>
                <w:rFonts w:ascii="宋体" w:eastAsia="宋体" w:hAnsi="宋体" w:cs="宋体"/>
                <w:spacing w:val="-2"/>
                <w:sz w:val="16"/>
                <w:szCs w:val="16"/>
              </w:rPr>
              <w:t>0.08</w:t>
            </w:r>
          </w:p>
        </w:tc>
        <w:tc>
          <w:tcPr>
            <w:tcW w:w="1133" w:type="dxa"/>
          </w:tcPr>
          <w:p w:rsidR="00EA40A3" w:rsidRDefault="00E86C16">
            <w:pPr>
              <w:spacing w:before="128" w:line="174" w:lineRule="auto"/>
              <w:ind w:left="352"/>
              <w:rPr>
                <w:rFonts w:ascii="宋体" w:eastAsia="宋体" w:hAnsi="宋体" w:cs="宋体"/>
                <w:sz w:val="16"/>
                <w:szCs w:val="16"/>
              </w:rPr>
            </w:pPr>
            <w:r>
              <w:rPr>
                <w:rFonts w:ascii="宋体" w:eastAsia="宋体" w:hAnsi="宋体" w:cs="宋体"/>
                <w:spacing w:val="-2"/>
                <w:sz w:val="16"/>
                <w:szCs w:val="16"/>
              </w:rPr>
              <w:t>0.04</w:t>
            </w:r>
          </w:p>
        </w:tc>
        <w:tc>
          <w:tcPr>
            <w:tcW w:w="921" w:type="dxa"/>
          </w:tcPr>
          <w:p w:rsidR="00EA40A3" w:rsidRDefault="00E86C16">
            <w:pPr>
              <w:spacing w:before="107" w:line="183" w:lineRule="auto"/>
              <w:ind w:left="329"/>
              <w:rPr>
                <w:rFonts w:ascii="宋体" w:eastAsia="宋体" w:hAnsi="宋体" w:cs="宋体"/>
                <w:sz w:val="16"/>
                <w:szCs w:val="16"/>
              </w:rPr>
            </w:pPr>
            <w:r>
              <w:rPr>
                <w:rFonts w:ascii="宋体" w:eastAsia="宋体" w:hAnsi="宋体" w:cs="宋体"/>
                <w:spacing w:val="-3"/>
                <w:sz w:val="16"/>
                <w:szCs w:val="16"/>
              </w:rPr>
              <w:t>24</w:t>
            </w:r>
          </w:p>
        </w:tc>
        <w:tc>
          <w:tcPr>
            <w:tcW w:w="1001" w:type="dxa"/>
          </w:tcPr>
          <w:p w:rsidR="00EA40A3" w:rsidRDefault="00E86C16">
            <w:pPr>
              <w:spacing w:before="97" w:line="183" w:lineRule="auto"/>
              <w:ind w:left="419"/>
              <w:rPr>
                <w:rFonts w:ascii="宋体" w:eastAsia="宋体" w:hAnsi="宋体" w:cs="宋体"/>
                <w:sz w:val="16"/>
                <w:szCs w:val="16"/>
              </w:rPr>
            </w:pPr>
            <w:r>
              <w:rPr>
                <w:rFonts w:ascii="宋体" w:eastAsia="宋体" w:hAnsi="宋体" w:cs="宋体"/>
                <w:spacing w:val="-3"/>
                <w:sz w:val="16"/>
                <w:szCs w:val="16"/>
              </w:rPr>
              <w:t>58</w:t>
            </w:r>
          </w:p>
        </w:tc>
        <w:tc>
          <w:tcPr>
            <w:tcW w:w="1019" w:type="dxa"/>
          </w:tcPr>
          <w:p w:rsidR="00EA40A3" w:rsidRDefault="00E86C16">
            <w:pPr>
              <w:spacing w:before="107" w:line="183" w:lineRule="auto"/>
              <w:ind w:left="398"/>
              <w:rPr>
                <w:rFonts w:ascii="宋体" w:eastAsia="宋体" w:hAnsi="宋体" w:cs="宋体"/>
                <w:sz w:val="16"/>
                <w:szCs w:val="16"/>
              </w:rPr>
            </w:pPr>
            <w:r>
              <w:rPr>
                <w:rFonts w:ascii="宋体" w:eastAsia="宋体" w:hAnsi="宋体" w:cs="宋体"/>
                <w:spacing w:val="-2"/>
                <w:sz w:val="16"/>
                <w:szCs w:val="16"/>
              </w:rPr>
              <w:t>0.9</w:t>
            </w:r>
          </w:p>
        </w:tc>
        <w:tc>
          <w:tcPr>
            <w:tcW w:w="1098" w:type="dxa"/>
          </w:tcPr>
          <w:p w:rsidR="00EA40A3" w:rsidRDefault="00E86C16">
            <w:pPr>
              <w:spacing w:before="107" w:line="184" w:lineRule="auto"/>
              <w:ind w:left="399"/>
              <w:rPr>
                <w:rFonts w:ascii="宋体" w:eastAsia="宋体" w:hAnsi="宋体" w:cs="宋体"/>
                <w:sz w:val="16"/>
                <w:szCs w:val="16"/>
              </w:rPr>
            </w:pPr>
            <w:r>
              <w:rPr>
                <w:rFonts w:ascii="宋体" w:eastAsia="宋体" w:hAnsi="宋体" w:cs="宋体"/>
                <w:spacing w:val="-4"/>
                <w:sz w:val="16"/>
                <w:szCs w:val="16"/>
              </w:rPr>
              <w:t>1.07</w:t>
            </w:r>
          </w:p>
        </w:tc>
      </w:tr>
      <w:tr w:rsidR="00EA40A3">
        <w:trPr>
          <w:trHeight w:val="259"/>
        </w:trPr>
        <w:tc>
          <w:tcPr>
            <w:tcW w:w="1121" w:type="dxa"/>
          </w:tcPr>
          <w:p w:rsidR="00EA40A3" w:rsidRDefault="00E86C16">
            <w:pPr>
              <w:spacing w:before="47" w:line="219" w:lineRule="auto"/>
              <w:ind w:left="249"/>
              <w:rPr>
                <w:rFonts w:ascii="宋体" w:eastAsia="宋体" w:hAnsi="宋体" w:cs="宋体"/>
                <w:sz w:val="16"/>
                <w:szCs w:val="16"/>
              </w:rPr>
            </w:pPr>
            <w:r>
              <w:rPr>
                <w:rFonts w:ascii="宋体" w:eastAsia="宋体" w:hAnsi="宋体" w:cs="宋体"/>
                <w:spacing w:val="-2"/>
                <w:sz w:val="16"/>
                <w:szCs w:val="16"/>
              </w:rPr>
              <w:t>黄玉米面</w:t>
            </w:r>
          </w:p>
        </w:tc>
        <w:tc>
          <w:tcPr>
            <w:tcW w:w="1036" w:type="dxa"/>
          </w:tcPr>
          <w:p w:rsidR="00EA40A3" w:rsidRDefault="00E86C16">
            <w:pPr>
              <w:spacing w:before="88" w:line="183" w:lineRule="auto"/>
              <w:ind w:left="368"/>
              <w:rPr>
                <w:rFonts w:ascii="宋体" w:eastAsia="宋体" w:hAnsi="宋体" w:cs="宋体"/>
                <w:sz w:val="16"/>
                <w:szCs w:val="16"/>
              </w:rPr>
            </w:pPr>
            <w:r>
              <w:rPr>
                <w:rFonts w:ascii="宋体" w:eastAsia="宋体" w:hAnsi="宋体" w:cs="宋体"/>
                <w:spacing w:val="-2"/>
                <w:sz w:val="16"/>
                <w:szCs w:val="16"/>
              </w:rPr>
              <w:t>0.26</w:t>
            </w:r>
          </w:p>
        </w:tc>
        <w:tc>
          <w:tcPr>
            <w:tcW w:w="1133" w:type="dxa"/>
          </w:tcPr>
          <w:p w:rsidR="00EA40A3" w:rsidRDefault="00E86C16">
            <w:pPr>
              <w:spacing w:before="88" w:line="183" w:lineRule="auto"/>
              <w:ind w:left="352"/>
              <w:rPr>
                <w:rFonts w:ascii="宋体" w:eastAsia="宋体" w:hAnsi="宋体" w:cs="宋体"/>
                <w:sz w:val="16"/>
                <w:szCs w:val="16"/>
              </w:rPr>
            </w:pPr>
            <w:r>
              <w:rPr>
                <w:rFonts w:ascii="宋体" w:eastAsia="宋体" w:hAnsi="宋体" w:cs="宋体"/>
                <w:spacing w:val="-2"/>
                <w:sz w:val="16"/>
                <w:szCs w:val="16"/>
              </w:rPr>
              <w:t>0.09</w:t>
            </w:r>
          </w:p>
        </w:tc>
        <w:tc>
          <w:tcPr>
            <w:tcW w:w="921" w:type="dxa"/>
          </w:tcPr>
          <w:p w:rsidR="00EA40A3" w:rsidRDefault="00E86C16">
            <w:pPr>
              <w:spacing w:before="88" w:line="183" w:lineRule="auto"/>
              <w:ind w:left="329"/>
              <w:rPr>
                <w:rFonts w:ascii="宋体" w:eastAsia="宋体" w:hAnsi="宋体" w:cs="宋体"/>
                <w:sz w:val="16"/>
                <w:szCs w:val="16"/>
              </w:rPr>
            </w:pPr>
            <w:r>
              <w:rPr>
                <w:rFonts w:ascii="宋体" w:eastAsia="宋体" w:hAnsi="宋体" w:cs="宋体"/>
                <w:spacing w:val="-3"/>
                <w:sz w:val="16"/>
                <w:szCs w:val="16"/>
              </w:rPr>
              <w:t>22</w:t>
            </w:r>
          </w:p>
        </w:tc>
        <w:tc>
          <w:tcPr>
            <w:tcW w:w="1001" w:type="dxa"/>
          </w:tcPr>
          <w:p w:rsidR="00EA40A3" w:rsidRDefault="00E86C16">
            <w:pPr>
              <w:spacing w:before="88" w:line="183" w:lineRule="auto"/>
              <w:ind w:left="378"/>
              <w:rPr>
                <w:rFonts w:ascii="宋体" w:eastAsia="宋体" w:hAnsi="宋体" w:cs="宋体"/>
                <w:sz w:val="16"/>
                <w:szCs w:val="16"/>
              </w:rPr>
            </w:pPr>
            <w:r>
              <w:rPr>
                <w:rFonts w:ascii="宋体" w:eastAsia="宋体" w:hAnsi="宋体" w:cs="宋体"/>
                <w:spacing w:val="-2"/>
                <w:sz w:val="16"/>
                <w:szCs w:val="16"/>
              </w:rPr>
              <w:t>249</w:t>
            </w:r>
          </w:p>
        </w:tc>
        <w:tc>
          <w:tcPr>
            <w:tcW w:w="1019" w:type="dxa"/>
          </w:tcPr>
          <w:p w:rsidR="00EA40A3" w:rsidRDefault="00E86C16">
            <w:pPr>
              <w:spacing w:before="88" w:line="183" w:lineRule="auto"/>
              <w:ind w:left="398"/>
              <w:rPr>
                <w:rFonts w:ascii="宋体" w:eastAsia="宋体" w:hAnsi="宋体" w:cs="宋体"/>
                <w:sz w:val="16"/>
                <w:szCs w:val="16"/>
              </w:rPr>
            </w:pPr>
            <w:r>
              <w:rPr>
                <w:rFonts w:ascii="宋体" w:eastAsia="宋体" w:hAnsi="宋体" w:cs="宋体"/>
                <w:spacing w:val="-3"/>
                <w:sz w:val="16"/>
                <w:szCs w:val="16"/>
              </w:rPr>
              <w:t>3.2</w:t>
            </w:r>
          </w:p>
        </w:tc>
        <w:tc>
          <w:tcPr>
            <w:tcW w:w="1098" w:type="dxa"/>
          </w:tcPr>
          <w:p w:rsidR="00EA40A3" w:rsidRDefault="00E86C16">
            <w:pPr>
              <w:spacing w:before="88" w:line="184" w:lineRule="auto"/>
              <w:ind w:left="399"/>
              <w:rPr>
                <w:rFonts w:ascii="宋体" w:eastAsia="宋体" w:hAnsi="宋体" w:cs="宋体"/>
                <w:sz w:val="16"/>
                <w:szCs w:val="16"/>
              </w:rPr>
            </w:pPr>
            <w:r>
              <w:rPr>
                <w:rFonts w:ascii="宋体" w:eastAsia="宋体" w:hAnsi="宋体" w:cs="宋体"/>
                <w:spacing w:val="-4"/>
                <w:sz w:val="16"/>
                <w:szCs w:val="16"/>
              </w:rPr>
              <w:t>1.42</w:t>
            </w:r>
          </w:p>
        </w:tc>
      </w:tr>
      <w:tr w:rsidR="00EA40A3">
        <w:trPr>
          <w:trHeight w:val="293"/>
        </w:trPr>
        <w:tc>
          <w:tcPr>
            <w:tcW w:w="1121" w:type="dxa"/>
          </w:tcPr>
          <w:p w:rsidR="00EA40A3" w:rsidRDefault="00E86C16">
            <w:pPr>
              <w:spacing w:before="68" w:line="219" w:lineRule="auto"/>
              <w:ind w:left="410"/>
              <w:rPr>
                <w:rFonts w:ascii="宋体" w:eastAsia="宋体" w:hAnsi="宋体" w:cs="宋体"/>
                <w:sz w:val="16"/>
                <w:szCs w:val="16"/>
              </w:rPr>
            </w:pPr>
            <w:r>
              <w:rPr>
                <w:rFonts w:ascii="宋体" w:eastAsia="宋体" w:hAnsi="宋体" w:cs="宋体"/>
                <w:spacing w:val="-3"/>
                <w:sz w:val="16"/>
                <w:szCs w:val="16"/>
              </w:rPr>
              <w:t>小米</w:t>
            </w:r>
          </w:p>
        </w:tc>
        <w:tc>
          <w:tcPr>
            <w:tcW w:w="1036" w:type="dxa"/>
          </w:tcPr>
          <w:p w:rsidR="00EA40A3" w:rsidRDefault="00E86C16">
            <w:pPr>
              <w:spacing w:before="139" w:line="177" w:lineRule="auto"/>
              <w:ind w:left="368"/>
              <w:rPr>
                <w:rFonts w:ascii="宋体" w:eastAsia="宋体" w:hAnsi="宋体" w:cs="宋体"/>
                <w:sz w:val="16"/>
                <w:szCs w:val="16"/>
              </w:rPr>
            </w:pPr>
            <w:r>
              <w:rPr>
                <w:rFonts w:ascii="宋体" w:eastAsia="宋体" w:hAnsi="宋体" w:cs="宋体"/>
                <w:spacing w:val="-2"/>
                <w:sz w:val="16"/>
                <w:szCs w:val="16"/>
              </w:rPr>
              <w:t>0.33</w:t>
            </w:r>
          </w:p>
        </w:tc>
        <w:tc>
          <w:tcPr>
            <w:tcW w:w="1133" w:type="dxa"/>
          </w:tcPr>
          <w:p w:rsidR="00EA40A3" w:rsidRDefault="00E86C16">
            <w:pPr>
              <w:spacing w:before="128" w:line="184" w:lineRule="auto"/>
              <w:ind w:left="352"/>
              <w:rPr>
                <w:rFonts w:ascii="宋体" w:eastAsia="宋体" w:hAnsi="宋体" w:cs="宋体"/>
                <w:sz w:val="16"/>
                <w:szCs w:val="16"/>
              </w:rPr>
            </w:pPr>
            <w:r>
              <w:rPr>
                <w:rFonts w:ascii="宋体" w:eastAsia="宋体" w:hAnsi="宋体" w:cs="宋体"/>
                <w:spacing w:val="-2"/>
                <w:sz w:val="16"/>
                <w:szCs w:val="16"/>
              </w:rPr>
              <w:t>0.10</w:t>
            </w:r>
          </w:p>
        </w:tc>
        <w:tc>
          <w:tcPr>
            <w:tcW w:w="921" w:type="dxa"/>
          </w:tcPr>
          <w:p w:rsidR="00EA40A3" w:rsidRDefault="00E86C16">
            <w:pPr>
              <w:spacing w:before="109" w:line="184" w:lineRule="auto"/>
              <w:ind w:left="329"/>
              <w:rPr>
                <w:rFonts w:ascii="宋体" w:eastAsia="宋体" w:hAnsi="宋体" w:cs="宋体"/>
                <w:sz w:val="16"/>
                <w:szCs w:val="16"/>
              </w:rPr>
            </w:pPr>
            <w:r>
              <w:rPr>
                <w:rFonts w:ascii="宋体" w:eastAsia="宋体" w:hAnsi="宋体" w:cs="宋体"/>
                <w:spacing w:val="-2"/>
                <w:sz w:val="16"/>
                <w:szCs w:val="16"/>
              </w:rPr>
              <w:t>41</w:t>
            </w:r>
          </w:p>
        </w:tc>
        <w:tc>
          <w:tcPr>
            <w:tcW w:w="1001" w:type="dxa"/>
          </w:tcPr>
          <w:p w:rsidR="00EA40A3" w:rsidRDefault="00E86C16">
            <w:pPr>
              <w:spacing w:before="109" w:line="183" w:lineRule="auto"/>
              <w:ind w:left="378"/>
              <w:rPr>
                <w:rFonts w:ascii="宋体" w:eastAsia="宋体" w:hAnsi="宋体" w:cs="宋体"/>
                <w:sz w:val="16"/>
                <w:szCs w:val="16"/>
              </w:rPr>
            </w:pPr>
            <w:r>
              <w:rPr>
                <w:rFonts w:ascii="宋体" w:eastAsia="宋体" w:hAnsi="宋体" w:cs="宋体"/>
                <w:spacing w:val="-2"/>
                <w:sz w:val="16"/>
                <w:szCs w:val="16"/>
              </w:rPr>
              <w:t>284</w:t>
            </w:r>
          </w:p>
        </w:tc>
        <w:tc>
          <w:tcPr>
            <w:tcW w:w="1019" w:type="dxa"/>
          </w:tcPr>
          <w:p w:rsidR="00EA40A3" w:rsidRDefault="00E86C16">
            <w:pPr>
              <w:spacing w:before="89" w:line="184" w:lineRule="auto"/>
              <w:ind w:left="398"/>
              <w:rPr>
                <w:rFonts w:ascii="宋体" w:eastAsia="宋体" w:hAnsi="宋体" w:cs="宋体"/>
                <w:sz w:val="16"/>
                <w:szCs w:val="16"/>
              </w:rPr>
            </w:pPr>
            <w:r>
              <w:rPr>
                <w:rFonts w:ascii="宋体" w:eastAsia="宋体" w:hAnsi="宋体" w:cs="宋体"/>
                <w:spacing w:val="-3"/>
                <w:sz w:val="16"/>
                <w:szCs w:val="16"/>
              </w:rPr>
              <w:t>5.1</w:t>
            </w:r>
          </w:p>
        </w:tc>
        <w:tc>
          <w:tcPr>
            <w:tcW w:w="1098" w:type="dxa"/>
          </w:tcPr>
          <w:p w:rsidR="00EA40A3" w:rsidRDefault="00E86C16">
            <w:pPr>
              <w:spacing w:before="119" w:line="184" w:lineRule="auto"/>
              <w:ind w:left="399"/>
              <w:rPr>
                <w:rFonts w:ascii="宋体" w:eastAsia="宋体" w:hAnsi="宋体" w:cs="宋体"/>
                <w:sz w:val="16"/>
                <w:szCs w:val="16"/>
              </w:rPr>
            </w:pPr>
            <w:r>
              <w:rPr>
                <w:rFonts w:ascii="宋体" w:eastAsia="宋体" w:hAnsi="宋体" w:cs="宋体"/>
                <w:spacing w:val="-4"/>
                <w:sz w:val="16"/>
                <w:szCs w:val="16"/>
              </w:rPr>
              <w:t>1.87</w:t>
            </w:r>
          </w:p>
        </w:tc>
      </w:tr>
      <w:tr w:rsidR="00EA40A3">
        <w:trPr>
          <w:trHeight w:val="234"/>
        </w:trPr>
        <w:tc>
          <w:tcPr>
            <w:tcW w:w="1121" w:type="dxa"/>
            <w:tcBorders>
              <w:bottom w:val="single" w:sz="4" w:space="0" w:color="000000"/>
            </w:tcBorders>
          </w:tcPr>
          <w:p w:rsidR="00EA40A3" w:rsidRDefault="00E86C16">
            <w:pPr>
              <w:spacing w:before="54" w:line="207" w:lineRule="auto"/>
              <w:ind w:left="329"/>
              <w:rPr>
                <w:rFonts w:ascii="宋体" w:eastAsia="宋体" w:hAnsi="宋体" w:cs="宋体"/>
                <w:sz w:val="16"/>
                <w:szCs w:val="16"/>
              </w:rPr>
            </w:pPr>
            <w:r>
              <w:rPr>
                <w:rFonts w:ascii="宋体" w:eastAsia="宋体" w:hAnsi="宋体" w:cs="宋体"/>
                <w:spacing w:val="-2"/>
                <w:sz w:val="16"/>
                <w:szCs w:val="16"/>
              </w:rPr>
              <w:t>燕麦片</w:t>
            </w:r>
          </w:p>
        </w:tc>
        <w:tc>
          <w:tcPr>
            <w:tcW w:w="1036" w:type="dxa"/>
            <w:tcBorders>
              <w:bottom w:val="single" w:sz="4" w:space="0" w:color="000000"/>
            </w:tcBorders>
          </w:tcPr>
          <w:p w:rsidR="00EA40A3" w:rsidRDefault="00E86C16">
            <w:pPr>
              <w:spacing w:before="116" w:line="118" w:lineRule="exact"/>
              <w:ind w:left="368"/>
              <w:rPr>
                <w:rFonts w:ascii="宋体" w:eastAsia="宋体" w:hAnsi="宋体" w:cs="宋体"/>
                <w:sz w:val="16"/>
                <w:szCs w:val="16"/>
              </w:rPr>
            </w:pPr>
            <w:r>
              <w:rPr>
                <w:rFonts w:ascii="宋体" w:eastAsia="宋体" w:hAnsi="宋体" w:cs="宋体"/>
                <w:spacing w:val="-2"/>
                <w:position w:val="-2"/>
                <w:sz w:val="16"/>
                <w:szCs w:val="16"/>
              </w:rPr>
              <w:t>0.30</w:t>
            </w:r>
          </w:p>
        </w:tc>
        <w:tc>
          <w:tcPr>
            <w:tcW w:w="1133" w:type="dxa"/>
            <w:tcBorders>
              <w:bottom w:val="single" w:sz="4" w:space="0" w:color="000000"/>
            </w:tcBorders>
          </w:tcPr>
          <w:p w:rsidR="00EA40A3" w:rsidRDefault="00E86C16">
            <w:pPr>
              <w:spacing w:before="96" w:line="159" w:lineRule="auto"/>
              <w:ind w:left="352"/>
              <w:rPr>
                <w:rFonts w:ascii="宋体" w:eastAsia="宋体" w:hAnsi="宋体" w:cs="宋体"/>
                <w:sz w:val="16"/>
                <w:szCs w:val="16"/>
              </w:rPr>
            </w:pPr>
            <w:r>
              <w:rPr>
                <w:rFonts w:ascii="宋体" w:eastAsia="宋体" w:hAnsi="宋体" w:cs="宋体"/>
                <w:spacing w:val="-2"/>
                <w:sz w:val="16"/>
                <w:szCs w:val="16"/>
              </w:rPr>
              <w:t>0.13</w:t>
            </w:r>
          </w:p>
        </w:tc>
        <w:tc>
          <w:tcPr>
            <w:tcW w:w="921" w:type="dxa"/>
            <w:tcBorders>
              <w:bottom w:val="single" w:sz="4" w:space="0" w:color="000000"/>
            </w:tcBorders>
          </w:tcPr>
          <w:p w:rsidR="00EA40A3" w:rsidRDefault="00E86C16">
            <w:pPr>
              <w:spacing w:before="96" w:line="159" w:lineRule="auto"/>
              <w:ind w:left="329"/>
              <w:rPr>
                <w:rFonts w:ascii="宋体" w:eastAsia="宋体" w:hAnsi="宋体" w:cs="宋体"/>
                <w:sz w:val="16"/>
                <w:szCs w:val="16"/>
              </w:rPr>
            </w:pPr>
            <w:r>
              <w:rPr>
                <w:rFonts w:ascii="宋体" w:eastAsia="宋体" w:hAnsi="宋体" w:cs="宋体"/>
                <w:spacing w:val="-5"/>
                <w:sz w:val="16"/>
                <w:szCs w:val="16"/>
              </w:rPr>
              <w:t>186</w:t>
            </w:r>
          </w:p>
        </w:tc>
        <w:tc>
          <w:tcPr>
            <w:tcW w:w="1001" w:type="dxa"/>
            <w:tcBorders>
              <w:bottom w:val="single" w:sz="4" w:space="0" w:color="000000"/>
            </w:tcBorders>
          </w:tcPr>
          <w:p w:rsidR="00EA40A3" w:rsidRDefault="00E86C16">
            <w:pPr>
              <w:spacing w:before="96" w:line="159" w:lineRule="auto"/>
              <w:ind w:left="378"/>
              <w:rPr>
                <w:rFonts w:ascii="宋体" w:eastAsia="宋体" w:hAnsi="宋体" w:cs="宋体"/>
                <w:sz w:val="16"/>
                <w:szCs w:val="16"/>
              </w:rPr>
            </w:pPr>
            <w:r>
              <w:rPr>
                <w:rFonts w:ascii="宋体" w:eastAsia="宋体" w:hAnsi="宋体" w:cs="宋体"/>
                <w:spacing w:val="-2"/>
                <w:sz w:val="16"/>
                <w:szCs w:val="16"/>
              </w:rPr>
              <w:t>214</w:t>
            </w:r>
          </w:p>
        </w:tc>
        <w:tc>
          <w:tcPr>
            <w:tcW w:w="1019" w:type="dxa"/>
            <w:tcBorders>
              <w:bottom w:val="single" w:sz="4" w:space="0" w:color="000000"/>
            </w:tcBorders>
          </w:tcPr>
          <w:p w:rsidR="00EA40A3" w:rsidRDefault="00E86C16">
            <w:pPr>
              <w:spacing w:before="86" w:line="170" w:lineRule="auto"/>
              <w:ind w:left="398"/>
              <w:rPr>
                <w:rFonts w:ascii="宋体" w:eastAsia="宋体" w:hAnsi="宋体" w:cs="宋体"/>
                <w:sz w:val="16"/>
                <w:szCs w:val="16"/>
              </w:rPr>
            </w:pPr>
            <w:r>
              <w:rPr>
                <w:rFonts w:ascii="宋体" w:eastAsia="宋体" w:hAnsi="宋体" w:cs="宋体"/>
                <w:spacing w:val="-3"/>
                <w:sz w:val="16"/>
                <w:szCs w:val="16"/>
              </w:rPr>
              <w:t>7.0</w:t>
            </w:r>
          </w:p>
        </w:tc>
        <w:tc>
          <w:tcPr>
            <w:tcW w:w="1098" w:type="dxa"/>
            <w:tcBorders>
              <w:bottom w:val="single" w:sz="4" w:space="0" w:color="000000"/>
            </w:tcBorders>
          </w:tcPr>
          <w:p w:rsidR="00EA40A3" w:rsidRDefault="00E86C16">
            <w:pPr>
              <w:spacing w:before="97" w:line="158" w:lineRule="auto"/>
              <w:ind w:left="399"/>
              <w:rPr>
                <w:rFonts w:ascii="宋体" w:eastAsia="宋体" w:hAnsi="宋体" w:cs="宋体"/>
                <w:sz w:val="16"/>
                <w:szCs w:val="16"/>
              </w:rPr>
            </w:pPr>
            <w:r>
              <w:rPr>
                <w:rFonts w:ascii="宋体" w:eastAsia="宋体" w:hAnsi="宋体" w:cs="宋体"/>
                <w:spacing w:val="-2"/>
                <w:sz w:val="16"/>
                <w:szCs w:val="16"/>
              </w:rPr>
              <w:t>2.59</w:t>
            </w:r>
          </w:p>
        </w:tc>
      </w:tr>
    </w:tbl>
    <w:p w:rsidR="00EA40A3" w:rsidRDefault="00E86C16">
      <w:pPr>
        <w:spacing w:before="81" w:line="219" w:lineRule="auto"/>
        <w:ind w:left="390"/>
        <w:rPr>
          <w:rFonts w:ascii="宋体" w:eastAsia="宋体" w:hAnsi="宋体" w:cs="宋体"/>
          <w:sz w:val="16"/>
          <w:szCs w:val="16"/>
        </w:rPr>
      </w:pPr>
      <w:r>
        <w:rPr>
          <w:rFonts w:ascii="宋体" w:eastAsia="宋体" w:hAnsi="宋体" w:cs="宋体"/>
          <w:sz w:val="16"/>
          <w:szCs w:val="16"/>
        </w:rPr>
        <w:t>资料来源：杨月欣.2002.中国食物成分表2002</w:t>
      </w:r>
      <w:r>
        <w:rPr>
          <w:rFonts w:ascii="宋体" w:eastAsia="宋体" w:hAnsi="宋体" w:cs="宋体"/>
          <w:spacing w:val="-1"/>
          <w:sz w:val="16"/>
          <w:szCs w:val="16"/>
        </w:rPr>
        <w:t>.北京：北京大学医学出版社</w:t>
      </w:r>
    </w:p>
    <w:p w:rsidR="00EA40A3" w:rsidRDefault="00EA40A3">
      <w:pPr>
        <w:spacing w:line="463"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8"/>
          <w:sz w:val="22"/>
          <w:szCs w:val="22"/>
        </w:rPr>
        <w:t>6.2.4</w:t>
      </w:r>
      <w:r>
        <w:rPr>
          <w:rFonts w:ascii="黑体" w:eastAsia="黑体" w:hAnsi="黑体" w:cs="黑体"/>
          <w:spacing w:val="9"/>
          <w:sz w:val="22"/>
          <w:szCs w:val="22"/>
        </w:rPr>
        <w:t xml:space="preserve">   </w:t>
      </w:r>
      <w:r>
        <w:rPr>
          <w:rFonts w:ascii="黑体" w:eastAsia="黑体" w:hAnsi="黑体" w:cs="黑体"/>
          <w:b/>
          <w:bCs/>
          <w:spacing w:val="8"/>
          <w:sz w:val="22"/>
          <w:szCs w:val="22"/>
        </w:rPr>
        <w:t>谷类加工品的营养价值</w:t>
      </w:r>
    </w:p>
    <w:p w:rsidR="00EA40A3" w:rsidRDefault="00E86C16">
      <w:pPr>
        <w:spacing w:before="238" w:line="222" w:lineRule="auto"/>
        <w:rPr>
          <w:rFonts w:ascii="仿宋" w:eastAsia="仿宋" w:hAnsi="仿宋" w:cs="仿宋"/>
          <w:sz w:val="22"/>
          <w:szCs w:val="22"/>
        </w:rPr>
      </w:pPr>
      <w:r>
        <w:rPr>
          <w:rFonts w:ascii="仿宋" w:eastAsia="仿宋" w:hAnsi="仿宋" w:cs="仿宋"/>
          <w:spacing w:val="9"/>
          <w:sz w:val="22"/>
          <w:szCs w:val="22"/>
        </w:rPr>
        <w:t>1.</w:t>
      </w:r>
      <w:r>
        <w:rPr>
          <w:rFonts w:ascii="仿宋" w:eastAsia="仿宋" w:hAnsi="仿宋" w:cs="仿宋"/>
          <w:spacing w:val="-36"/>
          <w:sz w:val="22"/>
          <w:szCs w:val="22"/>
        </w:rPr>
        <w:t xml:space="preserve"> </w:t>
      </w:r>
      <w:r>
        <w:rPr>
          <w:rFonts w:ascii="仿宋" w:eastAsia="仿宋" w:hAnsi="仿宋" w:cs="仿宋"/>
          <w:spacing w:val="9"/>
          <w:sz w:val="22"/>
          <w:szCs w:val="22"/>
        </w:rPr>
        <w:t>精制米面产品</w:t>
      </w:r>
    </w:p>
    <w:p w:rsidR="00EA40A3" w:rsidRDefault="00E86C16">
      <w:pPr>
        <w:spacing w:before="218" w:line="236" w:lineRule="auto"/>
        <w:ind w:right="150" w:firstLine="430"/>
        <w:rPr>
          <w:rFonts w:ascii="宋体" w:eastAsia="宋体" w:hAnsi="宋体" w:cs="宋体"/>
          <w:sz w:val="22"/>
          <w:szCs w:val="22"/>
        </w:rPr>
      </w:pPr>
      <w:r>
        <w:rPr>
          <w:rFonts w:ascii="宋体" w:eastAsia="宋体" w:hAnsi="宋体" w:cs="宋体"/>
          <w:spacing w:val="-13"/>
          <w:sz w:val="22"/>
          <w:szCs w:val="22"/>
        </w:rPr>
        <w:t>米和面通常需要经过一定程度的精制方用于日</w:t>
      </w:r>
      <w:r>
        <w:rPr>
          <w:rFonts w:ascii="宋体" w:eastAsia="宋体" w:hAnsi="宋体" w:cs="宋体"/>
          <w:spacing w:val="-14"/>
          <w:sz w:val="22"/>
          <w:szCs w:val="22"/>
        </w:rPr>
        <w:t>常饮食和食品加工。在精制过</w:t>
      </w:r>
      <w:r>
        <w:rPr>
          <w:rFonts w:ascii="宋体" w:eastAsia="宋体" w:hAnsi="宋体" w:cs="宋体"/>
          <w:sz w:val="22"/>
          <w:szCs w:val="22"/>
        </w:rPr>
        <w:t xml:space="preserve"> </w:t>
      </w:r>
      <w:r>
        <w:rPr>
          <w:rFonts w:ascii="宋体" w:eastAsia="宋体" w:hAnsi="宋体" w:cs="宋体"/>
          <w:spacing w:val="-13"/>
          <w:sz w:val="22"/>
          <w:szCs w:val="22"/>
        </w:rPr>
        <w:t>程中带来营养素的损失，但不同产品的营养素保</w:t>
      </w:r>
      <w:r>
        <w:rPr>
          <w:rFonts w:ascii="宋体" w:eastAsia="宋体" w:hAnsi="宋体" w:cs="宋体"/>
          <w:spacing w:val="-14"/>
          <w:sz w:val="22"/>
          <w:szCs w:val="22"/>
        </w:rPr>
        <w:t>留情况不同。</w:t>
      </w:r>
    </w:p>
    <w:p w:rsidR="00EA40A3" w:rsidRDefault="00E86C16">
      <w:pPr>
        <w:spacing w:before="44" w:line="247" w:lineRule="auto"/>
        <w:ind w:firstLine="430"/>
        <w:rPr>
          <w:rFonts w:ascii="宋体" w:eastAsia="宋体" w:hAnsi="宋体" w:cs="宋体"/>
          <w:sz w:val="22"/>
          <w:szCs w:val="22"/>
        </w:rPr>
      </w:pPr>
      <w:r>
        <w:rPr>
          <w:rFonts w:ascii="宋体" w:eastAsia="宋体" w:hAnsi="宋体" w:cs="宋体"/>
          <w:spacing w:val="-13"/>
          <w:sz w:val="22"/>
          <w:szCs w:val="22"/>
        </w:rPr>
        <w:t>在经过碾磨的大米中，蒸谷米是营养价值较高的一种。蒸谷米是稻谷经过浸</w:t>
      </w:r>
      <w:r>
        <w:rPr>
          <w:rFonts w:ascii="宋体" w:eastAsia="宋体" w:hAnsi="宋体" w:cs="宋体"/>
          <w:spacing w:val="8"/>
          <w:sz w:val="22"/>
          <w:szCs w:val="22"/>
        </w:rPr>
        <w:t xml:space="preserve">  </w:t>
      </w:r>
      <w:r>
        <w:rPr>
          <w:rFonts w:ascii="宋体" w:eastAsia="宋体" w:hAnsi="宋体" w:cs="宋体"/>
          <w:spacing w:val="-13"/>
          <w:sz w:val="22"/>
          <w:szCs w:val="22"/>
        </w:rPr>
        <w:t>泡、汽蒸、干燥和冷却等处理之后再碾磨制成的米，稻谷中的维生素和矿物质等</w:t>
      </w:r>
      <w:r>
        <w:rPr>
          <w:rFonts w:ascii="宋体" w:eastAsia="宋体" w:hAnsi="宋体" w:cs="宋体"/>
          <w:spacing w:val="1"/>
          <w:sz w:val="22"/>
          <w:szCs w:val="22"/>
        </w:rPr>
        <w:t xml:space="preserve">  </w:t>
      </w:r>
      <w:r>
        <w:rPr>
          <w:rFonts w:ascii="宋体" w:eastAsia="宋体" w:hAnsi="宋体" w:cs="宋体"/>
          <w:spacing w:val="-15"/>
          <w:sz w:val="22"/>
          <w:szCs w:val="22"/>
        </w:rPr>
        <w:t>营养素向内部转移，因此碾磨后营养素损失少，而且容易消化吸收。“含胚精米”</w:t>
      </w:r>
      <w:r>
        <w:rPr>
          <w:rFonts w:ascii="宋体" w:eastAsia="宋体" w:hAnsi="宋体" w:cs="宋体"/>
          <w:spacing w:val="17"/>
          <w:sz w:val="22"/>
          <w:szCs w:val="22"/>
        </w:rPr>
        <w:t xml:space="preserve"> </w:t>
      </w:r>
      <w:r>
        <w:rPr>
          <w:rFonts w:ascii="宋体" w:eastAsia="宋体" w:hAnsi="宋体" w:cs="宋体"/>
          <w:spacing w:val="-4"/>
          <w:sz w:val="22"/>
          <w:szCs w:val="22"/>
        </w:rPr>
        <w:t>可以保留米胚达80%以上，从而保存了较多的营养成分。营养强化米是在普通</w:t>
      </w:r>
      <w:r>
        <w:rPr>
          <w:rFonts w:ascii="宋体" w:eastAsia="宋体" w:hAnsi="宋体" w:cs="宋体"/>
          <w:spacing w:val="8"/>
          <w:sz w:val="22"/>
          <w:szCs w:val="22"/>
        </w:rPr>
        <w:t xml:space="preserve">  </w:t>
      </w:r>
      <w:r>
        <w:rPr>
          <w:rFonts w:ascii="宋体" w:eastAsia="宋体" w:hAnsi="宋体" w:cs="宋体"/>
          <w:spacing w:val="-14"/>
          <w:sz w:val="22"/>
          <w:szCs w:val="22"/>
        </w:rPr>
        <w:t>大米中添加营养素的成品米，通常用造粒方式将营养素混入免淘米中，以强化维</w:t>
      </w:r>
      <w:r>
        <w:rPr>
          <w:rFonts w:ascii="宋体" w:eastAsia="宋体" w:hAnsi="宋体" w:cs="宋体"/>
          <w:spacing w:val="8"/>
          <w:sz w:val="22"/>
          <w:szCs w:val="22"/>
        </w:rPr>
        <w:t xml:space="preserve">  </w:t>
      </w:r>
      <w:r>
        <w:rPr>
          <w:rFonts w:ascii="宋体" w:eastAsia="宋体" w:hAnsi="宋体" w:cs="宋体"/>
          <w:spacing w:val="-8"/>
          <w:sz w:val="22"/>
          <w:szCs w:val="22"/>
        </w:rPr>
        <w:t>生素B</w:t>
      </w:r>
      <w:r>
        <w:rPr>
          <w:rFonts w:ascii="Calibri" w:eastAsia="Calibri" w:hAnsi="Calibri" w:cs="Calibri"/>
          <w:spacing w:val="-8"/>
          <w:sz w:val="22"/>
          <w:szCs w:val="22"/>
        </w:rPr>
        <w:t>₁</w:t>
      </w:r>
      <w:r>
        <w:rPr>
          <w:rFonts w:ascii="Calibri" w:eastAsia="Calibri" w:hAnsi="Calibri" w:cs="Calibri"/>
          <w:spacing w:val="-26"/>
          <w:sz w:val="22"/>
          <w:szCs w:val="22"/>
        </w:rPr>
        <w:t xml:space="preserve"> </w:t>
      </w:r>
      <w:r>
        <w:rPr>
          <w:rFonts w:ascii="宋体" w:eastAsia="宋体" w:hAnsi="宋体" w:cs="宋体"/>
          <w:spacing w:val="-8"/>
          <w:sz w:val="22"/>
          <w:szCs w:val="22"/>
        </w:rPr>
        <w:t>、维生素B</w:t>
      </w:r>
      <w:r>
        <w:rPr>
          <w:rFonts w:ascii="Calibri" w:eastAsia="Calibri" w:hAnsi="Calibri" w:cs="Calibri"/>
          <w:spacing w:val="-8"/>
          <w:sz w:val="22"/>
          <w:szCs w:val="22"/>
        </w:rPr>
        <w:t>₂</w:t>
      </w:r>
      <w:r>
        <w:rPr>
          <w:rFonts w:ascii="Calibri" w:eastAsia="Calibri" w:hAnsi="Calibri" w:cs="Calibri"/>
          <w:spacing w:val="-26"/>
          <w:sz w:val="22"/>
          <w:szCs w:val="22"/>
        </w:rPr>
        <w:t xml:space="preserve"> </w:t>
      </w:r>
      <w:r>
        <w:rPr>
          <w:rFonts w:ascii="宋体" w:eastAsia="宋体" w:hAnsi="宋体" w:cs="宋体"/>
          <w:spacing w:val="-8"/>
          <w:sz w:val="22"/>
          <w:szCs w:val="22"/>
        </w:rPr>
        <w:t>、尼克酸、叶酸、赖氨酸和苏氨酸、铁和钙等营养素</w:t>
      </w:r>
      <w:r>
        <w:rPr>
          <w:rFonts w:ascii="宋体" w:eastAsia="宋体" w:hAnsi="宋体" w:cs="宋体"/>
          <w:spacing w:val="-9"/>
          <w:sz w:val="22"/>
          <w:szCs w:val="22"/>
        </w:rPr>
        <w:t>。</w:t>
      </w:r>
    </w:p>
    <w:p w:rsidR="00EA40A3" w:rsidRDefault="00E86C16">
      <w:pPr>
        <w:spacing w:before="70" w:line="235" w:lineRule="auto"/>
        <w:ind w:right="135" w:firstLine="430"/>
        <w:rPr>
          <w:rFonts w:ascii="宋体" w:eastAsia="宋体" w:hAnsi="宋体" w:cs="宋体"/>
          <w:sz w:val="22"/>
          <w:szCs w:val="22"/>
        </w:rPr>
      </w:pPr>
      <w:r>
        <w:rPr>
          <w:rFonts w:ascii="宋体" w:eastAsia="宋体" w:hAnsi="宋体" w:cs="宋体"/>
          <w:spacing w:val="-8"/>
          <w:sz w:val="22"/>
          <w:szCs w:val="22"/>
        </w:rPr>
        <w:t>日用面粉产品主要分为低筋粉和高筋粉两类，其中高筋粉的蛋白质含量在</w:t>
      </w:r>
      <w:r>
        <w:rPr>
          <w:rFonts w:ascii="宋体" w:eastAsia="宋体" w:hAnsi="宋体" w:cs="宋体"/>
          <w:spacing w:val="16"/>
          <w:sz w:val="22"/>
          <w:szCs w:val="22"/>
        </w:rPr>
        <w:t xml:space="preserve"> </w:t>
      </w:r>
      <w:r>
        <w:rPr>
          <w:rFonts w:ascii="宋体" w:eastAsia="宋体" w:hAnsi="宋体" w:cs="宋体"/>
          <w:spacing w:val="-3"/>
          <w:sz w:val="22"/>
          <w:szCs w:val="22"/>
        </w:rPr>
        <w:t>12%以上，而低筋粉蛋白质含量仅为8%左右。目前强化营养素的小麦面粉产品</w:t>
      </w:r>
      <w:r>
        <w:rPr>
          <w:rFonts w:ascii="宋体" w:eastAsia="宋体" w:hAnsi="宋体" w:cs="宋体"/>
          <w:sz w:val="22"/>
          <w:szCs w:val="22"/>
        </w:rPr>
        <w:t xml:space="preserve"> </w:t>
      </w:r>
      <w:r>
        <w:rPr>
          <w:rFonts w:ascii="宋体" w:eastAsia="宋体" w:hAnsi="宋体" w:cs="宋体"/>
          <w:spacing w:val="-15"/>
          <w:sz w:val="22"/>
          <w:szCs w:val="22"/>
        </w:rPr>
        <w:t>也已经在我国问世，强化的营养素与大米产品类似。</w:t>
      </w:r>
    </w:p>
    <w:p w:rsidR="00EA40A3" w:rsidRDefault="00E86C16">
      <w:pPr>
        <w:spacing w:before="218" w:line="223" w:lineRule="auto"/>
        <w:rPr>
          <w:rFonts w:ascii="仿宋" w:eastAsia="仿宋" w:hAnsi="仿宋" w:cs="仿宋"/>
          <w:sz w:val="22"/>
          <w:szCs w:val="22"/>
        </w:rPr>
      </w:pPr>
      <w:r>
        <w:rPr>
          <w:rFonts w:ascii="仿宋" w:eastAsia="仿宋" w:hAnsi="仿宋" w:cs="仿宋"/>
          <w:spacing w:val="5"/>
          <w:sz w:val="22"/>
          <w:szCs w:val="22"/>
        </w:rPr>
        <w:t>2.</w:t>
      </w:r>
      <w:r>
        <w:rPr>
          <w:rFonts w:ascii="仿宋" w:eastAsia="仿宋" w:hAnsi="仿宋" w:cs="仿宋"/>
          <w:spacing w:val="30"/>
          <w:sz w:val="22"/>
          <w:szCs w:val="22"/>
        </w:rPr>
        <w:t xml:space="preserve"> </w:t>
      </w:r>
      <w:r>
        <w:rPr>
          <w:rFonts w:ascii="仿宋" w:eastAsia="仿宋" w:hAnsi="仿宋" w:cs="仿宋"/>
          <w:spacing w:val="5"/>
          <w:sz w:val="22"/>
          <w:szCs w:val="22"/>
        </w:rPr>
        <w:t>发酵谷类加工品</w:t>
      </w:r>
    </w:p>
    <w:p w:rsidR="00EA40A3" w:rsidRDefault="00E86C16">
      <w:pPr>
        <w:spacing w:before="215" w:line="219" w:lineRule="auto"/>
        <w:ind w:left="430"/>
        <w:rPr>
          <w:rFonts w:ascii="宋体" w:eastAsia="宋体" w:hAnsi="宋体" w:cs="宋体"/>
          <w:sz w:val="22"/>
          <w:szCs w:val="22"/>
        </w:rPr>
      </w:pPr>
      <w:r>
        <w:rPr>
          <w:rFonts w:ascii="宋体" w:eastAsia="宋体" w:hAnsi="宋体" w:cs="宋体"/>
          <w:spacing w:val="-13"/>
          <w:sz w:val="22"/>
          <w:szCs w:val="22"/>
        </w:rPr>
        <w:t>发酵谷类加工品包括馒头、面包、发糕、包子等食品，它们用蛋白质含量高</w:t>
      </w:r>
    </w:p>
    <w:p w:rsidR="00EA40A3" w:rsidRDefault="00E86C16">
      <w:pPr>
        <w:spacing w:before="33"/>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190</w:t>
      </w:r>
      <w:r>
        <w:rPr>
          <w:rFonts w:ascii="宋体" w:eastAsia="宋体" w:hAnsi="宋体" w:cs="宋体"/>
          <w:spacing w:val="65"/>
          <w:sz w:val="17"/>
          <w:szCs w:val="17"/>
        </w:rPr>
        <w:t xml:space="preserve"> </w:t>
      </w:r>
      <w:r>
        <w:rPr>
          <w:rFonts w:ascii="宋体" w:eastAsia="宋体" w:hAnsi="宋体" w:cs="宋体"/>
          <w:spacing w:val="-17"/>
          <w:sz w:val="17"/>
          <w:szCs w:val="17"/>
        </w:rPr>
        <w:t>·</w:t>
      </w:r>
    </w:p>
    <w:p w:rsidR="00EA40A3" w:rsidRDefault="00EA40A3">
      <w:pPr>
        <w:sectPr w:rsidR="00EA40A3">
          <w:pgSz w:w="9220" w:h="13360"/>
          <w:pgMar w:top="400" w:right="991" w:bottom="400" w:left="829" w:header="0" w:footer="0" w:gutter="0"/>
          <w:cols w:space="720"/>
        </w:sectPr>
      </w:pPr>
    </w:p>
    <w:p w:rsidR="00EA40A3" w:rsidRDefault="00EA40A3">
      <w:pPr>
        <w:spacing w:line="305" w:lineRule="auto"/>
      </w:pPr>
    </w:p>
    <w:p w:rsidR="00EA40A3" w:rsidRDefault="00EA40A3">
      <w:pPr>
        <w:spacing w:line="306" w:lineRule="auto"/>
      </w:pPr>
    </w:p>
    <w:p w:rsidR="00EA40A3" w:rsidRDefault="00E86C16">
      <w:pPr>
        <w:spacing w:before="72" w:line="247" w:lineRule="auto"/>
        <w:ind w:right="87"/>
        <w:jc w:val="both"/>
        <w:rPr>
          <w:rFonts w:ascii="宋体" w:eastAsia="宋体" w:hAnsi="宋体" w:cs="宋体"/>
          <w:sz w:val="22"/>
          <w:szCs w:val="22"/>
        </w:rPr>
      </w:pPr>
      <w:r>
        <w:rPr>
          <w:rFonts w:ascii="宋体" w:eastAsia="宋体" w:hAnsi="宋体" w:cs="宋体"/>
          <w:spacing w:val="-5"/>
          <w:sz w:val="22"/>
          <w:szCs w:val="22"/>
        </w:rPr>
        <w:t>的面粉品种制成，在制作过程中经过酵母发酵，增</w:t>
      </w:r>
      <w:r>
        <w:rPr>
          <w:rFonts w:ascii="宋体" w:eastAsia="宋体" w:hAnsi="宋体" w:cs="宋体"/>
          <w:spacing w:val="-6"/>
          <w:sz w:val="22"/>
          <w:szCs w:val="22"/>
        </w:rPr>
        <w:t>加了维生素B</w:t>
      </w:r>
      <w:r>
        <w:rPr>
          <w:rFonts w:ascii="宋体" w:eastAsia="宋体" w:hAnsi="宋体" w:cs="宋体"/>
          <w:spacing w:val="-27"/>
          <w:sz w:val="22"/>
          <w:szCs w:val="22"/>
        </w:rPr>
        <w:t xml:space="preserve"> </w:t>
      </w:r>
      <w:r>
        <w:rPr>
          <w:rFonts w:ascii="宋体" w:eastAsia="宋体" w:hAnsi="宋体" w:cs="宋体"/>
          <w:spacing w:val="-6"/>
          <w:sz w:val="22"/>
          <w:szCs w:val="22"/>
        </w:rPr>
        <w:t>族的含量，使</w:t>
      </w:r>
      <w:r>
        <w:rPr>
          <w:rFonts w:ascii="宋体" w:eastAsia="宋体" w:hAnsi="宋体" w:cs="宋体"/>
          <w:sz w:val="22"/>
          <w:szCs w:val="22"/>
        </w:rPr>
        <w:t xml:space="preserve"> </w:t>
      </w:r>
      <w:r>
        <w:rPr>
          <w:rFonts w:ascii="宋体" w:eastAsia="宋体" w:hAnsi="宋体" w:cs="宋体"/>
          <w:spacing w:val="-13"/>
          <w:sz w:val="22"/>
          <w:szCs w:val="22"/>
        </w:rPr>
        <w:t>大部分植酸被酵母菌所含植酸酶水解，从而使钙、铁、锌等各种微量元素的生物</w:t>
      </w:r>
      <w:r>
        <w:rPr>
          <w:rFonts w:ascii="宋体" w:eastAsia="宋体" w:hAnsi="宋体" w:cs="宋体"/>
          <w:spacing w:val="14"/>
          <w:sz w:val="22"/>
          <w:szCs w:val="22"/>
        </w:rPr>
        <w:t xml:space="preserve"> </w:t>
      </w:r>
      <w:r>
        <w:rPr>
          <w:rFonts w:ascii="宋体" w:eastAsia="宋体" w:hAnsi="宋体" w:cs="宋体"/>
          <w:spacing w:val="-17"/>
          <w:sz w:val="22"/>
          <w:szCs w:val="22"/>
        </w:rPr>
        <w:t>利用性提高。</w:t>
      </w:r>
    </w:p>
    <w:p w:rsidR="00EA40A3" w:rsidRDefault="00E86C16">
      <w:pPr>
        <w:spacing w:before="38" w:line="252" w:lineRule="auto"/>
        <w:ind w:right="99" w:firstLine="420"/>
        <w:jc w:val="both"/>
        <w:rPr>
          <w:rFonts w:ascii="宋体" w:eastAsia="宋体" w:hAnsi="宋体" w:cs="宋体"/>
          <w:sz w:val="22"/>
          <w:szCs w:val="22"/>
        </w:rPr>
      </w:pPr>
      <w:r>
        <w:rPr>
          <w:rFonts w:ascii="宋体" w:eastAsia="宋体" w:hAnsi="宋体" w:cs="宋体"/>
          <w:spacing w:val="-13"/>
          <w:sz w:val="22"/>
          <w:szCs w:val="22"/>
        </w:rPr>
        <w:t>制面包的高蛋白面粉在碾磨之后通常使用化学氧化剂如过氧化苯甲酰、二氧</w:t>
      </w:r>
      <w:r>
        <w:rPr>
          <w:rFonts w:ascii="宋体" w:eastAsia="宋体" w:hAnsi="宋体" w:cs="宋体"/>
          <w:spacing w:val="6"/>
          <w:sz w:val="22"/>
          <w:szCs w:val="22"/>
        </w:rPr>
        <w:t xml:space="preserve"> </w:t>
      </w:r>
      <w:r>
        <w:rPr>
          <w:rFonts w:ascii="宋体" w:eastAsia="宋体" w:hAnsi="宋体" w:cs="宋体"/>
          <w:spacing w:val="-13"/>
          <w:sz w:val="22"/>
          <w:szCs w:val="22"/>
        </w:rPr>
        <w:t>化氯、溴酸钾等进行处理，以增强筋力并改善色泽；但如果超标使用，也会使面</w:t>
      </w:r>
      <w:r>
        <w:rPr>
          <w:rFonts w:ascii="宋体" w:eastAsia="宋体" w:hAnsi="宋体" w:cs="宋体"/>
          <w:spacing w:val="12"/>
          <w:sz w:val="22"/>
          <w:szCs w:val="22"/>
        </w:rPr>
        <w:t xml:space="preserve"> </w:t>
      </w:r>
      <w:r>
        <w:rPr>
          <w:rFonts w:ascii="宋体" w:eastAsia="宋体" w:hAnsi="宋体" w:cs="宋体"/>
          <w:spacing w:val="-2"/>
          <w:sz w:val="22"/>
          <w:szCs w:val="22"/>
        </w:rPr>
        <w:t>粉中的B</w:t>
      </w:r>
      <w:r>
        <w:rPr>
          <w:rFonts w:ascii="宋体" w:eastAsia="宋体" w:hAnsi="宋体" w:cs="宋体"/>
          <w:spacing w:val="-37"/>
          <w:sz w:val="22"/>
          <w:szCs w:val="22"/>
        </w:rPr>
        <w:t xml:space="preserve"> </w:t>
      </w:r>
      <w:r>
        <w:rPr>
          <w:rFonts w:ascii="宋体" w:eastAsia="宋体" w:hAnsi="宋体" w:cs="宋体"/>
          <w:spacing w:val="-2"/>
          <w:sz w:val="22"/>
          <w:szCs w:val="22"/>
        </w:rPr>
        <w:t>族维生素损失率超过15%。自发面粉中加入了磷酸氢钙和碳</w:t>
      </w:r>
      <w:r>
        <w:rPr>
          <w:rFonts w:ascii="宋体" w:eastAsia="宋体" w:hAnsi="宋体" w:cs="宋体"/>
          <w:spacing w:val="-3"/>
          <w:sz w:val="22"/>
          <w:szCs w:val="22"/>
        </w:rPr>
        <w:t>酸氢钠等</w:t>
      </w:r>
      <w:r>
        <w:rPr>
          <w:rFonts w:ascii="宋体" w:eastAsia="宋体" w:hAnsi="宋体" w:cs="宋体"/>
          <w:sz w:val="22"/>
          <w:szCs w:val="22"/>
        </w:rPr>
        <w:t xml:space="preserve"> </w:t>
      </w:r>
      <w:r>
        <w:rPr>
          <w:rFonts w:ascii="宋体" w:eastAsia="宋体" w:hAnsi="宋体" w:cs="宋体"/>
          <w:spacing w:val="-13"/>
          <w:sz w:val="22"/>
          <w:szCs w:val="22"/>
        </w:rPr>
        <w:t>膨发剂，使钙含量得到提高，但矿物质的生物利用率不会如酵母发酵一样有所改</w:t>
      </w:r>
      <w:r>
        <w:rPr>
          <w:rFonts w:ascii="宋体" w:eastAsia="宋体" w:hAnsi="宋体" w:cs="宋体"/>
          <w:spacing w:val="13"/>
          <w:sz w:val="22"/>
          <w:szCs w:val="22"/>
        </w:rPr>
        <w:t xml:space="preserve"> </w:t>
      </w:r>
      <w:r>
        <w:rPr>
          <w:rFonts w:ascii="宋体" w:eastAsia="宋体" w:hAnsi="宋体" w:cs="宋体"/>
          <w:spacing w:val="-10"/>
          <w:sz w:val="22"/>
          <w:szCs w:val="22"/>
        </w:rPr>
        <w:t>善，而且其中维生素B</w:t>
      </w:r>
      <w:r>
        <w:rPr>
          <w:rFonts w:ascii="Calibri" w:eastAsia="Calibri" w:hAnsi="Calibri" w:cs="Calibri"/>
          <w:spacing w:val="-10"/>
          <w:sz w:val="22"/>
          <w:szCs w:val="22"/>
        </w:rPr>
        <w:t>₁</w:t>
      </w:r>
      <w:r>
        <w:rPr>
          <w:rFonts w:ascii="Calibri" w:eastAsia="Calibri" w:hAnsi="Calibri" w:cs="Calibri"/>
          <w:spacing w:val="58"/>
          <w:w w:val="101"/>
          <w:sz w:val="22"/>
          <w:szCs w:val="22"/>
        </w:rPr>
        <w:t xml:space="preserve"> </w:t>
      </w:r>
      <w:r>
        <w:rPr>
          <w:rFonts w:ascii="宋体" w:eastAsia="宋体" w:hAnsi="宋体" w:cs="宋体"/>
          <w:spacing w:val="-10"/>
          <w:sz w:val="22"/>
          <w:szCs w:val="22"/>
        </w:rPr>
        <w:t>受到一定程度的破坏。</w:t>
      </w:r>
    </w:p>
    <w:p w:rsidR="00EA40A3" w:rsidRDefault="00E86C16">
      <w:pPr>
        <w:spacing w:before="215"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16"/>
          <w:sz w:val="22"/>
          <w:szCs w:val="22"/>
        </w:rPr>
        <w:t xml:space="preserve"> </w:t>
      </w:r>
      <w:r>
        <w:rPr>
          <w:rFonts w:ascii="仿宋" w:eastAsia="仿宋" w:hAnsi="仿宋" w:cs="仿宋"/>
          <w:spacing w:val="11"/>
          <w:sz w:val="22"/>
          <w:szCs w:val="22"/>
        </w:rPr>
        <w:t>糕点饼干类制品</w:t>
      </w:r>
    </w:p>
    <w:p w:rsidR="00EA40A3" w:rsidRDefault="00E86C16">
      <w:pPr>
        <w:spacing w:before="166" w:line="244" w:lineRule="auto"/>
        <w:ind w:firstLine="420"/>
        <w:jc w:val="both"/>
        <w:rPr>
          <w:rFonts w:ascii="宋体" w:eastAsia="宋体" w:hAnsi="宋体" w:cs="宋体"/>
          <w:sz w:val="22"/>
          <w:szCs w:val="22"/>
        </w:rPr>
      </w:pPr>
      <w:r>
        <w:rPr>
          <w:rFonts w:ascii="宋体" w:eastAsia="宋体" w:hAnsi="宋体" w:cs="宋体"/>
          <w:spacing w:val="-10"/>
          <w:sz w:val="22"/>
          <w:szCs w:val="22"/>
        </w:rPr>
        <w:t>糕点饼干类食品的主要原料是面粉、精制糖、油脂，辅之以其他风味配料。</w:t>
      </w:r>
      <w:r>
        <w:rPr>
          <w:rFonts w:ascii="宋体" w:eastAsia="宋体" w:hAnsi="宋体" w:cs="宋体"/>
          <w:spacing w:val="8"/>
          <w:sz w:val="22"/>
          <w:szCs w:val="22"/>
        </w:rPr>
        <w:t xml:space="preserve"> </w:t>
      </w:r>
      <w:r>
        <w:rPr>
          <w:rFonts w:ascii="宋体" w:eastAsia="宋体" w:hAnsi="宋体" w:cs="宋体"/>
          <w:spacing w:val="-1"/>
          <w:sz w:val="22"/>
          <w:szCs w:val="22"/>
        </w:rPr>
        <w:t>由于糖含量为10%～20%,这类食品的营养素密度较低，能量较高。添加</w:t>
      </w:r>
      <w:r>
        <w:rPr>
          <w:rFonts w:ascii="宋体" w:eastAsia="宋体" w:hAnsi="宋体" w:cs="宋体"/>
          <w:spacing w:val="-2"/>
          <w:sz w:val="22"/>
          <w:szCs w:val="22"/>
        </w:rPr>
        <w:t>牛奶、</w:t>
      </w:r>
      <w:r>
        <w:rPr>
          <w:rFonts w:ascii="宋体" w:eastAsia="宋体" w:hAnsi="宋体" w:cs="宋体"/>
          <w:sz w:val="22"/>
          <w:szCs w:val="22"/>
        </w:rPr>
        <w:t xml:space="preserve"> </w:t>
      </w:r>
      <w:r>
        <w:rPr>
          <w:rFonts w:ascii="宋体" w:eastAsia="宋体" w:hAnsi="宋体" w:cs="宋体"/>
          <w:spacing w:val="-13"/>
          <w:sz w:val="22"/>
          <w:szCs w:val="22"/>
        </w:rPr>
        <w:t>鸡蛋等配料可提高其营养价值，使用氢化植物油和动物油可使这类食品成为反式</w:t>
      </w:r>
      <w:r>
        <w:rPr>
          <w:rFonts w:ascii="宋体" w:eastAsia="宋体" w:hAnsi="宋体" w:cs="宋体"/>
          <w:spacing w:val="6"/>
          <w:sz w:val="22"/>
          <w:szCs w:val="22"/>
        </w:rPr>
        <w:t xml:space="preserve">  </w:t>
      </w:r>
      <w:r>
        <w:rPr>
          <w:rFonts w:ascii="宋体" w:eastAsia="宋体" w:hAnsi="宋体" w:cs="宋体"/>
          <w:spacing w:val="-15"/>
          <w:sz w:val="22"/>
          <w:szCs w:val="22"/>
        </w:rPr>
        <w:t>脂肪酸和饱和脂肪酸的来源。</w:t>
      </w:r>
    </w:p>
    <w:p w:rsidR="00EA40A3" w:rsidRDefault="00E86C16">
      <w:pPr>
        <w:spacing w:before="237" w:line="222"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42"/>
          <w:sz w:val="22"/>
          <w:szCs w:val="22"/>
        </w:rPr>
        <w:t xml:space="preserve"> </w:t>
      </w:r>
      <w:r>
        <w:rPr>
          <w:rFonts w:ascii="仿宋" w:eastAsia="仿宋" w:hAnsi="仿宋" w:cs="仿宋"/>
          <w:spacing w:val="15"/>
          <w:sz w:val="22"/>
          <w:szCs w:val="22"/>
        </w:rPr>
        <w:t>挂面、方便面和方便米粉</w:t>
      </w:r>
    </w:p>
    <w:p w:rsidR="00EA40A3" w:rsidRDefault="00E86C16">
      <w:pPr>
        <w:spacing w:before="189" w:line="244" w:lineRule="auto"/>
        <w:ind w:right="99" w:firstLine="420"/>
        <w:jc w:val="both"/>
        <w:rPr>
          <w:rFonts w:ascii="宋体" w:eastAsia="宋体" w:hAnsi="宋体" w:cs="宋体"/>
          <w:sz w:val="22"/>
          <w:szCs w:val="22"/>
        </w:rPr>
      </w:pPr>
      <w:r>
        <w:rPr>
          <w:rFonts w:ascii="宋体" w:eastAsia="宋体" w:hAnsi="宋体" w:cs="宋体"/>
          <w:spacing w:val="-13"/>
          <w:sz w:val="22"/>
          <w:szCs w:val="22"/>
        </w:rPr>
        <w:t>挂面是一种蛋白质较高的面食，其中添加鸡蛋、豆粉、杂粮、蔬菜汁、海藻</w:t>
      </w:r>
      <w:r>
        <w:rPr>
          <w:rFonts w:ascii="宋体" w:eastAsia="宋体" w:hAnsi="宋体" w:cs="宋体"/>
          <w:spacing w:val="6"/>
          <w:sz w:val="22"/>
          <w:szCs w:val="22"/>
        </w:rPr>
        <w:t xml:space="preserve"> </w:t>
      </w:r>
      <w:r>
        <w:rPr>
          <w:rFonts w:ascii="宋体" w:eastAsia="宋体" w:hAnsi="宋体" w:cs="宋体"/>
          <w:spacing w:val="-13"/>
          <w:sz w:val="22"/>
          <w:szCs w:val="22"/>
        </w:rPr>
        <w:t>等成分后其营养价值有所提高。为提高耐煮性，往往加入氯化钠和钙盐，提高钙</w:t>
      </w:r>
      <w:r>
        <w:rPr>
          <w:rFonts w:ascii="宋体" w:eastAsia="宋体" w:hAnsi="宋体" w:cs="宋体"/>
          <w:spacing w:val="14"/>
          <w:sz w:val="22"/>
          <w:szCs w:val="22"/>
        </w:rPr>
        <w:t xml:space="preserve"> </w:t>
      </w:r>
      <w:r>
        <w:rPr>
          <w:rFonts w:ascii="宋体" w:eastAsia="宋体" w:hAnsi="宋体" w:cs="宋体"/>
          <w:spacing w:val="-1"/>
          <w:sz w:val="22"/>
          <w:szCs w:val="22"/>
        </w:rPr>
        <w:t>含量的同时也增加了钠含量，故而需要控制盐分的人群需要注意挂面的调味</w:t>
      </w:r>
      <w:r>
        <w:rPr>
          <w:rFonts w:ascii="宋体" w:eastAsia="宋体" w:hAnsi="宋体" w:cs="宋体"/>
          <w:spacing w:val="1"/>
          <w:sz w:val="22"/>
          <w:szCs w:val="22"/>
        </w:rPr>
        <w:t xml:space="preserve"> </w:t>
      </w:r>
      <w:r>
        <w:rPr>
          <w:rFonts w:ascii="宋体" w:eastAsia="宋体" w:hAnsi="宋体" w:cs="宋体"/>
          <w:spacing w:val="-18"/>
          <w:sz w:val="22"/>
          <w:szCs w:val="22"/>
        </w:rPr>
        <w:t>方式。</w:t>
      </w:r>
    </w:p>
    <w:p w:rsidR="00EA40A3" w:rsidRDefault="00E86C16">
      <w:pPr>
        <w:spacing w:before="50" w:line="244" w:lineRule="auto"/>
        <w:ind w:right="97" w:firstLine="420"/>
        <w:jc w:val="both"/>
        <w:rPr>
          <w:rFonts w:ascii="宋体" w:eastAsia="宋体" w:hAnsi="宋体" w:cs="宋体"/>
          <w:sz w:val="22"/>
          <w:szCs w:val="22"/>
        </w:rPr>
      </w:pPr>
      <w:r>
        <w:rPr>
          <w:rFonts w:ascii="宋体" w:eastAsia="宋体" w:hAnsi="宋体" w:cs="宋体"/>
          <w:spacing w:val="4"/>
          <w:sz w:val="22"/>
          <w:szCs w:val="22"/>
        </w:rPr>
        <w:t>方便面中以油炸方便面占据统治地位，含油量高达20%～24</w:t>
      </w:r>
      <w:r>
        <w:rPr>
          <w:rFonts w:ascii="宋体" w:eastAsia="宋体" w:hAnsi="宋体" w:cs="宋体"/>
          <w:spacing w:val="3"/>
          <w:sz w:val="22"/>
          <w:szCs w:val="22"/>
        </w:rPr>
        <w:t>%,能量值大</w:t>
      </w:r>
      <w:r>
        <w:rPr>
          <w:rFonts w:ascii="宋体" w:eastAsia="宋体" w:hAnsi="宋体" w:cs="宋体"/>
          <w:sz w:val="22"/>
          <w:szCs w:val="22"/>
        </w:rPr>
        <w:t xml:space="preserve"> </w:t>
      </w:r>
      <w:r>
        <w:rPr>
          <w:rFonts w:ascii="宋体" w:eastAsia="宋体" w:hAnsi="宋体" w:cs="宋体"/>
          <w:spacing w:val="-6"/>
          <w:sz w:val="22"/>
          <w:szCs w:val="22"/>
        </w:rPr>
        <w:t>大高于普通挂面，同时B</w:t>
      </w:r>
      <w:r>
        <w:rPr>
          <w:rFonts w:ascii="宋体" w:eastAsia="宋体" w:hAnsi="宋体" w:cs="宋体"/>
          <w:spacing w:val="-15"/>
          <w:sz w:val="22"/>
          <w:szCs w:val="22"/>
        </w:rPr>
        <w:t xml:space="preserve"> </w:t>
      </w:r>
      <w:r>
        <w:rPr>
          <w:rFonts w:ascii="宋体" w:eastAsia="宋体" w:hAnsi="宋体" w:cs="宋体"/>
          <w:spacing w:val="-6"/>
          <w:sz w:val="22"/>
          <w:szCs w:val="22"/>
        </w:rPr>
        <w:t>族维生素含量低于普通挂面，故而是一种营养素密度</w:t>
      </w:r>
      <w:r>
        <w:rPr>
          <w:rFonts w:ascii="宋体" w:eastAsia="宋体" w:hAnsi="宋体" w:cs="宋体"/>
          <w:sz w:val="22"/>
          <w:szCs w:val="22"/>
        </w:rPr>
        <w:t xml:space="preserve"> </w:t>
      </w:r>
      <w:r>
        <w:rPr>
          <w:rFonts w:ascii="宋体" w:eastAsia="宋体" w:hAnsi="宋体" w:cs="宋体"/>
          <w:spacing w:val="-6"/>
          <w:sz w:val="22"/>
          <w:szCs w:val="22"/>
        </w:rPr>
        <w:t>较低的食物。油炸时主要使用棕榈油，必需脂</w:t>
      </w:r>
      <w:r>
        <w:rPr>
          <w:rFonts w:ascii="宋体" w:eastAsia="宋体" w:hAnsi="宋体" w:cs="宋体"/>
          <w:spacing w:val="-7"/>
          <w:sz w:val="22"/>
          <w:szCs w:val="22"/>
        </w:rPr>
        <w:t>肪酸和维生素E</w:t>
      </w:r>
      <w:r>
        <w:rPr>
          <w:rFonts w:ascii="宋体" w:eastAsia="宋体" w:hAnsi="宋体" w:cs="宋体"/>
          <w:spacing w:val="-5"/>
          <w:sz w:val="22"/>
          <w:szCs w:val="22"/>
        </w:rPr>
        <w:t xml:space="preserve"> </w:t>
      </w:r>
      <w:r>
        <w:rPr>
          <w:rFonts w:ascii="宋体" w:eastAsia="宋体" w:hAnsi="宋体" w:cs="宋体"/>
          <w:spacing w:val="-7"/>
          <w:sz w:val="22"/>
          <w:szCs w:val="22"/>
        </w:rPr>
        <w:t>含量较低。经过</w:t>
      </w:r>
      <w:r>
        <w:rPr>
          <w:rFonts w:ascii="宋体" w:eastAsia="宋体" w:hAnsi="宋体" w:cs="宋体"/>
          <w:sz w:val="22"/>
          <w:szCs w:val="22"/>
        </w:rPr>
        <w:t xml:space="preserve"> </w:t>
      </w:r>
      <w:r>
        <w:rPr>
          <w:rFonts w:ascii="宋体" w:eastAsia="宋体" w:hAnsi="宋体" w:cs="宋体"/>
          <w:spacing w:val="-15"/>
          <w:sz w:val="22"/>
          <w:szCs w:val="22"/>
        </w:rPr>
        <w:t>油炸的方便米粉的营养价值与方便面类似。</w:t>
      </w:r>
    </w:p>
    <w:p w:rsidR="00EA40A3" w:rsidRDefault="00E86C16">
      <w:pPr>
        <w:spacing w:before="219" w:line="222" w:lineRule="auto"/>
        <w:rPr>
          <w:rFonts w:ascii="仿宋" w:eastAsia="仿宋" w:hAnsi="仿宋" w:cs="仿宋"/>
          <w:sz w:val="22"/>
          <w:szCs w:val="22"/>
        </w:rPr>
      </w:pPr>
      <w:r>
        <w:rPr>
          <w:rFonts w:ascii="仿宋" w:eastAsia="仿宋" w:hAnsi="仿宋" w:cs="仿宋"/>
          <w:spacing w:val="7"/>
          <w:sz w:val="22"/>
          <w:szCs w:val="22"/>
        </w:rPr>
        <w:t>5.</w:t>
      </w:r>
      <w:r>
        <w:rPr>
          <w:rFonts w:ascii="仿宋" w:eastAsia="仿宋" w:hAnsi="仿宋" w:cs="仿宋"/>
          <w:spacing w:val="-14"/>
          <w:sz w:val="22"/>
          <w:szCs w:val="22"/>
        </w:rPr>
        <w:t xml:space="preserve"> </w:t>
      </w:r>
      <w:r>
        <w:rPr>
          <w:rFonts w:ascii="仿宋" w:eastAsia="仿宋" w:hAnsi="仿宋" w:cs="仿宋"/>
          <w:spacing w:val="7"/>
          <w:sz w:val="22"/>
          <w:szCs w:val="22"/>
        </w:rPr>
        <w:t>淀粉类制品</w:t>
      </w:r>
    </w:p>
    <w:p w:rsidR="00EA40A3" w:rsidRDefault="00E86C16">
      <w:pPr>
        <w:spacing w:before="197" w:line="246" w:lineRule="auto"/>
        <w:ind w:right="93" w:firstLine="420"/>
        <w:jc w:val="both"/>
        <w:rPr>
          <w:rFonts w:ascii="宋体" w:eastAsia="宋体" w:hAnsi="宋体" w:cs="宋体"/>
          <w:sz w:val="22"/>
          <w:szCs w:val="22"/>
        </w:rPr>
      </w:pPr>
      <w:r>
        <w:rPr>
          <w:rFonts w:ascii="宋体" w:eastAsia="宋体" w:hAnsi="宋体" w:cs="宋体"/>
          <w:spacing w:val="-13"/>
          <w:sz w:val="22"/>
          <w:szCs w:val="22"/>
        </w:rPr>
        <w:t>粉皮、粉丝、凉粉、酿皮等食品是由谷类或薯类提取淀粉制成的。在加工过</w:t>
      </w:r>
      <w:r>
        <w:rPr>
          <w:rFonts w:ascii="宋体" w:eastAsia="宋体" w:hAnsi="宋体" w:cs="宋体"/>
          <w:spacing w:val="6"/>
          <w:sz w:val="22"/>
          <w:szCs w:val="22"/>
        </w:rPr>
        <w:t xml:space="preserve"> </w:t>
      </w:r>
      <w:r>
        <w:rPr>
          <w:rFonts w:ascii="宋体" w:eastAsia="宋体" w:hAnsi="宋体" w:cs="宋体"/>
          <w:spacing w:val="-12"/>
          <w:sz w:val="22"/>
          <w:szCs w:val="22"/>
        </w:rPr>
        <w:t>程中，绝大部分的蛋白质、维生素和矿物质随多</w:t>
      </w:r>
      <w:r>
        <w:rPr>
          <w:rFonts w:ascii="宋体" w:eastAsia="宋体" w:hAnsi="宋体" w:cs="宋体"/>
          <w:spacing w:val="-13"/>
          <w:sz w:val="22"/>
          <w:szCs w:val="22"/>
        </w:rPr>
        <w:t>次的洗涤水而损失殆尽，剩下的</w:t>
      </w:r>
      <w:r>
        <w:rPr>
          <w:rFonts w:ascii="宋体" w:eastAsia="宋体" w:hAnsi="宋体" w:cs="宋体"/>
          <w:sz w:val="22"/>
          <w:szCs w:val="22"/>
        </w:rPr>
        <w:t xml:space="preserve"> </w:t>
      </w:r>
      <w:r>
        <w:rPr>
          <w:rFonts w:ascii="宋体" w:eastAsia="宋体" w:hAnsi="宋体" w:cs="宋体"/>
          <w:spacing w:val="-14"/>
          <w:sz w:val="22"/>
          <w:szCs w:val="22"/>
        </w:rPr>
        <w:t>几乎是纯粹的淀粉，仅存少量矿物质，营养价值很低。</w:t>
      </w:r>
    </w:p>
    <w:p w:rsidR="00EA40A3" w:rsidRDefault="00E86C16">
      <w:pPr>
        <w:spacing w:before="191" w:line="222" w:lineRule="auto"/>
        <w:rPr>
          <w:rFonts w:ascii="仿宋" w:eastAsia="仿宋" w:hAnsi="仿宋" w:cs="仿宋"/>
          <w:sz w:val="22"/>
          <w:szCs w:val="22"/>
        </w:rPr>
      </w:pPr>
      <w:r>
        <w:rPr>
          <w:rFonts w:ascii="仿宋" w:eastAsia="仿宋" w:hAnsi="仿宋" w:cs="仿宋"/>
          <w:spacing w:val="7"/>
          <w:sz w:val="22"/>
          <w:szCs w:val="22"/>
        </w:rPr>
        <w:t>6.</w:t>
      </w:r>
      <w:r>
        <w:rPr>
          <w:rFonts w:ascii="仿宋" w:eastAsia="仿宋" w:hAnsi="仿宋" w:cs="仿宋"/>
          <w:spacing w:val="-17"/>
          <w:sz w:val="22"/>
          <w:szCs w:val="22"/>
        </w:rPr>
        <w:t xml:space="preserve"> </w:t>
      </w:r>
      <w:r>
        <w:rPr>
          <w:rFonts w:ascii="仿宋" w:eastAsia="仿宋" w:hAnsi="仿宋" w:cs="仿宋"/>
          <w:spacing w:val="7"/>
          <w:sz w:val="22"/>
          <w:szCs w:val="22"/>
        </w:rPr>
        <w:t>膨化食品</w:t>
      </w:r>
    </w:p>
    <w:p w:rsidR="00EA40A3" w:rsidRDefault="00E86C16">
      <w:pPr>
        <w:spacing w:before="195" w:line="247" w:lineRule="auto"/>
        <w:ind w:right="50" w:firstLine="420"/>
        <w:jc w:val="both"/>
        <w:rPr>
          <w:rFonts w:ascii="宋体" w:eastAsia="宋体" w:hAnsi="宋体" w:cs="宋体"/>
          <w:sz w:val="22"/>
          <w:szCs w:val="22"/>
        </w:rPr>
      </w:pPr>
      <w:r>
        <w:rPr>
          <w:rFonts w:ascii="宋体" w:eastAsia="宋体" w:hAnsi="宋体" w:cs="宋体"/>
          <w:spacing w:val="-13"/>
          <w:sz w:val="22"/>
          <w:szCs w:val="22"/>
        </w:rPr>
        <w:t>现代膨化工艺中，除蛋白质的利用率降低之外，其他营养素损失不大。许多</w:t>
      </w:r>
      <w:r>
        <w:rPr>
          <w:rFonts w:ascii="宋体" w:eastAsia="宋体" w:hAnsi="宋体" w:cs="宋体"/>
          <w:spacing w:val="17"/>
          <w:sz w:val="22"/>
          <w:szCs w:val="22"/>
        </w:rPr>
        <w:t xml:space="preserve"> </w:t>
      </w:r>
      <w:r>
        <w:rPr>
          <w:rFonts w:ascii="宋体" w:eastAsia="宋体" w:hAnsi="宋体" w:cs="宋体"/>
          <w:spacing w:val="-11"/>
          <w:sz w:val="22"/>
          <w:szCs w:val="22"/>
        </w:rPr>
        <w:t>口感粗糙的“粗粮”经过膨化后口感得到改善，丰富了膳食纤维的来</w:t>
      </w:r>
      <w:r>
        <w:rPr>
          <w:rFonts w:ascii="宋体" w:eastAsia="宋体" w:hAnsi="宋体" w:cs="宋体"/>
          <w:spacing w:val="-12"/>
          <w:sz w:val="22"/>
          <w:szCs w:val="22"/>
        </w:rPr>
        <w:t>源。然而，</w:t>
      </w:r>
      <w:r>
        <w:rPr>
          <w:rFonts w:ascii="宋体" w:eastAsia="宋体" w:hAnsi="宋体" w:cs="宋体"/>
          <w:sz w:val="22"/>
          <w:szCs w:val="22"/>
        </w:rPr>
        <w:t xml:space="preserve"> </w:t>
      </w:r>
      <w:r>
        <w:rPr>
          <w:rFonts w:ascii="宋体" w:eastAsia="宋体" w:hAnsi="宋体" w:cs="宋体"/>
          <w:spacing w:val="-14"/>
          <w:sz w:val="22"/>
          <w:szCs w:val="22"/>
        </w:rPr>
        <w:t>用作日常零食的膨化食品大多含钠较高，维生素含量较</w:t>
      </w:r>
      <w:r>
        <w:rPr>
          <w:rFonts w:ascii="宋体" w:eastAsia="宋体" w:hAnsi="宋体" w:cs="宋体"/>
          <w:spacing w:val="-15"/>
          <w:sz w:val="22"/>
          <w:szCs w:val="22"/>
        </w:rPr>
        <w:t>低。</w:t>
      </w:r>
    </w:p>
    <w:p w:rsidR="00EA40A3" w:rsidRDefault="00EA40A3">
      <w:pPr>
        <w:sectPr w:rsidR="00EA40A3">
          <w:footerReference w:type="default" r:id="rId162"/>
          <w:pgSz w:w="9220" w:h="13360"/>
          <w:pgMar w:top="400" w:right="939" w:bottom="1185" w:left="919" w:header="0" w:footer="965" w:gutter="0"/>
          <w:cols w:space="720"/>
        </w:sectPr>
      </w:pPr>
    </w:p>
    <w:p w:rsidR="00EA40A3" w:rsidRDefault="00EA40A3">
      <w:pPr>
        <w:spacing w:line="300" w:lineRule="auto"/>
      </w:pPr>
    </w:p>
    <w:p w:rsidR="00EA40A3" w:rsidRDefault="00EA40A3">
      <w:pPr>
        <w:spacing w:line="301" w:lineRule="auto"/>
      </w:pPr>
    </w:p>
    <w:p w:rsidR="00EA40A3" w:rsidRDefault="00EA40A3">
      <w:pPr>
        <w:spacing w:line="301" w:lineRule="auto"/>
      </w:pPr>
    </w:p>
    <w:p w:rsidR="00EA40A3" w:rsidRDefault="00E86C16">
      <w:pPr>
        <w:spacing w:before="91" w:line="218" w:lineRule="auto"/>
        <w:ind w:left="1849"/>
        <w:rPr>
          <w:rFonts w:ascii="宋体" w:eastAsia="宋体" w:hAnsi="宋体" w:cs="宋体"/>
          <w:sz w:val="28"/>
          <w:szCs w:val="28"/>
        </w:rPr>
      </w:pPr>
      <w:r>
        <w:rPr>
          <w:rFonts w:ascii="宋体" w:eastAsia="宋体" w:hAnsi="宋体" w:cs="宋体"/>
          <w:spacing w:val="-2"/>
          <w:sz w:val="28"/>
          <w:szCs w:val="28"/>
        </w:rPr>
        <w:t>6.3</w:t>
      </w:r>
      <w:r>
        <w:rPr>
          <w:rFonts w:ascii="宋体" w:eastAsia="宋体" w:hAnsi="宋体" w:cs="宋体"/>
          <w:spacing w:val="116"/>
          <w:sz w:val="28"/>
          <w:szCs w:val="28"/>
        </w:rPr>
        <w:t xml:space="preserve"> </w:t>
      </w:r>
      <w:r>
        <w:rPr>
          <w:rFonts w:ascii="宋体" w:eastAsia="宋体" w:hAnsi="宋体" w:cs="宋体"/>
          <w:spacing w:val="-2"/>
          <w:sz w:val="28"/>
          <w:szCs w:val="28"/>
        </w:rPr>
        <w:t>豆类及坚果类的营养价值</w:t>
      </w:r>
    </w:p>
    <w:p w:rsidR="00EA40A3" w:rsidRDefault="00E86C16">
      <w:pPr>
        <w:spacing w:before="289" w:line="230" w:lineRule="auto"/>
        <w:ind w:right="86" w:firstLine="419"/>
        <w:rPr>
          <w:rFonts w:ascii="宋体" w:eastAsia="宋体" w:hAnsi="宋体" w:cs="宋体"/>
          <w:sz w:val="23"/>
          <w:szCs w:val="23"/>
        </w:rPr>
      </w:pPr>
      <w:r>
        <w:rPr>
          <w:rFonts w:ascii="宋体" w:eastAsia="宋体" w:hAnsi="宋体" w:cs="宋体"/>
          <w:spacing w:val="-23"/>
          <w:sz w:val="23"/>
          <w:szCs w:val="23"/>
        </w:rPr>
        <w:t>豆类和坚果类在营养上有一些共同之处，常常放在一起介绍。它们都富含植</w:t>
      </w:r>
      <w:r>
        <w:rPr>
          <w:rFonts w:ascii="宋体" w:eastAsia="宋体" w:hAnsi="宋体" w:cs="宋体"/>
          <w:spacing w:val="6"/>
          <w:sz w:val="23"/>
          <w:szCs w:val="23"/>
        </w:rPr>
        <w:t xml:space="preserve"> </w:t>
      </w:r>
      <w:r>
        <w:rPr>
          <w:rFonts w:ascii="宋体" w:eastAsia="宋体" w:hAnsi="宋体" w:cs="宋体"/>
          <w:spacing w:val="-20"/>
          <w:sz w:val="23"/>
          <w:szCs w:val="23"/>
        </w:rPr>
        <w:t>物蛋白，以及较多的B</w:t>
      </w:r>
      <w:r>
        <w:rPr>
          <w:rFonts w:ascii="宋体" w:eastAsia="宋体" w:hAnsi="宋体" w:cs="宋体"/>
          <w:spacing w:val="-42"/>
          <w:sz w:val="23"/>
          <w:szCs w:val="23"/>
        </w:rPr>
        <w:t xml:space="preserve"> </w:t>
      </w:r>
      <w:r>
        <w:rPr>
          <w:rFonts w:ascii="宋体" w:eastAsia="宋体" w:hAnsi="宋体" w:cs="宋体"/>
          <w:spacing w:val="-20"/>
          <w:sz w:val="23"/>
          <w:szCs w:val="23"/>
        </w:rPr>
        <w:t>族维生素和矿物质。</w:t>
      </w:r>
    </w:p>
    <w:p w:rsidR="00EA40A3" w:rsidRDefault="00E86C16">
      <w:pPr>
        <w:spacing w:before="211" w:line="221" w:lineRule="auto"/>
        <w:ind w:left="3"/>
        <w:outlineLvl w:val="6"/>
        <w:rPr>
          <w:rFonts w:ascii="黑体" w:eastAsia="黑体" w:hAnsi="黑体" w:cs="黑体"/>
          <w:sz w:val="23"/>
          <w:szCs w:val="23"/>
        </w:rPr>
      </w:pPr>
      <w:r>
        <w:rPr>
          <w:rFonts w:ascii="黑体" w:eastAsia="黑体" w:hAnsi="黑体" w:cs="黑体"/>
          <w:b/>
          <w:bCs/>
          <w:spacing w:val="2"/>
          <w:sz w:val="23"/>
          <w:szCs w:val="23"/>
        </w:rPr>
        <w:t>6.3.1</w:t>
      </w:r>
      <w:r>
        <w:rPr>
          <w:rFonts w:ascii="黑体" w:eastAsia="黑体" w:hAnsi="黑体" w:cs="黑体"/>
          <w:spacing w:val="48"/>
          <w:sz w:val="23"/>
          <w:szCs w:val="23"/>
        </w:rPr>
        <w:t xml:space="preserve">  </w:t>
      </w:r>
      <w:r>
        <w:rPr>
          <w:rFonts w:ascii="黑体" w:eastAsia="黑体" w:hAnsi="黑体" w:cs="黑体"/>
          <w:b/>
          <w:bCs/>
          <w:spacing w:val="2"/>
          <w:sz w:val="23"/>
          <w:szCs w:val="23"/>
        </w:rPr>
        <w:t>豆类及豆制品的营养价值</w:t>
      </w:r>
    </w:p>
    <w:p w:rsidR="00EA40A3" w:rsidRDefault="00E86C16">
      <w:pPr>
        <w:spacing w:before="170" w:line="238" w:lineRule="auto"/>
        <w:ind w:right="104" w:firstLine="419"/>
        <w:jc w:val="both"/>
        <w:rPr>
          <w:rFonts w:ascii="宋体" w:eastAsia="宋体" w:hAnsi="宋体" w:cs="宋体"/>
          <w:sz w:val="23"/>
          <w:szCs w:val="23"/>
        </w:rPr>
      </w:pPr>
      <w:r>
        <w:rPr>
          <w:rFonts w:ascii="宋体" w:eastAsia="宋体" w:hAnsi="宋体" w:cs="宋体"/>
          <w:spacing w:val="-17"/>
          <w:sz w:val="23"/>
          <w:szCs w:val="23"/>
        </w:rPr>
        <w:t>豆类包括各种豆科栽培植物的可食种子，其中以大豆最为重要，也包括红</w:t>
      </w:r>
      <w:r>
        <w:rPr>
          <w:rFonts w:ascii="宋体" w:eastAsia="宋体" w:hAnsi="宋体" w:cs="宋体"/>
          <w:spacing w:val="3"/>
          <w:sz w:val="23"/>
          <w:szCs w:val="23"/>
        </w:rPr>
        <w:t xml:space="preserve"> </w:t>
      </w:r>
      <w:r>
        <w:rPr>
          <w:rFonts w:ascii="宋体" w:eastAsia="宋体" w:hAnsi="宋体" w:cs="宋体"/>
          <w:spacing w:val="-23"/>
          <w:sz w:val="23"/>
          <w:szCs w:val="23"/>
        </w:rPr>
        <w:t>豆、绿豆、豌豆、蚕豆等各种杂豆。豆类与谷类种子结构不同，其营</w:t>
      </w:r>
      <w:r>
        <w:rPr>
          <w:rFonts w:ascii="宋体" w:eastAsia="宋体" w:hAnsi="宋体" w:cs="宋体"/>
          <w:spacing w:val="-24"/>
          <w:sz w:val="23"/>
          <w:szCs w:val="23"/>
        </w:rPr>
        <w:t>养成分主要</w:t>
      </w:r>
      <w:r>
        <w:rPr>
          <w:rFonts w:ascii="宋体" w:eastAsia="宋体" w:hAnsi="宋体" w:cs="宋体"/>
          <w:sz w:val="23"/>
          <w:szCs w:val="23"/>
        </w:rPr>
        <w:t xml:space="preserve"> </w:t>
      </w:r>
      <w:r>
        <w:rPr>
          <w:rFonts w:ascii="宋体" w:eastAsia="宋体" w:hAnsi="宋体" w:cs="宋体"/>
          <w:spacing w:val="-25"/>
          <w:sz w:val="23"/>
          <w:szCs w:val="23"/>
        </w:rPr>
        <w:t>在籽粒内部的子叶中，因此在加工中除去种皮不影响营养价值。</w:t>
      </w:r>
    </w:p>
    <w:p w:rsidR="00EA40A3" w:rsidRDefault="00E86C16">
      <w:pPr>
        <w:spacing w:before="196" w:line="221"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25"/>
          <w:sz w:val="23"/>
          <w:szCs w:val="23"/>
        </w:rPr>
        <w:t xml:space="preserve"> </w:t>
      </w:r>
      <w:r>
        <w:rPr>
          <w:rFonts w:ascii="仿宋" w:eastAsia="仿宋" w:hAnsi="仿宋" w:cs="仿宋"/>
          <w:spacing w:val="3"/>
          <w:sz w:val="23"/>
          <w:szCs w:val="23"/>
        </w:rPr>
        <w:t>大豆的营养特点</w:t>
      </w:r>
    </w:p>
    <w:p w:rsidR="00EA40A3" w:rsidRDefault="00E86C16">
      <w:pPr>
        <w:spacing w:before="167" w:line="234" w:lineRule="auto"/>
        <w:ind w:right="20" w:firstLine="419"/>
        <w:jc w:val="both"/>
        <w:rPr>
          <w:rFonts w:ascii="宋体" w:eastAsia="宋体" w:hAnsi="宋体" w:cs="宋体"/>
          <w:sz w:val="23"/>
          <w:szCs w:val="23"/>
        </w:rPr>
      </w:pPr>
      <w:r>
        <w:rPr>
          <w:rFonts w:ascii="宋体" w:eastAsia="宋体" w:hAnsi="宋体" w:cs="宋体"/>
          <w:spacing w:val="-23"/>
          <w:sz w:val="23"/>
          <w:szCs w:val="23"/>
        </w:rPr>
        <w:t>大豆包括黄大豆、青大豆、黑大豆、白大豆等品种，以黄大豆比较常见。黄</w:t>
      </w:r>
      <w:r>
        <w:rPr>
          <w:rFonts w:ascii="宋体" w:eastAsia="宋体" w:hAnsi="宋体" w:cs="宋体"/>
          <w:spacing w:val="6"/>
          <w:sz w:val="23"/>
          <w:szCs w:val="23"/>
        </w:rPr>
        <w:t xml:space="preserve"> </w:t>
      </w:r>
      <w:r>
        <w:rPr>
          <w:rFonts w:ascii="宋体" w:eastAsia="宋体" w:hAnsi="宋体" w:cs="宋体"/>
          <w:spacing w:val="-10"/>
          <w:sz w:val="23"/>
          <w:szCs w:val="23"/>
        </w:rPr>
        <w:t>大豆的蛋白质含量达35%～45%,是植物中蛋白质质量</w:t>
      </w:r>
      <w:r>
        <w:rPr>
          <w:rFonts w:ascii="宋体" w:eastAsia="宋体" w:hAnsi="宋体" w:cs="宋体"/>
          <w:spacing w:val="-11"/>
          <w:sz w:val="23"/>
          <w:szCs w:val="23"/>
        </w:rPr>
        <w:t>和数量最佳的作物之一。</w:t>
      </w:r>
      <w:r>
        <w:rPr>
          <w:rFonts w:ascii="宋体" w:eastAsia="宋体" w:hAnsi="宋体" w:cs="宋体"/>
          <w:sz w:val="23"/>
          <w:szCs w:val="23"/>
        </w:rPr>
        <w:t xml:space="preserve"> </w:t>
      </w:r>
      <w:r>
        <w:rPr>
          <w:rFonts w:ascii="宋体" w:eastAsia="宋体" w:hAnsi="宋体" w:cs="宋体"/>
          <w:spacing w:val="-25"/>
          <w:sz w:val="23"/>
          <w:szCs w:val="23"/>
        </w:rPr>
        <w:t>大豆蛋白质的赖氨酸含量高，但蛋氨酸为其限制氨基酸。</w:t>
      </w:r>
    </w:p>
    <w:p w:rsidR="00EA40A3" w:rsidRDefault="00E86C16">
      <w:pPr>
        <w:spacing w:before="49" w:line="241" w:lineRule="auto"/>
        <w:ind w:right="84" w:firstLine="419"/>
        <w:jc w:val="both"/>
        <w:rPr>
          <w:rFonts w:ascii="宋体" w:eastAsia="宋体" w:hAnsi="宋体" w:cs="宋体"/>
          <w:sz w:val="23"/>
          <w:szCs w:val="23"/>
        </w:rPr>
      </w:pPr>
      <w:r>
        <w:rPr>
          <w:rFonts w:ascii="宋体" w:eastAsia="宋体" w:hAnsi="宋体" w:cs="宋体"/>
          <w:spacing w:val="-23"/>
          <w:sz w:val="23"/>
          <w:szCs w:val="23"/>
        </w:rPr>
        <w:t>大豆蛋白质的赖氨酸含量达谷物蛋白质的两倍以上，如果与缺乏赖氨酸的谷</w:t>
      </w:r>
      <w:r>
        <w:rPr>
          <w:rFonts w:ascii="宋体" w:eastAsia="宋体" w:hAnsi="宋体" w:cs="宋体"/>
          <w:spacing w:val="8"/>
          <w:sz w:val="23"/>
          <w:szCs w:val="23"/>
        </w:rPr>
        <w:t xml:space="preserve"> </w:t>
      </w:r>
      <w:r>
        <w:rPr>
          <w:rFonts w:ascii="宋体" w:eastAsia="宋体" w:hAnsi="宋体" w:cs="宋体"/>
          <w:spacing w:val="-23"/>
          <w:sz w:val="23"/>
          <w:szCs w:val="23"/>
        </w:rPr>
        <w:t>类配合食用，则能够实现蛋白质的互补作用，使混合后的蛋白质生物价值达到肉</w:t>
      </w:r>
      <w:r>
        <w:rPr>
          <w:rFonts w:ascii="宋体" w:eastAsia="宋体" w:hAnsi="宋体" w:cs="宋体"/>
          <w:spacing w:val="4"/>
          <w:sz w:val="23"/>
          <w:szCs w:val="23"/>
        </w:rPr>
        <w:t xml:space="preserve"> </w:t>
      </w:r>
      <w:r>
        <w:rPr>
          <w:rFonts w:ascii="宋体" w:eastAsia="宋体" w:hAnsi="宋体" w:cs="宋体"/>
          <w:spacing w:val="-23"/>
          <w:sz w:val="23"/>
          <w:szCs w:val="23"/>
        </w:rPr>
        <w:t>类蛋白的水平。这一特点，对于因各种原因不能摄入足够动物性食品的人群特别</w:t>
      </w:r>
      <w:r>
        <w:rPr>
          <w:rFonts w:ascii="宋体" w:eastAsia="宋体" w:hAnsi="宋体" w:cs="宋体"/>
          <w:sz w:val="23"/>
          <w:szCs w:val="23"/>
        </w:rPr>
        <w:t xml:space="preserve"> </w:t>
      </w:r>
      <w:r>
        <w:rPr>
          <w:rFonts w:ascii="宋体" w:eastAsia="宋体" w:hAnsi="宋体" w:cs="宋体"/>
          <w:spacing w:val="-25"/>
          <w:sz w:val="23"/>
          <w:szCs w:val="23"/>
        </w:rPr>
        <w:t>具有重要意义。因此，在以谷类为主食的我国应大力提倡食用豆类。</w:t>
      </w:r>
    </w:p>
    <w:p w:rsidR="00EA40A3" w:rsidRDefault="00E86C16">
      <w:pPr>
        <w:spacing w:before="24" w:line="238" w:lineRule="auto"/>
        <w:ind w:right="65" w:firstLine="419"/>
        <w:jc w:val="both"/>
        <w:rPr>
          <w:rFonts w:ascii="宋体" w:eastAsia="宋体" w:hAnsi="宋体" w:cs="宋体"/>
          <w:sz w:val="23"/>
          <w:szCs w:val="23"/>
        </w:rPr>
      </w:pPr>
      <w:r>
        <w:rPr>
          <w:rFonts w:ascii="宋体" w:eastAsia="宋体" w:hAnsi="宋体" w:cs="宋体"/>
          <w:spacing w:val="-12"/>
          <w:sz w:val="23"/>
          <w:szCs w:val="23"/>
        </w:rPr>
        <w:t>大豆的脂肪含量为15%～20%,传统用来生产豆油。大豆油中的不饱和脂肪</w:t>
      </w:r>
      <w:r>
        <w:rPr>
          <w:rFonts w:ascii="宋体" w:eastAsia="宋体" w:hAnsi="宋体" w:cs="宋体"/>
          <w:spacing w:val="15"/>
          <w:sz w:val="23"/>
          <w:szCs w:val="23"/>
        </w:rPr>
        <w:t xml:space="preserve"> </w:t>
      </w:r>
      <w:r>
        <w:rPr>
          <w:rFonts w:ascii="宋体" w:eastAsia="宋体" w:hAnsi="宋体" w:cs="宋体"/>
          <w:spacing w:val="-2"/>
          <w:sz w:val="23"/>
          <w:szCs w:val="23"/>
        </w:rPr>
        <w:t>酸含量高达85%,亚油酸含量达50%以上，油酸达30%</w:t>
      </w:r>
      <w:r>
        <w:rPr>
          <w:rFonts w:ascii="宋体" w:eastAsia="宋体" w:hAnsi="宋体" w:cs="宋体"/>
          <w:spacing w:val="-3"/>
          <w:sz w:val="23"/>
          <w:szCs w:val="23"/>
        </w:rPr>
        <w:t>以上，维生素E</w:t>
      </w:r>
      <w:r>
        <w:rPr>
          <w:rFonts w:ascii="宋体" w:eastAsia="宋体" w:hAnsi="宋体" w:cs="宋体"/>
          <w:spacing w:val="-34"/>
          <w:sz w:val="23"/>
          <w:szCs w:val="23"/>
        </w:rPr>
        <w:t xml:space="preserve"> </w:t>
      </w:r>
      <w:r>
        <w:rPr>
          <w:rFonts w:ascii="宋体" w:eastAsia="宋体" w:hAnsi="宋体" w:cs="宋体"/>
          <w:spacing w:val="-3"/>
          <w:sz w:val="23"/>
          <w:szCs w:val="23"/>
        </w:rPr>
        <w:t>含量也</w:t>
      </w:r>
      <w:r>
        <w:rPr>
          <w:rFonts w:ascii="宋体" w:eastAsia="宋体" w:hAnsi="宋体" w:cs="宋体"/>
          <w:sz w:val="23"/>
          <w:szCs w:val="23"/>
        </w:rPr>
        <w:t xml:space="preserve"> </w:t>
      </w:r>
      <w:r>
        <w:rPr>
          <w:rFonts w:ascii="宋体" w:eastAsia="宋体" w:hAnsi="宋体" w:cs="宋体"/>
          <w:spacing w:val="-23"/>
          <w:sz w:val="23"/>
          <w:szCs w:val="23"/>
        </w:rPr>
        <w:t>很高，是一种优良的食用油脂。其黄色来自类胡萝卜素。大豆油中的亚麻酸含量</w:t>
      </w:r>
      <w:r>
        <w:rPr>
          <w:rFonts w:ascii="宋体" w:eastAsia="宋体" w:hAnsi="宋体" w:cs="宋体"/>
          <w:spacing w:val="12"/>
          <w:sz w:val="23"/>
          <w:szCs w:val="23"/>
        </w:rPr>
        <w:t xml:space="preserve"> </w:t>
      </w:r>
      <w:r>
        <w:rPr>
          <w:rFonts w:ascii="宋体" w:eastAsia="宋体" w:hAnsi="宋体" w:cs="宋体"/>
          <w:spacing w:val="-12"/>
          <w:sz w:val="23"/>
          <w:szCs w:val="23"/>
        </w:rPr>
        <w:t>因品种不同而有所差异，多在2%～10%之间。低亚麻酸、高油酸和亚油酸的</w:t>
      </w:r>
      <w:r>
        <w:rPr>
          <w:rFonts w:ascii="宋体" w:eastAsia="宋体" w:hAnsi="宋体" w:cs="宋体"/>
          <w:spacing w:val="-13"/>
          <w:sz w:val="23"/>
          <w:szCs w:val="23"/>
        </w:rPr>
        <w:t>品</w:t>
      </w:r>
      <w:r>
        <w:rPr>
          <w:rFonts w:ascii="宋体" w:eastAsia="宋体" w:hAnsi="宋体" w:cs="宋体"/>
          <w:sz w:val="23"/>
          <w:szCs w:val="23"/>
        </w:rPr>
        <w:t xml:space="preserve"> </w:t>
      </w:r>
      <w:r>
        <w:rPr>
          <w:rFonts w:ascii="宋体" w:eastAsia="宋体" w:hAnsi="宋体" w:cs="宋体"/>
          <w:spacing w:val="-23"/>
          <w:sz w:val="23"/>
          <w:szCs w:val="23"/>
        </w:rPr>
        <w:t>种受到欢迎，因为高亚麻酸的豆油容易发生油脂氧化，不利于加工和储藏。大豆</w:t>
      </w:r>
      <w:r>
        <w:rPr>
          <w:rFonts w:ascii="宋体" w:eastAsia="宋体" w:hAnsi="宋体" w:cs="宋体"/>
          <w:spacing w:val="13"/>
          <w:sz w:val="23"/>
          <w:szCs w:val="23"/>
        </w:rPr>
        <w:t xml:space="preserve"> </w:t>
      </w:r>
      <w:r>
        <w:rPr>
          <w:rFonts w:ascii="宋体" w:eastAsia="宋体" w:hAnsi="宋体" w:cs="宋体"/>
          <w:spacing w:val="-9"/>
          <w:sz w:val="23"/>
          <w:szCs w:val="23"/>
        </w:rPr>
        <w:t>含有较多磷脂，约占脂肪含量的2%～3%。在豆油的精制中，磷脂大部分被分</w:t>
      </w:r>
      <w:r>
        <w:rPr>
          <w:rFonts w:ascii="宋体" w:eastAsia="宋体" w:hAnsi="宋体" w:cs="宋体"/>
          <w:spacing w:val="3"/>
          <w:sz w:val="23"/>
          <w:szCs w:val="23"/>
        </w:rPr>
        <w:t xml:space="preserve"> </w:t>
      </w:r>
      <w:r>
        <w:rPr>
          <w:rFonts w:ascii="宋体" w:eastAsia="宋体" w:hAnsi="宋体" w:cs="宋体"/>
          <w:spacing w:val="-25"/>
          <w:sz w:val="23"/>
          <w:szCs w:val="23"/>
        </w:rPr>
        <w:t>离，成为食品加工中磷脂的主要来源。</w:t>
      </w:r>
    </w:p>
    <w:p w:rsidR="00EA40A3" w:rsidRDefault="00E86C16">
      <w:pPr>
        <w:spacing w:before="69" w:line="236" w:lineRule="auto"/>
        <w:ind w:firstLine="419"/>
        <w:jc w:val="both"/>
        <w:rPr>
          <w:rFonts w:ascii="宋体" w:eastAsia="宋体" w:hAnsi="宋体" w:cs="宋体"/>
          <w:sz w:val="23"/>
          <w:szCs w:val="23"/>
        </w:rPr>
      </w:pPr>
      <w:r>
        <w:rPr>
          <w:rFonts w:ascii="宋体" w:eastAsia="宋体" w:hAnsi="宋体" w:cs="宋体"/>
          <w:spacing w:val="-14"/>
          <w:sz w:val="23"/>
          <w:szCs w:val="23"/>
        </w:rPr>
        <w:t>大豆含25%～30%的碳水化合物，其中约一半左</w:t>
      </w:r>
      <w:r>
        <w:rPr>
          <w:rFonts w:ascii="宋体" w:eastAsia="宋体" w:hAnsi="宋体" w:cs="宋体"/>
          <w:spacing w:val="-15"/>
          <w:sz w:val="23"/>
          <w:szCs w:val="23"/>
        </w:rPr>
        <w:t>右是人体所不能消化的棉籽</w:t>
      </w:r>
      <w:r>
        <w:rPr>
          <w:rFonts w:ascii="宋体" w:eastAsia="宋体" w:hAnsi="宋体" w:cs="宋体"/>
          <w:sz w:val="23"/>
          <w:szCs w:val="23"/>
        </w:rPr>
        <w:t xml:space="preserve"> </w:t>
      </w:r>
      <w:r>
        <w:rPr>
          <w:rFonts w:ascii="宋体" w:eastAsia="宋体" w:hAnsi="宋体" w:cs="宋体"/>
          <w:spacing w:val="-23"/>
          <w:sz w:val="23"/>
          <w:szCs w:val="23"/>
        </w:rPr>
        <w:t>糖和水苏糖，此外还有由阿拉伯糖和半乳糖所构成的多糖。它们在大肠中能被微</w:t>
      </w:r>
      <w:r>
        <w:rPr>
          <w:rFonts w:ascii="宋体" w:eastAsia="宋体" w:hAnsi="宋体" w:cs="宋体"/>
          <w:spacing w:val="12"/>
          <w:sz w:val="23"/>
          <w:szCs w:val="23"/>
        </w:rPr>
        <w:t xml:space="preserve"> </w:t>
      </w:r>
      <w:r>
        <w:rPr>
          <w:rFonts w:ascii="宋体" w:eastAsia="宋体" w:hAnsi="宋体" w:cs="宋体"/>
          <w:spacing w:val="-23"/>
          <w:sz w:val="23"/>
          <w:szCs w:val="23"/>
        </w:rPr>
        <w:t>生物发酵，产生气体，引起腹胀。但同时也是肠内双歧杆菌的生长促进因子，因</w:t>
      </w:r>
      <w:r>
        <w:rPr>
          <w:rFonts w:ascii="宋体" w:eastAsia="宋体" w:hAnsi="宋体" w:cs="宋体"/>
          <w:spacing w:val="5"/>
          <w:sz w:val="23"/>
          <w:szCs w:val="23"/>
        </w:rPr>
        <w:t xml:space="preserve"> </w:t>
      </w:r>
      <w:r>
        <w:rPr>
          <w:rFonts w:ascii="宋体" w:eastAsia="宋体" w:hAnsi="宋体" w:cs="宋体"/>
          <w:spacing w:val="-20"/>
          <w:sz w:val="23"/>
          <w:szCs w:val="23"/>
        </w:rPr>
        <w:t>而无碍健康。在豆制品的加工过程中，这些碳水化合物溶于水而基</w:t>
      </w:r>
      <w:r>
        <w:rPr>
          <w:rFonts w:ascii="宋体" w:eastAsia="宋体" w:hAnsi="宋体" w:cs="宋体"/>
          <w:spacing w:val="-21"/>
          <w:sz w:val="23"/>
          <w:szCs w:val="23"/>
        </w:rPr>
        <w:t>本上被除去，</w:t>
      </w:r>
      <w:r>
        <w:rPr>
          <w:rFonts w:ascii="宋体" w:eastAsia="宋体" w:hAnsi="宋体" w:cs="宋体"/>
          <w:sz w:val="23"/>
          <w:szCs w:val="23"/>
        </w:rPr>
        <w:t xml:space="preserve"> </w:t>
      </w:r>
      <w:r>
        <w:rPr>
          <w:rFonts w:ascii="宋体" w:eastAsia="宋体" w:hAnsi="宋体" w:cs="宋体"/>
          <w:spacing w:val="-23"/>
          <w:sz w:val="23"/>
          <w:szCs w:val="23"/>
        </w:rPr>
        <w:t>因此食用豆制品不会引起严重的腹胀。</w:t>
      </w:r>
    </w:p>
    <w:p w:rsidR="00EA40A3" w:rsidRDefault="00E86C16">
      <w:pPr>
        <w:spacing w:before="59" w:line="228" w:lineRule="auto"/>
        <w:ind w:right="84" w:firstLine="419"/>
        <w:jc w:val="both"/>
        <w:rPr>
          <w:rFonts w:ascii="宋体" w:eastAsia="宋体" w:hAnsi="宋体" w:cs="宋体"/>
          <w:sz w:val="23"/>
          <w:szCs w:val="23"/>
        </w:rPr>
      </w:pPr>
      <w:r>
        <w:rPr>
          <w:rFonts w:ascii="宋体" w:eastAsia="宋体" w:hAnsi="宋体" w:cs="宋体"/>
          <w:spacing w:val="-13"/>
          <w:sz w:val="23"/>
          <w:szCs w:val="23"/>
        </w:rPr>
        <w:t>大豆中各种B</w:t>
      </w:r>
      <w:r>
        <w:rPr>
          <w:rFonts w:ascii="宋体" w:eastAsia="宋体" w:hAnsi="宋体" w:cs="宋体"/>
          <w:spacing w:val="-37"/>
          <w:sz w:val="23"/>
          <w:szCs w:val="23"/>
        </w:rPr>
        <w:t xml:space="preserve"> </w:t>
      </w:r>
      <w:r>
        <w:rPr>
          <w:rFonts w:ascii="宋体" w:eastAsia="宋体" w:hAnsi="宋体" w:cs="宋体"/>
          <w:spacing w:val="-13"/>
          <w:sz w:val="23"/>
          <w:szCs w:val="23"/>
        </w:rPr>
        <w:t>族维生素都比较高，例如维生素B</w:t>
      </w:r>
      <w:r>
        <w:rPr>
          <w:rFonts w:ascii="Calibri" w:eastAsia="Calibri" w:hAnsi="Calibri" w:cs="Calibri"/>
          <w:spacing w:val="-13"/>
          <w:sz w:val="23"/>
          <w:szCs w:val="23"/>
        </w:rPr>
        <w:t>₁</w:t>
      </w:r>
      <w:r>
        <w:rPr>
          <w:rFonts w:ascii="Calibri" w:eastAsia="Calibri" w:hAnsi="Calibri" w:cs="Calibri"/>
          <w:spacing w:val="-27"/>
          <w:sz w:val="23"/>
          <w:szCs w:val="23"/>
        </w:rPr>
        <w:t xml:space="preserve"> </w:t>
      </w:r>
      <w:r>
        <w:rPr>
          <w:rFonts w:ascii="宋体" w:eastAsia="宋体" w:hAnsi="宋体" w:cs="宋体"/>
          <w:spacing w:val="-13"/>
          <w:sz w:val="23"/>
          <w:szCs w:val="23"/>
        </w:rPr>
        <w:t>、维</w:t>
      </w:r>
      <w:r>
        <w:rPr>
          <w:rFonts w:ascii="宋体" w:eastAsia="宋体" w:hAnsi="宋体" w:cs="宋体"/>
          <w:spacing w:val="-14"/>
          <w:sz w:val="23"/>
          <w:szCs w:val="23"/>
        </w:rPr>
        <w:t>生素B2的含量是面粉</w:t>
      </w:r>
      <w:r>
        <w:rPr>
          <w:rFonts w:ascii="宋体" w:eastAsia="宋体" w:hAnsi="宋体" w:cs="宋体"/>
          <w:sz w:val="23"/>
          <w:szCs w:val="23"/>
        </w:rPr>
        <w:t xml:space="preserve"> </w:t>
      </w:r>
      <w:r>
        <w:rPr>
          <w:rFonts w:ascii="宋体" w:eastAsia="宋体" w:hAnsi="宋体" w:cs="宋体"/>
          <w:spacing w:val="-16"/>
          <w:sz w:val="23"/>
          <w:szCs w:val="23"/>
        </w:rPr>
        <w:t>的两倍以上。黄大豆含有少量胡萝卜素。但是，干大豆中不含维生素</w:t>
      </w:r>
      <w:r>
        <w:rPr>
          <w:rFonts w:ascii="宋体" w:eastAsia="宋体" w:hAnsi="宋体" w:cs="宋体"/>
          <w:spacing w:val="-17"/>
          <w:sz w:val="23"/>
          <w:szCs w:val="23"/>
        </w:rPr>
        <w:t>C</w:t>
      </w:r>
      <w:r>
        <w:rPr>
          <w:rFonts w:ascii="宋体" w:eastAsia="宋体" w:hAnsi="宋体" w:cs="宋体"/>
          <w:spacing w:val="-13"/>
          <w:sz w:val="23"/>
          <w:szCs w:val="23"/>
        </w:rPr>
        <w:t xml:space="preserve"> </w:t>
      </w:r>
      <w:r>
        <w:rPr>
          <w:rFonts w:ascii="宋体" w:eastAsia="宋体" w:hAnsi="宋体" w:cs="宋体"/>
          <w:spacing w:val="-17"/>
          <w:sz w:val="23"/>
          <w:szCs w:val="23"/>
        </w:rPr>
        <w:t>和维生</w:t>
      </w:r>
      <w:r>
        <w:rPr>
          <w:rFonts w:ascii="宋体" w:eastAsia="宋体" w:hAnsi="宋体" w:cs="宋体"/>
          <w:sz w:val="23"/>
          <w:szCs w:val="23"/>
        </w:rPr>
        <w:t xml:space="preserve"> </w:t>
      </w:r>
      <w:r>
        <w:rPr>
          <w:rFonts w:ascii="宋体" w:eastAsia="宋体" w:hAnsi="宋体" w:cs="宋体"/>
          <w:spacing w:val="-5"/>
          <w:sz w:val="23"/>
          <w:szCs w:val="23"/>
        </w:rPr>
        <w:t>素D。</w:t>
      </w:r>
    </w:p>
    <w:p w:rsidR="00EA40A3" w:rsidRDefault="00E86C16">
      <w:pPr>
        <w:spacing w:before="45" w:line="239" w:lineRule="auto"/>
        <w:ind w:right="85" w:firstLine="419"/>
        <w:jc w:val="both"/>
        <w:rPr>
          <w:rFonts w:ascii="宋体" w:eastAsia="宋体" w:hAnsi="宋体" w:cs="宋体"/>
          <w:sz w:val="23"/>
          <w:szCs w:val="23"/>
        </w:rPr>
      </w:pPr>
      <w:r>
        <w:rPr>
          <w:rFonts w:ascii="宋体" w:eastAsia="宋体" w:hAnsi="宋体" w:cs="宋体"/>
          <w:spacing w:val="-5"/>
          <w:sz w:val="23"/>
          <w:szCs w:val="23"/>
        </w:rPr>
        <w:t>大豆中含有丰富的矿物质，总含量约4.5%～5.0%,其中钙的含量高于</w:t>
      </w:r>
      <w:r>
        <w:rPr>
          <w:rFonts w:ascii="宋体" w:eastAsia="宋体" w:hAnsi="宋体" w:cs="宋体"/>
          <w:spacing w:val="-6"/>
          <w:sz w:val="23"/>
          <w:szCs w:val="23"/>
        </w:rPr>
        <w:t>普</w:t>
      </w:r>
      <w:r>
        <w:rPr>
          <w:rFonts w:ascii="宋体" w:eastAsia="宋体" w:hAnsi="宋体" w:cs="宋体"/>
          <w:sz w:val="23"/>
          <w:szCs w:val="23"/>
        </w:rPr>
        <w:t xml:space="preserve"> </w:t>
      </w:r>
      <w:r>
        <w:rPr>
          <w:rFonts w:ascii="宋体" w:eastAsia="宋体" w:hAnsi="宋体" w:cs="宋体"/>
          <w:spacing w:val="-23"/>
          <w:sz w:val="23"/>
          <w:szCs w:val="23"/>
        </w:rPr>
        <w:t>通谷类食品，铁、锰、锌、铜、硒等微量元素的含量也较高。此外，豆类是一类</w:t>
      </w:r>
    </w:p>
    <w:p w:rsidR="00EA40A3" w:rsidRDefault="00E86C16">
      <w:pPr>
        <w:spacing w:before="51"/>
        <w:ind w:left="149"/>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192</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footerReference w:type="default" r:id="rId163"/>
          <w:pgSz w:w="9220" w:h="13360"/>
          <w:pgMar w:top="400" w:right="1014" w:bottom="400" w:left="860" w:header="0" w:footer="0" w:gutter="0"/>
          <w:cols w:space="720"/>
        </w:sectPr>
      </w:pPr>
    </w:p>
    <w:p w:rsidR="00EA40A3" w:rsidRDefault="00EA40A3">
      <w:pPr>
        <w:spacing w:line="287" w:lineRule="auto"/>
      </w:pPr>
    </w:p>
    <w:p w:rsidR="00EA40A3" w:rsidRDefault="00EA40A3">
      <w:pPr>
        <w:spacing w:line="288" w:lineRule="auto"/>
      </w:pPr>
    </w:p>
    <w:p w:rsidR="00EA40A3" w:rsidRDefault="00E86C16">
      <w:pPr>
        <w:spacing w:before="69" w:line="255" w:lineRule="auto"/>
        <w:ind w:right="130"/>
        <w:rPr>
          <w:rFonts w:ascii="宋体" w:eastAsia="宋体" w:hAnsi="宋体" w:cs="宋体"/>
        </w:rPr>
      </w:pPr>
      <w:r>
        <w:rPr>
          <w:rFonts w:ascii="宋体" w:eastAsia="宋体" w:hAnsi="宋体" w:cs="宋体"/>
          <w:spacing w:val="-3"/>
        </w:rPr>
        <w:t>高钾、高镁、低钠的碱性食品，有利于维持体液的酸碱平衡。需要</w:t>
      </w:r>
      <w:r>
        <w:rPr>
          <w:rFonts w:ascii="宋体" w:eastAsia="宋体" w:hAnsi="宋体" w:cs="宋体"/>
          <w:spacing w:val="-4"/>
        </w:rPr>
        <w:t>注意的是，大</w:t>
      </w:r>
      <w:r>
        <w:rPr>
          <w:rFonts w:ascii="宋体" w:eastAsia="宋体" w:hAnsi="宋体" w:cs="宋体"/>
        </w:rPr>
        <w:t xml:space="preserve"> </w:t>
      </w:r>
      <w:r>
        <w:rPr>
          <w:rFonts w:ascii="宋体" w:eastAsia="宋体" w:hAnsi="宋体" w:cs="宋体"/>
          <w:spacing w:val="1"/>
        </w:rPr>
        <w:t>豆中的矿物质生物利用率较低，如铁的生物利用率仅有3%左右。</w:t>
      </w:r>
    </w:p>
    <w:p w:rsidR="00EA40A3" w:rsidRDefault="00E86C16">
      <w:pPr>
        <w:spacing w:before="41" w:line="250" w:lineRule="auto"/>
        <w:ind w:right="101" w:firstLine="450"/>
        <w:rPr>
          <w:rFonts w:ascii="宋体" w:eastAsia="宋体" w:hAnsi="宋体" w:cs="宋体"/>
        </w:rPr>
      </w:pPr>
      <w:r>
        <w:rPr>
          <w:rFonts w:ascii="宋体" w:eastAsia="宋体" w:hAnsi="宋体" w:cs="宋体"/>
          <w:spacing w:val="-3"/>
        </w:rPr>
        <w:t>除营养物质之外，大豆还含有多种有益健康的</w:t>
      </w:r>
      <w:r>
        <w:rPr>
          <w:rFonts w:ascii="宋体" w:eastAsia="宋体" w:hAnsi="宋体" w:cs="宋体"/>
          <w:spacing w:val="-4"/>
        </w:rPr>
        <w:t>物质，如大豆皂苷、大豆异黄</w:t>
      </w:r>
      <w:r>
        <w:rPr>
          <w:rFonts w:ascii="宋体" w:eastAsia="宋体" w:hAnsi="宋体" w:cs="宋体"/>
        </w:rPr>
        <w:t xml:space="preserve"> </w:t>
      </w:r>
      <w:r>
        <w:rPr>
          <w:rFonts w:ascii="宋体" w:eastAsia="宋体" w:hAnsi="宋体" w:cs="宋体"/>
          <w:spacing w:val="-7"/>
        </w:rPr>
        <w:t>酮、大豆固醇、大豆低聚糖等。</w:t>
      </w:r>
    </w:p>
    <w:p w:rsidR="00EA40A3" w:rsidRDefault="00E86C16">
      <w:pPr>
        <w:spacing w:before="187" w:line="221" w:lineRule="auto"/>
        <w:rPr>
          <w:rFonts w:ascii="仿宋" w:eastAsia="仿宋" w:hAnsi="仿宋" w:cs="仿宋"/>
          <w:sz w:val="24"/>
          <w:szCs w:val="24"/>
        </w:rPr>
      </w:pPr>
      <w:r>
        <w:rPr>
          <w:rFonts w:ascii="仿宋" w:eastAsia="仿宋" w:hAnsi="仿宋" w:cs="仿宋"/>
          <w:spacing w:val="-3"/>
          <w:sz w:val="24"/>
          <w:szCs w:val="24"/>
        </w:rPr>
        <w:t>2.</w:t>
      </w:r>
      <w:r>
        <w:rPr>
          <w:rFonts w:ascii="仿宋" w:eastAsia="仿宋" w:hAnsi="仿宋" w:cs="仿宋"/>
          <w:spacing w:val="-44"/>
          <w:sz w:val="24"/>
          <w:szCs w:val="24"/>
        </w:rPr>
        <w:t xml:space="preserve"> </w:t>
      </w:r>
      <w:r>
        <w:rPr>
          <w:rFonts w:ascii="仿宋" w:eastAsia="仿宋" w:hAnsi="仿宋" w:cs="仿宋"/>
          <w:spacing w:val="-3"/>
          <w:sz w:val="24"/>
          <w:szCs w:val="24"/>
        </w:rPr>
        <w:t>其他豆类的营养价值</w:t>
      </w:r>
    </w:p>
    <w:p w:rsidR="00EA40A3" w:rsidRDefault="00E86C16">
      <w:pPr>
        <w:spacing w:before="202" w:line="242" w:lineRule="auto"/>
        <w:ind w:right="61" w:firstLine="450"/>
        <w:rPr>
          <w:rFonts w:ascii="宋体" w:eastAsia="宋体" w:hAnsi="宋体" w:cs="宋体"/>
        </w:rPr>
      </w:pPr>
      <w:r>
        <w:rPr>
          <w:rFonts w:ascii="宋体" w:eastAsia="宋体" w:hAnsi="宋体" w:cs="宋体"/>
          <w:spacing w:val="-8"/>
        </w:rPr>
        <w:t>除大豆之外，其他各种豆类也具有较高营养价值，包括</w:t>
      </w:r>
      <w:r>
        <w:rPr>
          <w:rFonts w:ascii="宋体" w:eastAsia="宋体" w:hAnsi="宋体" w:cs="宋体"/>
          <w:spacing w:val="-9"/>
        </w:rPr>
        <w:t>红豆、绿豆、蚕豆、豌</w:t>
      </w:r>
      <w:r>
        <w:rPr>
          <w:rFonts w:ascii="宋体" w:eastAsia="宋体" w:hAnsi="宋体" w:cs="宋体"/>
        </w:rPr>
        <w:t xml:space="preserve"> </w:t>
      </w:r>
      <w:r>
        <w:rPr>
          <w:rFonts w:ascii="宋体" w:eastAsia="宋体" w:hAnsi="宋体" w:cs="宋体"/>
          <w:spacing w:val="-14"/>
        </w:rPr>
        <w:t>豆、豇豆、芸豆、扁豆等。它们的脂肪含量低而淀粉含量高，被称</w:t>
      </w:r>
      <w:r>
        <w:rPr>
          <w:rFonts w:ascii="宋体" w:eastAsia="宋体" w:hAnsi="宋体" w:cs="宋体"/>
          <w:spacing w:val="-15"/>
        </w:rPr>
        <w:t>为淀粉类干豆。</w:t>
      </w:r>
    </w:p>
    <w:p w:rsidR="00EA40A3" w:rsidRDefault="00E86C16">
      <w:pPr>
        <w:spacing w:before="78" w:line="255" w:lineRule="auto"/>
        <w:ind w:right="94" w:firstLine="450"/>
        <w:rPr>
          <w:rFonts w:ascii="宋体" w:eastAsia="宋体" w:hAnsi="宋体" w:cs="宋体"/>
        </w:rPr>
      </w:pPr>
      <w:r>
        <w:rPr>
          <w:rFonts w:ascii="宋体" w:eastAsia="宋体" w:hAnsi="宋体" w:cs="宋体"/>
          <w:spacing w:val="15"/>
        </w:rPr>
        <w:t>淀粉型干豆的淀粉含量达55%～60%,而脂肪含量低于2%,</w:t>
      </w:r>
      <w:r>
        <w:rPr>
          <w:rFonts w:ascii="宋体" w:eastAsia="宋体" w:hAnsi="宋体" w:cs="宋体"/>
          <w:spacing w:val="14"/>
        </w:rPr>
        <w:t>所以常被并入</w:t>
      </w:r>
      <w:r>
        <w:rPr>
          <w:rFonts w:ascii="宋体" w:eastAsia="宋体" w:hAnsi="宋体" w:cs="宋体"/>
        </w:rPr>
        <w:t xml:space="preserve"> </w:t>
      </w:r>
      <w:r>
        <w:rPr>
          <w:rFonts w:ascii="宋体" w:eastAsia="宋体" w:hAnsi="宋体" w:cs="宋体"/>
          <w:spacing w:val="7"/>
        </w:rPr>
        <w:t>粮食类中。它们的蛋白质含量一般都在20%以上，其</w:t>
      </w:r>
      <w:r>
        <w:rPr>
          <w:rFonts w:ascii="宋体" w:eastAsia="宋体" w:hAnsi="宋体" w:cs="宋体"/>
          <w:spacing w:val="6"/>
        </w:rPr>
        <w:t>蛋白质的质量较好，富含</w:t>
      </w:r>
      <w:r>
        <w:rPr>
          <w:rFonts w:ascii="宋体" w:eastAsia="宋体" w:hAnsi="宋体" w:cs="宋体"/>
        </w:rPr>
        <w:t xml:space="preserve"> </w:t>
      </w:r>
      <w:r>
        <w:rPr>
          <w:rFonts w:ascii="宋体" w:eastAsia="宋体" w:hAnsi="宋体" w:cs="宋体"/>
          <w:spacing w:val="-2"/>
        </w:rPr>
        <w:t>赖氨酸，但是蛋氨酸不足，因此也可以很好地与谷类食品发</w:t>
      </w:r>
      <w:r>
        <w:rPr>
          <w:rFonts w:ascii="宋体" w:eastAsia="宋体" w:hAnsi="宋体" w:cs="宋体"/>
          <w:spacing w:val="-3"/>
        </w:rPr>
        <w:t>挥营养互补作用。淀</w:t>
      </w:r>
      <w:r>
        <w:rPr>
          <w:rFonts w:ascii="宋体" w:eastAsia="宋体" w:hAnsi="宋体" w:cs="宋体"/>
        </w:rPr>
        <w:t xml:space="preserve"> </w:t>
      </w:r>
      <w:r>
        <w:rPr>
          <w:rFonts w:ascii="宋体" w:eastAsia="宋体" w:hAnsi="宋体" w:cs="宋体"/>
          <w:spacing w:val="1"/>
        </w:rPr>
        <w:t>粉类干豆的B</w:t>
      </w:r>
      <w:r>
        <w:rPr>
          <w:rFonts w:ascii="宋体" w:eastAsia="宋体" w:hAnsi="宋体" w:cs="宋体"/>
          <w:spacing w:val="-7"/>
        </w:rPr>
        <w:t xml:space="preserve"> </w:t>
      </w:r>
      <w:r>
        <w:rPr>
          <w:rFonts w:ascii="宋体" w:eastAsia="宋体" w:hAnsi="宋体" w:cs="宋体"/>
          <w:spacing w:val="1"/>
        </w:rPr>
        <w:t>族维生素和矿物质含量也比较高，与大豆相当。表6-5中列出几种</w:t>
      </w:r>
      <w:r>
        <w:rPr>
          <w:rFonts w:ascii="宋体" w:eastAsia="宋体" w:hAnsi="宋体" w:cs="宋体"/>
        </w:rPr>
        <w:t xml:space="preserve"> </w:t>
      </w:r>
      <w:r>
        <w:rPr>
          <w:rFonts w:ascii="宋体" w:eastAsia="宋体" w:hAnsi="宋体" w:cs="宋体"/>
          <w:spacing w:val="-9"/>
        </w:rPr>
        <w:t>豆类的营养价值。</w:t>
      </w:r>
    </w:p>
    <w:p w:rsidR="00EA40A3" w:rsidRDefault="00EA40A3">
      <w:pPr>
        <w:spacing w:line="308" w:lineRule="auto"/>
      </w:pPr>
    </w:p>
    <w:p w:rsidR="00EA40A3" w:rsidRDefault="00E86C16">
      <w:pPr>
        <w:spacing w:before="69" w:line="221" w:lineRule="auto"/>
        <w:ind w:left="2592"/>
        <w:rPr>
          <w:rFonts w:ascii="黑体" w:eastAsia="黑体" w:hAnsi="黑体" w:cs="黑体"/>
        </w:rPr>
      </w:pPr>
      <w:r>
        <w:rPr>
          <w:rFonts w:ascii="黑体" w:eastAsia="黑体" w:hAnsi="黑体" w:cs="黑体"/>
          <w:b/>
          <w:bCs/>
          <w:spacing w:val="-14"/>
          <w:w w:val="93"/>
        </w:rPr>
        <w:t>表6-5</w:t>
      </w:r>
      <w:r>
        <w:rPr>
          <w:rFonts w:ascii="黑体" w:eastAsia="黑体" w:hAnsi="黑体" w:cs="黑体"/>
          <w:spacing w:val="67"/>
        </w:rPr>
        <w:t xml:space="preserve"> </w:t>
      </w:r>
      <w:r>
        <w:rPr>
          <w:rFonts w:ascii="黑体" w:eastAsia="黑体" w:hAnsi="黑体" w:cs="黑体"/>
          <w:b/>
          <w:bCs/>
          <w:spacing w:val="-14"/>
          <w:w w:val="93"/>
        </w:rPr>
        <w:t>几种豆类的营养价值</w:t>
      </w:r>
    </w:p>
    <w:p w:rsidR="00EA40A3" w:rsidRDefault="00EA40A3">
      <w:pPr>
        <w:spacing w:line="30" w:lineRule="exact"/>
      </w:pPr>
    </w:p>
    <w:tbl>
      <w:tblPr>
        <w:tblStyle w:val="TableNormal"/>
        <w:tblW w:w="732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33"/>
        <w:gridCol w:w="956"/>
        <w:gridCol w:w="950"/>
        <w:gridCol w:w="911"/>
        <w:gridCol w:w="974"/>
        <w:gridCol w:w="1825"/>
        <w:gridCol w:w="1080"/>
      </w:tblGrid>
      <w:tr w:rsidR="00EA40A3">
        <w:trPr>
          <w:trHeight w:val="572"/>
        </w:trPr>
        <w:tc>
          <w:tcPr>
            <w:tcW w:w="633" w:type="dxa"/>
            <w:tcBorders>
              <w:top w:val="single" w:sz="4" w:space="0" w:color="000000"/>
              <w:bottom w:val="single" w:sz="4" w:space="0" w:color="000000"/>
            </w:tcBorders>
          </w:tcPr>
          <w:p w:rsidR="00EA40A3" w:rsidRDefault="00E86C16">
            <w:pPr>
              <w:spacing w:before="213" w:line="221" w:lineRule="auto"/>
              <w:ind w:left="190"/>
              <w:rPr>
                <w:rFonts w:ascii="宋体" w:eastAsia="宋体" w:hAnsi="宋体" w:cs="宋体"/>
                <w:sz w:val="16"/>
                <w:szCs w:val="16"/>
              </w:rPr>
            </w:pPr>
            <w:r>
              <w:rPr>
                <w:rFonts w:ascii="宋体" w:eastAsia="宋体" w:hAnsi="宋体" w:cs="宋体"/>
                <w:spacing w:val="-3"/>
                <w:sz w:val="16"/>
                <w:szCs w:val="16"/>
              </w:rPr>
              <w:t>名称</w:t>
            </w:r>
          </w:p>
        </w:tc>
        <w:tc>
          <w:tcPr>
            <w:tcW w:w="956" w:type="dxa"/>
            <w:tcBorders>
              <w:top w:val="single" w:sz="4" w:space="0" w:color="000000"/>
              <w:bottom w:val="single" w:sz="4" w:space="0" w:color="000000"/>
            </w:tcBorders>
          </w:tcPr>
          <w:p w:rsidR="00EA40A3" w:rsidRDefault="00E86C16">
            <w:pPr>
              <w:spacing w:before="122" w:line="242" w:lineRule="auto"/>
              <w:ind w:left="137" w:right="104" w:firstLine="119"/>
              <w:rPr>
                <w:rFonts w:ascii="宋体" w:eastAsia="宋体" w:hAnsi="宋体" w:cs="宋体"/>
                <w:sz w:val="16"/>
                <w:szCs w:val="16"/>
              </w:rPr>
            </w:pPr>
            <w:r>
              <w:rPr>
                <w:rFonts w:ascii="宋体" w:eastAsia="宋体" w:hAnsi="宋体" w:cs="宋体"/>
                <w:spacing w:val="6"/>
                <w:sz w:val="16"/>
                <w:szCs w:val="16"/>
              </w:rPr>
              <w:t>蛋白质</w:t>
            </w:r>
            <w:r>
              <w:rPr>
                <w:rFonts w:ascii="宋体" w:eastAsia="宋体" w:hAnsi="宋体" w:cs="宋体"/>
                <w:sz w:val="16"/>
                <w:szCs w:val="16"/>
              </w:rPr>
              <w:t xml:space="preserve">  </w:t>
            </w:r>
            <w:r>
              <w:rPr>
                <w:rFonts w:ascii="宋体" w:eastAsia="宋体" w:hAnsi="宋体" w:cs="宋体"/>
                <w:spacing w:val="-1"/>
                <w:sz w:val="16"/>
                <w:szCs w:val="16"/>
              </w:rPr>
              <w:t>/(g/100g)</w:t>
            </w:r>
          </w:p>
        </w:tc>
        <w:tc>
          <w:tcPr>
            <w:tcW w:w="950" w:type="dxa"/>
            <w:tcBorders>
              <w:top w:val="single" w:sz="4" w:space="0" w:color="000000"/>
              <w:bottom w:val="single" w:sz="4" w:space="0" w:color="000000"/>
            </w:tcBorders>
          </w:tcPr>
          <w:p w:rsidR="00EA40A3" w:rsidRDefault="00E86C16">
            <w:pPr>
              <w:spacing w:before="112" w:line="220" w:lineRule="auto"/>
              <w:ind w:left="341"/>
              <w:rPr>
                <w:rFonts w:ascii="宋体" w:eastAsia="宋体" w:hAnsi="宋体" w:cs="宋体"/>
                <w:sz w:val="16"/>
                <w:szCs w:val="16"/>
              </w:rPr>
            </w:pPr>
            <w:r>
              <w:rPr>
                <w:rFonts w:ascii="宋体" w:eastAsia="宋体" w:hAnsi="宋体" w:cs="宋体"/>
                <w:spacing w:val="-2"/>
                <w:sz w:val="16"/>
                <w:szCs w:val="16"/>
              </w:rPr>
              <w:t>脂肪</w:t>
            </w:r>
          </w:p>
          <w:p w:rsidR="00EA40A3" w:rsidRDefault="00E86C16">
            <w:pPr>
              <w:spacing w:before="83" w:line="214" w:lineRule="auto"/>
              <w:ind w:left="141"/>
              <w:rPr>
                <w:rFonts w:ascii="宋体" w:eastAsia="宋体" w:hAnsi="宋体" w:cs="宋体"/>
                <w:sz w:val="16"/>
                <w:szCs w:val="16"/>
              </w:rPr>
            </w:pPr>
            <w:r>
              <w:rPr>
                <w:rFonts w:ascii="宋体" w:eastAsia="宋体" w:hAnsi="宋体" w:cs="宋体"/>
                <w:spacing w:val="-1"/>
                <w:sz w:val="16"/>
                <w:szCs w:val="16"/>
              </w:rPr>
              <w:t>/(g/100g)</w:t>
            </w:r>
          </w:p>
        </w:tc>
        <w:tc>
          <w:tcPr>
            <w:tcW w:w="911" w:type="dxa"/>
            <w:tcBorders>
              <w:top w:val="single" w:sz="4" w:space="0" w:color="000000"/>
              <w:bottom w:val="single" w:sz="4" w:space="0" w:color="000000"/>
            </w:tcBorders>
          </w:tcPr>
          <w:p w:rsidR="00EA40A3" w:rsidRDefault="00E86C16">
            <w:pPr>
              <w:spacing w:before="131" w:line="254" w:lineRule="auto"/>
              <w:ind w:left="131" w:right="94" w:firstLine="120"/>
              <w:rPr>
                <w:rFonts w:ascii="宋体" w:eastAsia="宋体" w:hAnsi="宋体" w:cs="宋体"/>
                <w:sz w:val="16"/>
                <w:szCs w:val="16"/>
              </w:rPr>
            </w:pPr>
            <w:r>
              <w:rPr>
                <w:rFonts w:ascii="宋体" w:eastAsia="宋体" w:hAnsi="宋体" w:cs="宋体"/>
                <w:spacing w:val="-2"/>
                <w:sz w:val="16"/>
                <w:szCs w:val="16"/>
              </w:rPr>
              <w:t>硫胺素</w:t>
            </w:r>
            <w:r>
              <w:rPr>
                <w:rFonts w:ascii="宋体" w:eastAsia="宋体" w:hAnsi="宋体" w:cs="宋体"/>
                <w:sz w:val="16"/>
                <w:szCs w:val="16"/>
              </w:rPr>
              <w:t xml:space="preserve">  </w:t>
            </w:r>
            <w:r>
              <w:rPr>
                <w:rFonts w:ascii="宋体" w:eastAsia="宋体" w:hAnsi="宋体" w:cs="宋体"/>
                <w:spacing w:val="-4"/>
                <w:sz w:val="16"/>
                <w:szCs w:val="16"/>
              </w:rPr>
              <w:t>(mg/100g)</w:t>
            </w:r>
          </w:p>
        </w:tc>
        <w:tc>
          <w:tcPr>
            <w:tcW w:w="974" w:type="dxa"/>
            <w:tcBorders>
              <w:top w:val="single" w:sz="4" w:space="0" w:color="000000"/>
              <w:bottom w:val="single" w:sz="4" w:space="0" w:color="000000"/>
            </w:tcBorders>
          </w:tcPr>
          <w:p w:rsidR="00EA40A3" w:rsidRDefault="00E86C16">
            <w:pPr>
              <w:spacing w:before="131" w:line="219" w:lineRule="auto"/>
              <w:ind w:left="290"/>
              <w:rPr>
                <w:rFonts w:ascii="宋体" w:eastAsia="宋体" w:hAnsi="宋体" w:cs="宋体"/>
                <w:sz w:val="16"/>
                <w:szCs w:val="16"/>
              </w:rPr>
            </w:pPr>
            <w:r>
              <w:rPr>
                <w:rFonts w:ascii="宋体" w:eastAsia="宋体" w:hAnsi="宋体" w:cs="宋体"/>
                <w:spacing w:val="-2"/>
                <w:sz w:val="16"/>
                <w:szCs w:val="16"/>
              </w:rPr>
              <w:t>核黄素</w:t>
            </w:r>
          </w:p>
          <w:p w:rsidR="00EA40A3" w:rsidRDefault="00E86C16">
            <w:pPr>
              <w:spacing w:before="64" w:line="214" w:lineRule="auto"/>
              <w:ind w:left="130"/>
              <w:rPr>
                <w:rFonts w:ascii="宋体" w:eastAsia="宋体" w:hAnsi="宋体" w:cs="宋体"/>
                <w:sz w:val="16"/>
                <w:szCs w:val="16"/>
              </w:rPr>
            </w:pPr>
            <w:r>
              <w:rPr>
                <w:rFonts w:ascii="宋体" w:eastAsia="宋体" w:hAnsi="宋体" w:cs="宋体"/>
                <w:spacing w:val="-1"/>
                <w:sz w:val="16"/>
                <w:szCs w:val="16"/>
              </w:rPr>
              <w:t>/(mg/100g)</w:t>
            </w:r>
          </w:p>
        </w:tc>
        <w:tc>
          <w:tcPr>
            <w:tcW w:w="1825" w:type="dxa"/>
            <w:tcBorders>
              <w:top w:val="single" w:sz="4" w:space="0" w:color="000000"/>
              <w:bottom w:val="single" w:sz="4" w:space="0" w:color="000000"/>
            </w:tcBorders>
          </w:tcPr>
          <w:p w:rsidR="00EA40A3" w:rsidRDefault="00E86C16">
            <w:pPr>
              <w:spacing w:before="123" w:line="253" w:lineRule="auto"/>
              <w:ind w:left="86" w:right="144" w:firstLine="349"/>
              <w:rPr>
                <w:rFonts w:ascii="宋体" w:eastAsia="宋体" w:hAnsi="宋体" w:cs="宋体"/>
                <w:sz w:val="16"/>
                <w:szCs w:val="16"/>
              </w:rPr>
            </w:pPr>
            <w:r>
              <w:rPr>
                <w:rFonts w:ascii="宋体" w:eastAsia="宋体" w:hAnsi="宋体" w:cs="宋体"/>
                <w:spacing w:val="-6"/>
                <w:sz w:val="16"/>
                <w:szCs w:val="16"/>
              </w:rPr>
              <w:t>钙</w:t>
            </w:r>
            <w:r>
              <w:rPr>
                <w:rFonts w:ascii="宋体" w:eastAsia="宋体" w:hAnsi="宋体" w:cs="宋体"/>
                <w:spacing w:val="8"/>
                <w:sz w:val="16"/>
                <w:szCs w:val="16"/>
              </w:rPr>
              <w:t xml:space="preserve">         </w:t>
            </w:r>
            <w:r>
              <w:rPr>
                <w:rFonts w:ascii="宋体" w:eastAsia="宋体" w:hAnsi="宋体" w:cs="宋体"/>
                <w:spacing w:val="-6"/>
                <w:sz w:val="16"/>
                <w:szCs w:val="16"/>
              </w:rPr>
              <w:t>铁</w:t>
            </w:r>
            <w:r>
              <w:rPr>
                <w:rFonts w:ascii="宋体" w:eastAsia="宋体" w:hAnsi="宋体" w:cs="宋体"/>
                <w:spacing w:val="1"/>
                <w:sz w:val="16"/>
                <w:szCs w:val="16"/>
              </w:rPr>
              <w:t xml:space="preserve">   </w:t>
            </w:r>
            <w:r>
              <w:rPr>
                <w:rFonts w:ascii="宋体" w:eastAsia="宋体" w:hAnsi="宋体" w:cs="宋体"/>
                <w:spacing w:val="-1"/>
                <w:sz w:val="16"/>
                <w:szCs w:val="16"/>
              </w:rPr>
              <w:t>/(rg/100g)/(mg/100g)</w:t>
            </w:r>
          </w:p>
        </w:tc>
        <w:tc>
          <w:tcPr>
            <w:tcW w:w="1080" w:type="dxa"/>
            <w:tcBorders>
              <w:top w:val="single" w:sz="4" w:space="0" w:color="000000"/>
              <w:bottom w:val="single" w:sz="4" w:space="0" w:color="000000"/>
            </w:tcBorders>
          </w:tcPr>
          <w:p w:rsidR="00EA40A3" w:rsidRDefault="00E86C16">
            <w:pPr>
              <w:spacing w:before="122" w:line="220" w:lineRule="auto"/>
              <w:ind w:left="501"/>
              <w:rPr>
                <w:rFonts w:ascii="宋体" w:eastAsia="宋体" w:hAnsi="宋体" w:cs="宋体"/>
                <w:sz w:val="16"/>
                <w:szCs w:val="16"/>
              </w:rPr>
            </w:pPr>
            <w:r>
              <w:rPr>
                <w:rFonts w:ascii="宋体" w:eastAsia="宋体" w:hAnsi="宋体" w:cs="宋体"/>
                <w:sz w:val="16"/>
                <w:szCs w:val="16"/>
              </w:rPr>
              <w:t>锌</w:t>
            </w:r>
          </w:p>
          <w:p w:rsidR="00EA40A3" w:rsidRDefault="00E86C16">
            <w:pPr>
              <w:spacing w:before="63" w:line="214" w:lineRule="auto"/>
              <w:ind w:left="181"/>
              <w:rPr>
                <w:rFonts w:ascii="宋体" w:eastAsia="宋体" w:hAnsi="宋体" w:cs="宋体"/>
                <w:sz w:val="16"/>
                <w:szCs w:val="16"/>
              </w:rPr>
            </w:pPr>
            <w:r>
              <w:rPr>
                <w:rFonts w:ascii="宋体" w:eastAsia="宋体" w:hAnsi="宋体" w:cs="宋体"/>
                <w:spacing w:val="-1"/>
                <w:sz w:val="16"/>
                <w:szCs w:val="16"/>
              </w:rPr>
              <w:t>/(mg/100g)</w:t>
            </w:r>
          </w:p>
        </w:tc>
      </w:tr>
      <w:tr w:rsidR="00EA40A3">
        <w:trPr>
          <w:trHeight w:val="315"/>
        </w:trPr>
        <w:tc>
          <w:tcPr>
            <w:tcW w:w="633" w:type="dxa"/>
            <w:tcBorders>
              <w:top w:val="single" w:sz="4" w:space="0" w:color="000000"/>
            </w:tcBorders>
          </w:tcPr>
          <w:p w:rsidR="00EA40A3" w:rsidRDefault="00E86C16">
            <w:pPr>
              <w:spacing w:before="90" w:line="220" w:lineRule="auto"/>
              <w:ind w:left="190"/>
              <w:rPr>
                <w:rFonts w:ascii="宋体" w:eastAsia="宋体" w:hAnsi="宋体" w:cs="宋体"/>
                <w:sz w:val="16"/>
                <w:szCs w:val="16"/>
              </w:rPr>
            </w:pPr>
            <w:r>
              <w:rPr>
                <w:rFonts w:ascii="宋体" w:eastAsia="宋体" w:hAnsi="宋体" w:cs="宋体"/>
                <w:spacing w:val="-3"/>
                <w:sz w:val="16"/>
                <w:szCs w:val="16"/>
              </w:rPr>
              <w:t>大豆</w:t>
            </w:r>
          </w:p>
        </w:tc>
        <w:tc>
          <w:tcPr>
            <w:tcW w:w="956" w:type="dxa"/>
            <w:tcBorders>
              <w:top w:val="single" w:sz="4" w:space="0" w:color="000000"/>
            </w:tcBorders>
          </w:tcPr>
          <w:p w:rsidR="00EA40A3" w:rsidRDefault="00E86C16">
            <w:pPr>
              <w:spacing w:before="130" w:line="184" w:lineRule="auto"/>
              <w:ind w:left="337"/>
              <w:rPr>
                <w:rFonts w:ascii="宋体" w:eastAsia="宋体" w:hAnsi="宋体" w:cs="宋体"/>
                <w:sz w:val="16"/>
                <w:szCs w:val="16"/>
              </w:rPr>
            </w:pPr>
            <w:r>
              <w:rPr>
                <w:rFonts w:ascii="宋体" w:eastAsia="宋体" w:hAnsi="宋体" w:cs="宋体"/>
                <w:spacing w:val="-2"/>
                <w:sz w:val="16"/>
                <w:szCs w:val="16"/>
              </w:rPr>
              <w:t>35.1</w:t>
            </w:r>
          </w:p>
        </w:tc>
        <w:tc>
          <w:tcPr>
            <w:tcW w:w="950" w:type="dxa"/>
            <w:tcBorders>
              <w:top w:val="single" w:sz="4" w:space="0" w:color="000000"/>
            </w:tcBorders>
          </w:tcPr>
          <w:p w:rsidR="00EA40A3" w:rsidRDefault="00E86C16">
            <w:pPr>
              <w:spacing w:before="130" w:line="184" w:lineRule="auto"/>
              <w:ind w:left="341"/>
              <w:rPr>
                <w:rFonts w:ascii="宋体" w:eastAsia="宋体" w:hAnsi="宋体" w:cs="宋体"/>
                <w:sz w:val="16"/>
                <w:szCs w:val="16"/>
              </w:rPr>
            </w:pPr>
            <w:r>
              <w:rPr>
                <w:rFonts w:ascii="宋体" w:eastAsia="宋体" w:hAnsi="宋体" w:cs="宋体"/>
                <w:spacing w:val="-4"/>
                <w:sz w:val="16"/>
                <w:szCs w:val="16"/>
              </w:rPr>
              <w:t>16.0</w:t>
            </w:r>
          </w:p>
        </w:tc>
        <w:tc>
          <w:tcPr>
            <w:tcW w:w="911" w:type="dxa"/>
            <w:tcBorders>
              <w:top w:val="single" w:sz="4" w:space="0" w:color="000000"/>
            </w:tcBorders>
          </w:tcPr>
          <w:p w:rsidR="00EA40A3" w:rsidRDefault="00E86C16">
            <w:pPr>
              <w:spacing w:before="130" w:line="184" w:lineRule="auto"/>
              <w:ind w:left="331"/>
              <w:rPr>
                <w:rFonts w:ascii="宋体" w:eastAsia="宋体" w:hAnsi="宋体" w:cs="宋体"/>
                <w:sz w:val="16"/>
                <w:szCs w:val="16"/>
              </w:rPr>
            </w:pPr>
            <w:r>
              <w:rPr>
                <w:rFonts w:ascii="宋体" w:eastAsia="宋体" w:hAnsi="宋体" w:cs="宋体"/>
                <w:spacing w:val="-2"/>
                <w:sz w:val="16"/>
                <w:szCs w:val="16"/>
              </w:rPr>
              <w:t>0.41</w:t>
            </w:r>
          </w:p>
        </w:tc>
        <w:tc>
          <w:tcPr>
            <w:tcW w:w="974" w:type="dxa"/>
            <w:tcBorders>
              <w:top w:val="single" w:sz="4" w:space="0" w:color="000000"/>
            </w:tcBorders>
          </w:tcPr>
          <w:p w:rsidR="00EA40A3" w:rsidRDefault="00E86C16">
            <w:pPr>
              <w:spacing w:before="150" w:line="183" w:lineRule="auto"/>
              <w:ind w:left="370"/>
              <w:rPr>
                <w:rFonts w:ascii="宋体" w:eastAsia="宋体" w:hAnsi="宋体" w:cs="宋体"/>
                <w:sz w:val="16"/>
                <w:szCs w:val="16"/>
              </w:rPr>
            </w:pPr>
            <w:r>
              <w:rPr>
                <w:rFonts w:ascii="宋体" w:eastAsia="宋体" w:hAnsi="宋体" w:cs="宋体"/>
                <w:spacing w:val="-2"/>
                <w:sz w:val="16"/>
                <w:szCs w:val="16"/>
              </w:rPr>
              <w:t>0.20</w:t>
            </w:r>
          </w:p>
        </w:tc>
        <w:tc>
          <w:tcPr>
            <w:tcW w:w="1825" w:type="dxa"/>
            <w:tcBorders>
              <w:top w:val="single" w:sz="4" w:space="0" w:color="000000"/>
            </w:tcBorders>
          </w:tcPr>
          <w:p w:rsidR="00EA40A3" w:rsidRDefault="00E86C16">
            <w:pPr>
              <w:spacing w:before="120" w:line="194" w:lineRule="auto"/>
              <w:ind w:left="366"/>
              <w:rPr>
                <w:rFonts w:ascii="宋体" w:eastAsia="宋体" w:hAnsi="宋体" w:cs="宋体"/>
                <w:sz w:val="16"/>
                <w:szCs w:val="16"/>
              </w:rPr>
            </w:pPr>
            <w:r>
              <w:rPr>
                <w:rFonts w:ascii="宋体" w:eastAsia="宋体" w:hAnsi="宋体" w:cs="宋体"/>
                <w:spacing w:val="-4"/>
                <w:sz w:val="16"/>
                <w:szCs w:val="16"/>
              </w:rPr>
              <w:t>191</w:t>
            </w:r>
            <w:r>
              <w:rPr>
                <w:rFonts w:ascii="宋体" w:eastAsia="宋体" w:hAnsi="宋体" w:cs="宋体"/>
                <w:spacing w:val="9"/>
                <w:sz w:val="16"/>
                <w:szCs w:val="16"/>
              </w:rPr>
              <w:t xml:space="preserve">        </w:t>
            </w:r>
            <w:r>
              <w:rPr>
                <w:rFonts w:ascii="宋体" w:eastAsia="宋体" w:hAnsi="宋体" w:cs="宋体"/>
                <w:spacing w:val="-4"/>
                <w:sz w:val="16"/>
                <w:szCs w:val="16"/>
              </w:rPr>
              <w:t>8.2</w:t>
            </w:r>
          </w:p>
        </w:tc>
        <w:tc>
          <w:tcPr>
            <w:tcW w:w="1080" w:type="dxa"/>
            <w:tcBorders>
              <w:top w:val="single" w:sz="4" w:space="0" w:color="000000"/>
            </w:tcBorders>
          </w:tcPr>
          <w:p w:rsidR="00EA40A3" w:rsidRDefault="00E86C16">
            <w:pPr>
              <w:spacing w:before="120" w:line="183" w:lineRule="auto"/>
              <w:ind w:left="461"/>
              <w:rPr>
                <w:rFonts w:ascii="宋体" w:eastAsia="宋体" w:hAnsi="宋体" w:cs="宋体"/>
                <w:sz w:val="16"/>
                <w:szCs w:val="16"/>
              </w:rPr>
            </w:pPr>
            <w:r>
              <w:rPr>
                <w:rFonts w:ascii="宋体" w:eastAsia="宋体" w:hAnsi="宋体" w:cs="宋体"/>
                <w:spacing w:val="-3"/>
                <w:sz w:val="16"/>
                <w:szCs w:val="16"/>
              </w:rPr>
              <w:t>3.3</w:t>
            </w:r>
          </w:p>
        </w:tc>
      </w:tr>
      <w:tr w:rsidR="00EA40A3">
        <w:trPr>
          <w:trHeight w:val="268"/>
        </w:trPr>
        <w:tc>
          <w:tcPr>
            <w:tcW w:w="633" w:type="dxa"/>
          </w:tcPr>
          <w:p w:rsidR="00EA40A3" w:rsidRDefault="00E86C16">
            <w:pPr>
              <w:spacing w:before="54" w:line="231" w:lineRule="auto"/>
              <w:ind w:left="190"/>
              <w:rPr>
                <w:rFonts w:ascii="宋体" w:eastAsia="宋体" w:hAnsi="宋体" w:cs="宋体"/>
                <w:sz w:val="16"/>
                <w:szCs w:val="16"/>
              </w:rPr>
            </w:pPr>
            <w:r>
              <w:rPr>
                <w:rFonts w:ascii="宋体" w:eastAsia="宋体" w:hAnsi="宋体" w:cs="宋体"/>
                <w:spacing w:val="-3"/>
                <w:sz w:val="16"/>
                <w:szCs w:val="16"/>
              </w:rPr>
              <w:t>红豆</w:t>
            </w:r>
          </w:p>
        </w:tc>
        <w:tc>
          <w:tcPr>
            <w:tcW w:w="956" w:type="dxa"/>
          </w:tcPr>
          <w:p w:rsidR="00EA40A3" w:rsidRDefault="00E86C16">
            <w:pPr>
              <w:spacing w:before="85" w:line="183" w:lineRule="auto"/>
              <w:ind w:left="337"/>
              <w:rPr>
                <w:rFonts w:ascii="宋体" w:eastAsia="宋体" w:hAnsi="宋体" w:cs="宋体"/>
                <w:sz w:val="16"/>
                <w:szCs w:val="16"/>
              </w:rPr>
            </w:pPr>
            <w:r>
              <w:rPr>
                <w:rFonts w:ascii="宋体" w:eastAsia="宋体" w:hAnsi="宋体" w:cs="宋体"/>
                <w:spacing w:val="-2"/>
                <w:sz w:val="16"/>
                <w:szCs w:val="16"/>
              </w:rPr>
              <w:t>20.2</w:t>
            </w:r>
          </w:p>
        </w:tc>
        <w:tc>
          <w:tcPr>
            <w:tcW w:w="950" w:type="dxa"/>
          </w:tcPr>
          <w:p w:rsidR="00EA40A3" w:rsidRDefault="00E86C16">
            <w:pPr>
              <w:spacing w:before="95" w:line="183" w:lineRule="auto"/>
              <w:ind w:left="381"/>
              <w:rPr>
                <w:rFonts w:ascii="宋体" w:eastAsia="宋体" w:hAnsi="宋体" w:cs="宋体"/>
                <w:sz w:val="16"/>
                <w:szCs w:val="16"/>
              </w:rPr>
            </w:pPr>
            <w:r>
              <w:rPr>
                <w:rFonts w:ascii="宋体" w:eastAsia="宋体" w:hAnsi="宋体" w:cs="宋体"/>
                <w:spacing w:val="-2"/>
                <w:sz w:val="16"/>
                <w:szCs w:val="16"/>
              </w:rPr>
              <w:t>0.6</w:t>
            </w:r>
          </w:p>
        </w:tc>
        <w:tc>
          <w:tcPr>
            <w:tcW w:w="911" w:type="dxa"/>
          </w:tcPr>
          <w:p w:rsidR="00EA40A3" w:rsidRDefault="00E86C16">
            <w:pPr>
              <w:spacing w:before="85" w:line="184" w:lineRule="auto"/>
              <w:ind w:left="331"/>
              <w:rPr>
                <w:rFonts w:ascii="宋体" w:eastAsia="宋体" w:hAnsi="宋体" w:cs="宋体"/>
                <w:sz w:val="16"/>
                <w:szCs w:val="16"/>
              </w:rPr>
            </w:pPr>
            <w:r>
              <w:rPr>
                <w:rFonts w:ascii="宋体" w:eastAsia="宋体" w:hAnsi="宋体" w:cs="宋体"/>
                <w:spacing w:val="-2"/>
                <w:sz w:val="16"/>
                <w:szCs w:val="16"/>
              </w:rPr>
              <w:t>0.16</w:t>
            </w:r>
          </w:p>
        </w:tc>
        <w:tc>
          <w:tcPr>
            <w:tcW w:w="974" w:type="dxa"/>
          </w:tcPr>
          <w:p w:rsidR="00EA40A3" w:rsidRDefault="00E86C16">
            <w:pPr>
              <w:spacing w:before="105" w:line="184" w:lineRule="auto"/>
              <w:ind w:left="370"/>
              <w:rPr>
                <w:rFonts w:ascii="宋体" w:eastAsia="宋体" w:hAnsi="宋体" w:cs="宋体"/>
                <w:sz w:val="16"/>
                <w:szCs w:val="16"/>
              </w:rPr>
            </w:pPr>
            <w:r>
              <w:rPr>
                <w:rFonts w:ascii="宋体" w:eastAsia="宋体" w:hAnsi="宋体" w:cs="宋体"/>
                <w:spacing w:val="-2"/>
                <w:sz w:val="16"/>
                <w:szCs w:val="16"/>
              </w:rPr>
              <w:t>0.11</w:t>
            </w:r>
          </w:p>
        </w:tc>
        <w:tc>
          <w:tcPr>
            <w:tcW w:w="1825" w:type="dxa"/>
          </w:tcPr>
          <w:p w:rsidR="00EA40A3" w:rsidRDefault="00E86C16">
            <w:pPr>
              <w:spacing w:before="65" w:line="195" w:lineRule="auto"/>
              <w:ind w:left="405"/>
              <w:rPr>
                <w:rFonts w:ascii="宋体" w:eastAsia="宋体" w:hAnsi="宋体" w:cs="宋体"/>
                <w:sz w:val="16"/>
                <w:szCs w:val="16"/>
              </w:rPr>
            </w:pPr>
            <w:r>
              <w:rPr>
                <w:rFonts w:ascii="宋体" w:eastAsia="宋体" w:hAnsi="宋体" w:cs="宋体"/>
                <w:spacing w:val="-4"/>
                <w:position w:val="-1"/>
                <w:sz w:val="16"/>
                <w:szCs w:val="16"/>
              </w:rPr>
              <w:t>74</w:t>
            </w:r>
            <w:r>
              <w:rPr>
                <w:rFonts w:ascii="宋体" w:eastAsia="宋体" w:hAnsi="宋体" w:cs="宋体"/>
                <w:spacing w:val="3"/>
                <w:position w:val="-1"/>
                <w:sz w:val="16"/>
                <w:szCs w:val="16"/>
              </w:rPr>
              <w:t xml:space="preserve">         </w:t>
            </w:r>
            <w:r>
              <w:rPr>
                <w:rFonts w:ascii="宋体" w:eastAsia="宋体" w:hAnsi="宋体" w:cs="宋体"/>
                <w:spacing w:val="-4"/>
                <w:sz w:val="16"/>
                <w:szCs w:val="16"/>
              </w:rPr>
              <w:t>7.4</w:t>
            </w:r>
          </w:p>
        </w:tc>
        <w:tc>
          <w:tcPr>
            <w:tcW w:w="1080" w:type="dxa"/>
          </w:tcPr>
          <w:p w:rsidR="00EA40A3" w:rsidRDefault="00E86C16">
            <w:pPr>
              <w:spacing w:before="75" w:line="183" w:lineRule="auto"/>
              <w:ind w:left="461"/>
              <w:rPr>
                <w:rFonts w:ascii="宋体" w:eastAsia="宋体" w:hAnsi="宋体" w:cs="宋体"/>
                <w:sz w:val="16"/>
                <w:szCs w:val="16"/>
              </w:rPr>
            </w:pPr>
            <w:r>
              <w:rPr>
                <w:rFonts w:ascii="宋体" w:eastAsia="宋体" w:hAnsi="宋体" w:cs="宋体"/>
                <w:spacing w:val="-2"/>
                <w:sz w:val="16"/>
                <w:szCs w:val="16"/>
              </w:rPr>
              <w:t>2.2</w:t>
            </w:r>
          </w:p>
        </w:tc>
      </w:tr>
      <w:tr w:rsidR="00EA40A3">
        <w:trPr>
          <w:trHeight w:val="272"/>
        </w:trPr>
        <w:tc>
          <w:tcPr>
            <w:tcW w:w="633" w:type="dxa"/>
          </w:tcPr>
          <w:p w:rsidR="00EA40A3" w:rsidRDefault="00E86C16">
            <w:pPr>
              <w:spacing w:before="57" w:line="221" w:lineRule="auto"/>
              <w:ind w:left="190"/>
              <w:rPr>
                <w:rFonts w:ascii="宋体" w:eastAsia="宋体" w:hAnsi="宋体" w:cs="宋体"/>
                <w:sz w:val="16"/>
                <w:szCs w:val="16"/>
              </w:rPr>
            </w:pPr>
            <w:r>
              <w:rPr>
                <w:rFonts w:ascii="宋体" w:eastAsia="宋体" w:hAnsi="宋体" w:cs="宋体"/>
                <w:spacing w:val="-2"/>
                <w:sz w:val="16"/>
                <w:szCs w:val="16"/>
              </w:rPr>
              <w:t>绿豆</w:t>
            </w:r>
          </w:p>
        </w:tc>
        <w:tc>
          <w:tcPr>
            <w:tcW w:w="956" w:type="dxa"/>
          </w:tcPr>
          <w:p w:rsidR="00EA40A3" w:rsidRDefault="00E86C16">
            <w:pPr>
              <w:spacing w:before="97" w:line="184" w:lineRule="auto"/>
              <w:ind w:left="337"/>
              <w:rPr>
                <w:rFonts w:ascii="宋体" w:eastAsia="宋体" w:hAnsi="宋体" w:cs="宋体"/>
                <w:sz w:val="16"/>
                <w:szCs w:val="16"/>
              </w:rPr>
            </w:pPr>
            <w:r>
              <w:rPr>
                <w:rFonts w:ascii="宋体" w:eastAsia="宋体" w:hAnsi="宋体" w:cs="宋体"/>
                <w:spacing w:val="-2"/>
                <w:sz w:val="16"/>
                <w:szCs w:val="16"/>
              </w:rPr>
              <w:t>21.6</w:t>
            </w:r>
          </w:p>
        </w:tc>
        <w:tc>
          <w:tcPr>
            <w:tcW w:w="950" w:type="dxa"/>
          </w:tcPr>
          <w:p w:rsidR="00EA40A3" w:rsidRDefault="00E86C16">
            <w:pPr>
              <w:spacing w:before="107" w:line="183" w:lineRule="auto"/>
              <w:ind w:left="381"/>
              <w:rPr>
                <w:rFonts w:ascii="宋体" w:eastAsia="宋体" w:hAnsi="宋体" w:cs="宋体"/>
                <w:sz w:val="16"/>
                <w:szCs w:val="16"/>
              </w:rPr>
            </w:pPr>
            <w:r>
              <w:rPr>
                <w:rFonts w:ascii="宋体" w:eastAsia="宋体" w:hAnsi="宋体" w:cs="宋体"/>
                <w:spacing w:val="-2"/>
                <w:sz w:val="16"/>
                <w:szCs w:val="16"/>
              </w:rPr>
              <w:t>0.8</w:t>
            </w:r>
          </w:p>
        </w:tc>
        <w:tc>
          <w:tcPr>
            <w:tcW w:w="911" w:type="dxa"/>
          </w:tcPr>
          <w:p w:rsidR="00EA40A3" w:rsidRDefault="00E86C16">
            <w:pPr>
              <w:spacing w:before="117" w:line="178" w:lineRule="auto"/>
              <w:ind w:left="331"/>
              <w:rPr>
                <w:rFonts w:ascii="宋体" w:eastAsia="宋体" w:hAnsi="宋体" w:cs="宋体"/>
                <w:sz w:val="16"/>
                <w:szCs w:val="16"/>
              </w:rPr>
            </w:pPr>
            <w:r>
              <w:rPr>
                <w:rFonts w:ascii="宋体" w:eastAsia="宋体" w:hAnsi="宋体" w:cs="宋体"/>
                <w:spacing w:val="-2"/>
                <w:sz w:val="16"/>
                <w:szCs w:val="16"/>
              </w:rPr>
              <w:t>0.25</w:t>
            </w:r>
          </w:p>
        </w:tc>
        <w:tc>
          <w:tcPr>
            <w:tcW w:w="974" w:type="dxa"/>
          </w:tcPr>
          <w:p w:rsidR="00EA40A3" w:rsidRDefault="00E86C16">
            <w:pPr>
              <w:spacing w:before="116" w:line="179" w:lineRule="auto"/>
              <w:ind w:left="370"/>
              <w:rPr>
                <w:rFonts w:ascii="宋体" w:eastAsia="宋体" w:hAnsi="宋体" w:cs="宋体"/>
                <w:sz w:val="16"/>
                <w:szCs w:val="16"/>
              </w:rPr>
            </w:pPr>
            <w:r>
              <w:rPr>
                <w:rFonts w:ascii="宋体" w:eastAsia="宋体" w:hAnsi="宋体" w:cs="宋体"/>
                <w:spacing w:val="-2"/>
                <w:sz w:val="16"/>
                <w:szCs w:val="16"/>
              </w:rPr>
              <w:t>0.11</w:t>
            </w:r>
          </w:p>
        </w:tc>
        <w:tc>
          <w:tcPr>
            <w:tcW w:w="1825" w:type="dxa"/>
          </w:tcPr>
          <w:p w:rsidR="00EA40A3" w:rsidRDefault="00E86C16">
            <w:pPr>
              <w:spacing w:before="97" w:line="184" w:lineRule="auto"/>
              <w:ind w:left="405"/>
              <w:rPr>
                <w:rFonts w:ascii="宋体" w:eastAsia="宋体" w:hAnsi="宋体" w:cs="宋体"/>
                <w:sz w:val="16"/>
                <w:szCs w:val="16"/>
              </w:rPr>
            </w:pPr>
            <w:r>
              <w:rPr>
                <w:rFonts w:ascii="宋体" w:eastAsia="宋体" w:hAnsi="宋体" w:cs="宋体"/>
                <w:spacing w:val="-3"/>
                <w:sz w:val="16"/>
                <w:szCs w:val="16"/>
              </w:rPr>
              <w:t>81</w:t>
            </w:r>
            <w:r>
              <w:rPr>
                <w:rFonts w:ascii="宋体" w:eastAsia="宋体" w:hAnsi="宋体" w:cs="宋体"/>
                <w:spacing w:val="3"/>
                <w:sz w:val="16"/>
                <w:szCs w:val="16"/>
              </w:rPr>
              <w:t xml:space="preserve">         </w:t>
            </w:r>
            <w:r>
              <w:rPr>
                <w:rFonts w:ascii="宋体" w:eastAsia="宋体" w:hAnsi="宋体" w:cs="宋体"/>
                <w:spacing w:val="-3"/>
                <w:sz w:val="16"/>
                <w:szCs w:val="16"/>
              </w:rPr>
              <w:t>6.5</w:t>
            </w:r>
          </w:p>
        </w:tc>
        <w:tc>
          <w:tcPr>
            <w:tcW w:w="1080" w:type="dxa"/>
          </w:tcPr>
          <w:p w:rsidR="00EA40A3" w:rsidRDefault="00E86C16">
            <w:pPr>
              <w:spacing w:before="97" w:line="183" w:lineRule="auto"/>
              <w:ind w:left="461"/>
              <w:rPr>
                <w:rFonts w:ascii="宋体" w:eastAsia="宋体" w:hAnsi="宋体" w:cs="宋体"/>
                <w:sz w:val="16"/>
                <w:szCs w:val="16"/>
              </w:rPr>
            </w:pPr>
            <w:r>
              <w:rPr>
                <w:rFonts w:ascii="宋体" w:eastAsia="宋体" w:hAnsi="宋体" w:cs="宋体"/>
                <w:spacing w:val="-2"/>
                <w:sz w:val="16"/>
                <w:szCs w:val="16"/>
              </w:rPr>
              <w:t>2.2</w:t>
            </w:r>
          </w:p>
        </w:tc>
      </w:tr>
      <w:tr w:rsidR="00EA40A3">
        <w:trPr>
          <w:trHeight w:val="281"/>
        </w:trPr>
        <w:tc>
          <w:tcPr>
            <w:tcW w:w="633" w:type="dxa"/>
          </w:tcPr>
          <w:p w:rsidR="00EA40A3" w:rsidRDefault="00E86C16">
            <w:pPr>
              <w:spacing w:before="55" w:line="220" w:lineRule="auto"/>
              <w:ind w:left="190"/>
              <w:rPr>
                <w:rFonts w:ascii="宋体" w:eastAsia="宋体" w:hAnsi="宋体" w:cs="宋体"/>
                <w:sz w:val="16"/>
                <w:szCs w:val="16"/>
              </w:rPr>
            </w:pPr>
            <w:r>
              <w:rPr>
                <w:rFonts w:ascii="宋体" w:eastAsia="宋体" w:hAnsi="宋体" w:cs="宋体"/>
                <w:spacing w:val="-2"/>
                <w:sz w:val="16"/>
                <w:szCs w:val="16"/>
              </w:rPr>
              <w:t>扁豆</w:t>
            </w:r>
          </w:p>
        </w:tc>
        <w:tc>
          <w:tcPr>
            <w:tcW w:w="956" w:type="dxa"/>
          </w:tcPr>
          <w:p w:rsidR="00EA40A3" w:rsidRDefault="00E86C16">
            <w:pPr>
              <w:spacing w:before="95" w:line="183" w:lineRule="auto"/>
              <w:ind w:left="337"/>
              <w:rPr>
                <w:rFonts w:ascii="宋体" w:eastAsia="宋体" w:hAnsi="宋体" w:cs="宋体"/>
                <w:sz w:val="16"/>
                <w:szCs w:val="16"/>
              </w:rPr>
            </w:pPr>
            <w:r>
              <w:rPr>
                <w:rFonts w:ascii="宋体" w:eastAsia="宋体" w:hAnsi="宋体" w:cs="宋体"/>
                <w:spacing w:val="-2"/>
                <w:sz w:val="16"/>
                <w:szCs w:val="16"/>
              </w:rPr>
              <w:t>25.3</w:t>
            </w:r>
          </w:p>
        </w:tc>
        <w:tc>
          <w:tcPr>
            <w:tcW w:w="950" w:type="dxa"/>
          </w:tcPr>
          <w:p w:rsidR="00EA40A3" w:rsidRDefault="00E86C16">
            <w:pPr>
              <w:spacing w:before="95" w:line="183" w:lineRule="auto"/>
              <w:ind w:left="381"/>
              <w:rPr>
                <w:rFonts w:ascii="宋体" w:eastAsia="宋体" w:hAnsi="宋体" w:cs="宋体"/>
                <w:sz w:val="16"/>
                <w:szCs w:val="16"/>
              </w:rPr>
            </w:pPr>
            <w:r>
              <w:rPr>
                <w:rFonts w:ascii="宋体" w:eastAsia="宋体" w:hAnsi="宋体" w:cs="宋体"/>
                <w:spacing w:val="-2"/>
                <w:sz w:val="16"/>
                <w:szCs w:val="16"/>
              </w:rPr>
              <w:t>0.4</w:t>
            </w:r>
          </w:p>
        </w:tc>
        <w:tc>
          <w:tcPr>
            <w:tcW w:w="911" w:type="dxa"/>
          </w:tcPr>
          <w:p w:rsidR="00EA40A3" w:rsidRDefault="00E86C16">
            <w:pPr>
              <w:spacing w:before="115" w:line="183" w:lineRule="auto"/>
              <w:ind w:left="331"/>
              <w:rPr>
                <w:rFonts w:ascii="宋体" w:eastAsia="宋体" w:hAnsi="宋体" w:cs="宋体"/>
                <w:sz w:val="16"/>
                <w:szCs w:val="16"/>
              </w:rPr>
            </w:pPr>
            <w:r>
              <w:rPr>
                <w:rFonts w:ascii="宋体" w:eastAsia="宋体" w:hAnsi="宋体" w:cs="宋体"/>
                <w:spacing w:val="-2"/>
                <w:sz w:val="16"/>
                <w:szCs w:val="16"/>
              </w:rPr>
              <w:t>0.26</w:t>
            </w:r>
          </w:p>
        </w:tc>
        <w:tc>
          <w:tcPr>
            <w:tcW w:w="974" w:type="dxa"/>
          </w:tcPr>
          <w:p w:rsidR="00EA40A3" w:rsidRDefault="00E86C16">
            <w:pPr>
              <w:spacing w:before="125" w:line="179" w:lineRule="auto"/>
              <w:ind w:left="370"/>
              <w:rPr>
                <w:rFonts w:ascii="宋体" w:eastAsia="宋体" w:hAnsi="宋体" w:cs="宋体"/>
                <w:sz w:val="16"/>
                <w:szCs w:val="16"/>
              </w:rPr>
            </w:pPr>
            <w:r>
              <w:rPr>
                <w:rFonts w:ascii="宋体" w:eastAsia="宋体" w:hAnsi="宋体" w:cs="宋体"/>
                <w:spacing w:val="-2"/>
                <w:sz w:val="16"/>
                <w:szCs w:val="16"/>
              </w:rPr>
              <w:t>0.45</w:t>
            </w:r>
          </w:p>
        </w:tc>
        <w:tc>
          <w:tcPr>
            <w:tcW w:w="1825" w:type="dxa"/>
          </w:tcPr>
          <w:p w:rsidR="00EA40A3" w:rsidRDefault="00E86C16">
            <w:pPr>
              <w:spacing w:before="85" w:line="195" w:lineRule="auto"/>
              <w:ind w:left="366"/>
              <w:rPr>
                <w:rFonts w:ascii="宋体" w:eastAsia="宋体" w:hAnsi="宋体" w:cs="宋体"/>
                <w:sz w:val="16"/>
                <w:szCs w:val="16"/>
              </w:rPr>
            </w:pPr>
            <w:r>
              <w:rPr>
                <w:rFonts w:ascii="宋体" w:eastAsia="宋体" w:hAnsi="宋体" w:cs="宋体"/>
                <w:spacing w:val="-5"/>
                <w:position w:val="-1"/>
                <w:sz w:val="16"/>
                <w:szCs w:val="16"/>
              </w:rPr>
              <w:t>137</w:t>
            </w:r>
            <w:r>
              <w:rPr>
                <w:rFonts w:ascii="宋体" w:eastAsia="宋体" w:hAnsi="宋体" w:cs="宋体"/>
                <w:spacing w:val="5"/>
                <w:position w:val="-1"/>
                <w:sz w:val="16"/>
                <w:szCs w:val="16"/>
              </w:rPr>
              <w:t xml:space="preserve">        </w:t>
            </w:r>
            <w:r>
              <w:rPr>
                <w:rFonts w:ascii="宋体" w:eastAsia="宋体" w:hAnsi="宋体" w:cs="宋体"/>
                <w:spacing w:val="-5"/>
                <w:position w:val="1"/>
                <w:sz w:val="16"/>
                <w:szCs w:val="16"/>
              </w:rPr>
              <w:t>19.2</w:t>
            </w:r>
          </w:p>
        </w:tc>
        <w:tc>
          <w:tcPr>
            <w:tcW w:w="1080" w:type="dxa"/>
          </w:tcPr>
          <w:p w:rsidR="00EA40A3" w:rsidRDefault="00E86C16">
            <w:pPr>
              <w:spacing w:before="104" w:line="184" w:lineRule="auto"/>
              <w:ind w:left="461"/>
              <w:rPr>
                <w:rFonts w:ascii="宋体" w:eastAsia="宋体" w:hAnsi="宋体" w:cs="宋体"/>
                <w:sz w:val="16"/>
                <w:szCs w:val="16"/>
              </w:rPr>
            </w:pPr>
            <w:r>
              <w:rPr>
                <w:rFonts w:ascii="宋体" w:eastAsia="宋体" w:hAnsi="宋体" w:cs="宋体"/>
                <w:spacing w:val="-5"/>
                <w:sz w:val="16"/>
                <w:szCs w:val="16"/>
              </w:rPr>
              <w:t>1.9</w:t>
            </w:r>
          </w:p>
        </w:tc>
      </w:tr>
      <w:tr w:rsidR="00EA40A3">
        <w:trPr>
          <w:trHeight w:val="232"/>
        </w:trPr>
        <w:tc>
          <w:tcPr>
            <w:tcW w:w="633" w:type="dxa"/>
            <w:tcBorders>
              <w:bottom w:val="single" w:sz="4" w:space="0" w:color="000000"/>
            </w:tcBorders>
          </w:tcPr>
          <w:p w:rsidR="00EA40A3" w:rsidRDefault="00E86C16">
            <w:pPr>
              <w:spacing w:before="55" w:line="204" w:lineRule="auto"/>
              <w:ind w:left="190"/>
              <w:rPr>
                <w:rFonts w:ascii="宋体" w:eastAsia="宋体" w:hAnsi="宋体" w:cs="宋体"/>
                <w:sz w:val="16"/>
                <w:szCs w:val="16"/>
              </w:rPr>
            </w:pPr>
            <w:r>
              <w:rPr>
                <w:rFonts w:ascii="宋体" w:eastAsia="宋体" w:hAnsi="宋体" w:cs="宋体"/>
                <w:spacing w:val="-2"/>
                <w:sz w:val="16"/>
                <w:szCs w:val="16"/>
              </w:rPr>
              <w:t>豌豆</w:t>
            </w:r>
          </w:p>
        </w:tc>
        <w:tc>
          <w:tcPr>
            <w:tcW w:w="956" w:type="dxa"/>
            <w:tcBorders>
              <w:bottom w:val="single" w:sz="4" w:space="0" w:color="000000"/>
            </w:tcBorders>
          </w:tcPr>
          <w:p w:rsidR="00EA40A3" w:rsidRDefault="00E86C16">
            <w:pPr>
              <w:spacing w:before="114" w:line="118" w:lineRule="exact"/>
              <w:ind w:left="337"/>
              <w:rPr>
                <w:rFonts w:ascii="宋体" w:eastAsia="宋体" w:hAnsi="宋体" w:cs="宋体"/>
                <w:sz w:val="16"/>
                <w:szCs w:val="16"/>
              </w:rPr>
            </w:pPr>
            <w:r>
              <w:rPr>
                <w:rFonts w:ascii="宋体" w:eastAsia="宋体" w:hAnsi="宋体" w:cs="宋体"/>
                <w:spacing w:val="-2"/>
                <w:position w:val="-2"/>
                <w:sz w:val="16"/>
                <w:szCs w:val="16"/>
              </w:rPr>
              <w:t>20.3</w:t>
            </w:r>
          </w:p>
        </w:tc>
        <w:tc>
          <w:tcPr>
            <w:tcW w:w="950" w:type="dxa"/>
            <w:tcBorders>
              <w:bottom w:val="single" w:sz="4" w:space="0" w:color="000000"/>
            </w:tcBorders>
          </w:tcPr>
          <w:p w:rsidR="00EA40A3" w:rsidRDefault="00E86C16">
            <w:pPr>
              <w:spacing w:before="94" w:line="159" w:lineRule="auto"/>
              <w:ind w:left="381"/>
              <w:rPr>
                <w:rFonts w:ascii="宋体" w:eastAsia="宋体" w:hAnsi="宋体" w:cs="宋体"/>
                <w:sz w:val="16"/>
                <w:szCs w:val="16"/>
              </w:rPr>
            </w:pPr>
            <w:r>
              <w:rPr>
                <w:rFonts w:ascii="宋体" w:eastAsia="宋体" w:hAnsi="宋体" w:cs="宋体"/>
                <w:spacing w:val="-5"/>
                <w:sz w:val="16"/>
                <w:szCs w:val="16"/>
              </w:rPr>
              <w:t>1.1</w:t>
            </w:r>
          </w:p>
        </w:tc>
        <w:tc>
          <w:tcPr>
            <w:tcW w:w="911" w:type="dxa"/>
            <w:tcBorders>
              <w:bottom w:val="single" w:sz="4" w:space="0" w:color="000000"/>
            </w:tcBorders>
          </w:tcPr>
          <w:p w:rsidR="00EA40A3" w:rsidRDefault="00E86C16">
            <w:pPr>
              <w:spacing w:before="114" w:line="118" w:lineRule="exact"/>
              <w:ind w:left="331"/>
              <w:rPr>
                <w:rFonts w:ascii="宋体" w:eastAsia="宋体" w:hAnsi="宋体" w:cs="宋体"/>
                <w:sz w:val="16"/>
                <w:szCs w:val="16"/>
              </w:rPr>
            </w:pPr>
            <w:r>
              <w:rPr>
                <w:rFonts w:ascii="宋体" w:eastAsia="宋体" w:hAnsi="宋体" w:cs="宋体"/>
                <w:spacing w:val="-2"/>
                <w:position w:val="-2"/>
                <w:sz w:val="16"/>
                <w:szCs w:val="16"/>
              </w:rPr>
              <w:t>0.49</w:t>
            </w:r>
          </w:p>
        </w:tc>
        <w:tc>
          <w:tcPr>
            <w:tcW w:w="974" w:type="dxa"/>
            <w:tcBorders>
              <w:bottom w:val="single" w:sz="4" w:space="0" w:color="000000"/>
            </w:tcBorders>
          </w:tcPr>
          <w:p w:rsidR="00EA40A3" w:rsidRDefault="00E86C16">
            <w:pPr>
              <w:spacing w:before="114" w:line="118" w:lineRule="exact"/>
              <w:ind w:left="370"/>
              <w:rPr>
                <w:rFonts w:ascii="宋体" w:eastAsia="宋体" w:hAnsi="宋体" w:cs="宋体"/>
                <w:sz w:val="16"/>
                <w:szCs w:val="16"/>
              </w:rPr>
            </w:pPr>
            <w:r>
              <w:rPr>
                <w:rFonts w:ascii="宋体" w:eastAsia="宋体" w:hAnsi="宋体" w:cs="宋体"/>
                <w:spacing w:val="-2"/>
                <w:position w:val="-2"/>
                <w:sz w:val="16"/>
                <w:szCs w:val="16"/>
              </w:rPr>
              <w:t>0.14</w:t>
            </w:r>
          </w:p>
        </w:tc>
        <w:tc>
          <w:tcPr>
            <w:tcW w:w="1825" w:type="dxa"/>
            <w:tcBorders>
              <w:bottom w:val="single" w:sz="4" w:space="0" w:color="000000"/>
            </w:tcBorders>
          </w:tcPr>
          <w:p w:rsidR="00EA40A3" w:rsidRDefault="00E86C16">
            <w:pPr>
              <w:spacing w:before="95" w:line="158" w:lineRule="auto"/>
              <w:ind w:left="405"/>
              <w:rPr>
                <w:rFonts w:ascii="宋体" w:eastAsia="宋体" w:hAnsi="宋体" w:cs="宋体"/>
                <w:sz w:val="16"/>
                <w:szCs w:val="16"/>
              </w:rPr>
            </w:pPr>
            <w:r>
              <w:rPr>
                <w:rFonts w:ascii="宋体" w:eastAsia="宋体" w:hAnsi="宋体" w:cs="宋体"/>
                <w:spacing w:val="-3"/>
                <w:sz w:val="16"/>
                <w:szCs w:val="16"/>
              </w:rPr>
              <w:t>97</w:t>
            </w:r>
            <w:r>
              <w:rPr>
                <w:rFonts w:ascii="宋体" w:eastAsia="宋体" w:hAnsi="宋体" w:cs="宋体"/>
                <w:spacing w:val="3"/>
                <w:sz w:val="16"/>
                <w:szCs w:val="16"/>
              </w:rPr>
              <w:t xml:space="preserve">         </w:t>
            </w:r>
            <w:r>
              <w:rPr>
                <w:rFonts w:ascii="宋体" w:eastAsia="宋体" w:hAnsi="宋体" w:cs="宋体"/>
                <w:spacing w:val="-3"/>
                <w:sz w:val="16"/>
                <w:szCs w:val="16"/>
              </w:rPr>
              <w:t>4.9</w:t>
            </w:r>
          </w:p>
        </w:tc>
        <w:tc>
          <w:tcPr>
            <w:tcW w:w="1080" w:type="dxa"/>
            <w:tcBorders>
              <w:bottom w:val="single" w:sz="4" w:space="0" w:color="000000"/>
            </w:tcBorders>
          </w:tcPr>
          <w:p w:rsidR="00EA40A3" w:rsidRDefault="00E86C16">
            <w:pPr>
              <w:spacing w:before="104" w:line="128" w:lineRule="exact"/>
              <w:ind w:left="461"/>
              <w:rPr>
                <w:rFonts w:ascii="宋体" w:eastAsia="宋体" w:hAnsi="宋体" w:cs="宋体"/>
                <w:sz w:val="16"/>
                <w:szCs w:val="16"/>
              </w:rPr>
            </w:pPr>
            <w:r>
              <w:rPr>
                <w:rFonts w:ascii="宋体" w:eastAsia="宋体" w:hAnsi="宋体" w:cs="宋体"/>
                <w:spacing w:val="-2"/>
                <w:position w:val="-2"/>
                <w:sz w:val="16"/>
                <w:szCs w:val="16"/>
              </w:rPr>
              <w:t>2.4</w:t>
            </w:r>
          </w:p>
        </w:tc>
      </w:tr>
    </w:tbl>
    <w:p w:rsidR="00EA40A3" w:rsidRDefault="00E86C16">
      <w:pPr>
        <w:spacing w:before="111" w:line="219" w:lineRule="auto"/>
        <w:ind w:left="380"/>
        <w:rPr>
          <w:rFonts w:ascii="宋体" w:eastAsia="宋体" w:hAnsi="宋体" w:cs="宋体"/>
          <w:sz w:val="16"/>
          <w:szCs w:val="16"/>
        </w:rPr>
      </w:pPr>
      <w:r>
        <w:rPr>
          <w:rFonts w:ascii="宋体" w:eastAsia="宋体" w:hAnsi="宋体" w:cs="宋体"/>
          <w:sz w:val="16"/>
          <w:szCs w:val="16"/>
        </w:rPr>
        <w:t>资料来源：杨月欣.2002.食品成分表2002</w:t>
      </w:r>
      <w:r>
        <w:rPr>
          <w:rFonts w:ascii="宋体" w:eastAsia="宋体" w:hAnsi="宋体" w:cs="宋体"/>
          <w:spacing w:val="-1"/>
          <w:sz w:val="16"/>
          <w:szCs w:val="16"/>
        </w:rPr>
        <w:t>.北京：北京大学医学出版社</w:t>
      </w:r>
    </w:p>
    <w:p w:rsidR="00EA40A3" w:rsidRDefault="00EA40A3">
      <w:pPr>
        <w:spacing w:line="332" w:lineRule="auto"/>
      </w:pPr>
    </w:p>
    <w:p w:rsidR="00EA40A3" w:rsidRDefault="00E86C16">
      <w:pPr>
        <w:spacing w:before="69" w:line="250" w:lineRule="auto"/>
        <w:ind w:right="111" w:firstLine="450"/>
        <w:rPr>
          <w:rFonts w:ascii="宋体" w:eastAsia="宋体" w:hAnsi="宋体" w:cs="宋体"/>
        </w:rPr>
      </w:pPr>
      <w:r>
        <w:rPr>
          <w:rFonts w:ascii="宋体" w:eastAsia="宋体" w:hAnsi="宋体" w:cs="宋体"/>
          <w:spacing w:val="4"/>
        </w:rPr>
        <w:t>鲜豆类和豆芽中除含有丰富的蛋白质和矿物质外</w:t>
      </w:r>
      <w:r>
        <w:rPr>
          <w:rFonts w:ascii="宋体" w:eastAsia="宋体" w:hAnsi="宋体" w:cs="宋体"/>
          <w:spacing w:val="3"/>
        </w:rPr>
        <w:t>，其维生素B</w:t>
      </w:r>
      <w:r>
        <w:rPr>
          <w:rFonts w:ascii="Calibri" w:eastAsia="Calibri" w:hAnsi="Calibri" w:cs="Calibri"/>
          <w:spacing w:val="3"/>
        </w:rPr>
        <w:t>₁</w:t>
      </w:r>
      <w:r>
        <w:rPr>
          <w:rFonts w:ascii="Calibri" w:eastAsia="Calibri" w:hAnsi="Calibri" w:cs="Calibri"/>
          <w:spacing w:val="15"/>
          <w:w w:val="101"/>
        </w:rPr>
        <w:t xml:space="preserve">  </w:t>
      </w:r>
      <w:r>
        <w:rPr>
          <w:rFonts w:ascii="宋体" w:eastAsia="宋体" w:hAnsi="宋体" w:cs="宋体"/>
          <w:spacing w:val="3"/>
        </w:rPr>
        <w:t>和维生素C</w:t>
      </w:r>
      <w:r>
        <w:rPr>
          <w:rFonts w:ascii="宋体" w:eastAsia="宋体" w:hAnsi="宋体" w:cs="宋体"/>
        </w:rPr>
        <w:t xml:space="preserve"> </w:t>
      </w:r>
      <w:r>
        <w:rPr>
          <w:rFonts w:ascii="宋体" w:eastAsia="宋体" w:hAnsi="宋体" w:cs="宋体"/>
          <w:spacing w:val="-6"/>
        </w:rPr>
        <w:t>的含量较高，常被列入蔬菜类中。</w:t>
      </w:r>
    </w:p>
    <w:p w:rsidR="00EA40A3" w:rsidRDefault="00E86C16">
      <w:pPr>
        <w:spacing w:before="227" w:line="221" w:lineRule="auto"/>
        <w:rPr>
          <w:rFonts w:ascii="仿宋" w:eastAsia="仿宋" w:hAnsi="仿宋" w:cs="仿宋"/>
        </w:rPr>
      </w:pPr>
      <w:r>
        <w:rPr>
          <w:rFonts w:ascii="仿宋" w:eastAsia="仿宋" w:hAnsi="仿宋" w:cs="仿宋"/>
          <w:spacing w:val="19"/>
        </w:rPr>
        <w:t>3.</w:t>
      </w:r>
      <w:r>
        <w:rPr>
          <w:rFonts w:ascii="仿宋" w:eastAsia="仿宋" w:hAnsi="仿宋" w:cs="仿宋"/>
          <w:spacing w:val="7"/>
        </w:rPr>
        <w:t xml:space="preserve"> </w:t>
      </w:r>
      <w:r>
        <w:rPr>
          <w:rFonts w:ascii="仿宋" w:eastAsia="仿宋" w:hAnsi="仿宋" w:cs="仿宋"/>
          <w:spacing w:val="19"/>
        </w:rPr>
        <w:t>豆类中的抗营养因素</w:t>
      </w:r>
    </w:p>
    <w:p w:rsidR="00EA40A3" w:rsidRDefault="00E86C16">
      <w:pPr>
        <w:spacing w:before="211" w:line="242" w:lineRule="auto"/>
        <w:ind w:right="5" w:firstLine="450"/>
        <w:rPr>
          <w:rFonts w:ascii="宋体" w:eastAsia="宋体" w:hAnsi="宋体" w:cs="宋体"/>
        </w:rPr>
      </w:pPr>
      <w:r>
        <w:rPr>
          <w:rFonts w:ascii="宋体" w:eastAsia="宋体" w:hAnsi="宋体" w:cs="宋体"/>
          <w:spacing w:val="-1"/>
        </w:rPr>
        <w:t>各种豆类中都含有一些抗营养物质，它们不利于豆类中营养素的吸收利用，</w:t>
      </w:r>
      <w:r>
        <w:rPr>
          <w:rFonts w:ascii="宋体" w:eastAsia="宋体" w:hAnsi="宋体" w:cs="宋体"/>
          <w:spacing w:val="16"/>
        </w:rPr>
        <w:t xml:space="preserve"> </w:t>
      </w:r>
      <w:r>
        <w:rPr>
          <w:rFonts w:ascii="宋体" w:eastAsia="宋体" w:hAnsi="宋体" w:cs="宋体"/>
          <w:spacing w:val="-4"/>
        </w:rPr>
        <w:t>甚至对人体健康有害。这些物质统称为抗营养因子。</w:t>
      </w:r>
    </w:p>
    <w:p w:rsidR="00EA40A3" w:rsidRDefault="00E86C16">
      <w:pPr>
        <w:spacing w:before="83" w:line="256" w:lineRule="auto"/>
        <w:ind w:right="82" w:firstLine="450"/>
        <w:rPr>
          <w:rFonts w:ascii="宋体" w:eastAsia="宋体" w:hAnsi="宋体" w:cs="宋体"/>
        </w:rPr>
      </w:pPr>
      <w:r>
        <w:rPr>
          <w:rFonts w:ascii="宋体" w:eastAsia="宋体" w:hAnsi="宋体" w:cs="宋体"/>
          <w:spacing w:val="4"/>
        </w:rPr>
        <w:t>多种豆类中都含有蛋白酶抑制剂，它们能够抑制</w:t>
      </w:r>
      <w:r>
        <w:rPr>
          <w:rFonts w:ascii="宋体" w:eastAsia="宋体" w:hAnsi="宋体" w:cs="宋体"/>
          <w:spacing w:val="3"/>
        </w:rPr>
        <w:t>人体内胰蛋白酶、胃蛋白</w:t>
      </w:r>
      <w:r>
        <w:rPr>
          <w:rFonts w:ascii="宋体" w:eastAsia="宋体" w:hAnsi="宋体" w:cs="宋体"/>
        </w:rPr>
        <w:t xml:space="preserve"> </w:t>
      </w:r>
      <w:r>
        <w:rPr>
          <w:rFonts w:ascii="宋体" w:eastAsia="宋体" w:hAnsi="宋体" w:cs="宋体"/>
          <w:spacing w:val="-2"/>
        </w:rPr>
        <w:t>酶、糜蛋白酶等蛋白酶的活性，其中研究比较多的是大豆胰蛋</w:t>
      </w:r>
      <w:r>
        <w:rPr>
          <w:rFonts w:ascii="宋体" w:eastAsia="宋体" w:hAnsi="宋体" w:cs="宋体"/>
          <w:spacing w:val="-3"/>
        </w:rPr>
        <w:t>白酶抑制剂。由于</w:t>
      </w:r>
      <w:r>
        <w:rPr>
          <w:rFonts w:ascii="宋体" w:eastAsia="宋体" w:hAnsi="宋体" w:cs="宋体"/>
        </w:rPr>
        <w:t xml:space="preserve"> </w:t>
      </w:r>
      <w:r>
        <w:rPr>
          <w:rFonts w:ascii="宋体" w:eastAsia="宋体" w:hAnsi="宋体" w:cs="宋体"/>
          <w:spacing w:val="-2"/>
        </w:rPr>
        <w:t>存在这类物质，生大豆的蛋白质消化吸收率很低。在水中</w:t>
      </w:r>
      <w:r>
        <w:rPr>
          <w:rFonts w:ascii="宋体" w:eastAsia="宋体" w:hAnsi="宋体" w:cs="宋体"/>
          <w:spacing w:val="-3"/>
        </w:rPr>
        <w:t>加热处理可以使这种物</w:t>
      </w:r>
      <w:r>
        <w:rPr>
          <w:rFonts w:ascii="宋体" w:eastAsia="宋体" w:hAnsi="宋体" w:cs="宋体"/>
        </w:rPr>
        <w:t xml:space="preserve"> </w:t>
      </w:r>
      <w:r>
        <w:rPr>
          <w:rFonts w:ascii="宋体" w:eastAsia="宋体" w:hAnsi="宋体" w:cs="宋体"/>
          <w:spacing w:val="-2"/>
        </w:rPr>
        <w:t>质失活。红血球凝集素也存在于多种豆类中。它是一类糖蛋白，能够特异</w:t>
      </w:r>
      <w:r>
        <w:rPr>
          <w:rFonts w:ascii="宋体" w:eastAsia="宋体" w:hAnsi="宋体" w:cs="宋体"/>
          <w:spacing w:val="-3"/>
        </w:rPr>
        <w:t>性地与</w:t>
      </w:r>
      <w:r>
        <w:rPr>
          <w:rFonts w:ascii="宋体" w:eastAsia="宋体" w:hAnsi="宋体" w:cs="宋体"/>
        </w:rPr>
        <w:t xml:space="preserve"> </w:t>
      </w:r>
      <w:r>
        <w:rPr>
          <w:rFonts w:ascii="宋体" w:eastAsia="宋体" w:hAnsi="宋体" w:cs="宋体"/>
          <w:spacing w:val="-4"/>
        </w:rPr>
        <w:t>人体的红细胞结合，使红细胞发生凝聚作用，对人体有一定毒性。适当的湿热处</w:t>
      </w:r>
      <w:r>
        <w:rPr>
          <w:rFonts w:ascii="宋体" w:eastAsia="宋体" w:hAnsi="宋体" w:cs="宋体"/>
          <w:spacing w:val="7"/>
        </w:rPr>
        <w:t xml:space="preserve"> </w:t>
      </w:r>
      <w:r>
        <w:rPr>
          <w:rFonts w:ascii="宋体" w:eastAsia="宋体" w:hAnsi="宋体" w:cs="宋体"/>
          <w:spacing w:val="-4"/>
        </w:rPr>
        <w:t>理可使这种蛋白质失活，蛋白酶处理也可使之分解。</w:t>
      </w:r>
    </w:p>
    <w:p w:rsidR="00EA40A3" w:rsidRDefault="00EA40A3">
      <w:pPr>
        <w:sectPr w:rsidR="00EA40A3">
          <w:footerReference w:type="default" r:id="rId164"/>
          <w:pgSz w:w="9220" w:h="13360"/>
          <w:pgMar w:top="400" w:right="970" w:bottom="1226" w:left="879" w:header="0" w:footer="1005" w:gutter="0"/>
          <w:cols w:space="720"/>
        </w:sectPr>
      </w:pPr>
    </w:p>
    <w:p w:rsidR="00EA40A3" w:rsidRDefault="00EA40A3">
      <w:pPr>
        <w:spacing w:line="310" w:lineRule="auto"/>
      </w:pPr>
    </w:p>
    <w:p w:rsidR="00EA40A3" w:rsidRDefault="00EA40A3">
      <w:pPr>
        <w:spacing w:line="311" w:lineRule="auto"/>
      </w:pPr>
    </w:p>
    <w:p w:rsidR="00EA40A3" w:rsidRDefault="00E86C16">
      <w:pPr>
        <w:spacing w:before="72" w:line="252" w:lineRule="auto"/>
        <w:ind w:right="80" w:firstLine="430"/>
        <w:jc w:val="both"/>
        <w:rPr>
          <w:rFonts w:ascii="宋体" w:eastAsia="宋体" w:hAnsi="宋体" w:cs="宋体"/>
          <w:sz w:val="22"/>
          <w:szCs w:val="22"/>
        </w:rPr>
      </w:pPr>
      <w:r>
        <w:rPr>
          <w:rFonts w:ascii="宋体" w:eastAsia="宋体" w:hAnsi="宋体" w:cs="宋体"/>
          <w:spacing w:val="-7"/>
          <w:sz w:val="22"/>
          <w:szCs w:val="22"/>
        </w:rPr>
        <w:t>豆类中所含的大量植酸会妨碍钙和铁的吸收，大豆中还含有丰富的脂氧合</w:t>
      </w:r>
      <w:r>
        <w:rPr>
          <w:rFonts w:ascii="宋体" w:eastAsia="宋体" w:hAnsi="宋体" w:cs="宋体"/>
          <w:spacing w:val="12"/>
          <w:sz w:val="22"/>
          <w:szCs w:val="22"/>
        </w:rPr>
        <w:t xml:space="preserve"> </w:t>
      </w:r>
      <w:r>
        <w:rPr>
          <w:rFonts w:ascii="宋体" w:eastAsia="宋体" w:hAnsi="宋体" w:cs="宋体"/>
          <w:spacing w:val="-13"/>
          <w:sz w:val="22"/>
          <w:szCs w:val="22"/>
        </w:rPr>
        <w:t>酶，它不仅是豆腥味的起因之一，而且在储藏中容易造成不饱和脂肪酸的氧化酸</w:t>
      </w:r>
      <w:r>
        <w:rPr>
          <w:rFonts w:ascii="宋体" w:eastAsia="宋体" w:hAnsi="宋体" w:cs="宋体"/>
          <w:spacing w:val="3"/>
          <w:sz w:val="22"/>
          <w:szCs w:val="22"/>
        </w:rPr>
        <w:t xml:space="preserve"> </w:t>
      </w:r>
      <w:r>
        <w:rPr>
          <w:rFonts w:ascii="宋体" w:eastAsia="宋体" w:hAnsi="宋体" w:cs="宋体"/>
          <w:spacing w:val="-18"/>
          <w:sz w:val="22"/>
          <w:szCs w:val="22"/>
        </w:rPr>
        <w:t>败和胡萝卜素的损失。</w:t>
      </w:r>
    </w:p>
    <w:p w:rsidR="00EA40A3" w:rsidRDefault="00E86C16">
      <w:pPr>
        <w:spacing w:before="2" w:line="256" w:lineRule="auto"/>
        <w:ind w:firstLine="430"/>
        <w:jc w:val="both"/>
        <w:rPr>
          <w:rFonts w:ascii="宋体" w:eastAsia="宋体" w:hAnsi="宋体" w:cs="宋体"/>
          <w:sz w:val="22"/>
          <w:szCs w:val="22"/>
        </w:rPr>
      </w:pPr>
      <w:r>
        <w:rPr>
          <w:rFonts w:ascii="宋体" w:eastAsia="宋体" w:hAnsi="宋体" w:cs="宋体"/>
          <w:spacing w:val="-11"/>
          <w:sz w:val="22"/>
          <w:szCs w:val="22"/>
        </w:rPr>
        <w:t>豆类中所含有的低聚糖经大肠细菌的发酵，产生二氧化碳、甲烷、氢气等，</w:t>
      </w:r>
      <w:r>
        <w:rPr>
          <w:rFonts w:ascii="宋体" w:eastAsia="宋体" w:hAnsi="宋体" w:cs="宋体"/>
          <w:spacing w:val="11"/>
          <w:sz w:val="22"/>
          <w:szCs w:val="22"/>
        </w:rPr>
        <w:t xml:space="preserve"> </w:t>
      </w:r>
      <w:r>
        <w:rPr>
          <w:rFonts w:ascii="宋体" w:eastAsia="宋体" w:hAnsi="宋体" w:cs="宋体"/>
          <w:spacing w:val="-13"/>
          <w:sz w:val="22"/>
          <w:szCs w:val="22"/>
        </w:rPr>
        <w:t>使人腹胀不适，过去也作为抗营养因素对待，实际上</w:t>
      </w:r>
      <w:r>
        <w:rPr>
          <w:rFonts w:ascii="宋体" w:eastAsia="宋体" w:hAnsi="宋体" w:cs="宋体"/>
          <w:spacing w:val="-14"/>
          <w:sz w:val="22"/>
          <w:szCs w:val="22"/>
        </w:rPr>
        <w:t>它们对营养吸收并无妨碍。</w:t>
      </w:r>
    </w:p>
    <w:p w:rsidR="00EA40A3" w:rsidRDefault="00E86C16">
      <w:pPr>
        <w:spacing w:before="195" w:line="221" w:lineRule="auto"/>
        <w:rPr>
          <w:rFonts w:ascii="仿宋" w:eastAsia="仿宋" w:hAnsi="仿宋" w:cs="仿宋"/>
          <w:sz w:val="22"/>
          <w:szCs w:val="22"/>
        </w:rPr>
      </w:pPr>
      <w:r>
        <w:rPr>
          <w:rFonts w:ascii="仿宋" w:eastAsia="仿宋" w:hAnsi="仿宋" w:cs="仿宋"/>
          <w:spacing w:val="11"/>
          <w:sz w:val="22"/>
          <w:szCs w:val="22"/>
        </w:rPr>
        <w:t>4.</w:t>
      </w:r>
      <w:r>
        <w:rPr>
          <w:rFonts w:ascii="仿宋" w:eastAsia="仿宋" w:hAnsi="仿宋" w:cs="仿宋"/>
          <w:spacing w:val="3"/>
          <w:sz w:val="22"/>
          <w:szCs w:val="22"/>
        </w:rPr>
        <w:t xml:space="preserve"> </w:t>
      </w:r>
      <w:r>
        <w:rPr>
          <w:rFonts w:ascii="仿宋" w:eastAsia="仿宋" w:hAnsi="仿宋" w:cs="仿宋"/>
          <w:spacing w:val="11"/>
          <w:sz w:val="22"/>
          <w:szCs w:val="22"/>
        </w:rPr>
        <w:t>大豆制品的营养价值</w:t>
      </w:r>
    </w:p>
    <w:p w:rsidR="00EA40A3" w:rsidRDefault="00E86C16">
      <w:pPr>
        <w:spacing w:before="170" w:line="248" w:lineRule="auto"/>
        <w:ind w:right="81" w:firstLine="430"/>
        <w:rPr>
          <w:rFonts w:ascii="宋体" w:eastAsia="宋体" w:hAnsi="宋体" w:cs="宋体"/>
          <w:sz w:val="22"/>
          <w:szCs w:val="22"/>
        </w:rPr>
      </w:pPr>
      <w:r>
        <w:rPr>
          <w:rFonts w:ascii="宋体" w:eastAsia="宋体" w:hAnsi="宋体" w:cs="宋体"/>
          <w:spacing w:val="-13"/>
          <w:sz w:val="22"/>
          <w:szCs w:val="22"/>
        </w:rPr>
        <w:t>大豆在食品加工中的用途非常广泛，除去传统用来制作各种豆制品，</w:t>
      </w:r>
      <w:r>
        <w:rPr>
          <w:rFonts w:ascii="宋体" w:eastAsia="宋体" w:hAnsi="宋体" w:cs="宋体"/>
          <w:spacing w:val="-14"/>
          <w:sz w:val="22"/>
          <w:szCs w:val="22"/>
        </w:rPr>
        <w:t>还可被</w:t>
      </w:r>
      <w:r>
        <w:rPr>
          <w:rFonts w:ascii="宋体" w:eastAsia="宋体" w:hAnsi="宋体" w:cs="宋体"/>
          <w:sz w:val="22"/>
          <w:szCs w:val="22"/>
        </w:rPr>
        <w:t xml:space="preserve"> </w:t>
      </w:r>
      <w:r>
        <w:rPr>
          <w:rFonts w:ascii="宋体" w:eastAsia="宋体" w:hAnsi="宋体" w:cs="宋体"/>
          <w:spacing w:val="-15"/>
          <w:sz w:val="22"/>
          <w:szCs w:val="22"/>
        </w:rPr>
        <w:t>添加在多种食品中，改善其营养或品质。</w:t>
      </w:r>
    </w:p>
    <w:p w:rsidR="00EA40A3" w:rsidRDefault="00E86C16">
      <w:pPr>
        <w:spacing w:before="18" w:line="244" w:lineRule="auto"/>
        <w:ind w:right="69" w:firstLine="430"/>
        <w:rPr>
          <w:rFonts w:ascii="宋体" w:eastAsia="宋体" w:hAnsi="宋体" w:cs="宋体"/>
          <w:sz w:val="22"/>
          <w:szCs w:val="22"/>
        </w:rPr>
      </w:pPr>
      <w:r>
        <w:rPr>
          <w:rFonts w:ascii="宋体" w:eastAsia="宋体" w:hAnsi="宋体" w:cs="宋体"/>
          <w:spacing w:val="-13"/>
          <w:sz w:val="22"/>
          <w:szCs w:val="22"/>
        </w:rPr>
        <w:t>传统豆制品以豆腐为代表。保留了大豆的大部分优点，不仅比整大豆容易消</w:t>
      </w:r>
      <w:r>
        <w:rPr>
          <w:rFonts w:ascii="宋体" w:eastAsia="宋体" w:hAnsi="宋体" w:cs="宋体"/>
          <w:spacing w:val="8"/>
          <w:sz w:val="22"/>
          <w:szCs w:val="22"/>
        </w:rPr>
        <w:t xml:space="preserve"> </w:t>
      </w:r>
      <w:r>
        <w:rPr>
          <w:rFonts w:ascii="宋体" w:eastAsia="宋体" w:hAnsi="宋体" w:cs="宋体"/>
          <w:spacing w:val="-21"/>
          <w:sz w:val="22"/>
          <w:szCs w:val="22"/>
        </w:rPr>
        <w:t>化，而且去除了对人不利的各种抗营养因子，</w:t>
      </w:r>
      <w:r>
        <w:rPr>
          <w:rFonts w:ascii="宋体" w:eastAsia="宋体" w:hAnsi="宋体" w:cs="宋体"/>
          <w:spacing w:val="49"/>
          <w:sz w:val="22"/>
          <w:szCs w:val="22"/>
        </w:rPr>
        <w:t xml:space="preserve"> </w:t>
      </w:r>
      <w:r>
        <w:rPr>
          <w:rFonts w:ascii="宋体" w:eastAsia="宋体" w:hAnsi="宋体" w:cs="宋体"/>
          <w:spacing w:val="-21"/>
          <w:sz w:val="22"/>
          <w:szCs w:val="22"/>
        </w:rPr>
        <w:t>一直为我国人民所喜食。</w:t>
      </w:r>
    </w:p>
    <w:p w:rsidR="00EA40A3" w:rsidRDefault="00E86C16">
      <w:pPr>
        <w:spacing w:before="39" w:line="242" w:lineRule="auto"/>
        <w:ind w:right="81" w:firstLine="430"/>
        <w:rPr>
          <w:rFonts w:ascii="宋体" w:eastAsia="宋体" w:hAnsi="宋体" w:cs="宋体"/>
          <w:sz w:val="22"/>
          <w:szCs w:val="22"/>
        </w:rPr>
      </w:pPr>
      <w:r>
        <w:rPr>
          <w:rFonts w:ascii="宋体" w:eastAsia="宋体" w:hAnsi="宋体" w:cs="宋体"/>
          <w:spacing w:val="-13"/>
          <w:sz w:val="22"/>
          <w:szCs w:val="22"/>
        </w:rPr>
        <w:t>豆制品富含蛋白质，其含量与动物性食品相当。例如，豆腐干的蛋白</w:t>
      </w:r>
      <w:r>
        <w:rPr>
          <w:rFonts w:ascii="宋体" w:eastAsia="宋体" w:hAnsi="宋体" w:cs="宋体"/>
          <w:spacing w:val="-14"/>
          <w:sz w:val="22"/>
          <w:szCs w:val="22"/>
        </w:rPr>
        <w:t>质含量</w:t>
      </w:r>
      <w:r>
        <w:rPr>
          <w:rFonts w:ascii="宋体" w:eastAsia="宋体" w:hAnsi="宋体" w:cs="宋体"/>
          <w:sz w:val="22"/>
          <w:szCs w:val="22"/>
        </w:rPr>
        <w:t xml:space="preserve"> </w:t>
      </w:r>
      <w:r>
        <w:rPr>
          <w:rFonts w:ascii="宋体" w:eastAsia="宋体" w:hAnsi="宋体" w:cs="宋体"/>
          <w:spacing w:val="6"/>
          <w:sz w:val="22"/>
          <w:szCs w:val="22"/>
        </w:rPr>
        <w:t>相当于牛肉，达20%左右；豆浆和豆奶的蛋白质含量接近牛乳，为2%～3%;</w:t>
      </w:r>
      <w:r>
        <w:rPr>
          <w:rFonts w:ascii="宋体" w:eastAsia="宋体" w:hAnsi="宋体" w:cs="宋体"/>
          <w:sz w:val="22"/>
          <w:szCs w:val="22"/>
        </w:rPr>
        <w:t xml:space="preserve"> </w:t>
      </w:r>
      <w:r>
        <w:rPr>
          <w:rFonts w:ascii="宋体" w:eastAsia="宋体" w:hAnsi="宋体" w:cs="宋体"/>
          <w:spacing w:val="9"/>
          <w:sz w:val="22"/>
          <w:szCs w:val="22"/>
        </w:rPr>
        <w:t>水豆腐的蛋白质含量为5%～8%,相当于猪的五花肉；腐竹的蛋白质含量达</w:t>
      </w:r>
      <w:r>
        <w:rPr>
          <w:rFonts w:ascii="宋体" w:eastAsia="宋体" w:hAnsi="宋体" w:cs="宋体"/>
          <w:spacing w:val="1"/>
          <w:sz w:val="22"/>
          <w:szCs w:val="22"/>
        </w:rPr>
        <w:t xml:space="preserve"> </w:t>
      </w:r>
      <w:r>
        <w:rPr>
          <w:rFonts w:ascii="宋体" w:eastAsia="宋体" w:hAnsi="宋体" w:cs="宋体"/>
          <w:spacing w:val="8"/>
          <w:sz w:val="22"/>
          <w:szCs w:val="22"/>
        </w:rPr>
        <w:t>45%～50%,相当于牛肉干。</w:t>
      </w:r>
    </w:p>
    <w:p w:rsidR="00EA40A3" w:rsidRDefault="00E86C16">
      <w:pPr>
        <w:spacing w:before="64"/>
        <w:ind w:right="73" w:firstLine="430"/>
        <w:rPr>
          <w:rFonts w:ascii="宋体" w:eastAsia="宋体" w:hAnsi="宋体" w:cs="宋体"/>
          <w:sz w:val="22"/>
          <w:szCs w:val="22"/>
        </w:rPr>
      </w:pPr>
      <w:r>
        <w:rPr>
          <w:rFonts w:ascii="宋体" w:eastAsia="宋体" w:hAnsi="宋体" w:cs="宋体"/>
          <w:spacing w:val="-13"/>
          <w:sz w:val="22"/>
          <w:szCs w:val="22"/>
        </w:rPr>
        <w:t>同时，豆制品中含有一定量的脂肪，但这些脂肪是优质的植物油脂，其中富</w:t>
      </w:r>
      <w:r>
        <w:rPr>
          <w:rFonts w:ascii="宋体" w:eastAsia="宋体" w:hAnsi="宋体" w:cs="宋体"/>
          <w:spacing w:val="4"/>
          <w:sz w:val="22"/>
          <w:szCs w:val="22"/>
        </w:rPr>
        <w:t xml:space="preserve"> </w:t>
      </w:r>
      <w:r>
        <w:rPr>
          <w:rFonts w:ascii="宋体" w:eastAsia="宋体" w:hAnsi="宋体" w:cs="宋体"/>
          <w:spacing w:val="-15"/>
          <w:sz w:val="22"/>
          <w:szCs w:val="22"/>
        </w:rPr>
        <w:t>含必需脂肪酸和磷脂，不含胆固醇，对人体健康有益。</w:t>
      </w:r>
    </w:p>
    <w:p w:rsidR="00EA40A3" w:rsidRDefault="00E86C16">
      <w:pPr>
        <w:spacing w:before="38"/>
        <w:ind w:firstLine="430"/>
        <w:rPr>
          <w:rFonts w:ascii="宋体" w:eastAsia="宋体" w:hAnsi="宋体" w:cs="宋体"/>
          <w:sz w:val="22"/>
          <w:szCs w:val="22"/>
        </w:rPr>
      </w:pPr>
      <w:r>
        <w:rPr>
          <w:rFonts w:ascii="宋体" w:eastAsia="宋体" w:hAnsi="宋体" w:cs="宋体"/>
          <w:spacing w:val="-11"/>
          <w:sz w:val="22"/>
          <w:szCs w:val="22"/>
        </w:rPr>
        <w:t>大豆中的水溶性维生素在豆腐的制作过程中有较大的流失，表现为硫胺素、</w:t>
      </w:r>
      <w:r>
        <w:rPr>
          <w:rFonts w:ascii="宋体" w:eastAsia="宋体" w:hAnsi="宋体" w:cs="宋体"/>
          <w:spacing w:val="12"/>
          <w:sz w:val="22"/>
          <w:szCs w:val="22"/>
        </w:rPr>
        <w:t xml:space="preserve"> </w:t>
      </w:r>
      <w:r>
        <w:rPr>
          <w:rFonts w:ascii="宋体" w:eastAsia="宋体" w:hAnsi="宋体" w:cs="宋体"/>
          <w:spacing w:val="-15"/>
          <w:sz w:val="22"/>
          <w:szCs w:val="22"/>
        </w:rPr>
        <w:t>核黄素和尼克酸的含量下降。</w:t>
      </w:r>
    </w:p>
    <w:p w:rsidR="00EA40A3" w:rsidRDefault="00E86C16">
      <w:pPr>
        <w:spacing w:before="49" w:line="247" w:lineRule="auto"/>
        <w:ind w:right="20" w:firstLine="430"/>
        <w:rPr>
          <w:rFonts w:ascii="宋体" w:eastAsia="宋体" w:hAnsi="宋体" w:cs="宋体"/>
          <w:sz w:val="22"/>
          <w:szCs w:val="22"/>
        </w:rPr>
      </w:pPr>
      <w:r>
        <w:rPr>
          <w:rFonts w:ascii="宋体" w:eastAsia="宋体" w:hAnsi="宋体" w:cs="宋体"/>
          <w:spacing w:val="-11"/>
          <w:sz w:val="22"/>
          <w:szCs w:val="22"/>
        </w:rPr>
        <w:t>豆制品是矿物质的良好来源。大豆本身含钙较多，而豆腐</w:t>
      </w:r>
      <w:r>
        <w:rPr>
          <w:rFonts w:ascii="宋体" w:eastAsia="宋体" w:hAnsi="宋体" w:cs="宋体"/>
          <w:spacing w:val="-12"/>
          <w:sz w:val="22"/>
          <w:szCs w:val="22"/>
        </w:rPr>
        <w:t>以钙盐为凝固剂，</w:t>
      </w:r>
      <w:r>
        <w:rPr>
          <w:rFonts w:ascii="宋体" w:eastAsia="宋体" w:hAnsi="宋体" w:cs="宋体"/>
          <w:sz w:val="22"/>
          <w:szCs w:val="22"/>
        </w:rPr>
        <w:t xml:space="preserve"> </w:t>
      </w:r>
      <w:r>
        <w:rPr>
          <w:rFonts w:ascii="宋体" w:eastAsia="宋体" w:hAnsi="宋体" w:cs="宋体"/>
          <w:spacing w:val="-13"/>
          <w:sz w:val="22"/>
          <w:szCs w:val="22"/>
        </w:rPr>
        <w:t>因此豆腐的钙含量很高，是膳食中钙的重要来源。大豆中的微</w:t>
      </w:r>
      <w:r>
        <w:rPr>
          <w:rFonts w:ascii="宋体" w:eastAsia="宋体" w:hAnsi="宋体" w:cs="宋体"/>
          <w:spacing w:val="-14"/>
          <w:sz w:val="22"/>
          <w:szCs w:val="22"/>
        </w:rPr>
        <w:t>量元素基本上都保</w:t>
      </w:r>
      <w:r>
        <w:rPr>
          <w:rFonts w:ascii="宋体" w:eastAsia="宋体" w:hAnsi="宋体" w:cs="宋体"/>
          <w:sz w:val="22"/>
          <w:szCs w:val="22"/>
        </w:rPr>
        <w:t xml:space="preserve"> </w:t>
      </w:r>
      <w:r>
        <w:rPr>
          <w:rFonts w:ascii="宋体" w:eastAsia="宋体" w:hAnsi="宋体" w:cs="宋体"/>
          <w:spacing w:val="-15"/>
          <w:sz w:val="22"/>
          <w:szCs w:val="22"/>
        </w:rPr>
        <w:t>留在豆制品中。</w:t>
      </w:r>
    </w:p>
    <w:p w:rsidR="00EA40A3" w:rsidRDefault="00E86C16">
      <w:pPr>
        <w:spacing w:before="34" w:line="242" w:lineRule="auto"/>
        <w:ind w:right="20" w:firstLine="430"/>
        <w:rPr>
          <w:rFonts w:ascii="宋体" w:eastAsia="宋体" w:hAnsi="宋体" w:cs="宋体"/>
          <w:sz w:val="22"/>
          <w:szCs w:val="22"/>
        </w:rPr>
      </w:pPr>
      <w:r>
        <w:rPr>
          <w:rFonts w:ascii="宋体" w:eastAsia="宋体" w:hAnsi="宋体" w:cs="宋体"/>
          <w:spacing w:val="-13"/>
          <w:sz w:val="22"/>
          <w:szCs w:val="22"/>
        </w:rPr>
        <w:t>发酵豆制品对素食者尤为重要。由于微生物的作用，部分蛋白质被降解，</w:t>
      </w:r>
      <w:r>
        <w:rPr>
          <w:rFonts w:ascii="宋体" w:eastAsia="宋体" w:hAnsi="宋体" w:cs="宋体"/>
          <w:spacing w:val="-14"/>
          <w:sz w:val="22"/>
          <w:szCs w:val="22"/>
        </w:rPr>
        <w:t>使</w:t>
      </w:r>
      <w:r>
        <w:rPr>
          <w:rFonts w:ascii="宋体" w:eastAsia="宋体" w:hAnsi="宋体" w:cs="宋体"/>
          <w:sz w:val="22"/>
          <w:szCs w:val="22"/>
        </w:rPr>
        <w:t xml:space="preserve"> </w:t>
      </w:r>
      <w:r>
        <w:rPr>
          <w:rFonts w:ascii="宋体" w:eastAsia="宋体" w:hAnsi="宋体" w:cs="宋体"/>
          <w:spacing w:val="-5"/>
          <w:sz w:val="22"/>
          <w:szCs w:val="22"/>
        </w:rPr>
        <w:t>消化吸收率大大提高，同时</w:t>
      </w:r>
      <w:r>
        <w:rPr>
          <w:rFonts w:ascii="宋体" w:eastAsia="宋体" w:hAnsi="宋体" w:cs="宋体"/>
          <w:spacing w:val="-63"/>
          <w:sz w:val="22"/>
          <w:szCs w:val="22"/>
        </w:rPr>
        <w:t xml:space="preserve"> </w:t>
      </w:r>
      <w:r>
        <w:rPr>
          <w:rFonts w:ascii="宋体" w:eastAsia="宋体" w:hAnsi="宋体" w:cs="宋体"/>
          <w:spacing w:val="-5"/>
          <w:sz w:val="22"/>
          <w:szCs w:val="22"/>
        </w:rPr>
        <w:t>B</w:t>
      </w:r>
      <w:r>
        <w:rPr>
          <w:rFonts w:ascii="宋体" w:eastAsia="宋体" w:hAnsi="宋体" w:cs="宋体"/>
          <w:spacing w:val="-27"/>
          <w:sz w:val="22"/>
          <w:szCs w:val="22"/>
        </w:rPr>
        <w:t xml:space="preserve"> </w:t>
      </w:r>
      <w:r>
        <w:rPr>
          <w:rFonts w:ascii="宋体" w:eastAsia="宋体" w:hAnsi="宋体" w:cs="宋体"/>
          <w:spacing w:val="-5"/>
          <w:sz w:val="22"/>
          <w:szCs w:val="22"/>
        </w:rPr>
        <w:t>族维生素含量有所增加</w:t>
      </w:r>
      <w:r>
        <w:rPr>
          <w:rFonts w:ascii="宋体" w:eastAsia="宋体" w:hAnsi="宋体" w:cs="宋体"/>
          <w:spacing w:val="-6"/>
          <w:sz w:val="22"/>
          <w:szCs w:val="22"/>
        </w:rPr>
        <w:t>。由于菌体蛋白的参与，</w:t>
      </w:r>
      <w:r>
        <w:rPr>
          <w:rFonts w:ascii="宋体" w:eastAsia="宋体" w:hAnsi="宋体" w:cs="宋体"/>
          <w:sz w:val="22"/>
          <w:szCs w:val="22"/>
        </w:rPr>
        <w:t xml:space="preserve"> </w:t>
      </w:r>
      <w:r>
        <w:rPr>
          <w:rFonts w:ascii="宋体" w:eastAsia="宋体" w:hAnsi="宋体" w:cs="宋体"/>
          <w:spacing w:val="-13"/>
          <w:sz w:val="22"/>
          <w:szCs w:val="22"/>
        </w:rPr>
        <w:t>蛋白质的生物利用率也有所提高。特别是通过霉菌发酵可产生植物性食品中不存</w:t>
      </w:r>
      <w:r>
        <w:rPr>
          <w:rFonts w:ascii="宋体" w:eastAsia="宋体" w:hAnsi="宋体" w:cs="宋体"/>
          <w:spacing w:val="12"/>
          <w:sz w:val="22"/>
          <w:szCs w:val="22"/>
        </w:rPr>
        <w:t xml:space="preserve"> </w:t>
      </w:r>
      <w:r>
        <w:rPr>
          <w:rFonts w:ascii="宋体" w:eastAsia="宋体" w:hAnsi="宋体" w:cs="宋体"/>
          <w:spacing w:val="-10"/>
          <w:sz w:val="22"/>
          <w:szCs w:val="22"/>
        </w:rPr>
        <w:t>在的维生素Bz。</w:t>
      </w:r>
      <w:r>
        <w:rPr>
          <w:rFonts w:ascii="宋体" w:eastAsia="宋体" w:hAnsi="宋体" w:cs="宋体"/>
          <w:spacing w:val="13"/>
          <w:sz w:val="22"/>
          <w:szCs w:val="22"/>
        </w:rPr>
        <w:t xml:space="preserve"> </w:t>
      </w:r>
      <w:r>
        <w:rPr>
          <w:rFonts w:ascii="宋体" w:eastAsia="宋体" w:hAnsi="宋体" w:cs="宋体"/>
          <w:spacing w:val="-10"/>
          <w:sz w:val="22"/>
          <w:szCs w:val="22"/>
        </w:rPr>
        <w:t>例如，在豆豉中，维生素B</w:t>
      </w:r>
      <w:r>
        <w:rPr>
          <w:rFonts w:ascii="Calibri" w:eastAsia="Calibri" w:hAnsi="Calibri" w:cs="Calibri"/>
          <w:spacing w:val="-10"/>
          <w:sz w:val="22"/>
          <w:szCs w:val="22"/>
        </w:rPr>
        <w:t>₂</w:t>
      </w:r>
      <w:r>
        <w:rPr>
          <w:rFonts w:ascii="Calibri" w:eastAsia="Calibri" w:hAnsi="Calibri" w:cs="Calibri"/>
          <w:spacing w:val="5"/>
          <w:sz w:val="22"/>
          <w:szCs w:val="22"/>
        </w:rPr>
        <w:t xml:space="preserve">  </w:t>
      </w:r>
      <w:r>
        <w:rPr>
          <w:rFonts w:ascii="宋体" w:eastAsia="宋体" w:hAnsi="宋体" w:cs="宋体"/>
          <w:spacing w:val="-10"/>
          <w:sz w:val="22"/>
          <w:szCs w:val="22"/>
        </w:rPr>
        <w:t>的含量为0.05～0.18μg/100g,</w:t>
      </w:r>
      <w:r>
        <w:rPr>
          <w:rFonts w:ascii="宋体" w:eastAsia="宋体" w:hAnsi="宋体" w:cs="宋体"/>
          <w:spacing w:val="23"/>
          <w:sz w:val="22"/>
          <w:szCs w:val="22"/>
        </w:rPr>
        <w:t xml:space="preserve"> </w:t>
      </w:r>
      <w:r>
        <w:rPr>
          <w:rFonts w:ascii="宋体" w:eastAsia="宋体" w:hAnsi="宋体" w:cs="宋体"/>
          <w:spacing w:val="-10"/>
          <w:sz w:val="22"/>
          <w:szCs w:val="22"/>
        </w:rPr>
        <w:t>而</w:t>
      </w:r>
      <w:r>
        <w:rPr>
          <w:rFonts w:ascii="宋体" w:eastAsia="宋体" w:hAnsi="宋体" w:cs="宋体"/>
          <w:sz w:val="22"/>
          <w:szCs w:val="22"/>
        </w:rPr>
        <w:t xml:space="preserve"> </w:t>
      </w:r>
      <w:r>
        <w:rPr>
          <w:rFonts w:ascii="宋体" w:eastAsia="宋体" w:hAnsi="宋体" w:cs="宋体"/>
          <w:spacing w:val="7"/>
          <w:sz w:val="22"/>
          <w:szCs w:val="22"/>
        </w:rPr>
        <w:t>在红腐乳中，含量为0.4～0.7</w:t>
      </w:r>
      <w:r>
        <w:rPr>
          <w:rFonts w:ascii="宋体" w:eastAsia="宋体" w:hAnsi="宋体" w:cs="宋体"/>
          <w:spacing w:val="-42"/>
          <w:sz w:val="22"/>
          <w:szCs w:val="22"/>
        </w:rPr>
        <w:t xml:space="preserve"> </w:t>
      </w:r>
      <w:r>
        <w:rPr>
          <w:rFonts w:ascii="宋体" w:eastAsia="宋体" w:hAnsi="宋体" w:cs="宋体"/>
          <w:spacing w:val="7"/>
          <w:sz w:val="22"/>
          <w:szCs w:val="22"/>
        </w:rPr>
        <w:t>μg/100g,</w:t>
      </w:r>
      <w:r>
        <w:rPr>
          <w:rFonts w:ascii="宋体" w:eastAsia="宋体" w:hAnsi="宋体" w:cs="宋体"/>
          <w:spacing w:val="-28"/>
          <w:sz w:val="22"/>
          <w:szCs w:val="22"/>
        </w:rPr>
        <w:t xml:space="preserve"> </w:t>
      </w:r>
      <w:r>
        <w:rPr>
          <w:rFonts w:ascii="宋体" w:eastAsia="宋体" w:hAnsi="宋体" w:cs="宋体"/>
          <w:spacing w:val="7"/>
          <w:sz w:val="22"/>
          <w:szCs w:val="22"/>
        </w:rPr>
        <w:t>臭豆腐中的含量甚至达到1.88</w:t>
      </w:r>
      <w:r>
        <w:rPr>
          <w:rFonts w:ascii="宋体" w:eastAsia="宋体" w:hAnsi="宋体" w:cs="宋体"/>
          <w:spacing w:val="6"/>
          <w:sz w:val="22"/>
          <w:szCs w:val="22"/>
        </w:rPr>
        <w:t>~</w:t>
      </w:r>
      <w:r>
        <w:rPr>
          <w:rFonts w:ascii="宋体" w:eastAsia="宋体" w:hAnsi="宋体" w:cs="宋体"/>
          <w:sz w:val="22"/>
          <w:szCs w:val="22"/>
        </w:rPr>
        <w:t xml:space="preserve"> </w:t>
      </w:r>
      <w:r>
        <w:rPr>
          <w:rFonts w:ascii="Times New Roman" w:eastAsia="Times New Roman" w:hAnsi="Times New Roman" w:cs="Times New Roman"/>
          <w:spacing w:val="-1"/>
          <w:sz w:val="22"/>
          <w:szCs w:val="22"/>
        </w:rPr>
        <w:t>9.8μg/100g</w:t>
      </w:r>
      <w:r>
        <w:rPr>
          <w:rFonts w:ascii="宋体" w:eastAsia="宋体" w:hAnsi="宋体" w:cs="宋体"/>
          <w:spacing w:val="-1"/>
          <w:sz w:val="22"/>
          <w:szCs w:val="22"/>
        </w:rPr>
        <w:t>。</w:t>
      </w:r>
    </w:p>
    <w:p w:rsidR="00EA40A3" w:rsidRDefault="00E86C16">
      <w:pPr>
        <w:spacing w:before="101" w:line="246" w:lineRule="auto"/>
        <w:ind w:right="73" w:firstLine="430"/>
        <w:rPr>
          <w:rFonts w:ascii="宋体" w:eastAsia="宋体" w:hAnsi="宋体" w:cs="宋体"/>
          <w:sz w:val="22"/>
          <w:szCs w:val="22"/>
        </w:rPr>
      </w:pPr>
      <w:r>
        <w:rPr>
          <w:rFonts w:ascii="宋体" w:eastAsia="宋体" w:hAnsi="宋体" w:cs="宋体"/>
          <w:spacing w:val="-6"/>
          <w:sz w:val="22"/>
          <w:szCs w:val="22"/>
        </w:rPr>
        <w:t>但是，豆腐加工中也有一部分B</w:t>
      </w:r>
      <w:r>
        <w:rPr>
          <w:rFonts w:ascii="宋体" w:eastAsia="宋体" w:hAnsi="宋体" w:cs="宋体"/>
          <w:spacing w:val="-13"/>
          <w:sz w:val="22"/>
          <w:szCs w:val="22"/>
        </w:rPr>
        <w:t xml:space="preserve"> </w:t>
      </w:r>
      <w:r>
        <w:rPr>
          <w:rFonts w:ascii="宋体" w:eastAsia="宋体" w:hAnsi="宋体" w:cs="宋体"/>
          <w:spacing w:val="-6"/>
          <w:sz w:val="22"/>
          <w:szCs w:val="22"/>
        </w:rPr>
        <w:t>族维生素溶水而损失，其中部分原因是加</w:t>
      </w:r>
      <w:r>
        <w:rPr>
          <w:rFonts w:ascii="宋体" w:eastAsia="宋体" w:hAnsi="宋体" w:cs="宋体"/>
          <w:sz w:val="22"/>
          <w:szCs w:val="22"/>
        </w:rPr>
        <w:t xml:space="preserve"> </w:t>
      </w:r>
      <w:r>
        <w:rPr>
          <w:rFonts w:ascii="宋体" w:eastAsia="宋体" w:hAnsi="宋体" w:cs="宋体"/>
          <w:spacing w:val="-10"/>
          <w:sz w:val="22"/>
          <w:szCs w:val="22"/>
        </w:rPr>
        <w:t>热降解，而大部分是凝固时随析出的水分流失。表6-6中列出一些传统豆制品的</w:t>
      </w:r>
      <w:r>
        <w:rPr>
          <w:rFonts w:ascii="宋体" w:eastAsia="宋体" w:hAnsi="宋体" w:cs="宋体"/>
          <w:spacing w:val="15"/>
          <w:sz w:val="22"/>
          <w:szCs w:val="22"/>
        </w:rPr>
        <w:t xml:space="preserve"> </w:t>
      </w:r>
      <w:r>
        <w:rPr>
          <w:rFonts w:ascii="宋体" w:eastAsia="宋体" w:hAnsi="宋体" w:cs="宋体"/>
          <w:spacing w:val="-17"/>
          <w:sz w:val="22"/>
          <w:szCs w:val="22"/>
        </w:rPr>
        <w:t>营养价值。</w:t>
      </w:r>
    </w:p>
    <w:p w:rsidR="00EA40A3" w:rsidRDefault="00E86C16">
      <w:pPr>
        <w:spacing w:before="50" w:line="244" w:lineRule="auto"/>
        <w:ind w:right="80" w:firstLine="430"/>
        <w:rPr>
          <w:rFonts w:ascii="宋体" w:eastAsia="宋体" w:hAnsi="宋体" w:cs="宋体"/>
          <w:sz w:val="22"/>
          <w:szCs w:val="22"/>
        </w:rPr>
      </w:pPr>
      <w:r>
        <w:rPr>
          <w:rFonts w:ascii="宋体" w:eastAsia="宋体" w:hAnsi="宋体" w:cs="宋体"/>
          <w:spacing w:val="-13"/>
          <w:sz w:val="22"/>
          <w:szCs w:val="22"/>
        </w:rPr>
        <w:t>素食者往往用大豆制品代替动物性食品，需要注意的问题是，这类食品</w:t>
      </w:r>
      <w:r>
        <w:rPr>
          <w:rFonts w:ascii="宋体" w:eastAsia="宋体" w:hAnsi="宋体" w:cs="宋体"/>
          <w:spacing w:val="-14"/>
          <w:sz w:val="22"/>
          <w:szCs w:val="22"/>
        </w:rPr>
        <w:t>中蛋</w:t>
      </w:r>
      <w:r>
        <w:rPr>
          <w:rFonts w:ascii="宋体" w:eastAsia="宋体" w:hAnsi="宋体" w:cs="宋体"/>
          <w:sz w:val="22"/>
          <w:szCs w:val="22"/>
        </w:rPr>
        <w:t xml:space="preserve"> </w:t>
      </w:r>
      <w:r>
        <w:rPr>
          <w:rFonts w:ascii="宋体" w:eastAsia="宋体" w:hAnsi="宋体" w:cs="宋体"/>
          <w:spacing w:val="-7"/>
          <w:sz w:val="22"/>
          <w:szCs w:val="22"/>
        </w:rPr>
        <w:t>白质、不饱和脂肪酸和B</w:t>
      </w:r>
      <w:r>
        <w:rPr>
          <w:rFonts w:ascii="宋体" w:eastAsia="宋体" w:hAnsi="宋体" w:cs="宋体"/>
          <w:spacing w:val="-15"/>
          <w:sz w:val="22"/>
          <w:szCs w:val="22"/>
        </w:rPr>
        <w:t xml:space="preserve"> </w:t>
      </w:r>
      <w:r>
        <w:rPr>
          <w:rFonts w:ascii="宋体" w:eastAsia="宋体" w:hAnsi="宋体" w:cs="宋体"/>
          <w:spacing w:val="-7"/>
          <w:sz w:val="22"/>
          <w:szCs w:val="22"/>
        </w:rPr>
        <w:t>族维生素含量丰富，但是与动物性食品相比，大豆制</w:t>
      </w:r>
      <w:r>
        <w:rPr>
          <w:rFonts w:ascii="宋体" w:eastAsia="宋体" w:hAnsi="宋体" w:cs="宋体"/>
          <w:sz w:val="22"/>
          <w:szCs w:val="22"/>
        </w:rPr>
        <w:t xml:space="preserve"> </w:t>
      </w:r>
      <w:r>
        <w:rPr>
          <w:rFonts w:ascii="宋体" w:eastAsia="宋体" w:hAnsi="宋体" w:cs="宋体"/>
          <w:spacing w:val="-8"/>
          <w:sz w:val="22"/>
          <w:szCs w:val="22"/>
        </w:rPr>
        <w:t>品不含维生素B</w:t>
      </w:r>
      <w:r>
        <w:rPr>
          <w:rFonts w:ascii="Calibri" w:eastAsia="Calibri" w:hAnsi="Calibri" w:cs="Calibri"/>
          <w:spacing w:val="-8"/>
          <w:sz w:val="22"/>
          <w:szCs w:val="22"/>
        </w:rPr>
        <w:t>₂</w:t>
      </w:r>
      <w:r>
        <w:rPr>
          <w:rFonts w:ascii="宋体" w:eastAsia="宋体" w:hAnsi="宋体" w:cs="宋体"/>
          <w:spacing w:val="-8"/>
          <w:sz w:val="22"/>
          <w:szCs w:val="22"/>
        </w:rPr>
        <w:t>,</w:t>
      </w:r>
      <w:r>
        <w:rPr>
          <w:rFonts w:ascii="宋体" w:eastAsia="宋体" w:hAnsi="宋体" w:cs="宋体"/>
          <w:spacing w:val="84"/>
          <w:sz w:val="22"/>
          <w:szCs w:val="22"/>
        </w:rPr>
        <w:t xml:space="preserve"> </w:t>
      </w:r>
      <w:r>
        <w:rPr>
          <w:rFonts w:ascii="宋体" w:eastAsia="宋体" w:hAnsi="宋体" w:cs="宋体"/>
          <w:spacing w:val="-8"/>
          <w:sz w:val="22"/>
          <w:szCs w:val="22"/>
        </w:rPr>
        <w:t>铁的含量和生物利用率也不及肉类，可以通过营养强化加以</w:t>
      </w:r>
      <w:r>
        <w:rPr>
          <w:rFonts w:ascii="宋体" w:eastAsia="宋体" w:hAnsi="宋体" w:cs="宋体"/>
          <w:sz w:val="22"/>
          <w:szCs w:val="22"/>
        </w:rPr>
        <w:t xml:space="preserve"> </w:t>
      </w:r>
      <w:r>
        <w:rPr>
          <w:rFonts w:ascii="宋体" w:eastAsia="宋体" w:hAnsi="宋体" w:cs="宋体"/>
          <w:spacing w:val="-18"/>
          <w:sz w:val="22"/>
          <w:szCs w:val="22"/>
        </w:rPr>
        <w:t>改善。</w:t>
      </w:r>
    </w:p>
    <w:p w:rsidR="00EA40A3" w:rsidRDefault="00EA40A3">
      <w:pPr>
        <w:sectPr w:rsidR="00EA40A3">
          <w:footerReference w:type="default" r:id="rId165"/>
          <w:pgSz w:w="9350" w:h="13440"/>
          <w:pgMar w:top="400" w:right="1099" w:bottom="1286" w:left="910" w:header="0" w:footer="1065" w:gutter="0"/>
          <w:cols w:space="720"/>
        </w:sectPr>
      </w:pPr>
    </w:p>
    <w:p w:rsidR="00EA40A3" w:rsidRDefault="00EA40A3">
      <w:pPr>
        <w:spacing w:line="75" w:lineRule="exact"/>
      </w:pPr>
    </w:p>
    <w:p w:rsidR="00EA40A3" w:rsidRDefault="00EA40A3">
      <w:pPr>
        <w:sectPr w:rsidR="00EA40A3">
          <w:headerReference w:type="default" r:id="rId166"/>
          <w:footerReference w:type="default" r:id="rId167"/>
          <w:pgSz w:w="9220" w:h="13360"/>
          <w:pgMar w:top="1285" w:right="970" w:bottom="1236" w:left="849" w:header="1053" w:footer="1015" w:gutter="0"/>
          <w:cols w:space="720" w:equalWidth="0">
            <w:col w:w="7400"/>
          </w:cols>
        </w:sectPr>
      </w:pPr>
    </w:p>
    <w:p w:rsidR="00EA40A3" w:rsidRDefault="00E86C16">
      <w:pPr>
        <w:spacing w:before="138" w:line="221" w:lineRule="auto"/>
        <w:ind w:left="580"/>
        <w:rPr>
          <w:rFonts w:ascii="宋体" w:eastAsia="宋体" w:hAnsi="宋体" w:cs="宋体"/>
          <w:sz w:val="16"/>
          <w:szCs w:val="16"/>
        </w:rPr>
      </w:pPr>
      <w:r>
        <w:rPr>
          <w:rFonts w:ascii="宋体" w:eastAsia="宋体" w:hAnsi="宋体" w:cs="宋体"/>
          <w:spacing w:val="-3"/>
          <w:sz w:val="16"/>
          <w:szCs w:val="16"/>
        </w:rPr>
        <w:t>名称</w:t>
      </w:r>
    </w:p>
    <w:p w:rsidR="00EA40A3" w:rsidRDefault="00E86C16">
      <w:pPr>
        <w:spacing w:line="14" w:lineRule="auto"/>
        <w:rPr>
          <w:sz w:val="2"/>
        </w:rPr>
      </w:pPr>
      <w:r>
        <w:rPr>
          <w:sz w:val="2"/>
          <w:szCs w:val="2"/>
        </w:rPr>
        <w:br w:type="column"/>
      </w:r>
    </w:p>
    <w:p w:rsidR="00EA40A3" w:rsidRDefault="00E86C16">
      <w:pPr>
        <w:spacing w:before="55" w:line="220" w:lineRule="auto"/>
        <w:ind w:left="40"/>
        <w:rPr>
          <w:rFonts w:ascii="宋体" w:eastAsia="宋体" w:hAnsi="宋体" w:cs="宋体"/>
          <w:sz w:val="16"/>
          <w:szCs w:val="16"/>
        </w:rPr>
      </w:pPr>
      <w:r>
        <w:rPr>
          <w:rFonts w:ascii="宋体" w:eastAsia="宋体" w:hAnsi="宋体" w:cs="宋体"/>
          <w:spacing w:val="6"/>
          <w:sz w:val="16"/>
          <w:szCs w:val="16"/>
        </w:rPr>
        <w:t>蛋白质</w:t>
      </w:r>
    </w:p>
    <w:p w:rsidR="00EA40A3" w:rsidRDefault="00E86C16">
      <w:pPr>
        <w:spacing w:before="64" w:line="184" w:lineRule="auto"/>
        <w:rPr>
          <w:rFonts w:ascii="宋体" w:eastAsia="宋体" w:hAnsi="宋体" w:cs="宋体"/>
          <w:sz w:val="16"/>
          <w:szCs w:val="16"/>
        </w:rPr>
      </w:pPr>
      <w:r>
        <w:rPr>
          <w:rFonts w:ascii="宋体" w:eastAsia="宋体" w:hAnsi="宋体" w:cs="宋体"/>
          <w:spacing w:val="-1"/>
          <w:sz w:val="16"/>
          <w:szCs w:val="16"/>
        </w:rPr>
        <w:t>/(g/100g)</w:t>
      </w:r>
    </w:p>
    <w:p w:rsidR="00EA40A3" w:rsidRDefault="00E86C16">
      <w:pPr>
        <w:spacing w:line="14" w:lineRule="auto"/>
        <w:rPr>
          <w:sz w:val="2"/>
        </w:rPr>
      </w:pPr>
      <w:r>
        <w:rPr>
          <w:sz w:val="2"/>
          <w:szCs w:val="2"/>
        </w:rPr>
        <w:br w:type="column"/>
      </w:r>
    </w:p>
    <w:p w:rsidR="00EA40A3" w:rsidRDefault="00E86C16">
      <w:pPr>
        <w:spacing w:before="35" w:line="235" w:lineRule="auto"/>
        <w:ind w:left="199"/>
        <w:rPr>
          <w:rFonts w:ascii="宋体" w:eastAsia="宋体" w:hAnsi="宋体" w:cs="宋体"/>
          <w:sz w:val="16"/>
          <w:szCs w:val="16"/>
        </w:rPr>
      </w:pPr>
      <w:r>
        <w:rPr>
          <w:rFonts w:ascii="宋体" w:eastAsia="宋体" w:hAnsi="宋体" w:cs="宋体"/>
          <w:spacing w:val="-3"/>
          <w:sz w:val="16"/>
          <w:szCs w:val="16"/>
        </w:rPr>
        <w:t>脂肪</w:t>
      </w:r>
      <w:r>
        <w:rPr>
          <w:rFonts w:ascii="宋体" w:eastAsia="宋体" w:hAnsi="宋体" w:cs="宋体"/>
          <w:spacing w:val="13"/>
          <w:sz w:val="16"/>
          <w:szCs w:val="16"/>
        </w:rPr>
        <w:t xml:space="preserve">     </w:t>
      </w:r>
      <w:r>
        <w:rPr>
          <w:rFonts w:ascii="宋体" w:eastAsia="宋体" w:hAnsi="宋体" w:cs="宋体"/>
          <w:spacing w:val="-3"/>
          <w:sz w:val="16"/>
          <w:szCs w:val="16"/>
        </w:rPr>
        <w:t>硫胺素</w:t>
      </w:r>
      <w:r>
        <w:rPr>
          <w:rFonts w:ascii="宋体" w:eastAsia="宋体" w:hAnsi="宋体" w:cs="宋体"/>
          <w:spacing w:val="14"/>
          <w:sz w:val="16"/>
          <w:szCs w:val="16"/>
        </w:rPr>
        <w:t xml:space="preserve">    </w:t>
      </w:r>
      <w:r>
        <w:rPr>
          <w:rFonts w:ascii="宋体" w:eastAsia="宋体" w:hAnsi="宋体" w:cs="宋体"/>
          <w:spacing w:val="-3"/>
          <w:sz w:val="16"/>
          <w:szCs w:val="16"/>
        </w:rPr>
        <w:t>核黄素</w:t>
      </w:r>
      <w:r>
        <w:rPr>
          <w:rFonts w:ascii="宋体" w:eastAsia="宋体" w:hAnsi="宋体" w:cs="宋体"/>
          <w:spacing w:val="1"/>
          <w:sz w:val="16"/>
          <w:szCs w:val="16"/>
        </w:rPr>
        <w:t xml:space="preserve">       </w:t>
      </w:r>
      <w:r>
        <w:rPr>
          <w:rFonts w:ascii="宋体" w:eastAsia="宋体" w:hAnsi="宋体" w:cs="宋体"/>
          <w:spacing w:val="-3"/>
          <w:position w:val="-1"/>
          <w:sz w:val="16"/>
          <w:szCs w:val="16"/>
        </w:rPr>
        <w:t>钙</w:t>
      </w:r>
      <w:r>
        <w:rPr>
          <w:rFonts w:ascii="宋体" w:eastAsia="宋体" w:hAnsi="宋体" w:cs="宋体"/>
          <w:spacing w:val="8"/>
          <w:position w:val="-1"/>
          <w:sz w:val="16"/>
          <w:szCs w:val="16"/>
        </w:rPr>
        <w:t xml:space="preserve">        </w:t>
      </w:r>
      <w:r>
        <w:rPr>
          <w:rFonts w:ascii="宋体" w:eastAsia="宋体" w:hAnsi="宋体" w:cs="宋体"/>
          <w:spacing w:val="-3"/>
          <w:sz w:val="16"/>
          <w:szCs w:val="16"/>
        </w:rPr>
        <w:t>铁</w:t>
      </w:r>
      <w:r>
        <w:rPr>
          <w:rFonts w:ascii="宋体" w:eastAsia="宋体" w:hAnsi="宋体" w:cs="宋体"/>
          <w:spacing w:val="1"/>
          <w:sz w:val="16"/>
          <w:szCs w:val="16"/>
        </w:rPr>
        <w:t xml:space="preserve">         </w:t>
      </w:r>
      <w:r>
        <w:rPr>
          <w:rFonts w:ascii="宋体" w:eastAsia="宋体" w:hAnsi="宋体" w:cs="宋体"/>
          <w:spacing w:val="-3"/>
          <w:sz w:val="16"/>
          <w:szCs w:val="16"/>
        </w:rPr>
        <w:t>锌</w:t>
      </w:r>
    </w:p>
    <w:p w:rsidR="00EA40A3" w:rsidRDefault="00E86C16">
      <w:pPr>
        <w:spacing w:before="41" w:line="196" w:lineRule="auto"/>
        <w:rPr>
          <w:rFonts w:ascii="宋体" w:eastAsia="宋体" w:hAnsi="宋体" w:cs="宋体"/>
          <w:sz w:val="16"/>
          <w:szCs w:val="16"/>
        </w:rPr>
      </w:pPr>
      <w:r>
        <w:rPr>
          <w:rFonts w:ascii="宋体" w:eastAsia="宋体" w:hAnsi="宋体" w:cs="宋体"/>
          <w:position w:val="-1"/>
          <w:sz w:val="16"/>
          <w:szCs w:val="16"/>
        </w:rPr>
        <w:t>/(g/100g)</w:t>
      </w:r>
      <w:r>
        <w:rPr>
          <w:rFonts w:ascii="宋体" w:eastAsia="宋体" w:hAnsi="宋体" w:cs="宋体"/>
          <w:spacing w:val="-15"/>
          <w:position w:val="-1"/>
          <w:sz w:val="16"/>
          <w:szCs w:val="16"/>
        </w:rPr>
        <w:t xml:space="preserve"> </w:t>
      </w:r>
      <w:r>
        <w:rPr>
          <w:rFonts w:ascii="宋体" w:eastAsia="宋体" w:hAnsi="宋体" w:cs="宋体"/>
          <w:sz w:val="16"/>
          <w:szCs w:val="16"/>
        </w:rPr>
        <w:t>/(mg/100g)/(mg/100g)/(mg/100g)/(mg/1</w:t>
      </w:r>
      <w:r>
        <w:rPr>
          <w:rFonts w:ascii="宋体" w:eastAsia="宋体" w:hAnsi="宋体" w:cs="宋体"/>
          <w:spacing w:val="-1"/>
          <w:sz w:val="16"/>
          <w:szCs w:val="16"/>
        </w:rPr>
        <w:t>00g)/(</w:t>
      </w:r>
      <w:r>
        <w:rPr>
          <w:rFonts w:ascii="宋体" w:eastAsia="宋体" w:hAnsi="宋体" w:cs="宋体"/>
          <w:sz w:val="16"/>
          <w:szCs w:val="16"/>
        </w:rPr>
        <w:t>mg</w:t>
      </w:r>
      <w:r>
        <w:rPr>
          <w:rFonts w:ascii="宋体" w:eastAsia="宋体" w:hAnsi="宋体" w:cs="宋体"/>
          <w:spacing w:val="-1"/>
          <w:sz w:val="16"/>
          <w:szCs w:val="16"/>
        </w:rPr>
        <w:t>/100g)</w:t>
      </w:r>
    </w:p>
    <w:p w:rsidR="00EA40A3" w:rsidRDefault="00EA40A3">
      <w:pPr>
        <w:sectPr w:rsidR="00EA40A3">
          <w:type w:val="continuous"/>
          <w:pgSz w:w="9220" w:h="13360"/>
          <w:pgMar w:top="1285" w:right="970" w:bottom="1236" w:left="849" w:header="1053" w:footer="1015" w:gutter="0"/>
          <w:cols w:num="3" w:space="720" w:equalWidth="0">
            <w:col w:w="1190" w:space="100"/>
            <w:col w:w="761" w:space="100"/>
            <w:col w:w="5250"/>
          </w:cols>
        </w:sectPr>
      </w:pPr>
    </w:p>
    <w:p w:rsidR="00EA40A3" w:rsidRDefault="00EA40A3">
      <w:pPr>
        <w:spacing w:line="23" w:lineRule="exact"/>
      </w:pPr>
    </w:p>
    <w:tbl>
      <w:tblPr>
        <w:tblStyle w:val="TableNormal"/>
        <w:tblW w:w="7339" w:type="dxa"/>
        <w:tblInd w:w="6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35"/>
        <w:gridCol w:w="878"/>
        <w:gridCol w:w="849"/>
        <w:gridCol w:w="869"/>
        <w:gridCol w:w="901"/>
        <w:gridCol w:w="815"/>
        <w:gridCol w:w="918"/>
        <w:gridCol w:w="450"/>
        <w:gridCol w:w="524"/>
      </w:tblGrid>
      <w:tr w:rsidR="00EA40A3">
        <w:trPr>
          <w:trHeight w:val="288"/>
        </w:trPr>
        <w:tc>
          <w:tcPr>
            <w:tcW w:w="1135" w:type="dxa"/>
            <w:tcBorders>
              <w:top w:val="single" w:sz="4" w:space="0" w:color="000000"/>
            </w:tcBorders>
          </w:tcPr>
          <w:p w:rsidR="00EA40A3" w:rsidRDefault="00E86C16">
            <w:pPr>
              <w:spacing w:before="81" w:line="219" w:lineRule="auto"/>
              <w:ind w:left="199"/>
              <w:rPr>
                <w:rFonts w:ascii="宋体" w:eastAsia="宋体" w:hAnsi="宋体" w:cs="宋体"/>
                <w:sz w:val="16"/>
                <w:szCs w:val="16"/>
              </w:rPr>
            </w:pPr>
            <w:r>
              <w:rPr>
                <w:rFonts w:ascii="宋体" w:eastAsia="宋体" w:hAnsi="宋体" w:cs="宋体"/>
                <w:spacing w:val="2"/>
                <w:sz w:val="16"/>
                <w:szCs w:val="16"/>
              </w:rPr>
              <w:t>内酯豆腐</w:t>
            </w:r>
          </w:p>
        </w:tc>
        <w:tc>
          <w:tcPr>
            <w:tcW w:w="878" w:type="dxa"/>
            <w:tcBorders>
              <w:top w:val="single" w:sz="4" w:space="0" w:color="000000"/>
            </w:tcBorders>
          </w:tcPr>
          <w:p w:rsidR="00EA40A3" w:rsidRDefault="00E86C16">
            <w:pPr>
              <w:spacing w:before="102" w:line="183" w:lineRule="auto"/>
              <w:ind w:left="374"/>
              <w:rPr>
                <w:rFonts w:ascii="宋体" w:eastAsia="宋体" w:hAnsi="宋体" w:cs="宋体"/>
                <w:sz w:val="16"/>
                <w:szCs w:val="16"/>
              </w:rPr>
            </w:pPr>
            <w:r>
              <w:rPr>
                <w:rFonts w:ascii="宋体" w:eastAsia="宋体" w:hAnsi="宋体" w:cs="宋体"/>
                <w:spacing w:val="-3"/>
                <w:sz w:val="16"/>
                <w:szCs w:val="16"/>
              </w:rPr>
              <w:t>5.0</w:t>
            </w:r>
          </w:p>
        </w:tc>
        <w:tc>
          <w:tcPr>
            <w:tcW w:w="849" w:type="dxa"/>
            <w:tcBorders>
              <w:top w:val="single" w:sz="4" w:space="0" w:color="000000"/>
            </w:tcBorders>
          </w:tcPr>
          <w:p w:rsidR="00EA40A3" w:rsidRDefault="00E86C16">
            <w:pPr>
              <w:spacing w:before="102" w:line="184" w:lineRule="auto"/>
              <w:ind w:left="357"/>
              <w:rPr>
                <w:rFonts w:ascii="宋体" w:eastAsia="宋体" w:hAnsi="宋体" w:cs="宋体"/>
                <w:sz w:val="16"/>
                <w:szCs w:val="16"/>
              </w:rPr>
            </w:pPr>
            <w:r>
              <w:rPr>
                <w:rFonts w:ascii="宋体" w:eastAsia="宋体" w:hAnsi="宋体" w:cs="宋体"/>
                <w:spacing w:val="-5"/>
                <w:sz w:val="16"/>
                <w:szCs w:val="16"/>
              </w:rPr>
              <w:t>1.9</w:t>
            </w:r>
          </w:p>
        </w:tc>
        <w:tc>
          <w:tcPr>
            <w:tcW w:w="869" w:type="dxa"/>
            <w:tcBorders>
              <w:top w:val="single" w:sz="4" w:space="0" w:color="000000"/>
            </w:tcBorders>
          </w:tcPr>
          <w:p w:rsidR="00EA40A3" w:rsidRDefault="00E86C16">
            <w:pPr>
              <w:spacing w:before="102" w:line="183" w:lineRule="auto"/>
              <w:ind w:left="268"/>
              <w:rPr>
                <w:rFonts w:ascii="宋体" w:eastAsia="宋体" w:hAnsi="宋体" w:cs="宋体"/>
                <w:sz w:val="16"/>
                <w:szCs w:val="16"/>
              </w:rPr>
            </w:pPr>
            <w:r>
              <w:rPr>
                <w:rFonts w:ascii="宋体" w:eastAsia="宋体" w:hAnsi="宋体" w:cs="宋体"/>
                <w:spacing w:val="-2"/>
                <w:sz w:val="16"/>
                <w:szCs w:val="16"/>
              </w:rPr>
              <w:t>0.06</w:t>
            </w:r>
          </w:p>
        </w:tc>
        <w:tc>
          <w:tcPr>
            <w:tcW w:w="901" w:type="dxa"/>
            <w:tcBorders>
              <w:top w:val="single" w:sz="4" w:space="0" w:color="000000"/>
            </w:tcBorders>
          </w:tcPr>
          <w:p w:rsidR="00EA40A3" w:rsidRDefault="00E86C16">
            <w:pPr>
              <w:spacing w:before="102" w:line="183" w:lineRule="auto"/>
              <w:ind w:left="298"/>
              <w:rPr>
                <w:rFonts w:ascii="宋体" w:eastAsia="宋体" w:hAnsi="宋体" w:cs="宋体"/>
                <w:sz w:val="16"/>
                <w:szCs w:val="16"/>
              </w:rPr>
            </w:pPr>
            <w:r>
              <w:rPr>
                <w:rFonts w:ascii="宋体" w:eastAsia="宋体" w:hAnsi="宋体" w:cs="宋体"/>
                <w:spacing w:val="-2"/>
                <w:sz w:val="16"/>
                <w:szCs w:val="16"/>
              </w:rPr>
              <w:t>0.03</w:t>
            </w:r>
          </w:p>
        </w:tc>
        <w:tc>
          <w:tcPr>
            <w:tcW w:w="815" w:type="dxa"/>
            <w:tcBorders>
              <w:top w:val="single" w:sz="4" w:space="0" w:color="000000"/>
            </w:tcBorders>
          </w:tcPr>
          <w:p w:rsidR="00EA40A3" w:rsidRDefault="00E86C16">
            <w:pPr>
              <w:spacing w:before="102" w:line="184" w:lineRule="auto"/>
              <w:ind w:left="337"/>
              <w:rPr>
                <w:rFonts w:ascii="宋体" w:eastAsia="宋体" w:hAnsi="宋体" w:cs="宋体"/>
                <w:sz w:val="16"/>
                <w:szCs w:val="16"/>
              </w:rPr>
            </w:pPr>
            <w:r>
              <w:rPr>
                <w:rFonts w:ascii="宋体" w:eastAsia="宋体" w:hAnsi="宋体" w:cs="宋体"/>
                <w:spacing w:val="-5"/>
                <w:sz w:val="16"/>
                <w:szCs w:val="16"/>
              </w:rPr>
              <w:t>17</w:t>
            </w:r>
          </w:p>
        </w:tc>
        <w:tc>
          <w:tcPr>
            <w:tcW w:w="918" w:type="dxa"/>
            <w:tcBorders>
              <w:top w:val="single" w:sz="4" w:space="0" w:color="000000"/>
            </w:tcBorders>
          </w:tcPr>
          <w:p w:rsidR="00EA40A3" w:rsidRDefault="00E86C16">
            <w:pPr>
              <w:spacing w:before="102" w:line="183" w:lineRule="auto"/>
              <w:ind w:left="342"/>
              <w:rPr>
                <w:rFonts w:ascii="宋体" w:eastAsia="宋体" w:hAnsi="宋体" w:cs="宋体"/>
                <w:sz w:val="16"/>
                <w:szCs w:val="16"/>
              </w:rPr>
            </w:pPr>
            <w:r>
              <w:rPr>
                <w:rFonts w:ascii="宋体" w:eastAsia="宋体" w:hAnsi="宋体" w:cs="宋体"/>
                <w:spacing w:val="-2"/>
                <w:sz w:val="16"/>
                <w:szCs w:val="16"/>
              </w:rPr>
              <w:t>0.8</w:t>
            </w:r>
          </w:p>
        </w:tc>
        <w:tc>
          <w:tcPr>
            <w:tcW w:w="450" w:type="dxa"/>
            <w:tcBorders>
              <w:top w:val="single" w:sz="4" w:space="0" w:color="000000"/>
            </w:tcBorders>
          </w:tcPr>
          <w:p w:rsidR="00EA40A3" w:rsidRDefault="00E86C16">
            <w:pPr>
              <w:spacing w:before="122" w:line="213" w:lineRule="auto"/>
              <w:ind w:left="325"/>
              <w:rPr>
                <w:rFonts w:ascii="宋体" w:eastAsia="宋体" w:hAnsi="宋体" w:cs="宋体"/>
                <w:sz w:val="13"/>
                <w:szCs w:val="13"/>
              </w:rPr>
            </w:pPr>
            <w:r>
              <w:rPr>
                <w:rFonts w:ascii="宋体" w:eastAsia="宋体" w:hAnsi="宋体" w:cs="宋体"/>
                <w:spacing w:val="-3"/>
                <w:sz w:val="13"/>
                <w:szCs w:val="13"/>
              </w:rPr>
              <w:t>0.</w:t>
            </w:r>
          </w:p>
        </w:tc>
        <w:tc>
          <w:tcPr>
            <w:tcW w:w="524" w:type="dxa"/>
            <w:tcBorders>
              <w:top w:val="single" w:sz="4" w:space="0" w:color="000000"/>
            </w:tcBorders>
          </w:tcPr>
          <w:p w:rsidR="00EA40A3" w:rsidRDefault="00E86C16">
            <w:pPr>
              <w:spacing w:before="123" w:line="182" w:lineRule="auto"/>
              <w:ind w:left="36"/>
              <w:rPr>
                <w:rFonts w:ascii="宋体" w:eastAsia="宋体" w:hAnsi="宋体" w:cs="宋体"/>
                <w:sz w:val="16"/>
                <w:szCs w:val="16"/>
              </w:rPr>
            </w:pPr>
            <w:r>
              <w:rPr>
                <w:rFonts w:ascii="宋体" w:eastAsia="宋体" w:hAnsi="宋体" w:cs="宋体"/>
                <w:spacing w:val="-3"/>
                <w:sz w:val="16"/>
                <w:szCs w:val="16"/>
              </w:rPr>
              <w:t>55</w:t>
            </w:r>
          </w:p>
        </w:tc>
      </w:tr>
      <w:tr w:rsidR="00EA40A3">
        <w:trPr>
          <w:trHeight w:val="263"/>
        </w:trPr>
        <w:tc>
          <w:tcPr>
            <w:tcW w:w="1135" w:type="dxa"/>
          </w:tcPr>
          <w:p w:rsidR="00EA40A3" w:rsidRDefault="00E86C16">
            <w:pPr>
              <w:spacing w:before="53" w:line="219" w:lineRule="auto"/>
              <w:ind w:left="359"/>
              <w:rPr>
                <w:rFonts w:ascii="宋体" w:eastAsia="宋体" w:hAnsi="宋体" w:cs="宋体"/>
                <w:sz w:val="16"/>
                <w:szCs w:val="16"/>
              </w:rPr>
            </w:pPr>
            <w:r>
              <w:rPr>
                <w:rFonts w:ascii="宋体" w:eastAsia="宋体" w:hAnsi="宋体" w:cs="宋体"/>
                <w:spacing w:val="-2"/>
                <w:sz w:val="16"/>
                <w:szCs w:val="16"/>
              </w:rPr>
              <w:t>北豆腐</w:t>
            </w:r>
          </w:p>
        </w:tc>
        <w:tc>
          <w:tcPr>
            <w:tcW w:w="878" w:type="dxa"/>
          </w:tcPr>
          <w:p w:rsidR="00EA40A3" w:rsidRDefault="00E86C16">
            <w:pPr>
              <w:spacing w:before="94" w:line="184" w:lineRule="auto"/>
              <w:ind w:left="295"/>
              <w:rPr>
                <w:rFonts w:ascii="宋体" w:eastAsia="宋体" w:hAnsi="宋体" w:cs="宋体"/>
                <w:sz w:val="16"/>
                <w:szCs w:val="16"/>
              </w:rPr>
            </w:pPr>
            <w:r>
              <w:rPr>
                <w:rFonts w:ascii="宋体" w:eastAsia="宋体" w:hAnsi="宋体" w:cs="宋体"/>
                <w:spacing w:val="-4"/>
                <w:sz w:val="16"/>
                <w:szCs w:val="16"/>
              </w:rPr>
              <w:t>12.2</w:t>
            </w:r>
          </w:p>
        </w:tc>
        <w:tc>
          <w:tcPr>
            <w:tcW w:w="849" w:type="dxa"/>
          </w:tcPr>
          <w:p w:rsidR="00EA40A3" w:rsidRDefault="00E86C16">
            <w:pPr>
              <w:spacing w:before="94" w:line="183" w:lineRule="auto"/>
              <w:ind w:left="357"/>
              <w:rPr>
                <w:rFonts w:ascii="宋体" w:eastAsia="宋体" w:hAnsi="宋体" w:cs="宋体"/>
                <w:sz w:val="16"/>
                <w:szCs w:val="16"/>
              </w:rPr>
            </w:pPr>
            <w:r>
              <w:rPr>
                <w:rFonts w:ascii="宋体" w:eastAsia="宋体" w:hAnsi="宋体" w:cs="宋体"/>
                <w:spacing w:val="-2"/>
                <w:sz w:val="16"/>
                <w:szCs w:val="16"/>
              </w:rPr>
              <w:t>4.8</w:t>
            </w:r>
          </w:p>
        </w:tc>
        <w:tc>
          <w:tcPr>
            <w:tcW w:w="869" w:type="dxa"/>
          </w:tcPr>
          <w:p w:rsidR="00EA40A3" w:rsidRDefault="00E86C16">
            <w:pPr>
              <w:spacing w:before="94" w:line="183" w:lineRule="auto"/>
              <w:ind w:left="268"/>
              <w:rPr>
                <w:rFonts w:ascii="宋体" w:eastAsia="宋体" w:hAnsi="宋体" w:cs="宋体"/>
                <w:sz w:val="16"/>
                <w:szCs w:val="16"/>
              </w:rPr>
            </w:pPr>
            <w:r>
              <w:rPr>
                <w:rFonts w:ascii="宋体" w:eastAsia="宋体" w:hAnsi="宋体" w:cs="宋体"/>
                <w:spacing w:val="-2"/>
                <w:sz w:val="16"/>
                <w:szCs w:val="16"/>
              </w:rPr>
              <w:t>0.05</w:t>
            </w:r>
          </w:p>
        </w:tc>
        <w:tc>
          <w:tcPr>
            <w:tcW w:w="901" w:type="dxa"/>
          </w:tcPr>
          <w:p w:rsidR="00EA40A3" w:rsidRDefault="00E86C16">
            <w:pPr>
              <w:spacing w:before="94" w:line="183" w:lineRule="auto"/>
              <w:ind w:left="298"/>
              <w:rPr>
                <w:rFonts w:ascii="宋体" w:eastAsia="宋体" w:hAnsi="宋体" w:cs="宋体"/>
                <w:sz w:val="16"/>
                <w:szCs w:val="16"/>
              </w:rPr>
            </w:pPr>
            <w:r>
              <w:rPr>
                <w:rFonts w:ascii="宋体" w:eastAsia="宋体" w:hAnsi="宋体" w:cs="宋体"/>
                <w:spacing w:val="-2"/>
                <w:sz w:val="16"/>
                <w:szCs w:val="16"/>
              </w:rPr>
              <w:t>0.03</w:t>
            </w:r>
          </w:p>
        </w:tc>
        <w:tc>
          <w:tcPr>
            <w:tcW w:w="815" w:type="dxa"/>
          </w:tcPr>
          <w:p w:rsidR="00EA40A3" w:rsidRDefault="00E86C16">
            <w:pPr>
              <w:spacing w:before="94" w:line="184" w:lineRule="auto"/>
              <w:ind w:left="298"/>
              <w:rPr>
                <w:rFonts w:ascii="宋体" w:eastAsia="宋体" w:hAnsi="宋体" w:cs="宋体"/>
                <w:sz w:val="16"/>
                <w:szCs w:val="16"/>
              </w:rPr>
            </w:pPr>
            <w:r>
              <w:rPr>
                <w:rFonts w:ascii="宋体" w:eastAsia="宋体" w:hAnsi="宋体" w:cs="宋体"/>
                <w:spacing w:val="-5"/>
                <w:sz w:val="16"/>
                <w:szCs w:val="16"/>
              </w:rPr>
              <w:t>138</w:t>
            </w:r>
          </w:p>
        </w:tc>
        <w:tc>
          <w:tcPr>
            <w:tcW w:w="918" w:type="dxa"/>
          </w:tcPr>
          <w:p w:rsidR="00EA40A3" w:rsidRDefault="00E86C16">
            <w:pPr>
              <w:spacing w:before="94" w:line="183" w:lineRule="auto"/>
              <w:ind w:left="342"/>
              <w:rPr>
                <w:rFonts w:ascii="宋体" w:eastAsia="宋体" w:hAnsi="宋体" w:cs="宋体"/>
                <w:sz w:val="16"/>
                <w:szCs w:val="16"/>
              </w:rPr>
            </w:pPr>
            <w:r>
              <w:rPr>
                <w:rFonts w:ascii="宋体" w:eastAsia="宋体" w:hAnsi="宋体" w:cs="宋体"/>
                <w:spacing w:val="-2"/>
                <w:sz w:val="16"/>
                <w:szCs w:val="16"/>
              </w:rPr>
              <w:t>2.5</w:t>
            </w:r>
          </w:p>
        </w:tc>
        <w:tc>
          <w:tcPr>
            <w:tcW w:w="450" w:type="dxa"/>
          </w:tcPr>
          <w:p w:rsidR="00EA40A3" w:rsidRDefault="00E86C16">
            <w:pPr>
              <w:spacing w:before="94" w:line="213" w:lineRule="auto"/>
              <w:ind w:left="325"/>
              <w:rPr>
                <w:rFonts w:ascii="宋体" w:eastAsia="宋体" w:hAnsi="宋体" w:cs="宋体"/>
                <w:sz w:val="13"/>
                <w:szCs w:val="13"/>
              </w:rPr>
            </w:pPr>
            <w:r>
              <w:rPr>
                <w:rFonts w:ascii="宋体" w:eastAsia="宋体" w:hAnsi="宋体" w:cs="宋体"/>
                <w:spacing w:val="-3"/>
                <w:sz w:val="13"/>
                <w:szCs w:val="13"/>
              </w:rPr>
              <w:t>0.</w:t>
            </w:r>
          </w:p>
        </w:tc>
        <w:tc>
          <w:tcPr>
            <w:tcW w:w="524" w:type="dxa"/>
          </w:tcPr>
          <w:p w:rsidR="00EA40A3" w:rsidRDefault="00E86C16">
            <w:pPr>
              <w:spacing w:before="94" w:line="183" w:lineRule="auto"/>
              <w:ind w:left="35"/>
              <w:rPr>
                <w:rFonts w:ascii="宋体" w:eastAsia="宋体" w:hAnsi="宋体" w:cs="宋体"/>
                <w:sz w:val="16"/>
                <w:szCs w:val="16"/>
              </w:rPr>
            </w:pPr>
            <w:r>
              <w:rPr>
                <w:rFonts w:ascii="宋体" w:eastAsia="宋体" w:hAnsi="宋体" w:cs="宋体"/>
                <w:spacing w:val="-2"/>
                <w:sz w:val="16"/>
                <w:szCs w:val="16"/>
              </w:rPr>
              <w:t>63</w:t>
            </w:r>
          </w:p>
        </w:tc>
      </w:tr>
      <w:tr w:rsidR="00EA40A3">
        <w:trPr>
          <w:trHeight w:val="283"/>
        </w:trPr>
        <w:tc>
          <w:tcPr>
            <w:tcW w:w="1135" w:type="dxa"/>
          </w:tcPr>
          <w:p w:rsidR="00EA40A3" w:rsidRDefault="00E86C16">
            <w:pPr>
              <w:spacing w:before="60" w:line="219" w:lineRule="auto"/>
              <w:ind w:left="199"/>
              <w:rPr>
                <w:rFonts w:ascii="宋体" w:eastAsia="宋体" w:hAnsi="宋体" w:cs="宋体"/>
                <w:sz w:val="16"/>
                <w:szCs w:val="16"/>
              </w:rPr>
            </w:pPr>
            <w:r>
              <w:rPr>
                <w:rFonts w:ascii="宋体" w:eastAsia="宋体" w:hAnsi="宋体" w:cs="宋体"/>
                <w:spacing w:val="-2"/>
                <w:sz w:val="16"/>
                <w:szCs w:val="16"/>
              </w:rPr>
              <w:t>油豆腐丝</w:t>
            </w:r>
          </w:p>
        </w:tc>
        <w:tc>
          <w:tcPr>
            <w:tcW w:w="878" w:type="dxa"/>
          </w:tcPr>
          <w:p w:rsidR="00EA40A3" w:rsidRDefault="00E86C16">
            <w:pPr>
              <w:spacing w:before="101" w:line="183" w:lineRule="auto"/>
              <w:ind w:left="295"/>
              <w:rPr>
                <w:rFonts w:ascii="宋体" w:eastAsia="宋体" w:hAnsi="宋体" w:cs="宋体"/>
                <w:sz w:val="16"/>
                <w:szCs w:val="16"/>
              </w:rPr>
            </w:pPr>
            <w:r>
              <w:rPr>
                <w:rFonts w:ascii="宋体" w:eastAsia="宋体" w:hAnsi="宋体" w:cs="宋体"/>
                <w:spacing w:val="-2"/>
                <w:sz w:val="16"/>
                <w:szCs w:val="16"/>
              </w:rPr>
              <w:t>24.2</w:t>
            </w:r>
          </w:p>
        </w:tc>
        <w:tc>
          <w:tcPr>
            <w:tcW w:w="849" w:type="dxa"/>
          </w:tcPr>
          <w:p w:rsidR="00EA40A3" w:rsidRDefault="00E86C16">
            <w:pPr>
              <w:spacing w:before="120" w:line="184" w:lineRule="auto"/>
              <w:ind w:left="276"/>
              <w:rPr>
                <w:rFonts w:ascii="宋体" w:eastAsia="宋体" w:hAnsi="宋体" w:cs="宋体"/>
                <w:sz w:val="16"/>
                <w:szCs w:val="16"/>
              </w:rPr>
            </w:pPr>
            <w:r>
              <w:rPr>
                <w:rFonts w:ascii="宋体" w:eastAsia="宋体" w:hAnsi="宋体" w:cs="宋体"/>
                <w:spacing w:val="-4"/>
                <w:sz w:val="16"/>
                <w:szCs w:val="16"/>
              </w:rPr>
              <w:t>17.1</w:t>
            </w:r>
          </w:p>
        </w:tc>
        <w:tc>
          <w:tcPr>
            <w:tcW w:w="869" w:type="dxa"/>
          </w:tcPr>
          <w:p w:rsidR="00EA40A3" w:rsidRDefault="00E86C16">
            <w:pPr>
              <w:spacing w:before="101" w:line="183" w:lineRule="auto"/>
              <w:ind w:left="268"/>
              <w:rPr>
                <w:rFonts w:ascii="宋体" w:eastAsia="宋体" w:hAnsi="宋体" w:cs="宋体"/>
                <w:sz w:val="16"/>
                <w:szCs w:val="16"/>
              </w:rPr>
            </w:pPr>
            <w:r>
              <w:rPr>
                <w:rFonts w:ascii="宋体" w:eastAsia="宋体" w:hAnsi="宋体" w:cs="宋体"/>
                <w:spacing w:val="-2"/>
                <w:sz w:val="16"/>
                <w:szCs w:val="16"/>
              </w:rPr>
              <w:t>0.02</w:t>
            </w:r>
          </w:p>
        </w:tc>
        <w:tc>
          <w:tcPr>
            <w:tcW w:w="901" w:type="dxa"/>
          </w:tcPr>
          <w:p w:rsidR="00EA40A3" w:rsidRDefault="00E86C16">
            <w:pPr>
              <w:spacing w:before="101" w:line="183" w:lineRule="auto"/>
              <w:ind w:left="298"/>
              <w:rPr>
                <w:rFonts w:ascii="宋体" w:eastAsia="宋体" w:hAnsi="宋体" w:cs="宋体"/>
                <w:sz w:val="16"/>
                <w:szCs w:val="16"/>
              </w:rPr>
            </w:pPr>
            <w:r>
              <w:rPr>
                <w:rFonts w:ascii="宋体" w:eastAsia="宋体" w:hAnsi="宋体" w:cs="宋体"/>
                <w:spacing w:val="-2"/>
                <w:sz w:val="16"/>
                <w:szCs w:val="16"/>
              </w:rPr>
              <w:t>0.09</w:t>
            </w:r>
          </w:p>
        </w:tc>
        <w:tc>
          <w:tcPr>
            <w:tcW w:w="815" w:type="dxa"/>
          </w:tcPr>
          <w:p w:rsidR="00EA40A3" w:rsidRDefault="00E86C16">
            <w:pPr>
              <w:spacing w:before="101" w:line="184" w:lineRule="auto"/>
              <w:ind w:left="298"/>
              <w:rPr>
                <w:rFonts w:ascii="宋体" w:eastAsia="宋体" w:hAnsi="宋体" w:cs="宋体"/>
                <w:sz w:val="16"/>
                <w:szCs w:val="16"/>
              </w:rPr>
            </w:pPr>
            <w:r>
              <w:rPr>
                <w:rFonts w:ascii="宋体" w:eastAsia="宋体" w:hAnsi="宋体" w:cs="宋体"/>
                <w:spacing w:val="-5"/>
                <w:sz w:val="16"/>
                <w:szCs w:val="16"/>
              </w:rPr>
              <w:t>152</w:t>
            </w:r>
          </w:p>
        </w:tc>
        <w:tc>
          <w:tcPr>
            <w:tcW w:w="918" w:type="dxa"/>
          </w:tcPr>
          <w:p w:rsidR="00EA40A3" w:rsidRDefault="00E86C16">
            <w:pPr>
              <w:spacing w:before="101" w:line="183" w:lineRule="auto"/>
              <w:ind w:left="342"/>
              <w:rPr>
                <w:rFonts w:ascii="宋体" w:eastAsia="宋体" w:hAnsi="宋体" w:cs="宋体"/>
                <w:sz w:val="16"/>
                <w:szCs w:val="16"/>
              </w:rPr>
            </w:pPr>
            <w:r>
              <w:rPr>
                <w:rFonts w:ascii="宋体" w:eastAsia="宋体" w:hAnsi="宋体" w:cs="宋体"/>
                <w:spacing w:val="-3"/>
                <w:sz w:val="16"/>
                <w:szCs w:val="16"/>
              </w:rPr>
              <w:t>5.0</w:t>
            </w:r>
          </w:p>
        </w:tc>
        <w:tc>
          <w:tcPr>
            <w:tcW w:w="450" w:type="dxa"/>
          </w:tcPr>
          <w:p w:rsidR="00EA40A3" w:rsidRDefault="00E86C16">
            <w:pPr>
              <w:spacing w:before="101" w:line="213" w:lineRule="auto"/>
              <w:ind w:left="325"/>
              <w:rPr>
                <w:rFonts w:ascii="宋体" w:eastAsia="宋体" w:hAnsi="宋体" w:cs="宋体"/>
                <w:sz w:val="13"/>
                <w:szCs w:val="13"/>
              </w:rPr>
            </w:pPr>
            <w:r>
              <w:rPr>
                <w:rFonts w:ascii="宋体" w:eastAsia="宋体" w:hAnsi="宋体" w:cs="宋体"/>
                <w:spacing w:val="-3"/>
                <w:sz w:val="13"/>
                <w:szCs w:val="13"/>
              </w:rPr>
              <w:t>2.</w:t>
            </w:r>
          </w:p>
        </w:tc>
        <w:tc>
          <w:tcPr>
            <w:tcW w:w="524" w:type="dxa"/>
          </w:tcPr>
          <w:p w:rsidR="00EA40A3" w:rsidRDefault="00E86C16">
            <w:pPr>
              <w:spacing w:before="101" w:line="183" w:lineRule="auto"/>
              <w:ind w:left="33"/>
              <w:rPr>
                <w:rFonts w:ascii="宋体" w:eastAsia="宋体" w:hAnsi="宋体" w:cs="宋体"/>
                <w:sz w:val="16"/>
                <w:szCs w:val="16"/>
              </w:rPr>
            </w:pPr>
            <w:r>
              <w:rPr>
                <w:rFonts w:ascii="宋体" w:eastAsia="宋体" w:hAnsi="宋体" w:cs="宋体"/>
                <w:spacing w:val="-2"/>
                <w:sz w:val="16"/>
                <w:szCs w:val="16"/>
              </w:rPr>
              <w:t>98</w:t>
            </w:r>
          </w:p>
        </w:tc>
      </w:tr>
      <w:tr w:rsidR="00EA40A3">
        <w:trPr>
          <w:trHeight w:val="282"/>
        </w:trPr>
        <w:tc>
          <w:tcPr>
            <w:tcW w:w="1135" w:type="dxa"/>
          </w:tcPr>
          <w:p w:rsidR="00EA40A3" w:rsidRDefault="00E86C16">
            <w:pPr>
              <w:spacing w:before="57" w:line="219" w:lineRule="auto"/>
              <w:ind w:left="359"/>
              <w:rPr>
                <w:rFonts w:ascii="宋体" w:eastAsia="宋体" w:hAnsi="宋体" w:cs="宋体"/>
                <w:sz w:val="16"/>
                <w:szCs w:val="16"/>
              </w:rPr>
            </w:pPr>
            <w:r>
              <w:rPr>
                <w:rFonts w:ascii="宋体" w:eastAsia="宋体" w:hAnsi="宋体" w:cs="宋体"/>
                <w:spacing w:val="-2"/>
                <w:sz w:val="16"/>
                <w:szCs w:val="16"/>
              </w:rPr>
              <w:t>素什锦</w:t>
            </w:r>
          </w:p>
        </w:tc>
        <w:tc>
          <w:tcPr>
            <w:tcW w:w="878" w:type="dxa"/>
          </w:tcPr>
          <w:p w:rsidR="00EA40A3" w:rsidRDefault="00E86C16">
            <w:pPr>
              <w:spacing w:before="97" w:line="184" w:lineRule="auto"/>
              <w:ind w:left="295"/>
              <w:rPr>
                <w:rFonts w:ascii="宋体" w:eastAsia="宋体" w:hAnsi="宋体" w:cs="宋体"/>
                <w:sz w:val="16"/>
                <w:szCs w:val="16"/>
              </w:rPr>
            </w:pPr>
            <w:r>
              <w:rPr>
                <w:rFonts w:ascii="宋体" w:eastAsia="宋体" w:hAnsi="宋体" w:cs="宋体"/>
                <w:spacing w:val="-4"/>
                <w:sz w:val="16"/>
                <w:szCs w:val="16"/>
              </w:rPr>
              <w:t>14.0</w:t>
            </w:r>
          </w:p>
        </w:tc>
        <w:tc>
          <w:tcPr>
            <w:tcW w:w="849" w:type="dxa"/>
          </w:tcPr>
          <w:p w:rsidR="00EA40A3" w:rsidRDefault="00E86C16">
            <w:pPr>
              <w:spacing w:before="97" w:line="184" w:lineRule="auto"/>
              <w:ind w:left="276"/>
              <w:rPr>
                <w:rFonts w:ascii="宋体" w:eastAsia="宋体" w:hAnsi="宋体" w:cs="宋体"/>
                <w:sz w:val="16"/>
                <w:szCs w:val="16"/>
              </w:rPr>
            </w:pPr>
            <w:r>
              <w:rPr>
                <w:rFonts w:ascii="宋体" w:eastAsia="宋体" w:hAnsi="宋体" w:cs="宋体"/>
                <w:spacing w:val="-4"/>
                <w:sz w:val="16"/>
                <w:szCs w:val="16"/>
              </w:rPr>
              <w:t>10.2</w:t>
            </w:r>
          </w:p>
        </w:tc>
        <w:tc>
          <w:tcPr>
            <w:tcW w:w="869" w:type="dxa"/>
          </w:tcPr>
          <w:p w:rsidR="00EA40A3" w:rsidRDefault="00E86C16">
            <w:pPr>
              <w:spacing w:before="98" w:line="183" w:lineRule="auto"/>
              <w:ind w:left="268"/>
              <w:rPr>
                <w:rFonts w:ascii="宋体" w:eastAsia="宋体" w:hAnsi="宋体" w:cs="宋体"/>
                <w:sz w:val="16"/>
                <w:szCs w:val="16"/>
              </w:rPr>
            </w:pPr>
            <w:r>
              <w:rPr>
                <w:rFonts w:ascii="宋体" w:eastAsia="宋体" w:hAnsi="宋体" w:cs="宋体"/>
                <w:spacing w:val="-2"/>
                <w:sz w:val="16"/>
                <w:szCs w:val="16"/>
              </w:rPr>
              <w:t>0.07</w:t>
            </w:r>
          </w:p>
        </w:tc>
        <w:tc>
          <w:tcPr>
            <w:tcW w:w="901" w:type="dxa"/>
          </w:tcPr>
          <w:p w:rsidR="00EA40A3" w:rsidRDefault="00E86C16">
            <w:pPr>
              <w:spacing w:before="98" w:line="183" w:lineRule="auto"/>
              <w:ind w:left="298"/>
              <w:rPr>
                <w:rFonts w:ascii="宋体" w:eastAsia="宋体" w:hAnsi="宋体" w:cs="宋体"/>
                <w:sz w:val="16"/>
                <w:szCs w:val="16"/>
              </w:rPr>
            </w:pPr>
            <w:r>
              <w:rPr>
                <w:rFonts w:ascii="宋体" w:eastAsia="宋体" w:hAnsi="宋体" w:cs="宋体"/>
                <w:spacing w:val="-2"/>
                <w:sz w:val="16"/>
                <w:szCs w:val="16"/>
              </w:rPr>
              <w:t>0.04</w:t>
            </w:r>
          </w:p>
        </w:tc>
        <w:tc>
          <w:tcPr>
            <w:tcW w:w="815" w:type="dxa"/>
          </w:tcPr>
          <w:p w:rsidR="00EA40A3" w:rsidRDefault="00E86C16">
            <w:pPr>
              <w:spacing w:before="97" w:line="184" w:lineRule="auto"/>
              <w:ind w:left="298"/>
              <w:rPr>
                <w:rFonts w:ascii="宋体" w:eastAsia="宋体" w:hAnsi="宋体" w:cs="宋体"/>
                <w:sz w:val="16"/>
                <w:szCs w:val="16"/>
              </w:rPr>
            </w:pPr>
            <w:r>
              <w:rPr>
                <w:rFonts w:ascii="宋体" w:eastAsia="宋体" w:hAnsi="宋体" w:cs="宋体"/>
                <w:spacing w:val="-5"/>
                <w:sz w:val="16"/>
                <w:szCs w:val="16"/>
              </w:rPr>
              <w:t>174</w:t>
            </w:r>
          </w:p>
        </w:tc>
        <w:tc>
          <w:tcPr>
            <w:tcW w:w="918" w:type="dxa"/>
          </w:tcPr>
          <w:p w:rsidR="00EA40A3" w:rsidRDefault="00E86C16">
            <w:pPr>
              <w:spacing w:before="98" w:line="183" w:lineRule="auto"/>
              <w:ind w:left="342"/>
              <w:rPr>
                <w:rFonts w:ascii="宋体" w:eastAsia="宋体" w:hAnsi="宋体" w:cs="宋体"/>
                <w:sz w:val="16"/>
                <w:szCs w:val="16"/>
              </w:rPr>
            </w:pPr>
            <w:r>
              <w:rPr>
                <w:rFonts w:ascii="宋体" w:eastAsia="宋体" w:hAnsi="宋体" w:cs="宋体"/>
                <w:spacing w:val="-2"/>
                <w:sz w:val="16"/>
                <w:szCs w:val="16"/>
              </w:rPr>
              <w:t>6.0</w:t>
            </w:r>
          </w:p>
        </w:tc>
        <w:tc>
          <w:tcPr>
            <w:tcW w:w="450" w:type="dxa"/>
          </w:tcPr>
          <w:p w:rsidR="00EA40A3" w:rsidRDefault="00E86C16">
            <w:pPr>
              <w:spacing w:before="118" w:line="202" w:lineRule="auto"/>
              <w:ind w:left="325"/>
              <w:rPr>
                <w:rFonts w:ascii="宋体" w:eastAsia="宋体" w:hAnsi="宋体" w:cs="宋体"/>
                <w:sz w:val="14"/>
                <w:szCs w:val="14"/>
              </w:rPr>
            </w:pPr>
            <w:r>
              <w:rPr>
                <w:rFonts w:ascii="宋体" w:eastAsia="宋体" w:hAnsi="宋体" w:cs="宋体"/>
                <w:spacing w:val="-8"/>
                <w:sz w:val="14"/>
                <w:szCs w:val="14"/>
              </w:rPr>
              <w:t>1.</w:t>
            </w:r>
          </w:p>
        </w:tc>
        <w:tc>
          <w:tcPr>
            <w:tcW w:w="524" w:type="dxa"/>
          </w:tcPr>
          <w:p w:rsidR="00EA40A3" w:rsidRDefault="00E86C16">
            <w:pPr>
              <w:spacing w:before="118" w:line="183" w:lineRule="auto"/>
              <w:ind w:left="25"/>
              <w:rPr>
                <w:rFonts w:ascii="宋体" w:eastAsia="宋体" w:hAnsi="宋体" w:cs="宋体"/>
                <w:sz w:val="16"/>
                <w:szCs w:val="16"/>
              </w:rPr>
            </w:pPr>
            <w:r>
              <w:rPr>
                <w:rFonts w:ascii="宋体" w:eastAsia="宋体" w:hAnsi="宋体" w:cs="宋体"/>
                <w:spacing w:val="-3"/>
                <w:sz w:val="16"/>
                <w:szCs w:val="16"/>
              </w:rPr>
              <w:t>25</w:t>
            </w:r>
          </w:p>
        </w:tc>
      </w:tr>
      <w:tr w:rsidR="00EA40A3">
        <w:trPr>
          <w:trHeight w:val="273"/>
        </w:trPr>
        <w:tc>
          <w:tcPr>
            <w:tcW w:w="1135" w:type="dxa"/>
            <w:tcBorders>
              <w:bottom w:val="single" w:sz="4" w:space="0" w:color="000000"/>
            </w:tcBorders>
          </w:tcPr>
          <w:p w:rsidR="00EA40A3" w:rsidRDefault="00E86C16">
            <w:pPr>
              <w:spacing w:before="65" w:line="219" w:lineRule="auto"/>
              <w:ind w:left="520"/>
              <w:rPr>
                <w:rFonts w:ascii="宋体" w:eastAsia="宋体" w:hAnsi="宋体" w:cs="宋体"/>
                <w:sz w:val="16"/>
                <w:szCs w:val="16"/>
              </w:rPr>
            </w:pPr>
            <w:r>
              <w:rPr>
                <w:rFonts w:ascii="宋体" w:eastAsia="宋体" w:hAnsi="宋体" w:cs="宋体"/>
                <w:spacing w:val="-2"/>
                <w:sz w:val="16"/>
                <w:szCs w:val="16"/>
              </w:rPr>
              <w:t>腐竹</w:t>
            </w:r>
          </w:p>
        </w:tc>
        <w:tc>
          <w:tcPr>
            <w:tcW w:w="878" w:type="dxa"/>
            <w:tcBorders>
              <w:bottom w:val="single" w:sz="4" w:space="0" w:color="000000"/>
            </w:tcBorders>
          </w:tcPr>
          <w:p w:rsidR="00EA40A3" w:rsidRDefault="00E86C16">
            <w:pPr>
              <w:spacing w:before="106" w:line="183" w:lineRule="auto"/>
              <w:ind w:left="295"/>
              <w:rPr>
                <w:rFonts w:ascii="宋体" w:eastAsia="宋体" w:hAnsi="宋体" w:cs="宋体"/>
                <w:sz w:val="16"/>
                <w:szCs w:val="16"/>
              </w:rPr>
            </w:pPr>
            <w:r>
              <w:rPr>
                <w:rFonts w:ascii="宋体" w:eastAsia="宋体" w:hAnsi="宋体" w:cs="宋体"/>
                <w:spacing w:val="-2"/>
                <w:sz w:val="16"/>
                <w:szCs w:val="16"/>
              </w:rPr>
              <w:t>44.6</w:t>
            </w:r>
          </w:p>
        </w:tc>
        <w:tc>
          <w:tcPr>
            <w:tcW w:w="849" w:type="dxa"/>
            <w:tcBorders>
              <w:bottom w:val="single" w:sz="4" w:space="0" w:color="000000"/>
            </w:tcBorders>
          </w:tcPr>
          <w:p w:rsidR="00EA40A3" w:rsidRDefault="00E86C16">
            <w:pPr>
              <w:spacing w:before="106" w:line="184" w:lineRule="auto"/>
              <w:ind w:left="276"/>
              <w:rPr>
                <w:rFonts w:ascii="宋体" w:eastAsia="宋体" w:hAnsi="宋体" w:cs="宋体"/>
                <w:sz w:val="16"/>
                <w:szCs w:val="16"/>
              </w:rPr>
            </w:pPr>
            <w:r>
              <w:rPr>
                <w:rFonts w:ascii="宋体" w:eastAsia="宋体" w:hAnsi="宋体" w:cs="宋体"/>
                <w:spacing w:val="-2"/>
                <w:sz w:val="16"/>
                <w:szCs w:val="16"/>
              </w:rPr>
              <w:t>21.7</w:t>
            </w:r>
          </w:p>
        </w:tc>
        <w:tc>
          <w:tcPr>
            <w:tcW w:w="869" w:type="dxa"/>
            <w:tcBorders>
              <w:bottom w:val="single" w:sz="4" w:space="0" w:color="000000"/>
            </w:tcBorders>
          </w:tcPr>
          <w:p w:rsidR="00EA40A3" w:rsidRDefault="00E86C16">
            <w:pPr>
              <w:spacing w:before="106" w:line="184" w:lineRule="auto"/>
              <w:ind w:left="268"/>
              <w:rPr>
                <w:rFonts w:ascii="宋体" w:eastAsia="宋体" w:hAnsi="宋体" w:cs="宋体"/>
                <w:sz w:val="16"/>
                <w:szCs w:val="16"/>
              </w:rPr>
            </w:pPr>
            <w:r>
              <w:rPr>
                <w:rFonts w:ascii="宋体" w:eastAsia="宋体" w:hAnsi="宋体" w:cs="宋体"/>
                <w:spacing w:val="-2"/>
                <w:sz w:val="16"/>
                <w:szCs w:val="16"/>
              </w:rPr>
              <w:t>0.13</w:t>
            </w:r>
          </w:p>
        </w:tc>
        <w:tc>
          <w:tcPr>
            <w:tcW w:w="901" w:type="dxa"/>
            <w:tcBorders>
              <w:bottom w:val="single" w:sz="4" w:space="0" w:color="000000"/>
            </w:tcBorders>
          </w:tcPr>
          <w:p w:rsidR="00EA40A3" w:rsidRDefault="00E86C16">
            <w:pPr>
              <w:spacing w:before="106" w:line="183" w:lineRule="auto"/>
              <w:ind w:left="298"/>
              <w:rPr>
                <w:rFonts w:ascii="宋体" w:eastAsia="宋体" w:hAnsi="宋体" w:cs="宋体"/>
                <w:sz w:val="16"/>
                <w:szCs w:val="16"/>
              </w:rPr>
            </w:pPr>
            <w:r>
              <w:rPr>
                <w:rFonts w:ascii="宋体" w:eastAsia="宋体" w:hAnsi="宋体" w:cs="宋体"/>
                <w:spacing w:val="-2"/>
                <w:sz w:val="16"/>
                <w:szCs w:val="16"/>
              </w:rPr>
              <w:t>0.07</w:t>
            </w:r>
          </w:p>
        </w:tc>
        <w:tc>
          <w:tcPr>
            <w:tcW w:w="815" w:type="dxa"/>
            <w:tcBorders>
              <w:bottom w:val="single" w:sz="4" w:space="0" w:color="000000"/>
            </w:tcBorders>
          </w:tcPr>
          <w:p w:rsidR="00EA40A3" w:rsidRDefault="00E86C16">
            <w:pPr>
              <w:spacing w:before="107" w:line="182" w:lineRule="auto"/>
              <w:ind w:left="337"/>
              <w:rPr>
                <w:rFonts w:ascii="宋体" w:eastAsia="宋体" w:hAnsi="宋体" w:cs="宋体"/>
                <w:sz w:val="16"/>
                <w:szCs w:val="16"/>
              </w:rPr>
            </w:pPr>
            <w:r>
              <w:rPr>
                <w:rFonts w:ascii="宋体" w:eastAsia="宋体" w:hAnsi="宋体" w:cs="宋体"/>
                <w:spacing w:val="-3"/>
                <w:sz w:val="16"/>
                <w:szCs w:val="16"/>
              </w:rPr>
              <w:t>77</w:t>
            </w:r>
          </w:p>
        </w:tc>
        <w:tc>
          <w:tcPr>
            <w:tcW w:w="918" w:type="dxa"/>
            <w:tcBorders>
              <w:bottom w:val="single" w:sz="4" w:space="0" w:color="000000"/>
            </w:tcBorders>
          </w:tcPr>
          <w:p w:rsidR="00EA40A3" w:rsidRDefault="00E86C16">
            <w:pPr>
              <w:spacing w:before="106" w:line="184" w:lineRule="auto"/>
              <w:ind w:left="302"/>
              <w:rPr>
                <w:rFonts w:ascii="宋体" w:eastAsia="宋体" w:hAnsi="宋体" w:cs="宋体"/>
                <w:sz w:val="16"/>
                <w:szCs w:val="16"/>
              </w:rPr>
            </w:pPr>
            <w:r>
              <w:rPr>
                <w:rFonts w:ascii="宋体" w:eastAsia="宋体" w:hAnsi="宋体" w:cs="宋体"/>
                <w:spacing w:val="-4"/>
                <w:sz w:val="16"/>
                <w:szCs w:val="16"/>
              </w:rPr>
              <w:t>16.5</w:t>
            </w:r>
          </w:p>
        </w:tc>
        <w:tc>
          <w:tcPr>
            <w:tcW w:w="450" w:type="dxa"/>
            <w:tcBorders>
              <w:bottom w:val="single" w:sz="4" w:space="0" w:color="000000"/>
            </w:tcBorders>
          </w:tcPr>
          <w:p w:rsidR="00EA40A3" w:rsidRDefault="00E86C16">
            <w:pPr>
              <w:spacing w:before="106" w:line="213" w:lineRule="auto"/>
              <w:ind w:left="325"/>
              <w:rPr>
                <w:rFonts w:ascii="宋体" w:eastAsia="宋体" w:hAnsi="宋体" w:cs="宋体"/>
                <w:sz w:val="13"/>
                <w:szCs w:val="13"/>
              </w:rPr>
            </w:pPr>
            <w:r>
              <w:rPr>
                <w:rFonts w:ascii="宋体" w:eastAsia="宋体" w:hAnsi="宋体" w:cs="宋体"/>
                <w:spacing w:val="-3"/>
                <w:sz w:val="13"/>
                <w:szCs w:val="13"/>
              </w:rPr>
              <w:t>3.</w:t>
            </w:r>
          </w:p>
        </w:tc>
        <w:tc>
          <w:tcPr>
            <w:tcW w:w="524" w:type="dxa"/>
            <w:tcBorders>
              <w:bottom w:val="single" w:sz="4" w:space="0" w:color="000000"/>
            </w:tcBorders>
          </w:tcPr>
          <w:p w:rsidR="00EA40A3" w:rsidRDefault="00E86C16">
            <w:pPr>
              <w:spacing w:before="106" w:line="183" w:lineRule="auto"/>
              <w:ind w:left="33"/>
              <w:rPr>
                <w:rFonts w:ascii="宋体" w:eastAsia="宋体" w:hAnsi="宋体" w:cs="宋体"/>
                <w:sz w:val="16"/>
                <w:szCs w:val="16"/>
              </w:rPr>
            </w:pPr>
            <w:r>
              <w:rPr>
                <w:rFonts w:ascii="宋体" w:eastAsia="宋体" w:hAnsi="宋体" w:cs="宋体"/>
                <w:spacing w:val="-2"/>
                <w:sz w:val="16"/>
                <w:szCs w:val="16"/>
              </w:rPr>
              <w:t>69</w:t>
            </w:r>
          </w:p>
        </w:tc>
      </w:tr>
    </w:tbl>
    <w:p w:rsidR="00EA40A3" w:rsidRDefault="00E86C16">
      <w:pPr>
        <w:spacing w:before="91" w:line="235" w:lineRule="auto"/>
        <w:ind w:left="399" w:right="22" w:firstLine="20"/>
        <w:rPr>
          <w:rFonts w:ascii="宋体" w:eastAsia="宋体" w:hAnsi="宋体" w:cs="宋体"/>
          <w:sz w:val="17"/>
          <w:szCs w:val="17"/>
        </w:rPr>
      </w:pPr>
      <w:r>
        <w:rPr>
          <w:rFonts w:ascii="宋体" w:eastAsia="宋体" w:hAnsi="宋体" w:cs="宋体"/>
          <w:spacing w:val="-6"/>
          <w:sz w:val="17"/>
          <w:szCs w:val="17"/>
        </w:rPr>
        <w:t>资料来源：预防医学科学院食品营养与卫生研究所.1991.食品成分表(全国代表值).北京：人民卫</w:t>
      </w:r>
      <w:r>
        <w:rPr>
          <w:rFonts w:ascii="宋体" w:eastAsia="宋体" w:hAnsi="宋体" w:cs="宋体"/>
          <w:spacing w:val="13"/>
          <w:sz w:val="17"/>
          <w:szCs w:val="17"/>
        </w:rPr>
        <w:t xml:space="preserve"> </w:t>
      </w:r>
      <w:r>
        <w:rPr>
          <w:rFonts w:ascii="宋体" w:eastAsia="宋体" w:hAnsi="宋体" w:cs="宋体"/>
          <w:spacing w:val="-9"/>
          <w:sz w:val="17"/>
          <w:szCs w:val="17"/>
        </w:rPr>
        <w:t>生出版社</w:t>
      </w:r>
    </w:p>
    <w:p w:rsidR="00EA40A3" w:rsidRDefault="00E86C16">
      <w:pPr>
        <w:spacing w:before="205" w:line="221" w:lineRule="auto"/>
        <w:ind w:left="3"/>
        <w:outlineLvl w:val="6"/>
        <w:rPr>
          <w:rFonts w:ascii="黑体" w:eastAsia="黑体" w:hAnsi="黑体" w:cs="黑体"/>
          <w:sz w:val="23"/>
          <w:szCs w:val="23"/>
        </w:rPr>
      </w:pPr>
      <w:r>
        <w:rPr>
          <w:rFonts w:ascii="黑体" w:eastAsia="黑体" w:hAnsi="黑体" w:cs="黑体"/>
          <w:b/>
          <w:bCs/>
          <w:sz w:val="23"/>
          <w:szCs w:val="23"/>
        </w:rPr>
        <w:t>6.3.2</w:t>
      </w:r>
      <w:r>
        <w:rPr>
          <w:rFonts w:ascii="黑体" w:eastAsia="黑体" w:hAnsi="黑体" w:cs="黑体"/>
          <w:spacing w:val="58"/>
          <w:sz w:val="23"/>
          <w:szCs w:val="23"/>
        </w:rPr>
        <w:t xml:space="preserve">  </w:t>
      </w:r>
      <w:r>
        <w:rPr>
          <w:rFonts w:ascii="黑体" w:eastAsia="黑体" w:hAnsi="黑体" w:cs="黑体"/>
          <w:b/>
          <w:bCs/>
          <w:sz w:val="23"/>
          <w:szCs w:val="23"/>
        </w:rPr>
        <w:t>坚果类的营养价值</w:t>
      </w:r>
    </w:p>
    <w:p w:rsidR="00EA40A3" w:rsidRDefault="00E86C16">
      <w:pPr>
        <w:spacing w:before="181" w:line="237" w:lineRule="auto"/>
        <w:ind w:right="54" w:firstLine="439"/>
        <w:jc w:val="both"/>
        <w:rPr>
          <w:rFonts w:ascii="宋体" w:eastAsia="宋体" w:hAnsi="宋体" w:cs="宋体"/>
          <w:sz w:val="23"/>
          <w:szCs w:val="23"/>
        </w:rPr>
      </w:pPr>
      <w:r>
        <w:rPr>
          <w:rFonts w:ascii="宋体" w:eastAsia="宋体" w:hAnsi="宋体" w:cs="宋体"/>
          <w:spacing w:val="-17"/>
          <w:sz w:val="23"/>
          <w:szCs w:val="23"/>
        </w:rPr>
        <w:t>从狭义上来说，坚果是成熟时果皮坚硬干燥的果实，以木本植物的果实为</w:t>
      </w:r>
      <w:r>
        <w:rPr>
          <w:rFonts w:ascii="宋体" w:eastAsia="宋体" w:hAnsi="宋体" w:cs="宋体"/>
          <w:spacing w:val="3"/>
          <w:sz w:val="23"/>
          <w:szCs w:val="23"/>
        </w:rPr>
        <w:t xml:space="preserve"> </w:t>
      </w:r>
      <w:r>
        <w:rPr>
          <w:rFonts w:ascii="宋体" w:eastAsia="宋体" w:hAnsi="宋体" w:cs="宋体"/>
          <w:spacing w:val="-23"/>
          <w:sz w:val="23"/>
          <w:szCs w:val="23"/>
        </w:rPr>
        <w:t>多，如核桃、榛子、栗子等，但广义的坚果也包括了花生、向日葵</w:t>
      </w:r>
      <w:r>
        <w:rPr>
          <w:rFonts w:ascii="宋体" w:eastAsia="宋体" w:hAnsi="宋体" w:cs="宋体"/>
          <w:spacing w:val="-24"/>
          <w:sz w:val="23"/>
          <w:szCs w:val="23"/>
        </w:rPr>
        <w:t>、西瓜籽等草</w:t>
      </w:r>
      <w:r>
        <w:rPr>
          <w:rFonts w:ascii="宋体" w:eastAsia="宋体" w:hAnsi="宋体" w:cs="宋体"/>
          <w:sz w:val="23"/>
          <w:szCs w:val="23"/>
        </w:rPr>
        <w:t xml:space="preserve">  </w:t>
      </w:r>
      <w:r>
        <w:rPr>
          <w:rFonts w:ascii="宋体" w:eastAsia="宋体" w:hAnsi="宋体" w:cs="宋体"/>
          <w:spacing w:val="-23"/>
          <w:sz w:val="23"/>
          <w:szCs w:val="23"/>
        </w:rPr>
        <w:t>本植物的种子，甚至还包括芝麻等有硬壳的果实。坚果类与豆类类似，也可以按</w:t>
      </w:r>
      <w:r>
        <w:rPr>
          <w:rFonts w:ascii="宋体" w:eastAsia="宋体" w:hAnsi="宋体" w:cs="宋体"/>
          <w:spacing w:val="15"/>
          <w:sz w:val="23"/>
          <w:szCs w:val="23"/>
        </w:rPr>
        <w:t xml:space="preserve"> </w:t>
      </w:r>
      <w:r>
        <w:rPr>
          <w:rFonts w:ascii="宋体" w:eastAsia="宋体" w:hAnsi="宋体" w:cs="宋体"/>
          <w:spacing w:val="-25"/>
          <w:sz w:val="23"/>
          <w:szCs w:val="23"/>
        </w:rPr>
        <w:t>照成分的不同划分为两类，</w:t>
      </w:r>
      <w:r>
        <w:rPr>
          <w:rFonts w:ascii="宋体" w:eastAsia="宋体" w:hAnsi="宋体" w:cs="宋体"/>
          <w:spacing w:val="54"/>
          <w:sz w:val="23"/>
          <w:szCs w:val="23"/>
        </w:rPr>
        <w:t xml:space="preserve"> </w:t>
      </w:r>
      <w:r>
        <w:rPr>
          <w:rFonts w:ascii="宋体" w:eastAsia="宋体" w:hAnsi="宋体" w:cs="宋体"/>
          <w:spacing w:val="-25"/>
          <w:sz w:val="23"/>
          <w:szCs w:val="23"/>
        </w:rPr>
        <w:t>一类是淀粉含量高的坚果，如栗子、莲子、白果等；</w:t>
      </w:r>
      <w:r>
        <w:rPr>
          <w:rFonts w:ascii="宋体" w:eastAsia="宋体" w:hAnsi="宋体" w:cs="宋体"/>
          <w:sz w:val="23"/>
          <w:szCs w:val="23"/>
        </w:rPr>
        <w:t xml:space="preserve"> </w:t>
      </w:r>
      <w:r>
        <w:rPr>
          <w:rFonts w:ascii="宋体" w:eastAsia="宋体" w:hAnsi="宋体" w:cs="宋体"/>
          <w:spacing w:val="-23"/>
          <w:sz w:val="23"/>
          <w:szCs w:val="23"/>
        </w:rPr>
        <w:t>其他大部分坚果则具有很高的油脂含量，包括核桃、榛子、杏仁、阿月浑子、松</w:t>
      </w:r>
      <w:r>
        <w:rPr>
          <w:rFonts w:ascii="宋体" w:eastAsia="宋体" w:hAnsi="宋体" w:cs="宋体"/>
          <w:spacing w:val="15"/>
          <w:sz w:val="23"/>
          <w:szCs w:val="23"/>
        </w:rPr>
        <w:t xml:space="preserve"> </w:t>
      </w:r>
      <w:r>
        <w:rPr>
          <w:rFonts w:ascii="宋体" w:eastAsia="宋体" w:hAnsi="宋体" w:cs="宋体"/>
          <w:spacing w:val="-23"/>
          <w:sz w:val="23"/>
          <w:szCs w:val="23"/>
        </w:rPr>
        <w:t>籽、香榧、腰果、澳洲坚果、花生、葵花籽、西瓜籽、南瓜籽等。</w:t>
      </w:r>
    </w:p>
    <w:p w:rsidR="00EA40A3" w:rsidRDefault="00E86C16">
      <w:pPr>
        <w:spacing w:before="198" w:line="224" w:lineRule="auto"/>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18"/>
          <w:sz w:val="23"/>
          <w:szCs w:val="23"/>
        </w:rPr>
        <w:t xml:space="preserve"> </w:t>
      </w:r>
      <w:r>
        <w:rPr>
          <w:rFonts w:ascii="仿宋" w:eastAsia="仿宋" w:hAnsi="仿宋" w:cs="仿宋"/>
          <w:spacing w:val="-1"/>
          <w:sz w:val="23"/>
          <w:szCs w:val="23"/>
        </w:rPr>
        <w:t>蛋白质</w:t>
      </w:r>
    </w:p>
    <w:p w:rsidR="00EA40A3" w:rsidRDefault="00E86C16">
      <w:pPr>
        <w:spacing w:before="166" w:line="237" w:lineRule="auto"/>
        <w:ind w:right="84" w:firstLine="439"/>
        <w:jc w:val="both"/>
        <w:rPr>
          <w:rFonts w:ascii="宋体" w:eastAsia="宋体" w:hAnsi="宋体" w:cs="宋体"/>
          <w:sz w:val="23"/>
          <w:szCs w:val="23"/>
        </w:rPr>
      </w:pPr>
      <w:r>
        <w:rPr>
          <w:rFonts w:ascii="宋体" w:eastAsia="宋体" w:hAnsi="宋体" w:cs="宋体"/>
          <w:spacing w:val="4"/>
          <w:sz w:val="23"/>
          <w:szCs w:val="23"/>
        </w:rPr>
        <w:t>含油坚果类的蛋白质含量多为12%～22%,其中澳洲坚果最低，仅8%~</w:t>
      </w:r>
      <w:r>
        <w:rPr>
          <w:rFonts w:ascii="宋体" w:eastAsia="宋体" w:hAnsi="宋体" w:cs="宋体"/>
          <w:spacing w:val="2"/>
          <w:sz w:val="23"/>
          <w:szCs w:val="23"/>
        </w:rPr>
        <w:t xml:space="preserve"> </w:t>
      </w:r>
      <w:r>
        <w:rPr>
          <w:rFonts w:ascii="宋体" w:eastAsia="宋体" w:hAnsi="宋体" w:cs="宋体"/>
          <w:spacing w:val="-6"/>
          <w:sz w:val="23"/>
          <w:szCs w:val="23"/>
        </w:rPr>
        <w:t>9%。草本种仁类的蛋白质含量更高，如西瓜籽和南瓜籽蛋白质含量达30%以</w:t>
      </w:r>
      <w:r>
        <w:rPr>
          <w:rFonts w:ascii="宋体" w:eastAsia="宋体" w:hAnsi="宋体" w:cs="宋体"/>
          <w:spacing w:val="4"/>
          <w:sz w:val="23"/>
          <w:szCs w:val="23"/>
        </w:rPr>
        <w:t xml:space="preserve"> </w:t>
      </w:r>
      <w:r>
        <w:rPr>
          <w:rFonts w:ascii="宋体" w:eastAsia="宋体" w:hAnsi="宋体" w:cs="宋体"/>
          <w:spacing w:val="-4"/>
          <w:sz w:val="23"/>
          <w:szCs w:val="23"/>
        </w:rPr>
        <w:t>上，花生为25%、葵花籽为24%、西瓜籽</w:t>
      </w:r>
      <w:r>
        <w:rPr>
          <w:rFonts w:ascii="宋体" w:eastAsia="宋体" w:hAnsi="宋体" w:cs="宋体"/>
          <w:spacing w:val="-5"/>
          <w:sz w:val="23"/>
          <w:szCs w:val="23"/>
        </w:rPr>
        <w:t>仁为32%。淀粉类干果中以栗子的蛋</w:t>
      </w:r>
      <w:r>
        <w:rPr>
          <w:rFonts w:ascii="宋体" w:eastAsia="宋体" w:hAnsi="宋体" w:cs="宋体"/>
          <w:sz w:val="23"/>
          <w:szCs w:val="23"/>
        </w:rPr>
        <w:t xml:space="preserve"> </w:t>
      </w:r>
      <w:r>
        <w:rPr>
          <w:rFonts w:ascii="宋体" w:eastAsia="宋体" w:hAnsi="宋体" w:cs="宋体"/>
          <w:spacing w:val="-5"/>
          <w:sz w:val="23"/>
          <w:szCs w:val="23"/>
        </w:rPr>
        <w:t>白质含量最低，仅为5%左右，芡实为8%左右，而银杏和莲子都在12%以上，</w:t>
      </w:r>
      <w:r>
        <w:rPr>
          <w:rFonts w:ascii="宋体" w:eastAsia="宋体" w:hAnsi="宋体" w:cs="宋体"/>
          <w:spacing w:val="18"/>
          <w:sz w:val="23"/>
          <w:szCs w:val="23"/>
        </w:rPr>
        <w:t xml:space="preserve"> </w:t>
      </w:r>
      <w:r>
        <w:rPr>
          <w:rFonts w:ascii="宋体" w:eastAsia="宋体" w:hAnsi="宋体" w:cs="宋体"/>
          <w:spacing w:val="-24"/>
          <w:sz w:val="23"/>
          <w:szCs w:val="23"/>
        </w:rPr>
        <w:t>与其他含油坚果相当。</w:t>
      </w:r>
    </w:p>
    <w:p w:rsidR="00EA40A3" w:rsidRDefault="00E86C16">
      <w:pPr>
        <w:spacing w:before="67" w:line="237" w:lineRule="auto"/>
        <w:ind w:right="35" w:firstLine="439"/>
        <w:jc w:val="both"/>
        <w:rPr>
          <w:rFonts w:ascii="宋体" w:eastAsia="宋体" w:hAnsi="宋体" w:cs="宋体"/>
          <w:sz w:val="23"/>
          <w:szCs w:val="23"/>
        </w:rPr>
      </w:pPr>
      <w:r>
        <w:rPr>
          <w:rFonts w:ascii="宋体" w:eastAsia="宋体" w:hAnsi="宋体" w:cs="宋体"/>
          <w:spacing w:val="-20"/>
          <w:sz w:val="23"/>
          <w:szCs w:val="23"/>
        </w:rPr>
        <w:t>坚果类的蛋白质氨基酸组成各有特点，第一限制氨基酸因品种</w:t>
      </w:r>
      <w:r>
        <w:rPr>
          <w:rFonts w:ascii="宋体" w:eastAsia="宋体" w:hAnsi="宋体" w:cs="宋体"/>
          <w:spacing w:val="-21"/>
          <w:sz w:val="23"/>
          <w:szCs w:val="23"/>
        </w:rPr>
        <w:t>而异。例如，</w:t>
      </w:r>
      <w:r>
        <w:rPr>
          <w:rFonts w:ascii="宋体" w:eastAsia="宋体" w:hAnsi="宋体" w:cs="宋体"/>
          <w:sz w:val="23"/>
          <w:szCs w:val="23"/>
        </w:rPr>
        <w:t xml:space="preserve"> </w:t>
      </w:r>
      <w:r>
        <w:rPr>
          <w:rFonts w:ascii="宋体" w:eastAsia="宋体" w:hAnsi="宋体" w:cs="宋体"/>
          <w:spacing w:val="-23"/>
          <w:sz w:val="23"/>
          <w:szCs w:val="23"/>
        </w:rPr>
        <w:t>澳洲坚果不含色氨酸而富含蛋氨酸，花生、榛子和杏仁缺乏含硫氨基酸，葵花籽</w:t>
      </w:r>
      <w:r>
        <w:rPr>
          <w:rFonts w:ascii="宋体" w:eastAsia="宋体" w:hAnsi="宋体" w:cs="宋体"/>
          <w:spacing w:val="6"/>
          <w:sz w:val="23"/>
          <w:szCs w:val="23"/>
        </w:rPr>
        <w:t xml:space="preserve">  </w:t>
      </w:r>
      <w:r>
        <w:rPr>
          <w:rFonts w:ascii="宋体" w:eastAsia="宋体" w:hAnsi="宋体" w:cs="宋体"/>
          <w:spacing w:val="-21"/>
          <w:w w:val="99"/>
          <w:sz w:val="23"/>
          <w:szCs w:val="23"/>
        </w:rPr>
        <w:t>含硫氨基酸丰富但赖氨酸稍低，芝麻的限制性氨基酸为赖氨酸，核桃缺乏蛋氨酸</w:t>
      </w:r>
      <w:r>
        <w:rPr>
          <w:rFonts w:ascii="宋体" w:eastAsia="宋体" w:hAnsi="宋体" w:cs="宋体"/>
          <w:spacing w:val="11"/>
          <w:sz w:val="23"/>
          <w:szCs w:val="23"/>
        </w:rPr>
        <w:t xml:space="preserve">  </w:t>
      </w:r>
      <w:r>
        <w:rPr>
          <w:rFonts w:ascii="宋体" w:eastAsia="宋体" w:hAnsi="宋体" w:cs="宋体"/>
          <w:spacing w:val="-23"/>
          <w:sz w:val="23"/>
          <w:szCs w:val="23"/>
        </w:rPr>
        <w:t>和赖氨酸。栗子虽然蛋白质含量低，但蛋白质质量较高。总的来说，坚果类是植</w:t>
      </w:r>
      <w:r>
        <w:rPr>
          <w:rFonts w:ascii="宋体" w:eastAsia="宋体" w:hAnsi="宋体" w:cs="宋体"/>
          <w:spacing w:val="6"/>
          <w:sz w:val="23"/>
          <w:szCs w:val="23"/>
        </w:rPr>
        <w:t xml:space="preserve">  </w:t>
      </w:r>
      <w:r>
        <w:rPr>
          <w:rFonts w:ascii="宋体" w:eastAsia="宋体" w:hAnsi="宋体" w:cs="宋体"/>
          <w:spacing w:val="-23"/>
          <w:sz w:val="23"/>
          <w:szCs w:val="23"/>
        </w:rPr>
        <w:t>物性蛋白质的重要补充来源，但其生物效价较低，需要与其他食品营养互补后方</w:t>
      </w:r>
      <w:r>
        <w:rPr>
          <w:rFonts w:ascii="宋体" w:eastAsia="宋体" w:hAnsi="宋体" w:cs="宋体"/>
          <w:spacing w:val="6"/>
          <w:sz w:val="23"/>
          <w:szCs w:val="23"/>
        </w:rPr>
        <w:t xml:space="preserve">  </w:t>
      </w:r>
      <w:r>
        <w:rPr>
          <w:rFonts w:ascii="宋体" w:eastAsia="宋体" w:hAnsi="宋体" w:cs="宋体"/>
          <w:spacing w:val="-22"/>
          <w:sz w:val="23"/>
          <w:szCs w:val="23"/>
        </w:rPr>
        <w:t>能发挥最佳的营养作用。</w:t>
      </w:r>
    </w:p>
    <w:p w:rsidR="00EA40A3" w:rsidRDefault="00E86C16">
      <w:pPr>
        <w:spacing w:before="197" w:line="223" w:lineRule="auto"/>
        <w:rPr>
          <w:rFonts w:ascii="仿宋" w:eastAsia="仿宋" w:hAnsi="仿宋" w:cs="仿宋"/>
          <w:sz w:val="23"/>
          <w:szCs w:val="23"/>
        </w:rPr>
      </w:pPr>
      <w:r>
        <w:rPr>
          <w:rFonts w:ascii="仿宋" w:eastAsia="仿宋" w:hAnsi="仿宋" w:cs="仿宋"/>
          <w:spacing w:val="-10"/>
          <w:sz w:val="23"/>
          <w:szCs w:val="23"/>
        </w:rPr>
        <w:t>2.</w:t>
      </w:r>
      <w:r>
        <w:rPr>
          <w:rFonts w:ascii="仿宋" w:eastAsia="仿宋" w:hAnsi="仿宋" w:cs="仿宋"/>
          <w:spacing w:val="16"/>
          <w:sz w:val="23"/>
          <w:szCs w:val="23"/>
        </w:rPr>
        <w:t xml:space="preserve"> </w:t>
      </w:r>
      <w:r>
        <w:rPr>
          <w:rFonts w:ascii="仿宋" w:eastAsia="仿宋" w:hAnsi="仿宋" w:cs="仿宋"/>
          <w:spacing w:val="-10"/>
          <w:sz w:val="23"/>
          <w:szCs w:val="23"/>
        </w:rPr>
        <w:t>脂类</w:t>
      </w:r>
    </w:p>
    <w:p w:rsidR="00EA40A3" w:rsidRDefault="00E86C16">
      <w:pPr>
        <w:spacing w:before="192" w:line="227" w:lineRule="auto"/>
        <w:ind w:right="35" w:firstLine="439"/>
        <w:jc w:val="both"/>
        <w:rPr>
          <w:rFonts w:ascii="宋体" w:eastAsia="宋体" w:hAnsi="宋体" w:cs="宋体"/>
          <w:sz w:val="23"/>
          <w:szCs w:val="23"/>
        </w:rPr>
      </w:pPr>
      <w:r>
        <w:rPr>
          <w:rFonts w:ascii="宋体" w:eastAsia="宋体" w:hAnsi="宋体" w:cs="宋体"/>
          <w:spacing w:val="-23"/>
          <w:sz w:val="23"/>
          <w:szCs w:val="23"/>
        </w:rPr>
        <w:t>脂肪是富含油脂坚果类食品中极其重要的成分，故而绝大多数坚果类食品所</w:t>
      </w:r>
      <w:r>
        <w:rPr>
          <w:rFonts w:ascii="宋体" w:eastAsia="宋体" w:hAnsi="宋体" w:cs="宋体"/>
          <w:spacing w:val="15"/>
          <w:sz w:val="23"/>
          <w:szCs w:val="23"/>
        </w:rPr>
        <w:t xml:space="preserve"> </w:t>
      </w:r>
      <w:r>
        <w:rPr>
          <w:rFonts w:ascii="宋体" w:eastAsia="宋体" w:hAnsi="宋体" w:cs="宋体"/>
          <w:spacing w:val="-9"/>
          <w:sz w:val="23"/>
          <w:szCs w:val="23"/>
        </w:rPr>
        <w:t>含能量很高，可达500～700kcal/100g。</w:t>
      </w:r>
      <w:r>
        <w:rPr>
          <w:rFonts w:ascii="宋体" w:eastAsia="宋体" w:hAnsi="宋体" w:cs="宋体"/>
          <w:spacing w:val="-59"/>
          <w:sz w:val="23"/>
          <w:szCs w:val="23"/>
        </w:rPr>
        <w:t xml:space="preserve"> </w:t>
      </w:r>
      <w:r>
        <w:rPr>
          <w:rFonts w:ascii="宋体" w:eastAsia="宋体" w:hAnsi="宋体" w:cs="宋体"/>
          <w:spacing w:val="-9"/>
          <w:sz w:val="23"/>
          <w:szCs w:val="23"/>
        </w:rPr>
        <w:t>含油坚果类的脂肪含量为40%～70%</w:t>
      </w:r>
      <w:r>
        <w:rPr>
          <w:rFonts w:ascii="宋体" w:eastAsia="宋体" w:hAnsi="宋体" w:cs="宋体"/>
          <w:spacing w:val="-10"/>
          <w:sz w:val="23"/>
          <w:szCs w:val="23"/>
        </w:rPr>
        <w:t>。</w:t>
      </w:r>
      <w:r>
        <w:rPr>
          <w:rFonts w:ascii="宋体" w:eastAsia="宋体" w:hAnsi="宋体" w:cs="宋体"/>
          <w:sz w:val="23"/>
          <w:szCs w:val="23"/>
        </w:rPr>
        <w:t xml:space="preserve"> </w:t>
      </w:r>
      <w:r>
        <w:rPr>
          <w:rFonts w:ascii="宋体" w:eastAsia="宋体" w:hAnsi="宋体" w:cs="宋体"/>
          <w:spacing w:val="-3"/>
          <w:sz w:val="23"/>
          <w:szCs w:val="23"/>
        </w:rPr>
        <w:t>例如，花生含脂肪40%,是重要的油料作物种子，葵花籽和核桃的含油量达</w:t>
      </w:r>
      <w:r>
        <w:rPr>
          <w:rFonts w:ascii="宋体" w:eastAsia="宋体" w:hAnsi="宋体" w:cs="宋体"/>
          <w:sz w:val="23"/>
          <w:szCs w:val="23"/>
        </w:rPr>
        <w:t xml:space="preserve">  </w:t>
      </w:r>
      <w:r>
        <w:rPr>
          <w:rFonts w:ascii="宋体" w:eastAsia="宋体" w:hAnsi="宋体" w:cs="宋体"/>
          <w:spacing w:val="-6"/>
          <w:sz w:val="23"/>
          <w:szCs w:val="23"/>
        </w:rPr>
        <w:t>50%以上，松子仁和澳洲坚果的含油量更高，达70%。</w:t>
      </w:r>
      <w:r>
        <w:rPr>
          <w:rFonts w:ascii="宋体" w:eastAsia="宋体" w:hAnsi="宋体" w:cs="宋体"/>
          <w:spacing w:val="-7"/>
          <w:sz w:val="23"/>
          <w:szCs w:val="23"/>
        </w:rPr>
        <w:t>其中卵磷脂含量丰富。</w:t>
      </w:r>
    </w:p>
    <w:p w:rsidR="00EA40A3" w:rsidRDefault="00EA40A3">
      <w:pPr>
        <w:sectPr w:rsidR="00EA40A3">
          <w:type w:val="continuous"/>
          <w:pgSz w:w="9220" w:h="13360"/>
          <w:pgMar w:top="1285" w:right="970" w:bottom="1236" w:left="849" w:header="1053" w:footer="1015" w:gutter="0"/>
          <w:cols w:space="720" w:equalWidth="0">
            <w:col w:w="7400"/>
          </w:cols>
        </w:sectPr>
      </w:pPr>
    </w:p>
    <w:p w:rsidR="00EA40A3" w:rsidRDefault="00EA40A3">
      <w:pPr>
        <w:spacing w:line="309" w:lineRule="auto"/>
      </w:pPr>
    </w:p>
    <w:p w:rsidR="00EA40A3" w:rsidRDefault="00EA40A3">
      <w:pPr>
        <w:spacing w:line="310" w:lineRule="auto"/>
      </w:pPr>
    </w:p>
    <w:p w:rsidR="00EA40A3" w:rsidRDefault="00E86C16">
      <w:pPr>
        <w:spacing w:before="65" w:line="219" w:lineRule="auto"/>
        <w:ind w:left="9"/>
        <w:rPr>
          <w:rFonts w:ascii="宋体" w:eastAsia="宋体" w:hAnsi="宋体" w:cs="宋体"/>
          <w:sz w:val="20"/>
          <w:szCs w:val="20"/>
        </w:rPr>
      </w:pPr>
      <w:r>
        <w:rPr>
          <w:rFonts w:ascii="宋体" w:eastAsia="宋体" w:hAnsi="宋体" w:cs="宋体"/>
          <w:spacing w:val="12"/>
          <w:sz w:val="20"/>
          <w:szCs w:val="20"/>
        </w:rPr>
        <w:t>淀粉类坚果的脂肪含量在2%以下。</w:t>
      </w:r>
    </w:p>
    <w:p w:rsidR="00EA40A3" w:rsidRDefault="00E86C16">
      <w:pPr>
        <w:spacing w:before="51" w:line="264" w:lineRule="auto"/>
        <w:ind w:left="9" w:right="69" w:firstLine="430"/>
        <w:jc w:val="both"/>
        <w:rPr>
          <w:rFonts w:ascii="宋体" w:eastAsia="宋体" w:hAnsi="宋体" w:cs="宋体"/>
          <w:sz w:val="20"/>
          <w:szCs w:val="20"/>
        </w:rPr>
      </w:pPr>
      <w:r>
        <w:rPr>
          <w:rFonts w:ascii="宋体" w:eastAsia="宋体" w:hAnsi="宋体" w:cs="宋体"/>
          <w:spacing w:val="16"/>
          <w:sz w:val="20"/>
          <w:szCs w:val="20"/>
        </w:rPr>
        <w:t>坚果类所含的脂肪酸以亚油酸和油酸等不饱和脂肪酸为主(表6-7</w:t>
      </w:r>
      <w:r>
        <w:rPr>
          <w:rFonts w:ascii="宋体" w:eastAsia="宋体" w:hAnsi="宋体" w:cs="宋体"/>
          <w:spacing w:val="15"/>
          <w:sz w:val="20"/>
          <w:szCs w:val="20"/>
        </w:rPr>
        <w:t>)。温带</w:t>
      </w:r>
      <w:r>
        <w:rPr>
          <w:rFonts w:ascii="宋体" w:eastAsia="宋体" w:hAnsi="宋体" w:cs="宋体"/>
          <w:sz w:val="20"/>
          <w:szCs w:val="20"/>
        </w:rPr>
        <w:t xml:space="preserve"> </w:t>
      </w:r>
      <w:r>
        <w:rPr>
          <w:rFonts w:ascii="宋体" w:eastAsia="宋体" w:hAnsi="宋体" w:cs="宋体"/>
          <w:spacing w:val="16"/>
          <w:sz w:val="20"/>
          <w:szCs w:val="20"/>
        </w:rPr>
        <w:t>所产坚果的不饱和脂肪酸含量普遍高于热带所产坚果</w:t>
      </w:r>
      <w:r>
        <w:rPr>
          <w:rFonts w:ascii="宋体" w:eastAsia="宋体" w:hAnsi="宋体" w:cs="宋体"/>
          <w:spacing w:val="15"/>
          <w:sz w:val="20"/>
          <w:szCs w:val="20"/>
        </w:rPr>
        <w:t>，通常达80%以上。葵花</w:t>
      </w:r>
      <w:r>
        <w:rPr>
          <w:rFonts w:ascii="宋体" w:eastAsia="宋体" w:hAnsi="宋体" w:cs="宋体"/>
          <w:sz w:val="20"/>
          <w:szCs w:val="20"/>
        </w:rPr>
        <w:t xml:space="preserve"> </w:t>
      </w:r>
      <w:r>
        <w:rPr>
          <w:rFonts w:ascii="宋体" w:eastAsia="宋体" w:hAnsi="宋体" w:cs="宋体"/>
          <w:spacing w:val="13"/>
          <w:sz w:val="20"/>
          <w:szCs w:val="20"/>
        </w:rPr>
        <w:t>籽、核桃和西瓜籽的脂肪中特别富含亚油酸，在总脂肪酸中占60%～70%。</w:t>
      </w:r>
    </w:p>
    <w:p w:rsidR="00EA40A3" w:rsidRDefault="00EA40A3">
      <w:pPr>
        <w:spacing w:line="301" w:lineRule="auto"/>
      </w:pPr>
    </w:p>
    <w:p w:rsidR="00EA40A3" w:rsidRDefault="00E86C16">
      <w:pPr>
        <w:spacing w:before="65" w:line="221" w:lineRule="auto"/>
        <w:ind w:right="361"/>
        <w:jc w:val="right"/>
        <w:rPr>
          <w:rFonts w:ascii="宋体" w:eastAsia="宋体" w:hAnsi="宋体" w:cs="宋体"/>
          <w:sz w:val="20"/>
          <w:szCs w:val="20"/>
        </w:rPr>
      </w:pPr>
      <w:r>
        <w:rPr>
          <w:rFonts w:ascii="黑体" w:eastAsia="黑体" w:hAnsi="黑体" w:cs="黑体"/>
          <w:b/>
          <w:bCs/>
          <w:spacing w:val="-20"/>
          <w:sz w:val="20"/>
          <w:szCs w:val="20"/>
        </w:rPr>
        <w:t>表6-7</w:t>
      </w:r>
      <w:r>
        <w:rPr>
          <w:rFonts w:ascii="黑体" w:eastAsia="黑体" w:hAnsi="黑体" w:cs="黑体"/>
          <w:spacing w:val="85"/>
          <w:sz w:val="20"/>
          <w:szCs w:val="20"/>
        </w:rPr>
        <w:t xml:space="preserve"> </w:t>
      </w:r>
      <w:r>
        <w:rPr>
          <w:rFonts w:ascii="黑体" w:eastAsia="黑体" w:hAnsi="黑体" w:cs="黑体"/>
          <w:b/>
          <w:bCs/>
          <w:spacing w:val="-20"/>
          <w:sz w:val="20"/>
          <w:szCs w:val="20"/>
        </w:rPr>
        <w:t>几种坚果果仁的脂肪酸构成</w:t>
      </w:r>
      <w:r>
        <w:rPr>
          <w:rFonts w:ascii="黑体" w:eastAsia="黑体" w:hAnsi="黑体" w:cs="黑体"/>
          <w:spacing w:val="9"/>
          <w:sz w:val="20"/>
          <w:szCs w:val="20"/>
        </w:rPr>
        <w:t xml:space="preserve">      </w:t>
      </w:r>
      <w:r>
        <w:rPr>
          <w:rFonts w:ascii="宋体" w:eastAsia="宋体" w:hAnsi="宋体" w:cs="宋体"/>
          <w:spacing w:val="-20"/>
          <w:sz w:val="20"/>
          <w:szCs w:val="20"/>
        </w:rPr>
        <w:t>(单位：</w:t>
      </w:r>
      <w:r>
        <w:rPr>
          <w:rFonts w:ascii="宋体" w:eastAsia="宋体" w:hAnsi="宋体" w:cs="宋体"/>
          <w:spacing w:val="-58"/>
          <w:sz w:val="20"/>
          <w:szCs w:val="20"/>
        </w:rPr>
        <w:t xml:space="preserve"> </w:t>
      </w:r>
      <w:r>
        <w:rPr>
          <w:rFonts w:ascii="宋体" w:eastAsia="宋体" w:hAnsi="宋体" w:cs="宋体"/>
          <w:spacing w:val="-20"/>
          <w:sz w:val="20"/>
          <w:szCs w:val="20"/>
        </w:rPr>
        <w:t>g/100g)</w:t>
      </w:r>
    </w:p>
    <w:p w:rsidR="00EA40A3" w:rsidRDefault="00EA40A3">
      <w:pPr>
        <w:spacing w:line="41" w:lineRule="exact"/>
      </w:pPr>
    </w:p>
    <w:tbl>
      <w:tblPr>
        <w:tblStyle w:val="TableNormal"/>
        <w:tblW w:w="732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43"/>
        <w:gridCol w:w="1027"/>
        <w:gridCol w:w="1033"/>
        <w:gridCol w:w="1065"/>
        <w:gridCol w:w="939"/>
        <w:gridCol w:w="1105"/>
        <w:gridCol w:w="1117"/>
      </w:tblGrid>
      <w:tr w:rsidR="00EA40A3">
        <w:trPr>
          <w:trHeight w:val="293"/>
        </w:trPr>
        <w:tc>
          <w:tcPr>
            <w:tcW w:w="1043" w:type="dxa"/>
            <w:tcBorders>
              <w:top w:val="single" w:sz="4" w:space="0" w:color="000000"/>
              <w:bottom w:val="single" w:sz="4" w:space="0" w:color="000000"/>
            </w:tcBorders>
          </w:tcPr>
          <w:p w:rsidR="00EA40A3" w:rsidRDefault="00E86C16">
            <w:pPr>
              <w:spacing w:before="113" w:line="207" w:lineRule="auto"/>
              <w:ind w:left="369"/>
              <w:rPr>
                <w:rFonts w:ascii="宋体" w:eastAsia="宋体" w:hAnsi="宋体" w:cs="宋体"/>
                <w:sz w:val="16"/>
                <w:szCs w:val="16"/>
              </w:rPr>
            </w:pPr>
            <w:r>
              <w:rPr>
                <w:rFonts w:ascii="宋体" w:eastAsia="宋体" w:hAnsi="宋体" w:cs="宋体"/>
                <w:spacing w:val="-3"/>
                <w:sz w:val="16"/>
                <w:szCs w:val="16"/>
              </w:rPr>
              <w:t>名称</w:t>
            </w:r>
          </w:p>
        </w:tc>
        <w:tc>
          <w:tcPr>
            <w:tcW w:w="1027" w:type="dxa"/>
            <w:tcBorders>
              <w:top w:val="single" w:sz="4" w:space="0" w:color="000000"/>
              <w:bottom w:val="single" w:sz="4" w:space="0" w:color="000000"/>
            </w:tcBorders>
          </w:tcPr>
          <w:p w:rsidR="00EA40A3" w:rsidRDefault="00E86C16">
            <w:pPr>
              <w:spacing w:before="111" w:line="209" w:lineRule="auto"/>
              <w:ind w:left="286"/>
              <w:rPr>
                <w:rFonts w:ascii="宋体" w:eastAsia="宋体" w:hAnsi="宋体" w:cs="宋体"/>
                <w:sz w:val="16"/>
                <w:szCs w:val="16"/>
              </w:rPr>
            </w:pPr>
            <w:r>
              <w:rPr>
                <w:rFonts w:ascii="宋体" w:eastAsia="宋体" w:hAnsi="宋体" w:cs="宋体"/>
                <w:spacing w:val="-3"/>
                <w:sz w:val="16"/>
                <w:szCs w:val="16"/>
              </w:rPr>
              <w:t>总脂肪</w:t>
            </w:r>
          </w:p>
        </w:tc>
        <w:tc>
          <w:tcPr>
            <w:tcW w:w="1033" w:type="dxa"/>
            <w:tcBorders>
              <w:top w:val="single" w:sz="4" w:space="0" w:color="000000"/>
              <w:bottom w:val="single" w:sz="4" w:space="0" w:color="000000"/>
            </w:tcBorders>
          </w:tcPr>
          <w:p w:rsidR="00EA40A3" w:rsidRDefault="00E86C16">
            <w:pPr>
              <w:spacing w:before="110" w:line="210" w:lineRule="auto"/>
              <w:ind w:left="279"/>
              <w:rPr>
                <w:rFonts w:ascii="宋体" w:eastAsia="宋体" w:hAnsi="宋体" w:cs="宋体"/>
                <w:sz w:val="16"/>
                <w:szCs w:val="16"/>
              </w:rPr>
            </w:pPr>
            <w:r>
              <w:rPr>
                <w:rFonts w:ascii="宋体" w:eastAsia="宋体" w:hAnsi="宋体" w:cs="宋体"/>
                <w:spacing w:val="-2"/>
                <w:sz w:val="16"/>
                <w:szCs w:val="16"/>
              </w:rPr>
              <w:t>棕榈酸</w:t>
            </w:r>
          </w:p>
        </w:tc>
        <w:tc>
          <w:tcPr>
            <w:tcW w:w="1065" w:type="dxa"/>
            <w:tcBorders>
              <w:top w:val="single" w:sz="4" w:space="0" w:color="000000"/>
              <w:bottom w:val="single" w:sz="4" w:space="0" w:color="000000"/>
            </w:tcBorders>
          </w:tcPr>
          <w:p w:rsidR="00EA40A3" w:rsidRDefault="00E86C16">
            <w:pPr>
              <w:spacing w:before="112" w:line="208" w:lineRule="auto"/>
              <w:ind w:left="287"/>
              <w:rPr>
                <w:rFonts w:ascii="宋体" w:eastAsia="宋体" w:hAnsi="宋体" w:cs="宋体"/>
                <w:sz w:val="16"/>
                <w:szCs w:val="16"/>
              </w:rPr>
            </w:pPr>
            <w:r>
              <w:rPr>
                <w:rFonts w:ascii="宋体" w:eastAsia="宋体" w:hAnsi="宋体" w:cs="宋体"/>
                <w:spacing w:val="-2"/>
                <w:sz w:val="16"/>
                <w:szCs w:val="16"/>
              </w:rPr>
              <w:t>硬脂酸</w:t>
            </w:r>
          </w:p>
        </w:tc>
        <w:tc>
          <w:tcPr>
            <w:tcW w:w="939" w:type="dxa"/>
            <w:tcBorders>
              <w:top w:val="single" w:sz="4" w:space="0" w:color="000000"/>
              <w:bottom w:val="single" w:sz="4" w:space="0" w:color="000000"/>
            </w:tcBorders>
          </w:tcPr>
          <w:p w:rsidR="00EA40A3" w:rsidRDefault="00E86C16">
            <w:pPr>
              <w:spacing w:before="102" w:line="220" w:lineRule="auto"/>
              <w:ind w:left="311"/>
              <w:rPr>
                <w:rFonts w:ascii="宋体" w:eastAsia="宋体" w:hAnsi="宋体" w:cs="宋体"/>
                <w:sz w:val="16"/>
                <w:szCs w:val="16"/>
              </w:rPr>
            </w:pPr>
            <w:r>
              <w:rPr>
                <w:rFonts w:ascii="宋体" w:eastAsia="宋体" w:hAnsi="宋体" w:cs="宋体"/>
                <w:spacing w:val="-3"/>
                <w:sz w:val="16"/>
                <w:szCs w:val="16"/>
              </w:rPr>
              <w:t>油酸</w:t>
            </w:r>
          </w:p>
        </w:tc>
        <w:tc>
          <w:tcPr>
            <w:tcW w:w="1105" w:type="dxa"/>
            <w:tcBorders>
              <w:top w:val="single" w:sz="4" w:space="0" w:color="000000"/>
              <w:bottom w:val="single" w:sz="4" w:space="0" w:color="000000"/>
            </w:tcBorders>
          </w:tcPr>
          <w:p w:rsidR="00EA40A3" w:rsidRDefault="00E86C16">
            <w:pPr>
              <w:spacing w:before="112" w:line="208" w:lineRule="auto"/>
              <w:ind w:left="323"/>
              <w:rPr>
                <w:rFonts w:ascii="宋体" w:eastAsia="宋体" w:hAnsi="宋体" w:cs="宋体"/>
                <w:sz w:val="16"/>
                <w:szCs w:val="16"/>
              </w:rPr>
            </w:pPr>
            <w:r>
              <w:rPr>
                <w:rFonts w:ascii="宋体" w:eastAsia="宋体" w:hAnsi="宋体" w:cs="宋体"/>
                <w:spacing w:val="-2"/>
                <w:sz w:val="16"/>
                <w:szCs w:val="16"/>
              </w:rPr>
              <w:t>亚油酸</w:t>
            </w:r>
          </w:p>
        </w:tc>
        <w:tc>
          <w:tcPr>
            <w:tcW w:w="1117" w:type="dxa"/>
            <w:tcBorders>
              <w:top w:val="single" w:sz="4" w:space="0" w:color="000000"/>
              <w:bottom w:val="single" w:sz="4" w:space="0" w:color="000000"/>
            </w:tcBorders>
          </w:tcPr>
          <w:p w:rsidR="00EA40A3" w:rsidRDefault="00E86C16">
            <w:pPr>
              <w:spacing w:before="112" w:line="208" w:lineRule="auto"/>
              <w:ind w:left="317"/>
              <w:rPr>
                <w:rFonts w:ascii="宋体" w:eastAsia="宋体" w:hAnsi="宋体" w:cs="宋体"/>
                <w:sz w:val="16"/>
                <w:szCs w:val="16"/>
              </w:rPr>
            </w:pPr>
            <w:r>
              <w:rPr>
                <w:rFonts w:ascii="宋体" w:eastAsia="宋体" w:hAnsi="宋体" w:cs="宋体"/>
                <w:spacing w:val="-2"/>
                <w:sz w:val="16"/>
                <w:szCs w:val="16"/>
              </w:rPr>
              <w:t>亚麻酸</w:t>
            </w:r>
          </w:p>
        </w:tc>
      </w:tr>
      <w:tr w:rsidR="00EA40A3">
        <w:trPr>
          <w:trHeight w:val="314"/>
        </w:trPr>
        <w:tc>
          <w:tcPr>
            <w:tcW w:w="1043" w:type="dxa"/>
            <w:tcBorders>
              <w:top w:val="single" w:sz="4" w:space="0" w:color="000000"/>
            </w:tcBorders>
          </w:tcPr>
          <w:p w:rsidR="00EA40A3" w:rsidRDefault="00E86C16">
            <w:pPr>
              <w:spacing w:before="78" w:line="219" w:lineRule="auto"/>
              <w:ind w:left="369"/>
              <w:rPr>
                <w:rFonts w:ascii="宋体" w:eastAsia="宋体" w:hAnsi="宋体" w:cs="宋体"/>
                <w:sz w:val="16"/>
                <w:szCs w:val="16"/>
              </w:rPr>
            </w:pPr>
            <w:r>
              <w:rPr>
                <w:rFonts w:ascii="宋体" w:eastAsia="宋体" w:hAnsi="宋体" w:cs="宋体"/>
                <w:spacing w:val="-3"/>
                <w:sz w:val="16"/>
                <w:szCs w:val="16"/>
              </w:rPr>
              <w:t>核桃</w:t>
            </w:r>
          </w:p>
        </w:tc>
        <w:tc>
          <w:tcPr>
            <w:tcW w:w="1027" w:type="dxa"/>
            <w:tcBorders>
              <w:top w:val="single" w:sz="4" w:space="0" w:color="000000"/>
            </w:tcBorders>
          </w:tcPr>
          <w:p w:rsidR="00EA40A3" w:rsidRDefault="00E86C16">
            <w:pPr>
              <w:spacing w:before="129" w:line="183" w:lineRule="auto"/>
              <w:ind w:left="367"/>
              <w:rPr>
                <w:rFonts w:ascii="宋体" w:eastAsia="宋体" w:hAnsi="宋体" w:cs="宋体"/>
                <w:sz w:val="16"/>
                <w:szCs w:val="16"/>
              </w:rPr>
            </w:pPr>
            <w:r>
              <w:rPr>
                <w:rFonts w:ascii="宋体" w:eastAsia="宋体" w:hAnsi="宋体" w:cs="宋体"/>
                <w:spacing w:val="-2"/>
                <w:sz w:val="16"/>
                <w:szCs w:val="16"/>
              </w:rPr>
              <w:t>58.8</w:t>
            </w:r>
          </w:p>
        </w:tc>
        <w:tc>
          <w:tcPr>
            <w:tcW w:w="1033" w:type="dxa"/>
            <w:tcBorders>
              <w:top w:val="single" w:sz="4" w:space="0" w:color="000000"/>
            </w:tcBorders>
          </w:tcPr>
          <w:p w:rsidR="00EA40A3" w:rsidRDefault="00E86C16">
            <w:pPr>
              <w:spacing w:before="139" w:line="183" w:lineRule="auto"/>
              <w:ind w:left="399"/>
              <w:rPr>
                <w:rFonts w:ascii="宋体" w:eastAsia="宋体" w:hAnsi="宋体" w:cs="宋体"/>
                <w:sz w:val="16"/>
                <w:szCs w:val="16"/>
              </w:rPr>
            </w:pPr>
            <w:r>
              <w:rPr>
                <w:rFonts w:ascii="宋体" w:eastAsia="宋体" w:hAnsi="宋体" w:cs="宋体"/>
                <w:spacing w:val="-3"/>
                <w:sz w:val="16"/>
                <w:szCs w:val="16"/>
              </w:rPr>
              <w:t>5.3</w:t>
            </w:r>
          </w:p>
        </w:tc>
        <w:tc>
          <w:tcPr>
            <w:tcW w:w="1065" w:type="dxa"/>
            <w:tcBorders>
              <w:top w:val="single" w:sz="4" w:space="0" w:color="000000"/>
            </w:tcBorders>
          </w:tcPr>
          <w:p w:rsidR="00EA40A3" w:rsidRDefault="00E86C16">
            <w:pPr>
              <w:spacing w:before="129" w:line="183" w:lineRule="auto"/>
              <w:ind w:left="406"/>
              <w:rPr>
                <w:rFonts w:ascii="宋体" w:eastAsia="宋体" w:hAnsi="宋体" w:cs="宋体"/>
                <w:sz w:val="16"/>
                <w:szCs w:val="16"/>
              </w:rPr>
            </w:pPr>
            <w:r>
              <w:rPr>
                <w:rFonts w:ascii="宋体" w:eastAsia="宋体" w:hAnsi="宋体" w:cs="宋体"/>
                <w:spacing w:val="-2"/>
                <w:sz w:val="16"/>
                <w:szCs w:val="16"/>
              </w:rPr>
              <w:t>2.7</w:t>
            </w:r>
          </w:p>
        </w:tc>
        <w:tc>
          <w:tcPr>
            <w:tcW w:w="939" w:type="dxa"/>
            <w:tcBorders>
              <w:top w:val="single" w:sz="4" w:space="0" w:color="000000"/>
            </w:tcBorders>
          </w:tcPr>
          <w:p w:rsidR="00EA40A3" w:rsidRDefault="00E86C16">
            <w:pPr>
              <w:spacing w:before="129" w:line="184" w:lineRule="auto"/>
              <w:ind w:left="311"/>
              <w:rPr>
                <w:rFonts w:ascii="宋体" w:eastAsia="宋体" w:hAnsi="宋体" w:cs="宋体"/>
                <w:sz w:val="16"/>
                <w:szCs w:val="16"/>
              </w:rPr>
            </w:pPr>
            <w:r>
              <w:rPr>
                <w:rFonts w:ascii="宋体" w:eastAsia="宋体" w:hAnsi="宋体" w:cs="宋体"/>
                <w:spacing w:val="-4"/>
                <w:sz w:val="16"/>
                <w:szCs w:val="16"/>
              </w:rPr>
              <w:t>14.3</w:t>
            </w:r>
          </w:p>
        </w:tc>
        <w:tc>
          <w:tcPr>
            <w:tcW w:w="1105" w:type="dxa"/>
            <w:tcBorders>
              <w:top w:val="single" w:sz="4" w:space="0" w:color="000000"/>
            </w:tcBorders>
          </w:tcPr>
          <w:p w:rsidR="00EA40A3" w:rsidRDefault="00E86C16">
            <w:pPr>
              <w:spacing w:before="139" w:line="183" w:lineRule="auto"/>
              <w:ind w:left="402"/>
              <w:rPr>
                <w:rFonts w:ascii="宋体" w:eastAsia="宋体" w:hAnsi="宋体" w:cs="宋体"/>
                <w:sz w:val="16"/>
                <w:szCs w:val="16"/>
              </w:rPr>
            </w:pPr>
            <w:r>
              <w:rPr>
                <w:rFonts w:ascii="宋体" w:eastAsia="宋体" w:hAnsi="宋体" w:cs="宋体"/>
                <w:spacing w:val="-2"/>
                <w:sz w:val="16"/>
                <w:szCs w:val="16"/>
              </w:rPr>
              <w:t>64.0</w:t>
            </w:r>
          </w:p>
        </w:tc>
        <w:tc>
          <w:tcPr>
            <w:tcW w:w="1117" w:type="dxa"/>
            <w:tcBorders>
              <w:top w:val="single" w:sz="4" w:space="0" w:color="000000"/>
            </w:tcBorders>
          </w:tcPr>
          <w:p w:rsidR="00EA40A3" w:rsidRDefault="00E86C16">
            <w:pPr>
              <w:spacing w:before="148" w:line="184" w:lineRule="auto"/>
              <w:ind w:left="398"/>
              <w:rPr>
                <w:rFonts w:ascii="宋体" w:eastAsia="宋体" w:hAnsi="宋体" w:cs="宋体"/>
                <w:sz w:val="16"/>
                <w:szCs w:val="16"/>
              </w:rPr>
            </w:pPr>
            <w:r>
              <w:rPr>
                <w:rFonts w:ascii="宋体" w:eastAsia="宋体" w:hAnsi="宋体" w:cs="宋体"/>
                <w:spacing w:val="-4"/>
                <w:sz w:val="16"/>
                <w:szCs w:val="16"/>
              </w:rPr>
              <w:t>12.2</w:t>
            </w:r>
          </w:p>
        </w:tc>
      </w:tr>
      <w:tr w:rsidR="00EA40A3">
        <w:trPr>
          <w:trHeight w:val="283"/>
        </w:trPr>
        <w:tc>
          <w:tcPr>
            <w:tcW w:w="1043" w:type="dxa"/>
          </w:tcPr>
          <w:p w:rsidR="00EA40A3" w:rsidRDefault="00E86C16">
            <w:pPr>
              <w:spacing w:before="55" w:line="221" w:lineRule="auto"/>
              <w:ind w:left="369"/>
              <w:rPr>
                <w:rFonts w:ascii="宋体" w:eastAsia="宋体" w:hAnsi="宋体" w:cs="宋体"/>
                <w:sz w:val="16"/>
                <w:szCs w:val="16"/>
              </w:rPr>
            </w:pPr>
            <w:r>
              <w:rPr>
                <w:rFonts w:ascii="宋体" w:eastAsia="宋体" w:hAnsi="宋体" w:cs="宋体"/>
                <w:spacing w:val="-2"/>
                <w:sz w:val="16"/>
                <w:szCs w:val="16"/>
              </w:rPr>
              <w:t>花生</w:t>
            </w:r>
          </w:p>
        </w:tc>
        <w:tc>
          <w:tcPr>
            <w:tcW w:w="1027" w:type="dxa"/>
          </w:tcPr>
          <w:p w:rsidR="00EA40A3" w:rsidRDefault="00E86C16">
            <w:pPr>
              <w:spacing w:before="126" w:line="181" w:lineRule="auto"/>
              <w:ind w:left="367"/>
              <w:rPr>
                <w:rFonts w:ascii="宋体" w:eastAsia="宋体" w:hAnsi="宋体" w:cs="宋体"/>
                <w:sz w:val="16"/>
                <w:szCs w:val="16"/>
              </w:rPr>
            </w:pPr>
            <w:r>
              <w:rPr>
                <w:rFonts w:ascii="宋体" w:eastAsia="宋体" w:hAnsi="宋体" w:cs="宋体"/>
                <w:spacing w:val="-2"/>
                <w:sz w:val="16"/>
                <w:szCs w:val="16"/>
              </w:rPr>
              <w:t>44.3</w:t>
            </w:r>
          </w:p>
        </w:tc>
        <w:tc>
          <w:tcPr>
            <w:tcW w:w="1033" w:type="dxa"/>
          </w:tcPr>
          <w:p w:rsidR="00EA40A3" w:rsidRDefault="00E86C16">
            <w:pPr>
              <w:spacing w:before="84" w:line="184" w:lineRule="auto"/>
              <w:ind w:left="360"/>
              <w:rPr>
                <w:rFonts w:ascii="宋体" w:eastAsia="宋体" w:hAnsi="宋体" w:cs="宋体"/>
                <w:sz w:val="16"/>
                <w:szCs w:val="16"/>
              </w:rPr>
            </w:pPr>
            <w:r>
              <w:rPr>
                <w:rFonts w:ascii="宋体" w:eastAsia="宋体" w:hAnsi="宋体" w:cs="宋体"/>
                <w:spacing w:val="-4"/>
                <w:sz w:val="16"/>
                <w:szCs w:val="16"/>
              </w:rPr>
              <w:t>12.4</w:t>
            </w:r>
          </w:p>
        </w:tc>
        <w:tc>
          <w:tcPr>
            <w:tcW w:w="1065" w:type="dxa"/>
          </w:tcPr>
          <w:p w:rsidR="00EA40A3" w:rsidRDefault="00E86C16">
            <w:pPr>
              <w:spacing w:before="105" w:line="183" w:lineRule="auto"/>
              <w:ind w:left="406"/>
              <w:rPr>
                <w:rFonts w:ascii="宋体" w:eastAsia="宋体" w:hAnsi="宋体" w:cs="宋体"/>
                <w:sz w:val="16"/>
                <w:szCs w:val="16"/>
              </w:rPr>
            </w:pPr>
            <w:r>
              <w:rPr>
                <w:rFonts w:ascii="宋体" w:eastAsia="宋体" w:hAnsi="宋体" w:cs="宋体"/>
                <w:spacing w:val="-3"/>
                <w:sz w:val="16"/>
                <w:szCs w:val="16"/>
              </w:rPr>
              <w:t>3.7</w:t>
            </w:r>
          </w:p>
        </w:tc>
        <w:tc>
          <w:tcPr>
            <w:tcW w:w="939" w:type="dxa"/>
          </w:tcPr>
          <w:p w:rsidR="00EA40A3" w:rsidRDefault="00E86C16">
            <w:pPr>
              <w:spacing w:before="105" w:line="183" w:lineRule="auto"/>
              <w:ind w:left="311"/>
              <w:rPr>
                <w:rFonts w:ascii="宋体" w:eastAsia="宋体" w:hAnsi="宋体" w:cs="宋体"/>
                <w:sz w:val="16"/>
                <w:szCs w:val="16"/>
              </w:rPr>
            </w:pPr>
            <w:r>
              <w:rPr>
                <w:rFonts w:ascii="宋体" w:eastAsia="宋体" w:hAnsi="宋体" w:cs="宋体"/>
                <w:spacing w:val="-2"/>
                <w:sz w:val="16"/>
                <w:szCs w:val="16"/>
              </w:rPr>
              <w:t>38.4</w:t>
            </w:r>
          </w:p>
        </w:tc>
        <w:tc>
          <w:tcPr>
            <w:tcW w:w="1105" w:type="dxa"/>
          </w:tcPr>
          <w:p w:rsidR="00EA40A3" w:rsidRDefault="00E86C16">
            <w:pPr>
              <w:spacing w:before="95" w:line="183" w:lineRule="auto"/>
              <w:ind w:left="402"/>
              <w:rPr>
                <w:rFonts w:ascii="宋体" w:eastAsia="宋体" w:hAnsi="宋体" w:cs="宋体"/>
                <w:sz w:val="16"/>
                <w:szCs w:val="16"/>
              </w:rPr>
            </w:pPr>
            <w:r>
              <w:rPr>
                <w:rFonts w:ascii="宋体" w:eastAsia="宋体" w:hAnsi="宋体" w:cs="宋体"/>
                <w:spacing w:val="-2"/>
                <w:sz w:val="16"/>
                <w:szCs w:val="16"/>
              </w:rPr>
              <w:t>37.7</w:t>
            </w:r>
          </w:p>
        </w:tc>
        <w:tc>
          <w:tcPr>
            <w:tcW w:w="1117" w:type="dxa"/>
          </w:tcPr>
          <w:p w:rsidR="00EA40A3" w:rsidRDefault="00E86C16">
            <w:pPr>
              <w:spacing w:before="105" w:line="183" w:lineRule="auto"/>
              <w:ind w:left="438"/>
              <w:rPr>
                <w:rFonts w:ascii="宋体" w:eastAsia="宋体" w:hAnsi="宋体" w:cs="宋体"/>
                <w:sz w:val="16"/>
                <w:szCs w:val="16"/>
              </w:rPr>
            </w:pPr>
            <w:r>
              <w:rPr>
                <w:rFonts w:ascii="宋体" w:eastAsia="宋体" w:hAnsi="宋体" w:cs="宋体"/>
                <w:spacing w:val="-2"/>
                <w:sz w:val="16"/>
                <w:szCs w:val="16"/>
              </w:rPr>
              <w:t>0.9</w:t>
            </w:r>
          </w:p>
        </w:tc>
      </w:tr>
      <w:tr w:rsidR="00EA40A3">
        <w:trPr>
          <w:trHeight w:val="264"/>
        </w:trPr>
        <w:tc>
          <w:tcPr>
            <w:tcW w:w="1043" w:type="dxa"/>
          </w:tcPr>
          <w:p w:rsidR="00EA40A3" w:rsidRDefault="00E86C16">
            <w:pPr>
              <w:spacing w:before="51" w:line="219" w:lineRule="auto"/>
              <w:ind w:left="289"/>
              <w:rPr>
                <w:rFonts w:ascii="宋体" w:eastAsia="宋体" w:hAnsi="宋体" w:cs="宋体"/>
                <w:sz w:val="16"/>
                <w:szCs w:val="16"/>
              </w:rPr>
            </w:pPr>
            <w:r>
              <w:rPr>
                <w:rFonts w:ascii="宋体" w:eastAsia="宋体" w:hAnsi="宋体" w:cs="宋体"/>
                <w:spacing w:val="-2"/>
                <w:sz w:val="16"/>
                <w:szCs w:val="16"/>
              </w:rPr>
              <w:t>葵花籽</w:t>
            </w:r>
          </w:p>
        </w:tc>
        <w:tc>
          <w:tcPr>
            <w:tcW w:w="1027" w:type="dxa"/>
          </w:tcPr>
          <w:p w:rsidR="00EA40A3" w:rsidRDefault="00E86C16">
            <w:pPr>
              <w:spacing w:before="102" w:line="183" w:lineRule="auto"/>
              <w:ind w:left="367"/>
              <w:rPr>
                <w:rFonts w:ascii="宋体" w:eastAsia="宋体" w:hAnsi="宋体" w:cs="宋体"/>
                <w:sz w:val="16"/>
                <w:szCs w:val="16"/>
              </w:rPr>
            </w:pPr>
            <w:r>
              <w:rPr>
                <w:rFonts w:ascii="宋体" w:eastAsia="宋体" w:hAnsi="宋体" w:cs="宋体"/>
                <w:spacing w:val="-2"/>
                <w:sz w:val="16"/>
                <w:szCs w:val="16"/>
              </w:rPr>
              <w:t>52.8</w:t>
            </w:r>
          </w:p>
        </w:tc>
        <w:tc>
          <w:tcPr>
            <w:tcW w:w="1033" w:type="dxa"/>
          </w:tcPr>
          <w:p w:rsidR="00EA40A3" w:rsidRDefault="00E86C16">
            <w:pPr>
              <w:spacing w:before="102" w:line="183" w:lineRule="auto"/>
              <w:ind w:left="399"/>
              <w:rPr>
                <w:rFonts w:ascii="宋体" w:eastAsia="宋体" w:hAnsi="宋体" w:cs="宋体"/>
                <w:sz w:val="16"/>
                <w:szCs w:val="16"/>
              </w:rPr>
            </w:pPr>
            <w:r>
              <w:rPr>
                <w:rFonts w:ascii="宋体" w:eastAsia="宋体" w:hAnsi="宋体" w:cs="宋体"/>
                <w:spacing w:val="-2"/>
                <w:sz w:val="16"/>
                <w:szCs w:val="16"/>
              </w:rPr>
              <w:t>8.3</w:t>
            </w:r>
          </w:p>
        </w:tc>
        <w:tc>
          <w:tcPr>
            <w:tcW w:w="1065" w:type="dxa"/>
          </w:tcPr>
          <w:p w:rsidR="00EA40A3" w:rsidRDefault="00E86C16">
            <w:pPr>
              <w:spacing w:before="102" w:line="183" w:lineRule="auto"/>
              <w:ind w:left="406"/>
              <w:rPr>
                <w:rFonts w:ascii="宋体" w:eastAsia="宋体" w:hAnsi="宋体" w:cs="宋体"/>
                <w:sz w:val="16"/>
                <w:szCs w:val="16"/>
              </w:rPr>
            </w:pPr>
            <w:r>
              <w:rPr>
                <w:rFonts w:ascii="宋体" w:eastAsia="宋体" w:hAnsi="宋体" w:cs="宋体"/>
                <w:spacing w:val="-2"/>
                <w:sz w:val="16"/>
                <w:szCs w:val="16"/>
              </w:rPr>
              <w:t>4.3</w:t>
            </w:r>
          </w:p>
        </w:tc>
        <w:tc>
          <w:tcPr>
            <w:tcW w:w="939" w:type="dxa"/>
          </w:tcPr>
          <w:p w:rsidR="00EA40A3" w:rsidRDefault="00E86C16">
            <w:pPr>
              <w:spacing w:before="101" w:line="184" w:lineRule="auto"/>
              <w:ind w:left="311"/>
              <w:rPr>
                <w:rFonts w:ascii="宋体" w:eastAsia="宋体" w:hAnsi="宋体" w:cs="宋体"/>
                <w:sz w:val="16"/>
                <w:szCs w:val="16"/>
              </w:rPr>
            </w:pPr>
            <w:r>
              <w:rPr>
                <w:rFonts w:ascii="宋体" w:eastAsia="宋体" w:hAnsi="宋体" w:cs="宋体"/>
                <w:spacing w:val="-4"/>
                <w:sz w:val="16"/>
                <w:szCs w:val="16"/>
              </w:rPr>
              <w:t>19.9</w:t>
            </w:r>
          </w:p>
        </w:tc>
        <w:tc>
          <w:tcPr>
            <w:tcW w:w="1105" w:type="dxa"/>
          </w:tcPr>
          <w:p w:rsidR="00EA40A3" w:rsidRDefault="00E86C16">
            <w:pPr>
              <w:spacing w:before="102" w:line="183" w:lineRule="auto"/>
              <w:ind w:left="402"/>
              <w:rPr>
                <w:rFonts w:ascii="宋体" w:eastAsia="宋体" w:hAnsi="宋体" w:cs="宋体"/>
                <w:sz w:val="16"/>
                <w:szCs w:val="16"/>
              </w:rPr>
            </w:pPr>
            <w:r>
              <w:rPr>
                <w:rFonts w:ascii="宋体" w:eastAsia="宋体" w:hAnsi="宋体" w:cs="宋体"/>
                <w:spacing w:val="-2"/>
                <w:sz w:val="16"/>
                <w:szCs w:val="16"/>
              </w:rPr>
              <w:t>65.2</w:t>
            </w:r>
          </w:p>
        </w:tc>
        <w:tc>
          <w:tcPr>
            <w:tcW w:w="1117" w:type="dxa"/>
          </w:tcPr>
          <w:p w:rsidR="00EA40A3" w:rsidRDefault="00E86C16">
            <w:pPr>
              <w:spacing w:before="113" w:line="174" w:lineRule="auto"/>
              <w:ind w:left="438"/>
              <w:rPr>
                <w:rFonts w:ascii="宋体" w:eastAsia="宋体" w:hAnsi="宋体" w:cs="宋体"/>
                <w:sz w:val="16"/>
                <w:szCs w:val="16"/>
              </w:rPr>
            </w:pPr>
            <w:r>
              <w:rPr>
                <w:rFonts w:ascii="宋体" w:eastAsia="宋体" w:hAnsi="宋体" w:cs="宋体"/>
                <w:spacing w:val="-2"/>
                <w:sz w:val="16"/>
                <w:szCs w:val="16"/>
              </w:rPr>
              <w:t>0.2</w:t>
            </w:r>
          </w:p>
        </w:tc>
      </w:tr>
      <w:tr w:rsidR="00EA40A3">
        <w:trPr>
          <w:trHeight w:val="264"/>
        </w:trPr>
        <w:tc>
          <w:tcPr>
            <w:tcW w:w="1043" w:type="dxa"/>
          </w:tcPr>
          <w:p w:rsidR="00EA40A3" w:rsidRDefault="00E86C16">
            <w:pPr>
              <w:spacing w:before="47" w:line="219" w:lineRule="auto"/>
              <w:ind w:left="289"/>
              <w:rPr>
                <w:rFonts w:ascii="宋体" w:eastAsia="宋体" w:hAnsi="宋体" w:cs="宋体"/>
                <w:sz w:val="16"/>
                <w:szCs w:val="16"/>
              </w:rPr>
            </w:pPr>
            <w:r>
              <w:rPr>
                <w:rFonts w:ascii="宋体" w:eastAsia="宋体" w:hAnsi="宋体" w:cs="宋体"/>
                <w:spacing w:val="-2"/>
                <w:sz w:val="16"/>
                <w:szCs w:val="16"/>
              </w:rPr>
              <w:t>南瓜籽</w:t>
            </w:r>
          </w:p>
        </w:tc>
        <w:tc>
          <w:tcPr>
            <w:tcW w:w="1027" w:type="dxa"/>
          </w:tcPr>
          <w:p w:rsidR="00EA40A3" w:rsidRDefault="00E86C16">
            <w:pPr>
              <w:spacing w:before="108" w:line="180" w:lineRule="auto"/>
              <w:ind w:left="367"/>
              <w:rPr>
                <w:rFonts w:ascii="宋体" w:eastAsia="宋体" w:hAnsi="宋体" w:cs="宋体"/>
                <w:sz w:val="16"/>
                <w:szCs w:val="16"/>
              </w:rPr>
            </w:pPr>
            <w:r>
              <w:rPr>
                <w:rFonts w:ascii="宋体" w:eastAsia="宋体" w:hAnsi="宋体" w:cs="宋体"/>
                <w:spacing w:val="-2"/>
                <w:sz w:val="16"/>
                <w:szCs w:val="16"/>
              </w:rPr>
              <w:t>46.1</w:t>
            </w:r>
          </w:p>
        </w:tc>
        <w:tc>
          <w:tcPr>
            <w:tcW w:w="1033" w:type="dxa"/>
          </w:tcPr>
          <w:p w:rsidR="00EA40A3" w:rsidRDefault="00E86C16">
            <w:pPr>
              <w:spacing w:before="97" w:line="184" w:lineRule="auto"/>
              <w:ind w:left="360"/>
              <w:rPr>
                <w:rFonts w:ascii="宋体" w:eastAsia="宋体" w:hAnsi="宋体" w:cs="宋体"/>
                <w:sz w:val="16"/>
                <w:szCs w:val="16"/>
              </w:rPr>
            </w:pPr>
            <w:r>
              <w:rPr>
                <w:rFonts w:ascii="宋体" w:eastAsia="宋体" w:hAnsi="宋体" w:cs="宋体"/>
                <w:spacing w:val="-4"/>
                <w:sz w:val="16"/>
                <w:szCs w:val="16"/>
              </w:rPr>
              <w:t>12.4</w:t>
            </w:r>
          </w:p>
        </w:tc>
        <w:tc>
          <w:tcPr>
            <w:tcW w:w="1065" w:type="dxa"/>
          </w:tcPr>
          <w:p w:rsidR="00EA40A3" w:rsidRDefault="00E86C16">
            <w:pPr>
              <w:spacing w:before="98" w:line="183" w:lineRule="auto"/>
              <w:ind w:left="406"/>
              <w:rPr>
                <w:rFonts w:ascii="宋体" w:eastAsia="宋体" w:hAnsi="宋体" w:cs="宋体"/>
                <w:sz w:val="16"/>
                <w:szCs w:val="16"/>
              </w:rPr>
            </w:pPr>
            <w:r>
              <w:rPr>
                <w:rFonts w:ascii="宋体" w:eastAsia="宋体" w:hAnsi="宋体" w:cs="宋体"/>
                <w:spacing w:val="-3"/>
                <w:sz w:val="16"/>
                <w:szCs w:val="16"/>
              </w:rPr>
              <w:t>5.2</w:t>
            </w:r>
          </w:p>
        </w:tc>
        <w:tc>
          <w:tcPr>
            <w:tcW w:w="939" w:type="dxa"/>
          </w:tcPr>
          <w:p w:rsidR="00EA40A3" w:rsidRDefault="00E86C16">
            <w:pPr>
              <w:spacing w:before="119" w:line="167" w:lineRule="auto"/>
              <w:ind w:left="311"/>
              <w:rPr>
                <w:rFonts w:ascii="宋体" w:eastAsia="宋体" w:hAnsi="宋体" w:cs="宋体"/>
                <w:sz w:val="16"/>
                <w:szCs w:val="16"/>
              </w:rPr>
            </w:pPr>
            <w:r>
              <w:rPr>
                <w:rFonts w:ascii="宋体" w:eastAsia="宋体" w:hAnsi="宋体" w:cs="宋体"/>
                <w:spacing w:val="-2"/>
                <w:sz w:val="16"/>
                <w:szCs w:val="16"/>
              </w:rPr>
              <w:t>37.4</w:t>
            </w:r>
          </w:p>
        </w:tc>
        <w:tc>
          <w:tcPr>
            <w:tcW w:w="1105" w:type="dxa"/>
          </w:tcPr>
          <w:p w:rsidR="00EA40A3" w:rsidRDefault="00E86C16">
            <w:pPr>
              <w:spacing w:before="119" w:line="167" w:lineRule="auto"/>
              <w:ind w:left="402"/>
              <w:rPr>
                <w:rFonts w:ascii="宋体" w:eastAsia="宋体" w:hAnsi="宋体" w:cs="宋体"/>
                <w:sz w:val="16"/>
                <w:szCs w:val="16"/>
              </w:rPr>
            </w:pPr>
            <w:r>
              <w:rPr>
                <w:rFonts w:ascii="宋体" w:eastAsia="宋体" w:hAnsi="宋体" w:cs="宋体"/>
                <w:spacing w:val="-2"/>
                <w:sz w:val="16"/>
                <w:szCs w:val="16"/>
              </w:rPr>
              <w:t>44.7</w:t>
            </w:r>
          </w:p>
        </w:tc>
        <w:tc>
          <w:tcPr>
            <w:tcW w:w="1117" w:type="dxa"/>
          </w:tcPr>
          <w:p w:rsidR="00EA40A3" w:rsidRDefault="00E86C16">
            <w:pPr>
              <w:spacing w:before="108" w:line="179" w:lineRule="auto"/>
              <w:ind w:left="438"/>
              <w:rPr>
                <w:rFonts w:ascii="宋体" w:eastAsia="宋体" w:hAnsi="宋体" w:cs="宋体"/>
                <w:sz w:val="16"/>
                <w:szCs w:val="16"/>
              </w:rPr>
            </w:pPr>
            <w:r>
              <w:rPr>
                <w:rFonts w:ascii="宋体" w:eastAsia="宋体" w:hAnsi="宋体" w:cs="宋体"/>
                <w:spacing w:val="-2"/>
                <w:sz w:val="16"/>
                <w:szCs w:val="16"/>
              </w:rPr>
              <w:t>0.3</w:t>
            </w:r>
          </w:p>
        </w:tc>
      </w:tr>
      <w:tr w:rsidR="00EA40A3">
        <w:trPr>
          <w:trHeight w:val="279"/>
        </w:trPr>
        <w:tc>
          <w:tcPr>
            <w:tcW w:w="1043" w:type="dxa"/>
          </w:tcPr>
          <w:p w:rsidR="00EA40A3" w:rsidRDefault="00E86C16">
            <w:pPr>
              <w:spacing w:before="43" w:line="219" w:lineRule="auto"/>
              <w:ind w:left="369"/>
              <w:rPr>
                <w:rFonts w:ascii="宋体" w:eastAsia="宋体" w:hAnsi="宋体" w:cs="宋体"/>
                <w:sz w:val="16"/>
                <w:szCs w:val="16"/>
              </w:rPr>
            </w:pPr>
            <w:r>
              <w:rPr>
                <w:rFonts w:ascii="宋体" w:eastAsia="宋体" w:hAnsi="宋体" w:cs="宋体"/>
                <w:spacing w:val="-2"/>
                <w:sz w:val="16"/>
                <w:szCs w:val="16"/>
              </w:rPr>
              <w:t>松子</w:t>
            </w:r>
          </w:p>
        </w:tc>
        <w:tc>
          <w:tcPr>
            <w:tcW w:w="1027" w:type="dxa"/>
          </w:tcPr>
          <w:p w:rsidR="00EA40A3" w:rsidRDefault="00E86C16">
            <w:pPr>
              <w:spacing w:before="114" w:line="183" w:lineRule="auto"/>
              <w:ind w:left="367"/>
              <w:rPr>
                <w:rFonts w:ascii="宋体" w:eastAsia="宋体" w:hAnsi="宋体" w:cs="宋体"/>
                <w:sz w:val="16"/>
                <w:szCs w:val="16"/>
              </w:rPr>
            </w:pPr>
            <w:r>
              <w:rPr>
                <w:rFonts w:ascii="宋体" w:eastAsia="宋体" w:hAnsi="宋体" w:cs="宋体"/>
                <w:spacing w:val="-2"/>
                <w:sz w:val="16"/>
                <w:szCs w:val="16"/>
              </w:rPr>
              <w:t>58.5</w:t>
            </w:r>
          </w:p>
        </w:tc>
        <w:tc>
          <w:tcPr>
            <w:tcW w:w="1033" w:type="dxa"/>
          </w:tcPr>
          <w:p w:rsidR="00EA40A3" w:rsidRDefault="00E86C16">
            <w:pPr>
              <w:spacing w:before="114" w:line="183" w:lineRule="auto"/>
              <w:ind w:left="399"/>
              <w:rPr>
                <w:rFonts w:ascii="宋体" w:eastAsia="宋体" w:hAnsi="宋体" w:cs="宋体"/>
                <w:sz w:val="16"/>
                <w:szCs w:val="16"/>
              </w:rPr>
            </w:pPr>
            <w:r>
              <w:rPr>
                <w:rFonts w:ascii="宋体" w:eastAsia="宋体" w:hAnsi="宋体" w:cs="宋体"/>
                <w:spacing w:val="-3"/>
                <w:sz w:val="16"/>
                <w:szCs w:val="16"/>
              </w:rPr>
              <w:t>7.8</w:t>
            </w:r>
          </w:p>
        </w:tc>
        <w:tc>
          <w:tcPr>
            <w:tcW w:w="1065" w:type="dxa"/>
          </w:tcPr>
          <w:p w:rsidR="00EA40A3" w:rsidRDefault="00E86C16">
            <w:pPr>
              <w:spacing w:before="114" w:line="183" w:lineRule="auto"/>
              <w:ind w:left="406"/>
              <w:rPr>
                <w:rFonts w:ascii="宋体" w:eastAsia="宋体" w:hAnsi="宋体" w:cs="宋体"/>
                <w:sz w:val="16"/>
                <w:szCs w:val="16"/>
              </w:rPr>
            </w:pPr>
            <w:r>
              <w:rPr>
                <w:rFonts w:ascii="宋体" w:eastAsia="宋体" w:hAnsi="宋体" w:cs="宋体"/>
                <w:spacing w:val="-2"/>
                <w:sz w:val="16"/>
                <w:szCs w:val="16"/>
              </w:rPr>
              <w:t>2.9</w:t>
            </w:r>
          </w:p>
        </w:tc>
        <w:tc>
          <w:tcPr>
            <w:tcW w:w="939" w:type="dxa"/>
          </w:tcPr>
          <w:p w:rsidR="00EA40A3" w:rsidRDefault="00E86C16">
            <w:pPr>
              <w:spacing w:before="114" w:line="183" w:lineRule="auto"/>
              <w:ind w:left="311"/>
              <w:rPr>
                <w:rFonts w:ascii="宋体" w:eastAsia="宋体" w:hAnsi="宋体" w:cs="宋体"/>
                <w:sz w:val="16"/>
                <w:szCs w:val="16"/>
              </w:rPr>
            </w:pPr>
            <w:r>
              <w:rPr>
                <w:rFonts w:ascii="宋体" w:eastAsia="宋体" w:hAnsi="宋体" w:cs="宋体"/>
                <w:spacing w:val="-2"/>
                <w:sz w:val="16"/>
                <w:szCs w:val="16"/>
              </w:rPr>
              <w:t>37.7</w:t>
            </w:r>
          </w:p>
        </w:tc>
        <w:tc>
          <w:tcPr>
            <w:tcW w:w="1105" w:type="dxa"/>
          </w:tcPr>
          <w:p w:rsidR="00EA40A3" w:rsidRDefault="00E86C16">
            <w:pPr>
              <w:spacing w:before="124" w:line="178" w:lineRule="auto"/>
              <w:ind w:left="402"/>
              <w:rPr>
                <w:rFonts w:ascii="宋体" w:eastAsia="宋体" w:hAnsi="宋体" w:cs="宋体"/>
                <w:sz w:val="16"/>
                <w:szCs w:val="16"/>
              </w:rPr>
            </w:pPr>
            <w:r>
              <w:rPr>
                <w:rFonts w:ascii="宋体" w:eastAsia="宋体" w:hAnsi="宋体" w:cs="宋体"/>
                <w:spacing w:val="-2"/>
                <w:sz w:val="16"/>
                <w:szCs w:val="16"/>
              </w:rPr>
              <w:t>34.7</w:t>
            </w:r>
          </w:p>
        </w:tc>
        <w:tc>
          <w:tcPr>
            <w:tcW w:w="1117" w:type="dxa"/>
          </w:tcPr>
          <w:p w:rsidR="00EA40A3" w:rsidRDefault="00E86C16">
            <w:pPr>
              <w:spacing w:before="134" w:line="167" w:lineRule="auto"/>
              <w:ind w:left="398"/>
              <w:rPr>
                <w:rFonts w:ascii="宋体" w:eastAsia="宋体" w:hAnsi="宋体" w:cs="宋体"/>
                <w:sz w:val="16"/>
                <w:szCs w:val="16"/>
              </w:rPr>
            </w:pPr>
            <w:r>
              <w:rPr>
                <w:rFonts w:ascii="宋体" w:eastAsia="宋体" w:hAnsi="宋体" w:cs="宋体"/>
                <w:spacing w:val="-4"/>
                <w:sz w:val="16"/>
                <w:szCs w:val="16"/>
              </w:rPr>
              <w:t>11.0</w:t>
            </w:r>
          </w:p>
        </w:tc>
      </w:tr>
      <w:tr w:rsidR="00EA40A3">
        <w:trPr>
          <w:trHeight w:val="249"/>
        </w:trPr>
        <w:tc>
          <w:tcPr>
            <w:tcW w:w="1043" w:type="dxa"/>
          </w:tcPr>
          <w:p w:rsidR="00EA40A3" w:rsidRDefault="00E86C16">
            <w:pPr>
              <w:spacing w:before="44" w:line="219" w:lineRule="auto"/>
              <w:ind w:left="289"/>
              <w:rPr>
                <w:rFonts w:ascii="宋体" w:eastAsia="宋体" w:hAnsi="宋体" w:cs="宋体"/>
                <w:sz w:val="16"/>
                <w:szCs w:val="16"/>
              </w:rPr>
            </w:pPr>
            <w:r>
              <w:rPr>
                <w:rFonts w:ascii="宋体" w:eastAsia="宋体" w:hAnsi="宋体" w:cs="宋体"/>
                <w:spacing w:val="-3"/>
                <w:sz w:val="16"/>
                <w:szCs w:val="16"/>
              </w:rPr>
              <w:t>西瓜籽</w:t>
            </w:r>
          </w:p>
        </w:tc>
        <w:tc>
          <w:tcPr>
            <w:tcW w:w="1027" w:type="dxa"/>
          </w:tcPr>
          <w:p w:rsidR="00EA40A3" w:rsidRDefault="00E86C16">
            <w:pPr>
              <w:spacing w:before="85" w:line="183" w:lineRule="auto"/>
              <w:ind w:left="367"/>
              <w:rPr>
                <w:rFonts w:ascii="宋体" w:eastAsia="宋体" w:hAnsi="宋体" w:cs="宋体"/>
                <w:sz w:val="16"/>
                <w:szCs w:val="16"/>
              </w:rPr>
            </w:pPr>
            <w:r>
              <w:rPr>
                <w:rFonts w:ascii="宋体" w:eastAsia="宋体" w:hAnsi="宋体" w:cs="宋体"/>
                <w:spacing w:val="-2"/>
                <w:sz w:val="16"/>
                <w:szCs w:val="16"/>
              </w:rPr>
              <w:t>44.8</w:t>
            </w:r>
          </w:p>
        </w:tc>
        <w:tc>
          <w:tcPr>
            <w:tcW w:w="1033" w:type="dxa"/>
          </w:tcPr>
          <w:p w:rsidR="00EA40A3" w:rsidRDefault="00E86C16">
            <w:pPr>
              <w:spacing w:before="85" w:line="183" w:lineRule="auto"/>
              <w:ind w:left="399"/>
              <w:rPr>
                <w:rFonts w:ascii="宋体" w:eastAsia="宋体" w:hAnsi="宋体" w:cs="宋体"/>
                <w:sz w:val="16"/>
                <w:szCs w:val="16"/>
              </w:rPr>
            </w:pPr>
            <w:r>
              <w:rPr>
                <w:rFonts w:ascii="宋体" w:eastAsia="宋体" w:hAnsi="宋体" w:cs="宋体"/>
                <w:spacing w:val="-2"/>
                <w:sz w:val="16"/>
                <w:szCs w:val="16"/>
              </w:rPr>
              <w:t>9.7</w:t>
            </w:r>
          </w:p>
        </w:tc>
        <w:tc>
          <w:tcPr>
            <w:tcW w:w="1065" w:type="dxa"/>
          </w:tcPr>
          <w:p w:rsidR="00EA40A3" w:rsidRDefault="00E86C16">
            <w:pPr>
              <w:spacing w:before="85" w:line="183" w:lineRule="auto"/>
              <w:ind w:left="406"/>
              <w:rPr>
                <w:rFonts w:ascii="宋体" w:eastAsia="宋体" w:hAnsi="宋体" w:cs="宋体"/>
                <w:sz w:val="16"/>
                <w:szCs w:val="16"/>
              </w:rPr>
            </w:pPr>
            <w:r>
              <w:rPr>
                <w:rFonts w:ascii="宋体" w:eastAsia="宋体" w:hAnsi="宋体" w:cs="宋体"/>
                <w:spacing w:val="-2"/>
                <w:sz w:val="16"/>
                <w:szCs w:val="16"/>
              </w:rPr>
              <w:t>6.9</w:t>
            </w:r>
          </w:p>
        </w:tc>
        <w:tc>
          <w:tcPr>
            <w:tcW w:w="939" w:type="dxa"/>
          </w:tcPr>
          <w:p w:rsidR="00EA40A3" w:rsidRDefault="00E86C16">
            <w:pPr>
              <w:spacing w:before="84" w:line="184" w:lineRule="auto"/>
              <w:ind w:left="311"/>
              <w:rPr>
                <w:rFonts w:ascii="宋体" w:eastAsia="宋体" w:hAnsi="宋体" w:cs="宋体"/>
                <w:sz w:val="16"/>
                <w:szCs w:val="16"/>
              </w:rPr>
            </w:pPr>
            <w:r>
              <w:rPr>
                <w:rFonts w:ascii="宋体" w:eastAsia="宋体" w:hAnsi="宋体" w:cs="宋体"/>
                <w:spacing w:val="-4"/>
                <w:sz w:val="16"/>
                <w:szCs w:val="16"/>
              </w:rPr>
              <w:t>11.0</w:t>
            </w:r>
          </w:p>
        </w:tc>
        <w:tc>
          <w:tcPr>
            <w:tcW w:w="1105" w:type="dxa"/>
          </w:tcPr>
          <w:p w:rsidR="00EA40A3" w:rsidRDefault="00E86C16">
            <w:pPr>
              <w:spacing w:before="84" w:line="184" w:lineRule="auto"/>
              <w:ind w:left="402"/>
              <w:rPr>
                <w:rFonts w:ascii="宋体" w:eastAsia="宋体" w:hAnsi="宋体" w:cs="宋体"/>
                <w:sz w:val="16"/>
                <w:szCs w:val="16"/>
              </w:rPr>
            </w:pPr>
            <w:r>
              <w:rPr>
                <w:rFonts w:ascii="宋体" w:eastAsia="宋体" w:hAnsi="宋体" w:cs="宋体"/>
                <w:spacing w:val="-2"/>
                <w:sz w:val="16"/>
                <w:szCs w:val="16"/>
              </w:rPr>
              <w:t>71.6</w:t>
            </w:r>
          </w:p>
        </w:tc>
        <w:tc>
          <w:tcPr>
            <w:tcW w:w="1117" w:type="dxa"/>
          </w:tcPr>
          <w:p w:rsidR="00EA40A3" w:rsidRDefault="00E86C16">
            <w:pPr>
              <w:spacing w:before="85" w:line="183" w:lineRule="auto"/>
              <w:ind w:left="438"/>
              <w:rPr>
                <w:rFonts w:ascii="宋体" w:eastAsia="宋体" w:hAnsi="宋体" w:cs="宋体"/>
                <w:sz w:val="16"/>
                <w:szCs w:val="16"/>
              </w:rPr>
            </w:pPr>
            <w:r>
              <w:rPr>
                <w:rFonts w:ascii="宋体" w:eastAsia="宋体" w:hAnsi="宋体" w:cs="宋体"/>
                <w:spacing w:val="-2"/>
                <w:sz w:val="16"/>
                <w:szCs w:val="16"/>
              </w:rPr>
              <w:t>0.4</w:t>
            </w:r>
          </w:p>
        </w:tc>
      </w:tr>
      <w:tr w:rsidR="00EA40A3">
        <w:trPr>
          <w:trHeight w:val="273"/>
        </w:trPr>
        <w:tc>
          <w:tcPr>
            <w:tcW w:w="1043" w:type="dxa"/>
            <w:tcBorders>
              <w:bottom w:val="single" w:sz="4" w:space="0" w:color="000000"/>
            </w:tcBorders>
          </w:tcPr>
          <w:p w:rsidR="00EA40A3" w:rsidRDefault="00E86C16">
            <w:pPr>
              <w:spacing w:before="66" w:line="220" w:lineRule="auto"/>
              <w:ind w:left="369"/>
              <w:rPr>
                <w:rFonts w:ascii="宋体" w:eastAsia="宋体" w:hAnsi="宋体" w:cs="宋体"/>
                <w:sz w:val="16"/>
                <w:szCs w:val="16"/>
              </w:rPr>
            </w:pPr>
            <w:r>
              <w:rPr>
                <w:rFonts w:ascii="宋体" w:eastAsia="宋体" w:hAnsi="宋体" w:cs="宋体"/>
                <w:spacing w:val="-2"/>
                <w:sz w:val="16"/>
                <w:szCs w:val="16"/>
              </w:rPr>
              <w:t>榛子</w:t>
            </w:r>
          </w:p>
        </w:tc>
        <w:tc>
          <w:tcPr>
            <w:tcW w:w="1027" w:type="dxa"/>
            <w:tcBorders>
              <w:bottom w:val="single" w:sz="4" w:space="0" w:color="000000"/>
            </w:tcBorders>
          </w:tcPr>
          <w:p w:rsidR="00EA40A3" w:rsidRDefault="00E86C16">
            <w:pPr>
              <w:spacing w:before="106" w:line="183" w:lineRule="auto"/>
              <w:ind w:left="367"/>
              <w:rPr>
                <w:rFonts w:ascii="宋体" w:eastAsia="宋体" w:hAnsi="宋体" w:cs="宋体"/>
                <w:sz w:val="16"/>
                <w:szCs w:val="16"/>
              </w:rPr>
            </w:pPr>
            <w:r>
              <w:rPr>
                <w:rFonts w:ascii="宋体" w:eastAsia="宋体" w:hAnsi="宋体" w:cs="宋体"/>
                <w:spacing w:val="-2"/>
                <w:sz w:val="16"/>
                <w:szCs w:val="16"/>
              </w:rPr>
              <w:t>50.3</w:t>
            </w:r>
          </w:p>
        </w:tc>
        <w:tc>
          <w:tcPr>
            <w:tcW w:w="1033" w:type="dxa"/>
            <w:tcBorders>
              <w:bottom w:val="single" w:sz="4" w:space="0" w:color="000000"/>
            </w:tcBorders>
          </w:tcPr>
          <w:p w:rsidR="00EA40A3" w:rsidRDefault="00E86C16">
            <w:pPr>
              <w:spacing w:before="106" w:line="183" w:lineRule="auto"/>
              <w:ind w:left="399"/>
              <w:rPr>
                <w:rFonts w:ascii="宋体" w:eastAsia="宋体" w:hAnsi="宋体" w:cs="宋体"/>
                <w:sz w:val="16"/>
                <w:szCs w:val="16"/>
              </w:rPr>
            </w:pPr>
            <w:r>
              <w:rPr>
                <w:rFonts w:ascii="宋体" w:eastAsia="宋体" w:hAnsi="宋体" w:cs="宋体"/>
                <w:spacing w:val="-2"/>
                <w:sz w:val="16"/>
                <w:szCs w:val="16"/>
              </w:rPr>
              <w:t>4.6</w:t>
            </w:r>
          </w:p>
        </w:tc>
        <w:tc>
          <w:tcPr>
            <w:tcW w:w="1065" w:type="dxa"/>
            <w:tcBorders>
              <w:bottom w:val="single" w:sz="4" w:space="0" w:color="000000"/>
            </w:tcBorders>
          </w:tcPr>
          <w:p w:rsidR="00EA40A3" w:rsidRDefault="00E86C16">
            <w:pPr>
              <w:spacing w:before="105" w:line="184" w:lineRule="auto"/>
              <w:ind w:left="406"/>
              <w:rPr>
                <w:rFonts w:ascii="宋体" w:eastAsia="宋体" w:hAnsi="宋体" w:cs="宋体"/>
                <w:sz w:val="16"/>
                <w:szCs w:val="16"/>
              </w:rPr>
            </w:pPr>
            <w:r>
              <w:rPr>
                <w:rFonts w:ascii="宋体" w:eastAsia="宋体" w:hAnsi="宋体" w:cs="宋体"/>
                <w:spacing w:val="-5"/>
                <w:sz w:val="16"/>
                <w:szCs w:val="16"/>
              </w:rPr>
              <w:t>1.9</w:t>
            </w:r>
          </w:p>
        </w:tc>
        <w:tc>
          <w:tcPr>
            <w:tcW w:w="939" w:type="dxa"/>
            <w:tcBorders>
              <w:bottom w:val="single" w:sz="4" w:space="0" w:color="000000"/>
            </w:tcBorders>
          </w:tcPr>
          <w:p w:rsidR="00EA40A3" w:rsidRDefault="00E86C16">
            <w:pPr>
              <w:spacing w:before="106" w:line="183" w:lineRule="auto"/>
              <w:ind w:left="311"/>
              <w:rPr>
                <w:rFonts w:ascii="宋体" w:eastAsia="宋体" w:hAnsi="宋体" w:cs="宋体"/>
                <w:sz w:val="16"/>
                <w:szCs w:val="16"/>
              </w:rPr>
            </w:pPr>
            <w:r>
              <w:rPr>
                <w:rFonts w:ascii="宋体" w:eastAsia="宋体" w:hAnsi="宋体" w:cs="宋体"/>
                <w:spacing w:val="-2"/>
                <w:sz w:val="16"/>
                <w:szCs w:val="16"/>
              </w:rPr>
              <w:t>23.5</w:t>
            </w:r>
          </w:p>
        </w:tc>
        <w:tc>
          <w:tcPr>
            <w:tcW w:w="1105" w:type="dxa"/>
            <w:tcBorders>
              <w:bottom w:val="single" w:sz="4" w:space="0" w:color="000000"/>
            </w:tcBorders>
          </w:tcPr>
          <w:p w:rsidR="00EA40A3" w:rsidRDefault="00E86C16">
            <w:pPr>
              <w:spacing w:before="106" w:line="183" w:lineRule="auto"/>
              <w:ind w:left="402"/>
              <w:rPr>
                <w:rFonts w:ascii="宋体" w:eastAsia="宋体" w:hAnsi="宋体" w:cs="宋体"/>
                <w:sz w:val="16"/>
                <w:szCs w:val="16"/>
              </w:rPr>
            </w:pPr>
            <w:r>
              <w:rPr>
                <w:rFonts w:ascii="宋体" w:eastAsia="宋体" w:hAnsi="宋体" w:cs="宋体"/>
                <w:spacing w:val="-2"/>
                <w:sz w:val="16"/>
                <w:szCs w:val="16"/>
              </w:rPr>
              <w:t>49.9</w:t>
            </w:r>
          </w:p>
        </w:tc>
        <w:tc>
          <w:tcPr>
            <w:tcW w:w="1117" w:type="dxa"/>
            <w:tcBorders>
              <w:bottom w:val="single" w:sz="4" w:space="0" w:color="000000"/>
            </w:tcBorders>
          </w:tcPr>
          <w:p w:rsidR="00EA40A3" w:rsidRDefault="00E86C16">
            <w:pPr>
              <w:spacing w:before="146" w:line="126" w:lineRule="exact"/>
              <w:ind w:left="438"/>
              <w:rPr>
                <w:rFonts w:ascii="宋体" w:eastAsia="宋体" w:hAnsi="宋体" w:cs="宋体"/>
                <w:sz w:val="16"/>
                <w:szCs w:val="16"/>
              </w:rPr>
            </w:pPr>
            <w:r>
              <w:rPr>
                <w:rFonts w:ascii="宋体" w:eastAsia="宋体" w:hAnsi="宋体" w:cs="宋体"/>
                <w:spacing w:val="-3"/>
                <w:position w:val="-2"/>
                <w:sz w:val="16"/>
                <w:szCs w:val="16"/>
              </w:rPr>
              <w:t>3.5</w:t>
            </w:r>
          </w:p>
        </w:tc>
      </w:tr>
    </w:tbl>
    <w:p w:rsidR="00EA40A3" w:rsidRDefault="00E86C16">
      <w:pPr>
        <w:spacing w:before="151" w:line="266" w:lineRule="auto"/>
        <w:ind w:left="359" w:right="21" w:firstLine="10"/>
        <w:rPr>
          <w:rFonts w:ascii="宋体" w:eastAsia="宋体" w:hAnsi="宋体" w:cs="宋体"/>
          <w:sz w:val="16"/>
          <w:szCs w:val="16"/>
        </w:rPr>
      </w:pPr>
      <w:r>
        <w:rPr>
          <w:rFonts w:ascii="宋体" w:eastAsia="宋体" w:hAnsi="宋体" w:cs="宋体"/>
          <w:spacing w:val="3"/>
          <w:sz w:val="16"/>
          <w:szCs w:val="16"/>
        </w:rPr>
        <w:t>资料来源：预防医学科学院食品营养与卫生研究所.1991.食物成分表(全国代表值).北京：人民卫</w:t>
      </w:r>
      <w:r>
        <w:rPr>
          <w:rFonts w:ascii="宋体" w:eastAsia="宋体" w:hAnsi="宋体" w:cs="宋体"/>
          <w:spacing w:val="16"/>
          <w:sz w:val="16"/>
          <w:szCs w:val="16"/>
        </w:rPr>
        <w:t xml:space="preserve"> </w:t>
      </w:r>
      <w:r>
        <w:rPr>
          <w:rFonts w:ascii="宋体" w:eastAsia="宋体" w:hAnsi="宋体" w:cs="宋体"/>
          <w:spacing w:val="-2"/>
          <w:sz w:val="16"/>
          <w:szCs w:val="16"/>
        </w:rPr>
        <w:t>生出版社</w:t>
      </w:r>
    </w:p>
    <w:p w:rsidR="00EA40A3" w:rsidRDefault="00EA40A3">
      <w:pPr>
        <w:spacing w:line="346" w:lineRule="auto"/>
      </w:pPr>
    </w:p>
    <w:p w:rsidR="00EA40A3" w:rsidRDefault="00E86C16">
      <w:pPr>
        <w:spacing w:before="65" w:line="275" w:lineRule="auto"/>
        <w:ind w:left="9" w:firstLine="600"/>
        <w:jc w:val="both"/>
        <w:rPr>
          <w:rFonts w:ascii="宋体" w:eastAsia="宋体" w:hAnsi="宋体" w:cs="宋体"/>
          <w:sz w:val="20"/>
          <w:szCs w:val="20"/>
        </w:rPr>
      </w:pPr>
      <w:r>
        <w:rPr>
          <w:rFonts w:ascii="宋体" w:eastAsia="宋体" w:hAnsi="宋体" w:cs="宋体"/>
          <w:spacing w:val="9"/>
          <w:sz w:val="20"/>
          <w:szCs w:val="20"/>
        </w:rPr>
        <w:t>一些坚果脂肪中单不饱和脂肪酸的比例较大，对心血管疾病预防有一定益</w:t>
      </w:r>
      <w:r>
        <w:rPr>
          <w:rFonts w:ascii="宋体" w:eastAsia="宋体" w:hAnsi="宋体" w:cs="宋体"/>
          <w:spacing w:val="10"/>
          <w:sz w:val="20"/>
          <w:szCs w:val="20"/>
        </w:rPr>
        <w:t xml:space="preserve"> 处。例如，榛子、澳洲坚果、杏仁、美洲山核桃和开心果</w:t>
      </w:r>
      <w:r>
        <w:rPr>
          <w:rFonts w:ascii="宋体" w:eastAsia="宋体" w:hAnsi="宋体" w:cs="宋体"/>
          <w:spacing w:val="9"/>
          <w:sz w:val="20"/>
          <w:szCs w:val="20"/>
        </w:rPr>
        <w:t>中所含的脂肪酸当中，</w:t>
      </w:r>
      <w:r>
        <w:rPr>
          <w:rFonts w:ascii="宋体" w:eastAsia="宋体" w:hAnsi="宋体" w:cs="宋体"/>
          <w:sz w:val="20"/>
          <w:szCs w:val="20"/>
        </w:rPr>
        <w:t xml:space="preserve"> </w:t>
      </w:r>
      <w:r>
        <w:rPr>
          <w:rFonts w:ascii="宋体" w:eastAsia="宋体" w:hAnsi="宋体" w:cs="宋体"/>
          <w:spacing w:val="20"/>
          <w:sz w:val="20"/>
          <w:szCs w:val="20"/>
        </w:rPr>
        <w:t>57%～83%为单不饱和脂肪酸。花生、松子和南瓜籽所含脂肪酸中，约有40%</w:t>
      </w:r>
      <w:r>
        <w:rPr>
          <w:rFonts w:ascii="宋体" w:eastAsia="宋体" w:hAnsi="宋体" w:cs="宋体"/>
          <w:spacing w:val="1"/>
          <w:sz w:val="20"/>
          <w:szCs w:val="20"/>
        </w:rPr>
        <w:t xml:space="preserve">  </w:t>
      </w:r>
      <w:r>
        <w:rPr>
          <w:rFonts w:ascii="宋体" w:eastAsia="宋体" w:hAnsi="宋体" w:cs="宋体"/>
          <w:spacing w:val="10"/>
          <w:sz w:val="20"/>
          <w:szCs w:val="20"/>
        </w:rPr>
        <w:t>左右来自于单不饱和脂肪酸。巴西坚果、腰果和榛子中约有1</w:t>
      </w:r>
      <w:r>
        <w:rPr>
          <w:rFonts w:ascii="宋体" w:eastAsia="宋体" w:hAnsi="宋体" w:cs="宋体"/>
          <w:spacing w:val="9"/>
          <w:sz w:val="20"/>
          <w:szCs w:val="20"/>
        </w:rPr>
        <w:t>/4的脂肪酸为单不</w:t>
      </w:r>
      <w:r>
        <w:rPr>
          <w:rFonts w:ascii="宋体" w:eastAsia="宋体" w:hAnsi="宋体" w:cs="宋体"/>
          <w:sz w:val="20"/>
          <w:szCs w:val="20"/>
        </w:rPr>
        <w:t xml:space="preserve">  </w:t>
      </w:r>
      <w:r>
        <w:rPr>
          <w:rFonts w:ascii="宋体" w:eastAsia="宋体" w:hAnsi="宋体" w:cs="宋体"/>
          <w:spacing w:val="4"/>
          <w:sz w:val="20"/>
          <w:szCs w:val="20"/>
        </w:rPr>
        <w:t>饱和脂肪酸。核桃和松子含有较多的α-亚麻酸，对改善膳食中的n-3</w:t>
      </w:r>
      <w:r>
        <w:rPr>
          <w:rFonts w:ascii="宋体" w:eastAsia="宋体" w:hAnsi="宋体" w:cs="宋体"/>
          <w:spacing w:val="-40"/>
          <w:sz w:val="20"/>
          <w:szCs w:val="20"/>
        </w:rPr>
        <w:t xml:space="preserve"> </w:t>
      </w:r>
      <w:r>
        <w:rPr>
          <w:rFonts w:ascii="宋体" w:eastAsia="宋体" w:hAnsi="宋体" w:cs="宋体"/>
          <w:spacing w:val="4"/>
          <w:sz w:val="20"/>
          <w:szCs w:val="20"/>
        </w:rPr>
        <w:t>和</w:t>
      </w:r>
      <w:r>
        <w:rPr>
          <w:rFonts w:ascii="宋体" w:eastAsia="宋体" w:hAnsi="宋体" w:cs="宋体"/>
          <w:spacing w:val="-21"/>
          <w:sz w:val="20"/>
          <w:szCs w:val="20"/>
        </w:rPr>
        <w:t xml:space="preserve"> </w:t>
      </w:r>
      <w:r>
        <w:rPr>
          <w:rFonts w:ascii="宋体" w:eastAsia="宋体" w:hAnsi="宋体" w:cs="宋体"/>
          <w:spacing w:val="4"/>
          <w:sz w:val="20"/>
          <w:szCs w:val="20"/>
        </w:rPr>
        <w:t>n-6脂</w:t>
      </w:r>
      <w:r>
        <w:rPr>
          <w:rFonts w:ascii="宋体" w:eastAsia="宋体" w:hAnsi="宋体" w:cs="宋体"/>
          <w:spacing w:val="-42"/>
          <w:sz w:val="20"/>
          <w:szCs w:val="20"/>
        </w:rPr>
        <w:t xml:space="preserve"> </w:t>
      </w:r>
      <w:r>
        <w:rPr>
          <w:rFonts w:ascii="宋体" w:eastAsia="宋体" w:hAnsi="宋体" w:cs="宋体"/>
          <w:spacing w:val="4"/>
          <w:sz w:val="20"/>
          <w:szCs w:val="20"/>
        </w:rPr>
        <w:t>肪</w:t>
      </w:r>
      <w:r>
        <w:rPr>
          <w:rFonts w:ascii="宋体" w:eastAsia="宋体" w:hAnsi="宋体" w:cs="宋体"/>
          <w:sz w:val="20"/>
          <w:szCs w:val="20"/>
        </w:rPr>
        <w:t xml:space="preserve">  </w:t>
      </w:r>
      <w:r>
        <w:rPr>
          <w:rFonts w:ascii="宋体" w:eastAsia="宋体" w:hAnsi="宋体" w:cs="宋体"/>
          <w:spacing w:val="1"/>
          <w:sz w:val="20"/>
          <w:szCs w:val="20"/>
        </w:rPr>
        <w:t>酸比例有一定贡献。</w:t>
      </w:r>
    </w:p>
    <w:p w:rsidR="00EA40A3" w:rsidRDefault="00E86C16">
      <w:pPr>
        <w:spacing w:before="80" w:line="264" w:lineRule="auto"/>
        <w:ind w:left="9" w:right="87" w:firstLine="430"/>
        <w:jc w:val="both"/>
        <w:rPr>
          <w:rFonts w:ascii="宋体" w:eastAsia="宋体" w:hAnsi="宋体" w:cs="宋体"/>
          <w:sz w:val="20"/>
          <w:szCs w:val="20"/>
        </w:rPr>
      </w:pPr>
      <w:r>
        <w:rPr>
          <w:rFonts w:ascii="宋体" w:eastAsia="宋体" w:hAnsi="宋体" w:cs="宋体"/>
          <w:spacing w:val="7"/>
          <w:sz w:val="20"/>
          <w:szCs w:val="20"/>
        </w:rPr>
        <w:t>由于坚果类富含膳食纤维类物质和蛋白质，其中所含的</w:t>
      </w:r>
      <w:r>
        <w:rPr>
          <w:rFonts w:ascii="宋体" w:eastAsia="宋体" w:hAnsi="宋体" w:cs="宋体"/>
          <w:spacing w:val="6"/>
          <w:sz w:val="20"/>
          <w:szCs w:val="20"/>
        </w:rPr>
        <w:t>脂肪进入血流的速度</w:t>
      </w:r>
      <w:r>
        <w:rPr>
          <w:rFonts w:ascii="宋体" w:eastAsia="宋体" w:hAnsi="宋体" w:cs="宋体"/>
          <w:sz w:val="20"/>
          <w:szCs w:val="20"/>
        </w:rPr>
        <w:t xml:space="preserve"> </w:t>
      </w:r>
      <w:r>
        <w:rPr>
          <w:rFonts w:ascii="宋体" w:eastAsia="宋体" w:hAnsi="宋体" w:cs="宋体"/>
          <w:spacing w:val="7"/>
          <w:sz w:val="20"/>
          <w:szCs w:val="20"/>
        </w:rPr>
        <w:t>比动物性食品要缓慢，因此对血脂的影响比仅仅摄入橄榄油等富含单不饱和脂肪</w:t>
      </w:r>
      <w:r>
        <w:rPr>
          <w:rFonts w:ascii="宋体" w:eastAsia="宋体" w:hAnsi="宋体" w:cs="宋体"/>
          <w:spacing w:val="3"/>
          <w:sz w:val="20"/>
          <w:szCs w:val="20"/>
        </w:rPr>
        <w:t xml:space="preserve"> </w:t>
      </w:r>
      <w:r>
        <w:rPr>
          <w:rFonts w:ascii="宋体" w:eastAsia="宋体" w:hAnsi="宋体" w:cs="宋体"/>
          <w:sz w:val="20"/>
          <w:szCs w:val="20"/>
        </w:rPr>
        <w:t>酸的食品更缓慢和有效。</w:t>
      </w:r>
    </w:p>
    <w:p w:rsidR="00EA40A3" w:rsidRDefault="00E86C16">
      <w:pPr>
        <w:spacing w:before="220" w:line="221" w:lineRule="auto"/>
        <w:ind w:left="9"/>
        <w:rPr>
          <w:rFonts w:ascii="仿宋" w:eastAsia="仿宋" w:hAnsi="仿宋" w:cs="仿宋"/>
          <w:sz w:val="24"/>
          <w:szCs w:val="24"/>
        </w:rPr>
      </w:pPr>
      <w:r>
        <w:rPr>
          <w:rFonts w:ascii="仿宋" w:eastAsia="仿宋" w:hAnsi="仿宋" w:cs="仿宋"/>
          <w:spacing w:val="-4"/>
          <w:sz w:val="24"/>
          <w:szCs w:val="24"/>
        </w:rPr>
        <w:t>3.</w:t>
      </w:r>
      <w:r>
        <w:rPr>
          <w:rFonts w:ascii="仿宋" w:eastAsia="仿宋" w:hAnsi="仿宋" w:cs="仿宋"/>
          <w:spacing w:val="-56"/>
          <w:sz w:val="24"/>
          <w:szCs w:val="24"/>
        </w:rPr>
        <w:t xml:space="preserve"> </w:t>
      </w:r>
      <w:r>
        <w:rPr>
          <w:rFonts w:ascii="仿宋" w:eastAsia="仿宋" w:hAnsi="仿宋" w:cs="仿宋"/>
          <w:spacing w:val="-4"/>
          <w:sz w:val="24"/>
          <w:szCs w:val="24"/>
        </w:rPr>
        <w:t>碳水化合物</w:t>
      </w:r>
    </w:p>
    <w:p w:rsidR="00EA40A3" w:rsidRDefault="00E86C16">
      <w:pPr>
        <w:spacing w:before="206" w:line="270" w:lineRule="auto"/>
        <w:ind w:left="9" w:right="88" w:firstLine="430"/>
        <w:jc w:val="both"/>
        <w:rPr>
          <w:rFonts w:ascii="宋体" w:eastAsia="宋体" w:hAnsi="宋体" w:cs="宋体"/>
          <w:sz w:val="20"/>
          <w:szCs w:val="20"/>
        </w:rPr>
      </w:pPr>
      <w:r>
        <w:rPr>
          <w:rFonts w:ascii="宋体" w:eastAsia="宋体" w:hAnsi="宋体" w:cs="宋体"/>
          <w:spacing w:val="16"/>
          <w:sz w:val="20"/>
          <w:szCs w:val="20"/>
        </w:rPr>
        <w:t>富含油脂的坚果中可消化碳水化合物含量较少，多在15</w:t>
      </w:r>
      <w:r>
        <w:rPr>
          <w:rFonts w:ascii="宋体" w:eastAsia="宋体" w:hAnsi="宋体" w:cs="宋体"/>
          <w:spacing w:val="15"/>
          <w:sz w:val="20"/>
          <w:szCs w:val="20"/>
        </w:rPr>
        <w:t>%以下，如花生为</w:t>
      </w:r>
      <w:r>
        <w:rPr>
          <w:rFonts w:ascii="宋体" w:eastAsia="宋体" w:hAnsi="宋体" w:cs="宋体"/>
          <w:sz w:val="20"/>
          <w:szCs w:val="20"/>
        </w:rPr>
        <w:t xml:space="preserve"> </w:t>
      </w:r>
      <w:r>
        <w:rPr>
          <w:rFonts w:ascii="宋体" w:eastAsia="宋体" w:hAnsi="宋体" w:cs="宋体"/>
          <w:spacing w:val="20"/>
          <w:sz w:val="20"/>
          <w:szCs w:val="20"/>
        </w:rPr>
        <w:t>5.2%,榛子为4.9%。富含淀粉的坚果则是碳水化合物的良好来源，如银杏含</w:t>
      </w:r>
      <w:r>
        <w:rPr>
          <w:rFonts w:ascii="宋体" w:eastAsia="宋体" w:hAnsi="宋体" w:cs="宋体"/>
          <w:spacing w:val="8"/>
          <w:sz w:val="20"/>
          <w:szCs w:val="20"/>
        </w:rPr>
        <w:t xml:space="preserve"> </w:t>
      </w:r>
      <w:r>
        <w:rPr>
          <w:rFonts w:ascii="宋体" w:eastAsia="宋体" w:hAnsi="宋体" w:cs="宋体"/>
          <w:spacing w:val="23"/>
          <w:sz w:val="20"/>
          <w:szCs w:val="20"/>
        </w:rPr>
        <w:t>淀粉为72</w:t>
      </w:r>
      <w:r>
        <w:rPr>
          <w:rFonts w:ascii="宋体" w:eastAsia="宋体" w:hAnsi="宋体" w:cs="宋体"/>
          <w:spacing w:val="-51"/>
          <w:sz w:val="20"/>
          <w:szCs w:val="20"/>
        </w:rPr>
        <w:t xml:space="preserve"> </w:t>
      </w:r>
      <w:r>
        <w:rPr>
          <w:rFonts w:ascii="宋体" w:eastAsia="宋体" w:hAnsi="宋体" w:cs="宋体"/>
          <w:spacing w:val="23"/>
          <w:sz w:val="20"/>
          <w:szCs w:val="20"/>
        </w:rPr>
        <w:t>.6%,干栗子为77</w:t>
      </w:r>
      <w:r>
        <w:rPr>
          <w:rFonts w:ascii="宋体" w:eastAsia="宋体" w:hAnsi="宋体" w:cs="宋体"/>
          <w:spacing w:val="-60"/>
          <w:sz w:val="20"/>
          <w:szCs w:val="20"/>
        </w:rPr>
        <w:t xml:space="preserve"> </w:t>
      </w:r>
      <w:r>
        <w:rPr>
          <w:rFonts w:ascii="宋体" w:eastAsia="宋体" w:hAnsi="宋体" w:cs="宋体"/>
          <w:spacing w:val="23"/>
          <w:sz w:val="20"/>
          <w:szCs w:val="20"/>
        </w:rPr>
        <w:t>.2%,莲子为64</w:t>
      </w:r>
      <w:r>
        <w:rPr>
          <w:rFonts w:ascii="宋体" w:eastAsia="宋体" w:hAnsi="宋体" w:cs="宋体"/>
          <w:spacing w:val="-59"/>
          <w:sz w:val="20"/>
          <w:szCs w:val="20"/>
        </w:rPr>
        <w:t xml:space="preserve"> </w:t>
      </w:r>
      <w:r>
        <w:rPr>
          <w:rFonts w:ascii="宋体" w:eastAsia="宋体" w:hAnsi="宋体" w:cs="宋体"/>
          <w:spacing w:val="23"/>
          <w:sz w:val="20"/>
          <w:szCs w:val="20"/>
        </w:rPr>
        <w:t>.2%,常在膳食中与粮食类主食一</w:t>
      </w:r>
      <w:r>
        <w:rPr>
          <w:rFonts w:ascii="宋体" w:eastAsia="宋体" w:hAnsi="宋体" w:cs="宋体"/>
          <w:sz w:val="20"/>
          <w:szCs w:val="20"/>
        </w:rPr>
        <w:t xml:space="preserve"> </w:t>
      </w:r>
      <w:r>
        <w:rPr>
          <w:rFonts w:ascii="宋体" w:eastAsia="宋体" w:hAnsi="宋体" w:cs="宋体"/>
          <w:spacing w:val="-11"/>
          <w:sz w:val="20"/>
          <w:szCs w:val="20"/>
        </w:rPr>
        <w:t>同烹调。</w:t>
      </w:r>
    </w:p>
    <w:p w:rsidR="00EA40A3" w:rsidRDefault="00E86C16">
      <w:pPr>
        <w:spacing w:before="87" w:line="263" w:lineRule="auto"/>
        <w:ind w:right="62" w:firstLine="439"/>
        <w:jc w:val="both"/>
        <w:rPr>
          <w:rFonts w:ascii="宋体" w:eastAsia="宋体" w:hAnsi="宋体" w:cs="宋体"/>
          <w:sz w:val="20"/>
          <w:szCs w:val="20"/>
        </w:rPr>
      </w:pPr>
      <w:r>
        <w:rPr>
          <w:rFonts w:ascii="宋体" w:eastAsia="宋体" w:hAnsi="宋体" w:cs="宋体"/>
          <w:spacing w:val="26"/>
          <w:sz w:val="20"/>
          <w:szCs w:val="20"/>
        </w:rPr>
        <w:t>坚果类的膳食纤维含量较高，例如花生膳食纤维含量达6</w:t>
      </w:r>
      <w:r>
        <w:rPr>
          <w:rFonts w:ascii="宋体" w:eastAsia="宋体" w:hAnsi="宋体" w:cs="宋体"/>
          <w:spacing w:val="-55"/>
          <w:sz w:val="20"/>
          <w:szCs w:val="20"/>
        </w:rPr>
        <w:t xml:space="preserve"> </w:t>
      </w:r>
      <w:r>
        <w:rPr>
          <w:rFonts w:ascii="宋体" w:eastAsia="宋体" w:hAnsi="宋体" w:cs="宋体"/>
          <w:spacing w:val="26"/>
          <w:sz w:val="20"/>
          <w:szCs w:val="20"/>
        </w:rPr>
        <w:t>.</w:t>
      </w:r>
      <w:r>
        <w:rPr>
          <w:rFonts w:ascii="宋体" w:eastAsia="宋体" w:hAnsi="宋体" w:cs="宋体"/>
          <w:spacing w:val="-58"/>
          <w:sz w:val="20"/>
          <w:szCs w:val="20"/>
        </w:rPr>
        <w:t xml:space="preserve"> </w:t>
      </w:r>
      <w:r>
        <w:rPr>
          <w:rFonts w:ascii="宋体" w:eastAsia="宋体" w:hAnsi="宋体" w:cs="宋体"/>
          <w:spacing w:val="26"/>
          <w:sz w:val="20"/>
          <w:szCs w:val="20"/>
        </w:rPr>
        <w:t>3%,榛子为</w:t>
      </w:r>
      <w:r>
        <w:rPr>
          <w:rFonts w:ascii="宋体" w:eastAsia="宋体" w:hAnsi="宋体" w:cs="宋体"/>
          <w:sz w:val="20"/>
          <w:szCs w:val="20"/>
        </w:rPr>
        <w:t xml:space="preserve"> </w:t>
      </w:r>
      <w:r>
        <w:rPr>
          <w:rFonts w:ascii="宋体" w:eastAsia="宋体" w:hAnsi="宋体" w:cs="宋体"/>
          <w:spacing w:val="18"/>
          <w:sz w:val="20"/>
          <w:szCs w:val="20"/>
        </w:rPr>
        <w:t>9.6%,中国杏仁更高达19.2%。其中除去纤维素、半纤维素等成分，还包括少</w:t>
      </w:r>
      <w:r>
        <w:rPr>
          <w:rFonts w:ascii="宋体" w:eastAsia="宋体" w:hAnsi="宋体" w:cs="宋体"/>
          <w:spacing w:val="2"/>
          <w:sz w:val="20"/>
          <w:szCs w:val="20"/>
        </w:rPr>
        <w:t xml:space="preserve"> </w:t>
      </w:r>
      <w:r>
        <w:rPr>
          <w:rFonts w:ascii="宋体" w:eastAsia="宋体" w:hAnsi="宋体" w:cs="宋体"/>
          <w:spacing w:val="13"/>
          <w:sz w:val="20"/>
          <w:szCs w:val="20"/>
        </w:rPr>
        <w:t>量不能为人体吸收的低聚糖和多碳水化合物物质。栗子、莲子、芡实等富含淀</w:t>
      </w:r>
      <w:r>
        <w:rPr>
          <w:rFonts w:ascii="宋体" w:eastAsia="宋体" w:hAnsi="宋体" w:cs="宋体"/>
          <w:spacing w:val="17"/>
          <w:sz w:val="20"/>
          <w:szCs w:val="20"/>
        </w:rPr>
        <w:t xml:space="preserve"> </w:t>
      </w:r>
      <w:r>
        <w:rPr>
          <w:rFonts w:ascii="宋体" w:eastAsia="宋体" w:hAnsi="宋体" w:cs="宋体"/>
          <w:spacing w:val="16"/>
          <w:sz w:val="20"/>
          <w:szCs w:val="20"/>
        </w:rPr>
        <w:t>粉，膳食纤维含量为1.2%～3.0%。</w:t>
      </w:r>
    </w:p>
    <w:p w:rsidR="00EA40A3" w:rsidRDefault="00E86C16">
      <w:pPr>
        <w:spacing w:before="82"/>
        <w:ind w:left="159"/>
        <w:rPr>
          <w:rFonts w:ascii="宋体" w:eastAsia="宋体" w:hAnsi="宋体" w:cs="宋体"/>
          <w:sz w:val="20"/>
          <w:szCs w:val="20"/>
        </w:rPr>
      </w:pPr>
      <w:r>
        <w:rPr>
          <w:rFonts w:ascii="宋体" w:eastAsia="宋体" w:hAnsi="宋体" w:cs="宋体"/>
          <w:spacing w:val="-37"/>
          <w:sz w:val="20"/>
          <w:szCs w:val="20"/>
        </w:rPr>
        <w:t>·</w:t>
      </w:r>
      <w:r>
        <w:rPr>
          <w:rFonts w:ascii="宋体" w:eastAsia="宋体" w:hAnsi="宋体" w:cs="宋体"/>
          <w:spacing w:val="-3"/>
          <w:sz w:val="20"/>
          <w:szCs w:val="20"/>
        </w:rPr>
        <w:t xml:space="preserve"> </w:t>
      </w:r>
      <w:r>
        <w:rPr>
          <w:rFonts w:ascii="宋体" w:eastAsia="宋体" w:hAnsi="宋体" w:cs="宋体"/>
          <w:spacing w:val="-37"/>
          <w:sz w:val="20"/>
          <w:szCs w:val="20"/>
        </w:rPr>
        <w:t>196</w:t>
      </w:r>
      <w:r>
        <w:rPr>
          <w:rFonts w:ascii="宋体" w:eastAsia="宋体" w:hAnsi="宋体" w:cs="宋体"/>
          <w:spacing w:val="40"/>
          <w:sz w:val="20"/>
          <w:szCs w:val="20"/>
        </w:rPr>
        <w:t xml:space="preserve"> </w:t>
      </w:r>
      <w:r>
        <w:rPr>
          <w:rFonts w:ascii="宋体" w:eastAsia="宋体" w:hAnsi="宋体" w:cs="宋体"/>
          <w:spacing w:val="-37"/>
          <w:sz w:val="20"/>
          <w:szCs w:val="20"/>
        </w:rPr>
        <w:t>·</w:t>
      </w:r>
    </w:p>
    <w:p w:rsidR="00EA40A3" w:rsidRDefault="00EA40A3">
      <w:pPr>
        <w:sectPr w:rsidR="00EA40A3">
          <w:headerReference w:type="default" r:id="rId168"/>
          <w:footerReference w:type="default" r:id="rId169"/>
          <w:pgSz w:w="9220" w:h="13360"/>
          <w:pgMar w:top="400" w:right="979" w:bottom="400" w:left="890" w:header="0" w:footer="0" w:gutter="0"/>
          <w:cols w:space="720"/>
        </w:sectPr>
      </w:pPr>
    </w:p>
    <w:p w:rsidR="00EA40A3" w:rsidRDefault="00EA40A3">
      <w:pPr>
        <w:spacing w:line="247" w:lineRule="auto"/>
      </w:pPr>
    </w:p>
    <w:p w:rsidR="00EA40A3" w:rsidRDefault="00EA40A3">
      <w:pPr>
        <w:spacing w:line="247" w:lineRule="auto"/>
      </w:pPr>
    </w:p>
    <w:p w:rsidR="00EA40A3" w:rsidRDefault="00EA40A3">
      <w:pPr>
        <w:spacing w:line="248" w:lineRule="auto"/>
      </w:pPr>
    </w:p>
    <w:p w:rsidR="00EA40A3" w:rsidRDefault="00E86C16">
      <w:pPr>
        <w:spacing w:before="69" w:line="222" w:lineRule="auto"/>
        <w:rPr>
          <w:rFonts w:ascii="仿宋" w:eastAsia="仿宋" w:hAnsi="仿宋" w:cs="仿宋"/>
        </w:rPr>
      </w:pPr>
      <w:r>
        <w:rPr>
          <w:rFonts w:ascii="仿宋" w:eastAsia="仿宋" w:hAnsi="仿宋" w:cs="仿宋"/>
          <w:spacing w:val="-11"/>
        </w:rPr>
        <w:t>4.</w:t>
      </w:r>
      <w:r>
        <w:rPr>
          <w:rFonts w:ascii="仿宋" w:eastAsia="仿宋" w:hAnsi="仿宋" w:cs="仿宋"/>
          <w:spacing w:val="4"/>
        </w:rPr>
        <w:t xml:space="preserve"> </w:t>
      </w:r>
      <w:r>
        <w:rPr>
          <w:rFonts w:ascii="仿宋" w:eastAsia="仿宋" w:hAnsi="仿宋" w:cs="仿宋"/>
          <w:spacing w:val="-11"/>
        </w:rPr>
        <w:t>维</w:t>
      </w:r>
      <w:r>
        <w:rPr>
          <w:rFonts w:ascii="仿宋" w:eastAsia="仿宋" w:hAnsi="仿宋" w:cs="仿宋"/>
          <w:spacing w:val="-24"/>
        </w:rPr>
        <w:t xml:space="preserve"> </w:t>
      </w:r>
      <w:r>
        <w:rPr>
          <w:rFonts w:ascii="仿宋" w:eastAsia="仿宋" w:hAnsi="仿宋" w:cs="仿宋"/>
          <w:spacing w:val="-11"/>
        </w:rPr>
        <w:t>生</w:t>
      </w:r>
      <w:r>
        <w:rPr>
          <w:rFonts w:ascii="仿宋" w:eastAsia="仿宋" w:hAnsi="仿宋" w:cs="仿宋"/>
          <w:spacing w:val="-24"/>
        </w:rPr>
        <w:t xml:space="preserve"> </w:t>
      </w:r>
      <w:r>
        <w:rPr>
          <w:rFonts w:ascii="仿宋" w:eastAsia="仿宋" w:hAnsi="仿宋" w:cs="仿宋"/>
          <w:spacing w:val="-11"/>
        </w:rPr>
        <w:t>素</w:t>
      </w:r>
    </w:p>
    <w:p w:rsidR="00EA40A3" w:rsidRDefault="00E86C16">
      <w:pPr>
        <w:spacing w:before="189" w:line="249" w:lineRule="auto"/>
        <w:ind w:right="44" w:firstLine="360"/>
        <w:jc w:val="both"/>
        <w:rPr>
          <w:rFonts w:ascii="宋体" w:eastAsia="宋体" w:hAnsi="宋体" w:cs="宋体"/>
        </w:rPr>
      </w:pPr>
      <w:r>
        <w:rPr>
          <w:rFonts w:ascii="宋体" w:eastAsia="宋体" w:hAnsi="宋体" w:cs="宋体"/>
          <w:spacing w:val="6"/>
        </w:rPr>
        <w:t>坚果类中的维生素以维生素E</w:t>
      </w:r>
      <w:r>
        <w:rPr>
          <w:rFonts w:ascii="宋体" w:eastAsia="宋体" w:hAnsi="宋体" w:cs="宋体"/>
          <w:spacing w:val="-1"/>
        </w:rPr>
        <w:t xml:space="preserve"> </w:t>
      </w:r>
      <w:r>
        <w:rPr>
          <w:rFonts w:ascii="宋体" w:eastAsia="宋体" w:hAnsi="宋体" w:cs="宋体"/>
          <w:spacing w:val="6"/>
        </w:rPr>
        <w:t>和</w:t>
      </w:r>
      <w:r>
        <w:rPr>
          <w:rFonts w:ascii="宋体" w:eastAsia="宋体" w:hAnsi="宋体" w:cs="宋体"/>
          <w:spacing w:val="-46"/>
        </w:rPr>
        <w:t xml:space="preserve"> </w:t>
      </w:r>
      <w:r>
        <w:rPr>
          <w:rFonts w:ascii="宋体" w:eastAsia="宋体" w:hAnsi="宋体" w:cs="宋体"/>
          <w:spacing w:val="6"/>
        </w:rPr>
        <w:t>B</w:t>
      </w:r>
      <w:r>
        <w:rPr>
          <w:rFonts w:ascii="宋体" w:eastAsia="宋体" w:hAnsi="宋体" w:cs="宋体"/>
          <w:spacing w:val="-16"/>
        </w:rPr>
        <w:t xml:space="preserve"> </w:t>
      </w:r>
      <w:r>
        <w:rPr>
          <w:rFonts w:ascii="宋体" w:eastAsia="宋体" w:hAnsi="宋体" w:cs="宋体"/>
          <w:spacing w:val="6"/>
        </w:rPr>
        <w:t>族维生素最为突出(见表6-8)。与高油</w:t>
      </w:r>
      <w:r>
        <w:rPr>
          <w:rFonts w:ascii="宋体" w:eastAsia="宋体" w:hAnsi="宋体" w:cs="宋体"/>
        </w:rPr>
        <w:t xml:space="preserve">  </w:t>
      </w:r>
      <w:r>
        <w:rPr>
          <w:rFonts w:ascii="宋体" w:eastAsia="宋体" w:hAnsi="宋体" w:cs="宋体"/>
          <w:spacing w:val="1"/>
        </w:rPr>
        <w:t>脂含量相伴，富含油脂的坚果含有大量的维生素E,</w:t>
      </w:r>
      <w:r>
        <w:rPr>
          <w:rFonts w:ascii="宋体" w:eastAsia="宋体" w:hAnsi="宋体" w:cs="宋体"/>
          <w:spacing w:val="54"/>
        </w:rPr>
        <w:t xml:space="preserve"> </w:t>
      </w:r>
      <w:r>
        <w:rPr>
          <w:rFonts w:ascii="宋体" w:eastAsia="宋体" w:hAnsi="宋体" w:cs="宋体"/>
          <w:spacing w:val="1"/>
        </w:rPr>
        <w:t>淀粉坚果中含量略低一些。</w:t>
      </w:r>
      <w:r>
        <w:rPr>
          <w:rFonts w:ascii="宋体" w:eastAsia="宋体" w:hAnsi="宋体" w:cs="宋体"/>
        </w:rPr>
        <w:t xml:space="preserve"> </w:t>
      </w:r>
      <w:r>
        <w:rPr>
          <w:rFonts w:ascii="宋体" w:eastAsia="宋体" w:hAnsi="宋体" w:cs="宋体"/>
          <w:spacing w:val="-2"/>
        </w:rPr>
        <w:t>各种坚果中B</w:t>
      </w:r>
      <w:r>
        <w:rPr>
          <w:rFonts w:ascii="宋体" w:eastAsia="宋体" w:hAnsi="宋体" w:cs="宋体"/>
          <w:spacing w:val="-21"/>
        </w:rPr>
        <w:t xml:space="preserve"> </w:t>
      </w:r>
      <w:r>
        <w:rPr>
          <w:rFonts w:ascii="宋体" w:eastAsia="宋体" w:hAnsi="宋体" w:cs="宋体"/>
          <w:spacing w:val="-2"/>
        </w:rPr>
        <w:t>族维生素的含量均属植物性食品中的佼佼者。</w:t>
      </w:r>
    </w:p>
    <w:p w:rsidR="00EA40A3" w:rsidRDefault="00E86C16">
      <w:pPr>
        <w:spacing w:before="60" w:line="249" w:lineRule="auto"/>
        <w:ind w:right="140" w:firstLine="360"/>
        <w:jc w:val="both"/>
        <w:rPr>
          <w:rFonts w:ascii="宋体" w:eastAsia="宋体" w:hAnsi="宋体" w:cs="宋体"/>
        </w:rPr>
      </w:pPr>
      <w:r>
        <w:rPr>
          <w:rFonts w:ascii="宋体" w:eastAsia="宋体" w:hAnsi="宋体" w:cs="宋体"/>
          <w:spacing w:val="1"/>
        </w:rPr>
        <w:t>坚果类中的B</w:t>
      </w:r>
      <w:r>
        <w:rPr>
          <w:rFonts w:ascii="宋体" w:eastAsia="宋体" w:hAnsi="宋体" w:cs="宋体"/>
          <w:spacing w:val="-27"/>
        </w:rPr>
        <w:t xml:space="preserve"> </w:t>
      </w:r>
      <w:r>
        <w:rPr>
          <w:rFonts w:ascii="宋体" w:eastAsia="宋体" w:hAnsi="宋体" w:cs="宋体"/>
          <w:spacing w:val="1"/>
        </w:rPr>
        <w:t>族维生素包括维生素</w:t>
      </w:r>
      <w:r>
        <w:rPr>
          <w:rFonts w:ascii="宋体" w:eastAsia="宋体" w:hAnsi="宋体" w:cs="宋体"/>
          <w:spacing w:val="-47"/>
        </w:rPr>
        <w:t xml:space="preserve"> </w:t>
      </w:r>
      <w:r>
        <w:rPr>
          <w:rFonts w:ascii="宋体" w:eastAsia="宋体" w:hAnsi="宋体" w:cs="宋体"/>
          <w:spacing w:val="1"/>
        </w:rPr>
        <w:t>B</w:t>
      </w:r>
      <w:r>
        <w:rPr>
          <w:rFonts w:ascii="Calibri" w:eastAsia="Calibri" w:hAnsi="Calibri" w:cs="Calibri"/>
          <w:spacing w:val="1"/>
        </w:rPr>
        <w:t>₁</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48"/>
        </w:rPr>
        <w:t xml:space="preserve"> </w:t>
      </w:r>
      <w:r>
        <w:rPr>
          <w:rFonts w:ascii="宋体" w:eastAsia="宋体" w:hAnsi="宋体" w:cs="宋体"/>
          <w:spacing w:val="1"/>
        </w:rPr>
        <w:t>维生素B</w:t>
      </w:r>
      <w:r>
        <w:rPr>
          <w:rFonts w:ascii="Calibri" w:eastAsia="Calibri" w:hAnsi="Calibri" w:cs="Calibri"/>
          <w:spacing w:val="1"/>
        </w:rPr>
        <w:t>₂</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57"/>
        </w:rPr>
        <w:t xml:space="preserve"> </w:t>
      </w:r>
      <w:r>
        <w:rPr>
          <w:rFonts w:ascii="宋体" w:eastAsia="宋体" w:hAnsi="宋体" w:cs="宋体"/>
          <w:spacing w:val="1"/>
        </w:rPr>
        <w:t>烟酸和叶酸。其中杏仁</w:t>
      </w:r>
      <w:r>
        <w:rPr>
          <w:rFonts w:ascii="宋体" w:eastAsia="宋体" w:hAnsi="宋体" w:cs="宋体"/>
        </w:rPr>
        <w:t xml:space="preserve"> </w:t>
      </w:r>
      <w:r>
        <w:rPr>
          <w:rFonts w:ascii="宋体" w:eastAsia="宋体" w:hAnsi="宋体" w:cs="宋体"/>
          <w:spacing w:val="1"/>
        </w:rPr>
        <w:t>中的维生素B</w:t>
      </w:r>
      <w:r>
        <w:rPr>
          <w:rFonts w:ascii="Calibri" w:eastAsia="Calibri" w:hAnsi="Calibri" w:cs="Calibri"/>
          <w:spacing w:val="1"/>
        </w:rPr>
        <w:t>₂</w:t>
      </w:r>
      <w:r>
        <w:rPr>
          <w:rFonts w:ascii="Calibri" w:eastAsia="Calibri" w:hAnsi="Calibri" w:cs="Calibri"/>
          <w:spacing w:val="50"/>
          <w:w w:val="101"/>
        </w:rPr>
        <w:t xml:space="preserve"> </w:t>
      </w:r>
      <w:r>
        <w:rPr>
          <w:rFonts w:ascii="宋体" w:eastAsia="宋体" w:hAnsi="宋体" w:cs="宋体"/>
          <w:spacing w:val="1"/>
        </w:rPr>
        <w:t>含量特别突出，无论是美国大杏仁还是中国小杏仁，均是核黄素</w:t>
      </w:r>
      <w:r>
        <w:rPr>
          <w:rFonts w:ascii="宋体" w:eastAsia="宋体" w:hAnsi="宋体" w:cs="宋体"/>
        </w:rPr>
        <w:t xml:space="preserve"> </w:t>
      </w:r>
      <w:r>
        <w:rPr>
          <w:rFonts w:ascii="宋体" w:eastAsia="宋体" w:hAnsi="宋体" w:cs="宋体"/>
          <w:spacing w:val="-8"/>
        </w:rPr>
        <w:t>的极好来源。</w:t>
      </w:r>
    </w:p>
    <w:p w:rsidR="00EA40A3" w:rsidRDefault="00EA40A3">
      <w:pPr>
        <w:spacing w:line="312" w:lineRule="auto"/>
      </w:pPr>
    </w:p>
    <w:p w:rsidR="00EA40A3" w:rsidRDefault="00E86C16">
      <w:pPr>
        <w:spacing w:before="55" w:line="212" w:lineRule="auto"/>
        <w:ind w:left="1902"/>
        <w:rPr>
          <w:rFonts w:ascii="黑体" w:eastAsia="黑体" w:hAnsi="黑体" w:cs="黑体"/>
          <w:sz w:val="17"/>
          <w:szCs w:val="17"/>
        </w:rPr>
      </w:pPr>
      <w:r>
        <w:rPr>
          <w:rFonts w:ascii="黑体" w:eastAsia="黑体" w:hAnsi="黑体" w:cs="黑体"/>
          <w:b/>
          <w:bCs/>
          <w:spacing w:val="7"/>
          <w:sz w:val="17"/>
          <w:szCs w:val="17"/>
        </w:rPr>
        <w:t>表6-8</w:t>
      </w:r>
      <w:r>
        <w:rPr>
          <w:rFonts w:ascii="黑体" w:eastAsia="黑体" w:hAnsi="黑体" w:cs="黑体"/>
          <w:spacing w:val="92"/>
          <w:sz w:val="17"/>
          <w:szCs w:val="17"/>
        </w:rPr>
        <w:t xml:space="preserve"> </w:t>
      </w:r>
      <w:r>
        <w:rPr>
          <w:rFonts w:ascii="黑体" w:eastAsia="黑体" w:hAnsi="黑体" w:cs="黑体"/>
          <w:b/>
          <w:bCs/>
          <w:spacing w:val="7"/>
          <w:sz w:val="17"/>
          <w:szCs w:val="17"/>
        </w:rPr>
        <w:t>几种坚果的维生素含量</w:t>
      </w:r>
      <w:r>
        <w:rPr>
          <w:rFonts w:ascii="黑体" w:eastAsia="黑体" w:hAnsi="黑体" w:cs="黑体"/>
          <w:spacing w:val="-14"/>
          <w:sz w:val="17"/>
          <w:szCs w:val="17"/>
        </w:rPr>
        <w:t xml:space="preserve"> </w:t>
      </w:r>
      <w:r>
        <w:rPr>
          <w:rFonts w:ascii="Times New Roman" w:eastAsia="Times New Roman" w:hAnsi="Times New Roman" w:cs="Times New Roman"/>
          <w:spacing w:val="7"/>
          <w:sz w:val="17"/>
          <w:szCs w:val="17"/>
        </w:rPr>
        <w:t>(100</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7"/>
          <w:sz w:val="17"/>
          <w:szCs w:val="17"/>
        </w:rPr>
        <w:t>g</w:t>
      </w:r>
      <w:r>
        <w:rPr>
          <w:rFonts w:ascii="Times New Roman" w:eastAsia="Times New Roman" w:hAnsi="Times New Roman" w:cs="Times New Roman"/>
          <w:spacing w:val="18"/>
          <w:w w:val="101"/>
          <w:sz w:val="17"/>
          <w:szCs w:val="17"/>
        </w:rPr>
        <w:t xml:space="preserve"> </w:t>
      </w:r>
      <w:r>
        <w:rPr>
          <w:rFonts w:ascii="黑体" w:eastAsia="黑体" w:hAnsi="黑体" w:cs="黑体"/>
          <w:spacing w:val="7"/>
          <w:sz w:val="17"/>
          <w:szCs w:val="17"/>
        </w:rPr>
        <w:t>中含量)</w:t>
      </w:r>
    </w:p>
    <w:p w:rsidR="00EA40A3" w:rsidRDefault="00EA40A3">
      <w:pPr>
        <w:spacing w:line="42" w:lineRule="exact"/>
      </w:pPr>
    </w:p>
    <w:tbl>
      <w:tblPr>
        <w:tblStyle w:val="TableNormal"/>
        <w:tblW w:w="733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31"/>
        <w:gridCol w:w="1002"/>
        <w:gridCol w:w="1000"/>
        <w:gridCol w:w="1064"/>
        <w:gridCol w:w="897"/>
        <w:gridCol w:w="1184"/>
        <w:gridCol w:w="1061"/>
      </w:tblGrid>
      <w:tr w:rsidR="00EA40A3">
        <w:trPr>
          <w:trHeight w:val="608"/>
        </w:trPr>
        <w:tc>
          <w:tcPr>
            <w:tcW w:w="1131" w:type="dxa"/>
            <w:tcBorders>
              <w:top w:val="single" w:sz="4" w:space="0" w:color="000000"/>
            </w:tcBorders>
          </w:tcPr>
          <w:p w:rsidR="00EA40A3" w:rsidRDefault="00E86C16">
            <w:pPr>
              <w:spacing w:before="252" w:line="220" w:lineRule="auto"/>
              <w:ind w:left="229"/>
              <w:rPr>
                <w:rFonts w:ascii="宋体" w:eastAsia="宋体" w:hAnsi="宋体" w:cs="宋体"/>
                <w:sz w:val="16"/>
                <w:szCs w:val="16"/>
              </w:rPr>
            </w:pPr>
            <w:r>
              <w:rPr>
                <w:rFonts w:ascii="宋体" w:eastAsia="宋体" w:hAnsi="宋体" w:cs="宋体"/>
                <w:spacing w:val="-2"/>
                <w:sz w:val="16"/>
                <w:szCs w:val="16"/>
              </w:rPr>
              <w:t>坚果名称</w:t>
            </w:r>
          </w:p>
        </w:tc>
        <w:tc>
          <w:tcPr>
            <w:tcW w:w="1002" w:type="dxa"/>
            <w:tcBorders>
              <w:top w:val="single" w:sz="4" w:space="0" w:color="000000"/>
            </w:tcBorders>
          </w:tcPr>
          <w:p w:rsidR="00EA40A3" w:rsidRDefault="00E86C16">
            <w:pPr>
              <w:spacing w:before="101" w:line="265" w:lineRule="exact"/>
              <w:ind w:left="198"/>
              <w:rPr>
                <w:rFonts w:ascii="宋体" w:eastAsia="宋体" w:hAnsi="宋体" w:cs="宋体"/>
                <w:sz w:val="16"/>
                <w:szCs w:val="16"/>
              </w:rPr>
            </w:pPr>
            <w:r>
              <w:rPr>
                <w:rFonts w:ascii="宋体" w:eastAsia="宋体" w:hAnsi="宋体" w:cs="宋体"/>
                <w:spacing w:val="-2"/>
                <w:position w:val="7"/>
                <w:sz w:val="16"/>
                <w:szCs w:val="16"/>
              </w:rPr>
              <w:t>维生素E</w:t>
            </w:r>
          </w:p>
          <w:p w:rsidR="00EA40A3" w:rsidRDefault="00E86C16">
            <w:pPr>
              <w:spacing w:line="213" w:lineRule="auto"/>
              <w:ind w:left="358"/>
              <w:rPr>
                <w:rFonts w:ascii="宋体" w:eastAsia="宋体" w:hAnsi="宋体" w:cs="宋体"/>
                <w:sz w:val="16"/>
                <w:szCs w:val="16"/>
              </w:rPr>
            </w:pPr>
            <w:r>
              <w:rPr>
                <w:rFonts w:ascii="宋体" w:eastAsia="宋体" w:hAnsi="宋体" w:cs="宋体"/>
                <w:spacing w:val="-2"/>
                <w:sz w:val="16"/>
                <w:szCs w:val="16"/>
              </w:rPr>
              <w:t>/mg</w:t>
            </w:r>
          </w:p>
        </w:tc>
        <w:tc>
          <w:tcPr>
            <w:tcW w:w="1000" w:type="dxa"/>
            <w:tcBorders>
              <w:top w:val="single" w:sz="4" w:space="0" w:color="000000"/>
            </w:tcBorders>
          </w:tcPr>
          <w:p w:rsidR="00EA40A3" w:rsidRDefault="00E86C16">
            <w:pPr>
              <w:spacing w:before="91" w:line="255" w:lineRule="exact"/>
              <w:ind w:left="257"/>
              <w:rPr>
                <w:rFonts w:ascii="宋体" w:eastAsia="宋体" w:hAnsi="宋体" w:cs="宋体"/>
                <w:sz w:val="16"/>
                <w:szCs w:val="16"/>
              </w:rPr>
            </w:pPr>
            <w:r>
              <w:rPr>
                <w:rFonts w:ascii="宋体" w:eastAsia="宋体" w:hAnsi="宋体" w:cs="宋体"/>
                <w:spacing w:val="-2"/>
                <w:position w:val="7"/>
                <w:sz w:val="16"/>
                <w:szCs w:val="16"/>
              </w:rPr>
              <w:t>硫胺素</w:t>
            </w:r>
          </w:p>
          <w:p w:rsidR="00EA40A3" w:rsidRDefault="00E86C16">
            <w:pPr>
              <w:spacing w:line="213" w:lineRule="auto"/>
              <w:ind w:left="336"/>
              <w:rPr>
                <w:rFonts w:ascii="宋体" w:eastAsia="宋体" w:hAnsi="宋体" w:cs="宋体"/>
              </w:rPr>
            </w:pPr>
            <w:r>
              <w:rPr>
                <w:rFonts w:ascii="宋体" w:eastAsia="宋体" w:hAnsi="宋体" w:cs="宋体"/>
                <w:spacing w:val="-2"/>
              </w:rPr>
              <w:t>/mg</w:t>
            </w:r>
          </w:p>
        </w:tc>
        <w:tc>
          <w:tcPr>
            <w:tcW w:w="1064" w:type="dxa"/>
            <w:tcBorders>
              <w:top w:val="single" w:sz="4" w:space="0" w:color="000000"/>
            </w:tcBorders>
          </w:tcPr>
          <w:p w:rsidR="00EA40A3" w:rsidRDefault="00E86C16">
            <w:pPr>
              <w:spacing w:before="91" w:line="219" w:lineRule="auto"/>
              <w:ind w:left="277"/>
              <w:rPr>
                <w:rFonts w:ascii="宋体" w:eastAsia="宋体" w:hAnsi="宋体" w:cs="宋体"/>
                <w:sz w:val="16"/>
                <w:szCs w:val="16"/>
              </w:rPr>
            </w:pPr>
            <w:r>
              <w:rPr>
                <w:rFonts w:ascii="宋体" w:eastAsia="宋体" w:hAnsi="宋体" w:cs="宋体"/>
                <w:spacing w:val="-2"/>
                <w:sz w:val="16"/>
                <w:szCs w:val="16"/>
              </w:rPr>
              <w:t>核黄素</w:t>
            </w:r>
          </w:p>
          <w:p w:rsidR="00EA40A3" w:rsidRDefault="00E86C16">
            <w:pPr>
              <w:spacing w:before="84" w:line="214" w:lineRule="auto"/>
              <w:ind w:left="367"/>
              <w:rPr>
                <w:rFonts w:ascii="宋体" w:eastAsia="宋体" w:hAnsi="宋体" w:cs="宋体"/>
                <w:sz w:val="20"/>
                <w:szCs w:val="20"/>
              </w:rPr>
            </w:pPr>
            <w:r>
              <w:rPr>
                <w:rFonts w:ascii="宋体" w:eastAsia="宋体" w:hAnsi="宋体" w:cs="宋体"/>
                <w:spacing w:val="-2"/>
                <w:sz w:val="20"/>
                <w:szCs w:val="20"/>
              </w:rPr>
              <w:t>/mg</w:t>
            </w:r>
          </w:p>
        </w:tc>
        <w:tc>
          <w:tcPr>
            <w:tcW w:w="897" w:type="dxa"/>
            <w:tcBorders>
              <w:top w:val="single" w:sz="4" w:space="0" w:color="000000"/>
            </w:tcBorders>
          </w:tcPr>
          <w:p w:rsidR="00EA40A3" w:rsidRDefault="00E86C16">
            <w:pPr>
              <w:spacing w:before="112" w:line="244" w:lineRule="exact"/>
              <w:ind w:left="323"/>
              <w:rPr>
                <w:rFonts w:ascii="宋体" w:eastAsia="宋体" w:hAnsi="宋体" w:cs="宋体"/>
                <w:sz w:val="16"/>
                <w:szCs w:val="16"/>
              </w:rPr>
            </w:pPr>
            <w:r>
              <w:rPr>
                <w:rFonts w:ascii="宋体" w:eastAsia="宋体" w:hAnsi="宋体" w:cs="宋体"/>
                <w:spacing w:val="-2"/>
                <w:position w:val="6"/>
                <w:sz w:val="16"/>
                <w:szCs w:val="16"/>
              </w:rPr>
              <w:t>烟酸</w:t>
            </w:r>
          </w:p>
          <w:p w:rsidR="00EA40A3" w:rsidRDefault="00E86C16">
            <w:pPr>
              <w:spacing w:line="213" w:lineRule="auto"/>
              <w:ind w:left="402"/>
              <w:rPr>
                <w:rFonts w:ascii="宋体" w:eastAsia="宋体" w:hAnsi="宋体" w:cs="宋体"/>
                <w:sz w:val="16"/>
                <w:szCs w:val="16"/>
              </w:rPr>
            </w:pPr>
            <w:r>
              <w:rPr>
                <w:rFonts w:ascii="宋体" w:eastAsia="宋体" w:hAnsi="宋体" w:cs="宋体"/>
                <w:spacing w:val="-2"/>
                <w:sz w:val="16"/>
                <w:szCs w:val="16"/>
              </w:rPr>
              <w:t>/mg</w:t>
            </w:r>
          </w:p>
        </w:tc>
        <w:tc>
          <w:tcPr>
            <w:tcW w:w="1184" w:type="dxa"/>
            <w:tcBorders>
              <w:top w:val="single" w:sz="4" w:space="0" w:color="000000"/>
            </w:tcBorders>
          </w:tcPr>
          <w:p w:rsidR="00EA40A3" w:rsidRDefault="00E86C16">
            <w:pPr>
              <w:spacing w:before="86" w:line="280" w:lineRule="exact"/>
              <w:ind w:left="265"/>
              <w:rPr>
                <w:rFonts w:ascii="宋体" w:eastAsia="宋体" w:hAnsi="宋体" w:cs="宋体"/>
                <w:sz w:val="16"/>
                <w:szCs w:val="16"/>
              </w:rPr>
            </w:pPr>
            <w:r>
              <w:rPr>
                <w:rFonts w:ascii="宋体" w:eastAsia="宋体" w:hAnsi="宋体" w:cs="宋体"/>
                <w:spacing w:val="-2"/>
                <w:position w:val="9"/>
                <w:sz w:val="16"/>
                <w:szCs w:val="16"/>
              </w:rPr>
              <w:t>维生素Bg</w:t>
            </w:r>
          </w:p>
          <w:p w:rsidR="00EA40A3" w:rsidRDefault="00E86C16">
            <w:pPr>
              <w:spacing w:line="213" w:lineRule="auto"/>
              <w:ind w:left="435"/>
              <w:rPr>
                <w:rFonts w:ascii="宋体" w:eastAsia="宋体" w:hAnsi="宋体" w:cs="宋体"/>
                <w:sz w:val="20"/>
                <w:szCs w:val="20"/>
              </w:rPr>
            </w:pPr>
            <w:r>
              <w:rPr>
                <w:rFonts w:ascii="宋体" w:eastAsia="宋体" w:hAnsi="宋体" w:cs="宋体"/>
                <w:spacing w:val="-2"/>
                <w:sz w:val="20"/>
                <w:szCs w:val="20"/>
              </w:rPr>
              <w:t>/mg</w:t>
            </w:r>
          </w:p>
        </w:tc>
        <w:tc>
          <w:tcPr>
            <w:tcW w:w="1061" w:type="dxa"/>
            <w:tcBorders>
              <w:top w:val="single" w:sz="4" w:space="0" w:color="000000"/>
            </w:tcBorders>
          </w:tcPr>
          <w:p w:rsidR="00EA40A3" w:rsidRDefault="00E86C16">
            <w:pPr>
              <w:spacing w:before="91" w:line="329" w:lineRule="exact"/>
              <w:ind w:left="311"/>
              <w:rPr>
                <w:rFonts w:ascii="宋体" w:eastAsia="宋体" w:hAnsi="宋体" w:cs="宋体"/>
                <w:sz w:val="16"/>
                <w:szCs w:val="16"/>
              </w:rPr>
            </w:pPr>
            <w:r>
              <w:rPr>
                <w:rFonts w:ascii="宋体" w:eastAsia="宋体" w:hAnsi="宋体" w:cs="宋体"/>
                <w:spacing w:val="3"/>
                <w:position w:val="13"/>
                <w:sz w:val="16"/>
                <w:szCs w:val="16"/>
              </w:rPr>
              <w:t>叶酸</w:t>
            </w:r>
          </w:p>
          <w:p w:rsidR="00EA40A3" w:rsidRDefault="00E86C16">
            <w:pPr>
              <w:spacing w:line="130" w:lineRule="exact"/>
              <w:ind w:left="412"/>
              <w:rPr>
                <w:rFonts w:ascii="宋体" w:eastAsia="宋体" w:hAnsi="宋体" w:cs="宋体"/>
                <w:sz w:val="16"/>
                <w:szCs w:val="16"/>
              </w:rPr>
            </w:pPr>
            <w:r>
              <w:rPr>
                <w:rFonts w:ascii="宋体" w:eastAsia="宋体" w:hAnsi="宋体" w:cs="宋体"/>
                <w:spacing w:val="-16"/>
                <w:position w:val="1"/>
                <w:sz w:val="16"/>
                <w:szCs w:val="16"/>
              </w:rPr>
              <w:t>μg</w:t>
            </w:r>
          </w:p>
        </w:tc>
      </w:tr>
      <w:tr w:rsidR="00EA40A3">
        <w:trPr>
          <w:trHeight w:val="259"/>
        </w:trPr>
        <w:tc>
          <w:tcPr>
            <w:tcW w:w="1131" w:type="dxa"/>
          </w:tcPr>
          <w:p w:rsidR="00EA40A3" w:rsidRDefault="00E86C16">
            <w:pPr>
              <w:spacing w:before="44" w:line="220" w:lineRule="auto"/>
              <w:ind w:left="229"/>
              <w:rPr>
                <w:rFonts w:ascii="宋体" w:eastAsia="宋体" w:hAnsi="宋体" w:cs="宋体"/>
                <w:sz w:val="16"/>
                <w:szCs w:val="16"/>
              </w:rPr>
            </w:pPr>
            <w:r>
              <w:rPr>
                <w:rFonts w:ascii="宋体" w:eastAsia="宋体" w:hAnsi="宋体" w:cs="宋体"/>
                <w:spacing w:val="-2"/>
                <w:sz w:val="16"/>
                <w:szCs w:val="16"/>
              </w:rPr>
              <w:t>美国杏仁</w:t>
            </w:r>
          </w:p>
        </w:tc>
        <w:tc>
          <w:tcPr>
            <w:tcW w:w="1002" w:type="dxa"/>
          </w:tcPr>
          <w:p w:rsidR="00EA40A3" w:rsidRDefault="00E86C16">
            <w:pPr>
              <w:spacing w:before="84" w:line="183" w:lineRule="auto"/>
              <w:ind w:left="319"/>
              <w:rPr>
                <w:rFonts w:ascii="宋体" w:eastAsia="宋体" w:hAnsi="宋体" w:cs="宋体"/>
                <w:sz w:val="16"/>
                <w:szCs w:val="16"/>
              </w:rPr>
            </w:pPr>
            <w:r>
              <w:rPr>
                <w:rFonts w:ascii="宋体" w:eastAsia="宋体" w:hAnsi="宋体" w:cs="宋体"/>
                <w:spacing w:val="-2"/>
                <w:sz w:val="16"/>
                <w:szCs w:val="16"/>
              </w:rPr>
              <w:t>24.0</w:t>
            </w:r>
          </w:p>
        </w:tc>
        <w:tc>
          <w:tcPr>
            <w:tcW w:w="1000" w:type="dxa"/>
          </w:tcPr>
          <w:p w:rsidR="00EA40A3" w:rsidRDefault="00E86C16">
            <w:pPr>
              <w:spacing w:before="93" w:line="184" w:lineRule="auto"/>
              <w:ind w:left="336"/>
              <w:rPr>
                <w:rFonts w:ascii="宋体" w:eastAsia="宋体" w:hAnsi="宋体" w:cs="宋体"/>
                <w:sz w:val="16"/>
                <w:szCs w:val="16"/>
              </w:rPr>
            </w:pPr>
            <w:r>
              <w:rPr>
                <w:rFonts w:ascii="宋体" w:eastAsia="宋体" w:hAnsi="宋体" w:cs="宋体"/>
                <w:spacing w:val="-2"/>
                <w:sz w:val="16"/>
                <w:szCs w:val="16"/>
              </w:rPr>
              <w:t>0.21</w:t>
            </w:r>
          </w:p>
        </w:tc>
        <w:tc>
          <w:tcPr>
            <w:tcW w:w="1064" w:type="dxa"/>
          </w:tcPr>
          <w:p w:rsidR="00EA40A3" w:rsidRDefault="00E86C16">
            <w:pPr>
              <w:spacing w:before="84" w:line="183" w:lineRule="auto"/>
              <w:ind w:left="356"/>
              <w:rPr>
                <w:rFonts w:ascii="宋体" w:eastAsia="宋体" w:hAnsi="宋体" w:cs="宋体"/>
                <w:sz w:val="16"/>
                <w:szCs w:val="16"/>
              </w:rPr>
            </w:pPr>
            <w:r>
              <w:rPr>
                <w:rFonts w:ascii="宋体" w:eastAsia="宋体" w:hAnsi="宋体" w:cs="宋体"/>
                <w:spacing w:val="-2"/>
                <w:sz w:val="16"/>
                <w:szCs w:val="16"/>
              </w:rPr>
              <w:t>0.78</w:t>
            </w:r>
          </w:p>
        </w:tc>
        <w:tc>
          <w:tcPr>
            <w:tcW w:w="897" w:type="dxa"/>
          </w:tcPr>
          <w:p w:rsidR="00EA40A3" w:rsidRDefault="00E86C16">
            <w:pPr>
              <w:spacing w:before="84" w:line="183" w:lineRule="auto"/>
              <w:ind w:left="323"/>
              <w:rPr>
                <w:rFonts w:ascii="宋体" w:eastAsia="宋体" w:hAnsi="宋体" w:cs="宋体"/>
                <w:sz w:val="16"/>
                <w:szCs w:val="16"/>
              </w:rPr>
            </w:pPr>
            <w:r>
              <w:rPr>
                <w:rFonts w:ascii="宋体" w:eastAsia="宋体" w:hAnsi="宋体" w:cs="宋体"/>
                <w:spacing w:val="-2"/>
                <w:sz w:val="16"/>
                <w:szCs w:val="16"/>
              </w:rPr>
              <w:t>3.36</w:t>
            </w:r>
          </w:p>
        </w:tc>
        <w:tc>
          <w:tcPr>
            <w:tcW w:w="1184" w:type="dxa"/>
          </w:tcPr>
          <w:p w:rsidR="00EA40A3" w:rsidRDefault="00E86C16">
            <w:pPr>
              <w:spacing w:before="74" w:line="184" w:lineRule="auto"/>
              <w:ind w:left="426"/>
              <w:rPr>
                <w:rFonts w:ascii="宋体" w:eastAsia="宋体" w:hAnsi="宋体" w:cs="宋体"/>
                <w:sz w:val="16"/>
                <w:szCs w:val="16"/>
              </w:rPr>
            </w:pPr>
            <w:r>
              <w:rPr>
                <w:rFonts w:ascii="宋体" w:eastAsia="宋体" w:hAnsi="宋体" w:cs="宋体"/>
                <w:spacing w:val="-2"/>
                <w:sz w:val="16"/>
                <w:szCs w:val="16"/>
              </w:rPr>
              <w:t>0.11</w:t>
            </w:r>
          </w:p>
        </w:tc>
        <w:tc>
          <w:tcPr>
            <w:tcW w:w="1061" w:type="dxa"/>
          </w:tcPr>
          <w:p w:rsidR="00EA40A3" w:rsidRDefault="00E86C16">
            <w:pPr>
              <w:spacing w:before="74" w:line="183" w:lineRule="auto"/>
              <w:ind w:left="311"/>
              <w:rPr>
                <w:rFonts w:ascii="宋体" w:eastAsia="宋体" w:hAnsi="宋体" w:cs="宋体"/>
                <w:sz w:val="16"/>
                <w:szCs w:val="16"/>
              </w:rPr>
            </w:pPr>
            <w:r>
              <w:rPr>
                <w:rFonts w:ascii="宋体" w:eastAsia="宋体" w:hAnsi="宋体" w:cs="宋体"/>
                <w:spacing w:val="-2"/>
                <w:sz w:val="16"/>
                <w:szCs w:val="16"/>
              </w:rPr>
              <w:t>58.5</w:t>
            </w:r>
          </w:p>
        </w:tc>
      </w:tr>
      <w:tr w:rsidR="00EA40A3">
        <w:trPr>
          <w:trHeight w:val="268"/>
        </w:trPr>
        <w:tc>
          <w:tcPr>
            <w:tcW w:w="1131" w:type="dxa"/>
          </w:tcPr>
          <w:p w:rsidR="00EA40A3" w:rsidRDefault="00E86C16">
            <w:pPr>
              <w:spacing w:before="55" w:line="220" w:lineRule="auto"/>
              <w:ind w:left="390"/>
              <w:rPr>
                <w:rFonts w:ascii="宋体" w:eastAsia="宋体" w:hAnsi="宋体" w:cs="宋体"/>
                <w:sz w:val="16"/>
                <w:szCs w:val="16"/>
              </w:rPr>
            </w:pPr>
            <w:r>
              <w:rPr>
                <w:rFonts w:ascii="宋体" w:eastAsia="宋体" w:hAnsi="宋体" w:cs="宋体"/>
                <w:spacing w:val="-2"/>
                <w:sz w:val="16"/>
                <w:szCs w:val="16"/>
              </w:rPr>
              <w:t>榛子</w:t>
            </w:r>
          </w:p>
        </w:tc>
        <w:tc>
          <w:tcPr>
            <w:tcW w:w="1002" w:type="dxa"/>
          </w:tcPr>
          <w:p w:rsidR="00EA40A3" w:rsidRDefault="00E86C16">
            <w:pPr>
              <w:spacing w:before="105" w:line="183" w:lineRule="auto"/>
              <w:ind w:left="319"/>
              <w:rPr>
                <w:rFonts w:ascii="宋体" w:eastAsia="宋体" w:hAnsi="宋体" w:cs="宋体"/>
                <w:sz w:val="16"/>
                <w:szCs w:val="16"/>
              </w:rPr>
            </w:pPr>
            <w:r>
              <w:rPr>
                <w:rFonts w:ascii="宋体" w:eastAsia="宋体" w:hAnsi="宋体" w:cs="宋体"/>
                <w:spacing w:val="-2"/>
                <w:sz w:val="16"/>
                <w:szCs w:val="16"/>
              </w:rPr>
              <w:t>23.9</w:t>
            </w:r>
          </w:p>
        </w:tc>
        <w:tc>
          <w:tcPr>
            <w:tcW w:w="1000" w:type="dxa"/>
          </w:tcPr>
          <w:p w:rsidR="00EA40A3" w:rsidRDefault="00E86C16">
            <w:pPr>
              <w:spacing w:before="105" w:line="183" w:lineRule="auto"/>
              <w:ind w:left="336"/>
              <w:rPr>
                <w:rFonts w:ascii="宋体" w:eastAsia="宋体" w:hAnsi="宋体" w:cs="宋体"/>
                <w:sz w:val="16"/>
                <w:szCs w:val="16"/>
              </w:rPr>
            </w:pPr>
            <w:r>
              <w:rPr>
                <w:rFonts w:ascii="宋体" w:eastAsia="宋体" w:hAnsi="宋体" w:cs="宋体"/>
                <w:spacing w:val="-2"/>
                <w:sz w:val="16"/>
                <w:szCs w:val="16"/>
              </w:rPr>
              <w:t>0.50</w:t>
            </w:r>
          </w:p>
        </w:tc>
        <w:tc>
          <w:tcPr>
            <w:tcW w:w="1064" w:type="dxa"/>
          </w:tcPr>
          <w:p w:rsidR="00EA40A3" w:rsidRDefault="00E86C16">
            <w:pPr>
              <w:spacing w:before="95" w:line="184" w:lineRule="auto"/>
              <w:ind w:left="356"/>
              <w:rPr>
                <w:rFonts w:ascii="宋体" w:eastAsia="宋体" w:hAnsi="宋体" w:cs="宋体"/>
                <w:sz w:val="16"/>
                <w:szCs w:val="16"/>
              </w:rPr>
            </w:pPr>
            <w:r>
              <w:rPr>
                <w:rFonts w:ascii="宋体" w:eastAsia="宋体" w:hAnsi="宋体" w:cs="宋体"/>
                <w:spacing w:val="-2"/>
                <w:sz w:val="16"/>
                <w:szCs w:val="16"/>
              </w:rPr>
              <w:t>0.11</w:t>
            </w:r>
          </w:p>
        </w:tc>
        <w:tc>
          <w:tcPr>
            <w:tcW w:w="897" w:type="dxa"/>
          </w:tcPr>
          <w:p w:rsidR="00EA40A3" w:rsidRDefault="00E86C16">
            <w:pPr>
              <w:spacing w:before="85" w:line="184" w:lineRule="auto"/>
              <w:ind w:left="323"/>
              <w:rPr>
                <w:rFonts w:ascii="宋体" w:eastAsia="宋体" w:hAnsi="宋体" w:cs="宋体"/>
                <w:sz w:val="16"/>
                <w:szCs w:val="16"/>
              </w:rPr>
            </w:pPr>
            <w:r>
              <w:rPr>
                <w:rFonts w:ascii="宋体" w:eastAsia="宋体" w:hAnsi="宋体" w:cs="宋体"/>
                <w:spacing w:val="-4"/>
                <w:sz w:val="16"/>
                <w:szCs w:val="16"/>
              </w:rPr>
              <w:t>1.14</w:t>
            </w:r>
          </w:p>
        </w:tc>
        <w:tc>
          <w:tcPr>
            <w:tcW w:w="1184" w:type="dxa"/>
          </w:tcPr>
          <w:p w:rsidR="00EA40A3" w:rsidRDefault="00E86C16">
            <w:pPr>
              <w:spacing w:before="95" w:line="184" w:lineRule="auto"/>
              <w:ind w:left="426"/>
              <w:rPr>
                <w:rFonts w:ascii="宋体" w:eastAsia="宋体" w:hAnsi="宋体" w:cs="宋体"/>
                <w:sz w:val="16"/>
                <w:szCs w:val="16"/>
              </w:rPr>
            </w:pPr>
            <w:r>
              <w:rPr>
                <w:rFonts w:ascii="宋体" w:eastAsia="宋体" w:hAnsi="宋体" w:cs="宋体"/>
                <w:spacing w:val="-2"/>
                <w:sz w:val="16"/>
                <w:szCs w:val="16"/>
              </w:rPr>
              <w:t>0.61</w:t>
            </w:r>
          </w:p>
        </w:tc>
        <w:tc>
          <w:tcPr>
            <w:tcW w:w="1061" w:type="dxa"/>
          </w:tcPr>
          <w:p w:rsidR="00EA40A3" w:rsidRDefault="00E86C16">
            <w:pPr>
              <w:spacing w:before="74" w:line="184" w:lineRule="auto"/>
              <w:ind w:left="311"/>
              <w:rPr>
                <w:rFonts w:ascii="宋体" w:eastAsia="宋体" w:hAnsi="宋体" w:cs="宋体"/>
                <w:sz w:val="16"/>
                <w:szCs w:val="16"/>
              </w:rPr>
            </w:pPr>
            <w:r>
              <w:rPr>
                <w:rFonts w:ascii="宋体" w:eastAsia="宋体" w:hAnsi="宋体" w:cs="宋体"/>
                <w:spacing w:val="-2"/>
                <w:sz w:val="16"/>
                <w:szCs w:val="16"/>
              </w:rPr>
              <w:t>71.9</w:t>
            </w:r>
          </w:p>
        </w:tc>
      </w:tr>
      <w:tr w:rsidR="00EA40A3">
        <w:trPr>
          <w:trHeight w:val="279"/>
        </w:trPr>
        <w:tc>
          <w:tcPr>
            <w:tcW w:w="1131" w:type="dxa"/>
          </w:tcPr>
          <w:p w:rsidR="00EA40A3" w:rsidRDefault="00E86C16">
            <w:pPr>
              <w:spacing w:before="56" w:line="219" w:lineRule="auto"/>
              <w:ind w:left="150"/>
              <w:rPr>
                <w:rFonts w:ascii="宋体" w:eastAsia="宋体" w:hAnsi="宋体" w:cs="宋体"/>
                <w:sz w:val="16"/>
                <w:szCs w:val="16"/>
              </w:rPr>
            </w:pPr>
            <w:r>
              <w:rPr>
                <w:rFonts w:ascii="宋体" w:eastAsia="宋体" w:hAnsi="宋体" w:cs="宋体"/>
                <w:spacing w:val="-2"/>
                <w:sz w:val="16"/>
                <w:szCs w:val="16"/>
              </w:rPr>
              <w:t>美洲山核桃</w:t>
            </w:r>
          </w:p>
        </w:tc>
        <w:tc>
          <w:tcPr>
            <w:tcW w:w="1002" w:type="dxa"/>
          </w:tcPr>
          <w:p w:rsidR="00EA40A3" w:rsidRDefault="00E86C16">
            <w:pPr>
              <w:spacing w:before="116" w:line="184" w:lineRule="auto"/>
              <w:ind w:left="319"/>
              <w:rPr>
                <w:rFonts w:ascii="宋体" w:eastAsia="宋体" w:hAnsi="宋体" w:cs="宋体"/>
                <w:sz w:val="16"/>
                <w:szCs w:val="16"/>
              </w:rPr>
            </w:pPr>
            <w:r>
              <w:rPr>
                <w:rFonts w:ascii="宋体" w:eastAsia="宋体" w:hAnsi="宋体" w:cs="宋体"/>
                <w:spacing w:val="-2"/>
                <w:sz w:val="16"/>
                <w:szCs w:val="16"/>
              </w:rPr>
              <w:t>3.10</w:t>
            </w:r>
          </w:p>
        </w:tc>
        <w:tc>
          <w:tcPr>
            <w:tcW w:w="1000" w:type="dxa"/>
          </w:tcPr>
          <w:p w:rsidR="00EA40A3" w:rsidRDefault="00E86C16">
            <w:pPr>
              <w:spacing w:before="107" w:line="183" w:lineRule="auto"/>
              <w:ind w:left="336"/>
              <w:rPr>
                <w:rFonts w:ascii="宋体" w:eastAsia="宋体" w:hAnsi="宋体" w:cs="宋体"/>
                <w:sz w:val="16"/>
                <w:szCs w:val="16"/>
              </w:rPr>
            </w:pPr>
            <w:r>
              <w:rPr>
                <w:rFonts w:ascii="宋体" w:eastAsia="宋体" w:hAnsi="宋体" w:cs="宋体"/>
                <w:spacing w:val="-2"/>
                <w:sz w:val="16"/>
                <w:szCs w:val="16"/>
              </w:rPr>
              <w:t>0.85</w:t>
            </w:r>
          </w:p>
        </w:tc>
        <w:tc>
          <w:tcPr>
            <w:tcW w:w="1064" w:type="dxa"/>
          </w:tcPr>
          <w:p w:rsidR="00EA40A3" w:rsidRDefault="00E86C16">
            <w:pPr>
              <w:spacing w:before="116" w:line="184" w:lineRule="auto"/>
              <w:ind w:left="356"/>
              <w:rPr>
                <w:rFonts w:ascii="宋体" w:eastAsia="宋体" w:hAnsi="宋体" w:cs="宋体"/>
                <w:sz w:val="16"/>
                <w:szCs w:val="16"/>
              </w:rPr>
            </w:pPr>
            <w:r>
              <w:rPr>
                <w:rFonts w:ascii="宋体" w:eastAsia="宋体" w:hAnsi="宋体" w:cs="宋体"/>
                <w:spacing w:val="-2"/>
                <w:sz w:val="16"/>
                <w:szCs w:val="16"/>
              </w:rPr>
              <w:t>0.13</w:t>
            </w:r>
          </w:p>
        </w:tc>
        <w:tc>
          <w:tcPr>
            <w:tcW w:w="897" w:type="dxa"/>
          </w:tcPr>
          <w:p w:rsidR="00EA40A3" w:rsidRDefault="00E86C16">
            <w:pPr>
              <w:spacing w:before="107" w:line="183" w:lineRule="auto"/>
              <w:ind w:left="323"/>
              <w:rPr>
                <w:rFonts w:ascii="宋体" w:eastAsia="宋体" w:hAnsi="宋体" w:cs="宋体"/>
                <w:sz w:val="16"/>
                <w:szCs w:val="16"/>
              </w:rPr>
            </w:pPr>
            <w:r>
              <w:rPr>
                <w:rFonts w:ascii="宋体" w:eastAsia="宋体" w:hAnsi="宋体" w:cs="宋体"/>
                <w:spacing w:val="-2"/>
                <w:sz w:val="16"/>
                <w:szCs w:val="16"/>
              </w:rPr>
              <w:t>0.89</w:t>
            </w:r>
          </w:p>
        </w:tc>
        <w:tc>
          <w:tcPr>
            <w:tcW w:w="1184" w:type="dxa"/>
          </w:tcPr>
          <w:p w:rsidR="00EA40A3" w:rsidRDefault="00E86C16">
            <w:pPr>
              <w:spacing w:before="106" w:line="184" w:lineRule="auto"/>
              <w:ind w:left="426"/>
              <w:rPr>
                <w:rFonts w:ascii="宋体" w:eastAsia="宋体" w:hAnsi="宋体" w:cs="宋体"/>
                <w:sz w:val="16"/>
                <w:szCs w:val="16"/>
              </w:rPr>
            </w:pPr>
            <w:r>
              <w:rPr>
                <w:rFonts w:ascii="宋体" w:eastAsia="宋体" w:hAnsi="宋体" w:cs="宋体"/>
                <w:spacing w:val="-2"/>
                <w:sz w:val="16"/>
                <w:szCs w:val="16"/>
              </w:rPr>
              <w:t>0.19</w:t>
            </w:r>
          </w:p>
        </w:tc>
        <w:tc>
          <w:tcPr>
            <w:tcW w:w="1061" w:type="dxa"/>
          </w:tcPr>
          <w:p w:rsidR="00EA40A3" w:rsidRDefault="00E86C16">
            <w:pPr>
              <w:spacing w:before="107" w:line="183" w:lineRule="auto"/>
              <w:ind w:left="311"/>
              <w:rPr>
                <w:rFonts w:ascii="宋体" w:eastAsia="宋体" w:hAnsi="宋体" w:cs="宋体"/>
                <w:sz w:val="16"/>
                <w:szCs w:val="16"/>
              </w:rPr>
            </w:pPr>
            <w:r>
              <w:rPr>
                <w:rFonts w:ascii="宋体" w:eastAsia="宋体" w:hAnsi="宋体" w:cs="宋体"/>
                <w:spacing w:val="-2"/>
                <w:sz w:val="16"/>
                <w:szCs w:val="16"/>
              </w:rPr>
              <w:t>38.9</w:t>
            </w:r>
          </w:p>
        </w:tc>
      </w:tr>
      <w:tr w:rsidR="00EA40A3">
        <w:trPr>
          <w:trHeight w:val="278"/>
        </w:trPr>
        <w:tc>
          <w:tcPr>
            <w:tcW w:w="1131" w:type="dxa"/>
          </w:tcPr>
          <w:p w:rsidR="00EA40A3" w:rsidRDefault="00E86C16">
            <w:pPr>
              <w:spacing w:before="57" w:line="219" w:lineRule="auto"/>
              <w:ind w:left="390"/>
              <w:rPr>
                <w:rFonts w:ascii="宋体" w:eastAsia="宋体" w:hAnsi="宋体" w:cs="宋体"/>
                <w:sz w:val="16"/>
                <w:szCs w:val="16"/>
              </w:rPr>
            </w:pPr>
            <w:r>
              <w:rPr>
                <w:rFonts w:ascii="宋体" w:eastAsia="宋体" w:hAnsi="宋体" w:cs="宋体"/>
                <w:spacing w:val="-2"/>
                <w:sz w:val="16"/>
                <w:szCs w:val="16"/>
              </w:rPr>
              <w:t>松子</w:t>
            </w:r>
          </w:p>
        </w:tc>
        <w:tc>
          <w:tcPr>
            <w:tcW w:w="1002" w:type="dxa"/>
          </w:tcPr>
          <w:p w:rsidR="00EA40A3" w:rsidRDefault="00E86C16">
            <w:pPr>
              <w:spacing w:before="108" w:line="183" w:lineRule="auto"/>
              <w:ind w:left="319"/>
              <w:rPr>
                <w:rFonts w:ascii="宋体" w:eastAsia="宋体" w:hAnsi="宋体" w:cs="宋体"/>
                <w:sz w:val="16"/>
                <w:szCs w:val="16"/>
              </w:rPr>
            </w:pPr>
            <w:r>
              <w:rPr>
                <w:rFonts w:ascii="宋体" w:eastAsia="宋体" w:hAnsi="宋体" w:cs="宋体"/>
                <w:spacing w:val="-2"/>
                <w:sz w:val="16"/>
                <w:szCs w:val="16"/>
              </w:rPr>
              <w:t>3.50</w:t>
            </w:r>
          </w:p>
        </w:tc>
        <w:tc>
          <w:tcPr>
            <w:tcW w:w="1000" w:type="dxa"/>
          </w:tcPr>
          <w:p w:rsidR="00EA40A3" w:rsidRDefault="00E86C16">
            <w:pPr>
              <w:spacing w:before="107" w:line="184" w:lineRule="auto"/>
              <w:ind w:left="336"/>
              <w:rPr>
                <w:rFonts w:ascii="宋体" w:eastAsia="宋体" w:hAnsi="宋体" w:cs="宋体"/>
                <w:sz w:val="16"/>
                <w:szCs w:val="16"/>
              </w:rPr>
            </w:pPr>
            <w:r>
              <w:rPr>
                <w:rFonts w:ascii="宋体" w:eastAsia="宋体" w:hAnsi="宋体" w:cs="宋体"/>
                <w:spacing w:val="-4"/>
                <w:sz w:val="16"/>
                <w:szCs w:val="16"/>
              </w:rPr>
              <w:t>1.25</w:t>
            </w:r>
          </w:p>
        </w:tc>
        <w:tc>
          <w:tcPr>
            <w:tcW w:w="1064" w:type="dxa"/>
          </w:tcPr>
          <w:p w:rsidR="00EA40A3" w:rsidRDefault="00E86C16">
            <w:pPr>
              <w:spacing w:before="117" w:line="184" w:lineRule="auto"/>
              <w:ind w:left="356"/>
              <w:rPr>
                <w:rFonts w:ascii="宋体" w:eastAsia="宋体" w:hAnsi="宋体" w:cs="宋体"/>
                <w:sz w:val="16"/>
                <w:szCs w:val="16"/>
              </w:rPr>
            </w:pPr>
            <w:r>
              <w:rPr>
                <w:rFonts w:ascii="宋体" w:eastAsia="宋体" w:hAnsi="宋体" w:cs="宋体"/>
                <w:spacing w:val="-2"/>
                <w:sz w:val="16"/>
                <w:szCs w:val="16"/>
              </w:rPr>
              <w:t>0.21</w:t>
            </w:r>
          </w:p>
        </w:tc>
        <w:tc>
          <w:tcPr>
            <w:tcW w:w="897" w:type="dxa"/>
          </w:tcPr>
          <w:p w:rsidR="00EA40A3" w:rsidRDefault="00E86C16">
            <w:pPr>
              <w:spacing w:before="118" w:line="183" w:lineRule="auto"/>
              <w:ind w:left="323"/>
              <w:rPr>
                <w:rFonts w:ascii="宋体" w:eastAsia="宋体" w:hAnsi="宋体" w:cs="宋体"/>
                <w:sz w:val="16"/>
                <w:szCs w:val="16"/>
              </w:rPr>
            </w:pPr>
            <w:r>
              <w:rPr>
                <w:rFonts w:ascii="宋体" w:eastAsia="宋体" w:hAnsi="宋体" w:cs="宋体"/>
                <w:spacing w:val="-2"/>
                <w:sz w:val="16"/>
                <w:szCs w:val="16"/>
              </w:rPr>
              <w:t>4.36</w:t>
            </w:r>
          </w:p>
        </w:tc>
        <w:tc>
          <w:tcPr>
            <w:tcW w:w="1184" w:type="dxa"/>
          </w:tcPr>
          <w:p w:rsidR="00EA40A3" w:rsidRDefault="00E86C16">
            <w:pPr>
              <w:spacing w:before="107" w:line="184" w:lineRule="auto"/>
              <w:ind w:left="426"/>
              <w:rPr>
                <w:rFonts w:ascii="宋体" w:eastAsia="宋体" w:hAnsi="宋体" w:cs="宋体"/>
                <w:sz w:val="16"/>
                <w:szCs w:val="16"/>
              </w:rPr>
            </w:pPr>
            <w:r>
              <w:rPr>
                <w:rFonts w:ascii="宋体" w:eastAsia="宋体" w:hAnsi="宋体" w:cs="宋体"/>
                <w:spacing w:val="-2"/>
                <w:sz w:val="16"/>
                <w:szCs w:val="16"/>
              </w:rPr>
              <w:t>0.11</w:t>
            </w:r>
          </w:p>
        </w:tc>
        <w:tc>
          <w:tcPr>
            <w:tcW w:w="1061" w:type="dxa"/>
          </w:tcPr>
          <w:p w:rsidR="00EA40A3" w:rsidRDefault="00E86C16">
            <w:pPr>
              <w:spacing w:before="97" w:line="184" w:lineRule="auto"/>
              <w:ind w:left="311"/>
              <w:rPr>
                <w:rFonts w:ascii="宋体" w:eastAsia="宋体" w:hAnsi="宋体" w:cs="宋体"/>
                <w:sz w:val="16"/>
                <w:szCs w:val="16"/>
              </w:rPr>
            </w:pPr>
            <w:r>
              <w:rPr>
                <w:rFonts w:ascii="宋体" w:eastAsia="宋体" w:hAnsi="宋体" w:cs="宋体"/>
                <w:spacing w:val="-2"/>
                <w:sz w:val="16"/>
                <w:szCs w:val="16"/>
              </w:rPr>
              <w:t>57.1</w:t>
            </w:r>
          </w:p>
        </w:tc>
      </w:tr>
      <w:tr w:rsidR="00EA40A3">
        <w:trPr>
          <w:trHeight w:val="279"/>
        </w:trPr>
        <w:tc>
          <w:tcPr>
            <w:tcW w:w="1131" w:type="dxa"/>
          </w:tcPr>
          <w:p w:rsidR="00EA40A3" w:rsidRDefault="00E86C16">
            <w:pPr>
              <w:spacing w:before="59" w:line="219" w:lineRule="auto"/>
              <w:ind w:left="229"/>
              <w:rPr>
                <w:rFonts w:ascii="宋体" w:eastAsia="宋体" w:hAnsi="宋体" w:cs="宋体"/>
                <w:sz w:val="16"/>
                <w:szCs w:val="16"/>
              </w:rPr>
            </w:pPr>
            <w:r>
              <w:rPr>
                <w:rFonts w:ascii="宋体" w:eastAsia="宋体" w:hAnsi="宋体" w:cs="宋体"/>
                <w:spacing w:val="-2"/>
                <w:sz w:val="16"/>
                <w:szCs w:val="16"/>
              </w:rPr>
              <w:t>南瓜籽仁</w:t>
            </w:r>
          </w:p>
        </w:tc>
        <w:tc>
          <w:tcPr>
            <w:tcW w:w="1002" w:type="dxa"/>
          </w:tcPr>
          <w:p w:rsidR="00EA40A3" w:rsidRDefault="00E86C16">
            <w:pPr>
              <w:spacing w:before="120" w:line="183" w:lineRule="auto"/>
              <w:ind w:left="319"/>
              <w:rPr>
                <w:rFonts w:ascii="宋体" w:eastAsia="宋体" w:hAnsi="宋体" w:cs="宋体"/>
                <w:sz w:val="16"/>
                <w:szCs w:val="16"/>
              </w:rPr>
            </w:pPr>
            <w:r>
              <w:rPr>
                <w:rFonts w:ascii="宋体" w:eastAsia="宋体" w:hAnsi="宋体" w:cs="宋体"/>
                <w:spacing w:val="-4"/>
                <w:sz w:val="16"/>
                <w:szCs w:val="16"/>
              </w:rPr>
              <w:t>1.00</w:t>
            </w:r>
          </w:p>
        </w:tc>
        <w:tc>
          <w:tcPr>
            <w:tcW w:w="1000" w:type="dxa"/>
          </w:tcPr>
          <w:p w:rsidR="00EA40A3" w:rsidRDefault="00E86C16">
            <w:pPr>
              <w:spacing w:before="109" w:line="184" w:lineRule="auto"/>
              <w:ind w:left="336"/>
              <w:rPr>
                <w:rFonts w:ascii="宋体" w:eastAsia="宋体" w:hAnsi="宋体" w:cs="宋体"/>
                <w:sz w:val="16"/>
                <w:szCs w:val="16"/>
              </w:rPr>
            </w:pPr>
            <w:r>
              <w:rPr>
                <w:rFonts w:ascii="宋体" w:eastAsia="宋体" w:hAnsi="宋体" w:cs="宋体"/>
                <w:spacing w:val="-2"/>
                <w:sz w:val="16"/>
                <w:szCs w:val="16"/>
              </w:rPr>
              <w:t>0.21</w:t>
            </w:r>
          </w:p>
        </w:tc>
        <w:tc>
          <w:tcPr>
            <w:tcW w:w="1064" w:type="dxa"/>
          </w:tcPr>
          <w:p w:rsidR="00EA40A3" w:rsidRDefault="00E86C16">
            <w:pPr>
              <w:spacing w:before="110" w:line="183" w:lineRule="auto"/>
              <w:ind w:left="356"/>
              <w:rPr>
                <w:rFonts w:ascii="宋体" w:eastAsia="宋体" w:hAnsi="宋体" w:cs="宋体"/>
                <w:sz w:val="16"/>
                <w:szCs w:val="16"/>
              </w:rPr>
            </w:pPr>
            <w:r>
              <w:rPr>
                <w:rFonts w:ascii="宋体" w:eastAsia="宋体" w:hAnsi="宋体" w:cs="宋体"/>
                <w:spacing w:val="-2"/>
                <w:sz w:val="16"/>
                <w:szCs w:val="16"/>
              </w:rPr>
              <w:t>0.32</w:t>
            </w:r>
          </w:p>
        </w:tc>
        <w:tc>
          <w:tcPr>
            <w:tcW w:w="897" w:type="dxa"/>
          </w:tcPr>
          <w:p w:rsidR="00EA40A3" w:rsidRDefault="00E86C16">
            <w:pPr>
              <w:spacing w:before="109" w:line="184" w:lineRule="auto"/>
              <w:ind w:left="323"/>
              <w:rPr>
                <w:rFonts w:ascii="宋体" w:eastAsia="宋体" w:hAnsi="宋体" w:cs="宋体"/>
                <w:sz w:val="16"/>
                <w:szCs w:val="16"/>
              </w:rPr>
            </w:pPr>
            <w:r>
              <w:rPr>
                <w:rFonts w:ascii="宋体" w:eastAsia="宋体" w:hAnsi="宋体" w:cs="宋体"/>
                <w:spacing w:val="-4"/>
                <w:sz w:val="16"/>
                <w:szCs w:val="16"/>
              </w:rPr>
              <w:t>1.75</w:t>
            </w:r>
          </w:p>
        </w:tc>
        <w:tc>
          <w:tcPr>
            <w:tcW w:w="1184" w:type="dxa"/>
          </w:tcPr>
          <w:p w:rsidR="00EA40A3" w:rsidRDefault="00E86C16">
            <w:pPr>
              <w:spacing w:before="99" w:line="184" w:lineRule="auto"/>
              <w:ind w:left="426"/>
              <w:rPr>
                <w:rFonts w:ascii="宋体" w:eastAsia="宋体" w:hAnsi="宋体" w:cs="宋体"/>
                <w:sz w:val="16"/>
                <w:szCs w:val="16"/>
              </w:rPr>
            </w:pPr>
            <w:r>
              <w:rPr>
                <w:rFonts w:ascii="宋体" w:eastAsia="宋体" w:hAnsi="宋体" w:cs="宋体"/>
                <w:spacing w:val="-2"/>
                <w:sz w:val="16"/>
                <w:szCs w:val="16"/>
              </w:rPr>
              <w:t>0.21</w:t>
            </w:r>
          </w:p>
        </w:tc>
        <w:tc>
          <w:tcPr>
            <w:tcW w:w="1061" w:type="dxa"/>
          </w:tcPr>
          <w:p w:rsidR="00EA40A3" w:rsidRDefault="00E86C16">
            <w:pPr>
              <w:spacing w:before="109" w:line="184" w:lineRule="auto"/>
              <w:ind w:left="311"/>
              <w:rPr>
                <w:rFonts w:ascii="宋体" w:eastAsia="宋体" w:hAnsi="宋体" w:cs="宋体"/>
                <w:sz w:val="16"/>
                <w:szCs w:val="16"/>
              </w:rPr>
            </w:pPr>
            <w:r>
              <w:rPr>
                <w:rFonts w:ascii="宋体" w:eastAsia="宋体" w:hAnsi="宋体" w:cs="宋体"/>
                <w:spacing w:val="-2"/>
                <w:sz w:val="16"/>
                <w:szCs w:val="16"/>
              </w:rPr>
              <w:t>57.1</w:t>
            </w:r>
          </w:p>
        </w:tc>
      </w:tr>
      <w:tr w:rsidR="00EA40A3">
        <w:trPr>
          <w:trHeight w:val="275"/>
        </w:trPr>
        <w:tc>
          <w:tcPr>
            <w:tcW w:w="1131" w:type="dxa"/>
          </w:tcPr>
          <w:p w:rsidR="00EA40A3" w:rsidRDefault="00E86C16">
            <w:pPr>
              <w:spacing w:before="60" w:line="219" w:lineRule="auto"/>
              <w:ind w:left="229"/>
              <w:rPr>
                <w:rFonts w:ascii="宋体" w:eastAsia="宋体" w:hAnsi="宋体" w:cs="宋体"/>
                <w:sz w:val="16"/>
                <w:szCs w:val="16"/>
              </w:rPr>
            </w:pPr>
            <w:r>
              <w:rPr>
                <w:rFonts w:ascii="宋体" w:eastAsia="宋体" w:hAnsi="宋体" w:cs="宋体"/>
                <w:spacing w:val="-2"/>
                <w:sz w:val="16"/>
                <w:szCs w:val="16"/>
              </w:rPr>
              <w:t>葵花籽仁</w:t>
            </w:r>
          </w:p>
        </w:tc>
        <w:tc>
          <w:tcPr>
            <w:tcW w:w="1002" w:type="dxa"/>
          </w:tcPr>
          <w:p w:rsidR="00EA40A3" w:rsidRDefault="00E86C16">
            <w:pPr>
              <w:spacing w:before="111" w:line="183" w:lineRule="auto"/>
              <w:ind w:left="319"/>
              <w:rPr>
                <w:rFonts w:ascii="宋体" w:eastAsia="宋体" w:hAnsi="宋体" w:cs="宋体"/>
                <w:sz w:val="16"/>
                <w:szCs w:val="16"/>
              </w:rPr>
            </w:pPr>
            <w:r>
              <w:rPr>
                <w:rFonts w:ascii="宋体" w:eastAsia="宋体" w:hAnsi="宋体" w:cs="宋体"/>
                <w:spacing w:val="-2"/>
                <w:sz w:val="16"/>
                <w:szCs w:val="16"/>
              </w:rPr>
              <w:t>50.3</w:t>
            </w:r>
          </w:p>
        </w:tc>
        <w:tc>
          <w:tcPr>
            <w:tcW w:w="1000" w:type="dxa"/>
          </w:tcPr>
          <w:p w:rsidR="00EA40A3" w:rsidRDefault="00E86C16">
            <w:pPr>
              <w:spacing w:before="101" w:line="183" w:lineRule="auto"/>
              <w:ind w:left="336"/>
              <w:rPr>
                <w:rFonts w:ascii="宋体" w:eastAsia="宋体" w:hAnsi="宋体" w:cs="宋体"/>
                <w:sz w:val="16"/>
                <w:szCs w:val="16"/>
              </w:rPr>
            </w:pPr>
            <w:r>
              <w:rPr>
                <w:rFonts w:ascii="宋体" w:eastAsia="宋体" w:hAnsi="宋体" w:cs="宋体"/>
                <w:spacing w:val="-2"/>
                <w:sz w:val="16"/>
                <w:szCs w:val="16"/>
              </w:rPr>
              <w:t>2.28</w:t>
            </w:r>
          </w:p>
        </w:tc>
        <w:tc>
          <w:tcPr>
            <w:tcW w:w="1064" w:type="dxa"/>
          </w:tcPr>
          <w:p w:rsidR="00EA40A3" w:rsidRDefault="00E86C16">
            <w:pPr>
              <w:spacing w:before="111" w:line="183" w:lineRule="auto"/>
              <w:ind w:left="356"/>
              <w:rPr>
                <w:rFonts w:ascii="宋体" w:eastAsia="宋体" w:hAnsi="宋体" w:cs="宋体"/>
                <w:sz w:val="16"/>
                <w:szCs w:val="16"/>
              </w:rPr>
            </w:pPr>
            <w:r>
              <w:rPr>
                <w:rFonts w:ascii="宋体" w:eastAsia="宋体" w:hAnsi="宋体" w:cs="宋体"/>
                <w:spacing w:val="-2"/>
                <w:sz w:val="16"/>
                <w:szCs w:val="16"/>
              </w:rPr>
              <w:t>0.25</w:t>
            </w:r>
          </w:p>
        </w:tc>
        <w:tc>
          <w:tcPr>
            <w:tcW w:w="897" w:type="dxa"/>
          </w:tcPr>
          <w:p w:rsidR="00EA40A3" w:rsidRDefault="00E86C16">
            <w:pPr>
              <w:spacing w:before="111" w:line="183" w:lineRule="auto"/>
              <w:ind w:left="323"/>
              <w:rPr>
                <w:rFonts w:ascii="宋体" w:eastAsia="宋体" w:hAnsi="宋体" w:cs="宋体"/>
                <w:sz w:val="16"/>
                <w:szCs w:val="16"/>
              </w:rPr>
            </w:pPr>
            <w:r>
              <w:rPr>
                <w:rFonts w:ascii="宋体" w:eastAsia="宋体" w:hAnsi="宋体" w:cs="宋体"/>
                <w:spacing w:val="-2"/>
                <w:sz w:val="16"/>
                <w:szCs w:val="16"/>
              </w:rPr>
              <w:t>4.50</w:t>
            </w:r>
          </w:p>
        </w:tc>
        <w:tc>
          <w:tcPr>
            <w:tcW w:w="1184" w:type="dxa"/>
          </w:tcPr>
          <w:p w:rsidR="00EA40A3" w:rsidRDefault="00E86C16">
            <w:pPr>
              <w:spacing w:before="111" w:line="183" w:lineRule="auto"/>
              <w:ind w:left="426"/>
              <w:rPr>
                <w:rFonts w:ascii="宋体" w:eastAsia="宋体" w:hAnsi="宋体" w:cs="宋体"/>
                <w:sz w:val="16"/>
                <w:szCs w:val="16"/>
              </w:rPr>
            </w:pPr>
            <w:r>
              <w:rPr>
                <w:rFonts w:ascii="宋体" w:eastAsia="宋体" w:hAnsi="宋体" w:cs="宋体"/>
                <w:spacing w:val="-2"/>
                <w:sz w:val="16"/>
                <w:szCs w:val="16"/>
              </w:rPr>
              <w:t>0.78</w:t>
            </w:r>
          </w:p>
        </w:tc>
        <w:tc>
          <w:tcPr>
            <w:tcW w:w="1061" w:type="dxa"/>
          </w:tcPr>
          <w:p w:rsidR="00EA40A3" w:rsidRDefault="00E86C16">
            <w:pPr>
              <w:spacing w:before="101" w:line="183" w:lineRule="auto"/>
              <w:ind w:left="311"/>
              <w:rPr>
                <w:rFonts w:ascii="宋体" w:eastAsia="宋体" w:hAnsi="宋体" w:cs="宋体"/>
                <w:sz w:val="16"/>
                <w:szCs w:val="16"/>
              </w:rPr>
            </w:pPr>
            <w:r>
              <w:rPr>
                <w:rFonts w:ascii="宋体" w:eastAsia="宋体" w:hAnsi="宋体" w:cs="宋体"/>
                <w:spacing w:val="-2"/>
                <w:sz w:val="16"/>
                <w:szCs w:val="16"/>
              </w:rPr>
              <w:t>227.8</w:t>
            </w:r>
          </w:p>
        </w:tc>
      </w:tr>
      <w:tr w:rsidR="00EA40A3">
        <w:trPr>
          <w:trHeight w:val="243"/>
        </w:trPr>
        <w:tc>
          <w:tcPr>
            <w:tcW w:w="1131" w:type="dxa"/>
            <w:tcBorders>
              <w:bottom w:val="single" w:sz="4" w:space="0" w:color="000000"/>
            </w:tcBorders>
          </w:tcPr>
          <w:p w:rsidR="00EA40A3" w:rsidRDefault="00E86C16">
            <w:pPr>
              <w:spacing w:before="66" w:line="204" w:lineRule="auto"/>
              <w:ind w:left="390"/>
              <w:rPr>
                <w:rFonts w:ascii="宋体" w:eastAsia="宋体" w:hAnsi="宋体" w:cs="宋体"/>
                <w:sz w:val="16"/>
                <w:szCs w:val="16"/>
              </w:rPr>
            </w:pPr>
            <w:r>
              <w:rPr>
                <w:rFonts w:ascii="宋体" w:eastAsia="宋体" w:hAnsi="宋体" w:cs="宋体"/>
                <w:spacing w:val="-2"/>
                <w:sz w:val="16"/>
                <w:szCs w:val="16"/>
              </w:rPr>
              <w:t>栗子</w:t>
            </w:r>
          </w:p>
        </w:tc>
        <w:tc>
          <w:tcPr>
            <w:tcW w:w="1002" w:type="dxa"/>
            <w:tcBorders>
              <w:bottom w:val="single" w:sz="4" w:space="0" w:color="000000"/>
            </w:tcBorders>
          </w:tcPr>
          <w:p w:rsidR="00EA40A3" w:rsidRDefault="00E86C16">
            <w:pPr>
              <w:spacing w:before="116" w:line="126" w:lineRule="exact"/>
              <w:ind w:left="319"/>
              <w:rPr>
                <w:rFonts w:ascii="宋体" w:eastAsia="宋体" w:hAnsi="宋体" w:cs="宋体"/>
                <w:sz w:val="16"/>
                <w:szCs w:val="16"/>
              </w:rPr>
            </w:pPr>
            <w:r>
              <w:rPr>
                <w:rFonts w:ascii="宋体" w:eastAsia="宋体" w:hAnsi="宋体" w:cs="宋体"/>
                <w:spacing w:val="-4"/>
                <w:position w:val="-2"/>
                <w:sz w:val="16"/>
                <w:szCs w:val="16"/>
              </w:rPr>
              <w:t>1.20</w:t>
            </w:r>
          </w:p>
        </w:tc>
        <w:tc>
          <w:tcPr>
            <w:tcW w:w="1000" w:type="dxa"/>
            <w:tcBorders>
              <w:bottom w:val="single" w:sz="4" w:space="0" w:color="000000"/>
            </w:tcBorders>
          </w:tcPr>
          <w:p w:rsidR="00EA40A3" w:rsidRDefault="00E86C16">
            <w:pPr>
              <w:spacing w:before="106" w:line="157" w:lineRule="auto"/>
              <w:ind w:left="336"/>
              <w:rPr>
                <w:rFonts w:ascii="宋体" w:eastAsia="宋体" w:hAnsi="宋体" w:cs="宋体"/>
                <w:sz w:val="16"/>
                <w:szCs w:val="16"/>
              </w:rPr>
            </w:pPr>
            <w:r>
              <w:rPr>
                <w:rFonts w:ascii="宋体" w:eastAsia="宋体" w:hAnsi="宋体" w:cs="宋体"/>
                <w:spacing w:val="-2"/>
                <w:sz w:val="16"/>
                <w:szCs w:val="16"/>
              </w:rPr>
              <w:t>0.24</w:t>
            </w:r>
          </w:p>
        </w:tc>
        <w:tc>
          <w:tcPr>
            <w:tcW w:w="1064" w:type="dxa"/>
            <w:tcBorders>
              <w:bottom w:val="single" w:sz="4" w:space="0" w:color="000000"/>
            </w:tcBorders>
          </w:tcPr>
          <w:p w:rsidR="00EA40A3" w:rsidRDefault="00E86C16">
            <w:pPr>
              <w:spacing w:before="116" w:line="126" w:lineRule="exact"/>
              <w:ind w:left="356"/>
              <w:rPr>
                <w:rFonts w:ascii="宋体" w:eastAsia="宋体" w:hAnsi="宋体" w:cs="宋体"/>
                <w:sz w:val="16"/>
                <w:szCs w:val="16"/>
              </w:rPr>
            </w:pPr>
            <w:r>
              <w:rPr>
                <w:rFonts w:ascii="宋体" w:eastAsia="宋体" w:hAnsi="宋体" w:cs="宋体"/>
                <w:spacing w:val="-2"/>
                <w:position w:val="-2"/>
                <w:sz w:val="16"/>
                <w:szCs w:val="16"/>
              </w:rPr>
              <w:t>0.17</w:t>
            </w:r>
          </w:p>
        </w:tc>
        <w:tc>
          <w:tcPr>
            <w:tcW w:w="897" w:type="dxa"/>
            <w:tcBorders>
              <w:bottom w:val="single" w:sz="4" w:space="0" w:color="000000"/>
            </w:tcBorders>
          </w:tcPr>
          <w:p w:rsidR="00EA40A3" w:rsidRDefault="00E86C16">
            <w:pPr>
              <w:spacing w:before="116" w:line="126" w:lineRule="exact"/>
              <w:ind w:left="323"/>
              <w:rPr>
                <w:rFonts w:ascii="宋体" w:eastAsia="宋体" w:hAnsi="宋体" w:cs="宋体"/>
                <w:sz w:val="16"/>
                <w:szCs w:val="16"/>
              </w:rPr>
            </w:pPr>
            <w:r>
              <w:rPr>
                <w:rFonts w:ascii="宋体" w:eastAsia="宋体" w:hAnsi="宋体" w:cs="宋体"/>
                <w:spacing w:val="-4"/>
                <w:position w:val="-2"/>
                <w:sz w:val="16"/>
                <w:szCs w:val="16"/>
              </w:rPr>
              <w:t>1.34</w:t>
            </w:r>
          </w:p>
        </w:tc>
        <w:tc>
          <w:tcPr>
            <w:tcW w:w="1184" w:type="dxa"/>
            <w:tcBorders>
              <w:bottom w:val="single" w:sz="4" w:space="0" w:color="000000"/>
            </w:tcBorders>
          </w:tcPr>
          <w:p w:rsidR="00EA40A3" w:rsidRDefault="00E86C16">
            <w:pPr>
              <w:spacing w:before="106" w:line="157" w:lineRule="auto"/>
              <w:ind w:left="426"/>
              <w:rPr>
                <w:rFonts w:ascii="宋体" w:eastAsia="宋体" w:hAnsi="宋体" w:cs="宋体"/>
                <w:sz w:val="16"/>
                <w:szCs w:val="16"/>
              </w:rPr>
            </w:pPr>
            <w:r>
              <w:rPr>
                <w:rFonts w:ascii="宋体" w:eastAsia="宋体" w:hAnsi="宋体" w:cs="宋体"/>
                <w:spacing w:val="-2"/>
                <w:sz w:val="16"/>
                <w:szCs w:val="16"/>
              </w:rPr>
              <w:t>0.50</w:t>
            </w:r>
          </w:p>
        </w:tc>
        <w:tc>
          <w:tcPr>
            <w:tcW w:w="1061" w:type="dxa"/>
            <w:tcBorders>
              <w:bottom w:val="single" w:sz="4" w:space="0" w:color="000000"/>
            </w:tcBorders>
          </w:tcPr>
          <w:p w:rsidR="00EA40A3" w:rsidRDefault="00E86C16">
            <w:pPr>
              <w:spacing w:before="106" w:line="157" w:lineRule="auto"/>
              <w:ind w:left="311"/>
              <w:rPr>
                <w:rFonts w:ascii="宋体" w:eastAsia="宋体" w:hAnsi="宋体" w:cs="宋体"/>
                <w:sz w:val="16"/>
                <w:szCs w:val="16"/>
              </w:rPr>
            </w:pPr>
            <w:r>
              <w:rPr>
                <w:rFonts w:ascii="宋体" w:eastAsia="宋体" w:hAnsi="宋体" w:cs="宋体"/>
                <w:spacing w:val="-2"/>
                <w:sz w:val="16"/>
                <w:szCs w:val="16"/>
              </w:rPr>
              <w:t>69.9</w:t>
            </w:r>
          </w:p>
        </w:tc>
      </w:tr>
    </w:tbl>
    <w:p w:rsidR="00EA40A3" w:rsidRDefault="00E86C16">
      <w:pPr>
        <w:spacing w:before="97" w:line="243" w:lineRule="auto"/>
        <w:ind w:left="360" w:right="4" w:firstLine="9"/>
        <w:rPr>
          <w:rFonts w:ascii="Times New Roman" w:eastAsia="Times New Roman" w:hAnsi="Times New Roman" w:cs="Times New Roman"/>
          <w:sz w:val="17"/>
          <w:szCs w:val="17"/>
        </w:rPr>
      </w:pPr>
      <w:r>
        <w:rPr>
          <w:rFonts w:ascii="宋体" w:eastAsia="宋体" w:hAnsi="宋体" w:cs="宋体"/>
          <w:spacing w:val="-4"/>
          <w:sz w:val="16"/>
          <w:szCs w:val="16"/>
        </w:rPr>
        <w:t>资料来源：Souci</w:t>
      </w:r>
      <w:r>
        <w:rPr>
          <w:rFonts w:ascii="宋体" w:eastAsia="宋体" w:hAnsi="宋体" w:cs="宋体"/>
          <w:spacing w:val="3"/>
          <w:sz w:val="16"/>
          <w:szCs w:val="16"/>
        </w:rPr>
        <w:t xml:space="preserve"> </w:t>
      </w:r>
      <w:r>
        <w:rPr>
          <w:rFonts w:ascii="宋体" w:eastAsia="宋体" w:hAnsi="宋体" w:cs="宋体"/>
          <w:spacing w:val="-4"/>
          <w:sz w:val="16"/>
          <w:szCs w:val="16"/>
        </w:rPr>
        <w:t>SW,Fachmann</w:t>
      </w:r>
      <w:r>
        <w:rPr>
          <w:rFonts w:ascii="宋体" w:eastAsia="宋体" w:hAnsi="宋体" w:cs="宋体"/>
          <w:spacing w:val="-2"/>
          <w:sz w:val="16"/>
          <w:szCs w:val="16"/>
        </w:rPr>
        <w:t xml:space="preserve"> </w:t>
      </w:r>
      <w:r>
        <w:rPr>
          <w:rFonts w:ascii="宋体" w:eastAsia="宋体" w:hAnsi="宋体" w:cs="宋体"/>
          <w:spacing w:val="-4"/>
          <w:sz w:val="16"/>
          <w:szCs w:val="16"/>
        </w:rPr>
        <w:t>W,Kraut</w:t>
      </w:r>
      <w:r>
        <w:rPr>
          <w:rFonts w:ascii="宋体" w:eastAsia="宋体" w:hAnsi="宋体" w:cs="宋体"/>
          <w:spacing w:val="-1"/>
          <w:sz w:val="16"/>
          <w:szCs w:val="16"/>
        </w:rPr>
        <w:t xml:space="preserve"> </w:t>
      </w:r>
      <w:r>
        <w:rPr>
          <w:rFonts w:ascii="宋体" w:eastAsia="宋体" w:hAnsi="宋体" w:cs="宋体"/>
          <w:spacing w:val="-4"/>
          <w:sz w:val="16"/>
          <w:szCs w:val="16"/>
        </w:rPr>
        <w:t>H.</w:t>
      </w:r>
      <w:r>
        <w:rPr>
          <w:rFonts w:ascii="宋体" w:eastAsia="宋体" w:hAnsi="宋体" w:cs="宋体"/>
          <w:spacing w:val="5"/>
          <w:sz w:val="16"/>
          <w:szCs w:val="16"/>
        </w:rPr>
        <w:t xml:space="preserve"> </w:t>
      </w:r>
      <w:r>
        <w:rPr>
          <w:rFonts w:ascii="宋体" w:eastAsia="宋体" w:hAnsi="宋体" w:cs="宋体"/>
          <w:spacing w:val="-4"/>
          <w:sz w:val="16"/>
          <w:szCs w:val="16"/>
        </w:rPr>
        <w:t>2</w:t>
      </w:r>
      <w:r>
        <w:rPr>
          <w:rFonts w:ascii="宋体" w:eastAsia="宋体" w:hAnsi="宋体" w:cs="宋体"/>
          <w:spacing w:val="-5"/>
          <w:sz w:val="16"/>
          <w:szCs w:val="16"/>
        </w:rPr>
        <w:t>000.</w:t>
      </w:r>
      <w:r>
        <w:rPr>
          <w:rFonts w:ascii="宋体" w:eastAsia="宋体" w:hAnsi="宋体" w:cs="宋体"/>
          <w:spacing w:val="1"/>
          <w:sz w:val="16"/>
          <w:szCs w:val="16"/>
        </w:rPr>
        <w:t xml:space="preserve"> </w:t>
      </w:r>
      <w:r>
        <w:rPr>
          <w:rFonts w:ascii="宋体" w:eastAsia="宋体" w:hAnsi="宋体" w:cs="宋体"/>
          <w:spacing w:val="-4"/>
          <w:sz w:val="16"/>
          <w:szCs w:val="16"/>
        </w:rPr>
        <w:t>Food</w:t>
      </w:r>
      <w:r>
        <w:rPr>
          <w:rFonts w:ascii="宋体" w:eastAsia="宋体" w:hAnsi="宋体" w:cs="宋体"/>
          <w:spacing w:val="6"/>
          <w:sz w:val="16"/>
          <w:szCs w:val="16"/>
        </w:rPr>
        <w:t xml:space="preserve"> </w:t>
      </w:r>
      <w:r>
        <w:rPr>
          <w:rFonts w:ascii="宋体" w:eastAsia="宋体" w:hAnsi="宋体" w:cs="宋体"/>
          <w:spacing w:val="-4"/>
          <w:sz w:val="16"/>
          <w:szCs w:val="16"/>
        </w:rPr>
        <w:t>composition</w:t>
      </w:r>
      <w:r>
        <w:rPr>
          <w:rFonts w:ascii="宋体" w:eastAsia="宋体" w:hAnsi="宋体" w:cs="宋体"/>
          <w:spacing w:val="4"/>
          <w:sz w:val="16"/>
          <w:szCs w:val="16"/>
        </w:rPr>
        <w:t xml:space="preserve"> </w:t>
      </w:r>
      <w:r>
        <w:rPr>
          <w:rFonts w:ascii="宋体" w:eastAsia="宋体" w:hAnsi="宋体" w:cs="宋体"/>
          <w:spacing w:val="-4"/>
          <w:sz w:val="16"/>
          <w:szCs w:val="16"/>
        </w:rPr>
        <w:t>and</w:t>
      </w:r>
      <w:r>
        <w:rPr>
          <w:rFonts w:ascii="宋体" w:eastAsia="宋体" w:hAnsi="宋体" w:cs="宋体"/>
          <w:spacing w:val="2"/>
          <w:sz w:val="16"/>
          <w:szCs w:val="16"/>
        </w:rPr>
        <w:t xml:space="preserve"> </w:t>
      </w:r>
      <w:r>
        <w:rPr>
          <w:rFonts w:ascii="宋体" w:eastAsia="宋体" w:hAnsi="宋体" w:cs="宋体"/>
          <w:spacing w:val="-4"/>
          <w:sz w:val="16"/>
          <w:szCs w:val="16"/>
        </w:rPr>
        <w:t>nutrition</w:t>
      </w:r>
      <w:r>
        <w:rPr>
          <w:rFonts w:ascii="宋体" w:eastAsia="宋体" w:hAnsi="宋体" w:cs="宋体"/>
          <w:spacing w:val="7"/>
          <w:sz w:val="16"/>
          <w:szCs w:val="16"/>
        </w:rPr>
        <w:t xml:space="preserve"> </w:t>
      </w:r>
      <w:r>
        <w:rPr>
          <w:rFonts w:ascii="宋体" w:eastAsia="宋体" w:hAnsi="宋体" w:cs="宋体"/>
          <w:spacing w:val="-4"/>
          <w:sz w:val="16"/>
          <w:szCs w:val="16"/>
        </w:rPr>
        <w:t>tables</w:t>
      </w:r>
      <w:r>
        <w:rPr>
          <w:rFonts w:ascii="宋体" w:eastAsia="宋体" w:hAnsi="宋体" w:cs="宋体"/>
          <w:spacing w:val="-5"/>
          <w:sz w:val="16"/>
          <w:szCs w:val="16"/>
        </w:rPr>
        <w:t>.</w:t>
      </w:r>
      <w:r>
        <w:rPr>
          <w:rFonts w:ascii="宋体" w:eastAsia="宋体" w:hAnsi="宋体" w:cs="宋体"/>
          <w:spacing w:val="4"/>
          <w:sz w:val="16"/>
          <w:szCs w:val="16"/>
        </w:rPr>
        <w:t xml:space="preserve"> </w:t>
      </w:r>
      <w:r>
        <w:rPr>
          <w:rFonts w:ascii="宋体" w:eastAsia="宋体" w:hAnsi="宋体" w:cs="宋体"/>
          <w:spacing w:val="-5"/>
          <w:sz w:val="16"/>
          <w:szCs w:val="16"/>
        </w:rPr>
        <w:t>6</w:t>
      </w:r>
      <w:r>
        <w:rPr>
          <w:rFonts w:ascii="宋体" w:eastAsia="宋体" w:hAnsi="宋体" w:cs="宋体"/>
          <w:spacing w:val="-4"/>
          <w:sz w:val="16"/>
          <w:szCs w:val="16"/>
        </w:rPr>
        <w:t>th</w:t>
      </w:r>
      <w:r>
        <w:rPr>
          <w:rFonts w:ascii="宋体" w:eastAsia="宋体" w:hAnsi="宋体" w:cs="宋体"/>
          <w:spacing w:val="2"/>
          <w:sz w:val="16"/>
          <w:szCs w:val="16"/>
        </w:rPr>
        <w:t xml:space="preserve"> </w:t>
      </w:r>
      <w:r>
        <w:rPr>
          <w:rFonts w:ascii="宋体" w:eastAsia="宋体" w:hAnsi="宋体" w:cs="宋体"/>
          <w:spacing w:val="-4"/>
          <w:sz w:val="16"/>
          <w:szCs w:val="16"/>
        </w:rPr>
        <w:t>re</w:t>
      </w:r>
      <w:r>
        <w:rPr>
          <w:rFonts w:ascii="宋体" w:eastAsia="宋体" w:hAnsi="宋体" w:cs="宋体"/>
          <w:spacing w:val="-5"/>
          <w:sz w:val="16"/>
          <w:szCs w:val="16"/>
        </w:rPr>
        <w:t>-</w:t>
      </w:r>
      <w:r>
        <w:rPr>
          <w:rFonts w:ascii="宋体" w:eastAsia="宋体" w:hAnsi="宋体" w:cs="宋体"/>
          <w:sz w:val="16"/>
          <w:szCs w:val="16"/>
        </w:rPr>
        <w:t xml:space="preserve"> </w:t>
      </w:r>
      <w:r>
        <w:rPr>
          <w:rFonts w:ascii="Times New Roman" w:eastAsia="Times New Roman" w:hAnsi="Times New Roman" w:cs="Times New Roman"/>
          <w:sz w:val="17"/>
          <w:szCs w:val="17"/>
        </w:rPr>
        <w:t>vised</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z w:val="17"/>
          <w:szCs w:val="17"/>
        </w:rPr>
        <w:t>and</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z w:val="17"/>
          <w:szCs w:val="17"/>
        </w:rPr>
        <w:t>completed</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z w:val="17"/>
          <w:szCs w:val="17"/>
        </w:rPr>
        <w:t>edition</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Medpharm</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z w:val="17"/>
          <w:szCs w:val="17"/>
        </w:rPr>
        <w:t>Scient</w:t>
      </w:r>
      <w:r>
        <w:rPr>
          <w:rFonts w:ascii="Times New Roman" w:eastAsia="Times New Roman" w:hAnsi="Times New Roman" w:cs="Times New Roman"/>
          <w:spacing w:val="-1"/>
          <w:sz w:val="17"/>
          <w:szCs w:val="17"/>
        </w:rPr>
        <w:t>ific</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pacing w:val="-1"/>
          <w:sz w:val="17"/>
          <w:szCs w:val="17"/>
        </w:rPr>
        <w:t>Publishers.</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London:CRC</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pacing w:val="-1"/>
          <w:sz w:val="17"/>
          <w:szCs w:val="17"/>
        </w:rPr>
        <w:t>Press.</w:t>
      </w:r>
    </w:p>
    <w:p w:rsidR="00EA40A3" w:rsidRDefault="00EA40A3">
      <w:pPr>
        <w:spacing w:line="366" w:lineRule="auto"/>
      </w:pPr>
    </w:p>
    <w:p w:rsidR="00EA40A3" w:rsidRDefault="00E86C16">
      <w:pPr>
        <w:spacing w:before="69" w:line="250" w:lineRule="auto"/>
        <w:ind w:right="118" w:firstLine="360"/>
        <w:jc w:val="both"/>
        <w:rPr>
          <w:rFonts w:ascii="宋体" w:eastAsia="宋体" w:hAnsi="宋体" w:cs="宋体"/>
        </w:rPr>
      </w:pPr>
      <w:r>
        <w:rPr>
          <w:rFonts w:ascii="宋体" w:eastAsia="宋体" w:hAnsi="宋体" w:cs="宋体"/>
          <w:spacing w:val="-2"/>
        </w:rPr>
        <w:t>部分坚果品种含少量胡萝卜素，例如榛子、核桃、花生、</w:t>
      </w:r>
      <w:r>
        <w:rPr>
          <w:rFonts w:ascii="宋体" w:eastAsia="宋体" w:hAnsi="宋体" w:cs="宋体"/>
          <w:spacing w:val="-3"/>
        </w:rPr>
        <w:t>葵花籽、松子的胡</w:t>
      </w:r>
      <w:r>
        <w:rPr>
          <w:rFonts w:ascii="宋体" w:eastAsia="宋体" w:hAnsi="宋体" w:cs="宋体"/>
        </w:rPr>
        <w:t xml:space="preserve"> </w:t>
      </w:r>
      <w:r>
        <w:rPr>
          <w:rFonts w:ascii="宋体" w:eastAsia="宋体" w:hAnsi="宋体" w:cs="宋体"/>
          <w:spacing w:val="-1"/>
        </w:rPr>
        <w:t>萝卜素含量为0.03～0.07mg/100g,</w:t>
      </w:r>
      <w:r>
        <w:rPr>
          <w:rFonts w:ascii="宋体" w:eastAsia="宋体" w:hAnsi="宋体" w:cs="宋体"/>
          <w:spacing w:val="39"/>
        </w:rPr>
        <w:t xml:space="preserve"> </w:t>
      </w:r>
      <w:r>
        <w:rPr>
          <w:rFonts w:ascii="宋体" w:eastAsia="宋体" w:hAnsi="宋体" w:cs="宋体"/>
          <w:spacing w:val="-1"/>
        </w:rPr>
        <w:t>鲜板栗和开心果达0.1mg/100g</w:t>
      </w:r>
      <w:r>
        <w:rPr>
          <w:rFonts w:ascii="宋体" w:eastAsia="宋体" w:hAnsi="宋体" w:cs="宋体"/>
          <w:spacing w:val="32"/>
        </w:rPr>
        <w:t xml:space="preserve"> </w:t>
      </w:r>
      <w:r>
        <w:rPr>
          <w:rFonts w:ascii="宋体" w:eastAsia="宋体" w:hAnsi="宋体" w:cs="宋体"/>
          <w:spacing w:val="-1"/>
        </w:rPr>
        <w:t>以上。</w:t>
      </w:r>
      <w:r>
        <w:rPr>
          <w:rFonts w:ascii="宋体" w:eastAsia="宋体" w:hAnsi="宋体" w:cs="宋体"/>
          <w:spacing w:val="-13"/>
        </w:rPr>
        <w:t xml:space="preserve"> </w:t>
      </w:r>
      <w:r>
        <w:rPr>
          <w:rFonts w:ascii="宋体" w:eastAsia="宋体" w:hAnsi="宋体" w:cs="宋体"/>
          <w:spacing w:val="-1"/>
        </w:rPr>
        <w:t>一些</w:t>
      </w:r>
      <w:r>
        <w:rPr>
          <w:rFonts w:ascii="宋体" w:eastAsia="宋体" w:hAnsi="宋体" w:cs="宋体"/>
        </w:rPr>
        <w:t xml:space="preserve"> </w:t>
      </w:r>
      <w:r>
        <w:rPr>
          <w:rFonts w:ascii="宋体" w:eastAsia="宋体" w:hAnsi="宋体" w:cs="宋体"/>
          <w:spacing w:val="2"/>
        </w:rPr>
        <w:t>坚果中含有相当数量的维生素C,</w:t>
      </w:r>
      <w:r>
        <w:rPr>
          <w:rFonts w:ascii="宋体" w:eastAsia="宋体" w:hAnsi="宋体" w:cs="宋体"/>
          <w:spacing w:val="32"/>
        </w:rPr>
        <w:t xml:space="preserve"> </w:t>
      </w:r>
      <w:r>
        <w:rPr>
          <w:rFonts w:ascii="宋体" w:eastAsia="宋体" w:hAnsi="宋体" w:cs="宋体"/>
          <w:spacing w:val="2"/>
        </w:rPr>
        <w:t>如欧榛中含维生素C</w:t>
      </w:r>
      <w:r>
        <w:rPr>
          <w:rFonts w:ascii="宋体" w:eastAsia="宋体" w:hAnsi="宋体" w:cs="宋体"/>
          <w:spacing w:val="-13"/>
        </w:rPr>
        <w:t xml:space="preserve"> </w:t>
      </w:r>
      <w:r>
        <w:rPr>
          <w:rFonts w:ascii="宋体" w:eastAsia="宋体" w:hAnsi="宋体" w:cs="宋体"/>
          <w:spacing w:val="2"/>
        </w:rPr>
        <w:t>达22</w:t>
      </w:r>
      <w:r>
        <w:rPr>
          <w:rFonts w:ascii="宋体" w:eastAsia="宋体" w:hAnsi="宋体" w:cs="宋体"/>
        </w:rPr>
        <w:t>mg</w:t>
      </w:r>
      <w:r>
        <w:rPr>
          <w:rFonts w:ascii="宋体" w:eastAsia="宋体" w:hAnsi="宋体" w:cs="宋体"/>
          <w:spacing w:val="2"/>
        </w:rPr>
        <w:t>/100g,</w:t>
      </w:r>
      <w:r>
        <w:rPr>
          <w:rFonts w:ascii="宋体" w:eastAsia="宋体" w:hAnsi="宋体" w:cs="宋体"/>
          <w:spacing w:val="27"/>
        </w:rPr>
        <w:t xml:space="preserve"> </w:t>
      </w:r>
      <w:r>
        <w:rPr>
          <w:rFonts w:ascii="宋体" w:eastAsia="宋体" w:hAnsi="宋体" w:cs="宋体"/>
          <w:spacing w:val="2"/>
        </w:rPr>
        <w:t>栗子、杏</w:t>
      </w:r>
      <w:r>
        <w:rPr>
          <w:rFonts w:ascii="宋体" w:eastAsia="宋体" w:hAnsi="宋体" w:cs="宋体"/>
        </w:rPr>
        <w:t xml:space="preserve"> </w:t>
      </w:r>
      <w:r>
        <w:rPr>
          <w:rFonts w:ascii="宋体" w:eastAsia="宋体" w:hAnsi="宋体" w:cs="宋体"/>
          <w:spacing w:val="1"/>
        </w:rPr>
        <w:t>仁为25</w:t>
      </w:r>
      <w:r>
        <w:rPr>
          <w:rFonts w:ascii="宋体" w:eastAsia="宋体" w:hAnsi="宋体" w:cs="宋体"/>
        </w:rPr>
        <w:t>mg</w:t>
      </w:r>
      <w:r>
        <w:rPr>
          <w:rFonts w:ascii="宋体" w:eastAsia="宋体" w:hAnsi="宋体" w:cs="宋体"/>
          <w:spacing w:val="1"/>
        </w:rPr>
        <w:t>/100g</w:t>
      </w:r>
      <w:r>
        <w:rPr>
          <w:rFonts w:ascii="宋体" w:eastAsia="宋体" w:hAnsi="宋体" w:cs="宋体"/>
          <w:spacing w:val="-8"/>
        </w:rPr>
        <w:t xml:space="preserve"> </w:t>
      </w:r>
      <w:r>
        <w:rPr>
          <w:rFonts w:ascii="宋体" w:eastAsia="宋体" w:hAnsi="宋体" w:cs="宋体"/>
          <w:spacing w:val="1"/>
        </w:rPr>
        <w:t>左右，可以作为膳食中维生素C</w:t>
      </w:r>
      <w:r>
        <w:rPr>
          <w:rFonts w:ascii="宋体" w:eastAsia="宋体" w:hAnsi="宋体" w:cs="宋体"/>
          <w:spacing w:val="-4"/>
        </w:rPr>
        <w:t xml:space="preserve"> </w:t>
      </w:r>
      <w:r>
        <w:rPr>
          <w:rFonts w:ascii="宋体" w:eastAsia="宋体" w:hAnsi="宋体" w:cs="宋体"/>
          <w:spacing w:val="1"/>
        </w:rPr>
        <w:t>的</w:t>
      </w:r>
      <w:r>
        <w:rPr>
          <w:rFonts w:ascii="宋体" w:eastAsia="宋体" w:hAnsi="宋体" w:cs="宋体"/>
        </w:rPr>
        <w:t>补充来源。</w:t>
      </w:r>
    </w:p>
    <w:p w:rsidR="00EA40A3" w:rsidRDefault="00E86C16">
      <w:pPr>
        <w:spacing w:before="220" w:line="221" w:lineRule="auto"/>
        <w:rPr>
          <w:rFonts w:ascii="仿宋" w:eastAsia="仿宋" w:hAnsi="仿宋" w:cs="仿宋"/>
        </w:rPr>
      </w:pPr>
      <w:r>
        <w:rPr>
          <w:rFonts w:ascii="仿宋" w:eastAsia="仿宋" w:hAnsi="仿宋" w:cs="仿宋"/>
          <w:spacing w:val="-9"/>
        </w:rPr>
        <w:t>5.</w:t>
      </w:r>
      <w:r>
        <w:rPr>
          <w:rFonts w:ascii="仿宋" w:eastAsia="仿宋" w:hAnsi="仿宋" w:cs="仿宋"/>
          <w:spacing w:val="10"/>
        </w:rPr>
        <w:t xml:space="preserve"> </w:t>
      </w:r>
      <w:r>
        <w:rPr>
          <w:rFonts w:ascii="仿宋" w:eastAsia="仿宋" w:hAnsi="仿宋" w:cs="仿宋"/>
          <w:spacing w:val="-9"/>
        </w:rPr>
        <w:t>矿</w:t>
      </w:r>
      <w:r>
        <w:rPr>
          <w:rFonts w:ascii="仿宋" w:eastAsia="仿宋" w:hAnsi="仿宋" w:cs="仿宋"/>
          <w:spacing w:val="-38"/>
        </w:rPr>
        <w:t xml:space="preserve"> </w:t>
      </w:r>
      <w:r>
        <w:rPr>
          <w:rFonts w:ascii="仿宋" w:eastAsia="仿宋" w:hAnsi="仿宋" w:cs="仿宋"/>
          <w:spacing w:val="-9"/>
        </w:rPr>
        <w:t>物</w:t>
      </w:r>
      <w:r>
        <w:rPr>
          <w:rFonts w:ascii="仿宋" w:eastAsia="仿宋" w:hAnsi="仿宋" w:cs="仿宋"/>
          <w:spacing w:val="-33"/>
        </w:rPr>
        <w:t xml:space="preserve"> </w:t>
      </w:r>
      <w:r>
        <w:rPr>
          <w:rFonts w:ascii="仿宋" w:eastAsia="仿宋" w:hAnsi="仿宋" w:cs="仿宋"/>
          <w:spacing w:val="-9"/>
        </w:rPr>
        <w:t>质</w:t>
      </w:r>
    </w:p>
    <w:p w:rsidR="00EA40A3" w:rsidRDefault="00E86C16">
      <w:pPr>
        <w:spacing w:before="230" w:line="253" w:lineRule="auto"/>
        <w:ind w:right="25" w:firstLine="360"/>
        <w:jc w:val="both"/>
        <w:rPr>
          <w:rFonts w:ascii="宋体" w:eastAsia="宋体" w:hAnsi="宋体" w:cs="宋体"/>
        </w:rPr>
      </w:pPr>
      <w:r>
        <w:rPr>
          <w:rFonts w:ascii="宋体" w:eastAsia="宋体" w:hAnsi="宋体" w:cs="宋体"/>
          <w:spacing w:val="-3"/>
        </w:rPr>
        <w:t>含油坚果类的钾、镁、磷、铁、锌、铜、锰、硒等各种微量元素的含量在各</w:t>
      </w:r>
      <w:r>
        <w:rPr>
          <w:rFonts w:ascii="宋体" w:eastAsia="宋体" w:hAnsi="宋体" w:cs="宋体"/>
          <w:spacing w:val="8"/>
        </w:rPr>
        <w:t xml:space="preserve">  </w:t>
      </w:r>
      <w:r>
        <w:rPr>
          <w:rFonts w:ascii="宋体" w:eastAsia="宋体" w:hAnsi="宋体" w:cs="宋体"/>
        </w:rPr>
        <w:t>种食品中相当突出，高于大豆，远高于谷类，是多种微量元素的良好补充来源，</w:t>
      </w:r>
      <w:r>
        <w:rPr>
          <w:rFonts w:ascii="宋体" w:eastAsia="宋体" w:hAnsi="宋体" w:cs="宋体"/>
          <w:spacing w:val="3"/>
        </w:rPr>
        <w:t xml:space="preserve"> </w:t>
      </w:r>
      <w:r>
        <w:rPr>
          <w:rFonts w:ascii="宋体" w:eastAsia="宋体" w:hAnsi="宋体" w:cs="宋体"/>
          <w:spacing w:val="-7"/>
        </w:rPr>
        <w:t>在其营养价值中具有重要意义。在未经炒制之前，其中钠含量普遍较低。</w:t>
      </w:r>
      <w:r>
        <w:rPr>
          <w:rFonts w:ascii="宋体" w:eastAsia="宋体" w:hAnsi="宋体" w:cs="宋体"/>
          <w:spacing w:val="49"/>
        </w:rPr>
        <w:t xml:space="preserve"> </w:t>
      </w:r>
      <w:r>
        <w:rPr>
          <w:rFonts w:ascii="宋体" w:eastAsia="宋体" w:hAnsi="宋体" w:cs="宋体"/>
          <w:spacing w:val="-7"/>
        </w:rPr>
        <w:t>一些坚</w:t>
      </w:r>
      <w:r>
        <w:rPr>
          <w:rFonts w:ascii="宋体" w:eastAsia="宋体" w:hAnsi="宋体" w:cs="宋体"/>
        </w:rPr>
        <w:t xml:space="preserve">  果含有较丰富的钙，如美国杏仁和榛子都是钙的较好来源(见表6-9)。</w:t>
      </w:r>
    </w:p>
    <w:p w:rsidR="00EA40A3" w:rsidRDefault="00E86C16">
      <w:pPr>
        <w:spacing w:before="70" w:line="252" w:lineRule="auto"/>
        <w:ind w:right="25" w:firstLine="360"/>
        <w:jc w:val="both"/>
        <w:rPr>
          <w:rFonts w:ascii="宋体" w:eastAsia="宋体" w:hAnsi="宋体" w:cs="宋体"/>
        </w:rPr>
      </w:pPr>
      <w:r>
        <w:rPr>
          <w:rFonts w:ascii="宋体" w:eastAsia="宋体" w:hAnsi="宋体" w:cs="宋体"/>
          <w:spacing w:val="-3"/>
        </w:rPr>
        <w:t>总的来说，富含淀粉的坚果矿物质含量略低，而富含油脂的坚果矿物质含量</w:t>
      </w:r>
      <w:r>
        <w:rPr>
          <w:rFonts w:ascii="宋体" w:eastAsia="宋体" w:hAnsi="宋体" w:cs="宋体"/>
          <w:spacing w:val="8"/>
        </w:rPr>
        <w:t xml:space="preserve">  </w:t>
      </w:r>
      <w:r>
        <w:rPr>
          <w:rFonts w:ascii="宋体" w:eastAsia="宋体" w:hAnsi="宋体" w:cs="宋体"/>
          <w:spacing w:val="-3"/>
        </w:rPr>
        <w:t>更为丰富。芝麻是补充微量元素的传统食品，其中铁、锌、镁、铜、锰等元素含</w:t>
      </w:r>
      <w:r>
        <w:rPr>
          <w:rFonts w:ascii="宋体" w:eastAsia="宋体" w:hAnsi="宋体" w:cs="宋体"/>
          <w:spacing w:val="6"/>
        </w:rPr>
        <w:t xml:space="preserve">  </w:t>
      </w:r>
      <w:r>
        <w:rPr>
          <w:rFonts w:ascii="宋体" w:eastAsia="宋体" w:hAnsi="宋体" w:cs="宋体"/>
          <w:spacing w:val="13"/>
        </w:rPr>
        <w:t>量均高，黑芝麻高于白芝麻。南瓜籽仁也是矿物质的植物性最佳</w:t>
      </w:r>
      <w:r>
        <w:rPr>
          <w:rFonts w:ascii="宋体" w:eastAsia="宋体" w:hAnsi="宋体" w:cs="宋体"/>
          <w:spacing w:val="12"/>
        </w:rPr>
        <w:t>来源之一。</w:t>
      </w:r>
      <w:r>
        <w:rPr>
          <w:rFonts w:ascii="宋体" w:eastAsia="宋体" w:hAnsi="宋体" w:cs="宋体"/>
        </w:rPr>
        <w:t xml:space="preserve"> </w:t>
      </w:r>
      <w:r>
        <w:rPr>
          <w:rFonts w:ascii="宋体" w:eastAsia="宋体" w:hAnsi="宋体" w:cs="宋体"/>
          <w:spacing w:val="-2"/>
        </w:rPr>
        <w:t>表6-10列出部分坚果的营养价值。</w:t>
      </w:r>
    </w:p>
    <w:p w:rsidR="00EA40A3" w:rsidRDefault="00E86C16">
      <w:pPr>
        <w:spacing w:before="84" w:line="219" w:lineRule="auto"/>
        <w:ind w:left="360"/>
        <w:rPr>
          <w:rFonts w:ascii="宋体" w:eastAsia="宋体" w:hAnsi="宋体" w:cs="宋体"/>
        </w:rPr>
      </w:pPr>
      <w:r>
        <w:rPr>
          <w:rFonts w:ascii="宋体" w:eastAsia="宋体" w:hAnsi="宋体" w:cs="宋体"/>
          <w:spacing w:val="-3"/>
        </w:rPr>
        <w:t>一些坚果具有富集某些元素的特点，如巴西坚果富含硒，而开心果富</w:t>
      </w:r>
      <w:r>
        <w:rPr>
          <w:rFonts w:ascii="宋体" w:eastAsia="宋体" w:hAnsi="宋体" w:cs="宋体"/>
          <w:spacing w:val="-4"/>
        </w:rPr>
        <w:t>含碘。</w:t>
      </w:r>
    </w:p>
    <w:p w:rsidR="00EA40A3" w:rsidRDefault="00EA40A3">
      <w:pPr>
        <w:sectPr w:rsidR="00EA40A3">
          <w:footerReference w:type="default" r:id="rId170"/>
          <w:pgSz w:w="9220" w:h="13360"/>
          <w:pgMar w:top="400" w:right="970" w:bottom="1220" w:left="869" w:header="0" w:footer="1038" w:gutter="0"/>
          <w:cols w:space="720"/>
        </w:sectPr>
      </w:pPr>
    </w:p>
    <w:p w:rsidR="00EA40A3" w:rsidRDefault="00EA40A3">
      <w:pPr>
        <w:spacing w:line="57" w:lineRule="exact"/>
      </w:pPr>
    </w:p>
    <w:tbl>
      <w:tblPr>
        <w:tblStyle w:val="TableNormal"/>
        <w:tblW w:w="7339" w:type="dxa"/>
        <w:tblInd w:w="6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33"/>
        <w:gridCol w:w="844"/>
        <w:gridCol w:w="1055"/>
        <w:gridCol w:w="1015"/>
        <w:gridCol w:w="1040"/>
        <w:gridCol w:w="960"/>
        <w:gridCol w:w="1192"/>
      </w:tblGrid>
      <w:tr w:rsidR="00EA40A3">
        <w:trPr>
          <w:trHeight w:val="294"/>
        </w:trPr>
        <w:tc>
          <w:tcPr>
            <w:tcW w:w="1233" w:type="dxa"/>
            <w:tcBorders>
              <w:top w:val="single" w:sz="4" w:space="0" w:color="000000"/>
              <w:bottom w:val="single" w:sz="4" w:space="0" w:color="000000"/>
            </w:tcBorders>
          </w:tcPr>
          <w:p w:rsidR="00EA40A3" w:rsidRDefault="00E86C16">
            <w:pPr>
              <w:spacing w:before="122" w:line="198" w:lineRule="auto"/>
              <w:ind w:left="269"/>
              <w:rPr>
                <w:rFonts w:ascii="宋体" w:eastAsia="宋体" w:hAnsi="宋体" w:cs="宋体"/>
                <w:sz w:val="16"/>
                <w:szCs w:val="16"/>
              </w:rPr>
            </w:pPr>
            <w:bookmarkStart w:id="49" w:name="_bookmark53"/>
            <w:bookmarkEnd w:id="49"/>
            <w:r>
              <w:rPr>
                <w:rFonts w:ascii="宋体" w:eastAsia="宋体" w:hAnsi="宋体" w:cs="宋体"/>
                <w:spacing w:val="-2"/>
                <w:sz w:val="16"/>
                <w:szCs w:val="16"/>
              </w:rPr>
              <w:t>坚果名称</w:t>
            </w:r>
          </w:p>
        </w:tc>
        <w:tc>
          <w:tcPr>
            <w:tcW w:w="844" w:type="dxa"/>
            <w:tcBorders>
              <w:top w:val="single" w:sz="4" w:space="0" w:color="000000"/>
              <w:bottom w:val="single" w:sz="4" w:space="0" w:color="000000"/>
            </w:tcBorders>
          </w:tcPr>
          <w:p w:rsidR="00EA40A3" w:rsidRDefault="00E86C16">
            <w:pPr>
              <w:spacing w:before="123" w:line="197" w:lineRule="auto"/>
              <w:ind w:left="256"/>
              <w:rPr>
                <w:rFonts w:ascii="宋体" w:eastAsia="宋体" w:hAnsi="宋体" w:cs="宋体"/>
                <w:sz w:val="16"/>
                <w:szCs w:val="16"/>
              </w:rPr>
            </w:pPr>
            <w:r>
              <w:rPr>
                <w:rFonts w:ascii="宋体" w:eastAsia="宋体" w:hAnsi="宋体" w:cs="宋体"/>
                <w:sz w:val="16"/>
                <w:szCs w:val="16"/>
              </w:rPr>
              <w:t>钙</w:t>
            </w:r>
          </w:p>
        </w:tc>
        <w:tc>
          <w:tcPr>
            <w:tcW w:w="1055" w:type="dxa"/>
            <w:tcBorders>
              <w:top w:val="single" w:sz="4" w:space="0" w:color="000000"/>
              <w:bottom w:val="single" w:sz="4" w:space="0" w:color="000000"/>
            </w:tcBorders>
          </w:tcPr>
          <w:p w:rsidR="00EA40A3" w:rsidRDefault="00E86C16">
            <w:pPr>
              <w:spacing w:before="102" w:line="221" w:lineRule="auto"/>
              <w:ind w:left="443"/>
              <w:rPr>
                <w:rFonts w:ascii="宋体" w:eastAsia="宋体" w:hAnsi="宋体" w:cs="宋体"/>
                <w:sz w:val="16"/>
                <w:szCs w:val="16"/>
              </w:rPr>
            </w:pPr>
            <w:r>
              <w:rPr>
                <w:rFonts w:ascii="宋体" w:eastAsia="宋体" w:hAnsi="宋体" w:cs="宋体"/>
                <w:sz w:val="16"/>
                <w:szCs w:val="16"/>
              </w:rPr>
              <w:t>铁</w:t>
            </w:r>
          </w:p>
        </w:tc>
        <w:tc>
          <w:tcPr>
            <w:tcW w:w="1015" w:type="dxa"/>
            <w:tcBorders>
              <w:top w:val="single" w:sz="4" w:space="0" w:color="000000"/>
              <w:bottom w:val="single" w:sz="4" w:space="0" w:color="000000"/>
            </w:tcBorders>
          </w:tcPr>
          <w:p w:rsidR="00EA40A3" w:rsidRDefault="00E86C16">
            <w:pPr>
              <w:spacing w:before="113" w:line="208" w:lineRule="auto"/>
              <w:ind w:left="428"/>
              <w:rPr>
                <w:rFonts w:ascii="宋体" w:eastAsia="宋体" w:hAnsi="宋体" w:cs="宋体"/>
                <w:sz w:val="16"/>
                <w:szCs w:val="16"/>
              </w:rPr>
            </w:pPr>
            <w:r>
              <w:rPr>
                <w:rFonts w:ascii="宋体" w:eastAsia="宋体" w:hAnsi="宋体" w:cs="宋体"/>
                <w:sz w:val="16"/>
                <w:szCs w:val="16"/>
              </w:rPr>
              <w:t>镁</w:t>
            </w:r>
          </w:p>
        </w:tc>
        <w:tc>
          <w:tcPr>
            <w:tcW w:w="1040" w:type="dxa"/>
            <w:tcBorders>
              <w:top w:val="single" w:sz="4" w:space="0" w:color="000000"/>
              <w:bottom w:val="single" w:sz="4" w:space="0" w:color="000000"/>
            </w:tcBorders>
          </w:tcPr>
          <w:p w:rsidR="00EA40A3" w:rsidRDefault="00E86C16">
            <w:pPr>
              <w:spacing w:before="122" w:line="198" w:lineRule="auto"/>
              <w:ind w:left="442"/>
              <w:rPr>
                <w:rFonts w:ascii="宋体" w:eastAsia="宋体" w:hAnsi="宋体" w:cs="宋体"/>
                <w:sz w:val="16"/>
                <w:szCs w:val="16"/>
              </w:rPr>
            </w:pPr>
            <w:r>
              <w:rPr>
                <w:rFonts w:ascii="宋体" w:eastAsia="宋体" w:hAnsi="宋体" w:cs="宋体"/>
                <w:sz w:val="16"/>
                <w:szCs w:val="16"/>
              </w:rPr>
              <w:t>钾</w:t>
            </w:r>
          </w:p>
        </w:tc>
        <w:tc>
          <w:tcPr>
            <w:tcW w:w="960" w:type="dxa"/>
            <w:tcBorders>
              <w:top w:val="single" w:sz="4" w:space="0" w:color="000000"/>
              <w:bottom w:val="single" w:sz="4" w:space="0" w:color="000000"/>
            </w:tcBorders>
          </w:tcPr>
          <w:p w:rsidR="00EA40A3" w:rsidRDefault="00E86C16">
            <w:pPr>
              <w:spacing w:before="112" w:line="209" w:lineRule="auto"/>
              <w:ind w:left="412"/>
              <w:rPr>
                <w:rFonts w:ascii="宋体" w:eastAsia="宋体" w:hAnsi="宋体" w:cs="宋体"/>
                <w:sz w:val="16"/>
                <w:szCs w:val="16"/>
              </w:rPr>
            </w:pPr>
            <w:r>
              <w:rPr>
                <w:rFonts w:ascii="宋体" w:eastAsia="宋体" w:hAnsi="宋体" w:cs="宋体"/>
                <w:sz w:val="16"/>
                <w:szCs w:val="16"/>
              </w:rPr>
              <w:t>钠</w:t>
            </w:r>
          </w:p>
        </w:tc>
        <w:tc>
          <w:tcPr>
            <w:tcW w:w="1192" w:type="dxa"/>
            <w:tcBorders>
              <w:top w:val="single" w:sz="4" w:space="0" w:color="000000"/>
              <w:bottom w:val="single" w:sz="4" w:space="0" w:color="000000"/>
            </w:tcBorders>
          </w:tcPr>
          <w:p w:rsidR="00EA40A3" w:rsidRDefault="00E86C16">
            <w:pPr>
              <w:spacing w:before="131" w:line="187" w:lineRule="auto"/>
              <w:ind w:left="523"/>
              <w:rPr>
                <w:rFonts w:ascii="宋体" w:eastAsia="宋体" w:hAnsi="宋体" w:cs="宋体"/>
                <w:sz w:val="16"/>
                <w:szCs w:val="16"/>
              </w:rPr>
            </w:pPr>
            <w:r>
              <w:rPr>
                <w:rFonts w:ascii="宋体" w:eastAsia="宋体" w:hAnsi="宋体" w:cs="宋体"/>
                <w:sz w:val="16"/>
                <w:szCs w:val="16"/>
              </w:rPr>
              <w:t>锌</w:t>
            </w:r>
          </w:p>
        </w:tc>
      </w:tr>
      <w:tr w:rsidR="00EA40A3">
        <w:trPr>
          <w:trHeight w:val="280"/>
        </w:trPr>
        <w:tc>
          <w:tcPr>
            <w:tcW w:w="1233" w:type="dxa"/>
            <w:tcBorders>
              <w:top w:val="single" w:sz="4" w:space="0" w:color="000000"/>
            </w:tcBorders>
          </w:tcPr>
          <w:p w:rsidR="00EA40A3" w:rsidRDefault="00E86C16">
            <w:pPr>
              <w:spacing w:before="58" w:line="220" w:lineRule="auto"/>
              <w:ind w:left="190"/>
              <w:rPr>
                <w:rFonts w:ascii="宋体" w:eastAsia="宋体" w:hAnsi="宋体" w:cs="宋体"/>
                <w:sz w:val="16"/>
                <w:szCs w:val="16"/>
              </w:rPr>
            </w:pPr>
            <w:r>
              <w:rPr>
                <w:rFonts w:ascii="宋体" w:eastAsia="宋体" w:hAnsi="宋体" w:cs="宋体"/>
                <w:spacing w:val="-2"/>
                <w:sz w:val="16"/>
                <w:szCs w:val="16"/>
              </w:rPr>
              <w:t>美国大杏仁</w:t>
            </w:r>
          </w:p>
        </w:tc>
        <w:tc>
          <w:tcPr>
            <w:tcW w:w="844" w:type="dxa"/>
            <w:tcBorders>
              <w:top w:val="single" w:sz="4" w:space="0" w:color="000000"/>
            </w:tcBorders>
          </w:tcPr>
          <w:p w:rsidR="00EA40A3" w:rsidRDefault="00E86C16">
            <w:pPr>
              <w:spacing w:before="98" w:line="183" w:lineRule="auto"/>
              <w:ind w:left="256"/>
              <w:rPr>
                <w:rFonts w:ascii="宋体" w:eastAsia="宋体" w:hAnsi="宋体" w:cs="宋体"/>
                <w:sz w:val="16"/>
                <w:szCs w:val="16"/>
              </w:rPr>
            </w:pPr>
            <w:r>
              <w:rPr>
                <w:rFonts w:ascii="宋体" w:eastAsia="宋体" w:hAnsi="宋体" w:cs="宋体"/>
                <w:spacing w:val="-2"/>
                <w:sz w:val="16"/>
                <w:szCs w:val="16"/>
              </w:rPr>
              <w:t>266</w:t>
            </w:r>
          </w:p>
        </w:tc>
        <w:tc>
          <w:tcPr>
            <w:tcW w:w="1055" w:type="dxa"/>
            <w:tcBorders>
              <w:top w:val="single" w:sz="4" w:space="0" w:color="000000"/>
            </w:tcBorders>
          </w:tcPr>
          <w:p w:rsidR="00EA40A3" w:rsidRDefault="00E86C16">
            <w:pPr>
              <w:spacing w:before="97" w:line="184" w:lineRule="auto"/>
              <w:ind w:left="362"/>
              <w:rPr>
                <w:rFonts w:ascii="宋体" w:eastAsia="宋体" w:hAnsi="宋体" w:cs="宋体"/>
                <w:sz w:val="16"/>
                <w:szCs w:val="16"/>
              </w:rPr>
            </w:pPr>
            <w:r>
              <w:rPr>
                <w:rFonts w:ascii="宋体" w:eastAsia="宋体" w:hAnsi="宋体" w:cs="宋体"/>
                <w:spacing w:val="-2"/>
                <w:sz w:val="16"/>
                <w:szCs w:val="16"/>
              </w:rPr>
              <w:t>3.71</w:t>
            </w:r>
          </w:p>
        </w:tc>
        <w:tc>
          <w:tcPr>
            <w:tcW w:w="1015" w:type="dxa"/>
            <w:tcBorders>
              <w:top w:val="single" w:sz="4" w:space="0" w:color="000000"/>
            </w:tcBorders>
          </w:tcPr>
          <w:p w:rsidR="00EA40A3" w:rsidRDefault="00E86C16">
            <w:pPr>
              <w:spacing w:before="98" w:line="183" w:lineRule="auto"/>
              <w:ind w:left="388"/>
              <w:rPr>
                <w:rFonts w:ascii="宋体" w:eastAsia="宋体" w:hAnsi="宋体" w:cs="宋体"/>
                <w:sz w:val="16"/>
                <w:szCs w:val="16"/>
              </w:rPr>
            </w:pPr>
            <w:r>
              <w:rPr>
                <w:rFonts w:ascii="宋体" w:eastAsia="宋体" w:hAnsi="宋体" w:cs="宋体"/>
                <w:spacing w:val="-2"/>
                <w:sz w:val="16"/>
                <w:szCs w:val="16"/>
              </w:rPr>
              <w:t>296</w:t>
            </w:r>
          </w:p>
        </w:tc>
        <w:tc>
          <w:tcPr>
            <w:tcW w:w="1040" w:type="dxa"/>
            <w:tcBorders>
              <w:top w:val="single" w:sz="4" w:space="0" w:color="000000"/>
            </w:tcBorders>
          </w:tcPr>
          <w:p w:rsidR="00EA40A3" w:rsidRDefault="00E86C16">
            <w:pPr>
              <w:spacing w:before="98" w:line="183" w:lineRule="auto"/>
              <w:ind w:left="402"/>
              <w:rPr>
                <w:rFonts w:ascii="宋体" w:eastAsia="宋体" w:hAnsi="宋体" w:cs="宋体"/>
                <w:sz w:val="16"/>
                <w:szCs w:val="16"/>
              </w:rPr>
            </w:pPr>
            <w:r>
              <w:rPr>
                <w:rFonts w:ascii="宋体" w:eastAsia="宋体" w:hAnsi="宋体" w:cs="宋体"/>
                <w:spacing w:val="-3"/>
                <w:sz w:val="16"/>
                <w:szCs w:val="16"/>
              </w:rPr>
              <w:t>732</w:t>
            </w:r>
          </w:p>
        </w:tc>
        <w:tc>
          <w:tcPr>
            <w:tcW w:w="960" w:type="dxa"/>
            <w:tcBorders>
              <w:top w:val="single" w:sz="4" w:space="0" w:color="000000"/>
            </w:tcBorders>
          </w:tcPr>
          <w:p w:rsidR="00EA40A3" w:rsidRDefault="00E86C16">
            <w:pPr>
              <w:spacing w:before="97" w:line="184" w:lineRule="auto"/>
              <w:ind w:left="412"/>
              <w:rPr>
                <w:rFonts w:ascii="宋体" w:eastAsia="宋体" w:hAnsi="宋体" w:cs="宋体"/>
                <w:sz w:val="16"/>
                <w:szCs w:val="16"/>
              </w:rPr>
            </w:pPr>
            <w:r>
              <w:rPr>
                <w:rFonts w:ascii="宋体" w:eastAsia="宋体" w:hAnsi="宋体" w:cs="宋体"/>
                <w:spacing w:val="-5"/>
                <w:sz w:val="16"/>
                <w:szCs w:val="16"/>
              </w:rPr>
              <w:t>11</w:t>
            </w:r>
          </w:p>
        </w:tc>
        <w:tc>
          <w:tcPr>
            <w:tcW w:w="1192" w:type="dxa"/>
            <w:tcBorders>
              <w:top w:val="single" w:sz="4" w:space="0" w:color="000000"/>
            </w:tcBorders>
          </w:tcPr>
          <w:p w:rsidR="00EA40A3" w:rsidRDefault="00E86C16">
            <w:pPr>
              <w:spacing w:before="98" w:line="183" w:lineRule="auto"/>
              <w:ind w:left="442"/>
              <w:rPr>
                <w:rFonts w:ascii="宋体" w:eastAsia="宋体" w:hAnsi="宋体" w:cs="宋体"/>
                <w:sz w:val="16"/>
                <w:szCs w:val="16"/>
              </w:rPr>
            </w:pPr>
            <w:r>
              <w:rPr>
                <w:rFonts w:ascii="宋体" w:eastAsia="宋体" w:hAnsi="宋体" w:cs="宋体"/>
                <w:spacing w:val="-2"/>
                <w:sz w:val="16"/>
                <w:szCs w:val="16"/>
              </w:rPr>
              <w:t>2.92</w:t>
            </w:r>
          </w:p>
        </w:tc>
      </w:tr>
      <w:tr w:rsidR="00EA40A3">
        <w:trPr>
          <w:trHeight w:val="283"/>
        </w:trPr>
        <w:tc>
          <w:tcPr>
            <w:tcW w:w="1233" w:type="dxa"/>
          </w:tcPr>
          <w:p w:rsidR="00EA40A3" w:rsidRDefault="00E86C16">
            <w:pPr>
              <w:spacing w:before="68" w:line="220" w:lineRule="auto"/>
              <w:ind w:left="430"/>
              <w:rPr>
                <w:rFonts w:ascii="宋体" w:eastAsia="宋体" w:hAnsi="宋体" w:cs="宋体"/>
                <w:sz w:val="16"/>
                <w:szCs w:val="16"/>
              </w:rPr>
            </w:pPr>
            <w:r>
              <w:rPr>
                <w:rFonts w:ascii="宋体" w:eastAsia="宋体" w:hAnsi="宋体" w:cs="宋体"/>
                <w:spacing w:val="-2"/>
                <w:sz w:val="16"/>
                <w:szCs w:val="16"/>
              </w:rPr>
              <w:t>榛子</w:t>
            </w:r>
          </w:p>
        </w:tc>
        <w:tc>
          <w:tcPr>
            <w:tcW w:w="844" w:type="dxa"/>
          </w:tcPr>
          <w:p w:rsidR="00EA40A3" w:rsidRDefault="00E86C16">
            <w:pPr>
              <w:spacing w:before="108" w:line="184" w:lineRule="auto"/>
              <w:ind w:left="256"/>
              <w:rPr>
                <w:rFonts w:ascii="宋体" w:eastAsia="宋体" w:hAnsi="宋体" w:cs="宋体"/>
                <w:sz w:val="16"/>
                <w:szCs w:val="16"/>
              </w:rPr>
            </w:pPr>
            <w:r>
              <w:rPr>
                <w:rFonts w:ascii="宋体" w:eastAsia="宋体" w:hAnsi="宋体" w:cs="宋体"/>
                <w:spacing w:val="-5"/>
                <w:sz w:val="16"/>
                <w:szCs w:val="16"/>
              </w:rPr>
              <w:t>188</w:t>
            </w:r>
          </w:p>
        </w:tc>
        <w:tc>
          <w:tcPr>
            <w:tcW w:w="1055" w:type="dxa"/>
          </w:tcPr>
          <w:p w:rsidR="00EA40A3" w:rsidRDefault="00E86C16">
            <w:pPr>
              <w:spacing w:before="108" w:line="183" w:lineRule="auto"/>
              <w:ind w:left="362"/>
              <w:rPr>
                <w:rFonts w:ascii="宋体" w:eastAsia="宋体" w:hAnsi="宋体" w:cs="宋体"/>
                <w:sz w:val="16"/>
                <w:szCs w:val="16"/>
              </w:rPr>
            </w:pPr>
            <w:r>
              <w:rPr>
                <w:rFonts w:ascii="宋体" w:eastAsia="宋体" w:hAnsi="宋体" w:cs="宋体"/>
                <w:spacing w:val="-2"/>
                <w:sz w:val="16"/>
                <w:szCs w:val="16"/>
              </w:rPr>
              <w:t>3.27</w:t>
            </w:r>
          </w:p>
        </w:tc>
        <w:tc>
          <w:tcPr>
            <w:tcW w:w="1015" w:type="dxa"/>
          </w:tcPr>
          <w:p w:rsidR="00EA40A3" w:rsidRDefault="00E86C16">
            <w:pPr>
              <w:spacing w:before="108" w:line="183" w:lineRule="auto"/>
              <w:ind w:left="388"/>
              <w:rPr>
                <w:rFonts w:ascii="宋体" w:eastAsia="宋体" w:hAnsi="宋体" w:cs="宋体"/>
                <w:sz w:val="16"/>
                <w:szCs w:val="16"/>
              </w:rPr>
            </w:pPr>
            <w:r>
              <w:rPr>
                <w:rFonts w:ascii="宋体" w:eastAsia="宋体" w:hAnsi="宋体" w:cs="宋体"/>
                <w:spacing w:val="-2"/>
                <w:sz w:val="16"/>
                <w:szCs w:val="16"/>
              </w:rPr>
              <w:t>285</w:t>
            </w:r>
          </w:p>
        </w:tc>
        <w:tc>
          <w:tcPr>
            <w:tcW w:w="1040" w:type="dxa"/>
          </w:tcPr>
          <w:p w:rsidR="00EA40A3" w:rsidRDefault="00E86C16">
            <w:pPr>
              <w:spacing w:before="108" w:line="183" w:lineRule="auto"/>
              <w:ind w:left="402"/>
              <w:rPr>
                <w:rFonts w:ascii="宋体" w:eastAsia="宋体" w:hAnsi="宋体" w:cs="宋体"/>
                <w:sz w:val="16"/>
                <w:szCs w:val="16"/>
              </w:rPr>
            </w:pPr>
            <w:r>
              <w:rPr>
                <w:rFonts w:ascii="宋体" w:eastAsia="宋体" w:hAnsi="宋体" w:cs="宋体"/>
                <w:spacing w:val="-2"/>
                <w:sz w:val="16"/>
                <w:szCs w:val="16"/>
              </w:rPr>
              <w:t>445</w:t>
            </w:r>
          </w:p>
        </w:tc>
        <w:tc>
          <w:tcPr>
            <w:tcW w:w="960" w:type="dxa"/>
          </w:tcPr>
          <w:p w:rsidR="00EA40A3" w:rsidRDefault="00E86C16">
            <w:pPr>
              <w:spacing w:before="108" w:line="183" w:lineRule="auto"/>
              <w:ind w:left="452"/>
              <w:rPr>
                <w:rFonts w:ascii="宋体" w:eastAsia="宋体" w:hAnsi="宋体" w:cs="宋体"/>
                <w:sz w:val="16"/>
                <w:szCs w:val="16"/>
              </w:rPr>
            </w:pPr>
            <w:r>
              <w:rPr>
                <w:rFonts w:ascii="宋体" w:eastAsia="宋体" w:hAnsi="宋体" w:cs="宋体"/>
                <w:sz w:val="16"/>
                <w:szCs w:val="16"/>
              </w:rPr>
              <w:t>3</w:t>
            </w:r>
          </w:p>
        </w:tc>
        <w:tc>
          <w:tcPr>
            <w:tcW w:w="1192" w:type="dxa"/>
          </w:tcPr>
          <w:p w:rsidR="00EA40A3" w:rsidRDefault="00E86C16">
            <w:pPr>
              <w:spacing w:before="108" w:line="183" w:lineRule="auto"/>
              <w:ind w:left="442"/>
              <w:rPr>
                <w:rFonts w:ascii="宋体" w:eastAsia="宋体" w:hAnsi="宋体" w:cs="宋体"/>
                <w:sz w:val="16"/>
                <w:szCs w:val="16"/>
              </w:rPr>
            </w:pPr>
            <w:r>
              <w:rPr>
                <w:rFonts w:ascii="宋体" w:eastAsia="宋体" w:hAnsi="宋体" w:cs="宋体"/>
                <w:spacing w:val="-2"/>
                <w:sz w:val="16"/>
                <w:szCs w:val="16"/>
              </w:rPr>
              <w:t>2.40</w:t>
            </w:r>
          </w:p>
        </w:tc>
      </w:tr>
      <w:tr w:rsidR="00EA40A3">
        <w:trPr>
          <w:trHeight w:val="284"/>
        </w:trPr>
        <w:tc>
          <w:tcPr>
            <w:tcW w:w="1233" w:type="dxa"/>
          </w:tcPr>
          <w:p w:rsidR="00EA40A3" w:rsidRDefault="00E86C16">
            <w:pPr>
              <w:spacing w:before="64" w:line="219" w:lineRule="auto"/>
              <w:ind w:left="190"/>
              <w:rPr>
                <w:rFonts w:ascii="宋体" w:eastAsia="宋体" w:hAnsi="宋体" w:cs="宋体"/>
                <w:sz w:val="16"/>
                <w:szCs w:val="16"/>
              </w:rPr>
            </w:pPr>
            <w:r>
              <w:rPr>
                <w:rFonts w:ascii="宋体" w:eastAsia="宋体" w:hAnsi="宋体" w:cs="宋体"/>
                <w:spacing w:val="-2"/>
                <w:sz w:val="16"/>
                <w:szCs w:val="16"/>
              </w:rPr>
              <w:t>美洲山核桃</w:t>
            </w:r>
          </w:p>
        </w:tc>
        <w:tc>
          <w:tcPr>
            <w:tcW w:w="844" w:type="dxa"/>
          </w:tcPr>
          <w:p w:rsidR="00EA40A3" w:rsidRDefault="00E86C16">
            <w:pPr>
              <w:spacing w:before="115" w:line="183" w:lineRule="auto"/>
              <w:ind w:left="256"/>
              <w:rPr>
                <w:rFonts w:ascii="宋体" w:eastAsia="宋体" w:hAnsi="宋体" w:cs="宋体"/>
                <w:sz w:val="16"/>
                <w:szCs w:val="16"/>
              </w:rPr>
            </w:pPr>
            <w:r>
              <w:rPr>
                <w:rFonts w:ascii="宋体" w:eastAsia="宋体" w:hAnsi="宋体" w:cs="宋体"/>
                <w:spacing w:val="-3"/>
                <w:sz w:val="16"/>
                <w:szCs w:val="16"/>
              </w:rPr>
              <w:t>36</w:t>
            </w:r>
          </w:p>
        </w:tc>
        <w:tc>
          <w:tcPr>
            <w:tcW w:w="1055" w:type="dxa"/>
          </w:tcPr>
          <w:p w:rsidR="00EA40A3" w:rsidRDefault="00E86C16">
            <w:pPr>
              <w:spacing w:before="105" w:line="184" w:lineRule="auto"/>
              <w:ind w:left="362"/>
              <w:rPr>
                <w:rFonts w:ascii="宋体" w:eastAsia="宋体" w:hAnsi="宋体" w:cs="宋体"/>
                <w:sz w:val="16"/>
                <w:szCs w:val="16"/>
              </w:rPr>
            </w:pPr>
            <w:r>
              <w:rPr>
                <w:rFonts w:ascii="宋体" w:eastAsia="宋体" w:hAnsi="宋体" w:cs="宋体"/>
                <w:spacing w:val="-2"/>
                <w:sz w:val="16"/>
                <w:szCs w:val="16"/>
              </w:rPr>
              <w:t>2.13</w:t>
            </w:r>
          </w:p>
        </w:tc>
        <w:tc>
          <w:tcPr>
            <w:tcW w:w="1015" w:type="dxa"/>
          </w:tcPr>
          <w:p w:rsidR="00EA40A3" w:rsidRDefault="00E86C16">
            <w:pPr>
              <w:spacing w:before="115" w:line="184" w:lineRule="auto"/>
              <w:ind w:left="388"/>
              <w:rPr>
                <w:rFonts w:ascii="宋体" w:eastAsia="宋体" w:hAnsi="宋体" w:cs="宋体"/>
                <w:sz w:val="16"/>
                <w:szCs w:val="16"/>
              </w:rPr>
            </w:pPr>
            <w:r>
              <w:rPr>
                <w:rFonts w:ascii="宋体" w:eastAsia="宋体" w:hAnsi="宋体" w:cs="宋体"/>
                <w:spacing w:val="-5"/>
                <w:sz w:val="16"/>
                <w:szCs w:val="16"/>
              </w:rPr>
              <w:t>128</w:t>
            </w:r>
          </w:p>
        </w:tc>
        <w:tc>
          <w:tcPr>
            <w:tcW w:w="1040" w:type="dxa"/>
          </w:tcPr>
          <w:p w:rsidR="00EA40A3" w:rsidRDefault="00E86C16">
            <w:pPr>
              <w:spacing w:before="135" w:line="171" w:lineRule="auto"/>
              <w:ind w:left="402"/>
              <w:rPr>
                <w:rFonts w:ascii="宋体" w:eastAsia="宋体" w:hAnsi="宋体" w:cs="宋体"/>
                <w:sz w:val="16"/>
                <w:szCs w:val="16"/>
              </w:rPr>
            </w:pPr>
            <w:r>
              <w:rPr>
                <w:rFonts w:ascii="宋体" w:eastAsia="宋体" w:hAnsi="宋体" w:cs="宋体"/>
                <w:spacing w:val="-3"/>
                <w:sz w:val="16"/>
                <w:szCs w:val="16"/>
              </w:rPr>
              <w:t>392</w:t>
            </w:r>
          </w:p>
        </w:tc>
        <w:tc>
          <w:tcPr>
            <w:tcW w:w="960" w:type="dxa"/>
          </w:tcPr>
          <w:p w:rsidR="00EA40A3" w:rsidRDefault="00E86C16">
            <w:pPr>
              <w:spacing w:before="125" w:line="183" w:lineRule="auto"/>
              <w:ind w:left="452"/>
              <w:rPr>
                <w:rFonts w:ascii="宋体" w:eastAsia="宋体" w:hAnsi="宋体" w:cs="宋体"/>
                <w:sz w:val="16"/>
                <w:szCs w:val="16"/>
              </w:rPr>
            </w:pPr>
            <w:r>
              <w:rPr>
                <w:rFonts w:ascii="宋体" w:eastAsia="宋体" w:hAnsi="宋体" w:cs="宋体"/>
                <w:sz w:val="16"/>
                <w:szCs w:val="16"/>
              </w:rPr>
              <w:t>1</w:t>
            </w:r>
          </w:p>
        </w:tc>
        <w:tc>
          <w:tcPr>
            <w:tcW w:w="1192" w:type="dxa"/>
          </w:tcPr>
          <w:p w:rsidR="00EA40A3" w:rsidRDefault="00E86C16">
            <w:pPr>
              <w:spacing w:before="125" w:line="183" w:lineRule="auto"/>
              <w:ind w:left="442"/>
              <w:rPr>
                <w:rFonts w:ascii="宋体" w:eastAsia="宋体" w:hAnsi="宋体" w:cs="宋体"/>
                <w:sz w:val="16"/>
                <w:szCs w:val="16"/>
              </w:rPr>
            </w:pPr>
            <w:r>
              <w:rPr>
                <w:rFonts w:ascii="宋体" w:eastAsia="宋体" w:hAnsi="宋体" w:cs="宋体"/>
                <w:spacing w:val="-2"/>
                <w:sz w:val="16"/>
                <w:szCs w:val="16"/>
              </w:rPr>
              <w:t>5.47</w:t>
            </w:r>
          </w:p>
        </w:tc>
      </w:tr>
      <w:tr w:rsidR="00EA40A3">
        <w:trPr>
          <w:trHeight w:val="273"/>
        </w:trPr>
        <w:tc>
          <w:tcPr>
            <w:tcW w:w="1233" w:type="dxa"/>
          </w:tcPr>
          <w:p w:rsidR="00EA40A3" w:rsidRDefault="00E86C16">
            <w:pPr>
              <w:spacing w:before="40" w:line="219" w:lineRule="auto"/>
              <w:ind w:left="430"/>
              <w:rPr>
                <w:rFonts w:ascii="宋体" w:eastAsia="宋体" w:hAnsi="宋体" w:cs="宋体"/>
                <w:sz w:val="16"/>
                <w:szCs w:val="16"/>
              </w:rPr>
            </w:pPr>
            <w:r>
              <w:rPr>
                <w:rFonts w:ascii="宋体" w:eastAsia="宋体" w:hAnsi="宋体" w:cs="宋体"/>
                <w:spacing w:val="-2"/>
                <w:sz w:val="16"/>
                <w:szCs w:val="16"/>
              </w:rPr>
              <w:t>松子</w:t>
            </w:r>
          </w:p>
        </w:tc>
        <w:tc>
          <w:tcPr>
            <w:tcW w:w="844" w:type="dxa"/>
          </w:tcPr>
          <w:p w:rsidR="00EA40A3" w:rsidRDefault="00E86C16">
            <w:pPr>
              <w:spacing w:before="92" w:line="182" w:lineRule="auto"/>
              <w:ind w:left="256"/>
              <w:rPr>
                <w:rFonts w:ascii="宋体" w:eastAsia="宋体" w:hAnsi="宋体" w:cs="宋体"/>
                <w:sz w:val="16"/>
                <w:szCs w:val="16"/>
              </w:rPr>
            </w:pPr>
            <w:r>
              <w:rPr>
                <w:rFonts w:ascii="宋体" w:eastAsia="宋体" w:hAnsi="宋体" w:cs="宋体"/>
                <w:sz w:val="16"/>
                <w:szCs w:val="16"/>
              </w:rPr>
              <w:t>7</w:t>
            </w:r>
          </w:p>
        </w:tc>
        <w:tc>
          <w:tcPr>
            <w:tcW w:w="1055" w:type="dxa"/>
          </w:tcPr>
          <w:p w:rsidR="00EA40A3" w:rsidRDefault="00E86C16">
            <w:pPr>
              <w:spacing w:before="101" w:line="183" w:lineRule="auto"/>
              <w:ind w:left="362"/>
              <w:rPr>
                <w:rFonts w:ascii="宋体" w:eastAsia="宋体" w:hAnsi="宋体" w:cs="宋体"/>
                <w:sz w:val="16"/>
                <w:szCs w:val="16"/>
              </w:rPr>
            </w:pPr>
            <w:r>
              <w:rPr>
                <w:rFonts w:ascii="宋体" w:eastAsia="宋体" w:hAnsi="宋体" w:cs="宋体"/>
                <w:spacing w:val="-2"/>
                <w:sz w:val="16"/>
                <w:szCs w:val="16"/>
              </w:rPr>
              <w:t>3.07</w:t>
            </w:r>
          </w:p>
        </w:tc>
        <w:tc>
          <w:tcPr>
            <w:tcW w:w="1015" w:type="dxa"/>
          </w:tcPr>
          <w:p w:rsidR="00EA40A3" w:rsidRDefault="00E86C16">
            <w:pPr>
              <w:spacing w:before="122" w:line="174" w:lineRule="auto"/>
              <w:ind w:left="388"/>
              <w:rPr>
                <w:rFonts w:ascii="宋体" w:eastAsia="宋体" w:hAnsi="宋体" w:cs="宋体"/>
                <w:sz w:val="16"/>
                <w:szCs w:val="16"/>
              </w:rPr>
            </w:pPr>
            <w:r>
              <w:rPr>
                <w:rFonts w:ascii="宋体" w:eastAsia="宋体" w:hAnsi="宋体" w:cs="宋体"/>
                <w:spacing w:val="-2"/>
                <w:sz w:val="16"/>
                <w:szCs w:val="16"/>
              </w:rPr>
              <w:t>232</w:t>
            </w:r>
          </w:p>
        </w:tc>
        <w:tc>
          <w:tcPr>
            <w:tcW w:w="1040" w:type="dxa"/>
          </w:tcPr>
          <w:p w:rsidR="00EA40A3" w:rsidRDefault="00E86C16">
            <w:pPr>
              <w:spacing w:before="122" w:line="174" w:lineRule="auto"/>
              <w:ind w:left="402"/>
              <w:rPr>
                <w:rFonts w:ascii="宋体" w:eastAsia="宋体" w:hAnsi="宋体" w:cs="宋体"/>
                <w:sz w:val="16"/>
                <w:szCs w:val="16"/>
              </w:rPr>
            </w:pPr>
            <w:r>
              <w:rPr>
                <w:rFonts w:ascii="宋体" w:eastAsia="宋体" w:hAnsi="宋体" w:cs="宋体"/>
                <w:spacing w:val="-2"/>
                <w:sz w:val="16"/>
                <w:szCs w:val="16"/>
              </w:rPr>
              <w:t>629</w:t>
            </w:r>
          </w:p>
        </w:tc>
        <w:tc>
          <w:tcPr>
            <w:tcW w:w="960" w:type="dxa"/>
          </w:tcPr>
          <w:p w:rsidR="00EA40A3" w:rsidRDefault="00E86C16">
            <w:pPr>
              <w:spacing w:before="110" w:line="184" w:lineRule="auto"/>
              <w:ind w:left="412"/>
              <w:rPr>
                <w:rFonts w:ascii="宋体" w:eastAsia="宋体" w:hAnsi="宋体" w:cs="宋体"/>
                <w:sz w:val="16"/>
                <w:szCs w:val="16"/>
              </w:rPr>
            </w:pPr>
            <w:r>
              <w:rPr>
                <w:rFonts w:ascii="宋体" w:eastAsia="宋体" w:hAnsi="宋体" w:cs="宋体"/>
                <w:spacing w:val="-3"/>
                <w:sz w:val="16"/>
                <w:szCs w:val="16"/>
              </w:rPr>
              <w:t>71</w:t>
            </w:r>
          </w:p>
        </w:tc>
        <w:tc>
          <w:tcPr>
            <w:tcW w:w="1192" w:type="dxa"/>
          </w:tcPr>
          <w:p w:rsidR="00EA40A3" w:rsidRDefault="00E86C16">
            <w:pPr>
              <w:spacing w:before="122" w:line="174" w:lineRule="auto"/>
              <w:ind w:left="442"/>
              <w:rPr>
                <w:rFonts w:ascii="宋体" w:eastAsia="宋体" w:hAnsi="宋体" w:cs="宋体"/>
                <w:sz w:val="16"/>
                <w:szCs w:val="16"/>
              </w:rPr>
            </w:pPr>
            <w:r>
              <w:rPr>
                <w:rFonts w:ascii="宋体" w:eastAsia="宋体" w:hAnsi="宋体" w:cs="宋体"/>
                <w:spacing w:val="-2"/>
                <w:sz w:val="16"/>
                <w:szCs w:val="16"/>
              </w:rPr>
              <w:t>4.29</w:t>
            </w:r>
          </w:p>
        </w:tc>
      </w:tr>
      <w:tr w:rsidR="00EA40A3">
        <w:trPr>
          <w:trHeight w:val="268"/>
        </w:trPr>
        <w:tc>
          <w:tcPr>
            <w:tcW w:w="1233" w:type="dxa"/>
          </w:tcPr>
          <w:p w:rsidR="00EA40A3" w:rsidRDefault="00E86C16">
            <w:pPr>
              <w:spacing w:before="47" w:line="219" w:lineRule="auto"/>
              <w:ind w:left="269"/>
              <w:rPr>
                <w:rFonts w:ascii="宋体" w:eastAsia="宋体" w:hAnsi="宋体" w:cs="宋体"/>
                <w:sz w:val="16"/>
                <w:szCs w:val="16"/>
              </w:rPr>
            </w:pPr>
            <w:r>
              <w:rPr>
                <w:rFonts w:ascii="宋体" w:eastAsia="宋体" w:hAnsi="宋体" w:cs="宋体"/>
                <w:spacing w:val="-2"/>
                <w:sz w:val="16"/>
                <w:szCs w:val="16"/>
              </w:rPr>
              <w:t>南瓜籽仁</w:t>
            </w:r>
          </w:p>
        </w:tc>
        <w:tc>
          <w:tcPr>
            <w:tcW w:w="844" w:type="dxa"/>
          </w:tcPr>
          <w:p w:rsidR="00EA40A3" w:rsidRDefault="00E86C16">
            <w:pPr>
              <w:spacing w:before="118" w:line="172" w:lineRule="auto"/>
              <w:ind w:left="256"/>
              <w:rPr>
                <w:rFonts w:ascii="宋体" w:eastAsia="宋体" w:hAnsi="宋体" w:cs="宋体"/>
                <w:sz w:val="16"/>
                <w:szCs w:val="16"/>
              </w:rPr>
            </w:pPr>
            <w:r>
              <w:rPr>
                <w:rFonts w:ascii="宋体" w:eastAsia="宋体" w:hAnsi="宋体" w:cs="宋体"/>
                <w:spacing w:val="-2"/>
                <w:sz w:val="16"/>
                <w:szCs w:val="16"/>
              </w:rPr>
              <w:t>43</w:t>
            </w:r>
          </w:p>
        </w:tc>
        <w:tc>
          <w:tcPr>
            <w:tcW w:w="1055" w:type="dxa"/>
          </w:tcPr>
          <w:p w:rsidR="00EA40A3" w:rsidRDefault="00E86C16">
            <w:pPr>
              <w:spacing w:before="118" w:line="173" w:lineRule="auto"/>
              <w:ind w:left="362"/>
              <w:rPr>
                <w:rFonts w:ascii="宋体" w:eastAsia="宋体" w:hAnsi="宋体" w:cs="宋体"/>
                <w:sz w:val="16"/>
                <w:szCs w:val="16"/>
              </w:rPr>
            </w:pPr>
            <w:r>
              <w:rPr>
                <w:rFonts w:ascii="宋体" w:eastAsia="宋体" w:hAnsi="宋体" w:cs="宋体"/>
                <w:spacing w:val="-4"/>
                <w:sz w:val="16"/>
                <w:szCs w:val="16"/>
              </w:rPr>
              <w:t>15.0</w:t>
            </w:r>
          </w:p>
        </w:tc>
        <w:tc>
          <w:tcPr>
            <w:tcW w:w="1015" w:type="dxa"/>
          </w:tcPr>
          <w:p w:rsidR="00EA40A3" w:rsidRDefault="00E86C16">
            <w:pPr>
              <w:spacing w:before="128" w:line="161" w:lineRule="auto"/>
              <w:ind w:left="388"/>
              <w:rPr>
                <w:rFonts w:ascii="宋体" w:eastAsia="宋体" w:hAnsi="宋体" w:cs="宋体"/>
                <w:sz w:val="16"/>
                <w:szCs w:val="16"/>
              </w:rPr>
            </w:pPr>
            <w:r>
              <w:rPr>
                <w:rFonts w:ascii="宋体" w:eastAsia="宋体" w:hAnsi="宋体" w:cs="宋体"/>
                <w:spacing w:val="-3"/>
                <w:sz w:val="16"/>
                <w:szCs w:val="16"/>
              </w:rPr>
              <w:t>536</w:t>
            </w:r>
          </w:p>
        </w:tc>
        <w:tc>
          <w:tcPr>
            <w:tcW w:w="1040" w:type="dxa"/>
          </w:tcPr>
          <w:p w:rsidR="00EA40A3" w:rsidRDefault="00E86C16">
            <w:pPr>
              <w:spacing w:before="128" w:line="161" w:lineRule="auto"/>
              <w:ind w:left="402"/>
              <w:rPr>
                <w:rFonts w:ascii="宋体" w:eastAsia="宋体" w:hAnsi="宋体" w:cs="宋体"/>
                <w:sz w:val="16"/>
                <w:szCs w:val="16"/>
              </w:rPr>
            </w:pPr>
            <w:r>
              <w:rPr>
                <w:rFonts w:ascii="宋体" w:eastAsia="宋体" w:hAnsi="宋体" w:cs="宋体"/>
                <w:spacing w:val="-2"/>
                <w:sz w:val="16"/>
                <w:szCs w:val="16"/>
              </w:rPr>
              <w:t>807</w:t>
            </w:r>
          </w:p>
        </w:tc>
        <w:tc>
          <w:tcPr>
            <w:tcW w:w="960" w:type="dxa"/>
          </w:tcPr>
          <w:p w:rsidR="00EA40A3" w:rsidRDefault="00E86C16">
            <w:pPr>
              <w:spacing w:before="128" w:line="161" w:lineRule="auto"/>
              <w:ind w:left="412"/>
              <w:rPr>
                <w:rFonts w:ascii="宋体" w:eastAsia="宋体" w:hAnsi="宋体" w:cs="宋体"/>
                <w:sz w:val="16"/>
                <w:szCs w:val="16"/>
              </w:rPr>
            </w:pPr>
            <w:r>
              <w:rPr>
                <w:rFonts w:ascii="宋体" w:eastAsia="宋体" w:hAnsi="宋体" w:cs="宋体"/>
                <w:spacing w:val="-5"/>
                <w:sz w:val="16"/>
                <w:szCs w:val="16"/>
              </w:rPr>
              <w:t>18</w:t>
            </w:r>
          </w:p>
        </w:tc>
        <w:tc>
          <w:tcPr>
            <w:tcW w:w="1192" w:type="dxa"/>
          </w:tcPr>
          <w:p w:rsidR="00EA40A3" w:rsidRDefault="00E86C16">
            <w:pPr>
              <w:spacing w:before="118" w:line="172" w:lineRule="auto"/>
              <w:ind w:left="442"/>
              <w:rPr>
                <w:rFonts w:ascii="宋体" w:eastAsia="宋体" w:hAnsi="宋体" w:cs="宋体"/>
                <w:sz w:val="16"/>
                <w:szCs w:val="16"/>
              </w:rPr>
            </w:pPr>
            <w:r>
              <w:rPr>
                <w:rFonts w:ascii="宋体" w:eastAsia="宋体" w:hAnsi="宋体" w:cs="宋体"/>
                <w:spacing w:val="-2"/>
                <w:sz w:val="16"/>
                <w:szCs w:val="16"/>
              </w:rPr>
              <w:t>7.46</w:t>
            </w:r>
          </w:p>
        </w:tc>
      </w:tr>
      <w:tr w:rsidR="00EA40A3">
        <w:trPr>
          <w:trHeight w:val="290"/>
        </w:trPr>
        <w:tc>
          <w:tcPr>
            <w:tcW w:w="1233" w:type="dxa"/>
          </w:tcPr>
          <w:p w:rsidR="00EA40A3" w:rsidRDefault="00E86C16">
            <w:pPr>
              <w:spacing w:before="39" w:line="219" w:lineRule="auto"/>
              <w:ind w:left="269"/>
              <w:rPr>
                <w:rFonts w:ascii="宋体" w:eastAsia="宋体" w:hAnsi="宋体" w:cs="宋体"/>
                <w:sz w:val="16"/>
                <w:szCs w:val="16"/>
              </w:rPr>
            </w:pPr>
            <w:r>
              <w:rPr>
                <w:rFonts w:ascii="宋体" w:eastAsia="宋体" w:hAnsi="宋体" w:cs="宋体"/>
                <w:spacing w:val="-2"/>
                <w:sz w:val="16"/>
                <w:szCs w:val="16"/>
              </w:rPr>
              <w:t>蒸花籽仁</w:t>
            </w:r>
          </w:p>
        </w:tc>
        <w:tc>
          <w:tcPr>
            <w:tcW w:w="844" w:type="dxa"/>
          </w:tcPr>
          <w:p w:rsidR="00EA40A3" w:rsidRDefault="00E86C16">
            <w:pPr>
              <w:spacing w:before="99" w:line="184" w:lineRule="auto"/>
              <w:ind w:left="256"/>
              <w:rPr>
                <w:rFonts w:ascii="宋体" w:eastAsia="宋体" w:hAnsi="宋体" w:cs="宋体"/>
                <w:sz w:val="16"/>
                <w:szCs w:val="16"/>
              </w:rPr>
            </w:pPr>
            <w:r>
              <w:rPr>
                <w:rFonts w:ascii="宋体" w:eastAsia="宋体" w:hAnsi="宋体" w:cs="宋体"/>
                <w:spacing w:val="-5"/>
                <w:sz w:val="16"/>
                <w:szCs w:val="16"/>
              </w:rPr>
              <w:t>117</w:t>
            </w:r>
          </w:p>
        </w:tc>
        <w:tc>
          <w:tcPr>
            <w:tcW w:w="1055" w:type="dxa"/>
          </w:tcPr>
          <w:p w:rsidR="00EA40A3" w:rsidRDefault="00E86C16">
            <w:pPr>
              <w:spacing w:before="120" w:line="183" w:lineRule="auto"/>
              <w:ind w:left="362"/>
              <w:rPr>
                <w:rFonts w:ascii="宋体" w:eastAsia="宋体" w:hAnsi="宋体" w:cs="宋体"/>
                <w:sz w:val="16"/>
                <w:szCs w:val="16"/>
              </w:rPr>
            </w:pPr>
            <w:r>
              <w:rPr>
                <w:rFonts w:ascii="宋体" w:eastAsia="宋体" w:hAnsi="宋体" w:cs="宋体"/>
                <w:spacing w:val="-2"/>
                <w:sz w:val="16"/>
                <w:szCs w:val="16"/>
              </w:rPr>
              <w:t>6.78</w:t>
            </w:r>
          </w:p>
        </w:tc>
        <w:tc>
          <w:tcPr>
            <w:tcW w:w="1015" w:type="dxa"/>
          </w:tcPr>
          <w:p w:rsidR="00EA40A3" w:rsidRDefault="00E86C16">
            <w:pPr>
              <w:spacing w:before="120" w:line="183" w:lineRule="auto"/>
              <w:ind w:left="388"/>
              <w:rPr>
                <w:rFonts w:ascii="宋体" w:eastAsia="宋体" w:hAnsi="宋体" w:cs="宋体"/>
                <w:sz w:val="16"/>
                <w:szCs w:val="16"/>
              </w:rPr>
            </w:pPr>
            <w:r>
              <w:rPr>
                <w:rFonts w:ascii="宋体" w:eastAsia="宋体" w:hAnsi="宋体" w:cs="宋体"/>
                <w:spacing w:val="-3"/>
                <w:sz w:val="16"/>
                <w:szCs w:val="16"/>
              </w:rPr>
              <w:t>353</w:t>
            </w:r>
          </w:p>
        </w:tc>
        <w:tc>
          <w:tcPr>
            <w:tcW w:w="1040" w:type="dxa"/>
          </w:tcPr>
          <w:p w:rsidR="00EA40A3" w:rsidRDefault="00E86C16">
            <w:pPr>
              <w:spacing w:before="120" w:line="183" w:lineRule="auto"/>
              <w:ind w:left="402"/>
              <w:rPr>
                <w:rFonts w:ascii="宋体" w:eastAsia="宋体" w:hAnsi="宋体" w:cs="宋体"/>
                <w:sz w:val="16"/>
                <w:szCs w:val="16"/>
              </w:rPr>
            </w:pPr>
            <w:r>
              <w:rPr>
                <w:rFonts w:ascii="宋体" w:eastAsia="宋体" w:hAnsi="宋体" w:cs="宋体"/>
                <w:spacing w:val="-2"/>
                <w:sz w:val="16"/>
                <w:szCs w:val="16"/>
              </w:rPr>
              <w:t>689</w:t>
            </w:r>
          </w:p>
        </w:tc>
        <w:tc>
          <w:tcPr>
            <w:tcW w:w="960" w:type="dxa"/>
          </w:tcPr>
          <w:p w:rsidR="00EA40A3" w:rsidRDefault="00E86C16">
            <w:pPr>
              <w:spacing w:before="130" w:line="183" w:lineRule="auto"/>
              <w:ind w:left="452"/>
              <w:rPr>
                <w:rFonts w:ascii="宋体" w:eastAsia="宋体" w:hAnsi="宋体" w:cs="宋体"/>
                <w:sz w:val="16"/>
                <w:szCs w:val="16"/>
              </w:rPr>
            </w:pPr>
            <w:r>
              <w:rPr>
                <w:rFonts w:ascii="宋体" w:eastAsia="宋体" w:hAnsi="宋体" w:cs="宋体"/>
                <w:sz w:val="16"/>
                <w:szCs w:val="16"/>
              </w:rPr>
              <w:t>3</w:t>
            </w:r>
          </w:p>
        </w:tc>
        <w:tc>
          <w:tcPr>
            <w:tcW w:w="1192" w:type="dxa"/>
          </w:tcPr>
          <w:p w:rsidR="00EA40A3" w:rsidRDefault="00E86C16">
            <w:pPr>
              <w:spacing w:before="150" w:line="161" w:lineRule="auto"/>
              <w:ind w:left="442"/>
              <w:rPr>
                <w:rFonts w:ascii="宋体" w:eastAsia="宋体" w:hAnsi="宋体" w:cs="宋体"/>
                <w:sz w:val="16"/>
                <w:szCs w:val="16"/>
              </w:rPr>
            </w:pPr>
            <w:r>
              <w:rPr>
                <w:rFonts w:ascii="宋体" w:eastAsia="宋体" w:hAnsi="宋体" w:cs="宋体"/>
                <w:spacing w:val="-2"/>
                <w:sz w:val="16"/>
                <w:szCs w:val="16"/>
              </w:rPr>
              <w:t>5.06</w:t>
            </w:r>
          </w:p>
        </w:tc>
      </w:tr>
      <w:tr w:rsidR="00EA40A3">
        <w:trPr>
          <w:trHeight w:val="269"/>
        </w:trPr>
        <w:tc>
          <w:tcPr>
            <w:tcW w:w="1233" w:type="dxa"/>
          </w:tcPr>
          <w:p w:rsidR="00EA40A3" w:rsidRDefault="00E86C16">
            <w:pPr>
              <w:spacing w:before="40" w:line="221" w:lineRule="auto"/>
              <w:ind w:left="349"/>
              <w:rPr>
                <w:rFonts w:ascii="宋体" w:eastAsia="宋体" w:hAnsi="宋体" w:cs="宋体"/>
                <w:sz w:val="16"/>
                <w:szCs w:val="16"/>
              </w:rPr>
            </w:pPr>
            <w:r>
              <w:rPr>
                <w:rFonts w:ascii="宋体" w:eastAsia="宋体" w:hAnsi="宋体" w:cs="宋体"/>
                <w:spacing w:val="2"/>
                <w:sz w:val="16"/>
                <w:szCs w:val="16"/>
              </w:rPr>
              <w:t>白芝麻</w:t>
            </w:r>
          </w:p>
        </w:tc>
        <w:tc>
          <w:tcPr>
            <w:tcW w:w="844" w:type="dxa"/>
          </w:tcPr>
          <w:p w:rsidR="00EA40A3" w:rsidRDefault="00E86C16">
            <w:pPr>
              <w:spacing w:before="89" w:line="184" w:lineRule="auto"/>
              <w:ind w:left="256"/>
              <w:rPr>
                <w:rFonts w:ascii="宋体" w:eastAsia="宋体" w:hAnsi="宋体" w:cs="宋体"/>
                <w:sz w:val="16"/>
                <w:szCs w:val="16"/>
              </w:rPr>
            </w:pPr>
            <w:r>
              <w:rPr>
                <w:rFonts w:ascii="宋体" w:eastAsia="宋体" w:hAnsi="宋体" w:cs="宋体"/>
                <w:spacing w:val="-5"/>
                <w:sz w:val="16"/>
                <w:szCs w:val="16"/>
              </w:rPr>
              <w:t>132</w:t>
            </w:r>
          </w:p>
        </w:tc>
        <w:tc>
          <w:tcPr>
            <w:tcW w:w="1055" w:type="dxa"/>
          </w:tcPr>
          <w:p w:rsidR="00EA40A3" w:rsidRDefault="00E86C16">
            <w:pPr>
              <w:spacing w:before="111" w:line="182" w:lineRule="auto"/>
              <w:ind w:left="362"/>
              <w:rPr>
                <w:rFonts w:ascii="宋体" w:eastAsia="宋体" w:hAnsi="宋体" w:cs="宋体"/>
                <w:sz w:val="16"/>
                <w:szCs w:val="16"/>
              </w:rPr>
            </w:pPr>
            <w:r>
              <w:rPr>
                <w:rFonts w:ascii="宋体" w:eastAsia="宋体" w:hAnsi="宋体" w:cs="宋体"/>
                <w:spacing w:val="-2"/>
                <w:sz w:val="16"/>
                <w:szCs w:val="16"/>
              </w:rPr>
              <w:t>7.79</w:t>
            </w:r>
          </w:p>
        </w:tc>
        <w:tc>
          <w:tcPr>
            <w:tcW w:w="1015" w:type="dxa"/>
          </w:tcPr>
          <w:p w:rsidR="00EA40A3" w:rsidRDefault="00E86C16">
            <w:pPr>
              <w:spacing w:before="100" w:line="183" w:lineRule="auto"/>
              <w:ind w:left="388"/>
              <w:rPr>
                <w:rFonts w:ascii="宋体" w:eastAsia="宋体" w:hAnsi="宋体" w:cs="宋体"/>
                <w:sz w:val="16"/>
                <w:szCs w:val="16"/>
              </w:rPr>
            </w:pPr>
            <w:r>
              <w:rPr>
                <w:rFonts w:ascii="宋体" w:eastAsia="宋体" w:hAnsi="宋体" w:cs="宋体"/>
                <w:spacing w:val="-3"/>
                <w:sz w:val="16"/>
                <w:szCs w:val="16"/>
              </w:rPr>
              <w:t>347</w:t>
            </w:r>
          </w:p>
        </w:tc>
        <w:tc>
          <w:tcPr>
            <w:tcW w:w="1040" w:type="dxa"/>
          </w:tcPr>
          <w:p w:rsidR="00EA40A3" w:rsidRDefault="00E86C16">
            <w:pPr>
              <w:spacing w:before="111" w:line="182" w:lineRule="auto"/>
              <w:ind w:left="402"/>
              <w:rPr>
                <w:rFonts w:ascii="宋体" w:eastAsia="宋体" w:hAnsi="宋体" w:cs="宋体"/>
                <w:sz w:val="16"/>
                <w:szCs w:val="16"/>
              </w:rPr>
            </w:pPr>
            <w:r>
              <w:rPr>
                <w:rFonts w:ascii="宋体" w:eastAsia="宋体" w:hAnsi="宋体" w:cs="宋体"/>
                <w:spacing w:val="-2"/>
                <w:sz w:val="16"/>
                <w:szCs w:val="16"/>
              </w:rPr>
              <w:t>408</w:t>
            </w:r>
          </w:p>
        </w:tc>
        <w:tc>
          <w:tcPr>
            <w:tcW w:w="960" w:type="dxa"/>
          </w:tcPr>
          <w:p w:rsidR="00EA40A3" w:rsidRDefault="00E86C16">
            <w:pPr>
              <w:spacing w:before="111" w:line="182" w:lineRule="auto"/>
              <w:ind w:left="412"/>
              <w:rPr>
                <w:rFonts w:ascii="宋体" w:eastAsia="宋体" w:hAnsi="宋体" w:cs="宋体"/>
                <w:sz w:val="16"/>
                <w:szCs w:val="16"/>
              </w:rPr>
            </w:pPr>
            <w:r>
              <w:rPr>
                <w:rFonts w:ascii="宋体" w:eastAsia="宋体" w:hAnsi="宋体" w:cs="宋体"/>
                <w:spacing w:val="-3"/>
                <w:sz w:val="16"/>
                <w:szCs w:val="16"/>
              </w:rPr>
              <w:t>39</w:t>
            </w:r>
          </w:p>
        </w:tc>
        <w:tc>
          <w:tcPr>
            <w:tcW w:w="1192" w:type="dxa"/>
          </w:tcPr>
          <w:p w:rsidR="00EA40A3" w:rsidRDefault="00E86C16">
            <w:pPr>
              <w:spacing w:before="119" w:line="172" w:lineRule="auto"/>
              <w:ind w:left="402"/>
              <w:rPr>
                <w:rFonts w:ascii="宋体" w:eastAsia="宋体" w:hAnsi="宋体" w:cs="宋体"/>
                <w:sz w:val="16"/>
                <w:szCs w:val="16"/>
              </w:rPr>
            </w:pPr>
            <w:r>
              <w:rPr>
                <w:rFonts w:ascii="宋体" w:eastAsia="宋体" w:hAnsi="宋体" w:cs="宋体"/>
                <w:spacing w:val="-3"/>
                <w:sz w:val="16"/>
                <w:szCs w:val="16"/>
              </w:rPr>
              <w:t>10.29</w:t>
            </w:r>
          </w:p>
        </w:tc>
      </w:tr>
      <w:tr w:rsidR="00EA40A3">
        <w:trPr>
          <w:trHeight w:val="268"/>
        </w:trPr>
        <w:tc>
          <w:tcPr>
            <w:tcW w:w="1233" w:type="dxa"/>
            <w:tcBorders>
              <w:bottom w:val="single" w:sz="4" w:space="0" w:color="000000"/>
            </w:tcBorders>
          </w:tcPr>
          <w:p w:rsidR="00EA40A3" w:rsidRDefault="00E86C16">
            <w:pPr>
              <w:spacing w:before="51" w:line="220" w:lineRule="auto"/>
              <w:ind w:left="430"/>
              <w:rPr>
                <w:rFonts w:ascii="宋体" w:eastAsia="宋体" w:hAnsi="宋体" w:cs="宋体"/>
                <w:sz w:val="16"/>
                <w:szCs w:val="16"/>
              </w:rPr>
            </w:pPr>
            <w:r>
              <w:rPr>
                <w:rFonts w:ascii="宋体" w:eastAsia="宋体" w:hAnsi="宋体" w:cs="宋体"/>
                <w:spacing w:val="-2"/>
                <w:sz w:val="16"/>
                <w:szCs w:val="16"/>
              </w:rPr>
              <w:t>栗子</w:t>
            </w:r>
          </w:p>
        </w:tc>
        <w:tc>
          <w:tcPr>
            <w:tcW w:w="844" w:type="dxa"/>
            <w:tcBorders>
              <w:bottom w:val="single" w:sz="4" w:space="0" w:color="000000"/>
            </w:tcBorders>
          </w:tcPr>
          <w:p w:rsidR="00EA40A3" w:rsidRDefault="00E86C16">
            <w:pPr>
              <w:spacing w:before="101" w:line="183" w:lineRule="auto"/>
              <w:ind w:left="256"/>
              <w:rPr>
                <w:rFonts w:ascii="宋体" w:eastAsia="宋体" w:hAnsi="宋体" w:cs="宋体"/>
                <w:sz w:val="16"/>
                <w:szCs w:val="16"/>
              </w:rPr>
            </w:pPr>
            <w:r>
              <w:rPr>
                <w:rFonts w:ascii="宋体" w:eastAsia="宋体" w:hAnsi="宋体" w:cs="宋体"/>
                <w:spacing w:val="-3"/>
                <w:sz w:val="16"/>
                <w:szCs w:val="16"/>
              </w:rPr>
              <w:t>29</w:t>
            </w:r>
          </w:p>
        </w:tc>
        <w:tc>
          <w:tcPr>
            <w:tcW w:w="1055" w:type="dxa"/>
            <w:tcBorders>
              <w:bottom w:val="single" w:sz="4" w:space="0" w:color="000000"/>
            </w:tcBorders>
          </w:tcPr>
          <w:p w:rsidR="00EA40A3" w:rsidRDefault="00E86C16">
            <w:pPr>
              <w:spacing w:before="121" w:line="169" w:lineRule="auto"/>
              <w:ind w:left="362"/>
              <w:rPr>
                <w:rFonts w:ascii="宋体" w:eastAsia="宋体" w:hAnsi="宋体" w:cs="宋体"/>
                <w:sz w:val="16"/>
                <w:szCs w:val="16"/>
              </w:rPr>
            </w:pPr>
            <w:r>
              <w:rPr>
                <w:rFonts w:ascii="宋体" w:eastAsia="宋体" w:hAnsi="宋体" w:cs="宋体"/>
                <w:spacing w:val="-2"/>
                <w:sz w:val="16"/>
                <w:szCs w:val="16"/>
              </w:rPr>
              <w:t>0.88</w:t>
            </w:r>
          </w:p>
        </w:tc>
        <w:tc>
          <w:tcPr>
            <w:tcW w:w="1015" w:type="dxa"/>
            <w:tcBorders>
              <w:bottom w:val="single" w:sz="4" w:space="0" w:color="000000"/>
            </w:tcBorders>
          </w:tcPr>
          <w:p w:rsidR="00EA40A3" w:rsidRDefault="00E86C16">
            <w:pPr>
              <w:spacing w:before="121" w:line="169" w:lineRule="auto"/>
              <w:ind w:left="428"/>
              <w:rPr>
                <w:rFonts w:ascii="宋体" w:eastAsia="宋体" w:hAnsi="宋体" w:cs="宋体"/>
                <w:sz w:val="16"/>
                <w:szCs w:val="16"/>
              </w:rPr>
            </w:pPr>
            <w:r>
              <w:rPr>
                <w:rFonts w:ascii="宋体" w:eastAsia="宋体" w:hAnsi="宋体" w:cs="宋体"/>
                <w:spacing w:val="-3"/>
                <w:sz w:val="16"/>
                <w:szCs w:val="16"/>
              </w:rPr>
              <w:t>33</w:t>
            </w:r>
          </w:p>
        </w:tc>
        <w:tc>
          <w:tcPr>
            <w:tcW w:w="1040" w:type="dxa"/>
            <w:tcBorders>
              <w:bottom w:val="single" w:sz="4" w:space="0" w:color="000000"/>
            </w:tcBorders>
          </w:tcPr>
          <w:p w:rsidR="00EA40A3" w:rsidRDefault="00E86C16">
            <w:pPr>
              <w:spacing w:before="131" w:line="157" w:lineRule="auto"/>
              <w:ind w:left="402"/>
              <w:rPr>
                <w:rFonts w:ascii="宋体" w:eastAsia="宋体" w:hAnsi="宋体" w:cs="宋体"/>
                <w:sz w:val="16"/>
                <w:szCs w:val="16"/>
              </w:rPr>
            </w:pPr>
            <w:r>
              <w:rPr>
                <w:rFonts w:ascii="宋体" w:eastAsia="宋体" w:hAnsi="宋体" w:cs="宋体"/>
                <w:spacing w:val="-3"/>
                <w:sz w:val="16"/>
                <w:szCs w:val="16"/>
              </w:rPr>
              <w:t>592</w:t>
            </w:r>
          </w:p>
        </w:tc>
        <w:tc>
          <w:tcPr>
            <w:tcW w:w="960" w:type="dxa"/>
            <w:tcBorders>
              <w:bottom w:val="single" w:sz="4" w:space="0" w:color="000000"/>
            </w:tcBorders>
          </w:tcPr>
          <w:p w:rsidR="00EA40A3" w:rsidRDefault="00E86C16">
            <w:pPr>
              <w:spacing w:before="121" w:line="169" w:lineRule="auto"/>
              <w:ind w:left="452"/>
              <w:rPr>
                <w:rFonts w:ascii="宋体" w:eastAsia="宋体" w:hAnsi="宋体" w:cs="宋体"/>
                <w:sz w:val="16"/>
                <w:szCs w:val="16"/>
              </w:rPr>
            </w:pPr>
            <w:r>
              <w:rPr>
                <w:rFonts w:ascii="宋体" w:eastAsia="宋体" w:hAnsi="宋体" w:cs="宋体"/>
                <w:sz w:val="16"/>
                <w:szCs w:val="16"/>
              </w:rPr>
              <w:t>2</w:t>
            </w:r>
          </w:p>
        </w:tc>
        <w:tc>
          <w:tcPr>
            <w:tcW w:w="1192" w:type="dxa"/>
            <w:tcBorders>
              <w:bottom w:val="single" w:sz="4" w:space="0" w:color="000000"/>
            </w:tcBorders>
          </w:tcPr>
          <w:p w:rsidR="00EA40A3" w:rsidRDefault="00E86C16">
            <w:pPr>
              <w:spacing w:before="131" w:line="157" w:lineRule="auto"/>
              <w:ind w:left="442"/>
              <w:rPr>
                <w:rFonts w:ascii="宋体" w:eastAsia="宋体" w:hAnsi="宋体" w:cs="宋体"/>
                <w:sz w:val="16"/>
                <w:szCs w:val="16"/>
              </w:rPr>
            </w:pPr>
            <w:r>
              <w:rPr>
                <w:rFonts w:ascii="宋体" w:eastAsia="宋体" w:hAnsi="宋体" w:cs="宋体"/>
                <w:spacing w:val="-2"/>
                <w:sz w:val="16"/>
                <w:szCs w:val="16"/>
              </w:rPr>
              <w:t>0.57</w:t>
            </w:r>
          </w:p>
        </w:tc>
      </w:tr>
    </w:tbl>
    <w:p w:rsidR="00EA40A3" w:rsidRDefault="00E86C16">
      <w:pPr>
        <w:spacing w:before="106" w:line="214" w:lineRule="auto"/>
        <w:ind w:left="379"/>
        <w:rPr>
          <w:rFonts w:ascii="宋体" w:eastAsia="宋体" w:hAnsi="宋体" w:cs="宋体"/>
          <w:sz w:val="17"/>
          <w:szCs w:val="17"/>
        </w:rPr>
      </w:pPr>
      <w:r>
        <w:rPr>
          <w:rFonts w:ascii="宋体" w:eastAsia="宋体" w:hAnsi="宋体" w:cs="宋体"/>
          <w:spacing w:val="-12"/>
          <w:sz w:val="17"/>
          <w:szCs w:val="17"/>
        </w:rPr>
        <w:t>资料来源：</w:t>
      </w:r>
      <w:r>
        <w:rPr>
          <w:rFonts w:ascii="宋体" w:eastAsia="宋体" w:hAnsi="宋体" w:cs="宋体"/>
          <w:spacing w:val="-35"/>
          <w:sz w:val="17"/>
          <w:szCs w:val="17"/>
        </w:rPr>
        <w:t xml:space="preserve"> </w:t>
      </w:r>
      <w:r>
        <w:rPr>
          <w:rFonts w:ascii="宋体" w:eastAsia="宋体" w:hAnsi="宋体" w:cs="宋体"/>
          <w:spacing w:val="-11"/>
          <w:sz w:val="17"/>
          <w:szCs w:val="17"/>
        </w:rPr>
        <w:t>Table</w:t>
      </w:r>
      <w:r>
        <w:rPr>
          <w:rFonts w:ascii="宋体" w:eastAsia="宋体" w:hAnsi="宋体" w:cs="宋体"/>
          <w:spacing w:val="-3"/>
          <w:sz w:val="17"/>
          <w:szCs w:val="17"/>
        </w:rPr>
        <w:t xml:space="preserve"> </w:t>
      </w:r>
      <w:r>
        <w:rPr>
          <w:rFonts w:ascii="宋体" w:eastAsia="宋体" w:hAnsi="宋体" w:cs="宋体"/>
          <w:spacing w:val="-11"/>
          <w:sz w:val="17"/>
          <w:szCs w:val="17"/>
        </w:rPr>
        <w:t>of</w:t>
      </w:r>
      <w:r>
        <w:rPr>
          <w:rFonts w:ascii="宋体" w:eastAsia="宋体" w:hAnsi="宋体" w:cs="宋体"/>
          <w:spacing w:val="-7"/>
          <w:sz w:val="17"/>
          <w:szCs w:val="17"/>
        </w:rPr>
        <w:t xml:space="preserve"> </w:t>
      </w:r>
      <w:r>
        <w:rPr>
          <w:rFonts w:ascii="宋体" w:eastAsia="宋体" w:hAnsi="宋体" w:cs="宋体"/>
          <w:spacing w:val="-11"/>
          <w:sz w:val="17"/>
          <w:szCs w:val="17"/>
        </w:rPr>
        <w:t>Food</w:t>
      </w:r>
      <w:r>
        <w:rPr>
          <w:rFonts w:ascii="宋体" w:eastAsia="宋体" w:hAnsi="宋体" w:cs="宋体"/>
          <w:spacing w:val="-5"/>
          <w:sz w:val="17"/>
          <w:szCs w:val="17"/>
        </w:rPr>
        <w:t xml:space="preserve"> </w:t>
      </w:r>
      <w:r>
        <w:rPr>
          <w:rFonts w:ascii="宋体" w:eastAsia="宋体" w:hAnsi="宋体" w:cs="宋体"/>
          <w:spacing w:val="-11"/>
          <w:sz w:val="17"/>
          <w:szCs w:val="17"/>
        </w:rPr>
        <w:t>Composition</w:t>
      </w:r>
      <w:r>
        <w:rPr>
          <w:rFonts w:ascii="宋体" w:eastAsia="宋体" w:hAnsi="宋体" w:cs="宋体"/>
          <w:spacing w:val="-12"/>
          <w:sz w:val="17"/>
          <w:szCs w:val="17"/>
        </w:rPr>
        <w:t>.</w:t>
      </w:r>
      <w:r>
        <w:rPr>
          <w:rFonts w:ascii="宋体" w:eastAsia="宋体" w:hAnsi="宋体" w:cs="宋体"/>
          <w:spacing w:val="-2"/>
          <w:sz w:val="17"/>
          <w:szCs w:val="17"/>
        </w:rPr>
        <w:t xml:space="preserve"> </w:t>
      </w:r>
      <w:r>
        <w:rPr>
          <w:rFonts w:ascii="宋体" w:eastAsia="宋体" w:hAnsi="宋体" w:cs="宋体"/>
          <w:spacing w:val="-12"/>
          <w:sz w:val="17"/>
          <w:szCs w:val="17"/>
        </w:rPr>
        <w:t>2000.</w:t>
      </w:r>
      <w:r>
        <w:rPr>
          <w:rFonts w:ascii="宋体" w:eastAsia="宋体" w:hAnsi="宋体" w:cs="宋体"/>
          <w:spacing w:val="-9"/>
          <w:sz w:val="17"/>
          <w:szCs w:val="17"/>
        </w:rPr>
        <w:t xml:space="preserve"> </w:t>
      </w:r>
      <w:r>
        <w:rPr>
          <w:rFonts w:ascii="宋体" w:eastAsia="宋体" w:hAnsi="宋体" w:cs="宋体"/>
          <w:spacing w:val="-11"/>
          <w:sz w:val="17"/>
          <w:szCs w:val="17"/>
        </w:rPr>
        <w:t>West</w:t>
      </w:r>
      <w:r>
        <w:rPr>
          <w:rFonts w:ascii="宋体" w:eastAsia="宋体" w:hAnsi="宋体" w:cs="宋体"/>
          <w:spacing w:val="-12"/>
          <w:sz w:val="17"/>
          <w:szCs w:val="17"/>
        </w:rPr>
        <w:t>-</w:t>
      </w:r>
      <w:r>
        <w:rPr>
          <w:rFonts w:ascii="宋体" w:eastAsia="宋体" w:hAnsi="宋体" w:cs="宋体"/>
          <w:spacing w:val="-11"/>
          <w:sz w:val="17"/>
          <w:szCs w:val="17"/>
        </w:rPr>
        <w:t>Wadsworth</w:t>
      </w:r>
      <w:r>
        <w:rPr>
          <w:rFonts w:ascii="宋体" w:eastAsia="宋体" w:hAnsi="宋体" w:cs="宋体"/>
          <w:spacing w:val="-7"/>
          <w:sz w:val="17"/>
          <w:szCs w:val="17"/>
        </w:rPr>
        <w:t xml:space="preserve"> </w:t>
      </w:r>
      <w:r>
        <w:rPr>
          <w:rFonts w:ascii="宋体" w:eastAsia="宋体" w:hAnsi="宋体" w:cs="宋体"/>
          <w:spacing w:val="-11"/>
          <w:sz w:val="17"/>
          <w:szCs w:val="17"/>
        </w:rPr>
        <w:t>Publishing</w:t>
      </w:r>
      <w:r>
        <w:rPr>
          <w:rFonts w:ascii="宋体" w:eastAsia="宋体" w:hAnsi="宋体" w:cs="宋体"/>
          <w:spacing w:val="-5"/>
          <w:sz w:val="17"/>
          <w:szCs w:val="17"/>
        </w:rPr>
        <w:t xml:space="preserve"> </w:t>
      </w:r>
      <w:r>
        <w:rPr>
          <w:rFonts w:ascii="宋体" w:eastAsia="宋体" w:hAnsi="宋体" w:cs="宋体"/>
          <w:spacing w:val="-11"/>
          <w:sz w:val="17"/>
          <w:szCs w:val="17"/>
        </w:rPr>
        <w:t>Compa</w:t>
      </w:r>
      <w:r>
        <w:rPr>
          <w:rFonts w:ascii="宋体" w:eastAsia="宋体" w:hAnsi="宋体" w:cs="宋体"/>
          <w:spacing w:val="-12"/>
          <w:sz w:val="17"/>
          <w:szCs w:val="17"/>
        </w:rPr>
        <w:t>ny</w:t>
      </w:r>
    </w:p>
    <w:p w:rsidR="00EA40A3" w:rsidRDefault="00EA40A3">
      <w:pPr>
        <w:spacing w:line="295" w:lineRule="auto"/>
      </w:pPr>
    </w:p>
    <w:p w:rsidR="00EA40A3" w:rsidRDefault="00E86C16">
      <w:pPr>
        <w:spacing w:before="68" w:line="221" w:lineRule="auto"/>
        <w:ind w:left="2122"/>
        <w:rPr>
          <w:rFonts w:ascii="黑体" w:eastAsia="黑体" w:hAnsi="黑体" w:cs="黑体"/>
        </w:rPr>
      </w:pPr>
      <w:r>
        <w:rPr>
          <w:rFonts w:ascii="黑体" w:eastAsia="黑体" w:hAnsi="黑体" w:cs="黑体"/>
          <w:b/>
          <w:bCs/>
          <w:spacing w:val="-19"/>
          <w:w w:val="96"/>
        </w:rPr>
        <w:t>表6-10</w:t>
      </w:r>
      <w:r>
        <w:rPr>
          <w:rFonts w:ascii="黑体" w:eastAsia="黑体" w:hAnsi="黑体" w:cs="黑体"/>
          <w:spacing w:val="51"/>
        </w:rPr>
        <w:t xml:space="preserve"> </w:t>
      </w:r>
      <w:r>
        <w:rPr>
          <w:rFonts w:ascii="黑体" w:eastAsia="黑体" w:hAnsi="黑体" w:cs="黑体"/>
          <w:b/>
          <w:bCs/>
          <w:spacing w:val="-19"/>
          <w:w w:val="96"/>
        </w:rPr>
        <w:t>部分坚果类食品的营养价值</w:t>
      </w:r>
    </w:p>
    <w:p w:rsidR="00EA40A3" w:rsidRDefault="00EA40A3">
      <w:pPr>
        <w:spacing w:line="29" w:lineRule="exact"/>
      </w:pPr>
    </w:p>
    <w:tbl>
      <w:tblPr>
        <w:tblStyle w:val="TableNormal"/>
        <w:tblW w:w="7340" w:type="dxa"/>
        <w:tblInd w:w="3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83"/>
        <w:gridCol w:w="937"/>
        <w:gridCol w:w="858"/>
        <w:gridCol w:w="869"/>
        <w:gridCol w:w="866"/>
        <w:gridCol w:w="868"/>
        <w:gridCol w:w="935"/>
        <w:gridCol w:w="924"/>
      </w:tblGrid>
      <w:tr w:rsidR="00EA40A3">
        <w:trPr>
          <w:trHeight w:val="562"/>
        </w:trPr>
        <w:tc>
          <w:tcPr>
            <w:tcW w:w="1083" w:type="dxa"/>
            <w:tcBorders>
              <w:top w:val="single" w:sz="4" w:space="0" w:color="000000"/>
              <w:bottom w:val="single" w:sz="4" w:space="0" w:color="000000"/>
            </w:tcBorders>
          </w:tcPr>
          <w:p w:rsidR="00EA40A3" w:rsidRDefault="00E86C16">
            <w:pPr>
              <w:spacing w:before="203" w:line="221" w:lineRule="auto"/>
              <w:ind w:left="460"/>
              <w:rPr>
                <w:rFonts w:ascii="宋体" w:eastAsia="宋体" w:hAnsi="宋体" w:cs="宋体"/>
                <w:sz w:val="16"/>
                <w:szCs w:val="16"/>
              </w:rPr>
            </w:pPr>
            <w:r>
              <w:rPr>
                <w:rFonts w:ascii="宋体" w:eastAsia="宋体" w:hAnsi="宋体" w:cs="宋体"/>
                <w:spacing w:val="-3"/>
                <w:sz w:val="16"/>
                <w:szCs w:val="16"/>
              </w:rPr>
              <w:t>名称</w:t>
            </w:r>
          </w:p>
        </w:tc>
        <w:tc>
          <w:tcPr>
            <w:tcW w:w="937" w:type="dxa"/>
            <w:tcBorders>
              <w:top w:val="single" w:sz="4" w:space="0" w:color="000000"/>
              <w:bottom w:val="single" w:sz="4" w:space="0" w:color="000000"/>
            </w:tcBorders>
          </w:tcPr>
          <w:p w:rsidR="00EA40A3" w:rsidRDefault="00E86C16">
            <w:pPr>
              <w:spacing w:before="131" w:line="220" w:lineRule="auto"/>
              <w:ind w:left="207"/>
              <w:rPr>
                <w:rFonts w:ascii="宋体" w:eastAsia="宋体" w:hAnsi="宋体" w:cs="宋体"/>
                <w:sz w:val="16"/>
                <w:szCs w:val="16"/>
              </w:rPr>
            </w:pPr>
            <w:r>
              <w:rPr>
                <w:rFonts w:ascii="宋体" w:eastAsia="宋体" w:hAnsi="宋体" w:cs="宋体"/>
                <w:spacing w:val="6"/>
                <w:sz w:val="16"/>
                <w:szCs w:val="16"/>
              </w:rPr>
              <w:t>蛋白质</w:t>
            </w:r>
          </w:p>
          <w:p w:rsidR="00EA40A3" w:rsidRDefault="00E86C16">
            <w:pPr>
              <w:spacing w:before="53" w:line="214" w:lineRule="auto"/>
              <w:ind w:left="167"/>
              <w:rPr>
                <w:rFonts w:ascii="宋体" w:eastAsia="宋体" w:hAnsi="宋体" w:cs="宋体"/>
                <w:sz w:val="16"/>
                <w:szCs w:val="16"/>
              </w:rPr>
            </w:pPr>
            <w:r>
              <w:rPr>
                <w:rFonts w:ascii="宋体" w:eastAsia="宋体" w:hAnsi="宋体" w:cs="宋体"/>
                <w:spacing w:val="-1"/>
                <w:sz w:val="16"/>
                <w:szCs w:val="16"/>
              </w:rPr>
              <w:t>/(g/100g)</w:t>
            </w:r>
          </w:p>
        </w:tc>
        <w:tc>
          <w:tcPr>
            <w:tcW w:w="5320" w:type="dxa"/>
            <w:gridSpan w:val="6"/>
            <w:tcBorders>
              <w:top w:val="single" w:sz="4" w:space="0" w:color="000000"/>
              <w:bottom w:val="single" w:sz="4" w:space="0" w:color="000000"/>
            </w:tcBorders>
          </w:tcPr>
          <w:p w:rsidR="00EA40A3" w:rsidRDefault="00E86C16">
            <w:pPr>
              <w:spacing w:before="101" w:line="232" w:lineRule="auto"/>
              <w:ind w:left="280"/>
              <w:rPr>
                <w:rFonts w:ascii="宋体" w:eastAsia="宋体" w:hAnsi="宋体" w:cs="宋体"/>
                <w:sz w:val="16"/>
                <w:szCs w:val="16"/>
              </w:rPr>
            </w:pPr>
            <w:r>
              <w:rPr>
                <w:rFonts w:ascii="宋体" w:eastAsia="宋体" w:hAnsi="宋体" w:cs="宋体"/>
                <w:spacing w:val="-3"/>
                <w:sz w:val="16"/>
                <w:szCs w:val="16"/>
              </w:rPr>
              <w:t>脂肪</w:t>
            </w:r>
            <w:r>
              <w:rPr>
                <w:rFonts w:ascii="宋体" w:eastAsia="宋体" w:hAnsi="宋体" w:cs="宋体"/>
                <w:spacing w:val="14"/>
                <w:sz w:val="16"/>
                <w:szCs w:val="16"/>
              </w:rPr>
              <w:t xml:space="preserve">     </w:t>
            </w:r>
            <w:r>
              <w:rPr>
                <w:rFonts w:ascii="宋体" w:eastAsia="宋体" w:hAnsi="宋体" w:cs="宋体"/>
                <w:spacing w:val="-3"/>
                <w:sz w:val="16"/>
                <w:szCs w:val="16"/>
              </w:rPr>
              <w:t>硫胺素</w:t>
            </w:r>
            <w:r>
              <w:rPr>
                <w:rFonts w:ascii="宋体" w:eastAsia="宋体" w:hAnsi="宋体" w:cs="宋体"/>
                <w:spacing w:val="1"/>
                <w:sz w:val="16"/>
                <w:szCs w:val="16"/>
              </w:rPr>
              <w:t xml:space="preserve">     </w:t>
            </w:r>
            <w:r>
              <w:rPr>
                <w:rFonts w:ascii="宋体" w:eastAsia="宋体" w:hAnsi="宋体" w:cs="宋体"/>
                <w:spacing w:val="-3"/>
                <w:sz w:val="16"/>
                <w:szCs w:val="16"/>
              </w:rPr>
              <w:t>核黄素</w:t>
            </w:r>
            <w:r>
              <w:rPr>
                <w:rFonts w:ascii="宋体" w:eastAsia="宋体" w:hAnsi="宋体" w:cs="宋体"/>
                <w:spacing w:val="15"/>
                <w:sz w:val="16"/>
                <w:szCs w:val="16"/>
              </w:rPr>
              <w:t xml:space="preserve">    </w:t>
            </w:r>
            <w:r>
              <w:rPr>
                <w:rFonts w:ascii="宋体" w:eastAsia="宋体" w:hAnsi="宋体" w:cs="宋体"/>
                <w:spacing w:val="-3"/>
                <w:position w:val="1"/>
                <w:sz w:val="16"/>
                <w:szCs w:val="16"/>
              </w:rPr>
              <w:t>尼克酸</w:t>
            </w:r>
            <w:r>
              <w:rPr>
                <w:rFonts w:ascii="宋体" w:eastAsia="宋体" w:hAnsi="宋体" w:cs="宋体"/>
                <w:spacing w:val="12"/>
                <w:position w:val="1"/>
                <w:sz w:val="16"/>
                <w:szCs w:val="16"/>
              </w:rPr>
              <w:t xml:space="preserve">      </w:t>
            </w:r>
            <w:r>
              <w:rPr>
                <w:rFonts w:ascii="宋体" w:eastAsia="宋体" w:hAnsi="宋体" w:cs="宋体"/>
                <w:spacing w:val="-3"/>
                <w:sz w:val="16"/>
                <w:szCs w:val="16"/>
              </w:rPr>
              <w:t>铁</w:t>
            </w:r>
            <w:r>
              <w:rPr>
                <w:rFonts w:ascii="宋体" w:eastAsia="宋体" w:hAnsi="宋体" w:cs="宋体"/>
                <w:spacing w:val="5"/>
                <w:sz w:val="16"/>
                <w:szCs w:val="16"/>
              </w:rPr>
              <w:t xml:space="preserve">         </w:t>
            </w:r>
            <w:r>
              <w:rPr>
                <w:rFonts w:ascii="宋体" w:eastAsia="宋体" w:hAnsi="宋体" w:cs="宋体"/>
                <w:spacing w:val="-3"/>
                <w:sz w:val="16"/>
                <w:szCs w:val="16"/>
              </w:rPr>
              <w:t>锌</w:t>
            </w:r>
          </w:p>
          <w:p w:rsidR="00EA40A3" w:rsidRDefault="00E86C16">
            <w:pPr>
              <w:spacing w:before="53" w:line="214" w:lineRule="auto"/>
              <w:ind w:left="90"/>
              <w:rPr>
                <w:rFonts w:ascii="宋体" w:eastAsia="宋体" w:hAnsi="宋体" w:cs="宋体"/>
                <w:sz w:val="16"/>
                <w:szCs w:val="16"/>
              </w:rPr>
            </w:pPr>
            <w:r>
              <w:rPr>
                <w:rFonts w:ascii="宋体" w:eastAsia="宋体" w:hAnsi="宋体" w:cs="宋体"/>
                <w:sz w:val="16"/>
                <w:szCs w:val="16"/>
              </w:rPr>
              <w:t>/(g/100g)/(mg/100g)/(mg/100g)/(mg/100g)/(mg/100g)/(mg</w:t>
            </w:r>
            <w:r>
              <w:rPr>
                <w:rFonts w:ascii="宋体" w:eastAsia="宋体" w:hAnsi="宋体" w:cs="宋体"/>
                <w:spacing w:val="-1"/>
                <w:sz w:val="16"/>
                <w:szCs w:val="16"/>
              </w:rPr>
              <w:t>/100g)</w:t>
            </w:r>
          </w:p>
        </w:tc>
      </w:tr>
      <w:tr w:rsidR="00EA40A3">
        <w:trPr>
          <w:trHeight w:val="318"/>
        </w:trPr>
        <w:tc>
          <w:tcPr>
            <w:tcW w:w="1083" w:type="dxa"/>
            <w:tcBorders>
              <w:top w:val="single" w:sz="4" w:space="0" w:color="000000"/>
            </w:tcBorders>
          </w:tcPr>
          <w:p w:rsidR="00EA40A3" w:rsidRDefault="00E86C16">
            <w:pPr>
              <w:spacing w:before="100" w:line="220" w:lineRule="auto"/>
              <w:ind w:left="300"/>
              <w:rPr>
                <w:rFonts w:ascii="宋体" w:eastAsia="宋体" w:hAnsi="宋体" w:cs="宋体"/>
                <w:sz w:val="16"/>
                <w:szCs w:val="16"/>
              </w:rPr>
            </w:pPr>
            <w:r>
              <w:rPr>
                <w:rFonts w:ascii="宋体" w:eastAsia="宋体" w:hAnsi="宋体" w:cs="宋体"/>
                <w:spacing w:val="-2"/>
                <w:sz w:val="16"/>
                <w:szCs w:val="16"/>
              </w:rPr>
              <w:t>花生仁</w:t>
            </w:r>
          </w:p>
        </w:tc>
        <w:tc>
          <w:tcPr>
            <w:tcW w:w="937" w:type="dxa"/>
            <w:tcBorders>
              <w:top w:val="single" w:sz="4" w:space="0" w:color="000000"/>
            </w:tcBorders>
          </w:tcPr>
          <w:p w:rsidR="00EA40A3" w:rsidRDefault="00E86C16">
            <w:pPr>
              <w:spacing w:before="140" w:line="183" w:lineRule="auto"/>
              <w:ind w:left="367"/>
              <w:rPr>
                <w:rFonts w:ascii="宋体" w:eastAsia="宋体" w:hAnsi="宋体" w:cs="宋体"/>
                <w:sz w:val="16"/>
                <w:szCs w:val="16"/>
              </w:rPr>
            </w:pPr>
            <w:r>
              <w:rPr>
                <w:rFonts w:ascii="宋体" w:eastAsia="宋体" w:hAnsi="宋体" w:cs="宋体"/>
                <w:spacing w:val="-2"/>
                <w:sz w:val="16"/>
                <w:szCs w:val="16"/>
              </w:rPr>
              <w:t>25.0</w:t>
            </w:r>
          </w:p>
        </w:tc>
        <w:tc>
          <w:tcPr>
            <w:tcW w:w="858" w:type="dxa"/>
            <w:tcBorders>
              <w:top w:val="single" w:sz="4" w:space="0" w:color="000000"/>
            </w:tcBorders>
          </w:tcPr>
          <w:p w:rsidR="00EA40A3" w:rsidRDefault="00E86C16">
            <w:pPr>
              <w:spacing w:before="150" w:line="183" w:lineRule="auto"/>
              <w:ind w:left="270"/>
              <w:rPr>
                <w:rFonts w:ascii="宋体" w:eastAsia="宋体" w:hAnsi="宋体" w:cs="宋体"/>
                <w:sz w:val="16"/>
                <w:szCs w:val="16"/>
              </w:rPr>
            </w:pPr>
            <w:r>
              <w:rPr>
                <w:rFonts w:ascii="宋体" w:eastAsia="宋体" w:hAnsi="宋体" w:cs="宋体"/>
                <w:spacing w:val="-2"/>
                <w:sz w:val="16"/>
                <w:szCs w:val="16"/>
              </w:rPr>
              <w:t>44.3</w:t>
            </w:r>
          </w:p>
        </w:tc>
        <w:tc>
          <w:tcPr>
            <w:tcW w:w="869" w:type="dxa"/>
            <w:tcBorders>
              <w:top w:val="single" w:sz="4" w:space="0" w:color="000000"/>
            </w:tcBorders>
          </w:tcPr>
          <w:p w:rsidR="00EA40A3" w:rsidRDefault="00E86C16">
            <w:pPr>
              <w:spacing w:before="140" w:line="183" w:lineRule="auto"/>
              <w:ind w:left="282"/>
              <w:rPr>
                <w:rFonts w:ascii="宋体" w:eastAsia="宋体" w:hAnsi="宋体" w:cs="宋体"/>
                <w:sz w:val="16"/>
                <w:szCs w:val="16"/>
              </w:rPr>
            </w:pPr>
            <w:r>
              <w:rPr>
                <w:rFonts w:ascii="宋体" w:eastAsia="宋体" w:hAnsi="宋体" w:cs="宋体"/>
                <w:spacing w:val="-2"/>
                <w:sz w:val="16"/>
                <w:szCs w:val="16"/>
              </w:rPr>
              <w:t>0.72</w:t>
            </w:r>
          </w:p>
        </w:tc>
        <w:tc>
          <w:tcPr>
            <w:tcW w:w="866" w:type="dxa"/>
            <w:tcBorders>
              <w:top w:val="single" w:sz="4" w:space="0" w:color="000000"/>
            </w:tcBorders>
          </w:tcPr>
          <w:p w:rsidR="00EA40A3" w:rsidRDefault="00E86C16">
            <w:pPr>
              <w:spacing w:before="129" w:line="184" w:lineRule="auto"/>
              <w:ind w:left="283"/>
              <w:rPr>
                <w:rFonts w:ascii="宋体" w:eastAsia="宋体" w:hAnsi="宋体" w:cs="宋体"/>
                <w:sz w:val="16"/>
                <w:szCs w:val="16"/>
              </w:rPr>
            </w:pPr>
            <w:r>
              <w:rPr>
                <w:rFonts w:ascii="宋体" w:eastAsia="宋体" w:hAnsi="宋体" w:cs="宋体"/>
                <w:spacing w:val="-2"/>
                <w:sz w:val="16"/>
                <w:szCs w:val="16"/>
              </w:rPr>
              <w:t>0.13</w:t>
            </w:r>
          </w:p>
        </w:tc>
        <w:tc>
          <w:tcPr>
            <w:tcW w:w="868" w:type="dxa"/>
            <w:tcBorders>
              <w:top w:val="single" w:sz="4" w:space="0" w:color="000000"/>
            </w:tcBorders>
          </w:tcPr>
          <w:p w:rsidR="00EA40A3" w:rsidRDefault="00E86C16">
            <w:pPr>
              <w:spacing w:before="129" w:line="184" w:lineRule="auto"/>
              <w:ind w:left="277"/>
              <w:rPr>
                <w:rFonts w:ascii="宋体" w:eastAsia="宋体" w:hAnsi="宋体" w:cs="宋体"/>
                <w:sz w:val="16"/>
                <w:szCs w:val="16"/>
              </w:rPr>
            </w:pPr>
            <w:r>
              <w:rPr>
                <w:rFonts w:ascii="宋体" w:eastAsia="宋体" w:hAnsi="宋体" w:cs="宋体"/>
                <w:spacing w:val="-4"/>
                <w:sz w:val="16"/>
                <w:szCs w:val="16"/>
              </w:rPr>
              <w:t>17.9</w:t>
            </w:r>
          </w:p>
        </w:tc>
        <w:tc>
          <w:tcPr>
            <w:tcW w:w="935" w:type="dxa"/>
            <w:tcBorders>
              <w:top w:val="single" w:sz="4" w:space="0" w:color="000000"/>
            </w:tcBorders>
          </w:tcPr>
          <w:p w:rsidR="00EA40A3" w:rsidRDefault="00E86C16">
            <w:pPr>
              <w:spacing w:before="129" w:line="184" w:lineRule="auto"/>
              <w:ind w:left="339"/>
              <w:rPr>
                <w:rFonts w:ascii="宋体" w:eastAsia="宋体" w:hAnsi="宋体" w:cs="宋体"/>
                <w:sz w:val="16"/>
                <w:szCs w:val="16"/>
              </w:rPr>
            </w:pPr>
            <w:r>
              <w:rPr>
                <w:rFonts w:ascii="宋体" w:eastAsia="宋体" w:hAnsi="宋体" w:cs="宋体"/>
                <w:spacing w:val="-2"/>
                <w:sz w:val="16"/>
                <w:szCs w:val="16"/>
              </w:rPr>
              <w:t>2.1</w:t>
            </w:r>
          </w:p>
        </w:tc>
        <w:tc>
          <w:tcPr>
            <w:tcW w:w="924" w:type="dxa"/>
            <w:tcBorders>
              <w:top w:val="single" w:sz="4" w:space="0" w:color="000000"/>
            </w:tcBorders>
          </w:tcPr>
          <w:p w:rsidR="00EA40A3" w:rsidRDefault="00E86C16">
            <w:pPr>
              <w:spacing w:before="130" w:line="183" w:lineRule="auto"/>
              <w:ind w:left="334"/>
              <w:rPr>
                <w:rFonts w:ascii="宋体" w:eastAsia="宋体" w:hAnsi="宋体" w:cs="宋体"/>
                <w:sz w:val="16"/>
                <w:szCs w:val="16"/>
              </w:rPr>
            </w:pPr>
            <w:r>
              <w:rPr>
                <w:rFonts w:ascii="宋体" w:eastAsia="宋体" w:hAnsi="宋体" w:cs="宋体"/>
                <w:spacing w:val="-2"/>
                <w:sz w:val="16"/>
                <w:szCs w:val="16"/>
              </w:rPr>
              <w:t>2.5</w:t>
            </w:r>
          </w:p>
        </w:tc>
      </w:tr>
      <w:tr w:rsidR="00EA40A3">
        <w:trPr>
          <w:trHeight w:val="269"/>
        </w:trPr>
        <w:tc>
          <w:tcPr>
            <w:tcW w:w="1083" w:type="dxa"/>
          </w:tcPr>
          <w:p w:rsidR="00EA40A3" w:rsidRDefault="00E86C16">
            <w:pPr>
              <w:spacing w:before="61" w:line="219" w:lineRule="auto"/>
              <w:ind w:left="460"/>
              <w:rPr>
                <w:rFonts w:ascii="宋体" w:eastAsia="宋体" w:hAnsi="宋体" w:cs="宋体"/>
                <w:sz w:val="16"/>
                <w:szCs w:val="16"/>
              </w:rPr>
            </w:pPr>
            <w:r>
              <w:rPr>
                <w:rFonts w:ascii="宋体" w:eastAsia="宋体" w:hAnsi="宋体" w:cs="宋体"/>
                <w:spacing w:val="-3"/>
                <w:sz w:val="16"/>
                <w:szCs w:val="16"/>
              </w:rPr>
              <w:t>核桃</w:t>
            </w:r>
          </w:p>
        </w:tc>
        <w:tc>
          <w:tcPr>
            <w:tcW w:w="937" w:type="dxa"/>
          </w:tcPr>
          <w:p w:rsidR="00EA40A3" w:rsidRDefault="00E86C16">
            <w:pPr>
              <w:spacing w:before="101" w:line="184" w:lineRule="auto"/>
              <w:ind w:left="367"/>
              <w:rPr>
                <w:rFonts w:ascii="宋体" w:eastAsia="宋体" w:hAnsi="宋体" w:cs="宋体"/>
                <w:sz w:val="16"/>
                <w:szCs w:val="16"/>
              </w:rPr>
            </w:pPr>
            <w:r>
              <w:rPr>
                <w:rFonts w:ascii="宋体" w:eastAsia="宋体" w:hAnsi="宋体" w:cs="宋体"/>
                <w:spacing w:val="-4"/>
                <w:sz w:val="16"/>
                <w:szCs w:val="16"/>
              </w:rPr>
              <w:t>14.9</w:t>
            </w:r>
          </w:p>
        </w:tc>
        <w:tc>
          <w:tcPr>
            <w:tcW w:w="858" w:type="dxa"/>
          </w:tcPr>
          <w:p w:rsidR="00EA40A3" w:rsidRDefault="00E86C16">
            <w:pPr>
              <w:spacing w:before="113" w:line="180" w:lineRule="auto"/>
              <w:ind w:left="270"/>
              <w:rPr>
                <w:rFonts w:ascii="宋体" w:eastAsia="宋体" w:hAnsi="宋体" w:cs="宋体"/>
                <w:sz w:val="16"/>
                <w:szCs w:val="16"/>
              </w:rPr>
            </w:pPr>
            <w:r>
              <w:rPr>
                <w:rFonts w:ascii="宋体" w:eastAsia="宋体" w:hAnsi="宋体" w:cs="宋体"/>
                <w:spacing w:val="-2"/>
                <w:sz w:val="16"/>
                <w:szCs w:val="16"/>
              </w:rPr>
              <w:t>58.8</w:t>
            </w:r>
          </w:p>
        </w:tc>
        <w:tc>
          <w:tcPr>
            <w:tcW w:w="869" w:type="dxa"/>
          </w:tcPr>
          <w:p w:rsidR="00EA40A3" w:rsidRDefault="00E86C16">
            <w:pPr>
              <w:spacing w:before="101" w:line="184" w:lineRule="auto"/>
              <w:ind w:left="282"/>
              <w:rPr>
                <w:rFonts w:ascii="宋体" w:eastAsia="宋体" w:hAnsi="宋体" w:cs="宋体"/>
                <w:sz w:val="16"/>
                <w:szCs w:val="16"/>
              </w:rPr>
            </w:pPr>
            <w:r>
              <w:rPr>
                <w:rFonts w:ascii="宋体" w:eastAsia="宋体" w:hAnsi="宋体" w:cs="宋体"/>
                <w:spacing w:val="-2"/>
                <w:sz w:val="16"/>
                <w:szCs w:val="16"/>
              </w:rPr>
              <w:t>0.15</w:t>
            </w:r>
          </w:p>
        </w:tc>
        <w:tc>
          <w:tcPr>
            <w:tcW w:w="866" w:type="dxa"/>
          </w:tcPr>
          <w:p w:rsidR="00EA40A3" w:rsidRDefault="00E86C16">
            <w:pPr>
              <w:spacing w:before="91" w:line="184" w:lineRule="auto"/>
              <w:ind w:left="283"/>
              <w:rPr>
                <w:rFonts w:ascii="宋体" w:eastAsia="宋体" w:hAnsi="宋体" w:cs="宋体"/>
                <w:sz w:val="16"/>
                <w:szCs w:val="16"/>
              </w:rPr>
            </w:pPr>
            <w:r>
              <w:rPr>
                <w:rFonts w:ascii="宋体" w:eastAsia="宋体" w:hAnsi="宋体" w:cs="宋体"/>
                <w:spacing w:val="-2"/>
                <w:sz w:val="16"/>
                <w:szCs w:val="16"/>
              </w:rPr>
              <w:t>0.14</w:t>
            </w:r>
          </w:p>
        </w:tc>
        <w:tc>
          <w:tcPr>
            <w:tcW w:w="868" w:type="dxa"/>
          </w:tcPr>
          <w:p w:rsidR="00EA40A3" w:rsidRDefault="00E86C16">
            <w:pPr>
              <w:spacing w:before="113" w:line="180" w:lineRule="auto"/>
              <w:ind w:left="317"/>
              <w:rPr>
                <w:rFonts w:ascii="宋体" w:eastAsia="宋体" w:hAnsi="宋体" w:cs="宋体"/>
                <w:sz w:val="16"/>
                <w:szCs w:val="16"/>
              </w:rPr>
            </w:pPr>
            <w:r>
              <w:rPr>
                <w:rFonts w:ascii="宋体" w:eastAsia="宋体" w:hAnsi="宋体" w:cs="宋体"/>
                <w:spacing w:val="-2"/>
                <w:sz w:val="16"/>
                <w:szCs w:val="16"/>
              </w:rPr>
              <w:t>0.9</w:t>
            </w:r>
          </w:p>
        </w:tc>
        <w:tc>
          <w:tcPr>
            <w:tcW w:w="935" w:type="dxa"/>
          </w:tcPr>
          <w:p w:rsidR="00EA40A3" w:rsidRDefault="00E86C16">
            <w:pPr>
              <w:spacing w:before="92" w:line="183" w:lineRule="auto"/>
              <w:ind w:left="339"/>
              <w:rPr>
                <w:rFonts w:ascii="宋体" w:eastAsia="宋体" w:hAnsi="宋体" w:cs="宋体"/>
                <w:sz w:val="16"/>
                <w:szCs w:val="16"/>
              </w:rPr>
            </w:pPr>
            <w:r>
              <w:rPr>
                <w:rFonts w:ascii="宋体" w:eastAsia="宋体" w:hAnsi="宋体" w:cs="宋体"/>
                <w:spacing w:val="-2"/>
                <w:sz w:val="16"/>
                <w:szCs w:val="16"/>
              </w:rPr>
              <w:t>2.7</w:t>
            </w:r>
          </w:p>
        </w:tc>
        <w:tc>
          <w:tcPr>
            <w:tcW w:w="924" w:type="dxa"/>
          </w:tcPr>
          <w:p w:rsidR="00EA40A3" w:rsidRDefault="00E86C16">
            <w:pPr>
              <w:spacing w:before="82" w:line="183" w:lineRule="auto"/>
              <w:ind w:left="334"/>
              <w:rPr>
                <w:rFonts w:ascii="宋体" w:eastAsia="宋体" w:hAnsi="宋体" w:cs="宋体"/>
                <w:sz w:val="16"/>
                <w:szCs w:val="16"/>
              </w:rPr>
            </w:pPr>
            <w:r>
              <w:rPr>
                <w:rFonts w:ascii="宋体" w:eastAsia="宋体" w:hAnsi="宋体" w:cs="宋体"/>
                <w:spacing w:val="-2"/>
                <w:sz w:val="16"/>
                <w:szCs w:val="16"/>
              </w:rPr>
              <w:t>2.2</w:t>
            </w:r>
          </w:p>
        </w:tc>
      </w:tr>
      <w:tr w:rsidR="00EA40A3">
        <w:trPr>
          <w:trHeight w:val="274"/>
        </w:trPr>
        <w:tc>
          <w:tcPr>
            <w:tcW w:w="1083" w:type="dxa"/>
          </w:tcPr>
          <w:p w:rsidR="00EA40A3" w:rsidRDefault="00E86C16">
            <w:pPr>
              <w:spacing w:before="52" w:line="219" w:lineRule="auto"/>
              <w:ind w:left="290"/>
              <w:rPr>
                <w:rFonts w:ascii="宋体" w:eastAsia="宋体" w:hAnsi="宋体" w:cs="宋体"/>
                <w:sz w:val="16"/>
                <w:szCs w:val="16"/>
              </w:rPr>
            </w:pPr>
            <w:r>
              <w:rPr>
                <w:rFonts w:ascii="宋体" w:eastAsia="宋体" w:hAnsi="宋体" w:cs="宋体"/>
                <w:spacing w:val="-2"/>
                <w:sz w:val="16"/>
                <w:szCs w:val="16"/>
              </w:rPr>
              <w:t>葵花籽仁</w:t>
            </w:r>
          </w:p>
        </w:tc>
        <w:tc>
          <w:tcPr>
            <w:tcW w:w="937" w:type="dxa"/>
          </w:tcPr>
          <w:p w:rsidR="00EA40A3" w:rsidRDefault="00E86C16">
            <w:pPr>
              <w:spacing w:before="113" w:line="183" w:lineRule="auto"/>
              <w:ind w:left="367"/>
              <w:rPr>
                <w:rFonts w:ascii="宋体" w:eastAsia="宋体" w:hAnsi="宋体" w:cs="宋体"/>
                <w:sz w:val="16"/>
                <w:szCs w:val="16"/>
              </w:rPr>
            </w:pPr>
            <w:r>
              <w:rPr>
                <w:rFonts w:ascii="宋体" w:eastAsia="宋体" w:hAnsi="宋体" w:cs="宋体"/>
                <w:spacing w:val="-2"/>
                <w:sz w:val="16"/>
                <w:szCs w:val="16"/>
              </w:rPr>
              <w:t>23.9</w:t>
            </w:r>
          </w:p>
        </w:tc>
        <w:tc>
          <w:tcPr>
            <w:tcW w:w="858" w:type="dxa"/>
          </w:tcPr>
          <w:p w:rsidR="00EA40A3" w:rsidRDefault="00E86C16">
            <w:pPr>
              <w:spacing w:before="113" w:line="183" w:lineRule="auto"/>
              <w:ind w:left="270"/>
              <w:rPr>
                <w:rFonts w:ascii="宋体" w:eastAsia="宋体" w:hAnsi="宋体" w:cs="宋体"/>
                <w:sz w:val="16"/>
                <w:szCs w:val="16"/>
              </w:rPr>
            </w:pPr>
            <w:r>
              <w:rPr>
                <w:rFonts w:ascii="宋体" w:eastAsia="宋体" w:hAnsi="宋体" w:cs="宋体"/>
                <w:spacing w:val="-2"/>
                <w:sz w:val="16"/>
                <w:szCs w:val="16"/>
              </w:rPr>
              <w:t>49.9</w:t>
            </w:r>
          </w:p>
        </w:tc>
        <w:tc>
          <w:tcPr>
            <w:tcW w:w="869" w:type="dxa"/>
          </w:tcPr>
          <w:p w:rsidR="00EA40A3" w:rsidRDefault="00E86C16">
            <w:pPr>
              <w:spacing w:before="113" w:line="183" w:lineRule="auto"/>
              <w:ind w:left="282"/>
              <w:rPr>
                <w:rFonts w:ascii="宋体" w:eastAsia="宋体" w:hAnsi="宋体" w:cs="宋体"/>
                <w:sz w:val="16"/>
                <w:szCs w:val="16"/>
              </w:rPr>
            </w:pPr>
            <w:r>
              <w:rPr>
                <w:rFonts w:ascii="宋体" w:eastAsia="宋体" w:hAnsi="宋体" w:cs="宋体"/>
                <w:spacing w:val="-2"/>
                <w:sz w:val="16"/>
                <w:szCs w:val="16"/>
              </w:rPr>
              <w:t>0.36</w:t>
            </w:r>
          </w:p>
        </w:tc>
        <w:tc>
          <w:tcPr>
            <w:tcW w:w="866" w:type="dxa"/>
          </w:tcPr>
          <w:p w:rsidR="00EA40A3" w:rsidRDefault="00E86C16">
            <w:pPr>
              <w:spacing w:before="113" w:line="183" w:lineRule="auto"/>
              <w:ind w:left="283"/>
              <w:rPr>
                <w:rFonts w:ascii="宋体" w:eastAsia="宋体" w:hAnsi="宋体" w:cs="宋体"/>
                <w:sz w:val="16"/>
                <w:szCs w:val="16"/>
              </w:rPr>
            </w:pPr>
            <w:r>
              <w:rPr>
                <w:rFonts w:ascii="宋体" w:eastAsia="宋体" w:hAnsi="宋体" w:cs="宋体"/>
                <w:spacing w:val="-2"/>
                <w:sz w:val="16"/>
                <w:szCs w:val="16"/>
              </w:rPr>
              <w:t>0.20</w:t>
            </w:r>
          </w:p>
        </w:tc>
        <w:tc>
          <w:tcPr>
            <w:tcW w:w="868" w:type="dxa"/>
          </w:tcPr>
          <w:p w:rsidR="00EA40A3" w:rsidRDefault="00E86C16">
            <w:pPr>
              <w:spacing w:before="103" w:line="183" w:lineRule="auto"/>
              <w:ind w:left="317"/>
              <w:rPr>
                <w:rFonts w:ascii="宋体" w:eastAsia="宋体" w:hAnsi="宋体" w:cs="宋体"/>
                <w:sz w:val="16"/>
                <w:szCs w:val="16"/>
              </w:rPr>
            </w:pPr>
            <w:r>
              <w:rPr>
                <w:rFonts w:ascii="宋体" w:eastAsia="宋体" w:hAnsi="宋体" w:cs="宋体"/>
                <w:spacing w:val="-2"/>
                <w:sz w:val="16"/>
                <w:szCs w:val="16"/>
              </w:rPr>
              <w:t>4.8</w:t>
            </w:r>
          </w:p>
        </w:tc>
        <w:tc>
          <w:tcPr>
            <w:tcW w:w="935" w:type="dxa"/>
          </w:tcPr>
          <w:p w:rsidR="00EA40A3" w:rsidRDefault="00E86C16">
            <w:pPr>
              <w:spacing w:before="94" w:line="182" w:lineRule="auto"/>
              <w:ind w:left="339"/>
              <w:rPr>
                <w:rFonts w:ascii="宋体" w:eastAsia="宋体" w:hAnsi="宋体" w:cs="宋体"/>
                <w:sz w:val="16"/>
                <w:szCs w:val="16"/>
              </w:rPr>
            </w:pPr>
            <w:r>
              <w:rPr>
                <w:rFonts w:ascii="宋体" w:eastAsia="宋体" w:hAnsi="宋体" w:cs="宋体"/>
                <w:spacing w:val="-3"/>
                <w:sz w:val="16"/>
                <w:szCs w:val="16"/>
              </w:rPr>
              <w:t>5.7</w:t>
            </w:r>
          </w:p>
        </w:tc>
        <w:tc>
          <w:tcPr>
            <w:tcW w:w="924" w:type="dxa"/>
          </w:tcPr>
          <w:p w:rsidR="00EA40A3" w:rsidRDefault="00E86C16">
            <w:pPr>
              <w:spacing w:before="93" w:line="183" w:lineRule="auto"/>
              <w:ind w:left="334"/>
              <w:rPr>
                <w:rFonts w:ascii="宋体" w:eastAsia="宋体" w:hAnsi="宋体" w:cs="宋体"/>
                <w:sz w:val="16"/>
                <w:szCs w:val="16"/>
              </w:rPr>
            </w:pPr>
            <w:r>
              <w:rPr>
                <w:rFonts w:ascii="宋体" w:eastAsia="宋体" w:hAnsi="宋体" w:cs="宋体"/>
                <w:spacing w:val="-2"/>
                <w:sz w:val="16"/>
                <w:szCs w:val="16"/>
              </w:rPr>
              <w:t>6.0</w:t>
            </w:r>
          </w:p>
        </w:tc>
      </w:tr>
      <w:tr w:rsidR="00EA40A3">
        <w:trPr>
          <w:trHeight w:val="279"/>
        </w:trPr>
        <w:tc>
          <w:tcPr>
            <w:tcW w:w="1083" w:type="dxa"/>
          </w:tcPr>
          <w:p w:rsidR="00EA40A3" w:rsidRDefault="00E86C16">
            <w:pPr>
              <w:spacing w:before="59" w:line="220" w:lineRule="auto"/>
              <w:ind w:left="460"/>
              <w:rPr>
                <w:rFonts w:ascii="宋体" w:eastAsia="宋体" w:hAnsi="宋体" w:cs="宋体"/>
                <w:sz w:val="16"/>
                <w:szCs w:val="16"/>
              </w:rPr>
            </w:pPr>
            <w:r>
              <w:rPr>
                <w:rFonts w:ascii="宋体" w:eastAsia="宋体" w:hAnsi="宋体" w:cs="宋体"/>
                <w:spacing w:val="-2"/>
                <w:sz w:val="16"/>
                <w:szCs w:val="16"/>
              </w:rPr>
              <w:t>杏仁</w:t>
            </w:r>
          </w:p>
        </w:tc>
        <w:tc>
          <w:tcPr>
            <w:tcW w:w="937" w:type="dxa"/>
          </w:tcPr>
          <w:p w:rsidR="00EA40A3" w:rsidRDefault="00E86C16">
            <w:pPr>
              <w:spacing w:before="99" w:line="183" w:lineRule="auto"/>
              <w:ind w:left="367"/>
              <w:rPr>
                <w:rFonts w:ascii="宋体" w:eastAsia="宋体" w:hAnsi="宋体" w:cs="宋体"/>
                <w:sz w:val="16"/>
                <w:szCs w:val="16"/>
              </w:rPr>
            </w:pPr>
            <w:r>
              <w:rPr>
                <w:rFonts w:ascii="宋体" w:eastAsia="宋体" w:hAnsi="宋体" w:cs="宋体"/>
                <w:spacing w:val="-2"/>
                <w:sz w:val="16"/>
                <w:szCs w:val="16"/>
              </w:rPr>
              <w:t>24.7</w:t>
            </w:r>
          </w:p>
        </w:tc>
        <w:tc>
          <w:tcPr>
            <w:tcW w:w="858" w:type="dxa"/>
          </w:tcPr>
          <w:p w:rsidR="00EA40A3" w:rsidRDefault="00E86C16">
            <w:pPr>
              <w:spacing w:before="119" w:line="183" w:lineRule="auto"/>
              <w:ind w:left="270"/>
              <w:rPr>
                <w:rFonts w:ascii="宋体" w:eastAsia="宋体" w:hAnsi="宋体" w:cs="宋体"/>
                <w:sz w:val="16"/>
                <w:szCs w:val="16"/>
              </w:rPr>
            </w:pPr>
            <w:r>
              <w:rPr>
                <w:rFonts w:ascii="宋体" w:eastAsia="宋体" w:hAnsi="宋体" w:cs="宋体"/>
                <w:spacing w:val="-2"/>
                <w:sz w:val="16"/>
                <w:szCs w:val="16"/>
              </w:rPr>
              <w:t>44.8</w:t>
            </w:r>
          </w:p>
        </w:tc>
        <w:tc>
          <w:tcPr>
            <w:tcW w:w="869" w:type="dxa"/>
          </w:tcPr>
          <w:p w:rsidR="00EA40A3" w:rsidRDefault="00E86C16">
            <w:pPr>
              <w:spacing w:before="109" w:line="183" w:lineRule="auto"/>
              <w:ind w:left="282"/>
              <w:rPr>
                <w:rFonts w:ascii="宋体" w:eastAsia="宋体" w:hAnsi="宋体" w:cs="宋体"/>
                <w:sz w:val="16"/>
                <w:szCs w:val="16"/>
              </w:rPr>
            </w:pPr>
            <w:r>
              <w:rPr>
                <w:rFonts w:ascii="宋体" w:eastAsia="宋体" w:hAnsi="宋体" w:cs="宋体"/>
                <w:spacing w:val="-2"/>
                <w:sz w:val="16"/>
                <w:szCs w:val="16"/>
              </w:rPr>
              <w:t>0.08</w:t>
            </w:r>
          </w:p>
        </w:tc>
        <w:tc>
          <w:tcPr>
            <w:tcW w:w="866" w:type="dxa"/>
          </w:tcPr>
          <w:p w:rsidR="00EA40A3" w:rsidRDefault="00E86C16">
            <w:pPr>
              <w:spacing w:before="88" w:line="184" w:lineRule="auto"/>
              <w:ind w:left="283"/>
              <w:rPr>
                <w:rFonts w:ascii="宋体" w:eastAsia="宋体" w:hAnsi="宋体" w:cs="宋体"/>
                <w:sz w:val="16"/>
                <w:szCs w:val="16"/>
              </w:rPr>
            </w:pPr>
            <w:r>
              <w:rPr>
                <w:rFonts w:ascii="宋体" w:eastAsia="宋体" w:hAnsi="宋体" w:cs="宋体"/>
                <w:spacing w:val="-4"/>
                <w:sz w:val="16"/>
                <w:szCs w:val="16"/>
              </w:rPr>
              <w:t>1.25</w:t>
            </w:r>
          </w:p>
        </w:tc>
        <w:tc>
          <w:tcPr>
            <w:tcW w:w="868" w:type="dxa"/>
          </w:tcPr>
          <w:p w:rsidR="00EA40A3" w:rsidRDefault="00EA40A3"/>
        </w:tc>
        <w:tc>
          <w:tcPr>
            <w:tcW w:w="935" w:type="dxa"/>
          </w:tcPr>
          <w:p w:rsidR="00EA40A3" w:rsidRDefault="00E86C16">
            <w:pPr>
              <w:spacing w:before="108" w:line="184" w:lineRule="auto"/>
              <w:ind w:left="339"/>
              <w:rPr>
                <w:rFonts w:ascii="宋体" w:eastAsia="宋体" w:hAnsi="宋体" w:cs="宋体"/>
                <w:sz w:val="16"/>
                <w:szCs w:val="16"/>
              </w:rPr>
            </w:pPr>
            <w:r>
              <w:rPr>
                <w:rFonts w:ascii="宋体" w:eastAsia="宋体" w:hAnsi="宋体" w:cs="宋体"/>
                <w:spacing w:val="-5"/>
                <w:sz w:val="16"/>
                <w:szCs w:val="16"/>
              </w:rPr>
              <w:t>1.3</w:t>
            </w:r>
          </w:p>
        </w:tc>
        <w:tc>
          <w:tcPr>
            <w:tcW w:w="924" w:type="dxa"/>
          </w:tcPr>
          <w:p w:rsidR="00EA40A3" w:rsidRDefault="00E86C16">
            <w:pPr>
              <w:spacing w:before="109" w:line="183" w:lineRule="auto"/>
              <w:ind w:left="334"/>
              <w:rPr>
                <w:rFonts w:ascii="宋体" w:eastAsia="宋体" w:hAnsi="宋体" w:cs="宋体"/>
                <w:sz w:val="16"/>
                <w:szCs w:val="16"/>
              </w:rPr>
            </w:pPr>
            <w:r>
              <w:rPr>
                <w:rFonts w:ascii="宋体" w:eastAsia="宋体" w:hAnsi="宋体" w:cs="宋体"/>
                <w:spacing w:val="-3"/>
                <w:sz w:val="16"/>
                <w:szCs w:val="16"/>
              </w:rPr>
              <w:t>3.6</w:t>
            </w:r>
          </w:p>
        </w:tc>
      </w:tr>
      <w:tr w:rsidR="00EA40A3">
        <w:trPr>
          <w:trHeight w:val="228"/>
        </w:trPr>
        <w:tc>
          <w:tcPr>
            <w:tcW w:w="1083" w:type="dxa"/>
            <w:tcBorders>
              <w:bottom w:val="single" w:sz="4" w:space="0" w:color="000000"/>
            </w:tcBorders>
          </w:tcPr>
          <w:p w:rsidR="00EA40A3" w:rsidRDefault="00E86C16">
            <w:pPr>
              <w:spacing w:before="60" w:line="193" w:lineRule="auto"/>
              <w:ind w:left="300"/>
              <w:rPr>
                <w:rFonts w:ascii="宋体" w:eastAsia="宋体" w:hAnsi="宋体" w:cs="宋体"/>
                <w:sz w:val="16"/>
                <w:szCs w:val="16"/>
              </w:rPr>
            </w:pPr>
            <w:r>
              <w:rPr>
                <w:rFonts w:ascii="宋体" w:eastAsia="宋体" w:hAnsi="宋体" w:cs="宋体"/>
                <w:spacing w:val="-3"/>
                <w:sz w:val="16"/>
                <w:szCs w:val="16"/>
              </w:rPr>
              <w:t>黑芝麻</w:t>
            </w:r>
          </w:p>
        </w:tc>
        <w:tc>
          <w:tcPr>
            <w:tcW w:w="937" w:type="dxa"/>
            <w:tcBorders>
              <w:bottom w:val="single" w:sz="4" w:space="0" w:color="000000"/>
            </w:tcBorders>
          </w:tcPr>
          <w:p w:rsidR="00EA40A3" w:rsidRDefault="00E86C16">
            <w:pPr>
              <w:spacing w:before="100" w:line="127" w:lineRule="exact"/>
              <w:ind w:left="367"/>
              <w:rPr>
                <w:rFonts w:ascii="宋体" w:eastAsia="宋体" w:hAnsi="宋体" w:cs="宋体"/>
                <w:sz w:val="16"/>
                <w:szCs w:val="16"/>
              </w:rPr>
            </w:pPr>
            <w:r>
              <w:rPr>
                <w:rFonts w:ascii="宋体" w:eastAsia="宋体" w:hAnsi="宋体" w:cs="宋体"/>
                <w:spacing w:val="-4"/>
                <w:position w:val="-2"/>
                <w:sz w:val="16"/>
                <w:szCs w:val="16"/>
              </w:rPr>
              <w:t>19.1</w:t>
            </w:r>
          </w:p>
        </w:tc>
        <w:tc>
          <w:tcPr>
            <w:tcW w:w="858" w:type="dxa"/>
            <w:tcBorders>
              <w:bottom w:val="single" w:sz="4" w:space="0" w:color="000000"/>
            </w:tcBorders>
          </w:tcPr>
          <w:p w:rsidR="00EA40A3" w:rsidRDefault="00E86C16">
            <w:pPr>
              <w:spacing w:before="70" w:line="182" w:lineRule="auto"/>
              <w:ind w:left="270"/>
              <w:rPr>
                <w:rFonts w:ascii="宋体" w:eastAsia="宋体" w:hAnsi="宋体" w:cs="宋体"/>
                <w:sz w:val="16"/>
                <w:szCs w:val="16"/>
              </w:rPr>
            </w:pPr>
            <w:r>
              <w:rPr>
                <w:rFonts w:ascii="宋体" w:eastAsia="宋体" w:hAnsi="宋体" w:cs="宋体"/>
                <w:spacing w:val="-2"/>
                <w:sz w:val="16"/>
                <w:szCs w:val="16"/>
              </w:rPr>
              <w:t>46.1</w:t>
            </w:r>
          </w:p>
        </w:tc>
        <w:tc>
          <w:tcPr>
            <w:tcW w:w="869" w:type="dxa"/>
            <w:tcBorders>
              <w:bottom w:val="single" w:sz="4" w:space="0" w:color="000000"/>
            </w:tcBorders>
          </w:tcPr>
          <w:p w:rsidR="00EA40A3" w:rsidRDefault="00E86C16">
            <w:pPr>
              <w:spacing w:before="71" w:line="181" w:lineRule="auto"/>
              <w:ind w:left="282"/>
              <w:rPr>
                <w:rFonts w:ascii="宋体" w:eastAsia="宋体" w:hAnsi="宋体" w:cs="宋体"/>
                <w:sz w:val="16"/>
                <w:szCs w:val="16"/>
              </w:rPr>
            </w:pPr>
            <w:r>
              <w:rPr>
                <w:rFonts w:ascii="宋体" w:eastAsia="宋体" w:hAnsi="宋体" w:cs="宋体"/>
                <w:spacing w:val="-2"/>
                <w:sz w:val="16"/>
                <w:szCs w:val="16"/>
              </w:rPr>
              <w:t>0.66</w:t>
            </w:r>
          </w:p>
        </w:tc>
        <w:tc>
          <w:tcPr>
            <w:tcW w:w="866" w:type="dxa"/>
            <w:tcBorders>
              <w:bottom w:val="single" w:sz="4" w:space="0" w:color="000000"/>
            </w:tcBorders>
          </w:tcPr>
          <w:p w:rsidR="00EA40A3" w:rsidRDefault="00E86C16">
            <w:pPr>
              <w:spacing w:before="71" w:line="181" w:lineRule="auto"/>
              <w:ind w:left="283"/>
              <w:rPr>
                <w:rFonts w:ascii="宋体" w:eastAsia="宋体" w:hAnsi="宋体" w:cs="宋体"/>
                <w:sz w:val="16"/>
                <w:szCs w:val="16"/>
              </w:rPr>
            </w:pPr>
            <w:r>
              <w:rPr>
                <w:rFonts w:ascii="宋体" w:eastAsia="宋体" w:hAnsi="宋体" w:cs="宋体"/>
                <w:spacing w:val="-2"/>
                <w:sz w:val="16"/>
                <w:szCs w:val="16"/>
              </w:rPr>
              <w:t>0.25</w:t>
            </w:r>
          </w:p>
        </w:tc>
        <w:tc>
          <w:tcPr>
            <w:tcW w:w="868" w:type="dxa"/>
            <w:tcBorders>
              <w:bottom w:val="single" w:sz="4" w:space="0" w:color="000000"/>
            </w:tcBorders>
          </w:tcPr>
          <w:p w:rsidR="00EA40A3" w:rsidRDefault="00E86C16">
            <w:pPr>
              <w:spacing w:before="71" w:line="181" w:lineRule="auto"/>
              <w:ind w:left="317"/>
              <w:rPr>
                <w:rFonts w:ascii="宋体" w:eastAsia="宋体" w:hAnsi="宋体" w:cs="宋体"/>
                <w:sz w:val="16"/>
                <w:szCs w:val="16"/>
              </w:rPr>
            </w:pPr>
            <w:r>
              <w:rPr>
                <w:rFonts w:ascii="宋体" w:eastAsia="宋体" w:hAnsi="宋体" w:cs="宋体"/>
                <w:spacing w:val="-3"/>
                <w:sz w:val="16"/>
                <w:szCs w:val="16"/>
              </w:rPr>
              <w:t>5.9</w:t>
            </w:r>
          </w:p>
        </w:tc>
        <w:tc>
          <w:tcPr>
            <w:tcW w:w="935" w:type="dxa"/>
            <w:tcBorders>
              <w:bottom w:val="single" w:sz="4" w:space="0" w:color="000000"/>
            </w:tcBorders>
          </w:tcPr>
          <w:p w:rsidR="00EA40A3" w:rsidRDefault="00E86C16">
            <w:pPr>
              <w:spacing w:before="71" w:line="181" w:lineRule="auto"/>
              <w:ind w:left="299"/>
              <w:rPr>
                <w:rFonts w:ascii="宋体" w:eastAsia="宋体" w:hAnsi="宋体" w:cs="宋体"/>
                <w:sz w:val="16"/>
                <w:szCs w:val="16"/>
              </w:rPr>
            </w:pPr>
            <w:r>
              <w:rPr>
                <w:rFonts w:ascii="宋体" w:eastAsia="宋体" w:hAnsi="宋体" w:cs="宋体"/>
                <w:spacing w:val="-2"/>
                <w:sz w:val="16"/>
                <w:szCs w:val="16"/>
              </w:rPr>
              <w:t>22.7</w:t>
            </w:r>
          </w:p>
        </w:tc>
        <w:tc>
          <w:tcPr>
            <w:tcW w:w="924" w:type="dxa"/>
            <w:tcBorders>
              <w:bottom w:val="single" w:sz="4" w:space="0" w:color="000000"/>
            </w:tcBorders>
          </w:tcPr>
          <w:p w:rsidR="00EA40A3" w:rsidRDefault="00E86C16">
            <w:pPr>
              <w:spacing w:before="70" w:line="182" w:lineRule="auto"/>
              <w:ind w:left="334"/>
              <w:rPr>
                <w:rFonts w:ascii="宋体" w:eastAsia="宋体" w:hAnsi="宋体" w:cs="宋体"/>
                <w:sz w:val="16"/>
                <w:szCs w:val="16"/>
              </w:rPr>
            </w:pPr>
            <w:r>
              <w:rPr>
                <w:rFonts w:ascii="宋体" w:eastAsia="宋体" w:hAnsi="宋体" w:cs="宋体"/>
                <w:spacing w:val="-2"/>
                <w:sz w:val="16"/>
                <w:szCs w:val="16"/>
              </w:rPr>
              <w:t>6.1</w:t>
            </w:r>
          </w:p>
        </w:tc>
      </w:tr>
    </w:tbl>
    <w:p w:rsidR="00EA40A3" w:rsidRDefault="00E86C16">
      <w:pPr>
        <w:spacing w:before="112" w:line="264" w:lineRule="auto"/>
        <w:ind w:left="379" w:right="202" w:firstLine="20"/>
        <w:rPr>
          <w:rFonts w:ascii="宋体" w:eastAsia="宋体" w:hAnsi="宋体" w:cs="宋体"/>
          <w:sz w:val="17"/>
          <w:szCs w:val="17"/>
        </w:rPr>
      </w:pPr>
      <w:r>
        <w:rPr>
          <w:rFonts w:ascii="宋体" w:eastAsia="宋体" w:hAnsi="宋体" w:cs="宋体"/>
          <w:sz w:val="16"/>
          <w:szCs w:val="16"/>
        </w:rPr>
        <w:t>资料来源：预防医学科学院食品营养与卫生研究所.1991.食品成分表(全国代表值).北京：人民卫</w:t>
      </w:r>
      <w:r>
        <w:rPr>
          <w:rFonts w:ascii="宋体" w:eastAsia="宋体" w:hAnsi="宋体" w:cs="宋体"/>
          <w:spacing w:val="6"/>
          <w:sz w:val="16"/>
          <w:szCs w:val="16"/>
        </w:rPr>
        <w:t xml:space="preserve"> </w:t>
      </w:r>
      <w:r>
        <w:rPr>
          <w:rFonts w:ascii="宋体" w:eastAsia="宋体" w:hAnsi="宋体" w:cs="宋体"/>
          <w:spacing w:val="-10"/>
          <w:sz w:val="17"/>
          <w:szCs w:val="17"/>
        </w:rPr>
        <w:t>生出版社</w:t>
      </w:r>
    </w:p>
    <w:p w:rsidR="00EA40A3" w:rsidRDefault="00EA40A3">
      <w:pPr>
        <w:spacing w:line="337" w:lineRule="auto"/>
      </w:pPr>
    </w:p>
    <w:p w:rsidR="00EA40A3" w:rsidRDefault="00E86C16">
      <w:pPr>
        <w:spacing w:before="69" w:line="250" w:lineRule="auto"/>
        <w:ind w:right="151" w:firstLine="379"/>
        <w:jc w:val="both"/>
        <w:rPr>
          <w:rFonts w:ascii="宋体" w:eastAsia="宋体" w:hAnsi="宋体" w:cs="宋体"/>
        </w:rPr>
      </w:pPr>
      <w:r>
        <w:rPr>
          <w:rFonts w:ascii="宋体" w:eastAsia="宋体" w:hAnsi="宋体" w:cs="宋体"/>
          <w:spacing w:val="-3"/>
        </w:rPr>
        <w:t>坚果类虽为营养佳品，但因为其中大部分含大量脂肪，能量很高，不宜大量</w:t>
      </w:r>
      <w:r>
        <w:rPr>
          <w:rFonts w:ascii="宋体" w:eastAsia="宋体" w:hAnsi="宋体" w:cs="宋体"/>
          <w:spacing w:val="16"/>
        </w:rPr>
        <w:t xml:space="preserve"> </w:t>
      </w:r>
      <w:r>
        <w:rPr>
          <w:rFonts w:ascii="宋体" w:eastAsia="宋体" w:hAnsi="宋体" w:cs="宋体"/>
          <w:spacing w:val="-3"/>
        </w:rPr>
        <w:t>食用，以免引起消化不良或肥胖等问题。花生的黄曲霉毒素污染问题也需要引起</w:t>
      </w:r>
      <w:r>
        <w:rPr>
          <w:rFonts w:ascii="宋体" w:eastAsia="宋体" w:hAnsi="宋体" w:cs="宋体"/>
          <w:spacing w:val="12"/>
        </w:rPr>
        <w:t xml:space="preserve"> </w:t>
      </w:r>
      <w:r>
        <w:rPr>
          <w:rFonts w:ascii="宋体" w:eastAsia="宋体" w:hAnsi="宋体" w:cs="宋体"/>
          <w:spacing w:val="-9"/>
        </w:rPr>
        <w:t>重视。</w:t>
      </w:r>
    </w:p>
    <w:p w:rsidR="00EA40A3" w:rsidRDefault="00EA40A3">
      <w:pPr>
        <w:spacing w:line="256" w:lineRule="auto"/>
      </w:pPr>
    </w:p>
    <w:p w:rsidR="00EA40A3" w:rsidRDefault="00E86C16">
      <w:pPr>
        <w:spacing w:before="92" w:line="218" w:lineRule="auto"/>
        <w:ind w:left="1539"/>
        <w:rPr>
          <w:rFonts w:ascii="宋体" w:eastAsia="宋体" w:hAnsi="宋体" w:cs="宋体"/>
          <w:sz w:val="28"/>
          <w:szCs w:val="28"/>
        </w:rPr>
      </w:pPr>
      <w:r>
        <w:rPr>
          <w:rFonts w:ascii="宋体" w:eastAsia="宋体" w:hAnsi="宋体" w:cs="宋体"/>
          <w:spacing w:val="-4"/>
          <w:sz w:val="28"/>
          <w:szCs w:val="28"/>
        </w:rPr>
        <w:t>6.4</w:t>
      </w:r>
      <w:r>
        <w:rPr>
          <w:rFonts w:ascii="宋体" w:eastAsia="宋体" w:hAnsi="宋体" w:cs="宋体"/>
          <w:spacing w:val="46"/>
          <w:sz w:val="28"/>
          <w:szCs w:val="28"/>
        </w:rPr>
        <w:t xml:space="preserve"> </w:t>
      </w:r>
      <w:r>
        <w:rPr>
          <w:rFonts w:ascii="宋体" w:eastAsia="宋体" w:hAnsi="宋体" w:cs="宋体"/>
          <w:spacing w:val="-4"/>
          <w:sz w:val="28"/>
          <w:szCs w:val="28"/>
        </w:rPr>
        <w:t>蔬菜、薯类和水果的营养价值</w:t>
      </w:r>
    </w:p>
    <w:p w:rsidR="00EA40A3" w:rsidRDefault="00EA40A3">
      <w:pPr>
        <w:spacing w:line="250" w:lineRule="auto"/>
      </w:pPr>
    </w:p>
    <w:p w:rsidR="00EA40A3" w:rsidRDefault="00E86C16">
      <w:pPr>
        <w:spacing w:before="68" w:line="254" w:lineRule="auto"/>
        <w:ind w:right="151" w:firstLine="379"/>
        <w:jc w:val="both"/>
        <w:rPr>
          <w:rFonts w:ascii="宋体" w:eastAsia="宋体" w:hAnsi="宋体" w:cs="宋体"/>
        </w:rPr>
      </w:pPr>
      <w:r>
        <w:rPr>
          <w:rFonts w:ascii="宋体" w:eastAsia="宋体" w:hAnsi="宋体" w:cs="宋体"/>
          <w:spacing w:val="5"/>
        </w:rPr>
        <w:t>蔬菜和水果的共同特点是含水量高，蛋白质和脂肪含量低</w:t>
      </w:r>
      <w:r>
        <w:rPr>
          <w:rFonts w:ascii="宋体" w:eastAsia="宋体" w:hAnsi="宋体" w:cs="宋体"/>
          <w:spacing w:val="4"/>
        </w:rPr>
        <w:t>，含有维生素</w:t>
      </w:r>
      <w:r>
        <w:rPr>
          <w:rFonts w:ascii="宋体" w:eastAsia="宋体" w:hAnsi="宋体" w:cs="宋体"/>
          <w:spacing w:val="-45"/>
        </w:rPr>
        <w:t xml:space="preserve"> </w:t>
      </w:r>
      <w:r>
        <w:rPr>
          <w:rFonts w:ascii="宋体" w:eastAsia="宋体" w:hAnsi="宋体" w:cs="宋体"/>
          <w:spacing w:val="4"/>
        </w:rPr>
        <w:t>C</w:t>
      </w:r>
      <w:r>
        <w:rPr>
          <w:rFonts w:ascii="宋体" w:eastAsia="宋体" w:hAnsi="宋体" w:cs="宋体"/>
        </w:rPr>
        <w:t xml:space="preserve"> </w:t>
      </w:r>
      <w:r>
        <w:rPr>
          <w:rFonts w:ascii="宋体" w:eastAsia="宋体" w:hAnsi="宋体" w:cs="宋体"/>
          <w:spacing w:val="-3"/>
        </w:rPr>
        <w:t>和胡萝卜素，含有各种有机酸、芳香物、色素和膳食纤维等。它们不仅为人体提</w:t>
      </w:r>
      <w:r>
        <w:rPr>
          <w:rFonts w:ascii="宋体" w:eastAsia="宋体" w:hAnsi="宋体" w:cs="宋体"/>
          <w:spacing w:val="12"/>
        </w:rPr>
        <w:t xml:space="preserve"> </w:t>
      </w:r>
      <w:r>
        <w:rPr>
          <w:rFonts w:ascii="宋体" w:eastAsia="宋体" w:hAnsi="宋体" w:cs="宋体"/>
          <w:spacing w:val="-7"/>
        </w:rPr>
        <w:t>供了重要的营养物质，也可以增进食欲，帮助消化。</w:t>
      </w:r>
    </w:p>
    <w:p w:rsidR="00EA40A3" w:rsidRDefault="00E86C16">
      <w:pPr>
        <w:spacing w:before="72" w:line="249" w:lineRule="auto"/>
        <w:ind w:right="54" w:firstLine="379"/>
        <w:jc w:val="both"/>
        <w:rPr>
          <w:rFonts w:ascii="宋体" w:eastAsia="宋体" w:hAnsi="宋体" w:cs="宋体"/>
        </w:rPr>
      </w:pPr>
      <w:r>
        <w:rPr>
          <w:rFonts w:ascii="宋体" w:eastAsia="宋体" w:hAnsi="宋体" w:cs="宋体"/>
          <w:spacing w:val="5"/>
        </w:rPr>
        <w:t>狭义的蔬菜仅仅包括植物的鲜食根、茎、叶、花、果实等，但从广义</w:t>
      </w:r>
      <w:r>
        <w:rPr>
          <w:rFonts w:ascii="宋体" w:eastAsia="宋体" w:hAnsi="宋体" w:cs="宋体"/>
          <w:spacing w:val="4"/>
        </w:rPr>
        <w:t>上来</w:t>
      </w:r>
      <w:r>
        <w:rPr>
          <w:rFonts w:ascii="宋体" w:eastAsia="宋体" w:hAnsi="宋体" w:cs="宋体"/>
        </w:rPr>
        <w:t xml:space="preserve">  说，蔬菜这个食物类别还包括了海带、紫菜、裙带菜等藻类蔬菜和平菇、香菇、</w:t>
      </w:r>
      <w:r>
        <w:rPr>
          <w:rFonts w:ascii="宋体" w:eastAsia="宋体" w:hAnsi="宋体" w:cs="宋体"/>
          <w:spacing w:val="4"/>
        </w:rPr>
        <w:t xml:space="preserve"> </w:t>
      </w:r>
      <w:r>
        <w:rPr>
          <w:rFonts w:ascii="宋体" w:eastAsia="宋体" w:hAnsi="宋体" w:cs="宋体"/>
        </w:rPr>
        <w:t>木耳等菌类蔬菜.</w:t>
      </w:r>
    </w:p>
    <w:p w:rsidR="00EA40A3" w:rsidRDefault="00E86C16">
      <w:pPr>
        <w:spacing w:before="60" w:line="263" w:lineRule="auto"/>
        <w:ind w:right="211" w:firstLine="379"/>
        <w:jc w:val="both"/>
        <w:rPr>
          <w:rFonts w:ascii="宋体" w:eastAsia="宋体" w:hAnsi="宋体" w:cs="宋体"/>
        </w:rPr>
      </w:pPr>
      <w:r>
        <w:rPr>
          <w:rFonts w:ascii="宋体" w:eastAsia="宋体" w:hAnsi="宋体" w:cs="宋体"/>
          <w:spacing w:val="-3"/>
        </w:rPr>
        <w:t>薯类食品常常作为主食应用，但它同时也可以</w:t>
      </w:r>
      <w:r>
        <w:rPr>
          <w:rFonts w:ascii="宋体" w:eastAsia="宋体" w:hAnsi="宋体" w:cs="宋体"/>
          <w:spacing w:val="-4"/>
        </w:rPr>
        <w:t>作为蔬菜食用。从营养特点上</w:t>
      </w:r>
      <w:r>
        <w:rPr>
          <w:rFonts w:ascii="宋体" w:eastAsia="宋体" w:hAnsi="宋体" w:cs="宋体"/>
        </w:rPr>
        <w:t xml:space="preserve"> </w:t>
      </w:r>
      <w:r>
        <w:rPr>
          <w:rFonts w:ascii="宋体" w:eastAsia="宋体" w:hAnsi="宋体" w:cs="宋体"/>
          <w:spacing w:val="-3"/>
        </w:rPr>
        <w:t>来看介于谷类和蔬菜之间，但更接近蔬菜，故而放在这一部分进行介绍。</w:t>
      </w:r>
    </w:p>
    <w:p w:rsidR="00EA40A3" w:rsidRDefault="00E86C16">
      <w:pPr>
        <w:spacing w:before="47"/>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198</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headerReference w:type="default" r:id="rId171"/>
          <w:footerReference w:type="default" r:id="rId172"/>
          <w:pgSz w:w="9220" w:h="13360"/>
          <w:pgMar w:top="1207" w:right="970" w:bottom="400" w:left="840" w:header="991" w:footer="0" w:gutter="0"/>
          <w:cols w:space="720"/>
        </w:sectPr>
      </w:pPr>
    </w:p>
    <w:p w:rsidR="00EA40A3" w:rsidRDefault="00EA40A3">
      <w:pPr>
        <w:spacing w:line="342" w:lineRule="auto"/>
      </w:pPr>
    </w:p>
    <w:p w:rsidR="00EA40A3" w:rsidRDefault="00EA40A3">
      <w:pPr>
        <w:spacing w:line="343" w:lineRule="auto"/>
      </w:pPr>
    </w:p>
    <w:p w:rsidR="00EA40A3" w:rsidRDefault="00E86C16">
      <w:pPr>
        <w:spacing w:before="74" w:line="221" w:lineRule="auto"/>
        <w:ind w:left="3"/>
        <w:outlineLvl w:val="6"/>
        <w:rPr>
          <w:rFonts w:ascii="黑体" w:eastAsia="黑体" w:hAnsi="黑体" w:cs="黑体"/>
          <w:sz w:val="23"/>
          <w:szCs w:val="23"/>
        </w:rPr>
      </w:pPr>
      <w:r>
        <w:rPr>
          <w:rFonts w:ascii="黑体" w:eastAsia="黑体" w:hAnsi="黑体" w:cs="黑体"/>
          <w:b/>
          <w:bCs/>
          <w:spacing w:val="2"/>
          <w:sz w:val="23"/>
          <w:szCs w:val="23"/>
        </w:rPr>
        <w:t>6.4.1</w:t>
      </w:r>
      <w:r>
        <w:rPr>
          <w:rFonts w:ascii="黑体" w:eastAsia="黑体" w:hAnsi="黑体" w:cs="黑体"/>
          <w:spacing w:val="8"/>
          <w:sz w:val="23"/>
          <w:szCs w:val="23"/>
        </w:rPr>
        <w:t xml:space="preserve">  </w:t>
      </w:r>
      <w:r>
        <w:rPr>
          <w:rFonts w:ascii="黑体" w:eastAsia="黑体" w:hAnsi="黑体" w:cs="黑体"/>
          <w:b/>
          <w:bCs/>
          <w:spacing w:val="2"/>
          <w:sz w:val="23"/>
          <w:szCs w:val="23"/>
        </w:rPr>
        <w:t>蔬菜的营养特点</w:t>
      </w:r>
    </w:p>
    <w:p w:rsidR="00EA40A3" w:rsidRDefault="00E86C16">
      <w:pPr>
        <w:spacing w:before="176" w:line="237" w:lineRule="auto"/>
        <w:ind w:right="83" w:firstLine="399"/>
        <w:jc w:val="both"/>
        <w:rPr>
          <w:rFonts w:ascii="宋体" w:eastAsia="宋体" w:hAnsi="宋体" w:cs="宋体"/>
          <w:sz w:val="23"/>
          <w:szCs w:val="23"/>
        </w:rPr>
      </w:pPr>
      <w:r>
        <w:rPr>
          <w:rFonts w:ascii="宋体" w:eastAsia="宋体" w:hAnsi="宋体" w:cs="宋体"/>
          <w:spacing w:val="-22"/>
          <w:sz w:val="23"/>
          <w:szCs w:val="23"/>
        </w:rPr>
        <w:t>按照不同的来源和植物学部位，蔬菜可以分为嫩</w:t>
      </w:r>
      <w:r>
        <w:rPr>
          <w:rFonts w:ascii="宋体" w:eastAsia="宋体" w:hAnsi="宋体" w:cs="宋体"/>
          <w:spacing w:val="-23"/>
          <w:sz w:val="23"/>
          <w:szCs w:val="23"/>
        </w:rPr>
        <w:t>茎叶花墓类、根菜类、茄果</w:t>
      </w:r>
      <w:r>
        <w:rPr>
          <w:rFonts w:ascii="宋体" w:eastAsia="宋体" w:hAnsi="宋体" w:cs="宋体"/>
          <w:sz w:val="23"/>
          <w:szCs w:val="23"/>
        </w:rPr>
        <w:t xml:space="preserve"> </w:t>
      </w:r>
      <w:r>
        <w:rPr>
          <w:rFonts w:ascii="宋体" w:eastAsia="宋体" w:hAnsi="宋体" w:cs="宋体"/>
          <w:spacing w:val="-23"/>
          <w:sz w:val="23"/>
          <w:szCs w:val="23"/>
        </w:rPr>
        <w:t>类、瓜类、嫩豆荚类、芽类、藻类、食用菌类等多种类别，其营养成分有一定差</w:t>
      </w:r>
      <w:r>
        <w:rPr>
          <w:rFonts w:ascii="宋体" w:eastAsia="宋体" w:hAnsi="宋体" w:cs="宋体"/>
          <w:spacing w:val="5"/>
          <w:sz w:val="23"/>
          <w:szCs w:val="23"/>
        </w:rPr>
        <w:t xml:space="preserve"> </w:t>
      </w:r>
      <w:r>
        <w:rPr>
          <w:rFonts w:ascii="宋体" w:eastAsia="宋体" w:hAnsi="宋体" w:cs="宋体"/>
          <w:spacing w:val="-12"/>
          <w:sz w:val="23"/>
          <w:szCs w:val="23"/>
        </w:rPr>
        <w:t>异。总体而言，蔬菜的特点是：植物性食品含水</w:t>
      </w:r>
      <w:r>
        <w:rPr>
          <w:rFonts w:ascii="宋体" w:eastAsia="宋体" w:hAnsi="宋体" w:cs="宋体"/>
          <w:spacing w:val="-13"/>
          <w:sz w:val="23"/>
          <w:szCs w:val="23"/>
        </w:rPr>
        <w:t>量一般在90%以上，不作为主</w:t>
      </w:r>
      <w:r>
        <w:rPr>
          <w:rFonts w:ascii="宋体" w:eastAsia="宋体" w:hAnsi="宋体" w:cs="宋体"/>
          <w:sz w:val="23"/>
          <w:szCs w:val="23"/>
        </w:rPr>
        <w:t xml:space="preserve"> </w:t>
      </w:r>
      <w:r>
        <w:rPr>
          <w:rFonts w:ascii="宋体" w:eastAsia="宋体" w:hAnsi="宋体" w:cs="宋体"/>
          <w:spacing w:val="-8"/>
          <w:sz w:val="23"/>
          <w:szCs w:val="23"/>
        </w:rPr>
        <w:t>食食用，脂肪含量低，碳水化合物含量低，含有维生素</w:t>
      </w:r>
      <w:r>
        <w:rPr>
          <w:rFonts w:ascii="宋体" w:eastAsia="宋体" w:hAnsi="宋体" w:cs="宋体"/>
          <w:spacing w:val="-66"/>
          <w:sz w:val="23"/>
          <w:szCs w:val="23"/>
        </w:rPr>
        <w:t xml:space="preserve"> </w:t>
      </w:r>
      <w:r>
        <w:rPr>
          <w:rFonts w:ascii="宋体" w:eastAsia="宋体" w:hAnsi="宋体" w:cs="宋体"/>
          <w:spacing w:val="-8"/>
          <w:sz w:val="23"/>
          <w:szCs w:val="23"/>
        </w:rPr>
        <w:t>C,</w:t>
      </w:r>
      <w:r>
        <w:rPr>
          <w:rFonts w:ascii="宋体" w:eastAsia="宋体" w:hAnsi="宋体" w:cs="宋体"/>
          <w:spacing w:val="12"/>
          <w:sz w:val="23"/>
          <w:szCs w:val="23"/>
        </w:rPr>
        <w:t xml:space="preserve"> </w:t>
      </w:r>
      <w:r>
        <w:rPr>
          <w:rFonts w:ascii="宋体" w:eastAsia="宋体" w:hAnsi="宋体" w:cs="宋体"/>
          <w:spacing w:val="-8"/>
          <w:sz w:val="23"/>
          <w:szCs w:val="23"/>
        </w:rPr>
        <w:t>含有较多</w:t>
      </w:r>
      <w:r>
        <w:rPr>
          <w:rFonts w:ascii="宋体" w:eastAsia="宋体" w:hAnsi="宋体" w:cs="宋体"/>
          <w:spacing w:val="-9"/>
          <w:sz w:val="23"/>
          <w:szCs w:val="23"/>
        </w:rPr>
        <w:t>膳食纤</w:t>
      </w:r>
      <w:r>
        <w:rPr>
          <w:rFonts w:ascii="宋体" w:eastAsia="宋体" w:hAnsi="宋体" w:cs="宋体"/>
          <w:sz w:val="23"/>
          <w:szCs w:val="23"/>
        </w:rPr>
        <w:t xml:space="preserve"> </w:t>
      </w:r>
      <w:r>
        <w:rPr>
          <w:rFonts w:ascii="宋体" w:eastAsia="宋体" w:hAnsi="宋体" w:cs="宋体"/>
          <w:spacing w:val="-24"/>
          <w:sz w:val="23"/>
          <w:szCs w:val="23"/>
        </w:rPr>
        <w:t>维等。</w:t>
      </w:r>
    </w:p>
    <w:p w:rsidR="00EA40A3" w:rsidRDefault="00E86C16">
      <w:pPr>
        <w:spacing w:before="213" w:line="221"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50"/>
          <w:sz w:val="23"/>
          <w:szCs w:val="23"/>
        </w:rPr>
        <w:t xml:space="preserve"> </w:t>
      </w:r>
      <w:r>
        <w:rPr>
          <w:rFonts w:ascii="仿宋" w:eastAsia="仿宋" w:hAnsi="仿宋" w:cs="仿宋"/>
          <w:spacing w:val="3"/>
          <w:sz w:val="23"/>
          <w:szCs w:val="23"/>
        </w:rPr>
        <w:t>碳水化合物</w:t>
      </w:r>
    </w:p>
    <w:p w:rsidR="00EA40A3" w:rsidRDefault="00E86C16">
      <w:pPr>
        <w:spacing w:before="188" w:line="219" w:lineRule="auto"/>
        <w:ind w:left="399"/>
        <w:rPr>
          <w:rFonts w:ascii="宋体" w:eastAsia="宋体" w:hAnsi="宋体" w:cs="宋体"/>
          <w:sz w:val="23"/>
          <w:szCs w:val="23"/>
        </w:rPr>
      </w:pPr>
      <w:r>
        <w:rPr>
          <w:rFonts w:ascii="宋体" w:eastAsia="宋体" w:hAnsi="宋体" w:cs="宋体"/>
          <w:spacing w:val="-22"/>
          <w:sz w:val="23"/>
          <w:szCs w:val="23"/>
        </w:rPr>
        <w:t>蔬菜中的碳水化合物包括可溶性糖、淀粉和膳</w:t>
      </w:r>
      <w:r>
        <w:rPr>
          <w:rFonts w:ascii="宋体" w:eastAsia="宋体" w:hAnsi="宋体" w:cs="宋体"/>
          <w:spacing w:val="-23"/>
          <w:sz w:val="23"/>
          <w:szCs w:val="23"/>
        </w:rPr>
        <w:t>食纤维。</w:t>
      </w:r>
    </w:p>
    <w:p w:rsidR="00EA40A3" w:rsidRDefault="00E86C16">
      <w:pPr>
        <w:spacing w:before="21" w:line="238" w:lineRule="auto"/>
        <w:ind w:right="46" w:firstLine="399"/>
        <w:rPr>
          <w:rFonts w:ascii="宋体" w:eastAsia="宋体" w:hAnsi="宋体" w:cs="宋体"/>
          <w:sz w:val="23"/>
          <w:szCs w:val="23"/>
        </w:rPr>
      </w:pPr>
      <w:r>
        <w:rPr>
          <w:rFonts w:ascii="宋体" w:eastAsia="宋体" w:hAnsi="宋体" w:cs="宋体"/>
          <w:spacing w:val="-5"/>
          <w:sz w:val="23"/>
          <w:szCs w:val="23"/>
        </w:rPr>
        <w:t>大部分蔬菜的碳水化合物含量较低，仅为2%～6%,几乎不含有淀粉。然</w:t>
      </w:r>
      <w:r>
        <w:rPr>
          <w:rFonts w:ascii="宋体" w:eastAsia="宋体" w:hAnsi="宋体" w:cs="宋体"/>
          <w:sz w:val="23"/>
          <w:szCs w:val="23"/>
        </w:rPr>
        <w:t xml:space="preserve"> </w:t>
      </w:r>
      <w:r>
        <w:rPr>
          <w:rFonts w:ascii="宋体" w:eastAsia="宋体" w:hAnsi="宋体" w:cs="宋体"/>
          <w:spacing w:val="-8"/>
          <w:sz w:val="23"/>
          <w:szCs w:val="23"/>
        </w:rPr>
        <w:t>而，根和地下茎之类储藏器官的碳水化合物含量比较高，如马铃薯为16.5%,</w:t>
      </w:r>
      <w:r>
        <w:rPr>
          <w:rFonts w:ascii="宋体" w:eastAsia="宋体" w:hAnsi="宋体" w:cs="宋体"/>
          <w:spacing w:val="5"/>
          <w:sz w:val="23"/>
          <w:szCs w:val="23"/>
        </w:rPr>
        <w:t xml:space="preserve"> </w:t>
      </w:r>
      <w:r>
        <w:rPr>
          <w:rFonts w:ascii="宋体" w:eastAsia="宋体" w:hAnsi="宋体" w:cs="宋体"/>
          <w:spacing w:val="-9"/>
          <w:sz w:val="23"/>
          <w:szCs w:val="23"/>
        </w:rPr>
        <w:t>藕为15.2%,其中大部分是淀粉。芋类和薯</w:t>
      </w:r>
      <w:r>
        <w:rPr>
          <w:rFonts w:ascii="宋体" w:eastAsia="宋体" w:hAnsi="宋体" w:cs="宋体"/>
          <w:spacing w:val="-10"/>
          <w:sz w:val="23"/>
          <w:szCs w:val="23"/>
        </w:rPr>
        <w:t>类是某些地区居民膳食热量的重要</w:t>
      </w:r>
      <w:r>
        <w:rPr>
          <w:rFonts w:ascii="宋体" w:eastAsia="宋体" w:hAnsi="宋体" w:cs="宋体"/>
          <w:sz w:val="23"/>
          <w:szCs w:val="23"/>
        </w:rPr>
        <w:t xml:space="preserve"> </w:t>
      </w:r>
      <w:r>
        <w:rPr>
          <w:rFonts w:ascii="宋体" w:eastAsia="宋体" w:hAnsi="宋体" w:cs="宋体"/>
          <w:spacing w:val="-23"/>
          <w:sz w:val="23"/>
          <w:szCs w:val="23"/>
        </w:rPr>
        <w:t>来源，有时把它们归为主食。含较多糖分的胡萝卜和某些品种的萝卜介于两者之</w:t>
      </w:r>
      <w:r>
        <w:rPr>
          <w:rFonts w:ascii="宋体" w:eastAsia="宋体" w:hAnsi="宋体" w:cs="宋体"/>
          <w:spacing w:val="2"/>
          <w:sz w:val="23"/>
          <w:szCs w:val="23"/>
        </w:rPr>
        <w:t xml:space="preserve"> </w:t>
      </w:r>
      <w:r>
        <w:rPr>
          <w:rFonts w:ascii="宋体" w:eastAsia="宋体" w:hAnsi="宋体" w:cs="宋体"/>
          <w:spacing w:val="5"/>
          <w:sz w:val="23"/>
          <w:szCs w:val="23"/>
        </w:rPr>
        <w:t>间，为7%～8%。</w:t>
      </w:r>
    </w:p>
    <w:p w:rsidR="00EA40A3" w:rsidRDefault="00E86C16">
      <w:pPr>
        <w:spacing w:before="52" w:line="236" w:lineRule="auto"/>
        <w:ind w:firstLine="399"/>
        <w:rPr>
          <w:rFonts w:ascii="宋体" w:eastAsia="宋体" w:hAnsi="宋体" w:cs="宋体"/>
          <w:sz w:val="23"/>
          <w:szCs w:val="23"/>
        </w:rPr>
      </w:pPr>
      <w:r>
        <w:rPr>
          <w:rFonts w:ascii="宋体" w:eastAsia="宋体" w:hAnsi="宋体" w:cs="宋体"/>
          <w:spacing w:val="-4"/>
          <w:sz w:val="23"/>
          <w:szCs w:val="23"/>
        </w:rPr>
        <w:t>蔬菜中纤维素、半纤维素等膳食纤维含量较高，鲜豆类为1.5%～4.0%,</w:t>
      </w:r>
      <w:r>
        <w:rPr>
          <w:rFonts w:ascii="宋体" w:eastAsia="宋体" w:hAnsi="宋体" w:cs="宋体"/>
          <w:spacing w:val="13"/>
          <w:sz w:val="23"/>
          <w:szCs w:val="23"/>
        </w:rPr>
        <w:t xml:space="preserve"> </w:t>
      </w:r>
      <w:r>
        <w:rPr>
          <w:rFonts w:ascii="宋体" w:eastAsia="宋体" w:hAnsi="宋体" w:cs="宋体"/>
          <w:spacing w:val="-3"/>
          <w:sz w:val="23"/>
          <w:szCs w:val="23"/>
        </w:rPr>
        <w:t>叶菜类通常达1.0%～2.2%,瓜类较低，为0.2%～1.0%。有些蔬菜富含果胶，</w:t>
      </w:r>
      <w:r>
        <w:rPr>
          <w:rFonts w:ascii="宋体" w:eastAsia="宋体" w:hAnsi="宋体" w:cs="宋体"/>
          <w:spacing w:val="2"/>
          <w:sz w:val="23"/>
          <w:szCs w:val="23"/>
        </w:rPr>
        <w:t xml:space="preserve"> </w:t>
      </w:r>
      <w:r>
        <w:rPr>
          <w:rFonts w:ascii="宋体" w:eastAsia="宋体" w:hAnsi="宋体" w:cs="宋体"/>
          <w:spacing w:val="-23"/>
          <w:sz w:val="23"/>
          <w:szCs w:val="23"/>
        </w:rPr>
        <w:t>如花椰菜。在主食精制程度越来越高的现代饮食中，蔬菜中的膳食纤维在</w:t>
      </w:r>
      <w:r>
        <w:rPr>
          <w:rFonts w:ascii="宋体" w:eastAsia="宋体" w:hAnsi="宋体" w:cs="宋体"/>
          <w:spacing w:val="-24"/>
          <w:sz w:val="23"/>
          <w:szCs w:val="23"/>
        </w:rPr>
        <w:t>膳食中</w:t>
      </w:r>
      <w:r>
        <w:rPr>
          <w:rFonts w:ascii="宋体" w:eastAsia="宋体" w:hAnsi="宋体" w:cs="宋体"/>
          <w:sz w:val="23"/>
          <w:szCs w:val="23"/>
        </w:rPr>
        <w:t xml:space="preserve">  </w:t>
      </w:r>
      <w:r>
        <w:rPr>
          <w:rFonts w:ascii="宋体" w:eastAsia="宋体" w:hAnsi="宋体" w:cs="宋体"/>
          <w:spacing w:val="-25"/>
          <w:sz w:val="23"/>
          <w:szCs w:val="23"/>
        </w:rPr>
        <w:t>具有重要的意义。</w:t>
      </w:r>
    </w:p>
    <w:p w:rsidR="00EA40A3" w:rsidRDefault="00E86C16">
      <w:pPr>
        <w:spacing w:before="43" w:line="243" w:lineRule="auto"/>
        <w:ind w:right="84" w:firstLine="399"/>
        <w:rPr>
          <w:rFonts w:ascii="宋体" w:eastAsia="宋体" w:hAnsi="宋体" w:cs="宋体"/>
          <w:sz w:val="23"/>
          <w:szCs w:val="23"/>
        </w:rPr>
      </w:pPr>
      <w:r>
        <w:rPr>
          <w:rFonts w:ascii="宋体" w:eastAsia="宋体" w:hAnsi="宋体" w:cs="宋体"/>
          <w:spacing w:val="-24"/>
          <w:sz w:val="23"/>
          <w:szCs w:val="23"/>
        </w:rPr>
        <w:t>菌类蔬菜中的碳水化合物主要是菌类多糖，如香菇多糖、银耳多糖等，它们</w:t>
      </w:r>
      <w:r>
        <w:rPr>
          <w:rFonts w:ascii="宋体" w:eastAsia="宋体" w:hAnsi="宋体" w:cs="宋体"/>
          <w:spacing w:val="16"/>
          <w:sz w:val="23"/>
          <w:szCs w:val="23"/>
        </w:rPr>
        <w:t xml:space="preserve"> </w:t>
      </w:r>
      <w:r>
        <w:rPr>
          <w:rFonts w:ascii="宋体" w:eastAsia="宋体" w:hAnsi="宋体" w:cs="宋体"/>
          <w:spacing w:val="-23"/>
          <w:sz w:val="23"/>
          <w:szCs w:val="23"/>
        </w:rPr>
        <w:t>具有多种保健作用。海藻类中的碳水化合物则主要是属于可溶性膳食纤维的海藻</w:t>
      </w:r>
      <w:r>
        <w:rPr>
          <w:rFonts w:ascii="宋体" w:eastAsia="宋体" w:hAnsi="宋体" w:cs="宋体"/>
          <w:spacing w:val="2"/>
          <w:sz w:val="23"/>
          <w:szCs w:val="23"/>
        </w:rPr>
        <w:t xml:space="preserve"> </w:t>
      </w:r>
      <w:r>
        <w:rPr>
          <w:rFonts w:ascii="宋体" w:eastAsia="宋体" w:hAnsi="宋体" w:cs="宋体"/>
          <w:spacing w:val="-23"/>
          <w:sz w:val="23"/>
          <w:szCs w:val="23"/>
        </w:rPr>
        <w:t>多糖，如褐藻胶、红藻胶、卡拉胶等，能够促进人体排出多余的胆固醇和体内的</w:t>
      </w:r>
      <w:r>
        <w:rPr>
          <w:rFonts w:ascii="宋体" w:eastAsia="宋体" w:hAnsi="宋体" w:cs="宋体"/>
          <w:spacing w:val="10"/>
          <w:sz w:val="23"/>
          <w:szCs w:val="23"/>
        </w:rPr>
        <w:t xml:space="preserve"> </w:t>
      </w:r>
      <w:r>
        <w:rPr>
          <w:rFonts w:ascii="宋体" w:eastAsia="宋体" w:hAnsi="宋体" w:cs="宋体"/>
          <w:spacing w:val="-21"/>
          <w:sz w:val="23"/>
          <w:szCs w:val="23"/>
        </w:rPr>
        <w:t>某些有毒、致癌物质，对人体有益。</w:t>
      </w:r>
      <w:r>
        <w:rPr>
          <w:rFonts w:ascii="宋体" w:eastAsia="宋体" w:hAnsi="宋体" w:cs="宋体"/>
          <w:spacing w:val="48"/>
          <w:sz w:val="23"/>
          <w:szCs w:val="23"/>
        </w:rPr>
        <w:t xml:space="preserve"> </w:t>
      </w:r>
      <w:r>
        <w:rPr>
          <w:rFonts w:ascii="宋体" w:eastAsia="宋体" w:hAnsi="宋体" w:cs="宋体"/>
          <w:spacing w:val="-21"/>
          <w:sz w:val="23"/>
          <w:szCs w:val="23"/>
        </w:rPr>
        <w:t>一些蔬菜中还含有少量菊糖，如菊苣、洋</w:t>
      </w:r>
      <w:r>
        <w:rPr>
          <w:rFonts w:ascii="宋体" w:eastAsia="宋体" w:hAnsi="宋体" w:cs="宋体"/>
          <w:sz w:val="23"/>
          <w:szCs w:val="23"/>
        </w:rPr>
        <w:t xml:space="preserve"> </w:t>
      </w:r>
      <w:r>
        <w:rPr>
          <w:rFonts w:ascii="宋体" w:eastAsia="宋体" w:hAnsi="宋体" w:cs="宋体"/>
          <w:spacing w:val="-26"/>
          <w:sz w:val="23"/>
          <w:szCs w:val="23"/>
        </w:rPr>
        <w:t>葱、芦笋、牛蒡等。</w:t>
      </w:r>
    </w:p>
    <w:p w:rsidR="00EA40A3" w:rsidRDefault="00E86C16">
      <w:pPr>
        <w:spacing w:before="188" w:line="223" w:lineRule="auto"/>
        <w:rPr>
          <w:rFonts w:ascii="仿宋" w:eastAsia="仿宋" w:hAnsi="仿宋" w:cs="仿宋"/>
          <w:sz w:val="23"/>
          <w:szCs w:val="23"/>
        </w:rPr>
      </w:pPr>
      <w:r>
        <w:rPr>
          <w:rFonts w:ascii="仿宋" w:eastAsia="仿宋" w:hAnsi="仿宋" w:cs="仿宋"/>
          <w:spacing w:val="2"/>
          <w:sz w:val="23"/>
          <w:szCs w:val="23"/>
        </w:rPr>
        <w:t>2.</w:t>
      </w:r>
      <w:r>
        <w:rPr>
          <w:rFonts w:ascii="仿宋" w:eastAsia="仿宋" w:hAnsi="仿宋" w:cs="仿宋"/>
          <w:spacing w:val="-25"/>
          <w:sz w:val="23"/>
          <w:szCs w:val="23"/>
        </w:rPr>
        <w:t xml:space="preserve"> </w:t>
      </w:r>
      <w:r>
        <w:rPr>
          <w:rFonts w:ascii="仿宋" w:eastAsia="仿宋" w:hAnsi="仿宋" w:cs="仿宋"/>
          <w:spacing w:val="2"/>
          <w:sz w:val="23"/>
          <w:szCs w:val="23"/>
        </w:rPr>
        <w:t>蛋白质和脂肪</w:t>
      </w:r>
    </w:p>
    <w:p w:rsidR="00EA40A3" w:rsidRDefault="00E86C16">
      <w:pPr>
        <w:spacing w:before="175" w:line="235" w:lineRule="auto"/>
        <w:ind w:firstLine="399"/>
        <w:jc w:val="both"/>
        <w:rPr>
          <w:rFonts w:ascii="宋体" w:eastAsia="宋体" w:hAnsi="宋体" w:cs="宋体"/>
          <w:sz w:val="23"/>
          <w:szCs w:val="23"/>
        </w:rPr>
      </w:pPr>
      <w:r>
        <w:rPr>
          <w:rFonts w:ascii="宋体" w:eastAsia="宋体" w:hAnsi="宋体" w:cs="宋体"/>
          <w:spacing w:val="-17"/>
          <w:sz w:val="23"/>
          <w:szCs w:val="23"/>
        </w:rPr>
        <w:t>新鲜蔬菜的蛋白质含量通常在3%以下。在各种蔬菜中，以鲜豆类、菌类和</w:t>
      </w:r>
      <w:r>
        <w:rPr>
          <w:rFonts w:ascii="宋体" w:eastAsia="宋体" w:hAnsi="宋体" w:cs="宋体"/>
          <w:spacing w:val="8"/>
          <w:sz w:val="23"/>
          <w:szCs w:val="23"/>
        </w:rPr>
        <w:t xml:space="preserve">  </w:t>
      </w:r>
      <w:r>
        <w:rPr>
          <w:rFonts w:ascii="宋体" w:eastAsia="宋体" w:hAnsi="宋体" w:cs="宋体"/>
          <w:spacing w:val="-3"/>
          <w:sz w:val="23"/>
          <w:szCs w:val="23"/>
        </w:rPr>
        <w:t>深绿色叶菜的蛋白质含量较高，如鲜豇豆的蛋白质含量为2.</w:t>
      </w:r>
      <w:r>
        <w:rPr>
          <w:rFonts w:ascii="宋体" w:eastAsia="宋体" w:hAnsi="宋体" w:cs="宋体"/>
          <w:spacing w:val="-4"/>
          <w:sz w:val="23"/>
          <w:szCs w:val="23"/>
        </w:rPr>
        <w:t>9%、金针菇为</w:t>
      </w:r>
      <w:r>
        <w:rPr>
          <w:rFonts w:ascii="宋体" w:eastAsia="宋体" w:hAnsi="宋体" w:cs="宋体"/>
          <w:sz w:val="23"/>
          <w:szCs w:val="23"/>
        </w:rPr>
        <w:t xml:space="preserve">  </w:t>
      </w:r>
      <w:r>
        <w:rPr>
          <w:rFonts w:ascii="宋体" w:eastAsia="宋体" w:hAnsi="宋体" w:cs="宋体"/>
          <w:spacing w:val="-7"/>
          <w:sz w:val="23"/>
          <w:szCs w:val="23"/>
        </w:rPr>
        <w:t>2.4%、苋菜为2.8%。如果每天摄入400g绿叶蔬菜</w:t>
      </w:r>
      <w:r>
        <w:rPr>
          <w:rFonts w:ascii="宋体" w:eastAsia="宋体" w:hAnsi="宋体" w:cs="宋体"/>
          <w:spacing w:val="-8"/>
          <w:sz w:val="23"/>
          <w:szCs w:val="23"/>
        </w:rPr>
        <w:t>，可以获得至少6g</w:t>
      </w:r>
      <w:r>
        <w:rPr>
          <w:rFonts w:ascii="宋体" w:eastAsia="宋体" w:hAnsi="宋体" w:cs="宋体"/>
          <w:spacing w:val="-58"/>
          <w:sz w:val="23"/>
          <w:szCs w:val="23"/>
        </w:rPr>
        <w:t xml:space="preserve"> </w:t>
      </w:r>
      <w:r>
        <w:rPr>
          <w:rFonts w:ascii="宋体" w:eastAsia="宋体" w:hAnsi="宋体" w:cs="宋体"/>
          <w:spacing w:val="-8"/>
          <w:sz w:val="23"/>
          <w:szCs w:val="23"/>
        </w:rPr>
        <w:t>蛋白质，</w:t>
      </w:r>
      <w:r>
        <w:rPr>
          <w:rFonts w:ascii="宋体" w:eastAsia="宋体" w:hAnsi="宋体" w:cs="宋体"/>
          <w:sz w:val="23"/>
          <w:szCs w:val="23"/>
        </w:rPr>
        <w:t xml:space="preserve"> </w:t>
      </w:r>
      <w:r>
        <w:rPr>
          <w:rFonts w:ascii="宋体" w:eastAsia="宋体" w:hAnsi="宋体" w:cs="宋体"/>
          <w:spacing w:val="-25"/>
          <w:sz w:val="23"/>
          <w:szCs w:val="23"/>
        </w:rPr>
        <w:t>相当于一个鸡蛋的量。瓜类蔬菜的蛋白质含量较低。</w:t>
      </w:r>
    </w:p>
    <w:p w:rsidR="00EA40A3" w:rsidRDefault="00E86C16">
      <w:pPr>
        <w:spacing w:before="53" w:line="237" w:lineRule="auto"/>
        <w:ind w:right="98" w:firstLine="399"/>
        <w:jc w:val="both"/>
        <w:rPr>
          <w:rFonts w:ascii="宋体" w:eastAsia="宋体" w:hAnsi="宋体" w:cs="宋体"/>
          <w:sz w:val="23"/>
          <w:szCs w:val="23"/>
        </w:rPr>
      </w:pPr>
      <w:r>
        <w:rPr>
          <w:rFonts w:ascii="宋体" w:eastAsia="宋体" w:hAnsi="宋体" w:cs="宋体"/>
          <w:spacing w:val="-23"/>
          <w:sz w:val="23"/>
          <w:szCs w:val="23"/>
        </w:rPr>
        <w:t>蔬菜蛋白质质量较佳，如菠菜、豌豆苗、豇豆、韭菜等的限制性氨基酸均是</w:t>
      </w:r>
      <w:r>
        <w:rPr>
          <w:rFonts w:ascii="宋体" w:eastAsia="宋体" w:hAnsi="宋体" w:cs="宋体"/>
          <w:spacing w:val="18"/>
          <w:sz w:val="23"/>
          <w:szCs w:val="23"/>
        </w:rPr>
        <w:t xml:space="preserve"> </w:t>
      </w:r>
      <w:r>
        <w:rPr>
          <w:rFonts w:ascii="宋体" w:eastAsia="宋体" w:hAnsi="宋体" w:cs="宋体"/>
          <w:spacing w:val="-23"/>
          <w:sz w:val="23"/>
          <w:szCs w:val="23"/>
        </w:rPr>
        <w:t>含硫氨基酸，赖氨酸则比较丰富，可和谷类发生蛋白质营养互补。菌类蔬菜中的</w:t>
      </w:r>
      <w:r>
        <w:rPr>
          <w:rFonts w:ascii="宋体" w:eastAsia="宋体" w:hAnsi="宋体" w:cs="宋体"/>
          <w:spacing w:val="10"/>
          <w:sz w:val="23"/>
          <w:szCs w:val="23"/>
        </w:rPr>
        <w:t xml:space="preserve"> </w:t>
      </w:r>
      <w:r>
        <w:rPr>
          <w:rFonts w:ascii="宋体" w:eastAsia="宋体" w:hAnsi="宋体" w:cs="宋体"/>
          <w:spacing w:val="-15"/>
          <w:sz w:val="23"/>
          <w:szCs w:val="23"/>
        </w:rPr>
        <w:t>赖氨酸特别丰富。如每日摄入绿叶蔬菜400g,</w:t>
      </w:r>
      <w:r>
        <w:rPr>
          <w:rFonts w:ascii="宋体" w:eastAsia="宋体" w:hAnsi="宋体" w:cs="宋体"/>
          <w:spacing w:val="-38"/>
          <w:sz w:val="23"/>
          <w:szCs w:val="23"/>
        </w:rPr>
        <w:t xml:space="preserve"> </w:t>
      </w:r>
      <w:r>
        <w:rPr>
          <w:rFonts w:ascii="宋体" w:eastAsia="宋体" w:hAnsi="宋体" w:cs="宋体"/>
          <w:spacing w:val="-15"/>
          <w:sz w:val="23"/>
          <w:szCs w:val="23"/>
        </w:rPr>
        <w:t>按照2%的蛋白质含量计算，可从</w:t>
      </w:r>
      <w:r>
        <w:rPr>
          <w:rFonts w:ascii="宋体" w:eastAsia="宋体" w:hAnsi="宋体" w:cs="宋体"/>
          <w:sz w:val="23"/>
          <w:szCs w:val="23"/>
        </w:rPr>
        <w:t xml:space="preserve"> </w:t>
      </w:r>
      <w:r>
        <w:rPr>
          <w:rFonts w:ascii="宋体" w:eastAsia="宋体" w:hAnsi="宋体" w:cs="宋体"/>
          <w:spacing w:val="1"/>
          <w:sz w:val="23"/>
          <w:szCs w:val="23"/>
        </w:rPr>
        <w:t>蔬菜中获得8g</w:t>
      </w:r>
      <w:r>
        <w:rPr>
          <w:rFonts w:ascii="宋体" w:eastAsia="宋体" w:hAnsi="宋体" w:cs="宋体"/>
          <w:spacing w:val="-30"/>
          <w:sz w:val="23"/>
          <w:szCs w:val="23"/>
        </w:rPr>
        <w:t xml:space="preserve"> </w:t>
      </w:r>
      <w:r>
        <w:rPr>
          <w:rFonts w:ascii="宋体" w:eastAsia="宋体" w:hAnsi="宋体" w:cs="宋体"/>
          <w:spacing w:val="1"/>
          <w:sz w:val="23"/>
          <w:szCs w:val="23"/>
        </w:rPr>
        <w:t>蛋白质，达每日需要量的13%,也是不可忽视的蛋白质营养</w:t>
      </w:r>
      <w:r>
        <w:rPr>
          <w:rFonts w:ascii="宋体" w:eastAsia="宋体" w:hAnsi="宋体" w:cs="宋体"/>
          <w:sz w:val="23"/>
          <w:szCs w:val="23"/>
        </w:rPr>
        <w:t xml:space="preserve"> </w:t>
      </w:r>
      <w:r>
        <w:rPr>
          <w:rFonts w:ascii="宋体" w:eastAsia="宋体" w:hAnsi="宋体" w:cs="宋体"/>
          <w:spacing w:val="-24"/>
          <w:sz w:val="23"/>
          <w:szCs w:val="23"/>
        </w:rPr>
        <w:t>来源。</w:t>
      </w:r>
    </w:p>
    <w:p w:rsidR="00EA40A3" w:rsidRDefault="00E86C16">
      <w:pPr>
        <w:spacing w:before="59" w:line="214" w:lineRule="auto"/>
        <w:ind w:left="399"/>
        <w:rPr>
          <w:rFonts w:ascii="宋体" w:eastAsia="宋体" w:hAnsi="宋体" w:cs="宋体"/>
          <w:sz w:val="23"/>
          <w:szCs w:val="23"/>
        </w:rPr>
      </w:pPr>
      <w:r>
        <w:rPr>
          <w:rFonts w:ascii="宋体" w:eastAsia="宋体" w:hAnsi="宋体" w:cs="宋体"/>
          <w:spacing w:val="-6"/>
          <w:sz w:val="23"/>
          <w:szCs w:val="23"/>
        </w:rPr>
        <w:t>蔬菜中的脂肪低于1%,属于低能量食品。例如，100g</w:t>
      </w:r>
      <w:r>
        <w:rPr>
          <w:rFonts w:ascii="宋体" w:eastAsia="宋体" w:hAnsi="宋体" w:cs="宋体"/>
          <w:spacing w:val="-58"/>
          <w:sz w:val="23"/>
          <w:szCs w:val="23"/>
        </w:rPr>
        <w:t xml:space="preserve"> </w:t>
      </w:r>
      <w:r>
        <w:rPr>
          <w:rFonts w:ascii="宋体" w:eastAsia="宋体" w:hAnsi="宋体" w:cs="宋体"/>
          <w:spacing w:val="-6"/>
          <w:sz w:val="23"/>
          <w:szCs w:val="23"/>
        </w:rPr>
        <w:t>黄瓜所含</w:t>
      </w:r>
      <w:r>
        <w:rPr>
          <w:rFonts w:ascii="宋体" w:eastAsia="宋体" w:hAnsi="宋体" w:cs="宋体"/>
          <w:spacing w:val="-7"/>
          <w:sz w:val="23"/>
          <w:szCs w:val="23"/>
        </w:rPr>
        <w:t>能量仅为</w:t>
      </w:r>
    </w:p>
    <w:p w:rsidR="00EA40A3" w:rsidRDefault="00E86C16">
      <w:pPr>
        <w:spacing w:before="96"/>
        <w:ind w:right="121"/>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199</w:t>
      </w:r>
      <w:r>
        <w:rPr>
          <w:rFonts w:ascii="宋体" w:eastAsia="宋体" w:hAnsi="宋体" w:cs="宋体"/>
          <w:spacing w:val="52"/>
          <w:sz w:val="17"/>
          <w:szCs w:val="17"/>
        </w:rPr>
        <w:t xml:space="preserve"> </w:t>
      </w:r>
      <w:r>
        <w:rPr>
          <w:rFonts w:ascii="宋体" w:eastAsia="宋体" w:hAnsi="宋体" w:cs="宋体"/>
          <w:spacing w:val="-23"/>
          <w:sz w:val="17"/>
          <w:szCs w:val="17"/>
        </w:rPr>
        <w:t>·</w:t>
      </w:r>
    </w:p>
    <w:p w:rsidR="00EA40A3" w:rsidRDefault="00EA40A3">
      <w:pPr>
        <w:sectPr w:rsidR="00EA40A3">
          <w:headerReference w:type="default" r:id="rId173"/>
          <w:pgSz w:w="9220" w:h="13360"/>
          <w:pgMar w:top="400" w:right="934" w:bottom="400" w:left="930" w:header="0" w:footer="0" w:gutter="0"/>
          <w:cols w:space="720"/>
        </w:sectPr>
      </w:pPr>
    </w:p>
    <w:p w:rsidR="00EA40A3" w:rsidRDefault="00EA40A3">
      <w:pPr>
        <w:spacing w:line="291" w:lineRule="auto"/>
      </w:pPr>
    </w:p>
    <w:p w:rsidR="00EA40A3" w:rsidRDefault="00EA40A3">
      <w:pPr>
        <w:spacing w:line="292" w:lineRule="auto"/>
      </w:pPr>
    </w:p>
    <w:p w:rsidR="00EA40A3" w:rsidRDefault="00E86C16">
      <w:pPr>
        <w:spacing w:before="72" w:line="183" w:lineRule="auto"/>
        <w:rPr>
          <w:rFonts w:ascii="宋体" w:eastAsia="宋体" w:hAnsi="宋体" w:cs="宋体"/>
          <w:sz w:val="22"/>
          <w:szCs w:val="22"/>
        </w:rPr>
      </w:pPr>
      <w:r>
        <w:rPr>
          <w:rFonts w:ascii="Times New Roman" w:eastAsia="Times New Roman" w:hAnsi="Times New Roman" w:cs="Times New Roman"/>
          <w:spacing w:val="-1"/>
          <w:sz w:val="22"/>
          <w:szCs w:val="22"/>
        </w:rPr>
        <w:t>63kJ(15kcal)</w:t>
      </w:r>
      <w:r>
        <w:rPr>
          <w:rFonts w:ascii="宋体" w:eastAsia="宋体" w:hAnsi="宋体" w:cs="宋体"/>
          <w:spacing w:val="-1"/>
          <w:sz w:val="22"/>
          <w:szCs w:val="22"/>
        </w:rPr>
        <w:t>。</w:t>
      </w:r>
    </w:p>
    <w:p w:rsidR="00EA40A3" w:rsidRDefault="00E86C16">
      <w:pPr>
        <w:spacing w:before="239" w:line="222" w:lineRule="auto"/>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8"/>
          <w:sz w:val="22"/>
          <w:szCs w:val="22"/>
        </w:rPr>
        <w:t xml:space="preserve"> </w:t>
      </w:r>
      <w:r>
        <w:rPr>
          <w:rFonts w:ascii="仿宋" w:eastAsia="仿宋" w:hAnsi="仿宋" w:cs="仿宋"/>
          <w:spacing w:val="8"/>
          <w:sz w:val="22"/>
          <w:szCs w:val="22"/>
        </w:rPr>
        <w:t>维生素</w:t>
      </w:r>
    </w:p>
    <w:p w:rsidR="00EA40A3" w:rsidRDefault="00E86C16">
      <w:pPr>
        <w:spacing w:before="157" w:line="251" w:lineRule="auto"/>
        <w:ind w:firstLine="459"/>
        <w:rPr>
          <w:rFonts w:ascii="宋体" w:eastAsia="宋体" w:hAnsi="宋体" w:cs="宋体"/>
          <w:sz w:val="22"/>
          <w:szCs w:val="22"/>
        </w:rPr>
      </w:pPr>
      <w:r>
        <w:rPr>
          <w:rFonts w:ascii="宋体" w:eastAsia="宋体" w:hAnsi="宋体" w:cs="宋体"/>
          <w:spacing w:val="-12"/>
          <w:sz w:val="22"/>
          <w:szCs w:val="22"/>
        </w:rPr>
        <w:t>蔬菜在膳食中的重要意义是含有谷类、豆类、动物性食品中所缺</w:t>
      </w:r>
      <w:r>
        <w:rPr>
          <w:rFonts w:ascii="宋体" w:eastAsia="宋体" w:hAnsi="宋体" w:cs="宋体"/>
          <w:spacing w:val="-13"/>
          <w:sz w:val="22"/>
          <w:szCs w:val="22"/>
        </w:rPr>
        <w:t>乏的维生素</w:t>
      </w:r>
      <w:r>
        <w:rPr>
          <w:rFonts w:ascii="宋体" w:eastAsia="宋体" w:hAnsi="宋体" w:cs="宋体"/>
          <w:sz w:val="22"/>
          <w:szCs w:val="22"/>
        </w:rPr>
        <w:t xml:space="preserve"> </w:t>
      </w:r>
      <w:r>
        <w:rPr>
          <w:rFonts w:ascii="宋体" w:eastAsia="宋体" w:hAnsi="宋体" w:cs="宋体"/>
          <w:spacing w:val="-10"/>
          <w:sz w:val="22"/>
          <w:szCs w:val="22"/>
        </w:rPr>
        <w:t>C,</w:t>
      </w:r>
      <w:r>
        <w:rPr>
          <w:rFonts w:ascii="宋体" w:eastAsia="宋体" w:hAnsi="宋体" w:cs="宋体"/>
          <w:spacing w:val="43"/>
          <w:sz w:val="22"/>
          <w:szCs w:val="22"/>
        </w:rPr>
        <w:t xml:space="preserve"> </w:t>
      </w:r>
      <w:r>
        <w:rPr>
          <w:rFonts w:ascii="宋体" w:eastAsia="宋体" w:hAnsi="宋体" w:cs="宋体"/>
          <w:spacing w:val="-10"/>
          <w:sz w:val="22"/>
          <w:szCs w:val="22"/>
        </w:rPr>
        <w:t>以及能在体内转化为维生素A</w:t>
      </w:r>
      <w:r>
        <w:rPr>
          <w:rFonts w:ascii="宋体" w:eastAsia="宋体" w:hAnsi="宋体" w:cs="宋体"/>
          <w:spacing w:val="2"/>
          <w:sz w:val="22"/>
          <w:szCs w:val="22"/>
        </w:rPr>
        <w:t xml:space="preserve"> </w:t>
      </w:r>
      <w:r>
        <w:rPr>
          <w:rFonts w:ascii="宋体" w:eastAsia="宋体" w:hAnsi="宋体" w:cs="宋体"/>
          <w:spacing w:val="-10"/>
          <w:sz w:val="22"/>
          <w:szCs w:val="22"/>
        </w:rPr>
        <w:t>的胡萝卜素。此外，蔬菜中含有除维生素D</w:t>
      </w:r>
      <w:r>
        <w:rPr>
          <w:rFonts w:ascii="宋体" w:eastAsia="宋体" w:hAnsi="宋体" w:cs="宋体"/>
          <w:spacing w:val="-16"/>
          <w:sz w:val="22"/>
          <w:szCs w:val="22"/>
        </w:rPr>
        <w:t xml:space="preserve"> </w:t>
      </w:r>
      <w:r>
        <w:rPr>
          <w:rFonts w:ascii="宋体" w:eastAsia="宋体" w:hAnsi="宋体" w:cs="宋体"/>
          <w:spacing w:val="-10"/>
          <w:sz w:val="22"/>
          <w:szCs w:val="22"/>
        </w:rPr>
        <w:t>和</w:t>
      </w:r>
      <w:r>
        <w:rPr>
          <w:rFonts w:ascii="宋体" w:eastAsia="宋体" w:hAnsi="宋体" w:cs="宋体"/>
          <w:sz w:val="22"/>
          <w:szCs w:val="22"/>
        </w:rPr>
        <w:t xml:space="preserve"> </w:t>
      </w:r>
      <w:r>
        <w:rPr>
          <w:rFonts w:ascii="宋体" w:eastAsia="宋体" w:hAnsi="宋体" w:cs="宋体"/>
          <w:spacing w:val="-7"/>
          <w:sz w:val="22"/>
          <w:szCs w:val="22"/>
        </w:rPr>
        <w:t>维生素B</w:t>
      </w:r>
      <w:r>
        <w:rPr>
          <w:rFonts w:ascii="Calibri" w:eastAsia="Calibri" w:hAnsi="Calibri" w:cs="Calibri"/>
          <w:spacing w:val="-7"/>
          <w:sz w:val="22"/>
          <w:szCs w:val="22"/>
        </w:rPr>
        <w:t>₂</w:t>
      </w:r>
      <w:r>
        <w:rPr>
          <w:rFonts w:ascii="Calibri" w:eastAsia="Calibri" w:hAnsi="Calibri" w:cs="Calibri"/>
          <w:spacing w:val="1"/>
          <w:sz w:val="22"/>
          <w:szCs w:val="22"/>
        </w:rPr>
        <w:t xml:space="preserve">  </w:t>
      </w:r>
      <w:r>
        <w:rPr>
          <w:rFonts w:ascii="宋体" w:eastAsia="宋体" w:hAnsi="宋体" w:cs="宋体"/>
          <w:spacing w:val="-7"/>
          <w:sz w:val="22"/>
          <w:szCs w:val="22"/>
        </w:rPr>
        <w:t>之外的各种维生素，包括维生素B</w:t>
      </w:r>
      <w:r>
        <w:rPr>
          <w:rFonts w:ascii="Calibri" w:eastAsia="Calibri" w:hAnsi="Calibri" w:cs="Calibri"/>
          <w:spacing w:val="-7"/>
          <w:sz w:val="22"/>
          <w:szCs w:val="22"/>
        </w:rPr>
        <w:t>₁</w:t>
      </w:r>
      <w:r>
        <w:rPr>
          <w:rFonts w:ascii="Calibri" w:eastAsia="Calibri" w:hAnsi="Calibri" w:cs="Calibri"/>
          <w:spacing w:val="-25"/>
          <w:sz w:val="22"/>
          <w:szCs w:val="22"/>
        </w:rPr>
        <w:t xml:space="preserve"> </w:t>
      </w:r>
      <w:r>
        <w:rPr>
          <w:rFonts w:ascii="宋体" w:eastAsia="宋体" w:hAnsi="宋体" w:cs="宋体"/>
          <w:spacing w:val="-7"/>
          <w:sz w:val="22"/>
          <w:szCs w:val="22"/>
        </w:rPr>
        <w:t>、维生素B</w:t>
      </w:r>
      <w:r>
        <w:rPr>
          <w:rFonts w:ascii="Calibri" w:eastAsia="Calibri" w:hAnsi="Calibri" w:cs="Calibri"/>
          <w:spacing w:val="-7"/>
          <w:sz w:val="22"/>
          <w:szCs w:val="22"/>
        </w:rPr>
        <w:t>₂</w:t>
      </w:r>
      <w:r>
        <w:rPr>
          <w:rFonts w:ascii="Calibri" w:eastAsia="Calibri" w:hAnsi="Calibri" w:cs="Calibri"/>
          <w:spacing w:val="-26"/>
          <w:sz w:val="22"/>
          <w:szCs w:val="22"/>
        </w:rPr>
        <w:t xml:space="preserve"> </w:t>
      </w:r>
      <w:r>
        <w:rPr>
          <w:rFonts w:ascii="宋体" w:eastAsia="宋体" w:hAnsi="宋体" w:cs="宋体"/>
          <w:spacing w:val="-7"/>
          <w:sz w:val="22"/>
          <w:szCs w:val="22"/>
        </w:rPr>
        <w:t>、维生素Bg、</w:t>
      </w:r>
      <w:r>
        <w:rPr>
          <w:rFonts w:ascii="宋体" w:eastAsia="宋体" w:hAnsi="宋体" w:cs="宋体"/>
          <w:spacing w:val="-47"/>
          <w:sz w:val="22"/>
          <w:szCs w:val="22"/>
        </w:rPr>
        <w:t xml:space="preserve"> </w:t>
      </w:r>
      <w:r>
        <w:rPr>
          <w:rFonts w:ascii="宋体" w:eastAsia="宋体" w:hAnsi="宋体" w:cs="宋体"/>
          <w:spacing w:val="-7"/>
          <w:sz w:val="22"/>
          <w:szCs w:val="22"/>
        </w:rPr>
        <w:t>尼克酸、</w:t>
      </w:r>
      <w:r>
        <w:rPr>
          <w:rFonts w:ascii="宋体" w:eastAsia="宋体" w:hAnsi="宋体" w:cs="宋体"/>
          <w:sz w:val="22"/>
          <w:szCs w:val="22"/>
        </w:rPr>
        <w:t xml:space="preserve"> </w:t>
      </w:r>
      <w:r>
        <w:rPr>
          <w:rFonts w:ascii="宋体" w:eastAsia="宋体" w:hAnsi="宋体" w:cs="宋体"/>
          <w:spacing w:val="-5"/>
          <w:sz w:val="22"/>
          <w:szCs w:val="22"/>
        </w:rPr>
        <w:t>泛酸、生物素、叶酸、维生素E</w:t>
      </w:r>
      <w:r>
        <w:rPr>
          <w:rFonts w:ascii="宋体" w:eastAsia="宋体" w:hAnsi="宋体" w:cs="宋体"/>
          <w:spacing w:val="-15"/>
          <w:sz w:val="22"/>
          <w:szCs w:val="22"/>
        </w:rPr>
        <w:t xml:space="preserve"> </w:t>
      </w:r>
      <w:r>
        <w:rPr>
          <w:rFonts w:ascii="宋体" w:eastAsia="宋体" w:hAnsi="宋体" w:cs="宋体"/>
          <w:spacing w:val="-5"/>
          <w:sz w:val="22"/>
          <w:szCs w:val="22"/>
        </w:rPr>
        <w:t>和维生素K,</w:t>
      </w:r>
      <w:r>
        <w:rPr>
          <w:rFonts w:ascii="宋体" w:eastAsia="宋体" w:hAnsi="宋体" w:cs="宋体"/>
          <w:spacing w:val="45"/>
          <w:sz w:val="22"/>
          <w:szCs w:val="22"/>
        </w:rPr>
        <w:t xml:space="preserve"> </w:t>
      </w:r>
      <w:r>
        <w:rPr>
          <w:rFonts w:ascii="宋体" w:eastAsia="宋体" w:hAnsi="宋体" w:cs="宋体"/>
          <w:spacing w:val="-5"/>
          <w:sz w:val="22"/>
          <w:szCs w:val="22"/>
        </w:rPr>
        <w:t>是维生素</w:t>
      </w:r>
      <w:r>
        <w:rPr>
          <w:rFonts w:ascii="宋体" w:eastAsia="宋体" w:hAnsi="宋体" w:cs="宋体"/>
          <w:spacing w:val="-6"/>
          <w:sz w:val="22"/>
          <w:szCs w:val="22"/>
        </w:rPr>
        <w:t>B</w:t>
      </w:r>
      <w:r>
        <w:rPr>
          <w:rFonts w:ascii="Calibri" w:eastAsia="Calibri" w:hAnsi="Calibri" w:cs="Calibri"/>
          <w:spacing w:val="-6"/>
          <w:sz w:val="22"/>
          <w:szCs w:val="22"/>
        </w:rPr>
        <w:t>₂</w:t>
      </w:r>
      <w:r>
        <w:rPr>
          <w:rFonts w:ascii="Calibri" w:eastAsia="Calibri" w:hAnsi="Calibri" w:cs="Calibri"/>
          <w:spacing w:val="40"/>
          <w:sz w:val="22"/>
          <w:szCs w:val="22"/>
        </w:rPr>
        <w:t xml:space="preserve"> </w:t>
      </w:r>
      <w:r>
        <w:rPr>
          <w:rFonts w:ascii="宋体" w:eastAsia="宋体" w:hAnsi="宋体" w:cs="宋体"/>
          <w:spacing w:val="-6"/>
          <w:sz w:val="22"/>
          <w:szCs w:val="22"/>
        </w:rPr>
        <w:t>和叶酸的重要膳食来</w:t>
      </w:r>
      <w:r>
        <w:rPr>
          <w:rFonts w:ascii="宋体" w:eastAsia="宋体" w:hAnsi="宋体" w:cs="宋体"/>
          <w:sz w:val="22"/>
          <w:szCs w:val="22"/>
        </w:rPr>
        <w:t xml:space="preserve"> </w:t>
      </w:r>
      <w:r>
        <w:rPr>
          <w:rFonts w:ascii="宋体" w:eastAsia="宋体" w:hAnsi="宋体" w:cs="宋体"/>
          <w:spacing w:val="-9"/>
          <w:sz w:val="22"/>
          <w:szCs w:val="22"/>
        </w:rPr>
        <w:t>源。菌类蔬菜中还含有维生素B</w:t>
      </w:r>
      <w:r>
        <w:rPr>
          <w:rFonts w:ascii="Calibri" w:eastAsia="Calibri" w:hAnsi="Calibri" w:cs="Calibri"/>
          <w:spacing w:val="-9"/>
          <w:sz w:val="22"/>
          <w:szCs w:val="22"/>
        </w:rPr>
        <w:t>₂</w:t>
      </w:r>
      <w:r>
        <w:rPr>
          <w:rFonts w:ascii="宋体" w:eastAsia="宋体" w:hAnsi="宋体" w:cs="宋体"/>
          <w:spacing w:val="-9"/>
          <w:sz w:val="22"/>
          <w:szCs w:val="22"/>
        </w:rPr>
        <w:t>,</w:t>
      </w:r>
    </w:p>
    <w:p w:rsidR="00EA40A3" w:rsidRDefault="00E86C16">
      <w:pPr>
        <w:spacing w:before="42" w:line="247" w:lineRule="auto"/>
        <w:ind w:right="21" w:firstLine="459"/>
        <w:rPr>
          <w:rFonts w:ascii="宋体" w:eastAsia="宋体" w:hAnsi="宋体" w:cs="宋体"/>
          <w:sz w:val="22"/>
          <w:szCs w:val="22"/>
        </w:rPr>
      </w:pPr>
      <w:r>
        <w:rPr>
          <w:rFonts w:ascii="宋体" w:eastAsia="宋体" w:hAnsi="宋体" w:cs="宋体"/>
          <w:spacing w:val="-13"/>
          <w:sz w:val="22"/>
          <w:szCs w:val="22"/>
        </w:rPr>
        <w:t>蔬菜中胡萝卜素的含量与颜色有明显的相关关系。深绿色叶菜和橙黄色</w:t>
      </w:r>
      <w:r>
        <w:rPr>
          <w:rFonts w:ascii="宋体" w:eastAsia="宋体" w:hAnsi="宋体" w:cs="宋体"/>
          <w:spacing w:val="-14"/>
          <w:sz w:val="22"/>
          <w:szCs w:val="22"/>
        </w:rPr>
        <w:t>蔬菜</w:t>
      </w:r>
      <w:r>
        <w:rPr>
          <w:rFonts w:ascii="宋体" w:eastAsia="宋体" w:hAnsi="宋体" w:cs="宋体"/>
          <w:sz w:val="22"/>
          <w:szCs w:val="22"/>
        </w:rPr>
        <w:t xml:space="preserve"> </w:t>
      </w:r>
      <w:r>
        <w:rPr>
          <w:rFonts w:ascii="宋体" w:eastAsia="宋体" w:hAnsi="宋体" w:cs="宋体"/>
          <w:spacing w:val="1"/>
          <w:sz w:val="22"/>
          <w:szCs w:val="22"/>
        </w:rPr>
        <w:t>的含量最高，每100g</w:t>
      </w:r>
      <w:r>
        <w:rPr>
          <w:rFonts w:ascii="宋体" w:eastAsia="宋体" w:hAnsi="宋体" w:cs="宋体"/>
          <w:spacing w:val="-42"/>
          <w:sz w:val="22"/>
          <w:szCs w:val="22"/>
        </w:rPr>
        <w:t xml:space="preserve"> </w:t>
      </w:r>
      <w:r>
        <w:rPr>
          <w:rFonts w:ascii="宋体" w:eastAsia="宋体" w:hAnsi="宋体" w:cs="宋体"/>
          <w:spacing w:val="1"/>
          <w:sz w:val="22"/>
          <w:szCs w:val="22"/>
        </w:rPr>
        <w:t>中含量达2～4</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43"/>
          <w:sz w:val="22"/>
          <w:szCs w:val="22"/>
        </w:rPr>
        <w:t xml:space="preserve"> </w:t>
      </w:r>
      <w:r>
        <w:rPr>
          <w:rFonts w:ascii="宋体" w:eastAsia="宋体" w:hAnsi="宋体" w:cs="宋体"/>
          <w:spacing w:val="1"/>
          <w:sz w:val="22"/>
          <w:szCs w:val="22"/>
        </w:rPr>
        <w:t>例如每100g</w:t>
      </w:r>
      <w:r>
        <w:rPr>
          <w:rFonts w:ascii="宋体" w:eastAsia="宋体" w:hAnsi="宋体" w:cs="宋体"/>
          <w:spacing w:val="-48"/>
          <w:sz w:val="22"/>
          <w:szCs w:val="22"/>
        </w:rPr>
        <w:t xml:space="preserve"> </w:t>
      </w:r>
      <w:r>
        <w:rPr>
          <w:rFonts w:ascii="宋体" w:eastAsia="宋体" w:hAnsi="宋体" w:cs="宋体"/>
          <w:spacing w:val="1"/>
          <w:sz w:val="22"/>
          <w:szCs w:val="22"/>
        </w:rPr>
        <w:t>绿菜花(西兰花)含胡萝</w:t>
      </w:r>
      <w:r>
        <w:rPr>
          <w:rFonts w:ascii="宋体" w:eastAsia="宋体" w:hAnsi="宋体" w:cs="宋体"/>
          <w:sz w:val="22"/>
          <w:szCs w:val="22"/>
        </w:rPr>
        <w:t xml:space="preserve"> </w:t>
      </w:r>
      <w:r>
        <w:rPr>
          <w:rFonts w:ascii="宋体" w:eastAsia="宋体" w:hAnsi="宋体" w:cs="宋体"/>
          <w:spacing w:val="1"/>
          <w:sz w:val="22"/>
          <w:szCs w:val="22"/>
        </w:rPr>
        <w:t>卜素7.2</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31"/>
          <w:sz w:val="22"/>
          <w:szCs w:val="22"/>
        </w:rPr>
        <w:t xml:space="preserve"> </w:t>
      </w:r>
      <w:r>
        <w:rPr>
          <w:rFonts w:ascii="宋体" w:eastAsia="宋体" w:hAnsi="宋体" w:cs="宋体"/>
          <w:spacing w:val="1"/>
          <w:sz w:val="22"/>
          <w:szCs w:val="22"/>
        </w:rPr>
        <w:t>芥蓝为3.5</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53"/>
          <w:sz w:val="22"/>
          <w:szCs w:val="22"/>
        </w:rPr>
        <w:t xml:space="preserve"> </w:t>
      </w:r>
      <w:r>
        <w:rPr>
          <w:rFonts w:ascii="宋体" w:eastAsia="宋体" w:hAnsi="宋体" w:cs="宋体"/>
          <w:spacing w:val="1"/>
          <w:sz w:val="22"/>
          <w:szCs w:val="22"/>
        </w:rPr>
        <w:t>甘薯叶为5.9</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32"/>
          <w:sz w:val="22"/>
          <w:szCs w:val="22"/>
        </w:rPr>
        <w:t xml:space="preserve"> </w:t>
      </w:r>
      <w:r>
        <w:rPr>
          <w:rFonts w:ascii="宋体" w:eastAsia="宋体" w:hAnsi="宋体" w:cs="宋体"/>
          <w:spacing w:val="1"/>
          <w:sz w:val="22"/>
          <w:szCs w:val="22"/>
        </w:rPr>
        <w:t>胡萝卜为4.1</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4"/>
          <w:sz w:val="22"/>
          <w:szCs w:val="22"/>
        </w:rPr>
        <w:t xml:space="preserve"> </w:t>
      </w:r>
      <w:r>
        <w:rPr>
          <w:rFonts w:ascii="宋体" w:eastAsia="宋体" w:hAnsi="宋体" w:cs="宋体"/>
          <w:spacing w:val="1"/>
          <w:sz w:val="22"/>
          <w:szCs w:val="22"/>
        </w:rPr>
        <w:t>浅色蔬菜中</w:t>
      </w:r>
      <w:r>
        <w:rPr>
          <w:rFonts w:ascii="宋体" w:eastAsia="宋体" w:hAnsi="宋体" w:cs="宋体"/>
          <w:sz w:val="22"/>
          <w:szCs w:val="22"/>
        </w:rPr>
        <w:t xml:space="preserve"> </w:t>
      </w:r>
      <w:r>
        <w:rPr>
          <w:rFonts w:ascii="宋体" w:eastAsia="宋体" w:hAnsi="宋体" w:cs="宋体"/>
          <w:spacing w:val="-8"/>
          <w:sz w:val="22"/>
          <w:szCs w:val="22"/>
        </w:rPr>
        <w:t>胡萝卜素含量较低，如100g冬瓜中含胡萝卜素0.08mg。</w:t>
      </w:r>
      <w:r>
        <w:rPr>
          <w:rFonts w:ascii="宋体" w:eastAsia="宋体" w:hAnsi="宋体" w:cs="宋体"/>
          <w:spacing w:val="-9"/>
          <w:sz w:val="22"/>
          <w:szCs w:val="22"/>
        </w:rPr>
        <w:t xml:space="preserve"> </w:t>
      </w:r>
      <w:r>
        <w:rPr>
          <w:rFonts w:ascii="宋体" w:eastAsia="宋体" w:hAnsi="宋体" w:cs="宋体"/>
          <w:spacing w:val="-8"/>
          <w:sz w:val="22"/>
          <w:szCs w:val="22"/>
        </w:rPr>
        <w:t>蔬菜中同时还含有不能</w:t>
      </w:r>
      <w:r>
        <w:rPr>
          <w:rFonts w:ascii="宋体" w:eastAsia="宋体" w:hAnsi="宋体" w:cs="宋体"/>
          <w:sz w:val="22"/>
          <w:szCs w:val="22"/>
        </w:rPr>
        <w:t xml:space="preserve"> </w:t>
      </w:r>
      <w:r>
        <w:rPr>
          <w:rFonts w:ascii="宋体" w:eastAsia="宋体" w:hAnsi="宋体" w:cs="宋体"/>
          <w:spacing w:val="-8"/>
          <w:sz w:val="22"/>
          <w:szCs w:val="22"/>
        </w:rPr>
        <w:t>转变成维生素</w:t>
      </w:r>
      <w:r>
        <w:rPr>
          <w:rFonts w:ascii="宋体" w:eastAsia="宋体" w:hAnsi="宋体" w:cs="宋体"/>
          <w:spacing w:val="-51"/>
          <w:sz w:val="22"/>
          <w:szCs w:val="22"/>
        </w:rPr>
        <w:t xml:space="preserve"> </w:t>
      </w:r>
      <w:r>
        <w:rPr>
          <w:rFonts w:ascii="宋体" w:eastAsia="宋体" w:hAnsi="宋体" w:cs="宋体"/>
          <w:spacing w:val="-8"/>
          <w:sz w:val="22"/>
          <w:szCs w:val="22"/>
        </w:rPr>
        <w:t>A</w:t>
      </w:r>
      <w:r>
        <w:rPr>
          <w:rFonts w:ascii="宋体" w:eastAsia="宋体" w:hAnsi="宋体" w:cs="宋体"/>
          <w:spacing w:val="1"/>
          <w:sz w:val="22"/>
          <w:szCs w:val="22"/>
        </w:rPr>
        <w:t xml:space="preserve"> </w:t>
      </w:r>
      <w:r>
        <w:rPr>
          <w:rFonts w:ascii="宋体" w:eastAsia="宋体" w:hAnsi="宋体" w:cs="宋体"/>
          <w:spacing w:val="-8"/>
          <w:sz w:val="22"/>
          <w:szCs w:val="22"/>
        </w:rPr>
        <w:t>的番茄红素、玉米黄素等其他类胡萝卜素，也具有重要的健康</w:t>
      </w:r>
      <w:r>
        <w:rPr>
          <w:rFonts w:ascii="宋体" w:eastAsia="宋体" w:hAnsi="宋体" w:cs="宋体"/>
          <w:sz w:val="22"/>
          <w:szCs w:val="22"/>
        </w:rPr>
        <w:t xml:space="preserve"> </w:t>
      </w:r>
      <w:r>
        <w:rPr>
          <w:rFonts w:ascii="宋体" w:eastAsia="宋体" w:hAnsi="宋体" w:cs="宋体"/>
          <w:spacing w:val="-18"/>
          <w:sz w:val="22"/>
          <w:szCs w:val="22"/>
        </w:rPr>
        <w:t>意义。</w:t>
      </w:r>
    </w:p>
    <w:p w:rsidR="00EA40A3" w:rsidRDefault="00E86C16">
      <w:pPr>
        <w:spacing w:before="72" w:line="246" w:lineRule="auto"/>
        <w:ind w:right="28" w:firstLine="459"/>
        <w:rPr>
          <w:rFonts w:ascii="宋体" w:eastAsia="宋体" w:hAnsi="宋体" w:cs="宋体"/>
          <w:sz w:val="22"/>
          <w:szCs w:val="22"/>
        </w:rPr>
      </w:pPr>
      <w:r>
        <w:rPr>
          <w:rFonts w:ascii="宋体" w:eastAsia="宋体" w:hAnsi="宋体" w:cs="宋体"/>
          <w:spacing w:val="-6"/>
          <w:sz w:val="22"/>
          <w:szCs w:val="22"/>
        </w:rPr>
        <w:t>维生素C</w:t>
      </w:r>
      <w:r>
        <w:rPr>
          <w:rFonts w:ascii="宋体" w:eastAsia="宋体" w:hAnsi="宋体" w:cs="宋体"/>
          <w:spacing w:val="3"/>
          <w:sz w:val="22"/>
          <w:szCs w:val="22"/>
        </w:rPr>
        <w:t xml:space="preserve"> </w:t>
      </w:r>
      <w:r>
        <w:rPr>
          <w:rFonts w:ascii="宋体" w:eastAsia="宋体" w:hAnsi="宋体" w:cs="宋体"/>
          <w:spacing w:val="-6"/>
          <w:sz w:val="22"/>
          <w:szCs w:val="22"/>
        </w:rPr>
        <w:t>含量与颜色无关，每100g</w:t>
      </w:r>
      <w:r>
        <w:rPr>
          <w:rFonts w:ascii="宋体" w:eastAsia="宋体" w:hAnsi="宋体" w:cs="宋体"/>
          <w:spacing w:val="-38"/>
          <w:sz w:val="22"/>
          <w:szCs w:val="22"/>
        </w:rPr>
        <w:t xml:space="preserve"> </w:t>
      </w:r>
      <w:r>
        <w:rPr>
          <w:rFonts w:ascii="宋体" w:eastAsia="宋体" w:hAnsi="宋体" w:cs="宋体"/>
          <w:spacing w:val="-6"/>
          <w:sz w:val="22"/>
          <w:szCs w:val="22"/>
        </w:rPr>
        <w:t>中含量多为10～90mg。</w:t>
      </w:r>
      <w:r>
        <w:rPr>
          <w:rFonts w:ascii="宋体" w:eastAsia="宋体" w:hAnsi="宋体" w:cs="宋体"/>
          <w:spacing w:val="-8"/>
          <w:sz w:val="22"/>
          <w:szCs w:val="22"/>
        </w:rPr>
        <w:t xml:space="preserve"> </w:t>
      </w:r>
      <w:r>
        <w:rPr>
          <w:rFonts w:ascii="宋体" w:eastAsia="宋体" w:hAnsi="宋体" w:cs="宋体"/>
          <w:spacing w:val="-6"/>
          <w:sz w:val="22"/>
          <w:szCs w:val="22"/>
        </w:rPr>
        <w:t>维生素</w:t>
      </w:r>
      <w:r>
        <w:rPr>
          <w:rFonts w:ascii="宋体" w:eastAsia="宋体" w:hAnsi="宋体" w:cs="宋体"/>
          <w:spacing w:val="-38"/>
          <w:sz w:val="22"/>
          <w:szCs w:val="22"/>
        </w:rPr>
        <w:t xml:space="preserve"> </w:t>
      </w:r>
      <w:r>
        <w:rPr>
          <w:rFonts w:ascii="宋体" w:eastAsia="宋体" w:hAnsi="宋体" w:cs="宋体"/>
          <w:spacing w:val="-6"/>
          <w:sz w:val="22"/>
          <w:szCs w:val="22"/>
        </w:rPr>
        <w:t>C</w:t>
      </w:r>
      <w:r>
        <w:rPr>
          <w:rFonts w:ascii="宋体" w:eastAsia="宋体" w:hAnsi="宋体" w:cs="宋体"/>
          <w:spacing w:val="-23"/>
          <w:sz w:val="22"/>
          <w:szCs w:val="22"/>
        </w:rPr>
        <w:t xml:space="preserve"> </w:t>
      </w:r>
      <w:r>
        <w:rPr>
          <w:rFonts w:ascii="宋体" w:eastAsia="宋体" w:hAnsi="宋体" w:cs="宋体"/>
          <w:spacing w:val="-6"/>
          <w:sz w:val="22"/>
          <w:szCs w:val="22"/>
        </w:rPr>
        <w:t>含量</w:t>
      </w:r>
      <w:r>
        <w:rPr>
          <w:rFonts w:ascii="宋体" w:eastAsia="宋体" w:hAnsi="宋体" w:cs="宋体"/>
          <w:sz w:val="22"/>
          <w:szCs w:val="22"/>
        </w:rPr>
        <w:t xml:space="preserve"> </w:t>
      </w:r>
      <w:r>
        <w:rPr>
          <w:rFonts w:ascii="宋体" w:eastAsia="宋体" w:hAnsi="宋体" w:cs="宋体"/>
          <w:spacing w:val="-13"/>
          <w:sz w:val="22"/>
          <w:szCs w:val="22"/>
        </w:rPr>
        <w:t>较高的蔬菜有青椒和辣椒、油菜薹、菜花、苦瓜、芥蓝等。胡萝卜素含量较高的</w:t>
      </w:r>
      <w:r>
        <w:rPr>
          <w:rFonts w:ascii="宋体" w:eastAsia="宋体" w:hAnsi="宋体" w:cs="宋体"/>
          <w:spacing w:val="10"/>
          <w:sz w:val="22"/>
          <w:szCs w:val="22"/>
        </w:rPr>
        <w:t xml:space="preserve"> </w:t>
      </w:r>
      <w:r>
        <w:rPr>
          <w:rFonts w:ascii="宋体" w:eastAsia="宋体" w:hAnsi="宋体" w:cs="宋体"/>
          <w:sz w:val="22"/>
          <w:szCs w:val="22"/>
        </w:rPr>
        <w:t>有菠菜、空心菜、苋菜、落葵(木耳菜)、绿菜花、胡萝卜等</w:t>
      </w:r>
      <w:r>
        <w:rPr>
          <w:rFonts w:ascii="宋体" w:eastAsia="宋体" w:hAnsi="宋体" w:cs="宋体"/>
          <w:spacing w:val="-1"/>
          <w:sz w:val="22"/>
          <w:szCs w:val="22"/>
        </w:rPr>
        <w:t>(表6-11)。深绿</w:t>
      </w:r>
      <w:r>
        <w:rPr>
          <w:rFonts w:ascii="宋体" w:eastAsia="宋体" w:hAnsi="宋体" w:cs="宋体"/>
          <w:sz w:val="22"/>
          <w:szCs w:val="22"/>
        </w:rPr>
        <w:t xml:space="preserve"> </w:t>
      </w:r>
      <w:r>
        <w:rPr>
          <w:rFonts w:ascii="宋体" w:eastAsia="宋体" w:hAnsi="宋体" w:cs="宋体"/>
          <w:spacing w:val="-9"/>
          <w:sz w:val="22"/>
          <w:szCs w:val="22"/>
        </w:rPr>
        <w:t>色叶菜和花类蔬菜的维生素B</w:t>
      </w:r>
      <w:r>
        <w:rPr>
          <w:rFonts w:ascii="Calibri" w:eastAsia="Calibri" w:hAnsi="Calibri" w:cs="Calibri"/>
          <w:spacing w:val="-9"/>
          <w:sz w:val="22"/>
          <w:szCs w:val="22"/>
        </w:rPr>
        <w:t>₂</w:t>
      </w:r>
      <w:r>
        <w:rPr>
          <w:rFonts w:ascii="Calibri" w:eastAsia="Calibri" w:hAnsi="Calibri" w:cs="Calibri"/>
          <w:spacing w:val="30"/>
          <w:sz w:val="22"/>
          <w:szCs w:val="22"/>
        </w:rPr>
        <w:t xml:space="preserve"> </w:t>
      </w:r>
      <w:r>
        <w:rPr>
          <w:rFonts w:ascii="宋体" w:eastAsia="宋体" w:hAnsi="宋体" w:cs="宋体"/>
          <w:spacing w:val="-9"/>
          <w:sz w:val="22"/>
          <w:szCs w:val="22"/>
        </w:rPr>
        <w:t>含量较高，</w:t>
      </w:r>
      <w:r>
        <w:rPr>
          <w:rFonts w:ascii="宋体" w:eastAsia="宋体" w:hAnsi="宋体" w:cs="宋体"/>
          <w:spacing w:val="21"/>
          <w:sz w:val="22"/>
          <w:szCs w:val="22"/>
        </w:rPr>
        <w:t xml:space="preserve"> </w:t>
      </w:r>
      <w:r>
        <w:rPr>
          <w:rFonts w:ascii="宋体" w:eastAsia="宋体" w:hAnsi="宋体" w:cs="宋体"/>
          <w:spacing w:val="-9"/>
          <w:sz w:val="22"/>
          <w:szCs w:val="22"/>
        </w:rPr>
        <w:t>一般为0.10mg/100g</w:t>
      </w:r>
      <w:r>
        <w:rPr>
          <w:rFonts w:ascii="宋体" w:eastAsia="宋体" w:hAnsi="宋体" w:cs="宋体"/>
          <w:spacing w:val="-38"/>
          <w:sz w:val="22"/>
          <w:szCs w:val="22"/>
        </w:rPr>
        <w:t xml:space="preserve"> </w:t>
      </w:r>
      <w:r>
        <w:rPr>
          <w:rFonts w:ascii="宋体" w:eastAsia="宋体" w:hAnsi="宋体" w:cs="宋体"/>
          <w:spacing w:val="-9"/>
          <w:sz w:val="22"/>
          <w:szCs w:val="22"/>
        </w:rPr>
        <w:t>左右。维生素</w:t>
      </w:r>
      <w:r>
        <w:rPr>
          <w:rFonts w:ascii="宋体" w:eastAsia="宋体" w:hAnsi="宋体" w:cs="宋体"/>
          <w:spacing w:val="-10"/>
          <w:sz w:val="22"/>
          <w:szCs w:val="22"/>
        </w:rPr>
        <w:t>的</w:t>
      </w:r>
      <w:r>
        <w:rPr>
          <w:rFonts w:ascii="宋体" w:eastAsia="宋体" w:hAnsi="宋体" w:cs="宋体"/>
          <w:sz w:val="22"/>
          <w:szCs w:val="22"/>
        </w:rPr>
        <w:t xml:space="preserve"> </w:t>
      </w:r>
      <w:r>
        <w:rPr>
          <w:rFonts w:ascii="宋体" w:eastAsia="宋体" w:hAnsi="宋体" w:cs="宋体"/>
          <w:spacing w:val="-13"/>
          <w:sz w:val="22"/>
          <w:szCs w:val="22"/>
        </w:rPr>
        <w:t>具体含量受品种、栽培、储存和季节等因素的影响而变动</w:t>
      </w:r>
      <w:r>
        <w:rPr>
          <w:rFonts w:ascii="宋体" w:eastAsia="宋体" w:hAnsi="宋体" w:cs="宋体"/>
          <w:spacing w:val="-14"/>
          <w:sz w:val="22"/>
          <w:szCs w:val="22"/>
        </w:rPr>
        <w:t>很大。</w:t>
      </w:r>
    </w:p>
    <w:p w:rsidR="00EA40A3" w:rsidRDefault="00E86C16">
      <w:pPr>
        <w:spacing w:before="70" w:line="245" w:lineRule="auto"/>
        <w:ind w:right="37" w:firstLine="459"/>
        <w:rPr>
          <w:rFonts w:ascii="宋体" w:eastAsia="宋体" w:hAnsi="宋体" w:cs="宋体"/>
          <w:sz w:val="22"/>
          <w:szCs w:val="22"/>
        </w:rPr>
      </w:pPr>
      <w:r>
        <w:rPr>
          <w:rFonts w:ascii="宋体" w:eastAsia="宋体" w:hAnsi="宋体" w:cs="宋体"/>
          <w:spacing w:val="-7"/>
          <w:sz w:val="22"/>
          <w:szCs w:val="22"/>
        </w:rPr>
        <w:t>菌类和海藻类蔬菜的维生素</w:t>
      </w:r>
      <w:r>
        <w:rPr>
          <w:rFonts w:ascii="宋体" w:eastAsia="宋体" w:hAnsi="宋体" w:cs="宋体"/>
          <w:spacing w:val="-60"/>
          <w:sz w:val="22"/>
          <w:szCs w:val="22"/>
        </w:rPr>
        <w:t xml:space="preserve"> </w:t>
      </w:r>
      <w:r>
        <w:rPr>
          <w:rFonts w:ascii="宋体" w:eastAsia="宋体" w:hAnsi="宋体" w:cs="宋体"/>
          <w:spacing w:val="-7"/>
          <w:sz w:val="22"/>
          <w:szCs w:val="22"/>
        </w:rPr>
        <w:t>C</w:t>
      </w:r>
      <w:r>
        <w:rPr>
          <w:rFonts w:ascii="宋体" w:eastAsia="宋体" w:hAnsi="宋体" w:cs="宋体"/>
          <w:spacing w:val="-14"/>
          <w:sz w:val="22"/>
          <w:szCs w:val="22"/>
        </w:rPr>
        <w:t xml:space="preserve"> </w:t>
      </w:r>
      <w:r>
        <w:rPr>
          <w:rFonts w:ascii="宋体" w:eastAsia="宋体" w:hAnsi="宋体" w:cs="宋体"/>
          <w:spacing w:val="-7"/>
          <w:sz w:val="22"/>
          <w:szCs w:val="22"/>
        </w:rPr>
        <w:t>含量不高，但核黄素、尼克酸和</w:t>
      </w:r>
      <w:r>
        <w:rPr>
          <w:rFonts w:ascii="宋体" w:eastAsia="宋体" w:hAnsi="宋体" w:cs="宋体"/>
          <w:spacing w:val="-8"/>
          <w:sz w:val="22"/>
          <w:szCs w:val="22"/>
        </w:rPr>
        <w:t>泛酸等B</w:t>
      </w:r>
      <w:r>
        <w:rPr>
          <w:rFonts w:ascii="宋体" w:eastAsia="宋体" w:hAnsi="宋体" w:cs="宋体"/>
          <w:spacing w:val="-26"/>
          <w:sz w:val="22"/>
          <w:szCs w:val="22"/>
        </w:rPr>
        <w:t xml:space="preserve"> </w:t>
      </w:r>
      <w:r>
        <w:rPr>
          <w:rFonts w:ascii="宋体" w:eastAsia="宋体" w:hAnsi="宋体" w:cs="宋体"/>
          <w:spacing w:val="-8"/>
          <w:sz w:val="22"/>
          <w:szCs w:val="22"/>
        </w:rPr>
        <w:t>族</w:t>
      </w:r>
      <w:r>
        <w:rPr>
          <w:rFonts w:ascii="宋体" w:eastAsia="宋体" w:hAnsi="宋体" w:cs="宋体"/>
          <w:sz w:val="22"/>
          <w:szCs w:val="22"/>
        </w:rPr>
        <w:t xml:space="preserve"> </w:t>
      </w:r>
      <w:r>
        <w:rPr>
          <w:rFonts w:ascii="宋体" w:eastAsia="宋体" w:hAnsi="宋体" w:cs="宋体"/>
          <w:spacing w:val="-3"/>
          <w:sz w:val="22"/>
          <w:szCs w:val="22"/>
        </w:rPr>
        <w:t>维生素的含量较高。例如，鲜蘑菇的核黄素和尼克酸含量分别为0.35mg/100g</w:t>
      </w:r>
      <w:r>
        <w:rPr>
          <w:rFonts w:ascii="宋体" w:eastAsia="宋体" w:hAnsi="宋体" w:cs="宋体"/>
          <w:spacing w:val="3"/>
          <w:sz w:val="22"/>
          <w:szCs w:val="22"/>
        </w:rPr>
        <w:t xml:space="preserve"> </w:t>
      </w:r>
      <w:r>
        <w:rPr>
          <w:rFonts w:ascii="宋体" w:eastAsia="宋体" w:hAnsi="宋体" w:cs="宋体"/>
          <w:spacing w:val="-2"/>
          <w:sz w:val="22"/>
          <w:szCs w:val="22"/>
        </w:rPr>
        <w:t>和4.0mg/100g,</w:t>
      </w:r>
      <w:r>
        <w:rPr>
          <w:rFonts w:ascii="宋体" w:eastAsia="宋体" w:hAnsi="宋体" w:cs="宋体"/>
          <w:spacing w:val="21"/>
          <w:sz w:val="22"/>
          <w:szCs w:val="22"/>
        </w:rPr>
        <w:t xml:space="preserve"> </w:t>
      </w:r>
      <w:r>
        <w:rPr>
          <w:rFonts w:ascii="宋体" w:eastAsia="宋体" w:hAnsi="宋体" w:cs="宋体"/>
          <w:spacing w:val="-2"/>
          <w:sz w:val="22"/>
          <w:szCs w:val="22"/>
        </w:rPr>
        <w:t>鲜草菇为0.34mg/100g</w:t>
      </w:r>
      <w:r>
        <w:rPr>
          <w:rFonts w:ascii="宋体" w:eastAsia="宋体" w:hAnsi="宋体" w:cs="宋体"/>
          <w:spacing w:val="-27"/>
          <w:sz w:val="22"/>
          <w:szCs w:val="22"/>
        </w:rPr>
        <w:t xml:space="preserve"> </w:t>
      </w:r>
      <w:r>
        <w:rPr>
          <w:rFonts w:ascii="宋体" w:eastAsia="宋体" w:hAnsi="宋体" w:cs="宋体"/>
          <w:spacing w:val="-2"/>
          <w:sz w:val="22"/>
          <w:szCs w:val="22"/>
        </w:rPr>
        <w:t>和8.0mg/100g。</w:t>
      </w:r>
      <w:r>
        <w:rPr>
          <w:rFonts w:ascii="宋体" w:eastAsia="宋体" w:hAnsi="宋体" w:cs="宋体"/>
          <w:sz w:val="22"/>
          <w:szCs w:val="22"/>
        </w:rPr>
        <w:t xml:space="preserve"> </w:t>
      </w:r>
      <w:r>
        <w:rPr>
          <w:rFonts w:ascii="宋体" w:eastAsia="宋体" w:hAnsi="宋体" w:cs="宋体"/>
          <w:spacing w:val="-2"/>
          <w:sz w:val="22"/>
          <w:szCs w:val="22"/>
        </w:rPr>
        <w:t>许多菌类和海藻类都</w:t>
      </w:r>
      <w:r>
        <w:rPr>
          <w:rFonts w:ascii="宋体" w:eastAsia="宋体" w:hAnsi="宋体" w:cs="宋体"/>
          <w:sz w:val="22"/>
          <w:szCs w:val="22"/>
        </w:rPr>
        <w:t xml:space="preserve"> </w:t>
      </w:r>
      <w:r>
        <w:rPr>
          <w:rFonts w:ascii="宋体" w:eastAsia="宋体" w:hAnsi="宋体" w:cs="宋体"/>
          <w:spacing w:val="-13"/>
          <w:sz w:val="22"/>
          <w:szCs w:val="22"/>
        </w:rPr>
        <w:t>以干制品形式出售，按质量计的营养素含量很高，但是它们在日常生活中食用量</w:t>
      </w:r>
      <w:r>
        <w:rPr>
          <w:rFonts w:ascii="宋体" w:eastAsia="宋体" w:hAnsi="宋体" w:cs="宋体"/>
          <w:spacing w:val="2"/>
          <w:sz w:val="22"/>
          <w:szCs w:val="22"/>
        </w:rPr>
        <w:t xml:space="preserve"> </w:t>
      </w:r>
      <w:r>
        <w:rPr>
          <w:rFonts w:ascii="宋体" w:eastAsia="宋体" w:hAnsi="宋体" w:cs="宋体"/>
          <w:spacing w:val="-15"/>
          <w:sz w:val="22"/>
          <w:szCs w:val="22"/>
        </w:rPr>
        <w:t>不大，而且烹调前水发后，水溶性营养素的损失较大。</w:t>
      </w:r>
    </w:p>
    <w:p w:rsidR="00EA40A3" w:rsidRDefault="00E86C16">
      <w:pPr>
        <w:spacing w:before="79" w:line="237" w:lineRule="auto"/>
        <w:ind w:right="50" w:firstLine="459"/>
        <w:rPr>
          <w:rFonts w:ascii="宋体" w:eastAsia="宋体" w:hAnsi="宋体" w:cs="宋体"/>
          <w:sz w:val="22"/>
          <w:szCs w:val="22"/>
        </w:rPr>
      </w:pPr>
      <w:r>
        <w:rPr>
          <w:rFonts w:ascii="宋体" w:eastAsia="宋体" w:hAnsi="宋体" w:cs="宋体"/>
          <w:spacing w:val="-7"/>
          <w:sz w:val="22"/>
          <w:szCs w:val="22"/>
        </w:rPr>
        <w:t>由于我国人民消费奶类和柑橘类水果及果汁较少，蔬菜是膳食中维生素</w:t>
      </w:r>
      <w:r>
        <w:rPr>
          <w:rFonts w:ascii="宋体" w:eastAsia="宋体" w:hAnsi="宋体" w:cs="宋体"/>
          <w:spacing w:val="-49"/>
          <w:sz w:val="22"/>
          <w:szCs w:val="22"/>
        </w:rPr>
        <w:t xml:space="preserve"> </w:t>
      </w:r>
      <w:r>
        <w:rPr>
          <w:rFonts w:ascii="宋体" w:eastAsia="宋体" w:hAnsi="宋体" w:cs="宋体"/>
          <w:spacing w:val="-7"/>
          <w:sz w:val="22"/>
          <w:szCs w:val="22"/>
        </w:rPr>
        <w:t>A</w:t>
      </w:r>
      <w:r>
        <w:rPr>
          <w:rFonts w:ascii="宋体" w:eastAsia="宋体" w:hAnsi="宋体" w:cs="宋体"/>
          <w:sz w:val="22"/>
          <w:szCs w:val="22"/>
        </w:rPr>
        <w:t xml:space="preserve"> </w:t>
      </w:r>
      <w:r>
        <w:rPr>
          <w:rFonts w:ascii="宋体" w:eastAsia="宋体" w:hAnsi="宋体" w:cs="宋体"/>
          <w:spacing w:val="-3"/>
          <w:sz w:val="22"/>
          <w:szCs w:val="22"/>
        </w:rPr>
        <w:t>和维生素C</w:t>
      </w:r>
      <w:r>
        <w:rPr>
          <w:rFonts w:ascii="宋体" w:eastAsia="宋体" w:hAnsi="宋体" w:cs="宋体"/>
          <w:spacing w:val="-10"/>
          <w:sz w:val="22"/>
          <w:szCs w:val="22"/>
        </w:rPr>
        <w:t xml:space="preserve"> </w:t>
      </w:r>
      <w:r>
        <w:rPr>
          <w:rFonts w:ascii="宋体" w:eastAsia="宋体" w:hAnsi="宋体" w:cs="宋体"/>
          <w:spacing w:val="-3"/>
          <w:sz w:val="22"/>
          <w:szCs w:val="22"/>
        </w:rPr>
        <w:t>的主要来源，也是维生素B</w:t>
      </w:r>
      <w:r>
        <w:rPr>
          <w:rFonts w:ascii="Calibri" w:eastAsia="Calibri" w:hAnsi="Calibri" w:cs="Calibri"/>
          <w:spacing w:val="-3"/>
          <w:sz w:val="22"/>
          <w:szCs w:val="22"/>
        </w:rPr>
        <w:t>₂</w:t>
      </w:r>
      <w:r>
        <w:rPr>
          <w:rFonts w:ascii="Calibri" w:eastAsia="Calibri" w:hAnsi="Calibri" w:cs="Calibri"/>
          <w:spacing w:val="5"/>
          <w:sz w:val="22"/>
          <w:szCs w:val="22"/>
        </w:rPr>
        <w:t xml:space="preserve">  </w:t>
      </w:r>
      <w:r>
        <w:rPr>
          <w:rFonts w:ascii="宋体" w:eastAsia="宋体" w:hAnsi="宋体" w:cs="宋体"/>
          <w:spacing w:val="-3"/>
          <w:sz w:val="22"/>
          <w:szCs w:val="22"/>
        </w:rPr>
        <w:t>的重要来源。如每天摄入400g</w:t>
      </w:r>
      <w:r>
        <w:rPr>
          <w:rFonts w:ascii="宋体" w:eastAsia="宋体" w:hAnsi="宋体" w:cs="宋体"/>
          <w:spacing w:val="-57"/>
          <w:sz w:val="22"/>
          <w:szCs w:val="22"/>
        </w:rPr>
        <w:t xml:space="preserve"> </w:t>
      </w:r>
      <w:r>
        <w:rPr>
          <w:rFonts w:ascii="宋体" w:eastAsia="宋体" w:hAnsi="宋体" w:cs="宋体"/>
          <w:spacing w:val="-3"/>
          <w:sz w:val="22"/>
          <w:szCs w:val="22"/>
        </w:rPr>
        <w:t>绿叶蔬</w:t>
      </w:r>
      <w:r>
        <w:rPr>
          <w:rFonts w:ascii="宋体" w:eastAsia="宋体" w:hAnsi="宋体" w:cs="宋体"/>
          <w:sz w:val="22"/>
          <w:szCs w:val="22"/>
        </w:rPr>
        <w:t xml:space="preserve"> </w:t>
      </w:r>
      <w:r>
        <w:rPr>
          <w:rFonts w:ascii="宋体" w:eastAsia="宋体" w:hAnsi="宋体" w:cs="宋体"/>
          <w:spacing w:val="-6"/>
          <w:sz w:val="22"/>
          <w:szCs w:val="22"/>
        </w:rPr>
        <w:t>菜，约可获得0.4g核黄素，相当于每日推荐供给量的1/3左右。</w:t>
      </w:r>
    </w:p>
    <w:p w:rsidR="00EA40A3" w:rsidRDefault="00E86C16">
      <w:pPr>
        <w:spacing w:before="64" w:line="246" w:lineRule="auto"/>
        <w:ind w:right="48" w:firstLine="409"/>
        <w:rPr>
          <w:rFonts w:ascii="宋体" w:eastAsia="宋体" w:hAnsi="宋体" w:cs="宋体"/>
          <w:sz w:val="22"/>
          <w:szCs w:val="22"/>
        </w:rPr>
      </w:pPr>
      <w:r>
        <w:rPr>
          <w:rFonts w:ascii="宋体" w:eastAsia="宋体" w:hAnsi="宋体" w:cs="宋体"/>
          <w:spacing w:val="-6"/>
          <w:sz w:val="22"/>
          <w:szCs w:val="22"/>
        </w:rPr>
        <w:t>蔬菜是膳食当中维生素K</w:t>
      </w:r>
      <w:r>
        <w:rPr>
          <w:rFonts w:ascii="宋体" w:eastAsia="宋体" w:hAnsi="宋体" w:cs="宋体"/>
          <w:spacing w:val="11"/>
          <w:sz w:val="22"/>
          <w:szCs w:val="22"/>
        </w:rPr>
        <w:t xml:space="preserve"> </w:t>
      </w:r>
      <w:r>
        <w:rPr>
          <w:rFonts w:ascii="宋体" w:eastAsia="宋体" w:hAnsi="宋体" w:cs="宋体"/>
          <w:spacing w:val="-6"/>
          <w:sz w:val="22"/>
          <w:szCs w:val="22"/>
        </w:rPr>
        <w:t>的主要来源，其含量与叶绿素含量具有正相关关</w:t>
      </w:r>
      <w:r>
        <w:rPr>
          <w:rFonts w:ascii="宋体" w:eastAsia="宋体" w:hAnsi="宋体" w:cs="宋体"/>
          <w:sz w:val="22"/>
          <w:szCs w:val="22"/>
        </w:rPr>
        <w:t xml:space="preserve"> </w:t>
      </w:r>
      <w:r>
        <w:rPr>
          <w:rFonts w:ascii="宋体" w:eastAsia="宋体" w:hAnsi="宋体" w:cs="宋体"/>
          <w:spacing w:val="1"/>
          <w:sz w:val="22"/>
          <w:szCs w:val="22"/>
        </w:rPr>
        <w:t>系，故而绿叶蔬菜是维生素</w:t>
      </w:r>
      <w:r>
        <w:rPr>
          <w:rFonts w:ascii="宋体" w:eastAsia="宋体" w:hAnsi="宋体" w:cs="宋体"/>
          <w:spacing w:val="-48"/>
          <w:sz w:val="22"/>
          <w:szCs w:val="22"/>
        </w:rPr>
        <w:t xml:space="preserve"> </w:t>
      </w:r>
      <w:r>
        <w:rPr>
          <w:rFonts w:ascii="宋体" w:eastAsia="宋体" w:hAnsi="宋体" w:cs="宋体"/>
          <w:spacing w:val="1"/>
          <w:sz w:val="22"/>
          <w:szCs w:val="22"/>
        </w:rPr>
        <w:t>K</w:t>
      </w:r>
      <w:r>
        <w:rPr>
          <w:rFonts w:ascii="宋体" w:eastAsia="宋体" w:hAnsi="宋体" w:cs="宋体"/>
          <w:spacing w:val="35"/>
          <w:sz w:val="22"/>
          <w:szCs w:val="22"/>
        </w:rPr>
        <w:t xml:space="preserve"> </w:t>
      </w:r>
      <w:r>
        <w:rPr>
          <w:rFonts w:ascii="宋体" w:eastAsia="宋体" w:hAnsi="宋体" w:cs="宋体"/>
          <w:spacing w:val="1"/>
          <w:sz w:val="22"/>
          <w:szCs w:val="22"/>
        </w:rPr>
        <w:t>的最好来源。例如，菠菜中维生素</w:t>
      </w:r>
      <w:r>
        <w:rPr>
          <w:rFonts w:ascii="宋体" w:eastAsia="宋体" w:hAnsi="宋体" w:cs="宋体"/>
          <w:spacing w:val="-40"/>
          <w:sz w:val="22"/>
          <w:szCs w:val="22"/>
        </w:rPr>
        <w:t xml:space="preserve"> </w:t>
      </w:r>
      <w:r>
        <w:rPr>
          <w:rFonts w:ascii="宋体" w:eastAsia="宋体" w:hAnsi="宋体" w:cs="宋体"/>
          <w:sz w:val="22"/>
          <w:szCs w:val="22"/>
        </w:rPr>
        <w:t>K</w:t>
      </w:r>
      <w:r>
        <w:rPr>
          <w:rFonts w:ascii="宋体" w:eastAsia="宋体" w:hAnsi="宋体" w:cs="宋体"/>
          <w:spacing w:val="15"/>
          <w:sz w:val="22"/>
          <w:szCs w:val="22"/>
        </w:rPr>
        <w:t xml:space="preserve"> </w:t>
      </w:r>
      <w:r>
        <w:rPr>
          <w:rFonts w:ascii="宋体" w:eastAsia="宋体" w:hAnsi="宋体" w:cs="宋体"/>
          <w:sz w:val="22"/>
          <w:szCs w:val="22"/>
        </w:rPr>
        <w:t>含量为 380mg/100g,</w:t>
      </w:r>
      <w:r>
        <w:rPr>
          <w:rFonts w:ascii="宋体" w:eastAsia="宋体" w:hAnsi="宋体" w:cs="宋体"/>
          <w:spacing w:val="-8"/>
          <w:sz w:val="22"/>
          <w:szCs w:val="22"/>
        </w:rPr>
        <w:t xml:space="preserve"> </w:t>
      </w:r>
      <w:r>
        <w:rPr>
          <w:rFonts w:ascii="宋体" w:eastAsia="宋体" w:hAnsi="宋体" w:cs="宋体"/>
          <w:sz w:val="22"/>
          <w:szCs w:val="22"/>
        </w:rPr>
        <w:t>生菜为315mg/100g,</w:t>
      </w:r>
      <w:r>
        <w:rPr>
          <w:rFonts w:ascii="宋体" w:eastAsia="宋体" w:hAnsi="宋体" w:cs="宋体"/>
          <w:spacing w:val="2"/>
          <w:sz w:val="22"/>
          <w:szCs w:val="22"/>
        </w:rPr>
        <w:t xml:space="preserve"> </w:t>
      </w:r>
      <w:r>
        <w:rPr>
          <w:rFonts w:ascii="宋体" w:eastAsia="宋体" w:hAnsi="宋体" w:cs="宋体"/>
          <w:sz w:val="22"/>
          <w:szCs w:val="22"/>
        </w:rPr>
        <w:t>圆白菜为145mg/100g,</w:t>
      </w:r>
      <w:r>
        <w:rPr>
          <w:rFonts w:ascii="宋体" w:eastAsia="宋体" w:hAnsi="宋体" w:cs="宋体"/>
          <w:spacing w:val="13"/>
          <w:sz w:val="22"/>
          <w:szCs w:val="22"/>
        </w:rPr>
        <w:t xml:space="preserve"> </w:t>
      </w:r>
      <w:r>
        <w:rPr>
          <w:rFonts w:ascii="宋体" w:eastAsia="宋体" w:hAnsi="宋体" w:cs="宋体"/>
          <w:spacing w:val="-1"/>
          <w:sz w:val="22"/>
          <w:szCs w:val="22"/>
        </w:rPr>
        <w:t>黄瓜为20</w:t>
      </w:r>
      <w:r>
        <w:rPr>
          <w:rFonts w:ascii="宋体" w:eastAsia="宋体" w:hAnsi="宋体" w:cs="宋体"/>
          <w:sz w:val="22"/>
          <w:szCs w:val="22"/>
        </w:rPr>
        <w:t>mg</w:t>
      </w:r>
      <w:r>
        <w:rPr>
          <w:rFonts w:ascii="宋体" w:eastAsia="宋体" w:hAnsi="宋体" w:cs="宋体"/>
          <w:spacing w:val="-1"/>
          <w:sz w:val="22"/>
          <w:szCs w:val="22"/>
        </w:rPr>
        <w:t>/100g,</w:t>
      </w:r>
      <w:r>
        <w:rPr>
          <w:rFonts w:ascii="宋体" w:eastAsia="宋体" w:hAnsi="宋体" w:cs="宋体"/>
          <w:sz w:val="22"/>
          <w:szCs w:val="22"/>
        </w:rPr>
        <w:t xml:space="preserve"> </w:t>
      </w:r>
      <w:r>
        <w:rPr>
          <w:rFonts w:ascii="宋体" w:eastAsia="宋体" w:hAnsi="宋体" w:cs="宋体"/>
          <w:spacing w:val="-9"/>
          <w:sz w:val="22"/>
          <w:szCs w:val="22"/>
        </w:rPr>
        <w:t>而马铃薯为1mg/100g。</w:t>
      </w:r>
      <w:r>
        <w:rPr>
          <w:rFonts w:ascii="宋体" w:eastAsia="宋体" w:hAnsi="宋体" w:cs="宋体"/>
          <w:spacing w:val="44"/>
          <w:sz w:val="22"/>
          <w:szCs w:val="22"/>
        </w:rPr>
        <w:t xml:space="preserve"> </w:t>
      </w:r>
      <w:r>
        <w:rPr>
          <w:rFonts w:ascii="宋体" w:eastAsia="宋体" w:hAnsi="宋体" w:cs="宋体"/>
          <w:spacing w:val="-9"/>
          <w:sz w:val="22"/>
          <w:szCs w:val="22"/>
        </w:rPr>
        <w:t>近来认为维生</w:t>
      </w:r>
      <w:r>
        <w:rPr>
          <w:rFonts w:ascii="宋体" w:eastAsia="宋体" w:hAnsi="宋体" w:cs="宋体"/>
          <w:spacing w:val="-10"/>
          <w:sz w:val="22"/>
          <w:szCs w:val="22"/>
        </w:rPr>
        <w:t>素K</w:t>
      </w:r>
      <w:r>
        <w:rPr>
          <w:rFonts w:ascii="宋体" w:eastAsia="宋体" w:hAnsi="宋体" w:cs="宋体"/>
          <w:spacing w:val="-6"/>
          <w:sz w:val="22"/>
          <w:szCs w:val="22"/>
        </w:rPr>
        <w:t xml:space="preserve"> </w:t>
      </w:r>
      <w:r>
        <w:rPr>
          <w:rFonts w:ascii="宋体" w:eastAsia="宋体" w:hAnsi="宋体" w:cs="宋体"/>
          <w:spacing w:val="-10"/>
          <w:sz w:val="22"/>
          <w:szCs w:val="22"/>
        </w:rPr>
        <w:t>不仅具有凝血功能，而且在骨骼生长</w:t>
      </w:r>
      <w:r>
        <w:rPr>
          <w:rFonts w:ascii="宋体" w:eastAsia="宋体" w:hAnsi="宋体" w:cs="宋体"/>
          <w:sz w:val="22"/>
          <w:szCs w:val="22"/>
        </w:rPr>
        <w:t xml:space="preserve"> </w:t>
      </w:r>
      <w:r>
        <w:rPr>
          <w:rFonts w:ascii="宋体" w:eastAsia="宋体" w:hAnsi="宋体" w:cs="宋体"/>
          <w:spacing w:val="-12"/>
          <w:sz w:val="22"/>
          <w:szCs w:val="22"/>
        </w:rPr>
        <w:t>和更新中具有重要的作用。因此每日摄入绿叶蔬菜是维护骨</w:t>
      </w:r>
      <w:r>
        <w:rPr>
          <w:rFonts w:ascii="宋体" w:eastAsia="宋体" w:hAnsi="宋体" w:cs="宋体"/>
          <w:spacing w:val="-13"/>
          <w:sz w:val="22"/>
          <w:szCs w:val="22"/>
        </w:rPr>
        <w:t>骼健康的重要饮食措</w:t>
      </w:r>
      <w:r>
        <w:rPr>
          <w:rFonts w:ascii="宋体" w:eastAsia="宋体" w:hAnsi="宋体" w:cs="宋体"/>
          <w:sz w:val="22"/>
          <w:szCs w:val="22"/>
        </w:rPr>
        <w:t xml:space="preserve"> </w:t>
      </w:r>
      <w:r>
        <w:rPr>
          <w:rFonts w:ascii="宋体" w:eastAsia="宋体" w:hAnsi="宋体" w:cs="宋体"/>
          <w:spacing w:val="-11"/>
          <w:sz w:val="22"/>
          <w:szCs w:val="22"/>
        </w:rPr>
        <w:t>施之一。此外，蔬菜中含有少量维生素E。</w:t>
      </w:r>
    </w:p>
    <w:p w:rsidR="00EA40A3" w:rsidRDefault="00E86C16">
      <w:pPr>
        <w:spacing w:before="78" w:line="243" w:lineRule="auto"/>
        <w:ind w:right="50" w:firstLine="419"/>
        <w:rPr>
          <w:rFonts w:ascii="宋体" w:eastAsia="宋体" w:hAnsi="宋体" w:cs="宋体"/>
          <w:sz w:val="22"/>
          <w:szCs w:val="22"/>
        </w:rPr>
      </w:pPr>
      <w:r>
        <w:rPr>
          <w:rFonts w:ascii="宋体" w:eastAsia="宋体" w:hAnsi="宋体" w:cs="宋体"/>
          <w:spacing w:val="1"/>
          <w:sz w:val="22"/>
          <w:szCs w:val="22"/>
        </w:rPr>
        <w:t>野菜中的维生素含量普遍高于栽培蔬菜。叶用野菜的胡萝卜素含量</w:t>
      </w:r>
      <w:r>
        <w:rPr>
          <w:rFonts w:ascii="宋体" w:eastAsia="宋体" w:hAnsi="宋体" w:cs="宋体"/>
          <w:sz w:val="22"/>
          <w:szCs w:val="22"/>
        </w:rPr>
        <w:t xml:space="preserve">为每 </w:t>
      </w:r>
      <w:r>
        <w:rPr>
          <w:rFonts w:ascii="宋体" w:eastAsia="宋体" w:hAnsi="宋体" w:cs="宋体"/>
          <w:spacing w:val="-5"/>
          <w:sz w:val="22"/>
          <w:szCs w:val="22"/>
        </w:rPr>
        <w:t>100g2.5～12.5mg,</w:t>
      </w:r>
      <w:r>
        <w:rPr>
          <w:rFonts w:ascii="宋体" w:eastAsia="宋体" w:hAnsi="宋体" w:cs="宋体"/>
          <w:spacing w:val="59"/>
          <w:sz w:val="22"/>
          <w:szCs w:val="22"/>
        </w:rPr>
        <w:t xml:space="preserve"> </w:t>
      </w:r>
      <w:r>
        <w:rPr>
          <w:rFonts w:ascii="宋体" w:eastAsia="宋体" w:hAnsi="宋体" w:cs="宋体"/>
          <w:spacing w:val="-5"/>
          <w:sz w:val="22"/>
          <w:szCs w:val="22"/>
        </w:rPr>
        <w:t>维生素C</w:t>
      </w:r>
      <w:r>
        <w:rPr>
          <w:rFonts w:ascii="宋体" w:eastAsia="宋体" w:hAnsi="宋体" w:cs="宋体"/>
          <w:spacing w:val="-23"/>
          <w:sz w:val="22"/>
          <w:szCs w:val="22"/>
        </w:rPr>
        <w:t xml:space="preserve"> </w:t>
      </w:r>
      <w:r>
        <w:rPr>
          <w:rFonts w:ascii="宋体" w:eastAsia="宋体" w:hAnsi="宋体" w:cs="宋体"/>
          <w:spacing w:val="-5"/>
          <w:sz w:val="22"/>
          <w:szCs w:val="22"/>
        </w:rPr>
        <w:t>含量也很高。例如，每100g</w:t>
      </w:r>
      <w:r>
        <w:rPr>
          <w:rFonts w:ascii="宋体" w:eastAsia="宋体" w:hAnsi="宋体" w:cs="宋体"/>
          <w:spacing w:val="-58"/>
          <w:sz w:val="22"/>
          <w:szCs w:val="22"/>
        </w:rPr>
        <w:t xml:space="preserve"> </w:t>
      </w:r>
      <w:r>
        <w:rPr>
          <w:rFonts w:ascii="宋体" w:eastAsia="宋体" w:hAnsi="宋体" w:cs="宋体"/>
          <w:spacing w:val="-5"/>
          <w:sz w:val="22"/>
          <w:szCs w:val="22"/>
        </w:rPr>
        <w:t>野苋菜的胡萝卜素含</w:t>
      </w:r>
      <w:r>
        <w:rPr>
          <w:rFonts w:ascii="宋体" w:eastAsia="宋体" w:hAnsi="宋体" w:cs="宋体"/>
          <w:sz w:val="22"/>
          <w:szCs w:val="22"/>
        </w:rPr>
        <w:t xml:space="preserve"> </w:t>
      </w:r>
      <w:r>
        <w:rPr>
          <w:rFonts w:ascii="宋体" w:eastAsia="宋体" w:hAnsi="宋体" w:cs="宋体"/>
          <w:spacing w:val="-4"/>
          <w:sz w:val="22"/>
          <w:szCs w:val="22"/>
        </w:rPr>
        <w:t>量为7.1mg、</w:t>
      </w:r>
      <w:r>
        <w:rPr>
          <w:rFonts w:ascii="宋体" w:eastAsia="宋体" w:hAnsi="宋体" w:cs="宋体"/>
          <w:sz w:val="22"/>
          <w:szCs w:val="22"/>
        </w:rPr>
        <w:t xml:space="preserve"> </w:t>
      </w:r>
      <w:r>
        <w:rPr>
          <w:rFonts w:ascii="宋体" w:eastAsia="宋体" w:hAnsi="宋体" w:cs="宋体"/>
          <w:spacing w:val="-4"/>
          <w:sz w:val="22"/>
          <w:szCs w:val="22"/>
        </w:rPr>
        <w:t>维生素C</w:t>
      </w:r>
      <w:r>
        <w:rPr>
          <w:rFonts w:ascii="宋体" w:eastAsia="宋体" w:hAnsi="宋体" w:cs="宋体"/>
          <w:spacing w:val="-33"/>
          <w:sz w:val="22"/>
          <w:szCs w:val="22"/>
        </w:rPr>
        <w:t xml:space="preserve"> </w:t>
      </w:r>
      <w:r>
        <w:rPr>
          <w:rFonts w:ascii="宋体" w:eastAsia="宋体" w:hAnsi="宋体" w:cs="宋体"/>
          <w:spacing w:val="-4"/>
          <w:sz w:val="22"/>
          <w:szCs w:val="22"/>
        </w:rPr>
        <w:t>含量为153mg。</w:t>
      </w:r>
    </w:p>
    <w:p w:rsidR="00EA40A3" w:rsidRDefault="00E86C16">
      <w:pPr>
        <w:spacing w:before="68"/>
        <w:ind w:left="139"/>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200</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1040" w:bottom="400" w:left="860" w:header="0" w:footer="0" w:gutter="0"/>
          <w:cols w:space="720"/>
        </w:sectPr>
      </w:pPr>
    </w:p>
    <w:p w:rsidR="00EA40A3" w:rsidRDefault="00EA40A3">
      <w:pPr>
        <w:spacing w:line="323" w:lineRule="auto"/>
      </w:pPr>
    </w:p>
    <w:p w:rsidR="00EA40A3" w:rsidRDefault="00EA40A3">
      <w:pPr>
        <w:spacing w:line="323" w:lineRule="auto"/>
      </w:pPr>
    </w:p>
    <w:p w:rsidR="00EA40A3" w:rsidRDefault="00E86C16">
      <w:pPr>
        <w:spacing w:before="65" w:line="212" w:lineRule="auto"/>
        <w:ind w:left="1532"/>
        <w:rPr>
          <w:rFonts w:ascii="Times New Roman" w:eastAsia="Times New Roman" w:hAnsi="Times New Roman" w:cs="Times New Roman"/>
          <w:sz w:val="20"/>
          <w:szCs w:val="20"/>
        </w:rPr>
      </w:pPr>
      <w:r>
        <w:rPr>
          <w:rFonts w:ascii="仿宋" w:eastAsia="仿宋" w:hAnsi="仿宋" w:cs="仿宋"/>
          <w:b/>
          <w:bCs/>
          <w:spacing w:val="-16"/>
          <w:sz w:val="20"/>
          <w:szCs w:val="20"/>
        </w:rPr>
        <w:t>表6-11</w:t>
      </w:r>
      <w:r>
        <w:rPr>
          <w:rFonts w:ascii="仿宋" w:eastAsia="仿宋" w:hAnsi="仿宋" w:cs="仿宋"/>
          <w:spacing w:val="55"/>
          <w:sz w:val="20"/>
          <w:szCs w:val="20"/>
        </w:rPr>
        <w:t xml:space="preserve"> </w:t>
      </w:r>
      <w:r>
        <w:rPr>
          <w:rFonts w:ascii="仿宋" w:eastAsia="仿宋" w:hAnsi="仿宋" w:cs="仿宋"/>
          <w:b/>
          <w:bCs/>
          <w:spacing w:val="-16"/>
          <w:sz w:val="20"/>
          <w:szCs w:val="20"/>
        </w:rPr>
        <w:t>部分蔬菜中的维生素</w:t>
      </w:r>
      <w:r>
        <w:rPr>
          <w:rFonts w:ascii="Times New Roman" w:eastAsia="Times New Roman" w:hAnsi="Times New Roman" w:cs="Times New Roman"/>
          <w:b/>
          <w:bCs/>
          <w:spacing w:val="-16"/>
          <w:sz w:val="20"/>
          <w:szCs w:val="20"/>
        </w:rPr>
        <w:t>C</w:t>
      </w:r>
      <w:r>
        <w:rPr>
          <w:rFonts w:ascii="Times New Roman" w:eastAsia="Times New Roman" w:hAnsi="Times New Roman" w:cs="Times New Roman"/>
          <w:spacing w:val="-4"/>
          <w:sz w:val="20"/>
          <w:szCs w:val="20"/>
        </w:rPr>
        <w:t xml:space="preserve"> </w:t>
      </w:r>
      <w:r>
        <w:rPr>
          <w:rFonts w:ascii="仿宋" w:eastAsia="仿宋" w:hAnsi="仿宋" w:cs="仿宋"/>
          <w:b/>
          <w:bCs/>
          <w:spacing w:val="-16"/>
          <w:sz w:val="20"/>
          <w:szCs w:val="20"/>
        </w:rPr>
        <w:t>和胡萝卜素含量</w:t>
      </w:r>
      <w:r>
        <w:rPr>
          <w:rFonts w:ascii="仿宋" w:eastAsia="仿宋" w:hAnsi="仿宋" w:cs="仿宋"/>
          <w:spacing w:val="33"/>
          <w:sz w:val="20"/>
          <w:szCs w:val="20"/>
        </w:rPr>
        <w:t xml:space="preserve">  </w:t>
      </w:r>
      <w:r>
        <w:rPr>
          <w:rFonts w:ascii="仿宋" w:eastAsia="仿宋" w:hAnsi="仿宋" w:cs="仿宋"/>
          <w:spacing w:val="-16"/>
          <w:sz w:val="20"/>
          <w:szCs w:val="20"/>
        </w:rPr>
        <w:t>(单位：</w:t>
      </w:r>
      <w:r>
        <w:rPr>
          <w:rFonts w:ascii="仿宋" w:eastAsia="仿宋" w:hAnsi="仿宋" w:cs="仿宋"/>
          <w:spacing w:val="-47"/>
          <w:sz w:val="20"/>
          <w:szCs w:val="20"/>
        </w:rPr>
        <w:t xml:space="preserve"> </w:t>
      </w:r>
      <w:r>
        <w:rPr>
          <w:rFonts w:ascii="Times New Roman" w:eastAsia="Times New Roman" w:hAnsi="Times New Roman" w:cs="Times New Roman"/>
          <w:spacing w:val="-16"/>
          <w:sz w:val="20"/>
          <w:szCs w:val="20"/>
        </w:rPr>
        <w:t>mg</w:t>
      </w:r>
      <w:r>
        <w:rPr>
          <w:rFonts w:ascii="Times New Roman" w:eastAsia="Times New Roman" w:hAnsi="Times New Roman" w:cs="Times New Roman"/>
          <w:spacing w:val="-17"/>
          <w:sz w:val="20"/>
          <w:szCs w:val="20"/>
        </w:rPr>
        <w:t>/100g)</w:t>
      </w:r>
    </w:p>
    <w:p w:rsidR="00EA40A3" w:rsidRDefault="00EA40A3">
      <w:pPr>
        <w:spacing w:line="89" w:lineRule="exact"/>
      </w:pPr>
    </w:p>
    <w:tbl>
      <w:tblPr>
        <w:tblStyle w:val="TableNormal"/>
        <w:tblW w:w="7259" w:type="dxa"/>
        <w:tblInd w:w="7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76"/>
        <w:gridCol w:w="1146"/>
        <w:gridCol w:w="1297"/>
        <w:gridCol w:w="1146"/>
        <w:gridCol w:w="1192"/>
        <w:gridCol w:w="1302"/>
      </w:tblGrid>
      <w:tr w:rsidR="00EA40A3">
        <w:trPr>
          <w:trHeight w:val="273"/>
        </w:trPr>
        <w:tc>
          <w:tcPr>
            <w:tcW w:w="1176" w:type="dxa"/>
            <w:tcBorders>
              <w:top w:val="single" w:sz="4" w:space="0" w:color="000000"/>
              <w:bottom w:val="single" w:sz="4" w:space="0" w:color="000000"/>
            </w:tcBorders>
          </w:tcPr>
          <w:p w:rsidR="00EA40A3" w:rsidRDefault="00E86C16">
            <w:pPr>
              <w:spacing w:before="61" w:line="219" w:lineRule="auto"/>
              <w:ind w:left="309"/>
              <w:rPr>
                <w:rFonts w:ascii="宋体" w:eastAsia="宋体" w:hAnsi="宋体" w:cs="宋体"/>
                <w:sz w:val="16"/>
                <w:szCs w:val="16"/>
              </w:rPr>
            </w:pPr>
            <w:r>
              <w:rPr>
                <w:rFonts w:ascii="宋体" w:eastAsia="宋体" w:hAnsi="宋体" w:cs="宋体"/>
                <w:spacing w:val="-2"/>
                <w:sz w:val="16"/>
                <w:szCs w:val="16"/>
              </w:rPr>
              <w:t>蔬菜名称</w:t>
            </w:r>
          </w:p>
        </w:tc>
        <w:tc>
          <w:tcPr>
            <w:tcW w:w="1146" w:type="dxa"/>
            <w:tcBorders>
              <w:top w:val="single" w:sz="4" w:space="0" w:color="000000"/>
              <w:bottom w:val="single" w:sz="4" w:space="0" w:color="000000"/>
            </w:tcBorders>
          </w:tcPr>
          <w:p w:rsidR="00EA40A3" w:rsidRDefault="00E86C16">
            <w:pPr>
              <w:spacing w:before="51" w:line="219" w:lineRule="auto"/>
              <w:ind w:left="243"/>
              <w:rPr>
                <w:rFonts w:ascii="宋体" w:eastAsia="宋体" w:hAnsi="宋体" w:cs="宋体"/>
                <w:sz w:val="16"/>
                <w:szCs w:val="16"/>
              </w:rPr>
            </w:pPr>
            <w:r>
              <w:rPr>
                <w:rFonts w:ascii="宋体" w:eastAsia="宋体" w:hAnsi="宋体" w:cs="宋体"/>
                <w:spacing w:val="-2"/>
                <w:sz w:val="16"/>
                <w:szCs w:val="16"/>
              </w:rPr>
              <w:t>维生素C</w:t>
            </w:r>
          </w:p>
        </w:tc>
        <w:tc>
          <w:tcPr>
            <w:tcW w:w="1297" w:type="dxa"/>
            <w:tcBorders>
              <w:top w:val="single" w:sz="4" w:space="0" w:color="000000"/>
              <w:bottom w:val="single" w:sz="4" w:space="0" w:color="000000"/>
              <w:right w:val="single" w:sz="4" w:space="0" w:color="000000"/>
            </w:tcBorders>
          </w:tcPr>
          <w:p w:rsidR="00EA40A3" w:rsidRDefault="00E86C16">
            <w:pPr>
              <w:spacing w:before="50" w:line="219" w:lineRule="auto"/>
              <w:ind w:left="358"/>
              <w:rPr>
                <w:rFonts w:ascii="宋体" w:eastAsia="宋体" w:hAnsi="宋体" w:cs="宋体"/>
                <w:sz w:val="16"/>
                <w:szCs w:val="16"/>
              </w:rPr>
            </w:pPr>
            <w:r>
              <w:rPr>
                <w:rFonts w:ascii="宋体" w:eastAsia="宋体" w:hAnsi="宋体" w:cs="宋体"/>
                <w:spacing w:val="-3"/>
                <w:sz w:val="16"/>
                <w:szCs w:val="16"/>
              </w:rPr>
              <w:t>胡萝卜素</w:t>
            </w:r>
          </w:p>
        </w:tc>
        <w:tc>
          <w:tcPr>
            <w:tcW w:w="1146" w:type="dxa"/>
            <w:tcBorders>
              <w:top w:val="single" w:sz="4" w:space="0" w:color="000000"/>
              <w:left w:val="single" w:sz="4" w:space="0" w:color="000000"/>
              <w:bottom w:val="single" w:sz="4" w:space="0" w:color="000000"/>
            </w:tcBorders>
          </w:tcPr>
          <w:p w:rsidR="00EA40A3" w:rsidRDefault="00E86C16">
            <w:pPr>
              <w:spacing w:before="61" w:line="219" w:lineRule="auto"/>
              <w:ind w:left="236"/>
              <w:rPr>
                <w:rFonts w:ascii="宋体" w:eastAsia="宋体" w:hAnsi="宋体" w:cs="宋体"/>
                <w:sz w:val="16"/>
                <w:szCs w:val="16"/>
              </w:rPr>
            </w:pPr>
            <w:r>
              <w:rPr>
                <w:rFonts w:ascii="宋体" w:eastAsia="宋体" w:hAnsi="宋体" w:cs="宋体"/>
                <w:spacing w:val="-2"/>
                <w:sz w:val="16"/>
                <w:szCs w:val="16"/>
              </w:rPr>
              <w:t>蔬菜名称</w:t>
            </w:r>
          </w:p>
        </w:tc>
        <w:tc>
          <w:tcPr>
            <w:tcW w:w="1192" w:type="dxa"/>
            <w:tcBorders>
              <w:top w:val="single" w:sz="4" w:space="0" w:color="000000"/>
              <w:bottom w:val="single" w:sz="4" w:space="0" w:color="000000"/>
            </w:tcBorders>
          </w:tcPr>
          <w:p w:rsidR="00EA40A3" w:rsidRDefault="00E86C16">
            <w:pPr>
              <w:spacing w:before="61" w:line="219" w:lineRule="auto"/>
              <w:ind w:left="284"/>
              <w:rPr>
                <w:rFonts w:ascii="宋体" w:eastAsia="宋体" w:hAnsi="宋体" w:cs="宋体"/>
                <w:sz w:val="16"/>
                <w:szCs w:val="16"/>
              </w:rPr>
            </w:pPr>
            <w:r>
              <w:rPr>
                <w:rFonts w:ascii="宋体" w:eastAsia="宋体" w:hAnsi="宋体" w:cs="宋体"/>
                <w:spacing w:val="-2"/>
                <w:sz w:val="16"/>
                <w:szCs w:val="16"/>
              </w:rPr>
              <w:t>维生素C</w:t>
            </w:r>
          </w:p>
        </w:tc>
        <w:tc>
          <w:tcPr>
            <w:tcW w:w="1302" w:type="dxa"/>
            <w:tcBorders>
              <w:top w:val="single" w:sz="4" w:space="0" w:color="000000"/>
              <w:bottom w:val="single" w:sz="4" w:space="0" w:color="000000"/>
            </w:tcBorders>
          </w:tcPr>
          <w:p w:rsidR="00EA40A3" w:rsidRDefault="00E86C16">
            <w:pPr>
              <w:spacing w:before="60" w:line="219" w:lineRule="auto"/>
              <w:ind w:left="363"/>
              <w:rPr>
                <w:rFonts w:ascii="宋体" w:eastAsia="宋体" w:hAnsi="宋体" w:cs="宋体"/>
                <w:sz w:val="16"/>
                <w:szCs w:val="16"/>
              </w:rPr>
            </w:pPr>
            <w:r>
              <w:rPr>
                <w:rFonts w:ascii="宋体" w:eastAsia="宋体" w:hAnsi="宋体" w:cs="宋体"/>
                <w:spacing w:val="-3"/>
                <w:sz w:val="16"/>
                <w:szCs w:val="16"/>
              </w:rPr>
              <w:t>胡萝卜素</w:t>
            </w:r>
          </w:p>
        </w:tc>
      </w:tr>
      <w:tr w:rsidR="00EA40A3">
        <w:trPr>
          <w:trHeight w:val="268"/>
        </w:trPr>
        <w:tc>
          <w:tcPr>
            <w:tcW w:w="1176" w:type="dxa"/>
            <w:tcBorders>
              <w:top w:val="single" w:sz="4" w:space="0" w:color="000000"/>
            </w:tcBorders>
          </w:tcPr>
          <w:p w:rsidR="00EA40A3" w:rsidRDefault="00E86C16">
            <w:pPr>
              <w:spacing w:before="57" w:line="219" w:lineRule="auto"/>
              <w:ind w:left="309"/>
              <w:rPr>
                <w:rFonts w:ascii="宋体" w:eastAsia="宋体" w:hAnsi="宋体" w:cs="宋体"/>
                <w:sz w:val="16"/>
                <w:szCs w:val="16"/>
              </w:rPr>
            </w:pPr>
            <w:r>
              <w:rPr>
                <w:rFonts w:ascii="宋体" w:eastAsia="宋体" w:hAnsi="宋体" w:cs="宋体"/>
                <w:spacing w:val="9"/>
                <w:sz w:val="16"/>
                <w:szCs w:val="16"/>
              </w:rPr>
              <w:t>胡萝卜</w:t>
            </w:r>
          </w:p>
        </w:tc>
        <w:tc>
          <w:tcPr>
            <w:tcW w:w="1146" w:type="dxa"/>
            <w:tcBorders>
              <w:top w:val="single" w:sz="4" w:space="0" w:color="000000"/>
            </w:tcBorders>
          </w:tcPr>
          <w:p w:rsidR="00EA40A3" w:rsidRDefault="00E86C16">
            <w:pPr>
              <w:spacing w:before="89" w:line="184" w:lineRule="auto"/>
              <w:ind w:left="493"/>
              <w:rPr>
                <w:rFonts w:ascii="宋体" w:eastAsia="宋体" w:hAnsi="宋体" w:cs="宋体"/>
                <w:sz w:val="16"/>
                <w:szCs w:val="16"/>
              </w:rPr>
            </w:pPr>
            <w:r>
              <w:rPr>
                <w:rFonts w:ascii="宋体" w:eastAsia="宋体" w:hAnsi="宋体" w:cs="宋体"/>
                <w:spacing w:val="-5"/>
                <w:sz w:val="16"/>
                <w:szCs w:val="16"/>
              </w:rPr>
              <w:t>13</w:t>
            </w:r>
          </w:p>
        </w:tc>
        <w:tc>
          <w:tcPr>
            <w:tcW w:w="1297" w:type="dxa"/>
            <w:tcBorders>
              <w:top w:val="single" w:sz="4" w:space="0" w:color="000000"/>
              <w:right w:val="single" w:sz="4" w:space="0" w:color="000000"/>
            </w:tcBorders>
          </w:tcPr>
          <w:p w:rsidR="00EA40A3" w:rsidRDefault="00E86C16">
            <w:pPr>
              <w:spacing w:before="109" w:line="183" w:lineRule="auto"/>
              <w:ind w:left="508"/>
              <w:rPr>
                <w:rFonts w:ascii="宋体" w:eastAsia="宋体" w:hAnsi="宋体" w:cs="宋体"/>
                <w:sz w:val="16"/>
                <w:szCs w:val="16"/>
              </w:rPr>
            </w:pPr>
            <w:r>
              <w:rPr>
                <w:rFonts w:ascii="宋体" w:eastAsia="宋体" w:hAnsi="宋体" w:cs="宋体"/>
                <w:spacing w:val="-2"/>
                <w:sz w:val="16"/>
                <w:szCs w:val="16"/>
              </w:rPr>
              <w:t>4.13</w:t>
            </w:r>
          </w:p>
        </w:tc>
        <w:tc>
          <w:tcPr>
            <w:tcW w:w="1146" w:type="dxa"/>
            <w:tcBorders>
              <w:top w:val="single" w:sz="4" w:space="0" w:color="000000"/>
              <w:left w:val="single" w:sz="4" w:space="0" w:color="000000"/>
            </w:tcBorders>
          </w:tcPr>
          <w:p w:rsidR="00EA40A3" w:rsidRDefault="00E86C16">
            <w:pPr>
              <w:spacing w:before="48" w:line="219" w:lineRule="auto"/>
              <w:ind w:left="365"/>
              <w:rPr>
                <w:rFonts w:ascii="宋体" w:eastAsia="宋体" w:hAnsi="宋体" w:cs="宋体"/>
                <w:sz w:val="16"/>
                <w:szCs w:val="16"/>
              </w:rPr>
            </w:pPr>
            <w:r>
              <w:rPr>
                <w:rFonts w:ascii="宋体" w:eastAsia="宋体" w:hAnsi="宋体" w:cs="宋体"/>
                <w:spacing w:val="-3"/>
                <w:sz w:val="16"/>
                <w:szCs w:val="16"/>
              </w:rPr>
              <w:t>菠菜</w:t>
            </w:r>
          </w:p>
        </w:tc>
        <w:tc>
          <w:tcPr>
            <w:tcW w:w="1192" w:type="dxa"/>
            <w:tcBorders>
              <w:top w:val="single" w:sz="4" w:space="0" w:color="000000"/>
            </w:tcBorders>
          </w:tcPr>
          <w:p w:rsidR="00EA40A3" w:rsidRDefault="00E86C16">
            <w:pPr>
              <w:spacing w:before="99" w:line="183" w:lineRule="auto"/>
              <w:ind w:left="505"/>
              <w:rPr>
                <w:rFonts w:ascii="宋体" w:eastAsia="宋体" w:hAnsi="宋体" w:cs="宋体"/>
                <w:sz w:val="16"/>
                <w:szCs w:val="16"/>
              </w:rPr>
            </w:pPr>
            <w:r>
              <w:rPr>
                <w:rFonts w:ascii="宋体" w:eastAsia="宋体" w:hAnsi="宋体" w:cs="宋体"/>
                <w:spacing w:val="-3"/>
                <w:sz w:val="16"/>
                <w:szCs w:val="16"/>
              </w:rPr>
              <w:t>32</w:t>
            </w:r>
          </w:p>
        </w:tc>
        <w:tc>
          <w:tcPr>
            <w:tcW w:w="1302" w:type="dxa"/>
            <w:tcBorders>
              <w:top w:val="single" w:sz="4" w:space="0" w:color="000000"/>
            </w:tcBorders>
          </w:tcPr>
          <w:p w:rsidR="00EA40A3" w:rsidRDefault="00E86C16">
            <w:pPr>
              <w:spacing w:before="110" w:line="182" w:lineRule="auto"/>
              <w:ind w:left="503"/>
              <w:rPr>
                <w:rFonts w:ascii="宋体" w:eastAsia="宋体" w:hAnsi="宋体" w:cs="宋体"/>
                <w:sz w:val="16"/>
                <w:szCs w:val="16"/>
              </w:rPr>
            </w:pPr>
            <w:r>
              <w:rPr>
                <w:rFonts w:ascii="宋体" w:eastAsia="宋体" w:hAnsi="宋体" w:cs="宋体"/>
                <w:spacing w:val="-2"/>
                <w:sz w:val="16"/>
                <w:szCs w:val="16"/>
              </w:rPr>
              <w:t>2.92</w:t>
            </w:r>
          </w:p>
        </w:tc>
      </w:tr>
      <w:tr w:rsidR="00EA40A3">
        <w:trPr>
          <w:trHeight w:val="283"/>
        </w:trPr>
        <w:tc>
          <w:tcPr>
            <w:tcW w:w="1176" w:type="dxa"/>
          </w:tcPr>
          <w:p w:rsidR="00EA40A3" w:rsidRDefault="00E86C16">
            <w:pPr>
              <w:spacing w:before="60" w:line="219" w:lineRule="auto"/>
              <w:ind w:left="309"/>
              <w:rPr>
                <w:rFonts w:ascii="宋体" w:eastAsia="宋体" w:hAnsi="宋体" w:cs="宋体"/>
                <w:sz w:val="16"/>
                <w:szCs w:val="16"/>
              </w:rPr>
            </w:pPr>
            <w:r>
              <w:rPr>
                <w:rFonts w:ascii="宋体" w:eastAsia="宋体" w:hAnsi="宋体" w:cs="宋体"/>
                <w:spacing w:val="-2"/>
                <w:sz w:val="16"/>
                <w:szCs w:val="16"/>
              </w:rPr>
              <w:t>小红辣椒</w:t>
            </w:r>
          </w:p>
        </w:tc>
        <w:tc>
          <w:tcPr>
            <w:tcW w:w="1146" w:type="dxa"/>
          </w:tcPr>
          <w:p w:rsidR="00EA40A3" w:rsidRDefault="00E86C16">
            <w:pPr>
              <w:spacing w:before="100" w:line="184" w:lineRule="auto"/>
              <w:ind w:left="444"/>
              <w:rPr>
                <w:rFonts w:ascii="宋体" w:eastAsia="宋体" w:hAnsi="宋体" w:cs="宋体"/>
                <w:sz w:val="16"/>
                <w:szCs w:val="16"/>
              </w:rPr>
            </w:pPr>
            <w:r>
              <w:rPr>
                <w:rFonts w:ascii="宋体" w:eastAsia="宋体" w:hAnsi="宋体" w:cs="宋体"/>
                <w:spacing w:val="-5"/>
                <w:sz w:val="16"/>
                <w:szCs w:val="16"/>
              </w:rPr>
              <w:t>144</w:t>
            </w:r>
          </w:p>
        </w:tc>
        <w:tc>
          <w:tcPr>
            <w:tcW w:w="1297" w:type="dxa"/>
            <w:tcBorders>
              <w:right w:val="single" w:sz="4" w:space="0" w:color="000000"/>
            </w:tcBorders>
          </w:tcPr>
          <w:p w:rsidR="00EA40A3" w:rsidRDefault="00E86C16">
            <w:pPr>
              <w:spacing w:before="111" w:line="184" w:lineRule="auto"/>
              <w:ind w:left="528"/>
              <w:rPr>
                <w:rFonts w:ascii="宋体" w:eastAsia="宋体" w:hAnsi="宋体" w:cs="宋体"/>
                <w:sz w:val="16"/>
                <w:szCs w:val="16"/>
              </w:rPr>
            </w:pPr>
            <w:r>
              <w:rPr>
                <w:rFonts w:ascii="宋体" w:eastAsia="宋体" w:hAnsi="宋体" w:cs="宋体"/>
                <w:spacing w:val="-4"/>
                <w:sz w:val="16"/>
                <w:szCs w:val="16"/>
              </w:rPr>
              <w:t>1.39</w:t>
            </w:r>
          </w:p>
        </w:tc>
        <w:tc>
          <w:tcPr>
            <w:tcW w:w="1146" w:type="dxa"/>
            <w:tcBorders>
              <w:left w:val="single" w:sz="4" w:space="0" w:color="000000"/>
            </w:tcBorders>
          </w:tcPr>
          <w:p w:rsidR="00EA40A3" w:rsidRDefault="00E86C16">
            <w:pPr>
              <w:spacing w:before="50" w:line="219" w:lineRule="auto"/>
              <w:ind w:left="365"/>
              <w:rPr>
                <w:rFonts w:ascii="宋体" w:eastAsia="宋体" w:hAnsi="宋体" w:cs="宋体"/>
                <w:sz w:val="16"/>
                <w:szCs w:val="16"/>
              </w:rPr>
            </w:pPr>
            <w:r>
              <w:rPr>
                <w:rFonts w:ascii="宋体" w:eastAsia="宋体" w:hAnsi="宋体" w:cs="宋体"/>
                <w:spacing w:val="-2"/>
                <w:sz w:val="16"/>
                <w:szCs w:val="16"/>
              </w:rPr>
              <w:t>绿苋菜</w:t>
            </w:r>
          </w:p>
        </w:tc>
        <w:tc>
          <w:tcPr>
            <w:tcW w:w="1192" w:type="dxa"/>
          </w:tcPr>
          <w:p w:rsidR="00EA40A3" w:rsidRDefault="00E86C16">
            <w:pPr>
              <w:spacing w:before="101" w:line="183" w:lineRule="auto"/>
              <w:ind w:left="505"/>
              <w:rPr>
                <w:rFonts w:ascii="宋体" w:eastAsia="宋体" w:hAnsi="宋体" w:cs="宋体"/>
                <w:sz w:val="16"/>
                <w:szCs w:val="16"/>
              </w:rPr>
            </w:pPr>
            <w:r>
              <w:rPr>
                <w:rFonts w:ascii="宋体" w:eastAsia="宋体" w:hAnsi="宋体" w:cs="宋体"/>
                <w:spacing w:val="-2"/>
                <w:sz w:val="16"/>
                <w:szCs w:val="16"/>
              </w:rPr>
              <w:t>47</w:t>
            </w:r>
          </w:p>
        </w:tc>
        <w:tc>
          <w:tcPr>
            <w:tcW w:w="1302" w:type="dxa"/>
          </w:tcPr>
          <w:p w:rsidR="00EA40A3" w:rsidRDefault="00E86C16">
            <w:pPr>
              <w:spacing w:before="131" w:line="175" w:lineRule="auto"/>
              <w:ind w:left="522"/>
              <w:rPr>
                <w:rFonts w:ascii="宋体" w:eastAsia="宋体" w:hAnsi="宋体" w:cs="宋体"/>
                <w:sz w:val="16"/>
                <w:szCs w:val="16"/>
              </w:rPr>
            </w:pPr>
            <w:r>
              <w:rPr>
                <w:rFonts w:ascii="宋体" w:eastAsia="宋体" w:hAnsi="宋体" w:cs="宋体"/>
                <w:spacing w:val="-2"/>
                <w:sz w:val="16"/>
                <w:szCs w:val="16"/>
              </w:rPr>
              <w:t>2.11</w:t>
            </w:r>
          </w:p>
        </w:tc>
      </w:tr>
      <w:tr w:rsidR="00EA40A3">
        <w:trPr>
          <w:trHeight w:val="274"/>
        </w:trPr>
        <w:tc>
          <w:tcPr>
            <w:tcW w:w="1176" w:type="dxa"/>
          </w:tcPr>
          <w:p w:rsidR="00EA40A3" w:rsidRDefault="00E86C16">
            <w:pPr>
              <w:spacing w:before="47" w:line="219" w:lineRule="auto"/>
              <w:ind w:left="309"/>
              <w:rPr>
                <w:rFonts w:ascii="宋体" w:eastAsia="宋体" w:hAnsi="宋体" w:cs="宋体"/>
                <w:sz w:val="16"/>
                <w:szCs w:val="16"/>
              </w:rPr>
            </w:pPr>
            <w:r>
              <w:rPr>
                <w:rFonts w:ascii="宋体" w:eastAsia="宋体" w:hAnsi="宋体" w:cs="宋体"/>
                <w:spacing w:val="-2"/>
                <w:sz w:val="16"/>
                <w:szCs w:val="16"/>
              </w:rPr>
              <w:t>绿菜花</w:t>
            </w:r>
          </w:p>
        </w:tc>
        <w:tc>
          <w:tcPr>
            <w:tcW w:w="1146" w:type="dxa"/>
          </w:tcPr>
          <w:p w:rsidR="00EA40A3" w:rsidRDefault="00E86C16">
            <w:pPr>
              <w:spacing w:before="87" w:line="184" w:lineRule="auto"/>
              <w:ind w:left="483"/>
              <w:rPr>
                <w:rFonts w:ascii="宋体" w:eastAsia="宋体" w:hAnsi="宋体" w:cs="宋体"/>
                <w:sz w:val="16"/>
                <w:szCs w:val="16"/>
              </w:rPr>
            </w:pPr>
            <w:r>
              <w:rPr>
                <w:rFonts w:ascii="宋体" w:eastAsia="宋体" w:hAnsi="宋体" w:cs="宋体"/>
                <w:spacing w:val="-3"/>
                <w:sz w:val="16"/>
                <w:szCs w:val="16"/>
              </w:rPr>
              <w:t>51</w:t>
            </w:r>
          </w:p>
        </w:tc>
        <w:tc>
          <w:tcPr>
            <w:tcW w:w="1297" w:type="dxa"/>
            <w:tcBorders>
              <w:right w:val="single" w:sz="4" w:space="0" w:color="000000"/>
            </w:tcBorders>
          </w:tcPr>
          <w:p w:rsidR="00EA40A3" w:rsidRDefault="00E86C16">
            <w:pPr>
              <w:spacing w:before="88" w:line="184" w:lineRule="auto"/>
              <w:ind w:left="518"/>
              <w:rPr>
                <w:rFonts w:ascii="宋体" w:eastAsia="宋体" w:hAnsi="宋体" w:cs="宋体"/>
                <w:sz w:val="16"/>
                <w:szCs w:val="16"/>
              </w:rPr>
            </w:pPr>
            <w:r>
              <w:rPr>
                <w:rFonts w:ascii="宋体" w:eastAsia="宋体" w:hAnsi="宋体" w:cs="宋体"/>
                <w:spacing w:val="-2"/>
                <w:sz w:val="16"/>
                <w:szCs w:val="16"/>
              </w:rPr>
              <w:t>7.21</w:t>
            </w:r>
          </w:p>
        </w:tc>
        <w:tc>
          <w:tcPr>
            <w:tcW w:w="1146" w:type="dxa"/>
            <w:tcBorders>
              <w:left w:val="single" w:sz="4" w:space="0" w:color="000000"/>
            </w:tcBorders>
          </w:tcPr>
          <w:p w:rsidR="00EA40A3" w:rsidRDefault="00E86C16">
            <w:pPr>
              <w:spacing w:before="46" w:line="219" w:lineRule="auto"/>
              <w:ind w:left="365"/>
              <w:rPr>
                <w:rFonts w:ascii="宋体" w:eastAsia="宋体" w:hAnsi="宋体" w:cs="宋体"/>
                <w:sz w:val="16"/>
                <w:szCs w:val="16"/>
              </w:rPr>
            </w:pPr>
            <w:r>
              <w:rPr>
                <w:rFonts w:ascii="宋体" w:eastAsia="宋体" w:hAnsi="宋体" w:cs="宋体"/>
                <w:spacing w:val="-3"/>
                <w:sz w:val="16"/>
                <w:szCs w:val="16"/>
              </w:rPr>
              <w:t>芥蓝</w:t>
            </w:r>
          </w:p>
        </w:tc>
        <w:tc>
          <w:tcPr>
            <w:tcW w:w="1192" w:type="dxa"/>
          </w:tcPr>
          <w:p w:rsidR="00EA40A3" w:rsidRDefault="00E86C16">
            <w:pPr>
              <w:spacing w:before="98" w:line="183" w:lineRule="auto"/>
              <w:ind w:left="524"/>
              <w:rPr>
                <w:rFonts w:ascii="宋体" w:eastAsia="宋体" w:hAnsi="宋体" w:cs="宋体"/>
                <w:sz w:val="16"/>
                <w:szCs w:val="16"/>
              </w:rPr>
            </w:pPr>
            <w:r>
              <w:rPr>
                <w:rFonts w:ascii="宋体" w:eastAsia="宋体" w:hAnsi="宋体" w:cs="宋体"/>
                <w:spacing w:val="-3"/>
                <w:sz w:val="16"/>
                <w:szCs w:val="16"/>
              </w:rPr>
              <w:t>76</w:t>
            </w:r>
          </w:p>
        </w:tc>
        <w:tc>
          <w:tcPr>
            <w:tcW w:w="1302" w:type="dxa"/>
          </w:tcPr>
          <w:p w:rsidR="00EA40A3" w:rsidRDefault="00E86C16">
            <w:pPr>
              <w:spacing w:before="129" w:line="167" w:lineRule="auto"/>
              <w:ind w:left="513"/>
              <w:rPr>
                <w:rFonts w:ascii="宋体" w:eastAsia="宋体" w:hAnsi="宋体" w:cs="宋体"/>
                <w:sz w:val="16"/>
                <w:szCs w:val="16"/>
              </w:rPr>
            </w:pPr>
            <w:r>
              <w:rPr>
                <w:rFonts w:ascii="宋体" w:eastAsia="宋体" w:hAnsi="宋体" w:cs="宋体"/>
                <w:spacing w:val="-2"/>
                <w:sz w:val="16"/>
                <w:szCs w:val="16"/>
              </w:rPr>
              <w:t>3.45</w:t>
            </w:r>
          </w:p>
        </w:tc>
      </w:tr>
      <w:tr w:rsidR="00EA40A3">
        <w:trPr>
          <w:trHeight w:val="273"/>
        </w:trPr>
        <w:tc>
          <w:tcPr>
            <w:tcW w:w="1176" w:type="dxa"/>
          </w:tcPr>
          <w:p w:rsidR="00EA40A3" w:rsidRDefault="00E86C16">
            <w:pPr>
              <w:spacing w:before="43" w:line="219" w:lineRule="auto"/>
              <w:ind w:left="309"/>
              <w:rPr>
                <w:rFonts w:ascii="宋体" w:eastAsia="宋体" w:hAnsi="宋体" w:cs="宋体"/>
                <w:sz w:val="16"/>
                <w:szCs w:val="16"/>
              </w:rPr>
            </w:pPr>
            <w:r>
              <w:rPr>
                <w:rFonts w:ascii="宋体" w:eastAsia="宋体" w:hAnsi="宋体" w:cs="宋体"/>
                <w:spacing w:val="2"/>
                <w:sz w:val="16"/>
                <w:szCs w:val="16"/>
              </w:rPr>
              <w:t>白菜花</w:t>
            </w:r>
          </w:p>
        </w:tc>
        <w:tc>
          <w:tcPr>
            <w:tcW w:w="1146" w:type="dxa"/>
          </w:tcPr>
          <w:p w:rsidR="00EA40A3" w:rsidRDefault="00E86C16">
            <w:pPr>
              <w:spacing w:before="94" w:line="184" w:lineRule="auto"/>
              <w:ind w:left="483"/>
              <w:rPr>
                <w:rFonts w:ascii="宋体" w:eastAsia="宋体" w:hAnsi="宋体" w:cs="宋体"/>
                <w:sz w:val="16"/>
                <w:szCs w:val="16"/>
              </w:rPr>
            </w:pPr>
            <w:r>
              <w:rPr>
                <w:rFonts w:ascii="宋体" w:eastAsia="宋体" w:hAnsi="宋体" w:cs="宋体"/>
                <w:spacing w:val="-2"/>
                <w:sz w:val="16"/>
                <w:szCs w:val="16"/>
              </w:rPr>
              <w:t>61</w:t>
            </w:r>
          </w:p>
        </w:tc>
        <w:tc>
          <w:tcPr>
            <w:tcW w:w="1297" w:type="dxa"/>
            <w:tcBorders>
              <w:right w:val="single" w:sz="4" w:space="0" w:color="000000"/>
            </w:tcBorders>
          </w:tcPr>
          <w:p w:rsidR="00EA40A3" w:rsidRDefault="00E86C16">
            <w:pPr>
              <w:spacing w:before="104" w:line="183" w:lineRule="auto"/>
              <w:ind w:left="518"/>
              <w:rPr>
                <w:rFonts w:ascii="宋体" w:eastAsia="宋体" w:hAnsi="宋体" w:cs="宋体"/>
                <w:sz w:val="16"/>
                <w:szCs w:val="16"/>
              </w:rPr>
            </w:pPr>
            <w:r>
              <w:rPr>
                <w:rFonts w:ascii="宋体" w:eastAsia="宋体" w:hAnsi="宋体" w:cs="宋体"/>
                <w:spacing w:val="-2"/>
                <w:sz w:val="16"/>
                <w:szCs w:val="16"/>
              </w:rPr>
              <w:t>0.03</w:t>
            </w:r>
          </w:p>
        </w:tc>
        <w:tc>
          <w:tcPr>
            <w:tcW w:w="1146" w:type="dxa"/>
            <w:tcBorders>
              <w:left w:val="single" w:sz="4" w:space="0" w:color="000000"/>
            </w:tcBorders>
          </w:tcPr>
          <w:p w:rsidR="00EA40A3" w:rsidRDefault="00E86C16">
            <w:pPr>
              <w:spacing w:before="43" w:line="219" w:lineRule="auto"/>
              <w:ind w:left="365"/>
              <w:rPr>
                <w:rFonts w:ascii="宋体" w:eastAsia="宋体" w:hAnsi="宋体" w:cs="宋体"/>
                <w:sz w:val="16"/>
                <w:szCs w:val="16"/>
              </w:rPr>
            </w:pPr>
            <w:r>
              <w:rPr>
                <w:rFonts w:ascii="宋体" w:eastAsia="宋体" w:hAnsi="宋体" w:cs="宋体"/>
                <w:spacing w:val="-3"/>
                <w:sz w:val="16"/>
                <w:szCs w:val="16"/>
              </w:rPr>
              <w:t>小白菜</w:t>
            </w:r>
          </w:p>
        </w:tc>
        <w:tc>
          <w:tcPr>
            <w:tcW w:w="1192" w:type="dxa"/>
          </w:tcPr>
          <w:p w:rsidR="00EA40A3" w:rsidRDefault="00E86C16">
            <w:pPr>
              <w:spacing w:before="104" w:line="183" w:lineRule="auto"/>
              <w:ind w:left="505"/>
              <w:rPr>
                <w:rFonts w:ascii="宋体" w:eastAsia="宋体" w:hAnsi="宋体" w:cs="宋体"/>
                <w:sz w:val="16"/>
                <w:szCs w:val="16"/>
              </w:rPr>
            </w:pPr>
            <w:r>
              <w:rPr>
                <w:rFonts w:ascii="宋体" w:eastAsia="宋体" w:hAnsi="宋体" w:cs="宋体"/>
                <w:spacing w:val="-3"/>
                <w:sz w:val="16"/>
                <w:szCs w:val="16"/>
              </w:rPr>
              <w:t>28</w:t>
            </w:r>
          </w:p>
        </w:tc>
        <w:tc>
          <w:tcPr>
            <w:tcW w:w="1302" w:type="dxa"/>
          </w:tcPr>
          <w:p w:rsidR="00EA40A3" w:rsidRDefault="00E86C16">
            <w:pPr>
              <w:spacing w:before="123" w:line="172" w:lineRule="auto"/>
              <w:ind w:left="532"/>
              <w:rPr>
                <w:rFonts w:ascii="宋体" w:eastAsia="宋体" w:hAnsi="宋体" w:cs="宋体"/>
                <w:sz w:val="16"/>
                <w:szCs w:val="16"/>
              </w:rPr>
            </w:pPr>
            <w:r>
              <w:rPr>
                <w:rFonts w:ascii="宋体" w:eastAsia="宋体" w:hAnsi="宋体" w:cs="宋体"/>
                <w:spacing w:val="-4"/>
                <w:sz w:val="16"/>
                <w:szCs w:val="16"/>
              </w:rPr>
              <w:t>1.68</w:t>
            </w:r>
          </w:p>
        </w:tc>
      </w:tr>
      <w:tr w:rsidR="00EA40A3">
        <w:trPr>
          <w:trHeight w:val="259"/>
        </w:trPr>
        <w:tc>
          <w:tcPr>
            <w:tcW w:w="1176" w:type="dxa"/>
            <w:tcBorders>
              <w:bottom w:val="single" w:sz="4" w:space="0" w:color="000000"/>
            </w:tcBorders>
          </w:tcPr>
          <w:p w:rsidR="00EA40A3" w:rsidRDefault="00E86C16">
            <w:pPr>
              <w:spacing w:before="52" w:line="221" w:lineRule="auto"/>
              <w:ind w:left="309"/>
              <w:rPr>
                <w:rFonts w:ascii="宋体" w:eastAsia="宋体" w:hAnsi="宋体" w:cs="宋体"/>
                <w:sz w:val="16"/>
                <w:szCs w:val="16"/>
              </w:rPr>
            </w:pPr>
            <w:r>
              <w:rPr>
                <w:rFonts w:ascii="宋体" w:eastAsia="宋体" w:hAnsi="宋体" w:cs="宋体"/>
                <w:spacing w:val="-2"/>
                <w:sz w:val="16"/>
                <w:szCs w:val="16"/>
              </w:rPr>
              <w:t>番茄</w:t>
            </w:r>
          </w:p>
        </w:tc>
        <w:tc>
          <w:tcPr>
            <w:tcW w:w="1146" w:type="dxa"/>
            <w:tcBorders>
              <w:bottom w:val="single" w:sz="4" w:space="0" w:color="000000"/>
            </w:tcBorders>
          </w:tcPr>
          <w:p w:rsidR="00EA40A3" w:rsidRDefault="00E86C16">
            <w:pPr>
              <w:spacing w:before="101" w:line="182" w:lineRule="auto"/>
              <w:ind w:left="493"/>
              <w:rPr>
                <w:rFonts w:ascii="宋体" w:eastAsia="宋体" w:hAnsi="宋体" w:cs="宋体"/>
                <w:sz w:val="16"/>
                <w:szCs w:val="16"/>
              </w:rPr>
            </w:pPr>
            <w:r>
              <w:rPr>
                <w:rFonts w:ascii="宋体" w:eastAsia="宋体" w:hAnsi="宋体" w:cs="宋体"/>
                <w:spacing w:val="-5"/>
                <w:sz w:val="16"/>
                <w:szCs w:val="16"/>
              </w:rPr>
              <w:t>19</w:t>
            </w:r>
          </w:p>
        </w:tc>
        <w:tc>
          <w:tcPr>
            <w:tcW w:w="1297" w:type="dxa"/>
            <w:tcBorders>
              <w:bottom w:val="single" w:sz="4" w:space="0" w:color="000000"/>
              <w:right w:val="single" w:sz="4" w:space="0" w:color="000000"/>
            </w:tcBorders>
          </w:tcPr>
          <w:p w:rsidR="00EA40A3" w:rsidRDefault="00E86C16">
            <w:pPr>
              <w:spacing w:before="111" w:line="170" w:lineRule="auto"/>
              <w:ind w:left="508"/>
              <w:rPr>
                <w:rFonts w:ascii="宋体" w:eastAsia="宋体" w:hAnsi="宋体" w:cs="宋体"/>
                <w:sz w:val="16"/>
                <w:szCs w:val="16"/>
              </w:rPr>
            </w:pPr>
            <w:r>
              <w:rPr>
                <w:rFonts w:ascii="宋体" w:eastAsia="宋体" w:hAnsi="宋体" w:cs="宋体"/>
                <w:spacing w:val="-2"/>
                <w:sz w:val="16"/>
                <w:szCs w:val="16"/>
              </w:rPr>
              <w:t>0.55</w:t>
            </w:r>
          </w:p>
        </w:tc>
        <w:tc>
          <w:tcPr>
            <w:tcW w:w="1146" w:type="dxa"/>
            <w:tcBorders>
              <w:left w:val="single" w:sz="4" w:space="0" w:color="000000"/>
              <w:bottom w:val="single" w:sz="4" w:space="0" w:color="000000"/>
            </w:tcBorders>
          </w:tcPr>
          <w:p w:rsidR="00EA40A3" w:rsidRDefault="00E86C16">
            <w:pPr>
              <w:spacing w:before="50" w:line="219" w:lineRule="auto"/>
              <w:ind w:left="365"/>
              <w:rPr>
                <w:rFonts w:ascii="宋体" w:eastAsia="宋体" w:hAnsi="宋体" w:cs="宋体"/>
                <w:sz w:val="16"/>
                <w:szCs w:val="16"/>
              </w:rPr>
            </w:pPr>
            <w:r>
              <w:rPr>
                <w:rFonts w:ascii="宋体" w:eastAsia="宋体" w:hAnsi="宋体" w:cs="宋体"/>
                <w:spacing w:val="-2"/>
                <w:sz w:val="16"/>
                <w:szCs w:val="16"/>
              </w:rPr>
              <w:t>黄瓜</w:t>
            </w:r>
          </w:p>
        </w:tc>
        <w:tc>
          <w:tcPr>
            <w:tcW w:w="1192" w:type="dxa"/>
            <w:tcBorders>
              <w:bottom w:val="single" w:sz="4" w:space="0" w:color="000000"/>
            </w:tcBorders>
          </w:tcPr>
          <w:p w:rsidR="00EA40A3" w:rsidRDefault="00E86C16">
            <w:pPr>
              <w:spacing w:before="111" w:line="170" w:lineRule="auto"/>
              <w:ind w:left="534"/>
              <w:rPr>
                <w:rFonts w:ascii="宋体" w:eastAsia="宋体" w:hAnsi="宋体" w:cs="宋体"/>
                <w:sz w:val="16"/>
                <w:szCs w:val="16"/>
              </w:rPr>
            </w:pPr>
            <w:r>
              <w:rPr>
                <w:rFonts w:ascii="宋体" w:eastAsia="宋体" w:hAnsi="宋体" w:cs="宋体"/>
                <w:sz w:val="16"/>
                <w:szCs w:val="16"/>
              </w:rPr>
              <w:t>9</w:t>
            </w:r>
          </w:p>
        </w:tc>
        <w:tc>
          <w:tcPr>
            <w:tcW w:w="1302" w:type="dxa"/>
            <w:tcBorders>
              <w:bottom w:val="single" w:sz="4" w:space="0" w:color="000000"/>
            </w:tcBorders>
          </w:tcPr>
          <w:p w:rsidR="00EA40A3" w:rsidRDefault="00E86C16">
            <w:pPr>
              <w:spacing w:before="141" w:line="118" w:lineRule="exact"/>
              <w:ind w:left="513"/>
              <w:rPr>
                <w:rFonts w:ascii="宋体" w:eastAsia="宋体" w:hAnsi="宋体" w:cs="宋体"/>
                <w:sz w:val="16"/>
                <w:szCs w:val="16"/>
              </w:rPr>
            </w:pPr>
            <w:r>
              <w:rPr>
                <w:rFonts w:ascii="宋体" w:eastAsia="宋体" w:hAnsi="宋体" w:cs="宋体"/>
                <w:spacing w:val="-2"/>
                <w:position w:val="-2"/>
                <w:sz w:val="16"/>
                <w:szCs w:val="16"/>
              </w:rPr>
              <w:t>0.09</w:t>
            </w:r>
          </w:p>
        </w:tc>
      </w:tr>
    </w:tbl>
    <w:p w:rsidR="00EA40A3" w:rsidRDefault="00E86C16">
      <w:pPr>
        <w:spacing w:before="130" w:line="257" w:lineRule="auto"/>
        <w:ind w:left="369" w:right="30" w:hanging="9"/>
        <w:rPr>
          <w:rFonts w:ascii="宋体" w:eastAsia="宋体" w:hAnsi="宋体" w:cs="宋体"/>
          <w:sz w:val="17"/>
          <w:szCs w:val="17"/>
        </w:rPr>
      </w:pPr>
      <w:r>
        <w:rPr>
          <w:rFonts w:ascii="宋体" w:eastAsia="宋体" w:hAnsi="宋体" w:cs="宋体"/>
          <w:spacing w:val="-2"/>
          <w:sz w:val="17"/>
          <w:szCs w:val="17"/>
        </w:rPr>
        <w:t>资料来源：预防医学科学院食品营养与卫生研究所</w:t>
      </w:r>
      <w:r>
        <w:rPr>
          <w:rFonts w:ascii="宋体" w:eastAsia="宋体" w:hAnsi="宋体" w:cs="宋体"/>
          <w:spacing w:val="-3"/>
          <w:sz w:val="17"/>
          <w:szCs w:val="17"/>
        </w:rPr>
        <w:t>.1991.食品成分表(全国代表值).北京：人民</w:t>
      </w:r>
      <w:r>
        <w:rPr>
          <w:rFonts w:ascii="宋体" w:eastAsia="宋体" w:hAnsi="宋体" w:cs="宋体"/>
          <w:sz w:val="17"/>
          <w:szCs w:val="17"/>
        </w:rPr>
        <w:t xml:space="preserve"> </w:t>
      </w:r>
      <w:r>
        <w:rPr>
          <w:rFonts w:ascii="宋体" w:eastAsia="宋体" w:hAnsi="宋体" w:cs="宋体"/>
          <w:spacing w:val="-11"/>
          <w:sz w:val="17"/>
          <w:szCs w:val="17"/>
        </w:rPr>
        <w:t>卫生出版社</w:t>
      </w:r>
    </w:p>
    <w:p w:rsidR="00EA40A3" w:rsidRDefault="00E86C16">
      <w:pPr>
        <w:spacing w:before="197" w:line="221" w:lineRule="auto"/>
        <w:rPr>
          <w:rFonts w:ascii="仿宋" w:eastAsia="仿宋" w:hAnsi="仿宋" w:cs="仿宋"/>
          <w:sz w:val="24"/>
          <w:szCs w:val="24"/>
        </w:rPr>
      </w:pPr>
      <w:r>
        <w:rPr>
          <w:rFonts w:ascii="仿宋" w:eastAsia="仿宋" w:hAnsi="仿宋" w:cs="仿宋"/>
          <w:spacing w:val="-1"/>
          <w:sz w:val="24"/>
          <w:szCs w:val="24"/>
        </w:rPr>
        <w:t>4.</w:t>
      </w:r>
      <w:r>
        <w:rPr>
          <w:rFonts w:ascii="仿宋" w:eastAsia="仿宋" w:hAnsi="仿宋" w:cs="仿宋"/>
          <w:spacing w:val="-52"/>
          <w:sz w:val="24"/>
          <w:szCs w:val="24"/>
        </w:rPr>
        <w:t xml:space="preserve"> </w:t>
      </w:r>
      <w:r>
        <w:rPr>
          <w:rFonts w:ascii="仿宋" w:eastAsia="仿宋" w:hAnsi="仿宋" w:cs="仿宋"/>
          <w:spacing w:val="-1"/>
          <w:sz w:val="24"/>
          <w:szCs w:val="24"/>
        </w:rPr>
        <w:t>矿物质</w:t>
      </w:r>
    </w:p>
    <w:p w:rsidR="00EA40A3" w:rsidRDefault="00E86C16">
      <w:pPr>
        <w:spacing w:before="202" w:line="273" w:lineRule="auto"/>
        <w:ind w:firstLine="430"/>
        <w:jc w:val="both"/>
        <w:rPr>
          <w:rFonts w:ascii="宋体" w:eastAsia="宋体" w:hAnsi="宋体" w:cs="宋体"/>
          <w:sz w:val="20"/>
          <w:szCs w:val="20"/>
        </w:rPr>
      </w:pPr>
      <w:r>
        <w:rPr>
          <w:rFonts w:ascii="宋体" w:eastAsia="宋体" w:hAnsi="宋体" w:cs="宋体"/>
          <w:spacing w:val="13"/>
          <w:sz w:val="20"/>
          <w:szCs w:val="20"/>
        </w:rPr>
        <w:t>蔬菜富含矿物质，对人体调节膳食酸碱平衡十分重要。蔬菜为高钾低钠食</w:t>
      </w:r>
      <w:r>
        <w:rPr>
          <w:rFonts w:ascii="宋体" w:eastAsia="宋体" w:hAnsi="宋体" w:cs="宋体"/>
          <w:spacing w:val="12"/>
          <w:sz w:val="20"/>
          <w:szCs w:val="20"/>
        </w:rPr>
        <w:t xml:space="preserve"> </w:t>
      </w:r>
      <w:r>
        <w:rPr>
          <w:rFonts w:ascii="宋体" w:eastAsia="宋体" w:hAnsi="宋体" w:cs="宋体"/>
          <w:spacing w:val="36"/>
          <w:sz w:val="20"/>
          <w:szCs w:val="20"/>
        </w:rPr>
        <w:t>品，也是钙、铁和镁的重要膳食来源。不少蔬菜中的钙含量超过了100</w:t>
      </w:r>
      <w:r>
        <w:rPr>
          <w:rFonts w:ascii="宋体" w:eastAsia="宋体" w:hAnsi="宋体" w:cs="宋体"/>
          <w:spacing w:val="7"/>
          <w:sz w:val="20"/>
          <w:szCs w:val="20"/>
        </w:rPr>
        <w:t xml:space="preserve"> </w:t>
      </w:r>
      <w:r>
        <w:rPr>
          <w:rFonts w:ascii="宋体" w:eastAsia="宋体" w:hAnsi="宋体" w:cs="宋体"/>
          <w:sz w:val="20"/>
          <w:szCs w:val="20"/>
        </w:rPr>
        <w:t>mg</w:t>
      </w:r>
      <w:r>
        <w:rPr>
          <w:rFonts w:ascii="宋体" w:eastAsia="宋体" w:hAnsi="宋体" w:cs="宋体"/>
          <w:spacing w:val="6"/>
          <w:sz w:val="20"/>
          <w:szCs w:val="20"/>
        </w:rPr>
        <w:t>/100g,</w:t>
      </w:r>
      <w:r>
        <w:rPr>
          <w:rFonts w:ascii="宋体" w:eastAsia="宋体" w:hAnsi="宋体" w:cs="宋体"/>
          <w:spacing w:val="20"/>
          <w:sz w:val="20"/>
          <w:szCs w:val="20"/>
        </w:rPr>
        <w:t xml:space="preserve">  </w:t>
      </w:r>
      <w:r>
        <w:rPr>
          <w:rFonts w:ascii="宋体" w:eastAsia="宋体" w:hAnsi="宋体" w:cs="宋体"/>
          <w:spacing w:val="6"/>
          <w:sz w:val="20"/>
          <w:szCs w:val="20"/>
        </w:rPr>
        <w:t>如油菜和油菜苔、苋菜、萝卜缨、落葵、茴香、芹菜等。绿叶蔬菜铁</w:t>
      </w:r>
      <w:r>
        <w:rPr>
          <w:rFonts w:ascii="宋体" w:eastAsia="宋体" w:hAnsi="宋体" w:cs="宋体"/>
          <w:sz w:val="20"/>
          <w:szCs w:val="20"/>
        </w:rPr>
        <w:t xml:space="preserve"> </w:t>
      </w:r>
      <w:r>
        <w:rPr>
          <w:rFonts w:ascii="宋体" w:eastAsia="宋体" w:hAnsi="宋体" w:cs="宋体"/>
          <w:spacing w:val="11"/>
          <w:sz w:val="20"/>
          <w:szCs w:val="20"/>
        </w:rPr>
        <w:t>含量较高，含量为2～3</w:t>
      </w:r>
      <w:r>
        <w:rPr>
          <w:rFonts w:ascii="宋体" w:eastAsia="宋体" w:hAnsi="宋体" w:cs="宋体"/>
          <w:sz w:val="20"/>
          <w:szCs w:val="20"/>
        </w:rPr>
        <w:t>mg</w:t>
      </w:r>
      <w:r>
        <w:rPr>
          <w:rFonts w:ascii="宋体" w:eastAsia="宋体" w:hAnsi="宋体" w:cs="宋体"/>
          <w:spacing w:val="11"/>
          <w:sz w:val="20"/>
          <w:szCs w:val="20"/>
        </w:rPr>
        <w:t>/100g。</w:t>
      </w:r>
      <w:r>
        <w:rPr>
          <w:rFonts w:ascii="宋体" w:eastAsia="宋体" w:hAnsi="宋体" w:cs="宋体"/>
          <w:spacing w:val="16"/>
          <w:sz w:val="20"/>
          <w:szCs w:val="20"/>
        </w:rPr>
        <w:t xml:space="preserve">  </w:t>
      </w:r>
      <w:r>
        <w:rPr>
          <w:rFonts w:ascii="宋体" w:eastAsia="宋体" w:hAnsi="宋体" w:cs="宋体"/>
          <w:spacing w:val="11"/>
          <w:sz w:val="20"/>
          <w:szCs w:val="20"/>
        </w:rPr>
        <w:t>部分菌类蔬菜富含铁、锰、锌等微量元素。</w:t>
      </w:r>
      <w:r>
        <w:rPr>
          <w:rFonts w:ascii="宋体" w:eastAsia="宋体" w:hAnsi="宋体" w:cs="宋体"/>
          <w:spacing w:val="1"/>
          <w:sz w:val="20"/>
          <w:szCs w:val="20"/>
        </w:rPr>
        <w:t xml:space="preserve"> </w:t>
      </w:r>
      <w:r>
        <w:rPr>
          <w:rFonts w:ascii="宋体" w:eastAsia="宋体" w:hAnsi="宋体" w:cs="宋体"/>
          <w:spacing w:val="6"/>
          <w:sz w:val="20"/>
          <w:szCs w:val="20"/>
        </w:rPr>
        <w:t>叶绿素中含有镁，故而绿叶蔬菜是镁元素的最佳来源之一。</w:t>
      </w:r>
    </w:p>
    <w:p w:rsidR="00EA40A3" w:rsidRDefault="00E86C16">
      <w:pPr>
        <w:spacing w:before="72" w:line="273" w:lineRule="auto"/>
        <w:ind w:right="65" w:firstLine="430"/>
        <w:jc w:val="both"/>
        <w:rPr>
          <w:rFonts w:ascii="宋体" w:eastAsia="宋体" w:hAnsi="宋体" w:cs="宋体"/>
          <w:sz w:val="20"/>
          <w:szCs w:val="20"/>
        </w:rPr>
      </w:pPr>
      <w:r>
        <w:rPr>
          <w:rFonts w:ascii="宋体" w:eastAsia="宋体" w:hAnsi="宋体" w:cs="宋体"/>
          <w:spacing w:val="7"/>
          <w:sz w:val="20"/>
          <w:szCs w:val="20"/>
        </w:rPr>
        <w:t>蔬菜中的铁为非血红素铁，其吸收利用率受膳食中其他多种因素的影响</w:t>
      </w:r>
      <w:r>
        <w:rPr>
          <w:rFonts w:ascii="宋体" w:eastAsia="宋体" w:hAnsi="宋体" w:cs="宋体"/>
          <w:spacing w:val="6"/>
          <w:sz w:val="20"/>
          <w:szCs w:val="20"/>
        </w:rPr>
        <w:t>，生</w:t>
      </w:r>
      <w:r>
        <w:rPr>
          <w:rFonts w:ascii="宋体" w:eastAsia="宋体" w:hAnsi="宋体" w:cs="宋体"/>
          <w:sz w:val="20"/>
          <w:szCs w:val="20"/>
        </w:rPr>
        <w:t xml:space="preserve"> </w:t>
      </w:r>
      <w:r>
        <w:rPr>
          <w:rFonts w:ascii="宋体" w:eastAsia="宋体" w:hAnsi="宋体" w:cs="宋体"/>
          <w:spacing w:val="12"/>
          <w:sz w:val="20"/>
          <w:szCs w:val="20"/>
        </w:rPr>
        <w:t>物利用率比动物性食品低。蔬菜中的维生素</w:t>
      </w:r>
      <w:r>
        <w:rPr>
          <w:rFonts w:ascii="宋体" w:eastAsia="宋体" w:hAnsi="宋体" w:cs="宋体"/>
          <w:spacing w:val="-51"/>
          <w:sz w:val="20"/>
          <w:szCs w:val="20"/>
        </w:rPr>
        <w:t xml:space="preserve"> </w:t>
      </w:r>
      <w:r>
        <w:rPr>
          <w:rFonts w:ascii="宋体" w:eastAsia="宋体" w:hAnsi="宋体" w:cs="宋体"/>
          <w:spacing w:val="12"/>
          <w:sz w:val="20"/>
          <w:szCs w:val="20"/>
        </w:rPr>
        <w:t>C</w:t>
      </w:r>
      <w:r>
        <w:rPr>
          <w:rFonts w:ascii="宋体" w:eastAsia="宋体" w:hAnsi="宋体" w:cs="宋体"/>
          <w:spacing w:val="6"/>
          <w:sz w:val="20"/>
          <w:szCs w:val="20"/>
        </w:rPr>
        <w:t xml:space="preserve"> </w:t>
      </w:r>
      <w:r>
        <w:rPr>
          <w:rFonts w:ascii="宋体" w:eastAsia="宋体" w:hAnsi="宋体" w:cs="宋体"/>
          <w:spacing w:val="12"/>
          <w:sz w:val="20"/>
          <w:szCs w:val="20"/>
        </w:rPr>
        <w:t>可促进其吸收，但是一些蔬菜如</w:t>
      </w:r>
      <w:r>
        <w:rPr>
          <w:rFonts w:ascii="宋体" w:eastAsia="宋体" w:hAnsi="宋体" w:cs="宋体"/>
          <w:sz w:val="20"/>
          <w:szCs w:val="20"/>
        </w:rPr>
        <w:t xml:space="preserve"> </w:t>
      </w:r>
      <w:r>
        <w:rPr>
          <w:rFonts w:ascii="宋体" w:eastAsia="宋体" w:hAnsi="宋体" w:cs="宋体"/>
          <w:spacing w:val="7"/>
          <w:sz w:val="20"/>
          <w:szCs w:val="20"/>
        </w:rPr>
        <w:t>菠菜、空心菜、茭白等含有较多草酸，会影响钙、铁等矿物质的吸收和利用，在</w:t>
      </w:r>
      <w:r>
        <w:rPr>
          <w:rFonts w:ascii="宋体" w:eastAsia="宋体" w:hAnsi="宋体" w:cs="宋体"/>
          <w:spacing w:val="14"/>
          <w:sz w:val="20"/>
          <w:szCs w:val="20"/>
        </w:rPr>
        <w:t xml:space="preserve"> </w:t>
      </w:r>
      <w:r>
        <w:rPr>
          <w:rFonts w:ascii="宋体" w:eastAsia="宋体" w:hAnsi="宋体" w:cs="宋体"/>
          <w:spacing w:val="7"/>
          <w:sz w:val="20"/>
          <w:szCs w:val="20"/>
        </w:rPr>
        <w:t>烹调加工时应加以注意，可以用焯水方法除去大部分草酸，从而提</w:t>
      </w:r>
      <w:r>
        <w:rPr>
          <w:rFonts w:ascii="宋体" w:eastAsia="宋体" w:hAnsi="宋体" w:cs="宋体"/>
          <w:spacing w:val="6"/>
          <w:sz w:val="20"/>
          <w:szCs w:val="20"/>
        </w:rPr>
        <w:t>高矿物质的生</w:t>
      </w:r>
      <w:r>
        <w:rPr>
          <w:rFonts w:ascii="宋体" w:eastAsia="宋体" w:hAnsi="宋体" w:cs="宋体"/>
          <w:sz w:val="20"/>
          <w:szCs w:val="20"/>
        </w:rPr>
        <w:t xml:space="preserve"> </w:t>
      </w:r>
      <w:r>
        <w:rPr>
          <w:rFonts w:ascii="宋体" w:eastAsia="宋体" w:hAnsi="宋体" w:cs="宋体"/>
          <w:spacing w:val="-1"/>
          <w:sz w:val="20"/>
          <w:szCs w:val="20"/>
        </w:rPr>
        <w:t>物利用率。</w:t>
      </w:r>
    </w:p>
    <w:p w:rsidR="00EA40A3" w:rsidRDefault="00E86C16">
      <w:pPr>
        <w:spacing w:before="85" w:line="269" w:lineRule="auto"/>
        <w:ind w:firstLine="430"/>
        <w:jc w:val="both"/>
        <w:rPr>
          <w:rFonts w:ascii="宋体" w:eastAsia="宋体" w:hAnsi="宋体" w:cs="宋体"/>
          <w:sz w:val="20"/>
          <w:szCs w:val="20"/>
        </w:rPr>
      </w:pPr>
      <w:r>
        <w:rPr>
          <w:rFonts w:ascii="宋体" w:eastAsia="宋体" w:hAnsi="宋体" w:cs="宋体"/>
          <w:spacing w:val="9"/>
          <w:sz w:val="20"/>
          <w:szCs w:val="20"/>
        </w:rPr>
        <w:t>一些蔬菜可富集某些元素，如大蒜中含有较多的硒，菠菜中含有较多的钼，</w:t>
      </w:r>
      <w:r>
        <w:rPr>
          <w:rFonts w:ascii="宋体" w:eastAsia="宋体" w:hAnsi="宋体" w:cs="宋体"/>
          <w:spacing w:val="2"/>
          <w:sz w:val="20"/>
          <w:szCs w:val="20"/>
        </w:rPr>
        <w:t xml:space="preserve"> </w:t>
      </w:r>
      <w:r>
        <w:rPr>
          <w:rFonts w:ascii="宋体" w:eastAsia="宋体" w:hAnsi="宋体" w:cs="宋体"/>
          <w:spacing w:val="13"/>
          <w:sz w:val="20"/>
          <w:szCs w:val="20"/>
        </w:rPr>
        <w:t>卷心菜中含有较多的锰，豆类蔬菜则含有较多的锌。各微量元素的含量</w:t>
      </w:r>
      <w:r>
        <w:rPr>
          <w:rFonts w:ascii="宋体" w:eastAsia="宋体" w:hAnsi="宋体" w:cs="宋体"/>
          <w:spacing w:val="12"/>
          <w:sz w:val="20"/>
          <w:szCs w:val="20"/>
        </w:rPr>
        <w:t>受到土</w:t>
      </w:r>
      <w:r>
        <w:rPr>
          <w:rFonts w:ascii="宋体" w:eastAsia="宋体" w:hAnsi="宋体" w:cs="宋体"/>
          <w:sz w:val="20"/>
          <w:szCs w:val="20"/>
        </w:rPr>
        <w:t xml:space="preserve">  </w:t>
      </w:r>
      <w:r>
        <w:rPr>
          <w:rFonts w:ascii="宋体" w:eastAsia="宋体" w:hAnsi="宋体" w:cs="宋体"/>
          <w:spacing w:val="8"/>
          <w:sz w:val="20"/>
          <w:szCs w:val="20"/>
        </w:rPr>
        <w:t>壤、肥料、气候等因素的强烈影响。施用微量</w:t>
      </w:r>
      <w:r>
        <w:rPr>
          <w:rFonts w:ascii="宋体" w:eastAsia="宋体" w:hAnsi="宋体" w:cs="宋体"/>
          <w:spacing w:val="7"/>
          <w:sz w:val="20"/>
          <w:szCs w:val="20"/>
        </w:rPr>
        <w:t>元素肥料可以有效地改变蔬菜中的</w:t>
      </w:r>
      <w:r>
        <w:rPr>
          <w:rFonts w:ascii="宋体" w:eastAsia="宋体" w:hAnsi="宋体" w:cs="宋体"/>
          <w:sz w:val="20"/>
          <w:szCs w:val="20"/>
        </w:rPr>
        <w:t xml:space="preserve"> </w:t>
      </w:r>
      <w:r>
        <w:rPr>
          <w:rFonts w:ascii="宋体" w:eastAsia="宋体" w:hAnsi="宋体" w:cs="宋体"/>
          <w:spacing w:val="2"/>
          <w:sz w:val="20"/>
          <w:szCs w:val="20"/>
        </w:rPr>
        <w:t>微量元素含量。</w:t>
      </w:r>
    </w:p>
    <w:p w:rsidR="00EA40A3" w:rsidRDefault="00E86C16">
      <w:pPr>
        <w:spacing w:before="200" w:line="221" w:lineRule="auto"/>
        <w:rPr>
          <w:rFonts w:ascii="仿宋" w:eastAsia="仿宋" w:hAnsi="仿宋" w:cs="仿宋"/>
          <w:sz w:val="24"/>
          <w:szCs w:val="24"/>
        </w:rPr>
      </w:pPr>
      <w:r>
        <w:rPr>
          <w:rFonts w:ascii="仿宋" w:eastAsia="仿宋" w:hAnsi="仿宋" w:cs="仿宋"/>
          <w:spacing w:val="-4"/>
          <w:sz w:val="24"/>
          <w:szCs w:val="24"/>
        </w:rPr>
        <w:t>5.</w:t>
      </w:r>
      <w:r>
        <w:rPr>
          <w:rFonts w:ascii="仿宋" w:eastAsia="仿宋" w:hAnsi="仿宋" w:cs="仿宋"/>
          <w:spacing w:val="-34"/>
          <w:sz w:val="24"/>
          <w:szCs w:val="24"/>
        </w:rPr>
        <w:t xml:space="preserve"> </w:t>
      </w:r>
      <w:r>
        <w:rPr>
          <w:rFonts w:ascii="仿宋" w:eastAsia="仿宋" w:hAnsi="仿宋" w:cs="仿宋"/>
          <w:spacing w:val="-4"/>
          <w:sz w:val="24"/>
          <w:szCs w:val="24"/>
        </w:rPr>
        <w:t>其他保健成分</w:t>
      </w:r>
    </w:p>
    <w:p w:rsidR="00EA40A3" w:rsidRDefault="00E86C16">
      <w:pPr>
        <w:spacing w:before="194" w:line="269" w:lineRule="auto"/>
        <w:ind w:firstLine="430"/>
        <w:jc w:val="both"/>
        <w:rPr>
          <w:rFonts w:ascii="宋体" w:eastAsia="宋体" w:hAnsi="宋体" w:cs="宋体"/>
          <w:sz w:val="20"/>
          <w:szCs w:val="20"/>
        </w:rPr>
      </w:pPr>
      <w:r>
        <w:rPr>
          <w:rFonts w:ascii="宋体" w:eastAsia="宋体" w:hAnsi="宋体" w:cs="宋体"/>
          <w:spacing w:val="7"/>
          <w:sz w:val="20"/>
          <w:szCs w:val="20"/>
        </w:rPr>
        <w:t>除去营养素之外，蔬菜中还含有多种保健物质，如绿叶蔬菜和橙黄色蔬菜中</w:t>
      </w:r>
      <w:r>
        <w:rPr>
          <w:rFonts w:ascii="宋体" w:eastAsia="宋体" w:hAnsi="宋体" w:cs="宋体"/>
          <w:spacing w:val="10"/>
          <w:sz w:val="20"/>
          <w:szCs w:val="20"/>
        </w:rPr>
        <w:t xml:space="preserve"> </w:t>
      </w:r>
      <w:r>
        <w:rPr>
          <w:rFonts w:ascii="宋体" w:eastAsia="宋体" w:hAnsi="宋体" w:cs="宋体"/>
          <w:spacing w:val="12"/>
          <w:sz w:val="20"/>
          <w:szCs w:val="20"/>
        </w:rPr>
        <w:t>不能转变成维生素</w:t>
      </w:r>
      <w:r>
        <w:rPr>
          <w:rFonts w:ascii="宋体" w:eastAsia="宋体" w:hAnsi="宋体" w:cs="宋体"/>
          <w:spacing w:val="-60"/>
          <w:sz w:val="20"/>
          <w:szCs w:val="20"/>
        </w:rPr>
        <w:t xml:space="preserve"> </w:t>
      </w:r>
      <w:r>
        <w:rPr>
          <w:rFonts w:ascii="宋体" w:eastAsia="宋体" w:hAnsi="宋体" w:cs="宋体"/>
          <w:spacing w:val="12"/>
          <w:sz w:val="20"/>
          <w:szCs w:val="20"/>
        </w:rPr>
        <w:t>A</w:t>
      </w:r>
      <w:r>
        <w:rPr>
          <w:rFonts w:ascii="宋体" w:eastAsia="宋体" w:hAnsi="宋体" w:cs="宋体"/>
          <w:spacing w:val="21"/>
          <w:sz w:val="20"/>
          <w:szCs w:val="20"/>
        </w:rPr>
        <w:t xml:space="preserve"> </w:t>
      </w:r>
      <w:r>
        <w:rPr>
          <w:rFonts w:ascii="宋体" w:eastAsia="宋体" w:hAnsi="宋体" w:cs="宋体"/>
          <w:spacing w:val="12"/>
          <w:sz w:val="20"/>
          <w:szCs w:val="20"/>
        </w:rPr>
        <w:t>的类胡萝卜素，茄子、芹菜、芦笋</w:t>
      </w:r>
      <w:r>
        <w:rPr>
          <w:rFonts w:ascii="宋体" w:eastAsia="宋体" w:hAnsi="宋体" w:cs="宋体"/>
          <w:spacing w:val="11"/>
          <w:sz w:val="20"/>
          <w:szCs w:val="20"/>
        </w:rPr>
        <w:t>、洋葱等蔬菜中的生物</w:t>
      </w:r>
      <w:r>
        <w:rPr>
          <w:rFonts w:ascii="宋体" w:eastAsia="宋体" w:hAnsi="宋体" w:cs="宋体"/>
          <w:sz w:val="20"/>
          <w:szCs w:val="20"/>
        </w:rPr>
        <w:t xml:space="preserve"> </w:t>
      </w:r>
      <w:r>
        <w:rPr>
          <w:rFonts w:ascii="宋体" w:eastAsia="宋体" w:hAnsi="宋体" w:cs="宋体"/>
          <w:spacing w:val="9"/>
          <w:sz w:val="20"/>
          <w:szCs w:val="20"/>
        </w:rPr>
        <w:t>类黄酮，紫色、黑色蔬菜中的花青素，十字花科蔬菜中的硫代葡萄糖苷，大蒜、</w:t>
      </w:r>
      <w:r>
        <w:rPr>
          <w:rFonts w:ascii="宋体" w:eastAsia="宋体" w:hAnsi="宋体" w:cs="宋体"/>
          <w:spacing w:val="13"/>
          <w:sz w:val="20"/>
          <w:szCs w:val="20"/>
        </w:rPr>
        <w:t xml:space="preserve"> </w:t>
      </w:r>
      <w:r>
        <w:rPr>
          <w:rFonts w:ascii="宋体" w:eastAsia="宋体" w:hAnsi="宋体" w:cs="宋体"/>
          <w:spacing w:val="6"/>
          <w:sz w:val="20"/>
          <w:szCs w:val="20"/>
        </w:rPr>
        <w:t>洋葱中的有机硫化物抗菌物质等。它们赋予某</w:t>
      </w:r>
      <w:r>
        <w:rPr>
          <w:rFonts w:ascii="宋体" w:eastAsia="宋体" w:hAnsi="宋体" w:cs="宋体"/>
          <w:spacing w:val="5"/>
          <w:sz w:val="20"/>
          <w:szCs w:val="20"/>
        </w:rPr>
        <w:t>些蔬菜以特定的保健价值。</w:t>
      </w:r>
    </w:p>
    <w:p w:rsidR="00EA40A3" w:rsidRDefault="00E86C16">
      <w:pPr>
        <w:spacing w:before="201" w:line="221" w:lineRule="auto"/>
        <w:ind w:left="3"/>
        <w:outlineLvl w:val="6"/>
        <w:rPr>
          <w:rFonts w:ascii="黑体" w:eastAsia="黑体" w:hAnsi="黑体" w:cs="黑体"/>
          <w:sz w:val="24"/>
          <w:szCs w:val="24"/>
        </w:rPr>
      </w:pPr>
      <w:r>
        <w:rPr>
          <w:rFonts w:ascii="黑体" w:eastAsia="黑体" w:hAnsi="黑体" w:cs="黑体"/>
          <w:b/>
          <w:bCs/>
          <w:spacing w:val="-4"/>
          <w:sz w:val="24"/>
          <w:szCs w:val="24"/>
        </w:rPr>
        <w:t>6.4.2</w:t>
      </w:r>
      <w:r>
        <w:rPr>
          <w:rFonts w:ascii="黑体" w:eastAsia="黑体" w:hAnsi="黑体" w:cs="黑体"/>
          <w:spacing w:val="10"/>
          <w:sz w:val="24"/>
          <w:szCs w:val="24"/>
        </w:rPr>
        <w:t xml:space="preserve">  </w:t>
      </w:r>
      <w:r>
        <w:rPr>
          <w:rFonts w:ascii="黑体" w:eastAsia="黑体" w:hAnsi="黑体" w:cs="黑体"/>
          <w:b/>
          <w:bCs/>
          <w:spacing w:val="-4"/>
          <w:sz w:val="24"/>
          <w:szCs w:val="24"/>
        </w:rPr>
        <w:t>薯类的营养价值</w:t>
      </w:r>
    </w:p>
    <w:p w:rsidR="00EA40A3" w:rsidRDefault="00E86C16">
      <w:pPr>
        <w:spacing w:before="226" w:line="264" w:lineRule="auto"/>
        <w:ind w:right="51" w:firstLine="430"/>
        <w:jc w:val="both"/>
        <w:rPr>
          <w:rFonts w:ascii="宋体" w:eastAsia="宋体" w:hAnsi="宋体" w:cs="宋体"/>
          <w:sz w:val="20"/>
          <w:szCs w:val="20"/>
        </w:rPr>
      </w:pPr>
      <w:r>
        <w:rPr>
          <w:rFonts w:ascii="宋体" w:eastAsia="宋体" w:hAnsi="宋体" w:cs="宋体"/>
          <w:spacing w:val="7"/>
          <w:sz w:val="20"/>
          <w:szCs w:val="20"/>
        </w:rPr>
        <w:t>薯类包括马铃薯、甘薯、芋头、山药、木薯等很多富含水分同时也富含淀粉</w:t>
      </w:r>
      <w:r>
        <w:rPr>
          <w:rFonts w:ascii="宋体" w:eastAsia="宋体" w:hAnsi="宋体" w:cs="宋体"/>
          <w:spacing w:val="16"/>
          <w:sz w:val="20"/>
          <w:szCs w:val="20"/>
        </w:rPr>
        <w:t xml:space="preserve"> </w:t>
      </w:r>
      <w:r>
        <w:rPr>
          <w:rFonts w:ascii="宋体" w:eastAsia="宋体" w:hAnsi="宋体" w:cs="宋体"/>
          <w:spacing w:val="7"/>
          <w:sz w:val="20"/>
          <w:szCs w:val="20"/>
        </w:rPr>
        <w:t>的食品。在我国，木薯很少用于人类食品，但其</w:t>
      </w:r>
      <w:r>
        <w:rPr>
          <w:rFonts w:ascii="宋体" w:eastAsia="宋体" w:hAnsi="宋体" w:cs="宋体"/>
          <w:spacing w:val="6"/>
          <w:sz w:val="20"/>
          <w:szCs w:val="20"/>
        </w:rPr>
        <w:t>他几种薯类都是我国传统膳食中</w:t>
      </w:r>
      <w:r>
        <w:rPr>
          <w:rFonts w:ascii="宋体" w:eastAsia="宋体" w:hAnsi="宋体" w:cs="宋体"/>
          <w:sz w:val="20"/>
          <w:szCs w:val="20"/>
        </w:rPr>
        <w:t xml:space="preserve"> </w:t>
      </w:r>
      <w:r>
        <w:rPr>
          <w:rFonts w:ascii="宋体" w:eastAsia="宋体" w:hAnsi="宋体" w:cs="宋体"/>
          <w:spacing w:val="7"/>
          <w:sz w:val="20"/>
          <w:szCs w:val="20"/>
        </w:rPr>
        <w:t>常见的品种。随着生活水平的提高，薯类消费量有不断下降的趋势，因而有必要</w:t>
      </w:r>
    </w:p>
    <w:p w:rsidR="00EA40A3" w:rsidRDefault="00E86C16">
      <w:pPr>
        <w:spacing w:before="88"/>
        <w:ind w:right="67"/>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201</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pgSz w:w="9340" w:h="13440"/>
          <w:pgMar w:top="400" w:right="1039" w:bottom="400" w:left="969" w:header="0" w:footer="0" w:gutter="0"/>
          <w:cols w:space="720"/>
        </w:sectPr>
      </w:pPr>
    </w:p>
    <w:p w:rsidR="00EA40A3" w:rsidRDefault="00EA40A3">
      <w:pPr>
        <w:spacing w:line="308" w:lineRule="auto"/>
      </w:pPr>
    </w:p>
    <w:p w:rsidR="00EA40A3" w:rsidRDefault="00EA40A3">
      <w:pPr>
        <w:spacing w:line="308" w:lineRule="auto"/>
      </w:pPr>
    </w:p>
    <w:p w:rsidR="00EA40A3" w:rsidRDefault="00E86C16">
      <w:pPr>
        <w:spacing w:before="69" w:line="219" w:lineRule="auto"/>
        <w:ind w:left="39"/>
        <w:rPr>
          <w:rFonts w:ascii="宋体" w:eastAsia="宋体" w:hAnsi="宋体" w:cs="宋体"/>
        </w:rPr>
      </w:pPr>
      <w:r>
        <w:rPr>
          <w:rFonts w:ascii="宋体" w:eastAsia="宋体" w:hAnsi="宋体" w:cs="宋体"/>
          <w:spacing w:val="-6"/>
        </w:rPr>
        <w:t>更多地了解薯类的营养贡献。</w:t>
      </w:r>
    </w:p>
    <w:p w:rsidR="00EA40A3" w:rsidRDefault="00E86C16">
      <w:pPr>
        <w:spacing w:before="157" w:line="221" w:lineRule="auto"/>
        <w:ind w:left="39"/>
        <w:rPr>
          <w:rFonts w:ascii="仿宋" w:eastAsia="仿宋" w:hAnsi="仿宋" w:cs="仿宋"/>
        </w:rPr>
      </w:pPr>
      <w:r>
        <w:rPr>
          <w:rFonts w:ascii="仿宋" w:eastAsia="仿宋" w:hAnsi="仿宋" w:cs="仿宋"/>
          <w:spacing w:val="18"/>
        </w:rPr>
        <w:t>1.</w:t>
      </w:r>
      <w:r>
        <w:rPr>
          <w:rFonts w:ascii="仿宋" w:eastAsia="仿宋" w:hAnsi="仿宋" w:cs="仿宋"/>
          <w:spacing w:val="-17"/>
        </w:rPr>
        <w:t xml:space="preserve"> </w:t>
      </w:r>
      <w:r>
        <w:rPr>
          <w:rFonts w:ascii="仿宋" w:eastAsia="仿宋" w:hAnsi="仿宋" w:cs="仿宋"/>
          <w:spacing w:val="18"/>
        </w:rPr>
        <w:t>碳水化合物</w:t>
      </w:r>
    </w:p>
    <w:p w:rsidR="00EA40A3" w:rsidRDefault="00E86C16">
      <w:pPr>
        <w:spacing w:before="108" w:line="260" w:lineRule="auto"/>
        <w:ind w:left="39" w:right="76" w:firstLine="430"/>
        <w:jc w:val="both"/>
        <w:rPr>
          <w:rFonts w:ascii="宋体" w:eastAsia="宋体" w:hAnsi="宋体" w:cs="宋体"/>
        </w:rPr>
      </w:pPr>
      <w:r>
        <w:rPr>
          <w:rFonts w:ascii="宋体" w:eastAsia="宋体" w:hAnsi="宋体" w:cs="宋体"/>
          <w:spacing w:val="15"/>
        </w:rPr>
        <w:t>薯类食品含水量为60%～90%,含淀粉8%～30%。脱水之后，其中的</w:t>
      </w:r>
      <w:r>
        <w:rPr>
          <w:rFonts w:ascii="宋体" w:eastAsia="宋体" w:hAnsi="宋体" w:cs="宋体"/>
          <w:spacing w:val="14"/>
        </w:rPr>
        <w:t>淀粉</w:t>
      </w:r>
      <w:r>
        <w:rPr>
          <w:rFonts w:ascii="宋体" w:eastAsia="宋体" w:hAnsi="宋体" w:cs="宋体"/>
        </w:rPr>
        <w:t xml:space="preserve"> </w:t>
      </w:r>
      <w:r>
        <w:rPr>
          <w:rFonts w:ascii="宋体" w:eastAsia="宋体" w:hAnsi="宋体" w:cs="宋体"/>
          <w:spacing w:val="-2"/>
        </w:rPr>
        <w:t>含量可达到或超过谷类食品的水平，故而薯类食物常</w:t>
      </w:r>
      <w:r>
        <w:rPr>
          <w:rFonts w:ascii="宋体" w:eastAsia="宋体" w:hAnsi="宋体" w:cs="宋体"/>
          <w:spacing w:val="-3"/>
        </w:rPr>
        <w:t>被作为主食食用。薯类淀粉</w:t>
      </w:r>
      <w:r>
        <w:rPr>
          <w:rFonts w:ascii="宋体" w:eastAsia="宋体" w:hAnsi="宋体" w:cs="宋体"/>
        </w:rPr>
        <w:t xml:space="preserve"> </w:t>
      </w:r>
      <w:r>
        <w:rPr>
          <w:rFonts w:ascii="宋体" w:eastAsia="宋体" w:hAnsi="宋体" w:cs="宋体"/>
          <w:spacing w:val="-3"/>
        </w:rPr>
        <w:t>粒颗粒大，容易分离，也常被用来提取淀粉或者制作各种淀粉制品。甘薯中含有</w:t>
      </w:r>
      <w:r>
        <w:rPr>
          <w:rFonts w:ascii="宋体" w:eastAsia="宋体" w:hAnsi="宋体" w:cs="宋体"/>
          <w:spacing w:val="4"/>
        </w:rPr>
        <w:t xml:space="preserve"> </w:t>
      </w:r>
      <w:r>
        <w:rPr>
          <w:rFonts w:ascii="宋体" w:eastAsia="宋体" w:hAnsi="宋体" w:cs="宋体"/>
          <w:spacing w:val="-5"/>
        </w:rPr>
        <w:t>较多可溶性糖，使其具有甜味。</w:t>
      </w:r>
    </w:p>
    <w:p w:rsidR="00EA40A3" w:rsidRDefault="00E86C16">
      <w:pPr>
        <w:spacing w:before="47" w:line="221" w:lineRule="auto"/>
        <w:ind w:left="469"/>
        <w:rPr>
          <w:rFonts w:ascii="仿宋" w:eastAsia="仿宋" w:hAnsi="仿宋" w:cs="仿宋"/>
        </w:rPr>
      </w:pPr>
      <w:r>
        <w:rPr>
          <w:rFonts w:ascii="仿宋" w:eastAsia="仿宋" w:hAnsi="仿宋" w:cs="仿宋"/>
          <w:spacing w:val="-4"/>
        </w:rPr>
        <w:t>薯类食物中含有较为丰富的膳食纤维，且纤维质地细腻，对肠胃刺激小。</w:t>
      </w:r>
    </w:p>
    <w:p w:rsidR="00EA40A3" w:rsidRDefault="00E86C16">
      <w:pPr>
        <w:spacing w:before="191" w:line="223" w:lineRule="auto"/>
        <w:ind w:left="39"/>
        <w:rPr>
          <w:rFonts w:ascii="仿宋" w:eastAsia="仿宋" w:hAnsi="仿宋" w:cs="仿宋"/>
        </w:rPr>
      </w:pPr>
      <w:r>
        <w:rPr>
          <w:rFonts w:ascii="仿宋" w:eastAsia="仿宋" w:hAnsi="仿宋" w:cs="仿宋"/>
          <w:spacing w:val="20"/>
        </w:rPr>
        <w:t>2.</w:t>
      </w:r>
      <w:r>
        <w:rPr>
          <w:rFonts w:ascii="仿宋" w:eastAsia="仿宋" w:hAnsi="仿宋" w:cs="仿宋"/>
          <w:spacing w:val="9"/>
        </w:rPr>
        <w:t xml:space="preserve"> </w:t>
      </w:r>
      <w:r>
        <w:rPr>
          <w:rFonts w:ascii="仿宋" w:eastAsia="仿宋" w:hAnsi="仿宋" w:cs="仿宋"/>
          <w:spacing w:val="20"/>
        </w:rPr>
        <w:t>蛋白质和脂肪</w:t>
      </w:r>
    </w:p>
    <w:p w:rsidR="00EA40A3" w:rsidRDefault="00E86C16">
      <w:pPr>
        <w:spacing w:before="123" w:line="260" w:lineRule="auto"/>
        <w:ind w:left="39" w:right="40" w:firstLine="430"/>
        <w:jc w:val="both"/>
        <w:rPr>
          <w:rFonts w:ascii="宋体" w:eastAsia="宋体" w:hAnsi="宋体" w:cs="宋体"/>
        </w:rPr>
      </w:pPr>
      <w:r>
        <w:rPr>
          <w:rFonts w:ascii="宋体" w:eastAsia="宋体" w:hAnsi="宋体" w:cs="宋体"/>
          <w:spacing w:val="13"/>
        </w:rPr>
        <w:t xml:space="preserve">总体而言，薯类蛋白质含量较低。马铃薯的蛋白质含量为0.8%～4.6%, </w:t>
      </w:r>
      <w:r>
        <w:rPr>
          <w:rFonts w:ascii="宋体" w:eastAsia="宋体" w:hAnsi="宋体" w:cs="宋体"/>
          <w:spacing w:val="3"/>
        </w:rPr>
        <w:t xml:space="preserve">平均为2%左右，但其蛋白质的氨基酸组成合理，生物效价较高，可以作为主食 </w:t>
      </w:r>
      <w:r>
        <w:rPr>
          <w:rFonts w:ascii="宋体" w:eastAsia="宋体" w:hAnsi="宋体" w:cs="宋体"/>
          <w:spacing w:val="-3"/>
        </w:rPr>
        <w:t>食用。甘薯的蛋白质含量稍低于马铃薯，但其中赖氨酸含量高，可以与谷类食品</w:t>
      </w:r>
      <w:r>
        <w:rPr>
          <w:rFonts w:ascii="宋体" w:eastAsia="宋体" w:hAnsi="宋体" w:cs="宋体"/>
          <w:spacing w:val="15"/>
        </w:rPr>
        <w:t xml:space="preserve"> </w:t>
      </w:r>
      <w:r>
        <w:rPr>
          <w:rFonts w:ascii="宋体" w:eastAsia="宋体" w:hAnsi="宋体" w:cs="宋体"/>
          <w:spacing w:val="-5"/>
        </w:rPr>
        <w:t>发生蛋白质营养互补。甘薯、山药和芋头中均含有黏蛋白。</w:t>
      </w:r>
    </w:p>
    <w:p w:rsidR="00EA40A3" w:rsidRDefault="00E86C16">
      <w:pPr>
        <w:spacing w:before="57" w:line="253" w:lineRule="auto"/>
        <w:ind w:left="39" w:right="94" w:firstLine="430"/>
        <w:jc w:val="both"/>
        <w:rPr>
          <w:rFonts w:ascii="宋体" w:eastAsia="宋体" w:hAnsi="宋体" w:cs="宋体"/>
        </w:rPr>
      </w:pPr>
      <w:r>
        <w:rPr>
          <w:rFonts w:ascii="宋体" w:eastAsia="宋体" w:hAnsi="宋体" w:cs="宋体"/>
          <w:spacing w:val="6"/>
        </w:rPr>
        <w:t>薯类的脂肪含量通常低于0.5%,低于谷类食品。其脂肪主要由不饱和脂肪</w:t>
      </w:r>
      <w:r>
        <w:rPr>
          <w:rFonts w:ascii="宋体" w:eastAsia="宋体" w:hAnsi="宋体" w:cs="宋体"/>
        </w:rPr>
        <w:t xml:space="preserve"> </w:t>
      </w:r>
      <w:r>
        <w:rPr>
          <w:rFonts w:ascii="宋体" w:eastAsia="宋体" w:hAnsi="宋体" w:cs="宋体"/>
          <w:spacing w:val="-8"/>
        </w:rPr>
        <w:t>酸组成。</w:t>
      </w:r>
    </w:p>
    <w:p w:rsidR="00EA40A3" w:rsidRDefault="00E86C16">
      <w:pPr>
        <w:spacing w:before="125" w:line="222" w:lineRule="auto"/>
        <w:ind w:left="39"/>
        <w:rPr>
          <w:rFonts w:ascii="仿宋" w:eastAsia="仿宋" w:hAnsi="仿宋" w:cs="仿宋"/>
          <w:sz w:val="24"/>
          <w:szCs w:val="24"/>
        </w:rPr>
      </w:pPr>
      <w:r>
        <w:rPr>
          <w:rFonts w:ascii="仿宋" w:eastAsia="仿宋" w:hAnsi="仿宋" w:cs="仿宋"/>
          <w:spacing w:val="-2"/>
          <w:sz w:val="24"/>
          <w:szCs w:val="24"/>
        </w:rPr>
        <w:t>3.</w:t>
      </w:r>
      <w:r>
        <w:rPr>
          <w:rFonts w:ascii="仿宋" w:eastAsia="仿宋" w:hAnsi="仿宋" w:cs="仿宋"/>
          <w:spacing w:val="-36"/>
          <w:sz w:val="24"/>
          <w:szCs w:val="24"/>
        </w:rPr>
        <w:t xml:space="preserve"> </w:t>
      </w:r>
      <w:r>
        <w:rPr>
          <w:rFonts w:ascii="仿宋" w:eastAsia="仿宋" w:hAnsi="仿宋" w:cs="仿宋"/>
          <w:spacing w:val="-2"/>
          <w:sz w:val="24"/>
          <w:szCs w:val="24"/>
        </w:rPr>
        <w:t>维生素</w:t>
      </w:r>
    </w:p>
    <w:p w:rsidR="00EA40A3" w:rsidRDefault="00E86C16">
      <w:pPr>
        <w:spacing w:before="143" w:line="255" w:lineRule="auto"/>
        <w:ind w:left="39" w:right="94" w:firstLine="430"/>
        <w:jc w:val="both"/>
        <w:rPr>
          <w:rFonts w:ascii="宋体" w:eastAsia="宋体" w:hAnsi="宋体" w:cs="宋体"/>
        </w:rPr>
      </w:pPr>
      <w:r>
        <w:rPr>
          <w:rFonts w:ascii="宋体" w:eastAsia="宋体" w:hAnsi="宋体" w:cs="宋体"/>
          <w:spacing w:val="-1"/>
        </w:rPr>
        <w:t>薯类中含有除了维生素B</w:t>
      </w:r>
      <w:r>
        <w:rPr>
          <w:rFonts w:ascii="Calibri" w:eastAsia="Calibri" w:hAnsi="Calibri" w:cs="Calibri"/>
          <w:spacing w:val="-1"/>
        </w:rPr>
        <w:t>₂</w:t>
      </w:r>
      <w:r>
        <w:rPr>
          <w:rFonts w:ascii="Calibri" w:eastAsia="Calibri" w:hAnsi="Calibri" w:cs="Calibri"/>
          <w:spacing w:val="6"/>
        </w:rPr>
        <w:t xml:space="preserve">  </w:t>
      </w:r>
      <w:r>
        <w:rPr>
          <w:rFonts w:ascii="宋体" w:eastAsia="宋体" w:hAnsi="宋体" w:cs="宋体"/>
          <w:spacing w:val="-1"/>
        </w:rPr>
        <w:t>之外的各种</w:t>
      </w:r>
      <w:r>
        <w:rPr>
          <w:rFonts w:ascii="宋体" w:eastAsia="宋体" w:hAnsi="宋体" w:cs="宋体"/>
          <w:spacing w:val="-45"/>
        </w:rPr>
        <w:t xml:space="preserve"> </w:t>
      </w:r>
      <w:r>
        <w:rPr>
          <w:rFonts w:ascii="宋体" w:eastAsia="宋体" w:hAnsi="宋体" w:cs="宋体"/>
          <w:spacing w:val="-1"/>
        </w:rPr>
        <w:t>B</w:t>
      </w:r>
      <w:r>
        <w:rPr>
          <w:rFonts w:ascii="宋体" w:eastAsia="宋体" w:hAnsi="宋体" w:cs="宋体"/>
          <w:spacing w:val="-26"/>
        </w:rPr>
        <w:t xml:space="preserve"> </w:t>
      </w:r>
      <w:r>
        <w:rPr>
          <w:rFonts w:ascii="宋体" w:eastAsia="宋体" w:hAnsi="宋体" w:cs="宋体"/>
          <w:spacing w:val="-1"/>
        </w:rPr>
        <w:t>族维生素，以及维生素</w:t>
      </w:r>
      <w:r>
        <w:rPr>
          <w:rFonts w:ascii="宋体" w:eastAsia="宋体" w:hAnsi="宋体" w:cs="宋体"/>
          <w:spacing w:val="-55"/>
        </w:rPr>
        <w:t xml:space="preserve"> </w:t>
      </w:r>
      <w:r>
        <w:rPr>
          <w:rFonts w:ascii="宋体" w:eastAsia="宋体" w:hAnsi="宋体" w:cs="宋体"/>
          <w:spacing w:val="-1"/>
        </w:rPr>
        <w:t>C。</w:t>
      </w:r>
      <w:r>
        <w:rPr>
          <w:rFonts w:ascii="宋体" w:eastAsia="宋体" w:hAnsi="宋体" w:cs="宋体"/>
          <w:spacing w:val="-23"/>
        </w:rPr>
        <w:t xml:space="preserve"> </w:t>
      </w:r>
      <w:r>
        <w:rPr>
          <w:rFonts w:ascii="宋体" w:eastAsia="宋体" w:hAnsi="宋体" w:cs="宋体"/>
          <w:spacing w:val="-1"/>
        </w:rPr>
        <w:t>其维</w:t>
      </w:r>
      <w:r>
        <w:rPr>
          <w:rFonts w:ascii="宋体" w:eastAsia="宋体" w:hAnsi="宋体" w:cs="宋体"/>
          <w:spacing w:val="-2"/>
        </w:rPr>
        <w:t>生</w:t>
      </w:r>
      <w:r>
        <w:rPr>
          <w:rFonts w:ascii="宋体" w:eastAsia="宋体" w:hAnsi="宋体" w:cs="宋体"/>
        </w:rPr>
        <w:t xml:space="preserve"> </w:t>
      </w:r>
      <w:r>
        <w:rPr>
          <w:rFonts w:ascii="宋体" w:eastAsia="宋体" w:hAnsi="宋体" w:cs="宋体"/>
          <w:spacing w:val="4"/>
        </w:rPr>
        <w:t>素C</w:t>
      </w:r>
      <w:r>
        <w:rPr>
          <w:rFonts w:ascii="宋体" w:eastAsia="宋体" w:hAnsi="宋体" w:cs="宋体"/>
          <w:spacing w:val="-24"/>
        </w:rPr>
        <w:t xml:space="preserve"> </w:t>
      </w:r>
      <w:r>
        <w:rPr>
          <w:rFonts w:ascii="宋体" w:eastAsia="宋体" w:hAnsi="宋体" w:cs="宋体"/>
          <w:spacing w:val="4"/>
        </w:rPr>
        <w:t>含量与其他蔬菜相当。经常食用薯类，特别是在蔬菜不足的冬季，</w:t>
      </w:r>
      <w:r>
        <w:rPr>
          <w:rFonts w:ascii="宋体" w:eastAsia="宋体" w:hAnsi="宋体" w:cs="宋体"/>
          <w:spacing w:val="3"/>
        </w:rPr>
        <w:t>是膳食</w:t>
      </w:r>
      <w:r>
        <w:rPr>
          <w:rFonts w:ascii="宋体" w:eastAsia="宋体" w:hAnsi="宋体" w:cs="宋体"/>
        </w:rPr>
        <w:t xml:space="preserve"> </w:t>
      </w:r>
      <w:r>
        <w:rPr>
          <w:rFonts w:ascii="宋体" w:eastAsia="宋体" w:hAnsi="宋体" w:cs="宋体"/>
          <w:spacing w:val="-4"/>
        </w:rPr>
        <w:t>中维生素C</w:t>
      </w:r>
      <w:r>
        <w:rPr>
          <w:rFonts w:ascii="宋体" w:eastAsia="宋体" w:hAnsi="宋体" w:cs="宋体"/>
          <w:spacing w:val="15"/>
        </w:rPr>
        <w:t xml:space="preserve"> </w:t>
      </w:r>
      <w:r>
        <w:rPr>
          <w:rFonts w:ascii="宋体" w:eastAsia="宋体" w:hAnsi="宋体" w:cs="宋体"/>
          <w:spacing w:val="-4"/>
        </w:rPr>
        <w:t>的重要来源之一。</w:t>
      </w:r>
    </w:p>
    <w:p w:rsidR="00EA40A3" w:rsidRDefault="00E86C16">
      <w:pPr>
        <w:spacing w:before="198" w:line="221" w:lineRule="auto"/>
        <w:ind w:left="39"/>
        <w:rPr>
          <w:rFonts w:ascii="仿宋" w:eastAsia="仿宋" w:hAnsi="仿宋" w:cs="仿宋"/>
          <w:sz w:val="24"/>
          <w:szCs w:val="24"/>
        </w:rPr>
      </w:pPr>
      <w:r>
        <w:rPr>
          <w:rFonts w:ascii="仿宋" w:eastAsia="仿宋" w:hAnsi="仿宋" w:cs="仿宋"/>
          <w:spacing w:val="-1"/>
          <w:sz w:val="24"/>
          <w:szCs w:val="24"/>
        </w:rPr>
        <w:t>4.</w:t>
      </w:r>
      <w:r>
        <w:rPr>
          <w:rFonts w:ascii="仿宋" w:eastAsia="仿宋" w:hAnsi="仿宋" w:cs="仿宋"/>
          <w:spacing w:val="-42"/>
          <w:sz w:val="24"/>
          <w:szCs w:val="24"/>
        </w:rPr>
        <w:t xml:space="preserve"> </w:t>
      </w:r>
      <w:r>
        <w:rPr>
          <w:rFonts w:ascii="仿宋" w:eastAsia="仿宋" w:hAnsi="仿宋" w:cs="仿宋"/>
          <w:spacing w:val="-1"/>
          <w:sz w:val="24"/>
          <w:szCs w:val="24"/>
        </w:rPr>
        <w:t>矿物质</w:t>
      </w:r>
    </w:p>
    <w:p w:rsidR="00EA40A3" w:rsidRDefault="00E86C16">
      <w:pPr>
        <w:spacing w:before="194" w:line="255" w:lineRule="auto"/>
        <w:ind w:left="39" w:firstLine="430"/>
        <w:jc w:val="both"/>
        <w:rPr>
          <w:rFonts w:ascii="宋体" w:eastAsia="宋体" w:hAnsi="宋体" w:cs="宋体"/>
        </w:rPr>
      </w:pPr>
      <w:r>
        <w:rPr>
          <w:rFonts w:ascii="宋体" w:eastAsia="宋体" w:hAnsi="宋体" w:cs="宋体"/>
          <w:spacing w:val="6"/>
        </w:rPr>
        <w:t>薯类富含矿物质，属于成碱性食物。其中以钾含量最高，其次为磷、钙、</w:t>
      </w:r>
      <w:r>
        <w:rPr>
          <w:rFonts w:ascii="宋体" w:eastAsia="宋体" w:hAnsi="宋体" w:cs="宋体"/>
          <w:spacing w:val="2"/>
        </w:rPr>
        <w:t xml:space="preserve"> </w:t>
      </w:r>
      <w:r>
        <w:rPr>
          <w:rFonts w:ascii="宋体" w:eastAsia="宋体" w:hAnsi="宋体" w:cs="宋体"/>
        </w:rPr>
        <w:t>镁、硫等。其中山药和芋头等含钾更为丰富。表6-12列出薯类营养成</w:t>
      </w:r>
      <w:r>
        <w:rPr>
          <w:rFonts w:ascii="宋体" w:eastAsia="宋体" w:hAnsi="宋体" w:cs="宋体"/>
          <w:spacing w:val="-1"/>
        </w:rPr>
        <w:t>分与大米、</w:t>
      </w:r>
      <w:r>
        <w:rPr>
          <w:rFonts w:ascii="宋体" w:eastAsia="宋体" w:hAnsi="宋体" w:cs="宋体"/>
        </w:rPr>
        <w:t xml:space="preserve"> </w:t>
      </w:r>
      <w:r>
        <w:rPr>
          <w:rFonts w:ascii="宋体" w:eastAsia="宋体" w:hAnsi="宋体" w:cs="宋体"/>
          <w:spacing w:val="-6"/>
        </w:rPr>
        <w:t>面粉的比较。</w:t>
      </w:r>
    </w:p>
    <w:p w:rsidR="00EA40A3" w:rsidRDefault="00E86C16">
      <w:pPr>
        <w:spacing w:before="107" w:line="212" w:lineRule="auto"/>
        <w:ind w:left="1272"/>
        <w:rPr>
          <w:rFonts w:ascii="黑体" w:eastAsia="黑体" w:hAnsi="黑体" w:cs="黑体"/>
        </w:rPr>
      </w:pPr>
      <w:r>
        <w:rPr>
          <w:rFonts w:ascii="黑体" w:eastAsia="黑体" w:hAnsi="黑体" w:cs="黑体"/>
          <w:b/>
          <w:bCs/>
          <w:spacing w:val="-23"/>
        </w:rPr>
        <w:t>表6-12</w:t>
      </w:r>
      <w:r>
        <w:rPr>
          <w:rFonts w:ascii="黑体" w:eastAsia="黑体" w:hAnsi="黑体" w:cs="黑体"/>
          <w:spacing w:val="71"/>
        </w:rPr>
        <w:t xml:space="preserve"> </w:t>
      </w:r>
      <w:r>
        <w:rPr>
          <w:rFonts w:ascii="黑体" w:eastAsia="黑体" w:hAnsi="黑体" w:cs="黑体"/>
          <w:b/>
          <w:bCs/>
          <w:spacing w:val="-23"/>
        </w:rPr>
        <w:t>薯类营养成分与大米、面粉的比较</w:t>
      </w:r>
      <w:r>
        <w:rPr>
          <w:rFonts w:ascii="黑体" w:eastAsia="黑体" w:hAnsi="黑体" w:cs="黑体"/>
          <w:spacing w:val="-38"/>
        </w:rPr>
        <w:t xml:space="preserve"> </w:t>
      </w:r>
      <w:r>
        <w:rPr>
          <w:rFonts w:ascii="黑体" w:eastAsia="黑体" w:hAnsi="黑体" w:cs="黑体"/>
          <w:spacing w:val="-23"/>
        </w:rPr>
        <w:t>(每100</w:t>
      </w:r>
      <w:r>
        <w:rPr>
          <w:rFonts w:ascii="Times New Roman" w:eastAsia="Times New Roman" w:hAnsi="Times New Roman" w:cs="Times New Roman"/>
          <w:spacing w:val="-23"/>
        </w:rPr>
        <w:t>g</w:t>
      </w:r>
      <w:r>
        <w:rPr>
          <w:rFonts w:ascii="黑体" w:eastAsia="黑体" w:hAnsi="黑体" w:cs="黑体"/>
          <w:spacing w:val="-23"/>
        </w:rPr>
        <w:t>中含量)</w:t>
      </w:r>
    </w:p>
    <w:p w:rsidR="00EA40A3" w:rsidRDefault="00EA40A3">
      <w:pPr>
        <w:spacing w:line="29" w:lineRule="exact"/>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595"/>
        <w:gridCol w:w="540"/>
        <w:gridCol w:w="1313"/>
        <w:gridCol w:w="532"/>
        <w:gridCol w:w="2586"/>
        <w:gridCol w:w="630"/>
        <w:gridCol w:w="1133"/>
      </w:tblGrid>
      <w:tr w:rsidR="00EA40A3">
        <w:trPr>
          <w:trHeight w:val="463"/>
        </w:trPr>
        <w:tc>
          <w:tcPr>
            <w:tcW w:w="595" w:type="dxa"/>
            <w:tcBorders>
              <w:top w:val="single" w:sz="4" w:space="0" w:color="000000"/>
              <w:bottom w:val="single" w:sz="4" w:space="0" w:color="000000"/>
            </w:tcBorders>
          </w:tcPr>
          <w:p w:rsidR="00EA40A3" w:rsidRDefault="00E86C16">
            <w:pPr>
              <w:spacing w:before="152" w:line="220" w:lineRule="auto"/>
              <w:ind w:left="119"/>
              <w:rPr>
                <w:rFonts w:ascii="宋体" w:eastAsia="宋体" w:hAnsi="宋体" w:cs="宋体"/>
                <w:sz w:val="17"/>
                <w:szCs w:val="17"/>
              </w:rPr>
            </w:pPr>
            <w:r>
              <w:rPr>
                <w:rFonts w:ascii="宋体" w:eastAsia="宋体" w:hAnsi="宋体" w:cs="宋体"/>
                <w:spacing w:val="-2"/>
                <w:sz w:val="17"/>
                <w:szCs w:val="17"/>
              </w:rPr>
              <w:t>食物</w:t>
            </w:r>
          </w:p>
        </w:tc>
        <w:tc>
          <w:tcPr>
            <w:tcW w:w="540" w:type="dxa"/>
            <w:tcBorders>
              <w:top w:val="single" w:sz="4" w:space="0" w:color="000000"/>
              <w:bottom w:val="single" w:sz="4" w:space="0" w:color="000000"/>
            </w:tcBorders>
          </w:tcPr>
          <w:p w:rsidR="00EA40A3" w:rsidRDefault="00E86C16">
            <w:pPr>
              <w:spacing w:before="92" w:line="201" w:lineRule="auto"/>
              <w:ind w:left="55" w:right="65" w:firstLine="89"/>
              <w:rPr>
                <w:rFonts w:ascii="宋体" w:eastAsia="宋体" w:hAnsi="宋体" w:cs="宋体"/>
                <w:sz w:val="17"/>
                <w:szCs w:val="17"/>
              </w:rPr>
            </w:pPr>
            <w:r>
              <w:rPr>
                <w:rFonts w:ascii="宋体" w:eastAsia="宋体" w:hAnsi="宋体" w:cs="宋体"/>
                <w:spacing w:val="-7"/>
                <w:sz w:val="17"/>
                <w:szCs w:val="17"/>
              </w:rPr>
              <w:t>能量</w:t>
            </w:r>
            <w:r>
              <w:rPr>
                <w:rFonts w:ascii="宋体" w:eastAsia="宋体" w:hAnsi="宋体" w:cs="宋体"/>
                <w:sz w:val="17"/>
                <w:szCs w:val="17"/>
              </w:rPr>
              <w:t xml:space="preserve"> </w:t>
            </w:r>
            <w:r>
              <w:rPr>
                <w:rFonts w:ascii="宋体" w:eastAsia="宋体" w:hAnsi="宋体" w:cs="宋体"/>
                <w:spacing w:val="-2"/>
                <w:sz w:val="17"/>
                <w:szCs w:val="17"/>
              </w:rPr>
              <w:t>/kcal</w:t>
            </w:r>
          </w:p>
        </w:tc>
        <w:tc>
          <w:tcPr>
            <w:tcW w:w="1313" w:type="dxa"/>
            <w:tcBorders>
              <w:top w:val="single" w:sz="4" w:space="0" w:color="000000"/>
              <w:bottom w:val="single" w:sz="4" w:space="0" w:color="000000"/>
            </w:tcBorders>
          </w:tcPr>
          <w:p w:rsidR="00EA40A3" w:rsidRDefault="00E86C16">
            <w:pPr>
              <w:spacing w:before="111" w:line="197" w:lineRule="auto"/>
              <w:ind w:left="234" w:right="85" w:hanging="160"/>
              <w:rPr>
                <w:rFonts w:ascii="宋体" w:eastAsia="宋体" w:hAnsi="宋体" w:cs="宋体"/>
                <w:sz w:val="16"/>
                <w:szCs w:val="16"/>
              </w:rPr>
            </w:pPr>
            <w:r>
              <w:rPr>
                <w:rFonts w:ascii="宋体" w:eastAsia="宋体" w:hAnsi="宋体" w:cs="宋体"/>
                <w:spacing w:val="8"/>
                <w:sz w:val="16"/>
                <w:szCs w:val="16"/>
              </w:rPr>
              <w:t>蛋白质碳水化</w:t>
            </w:r>
            <w:r>
              <w:rPr>
                <w:rFonts w:ascii="宋体" w:eastAsia="宋体" w:hAnsi="宋体" w:cs="宋体"/>
                <w:sz w:val="16"/>
                <w:szCs w:val="16"/>
              </w:rPr>
              <w:t xml:space="preserve">   </w:t>
            </w:r>
            <w:r>
              <w:rPr>
                <w:rFonts w:ascii="宋体" w:eastAsia="宋体" w:hAnsi="宋体" w:cs="宋体"/>
                <w:spacing w:val="4"/>
                <w:position w:val="-1"/>
                <w:sz w:val="16"/>
                <w:szCs w:val="16"/>
              </w:rPr>
              <w:t>/g</w:t>
            </w:r>
            <w:r>
              <w:rPr>
                <w:rFonts w:ascii="宋体" w:eastAsia="宋体" w:hAnsi="宋体" w:cs="宋体"/>
                <w:spacing w:val="1"/>
                <w:position w:val="-1"/>
                <w:sz w:val="16"/>
                <w:szCs w:val="16"/>
              </w:rPr>
              <w:t xml:space="preserve">    </w:t>
            </w:r>
            <w:r>
              <w:rPr>
                <w:rFonts w:ascii="宋体" w:eastAsia="宋体" w:hAnsi="宋体" w:cs="宋体"/>
                <w:spacing w:val="4"/>
                <w:sz w:val="16"/>
                <w:szCs w:val="16"/>
              </w:rPr>
              <w:t>合物/g</w:t>
            </w:r>
          </w:p>
        </w:tc>
        <w:tc>
          <w:tcPr>
            <w:tcW w:w="532" w:type="dxa"/>
            <w:tcBorders>
              <w:top w:val="single" w:sz="4" w:space="0" w:color="000000"/>
              <w:bottom w:val="single" w:sz="4" w:space="0" w:color="000000"/>
            </w:tcBorders>
          </w:tcPr>
          <w:p w:rsidR="00EA40A3" w:rsidRDefault="00E86C16">
            <w:pPr>
              <w:spacing w:before="91" w:line="201" w:lineRule="auto"/>
              <w:ind w:left="91"/>
              <w:rPr>
                <w:rFonts w:ascii="宋体" w:eastAsia="宋体" w:hAnsi="宋体" w:cs="宋体"/>
                <w:sz w:val="17"/>
                <w:szCs w:val="17"/>
              </w:rPr>
            </w:pPr>
            <w:r>
              <w:rPr>
                <w:rFonts w:ascii="宋体" w:eastAsia="宋体" w:hAnsi="宋体" w:cs="宋体"/>
                <w:spacing w:val="-3"/>
                <w:sz w:val="17"/>
                <w:szCs w:val="17"/>
              </w:rPr>
              <w:t>纤维</w:t>
            </w:r>
          </w:p>
          <w:p w:rsidR="00EA40A3" w:rsidRDefault="00E86C16">
            <w:pPr>
              <w:spacing w:line="202" w:lineRule="auto"/>
              <w:ind w:left="182"/>
              <w:rPr>
                <w:rFonts w:ascii="宋体" w:eastAsia="宋体" w:hAnsi="宋体" w:cs="宋体"/>
                <w:sz w:val="17"/>
                <w:szCs w:val="17"/>
              </w:rPr>
            </w:pPr>
            <w:r>
              <w:rPr>
                <w:rFonts w:ascii="宋体" w:eastAsia="宋体" w:hAnsi="宋体" w:cs="宋体"/>
                <w:spacing w:val="-2"/>
                <w:sz w:val="17"/>
                <w:szCs w:val="17"/>
              </w:rPr>
              <w:t>/g</w:t>
            </w:r>
          </w:p>
        </w:tc>
        <w:tc>
          <w:tcPr>
            <w:tcW w:w="2586" w:type="dxa"/>
            <w:tcBorders>
              <w:top w:val="single" w:sz="4" w:space="0" w:color="000000"/>
              <w:bottom w:val="single" w:sz="4" w:space="0" w:color="000000"/>
            </w:tcBorders>
          </w:tcPr>
          <w:p w:rsidR="00EA40A3" w:rsidRDefault="00E86C16">
            <w:pPr>
              <w:spacing w:before="90" w:line="195" w:lineRule="auto"/>
              <w:ind w:left="119"/>
              <w:rPr>
                <w:rFonts w:ascii="宋体" w:eastAsia="宋体" w:hAnsi="宋体" w:cs="宋体"/>
                <w:sz w:val="14"/>
                <w:szCs w:val="14"/>
              </w:rPr>
            </w:pPr>
            <w:r>
              <w:rPr>
                <w:rFonts w:ascii="宋体" w:eastAsia="宋体" w:hAnsi="宋体" w:cs="宋体"/>
                <w:spacing w:val="11"/>
                <w:sz w:val="14"/>
                <w:szCs w:val="14"/>
              </w:rPr>
              <w:t>维生素维生素维生素C胡萝卜</w:t>
            </w:r>
          </w:p>
          <w:p w:rsidR="00EA40A3" w:rsidRDefault="00E86C16">
            <w:pPr>
              <w:spacing w:line="237" w:lineRule="auto"/>
              <w:ind w:left="119"/>
              <w:rPr>
                <w:rFonts w:ascii="宋体" w:eastAsia="宋体" w:hAnsi="宋体" w:cs="宋体"/>
                <w:sz w:val="14"/>
                <w:szCs w:val="14"/>
              </w:rPr>
            </w:pPr>
            <w:r>
              <w:rPr>
                <w:rFonts w:ascii="宋体" w:eastAsia="宋体" w:hAnsi="宋体" w:cs="宋体"/>
                <w:spacing w:val="8"/>
                <w:position w:val="-2"/>
                <w:sz w:val="14"/>
                <w:szCs w:val="14"/>
              </w:rPr>
              <w:t>B</w:t>
            </w:r>
            <w:r>
              <w:rPr>
                <w:rFonts w:ascii="Calibri" w:eastAsia="Calibri" w:hAnsi="Calibri" w:cs="Calibri"/>
                <w:spacing w:val="8"/>
                <w:position w:val="-2"/>
                <w:sz w:val="14"/>
                <w:szCs w:val="14"/>
              </w:rPr>
              <w:t>₁</w:t>
            </w:r>
            <w:r>
              <w:rPr>
                <w:rFonts w:ascii="宋体" w:eastAsia="宋体" w:hAnsi="宋体" w:cs="宋体"/>
                <w:spacing w:val="8"/>
                <w:position w:val="-2"/>
                <w:sz w:val="14"/>
                <w:szCs w:val="14"/>
              </w:rPr>
              <w:t>/</w:t>
            </w:r>
            <w:r>
              <w:rPr>
                <w:rFonts w:ascii="宋体" w:eastAsia="宋体" w:hAnsi="宋体" w:cs="宋体"/>
                <w:position w:val="-2"/>
                <w:sz w:val="14"/>
                <w:szCs w:val="14"/>
              </w:rPr>
              <w:t>mg</w:t>
            </w:r>
            <w:r>
              <w:rPr>
                <w:rFonts w:ascii="宋体" w:eastAsia="宋体" w:hAnsi="宋体" w:cs="宋体"/>
                <w:spacing w:val="7"/>
                <w:position w:val="-2"/>
                <w:sz w:val="14"/>
                <w:szCs w:val="14"/>
              </w:rPr>
              <w:t xml:space="preserve">    </w:t>
            </w:r>
            <w:r>
              <w:rPr>
                <w:rFonts w:ascii="宋体" w:eastAsia="宋体" w:hAnsi="宋体" w:cs="宋体"/>
                <w:position w:val="1"/>
                <w:sz w:val="14"/>
                <w:szCs w:val="14"/>
              </w:rPr>
              <w:t>B</w:t>
            </w:r>
            <w:r>
              <w:rPr>
                <w:rFonts w:ascii="宋体" w:eastAsia="宋体" w:hAnsi="宋体" w:cs="宋体"/>
                <w:spacing w:val="8"/>
                <w:position w:val="1"/>
                <w:sz w:val="14"/>
                <w:szCs w:val="14"/>
              </w:rPr>
              <w:t>?/</w:t>
            </w:r>
            <w:r>
              <w:rPr>
                <w:rFonts w:ascii="宋体" w:eastAsia="宋体" w:hAnsi="宋体" w:cs="宋体"/>
                <w:position w:val="1"/>
                <w:sz w:val="14"/>
                <w:szCs w:val="14"/>
              </w:rPr>
              <w:t>mg</w:t>
            </w:r>
            <w:r>
              <w:rPr>
                <w:rFonts w:ascii="宋体" w:eastAsia="宋体" w:hAnsi="宋体" w:cs="宋体"/>
                <w:spacing w:val="14"/>
                <w:position w:val="1"/>
                <w:sz w:val="14"/>
                <w:szCs w:val="14"/>
              </w:rPr>
              <w:t xml:space="preserve">    </w:t>
            </w:r>
            <w:r>
              <w:rPr>
                <w:rFonts w:ascii="宋体" w:eastAsia="宋体" w:hAnsi="宋体" w:cs="宋体"/>
                <w:spacing w:val="8"/>
                <w:position w:val="-2"/>
                <w:sz w:val="14"/>
                <w:szCs w:val="14"/>
              </w:rPr>
              <w:t>/</w:t>
            </w:r>
            <w:r>
              <w:rPr>
                <w:rFonts w:ascii="宋体" w:eastAsia="宋体" w:hAnsi="宋体" w:cs="宋体"/>
                <w:position w:val="-2"/>
                <w:sz w:val="14"/>
                <w:szCs w:val="14"/>
              </w:rPr>
              <w:t>mg</w:t>
            </w:r>
            <w:r>
              <w:rPr>
                <w:rFonts w:ascii="宋体" w:eastAsia="宋体" w:hAnsi="宋体" w:cs="宋体"/>
                <w:spacing w:val="15"/>
                <w:position w:val="-2"/>
                <w:sz w:val="14"/>
                <w:szCs w:val="14"/>
              </w:rPr>
              <w:t xml:space="preserve">    </w:t>
            </w:r>
            <w:r>
              <w:rPr>
                <w:rFonts w:ascii="宋体" w:eastAsia="宋体" w:hAnsi="宋体" w:cs="宋体"/>
                <w:spacing w:val="8"/>
                <w:sz w:val="14"/>
                <w:szCs w:val="14"/>
              </w:rPr>
              <w:t>素/</w:t>
            </w:r>
            <w:r>
              <w:rPr>
                <w:rFonts w:ascii="宋体" w:eastAsia="宋体" w:hAnsi="宋体" w:cs="宋体"/>
                <w:sz w:val="14"/>
                <w:szCs w:val="14"/>
              </w:rPr>
              <w:t>mg</w:t>
            </w:r>
          </w:p>
        </w:tc>
        <w:tc>
          <w:tcPr>
            <w:tcW w:w="630" w:type="dxa"/>
            <w:tcBorders>
              <w:top w:val="single" w:sz="4" w:space="0" w:color="000000"/>
              <w:bottom w:val="single" w:sz="4" w:space="0" w:color="000000"/>
            </w:tcBorders>
          </w:tcPr>
          <w:p w:rsidR="00EA40A3" w:rsidRDefault="00E86C16">
            <w:pPr>
              <w:spacing w:before="100" w:line="176" w:lineRule="exact"/>
              <w:ind w:left="183"/>
              <w:rPr>
                <w:rFonts w:ascii="宋体" w:eastAsia="宋体" w:hAnsi="宋体" w:cs="宋体"/>
                <w:sz w:val="12"/>
                <w:szCs w:val="12"/>
              </w:rPr>
            </w:pPr>
            <w:r>
              <w:rPr>
                <w:rFonts w:ascii="宋体" w:eastAsia="宋体" w:hAnsi="宋体" w:cs="宋体"/>
                <w:spacing w:val="-23"/>
                <w:position w:val="4"/>
                <w:sz w:val="12"/>
                <w:szCs w:val="12"/>
              </w:rPr>
              <w:t>·</w:t>
            </w:r>
            <w:r>
              <w:rPr>
                <w:rFonts w:ascii="宋体" w:eastAsia="宋体" w:hAnsi="宋体" w:cs="宋体"/>
                <w:position w:val="4"/>
                <w:sz w:val="12"/>
                <w:szCs w:val="12"/>
              </w:rPr>
              <w:t xml:space="preserve"> </w:t>
            </w:r>
            <w:r>
              <w:rPr>
                <w:rFonts w:ascii="宋体" w:eastAsia="宋体" w:hAnsi="宋体" w:cs="宋体"/>
                <w:spacing w:val="-23"/>
                <w:position w:val="4"/>
                <w:sz w:val="12"/>
                <w:szCs w:val="12"/>
              </w:rPr>
              <w:t>钾</w:t>
            </w:r>
          </w:p>
          <w:p w:rsidR="00EA40A3" w:rsidRDefault="00E86C16">
            <w:pPr>
              <w:spacing w:line="202" w:lineRule="auto"/>
              <w:ind w:left="183"/>
              <w:rPr>
                <w:rFonts w:ascii="宋体" w:eastAsia="宋体" w:hAnsi="宋体" w:cs="宋体"/>
                <w:sz w:val="17"/>
                <w:szCs w:val="17"/>
              </w:rPr>
            </w:pPr>
            <w:r>
              <w:rPr>
                <w:rFonts w:ascii="宋体" w:eastAsia="宋体" w:hAnsi="宋体" w:cs="宋体"/>
                <w:spacing w:val="-2"/>
                <w:sz w:val="17"/>
                <w:szCs w:val="17"/>
              </w:rPr>
              <w:t>/mg</w:t>
            </w:r>
          </w:p>
        </w:tc>
        <w:tc>
          <w:tcPr>
            <w:tcW w:w="1133" w:type="dxa"/>
            <w:tcBorders>
              <w:top w:val="single" w:sz="4" w:space="0" w:color="000000"/>
              <w:bottom w:val="single" w:sz="4" w:space="0" w:color="000000"/>
            </w:tcBorders>
          </w:tcPr>
          <w:p w:rsidR="00EA40A3" w:rsidRDefault="00E86C16">
            <w:pPr>
              <w:spacing w:before="92" w:line="201" w:lineRule="auto"/>
              <w:ind w:left="203" w:right="164" w:firstLine="89"/>
              <w:rPr>
                <w:rFonts w:ascii="宋体" w:eastAsia="宋体" w:hAnsi="宋体" w:cs="宋体"/>
                <w:sz w:val="17"/>
                <w:szCs w:val="17"/>
              </w:rPr>
            </w:pPr>
            <w:r>
              <w:rPr>
                <w:rFonts w:ascii="宋体" w:eastAsia="宋体" w:hAnsi="宋体" w:cs="宋体"/>
                <w:spacing w:val="-6"/>
                <w:sz w:val="17"/>
                <w:szCs w:val="17"/>
              </w:rPr>
              <w:t>钙</w:t>
            </w:r>
            <w:r>
              <w:rPr>
                <w:rFonts w:ascii="宋体" w:eastAsia="宋体" w:hAnsi="宋体" w:cs="宋体"/>
                <w:spacing w:val="1"/>
                <w:sz w:val="17"/>
                <w:szCs w:val="17"/>
              </w:rPr>
              <w:t xml:space="preserve">    </w:t>
            </w:r>
            <w:r>
              <w:rPr>
                <w:rFonts w:ascii="宋体" w:eastAsia="宋体" w:hAnsi="宋体" w:cs="宋体"/>
                <w:spacing w:val="-6"/>
                <w:sz w:val="17"/>
                <w:szCs w:val="17"/>
              </w:rPr>
              <w:t>铁</w:t>
            </w:r>
            <w:r>
              <w:rPr>
                <w:rFonts w:ascii="宋体" w:eastAsia="宋体" w:hAnsi="宋体" w:cs="宋体"/>
                <w:spacing w:val="1"/>
                <w:sz w:val="17"/>
                <w:szCs w:val="17"/>
              </w:rPr>
              <w:t xml:space="preserve"> </w:t>
            </w:r>
            <w:r>
              <w:rPr>
                <w:rFonts w:ascii="宋体" w:eastAsia="宋体" w:hAnsi="宋体" w:cs="宋体"/>
                <w:spacing w:val="-1"/>
                <w:sz w:val="17"/>
                <w:szCs w:val="17"/>
              </w:rPr>
              <w:t>/mg/mg</w:t>
            </w:r>
          </w:p>
        </w:tc>
      </w:tr>
      <w:tr w:rsidR="00EA40A3">
        <w:trPr>
          <w:trHeight w:val="478"/>
        </w:trPr>
        <w:tc>
          <w:tcPr>
            <w:tcW w:w="595" w:type="dxa"/>
            <w:tcBorders>
              <w:top w:val="single" w:sz="4" w:space="0" w:color="000000"/>
            </w:tcBorders>
          </w:tcPr>
          <w:p w:rsidR="00EA40A3" w:rsidRDefault="00E86C16">
            <w:pPr>
              <w:spacing w:before="89" w:line="195" w:lineRule="auto"/>
              <w:ind w:left="119"/>
              <w:rPr>
                <w:rFonts w:ascii="宋体" w:eastAsia="宋体" w:hAnsi="宋体" w:cs="宋体"/>
                <w:sz w:val="17"/>
                <w:szCs w:val="17"/>
              </w:rPr>
            </w:pPr>
            <w:r>
              <w:rPr>
                <w:rFonts w:ascii="宋体" w:eastAsia="宋体" w:hAnsi="宋体" w:cs="宋体"/>
                <w:spacing w:val="5"/>
                <w:sz w:val="17"/>
                <w:szCs w:val="17"/>
              </w:rPr>
              <w:t>红心</w:t>
            </w:r>
          </w:p>
          <w:p w:rsidR="00EA40A3" w:rsidRDefault="00E86C16">
            <w:pPr>
              <w:spacing w:line="219" w:lineRule="auto"/>
              <w:ind w:left="119"/>
              <w:rPr>
                <w:rFonts w:ascii="宋体" w:eastAsia="宋体" w:hAnsi="宋体" w:cs="宋体"/>
                <w:sz w:val="17"/>
                <w:szCs w:val="17"/>
              </w:rPr>
            </w:pPr>
            <w:r>
              <w:rPr>
                <w:rFonts w:ascii="宋体" w:eastAsia="宋体" w:hAnsi="宋体" w:cs="宋体"/>
                <w:spacing w:val="-2"/>
                <w:sz w:val="17"/>
                <w:szCs w:val="17"/>
              </w:rPr>
              <w:t>甘薯</w:t>
            </w:r>
          </w:p>
        </w:tc>
        <w:tc>
          <w:tcPr>
            <w:tcW w:w="540" w:type="dxa"/>
            <w:tcBorders>
              <w:top w:val="single" w:sz="4" w:space="0" w:color="000000"/>
            </w:tcBorders>
          </w:tcPr>
          <w:p w:rsidR="00EA40A3" w:rsidRDefault="00E86C16">
            <w:pPr>
              <w:spacing w:before="222" w:line="183" w:lineRule="auto"/>
              <w:ind w:left="144"/>
              <w:rPr>
                <w:rFonts w:ascii="宋体" w:eastAsia="宋体" w:hAnsi="宋体" w:cs="宋体"/>
                <w:sz w:val="17"/>
                <w:szCs w:val="17"/>
              </w:rPr>
            </w:pPr>
            <w:r>
              <w:rPr>
                <w:rFonts w:ascii="宋体" w:eastAsia="宋体" w:hAnsi="宋体" w:cs="宋体"/>
                <w:spacing w:val="-2"/>
                <w:sz w:val="17"/>
                <w:szCs w:val="17"/>
              </w:rPr>
              <w:t>99</w:t>
            </w:r>
          </w:p>
        </w:tc>
        <w:tc>
          <w:tcPr>
            <w:tcW w:w="1313" w:type="dxa"/>
            <w:tcBorders>
              <w:top w:val="single" w:sz="4" w:space="0" w:color="000000"/>
            </w:tcBorders>
          </w:tcPr>
          <w:p w:rsidR="00EA40A3" w:rsidRDefault="00E86C16">
            <w:pPr>
              <w:spacing w:before="212" w:line="194" w:lineRule="auto"/>
              <w:ind w:left="184"/>
              <w:rPr>
                <w:rFonts w:ascii="宋体" w:eastAsia="宋体" w:hAnsi="宋体" w:cs="宋体"/>
                <w:sz w:val="17"/>
                <w:szCs w:val="17"/>
              </w:rPr>
            </w:pPr>
            <w:r>
              <w:rPr>
                <w:rFonts w:ascii="宋体" w:eastAsia="宋体" w:hAnsi="宋体" w:cs="宋体"/>
                <w:spacing w:val="-4"/>
                <w:sz w:val="17"/>
                <w:szCs w:val="17"/>
              </w:rPr>
              <w:t>1.1</w:t>
            </w:r>
            <w:r>
              <w:rPr>
                <w:rFonts w:ascii="宋体" w:eastAsia="宋体" w:hAnsi="宋体" w:cs="宋体"/>
                <w:spacing w:val="6"/>
                <w:sz w:val="17"/>
                <w:szCs w:val="17"/>
              </w:rPr>
              <w:t xml:space="preserve">    </w:t>
            </w:r>
            <w:r>
              <w:rPr>
                <w:rFonts w:ascii="宋体" w:eastAsia="宋体" w:hAnsi="宋体" w:cs="宋体"/>
                <w:spacing w:val="-4"/>
                <w:sz w:val="17"/>
                <w:szCs w:val="17"/>
              </w:rPr>
              <w:t>24.7</w:t>
            </w:r>
          </w:p>
        </w:tc>
        <w:tc>
          <w:tcPr>
            <w:tcW w:w="532" w:type="dxa"/>
            <w:tcBorders>
              <w:top w:val="single" w:sz="4" w:space="0" w:color="000000"/>
            </w:tcBorders>
          </w:tcPr>
          <w:p w:rsidR="00EA40A3" w:rsidRDefault="00E86C16">
            <w:pPr>
              <w:spacing w:before="221" w:line="184" w:lineRule="auto"/>
              <w:ind w:left="131"/>
              <w:rPr>
                <w:rFonts w:ascii="宋体" w:eastAsia="宋体" w:hAnsi="宋体" w:cs="宋体"/>
                <w:sz w:val="17"/>
                <w:szCs w:val="17"/>
              </w:rPr>
            </w:pPr>
            <w:r>
              <w:rPr>
                <w:rFonts w:ascii="宋体" w:eastAsia="宋体" w:hAnsi="宋体" w:cs="宋体"/>
                <w:spacing w:val="-5"/>
                <w:sz w:val="17"/>
                <w:szCs w:val="17"/>
              </w:rPr>
              <w:t>1.6</w:t>
            </w:r>
          </w:p>
        </w:tc>
        <w:tc>
          <w:tcPr>
            <w:tcW w:w="2586" w:type="dxa"/>
            <w:tcBorders>
              <w:top w:val="single" w:sz="4" w:space="0" w:color="000000"/>
            </w:tcBorders>
          </w:tcPr>
          <w:p w:rsidR="00EA40A3" w:rsidRDefault="00E86C16">
            <w:pPr>
              <w:spacing w:before="213" w:line="193" w:lineRule="auto"/>
              <w:ind w:left="179"/>
              <w:rPr>
                <w:rFonts w:ascii="宋体" w:eastAsia="宋体" w:hAnsi="宋体" w:cs="宋体"/>
                <w:sz w:val="17"/>
                <w:szCs w:val="17"/>
              </w:rPr>
            </w:pPr>
            <w:r>
              <w:rPr>
                <w:rFonts w:ascii="宋体" w:eastAsia="宋体" w:hAnsi="宋体" w:cs="宋体"/>
                <w:spacing w:val="-3"/>
                <w:sz w:val="17"/>
                <w:szCs w:val="17"/>
              </w:rPr>
              <w:t>0.04</w:t>
            </w:r>
            <w:r>
              <w:rPr>
                <w:rFonts w:ascii="宋体" w:eastAsia="宋体" w:hAnsi="宋体" w:cs="宋体"/>
                <w:spacing w:val="21"/>
                <w:sz w:val="17"/>
                <w:szCs w:val="17"/>
              </w:rPr>
              <w:t xml:space="preserve">   </w:t>
            </w:r>
            <w:r>
              <w:rPr>
                <w:rFonts w:ascii="宋体" w:eastAsia="宋体" w:hAnsi="宋体" w:cs="宋体"/>
                <w:spacing w:val="-3"/>
                <w:sz w:val="17"/>
                <w:szCs w:val="17"/>
              </w:rPr>
              <w:t>0.04</w:t>
            </w:r>
            <w:r>
              <w:rPr>
                <w:rFonts w:ascii="宋体" w:eastAsia="宋体" w:hAnsi="宋体" w:cs="宋体"/>
                <w:spacing w:val="12"/>
                <w:sz w:val="17"/>
                <w:szCs w:val="17"/>
              </w:rPr>
              <w:t xml:space="preserve">    </w:t>
            </w:r>
            <w:r>
              <w:rPr>
                <w:rFonts w:ascii="宋体" w:eastAsia="宋体" w:hAnsi="宋体" w:cs="宋体"/>
                <w:spacing w:val="-3"/>
                <w:sz w:val="17"/>
                <w:szCs w:val="17"/>
              </w:rPr>
              <w:t>26</w:t>
            </w:r>
            <w:r>
              <w:rPr>
                <w:rFonts w:ascii="宋体" w:eastAsia="宋体" w:hAnsi="宋体" w:cs="宋体"/>
                <w:spacing w:val="9"/>
                <w:sz w:val="17"/>
                <w:szCs w:val="17"/>
              </w:rPr>
              <w:t xml:space="preserve">    </w:t>
            </w:r>
            <w:r>
              <w:rPr>
                <w:rFonts w:ascii="宋体" w:eastAsia="宋体" w:hAnsi="宋体" w:cs="宋体"/>
                <w:spacing w:val="-3"/>
                <w:sz w:val="17"/>
                <w:szCs w:val="17"/>
              </w:rPr>
              <w:t>0.75</w:t>
            </w:r>
          </w:p>
        </w:tc>
        <w:tc>
          <w:tcPr>
            <w:tcW w:w="630" w:type="dxa"/>
            <w:tcBorders>
              <w:top w:val="single" w:sz="4" w:space="0" w:color="000000"/>
            </w:tcBorders>
          </w:tcPr>
          <w:p w:rsidR="00EA40A3" w:rsidRDefault="00E86C16">
            <w:pPr>
              <w:spacing w:before="222" w:line="183" w:lineRule="auto"/>
              <w:ind w:left="183"/>
              <w:rPr>
                <w:rFonts w:ascii="宋体" w:eastAsia="宋体" w:hAnsi="宋体" w:cs="宋体"/>
                <w:sz w:val="17"/>
                <w:szCs w:val="17"/>
              </w:rPr>
            </w:pPr>
            <w:r>
              <w:rPr>
                <w:rFonts w:ascii="宋体" w:eastAsia="宋体" w:hAnsi="宋体" w:cs="宋体"/>
                <w:spacing w:val="-3"/>
                <w:sz w:val="17"/>
                <w:szCs w:val="17"/>
              </w:rPr>
              <w:t>39</w:t>
            </w:r>
          </w:p>
        </w:tc>
        <w:tc>
          <w:tcPr>
            <w:tcW w:w="1133" w:type="dxa"/>
            <w:tcBorders>
              <w:top w:val="single" w:sz="4" w:space="0" w:color="000000"/>
            </w:tcBorders>
          </w:tcPr>
          <w:p w:rsidR="00EA40A3" w:rsidRDefault="00E86C16">
            <w:pPr>
              <w:spacing w:before="222" w:line="183" w:lineRule="auto"/>
              <w:ind w:left="243"/>
              <w:rPr>
                <w:rFonts w:ascii="宋体" w:eastAsia="宋体" w:hAnsi="宋体" w:cs="宋体"/>
                <w:sz w:val="17"/>
                <w:szCs w:val="17"/>
              </w:rPr>
            </w:pPr>
            <w:r>
              <w:rPr>
                <w:rFonts w:ascii="宋体" w:eastAsia="宋体" w:hAnsi="宋体" w:cs="宋体"/>
                <w:spacing w:val="-3"/>
                <w:sz w:val="17"/>
                <w:szCs w:val="17"/>
              </w:rPr>
              <w:t>23</w:t>
            </w:r>
            <w:r>
              <w:rPr>
                <w:rFonts w:ascii="宋体" w:eastAsia="宋体" w:hAnsi="宋体" w:cs="宋体"/>
                <w:spacing w:val="2"/>
                <w:sz w:val="17"/>
                <w:szCs w:val="17"/>
              </w:rPr>
              <w:t xml:space="preserve">    </w:t>
            </w:r>
            <w:r>
              <w:rPr>
                <w:rFonts w:ascii="宋体" w:eastAsia="宋体" w:hAnsi="宋体" w:cs="宋体"/>
                <w:spacing w:val="-3"/>
                <w:sz w:val="17"/>
                <w:szCs w:val="17"/>
              </w:rPr>
              <w:t>0.5</w:t>
            </w:r>
          </w:p>
        </w:tc>
      </w:tr>
      <w:tr w:rsidR="00EA40A3">
        <w:trPr>
          <w:trHeight w:val="260"/>
        </w:trPr>
        <w:tc>
          <w:tcPr>
            <w:tcW w:w="595" w:type="dxa"/>
          </w:tcPr>
          <w:p w:rsidR="00EA40A3" w:rsidRDefault="00E86C16">
            <w:pPr>
              <w:spacing w:before="51" w:line="219" w:lineRule="auto"/>
              <w:ind w:left="29"/>
              <w:rPr>
                <w:rFonts w:ascii="宋体" w:eastAsia="宋体" w:hAnsi="宋体" w:cs="宋体"/>
                <w:sz w:val="17"/>
                <w:szCs w:val="17"/>
              </w:rPr>
            </w:pPr>
            <w:r>
              <w:rPr>
                <w:rFonts w:ascii="宋体" w:eastAsia="宋体" w:hAnsi="宋体" w:cs="宋体"/>
                <w:spacing w:val="3"/>
                <w:sz w:val="17"/>
                <w:szCs w:val="17"/>
              </w:rPr>
              <w:t>马铃薯</w:t>
            </w:r>
          </w:p>
        </w:tc>
        <w:tc>
          <w:tcPr>
            <w:tcW w:w="540" w:type="dxa"/>
          </w:tcPr>
          <w:p w:rsidR="00EA40A3" w:rsidRDefault="00E86C16">
            <w:pPr>
              <w:spacing w:before="104" w:line="169" w:lineRule="auto"/>
              <w:ind w:left="144"/>
              <w:rPr>
                <w:rFonts w:ascii="宋体" w:eastAsia="宋体" w:hAnsi="宋体" w:cs="宋体"/>
                <w:sz w:val="17"/>
                <w:szCs w:val="17"/>
              </w:rPr>
            </w:pPr>
            <w:r>
              <w:rPr>
                <w:rFonts w:ascii="宋体" w:eastAsia="宋体" w:hAnsi="宋体" w:cs="宋体"/>
                <w:spacing w:val="-3"/>
                <w:sz w:val="17"/>
                <w:szCs w:val="17"/>
              </w:rPr>
              <w:t>76</w:t>
            </w:r>
          </w:p>
        </w:tc>
        <w:tc>
          <w:tcPr>
            <w:tcW w:w="1313" w:type="dxa"/>
          </w:tcPr>
          <w:p w:rsidR="00EA40A3" w:rsidRDefault="00E86C16">
            <w:pPr>
              <w:spacing w:before="94" w:line="180" w:lineRule="auto"/>
              <w:ind w:left="184"/>
              <w:rPr>
                <w:rFonts w:ascii="宋体" w:eastAsia="宋体" w:hAnsi="宋体" w:cs="宋体"/>
                <w:sz w:val="17"/>
                <w:szCs w:val="17"/>
              </w:rPr>
            </w:pPr>
            <w:r>
              <w:rPr>
                <w:rFonts w:ascii="宋体" w:eastAsia="宋体" w:hAnsi="宋体" w:cs="宋体"/>
                <w:spacing w:val="-4"/>
                <w:sz w:val="17"/>
                <w:szCs w:val="17"/>
              </w:rPr>
              <w:t>2.0</w:t>
            </w:r>
            <w:r>
              <w:rPr>
                <w:rFonts w:ascii="宋体" w:eastAsia="宋体" w:hAnsi="宋体" w:cs="宋体"/>
                <w:spacing w:val="4"/>
                <w:sz w:val="17"/>
                <w:szCs w:val="17"/>
              </w:rPr>
              <w:t xml:space="preserve">    </w:t>
            </w:r>
            <w:r>
              <w:rPr>
                <w:rFonts w:ascii="宋体" w:eastAsia="宋体" w:hAnsi="宋体" w:cs="宋体"/>
                <w:spacing w:val="-4"/>
                <w:sz w:val="17"/>
                <w:szCs w:val="17"/>
              </w:rPr>
              <w:t>17.2</w:t>
            </w:r>
          </w:p>
        </w:tc>
        <w:tc>
          <w:tcPr>
            <w:tcW w:w="532" w:type="dxa"/>
          </w:tcPr>
          <w:p w:rsidR="00EA40A3" w:rsidRDefault="00E86C16">
            <w:pPr>
              <w:spacing w:before="104" w:line="169" w:lineRule="auto"/>
              <w:ind w:left="131"/>
              <w:rPr>
                <w:rFonts w:ascii="宋体" w:eastAsia="宋体" w:hAnsi="宋体" w:cs="宋体"/>
                <w:sz w:val="17"/>
                <w:szCs w:val="17"/>
              </w:rPr>
            </w:pPr>
            <w:r>
              <w:rPr>
                <w:rFonts w:ascii="宋体" w:eastAsia="宋体" w:hAnsi="宋体" w:cs="宋体"/>
                <w:spacing w:val="-2"/>
                <w:sz w:val="17"/>
                <w:szCs w:val="17"/>
              </w:rPr>
              <w:t>0.7</w:t>
            </w:r>
          </w:p>
        </w:tc>
        <w:tc>
          <w:tcPr>
            <w:tcW w:w="2586" w:type="dxa"/>
          </w:tcPr>
          <w:p w:rsidR="00EA40A3" w:rsidRDefault="00E86C16">
            <w:pPr>
              <w:spacing w:before="95" w:line="179" w:lineRule="auto"/>
              <w:ind w:left="179"/>
              <w:rPr>
                <w:rFonts w:ascii="宋体" w:eastAsia="宋体" w:hAnsi="宋体" w:cs="宋体"/>
                <w:sz w:val="17"/>
                <w:szCs w:val="17"/>
              </w:rPr>
            </w:pPr>
            <w:r>
              <w:rPr>
                <w:rFonts w:ascii="宋体" w:eastAsia="宋体" w:hAnsi="宋体" w:cs="宋体"/>
                <w:spacing w:val="-3"/>
                <w:sz w:val="17"/>
                <w:szCs w:val="17"/>
              </w:rPr>
              <w:t>0.08</w:t>
            </w:r>
            <w:r>
              <w:rPr>
                <w:rFonts w:ascii="宋体" w:eastAsia="宋体" w:hAnsi="宋体" w:cs="宋体"/>
                <w:spacing w:val="21"/>
                <w:sz w:val="17"/>
                <w:szCs w:val="17"/>
              </w:rPr>
              <w:t xml:space="preserve">   </w:t>
            </w:r>
            <w:r>
              <w:rPr>
                <w:rFonts w:ascii="宋体" w:eastAsia="宋体" w:hAnsi="宋体" w:cs="宋体"/>
                <w:spacing w:val="-3"/>
                <w:sz w:val="17"/>
                <w:szCs w:val="17"/>
              </w:rPr>
              <w:t>0.04</w:t>
            </w:r>
            <w:r>
              <w:rPr>
                <w:rFonts w:ascii="宋体" w:eastAsia="宋体" w:hAnsi="宋体" w:cs="宋体"/>
                <w:spacing w:val="12"/>
                <w:sz w:val="17"/>
                <w:szCs w:val="17"/>
              </w:rPr>
              <w:t xml:space="preserve">    </w:t>
            </w:r>
            <w:r>
              <w:rPr>
                <w:rFonts w:ascii="宋体" w:eastAsia="宋体" w:hAnsi="宋体" w:cs="宋体"/>
                <w:spacing w:val="-3"/>
                <w:sz w:val="17"/>
                <w:szCs w:val="17"/>
              </w:rPr>
              <w:t>27</w:t>
            </w:r>
            <w:r>
              <w:rPr>
                <w:rFonts w:ascii="宋体" w:eastAsia="宋体" w:hAnsi="宋体" w:cs="宋体"/>
                <w:spacing w:val="9"/>
                <w:sz w:val="17"/>
                <w:szCs w:val="17"/>
              </w:rPr>
              <w:t xml:space="preserve">    </w:t>
            </w:r>
            <w:r>
              <w:rPr>
                <w:rFonts w:ascii="宋体" w:eastAsia="宋体" w:hAnsi="宋体" w:cs="宋体"/>
                <w:spacing w:val="-3"/>
                <w:sz w:val="17"/>
                <w:szCs w:val="17"/>
              </w:rPr>
              <w:t>0.03</w:t>
            </w:r>
          </w:p>
        </w:tc>
        <w:tc>
          <w:tcPr>
            <w:tcW w:w="630" w:type="dxa"/>
          </w:tcPr>
          <w:p w:rsidR="00EA40A3" w:rsidRDefault="00E86C16">
            <w:pPr>
              <w:spacing w:before="104" w:line="169" w:lineRule="auto"/>
              <w:ind w:left="183"/>
              <w:rPr>
                <w:rFonts w:ascii="宋体" w:eastAsia="宋体" w:hAnsi="宋体" w:cs="宋体"/>
                <w:sz w:val="17"/>
                <w:szCs w:val="17"/>
              </w:rPr>
            </w:pPr>
            <w:r>
              <w:rPr>
                <w:rFonts w:ascii="宋体" w:eastAsia="宋体" w:hAnsi="宋体" w:cs="宋体"/>
                <w:spacing w:val="-2"/>
                <w:sz w:val="17"/>
                <w:szCs w:val="17"/>
              </w:rPr>
              <w:t>40</w:t>
            </w:r>
          </w:p>
        </w:tc>
        <w:tc>
          <w:tcPr>
            <w:tcW w:w="1133" w:type="dxa"/>
          </w:tcPr>
          <w:p w:rsidR="00EA40A3" w:rsidRDefault="00E86C16">
            <w:pPr>
              <w:spacing w:before="95" w:line="179" w:lineRule="auto"/>
              <w:ind w:left="323"/>
              <w:rPr>
                <w:rFonts w:ascii="宋体" w:eastAsia="宋体" w:hAnsi="宋体" w:cs="宋体"/>
                <w:sz w:val="17"/>
                <w:szCs w:val="17"/>
              </w:rPr>
            </w:pPr>
            <w:r>
              <w:rPr>
                <w:rFonts w:ascii="宋体" w:eastAsia="宋体" w:hAnsi="宋体" w:cs="宋体"/>
                <w:spacing w:val="-4"/>
                <w:sz w:val="17"/>
                <w:szCs w:val="17"/>
              </w:rPr>
              <w:t>8</w:t>
            </w:r>
            <w:r>
              <w:rPr>
                <w:rFonts w:ascii="宋体" w:eastAsia="宋体" w:hAnsi="宋体" w:cs="宋体"/>
                <w:spacing w:val="3"/>
                <w:sz w:val="17"/>
                <w:szCs w:val="17"/>
              </w:rPr>
              <w:t xml:space="preserve">    </w:t>
            </w:r>
            <w:r>
              <w:rPr>
                <w:rFonts w:ascii="宋体" w:eastAsia="宋体" w:hAnsi="宋体" w:cs="宋体"/>
                <w:spacing w:val="-4"/>
                <w:sz w:val="17"/>
                <w:szCs w:val="17"/>
              </w:rPr>
              <w:t>0.8</w:t>
            </w:r>
          </w:p>
        </w:tc>
      </w:tr>
      <w:tr w:rsidR="00EA40A3">
        <w:trPr>
          <w:trHeight w:val="264"/>
        </w:trPr>
        <w:tc>
          <w:tcPr>
            <w:tcW w:w="595" w:type="dxa"/>
          </w:tcPr>
          <w:p w:rsidR="00EA40A3" w:rsidRDefault="00E86C16">
            <w:pPr>
              <w:spacing w:before="51" w:line="220" w:lineRule="auto"/>
              <w:ind w:left="119"/>
              <w:rPr>
                <w:rFonts w:ascii="宋体" w:eastAsia="宋体" w:hAnsi="宋体" w:cs="宋体"/>
                <w:sz w:val="17"/>
                <w:szCs w:val="17"/>
              </w:rPr>
            </w:pPr>
            <w:r>
              <w:rPr>
                <w:rFonts w:ascii="宋体" w:eastAsia="宋体" w:hAnsi="宋体" w:cs="宋体"/>
                <w:spacing w:val="4"/>
                <w:sz w:val="17"/>
                <w:szCs w:val="17"/>
              </w:rPr>
              <w:t>山药</w:t>
            </w:r>
          </w:p>
        </w:tc>
        <w:tc>
          <w:tcPr>
            <w:tcW w:w="540" w:type="dxa"/>
          </w:tcPr>
          <w:p w:rsidR="00EA40A3" w:rsidRDefault="00E86C16">
            <w:pPr>
              <w:spacing w:before="94" w:line="183" w:lineRule="auto"/>
              <w:ind w:left="144"/>
              <w:rPr>
                <w:rFonts w:ascii="宋体" w:eastAsia="宋体" w:hAnsi="宋体" w:cs="宋体"/>
                <w:sz w:val="17"/>
                <w:szCs w:val="17"/>
              </w:rPr>
            </w:pPr>
            <w:r>
              <w:rPr>
                <w:rFonts w:ascii="宋体" w:eastAsia="宋体" w:hAnsi="宋体" w:cs="宋体"/>
                <w:spacing w:val="-3"/>
                <w:sz w:val="17"/>
                <w:szCs w:val="17"/>
              </w:rPr>
              <w:t>56</w:t>
            </w:r>
          </w:p>
        </w:tc>
        <w:tc>
          <w:tcPr>
            <w:tcW w:w="1313" w:type="dxa"/>
          </w:tcPr>
          <w:p w:rsidR="00EA40A3" w:rsidRDefault="00E86C16">
            <w:pPr>
              <w:spacing w:before="94" w:line="184" w:lineRule="auto"/>
              <w:ind w:left="184"/>
              <w:rPr>
                <w:rFonts w:ascii="宋体" w:eastAsia="宋体" w:hAnsi="宋体" w:cs="宋体"/>
                <w:sz w:val="17"/>
                <w:szCs w:val="17"/>
              </w:rPr>
            </w:pPr>
            <w:r>
              <w:rPr>
                <w:rFonts w:ascii="宋体" w:eastAsia="宋体" w:hAnsi="宋体" w:cs="宋体"/>
                <w:spacing w:val="-5"/>
                <w:sz w:val="17"/>
                <w:szCs w:val="17"/>
              </w:rPr>
              <w:t>1.9</w:t>
            </w:r>
            <w:r>
              <w:rPr>
                <w:rFonts w:ascii="宋体" w:eastAsia="宋体" w:hAnsi="宋体" w:cs="宋体"/>
                <w:spacing w:val="6"/>
                <w:sz w:val="17"/>
                <w:szCs w:val="17"/>
              </w:rPr>
              <w:t xml:space="preserve">    </w:t>
            </w:r>
            <w:r>
              <w:rPr>
                <w:rFonts w:ascii="宋体" w:eastAsia="宋体" w:hAnsi="宋体" w:cs="宋体"/>
                <w:spacing w:val="-5"/>
                <w:sz w:val="17"/>
                <w:szCs w:val="17"/>
              </w:rPr>
              <w:t>12.4</w:t>
            </w:r>
          </w:p>
        </w:tc>
        <w:tc>
          <w:tcPr>
            <w:tcW w:w="532" w:type="dxa"/>
          </w:tcPr>
          <w:p w:rsidR="00EA40A3" w:rsidRDefault="00E86C16">
            <w:pPr>
              <w:spacing w:before="94" w:line="183" w:lineRule="auto"/>
              <w:ind w:left="131"/>
              <w:rPr>
                <w:rFonts w:ascii="宋体" w:eastAsia="宋体" w:hAnsi="宋体" w:cs="宋体"/>
                <w:sz w:val="17"/>
                <w:szCs w:val="17"/>
              </w:rPr>
            </w:pPr>
            <w:r>
              <w:rPr>
                <w:rFonts w:ascii="宋体" w:eastAsia="宋体" w:hAnsi="宋体" w:cs="宋体"/>
                <w:spacing w:val="-2"/>
                <w:sz w:val="17"/>
                <w:szCs w:val="17"/>
              </w:rPr>
              <w:t>0.8</w:t>
            </w:r>
          </w:p>
        </w:tc>
        <w:tc>
          <w:tcPr>
            <w:tcW w:w="2586" w:type="dxa"/>
          </w:tcPr>
          <w:p w:rsidR="00EA40A3" w:rsidRDefault="00E86C16">
            <w:pPr>
              <w:spacing w:before="94" w:line="183" w:lineRule="auto"/>
              <w:ind w:left="179"/>
              <w:rPr>
                <w:rFonts w:ascii="宋体" w:eastAsia="宋体" w:hAnsi="宋体" w:cs="宋体"/>
                <w:sz w:val="17"/>
                <w:szCs w:val="17"/>
              </w:rPr>
            </w:pPr>
            <w:r>
              <w:rPr>
                <w:rFonts w:ascii="宋体" w:eastAsia="宋体" w:hAnsi="宋体" w:cs="宋体"/>
                <w:spacing w:val="-3"/>
                <w:sz w:val="17"/>
                <w:szCs w:val="17"/>
              </w:rPr>
              <w:t>0.05</w:t>
            </w:r>
            <w:r>
              <w:rPr>
                <w:rFonts w:ascii="宋体" w:eastAsia="宋体" w:hAnsi="宋体" w:cs="宋体"/>
                <w:spacing w:val="20"/>
                <w:sz w:val="17"/>
                <w:szCs w:val="17"/>
              </w:rPr>
              <w:t xml:space="preserve">   </w:t>
            </w:r>
            <w:r>
              <w:rPr>
                <w:rFonts w:ascii="宋体" w:eastAsia="宋体" w:hAnsi="宋体" w:cs="宋体"/>
                <w:spacing w:val="-3"/>
                <w:sz w:val="17"/>
                <w:szCs w:val="17"/>
              </w:rPr>
              <w:t>0.02</w:t>
            </w:r>
            <w:r>
              <w:rPr>
                <w:rFonts w:ascii="宋体" w:eastAsia="宋体" w:hAnsi="宋体" w:cs="宋体"/>
                <w:spacing w:val="2"/>
                <w:sz w:val="17"/>
                <w:szCs w:val="17"/>
              </w:rPr>
              <w:t xml:space="preserve">     </w:t>
            </w:r>
            <w:r>
              <w:rPr>
                <w:rFonts w:ascii="宋体" w:eastAsia="宋体" w:hAnsi="宋体" w:cs="宋体"/>
                <w:spacing w:val="-3"/>
                <w:position w:val="1"/>
                <w:sz w:val="12"/>
                <w:szCs w:val="12"/>
              </w:rPr>
              <w:t>5</w:t>
            </w:r>
            <w:r>
              <w:rPr>
                <w:rFonts w:ascii="宋体" w:eastAsia="宋体" w:hAnsi="宋体" w:cs="宋体"/>
                <w:spacing w:val="3"/>
                <w:position w:val="1"/>
                <w:sz w:val="12"/>
                <w:szCs w:val="12"/>
              </w:rPr>
              <w:t xml:space="preserve">       </w:t>
            </w:r>
            <w:r>
              <w:rPr>
                <w:rFonts w:ascii="宋体" w:eastAsia="宋体" w:hAnsi="宋体" w:cs="宋体"/>
                <w:spacing w:val="-3"/>
                <w:sz w:val="17"/>
                <w:szCs w:val="17"/>
              </w:rPr>
              <w:t>0.02</w:t>
            </w:r>
          </w:p>
        </w:tc>
        <w:tc>
          <w:tcPr>
            <w:tcW w:w="630" w:type="dxa"/>
          </w:tcPr>
          <w:p w:rsidR="00EA40A3" w:rsidRDefault="00E86C16">
            <w:pPr>
              <w:spacing w:before="93" w:line="184" w:lineRule="auto"/>
              <w:ind w:left="183"/>
              <w:rPr>
                <w:rFonts w:ascii="宋体" w:eastAsia="宋体" w:hAnsi="宋体" w:cs="宋体"/>
                <w:sz w:val="17"/>
                <w:szCs w:val="17"/>
              </w:rPr>
            </w:pPr>
            <w:r>
              <w:rPr>
                <w:rFonts w:ascii="宋体" w:eastAsia="宋体" w:hAnsi="宋体" w:cs="宋体"/>
                <w:spacing w:val="-2"/>
                <w:sz w:val="17"/>
                <w:szCs w:val="17"/>
              </w:rPr>
              <w:t>213</w:t>
            </w:r>
          </w:p>
        </w:tc>
        <w:tc>
          <w:tcPr>
            <w:tcW w:w="1133" w:type="dxa"/>
          </w:tcPr>
          <w:p w:rsidR="00EA40A3" w:rsidRDefault="00E86C16">
            <w:pPr>
              <w:spacing w:before="94" w:line="184" w:lineRule="auto"/>
              <w:ind w:left="243"/>
              <w:rPr>
                <w:rFonts w:ascii="宋体" w:eastAsia="宋体" w:hAnsi="宋体" w:cs="宋体"/>
                <w:sz w:val="17"/>
                <w:szCs w:val="17"/>
              </w:rPr>
            </w:pPr>
            <w:r>
              <w:rPr>
                <w:rFonts w:ascii="宋体" w:eastAsia="宋体" w:hAnsi="宋体" w:cs="宋体"/>
                <w:spacing w:val="-5"/>
                <w:sz w:val="17"/>
                <w:szCs w:val="17"/>
              </w:rPr>
              <w:t>16</w:t>
            </w:r>
            <w:r>
              <w:rPr>
                <w:rFonts w:ascii="宋体" w:eastAsia="宋体" w:hAnsi="宋体" w:cs="宋体"/>
                <w:spacing w:val="4"/>
                <w:sz w:val="17"/>
                <w:szCs w:val="17"/>
              </w:rPr>
              <w:t xml:space="preserve">    </w:t>
            </w:r>
            <w:r>
              <w:rPr>
                <w:rFonts w:ascii="宋体" w:eastAsia="宋体" w:hAnsi="宋体" w:cs="宋体"/>
                <w:spacing w:val="-5"/>
                <w:sz w:val="17"/>
                <w:szCs w:val="17"/>
              </w:rPr>
              <w:t>0.3</w:t>
            </w:r>
          </w:p>
        </w:tc>
      </w:tr>
      <w:tr w:rsidR="00EA40A3">
        <w:trPr>
          <w:trHeight w:val="273"/>
        </w:trPr>
        <w:tc>
          <w:tcPr>
            <w:tcW w:w="595" w:type="dxa"/>
          </w:tcPr>
          <w:p w:rsidR="00EA40A3" w:rsidRDefault="00E86C16">
            <w:pPr>
              <w:spacing w:before="57" w:line="219" w:lineRule="auto"/>
              <w:ind w:left="119"/>
              <w:rPr>
                <w:rFonts w:ascii="宋体" w:eastAsia="宋体" w:hAnsi="宋体" w:cs="宋体"/>
                <w:sz w:val="17"/>
                <w:szCs w:val="17"/>
              </w:rPr>
            </w:pPr>
            <w:r>
              <w:rPr>
                <w:rFonts w:ascii="宋体" w:eastAsia="宋体" w:hAnsi="宋体" w:cs="宋体"/>
                <w:spacing w:val="5"/>
                <w:sz w:val="17"/>
                <w:szCs w:val="17"/>
              </w:rPr>
              <w:t>芋头</w:t>
            </w:r>
          </w:p>
        </w:tc>
        <w:tc>
          <w:tcPr>
            <w:tcW w:w="540" w:type="dxa"/>
          </w:tcPr>
          <w:p w:rsidR="00EA40A3" w:rsidRDefault="00E86C16">
            <w:pPr>
              <w:spacing w:before="100" w:line="183" w:lineRule="auto"/>
              <w:ind w:left="144"/>
              <w:rPr>
                <w:rFonts w:ascii="宋体" w:eastAsia="宋体" w:hAnsi="宋体" w:cs="宋体"/>
                <w:sz w:val="17"/>
                <w:szCs w:val="17"/>
              </w:rPr>
            </w:pPr>
            <w:r>
              <w:rPr>
                <w:rFonts w:ascii="宋体" w:eastAsia="宋体" w:hAnsi="宋体" w:cs="宋体"/>
                <w:spacing w:val="-3"/>
                <w:sz w:val="17"/>
                <w:szCs w:val="17"/>
              </w:rPr>
              <w:t>79</w:t>
            </w:r>
          </w:p>
        </w:tc>
        <w:tc>
          <w:tcPr>
            <w:tcW w:w="1313" w:type="dxa"/>
          </w:tcPr>
          <w:p w:rsidR="00EA40A3" w:rsidRDefault="00E86C16">
            <w:pPr>
              <w:spacing w:before="100" w:line="184" w:lineRule="auto"/>
              <w:ind w:left="184"/>
              <w:rPr>
                <w:rFonts w:ascii="宋体" w:eastAsia="宋体" w:hAnsi="宋体" w:cs="宋体"/>
                <w:sz w:val="17"/>
                <w:szCs w:val="17"/>
              </w:rPr>
            </w:pPr>
            <w:r>
              <w:rPr>
                <w:rFonts w:ascii="宋体" w:eastAsia="宋体" w:hAnsi="宋体" w:cs="宋体"/>
                <w:spacing w:val="-4"/>
                <w:sz w:val="17"/>
                <w:szCs w:val="17"/>
              </w:rPr>
              <w:t>2.2</w:t>
            </w:r>
            <w:r>
              <w:rPr>
                <w:rFonts w:ascii="宋体" w:eastAsia="宋体" w:hAnsi="宋体" w:cs="宋体"/>
                <w:spacing w:val="4"/>
                <w:sz w:val="17"/>
                <w:szCs w:val="17"/>
              </w:rPr>
              <w:t xml:space="preserve">    </w:t>
            </w:r>
            <w:r>
              <w:rPr>
                <w:rFonts w:ascii="宋体" w:eastAsia="宋体" w:hAnsi="宋体" w:cs="宋体"/>
                <w:spacing w:val="-4"/>
                <w:sz w:val="17"/>
                <w:szCs w:val="17"/>
              </w:rPr>
              <w:t>18.1</w:t>
            </w:r>
          </w:p>
        </w:tc>
        <w:tc>
          <w:tcPr>
            <w:tcW w:w="532" w:type="dxa"/>
          </w:tcPr>
          <w:p w:rsidR="00EA40A3" w:rsidRDefault="00E86C16">
            <w:pPr>
              <w:spacing w:before="100" w:line="184" w:lineRule="auto"/>
              <w:ind w:left="131"/>
              <w:rPr>
                <w:rFonts w:ascii="宋体" w:eastAsia="宋体" w:hAnsi="宋体" w:cs="宋体"/>
                <w:sz w:val="17"/>
                <w:szCs w:val="17"/>
              </w:rPr>
            </w:pPr>
            <w:r>
              <w:rPr>
                <w:rFonts w:ascii="宋体" w:eastAsia="宋体" w:hAnsi="宋体" w:cs="宋体"/>
                <w:spacing w:val="-5"/>
                <w:sz w:val="17"/>
                <w:szCs w:val="17"/>
              </w:rPr>
              <w:t>1.0</w:t>
            </w:r>
          </w:p>
        </w:tc>
        <w:tc>
          <w:tcPr>
            <w:tcW w:w="2586" w:type="dxa"/>
          </w:tcPr>
          <w:p w:rsidR="00EA40A3" w:rsidRDefault="00E86C16">
            <w:pPr>
              <w:spacing w:before="100" w:line="184" w:lineRule="auto"/>
              <w:ind w:left="179"/>
              <w:rPr>
                <w:rFonts w:ascii="宋体" w:eastAsia="宋体" w:hAnsi="宋体" w:cs="宋体"/>
                <w:sz w:val="17"/>
                <w:szCs w:val="17"/>
              </w:rPr>
            </w:pPr>
            <w:r>
              <w:rPr>
                <w:rFonts w:ascii="宋体" w:eastAsia="宋体" w:hAnsi="宋体" w:cs="宋体"/>
                <w:spacing w:val="-3"/>
                <w:sz w:val="17"/>
                <w:szCs w:val="17"/>
              </w:rPr>
              <w:t>0.06</w:t>
            </w:r>
            <w:r>
              <w:rPr>
                <w:rFonts w:ascii="宋体" w:eastAsia="宋体" w:hAnsi="宋体" w:cs="宋体"/>
                <w:spacing w:val="20"/>
                <w:sz w:val="17"/>
                <w:szCs w:val="17"/>
              </w:rPr>
              <w:t xml:space="preserve">   </w:t>
            </w:r>
            <w:r>
              <w:rPr>
                <w:rFonts w:ascii="宋体" w:eastAsia="宋体" w:hAnsi="宋体" w:cs="宋体"/>
                <w:spacing w:val="-3"/>
                <w:sz w:val="17"/>
                <w:szCs w:val="17"/>
              </w:rPr>
              <w:t>0.05</w:t>
            </w:r>
            <w:r>
              <w:rPr>
                <w:rFonts w:ascii="宋体" w:eastAsia="宋体" w:hAnsi="宋体" w:cs="宋体"/>
                <w:sz w:val="17"/>
                <w:szCs w:val="17"/>
              </w:rPr>
              <w:t xml:space="preserve">     </w:t>
            </w:r>
            <w:r>
              <w:rPr>
                <w:rFonts w:ascii="宋体" w:eastAsia="宋体" w:hAnsi="宋体" w:cs="宋体"/>
                <w:spacing w:val="-3"/>
                <w:sz w:val="17"/>
                <w:szCs w:val="17"/>
              </w:rPr>
              <w:t>6</w:t>
            </w:r>
            <w:r>
              <w:rPr>
                <w:rFonts w:ascii="宋体" w:eastAsia="宋体" w:hAnsi="宋体" w:cs="宋体"/>
                <w:spacing w:val="21"/>
                <w:sz w:val="17"/>
                <w:szCs w:val="17"/>
              </w:rPr>
              <w:t xml:space="preserve">    </w:t>
            </w:r>
            <w:r>
              <w:rPr>
                <w:rFonts w:ascii="宋体" w:eastAsia="宋体" w:hAnsi="宋体" w:cs="宋体"/>
                <w:spacing w:val="-3"/>
                <w:sz w:val="17"/>
                <w:szCs w:val="17"/>
              </w:rPr>
              <w:t>0.16</w:t>
            </w:r>
          </w:p>
        </w:tc>
        <w:tc>
          <w:tcPr>
            <w:tcW w:w="630" w:type="dxa"/>
          </w:tcPr>
          <w:p w:rsidR="00EA40A3" w:rsidRDefault="00E86C16">
            <w:pPr>
              <w:spacing w:before="100" w:line="183" w:lineRule="auto"/>
              <w:ind w:left="183"/>
              <w:rPr>
                <w:rFonts w:ascii="宋体" w:eastAsia="宋体" w:hAnsi="宋体" w:cs="宋体"/>
                <w:sz w:val="17"/>
                <w:szCs w:val="17"/>
              </w:rPr>
            </w:pPr>
            <w:r>
              <w:rPr>
                <w:rFonts w:ascii="宋体" w:eastAsia="宋体" w:hAnsi="宋体" w:cs="宋体"/>
                <w:spacing w:val="-3"/>
                <w:sz w:val="17"/>
                <w:szCs w:val="17"/>
              </w:rPr>
              <w:t>378</w:t>
            </w:r>
          </w:p>
        </w:tc>
        <w:tc>
          <w:tcPr>
            <w:tcW w:w="1133" w:type="dxa"/>
          </w:tcPr>
          <w:p w:rsidR="00EA40A3" w:rsidRDefault="00E86C16">
            <w:pPr>
              <w:spacing w:before="100" w:line="184" w:lineRule="auto"/>
              <w:ind w:left="243"/>
              <w:rPr>
                <w:rFonts w:ascii="宋体" w:eastAsia="宋体" w:hAnsi="宋体" w:cs="宋体"/>
                <w:sz w:val="17"/>
                <w:szCs w:val="17"/>
              </w:rPr>
            </w:pPr>
            <w:r>
              <w:rPr>
                <w:rFonts w:ascii="宋体" w:eastAsia="宋体" w:hAnsi="宋体" w:cs="宋体"/>
                <w:spacing w:val="-5"/>
                <w:sz w:val="17"/>
                <w:szCs w:val="17"/>
              </w:rPr>
              <w:t>36</w:t>
            </w:r>
            <w:r>
              <w:rPr>
                <w:rFonts w:ascii="宋体" w:eastAsia="宋体" w:hAnsi="宋体" w:cs="宋体"/>
                <w:spacing w:val="2"/>
                <w:sz w:val="17"/>
                <w:szCs w:val="17"/>
              </w:rPr>
              <w:t xml:space="preserve">    </w:t>
            </w:r>
            <w:r>
              <w:rPr>
                <w:rFonts w:ascii="宋体" w:eastAsia="宋体" w:hAnsi="宋体" w:cs="宋体"/>
                <w:spacing w:val="-5"/>
                <w:sz w:val="17"/>
                <w:szCs w:val="17"/>
              </w:rPr>
              <w:t>1.0</w:t>
            </w:r>
          </w:p>
        </w:tc>
      </w:tr>
      <w:tr w:rsidR="00EA40A3">
        <w:trPr>
          <w:trHeight w:val="459"/>
        </w:trPr>
        <w:tc>
          <w:tcPr>
            <w:tcW w:w="595" w:type="dxa"/>
          </w:tcPr>
          <w:p w:rsidR="00EA40A3" w:rsidRDefault="00E86C16">
            <w:pPr>
              <w:spacing w:before="64" w:line="204" w:lineRule="auto"/>
              <w:ind w:left="119"/>
              <w:rPr>
                <w:rFonts w:ascii="宋体" w:eastAsia="宋体" w:hAnsi="宋体" w:cs="宋体"/>
                <w:sz w:val="17"/>
                <w:szCs w:val="17"/>
              </w:rPr>
            </w:pPr>
            <w:r>
              <w:rPr>
                <w:rFonts w:ascii="宋体" w:eastAsia="宋体" w:hAnsi="宋体" w:cs="宋体"/>
                <w:spacing w:val="-2"/>
                <w:sz w:val="17"/>
                <w:szCs w:val="17"/>
              </w:rPr>
              <w:t>特级</w:t>
            </w:r>
          </w:p>
          <w:p w:rsidR="00EA40A3" w:rsidRDefault="00E86C16">
            <w:pPr>
              <w:spacing w:line="217" w:lineRule="auto"/>
              <w:ind w:left="119"/>
              <w:rPr>
                <w:rFonts w:ascii="宋体" w:eastAsia="宋体" w:hAnsi="宋体" w:cs="宋体"/>
                <w:sz w:val="17"/>
                <w:szCs w:val="17"/>
              </w:rPr>
            </w:pPr>
            <w:r>
              <w:rPr>
                <w:rFonts w:ascii="宋体" w:eastAsia="宋体" w:hAnsi="宋体" w:cs="宋体"/>
                <w:spacing w:val="-2"/>
                <w:sz w:val="17"/>
                <w:szCs w:val="17"/>
              </w:rPr>
              <w:t>粳米</w:t>
            </w:r>
          </w:p>
        </w:tc>
        <w:tc>
          <w:tcPr>
            <w:tcW w:w="540" w:type="dxa"/>
          </w:tcPr>
          <w:p w:rsidR="00EA40A3" w:rsidRDefault="00E86C16">
            <w:pPr>
              <w:spacing w:before="217" w:line="183" w:lineRule="auto"/>
              <w:ind w:left="144"/>
              <w:rPr>
                <w:rFonts w:ascii="宋体" w:eastAsia="宋体" w:hAnsi="宋体" w:cs="宋体"/>
                <w:sz w:val="17"/>
                <w:szCs w:val="17"/>
              </w:rPr>
            </w:pPr>
            <w:r>
              <w:rPr>
                <w:rFonts w:ascii="宋体" w:eastAsia="宋体" w:hAnsi="宋体" w:cs="宋体"/>
                <w:spacing w:val="-3"/>
                <w:sz w:val="17"/>
                <w:szCs w:val="17"/>
              </w:rPr>
              <w:t>334</w:t>
            </w:r>
          </w:p>
        </w:tc>
        <w:tc>
          <w:tcPr>
            <w:tcW w:w="1313" w:type="dxa"/>
          </w:tcPr>
          <w:p w:rsidR="00EA40A3" w:rsidRDefault="00E86C16">
            <w:pPr>
              <w:spacing w:before="198" w:line="193" w:lineRule="auto"/>
              <w:ind w:left="184"/>
              <w:rPr>
                <w:rFonts w:ascii="宋体" w:eastAsia="宋体" w:hAnsi="宋体" w:cs="宋体"/>
                <w:sz w:val="17"/>
                <w:szCs w:val="17"/>
              </w:rPr>
            </w:pPr>
            <w:r>
              <w:rPr>
                <w:rFonts w:ascii="宋体" w:eastAsia="宋体" w:hAnsi="宋体" w:cs="宋体"/>
                <w:spacing w:val="-3"/>
                <w:sz w:val="17"/>
                <w:szCs w:val="17"/>
              </w:rPr>
              <w:t>7.3</w:t>
            </w:r>
            <w:r>
              <w:rPr>
                <w:rFonts w:ascii="宋体" w:eastAsia="宋体" w:hAnsi="宋体" w:cs="宋体"/>
                <w:spacing w:val="4"/>
                <w:sz w:val="17"/>
                <w:szCs w:val="17"/>
              </w:rPr>
              <w:t xml:space="preserve">    </w:t>
            </w:r>
            <w:r>
              <w:rPr>
                <w:rFonts w:ascii="宋体" w:eastAsia="宋体" w:hAnsi="宋体" w:cs="宋体"/>
                <w:spacing w:val="-3"/>
                <w:sz w:val="17"/>
                <w:szCs w:val="17"/>
              </w:rPr>
              <w:t>75.7</w:t>
            </w:r>
          </w:p>
        </w:tc>
        <w:tc>
          <w:tcPr>
            <w:tcW w:w="532" w:type="dxa"/>
          </w:tcPr>
          <w:p w:rsidR="00EA40A3" w:rsidRDefault="00E86C16">
            <w:pPr>
              <w:spacing w:before="217" w:line="183" w:lineRule="auto"/>
              <w:ind w:left="131"/>
              <w:rPr>
                <w:rFonts w:ascii="宋体" w:eastAsia="宋体" w:hAnsi="宋体" w:cs="宋体"/>
                <w:sz w:val="17"/>
                <w:szCs w:val="17"/>
              </w:rPr>
            </w:pPr>
            <w:r>
              <w:rPr>
                <w:rFonts w:ascii="宋体" w:eastAsia="宋体" w:hAnsi="宋体" w:cs="宋体"/>
                <w:spacing w:val="-2"/>
                <w:sz w:val="17"/>
                <w:szCs w:val="17"/>
              </w:rPr>
              <w:t>0.4</w:t>
            </w:r>
          </w:p>
        </w:tc>
        <w:tc>
          <w:tcPr>
            <w:tcW w:w="2586" w:type="dxa"/>
          </w:tcPr>
          <w:p w:rsidR="00EA40A3" w:rsidRDefault="00E86C16">
            <w:pPr>
              <w:spacing w:before="207" w:line="194" w:lineRule="auto"/>
              <w:ind w:left="179"/>
              <w:rPr>
                <w:rFonts w:ascii="宋体" w:eastAsia="宋体" w:hAnsi="宋体" w:cs="宋体"/>
                <w:sz w:val="17"/>
                <w:szCs w:val="17"/>
              </w:rPr>
            </w:pPr>
            <w:r>
              <w:rPr>
                <w:rFonts w:ascii="宋体" w:eastAsia="宋体" w:hAnsi="宋体" w:cs="宋体"/>
                <w:spacing w:val="-3"/>
                <w:sz w:val="17"/>
                <w:szCs w:val="17"/>
              </w:rPr>
              <w:t>0.08</w:t>
            </w:r>
            <w:r>
              <w:rPr>
                <w:rFonts w:ascii="宋体" w:eastAsia="宋体" w:hAnsi="宋体" w:cs="宋体"/>
                <w:spacing w:val="19"/>
                <w:sz w:val="17"/>
                <w:szCs w:val="17"/>
              </w:rPr>
              <w:t xml:space="preserve">   </w:t>
            </w:r>
            <w:r>
              <w:rPr>
                <w:rFonts w:ascii="宋体" w:eastAsia="宋体" w:hAnsi="宋体" w:cs="宋体"/>
                <w:spacing w:val="-3"/>
                <w:sz w:val="17"/>
                <w:szCs w:val="17"/>
              </w:rPr>
              <w:t>0.04</w:t>
            </w:r>
            <w:r>
              <w:rPr>
                <w:rFonts w:ascii="宋体" w:eastAsia="宋体" w:hAnsi="宋体" w:cs="宋体"/>
                <w:sz w:val="17"/>
                <w:szCs w:val="17"/>
              </w:rPr>
              <w:t xml:space="preserve">     </w:t>
            </w:r>
            <w:r>
              <w:rPr>
                <w:rFonts w:ascii="宋体" w:eastAsia="宋体" w:hAnsi="宋体" w:cs="宋体"/>
                <w:spacing w:val="-3"/>
                <w:sz w:val="17"/>
                <w:szCs w:val="17"/>
              </w:rPr>
              <w:t>0</w:t>
            </w:r>
            <w:r>
              <w:rPr>
                <w:rFonts w:ascii="宋体" w:eastAsia="宋体" w:hAnsi="宋体" w:cs="宋体"/>
                <w:spacing w:val="7"/>
                <w:sz w:val="17"/>
                <w:szCs w:val="17"/>
              </w:rPr>
              <w:t xml:space="preserve">      </w:t>
            </w:r>
            <w:r>
              <w:rPr>
                <w:rFonts w:ascii="宋体" w:eastAsia="宋体" w:hAnsi="宋体" w:cs="宋体"/>
                <w:spacing w:val="-3"/>
                <w:sz w:val="17"/>
                <w:szCs w:val="17"/>
              </w:rPr>
              <w:t>0</w:t>
            </w:r>
          </w:p>
        </w:tc>
        <w:tc>
          <w:tcPr>
            <w:tcW w:w="630" w:type="dxa"/>
          </w:tcPr>
          <w:p w:rsidR="00EA40A3" w:rsidRDefault="00E86C16">
            <w:pPr>
              <w:spacing w:before="207" w:line="183" w:lineRule="auto"/>
              <w:ind w:left="183"/>
              <w:rPr>
                <w:rFonts w:ascii="宋体" w:eastAsia="宋体" w:hAnsi="宋体" w:cs="宋体"/>
                <w:sz w:val="17"/>
                <w:szCs w:val="17"/>
              </w:rPr>
            </w:pPr>
            <w:r>
              <w:rPr>
                <w:rFonts w:ascii="宋体" w:eastAsia="宋体" w:hAnsi="宋体" w:cs="宋体"/>
                <w:spacing w:val="-3"/>
                <w:sz w:val="17"/>
                <w:szCs w:val="17"/>
              </w:rPr>
              <w:t>58</w:t>
            </w:r>
          </w:p>
        </w:tc>
        <w:tc>
          <w:tcPr>
            <w:tcW w:w="1133" w:type="dxa"/>
          </w:tcPr>
          <w:p w:rsidR="00EA40A3" w:rsidRDefault="00E86C16">
            <w:pPr>
              <w:spacing w:before="217" w:line="183" w:lineRule="auto"/>
              <w:ind w:left="243"/>
              <w:rPr>
                <w:rFonts w:ascii="宋体" w:eastAsia="宋体" w:hAnsi="宋体" w:cs="宋体"/>
                <w:sz w:val="17"/>
                <w:szCs w:val="17"/>
              </w:rPr>
            </w:pPr>
            <w:r>
              <w:rPr>
                <w:rFonts w:ascii="宋体" w:eastAsia="宋体" w:hAnsi="宋体" w:cs="宋体"/>
                <w:spacing w:val="-3"/>
                <w:sz w:val="17"/>
                <w:szCs w:val="17"/>
              </w:rPr>
              <w:t>24</w:t>
            </w:r>
            <w:r>
              <w:rPr>
                <w:rFonts w:ascii="宋体" w:eastAsia="宋体" w:hAnsi="宋体" w:cs="宋体"/>
                <w:spacing w:val="2"/>
                <w:sz w:val="17"/>
                <w:szCs w:val="17"/>
              </w:rPr>
              <w:t xml:space="preserve">    </w:t>
            </w:r>
            <w:r>
              <w:rPr>
                <w:rFonts w:ascii="宋体" w:eastAsia="宋体" w:hAnsi="宋体" w:cs="宋体"/>
                <w:spacing w:val="-3"/>
                <w:sz w:val="17"/>
                <w:szCs w:val="17"/>
              </w:rPr>
              <w:t>0.9</w:t>
            </w:r>
          </w:p>
        </w:tc>
      </w:tr>
      <w:tr w:rsidR="00EA40A3">
        <w:trPr>
          <w:trHeight w:val="432"/>
        </w:trPr>
        <w:tc>
          <w:tcPr>
            <w:tcW w:w="595" w:type="dxa"/>
            <w:tcBorders>
              <w:bottom w:val="single" w:sz="4" w:space="0" w:color="000000"/>
            </w:tcBorders>
          </w:tcPr>
          <w:p w:rsidR="00EA40A3" w:rsidRDefault="00E86C16">
            <w:pPr>
              <w:spacing w:before="55" w:line="206" w:lineRule="auto"/>
              <w:ind w:left="119"/>
              <w:rPr>
                <w:rFonts w:ascii="宋体" w:eastAsia="宋体" w:hAnsi="宋体" w:cs="宋体"/>
                <w:sz w:val="17"/>
                <w:szCs w:val="17"/>
              </w:rPr>
            </w:pPr>
            <w:r>
              <w:rPr>
                <w:rFonts w:ascii="宋体" w:eastAsia="宋体" w:hAnsi="宋体" w:cs="宋体"/>
                <w:spacing w:val="4"/>
                <w:sz w:val="17"/>
                <w:szCs w:val="17"/>
              </w:rPr>
              <w:t>富强</w:t>
            </w:r>
          </w:p>
          <w:p w:rsidR="00EA40A3" w:rsidRDefault="00E86C16">
            <w:pPr>
              <w:spacing w:line="203" w:lineRule="auto"/>
              <w:ind w:left="119"/>
              <w:rPr>
                <w:rFonts w:ascii="宋体" w:eastAsia="宋体" w:hAnsi="宋体" w:cs="宋体"/>
                <w:sz w:val="17"/>
                <w:szCs w:val="17"/>
              </w:rPr>
            </w:pPr>
            <w:r>
              <w:rPr>
                <w:rFonts w:ascii="宋体" w:eastAsia="宋体" w:hAnsi="宋体" w:cs="宋体"/>
                <w:spacing w:val="-2"/>
                <w:sz w:val="17"/>
                <w:szCs w:val="17"/>
              </w:rPr>
              <w:t>面粉</w:t>
            </w:r>
          </w:p>
        </w:tc>
        <w:tc>
          <w:tcPr>
            <w:tcW w:w="540" w:type="dxa"/>
            <w:tcBorders>
              <w:bottom w:val="single" w:sz="4" w:space="0" w:color="000000"/>
            </w:tcBorders>
          </w:tcPr>
          <w:p w:rsidR="00EA40A3" w:rsidRDefault="00E86C16">
            <w:pPr>
              <w:spacing w:before="198" w:line="183" w:lineRule="auto"/>
              <w:ind w:left="144"/>
              <w:rPr>
                <w:rFonts w:ascii="宋体" w:eastAsia="宋体" w:hAnsi="宋体" w:cs="宋体"/>
                <w:sz w:val="17"/>
                <w:szCs w:val="17"/>
              </w:rPr>
            </w:pPr>
            <w:r>
              <w:rPr>
                <w:rFonts w:ascii="宋体" w:eastAsia="宋体" w:hAnsi="宋体" w:cs="宋体"/>
                <w:spacing w:val="-3"/>
                <w:sz w:val="17"/>
                <w:szCs w:val="17"/>
              </w:rPr>
              <w:t>350</w:t>
            </w:r>
          </w:p>
        </w:tc>
        <w:tc>
          <w:tcPr>
            <w:tcW w:w="1313" w:type="dxa"/>
            <w:tcBorders>
              <w:bottom w:val="single" w:sz="4" w:space="0" w:color="000000"/>
            </w:tcBorders>
          </w:tcPr>
          <w:p w:rsidR="00EA40A3" w:rsidRDefault="00E86C16">
            <w:pPr>
              <w:spacing w:before="207" w:line="184" w:lineRule="auto"/>
              <w:ind w:left="144"/>
              <w:rPr>
                <w:rFonts w:ascii="宋体" w:eastAsia="宋体" w:hAnsi="宋体" w:cs="宋体"/>
                <w:sz w:val="17"/>
                <w:szCs w:val="17"/>
              </w:rPr>
            </w:pPr>
            <w:r>
              <w:rPr>
                <w:rFonts w:ascii="宋体" w:eastAsia="宋体" w:hAnsi="宋体" w:cs="宋体"/>
                <w:spacing w:val="-4"/>
                <w:sz w:val="17"/>
                <w:szCs w:val="17"/>
              </w:rPr>
              <w:t>10.3</w:t>
            </w:r>
            <w:r>
              <w:rPr>
                <w:rFonts w:ascii="宋体" w:eastAsia="宋体" w:hAnsi="宋体" w:cs="宋体"/>
                <w:spacing w:val="22"/>
                <w:sz w:val="17"/>
                <w:szCs w:val="17"/>
              </w:rPr>
              <w:t xml:space="preserve">   </w:t>
            </w:r>
            <w:r>
              <w:rPr>
                <w:rFonts w:ascii="宋体" w:eastAsia="宋体" w:hAnsi="宋体" w:cs="宋体"/>
                <w:spacing w:val="-4"/>
                <w:sz w:val="17"/>
                <w:szCs w:val="17"/>
              </w:rPr>
              <w:t>75.2</w:t>
            </w:r>
          </w:p>
        </w:tc>
        <w:tc>
          <w:tcPr>
            <w:tcW w:w="532" w:type="dxa"/>
            <w:tcBorders>
              <w:bottom w:val="single" w:sz="4" w:space="0" w:color="000000"/>
            </w:tcBorders>
          </w:tcPr>
          <w:p w:rsidR="00EA40A3" w:rsidRDefault="00E86C16">
            <w:pPr>
              <w:spacing w:before="198" w:line="183" w:lineRule="auto"/>
              <w:ind w:left="131"/>
              <w:rPr>
                <w:rFonts w:ascii="宋体" w:eastAsia="宋体" w:hAnsi="宋体" w:cs="宋体"/>
                <w:sz w:val="17"/>
                <w:szCs w:val="17"/>
              </w:rPr>
            </w:pPr>
            <w:r>
              <w:rPr>
                <w:rFonts w:ascii="宋体" w:eastAsia="宋体" w:hAnsi="宋体" w:cs="宋体"/>
                <w:spacing w:val="-2"/>
                <w:sz w:val="17"/>
                <w:szCs w:val="17"/>
              </w:rPr>
              <w:t>0.6</w:t>
            </w:r>
          </w:p>
        </w:tc>
        <w:tc>
          <w:tcPr>
            <w:tcW w:w="2586" w:type="dxa"/>
            <w:tcBorders>
              <w:bottom w:val="single" w:sz="4" w:space="0" w:color="000000"/>
            </w:tcBorders>
          </w:tcPr>
          <w:p w:rsidR="00EA40A3" w:rsidRDefault="00E86C16">
            <w:pPr>
              <w:spacing w:before="188" w:line="194" w:lineRule="auto"/>
              <w:ind w:left="179"/>
              <w:rPr>
                <w:rFonts w:ascii="宋体" w:eastAsia="宋体" w:hAnsi="宋体" w:cs="宋体"/>
                <w:sz w:val="17"/>
                <w:szCs w:val="17"/>
              </w:rPr>
            </w:pPr>
            <w:r>
              <w:rPr>
                <w:rFonts w:ascii="宋体" w:eastAsia="宋体" w:hAnsi="宋体" w:cs="宋体"/>
                <w:spacing w:val="-3"/>
                <w:sz w:val="17"/>
                <w:szCs w:val="17"/>
              </w:rPr>
              <w:t>0.17</w:t>
            </w:r>
            <w:r>
              <w:rPr>
                <w:rFonts w:ascii="宋体" w:eastAsia="宋体" w:hAnsi="宋体" w:cs="宋体"/>
                <w:spacing w:val="19"/>
                <w:sz w:val="17"/>
                <w:szCs w:val="17"/>
              </w:rPr>
              <w:t xml:space="preserve">   </w:t>
            </w:r>
            <w:r>
              <w:rPr>
                <w:rFonts w:ascii="宋体" w:eastAsia="宋体" w:hAnsi="宋体" w:cs="宋体"/>
                <w:spacing w:val="-3"/>
                <w:sz w:val="17"/>
                <w:szCs w:val="17"/>
              </w:rPr>
              <w:t>0.06</w:t>
            </w:r>
            <w:r>
              <w:rPr>
                <w:rFonts w:ascii="宋体" w:eastAsia="宋体" w:hAnsi="宋体" w:cs="宋体"/>
                <w:sz w:val="17"/>
                <w:szCs w:val="17"/>
              </w:rPr>
              <w:t xml:space="preserve">     </w:t>
            </w:r>
            <w:r>
              <w:rPr>
                <w:rFonts w:ascii="宋体" w:eastAsia="宋体" w:hAnsi="宋体" w:cs="宋体"/>
                <w:spacing w:val="-3"/>
                <w:sz w:val="17"/>
                <w:szCs w:val="17"/>
              </w:rPr>
              <w:t>0</w:t>
            </w:r>
            <w:r>
              <w:rPr>
                <w:rFonts w:ascii="宋体" w:eastAsia="宋体" w:hAnsi="宋体" w:cs="宋体"/>
                <w:spacing w:val="7"/>
                <w:sz w:val="17"/>
                <w:szCs w:val="17"/>
              </w:rPr>
              <w:t xml:space="preserve">      </w:t>
            </w:r>
            <w:r>
              <w:rPr>
                <w:rFonts w:ascii="宋体" w:eastAsia="宋体" w:hAnsi="宋体" w:cs="宋体"/>
                <w:spacing w:val="-3"/>
                <w:sz w:val="17"/>
                <w:szCs w:val="17"/>
              </w:rPr>
              <w:t>0</w:t>
            </w:r>
          </w:p>
        </w:tc>
        <w:tc>
          <w:tcPr>
            <w:tcW w:w="630" w:type="dxa"/>
            <w:tcBorders>
              <w:bottom w:val="single" w:sz="4" w:space="0" w:color="000000"/>
            </w:tcBorders>
          </w:tcPr>
          <w:p w:rsidR="00EA40A3" w:rsidRDefault="00E86C16">
            <w:pPr>
              <w:spacing w:before="187" w:line="184" w:lineRule="auto"/>
              <w:ind w:left="183"/>
              <w:rPr>
                <w:rFonts w:ascii="宋体" w:eastAsia="宋体" w:hAnsi="宋体" w:cs="宋体"/>
                <w:sz w:val="17"/>
                <w:szCs w:val="17"/>
              </w:rPr>
            </w:pPr>
            <w:r>
              <w:rPr>
                <w:rFonts w:ascii="宋体" w:eastAsia="宋体" w:hAnsi="宋体" w:cs="宋体"/>
                <w:spacing w:val="-5"/>
                <w:sz w:val="17"/>
                <w:szCs w:val="17"/>
              </w:rPr>
              <w:t>128</w:t>
            </w:r>
          </w:p>
        </w:tc>
        <w:tc>
          <w:tcPr>
            <w:tcW w:w="1133" w:type="dxa"/>
            <w:tcBorders>
              <w:bottom w:val="single" w:sz="4" w:space="0" w:color="000000"/>
            </w:tcBorders>
          </w:tcPr>
          <w:p w:rsidR="00EA40A3" w:rsidRDefault="00E86C16">
            <w:pPr>
              <w:spacing w:before="188" w:line="183" w:lineRule="auto"/>
              <w:ind w:left="243"/>
              <w:rPr>
                <w:rFonts w:ascii="宋体" w:eastAsia="宋体" w:hAnsi="宋体" w:cs="宋体"/>
                <w:sz w:val="17"/>
                <w:szCs w:val="17"/>
              </w:rPr>
            </w:pPr>
            <w:r>
              <w:rPr>
                <w:rFonts w:ascii="宋体" w:eastAsia="宋体" w:hAnsi="宋体" w:cs="宋体"/>
                <w:spacing w:val="-3"/>
                <w:sz w:val="17"/>
                <w:szCs w:val="17"/>
              </w:rPr>
              <w:t>27</w:t>
            </w:r>
            <w:r>
              <w:rPr>
                <w:rFonts w:ascii="宋体" w:eastAsia="宋体" w:hAnsi="宋体" w:cs="宋体"/>
                <w:spacing w:val="2"/>
                <w:sz w:val="17"/>
                <w:szCs w:val="17"/>
              </w:rPr>
              <w:t xml:space="preserve">    </w:t>
            </w:r>
            <w:r>
              <w:rPr>
                <w:rFonts w:ascii="宋体" w:eastAsia="宋体" w:hAnsi="宋体" w:cs="宋体"/>
                <w:spacing w:val="-3"/>
                <w:sz w:val="17"/>
                <w:szCs w:val="17"/>
              </w:rPr>
              <w:t>2.7</w:t>
            </w:r>
          </w:p>
        </w:tc>
      </w:tr>
    </w:tbl>
    <w:p w:rsidR="00EA40A3" w:rsidRDefault="00E86C16">
      <w:pPr>
        <w:spacing w:before="73" w:line="219" w:lineRule="auto"/>
        <w:ind w:left="39"/>
        <w:rPr>
          <w:rFonts w:ascii="宋体" w:eastAsia="宋体" w:hAnsi="宋体" w:cs="宋体"/>
          <w:sz w:val="18"/>
          <w:szCs w:val="18"/>
        </w:rPr>
      </w:pPr>
      <w:r>
        <w:rPr>
          <w:rFonts w:ascii="宋体" w:eastAsia="宋体" w:hAnsi="宋体" w:cs="宋体"/>
          <w:spacing w:val="-13"/>
          <w:sz w:val="18"/>
          <w:szCs w:val="18"/>
        </w:rPr>
        <w:t>资料来源：杨月欣.2002.中国食物成分表2002.北京：北京大学医学出版社</w:t>
      </w:r>
    </w:p>
    <w:p w:rsidR="00EA40A3" w:rsidRDefault="00E86C16">
      <w:pPr>
        <w:spacing w:before="84"/>
        <w:ind w:left="39"/>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202</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994" w:bottom="400" w:left="840" w:header="0" w:footer="0" w:gutter="0"/>
          <w:cols w:space="720"/>
        </w:sectPr>
      </w:pPr>
    </w:p>
    <w:p w:rsidR="00EA40A3" w:rsidRDefault="00EA40A3">
      <w:pPr>
        <w:spacing w:line="339" w:lineRule="auto"/>
      </w:pPr>
    </w:p>
    <w:p w:rsidR="00EA40A3" w:rsidRDefault="00EA40A3">
      <w:pPr>
        <w:spacing w:line="340" w:lineRule="auto"/>
      </w:pPr>
    </w:p>
    <w:p w:rsidR="00EA40A3" w:rsidRDefault="00E86C16">
      <w:pPr>
        <w:spacing w:before="81" w:line="221" w:lineRule="auto"/>
        <w:ind w:left="3"/>
        <w:outlineLvl w:val="6"/>
        <w:rPr>
          <w:rFonts w:ascii="黑体" w:eastAsia="黑体" w:hAnsi="黑体" w:cs="黑体"/>
          <w:sz w:val="25"/>
          <w:szCs w:val="25"/>
        </w:rPr>
      </w:pPr>
      <w:r>
        <w:rPr>
          <w:rFonts w:ascii="黑体" w:eastAsia="黑体" w:hAnsi="黑体" w:cs="黑体"/>
          <w:b/>
          <w:bCs/>
          <w:spacing w:val="-9"/>
          <w:sz w:val="25"/>
          <w:szCs w:val="25"/>
        </w:rPr>
        <w:t>6.4.3</w:t>
      </w:r>
      <w:r>
        <w:rPr>
          <w:rFonts w:ascii="黑体" w:eastAsia="黑体" w:hAnsi="黑体" w:cs="黑体"/>
          <w:spacing w:val="42"/>
          <w:sz w:val="25"/>
          <w:szCs w:val="25"/>
        </w:rPr>
        <w:t xml:space="preserve">  </w:t>
      </w:r>
      <w:r>
        <w:rPr>
          <w:rFonts w:ascii="黑体" w:eastAsia="黑体" w:hAnsi="黑体" w:cs="黑体"/>
          <w:b/>
          <w:bCs/>
          <w:spacing w:val="-9"/>
          <w:sz w:val="25"/>
          <w:szCs w:val="25"/>
        </w:rPr>
        <w:t>水果的营养价值</w:t>
      </w:r>
    </w:p>
    <w:p w:rsidR="00EA40A3" w:rsidRDefault="00E86C16">
      <w:pPr>
        <w:spacing w:before="194" w:line="275" w:lineRule="auto"/>
        <w:ind w:right="89" w:firstLine="349"/>
        <w:jc w:val="both"/>
        <w:rPr>
          <w:rFonts w:ascii="宋体" w:eastAsia="宋体" w:hAnsi="宋体" w:cs="宋体"/>
          <w:sz w:val="20"/>
          <w:szCs w:val="20"/>
        </w:rPr>
      </w:pPr>
      <w:r>
        <w:rPr>
          <w:rFonts w:ascii="宋体" w:eastAsia="宋体" w:hAnsi="宋体" w:cs="宋体"/>
          <w:spacing w:val="10"/>
          <w:sz w:val="20"/>
          <w:szCs w:val="20"/>
        </w:rPr>
        <w:t>水果是味甜多汁的植物性食物的总称，其中以植物的带肉果实或种子为主，</w:t>
      </w:r>
      <w:r>
        <w:rPr>
          <w:rFonts w:ascii="宋体" w:eastAsia="宋体" w:hAnsi="宋体" w:cs="宋体"/>
          <w:spacing w:val="9"/>
          <w:sz w:val="20"/>
          <w:szCs w:val="20"/>
        </w:rPr>
        <w:t xml:space="preserve"> </w:t>
      </w:r>
      <w:r>
        <w:rPr>
          <w:rFonts w:ascii="宋体" w:eastAsia="宋体" w:hAnsi="宋体" w:cs="宋体"/>
          <w:spacing w:val="7"/>
          <w:sz w:val="20"/>
          <w:szCs w:val="20"/>
        </w:rPr>
        <w:t>以木本植物的果实为多。广义的水果也包括了少数茎、根等其他植物学部位，如</w:t>
      </w:r>
      <w:r>
        <w:rPr>
          <w:rFonts w:ascii="宋体" w:eastAsia="宋体" w:hAnsi="宋体" w:cs="宋体"/>
          <w:spacing w:val="18"/>
          <w:sz w:val="20"/>
          <w:szCs w:val="20"/>
        </w:rPr>
        <w:t xml:space="preserve"> </w:t>
      </w:r>
      <w:r>
        <w:rPr>
          <w:rFonts w:ascii="宋体" w:eastAsia="宋体" w:hAnsi="宋体" w:cs="宋体"/>
          <w:spacing w:val="7"/>
          <w:sz w:val="20"/>
          <w:szCs w:val="20"/>
        </w:rPr>
        <w:t>甘蔗等。水果的特点是富含水分，有甜味，并可以不经烹调直接食用。多数水果</w:t>
      </w:r>
      <w:r>
        <w:rPr>
          <w:rFonts w:ascii="宋体" w:eastAsia="宋体" w:hAnsi="宋体" w:cs="宋体"/>
          <w:spacing w:val="15"/>
          <w:sz w:val="20"/>
          <w:szCs w:val="20"/>
        </w:rPr>
        <w:t xml:space="preserve"> </w:t>
      </w:r>
      <w:r>
        <w:rPr>
          <w:rFonts w:ascii="宋体" w:eastAsia="宋体" w:hAnsi="宋体" w:cs="宋体"/>
          <w:spacing w:val="21"/>
          <w:sz w:val="20"/>
          <w:szCs w:val="20"/>
        </w:rPr>
        <w:t>含水分达85%～90%,可食部分的主要成分是水、碳水化合物和矿物质，以及</w:t>
      </w:r>
      <w:r>
        <w:rPr>
          <w:rFonts w:ascii="宋体" w:eastAsia="宋体" w:hAnsi="宋体" w:cs="宋体"/>
          <w:spacing w:val="3"/>
          <w:sz w:val="20"/>
          <w:szCs w:val="20"/>
        </w:rPr>
        <w:t xml:space="preserve"> </w:t>
      </w:r>
      <w:r>
        <w:rPr>
          <w:rFonts w:ascii="宋体" w:eastAsia="宋体" w:hAnsi="宋体" w:cs="宋体"/>
          <w:spacing w:val="7"/>
          <w:sz w:val="20"/>
          <w:szCs w:val="20"/>
        </w:rPr>
        <w:t>少量的含氮物和微量的脂肪。此外，还含有维生素、有机酸、多酚类物质、芳香</w:t>
      </w:r>
      <w:r>
        <w:rPr>
          <w:rFonts w:ascii="宋体" w:eastAsia="宋体" w:hAnsi="宋体" w:cs="宋体"/>
          <w:spacing w:val="13"/>
          <w:sz w:val="20"/>
          <w:szCs w:val="20"/>
        </w:rPr>
        <w:t xml:space="preserve"> </w:t>
      </w:r>
      <w:r>
        <w:rPr>
          <w:rFonts w:ascii="宋体" w:eastAsia="宋体" w:hAnsi="宋体" w:cs="宋体"/>
          <w:spacing w:val="8"/>
          <w:sz w:val="20"/>
          <w:szCs w:val="20"/>
        </w:rPr>
        <w:t>物质、天然色素等成分。表6-13列出水果的平均化学组成。</w:t>
      </w:r>
    </w:p>
    <w:p w:rsidR="00EA40A3" w:rsidRDefault="00EA40A3">
      <w:pPr>
        <w:spacing w:line="301" w:lineRule="auto"/>
      </w:pPr>
    </w:p>
    <w:p w:rsidR="00EA40A3" w:rsidRDefault="00E86C16">
      <w:pPr>
        <w:spacing w:before="65" w:line="221" w:lineRule="auto"/>
        <w:ind w:left="1622"/>
        <w:rPr>
          <w:rFonts w:ascii="黑体" w:eastAsia="黑体" w:hAnsi="黑体" w:cs="黑体"/>
          <w:sz w:val="20"/>
          <w:szCs w:val="20"/>
        </w:rPr>
      </w:pPr>
      <w:r>
        <w:rPr>
          <w:rFonts w:ascii="黑体" w:eastAsia="黑体" w:hAnsi="黑体" w:cs="黑体"/>
          <w:b/>
          <w:bCs/>
          <w:spacing w:val="-16"/>
          <w:sz w:val="20"/>
          <w:szCs w:val="20"/>
        </w:rPr>
        <w:t>表6-13</w:t>
      </w:r>
      <w:r>
        <w:rPr>
          <w:rFonts w:ascii="黑体" w:eastAsia="黑体" w:hAnsi="黑体" w:cs="黑体"/>
          <w:spacing w:val="34"/>
          <w:sz w:val="20"/>
          <w:szCs w:val="20"/>
        </w:rPr>
        <w:t xml:space="preserve"> </w:t>
      </w:r>
      <w:r>
        <w:rPr>
          <w:rFonts w:ascii="黑体" w:eastAsia="黑体" w:hAnsi="黑体" w:cs="黑体"/>
          <w:b/>
          <w:bCs/>
          <w:spacing w:val="-16"/>
          <w:sz w:val="20"/>
          <w:szCs w:val="20"/>
        </w:rPr>
        <w:t>水果的平均化学组成</w:t>
      </w:r>
      <w:r>
        <w:rPr>
          <w:rFonts w:ascii="黑体" w:eastAsia="黑体" w:hAnsi="黑体" w:cs="黑体"/>
          <w:spacing w:val="-14"/>
          <w:sz w:val="20"/>
          <w:szCs w:val="20"/>
        </w:rPr>
        <w:t xml:space="preserve"> </w:t>
      </w:r>
      <w:r>
        <w:rPr>
          <w:rFonts w:ascii="黑体" w:eastAsia="黑体" w:hAnsi="黑体" w:cs="黑体"/>
          <w:spacing w:val="-16"/>
          <w:sz w:val="20"/>
          <w:szCs w:val="20"/>
        </w:rPr>
        <w:t>(占可食鲜重的百分比)</w:t>
      </w:r>
    </w:p>
    <w:p w:rsidR="00EA40A3" w:rsidRDefault="00EA40A3">
      <w:pPr>
        <w:spacing w:line="42" w:lineRule="exact"/>
      </w:pPr>
    </w:p>
    <w:tbl>
      <w:tblPr>
        <w:tblStyle w:val="TableNormal"/>
        <w:tblW w:w="736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12"/>
        <w:gridCol w:w="947"/>
        <w:gridCol w:w="771"/>
        <w:gridCol w:w="1075"/>
        <w:gridCol w:w="1041"/>
        <w:gridCol w:w="849"/>
        <w:gridCol w:w="907"/>
        <w:gridCol w:w="858"/>
      </w:tblGrid>
      <w:tr w:rsidR="00EA40A3">
        <w:trPr>
          <w:trHeight w:val="330"/>
        </w:trPr>
        <w:tc>
          <w:tcPr>
            <w:tcW w:w="912" w:type="dxa"/>
            <w:tcBorders>
              <w:top w:val="single" w:sz="4" w:space="0" w:color="000000"/>
            </w:tcBorders>
          </w:tcPr>
          <w:p w:rsidR="00EA40A3" w:rsidRDefault="00E86C16">
            <w:pPr>
              <w:spacing w:before="112" w:line="219" w:lineRule="auto"/>
              <w:ind w:left="270"/>
              <w:rPr>
                <w:rFonts w:ascii="宋体" w:eastAsia="宋体" w:hAnsi="宋体" w:cs="宋体"/>
                <w:sz w:val="17"/>
                <w:szCs w:val="17"/>
              </w:rPr>
            </w:pPr>
            <w:r>
              <w:rPr>
                <w:rFonts w:ascii="宋体" w:eastAsia="宋体" w:hAnsi="宋体" w:cs="宋体"/>
                <w:spacing w:val="-3"/>
                <w:sz w:val="17"/>
                <w:szCs w:val="17"/>
              </w:rPr>
              <w:t>水果</w:t>
            </w:r>
          </w:p>
        </w:tc>
        <w:tc>
          <w:tcPr>
            <w:tcW w:w="947" w:type="dxa"/>
            <w:tcBorders>
              <w:top w:val="single" w:sz="4" w:space="0" w:color="000000"/>
            </w:tcBorders>
          </w:tcPr>
          <w:p w:rsidR="00EA40A3" w:rsidRDefault="00E86C16">
            <w:pPr>
              <w:spacing w:before="110" w:line="219" w:lineRule="auto"/>
              <w:ind w:left="228"/>
              <w:rPr>
                <w:rFonts w:ascii="宋体" w:eastAsia="宋体" w:hAnsi="宋体" w:cs="宋体"/>
                <w:sz w:val="17"/>
                <w:szCs w:val="17"/>
              </w:rPr>
            </w:pPr>
            <w:r>
              <w:rPr>
                <w:rFonts w:ascii="宋体" w:eastAsia="宋体" w:hAnsi="宋体" w:cs="宋体"/>
                <w:spacing w:val="6"/>
                <w:sz w:val="17"/>
                <w:szCs w:val="17"/>
              </w:rPr>
              <w:t>干物质</w:t>
            </w:r>
          </w:p>
        </w:tc>
        <w:tc>
          <w:tcPr>
            <w:tcW w:w="771" w:type="dxa"/>
            <w:tcBorders>
              <w:top w:val="single" w:sz="4" w:space="0" w:color="000000"/>
            </w:tcBorders>
          </w:tcPr>
          <w:p w:rsidR="00EA40A3" w:rsidRDefault="00E86C16">
            <w:pPr>
              <w:spacing w:before="102" w:line="220" w:lineRule="auto"/>
              <w:ind w:left="210"/>
              <w:rPr>
                <w:rFonts w:ascii="宋体" w:eastAsia="宋体" w:hAnsi="宋体" w:cs="宋体"/>
                <w:sz w:val="17"/>
                <w:szCs w:val="17"/>
              </w:rPr>
            </w:pPr>
            <w:r>
              <w:rPr>
                <w:rFonts w:ascii="宋体" w:eastAsia="宋体" w:hAnsi="宋体" w:cs="宋体"/>
                <w:spacing w:val="-3"/>
                <w:sz w:val="17"/>
                <w:szCs w:val="17"/>
              </w:rPr>
              <w:t>总糖</w:t>
            </w:r>
          </w:p>
        </w:tc>
        <w:tc>
          <w:tcPr>
            <w:tcW w:w="1075" w:type="dxa"/>
            <w:tcBorders>
              <w:top w:val="single" w:sz="4" w:space="0" w:color="000000"/>
            </w:tcBorders>
          </w:tcPr>
          <w:p w:rsidR="00EA40A3" w:rsidRDefault="00E86C16">
            <w:pPr>
              <w:spacing w:before="92" w:line="220" w:lineRule="auto"/>
              <w:ind w:left="240"/>
              <w:rPr>
                <w:rFonts w:ascii="宋体" w:eastAsia="宋体" w:hAnsi="宋体" w:cs="宋体"/>
                <w:sz w:val="17"/>
                <w:szCs w:val="17"/>
              </w:rPr>
            </w:pPr>
            <w:r>
              <w:rPr>
                <w:rFonts w:ascii="宋体" w:eastAsia="宋体" w:hAnsi="宋体" w:cs="宋体"/>
                <w:spacing w:val="-2"/>
                <w:sz w:val="17"/>
                <w:szCs w:val="17"/>
              </w:rPr>
              <w:t>滴定酸度</w:t>
            </w:r>
          </w:p>
        </w:tc>
        <w:tc>
          <w:tcPr>
            <w:tcW w:w="1041" w:type="dxa"/>
            <w:tcBorders>
              <w:top w:val="single" w:sz="4" w:space="0" w:color="000000"/>
            </w:tcBorders>
          </w:tcPr>
          <w:p w:rsidR="00EA40A3" w:rsidRDefault="00E86C16">
            <w:pPr>
              <w:spacing w:before="112" w:line="219" w:lineRule="auto"/>
              <w:ind w:left="175"/>
              <w:rPr>
                <w:rFonts w:ascii="宋体" w:eastAsia="宋体" w:hAnsi="宋体" w:cs="宋体"/>
                <w:sz w:val="17"/>
                <w:szCs w:val="17"/>
              </w:rPr>
            </w:pPr>
            <w:r>
              <w:rPr>
                <w:rFonts w:ascii="宋体" w:eastAsia="宋体" w:hAnsi="宋体" w:cs="宋体"/>
                <w:spacing w:val="-2"/>
                <w:sz w:val="17"/>
                <w:szCs w:val="17"/>
              </w:rPr>
              <w:t>不溶纤维</w:t>
            </w:r>
          </w:p>
        </w:tc>
        <w:tc>
          <w:tcPr>
            <w:tcW w:w="849" w:type="dxa"/>
            <w:tcBorders>
              <w:top w:val="single" w:sz="4" w:space="0" w:color="000000"/>
            </w:tcBorders>
          </w:tcPr>
          <w:p w:rsidR="00EA40A3" w:rsidRDefault="00E86C16">
            <w:pPr>
              <w:spacing w:before="112" w:line="219" w:lineRule="auto"/>
              <w:ind w:left="244"/>
              <w:rPr>
                <w:rFonts w:ascii="宋体" w:eastAsia="宋体" w:hAnsi="宋体" w:cs="宋体"/>
                <w:sz w:val="17"/>
                <w:szCs w:val="17"/>
              </w:rPr>
            </w:pPr>
            <w:r>
              <w:rPr>
                <w:rFonts w:ascii="宋体" w:eastAsia="宋体" w:hAnsi="宋体" w:cs="宋体"/>
                <w:spacing w:val="-3"/>
                <w:sz w:val="17"/>
                <w:szCs w:val="17"/>
              </w:rPr>
              <w:t>果胶</w:t>
            </w:r>
          </w:p>
        </w:tc>
        <w:tc>
          <w:tcPr>
            <w:tcW w:w="907" w:type="dxa"/>
            <w:tcBorders>
              <w:top w:val="single" w:sz="4" w:space="0" w:color="000000"/>
            </w:tcBorders>
          </w:tcPr>
          <w:p w:rsidR="00EA40A3" w:rsidRDefault="00E86C16">
            <w:pPr>
              <w:spacing w:before="102" w:line="219" w:lineRule="auto"/>
              <w:ind w:left="285"/>
              <w:rPr>
                <w:rFonts w:ascii="宋体" w:eastAsia="宋体" w:hAnsi="宋体" w:cs="宋体"/>
                <w:sz w:val="17"/>
                <w:szCs w:val="17"/>
              </w:rPr>
            </w:pPr>
            <w:r>
              <w:rPr>
                <w:rFonts w:ascii="宋体" w:eastAsia="宋体" w:hAnsi="宋体" w:cs="宋体"/>
                <w:spacing w:val="-2"/>
                <w:sz w:val="17"/>
                <w:szCs w:val="17"/>
              </w:rPr>
              <w:t>灰分</w:t>
            </w:r>
          </w:p>
        </w:tc>
        <w:tc>
          <w:tcPr>
            <w:tcW w:w="858" w:type="dxa"/>
            <w:tcBorders>
              <w:top w:val="single" w:sz="4" w:space="0" w:color="000000"/>
            </w:tcBorders>
          </w:tcPr>
          <w:p w:rsidR="00EA40A3" w:rsidRDefault="00E86C16">
            <w:pPr>
              <w:spacing w:before="124" w:line="182" w:lineRule="auto"/>
              <w:ind w:left="347"/>
              <w:rPr>
                <w:rFonts w:ascii="宋体" w:eastAsia="宋体" w:hAnsi="宋体" w:cs="宋体"/>
                <w:sz w:val="17"/>
                <w:szCs w:val="17"/>
              </w:rPr>
            </w:pPr>
            <w:r>
              <w:rPr>
                <w:rFonts w:ascii="宋体" w:eastAsia="宋体" w:hAnsi="宋体" w:cs="宋体"/>
                <w:spacing w:val="-2"/>
                <w:sz w:val="17"/>
                <w:szCs w:val="17"/>
              </w:rPr>
              <w:t>pH</w:t>
            </w:r>
          </w:p>
        </w:tc>
      </w:tr>
      <w:tr w:rsidR="00EA40A3">
        <w:trPr>
          <w:trHeight w:val="268"/>
        </w:trPr>
        <w:tc>
          <w:tcPr>
            <w:tcW w:w="912" w:type="dxa"/>
          </w:tcPr>
          <w:p w:rsidR="00EA40A3" w:rsidRDefault="00E86C16">
            <w:pPr>
              <w:spacing w:before="52" w:line="220" w:lineRule="auto"/>
              <w:ind w:left="270"/>
              <w:rPr>
                <w:rFonts w:ascii="宋体" w:eastAsia="宋体" w:hAnsi="宋体" w:cs="宋体"/>
                <w:sz w:val="17"/>
                <w:szCs w:val="17"/>
              </w:rPr>
            </w:pPr>
            <w:r>
              <w:rPr>
                <w:rFonts w:ascii="宋体" w:eastAsia="宋体" w:hAnsi="宋体" w:cs="宋体"/>
                <w:spacing w:val="-2"/>
                <w:sz w:val="17"/>
                <w:szCs w:val="17"/>
              </w:rPr>
              <w:t>苹果</w:t>
            </w:r>
          </w:p>
        </w:tc>
        <w:tc>
          <w:tcPr>
            <w:tcW w:w="947" w:type="dxa"/>
          </w:tcPr>
          <w:p w:rsidR="00EA40A3" w:rsidRDefault="00E86C16">
            <w:pPr>
              <w:spacing w:before="94" w:line="184" w:lineRule="auto"/>
              <w:ind w:left="228"/>
              <w:rPr>
                <w:rFonts w:ascii="宋体" w:eastAsia="宋体" w:hAnsi="宋体" w:cs="宋体"/>
                <w:sz w:val="17"/>
                <w:szCs w:val="17"/>
              </w:rPr>
            </w:pPr>
            <w:r>
              <w:rPr>
                <w:rFonts w:ascii="宋体" w:eastAsia="宋体" w:hAnsi="宋体" w:cs="宋体"/>
                <w:spacing w:val="-4"/>
                <w:sz w:val="17"/>
                <w:szCs w:val="17"/>
              </w:rPr>
              <w:t>16.0</w:t>
            </w:r>
          </w:p>
        </w:tc>
        <w:tc>
          <w:tcPr>
            <w:tcW w:w="771" w:type="dxa"/>
          </w:tcPr>
          <w:p w:rsidR="00EA40A3" w:rsidRDefault="00E86C16">
            <w:pPr>
              <w:spacing w:before="94" w:line="184" w:lineRule="auto"/>
              <w:ind w:left="210"/>
              <w:rPr>
                <w:rFonts w:ascii="宋体" w:eastAsia="宋体" w:hAnsi="宋体" w:cs="宋体"/>
                <w:sz w:val="17"/>
                <w:szCs w:val="17"/>
              </w:rPr>
            </w:pPr>
            <w:r>
              <w:rPr>
                <w:rFonts w:ascii="宋体" w:eastAsia="宋体" w:hAnsi="宋体" w:cs="宋体"/>
                <w:spacing w:val="-4"/>
                <w:sz w:val="17"/>
                <w:szCs w:val="17"/>
              </w:rPr>
              <w:t>11.1</w:t>
            </w:r>
          </w:p>
        </w:tc>
        <w:tc>
          <w:tcPr>
            <w:tcW w:w="1075" w:type="dxa"/>
          </w:tcPr>
          <w:p w:rsidR="00EA40A3" w:rsidRDefault="00E86C16">
            <w:pPr>
              <w:spacing w:before="54" w:line="222" w:lineRule="auto"/>
              <w:ind w:left="280"/>
              <w:rPr>
                <w:rFonts w:ascii="宋体" w:eastAsia="宋体" w:hAnsi="宋体" w:cs="宋体"/>
                <w:sz w:val="17"/>
                <w:szCs w:val="17"/>
              </w:rPr>
            </w:pPr>
            <w:r>
              <w:rPr>
                <w:rFonts w:ascii="宋体" w:eastAsia="宋体" w:hAnsi="宋体" w:cs="宋体"/>
                <w:spacing w:val="-1"/>
                <w:sz w:val="17"/>
                <w:szCs w:val="17"/>
              </w:rPr>
              <w:t>0.6(M)</w:t>
            </w:r>
          </w:p>
        </w:tc>
        <w:tc>
          <w:tcPr>
            <w:tcW w:w="1041" w:type="dxa"/>
          </w:tcPr>
          <w:p w:rsidR="00EA40A3" w:rsidRDefault="00E86C16">
            <w:pPr>
              <w:spacing w:before="74" w:line="184" w:lineRule="auto"/>
              <w:ind w:left="384"/>
              <w:rPr>
                <w:rFonts w:ascii="宋体" w:eastAsia="宋体" w:hAnsi="宋体" w:cs="宋体"/>
                <w:sz w:val="17"/>
                <w:szCs w:val="17"/>
              </w:rPr>
            </w:pPr>
            <w:r>
              <w:rPr>
                <w:rFonts w:ascii="宋体" w:eastAsia="宋体" w:hAnsi="宋体" w:cs="宋体"/>
                <w:spacing w:val="-2"/>
                <w:sz w:val="17"/>
                <w:szCs w:val="17"/>
              </w:rPr>
              <w:t>2.1</w:t>
            </w:r>
          </w:p>
        </w:tc>
        <w:tc>
          <w:tcPr>
            <w:tcW w:w="849" w:type="dxa"/>
          </w:tcPr>
          <w:p w:rsidR="00EA40A3" w:rsidRDefault="00E86C16">
            <w:pPr>
              <w:spacing w:before="95" w:line="183" w:lineRule="auto"/>
              <w:ind w:left="284"/>
              <w:rPr>
                <w:rFonts w:ascii="宋体" w:eastAsia="宋体" w:hAnsi="宋体" w:cs="宋体"/>
                <w:sz w:val="17"/>
                <w:szCs w:val="17"/>
              </w:rPr>
            </w:pPr>
            <w:r>
              <w:rPr>
                <w:rFonts w:ascii="宋体" w:eastAsia="宋体" w:hAnsi="宋体" w:cs="宋体"/>
                <w:spacing w:val="-2"/>
                <w:sz w:val="17"/>
                <w:szCs w:val="17"/>
              </w:rPr>
              <w:t>0.6</w:t>
            </w:r>
          </w:p>
        </w:tc>
        <w:tc>
          <w:tcPr>
            <w:tcW w:w="907" w:type="dxa"/>
          </w:tcPr>
          <w:p w:rsidR="00EA40A3" w:rsidRDefault="00E86C16">
            <w:pPr>
              <w:spacing w:before="95" w:line="183" w:lineRule="auto"/>
              <w:ind w:left="324"/>
              <w:rPr>
                <w:rFonts w:ascii="宋体" w:eastAsia="宋体" w:hAnsi="宋体" w:cs="宋体"/>
                <w:sz w:val="17"/>
                <w:szCs w:val="17"/>
              </w:rPr>
            </w:pPr>
            <w:r>
              <w:rPr>
                <w:rFonts w:ascii="宋体" w:eastAsia="宋体" w:hAnsi="宋体" w:cs="宋体"/>
                <w:spacing w:val="-2"/>
                <w:sz w:val="17"/>
                <w:szCs w:val="17"/>
              </w:rPr>
              <w:t>0.3</w:t>
            </w:r>
          </w:p>
        </w:tc>
        <w:tc>
          <w:tcPr>
            <w:tcW w:w="858" w:type="dxa"/>
          </w:tcPr>
          <w:p w:rsidR="00EA40A3" w:rsidRDefault="00E86C16">
            <w:pPr>
              <w:spacing w:before="95" w:line="183" w:lineRule="auto"/>
              <w:ind w:left="298"/>
              <w:rPr>
                <w:rFonts w:ascii="宋体" w:eastAsia="宋体" w:hAnsi="宋体" w:cs="宋体"/>
                <w:sz w:val="17"/>
                <w:szCs w:val="17"/>
              </w:rPr>
            </w:pPr>
            <w:r>
              <w:rPr>
                <w:rFonts w:ascii="宋体" w:eastAsia="宋体" w:hAnsi="宋体" w:cs="宋体"/>
                <w:spacing w:val="-3"/>
                <w:sz w:val="17"/>
                <w:szCs w:val="17"/>
              </w:rPr>
              <w:t>3.3</w:t>
            </w:r>
          </w:p>
        </w:tc>
      </w:tr>
      <w:tr w:rsidR="00EA40A3">
        <w:trPr>
          <w:trHeight w:val="276"/>
        </w:trPr>
        <w:tc>
          <w:tcPr>
            <w:tcW w:w="912" w:type="dxa"/>
          </w:tcPr>
          <w:p w:rsidR="00EA40A3" w:rsidRDefault="00E86C16">
            <w:pPr>
              <w:spacing w:before="54" w:line="219" w:lineRule="auto"/>
              <w:ind w:left="360"/>
              <w:rPr>
                <w:rFonts w:ascii="宋体" w:eastAsia="宋体" w:hAnsi="宋体" w:cs="宋体"/>
                <w:sz w:val="17"/>
                <w:szCs w:val="17"/>
              </w:rPr>
            </w:pPr>
            <w:r>
              <w:rPr>
                <w:rFonts w:ascii="宋体" w:eastAsia="宋体" w:hAnsi="宋体" w:cs="宋体"/>
                <w:sz w:val="17"/>
                <w:szCs w:val="17"/>
              </w:rPr>
              <w:t>梨</w:t>
            </w:r>
          </w:p>
        </w:tc>
        <w:tc>
          <w:tcPr>
            <w:tcW w:w="947" w:type="dxa"/>
          </w:tcPr>
          <w:p w:rsidR="00EA40A3" w:rsidRDefault="00E86C16">
            <w:pPr>
              <w:spacing w:before="107" w:line="183" w:lineRule="auto"/>
              <w:ind w:left="267"/>
              <w:rPr>
                <w:rFonts w:ascii="宋体" w:eastAsia="宋体" w:hAnsi="宋体" w:cs="宋体"/>
                <w:sz w:val="17"/>
                <w:szCs w:val="17"/>
              </w:rPr>
            </w:pPr>
            <w:r>
              <w:rPr>
                <w:rFonts w:ascii="宋体" w:eastAsia="宋体" w:hAnsi="宋体" w:cs="宋体"/>
                <w:spacing w:val="-4"/>
                <w:sz w:val="17"/>
                <w:szCs w:val="17"/>
              </w:rPr>
              <w:t>17.5</w:t>
            </w:r>
          </w:p>
        </w:tc>
        <w:tc>
          <w:tcPr>
            <w:tcW w:w="771" w:type="dxa"/>
          </w:tcPr>
          <w:p w:rsidR="00EA40A3" w:rsidRDefault="00E86C16">
            <w:pPr>
              <w:spacing w:before="107" w:line="183" w:lineRule="auto"/>
              <w:ind w:left="250"/>
              <w:rPr>
                <w:rFonts w:ascii="宋体" w:eastAsia="宋体" w:hAnsi="宋体" w:cs="宋体"/>
                <w:sz w:val="17"/>
                <w:szCs w:val="17"/>
              </w:rPr>
            </w:pPr>
            <w:r>
              <w:rPr>
                <w:rFonts w:ascii="宋体" w:eastAsia="宋体" w:hAnsi="宋体" w:cs="宋体"/>
                <w:spacing w:val="-2"/>
                <w:sz w:val="17"/>
                <w:szCs w:val="17"/>
              </w:rPr>
              <w:t>9.8</w:t>
            </w:r>
          </w:p>
        </w:tc>
        <w:tc>
          <w:tcPr>
            <w:tcW w:w="1075" w:type="dxa"/>
          </w:tcPr>
          <w:p w:rsidR="00EA40A3" w:rsidRDefault="00E86C16">
            <w:pPr>
              <w:spacing w:before="56" w:line="222" w:lineRule="auto"/>
              <w:ind w:left="280"/>
              <w:rPr>
                <w:rFonts w:ascii="宋体" w:eastAsia="宋体" w:hAnsi="宋体" w:cs="宋体"/>
                <w:sz w:val="17"/>
                <w:szCs w:val="17"/>
              </w:rPr>
            </w:pPr>
            <w:r>
              <w:rPr>
                <w:rFonts w:ascii="宋体" w:eastAsia="宋体" w:hAnsi="宋体" w:cs="宋体"/>
                <w:spacing w:val="-1"/>
                <w:sz w:val="17"/>
                <w:szCs w:val="17"/>
              </w:rPr>
              <w:t>0.2(M)</w:t>
            </w:r>
          </w:p>
        </w:tc>
        <w:tc>
          <w:tcPr>
            <w:tcW w:w="1041" w:type="dxa"/>
          </w:tcPr>
          <w:p w:rsidR="00EA40A3" w:rsidRDefault="00E86C16">
            <w:pPr>
              <w:spacing w:before="86" w:line="184" w:lineRule="auto"/>
              <w:ind w:left="384"/>
              <w:rPr>
                <w:rFonts w:ascii="宋体" w:eastAsia="宋体" w:hAnsi="宋体" w:cs="宋体"/>
                <w:sz w:val="17"/>
                <w:szCs w:val="17"/>
              </w:rPr>
            </w:pPr>
            <w:r>
              <w:rPr>
                <w:rFonts w:ascii="宋体" w:eastAsia="宋体" w:hAnsi="宋体" w:cs="宋体"/>
                <w:spacing w:val="-3"/>
                <w:sz w:val="17"/>
                <w:szCs w:val="17"/>
              </w:rPr>
              <w:t>3.1</w:t>
            </w:r>
          </w:p>
        </w:tc>
        <w:tc>
          <w:tcPr>
            <w:tcW w:w="849" w:type="dxa"/>
          </w:tcPr>
          <w:p w:rsidR="00EA40A3" w:rsidRDefault="00E86C16">
            <w:pPr>
              <w:spacing w:before="97" w:line="183" w:lineRule="auto"/>
              <w:ind w:left="284"/>
              <w:rPr>
                <w:rFonts w:ascii="宋体" w:eastAsia="宋体" w:hAnsi="宋体" w:cs="宋体"/>
                <w:sz w:val="17"/>
                <w:szCs w:val="17"/>
              </w:rPr>
            </w:pPr>
            <w:r>
              <w:rPr>
                <w:rFonts w:ascii="宋体" w:eastAsia="宋体" w:hAnsi="宋体" w:cs="宋体"/>
                <w:spacing w:val="-2"/>
                <w:sz w:val="17"/>
                <w:szCs w:val="17"/>
              </w:rPr>
              <w:t>0.5</w:t>
            </w:r>
          </w:p>
        </w:tc>
        <w:tc>
          <w:tcPr>
            <w:tcW w:w="907" w:type="dxa"/>
          </w:tcPr>
          <w:p w:rsidR="00EA40A3" w:rsidRDefault="00E86C16">
            <w:pPr>
              <w:spacing w:before="107" w:line="183" w:lineRule="auto"/>
              <w:ind w:left="324"/>
              <w:rPr>
                <w:rFonts w:ascii="宋体" w:eastAsia="宋体" w:hAnsi="宋体" w:cs="宋体"/>
                <w:sz w:val="17"/>
                <w:szCs w:val="17"/>
              </w:rPr>
            </w:pPr>
            <w:r>
              <w:rPr>
                <w:rFonts w:ascii="宋体" w:eastAsia="宋体" w:hAnsi="宋体" w:cs="宋体"/>
                <w:spacing w:val="-2"/>
                <w:sz w:val="17"/>
                <w:szCs w:val="17"/>
              </w:rPr>
              <w:t>0.4</w:t>
            </w:r>
          </w:p>
        </w:tc>
        <w:tc>
          <w:tcPr>
            <w:tcW w:w="858" w:type="dxa"/>
          </w:tcPr>
          <w:p w:rsidR="00EA40A3" w:rsidRDefault="00E86C16">
            <w:pPr>
              <w:spacing w:before="87" w:line="183" w:lineRule="auto"/>
              <w:ind w:left="298"/>
              <w:rPr>
                <w:rFonts w:ascii="宋体" w:eastAsia="宋体" w:hAnsi="宋体" w:cs="宋体"/>
                <w:sz w:val="17"/>
                <w:szCs w:val="17"/>
              </w:rPr>
            </w:pPr>
            <w:r>
              <w:rPr>
                <w:rFonts w:ascii="宋体" w:eastAsia="宋体" w:hAnsi="宋体" w:cs="宋体"/>
                <w:spacing w:val="-3"/>
                <w:sz w:val="17"/>
                <w:szCs w:val="17"/>
              </w:rPr>
              <w:t>3.9</w:t>
            </w:r>
          </w:p>
        </w:tc>
      </w:tr>
      <w:tr w:rsidR="00EA40A3">
        <w:trPr>
          <w:trHeight w:val="268"/>
        </w:trPr>
        <w:tc>
          <w:tcPr>
            <w:tcW w:w="912" w:type="dxa"/>
          </w:tcPr>
          <w:p w:rsidR="00EA40A3" w:rsidRDefault="00E86C16">
            <w:pPr>
              <w:spacing w:before="50" w:line="221" w:lineRule="auto"/>
              <w:ind w:left="360"/>
              <w:rPr>
                <w:rFonts w:ascii="宋体" w:eastAsia="宋体" w:hAnsi="宋体" w:cs="宋体"/>
                <w:sz w:val="17"/>
                <w:szCs w:val="17"/>
              </w:rPr>
            </w:pPr>
            <w:r>
              <w:rPr>
                <w:rFonts w:ascii="宋体" w:eastAsia="宋体" w:hAnsi="宋体" w:cs="宋体"/>
                <w:sz w:val="17"/>
                <w:szCs w:val="17"/>
              </w:rPr>
              <w:t>杏</w:t>
            </w:r>
          </w:p>
        </w:tc>
        <w:tc>
          <w:tcPr>
            <w:tcW w:w="947" w:type="dxa"/>
          </w:tcPr>
          <w:p w:rsidR="00EA40A3" w:rsidRDefault="00E86C16">
            <w:pPr>
              <w:spacing w:before="80" w:line="184" w:lineRule="auto"/>
              <w:ind w:left="228"/>
              <w:rPr>
                <w:rFonts w:ascii="宋体" w:eastAsia="宋体" w:hAnsi="宋体" w:cs="宋体"/>
                <w:sz w:val="17"/>
                <w:szCs w:val="17"/>
              </w:rPr>
            </w:pPr>
            <w:r>
              <w:rPr>
                <w:rFonts w:ascii="宋体" w:eastAsia="宋体" w:hAnsi="宋体" w:cs="宋体"/>
                <w:spacing w:val="-4"/>
                <w:sz w:val="17"/>
                <w:szCs w:val="17"/>
              </w:rPr>
              <w:t>12.6</w:t>
            </w:r>
          </w:p>
        </w:tc>
        <w:tc>
          <w:tcPr>
            <w:tcW w:w="771" w:type="dxa"/>
          </w:tcPr>
          <w:p w:rsidR="00EA40A3" w:rsidRDefault="00E86C16">
            <w:pPr>
              <w:spacing w:before="90" w:line="184" w:lineRule="auto"/>
              <w:ind w:left="250"/>
              <w:rPr>
                <w:rFonts w:ascii="宋体" w:eastAsia="宋体" w:hAnsi="宋体" w:cs="宋体"/>
                <w:sz w:val="17"/>
                <w:szCs w:val="17"/>
              </w:rPr>
            </w:pPr>
            <w:r>
              <w:rPr>
                <w:rFonts w:ascii="宋体" w:eastAsia="宋体" w:hAnsi="宋体" w:cs="宋体"/>
                <w:spacing w:val="-2"/>
                <w:sz w:val="17"/>
                <w:szCs w:val="17"/>
              </w:rPr>
              <w:t>6.1</w:t>
            </w:r>
          </w:p>
        </w:tc>
        <w:tc>
          <w:tcPr>
            <w:tcW w:w="1075" w:type="dxa"/>
          </w:tcPr>
          <w:p w:rsidR="00EA40A3" w:rsidRDefault="00E86C16">
            <w:pPr>
              <w:spacing w:before="50" w:line="222" w:lineRule="auto"/>
              <w:ind w:left="290"/>
              <w:rPr>
                <w:rFonts w:ascii="宋体" w:eastAsia="宋体" w:hAnsi="宋体" w:cs="宋体"/>
                <w:sz w:val="17"/>
                <w:szCs w:val="17"/>
              </w:rPr>
            </w:pPr>
            <w:r>
              <w:rPr>
                <w:rFonts w:ascii="宋体" w:eastAsia="宋体" w:hAnsi="宋体" w:cs="宋体"/>
                <w:spacing w:val="-3"/>
                <w:sz w:val="17"/>
                <w:szCs w:val="17"/>
              </w:rPr>
              <w:t>1.6(M)</w:t>
            </w:r>
          </w:p>
        </w:tc>
        <w:tc>
          <w:tcPr>
            <w:tcW w:w="1041" w:type="dxa"/>
          </w:tcPr>
          <w:p w:rsidR="00EA40A3" w:rsidRDefault="00E86C16">
            <w:pPr>
              <w:spacing w:before="80" w:line="184" w:lineRule="auto"/>
              <w:ind w:left="384"/>
              <w:rPr>
                <w:rFonts w:ascii="宋体" w:eastAsia="宋体" w:hAnsi="宋体" w:cs="宋体"/>
                <w:sz w:val="17"/>
                <w:szCs w:val="17"/>
              </w:rPr>
            </w:pPr>
            <w:r>
              <w:rPr>
                <w:rFonts w:ascii="宋体" w:eastAsia="宋体" w:hAnsi="宋体" w:cs="宋体"/>
                <w:spacing w:val="-5"/>
                <w:sz w:val="17"/>
                <w:szCs w:val="17"/>
              </w:rPr>
              <w:t>1.6</w:t>
            </w:r>
          </w:p>
        </w:tc>
        <w:tc>
          <w:tcPr>
            <w:tcW w:w="849" w:type="dxa"/>
          </w:tcPr>
          <w:p w:rsidR="00EA40A3" w:rsidRDefault="00E86C16">
            <w:pPr>
              <w:spacing w:before="111" w:line="170" w:lineRule="auto"/>
              <w:ind w:left="284"/>
              <w:rPr>
                <w:rFonts w:ascii="宋体" w:eastAsia="宋体" w:hAnsi="宋体" w:cs="宋体"/>
                <w:sz w:val="17"/>
                <w:szCs w:val="17"/>
              </w:rPr>
            </w:pPr>
            <w:r>
              <w:rPr>
                <w:rFonts w:ascii="宋体" w:eastAsia="宋体" w:hAnsi="宋体" w:cs="宋体"/>
                <w:spacing w:val="-5"/>
                <w:sz w:val="17"/>
                <w:szCs w:val="17"/>
              </w:rPr>
              <w:t>1.0</w:t>
            </w:r>
          </w:p>
        </w:tc>
        <w:tc>
          <w:tcPr>
            <w:tcW w:w="907" w:type="dxa"/>
          </w:tcPr>
          <w:p w:rsidR="00EA40A3" w:rsidRDefault="00E86C16">
            <w:pPr>
              <w:spacing w:before="111" w:line="170" w:lineRule="auto"/>
              <w:ind w:left="324"/>
              <w:rPr>
                <w:rFonts w:ascii="宋体" w:eastAsia="宋体" w:hAnsi="宋体" w:cs="宋体"/>
                <w:sz w:val="17"/>
                <w:szCs w:val="17"/>
              </w:rPr>
            </w:pPr>
            <w:r>
              <w:rPr>
                <w:rFonts w:ascii="宋体" w:eastAsia="宋体" w:hAnsi="宋体" w:cs="宋体"/>
                <w:spacing w:val="-2"/>
                <w:sz w:val="17"/>
                <w:szCs w:val="17"/>
              </w:rPr>
              <w:t>0.6</w:t>
            </w:r>
          </w:p>
        </w:tc>
        <w:tc>
          <w:tcPr>
            <w:tcW w:w="858" w:type="dxa"/>
          </w:tcPr>
          <w:p w:rsidR="00EA40A3" w:rsidRDefault="00E86C16">
            <w:pPr>
              <w:spacing w:before="111" w:line="170" w:lineRule="auto"/>
              <w:ind w:left="298"/>
              <w:rPr>
                <w:rFonts w:ascii="宋体" w:eastAsia="宋体" w:hAnsi="宋体" w:cs="宋体"/>
                <w:sz w:val="17"/>
                <w:szCs w:val="17"/>
              </w:rPr>
            </w:pPr>
            <w:r>
              <w:rPr>
                <w:rFonts w:ascii="宋体" w:eastAsia="宋体" w:hAnsi="宋体" w:cs="宋体"/>
                <w:spacing w:val="-3"/>
                <w:sz w:val="17"/>
                <w:szCs w:val="17"/>
              </w:rPr>
              <w:t>3.7</w:t>
            </w:r>
          </w:p>
        </w:tc>
      </w:tr>
      <w:tr w:rsidR="00EA40A3">
        <w:trPr>
          <w:trHeight w:val="284"/>
        </w:trPr>
        <w:tc>
          <w:tcPr>
            <w:tcW w:w="912" w:type="dxa"/>
          </w:tcPr>
          <w:p w:rsidR="00EA40A3" w:rsidRDefault="00E86C16">
            <w:pPr>
              <w:spacing w:before="60" w:line="219" w:lineRule="auto"/>
              <w:ind w:left="190"/>
              <w:rPr>
                <w:rFonts w:ascii="宋体" w:eastAsia="宋体" w:hAnsi="宋体" w:cs="宋体"/>
                <w:sz w:val="17"/>
                <w:szCs w:val="17"/>
              </w:rPr>
            </w:pPr>
            <w:r>
              <w:rPr>
                <w:rFonts w:ascii="宋体" w:eastAsia="宋体" w:hAnsi="宋体" w:cs="宋体"/>
                <w:spacing w:val="-2"/>
                <w:sz w:val="17"/>
                <w:szCs w:val="17"/>
              </w:rPr>
              <w:t>甜樱桃</w:t>
            </w:r>
          </w:p>
        </w:tc>
        <w:tc>
          <w:tcPr>
            <w:tcW w:w="947" w:type="dxa"/>
          </w:tcPr>
          <w:p w:rsidR="00EA40A3" w:rsidRDefault="00E86C16">
            <w:pPr>
              <w:spacing w:before="122" w:line="175" w:lineRule="auto"/>
              <w:ind w:left="267"/>
              <w:rPr>
                <w:rFonts w:ascii="宋体" w:eastAsia="宋体" w:hAnsi="宋体" w:cs="宋体"/>
                <w:sz w:val="17"/>
                <w:szCs w:val="17"/>
              </w:rPr>
            </w:pPr>
            <w:r>
              <w:rPr>
                <w:rFonts w:ascii="宋体" w:eastAsia="宋体" w:hAnsi="宋体" w:cs="宋体"/>
                <w:spacing w:val="-4"/>
                <w:sz w:val="17"/>
                <w:szCs w:val="17"/>
              </w:rPr>
              <w:t>18.7</w:t>
            </w:r>
          </w:p>
        </w:tc>
        <w:tc>
          <w:tcPr>
            <w:tcW w:w="771" w:type="dxa"/>
          </w:tcPr>
          <w:p w:rsidR="00EA40A3" w:rsidRDefault="00E86C16">
            <w:pPr>
              <w:spacing w:before="122" w:line="175" w:lineRule="auto"/>
              <w:ind w:left="210"/>
              <w:rPr>
                <w:rFonts w:ascii="宋体" w:eastAsia="宋体" w:hAnsi="宋体" w:cs="宋体"/>
                <w:sz w:val="17"/>
                <w:szCs w:val="17"/>
              </w:rPr>
            </w:pPr>
            <w:r>
              <w:rPr>
                <w:rFonts w:ascii="宋体" w:eastAsia="宋体" w:hAnsi="宋体" w:cs="宋体"/>
                <w:spacing w:val="-4"/>
                <w:sz w:val="17"/>
                <w:szCs w:val="17"/>
              </w:rPr>
              <w:t>12.4</w:t>
            </w:r>
          </w:p>
        </w:tc>
        <w:tc>
          <w:tcPr>
            <w:tcW w:w="1075" w:type="dxa"/>
          </w:tcPr>
          <w:p w:rsidR="00EA40A3" w:rsidRDefault="00E86C16">
            <w:pPr>
              <w:spacing w:before="72" w:line="222" w:lineRule="auto"/>
              <w:ind w:left="280"/>
              <w:rPr>
                <w:rFonts w:ascii="宋体" w:eastAsia="宋体" w:hAnsi="宋体" w:cs="宋体"/>
                <w:sz w:val="17"/>
                <w:szCs w:val="17"/>
              </w:rPr>
            </w:pPr>
            <w:r>
              <w:rPr>
                <w:rFonts w:ascii="宋体" w:eastAsia="宋体" w:hAnsi="宋体" w:cs="宋体"/>
                <w:spacing w:val="-1"/>
                <w:sz w:val="17"/>
                <w:szCs w:val="17"/>
              </w:rPr>
              <w:t>0.7(M)</w:t>
            </w:r>
          </w:p>
        </w:tc>
        <w:tc>
          <w:tcPr>
            <w:tcW w:w="1041" w:type="dxa"/>
          </w:tcPr>
          <w:p w:rsidR="00EA40A3" w:rsidRDefault="00E86C16">
            <w:pPr>
              <w:spacing w:before="103" w:line="183" w:lineRule="auto"/>
              <w:ind w:left="384"/>
              <w:rPr>
                <w:rFonts w:ascii="宋体" w:eastAsia="宋体" w:hAnsi="宋体" w:cs="宋体"/>
                <w:sz w:val="17"/>
                <w:szCs w:val="17"/>
              </w:rPr>
            </w:pPr>
            <w:r>
              <w:rPr>
                <w:rFonts w:ascii="宋体" w:eastAsia="宋体" w:hAnsi="宋体" w:cs="宋体"/>
                <w:spacing w:val="-2"/>
                <w:sz w:val="17"/>
                <w:szCs w:val="17"/>
              </w:rPr>
              <w:t>2.0</w:t>
            </w:r>
          </w:p>
        </w:tc>
        <w:tc>
          <w:tcPr>
            <w:tcW w:w="849" w:type="dxa"/>
          </w:tcPr>
          <w:p w:rsidR="00EA40A3" w:rsidRDefault="00E86C16">
            <w:pPr>
              <w:spacing w:before="113" w:line="183" w:lineRule="auto"/>
              <w:ind w:left="284"/>
              <w:rPr>
                <w:rFonts w:ascii="宋体" w:eastAsia="宋体" w:hAnsi="宋体" w:cs="宋体"/>
                <w:sz w:val="17"/>
                <w:szCs w:val="17"/>
              </w:rPr>
            </w:pPr>
            <w:r>
              <w:rPr>
                <w:rFonts w:ascii="宋体" w:eastAsia="宋体" w:hAnsi="宋体" w:cs="宋体"/>
                <w:spacing w:val="-2"/>
                <w:sz w:val="17"/>
                <w:szCs w:val="17"/>
              </w:rPr>
              <w:t>0.3</w:t>
            </w:r>
          </w:p>
        </w:tc>
        <w:tc>
          <w:tcPr>
            <w:tcW w:w="907" w:type="dxa"/>
          </w:tcPr>
          <w:p w:rsidR="00EA40A3" w:rsidRDefault="00E86C16">
            <w:pPr>
              <w:spacing w:before="113" w:line="183" w:lineRule="auto"/>
              <w:ind w:left="324"/>
              <w:rPr>
                <w:rFonts w:ascii="宋体" w:eastAsia="宋体" w:hAnsi="宋体" w:cs="宋体"/>
                <w:sz w:val="17"/>
                <w:szCs w:val="17"/>
              </w:rPr>
            </w:pPr>
            <w:r>
              <w:rPr>
                <w:rFonts w:ascii="宋体" w:eastAsia="宋体" w:hAnsi="宋体" w:cs="宋体"/>
                <w:spacing w:val="-2"/>
                <w:sz w:val="17"/>
                <w:szCs w:val="17"/>
              </w:rPr>
              <w:t>0.6</w:t>
            </w:r>
          </w:p>
        </w:tc>
        <w:tc>
          <w:tcPr>
            <w:tcW w:w="858" w:type="dxa"/>
          </w:tcPr>
          <w:p w:rsidR="00EA40A3" w:rsidRDefault="00E86C16">
            <w:pPr>
              <w:spacing w:before="123" w:line="174" w:lineRule="auto"/>
              <w:ind w:left="298"/>
              <w:rPr>
                <w:rFonts w:ascii="宋体" w:eastAsia="宋体" w:hAnsi="宋体" w:cs="宋体"/>
                <w:sz w:val="17"/>
                <w:szCs w:val="17"/>
              </w:rPr>
            </w:pPr>
            <w:r>
              <w:rPr>
                <w:rFonts w:ascii="宋体" w:eastAsia="宋体" w:hAnsi="宋体" w:cs="宋体"/>
                <w:spacing w:val="-2"/>
                <w:sz w:val="17"/>
                <w:szCs w:val="17"/>
              </w:rPr>
              <w:t>4.0</w:t>
            </w:r>
          </w:p>
        </w:tc>
      </w:tr>
      <w:tr w:rsidR="00EA40A3">
        <w:trPr>
          <w:trHeight w:val="270"/>
        </w:trPr>
        <w:tc>
          <w:tcPr>
            <w:tcW w:w="912" w:type="dxa"/>
          </w:tcPr>
          <w:p w:rsidR="00EA40A3" w:rsidRDefault="00E86C16">
            <w:pPr>
              <w:spacing w:before="56" w:line="219" w:lineRule="auto"/>
              <w:ind w:left="360"/>
              <w:rPr>
                <w:rFonts w:ascii="宋体" w:eastAsia="宋体" w:hAnsi="宋体" w:cs="宋体"/>
                <w:sz w:val="17"/>
                <w:szCs w:val="17"/>
              </w:rPr>
            </w:pPr>
            <w:r>
              <w:rPr>
                <w:rFonts w:ascii="宋体" w:eastAsia="宋体" w:hAnsi="宋体" w:cs="宋体"/>
                <w:sz w:val="17"/>
                <w:szCs w:val="17"/>
              </w:rPr>
              <w:t>桃</w:t>
            </w:r>
          </w:p>
        </w:tc>
        <w:tc>
          <w:tcPr>
            <w:tcW w:w="947" w:type="dxa"/>
          </w:tcPr>
          <w:p w:rsidR="00EA40A3" w:rsidRDefault="00E86C16">
            <w:pPr>
              <w:spacing w:before="98" w:line="184" w:lineRule="auto"/>
              <w:ind w:left="228"/>
              <w:rPr>
                <w:rFonts w:ascii="宋体" w:eastAsia="宋体" w:hAnsi="宋体" w:cs="宋体"/>
                <w:sz w:val="17"/>
                <w:szCs w:val="17"/>
              </w:rPr>
            </w:pPr>
            <w:r>
              <w:rPr>
                <w:rFonts w:ascii="宋体" w:eastAsia="宋体" w:hAnsi="宋体" w:cs="宋体"/>
                <w:spacing w:val="-4"/>
                <w:sz w:val="17"/>
                <w:szCs w:val="17"/>
              </w:rPr>
              <w:t>12.9</w:t>
            </w:r>
          </w:p>
        </w:tc>
        <w:tc>
          <w:tcPr>
            <w:tcW w:w="771" w:type="dxa"/>
          </w:tcPr>
          <w:p w:rsidR="00EA40A3" w:rsidRDefault="00E86C16">
            <w:pPr>
              <w:spacing w:before="99" w:line="183" w:lineRule="auto"/>
              <w:ind w:left="250"/>
              <w:rPr>
                <w:rFonts w:ascii="宋体" w:eastAsia="宋体" w:hAnsi="宋体" w:cs="宋体"/>
                <w:sz w:val="17"/>
                <w:szCs w:val="17"/>
              </w:rPr>
            </w:pPr>
            <w:r>
              <w:rPr>
                <w:rFonts w:ascii="宋体" w:eastAsia="宋体" w:hAnsi="宋体" w:cs="宋体"/>
                <w:spacing w:val="-2"/>
                <w:sz w:val="17"/>
                <w:szCs w:val="17"/>
              </w:rPr>
              <w:t>8.5</w:t>
            </w:r>
          </w:p>
        </w:tc>
        <w:tc>
          <w:tcPr>
            <w:tcW w:w="1075" w:type="dxa"/>
          </w:tcPr>
          <w:p w:rsidR="00EA40A3" w:rsidRDefault="00E86C16">
            <w:pPr>
              <w:spacing w:before="58" w:line="222" w:lineRule="auto"/>
              <w:ind w:left="270"/>
              <w:rPr>
                <w:rFonts w:ascii="宋体" w:eastAsia="宋体" w:hAnsi="宋体" w:cs="宋体"/>
                <w:sz w:val="17"/>
                <w:szCs w:val="17"/>
              </w:rPr>
            </w:pPr>
            <w:r>
              <w:rPr>
                <w:rFonts w:ascii="宋体" w:eastAsia="宋体" w:hAnsi="宋体" w:cs="宋体"/>
                <w:spacing w:val="-1"/>
                <w:sz w:val="17"/>
                <w:szCs w:val="17"/>
              </w:rPr>
              <w:t>0.6(M)</w:t>
            </w:r>
          </w:p>
        </w:tc>
        <w:tc>
          <w:tcPr>
            <w:tcW w:w="1041" w:type="dxa"/>
          </w:tcPr>
          <w:p w:rsidR="00EA40A3" w:rsidRDefault="00EA40A3"/>
        </w:tc>
        <w:tc>
          <w:tcPr>
            <w:tcW w:w="849" w:type="dxa"/>
          </w:tcPr>
          <w:p w:rsidR="00EA40A3" w:rsidRDefault="00EA40A3"/>
        </w:tc>
        <w:tc>
          <w:tcPr>
            <w:tcW w:w="907" w:type="dxa"/>
          </w:tcPr>
          <w:p w:rsidR="00EA40A3" w:rsidRDefault="00E86C16">
            <w:pPr>
              <w:spacing w:before="99"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99" w:line="183" w:lineRule="auto"/>
              <w:ind w:left="298"/>
              <w:rPr>
                <w:rFonts w:ascii="宋体" w:eastAsia="宋体" w:hAnsi="宋体" w:cs="宋体"/>
                <w:sz w:val="17"/>
                <w:szCs w:val="17"/>
              </w:rPr>
            </w:pPr>
            <w:r>
              <w:rPr>
                <w:rFonts w:ascii="宋体" w:eastAsia="宋体" w:hAnsi="宋体" w:cs="宋体"/>
                <w:spacing w:val="-3"/>
                <w:sz w:val="17"/>
                <w:szCs w:val="17"/>
              </w:rPr>
              <w:t>3.7</w:t>
            </w:r>
          </w:p>
        </w:tc>
      </w:tr>
      <w:tr w:rsidR="00EA40A3">
        <w:trPr>
          <w:trHeight w:val="269"/>
        </w:trPr>
        <w:tc>
          <w:tcPr>
            <w:tcW w:w="912" w:type="dxa"/>
          </w:tcPr>
          <w:p w:rsidR="00EA40A3" w:rsidRDefault="00E86C16">
            <w:pPr>
              <w:spacing w:before="56" w:line="220" w:lineRule="auto"/>
              <w:ind w:left="270"/>
              <w:rPr>
                <w:rFonts w:ascii="宋体" w:eastAsia="宋体" w:hAnsi="宋体" w:cs="宋体"/>
                <w:sz w:val="17"/>
                <w:szCs w:val="17"/>
              </w:rPr>
            </w:pPr>
            <w:r>
              <w:rPr>
                <w:rFonts w:ascii="宋体" w:eastAsia="宋体" w:hAnsi="宋体" w:cs="宋体"/>
                <w:spacing w:val="-2"/>
                <w:sz w:val="17"/>
                <w:szCs w:val="17"/>
              </w:rPr>
              <w:t>李子</w:t>
            </w:r>
          </w:p>
        </w:tc>
        <w:tc>
          <w:tcPr>
            <w:tcW w:w="947" w:type="dxa"/>
          </w:tcPr>
          <w:p w:rsidR="00EA40A3" w:rsidRDefault="00E86C16">
            <w:pPr>
              <w:spacing w:before="98" w:line="184" w:lineRule="auto"/>
              <w:ind w:left="278"/>
              <w:rPr>
                <w:rFonts w:ascii="宋体" w:eastAsia="宋体" w:hAnsi="宋体" w:cs="宋体"/>
                <w:sz w:val="17"/>
                <w:szCs w:val="17"/>
              </w:rPr>
            </w:pPr>
            <w:r>
              <w:rPr>
                <w:rFonts w:ascii="宋体" w:eastAsia="宋体" w:hAnsi="宋体" w:cs="宋体"/>
                <w:spacing w:val="-4"/>
                <w:sz w:val="17"/>
                <w:szCs w:val="17"/>
              </w:rPr>
              <w:t>14.0</w:t>
            </w:r>
          </w:p>
        </w:tc>
        <w:tc>
          <w:tcPr>
            <w:tcW w:w="771" w:type="dxa"/>
          </w:tcPr>
          <w:p w:rsidR="00EA40A3" w:rsidRDefault="00E86C16">
            <w:pPr>
              <w:spacing w:before="99" w:line="183" w:lineRule="auto"/>
              <w:ind w:left="250"/>
              <w:rPr>
                <w:rFonts w:ascii="宋体" w:eastAsia="宋体" w:hAnsi="宋体" w:cs="宋体"/>
                <w:sz w:val="17"/>
                <w:szCs w:val="17"/>
              </w:rPr>
            </w:pPr>
            <w:r>
              <w:rPr>
                <w:rFonts w:ascii="宋体" w:eastAsia="宋体" w:hAnsi="宋体" w:cs="宋体"/>
                <w:spacing w:val="-3"/>
                <w:sz w:val="17"/>
                <w:szCs w:val="17"/>
              </w:rPr>
              <w:t>7.8</w:t>
            </w:r>
          </w:p>
        </w:tc>
        <w:tc>
          <w:tcPr>
            <w:tcW w:w="1075" w:type="dxa"/>
          </w:tcPr>
          <w:p w:rsidR="00EA40A3" w:rsidRDefault="00E86C16">
            <w:pPr>
              <w:spacing w:before="58" w:line="222" w:lineRule="auto"/>
              <w:ind w:left="309"/>
              <w:rPr>
                <w:rFonts w:ascii="宋体" w:eastAsia="宋体" w:hAnsi="宋体" w:cs="宋体"/>
                <w:sz w:val="17"/>
                <w:szCs w:val="17"/>
              </w:rPr>
            </w:pPr>
            <w:r>
              <w:rPr>
                <w:rFonts w:ascii="宋体" w:eastAsia="宋体" w:hAnsi="宋体" w:cs="宋体"/>
                <w:spacing w:val="-3"/>
                <w:sz w:val="17"/>
                <w:szCs w:val="17"/>
              </w:rPr>
              <w:t>1.5(M)</w:t>
            </w:r>
          </w:p>
        </w:tc>
        <w:tc>
          <w:tcPr>
            <w:tcW w:w="1041" w:type="dxa"/>
          </w:tcPr>
          <w:p w:rsidR="00EA40A3" w:rsidRDefault="00E86C16">
            <w:pPr>
              <w:spacing w:before="98" w:line="184" w:lineRule="auto"/>
              <w:ind w:left="325"/>
              <w:rPr>
                <w:rFonts w:ascii="宋体" w:eastAsia="宋体" w:hAnsi="宋体" w:cs="宋体"/>
                <w:sz w:val="17"/>
                <w:szCs w:val="17"/>
              </w:rPr>
            </w:pPr>
            <w:r>
              <w:rPr>
                <w:rFonts w:ascii="宋体" w:eastAsia="宋体" w:hAnsi="宋体" w:cs="宋体"/>
                <w:spacing w:val="-5"/>
                <w:sz w:val="17"/>
                <w:szCs w:val="17"/>
              </w:rPr>
              <w:t>1.3</w:t>
            </w:r>
          </w:p>
        </w:tc>
        <w:tc>
          <w:tcPr>
            <w:tcW w:w="849" w:type="dxa"/>
          </w:tcPr>
          <w:p w:rsidR="00EA40A3" w:rsidRDefault="00E86C16">
            <w:pPr>
              <w:spacing w:before="99" w:line="183" w:lineRule="auto"/>
              <w:ind w:left="244"/>
              <w:rPr>
                <w:rFonts w:ascii="宋体" w:eastAsia="宋体" w:hAnsi="宋体" w:cs="宋体"/>
                <w:sz w:val="17"/>
                <w:szCs w:val="17"/>
              </w:rPr>
            </w:pPr>
            <w:r>
              <w:rPr>
                <w:rFonts w:ascii="宋体" w:eastAsia="宋体" w:hAnsi="宋体" w:cs="宋体"/>
                <w:spacing w:val="-2"/>
                <w:sz w:val="17"/>
                <w:szCs w:val="17"/>
              </w:rPr>
              <w:t>0.9</w:t>
            </w:r>
          </w:p>
        </w:tc>
        <w:tc>
          <w:tcPr>
            <w:tcW w:w="907" w:type="dxa"/>
          </w:tcPr>
          <w:p w:rsidR="00EA40A3" w:rsidRDefault="00E86C16">
            <w:pPr>
              <w:spacing w:before="99"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99" w:line="183" w:lineRule="auto"/>
              <w:ind w:left="298"/>
              <w:rPr>
                <w:rFonts w:ascii="宋体" w:eastAsia="宋体" w:hAnsi="宋体" w:cs="宋体"/>
                <w:sz w:val="17"/>
                <w:szCs w:val="17"/>
              </w:rPr>
            </w:pPr>
            <w:r>
              <w:rPr>
                <w:rFonts w:ascii="宋体" w:eastAsia="宋体" w:hAnsi="宋体" w:cs="宋体"/>
                <w:spacing w:val="-3"/>
                <w:sz w:val="17"/>
                <w:szCs w:val="17"/>
              </w:rPr>
              <w:t>3.3</w:t>
            </w:r>
          </w:p>
        </w:tc>
      </w:tr>
      <w:tr w:rsidR="00EA40A3">
        <w:trPr>
          <w:trHeight w:val="274"/>
        </w:trPr>
        <w:tc>
          <w:tcPr>
            <w:tcW w:w="912" w:type="dxa"/>
          </w:tcPr>
          <w:p w:rsidR="00EA40A3" w:rsidRDefault="00E86C16">
            <w:pPr>
              <w:spacing w:before="57" w:line="220" w:lineRule="auto"/>
              <w:ind w:left="270"/>
              <w:rPr>
                <w:rFonts w:ascii="宋体" w:eastAsia="宋体" w:hAnsi="宋体" w:cs="宋体"/>
                <w:sz w:val="17"/>
                <w:szCs w:val="17"/>
              </w:rPr>
            </w:pPr>
            <w:r>
              <w:rPr>
                <w:rFonts w:ascii="宋体" w:eastAsia="宋体" w:hAnsi="宋体" w:cs="宋体"/>
                <w:spacing w:val="-3"/>
                <w:sz w:val="17"/>
                <w:szCs w:val="17"/>
              </w:rPr>
              <w:t>黑莓</w:t>
            </w:r>
          </w:p>
        </w:tc>
        <w:tc>
          <w:tcPr>
            <w:tcW w:w="947" w:type="dxa"/>
          </w:tcPr>
          <w:p w:rsidR="00EA40A3" w:rsidRDefault="00E86C16">
            <w:pPr>
              <w:spacing w:before="99" w:line="184" w:lineRule="auto"/>
              <w:ind w:left="228"/>
              <w:rPr>
                <w:rFonts w:ascii="宋体" w:eastAsia="宋体" w:hAnsi="宋体" w:cs="宋体"/>
                <w:sz w:val="17"/>
                <w:szCs w:val="17"/>
              </w:rPr>
            </w:pPr>
            <w:r>
              <w:rPr>
                <w:rFonts w:ascii="宋体" w:eastAsia="宋体" w:hAnsi="宋体" w:cs="宋体"/>
                <w:spacing w:val="-4"/>
                <w:sz w:val="17"/>
                <w:szCs w:val="17"/>
              </w:rPr>
              <w:t>19.1</w:t>
            </w:r>
          </w:p>
        </w:tc>
        <w:tc>
          <w:tcPr>
            <w:tcW w:w="771" w:type="dxa"/>
          </w:tcPr>
          <w:p w:rsidR="00EA40A3" w:rsidRDefault="00E86C16">
            <w:pPr>
              <w:spacing w:before="100" w:line="183" w:lineRule="auto"/>
              <w:ind w:left="250"/>
              <w:rPr>
                <w:rFonts w:ascii="宋体" w:eastAsia="宋体" w:hAnsi="宋体" w:cs="宋体"/>
                <w:sz w:val="17"/>
                <w:szCs w:val="17"/>
              </w:rPr>
            </w:pPr>
            <w:r>
              <w:rPr>
                <w:rFonts w:ascii="宋体" w:eastAsia="宋体" w:hAnsi="宋体" w:cs="宋体"/>
                <w:spacing w:val="-3"/>
                <w:sz w:val="17"/>
                <w:szCs w:val="17"/>
              </w:rPr>
              <w:t>5.0</w:t>
            </w:r>
          </w:p>
        </w:tc>
        <w:tc>
          <w:tcPr>
            <w:tcW w:w="1075" w:type="dxa"/>
          </w:tcPr>
          <w:p w:rsidR="00EA40A3" w:rsidRDefault="00E86C16">
            <w:pPr>
              <w:spacing w:before="59" w:line="222" w:lineRule="auto"/>
              <w:ind w:left="309"/>
              <w:rPr>
                <w:rFonts w:ascii="宋体" w:eastAsia="宋体" w:hAnsi="宋体" w:cs="宋体"/>
                <w:sz w:val="17"/>
                <w:szCs w:val="17"/>
              </w:rPr>
            </w:pPr>
            <w:r>
              <w:rPr>
                <w:rFonts w:ascii="宋体" w:eastAsia="宋体" w:hAnsi="宋体" w:cs="宋体"/>
                <w:spacing w:val="-1"/>
                <w:sz w:val="17"/>
                <w:szCs w:val="17"/>
              </w:rPr>
              <w:t>0.6(C)</w:t>
            </w:r>
          </w:p>
        </w:tc>
        <w:tc>
          <w:tcPr>
            <w:tcW w:w="1041" w:type="dxa"/>
          </w:tcPr>
          <w:p w:rsidR="00EA40A3" w:rsidRDefault="00E86C16">
            <w:pPr>
              <w:spacing w:before="100" w:line="183" w:lineRule="auto"/>
              <w:ind w:left="325"/>
              <w:rPr>
                <w:rFonts w:ascii="宋体" w:eastAsia="宋体" w:hAnsi="宋体" w:cs="宋体"/>
                <w:sz w:val="17"/>
                <w:szCs w:val="17"/>
              </w:rPr>
            </w:pPr>
            <w:r>
              <w:rPr>
                <w:rFonts w:ascii="宋体" w:eastAsia="宋体" w:hAnsi="宋体" w:cs="宋体"/>
                <w:spacing w:val="-2"/>
                <w:sz w:val="17"/>
                <w:szCs w:val="17"/>
              </w:rPr>
              <w:t>9.2</w:t>
            </w:r>
          </w:p>
        </w:tc>
        <w:tc>
          <w:tcPr>
            <w:tcW w:w="849" w:type="dxa"/>
          </w:tcPr>
          <w:p w:rsidR="00EA40A3" w:rsidRDefault="00E86C16">
            <w:pPr>
              <w:spacing w:before="100" w:line="183" w:lineRule="auto"/>
              <w:ind w:left="244"/>
              <w:rPr>
                <w:rFonts w:ascii="宋体" w:eastAsia="宋体" w:hAnsi="宋体" w:cs="宋体"/>
                <w:sz w:val="17"/>
                <w:szCs w:val="17"/>
              </w:rPr>
            </w:pPr>
            <w:r>
              <w:rPr>
                <w:rFonts w:ascii="宋体" w:eastAsia="宋体" w:hAnsi="宋体" w:cs="宋体"/>
                <w:spacing w:val="-2"/>
                <w:sz w:val="17"/>
                <w:szCs w:val="17"/>
              </w:rPr>
              <w:t>0.7</w:t>
            </w:r>
          </w:p>
        </w:tc>
        <w:tc>
          <w:tcPr>
            <w:tcW w:w="907" w:type="dxa"/>
          </w:tcPr>
          <w:p w:rsidR="00EA40A3" w:rsidRDefault="00E86C16">
            <w:pPr>
              <w:spacing w:before="100"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100" w:line="183" w:lineRule="auto"/>
              <w:ind w:left="298"/>
              <w:rPr>
                <w:rFonts w:ascii="宋体" w:eastAsia="宋体" w:hAnsi="宋体" w:cs="宋体"/>
                <w:sz w:val="17"/>
                <w:szCs w:val="17"/>
              </w:rPr>
            </w:pPr>
            <w:r>
              <w:rPr>
                <w:rFonts w:ascii="宋体" w:eastAsia="宋体" w:hAnsi="宋体" w:cs="宋体"/>
                <w:spacing w:val="-3"/>
                <w:sz w:val="17"/>
                <w:szCs w:val="17"/>
              </w:rPr>
              <w:t>3.4</w:t>
            </w:r>
          </w:p>
        </w:tc>
      </w:tr>
      <w:tr w:rsidR="00EA40A3">
        <w:trPr>
          <w:trHeight w:val="280"/>
        </w:trPr>
        <w:tc>
          <w:tcPr>
            <w:tcW w:w="912" w:type="dxa"/>
          </w:tcPr>
          <w:p w:rsidR="00EA40A3" w:rsidRDefault="00E86C16">
            <w:pPr>
              <w:spacing w:before="63" w:line="219" w:lineRule="auto"/>
              <w:ind w:left="270"/>
              <w:rPr>
                <w:rFonts w:ascii="宋体" w:eastAsia="宋体" w:hAnsi="宋体" w:cs="宋体"/>
                <w:sz w:val="17"/>
                <w:szCs w:val="17"/>
              </w:rPr>
            </w:pPr>
            <w:r>
              <w:rPr>
                <w:rFonts w:ascii="宋体" w:eastAsia="宋体" w:hAnsi="宋体" w:cs="宋体"/>
                <w:spacing w:val="-2"/>
                <w:sz w:val="17"/>
                <w:szCs w:val="17"/>
              </w:rPr>
              <w:t>草莓</w:t>
            </w:r>
          </w:p>
        </w:tc>
        <w:tc>
          <w:tcPr>
            <w:tcW w:w="947" w:type="dxa"/>
          </w:tcPr>
          <w:p w:rsidR="00EA40A3" w:rsidRDefault="00E86C16">
            <w:pPr>
              <w:spacing w:before="126" w:line="167" w:lineRule="auto"/>
              <w:ind w:left="228"/>
              <w:rPr>
                <w:rFonts w:ascii="宋体" w:eastAsia="宋体" w:hAnsi="宋体" w:cs="宋体"/>
                <w:sz w:val="17"/>
                <w:szCs w:val="17"/>
              </w:rPr>
            </w:pPr>
            <w:r>
              <w:rPr>
                <w:rFonts w:ascii="宋体" w:eastAsia="宋体" w:hAnsi="宋体" w:cs="宋体"/>
                <w:spacing w:val="-4"/>
                <w:sz w:val="17"/>
                <w:szCs w:val="17"/>
              </w:rPr>
              <w:t>10.2</w:t>
            </w:r>
          </w:p>
        </w:tc>
        <w:tc>
          <w:tcPr>
            <w:tcW w:w="771" w:type="dxa"/>
          </w:tcPr>
          <w:p w:rsidR="00EA40A3" w:rsidRDefault="00E86C16">
            <w:pPr>
              <w:spacing w:before="107" w:line="182" w:lineRule="auto"/>
              <w:ind w:left="250"/>
              <w:rPr>
                <w:rFonts w:ascii="宋体" w:eastAsia="宋体" w:hAnsi="宋体" w:cs="宋体"/>
                <w:sz w:val="17"/>
                <w:szCs w:val="17"/>
              </w:rPr>
            </w:pPr>
            <w:r>
              <w:rPr>
                <w:rFonts w:ascii="宋体" w:eastAsia="宋体" w:hAnsi="宋体" w:cs="宋体"/>
                <w:spacing w:val="-3"/>
                <w:sz w:val="17"/>
                <w:szCs w:val="17"/>
              </w:rPr>
              <w:t>5.7</w:t>
            </w:r>
          </w:p>
        </w:tc>
        <w:tc>
          <w:tcPr>
            <w:tcW w:w="1075" w:type="dxa"/>
          </w:tcPr>
          <w:p w:rsidR="00EA40A3" w:rsidRDefault="00E86C16">
            <w:pPr>
              <w:spacing w:before="65" w:line="222" w:lineRule="auto"/>
              <w:ind w:left="309"/>
              <w:rPr>
                <w:rFonts w:ascii="宋体" w:eastAsia="宋体" w:hAnsi="宋体" w:cs="宋体"/>
                <w:sz w:val="17"/>
                <w:szCs w:val="17"/>
              </w:rPr>
            </w:pPr>
            <w:r>
              <w:rPr>
                <w:rFonts w:ascii="宋体" w:eastAsia="宋体" w:hAnsi="宋体" w:cs="宋体"/>
                <w:spacing w:val="-2"/>
                <w:sz w:val="17"/>
                <w:szCs w:val="17"/>
              </w:rPr>
              <w:t>0.9(C)</w:t>
            </w:r>
          </w:p>
        </w:tc>
        <w:tc>
          <w:tcPr>
            <w:tcW w:w="1041" w:type="dxa"/>
          </w:tcPr>
          <w:p w:rsidR="00EA40A3" w:rsidRDefault="00E86C16">
            <w:pPr>
              <w:spacing w:before="106" w:line="183" w:lineRule="auto"/>
              <w:ind w:left="325"/>
              <w:rPr>
                <w:rFonts w:ascii="宋体" w:eastAsia="宋体" w:hAnsi="宋体" w:cs="宋体"/>
                <w:sz w:val="17"/>
                <w:szCs w:val="17"/>
              </w:rPr>
            </w:pPr>
            <w:r>
              <w:rPr>
                <w:rFonts w:ascii="宋体" w:eastAsia="宋体" w:hAnsi="宋体" w:cs="宋体"/>
                <w:spacing w:val="-2"/>
                <w:sz w:val="17"/>
                <w:szCs w:val="17"/>
              </w:rPr>
              <w:t>2.4</w:t>
            </w:r>
          </w:p>
        </w:tc>
        <w:tc>
          <w:tcPr>
            <w:tcW w:w="849" w:type="dxa"/>
          </w:tcPr>
          <w:p w:rsidR="00EA40A3" w:rsidRDefault="00E86C16">
            <w:pPr>
              <w:spacing w:before="106" w:line="183" w:lineRule="auto"/>
              <w:ind w:left="244"/>
              <w:rPr>
                <w:rFonts w:ascii="宋体" w:eastAsia="宋体" w:hAnsi="宋体" w:cs="宋体"/>
                <w:sz w:val="17"/>
                <w:szCs w:val="17"/>
              </w:rPr>
            </w:pPr>
            <w:r>
              <w:rPr>
                <w:rFonts w:ascii="宋体" w:eastAsia="宋体" w:hAnsi="宋体" w:cs="宋体"/>
                <w:spacing w:val="-2"/>
                <w:sz w:val="17"/>
                <w:szCs w:val="17"/>
              </w:rPr>
              <w:t>0.5</w:t>
            </w:r>
          </w:p>
        </w:tc>
        <w:tc>
          <w:tcPr>
            <w:tcW w:w="907" w:type="dxa"/>
          </w:tcPr>
          <w:p w:rsidR="00EA40A3" w:rsidRDefault="00E86C16">
            <w:pPr>
              <w:spacing w:before="106"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A40A3"/>
        </w:tc>
      </w:tr>
      <w:tr w:rsidR="00EA40A3">
        <w:trPr>
          <w:trHeight w:val="279"/>
        </w:trPr>
        <w:tc>
          <w:tcPr>
            <w:tcW w:w="912" w:type="dxa"/>
          </w:tcPr>
          <w:p w:rsidR="00EA40A3" w:rsidRDefault="00E86C16">
            <w:pPr>
              <w:spacing w:before="63" w:line="220" w:lineRule="auto"/>
              <w:ind w:left="270"/>
              <w:rPr>
                <w:rFonts w:ascii="宋体" w:eastAsia="宋体" w:hAnsi="宋体" w:cs="宋体"/>
                <w:sz w:val="17"/>
                <w:szCs w:val="17"/>
              </w:rPr>
            </w:pPr>
            <w:r>
              <w:rPr>
                <w:rFonts w:ascii="宋体" w:eastAsia="宋体" w:hAnsi="宋体" w:cs="宋体"/>
                <w:spacing w:val="6"/>
                <w:sz w:val="17"/>
                <w:szCs w:val="17"/>
              </w:rPr>
              <w:t>葡萄</w:t>
            </w:r>
          </w:p>
        </w:tc>
        <w:tc>
          <w:tcPr>
            <w:tcW w:w="947" w:type="dxa"/>
          </w:tcPr>
          <w:p w:rsidR="00EA40A3" w:rsidRDefault="00E86C16">
            <w:pPr>
              <w:spacing w:before="105" w:line="184" w:lineRule="auto"/>
              <w:ind w:left="228"/>
              <w:rPr>
                <w:rFonts w:ascii="宋体" w:eastAsia="宋体" w:hAnsi="宋体" w:cs="宋体"/>
                <w:sz w:val="17"/>
                <w:szCs w:val="17"/>
              </w:rPr>
            </w:pPr>
            <w:r>
              <w:rPr>
                <w:rFonts w:ascii="宋体" w:eastAsia="宋体" w:hAnsi="宋体" w:cs="宋体"/>
                <w:spacing w:val="-4"/>
                <w:sz w:val="17"/>
                <w:szCs w:val="17"/>
              </w:rPr>
              <w:t>17.3</w:t>
            </w:r>
          </w:p>
        </w:tc>
        <w:tc>
          <w:tcPr>
            <w:tcW w:w="771" w:type="dxa"/>
          </w:tcPr>
          <w:p w:rsidR="00EA40A3" w:rsidRDefault="00E86C16">
            <w:pPr>
              <w:spacing w:before="105" w:line="184" w:lineRule="auto"/>
              <w:ind w:left="210"/>
              <w:rPr>
                <w:rFonts w:ascii="宋体" w:eastAsia="宋体" w:hAnsi="宋体" w:cs="宋体"/>
                <w:sz w:val="17"/>
                <w:szCs w:val="17"/>
              </w:rPr>
            </w:pPr>
            <w:r>
              <w:rPr>
                <w:rFonts w:ascii="宋体" w:eastAsia="宋体" w:hAnsi="宋体" w:cs="宋体"/>
                <w:spacing w:val="-4"/>
                <w:sz w:val="17"/>
                <w:szCs w:val="17"/>
              </w:rPr>
              <w:t>14.8</w:t>
            </w:r>
          </w:p>
        </w:tc>
        <w:tc>
          <w:tcPr>
            <w:tcW w:w="1075" w:type="dxa"/>
          </w:tcPr>
          <w:p w:rsidR="00EA40A3" w:rsidRDefault="00E86C16">
            <w:pPr>
              <w:spacing w:before="65" w:line="222" w:lineRule="auto"/>
              <w:ind w:left="270"/>
              <w:rPr>
                <w:rFonts w:ascii="宋体" w:eastAsia="宋体" w:hAnsi="宋体" w:cs="宋体"/>
                <w:sz w:val="17"/>
                <w:szCs w:val="17"/>
              </w:rPr>
            </w:pPr>
            <w:r>
              <w:rPr>
                <w:rFonts w:ascii="宋体" w:eastAsia="宋体" w:hAnsi="宋体" w:cs="宋体"/>
                <w:spacing w:val="-2"/>
                <w:sz w:val="17"/>
                <w:szCs w:val="17"/>
              </w:rPr>
              <w:t>0.4(T)</w:t>
            </w:r>
          </w:p>
        </w:tc>
        <w:tc>
          <w:tcPr>
            <w:tcW w:w="1041" w:type="dxa"/>
          </w:tcPr>
          <w:p w:rsidR="00EA40A3" w:rsidRDefault="00EA40A3"/>
        </w:tc>
        <w:tc>
          <w:tcPr>
            <w:tcW w:w="849" w:type="dxa"/>
          </w:tcPr>
          <w:p w:rsidR="00EA40A3" w:rsidRDefault="00EA40A3"/>
        </w:tc>
        <w:tc>
          <w:tcPr>
            <w:tcW w:w="907" w:type="dxa"/>
          </w:tcPr>
          <w:p w:rsidR="00EA40A3" w:rsidRDefault="00E86C16">
            <w:pPr>
              <w:spacing w:before="106"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106" w:line="183" w:lineRule="auto"/>
              <w:ind w:left="298"/>
              <w:rPr>
                <w:rFonts w:ascii="宋体" w:eastAsia="宋体" w:hAnsi="宋体" w:cs="宋体"/>
                <w:sz w:val="17"/>
                <w:szCs w:val="17"/>
              </w:rPr>
            </w:pPr>
            <w:r>
              <w:rPr>
                <w:rFonts w:ascii="宋体" w:eastAsia="宋体" w:hAnsi="宋体" w:cs="宋体"/>
                <w:spacing w:val="-3"/>
                <w:sz w:val="17"/>
                <w:szCs w:val="17"/>
              </w:rPr>
              <w:t>3.3</w:t>
            </w:r>
          </w:p>
        </w:tc>
      </w:tr>
      <w:tr w:rsidR="00EA40A3">
        <w:trPr>
          <w:trHeight w:val="274"/>
        </w:trPr>
        <w:tc>
          <w:tcPr>
            <w:tcW w:w="912" w:type="dxa"/>
          </w:tcPr>
          <w:p w:rsidR="00EA40A3" w:rsidRDefault="00E86C16">
            <w:pPr>
              <w:spacing w:before="62" w:line="219" w:lineRule="auto"/>
              <w:ind w:left="360"/>
              <w:rPr>
                <w:rFonts w:ascii="宋体" w:eastAsia="宋体" w:hAnsi="宋体" w:cs="宋体"/>
                <w:sz w:val="17"/>
                <w:szCs w:val="17"/>
              </w:rPr>
            </w:pPr>
            <w:r>
              <w:rPr>
                <w:rFonts w:ascii="宋体" w:eastAsia="宋体" w:hAnsi="宋体" w:cs="宋体"/>
                <w:sz w:val="17"/>
                <w:szCs w:val="17"/>
              </w:rPr>
              <w:t>橙</w:t>
            </w:r>
          </w:p>
        </w:tc>
        <w:tc>
          <w:tcPr>
            <w:tcW w:w="947" w:type="dxa"/>
          </w:tcPr>
          <w:p w:rsidR="00EA40A3" w:rsidRDefault="00E86C16">
            <w:pPr>
              <w:spacing w:before="107" w:line="181" w:lineRule="auto"/>
              <w:ind w:left="228"/>
              <w:rPr>
                <w:rFonts w:ascii="宋体" w:eastAsia="宋体" w:hAnsi="宋体" w:cs="宋体"/>
                <w:sz w:val="17"/>
                <w:szCs w:val="17"/>
              </w:rPr>
            </w:pPr>
            <w:r>
              <w:rPr>
                <w:rFonts w:ascii="宋体" w:eastAsia="宋体" w:hAnsi="宋体" w:cs="宋体"/>
                <w:spacing w:val="-4"/>
                <w:sz w:val="17"/>
                <w:szCs w:val="17"/>
              </w:rPr>
              <w:t>13.0</w:t>
            </w:r>
          </w:p>
        </w:tc>
        <w:tc>
          <w:tcPr>
            <w:tcW w:w="771" w:type="dxa"/>
          </w:tcPr>
          <w:p w:rsidR="00EA40A3" w:rsidRDefault="00E86C16">
            <w:pPr>
              <w:spacing w:before="107" w:line="181" w:lineRule="auto"/>
              <w:ind w:left="250"/>
              <w:rPr>
                <w:rFonts w:ascii="宋体" w:eastAsia="宋体" w:hAnsi="宋体" w:cs="宋体"/>
                <w:sz w:val="17"/>
                <w:szCs w:val="17"/>
              </w:rPr>
            </w:pPr>
            <w:r>
              <w:rPr>
                <w:rFonts w:ascii="宋体" w:eastAsia="宋体" w:hAnsi="宋体" w:cs="宋体"/>
                <w:spacing w:val="-3"/>
                <w:sz w:val="17"/>
                <w:szCs w:val="17"/>
              </w:rPr>
              <w:t>7.0</w:t>
            </w:r>
          </w:p>
        </w:tc>
        <w:tc>
          <w:tcPr>
            <w:tcW w:w="1075" w:type="dxa"/>
          </w:tcPr>
          <w:p w:rsidR="00EA40A3" w:rsidRDefault="00E86C16">
            <w:pPr>
              <w:spacing w:before="66" w:line="222" w:lineRule="auto"/>
              <w:ind w:left="270"/>
              <w:rPr>
                <w:rFonts w:ascii="宋体" w:eastAsia="宋体" w:hAnsi="宋体" w:cs="宋体"/>
                <w:sz w:val="17"/>
                <w:szCs w:val="17"/>
              </w:rPr>
            </w:pPr>
            <w:r>
              <w:rPr>
                <w:rFonts w:ascii="宋体" w:eastAsia="宋体" w:hAnsi="宋体" w:cs="宋体"/>
                <w:spacing w:val="-2"/>
                <w:sz w:val="17"/>
                <w:szCs w:val="17"/>
              </w:rPr>
              <w:t>0.8(C)</w:t>
            </w:r>
          </w:p>
        </w:tc>
        <w:tc>
          <w:tcPr>
            <w:tcW w:w="1041" w:type="dxa"/>
          </w:tcPr>
          <w:p w:rsidR="00EA40A3" w:rsidRDefault="00EA40A3"/>
        </w:tc>
        <w:tc>
          <w:tcPr>
            <w:tcW w:w="849" w:type="dxa"/>
          </w:tcPr>
          <w:p w:rsidR="00EA40A3" w:rsidRDefault="00EA40A3"/>
        </w:tc>
        <w:tc>
          <w:tcPr>
            <w:tcW w:w="907" w:type="dxa"/>
          </w:tcPr>
          <w:p w:rsidR="00EA40A3" w:rsidRDefault="00E86C16">
            <w:pPr>
              <w:spacing w:before="107" w:line="181"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107" w:line="181" w:lineRule="auto"/>
              <w:ind w:left="298"/>
              <w:rPr>
                <w:rFonts w:ascii="宋体" w:eastAsia="宋体" w:hAnsi="宋体" w:cs="宋体"/>
                <w:sz w:val="17"/>
                <w:szCs w:val="17"/>
              </w:rPr>
            </w:pPr>
            <w:r>
              <w:rPr>
                <w:rFonts w:ascii="宋体" w:eastAsia="宋体" w:hAnsi="宋体" w:cs="宋体"/>
                <w:spacing w:val="-3"/>
                <w:sz w:val="17"/>
                <w:szCs w:val="17"/>
              </w:rPr>
              <w:t>3.3</w:t>
            </w:r>
          </w:p>
        </w:tc>
      </w:tr>
      <w:tr w:rsidR="00EA40A3">
        <w:trPr>
          <w:trHeight w:val="280"/>
        </w:trPr>
        <w:tc>
          <w:tcPr>
            <w:tcW w:w="912" w:type="dxa"/>
          </w:tcPr>
          <w:p w:rsidR="00EA40A3" w:rsidRDefault="00E86C16">
            <w:pPr>
              <w:spacing w:before="60" w:line="219" w:lineRule="auto"/>
              <w:ind w:left="270"/>
              <w:rPr>
                <w:rFonts w:ascii="宋体" w:eastAsia="宋体" w:hAnsi="宋体" w:cs="宋体"/>
                <w:sz w:val="17"/>
                <w:szCs w:val="17"/>
              </w:rPr>
            </w:pPr>
            <w:r>
              <w:rPr>
                <w:rFonts w:ascii="宋体" w:eastAsia="宋体" w:hAnsi="宋体" w:cs="宋体"/>
                <w:spacing w:val="-2"/>
                <w:sz w:val="17"/>
                <w:szCs w:val="17"/>
              </w:rPr>
              <w:t>柠檬</w:t>
            </w:r>
          </w:p>
        </w:tc>
        <w:tc>
          <w:tcPr>
            <w:tcW w:w="947" w:type="dxa"/>
          </w:tcPr>
          <w:p w:rsidR="00EA40A3" w:rsidRDefault="00E86C16">
            <w:pPr>
              <w:spacing w:before="102" w:line="184" w:lineRule="auto"/>
              <w:ind w:left="228"/>
              <w:rPr>
                <w:rFonts w:ascii="宋体" w:eastAsia="宋体" w:hAnsi="宋体" w:cs="宋体"/>
                <w:sz w:val="17"/>
                <w:szCs w:val="17"/>
              </w:rPr>
            </w:pPr>
            <w:r>
              <w:rPr>
                <w:rFonts w:ascii="宋体" w:eastAsia="宋体" w:hAnsi="宋体" w:cs="宋体"/>
                <w:spacing w:val="-4"/>
                <w:sz w:val="17"/>
                <w:szCs w:val="17"/>
              </w:rPr>
              <w:t>11.7</w:t>
            </w:r>
          </w:p>
        </w:tc>
        <w:tc>
          <w:tcPr>
            <w:tcW w:w="771" w:type="dxa"/>
          </w:tcPr>
          <w:p w:rsidR="00EA40A3" w:rsidRDefault="00E86C16">
            <w:pPr>
              <w:spacing w:before="103" w:line="183" w:lineRule="auto"/>
              <w:ind w:left="250"/>
              <w:rPr>
                <w:rFonts w:ascii="宋体" w:eastAsia="宋体" w:hAnsi="宋体" w:cs="宋体"/>
                <w:sz w:val="17"/>
                <w:szCs w:val="17"/>
              </w:rPr>
            </w:pPr>
            <w:r>
              <w:rPr>
                <w:rFonts w:ascii="宋体" w:eastAsia="宋体" w:hAnsi="宋体" w:cs="宋体"/>
                <w:spacing w:val="-2"/>
                <w:sz w:val="17"/>
                <w:szCs w:val="17"/>
              </w:rPr>
              <w:t>2.2</w:t>
            </w:r>
          </w:p>
        </w:tc>
        <w:tc>
          <w:tcPr>
            <w:tcW w:w="1075" w:type="dxa"/>
          </w:tcPr>
          <w:p w:rsidR="00EA40A3" w:rsidRDefault="00E86C16">
            <w:pPr>
              <w:spacing w:before="62" w:line="222" w:lineRule="auto"/>
              <w:ind w:left="270"/>
              <w:rPr>
                <w:rFonts w:ascii="宋体" w:eastAsia="宋体" w:hAnsi="宋体" w:cs="宋体"/>
                <w:sz w:val="17"/>
                <w:szCs w:val="17"/>
              </w:rPr>
            </w:pPr>
            <w:r>
              <w:rPr>
                <w:rFonts w:ascii="宋体" w:eastAsia="宋体" w:hAnsi="宋体" w:cs="宋体"/>
                <w:spacing w:val="-1"/>
                <w:sz w:val="17"/>
                <w:szCs w:val="17"/>
              </w:rPr>
              <w:t>6.0(C)</w:t>
            </w:r>
          </w:p>
        </w:tc>
        <w:tc>
          <w:tcPr>
            <w:tcW w:w="1041" w:type="dxa"/>
          </w:tcPr>
          <w:p w:rsidR="00EA40A3" w:rsidRDefault="00EA40A3"/>
        </w:tc>
        <w:tc>
          <w:tcPr>
            <w:tcW w:w="849" w:type="dxa"/>
          </w:tcPr>
          <w:p w:rsidR="00EA40A3" w:rsidRDefault="00EA40A3"/>
        </w:tc>
        <w:tc>
          <w:tcPr>
            <w:tcW w:w="907" w:type="dxa"/>
          </w:tcPr>
          <w:p w:rsidR="00EA40A3" w:rsidRDefault="00E86C16">
            <w:pPr>
              <w:spacing w:before="103" w:line="183" w:lineRule="auto"/>
              <w:ind w:left="324"/>
              <w:rPr>
                <w:rFonts w:ascii="宋体" w:eastAsia="宋体" w:hAnsi="宋体" w:cs="宋体"/>
                <w:sz w:val="17"/>
                <w:szCs w:val="17"/>
              </w:rPr>
            </w:pPr>
            <w:r>
              <w:rPr>
                <w:rFonts w:ascii="宋体" w:eastAsia="宋体" w:hAnsi="宋体" w:cs="宋体"/>
                <w:spacing w:val="-2"/>
                <w:sz w:val="17"/>
                <w:szCs w:val="17"/>
              </w:rPr>
              <w:t>0.5</w:t>
            </w:r>
          </w:p>
        </w:tc>
        <w:tc>
          <w:tcPr>
            <w:tcW w:w="858" w:type="dxa"/>
          </w:tcPr>
          <w:p w:rsidR="00EA40A3" w:rsidRDefault="00E86C16">
            <w:pPr>
              <w:spacing w:before="103" w:line="183" w:lineRule="auto"/>
              <w:ind w:left="298"/>
              <w:rPr>
                <w:rFonts w:ascii="宋体" w:eastAsia="宋体" w:hAnsi="宋体" w:cs="宋体"/>
                <w:sz w:val="17"/>
                <w:szCs w:val="17"/>
              </w:rPr>
            </w:pPr>
            <w:r>
              <w:rPr>
                <w:rFonts w:ascii="宋体" w:eastAsia="宋体" w:hAnsi="宋体" w:cs="宋体"/>
                <w:spacing w:val="-2"/>
                <w:sz w:val="17"/>
                <w:szCs w:val="17"/>
              </w:rPr>
              <w:t>2.5</w:t>
            </w:r>
          </w:p>
        </w:tc>
      </w:tr>
      <w:tr w:rsidR="00EA40A3">
        <w:trPr>
          <w:trHeight w:val="275"/>
        </w:trPr>
        <w:tc>
          <w:tcPr>
            <w:tcW w:w="912" w:type="dxa"/>
          </w:tcPr>
          <w:p w:rsidR="00EA40A3" w:rsidRDefault="00E86C16">
            <w:pPr>
              <w:spacing w:before="68" w:line="219" w:lineRule="auto"/>
              <w:ind w:left="270"/>
              <w:rPr>
                <w:rFonts w:ascii="宋体" w:eastAsia="宋体" w:hAnsi="宋体" w:cs="宋体"/>
                <w:sz w:val="17"/>
                <w:szCs w:val="17"/>
              </w:rPr>
            </w:pPr>
            <w:r>
              <w:rPr>
                <w:rFonts w:ascii="宋体" w:eastAsia="宋体" w:hAnsi="宋体" w:cs="宋体"/>
                <w:spacing w:val="-3"/>
                <w:sz w:val="17"/>
                <w:szCs w:val="17"/>
              </w:rPr>
              <w:t>菠萝</w:t>
            </w:r>
          </w:p>
        </w:tc>
        <w:tc>
          <w:tcPr>
            <w:tcW w:w="947" w:type="dxa"/>
          </w:tcPr>
          <w:p w:rsidR="00EA40A3" w:rsidRDefault="00E86C16">
            <w:pPr>
              <w:spacing w:before="102" w:line="184" w:lineRule="auto"/>
              <w:ind w:left="228"/>
              <w:rPr>
                <w:rFonts w:ascii="宋体" w:eastAsia="宋体" w:hAnsi="宋体" w:cs="宋体"/>
                <w:sz w:val="17"/>
                <w:szCs w:val="17"/>
              </w:rPr>
            </w:pPr>
            <w:r>
              <w:rPr>
                <w:rFonts w:ascii="宋体" w:eastAsia="宋体" w:hAnsi="宋体" w:cs="宋体"/>
                <w:spacing w:val="-4"/>
                <w:sz w:val="17"/>
                <w:szCs w:val="17"/>
              </w:rPr>
              <w:t>15.4</w:t>
            </w:r>
          </w:p>
        </w:tc>
        <w:tc>
          <w:tcPr>
            <w:tcW w:w="771" w:type="dxa"/>
          </w:tcPr>
          <w:p w:rsidR="00EA40A3" w:rsidRDefault="00E86C16">
            <w:pPr>
              <w:spacing w:before="112" w:line="176" w:lineRule="auto"/>
              <w:ind w:left="210"/>
              <w:rPr>
                <w:rFonts w:ascii="宋体" w:eastAsia="宋体" w:hAnsi="宋体" w:cs="宋体"/>
                <w:sz w:val="17"/>
                <w:szCs w:val="17"/>
              </w:rPr>
            </w:pPr>
            <w:r>
              <w:rPr>
                <w:rFonts w:ascii="宋体" w:eastAsia="宋体" w:hAnsi="宋体" w:cs="宋体"/>
                <w:spacing w:val="-4"/>
                <w:sz w:val="17"/>
                <w:szCs w:val="17"/>
              </w:rPr>
              <w:t>12.3</w:t>
            </w:r>
          </w:p>
        </w:tc>
        <w:tc>
          <w:tcPr>
            <w:tcW w:w="1075" w:type="dxa"/>
          </w:tcPr>
          <w:p w:rsidR="00EA40A3" w:rsidRDefault="00E86C16">
            <w:pPr>
              <w:spacing w:before="72" w:line="220" w:lineRule="auto"/>
              <w:ind w:left="309"/>
              <w:rPr>
                <w:rFonts w:ascii="宋体" w:eastAsia="宋体" w:hAnsi="宋体" w:cs="宋体"/>
                <w:sz w:val="17"/>
                <w:szCs w:val="17"/>
              </w:rPr>
            </w:pPr>
            <w:r>
              <w:rPr>
                <w:rFonts w:ascii="宋体" w:eastAsia="宋体" w:hAnsi="宋体" w:cs="宋体"/>
                <w:spacing w:val="-3"/>
                <w:sz w:val="17"/>
                <w:szCs w:val="17"/>
              </w:rPr>
              <w:t>1.1(C)</w:t>
            </w:r>
          </w:p>
        </w:tc>
        <w:tc>
          <w:tcPr>
            <w:tcW w:w="1041" w:type="dxa"/>
          </w:tcPr>
          <w:p w:rsidR="00EA40A3" w:rsidRDefault="00E86C16">
            <w:pPr>
              <w:spacing w:before="92" w:line="184" w:lineRule="auto"/>
              <w:ind w:left="325"/>
              <w:rPr>
                <w:rFonts w:ascii="宋体" w:eastAsia="宋体" w:hAnsi="宋体" w:cs="宋体"/>
                <w:sz w:val="17"/>
                <w:szCs w:val="17"/>
              </w:rPr>
            </w:pPr>
            <w:r>
              <w:rPr>
                <w:rFonts w:ascii="宋体" w:eastAsia="宋体" w:hAnsi="宋体" w:cs="宋体"/>
                <w:spacing w:val="-5"/>
                <w:sz w:val="17"/>
                <w:szCs w:val="17"/>
              </w:rPr>
              <w:t>1.5</w:t>
            </w:r>
          </w:p>
        </w:tc>
        <w:tc>
          <w:tcPr>
            <w:tcW w:w="849" w:type="dxa"/>
          </w:tcPr>
          <w:p w:rsidR="00EA40A3" w:rsidRDefault="00EA40A3"/>
        </w:tc>
        <w:tc>
          <w:tcPr>
            <w:tcW w:w="907" w:type="dxa"/>
          </w:tcPr>
          <w:p w:rsidR="00EA40A3" w:rsidRDefault="00E86C16">
            <w:pPr>
              <w:spacing w:before="103" w:line="183" w:lineRule="auto"/>
              <w:ind w:left="335"/>
              <w:rPr>
                <w:rFonts w:ascii="宋体" w:eastAsia="宋体" w:hAnsi="宋体" w:cs="宋体"/>
                <w:sz w:val="17"/>
                <w:szCs w:val="17"/>
              </w:rPr>
            </w:pPr>
            <w:r>
              <w:rPr>
                <w:rFonts w:ascii="宋体" w:eastAsia="宋体" w:hAnsi="宋体" w:cs="宋体"/>
                <w:spacing w:val="-2"/>
                <w:sz w:val="17"/>
                <w:szCs w:val="17"/>
              </w:rPr>
              <w:t>0.4</w:t>
            </w:r>
          </w:p>
        </w:tc>
        <w:tc>
          <w:tcPr>
            <w:tcW w:w="858" w:type="dxa"/>
          </w:tcPr>
          <w:p w:rsidR="00EA40A3" w:rsidRDefault="00E86C16">
            <w:pPr>
              <w:spacing w:before="113" w:line="175" w:lineRule="auto"/>
              <w:ind w:left="298"/>
              <w:rPr>
                <w:rFonts w:ascii="宋体" w:eastAsia="宋体" w:hAnsi="宋体" w:cs="宋体"/>
                <w:sz w:val="17"/>
                <w:szCs w:val="17"/>
              </w:rPr>
            </w:pPr>
            <w:r>
              <w:rPr>
                <w:rFonts w:ascii="宋体" w:eastAsia="宋体" w:hAnsi="宋体" w:cs="宋体"/>
                <w:spacing w:val="-3"/>
                <w:sz w:val="17"/>
                <w:szCs w:val="17"/>
              </w:rPr>
              <w:t>3.4</w:t>
            </w:r>
          </w:p>
        </w:tc>
      </w:tr>
      <w:tr w:rsidR="00EA40A3">
        <w:trPr>
          <w:trHeight w:val="279"/>
        </w:trPr>
        <w:tc>
          <w:tcPr>
            <w:tcW w:w="912" w:type="dxa"/>
          </w:tcPr>
          <w:p w:rsidR="00EA40A3" w:rsidRDefault="00E86C16">
            <w:pPr>
              <w:spacing w:before="55" w:line="221" w:lineRule="auto"/>
              <w:ind w:left="270"/>
              <w:rPr>
                <w:rFonts w:ascii="宋体" w:eastAsia="宋体" w:hAnsi="宋体" w:cs="宋体"/>
                <w:sz w:val="17"/>
                <w:szCs w:val="17"/>
              </w:rPr>
            </w:pPr>
            <w:r>
              <w:rPr>
                <w:rFonts w:ascii="宋体" w:eastAsia="宋体" w:hAnsi="宋体" w:cs="宋体"/>
                <w:spacing w:val="-2"/>
                <w:sz w:val="17"/>
                <w:szCs w:val="17"/>
              </w:rPr>
              <w:t>香蕉</w:t>
            </w:r>
          </w:p>
        </w:tc>
        <w:tc>
          <w:tcPr>
            <w:tcW w:w="947" w:type="dxa"/>
          </w:tcPr>
          <w:p w:rsidR="00EA40A3" w:rsidRDefault="00E86C16">
            <w:pPr>
              <w:spacing w:before="108" w:line="183" w:lineRule="auto"/>
              <w:ind w:left="228"/>
              <w:rPr>
                <w:rFonts w:ascii="宋体" w:eastAsia="宋体" w:hAnsi="宋体" w:cs="宋体"/>
                <w:sz w:val="17"/>
                <w:szCs w:val="17"/>
              </w:rPr>
            </w:pPr>
            <w:r>
              <w:rPr>
                <w:rFonts w:ascii="宋体" w:eastAsia="宋体" w:hAnsi="宋体" w:cs="宋体"/>
                <w:spacing w:val="-2"/>
                <w:sz w:val="17"/>
                <w:szCs w:val="17"/>
              </w:rPr>
              <w:t>26.4</w:t>
            </w:r>
          </w:p>
        </w:tc>
        <w:tc>
          <w:tcPr>
            <w:tcW w:w="771" w:type="dxa"/>
          </w:tcPr>
          <w:p w:rsidR="00EA40A3" w:rsidRDefault="00E86C16">
            <w:pPr>
              <w:spacing w:before="77" w:line="184" w:lineRule="auto"/>
              <w:ind w:left="210"/>
              <w:rPr>
                <w:rFonts w:ascii="宋体" w:eastAsia="宋体" w:hAnsi="宋体" w:cs="宋体"/>
                <w:sz w:val="17"/>
                <w:szCs w:val="17"/>
              </w:rPr>
            </w:pPr>
            <w:r>
              <w:rPr>
                <w:rFonts w:ascii="宋体" w:eastAsia="宋体" w:hAnsi="宋体" w:cs="宋体"/>
                <w:spacing w:val="-4"/>
                <w:sz w:val="17"/>
                <w:szCs w:val="17"/>
              </w:rPr>
              <w:t>18.0</w:t>
            </w:r>
          </w:p>
        </w:tc>
        <w:tc>
          <w:tcPr>
            <w:tcW w:w="1075" w:type="dxa"/>
          </w:tcPr>
          <w:p w:rsidR="00EA40A3" w:rsidRDefault="00E86C16">
            <w:pPr>
              <w:spacing w:before="67" w:line="222" w:lineRule="auto"/>
              <w:ind w:left="309"/>
              <w:rPr>
                <w:rFonts w:ascii="宋体" w:eastAsia="宋体" w:hAnsi="宋体" w:cs="宋体"/>
                <w:sz w:val="17"/>
                <w:szCs w:val="17"/>
              </w:rPr>
            </w:pPr>
            <w:r>
              <w:rPr>
                <w:rFonts w:ascii="宋体" w:eastAsia="宋体" w:hAnsi="宋体" w:cs="宋体"/>
                <w:spacing w:val="-2"/>
                <w:sz w:val="17"/>
                <w:szCs w:val="17"/>
              </w:rPr>
              <w:t>0.4(M)</w:t>
            </w:r>
          </w:p>
        </w:tc>
        <w:tc>
          <w:tcPr>
            <w:tcW w:w="1041" w:type="dxa"/>
          </w:tcPr>
          <w:p w:rsidR="00EA40A3" w:rsidRDefault="00E86C16">
            <w:pPr>
              <w:spacing w:before="108" w:line="183" w:lineRule="auto"/>
              <w:ind w:left="325"/>
              <w:rPr>
                <w:rFonts w:ascii="宋体" w:eastAsia="宋体" w:hAnsi="宋体" w:cs="宋体"/>
                <w:sz w:val="17"/>
                <w:szCs w:val="17"/>
              </w:rPr>
            </w:pPr>
            <w:r>
              <w:rPr>
                <w:rFonts w:ascii="宋体" w:eastAsia="宋体" w:hAnsi="宋体" w:cs="宋体"/>
                <w:spacing w:val="-2"/>
                <w:sz w:val="17"/>
                <w:szCs w:val="17"/>
              </w:rPr>
              <w:t>4.6</w:t>
            </w:r>
          </w:p>
        </w:tc>
        <w:tc>
          <w:tcPr>
            <w:tcW w:w="849" w:type="dxa"/>
          </w:tcPr>
          <w:p w:rsidR="00EA40A3" w:rsidRDefault="00E86C16">
            <w:pPr>
              <w:spacing w:before="118" w:line="174" w:lineRule="auto"/>
              <w:ind w:left="204"/>
              <w:rPr>
                <w:rFonts w:ascii="宋体" w:eastAsia="宋体" w:hAnsi="宋体" w:cs="宋体"/>
                <w:sz w:val="17"/>
                <w:szCs w:val="17"/>
              </w:rPr>
            </w:pPr>
            <w:r>
              <w:rPr>
                <w:rFonts w:ascii="宋体" w:eastAsia="宋体" w:hAnsi="宋体" w:cs="宋体"/>
                <w:spacing w:val="-2"/>
                <w:sz w:val="17"/>
                <w:szCs w:val="17"/>
              </w:rPr>
              <w:t>0.9</w:t>
            </w:r>
          </w:p>
        </w:tc>
        <w:tc>
          <w:tcPr>
            <w:tcW w:w="907" w:type="dxa"/>
          </w:tcPr>
          <w:p w:rsidR="00EA40A3" w:rsidRDefault="00E86C16">
            <w:pPr>
              <w:spacing w:before="108" w:line="183" w:lineRule="auto"/>
              <w:ind w:left="335"/>
              <w:rPr>
                <w:rFonts w:ascii="宋体" w:eastAsia="宋体" w:hAnsi="宋体" w:cs="宋体"/>
                <w:sz w:val="17"/>
                <w:szCs w:val="17"/>
              </w:rPr>
            </w:pPr>
            <w:r>
              <w:rPr>
                <w:rFonts w:ascii="宋体" w:eastAsia="宋体" w:hAnsi="宋体" w:cs="宋体"/>
                <w:spacing w:val="-2"/>
                <w:sz w:val="17"/>
                <w:szCs w:val="17"/>
              </w:rPr>
              <w:t>0.8</w:t>
            </w:r>
          </w:p>
        </w:tc>
        <w:tc>
          <w:tcPr>
            <w:tcW w:w="858" w:type="dxa"/>
          </w:tcPr>
          <w:p w:rsidR="00EA40A3" w:rsidRDefault="00E86C16">
            <w:pPr>
              <w:spacing w:before="118" w:line="174" w:lineRule="auto"/>
              <w:ind w:left="298"/>
              <w:rPr>
                <w:rFonts w:ascii="宋体" w:eastAsia="宋体" w:hAnsi="宋体" w:cs="宋体"/>
                <w:sz w:val="17"/>
                <w:szCs w:val="17"/>
              </w:rPr>
            </w:pPr>
            <w:r>
              <w:rPr>
                <w:rFonts w:ascii="宋体" w:eastAsia="宋体" w:hAnsi="宋体" w:cs="宋体"/>
                <w:spacing w:val="-2"/>
                <w:sz w:val="17"/>
                <w:szCs w:val="17"/>
              </w:rPr>
              <w:t>4.7</w:t>
            </w:r>
          </w:p>
        </w:tc>
      </w:tr>
      <w:tr w:rsidR="00EA40A3">
        <w:trPr>
          <w:trHeight w:val="266"/>
        </w:trPr>
        <w:tc>
          <w:tcPr>
            <w:tcW w:w="912" w:type="dxa"/>
          </w:tcPr>
          <w:p w:rsidR="00EA40A3" w:rsidRDefault="00E86C16">
            <w:pPr>
              <w:spacing w:before="56" w:line="220" w:lineRule="auto"/>
              <w:ind w:left="190"/>
              <w:rPr>
                <w:rFonts w:ascii="宋体" w:eastAsia="宋体" w:hAnsi="宋体" w:cs="宋体"/>
                <w:sz w:val="17"/>
                <w:szCs w:val="17"/>
              </w:rPr>
            </w:pPr>
            <w:r>
              <w:rPr>
                <w:rFonts w:ascii="宋体" w:eastAsia="宋体" w:hAnsi="宋体" w:cs="宋体"/>
                <w:spacing w:val="-2"/>
                <w:sz w:val="17"/>
                <w:szCs w:val="17"/>
              </w:rPr>
              <w:t>番石榴</w:t>
            </w:r>
          </w:p>
        </w:tc>
        <w:tc>
          <w:tcPr>
            <w:tcW w:w="947" w:type="dxa"/>
          </w:tcPr>
          <w:p w:rsidR="00EA40A3" w:rsidRDefault="00E86C16">
            <w:pPr>
              <w:spacing w:before="99" w:line="181" w:lineRule="auto"/>
              <w:ind w:left="228"/>
              <w:rPr>
                <w:rFonts w:ascii="宋体" w:eastAsia="宋体" w:hAnsi="宋体" w:cs="宋体"/>
                <w:sz w:val="17"/>
                <w:szCs w:val="17"/>
              </w:rPr>
            </w:pPr>
            <w:r>
              <w:rPr>
                <w:rFonts w:ascii="宋体" w:eastAsia="宋体" w:hAnsi="宋体" w:cs="宋体"/>
                <w:spacing w:val="-4"/>
                <w:sz w:val="17"/>
                <w:szCs w:val="17"/>
              </w:rPr>
              <w:t>19.0</w:t>
            </w:r>
          </w:p>
        </w:tc>
        <w:tc>
          <w:tcPr>
            <w:tcW w:w="771" w:type="dxa"/>
          </w:tcPr>
          <w:p w:rsidR="00EA40A3" w:rsidRDefault="00E86C16">
            <w:pPr>
              <w:spacing w:before="99" w:line="181" w:lineRule="auto"/>
              <w:ind w:left="210"/>
              <w:rPr>
                <w:rFonts w:ascii="宋体" w:eastAsia="宋体" w:hAnsi="宋体" w:cs="宋体"/>
                <w:sz w:val="17"/>
                <w:szCs w:val="17"/>
              </w:rPr>
            </w:pPr>
            <w:r>
              <w:rPr>
                <w:rFonts w:ascii="宋体" w:eastAsia="宋体" w:hAnsi="宋体" w:cs="宋体"/>
                <w:spacing w:val="-4"/>
                <w:sz w:val="17"/>
                <w:szCs w:val="17"/>
              </w:rPr>
              <w:t>13.0</w:t>
            </w:r>
          </w:p>
        </w:tc>
        <w:tc>
          <w:tcPr>
            <w:tcW w:w="1075" w:type="dxa"/>
          </w:tcPr>
          <w:p w:rsidR="00EA40A3" w:rsidRDefault="00E86C16">
            <w:pPr>
              <w:spacing w:before="100" w:line="180" w:lineRule="auto"/>
              <w:ind w:left="270"/>
              <w:rPr>
                <w:rFonts w:ascii="宋体" w:eastAsia="宋体" w:hAnsi="宋体" w:cs="宋体"/>
                <w:sz w:val="17"/>
                <w:szCs w:val="17"/>
              </w:rPr>
            </w:pPr>
            <w:r>
              <w:rPr>
                <w:rFonts w:ascii="宋体" w:eastAsia="宋体" w:hAnsi="宋体" w:cs="宋体"/>
                <w:spacing w:val="-2"/>
                <w:sz w:val="17"/>
                <w:szCs w:val="17"/>
              </w:rPr>
              <w:t>0.2</w:t>
            </w:r>
          </w:p>
        </w:tc>
        <w:tc>
          <w:tcPr>
            <w:tcW w:w="1041" w:type="dxa"/>
          </w:tcPr>
          <w:p w:rsidR="00EA40A3" w:rsidRDefault="00EA40A3"/>
        </w:tc>
        <w:tc>
          <w:tcPr>
            <w:tcW w:w="849" w:type="dxa"/>
          </w:tcPr>
          <w:p w:rsidR="00EA40A3" w:rsidRDefault="00EA40A3"/>
        </w:tc>
        <w:tc>
          <w:tcPr>
            <w:tcW w:w="907" w:type="dxa"/>
          </w:tcPr>
          <w:p w:rsidR="00EA40A3" w:rsidRDefault="00E86C16">
            <w:pPr>
              <w:spacing w:before="100" w:line="180" w:lineRule="auto"/>
              <w:ind w:left="324"/>
              <w:rPr>
                <w:rFonts w:ascii="宋体" w:eastAsia="宋体" w:hAnsi="宋体" w:cs="宋体"/>
                <w:sz w:val="17"/>
                <w:szCs w:val="17"/>
              </w:rPr>
            </w:pPr>
            <w:r>
              <w:rPr>
                <w:rFonts w:ascii="宋体" w:eastAsia="宋体" w:hAnsi="宋体" w:cs="宋体"/>
                <w:spacing w:val="-2"/>
                <w:sz w:val="17"/>
                <w:szCs w:val="17"/>
              </w:rPr>
              <w:t>0.9</w:t>
            </w:r>
          </w:p>
        </w:tc>
        <w:tc>
          <w:tcPr>
            <w:tcW w:w="858" w:type="dxa"/>
          </w:tcPr>
          <w:p w:rsidR="00EA40A3" w:rsidRDefault="00EA40A3"/>
        </w:tc>
      </w:tr>
      <w:tr w:rsidR="00EA40A3">
        <w:trPr>
          <w:trHeight w:val="277"/>
        </w:trPr>
        <w:tc>
          <w:tcPr>
            <w:tcW w:w="912" w:type="dxa"/>
            <w:tcBorders>
              <w:bottom w:val="single" w:sz="4" w:space="0" w:color="000000"/>
            </w:tcBorders>
          </w:tcPr>
          <w:p w:rsidR="00EA40A3" w:rsidRDefault="00E86C16">
            <w:pPr>
              <w:spacing w:before="60" w:line="220" w:lineRule="auto"/>
              <w:ind w:left="270"/>
              <w:rPr>
                <w:rFonts w:ascii="宋体" w:eastAsia="宋体" w:hAnsi="宋体" w:cs="宋体"/>
                <w:sz w:val="17"/>
                <w:szCs w:val="17"/>
              </w:rPr>
            </w:pPr>
            <w:r>
              <w:rPr>
                <w:rFonts w:ascii="宋体" w:eastAsia="宋体" w:hAnsi="宋体" w:cs="宋体"/>
                <w:spacing w:val="-3"/>
                <w:sz w:val="17"/>
                <w:szCs w:val="17"/>
              </w:rPr>
              <w:t>芒果</w:t>
            </w:r>
          </w:p>
        </w:tc>
        <w:tc>
          <w:tcPr>
            <w:tcW w:w="947" w:type="dxa"/>
            <w:tcBorders>
              <w:bottom w:val="single" w:sz="4" w:space="0" w:color="000000"/>
            </w:tcBorders>
          </w:tcPr>
          <w:p w:rsidR="00EA40A3" w:rsidRDefault="00E86C16">
            <w:pPr>
              <w:spacing w:before="102" w:line="184" w:lineRule="auto"/>
              <w:ind w:left="228"/>
              <w:rPr>
                <w:rFonts w:ascii="宋体" w:eastAsia="宋体" w:hAnsi="宋体" w:cs="宋体"/>
                <w:sz w:val="17"/>
                <w:szCs w:val="17"/>
              </w:rPr>
            </w:pPr>
            <w:r>
              <w:rPr>
                <w:rFonts w:ascii="宋体" w:eastAsia="宋体" w:hAnsi="宋体" w:cs="宋体"/>
                <w:spacing w:val="-4"/>
                <w:sz w:val="17"/>
                <w:szCs w:val="17"/>
              </w:rPr>
              <w:t>19.0</w:t>
            </w:r>
          </w:p>
        </w:tc>
        <w:tc>
          <w:tcPr>
            <w:tcW w:w="771" w:type="dxa"/>
            <w:tcBorders>
              <w:bottom w:val="single" w:sz="4" w:space="0" w:color="000000"/>
            </w:tcBorders>
          </w:tcPr>
          <w:p w:rsidR="00EA40A3" w:rsidRDefault="00E86C16">
            <w:pPr>
              <w:spacing w:before="102" w:line="184" w:lineRule="auto"/>
              <w:ind w:left="210"/>
              <w:rPr>
                <w:rFonts w:ascii="宋体" w:eastAsia="宋体" w:hAnsi="宋体" w:cs="宋体"/>
                <w:sz w:val="17"/>
                <w:szCs w:val="17"/>
              </w:rPr>
            </w:pPr>
            <w:r>
              <w:rPr>
                <w:rFonts w:ascii="宋体" w:eastAsia="宋体" w:hAnsi="宋体" w:cs="宋体"/>
                <w:spacing w:val="-4"/>
                <w:sz w:val="17"/>
                <w:szCs w:val="17"/>
              </w:rPr>
              <w:t>14.0</w:t>
            </w:r>
          </w:p>
        </w:tc>
        <w:tc>
          <w:tcPr>
            <w:tcW w:w="1075" w:type="dxa"/>
            <w:tcBorders>
              <w:bottom w:val="single" w:sz="4" w:space="0" w:color="000000"/>
            </w:tcBorders>
          </w:tcPr>
          <w:p w:rsidR="00EA40A3" w:rsidRDefault="00E86C16">
            <w:pPr>
              <w:spacing w:before="103" w:line="183" w:lineRule="auto"/>
              <w:ind w:left="270"/>
              <w:rPr>
                <w:rFonts w:ascii="宋体" w:eastAsia="宋体" w:hAnsi="宋体" w:cs="宋体"/>
                <w:sz w:val="17"/>
                <w:szCs w:val="17"/>
              </w:rPr>
            </w:pPr>
            <w:r>
              <w:rPr>
                <w:rFonts w:ascii="宋体" w:eastAsia="宋体" w:hAnsi="宋体" w:cs="宋体"/>
                <w:spacing w:val="-2"/>
                <w:sz w:val="17"/>
                <w:szCs w:val="17"/>
              </w:rPr>
              <w:t>0.5</w:t>
            </w:r>
          </w:p>
        </w:tc>
        <w:tc>
          <w:tcPr>
            <w:tcW w:w="1041" w:type="dxa"/>
            <w:tcBorders>
              <w:bottom w:val="single" w:sz="4" w:space="0" w:color="000000"/>
            </w:tcBorders>
          </w:tcPr>
          <w:p w:rsidR="00EA40A3" w:rsidRDefault="00EA40A3"/>
        </w:tc>
        <w:tc>
          <w:tcPr>
            <w:tcW w:w="849" w:type="dxa"/>
            <w:tcBorders>
              <w:bottom w:val="single" w:sz="4" w:space="0" w:color="000000"/>
            </w:tcBorders>
          </w:tcPr>
          <w:p w:rsidR="00EA40A3" w:rsidRDefault="00E86C16">
            <w:pPr>
              <w:spacing w:before="103" w:line="183" w:lineRule="auto"/>
              <w:ind w:left="204"/>
              <w:rPr>
                <w:rFonts w:ascii="宋体" w:eastAsia="宋体" w:hAnsi="宋体" w:cs="宋体"/>
                <w:sz w:val="17"/>
                <w:szCs w:val="17"/>
              </w:rPr>
            </w:pPr>
            <w:r>
              <w:rPr>
                <w:rFonts w:ascii="宋体" w:eastAsia="宋体" w:hAnsi="宋体" w:cs="宋体"/>
                <w:spacing w:val="-2"/>
                <w:sz w:val="17"/>
                <w:szCs w:val="17"/>
              </w:rPr>
              <w:t>0.5</w:t>
            </w:r>
          </w:p>
        </w:tc>
        <w:tc>
          <w:tcPr>
            <w:tcW w:w="907" w:type="dxa"/>
            <w:tcBorders>
              <w:bottom w:val="single" w:sz="4" w:space="0" w:color="000000"/>
            </w:tcBorders>
          </w:tcPr>
          <w:p w:rsidR="00EA40A3" w:rsidRDefault="00EA40A3"/>
        </w:tc>
        <w:tc>
          <w:tcPr>
            <w:tcW w:w="858" w:type="dxa"/>
            <w:tcBorders>
              <w:bottom w:val="single" w:sz="4" w:space="0" w:color="000000"/>
            </w:tcBorders>
          </w:tcPr>
          <w:p w:rsidR="00EA40A3" w:rsidRDefault="00EA40A3"/>
        </w:tc>
      </w:tr>
    </w:tbl>
    <w:p w:rsidR="00EA40A3" w:rsidRDefault="00E86C16">
      <w:pPr>
        <w:spacing w:before="101" w:line="219" w:lineRule="auto"/>
        <w:ind w:left="349"/>
        <w:rPr>
          <w:rFonts w:ascii="宋体" w:eastAsia="宋体" w:hAnsi="宋体" w:cs="宋体"/>
          <w:sz w:val="16"/>
          <w:szCs w:val="16"/>
        </w:rPr>
      </w:pPr>
      <w:r>
        <w:rPr>
          <w:rFonts w:ascii="宋体" w:eastAsia="宋体" w:hAnsi="宋体" w:cs="宋体"/>
          <w:spacing w:val="-6"/>
          <w:sz w:val="16"/>
          <w:szCs w:val="16"/>
        </w:rPr>
        <w:t>注：滴定酸度按照</w:t>
      </w:r>
      <w:r>
        <w:rPr>
          <w:rFonts w:ascii="宋体" w:eastAsia="宋体" w:hAnsi="宋体" w:cs="宋体"/>
          <w:spacing w:val="-41"/>
          <w:sz w:val="16"/>
          <w:szCs w:val="16"/>
        </w:rPr>
        <w:t xml:space="preserve"> </w:t>
      </w:r>
      <w:r>
        <w:rPr>
          <w:rFonts w:ascii="宋体" w:eastAsia="宋体" w:hAnsi="宋体" w:cs="宋体"/>
          <w:spacing w:val="-6"/>
          <w:sz w:val="16"/>
          <w:szCs w:val="16"/>
        </w:rPr>
        <w:t>M:</w:t>
      </w:r>
      <w:r>
        <w:rPr>
          <w:rFonts w:ascii="宋体" w:eastAsia="宋体" w:hAnsi="宋体" w:cs="宋体"/>
          <w:spacing w:val="51"/>
          <w:w w:val="101"/>
          <w:sz w:val="16"/>
          <w:szCs w:val="16"/>
        </w:rPr>
        <w:t xml:space="preserve"> </w:t>
      </w:r>
      <w:r>
        <w:rPr>
          <w:rFonts w:ascii="宋体" w:eastAsia="宋体" w:hAnsi="宋体" w:cs="宋体"/>
          <w:spacing w:val="-6"/>
          <w:sz w:val="16"/>
          <w:szCs w:val="16"/>
        </w:rPr>
        <w:t>苹果酸；</w:t>
      </w:r>
      <w:r>
        <w:rPr>
          <w:rFonts w:ascii="宋体" w:eastAsia="宋体" w:hAnsi="宋体" w:cs="宋体"/>
          <w:spacing w:val="-30"/>
          <w:sz w:val="16"/>
          <w:szCs w:val="16"/>
        </w:rPr>
        <w:t xml:space="preserve"> </w:t>
      </w:r>
      <w:r>
        <w:rPr>
          <w:rFonts w:ascii="宋体" w:eastAsia="宋体" w:hAnsi="宋体" w:cs="宋体"/>
          <w:spacing w:val="-6"/>
          <w:sz w:val="16"/>
          <w:szCs w:val="16"/>
        </w:rPr>
        <w:t>C:</w:t>
      </w:r>
      <w:r>
        <w:rPr>
          <w:rFonts w:ascii="宋体" w:eastAsia="宋体" w:hAnsi="宋体" w:cs="宋体"/>
          <w:spacing w:val="15"/>
          <w:sz w:val="16"/>
          <w:szCs w:val="16"/>
        </w:rPr>
        <w:t xml:space="preserve"> </w:t>
      </w:r>
      <w:r>
        <w:rPr>
          <w:rFonts w:ascii="宋体" w:eastAsia="宋体" w:hAnsi="宋体" w:cs="宋体"/>
          <w:spacing w:val="-6"/>
          <w:sz w:val="16"/>
          <w:szCs w:val="16"/>
        </w:rPr>
        <w:t>柠檬酸；</w:t>
      </w:r>
      <w:r>
        <w:rPr>
          <w:rFonts w:ascii="宋体" w:eastAsia="宋体" w:hAnsi="宋体" w:cs="宋体"/>
          <w:sz w:val="16"/>
          <w:szCs w:val="16"/>
        </w:rPr>
        <w:t xml:space="preserve"> </w:t>
      </w:r>
      <w:r>
        <w:rPr>
          <w:rFonts w:ascii="宋体" w:eastAsia="宋体" w:hAnsi="宋体" w:cs="宋体"/>
          <w:spacing w:val="-6"/>
          <w:sz w:val="16"/>
          <w:szCs w:val="16"/>
        </w:rPr>
        <w:t>T:</w:t>
      </w:r>
      <w:r>
        <w:rPr>
          <w:rFonts w:ascii="宋体" w:eastAsia="宋体" w:hAnsi="宋体" w:cs="宋体"/>
          <w:spacing w:val="24"/>
          <w:sz w:val="16"/>
          <w:szCs w:val="16"/>
        </w:rPr>
        <w:t xml:space="preserve"> </w:t>
      </w:r>
      <w:r>
        <w:rPr>
          <w:rFonts w:ascii="宋体" w:eastAsia="宋体" w:hAnsi="宋体" w:cs="宋体"/>
          <w:spacing w:val="-6"/>
          <w:sz w:val="16"/>
          <w:szCs w:val="16"/>
        </w:rPr>
        <w:t>洒石酸来计算</w:t>
      </w:r>
    </w:p>
    <w:p w:rsidR="00EA40A3" w:rsidRDefault="00E86C16">
      <w:pPr>
        <w:spacing w:before="114" w:line="214" w:lineRule="auto"/>
        <w:ind w:left="349"/>
        <w:rPr>
          <w:rFonts w:ascii="宋体" w:eastAsia="宋体" w:hAnsi="宋体" w:cs="宋体"/>
          <w:sz w:val="16"/>
          <w:szCs w:val="16"/>
        </w:rPr>
      </w:pPr>
      <w:r>
        <w:rPr>
          <w:rFonts w:ascii="宋体" w:eastAsia="宋体" w:hAnsi="宋体" w:cs="宋体"/>
          <w:spacing w:val="-6"/>
          <w:sz w:val="16"/>
          <w:szCs w:val="16"/>
        </w:rPr>
        <w:t>资料来源：</w:t>
      </w:r>
      <w:r>
        <w:rPr>
          <w:rFonts w:ascii="宋体" w:eastAsia="宋体" w:hAnsi="宋体" w:cs="宋体"/>
          <w:spacing w:val="-5"/>
          <w:sz w:val="16"/>
          <w:szCs w:val="16"/>
        </w:rPr>
        <w:t>Belitz</w:t>
      </w:r>
      <w:r>
        <w:rPr>
          <w:rFonts w:ascii="宋体" w:eastAsia="宋体" w:hAnsi="宋体" w:cs="宋体"/>
          <w:spacing w:val="-3"/>
          <w:sz w:val="16"/>
          <w:szCs w:val="16"/>
        </w:rPr>
        <w:t xml:space="preserve"> </w:t>
      </w:r>
      <w:r>
        <w:rPr>
          <w:rFonts w:ascii="宋体" w:eastAsia="宋体" w:hAnsi="宋体" w:cs="宋体"/>
          <w:spacing w:val="-5"/>
          <w:sz w:val="16"/>
          <w:szCs w:val="16"/>
        </w:rPr>
        <w:t>HD</w:t>
      </w:r>
      <w:r>
        <w:rPr>
          <w:rFonts w:ascii="宋体" w:eastAsia="宋体" w:hAnsi="宋体" w:cs="宋体"/>
          <w:spacing w:val="-6"/>
          <w:sz w:val="16"/>
          <w:szCs w:val="16"/>
        </w:rPr>
        <w:t>,</w:t>
      </w:r>
      <w:r>
        <w:rPr>
          <w:rFonts w:ascii="宋体" w:eastAsia="宋体" w:hAnsi="宋体" w:cs="宋体"/>
          <w:spacing w:val="-1"/>
          <w:sz w:val="16"/>
          <w:szCs w:val="16"/>
        </w:rPr>
        <w:t xml:space="preserve"> </w:t>
      </w:r>
      <w:r>
        <w:rPr>
          <w:rFonts w:ascii="宋体" w:eastAsia="宋体" w:hAnsi="宋体" w:cs="宋体"/>
          <w:spacing w:val="-5"/>
          <w:sz w:val="16"/>
          <w:szCs w:val="16"/>
        </w:rPr>
        <w:t>Grosch</w:t>
      </w:r>
      <w:r>
        <w:rPr>
          <w:rFonts w:ascii="宋体" w:eastAsia="宋体" w:hAnsi="宋体" w:cs="宋体"/>
          <w:spacing w:val="-4"/>
          <w:sz w:val="16"/>
          <w:szCs w:val="16"/>
        </w:rPr>
        <w:t xml:space="preserve"> </w:t>
      </w:r>
      <w:r>
        <w:rPr>
          <w:rFonts w:ascii="宋体" w:eastAsia="宋体" w:hAnsi="宋体" w:cs="宋体"/>
          <w:spacing w:val="-5"/>
          <w:sz w:val="16"/>
          <w:szCs w:val="16"/>
        </w:rPr>
        <w:t>W</w:t>
      </w:r>
      <w:r>
        <w:rPr>
          <w:rFonts w:ascii="宋体" w:eastAsia="宋体" w:hAnsi="宋体" w:cs="宋体"/>
          <w:spacing w:val="-6"/>
          <w:sz w:val="16"/>
          <w:szCs w:val="16"/>
        </w:rPr>
        <w:t>.1999.</w:t>
      </w:r>
      <w:r>
        <w:rPr>
          <w:rFonts w:ascii="宋体" w:eastAsia="宋体" w:hAnsi="宋体" w:cs="宋体"/>
          <w:spacing w:val="-1"/>
          <w:sz w:val="16"/>
          <w:szCs w:val="16"/>
        </w:rPr>
        <w:t xml:space="preserve"> </w:t>
      </w:r>
      <w:r>
        <w:rPr>
          <w:rFonts w:ascii="宋体" w:eastAsia="宋体" w:hAnsi="宋体" w:cs="宋体"/>
          <w:spacing w:val="-5"/>
          <w:sz w:val="16"/>
          <w:szCs w:val="16"/>
        </w:rPr>
        <w:t>Food</w:t>
      </w:r>
      <w:r>
        <w:rPr>
          <w:rFonts w:ascii="宋体" w:eastAsia="宋体" w:hAnsi="宋体" w:cs="宋体"/>
          <w:spacing w:val="-1"/>
          <w:sz w:val="16"/>
          <w:szCs w:val="16"/>
        </w:rPr>
        <w:t xml:space="preserve"> </w:t>
      </w:r>
      <w:r>
        <w:rPr>
          <w:rFonts w:ascii="宋体" w:eastAsia="宋体" w:hAnsi="宋体" w:cs="宋体"/>
          <w:spacing w:val="-5"/>
          <w:sz w:val="16"/>
          <w:szCs w:val="16"/>
        </w:rPr>
        <w:t>Chemistry</w:t>
      </w:r>
      <w:r>
        <w:rPr>
          <w:rFonts w:ascii="宋体" w:eastAsia="宋体" w:hAnsi="宋体" w:cs="宋体"/>
          <w:spacing w:val="-6"/>
          <w:sz w:val="16"/>
          <w:szCs w:val="16"/>
        </w:rPr>
        <w:t>.</w:t>
      </w:r>
      <w:r>
        <w:rPr>
          <w:rFonts w:ascii="宋体" w:eastAsia="宋体" w:hAnsi="宋体" w:cs="宋体"/>
          <w:spacing w:val="3"/>
          <w:sz w:val="16"/>
          <w:szCs w:val="16"/>
        </w:rPr>
        <w:t xml:space="preserve"> </w:t>
      </w:r>
      <w:r>
        <w:rPr>
          <w:rFonts w:ascii="宋体" w:eastAsia="宋体" w:hAnsi="宋体" w:cs="宋体"/>
          <w:spacing w:val="-6"/>
          <w:sz w:val="16"/>
          <w:szCs w:val="16"/>
        </w:rPr>
        <w:t>2</w:t>
      </w:r>
      <w:r>
        <w:rPr>
          <w:rFonts w:ascii="宋体" w:eastAsia="宋体" w:hAnsi="宋体" w:cs="宋体"/>
          <w:spacing w:val="-5"/>
          <w:sz w:val="16"/>
          <w:szCs w:val="16"/>
        </w:rPr>
        <w:t>nd</w:t>
      </w:r>
      <w:r>
        <w:rPr>
          <w:rFonts w:ascii="宋体" w:eastAsia="宋体" w:hAnsi="宋体" w:cs="宋体"/>
          <w:spacing w:val="4"/>
          <w:sz w:val="16"/>
          <w:szCs w:val="16"/>
        </w:rPr>
        <w:t xml:space="preserve"> </w:t>
      </w:r>
      <w:r>
        <w:rPr>
          <w:rFonts w:ascii="宋体" w:eastAsia="宋体" w:hAnsi="宋体" w:cs="宋体"/>
          <w:spacing w:val="-5"/>
          <w:sz w:val="16"/>
          <w:szCs w:val="16"/>
        </w:rPr>
        <w:t>edition</w:t>
      </w:r>
      <w:r>
        <w:rPr>
          <w:rFonts w:ascii="宋体" w:eastAsia="宋体" w:hAnsi="宋体" w:cs="宋体"/>
          <w:spacing w:val="-6"/>
          <w:sz w:val="16"/>
          <w:szCs w:val="16"/>
        </w:rPr>
        <w:t>.</w:t>
      </w:r>
      <w:r>
        <w:rPr>
          <w:rFonts w:ascii="宋体" w:eastAsia="宋体" w:hAnsi="宋体" w:cs="宋体"/>
          <w:spacing w:val="-4"/>
          <w:sz w:val="16"/>
          <w:szCs w:val="16"/>
        </w:rPr>
        <w:t xml:space="preserve"> </w:t>
      </w:r>
      <w:r>
        <w:rPr>
          <w:rFonts w:ascii="宋体" w:eastAsia="宋体" w:hAnsi="宋体" w:cs="宋体"/>
          <w:spacing w:val="-6"/>
          <w:sz w:val="16"/>
          <w:szCs w:val="16"/>
        </w:rPr>
        <w:t>W.</w:t>
      </w:r>
      <w:r>
        <w:rPr>
          <w:rFonts w:ascii="宋体" w:eastAsia="宋体" w:hAnsi="宋体" w:cs="宋体"/>
          <w:spacing w:val="2"/>
          <w:sz w:val="16"/>
          <w:szCs w:val="16"/>
        </w:rPr>
        <w:t xml:space="preserve"> </w:t>
      </w:r>
      <w:r>
        <w:rPr>
          <w:rFonts w:ascii="宋体" w:eastAsia="宋体" w:hAnsi="宋体" w:cs="宋体"/>
          <w:spacing w:val="-5"/>
          <w:sz w:val="16"/>
          <w:szCs w:val="16"/>
        </w:rPr>
        <w:t>S</w:t>
      </w:r>
      <w:r>
        <w:rPr>
          <w:rFonts w:ascii="宋体" w:eastAsia="宋体" w:hAnsi="宋体" w:cs="宋体"/>
          <w:spacing w:val="-6"/>
          <w:sz w:val="16"/>
          <w:szCs w:val="16"/>
        </w:rPr>
        <w:t>pringer</w:t>
      </w:r>
    </w:p>
    <w:p w:rsidR="00EA40A3" w:rsidRDefault="00EA40A3">
      <w:pPr>
        <w:spacing w:line="343" w:lineRule="auto"/>
      </w:pPr>
    </w:p>
    <w:p w:rsidR="00EA40A3" w:rsidRDefault="00E86C16">
      <w:pPr>
        <w:spacing w:before="65" w:line="269" w:lineRule="auto"/>
        <w:ind w:right="101" w:firstLine="349"/>
        <w:jc w:val="both"/>
        <w:rPr>
          <w:rFonts w:ascii="宋体" w:eastAsia="宋体" w:hAnsi="宋体" w:cs="宋体"/>
          <w:sz w:val="20"/>
          <w:szCs w:val="20"/>
        </w:rPr>
      </w:pPr>
      <w:r>
        <w:rPr>
          <w:rFonts w:ascii="宋体" w:eastAsia="宋体" w:hAnsi="宋体" w:cs="宋体"/>
          <w:spacing w:val="8"/>
          <w:sz w:val="20"/>
          <w:szCs w:val="20"/>
        </w:rPr>
        <w:t>蔬菜和水果中所富含的膳食纤维、生物类黄酮、有机酸</w:t>
      </w:r>
      <w:r>
        <w:rPr>
          <w:rFonts w:ascii="宋体" w:eastAsia="宋体" w:hAnsi="宋体" w:cs="宋体"/>
          <w:spacing w:val="7"/>
          <w:sz w:val="20"/>
          <w:szCs w:val="20"/>
        </w:rPr>
        <w:t>类等都是有益健康的</w:t>
      </w:r>
      <w:r>
        <w:rPr>
          <w:rFonts w:ascii="宋体" w:eastAsia="宋体" w:hAnsi="宋体" w:cs="宋体"/>
          <w:sz w:val="20"/>
          <w:szCs w:val="20"/>
        </w:rPr>
        <w:t xml:space="preserve"> </w:t>
      </w:r>
      <w:r>
        <w:rPr>
          <w:rFonts w:ascii="宋体" w:eastAsia="宋体" w:hAnsi="宋体" w:cs="宋体"/>
          <w:spacing w:val="7"/>
          <w:sz w:val="20"/>
          <w:szCs w:val="20"/>
        </w:rPr>
        <w:t>重要物质。有机酸可增加食欲、帮助消化、帮助矿物质的吸收；生物类黄酮具有</w:t>
      </w:r>
      <w:r>
        <w:rPr>
          <w:rFonts w:ascii="宋体" w:eastAsia="宋体" w:hAnsi="宋体" w:cs="宋体"/>
          <w:spacing w:val="13"/>
          <w:sz w:val="20"/>
          <w:szCs w:val="20"/>
        </w:rPr>
        <w:t xml:space="preserve"> 增强毛细血管的通透性、增强抵抗力、增进维生素</w:t>
      </w:r>
      <w:r>
        <w:rPr>
          <w:rFonts w:ascii="宋体" w:eastAsia="宋体" w:hAnsi="宋体" w:cs="宋体"/>
          <w:spacing w:val="-50"/>
          <w:sz w:val="20"/>
          <w:szCs w:val="20"/>
        </w:rPr>
        <w:t xml:space="preserve"> </w:t>
      </w:r>
      <w:r>
        <w:rPr>
          <w:rFonts w:ascii="宋体" w:eastAsia="宋体" w:hAnsi="宋体" w:cs="宋体"/>
          <w:spacing w:val="13"/>
          <w:sz w:val="20"/>
          <w:szCs w:val="20"/>
        </w:rPr>
        <w:t>C</w:t>
      </w:r>
      <w:r>
        <w:rPr>
          <w:rFonts w:ascii="宋体" w:eastAsia="宋体" w:hAnsi="宋体" w:cs="宋体"/>
          <w:spacing w:val="-4"/>
          <w:sz w:val="20"/>
          <w:szCs w:val="20"/>
        </w:rPr>
        <w:t xml:space="preserve"> </w:t>
      </w:r>
      <w:r>
        <w:rPr>
          <w:rFonts w:ascii="宋体" w:eastAsia="宋体" w:hAnsi="宋体" w:cs="宋体"/>
          <w:spacing w:val="12"/>
          <w:sz w:val="20"/>
          <w:szCs w:val="20"/>
        </w:rPr>
        <w:t>的生物效应等作用，并可</w:t>
      </w:r>
      <w:r>
        <w:rPr>
          <w:rFonts w:ascii="宋体" w:eastAsia="宋体" w:hAnsi="宋体" w:cs="宋体"/>
          <w:sz w:val="20"/>
          <w:szCs w:val="20"/>
        </w:rPr>
        <w:t xml:space="preserve"> </w:t>
      </w:r>
      <w:r>
        <w:rPr>
          <w:rFonts w:ascii="宋体" w:eastAsia="宋体" w:hAnsi="宋体" w:cs="宋体"/>
          <w:spacing w:val="7"/>
          <w:sz w:val="20"/>
          <w:szCs w:val="20"/>
        </w:rPr>
        <w:t>作为抗氧化剂应用。此外，许多蔬菜和水果尚有特殊的保</w:t>
      </w:r>
      <w:r>
        <w:rPr>
          <w:rFonts w:ascii="宋体" w:eastAsia="宋体" w:hAnsi="宋体" w:cs="宋体"/>
          <w:spacing w:val="6"/>
          <w:sz w:val="20"/>
          <w:szCs w:val="20"/>
        </w:rPr>
        <w:t>健效果和药用价值。</w:t>
      </w:r>
    </w:p>
    <w:p w:rsidR="00EA40A3" w:rsidRDefault="00E86C16">
      <w:pPr>
        <w:spacing w:before="193" w:line="221" w:lineRule="auto"/>
        <w:rPr>
          <w:rFonts w:ascii="仿宋" w:eastAsia="仿宋" w:hAnsi="仿宋" w:cs="仿宋"/>
          <w:sz w:val="25"/>
          <w:szCs w:val="25"/>
        </w:rPr>
      </w:pPr>
      <w:r>
        <w:rPr>
          <w:rFonts w:ascii="仿宋" w:eastAsia="仿宋" w:hAnsi="仿宋" w:cs="仿宋"/>
          <w:spacing w:val="-10"/>
          <w:sz w:val="25"/>
          <w:szCs w:val="25"/>
        </w:rPr>
        <w:t>1.</w:t>
      </w:r>
      <w:r>
        <w:rPr>
          <w:rFonts w:ascii="仿宋" w:eastAsia="仿宋" w:hAnsi="仿宋" w:cs="仿宋"/>
          <w:spacing w:val="-68"/>
          <w:sz w:val="25"/>
          <w:szCs w:val="25"/>
        </w:rPr>
        <w:t xml:space="preserve"> </w:t>
      </w:r>
      <w:r>
        <w:rPr>
          <w:rFonts w:ascii="仿宋" w:eastAsia="仿宋" w:hAnsi="仿宋" w:cs="仿宋"/>
          <w:spacing w:val="-10"/>
          <w:sz w:val="25"/>
          <w:szCs w:val="25"/>
        </w:rPr>
        <w:t>碳水化合物</w:t>
      </w:r>
    </w:p>
    <w:p w:rsidR="00EA40A3" w:rsidRDefault="00E86C16">
      <w:pPr>
        <w:spacing w:before="223" w:line="250" w:lineRule="auto"/>
        <w:ind w:right="102" w:firstLine="349"/>
        <w:rPr>
          <w:rFonts w:ascii="宋体" w:eastAsia="宋体" w:hAnsi="宋体" w:cs="宋体"/>
          <w:sz w:val="20"/>
          <w:szCs w:val="20"/>
        </w:rPr>
      </w:pPr>
      <w:r>
        <w:rPr>
          <w:rFonts w:ascii="宋体" w:eastAsia="宋体" w:hAnsi="宋体" w:cs="宋体"/>
          <w:spacing w:val="7"/>
          <w:sz w:val="20"/>
          <w:szCs w:val="20"/>
        </w:rPr>
        <w:t>水果中的碳水化合物包括淀粉、蔗糖、果糖和葡萄糖。鲜果中蔗糖和还原糖</w:t>
      </w:r>
      <w:r>
        <w:rPr>
          <w:rFonts w:ascii="宋体" w:eastAsia="宋体" w:hAnsi="宋体" w:cs="宋体"/>
          <w:spacing w:val="16"/>
          <w:sz w:val="20"/>
          <w:szCs w:val="20"/>
        </w:rPr>
        <w:t xml:space="preserve"> </w:t>
      </w:r>
      <w:r>
        <w:rPr>
          <w:rFonts w:ascii="宋体" w:eastAsia="宋体" w:hAnsi="宋体" w:cs="宋体"/>
          <w:spacing w:val="26"/>
          <w:sz w:val="20"/>
          <w:szCs w:val="20"/>
        </w:rPr>
        <w:t>含量为5%～20%,多在10%左右，但柠檬可低达0.5</w:t>
      </w:r>
      <w:r>
        <w:rPr>
          <w:rFonts w:ascii="宋体" w:eastAsia="宋体" w:hAnsi="宋体" w:cs="宋体"/>
          <w:spacing w:val="25"/>
          <w:sz w:val="20"/>
          <w:szCs w:val="20"/>
        </w:rPr>
        <w:t>%。水果干制品的糖含量</w:t>
      </w:r>
    </w:p>
    <w:p w:rsidR="00EA40A3" w:rsidRDefault="00EA40A3">
      <w:pPr>
        <w:sectPr w:rsidR="00EA40A3">
          <w:footerReference w:type="default" r:id="rId174"/>
          <w:pgSz w:w="9220" w:h="13360"/>
          <w:pgMar w:top="400" w:right="919" w:bottom="1265" w:left="919" w:header="0" w:footer="1078" w:gutter="0"/>
          <w:cols w:space="720"/>
        </w:sectPr>
      </w:pPr>
    </w:p>
    <w:p w:rsidR="00EA40A3" w:rsidRDefault="00EA40A3">
      <w:pPr>
        <w:spacing w:line="267" w:lineRule="auto"/>
      </w:pPr>
    </w:p>
    <w:p w:rsidR="00EA40A3" w:rsidRDefault="00EA40A3">
      <w:pPr>
        <w:spacing w:line="267" w:lineRule="auto"/>
      </w:pPr>
    </w:p>
    <w:p w:rsidR="00EA40A3" w:rsidRDefault="00E86C16">
      <w:pPr>
        <w:spacing w:before="71" w:line="252" w:lineRule="auto"/>
        <w:ind w:right="32"/>
        <w:jc w:val="both"/>
        <w:rPr>
          <w:rFonts w:ascii="宋体" w:eastAsia="宋体" w:hAnsi="宋体" w:cs="宋体"/>
          <w:sz w:val="22"/>
          <w:szCs w:val="22"/>
        </w:rPr>
      </w:pPr>
      <w:r>
        <w:rPr>
          <w:rFonts w:ascii="宋体" w:eastAsia="宋体" w:hAnsi="宋体" w:cs="宋体"/>
          <w:spacing w:val="-1"/>
          <w:sz w:val="22"/>
          <w:szCs w:val="22"/>
        </w:rPr>
        <w:t>可高达50%以上。未成熟果实中淀粉含量较高，成熟之后转</w:t>
      </w:r>
      <w:r>
        <w:rPr>
          <w:rFonts w:ascii="宋体" w:eastAsia="宋体" w:hAnsi="宋体" w:cs="宋体"/>
          <w:spacing w:val="-2"/>
          <w:sz w:val="22"/>
          <w:szCs w:val="22"/>
        </w:rPr>
        <w:t>化为单糖或双糖。</w:t>
      </w:r>
      <w:r>
        <w:rPr>
          <w:rFonts w:ascii="宋体" w:eastAsia="宋体" w:hAnsi="宋体" w:cs="宋体"/>
          <w:sz w:val="22"/>
          <w:szCs w:val="22"/>
        </w:rPr>
        <w:t xml:space="preserve"> </w:t>
      </w:r>
      <w:r>
        <w:rPr>
          <w:rFonts w:ascii="宋体" w:eastAsia="宋体" w:hAnsi="宋体" w:cs="宋体"/>
          <w:spacing w:val="-13"/>
          <w:sz w:val="22"/>
          <w:szCs w:val="22"/>
        </w:rPr>
        <w:t>除了香蕉之外，成熟后淀粉含量降至可忽略的水平。由于含有糖分，水果是膳食</w:t>
      </w:r>
      <w:r>
        <w:rPr>
          <w:rFonts w:ascii="宋体" w:eastAsia="宋体" w:hAnsi="宋体" w:cs="宋体"/>
          <w:spacing w:val="13"/>
          <w:sz w:val="22"/>
          <w:szCs w:val="22"/>
        </w:rPr>
        <w:t xml:space="preserve"> </w:t>
      </w:r>
      <w:r>
        <w:rPr>
          <w:rFonts w:ascii="宋体" w:eastAsia="宋体" w:hAnsi="宋体" w:cs="宋体"/>
          <w:spacing w:val="-14"/>
          <w:sz w:val="22"/>
          <w:szCs w:val="22"/>
        </w:rPr>
        <w:t>中能量的补充来源之一。</w:t>
      </w:r>
    </w:p>
    <w:p w:rsidR="00EA40A3" w:rsidRDefault="00E86C16">
      <w:pPr>
        <w:spacing w:before="18" w:line="250" w:lineRule="auto"/>
        <w:ind w:right="100" w:firstLine="350"/>
        <w:rPr>
          <w:rFonts w:ascii="宋体" w:eastAsia="宋体" w:hAnsi="宋体" w:cs="宋体"/>
          <w:sz w:val="22"/>
          <w:szCs w:val="22"/>
        </w:rPr>
      </w:pPr>
      <w:r>
        <w:rPr>
          <w:rFonts w:ascii="宋体" w:eastAsia="宋体" w:hAnsi="宋体" w:cs="宋体"/>
          <w:spacing w:val="-6"/>
          <w:sz w:val="22"/>
          <w:szCs w:val="22"/>
        </w:rPr>
        <w:t>果实中的甜味来源主要是葡萄糖、果糖和蔗糖，其比例和含量则因</w:t>
      </w:r>
      <w:r>
        <w:rPr>
          <w:rFonts w:ascii="宋体" w:eastAsia="宋体" w:hAnsi="宋体" w:cs="宋体"/>
          <w:spacing w:val="-7"/>
          <w:sz w:val="22"/>
          <w:szCs w:val="22"/>
        </w:rPr>
        <w:t>水果种</w:t>
      </w:r>
      <w:r>
        <w:rPr>
          <w:rFonts w:ascii="宋体" w:eastAsia="宋体" w:hAnsi="宋体" w:cs="宋体"/>
          <w:sz w:val="22"/>
          <w:szCs w:val="22"/>
        </w:rPr>
        <w:t xml:space="preserve"> </w:t>
      </w:r>
      <w:r>
        <w:rPr>
          <w:rFonts w:ascii="宋体" w:eastAsia="宋体" w:hAnsi="宋体" w:cs="宋体"/>
          <w:spacing w:val="-13"/>
          <w:sz w:val="22"/>
          <w:szCs w:val="22"/>
        </w:rPr>
        <w:t>类、品种和成熟度的不同而异。水果中其他单糖和低聚糖的含量甚微。蔷薇科水</w:t>
      </w:r>
      <w:r>
        <w:rPr>
          <w:rFonts w:ascii="宋体" w:eastAsia="宋体" w:hAnsi="宋体" w:cs="宋体"/>
          <w:spacing w:val="13"/>
          <w:sz w:val="22"/>
          <w:szCs w:val="22"/>
        </w:rPr>
        <w:t xml:space="preserve"> </w:t>
      </w:r>
      <w:r>
        <w:rPr>
          <w:rFonts w:ascii="宋体" w:eastAsia="宋体" w:hAnsi="宋体" w:cs="宋体"/>
          <w:sz w:val="22"/>
          <w:szCs w:val="22"/>
        </w:rPr>
        <w:t>果中山梨糖醇较为丰富，如苹果汁中D-山梨醇的含量达300～800mg</w:t>
      </w:r>
      <w:r>
        <w:rPr>
          <w:rFonts w:ascii="宋体" w:eastAsia="宋体" w:hAnsi="宋体" w:cs="宋体"/>
          <w:spacing w:val="-1"/>
          <w:sz w:val="22"/>
          <w:szCs w:val="22"/>
        </w:rPr>
        <w:t>/100</w:t>
      </w:r>
      <w:r>
        <w:rPr>
          <w:rFonts w:ascii="宋体" w:eastAsia="宋体" w:hAnsi="宋体" w:cs="宋体"/>
          <w:sz w:val="22"/>
          <w:szCs w:val="22"/>
        </w:rPr>
        <w:t>mL</w:t>
      </w:r>
      <w:r>
        <w:rPr>
          <w:rFonts w:ascii="宋体" w:eastAsia="宋体" w:hAnsi="宋体" w:cs="宋体"/>
          <w:spacing w:val="-1"/>
          <w:sz w:val="22"/>
          <w:szCs w:val="22"/>
        </w:rPr>
        <w:t>。</w:t>
      </w:r>
      <w:r>
        <w:rPr>
          <w:rFonts w:ascii="宋体" w:eastAsia="宋体" w:hAnsi="宋体" w:cs="宋体"/>
          <w:sz w:val="22"/>
          <w:szCs w:val="22"/>
        </w:rPr>
        <w:t xml:space="preserve"> </w:t>
      </w:r>
      <w:r>
        <w:rPr>
          <w:rFonts w:ascii="宋体" w:eastAsia="宋体" w:hAnsi="宋体" w:cs="宋体"/>
          <w:spacing w:val="-15"/>
          <w:sz w:val="22"/>
          <w:szCs w:val="22"/>
        </w:rPr>
        <w:t>柿子等水果还含有甘露糖醇。</w:t>
      </w:r>
    </w:p>
    <w:p w:rsidR="00EA40A3" w:rsidRDefault="00E86C16">
      <w:pPr>
        <w:spacing w:before="38"/>
        <w:ind w:right="171" w:firstLine="350"/>
        <w:rPr>
          <w:rFonts w:ascii="宋体" w:eastAsia="宋体" w:hAnsi="宋体" w:cs="宋体"/>
          <w:sz w:val="22"/>
          <w:szCs w:val="22"/>
        </w:rPr>
      </w:pPr>
      <w:r>
        <w:rPr>
          <w:rFonts w:ascii="宋体" w:eastAsia="宋体" w:hAnsi="宋体" w:cs="宋体"/>
          <w:spacing w:val="-13"/>
          <w:sz w:val="22"/>
          <w:szCs w:val="22"/>
        </w:rPr>
        <w:t>除了香蕉之外，淀粉仅在未成熟水果当中存在。随着果实的成熟，其中淀粉</w:t>
      </w:r>
      <w:r>
        <w:rPr>
          <w:rFonts w:ascii="宋体" w:eastAsia="宋体" w:hAnsi="宋体" w:cs="宋体"/>
          <w:spacing w:val="6"/>
          <w:sz w:val="22"/>
          <w:szCs w:val="22"/>
        </w:rPr>
        <w:t xml:space="preserve"> </w:t>
      </w:r>
      <w:r>
        <w:rPr>
          <w:rFonts w:ascii="宋体" w:eastAsia="宋体" w:hAnsi="宋体" w:cs="宋体"/>
          <w:spacing w:val="-8"/>
          <w:sz w:val="22"/>
          <w:szCs w:val="22"/>
        </w:rPr>
        <w:t>分解，糖分含量提高，但香蕉是个例外，成熟香蕉中</w:t>
      </w:r>
      <w:r>
        <w:rPr>
          <w:rFonts w:ascii="宋体" w:eastAsia="宋体" w:hAnsi="宋体" w:cs="宋体"/>
          <w:spacing w:val="-9"/>
          <w:sz w:val="22"/>
          <w:szCs w:val="22"/>
        </w:rPr>
        <w:t>的淀粉含量高达3%以上。</w:t>
      </w:r>
    </w:p>
    <w:p w:rsidR="00EA40A3" w:rsidRDefault="00E86C16">
      <w:pPr>
        <w:spacing w:before="36" w:line="244" w:lineRule="auto"/>
        <w:ind w:firstLine="350"/>
        <w:rPr>
          <w:rFonts w:ascii="宋体" w:eastAsia="宋体" w:hAnsi="宋体" w:cs="宋体"/>
          <w:sz w:val="22"/>
          <w:szCs w:val="22"/>
        </w:rPr>
      </w:pPr>
      <w:r>
        <w:rPr>
          <w:rFonts w:ascii="宋体" w:eastAsia="宋体" w:hAnsi="宋体" w:cs="宋体"/>
          <w:spacing w:val="-13"/>
          <w:sz w:val="22"/>
          <w:szCs w:val="22"/>
        </w:rPr>
        <w:t>水果中含有较丰富的膳食纤维，包括纤维素、半纤维素和果胶，其中以果胶</w:t>
      </w:r>
      <w:r>
        <w:rPr>
          <w:rFonts w:ascii="宋体" w:eastAsia="宋体" w:hAnsi="宋体" w:cs="宋体"/>
          <w:spacing w:val="4"/>
          <w:sz w:val="22"/>
          <w:szCs w:val="22"/>
        </w:rPr>
        <w:t xml:space="preserve">  </w:t>
      </w:r>
      <w:r>
        <w:rPr>
          <w:rFonts w:ascii="宋体" w:eastAsia="宋体" w:hAnsi="宋体" w:cs="宋体"/>
          <w:spacing w:val="-12"/>
          <w:sz w:val="22"/>
          <w:szCs w:val="22"/>
        </w:rPr>
        <w:t>最为突出，是膳食中纤维的重要来源。水果中果</w:t>
      </w:r>
      <w:r>
        <w:rPr>
          <w:rFonts w:ascii="宋体" w:eastAsia="宋体" w:hAnsi="宋体" w:cs="宋体"/>
          <w:spacing w:val="-13"/>
          <w:sz w:val="22"/>
          <w:szCs w:val="22"/>
        </w:rPr>
        <w:t>胶的含量和组分都受到成熟度的</w:t>
      </w:r>
      <w:r>
        <w:rPr>
          <w:rFonts w:ascii="宋体" w:eastAsia="宋体" w:hAnsi="宋体" w:cs="宋体"/>
          <w:sz w:val="22"/>
          <w:szCs w:val="22"/>
        </w:rPr>
        <w:t xml:space="preserve">  </w:t>
      </w:r>
      <w:r>
        <w:rPr>
          <w:rFonts w:ascii="宋体" w:eastAsia="宋体" w:hAnsi="宋体" w:cs="宋体"/>
          <w:spacing w:val="-10"/>
          <w:sz w:val="22"/>
          <w:szCs w:val="22"/>
        </w:rPr>
        <w:t>强烈影响。随着成熟度的提高，总果胶含量下降，果胶当中的不溶性组分下降，</w:t>
      </w:r>
      <w:r>
        <w:rPr>
          <w:rFonts w:ascii="宋体" w:eastAsia="宋体" w:hAnsi="宋体" w:cs="宋体"/>
          <w:spacing w:val="9"/>
          <w:sz w:val="22"/>
          <w:szCs w:val="22"/>
        </w:rPr>
        <w:t xml:space="preserve"> </w:t>
      </w:r>
      <w:r>
        <w:rPr>
          <w:rFonts w:ascii="宋体" w:eastAsia="宋体" w:hAnsi="宋体" w:cs="宋体"/>
          <w:spacing w:val="-9"/>
          <w:sz w:val="22"/>
          <w:szCs w:val="22"/>
        </w:rPr>
        <w:t>而可溶性组分增加。果胶也是水果加工品中的重要成分(表6-14)。</w:t>
      </w:r>
    </w:p>
    <w:p w:rsidR="00EA40A3" w:rsidRDefault="00EA40A3">
      <w:pPr>
        <w:spacing w:line="310" w:lineRule="auto"/>
      </w:pPr>
    </w:p>
    <w:p w:rsidR="00EA40A3" w:rsidRDefault="00E86C16">
      <w:pPr>
        <w:spacing w:before="62" w:line="232" w:lineRule="auto"/>
        <w:ind w:right="331"/>
        <w:jc w:val="right"/>
        <w:rPr>
          <w:rFonts w:ascii="宋体" w:eastAsia="宋体" w:hAnsi="宋体" w:cs="宋体"/>
          <w:sz w:val="19"/>
          <w:szCs w:val="19"/>
        </w:rPr>
      </w:pPr>
      <w:r>
        <w:rPr>
          <w:rFonts w:ascii="黑体" w:eastAsia="黑体" w:hAnsi="黑体" w:cs="黑体"/>
          <w:b/>
          <w:bCs/>
          <w:spacing w:val="-10"/>
          <w:sz w:val="19"/>
          <w:szCs w:val="19"/>
        </w:rPr>
        <w:t>表6-14</w:t>
      </w:r>
      <w:r>
        <w:rPr>
          <w:rFonts w:ascii="黑体" w:eastAsia="黑体" w:hAnsi="黑体" w:cs="黑体"/>
          <w:spacing w:val="93"/>
          <w:sz w:val="19"/>
          <w:szCs w:val="19"/>
        </w:rPr>
        <w:t xml:space="preserve"> </w:t>
      </w:r>
      <w:r>
        <w:rPr>
          <w:rFonts w:ascii="黑体" w:eastAsia="黑体" w:hAnsi="黑体" w:cs="黑体"/>
          <w:b/>
          <w:bCs/>
          <w:spacing w:val="-10"/>
          <w:sz w:val="19"/>
          <w:szCs w:val="19"/>
        </w:rPr>
        <w:t>一些水果中的果胶含量</w:t>
      </w:r>
      <w:r>
        <w:rPr>
          <w:rFonts w:ascii="黑体" w:eastAsia="黑体" w:hAnsi="黑体" w:cs="黑体"/>
          <w:spacing w:val="2"/>
          <w:sz w:val="19"/>
          <w:szCs w:val="19"/>
        </w:rPr>
        <w:t xml:space="preserve">             </w:t>
      </w:r>
      <w:r>
        <w:rPr>
          <w:rFonts w:ascii="宋体" w:eastAsia="宋体" w:hAnsi="宋体" w:cs="宋体"/>
          <w:spacing w:val="-10"/>
          <w:sz w:val="19"/>
          <w:szCs w:val="19"/>
        </w:rPr>
        <w:t>(单位：%)</w:t>
      </w:r>
    </w:p>
    <w:p w:rsidR="00EA40A3" w:rsidRDefault="00EA40A3">
      <w:pPr>
        <w:spacing w:line="52" w:lineRule="exact"/>
      </w:pPr>
    </w:p>
    <w:tbl>
      <w:tblPr>
        <w:tblStyle w:val="TableNormal"/>
        <w:tblW w:w="7269" w:type="dxa"/>
        <w:tblInd w:w="7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45"/>
        <w:gridCol w:w="1205"/>
        <w:gridCol w:w="1276"/>
        <w:gridCol w:w="1253"/>
        <w:gridCol w:w="1237"/>
        <w:gridCol w:w="1153"/>
      </w:tblGrid>
      <w:tr w:rsidR="00EA40A3">
        <w:trPr>
          <w:trHeight w:val="273"/>
        </w:trPr>
        <w:tc>
          <w:tcPr>
            <w:tcW w:w="1145" w:type="dxa"/>
            <w:tcBorders>
              <w:top w:val="single" w:sz="4" w:space="0" w:color="000000"/>
              <w:bottom w:val="single" w:sz="4" w:space="0" w:color="000000"/>
            </w:tcBorders>
          </w:tcPr>
          <w:p w:rsidR="00EA40A3" w:rsidRDefault="00E86C16">
            <w:pPr>
              <w:spacing w:before="61" w:line="219" w:lineRule="auto"/>
              <w:ind w:left="239"/>
              <w:rPr>
                <w:rFonts w:ascii="宋体" w:eastAsia="宋体" w:hAnsi="宋体" w:cs="宋体"/>
                <w:sz w:val="16"/>
                <w:szCs w:val="16"/>
              </w:rPr>
            </w:pPr>
            <w:r>
              <w:rPr>
                <w:rFonts w:ascii="宋体" w:eastAsia="宋体" w:hAnsi="宋体" w:cs="宋体"/>
                <w:spacing w:val="-2"/>
                <w:sz w:val="16"/>
                <w:szCs w:val="16"/>
              </w:rPr>
              <w:t>水果名称</w:t>
            </w:r>
          </w:p>
        </w:tc>
        <w:tc>
          <w:tcPr>
            <w:tcW w:w="1205" w:type="dxa"/>
            <w:tcBorders>
              <w:top w:val="single" w:sz="4" w:space="0" w:color="000000"/>
              <w:bottom w:val="single" w:sz="4" w:space="0" w:color="000000"/>
              <w:right w:val="single" w:sz="4" w:space="0" w:color="000000"/>
            </w:tcBorders>
          </w:tcPr>
          <w:p w:rsidR="00EA40A3" w:rsidRDefault="00E86C16">
            <w:pPr>
              <w:spacing w:before="61" w:line="219" w:lineRule="auto"/>
              <w:ind w:left="274"/>
              <w:rPr>
                <w:rFonts w:ascii="宋体" w:eastAsia="宋体" w:hAnsi="宋体" w:cs="宋体"/>
                <w:sz w:val="16"/>
                <w:szCs w:val="16"/>
              </w:rPr>
            </w:pPr>
            <w:r>
              <w:rPr>
                <w:rFonts w:ascii="宋体" w:eastAsia="宋体" w:hAnsi="宋体" w:cs="宋体"/>
                <w:spacing w:val="-2"/>
                <w:sz w:val="16"/>
                <w:szCs w:val="16"/>
              </w:rPr>
              <w:t>果胶含量</w:t>
            </w:r>
          </w:p>
        </w:tc>
        <w:tc>
          <w:tcPr>
            <w:tcW w:w="1276" w:type="dxa"/>
            <w:tcBorders>
              <w:top w:val="single" w:sz="4" w:space="0" w:color="000000"/>
              <w:left w:val="single" w:sz="4" w:space="0" w:color="000000"/>
              <w:bottom w:val="single" w:sz="4" w:space="0" w:color="000000"/>
            </w:tcBorders>
          </w:tcPr>
          <w:p w:rsidR="00EA40A3" w:rsidRDefault="00E86C16">
            <w:pPr>
              <w:spacing w:before="71" w:line="219" w:lineRule="auto"/>
              <w:ind w:left="334"/>
              <w:rPr>
                <w:rFonts w:ascii="宋体" w:eastAsia="宋体" w:hAnsi="宋体" w:cs="宋体"/>
                <w:sz w:val="16"/>
                <w:szCs w:val="16"/>
              </w:rPr>
            </w:pPr>
            <w:r>
              <w:rPr>
                <w:rFonts w:ascii="宋体" w:eastAsia="宋体" w:hAnsi="宋体" w:cs="宋体"/>
                <w:spacing w:val="-2"/>
                <w:sz w:val="16"/>
                <w:szCs w:val="16"/>
              </w:rPr>
              <w:t>水果名称</w:t>
            </w:r>
          </w:p>
        </w:tc>
        <w:tc>
          <w:tcPr>
            <w:tcW w:w="1253" w:type="dxa"/>
            <w:tcBorders>
              <w:top w:val="single" w:sz="4" w:space="0" w:color="000000"/>
              <w:bottom w:val="single" w:sz="4" w:space="0" w:color="000000"/>
              <w:right w:val="single" w:sz="4" w:space="0" w:color="000000"/>
            </w:tcBorders>
          </w:tcPr>
          <w:p w:rsidR="00EA40A3" w:rsidRDefault="00E86C16">
            <w:pPr>
              <w:spacing w:before="61" w:line="219" w:lineRule="auto"/>
              <w:ind w:left="323"/>
              <w:rPr>
                <w:rFonts w:ascii="宋体" w:eastAsia="宋体" w:hAnsi="宋体" w:cs="宋体"/>
                <w:sz w:val="16"/>
                <w:szCs w:val="16"/>
              </w:rPr>
            </w:pPr>
            <w:r>
              <w:rPr>
                <w:rFonts w:ascii="宋体" w:eastAsia="宋体" w:hAnsi="宋体" w:cs="宋体"/>
                <w:spacing w:val="-2"/>
                <w:sz w:val="16"/>
                <w:szCs w:val="16"/>
              </w:rPr>
              <w:t>果胶含量</w:t>
            </w:r>
          </w:p>
        </w:tc>
        <w:tc>
          <w:tcPr>
            <w:tcW w:w="1237" w:type="dxa"/>
            <w:tcBorders>
              <w:top w:val="single" w:sz="4" w:space="0" w:color="000000"/>
              <w:left w:val="single" w:sz="4" w:space="0" w:color="000000"/>
              <w:bottom w:val="single" w:sz="4" w:space="0" w:color="000000"/>
            </w:tcBorders>
          </w:tcPr>
          <w:p w:rsidR="00EA40A3" w:rsidRDefault="00E86C16">
            <w:pPr>
              <w:spacing w:before="61" w:line="219" w:lineRule="auto"/>
              <w:ind w:left="325"/>
              <w:rPr>
                <w:rFonts w:ascii="宋体" w:eastAsia="宋体" w:hAnsi="宋体" w:cs="宋体"/>
                <w:sz w:val="16"/>
                <w:szCs w:val="16"/>
              </w:rPr>
            </w:pPr>
            <w:r>
              <w:rPr>
                <w:rFonts w:ascii="宋体" w:eastAsia="宋体" w:hAnsi="宋体" w:cs="宋体"/>
                <w:spacing w:val="-2"/>
                <w:sz w:val="16"/>
                <w:szCs w:val="16"/>
              </w:rPr>
              <w:t>水果名称</w:t>
            </w:r>
          </w:p>
        </w:tc>
        <w:tc>
          <w:tcPr>
            <w:tcW w:w="1153" w:type="dxa"/>
            <w:tcBorders>
              <w:top w:val="single" w:sz="4" w:space="0" w:color="000000"/>
              <w:bottom w:val="single" w:sz="4" w:space="0" w:color="000000"/>
            </w:tcBorders>
          </w:tcPr>
          <w:p w:rsidR="00EA40A3" w:rsidRDefault="00E86C16">
            <w:pPr>
              <w:spacing w:before="71" w:line="219" w:lineRule="auto"/>
              <w:ind w:left="283"/>
              <w:rPr>
                <w:rFonts w:ascii="宋体" w:eastAsia="宋体" w:hAnsi="宋体" w:cs="宋体"/>
                <w:sz w:val="16"/>
                <w:szCs w:val="16"/>
              </w:rPr>
            </w:pPr>
            <w:r>
              <w:rPr>
                <w:rFonts w:ascii="宋体" w:eastAsia="宋体" w:hAnsi="宋体" w:cs="宋体"/>
                <w:spacing w:val="-2"/>
                <w:sz w:val="16"/>
                <w:szCs w:val="16"/>
              </w:rPr>
              <w:t>果胶含量</w:t>
            </w:r>
          </w:p>
        </w:tc>
      </w:tr>
      <w:tr w:rsidR="00EA40A3">
        <w:trPr>
          <w:trHeight w:val="273"/>
        </w:trPr>
        <w:tc>
          <w:tcPr>
            <w:tcW w:w="1145" w:type="dxa"/>
            <w:tcBorders>
              <w:top w:val="single" w:sz="4" w:space="0" w:color="000000"/>
            </w:tcBorders>
          </w:tcPr>
          <w:p w:rsidR="00EA40A3" w:rsidRDefault="00E86C16">
            <w:pPr>
              <w:spacing w:before="58" w:line="219" w:lineRule="auto"/>
              <w:ind w:left="399"/>
              <w:rPr>
                <w:rFonts w:ascii="宋体" w:eastAsia="宋体" w:hAnsi="宋体" w:cs="宋体"/>
                <w:sz w:val="16"/>
                <w:szCs w:val="16"/>
              </w:rPr>
            </w:pPr>
            <w:r>
              <w:rPr>
                <w:rFonts w:ascii="宋体" w:eastAsia="宋体" w:hAnsi="宋体" w:cs="宋体"/>
                <w:spacing w:val="-2"/>
                <w:sz w:val="16"/>
                <w:szCs w:val="16"/>
              </w:rPr>
              <w:t>草莓</w:t>
            </w:r>
          </w:p>
        </w:tc>
        <w:tc>
          <w:tcPr>
            <w:tcW w:w="1205" w:type="dxa"/>
            <w:tcBorders>
              <w:top w:val="single" w:sz="4" w:space="0" w:color="000000"/>
              <w:right w:val="single" w:sz="4" w:space="0" w:color="000000"/>
            </w:tcBorders>
          </w:tcPr>
          <w:p w:rsidR="00EA40A3" w:rsidRDefault="00E86C16">
            <w:pPr>
              <w:spacing w:before="99" w:line="183" w:lineRule="auto"/>
              <w:ind w:left="264"/>
              <w:rPr>
                <w:rFonts w:ascii="宋体" w:eastAsia="宋体" w:hAnsi="宋体" w:cs="宋体"/>
                <w:sz w:val="16"/>
                <w:szCs w:val="16"/>
              </w:rPr>
            </w:pPr>
            <w:r>
              <w:rPr>
                <w:rFonts w:ascii="宋体" w:eastAsia="宋体" w:hAnsi="宋体" w:cs="宋体"/>
                <w:spacing w:val="-2"/>
                <w:sz w:val="16"/>
                <w:szCs w:val="16"/>
              </w:rPr>
              <w:t>0.6～0.7</w:t>
            </w:r>
          </w:p>
        </w:tc>
        <w:tc>
          <w:tcPr>
            <w:tcW w:w="1276" w:type="dxa"/>
            <w:tcBorders>
              <w:top w:val="single" w:sz="4" w:space="0" w:color="000000"/>
              <w:left w:val="single" w:sz="4" w:space="0" w:color="000000"/>
            </w:tcBorders>
          </w:tcPr>
          <w:p w:rsidR="00EA40A3" w:rsidRDefault="00E86C16">
            <w:pPr>
              <w:spacing w:before="59" w:line="220" w:lineRule="auto"/>
              <w:ind w:left="484"/>
              <w:rPr>
                <w:rFonts w:ascii="宋体" w:eastAsia="宋体" w:hAnsi="宋体" w:cs="宋体"/>
                <w:sz w:val="16"/>
                <w:szCs w:val="16"/>
              </w:rPr>
            </w:pPr>
            <w:r>
              <w:rPr>
                <w:rFonts w:ascii="宋体" w:eastAsia="宋体" w:hAnsi="宋体" w:cs="宋体"/>
                <w:spacing w:val="6"/>
                <w:sz w:val="16"/>
                <w:szCs w:val="16"/>
              </w:rPr>
              <w:t>葡萄</w:t>
            </w:r>
          </w:p>
        </w:tc>
        <w:tc>
          <w:tcPr>
            <w:tcW w:w="1253" w:type="dxa"/>
            <w:tcBorders>
              <w:top w:val="single" w:sz="4" w:space="0" w:color="000000"/>
              <w:right w:val="single" w:sz="4" w:space="0" w:color="000000"/>
            </w:tcBorders>
          </w:tcPr>
          <w:p w:rsidR="00EA40A3" w:rsidRDefault="00E86C16">
            <w:pPr>
              <w:spacing w:before="99" w:line="184" w:lineRule="auto"/>
              <w:ind w:left="313"/>
              <w:rPr>
                <w:rFonts w:ascii="宋体" w:eastAsia="宋体" w:hAnsi="宋体" w:cs="宋体"/>
                <w:sz w:val="16"/>
                <w:szCs w:val="16"/>
              </w:rPr>
            </w:pPr>
            <w:r>
              <w:rPr>
                <w:rFonts w:ascii="宋体" w:eastAsia="宋体" w:hAnsi="宋体" w:cs="宋体"/>
                <w:spacing w:val="-2"/>
                <w:sz w:val="16"/>
                <w:szCs w:val="16"/>
              </w:rPr>
              <w:t>0.5～1.6</w:t>
            </w:r>
          </w:p>
        </w:tc>
        <w:tc>
          <w:tcPr>
            <w:tcW w:w="1237" w:type="dxa"/>
            <w:tcBorders>
              <w:top w:val="single" w:sz="4" w:space="0" w:color="000000"/>
              <w:left w:val="single" w:sz="4" w:space="0" w:color="000000"/>
            </w:tcBorders>
          </w:tcPr>
          <w:p w:rsidR="00EA40A3" w:rsidRDefault="00E86C16">
            <w:pPr>
              <w:spacing w:before="58" w:line="219" w:lineRule="auto"/>
              <w:ind w:left="415"/>
              <w:rPr>
                <w:rFonts w:ascii="宋体" w:eastAsia="宋体" w:hAnsi="宋体" w:cs="宋体"/>
                <w:sz w:val="16"/>
                <w:szCs w:val="16"/>
              </w:rPr>
            </w:pPr>
            <w:r>
              <w:rPr>
                <w:rFonts w:ascii="宋体" w:eastAsia="宋体" w:hAnsi="宋体" w:cs="宋体"/>
                <w:spacing w:val="7"/>
                <w:sz w:val="16"/>
                <w:szCs w:val="16"/>
              </w:rPr>
              <w:t>橘子‘</w:t>
            </w:r>
          </w:p>
        </w:tc>
        <w:tc>
          <w:tcPr>
            <w:tcW w:w="1153" w:type="dxa"/>
            <w:tcBorders>
              <w:top w:val="single" w:sz="4" w:space="0" w:color="000000"/>
            </w:tcBorders>
          </w:tcPr>
          <w:p w:rsidR="00EA40A3" w:rsidRDefault="00E86C16">
            <w:pPr>
              <w:spacing w:before="109" w:line="183" w:lineRule="auto"/>
              <w:ind w:left="473"/>
              <w:rPr>
                <w:rFonts w:ascii="宋体" w:eastAsia="宋体" w:hAnsi="宋体" w:cs="宋体"/>
                <w:sz w:val="16"/>
                <w:szCs w:val="16"/>
              </w:rPr>
            </w:pPr>
            <w:r>
              <w:rPr>
                <w:rFonts w:ascii="宋体" w:eastAsia="宋体" w:hAnsi="宋体" w:cs="宋体"/>
                <w:spacing w:val="-2"/>
                <w:sz w:val="16"/>
                <w:szCs w:val="16"/>
              </w:rPr>
              <w:t>0.7</w:t>
            </w:r>
          </w:p>
        </w:tc>
      </w:tr>
      <w:tr w:rsidR="00EA40A3">
        <w:trPr>
          <w:trHeight w:val="274"/>
        </w:trPr>
        <w:tc>
          <w:tcPr>
            <w:tcW w:w="1145" w:type="dxa"/>
          </w:tcPr>
          <w:p w:rsidR="00EA40A3" w:rsidRDefault="00E86C16">
            <w:pPr>
              <w:spacing w:before="75" w:line="219" w:lineRule="auto"/>
              <w:ind w:left="399"/>
              <w:rPr>
                <w:rFonts w:ascii="宋体" w:eastAsia="宋体" w:hAnsi="宋体" w:cs="宋体"/>
                <w:sz w:val="16"/>
                <w:szCs w:val="16"/>
              </w:rPr>
            </w:pPr>
            <w:r>
              <w:rPr>
                <w:rFonts w:ascii="宋体" w:eastAsia="宋体" w:hAnsi="宋体" w:cs="宋体"/>
                <w:sz w:val="16"/>
                <w:szCs w:val="16"/>
              </w:rPr>
              <w:t>桃</w:t>
            </w:r>
          </w:p>
        </w:tc>
        <w:tc>
          <w:tcPr>
            <w:tcW w:w="1205" w:type="dxa"/>
            <w:tcBorders>
              <w:right w:val="single" w:sz="4" w:space="0" w:color="000000"/>
            </w:tcBorders>
          </w:tcPr>
          <w:p w:rsidR="00EA40A3" w:rsidRDefault="00E86C16">
            <w:pPr>
              <w:spacing w:before="105" w:line="184" w:lineRule="auto"/>
              <w:ind w:left="264"/>
              <w:rPr>
                <w:rFonts w:ascii="宋体" w:eastAsia="宋体" w:hAnsi="宋体" w:cs="宋体"/>
                <w:sz w:val="16"/>
                <w:szCs w:val="16"/>
              </w:rPr>
            </w:pPr>
            <w:r>
              <w:rPr>
                <w:rFonts w:ascii="宋体" w:eastAsia="宋体" w:hAnsi="宋体" w:cs="宋体"/>
                <w:spacing w:val="-2"/>
                <w:sz w:val="16"/>
                <w:szCs w:val="16"/>
              </w:rPr>
              <w:t>0.3～1.2</w:t>
            </w:r>
          </w:p>
        </w:tc>
        <w:tc>
          <w:tcPr>
            <w:tcW w:w="1276" w:type="dxa"/>
            <w:tcBorders>
              <w:left w:val="single" w:sz="4" w:space="0" w:color="000000"/>
            </w:tcBorders>
          </w:tcPr>
          <w:p w:rsidR="00EA40A3" w:rsidRDefault="00E86C16">
            <w:pPr>
              <w:spacing w:before="65" w:line="219" w:lineRule="auto"/>
              <w:ind w:left="484"/>
              <w:rPr>
                <w:rFonts w:ascii="宋体" w:eastAsia="宋体" w:hAnsi="宋体" w:cs="宋体"/>
                <w:sz w:val="16"/>
                <w:szCs w:val="16"/>
              </w:rPr>
            </w:pPr>
            <w:r>
              <w:rPr>
                <w:rFonts w:ascii="宋体" w:eastAsia="宋体" w:hAnsi="宋体" w:cs="宋体"/>
                <w:sz w:val="16"/>
                <w:szCs w:val="16"/>
              </w:rPr>
              <w:t>梨</w:t>
            </w:r>
          </w:p>
        </w:tc>
        <w:tc>
          <w:tcPr>
            <w:tcW w:w="1253" w:type="dxa"/>
            <w:tcBorders>
              <w:right w:val="single" w:sz="4" w:space="0" w:color="000000"/>
            </w:tcBorders>
          </w:tcPr>
          <w:p w:rsidR="00EA40A3" w:rsidRDefault="00E86C16">
            <w:pPr>
              <w:spacing w:before="105" w:line="184" w:lineRule="auto"/>
              <w:ind w:left="313"/>
              <w:rPr>
                <w:rFonts w:ascii="宋体" w:eastAsia="宋体" w:hAnsi="宋体" w:cs="宋体"/>
                <w:sz w:val="16"/>
                <w:szCs w:val="16"/>
              </w:rPr>
            </w:pPr>
            <w:r>
              <w:rPr>
                <w:rFonts w:ascii="宋体" w:eastAsia="宋体" w:hAnsi="宋体" w:cs="宋体"/>
                <w:spacing w:val="-2"/>
                <w:sz w:val="16"/>
                <w:szCs w:val="16"/>
              </w:rPr>
              <w:t>0.5～1.8</w:t>
            </w:r>
          </w:p>
        </w:tc>
        <w:tc>
          <w:tcPr>
            <w:tcW w:w="1237" w:type="dxa"/>
            <w:tcBorders>
              <w:left w:val="single" w:sz="4" w:space="0" w:color="000000"/>
            </w:tcBorders>
          </w:tcPr>
          <w:p w:rsidR="00EA40A3" w:rsidRDefault="00E86C16">
            <w:pPr>
              <w:spacing w:before="74" w:line="219" w:lineRule="auto"/>
              <w:ind w:left="415"/>
              <w:rPr>
                <w:rFonts w:ascii="宋体" w:eastAsia="宋体" w:hAnsi="宋体" w:cs="宋体"/>
                <w:sz w:val="16"/>
                <w:szCs w:val="16"/>
              </w:rPr>
            </w:pPr>
            <w:r>
              <w:rPr>
                <w:rFonts w:ascii="宋体" w:eastAsia="宋体" w:hAnsi="宋体" w:cs="宋体"/>
                <w:spacing w:val="7"/>
                <w:sz w:val="16"/>
                <w:szCs w:val="16"/>
              </w:rPr>
              <w:t>甜橙‘</w:t>
            </w:r>
          </w:p>
        </w:tc>
        <w:tc>
          <w:tcPr>
            <w:tcW w:w="1153" w:type="dxa"/>
          </w:tcPr>
          <w:p w:rsidR="00EA40A3" w:rsidRDefault="00E86C16">
            <w:pPr>
              <w:spacing w:before="126" w:line="170" w:lineRule="auto"/>
              <w:ind w:left="473"/>
              <w:rPr>
                <w:rFonts w:ascii="宋体" w:eastAsia="宋体" w:hAnsi="宋体" w:cs="宋体"/>
                <w:sz w:val="16"/>
                <w:szCs w:val="16"/>
              </w:rPr>
            </w:pPr>
            <w:r>
              <w:rPr>
                <w:rFonts w:ascii="宋体" w:eastAsia="宋体" w:hAnsi="宋体" w:cs="宋体"/>
                <w:spacing w:val="-2"/>
                <w:sz w:val="16"/>
                <w:szCs w:val="16"/>
              </w:rPr>
              <w:t>0.9</w:t>
            </w:r>
          </w:p>
        </w:tc>
      </w:tr>
      <w:tr w:rsidR="00EA40A3">
        <w:trPr>
          <w:trHeight w:val="273"/>
        </w:trPr>
        <w:tc>
          <w:tcPr>
            <w:tcW w:w="1145" w:type="dxa"/>
          </w:tcPr>
          <w:p w:rsidR="00EA40A3" w:rsidRDefault="00E86C16">
            <w:pPr>
              <w:spacing w:before="53" w:line="221" w:lineRule="auto"/>
              <w:ind w:left="399"/>
              <w:rPr>
                <w:rFonts w:ascii="宋体" w:eastAsia="宋体" w:hAnsi="宋体" w:cs="宋体"/>
                <w:sz w:val="16"/>
                <w:szCs w:val="16"/>
              </w:rPr>
            </w:pPr>
            <w:r>
              <w:rPr>
                <w:rFonts w:ascii="宋体" w:eastAsia="宋体" w:hAnsi="宋体" w:cs="宋体"/>
                <w:sz w:val="16"/>
                <w:szCs w:val="16"/>
              </w:rPr>
              <w:t>杏</w:t>
            </w:r>
          </w:p>
        </w:tc>
        <w:tc>
          <w:tcPr>
            <w:tcW w:w="1205" w:type="dxa"/>
            <w:tcBorders>
              <w:right w:val="single" w:sz="4" w:space="0" w:color="000000"/>
            </w:tcBorders>
          </w:tcPr>
          <w:p w:rsidR="00EA40A3" w:rsidRDefault="00E86C16">
            <w:pPr>
              <w:spacing w:before="111" w:line="184" w:lineRule="auto"/>
              <w:ind w:left="274"/>
              <w:rPr>
                <w:rFonts w:ascii="宋体" w:eastAsia="宋体" w:hAnsi="宋体" w:cs="宋体"/>
                <w:sz w:val="16"/>
                <w:szCs w:val="16"/>
              </w:rPr>
            </w:pPr>
            <w:r>
              <w:rPr>
                <w:rFonts w:ascii="宋体" w:eastAsia="宋体" w:hAnsi="宋体" w:cs="宋体"/>
                <w:spacing w:val="-2"/>
                <w:sz w:val="16"/>
                <w:szCs w:val="16"/>
              </w:rPr>
              <w:t>0.7～1.3</w:t>
            </w:r>
          </w:p>
        </w:tc>
        <w:tc>
          <w:tcPr>
            <w:tcW w:w="1276" w:type="dxa"/>
            <w:tcBorders>
              <w:left w:val="single" w:sz="4" w:space="0" w:color="000000"/>
            </w:tcBorders>
          </w:tcPr>
          <w:p w:rsidR="00EA40A3" w:rsidRDefault="00E86C16">
            <w:pPr>
              <w:spacing w:before="52" w:line="220" w:lineRule="auto"/>
              <w:ind w:left="484"/>
              <w:rPr>
                <w:rFonts w:ascii="宋体" w:eastAsia="宋体" w:hAnsi="宋体" w:cs="宋体"/>
                <w:sz w:val="16"/>
                <w:szCs w:val="16"/>
              </w:rPr>
            </w:pPr>
            <w:r>
              <w:rPr>
                <w:rFonts w:ascii="宋体" w:eastAsia="宋体" w:hAnsi="宋体" w:cs="宋体"/>
                <w:spacing w:val="-2"/>
                <w:sz w:val="16"/>
                <w:szCs w:val="16"/>
              </w:rPr>
              <w:t>苹果</w:t>
            </w:r>
          </w:p>
        </w:tc>
        <w:tc>
          <w:tcPr>
            <w:tcW w:w="1253" w:type="dxa"/>
            <w:tcBorders>
              <w:right w:val="single" w:sz="4" w:space="0" w:color="000000"/>
            </w:tcBorders>
          </w:tcPr>
          <w:p w:rsidR="00EA40A3" w:rsidRDefault="00E86C16">
            <w:pPr>
              <w:spacing w:before="111" w:line="184" w:lineRule="auto"/>
              <w:ind w:left="323"/>
              <w:rPr>
                <w:rFonts w:ascii="宋体" w:eastAsia="宋体" w:hAnsi="宋体" w:cs="宋体"/>
                <w:sz w:val="16"/>
                <w:szCs w:val="16"/>
              </w:rPr>
            </w:pPr>
            <w:r>
              <w:rPr>
                <w:rFonts w:ascii="宋体" w:eastAsia="宋体" w:hAnsi="宋体" w:cs="宋体"/>
                <w:spacing w:val="-2"/>
                <w:sz w:val="16"/>
                <w:szCs w:val="16"/>
              </w:rPr>
              <w:t>0.5～1.8</w:t>
            </w:r>
          </w:p>
        </w:tc>
        <w:tc>
          <w:tcPr>
            <w:tcW w:w="1237" w:type="dxa"/>
            <w:tcBorders>
              <w:left w:val="single" w:sz="4" w:space="0" w:color="000000"/>
            </w:tcBorders>
          </w:tcPr>
          <w:p w:rsidR="00EA40A3" w:rsidRDefault="00E86C16">
            <w:pPr>
              <w:spacing w:before="61" w:line="219" w:lineRule="auto"/>
              <w:ind w:left="415"/>
              <w:rPr>
                <w:rFonts w:ascii="宋体" w:eastAsia="宋体" w:hAnsi="宋体" w:cs="宋体"/>
                <w:sz w:val="16"/>
                <w:szCs w:val="16"/>
              </w:rPr>
            </w:pPr>
            <w:r>
              <w:rPr>
                <w:rFonts w:ascii="宋体" w:eastAsia="宋体" w:hAnsi="宋体" w:cs="宋体"/>
                <w:spacing w:val="-2"/>
                <w:sz w:val="16"/>
                <w:szCs w:val="16"/>
              </w:rPr>
              <w:t>柠檬*</w:t>
            </w:r>
          </w:p>
        </w:tc>
        <w:tc>
          <w:tcPr>
            <w:tcW w:w="1153" w:type="dxa"/>
          </w:tcPr>
          <w:p w:rsidR="00EA40A3" w:rsidRDefault="00E86C16">
            <w:pPr>
              <w:spacing w:before="122" w:line="174" w:lineRule="auto"/>
              <w:ind w:left="494"/>
              <w:rPr>
                <w:rFonts w:ascii="宋体" w:eastAsia="宋体" w:hAnsi="宋体" w:cs="宋体"/>
                <w:sz w:val="16"/>
                <w:szCs w:val="16"/>
              </w:rPr>
            </w:pPr>
            <w:r>
              <w:rPr>
                <w:rFonts w:ascii="宋体" w:eastAsia="宋体" w:hAnsi="宋体" w:cs="宋体"/>
                <w:spacing w:val="-5"/>
                <w:sz w:val="16"/>
                <w:szCs w:val="16"/>
              </w:rPr>
              <w:t>1.1</w:t>
            </w:r>
          </w:p>
        </w:tc>
      </w:tr>
      <w:tr w:rsidR="00EA40A3">
        <w:trPr>
          <w:trHeight w:val="278"/>
        </w:trPr>
        <w:tc>
          <w:tcPr>
            <w:tcW w:w="1145" w:type="dxa"/>
          </w:tcPr>
          <w:p w:rsidR="00EA40A3" w:rsidRDefault="00E86C16">
            <w:pPr>
              <w:spacing w:before="69" w:line="220" w:lineRule="auto"/>
              <w:ind w:left="399"/>
              <w:rPr>
                <w:rFonts w:ascii="宋体" w:eastAsia="宋体" w:hAnsi="宋体" w:cs="宋体"/>
                <w:sz w:val="16"/>
                <w:szCs w:val="16"/>
              </w:rPr>
            </w:pPr>
            <w:r>
              <w:rPr>
                <w:rFonts w:ascii="宋体" w:eastAsia="宋体" w:hAnsi="宋体" w:cs="宋体"/>
                <w:spacing w:val="3"/>
                <w:sz w:val="16"/>
                <w:szCs w:val="16"/>
              </w:rPr>
              <w:t>山楂</w:t>
            </w:r>
          </w:p>
        </w:tc>
        <w:tc>
          <w:tcPr>
            <w:tcW w:w="1205" w:type="dxa"/>
            <w:tcBorders>
              <w:right w:val="single" w:sz="4" w:space="0" w:color="000000"/>
            </w:tcBorders>
          </w:tcPr>
          <w:p w:rsidR="00EA40A3" w:rsidRDefault="00E86C16">
            <w:pPr>
              <w:spacing w:before="120" w:line="182" w:lineRule="auto"/>
              <w:ind w:left="274"/>
              <w:rPr>
                <w:rFonts w:ascii="宋体" w:eastAsia="宋体" w:hAnsi="宋体" w:cs="宋体"/>
                <w:sz w:val="16"/>
                <w:szCs w:val="16"/>
              </w:rPr>
            </w:pPr>
            <w:r>
              <w:rPr>
                <w:rFonts w:ascii="宋体" w:eastAsia="宋体" w:hAnsi="宋体" w:cs="宋体"/>
                <w:spacing w:val="-2"/>
                <w:sz w:val="16"/>
                <w:szCs w:val="16"/>
              </w:rPr>
              <w:t>3.0～6.4</w:t>
            </w:r>
          </w:p>
        </w:tc>
        <w:tc>
          <w:tcPr>
            <w:tcW w:w="1276" w:type="dxa"/>
            <w:tcBorders>
              <w:left w:val="single" w:sz="4" w:space="0" w:color="000000"/>
            </w:tcBorders>
          </w:tcPr>
          <w:p w:rsidR="00EA40A3" w:rsidRDefault="00E86C16">
            <w:pPr>
              <w:spacing w:before="59" w:line="221" w:lineRule="auto"/>
              <w:ind w:left="484"/>
              <w:rPr>
                <w:rFonts w:ascii="宋体" w:eastAsia="宋体" w:hAnsi="宋体" w:cs="宋体"/>
                <w:sz w:val="16"/>
                <w:szCs w:val="16"/>
              </w:rPr>
            </w:pPr>
            <w:r>
              <w:rPr>
                <w:rFonts w:ascii="宋体" w:eastAsia="宋体" w:hAnsi="宋体" w:cs="宋体"/>
                <w:spacing w:val="-2"/>
                <w:sz w:val="16"/>
                <w:szCs w:val="16"/>
              </w:rPr>
              <w:t>香蕉</w:t>
            </w:r>
          </w:p>
        </w:tc>
        <w:tc>
          <w:tcPr>
            <w:tcW w:w="1253" w:type="dxa"/>
            <w:tcBorders>
              <w:right w:val="single" w:sz="4" w:space="0" w:color="000000"/>
            </w:tcBorders>
          </w:tcPr>
          <w:p w:rsidR="00EA40A3" w:rsidRDefault="00E86C16">
            <w:pPr>
              <w:spacing w:before="119" w:line="183" w:lineRule="auto"/>
              <w:ind w:left="313"/>
              <w:rPr>
                <w:rFonts w:ascii="宋体" w:eastAsia="宋体" w:hAnsi="宋体" w:cs="宋体"/>
                <w:sz w:val="16"/>
                <w:szCs w:val="16"/>
              </w:rPr>
            </w:pPr>
            <w:r>
              <w:rPr>
                <w:rFonts w:ascii="宋体" w:eastAsia="宋体" w:hAnsi="宋体" w:cs="宋体"/>
                <w:spacing w:val="-2"/>
                <w:sz w:val="16"/>
                <w:szCs w:val="16"/>
              </w:rPr>
              <w:t>0.7～1.2</w:t>
            </w:r>
          </w:p>
        </w:tc>
        <w:tc>
          <w:tcPr>
            <w:tcW w:w="1237" w:type="dxa"/>
            <w:tcBorders>
              <w:left w:val="single" w:sz="4" w:space="0" w:color="000000"/>
            </w:tcBorders>
          </w:tcPr>
          <w:p w:rsidR="00EA40A3" w:rsidRDefault="00E86C16">
            <w:pPr>
              <w:spacing w:before="68" w:line="219" w:lineRule="auto"/>
              <w:ind w:left="415"/>
              <w:rPr>
                <w:rFonts w:ascii="宋体" w:eastAsia="宋体" w:hAnsi="宋体" w:cs="宋体"/>
                <w:sz w:val="16"/>
                <w:szCs w:val="16"/>
              </w:rPr>
            </w:pPr>
            <w:r>
              <w:rPr>
                <w:rFonts w:ascii="宋体" w:eastAsia="宋体" w:hAnsi="宋体" w:cs="宋体"/>
                <w:spacing w:val="7"/>
                <w:sz w:val="16"/>
                <w:szCs w:val="16"/>
              </w:rPr>
              <w:t>柿子“</w:t>
            </w:r>
          </w:p>
        </w:tc>
        <w:tc>
          <w:tcPr>
            <w:tcW w:w="1153" w:type="dxa"/>
          </w:tcPr>
          <w:p w:rsidR="00EA40A3" w:rsidRDefault="00E86C16">
            <w:pPr>
              <w:spacing w:before="129" w:line="171" w:lineRule="auto"/>
              <w:ind w:left="483"/>
              <w:rPr>
                <w:rFonts w:ascii="宋体" w:eastAsia="宋体" w:hAnsi="宋体" w:cs="宋体"/>
                <w:sz w:val="16"/>
                <w:szCs w:val="16"/>
              </w:rPr>
            </w:pPr>
            <w:r>
              <w:rPr>
                <w:rFonts w:ascii="宋体" w:eastAsia="宋体" w:hAnsi="宋体" w:cs="宋体"/>
                <w:spacing w:val="-2"/>
                <w:sz w:val="16"/>
                <w:szCs w:val="16"/>
              </w:rPr>
              <w:t>0.9</w:t>
            </w:r>
          </w:p>
        </w:tc>
      </w:tr>
      <w:tr w:rsidR="00EA40A3">
        <w:trPr>
          <w:trHeight w:val="268"/>
        </w:trPr>
        <w:tc>
          <w:tcPr>
            <w:tcW w:w="1145" w:type="dxa"/>
            <w:tcBorders>
              <w:bottom w:val="single" w:sz="4" w:space="0" w:color="000000"/>
            </w:tcBorders>
          </w:tcPr>
          <w:p w:rsidR="00EA40A3" w:rsidRDefault="00E86C16">
            <w:pPr>
              <w:spacing w:before="70" w:line="219" w:lineRule="auto"/>
              <w:ind w:left="399"/>
              <w:rPr>
                <w:rFonts w:ascii="宋体" w:eastAsia="宋体" w:hAnsi="宋体" w:cs="宋体"/>
                <w:sz w:val="16"/>
                <w:szCs w:val="16"/>
              </w:rPr>
            </w:pPr>
            <w:r>
              <w:rPr>
                <w:rFonts w:ascii="宋体" w:eastAsia="宋体" w:hAnsi="宋体" w:cs="宋体"/>
                <w:spacing w:val="9"/>
                <w:sz w:val="16"/>
                <w:szCs w:val="16"/>
              </w:rPr>
              <w:t>樱桃</w:t>
            </w:r>
            <w:r>
              <w:rPr>
                <w:rFonts w:ascii="宋体" w:eastAsia="宋体" w:hAnsi="宋体" w:cs="宋体"/>
                <w:spacing w:val="14"/>
                <w:sz w:val="16"/>
                <w:szCs w:val="16"/>
              </w:rPr>
              <w:t xml:space="preserve"> </w:t>
            </w:r>
            <w:r>
              <w:rPr>
                <w:rFonts w:ascii="宋体" w:eastAsia="宋体" w:hAnsi="宋体" w:cs="宋体"/>
                <w:spacing w:val="9"/>
                <w:sz w:val="16"/>
                <w:szCs w:val="16"/>
              </w:rPr>
              <w:t>·</w:t>
            </w:r>
          </w:p>
        </w:tc>
        <w:tc>
          <w:tcPr>
            <w:tcW w:w="1205" w:type="dxa"/>
            <w:tcBorders>
              <w:bottom w:val="single" w:sz="4" w:space="0" w:color="000000"/>
              <w:right w:val="single" w:sz="4" w:space="0" w:color="000000"/>
            </w:tcBorders>
          </w:tcPr>
          <w:p w:rsidR="00EA40A3" w:rsidRDefault="00E86C16">
            <w:pPr>
              <w:spacing w:before="111" w:line="180" w:lineRule="auto"/>
              <w:ind w:left="464"/>
              <w:rPr>
                <w:rFonts w:ascii="宋体" w:eastAsia="宋体" w:hAnsi="宋体" w:cs="宋体"/>
                <w:sz w:val="16"/>
                <w:szCs w:val="16"/>
              </w:rPr>
            </w:pPr>
            <w:r>
              <w:rPr>
                <w:rFonts w:ascii="宋体" w:eastAsia="宋体" w:hAnsi="宋体" w:cs="宋体"/>
                <w:spacing w:val="-2"/>
                <w:sz w:val="16"/>
                <w:szCs w:val="16"/>
              </w:rPr>
              <w:t>0.5</w:t>
            </w:r>
          </w:p>
        </w:tc>
        <w:tc>
          <w:tcPr>
            <w:tcW w:w="1276" w:type="dxa"/>
            <w:tcBorders>
              <w:left w:val="single" w:sz="4" w:space="0" w:color="000000"/>
              <w:bottom w:val="single" w:sz="4" w:space="0" w:color="000000"/>
            </w:tcBorders>
          </w:tcPr>
          <w:p w:rsidR="00EA40A3" w:rsidRDefault="00E86C16">
            <w:pPr>
              <w:spacing w:before="61" w:line="220" w:lineRule="auto"/>
              <w:ind w:left="484"/>
              <w:rPr>
                <w:rFonts w:ascii="宋体" w:eastAsia="宋体" w:hAnsi="宋体" w:cs="宋体"/>
                <w:sz w:val="16"/>
                <w:szCs w:val="16"/>
              </w:rPr>
            </w:pPr>
            <w:r>
              <w:rPr>
                <w:rFonts w:ascii="宋体" w:eastAsia="宋体" w:hAnsi="宋体" w:cs="宋体"/>
                <w:spacing w:val="-2"/>
                <w:sz w:val="16"/>
                <w:szCs w:val="16"/>
              </w:rPr>
              <w:t>葡萄柚</w:t>
            </w:r>
          </w:p>
        </w:tc>
        <w:tc>
          <w:tcPr>
            <w:tcW w:w="1253" w:type="dxa"/>
            <w:tcBorders>
              <w:bottom w:val="single" w:sz="4" w:space="0" w:color="000000"/>
              <w:right w:val="single" w:sz="4" w:space="0" w:color="000000"/>
            </w:tcBorders>
          </w:tcPr>
          <w:p w:rsidR="00EA40A3" w:rsidRDefault="00E86C16">
            <w:pPr>
              <w:spacing w:before="111" w:line="181" w:lineRule="auto"/>
              <w:ind w:left="343"/>
              <w:rPr>
                <w:rFonts w:ascii="宋体" w:eastAsia="宋体" w:hAnsi="宋体" w:cs="宋体"/>
                <w:sz w:val="16"/>
                <w:szCs w:val="16"/>
              </w:rPr>
            </w:pPr>
            <w:r>
              <w:rPr>
                <w:rFonts w:ascii="宋体" w:eastAsia="宋体" w:hAnsi="宋体" w:cs="宋体"/>
                <w:spacing w:val="-3"/>
                <w:sz w:val="16"/>
                <w:szCs w:val="16"/>
              </w:rPr>
              <w:t>1.6～4.5</w:t>
            </w:r>
          </w:p>
        </w:tc>
        <w:tc>
          <w:tcPr>
            <w:tcW w:w="1237" w:type="dxa"/>
            <w:tcBorders>
              <w:left w:val="single" w:sz="4" w:space="0" w:color="000000"/>
              <w:bottom w:val="single" w:sz="4" w:space="0" w:color="000000"/>
            </w:tcBorders>
          </w:tcPr>
          <w:p w:rsidR="00EA40A3" w:rsidRDefault="00E86C16">
            <w:pPr>
              <w:spacing w:before="70" w:line="219" w:lineRule="auto"/>
              <w:ind w:left="415"/>
              <w:rPr>
                <w:rFonts w:ascii="宋体" w:eastAsia="宋体" w:hAnsi="宋体" w:cs="宋体"/>
                <w:sz w:val="16"/>
                <w:szCs w:val="16"/>
              </w:rPr>
            </w:pPr>
            <w:r>
              <w:rPr>
                <w:rFonts w:ascii="宋体" w:eastAsia="宋体" w:hAnsi="宋体" w:cs="宋体"/>
                <w:spacing w:val="-2"/>
                <w:sz w:val="16"/>
                <w:szCs w:val="16"/>
              </w:rPr>
              <w:t>柑橘皮</w:t>
            </w:r>
          </w:p>
        </w:tc>
        <w:tc>
          <w:tcPr>
            <w:tcW w:w="1153" w:type="dxa"/>
            <w:tcBorders>
              <w:bottom w:val="single" w:sz="4" w:space="0" w:color="000000"/>
            </w:tcBorders>
          </w:tcPr>
          <w:p w:rsidR="00EA40A3" w:rsidRDefault="00E86C16">
            <w:pPr>
              <w:spacing w:before="131" w:line="157" w:lineRule="auto"/>
              <w:ind w:left="503"/>
              <w:rPr>
                <w:rFonts w:ascii="宋体" w:eastAsia="宋体" w:hAnsi="宋体" w:cs="宋体"/>
                <w:sz w:val="16"/>
                <w:szCs w:val="16"/>
              </w:rPr>
            </w:pPr>
            <w:r>
              <w:rPr>
                <w:rFonts w:ascii="宋体" w:eastAsia="宋体" w:hAnsi="宋体" w:cs="宋体"/>
                <w:spacing w:val="-3"/>
                <w:sz w:val="16"/>
                <w:szCs w:val="16"/>
              </w:rPr>
              <w:t>20</w:t>
            </w:r>
          </w:p>
        </w:tc>
      </w:tr>
    </w:tbl>
    <w:p w:rsidR="00EA40A3" w:rsidRDefault="00E86C16">
      <w:pPr>
        <w:spacing w:before="73" w:line="219" w:lineRule="auto"/>
        <w:ind w:left="350"/>
        <w:rPr>
          <w:rFonts w:ascii="宋体" w:eastAsia="宋体" w:hAnsi="宋体" w:cs="宋体"/>
          <w:sz w:val="19"/>
          <w:szCs w:val="19"/>
        </w:rPr>
      </w:pPr>
      <w:r>
        <w:rPr>
          <w:rFonts w:ascii="宋体" w:eastAsia="宋体" w:hAnsi="宋体" w:cs="宋体"/>
          <w:spacing w:val="-24"/>
          <w:sz w:val="19"/>
          <w:szCs w:val="19"/>
        </w:rPr>
        <w:t>×来白：李里特.2002.食品原料学.北京：中国农业出版社</w:t>
      </w:r>
    </w:p>
    <w:p w:rsidR="00EA40A3" w:rsidRDefault="00E86C16">
      <w:pPr>
        <w:spacing w:before="14" w:line="219" w:lineRule="auto"/>
        <w:ind w:left="350"/>
        <w:rPr>
          <w:rFonts w:ascii="宋体" w:eastAsia="宋体" w:hAnsi="宋体" w:cs="宋体"/>
          <w:sz w:val="19"/>
          <w:szCs w:val="19"/>
        </w:rPr>
      </w:pPr>
      <w:r>
        <w:rPr>
          <w:rFonts w:ascii="宋体" w:eastAsia="宋体" w:hAnsi="宋体" w:cs="宋体"/>
          <w:spacing w:val="-21"/>
          <w:w w:val="97"/>
          <w:sz w:val="19"/>
          <w:szCs w:val="19"/>
        </w:rPr>
        <w:t>数据来源：扈文盛.</w:t>
      </w:r>
      <w:r>
        <w:rPr>
          <w:rFonts w:ascii="宋体" w:eastAsia="宋体" w:hAnsi="宋体" w:cs="宋体"/>
          <w:spacing w:val="3"/>
          <w:sz w:val="19"/>
          <w:szCs w:val="19"/>
        </w:rPr>
        <w:t xml:space="preserve"> </w:t>
      </w:r>
      <w:r>
        <w:rPr>
          <w:rFonts w:ascii="宋体" w:eastAsia="宋体" w:hAnsi="宋体" w:cs="宋体"/>
          <w:spacing w:val="-21"/>
          <w:w w:val="97"/>
          <w:sz w:val="19"/>
          <w:szCs w:val="19"/>
        </w:rPr>
        <w:t>1989.常用食品数据手册.北京：中国</w:t>
      </w:r>
      <w:r>
        <w:rPr>
          <w:rFonts w:ascii="宋体" w:eastAsia="宋体" w:hAnsi="宋体" w:cs="宋体"/>
          <w:spacing w:val="-22"/>
          <w:w w:val="97"/>
          <w:sz w:val="19"/>
          <w:szCs w:val="19"/>
        </w:rPr>
        <w:t>食品出版社</w:t>
      </w:r>
    </w:p>
    <w:p w:rsidR="00EA40A3" w:rsidRDefault="00EA40A3">
      <w:pPr>
        <w:spacing w:line="440" w:lineRule="auto"/>
      </w:pPr>
    </w:p>
    <w:p w:rsidR="00EA40A3" w:rsidRDefault="00E86C16">
      <w:pPr>
        <w:spacing w:before="73" w:line="223"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9"/>
          <w:sz w:val="22"/>
          <w:szCs w:val="22"/>
        </w:rPr>
        <w:t xml:space="preserve"> </w:t>
      </w:r>
      <w:r>
        <w:rPr>
          <w:rFonts w:ascii="仿宋" w:eastAsia="仿宋" w:hAnsi="仿宋" w:cs="仿宋"/>
          <w:spacing w:val="13"/>
          <w:sz w:val="22"/>
          <w:szCs w:val="22"/>
        </w:rPr>
        <w:t>蛋白质和脂肪</w:t>
      </w:r>
    </w:p>
    <w:p w:rsidR="00EA40A3" w:rsidRDefault="00E86C16">
      <w:pPr>
        <w:spacing w:before="184" w:line="241" w:lineRule="auto"/>
        <w:ind w:right="101" w:firstLine="350"/>
        <w:jc w:val="both"/>
        <w:rPr>
          <w:rFonts w:ascii="宋体" w:eastAsia="宋体" w:hAnsi="宋体" w:cs="宋体"/>
          <w:sz w:val="22"/>
          <w:szCs w:val="22"/>
        </w:rPr>
      </w:pPr>
      <w:r>
        <w:rPr>
          <w:rFonts w:ascii="宋体" w:eastAsia="宋体" w:hAnsi="宋体" w:cs="宋体"/>
          <w:spacing w:val="6"/>
          <w:sz w:val="22"/>
          <w:szCs w:val="22"/>
        </w:rPr>
        <w:t>水果中含有0.1%～1.5%的含氮物质，其中35%～</w:t>
      </w:r>
      <w:r>
        <w:rPr>
          <w:rFonts w:ascii="宋体" w:eastAsia="宋体" w:hAnsi="宋体" w:cs="宋体"/>
          <w:spacing w:val="5"/>
          <w:sz w:val="22"/>
          <w:szCs w:val="22"/>
        </w:rPr>
        <w:t>75%是蛋白质，部分是</w:t>
      </w:r>
      <w:r>
        <w:rPr>
          <w:rFonts w:ascii="宋体" w:eastAsia="宋体" w:hAnsi="宋体" w:cs="宋体"/>
          <w:sz w:val="22"/>
          <w:szCs w:val="22"/>
        </w:rPr>
        <w:t xml:space="preserve">  </w:t>
      </w:r>
      <w:r>
        <w:rPr>
          <w:rFonts w:ascii="宋体" w:eastAsia="宋体" w:hAnsi="宋体" w:cs="宋体"/>
          <w:spacing w:val="-13"/>
          <w:sz w:val="22"/>
          <w:szCs w:val="22"/>
        </w:rPr>
        <w:t>游离氨基酸，有的还含有一些活性胺类，如多巴胺、去甲肾上腺素、脱氧肾上腺</w:t>
      </w:r>
      <w:r>
        <w:rPr>
          <w:rFonts w:ascii="宋体" w:eastAsia="宋体" w:hAnsi="宋体" w:cs="宋体"/>
          <w:spacing w:val="12"/>
          <w:sz w:val="22"/>
          <w:szCs w:val="22"/>
        </w:rPr>
        <w:t xml:space="preserve"> </w:t>
      </w:r>
      <w:r>
        <w:rPr>
          <w:rFonts w:ascii="宋体" w:eastAsia="宋体" w:hAnsi="宋体" w:cs="宋体"/>
          <w:spacing w:val="-14"/>
          <w:sz w:val="22"/>
          <w:szCs w:val="22"/>
        </w:rPr>
        <w:t>素等：</w:t>
      </w:r>
    </w:p>
    <w:p w:rsidR="00EA40A3" w:rsidRDefault="00E86C16">
      <w:pPr>
        <w:spacing w:before="58" w:line="252" w:lineRule="auto"/>
        <w:ind w:right="100" w:firstLine="350"/>
        <w:jc w:val="both"/>
        <w:rPr>
          <w:rFonts w:ascii="宋体" w:eastAsia="宋体" w:hAnsi="宋体" w:cs="宋体"/>
          <w:sz w:val="22"/>
          <w:szCs w:val="22"/>
        </w:rPr>
      </w:pPr>
      <w:r>
        <w:rPr>
          <w:rFonts w:ascii="宋体" w:eastAsia="宋体" w:hAnsi="宋体" w:cs="宋体"/>
          <w:spacing w:val="1"/>
          <w:sz w:val="22"/>
          <w:szCs w:val="22"/>
        </w:rPr>
        <w:t>水果中蛋白质含量多为0.5%～1.0%。</w:t>
      </w:r>
      <w:r>
        <w:rPr>
          <w:rFonts w:ascii="宋体" w:eastAsia="宋体" w:hAnsi="宋体" w:cs="宋体"/>
          <w:sz w:val="22"/>
          <w:szCs w:val="22"/>
        </w:rPr>
        <w:t xml:space="preserve">因此，水果不是膳食中蛋白质的重 </w:t>
      </w:r>
      <w:r>
        <w:rPr>
          <w:rFonts w:ascii="宋体" w:eastAsia="宋体" w:hAnsi="宋体" w:cs="宋体"/>
          <w:spacing w:val="-13"/>
          <w:sz w:val="22"/>
          <w:szCs w:val="22"/>
        </w:rPr>
        <w:t>要来源，也不宜作为主食。水果中的蛋白质主要为酶蛋白，包括果胶酶类和酚氧</w:t>
      </w:r>
      <w:r>
        <w:rPr>
          <w:rFonts w:ascii="宋体" w:eastAsia="宋体" w:hAnsi="宋体" w:cs="宋体"/>
          <w:spacing w:val="12"/>
          <w:sz w:val="22"/>
          <w:szCs w:val="22"/>
        </w:rPr>
        <w:t xml:space="preserve"> </w:t>
      </w:r>
      <w:r>
        <w:rPr>
          <w:rFonts w:ascii="宋体" w:eastAsia="宋体" w:hAnsi="宋体" w:cs="宋体"/>
          <w:spacing w:val="-13"/>
          <w:sz w:val="22"/>
          <w:szCs w:val="22"/>
        </w:rPr>
        <w:t>化酶。某些水果中含有较丰富的蛋白酶类，如菠萝、木瓜、无花果、猕猴桃等。</w:t>
      </w:r>
    </w:p>
    <w:p w:rsidR="00EA40A3" w:rsidRDefault="00E86C16">
      <w:pPr>
        <w:spacing w:before="18" w:line="247" w:lineRule="auto"/>
        <w:ind w:right="98" w:firstLine="350"/>
        <w:jc w:val="both"/>
        <w:rPr>
          <w:rFonts w:ascii="宋体" w:eastAsia="宋体" w:hAnsi="宋体" w:cs="宋体"/>
          <w:sz w:val="22"/>
          <w:szCs w:val="22"/>
        </w:rPr>
      </w:pPr>
      <w:r>
        <w:rPr>
          <w:rFonts w:ascii="宋体" w:eastAsia="宋体" w:hAnsi="宋体" w:cs="宋体"/>
          <w:spacing w:val="-6"/>
          <w:sz w:val="22"/>
          <w:szCs w:val="22"/>
        </w:rPr>
        <w:t>水果的脂肪含量多在0.3%以下，只有鳄梨、榴莲、余甘等少数水果脂肪含</w:t>
      </w:r>
      <w:r>
        <w:rPr>
          <w:rFonts w:ascii="宋体" w:eastAsia="宋体" w:hAnsi="宋体" w:cs="宋体"/>
          <w:spacing w:val="3"/>
          <w:sz w:val="22"/>
          <w:szCs w:val="22"/>
        </w:rPr>
        <w:t xml:space="preserve"> </w:t>
      </w:r>
      <w:r>
        <w:rPr>
          <w:rFonts w:ascii="宋体" w:eastAsia="宋体" w:hAnsi="宋体" w:cs="宋体"/>
          <w:spacing w:val="-3"/>
          <w:sz w:val="22"/>
          <w:szCs w:val="22"/>
        </w:rPr>
        <w:t>量达到引起注意的程度。例如，鳄梨含脂肪达10%以上。但这些水果</w:t>
      </w:r>
      <w:r>
        <w:rPr>
          <w:rFonts w:ascii="宋体" w:eastAsia="宋体" w:hAnsi="宋体" w:cs="宋体"/>
          <w:spacing w:val="-4"/>
          <w:sz w:val="22"/>
          <w:szCs w:val="22"/>
        </w:rPr>
        <w:t>均未成为</w:t>
      </w:r>
      <w:r>
        <w:rPr>
          <w:rFonts w:ascii="宋体" w:eastAsia="宋体" w:hAnsi="宋体" w:cs="宋体"/>
          <w:sz w:val="22"/>
          <w:szCs w:val="22"/>
        </w:rPr>
        <w:t xml:space="preserve"> </w:t>
      </w:r>
      <w:r>
        <w:rPr>
          <w:rFonts w:ascii="宋体" w:eastAsia="宋体" w:hAnsi="宋体" w:cs="宋体"/>
          <w:spacing w:val="-13"/>
          <w:sz w:val="22"/>
          <w:szCs w:val="22"/>
        </w:rPr>
        <w:t>我国居民经常食用的水果。水果的种仁通常是富含油脂的。</w:t>
      </w:r>
    </w:p>
    <w:p w:rsidR="00EA40A3" w:rsidRDefault="00EA40A3">
      <w:pPr>
        <w:sectPr w:rsidR="00EA40A3">
          <w:footerReference w:type="default" r:id="rId175"/>
          <w:pgSz w:w="9220" w:h="13360"/>
          <w:pgMar w:top="400" w:right="1089" w:bottom="1297" w:left="769" w:header="0" w:footer="1089" w:gutter="0"/>
          <w:cols w:space="720"/>
        </w:sectPr>
      </w:pPr>
    </w:p>
    <w:p w:rsidR="00EA40A3" w:rsidRDefault="00EA40A3">
      <w:pPr>
        <w:spacing w:line="347" w:lineRule="auto"/>
      </w:pPr>
    </w:p>
    <w:p w:rsidR="00EA40A3" w:rsidRDefault="00EA40A3">
      <w:pPr>
        <w:spacing w:line="347" w:lineRule="auto"/>
      </w:pPr>
    </w:p>
    <w:p w:rsidR="00EA40A3" w:rsidRDefault="00E86C16">
      <w:pPr>
        <w:spacing w:before="78" w:line="222" w:lineRule="auto"/>
        <w:rPr>
          <w:rFonts w:ascii="仿宋" w:eastAsia="仿宋" w:hAnsi="仿宋" w:cs="仿宋"/>
          <w:sz w:val="24"/>
          <w:szCs w:val="24"/>
        </w:rPr>
      </w:pPr>
      <w:bookmarkStart w:id="50" w:name="_bookmark54"/>
      <w:bookmarkEnd w:id="50"/>
      <w:r>
        <w:rPr>
          <w:rFonts w:ascii="仿宋" w:eastAsia="仿宋" w:hAnsi="仿宋" w:cs="仿宋"/>
          <w:spacing w:val="-2"/>
          <w:sz w:val="24"/>
          <w:szCs w:val="24"/>
        </w:rPr>
        <w:t>3.</w:t>
      </w:r>
      <w:r>
        <w:rPr>
          <w:rFonts w:ascii="仿宋" w:eastAsia="仿宋" w:hAnsi="仿宋" w:cs="仿宋"/>
          <w:spacing w:val="-46"/>
          <w:sz w:val="24"/>
          <w:szCs w:val="24"/>
        </w:rPr>
        <w:t xml:space="preserve"> </w:t>
      </w:r>
      <w:r>
        <w:rPr>
          <w:rFonts w:ascii="仿宋" w:eastAsia="仿宋" w:hAnsi="仿宋" w:cs="仿宋"/>
          <w:spacing w:val="-2"/>
          <w:sz w:val="24"/>
          <w:szCs w:val="24"/>
        </w:rPr>
        <w:t>维生素</w:t>
      </w:r>
    </w:p>
    <w:p w:rsidR="00EA40A3" w:rsidRDefault="00E86C16">
      <w:pPr>
        <w:spacing w:before="201" w:line="273" w:lineRule="auto"/>
        <w:ind w:right="91" w:firstLine="390"/>
        <w:jc w:val="both"/>
        <w:rPr>
          <w:rFonts w:ascii="宋体" w:eastAsia="宋体" w:hAnsi="宋体" w:cs="宋体"/>
          <w:sz w:val="20"/>
          <w:szCs w:val="20"/>
        </w:rPr>
      </w:pPr>
      <w:r>
        <w:rPr>
          <w:rFonts w:ascii="宋体" w:eastAsia="宋体" w:hAnsi="宋体" w:cs="宋体"/>
          <w:spacing w:val="8"/>
          <w:sz w:val="20"/>
          <w:szCs w:val="20"/>
        </w:rPr>
        <w:t>水果和蔬菜一样，含有除维生素</w:t>
      </w:r>
      <w:r>
        <w:rPr>
          <w:rFonts w:ascii="宋体" w:eastAsia="宋体" w:hAnsi="宋体" w:cs="宋体"/>
          <w:spacing w:val="-38"/>
          <w:sz w:val="20"/>
          <w:szCs w:val="20"/>
        </w:rPr>
        <w:t xml:space="preserve"> </w:t>
      </w:r>
      <w:r>
        <w:rPr>
          <w:rFonts w:ascii="宋体" w:eastAsia="宋体" w:hAnsi="宋体" w:cs="宋体"/>
          <w:spacing w:val="8"/>
          <w:sz w:val="20"/>
          <w:szCs w:val="20"/>
        </w:rPr>
        <w:t>D</w:t>
      </w:r>
      <w:r>
        <w:rPr>
          <w:rFonts w:ascii="宋体" w:eastAsia="宋体" w:hAnsi="宋体" w:cs="宋体"/>
          <w:spacing w:val="4"/>
          <w:sz w:val="20"/>
          <w:szCs w:val="20"/>
        </w:rPr>
        <w:t xml:space="preserve"> </w:t>
      </w:r>
      <w:r>
        <w:rPr>
          <w:rFonts w:ascii="宋体" w:eastAsia="宋体" w:hAnsi="宋体" w:cs="宋体"/>
          <w:spacing w:val="8"/>
          <w:sz w:val="20"/>
          <w:szCs w:val="20"/>
        </w:rPr>
        <w:t>和维生素</w:t>
      </w:r>
      <w:r>
        <w:rPr>
          <w:rFonts w:ascii="宋体" w:eastAsia="宋体" w:hAnsi="宋体" w:cs="宋体"/>
          <w:spacing w:val="-49"/>
          <w:sz w:val="20"/>
          <w:szCs w:val="20"/>
        </w:rPr>
        <w:t xml:space="preserve"> </w:t>
      </w:r>
      <w:r>
        <w:rPr>
          <w:rFonts w:ascii="宋体" w:eastAsia="宋体" w:hAnsi="宋体" w:cs="宋体"/>
          <w:spacing w:val="8"/>
          <w:sz w:val="20"/>
          <w:szCs w:val="20"/>
        </w:rPr>
        <w:t>B</w:t>
      </w:r>
      <w:r>
        <w:rPr>
          <w:rFonts w:ascii="Calibri" w:eastAsia="Calibri" w:hAnsi="Calibri" w:cs="Calibri"/>
          <w:spacing w:val="8"/>
          <w:sz w:val="20"/>
          <w:szCs w:val="20"/>
        </w:rPr>
        <w:t>₂</w:t>
      </w:r>
      <w:r>
        <w:rPr>
          <w:rFonts w:ascii="Calibri" w:eastAsia="Calibri" w:hAnsi="Calibri" w:cs="Calibri"/>
          <w:spacing w:val="12"/>
          <w:w w:val="101"/>
          <w:sz w:val="20"/>
          <w:szCs w:val="20"/>
        </w:rPr>
        <w:t xml:space="preserve">  </w:t>
      </w:r>
      <w:r>
        <w:rPr>
          <w:rFonts w:ascii="宋体" w:eastAsia="宋体" w:hAnsi="宋体" w:cs="宋体"/>
          <w:spacing w:val="8"/>
          <w:sz w:val="20"/>
          <w:szCs w:val="20"/>
        </w:rPr>
        <w:t>之外的所有维生素，但其</w:t>
      </w:r>
      <w:r>
        <w:rPr>
          <w:rFonts w:ascii="宋体" w:eastAsia="宋体" w:hAnsi="宋体" w:cs="宋体"/>
          <w:spacing w:val="-58"/>
          <w:sz w:val="20"/>
          <w:szCs w:val="20"/>
        </w:rPr>
        <w:t xml:space="preserve"> </w:t>
      </w:r>
      <w:r>
        <w:rPr>
          <w:rFonts w:ascii="宋体" w:eastAsia="宋体" w:hAnsi="宋体" w:cs="宋体"/>
          <w:spacing w:val="8"/>
          <w:sz w:val="20"/>
          <w:szCs w:val="20"/>
        </w:rPr>
        <w:t>B</w:t>
      </w:r>
      <w:r>
        <w:rPr>
          <w:rFonts w:ascii="宋体" w:eastAsia="宋体" w:hAnsi="宋体" w:cs="宋体"/>
          <w:sz w:val="20"/>
          <w:szCs w:val="20"/>
        </w:rPr>
        <w:t xml:space="preserve"> </w:t>
      </w:r>
      <w:r>
        <w:rPr>
          <w:rFonts w:ascii="宋体" w:eastAsia="宋体" w:hAnsi="宋体" w:cs="宋体"/>
          <w:spacing w:val="30"/>
          <w:sz w:val="20"/>
          <w:szCs w:val="20"/>
        </w:rPr>
        <w:t>族维生素含量普遍较低。它是膳食中维生素</w:t>
      </w:r>
      <w:r>
        <w:rPr>
          <w:rFonts w:ascii="宋体" w:eastAsia="宋体" w:hAnsi="宋体" w:cs="宋体"/>
          <w:spacing w:val="-19"/>
          <w:sz w:val="20"/>
          <w:szCs w:val="20"/>
        </w:rPr>
        <w:t xml:space="preserve"> </w:t>
      </w:r>
      <w:r>
        <w:rPr>
          <w:rFonts w:ascii="宋体" w:eastAsia="宋体" w:hAnsi="宋体" w:cs="宋体"/>
          <w:spacing w:val="30"/>
          <w:sz w:val="20"/>
          <w:szCs w:val="20"/>
        </w:rPr>
        <w:t>C</w:t>
      </w:r>
      <w:r>
        <w:rPr>
          <w:rFonts w:ascii="宋体" w:eastAsia="宋体" w:hAnsi="宋体" w:cs="宋体"/>
          <w:spacing w:val="46"/>
          <w:sz w:val="20"/>
          <w:szCs w:val="20"/>
        </w:rPr>
        <w:t xml:space="preserve"> </w:t>
      </w:r>
      <w:r>
        <w:rPr>
          <w:rFonts w:ascii="宋体" w:eastAsia="宋体" w:hAnsi="宋体" w:cs="宋体"/>
          <w:spacing w:val="30"/>
          <w:sz w:val="20"/>
          <w:szCs w:val="20"/>
        </w:rPr>
        <w:t>和胡萝卜素的较重要来源</w:t>
      </w:r>
      <w:r>
        <w:rPr>
          <w:rFonts w:ascii="宋体" w:eastAsia="宋体" w:hAnsi="宋体" w:cs="宋体"/>
          <w:sz w:val="20"/>
          <w:szCs w:val="20"/>
        </w:rPr>
        <w:t xml:space="preserve"> </w:t>
      </w:r>
      <w:r>
        <w:rPr>
          <w:rFonts w:ascii="宋体" w:eastAsia="宋体" w:hAnsi="宋体" w:cs="宋体"/>
          <w:spacing w:val="9"/>
          <w:sz w:val="20"/>
          <w:szCs w:val="20"/>
        </w:rPr>
        <w:t>(表6-15),有些水果还可以提供叶酸、维生素</w:t>
      </w:r>
      <w:r>
        <w:rPr>
          <w:rFonts w:ascii="宋体" w:eastAsia="宋体" w:hAnsi="宋体" w:cs="宋体"/>
          <w:spacing w:val="-37"/>
          <w:sz w:val="20"/>
          <w:szCs w:val="20"/>
        </w:rPr>
        <w:t xml:space="preserve"> </w:t>
      </w:r>
      <w:r>
        <w:rPr>
          <w:rFonts w:ascii="宋体" w:eastAsia="宋体" w:hAnsi="宋体" w:cs="宋体"/>
          <w:spacing w:val="9"/>
          <w:sz w:val="20"/>
          <w:szCs w:val="20"/>
        </w:rPr>
        <w:t>K</w:t>
      </w:r>
      <w:r>
        <w:rPr>
          <w:rFonts w:ascii="宋体" w:eastAsia="宋体" w:hAnsi="宋体" w:cs="宋体"/>
          <w:spacing w:val="24"/>
          <w:sz w:val="20"/>
          <w:szCs w:val="20"/>
        </w:rPr>
        <w:t xml:space="preserve"> </w:t>
      </w:r>
      <w:r>
        <w:rPr>
          <w:rFonts w:ascii="宋体" w:eastAsia="宋体" w:hAnsi="宋体" w:cs="宋体"/>
          <w:spacing w:val="9"/>
          <w:sz w:val="20"/>
          <w:szCs w:val="20"/>
        </w:rPr>
        <w:t>和维生素</w:t>
      </w:r>
      <w:r>
        <w:rPr>
          <w:rFonts w:ascii="宋体" w:eastAsia="宋体" w:hAnsi="宋体" w:cs="宋体"/>
          <w:spacing w:val="-59"/>
          <w:sz w:val="20"/>
          <w:szCs w:val="20"/>
        </w:rPr>
        <w:t xml:space="preserve"> </w:t>
      </w:r>
      <w:r>
        <w:rPr>
          <w:rFonts w:ascii="宋体" w:eastAsia="宋体" w:hAnsi="宋体" w:cs="宋体"/>
          <w:spacing w:val="9"/>
          <w:sz w:val="20"/>
          <w:szCs w:val="20"/>
        </w:rPr>
        <w:t>B。</w:t>
      </w:r>
      <w:r>
        <w:rPr>
          <w:rFonts w:ascii="宋体" w:eastAsia="宋体" w:hAnsi="宋体" w:cs="宋体"/>
          <w:spacing w:val="64"/>
          <w:sz w:val="20"/>
          <w:szCs w:val="20"/>
        </w:rPr>
        <w:t xml:space="preserve"> </w:t>
      </w:r>
      <w:r>
        <w:rPr>
          <w:rFonts w:ascii="宋体" w:eastAsia="宋体" w:hAnsi="宋体" w:cs="宋体"/>
          <w:spacing w:val="9"/>
          <w:sz w:val="20"/>
          <w:szCs w:val="20"/>
        </w:rPr>
        <w:t>水果中硫胺素和</w:t>
      </w:r>
      <w:r>
        <w:rPr>
          <w:rFonts w:ascii="宋体" w:eastAsia="宋体" w:hAnsi="宋体" w:cs="宋体"/>
          <w:sz w:val="20"/>
          <w:szCs w:val="20"/>
        </w:rPr>
        <w:t xml:space="preserve"> </w:t>
      </w:r>
      <w:r>
        <w:rPr>
          <w:rFonts w:ascii="宋体" w:eastAsia="宋体" w:hAnsi="宋体" w:cs="宋体"/>
          <w:spacing w:val="9"/>
          <w:sz w:val="20"/>
          <w:szCs w:val="20"/>
        </w:rPr>
        <w:t>核黄素的含量通常低于0.05</w:t>
      </w:r>
      <w:r>
        <w:rPr>
          <w:rFonts w:ascii="宋体" w:eastAsia="宋体" w:hAnsi="宋体" w:cs="宋体"/>
          <w:sz w:val="20"/>
          <w:szCs w:val="20"/>
        </w:rPr>
        <w:t>mg</w:t>
      </w:r>
      <w:r>
        <w:rPr>
          <w:rFonts w:ascii="宋体" w:eastAsia="宋体" w:hAnsi="宋体" w:cs="宋体"/>
          <w:spacing w:val="9"/>
          <w:sz w:val="20"/>
          <w:szCs w:val="20"/>
        </w:rPr>
        <w:t>/100g。</w:t>
      </w:r>
      <w:r>
        <w:rPr>
          <w:rFonts w:ascii="宋体" w:eastAsia="宋体" w:hAnsi="宋体" w:cs="宋体"/>
          <w:spacing w:val="103"/>
          <w:sz w:val="20"/>
          <w:szCs w:val="20"/>
        </w:rPr>
        <w:t xml:space="preserve"> </w:t>
      </w:r>
      <w:r>
        <w:rPr>
          <w:rFonts w:ascii="宋体" w:eastAsia="宋体" w:hAnsi="宋体" w:cs="宋体"/>
          <w:spacing w:val="9"/>
          <w:sz w:val="20"/>
          <w:szCs w:val="20"/>
        </w:rPr>
        <w:t>总体而言，水果中的维生素含量低于绿</w:t>
      </w:r>
      <w:r>
        <w:rPr>
          <w:rFonts w:ascii="宋体" w:eastAsia="宋体" w:hAnsi="宋体" w:cs="宋体"/>
          <w:sz w:val="20"/>
          <w:szCs w:val="20"/>
        </w:rPr>
        <w:t xml:space="preserve"> </w:t>
      </w:r>
      <w:r>
        <w:rPr>
          <w:rFonts w:ascii="宋体" w:eastAsia="宋体" w:hAnsi="宋体" w:cs="宋体"/>
          <w:spacing w:val="-1"/>
          <w:sz w:val="20"/>
          <w:szCs w:val="20"/>
        </w:rPr>
        <w:t>叶蔬菜。</w:t>
      </w:r>
    </w:p>
    <w:p w:rsidR="00EA40A3" w:rsidRDefault="00E86C16">
      <w:pPr>
        <w:spacing w:before="89" w:line="212" w:lineRule="auto"/>
        <w:ind w:left="1542"/>
        <w:rPr>
          <w:rFonts w:ascii="Times New Roman" w:eastAsia="Times New Roman" w:hAnsi="Times New Roman" w:cs="Times New Roman"/>
          <w:sz w:val="20"/>
          <w:szCs w:val="20"/>
        </w:rPr>
      </w:pPr>
      <w:r>
        <w:rPr>
          <w:rFonts w:ascii="黑体" w:eastAsia="黑体" w:hAnsi="黑体" w:cs="黑体"/>
          <w:b/>
          <w:bCs/>
          <w:spacing w:val="-16"/>
          <w:sz w:val="20"/>
          <w:szCs w:val="20"/>
        </w:rPr>
        <w:t>表6-15</w:t>
      </w:r>
      <w:r>
        <w:rPr>
          <w:rFonts w:ascii="黑体" w:eastAsia="黑体" w:hAnsi="黑体" w:cs="黑体"/>
          <w:spacing w:val="94"/>
          <w:sz w:val="20"/>
          <w:szCs w:val="20"/>
        </w:rPr>
        <w:t xml:space="preserve"> </w:t>
      </w:r>
      <w:r>
        <w:rPr>
          <w:rFonts w:ascii="黑体" w:eastAsia="黑体" w:hAnsi="黑体" w:cs="黑体"/>
          <w:b/>
          <w:bCs/>
          <w:spacing w:val="-16"/>
          <w:sz w:val="20"/>
          <w:szCs w:val="20"/>
        </w:rPr>
        <w:t>部分水果中的维生素</w:t>
      </w:r>
      <w:r>
        <w:rPr>
          <w:rFonts w:ascii="Times New Roman" w:eastAsia="Times New Roman" w:hAnsi="Times New Roman" w:cs="Times New Roman"/>
          <w:b/>
          <w:bCs/>
          <w:spacing w:val="-16"/>
          <w:sz w:val="20"/>
          <w:szCs w:val="20"/>
        </w:rPr>
        <w:t>C</w:t>
      </w:r>
      <w:r>
        <w:rPr>
          <w:rFonts w:ascii="Times New Roman" w:eastAsia="Times New Roman" w:hAnsi="Times New Roman" w:cs="Times New Roman"/>
          <w:spacing w:val="-14"/>
          <w:sz w:val="20"/>
          <w:szCs w:val="20"/>
        </w:rPr>
        <w:t xml:space="preserve"> </w:t>
      </w:r>
      <w:r>
        <w:rPr>
          <w:rFonts w:ascii="黑体" w:eastAsia="黑体" w:hAnsi="黑体" w:cs="黑体"/>
          <w:b/>
          <w:bCs/>
          <w:spacing w:val="-16"/>
          <w:sz w:val="20"/>
          <w:szCs w:val="20"/>
        </w:rPr>
        <w:t>和胡萝卜素含量</w:t>
      </w:r>
      <w:r>
        <w:rPr>
          <w:rFonts w:ascii="黑体" w:eastAsia="黑体" w:hAnsi="黑体" w:cs="黑体"/>
          <w:spacing w:val="41"/>
          <w:sz w:val="20"/>
          <w:szCs w:val="20"/>
        </w:rPr>
        <w:t xml:space="preserve">  </w:t>
      </w:r>
      <w:r>
        <w:rPr>
          <w:rFonts w:ascii="黑体" w:eastAsia="黑体" w:hAnsi="黑体" w:cs="黑体"/>
          <w:spacing w:val="-16"/>
          <w:sz w:val="20"/>
          <w:szCs w:val="20"/>
        </w:rPr>
        <w:t>(单</w:t>
      </w:r>
      <w:r>
        <w:rPr>
          <w:rFonts w:ascii="黑体" w:eastAsia="黑体" w:hAnsi="黑体" w:cs="黑体"/>
          <w:spacing w:val="-17"/>
          <w:sz w:val="20"/>
          <w:szCs w:val="20"/>
        </w:rPr>
        <w:t>位：</w:t>
      </w:r>
      <w:r>
        <w:rPr>
          <w:rFonts w:ascii="黑体" w:eastAsia="黑体" w:hAnsi="黑体" w:cs="黑体"/>
          <w:spacing w:val="-60"/>
          <w:sz w:val="20"/>
          <w:szCs w:val="20"/>
        </w:rPr>
        <w:t xml:space="preserve"> </w:t>
      </w:r>
      <w:r>
        <w:rPr>
          <w:rFonts w:ascii="Times New Roman" w:eastAsia="Times New Roman" w:hAnsi="Times New Roman" w:cs="Times New Roman"/>
          <w:spacing w:val="-16"/>
          <w:sz w:val="20"/>
          <w:szCs w:val="20"/>
        </w:rPr>
        <w:t>mg</w:t>
      </w:r>
      <w:r>
        <w:rPr>
          <w:rFonts w:ascii="Times New Roman" w:eastAsia="Times New Roman" w:hAnsi="Times New Roman" w:cs="Times New Roman"/>
          <w:spacing w:val="-17"/>
          <w:sz w:val="20"/>
          <w:szCs w:val="20"/>
        </w:rPr>
        <w:t>/100g)</w:t>
      </w:r>
    </w:p>
    <w:p w:rsidR="00EA40A3" w:rsidRDefault="00EA40A3">
      <w:pPr>
        <w:spacing w:line="100" w:lineRule="exact"/>
      </w:pPr>
    </w:p>
    <w:tbl>
      <w:tblPr>
        <w:tblStyle w:val="TableNormal"/>
        <w:tblW w:w="7240" w:type="dxa"/>
        <w:tblInd w:w="10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67"/>
        <w:gridCol w:w="1191"/>
        <w:gridCol w:w="1252"/>
        <w:gridCol w:w="1201"/>
        <w:gridCol w:w="1132"/>
        <w:gridCol w:w="1297"/>
      </w:tblGrid>
      <w:tr w:rsidR="00EA40A3">
        <w:trPr>
          <w:trHeight w:val="273"/>
        </w:trPr>
        <w:tc>
          <w:tcPr>
            <w:tcW w:w="1167" w:type="dxa"/>
            <w:tcBorders>
              <w:top w:val="single" w:sz="4" w:space="0" w:color="000000"/>
              <w:bottom w:val="single" w:sz="4" w:space="0" w:color="000000"/>
            </w:tcBorders>
          </w:tcPr>
          <w:p w:rsidR="00EA40A3" w:rsidRDefault="00E86C16">
            <w:pPr>
              <w:spacing w:before="61" w:line="219" w:lineRule="auto"/>
              <w:ind w:left="309"/>
              <w:rPr>
                <w:rFonts w:ascii="宋体" w:eastAsia="宋体" w:hAnsi="宋体" w:cs="宋体"/>
                <w:sz w:val="16"/>
                <w:szCs w:val="16"/>
              </w:rPr>
            </w:pPr>
            <w:r>
              <w:rPr>
                <w:rFonts w:ascii="宋体" w:eastAsia="宋体" w:hAnsi="宋体" w:cs="宋体"/>
                <w:spacing w:val="-2"/>
                <w:sz w:val="16"/>
                <w:szCs w:val="16"/>
              </w:rPr>
              <w:t>水果名称</w:t>
            </w:r>
          </w:p>
        </w:tc>
        <w:tc>
          <w:tcPr>
            <w:tcW w:w="1191" w:type="dxa"/>
            <w:tcBorders>
              <w:top w:val="single" w:sz="4" w:space="0" w:color="000000"/>
              <w:bottom w:val="single" w:sz="4" w:space="0" w:color="000000"/>
            </w:tcBorders>
          </w:tcPr>
          <w:p w:rsidR="00EA40A3" w:rsidRDefault="00E86C16">
            <w:pPr>
              <w:spacing w:before="61" w:line="219" w:lineRule="auto"/>
              <w:ind w:left="252"/>
              <w:rPr>
                <w:rFonts w:ascii="宋体" w:eastAsia="宋体" w:hAnsi="宋体" w:cs="宋体"/>
                <w:sz w:val="16"/>
                <w:szCs w:val="16"/>
              </w:rPr>
            </w:pPr>
            <w:r>
              <w:rPr>
                <w:rFonts w:ascii="宋体" w:eastAsia="宋体" w:hAnsi="宋体" w:cs="宋体"/>
                <w:spacing w:val="-2"/>
                <w:sz w:val="16"/>
                <w:szCs w:val="16"/>
              </w:rPr>
              <w:t>维生素C</w:t>
            </w:r>
          </w:p>
        </w:tc>
        <w:tc>
          <w:tcPr>
            <w:tcW w:w="1252" w:type="dxa"/>
            <w:tcBorders>
              <w:top w:val="single" w:sz="4" w:space="0" w:color="000000"/>
              <w:bottom w:val="single" w:sz="4" w:space="0" w:color="000000"/>
              <w:right w:val="single" w:sz="4" w:space="0" w:color="000000"/>
            </w:tcBorders>
          </w:tcPr>
          <w:p w:rsidR="00EA40A3" w:rsidRDefault="00E86C16">
            <w:pPr>
              <w:spacing w:before="60" w:line="219" w:lineRule="auto"/>
              <w:ind w:left="321"/>
              <w:rPr>
                <w:rFonts w:ascii="宋体" w:eastAsia="宋体" w:hAnsi="宋体" w:cs="宋体"/>
                <w:sz w:val="16"/>
                <w:szCs w:val="16"/>
              </w:rPr>
            </w:pPr>
            <w:r>
              <w:rPr>
                <w:rFonts w:ascii="宋体" w:eastAsia="宋体" w:hAnsi="宋体" w:cs="宋体"/>
                <w:spacing w:val="-3"/>
                <w:sz w:val="16"/>
                <w:szCs w:val="16"/>
              </w:rPr>
              <w:t>胡萝卜素</w:t>
            </w:r>
          </w:p>
        </w:tc>
        <w:tc>
          <w:tcPr>
            <w:tcW w:w="1201" w:type="dxa"/>
            <w:tcBorders>
              <w:top w:val="single" w:sz="4" w:space="0" w:color="000000"/>
              <w:left w:val="single" w:sz="4" w:space="0" w:color="000000"/>
              <w:bottom w:val="single" w:sz="4" w:space="0" w:color="000000"/>
            </w:tcBorders>
          </w:tcPr>
          <w:p w:rsidR="00EA40A3" w:rsidRDefault="00E86C16">
            <w:pPr>
              <w:spacing w:before="71" w:line="219" w:lineRule="auto"/>
              <w:ind w:left="244"/>
              <w:rPr>
                <w:rFonts w:ascii="宋体" w:eastAsia="宋体" w:hAnsi="宋体" w:cs="宋体"/>
                <w:sz w:val="16"/>
                <w:szCs w:val="16"/>
              </w:rPr>
            </w:pPr>
            <w:r>
              <w:rPr>
                <w:rFonts w:ascii="宋体" w:eastAsia="宋体" w:hAnsi="宋体" w:cs="宋体"/>
                <w:spacing w:val="-2"/>
                <w:sz w:val="16"/>
                <w:szCs w:val="16"/>
              </w:rPr>
              <w:t>水果名称</w:t>
            </w:r>
          </w:p>
        </w:tc>
        <w:tc>
          <w:tcPr>
            <w:tcW w:w="1132" w:type="dxa"/>
            <w:tcBorders>
              <w:top w:val="single" w:sz="4" w:space="0" w:color="000000"/>
              <w:bottom w:val="single" w:sz="4" w:space="0" w:color="000000"/>
            </w:tcBorders>
          </w:tcPr>
          <w:p w:rsidR="00EA40A3" w:rsidRDefault="00E86C16">
            <w:pPr>
              <w:spacing w:before="71" w:line="219" w:lineRule="auto"/>
              <w:ind w:left="238"/>
              <w:rPr>
                <w:rFonts w:ascii="宋体" w:eastAsia="宋体" w:hAnsi="宋体" w:cs="宋体"/>
                <w:sz w:val="16"/>
                <w:szCs w:val="16"/>
              </w:rPr>
            </w:pPr>
            <w:r>
              <w:rPr>
                <w:rFonts w:ascii="宋体" w:eastAsia="宋体" w:hAnsi="宋体" w:cs="宋体"/>
                <w:spacing w:val="-2"/>
                <w:sz w:val="16"/>
                <w:szCs w:val="16"/>
              </w:rPr>
              <w:t>维生素C</w:t>
            </w:r>
          </w:p>
        </w:tc>
        <w:tc>
          <w:tcPr>
            <w:tcW w:w="1297" w:type="dxa"/>
            <w:tcBorders>
              <w:top w:val="single" w:sz="4" w:space="0" w:color="000000"/>
              <w:bottom w:val="single" w:sz="4" w:space="0" w:color="000000"/>
            </w:tcBorders>
          </w:tcPr>
          <w:p w:rsidR="00EA40A3" w:rsidRDefault="00E86C16">
            <w:pPr>
              <w:spacing w:before="60" w:line="219" w:lineRule="auto"/>
              <w:ind w:left="346"/>
              <w:rPr>
                <w:rFonts w:ascii="宋体" w:eastAsia="宋体" w:hAnsi="宋体" w:cs="宋体"/>
                <w:sz w:val="16"/>
                <w:szCs w:val="16"/>
              </w:rPr>
            </w:pPr>
            <w:r>
              <w:rPr>
                <w:rFonts w:ascii="宋体" w:eastAsia="宋体" w:hAnsi="宋体" w:cs="宋体"/>
                <w:spacing w:val="-3"/>
                <w:sz w:val="16"/>
                <w:szCs w:val="16"/>
              </w:rPr>
              <w:t>胡萝卜素</w:t>
            </w:r>
          </w:p>
        </w:tc>
      </w:tr>
      <w:tr w:rsidR="00EA40A3">
        <w:trPr>
          <w:trHeight w:val="273"/>
        </w:trPr>
        <w:tc>
          <w:tcPr>
            <w:tcW w:w="1167" w:type="dxa"/>
            <w:tcBorders>
              <w:top w:val="single" w:sz="4" w:space="0" w:color="000000"/>
            </w:tcBorders>
          </w:tcPr>
          <w:p w:rsidR="00EA40A3" w:rsidRDefault="00E86C16">
            <w:pPr>
              <w:spacing w:before="59" w:line="220" w:lineRule="auto"/>
              <w:ind w:left="309"/>
              <w:rPr>
                <w:rFonts w:ascii="宋体" w:eastAsia="宋体" w:hAnsi="宋体" w:cs="宋体"/>
                <w:sz w:val="16"/>
                <w:szCs w:val="16"/>
              </w:rPr>
            </w:pPr>
            <w:r>
              <w:rPr>
                <w:rFonts w:ascii="宋体" w:eastAsia="宋体" w:hAnsi="宋体" w:cs="宋体"/>
                <w:spacing w:val="-2"/>
                <w:sz w:val="16"/>
                <w:szCs w:val="16"/>
              </w:rPr>
              <w:t>鲜枣</w:t>
            </w:r>
          </w:p>
        </w:tc>
        <w:tc>
          <w:tcPr>
            <w:tcW w:w="1191" w:type="dxa"/>
            <w:tcBorders>
              <w:top w:val="single" w:sz="4" w:space="0" w:color="000000"/>
            </w:tcBorders>
          </w:tcPr>
          <w:p w:rsidR="00EA40A3" w:rsidRDefault="00E86C16">
            <w:pPr>
              <w:spacing w:before="119" w:line="177" w:lineRule="auto"/>
              <w:ind w:left="452"/>
              <w:rPr>
                <w:rFonts w:ascii="宋体" w:eastAsia="宋体" w:hAnsi="宋体" w:cs="宋体"/>
                <w:sz w:val="16"/>
                <w:szCs w:val="16"/>
              </w:rPr>
            </w:pPr>
            <w:r>
              <w:rPr>
                <w:rFonts w:ascii="宋体" w:eastAsia="宋体" w:hAnsi="宋体" w:cs="宋体"/>
                <w:spacing w:val="-2"/>
                <w:sz w:val="16"/>
                <w:szCs w:val="16"/>
              </w:rPr>
              <w:t>243</w:t>
            </w:r>
          </w:p>
        </w:tc>
        <w:tc>
          <w:tcPr>
            <w:tcW w:w="1252" w:type="dxa"/>
            <w:tcBorders>
              <w:top w:val="single" w:sz="4" w:space="0" w:color="000000"/>
              <w:right w:val="single" w:sz="4" w:space="0" w:color="000000"/>
            </w:tcBorders>
          </w:tcPr>
          <w:p w:rsidR="00EA40A3" w:rsidRDefault="00E86C16">
            <w:pPr>
              <w:spacing w:before="119" w:line="177" w:lineRule="auto"/>
              <w:ind w:left="482"/>
              <w:rPr>
                <w:rFonts w:ascii="宋体" w:eastAsia="宋体" w:hAnsi="宋体" w:cs="宋体"/>
                <w:sz w:val="16"/>
                <w:szCs w:val="16"/>
              </w:rPr>
            </w:pPr>
            <w:r>
              <w:rPr>
                <w:rFonts w:ascii="宋体" w:eastAsia="宋体" w:hAnsi="宋体" w:cs="宋体"/>
                <w:spacing w:val="-2"/>
                <w:sz w:val="16"/>
                <w:szCs w:val="16"/>
              </w:rPr>
              <w:t>0.24</w:t>
            </w:r>
          </w:p>
        </w:tc>
        <w:tc>
          <w:tcPr>
            <w:tcW w:w="1201" w:type="dxa"/>
            <w:tcBorders>
              <w:top w:val="single" w:sz="4" w:space="0" w:color="000000"/>
              <w:left w:val="single" w:sz="4" w:space="0" w:color="000000"/>
            </w:tcBorders>
          </w:tcPr>
          <w:p w:rsidR="00EA40A3" w:rsidRDefault="00E86C16">
            <w:pPr>
              <w:spacing w:before="69" w:line="220" w:lineRule="auto"/>
              <w:ind w:left="364"/>
              <w:rPr>
                <w:rFonts w:ascii="宋体" w:eastAsia="宋体" w:hAnsi="宋体" w:cs="宋体"/>
                <w:sz w:val="16"/>
                <w:szCs w:val="16"/>
              </w:rPr>
            </w:pPr>
            <w:r>
              <w:rPr>
                <w:rFonts w:ascii="宋体" w:eastAsia="宋体" w:hAnsi="宋体" w:cs="宋体"/>
                <w:spacing w:val="-3"/>
                <w:sz w:val="16"/>
                <w:szCs w:val="16"/>
              </w:rPr>
              <w:t>芒果</w:t>
            </w:r>
          </w:p>
        </w:tc>
        <w:tc>
          <w:tcPr>
            <w:tcW w:w="1132" w:type="dxa"/>
            <w:tcBorders>
              <w:top w:val="single" w:sz="4" w:space="0" w:color="000000"/>
            </w:tcBorders>
          </w:tcPr>
          <w:p w:rsidR="00EA40A3" w:rsidRDefault="00E86C16">
            <w:pPr>
              <w:spacing w:before="119" w:line="177" w:lineRule="auto"/>
              <w:ind w:left="478"/>
              <w:rPr>
                <w:rFonts w:ascii="宋体" w:eastAsia="宋体" w:hAnsi="宋体" w:cs="宋体"/>
                <w:sz w:val="16"/>
                <w:szCs w:val="16"/>
              </w:rPr>
            </w:pPr>
            <w:r>
              <w:rPr>
                <w:rFonts w:ascii="宋体" w:eastAsia="宋体" w:hAnsi="宋体" w:cs="宋体"/>
                <w:spacing w:val="-2"/>
                <w:sz w:val="16"/>
                <w:szCs w:val="16"/>
              </w:rPr>
              <w:t>41</w:t>
            </w:r>
          </w:p>
        </w:tc>
        <w:tc>
          <w:tcPr>
            <w:tcW w:w="1297" w:type="dxa"/>
            <w:tcBorders>
              <w:top w:val="single" w:sz="4" w:space="0" w:color="000000"/>
            </w:tcBorders>
          </w:tcPr>
          <w:p w:rsidR="00EA40A3" w:rsidRDefault="00E86C16">
            <w:pPr>
              <w:spacing w:before="119" w:line="177" w:lineRule="auto"/>
              <w:ind w:left="526"/>
              <w:rPr>
                <w:rFonts w:ascii="宋体" w:eastAsia="宋体" w:hAnsi="宋体" w:cs="宋体"/>
                <w:sz w:val="16"/>
                <w:szCs w:val="16"/>
              </w:rPr>
            </w:pPr>
            <w:r>
              <w:rPr>
                <w:rFonts w:ascii="宋体" w:eastAsia="宋体" w:hAnsi="宋体" w:cs="宋体"/>
                <w:spacing w:val="-2"/>
                <w:sz w:val="16"/>
                <w:szCs w:val="16"/>
              </w:rPr>
              <w:t>8.05</w:t>
            </w:r>
          </w:p>
        </w:tc>
      </w:tr>
      <w:tr w:rsidR="00EA40A3">
        <w:trPr>
          <w:trHeight w:val="273"/>
        </w:trPr>
        <w:tc>
          <w:tcPr>
            <w:tcW w:w="1167" w:type="dxa"/>
          </w:tcPr>
          <w:p w:rsidR="00EA40A3" w:rsidRDefault="00E86C16">
            <w:pPr>
              <w:spacing w:before="65" w:line="219" w:lineRule="auto"/>
              <w:ind w:left="309"/>
              <w:rPr>
                <w:rFonts w:ascii="宋体" w:eastAsia="宋体" w:hAnsi="宋体" w:cs="宋体"/>
                <w:sz w:val="16"/>
                <w:szCs w:val="16"/>
              </w:rPr>
            </w:pPr>
            <w:r>
              <w:rPr>
                <w:rFonts w:ascii="宋体" w:eastAsia="宋体" w:hAnsi="宋体" w:cs="宋体"/>
                <w:spacing w:val="-2"/>
                <w:sz w:val="16"/>
                <w:szCs w:val="16"/>
              </w:rPr>
              <w:t>猕猴桃</w:t>
            </w:r>
          </w:p>
        </w:tc>
        <w:tc>
          <w:tcPr>
            <w:tcW w:w="1191" w:type="dxa"/>
          </w:tcPr>
          <w:p w:rsidR="00EA40A3" w:rsidRDefault="00E86C16">
            <w:pPr>
              <w:spacing w:before="91" w:line="209" w:lineRule="auto"/>
              <w:ind w:left="232"/>
              <w:rPr>
                <w:rFonts w:ascii="宋体" w:eastAsia="宋体" w:hAnsi="宋体" w:cs="宋体"/>
                <w:sz w:val="16"/>
                <w:szCs w:val="16"/>
              </w:rPr>
            </w:pPr>
            <w:r>
              <w:rPr>
                <w:rFonts w:ascii="宋体" w:eastAsia="宋体" w:hAnsi="宋体" w:cs="宋体"/>
                <w:spacing w:val="10"/>
                <w:sz w:val="16"/>
                <w:szCs w:val="16"/>
              </w:rPr>
              <w:t>60～250”</w:t>
            </w:r>
          </w:p>
        </w:tc>
        <w:tc>
          <w:tcPr>
            <w:tcW w:w="1252" w:type="dxa"/>
            <w:tcBorders>
              <w:right w:val="single" w:sz="4" w:space="0" w:color="000000"/>
            </w:tcBorders>
          </w:tcPr>
          <w:p w:rsidR="00EA40A3" w:rsidRDefault="00E86C16">
            <w:pPr>
              <w:spacing w:before="116" w:line="181" w:lineRule="auto"/>
              <w:ind w:left="471"/>
              <w:rPr>
                <w:rFonts w:ascii="宋体" w:eastAsia="宋体" w:hAnsi="宋体" w:cs="宋体"/>
                <w:sz w:val="16"/>
                <w:szCs w:val="16"/>
              </w:rPr>
            </w:pPr>
            <w:r>
              <w:rPr>
                <w:rFonts w:ascii="宋体" w:eastAsia="宋体" w:hAnsi="宋体" w:cs="宋体"/>
                <w:spacing w:val="-2"/>
                <w:sz w:val="16"/>
                <w:szCs w:val="16"/>
              </w:rPr>
              <w:t>0.13</w:t>
            </w:r>
          </w:p>
        </w:tc>
        <w:tc>
          <w:tcPr>
            <w:tcW w:w="1201" w:type="dxa"/>
            <w:tcBorders>
              <w:left w:val="single" w:sz="4" w:space="0" w:color="000000"/>
            </w:tcBorders>
          </w:tcPr>
          <w:p w:rsidR="00EA40A3" w:rsidRDefault="00E86C16">
            <w:pPr>
              <w:spacing w:before="44" w:line="219" w:lineRule="auto"/>
              <w:ind w:left="364"/>
              <w:rPr>
                <w:rFonts w:ascii="宋体" w:eastAsia="宋体" w:hAnsi="宋体" w:cs="宋体"/>
                <w:sz w:val="16"/>
                <w:szCs w:val="16"/>
              </w:rPr>
            </w:pPr>
            <w:r>
              <w:rPr>
                <w:rFonts w:ascii="宋体" w:eastAsia="宋体" w:hAnsi="宋体" w:cs="宋体"/>
                <w:spacing w:val="-3"/>
                <w:sz w:val="16"/>
                <w:szCs w:val="16"/>
              </w:rPr>
              <w:t>菠萝</w:t>
            </w:r>
          </w:p>
        </w:tc>
        <w:tc>
          <w:tcPr>
            <w:tcW w:w="1132" w:type="dxa"/>
          </w:tcPr>
          <w:p w:rsidR="00EA40A3" w:rsidRDefault="00E86C16">
            <w:pPr>
              <w:spacing w:before="116" w:line="181" w:lineRule="auto"/>
              <w:ind w:left="489"/>
              <w:rPr>
                <w:rFonts w:ascii="宋体" w:eastAsia="宋体" w:hAnsi="宋体" w:cs="宋体"/>
                <w:sz w:val="16"/>
                <w:szCs w:val="16"/>
              </w:rPr>
            </w:pPr>
            <w:r>
              <w:rPr>
                <w:rFonts w:ascii="宋体" w:eastAsia="宋体" w:hAnsi="宋体" w:cs="宋体"/>
                <w:spacing w:val="-5"/>
                <w:sz w:val="16"/>
                <w:szCs w:val="16"/>
              </w:rPr>
              <w:t>18</w:t>
            </w:r>
          </w:p>
        </w:tc>
        <w:tc>
          <w:tcPr>
            <w:tcW w:w="1297" w:type="dxa"/>
          </w:tcPr>
          <w:p w:rsidR="00EA40A3" w:rsidRDefault="00E86C16">
            <w:pPr>
              <w:spacing w:before="126" w:line="169" w:lineRule="auto"/>
              <w:ind w:left="496"/>
              <w:rPr>
                <w:rFonts w:ascii="宋体" w:eastAsia="宋体" w:hAnsi="宋体" w:cs="宋体"/>
                <w:sz w:val="16"/>
                <w:szCs w:val="16"/>
              </w:rPr>
            </w:pPr>
            <w:r>
              <w:rPr>
                <w:rFonts w:ascii="宋体" w:eastAsia="宋体" w:hAnsi="宋体" w:cs="宋体"/>
                <w:spacing w:val="-2"/>
                <w:sz w:val="16"/>
                <w:szCs w:val="16"/>
              </w:rPr>
              <w:t>0.20</w:t>
            </w:r>
          </w:p>
        </w:tc>
      </w:tr>
      <w:tr w:rsidR="00EA40A3">
        <w:trPr>
          <w:trHeight w:val="259"/>
        </w:trPr>
        <w:tc>
          <w:tcPr>
            <w:tcW w:w="1167" w:type="dxa"/>
          </w:tcPr>
          <w:p w:rsidR="00EA40A3" w:rsidRDefault="00E86C16">
            <w:pPr>
              <w:spacing w:before="53" w:line="220" w:lineRule="auto"/>
              <w:ind w:left="309"/>
              <w:rPr>
                <w:rFonts w:ascii="宋体" w:eastAsia="宋体" w:hAnsi="宋体" w:cs="宋体"/>
                <w:sz w:val="16"/>
                <w:szCs w:val="16"/>
              </w:rPr>
            </w:pPr>
            <w:r>
              <w:rPr>
                <w:rFonts w:ascii="宋体" w:eastAsia="宋体" w:hAnsi="宋体" w:cs="宋体"/>
                <w:spacing w:val="3"/>
                <w:sz w:val="16"/>
                <w:szCs w:val="16"/>
              </w:rPr>
              <w:t>山楂</w:t>
            </w:r>
          </w:p>
        </w:tc>
        <w:tc>
          <w:tcPr>
            <w:tcW w:w="1191" w:type="dxa"/>
          </w:tcPr>
          <w:p w:rsidR="00EA40A3" w:rsidRDefault="00E86C16">
            <w:pPr>
              <w:spacing w:before="123" w:line="136" w:lineRule="exact"/>
              <w:ind w:left="483"/>
              <w:rPr>
                <w:rFonts w:ascii="宋体" w:eastAsia="宋体" w:hAnsi="宋体" w:cs="宋体"/>
                <w:sz w:val="16"/>
                <w:szCs w:val="16"/>
              </w:rPr>
            </w:pPr>
            <w:r>
              <w:rPr>
                <w:rFonts w:ascii="宋体" w:eastAsia="宋体" w:hAnsi="宋体" w:cs="宋体"/>
                <w:spacing w:val="-3"/>
                <w:position w:val="-2"/>
                <w:sz w:val="16"/>
                <w:szCs w:val="16"/>
              </w:rPr>
              <w:t>53</w:t>
            </w:r>
          </w:p>
        </w:tc>
        <w:tc>
          <w:tcPr>
            <w:tcW w:w="1252" w:type="dxa"/>
            <w:tcBorders>
              <w:right w:val="single" w:sz="4" w:space="0" w:color="000000"/>
            </w:tcBorders>
          </w:tcPr>
          <w:p w:rsidR="00EA40A3" w:rsidRDefault="00E86C16">
            <w:pPr>
              <w:spacing w:before="122" w:line="157" w:lineRule="auto"/>
              <w:ind w:left="482"/>
              <w:rPr>
                <w:rFonts w:ascii="宋体" w:eastAsia="宋体" w:hAnsi="宋体" w:cs="宋体"/>
                <w:sz w:val="16"/>
                <w:szCs w:val="16"/>
              </w:rPr>
            </w:pPr>
            <w:r>
              <w:rPr>
                <w:rFonts w:ascii="宋体" w:eastAsia="宋体" w:hAnsi="宋体" w:cs="宋体"/>
                <w:spacing w:val="-2"/>
                <w:sz w:val="16"/>
                <w:szCs w:val="16"/>
              </w:rPr>
              <w:t>0.10</w:t>
            </w:r>
          </w:p>
        </w:tc>
        <w:tc>
          <w:tcPr>
            <w:tcW w:w="1201" w:type="dxa"/>
            <w:tcBorders>
              <w:left w:val="single" w:sz="4" w:space="0" w:color="000000"/>
            </w:tcBorders>
          </w:tcPr>
          <w:p w:rsidR="00EA40A3" w:rsidRDefault="00E86C16">
            <w:pPr>
              <w:spacing w:before="62" w:line="219" w:lineRule="auto"/>
              <w:ind w:left="364"/>
              <w:rPr>
                <w:rFonts w:ascii="宋体" w:eastAsia="宋体" w:hAnsi="宋体" w:cs="宋体"/>
                <w:sz w:val="16"/>
                <w:szCs w:val="16"/>
              </w:rPr>
            </w:pPr>
            <w:r>
              <w:rPr>
                <w:rFonts w:ascii="宋体" w:eastAsia="宋体" w:hAnsi="宋体" w:cs="宋体"/>
                <w:spacing w:val="-2"/>
                <w:sz w:val="16"/>
                <w:szCs w:val="16"/>
              </w:rPr>
              <w:t>草莓</w:t>
            </w:r>
          </w:p>
        </w:tc>
        <w:tc>
          <w:tcPr>
            <w:tcW w:w="1132" w:type="dxa"/>
          </w:tcPr>
          <w:p w:rsidR="00EA40A3" w:rsidRDefault="00E86C16">
            <w:pPr>
              <w:spacing w:before="123" w:line="136" w:lineRule="exact"/>
              <w:ind w:left="469"/>
              <w:rPr>
                <w:rFonts w:ascii="宋体" w:eastAsia="宋体" w:hAnsi="宋体" w:cs="宋体"/>
                <w:sz w:val="16"/>
                <w:szCs w:val="16"/>
              </w:rPr>
            </w:pPr>
            <w:r>
              <w:rPr>
                <w:rFonts w:ascii="宋体" w:eastAsia="宋体" w:hAnsi="宋体" w:cs="宋体"/>
                <w:spacing w:val="-2"/>
                <w:position w:val="-2"/>
                <w:sz w:val="16"/>
                <w:szCs w:val="16"/>
              </w:rPr>
              <w:t>47</w:t>
            </w:r>
          </w:p>
        </w:tc>
        <w:tc>
          <w:tcPr>
            <w:tcW w:w="1297" w:type="dxa"/>
          </w:tcPr>
          <w:p w:rsidR="00EA40A3" w:rsidRDefault="00E86C16">
            <w:pPr>
              <w:spacing w:before="133" w:line="126" w:lineRule="exact"/>
              <w:ind w:left="496"/>
              <w:rPr>
                <w:rFonts w:ascii="宋体" w:eastAsia="宋体" w:hAnsi="宋体" w:cs="宋体"/>
                <w:sz w:val="16"/>
                <w:szCs w:val="16"/>
              </w:rPr>
            </w:pPr>
            <w:r>
              <w:rPr>
                <w:rFonts w:ascii="宋体" w:eastAsia="宋体" w:hAnsi="宋体" w:cs="宋体"/>
                <w:spacing w:val="-2"/>
                <w:position w:val="-2"/>
                <w:sz w:val="16"/>
                <w:szCs w:val="16"/>
              </w:rPr>
              <w:t>0.03</w:t>
            </w:r>
          </w:p>
        </w:tc>
      </w:tr>
      <w:tr w:rsidR="00EA40A3">
        <w:trPr>
          <w:trHeight w:val="298"/>
        </w:trPr>
        <w:tc>
          <w:tcPr>
            <w:tcW w:w="1167" w:type="dxa"/>
          </w:tcPr>
          <w:p w:rsidR="00EA40A3" w:rsidRDefault="00E86C16">
            <w:pPr>
              <w:spacing w:before="53" w:line="219" w:lineRule="auto"/>
              <w:ind w:left="309"/>
              <w:rPr>
                <w:rFonts w:ascii="宋体" w:eastAsia="宋体" w:hAnsi="宋体" w:cs="宋体"/>
                <w:sz w:val="16"/>
                <w:szCs w:val="16"/>
              </w:rPr>
            </w:pPr>
            <w:r>
              <w:rPr>
                <w:rFonts w:ascii="宋体" w:eastAsia="宋体" w:hAnsi="宋体" w:cs="宋体"/>
                <w:spacing w:val="3"/>
                <w:sz w:val="16"/>
                <w:szCs w:val="16"/>
              </w:rPr>
              <w:t>川红橘</w:t>
            </w:r>
          </w:p>
        </w:tc>
        <w:tc>
          <w:tcPr>
            <w:tcW w:w="1191" w:type="dxa"/>
          </w:tcPr>
          <w:p w:rsidR="00EA40A3" w:rsidRDefault="00E86C16">
            <w:pPr>
              <w:spacing w:before="124" w:line="183" w:lineRule="auto"/>
              <w:ind w:left="483"/>
              <w:rPr>
                <w:rFonts w:ascii="宋体" w:eastAsia="宋体" w:hAnsi="宋体" w:cs="宋体"/>
                <w:sz w:val="16"/>
                <w:szCs w:val="16"/>
              </w:rPr>
            </w:pPr>
            <w:r>
              <w:rPr>
                <w:rFonts w:ascii="宋体" w:eastAsia="宋体" w:hAnsi="宋体" w:cs="宋体"/>
                <w:spacing w:val="-3"/>
                <w:sz w:val="16"/>
                <w:szCs w:val="16"/>
              </w:rPr>
              <w:t>33</w:t>
            </w:r>
          </w:p>
        </w:tc>
        <w:tc>
          <w:tcPr>
            <w:tcW w:w="1252" w:type="dxa"/>
            <w:tcBorders>
              <w:right w:val="single" w:sz="4" w:space="0" w:color="000000"/>
            </w:tcBorders>
          </w:tcPr>
          <w:p w:rsidR="00EA40A3" w:rsidRDefault="00E86C16">
            <w:pPr>
              <w:spacing w:before="143" w:line="178" w:lineRule="auto"/>
              <w:ind w:left="482"/>
              <w:rPr>
                <w:rFonts w:ascii="宋体" w:eastAsia="宋体" w:hAnsi="宋体" w:cs="宋体"/>
                <w:sz w:val="16"/>
                <w:szCs w:val="16"/>
              </w:rPr>
            </w:pPr>
            <w:r>
              <w:rPr>
                <w:rFonts w:ascii="宋体" w:eastAsia="宋体" w:hAnsi="宋体" w:cs="宋体"/>
                <w:spacing w:val="-2"/>
                <w:sz w:val="16"/>
                <w:szCs w:val="16"/>
              </w:rPr>
              <w:t>0.18</w:t>
            </w:r>
          </w:p>
        </w:tc>
        <w:tc>
          <w:tcPr>
            <w:tcW w:w="1201" w:type="dxa"/>
            <w:tcBorders>
              <w:left w:val="single" w:sz="4" w:space="0" w:color="000000"/>
            </w:tcBorders>
          </w:tcPr>
          <w:p w:rsidR="00EA40A3" w:rsidRDefault="00E86C16">
            <w:pPr>
              <w:spacing w:before="83" w:line="219" w:lineRule="auto"/>
              <w:ind w:left="364"/>
              <w:rPr>
                <w:rFonts w:ascii="宋体" w:eastAsia="宋体" w:hAnsi="宋体" w:cs="宋体"/>
                <w:sz w:val="16"/>
                <w:szCs w:val="16"/>
              </w:rPr>
            </w:pPr>
            <w:r>
              <w:rPr>
                <w:rFonts w:ascii="宋体" w:eastAsia="宋体" w:hAnsi="宋体" w:cs="宋体"/>
                <w:spacing w:val="-3"/>
                <w:sz w:val="16"/>
                <w:szCs w:val="16"/>
              </w:rPr>
              <w:t>鸭梨</w:t>
            </w:r>
          </w:p>
        </w:tc>
        <w:tc>
          <w:tcPr>
            <w:tcW w:w="1132" w:type="dxa"/>
          </w:tcPr>
          <w:p w:rsidR="00EA40A3" w:rsidRDefault="00E86C16">
            <w:pPr>
              <w:spacing w:before="134" w:line="183" w:lineRule="auto"/>
              <w:ind w:left="489"/>
              <w:rPr>
                <w:rFonts w:ascii="宋体" w:eastAsia="宋体" w:hAnsi="宋体" w:cs="宋体"/>
                <w:sz w:val="16"/>
                <w:szCs w:val="16"/>
              </w:rPr>
            </w:pPr>
            <w:r>
              <w:rPr>
                <w:rFonts w:ascii="宋体" w:eastAsia="宋体" w:hAnsi="宋体" w:cs="宋体"/>
                <w:sz w:val="16"/>
                <w:szCs w:val="16"/>
              </w:rPr>
              <w:t>4</w:t>
            </w:r>
          </w:p>
        </w:tc>
        <w:tc>
          <w:tcPr>
            <w:tcW w:w="1297" w:type="dxa"/>
          </w:tcPr>
          <w:p w:rsidR="00EA40A3" w:rsidRDefault="00E86C16">
            <w:pPr>
              <w:spacing w:before="143" w:line="178" w:lineRule="auto"/>
              <w:ind w:left="507"/>
              <w:rPr>
                <w:rFonts w:ascii="宋体" w:eastAsia="宋体" w:hAnsi="宋体" w:cs="宋体"/>
                <w:sz w:val="16"/>
                <w:szCs w:val="16"/>
              </w:rPr>
            </w:pPr>
            <w:r>
              <w:rPr>
                <w:rFonts w:ascii="宋体" w:eastAsia="宋体" w:hAnsi="宋体" w:cs="宋体"/>
                <w:spacing w:val="-2"/>
                <w:sz w:val="16"/>
                <w:szCs w:val="16"/>
              </w:rPr>
              <w:t>0.01</w:t>
            </w:r>
          </w:p>
        </w:tc>
      </w:tr>
      <w:tr w:rsidR="00EA40A3">
        <w:trPr>
          <w:trHeight w:val="253"/>
        </w:trPr>
        <w:tc>
          <w:tcPr>
            <w:tcW w:w="1167" w:type="dxa"/>
            <w:tcBorders>
              <w:bottom w:val="single" w:sz="4" w:space="0" w:color="000000"/>
            </w:tcBorders>
          </w:tcPr>
          <w:p w:rsidR="00EA40A3" w:rsidRDefault="00E86C16">
            <w:pPr>
              <w:spacing w:before="65" w:line="216" w:lineRule="auto"/>
              <w:ind w:left="150"/>
              <w:rPr>
                <w:rFonts w:ascii="宋体" w:eastAsia="宋体" w:hAnsi="宋体" w:cs="宋体"/>
                <w:sz w:val="16"/>
                <w:szCs w:val="16"/>
              </w:rPr>
            </w:pPr>
            <w:r>
              <w:rPr>
                <w:rFonts w:ascii="宋体" w:eastAsia="宋体" w:hAnsi="宋体" w:cs="宋体"/>
                <w:spacing w:val="-2"/>
                <w:sz w:val="16"/>
                <w:szCs w:val="16"/>
              </w:rPr>
              <w:t>红富士苹果</w:t>
            </w:r>
          </w:p>
        </w:tc>
        <w:tc>
          <w:tcPr>
            <w:tcW w:w="1191" w:type="dxa"/>
            <w:tcBorders>
              <w:bottom w:val="single" w:sz="4" w:space="0" w:color="000000"/>
            </w:tcBorders>
          </w:tcPr>
          <w:p w:rsidR="00EA40A3" w:rsidRDefault="00E86C16">
            <w:pPr>
              <w:spacing w:before="106" w:line="169" w:lineRule="auto"/>
              <w:ind w:left="503"/>
              <w:rPr>
                <w:rFonts w:ascii="宋体" w:eastAsia="宋体" w:hAnsi="宋体" w:cs="宋体"/>
                <w:sz w:val="16"/>
                <w:szCs w:val="16"/>
              </w:rPr>
            </w:pPr>
            <w:r>
              <w:rPr>
                <w:rFonts w:ascii="宋体" w:eastAsia="宋体" w:hAnsi="宋体" w:cs="宋体"/>
                <w:sz w:val="16"/>
                <w:szCs w:val="16"/>
              </w:rPr>
              <w:t>2</w:t>
            </w:r>
          </w:p>
        </w:tc>
        <w:tc>
          <w:tcPr>
            <w:tcW w:w="1252" w:type="dxa"/>
            <w:tcBorders>
              <w:bottom w:val="single" w:sz="4" w:space="0" w:color="000000"/>
              <w:right w:val="single" w:sz="4" w:space="0" w:color="000000"/>
            </w:tcBorders>
          </w:tcPr>
          <w:p w:rsidR="00EA40A3" w:rsidRDefault="00E86C16">
            <w:pPr>
              <w:spacing w:before="116" w:line="157" w:lineRule="auto"/>
              <w:ind w:left="471"/>
              <w:rPr>
                <w:rFonts w:ascii="宋体" w:eastAsia="宋体" w:hAnsi="宋体" w:cs="宋体"/>
                <w:sz w:val="16"/>
                <w:szCs w:val="16"/>
              </w:rPr>
            </w:pPr>
            <w:r>
              <w:rPr>
                <w:rFonts w:ascii="宋体" w:eastAsia="宋体" w:hAnsi="宋体" w:cs="宋体"/>
                <w:spacing w:val="-2"/>
                <w:sz w:val="16"/>
                <w:szCs w:val="16"/>
              </w:rPr>
              <w:t>0.60</w:t>
            </w:r>
          </w:p>
        </w:tc>
        <w:tc>
          <w:tcPr>
            <w:tcW w:w="1201" w:type="dxa"/>
            <w:tcBorders>
              <w:left w:val="single" w:sz="4" w:space="0" w:color="000000"/>
              <w:bottom w:val="single" w:sz="4" w:space="0" w:color="000000"/>
            </w:tcBorders>
          </w:tcPr>
          <w:p w:rsidR="00EA40A3" w:rsidRDefault="00E86C16">
            <w:pPr>
              <w:spacing w:before="56" w:line="220" w:lineRule="auto"/>
              <w:ind w:left="174"/>
              <w:rPr>
                <w:rFonts w:ascii="宋体" w:eastAsia="宋体" w:hAnsi="宋体" w:cs="宋体"/>
                <w:sz w:val="16"/>
                <w:szCs w:val="16"/>
              </w:rPr>
            </w:pPr>
            <w:r>
              <w:rPr>
                <w:rFonts w:ascii="宋体" w:eastAsia="宋体" w:hAnsi="宋体" w:cs="宋体"/>
                <w:spacing w:val="-1"/>
                <w:sz w:val="16"/>
                <w:szCs w:val="16"/>
              </w:rPr>
              <w:t>玫瑰香葡萄</w:t>
            </w:r>
          </w:p>
        </w:tc>
        <w:tc>
          <w:tcPr>
            <w:tcW w:w="1132" w:type="dxa"/>
            <w:tcBorders>
              <w:bottom w:val="single" w:sz="4" w:space="0" w:color="000000"/>
            </w:tcBorders>
          </w:tcPr>
          <w:p w:rsidR="00EA40A3" w:rsidRDefault="00E86C16">
            <w:pPr>
              <w:spacing w:before="126" w:line="126" w:lineRule="exact"/>
              <w:ind w:left="489"/>
              <w:rPr>
                <w:rFonts w:ascii="宋体" w:eastAsia="宋体" w:hAnsi="宋体" w:cs="宋体"/>
                <w:sz w:val="16"/>
                <w:szCs w:val="16"/>
              </w:rPr>
            </w:pPr>
            <w:r>
              <w:rPr>
                <w:rFonts w:ascii="宋体" w:eastAsia="宋体" w:hAnsi="宋体" w:cs="宋体"/>
                <w:position w:val="-2"/>
                <w:sz w:val="16"/>
                <w:szCs w:val="16"/>
              </w:rPr>
              <w:t>4</w:t>
            </w:r>
          </w:p>
        </w:tc>
        <w:tc>
          <w:tcPr>
            <w:tcW w:w="1297" w:type="dxa"/>
            <w:tcBorders>
              <w:bottom w:val="single" w:sz="4" w:space="0" w:color="000000"/>
            </w:tcBorders>
          </w:tcPr>
          <w:p w:rsidR="00EA40A3" w:rsidRDefault="00E86C16">
            <w:pPr>
              <w:spacing w:before="126" w:line="126" w:lineRule="exact"/>
              <w:ind w:left="496"/>
              <w:rPr>
                <w:rFonts w:ascii="宋体" w:eastAsia="宋体" w:hAnsi="宋体" w:cs="宋体"/>
                <w:sz w:val="16"/>
                <w:szCs w:val="16"/>
              </w:rPr>
            </w:pPr>
            <w:r>
              <w:rPr>
                <w:rFonts w:ascii="宋体" w:eastAsia="宋体" w:hAnsi="宋体" w:cs="宋体"/>
                <w:spacing w:val="-2"/>
                <w:position w:val="-2"/>
                <w:sz w:val="16"/>
                <w:szCs w:val="16"/>
              </w:rPr>
              <w:t>0.02</w:t>
            </w:r>
          </w:p>
        </w:tc>
      </w:tr>
    </w:tbl>
    <w:p w:rsidR="00EA40A3" w:rsidRDefault="00E86C16">
      <w:pPr>
        <w:spacing w:before="112" w:line="219" w:lineRule="auto"/>
        <w:ind w:left="390"/>
        <w:rPr>
          <w:rFonts w:ascii="宋体" w:eastAsia="宋体" w:hAnsi="宋体" w:cs="宋体"/>
          <w:sz w:val="17"/>
          <w:szCs w:val="17"/>
        </w:rPr>
      </w:pPr>
      <w:r>
        <w:rPr>
          <w:rFonts w:ascii="宋体" w:eastAsia="宋体" w:hAnsi="宋体" w:cs="宋体"/>
          <w:spacing w:val="-5"/>
          <w:sz w:val="17"/>
          <w:szCs w:val="17"/>
        </w:rPr>
        <w:t>*据中国农业大学食品检测中心1992年对12个猕猴桃品种</w:t>
      </w:r>
      <w:r>
        <w:rPr>
          <w:rFonts w:ascii="宋体" w:eastAsia="宋体" w:hAnsi="宋体" w:cs="宋体"/>
          <w:spacing w:val="-6"/>
          <w:sz w:val="17"/>
          <w:szCs w:val="17"/>
        </w:rPr>
        <w:t>的测定结果</w:t>
      </w:r>
    </w:p>
    <w:p w:rsidR="00EA40A3" w:rsidRDefault="00E86C16">
      <w:pPr>
        <w:spacing w:before="66" w:line="257" w:lineRule="auto"/>
        <w:ind w:left="390" w:right="12"/>
        <w:rPr>
          <w:rFonts w:ascii="宋体" w:eastAsia="宋体" w:hAnsi="宋体" w:cs="宋体"/>
          <w:sz w:val="17"/>
          <w:szCs w:val="17"/>
        </w:rPr>
      </w:pPr>
      <w:r>
        <w:rPr>
          <w:rFonts w:ascii="宋体" w:eastAsia="宋体" w:hAnsi="宋体" w:cs="宋体"/>
          <w:spacing w:val="-6"/>
          <w:sz w:val="17"/>
          <w:szCs w:val="17"/>
        </w:rPr>
        <w:t>资料来源：预防医学科学院食品营养与卫生研究所.1991.食品成分表(全国代表值).北京；人民卫</w:t>
      </w:r>
      <w:r>
        <w:rPr>
          <w:rFonts w:ascii="宋体" w:eastAsia="宋体" w:hAnsi="宋体" w:cs="宋体"/>
          <w:spacing w:val="3"/>
          <w:sz w:val="17"/>
          <w:szCs w:val="17"/>
        </w:rPr>
        <w:t xml:space="preserve"> </w:t>
      </w:r>
      <w:r>
        <w:rPr>
          <w:rFonts w:ascii="宋体" w:eastAsia="宋体" w:hAnsi="宋体" w:cs="宋体"/>
          <w:spacing w:val="-12"/>
          <w:sz w:val="17"/>
          <w:szCs w:val="17"/>
        </w:rPr>
        <w:t>生出版社</w:t>
      </w:r>
    </w:p>
    <w:p w:rsidR="00EA40A3" w:rsidRDefault="00EA40A3">
      <w:pPr>
        <w:spacing w:line="339" w:lineRule="auto"/>
      </w:pPr>
    </w:p>
    <w:p w:rsidR="00EA40A3" w:rsidRDefault="00E86C16">
      <w:pPr>
        <w:spacing w:before="66" w:line="273" w:lineRule="auto"/>
        <w:ind w:firstLine="390"/>
        <w:jc w:val="both"/>
        <w:rPr>
          <w:rFonts w:ascii="宋体" w:eastAsia="宋体" w:hAnsi="宋体" w:cs="宋体"/>
          <w:sz w:val="20"/>
          <w:szCs w:val="20"/>
        </w:rPr>
      </w:pPr>
      <w:r>
        <w:rPr>
          <w:rFonts w:ascii="宋体" w:eastAsia="宋体" w:hAnsi="宋体" w:cs="宋体"/>
          <w:spacing w:val="12"/>
          <w:sz w:val="20"/>
          <w:szCs w:val="20"/>
        </w:rPr>
        <w:t>在各类水果中，柑橘类是维生素</w:t>
      </w:r>
      <w:r>
        <w:rPr>
          <w:rFonts w:ascii="宋体" w:eastAsia="宋体" w:hAnsi="宋体" w:cs="宋体"/>
          <w:spacing w:val="-60"/>
          <w:sz w:val="20"/>
          <w:szCs w:val="20"/>
        </w:rPr>
        <w:t xml:space="preserve"> </w:t>
      </w:r>
      <w:r>
        <w:rPr>
          <w:rFonts w:ascii="宋体" w:eastAsia="宋体" w:hAnsi="宋体" w:cs="宋体"/>
          <w:spacing w:val="12"/>
          <w:sz w:val="20"/>
          <w:szCs w:val="20"/>
        </w:rPr>
        <w:t>C</w:t>
      </w:r>
      <w:r>
        <w:rPr>
          <w:rFonts w:ascii="宋体" w:eastAsia="宋体" w:hAnsi="宋体" w:cs="宋体"/>
          <w:spacing w:val="26"/>
          <w:sz w:val="20"/>
          <w:szCs w:val="20"/>
        </w:rPr>
        <w:t xml:space="preserve"> </w:t>
      </w:r>
      <w:r>
        <w:rPr>
          <w:rFonts w:ascii="宋体" w:eastAsia="宋体" w:hAnsi="宋体" w:cs="宋体"/>
          <w:spacing w:val="12"/>
          <w:sz w:val="20"/>
          <w:szCs w:val="20"/>
        </w:rPr>
        <w:t>的良好来源，包括橘、橙、柑、柚、</w:t>
      </w:r>
      <w:r>
        <w:rPr>
          <w:rFonts w:ascii="宋体" w:eastAsia="宋体" w:hAnsi="宋体" w:cs="宋体"/>
          <w:spacing w:val="11"/>
          <w:sz w:val="20"/>
          <w:szCs w:val="20"/>
        </w:rPr>
        <w:t>柠</w:t>
      </w:r>
      <w:r>
        <w:rPr>
          <w:rFonts w:ascii="宋体" w:eastAsia="宋体" w:hAnsi="宋体" w:cs="宋体"/>
          <w:sz w:val="20"/>
          <w:szCs w:val="20"/>
        </w:rPr>
        <w:t xml:space="preserve">  </w:t>
      </w:r>
      <w:r>
        <w:rPr>
          <w:rFonts w:ascii="宋体" w:eastAsia="宋体" w:hAnsi="宋体" w:cs="宋体"/>
          <w:spacing w:val="13"/>
          <w:sz w:val="20"/>
          <w:szCs w:val="20"/>
        </w:rPr>
        <w:t>檬等，可以一年四季提供充足的鲜果和果汁。草莓、山楂、酸枣、鲜枣、猕猴</w:t>
      </w:r>
      <w:r>
        <w:rPr>
          <w:rFonts w:ascii="宋体" w:eastAsia="宋体" w:hAnsi="宋体" w:cs="宋体"/>
          <w:spacing w:val="7"/>
          <w:sz w:val="20"/>
          <w:szCs w:val="20"/>
        </w:rPr>
        <w:t xml:space="preserve">  </w:t>
      </w:r>
      <w:r>
        <w:rPr>
          <w:rFonts w:ascii="宋体" w:eastAsia="宋体" w:hAnsi="宋体" w:cs="宋体"/>
          <w:spacing w:val="12"/>
          <w:sz w:val="20"/>
          <w:szCs w:val="20"/>
        </w:rPr>
        <w:t>桃、龙眼等也是某些季节中维生素</w:t>
      </w:r>
      <w:r>
        <w:rPr>
          <w:rFonts w:ascii="宋体" w:eastAsia="宋体" w:hAnsi="宋体" w:cs="宋体"/>
          <w:spacing w:val="-50"/>
          <w:sz w:val="20"/>
          <w:szCs w:val="20"/>
        </w:rPr>
        <w:t xml:space="preserve"> </w:t>
      </w:r>
      <w:r>
        <w:rPr>
          <w:rFonts w:ascii="宋体" w:eastAsia="宋体" w:hAnsi="宋体" w:cs="宋体"/>
          <w:spacing w:val="12"/>
          <w:sz w:val="20"/>
          <w:szCs w:val="20"/>
        </w:rPr>
        <w:t>C</w:t>
      </w:r>
      <w:r>
        <w:rPr>
          <w:rFonts w:ascii="宋体" w:eastAsia="宋体" w:hAnsi="宋体" w:cs="宋体"/>
          <w:spacing w:val="6"/>
          <w:sz w:val="20"/>
          <w:szCs w:val="20"/>
        </w:rPr>
        <w:t xml:space="preserve"> </w:t>
      </w:r>
      <w:r>
        <w:rPr>
          <w:rFonts w:ascii="宋体" w:eastAsia="宋体" w:hAnsi="宋体" w:cs="宋体"/>
          <w:spacing w:val="12"/>
          <w:sz w:val="20"/>
          <w:szCs w:val="20"/>
        </w:rPr>
        <w:t>的优良来源。热带水果多含有较为丰富的</w:t>
      </w:r>
      <w:r>
        <w:rPr>
          <w:rFonts w:ascii="宋体" w:eastAsia="宋体" w:hAnsi="宋体" w:cs="宋体"/>
          <w:sz w:val="20"/>
          <w:szCs w:val="20"/>
        </w:rPr>
        <w:t xml:space="preserve">  </w:t>
      </w:r>
      <w:r>
        <w:rPr>
          <w:rFonts w:ascii="宋体" w:eastAsia="宋体" w:hAnsi="宋体" w:cs="宋体"/>
          <w:spacing w:val="16"/>
          <w:sz w:val="20"/>
          <w:szCs w:val="20"/>
        </w:rPr>
        <w:t>维生素C,</w:t>
      </w:r>
      <w:r>
        <w:rPr>
          <w:rFonts w:ascii="宋体" w:eastAsia="宋体" w:hAnsi="宋体" w:cs="宋体"/>
          <w:spacing w:val="56"/>
          <w:sz w:val="20"/>
          <w:szCs w:val="20"/>
        </w:rPr>
        <w:t xml:space="preserve"> </w:t>
      </w:r>
      <w:r>
        <w:rPr>
          <w:rFonts w:ascii="宋体" w:eastAsia="宋体" w:hAnsi="宋体" w:cs="宋体"/>
          <w:spacing w:val="16"/>
          <w:sz w:val="20"/>
          <w:szCs w:val="20"/>
        </w:rPr>
        <w:t>半野生水果则维生素</w:t>
      </w:r>
      <w:r>
        <w:rPr>
          <w:rFonts w:ascii="宋体" w:eastAsia="宋体" w:hAnsi="宋体" w:cs="宋体"/>
          <w:spacing w:val="-50"/>
          <w:sz w:val="20"/>
          <w:szCs w:val="20"/>
        </w:rPr>
        <w:t xml:space="preserve"> </w:t>
      </w:r>
      <w:r>
        <w:rPr>
          <w:rFonts w:ascii="宋体" w:eastAsia="宋体" w:hAnsi="宋体" w:cs="宋体"/>
          <w:spacing w:val="16"/>
          <w:sz w:val="20"/>
          <w:szCs w:val="20"/>
        </w:rPr>
        <w:t>C</w:t>
      </w:r>
      <w:r>
        <w:rPr>
          <w:rFonts w:ascii="宋体" w:eastAsia="宋体" w:hAnsi="宋体" w:cs="宋体"/>
          <w:spacing w:val="6"/>
          <w:sz w:val="20"/>
          <w:szCs w:val="20"/>
        </w:rPr>
        <w:t xml:space="preserve"> </w:t>
      </w:r>
      <w:r>
        <w:rPr>
          <w:rFonts w:ascii="宋体" w:eastAsia="宋体" w:hAnsi="宋体" w:cs="宋体"/>
          <w:spacing w:val="16"/>
          <w:sz w:val="20"/>
          <w:szCs w:val="20"/>
        </w:rPr>
        <w:t>含量普遍超过普通栽培水</w:t>
      </w:r>
      <w:r>
        <w:rPr>
          <w:rFonts w:ascii="宋体" w:eastAsia="宋体" w:hAnsi="宋体" w:cs="宋体"/>
          <w:spacing w:val="15"/>
          <w:sz w:val="20"/>
          <w:szCs w:val="20"/>
        </w:rPr>
        <w:t>果。然而，苹果、</w:t>
      </w:r>
      <w:r>
        <w:rPr>
          <w:rFonts w:ascii="宋体" w:eastAsia="宋体" w:hAnsi="宋体" w:cs="宋体"/>
          <w:sz w:val="20"/>
          <w:szCs w:val="20"/>
        </w:rPr>
        <w:t xml:space="preserve"> </w:t>
      </w:r>
      <w:r>
        <w:rPr>
          <w:rFonts w:ascii="宋体" w:eastAsia="宋体" w:hAnsi="宋体" w:cs="宋体"/>
          <w:spacing w:val="7"/>
          <w:sz w:val="20"/>
          <w:szCs w:val="20"/>
        </w:rPr>
        <w:t>梨、桃等消费量最大的温带水果在提供维生素C</w:t>
      </w:r>
      <w:r>
        <w:rPr>
          <w:rFonts w:ascii="宋体" w:eastAsia="宋体" w:hAnsi="宋体" w:cs="宋体"/>
          <w:spacing w:val="-7"/>
          <w:sz w:val="20"/>
          <w:szCs w:val="20"/>
        </w:rPr>
        <w:t xml:space="preserve"> </w:t>
      </w:r>
      <w:r>
        <w:rPr>
          <w:rFonts w:ascii="宋体" w:eastAsia="宋体" w:hAnsi="宋体" w:cs="宋体"/>
          <w:spacing w:val="7"/>
          <w:sz w:val="20"/>
          <w:szCs w:val="20"/>
        </w:rPr>
        <w:t>方面意义不大。</w:t>
      </w:r>
    </w:p>
    <w:p w:rsidR="00EA40A3" w:rsidRDefault="00E86C16">
      <w:pPr>
        <w:spacing w:before="75" w:line="268" w:lineRule="auto"/>
        <w:ind w:right="90" w:firstLine="390"/>
        <w:jc w:val="both"/>
        <w:rPr>
          <w:rFonts w:ascii="宋体" w:eastAsia="宋体" w:hAnsi="宋体" w:cs="宋体"/>
          <w:sz w:val="20"/>
          <w:szCs w:val="20"/>
        </w:rPr>
      </w:pPr>
      <w:r>
        <w:rPr>
          <w:rFonts w:ascii="宋体" w:eastAsia="宋体" w:hAnsi="宋体" w:cs="宋体"/>
          <w:spacing w:val="9"/>
          <w:sz w:val="20"/>
          <w:szCs w:val="20"/>
        </w:rPr>
        <w:t>具有黄色和橙色的水果可提供类胡萝卜素。水果中常见的胡萝卜素是α-胡</w:t>
      </w:r>
      <w:r>
        <w:rPr>
          <w:rFonts w:ascii="宋体" w:eastAsia="宋体" w:hAnsi="宋体" w:cs="宋体"/>
          <w:spacing w:val="7"/>
          <w:sz w:val="20"/>
          <w:szCs w:val="20"/>
        </w:rPr>
        <w:t xml:space="preserve"> </w:t>
      </w:r>
      <w:r>
        <w:rPr>
          <w:rFonts w:ascii="宋体" w:eastAsia="宋体" w:hAnsi="宋体" w:cs="宋体"/>
          <w:spacing w:val="4"/>
          <w:sz w:val="20"/>
          <w:szCs w:val="20"/>
        </w:rPr>
        <w:t>萝卜素、β-胡萝卜素、番茄红素、玉米黄素和隐黄素等。西瓜和粉红色葡萄柚的</w:t>
      </w:r>
      <w:r>
        <w:rPr>
          <w:rFonts w:ascii="宋体" w:eastAsia="宋体" w:hAnsi="宋体" w:cs="宋体"/>
          <w:sz w:val="20"/>
          <w:szCs w:val="20"/>
        </w:rPr>
        <w:t xml:space="preserve"> </w:t>
      </w:r>
      <w:r>
        <w:rPr>
          <w:rFonts w:ascii="宋体" w:eastAsia="宋体" w:hAnsi="宋体" w:cs="宋体"/>
          <w:spacing w:val="7"/>
          <w:sz w:val="20"/>
          <w:szCs w:val="20"/>
        </w:rPr>
        <w:t>主要类胡萝卜素是番茄红素。除了柑橘类和杏、黄桃之外，其他富</w:t>
      </w:r>
      <w:r>
        <w:rPr>
          <w:rFonts w:ascii="宋体" w:eastAsia="宋体" w:hAnsi="宋体" w:cs="宋体"/>
          <w:spacing w:val="6"/>
          <w:sz w:val="20"/>
          <w:szCs w:val="20"/>
        </w:rPr>
        <w:t>含类胡萝卜素</w:t>
      </w:r>
      <w:r>
        <w:rPr>
          <w:rFonts w:ascii="宋体" w:eastAsia="宋体" w:hAnsi="宋体" w:cs="宋体"/>
          <w:sz w:val="20"/>
          <w:szCs w:val="20"/>
        </w:rPr>
        <w:t xml:space="preserve"> </w:t>
      </w:r>
      <w:r>
        <w:rPr>
          <w:rFonts w:ascii="宋体" w:eastAsia="宋体" w:hAnsi="宋体" w:cs="宋体"/>
          <w:spacing w:val="7"/>
          <w:sz w:val="20"/>
          <w:szCs w:val="20"/>
        </w:rPr>
        <w:t>的水果包括芒果、木瓜、黄肉甜瓜、西番莲和柿子。然而，果肉颜色浅的水果所</w:t>
      </w:r>
      <w:r>
        <w:rPr>
          <w:rFonts w:ascii="宋体" w:eastAsia="宋体" w:hAnsi="宋体" w:cs="宋体"/>
          <w:spacing w:val="10"/>
          <w:sz w:val="20"/>
          <w:szCs w:val="20"/>
        </w:rPr>
        <w:t xml:space="preserve"> </w:t>
      </w:r>
      <w:r>
        <w:rPr>
          <w:rFonts w:ascii="宋体" w:eastAsia="宋体" w:hAnsi="宋体" w:cs="宋体"/>
          <w:spacing w:val="7"/>
          <w:sz w:val="20"/>
          <w:szCs w:val="20"/>
        </w:rPr>
        <w:t>含类胡萝卜素甚少，大多数水果在胡萝卜素供应方面不及绿叶蔬菜和橙黄色蔬菜</w:t>
      </w:r>
      <w:r>
        <w:rPr>
          <w:rFonts w:ascii="宋体" w:eastAsia="宋体" w:hAnsi="宋体" w:cs="宋体"/>
          <w:spacing w:val="13"/>
          <w:sz w:val="20"/>
          <w:szCs w:val="20"/>
        </w:rPr>
        <w:t xml:space="preserve"> </w:t>
      </w:r>
      <w:r>
        <w:rPr>
          <w:rFonts w:ascii="宋体" w:eastAsia="宋体" w:hAnsi="宋体" w:cs="宋体"/>
          <w:spacing w:val="-9"/>
          <w:sz w:val="20"/>
          <w:szCs w:val="20"/>
        </w:rPr>
        <w:t>重要。</w:t>
      </w:r>
    </w:p>
    <w:p w:rsidR="00EA40A3" w:rsidRDefault="00E86C16">
      <w:pPr>
        <w:spacing w:before="115" w:line="273" w:lineRule="auto"/>
        <w:ind w:right="88" w:firstLine="390"/>
        <w:jc w:val="both"/>
        <w:rPr>
          <w:rFonts w:ascii="宋体" w:eastAsia="宋体" w:hAnsi="宋体" w:cs="宋体"/>
          <w:sz w:val="20"/>
          <w:szCs w:val="20"/>
        </w:rPr>
      </w:pPr>
      <w:r>
        <w:rPr>
          <w:rFonts w:ascii="宋体" w:eastAsia="宋体" w:hAnsi="宋体" w:cs="宋体"/>
          <w:spacing w:val="7"/>
          <w:sz w:val="20"/>
          <w:szCs w:val="20"/>
        </w:rPr>
        <w:t>水果中维生素的含量受到种类、品种的影响，也受到成熟度、栽培</w:t>
      </w:r>
      <w:r>
        <w:rPr>
          <w:rFonts w:ascii="宋体" w:eastAsia="宋体" w:hAnsi="宋体" w:cs="宋体"/>
          <w:spacing w:val="6"/>
          <w:sz w:val="20"/>
          <w:szCs w:val="20"/>
        </w:rPr>
        <w:t>地域、肥</w:t>
      </w:r>
      <w:r>
        <w:rPr>
          <w:rFonts w:ascii="宋体" w:eastAsia="宋体" w:hAnsi="宋体" w:cs="宋体"/>
          <w:sz w:val="20"/>
          <w:szCs w:val="20"/>
        </w:rPr>
        <w:t xml:space="preserve"> </w:t>
      </w:r>
      <w:r>
        <w:rPr>
          <w:rFonts w:ascii="宋体" w:eastAsia="宋体" w:hAnsi="宋体" w:cs="宋体"/>
          <w:spacing w:val="7"/>
          <w:sz w:val="20"/>
          <w:szCs w:val="20"/>
        </w:rPr>
        <w:t>水管理、气候条件、采收成熟度、储藏时间等的影响，因此即使同一品种，也可</w:t>
      </w:r>
      <w:r>
        <w:rPr>
          <w:rFonts w:ascii="宋体" w:eastAsia="宋体" w:hAnsi="宋体" w:cs="宋体"/>
          <w:spacing w:val="12"/>
          <w:sz w:val="20"/>
          <w:szCs w:val="20"/>
        </w:rPr>
        <w:t xml:space="preserve"> 能产生较大的差异。此外，水果不同部位的维生素</w:t>
      </w:r>
      <w:r>
        <w:rPr>
          <w:rFonts w:ascii="宋体" w:eastAsia="宋体" w:hAnsi="宋体" w:cs="宋体"/>
          <w:spacing w:val="-54"/>
          <w:sz w:val="20"/>
          <w:szCs w:val="20"/>
        </w:rPr>
        <w:t xml:space="preserve"> </w:t>
      </w:r>
      <w:r>
        <w:rPr>
          <w:rFonts w:ascii="宋体" w:eastAsia="宋体" w:hAnsi="宋体" w:cs="宋体"/>
          <w:spacing w:val="12"/>
          <w:sz w:val="20"/>
          <w:szCs w:val="20"/>
        </w:rPr>
        <w:t>C</w:t>
      </w:r>
      <w:r>
        <w:rPr>
          <w:rFonts w:ascii="宋体" w:eastAsia="宋体" w:hAnsi="宋体" w:cs="宋体"/>
          <w:spacing w:val="6"/>
          <w:sz w:val="20"/>
          <w:szCs w:val="20"/>
        </w:rPr>
        <w:t xml:space="preserve"> </w:t>
      </w:r>
      <w:r>
        <w:rPr>
          <w:rFonts w:ascii="宋体" w:eastAsia="宋体" w:hAnsi="宋体" w:cs="宋体"/>
          <w:spacing w:val="12"/>
          <w:sz w:val="20"/>
          <w:szCs w:val="20"/>
        </w:rPr>
        <w:t>含量有所差异。对于苹果</w:t>
      </w:r>
      <w:r>
        <w:rPr>
          <w:rFonts w:ascii="宋体" w:eastAsia="宋体" w:hAnsi="宋体" w:cs="宋体"/>
          <w:sz w:val="20"/>
          <w:szCs w:val="20"/>
        </w:rPr>
        <w:t xml:space="preserve"> </w:t>
      </w:r>
      <w:r>
        <w:rPr>
          <w:rFonts w:ascii="宋体" w:eastAsia="宋体" w:hAnsi="宋体" w:cs="宋体"/>
          <w:spacing w:val="12"/>
          <w:sz w:val="20"/>
          <w:szCs w:val="20"/>
        </w:rPr>
        <w:t>来说，靠近外皮的果肉部分维生素</w:t>
      </w:r>
      <w:r>
        <w:rPr>
          <w:rFonts w:ascii="宋体" w:eastAsia="宋体" w:hAnsi="宋体" w:cs="宋体"/>
          <w:spacing w:val="-47"/>
          <w:sz w:val="20"/>
          <w:szCs w:val="20"/>
        </w:rPr>
        <w:t xml:space="preserve"> </w:t>
      </w:r>
      <w:r>
        <w:rPr>
          <w:rFonts w:ascii="宋体" w:eastAsia="宋体" w:hAnsi="宋体" w:cs="宋体"/>
          <w:spacing w:val="12"/>
          <w:sz w:val="20"/>
          <w:szCs w:val="20"/>
        </w:rPr>
        <w:t>C</w:t>
      </w:r>
      <w:r>
        <w:rPr>
          <w:rFonts w:ascii="宋体" w:eastAsia="宋体" w:hAnsi="宋体" w:cs="宋体"/>
          <w:spacing w:val="-4"/>
          <w:sz w:val="20"/>
          <w:szCs w:val="20"/>
        </w:rPr>
        <w:t xml:space="preserve"> </w:t>
      </w:r>
      <w:r>
        <w:rPr>
          <w:rFonts w:ascii="宋体" w:eastAsia="宋体" w:hAnsi="宋体" w:cs="宋体"/>
          <w:spacing w:val="12"/>
          <w:sz w:val="20"/>
          <w:szCs w:val="20"/>
        </w:rPr>
        <w:t>含量较高，而甜瓜则以靠近种子的部位维</w:t>
      </w:r>
      <w:r>
        <w:rPr>
          <w:rFonts w:ascii="宋体" w:eastAsia="宋体" w:hAnsi="宋体" w:cs="宋体"/>
          <w:sz w:val="20"/>
          <w:szCs w:val="20"/>
        </w:rPr>
        <w:t xml:space="preserve"> 生素</w:t>
      </w:r>
      <w:r>
        <w:rPr>
          <w:rFonts w:ascii="宋体" w:eastAsia="宋体" w:hAnsi="宋体" w:cs="宋体"/>
          <w:spacing w:val="-48"/>
          <w:sz w:val="20"/>
          <w:szCs w:val="20"/>
        </w:rPr>
        <w:t xml:space="preserve"> </w:t>
      </w:r>
      <w:r>
        <w:rPr>
          <w:rFonts w:ascii="宋体" w:eastAsia="宋体" w:hAnsi="宋体" w:cs="宋体"/>
          <w:sz w:val="20"/>
          <w:szCs w:val="20"/>
        </w:rPr>
        <w:t>C</w:t>
      </w:r>
      <w:r>
        <w:rPr>
          <w:rFonts w:ascii="宋体" w:eastAsia="宋体" w:hAnsi="宋体" w:cs="宋体"/>
          <w:spacing w:val="-3"/>
          <w:sz w:val="20"/>
          <w:szCs w:val="20"/>
        </w:rPr>
        <w:t xml:space="preserve"> </w:t>
      </w:r>
      <w:r>
        <w:rPr>
          <w:rFonts w:ascii="宋体" w:eastAsia="宋体" w:hAnsi="宋体" w:cs="宋体"/>
          <w:sz w:val="20"/>
          <w:szCs w:val="20"/>
        </w:rPr>
        <w:t>含量较高。</w:t>
      </w:r>
    </w:p>
    <w:p w:rsidR="00EA40A3" w:rsidRDefault="00E86C16">
      <w:pPr>
        <w:spacing w:before="73" w:line="261" w:lineRule="auto"/>
        <w:ind w:right="131" w:firstLine="390"/>
        <w:jc w:val="both"/>
        <w:rPr>
          <w:rFonts w:ascii="宋体" w:eastAsia="宋体" w:hAnsi="宋体" w:cs="宋体"/>
          <w:sz w:val="20"/>
          <w:szCs w:val="20"/>
        </w:rPr>
      </w:pPr>
      <w:r>
        <w:rPr>
          <w:rFonts w:ascii="宋体" w:eastAsia="宋体" w:hAnsi="宋体" w:cs="宋体"/>
          <w:spacing w:val="12"/>
          <w:sz w:val="20"/>
          <w:szCs w:val="20"/>
        </w:rPr>
        <w:t>水果加工品中的维生素C</w:t>
      </w:r>
      <w:r>
        <w:rPr>
          <w:rFonts w:ascii="宋体" w:eastAsia="宋体" w:hAnsi="宋体" w:cs="宋体"/>
          <w:spacing w:val="43"/>
          <w:sz w:val="20"/>
          <w:szCs w:val="20"/>
        </w:rPr>
        <w:t xml:space="preserve"> </w:t>
      </w:r>
      <w:r>
        <w:rPr>
          <w:rFonts w:ascii="宋体" w:eastAsia="宋体" w:hAnsi="宋体" w:cs="宋体"/>
          <w:spacing w:val="12"/>
          <w:sz w:val="20"/>
          <w:szCs w:val="20"/>
        </w:rPr>
        <w:t>含量有所下降，但柑橘汁和山楂汁酸性较强，可</w:t>
      </w:r>
      <w:r>
        <w:rPr>
          <w:rFonts w:ascii="宋体" w:eastAsia="宋体" w:hAnsi="宋体" w:cs="宋体"/>
          <w:sz w:val="20"/>
          <w:szCs w:val="20"/>
        </w:rPr>
        <w:t xml:space="preserve"> </w:t>
      </w:r>
      <w:r>
        <w:rPr>
          <w:rFonts w:ascii="宋体" w:eastAsia="宋体" w:hAnsi="宋体" w:cs="宋体"/>
          <w:spacing w:val="6"/>
          <w:sz w:val="20"/>
          <w:szCs w:val="20"/>
        </w:rPr>
        <w:t>保留较多的维生素C。</w:t>
      </w:r>
      <w:r>
        <w:rPr>
          <w:rFonts w:ascii="宋体" w:eastAsia="宋体" w:hAnsi="宋体" w:cs="宋体"/>
          <w:spacing w:val="10"/>
          <w:sz w:val="20"/>
          <w:szCs w:val="20"/>
        </w:rPr>
        <w:t xml:space="preserve"> </w:t>
      </w:r>
      <w:r>
        <w:rPr>
          <w:rFonts w:ascii="宋体" w:eastAsia="宋体" w:hAnsi="宋体" w:cs="宋体"/>
          <w:spacing w:val="6"/>
          <w:sz w:val="20"/>
          <w:szCs w:val="20"/>
        </w:rPr>
        <w:t>干制水果中的维生素C</w:t>
      </w:r>
      <w:r>
        <w:rPr>
          <w:rFonts w:ascii="宋体" w:eastAsia="宋体" w:hAnsi="宋体" w:cs="宋体"/>
          <w:spacing w:val="-4"/>
          <w:sz w:val="20"/>
          <w:szCs w:val="20"/>
        </w:rPr>
        <w:t xml:space="preserve"> </w:t>
      </w:r>
      <w:r>
        <w:rPr>
          <w:rFonts w:ascii="宋体" w:eastAsia="宋体" w:hAnsi="宋体" w:cs="宋体"/>
          <w:spacing w:val="6"/>
          <w:sz w:val="20"/>
          <w:szCs w:val="20"/>
        </w:rPr>
        <w:t>破坏较为严重。</w:t>
      </w:r>
    </w:p>
    <w:p w:rsidR="00EA40A3" w:rsidRDefault="00EA40A3">
      <w:pPr>
        <w:sectPr w:rsidR="00EA40A3">
          <w:footerReference w:type="default" r:id="rId176"/>
          <w:pgSz w:w="9220" w:h="13360"/>
          <w:pgMar w:top="400" w:right="959" w:bottom="1226" w:left="910" w:header="0" w:footer="1005" w:gutter="0"/>
          <w:cols w:space="720"/>
        </w:sectPr>
      </w:pPr>
    </w:p>
    <w:p w:rsidR="00EA40A3" w:rsidRDefault="00825D12">
      <w:pPr>
        <w:spacing w:line="243" w:lineRule="auto"/>
      </w:pPr>
      <w:r>
        <w:rPr>
          <w:noProof/>
        </w:rPr>
        <w:lastRenderedPageBreak/>
        <mc:AlternateContent>
          <mc:Choice Requires="wps">
            <w:drawing>
              <wp:anchor distT="0" distB="0" distL="114300" distR="114300" simplePos="0" relativeHeight="251700224" behindDoc="0" locked="0" layoutInCell="0" allowOverlap="1">
                <wp:simplePos x="0" y="0"/>
                <wp:positionH relativeFrom="page">
                  <wp:posOffset>520700</wp:posOffset>
                </wp:positionH>
                <wp:positionV relativeFrom="page">
                  <wp:posOffset>2543175</wp:posOffset>
                </wp:positionV>
                <wp:extent cx="4667250" cy="6350"/>
                <wp:effectExtent l="6350" t="9525" r="12700" b="3175"/>
                <wp:wrapNone/>
                <wp:docPr id="13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0" cy="6350"/>
                        </a:xfrm>
                        <a:custGeom>
                          <a:avLst/>
                          <a:gdLst>
                            <a:gd name="T0" fmla="*/ 0 w 7350"/>
                            <a:gd name="T1" fmla="*/ 5 h 10"/>
                            <a:gd name="T2" fmla="*/ 1309 w 7350"/>
                            <a:gd name="T3" fmla="*/ 5 h 10"/>
                            <a:gd name="T4" fmla="*/ 1309 w 7350"/>
                            <a:gd name="T5" fmla="*/ 5 h 10"/>
                            <a:gd name="T6" fmla="*/ 2449 w 7350"/>
                            <a:gd name="T7" fmla="*/ 5 h 10"/>
                            <a:gd name="T8" fmla="*/ 2449 w 7350"/>
                            <a:gd name="T9" fmla="*/ 5 h 10"/>
                            <a:gd name="T10" fmla="*/ 3699 w 7350"/>
                            <a:gd name="T11" fmla="*/ 5 h 10"/>
                            <a:gd name="T12" fmla="*/ 3699 w 7350"/>
                            <a:gd name="T13" fmla="*/ 5 h 10"/>
                            <a:gd name="T14" fmla="*/ 4929 w 7350"/>
                            <a:gd name="T15" fmla="*/ 5 h 10"/>
                            <a:gd name="T16" fmla="*/ 4929 w 7350"/>
                            <a:gd name="T17" fmla="*/ 5 h 10"/>
                            <a:gd name="T18" fmla="*/ 7350 w 7350"/>
                            <a:gd name="T19" fmla="*/ 5 h 10"/>
                            <a:gd name="T20" fmla="*/ 0 w 7350"/>
                            <a:gd name="T21" fmla="*/ 5 h 10"/>
                            <a:gd name="T22" fmla="*/ 1309 w 7350"/>
                            <a:gd name="T23" fmla="*/ 5 h 10"/>
                            <a:gd name="T24" fmla="*/ 1309 w 7350"/>
                            <a:gd name="T25" fmla="*/ 5 h 10"/>
                            <a:gd name="T26" fmla="*/ 2449 w 7350"/>
                            <a:gd name="T27" fmla="*/ 5 h 10"/>
                            <a:gd name="T28" fmla="*/ 2449 w 7350"/>
                            <a:gd name="T29" fmla="*/ 5 h 10"/>
                            <a:gd name="T30" fmla="*/ 3699 w 7350"/>
                            <a:gd name="T31" fmla="*/ 5 h 10"/>
                            <a:gd name="T32" fmla="*/ 3699 w 7350"/>
                            <a:gd name="T33" fmla="*/ 5 h 10"/>
                            <a:gd name="T34" fmla="*/ 4929 w 7350"/>
                            <a:gd name="T35" fmla="*/ 5 h 10"/>
                            <a:gd name="T36" fmla="*/ 4929 w 7350"/>
                            <a:gd name="T37" fmla="*/ 5 h 10"/>
                            <a:gd name="T38" fmla="*/ 6209 w 7350"/>
                            <a:gd name="T39" fmla="*/ 5 h 10"/>
                            <a:gd name="T40" fmla="*/ 6209 w 7350"/>
                            <a:gd name="T41" fmla="*/ 5 h 10"/>
                            <a:gd name="T42" fmla="*/ 7350 w 7350"/>
                            <a:gd name="T43"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50" h="10">
                              <a:moveTo>
                                <a:pt x="0" y="5"/>
                              </a:moveTo>
                              <a:lnTo>
                                <a:pt x="1309" y="5"/>
                              </a:lnTo>
                              <a:moveTo>
                                <a:pt x="1309" y="5"/>
                              </a:moveTo>
                              <a:lnTo>
                                <a:pt x="2449" y="5"/>
                              </a:lnTo>
                              <a:moveTo>
                                <a:pt x="2449" y="5"/>
                              </a:moveTo>
                              <a:lnTo>
                                <a:pt x="3699" y="5"/>
                              </a:lnTo>
                              <a:moveTo>
                                <a:pt x="3699" y="5"/>
                              </a:moveTo>
                              <a:lnTo>
                                <a:pt x="4929" y="5"/>
                              </a:lnTo>
                              <a:moveTo>
                                <a:pt x="4929" y="5"/>
                              </a:moveTo>
                              <a:lnTo>
                                <a:pt x="7350" y="5"/>
                              </a:lnTo>
                              <a:moveTo>
                                <a:pt x="0" y="5"/>
                              </a:moveTo>
                              <a:lnTo>
                                <a:pt x="1309" y="5"/>
                              </a:lnTo>
                              <a:moveTo>
                                <a:pt x="1309" y="5"/>
                              </a:moveTo>
                              <a:lnTo>
                                <a:pt x="2449" y="5"/>
                              </a:lnTo>
                              <a:moveTo>
                                <a:pt x="2449" y="5"/>
                              </a:moveTo>
                              <a:lnTo>
                                <a:pt x="3699" y="5"/>
                              </a:lnTo>
                              <a:moveTo>
                                <a:pt x="3699" y="5"/>
                              </a:moveTo>
                              <a:lnTo>
                                <a:pt x="4929" y="5"/>
                              </a:lnTo>
                              <a:moveTo>
                                <a:pt x="4929" y="5"/>
                              </a:moveTo>
                              <a:lnTo>
                                <a:pt x="6209" y="5"/>
                              </a:lnTo>
                              <a:moveTo>
                                <a:pt x="6209" y="5"/>
                              </a:moveTo>
                              <a:lnTo>
                                <a:pt x="735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B2A6F" id="AutoShape 28" o:spid="_x0000_s1026" style="position:absolute;left:0;text-align:left;margin-left:41pt;margin-top:200.25pt;width:367.5pt;height:.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" o:allowincell="f" path="m,5r1309,m1309,5r1140,m2449,5r1250,m3699,5r1230,m4929,5r2421,m,5r1309,m1309,5r1140,m2449,5r1250,m3699,5r1230,m4929,5r1280,m6209,5r1141,e" filled="f" strokeweight=".5pt">
                <v:stroke miterlimit="10" joinstyle="miter"/>
                <v:path o:connecttype="custom" o:connectlocs="0,3175;831215,3175;831215,3175;1555115,3175;1555115,3175;2348865,3175;2348865,3175;3129915,3175;3129915,3175;4667250,3175;0,3175;831215,3175;831215,3175;1555115,3175;1555115,3175;2348865,3175;2348865,3175;3129915,3175;3129915,3175;3942715,3175;3942715,3175;4667250,3175" o:connectangles="0,0,0,0,0,0,0,0,0,0,0,0,0,0,0,0,0,0,0,0,0,0"/>
                <w10:wrap anchorx="page" anchory="page"/>
              </v:shape>
            </w:pict>
          </mc:Fallback>
        </mc:AlternateContent>
      </w:r>
    </w:p>
    <w:p w:rsidR="00EA40A3" w:rsidRDefault="00EA40A3">
      <w:pPr>
        <w:spacing w:line="243" w:lineRule="auto"/>
      </w:pPr>
    </w:p>
    <w:p w:rsidR="00EA40A3" w:rsidRDefault="00EA40A3">
      <w:pPr>
        <w:spacing w:line="243" w:lineRule="auto"/>
      </w:pPr>
    </w:p>
    <w:p w:rsidR="00EA40A3" w:rsidRDefault="00E86C16">
      <w:pPr>
        <w:spacing w:before="71" w:line="221"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24"/>
          <w:sz w:val="22"/>
          <w:szCs w:val="22"/>
        </w:rPr>
        <w:t xml:space="preserve"> </w:t>
      </w:r>
      <w:r>
        <w:rPr>
          <w:rFonts w:ascii="仿宋" w:eastAsia="仿宋" w:hAnsi="仿宋" w:cs="仿宋"/>
          <w:spacing w:val="13"/>
          <w:sz w:val="22"/>
          <w:szCs w:val="22"/>
        </w:rPr>
        <w:t>矿物质</w:t>
      </w:r>
    </w:p>
    <w:p w:rsidR="00EA40A3" w:rsidRDefault="00E86C16">
      <w:pPr>
        <w:spacing w:before="202" w:line="239" w:lineRule="auto"/>
        <w:ind w:right="100" w:firstLine="379"/>
        <w:jc w:val="both"/>
        <w:rPr>
          <w:rFonts w:ascii="宋体" w:eastAsia="宋体" w:hAnsi="宋体" w:cs="宋体"/>
          <w:sz w:val="22"/>
          <w:szCs w:val="22"/>
        </w:rPr>
      </w:pPr>
      <w:r>
        <w:rPr>
          <w:rFonts w:ascii="宋体" w:eastAsia="宋体" w:hAnsi="宋体" w:cs="宋体"/>
          <w:spacing w:val="-4"/>
          <w:sz w:val="22"/>
          <w:szCs w:val="22"/>
        </w:rPr>
        <w:t>水果中含有多种矿物质，矿物质含量在0.4%左右，主要是钾、镁、钙等，</w:t>
      </w:r>
      <w:r>
        <w:rPr>
          <w:rFonts w:ascii="宋体" w:eastAsia="宋体" w:hAnsi="宋体" w:cs="宋体"/>
          <w:spacing w:val="4"/>
          <w:sz w:val="22"/>
          <w:szCs w:val="22"/>
        </w:rPr>
        <w:t xml:space="preserve"> </w:t>
      </w:r>
      <w:r>
        <w:rPr>
          <w:rFonts w:ascii="宋体" w:eastAsia="宋体" w:hAnsi="宋体" w:cs="宋体"/>
          <w:spacing w:val="-6"/>
          <w:sz w:val="22"/>
          <w:szCs w:val="22"/>
        </w:rPr>
        <w:t>钠含量较低(表6-16)。在膳食当中，水果是钾的重要来源。水果干制品也是矿</w:t>
      </w:r>
      <w:r>
        <w:rPr>
          <w:rFonts w:ascii="宋体" w:eastAsia="宋体" w:hAnsi="宋体" w:cs="宋体"/>
          <w:spacing w:val="10"/>
          <w:sz w:val="22"/>
          <w:szCs w:val="22"/>
        </w:rPr>
        <w:t xml:space="preserve"> </w:t>
      </w:r>
      <w:r>
        <w:rPr>
          <w:rFonts w:ascii="宋体" w:eastAsia="宋体" w:hAnsi="宋体" w:cs="宋体"/>
          <w:spacing w:val="-17"/>
          <w:sz w:val="22"/>
          <w:szCs w:val="22"/>
        </w:rPr>
        <w:t>物质的重要来源。</w:t>
      </w:r>
      <w:r>
        <w:rPr>
          <w:rFonts w:ascii="宋体" w:eastAsia="宋体" w:hAnsi="宋体" w:cs="宋体"/>
          <w:spacing w:val="35"/>
          <w:sz w:val="22"/>
          <w:szCs w:val="22"/>
        </w:rPr>
        <w:t xml:space="preserve"> </w:t>
      </w:r>
      <w:r>
        <w:rPr>
          <w:rFonts w:ascii="宋体" w:eastAsia="宋体" w:hAnsi="宋体" w:cs="宋体"/>
          <w:spacing w:val="-17"/>
          <w:sz w:val="22"/>
          <w:szCs w:val="22"/>
        </w:rPr>
        <w:t>一些水果含有较为丰富的镁和铁，如草莓、大枣和山楂的铁</w:t>
      </w:r>
      <w:r>
        <w:rPr>
          <w:rFonts w:ascii="宋体" w:eastAsia="宋体" w:hAnsi="宋体" w:cs="宋体"/>
          <w:spacing w:val="-18"/>
          <w:sz w:val="22"/>
          <w:szCs w:val="22"/>
        </w:rPr>
        <w:t>含</w:t>
      </w:r>
      <w:r>
        <w:rPr>
          <w:rFonts w:ascii="宋体" w:eastAsia="宋体" w:hAnsi="宋体" w:cs="宋体"/>
          <w:sz w:val="22"/>
          <w:szCs w:val="22"/>
        </w:rPr>
        <w:t xml:space="preserve"> </w:t>
      </w:r>
      <w:r>
        <w:rPr>
          <w:rFonts w:ascii="宋体" w:eastAsia="宋体" w:hAnsi="宋体" w:cs="宋体"/>
          <w:spacing w:val="-6"/>
          <w:sz w:val="22"/>
          <w:szCs w:val="22"/>
        </w:rPr>
        <w:t>量较高，而且因富含维生素C</w:t>
      </w:r>
      <w:r>
        <w:rPr>
          <w:rFonts w:ascii="宋体" w:eastAsia="宋体" w:hAnsi="宋体" w:cs="宋体"/>
          <w:spacing w:val="-1"/>
          <w:sz w:val="22"/>
          <w:szCs w:val="22"/>
        </w:rPr>
        <w:t xml:space="preserve"> </w:t>
      </w:r>
      <w:r>
        <w:rPr>
          <w:rFonts w:ascii="宋体" w:eastAsia="宋体" w:hAnsi="宋体" w:cs="宋体"/>
          <w:spacing w:val="-6"/>
          <w:sz w:val="22"/>
          <w:szCs w:val="22"/>
        </w:rPr>
        <w:t>和有机酸，其中铁的生物利用率较高。水果中的</w:t>
      </w:r>
      <w:r>
        <w:rPr>
          <w:rFonts w:ascii="宋体" w:eastAsia="宋体" w:hAnsi="宋体" w:cs="宋体"/>
          <w:sz w:val="22"/>
          <w:szCs w:val="22"/>
        </w:rPr>
        <w:t xml:space="preserve"> </w:t>
      </w:r>
      <w:r>
        <w:rPr>
          <w:rFonts w:ascii="宋体" w:eastAsia="宋体" w:hAnsi="宋体" w:cs="宋体"/>
          <w:spacing w:val="-12"/>
          <w:sz w:val="22"/>
          <w:szCs w:val="22"/>
        </w:rPr>
        <w:t>微量元素含量则因栽培地区的土壤微量元素含量和微肥</w:t>
      </w:r>
      <w:r>
        <w:rPr>
          <w:rFonts w:ascii="宋体" w:eastAsia="宋体" w:hAnsi="宋体" w:cs="宋体"/>
          <w:spacing w:val="-13"/>
          <w:sz w:val="22"/>
          <w:szCs w:val="22"/>
        </w:rPr>
        <w:t>施用情况不同而具有较大</w:t>
      </w:r>
      <w:r>
        <w:rPr>
          <w:rFonts w:ascii="宋体" w:eastAsia="宋体" w:hAnsi="宋体" w:cs="宋体"/>
          <w:sz w:val="22"/>
          <w:szCs w:val="22"/>
        </w:rPr>
        <w:t xml:space="preserve"> </w:t>
      </w:r>
      <w:r>
        <w:rPr>
          <w:rFonts w:ascii="宋体" w:eastAsia="宋体" w:hAnsi="宋体" w:cs="宋体"/>
          <w:spacing w:val="-11"/>
          <w:sz w:val="22"/>
          <w:szCs w:val="22"/>
        </w:rPr>
        <w:t>的差异。</w:t>
      </w:r>
    </w:p>
    <w:p w:rsidR="00EA40A3" w:rsidRDefault="00EA40A3">
      <w:pPr>
        <w:spacing w:line="357" w:lineRule="auto"/>
      </w:pPr>
    </w:p>
    <w:p w:rsidR="00EA40A3" w:rsidRDefault="00E86C16">
      <w:pPr>
        <w:spacing w:before="52" w:line="218" w:lineRule="auto"/>
        <w:ind w:left="2202"/>
        <w:rPr>
          <w:rFonts w:ascii="宋体" w:eastAsia="宋体" w:hAnsi="宋体" w:cs="宋体"/>
          <w:sz w:val="16"/>
          <w:szCs w:val="16"/>
        </w:rPr>
      </w:pPr>
      <w:r>
        <w:rPr>
          <w:rFonts w:ascii="黑体" w:eastAsia="黑体" w:hAnsi="黑体" w:cs="黑体"/>
          <w:b/>
          <w:bCs/>
          <w:spacing w:val="15"/>
          <w:sz w:val="15"/>
          <w:szCs w:val="15"/>
        </w:rPr>
        <w:t>表6</w:t>
      </w:r>
      <w:r>
        <w:rPr>
          <w:rFonts w:ascii="黑体" w:eastAsia="黑体" w:hAnsi="黑体" w:cs="黑体"/>
          <w:spacing w:val="-38"/>
          <w:sz w:val="15"/>
          <w:szCs w:val="15"/>
        </w:rPr>
        <w:t xml:space="preserve"> </w:t>
      </w:r>
      <w:r>
        <w:rPr>
          <w:rFonts w:ascii="黑体" w:eastAsia="黑体" w:hAnsi="黑体" w:cs="黑体"/>
          <w:b/>
          <w:bCs/>
          <w:spacing w:val="15"/>
          <w:sz w:val="15"/>
          <w:szCs w:val="15"/>
        </w:rPr>
        <w:t>-</w:t>
      </w:r>
      <w:r>
        <w:rPr>
          <w:rFonts w:ascii="黑体" w:eastAsia="黑体" w:hAnsi="黑体" w:cs="黑体"/>
          <w:spacing w:val="-27"/>
          <w:sz w:val="15"/>
          <w:szCs w:val="15"/>
        </w:rPr>
        <w:t xml:space="preserve"> </w:t>
      </w:r>
      <w:r>
        <w:rPr>
          <w:rFonts w:ascii="黑体" w:eastAsia="黑体" w:hAnsi="黑体" w:cs="黑体"/>
          <w:b/>
          <w:bCs/>
          <w:spacing w:val="15"/>
          <w:sz w:val="15"/>
          <w:szCs w:val="15"/>
        </w:rPr>
        <w:t>16</w:t>
      </w:r>
      <w:r>
        <w:rPr>
          <w:rFonts w:ascii="黑体" w:eastAsia="黑体" w:hAnsi="黑体" w:cs="黑体"/>
          <w:spacing w:val="5"/>
          <w:sz w:val="15"/>
          <w:szCs w:val="15"/>
        </w:rPr>
        <w:t xml:space="preserve">  </w:t>
      </w:r>
      <w:r>
        <w:rPr>
          <w:rFonts w:ascii="黑体" w:eastAsia="黑体" w:hAnsi="黑体" w:cs="黑体"/>
          <w:b/>
          <w:bCs/>
          <w:spacing w:val="15"/>
          <w:sz w:val="15"/>
          <w:szCs w:val="15"/>
        </w:rPr>
        <w:t>几种水果中的主要矿物质含量</w:t>
      </w:r>
      <w:r>
        <w:rPr>
          <w:rFonts w:ascii="黑体" w:eastAsia="黑体" w:hAnsi="黑体" w:cs="黑体"/>
          <w:spacing w:val="3"/>
          <w:sz w:val="15"/>
          <w:szCs w:val="15"/>
        </w:rPr>
        <w:t xml:space="preserve">     </w:t>
      </w:r>
      <w:r>
        <w:rPr>
          <w:rFonts w:ascii="宋体" w:eastAsia="宋体" w:hAnsi="宋体" w:cs="宋体"/>
          <w:spacing w:val="15"/>
          <w:sz w:val="16"/>
          <w:szCs w:val="16"/>
        </w:rPr>
        <w:t>(单位：</w:t>
      </w:r>
      <w:r>
        <w:rPr>
          <w:rFonts w:ascii="宋体" w:eastAsia="宋体" w:hAnsi="宋体" w:cs="宋体"/>
          <w:sz w:val="16"/>
          <w:szCs w:val="16"/>
        </w:rPr>
        <w:t>mg</w:t>
      </w:r>
      <w:r>
        <w:rPr>
          <w:rFonts w:ascii="宋体" w:eastAsia="宋体" w:hAnsi="宋体" w:cs="宋体"/>
          <w:spacing w:val="15"/>
          <w:sz w:val="16"/>
          <w:szCs w:val="16"/>
        </w:rPr>
        <w:t>/</w:t>
      </w:r>
      <w:r>
        <w:rPr>
          <w:rFonts w:ascii="宋体" w:eastAsia="宋体" w:hAnsi="宋体" w:cs="宋体"/>
          <w:spacing w:val="14"/>
          <w:sz w:val="16"/>
          <w:szCs w:val="16"/>
        </w:rPr>
        <w:t>100g)</w:t>
      </w:r>
    </w:p>
    <w:p w:rsidR="00EA40A3" w:rsidRDefault="00EA40A3">
      <w:pPr>
        <w:spacing w:line="106" w:lineRule="exact"/>
      </w:pPr>
    </w:p>
    <w:tbl>
      <w:tblPr>
        <w:tblStyle w:val="TableNormal"/>
        <w:tblW w:w="6553" w:type="dxa"/>
        <w:tblInd w:w="369"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76"/>
        <w:gridCol w:w="1155"/>
        <w:gridCol w:w="1206"/>
        <w:gridCol w:w="1230"/>
        <w:gridCol w:w="1229"/>
        <w:gridCol w:w="757"/>
      </w:tblGrid>
      <w:tr w:rsidR="00EA40A3">
        <w:trPr>
          <w:trHeight w:val="231"/>
        </w:trPr>
        <w:tc>
          <w:tcPr>
            <w:tcW w:w="976" w:type="dxa"/>
          </w:tcPr>
          <w:p w:rsidR="00EA40A3" w:rsidRDefault="00E86C16">
            <w:pPr>
              <w:spacing w:line="219" w:lineRule="auto"/>
              <w:rPr>
                <w:rFonts w:ascii="宋体" w:eastAsia="宋体" w:hAnsi="宋体" w:cs="宋体"/>
                <w:sz w:val="16"/>
                <w:szCs w:val="16"/>
              </w:rPr>
            </w:pPr>
            <w:r>
              <w:rPr>
                <w:rFonts w:ascii="宋体" w:eastAsia="宋体" w:hAnsi="宋体" w:cs="宋体"/>
                <w:spacing w:val="-2"/>
                <w:sz w:val="16"/>
                <w:szCs w:val="16"/>
              </w:rPr>
              <w:t>水果种类</w:t>
            </w:r>
          </w:p>
        </w:tc>
        <w:tc>
          <w:tcPr>
            <w:tcW w:w="1155" w:type="dxa"/>
          </w:tcPr>
          <w:p w:rsidR="00EA40A3" w:rsidRDefault="00E86C16">
            <w:pPr>
              <w:spacing w:before="10" w:line="220" w:lineRule="auto"/>
              <w:ind w:left="403"/>
              <w:rPr>
                <w:rFonts w:ascii="宋体" w:eastAsia="宋体" w:hAnsi="宋体" w:cs="宋体"/>
                <w:sz w:val="16"/>
                <w:szCs w:val="16"/>
              </w:rPr>
            </w:pPr>
            <w:r>
              <w:rPr>
                <w:rFonts w:ascii="宋体" w:eastAsia="宋体" w:hAnsi="宋体" w:cs="宋体"/>
                <w:sz w:val="16"/>
                <w:szCs w:val="16"/>
              </w:rPr>
              <w:t>钾</w:t>
            </w:r>
          </w:p>
        </w:tc>
        <w:tc>
          <w:tcPr>
            <w:tcW w:w="1206" w:type="dxa"/>
          </w:tcPr>
          <w:p w:rsidR="00EA40A3" w:rsidRDefault="00E86C16">
            <w:pPr>
              <w:spacing w:before="10" w:line="221" w:lineRule="auto"/>
              <w:ind w:left="528"/>
              <w:rPr>
                <w:rFonts w:ascii="宋体" w:eastAsia="宋体" w:hAnsi="宋体" w:cs="宋体"/>
                <w:sz w:val="16"/>
                <w:szCs w:val="16"/>
              </w:rPr>
            </w:pPr>
            <w:r>
              <w:rPr>
                <w:rFonts w:ascii="宋体" w:eastAsia="宋体" w:hAnsi="宋体" w:cs="宋体"/>
                <w:sz w:val="16"/>
                <w:szCs w:val="16"/>
              </w:rPr>
              <w:t>钠</w:t>
            </w:r>
          </w:p>
        </w:tc>
        <w:tc>
          <w:tcPr>
            <w:tcW w:w="1230" w:type="dxa"/>
          </w:tcPr>
          <w:p w:rsidR="00EA40A3" w:rsidRDefault="00E86C16">
            <w:pPr>
              <w:spacing w:before="2" w:line="221" w:lineRule="auto"/>
              <w:ind w:left="562"/>
              <w:rPr>
                <w:rFonts w:ascii="宋体" w:eastAsia="宋体" w:hAnsi="宋体" w:cs="宋体"/>
                <w:sz w:val="16"/>
                <w:szCs w:val="16"/>
              </w:rPr>
            </w:pPr>
            <w:r>
              <w:rPr>
                <w:rFonts w:ascii="宋体" w:eastAsia="宋体" w:hAnsi="宋体" w:cs="宋体"/>
                <w:sz w:val="16"/>
                <w:szCs w:val="16"/>
              </w:rPr>
              <w:t>镁</w:t>
            </w:r>
          </w:p>
        </w:tc>
        <w:tc>
          <w:tcPr>
            <w:tcW w:w="1229" w:type="dxa"/>
          </w:tcPr>
          <w:p w:rsidR="00EA40A3" w:rsidRDefault="00E86C16">
            <w:pPr>
              <w:spacing w:before="1" w:line="221" w:lineRule="auto"/>
              <w:ind w:left="592"/>
              <w:rPr>
                <w:rFonts w:ascii="宋体" w:eastAsia="宋体" w:hAnsi="宋体" w:cs="宋体"/>
                <w:sz w:val="16"/>
                <w:szCs w:val="16"/>
              </w:rPr>
            </w:pPr>
            <w:r>
              <w:rPr>
                <w:rFonts w:ascii="宋体" w:eastAsia="宋体" w:hAnsi="宋体" w:cs="宋体"/>
                <w:sz w:val="16"/>
                <w:szCs w:val="16"/>
              </w:rPr>
              <w:t>铁</w:t>
            </w:r>
          </w:p>
        </w:tc>
        <w:tc>
          <w:tcPr>
            <w:tcW w:w="757" w:type="dxa"/>
          </w:tcPr>
          <w:p w:rsidR="00EA40A3" w:rsidRDefault="00E86C16">
            <w:pPr>
              <w:spacing w:before="2" w:line="221" w:lineRule="auto"/>
              <w:ind w:left="574"/>
              <w:rPr>
                <w:rFonts w:ascii="宋体" w:eastAsia="宋体" w:hAnsi="宋体" w:cs="宋体"/>
                <w:sz w:val="16"/>
                <w:szCs w:val="16"/>
              </w:rPr>
            </w:pPr>
            <w:r>
              <w:rPr>
                <w:rFonts w:ascii="宋体" w:eastAsia="宋体" w:hAnsi="宋体" w:cs="宋体"/>
                <w:sz w:val="16"/>
                <w:szCs w:val="16"/>
              </w:rPr>
              <w:t>钙</w:t>
            </w:r>
          </w:p>
        </w:tc>
      </w:tr>
      <w:tr w:rsidR="00EA40A3">
        <w:trPr>
          <w:trHeight w:val="270"/>
        </w:trPr>
        <w:tc>
          <w:tcPr>
            <w:tcW w:w="976" w:type="dxa"/>
          </w:tcPr>
          <w:p w:rsidR="00EA40A3" w:rsidRDefault="00E86C16">
            <w:pPr>
              <w:spacing w:before="59" w:line="220" w:lineRule="auto"/>
              <w:ind w:left="159"/>
              <w:rPr>
                <w:rFonts w:ascii="宋体" w:eastAsia="宋体" w:hAnsi="宋体" w:cs="宋体"/>
                <w:sz w:val="16"/>
                <w:szCs w:val="16"/>
              </w:rPr>
            </w:pPr>
            <w:r>
              <w:rPr>
                <w:rFonts w:ascii="宋体" w:eastAsia="宋体" w:hAnsi="宋体" w:cs="宋体"/>
                <w:spacing w:val="-2"/>
                <w:sz w:val="16"/>
                <w:szCs w:val="16"/>
              </w:rPr>
              <w:t>苹果</w:t>
            </w:r>
          </w:p>
        </w:tc>
        <w:tc>
          <w:tcPr>
            <w:tcW w:w="1155" w:type="dxa"/>
          </w:tcPr>
          <w:p w:rsidR="00EA40A3" w:rsidRDefault="00E86C16">
            <w:pPr>
              <w:spacing w:before="100" w:line="183" w:lineRule="auto"/>
              <w:ind w:left="403"/>
              <w:rPr>
                <w:rFonts w:ascii="宋体" w:eastAsia="宋体" w:hAnsi="宋体" w:cs="宋体"/>
                <w:sz w:val="16"/>
                <w:szCs w:val="16"/>
              </w:rPr>
            </w:pPr>
            <w:r>
              <w:rPr>
                <w:rFonts w:ascii="宋体" w:eastAsia="宋体" w:hAnsi="宋体" w:cs="宋体"/>
                <w:spacing w:val="-2"/>
                <w:sz w:val="16"/>
                <w:szCs w:val="16"/>
              </w:rPr>
              <w:t>83</w:t>
            </w:r>
          </w:p>
        </w:tc>
        <w:tc>
          <w:tcPr>
            <w:tcW w:w="1206" w:type="dxa"/>
          </w:tcPr>
          <w:p w:rsidR="00EA40A3" w:rsidRDefault="00E86C16">
            <w:pPr>
              <w:spacing w:before="99" w:line="184" w:lineRule="auto"/>
              <w:ind w:left="568"/>
              <w:rPr>
                <w:rFonts w:ascii="宋体" w:eastAsia="宋体" w:hAnsi="宋体" w:cs="宋体"/>
                <w:sz w:val="16"/>
                <w:szCs w:val="16"/>
              </w:rPr>
            </w:pPr>
            <w:r>
              <w:rPr>
                <w:rFonts w:ascii="宋体" w:eastAsia="宋体" w:hAnsi="宋体" w:cs="宋体"/>
                <w:sz w:val="16"/>
                <w:szCs w:val="16"/>
              </w:rPr>
              <w:t>1</w:t>
            </w:r>
          </w:p>
        </w:tc>
        <w:tc>
          <w:tcPr>
            <w:tcW w:w="1230" w:type="dxa"/>
          </w:tcPr>
          <w:p w:rsidR="00EA40A3" w:rsidRDefault="00E86C16">
            <w:pPr>
              <w:spacing w:before="101" w:line="182" w:lineRule="auto"/>
              <w:ind w:left="602"/>
              <w:rPr>
                <w:rFonts w:ascii="宋体" w:eastAsia="宋体" w:hAnsi="宋体" w:cs="宋体"/>
                <w:sz w:val="16"/>
                <w:szCs w:val="16"/>
              </w:rPr>
            </w:pPr>
            <w:r>
              <w:rPr>
                <w:rFonts w:ascii="宋体" w:eastAsia="宋体" w:hAnsi="宋体" w:cs="宋体"/>
                <w:sz w:val="16"/>
                <w:szCs w:val="16"/>
              </w:rPr>
              <w:t>7</w:t>
            </w:r>
          </w:p>
        </w:tc>
        <w:tc>
          <w:tcPr>
            <w:tcW w:w="1229" w:type="dxa"/>
          </w:tcPr>
          <w:p w:rsidR="00EA40A3" w:rsidRDefault="00E86C16">
            <w:pPr>
              <w:spacing w:before="100" w:line="183" w:lineRule="auto"/>
              <w:ind w:left="552"/>
              <w:rPr>
                <w:rFonts w:ascii="宋体" w:eastAsia="宋体" w:hAnsi="宋体" w:cs="宋体"/>
                <w:sz w:val="16"/>
                <w:szCs w:val="16"/>
              </w:rPr>
            </w:pPr>
            <w:r>
              <w:rPr>
                <w:rFonts w:ascii="宋体" w:eastAsia="宋体" w:hAnsi="宋体" w:cs="宋体"/>
                <w:spacing w:val="-2"/>
                <w:sz w:val="16"/>
                <w:szCs w:val="16"/>
              </w:rPr>
              <w:t>0.3</w:t>
            </w:r>
          </w:p>
        </w:tc>
        <w:tc>
          <w:tcPr>
            <w:tcW w:w="757" w:type="dxa"/>
          </w:tcPr>
          <w:p w:rsidR="00EA40A3" w:rsidRDefault="00E86C16">
            <w:pPr>
              <w:spacing w:before="100" w:line="183" w:lineRule="auto"/>
              <w:ind w:left="614"/>
              <w:rPr>
                <w:rFonts w:ascii="宋体" w:eastAsia="宋体" w:hAnsi="宋体" w:cs="宋体"/>
                <w:sz w:val="16"/>
                <w:szCs w:val="16"/>
              </w:rPr>
            </w:pPr>
            <w:r>
              <w:rPr>
                <w:rFonts w:ascii="宋体" w:eastAsia="宋体" w:hAnsi="宋体" w:cs="宋体"/>
                <w:sz w:val="16"/>
                <w:szCs w:val="16"/>
              </w:rPr>
              <w:t>8</w:t>
            </w:r>
          </w:p>
        </w:tc>
      </w:tr>
      <w:tr w:rsidR="00EA40A3">
        <w:trPr>
          <w:trHeight w:val="270"/>
        </w:trPr>
        <w:tc>
          <w:tcPr>
            <w:tcW w:w="976" w:type="dxa"/>
          </w:tcPr>
          <w:p w:rsidR="00EA40A3" w:rsidRDefault="00E86C16">
            <w:pPr>
              <w:spacing w:before="49" w:line="220" w:lineRule="auto"/>
              <w:ind w:left="159"/>
              <w:rPr>
                <w:rFonts w:ascii="宋体" w:eastAsia="宋体" w:hAnsi="宋体" w:cs="宋体"/>
                <w:sz w:val="16"/>
                <w:szCs w:val="16"/>
              </w:rPr>
            </w:pPr>
            <w:r>
              <w:rPr>
                <w:rFonts w:ascii="宋体" w:eastAsia="宋体" w:hAnsi="宋体" w:cs="宋体"/>
                <w:spacing w:val="3"/>
                <w:sz w:val="16"/>
                <w:szCs w:val="16"/>
              </w:rPr>
              <w:t>山楂</w:t>
            </w:r>
          </w:p>
        </w:tc>
        <w:tc>
          <w:tcPr>
            <w:tcW w:w="1155" w:type="dxa"/>
          </w:tcPr>
          <w:p w:rsidR="00EA40A3" w:rsidRDefault="00E86C16">
            <w:pPr>
              <w:spacing w:before="90" w:line="183" w:lineRule="auto"/>
              <w:ind w:left="403"/>
              <w:rPr>
                <w:rFonts w:ascii="宋体" w:eastAsia="宋体" w:hAnsi="宋体" w:cs="宋体"/>
                <w:sz w:val="16"/>
                <w:szCs w:val="16"/>
              </w:rPr>
            </w:pPr>
            <w:r>
              <w:rPr>
                <w:rFonts w:ascii="宋体" w:eastAsia="宋体" w:hAnsi="宋体" w:cs="宋体"/>
                <w:spacing w:val="-2"/>
                <w:sz w:val="16"/>
                <w:szCs w:val="16"/>
              </w:rPr>
              <w:t>299</w:t>
            </w:r>
          </w:p>
        </w:tc>
        <w:tc>
          <w:tcPr>
            <w:tcW w:w="1206" w:type="dxa"/>
          </w:tcPr>
          <w:p w:rsidR="00EA40A3" w:rsidRDefault="00E86C16">
            <w:pPr>
              <w:spacing w:before="91" w:line="182" w:lineRule="auto"/>
              <w:ind w:left="568"/>
              <w:rPr>
                <w:rFonts w:ascii="宋体" w:eastAsia="宋体" w:hAnsi="宋体" w:cs="宋体"/>
                <w:sz w:val="16"/>
                <w:szCs w:val="16"/>
              </w:rPr>
            </w:pPr>
            <w:r>
              <w:rPr>
                <w:rFonts w:ascii="宋体" w:eastAsia="宋体" w:hAnsi="宋体" w:cs="宋体"/>
                <w:sz w:val="16"/>
                <w:szCs w:val="16"/>
              </w:rPr>
              <w:t>5</w:t>
            </w:r>
          </w:p>
        </w:tc>
        <w:tc>
          <w:tcPr>
            <w:tcW w:w="1230" w:type="dxa"/>
          </w:tcPr>
          <w:p w:rsidR="00EA40A3" w:rsidRDefault="00E86C16">
            <w:pPr>
              <w:spacing w:before="89" w:line="184" w:lineRule="auto"/>
              <w:ind w:left="562"/>
              <w:rPr>
                <w:rFonts w:ascii="宋体" w:eastAsia="宋体" w:hAnsi="宋体" w:cs="宋体"/>
                <w:sz w:val="16"/>
                <w:szCs w:val="16"/>
              </w:rPr>
            </w:pPr>
            <w:r>
              <w:rPr>
                <w:rFonts w:ascii="宋体" w:eastAsia="宋体" w:hAnsi="宋体" w:cs="宋体"/>
                <w:spacing w:val="-5"/>
                <w:sz w:val="16"/>
                <w:szCs w:val="16"/>
              </w:rPr>
              <w:t>19</w:t>
            </w:r>
          </w:p>
        </w:tc>
        <w:tc>
          <w:tcPr>
            <w:tcW w:w="1229" w:type="dxa"/>
          </w:tcPr>
          <w:p w:rsidR="00EA40A3" w:rsidRDefault="00E86C16">
            <w:pPr>
              <w:spacing w:before="90" w:line="183" w:lineRule="auto"/>
              <w:ind w:left="552"/>
              <w:rPr>
                <w:rFonts w:ascii="宋体" w:eastAsia="宋体" w:hAnsi="宋体" w:cs="宋体"/>
                <w:sz w:val="16"/>
                <w:szCs w:val="16"/>
              </w:rPr>
            </w:pPr>
            <w:r>
              <w:rPr>
                <w:rFonts w:ascii="宋体" w:eastAsia="宋体" w:hAnsi="宋体" w:cs="宋体"/>
                <w:spacing w:val="-2"/>
                <w:sz w:val="16"/>
                <w:szCs w:val="16"/>
              </w:rPr>
              <w:t>0.9</w:t>
            </w:r>
          </w:p>
        </w:tc>
        <w:tc>
          <w:tcPr>
            <w:tcW w:w="757" w:type="dxa"/>
          </w:tcPr>
          <w:p w:rsidR="00EA40A3" w:rsidRDefault="00E86C16">
            <w:pPr>
              <w:spacing w:before="90" w:line="183" w:lineRule="auto"/>
              <w:ind w:left="574"/>
              <w:rPr>
                <w:rFonts w:ascii="宋体" w:eastAsia="宋体" w:hAnsi="宋体" w:cs="宋体"/>
                <w:sz w:val="16"/>
                <w:szCs w:val="16"/>
              </w:rPr>
            </w:pPr>
            <w:r>
              <w:rPr>
                <w:rFonts w:ascii="宋体" w:eastAsia="宋体" w:hAnsi="宋体" w:cs="宋体"/>
                <w:spacing w:val="-3"/>
                <w:sz w:val="16"/>
                <w:szCs w:val="16"/>
              </w:rPr>
              <w:t>52</w:t>
            </w:r>
          </w:p>
        </w:tc>
      </w:tr>
      <w:tr w:rsidR="00EA40A3">
        <w:trPr>
          <w:trHeight w:val="276"/>
        </w:trPr>
        <w:tc>
          <w:tcPr>
            <w:tcW w:w="976" w:type="dxa"/>
          </w:tcPr>
          <w:p w:rsidR="00EA40A3" w:rsidRDefault="00E86C16">
            <w:pPr>
              <w:spacing w:before="59" w:line="219" w:lineRule="auto"/>
              <w:ind w:left="159"/>
              <w:rPr>
                <w:rFonts w:ascii="宋体" w:eastAsia="宋体" w:hAnsi="宋体" w:cs="宋体"/>
                <w:sz w:val="16"/>
                <w:szCs w:val="16"/>
              </w:rPr>
            </w:pPr>
            <w:r>
              <w:rPr>
                <w:rFonts w:ascii="宋体" w:eastAsia="宋体" w:hAnsi="宋体" w:cs="宋体"/>
                <w:spacing w:val="-3"/>
                <w:sz w:val="16"/>
                <w:szCs w:val="16"/>
              </w:rPr>
              <w:t>鸭梨</w:t>
            </w:r>
          </w:p>
        </w:tc>
        <w:tc>
          <w:tcPr>
            <w:tcW w:w="1155" w:type="dxa"/>
          </w:tcPr>
          <w:p w:rsidR="00EA40A3" w:rsidRDefault="00E86C16">
            <w:pPr>
              <w:spacing w:before="121" w:line="178" w:lineRule="auto"/>
              <w:ind w:left="403"/>
              <w:rPr>
                <w:rFonts w:ascii="宋体" w:eastAsia="宋体" w:hAnsi="宋体" w:cs="宋体"/>
                <w:sz w:val="16"/>
                <w:szCs w:val="16"/>
              </w:rPr>
            </w:pPr>
            <w:r>
              <w:rPr>
                <w:rFonts w:ascii="宋体" w:eastAsia="宋体" w:hAnsi="宋体" w:cs="宋体"/>
                <w:spacing w:val="-3"/>
                <w:sz w:val="16"/>
                <w:szCs w:val="16"/>
              </w:rPr>
              <w:t>77</w:t>
            </w:r>
          </w:p>
        </w:tc>
        <w:tc>
          <w:tcPr>
            <w:tcW w:w="1206" w:type="dxa"/>
          </w:tcPr>
          <w:p w:rsidR="00EA40A3" w:rsidRDefault="00E86C16">
            <w:pPr>
              <w:spacing w:before="119" w:line="180" w:lineRule="auto"/>
              <w:ind w:left="568"/>
              <w:rPr>
                <w:rFonts w:ascii="宋体" w:eastAsia="宋体" w:hAnsi="宋体" w:cs="宋体"/>
                <w:sz w:val="16"/>
                <w:szCs w:val="16"/>
              </w:rPr>
            </w:pPr>
            <w:r>
              <w:rPr>
                <w:rFonts w:ascii="宋体" w:eastAsia="宋体" w:hAnsi="宋体" w:cs="宋体"/>
                <w:sz w:val="16"/>
                <w:szCs w:val="16"/>
              </w:rPr>
              <w:t>2</w:t>
            </w:r>
          </w:p>
        </w:tc>
        <w:tc>
          <w:tcPr>
            <w:tcW w:w="1230" w:type="dxa"/>
          </w:tcPr>
          <w:p w:rsidR="00EA40A3" w:rsidRDefault="00E86C16">
            <w:pPr>
              <w:spacing w:before="111" w:line="182" w:lineRule="auto"/>
              <w:ind w:left="602"/>
              <w:rPr>
                <w:rFonts w:ascii="宋体" w:eastAsia="宋体" w:hAnsi="宋体" w:cs="宋体"/>
                <w:sz w:val="16"/>
                <w:szCs w:val="16"/>
              </w:rPr>
            </w:pPr>
            <w:r>
              <w:rPr>
                <w:rFonts w:ascii="宋体" w:eastAsia="宋体" w:hAnsi="宋体" w:cs="宋体"/>
                <w:sz w:val="16"/>
                <w:szCs w:val="16"/>
              </w:rPr>
              <w:t>5</w:t>
            </w:r>
          </w:p>
        </w:tc>
        <w:tc>
          <w:tcPr>
            <w:tcW w:w="1229" w:type="dxa"/>
          </w:tcPr>
          <w:p w:rsidR="00EA40A3" w:rsidRDefault="00E86C16">
            <w:pPr>
              <w:spacing w:before="119" w:line="180" w:lineRule="auto"/>
              <w:ind w:left="552"/>
              <w:rPr>
                <w:rFonts w:ascii="宋体" w:eastAsia="宋体" w:hAnsi="宋体" w:cs="宋体"/>
                <w:sz w:val="16"/>
                <w:szCs w:val="16"/>
              </w:rPr>
            </w:pPr>
            <w:r>
              <w:rPr>
                <w:rFonts w:ascii="宋体" w:eastAsia="宋体" w:hAnsi="宋体" w:cs="宋体"/>
                <w:spacing w:val="-2"/>
                <w:sz w:val="16"/>
                <w:szCs w:val="16"/>
              </w:rPr>
              <w:t>0.9</w:t>
            </w:r>
          </w:p>
        </w:tc>
        <w:tc>
          <w:tcPr>
            <w:tcW w:w="757" w:type="dxa"/>
          </w:tcPr>
          <w:p w:rsidR="00EA40A3" w:rsidRDefault="00E86C16">
            <w:pPr>
              <w:spacing w:before="119" w:line="180" w:lineRule="auto"/>
              <w:ind w:left="614"/>
              <w:rPr>
                <w:rFonts w:ascii="宋体" w:eastAsia="宋体" w:hAnsi="宋体" w:cs="宋体"/>
                <w:sz w:val="16"/>
                <w:szCs w:val="16"/>
              </w:rPr>
            </w:pPr>
            <w:r>
              <w:rPr>
                <w:rFonts w:ascii="宋体" w:eastAsia="宋体" w:hAnsi="宋体" w:cs="宋体"/>
                <w:sz w:val="16"/>
                <w:szCs w:val="16"/>
              </w:rPr>
              <w:t>4</w:t>
            </w:r>
          </w:p>
        </w:tc>
      </w:tr>
      <w:tr w:rsidR="00EA40A3">
        <w:trPr>
          <w:trHeight w:val="265"/>
        </w:trPr>
        <w:tc>
          <w:tcPr>
            <w:tcW w:w="976" w:type="dxa"/>
          </w:tcPr>
          <w:p w:rsidR="00EA40A3" w:rsidRDefault="00E86C16">
            <w:pPr>
              <w:spacing w:before="43" w:line="219" w:lineRule="auto"/>
              <w:ind w:left="239"/>
              <w:rPr>
                <w:rFonts w:ascii="宋体" w:eastAsia="宋体" w:hAnsi="宋体" w:cs="宋体"/>
                <w:sz w:val="16"/>
                <w:szCs w:val="16"/>
              </w:rPr>
            </w:pPr>
            <w:r>
              <w:rPr>
                <w:rFonts w:ascii="宋体" w:eastAsia="宋体" w:hAnsi="宋体" w:cs="宋体"/>
                <w:sz w:val="16"/>
                <w:szCs w:val="16"/>
              </w:rPr>
              <w:t>桃</w:t>
            </w:r>
          </w:p>
        </w:tc>
        <w:tc>
          <w:tcPr>
            <w:tcW w:w="1155" w:type="dxa"/>
          </w:tcPr>
          <w:p w:rsidR="00EA40A3" w:rsidRDefault="00E86C16">
            <w:pPr>
              <w:spacing w:before="103" w:line="184" w:lineRule="auto"/>
              <w:ind w:left="403"/>
              <w:rPr>
                <w:rFonts w:ascii="宋体" w:eastAsia="宋体" w:hAnsi="宋体" w:cs="宋体"/>
                <w:sz w:val="16"/>
                <w:szCs w:val="16"/>
              </w:rPr>
            </w:pPr>
            <w:r>
              <w:rPr>
                <w:rFonts w:ascii="宋体" w:eastAsia="宋体" w:hAnsi="宋体" w:cs="宋体"/>
                <w:spacing w:val="-5"/>
                <w:sz w:val="16"/>
                <w:szCs w:val="16"/>
              </w:rPr>
              <w:t>100</w:t>
            </w:r>
          </w:p>
        </w:tc>
        <w:tc>
          <w:tcPr>
            <w:tcW w:w="1206" w:type="dxa"/>
          </w:tcPr>
          <w:p w:rsidR="00EA40A3" w:rsidRDefault="00E86C16">
            <w:pPr>
              <w:spacing w:before="114" w:line="174" w:lineRule="auto"/>
              <w:ind w:left="568"/>
              <w:rPr>
                <w:rFonts w:ascii="宋体" w:eastAsia="宋体" w:hAnsi="宋体" w:cs="宋体"/>
                <w:sz w:val="16"/>
                <w:szCs w:val="16"/>
              </w:rPr>
            </w:pPr>
            <w:r>
              <w:rPr>
                <w:rFonts w:ascii="宋体" w:eastAsia="宋体" w:hAnsi="宋体" w:cs="宋体"/>
                <w:sz w:val="16"/>
                <w:szCs w:val="16"/>
              </w:rPr>
              <w:t>2</w:t>
            </w:r>
          </w:p>
        </w:tc>
        <w:tc>
          <w:tcPr>
            <w:tcW w:w="1230" w:type="dxa"/>
          </w:tcPr>
          <w:p w:rsidR="00EA40A3" w:rsidRDefault="00E86C16">
            <w:pPr>
              <w:spacing w:before="104" w:line="183" w:lineRule="auto"/>
              <w:ind w:left="602"/>
              <w:rPr>
                <w:rFonts w:ascii="宋体" w:eastAsia="宋体" w:hAnsi="宋体" w:cs="宋体"/>
                <w:sz w:val="16"/>
                <w:szCs w:val="16"/>
              </w:rPr>
            </w:pPr>
            <w:r>
              <w:rPr>
                <w:rFonts w:ascii="宋体" w:eastAsia="宋体" w:hAnsi="宋体" w:cs="宋体"/>
                <w:sz w:val="16"/>
                <w:szCs w:val="16"/>
              </w:rPr>
              <w:t>8</w:t>
            </w:r>
          </w:p>
        </w:tc>
        <w:tc>
          <w:tcPr>
            <w:tcW w:w="1229" w:type="dxa"/>
          </w:tcPr>
          <w:p w:rsidR="00EA40A3" w:rsidRDefault="00E86C16">
            <w:pPr>
              <w:spacing w:before="114" w:line="174" w:lineRule="auto"/>
              <w:ind w:left="552"/>
              <w:rPr>
                <w:rFonts w:ascii="宋体" w:eastAsia="宋体" w:hAnsi="宋体" w:cs="宋体"/>
                <w:sz w:val="16"/>
                <w:szCs w:val="16"/>
              </w:rPr>
            </w:pPr>
            <w:r>
              <w:rPr>
                <w:rFonts w:ascii="宋体" w:eastAsia="宋体" w:hAnsi="宋体" w:cs="宋体"/>
                <w:spacing w:val="-2"/>
                <w:sz w:val="16"/>
                <w:szCs w:val="16"/>
              </w:rPr>
              <w:t>0.4</w:t>
            </w:r>
          </w:p>
        </w:tc>
        <w:tc>
          <w:tcPr>
            <w:tcW w:w="757" w:type="dxa"/>
          </w:tcPr>
          <w:p w:rsidR="00EA40A3" w:rsidRDefault="00E86C16">
            <w:pPr>
              <w:spacing w:before="114" w:line="174" w:lineRule="auto"/>
              <w:ind w:left="574"/>
              <w:rPr>
                <w:rFonts w:ascii="宋体" w:eastAsia="宋体" w:hAnsi="宋体" w:cs="宋体"/>
                <w:sz w:val="16"/>
                <w:szCs w:val="16"/>
              </w:rPr>
            </w:pPr>
            <w:r>
              <w:rPr>
                <w:rFonts w:ascii="宋体" w:eastAsia="宋体" w:hAnsi="宋体" w:cs="宋体"/>
                <w:spacing w:val="-5"/>
                <w:sz w:val="16"/>
                <w:szCs w:val="16"/>
              </w:rPr>
              <w:t>10</w:t>
            </w:r>
          </w:p>
        </w:tc>
      </w:tr>
      <w:tr w:rsidR="00EA40A3">
        <w:trPr>
          <w:trHeight w:val="294"/>
        </w:trPr>
        <w:tc>
          <w:tcPr>
            <w:tcW w:w="976" w:type="dxa"/>
          </w:tcPr>
          <w:p w:rsidR="00EA40A3" w:rsidRDefault="00E86C16">
            <w:pPr>
              <w:spacing w:before="38" w:line="220" w:lineRule="auto"/>
              <w:ind w:left="119"/>
              <w:rPr>
                <w:rFonts w:ascii="宋体" w:eastAsia="宋体" w:hAnsi="宋体" w:cs="宋体"/>
                <w:sz w:val="16"/>
                <w:szCs w:val="16"/>
              </w:rPr>
            </w:pPr>
            <w:r>
              <w:rPr>
                <w:rFonts w:ascii="宋体" w:eastAsia="宋体" w:hAnsi="宋体" w:cs="宋体"/>
                <w:spacing w:val="6"/>
                <w:sz w:val="16"/>
                <w:szCs w:val="16"/>
              </w:rPr>
              <w:t>葡萄</w:t>
            </w:r>
          </w:p>
        </w:tc>
        <w:tc>
          <w:tcPr>
            <w:tcW w:w="1155" w:type="dxa"/>
          </w:tcPr>
          <w:p w:rsidR="00EA40A3" w:rsidRDefault="00E86C16">
            <w:pPr>
              <w:spacing w:before="118" w:line="184" w:lineRule="auto"/>
              <w:ind w:left="344"/>
              <w:rPr>
                <w:rFonts w:ascii="宋体" w:eastAsia="宋体" w:hAnsi="宋体" w:cs="宋体"/>
                <w:sz w:val="16"/>
                <w:szCs w:val="16"/>
              </w:rPr>
            </w:pPr>
            <w:r>
              <w:rPr>
                <w:rFonts w:ascii="宋体" w:eastAsia="宋体" w:hAnsi="宋体" w:cs="宋体"/>
                <w:spacing w:val="-5"/>
                <w:sz w:val="16"/>
                <w:szCs w:val="16"/>
              </w:rPr>
              <w:t>126</w:t>
            </w:r>
          </w:p>
        </w:tc>
        <w:tc>
          <w:tcPr>
            <w:tcW w:w="1206" w:type="dxa"/>
          </w:tcPr>
          <w:p w:rsidR="00EA40A3" w:rsidRDefault="00E86C16">
            <w:pPr>
              <w:spacing w:before="119" w:line="183" w:lineRule="auto"/>
              <w:ind w:left="548"/>
              <w:rPr>
                <w:rFonts w:ascii="宋体" w:eastAsia="宋体" w:hAnsi="宋体" w:cs="宋体"/>
                <w:sz w:val="16"/>
                <w:szCs w:val="16"/>
              </w:rPr>
            </w:pPr>
            <w:r>
              <w:rPr>
                <w:rFonts w:ascii="宋体" w:eastAsia="宋体" w:hAnsi="宋体" w:cs="宋体"/>
                <w:sz w:val="16"/>
                <w:szCs w:val="16"/>
              </w:rPr>
              <w:t>2</w:t>
            </w:r>
          </w:p>
        </w:tc>
        <w:tc>
          <w:tcPr>
            <w:tcW w:w="1230" w:type="dxa"/>
          </w:tcPr>
          <w:p w:rsidR="00EA40A3" w:rsidRDefault="00E86C16">
            <w:pPr>
              <w:spacing w:before="119" w:line="183" w:lineRule="auto"/>
              <w:ind w:left="593"/>
              <w:rPr>
                <w:rFonts w:ascii="宋体" w:eastAsia="宋体" w:hAnsi="宋体" w:cs="宋体"/>
                <w:sz w:val="16"/>
                <w:szCs w:val="16"/>
              </w:rPr>
            </w:pPr>
            <w:r>
              <w:rPr>
                <w:rFonts w:ascii="宋体" w:eastAsia="宋体" w:hAnsi="宋体" w:cs="宋体"/>
                <w:sz w:val="16"/>
                <w:szCs w:val="16"/>
              </w:rPr>
              <w:t>4</w:t>
            </w:r>
          </w:p>
        </w:tc>
        <w:tc>
          <w:tcPr>
            <w:tcW w:w="1229" w:type="dxa"/>
          </w:tcPr>
          <w:p w:rsidR="00EA40A3" w:rsidRDefault="00E86C16">
            <w:pPr>
              <w:spacing w:before="128" w:line="184" w:lineRule="auto"/>
              <w:ind w:left="552"/>
              <w:rPr>
                <w:rFonts w:ascii="宋体" w:eastAsia="宋体" w:hAnsi="宋体" w:cs="宋体"/>
                <w:sz w:val="16"/>
                <w:szCs w:val="16"/>
              </w:rPr>
            </w:pPr>
            <w:r>
              <w:rPr>
                <w:rFonts w:ascii="宋体" w:eastAsia="宋体" w:hAnsi="宋体" w:cs="宋体"/>
                <w:spacing w:val="-2"/>
                <w:sz w:val="16"/>
                <w:szCs w:val="16"/>
              </w:rPr>
              <w:t>0.1</w:t>
            </w:r>
          </w:p>
        </w:tc>
        <w:tc>
          <w:tcPr>
            <w:tcW w:w="757" w:type="dxa"/>
          </w:tcPr>
          <w:p w:rsidR="00EA40A3" w:rsidRDefault="00E86C16">
            <w:pPr>
              <w:spacing w:before="139" w:line="178" w:lineRule="auto"/>
              <w:ind w:left="583"/>
              <w:rPr>
                <w:rFonts w:ascii="宋体" w:eastAsia="宋体" w:hAnsi="宋体" w:cs="宋体"/>
                <w:sz w:val="16"/>
                <w:szCs w:val="16"/>
              </w:rPr>
            </w:pPr>
            <w:r>
              <w:rPr>
                <w:rFonts w:ascii="宋体" w:eastAsia="宋体" w:hAnsi="宋体" w:cs="宋体"/>
                <w:sz w:val="16"/>
                <w:szCs w:val="16"/>
              </w:rPr>
              <w:t>8</w:t>
            </w:r>
          </w:p>
        </w:tc>
      </w:tr>
      <w:tr w:rsidR="00EA40A3">
        <w:trPr>
          <w:trHeight w:val="280"/>
        </w:trPr>
        <w:tc>
          <w:tcPr>
            <w:tcW w:w="976" w:type="dxa"/>
          </w:tcPr>
          <w:p w:rsidR="00EA40A3" w:rsidRDefault="00E86C16">
            <w:pPr>
              <w:spacing w:before="44" w:line="219" w:lineRule="auto"/>
              <w:ind w:left="29"/>
              <w:rPr>
                <w:rFonts w:ascii="宋体" w:eastAsia="宋体" w:hAnsi="宋体" w:cs="宋体"/>
                <w:sz w:val="16"/>
                <w:szCs w:val="16"/>
              </w:rPr>
            </w:pPr>
            <w:r>
              <w:rPr>
                <w:rFonts w:ascii="宋体" w:eastAsia="宋体" w:hAnsi="宋体" w:cs="宋体"/>
                <w:spacing w:val="-2"/>
                <w:sz w:val="16"/>
                <w:szCs w:val="16"/>
              </w:rPr>
              <w:t>猕猴桃</w:t>
            </w:r>
          </w:p>
        </w:tc>
        <w:tc>
          <w:tcPr>
            <w:tcW w:w="1155" w:type="dxa"/>
          </w:tcPr>
          <w:p w:rsidR="00EA40A3" w:rsidRDefault="00E86C16">
            <w:pPr>
              <w:spacing w:before="104" w:line="184" w:lineRule="auto"/>
              <w:ind w:left="344"/>
              <w:rPr>
                <w:rFonts w:ascii="宋体" w:eastAsia="宋体" w:hAnsi="宋体" w:cs="宋体"/>
                <w:sz w:val="16"/>
                <w:szCs w:val="16"/>
              </w:rPr>
            </w:pPr>
            <w:r>
              <w:rPr>
                <w:rFonts w:ascii="宋体" w:eastAsia="宋体" w:hAnsi="宋体" w:cs="宋体"/>
                <w:spacing w:val="-5"/>
                <w:sz w:val="16"/>
                <w:szCs w:val="16"/>
              </w:rPr>
              <w:t>100</w:t>
            </w:r>
          </w:p>
        </w:tc>
        <w:tc>
          <w:tcPr>
            <w:tcW w:w="1206" w:type="dxa"/>
          </w:tcPr>
          <w:p w:rsidR="00EA40A3" w:rsidRDefault="00E86C16">
            <w:pPr>
              <w:spacing w:before="105" w:line="183" w:lineRule="auto"/>
              <w:ind w:left="539"/>
              <w:rPr>
                <w:rFonts w:ascii="宋体" w:eastAsia="宋体" w:hAnsi="宋体" w:cs="宋体"/>
                <w:sz w:val="16"/>
                <w:szCs w:val="16"/>
              </w:rPr>
            </w:pPr>
            <w:r>
              <w:rPr>
                <w:rFonts w:ascii="宋体" w:eastAsia="宋体" w:hAnsi="宋体" w:cs="宋体"/>
                <w:sz w:val="16"/>
                <w:szCs w:val="16"/>
              </w:rPr>
              <w:t>2</w:t>
            </w:r>
          </w:p>
        </w:tc>
        <w:tc>
          <w:tcPr>
            <w:tcW w:w="1230" w:type="dxa"/>
          </w:tcPr>
          <w:p w:rsidR="00EA40A3" w:rsidRDefault="00E86C16">
            <w:pPr>
              <w:spacing w:before="105" w:line="183" w:lineRule="auto"/>
              <w:ind w:left="593"/>
              <w:rPr>
                <w:rFonts w:ascii="宋体" w:eastAsia="宋体" w:hAnsi="宋体" w:cs="宋体"/>
                <w:sz w:val="16"/>
                <w:szCs w:val="16"/>
              </w:rPr>
            </w:pPr>
            <w:r>
              <w:rPr>
                <w:rFonts w:ascii="宋体" w:eastAsia="宋体" w:hAnsi="宋体" w:cs="宋体"/>
                <w:sz w:val="16"/>
                <w:szCs w:val="16"/>
              </w:rPr>
              <w:t>8</w:t>
            </w:r>
          </w:p>
        </w:tc>
        <w:tc>
          <w:tcPr>
            <w:tcW w:w="1229" w:type="dxa"/>
          </w:tcPr>
          <w:p w:rsidR="00EA40A3" w:rsidRDefault="00E86C16">
            <w:pPr>
              <w:spacing w:before="115" w:line="183" w:lineRule="auto"/>
              <w:ind w:left="532"/>
              <w:rPr>
                <w:rFonts w:ascii="宋体" w:eastAsia="宋体" w:hAnsi="宋体" w:cs="宋体"/>
                <w:sz w:val="16"/>
                <w:szCs w:val="16"/>
              </w:rPr>
            </w:pPr>
            <w:r>
              <w:rPr>
                <w:rFonts w:ascii="宋体" w:eastAsia="宋体" w:hAnsi="宋体" w:cs="宋体"/>
                <w:spacing w:val="-2"/>
                <w:sz w:val="16"/>
                <w:szCs w:val="16"/>
              </w:rPr>
              <w:t>0.4</w:t>
            </w:r>
          </w:p>
        </w:tc>
        <w:tc>
          <w:tcPr>
            <w:tcW w:w="757" w:type="dxa"/>
          </w:tcPr>
          <w:p w:rsidR="00EA40A3" w:rsidRDefault="00E86C16">
            <w:pPr>
              <w:spacing w:before="104" w:line="184" w:lineRule="auto"/>
              <w:ind w:left="553"/>
              <w:rPr>
                <w:rFonts w:ascii="宋体" w:eastAsia="宋体" w:hAnsi="宋体" w:cs="宋体"/>
                <w:sz w:val="16"/>
                <w:szCs w:val="16"/>
              </w:rPr>
            </w:pPr>
            <w:r>
              <w:rPr>
                <w:rFonts w:ascii="宋体" w:eastAsia="宋体" w:hAnsi="宋体" w:cs="宋体"/>
                <w:spacing w:val="-5"/>
                <w:sz w:val="16"/>
                <w:szCs w:val="16"/>
              </w:rPr>
              <w:t>10</w:t>
            </w:r>
          </w:p>
        </w:tc>
      </w:tr>
      <w:tr w:rsidR="00EA40A3">
        <w:trPr>
          <w:trHeight w:val="265"/>
        </w:trPr>
        <w:tc>
          <w:tcPr>
            <w:tcW w:w="976" w:type="dxa"/>
          </w:tcPr>
          <w:p w:rsidR="00EA40A3" w:rsidRDefault="00E86C16">
            <w:pPr>
              <w:spacing w:before="54" w:line="220" w:lineRule="auto"/>
              <w:ind w:left="109"/>
              <w:rPr>
                <w:rFonts w:ascii="宋体" w:eastAsia="宋体" w:hAnsi="宋体" w:cs="宋体"/>
                <w:sz w:val="16"/>
                <w:szCs w:val="16"/>
              </w:rPr>
            </w:pPr>
            <w:r>
              <w:rPr>
                <w:rFonts w:ascii="宋体" w:eastAsia="宋体" w:hAnsi="宋体" w:cs="宋体"/>
                <w:spacing w:val="-2"/>
                <w:sz w:val="16"/>
                <w:szCs w:val="16"/>
              </w:rPr>
              <w:t>鲜枣</w:t>
            </w:r>
          </w:p>
        </w:tc>
        <w:tc>
          <w:tcPr>
            <w:tcW w:w="1155" w:type="dxa"/>
          </w:tcPr>
          <w:p w:rsidR="00EA40A3" w:rsidRDefault="00E86C16">
            <w:pPr>
              <w:spacing w:before="95" w:line="183" w:lineRule="auto"/>
              <w:ind w:left="344"/>
              <w:rPr>
                <w:rFonts w:ascii="宋体" w:eastAsia="宋体" w:hAnsi="宋体" w:cs="宋体"/>
                <w:sz w:val="16"/>
                <w:szCs w:val="16"/>
              </w:rPr>
            </w:pPr>
            <w:r>
              <w:rPr>
                <w:rFonts w:ascii="宋体" w:eastAsia="宋体" w:hAnsi="宋体" w:cs="宋体"/>
                <w:spacing w:val="-3"/>
                <w:sz w:val="16"/>
                <w:szCs w:val="16"/>
              </w:rPr>
              <w:t>375</w:t>
            </w:r>
          </w:p>
        </w:tc>
        <w:tc>
          <w:tcPr>
            <w:tcW w:w="1206" w:type="dxa"/>
          </w:tcPr>
          <w:p w:rsidR="00EA40A3" w:rsidRDefault="00E86C16">
            <w:pPr>
              <w:spacing w:before="94" w:line="184" w:lineRule="auto"/>
              <w:ind w:left="539"/>
              <w:rPr>
                <w:rFonts w:ascii="宋体" w:eastAsia="宋体" w:hAnsi="宋体" w:cs="宋体"/>
                <w:sz w:val="16"/>
                <w:szCs w:val="16"/>
              </w:rPr>
            </w:pPr>
            <w:r>
              <w:rPr>
                <w:rFonts w:ascii="宋体" w:eastAsia="宋体" w:hAnsi="宋体" w:cs="宋体"/>
                <w:sz w:val="16"/>
                <w:szCs w:val="16"/>
              </w:rPr>
              <w:t>1</w:t>
            </w:r>
          </w:p>
        </w:tc>
        <w:tc>
          <w:tcPr>
            <w:tcW w:w="1230" w:type="dxa"/>
          </w:tcPr>
          <w:p w:rsidR="00EA40A3" w:rsidRDefault="00E86C16">
            <w:pPr>
              <w:spacing w:before="95" w:line="183" w:lineRule="auto"/>
              <w:ind w:left="542"/>
              <w:rPr>
                <w:rFonts w:ascii="宋体" w:eastAsia="宋体" w:hAnsi="宋体" w:cs="宋体"/>
                <w:sz w:val="16"/>
                <w:szCs w:val="16"/>
              </w:rPr>
            </w:pPr>
            <w:r>
              <w:rPr>
                <w:rFonts w:ascii="宋体" w:eastAsia="宋体" w:hAnsi="宋体" w:cs="宋体"/>
                <w:spacing w:val="-3"/>
                <w:sz w:val="16"/>
                <w:szCs w:val="16"/>
              </w:rPr>
              <w:t>25</w:t>
            </w:r>
          </w:p>
        </w:tc>
        <w:tc>
          <w:tcPr>
            <w:tcW w:w="1229" w:type="dxa"/>
          </w:tcPr>
          <w:p w:rsidR="00EA40A3" w:rsidRDefault="00E86C16">
            <w:pPr>
              <w:spacing w:before="104" w:line="184" w:lineRule="auto"/>
              <w:ind w:left="552"/>
              <w:rPr>
                <w:rFonts w:ascii="宋体" w:eastAsia="宋体" w:hAnsi="宋体" w:cs="宋体"/>
                <w:sz w:val="16"/>
                <w:szCs w:val="16"/>
              </w:rPr>
            </w:pPr>
            <w:r>
              <w:rPr>
                <w:rFonts w:ascii="宋体" w:eastAsia="宋体" w:hAnsi="宋体" w:cs="宋体"/>
                <w:spacing w:val="-5"/>
                <w:sz w:val="16"/>
                <w:szCs w:val="16"/>
              </w:rPr>
              <w:t>1.2</w:t>
            </w:r>
          </w:p>
        </w:tc>
        <w:tc>
          <w:tcPr>
            <w:tcW w:w="757" w:type="dxa"/>
          </w:tcPr>
          <w:p w:rsidR="00EA40A3" w:rsidRDefault="00E86C16">
            <w:pPr>
              <w:spacing w:before="95" w:line="183" w:lineRule="auto"/>
              <w:ind w:left="553"/>
              <w:rPr>
                <w:rFonts w:ascii="宋体" w:eastAsia="宋体" w:hAnsi="宋体" w:cs="宋体"/>
                <w:sz w:val="16"/>
                <w:szCs w:val="16"/>
              </w:rPr>
            </w:pPr>
            <w:r>
              <w:rPr>
                <w:rFonts w:ascii="宋体" w:eastAsia="宋体" w:hAnsi="宋体" w:cs="宋体"/>
                <w:spacing w:val="-3"/>
                <w:sz w:val="16"/>
                <w:szCs w:val="16"/>
              </w:rPr>
              <w:t>22</w:t>
            </w:r>
          </w:p>
        </w:tc>
      </w:tr>
      <w:tr w:rsidR="00EA40A3">
        <w:trPr>
          <w:trHeight w:val="280"/>
        </w:trPr>
        <w:tc>
          <w:tcPr>
            <w:tcW w:w="976" w:type="dxa"/>
          </w:tcPr>
          <w:p w:rsidR="00EA40A3" w:rsidRDefault="00E86C16">
            <w:pPr>
              <w:spacing w:before="49" w:line="219" w:lineRule="auto"/>
              <w:ind w:left="109"/>
              <w:rPr>
                <w:rFonts w:ascii="宋体" w:eastAsia="宋体" w:hAnsi="宋体" w:cs="宋体"/>
                <w:sz w:val="16"/>
                <w:szCs w:val="16"/>
              </w:rPr>
            </w:pPr>
            <w:r>
              <w:rPr>
                <w:rFonts w:ascii="宋体" w:eastAsia="宋体" w:hAnsi="宋体" w:cs="宋体"/>
                <w:spacing w:val="-2"/>
                <w:sz w:val="16"/>
                <w:szCs w:val="16"/>
              </w:rPr>
              <w:t>龙眼</w:t>
            </w:r>
          </w:p>
        </w:tc>
        <w:tc>
          <w:tcPr>
            <w:tcW w:w="1155" w:type="dxa"/>
          </w:tcPr>
          <w:p w:rsidR="00EA40A3" w:rsidRDefault="00E86C16">
            <w:pPr>
              <w:spacing w:before="110" w:line="183" w:lineRule="auto"/>
              <w:ind w:left="344"/>
              <w:rPr>
                <w:rFonts w:ascii="宋体" w:eastAsia="宋体" w:hAnsi="宋体" w:cs="宋体"/>
                <w:sz w:val="16"/>
                <w:szCs w:val="16"/>
              </w:rPr>
            </w:pPr>
            <w:r>
              <w:rPr>
                <w:rFonts w:ascii="宋体" w:eastAsia="宋体" w:hAnsi="宋体" w:cs="宋体"/>
                <w:spacing w:val="-2"/>
                <w:sz w:val="16"/>
                <w:szCs w:val="16"/>
              </w:rPr>
              <w:t>248</w:t>
            </w:r>
          </w:p>
        </w:tc>
        <w:tc>
          <w:tcPr>
            <w:tcW w:w="1206" w:type="dxa"/>
          </w:tcPr>
          <w:p w:rsidR="00EA40A3" w:rsidRDefault="00E86C16">
            <w:pPr>
              <w:spacing w:before="120" w:line="183" w:lineRule="auto"/>
              <w:ind w:left="528"/>
              <w:rPr>
                <w:rFonts w:ascii="宋体" w:eastAsia="宋体" w:hAnsi="宋体" w:cs="宋体"/>
                <w:sz w:val="16"/>
                <w:szCs w:val="16"/>
              </w:rPr>
            </w:pPr>
            <w:r>
              <w:rPr>
                <w:rFonts w:ascii="宋体" w:eastAsia="宋体" w:hAnsi="宋体" w:cs="宋体"/>
                <w:sz w:val="16"/>
                <w:szCs w:val="16"/>
              </w:rPr>
              <w:t>4</w:t>
            </w:r>
          </w:p>
        </w:tc>
        <w:tc>
          <w:tcPr>
            <w:tcW w:w="1230" w:type="dxa"/>
          </w:tcPr>
          <w:p w:rsidR="00EA40A3" w:rsidRDefault="00E86C16">
            <w:pPr>
              <w:spacing w:before="109" w:line="184" w:lineRule="auto"/>
              <w:ind w:left="553"/>
              <w:rPr>
                <w:rFonts w:ascii="宋体" w:eastAsia="宋体" w:hAnsi="宋体" w:cs="宋体"/>
                <w:sz w:val="16"/>
                <w:szCs w:val="16"/>
              </w:rPr>
            </w:pPr>
            <w:r>
              <w:rPr>
                <w:rFonts w:ascii="宋体" w:eastAsia="宋体" w:hAnsi="宋体" w:cs="宋体"/>
                <w:spacing w:val="-5"/>
                <w:sz w:val="16"/>
                <w:szCs w:val="16"/>
              </w:rPr>
              <w:t>10</w:t>
            </w:r>
          </w:p>
        </w:tc>
        <w:tc>
          <w:tcPr>
            <w:tcW w:w="1229" w:type="dxa"/>
          </w:tcPr>
          <w:p w:rsidR="00EA40A3" w:rsidRDefault="00E86C16">
            <w:pPr>
              <w:spacing w:before="120" w:line="183" w:lineRule="auto"/>
              <w:ind w:left="532"/>
              <w:rPr>
                <w:rFonts w:ascii="宋体" w:eastAsia="宋体" w:hAnsi="宋体" w:cs="宋体"/>
                <w:sz w:val="16"/>
                <w:szCs w:val="16"/>
              </w:rPr>
            </w:pPr>
            <w:r>
              <w:rPr>
                <w:rFonts w:ascii="宋体" w:eastAsia="宋体" w:hAnsi="宋体" w:cs="宋体"/>
                <w:spacing w:val="-2"/>
                <w:sz w:val="16"/>
                <w:szCs w:val="16"/>
              </w:rPr>
              <w:t>0.2</w:t>
            </w:r>
          </w:p>
        </w:tc>
        <w:tc>
          <w:tcPr>
            <w:tcW w:w="757" w:type="dxa"/>
          </w:tcPr>
          <w:p w:rsidR="00EA40A3" w:rsidRDefault="00E86C16">
            <w:pPr>
              <w:spacing w:before="120" w:line="183" w:lineRule="auto"/>
              <w:ind w:left="583"/>
              <w:rPr>
                <w:rFonts w:ascii="宋体" w:eastAsia="宋体" w:hAnsi="宋体" w:cs="宋体"/>
                <w:sz w:val="16"/>
                <w:szCs w:val="16"/>
              </w:rPr>
            </w:pPr>
            <w:r>
              <w:rPr>
                <w:rFonts w:ascii="宋体" w:eastAsia="宋体" w:hAnsi="宋体" w:cs="宋体"/>
                <w:sz w:val="16"/>
                <w:szCs w:val="16"/>
              </w:rPr>
              <w:t>6</w:t>
            </w:r>
          </w:p>
        </w:tc>
      </w:tr>
      <w:tr w:rsidR="00EA40A3">
        <w:trPr>
          <w:trHeight w:val="274"/>
        </w:trPr>
        <w:tc>
          <w:tcPr>
            <w:tcW w:w="976" w:type="dxa"/>
          </w:tcPr>
          <w:p w:rsidR="00EA40A3" w:rsidRDefault="00E86C16">
            <w:pPr>
              <w:spacing w:before="49" w:line="219" w:lineRule="auto"/>
              <w:ind w:left="109"/>
              <w:rPr>
                <w:rFonts w:ascii="宋体" w:eastAsia="宋体" w:hAnsi="宋体" w:cs="宋体"/>
                <w:sz w:val="16"/>
                <w:szCs w:val="16"/>
              </w:rPr>
            </w:pPr>
            <w:r>
              <w:rPr>
                <w:rFonts w:ascii="宋体" w:eastAsia="宋体" w:hAnsi="宋体" w:cs="宋体"/>
                <w:spacing w:val="-2"/>
                <w:sz w:val="16"/>
                <w:szCs w:val="16"/>
              </w:rPr>
              <w:t>草莓</w:t>
            </w:r>
          </w:p>
        </w:tc>
        <w:tc>
          <w:tcPr>
            <w:tcW w:w="1155" w:type="dxa"/>
          </w:tcPr>
          <w:p w:rsidR="00EA40A3" w:rsidRDefault="00E86C16">
            <w:pPr>
              <w:spacing w:before="99" w:line="184" w:lineRule="auto"/>
              <w:ind w:left="344"/>
              <w:rPr>
                <w:rFonts w:ascii="宋体" w:eastAsia="宋体" w:hAnsi="宋体" w:cs="宋体"/>
                <w:sz w:val="16"/>
                <w:szCs w:val="16"/>
              </w:rPr>
            </w:pPr>
            <w:r>
              <w:rPr>
                <w:rFonts w:ascii="宋体" w:eastAsia="宋体" w:hAnsi="宋体" w:cs="宋体"/>
                <w:spacing w:val="-5"/>
                <w:sz w:val="16"/>
                <w:szCs w:val="16"/>
              </w:rPr>
              <w:t>131</w:t>
            </w:r>
          </w:p>
        </w:tc>
        <w:tc>
          <w:tcPr>
            <w:tcW w:w="1206" w:type="dxa"/>
          </w:tcPr>
          <w:p w:rsidR="00EA40A3" w:rsidRDefault="00E86C16">
            <w:pPr>
              <w:spacing w:before="110" w:line="183" w:lineRule="auto"/>
              <w:ind w:left="528"/>
              <w:rPr>
                <w:rFonts w:ascii="宋体" w:eastAsia="宋体" w:hAnsi="宋体" w:cs="宋体"/>
                <w:sz w:val="16"/>
                <w:szCs w:val="16"/>
              </w:rPr>
            </w:pPr>
            <w:r>
              <w:rPr>
                <w:rFonts w:ascii="宋体" w:eastAsia="宋体" w:hAnsi="宋体" w:cs="宋体"/>
                <w:sz w:val="16"/>
                <w:szCs w:val="16"/>
              </w:rPr>
              <w:t>4</w:t>
            </w:r>
          </w:p>
        </w:tc>
        <w:tc>
          <w:tcPr>
            <w:tcW w:w="1230" w:type="dxa"/>
          </w:tcPr>
          <w:p w:rsidR="00EA40A3" w:rsidRDefault="00E86C16">
            <w:pPr>
              <w:spacing w:before="99" w:line="184" w:lineRule="auto"/>
              <w:ind w:left="542"/>
              <w:rPr>
                <w:rFonts w:ascii="宋体" w:eastAsia="宋体" w:hAnsi="宋体" w:cs="宋体"/>
                <w:sz w:val="16"/>
                <w:szCs w:val="16"/>
              </w:rPr>
            </w:pPr>
            <w:r>
              <w:rPr>
                <w:rFonts w:ascii="宋体" w:eastAsia="宋体" w:hAnsi="宋体" w:cs="宋体"/>
                <w:spacing w:val="-5"/>
                <w:sz w:val="16"/>
                <w:szCs w:val="16"/>
              </w:rPr>
              <w:t>12</w:t>
            </w:r>
          </w:p>
        </w:tc>
        <w:tc>
          <w:tcPr>
            <w:tcW w:w="1229" w:type="dxa"/>
          </w:tcPr>
          <w:p w:rsidR="00EA40A3" w:rsidRDefault="00E86C16">
            <w:pPr>
              <w:spacing w:before="99" w:line="184" w:lineRule="auto"/>
              <w:ind w:left="532"/>
              <w:rPr>
                <w:rFonts w:ascii="宋体" w:eastAsia="宋体" w:hAnsi="宋体" w:cs="宋体"/>
                <w:sz w:val="16"/>
                <w:szCs w:val="16"/>
              </w:rPr>
            </w:pPr>
            <w:r>
              <w:rPr>
                <w:rFonts w:ascii="宋体" w:eastAsia="宋体" w:hAnsi="宋体" w:cs="宋体"/>
                <w:spacing w:val="-5"/>
                <w:sz w:val="16"/>
                <w:szCs w:val="16"/>
              </w:rPr>
              <w:t>1.8</w:t>
            </w:r>
          </w:p>
        </w:tc>
        <w:tc>
          <w:tcPr>
            <w:tcW w:w="757" w:type="dxa"/>
          </w:tcPr>
          <w:p w:rsidR="00EA40A3" w:rsidRDefault="00E86C16">
            <w:pPr>
              <w:spacing w:before="99" w:line="184" w:lineRule="auto"/>
              <w:ind w:left="543"/>
              <w:rPr>
                <w:rFonts w:ascii="宋体" w:eastAsia="宋体" w:hAnsi="宋体" w:cs="宋体"/>
                <w:sz w:val="16"/>
                <w:szCs w:val="16"/>
              </w:rPr>
            </w:pPr>
            <w:r>
              <w:rPr>
                <w:rFonts w:ascii="宋体" w:eastAsia="宋体" w:hAnsi="宋体" w:cs="宋体"/>
                <w:spacing w:val="-5"/>
                <w:sz w:val="16"/>
                <w:szCs w:val="16"/>
              </w:rPr>
              <w:t>18</w:t>
            </w:r>
          </w:p>
        </w:tc>
      </w:tr>
      <w:tr w:rsidR="00EA40A3">
        <w:trPr>
          <w:trHeight w:val="281"/>
        </w:trPr>
        <w:tc>
          <w:tcPr>
            <w:tcW w:w="976" w:type="dxa"/>
          </w:tcPr>
          <w:p w:rsidR="00EA40A3" w:rsidRDefault="00E86C16">
            <w:pPr>
              <w:spacing w:before="54" w:line="219" w:lineRule="auto"/>
              <w:ind w:left="170"/>
              <w:rPr>
                <w:rFonts w:ascii="宋体" w:eastAsia="宋体" w:hAnsi="宋体" w:cs="宋体"/>
                <w:sz w:val="16"/>
                <w:szCs w:val="16"/>
              </w:rPr>
            </w:pPr>
            <w:r>
              <w:rPr>
                <w:rFonts w:ascii="宋体" w:eastAsia="宋体" w:hAnsi="宋体" w:cs="宋体"/>
                <w:sz w:val="16"/>
                <w:szCs w:val="16"/>
              </w:rPr>
              <w:t>橙</w:t>
            </w:r>
          </w:p>
        </w:tc>
        <w:tc>
          <w:tcPr>
            <w:tcW w:w="1155" w:type="dxa"/>
          </w:tcPr>
          <w:p w:rsidR="00EA40A3" w:rsidRDefault="00E86C16">
            <w:pPr>
              <w:spacing w:before="115" w:line="184" w:lineRule="auto"/>
              <w:ind w:left="344"/>
              <w:rPr>
                <w:rFonts w:ascii="宋体" w:eastAsia="宋体" w:hAnsi="宋体" w:cs="宋体"/>
                <w:sz w:val="16"/>
                <w:szCs w:val="16"/>
              </w:rPr>
            </w:pPr>
            <w:r>
              <w:rPr>
                <w:rFonts w:ascii="宋体" w:eastAsia="宋体" w:hAnsi="宋体" w:cs="宋体"/>
                <w:spacing w:val="-5"/>
                <w:sz w:val="16"/>
                <w:szCs w:val="16"/>
              </w:rPr>
              <w:t>159</w:t>
            </w:r>
          </w:p>
        </w:tc>
        <w:tc>
          <w:tcPr>
            <w:tcW w:w="1206" w:type="dxa"/>
          </w:tcPr>
          <w:p w:rsidR="00EA40A3" w:rsidRDefault="00E86C16">
            <w:pPr>
              <w:spacing w:before="125" w:line="179" w:lineRule="auto"/>
              <w:ind w:left="528"/>
              <w:rPr>
                <w:rFonts w:ascii="宋体" w:eastAsia="宋体" w:hAnsi="宋体" w:cs="宋体"/>
                <w:sz w:val="16"/>
                <w:szCs w:val="16"/>
              </w:rPr>
            </w:pPr>
            <w:r>
              <w:rPr>
                <w:rFonts w:ascii="宋体" w:eastAsia="宋体" w:hAnsi="宋体" w:cs="宋体"/>
                <w:sz w:val="16"/>
                <w:szCs w:val="16"/>
              </w:rPr>
              <w:t>1</w:t>
            </w:r>
          </w:p>
        </w:tc>
        <w:tc>
          <w:tcPr>
            <w:tcW w:w="1230" w:type="dxa"/>
          </w:tcPr>
          <w:p w:rsidR="00EA40A3" w:rsidRDefault="00E86C16">
            <w:pPr>
              <w:spacing w:before="115" w:line="184" w:lineRule="auto"/>
              <w:ind w:left="542"/>
              <w:rPr>
                <w:rFonts w:ascii="宋体" w:eastAsia="宋体" w:hAnsi="宋体" w:cs="宋体"/>
                <w:sz w:val="16"/>
                <w:szCs w:val="16"/>
              </w:rPr>
            </w:pPr>
            <w:r>
              <w:rPr>
                <w:rFonts w:ascii="宋体" w:eastAsia="宋体" w:hAnsi="宋体" w:cs="宋体"/>
                <w:spacing w:val="-5"/>
                <w:sz w:val="16"/>
                <w:szCs w:val="16"/>
              </w:rPr>
              <w:t>14</w:t>
            </w:r>
          </w:p>
        </w:tc>
        <w:tc>
          <w:tcPr>
            <w:tcW w:w="1229" w:type="dxa"/>
          </w:tcPr>
          <w:p w:rsidR="00EA40A3" w:rsidRDefault="00E86C16">
            <w:pPr>
              <w:spacing w:before="126" w:line="178" w:lineRule="auto"/>
              <w:ind w:left="522"/>
              <w:rPr>
                <w:rFonts w:ascii="宋体" w:eastAsia="宋体" w:hAnsi="宋体" w:cs="宋体"/>
                <w:sz w:val="16"/>
                <w:szCs w:val="16"/>
              </w:rPr>
            </w:pPr>
            <w:r>
              <w:rPr>
                <w:rFonts w:ascii="宋体" w:eastAsia="宋体" w:hAnsi="宋体" w:cs="宋体"/>
                <w:spacing w:val="-2"/>
                <w:sz w:val="16"/>
                <w:szCs w:val="16"/>
              </w:rPr>
              <w:t>0.4</w:t>
            </w:r>
          </w:p>
        </w:tc>
        <w:tc>
          <w:tcPr>
            <w:tcW w:w="757" w:type="dxa"/>
          </w:tcPr>
          <w:p w:rsidR="00EA40A3" w:rsidRDefault="00E86C16">
            <w:pPr>
              <w:spacing w:before="126" w:line="178" w:lineRule="auto"/>
              <w:ind w:left="543"/>
              <w:rPr>
                <w:rFonts w:ascii="宋体" w:eastAsia="宋体" w:hAnsi="宋体" w:cs="宋体"/>
                <w:sz w:val="16"/>
                <w:szCs w:val="16"/>
              </w:rPr>
            </w:pPr>
            <w:r>
              <w:rPr>
                <w:rFonts w:ascii="宋体" w:eastAsia="宋体" w:hAnsi="宋体" w:cs="宋体"/>
                <w:spacing w:val="-3"/>
                <w:sz w:val="16"/>
                <w:szCs w:val="16"/>
              </w:rPr>
              <w:t>20</w:t>
            </w:r>
          </w:p>
        </w:tc>
      </w:tr>
      <w:tr w:rsidR="00EA40A3">
        <w:trPr>
          <w:trHeight w:val="275"/>
        </w:trPr>
        <w:tc>
          <w:tcPr>
            <w:tcW w:w="976" w:type="dxa"/>
          </w:tcPr>
          <w:p w:rsidR="00EA40A3" w:rsidRDefault="00E86C16">
            <w:pPr>
              <w:spacing w:before="44" w:line="220" w:lineRule="auto"/>
              <w:ind w:left="170"/>
              <w:rPr>
                <w:rFonts w:ascii="宋体" w:eastAsia="宋体" w:hAnsi="宋体" w:cs="宋体"/>
                <w:sz w:val="16"/>
                <w:szCs w:val="16"/>
              </w:rPr>
            </w:pPr>
            <w:r>
              <w:rPr>
                <w:rFonts w:ascii="宋体" w:eastAsia="宋体" w:hAnsi="宋体" w:cs="宋体"/>
                <w:sz w:val="16"/>
                <w:szCs w:val="16"/>
              </w:rPr>
              <w:t>柚</w:t>
            </w:r>
          </w:p>
        </w:tc>
        <w:tc>
          <w:tcPr>
            <w:tcW w:w="1155" w:type="dxa"/>
          </w:tcPr>
          <w:p w:rsidR="00EA40A3" w:rsidRDefault="00E86C16">
            <w:pPr>
              <w:spacing w:before="114" w:line="184" w:lineRule="auto"/>
              <w:ind w:left="344"/>
              <w:rPr>
                <w:rFonts w:ascii="宋体" w:eastAsia="宋体" w:hAnsi="宋体" w:cs="宋体"/>
                <w:sz w:val="16"/>
                <w:szCs w:val="16"/>
              </w:rPr>
            </w:pPr>
            <w:r>
              <w:rPr>
                <w:rFonts w:ascii="宋体" w:eastAsia="宋体" w:hAnsi="宋体" w:cs="宋体"/>
                <w:spacing w:val="-5"/>
                <w:sz w:val="16"/>
                <w:szCs w:val="16"/>
              </w:rPr>
              <w:t>119</w:t>
            </w:r>
          </w:p>
        </w:tc>
        <w:tc>
          <w:tcPr>
            <w:tcW w:w="1206" w:type="dxa"/>
          </w:tcPr>
          <w:p w:rsidR="00EA40A3" w:rsidRDefault="00E86C16">
            <w:pPr>
              <w:spacing w:before="105" w:line="183" w:lineRule="auto"/>
              <w:ind w:left="519"/>
              <w:rPr>
                <w:rFonts w:ascii="宋体" w:eastAsia="宋体" w:hAnsi="宋体" w:cs="宋体"/>
                <w:sz w:val="16"/>
                <w:szCs w:val="16"/>
              </w:rPr>
            </w:pPr>
            <w:r>
              <w:rPr>
                <w:rFonts w:ascii="宋体" w:eastAsia="宋体" w:hAnsi="宋体" w:cs="宋体"/>
                <w:sz w:val="16"/>
                <w:szCs w:val="16"/>
              </w:rPr>
              <w:t>3</w:t>
            </w:r>
          </w:p>
        </w:tc>
        <w:tc>
          <w:tcPr>
            <w:tcW w:w="1230" w:type="dxa"/>
          </w:tcPr>
          <w:p w:rsidR="00EA40A3" w:rsidRDefault="00E86C16">
            <w:pPr>
              <w:spacing w:before="115" w:line="183" w:lineRule="auto"/>
              <w:ind w:left="573"/>
              <w:rPr>
                <w:rFonts w:ascii="宋体" w:eastAsia="宋体" w:hAnsi="宋体" w:cs="宋体"/>
                <w:sz w:val="16"/>
                <w:szCs w:val="16"/>
              </w:rPr>
            </w:pPr>
            <w:r>
              <w:rPr>
                <w:rFonts w:ascii="宋体" w:eastAsia="宋体" w:hAnsi="宋体" w:cs="宋体"/>
                <w:sz w:val="16"/>
                <w:szCs w:val="16"/>
              </w:rPr>
              <w:t>4</w:t>
            </w:r>
          </w:p>
        </w:tc>
        <w:tc>
          <w:tcPr>
            <w:tcW w:w="1229" w:type="dxa"/>
          </w:tcPr>
          <w:p w:rsidR="00EA40A3" w:rsidRDefault="00E86C16">
            <w:pPr>
              <w:spacing w:before="115" w:line="183" w:lineRule="auto"/>
              <w:ind w:left="522"/>
              <w:rPr>
                <w:rFonts w:ascii="宋体" w:eastAsia="宋体" w:hAnsi="宋体" w:cs="宋体"/>
                <w:sz w:val="16"/>
                <w:szCs w:val="16"/>
              </w:rPr>
            </w:pPr>
            <w:r>
              <w:rPr>
                <w:rFonts w:ascii="宋体" w:eastAsia="宋体" w:hAnsi="宋体" w:cs="宋体"/>
                <w:spacing w:val="-2"/>
                <w:sz w:val="16"/>
                <w:szCs w:val="16"/>
              </w:rPr>
              <w:t>0.3</w:t>
            </w:r>
          </w:p>
        </w:tc>
        <w:tc>
          <w:tcPr>
            <w:tcW w:w="757" w:type="dxa"/>
          </w:tcPr>
          <w:p w:rsidR="00EA40A3" w:rsidRDefault="00E86C16">
            <w:pPr>
              <w:spacing w:before="115" w:line="183" w:lineRule="auto"/>
              <w:ind w:left="563"/>
              <w:rPr>
                <w:rFonts w:ascii="宋体" w:eastAsia="宋体" w:hAnsi="宋体" w:cs="宋体"/>
                <w:sz w:val="16"/>
                <w:szCs w:val="16"/>
              </w:rPr>
            </w:pPr>
            <w:r>
              <w:rPr>
                <w:rFonts w:ascii="宋体" w:eastAsia="宋体" w:hAnsi="宋体" w:cs="宋体"/>
                <w:sz w:val="16"/>
                <w:szCs w:val="16"/>
              </w:rPr>
              <w:t>4</w:t>
            </w:r>
          </w:p>
        </w:tc>
      </w:tr>
      <w:tr w:rsidR="00EA40A3">
        <w:trPr>
          <w:trHeight w:val="279"/>
        </w:trPr>
        <w:tc>
          <w:tcPr>
            <w:tcW w:w="976" w:type="dxa"/>
          </w:tcPr>
          <w:p w:rsidR="00EA40A3" w:rsidRDefault="00E86C16">
            <w:pPr>
              <w:spacing w:before="69" w:line="220" w:lineRule="auto"/>
              <w:ind w:left="99"/>
              <w:rPr>
                <w:rFonts w:ascii="宋体" w:eastAsia="宋体" w:hAnsi="宋体" w:cs="宋体"/>
                <w:sz w:val="16"/>
                <w:szCs w:val="16"/>
              </w:rPr>
            </w:pPr>
            <w:r>
              <w:rPr>
                <w:rFonts w:ascii="宋体" w:eastAsia="宋体" w:hAnsi="宋体" w:cs="宋体"/>
                <w:spacing w:val="-3"/>
                <w:sz w:val="16"/>
                <w:szCs w:val="16"/>
              </w:rPr>
              <w:t>芒果</w:t>
            </w:r>
          </w:p>
        </w:tc>
        <w:tc>
          <w:tcPr>
            <w:tcW w:w="1155" w:type="dxa"/>
          </w:tcPr>
          <w:p w:rsidR="00EA40A3" w:rsidRDefault="00E86C16">
            <w:pPr>
              <w:spacing w:before="109" w:line="184" w:lineRule="auto"/>
              <w:ind w:left="344"/>
              <w:rPr>
                <w:rFonts w:ascii="宋体" w:eastAsia="宋体" w:hAnsi="宋体" w:cs="宋体"/>
                <w:sz w:val="16"/>
                <w:szCs w:val="16"/>
              </w:rPr>
            </w:pPr>
            <w:r>
              <w:rPr>
                <w:rFonts w:ascii="宋体" w:eastAsia="宋体" w:hAnsi="宋体" w:cs="宋体"/>
                <w:spacing w:val="-5"/>
                <w:sz w:val="16"/>
                <w:szCs w:val="16"/>
              </w:rPr>
              <w:t>138</w:t>
            </w:r>
          </w:p>
        </w:tc>
        <w:tc>
          <w:tcPr>
            <w:tcW w:w="1206" w:type="dxa"/>
          </w:tcPr>
          <w:p w:rsidR="00EA40A3" w:rsidRDefault="00E86C16">
            <w:pPr>
              <w:spacing w:before="110" w:line="183" w:lineRule="auto"/>
              <w:ind w:left="519"/>
              <w:rPr>
                <w:rFonts w:ascii="宋体" w:eastAsia="宋体" w:hAnsi="宋体" w:cs="宋体"/>
                <w:sz w:val="16"/>
                <w:szCs w:val="16"/>
              </w:rPr>
            </w:pPr>
            <w:r>
              <w:rPr>
                <w:rFonts w:ascii="宋体" w:eastAsia="宋体" w:hAnsi="宋体" w:cs="宋体"/>
                <w:sz w:val="16"/>
                <w:szCs w:val="16"/>
              </w:rPr>
              <w:t>3</w:t>
            </w:r>
          </w:p>
        </w:tc>
        <w:tc>
          <w:tcPr>
            <w:tcW w:w="1230" w:type="dxa"/>
          </w:tcPr>
          <w:p w:rsidR="00EA40A3" w:rsidRDefault="00E86C16">
            <w:pPr>
              <w:spacing w:before="109" w:line="184" w:lineRule="auto"/>
              <w:ind w:left="562"/>
              <w:rPr>
                <w:rFonts w:ascii="宋体" w:eastAsia="宋体" w:hAnsi="宋体" w:cs="宋体"/>
                <w:sz w:val="16"/>
                <w:szCs w:val="16"/>
              </w:rPr>
            </w:pPr>
            <w:r>
              <w:rPr>
                <w:rFonts w:ascii="宋体" w:eastAsia="宋体" w:hAnsi="宋体" w:cs="宋体"/>
                <w:spacing w:val="-5"/>
                <w:sz w:val="16"/>
                <w:szCs w:val="16"/>
              </w:rPr>
              <w:t>14</w:t>
            </w:r>
          </w:p>
        </w:tc>
        <w:tc>
          <w:tcPr>
            <w:tcW w:w="1229" w:type="dxa"/>
          </w:tcPr>
          <w:p w:rsidR="00EA40A3" w:rsidRDefault="00E86C16">
            <w:pPr>
              <w:spacing w:before="110" w:line="183" w:lineRule="auto"/>
              <w:ind w:left="522"/>
              <w:rPr>
                <w:rFonts w:ascii="宋体" w:eastAsia="宋体" w:hAnsi="宋体" w:cs="宋体"/>
                <w:sz w:val="16"/>
                <w:szCs w:val="16"/>
              </w:rPr>
            </w:pPr>
            <w:r>
              <w:rPr>
                <w:rFonts w:ascii="宋体" w:eastAsia="宋体" w:hAnsi="宋体" w:cs="宋体"/>
                <w:spacing w:val="-2"/>
                <w:sz w:val="16"/>
                <w:szCs w:val="16"/>
              </w:rPr>
              <w:t>0.2</w:t>
            </w:r>
          </w:p>
        </w:tc>
        <w:tc>
          <w:tcPr>
            <w:tcW w:w="757" w:type="dxa"/>
          </w:tcPr>
          <w:p w:rsidR="00EA40A3" w:rsidRDefault="00E86C16">
            <w:pPr>
              <w:spacing w:before="48" w:line="232" w:lineRule="auto"/>
              <w:ind w:left="444"/>
              <w:rPr>
                <w:rFonts w:ascii="宋体" w:eastAsia="宋体" w:hAnsi="宋体" w:cs="宋体"/>
                <w:sz w:val="15"/>
                <w:szCs w:val="15"/>
              </w:rPr>
            </w:pPr>
            <w:r>
              <w:rPr>
                <w:rFonts w:ascii="宋体" w:eastAsia="宋体" w:hAnsi="宋体" w:cs="宋体"/>
                <w:spacing w:val="6"/>
                <w:sz w:val="15"/>
                <w:szCs w:val="15"/>
              </w:rPr>
              <w:t>微量</w:t>
            </w:r>
          </w:p>
        </w:tc>
      </w:tr>
      <w:tr w:rsidR="00EA40A3">
        <w:trPr>
          <w:trHeight w:val="222"/>
        </w:trPr>
        <w:tc>
          <w:tcPr>
            <w:tcW w:w="976" w:type="dxa"/>
          </w:tcPr>
          <w:p w:rsidR="00EA40A3" w:rsidRDefault="00E86C16">
            <w:pPr>
              <w:spacing w:before="51" w:line="197" w:lineRule="auto"/>
              <w:ind w:left="99"/>
              <w:rPr>
                <w:rFonts w:ascii="宋体" w:eastAsia="宋体" w:hAnsi="宋体" w:cs="宋体"/>
                <w:sz w:val="16"/>
                <w:szCs w:val="16"/>
              </w:rPr>
            </w:pPr>
            <w:r>
              <w:rPr>
                <w:rFonts w:ascii="宋体" w:eastAsia="宋体" w:hAnsi="宋体" w:cs="宋体"/>
                <w:spacing w:val="-2"/>
                <w:sz w:val="16"/>
                <w:szCs w:val="16"/>
              </w:rPr>
              <w:t>香蕉</w:t>
            </w:r>
          </w:p>
        </w:tc>
        <w:tc>
          <w:tcPr>
            <w:tcW w:w="1155" w:type="dxa"/>
          </w:tcPr>
          <w:p w:rsidR="00EA40A3" w:rsidRDefault="00E86C16">
            <w:pPr>
              <w:spacing w:before="111" w:line="111" w:lineRule="exact"/>
              <w:ind w:left="344"/>
              <w:rPr>
                <w:rFonts w:ascii="宋体" w:eastAsia="宋体" w:hAnsi="宋体" w:cs="宋体"/>
                <w:sz w:val="15"/>
                <w:szCs w:val="15"/>
              </w:rPr>
            </w:pPr>
            <w:r>
              <w:rPr>
                <w:rFonts w:ascii="宋体" w:eastAsia="宋体" w:hAnsi="宋体" w:cs="宋体"/>
                <w:spacing w:val="2"/>
                <w:position w:val="-2"/>
                <w:sz w:val="15"/>
                <w:szCs w:val="15"/>
              </w:rPr>
              <w:t>256</w:t>
            </w:r>
          </w:p>
        </w:tc>
        <w:tc>
          <w:tcPr>
            <w:tcW w:w="1206" w:type="dxa"/>
          </w:tcPr>
          <w:p w:rsidR="00EA40A3" w:rsidRDefault="00E86C16">
            <w:pPr>
              <w:spacing w:before="110" w:line="112" w:lineRule="exact"/>
              <w:ind w:left="519"/>
              <w:rPr>
                <w:rFonts w:ascii="宋体" w:eastAsia="宋体" w:hAnsi="宋体" w:cs="宋体"/>
                <w:sz w:val="16"/>
                <w:szCs w:val="16"/>
              </w:rPr>
            </w:pPr>
            <w:r>
              <w:rPr>
                <w:rFonts w:ascii="宋体" w:eastAsia="宋体" w:hAnsi="宋体" w:cs="宋体"/>
                <w:position w:val="-2"/>
                <w:sz w:val="16"/>
                <w:szCs w:val="16"/>
              </w:rPr>
              <w:t>1</w:t>
            </w:r>
          </w:p>
        </w:tc>
        <w:tc>
          <w:tcPr>
            <w:tcW w:w="1230" w:type="dxa"/>
          </w:tcPr>
          <w:p w:rsidR="00EA40A3" w:rsidRDefault="00E86C16">
            <w:pPr>
              <w:spacing w:before="111" w:line="111" w:lineRule="exact"/>
              <w:ind w:left="522"/>
              <w:rPr>
                <w:rFonts w:ascii="宋体" w:eastAsia="宋体" w:hAnsi="宋体" w:cs="宋体"/>
                <w:sz w:val="15"/>
                <w:szCs w:val="15"/>
              </w:rPr>
            </w:pPr>
            <w:r>
              <w:rPr>
                <w:rFonts w:ascii="宋体" w:eastAsia="宋体" w:hAnsi="宋体" w:cs="宋体"/>
                <w:spacing w:val="2"/>
                <w:position w:val="-2"/>
                <w:sz w:val="15"/>
                <w:szCs w:val="15"/>
              </w:rPr>
              <w:t>43</w:t>
            </w:r>
          </w:p>
        </w:tc>
        <w:tc>
          <w:tcPr>
            <w:tcW w:w="1229" w:type="dxa"/>
          </w:tcPr>
          <w:p w:rsidR="00EA40A3" w:rsidRDefault="00E86C16">
            <w:pPr>
              <w:spacing w:before="111" w:line="111" w:lineRule="exact"/>
              <w:ind w:left="512"/>
              <w:rPr>
                <w:rFonts w:ascii="宋体" w:eastAsia="宋体" w:hAnsi="宋体" w:cs="宋体"/>
                <w:sz w:val="15"/>
                <w:szCs w:val="15"/>
              </w:rPr>
            </w:pPr>
            <w:r>
              <w:rPr>
                <w:rFonts w:ascii="宋体" w:eastAsia="宋体" w:hAnsi="宋体" w:cs="宋体"/>
                <w:spacing w:val="2"/>
                <w:position w:val="-2"/>
                <w:sz w:val="15"/>
                <w:szCs w:val="15"/>
              </w:rPr>
              <w:t>0.4</w:t>
            </w:r>
          </w:p>
        </w:tc>
        <w:tc>
          <w:tcPr>
            <w:tcW w:w="757" w:type="dxa"/>
          </w:tcPr>
          <w:p w:rsidR="00EA40A3" w:rsidRDefault="00E86C16">
            <w:pPr>
              <w:spacing w:before="112" w:line="110" w:lineRule="exact"/>
              <w:ind w:left="574"/>
              <w:rPr>
                <w:rFonts w:ascii="宋体" w:eastAsia="宋体" w:hAnsi="宋体" w:cs="宋体"/>
                <w:sz w:val="15"/>
                <w:szCs w:val="15"/>
              </w:rPr>
            </w:pPr>
            <w:r>
              <w:rPr>
                <w:rFonts w:ascii="宋体" w:eastAsia="宋体" w:hAnsi="宋体" w:cs="宋体"/>
                <w:position w:val="-2"/>
                <w:sz w:val="15"/>
                <w:szCs w:val="15"/>
              </w:rPr>
              <w:t>7</w:t>
            </w:r>
          </w:p>
        </w:tc>
      </w:tr>
    </w:tbl>
    <w:p w:rsidR="00EA40A3" w:rsidRDefault="00E86C16">
      <w:pPr>
        <w:spacing w:before="116" w:line="249" w:lineRule="auto"/>
        <w:ind w:left="378" w:right="227" w:hanging="9"/>
        <w:rPr>
          <w:rFonts w:ascii="宋体" w:eastAsia="宋体" w:hAnsi="宋体" w:cs="宋体"/>
          <w:sz w:val="15"/>
          <w:szCs w:val="15"/>
        </w:rPr>
      </w:pPr>
      <w:r>
        <w:rPr>
          <w:rFonts w:ascii="宋体" w:eastAsia="宋体" w:hAnsi="宋体" w:cs="宋体"/>
          <w:sz w:val="16"/>
          <w:szCs w:val="16"/>
        </w:rPr>
        <w:t>数据来源：预防医学科学院食品营养与卫生研究所.1991.食物成分表(全国代表值</w:t>
      </w:r>
      <w:r>
        <w:rPr>
          <w:rFonts w:ascii="宋体" w:eastAsia="宋体" w:hAnsi="宋体" w:cs="宋体"/>
          <w:spacing w:val="-1"/>
          <w:sz w:val="16"/>
          <w:szCs w:val="16"/>
        </w:rPr>
        <w:t>).北京：人民卫</w:t>
      </w:r>
      <w:r>
        <w:rPr>
          <w:rFonts w:ascii="宋体" w:eastAsia="宋体" w:hAnsi="宋体" w:cs="宋体"/>
          <w:sz w:val="16"/>
          <w:szCs w:val="16"/>
        </w:rPr>
        <w:t xml:space="preserve"> </w:t>
      </w:r>
      <w:r>
        <w:rPr>
          <w:rFonts w:ascii="宋体" w:eastAsia="宋体" w:hAnsi="宋体" w:cs="宋体"/>
          <w:spacing w:val="9"/>
          <w:sz w:val="15"/>
          <w:szCs w:val="15"/>
        </w:rPr>
        <w:t>生出版社</w:t>
      </w:r>
    </w:p>
    <w:p w:rsidR="00EA40A3" w:rsidRDefault="00EA40A3">
      <w:pPr>
        <w:spacing w:line="301" w:lineRule="auto"/>
      </w:pPr>
    </w:p>
    <w:p w:rsidR="00EA40A3" w:rsidRDefault="00E86C16">
      <w:pPr>
        <w:spacing w:before="72" w:line="235" w:lineRule="auto"/>
        <w:ind w:right="60" w:firstLine="379"/>
        <w:rPr>
          <w:rFonts w:ascii="宋体" w:eastAsia="宋体" w:hAnsi="宋体" w:cs="宋体"/>
          <w:sz w:val="22"/>
          <w:szCs w:val="22"/>
        </w:rPr>
      </w:pPr>
      <w:r>
        <w:rPr>
          <w:rFonts w:ascii="宋体" w:eastAsia="宋体" w:hAnsi="宋体" w:cs="宋体"/>
          <w:spacing w:val="-9"/>
          <w:sz w:val="22"/>
          <w:szCs w:val="22"/>
        </w:rPr>
        <w:t>经过脱水处理之后，水果干中的矿物质含量得</w:t>
      </w:r>
      <w:r>
        <w:rPr>
          <w:rFonts w:ascii="宋体" w:eastAsia="宋体" w:hAnsi="宋体" w:cs="宋体"/>
          <w:spacing w:val="-10"/>
          <w:sz w:val="22"/>
          <w:szCs w:val="22"/>
        </w:rPr>
        <w:t>到浓缩而大幅度提高。杏干、</w:t>
      </w:r>
      <w:r>
        <w:rPr>
          <w:rFonts w:ascii="宋体" w:eastAsia="宋体" w:hAnsi="宋体" w:cs="宋体"/>
          <w:sz w:val="22"/>
          <w:szCs w:val="22"/>
        </w:rPr>
        <w:t xml:space="preserve"> 葡萄干、干枣、桂圆、无花果干等均为钾、铁、钙</w:t>
      </w:r>
      <w:r>
        <w:rPr>
          <w:rFonts w:ascii="宋体" w:eastAsia="宋体" w:hAnsi="宋体" w:cs="宋体"/>
          <w:spacing w:val="-1"/>
          <w:sz w:val="22"/>
          <w:szCs w:val="22"/>
        </w:rPr>
        <w:t>等矿物质的膳食补充来源</w:t>
      </w:r>
      <w:r>
        <w:rPr>
          <w:rFonts w:ascii="宋体" w:eastAsia="宋体" w:hAnsi="宋体" w:cs="宋体"/>
          <w:sz w:val="22"/>
          <w:szCs w:val="22"/>
        </w:rPr>
        <w:t xml:space="preserve"> </w:t>
      </w:r>
      <w:r>
        <w:rPr>
          <w:rFonts w:ascii="宋体" w:eastAsia="宋体" w:hAnsi="宋体" w:cs="宋体"/>
          <w:spacing w:val="-12"/>
          <w:sz w:val="22"/>
          <w:szCs w:val="22"/>
        </w:rPr>
        <w:t>之一。</w:t>
      </w:r>
    </w:p>
    <w:p w:rsidR="00EA40A3" w:rsidRDefault="00E86C16">
      <w:pPr>
        <w:spacing w:before="47"/>
        <w:ind w:right="160" w:firstLine="379"/>
        <w:rPr>
          <w:rFonts w:ascii="宋体" w:eastAsia="宋体" w:hAnsi="宋体" w:cs="宋体"/>
          <w:sz w:val="22"/>
          <w:szCs w:val="22"/>
        </w:rPr>
      </w:pPr>
      <w:r>
        <w:rPr>
          <w:rFonts w:ascii="宋体" w:eastAsia="宋体" w:hAnsi="宋体" w:cs="宋体"/>
          <w:spacing w:val="-13"/>
          <w:sz w:val="22"/>
          <w:szCs w:val="22"/>
        </w:rPr>
        <w:t>总的来说，水果的营养价值较蔬菜逊色，但是因其食用前不经烹调，营养素</w:t>
      </w:r>
      <w:r>
        <w:rPr>
          <w:rFonts w:ascii="宋体" w:eastAsia="宋体" w:hAnsi="宋体" w:cs="宋体"/>
          <w:spacing w:val="17"/>
          <w:sz w:val="22"/>
          <w:szCs w:val="22"/>
        </w:rPr>
        <w:t xml:space="preserve"> </w:t>
      </w:r>
      <w:r>
        <w:rPr>
          <w:rFonts w:ascii="宋体" w:eastAsia="宋体" w:hAnsi="宋体" w:cs="宋体"/>
          <w:spacing w:val="-13"/>
          <w:sz w:val="22"/>
          <w:szCs w:val="22"/>
        </w:rPr>
        <w:t>不会受损失，而且富含有机酸、芳香物质等，也是膳</w:t>
      </w:r>
      <w:r>
        <w:rPr>
          <w:rFonts w:ascii="宋体" w:eastAsia="宋体" w:hAnsi="宋体" w:cs="宋体"/>
          <w:spacing w:val="-14"/>
          <w:sz w:val="22"/>
          <w:szCs w:val="22"/>
        </w:rPr>
        <w:t>食的必要成分。</w:t>
      </w:r>
    </w:p>
    <w:p w:rsidR="00EA40A3" w:rsidRDefault="00E86C16">
      <w:pPr>
        <w:spacing w:before="38" w:line="236" w:lineRule="auto"/>
        <w:ind w:right="114" w:firstLine="379"/>
        <w:rPr>
          <w:rFonts w:ascii="宋体" w:eastAsia="宋体" w:hAnsi="宋体" w:cs="宋体"/>
          <w:sz w:val="22"/>
          <w:szCs w:val="22"/>
        </w:rPr>
      </w:pPr>
      <w:r>
        <w:rPr>
          <w:rFonts w:ascii="宋体" w:eastAsia="宋体" w:hAnsi="宋体" w:cs="宋体"/>
          <w:spacing w:val="-11"/>
          <w:sz w:val="22"/>
          <w:szCs w:val="22"/>
        </w:rPr>
        <w:t>野生蔬菜和野生水果的营养素含量往往高于栽培蔬菜和水果，特别是胡萝</w:t>
      </w:r>
      <w:r>
        <w:rPr>
          <w:rFonts w:ascii="宋体" w:eastAsia="宋体" w:hAnsi="宋体" w:cs="宋体"/>
          <w:spacing w:val="-12"/>
          <w:sz w:val="22"/>
          <w:szCs w:val="22"/>
        </w:rPr>
        <w:t>卜</w:t>
      </w:r>
      <w:r>
        <w:rPr>
          <w:rFonts w:ascii="宋体" w:eastAsia="宋体" w:hAnsi="宋体" w:cs="宋体"/>
          <w:sz w:val="22"/>
          <w:szCs w:val="22"/>
        </w:rPr>
        <w:t xml:space="preserve"> </w:t>
      </w:r>
      <w:r>
        <w:rPr>
          <w:rFonts w:ascii="宋体" w:eastAsia="宋体" w:hAnsi="宋体" w:cs="宋体"/>
          <w:spacing w:val="-7"/>
          <w:sz w:val="22"/>
          <w:szCs w:val="22"/>
        </w:rPr>
        <w:t>素、核黄素、维生素C</w:t>
      </w:r>
      <w:r>
        <w:rPr>
          <w:rFonts w:ascii="宋体" w:eastAsia="宋体" w:hAnsi="宋体" w:cs="宋体"/>
          <w:spacing w:val="-8"/>
          <w:sz w:val="22"/>
          <w:szCs w:val="22"/>
        </w:rPr>
        <w:t xml:space="preserve"> </w:t>
      </w:r>
      <w:r>
        <w:rPr>
          <w:rFonts w:ascii="宋体" w:eastAsia="宋体" w:hAnsi="宋体" w:cs="宋体"/>
          <w:spacing w:val="-7"/>
          <w:sz w:val="22"/>
          <w:szCs w:val="22"/>
        </w:rPr>
        <w:t>和钙、铁等营养素。野果的维生素</w:t>
      </w:r>
      <w:r>
        <w:rPr>
          <w:rFonts w:ascii="宋体" w:eastAsia="宋体" w:hAnsi="宋体" w:cs="宋体"/>
          <w:spacing w:val="-60"/>
          <w:sz w:val="22"/>
          <w:szCs w:val="22"/>
        </w:rPr>
        <w:t xml:space="preserve"> </w:t>
      </w:r>
      <w:r>
        <w:rPr>
          <w:rFonts w:ascii="宋体" w:eastAsia="宋体" w:hAnsi="宋体" w:cs="宋体"/>
          <w:spacing w:val="-7"/>
          <w:sz w:val="22"/>
          <w:szCs w:val="22"/>
        </w:rPr>
        <w:t>C</w:t>
      </w:r>
      <w:r>
        <w:rPr>
          <w:rFonts w:ascii="宋体" w:eastAsia="宋体" w:hAnsi="宋体" w:cs="宋体"/>
          <w:spacing w:val="-13"/>
          <w:sz w:val="22"/>
          <w:szCs w:val="22"/>
        </w:rPr>
        <w:t xml:space="preserve"> </w:t>
      </w:r>
      <w:r>
        <w:rPr>
          <w:rFonts w:ascii="宋体" w:eastAsia="宋体" w:hAnsi="宋体" w:cs="宋体"/>
          <w:spacing w:val="-7"/>
          <w:sz w:val="22"/>
          <w:szCs w:val="22"/>
        </w:rPr>
        <w:t>含量一般达每百克</w:t>
      </w:r>
      <w:r>
        <w:rPr>
          <w:rFonts w:ascii="宋体" w:eastAsia="宋体" w:hAnsi="宋体" w:cs="宋体"/>
          <w:sz w:val="22"/>
          <w:szCs w:val="22"/>
        </w:rPr>
        <w:t xml:space="preserve"> </w:t>
      </w:r>
      <w:r>
        <w:rPr>
          <w:rFonts w:ascii="宋体" w:eastAsia="宋体" w:hAnsi="宋体" w:cs="宋体"/>
          <w:spacing w:val="-14"/>
          <w:sz w:val="22"/>
          <w:szCs w:val="22"/>
        </w:rPr>
        <w:t>鲜重数百以至数千毫克，如酸枣、刺梨、沙棘和野生猕猴桃等。</w:t>
      </w:r>
    </w:p>
    <w:p w:rsidR="00EA40A3" w:rsidRDefault="00E86C16">
      <w:pPr>
        <w:spacing w:before="206" w:line="222"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4"/>
          <w:sz w:val="22"/>
          <w:szCs w:val="22"/>
        </w:rPr>
        <w:t xml:space="preserve"> </w:t>
      </w:r>
      <w:r>
        <w:rPr>
          <w:rFonts w:ascii="仿宋" w:eastAsia="仿宋" w:hAnsi="仿宋" w:cs="仿宋"/>
          <w:spacing w:val="14"/>
          <w:sz w:val="22"/>
          <w:szCs w:val="22"/>
        </w:rPr>
        <w:t>水果中的其他有益成分</w:t>
      </w:r>
    </w:p>
    <w:p w:rsidR="00EA40A3" w:rsidRDefault="00E86C16">
      <w:pPr>
        <w:spacing w:before="217" w:line="219" w:lineRule="auto"/>
        <w:ind w:left="379"/>
        <w:rPr>
          <w:rFonts w:ascii="宋体" w:eastAsia="宋体" w:hAnsi="宋体" w:cs="宋体"/>
          <w:sz w:val="22"/>
          <w:szCs w:val="22"/>
        </w:rPr>
      </w:pPr>
      <w:r>
        <w:rPr>
          <w:rFonts w:ascii="宋体" w:eastAsia="宋体" w:hAnsi="宋体" w:cs="宋体"/>
          <w:spacing w:val="1"/>
          <w:sz w:val="22"/>
          <w:szCs w:val="22"/>
        </w:rPr>
        <w:t>水果中有机酸含量为0.2%～3.0%。其中主要种类为柠檬酸、苹果酸、酒</w:t>
      </w:r>
    </w:p>
    <w:p w:rsidR="00EA40A3" w:rsidRDefault="00E86C16">
      <w:pPr>
        <w:spacing w:before="42"/>
        <w:rPr>
          <w:rFonts w:ascii="宋体" w:eastAsia="宋体" w:hAnsi="宋体" w:cs="宋体"/>
          <w:sz w:val="15"/>
          <w:szCs w:val="15"/>
        </w:rPr>
      </w:pPr>
      <w:r>
        <w:rPr>
          <w:rFonts w:ascii="宋体" w:eastAsia="宋体" w:hAnsi="宋体" w:cs="宋体"/>
          <w:spacing w:val="-14"/>
          <w:sz w:val="15"/>
          <w:szCs w:val="15"/>
        </w:rPr>
        <w:t>·</w:t>
      </w:r>
      <w:r>
        <w:rPr>
          <w:rFonts w:ascii="宋体" w:eastAsia="宋体" w:hAnsi="宋体" w:cs="宋体"/>
          <w:spacing w:val="11"/>
          <w:sz w:val="15"/>
          <w:szCs w:val="15"/>
        </w:rPr>
        <w:t xml:space="preserve"> </w:t>
      </w:r>
      <w:r>
        <w:rPr>
          <w:rFonts w:ascii="宋体" w:eastAsia="宋体" w:hAnsi="宋体" w:cs="宋体"/>
          <w:spacing w:val="-14"/>
          <w:sz w:val="15"/>
          <w:szCs w:val="15"/>
        </w:rPr>
        <w:t>206</w:t>
      </w:r>
      <w:r>
        <w:rPr>
          <w:rFonts w:ascii="宋体" w:eastAsia="宋体" w:hAnsi="宋体" w:cs="宋体"/>
          <w:spacing w:val="57"/>
          <w:w w:val="101"/>
          <w:sz w:val="15"/>
          <w:szCs w:val="15"/>
        </w:rPr>
        <w:t xml:space="preserve"> </w:t>
      </w:r>
      <w:r>
        <w:rPr>
          <w:rFonts w:ascii="宋体" w:eastAsia="宋体" w:hAnsi="宋体" w:cs="宋体"/>
          <w:spacing w:val="-14"/>
          <w:sz w:val="15"/>
          <w:szCs w:val="15"/>
        </w:rPr>
        <w:t>·</w:t>
      </w:r>
    </w:p>
    <w:p w:rsidR="00EA40A3" w:rsidRDefault="00EA40A3">
      <w:pPr>
        <w:sectPr w:rsidR="00EA40A3">
          <w:footerReference w:type="default" r:id="rId177"/>
          <w:pgSz w:w="9220" w:h="13360"/>
          <w:pgMar w:top="400" w:right="1049" w:bottom="400" w:left="780" w:header="0" w:footer="0" w:gutter="0"/>
          <w:cols w:space="720"/>
        </w:sectPr>
      </w:pPr>
    </w:p>
    <w:p w:rsidR="00EA40A3" w:rsidRDefault="00EA40A3">
      <w:pPr>
        <w:spacing w:line="321" w:lineRule="auto"/>
      </w:pPr>
    </w:p>
    <w:p w:rsidR="00EA40A3" w:rsidRDefault="00EA40A3">
      <w:pPr>
        <w:spacing w:line="322" w:lineRule="auto"/>
      </w:pPr>
    </w:p>
    <w:p w:rsidR="00EA40A3" w:rsidRDefault="00E86C16">
      <w:pPr>
        <w:spacing w:before="71" w:line="241" w:lineRule="auto"/>
        <w:ind w:right="81"/>
        <w:jc w:val="both"/>
        <w:rPr>
          <w:rFonts w:ascii="宋体" w:eastAsia="宋体" w:hAnsi="宋体" w:cs="宋体"/>
          <w:sz w:val="22"/>
          <w:szCs w:val="22"/>
        </w:rPr>
      </w:pPr>
      <w:r>
        <w:rPr>
          <w:rFonts w:ascii="宋体" w:eastAsia="宋体" w:hAnsi="宋体" w:cs="宋体"/>
          <w:spacing w:val="-14"/>
          <w:sz w:val="22"/>
          <w:szCs w:val="22"/>
        </w:rPr>
        <w:t>石酸和抗坏血酸，仁果、核果、浆果和热带水果以柠檬酸为主，蔷薇科水果则以</w:t>
      </w:r>
      <w:r>
        <w:rPr>
          <w:rFonts w:ascii="宋体" w:eastAsia="宋体" w:hAnsi="宋体" w:cs="宋体"/>
          <w:spacing w:val="17"/>
          <w:sz w:val="22"/>
          <w:szCs w:val="22"/>
        </w:rPr>
        <w:t xml:space="preserve"> </w:t>
      </w:r>
      <w:r>
        <w:rPr>
          <w:rFonts w:ascii="宋体" w:eastAsia="宋体" w:hAnsi="宋体" w:cs="宋体"/>
          <w:spacing w:val="-17"/>
          <w:sz w:val="22"/>
          <w:szCs w:val="22"/>
        </w:rPr>
        <w:t>苹果酸为主，而葡萄中含有酒石酸。</w:t>
      </w:r>
      <w:r>
        <w:rPr>
          <w:rFonts w:ascii="宋体" w:eastAsia="宋体" w:hAnsi="宋体" w:cs="宋体"/>
          <w:spacing w:val="34"/>
          <w:sz w:val="22"/>
          <w:szCs w:val="22"/>
        </w:rPr>
        <w:t xml:space="preserve"> </w:t>
      </w:r>
      <w:r>
        <w:rPr>
          <w:rFonts w:ascii="宋体" w:eastAsia="宋体" w:hAnsi="宋体" w:cs="宋体"/>
          <w:spacing w:val="-17"/>
          <w:sz w:val="22"/>
          <w:szCs w:val="22"/>
        </w:rPr>
        <w:t>一些水果中还含</w:t>
      </w:r>
      <w:r>
        <w:rPr>
          <w:rFonts w:ascii="宋体" w:eastAsia="宋体" w:hAnsi="宋体" w:cs="宋体"/>
          <w:spacing w:val="-18"/>
          <w:sz w:val="22"/>
          <w:szCs w:val="22"/>
        </w:rPr>
        <w:t>有少量的草酸、水杨酸、琥</w:t>
      </w:r>
      <w:r>
        <w:rPr>
          <w:rFonts w:ascii="宋体" w:eastAsia="宋体" w:hAnsi="宋体" w:cs="宋体"/>
          <w:sz w:val="22"/>
          <w:szCs w:val="22"/>
        </w:rPr>
        <w:t xml:space="preserve"> </w:t>
      </w:r>
      <w:r>
        <w:rPr>
          <w:rFonts w:ascii="宋体" w:eastAsia="宋体" w:hAnsi="宋体" w:cs="宋体"/>
          <w:spacing w:val="-18"/>
          <w:sz w:val="22"/>
          <w:szCs w:val="22"/>
        </w:rPr>
        <w:t>珀酸、奎宁酸等。</w:t>
      </w:r>
    </w:p>
    <w:p w:rsidR="00EA40A3" w:rsidRDefault="00E86C16">
      <w:pPr>
        <w:spacing w:before="68" w:line="235" w:lineRule="auto"/>
        <w:ind w:right="58" w:firstLine="400"/>
        <w:jc w:val="both"/>
        <w:rPr>
          <w:rFonts w:ascii="宋体" w:eastAsia="宋体" w:hAnsi="宋体" w:cs="宋体"/>
          <w:sz w:val="22"/>
          <w:szCs w:val="22"/>
        </w:rPr>
      </w:pPr>
      <w:r>
        <w:rPr>
          <w:rFonts w:ascii="宋体" w:eastAsia="宋体" w:hAnsi="宋体" w:cs="宋体"/>
          <w:spacing w:val="-13"/>
          <w:sz w:val="22"/>
          <w:szCs w:val="22"/>
        </w:rPr>
        <w:t>从营养上来说，多数有机酸可以提供少量热量。每克柠檬酸和苹果酸所提供</w:t>
      </w:r>
      <w:r>
        <w:rPr>
          <w:rFonts w:ascii="宋体" w:eastAsia="宋体" w:hAnsi="宋体" w:cs="宋体"/>
          <w:spacing w:val="5"/>
          <w:sz w:val="22"/>
          <w:szCs w:val="22"/>
        </w:rPr>
        <w:t xml:space="preserve"> </w:t>
      </w:r>
      <w:r>
        <w:rPr>
          <w:rFonts w:ascii="宋体" w:eastAsia="宋体" w:hAnsi="宋体" w:cs="宋体"/>
          <w:spacing w:val="-5"/>
          <w:sz w:val="22"/>
          <w:szCs w:val="22"/>
        </w:rPr>
        <w:t>的热量分别为2.47kcal和2.39kcal。有机酸具有开胃和促</w:t>
      </w:r>
      <w:r>
        <w:rPr>
          <w:rFonts w:ascii="宋体" w:eastAsia="宋体" w:hAnsi="宋体" w:cs="宋体"/>
          <w:spacing w:val="-6"/>
          <w:sz w:val="22"/>
          <w:szCs w:val="22"/>
        </w:rPr>
        <w:t>进消化的作用，还能</w:t>
      </w:r>
      <w:r>
        <w:rPr>
          <w:rFonts w:ascii="宋体" w:eastAsia="宋体" w:hAnsi="宋体" w:cs="宋体"/>
          <w:sz w:val="22"/>
          <w:szCs w:val="22"/>
        </w:rPr>
        <w:t xml:space="preserve"> </w:t>
      </w:r>
      <w:r>
        <w:rPr>
          <w:rFonts w:ascii="宋体" w:eastAsia="宋体" w:hAnsi="宋体" w:cs="宋体"/>
          <w:spacing w:val="-14"/>
          <w:sz w:val="22"/>
          <w:szCs w:val="22"/>
        </w:rPr>
        <w:t>起到螯合和还原的作用，促进多种矿物质的吸收。</w:t>
      </w:r>
    </w:p>
    <w:p w:rsidR="00EA40A3" w:rsidRDefault="00E86C16">
      <w:pPr>
        <w:spacing w:before="67" w:line="246" w:lineRule="auto"/>
        <w:ind w:firstLine="400"/>
        <w:jc w:val="both"/>
        <w:rPr>
          <w:rFonts w:ascii="宋体" w:eastAsia="宋体" w:hAnsi="宋体" w:cs="宋体"/>
          <w:sz w:val="22"/>
          <w:szCs w:val="22"/>
        </w:rPr>
      </w:pPr>
      <w:r>
        <w:rPr>
          <w:rFonts w:ascii="宋体" w:eastAsia="宋体" w:hAnsi="宋体" w:cs="宋体"/>
          <w:spacing w:val="-10"/>
          <w:sz w:val="22"/>
          <w:szCs w:val="22"/>
        </w:rPr>
        <w:t>水果中的酚类物质对果品的色泽和风味都有很大的</w:t>
      </w:r>
      <w:r>
        <w:rPr>
          <w:rFonts w:ascii="宋体" w:eastAsia="宋体" w:hAnsi="宋体" w:cs="宋体"/>
          <w:spacing w:val="-11"/>
          <w:sz w:val="22"/>
          <w:szCs w:val="22"/>
        </w:rPr>
        <w:t>影响。其中包括酚酸类、</w:t>
      </w:r>
      <w:r>
        <w:rPr>
          <w:rFonts w:ascii="宋体" w:eastAsia="宋体" w:hAnsi="宋体" w:cs="宋体"/>
          <w:sz w:val="22"/>
          <w:szCs w:val="22"/>
        </w:rPr>
        <w:t xml:space="preserve"> </w:t>
      </w:r>
      <w:r>
        <w:rPr>
          <w:rFonts w:ascii="宋体" w:eastAsia="宋体" w:hAnsi="宋体" w:cs="宋体"/>
          <w:spacing w:val="-13"/>
          <w:sz w:val="22"/>
          <w:szCs w:val="22"/>
        </w:rPr>
        <w:t>类黄酮、花青素类、原花青素类、单宁类等。其中黄酮类物质的摄入量</w:t>
      </w:r>
      <w:r>
        <w:rPr>
          <w:rFonts w:ascii="宋体" w:eastAsia="宋体" w:hAnsi="宋体" w:cs="宋体"/>
          <w:spacing w:val="-14"/>
          <w:sz w:val="22"/>
          <w:szCs w:val="22"/>
        </w:rPr>
        <w:t>与心血管</w:t>
      </w:r>
      <w:r>
        <w:rPr>
          <w:rFonts w:ascii="宋体" w:eastAsia="宋体" w:hAnsi="宋体" w:cs="宋体"/>
          <w:sz w:val="22"/>
          <w:szCs w:val="22"/>
        </w:rPr>
        <w:t xml:space="preserve"> </w:t>
      </w:r>
      <w:r>
        <w:rPr>
          <w:rFonts w:ascii="宋体" w:eastAsia="宋体" w:hAnsi="宋体" w:cs="宋体"/>
          <w:spacing w:val="-3"/>
          <w:sz w:val="22"/>
          <w:szCs w:val="22"/>
        </w:rPr>
        <w:t>疾病的死亡率之间有着确定的负相关关系。人体所摄入的</w:t>
      </w:r>
      <w:r>
        <w:rPr>
          <w:rFonts w:ascii="宋体" w:eastAsia="宋体" w:hAnsi="宋体" w:cs="宋体"/>
          <w:spacing w:val="-4"/>
          <w:sz w:val="22"/>
          <w:szCs w:val="22"/>
        </w:rPr>
        <w:t>类黄酮物质约有10%</w:t>
      </w:r>
      <w:r>
        <w:rPr>
          <w:rFonts w:ascii="宋体" w:eastAsia="宋体" w:hAnsi="宋体" w:cs="宋体"/>
          <w:sz w:val="22"/>
          <w:szCs w:val="22"/>
        </w:rPr>
        <w:t xml:space="preserve"> </w:t>
      </w:r>
      <w:r>
        <w:rPr>
          <w:rFonts w:ascii="宋体" w:eastAsia="宋体" w:hAnsi="宋体" w:cs="宋体"/>
          <w:spacing w:val="-7"/>
          <w:sz w:val="22"/>
          <w:szCs w:val="22"/>
        </w:rPr>
        <w:t>来自水果，其他则来自蔬菜和茶。部分水果中的花青素也具有黄酮类的抗氧化</w:t>
      </w:r>
      <w:r>
        <w:rPr>
          <w:rFonts w:ascii="宋体" w:eastAsia="宋体" w:hAnsi="宋体" w:cs="宋体"/>
          <w:spacing w:val="16"/>
          <w:sz w:val="22"/>
          <w:szCs w:val="22"/>
        </w:rPr>
        <w:t xml:space="preserve"> </w:t>
      </w:r>
      <w:r>
        <w:rPr>
          <w:rFonts w:ascii="宋体" w:eastAsia="宋体" w:hAnsi="宋体" w:cs="宋体"/>
          <w:spacing w:val="-16"/>
          <w:sz w:val="22"/>
          <w:szCs w:val="22"/>
        </w:rPr>
        <w:t>活性。</w:t>
      </w:r>
    </w:p>
    <w:p w:rsidR="00EA40A3" w:rsidRDefault="00E86C16">
      <w:pPr>
        <w:spacing w:before="78" w:line="235" w:lineRule="auto"/>
        <w:ind w:right="59" w:firstLine="400"/>
        <w:jc w:val="both"/>
        <w:rPr>
          <w:rFonts w:ascii="宋体" w:eastAsia="宋体" w:hAnsi="宋体" w:cs="宋体"/>
          <w:sz w:val="22"/>
          <w:szCs w:val="22"/>
        </w:rPr>
      </w:pPr>
      <w:r>
        <w:rPr>
          <w:rFonts w:ascii="宋体" w:eastAsia="宋体" w:hAnsi="宋体" w:cs="宋体"/>
          <w:spacing w:val="-13"/>
          <w:sz w:val="22"/>
          <w:szCs w:val="22"/>
        </w:rPr>
        <w:t>水果类食品的涩味主要来自其中所含有的单宁物质。香蕉皮、柿子、石榴中</w:t>
      </w:r>
      <w:r>
        <w:rPr>
          <w:rFonts w:ascii="宋体" w:eastAsia="宋体" w:hAnsi="宋体" w:cs="宋体"/>
          <w:sz w:val="22"/>
          <w:szCs w:val="22"/>
        </w:rPr>
        <w:t xml:space="preserve"> </w:t>
      </w:r>
      <w:r>
        <w:rPr>
          <w:rFonts w:ascii="宋体" w:eastAsia="宋体" w:hAnsi="宋体" w:cs="宋体"/>
          <w:spacing w:val="-9"/>
          <w:sz w:val="22"/>
          <w:szCs w:val="22"/>
        </w:rPr>
        <w:t>的单宁含量最高，因此具有明显的涩味，包括(+)-儿茶素、(一)-表儿茶素、没</w:t>
      </w:r>
      <w:r>
        <w:rPr>
          <w:rFonts w:ascii="宋体" w:eastAsia="宋体" w:hAnsi="宋体" w:cs="宋体"/>
          <w:spacing w:val="11"/>
          <w:sz w:val="22"/>
          <w:szCs w:val="22"/>
        </w:rPr>
        <w:t xml:space="preserve"> </w:t>
      </w:r>
      <w:r>
        <w:rPr>
          <w:rFonts w:ascii="宋体" w:eastAsia="宋体" w:hAnsi="宋体" w:cs="宋体"/>
          <w:spacing w:val="-15"/>
          <w:sz w:val="22"/>
          <w:szCs w:val="22"/>
        </w:rPr>
        <w:t>食子儿茶素、表没食子儿茶素等。</w:t>
      </w:r>
    </w:p>
    <w:p w:rsidR="00EA40A3" w:rsidRDefault="00E86C16">
      <w:pPr>
        <w:spacing w:before="223" w:line="221" w:lineRule="auto"/>
        <w:ind w:left="3"/>
        <w:outlineLvl w:val="6"/>
        <w:rPr>
          <w:rFonts w:ascii="黑体" w:eastAsia="黑体" w:hAnsi="黑体" w:cs="黑体"/>
          <w:sz w:val="22"/>
          <w:szCs w:val="22"/>
        </w:rPr>
      </w:pPr>
      <w:r>
        <w:rPr>
          <w:rFonts w:ascii="黑体" w:eastAsia="黑体" w:hAnsi="黑体" w:cs="黑体"/>
          <w:b/>
          <w:bCs/>
          <w:spacing w:val="8"/>
          <w:sz w:val="22"/>
          <w:szCs w:val="22"/>
        </w:rPr>
        <w:t>6.4.4</w:t>
      </w:r>
      <w:r>
        <w:rPr>
          <w:rFonts w:ascii="黑体" w:eastAsia="黑体" w:hAnsi="黑体" w:cs="黑体"/>
          <w:spacing w:val="9"/>
          <w:sz w:val="22"/>
          <w:szCs w:val="22"/>
        </w:rPr>
        <w:t xml:space="preserve">   </w:t>
      </w:r>
      <w:r>
        <w:rPr>
          <w:rFonts w:ascii="黑体" w:eastAsia="黑体" w:hAnsi="黑体" w:cs="黑体"/>
          <w:b/>
          <w:bCs/>
          <w:spacing w:val="8"/>
          <w:sz w:val="22"/>
          <w:szCs w:val="22"/>
        </w:rPr>
        <w:t>果蔬加工品的营养价值</w:t>
      </w:r>
    </w:p>
    <w:p w:rsidR="00EA40A3" w:rsidRDefault="00E86C16">
      <w:pPr>
        <w:spacing w:before="225" w:line="218" w:lineRule="auto"/>
        <w:rPr>
          <w:rFonts w:ascii="仿宋" w:eastAsia="仿宋" w:hAnsi="仿宋" w:cs="仿宋"/>
          <w:sz w:val="22"/>
          <w:szCs w:val="22"/>
        </w:rPr>
      </w:pPr>
      <w:r>
        <w:rPr>
          <w:rFonts w:ascii="仿宋" w:eastAsia="仿宋" w:hAnsi="仿宋" w:cs="仿宋"/>
          <w:spacing w:val="7"/>
          <w:sz w:val="22"/>
          <w:szCs w:val="22"/>
        </w:rPr>
        <w:t>1.</w:t>
      </w:r>
      <w:r>
        <w:rPr>
          <w:rFonts w:ascii="仿宋" w:eastAsia="仿宋" w:hAnsi="仿宋" w:cs="仿宋"/>
          <w:spacing w:val="-4"/>
          <w:sz w:val="22"/>
          <w:szCs w:val="22"/>
        </w:rPr>
        <w:t xml:space="preserve"> </w:t>
      </w:r>
      <w:r>
        <w:rPr>
          <w:rFonts w:ascii="仿宋" w:eastAsia="仿宋" w:hAnsi="仿宋" w:cs="仿宋"/>
          <w:spacing w:val="7"/>
          <w:sz w:val="22"/>
          <w:szCs w:val="22"/>
        </w:rPr>
        <w:t>蔬菜加工品</w:t>
      </w:r>
    </w:p>
    <w:p w:rsidR="00EA40A3" w:rsidRDefault="00E86C16">
      <w:pPr>
        <w:spacing w:before="227" w:line="227" w:lineRule="auto"/>
        <w:ind w:right="81" w:firstLine="400"/>
        <w:rPr>
          <w:rFonts w:ascii="宋体" w:eastAsia="宋体" w:hAnsi="宋体" w:cs="宋体"/>
          <w:sz w:val="22"/>
          <w:szCs w:val="22"/>
        </w:rPr>
      </w:pPr>
      <w:r>
        <w:rPr>
          <w:rFonts w:ascii="宋体" w:eastAsia="宋体" w:hAnsi="宋体" w:cs="宋体"/>
          <w:spacing w:val="-13"/>
          <w:sz w:val="22"/>
          <w:szCs w:val="22"/>
        </w:rPr>
        <w:t>膳食中的蔬菜以新鲜蔬菜为主要食用形式，但是仍有少量蔬菜用来腌制、干</w:t>
      </w:r>
      <w:r>
        <w:rPr>
          <w:rFonts w:ascii="宋体" w:eastAsia="宋体" w:hAnsi="宋体" w:cs="宋体"/>
          <w:spacing w:val="6"/>
          <w:sz w:val="22"/>
          <w:szCs w:val="22"/>
        </w:rPr>
        <w:t xml:space="preserve"> </w:t>
      </w:r>
      <w:r>
        <w:rPr>
          <w:rFonts w:ascii="宋体" w:eastAsia="宋体" w:hAnsi="宋体" w:cs="宋体"/>
          <w:spacing w:val="-18"/>
          <w:sz w:val="22"/>
          <w:szCs w:val="22"/>
        </w:rPr>
        <w:t>制、速冻和罐藏。</w:t>
      </w:r>
    </w:p>
    <w:p w:rsidR="00EA40A3" w:rsidRDefault="00E86C16">
      <w:pPr>
        <w:spacing w:before="69" w:line="244" w:lineRule="auto"/>
        <w:ind w:right="61" w:firstLine="400"/>
        <w:rPr>
          <w:rFonts w:ascii="宋体" w:eastAsia="宋体" w:hAnsi="宋体" w:cs="宋体"/>
          <w:sz w:val="22"/>
          <w:szCs w:val="22"/>
        </w:rPr>
      </w:pPr>
      <w:r>
        <w:rPr>
          <w:rFonts w:ascii="宋体" w:eastAsia="宋体" w:hAnsi="宋体" w:cs="宋体"/>
          <w:spacing w:val="-6"/>
          <w:sz w:val="22"/>
          <w:szCs w:val="22"/>
        </w:rPr>
        <w:t>脱水蔬菜的水分含量通常在8%以下，其中的矿物质、碳水化合物、</w:t>
      </w:r>
      <w:r>
        <w:rPr>
          <w:rFonts w:ascii="宋体" w:eastAsia="宋体" w:hAnsi="宋体" w:cs="宋体"/>
          <w:spacing w:val="-7"/>
          <w:sz w:val="22"/>
          <w:szCs w:val="22"/>
        </w:rPr>
        <w:t>膳食纤</w:t>
      </w:r>
      <w:r>
        <w:rPr>
          <w:rFonts w:ascii="宋体" w:eastAsia="宋体" w:hAnsi="宋体" w:cs="宋体"/>
          <w:sz w:val="22"/>
          <w:szCs w:val="22"/>
        </w:rPr>
        <w:t xml:space="preserve"> </w:t>
      </w:r>
      <w:r>
        <w:rPr>
          <w:rFonts w:ascii="宋体" w:eastAsia="宋体" w:hAnsi="宋体" w:cs="宋体"/>
          <w:spacing w:val="-6"/>
          <w:sz w:val="22"/>
          <w:szCs w:val="22"/>
        </w:rPr>
        <w:t>维等成分得到浓缩。在脱水过程中，维生素C</w:t>
      </w:r>
      <w:r>
        <w:rPr>
          <w:rFonts w:ascii="宋体" w:eastAsia="宋体" w:hAnsi="宋体" w:cs="宋体"/>
          <w:spacing w:val="-19"/>
          <w:sz w:val="22"/>
          <w:szCs w:val="22"/>
        </w:rPr>
        <w:t xml:space="preserve"> </w:t>
      </w:r>
      <w:r>
        <w:rPr>
          <w:rFonts w:ascii="宋体" w:eastAsia="宋体" w:hAnsi="宋体" w:cs="宋体"/>
          <w:spacing w:val="-6"/>
          <w:sz w:val="22"/>
          <w:szCs w:val="22"/>
        </w:rPr>
        <w:t>有部分损失，损失程度因干制方</w:t>
      </w:r>
      <w:r>
        <w:rPr>
          <w:rFonts w:ascii="宋体" w:eastAsia="宋体" w:hAnsi="宋体" w:cs="宋体"/>
          <w:sz w:val="22"/>
          <w:szCs w:val="22"/>
        </w:rPr>
        <w:t xml:space="preserve"> </w:t>
      </w:r>
      <w:r>
        <w:rPr>
          <w:rFonts w:ascii="宋体" w:eastAsia="宋体" w:hAnsi="宋体" w:cs="宋体"/>
          <w:spacing w:val="-16"/>
          <w:sz w:val="22"/>
          <w:szCs w:val="22"/>
        </w:rPr>
        <w:t>法的不同而异。</w:t>
      </w:r>
      <w:r>
        <w:rPr>
          <w:rFonts w:ascii="宋体" w:eastAsia="宋体" w:hAnsi="宋体" w:cs="宋体"/>
          <w:spacing w:val="1"/>
          <w:sz w:val="22"/>
          <w:szCs w:val="22"/>
        </w:rPr>
        <w:t xml:space="preserve"> </w:t>
      </w:r>
      <w:r>
        <w:rPr>
          <w:rFonts w:ascii="宋体" w:eastAsia="宋体" w:hAnsi="宋体" w:cs="宋体"/>
          <w:spacing w:val="-16"/>
          <w:sz w:val="22"/>
          <w:szCs w:val="22"/>
        </w:rPr>
        <w:t>一般来说，真空冷冻干燥法的营养</w:t>
      </w:r>
      <w:r>
        <w:rPr>
          <w:rFonts w:ascii="宋体" w:eastAsia="宋体" w:hAnsi="宋体" w:cs="宋体"/>
          <w:spacing w:val="-17"/>
          <w:sz w:val="22"/>
          <w:szCs w:val="22"/>
        </w:rPr>
        <w:t>素损失最小，而且由于浓缩效</w:t>
      </w:r>
      <w:r>
        <w:rPr>
          <w:rFonts w:ascii="宋体" w:eastAsia="宋体" w:hAnsi="宋体" w:cs="宋体"/>
          <w:sz w:val="22"/>
          <w:szCs w:val="22"/>
        </w:rPr>
        <w:t xml:space="preserve"> </w:t>
      </w:r>
      <w:r>
        <w:rPr>
          <w:rFonts w:ascii="宋体" w:eastAsia="宋体" w:hAnsi="宋体" w:cs="宋体"/>
          <w:spacing w:val="-13"/>
          <w:sz w:val="22"/>
          <w:szCs w:val="22"/>
        </w:rPr>
        <w:t>应，干制后的营养素含量升高。长时间的晾晒或烘烤则营养素损</w:t>
      </w:r>
      <w:r>
        <w:rPr>
          <w:rFonts w:ascii="宋体" w:eastAsia="宋体" w:hAnsi="宋体" w:cs="宋体"/>
          <w:spacing w:val="-14"/>
          <w:sz w:val="22"/>
          <w:szCs w:val="22"/>
        </w:rPr>
        <w:t>失较大，其中维</w:t>
      </w:r>
      <w:r>
        <w:rPr>
          <w:rFonts w:ascii="宋体" w:eastAsia="宋体" w:hAnsi="宋体" w:cs="宋体"/>
          <w:sz w:val="22"/>
          <w:szCs w:val="22"/>
        </w:rPr>
        <w:t xml:space="preserve"> </w:t>
      </w:r>
      <w:r>
        <w:rPr>
          <w:rFonts w:ascii="宋体" w:eastAsia="宋体" w:hAnsi="宋体" w:cs="宋体"/>
          <w:spacing w:val="-1"/>
          <w:sz w:val="22"/>
          <w:szCs w:val="22"/>
        </w:rPr>
        <w:t>生素C</w:t>
      </w:r>
      <w:r>
        <w:rPr>
          <w:rFonts w:ascii="宋体" w:eastAsia="宋体" w:hAnsi="宋体" w:cs="宋体"/>
          <w:spacing w:val="-24"/>
          <w:sz w:val="22"/>
          <w:szCs w:val="22"/>
        </w:rPr>
        <w:t xml:space="preserve"> </w:t>
      </w:r>
      <w:r>
        <w:rPr>
          <w:rFonts w:ascii="宋体" w:eastAsia="宋体" w:hAnsi="宋体" w:cs="宋体"/>
          <w:spacing w:val="-1"/>
          <w:sz w:val="22"/>
          <w:szCs w:val="22"/>
        </w:rPr>
        <w:t>损失率最高可达100%,胡萝卜素大部分被氧化。</w:t>
      </w:r>
    </w:p>
    <w:p w:rsidR="00EA40A3" w:rsidRDefault="00E86C16">
      <w:pPr>
        <w:spacing w:before="77" w:line="235" w:lineRule="auto"/>
        <w:ind w:right="70" w:firstLine="400"/>
        <w:rPr>
          <w:rFonts w:ascii="宋体" w:eastAsia="宋体" w:hAnsi="宋体" w:cs="宋体"/>
          <w:sz w:val="22"/>
          <w:szCs w:val="22"/>
        </w:rPr>
      </w:pPr>
      <w:r>
        <w:rPr>
          <w:rFonts w:ascii="宋体" w:eastAsia="宋体" w:hAnsi="宋体" w:cs="宋体"/>
          <w:spacing w:val="-13"/>
          <w:sz w:val="22"/>
          <w:szCs w:val="22"/>
        </w:rPr>
        <w:t>蔬菜腌制前往往要经过反复的洗、晒或热烫，其水溶性维生素和矿物质损失</w:t>
      </w:r>
      <w:r>
        <w:rPr>
          <w:rFonts w:ascii="宋体" w:eastAsia="宋体" w:hAnsi="宋体" w:cs="宋体"/>
          <w:spacing w:val="8"/>
          <w:sz w:val="22"/>
          <w:szCs w:val="22"/>
        </w:rPr>
        <w:t xml:space="preserve"> </w:t>
      </w:r>
      <w:r>
        <w:rPr>
          <w:rFonts w:ascii="宋体" w:eastAsia="宋体" w:hAnsi="宋体" w:cs="宋体"/>
          <w:spacing w:val="-3"/>
          <w:sz w:val="22"/>
          <w:szCs w:val="22"/>
        </w:rPr>
        <w:t>严重。因此腌制蔬菜不是维生素C</w:t>
      </w:r>
      <w:r>
        <w:rPr>
          <w:rFonts w:ascii="宋体" w:eastAsia="宋体" w:hAnsi="宋体" w:cs="宋体"/>
          <w:spacing w:val="-14"/>
          <w:sz w:val="22"/>
          <w:szCs w:val="22"/>
        </w:rPr>
        <w:t xml:space="preserve"> </w:t>
      </w:r>
      <w:r>
        <w:rPr>
          <w:rFonts w:ascii="宋体" w:eastAsia="宋体" w:hAnsi="宋体" w:cs="宋体"/>
          <w:spacing w:val="-3"/>
          <w:sz w:val="22"/>
          <w:szCs w:val="22"/>
        </w:rPr>
        <w:t>的良好来源。传统酱菜的盐含量可达1</w:t>
      </w:r>
      <w:r>
        <w:rPr>
          <w:rFonts w:ascii="宋体" w:eastAsia="宋体" w:hAnsi="宋体" w:cs="宋体"/>
          <w:spacing w:val="-4"/>
          <w:sz w:val="22"/>
          <w:szCs w:val="22"/>
        </w:rPr>
        <w:t>0%以</w:t>
      </w:r>
      <w:r>
        <w:rPr>
          <w:rFonts w:ascii="宋体" w:eastAsia="宋体" w:hAnsi="宋体" w:cs="宋体"/>
          <w:sz w:val="22"/>
          <w:szCs w:val="22"/>
        </w:rPr>
        <w:t xml:space="preserve"> </w:t>
      </w:r>
      <w:r>
        <w:rPr>
          <w:rFonts w:ascii="宋体" w:eastAsia="宋体" w:hAnsi="宋体" w:cs="宋体"/>
          <w:spacing w:val="-8"/>
          <w:sz w:val="22"/>
          <w:szCs w:val="22"/>
        </w:rPr>
        <w:t>上。低盐酱菜的盐含量在7%左右。</w:t>
      </w:r>
    </w:p>
    <w:p w:rsidR="00EA40A3" w:rsidRDefault="00E86C16">
      <w:pPr>
        <w:spacing w:before="68" w:line="235" w:lineRule="auto"/>
        <w:ind w:right="80" w:firstLine="400"/>
        <w:rPr>
          <w:rFonts w:ascii="宋体" w:eastAsia="宋体" w:hAnsi="宋体" w:cs="宋体"/>
          <w:sz w:val="22"/>
          <w:szCs w:val="22"/>
        </w:rPr>
      </w:pPr>
      <w:r>
        <w:rPr>
          <w:rFonts w:ascii="宋体" w:eastAsia="宋体" w:hAnsi="宋体" w:cs="宋体"/>
          <w:spacing w:val="-13"/>
          <w:sz w:val="22"/>
          <w:szCs w:val="22"/>
        </w:rPr>
        <w:t>速冻蔬菜经过清洗一热烫—包冰衣一装袋一深冻几步处理后，水溶性维生素</w:t>
      </w:r>
      <w:r>
        <w:rPr>
          <w:rFonts w:ascii="宋体" w:eastAsia="宋体" w:hAnsi="宋体" w:cs="宋体"/>
          <w:spacing w:val="7"/>
          <w:sz w:val="22"/>
          <w:szCs w:val="22"/>
        </w:rPr>
        <w:t xml:space="preserve"> </w:t>
      </w:r>
      <w:r>
        <w:rPr>
          <w:rFonts w:ascii="宋体" w:eastAsia="宋体" w:hAnsi="宋体" w:cs="宋体"/>
          <w:spacing w:val="-13"/>
          <w:sz w:val="22"/>
          <w:szCs w:val="22"/>
        </w:rPr>
        <w:t>有一定损失。但胡萝卜素损失不大，仍然可以为膳食提供矿物质和膳食纤维。</w:t>
      </w:r>
    </w:p>
    <w:p w:rsidR="00EA40A3" w:rsidRDefault="00E86C16">
      <w:pPr>
        <w:spacing w:before="60" w:line="231" w:lineRule="auto"/>
        <w:ind w:right="75" w:firstLine="400"/>
        <w:rPr>
          <w:rFonts w:ascii="宋体" w:eastAsia="宋体" w:hAnsi="宋体" w:cs="宋体"/>
          <w:sz w:val="22"/>
          <w:szCs w:val="22"/>
        </w:rPr>
      </w:pPr>
      <w:r>
        <w:rPr>
          <w:rFonts w:ascii="宋体" w:eastAsia="宋体" w:hAnsi="宋体" w:cs="宋体"/>
          <w:spacing w:val="-13"/>
          <w:sz w:val="22"/>
          <w:szCs w:val="22"/>
        </w:rPr>
        <w:t>罐藏蔬菜经过热烫、热排气、灭菌等工艺后，水溶性维生素和矿物质可能受</w:t>
      </w:r>
      <w:r>
        <w:rPr>
          <w:rFonts w:ascii="宋体" w:eastAsia="宋体" w:hAnsi="宋体" w:cs="宋体"/>
          <w:spacing w:val="6"/>
          <w:sz w:val="22"/>
          <w:szCs w:val="22"/>
        </w:rPr>
        <w:t xml:space="preserve"> </w:t>
      </w:r>
      <w:r>
        <w:rPr>
          <w:rFonts w:ascii="宋体" w:eastAsia="宋体" w:hAnsi="宋体" w:cs="宋体"/>
          <w:spacing w:val="-10"/>
          <w:sz w:val="22"/>
          <w:szCs w:val="22"/>
        </w:rPr>
        <w:t>热降解和随水流失。由于蔬菜的pH</w:t>
      </w:r>
      <w:r>
        <w:rPr>
          <w:rFonts w:ascii="宋体" w:eastAsia="宋体" w:hAnsi="宋体" w:cs="宋体"/>
          <w:spacing w:val="35"/>
          <w:sz w:val="22"/>
          <w:szCs w:val="22"/>
        </w:rPr>
        <w:t xml:space="preserve"> </w:t>
      </w:r>
      <w:r>
        <w:rPr>
          <w:rFonts w:ascii="宋体" w:eastAsia="宋体" w:hAnsi="宋体" w:cs="宋体"/>
          <w:spacing w:val="-10"/>
          <w:sz w:val="22"/>
          <w:szCs w:val="22"/>
        </w:rPr>
        <w:t>比水果高，酸性较低，</w:t>
      </w:r>
      <w:r>
        <w:rPr>
          <w:rFonts w:ascii="宋体" w:eastAsia="宋体" w:hAnsi="宋体" w:cs="宋体"/>
          <w:spacing w:val="-11"/>
          <w:sz w:val="22"/>
          <w:szCs w:val="22"/>
        </w:rPr>
        <w:t>维生素C</w:t>
      </w:r>
      <w:r>
        <w:rPr>
          <w:rFonts w:ascii="宋体" w:eastAsia="宋体" w:hAnsi="宋体" w:cs="宋体"/>
          <w:spacing w:val="-23"/>
          <w:sz w:val="22"/>
          <w:szCs w:val="22"/>
        </w:rPr>
        <w:t xml:space="preserve"> </w:t>
      </w:r>
      <w:r>
        <w:rPr>
          <w:rFonts w:ascii="宋体" w:eastAsia="宋体" w:hAnsi="宋体" w:cs="宋体"/>
          <w:spacing w:val="-11"/>
          <w:sz w:val="22"/>
          <w:szCs w:val="22"/>
        </w:rPr>
        <w:t>的加工稳定</w:t>
      </w:r>
      <w:r>
        <w:rPr>
          <w:rFonts w:ascii="宋体" w:eastAsia="宋体" w:hAnsi="宋体" w:cs="宋体"/>
          <w:sz w:val="22"/>
          <w:szCs w:val="22"/>
        </w:rPr>
        <w:t xml:space="preserve"> </w:t>
      </w:r>
      <w:r>
        <w:rPr>
          <w:rFonts w:ascii="宋体" w:eastAsia="宋体" w:hAnsi="宋体" w:cs="宋体"/>
          <w:spacing w:val="-15"/>
          <w:sz w:val="22"/>
          <w:szCs w:val="22"/>
        </w:rPr>
        <w:t>性较差。</w:t>
      </w:r>
    </w:p>
    <w:p w:rsidR="00EA40A3" w:rsidRDefault="00E86C16">
      <w:pPr>
        <w:spacing w:before="85" w:line="235" w:lineRule="auto"/>
        <w:ind w:right="56" w:firstLine="400"/>
        <w:rPr>
          <w:rFonts w:ascii="宋体" w:eastAsia="宋体" w:hAnsi="宋体" w:cs="宋体"/>
          <w:sz w:val="22"/>
          <w:szCs w:val="22"/>
        </w:rPr>
      </w:pPr>
      <w:r>
        <w:rPr>
          <w:rFonts w:ascii="宋体" w:eastAsia="宋体" w:hAnsi="宋体" w:cs="宋体"/>
          <w:spacing w:val="-12"/>
          <w:sz w:val="22"/>
          <w:szCs w:val="22"/>
        </w:rPr>
        <w:t>蔬菜汁是混浊汁，通常由多种蔬菜调配而成，包含了蔬菜中的主要矿物质</w:t>
      </w:r>
      <w:r>
        <w:rPr>
          <w:rFonts w:ascii="宋体" w:eastAsia="宋体" w:hAnsi="宋体" w:cs="宋体"/>
          <w:spacing w:val="-13"/>
          <w:sz w:val="22"/>
          <w:szCs w:val="22"/>
        </w:rPr>
        <w:t>营</w:t>
      </w:r>
      <w:r>
        <w:rPr>
          <w:rFonts w:ascii="宋体" w:eastAsia="宋体" w:hAnsi="宋体" w:cs="宋体"/>
          <w:sz w:val="22"/>
          <w:szCs w:val="22"/>
        </w:rPr>
        <w:t xml:space="preserve"> </w:t>
      </w:r>
      <w:r>
        <w:rPr>
          <w:rFonts w:ascii="宋体" w:eastAsia="宋体" w:hAnsi="宋体" w:cs="宋体"/>
          <w:spacing w:val="-14"/>
          <w:sz w:val="22"/>
          <w:szCs w:val="22"/>
        </w:rPr>
        <w:t>养成分和胡萝卜素，但除去了蔬菜中的大部分不可溶性膳食纤维。</w:t>
      </w:r>
    </w:p>
    <w:p w:rsidR="00EA40A3" w:rsidRDefault="00EA40A3">
      <w:pPr>
        <w:sectPr w:rsidR="00EA40A3">
          <w:footerReference w:type="default" r:id="rId178"/>
          <w:pgSz w:w="9220" w:h="13360"/>
          <w:pgMar w:top="400" w:right="1110" w:bottom="1164" w:left="789" w:header="0" w:footer="931" w:gutter="0"/>
          <w:cols w:space="720"/>
        </w:sectPr>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86C16">
      <w:pPr>
        <w:spacing w:before="75" w:line="221" w:lineRule="auto"/>
        <w:rPr>
          <w:rFonts w:ascii="仿宋" w:eastAsia="仿宋" w:hAnsi="仿宋" w:cs="仿宋"/>
          <w:sz w:val="23"/>
          <w:szCs w:val="23"/>
        </w:rPr>
      </w:pPr>
      <w:r>
        <w:rPr>
          <w:rFonts w:ascii="仿宋" w:eastAsia="仿宋" w:hAnsi="仿宋" w:cs="仿宋"/>
          <w:spacing w:val="5"/>
          <w:sz w:val="23"/>
          <w:szCs w:val="23"/>
        </w:rPr>
        <w:t>2.</w:t>
      </w:r>
      <w:r>
        <w:rPr>
          <w:rFonts w:ascii="仿宋" w:eastAsia="仿宋" w:hAnsi="仿宋" w:cs="仿宋"/>
          <w:spacing w:val="-30"/>
          <w:sz w:val="23"/>
          <w:szCs w:val="23"/>
        </w:rPr>
        <w:t xml:space="preserve"> </w:t>
      </w:r>
      <w:r>
        <w:rPr>
          <w:rFonts w:ascii="仿宋" w:eastAsia="仿宋" w:hAnsi="仿宋" w:cs="仿宋"/>
          <w:spacing w:val="5"/>
          <w:sz w:val="23"/>
          <w:szCs w:val="23"/>
        </w:rPr>
        <w:t>水果加工品的营养价值</w:t>
      </w:r>
    </w:p>
    <w:p w:rsidR="00EA40A3" w:rsidRDefault="00E86C16">
      <w:pPr>
        <w:spacing w:before="174" w:line="219" w:lineRule="auto"/>
        <w:ind w:right="1" w:firstLine="399"/>
        <w:rPr>
          <w:rFonts w:ascii="宋体" w:eastAsia="宋体" w:hAnsi="宋体" w:cs="宋体"/>
          <w:sz w:val="23"/>
          <w:szCs w:val="23"/>
        </w:rPr>
      </w:pPr>
      <w:r>
        <w:rPr>
          <w:rFonts w:ascii="宋体" w:eastAsia="宋体" w:hAnsi="宋体" w:cs="宋体"/>
          <w:spacing w:val="-19"/>
          <w:sz w:val="23"/>
          <w:szCs w:val="23"/>
        </w:rPr>
        <w:t>水果的加工品保存了水果的特有风味，主要的</w:t>
      </w:r>
      <w:r>
        <w:rPr>
          <w:rFonts w:ascii="宋体" w:eastAsia="宋体" w:hAnsi="宋体" w:cs="宋体"/>
          <w:spacing w:val="-20"/>
          <w:sz w:val="23"/>
          <w:szCs w:val="23"/>
        </w:rPr>
        <w:t>营养损失是维生素C,</w:t>
      </w:r>
      <w:r>
        <w:rPr>
          <w:rFonts w:ascii="宋体" w:eastAsia="宋体" w:hAnsi="宋体" w:cs="宋体"/>
          <w:spacing w:val="12"/>
          <w:sz w:val="23"/>
          <w:szCs w:val="23"/>
        </w:rPr>
        <w:t xml:space="preserve"> </w:t>
      </w:r>
      <w:r>
        <w:rPr>
          <w:rFonts w:ascii="宋体" w:eastAsia="宋体" w:hAnsi="宋体" w:cs="宋体"/>
          <w:spacing w:val="-20"/>
          <w:sz w:val="23"/>
          <w:szCs w:val="23"/>
        </w:rPr>
        <w:t>胡萝卜</w:t>
      </w:r>
      <w:r>
        <w:rPr>
          <w:rFonts w:ascii="宋体" w:eastAsia="宋体" w:hAnsi="宋体" w:cs="宋体"/>
          <w:sz w:val="23"/>
          <w:szCs w:val="23"/>
        </w:rPr>
        <w:t xml:space="preserve"> </w:t>
      </w:r>
      <w:r>
        <w:rPr>
          <w:rFonts w:ascii="宋体" w:eastAsia="宋体" w:hAnsi="宋体" w:cs="宋体"/>
          <w:spacing w:val="-22"/>
          <w:sz w:val="23"/>
          <w:szCs w:val="23"/>
        </w:rPr>
        <w:t>素损失不大。除柑橘类和山楂等酸味水果外，富含维生素C</w:t>
      </w:r>
      <w:r>
        <w:rPr>
          <w:rFonts w:ascii="宋体" w:eastAsia="宋体" w:hAnsi="宋体" w:cs="宋体"/>
          <w:spacing w:val="-17"/>
          <w:sz w:val="23"/>
          <w:szCs w:val="23"/>
        </w:rPr>
        <w:t xml:space="preserve"> </w:t>
      </w:r>
      <w:r>
        <w:rPr>
          <w:rFonts w:ascii="宋体" w:eastAsia="宋体" w:hAnsi="宋体" w:cs="宋体"/>
          <w:spacing w:val="-22"/>
          <w:sz w:val="23"/>
          <w:szCs w:val="23"/>
        </w:rPr>
        <w:t>的水果以生食为佳。</w:t>
      </w:r>
    </w:p>
    <w:p w:rsidR="00EA40A3" w:rsidRDefault="00E86C16">
      <w:pPr>
        <w:spacing w:before="50" w:line="229" w:lineRule="auto"/>
        <w:ind w:right="14" w:firstLine="399"/>
        <w:rPr>
          <w:rFonts w:ascii="宋体" w:eastAsia="宋体" w:hAnsi="宋体" w:cs="宋体"/>
          <w:sz w:val="23"/>
          <w:szCs w:val="23"/>
        </w:rPr>
      </w:pPr>
      <w:r>
        <w:rPr>
          <w:rFonts w:ascii="宋体" w:eastAsia="宋体" w:hAnsi="宋体" w:cs="宋体"/>
          <w:spacing w:val="-15"/>
          <w:sz w:val="23"/>
          <w:szCs w:val="23"/>
        </w:rPr>
        <w:t>水果罐头、果酱、果脯、果汁、果糕等的维生素C</w:t>
      </w:r>
      <w:r>
        <w:rPr>
          <w:rFonts w:ascii="宋体" w:eastAsia="宋体" w:hAnsi="宋体" w:cs="宋体"/>
          <w:spacing w:val="-33"/>
          <w:sz w:val="23"/>
          <w:szCs w:val="23"/>
        </w:rPr>
        <w:t xml:space="preserve"> </w:t>
      </w:r>
      <w:r>
        <w:rPr>
          <w:rFonts w:ascii="宋体" w:eastAsia="宋体" w:hAnsi="宋体" w:cs="宋体"/>
          <w:spacing w:val="-15"/>
          <w:sz w:val="23"/>
          <w:szCs w:val="23"/>
        </w:rPr>
        <w:t>保存率与原料特点、</w:t>
      </w:r>
      <w:r>
        <w:rPr>
          <w:rFonts w:ascii="宋体" w:eastAsia="宋体" w:hAnsi="宋体" w:cs="宋体"/>
          <w:spacing w:val="-16"/>
          <w:sz w:val="23"/>
          <w:szCs w:val="23"/>
        </w:rPr>
        <w:t>加</w:t>
      </w:r>
      <w:r>
        <w:rPr>
          <w:rFonts w:ascii="宋体" w:eastAsia="宋体" w:hAnsi="宋体" w:cs="宋体"/>
          <w:sz w:val="23"/>
          <w:szCs w:val="23"/>
        </w:rPr>
        <w:t xml:space="preserve"> </w:t>
      </w:r>
      <w:r>
        <w:rPr>
          <w:rFonts w:ascii="宋体" w:eastAsia="宋体" w:hAnsi="宋体" w:cs="宋体"/>
          <w:spacing w:val="-23"/>
          <w:w w:val="98"/>
          <w:sz w:val="23"/>
          <w:szCs w:val="23"/>
        </w:rPr>
        <w:t>工.工.艺水平和储藏条件有很大关系。在适当的加工条</w:t>
      </w:r>
      <w:r>
        <w:rPr>
          <w:rFonts w:ascii="宋体" w:eastAsia="宋体" w:hAnsi="宋体" w:cs="宋体"/>
          <w:spacing w:val="-24"/>
          <w:w w:val="98"/>
          <w:sz w:val="23"/>
          <w:szCs w:val="23"/>
        </w:rPr>
        <w:t>件下，柑橘汁等酸性果汁中</w:t>
      </w:r>
      <w:r>
        <w:rPr>
          <w:rFonts w:ascii="宋体" w:eastAsia="宋体" w:hAnsi="宋体" w:cs="宋体"/>
          <w:sz w:val="23"/>
          <w:szCs w:val="23"/>
        </w:rPr>
        <w:t xml:space="preserve"> </w:t>
      </w:r>
      <w:r>
        <w:rPr>
          <w:rFonts w:ascii="宋体" w:eastAsia="宋体" w:hAnsi="宋体" w:cs="宋体"/>
          <w:spacing w:val="-17"/>
          <w:sz w:val="23"/>
          <w:szCs w:val="23"/>
        </w:rPr>
        <w:t>的维生素C</w:t>
      </w:r>
      <w:r>
        <w:rPr>
          <w:rFonts w:ascii="宋体" w:eastAsia="宋体" w:hAnsi="宋体" w:cs="宋体"/>
          <w:spacing w:val="-33"/>
          <w:sz w:val="23"/>
          <w:szCs w:val="23"/>
        </w:rPr>
        <w:t xml:space="preserve"> </w:t>
      </w:r>
      <w:r>
        <w:rPr>
          <w:rFonts w:ascii="宋体" w:eastAsia="宋体" w:hAnsi="宋体" w:cs="宋体"/>
          <w:spacing w:val="-17"/>
          <w:sz w:val="23"/>
          <w:szCs w:val="23"/>
        </w:rPr>
        <w:t>可以得到较好的保存，成为维生素</w:t>
      </w:r>
      <w:r>
        <w:rPr>
          <w:rFonts w:ascii="宋体" w:eastAsia="宋体" w:hAnsi="宋体" w:cs="宋体"/>
          <w:spacing w:val="-66"/>
          <w:sz w:val="23"/>
          <w:szCs w:val="23"/>
        </w:rPr>
        <w:t xml:space="preserve"> </w:t>
      </w:r>
      <w:r>
        <w:rPr>
          <w:rFonts w:ascii="宋体" w:eastAsia="宋体" w:hAnsi="宋体" w:cs="宋体"/>
          <w:spacing w:val="-17"/>
          <w:sz w:val="23"/>
          <w:szCs w:val="23"/>
        </w:rPr>
        <w:t>C</w:t>
      </w:r>
      <w:r>
        <w:rPr>
          <w:rFonts w:ascii="宋体" w:eastAsia="宋体" w:hAnsi="宋体" w:cs="宋体"/>
          <w:spacing w:val="-13"/>
          <w:sz w:val="23"/>
          <w:szCs w:val="23"/>
        </w:rPr>
        <w:t xml:space="preserve"> </w:t>
      </w:r>
      <w:r>
        <w:rPr>
          <w:rFonts w:ascii="宋体" w:eastAsia="宋体" w:hAnsi="宋体" w:cs="宋体"/>
          <w:spacing w:val="-17"/>
          <w:sz w:val="23"/>
          <w:szCs w:val="23"/>
        </w:rPr>
        <w:t>的日常来源，但多</w:t>
      </w:r>
      <w:r>
        <w:rPr>
          <w:rFonts w:ascii="宋体" w:eastAsia="宋体" w:hAnsi="宋体" w:cs="宋体"/>
          <w:spacing w:val="-18"/>
          <w:sz w:val="23"/>
          <w:szCs w:val="23"/>
        </w:rPr>
        <w:t>数市售加工</w:t>
      </w:r>
      <w:r>
        <w:rPr>
          <w:rFonts w:ascii="宋体" w:eastAsia="宋体" w:hAnsi="宋体" w:cs="宋体"/>
          <w:sz w:val="23"/>
          <w:szCs w:val="23"/>
        </w:rPr>
        <w:t xml:space="preserve"> </w:t>
      </w:r>
      <w:r>
        <w:rPr>
          <w:rFonts w:ascii="宋体" w:eastAsia="宋体" w:hAnsi="宋体" w:cs="宋体"/>
          <w:spacing w:val="-21"/>
          <w:sz w:val="23"/>
          <w:szCs w:val="23"/>
        </w:rPr>
        <w:t>品中维生素C</w:t>
      </w:r>
      <w:r>
        <w:rPr>
          <w:rFonts w:ascii="宋体" w:eastAsia="宋体" w:hAnsi="宋体" w:cs="宋体"/>
          <w:spacing w:val="-19"/>
          <w:sz w:val="23"/>
          <w:szCs w:val="23"/>
        </w:rPr>
        <w:t xml:space="preserve"> </w:t>
      </w:r>
      <w:r>
        <w:rPr>
          <w:rFonts w:ascii="宋体" w:eastAsia="宋体" w:hAnsi="宋体" w:cs="宋体"/>
          <w:spacing w:val="-21"/>
          <w:sz w:val="23"/>
          <w:szCs w:val="23"/>
        </w:rPr>
        <w:t>含量较低。</w:t>
      </w:r>
    </w:p>
    <w:p w:rsidR="00EA40A3" w:rsidRDefault="00E86C16">
      <w:pPr>
        <w:spacing w:before="55" w:line="230" w:lineRule="auto"/>
        <w:ind w:right="4" w:firstLine="399"/>
        <w:rPr>
          <w:rFonts w:ascii="宋体" w:eastAsia="宋体" w:hAnsi="宋体" w:cs="宋体"/>
          <w:sz w:val="23"/>
          <w:szCs w:val="23"/>
        </w:rPr>
      </w:pPr>
      <w:r>
        <w:rPr>
          <w:rFonts w:ascii="宋体" w:eastAsia="宋体" w:hAnsi="宋体" w:cs="宋体"/>
          <w:spacing w:val="-25"/>
          <w:w w:val="99"/>
          <w:sz w:val="23"/>
          <w:szCs w:val="23"/>
        </w:rPr>
        <w:t>纯果汁分为两类：</w:t>
      </w:r>
      <w:r>
        <w:rPr>
          <w:rFonts w:ascii="宋体" w:eastAsia="宋体" w:hAnsi="宋体" w:cs="宋体"/>
          <w:spacing w:val="34"/>
          <w:sz w:val="23"/>
          <w:szCs w:val="23"/>
        </w:rPr>
        <w:t xml:space="preserve"> </w:t>
      </w:r>
      <w:r>
        <w:rPr>
          <w:rFonts w:ascii="宋体" w:eastAsia="宋体" w:hAnsi="宋体" w:cs="宋体"/>
          <w:spacing w:val="-25"/>
          <w:w w:val="99"/>
          <w:sz w:val="23"/>
          <w:szCs w:val="23"/>
        </w:rPr>
        <w:t>一类是带果肉的混浊汁，其中含有除部分纤维素之外的水</w:t>
      </w:r>
      <w:r>
        <w:rPr>
          <w:rFonts w:ascii="宋体" w:eastAsia="宋体" w:hAnsi="宋体" w:cs="宋体"/>
          <w:sz w:val="23"/>
          <w:szCs w:val="23"/>
        </w:rPr>
        <w:t xml:space="preserve"> </w:t>
      </w:r>
      <w:r>
        <w:rPr>
          <w:rFonts w:ascii="宋体" w:eastAsia="宋体" w:hAnsi="宋体" w:cs="宋体"/>
          <w:spacing w:val="-23"/>
          <w:sz w:val="23"/>
          <w:szCs w:val="23"/>
        </w:rPr>
        <w:t>果中的全部养分，如柑橘汁等；另一类是澄清汁，经过过滤或超滤，除去</w:t>
      </w:r>
      <w:r>
        <w:rPr>
          <w:rFonts w:ascii="宋体" w:eastAsia="宋体" w:hAnsi="宋体" w:cs="宋体"/>
          <w:spacing w:val="-24"/>
          <w:sz w:val="23"/>
          <w:szCs w:val="23"/>
        </w:rPr>
        <w:t>了水果</w:t>
      </w:r>
      <w:r>
        <w:rPr>
          <w:rFonts w:ascii="宋体" w:eastAsia="宋体" w:hAnsi="宋体" w:cs="宋体"/>
          <w:sz w:val="23"/>
          <w:szCs w:val="23"/>
        </w:rPr>
        <w:t xml:space="preserve"> </w:t>
      </w:r>
      <w:r>
        <w:rPr>
          <w:rFonts w:ascii="宋体" w:eastAsia="宋体" w:hAnsi="宋体" w:cs="宋体"/>
          <w:spacing w:val="-23"/>
          <w:sz w:val="23"/>
          <w:szCs w:val="23"/>
        </w:rPr>
        <w:t>中的膳食纤维、各种大分子物质和脂类物质，只留下糖分、矿物</w:t>
      </w:r>
      <w:r>
        <w:rPr>
          <w:rFonts w:ascii="宋体" w:eastAsia="宋体" w:hAnsi="宋体" w:cs="宋体"/>
          <w:spacing w:val="-24"/>
          <w:sz w:val="23"/>
          <w:szCs w:val="23"/>
        </w:rPr>
        <w:t>质和部分水溶性</w:t>
      </w:r>
      <w:r>
        <w:rPr>
          <w:rFonts w:ascii="宋体" w:eastAsia="宋体" w:hAnsi="宋体" w:cs="宋体"/>
          <w:sz w:val="23"/>
          <w:szCs w:val="23"/>
        </w:rPr>
        <w:t xml:space="preserve"> </w:t>
      </w:r>
      <w:r>
        <w:rPr>
          <w:rFonts w:ascii="宋体" w:eastAsia="宋体" w:hAnsi="宋体" w:cs="宋体"/>
          <w:spacing w:val="-6"/>
          <w:sz w:val="23"/>
          <w:szCs w:val="23"/>
        </w:rPr>
        <w:t>维生素，如苹果汁。市售“果汁饮料”中原果汁的含量在</w:t>
      </w:r>
      <w:r>
        <w:rPr>
          <w:rFonts w:ascii="宋体" w:eastAsia="宋体" w:hAnsi="宋体" w:cs="宋体"/>
          <w:spacing w:val="-7"/>
          <w:sz w:val="23"/>
          <w:szCs w:val="23"/>
        </w:rPr>
        <w:t>10%以下，有的在</w:t>
      </w:r>
      <w:r>
        <w:rPr>
          <w:rFonts w:ascii="宋体" w:eastAsia="宋体" w:hAnsi="宋体" w:cs="宋体"/>
          <w:sz w:val="23"/>
          <w:szCs w:val="23"/>
        </w:rPr>
        <w:t xml:space="preserve"> </w:t>
      </w:r>
      <w:r>
        <w:rPr>
          <w:rFonts w:ascii="宋体" w:eastAsia="宋体" w:hAnsi="宋体" w:cs="宋体"/>
          <w:spacing w:val="-16"/>
          <w:sz w:val="23"/>
          <w:szCs w:val="23"/>
        </w:rPr>
        <w:t>2.5%以下，仅能提供水分和部分能量。</w:t>
      </w:r>
    </w:p>
    <w:p w:rsidR="00EA40A3" w:rsidRDefault="00E86C16">
      <w:pPr>
        <w:spacing w:before="68" w:line="223" w:lineRule="auto"/>
        <w:ind w:right="28" w:firstLine="399"/>
        <w:rPr>
          <w:rFonts w:ascii="宋体" w:eastAsia="宋体" w:hAnsi="宋体" w:cs="宋体"/>
          <w:sz w:val="23"/>
          <w:szCs w:val="23"/>
        </w:rPr>
      </w:pPr>
      <w:r>
        <w:rPr>
          <w:rFonts w:ascii="宋体" w:eastAsia="宋体" w:hAnsi="宋体" w:cs="宋体"/>
          <w:spacing w:val="-15"/>
          <w:sz w:val="23"/>
          <w:szCs w:val="23"/>
        </w:rPr>
        <w:t>果酱和果脯加工中需要加大量蔗糖长时间熬煮或浸渍，</w:t>
      </w:r>
      <w:r>
        <w:rPr>
          <w:rFonts w:ascii="宋体" w:eastAsia="宋体" w:hAnsi="宋体" w:cs="宋体"/>
          <w:spacing w:val="57"/>
          <w:sz w:val="23"/>
          <w:szCs w:val="23"/>
        </w:rPr>
        <w:t xml:space="preserve"> </w:t>
      </w:r>
      <w:r>
        <w:rPr>
          <w:rFonts w:ascii="宋体" w:eastAsia="宋体" w:hAnsi="宋体" w:cs="宋体"/>
          <w:spacing w:val="-15"/>
          <w:sz w:val="23"/>
          <w:szCs w:val="23"/>
        </w:rPr>
        <w:t>一般含糖量可达</w:t>
      </w:r>
      <w:r>
        <w:rPr>
          <w:rFonts w:ascii="宋体" w:eastAsia="宋体" w:hAnsi="宋体" w:cs="宋体"/>
          <w:sz w:val="23"/>
          <w:szCs w:val="23"/>
        </w:rPr>
        <w:t xml:space="preserve"> </w:t>
      </w:r>
      <w:r>
        <w:rPr>
          <w:rFonts w:ascii="宋体" w:eastAsia="宋体" w:hAnsi="宋体" w:cs="宋体"/>
          <w:spacing w:val="-12"/>
          <w:sz w:val="23"/>
          <w:szCs w:val="23"/>
        </w:rPr>
        <w:t>50%～70%,因此大量消费这类产品可能带来精制糖摄入过量的问题。</w:t>
      </w:r>
    </w:p>
    <w:p w:rsidR="00EA40A3" w:rsidRDefault="00E86C16">
      <w:pPr>
        <w:spacing w:before="42" w:line="226" w:lineRule="auto"/>
        <w:ind w:right="21" w:firstLine="399"/>
        <w:rPr>
          <w:rFonts w:ascii="宋体" w:eastAsia="宋体" w:hAnsi="宋体" w:cs="宋体"/>
          <w:sz w:val="23"/>
          <w:szCs w:val="23"/>
        </w:rPr>
      </w:pPr>
      <w:r>
        <w:rPr>
          <w:rFonts w:ascii="宋体" w:eastAsia="宋体" w:hAnsi="宋体" w:cs="宋体"/>
          <w:spacing w:val="-10"/>
          <w:sz w:val="23"/>
          <w:szCs w:val="23"/>
        </w:rPr>
        <w:t>水果干制可导致10%～50%的维生素</w:t>
      </w:r>
      <w:r>
        <w:rPr>
          <w:rFonts w:ascii="宋体" w:eastAsia="宋体" w:hAnsi="宋体" w:cs="宋体"/>
          <w:spacing w:val="-51"/>
          <w:sz w:val="23"/>
          <w:szCs w:val="23"/>
        </w:rPr>
        <w:t xml:space="preserve"> </w:t>
      </w:r>
      <w:r>
        <w:rPr>
          <w:rFonts w:ascii="宋体" w:eastAsia="宋体" w:hAnsi="宋体" w:cs="宋体"/>
          <w:spacing w:val="-10"/>
          <w:sz w:val="23"/>
          <w:szCs w:val="23"/>
        </w:rPr>
        <w:t>C</w:t>
      </w:r>
      <w:r>
        <w:rPr>
          <w:rFonts w:ascii="宋体" w:eastAsia="宋体" w:hAnsi="宋体" w:cs="宋体"/>
          <w:spacing w:val="-22"/>
          <w:sz w:val="23"/>
          <w:szCs w:val="23"/>
        </w:rPr>
        <w:t xml:space="preserve"> </w:t>
      </w:r>
      <w:r>
        <w:rPr>
          <w:rFonts w:ascii="宋体" w:eastAsia="宋体" w:hAnsi="宋体" w:cs="宋体"/>
          <w:spacing w:val="-10"/>
          <w:sz w:val="23"/>
          <w:szCs w:val="23"/>
        </w:rPr>
        <w:t>损失，在酸性条件下损失少。其中</w:t>
      </w:r>
      <w:r>
        <w:rPr>
          <w:rFonts w:ascii="宋体" w:eastAsia="宋体" w:hAnsi="宋体" w:cs="宋体"/>
          <w:sz w:val="23"/>
          <w:szCs w:val="23"/>
        </w:rPr>
        <w:t xml:space="preserve"> </w:t>
      </w:r>
      <w:r>
        <w:rPr>
          <w:rFonts w:ascii="宋体" w:eastAsia="宋体" w:hAnsi="宋体" w:cs="宋体"/>
          <w:spacing w:val="-23"/>
          <w:sz w:val="23"/>
          <w:szCs w:val="23"/>
        </w:rPr>
        <w:t>的矿物质得到浓缩。例如，杏干、葡萄干、干枣等均为多种矿物质的良好来源</w:t>
      </w:r>
      <w:r>
        <w:rPr>
          <w:rFonts w:ascii="宋体" w:eastAsia="宋体" w:hAnsi="宋体" w:cs="宋体"/>
          <w:spacing w:val="-24"/>
          <w:sz w:val="23"/>
          <w:szCs w:val="23"/>
        </w:rPr>
        <w:t>。</w:t>
      </w:r>
    </w:p>
    <w:p w:rsidR="00EA40A3" w:rsidRDefault="00E86C16">
      <w:pPr>
        <w:spacing w:before="17" w:line="231" w:lineRule="auto"/>
        <w:ind w:firstLine="399"/>
        <w:rPr>
          <w:rFonts w:ascii="宋体" w:eastAsia="宋体" w:hAnsi="宋体" w:cs="宋体"/>
          <w:sz w:val="23"/>
          <w:szCs w:val="23"/>
        </w:rPr>
      </w:pPr>
      <w:r>
        <w:rPr>
          <w:rFonts w:ascii="宋体" w:eastAsia="宋体" w:hAnsi="宋体" w:cs="宋体"/>
          <w:spacing w:val="-23"/>
          <w:sz w:val="23"/>
          <w:szCs w:val="23"/>
        </w:rPr>
        <w:t>水果可以加工成多种果酒。与蒸馏酒相比，果酒中的酒精度低，含有较丰富</w:t>
      </w:r>
      <w:r>
        <w:rPr>
          <w:rFonts w:ascii="宋体" w:eastAsia="宋体" w:hAnsi="宋体" w:cs="宋体"/>
          <w:spacing w:val="14"/>
          <w:sz w:val="23"/>
          <w:szCs w:val="23"/>
        </w:rPr>
        <w:t xml:space="preserve"> </w:t>
      </w:r>
      <w:r>
        <w:rPr>
          <w:rFonts w:ascii="宋体" w:eastAsia="宋体" w:hAnsi="宋体" w:cs="宋体"/>
          <w:spacing w:val="-23"/>
          <w:sz w:val="23"/>
          <w:szCs w:val="23"/>
        </w:rPr>
        <w:t>的碳水化合物、氨基酸、矿物质和维生素，并含有水果中有益健</w:t>
      </w:r>
      <w:r>
        <w:rPr>
          <w:rFonts w:ascii="宋体" w:eastAsia="宋体" w:hAnsi="宋体" w:cs="宋体"/>
          <w:spacing w:val="-24"/>
          <w:sz w:val="23"/>
          <w:szCs w:val="23"/>
        </w:rPr>
        <w:t>康的一些有机酸</w:t>
      </w:r>
      <w:r>
        <w:rPr>
          <w:rFonts w:ascii="宋体" w:eastAsia="宋体" w:hAnsi="宋体" w:cs="宋体"/>
          <w:sz w:val="23"/>
          <w:szCs w:val="23"/>
        </w:rPr>
        <w:t xml:space="preserve"> </w:t>
      </w:r>
      <w:r>
        <w:rPr>
          <w:rFonts w:ascii="宋体" w:eastAsia="宋体" w:hAnsi="宋体" w:cs="宋体"/>
          <w:spacing w:val="-23"/>
          <w:sz w:val="23"/>
          <w:szCs w:val="23"/>
        </w:rPr>
        <w:t>类、多酚类物质和风味物质等。有研究认为，少量饮用果酒具有降低心脏病发</w:t>
      </w:r>
      <w:r>
        <w:rPr>
          <w:rFonts w:ascii="宋体" w:eastAsia="宋体" w:hAnsi="宋体" w:cs="宋体"/>
          <w:spacing w:val="-24"/>
          <w:sz w:val="23"/>
          <w:szCs w:val="23"/>
        </w:rPr>
        <w:t>病</w:t>
      </w:r>
      <w:r>
        <w:rPr>
          <w:rFonts w:ascii="宋体" w:eastAsia="宋体" w:hAnsi="宋体" w:cs="宋体"/>
          <w:sz w:val="23"/>
          <w:szCs w:val="23"/>
        </w:rPr>
        <w:t xml:space="preserve"> </w:t>
      </w:r>
      <w:r>
        <w:rPr>
          <w:rFonts w:ascii="宋体" w:eastAsia="宋体" w:hAnsi="宋体" w:cs="宋体"/>
          <w:spacing w:val="-24"/>
          <w:sz w:val="23"/>
          <w:szCs w:val="23"/>
        </w:rPr>
        <w:t>率的作用。近来发现葡萄酒中有微量防癌物质白藜芦醇。由于果酒的生产可以有</w:t>
      </w:r>
      <w:r>
        <w:rPr>
          <w:rFonts w:ascii="宋体" w:eastAsia="宋体" w:hAnsi="宋体" w:cs="宋体"/>
          <w:spacing w:val="9"/>
          <w:sz w:val="23"/>
          <w:szCs w:val="23"/>
        </w:rPr>
        <w:t xml:space="preserve"> </w:t>
      </w:r>
      <w:r>
        <w:rPr>
          <w:rFonts w:ascii="宋体" w:eastAsia="宋体" w:hAnsi="宋体" w:cs="宋体"/>
          <w:spacing w:val="-16"/>
          <w:sz w:val="23"/>
          <w:szCs w:val="23"/>
        </w:rPr>
        <w:t>效利用水果加工中的皮、渣、核等副产品，因而对农产</w:t>
      </w:r>
      <w:r>
        <w:rPr>
          <w:rFonts w:ascii="宋体" w:eastAsia="宋体" w:hAnsi="宋体" w:cs="宋体"/>
          <w:spacing w:val="-17"/>
          <w:sz w:val="23"/>
          <w:szCs w:val="23"/>
        </w:rPr>
        <w:t>品综合利用具有重要的</w:t>
      </w:r>
      <w:r>
        <w:rPr>
          <w:rFonts w:ascii="宋体" w:eastAsia="宋体" w:hAnsi="宋体" w:cs="宋体"/>
          <w:sz w:val="23"/>
          <w:szCs w:val="23"/>
        </w:rPr>
        <w:t xml:space="preserve"> </w:t>
      </w:r>
      <w:r>
        <w:rPr>
          <w:rFonts w:ascii="宋体" w:eastAsia="宋体" w:hAnsi="宋体" w:cs="宋体"/>
          <w:spacing w:val="-22"/>
          <w:sz w:val="23"/>
          <w:szCs w:val="23"/>
        </w:rPr>
        <w:t>意义。</w:t>
      </w:r>
    </w:p>
    <w:p w:rsidR="00EA40A3" w:rsidRDefault="00EA40A3">
      <w:pPr>
        <w:spacing w:line="272" w:lineRule="auto"/>
      </w:pPr>
    </w:p>
    <w:p w:rsidR="00EA40A3" w:rsidRDefault="00E86C16">
      <w:pPr>
        <w:spacing w:before="91" w:line="218" w:lineRule="auto"/>
        <w:ind w:left="1789"/>
        <w:rPr>
          <w:rFonts w:ascii="宋体" w:eastAsia="宋体" w:hAnsi="宋体" w:cs="宋体"/>
          <w:sz w:val="28"/>
          <w:szCs w:val="28"/>
        </w:rPr>
      </w:pPr>
      <w:r>
        <w:rPr>
          <w:rFonts w:ascii="宋体" w:eastAsia="宋体" w:hAnsi="宋体" w:cs="宋体"/>
          <w:spacing w:val="-5"/>
          <w:sz w:val="28"/>
          <w:szCs w:val="28"/>
        </w:rPr>
        <w:t>6.5</w:t>
      </w:r>
      <w:r>
        <w:rPr>
          <w:rFonts w:ascii="宋体" w:eastAsia="宋体" w:hAnsi="宋体" w:cs="宋体"/>
          <w:spacing w:val="7"/>
          <w:sz w:val="28"/>
          <w:szCs w:val="28"/>
        </w:rPr>
        <w:t xml:space="preserve">  </w:t>
      </w:r>
      <w:r>
        <w:rPr>
          <w:rFonts w:ascii="宋体" w:eastAsia="宋体" w:hAnsi="宋体" w:cs="宋体"/>
          <w:spacing w:val="-5"/>
          <w:sz w:val="28"/>
          <w:szCs w:val="28"/>
        </w:rPr>
        <w:t>肉类和水产品的营养价值</w:t>
      </w:r>
    </w:p>
    <w:p w:rsidR="00EA40A3" w:rsidRDefault="00EA40A3">
      <w:pPr>
        <w:spacing w:line="242" w:lineRule="auto"/>
      </w:pPr>
    </w:p>
    <w:p w:rsidR="00EA40A3" w:rsidRDefault="00E86C16">
      <w:pPr>
        <w:spacing w:before="75" w:line="209" w:lineRule="auto"/>
        <w:ind w:right="26" w:firstLine="399"/>
        <w:rPr>
          <w:rFonts w:ascii="宋体" w:eastAsia="宋体" w:hAnsi="宋体" w:cs="宋体"/>
          <w:sz w:val="23"/>
          <w:szCs w:val="23"/>
        </w:rPr>
      </w:pPr>
      <w:r>
        <w:rPr>
          <w:rFonts w:ascii="宋体" w:eastAsia="宋体" w:hAnsi="宋体" w:cs="宋体"/>
          <w:spacing w:val="-23"/>
          <w:sz w:val="23"/>
          <w:szCs w:val="23"/>
        </w:rPr>
        <w:t>肉类因来源和营养特点的不同，可分为畜肉和禽肉。水产品包括淡水和海水</w:t>
      </w:r>
      <w:r>
        <w:rPr>
          <w:rFonts w:ascii="宋体" w:eastAsia="宋体" w:hAnsi="宋体" w:cs="宋体"/>
          <w:spacing w:val="7"/>
          <w:sz w:val="23"/>
          <w:szCs w:val="23"/>
        </w:rPr>
        <w:t xml:space="preserve"> </w:t>
      </w:r>
      <w:r>
        <w:rPr>
          <w:rFonts w:ascii="宋体" w:eastAsia="宋体" w:hAnsi="宋体" w:cs="宋体"/>
          <w:spacing w:val="-24"/>
          <w:sz w:val="23"/>
          <w:szCs w:val="23"/>
        </w:rPr>
        <w:t>鱼、虾、甲壳类等。它们的营养价值各具特点。</w:t>
      </w:r>
    </w:p>
    <w:p w:rsidR="00EA40A3" w:rsidRDefault="00E86C16">
      <w:pPr>
        <w:spacing w:before="185" w:line="221" w:lineRule="auto"/>
        <w:ind w:left="3"/>
        <w:outlineLvl w:val="6"/>
        <w:rPr>
          <w:rFonts w:ascii="黑体" w:eastAsia="黑体" w:hAnsi="黑体" w:cs="黑体"/>
          <w:sz w:val="23"/>
          <w:szCs w:val="23"/>
        </w:rPr>
      </w:pPr>
      <w:r>
        <w:rPr>
          <w:rFonts w:ascii="黑体" w:eastAsia="黑体" w:hAnsi="黑体" w:cs="黑体"/>
          <w:b/>
          <w:bCs/>
          <w:spacing w:val="-2"/>
          <w:sz w:val="23"/>
          <w:szCs w:val="23"/>
        </w:rPr>
        <w:t>6.5.1</w:t>
      </w:r>
      <w:r>
        <w:rPr>
          <w:rFonts w:ascii="黑体" w:eastAsia="黑体" w:hAnsi="黑体" w:cs="黑体"/>
          <w:spacing w:val="41"/>
          <w:sz w:val="23"/>
          <w:szCs w:val="23"/>
        </w:rPr>
        <w:t xml:space="preserve">  </w:t>
      </w:r>
      <w:r>
        <w:rPr>
          <w:rFonts w:ascii="黑体" w:eastAsia="黑体" w:hAnsi="黑体" w:cs="黑体"/>
          <w:b/>
          <w:bCs/>
          <w:spacing w:val="-2"/>
          <w:sz w:val="23"/>
          <w:szCs w:val="23"/>
        </w:rPr>
        <w:t>肉类的营养价值</w:t>
      </w:r>
    </w:p>
    <w:p w:rsidR="00EA40A3" w:rsidRDefault="00E86C16">
      <w:pPr>
        <w:spacing w:before="228" w:line="221" w:lineRule="auto"/>
        <w:rPr>
          <w:rFonts w:ascii="黑体" w:eastAsia="黑体" w:hAnsi="黑体" w:cs="黑体"/>
          <w:sz w:val="23"/>
          <w:szCs w:val="23"/>
        </w:rPr>
      </w:pPr>
      <w:r>
        <w:rPr>
          <w:rFonts w:ascii="黑体" w:eastAsia="黑体" w:hAnsi="黑体" w:cs="黑体"/>
          <w:spacing w:val="-10"/>
          <w:sz w:val="23"/>
          <w:szCs w:val="23"/>
        </w:rPr>
        <w:t>1.</w:t>
      </w:r>
      <w:r>
        <w:rPr>
          <w:rFonts w:ascii="黑体" w:eastAsia="黑体" w:hAnsi="黑体" w:cs="黑体"/>
          <w:spacing w:val="-5"/>
          <w:sz w:val="23"/>
          <w:szCs w:val="23"/>
        </w:rPr>
        <w:t xml:space="preserve"> </w:t>
      </w:r>
      <w:r>
        <w:rPr>
          <w:rFonts w:ascii="黑体" w:eastAsia="黑体" w:hAnsi="黑体" w:cs="黑体"/>
          <w:spacing w:val="-10"/>
          <w:sz w:val="23"/>
          <w:szCs w:val="23"/>
        </w:rPr>
        <w:t>畜肉</w:t>
      </w:r>
    </w:p>
    <w:p w:rsidR="00EA40A3" w:rsidRDefault="00E86C16">
      <w:pPr>
        <w:spacing w:before="225" w:line="218" w:lineRule="auto"/>
        <w:ind w:right="20" w:firstLine="399"/>
        <w:jc w:val="both"/>
        <w:rPr>
          <w:rFonts w:ascii="宋体" w:eastAsia="宋体" w:hAnsi="宋体" w:cs="宋体"/>
          <w:sz w:val="23"/>
          <w:szCs w:val="23"/>
        </w:rPr>
      </w:pPr>
      <w:r>
        <w:rPr>
          <w:rFonts w:ascii="宋体" w:eastAsia="宋体" w:hAnsi="宋体" w:cs="宋体"/>
          <w:spacing w:val="-23"/>
          <w:sz w:val="23"/>
          <w:szCs w:val="23"/>
        </w:rPr>
        <w:t>畜肉包括牛、猪、羊等大牲畜肉及内脏，其中的蛋白质、维生素和矿物质的</w:t>
      </w:r>
      <w:r>
        <w:rPr>
          <w:rFonts w:ascii="宋体" w:eastAsia="宋体" w:hAnsi="宋体" w:cs="宋体"/>
          <w:spacing w:val="14"/>
          <w:sz w:val="23"/>
          <w:szCs w:val="23"/>
        </w:rPr>
        <w:t xml:space="preserve"> </w:t>
      </w:r>
      <w:r>
        <w:rPr>
          <w:rFonts w:ascii="宋体" w:eastAsia="宋体" w:hAnsi="宋体" w:cs="宋体"/>
          <w:spacing w:val="-23"/>
          <w:sz w:val="23"/>
          <w:szCs w:val="23"/>
        </w:rPr>
        <w:t>含量随动物的种类、年龄、肥育度和部位的不同而有很大差异。畜</w:t>
      </w:r>
      <w:r>
        <w:rPr>
          <w:rFonts w:ascii="宋体" w:eastAsia="宋体" w:hAnsi="宋体" w:cs="宋体"/>
          <w:spacing w:val="-24"/>
          <w:sz w:val="23"/>
          <w:szCs w:val="23"/>
        </w:rPr>
        <w:t>肉是膳食中蛋</w:t>
      </w:r>
      <w:r>
        <w:rPr>
          <w:rFonts w:ascii="宋体" w:eastAsia="宋体" w:hAnsi="宋体" w:cs="宋体"/>
          <w:sz w:val="23"/>
          <w:szCs w:val="23"/>
        </w:rPr>
        <w:t xml:space="preserve"> </w:t>
      </w:r>
      <w:r>
        <w:rPr>
          <w:rFonts w:ascii="宋体" w:eastAsia="宋体" w:hAnsi="宋体" w:cs="宋体"/>
          <w:spacing w:val="-22"/>
          <w:sz w:val="23"/>
          <w:szCs w:val="23"/>
        </w:rPr>
        <w:t>白质、脂肪和B</w:t>
      </w:r>
      <w:r>
        <w:rPr>
          <w:rFonts w:ascii="宋体" w:eastAsia="宋体" w:hAnsi="宋体" w:cs="宋体"/>
          <w:spacing w:val="-34"/>
          <w:sz w:val="23"/>
          <w:szCs w:val="23"/>
        </w:rPr>
        <w:t xml:space="preserve"> </w:t>
      </w:r>
      <w:r>
        <w:rPr>
          <w:rFonts w:ascii="宋体" w:eastAsia="宋体" w:hAnsi="宋体" w:cs="宋体"/>
          <w:spacing w:val="-22"/>
          <w:sz w:val="23"/>
          <w:szCs w:val="23"/>
        </w:rPr>
        <w:t>族维生素的重要来源。</w:t>
      </w:r>
    </w:p>
    <w:p w:rsidR="00EA40A3" w:rsidRDefault="00E86C16">
      <w:pPr>
        <w:spacing w:before="44" w:line="226" w:lineRule="auto"/>
        <w:rPr>
          <w:rFonts w:ascii="楷体" w:eastAsia="楷体" w:hAnsi="楷体" w:cs="楷体"/>
          <w:sz w:val="19"/>
          <w:szCs w:val="19"/>
        </w:rPr>
      </w:pPr>
      <w:r>
        <w:rPr>
          <w:rFonts w:ascii="楷体" w:eastAsia="楷体" w:hAnsi="楷体" w:cs="楷体"/>
          <w:spacing w:val="-5"/>
          <w:sz w:val="19"/>
          <w:szCs w:val="19"/>
        </w:rPr>
        <w:t>1)</w:t>
      </w:r>
      <w:r>
        <w:rPr>
          <w:rFonts w:ascii="楷体" w:eastAsia="楷体" w:hAnsi="楷体" w:cs="楷体"/>
          <w:spacing w:val="76"/>
          <w:sz w:val="19"/>
          <w:szCs w:val="19"/>
        </w:rPr>
        <w:t xml:space="preserve"> </w:t>
      </w:r>
      <w:r>
        <w:rPr>
          <w:rFonts w:ascii="楷体" w:eastAsia="楷体" w:hAnsi="楷体" w:cs="楷体"/>
          <w:spacing w:val="-5"/>
          <w:sz w:val="19"/>
          <w:szCs w:val="19"/>
        </w:rPr>
        <w:t>蛋白质</w:t>
      </w:r>
    </w:p>
    <w:p w:rsidR="00EA40A3" w:rsidRDefault="00E86C16">
      <w:pPr>
        <w:spacing w:before="81" w:line="220" w:lineRule="auto"/>
        <w:ind w:left="399"/>
        <w:rPr>
          <w:rFonts w:ascii="宋体" w:eastAsia="宋体" w:hAnsi="宋体" w:cs="宋体"/>
          <w:sz w:val="23"/>
          <w:szCs w:val="23"/>
        </w:rPr>
      </w:pPr>
      <w:r>
        <w:rPr>
          <w:rFonts w:ascii="宋体" w:eastAsia="宋体" w:hAnsi="宋体" w:cs="宋体"/>
          <w:spacing w:val="-16"/>
          <w:sz w:val="23"/>
          <w:szCs w:val="23"/>
        </w:rPr>
        <w:t>一般食用的肉属于动物的肌肉组织。在肌肉当中，蛋白质约占</w:t>
      </w:r>
      <w:r>
        <w:rPr>
          <w:rFonts w:ascii="宋体" w:eastAsia="宋体" w:hAnsi="宋体" w:cs="宋体"/>
          <w:spacing w:val="-17"/>
          <w:sz w:val="23"/>
          <w:szCs w:val="23"/>
        </w:rPr>
        <w:t>总固形物的</w:t>
      </w:r>
    </w:p>
    <w:p w:rsidR="00EA40A3" w:rsidRDefault="00E86C16">
      <w:pPr>
        <w:spacing w:before="22"/>
        <w:rPr>
          <w:rFonts w:ascii="宋体" w:eastAsia="宋体" w:hAnsi="宋体" w:cs="宋体"/>
          <w:sz w:val="19"/>
          <w:szCs w:val="19"/>
        </w:rPr>
      </w:pPr>
      <w:r>
        <w:rPr>
          <w:rFonts w:ascii="宋体" w:eastAsia="宋体" w:hAnsi="宋体" w:cs="宋体"/>
          <w:spacing w:val="-31"/>
          <w:sz w:val="19"/>
          <w:szCs w:val="19"/>
        </w:rPr>
        <w:t>·</w:t>
      </w:r>
      <w:r>
        <w:rPr>
          <w:rFonts w:ascii="宋体" w:eastAsia="宋体" w:hAnsi="宋体" w:cs="宋体"/>
          <w:spacing w:val="-10"/>
          <w:sz w:val="19"/>
          <w:szCs w:val="19"/>
        </w:rPr>
        <w:t xml:space="preserve"> </w:t>
      </w:r>
      <w:r>
        <w:rPr>
          <w:rFonts w:ascii="宋体" w:eastAsia="宋体" w:hAnsi="宋体" w:cs="宋体"/>
          <w:spacing w:val="-31"/>
          <w:sz w:val="19"/>
          <w:szCs w:val="19"/>
        </w:rPr>
        <w:t>208</w:t>
      </w:r>
      <w:r>
        <w:rPr>
          <w:rFonts w:ascii="宋体" w:eastAsia="宋体" w:hAnsi="宋体" w:cs="宋体"/>
          <w:spacing w:val="42"/>
          <w:sz w:val="19"/>
          <w:szCs w:val="19"/>
        </w:rPr>
        <w:t xml:space="preserve"> </w:t>
      </w:r>
      <w:r>
        <w:rPr>
          <w:rFonts w:ascii="宋体" w:eastAsia="宋体" w:hAnsi="宋体" w:cs="宋体"/>
          <w:spacing w:val="-31"/>
          <w:sz w:val="19"/>
          <w:szCs w:val="19"/>
        </w:rPr>
        <w:t>·</w:t>
      </w:r>
    </w:p>
    <w:p w:rsidR="00EA40A3" w:rsidRDefault="00EA40A3">
      <w:pPr>
        <w:sectPr w:rsidR="00EA40A3">
          <w:footerReference w:type="default" r:id="rId179"/>
          <w:pgSz w:w="9220" w:h="13360"/>
          <w:pgMar w:top="400" w:right="1093" w:bottom="400" w:left="860" w:header="0" w:footer="0" w:gutter="0"/>
          <w:cols w:space="720"/>
        </w:sectPr>
      </w:pPr>
    </w:p>
    <w:p w:rsidR="00EA40A3" w:rsidRDefault="00EA40A3">
      <w:pPr>
        <w:spacing w:line="300" w:lineRule="auto"/>
      </w:pPr>
    </w:p>
    <w:p w:rsidR="00EA40A3" w:rsidRDefault="00EA40A3">
      <w:pPr>
        <w:spacing w:line="300" w:lineRule="auto"/>
      </w:pPr>
    </w:p>
    <w:p w:rsidR="00EA40A3" w:rsidRDefault="00E86C16">
      <w:pPr>
        <w:spacing w:before="65" w:line="257" w:lineRule="auto"/>
        <w:ind w:right="118"/>
        <w:rPr>
          <w:rFonts w:ascii="宋体" w:eastAsia="宋体" w:hAnsi="宋体" w:cs="宋体"/>
          <w:sz w:val="20"/>
          <w:szCs w:val="20"/>
        </w:rPr>
      </w:pPr>
      <w:r>
        <w:rPr>
          <w:rFonts w:ascii="宋体" w:eastAsia="宋体" w:hAnsi="宋体" w:cs="宋体"/>
          <w:spacing w:val="10"/>
          <w:sz w:val="20"/>
          <w:szCs w:val="20"/>
        </w:rPr>
        <w:t>80%左右，根据其功能和溶解性，大致可分为肌原纤维蛋白</w:t>
      </w:r>
      <w:r>
        <w:rPr>
          <w:rFonts w:ascii="宋体" w:eastAsia="宋体" w:hAnsi="宋体" w:cs="宋体"/>
          <w:spacing w:val="9"/>
          <w:sz w:val="20"/>
          <w:szCs w:val="20"/>
        </w:rPr>
        <w:t>质、肌浆蛋白质和结</w:t>
      </w:r>
      <w:r>
        <w:rPr>
          <w:rFonts w:ascii="宋体" w:eastAsia="宋体" w:hAnsi="宋体" w:cs="宋体"/>
          <w:sz w:val="20"/>
          <w:szCs w:val="20"/>
        </w:rPr>
        <w:t xml:space="preserve"> </w:t>
      </w:r>
      <w:r>
        <w:rPr>
          <w:rFonts w:ascii="宋体" w:eastAsia="宋体" w:hAnsi="宋体" w:cs="宋体"/>
          <w:spacing w:val="5"/>
          <w:sz w:val="20"/>
          <w:szCs w:val="20"/>
        </w:rPr>
        <w:t>缔组织蛋白质，分别属于盐溶性、水溶性和不溶性蛋白质</w:t>
      </w:r>
      <w:r>
        <w:rPr>
          <w:rFonts w:ascii="宋体" w:eastAsia="宋体" w:hAnsi="宋体" w:cs="宋体"/>
          <w:spacing w:val="4"/>
          <w:sz w:val="20"/>
          <w:szCs w:val="20"/>
        </w:rPr>
        <w:t>。</w:t>
      </w:r>
    </w:p>
    <w:p w:rsidR="00EA40A3" w:rsidRDefault="00E86C16">
      <w:pPr>
        <w:spacing w:before="52" w:line="275" w:lineRule="auto"/>
        <w:ind w:right="112" w:firstLine="419"/>
        <w:jc w:val="both"/>
        <w:rPr>
          <w:rFonts w:ascii="宋体" w:eastAsia="宋体" w:hAnsi="宋体" w:cs="宋体"/>
          <w:sz w:val="20"/>
          <w:szCs w:val="20"/>
        </w:rPr>
      </w:pPr>
      <w:r>
        <w:rPr>
          <w:rFonts w:ascii="宋体" w:eastAsia="宋体" w:hAnsi="宋体" w:cs="宋体"/>
          <w:spacing w:val="7"/>
          <w:sz w:val="20"/>
          <w:szCs w:val="20"/>
        </w:rPr>
        <w:t>畜肉肌原纤维蛋白质和肌浆蛋白质的生理价值较高，必需氨基酸比例</w:t>
      </w:r>
      <w:r>
        <w:rPr>
          <w:rFonts w:ascii="宋体" w:eastAsia="宋体" w:hAnsi="宋体" w:cs="宋体"/>
          <w:spacing w:val="6"/>
          <w:sz w:val="20"/>
          <w:szCs w:val="20"/>
        </w:rPr>
        <w:t>较为合</w:t>
      </w:r>
      <w:r>
        <w:rPr>
          <w:rFonts w:ascii="宋体" w:eastAsia="宋体" w:hAnsi="宋体" w:cs="宋体"/>
          <w:sz w:val="20"/>
          <w:szCs w:val="20"/>
        </w:rPr>
        <w:t xml:space="preserve"> </w:t>
      </w:r>
      <w:r>
        <w:rPr>
          <w:rFonts w:ascii="宋体" w:eastAsia="宋体" w:hAnsi="宋体" w:cs="宋体"/>
          <w:spacing w:val="7"/>
          <w:sz w:val="20"/>
          <w:szCs w:val="20"/>
        </w:rPr>
        <w:t>理，富含赖氨酸，可与谷类食物发生蛋白质营养互补。然而，结缔组织蛋白质以</w:t>
      </w:r>
      <w:r>
        <w:rPr>
          <w:rFonts w:ascii="宋体" w:eastAsia="宋体" w:hAnsi="宋体" w:cs="宋体"/>
          <w:spacing w:val="11"/>
          <w:sz w:val="20"/>
          <w:szCs w:val="20"/>
        </w:rPr>
        <w:t xml:space="preserve"> </w:t>
      </w:r>
      <w:r>
        <w:rPr>
          <w:rFonts w:ascii="宋体" w:eastAsia="宋体" w:hAnsi="宋体" w:cs="宋体"/>
          <w:spacing w:val="7"/>
          <w:sz w:val="20"/>
          <w:szCs w:val="20"/>
        </w:rPr>
        <w:t>胶原蛋白为主，其氨基酸组成特点是甘氨酸和脯氨酸含量高，且含有羟脯氨酸和</w:t>
      </w:r>
      <w:r>
        <w:rPr>
          <w:rFonts w:ascii="宋体" w:eastAsia="宋体" w:hAnsi="宋体" w:cs="宋体"/>
          <w:spacing w:val="10"/>
          <w:sz w:val="20"/>
          <w:szCs w:val="20"/>
        </w:rPr>
        <w:t xml:space="preserve"> </w:t>
      </w:r>
      <w:r>
        <w:rPr>
          <w:rFonts w:ascii="宋体" w:eastAsia="宋体" w:hAnsi="宋体" w:cs="宋体"/>
          <w:spacing w:val="7"/>
          <w:sz w:val="20"/>
          <w:szCs w:val="20"/>
        </w:rPr>
        <w:t>羟赖氨酸，酪氨酸、组氨酸、色氨酸和含硫氨基酸的含量极低，氨基酸组成并不</w:t>
      </w:r>
      <w:r>
        <w:rPr>
          <w:rFonts w:ascii="宋体" w:eastAsia="宋体" w:hAnsi="宋体" w:cs="宋体"/>
          <w:spacing w:val="4"/>
          <w:sz w:val="20"/>
          <w:szCs w:val="20"/>
        </w:rPr>
        <w:t xml:space="preserve"> </w:t>
      </w:r>
      <w:r>
        <w:rPr>
          <w:rFonts w:ascii="宋体" w:eastAsia="宋体" w:hAnsi="宋体" w:cs="宋体"/>
          <w:spacing w:val="7"/>
          <w:sz w:val="20"/>
          <w:szCs w:val="20"/>
        </w:rPr>
        <w:t>全面，生理价值低。不能以富含胶原蛋白的动物皮、筋腱等作为膳食中蛋白质的</w:t>
      </w:r>
      <w:r>
        <w:rPr>
          <w:rFonts w:ascii="宋体" w:eastAsia="宋体" w:hAnsi="宋体" w:cs="宋体"/>
          <w:spacing w:val="9"/>
          <w:sz w:val="20"/>
          <w:szCs w:val="20"/>
        </w:rPr>
        <w:t xml:space="preserve"> </w:t>
      </w:r>
      <w:r>
        <w:rPr>
          <w:rFonts w:ascii="宋体" w:eastAsia="宋体" w:hAnsi="宋体" w:cs="宋体"/>
          <w:spacing w:val="1"/>
          <w:sz w:val="20"/>
          <w:szCs w:val="20"/>
        </w:rPr>
        <w:t>重要来源。</w:t>
      </w:r>
    </w:p>
    <w:p w:rsidR="00EA40A3" w:rsidRDefault="00E86C16">
      <w:pPr>
        <w:spacing w:before="63" w:line="264" w:lineRule="auto"/>
        <w:ind w:right="50" w:firstLine="419"/>
        <w:jc w:val="both"/>
        <w:rPr>
          <w:rFonts w:ascii="宋体" w:eastAsia="宋体" w:hAnsi="宋体" w:cs="宋体"/>
          <w:sz w:val="20"/>
          <w:szCs w:val="20"/>
        </w:rPr>
      </w:pPr>
      <w:r>
        <w:rPr>
          <w:rFonts w:ascii="宋体" w:eastAsia="宋体" w:hAnsi="宋体" w:cs="宋体"/>
          <w:spacing w:val="12"/>
          <w:sz w:val="20"/>
          <w:szCs w:val="20"/>
        </w:rPr>
        <w:t>在各种畜肉当中，猪肉的蛋白质含量较低，平均仅在15</w:t>
      </w:r>
      <w:r>
        <w:rPr>
          <w:rFonts w:ascii="宋体" w:eastAsia="宋体" w:hAnsi="宋体" w:cs="宋体"/>
          <w:spacing w:val="11"/>
          <w:sz w:val="20"/>
          <w:szCs w:val="20"/>
        </w:rPr>
        <w:t>%左右；牛肉较高，</w:t>
      </w:r>
      <w:r>
        <w:rPr>
          <w:rFonts w:ascii="宋体" w:eastAsia="宋体" w:hAnsi="宋体" w:cs="宋体"/>
          <w:sz w:val="20"/>
          <w:szCs w:val="20"/>
        </w:rPr>
        <w:t xml:space="preserve"> </w:t>
      </w:r>
      <w:r>
        <w:rPr>
          <w:rFonts w:ascii="宋体" w:eastAsia="宋体" w:hAnsi="宋体" w:cs="宋体"/>
          <w:spacing w:val="22"/>
          <w:sz w:val="20"/>
          <w:szCs w:val="20"/>
        </w:rPr>
        <w:t>达20%左右；羊肉的蛋白质含量介于猪肉和牛肉之间。兔肉蛋白质含量也达</w:t>
      </w:r>
      <w:r>
        <w:rPr>
          <w:rFonts w:ascii="宋体" w:eastAsia="宋体" w:hAnsi="宋体" w:cs="宋体"/>
          <w:sz w:val="20"/>
          <w:szCs w:val="20"/>
        </w:rPr>
        <w:t xml:space="preserve"> </w:t>
      </w:r>
      <w:r>
        <w:rPr>
          <w:rFonts w:ascii="宋体" w:eastAsia="宋体" w:hAnsi="宋体" w:cs="宋体"/>
          <w:spacing w:val="11"/>
          <w:sz w:val="20"/>
          <w:szCs w:val="20"/>
        </w:rPr>
        <w:t>20%左右。表6-17列出猪、牛、羊肉蛋白质的必需氨基酸组成</w:t>
      </w:r>
      <w:r>
        <w:rPr>
          <w:rFonts w:ascii="宋体" w:eastAsia="宋体" w:hAnsi="宋体" w:cs="宋体"/>
          <w:spacing w:val="10"/>
          <w:sz w:val="20"/>
          <w:szCs w:val="20"/>
        </w:rPr>
        <w:t>。</w:t>
      </w:r>
    </w:p>
    <w:p w:rsidR="00EA40A3" w:rsidRDefault="00EA40A3">
      <w:pPr>
        <w:spacing w:line="271" w:lineRule="auto"/>
      </w:pPr>
    </w:p>
    <w:p w:rsidR="00EA40A3" w:rsidRDefault="00E86C16">
      <w:pPr>
        <w:spacing w:before="65" w:line="212" w:lineRule="auto"/>
        <w:ind w:left="1832"/>
        <w:rPr>
          <w:rFonts w:ascii="Times New Roman" w:eastAsia="Times New Roman" w:hAnsi="Times New Roman" w:cs="Times New Roman"/>
          <w:sz w:val="20"/>
          <w:szCs w:val="20"/>
        </w:rPr>
      </w:pPr>
      <w:r>
        <w:rPr>
          <w:rFonts w:ascii="黑体" w:eastAsia="黑体" w:hAnsi="黑体" w:cs="黑体"/>
          <w:b/>
          <w:bCs/>
          <w:spacing w:val="-17"/>
          <w:sz w:val="20"/>
          <w:szCs w:val="20"/>
        </w:rPr>
        <w:t>表6-17</w:t>
      </w:r>
      <w:r>
        <w:rPr>
          <w:rFonts w:ascii="黑体" w:eastAsia="黑体" w:hAnsi="黑体" w:cs="黑体"/>
          <w:spacing w:val="59"/>
          <w:sz w:val="20"/>
          <w:szCs w:val="20"/>
        </w:rPr>
        <w:t xml:space="preserve"> </w:t>
      </w:r>
      <w:r>
        <w:rPr>
          <w:rFonts w:ascii="黑体" w:eastAsia="黑体" w:hAnsi="黑体" w:cs="黑体"/>
          <w:b/>
          <w:bCs/>
          <w:spacing w:val="-17"/>
          <w:sz w:val="20"/>
          <w:szCs w:val="20"/>
        </w:rPr>
        <w:t>猪、牛、羊肉蛋白质的必需氨基酸组成</w:t>
      </w:r>
      <w:r>
        <w:rPr>
          <w:rFonts w:ascii="黑体" w:eastAsia="黑体" w:hAnsi="黑体" w:cs="黑体"/>
          <w:spacing w:val="36"/>
          <w:sz w:val="20"/>
          <w:szCs w:val="20"/>
        </w:rPr>
        <w:t xml:space="preserve"> </w:t>
      </w:r>
      <w:r>
        <w:rPr>
          <w:rFonts w:ascii="黑体" w:eastAsia="黑体" w:hAnsi="黑体" w:cs="黑体"/>
          <w:spacing w:val="-17"/>
          <w:sz w:val="20"/>
          <w:szCs w:val="20"/>
        </w:rPr>
        <w:t>(单位：</w:t>
      </w:r>
      <w:r>
        <w:rPr>
          <w:rFonts w:ascii="黑体" w:eastAsia="黑体" w:hAnsi="黑体" w:cs="黑体"/>
          <w:spacing w:val="-60"/>
          <w:sz w:val="20"/>
          <w:szCs w:val="20"/>
        </w:rPr>
        <w:t xml:space="preserve"> </w:t>
      </w:r>
      <w:r>
        <w:rPr>
          <w:rFonts w:ascii="Times New Roman" w:eastAsia="Times New Roman" w:hAnsi="Times New Roman" w:cs="Times New Roman"/>
          <w:spacing w:val="-17"/>
          <w:sz w:val="20"/>
          <w:szCs w:val="20"/>
        </w:rPr>
        <w:t>g/100g)</w:t>
      </w:r>
    </w:p>
    <w:p w:rsidR="00EA40A3" w:rsidRDefault="00EA40A3">
      <w:pPr>
        <w:spacing w:line="50" w:lineRule="exact"/>
      </w:pPr>
    </w:p>
    <w:tbl>
      <w:tblPr>
        <w:tblStyle w:val="TableNormal"/>
        <w:tblW w:w="7359" w:type="dxa"/>
        <w:tblInd w:w="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392"/>
        <w:gridCol w:w="1708"/>
        <w:gridCol w:w="1379"/>
        <w:gridCol w:w="1420"/>
        <w:gridCol w:w="1460"/>
      </w:tblGrid>
      <w:tr w:rsidR="00EA40A3">
        <w:trPr>
          <w:trHeight w:val="294"/>
        </w:trPr>
        <w:tc>
          <w:tcPr>
            <w:tcW w:w="1392" w:type="dxa"/>
            <w:tcBorders>
              <w:top w:val="single" w:sz="4" w:space="0" w:color="000000"/>
              <w:bottom w:val="single" w:sz="4" w:space="0" w:color="000000"/>
            </w:tcBorders>
          </w:tcPr>
          <w:p w:rsidR="00EA40A3" w:rsidRDefault="00E86C16">
            <w:pPr>
              <w:spacing w:before="112" w:line="210" w:lineRule="auto"/>
              <w:ind w:left="369"/>
              <w:rPr>
                <w:rFonts w:ascii="宋体" w:eastAsia="宋体" w:hAnsi="宋体" w:cs="宋体"/>
                <w:sz w:val="16"/>
                <w:szCs w:val="16"/>
              </w:rPr>
            </w:pPr>
            <w:r>
              <w:rPr>
                <w:rFonts w:ascii="宋体" w:eastAsia="宋体" w:hAnsi="宋体" w:cs="宋体"/>
                <w:spacing w:val="-2"/>
                <w:sz w:val="16"/>
                <w:szCs w:val="16"/>
              </w:rPr>
              <w:t>氨基酸</w:t>
            </w:r>
          </w:p>
        </w:tc>
        <w:tc>
          <w:tcPr>
            <w:tcW w:w="1708" w:type="dxa"/>
            <w:tcBorders>
              <w:top w:val="single" w:sz="4" w:space="0" w:color="000000"/>
              <w:bottom w:val="single" w:sz="4" w:space="0" w:color="000000"/>
            </w:tcBorders>
          </w:tcPr>
          <w:p w:rsidR="00EA40A3" w:rsidRDefault="00E86C16">
            <w:pPr>
              <w:spacing w:before="101" w:line="219" w:lineRule="auto"/>
              <w:ind w:left="567"/>
              <w:rPr>
                <w:rFonts w:ascii="宋体" w:eastAsia="宋体" w:hAnsi="宋体" w:cs="宋体"/>
                <w:sz w:val="16"/>
                <w:szCs w:val="16"/>
              </w:rPr>
            </w:pPr>
            <w:r>
              <w:rPr>
                <w:rFonts w:ascii="宋体" w:eastAsia="宋体" w:hAnsi="宋体" w:cs="宋体"/>
                <w:spacing w:val="-3"/>
                <w:sz w:val="16"/>
                <w:szCs w:val="16"/>
              </w:rPr>
              <w:t>分类</w:t>
            </w:r>
          </w:p>
        </w:tc>
        <w:tc>
          <w:tcPr>
            <w:tcW w:w="1379" w:type="dxa"/>
            <w:tcBorders>
              <w:top w:val="single" w:sz="4" w:space="0" w:color="000000"/>
              <w:bottom w:val="single" w:sz="4" w:space="0" w:color="000000"/>
            </w:tcBorders>
          </w:tcPr>
          <w:p w:rsidR="00EA40A3" w:rsidRDefault="00E86C16">
            <w:pPr>
              <w:spacing w:before="102" w:line="221" w:lineRule="auto"/>
              <w:ind w:left="519"/>
              <w:rPr>
                <w:rFonts w:ascii="宋体" w:eastAsia="宋体" w:hAnsi="宋体" w:cs="宋体"/>
                <w:sz w:val="16"/>
                <w:szCs w:val="16"/>
              </w:rPr>
            </w:pPr>
            <w:r>
              <w:rPr>
                <w:rFonts w:ascii="宋体" w:eastAsia="宋体" w:hAnsi="宋体" w:cs="宋体"/>
                <w:spacing w:val="7"/>
                <w:sz w:val="16"/>
                <w:szCs w:val="16"/>
              </w:rPr>
              <w:t>牛肉</w:t>
            </w:r>
          </w:p>
        </w:tc>
        <w:tc>
          <w:tcPr>
            <w:tcW w:w="1420" w:type="dxa"/>
            <w:tcBorders>
              <w:top w:val="single" w:sz="4" w:space="0" w:color="000000"/>
              <w:bottom w:val="single" w:sz="4" w:space="0" w:color="000000"/>
            </w:tcBorders>
          </w:tcPr>
          <w:p w:rsidR="00EA40A3" w:rsidRDefault="00E86C16">
            <w:pPr>
              <w:spacing w:before="112" w:line="210" w:lineRule="auto"/>
              <w:ind w:left="541"/>
              <w:rPr>
                <w:rFonts w:ascii="宋体" w:eastAsia="宋体" w:hAnsi="宋体" w:cs="宋体"/>
                <w:sz w:val="16"/>
                <w:szCs w:val="16"/>
              </w:rPr>
            </w:pPr>
            <w:r>
              <w:rPr>
                <w:rFonts w:ascii="宋体" w:eastAsia="宋体" w:hAnsi="宋体" w:cs="宋体"/>
                <w:spacing w:val="7"/>
                <w:sz w:val="16"/>
                <w:szCs w:val="16"/>
              </w:rPr>
              <w:t>猪肉</w:t>
            </w:r>
          </w:p>
        </w:tc>
        <w:tc>
          <w:tcPr>
            <w:tcW w:w="1460" w:type="dxa"/>
            <w:tcBorders>
              <w:top w:val="single" w:sz="4" w:space="0" w:color="000000"/>
              <w:bottom w:val="single" w:sz="4" w:space="0" w:color="000000"/>
            </w:tcBorders>
          </w:tcPr>
          <w:p w:rsidR="00EA40A3" w:rsidRDefault="00E86C16">
            <w:pPr>
              <w:spacing w:before="102" w:line="220" w:lineRule="auto"/>
              <w:ind w:left="560"/>
              <w:rPr>
                <w:rFonts w:ascii="宋体" w:eastAsia="宋体" w:hAnsi="宋体" w:cs="宋体"/>
                <w:sz w:val="16"/>
                <w:szCs w:val="16"/>
              </w:rPr>
            </w:pPr>
            <w:r>
              <w:rPr>
                <w:rFonts w:ascii="宋体" w:eastAsia="宋体" w:hAnsi="宋体" w:cs="宋体"/>
                <w:spacing w:val="7"/>
                <w:sz w:val="16"/>
                <w:szCs w:val="16"/>
              </w:rPr>
              <w:t>羊肉</w:t>
            </w:r>
          </w:p>
        </w:tc>
      </w:tr>
      <w:tr w:rsidR="00EA40A3">
        <w:trPr>
          <w:trHeight w:val="310"/>
        </w:trPr>
        <w:tc>
          <w:tcPr>
            <w:tcW w:w="1392" w:type="dxa"/>
            <w:tcBorders>
              <w:top w:val="single" w:sz="4" w:space="0" w:color="000000"/>
            </w:tcBorders>
          </w:tcPr>
          <w:p w:rsidR="00EA40A3" w:rsidRDefault="00E86C16">
            <w:pPr>
              <w:spacing w:before="57" w:line="219" w:lineRule="auto"/>
              <w:ind w:left="379"/>
              <w:rPr>
                <w:rFonts w:ascii="宋体" w:eastAsia="宋体" w:hAnsi="宋体" w:cs="宋体"/>
                <w:sz w:val="16"/>
                <w:szCs w:val="16"/>
              </w:rPr>
            </w:pPr>
            <w:r>
              <w:rPr>
                <w:rFonts w:ascii="宋体" w:eastAsia="宋体" w:hAnsi="宋体" w:cs="宋体"/>
                <w:spacing w:val="-2"/>
                <w:sz w:val="16"/>
                <w:szCs w:val="16"/>
              </w:rPr>
              <w:t>异亮氨酸</w:t>
            </w:r>
          </w:p>
        </w:tc>
        <w:tc>
          <w:tcPr>
            <w:tcW w:w="1708" w:type="dxa"/>
            <w:tcBorders>
              <w:top w:val="single" w:sz="4" w:space="0" w:color="000000"/>
            </w:tcBorders>
          </w:tcPr>
          <w:p w:rsidR="00EA40A3" w:rsidRDefault="00E86C16">
            <w:pPr>
              <w:spacing w:before="78"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Borders>
              <w:top w:val="single" w:sz="4" w:space="0" w:color="000000"/>
            </w:tcBorders>
          </w:tcPr>
          <w:p w:rsidR="00EA40A3" w:rsidRDefault="00E86C16">
            <w:pPr>
              <w:spacing w:before="108" w:line="184" w:lineRule="auto"/>
              <w:ind w:left="559"/>
              <w:rPr>
                <w:rFonts w:ascii="宋体" w:eastAsia="宋体" w:hAnsi="宋体" w:cs="宋体"/>
                <w:sz w:val="16"/>
                <w:szCs w:val="16"/>
              </w:rPr>
            </w:pPr>
            <w:r>
              <w:rPr>
                <w:rFonts w:ascii="宋体" w:eastAsia="宋体" w:hAnsi="宋体" w:cs="宋体"/>
                <w:spacing w:val="-3"/>
                <w:sz w:val="16"/>
                <w:szCs w:val="16"/>
              </w:rPr>
              <w:t>5.1</w:t>
            </w:r>
          </w:p>
        </w:tc>
        <w:tc>
          <w:tcPr>
            <w:tcW w:w="1420" w:type="dxa"/>
            <w:tcBorders>
              <w:top w:val="single" w:sz="4" w:space="0" w:color="000000"/>
            </w:tcBorders>
          </w:tcPr>
          <w:p w:rsidR="00EA40A3" w:rsidRDefault="00E86C16">
            <w:pPr>
              <w:spacing w:before="148" w:line="183" w:lineRule="auto"/>
              <w:ind w:left="581"/>
              <w:rPr>
                <w:rFonts w:ascii="宋体" w:eastAsia="宋体" w:hAnsi="宋体" w:cs="宋体"/>
                <w:sz w:val="16"/>
                <w:szCs w:val="16"/>
              </w:rPr>
            </w:pPr>
            <w:r>
              <w:rPr>
                <w:rFonts w:ascii="宋体" w:eastAsia="宋体" w:hAnsi="宋体" w:cs="宋体"/>
                <w:spacing w:val="-2"/>
                <w:sz w:val="16"/>
                <w:szCs w:val="16"/>
              </w:rPr>
              <w:t>4.9</w:t>
            </w:r>
          </w:p>
        </w:tc>
        <w:tc>
          <w:tcPr>
            <w:tcW w:w="1460" w:type="dxa"/>
            <w:tcBorders>
              <w:top w:val="single" w:sz="4" w:space="0" w:color="000000"/>
            </w:tcBorders>
          </w:tcPr>
          <w:p w:rsidR="00EA40A3" w:rsidRDefault="00E86C16">
            <w:pPr>
              <w:spacing w:before="138" w:line="183" w:lineRule="auto"/>
              <w:ind w:left="601"/>
              <w:rPr>
                <w:rFonts w:ascii="宋体" w:eastAsia="宋体" w:hAnsi="宋体" w:cs="宋体"/>
                <w:sz w:val="16"/>
                <w:szCs w:val="16"/>
              </w:rPr>
            </w:pPr>
            <w:r>
              <w:rPr>
                <w:rFonts w:ascii="宋体" w:eastAsia="宋体" w:hAnsi="宋体" w:cs="宋体"/>
                <w:spacing w:val="-2"/>
                <w:sz w:val="16"/>
                <w:szCs w:val="16"/>
              </w:rPr>
              <w:t>4.8</w:t>
            </w:r>
          </w:p>
        </w:tc>
      </w:tr>
      <w:tr w:rsidR="00EA40A3">
        <w:trPr>
          <w:trHeight w:val="268"/>
        </w:trPr>
        <w:tc>
          <w:tcPr>
            <w:tcW w:w="1392" w:type="dxa"/>
          </w:tcPr>
          <w:p w:rsidR="00EA40A3" w:rsidRDefault="00E86C16">
            <w:pPr>
              <w:spacing w:before="57" w:line="219" w:lineRule="auto"/>
              <w:ind w:left="369"/>
              <w:rPr>
                <w:rFonts w:ascii="宋体" w:eastAsia="宋体" w:hAnsi="宋体" w:cs="宋体"/>
                <w:sz w:val="16"/>
                <w:szCs w:val="16"/>
              </w:rPr>
            </w:pPr>
            <w:r>
              <w:rPr>
                <w:rFonts w:ascii="宋体" w:eastAsia="宋体" w:hAnsi="宋体" w:cs="宋体"/>
                <w:spacing w:val="-2"/>
                <w:sz w:val="16"/>
                <w:szCs w:val="16"/>
              </w:rPr>
              <w:t>亮氨酸</w:t>
            </w:r>
          </w:p>
        </w:tc>
        <w:tc>
          <w:tcPr>
            <w:tcW w:w="1708" w:type="dxa"/>
          </w:tcPr>
          <w:p w:rsidR="00EA40A3" w:rsidRDefault="00E86C16">
            <w:pPr>
              <w:spacing w:before="48"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98" w:line="183" w:lineRule="auto"/>
              <w:ind w:left="559"/>
              <w:rPr>
                <w:rFonts w:ascii="宋体" w:eastAsia="宋体" w:hAnsi="宋体" w:cs="宋体"/>
                <w:sz w:val="16"/>
                <w:szCs w:val="16"/>
              </w:rPr>
            </w:pPr>
            <w:r>
              <w:rPr>
                <w:rFonts w:ascii="宋体" w:eastAsia="宋体" w:hAnsi="宋体" w:cs="宋体"/>
                <w:spacing w:val="-2"/>
                <w:sz w:val="16"/>
                <w:szCs w:val="16"/>
              </w:rPr>
              <w:t>8.4</w:t>
            </w:r>
          </w:p>
        </w:tc>
        <w:tc>
          <w:tcPr>
            <w:tcW w:w="1420" w:type="dxa"/>
          </w:tcPr>
          <w:p w:rsidR="00EA40A3" w:rsidRDefault="00E86C16">
            <w:pPr>
              <w:spacing w:before="89" w:line="182" w:lineRule="auto"/>
              <w:ind w:left="581"/>
              <w:rPr>
                <w:rFonts w:ascii="宋体" w:eastAsia="宋体" w:hAnsi="宋体" w:cs="宋体"/>
                <w:sz w:val="16"/>
                <w:szCs w:val="16"/>
              </w:rPr>
            </w:pPr>
            <w:r>
              <w:rPr>
                <w:rFonts w:ascii="宋体" w:eastAsia="宋体" w:hAnsi="宋体" w:cs="宋体"/>
                <w:spacing w:val="-3"/>
                <w:sz w:val="16"/>
                <w:szCs w:val="16"/>
              </w:rPr>
              <w:t>7.5</w:t>
            </w:r>
          </w:p>
        </w:tc>
        <w:tc>
          <w:tcPr>
            <w:tcW w:w="1460" w:type="dxa"/>
          </w:tcPr>
          <w:p w:rsidR="00EA40A3" w:rsidRDefault="00E86C16">
            <w:pPr>
              <w:spacing w:before="78" w:line="183" w:lineRule="auto"/>
              <w:ind w:left="601"/>
              <w:rPr>
                <w:rFonts w:ascii="宋体" w:eastAsia="宋体" w:hAnsi="宋体" w:cs="宋体"/>
                <w:sz w:val="16"/>
                <w:szCs w:val="16"/>
              </w:rPr>
            </w:pPr>
            <w:r>
              <w:rPr>
                <w:rFonts w:ascii="宋体" w:eastAsia="宋体" w:hAnsi="宋体" w:cs="宋体"/>
                <w:spacing w:val="-3"/>
                <w:sz w:val="16"/>
                <w:szCs w:val="16"/>
              </w:rPr>
              <w:t>7.4</w:t>
            </w:r>
          </w:p>
        </w:tc>
      </w:tr>
      <w:tr w:rsidR="00EA40A3">
        <w:trPr>
          <w:trHeight w:val="275"/>
        </w:trPr>
        <w:tc>
          <w:tcPr>
            <w:tcW w:w="1392" w:type="dxa"/>
          </w:tcPr>
          <w:p w:rsidR="00EA40A3" w:rsidRDefault="00E86C16">
            <w:pPr>
              <w:spacing w:before="59" w:line="219" w:lineRule="auto"/>
              <w:ind w:left="369"/>
              <w:rPr>
                <w:rFonts w:ascii="宋体" w:eastAsia="宋体" w:hAnsi="宋体" w:cs="宋体"/>
                <w:sz w:val="16"/>
                <w:szCs w:val="16"/>
              </w:rPr>
            </w:pPr>
            <w:r>
              <w:rPr>
                <w:rFonts w:ascii="宋体" w:eastAsia="宋体" w:hAnsi="宋体" w:cs="宋体"/>
                <w:spacing w:val="-2"/>
                <w:sz w:val="16"/>
                <w:szCs w:val="16"/>
              </w:rPr>
              <w:t>赖氨酸</w:t>
            </w:r>
          </w:p>
        </w:tc>
        <w:tc>
          <w:tcPr>
            <w:tcW w:w="1708" w:type="dxa"/>
          </w:tcPr>
          <w:p w:rsidR="00EA40A3" w:rsidRDefault="00E86C16">
            <w:pPr>
              <w:spacing w:before="60"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10" w:line="183" w:lineRule="auto"/>
              <w:ind w:left="559"/>
              <w:rPr>
                <w:rFonts w:ascii="宋体" w:eastAsia="宋体" w:hAnsi="宋体" w:cs="宋体"/>
                <w:sz w:val="16"/>
                <w:szCs w:val="16"/>
              </w:rPr>
            </w:pPr>
            <w:r>
              <w:rPr>
                <w:rFonts w:ascii="宋体" w:eastAsia="宋体" w:hAnsi="宋体" w:cs="宋体"/>
                <w:spacing w:val="-2"/>
                <w:sz w:val="16"/>
                <w:szCs w:val="16"/>
              </w:rPr>
              <w:t>8.4</w:t>
            </w:r>
          </w:p>
        </w:tc>
        <w:tc>
          <w:tcPr>
            <w:tcW w:w="1420" w:type="dxa"/>
          </w:tcPr>
          <w:p w:rsidR="00EA40A3" w:rsidRDefault="00E86C16">
            <w:pPr>
              <w:spacing w:before="90" w:line="183" w:lineRule="auto"/>
              <w:ind w:left="581"/>
              <w:rPr>
                <w:rFonts w:ascii="宋体" w:eastAsia="宋体" w:hAnsi="宋体" w:cs="宋体"/>
                <w:sz w:val="16"/>
                <w:szCs w:val="16"/>
              </w:rPr>
            </w:pPr>
            <w:r>
              <w:rPr>
                <w:rFonts w:ascii="宋体" w:eastAsia="宋体" w:hAnsi="宋体" w:cs="宋体"/>
                <w:spacing w:val="-3"/>
                <w:sz w:val="16"/>
                <w:szCs w:val="16"/>
              </w:rPr>
              <w:t>7.8</w:t>
            </w:r>
          </w:p>
        </w:tc>
        <w:tc>
          <w:tcPr>
            <w:tcW w:w="1460" w:type="dxa"/>
          </w:tcPr>
          <w:p w:rsidR="00EA40A3" w:rsidRDefault="00E86C16">
            <w:pPr>
              <w:spacing w:before="90" w:line="183" w:lineRule="auto"/>
              <w:ind w:left="601"/>
              <w:rPr>
                <w:rFonts w:ascii="宋体" w:eastAsia="宋体" w:hAnsi="宋体" w:cs="宋体"/>
                <w:sz w:val="16"/>
                <w:szCs w:val="16"/>
              </w:rPr>
            </w:pPr>
            <w:r>
              <w:rPr>
                <w:rFonts w:ascii="宋体" w:eastAsia="宋体" w:hAnsi="宋体" w:cs="宋体"/>
                <w:spacing w:val="-3"/>
                <w:sz w:val="16"/>
                <w:szCs w:val="16"/>
              </w:rPr>
              <w:t>7.6</w:t>
            </w:r>
          </w:p>
        </w:tc>
      </w:tr>
      <w:tr w:rsidR="00EA40A3">
        <w:trPr>
          <w:trHeight w:val="268"/>
        </w:trPr>
        <w:tc>
          <w:tcPr>
            <w:tcW w:w="1392" w:type="dxa"/>
          </w:tcPr>
          <w:p w:rsidR="00EA40A3" w:rsidRDefault="00E86C16">
            <w:pPr>
              <w:spacing w:before="65" w:line="220" w:lineRule="auto"/>
              <w:ind w:left="369"/>
              <w:rPr>
                <w:rFonts w:ascii="宋体" w:eastAsia="宋体" w:hAnsi="宋体" w:cs="宋体"/>
                <w:sz w:val="16"/>
                <w:szCs w:val="16"/>
              </w:rPr>
            </w:pPr>
            <w:r>
              <w:rPr>
                <w:rFonts w:ascii="宋体" w:eastAsia="宋体" w:hAnsi="宋体" w:cs="宋体"/>
                <w:spacing w:val="-3"/>
                <w:sz w:val="16"/>
                <w:szCs w:val="16"/>
              </w:rPr>
              <w:t>蛋氨酸</w:t>
            </w:r>
          </w:p>
        </w:tc>
        <w:tc>
          <w:tcPr>
            <w:tcW w:w="1708" w:type="dxa"/>
          </w:tcPr>
          <w:p w:rsidR="00EA40A3" w:rsidRDefault="00E86C16">
            <w:pPr>
              <w:spacing w:before="55"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05" w:line="183" w:lineRule="auto"/>
              <w:ind w:left="559"/>
              <w:rPr>
                <w:rFonts w:ascii="宋体" w:eastAsia="宋体" w:hAnsi="宋体" w:cs="宋体"/>
                <w:sz w:val="16"/>
                <w:szCs w:val="16"/>
              </w:rPr>
            </w:pPr>
            <w:r>
              <w:rPr>
                <w:rFonts w:ascii="宋体" w:eastAsia="宋体" w:hAnsi="宋体" w:cs="宋体"/>
                <w:spacing w:val="-2"/>
                <w:sz w:val="16"/>
                <w:szCs w:val="16"/>
              </w:rPr>
              <w:t>2.3</w:t>
            </w:r>
          </w:p>
        </w:tc>
        <w:tc>
          <w:tcPr>
            <w:tcW w:w="1420" w:type="dxa"/>
          </w:tcPr>
          <w:p w:rsidR="00EA40A3" w:rsidRDefault="00E86C16">
            <w:pPr>
              <w:spacing w:before="105" w:line="183" w:lineRule="auto"/>
              <w:ind w:left="581"/>
              <w:rPr>
                <w:rFonts w:ascii="宋体" w:eastAsia="宋体" w:hAnsi="宋体" w:cs="宋体"/>
                <w:sz w:val="16"/>
                <w:szCs w:val="16"/>
              </w:rPr>
            </w:pPr>
            <w:r>
              <w:rPr>
                <w:rFonts w:ascii="宋体" w:eastAsia="宋体" w:hAnsi="宋体" w:cs="宋体"/>
                <w:spacing w:val="-2"/>
                <w:sz w:val="16"/>
                <w:szCs w:val="16"/>
              </w:rPr>
              <w:t>2.5</w:t>
            </w:r>
          </w:p>
        </w:tc>
        <w:tc>
          <w:tcPr>
            <w:tcW w:w="1460" w:type="dxa"/>
          </w:tcPr>
          <w:p w:rsidR="00EA40A3" w:rsidRDefault="00E86C16">
            <w:pPr>
              <w:spacing w:before="95" w:line="183" w:lineRule="auto"/>
              <w:ind w:left="601"/>
              <w:rPr>
                <w:rFonts w:ascii="宋体" w:eastAsia="宋体" w:hAnsi="宋体" w:cs="宋体"/>
                <w:sz w:val="16"/>
                <w:szCs w:val="16"/>
              </w:rPr>
            </w:pPr>
            <w:r>
              <w:rPr>
                <w:rFonts w:ascii="宋体" w:eastAsia="宋体" w:hAnsi="宋体" w:cs="宋体"/>
                <w:spacing w:val="-2"/>
                <w:sz w:val="16"/>
                <w:szCs w:val="16"/>
              </w:rPr>
              <w:t>2.3</w:t>
            </w:r>
          </w:p>
        </w:tc>
      </w:tr>
      <w:tr w:rsidR="00EA40A3">
        <w:trPr>
          <w:trHeight w:val="274"/>
        </w:trPr>
        <w:tc>
          <w:tcPr>
            <w:tcW w:w="1392" w:type="dxa"/>
          </w:tcPr>
          <w:p w:rsidR="00EA40A3" w:rsidRDefault="00E86C16">
            <w:pPr>
              <w:spacing w:before="57" w:line="220" w:lineRule="auto"/>
              <w:ind w:left="369"/>
              <w:rPr>
                <w:rFonts w:ascii="宋体" w:eastAsia="宋体" w:hAnsi="宋体" w:cs="宋体"/>
                <w:sz w:val="16"/>
                <w:szCs w:val="16"/>
              </w:rPr>
            </w:pPr>
            <w:r>
              <w:rPr>
                <w:rFonts w:ascii="宋体" w:eastAsia="宋体" w:hAnsi="宋体" w:cs="宋体"/>
                <w:spacing w:val="-2"/>
                <w:sz w:val="16"/>
                <w:szCs w:val="16"/>
              </w:rPr>
              <w:t>胱氨酸</w:t>
            </w:r>
          </w:p>
        </w:tc>
        <w:tc>
          <w:tcPr>
            <w:tcW w:w="1708" w:type="dxa"/>
          </w:tcPr>
          <w:p w:rsidR="00EA40A3" w:rsidRDefault="00E86C16">
            <w:pPr>
              <w:spacing w:before="67" w:line="220" w:lineRule="auto"/>
              <w:ind w:left="567"/>
              <w:rPr>
                <w:rFonts w:ascii="宋体" w:eastAsia="宋体" w:hAnsi="宋体" w:cs="宋体"/>
                <w:sz w:val="16"/>
                <w:szCs w:val="16"/>
              </w:rPr>
            </w:pPr>
            <w:r>
              <w:rPr>
                <w:rFonts w:ascii="宋体" w:eastAsia="宋体" w:hAnsi="宋体" w:cs="宋体"/>
                <w:spacing w:val="-2"/>
                <w:sz w:val="16"/>
                <w:szCs w:val="16"/>
              </w:rPr>
              <w:t>半必需</w:t>
            </w:r>
          </w:p>
        </w:tc>
        <w:tc>
          <w:tcPr>
            <w:tcW w:w="1379" w:type="dxa"/>
          </w:tcPr>
          <w:p w:rsidR="00EA40A3" w:rsidRDefault="00E86C16">
            <w:pPr>
              <w:spacing w:before="106" w:line="184" w:lineRule="auto"/>
              <w:ind w:left="559"/>
              <w:rPr>
                <w:rFonts w:ascii="宋体" w:eastAsia="宋体" w:hAnsi="宋体" w:cs="宋体"/>
                <w:sz w:val="16"/>
                <w:szCs w:val="16"/>
              </w:rPr>
            </w:pPr>
            <w:r>
              <w:rPr>
                <w:rFonts w:ascii="宋体" w:eastAsia="宋体" w:hAnsi="宋体" w:cs="宋体"/>
                <w:spacing w:val="-5"/>
                <w:sz w:val="16"/>
                <w:szCs w:val="16"/>
              </w:rPr>
              <w:t>1.4</w:t>
            </w:r>
          </w:p>
        </w:tc>
        <w:tc>
          <w:tcPr>
            <w:tcW w:w="1420" w:type="dxa"/>
          </w:tcPr>
          <w:p w:rsidR="00EA40A3" w:rsidRDefault="00E86C16">
            <w:pPr>
              <w:spacing w:before="106" w:line="184" w:lineRule="auto"/>
              <w:ind w:left="581"/>
              <w:rPr>
                <w:rFonts w:ascii="宋体" w:eastAsia="宋体" w:hAnsi="宋体" w:cs="宋体"/>
                <w:sz w:val="16"/>
                <w:szCs w:val="16"/>
              </w:rPr>
            </w:pPr>
            <w:r>
              <w:rPr>
                <w:rFonts w:ascii="宋体" w:eastAsia="宋体" w:hAnsi="宋体" w:cs="宋体"/>
                <w:spacing w:val="-5"/>
                <w:sz w:val="16"/>
                <w:szCs w:val="16"/>
              </w:rPr>
              <w:t>1.3</w:t>
            </w:r>
          </w:p>
        </w:tc>
        <w:tc>
          <w:tcPr>
            <w:tcW w:w="1460" w:type="dxa"/>
          </w:tcPr>
          <w:p w:rsidR="00EA40A3" w:rsidRDefault="00E86C16">
            <w:pPr>
              <w:spacing w:before="106" w:line="184" w:lineRule="auto"/>
              <w:ind w:left="601"/>
              <w:rPr>
                <w:rFonts w:ascii="宋体" w:eastAsia="宋体" w:hAnsi="宋体" w:cs="宋体"/>
                <w:sz w:val="16"/>
                <w:szCs w:val="16"/>
              </w:rPr>
            </w:pPr>
            <w:r>
              <w:rPr>
                <w:rFonts w:ascii="宋体" w:eastAsia="宋体" w:hAnsi="宋体" w:cs="宋体"/>
                <w:spacing w:val="-5"/>
                <w:sz w:val="16"/>
                <w:szCs w:val="16"/>
              </w:rPr>
              <w:t>1.3</w:t>
            </w:r>
          </w:p>
        </w:tc>
      </w:tr>
      <w:tr w:rsidR="00EA40A3">
        <w:trPr>
          <w:trHeight w:val="280"/>
        </w:trPr>
        <w:tc>
          <w:tcPr>
            <w:tcW w:w="1392" w:type="dxa"/>
          </w:tcPr>
          <w:p w:rsidR="00EA40A3" w:rsidRDefault="00E86C16">
            <w:pPr>
              <w:spacing w:before="61" w:line="219" w:lineRule="auto"/>
              <w:ind w:left="369"/>
              <w:rPr>
                <w:rFonts w:ascii="宋体" w:eastAsia="宋体" w:hAnsi="宋体" w:cs="宋体"/>
                <w:sz w:val="16"/>
                <w:szCs w:val="16"/>
              </w:rPr>
            </w:pPr>
            <w:r>
              <w:rPr>
                <w:rFonts w:ascii="宋体" w:eastAsia="宋体" w:hAnsi="宋体" w:cs="宋体"/>
                <w:spacing w:val="-2"/>
                <w:sz w:val="16"/>
                <w:szCs w:val="16"/>
              </w:rPr>
              <w:t>苯丙氨酸</w:t>
            </w:r>
          </w:p>
        </w:tc>
        <w:tc>
          <w:tcPr>
            <w:tcW w:w="1708" w:type="dxa"/>
          </w:tcPr>
          <w:p w:rsidR="00EA40A3" w:rsidRDefault="00E86C16">
            <w:pPr>
              <w:spacing w:before="63"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03" w:line="183" w:lineRule="auto"/>
              <w:ind w:left="559"/>
              <w:rPr>
                <w:rFonts w:ascii="宋体" w:eastAsia="宋体" w:hAnsi="宋体" w:cs="宋体"/>
                <w:sz w:val="16"/>
                <w:szCs w:val="16"/>
              </w:rPr>
            </w:pPr>
            <w:r>
              <w:rPr>
                <w:rFonts w:ascii="宋体" w:eastAsia="宋体" w:hAnsi="宋体" w:cs="宋体"/>
                <w:spacing w:val="-2"/>
                <w:sz w:val="16"/>
                <w:szCs w:val="16"/>
              </w:rPr>
              <w:t>4.0</w:t>
            </w:r>
          </w:p>
        </w:tc>
        <w:tc>
          <w:tcPr>
            <w:tcW w:w="1420" w:type="dxa"/>
          </w:tcPr>
          <w:p w:rsidR="00EA40A3" w:rsidRDefault="00E86C16">
            <w:pPr>
              <w:spacing w:before="102" w:line="184" w:lineRule="auto"/>
              <w:ind w:left="581"/>
              <w:rPr>
                <w:rFonts w:ascii="宋体" w:eastAsia="宋体" w:hAnsi="宋体" w:cs="宋体"/>
                <w:sz w:val="16"/>
                <w:szCs w:val="16"/>
              </w:rPr>
            </w:pPr>
            <w:r>
              <w:rPr>
                <w:rFonts w:ascii="宋体" w:eastAsia="宋体" w:hAnsi="宋体" w:cs="宋体"/>
                <w:spacing w:val="-2"/>
                <w:sz w:val="16"/>
                <w:szCs w:val="16"/>
              </w:rPr>
              <w:t>4.1</w:t>
            </w:r>
          </w:p>
        </w:tc>
        <w:tc>
          <w:tcPr>
            <w:tcW w:w="1460" w:type="dxa"/>
          </w:tcPr>
          <w:p w:rsidR="00EA40A3" w:rsidRDefault="00E86C16">
            <w:pPr>
              <w:spacing w:before="103" w:line="183" w:lineRule="auto"/>
              <w:ind w:left="601"/>
              <w:rPr>
                <w:rFonts w:ascii="宋体" w:eastAsia="宋体" w:hAnsi="宋体" w:cs="宋体"/>
                <w:sz w:val="16"/>
                <w:szCs w:val="16"/>
              </w:rPr>
            </w:pPr>
            <w:r>
              <w:rPr>
                <w:rFonts w:ascii="宋体" w:eastAsia="宋体" w:hAnsi="宋体" w:cs="宋体"/>
                <w:spacing w:val="-3"/>
                <w:sz w:val="16"/>
                <w:szCs w:val="16"/>
              </w:rPr>
              <w:t>3.9</w:t>
            </w:r>
          </w:p>
        </w:tc>
      </w:tr>
      <w:tr w:rsidR="00EA40A3">
        <w:trPr>
          <w:trHeight w:val="274"/>
        </w:trPr>
        <w:tc>
          <w:tcPr>
            <w:tcW w:w="1392" w:type="dxa"/>
          </w:tcPr>
          <w:p w:rsidR="00EA40A3" w:rsidRDefault="00E86C16">
            <w:pPr>
              <w:spacing w:before="73" w:line="220" w:lineRule="auto"/>
              <w:ind w:left="369"/>
              <w:rPr>
                <w:rFonts w:ascii="宋体" w:eastAsia="宋体" w:hAnsi="宋体" w:cs="宋体"/>
                <w:sz w:val="16"/>
                <w:szCs w:val="16"/>
              </w:rPr>
            </w:pPr>
            <w:r>
              <w:rPr>
                <w:rFonts w:ascii="宋体" w:eastAsia="宋体" w:hAnsi="宋体" w:cs="宋体"/>
                <w:spacing w:val="-2"/>
                <w:sz w:val="16"/>
                <w:szCs w:val="16"/>
              </w:rPr>
              <w:t>酪氨酸</w:t>
            </w:r>
          </w:p>
        </w:tc>
        <w:tc>
          <w:tcPr>
            <w:tcW w:w="1708" w:type="dxa"/>
          </w:tcPr>
          <w:p w:rsidR="00EA40A3" w:rsidRDefault="00E86C16">
            <w:pPr>
              <w:spacing w:before="73" w:line="220" w:lineRule="auto"/>
              <w:ind w:left="567"/>
              <w:rPr>
                <w:rFonts w:ascii="宋体" w:eastAsia="宋体" w:hAnsi="宋体" w:cs="宋体"/>
                <w:sz w:val="16"/>
                <w:szCs w:val="16"/>
              </w:rPr>
            </w:pPr>
            <w:r>
              <w:rPr>
                <w:rFonts w:ascii="宋体" w:eastAsia="宋体" w:hAnsi="宋体" w:cs="宋体"/>
                <w:spacing w:val="-2"/>
                <w:sz w:val="16"/>
                <w:szCs w:val="16"/>
              </w:rPr>
              <w:t>半必需</w:t>
            </w:r>
          </w:p>
        </w:tc>
        <w:tc>
          <w:tcPr>
            <w:tcW w:w="1379" w:type="dxa"/>
          </w:tcPr>
          <w:p w:rsidR="00EA40A3" w:rsidRDefault="00E86C16">
            <w:pPr>
              <w:spacing w:before="103" w:line="183" w:lineRule="auto"/>
              <w:ind w:left="559"/>
              <w:rPr>
                <w:rFonts w:ascii="宋体" w:eastAsia="宋体" w:hAnsi="宋体" w:cs="宋体"/>
                <w:sz w:val="16"/>
                <w:szCs w:val="16"/>
              </w:rPr>
            </w:pPr>
            <w:r>
              <w:rPr>
                <w:rFonts w:ascii="宋体" w:eastAsia="宋体" w:hAnsi="宋体" w:cs="宋体"/>
                <w:spacing w:val="-3"/>
                <w:sz w:val="16"/>
                <w:szCs w:val="16"/>
              </w:rPr>
              <w:t>3.2</w:t>
            </w:r>
          </w:p>
        </w:tc>
        <w:tc>
          <w:tcPr>
            <w:tcW w:w="1420" w:type="dxa"/>
          </w:tcPr>
          <w:p w:rsidR="00EA40A3" w:rsidRDefault="00E86C16">
            <w:pPr>
              <w:spacing w:before="124" w:line="173" w:lineRule="auto"/>
              <w:ind w:left="581"/>
              <w:rPr>
                <w:rFonts w:ascii="宋体" w:eastAsia="宋体" w:hAnsi="宋体" w:cs="宋体"/>
                <w:sz w:val="16"/>
                <w:szCs w:val="16"/>
              </w:rPr>
            </w:pPr>
            <w:r>
              <w:rPr>
                <w:rFonts w:ascii="宋体" w:eastAsia="宋体" w:hAnsi="宋体" w:cs="宋体"/>
                <w:spacing w:val="-3"/>
                <w:sz w:val="16"/>
                <w:szCs w:val="16"/>
              </w:rPr>
              <w:t>3.0</w:t>
            </w:r>
          </w:p>
        </w:tc>
        <w:tc>
          <w:tcPr>
            <w:tcW w:w="1460" w:type="dxa"/>
          </w:tcPr>
          <w:p w:rsidR="00EA40A3" w:rsidRDefault="00E86C16">
            <w:pPr>
              <w:spacing w:before="103" w:line="183" w:lineRule="auto"/>
              <w:ind w:left="601"/>
              <w:rPr>
                <w:rFonts w:ascii="宋体" w:eastAsia="宋体" w:hAnsi="宋体" w:cs="宋体"/>
                <w:sz w:val="16"/>
                <w:szCs w:val="16"/>
              </w:rPr>
            </w:pPr>
            <w:r>
              <w:rPr>
                <w:rFonts w:ascii="宋体" w:eastAsia="宋体" w:hAnsi="宋体" w:cs="宋体"/>
                <w:spacing w:val="-3"/>
                <w:sz w:val="16"/>
                <w:szCs w:val="16"/>
              </w:rPr>
              <w:t>3.2</w:t>
            </w:r>
          </w:p>
        </w:tc>
      </w:tr>
      <w:tr w:rsidR="00EA40A3">
        <w:trPr>
          <w:trHeight w:val="279"/>
        </w:trPr>
        <w:tc>
          <w:tcPr>
            <w:tcW w:w="1392" w:type="dxa"/>
          </w:tcPr>
          <w:p w:rsidR="00EA40A3" w:rsidRDefault="00E86C16">
            <w:pPr>
              <w:spacing w:before="49" w:line="220" w:lineRule="auto"/>
              <w:ind w:left="369"/>
              <w:rPr>
                <w:rFonts w:ascii="宋体" w:eastAsia="宋体" w:hAnsi="宋体" w:cs="宋体"/>
                <w:sz w:val="16"/>
                <w:szCs w:val="16"/>
              </w:rPr>
            </w:pPr>
            <w:r>
              <w:rPr>
                <w:rFonts w:ascii="宋体" w:eastAsia="宋体" w:hAnsi="宋体" w:cs="宋体"/>
                <w:spacing w:val="-3"/>
                <w:sz w:val="16"/>
                <w:szCs w:val="16"/>
              </w:rPr>
              <w:t>苏氨酸</w:t>
            </w:r>
          </w:p>
        </w:tc>
        <w:tc>
          <w:tcPr>
            <w:tcW w:w="1708" w:type="dxa"/>
          </w:tcPr>
          <w:p w:rsidR="00EA40A3" w:rsidRDefault="00E86C16">
            <w:pPr>
              <w:spacing w:before="59"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29" w:line="172" w:lineRule="auto"/>
              <w:ind w:left="559"/>
              <w:rPr>
                <w:rFonts w:ascii="宋体" w:eastAsia="宋体" w:hAnsi="宋体" w:cs="宋体"/>
                <w:sz w:val="16"/>
                <w:szCs w:val="16"/>
              </w:rPr>
            </w:pPr>
            <w:r>
              <w:rPr>
                <w:rFonts w:ascii="宋体" w:eastAsia="宋体" w:hAnsi="宋体" w:cs="宋体"/>
                <w:spacing w:val="-2"/>
                <w:sz w:val="16"/>
                <w:szCs w:val="16"/>
              </w:rPr>
              <w:t>4.0</w:t>
            </w:r>
          </w:p>
        </w:tc>
        <w:tc>
          <w:tcPr>
            <w:tcW w:w="1420" w:type="dxa"/>
          </w:tcPr>
          <w:p w:rsidR="00EA40A3" w:rsidRDefault="00E86C16">
            <w:pPr>
              <w:spacing w:before="129" w:line="173" w:lineRule="auto"/>
              <w:ind w:left="581"/>
              <w:rPr>
                <w:rFonts w:ascii="宋体" w:eastAsia="宋体" w:hAnsi="宋体" w:cs="宋体"/>
                <w:sz w:val="16"/>
                <w:szCs w:val="16"/>
              </w:rPr>
            </w:pPr>
            <w:r>
              <w:rPr>
                <w:rFonts w:ascii="宋体" w:eastAsia="宋体" w:hAnsi="宋体" w:cs="宋体"/>
                <w:spacing w:val="-3"/>
                <w:sz w:val="16"/>
                <w:szCs w:val="16"/>
              </w:rPr>
              <w:t>5.1</w:t>
            </w:r>
          </w:p>
        </w:tc>
        <w:tc>
          <w:tcPr>
            <w:tcW w:w="1460" w:type="dxa"/>
          </w:tcPr>
          <w:p w:rsidR="00EA40A3" w:rsidRDefault="00E86C16">
            <w:pPr>
              <w:spacing w:before="119" w:line="183" w:lineRule="auto"/>
              <w:ind w:left="601"/>
              <w:rPr>
                <w:rFonts w:ascii="宋体" w:eastAsia="宋体" w:hAnsi="宋体" w:cs="宋体"/>
                <w:sz w:val="16"/>
                <w:szCs w:val="16"/>
              </w:rPr>
            </w:pPr>
            <w:r>
              <w:rPr>
                <w:rFonts w:ascii="宋体" w:eastAsia="宋体" w:hAnsi="宋体" w:cs="宋体"/>
                <w:spacing w:val="-2"/>
                <w:sz w:val="16"/>
                <w:szCs w:val="16"/>
              </w:rPr>
              <w:t>4.9</w:t>
            </w:r>
          </w:p>
        </w:tc>
      </w:tr>
      <w:tr w:rsidR="00EA40A3">
        <w:trPr>
          <w:trHeight w:val="270"/>
        </w:trPr>
        <w:tc>
          <w:tcPr>
            <w:tcW w:w="1392" w:type="dxa"/>
          </w:tcPr>
          <w:p w:rsidR="00EA40A3" w:rsidRDefault="00E86C16">
            <w:pPr>
              <w:spacing w:before="50" w:line="220" w:lineRule="auto"/>
              <w:ind w:left="369"/>
              <w:rPr>
                <w:rFonts w:ascii="宋体" w:eastAsia="宋体" w:hAnsi="宋体" w:cs="宋体"/>
                <w:sz w:val="16"/>
                <w:szCs w:val="16"/>
              </w:rPr>
            </w:pPr>
            <w:r>
              <w:rPr>
                <w:rFonts w:ascii="宋体" w:eastAsia="宋体" w:hAnsi="宋体" w:cs="宋体"/>
                <w:spacing w:val="-2"/>
                <w:sz w:val="16"/>
                <w:szCs w:val="16"/>
              </w:rPr>
              <w:t>色氨酸</w:t>
            </w:r>
          </w:p>
        </w:tc>
        <w:tc>
          <w:tcPr>
            <w:tcW w:w="1708" w:type="dxa"/>
          </w:tcPr>
          <w:p w:rsidR="00EA40A3" w:rsidRDefault="00E86C16">
            <w:pPr>
              <w:spacing w:before="60"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00" w:line="184" w:lineRule="auto"/>
              <w:ind w:left="559"/>
              <w:rPr>
                <w:rFonts w:ascii="宋体" w:eastAsia="宋体" w:hAnsi="宋体" w:cs="宋体"/>
                <w:sz w:val="16"/>
                <w:szCs w:val="16"/>
              </w:rPr>
            </w:pPr>
            <w:r>
              <w:rPr>
                <w:rFonts w:ascii="宋体" w:eastAsia="宋体" w:hAnsi="宋体" w:cs="宋体"/>
                <w:spacing w:val="-5"/>
                <w:sz w:val="16"/>
                <w:szCs w:val="16"/>
              </w:rPr>
              <w:t>1.1</w:t>
            </w:r>
          </w:p>
        </w:tc>
        <w:tc>
          <w:tcPr>
            <w:tcW w:w="1420" w:type="dxa"/>
          </w:tcPr>
          <w:p w:rsidR="00EA40A3" w:rsidRDefault="00E86C16">
            <w:pPr>
              <w:spacing w:before="110" w:line="184" w:lineRule="auto"/>
              <w:ind w:left="581"/>
              <w:rPr>
                <w:rFonts w:ascii="宋体" w:eastAsia="宋体" w:hAnsi="宋体" w:cs="宋体"/>
                <w:sz w:val="16"/>
                <w:szCs w:val="16"/>
              </w:rPr>
            </w:pPr>
            <w:r>
              <w:rPr>
                <w:rFonts w:ascii="宋体" w:eastAsia="宋体" w:hAnsi="宋体" w:cs="宋体"/>
                <w:spacing w:val="-5"/>
                <w:sz w:val="16"/>
                <w:szCs w:val="16"/>
              </w:rPr>
              <w:t>1.4</w:t>
            </w:r>
          </w:p>
        </w:tc>
        <w:tc>
          <w:tcPr>
            <w:tcW w:w="1460" w:type="dxa"/>
          </w:tcPr>
          <w:p w:rsidR="00EA40A3" w:rsidRDefault="00E86C16">
            <w:pPr>
              <w:spacing w:before="100" w:line="184" w:lineRule="auto"/>
              <w:ind w:left="601"/>
              <w:rPr>
                <w:rFonts w:ascii="宋体" w:eastAsia="宋体" w:hAnsi="宋体" w:cs="宋体"/>
                <w:sz w:val="16"/>
                <w:szCs w:val="16"/>
              </w:rPr>
            </w:pPr>
            <w:r>
              <w:rPr>
                <w:rFonts w:ascii="宋体" w:eastAsia="宋体" w:hAnsi="宋体" w:cs="宋体"/>
                <w:spacing w:val="-5"/>
                <w:sz w:val="16"/>
                <w:szCs w:val="16"/>
              </w:rPr>
              <w:t>1.3</w:t>
            </w:r>
          </w:p>
        </w:tc>
      </w:tr>
      <w:tr w:rsidR="00EA40A3">
        <w:trPr>
          <w:trHeight w:val="289"/>
        </w:trPr>
        <w:tc>
          <w:tcPr>
            <w:tcW w:w="1392" w:type="dxa"/>
          </w:tcPr>
          <w:p w:rsidR="00EA40A3" w:rsidRDefault="00E86C16">
            <w:pPr>
              <w:spacing w:before="60" w:line="220" w:lineRule="auto"/>
              <w:ind w:left="369"/>
              <w:rPr>
                <w:rFonts w:ascii="宋体" w:eastAsia="宋体" w:hAnsi="宋体" w:cs="宋体"/>
                <w:sz w:val="16"/>
                <w:szCs w:val="16"/>
              </w:rPr>
            </w:pPr>
            <w:r>
              <w:rPr>
                <w:rFonts w:ascii="宋体" w:eastAsia="宋体" w:hAnsi="宋体" w:cs="宋体"/>
                <w:spacing w:val="-2"/>
                <w:sz w:val="16"/>
                <w:szCs w:val="16"/>
              </w:rPr>
              <w:t>缥氨酸</w:t>
            </w:r>
          </w:p>
        </w:tc>
        <w:tc>
          <w:tcPr>
            <w:tcW w:w="1708" w:type="dxa"/>
          </w:tcPr>
          <w:p w:rsidR="00EA40A3" w:rsidRDefault="00E86C16">
            <w:pPr>
              <w:spacing w:before="80" w:line="220" w:lineRule="auto"/>
              <w:ind w:left="567"/>
              <w:rPr>
                <w:rFonts w:ascii="宋体" w:eastAsia="宋体" w:hAnsi="宋体" w:cs="宋体"/>
                <w:sz w:val="16"/>
                <w:szCs w:val="16"/>
              </w:rPr>
            </w:pPr>
            <w:r>
              <w:rPr>
                <w:rFonts w:ascii="宋体" w:eastAsia="宋体" w:hAnsi="宋体" w:cs="宋体"/>
                <w:spacing w:val="-3"/>
                <w:sz w:val="16"/>
                <w:szCs w:val="16"/>
              </w:rPr>
              <w:t>必需</w:t>
            </w:r>
          </w:p>
        </w:tc>
        <w:tc>
          <w:tcPr>
            <w:tcW w:w="1379" w:type="dxa"/>
          </w:tcPr>
          <w:p w:rsidR="00EA40A3" w:rsidRDefault="00E86C16">
            <w:pPr>
              <w:spacing w:before="111" w:line="182" w:lineRule="auto"/>
              <w:ind w:left="559"/>
              <w:rPr>
                <w:rFonts w:ascii="宋体" w:eastAsia="宋体" w:hAnsi="宋体" w:cs="宋体"/>
                <w:sz w:val="16"/>
                <w:szCs w:val="16"/>
              </w:rPr>
            </w:pPr>
            <w:r>
              <w:rPr>
                <w:rFonts w:ascii="宋体" w:eastAsia="宋体" w:hAnsi="宋体" w:cs="宋体"/>
                <w:spacing w:val="-3"/>
                <w:sz w:val="16"/>
                <w:szCs w:val="16"/>
              </w:rPr>
              <w:t>5.7</w:t>
            </w:r>
          </w:p>
        </w:tc>
        <w:tc>
          <w:tcPr>
            <w:tcW w:w="1420" w:type="dxa"/>
          </w:tcPr>
          <w:p w:rsidR="00EA40A3" w:rsidRDefault="00E86C16">
            <w:pPr>
              <w:spacing w:before="130" w:line="183" w:lineRule="auto"/>
              <w:ind w:left="581"/>
              <w:rPr>
                <w:rFonts w:ascii="宋体" w:eastAsia="宋体" w:hAnsi="宋体" w:cs="宋体"/>
                <w:sz w:val="16"/>
                <w:szCs w:val="16"/>
              </w:rPr>
            </w:pPr>
            <w:r>
              <w:rPr>
                <w:rFonts w:ascii="宋体" w:eastAsia="宋体" w:hAnsi="宋体" w:cs="宋体"/>
                <w:spacing w:val="-3"/>
                <w:sz w:val="16"/>
                <w:szCs w:val="16"/>
              </w:rPr>
              <w:t>5.0</w:t>
            </w:r>
          </w:p>
        </w:tc>
        <w:tc>
          <w:tcPr>
            <w:tcW w:w="1460" w:type="dxa"/>
          </w:tcPr>
          <w:p w:rsidR="00EA40A3" w:rsidRDefault="00E86C16">
            <w:pPr>
              <w:spacing w:before="120" w:line="183" w:lineRule="auto"/>
              <w:ind w:left="601"/>
              <w:rPr>
                <w:rFonts w:ascii="宋体" w:eastAsia="宋体" w:hAnsi="宋体" w:cs="宋体"/>
                <w:sz w:val="16"/>
                <w:szCs w:val="16"/>
              </w:rPr>
            </w:pPr>
            <w:r>
              <w:rPr>
                <w:rFonts w:ascii="宋体" w:eastAsia="宋体" w:hAnsi="宋体" w:cs="宋体"/>
                <w:spacing w:val="-3"/>
                <w:sz w:val="16"/>
                <w:szCs w:val="16"/>
              </w:rPr>
              <w:t>5.0</w:t>
            </w:r>
          </w:p>
        </w:tc>
      </w:tr>
      <w:tr w:rsidR="00EA40A3">
        <w:trPr>
          <w:trHeight w:val="260"/>
        </w:trPr>
        <w:tc>
          <w:tcPr>
            <w:tcW w:w="1392" w:type="dxa"/>
          </w:tcPr>
          <w:p w:rsidR="00EA40A3" w:rsidRDefault="00E86C16">
            <w:pPr>
              <w:spacing w:before="59" w:line="219" w:lineRule="auto"/>
              <w:ind w:left="369"/>
              <w:rPr>
                <w:rFonts w:ascii="宋体" w:eastAsia="宋体" w:hAnsi="宋体" w:cs="宋体"/>
                <w:sz w:val="16"/>
                <w:szCs w:val="16"/>
              </w:rPr>
            </w:pPr>
            <w:r>
              <w:rPr>
                <w:rFonts w:ascii="宋体" w:eastAsia="宋体" w:hAnsi="宋体" w:cs="宋体"/>
                <w:spacing w:val="-2"/>
                <w:sz w:val="16"/>
                <w:szCs w:val="16"/>
              </w:rPr>
              <w:t>精氨酸</w:t>
            </w:r>
          </w:p>
        </w:tc>
        <w:tc>
          <w:tcPr>
            <w:tcW w:w="1708" w:type="dxa"/>
          </w:tcPr>
          <w:p w:rsidR="00EA40A3" w:rsidRDefault="00E86C16">
            <w:pPr>
              <w:spacing w:before="60" w:line="219" w:lineRule="auto"/>
              <w:ind w:left="567"/>
              <w:rPr>
                <w:rFonts w:ascii="宋体" w:eastAsia="宋体" w:hAnsi="宋体" w:cs="宋体"/>
                <w:sz w:val="16"/>
                <w:szCs w:val="16"/>
              </w:rPr>
            </w:pPr>
            <w:r>
              <w:rPr>
                <w:rFonts w:ascii="宋体" w:eastAsia="宋体" w:hAnsi="宋体" w:cs="宋体"/>
                <w:spacing w:val="-2"/>
                <w:sz w:val="16"/>
                <w:szCs w:val="16"/>
              </w:rPr>
              <w:t>婴儿必需</w:t>
            </w:r>
          </w:p>
        </w:tc>
        <w:tc>
          <w:tcPr>
            <w:tcW w:w="1379" w:type="dxa"/>
          </w:tcPr>
          <w:p w:rsidR="00EA40A3" w:rsidRDefault="00E86C16">
            <w:pPr>
              <w:spacing w:before="101" w:line="183" w:lineRule="auto"/>
              <w:ind w:left="559"/>
              <w:rPr>
                <w:rFonts w:ascii="宋体" w:eastAsia="宋体" w:hAnsi="宋体" w:cs="宋体"/>
                <w:sz w:val="16"/>
                <w:szCs w:val="16"/>
              </w:rPr>
            </w:pPr>
            <w:r>
              <w:rPr>
                <w:rFonts w:ascii="宋体" w:eastAsia="宋体" w:hAnsi="宋体" w:cs="宋体"/>
                <w:spacing w:val="-2"/>
                <w:sz w:val="16"/>
                <w:szCs w:val="16"/>
              </w:rPr>
              <w:t>6.6</w:t>
            </w:r>
          </w:p>
        </w:tc>
        <w:tc>
          <w:tcPr>
            <w:tcW w:w="1420" w:type="dxa"/>
          </w:tcPr>
          <w:p w:rsidR="00EA40A3" w:rsidRDefault="00E86C16">
            <w:pPr>
              <w:spacing w:before="111" w:line="171" w:lineRule="auto"/>
              <w:ind w:left="581"/>
              <w:rPr>
                <w:rFonts w:ascii="宋体" w:eastAsia="宋体" w:hAnsi="宋体" w:cs="宋体"/>
                <w:sz w:val="16"/>
                <w:szCs w:val="16"/>
              </w:rPr>
            </w:pPr>
            <w:r>
              <w:rPr>
                <w:rFonts w:ascii="宋体" w:eastAsia="宋体" w:hAnsi="宋体" w:cs="宋体"/>
                <w:spacing w:val="-2"/>
                <w:sz w:val="16"/>
                <w:szCs w:val="16"/>
              </w:rPr>
              <w:t>6.4</w:t>
            </w:r>
          </w:p>
        </w:tc>
        <w:tc>
          <w:tcPr>
            <w:tcW w:w="1460" w:type="dxa"/>
          </w:tcPr>
          <w:p w:rsidR="00EA40A3" w:rsidRDefault="00E86C16">
            <w:pPr>
              <w:spacing w:before="101" w:line="183" w:lineRule="auto"/>
              <w:ind w:left="601"/>
              <w:rPr>
                <w:rFonts w:ascii="宋体" w:eastAsia="宋体" w:hAnsi="宋体" w:cs="宋体"/>
                <w:sz w:val="16"/>
                <w:szCs w:val="16"/>
              </w:rPr>
            </w:pPr>
            <w:r>
              <w:rPr>
                <w:rFonts w:ascii="宋体" w:eastAsia="宋体" w:hAnsi="宋体" w:cs="宋体"/>
                <w:spacing w:val="-2"/>
                <w:sz w:val="16"/>
                <w:szCs w:val="16"/>
              </w:rPr>
              <w:t>6.9</w:t>
            </w:r>
          </w:p>
        </w:tc>
      </w:tr>
      <w:tr w:rsidR="00EA40A3">
        <w:trPr>
          <w:trHeight w:val="259"/>
        </w:trPr>
        <w:tc>
          <w:tcPr>
            <w:tcW w:w="1392" w:type="dxa"/>
            <w:tcBorders>
              <w:bottom w:val="single" w:sz="4" w:space="0" w:color="000000"/>
            </w:tcBorders>
          </w:tcPr>
          <w:p w:rsidR="00EA40A3" w:rsidRDefault="00E86C16">
            <w:pPr>
              <w:spacing w:before="51" w:line="220" w:lineRule="auto"/>
              <w:ind w:left="369"/>
              <w:rPr>
                <w:rFonts w:ascii="宋体" w:eastAsia="宋体" w:hAnsi="宋体" w:cs="宋体"/>
                <w:sz w:val="16"/>
                <w:szCs w:val="16"/>
              </w:rPr>
            </w:pPr>
            <w:r>
              <w:rPr>
                <w:rFonts w:ascii="宋体" w:eastAsia="宋体" w:hAnsi="宋体" w:cs="宋体"/>
                <w:spacing w:val="-2"/>
                <w:sz w:val="16"/>
                <w:szCs w:val="16"/>
              </w:rPr>
              <w:t>组氨酸</w:t>
            </w:r>
          </w:p>
        </w:tc>
        <w:tc>
          <w:tcPr>
            <w:tcW w:w="1708" w:type="dxa"/>
            <w:tcBorders>
              <w:bottom w:val="single" w:sz="4" w:space="0" w:color="000000"/>
            </w:tcBorders>
          </w:tcPr>
          <w:p w:rsidR="00EA40A3" w:rsidRDefault="00E86C16">
            <w:pPr>
              <w:spacing w:before="80" w:line="206" w:lineRule="auto"/>
              <w:ind w:left="388"/>
              <w:rPr>
                <w:rFonts w:ascii="宋体" w:eastAsia="宋体" w:hAnsi="宋体" w:cs="宋体"/>
                <w:sz w:val="16"/>
                <w:szCs w:val="16"/>
              </w:rPr>
            </w:pPr>
            <w:r>
              <w:rPr>
                <w:rFonts w:ascii="宋体" w:eastAsia="宋体" w:hAnsi="宋体" w:cs="宋体"/>
                <w:spacing w:val="-2"/>
                <w:sz w:val="16"/>
                <w:szCs w:val="16"/>
              </w:rPr>
              <w:t>婴儿必需</w:t>
            </w:r>
          </w:p>
        </w:tc>
        <w:tc>
          <w:tcPr>
            <w:tcW w:w="1379" w:type="dxa"/>
            <w:tcBorders>
              <w:bottom w:val="single" w:sz="4" w:space="0" w:color="000000"/>
            </w:tcBorders>
          </w:tcPr>
          <w:p w:rsidR="00EA40A3" w:rsidRDefault="00E86C16">
            <w:pPr>
              <w:spacing w:before="91" w:line="183" w:lineRule="auto"/>
              <w:ind w:left="559"/>
              <w:rPr>
                <w:rFonts w:ascii="宋体" w:eastAsia="宋体" w:hAnsi="宋体" w:cs="宋体"/>
                <w:sz w:val="16"/>
                <w:szCs w:val="16"/>
              </w:rPr>
            </w:pPr>
            <w:r>
              <w:rPr>
                <w:rFonts w:ascii="宋体" w:eastAsia="宋体" w:hAnsi="宋体" w:cs="宋体"/>
                <w:spacing w:val="-2"/>
                <w:sz w:val="16"/>
                <w:szCs w:val="16"/>
              </w:rPr>
              <w:t>2.9</w:t>
            </w:r>
          </w:p>
        </w:tc>
        <w:tc>
          <w:tcPr>
            <w:tcW w:w="1420" w:type="dxa"/>
            <w:tcBorders>
              <w:bottom w:val="single" w:sz="4" w:space="0" w:color="000000"/>
            </w:tcBorders>
          </w:tcPr>
          <w:p w:rsidR="00EA40A3" w:rsidRDefault="00E86C16">
            <w:pPr>
              <w:spacing w:before="131" w:line="127" w:lineRule="exact"/>
              <w:ind w:left="581"/>
              <w:rPr>
                <w:rFonts w:ascii="宋体" w:eastAsia="宋体" w:hAnsi="宋体" w:cs="宋体"/>
                <w:sz w:val="16"/>
                <w:szCs w:val="16"/>
              </w:rPr>
            </w:pPr>
            <w:r>
              <w:rPr>
                <w:rFonts w:ascii="宋体" w:eastAsia="宋体" w:hAnsi="宋体" w:cs="宋体"/>
                <w:spacing w:val="-3"/>
                <w:position w:val="-2"/>
                <w:sz w:val="16"/>
                <w:szCs w:val="16"/>
              </w:rPr>
              <w:t>3.2</w:t>
            </w:r>
          </w:p>
        </w:tc>
        <w:tc>
          <w:tcPr>
            <w:tcW w:w="1460" w:type="dxa"/>
            <w:tcBorders>
              <w:bottom w:val="single" w:sz="4" w:space="0" w:color="000000"/>
            </w:tcBorders>
          </w:tcPr>
          <w:p w:rsidR="00EA40A3" w:rsidRDefault="00E86C16">
            <w:pPr>
              <w:spacing w:before="91" w:line="183" w:lineRule="auto"/>
              <w:ind w:left="601"/>
              <w:rPr>
                <w:rFonts w:ascii="宋体" w:eastAsia="宋体" w:hAnsi="宋体" w:cs="宋体"/>
                <w:sz w:val="16"/>
                <w:szCs w:val="16"/>
              </w:rPr>
            </w:pPr>
            <w:r>
              <w:rPr>
                <w:rFonts w:ascii="宋体" w:eastAsia="宋体" w:hAnsi="宋体" w:cs="宋体"/>
                <w:spacing w:val="-2"/>
                <w:sz w:val="16"/>
                <w:szCs w:val="16"/>
              </w:rPr>
              <w:t>2.7</w:t>
            </w:r>
          </w:p>
        </w:tc>
      </w:tr>
    </w:tbl>
    <w:p w:rsidR="00EA40A3" w:rsidRDefault="00E86C16">
      <w:pPr>
        <w:spacing w:before="106" w:line="214" w:lineRule="auto"/>
        <w:ind w:left="339"/>
        <w:rPr>
          <w:rFonts w:ascii="宋体" w:eastAsia="宋体" w:hAnsi="宋体" w:cs="宋体"/>
          <w:sz w:val="16"/>
          <w:szCs w:val="16"/>
        </w:rPr>
      </w:pPr>
      <w:r>
        <w:rPr>
          <w:rFonts w:ascii="宋体" w:eastAsia="宋体" w:hAnsi="宋体" w:cs="宋体"/>
          <w:spacing w:val="-1"/>
          <w:sz w:val="16"/>
          <w:szCs w:val="16"/>
        </w:rPr>
        <w:t>资料来源：Lawrie</w:t>
      </w:r>
      <w:r>
        <w:rPr>
          <w:rFonts w:ascii="宋体" w:eastAsia="宋体" w:hAnsi="宋体" w:cs="宋体"/>
          <w:spacing w:val="6"/>
          <w:sz w:val="16"/>
          <w:szCs w:val="16"/>
        </w:rPr>
        <w:t xml:space="preserve"> </w:t>
      </w:r>
      <w:r>
        <w:rPr>
          <w:rFonts w:ascii="宋体" w:eastAsia="宋体" w:hAnsi="宋体" w:cs="宋体"/>
          <w:spacing w:val="-1"/>
          <w:sz w:val="16"/>
          <w:szCs w:val="16"/>
        </w:rPr>
        <w:t>R</w:t>
      </w:r>
      <w:r>
        <w:rPr>
          <w:rFonts w:ascii="宋体" w:eastAsia="宋体" w:hAnsi="宋体" w:cs="宋体"/>
          <w:spacing w:val="1"/>
          <w:sz w:val="16"/>
          <w:szCs w:val="16"/>
        </w:rPr>
        <w:t xml:space="preserve"> </w:t>
      </w:r>
      <w:r>
        <w:rPr>
          <w:rFonts w:ascii="宋体" w:eastAsia="宋体" w:hAnsi="宋体" w:cs="宋体"/>
          <w:spacing w:val="-1"/>
          <w:sz w:val="16"/>
          <w:szCs w:val="16"/>
        </w:rPr>
        <w:t>A.</w:t>
      </w:r>
      <w:r>
        <w:rPr>
          <w:rFonts w:ascii="宋体" w:eastAsia="宋体" w:hAnsi="宋体" w:cs="宋体"/>
          <w:spacing w:val="18"/>
          <w:sz w:val="16"/>
          <w:szCs w:val="16"/>
        </w:rPr>
        <w:t xml:space="preserve"> </w:t>
      </w:r>
      <w:r>
        <w:rPr>
          <w:rFonts w:ascii="宋体" w:eastAsia="宋体" w:hAnsi="宋体" w:cs="宋体"/>
          <w:spacing w:val="-1"/>
          <w:sz w:val="16"/>
          <w:szCs w:val="16"/>
        </w:rPr>
        <w:t>1998.Lawrie's</w:t>
      </w:r>
      <w:r>
        <w:rPr>
          <w:rFonts w:ascii="宋体" w:eastAsia="宋体" w:hAnsi="宋体" w:cs="宋体"/>
          <w:spacing w:val="2"/>
          <w:sz w:val="16"/>
          <w:szCs w:val="16"/>
        </w:rPr>
        <w:t xml:space="preserve"> </w:t>
      </w:r>
      <w:r>
        <w:rPr>
          <w:rFonts w:ascii="宋体" w:eastAsia="宋体" w:hAnsi="宋体" w:cs="宋体"/>
          <w:spacing w:val="-1"/>
          <w:sz w:val="16"/>
          <w:szCs w:val="16"/>
        </w:rPr>
        <w:t>meat</w:t>
      </w:r>
      <w:r>
        <w:rPr>
          <w:rFonts w:ascii="宋体" w:eastAsia="宋体" w:hAnsi="宋体" w:cs="宋体"/>
          <w:spacing w:val="13"/>
          <w:sz w:val="16"/>
          <w:szCs w:val="16"/>
        </w:rPr>
        <w:t xml:space="preserve"> </w:t>
      </w:r>
      <w:r>
        <w:rPr>
          <w:rFonts w:ascii="宋体" w:eastAsia="宋体" w:hAnsi="宋体" w:cs="宋体"/>
          <w:spacing w:val="-1"/>
          <w:sz w:val="16"/>
          <w:szCs w:val="16"/>
        </w:rPr>
        <w:t>science.Sixth</w:t>
      </w:r>
      <w:r>
        <w:rPr>
          <w:rFonts w:ascii="宋体" w:eastAsia="宋体" w:hAnsi="宋体" w:cs="宋体"/>
          <w:spacing w:val="10"/>
          <w:sz w:val="16"/>
          <w:szCs w:val="16"/>
        </w:rPr>
        <w:t xml:space="preserve"> </w:t>
      </w:r>
      <w:r>
        <w:rPr>
          <w:rFonts w:ascii="宋体" w:eastAsia="宋体" w:hAnsi="宋体" w:cs="宋体"/>
          <w:spacing w:val="-1"/>
          <w:sz w:val="16"/>
          <w:szCs w:val="16"/>
        </w:rPr>
        <w:t>edition.</w:t>
      </w:r>
      <w:r>
        <w:rPr>
          <w:rFonts w:ascii="宋体" w:eastAsia="宋体" w:hAnsi="宋体" w:cs="宋体"/>
          <w:spacing w:val="1"/>
          <w:sz w:val="16"/>
          <w:szCs w:val="16"/>
        </w:rPr>
        <w:t xml:space="preserve"> </w:t>
      </w:r>
      <w:r>
        <w:rPr>
          <w:rFonts w:ascii="宋体" w:eastAsia="宋体" w:hAnsi="宋体" w:cs="宋体"/>
          <w:spacing w:val="-1"/>
          <w:sz w:val="16"/>
          <w:szCs w:val="16"/>
        </w:rPr>
        <w:t>Woodhead</w:t>
      </w:r>
      <w:r>
        <w:rPr>
          <w:rFonts w:ascii="宋体" w:eastAsia="宋体" w:hAnsi="宋体" w:cs="宋体"/>
          <w:spacing w:val="4"/>
          <w:sz w:val="16"/>
          <w:szCs w:val="16"/>
        </w:rPr>
        <w:t xml:space="preserve"> </w:t>
      </w:r>
      <w:r>
        <w:rPr>
          <w:rFonts w:ascii="宋体" w:eastAsia="宋体" w:hAnsi="宋体" w:cs="宋体"/>
          <w:spacing w:val="-1"/>
          <w:sz w:val="16"/>
          <w:szCs w:val="16"/>
        </w:rPr>
        <w:t>Publishing</w:t>
      </w:r>
      <w:r>
        <w:rPr>
          <w:rFonts w:ascii="宋体" w:eastAsia="宋体" w:hAnsi="宋体" w:cs="宋体"/>
          <w:spacing w:val="5"/>
          <w:sz w:val="16"/>
          <w:szCs w:val="16"/>
        </w:rPr>
        <w:t xml:space="preserve"> </w:t>
      </w:r>
      <w:r>
        <w:rPr>
          <w:rFonts w:ascii="宋体" w:eastAsia="宋体" w:hAnsi="宋体" w:cs="宋体"/>
          <w:spacing w:val="-1"/>
          <w:sz w:val="16"/>
          <w:szCs w:val="16"/>
        </w:rPr>
        <w:t>Ltd</w:t>
      </w:r>
    </w:p>
    <w:p w:rsidR="00EA40A3" w:rsidRDefault="00EA40A3">
      <w:pPr>
        <w:spacing w:line="322" w:lineRule="auto"/>
      </w:pPr>
    </w:p>
    <w:p w:rsidR="00EA40A3" w:rsidRDefault="00E86C16">
      <w:pPr>
        <w:spacing w:before="65" w:line="269" w:lineRule="auto"/>
        <w:ind w:right="100" w:firstLine="419"/>
        <w:jc w:val="both"/>
        <w:rPr>
          <w:rFonts w:ascii="宋体" w:eastAsia="宋体" w:hAnsi="宋体" w:cs="宋体"/>
          <w:sz w:val="20"/>
          <w:szCs w:val="20"/>
        </w:rPr>
      </w:pPr>
      <w:r>
        <w:rPr>
          <w:rFonts w:ascii="宋体" w:eastAsia="宋体" w:hAnsi="宋体" w:cs="宋体"/>
          <w:spacing w:val="22"/>
          <w:sz w:val="20"/>
          <w:szCs w:val="20"/>
        </w:rPr>
        <w:t>肥肉中的蛋白质含量仅为2%～3%,因此动物不同部位的肉，因肥瘦程度</w:t>
      </w:r>
      <w:r>
        <w:rPr>
          <w:rFonts w:ascii="宋体" w:eastAsia="宋体" w:hAnsi="宋体" w:cs="宋体"/>
          <w:spacing w:val="5"/>
          <w:sz w:val="20"/>
          <w:szCs w:val="20"/>
        </w:rPr>
        <w:t xml:space="preserve"> </w:t>
      </w:r>
      <w:r>
        <w:rPr>
          <w:rFonts w:ascii="宋体" w:eastAsia="宋体" w:hAnsi="宋体" w:cs="宋体"/>
          <w:spacing w:val="18"/>
          <w:sz w:val="20"/>
          <w:szCs w:val="20"/>
        </w:rPr>
        <w:t>不同，其蛋白质含量差异较大。例如：猪通脊肉蛋白质含量约为21%,后臂尖</w:t>
      </w:r>
      <w:r>
        <w:rPr>
          <w:rFonts w:ascii="宋体" w:eastAsia="宋体" w:hAnsi="宋体" w:cs="宋体"/>
          <w:spacing w:val="17"/>
          <w:sz w:val="20"/>
          <w:szCs w:val="20"/>
        </w:rPr>
        <w:t xml:space="preserve"> </w:t>
      </w:r>
      <w:r>
        <w:rPr>
          <w:rFonts w:ascii="宋体" w:eastAsia="宋体" w:hAnsi="宋体" w:cs="宋体"/>
          <w:spacing w:val="34"/>
          <w:sz w:val="20"/>
          <w:szCs w:val="20"/>
        </w:rPr>
        <w:t>约为15%,肋条肉约为10%,奶脯仅为8%;牛通脊肉的蛋白质含量为2</w:t>
      </w:r>
      <w:r>
        <w:rPr>
          <w:rFonts w:ascii="宋体" w:eastAsia="宋体" w:hAnsi="宋体" w:cs="宋体"/>
          <w:spacing w:val="33"/>
          <w:sz w:val="20"/>
          <w:szCs w:val="20"/>
        </w:rPr>
        <w:t>2%左</w:t>
      </w:r>
      <w:r>
        <w:rPr>
          <w:rFonts w:ascii="宋体" w:eastAsia="宋体" w:hAnsi="宋体" w:cs="宋体"/>
          <w:sz w:val="20"/>
          <w:szCs w:val="20"/>
        </w:rPr>
        <w:t xml:space="preserve"> </w:t>
      </w:r>
      <w:r>
        <w:rPr>
          <w:rFonts w:ascii="宋体" w:eastAsia="宋体" w:hAnsi="宋体" w:cs="宋体"/>
          <w:spacing w:val="26"/>
          <w:sz w:val="20"/>
          <w:szCs w:val="20"/>
        </w:rPr>
        <w:t>右，后腿肉约为20%,腹肋肉约为18%,前腿肉约为16%。在家畜</w:t>
      </w:r>
      <w:r>
        <w:rPr>
          <w:rFonts w:ascii="宋体" w:eastAsia="宋体" w:hAnsi="宋体" w:cs="宋体"/>
          <w:spacing w:val="25"/>
          <w:sz w:val="20"/>
          <w:szCs w:val="20"/>
        </w:rPr>
        <w:t>内脏中，以</w:t>
      </w:r>
      <w:r>
        <w:rPr>
          <w:rFonts w:ascii="宋体" w:eastAsia="宋体" w:hAnsi="宋体" w:cs="宋体"/>
          <w:sz w:val="20"/>
          <w:szCs w:val="20"/>
        </w:rPr>
        <w:t xml:space="preserve"> </w:t>
      </w:r>
      <w:r>
        <w:rPr>
          <w:rFonts w:ascii="宋体" w:eastAsia="宋体" w:hAnsi="宋体" w:cs="宋体"/>
          <w:spacing w:val="25"/>
          <w:sz w:val="20"/>
          <w:szCs w:val="20"/>
        </w:rPr>
        <w:t>肝脏含蛋白质较高，为18%～20%;心、肾含蛋白质14%～17%。畜血血浆蛋</w:t>
      </w:r>
      <w:r>
        <w:rPr>
          <w:rFonts w:ascii="宋体" w:eastAsia="宋体" w:hAnsi="宋体" w:cs="宋体"/>
          <w:spacing w:val="18"/>
          <w:sz w:val="20"/>
          <w:szCs w:val="20"/>
        </w:rPr>
        <w:t xml:space="preserve"> </w:t>
      </w:r>
      <w:r>
        <w:rPr>
          <w:rFonts w:ascii="宋体" w:eastAsia="宋体" w:hAnsi="宋体" w:cs="宋体"/>
          <w:spacing w:val="9"/>
          <w:sz w:val="20"/>
          <w:szCs w:val="20"/>
        </w:rPr>
        <w:t>白质含有9种人体必需氨基酸，营养价值高，其赖氨酸和色氨酸含量较高，而血</w:t>
      </w:r>
      <w:r>
        <w:rPr>
          <w:rFonts w:ascii="宋体" w:eastAsia="宋体" w:hAnsi="宋体" w:cs="宋体"/>
          <w:spacing w:val="12"/>
          <w:sz w:val="20"/>
          <w:szCs w:val="20"/>
        </w:rPr>
        <w:t xml:space="preserve"> </w:t>
      </w:r>
      <w:r>
        <w:rPr>
          <w:rFonts w:ascii="宋体" w:eastAsia="宋体" w:hAnsi="宋体" w:cs="宋体"/>
          <w:spacing w:val="4"/>
          <w:sz w:val="20"/>
          <w:szCs w:val="20"/>
        </w:rPr>
        <w:t>球中色氨酸等必需氨基酸含量较低。</w:t>
      </w:r>
    </w:p>
    <w:p w:rsidR="00EA40A3" w:rsidRDefault="00E86C16">
      <w:pPr>
        <w:spacing w:before="103" w:line="220" w:lineRule="auto"/>
        <w:rPr>
          <w:rFonts w:ascii="宋体" w:eastAsia="宋体" w:hAnsi="宋体" w:cs="宋体"/>
          <w:sz w:val="20"/>
          <w:szCs w:val="20"/>
        </w:rPr>
      </w:pPr>
      <w:r>
        <w:rPr>
          <w:rFonts w:ascii="宋体" w:eastAsia="宋体" w:hAnsi="宋体" w:cs="宋体"/>
          <w:spacing w:val="27"/>
          <w:sz w:val="20"/>
          <w:szCs w:val="20"/>
        </w:rPr>
        <w:t>2)脂肪</w:t>
      </w:r>
    </w:p>
    <w:p w:rsidR="00EA40A3" w:rsidRDefault="00E86C16">
      <w:pPr>
        <w:spacing w:before="111" w:line="219" w:lineRule="auto"/>
        <w:ind w:left="419"/>
        <w:rPr>
          <w:rFonts w:ascii="宋体" w:eastAsia="宋体" w:hAnsi="宋体" w:cs="宋体"/>
          <w:sz w:val="20"/>
          <w:szCs w:val="20"/>
        </w:rPr>
      </w:pPr>
      <w:r>
        <w:rPr>
          <w:rFonts w:ascii="宋体" w:eastAsia="宋体" w:hAnsi="宋体" w:cs="宋体"/>
          <w:spacing w:val="7"/>
          <w:sz w:val="20"/>
          <w:szCs w:val="20"/>
        </w:rPr>
        <w:t>畜肉中的脂肪可分为蓄积脂肪和组织脂肪两大类。蓄积脂肪是能量的</w:t>
      </w:r>
      <w:r>
        <w:rPr>
          <w:rFonts w:ascii="宋体" w:eastAsia="宋体" w:hAnsi="宋体" w:cs="宋体"/>
          <w:spacing w:val="6"/>
          <w:sz w:val="20"/>
          <w:szCs w:val="20"/>
        </w:rPr>
        <w:t>集中储</w:t>
      </w:r>
    </w:p>
    <w:p w:rsidR="00EA40A3" w:rsidRDefault="00EA40A3">
      <w:pPr>
        <w:sectPr w:rsidR="00EA40A3">
          <w:footerReference w:type="default" r:id="rId180"/>
          <w:pgSz w:w="9220" w:h="13360"/>
          <w:pgMar w:top="400" w:right="990" w:bottom="1206" w:left="860" w:header="0" w:footer="985" w:gutter="0"/>
          <w:cols w:space="720"/>
        </w:sectPr>
      </w:pPr>
    </w:p>
    <w:p w:rsidR="00EA40A3" w:rsidRDefault="00EA40A3">
      <w:pPr>
        <w:spacing w:line="296" w:lineRule="auto"/>
      </w:pPr>
    </w:p>
    <w:p w:rsidR="00EA40A3" w:rsidRDefault="00EA40A3">
      <w:pPr>
        <w:spacing w:line="297" w:lineRule="auto"/>
      </w:pPr>
    </w:p>
    <w:p w:rsidR="00EA40A3" w:rsidRDefault="00E86C16">
      <w:pPr>
        <w:spacing w:before="71" w:line="241" w:lineRule="auto"/>
        <w:ind w:right="50"/>
        <w:jc w:val="both"/>
        <w:rPr>
          <w:rFonts w:ascii="宋体" w:eastAsia="宋体" w:hAnsi="宋体" w:cs="宋体"/>
          <w:sz w:val="22"/>
          <w:szCs w:val="22"/>
        </w:rPr>
      </w:pPr>
      <w:r>
        <w:rPr>
          <w:rFonts w:ascii="宋体" w:eastAsia="宋体" w:hAnsi="宋体" w:cs="宋体"/>
          <w:sz w:val="22"/>
          <w:szCs w:val="22"/>
        </w:rPr>
        <w:t>存场所，包括皮下脂肪、肾周围脂肪、大网膜脂肪和肌肉</w:t>
      </w:r>
      <w:r>
        <w:rPr>
          <w:rFonts w:ascii="宋体" w:eastAsia="宋体" w:hAnsi="宋体" w:cs="宋体"/>
          <w:spacing w:val="-1"/>
          <w:sz w:val="22"/>
          <w:szCs w:val="22"/>
        </w:rPr>
        <w:t>间脂肪，其中含有</w:t>
      </w:r>
      <w:r>
        <w:rPr>
          <w:rFonts w:ascii="宋体" w:eastAsia="宋体" w:hAnsi="宋体" w:cs="宋体"/>
          <w:sz w:val="22"/>
          <w:szCs w:val="22"/>
        </w:rPr>
        <w:t xml:space="preserve"> </w:t>
      </w:r>
      <w:r>
        <w:rPr>
          <w:rFonts w:ascii="宋体" w:eastAsia="宋体" w:hAnsi="宋体" w:cs="宋体"/>
          <w:spacing w:val="7"/>
          <w:sz w:val="22"/>
          <w:szCs w:val="22"/>
        </w:rPr>
        <w:t>90%左右的脂肪，蛋白质含量仅2%～3%;组织脂肪为肌肉及脏器内的脂肪，</w:t>
      </w:r>
      <w:r>
        <w:rPr>
          <w:rFonts w:ascii="宋体" w:eastAsia="宋体" w:hAnsi="宋体" w:cs="宋体"/>
          <w:spacing w:val="6"/>
          <w:sz w:val="22"/>
          <w:szCs w:val="22"/>
        </w:rPr>
        <w:t xml:space="preserve"> </w:t>
      </w:r>
      <w:r>
        <w:rPr>
          <w:rFonts w:ascii="宋体" w:eastAsia="宋体" w:hAnsi="宋体" w:cs="宋体"/>
          <w:spacing w:val="-16"/>
          <w:sz w:val="22"/>
          <w:szCs w:val="22"/>
        </w:rPr>
        <w:t>也就是“瘦肉”中所含的脂肪。</w:t>
      </w:r>
    </w:p>
    <w:p w:rsidR="00EA40A3" w:rsidRDefault="00E86C16">
      <w:pPr>
        <w:spacing w:before="48" w:line="243" w:lineRule="auto"/>
        <w:ind w:right="98" w:firstLine="419"/>
        <w:jc w:val="both"/>
        <w:rPr>
          <w:rFonts w:ascii="宋体" w:eastAsia="宋体" w:hAnsi="宋体" w:cs="宋体"/>
          <w:sz w:val="22"/>
          <w:szCs w:val="22"/>
        </w:rPr>
      </w:pPr>
      <w:r>
        <w:rPr>
          <w:rFonts w:ascii="宋体" w:eastAsia="宋体" w:hAnsi="宋体" w:cs="宋体"/>
          <w:spacing w:val="3"/>
          <w:sz w:val="22"/>
          <w:szCs w:val="22"/>
        </w:rPr>
        <w:t>肥肉瘦肉中含有10%～20%的蛋白质和0.4%～25%的脂肪。蛋白质含量最</w:t>
      </w:r>
      <w:r>
        <w:rPr>
          <w:rFonts w:ascii="宋体" w:eastAsia="宋体" w:hAnsi="宋体" w:cs="宋体"/>
          <w:spacing w:val="9"/>
          <w:sz w:val="22"/>
          <w:szCs w:val="22"/>
        </w:rPr>
        <w:t xml:space="preserve"> </w:t>
      </w:r>
      <w:r>
        <w:rPr>
          <w:rFonts w:ascii="宋体" w:eastAsia="宋体" w:hAnsi="宋体" w:cs="宋体"/>
          <w:spacing w:val="-7"/>
          <w:sz w:val="22"/>
          <w:szCs w:val="22"/>
        </w:rPr>
        <w:t>高的部位是里脊，即背最长肌，奶脯部分最低。例如，猪里脊的蛋白质含量达</w:t>
      </w:r>
      <w:r>
        <w:rPr>
          <w:rFonts w:ascii="宋体" w:eastAsia="宋体" w:hAnsi="宋体" w:cs="宋体"/>
          <w:spacing w:val="5"/>
          <w:sz w:val="22"/>
          <w:szCs w:val="22"/>
        </w:rPr>
        <w:t xml:space="preserve"> </w:t>
      </w:r>
      <w:r>
        <w:rPr>
          <w:rFonts w:ascii="宋体" w:eastAsia="宋体" w:hAnsi="宋体" w:cs="宋体"/>
          <w:sz w:val="22"/>
          <w:szCs w:val="22"/>
        </w:rPr>
        <w:t>21%,而奶脯仅8%。然而，结缔组织中的蛋白质如</w:t>
      </w:r>
      <w:r>
        <w:rPr>
          <w:rFonts w:ascii="宋体" w:eastAsia="宋体" w:hAnsi="宋体" w:cs="宋体"/>
          <w:spacing w:val="-1"/>
          <w:sz w:val="22"/>
          <w:szCs w:val="22"/>
        </w:rPr>
        <w:t>胶原、弹性蛋白等因为缺乏</w:t>
      </w:r>
      <w:r>
        <w:rPr>
          <w:rFonts w:ascii="宋体" w:eastAsia="宋体" w:hAnsi="宋体" w:cs="宋体"/>
          <w:sz w:val="22"/>
          <w:szCs w:val="22"/>
        </w:rPr>
        <w:t xml:space="preserve"> </w:t>
      </w:r>
      <w:r>
        <w:rPr>
          <w:rFonts w:ascii="宋体" w:eastAsia="宋体" w:hAnsi="宋体" w:cs="宋体"/>
          <w:spacing w:val="-17"/>
          <w:sz w:val="22"/>
          <w:szCs w:val="22"/>
        </w:rPr>
        <w:t>色氨酸，其生物价值极低。</w:t>
      </w:r>
    </w:p>
    <w:p w:rsidR="00EA40A3" w:rsidRDefault="00E86C16">
      <w:pPr>
        <w:spacing w:before="75" w:line="248" w:lineRule="auto"/>
        <w:ind w:right="77" w:firstLine="419"/>
        <w:jc w:val="both"/>
        <w:rPr>
          <w:rFonts w:ascii="宋体" w:eastAsia="宋体" w:hAnsi="宋体" w:cs="宋体"/>
          <w:sz w:val="22"/>
          <w:szCs w:val="22"/>
        </w:rPr>
      </w:pPr>
      <w:r>
        <w:rPr>
          <w:rFonts w:ascii="宋体" w:eastAsia="宋体" w:hAnsi="宋体" w:cs="宋体"/>
          <w:spacing w:val="-7"/>
          <w:sz w:val="22"/>
          <w:szCs w:val="22"/>
        </w:rPr>
        <w:t>动物肌肉中的脂肪含量因动物品种、部位、年龄和肥育度的不同有很大差</w:t>
      </w:r>
      <w:r>
        <w:rPr>
          <w:rFonts w:ascii="宋体" w:eastAsia="宋体" w:hAnsi="宋体" w:cs="宋体"/>
          <w:spacing w:val="14"/>
          <w:sz w:val="22"/>
          <w:szCs w:val="22"/>
        </w:rPr>
        <w:t xml:space="preserve"> </w:t>
      </w:r>
      <w:r>
        <w:rPr>
          <w:rFonts w:ascii="宋体" w:eastAsia="宋体" w:hAnsi="宋体" w:cs="宋体"/>
          <w:spacing w:val="-13"/>
          <w:sz w:val="22"/>
          <w:szCs w:val="22"/>
        </w:rPr>
        <w:t>异。猪肉的脂肪含量远比牛羊肉高，排骨肉比里脊肉的脂肪含量高，老动物肉中</w:t>
      </w:r>
      <w:r>
        <w:rPr>
          <w:rFonts w:ascii="宋体" w:eastAsia="宋体" w:hAnsi="宋体" w:cs="宋体"/>
          <w:spacing w:val="16"/>
          <w:sz w:val="22"/>
          <w:szCs w:val="22"/>
        </w:rPr>
        <w:t xml:space="preserve"> </w:t>
      </w:r>
      <w:r>
        <w:rPr>
          <w:rFonts w:ascii="宋体" w:eastAsia="宋体" w:hAnsi="宋体" w:cs="宋体"/>
          <w:spacing w:val="-13"/>
          <w:sz w:val="22"/>
          <w:szCs w:val="22"/>
        </w:rPr>
        <w:t>的脂肪比例比幼小动物的高，肥育动物的瘦肉部分的脂肪含量比瘦肉型动物同部</w:t>
      </w:r>
      <w:r>
        <w:rPr>
          <w:rFonts w:ascii="宋体" w:eastAsia="宋体" w:hAnsi="宋体" w:cs="宋体"/>
          <w:spacing w:val="5"/>
          <w:sz w:val="22"/>
          <w:szCs w:val="22"/>
        </w:rPr>
        <w:t xml:space="preserve"> </w:t>
      </w:r>
      <w:r>
        <w:rPr>
          <w:rFonts w:ascii="宋体" w:eastAsia="宋体" w:hAnsi="宋体" w:cs="宋体"/>
          <w:spacing w:val="3"/>
          <w:sz w:val="22"/>
          <w:szCs w:val="22"/>
        </w:rPr>
        <w:t>位的瘦肉要高。例如：猪里脊肉含脂肪7.9%,而肋条肉含脂肪高达59%,后臀</w:t>
      </w:r>
      <w:r>
        <w:rPr>
          <w:rFonts w:ascii="宋体" w:eastAsia="宋体" w:hAnsi="宋体" w:cs="宋体"/>
          <w:spacing w:val="10"/>
          <w:sz w:val="22"/>
          <w:szCs w:val="22"/>
        </w:rPr>
        <w:t xml:space="preserve"> </w:t>
      </w:r>
      <w:r>
        <w:rPr>
          <w:rFonts w:ascii="宋体" w:eastAsia="宋体" w:hAnsi="宋体" w:cs="宋体"/>
          <w:sz w:val="22"/>
          <w:szCs w:val="22"/>
        </w:rPr>
        <w:t>尖部位的脂肪含量也在30%左右。又如，肥育良好的牛肉中脂</w:t>
      </w:r>
      <w:r>
        <w:rPr>
          <w:rFonts w:ascii="宋体" w:eastAsia="宋体" w:hAnsi="宋体" w:cs="宋体"/>
          <w:spacing w:val="-1"/>
          <w:sz w:val="22"/>
          <w:szCs w:val="22"/>
        </w:rPr>
        <w:t>肪含量可达18%</w:t>
      </w:r>
      <w:r>
        <w:rPr>
          <w:rFonts w:ascii="宋体" w:eastAsia="宋体" w:hAnsi="宋体" w:cs="宋体"/>
          <w:sz w:val="22"/>
          <w:szCs w:val="22"/>
        </w:rPr>
        <w:t xml:space="preserve"> </w:t>
      </w:r>
      <w:r>
        <w:rPr>
          <w:rFonts w:ascii="宋体" w:eastAsia="宋体" w:hAnsi="宋体" w:cs="宋体"/>
          <w:spacing w:val="-7"/>
          <w:sz w:val="22"/>
          <w:szCs w:val="22"/>
        </w:rPr>
        <w:t>左右，肉的横切面呈现大理石样花纹；而肥育不良的牛肉含脂肪仅4%。血液中</w:t>
      </w:r>
      <w:r>
        <w:rPr>
          <w:rFonts w:ascii="宋体" w:eastAsia="宋体" w:hAnsi="宋体" w:cs="宋体"/>
          <w:spacing w:val="7"/>
          <w:sz w:val="22"/>
          <w:szCs w:val="22"/>
        </w:rPr>
        <w:t xml:space="preserve"> </w:t>
      </w:r>
      <w:r>
        <w:rPr>
          <w:rFonts w:ascii="宋体" w:eastAsia="宋体" w:hAnsi="宋体" w:cs="宋体"/>
          <w:spacing w:val="9"/>
          <w:sz w:val="22"/>
          <w:szCs w:val="22"/>
        </w:rPr>
        <w:t>的脂肪含量很低，不足0.5%。骨中脂肪含量为15%</w:t>
      </w:r>
      <w:r>
        <w:rPr>
          <w:rFonts w:ascii="宋体" w:eastAsia="宋体" w:hAnsi="宋体" w:cs="宋体"/>
          <w:spacing w:val="8"/>
          <w:sz w:val="22"/>
          <w:szCs w:val="22"/>
        </w:rPr>
        <w:t>～21%,其中骨髓含脂肪</w:t>
      </w:r>
      <w:r>
        <w:rPr>
          <w:rFonts w:ascii="宋体" w:eastAsia="宋体" w:hAnsi="宋体" w:cs="宋体"/>
          <w:sz w:val="22"/>
          <w:szCs w:val="22"/>
        </w:rPr>
        <w:t xml:space="preserve"> </w:t>
      </w:r>
      <w:r>
        <w:rPr>
          <w:rFonts w:ascii="宋体" w:eastAsia="宋体" w:hAnsi="宋体" w:cs="宋体"/>
          <w:spacing w:val="5"/>
          <w:sz w:val="22"/>
          <w:szCs w:val="22"/>
        </w:rPr>
        <w:t>90%以上。</w:t>
      </w:r>
    </w:p>
    <w:p w:rsidR="00EA40A3" w:rsidRDefault="00E86C16">
      <w:pPr>
        <w:spacing w:before="93" w:line="245" w:lineRule="auto"/>
        <w:ind w:right="98" w:firstLine="419"/>
        <w:jc w:val="both"/>
        <w:rPr>
          <w:rFonts w:ascii="宋体" w:eastAsia="宋体" w:hAnsi="宋体" w:cs="宋体"/>
          <w:sz w:val="22"/>
          <w:szCs w:val="22"/>
        </w:rPr>
      </w:pPr>
      <w:r>
        <w:rPr>
          <w:rFonts w:ascii="宋体" w:eastAsia="宋体" w:hAnsi="宋体" w:cs="宋体"/>
          <w:spacing w:val="-13"/>
          <w:sz w:val="22"/>
          <w:szCs w:val="22"/>
        </w:rPr>
        <w:t>畜肉脂肪中饱和脂肪酸较多，饱和脂肪酸以棕榈酸和硬脂酸居多，不饱和</w:t>
      </w:r>
      <w:r>
        <w:rPr>
          <w:rFonts w:ascii="宋体" w:eastAsia="宋体" w:hAnsi="宋体" w:cs="宋体"/>
          <w:spacing w:val="-14"/>
          <w:sz w:val="22"/>
          <w:szCs w:val="22"/>
        </w:rPr>
        <w:t>脂</w:t>
      </w:r>
      <w:r>
        <w:rPr>
          <w:rFonts w:ascii="宋体" w:eastAsia="宋体" w:hAnsi="宋体" w:cs="宋体"/>
          <w:sz w:val="22"/>
          <w:szCs w:val="22"/>
        </w:rPr>
        <w:t xml:space="preserve"> </w:t>
      </w:r>
      <w:r>
        <w:rPr>
          <w:rFonts w:ascii="宋体" w:eastAsia="宋体" w:hAnsi="宋体" w:cs="宋体"/>
          <w:spacing w:val="-13"/>
          <w:sz w:val="22"/>
          <w:szCs w:val="22"/>
        </w:rPr>
        <w:t>肪酸主要为油酸，其次为亚油酸。脂肪中还含有一定量的胆固醇。例如，猪脂肪</w:t>
      </w:r>
      <w:r>
        <w:rPr>
          <w:rFonts w:ascii="宋体" w:eastAsia="宋体" w:hAnsi="宋体" w:cs="宋体"/>
          <w:spacing w:val="4"/>
          <w:sz w:val="22"/>
          <w:szCs w:val="22"/>
        </w:rPr>
        <w:t xml:space="preserve"> </w:t>
      </w:r>
      <w:r>
        <w:rPr>
          <w:rFonts w:ascii="宋体" w:eastAsia="宋体" w:hAnsi="宋体" w:cs="宋体"/>
          <w:sz w:val="22"/>
          <w:szCs w:val="22"/>
        </w:rPr>
        <w:t>含有约40%的饱和脂肪酸，通常在体温下呈液态，消化率可</w:t>
      </w:r>
      <w:r>
        <w:rPr>
          <w:rFonts w:ascii="宋体" w:eastAsia="宋体" w:hAnsi="宋体" w:cs="宋体"/>
          <w:spacing w:val="-1"/>
          <w:sz w:val="22"/>
          <w:szCs w:val="22"/>
        </w:rPr>
        <w:t>达90%以上。牛和</w:t>
      </w:r>
      <w:r>
        <w:rPr>
          <w:rFonts w:ascii="宋体" w:eastAsia="宋体" w:hAnsi="宋体" w:cs="宋体"/>
          <w:sz w:val="22"/>
          <w:szCs w:val="22"/>
        </w:rPr>
        <w:t xml:space="preserve"> </w:t>
      </w:r>
      <w:r>
        <w:rPr>
          <w:rFonts w:ascii="宋体" w:eastAsia="宋体" w:hAnsi="宋体" w:cs="宋体"/>
          <w:spacing w:val="-3"/>
          <w:sz w:val="22"/>
          <w:szCs w:val="22"/>
        </w:rPr>
        <w:t>羊是反刍动物，其脂肪中饱和脂肪酸比例达50%以上，</w:t>
      </w:r>
      <w:r>
        <w:rPr>
          <w:rFonts w:ascii="宋体" w:eastAsia="宋体" w:hAnsi="宋体" w:cs="宋体"/>
          <w:spacing w:val="-4"/>
          <w:sz w:val="22"/>
          <w:szCs w:val="22"/>
        </w:rPr>
        <w:t>熔点可达40℃以上，在</w:t>
      </w:r>
      <w:r>
        <w:rPr>
          <w:rFonts w:ascii="宋体" w:eastAsia="宋体" w:hAnsi="宋体" w:cs="宋体"/>
          <w:sz w:val="22"/>
          <w:szCs w:val="22"/>
        </w:rPr>
        <w:t xml:space="preserve"> </w:t>
      </w:r>
      <w:r>
        <w:rPr>
          <w:rFonts w:ascii="宋体" w:eastAsia="宋体" w:hAnsi="宋体" w:cs="宋体"/>
          <w:spacing w:val="-14"/>
          <w:sz w:val="22"/>
          <w:szCs w:val="22"/>
        </w:rPr>
        <w:t>体温下仍不液化，因此较难消化。</w:t>
      </w:r>
    </w:p>
    <w:p w:rsidR="00EA40A3" w:rsidRDefault="00E86C16">
      <w:pPr>
        <w:spacing w:before="72" w:line="244" w:lineRule="auto"/>
        <w:ind w:firstLine="419"/>
        <w:jc w:val="both"/>
        <w:rPr>
          <w:rFonts w:ascii="宋体" w:eastAsia="宋体" w:hAnsi="宋体" w:cs="宋体"/>
          <w:sz w:val="22"/>
          <w:szCs w:val="22"/>
        </w:rPr>
      </w:pPr>
      <w:r>
        <w:rPr>
          <w:rFonts w:ascii="宋体" w:eastAsia="宋体" w:hAnsi="宋体" w:cs="宋体"/>
          <w:spacing w:val="-13"/>
          <w:sz w:val="22"/>
          <w:szCs w:val="22"/>
        </w:rPr>
        <w:t>肌肉所含的脂类中，类脂成分含量较高，尤以磷脂占有较高比例，并含有一</w:t>
      </w:r>
      <w:r>
        <w:rPr>
          <w:rFonts w:ascii="宋体" w:eastAsia="宋体" w:hAnsi="宋体" w:cs="宋体"/>
          <w:sz w:val="22"/>
          <w:szCs w:val="22"/>
        </w:rPr>
        <w:t xml:space="preserve">  </w:t>
      </w:r>
      <w:r>
        <w:rPr>
          <w:rFonts w:ascii="宋体" w:eastAsia="宋体" w:hAnsi="宋体" w:cs="宋体"/>
          <w:spacing w:val="-14"/>
          <w:sz w:val="22"/>
          <w:szCs w:val="22"/>
        </w:rPr>
        <w:t>定量的胆固醇。</w:t>
      </w:r>
      <w:r>
        <w:rPr>
          <w:rFonts w:ascii="宋体" w:eastAsia="宋体" w:hAnsi="宋体" w:cs="宋体"/>
          <w:spacing w:val="37"/>
          <w:sz w:val="22"/>
          <w:szCs w:val="22"/>
        </w:rPr>
        <w:t xml:space="preserve"> </w:t>
      </w:r>
      <w:r>
        <w:rPr>
          <w:rFonts w:ascii="宋体" w:eastAsia="宋体" w:hAnsi="宋体" w:cs="宋体"/>
          <w:spacing w:val="-14"/>
          <w:sz w:val="22"/>
          <w:szCs w:val="22"/>
        </w:rPr>
        <w:t>一般来说，心、肝、肾等内脏器官含脂肪少而</w:t>
      </w:r>
      <w:r>
        <w:rPr>
          <w:rFonts w:ascii="宋体" w:eastAsia="宋体" w:hAnsi="宋体" w:cs="宋体"/>
          <w:spacing w:val="-15"/>
          <w:sz w:val="22"/>
          <w:szCs w:val="22"/>
        </w:rPr>
        <w:t>蛋白质含量较高。</w:t>
      </w:r>
      <w:r>
        <w:rPr>
          <w:rFonts w:ascii="宋体" w:eastAsia="宋体" w:hAnsi="宋体" w:cs="宋体"/>
          <w:sz w:val="22"/>
          <w:szCs w:val="22"/>
        </w:rPr>
        <w:t xml:space="preserve"> </w:t>
      </w:r>
      <w:r>
        <w:rPr>
          <w:rFonts w:ascii="宋体" w:eastAsia="宋体" w:hAnsi="宋体" w:cs="宋体"/>
          <w:spacing w:val="-3"/>
          <w:sz w:val="22"/>
          <w:szCs w:val="22"/>
        </w:rPr>
        <w:t>例如，猪肝的蛋白质含量在20%左右，而脂肪含量仅3.5%</w:t>
      </w:r>
      <w:r>
        <w:rPr>
          <w:rFonts w:ascii="宋体" w:eastAsia="宋体" w:hAnsi="宋体" w:cs="宋体"/>
          <w:spacing w:val="-4"/>
          <w:sz w:val="22"/>
          <w:szCs w:val="22"/>
        </w:rPr>
        <w:t>左右。心、肾等的蛋</w:t>
      </w:r>
      <w:r>
        <w:rPr>
          <w:rFonts w:ascii="宋体" w:eastAsia="宋体" w:hAnsi="宋体" w:cs="宋体"/>
          <w:sz w:val="22"/>
          <w:szCs w:val="22"/>
        </w:rPr>
        <w:t xml:space="preserve">  </w:t>
      </w:r>
      <w:r>
        <w:rPr>
          <w:rFonts w:ascii="宋体" w:eastAsia="宋体" w:hAnsi="宋体" w:cs="宋体"/>
          <w:spacing w:val="-3"/>
          <w:sz w:val="22"/>
          <w:szCs w:val="22"/>
        </w:rPr>
        <w:t>白质含量在15%以上，脂肪含量在5%以下。但是，脏器中含有较多的胆固醇，</w:t>
      </w:r>
      <w:r>
        <w:rPr>
          <w:rFonts w:ascii="宋体" w:eastAsia="宋体" w:hAnsi="宋体" w:cs="宋体"/>
          <w:spacing w:val="17"/>
          <w:sz w:val="22"/>
          <w:szCs w:val="22"/>
        </w:rPr>
        <w:t xml:space="preserve"> </w:t>
      </w:r>
      <w:r>
        <w:rPr>
          <w:rFonts w:ascii="宋体" w:eastAsia="宋体" w:hAnsi="宋体" w:cs="宋体"/>
          <w:spacing w:val="13"/>
          <w:sz w:val="22"/>
          <w:szCs w:val="22"/>
        </w:rPr>
        <w:t>如瘦猪肉中含胆固醇77</w:t>
      </w:r>
      <w:r>
        <w:rPr>
          <w:rFonts w:ascii="宋体" w:eastAsia="宋体" w:hAnsi="宋体" w:cs="宋体"/>
          <w:sz w:val="22"/>
          <w:szCs w:val="22"/>
        </w:rPr>
        <w:t>mg</w:t>
      </w:r>
      <w:r>
        <w:rPr>
          <w:rFonts w:ascii="宋体" w:eastAsia="宋体" w:hAnsi="宋体" w:cs="宋体"/>
          <w:spacing w:val="13"/>
          <w:sz w:val="22"/>
          <w:szCs w:val="22"/>
        </w:rPr>
        <w:t>/100g、</w:t>
      </w:r>
      <w:r>
        <w:rPr>
          <w:rFonts w:ascii="宋体" w:eastAsia="宋体" w:hAnsi="宋体" w:cs="宋体"/>
          <w:spacing w:val="54"/>
          <w:sz w:val="22"/>
          <w:szCs w:val="22"/>
        </w:rPr>
        <w:t xml:space="preserve"> </w:t>
      </w:r>
      <w:r>
        <w:rPr>
          <w:rFonts w:ascii="宋体" w:eastAsia="宋体" w:hAnsi="宋体" w:cs="宋体"/>
          <w:spacing w:val="13"/>
          <w:sz w:val="22"/>
          <w:szCs w:val="22"/>
        </w:rPr>
        <w:t>肥猪肉含</w:t>
      </w:r>
      <w:r>
        <w:rPr>
          <w:rFonts w:ascii="宋体" w:eastAsia="宋体" w:hAnsi="宋体" w:cs="宋体"/>
          <w:spacing w:val="12"/>
          <w:sz w:val="22"/>
          <w:szCs w:val="22"/>
        </w:rPr>
        <w:t>107</w:t>
      </w:r>
      <w:r>
        <w:rPr>
          <w:rFonts w:ascii="宋体" w:eastAsia="宋体" w:hAnsi="宋体" w:cs="宋体"/>
          <w:sz w:val="22"/>
          <w:szCs w:val="22"/>
        </w:rPr>
        <w:t>mg</w:t>
      </w:r>
      <w:r>
        <w:rPr>
          <w:rFonts w:ascii="宋体" w:eastAsia="宋体" w:hAnsi="宋体" w:cs="宋体"/>
          <w:spacing w:val="12"/>
          <w:sz w:val="22"/>
          <w:szCs w:val="22"/>
        </w:rPr>
        <w:t>/100g,</w:t>
      </w:r>
      <w:r>
        <w:rPr>
          <w:rFonts w:ascii="宋体" w:eastAsia="宋体" w:hAnsi="宋体" w:cs="宋体"/>
          <w:spacing w:val="22"/>
          <w:sz w:val="22"/>
          <w:szCs w:val="22"/>
        </w:rPr>
        <w:t xml:space="preserve"> </w:t>
      </w:r>
      <w:r>
        <w:rPr>
          <w:rFonts w:ascii="宋体" w:eastAsia="宋体" w:hAnsi="宋体" w:cs="宋体"/>
          <w:spacing w:val="12"/>
          <w:sz w:val="22"/>
          <w:szCs w:val="22"/>
        </w:rPr>
        <w:t>而猪肝为368</w:t>
      </w:r>
      <w:r>
        <w:rPr>
          <w:rFonts w:ascii="宋体" w:eastAsia="宋体" w:hAnsi="宋体" w:cs="宋体"/>
          <w:sz w:val="22"/>
          <w:szCs w:val="22"/>
        </w:rPr>
        <w:t xml:space="preserve">  </w:t>
      </w:r>
      <w:r>
        <w:rPr>
          <w:rFonts w:ascii="宋体" w:eastAsia="宋体" w:hAnsi="宋体" w:cs="宋体"/>
          <w:spacing w:val="-3"/>
          <w:sz w:val="22"/>
          <w:szCs w:val="22"/>
        </w:rPr>
        <w:t>mg/100g,</w:t>
      </w:r>
      <w:r>
        <w:rPr>
          <w:rFonts w:ascii="宋体" w:eastAsia="宋体" w:hAnsi="宋体" w:cs="宋体"/>
          <w:spacing w:val="-7"/>
          <w:sz w:val="22"/>
          <w:szCs w:val="22"/>
        </w:rPr>
        <w:t xml:space="preserve"> </w:t>
      </w:r>
      <w:r>
        <w:rPr>
          <w:rFonts w:ascii="宋体" w:eastAsia="宋体" w:hAnsi="宋体" w:cs="宋体"/>
          <w:spacing w:val="-3"/>
          <w:sz w:val="22"/>
          <w:szCs w:val="22"/>
        </w:rPr>
        <w:t>是瘦肉中的4～5倍。</w:t>
      </w:r>
    </w:p>
    <w:p w:rsidR="00EA40A3" w:rsidRDefault="00E86C16">
      <w:pPr>
        <w:spacing w:before="60" w:line="225" w:lineRule="auto"/>
        <w:rPr>
          <w:rFonts w:ascii="楷体" w:eastAsia="楷体" w:hAnsi="楷体" w:cs="楷体"/>
          <w:sz w:val="22"/>
          <w:szCs w:val="22"/>
        </w:rPr>
      </w:pPr>
      <w:r>
        <w:rPr>
          <w:rFonts w:ascii="楷体" w:eastAsia="楷体" w:hAnsi="楷体" w:cs="楷体"/>
          <w:spacing w:val="9"/>
          <w:sz w:val="22"/>
          <w:szCs w:val="22"/>
        </w:rPr>
        <w:t>3)维生素</w:t>
      </w:r>
    </w:p>
    <w:p w:rsidR="00EA40A3" w:rsidRDefault="00E86C16">
      <w:pPr>
        <w:spacing w:before="58" w:line="235" w:lineRule="auto"/>
        <w:ind w:right="66" w:firstLine="419"/>
        <w:jc w:val="both"/>
        <w:rPr>
          <w:rFonts w:ascii="宋体" w:eastAsia="宋体" w:hAnsi="宋体" w:cs="宋体"/>
          <w:sz w:val="22"/>
          <w:szCs w:val="22"/>
        </w:rPr>
      </w:pPr>
      <w:r>
        <w:rPr>
          <w:rFonts w:ascii="宋体" w:eastAsia="宋体" w:hAnsi="宋体" w:cs="宋体"/>
          <w:spacing w:val="-5"/>
          <w:sz w:val="22"/>
          <w:szCs w:val="22"/>
        </w:rPr>
        <w:t>畜肉含有较多B</w:t>
      </w:r>
      <w:r>
        <w:rPr>
          <w:rFonts w:ascii="宋体" w:eastAsia="宋体" w:hAnsi="宋体" w:cs="宋体"/>
          <w:spacing w:val="-39"/>
          <w:sz w:val="22"/>
          <w:szCs w:val="22"/>
        </w:rPr>
        <w:t xml:space="preserve"> </w:t>
      </w:r>
      <w:r>
        <w:rPr>
          <w:rFonts w:ascii="宋体" w:eastAsia="宋体" w:hAnsi="宋体" w:cs="宋体"/>
          <w:spacing w:val="-5"/>
          <w:sz w:val="22"/>
          <w:szCs w:val="22"/>
        </w:rPr>
        <w:t>族维生素，包括维生素B</w:t>
      </w:r>
      <w:r>
        <w:rPr>
          <w:rFonts w:ascii="Calibri" w:eastAsia="Calibri" w:hAnsi="Calibri" w:cs="Calibri"/>
          <w:spacing w:val="-5"/>
          <w:sz w:val="22"/>
          <w:szCs w:val="22"/>
        </w:rPr>
        <w:t>₁</w:t>
      </w:r>
      <w:r>
        <w:rPr>
          <w:rFonts w:ascii="Calibri" w:eastAsia="Calibri" w:hAnsi="Calibri" w:cs="Calibri"/>
          <w:spacing w:val="-26"/>
          <w:sz w:val="22"/>
          <w:szCs w:val="22"/>
        </w:rPr>
        <w:t xml:space="preserve"> </w:t>
      </w:r>
      <w:r>
        <w:rPr>
          <w:rFonts w:ascii="宋体" w:eastAsia="宋体" w:hAnsi="宋体" w:cs="宋体"/>
          <w:spacing w:val="-5"/>
          <w:sz w:val="22"/>
          <w:szCs w:val="22"/>
        </w:rPr>
        <w:t>、维生素B2、</w:t>
      </w:r>
      <w:r>
        <w:rPr>
          <w:rFonts w:ascii="宋体" w:eastAsia="宋体" w:hAnsi="宋体" w:cs="宋体"/>
          <w:spacing w:val="-57"/>
          <w:sz w:val="22"/>
          <w:szCs w:val="22"/>
        </w:rPr>
        <w:t xml:space="preserve"> </w:t>
      </w:r>
      <w:r>
        <w:rPr>
          <w:rFonts w:ascii="宋体" w:eastAsia="宋体" w:hAnsi="宋体" w:cs="宋体"/>
          <w:spacing w:val="-5"/>
          <w:sz w:val="22"/>
          <w:szCs w:val="22"/>
        </w:rPr>
        <w:t>维生素Bg、维生素</w:t>
      </w:r>
      <w:r>
        <w:rPr>
          <w:rFonts w:ascii="宋体" w:eastAsia="宋体" w:hAnsi="宋体" w:cs="宋体"/>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₂</w:t>
      </w:r>
      <w:r>
        <w:rPr>
          <w:rFonts w:ascii="宋体" w:eastAsia="宋体" w:hAnsi="宋体" w:cs="宋体"/>
          <w:spacing w:val="-5"/>
          <w:sz w:val="22"/>
          <w:szCs w:val="22"/>
        </w:rPr>
        <w:t>z、烟酸、生物素、叶酸、泛酸、胆碱等，内脏中含有维生</w:t>
      </w:r>
      <w:r>
        <w:rPr>
          <w:rFonts w:ascii="宋体" w:eastAsia="宋体" w:hAnsi="宋体" w:cs="宋体"/>
          <w:spacing w:val="-6"/>
          <w:sz w:val="22"/>
          <w:szCs w:val="22"/>
        </w:rPr>
        <w:t>素A、</w:t>
      </w:r>
      <w:r>
        <w:rPr>
          <w:rFonts w:ascii="宋体" w:eastAsia="宋体" w:hAnsi="宋体" w:cs="宋体"/>
          <w:spacing w:val="-23"/>
          <w:sz w:val="22"/>
          <w:szCs w:val="22"/>
        </w:rPr>
        <w:t xml:space="preserve"> </w:t>
      </w:r>
      <w:r>
        <w:rPr>
          <w:rFonts w:ascii="宋体" w:eastAsia="宋体" w:hAnsi="宋体" w:cs="宋体"/>
          <w:spacing w:val="-6"/>
          <w:sz w:val="22"/>
          <w:szCs w:val="22"/>
        </w:rPr>
        <w:t>维生素</w:t>
      </w:r>
      <w:r>
        <w:rPr>
          <w:rFonts w:ascii="宋体" w:eastAsia="宋体" w:hAnsi="宋体" w:cs="宋体"/>
          <w:spacing w:val="-61"/>
          <w:sz w:val="22"/>
          <w:szCs w:val="22"/>
        </w:rPr>
        <w:t xml:space="preserve"> </w:t>
      </w:r>
      <w:r>
        <w:rPr>
          <w:rFonts w:ascii="宋体" w:eastAsia="宋体" w:hAnsi="宋体" w:cs="宋体"/>
          <w:spacing w:val="-6"/>
          <w:sz w:val="22"/>
          <w:szCs w:val="22"/>
        </w:rPr>
        <w:t>D、</w:t>
      </w:r>
      <w:r>
        <w:rPr>
          <w:rFonts w:ascii="宋体" w:eastAsia="宋体" w:hAnsi="宋体" w:cs="宋体"/>
          <w:sz w:val="22"/>
          <w:szCs w:val="22"/>
        </w:rPr>
        <w:t xml:space="preserve"> </w:t>
      </w:r>
      <w:r>
        <w:rPr>
          <w:rFonts w:ascii="宋体" w:eastAsia="宋体" w:hAnsi="宋体" w:cs="宋体"/>
          <w:spacing w:val="-5"/>
          <w:sz w:val="22"/>
          <w:szCs w:val="22"/>
        </w:rPr>
        <w:t>维生素E,</w:t>
      </w:r>
      <w:r>
        <w:rPr>
          <w:rFonts w:ascii="宋体" w:eastAsia="宋体" w:hAnsi="宋体" w:cs="宋体"/>
          <w:spacing w:val="25"/>
          <w:sz w:val="22"/>
          <w:szCs w:val="22"/>
        </w:rPr>
        <w:t xml:space="preserve"> </w:t>
      </w:r>
      <w:r>
        <w:rPr>
          <w:rFonts w:ascii="宋体" w:eastAsia="宋体" w:hAnsi="宋体" w:cs="宋体"/>
          <w:spacing w:val="-5"/>
          <w:sz w:val="22"/>
          <w:szCs w:val="22"/>
        </w:rPr>
        <w:t>但维生素C</w:t>
      </w:r>
      <w:r>
        <w:rPr>
          <w:rFonts w:ascii="宋体" w:eastAsia="宋体" w:hAnsi="宋体" w:cs="宋体"/>
          <w:spacing w:val="-33"/>
          <w:sz w:val="22"/>
          <w:szCs w:val="22"/>
        </w:rPr>
        <w:t xml:space="preserve"> </w:t>
      </w:r>
      <w:r>
        <w:rPr>
          <w:rFonts w:ascii="宋体" w:eastAsia="宋体" w:hAnsi="宋体" w:cs="宋体"/>
          <w:spacing w:val="-5"/>
          <w:sz w:val="22"/>
          <w:szCs w:val="22"/>
        </w:rPr>
        <w:t>含量甚微。</w:t>
      </w:r>
    </w:p>
    <w:p w:rsidR="00EA40A3" w:rsidRDefault="00E86C16">
      <w:pPr>
        <w:spacing w:before="86" w:line="243" w:lineRule="auto"/>
        <w:ind w:right="49" w:firstLine="419"/>
        <w:jc w:val="both"/>
        <w:rPr>
          <w:rFonts w:ascii="宋体" w:eastAsia="宋体" w:hAnsi="宋体" w:cs="宋体"/>
          <w:sz w:val="22"/>
          <w:szCs w:val="22"/>
        </w:rPr>
      </w:pPr>
      <w:r>
        <w:rPr>
          <w:rFonts w:ascii="宋体" w:eastAsia="宋体" w:hAnsi="宋体" w:cs="宋体"/>
          <w:spacing w:val="-6"/>
          <w:sz w:val="22"/>
          <w:szCs w:val="22"/>
        </w:rPr>
        <w:t>一般来说，畜肉是B</w:t>
      </w:r>
      <w:r>
        <w:rPr>
          <w:rFonts w:ascii="宋体" w:eastAsia="宋体" w:hAnsi="宋体" w:cs="宋体"/>
          <w:spacing w:val="-27"/>
          <w:sz w:val="22"/>
          <w:szCs w:val="22"/>
        </w:rPr>
        <w:t xml:space="preserve"> </w:t>
      </w:r>
      <w:r>
        <w:rPr>
          <w:rFonts w:ascii="宋体" w:eastAsia="宋体" w:hAnsi="宋体" w:cs="宋体"/>
          <w:spacing w:val="-6"/>
          <w:sz w:val="22"/>
          <w:szCs w:val="22"/>
        </w:rPr>
        <w:t>族维生素的良好来源，其中猪肉维</w:t>
      </w:r>
      <w:r>
        <w:rPr>
          <w:rFonts w:ascii="宋体" w:eastAsia="宋体" w:hAnsi="宋体" w:cs="宋体"/>
          <w:spacing w:val="-7"/>
          <w:sz w:val="22"/>
          <w:szCs w:val="22"/>
        </w:rPr>
        <w:t>生素B</w:t>
      </w:r>
      <w:r>
        <w:rPr>
          <w:rFonts w:ascii="Calibri" w:eastAsia="Calibri" w:hAnsi="Calibri" w:cs="Calibri"/>
          <w:spacing w:val="-7"/>
          <w:sz w:val="22"/>
          <w:szCs w:val="22"/>
        </w:rPr>
        <w:t>₁</w:t>
      </w:r>
      <w:r>
        <w:rPr>
          <w:rFonts w:ascii="Calibri" w:eastAsia="Calibri" w:hAnsi="Calibri" w:cs="Calibri"/>
          <w:spacing w:val="14"/>
          <w:w w:val="101"/>
          <w:sz w:val="22"/>
          <w:szCs w:val="22"/>
        </w:rPr>
        <w:t xml:space="preserve">  </w:t>
      </w:r>
      <w:r>
        <w:rPr>
          <w:rFonts w:ascii="宋体" w:eastAsia="宋体" w:hAnsi="宋体" w:cs="宋体"/>
          <w:spacing w:val="-7"/>
          <w:sz w:val="22"/>
          <w:szCs w:val="22"/>
        </w:rPr>
        <w:t>含量较高，</w:t>
      </w:r>
      <w:r>
        <w:rPr>
          <w:rFonts w:ascii="宋体" w:eastAsia="宋体" w:hAnsi="宋体" w:cs="宋体"/>
          <w:sz w:val="22"/>
          <w:szCs w:val="22"/>
        </w:rPr>
        <w:t xml:space="preserve"> </w:t>
      </w:r>
      <w:r>
        <w:rPr>
          <w:rFonts w:ascii="宋体" w:eastAsia="宋体" w:hAnsi="宋体" w:cs="宋体"/>
          <w:spacing w:val="-7"/>
          <w:sz w:val="22"/>
          <w:szCs w:val="22"/>
        </w:rPr>
        <w:t>达0.54mg/100mg,</w:t>
      </w:r>
      <w:r>
        <w:rPr>
          <w:rFonts w:ascii="宋体" w:eastAsia="宋体" w:hAnsi="宋体" w:cs="宋体"/>
          <w:spacing w:val="55"/>
          <w:sz w:val="22"/>
          <w:szCs w:val="22"/>
        </w:rPr>
        <w:t xml:space="preserve"> </w:t>
      </w:r>
      <w:r>
        <w:rPr>
          <w:rFonts w:ascii="宋体" w:eastAsia="宋体" w:hAnsi="宋体" w:cs="宋体"/>
          <w:spacing w:val="-7"/>
          <w:sz w:val="22"/>
          <w:szCs w:val="22"/>
        </w:rPr>
        <w:t>对于以精白米为主食的膳食是很好的补充。例如，猪腿肉的</w:t>
      </w:r>
      <w:r>
        <w:rPr>
          <w:rFonts w:ascii="宋体" w:eastAsia="宋体" w:hAnsi="宋体" w:cs="宋体"/>
          <w:sz w:val="22"/>
          <w:szCs w:val="22"/>
        </w:rPr>
        <w:t xml:space="preserve"> </w:t>
      </w:r>
      <w:r>
        <w:rPr>
          <w:rFonts w:ascii="宋体" w:eastAsia="宋体" w:hAnsi="宋体" w:cs="宋体"/>
          <w:spacing w:val="2"/>
          <w:sz w:val="22"/>
          <w:szCs w:val="22"/>
        </w:rPr>
        <w:t>维生素B</w:t>
      </w:r>
      <w:r>
        <w:rPr>
          <w:rFonts w:ascii="Calibri" w:eastAsia="Calibri" w:hAnsi="Calibri" w:cs="Calibri"/>
          <w:spacing w:val="2"/>
          <w:sz w:val="22"/>
          <w:szCs w:val="22"/>
        </w:rPr>
        <w:t>₁</w:t>
      </w:r>
      <w:r>
        <w:rPr>
          <w:rFonts w:ascii="Calibri" w:eastAsia="Calibri" w:hAnsi="Calibri" w:cs="Calibri"/>
          <w:spacing w:val="-26"/>
          <w:sz w:val="22"/>
          <w:szCs w:val="22"/>
        </w:rPr>
        <w:t xml:space="preserve"> </w:t>
      </w:r>
      <w:r>
        <w:rPr>
          <w:rFonts w:ascii="宋体" w:eastAsia="宋体" w:hAnsi="宋体" w:cs="宋体"/>
          <w:spacing w:val="2"/>
          <w:sz w:val="22"/>
          <w:szCs w:val="22"/>
        </w:rPr>
        <w:t>、</w:t>
      </w:r>
      <w:r>
        <w:rPr>
          <w:rFonts w:ascii="宋体" w:eastAsia="宋体" w:hAnsi="宋体" w:cs="宋体"/>
          <w:spacing w:val="-61"/>
          <w:sz w:val="22"/>
          <w:szCs w:val="22"/>
        </w:rPr>
        <w:t xml:space="preserve"> </w:t>
      </w:r>
      <w:r>
        <w:rPr>
          <w:rFonts w:ascii="宋体" w:eastAsia="宋体" w:hAnsi="宋体" w:cs="宋体"/>
          <w:spacing w:val="2"/>
          <w:sz w:val="22"/>
          <w:szCs w:val="22"/>
        </w:rPr>
        <w:t>维生素B2</w:t>
      </w:r>
      <w:r>
        <w:rPr>
          <w:rFonts w:ascii="宋体" w:eastAsia="宋体" w:hAnsi="宋体" w:cs="宋体"/>
          <w:spacing w:val="-37"/>
          <w:sz w:val="22"/>
          <w:szCs w:val="22"/>
        </w:rPr>
        <w:t xml:space="preserve"> </w:t>
      </w:r>
      <w:r>
        <w:rPr>
          <w:rFonts w:ascii="宋体" w:eastAsia="宋体" w:hAnsi="宋体" w:cs="宋体"/>
          <w:spacing w:val="2"/>
          <w:sz w:val="22"/>
          <w:szCs w:val="22"/>
        </w:rPr>
        <w:t>和尼克酸含量分别为0.53</w:t>
      </w:r>
      <w:r>
        <w:rPr>
          <w:rFonts w:ascii="宋体" w:eastAsia="宋体" w:hAnsi="宋体" w:cs="宋体"/>
          <w:spacing w:val="3"/>
          <w:sz w:val="22"/>
          <w:szCs w:val="22"/>
        </w:rPr>
        <w:t xml:space="preserve"> </w:t>
      </w:r>
      <w:r>
        <w:rPr>
          <w:rFonts w:ascii="宋体" w:eastAsia="宋体" w:hAnsi="宋体" w:cs="宋体"/>
          <w:sz w:val="22"/>
          <w:szCs w:val="22"/>
        </w:rPr>
        <w:t>mg</w:t>
      </w:r>
      <w:r>
        <w:rPr>
          <w:rFonts w:ascii="宋体" w:eastAsia="宋体" w:hAnsi="宋体" w:cs="宋体"/>
          <w:spacing w:val="2"/>
          <w:sz w:val="22"/>
          <w:szCs w:val="22"/>
        </w:rPr>
        <w:t>/100g、0</w:t>
      </w:r>
      <w:r>
        <w:rPr>
          <w:rFonts w:ascii="宋体" w:eastAsia="宋体" w:hAnsi="宋体" w:cs="宋体"/>
          <w:spacing w:val="1"/>
          <w:sz w:val="22"/>
          <w:szCs w:val="22"/>
        </w:rPr>
        <w:t>.24</w:t>
      </w:r>
      <w:r>
        <w:rPr>
          <w:rFonts w:ascii="宋体" w:eastAsia="宋体" w:hAnsi="宋体" w:cs="宋体"/>
          <w:spacing w:val="3"/>
          <w:sz w:val="22"/>
          <w:szCs w:val="22"/>
        </w:rPr>
        <w:t xml:space="preserve"> </w:t>
      </w:r>
      <w:r>
        <w:rPr>
          <w:rFonts w:ascii="宋体" w:eastAsia="宋体" w:hAnsi="宋体" w:cs="宋体"/>
          <w:sz w:val="22"/>
          <w:szCs w:val="22"/>
        </w:rPr>
        <w:t>mg</w:t>
      </w:r>
      <w:r>
        <w:rPr>
          <w:rFonts w:ascii="宋体" w:eastAsia="宋体" w:hAnsi="宋体" w:cs="宋体"/>
          <w:spacing w:val="1"/>
          <w:sz w:val="22"/>
          <w:szCs w:val="22"/>
        </w:rPr>
        <w:t>/100g</w:t>
      </w:r>
      <w:r>
        <w:rPr>
          <w:rFonts w:ascii="宋体" w:eastAsia="宋体" w:hAnsi="宋体" w:cs="宋体"/>
          <w:spacing w:val="-48"/>
          <w:sz w:val="22"/>
          <w:szCs w:val="22"/>
        </w:rPr>
        <w:t xml:space="preserve"> </w:t>
      </w:r>
      <w:r>
        <w:rPr>
          <w:rFonts w:ascii="宋体" w:eastAsia="宋体" w:hAnsi="宋体" w:cs="宋体"/>
          <w:spacing w:val="1"/>
          <w:sz w:val="22"/>
          <w:szCs w:val="22"/>
        </w:rPr>
        <w:t>和</w:t>
      </w:r>
      <w:r>
        <w:rPr>
          <w:rFonts w:ascii="宋体" w:eastAsia="宋体" w:hAnsi="宋体" w:cs="宋体"/>
          <w:sz w:val="22"/>
          <w:szCs w:val="22"/>
        </w:rPr>
        <w:t xml:space="preserve"> </w:t>
      </w:r>
      <w:r>
        <w:rPr>
          <w:rFonts w:ascii="宋体" w:eastAsia="宋体" w:hAnsi="宋体" w:cs="宋体"/>
          <w:spacing w:val="1"/>
          <w:sz w:val="22"/>
          <w:szCs w:val="22"/>
        </w:rPr>
        <w:t>4.9</w:t>
      </w:r>
      <w:r>
        <w:rPr>
          <w:rFonts w:ascii="宋体" w:eastAsia="宋体" w:hAnsi="宋体" w:cs="宋体"/>
          <w:sz w:val="22"/>
          <w:szCs w:val="22"/>
        </w:rPr>
        <w:t>mg</w:t>
      </w:r>
      <w:r>
        <w:rPr>
          <w:rFonts w:ascii="宋体" w:eastAsia="宋体" w:hAnsi="宋体" w:cs="宋体"/>
          <w:spacing w:val="1"/>
          <w:sz w:val="22"/>
          <w:szCs w:val="22"/>
        </w:rPr>
        <w:t>/100g。</w:t>
      </w:r>
      <w:r>
        <w:rPr>
          <w:rFonts w:ascii="宋体" w:eastAsia="宋体" w:hAnsi="宋体" w:cs="宋体"/>
          <w:spacing w:val="29"/>
          <w:sz w:val="22"/>
          <w:szCs w:val="22"/>
        </w:rPr>
        <w:t xml:space="preserve"> </w:t>
      </w:r>
      <w:r>
        <w:rPr>
          <w:rFonts w:ascii="宋体" w:eastAsia="宋体" w:hAnsi="宋体" w:cs="宋体"/>
          <w:spacing w:val="1"/>
          <w:sz w:val="22"/>
          <w:szCs w:val="22"/>
        </w:rPr>
        <w:t>不同家畜肉中维生素</w:t>
      </w:r>
      <w:r>
        <w:rPr>
          <w:rFonts w:ascii="宋体" w:eastAsia="宋体" w:hAnsi="宋体" w:cs="宋体"/>
          <w:spacing w:val="-61"/>
          <w:sz w:val="22"/>
          <w:szCs w:val="22"/>
        </w:rPr>
        <w:t xml:space="preserve"> </w:t>
      </w:r>
      <w:r>
        <w:rPr>
          <w:rFonts w:ascii="宋体" w:eastAsia="宋体" w:hAnsi="宋体" w:cs="宋体"/>
          <w:spacing w:val="1"/>
          <w:sz w:val="22"/>
          <w:szCs w:val="22"/>
        </w:rPr>
        <w:t>B2</w:t>
      </w:r>
      <w:r>
        <w:rPr>
          <w:rFonts w:ascii="宋体" w:eastAsia="宋体" w:hAnsi="宋体" w:cs="宋体"/>
          <w:spacing w:val="-36"/>
          <w:sz w:val="22"/>
          <w:szCs w:val="22"/>
        </w:rPr>
        <w:t xml:space="preserve"> </w:t>
      </w:r>
      <w:r>
        <w:rPr>
          <w:rFonts w:ascii="宋体" w:eastAsia="宋体" w:hAnsi="宋体" w:cs="宋体"/>
          <w:spacing w:val="1"/>
          <w:sz w:val="22"/>
          <w:szCs w:val="22"/>
        </w:rPr>
        <w:t>含量的差异不大，约为0.1～</w:t>
      </w:r>
      <w:r>
        <w:rPr>
          <w:rFonts w:ascii="宋体" w:eastAsia="宋体" w:hAnsi="宋体" w:cs="宋体"/>
          <w:sz w:val="22"/>
          <w:szCs w:val="22"/>
        </w:rPr>
        <w:t xml:space="preserve">0.2mg/ </w:t>
      </w:r>
      <w:r>
        <w:rPr>
          <w:rFonts w:ascii="宋体" w:eastAsia="宋体" w:hAnsi="宋体" w:cs="宋体"/>
          <w:spacing w:val="-16"/>
          <w:sz w:val="22"/>
          <w:szCs w:val="22"/>
        </w:rPr>
        <w:t>100mg。</w:t>
      </w:r>
      <w:r>
        <w:rPr>
          <w:rFonts w:ascii="宋体" w:eastAsia="宋体" w:hAnsi="宋体" w:cs="宋体"/>
          <w:spacing w:val="26"/>
          <w:sz w:val="22"/>
          <w:szCs w:val="22"/>
        </w:rPr>
        <w:t xml:space="preserve"> </w:t>
      </w:r>
      <w:r>
        <w:rPr>
          <w:rFonts w:ascii="宋体" w:eastAsia="宋体" w:hAnsi="宋体" w:cs="宋体"/>
          <w:spacing w:val="-16"/>
          <w:sz w:val="22"/>
          <w:szCs w:val="22"/>
        </w:rPr>
        <w:t>牛肉中烟酸和叶酸含量较高。</w:t>
      </w:r>
    </w:p>
    <w:p w:rsidR="00EA40A3" w:rsidRDefault="00E86C16">
      <w:pPr>
        <w:spacing w:before="72" w:line="219" w:lineRule="auto"/>
        <w:ind w:left="419"/>
        <w:rPr>
          <w:rFonts w:ascii="宋体" w:eastAsia="宋体" w:hAnsi="宋体" w:cs="宋体"/>
          <w:sz w:val="22"/>
          <w:szCs w:val="22"/>
        </w:rPr>
      </w:pPr>
      <w:r>
        <w:rPr>
          <w:rFonts w:ascii="宋体" w:eastAsia="宋体" w:hAnsi="宋体" w:cs="宋体"/>
          <w:spacing w:val="-13"/>
          <w:sz w:val="22"/>
          <w:szCs w:val="22"/>
        </w:rPr>
        <w:t>家畜内脏含有多种维生素。其中肝是各种维生素在动物体内的储藏场所，是</w:t>
      </w:r>
    </w:p>
    <w:p w:rsidR="00EA40A3" w:rsidRDefault="00E86C16">
      <w:pPr>
        <w:spacing w:before="45"/>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6"/>
          <w:sz w:val="18"/>
          <w:szCs w:val="18"/>
        </w:rPr>
        <w:t xml:space="preserve"> </w:t>
      </w:r>
      <w:r>
        <w:rPr>
          <w:rFonts w:ascii="宋体" w:eastAsia="宋体" w:hAnsi="宋体" w:cs="宋体"/>
          <w:spacing w:val="-27"/>
          <w:sz w:val="18"/>
          <w:szCs w:val="18"/>
        </w:rPr>
        <w:t>210</w:t>
      </w:r>
      <w:r>
        <w:rPr>
          <w:rFonts w:ascii="宋体" w:eastAsia="宋体" w:hAnsi="宋体" w:cs="宋体"/>
          <w:spacing w:val="44"/>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181"/>
          <w:pgSz w:w="9220" w:h="13360"/>
          <w:pgMar w:top="400" w:right="1000" w:bottom="400" w:left="869" w:header="0" w:footer="0" w:gutter="0"/>
          <w:cols w:space="720"/>
        </w:sectPr>
      </w:pPr>
    </w:p>
    <w:p w:rsidR="00EA40A3" w:rsidRDefault="00EA40A3">
      <w:pPr>
        <w:spacing w:line="283" w:lineRule="auto"/>
      </w:pPr>
    </w:p>
    <w:p w:rsidR="00EA40A3" w:rsidRDefault="00EA40A3">
      <w:pPr>
        <w:spacing w:line="283" w:lineRule="auto"/>
      </w:pPr>
    </w:p>
    <w:p w:rsidR="00EA40A3" w:rsidRDefault="00E86C16">
      <w:pPr>
        <w:spacing w:before="68" w:line="262" w:lineRule="auto"/>
        <w:ind w:right="82"/>
        <w:jc w:val="both"/>
        <w:rPr>
          <w:rFonts w:ascii="宋体" w:eastAsia="宋体" w:hAnsi="宋体" w:cs="宋体"/>
        </w:rPr>
      </w:pPr>
      <w:bookmarkStart w:id="51" w:name="_bookmark55"/>
      <w:bookmarkEnd w:id="51"/>
      <w:r>
        <w:rPr>
          <w:rFonts w:ascii="宋体" w:eastAsia="宋体" w:hAnsi="宋体" w:cs="宋体"/>
          <w:spacing w:val="-1"/>
        </w:rPr>
        <w:t>维生素A、</w:t>
      </w:r>
      <w:r>
        <w:rPr>
          <w:rFonts w:ascii="宋体" w:eastAsia="宋体" w:hAnsi="宋体" w:cs="宋体"/>
          <w:spacing w:val="-15"/>
        </w:rPr>
        <w:t xml:space="preserve"> </w:t>
      </w:r>
      <w:r>
        <w:rPr>
          <w:rFonts w:ascii="宋体" w:eastAsia="宋体" w:hAnsi="宋体" w:cs="宋体"/>
          <w:spacing w:val="-1"/>
        </w:rPr>
        <w:t>维生素D、</w:t>
      </w:r>
      <w:r>
        <w:rPr>
          <w:rFonts w:ascii="宋体" w:eastAsia="宋体" w:hAnsi="宋体" w:cs="宋体"/>
          <w:spacing w:val="-24"/>
        </w:rPr>
        <w:t xml:space="preserve"> </w:t>
      </w:r>
      <w:r>
        <w:rPr>
          <w:rFonts w:ascii="宋体" w:eastAsia="宋体" w:hAnsi="宋体" w:cs="宋体"/>
          <w:spacing w:val="-1"/>
        </w:rPr>
        <w:t>维生素</w:t>
      </w:r>
      <w:r>
        <w:rPr>
          <w:rFonts w:ascii="宋体" w:eastAsia="宋体" w:hAnsi="宋体" w:cs="宋体"/>
          <w:spacing w:val="-53"/>
        </w:rPr>
        <w:t xml:space="preserve"> </w:t>
      </w:r>
      <w:r>
        <w:rPr>
          <w:rFonts w:ascii="宋体" w:eastAsia="宋体" w:hAnsi="宋体" w:cs="宋体"/>
          <w:spacing w:val="-1"/>
        </w:rPr>
        <w:t>B</w:t>
      </w:r>
      <w:r>
        <w:rPr>
          <w:rFonts w:ascii="Calibri" w:eastAsia="Calibri" w:hAnsi="Calibri" w:cs="Calibri"/>
          <w:spacing w:val="-1"/>
        </w:rPr>
        <w:t>₂</w:t>
      </w:r>
      <w:r>
        <w:rPr>
          <w:rFonts w:ascii="Calibri" w:eastAsia="Calibri" w:hAnsi="Calibri" w:cs="Calibri"/>
          <w:spacing w:val="1"/>
        </w:rPr>
        <w:t xml:space="preserve">  </w:t>
      </w:r>
      <w:r>
        <w:rPr>
          <w:rFonts w:ascii="宋体" w:eastAsia="宋体" w:hAnsi="宋体" w:cs="宋体"/>
          <w:spacing w:val="-1"/>
        </w:rPr>
        <w:t>的极好来源，生物素、叶酸、维生素</w:t>
      </w:r>
      <w:r>
        <w:rPr>
          <w:rFonts w:ascii="宋体" w:eastAsia="宋体" w:hAnsi="宋体" w:cs="宋体"/>
          <w:spacing w:val="-2"/>
        </w:rPr>
        <w:t>B</w:t>
      </w:r>
      <w:r>
        <w:rPr>
          <w:rFonts w:ascii="Calibri" w:eastAsia="Calibri" w:hAnsi="Calibri" w:cs="Calibri"/>
          <w:spacing w:val="-2"/>
        </w:rPr>
        <w:t>₂</w:t>
      </w:r>
      <w:r>
        <w:rPr>
          <w:rFonts w:ascii="Calibri" w:eastAsia="Calibri" w:hAnsi="Calibri" w:cs="Calibri"/>
          <w:spacing w:val="7"/>
        </w:rPr>
        <w:t xml:space="preserve">  </w:t>
      </w:r>
      <w:r>
        <w:rPr>
          <w:rFonts w:ascii="宋体" w:eastAsia="宋体" w:hAnsi="宋体" w:cs="宋体"/>
          <w:spacing w:val="-2"/>
        </w:rPr>
        <w:t>等维生</w:t>
      </w:r>
      <w:r>
        <w:rPr>
          <w:rFonts w:ascii="宋体" w:eastAsia="宋体" w:hAnsi="宋体" w:cs="宋体"/>
        </w:rPr>
        <w:t xml:space="preserve"> </w:t>
      </w:r>
      <w:r>
        <w:rPr>
          <w:rFonts w:ascii="宋体" w:eastAsia="宋体" w:hAnsi="宋体" w:cs="宋体"/>
          <w:spacing w:val="2"/>
        </w:rPr>
        <w:t>素的含量也都不同程度地高于畜肉。羊肝中的维生素</w:t>
      </w:r>
      <w:r>
        <w:rPr>
          <w:rFonts w:ascii="宋体" w:eastAsia="宋体" w:hAnsi="宋体" w:cs="宋体"/>
          <w:spacing w:val="-55"/>
        </w:rPr>
        <w:t xml:space="preserve"> </w:t>
      </w:r>
      <w:r>
        <w:rPr>
          <w:rFonts w:ascii="宋体" w:eastAsia="宋体" w:hAnsi="宋体" w:cs="宋体"/>
          <w:spacing w:val="2"/>
        </w:rPr>
        <w:t>A</w:t>
      </w:r>
      <w:r>
        <w:rPr>
          <w:rFonts w:ascii="宋体" w:eastAsia="宋体" w:hAnsi="宋体" w:cs="宋体"/>
          <w:spacing w:val="1"/>
        </w:rPr>
        <w:t xml:space="preserve"> </w:t>
      </w:r>
      <w:r>
        <w:rPr>
          <w:rFonts w:ascii="宋体" w:eastAsia="宋体" w:hAnsi="宋体" w:cs="宋体"/>
          <w:spacing w:val="2"/>
        </w:rPr>
        <w:t>含量</w:t>
      </w:r>
      <w:r>
        <w:rPr>
          <w:rFonts w:ascii="宋体" w:eastAsia="宋体" w:hAnsi="宋体" w:cs="宋体"/>
          <w:spacing w:val="1"/>
        </w:rPr>
        <w:t>高于猪肝，我国中</w:t>
      </w:r>
      <w:r>
        <w:rPr>
          <w:rFonts w:ascii="宋体" w:eastAsia="宋体" w:hAnsi="宋体" w:cs="宋体"/>
        </w:rPr>
        <w:t xml:space="preserve"> </w:t>
      </w:r>
      <w:r>
        <w:rPr>
          <w:rFonts w:ascii="宋体" w:eastAsia="宋体" w:hAnsi="宋体" w:cs="宋体"/>
          <w:spacing w:val="2"/>
        </w:rPr>
        <w:t>医学很早就懂得用羊肝来治疗因维生素A</w:t>
      </w:r>
      <w:r>
        <w:rPr>
          <w:rFonts w:ascii="宋体" w:eastAsia="宋体" w:hAnsi="宋体" w:cs="宋体"/>
          <w:spacing w:val="29"/>
        </w:rPr>
        <w:t xml:space="preserve"> </w:t>
      </w:r>
      <w:r>
        <w:rPr>
          <w:rFonts w:ascii="宋体" w:eastAsia="宋体" w:hAnsi="宋体" w:cs="宋体"/>
          <w:spacing w:val="2"/>
        </w:rPr>
        <w:t>缺乏引起的夜盲症。除此之外，肝脏</w:t>
      </w:r>
      <w:r>
        <w:rPr>
          <w:rFonts w:ascii="宋体" w:eastAsia="宋体" w:hAnsi="宋体" w:cs="宋体"/>
        </w:rPr>
        <w:t xml:space="preserve"> </w:t>
      </w:r>
      <w:r>
        <w:rPr>
          <w:rFonts w:ascii="宋体" w:eastAsia="宋体" w:hAnsi="宋体" w:cs="宋体"/>
          <w:spacing w:val="-2"/>
        </w:rPr>
        <w:t>中还含有少量维生素C</w:t>
      </w:r>
      <w:r>
        <w:rPr>
          <w:rFonts w:ascii="宋体" w:eastAsia="宋体" w:hAnsi="宋体" w:cs="宋体"/>
          <w:spacing w:val="-10"/>
        </w:rPr>
        <w:t xml:space="preserve"> </w:t>
      </w:r>
      <w:r>
        <w:rPr>
          <w:rFonts w:ascii="宋体" w:eastAsia="宋体" w:hAnsi="宋体" w:cs="宋体"/>
          <w:spacing w:val="-2"/>
        </w:rPr>
        <w:t>和维生素E。</w:t>
      </w:r>
      <w:r>
        <w:rPr>
          <w:rFonts w:ascii="宋体" w:eastAsia="宋体" w:hAnsi="宋体" w:cs="宋体"/>
          <w:spacing w:val="-33"/>
        </w:rPr>
        <w:t xml:space="preserve"> </w:t>
      </w:r>
      <w:r>
        <w:rPr>
          <w:rFonts w:ascii="宋体" w:eastAsia="宋体" w:hAnsi="宋体" w:cs="宋体"/>
          <w:spacing w:val="-2"/>
        </w:rPr>
        <w:t>心、肾等内脏的维生素含量均较瘦肉高。此</w:t>
      </w:r>
      <w:r>
        <w:rPr>
          <w:rFonts w:ascii="宋体" w:eastAsia="宋体" w:hAnsi="宋体" w:cs="宋体"/>
        </w:rPr>
        <w:t xml:space="preserve"> </w:t>
      </w:r>
      <w:r>
        <w:rPr>
          <w:rFonts w:ascii="宋体" w:eastAsia="宋体" w:hAnsi="宋体" w:cs="宋体"/>
          <w:spacing w:val="-1"/>
        </w:rPr>
        <w:t>外，肝脏中还含有少量维生素C</w:t>
      </w:r>
      <w:r>
        <w:rPr>
          <w:rFonts w:ascii="宋体" w:eastAsia="宋体" w:hAnsi="宋体" w:cs="宋体"/>
          <w:spacing w:val="16"/>
        </w:rPr>
        <w:t xml:space="preserve"> </w:t>
      </w:r>
      <w:r>
        <w:rPr>
          <w:rFonts w:ascii="宋体" w:eastAsia="宋体" w:hAnsi="宋体" w:cs="宋体"/>
          <w:spacing w:val="-1"/>
        </w:rPr>
        <w:t>和维生素E。</w:t>
      </w:r>
    </w:p>
    <w:p w:rsidR="00EA40A3" w:rsidRDefault="00E86C16">
      <w:pPr>
        <w:spacing w:before="69" w:line="242" w:lineRule="auto"/>
        <w:ind w:right="4" w:firstLine="479"/>
        <w:rPr>
          <w:rFonts w:ascii="宋体" w:eastAsia="宋体" w:hAnsi="宋体" w:cs="宋体"/>
        </w:rPr>
      </w:pPr>
      <w:r>
        <w:rPr>
          <w:rFonts w:ascii="宋体" w:eastAsia="宋体" w:hAnsi="宋体" w:cs="宋体"/>
          <w:spacing w:val="-1"/>
        </w:rPr>
        <w:t>但是，瘦肉中的维生素A、</w:t>
      </w:r>
      <w:r>
        <w:rPr>
          <w:rFonts w:ascii="宋体" w:eastAsia="宋体" w:hAnsi="宋体" w:cs="宋体"/>
          <w:spacing w:val="-10"/>
        </w:rPr>
        <w:t xml:space="preserve"> </w:t>
      </w:r>
      <w:r>
        <w:rPr>
          <w:rFonts w:ascii="宋体" w:eastAsia="宋体" w:hAnsi="宋体" w:cs="宋体"/>
          <w:spacing w:val="-1"/>
        </w:rPr>
        <w:t>维生素D、</w:t>
      </w:r>
      <w:r>
        <w:rPr>
          <w:rFonts w:ascii="宋体" w:eastAsia="宋体" w:hAnsi="宋体" w:cs="宋体"/>
          <w:spacing w:val="-23"/>
        </w:rPr>
        <w:t xml:space="preserve"> </w:t>
      </w:r>
      <w:r>
        <w:rPr>
          <w:rFonts w:ascii="宋体" w:eastAsia="宋体" w:hAnsi="宋体" w:cs="宋体"/>
          <w:spacing w:val="-1"/>
        </w:rPr>
        <w:t>维生素E</w:t>
      </w:r>
      <w:r>
        <w:rPr>
          <w:rFonts w:ascii="宋体" w:eastAsia="宋体" w:hAnsi="宋体" w:cs="宋体"/>
          <w:spacing w:val="-15"/>
        </w:rPr>
        <w:t xml:space="preserve"> </w:t>
      </w:r>
      <w:r>
        <w:rPr>
          <w:rFonts w:ascii="宋体" w:eastAsia="宋体" w:hAnsi="宋体" w:cs="宋体"/>
          <w:spacing w:val="-1"/>
        </w:rPr>
        <w:t>均很少。肥肉中主要成分是</w:t>
      </w:r>
      <w:r>
        <w:rPr>
          <w:rFonts w:ascii="宋体" w:eastAsia="宋体" w:hAnsi="宋体" w:cs="宋体"/>
        </w:rPr>
        <w:t xml:space="preserve"> </w:t>
      </w:r>
      <w:r>
        <w:rPr>
          <w:rFonts w:ascii="宋体" w:eastAsia="宋体" w:hAnsi="宋体" w:cs="宋体"/>
          <w:spacing w:val="-7"/>
        </w:rPr>
        <w:t>脂肪，维生素含量较低。</w:t>
      </w:r>
    </w:p>
    <w:p w:rsidR="00EA40A3" w:rsidRDefault="00E86C16">
      <w:pPr>
        <w:spacing w:before="70" w:line="227" w:lineRule="auto"/>
        <w:rPr>
          <w:rFonts w:ascii="楷体" w:eastAsia="楷体" w:hAnsi="楷体" w:cs="楷体"/>
        </w:rPr>
      </w:pPr>
      <w:r>
        <w:rPr>
          <w:rFonts w:ascii="楷体" w:eastAsia="楷体" w:hAnsi="楷体" w:cs="楷体"/>
          <w:spacing w:val="15"/>
        </w:rPr>
        <w:t>4)矿物质</w:t>
      </w:r>
    </w:p>
    <w:p w:rsidR="00EA40A3" w:rsidRDefault="00E86C16">
      <w:pPr>
        <w:spacing w:before="27" w:line="256" w:lineRule="auto"/>
        <w:ind w:right="15" w:firstLine="479"/>
        <w:rPr>
          <w:rFonts w:ascii="宋体" w:eastAsia="宋体" w:hAnsi="宋体" w:cs="宋体"/>
        </w:rPr>
      </w:pPr>
      <w:r>
        <w:rPr>
          <w:rFonts w:ascii="宋体" w:eastAsia="宋体" w:hAnsi="宋体" w:cs="宋体"/>
          <w:spacing w:val="13"/>
        </w:rPr>
        <w:t>畜肉中含矿物质1%～2%,是铁、锰、锌、铜、硒等微量元素的重要膳食</w:t>
      </w:r>
      <w:r>
        <w:rPr>
          <w:rFonts w:ascii="宋体" w:eastAsia="宋体" w:hAnsi="宋体" w:cs="宋体"/>
          <w:spacing w:val="4"/>
        </w:rPr>
        <w:t xml:space="preserve"> </w:t>
      </w:r>
      <w:r>
        <w:rPr>
          <w:rFonts w:ascii="宋体" w:eastAsia="宋体" w:hAnsi="宋体" w:cs="宋体"/>
          <w:spacing w:val="-3"/>
        </w:rPr>
        <w:t>来源。其中钠和磷含量较高，钾含量则低于蔬菜、水果、豆类、粗粮等植物性食</w:t>
      </w:r>
      <w:r>
        <w:rPr>
          <w:rFonts w:ascii="宋体" w:eastAsia="宋体" w:hAnsi="宋体" w:cs="宋体"/>
          <w:spacing w:val="13"/>
        </w:rPr>
        <w:t xml:space="preserve"> </w:t>
      </w:r>
      <w:r>
        <w:rPr>
          <w:rFonts w:ascii="宋体" w:eastAsia="宋体" w:hAnsi="宋体" w:cs="宋体"/>
          <w:spacing w:val="-7"/>
        </w:rPr>
        <w:t>品，钙含量很低。</w:t>
      </w:r>
    </w:p>
    <w:p w:rsidR="00EA40A3" w:rsidRDefault="00E86C16">
      <w:pPr>
        <w:spacing w:before="69" w:line="261" w:lineRule="auto"/>
        <w:ind w:firstLine="479"/>
        <w:rPr>
          <w:rFonts w:ascii="宋体" w:eastAsia="宋体" w:hAnsi="宋体" w:cs="宋体"/>
        </w:rPr>
      </w:pPr>
      <w:r>
        <w:rPr>
          <w:rFonts w:ascii="宋体" w:eastAsia="宋体" w:hAnsi="宋体" w:cs="宋体"/>
          <w:spacing w:val="-3"/>
        </w:rPr>
        <w:t>肉类中的铁以血红素铁的形式存在，生物利用率高，吸收率不受食物中各种</w:t>
      </w:r>
      <w:r>
        <w:rPr>
          <w:rFonts w:ascii="宋体" w:eastAsia="宋体" w:hAnsi="宋体" w:cs="宋体"/>
          <w:spacing w:val="13"/>
        </w:rPr>
        <w:t xml:space="preserve"> </w:t>
      </w:r>
      <w:r>
        <w:rPr>
          <w:rFonts w:ascii="宋体" w:eastAsia="宋体" w:hAnsi="宋体" w:cs="宋体"/>
        </w:rPr>
        <w:t>干扰物质的影响。颜色深红的肉类所含的血红</w:t>
      </w:r>
      <w:r>
        <w:rPr>
          <w:rFonts w:ascii="宋体" w:eastAsia="宋体" w:hAnsi="宋体" w:cs="宋体"/>
          <w:spacing w:val="-1"/>
        </w:rPr>
        <w:t>素铁较颜色淡红的肉类高。此外，</w:t>
      </w:r>
      <w:r>
        <w:rPr>
          <w:rFonts w:ascii="宋体" w:eastAsia="宋体" w:hAnsi="宋体" w:cs="宋体"/>
        </w:rPr>
        <w:t xml:space="preserve"> </w:t>
      </w:r>
      <w:r>
        <w:rPr>
          <w:rFonts w:ascii="宋体" w:eastAsia="宋体" w:hAnsi="宋体" w:cs="宋体"/>
          <w:spacing w:val="-4"/>
        </w:rPr>
        <w:t>畜肉中锌、铜、硒等微量元素较丰富，且其吸收利用率比植物性食品高。</w:t>
      </w:r>
    </w:p>
    <w:p w:rsidR="00EA40A3" w:rsidRDefault="00E86C16">
      <w:pPr>
        <w:spacing w:before="34" w:line="243" w:lineRule="auto"/>
        <w:ind w:right="16" w:firstLine="479"/>
        <w:rPr>
          <w:rFonts w:ascii="宋体" w:eastAsia="宋体" w:hAnsi="宋体" w:cs="宋体"/>
        </w:rPr>
      </w:pPr>
      <w:r>
        <w:rPr>
          <w:rFonts w:ascii="宋体" w:eastAsia="宋体" w:hAnsi="宋体" w:cs="宋体"/>
          <w:spacing w:val="7"/>
        </w:rPr>
        <w:t>畜肉中钙含量很低，例如猪肉的含钙量仅为6</w:t>
      </w:r>
      <w:r>
        <w:rPr>
          <w:rFonts w:ascii="宋体" w:eastAsia="宋体" w:hAnsi="宋体" w:cs="宋体"/>
        </w:rPr>
        <w:t>mg</w:t>
      </w:r>
      <w:r>
        <w:rPr>
          <w:rFonts w:ascii="宋体" w:eastAsia="宋体" w:hAnsi="宋体" w:cs="宋体"/>
          <w:spacing w:val="7"/>
        </w:rPr>
        <w:t>/10</w:t>
      </w:r>
      <w:r>
        <w:rPr>
          <w:rFonts w:ascii="宋体" w:eastAsia="宋体" w:hAnsi="宋体" w:cs="宋体"/>
          <w:spacing w:val="6"/>
        </w:rPr>
        <w:t>0g</w:t>
      </w:r>
      <w:r>
        <w:rPr>
          <w:rFonts w:ascii="宋体" w:eastAsia="宋体" w:hAnsi="宋体" w:cs="宋体"/>
          <w:spacing w:val="2"/>
        </w:rPr>
        <w:t xml:space="preserve"> </w:t>
      </w:r>
      <w:r>
        <w:rPr>
          <w:rFonts w:ascii="宋体" w:eastAsia="宋体" w:hAnsi="宋体" w:cs="宋体"/>
          <w:spacing w:val="6"/>
        </w:rPr>
        <w:t>左右，而磷含量较</w:t>
      </w:r>
      <w:r>
        <w:rPr>
          <w:rFonts w:ascii="宋体" w:eastAsia="宋体" w:hAnsi="宋体" w:cs="宋体"/>
        </w:rPr>
        <w:t xml:space="preserve"> </w:t>
      </w:r>
      <w:r>
        <w:rPr>
          <w:rFonts w:ascii="宋体" w:eastAsia="宋体" w:hAnsi="宋体" w:cs="宋体"/>
          <w:spacing w:val="1"/>
        </w:rPr>
        <w:t>高，达120～180</w:t>
      </w:r>
      <w:r>
        <w:rPr>
          <w:rFonts w:ascii="宋体" w:eastAsia="宋体" w:hAnsi="宋体" w:cs="宋体"/>
        </w:rPr>
        <w:t>mg</w:t>
      </w:r>
      <w:r>
        <w:rPr>
          <w:rFonts w:ascii="宋体" w:eastAsia="宋体" w:hAnsi="宋体" w:cs="宋体"/>
          <w:spacing w:val="1"/>
        </w:rPr>
        <w:t>/100g。</w:t>
      </w:r>
    </w:p>
    <w:p w:rsidR="00EA40A3" w:rsidRDefault="00E86C16">
      <w:pPr>
        <w:spacing w:before="61" w:line="264" w:lineRule="auto"/>
        <w:ind w:right="2" w:firstLine="479"/>
        <w:rPr>
          <w:rFonts w:ascii="宋体" w:eastAsia="宋体" w:hAnsi="宋体" w:cs="宋体"/>
        </w:rPr>
      </w:pPr>
      <w:r>
        <w:rPr>
          <w:rFonts w:ascii="宋体" w:eastAsia="宋体" w:hAnsi="宋体" w:cs="宋体"/>
          <w:spacing w:val="-2"/>
        </w:rPr>
        <w:t>家畜内脏富含多种矿物质。肝脏、肾脏和脾脏中</w:t>
      </w:r>
      <w:r>
        <w:rPr>
          <w:rFonts w:ascii="宋体" w:eastAsia="宋体" w:hAnsi="宋体" w:cs="宋体"/>
          <w:spacing w:val="-3"/>
        </w:rPr>
        <w:t>富含磷和铁，并且铁含量明</w:t>
      </w:r>
      <w:r>
        <w:rPr>
          <w:rFonts w:ascii="宋体" w:eastAsia="宋体" w:hAnsi="宋体" w:cs="宋体"/>
        </w:rPr>
        <w:t xml:space="preserve"> </w:t>
      </w:r>
      <w:r>
        <w:rPr>
          <w:rFonts w:ascii="宋体" w:eastAsia="宋体" w:hAnsi="宋体" w:cs="宋体"/>
          <w:spacing w:val="3"/>
        </w:rPr>
        <w:t>显高于畜肉，吸收利用率高。肝脏是铁的储藏器官，含铁量位居各内</w:t>
      </w:r>
      <w:r>
        <w:rPr>
          <w:rFonts w:ascii="宋体" w:eastAsia="宋体" w:hAnsi="宋体" w:cs="宋体"/>
          <w:spacing w:val="2"/>
        </w:rPr>
        <w:t>脏器官之</w:t>
      </w:r>
      <w:r>
        <w:rPr>
          <w:rFonts w:ascii="宋体" w:eastAsia="宋体" w:hAnsi="宋体" w:cs="宋体"/>
        </w:rPr>
        <w:t xml:space="preserve">  </w:t>
      </w:r>
      <w:r>
        <w:rPr>
          <w:rFonts w:ascii="宋体" w:eastAsia="宋体" w:hAnsi="宋体" w:cs="宋体"/>
          <w:spacing w:val="5"/>
        </w:rPr>
        <w:t>首。例如：猪肝含铁22.6</w:t>
      </w:r>
      <w:r>
        <w:rPr>
          <w:rFonts w:ascii="宋体" w:eastAsia="宋体" w:hAnsi="宋体" w:cs="宋体"/>
        </w:rPr>
        <w:t>mg</w:t>
      </w:r>
      <w:r>
        <w:rPr>
          <w:rFonts w:ascii="宋体" w:eastAsia="宋体" w:hAnsi="宋体" w:cs="宋体"/>
          <w:spacing w:val="5"/>
        </w:rPr>
        <w:t>/100g,</w:t>
      </w:r>
      <w:r>
        <w:rPr>
          <w:rFonts w:ascii="宋体" w:eastAsia="宋体" w:hAnsi="宋体" w:cs="宋体"/>
          <w:spacing w:val="37"/>
        </w:rPr>
        <w:t xml:space="preserve"> </w:t>
      </w:r>
      <w:r>
        <w:rPr>
          <w:rFonts w:ascii="宋体" w:eastAsia="宋体" w:hAnsi="宋体" w:cs="宋体"/>
          <w:spacing w:val="5"/>
        </w:rPr>
        <w:t>是猪肾</w:t>
      </w:r>
      <w:r>
        <w:rPr>
          <w:rFonts w:ascii="宋体" w:eastAsia="宋体" w:hAnsi="宋体" w:cs="宋体"/>
          <w:spacing w:val="4"/>
        </w:rPr>
        <w:t>的3.7倍、猪脾的2倍。此外，家畜</w:t>
      </w:r>
      <w:r>
        <w:rPr>
          <w:rFonts w:ascii="宋体" w:eastAsia="宋体" w:hAnsi="宋体" w:cs="宋体"/>
        </w:rPr>
        <w:t xml:space="preserve"> </w:t>
      </w:r>
      <w:r>
        <w:rPr>
          <w:rFonts w:ascii="宋体" w:eastAsia="宋体" w:hAnsi="宋体" w:cs="宋体"/>
          <w:spacing w:val="-3"/>
        </w:rPr>
        <w:t>的内脏也是锌、铜、硒等微量元素的良好来源，铜和硒的含量高于</w:t>
      </w:r>
      <w:r>
        <w:rPr>
          <w:rFonts w:ascii="宋体" w:eastAsia="宋体" w:hAnsi="宋体" w:cs="宋体"/>
          <w:spacing w:val="-4"/>
        </w:rPr>
        <w:t>畜肉。畜血含</w:t>
      </w:r>
      <w:r>
        <w:rPr>
          <w:rFonts w:ascii="宋体" w:eastAsia="宋体" w:hAnsi="宋体" w:cs="宋体"/>
        </w:rPr>
        <w:t xml:space="preserve">  </w:t>
      </w:r>
      <w:r>
        <w:rPr>
          <w:rFonts w:ascii="宋体" w:eastAsia="宋体" w:hAnsi="宋体" w:cs="宋体"/>
          <w:spacing w:val="4"/>
        </w:rPr>
        <w:t>有多种矿物质，吸收利用率高，尤其是膳食铁的优</w:t>
      </w:r>
      <w:r>
        <w:rPr>
          <w:rFonts w:ascii="宋体" w:eastAsia="宋体" w:hAnsi="宋体" w:cs="宋体"/>
          <w:spacing w:val="3"/>
        </w:rPr>
        <w:t>质来源。表6-18列出几种畜</w:t>
      </w:r>
      <w:r>
        <w:rPr>
          <w:rFonts w:ascii="宋体" w:eastAsia="宋体" w:hAnsi="宋体" w:cs="宋体"/>
        </w:rPr>
        <w:t xml:space="preserve"> </w:t>
      </w:r>
      <w:r>
        <w:rPr>
          <w:rFonts w:ascii="宋体" w:eastAsia="宋体" w:hAnsi="宋体" w:cs="宋体"/>
          <w:spacing w:val="-6"/>
        </w:rPr>
        <w:t>肉的某些营养素含量。</w:t>
      </w:r>
    </w:p>
    <w:p w:rsidR="00EA40A3" w:rsidRDefault="00E86C16">
      <w:pPr>
        <w:spacing w:before="166" w:line="221" w:lineRule="auto"/>
        <w:ind w:left="2242"/>
        <w:rPr>
          <w:rFonts w:ascii="黑体" w:eastAsia="黑体" w:hAnsi="黑体" w:cs="黑体"/>
        </w:rPr>
      </w:pPr>
      <w:r>
        <w:rPr>
          <w:rFonts w:ascii="黑体" w:eastAsia="黑体" w:hAnsi="黑体" w:cs="黑体"/>
          <w:b/>
          <w:bCs/>
          <w:spacing w:val="-20"/>
          <w:w w:val="96"/>
        </w:rPr>
        <w:t>表6-18</w:t>
      </w:r>
      <w:r>
        <w:rPr>
          <w:rFonts w:ascii="黑体" w:eastAsia="黑体" w:hAnsi="黑体" w:cs="黑体"/>
          <w:spacing w:val="70"/>
        </w:rPr>
        <w:t xml:space="preserve"> </w:t>
      </w:r>
      <w:r>
        <w:rPr>
          <w:rFonts w:ascii="黑体" w:eastAsia="黑体" w:hAnsi="黑体" w:cs="黑体"/>
          <w:b/>
          <w:bCs/>
          <w:spacing w:val="-20"/>
          <w:w w:val="96"/>
        </w:rPr>
        <w:t>几种畜肉的某些营养素含量</w:t>
      </w:r>
    </w:p>
    <w:p w:rsidR="00EA40A3" w:rsidRDefault="00EA40A3">
      <w:pPr>
        <w:spacing w:line="30" w:lineRule="exact"/>
      </w:pPr>
    </w:p>
    <w:tbl>
      <w:tblPr>
        <w:tblStyle w:val="TableNormal"/>
        <w:tblW w:w="731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60"/>
        <w:gridCol w:w="859"/>
        <w:gridCol w:w="905"/>
        <w:gridCol w:w="975"/>
        <w:gridCol w:w="955"/>
        <w:gridCol w:w="920"/>
        <w:gridCol w:w="980"/>
        <w:gridCol w:w="965"/>
      </w:tblGrid>
      <w:tr w:rsidR="00EA40A3">
        <w:trPr>
          <w:trHeight w:val="562"/>
        </w:trPr>
        <w:tc>
          <w:tcPr>
            <w:tcW w:w="760" w:type="dxa"/>
            <w:tcBorders>
              <w:top w:val="single" w:sz="4" w:space="0" w:color="000000"/>
              <w:bottom w:val="single" w:sz="4" w:space="0" w:color="000000"/>
            </w:tcBorders>
          </w:tcPr>
          <w:p w:rsidR="00EA40A3" w:rsidRDefault="00E86C16">
            <w:pPr>
              <w:spacing w:before="202" w:line="220" w:lineRule="auto"/>
              <w:ind w:left="49"/>
              <w:rPr>
                <w:rFonts w:ascii="宋体" w:eastAsia="宋体" w:hAnsi="宋体" w:cs="宋体"/>
                <w:sz w:val="16"/>
                <w:szCs w:val="16"/>
              </w:rPr>
            </w:pPr>
            <w:r>
              <w:rPr>
                <w:rFonts w:ascii="宋体" w:eastAsia="宋体" w:hAnsi="宋体" w:cs="宋体"/>
                <w:spacing w:val="-2"/>
                <w:sz w:val="16"/>
                <w:szCs w:val="16"/>
              </w:rPr>
              <w:t>食物名称</w:t>
            </w:r>
          </w:p>
        </w:tc>
        <w:tc>
          <w:tcPr>
            <w:tcW w:w="859" w:type="dxa"/>
            <w:tcBorders>
              <w:top w:val="single" w:sz="4" w:space="0" w:color="000000"/>
              <w:bottom w:val="single" w:sz="4" w:space="0" w:color="000000"/>
            </w:tcBorders>
          </w:tcPr>
          <w:p w:rsidR="00EA40A3" w:rsidRDefault="00E86C16">
            <w:pPr>
              <w:spacing w:before="111" w:line="254" w:lineRule="auto"/>
              <w:ind w:left="69" w:right="74" w:firstLine="119"/>
              <w:rPr>
                <w:rFonts w:ascii="宋体" w:eastAsia="宋体" w:hAnsi="宋体" w:cs="宋体"/>
                <w:sz w:val="16"/>
                <w:szCs w:val="16"/>
              </w:rPr>
            </w:pPr>
            <w:r>
              <w:rPr>
                <w:rFonts w:ascii="宋体" w:eastAsia="宋体" w:hAnsi="宋体" w:cs="宋体"/>
                <w:spacing w:val="6"/>
                <w:sz w:val="16"/>
                <w:szCs w:val="16"/>
              </w:rPr>
              <w:t>蛋白质</w:t>
            </w:r>
            <w:r>
              <w:rPr>
                <w:rFonts w:ascii="宋体" w:eastAsia="宋体" w:hAnsi="宋体" w:cs="宋体"/>
                <w:sz w:val="16"/>
                <w:szCs w:val="16"/>
              </w:rPr>
              <w:t xml:space="preserve">  </w:t>
            </w:r>
            <w:r>
              <w:rPr>
                <w:rFonts w:ascii="宋体" w:eastAsia="宋体" w:hAnsi="宋体" w:cs="宋体"/>
                <w:spacing w:val="-1"/>
                <w:sz w:val="16"/>
                <w:szCs w:val="16"/>
              </w:rPr>
              <w:t>/(g/100g)</w:t>
            </w:r>
          </w:p>
        </w:tc>
        <w:tc>
          <w:tcPr>
            <w:tcW w:w="905" w:type="dxa"/>
            <w:tcBorders>
              <w:top w:val="single" w:sz="4" w:space="0" w:color="000000"/>
              <w:bottom w:val="single" w:sz="4" w:space="0" w:color="000000"/>
            </w:tcBorders>
          </w:tcPr>
          <w:p w:rsidR="00EA40A3" w:rsidRDefault="00E86C16">
            <w:pPr>
              <w:spacing w:before="112" w:line="220" w:lineRule="auto"/>
              <w:ind w:left="311"/>
              <w:rPr>
                <w:rFonts w:ascii="宋体" w:eastAsia="宋体" w:hAnsi="宋体" w:cs="宋体"/>
                <w:sz w:val="16"/>
                <w:szCs w:val="16"/>
              </w:rPr>
            </w:pPr>
            <w:r>
              <w:rPr>
                <w:rFonts w:ascii="宋体" w:eastAsia="宋体" w:hAnsi="宋体" w:cs="宋体"/>
                <w:spacing w:val="-2"/>
                <w:sz w:val="16"/>
                <w:szCs w:val="16"/>
              </w:rPr>
              <w:t>脂肪</w:t>
            </w:r>
          </w:p>
          <w:p w:rsidR="00EA40A3" w:rsidRDefault="00E86C16">
            <w:pPr>
              <w:spacing w:before="73" w:line="214" w:lineRule="auto"/>
              <w:ind w:left="110"/>
              <w:rPr>
                <w:rFonts w:ascii="宋体" w:eastAsia="宋体" w:hAnsi="宋体" w:cs="宋体"/>
                <w:sz w:val="16"/>
                <w:szCs w:val="16"/>
              </w:rPr>
            </w:pPr>
            <w:r>
              <w:rPr>
                <w:rFonts w:ascii="宋体" w:eastAsia="宋体" w:hAnsi="宋体" w:cs="宋体"/>
                <w:spacing w:val="-1"/>
                <w:sz w:val="16"/>
                <w:szCs w:val="16"/>
              </w:rPr>
              <w:t>/(g/100g)</w:t>
            </w:r>
          </w:p>
        </w:tc>
        <w:tc>
          <w:tcPr>
            <w:tcW w:w="975" w:type="dxa"/>
            <w:tcBorders>
              <w:top w:val="single" w:sz="4" w:space="0" w:color="000000"/>
              <w:bottom w:val="single" w:sz="4" w:space="0" w:color="000000"/>
            </w:tcBorders>
          </w:tcPr>
          <w:p w:rsidR="00EA40A3" w:rsidRDefault="00E86C16">
            <w:pPr>
              <w:spacing w:before="111" w:line="219" w:lineRule="auto"/>
              <w:ind w:left="276"/>
              <w:rPr>
                <w:rFonts w:ascii="宋体" w:eastAsia="宋体" w:hAnsi="宋体" w:cs="宋体"/>
                <w:sz w:val="16"/>
                <w:szCs w:val="16"/>
              </w:rPr>
            </w:pPr>
            <w:r>
              <w:rPr>
                <w:rFonts w:ascii="宋体" w:eastAsia="宋体" w:hAnsi="宋体" w:cs="宋体"/>
                <w:spacing w:val="-2"/>
                <w:sz w:val="16"/>
                <w:szCs w:val="16"/>
              </w:rPr>
              <w:t>硫胺素</w:t>
            </w:r>
          </w:p>
          <w:p w:rsidR="00EA40A3" w:rsidRDefault="00E86C16">
            <w:pPr>
              <w:spacing w:before="74" w:line="214" w:lineRule="auto"/>
              <w:ind w:left="115"/>
              <w:rPr>
                <w:rFonts w:ascii="宋体" w:eastAsia="宋体" w:hAnsi="宋体" w:cs="宋体"/>
                <w:sz w:val="16"/>
                <w:szCs w:val="16"/>
              </w:rPr>
            </w:pPr>
            <w:r>
              <w:rPr>
                <w:rFonts w:ascii="宋体" w:eastAsia="宋体" w:hAnsi="宋体" w:cs="宋体"/>
                <w:spacing w:val="-1"/>
                <w:sz w:val="16"/>
                <w:szCs w:val="16"/>
              </w:rPr>
              <w:t>/(mg/100g)</w:t>
            </w:r>
          </w:p>
        </w:tc>
        <w:tc>
          <w:tcPr>
            <w:tcW w:w="955" w:type="dxa"/>
            <w:tcBorders>
              <w:top w:val="single" w:sz="4" w:space="0" w:color="000000"/>
              <w:bottom w:val="single" w:sz="4" w:space="0" w:color="000000"/>
            </w:tcBorders>
          </w:tcPr>
          <w:p w:rsidR="00EA40A3" w:rsidRDefault="00E86C16">
            <w:pPr>
              <w:spacing w:before="111" w:line="219" w:lineRule="auto"/>
              <w:ind w:left="261"/>
              <w:rPr>
                <w:rFonts w:ascii="宋体" w:eastAsia="宋体" w:hAnsi="宋体" w:cs="宋体"/>
                <w:sz w:val="16"/>
                <w:szCs w:val="16"/>
              </w:rPr>
            </w:pPr>
            <w:r>
              <w:rPr>
                <w:rFonts w:ascii="宋体" w:eastAsia="宋体" w:hAnsi="宋体" w:cs="宋体"/>
                <w:spacing w:val="-2"/>
                <w:sz w:val="16"/>
                <w:szCs w:val="16"/>
              </w:rPr>
              <w:t>核黄素</w:t>
            </w:r>
          </w:p>
          <w:p w:rsidR="00EA40A3" w:rsidRDefault="00E86C16">
            <w:pPr>
              <w:spacing w:before="74" w:line="214" w:lineRule="auto"/>
              <w:ind w:left="100"/>
              <w:rPr>
                <w:rFonts w:ascii="宋体" w:eastAsia="宋体" w:hAnsi="宋体" w:cs="宋体"/>
                <w:sz w:val="16"/>
                <w:szCs w:val="16"/>
              </w:rPr>
            </w:pPr>
            <w:r>
              <w:rPr>
                <w:rFonts w:ascii="宋体" w:eastAsia="宋体" w:hAnsi="宋体" w:cs="宋体"/>
                <w:spacing w:val="-1"/>
                <w:sz w:val="16"/>
                <w:szCs w:val="16"/>
              </w:rPr>
              <w:t>/(mg/100g)</w:t>
            </w:r>
          </w:p>
        </w:tc>
        <w:tc>
          <w:tcPr>
            <w:tcW w:w="920" w:type="dxa"/>
            <w:tcBorders>
              <w:top w:val="single" w:sz="4" w:space="0" w:color="000000"/>
              <w:bottom w:val="single" w:sz="4" w:space="0" w:color="000000"/>
            </w:tcBorders>
          </w:tcPr>
          <w:p w:rsidR="00EA40A3" w:rsidRDefault="00E86C16">
            <w:pPr>
              <w:spacing w:before="121" w:line="219" w:lineRule="auto"/>
              <w:ind w:left="255"/>
              <w:rPr>
                <w:rFonts w:ascii="宋体" w:eastAsia="宋体" w:hAnsi="宋体" w:cs="宋体"/>
                <w:sz w:val="16"/>
                <w:szCs w:val="16"/>
              </w:rPr>
            </w:pPr>
            <w:r>
              <w:rPr>
                <w:rFonts w:ascii="宋体" w:eastAsia="宋体" w:hAnsi="宋体" w:cs="宋体"/>
                <w:spacing w:val="-2"/>
                <w:sz w:val="16"/>
                <w:szCs w:val="16"/>
              </w:rPr>
              <w:t>尼克酸</w:t>
            </w:r>
          </w:p>
          <w:p w:rsidR="00EA40A3" w:rsidRDefault="00E86C16">
            <w:pPr>
              <w:spacing w:before="74" w:line="203" w:lineRule="auto"/>
              <w:ind w:left="95"/>
              <w:rPr>
                <w:rFonts w:ascii="宋体" w:eastAsia="宋体" w:hAnsi="宋体" w:cs="宋体"/>
                <w:sz w:val="16"/>
                <w:szCs w:val="16"/>
              </w:rPr>
            </w:pPr>
            <w:r>
              <w:rPr>
                <w:rFonts w:ascii="宋体" w:eastAsia="宋体" w:hAnsi="宋体" w:cs="宋体"/>
                <w:spacing w:val="-1"/>
                <w:sz w:val="16"/>
                <w:szCs w:val="16"/>
              </w:rPr>
              <w:t>/(mg/100g)</w:t>
            </w:r>
          </w:p>
        </w:tc>
        <w:tc>
          <w:tcPr>
            <w:tcW w:w="980" w:type="dxa"/>
            <w:tcBorders>
              <w:top w:val="single" w:sz="4" w:space="0" w:color="000000"/>
              <w:bottom w:val="single" w:sz="4" w:space="0" w:color="000000"/>
            </w:tcBorders>
          </w:tcPr>
          <w:p w:rsidR="00EA40A3" w:rsidRDefault="00E86C16">
            <w:pPr>
              <w:spacing w:before="111" w:line="219" w:lineRule="auto"/>
              <w:ind w:left="265"/>
              <w:rPr>
                <w:rFonts w:ascii="宋体" w:eastAsia="宋体" w:hAnsi="宋体" w:cs="宋体"/>
                <w:sz w:val="16"/>
                <w:szCs w:val="16"/>
              </w:rPr>
            </w:pPr>
            <w:r>
              <w:rPr>
                <w:rFonts w:ascii="宋体" w:eastAsia="宋体" w:hAnsi="宋体" w:cs="宋体"/>
                <w:spacing w:val="-2"/>
                <w:sz w:val="16"/>
                <w:szCs w:val="16"/>
              </w:rPr>
              <w:t>视黄醇</w:t>
            </w:r>
          </w:p>
          <w:p w:rsidR="00EA40A3" w:rsidRDefault="00E86C16">
            <w:pPr>
              <w:spacing w:before="74" w:line="214" w:lineRule="auto"/>
              <w:ind w:left="65"/>
              <w:rPr>
                <w:rFonts w:ascii="宋体" w:eastAsia="宋体" w:hAnsi="宋体" w:cs="宋体"/>
                <w:sz w:val="16"/>
                <w:szCs w:val="16"/>
              </w:rPr>
            </w:pPr>
            <w:r>
              <w:rPr>
                <w:rFonts w:ascii="宋体" w:eastAsia="宋体" w:hAnsi="宋体" w:cs="宋体"/>
                <w:spacing w:val="-1"/>
                <w:sz w:val="16"/>
                <w:szCs w:val="16"/>
              </w:rPr>
              <w:t>/(μg/100g)</w:t>
            </w:r>
          </w:p>
        </w:tc>
        <w:tc>
          <w:tcPr>
            <w:tcW w:w="965" w:type="dxa"/>
            <w:tcBorders>
              <w:top w:val="single" w:sz="4" w:space="0" w:color="000000"/>
              <w:bottom w:val="single" w:sz="4" w:space="0" w:color="000000"/>
            </w:tcBorders>
          </w:tcPr>
          <w:p w:rsidR="00EA40A3" w:rsidRDefault="00E86C16">
            <w:pPr>
              <w:spacing w:before="112" w:line="221" w:lineRule="auto"/>
              <w:ind w:left="395"/>
              <w:rPr>
                <w:rFonts w:ascii="宋体" w:eastAsia="宋体" w:hAnsi="宋体" w:cs="宋体"/>
                <w:sz w:val="16"/>
                <w:szCs w:val="16"/>
              </w:rPr>
            </w:pPr>
            <w:r>
              <w:rPr>
                <w:rFonts w:ascii="宋体" w:eastAsia="宋体" w:hAnsi="宋体" w:cs="宋体"/>
                <w:sz w:val="16"/>
                <w:szCs w:val="16"/>
              </w:rPr>
              <w:t>铁</w:t>
            </w:r>
          </w:p>
          <w:p w:rsidR="00EA40A3" w:rsidRDefault="00E86C16">
            <w:pPr>
              <w:spacing w:before="62" w:line="214" w:lineRule="auto"/>
              <w:ind w:left="75"/>
              <w:rPr>
                <w:rFonts w:ascii="宋体" w:eastAsia="宋体" w:hAnsi="宋体" w:cs="宋体"/>
                <w:sz w:val="16"/>
                <w:szCs w:val="16"/>
              </w:rPr>
            </w:pPr>
            <w:r>
              <w:rPr>
                <w:rFonts w:ascii="宋体" w:eastAsia="宋体" w:hAnsi="宋体" w:cs="宋体"/>
                <w:spacing w:val="-1"/>
                <w:sz w:val="16"/>
                <w:szCs w:val="16"/>
              </w:rPr>
              <w:t>/(mg/100g)</w:t>
            </w:r>
          </w:p>
        </w:tc>
      </w:tr>
      <w:tr w:rsidR="00EA40A3">
        <w:trPr>
          <w:trHeight w:val="304"/>
        </w:trPr>
        <w:tc>
          <w:tcPr>
            <w:tcW w:w="760" w:type="dxa"/>
            <w:tcBorders>
              <w:top w:val="single" w:sz="4" w:space="0" w:color="000000"/>
            </w:tcBorders>
          </w:tcPr>
          <w:p w:rsidR="00EA40A3" w:rsidRDefault="00E86C16">
            <w:pPr>
              <w:spacing w:before="78" w:line="219" w:lineRule="auto"/>
              <w:ind w:left="130"/>
              <w:rPr>
                <w:rFonts w:ascii="宋体" w:eastAsia="宋体" w:hAnsi="宋体" w:cs="宋体"/>
                <w:sz w:val="16"/>
                <w:szCs w:val="16"/>
              </w:rPr>
            </w:pPr>
            <w:r>
              <w:rPr>
                <w:rFonts w:ascii="宋体" w:eastAsia="宋体" w:hAnsi="宋体" w:cs="宋体"/>
                <w:spacing w:val="-2"/>
                <w:sz w:val="16"/>
                <w:szCs w:val="16"/>
              </w:rPr>
              <w:t>猪里脊</w:t>
            </w:r>
          </w:p>
        </w:tc>
        <w:tc>
          <w:tcPr>
            <w:tcW w:w="859" w:type="dxa"/>
            <w:tcBorders>
              <w:top w:val="single" w:sz="4" w:space="0" w:color="000000"/>
            </w:tcBorders>
          </w:tcPr>
          <w:p w:rsidR="00EA40A3" w:rsidRDefault="00E86C16">
            <w:pPr>
              <w:spacing w:before="140" w:line="183" w:lineRule="auto"/>
              <w:ind w:left="269"/>
              <w:rPr>
                <w:rFonts w:ascii="宋体" w:eastAsia="宋体" w:hAnsi="宋体" w:cs="宋体"/>
                <w:sz w:val="16"/>
                <w:szCs w:val="16"/>
              </w:rPr>
            </w:pPr>
            <w:r>
              <w:rPr>
                <w:rFonts w:ascii="宋体" w:eastAsia="宋体" w:hAnsi="宋体" w:cs="宋体"/>
                <w:spacing w:val="-2"/>
                <w:sz w:val="16"/>
                <w:szCs w:val="16"/>
              </w:rPr>
              <w:t>20.2</w:t>
            </w:r>
          </w:p>
        </w:tc>
        <w:tc>
          <w:tcPr>
            <w:tcW w:w="905" w:type="dxa"/>
            <w:tcBorders>
              <w:top w:val="single" w:sz="4" w:space="0" w:color="000000"/>
            </w:tcBorders>
          </w:tcPr>
          <w:p w:rsidR="00EA40A3" w:rsidRDefault="00E86C16">
            <w:pPr>
              <w:spacing w:before="130" w:line="183" w:lineRule="auto"/>
              <w:ind w:left="350"/>
              <w:rPr>
                <w:rFonts w:ascii="宋体" w:eastAsia="宋体" w:hAnsi="宋体" w:cs="宋体"/>
                <w:sz w:val="16"/>
                <w:szCs w:val="16"/>
              </w:rPr>
            </w:pPr>
            <w:r>
              <w:rPr>
                <w:rFonts w:ascii="宋体" w:eastAsia="宋体" w:hAnsi="宋体" w:cs="宋体"/>
                <w:spacing w:val="-3"/>
                <w:sz w:val="16"/>
                <w:szCs w:val="16"/>
              </w:rPr>
              <w:t>7.9</w:t>
            </w:r>
          </w:p>
        </w:tc>
        <w:tc>
          <w:tcPr>
            <w:tcW w:w="975" w:type="dxa"/>
            <w:tcBorders>
              <w:top w:val="single" w:sz="4" w:space="0" w:color="000000"/>
            </w:tcBorders>
          </w:tcPr>
          <w:p w:rsidR="00EA40A3" w:rsidRDefault="00E86C16">
            <w:pPr>
              <w:spacing w:before="140" w:line="183" w:lineRule="auto"/>
              <w:ind w:left="355"/>
              <w:rPr>
                <w:rFonts w:ascii="宋体" w:eastAsia="宋体" w:hAnsi="宋体" w:cs="宋体"/>
                <w:sz w:val="16"/>
                <w:szCs w:val="16"/>
              </w:rPr>
            </w:pPr>
            <w:r>
              <w:rPr>
                <w:rFonts w:ascii="宋体" w:eastAsia="宋体" w:hAnsi="宋体" w:cs="宋体"/>
                <w:spacing w:val="-2"/>
                <w:sz w:val="16"/>
                <w:szCs w:val="16"/>
              </w:rPr>
              <w:t>0.47</w:t>
            </w:r>
          </w:p>
        </w:tc>
        <w:tc>
          <w:tcPr>
            <w:tcW w:w="955" w:type="dxa"/>
            <w:tcBorders>
              <w:top w:val="single" w:sz="4" w:space="0" w:color="000000"/>
            </w:tcBorders>
          </w:tcPr>
          <w:p w:rsidR="00EA40A3" w:rsidRDefault="00E86C16">
            <w:pPr>
              <w:spacing w:before="120" w:line="184" w:lineRule="auto"/>
              <w:ind w:left="340"/>
              <w:rPr>
                <w:rFonts w:ascii="宋体" w:eastAsia="宋体" w:hAnsi="宋体" w:cs="宋体"/>
                <w:sz w:val="16"/>
                <w:szCs w:val="16"/>
              </w:rPr>
            </w:pPr>
            <w:r>
              <w:rPr>
                <w:rFonts w:ascii="宋体" w:eastAsia="宋体" w:hAnsi="宋体" w:cs="宋体"/>
                <w:spacing w:val="-2"/>
                <w:sz w:val="16"/>
                <w:szCs w:val="16"/>
              </w:rPr>
              <w:t>0.12</w:t>
            </w:r>
          </w:p>
        </w:tc>
        <w:tc>
          <w:tcPr>
            <w:tcW w:w="920" w:type="dxa"/>
            <w:tcBorders>
              <w:top w:val="single" w:sz="4" w:space="0" w:color="000000"/>
            </w:tcBorders>
          </w:tcPr>
          <w:p w:rsidR="00EA40A3" w:rsidRDefault="00E86C16">
            <w:pPr>
              <w:spacing w:before="120" w:line="184" w:lineRule="auto"/>
              <w:ind w:left="375"/>
              <w:rPr>
                <w:rFonts w:ascii="宋体" w:eastAsia="宋体" w:hAnsi="宋体" w:cs="宋体"/>
                <w:sz w:val="16"/>
                <w:szCs w:val="16"/>
              </w:rPr>
            </w:pPr>
            <w:r>
              <w:rPr>
                <w:rFonts w:ascii="宋体" w:eastAsia="宋体" w:hAnsi="宋体" w:cs="宋体"/>
                <w:spacing w:val="-3"/>
                <w:sz w:val="16"/>
                <w:szCs w:val="16"/>
              </w:rPr>
              <w:t>5.1</w:t>
            </w:r>
          </w:p>
        </w:tc>
        <w:tc>
          <w:tcPr>
            <w:tcW w:w="980" w:type="dxa"/>
            <w:tcBorders>
              <w:top w:val="single" w:sz="4" w:space="0" w:color="000000"/>
            </w:tcBorders>
          </w:tcPr>
          <w:p w:rsidR="00EA40A3" w:rsidRDefault="00E86C16">
            <w:pPr>
              <w:spacing w:before="111" w:line="182" w:lineRule="auto"/>
              <w:ind w:left="465"/>
              <w:rPr>
                <w:rFonts w:ascii="宋体" w:eastAsia="宋体" w:hAnsi="宋体" w:cs="宋体"/>
                <w:sz w:val="16"/>
                <w:szCs w:val="16"/>
              </w:rPr>
            </w:pPr>
            <w:r>
              <w:rPr>
                <w:rFonts w:ascii="宋体" w:eastAsia="宋体" w:hAnsi="宋体" w:cs="宋体"/>
                <w:sz w:val="16"/>
                <w:szCs w:val="16"/>
              </w:rPr>
              <w:t>5</w:t>
            </w:r>
          </w:p>
        </w:tc>
        <w:tc>
          <w:tcPr>
            <w:tcW w:w="965" w:type="dxa"/>
            <w:tcBorders>
              <w:top w:val="single" w:sz="4" w:space="0" w:color="000000"/>
            </w:tcBorders>
          </w:tcPr>
          <w:p w:rsidR="00EA40A3" w:rsidRDefault="00E86C16">
            <w:pPr>
              <w:spacing w:before="120" w:line="184" w:lineRule="auto"/>
              <w:ind w:left="355"/>
              <w:rPr>
                <w:rFonts w:ascii="宋体" w:eastAsia="宋体" w:hAnsi="宋体" w:cs="宋体"/>
                <w:sz w:val="16"/>
                <w:szCs w:val="16"/>
              </w:rPr>
            </w:pPr>
            <w:r>
              <w:rPr>
                <w:rFonts w:ascii="宋体" w:eastAsia="宋体" w:hAnsi="宋体" w:cs="宋体"/>
                <w:spacing w:val="-5"/>
                <w:sz w:val="16"/>
                <w:szCs w:val="16"/>
              </w:rPr>
              <w:t>1.5</w:t>
            </w:r>
          </w:p>
        </w:tc>
      </w:tr>
      <w:tr w:rsidR="00EA40A3">
        <w:trPr>
          <w:trHeight w:val="275"/>
        </w:trPr>
        <w:tc>
          <w:tcPr>
            <w:tcW w:w="760" w:type="dxa"/>
          </w:tcPr>
          <w:p w:rsidR="00EA40A3" w:rsidRDefault="00E86C16">
            <w:pPr>
              <w:spacing w:before="55" w:line="219" w:lineRule="auto"/>
              <w:ind w:left="49"/>
              <w:rPr>
                <w:rFonts w:ascii="宋体" w:eastAsia="宋体" w:hAnsi="宋体" w:cs="宋体"/>
                <w:sz w:val="16"/>
                <w:szCs w:val="16"/>
              </w:rPr>
            </w:pPr>
            <w:r>
              <w:rPr>
                <w:rFonts w:ascii="宋体" w:eastAsia="宋体" w:hAnsi="宋体" w:cs="宋体"/>
                <w:spacing w:val="3"/>
                <w:sz w:val="16"/>
                <w:szCs w:val="16"/>
              </w:rPr>
              <w:t>猪排骨肉</w:t>
            </w:r>
          </w:p>
        </w:tc>
        <w:tc>
          <w:tcPr>
            <w:tcW w:w="859" w:type="dxa"/>
          </w:tcPr>
          <w:p w:rsidR="00EA40A3" w:rsidRDefault="00E86C16">
            <w:pPr>
              <w:spacing w:before="116" w:line="183" w:lineRule="auto"/>
              <w:ind w:left="269"/>
              <w:rPr>
                <w:rFonts w:ascii="宋体" w:eastAsia="宋体" w:hAnsi="宋体" w:cs="宋体"/>
                <w:sz w:val="16"/>
                <w:szCs w:val="16"/>
              </w:rPr>
            </w:pPr>
            <w:r>
              <w:rPr>
                <w:rFonts w:ascii="宋体" w:eastAsia="宋体" w:hAnsi="宋体" w:cs="宋体"/>
                <w:spacing w:val="-4"/>
                <w:sz w:val="16"/>
                <w:szCs w:val="16"/>
              </w:rPr>
              <w:t>13.6</w:t>
            </w:r>
          </w:p>
        </w:tc>
        <w:tc>
          <w:tcPr>
            <w:tcW w:w="905" w:type="dxa"/>
          </w:tcPr>
          <w:p w:rsidR="00EA40A3" w:rsidRDefault="00E86C16">
            <w:pPr>
              <w:spacing w:before="106" w:line="183" w:lineRule="auto"/>
              <w:ind w:left="311"/>
              <w:rPr>
                <w:rFonts w:ascii="宋体" w:eastAsia="宋体" w:hAnsi="宋体" w:cs="宋体"/>
                <w:sz w:val="16"/>
                <w:szCs w:val="16"/>
              </w:rPr>
            </w:pPr>
            <w:r>
              <w:rPr>
                <w:rFonts w:ascii="宋体" w:eastAsia="宋体" w:hAnsi="宋体" w:cs="宋体"/>
                <w:spacing w:val="-2"/>
                <w:sz w:val="16"/>
                <w:szCs w:val="16"/>
              </w:rPr>
              <w:t>30.6</w:t>
            </w:r>
          </w:p>
        </w:tc>
        <w:tc>
          <w:tcPr>
            <w:tcW w:w="975" w:type="dxa"/>
          </w:tcPr>
          <w:p w:rsidR="00EA40A3" w:rsidRDefault="00E86C16">
            <w:pPr>
              <w:spacing w:before="96" w:line="183" w:lineRule="auto"/>
              <w:ind w:left="355"/>
              <w:rPr>
                <w:rFonts w:ascii="宋体" w:eastAsia="宋体" w:hAnsi="宋体" w:cs="宋体"/>
                <w:sz w:val="16"/>
                <w:szCs w:val="16"/>
              </w:rPr>
            </w:pPr>
            <w:r>
              <w:rPr>
                <w:rFonts w:ascii="宋体" w:eastAsia="宋体" w:hAnsi="宋体" w:cs="宋体"/>
                <w:spacing w:val="-2"/>
                <w:sz w:val="16"/>
                <w:szCs w:val="16"/>
              </w:rPr>
              <w:t>0.36</w:t>
            </w:r>
          </w:p>
        </w:tc>
        <w:tc>
          <w:tcPr>
            <w:tcW w:w="955" w:type="dxa"/>
          </w:tcPr>
          <w:p w:rsidR="00EA40A3" w:rsidRDefault="00E86C16">
            <w:pPr>
              <w:spacing w:before="105" w:line="184" w:lineRule="auto"/>
              <w:ind w:left="340"/>
              <w:rPr>
                <w:rFonts w:ascii="宋体" w:eastAsia="宋体" w:hAnsi="宋体" w:cs="宋体"/>
                <w:sz w:val="16"/>
                <w:szCs w:val="16"/>
              </w:rPr>
            </w:pPr>
            <w:r>
              <w:rPr>
                <w:rFonts w:ascii="宋体" w:eastAsia="宋体" w:hAnsi="宋体" w:cs="宋体"/>
                <w:spacing w:val="-2"/>
                <w:sz w:val="16"/>
                <w:szCs w:val="16"/>
              </w:rPr>
              <w:t>0.15</w:t>
            </w:r>
          </w:p>
        </w:tc>
        <w:tc>
          <w:tcPr>
            <w:tcW w:w="920" w:type="dxa"/>
          </w:tcPr>
          <w:p w:rsidR="00EA40A3" w:rsidRDefault="00E86C16">
            <w:pPr>
              <w:spacing w:before="105" w:line="184" w:lineRule="auto"/>
              <w:ind w:left="375"/>
              <w:rPr>
                <w:rFonts w:ascii="宋体" w:eastAsia="宋体" w:hAnsi="宋体" w:cs="宋体"/>
                <w:sz w:val="16"/>
                <w:szCs w:val="16"/>
              </w:rPr>
            </w:pPr>
            <w:r>
              <w:rPr>
                <w:rFonts w:ascii="宋体" w:eastAsia="宋体" w:hAnsi="宋体" w:cs="宋体"/>
                <w:spacing w:val="-3"/>
                <w:sz w:val="16"/>
                <w:szCs w:val="16"/>
              </w:rPr>
              <w:t>3.1</w:t>
            </w:r>
          </w:p>
        </w:tc>
        <w:tc>
          <w:tcPr>
            <w:tcW w:w="980" w:type="dxa"/>
          </w:tcPr>
          <w:p w:rsidR="00EA40A3" w:rsidRDefault="00E86C16">
            <w:pPr>
              <w:spacing w:before="116" w:line="183" w:lineRule="auto"/>
              <w:ind w:left="425"/>
              <w:rPr>
                <w:rFonts w:ascii="宋体" w:eastAsia="宋体" w:hAnsi="宋体" w:cs="宋体"/>
                <w:sz w:val="16"/>
                <w:szCs w:val="16"/>
              </w:rPr>
            </w:pPr>
            <w:r>
              <w:rPr>
                <w:rFonts w:ascii="宋体" w:eastAsia="宋体" w:hAnsi="宋体" w:cs="宋体"/>
                <w:spacing w:val="-5"/>
                <w:sz w:val="16"/>
                <w:szCs w:val="16"/>
              </w:rPr>
              <w:t>10</w:t>
            </w:r>
          </w:p>
        </w:tc>
        <w:tc>
          <w:tcPr>
            <w:tcW w:w="965" w:type="dxa"/>
          </w:tcPr>
          <w:p w:rsidR="00EA40A3" w:rsidRDefault="00E86C16">
            <w:pPr>
              <w:spacing w:before="95" w:line="184" w:lineRule="auto"/>
              <w:ind w:left="355"/>
              <w:rPr>
                <w:rFonts w:ascii="宋体" w:eastAsia="宋体" w:hAnsi="宋体" w:cs="宋体"/>
                <w:sz w:val="16"/>
                <w:szCs w:val="16"/>
              </w:rPr>
            </w:pPr>
            <w:r>
              <w:rPr>
                <w:rFonts w:ascii="宋体" w:eastAsia="宋体" w:hAnsi="宋体" w:cs="宋体"/>
                <w:spacing w:val="-5"/>
                <w:sz w:val="16"/>
                <w:szCs w:val="16"/>
              </w:rPr>
              <w:t>1.3</w:t>
            </w:r>
          </w:p>
        </w:tc>
      </w:tr>
      <w:tr w:rsidR="00EA40A3">
        <w:trPr>
          <w:trHeight w:val="278"/>
        </w:trPr>
        <w:tc>
          <w:tcPr>
            <w:tcW w:w="760" w:type="dxa"/>
          </w:tcPr>
          <w:p w:rsidR="00EA40A3" w:rsidRDefault="00E86C16">
            <w:pPr>
              <w:spacing w:before="51" w:line="220" w:lineRule="auto"/>
              <w:ind w:left="209"/>
              <w:rPr>
                <w:rFonts w:ascii="宋体" w:eastAsia="宋体" w:hAnsi="宋体" w:cs="宋体"/>
                <w:sz w:val="16"/>
                <w:szCs w:val="16"/>
              </w:rPr>
            </w:pPr>
            <w:r>
              <w:rPr>
                <w:rFonts w:ascii="宋体" w:eastAsia="宋体" w:hAnsi="宋体" w:cs="宋体"/>
                <w:spacing w:val="-2"/>
                <w:sz w:val="16"/>
                <w:szCs w:val="16"/>
              </w:rPr>
              <w:t>猪肝</w:t>
            </w:r>
          </w:p>
        </w:tc>
        <w:tc>
          <w:tcPr>
            <w:tcW w:w="859" w:type="dxa"/>
          </w:tcPr>
          <w:p w:rsidR="00EA40A3" w:rsidRDefault="00E86C16">
            <w:pPr>
              <w:spacing w:before="110" w:line="184" w:lineRule="auto"/>
              <w:ind w:left="269"/>
              <w:rPr>
                <w:rFonts w:ascii="宋体" w:eastAsia="宋体" w:hAnsi="宋体" w:cs="宋体"/>
                <w:sz w:val="16"/>
                <w:szCs w:val="16"/>
              </w:rPr>
            </w:pPr>
            <w:r>
              <w:rPr>
                <w:rFonts w:ascii="宋体" w:eastAsia="宋体" w:hAnsi="宋体" w:cs="宋体"/>
                <w:spacing w:val="-4"/>
                <w:sz w:val="16"/>
                <w:szCs w:val="16"/>
              </w:rPr>
              <w:t>19.3</w:t>
            </w:r>
          </w:p>
        </w:tc>
        <w:tc>
          <w:tcPr>
            <w:tcW w:w="905" w:type="dxa"/>
          </w:tcPr>
          <w:p w:rsidR="00EA40A3" w:rsidRDefault="00E86C16">
            <w:pPr>
              <w:spacing w:before="101" w:line="183" w:lineRule="auto"/>
              <w:ind w:left="350"/>
              <w:rPr>
                <w:rFonts w:ascii="宋体" w:eastAsia="宋体" w:hAnsi="宋体" w:cs="宋体"/>
                <w:sz w:val="16"/>
                <w:szCs w:val="16"/>
              </w:rPr>
            </w:pPr>
            <w:r>
              <w:rPr>
                <w:rFonts w:ascii="宋体" w:eastAsia="宋体" w:hAnsi="宋体" w:cs="宋体"/>
                <w:spacing w:val="-3"/>
                <w:sz w:val="16"/>
                <w:szCs w:val="16"/>
              </w:rPr>
              <w:t>3.5</w:t>
            </w:r>
          </w:p>
        </w:tc>
        <w:tc>
          <w:tcPr>
            <w:tcW w:w="975" w:type="dxa"/>
          </w:tcPr>
          <w:p w:rsidR="00EA40A3" w:rsidRDefault="00E86C16">
            <w:pPr>
              <w:spacing w:before="131" w:line="169" w:lineRule="auto"/>
              <w:ind w:left="355"/>
              <w:rPr>
                <w:rFonts w:ascii="宋体" w:eastAsia="宋体" w:hAnsi="宋体" w:cs="宋体"/>
                <w:sz w:val="16"/>
                <w:szCs w:val="16"/>
              </w:rPr>
            </w:pPr>
            <w:r>
              <w:rPr>
                <w:rFonts w:ascii="宋体" w:eastAsia="宋体" w:hAnsi="宋体" w:cs="宋体"/>
                <w:spacing w:val="-2"/>
                <w:sz w:val="16"/>
                <w:szCs w:val="16"/>
              </w:rPr>
              <w:t>0.21</w:t>
            </w:r>
          </w:p>
        </w:tc>
        <w:tc>
          <w:tcPr>
            <w:tcW w:w="955" w:type="dxa"/>
          </w:tcPr>
          <w:p w:rsidR="00EA40A3" w:rsidRDefault="00E86C16">
            <w:pPr>
              <w:spacing w:before="91" w:line="183" w:lineRule="auto"/>
              <w:ind w:left="340"/>
              <w:rPr>
                <w:rFonts w:ascii="宋体" w:eastAsia="宋体" w:hAnsi="宋体" w:cs="宋体"/>
                <w:sz w:val="16"/>
                <w:szCs w:val="16"/>
              </w:rPr>
            </w:pPr>
            <w:r>
              <w:rPr>
                <w:rFonts w:ascii="宋体" w:eastAsia="宋体" w:hAnsi="宋体" w:cs="宋体"/>
                <w:spacing w:val="-2"/>
                <w:sz w:val="16"/>
                <w:szCs w:val="16"/>
              </w:rPr>
              <w:t>2.08</w:t>
            </w:r>
          </w:p>
        </w:tc>
        <w:tc>
          <w:tcPr>
            <w:tcW w:w="920" w:type="dxa"/>
          </w:tcPr>
          <w:p w:rsidR="00EA40A3" w:rsidRDefault="00E86C16">
            <w:pPr>
              <w:spacing w:before="121" w:line="181" w:lineRule="auto"/>
              <w:ind w:left="335"/>
              <w:rPr>
                <w:rFonts w:ascii="宋体" w:eastAsia="宋体" w:hAnsi="宋体" w:cs="宋体"/>
                <w:sz w:val="16"/>
                <w:szCs w:val="16"/>
              </w:rPr>
            </w:pPr>
            <w:r>
              <w:rPr>
                <w:rFonts w:ascii="宋体" w:eastAsia="宋体" w:hAnsi="宋体" w:cs="宋体"/>
                <w:spacing w:val="-4"/>
                <w:sz w:val="16"/>
                <w:szCs w:val="16"/>
              </w:rPr>
              <w:t>15.0</w:t>
            </w:r>
          </w:p>
        </w:tc>
        <w:tc>
          <w:tcPr>
            <w:tcW w:w="980" w:type="dxa"/>
          </w:tcPr>
          <w:p w:rsidR="00EA40A3" w:rsidRDefault="00E86C16">
            <w:pPr>
              <w:spacing w:before="101" w:line="183" w:lineRule="auto"/>
              <w:ind w:left="345"/>
              <w:rPr>
                <w:rFonts w:ascii="宋体" w:eastAsia="宋体" w:hAnsi="宋体" w:cs="宋体"/>
                <w:sz w:val="16"/>
                <w:szCs w:val="16"/>
              </w:rPr>
            </w:pPr>
            <w:r>
              <w:rPr>
                <w:rFonts w:ascii="宋体" w:eastAsia="宋体" w:hAnsi="宋体" w:cs="宋体"/>
                <w:spacing w:val="-2"/>
                <w:sz w:val="16"/>
                <w:szCs w:val="16"/>
              </w:rPr>
              <w:t>4972</w:t>
            </w:r>
          </w:p>
        </w:tc>
        <w:tc>
          <w:tcPr>
            <w:tcW w:w="965" w:type="dxa"/>
          </w:tcPr>
          <w:p w:rsidR="00EA40A3" w:rsidRDefault="00E86C16">
            <w:pPr>
              <w:spacing w:before="111" w:line="183" w:lineRule="auto"/>
              <w:ind w:left="316"/>
              <w:rPr>
                <w:rFonts w:ascii="宋体" w:eastAsia="宋体" w:hAnsi="宋体" w:cs="宋体"/>
                <w:sz w:val="16"/>
                <w:szCs w:val="16"/>
              </w:rPr>
            </w:pPr>
            <w:r>
              <w:rPr>
                <w:rFonts w:ascii="宋体" w:eastAsia="宋体" w:hAnsi="宋体" w:cs="宋体"/>
                <w:spacing w:val="-2"/>
                <w:sz w:val="16"/>
                <w:szCs w:val="16"/>
              </w:rPr>
              <w:t>22.6</w:t>
            </w:r>
          </w:p>
        </w:tc>
      </w:tr>
      <w:tr w:rsidR="00EA40A3">
        <w:trPr>
          <w:trHeight w:val="259"/>
        </w:trPr>
        <w:tc>
          <w:tcPr>
            <w:tcW w:w="760" w:type="dxa"/>
          </w:tcPr>
          <w:p w:rsidR="00EA40A3" w:rsidRDefault="00E86C16">
            <w:pPr>
              <w:spacing w:before="43" w:line="220" w:lineRule="auto"/>
              <w:ind w:left="130"/>
              <w:rPr>
                <w:rFonts w:ascii="宋体" w:eastAsia="宋体" w:hAnsi="宋体" w:cs="宋体"/>
                <w:sz w:val="16"/>
                <w:szCs w:val="16"/>
              </w:rPr>
            </w:pPr>
            <w:r>
              <w:rPr>
                <w:rFonts w:ascii="宋体" w:eastAsia="宋体" w:hAnsi="宋体" w:cs="宋体"/>
                <w:spacing w:val="-3"/>
                <w:sz w:val="16"/>
                <w:szCs w:val="16"/>
              </w:rPr>
              <w:t>牛后腿</w:t>
            </w:r>
          </w:p>
        </w:tc>
        <w:tc>
          <w:tcPr>
            <w:tcW w:w="859" w:type="dxa"/>
          </w:tcPr>
          <w:p w:rsidR="00EA40A3" w:rsidRDefault="00E86C16">
            <w:pPr>
              <w:spacing w:before="82" w:line="184" w:lineRule="auto"/>
              <w:ind w:left="269"/>
              <w:rPr>
                <w:rFonts w:ascii="宋体" w:eastAsia="宋体" w:hAnsi="宋体" w:cs="宋体"/>
                <w:sz w:val="16"/>
                <w:szCs w:val="16"/>
              </w:rPr>
            </w:pPr>
            <w:r>
              <w:rPr>
                <w:rFonts w:ascii="宋体" w:eastAsia="宋体" w:hAnsi="宋体" w:cs="宋体"/>
                <w:spacing w:val="-4"/>
                <w:sz w:val="16"/>
                <w:szCs w:val="16"/>
              </w:rPr>
              <w:t>19.8</w:t>
            </w:r>
          </w:p>
        </w:tc>
        <w:tc>
          <w:tcPr>
            <w:tcW w:w="905" w:type="dxa"/>
          </w:tcPr>
          <w:p w:rsidR="00EA40A3" w:rsidRDefault="00E86C16">
            <w:pPr>
              <w:spacing w:before="83" w:line="183" w:lineRule="auto"/>
              <w:ind w:left="350"/>
              <w:rPr>
                <w:rFonts w:ascii="宋体" w:eastAsia="宋体" w:hAnsi="宋体" w:cs="宋体"/>
                <w:sz w:val="16"/>
                <w:szCs w:val="16"/>
              </w:rPr>
            </w:pPr>
            <w:r>
              <w:rPr>
                <w:rFonts w:ascii="宋体" w:eastAsia="宋体" w:hAnsi="宋体" w:cs="宋体"/>
                <w:spacing w:val="-2"/>
                <w:sz w:val="16"/>
                <w:szCs w:val="16"/>
              </w:rPr>
              <w:t>2.0</w:t>
            </w:r>
          </w:p>
        </w:tc>
        <w:tc>
          <w:tcPr>
            <w:tcW w:w="975" w:type="dxa"/>
          </w:tcPr>
          <w:p w:rsidR="00EA40A3" w:rsidRDefault="00E86C16">
            <w:pPr>
              <w:spacing w:before="83" w:line="183" w:lineRule="auto"/>
              <w:ind w:left="355"/>
              <w:rPr>
                <w:rFonts w:ascii="宋体" w:eastAsia="宋体" w:hAnsi="宋体" w:cs="宋体"/>
                <w:sz w:val="16"/>
                <w:szCs w:val="16"/>
              </w:rPr>
            </w:pPr>
            <w:r>
              <w:rPr>
                <w:rFonts w:ascii="宋体" w:eastAsia="宋体" w:hAnsi="宋体" w:cs="宋体"/>
                <w:spacing w:val="-2"/>
                <w:sz w:val="16"/>
                <w:szCs w:val="16"/>
              </w:rPr>
              <w:t>0.02</w:t>
            </w:r>
          </w:p>
        </w:tc>
        <w:tc>
          <w:tcPr>
            <w:tcW w:w="955" w:type="dxa"/>
          </w:tcPr>
          <w:p w:rsidR="00EA40A3" w:rsidRDefault="00E86C16">
            <w:pPr>
              <w:spacing w:before="82" w:line="184" w:lineRule="auto"/>
              <w:ind w:left="340"/>
              <w:rPr>
                <w:rFonts w:ascii="宋体" w:eastAsia="宋体" w:hAnsi="宋体" w:cs="宋体"/>
                <w:sz w:val="16"/>
                <w:szCs w:val="16"/>
              </w:rPr>
            </w:pPr>
            <w:r>
              <w:rPr>
                <w:rFonts w:ascii="宋体" w:eastAsia="宋体" w:hAnsi="宋体" w:cs="宋体"/>
                <w:spacing w:val="-2"/>
                <w:sz w:val="16"/>
                <w:szCs w:val="16"/>
              </w:rPr>
              <w:t>0.18</w:t>
            </w:r>
          </w:p>
        </w:tc>
        <w:tc>
          <w:tcPr>
            <w:tcW w:w="920" w:type="dxa"/>
          </w:tcPr>
          <w:p w:rsidR="00EA40A3" w:rsidRDefault="00E86C16">
            <w:pPr>
              <w:spacing w:before="84" w:line="182" w:lineRule="auto"/>
              <w:ind w:left="375"/>
              <w:rPr>
                <w:rFonts w:ascii="宋体" w:eastAsia="宋体" w:hAnsi="宋体" w:cs="宋体"/>
                <w:sz w:val="16"/>
                <w:szCs w:val="16"/>
              </w:rPr>
            </w:pPr>
            <w:r>
              <w:rPr>
                <w:rFonts w:ascii="宋体" w:eastAsia="宋体" w:hAnsi="宋体" w:cs="宋体"/>
                <w:spacing w:val="-3"/>
                <w:sz w:val="16"/>
                <w:szCs w:val="16"/>
              </w:rPr>
              <w:t>5.7</w:t>
            </w:r>
          </w:p>
        </w:tc>
        <w:tc>
          <w:tcPr>
            <w:tcW w:w="980" w:type="dxa"/>
          </w:tcPr>
          <w:p w:rsidR="00EA40A3" w:rsidRDefault="00E86C16">
            <w:pPr>
              <w:spacing w:before="83" w:line="183" w:lineRule="auto"/>
              <w:ind w:left="465"/>
              <w:rPr>
                <w:rFonts w:ascii="宋体" w:eastAsia="宋体" w:hAnsi="宋体" w:cs="宋体"/>
                <w:sz w:val="16"/>
                <w:szCs w:val="16"/>
              </w:rPr>
            </w:pPr>
            <w:r>
              <w:rPr>
                <w:rFonts w:ascii="宋体" w:eastAsia="宋体" w:hAnsi="宋体" w:cs="宋体"/>
                <w:sz w:val="16"/>
                <w:szCs w:val="16"/>
              </w:rPr>
              <w:t>2</w:t>
            </w:r>
          </w:p>
        </w:tc>
        <w:tc>
          <w:tcPr>
            <w:tcW w:w="965" w:type="dxa"/>
          </w:tcPr>
          <w:p w:rsidR="00EA40A3" w:rsidRDefault="00E86C16">
            <w:pPr>
              <w:spacing w:before="82" w:line="184" w:lineRule="auto"/>
              <w:ind w:left="355"/>
              <w:rPr>
                <w:rFonts w:ascii="宋体" w:eastAsia="宋体" w:hAnsi="宋体" w:cs="宋体"/>
                <w:sz w:val="16"/>
                <w:szCs w:val="16"/>
              </w:rPr>
            </w:pPr>
            <w:r>
              <w:rPr>
                <w:rFonts w:ascii="宋体" w:eastAsia="宋体" w:hAnsi="宋体" w:cs="宋体"/>
                <w:spacing w:val="-2"/>
                <w:sz w:val="16"/>
                <w:szCs w:val="16"/>
              </w:rPr>
              <w:t>2.1</w:t>
            </w:r>
          </w:p>
        </w:tc>
      </w:tr>
      <w:tr w:rsidR="00EA40A3">
        <w:trPr>
          <w:trHeight w:val="283"/>
        </w:trPr>
        <w:tc>
          <w:tcPr>
            <w:tcW w:w="760" w:type="dxa"/>
          </w:tcPr>
          <w:p w:rsidR="00EA40A3" w:rsidRDefault="00E86C16">
            <w:pPr>
              <w:spacing w:before="74" w:line="220" w:lineRule="auto"/>
              <w:ind w:left="130"/>
              <w:rPr>
                <w:rFonts w:ascii="宋体" w:eastAsia="宋体" w:hAnsi="宋体" w:cs="宋体"/>
                <w:sz w:val="16"/>
                <w:szCs w:val="16"/>
              </w:rPr>
            </w:pPr>
            <w:r>
              <w:rPr>
                <w:rFonts w:ascii="宋体" w:eastAsia="宋体" w:hAnsi="宋体" w:cs="宋体"/>
                <w:spacing w:val="-3"/>
                <w:sz w:val="16"/>
                <w:szCs w:val="16"/>
              </w:rPr>
              <w:t>羊后腿</w:t>
            </w:r>
          </w:p>
        </w:tc>
        <w:tc>
          <w:tcPr>
            <w:tcW w:w="859" w:type="dxa"/>
          </w:tcPr>
          <w:p w:rsidR="00EA40A3" w:rsidRDefault="00E86C16">
            <w:pPr>
              <w:spacing w:before="113" w:line="184" w:lineRule="auto"/>
              <w:ind w:left="269"/>
              <w:rPr>
                <w:rFonts w:ascii="宋体" w:eastAsia="宋体" w:hAnsi="宋体" w:cs="宋体"/>
                <w:sz w:val="16"/>
                <w:szCs w:val="16"/>
              </w:rPr>
            </w:pPr>
            <w:r>
              <w:rPr>
                <w:rFonts w:ascii="宋体" w:eastAsia="宋体" w:hAnsi="宋体" w:cs="宋体"/>
                <w:spacing w:val="-4"/>
                <w:sz w:val="16"/>
                <w:szCs w:val="16"/>
              </w:rPr>
              <w:t>15.5</w:t>
            </w:r>
          </w:p>
        </w:tc>
        <w:tc>
          <w:tcPr>
            <w:tcW w:w="905" w:type="dxa"/>
          </w:tcPr>
          <w:p w:rsidR="00EA40A3" w:rsidRDefault="00E86C16">
            <w:pPr>
              <w:spacing w:before="114" w:line="183" w:lineRule="auto"/>
              <w:ind w:left="350"/>
              <w:rPr>
                <w:rFonts w:ascii="宋体" w:eastAsia="宋体" w:hAnsi="宋体" w:cs="宋体"/>
                <w:sz w:val="16"/>
                <w:szCs w:val="16"/>
              </w:rPr>
            </w:pPr>
            <w:r>
              <w:rPr>
                <w:rFonts w:ascii="宋体" w:eastAsia="宋体" w:hAnsi="宋体" w:cs="宋体"/>
                <w:spacing w:val="-2"/>
                <w:sz w:val="16"/>
                <w:szCs w:val="16"/>
              </w:rPr>
              <w:t>4.0</w:t>
            </w:r>
          </w:p>
        </w:tc>
        <w:tc>
          <w:tcPr>
            <w:tcW w:w="975" w:type="dxa"/>
          </w:tcPr>
          <w:p w:rsidR="00EA40A3" w:rsidRDefault="00E86C16">
            <w:pPr>
              <w:spacing w:before="114" w:line="183" w:lineRule="auto"/>
              <w:ind w:left="355"/>
              <w:rPr>
                <w:rFonts w:ascii="宋体" w:eastAsia="宋体" w:hAnsi="宋体" w:cs="宋体"/>
                <w:sz w:val="16"/>
                <w:szCs w:val="16"/>
              </w:rPr>
            </w:pPr>
            <w:r>
              <w:rPr>
                <w:rFonts w:ascii="宋体" w:eastAsia="宋体" w:hAnsi="宋体" w:cs="宋体"/>
                <w:spacing w:val="-2"/>
                <w:sz w:val="16"/>
                <w:szCs w:val="16"/>
              </w:rPr>
              <w:t>0.06</w:t>
            </w:r>
          </w:p>
        </w:tc>
        <w:tc>
          <w:tcPr>
            <w:tcW w:w="955" w:type="dxa"/>
          </w:tcPr>
          <w:p w:rsidR="00EA40A3" w:rsidRDefault="00E86C16">
            <w:pPr>
              <w:spacing w:before="114" w:line="183" w:lineRule="auto"/>
              <w:ind w:left="340"/>
              <w:rPr>
                <w:rFonts w:ascii="宋体" w:eastAsia="宋体" w:hAnsi="宋体" w:cs="宋体"/>
                <w:sz w:val="16"/>
                <w:szCs w:val="16"/>
              </w:rPr>
            </w:pPr>
            <w:r>
              <w:rPr>
                <w:rFonts w:ascii="宋体" w:eastAsia="宋体" w:hAnsi="宋体" w:cs="宋体"/>
                <w:spacing w:val="-2"/>
                <w:sz w:val="16"/>
                <w:szCs w:val="16"/>
              </w:rPr>
              <w:t>0.22</w:t>
            </w:r>
          </w:p>
        </w:tc>
        <w:tc>
          <w:tcPr>
            <w:tcW w:w="920" w:type="dxa"/>
          </w:tcPr>
          <w:p w:rsidR="00EA40A3" w:rsidRDefault="00E86C16">
            <w:pPr>
              <w:spacing w:before="114" w:line="183" w:lineRule="auto"/>
              <w:ind w:left="375"/>
              <w:rPr>
                <w:rFonts w:ascii="宋体" w:eastAsia="宋体" w:hAnsi="宋体" w:cs="宋体"/>
                <w:sz w:val="16"/>
                <w:szCs w:val="16"/>
              </w:rPr>
            </w:pPr>
            <w:r>
              <w:rPr>
                <w:rFonts w:ascii="宋体" w:eastAsia="宋体" w:hAnsi="宋体" w:cs="宋体"/>
                <w:spacing w:val="-2"/>
                <w:sz w:val="16"/>
                <w:szCs w:val="16"/>
              </w:rPr>
              <w:t>4.8</w:t>
            </w:r>
          </w:p>
        </w:tc>
        <w:tc>
          <w:tcPr>
            <w:tcW w:w="980" w:type="dxa"/>
          </w:tcPr>
          <w:p w:rsidR="00EA40A3" w:rsidRDefault="00E86C16">
            <w:pPr>
              <w:spacing w:before="114" w:line="183" w:lineRule="auto"/>
              <w:ind w:left="465"/>
              <w:rPr>
                <w:rFonts w:ascii="宋体" w:eastAsia="宋体" w:hAnsi="宋体" w:cs="宋体"/>
                <w:sz w:val="16"/>
                <w:szCs w:val="16"/>
              </w:rPr>
            </w:pPr>
            <w:r>
              <w:rPr>
                <w:rFonts w:ascii="宋体" w:eastAsia="宋体" w:hAnsi="宋体" w:cs="宋体"/>
                <w:sz w:val="16"/>
                <w:szCs w:val="16"/>
              </w:rPr>
              <w:t>8</w:t>
            </w:r>
          </w:p>
        </w:tc>
        <w:tc>
          <w:tcPr>
            <w:tcW w:w="965" w:type="dxa"/>
          </w:tcPr>
          <w:p w:rsidR="00EA40A3" w:rsidRDefault="00E86C16">
            <w:pPr>
              <w:spacing w:before="113" w:line="184" w:lineRule="auto"/>
              <w:ind w:left="355"/>
              <w:rPr>
                <w:rFonts w:ascii="宋体" w:eastAsia="宋体" w:hAnsi="宋体" w:cs="宋体"/>
                <w:sz w:val="16"/>
                <w:szCs w:val="16"/>
              </w:rPr>
            </w:pPr>
            <w:r>
              <w:rPr>
                <w:rFonts w:ascii="宋体" w:eastAsia="宋体" w:hAnsi="宋体" w:cs="宋体"/>
                <w:spacing w:val="-5"/>
                <w:sz w:val="16"/>
                <w:szCs w:val="16"/>
              </w:rPr>
              <w:t>1.7</w:t>
            </w:r>
          </w:p>
        </w:tc>
      </w:tr>
      <w:tr w:rsidR="00EA40A3">
        <w:trPr>
          <w:trHeight w:val="248"/>
        </w:trPr>
        <w:tc>
          <w:tcPr>
            <w:tcW w:w="760" w:type="dxa"/>
            <w:tcBorders>
              <w:bottom w:val="single" w:sz="4" w:space="0" w:color="000000"/>
            </w:tcBorders>
          </w:tcPr>
          <w:p w:rsidR="00EA40A3" w:rsidRDefault="00E86C16">
            <w:pPr>
              <w:spacing w:before="72" w:line="203" w:lineRule="auto"/>
              <w:ind w:left="209"/>
              <w:rPr>
                <w:rFonts w:ascii="宋体" w:eastAsia="宋体" w:hAnsi="宋体" w:cs="宋体"/>
                <w:sz w:val="16"/>
                <w:szCs w:val="16"/>
              </w:rPr>
            </w:pPr>
            <w:r>
              <w:rPr>
                <w:rFonts w:ascii="宋体" w:eastAsia="宋体" w:hAnsi="宋体" w:cs="宋体"/>
                <w:spacing w:val="7"/>
                <w:sz w:val="16"/>
                <w:szCs w:val="16"/>
              </w:rPr>
              <w:t>兔肉</w:t>
            </w:r>
          </w:p>
        </w:tc>
        <w:tc>
          <w:tcPr>
            <w:tcW w:w="859" w:type="dxa"/>
            <w:tcBorders>
              <w:bottom w:val="single" w:sz="4" w:space="0" w:color="000000"/>
            </w:tcBorders>
          </w:tcPr>
          <w:p w:rsidR="00EA40A3" w:rsidRDefault="00E86C16">
            <w:pPr>
              <w:spacing w:before="111" w:line="158" w:lineRule="auto"/>
              <w:ind w:left="269"/>
              <w:rPr>
                <w:rFonts w:ascii="宋体" w:eastAsia="宋体" w:hAnsi="宋体" w:cs="宋体"/>
                <w:sz w:val="16"/>
                <w:szCs w:val="16"/>
              </w:rPr>
            </w:pPr>
            <w:r>
              <w:rPr>
                <w:rFonts w:ascii="宋体" w:eastAsia="宋体" w:hAnsi="宋体" w:cs="宋体"/>
                <w:spacing w:val="-4"/>
                <w:sz w:val="16"/>
                <w:szCs w:val="16"/>
              </w:rPr>
              <w:t>19.7</w:t>
            </w:r>
          </w:p>
        </w:tc>
        <w:tc>
          <w:tcPr>
            <w:tcW w:w="905" w:type="dxa"/>
            <w:tcBorders>
              <w:bottom w:val="single" w:sz="4" w:space="0" w:color="000000"/>
            </w:tcBorders>
          </w:tcPr>
          <w:p w:rsidR="00EA40A3" w:rsidRDefault="00E86C16">
            <w:pPr>
              <w:spacing w:before="91" w:line="180" w:lineRule="auto"/>
              <w:ind w:left="350"/>
              <w:rPr>
                <w:rFonts w:ascii="宋体" w:eastAsia="宋体" w:hAnsi="宋体" w:cs="宋体"/>
                <w:sz w:val="16"/>
                <w:szCs w:val="16"/>
              </w:rPr>
            </w:pPr>
            <w:r>
              <w:rPr>
                <w:rFonts w:ascii="宋体" w:eastAsia="宋体" w:hAnsi="宋体" w:cs="宋体"/>
                <w:spacing w:val="-2"/>
                <w:sz w:val="16"/>
                <w:szCs w:val="16"/>
              </w:rPr>
              <w:t>2.2</w:t>
            </w:r>
          </w:p>
        </w:tc>
        <w:tc>
          <w:tcPr>
            <w:tcW w:w="975" w:type="dxa"/>
            <w:tcBorders>
              <w:bottom w:val="single" w:sz="4" w:space="0" w:color="000000"/>
            </w:tcBorders>
          </w:tcPr>
          <w:p w:rsidR="00EA40A3" w:rsidRDefault="00E86C16">
            <w:pPr>
              <w:spacing w:before="91" w:line="181" w:lineRule="auto"/>
              <w:ind w:left="355"/>
              <w:rPr>
                <w:rFonts w:ascii="宋体" w:eastAsia="宋体" w:hAnsi="宋体" w:cs="宋体"/>
                <w:sz w:val="16"/>
                <w:szCs w:val="16"/>
              </w:rPr>
            </w:pPr>
            <w:r>
              <w:rPr>
                <w:rFonts w:ascii="宋体" w:eastAsia="宋体" w:hAnsi="宋体" w:cs="宋体"/>
                <w:spacing w:val="-2"/>
                <w:sz w:val="16"/>
                <w:szCs w:val="16"/>
              </w:rPr>
              <w:t>0.11</w:t>
            </w:r>
          </w:p>
        </w:tc>
        <w:tc>
          <w:tcPr>
            <w:tcW w:w="955" w:type="dxa"/>
            <w:tcBorders>
              <w:bottom w:val="single" w:sz="4" w:space="0" w:color="000000"/>
            </w:tcBorders>
          </w:tcPr>
          <w:p w:rsidR="00EA40A3" w:rsidRDefault="00E86C16">
            <w:pPr>
              <w:spacing w:before="91" w:line="181" w:lineRule="auto"/>
              <w:ind w:left="340"/>
              <w:rPr>
                <w:rFonts w:ascii="宋体" w:eastAsia="宋体" w:hAnsi="宋体" w:cs="宋体"/>
                <w:sz w:val="16"/>
                <w:szCs w:val="16"/>
              </w:rPr>
            </w:pPr>
            <w:r>
              <w:rPr>
                <w:rFonts w:ascii="宋体" w:eastAsia="宋体" w:hAnsi="宋体" w:cs="宋体"/>
                <w:spacing w:val="-2"/>
                <w:sz w:val="16"/>
                <w:szCs w:val="16"/>
              </w:rPr>
              <w:t>0.10</w:t>
            </w:r>
          </w:p>
        </w:tc>
        <w:tc>
          <w:tcPr>
            <w:tcW w:w="920" w:type="dxa"/>
            <w:tcBorders>
              <w:bottom w:val="single" w:sz="4" w:space="0" w:color="000000"/>
            </w:tcBorders>
          </w:tcPr>
          <w:p w:rsidR="00EA40A3" w:rsidRDefault="00E86C16">
            <w:pPr>
              <w:spacing w:before="91" w:line="180" w:lineRule="auto"/>
              <w:ind w:left="375"/>
              <w:rPr>
                <w:rFonts w:ascii="宋体" w:eastAsia="宋体" w:hAnsi="宋体" w:cs="宋体"/>
                <w:sz w:val="16"/>
                <w:szCs w:val="16"/>
              </w:rPr>
            </w:pPr>
            <w:r>
              <w:rPr>
                <w:rFonts w:ascii="宋体" w:eastAsia="宋体" w:hAnsi="宋体" w:cs="宋体"/>
                <w:spacing w:val="-3"/>
                <w:sz w:val="16"/>
                <w:szCs w:val="16"/>
              </w:rPr>
              <w:t>5.8</w:t>
            </w:r>
          </w:p>
        </w:tc>
        <w:tc>
          <w:tcPr>
            <w:tcW w:w="980" w:type="dxa"/>
            <w:tcBorders>
              <w:bottom w:val="single" w:sz="4" w:space="0" w:color="000000"/>
            </w:tcBorders>
          </w:tcPr>
          <w:p w:rsidR="00EA40A3" w:rsidRDefault="00E86C16">
            <w:pPr>
              <w:spacing w:before="91" w:line="181" w:lineRule="auto"/>
              <w:ind w:left="386"/>
              <w:rPr>
                <w:rFonts w:ascii="宋体" w:eastAsia="宋体" w:hAnsi="宋体" w:cs="宋体"/>
                <w:sz w:val="16"/>
                <w:szCs w:val="16"/>
              </w:rPr>
            </w:pPr>
            <w:r>
              <w:rPr>
                <w:rFonts w:ascii="宋体" w:eastAsia="宋体" w:hAnsi="宋体" w:cs="宋体"/>
                <w:spacing w:val="-2"/>
                <w:sz w:val="16"/>
                <w:szCs w:val="16"/>
              </w:rPr>
              <w:t>212</w:t>
            </w:r>
          </w:p>
        </w:tc>
        <w:tc>
          <w:tcPr>
            <w:tcW w:w="965" w:type="dxa"/>
            <w:tcBorders>
              <w:bottom w:val="single" w:sz="4" w:space="0" w:color="000000"/>
            </w:tcBorders>
          </w:tcPr>
          <w:p w:rsidR="00EA40A3" w:rsidRDefault="00E86C16">
            <w:pPr>
              <w:spacing w:before="91" w:line="180" w:lineRule="auto"/>
              <w:ind w:left="355"/>
              <w:rPr>
                <w:rFonts w:ascii="宋体" w:eastAsia="宋体" w:hAnsi="宋体" w:cs="宋体"/>
                <w:sz w:val="16"/>
                <w:szCs w:val="16"/>
              </w:rPr>
            </w:pPr>
            <w:r>
              <w:rPr>
                <w:rFonts w:ascii="宋体" w:eastAsia="宋体" w:hAnsi="宋体" w:cs="宋体"/>
                <w:spacing w:val="-2"/>
                <w:sz w:val="16"/>
                <w:szCs w:val="16"/>
              </w:rPr>
              <w:t>2.0</w:t>
            </w:r>
          </w:p>
        </w:tc>
      </w:tr>
    </w:tbl>
    <w:p w:rsidR="00EA40A3" w:rsidRDefault="00E86C16">
      <w:pPr>
        <w:spacing w:before="120" w:line="266" w:lineRule="auto"/>
        <w:ind w:left="359" w:right="188" w:hanging="20"/>
        <w:rPr>
          <w:rFonts w:ascii="宋体" w:eastAsia="宋体" w:hAnsi="宋体" w:cs="宋体"/>
          <w:sz w:val="16"/>
          <w:szCs w:val="16"/>
        </w:rPr>
      </w:pPr>
      <w:r>
        <w:rPr>
          <w:rFonts w:ascii="宋体" w:eastAsia="宋体" w:hAnsi="宋体" w:cs="宋体"/>
          <w:sz w:val="16"/>
          <w:szCs w:val="16"/>
        </w:rPr>
        <w:t>资料来源：预防医学科学院食品营养与卫生研究所.1991.食品成分表(全国代表值).北京：人民卫</w:t>
      </w:r>
      <w:r>
        <w:rPr>
          <w:rFonts w:ascii="宋体" w:eastAsia="宋体" w:hAnsi="宋体" w:cs="宋体"/>
          <w:spacing w:val="6"/>
          <w:sz w:val="16"/>
          <w:szCs w:val="16"/>
        </w:rPr>
        <w:t xml:space="preserve"> </w:t>
      </w:r>
      <w:r>
        <w:rPr>
          <w:rFonts w:ascii="宋体" w:eastAsia="宋体" w:hAnsi="宋体" w:cs="宋体"/>
          <w:spacing w:val="-2"/>
          <w:sz w:val="16"/>
          <w:szCs w:val="16"/>
        </w:rPr>
        <w:t>生出版社</w:t>
      </w:r>
    </w:p>
    <w:p w:rsidR="00EA40A3" w:rsidRDefault="00E86C16">
      <w:pPr>
        <w:spacing w:before="232" w:line="224" w:lineRule="auto"/>
        <w:rPr>
          <w:rFonts w:ascii="仿宋" w:eastAsia="仿宋" w:hAnsi="仿宋" w:cs="仿宋"/>
        </w:rPr>
      </w:pPr>
      <w:r>
        <w:rPr>
          <w:rFonts w:ascii="仿宋" w:eastAsia="仿宋" w:hAnsi="仿宋" w:cs="仿宋"/>
        </w:rPr>
        <w:t>2.</w:t>
      </w:r>
      <w:r>
        <w:rPr>
          <w:rFonts w:ascii="仿宋" w:eastAsia="仿宋" w:hAnsi="仿宋" w:cs="仿宋"/>
          <w:spacing w:val="36"/>
        </w:rPr>
        <w:t xml:space="preserve"> </w:t>
      </w:r>
      <w:r>
        <w:rPr>
          <w:rFonts w:ascii="仿宋" w:eastAsia="仿宋" w:hAnsi="仿宋" w:cs="仿宋"/>
        </w:rPr>
        <w:t>禽肉</w:t>
      </w:r>
    </w:p>
    <w:p w:rsidR="00EA40A3" w:rsidRDefault="00E86C16">
      <w:pPr>
        <w:spacing w:before="226" w:line="219" w:lineRule="auto"/>
        <w:ind w:left="419"/>
        <w:rPr>
          <w:rFonts w:ascii="宋体" w:eastAsia="宋体" w:hAnsi="宋体" w:cs="宋体"/>
        </w:rPr>
      </w:pPr>
      <w:r>
        <w:rPr>
          <w:rFonts w:ascii="宋体" w:eastAsia="宋体" w:hAnsi="宋体" w:cs="宋体"/>
          <w:spacing w:val="-3"/>
        </w:rPr>
        <w:t>鸡、鸭、鹅、鹌鹑、火鸡、鸵鸟等统称禽类，以鸡为代表。它们被称为“白</w:t>
      </w:r>
    </w:p>
    <w:p w:rsidR="00EA40A3" w:rsidRDefault="00EA40A3">
      <w:pPr>
        <w:sectPr w:rsidR="00EA40A3">
          <w:footerReference w:type="default" r:id="rId182"/>
          <w:pgSz w:w="9220" w:h="13360"/>
          <w:pgMar w:top="400" w:right="954" w:bottom="1227" w:left="930" w:header="0" w:footer="1018" w:gutter="0"/>
          <w:cols w:space="720"/>
        </w:sectPr>
      </w:pPr>
    </w:p>
    <w:p w:rsidR="00EA40A3" w:rsidRDefault="00EA40A3">
      <w:pPr>
        <w:spacing w:line="293" w:lineRule="auto"/>
      </w:pPr>
    </w:p>
    <w:p w:rsidR="00EA40A3" w:rsidRDefault="00EA40A3">
      <w:pPr>
        <w:spacing w:line="293" w:lineRule="auto"/>
      </w:pPr>
    </w:p>
    <w:p w:rsidR="00EA40A3" w:rsidRDefault="00E86C16">
      <w:pPr>
        <w:spacing w:before="65" w:line="252" w:lineRule="auto"/>
        <w:ind w:right="889"/>
        <w:rPr>
          <w:rFonts w:ascii="楷体" w:eastAsia="楷体" w:hAnsi="楷体" w:cs="楷体"/>
          <w:sz w:val="20"/>
          <w:szCs w:val="20"/>
        </w:rPr>
      </w:pPr>
      <w:r>
        <w:rPr>
          <w:rFonts w:ascii="宋体" w:eastAsia="宋体" w:hAnsi="宋体" w:cs="宋体"/>
          <w:spacing w:val="4"/>
          <w:sz w:val="20"/>
          <w:szCs w:val="20"/>
        </w:rPr>
        <w:t>肉”,与被称为“红肉”的畜肉相比，在脂肪含量和质量方面具有优势。</w:t>
      </w:r>
      <w:r>
        <w:rPr>
          <w:rFonts w:ascii="宋体" w:eastAsia="宋体" w:hAnsi="宋体" w:cs="宋体"/>
          <w:spacing w:val="1"/>
          <w:sz w:val="20"/>
          <w:szCs w:val="20"/>
        </w:rPr>
        <w:t xml:space="preserve"> </w:t>
      </w:r>
      <w:r>
        <w:rPr>
          <w:rFonts w:ascii="楷体" w:eastAsia="楷体" w:hAnsi="楷体" w:cs="楷体"/>
          <w:spacing w:val="21"/>
          <w:sz w:val="20"/>
          <w:szCs w:val="20"/>
        </w:rPr>
        <w:t>1)蛋白质</w:t>
      </w:r>
    </w:p>
    <w:p w:rsidR="00EA40A3" w:rsidRDefault="00E86C16">
      <w:pPr>
        <w:spacing w:before="55" w:line="266" w:lineRule="auto"/>
        <w:ind w:right="82" w:firstLine="349"/>
        <w:jc w:val="both"/>
        <w:rPr>
          <w:rFonts w:ascii="宋体" w:eastAsia="宋体" w:hAnsi="宋体" w:cs="宋体"/>
          <w:sz w:val="20"/>
          <w:szCs w:val="20"/>
        </w:rPr>
      </w:pPr>
      <w:r>
        <w:rPr>
          <w:rFonts w:ascii="宋体" w:eastAsia="宋体" w:hAnsi="宋体" w:cs="宋体"/>
          <w:spacing w:val="16"/>
          <w:sz w:val="20"/>
          <w:szCs w:val="20"/>
        </w:rPr>
        <w:t>去皮鸡肉和鹤鹑的蛋白质含量比畜肉稍高，为20%左右。鸭、鹅的蛋白质</w:t>
      </w:r>
      <w:r>
        <w:rPr>
          <w:rFonts w:ascii="宋体" w:eastAsia="宋体" w:hAnsi="宋体" w:cs="宋体"/>
          <w:spacing w:val="13"/>
          <w:sz w:val="20"/>
          <w:szCs w:val="20"/>
        </w:rPr>
        <w:t xml:space="preserve"> </w:t>
      </w:r>
      <w:r>
        <w:rPr>
          <w:rFonts w:ascii="宋体" w:eastAsia="宋体" w:hAnsi="宋体" w:cs="宋体"/>
          <w:spacing w:val="18"/>
          <w:sz w:val="20"/>
          <w:szCs w:val="20"/>
        </w:rPr>
        <w:t>含量分别为16%和18%。禽肉的蛋白质也是优质蛋</w:t>
      </w:r>
      <w:r>
        <w:rPr>
          <w:rFonts w:ascii="宋体" w:eastAsia="宋体" w:hAnsi="宋体" w:cs="宋体"/>
          <w:spacing w:val="17"/>
          <w:sz w:val="20"/>
          <w:szCs w:val="20"/>
        </w:rPr>
        <w:t>白，生物价与猪肉和牛肉相</w:t>
      </w:r>
      <w:r>
        <w:rPr>
          <w:rFonts w:ascii="宋体" w:eastAsia="宋体" w:hAnsi="宋体" w:cs="宋体"/>
          <w:sz w:val="20"/>
          <w:szCs w:val="20"/>
        </w:rPr>
        <w:t xml:space="preserve"> </w:t>
      </w:r>
      <w:r>
        <w:rPr>
          <w:rFonts w:ascii="宋体" w:eastAsia="宋体" w:hAnsi="宋体" w:cs="宋体"/>
          <w:spacing w:val="18"/>
          <w:sz w:val="20"/>
          <w:szCs w:val="20"/>
        </w:rPr>
        <w:t>当。各部位的蛋白质含量略有差异，如鸡胸肉的蛋白质含量约为20%,鸡翅约</w:t>
      </w:r>
      <w:r>
        <w:rPr>
          <w:rFonts w:ascii="宋体" w:eastAsia="宋体" w:hAnsi="宋体" w:cs="宋体"/>
          <w:spacing w:val="6"/>
          <w:sz w:val="20"/>
          <w:szCs w:val="20"/>
        </w:rPr>
        <w:t xml:space="preserve"> </w:t>
      </w:r>
      <w:r>
        <w:rPr>
          <w:rFonts w:ascii="宋体" w:eastAsia="宋体" w:hAnsi="宋体" w:cs="宋体"/>
          <w:spacing w:val="22"/>
          <w:sz w:val="20"/>
          <w:szCs w:val="20"/>
        </w:rPr>
        <w:t>为17%。在禽类内脏中，胗的蛋白质含量较高，为18%～20%,肝脏和心脏含</w:t>
      </w:r>
      <w:r>
        <w:rPr>
          <w:rFonts w:ascii="宋体" w:eastAsia="宋体" w:hAnsi="宋体" w:cs="宋体"/>
          <w:spacing w:val="14"/>
          <w:sz w:val="20"/>
          <w:szCs w:val="20"/>
        </w:rPr>
        <w:t xml:space="preserve"> </w:t>
      </w:r>
      <w:r>
        <w:rPr>
          <w:rFonts w:ascii="宋体" w:eastAsia="宋体" w:hAnsi="宋体" w:cs="宋体"/>
          <w:spacing w:val="22"/>
          <w:sz w:val="20"/>
          <w:szCs w:val="20"/>
        </w:rPr>
        <w:t>蛋白质13%～17%。</w:t>
      </w:r>
    </w:p>
    <w:p w:rsidR="00EA40A3" w:rsidRDefault="00E86C16">
      <w:pPr>
        <w:spacing w:before="71" w:line="220" w:lineRule="auto"/>
        <w:rPr>
          <w:rFonts w:ascii="宋体" w:eastAsia="宋体" w:hAnsi="宋体" w:cs="宋体"/>
          <w:sz w:val="20"/>
          <w:szCs w:val="20"/>
        </w:rPr>
      </w:pPr>
      <w:r>
        <w:rPr>
          <w:rFonts w:ascii="宋体" w:eastAsia="宋体" w:hAnsi="宋体" w:cs="宋体"/>
          <w:spacing w:val="25"/>
          <w:sz w:val="20"/>
          <w:szCs w:val="20"/>
        </w:rPr>
        <w:t>2)脂肪</w:t>
      </w:r>
    </w:p>
    <w:p w:rsidR="00EA40A3" w:rsidRDefault="00E86C16">
      <w:pPr>
        <w:spacing w:before="72" w:line="267" w:lineRule="auto"/>
        <w:ind w:firstLine="349"/>
        <w:rPr>
          <w:rFonts w:ascii="宋体" w:eastAsia="宋体" w:hAnsi="宋体" w:cs="宋体"/>
          <w:sz w:val="20"/>
          <w:szCs w:val="20"/>
        </w:rPr>
      </w:pPr>
      <w:r>
        <w:rPr>
          <w:rFonts w:ascii="宋体" w:eastAsia="宋体" w:hAnsi="宋体" w:cs="宋体"/>
          <w:spacing w:val="12"/>
          <w:sz w:val="20"/>
          <w:szCs w:val="20"/>
        </w:rPr>
        <w:t>在各种肉用禽类中，火鸡和鹌鹑的脂肪含量较低，在3%以下；鸡和鸽子</w:t>
      </w:r>
      <w:r>
        <w:rPr>
          <w:rFonts w:ascii="宋体" w:eastAsia="宋体" w:hAnsi="宋体" w:cs="宋体"/>
          <w:spacing w:val="11"/>
          <w:sz w:val="20"/>
          <w:szCs w:val="20"/>
        </w:rPr>
        <w:t>的</w:t>
      </w:r>
      <w:r>
        <w:rPr>
          <w:rFonts w:ascii="宋体" w:eastAsia="宋体" w:hAnsi="宋体" w:cs="宋体"/>
          <w:sz w:val="20"/>
          <w:szCs w:val="20"/>
        </w:rPr>
        <w:t xml:space="preserve">  </w:t>
      </w:r>
      <w:r>
        <w:rPr>
          <w:rFonts w:ascii="宋体" w:eastAsia="宋体" w:hAnsi="宋体" w:cs="宋体"/>
          <w:spacing w:val="23"/>
          <w:sz w:val="20"/>
          <w:szCs w:val="20"/>
        </w:rPr>
        <w:t>脂肪含量类似，为14%～17%;鸭和鹅的脂肪含量达20%左右。因品种和肥育</w:t>
      </w:r>
      <w:r>
        <w:rPr>
          <w:rFonts w:ascii="宋体" w:eastAsia="宋体" w:hAnsi="宋体" w:cs="宋体"/>
          <w:spacing w:val="14"/>
          <w:sz w:val="20"/>
          <w:szCs w:val="20"/>
        </w:rPr>
        <w:t xml:space="preserve"> </w:t>
      </w:r>
      <w:r>
        <w:rPr>
          <w:rFonts w:ascii="宋体" w:eastAsia="宋体" w:hAnsi="宋体" w:cs="宋体"/>
          <w:spacing w:val="9"/>
          <w:sz w:val="20"/>
          <w:szCs w:val="20"/>
        </w:rPr>
        <w:t>度的不同，脂肪含量可以有很大的差异。乌骨鸡的脂肪含量显著低于普通肉鸡，</w:t>
      </w:r>
      <w:r>
        <w:rPr>
          <w:rFonts w:ascii="宋体" w:eastAsia="宋体" w:hAnsi="宋体" w:cs="宋体"/>
          <w:spacing w:val="3"/>
          <w:sz w:val="20"/>
          <w:szCs w:val="20"/>
        </w:rPr>
        <w:t xml:space="preserve"> </w:t>
      </w:r>
      <w:r>
        <w:rPr>
          <w:rFonts w:ascii="宋体" w:eastAsia="宋体" w:hAnsi="宋体" w:cs="宋体"/>
          <w:spacing w:val="18"/>
          <w:sz w:val="20"/>
          <w:szCs w:val="20"/>
        </w:rPr>
        <w:t>而肥育禽类如肥育肉鸡、填鸭等的脂肪含量可达30%～40%。翅膀部分含有较</w:t>
      </w:r>
      <w:r>
        <w:rPr>
          <w:rFonts w:ascii="宋体" w:eastAsia="宋体" w:hAnsi="宋体" w:cs="宋体"/>
          <w:spacing w:val="9"/>
          <w:sz w:val="20"/>
          <w:szCs w:val="20"/>
        </w:rPr>
        <w:t xml:space="preserve"> </w:t>
      </w:r>
      <w:r>
        <w:rPr>
          <w:rFonts w:ascii="宋体" w:eastAsia="宋体" w:hAnsi="宋体" w:cs="宋体"/>
          <w:spacing w:val="21"/>
          <w:sz w:val="20"/>
          <w:szCs w:val="20"/>
        </w:rPr>
        <w:t>多脂肪，可达12%以上。胸脯肉的脂肪含量很低，通常仅有</w:t>
      </w:r>
      <w:r>
        <w:rPr>
          <w:rFonts w:ascii="宋体" w:eastAsia="宋体" w:hAnsi="宋体" w:cs="宋体"/>
          <w:spacing w:val="20"/>
          <w:sz w:val="20"/>
          <w:szCs w:val="20"/>
        </w:rPr>
        <w:t>3%～5%。家禽内</w:t>
      </w:r>
      <w:r>
        <w:rPr>
          <w:rFonts w:ascii="宋体" w:eastAsia="宋体" w:hAnsi="宋体" w:cs="宋体"/>
          <w:sz w:val="20"/>
          <w:szCs w:val="20"/>
        </w:rPr>
        <w:t xml:space="preserve"> </w:t>
      </w:r>
      <w:r>
        <w:rPr>
          <w:rFonts w:ascii="宋体" w:eastAsia="宋体" w:hAnsi="宋体" w:cs="宋体"/>
          <w:spacing w:val="16"/>
          <w:sz w:val="20"/>
          <w:szCs w:val="20"/>
        </w:rPr>
        <w:t>脏当中，以心脏含脂肪最高，为9%～12%;肝脏、胗等内脏的脂肪含量较低。</w:t>
      </w:r>
    </w:p>
    <w:p w:rsidR="00EA40A3" w:rsidRDefault="00E86C16">
      <w:pPr>
        <w:spacing w:before="88" w:line="259" w:lineRule="auto"/>
        <w:ind w:right="91" w:firstLine="349"/>
        <w:rPr>
          <w:rFonts w:ascii="宋体" w:eastAsia="宋体" w:hAnsi="宋体" w:cs="宋体"/>
          <w:sz w:val="20"/>
          <w:szCs w:val="20"/>
        </w:rPr>
      </w:pPr>
      <w:r>
        <w:rPr>
          <w:rFonts w:ascii="宋体" w:eastAsia="宋体" w:hAnsi="宋体" w:cs="宋体"/>
          <w:spacing w:val="19"/>
          <w:sz w:val="20"/>
          <w:szCs w:val="20"/>
        </w:rPr>
        <w:t>禽类脂肪中不饱和脂肪酸的含量高于畜肉，其中油酸含量超过30%,亚油</w:t>
      </w:r>
      <w:r>
        <w:rPr>
          <w:rFonts w:ascii="宋体" w:eastAsia="宋体" w:hAnsi="宋体" w:cs="宋体"/>
          <w:spacing w:val="12"/>
          <w:sz w:val="20"/>
          <w:szCs w:val="20"/>
        </w:rPr>
        <w:t xml:space="preserve"> </w:t>
      </w:r>
      <w:r>
        <w:rPr>
          <w:rFonts w:ascii="宋体" w:eastAsia="宋体" w:hAnsi="宋体" w:cs="宋体"/>
          <w:spacing w:val="17"/>
          <w:sz w:val="20"/>
          <w:szCs w:val="20"/>
        </w:rPr>
        <w:t>酸约占20%,在室温下呈半固态，因而营养</w:t>
      </w:r>
      <w:r>
        <w:rPr>
          <w:rFonts w:ascii="宋体" w:eastAsia="宋体" w:hAnsi="宋体" w:cs="宋体"/>
          <w:spacing w:val="16"/>
          <w:sz w:val="20"/>
          <w:szCs w:val="20"/>
        </w:rPr>
        <w:t>价值高于畜类脂肪(表6-19)。其胆</w:t>
      </w:r>
      <w:r>
        <w:rPr>
          <w:rFonts w:ascii="宋体" w:eastAsia="宋体" w:hAnsi="宋体" w:cs="宋体"/>
          <w:sz w:val="20"/>
          <w:szCs w:val="20"/>
        </w:rPr>
        <w:t xml:space="preserve"> </w:t>
      </w:r>
      <w:r>
        <w:rPr>
          <w:rFonts w:ascii="宋体" w:eastAsia="宋体" w:hAnsi="宋体" w:cs="宋体"/>
          <w:spacing w:val="14"/>
          <w:sz w:val="20"/>
          <w:szCs w:val="20"/>
        </w:rPr>
        <w:t>固醇含量与畜肉相当</w:t>
      </w:r>
    </w:p>
    <w:p w:rsidR="00EA40A3" w:rsidRDefault="00EA40A3">
      <w:pPr>
        <w:spacing w:line="301" w:lineRule="auto"/>
      </w:pPr>
    </w:p>
    <w:p w:rsidR="00EA40A3" w:rsidRDefault="00E86C16">
      <w:pPr>
        <w:spacing w:before="66" w:line="213" w:lineRule="auto"/>
        <w:ind w:left="1622"/>
        <w:rPr>
          <w:rFonts w:ascii="宋体" w:eastAsia="宋体" w:hAnsi="宋体" w:cs="宋体"/>
          <w:sz w:val="20"/>
          <w:szCs w:val="20"/>
        </w:rPr>
      </w:pPr>
      <w:r>
        <w:rPr>
          <w:rFonts w:ascii="黑体" w:eastAsia="黑体" w:hAnsi="黑体" w:cs="黑体"/>
          <w:b/>
          <w:bCs/>
          <w:spacing w:val="-15"/>
          <w:w w:val="97"/>
          <w:sz w:val="20"/>
          <w:szCs w:val="20"/>
        </w:rPr>
        <w:t>表6-19</w:t>
      </w:r>
      <w:r>
        <w:rPr>
          <w:rFonts w:ascii="黑体" w:eastAsia="黑体" w:hAnsi="黑体" w:cs="黑体"/>
          <w:spacing w:val="70"/>
          <w:sz w:val="20"/>
          <w:szCs w:val="20"/>
        </w:rPr>
        <w:t xml:space="preserve"> </w:t>
      </w:r>
      <w:r>
        <w:rPr>
          <w:rFonts w:ascii="黑体" w:eastAsia="黑体" w:hAnsi="黑体" w:cs="黑体"/>
          <w:b/>
          <w:bCs/>
          <w:spacing w:val="-15"/>
          <w:w w:val="97"/>
          <w:sz w:val="20"/>
          <w:szCs w:val="20"/>
        </w:rPr>
        <w:t>禽类脂肪和畜类脂肪的主要脂肪酸含量比较</w:t>
      </w:r>
      <w:r>
        <w:rPr>
          <w:rFonts w:ascii="黑体" w:eastAsia="黑体" w:hAnsi="黑体" w:cs="黑体"/>
          <w:spacing w:val="9"/>
          <w:sz w:val="20"/>
          <w:szCs w:val="20"/>
        </w:rPr>
        <w:t xml:space="preserve">    </w:t>
      </w:r>
      <w:r>
        <w:rPr>
          <w:rFonts w:ascii="宋体" w:eastAsia="宋体" w:hAnsi="宋体" w:cs="宋体"/>
          <w:spacing w:val="-15"/>
          <w:w w:val="97"/>
          <w:position w:val="-1"/>
          <w:sz w:val="20"/>
          <w:szCs w:val="20"/>
        </w:rPr>
        <w:t>(单位：%)</w:t>
      </w:r>
    </w:p>
    <w:tbl>
      <w:tblPr>
        <w:tblStyle w:val="TableNormal"/>
        <w:tblW w:w="732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10"/>
        <w:gridCol w:w="1879"/>
        <w:gridCol w:w="3319"/>
        <w:gridCol w:w="1112"/>
      </w:tblGrid>
      <w:tr w:rsidR="00EA40A3">
        <w:trPr>
          <w:trHeight w:val="294"/>
        </w:trPr>
        <w:tc>
          <w:tcPr>
            <w:tcW w:w="1010" w:type="dxa"/>
            <w:vMerge w:val="restart"/>
            <w:tcBorders>
              <w:top w:val="single" w:sz="4" w:space="0" w:color="000000"/>
              <w:bottom w:val="nil"/>
            </w:tcBorders>
          </w:tcPr>
          <w:p w:rsidR="00EA40A3" w:rsidRDefault="00EA40A3">
            <w:pPr>
              <w:spacing w:line="288" w:lineRule="auto"/>
            </w:pPr>
          </w:p>
          <w:p w:rsidR="00EA40A3" w:rsidRDefault="00E86C16">
            <w:pPr>
              <w:spacing w:before="52" w:line="221" w:lineRule="auto"/>
              <w:ind w:left="180"/>
              <w:rPr>
                <w:rFonts w:ascii="宋体" w:eastAsia="宋体" w:hAnsi="宋体" w:cs="宋体"/>
                <w:sz w:val="16"/>
                <w:szCs w:val="16"/>
              </w:rPr>
            </w:pPr>
            <w:r>
              <w:rPr>
                <w:rFonts w:ascii="宋体" w:eastAsia="宋体" w:hAnsi="宋体" w:cs="宋体"/>
                <w:spacing w:val="-2"/>
                <w:sz w:val="16"/>
                <w:szCs w:val="16"/>
              </w:rPr>
              <w:t>油脂名称</w:t>
            </w:r>
          </w:p>
        </w:tc>
        <w:tc>
          <w:tcPr>
            <w:tcW w:w="1879" w:type="dxa"/>
            <w:tcBorders>
              <w:top w:val="single" w:sz="4" w:space="0" w:color="000000"/>
              <w:bottom w:val="single" w:sz="4" w:space="0" w:color="000000"/>
            </w:tcBorders>
          </w:tcPr>
          <w:p w:rsidR="00EA40A3" w:rsidRDefault="00EA40A3"/>
        </w:tc>
        <w:tc>
          <w:tcPr>
            <w:tcW w:w="3319" w:type="dxa"/>
            <w:tcBorders>
              <w:top w:val="single" w:sz="4" w:space="0" w:color="000000"/>
              <w:bottom w:val="single" w:sz="4" w:space="0" w:color="000000"/>
            </w:tcBorders>
          </w:tcPr>
          <w:p w:rsidR="00EA40A3" w:rsidRDefault="00E86C16">
            <w:pPr>
              <w:spacing w:before="111" w:line="211" w:lineRule="auto"/>
              <w:ind w:left="901"/>
              <w:rPr>
                <w:rFonts w:ascii="宋体" w:eastAsia="宋体" w:hAnsi="宋体" w:cs="宋体"/>
                <w:sz w:val="16"/>
                <w:szCs w:val="16"/>
              </w:rPr>
            </w:pPr>
            <w:r>
              <w:rPr>
                <w:rFonts w:ascii="宋体" w:eastAsia="宋体" w:hAnsi="宋体" w:cs="宋体"/>
                <w:spacing w:val="-2"/>
                <w:sz w:val="16"/>
                <w:szCs w:val="16"/>
              </w:rPr>
              <w:t>脂肪酸含量</w:t>
            </w:r>
          </w:p>
        </w:tc>
        <w:tc>
          <w:tcPr>
            <w:tcW w:w="1112" w:type="dxa"/>
            <w:tcBorders>
              <w:top w:val="single" w:sz="4" w:space="0" w:color="000000"/>
              <w:bottom w:val="single" w:sz="4" w:space="0" w:color="000000"/>
            </w:tcBorders>
          </w:tcPr>
          <w:p w:rsidR="00EA40A3" w:rsidRDefault="00EA40A3"/>
        </w:tc>
      </w:tr>
      <w:tr w:rsidR="00EA40A3">
        <w:trPr>
          <w:trHeight w:val="269"/>
        </w:trPr>
        <w:tc>
          <w:tcPr>
            <w:tcW w:w="1010" w:type="dxa"/>
            <w:vMerge/>
            <w:tcBorders>
              <w:top w:val="nil"/>
              <w:bottom w:val="nil"/>
            </w:tcBorders>
          </w:tcPr>
          <w:p w:rsidR="00EA40A3" w:rsidRDefault="00EA40A3"/>
        </w:tc>
        <w:tc>
          <w:tcPr>
            <w:tcW w:w="1879" w:type="dxa"/>
            <w:tcBorders>
              <w:top w:val="single" w:sz="4" w:space="0" w:color="000000"/>
              <w:bottom w:val="single" w:sz="4" w:space="0" w:color="000000"/>
            </w:tcBorders>
          </w:tcPr>
          <w:p w:rsidR="00EA40A3" w:rsidRDefault="00E86C16">
            <w:pPr>
              <w:spacing w:before="87" w:line="209" w:lineRule="auto"/>
              <w:ind w:left="550"/>
              <w:rPr>
                <w:rFonts w:ascii="宋体" w:eastAsia="宋体" w:hAnsi="宋体" w:cs="宋体"/>
                <w:sz w:val="16"/>
                <w:szCs w:val="16"/>
              </w:rPr>
            </w:pPr>
            <w:r>
              <w:rPr>
                <w:rFonts w:ascii="宋体" w:eastAsia="宋体" w:hAnsi="宋体" w:cs="宋体"/>
                <w:spacing w:val="-1"/>
                <w:sz w:val="16"/>
                <w:szCs w:val="16"/>
              </w:rPr>
              <w:t>饱和脂肪酸</w:t>
            </w:r>
          </w:p>
        </w:tc>
        <w:tc>
          <w:tcPr>
            <w:tcW w:w="3319" w:type="dxa"/>
            <w:tcBorders>
              <w:top w:val="single" w:sz="4" w:space="0" w:color="000000"/>
              <w:bottom w:val="single" w:sz="4" w:space="0" w:color="000000"/>
            </w:tcBorders>
          </w:tcPr>
          <w:p w:rsidR="00EA40A3" w:rsidRDefault="00E86C16">
            <w:pPr>
              <w:spacing w:before="78" w:line="220" w:lineRule="auto"/>
              <w:ind w:left="1751"/>
              <w:rPr>
                <w:rFonts w:ascii="宋体" w:eastAsia="宋体" w:hAnsi="宋体" w:cs="宋体"/>
                <w:sz w:val="16"/>
                <w:szCs w:val="16"/>
              </w:rPr>
            </w:pPr>
            <w:r>
              <w:rPr>
                <w:rFonts w:ascii="宋体" w:eastAsia="宋体" w:hAnsi="宋体" w:cs="宋体"/>
                <w:spacing w:val="-2"/>
                <w:sz w:val="16"/>
                <w:szCs w:val="16"/>
              </w:rPr>
              <w:t>不饱和脂肪酸</w:t>
            </w:r>
          </w:p>
        </w:tc>
        <w:tc>
          <w:tcPr>
            <w:tcW w:w="1112" w:type="dxa"/>
            <w:tcBorders>
              <w:top w:val="single" w:sz="4" w:space="0" w:color="000000"/>
              <w:bottom w:val="single" w:sz="4" w:space="0" w:color="000000"/>
            </w:tcBorders>
          </w:tcPr>
          <w:p w:rsidR="00EA40A3" w:rsidRDefault="00EA40A3"/>
        </w:tc>
      </w:tr>
      <w:tr w:rsidR="00EA40A3">
        <w:trPr>
          <w:trHeight w:val="259"/>
        </w:trPr>
        <w:tc>
          <w:tcPr>
            <w:tcW w:w="1010" w:type="dxa"/>
            <w:vMerge/>
            <w:tcBorders>
              <w:top w:val="nil"/>
              <w:bottom w:val="single" w:sz="4" w:space="0" w:color="000000"/>
            </w:tcBorders>
          </w:tcPr>
          <w:p w:rsidR="00EA40A3" w:rsidRDefault="00EA40A3"/>
        </w:tc>
        <w:tc>
          <w:tcPr>
            <w:tcW w:w="1879" w:type="dxa"/>
            <w:tcBorders>
              <w:top w:val="single" w:sz="4" w:space="0" w:color="000000"/>
              <w:bottom w:val="single" w:sz="4" w:space="0" w:color="000000"/>
            </w:tcBorders>
          </w:tcPr>
          <w:p w:rsidR="00EA40A3" w:rsidRDefault="00E86C16">
            <w:pPr>
              <w:spacing w:before="68" w:line="220" w:lineRule="auto"/>
              <w:ind w:left="229"/>
              <w:rPr>
                <w:rFonts w:ascii="宋体" w:eastAsia="宋体" w:hAnsi="宋体" w:cs="宋体"/>
                <w:sz w:val="16"/>
                <w:szCs w:val="16"/>
              </w:rPr>
            </w:pPr>
            <w:r>
              <w:rPr>
                <w:rFonts w:ascii="宋体" w:eastAsia="宋体" w:hAnsi="宋体" w:cs="宋体"/>
                <w:spacing w:val="-2"/>
                <w:sz w:val="16"/>
                <w:szCs w:val="16"/>
              </w:rPr>
              <w:t>棕榈酸</w:t>
            </w:r>
            <w:r>
              <w:rPr>
                <w:rFonts w:ascii="宋体" w:eastAsia="宋体" w:hAnsi="宋体" w:cs="宋体"/>
                <w:spacing w:val="15"/>
                <w:sz w:val="16"/>
                <w:szCs w:val="16"/>
              </w:rPr>
              <w:t xml:space="preserve">     </w:t>
            </w:r>
            <w:r>
              <w:rPr>
                <w:rFonts w:ascii="宋体" w:eastAsia="宋体" w:hAnsi="宋体" w:cs="宋体"/>
                <w:spacing w:val="-2"/>
                <w:sz w:val="16"/>
                <w:szCs w:val="16"/>
              </w:rPr>
              <w:t>硬脂酸</w:t>
            </w:r>
          </w:p>
        </w:tc>
        <w:tc>
          <w:tcPr>
            <w:tcW w:w="3319" w:type="dxa"/>
            <w:tcBorders>
              <w:top w:val="single" w:sz="4" w:space="0" w:color="000000"/>
              <w:bottom w:val="single" w:sz="4" w:space="0" w:color="000000"/>
            </w:tcBorders>
          </w:tcPr>
          <w:p w:rsidR="00EA40A3" w:rsidRDefault="00E86C16">
            <w:pPr>
              <w:spacing w:before="70" w:line="218" w:lineRule="auto"/>
              <w:ind w:left="231"/>
              <w:rPr>
                <w:rFonts w:ascii="宋体" w:eastAsia="宋体" w:hAnsi="宋体" w:cs="宋体"/>
                <w:sz w:val="16"/>
                <w:szCs w:val="16"/>
              </w:rPr>
            </w:pPr>
            <w:r>
              <w:rPr>
                <w:rFonts w:ascii="宋体" w:eastAsia="宋体" w:hAnsi="宋体" w:cs="宋体"/>
                <w:spacing w:val="-3"/>
                <w:sz w:val="16"/>
                <w:szCs w:val="16"/>
              </w:rPr>
              <w:t>棕榈烯酸</w:t>
            </w:r>
            <w:r>
              <w:rPr>
                <w:rFonts w:ascii="宋体" w:eastAsia="宋体" w:hAnsi="宋体" w:cs="宋体"/>
                <w:spacing w:val="11"/>
                <w:sz w:val="16"/>
                <w:szCs w:val="16"/>
              </w:rPr>
              <w:t xml:space="preserve">       </w:t>
            </w:r>
            <w:r>
              <w:rPr>
                <w:rFonts w:ascii="宋体" w:eastAsia="宋体" w:hAnsi="宋体" w:cs="宋体"/>
                <w:spacing w:val="-3"/>
                <w:sz w:val="16"/>
                <w:szCs w:val="16"/>
              </w:rPr>
              <w:t>油酸</w:t>
            </w:r>
            <w:r>
              <w:rPr>
                <w:rFonts w:ascii="宋体" w:eastAsia="宋体" w:hAnsi="宋体" w:cs="宋体"/>
                <w:spacing w:val="10"/>
                <w:sz w:val="16"/>
                <w:szCs w:val="16"/>
              </w:rPr>
              <w:t xml:space="preserve">        </w:t>
            </w:r>
            <w:r>
              <w:rPr>
                <w:rFonts w:ascii="宋体" w:eastAsia="宋体" w:hAnsi="宋体" w:cs="宋体"/>
                <w:spacing w:val="-3"/>
                <w:sz w:val="16"/>
                <w:szCs w:val="16"/>
              </w:rPr>
              <w:t>亚油酸</w:t>
            </w:r>
          </w:p>
        </w:tc>
        <w:tc>
          <w:tcPr>
            <w:tcW w:w="1112" w:type="dxa"/>
            <w:tcBorders>
              <w:top w:val="single" w:sz="4" w:space="0" w:color="000000"/>
              <w:bottom w:val="single" w:sz="4" w:space="0" w:color="000000"/>
            </w:tcBorders>
          </w:tcPr>
          <w:p w:rsidR="00EA40A3" w:rsidRDefault="00E86C16">
            <w:pPr>
              <w:spacing w:before="90" w:line="195" w:lineRule="auto"/>
              <w:ind w:left="322"/>
              <w:rPr>
                <w:rFonts w:ascii="宋体" w:eastAsia="宋体" w:hAnsi="宋体" w:cs="宋体"/>
                <w:sz w:val="16"/>
                <w:szCs w:val="16"/>
              </w:rPr>
            </w:pPr>
            <w:r>
              <w:rPr>
                <w:rFonts w:ascii="宋体" w:eastAsia="宋体" w:hAnsi="宋体" w:cs="宋体"/>
                <w:spacing w:val="-2"/>
                <w:sz w:val="16"/>
                <w:szCs w:val="16"/>
              </w:rPr>
              <w:t>亚麻酸</w:t>
            </w:r>
          </w:p>
        </w:tc>
      </w:tr>
      <w:tr w:rsidR="00EA40A3">
        <w:trPr>
          <w:trHeight w:val="309"/>
        </w:trPr>
        <w:tc>
          <w:tcPr>
            <w:tcW w:w="1010" w:type="dxa"/>
            <w:tcBorders>
              <w:top w:val="single" w:sz="4" w:space="0" w:color="000000"/>
            </w:tcBorders>
          </w:tcPr>
          <w:p w:rsidR="00EA40A3" w:rsidRDefault="00E86C16">
            <w:pPr>
              <w:spacing w:before="90" w:line="220" w:lineRule="auto"/>
              <w:ind w:left="340"/>
              <w:rPr>
                <w:rFonts w:ascii="宋体" w:eastAsia="宋体" w:hAnsi="宋体" w:cs="宋体"/>
                <w:sz w:val="16"/>
                <w:szCs w:val="16"/>
              </w:rPr>
            </w:pPr>
            <w:r>
              <w:rPr>
                <w:rFonts w:ascii="宋体" w:eastAsia="宋体" w:hAnsi="宋体" w:cs="宋体"/>
                <w:spacing w:val="8"/>
                <w:sz w:val="16"/>
                <w:szCs w:val="16"/>
              </w:rPr>
              <w:t>猪油</w:t>
            </w:r>
          </w:p>
        </w:tc>
        <w:tc>
          <w:tcPr>
            <w:tcW w:w="1879" w:type="dxa"/>
            <w:tcBorders>
              <w:top w:val="single" w:sz="4" w:space="0" w:color="000000"/>
            </w:tcBorders>
          </w:tcPr>
          <w:p w:rsidR="00EA40A3" w:rsidRDefault="00E86C16">
            <w:pPr>
              <w:spacing w:before="110" w:line="195" w:lineRule="auto"/>
              <w:ind w:left="299"/>
              <w:rPr>
                <w:rFonts w:ascii="宋体" w:eastAsia="宋体" w:hAnsi="宋体" w:cs="宋体"/>
                <w:sz w:val="16"/>
                <w:szCs w:val="16"/>
              </w:rPr>
            </w:pPr>
            <w:r>
              <w:rPr>
                <w:rFonts w:ascii="宋体" w:eastAsia="宋体" w:hAnsi="宋体" w:cs="宋体"/>
                <w:spacing w:val="-3"/>
                <w:sz w:val="16"/>
                <w:szCs w:val="16"/>
              </w:rPr>
              <w:t>26.0</w:t>
            </w:r>
            <w:r>
              <w:rPr>
                <w:rFonts w:ascii="宋体" w:eastAsia="宋体" w:hAnsi="宋体" w:cs="宋体"/>
                <w:spacing w:val="9"/>
                <w:sz w:val="16"/>
                <w:szCs w:val="16"/>
              </w:rPr>
              <w:t xml:space="preserve">       </w:t>
            </w:r>
            <w:r>
              <w:rPr>
                <w:rFonts w:ascii="宋体" w:eastAsia="宋体" w:hAnsi="宋体" w:cs="宋体"/>
                <w:spacing w:val="-3"/>
                <w:sz w:val="16"/>
                <w:szCs w:val="16"/>
              </w:rPr>
              <w:t>15.7</w:t>
            </w:r>
          </w:p>
        </w:tc>
        <w:tc>
          <w:tcPr>
            <w:tcW w:w="3319" w:type="dxa"/>
            <w:tcBorders>
              <w:top w:val="single" w:sz="4" w:space="0" w:color="000000"/>
            </w:tcBorders>
          </w:tcPr>
          <w:p w:rsidR="00EA40A3" w:rsidRDefault="00E86C16">
            <w:pPr>
              <w:spacing w:before="130" w:line="195" w:lineRule="auto"/>
              <w:ind w:left="431"/>
              <w:rPr>
                <w:rFonts w:ascii="宋体" w:eastAsia="宋体" w:hAnsi="宋体" w:cs="宋体"/>
                <w:sz w:val="16"/>
                <w:szCs w:val="16"/>
              </w:rPr>
            </w:pPr>
            <w:r>
              <w:rPr>
                <w:rFonts w:ascii="宋体" w:eastAsia="宋体" w:hAnsi="宋体" w:cs="宋体"/>
                <w:spacing w:val="-2"/>
                <w:sz w:val="16"/>
                <w:szCs w:val="16"/>
              </w:rPr>
              <w:t>2.3</w:t>
            </w:r>
            <w:r>
              <w:rPr>
                <w:rFonts w:ascii="宋体" w:eastAsia="宋体" w:hAnsi="宋体" w:cs="宋体"/>
                <w:spacing w:val="2"/>
                <w:sz w:val="16"/>
                <w:szCs w:val="16"/>
              </w:rPr>
              <w:t xml:space="preserve">          </w:t>
            </w:r>
            <w:r>
              <w:rPr>
                <w:rFonts w:ascii="宋体" w:eastAsia="宋体" w:hAnsi="宋体" w:cs="宋体"/>
                <w:spacing w:val="-2"/>
                <w:sz w:val="16"/>
                <w:szCs w:val="16"/>
              </w:rPr>
              <w:t>44.2</w:t>
            </w:r>
            <w:r>
              <w:rPr>
                <w:rFonts w:ascii="宋体" w:eastAsia="宋体" w:hAnsi="宋体" w:cs="宋体"/>
                <w:spacing w:val="4"/>
                <w:sz w:val="16"/>
                <w:szCs w:val="16"/>
              </w:rPr>
              <w:t xml:space="preserve">          </w:t>
            </w:r>
            <w:r>
              <w:rPr>
                <w:rFonts w:ascii="宋体" w:eastAsia="宋体" w:hAnsi="宋体" w:cs="宋体"/>
                <w:spacing w:val="-2"/>
                <w:sz w:val="16"/>
                <w:szCs w:val="16"/>
              </w:rPr>
              <w:t>8.9</w:t>
            </w:r>
          </w:p>
        </w:tc>
        <w:tc>
          <w:tcPr>
            <w:tcW w:w="1112" w:type="dxa"/>
            <w:tcBorders>
              <w:top w:val="single" w:sz="4" w:space="0" w:color="000000"/>
            </w:tcBorders>
          </w:tcPr>
          <w:p w:rsidR="00EA40A3" w:rsidRDefault="00EA40A3"/>
        </w:tc>
      </w:tr>
      <w:tr w:rsidR="00EA40A3">
        <w:trPr>
          <w:trHeight w:val="278"/>
        </w:trPr>
        <w:tc>
          <w:tcPr>
            <w:tcW w:w="1010" w:type="dxa"/>
          </w:tcPr>
          <w:p w:rsidR="00EA40A3" w:rsidRDefault="00E86C16">
            <w:pPr>
              <w:spacing w:before="61" w:line="221" w:lineRule="auto"/>
              <w:ind w:left="340"/>
              <w:rPr>
                <w:rFonts w:ascii="宋体" w:eastAsia="宋体" w:hAnsi="宋体" w:cs="宋体"/>
                <w:sz w:val="16"/>
                <w:szCs w:val="16"/>
              </w:rPr>
            </w:pPr>
            <w:r>
              <w:rPr>
                <w:rFonts w:ascii="宋体" w:eastAsia="宋体" w:hAnsi="宋体" w:cs="宋体"/>
                <w:spacing w:val="8"/>
                <w:sz w:val="16"/>
                <w:szCs w:val="16"/>
              </w:rPr>
              <w:t>牛油</w:t>
            </w:r>
          </w:p>
        </w:tc>
        <w:tc>
          <w:tcPr>
            <w:tcW w:w="1879" w:type="dxa"/>
          </w:tcPr>
          <w:p w:rsidR="00EA40A3" w:rsidRDefault="00E86C16">
            <w:pPr>
              <w:spacing w:before="101" w:line="180" w:lineRule="auto"/>
              <w:ind w:left="299"/>
              <w:rPr>
                <w:rFonts w:ascii="宋体" w:eastAsia="宋体" w:hAnsi="宋体" w:cs="宋体"/>
                <w:sz w:val="16"/>
                <w:szCs w:val="16"/>
              </w:rPr>
            </w:pPr>
            <w:r>
              <w:rPr>
                <w:rFonts w:ascii="宋体" w:eastAsia="宋体" w:hAnsi="宋体" w:cs="宋体"/>
                <w:spacing w:val="-2"/>
                <w:position w:val="-1"/>
                <w:sz w:val="16"/>
                <w:szCs w:val="16"/>
              </w:rPr>
              <w:t>25.3</w:t>
            </w:r>
            <w:r>
              <w:rPr>
                <w:rFonts w:ascii="宋体" w:eastAsia="宋体" w:hAnsi="宋体" w:cs="宋体"/>
                <w:spacing w:val="9"/>
                <w:position w:val="-1"/>
                <w:sz w:val="16"/>
                <w:szCs w:val="16"/>
              </w:rPr>
              <w:t xml:space="preserve">       </w:t>
            </w:r>
            <w:r>
              <w:rPr>
                <w:rFonts w:ascii="宋体" w:eastAsia="宋体" w:hAnsi="宋体" w:cs="宋体"/>
                <w:spacing w:val="-2"/>
                <w:position w:val="1"/>
                <w:sz w:val="16"/>
                <w:szCs w:val="16"/>
              </w:rPr>
              <w:t>28.6</w:t>
            </w:r>
          </w:p>
        </w:tc>
        <w:tc>
          <w:tcPr>
            <w:tcW w:w="3319" w:type="dxa"/>
          </w:tcPr>
          <w:p w:rsidR="00EA40A3" w:rsidRDefault="00E86C16">
            <w:pPr>
              <w:spacing w:before="81" w:line="195" w:lineRule="auto"/>
              <w:ind w:left="431"/>
              <w:rPr>
                <w:rFonts w:ascii="宋体" w:eastAsia="宋体" w:hAnsi="宋体" w:cs="宋体"/>
                <w:sz w:val="16"/>
                <w:szCs w:val="16"/>
              </w:rPr>
            </w:pPr>
            <w:r>
              <w:rPr>
                <w:rFonts w:ascii="宋体" w:eastAsia="宋体" w:hAnsi="宋体" w:cs="宋体"/>
                <w:spacing w:val="-3"/>
                <w:position w:val="-1"/>
                <w:sz w:val="16"/>
                <w:szCs w:val="16"/>
              </w:rPr>
              <w:t>3.4</w:t>
            </w:r>
            <w:r>
              <w:rPr>
                <w:rFonts w:ascii="宋体" w:eastAsia="宋体" w:hAnsi="宋体" w:cs="宋体"/>
                <w:spacing w:val="2"/>
                <w:position w:val="-1"/>
                <w:sz w:val="16"/>
                <w:szCs w:val="16"/>
              </w:rPr>
              <w:t xml:space="preserve">          </w:t>
            </w:r>
            <w:r>
              <w:rPr>
                <w:rFonts w:ascii="宋体" w:eastAsia="宋体" w:hAnsi="宋体" w:cs="宋体"/>
                <w:spacing w:val="-3"/>
                <w:sz w:val="16"/>
                <w:szCs w:val="16"/>
              </w:rPr>
              <w:t>28.8</w:t>
            </w:r>
            <w:r>
              <w:rPr>
                <w:rFonts w:ascii="宋体" w:eastAsia="宋体" w:hAnsi="宋体" w:cs="宋体"/>
                <w:spacing w:val="4"/>
                <w:sz w:val="16"/>
                <w:szCs w:val="16"/>
              </w:rPr>
              <w:t xml:space="preserve">          </w:t>
            </w:r>
            <w:r>
              <w:rPr>
                <w:rFonts w:ascii="宋体" w:eastAsia="宋体" w:hAnsi="宋体" w:cs="宋体"/>
                <w:spacing w:val="-3"/>
                <w:position w:val="1"/>
                <w:sz w:val="16"/>
                <w:szCs w:val="16"/>
              </w:rPr>
              <w:t>1.9</w:t>
            </w:r>
          </w:p>
        </w:tc>
        <w:tc>
          <w:tcPr>
            <w:tcW w:w="1112" w:type="dxa"/>
          </w:tcPr>
          <w:p w:rsidR="00EA40A3" w:rsidRDefault="00E86C16">
            <w:pPr>
              <w:spacing w:before="90" w:line="184" w:lineRule="auto"/>
              <w:ind w:left="432"/>
              <w:rPr>
                <w:rFonts w:ascii="宋体" w:eastAsia="宋体" w:hAnsi="宋体" w:cs="宋体"/>
                <w:sz w:val="16"/>
                <w:szCs w:val="16"/>
              </w:rPr>
            </w:pPr>
            <w:r>
              <w:rPr>
                <w:rFonts w:ascii="宋体" w:eastAsia="宋体" w:hAnsi="宋体" w:cs="宋体"/>
                <w:spacing w:val="-5"/>
                <w:sz w:val="16"/>
                <w:szCs w:val="16"/>
              </w:rPr>
              <w:t>1.0</w:t>
            </w:r>
          </w:p>
        </w:tc>
      </w:tr>
      <w:tr w:rsidR="00EA40A3">
        <w:trPr>
          <w:trHeight w:val="273"/>
        </w:trPr>
        <w:tc>
          <w:tcPr>
            <w:tcW w:w="1010" w:type="dxa"/>
          </w:tcPr>
          <w:p w:rsidR="00EA40A3" w:rsidRDefault="00E86C16">
            <w:pPr>
              <w:spacing w:before="53" w:line="220" w:lineRule="auto"/>
              <w:ind w:left="340"/>
              <w:rPr>
                <w:rFonts w:ascii="宋体" w:eastAsia="宋体" w:hAnsi="宋体" w:cs="宋体"/>
                <w:sz w:val="16"/>
                <w:szCs w:val="16"/>
              </w:rPr>
            </w:pPr>
            <w:r>
              <w:rPr>
                <w:rFonts w:ascii="宋体" w:eastAsia="宋体" w:hAnsi="宋体" w:cs="宋体"/>
                <w:spacing w:val="8"/>
                <w:sz w:val="16"/>
                <w:szCs w:val="16"/>
              </w:rPr>
              <w:t>羊油</w:t>
            </w:r>
          </w:p>
        </w:tc>
        <w:tc>
          <w:tcPr>
            <w:tcW w:w="1879" w:type="dxa"/>
          </w:tcPr>
          <w:p w:rsidR="00EA40A3" w:rsidRDefault="00E86C16">
            <w:pPr>
              <w:spacing w:before="103" w:line="195" w:lineRule="auto"/>
              <w:ind w:left="299"/>
              <w:rPr>
                <w:rFonts w:ascii="宋体" w:eastAsia="宋体" w:hAnsi="宋体" w:cs="宋体"/>
                <w:sz w:val="16"/>
                <w:szCs w:val="16"/>
              </w:rPr>
            </w:pPr>
            <w:r>
              <w:rPr>
                <w:rFonts w:ascii="宋体" w:eastAsia="宋体" w:hAnsi="宋体" w:cs="宋体"/>
                <w:spacing w:val="-4"/>
                <w:sz w:val="16"/>
                <w:szCs w:val="16"/>
              </w:rPr>
              <w:t>18.2</w:t>
            </w:r>
            <w:r>
              <w:rPr>
                <w:rFonts w:ascii="宋体" w:eastAsia="宋体" w:hAnsi="宋体" w:cs="宋体"/>
                <w:spacing w:val="11"/>
                <w:sz w:val="16"/>
                <w:szCs w:val="16"/>
              </w:rPr>
              <w:t xml:space="preserve">       </w:t>
            </w:r>
            <w:r>
              <w:rPr>
                <w:rFonts w:ascii="宋体" w:eastAsia="宋体" w:hAnsi="宋体" w:cs="宋体"/>
                <w:spacing w:val="-4"/>
                <w:sz w:val="16"/>
                <w:szCs w:val="16"/>
              </w:rPr>
              <w:t>35.9</w:t>
            </w:r>
          </w:p>
        </w:tc>
        <w:tc>
          <w:tcPr>
            <w:tcW w:w="3319" w:type="dxa"/>
          </w:tcPr>
          <w:p w:rsidR="00EA40A3" w:rsidRDefault="00E86C16">
            <w:pPr>
              <w:spacing w:before="83" w:line="195" w:lineRule="auto"/>
              <w:ind w:left="431"/>
              <w:rPr>
                <w:rFonts w:ascii="宋体" w:eastAsia="宋体" w:hAnsi="宋体" w:cs="宋体"/>
                <w:sz w:val="16"/>
                <w:szCs w:val="16"/>
              </w:rPr>
            </w:pPr>
            <w:r>
              <w:rPr>
                <w:rFonts w:ascii="宋体" w:eastAsia="宋体" w:hAnsi="宋体" w:cs="宋体"/>
                <w:spacing w:val="-3"/>
                <w:sz w:val="16"/>
                <w:szCs w:val="16"/>
              </w:rPr>
              <w:t>3.1</w:t>
            </w:r>
            <w:r>
              <w:rPr>
                <w:rFonts w:ascii="宋体" w:eastAsia="宋体" w:hAnsi="宋体" w:cs="宋体"/>
                <w:spacing w:val="3"/>
                <w:sz w:val="16"/>
                <w:szCs w:val="16"/>
              </w:rPr>
              <w:t xml:space="preserve">          </w:t>
            </w:r>
            <w:r>
              <w:rPr>
                <w:rFonts w:ascii="宋体" w:eastAsia="宋体" w:hAnsi="宋体" w:cs="宋体"/>
                <w:spacing w:val="-3"/>
                <w:sz w:val="16"/>
                <w:szCs w:val="16"/>
              </w:rPr>
              <w:t>33.0</w:t>
            </w:r>
            <w:r>
              <w:rPr>
                <w:rFonts w:ascii="宋体" w:eastAsia="宋体" w:hAnsi="宋体" w:cs="宋体"/>
                <w:spacing w:val="4"/>
                <w:sz w:val="16"/>
                <w:szCs w:val="16"/>
              </w:rPr>
              <w:t xml:space="preserve">          </w:t>
            </w:r>
            <w:r>
              <w:rPr>
                <w:rFonts w:ascii="宋体" w:eastAsia="宋体" w:hAnsi="宋体" w:cs="宋体"/>
                <w:spacing w:val="-3"/>
                <w:position w:val="1"/>
                <w:sz w:val="16"/>
                <w:szCs w:val="16"/>
              </w:rPr>
              <w:t>2.9</w:t>
            </w:r>
          </w:p>
        </w:tc>
        <w:tc>
          <w:tcPr>
            <w:tcW w:w="1112" w:type="dxa"/>
          </w:tcPr>
          <w:p w:rsidR="00EA40A3" w:rsidRDefault="00E86C16">
            <w:pPr>
              <w:spacing w:before="103" w:line="183" w:lineRule="auto"/>
              <w:ind w:left="432"/>
              <w:rPr>
                <w:rFonts w:ascii="宋体" w:eastAsia="宋体" w:hAnsi="宋体" w:cs="宋体"/>
                <w:sz w:val="16"/>
                <w:szCs w:val="16"/>
              </w:rPr>
            </w:pPr>
            <w:r>
              <w:rPr>
                <w:rFonts w:ascii="宋体" w:eastAsia="宋体" w:hAnsi="宋体" w:cs="宋体"/>
                <w:spacing w:val="-2"/>
                <w:sz w:val="16"/>
                <w:szCs w:val="16"/>
              </w:rPr>
              <w:t>2.4</w:t>
            </w:r>
          </w:p>
        </w:tc>
      </w:tr>
      <w:tr w:rsidR="00EA40A3">
        <w:trPr>
          <w:trHeight w:val="269"/>
        </w:trPr>
        <w:tc>
          <w:tcPr>
            <w:tcW w:w="1010" w:type="dxa"/>
          </w:tcPr>
          <w:p w:rsidR="00EA40A3" w:rsidRDefault="00E86C16">
            <w:pPr>
              <w:spacing w:before="60" w:line="221" w:lineRule="auto"/>
              <w:ind w:left="340"/>
              <w:rPr>
                <w:rFonts w:ascii="宋体" w:eastAsia="宋体" w:hAnsi="宋体" w:cs="宋体"/>
                <w:sz w:val="16"/>
                <w:szCs w:val="16"/>
              </w:rPr>
            </w:pPr>
            <w:r>
              <w:rPr>
                <w:rFonts w:ascii="宋体" w:eastAsia="宋体" w:hAnsi="宋体" w:cs="宋体"/>
                <w:spacing w:val="8"/>
                <w:sz w:val="16"/>
                <w:szCs w:val="16"/>
              </w:rPr>
              <w:t>鸡油</w:t>
            </w:r>
          </w:p>
        </w:tc>
        <w:tc>
          <w:tcPr>
            <w:tcW w:w="1879" w:type="dxa"/>
          </w:tcPr>
          <w:p w:rsidR="00EA40A3" w:rsidRDefault="00E86C16">
            <w:pPr>
              <w:spacing w:before="100" w:line="183" w:lineRule="auto"/>
              <w:ind w:left="299"/>
              <w:rPr>
                <w:rFonts w:ascii="宋体" w:eastAsia="宋体" w:hAnsi="宋体" w:cs="宋体"/>
                <w:sz w:val="16"/>
                <w:szCs w:val="16"/>
              </w:rPr>
            </w:pPr>
            <w:r>
              <w:rPr>
                <w:rFonts w:ascii="宋体" w:eastAsia="宋体" w:hAnsi="宋体" w:cs="宋体"/>
                <w:spacing w:val="-3"/>
                <w:sz w:val="16"/>
                <w:szCs w:val="16"/>
              </w:rPr>
              <w:t>20.0</w:t>
            </w:r>
            <w:r>
              <w:rPr>
                <w:rFonts w:ascii="宋体" w:eastAsia="宋体" w:hAnsi="宋体" w:cs="宋体"/>
                <w:spacing w:val="4"/>
                <w:sz w:val="16"/>
                <w:szCs w:val="16"/>
              </w:rPr>
              <w:t xml:space="preserve">        </w:t>
            </w:r>
            <w:r>
              <w:rPr>
                <w:rFonts w:ascii="宋体" w:eastAsia="宋体" w:hAnsi="宋体" w:cs="宋体"/>
                <w:spacing w:val="-3"/>
                <w:position w:val="1"/>
                <w:sz w:val="16"/>
                <w:szCs w:val="16"/>
              </w:rPr>
              <w:t>5.3</w:t>
            </w:r>
          </w:p>
        </w:tc>
        <w:tc>
          <w:tcPr>
            <w:tcW w:w="3319" w:type="dxa"/>
          </w:tcPr>
          <w:p w:rsidR="00EA40A3" w:rsidRDefault="00E86C16">
            <w:pPr>
              <w:spacing w:before="90" w:line="194" w:lineRule="auto"/>
              <w:ind w:left="431"/>
              <w:rPr>
                <w:rFonts w:ascii="宋体" w:eastAsia="宋体" w:hAnsi="宋体" w:cs="宋体"/>
                <w:sz w:val="16"/>
                <w:szCs w:val="16"/>
              </w:rPr>
            </w:pPr>
            <w:r>
              <w:rPr>
                <w:rFonts w:ascii="宋体" w:eastAsia="宋体" w:hAnsi="宋体" w:cs="宋体"/>
                <w:spacing w:val="-3"/>
                <w:position w:val="1"/>
                <w:sz w:val="16"/>
                <w:szCs w:val="16"/>
              </w:rPr>
              <w:t>6.2</w:t>
            </w:r>
            <w:r>
              <w:rPr>
                <w:rFonts w:ascii="宋体" w:eastAsia="宋体" w:hAnsi="宋体" w:cs="宋体"/>
                <w:spacing w:val="3"/>
                <w:position w:val="1"/>
                <w:sz w:val="16"/>
                <w:szCs w:val="16"/>
              </w:rPr>
              <w:t xml:space="preserve">          </w:t>
            </w:r>
            <w:r>
              <w:rPr>
                <w:rFonts w:ascii="宋体" w:eastAsia="宋体" w:hAnsi="宋体" w:cs="宋体"/>
                <w:spacing w:val="-3"/>
                <w:sz w:val="16"/>
                <w:szCs w:val="16"/>
              </w:rPr>
              <w:t>39.6</w:t>
            </w:r>
            <w:r>
              <w:rPr>
                <w:rFonts w:ascii="宋体" w:eastAsia="宋体" w:hAnsi="宋体" w:cs="宋体"/>
                <w:spacing w:val="9"/>
                <w:sz w:val="16"/>
                <w:szCs w:val="16"/>
              </w:rPr>
              <w:t xml:space="preserve">         </w:t>
            </w:r>
            <w:r>
              <w:rPr>
                <w:rFonts w:ascii="宋体" w:eastAsia="宋体" w:hAnsi="宋体" w:cs="宋体"/>
                <w:spacing w:val="-3"/>
                <w:sz w:val="16"/>
                <w:szCs w:val="16"/>
              </w:rPr>
              <w:t>24.7</w:t>
            </w:r>
          </w:p>
        </w:tc>
        <w:tc>
          <w:tcPr>
            <w:tcW w:w="1112" w:type="dxa"/>
          </w:tcPr>
          <w:p w:rsidR="00EA40A3" w:rsidRDefault="00E86C16">
            <w:pPr>
              <w:spacing w:before="89" w:line="184" w:lineRule="auto"/>
              <w:ind w:left="432"/>
              <w:rPr>
                <w:rFonts w:ascii="宋体" w:eastAsia="宋体" w:hAnsi="宋体" w:cs="宋体"/>
                <w:sz w:val="16"/>
                <w:szCs w:val="16"/>
              </w:rPr>
            </w:pPr>
            <w:r>
              <w:rPr>
                <w:rFonts w:ascii="宋体" w:eastAsia="宋体" w:hAnsi="宋体" w:cs="宋体"/>
                <w:spacing w:val="-5"/>
                <w:sz w:val="16"/>
                <w:szCs w:val="16"/>
              </w:rPr>
              <w:t>1.3</w:t>
            </w:r>
          </w:p>
        </w:tc>
      </w:tr>
      <w:tr w:rsidR="00EA40A3">
        <w:trPr>
          <w:trHeight w:val="238"/>
        </w:trPr>
        <w:tc>
          <w:tcPr>
            <w:tcW w:w="1010" w:type="dxa"/>
            <w:tcBorders>
              <w:bottom w:val="single" w:sz="4" w:space="0" w:color="000000"/>
            </w:tcBorders>
          </w:tcPr>
          <w:p w:rsidR="00EA40A3" w:rsidRDefault="00E86C16">
            <w:pPr>
              <w:spacing w:before="50" w:line="216" w:lineRule="auto"/>
              <w:ind w:left="340"/>
              <w:rPr>
                <w:rFonts w:ascii="宋体" w:eastAsia="宋体" w:hAnsi="宋体" w:cs="宋体"/>
                <w:sz w:val="16"/>
                <w:szCs w:val="16"/>
              </w:rPr>
            </w:pPr>
            <w:r>
              <w:rPr>
                <w:rFonts w:ascii="宋体" w:eastAsia="宋体" w:hAnsi="宋体" w:cs="宋体"/>
                <w:spacing w:val="8"/>
                <w:sz w:val="16"/>
                <w:szCs w:val="16"/>
              </w:rPr>
              <w:t>鸭油</w:t>
            </w:r>
          </w:p>
        </w:tc>
        <w:tc>
          <w:tcPr>
            <w:tcW w:w="1879" w:type="dxa"/>
            <w:tcBorders>
              <w:bottom w:val="single" w:sz="4" w:space="0" w:color="000000"/>
            </w:tcBorders>
          </w:tcPr>
          <w:p w:rsidR="00EA40A3" w:rsidRDefault="00E86C16">
            <w:pPr>
              <w:spacing w:before="91" w:line="169" w:lineRule="auto"/>
              <w:ind w:left="299"/>
              <w:rPr>
                <w:rFonts w:ascii="宋体" w:eastAsia="宋体" w:hAnsi="宋体" w:cs="宋体"/>
                <w:sz w:val="16"/>
                <w:szCs w:val="16"/>
              </w:rPr>
            </w:pPr>
            <w:r>
              <w:rPr>
                <w:rFonts w:ascii="宋体" w:eastAsia="宋体" w:hAnsi="宋体" w:cs="宋体"/>
                <w:spacing w:val="-3"/>
                <w:sz w:val="16"/>
                <w:szCs w:val="16"/>
              </w:rPr>
              <w:t>21.6</w:t>
            </w:r>
            <w:r>
              <w:rPr>
                <w:rFonts w:ascii="宋体" w:eastAsia="宋体" w:hAnsi="宋体" w:cs="宋体"/>
                <w:spacing w:val="4"/>
                <w:sz w:val="16"/>
                <w:szCs w:val="16"/>
              </w:rPr>
              <w:t xml:space="preserve">        </w:t>
            </w:r>
            <w:r>
              <w:rPr>
                <w:rFonts w:ascii="宋体" w:eastAsia="宋体" w:hAnsi="宋体" w:cs="宋体"/>
                <w:spacing w:val="-3"/>
                <w:sz w:val="16"/>
                <w:szCs w:val="16"/>
              </w:rPr>
              <w:t>7.3</w:t>
            </w:r>
          </w:p>
        </w:tc>
        <w:tc>
          <w:tcPr>
            <w:tcW w:w="3319" w:type="dxa"/>
            <w:tcBorders>
              <w:bottom w:val="single" w:sz="4" w:space="0" w:color="000000"/>
            </w:tcBorders>
          </w:tcPr>
          <w:p w:rsidR="00EA40A3" w:rsidRDefault="00E86C16">
            <w:pPr>
              <w:spacing w:before="91" w:line="157" w:lineRule="auto"/>
              <w:ind w:left="431"/>
              <w:rPr>
                <w:rFonts w:ascii="宋体" w:eastAsia="宋体" w:hAnsi="宋体" w:cs="宋体"/>
                <w:sz w:val="16"/>
                <w:szCs w:val="16"/>
              </w:rPr>
            </w:pPr>
            <w:r>
              <w:rPr>
                <w:rFonts w:ascii="宋体" w:eastAsia="宋体" w:hAnsi="宋体" w:cs="宋体"/>
                <w:spacing w:val="-3"/>
                <w:position w:val="1"/>
                <w:sz w:val="16"/>
                <w:szCs w:val="16"/>
              </w:rPr>
              <w:t>3.6</w:t>
            </w:r>
            <w:r>
              <w:rPr>
                <w:rFonts w:ascii="宋体" w:eastAsia="宋体" w:hAnsi="宋体" w:cs="宋体"/>
                <w:spacing w:val="2"/>
                <w:position w:val="1"/>
                <w:sz w:val="16"/>
                <w:szCs w:val="16"/>
              </w:rPr>
              <w:t xml:space="preserve">          </w:t>
            </w:r>
            <w:r>
              <w:rPr>
                <w:rFonts w:ascii="宋体" w:eastAsia="宋体" w:hAnsi="宋体" w:cs="宋体"/>
                <w:spacing w:val="-3"/>
                <w:sz w:val="16"/>
                <w:szCs w:val="16"/>
              </w:rPr>
              <w:t>51.6</w:t>
            </w:r>
            <w:r>
              <w:rPr>
                <w:rFonts w:ascii="宋体" w:eastAsia="宋体" w:hAnsi="宋体" w:cs="宋体"/>
                <w:spacing w:val="9"/>
                <w:sz w:val="16"/>
                <w:szCs w:val="16"/>
              </w:rPr>
              <w:t xml:space="preserve">         </w:t>
            </w:r>
            <w:r>
              <w:rPr>
                <w:rFonts w:ascii="宋体" w:eastAsia="宋体" w:hAnsi="宋体" w:cs="宋体"/>
                <w:spacing w:val="-3"/>
                <w:sz w:val="16"/>
                <w:szCs w:val="16"/>
              </w:rPr>
              <w:t>14.2</w:t>
            </w:r>
          </w:p>
        </w:tc>
        <w:tc>
          <w:tcPr>
            <w:tcW w:w="1112" w:type="dxa"/>
            <w:tcBorders>
              <w:bottom w:val="single" w:sz="4" w:space="0" w:color="000000"/>
            </w:tcBorders>
          </w:tcPr>
          <w:p w:rsidR="00EA40A3" w:rsidRDefault="00E86C16">
            <w:pPr>
              <w:spacing w:before="101" w:line="157" w:lineRule="auto"/>
              <w:ind w:left="432"/>
              <w:rPr>
                <w:rFonts w:ascii="宋体" w:eastAsia="宋体" w:hAnsi="宋体" w:cs="宋体"/>
                <w:sz w:val="16"/>
                <w:szCs w:val="16"/>
              </w:rPr>
            </w:pPr>
            <w:r>
              <w:rPr>
                <w:rFonts w:ascii="宋体" w:eastAsia="宋体" w:hAnsi="宋体" w:cs="宋体"/>
                <w:spacing w:val="-2"/>
                <w:sz w:val="16"/>
                <w:szCs w:val="16"/>
              </w:rPr>
              <w:t>0.8</w:t>
            </w:r>
          </w:p>
        </w:tc>
      </w:tr>
    </w:tbl>
    <w:p w:rsidR="00EA40A3" w:rsidRDefault="00E86C16">
      <w:pPr>
        <w:spacing w:before="92" w:line="253" w:lineRule="auto"/>
        <w:ind w:left="349" w:right="113" w:hanging="9"/>
        <w:rPr>
          <w:rFonts w:ascii="宋体" w:eastAsia="宋体" w:hAnsi="宋体" w:cs="宋体"/>
          <w:sz w:val="17"/>
          <w:szCs w:val="17"/>
        </w:rPr>
      </w:pPr>
      <w:r>
        <w:rPr>
          <w:rFonts w:ascii="宋体" w:eastAsia="宋体" w:hAnsi="宋体" w:cs="宋体"/>
          <w:sz w:val="16"/>
          <w:szCs w:val="16"/>
        </w:rPr>
        <w:t>资料来源：中国预防医学科学院营养与食品卫生研究所，1991.食物成</w:t>
      </w:r>
      <w:r>
        <w:rPr>
          <w:rFonts w:ascii="宋体" w:eastAsia="宋体" w:hAnsi="宋体" w:cs="宋体"/>
          <w:spacing w:val="-1"/>
          <w:sz w:val="16"/>
          <w:szCs w:val="16"/>
        </w:rPr>
        <w:t>分表(全国代表值).北京：人</w:t>
      </w:r>
      <w:r>
        <w:rPr>
          <w:rFonts w:ascii="宋体" w:eastAsia="宋体" w:hAnsi="宋体" w:cs="宋体"/>
          <w:sz w:val="16"/>
          <w:szCs w:val="16"/>
        </w:rPr>
        <w:t xml:space="preserve"> </w:t>
      </w:r>
      <w:r>
        <w:rPr>
          <w:rFonts w:ascii="宋体" w:eastAsia="宋体" w:hAnsi="宋体" w:cs="宋体"/>
          <w:spacing w:val="-13"/>
          <w:sz w:val="17"/>
          <w:szCs w:val="17"/>
        </w:rPr>
        <w:t>民卫生出版社</w:t>
      </w:r>
    </w:p>
    <w:p w:rsidR="00EA40A3" w:rsidRDefault="00EA40A3">
      <w:pPr>
        <w:spacing w:line="310" w:lineRule="auto"/>
      </w:pPr>
    </w:p>
    <w:p w:rsidR="00EA40A3" w:rsidRDefault="00E86C16">
      <w:pPr>
        <w:spacing w:before="65" w:line="225" w:lineRule="auto"/>
        <w:rPr>
          <w:rFonts w:ascii="楷体" w:eastAsia="楷体" w:hAnsi="楷体" w:cs="楷体"/>
          <w:sz w:val="20"/>
          <w:szCs w:val="20"/>
        </w:rPr>
      </w:pPr>
      <w:r>
        <w:rPr>
          <w:rFonts w:ascii="楷体" w:eastAsia="楷体" w:hAnsi="楷体" w:cs="楷体"/>
          <w:spacing w:val="28"/>
          <w:sz w:val="20"/>
          <w:szCs w:val="20"/>
        </w:rPr>
        <w:t>3)维生素</w:t>
      </w:r>
    </w:p>
    <w:p w:rsidR="00EA40A3" w:rsidRDefault="00E86C16">
      <w:pPr>
        <w:spacing w:before="78" w:line="260" w:lineRule="auto"/>
        <w:ind w:right="78" w:firstLine="349"/>
        <w:jc w:val="both"/>
        <w:rPr>
          <w:rFonts w:ascii="宋体" w:eastAsia="宋体" w:hAnsi="宋体" w:cs="宋体"/>
          <w:sz w:val="20"/>
          <w:szCs w:val="20"/>
        </w:rPr>
      </w:pPr>
      <w:r>
        <w:rPr>
          <w:rFonts w:ascii="宋体" w:eastAsia="宋体" w:hAnsi="宋体" w:cs="宋体"/>
          <w:spacing w:val="4"/>
          <w:sz w:val="20"/>
          <w:szCs w:val="20"/>
        </w:rPr>
        <w:t>禽肉中维生素分布的特点与畜肉相同，</w:t>
      </w:r>
      <w:r>
        <w:rPr>
          <w:rFonts w:ascii="宋体" w:eastAsia="宋体" w:hAnsi="宋体" w:cs="宋体"/>
          <w:spacing w:val="15"/>
          <w:sz w:val="20"/>
          <w:szCs w:val="20"/>
        </w:rPr>
        <w:t xml:space="preserve"> </w:t>
      </w:r>
      <w:r>
        <w:rPr>
          <w:rFonts w:ascii="宋体" w:eastAsia="宋体" w:hAnsi="宋体" w:cs="宋体"/>
          <w:spacing w:val="4"/>
          <w:sz w:val="20"/>
          <w:szCs w:val="20"/>
        </w:rPr>
        <w:t>B</w:t>
      </w:r>
      <w:r>
        <w:rPr>
          <w:rFonts w:ascii="宋体" w:eastAsia="宋体" w:hAnsi="宋体" w:cs="宋体"/>
          <w:spacing w:val="-17"/>
          <w:sz w:val="20"/>
          <w:szCs w:val="20"/>
        </w:rPr>
        <w:t xml:space="preserve"> </w:t>
      </w:r>
      <w:r>
        <w:rPr>
          <w:rFonts w:ascii="宋体" w:eastAsia="宋体" w:hAnsi="宋体" w:cs="宋体"/>
          <w:spacing w:val="4"/>
          <w:sz w:val="20"/>
          <w:szCs w:val="20"/>
        </w:rPr>
        <w:t>族维生素含量丰富，特别富含尼克</w:t>
      </w:r>
      <w:r>
        <w:rPr>
          <w:rFonts w:ascii="宋体" w:eastAsia="宋体" w:hAnsi="宋体" w:cs="宋体"/>
          <w:sz w:val="20"/>
          <w:szCs w:val="20"/>
        </w:rPr>
        <w:t xml:space="preserve"> </w:t>
      </w:r>
      <w:r>
        <w:rPr>
          <w:rFonts w:ascii="宋体" w:eastAsia="宋体" w:hAnsi="宋体" w:cs="宋体"/>
          <w:spacing w:val="8"/>
          <w:sz w:val="20"/>
          <w:szCs w:val="20"/>
        </w:rPr>
        <w:t>酸。例如，鸡胸脯肉中含尼克酸10.8</w:t>
      </w:r>
      <w:r>
        <w:rPr>
          <w:rFonts w:ascii="宋体" w:eastAsia="宋体" w:hAnsi="宋体" w:cs="宋体"/>
          <w:sz w:val="20"/>
          <w:szCs w:val="20"/>
        </w:rPr>
        <w:t>mg</w:t>
      </w:r>
      <w:r>
        <w:rPr>
          <w:rFonts w:ascii="宋体" w:eastAsia="宋体" w:hAnsi="宋体" w:cs="宋体"/>
          <w:spacing w:val="8"/>
          <w:sz w:val="20"/>
          <w:szCs w:val="20"/>
        </w:rPr>
        <w:t>/100g。</w:t>
      </w:r>
      <w:r>
        <w:rPr>
          <w:rFonts w:ascii="宋体" w:eastAsia="宋体" w:hAnsi="宋体" w:cs="宋体"/>
          <w:spacing w:val="22"/>
          <w:sz w:val="20"/>
          <w:szCs w:val="20"/>
        </w:rPr>
        <w:t xml:space="preserve">  </w:t>
      </w:r>
      <w:r>
        <w:rPr>
          <w:rFonts w:ascii="宋体" w:eastAsia="宋体" w:hAnsi="宋体" w:cs="宋体"/>
          <w:spacing w:val="8"/>
          <w:sz w:val="20"/>
          <w:szCs w:val="20"/>
        </w:rPr>
        <w:t>禽肉中泛酸含量也较高。其中</w:t>
      </w:r>
      <w:r>
        <w:rPr>
          <w:rFonts w:ascii="宋体" w:eastAsia="宋体" w:hAnsi="宋体" w:cs="宋体"/>
          <w:sz w:val="20"/>
          <w:szCs w:val="20"/>
        </w:rPr>
        <w:t xml:space="preserve"> </w:t>
      </w:r>
      <w:r>
        <w:rPr>
          <w:rFonts w:ascii="宋体" w:eastAsia="宋体" w:hAnsi="宋体" w:cs="宋体"/>
          <w:spacing w:val="8"/>
          <w:sz w:val="20"/>
          <w:szCs w:val="20"/>
        </w:rPr>
        <w:t>脂溶性维生素含量低，但含有一定量的维生素E,</w:t>
      </w:r>
      <w:r>
        <w:rPr>
          <w:rFonts w:ascii="宋体" w:eastAsia="宋体" w:hAnsi="宋体" w:cs="宋体"/>
          <w:spacing w:val="49"/>
          <w:sz w:val="20"/>
          <w:szCs w:val="20"/>
        </w:rPr>
        <w:t xml:space="preserve"> </w:t>
      </w:r>
      <w:r>
        <w:rPr>
          <w:rFonts w:ascii="宋体" w:eastAsia="宋体" w:hAnsi="宋体" w:cs="宋体"/>
          <w:spacing w:val="8"/>
          <w:sz w:val="20"/>
          <w:szCs w:val="20"/>
        </w:rPr>
        <w:t>约90~400μg/100</w:t>
      </w:r>
      <w:r>
        <w:rPr>
          <w:rFonts w:ascii="宋体" w:eastAsia="宋体" w:hAnsi="宋体" w:cs="宋体"/>
          <w:sz w:val="20"/>
          <w:szCs w:val="20"/>
        </w:rPr>
        <w:t>mg</w:t>
      </w:r>
      <w:r>
        <w:rPr>
          <w:rFonts w:ascii="宋体" w:eastAsia="宋体" w:hAnsi="宋体" w:cs="宋体"/>
          <w:spacing w:val="8"/>
          <w:sz w:val="20"/>
          <w:szCs w:val="20"/>
        </w:rPr>
        <w:t>。</w:t>
      </w:r>
    </w:p>
    <w:p w:rsidR="00EA40A3" w:rsidRDefault="00E86C16">
      <w:pPr>
        <w:spacing w:before="66" w:line="266" w:lineRule="auto"/>
        <w:ind w:right="61" w:firstLine="349"/>
        <w:jc w:val="both"/>
        <w:rPr>
          <w:rFonts w:ascii="宋体" w:eastAsia="宋体" w:hAnsi="宋体" w:cs="宋体"/>
          <w:sz w:val="20"/>
          <w:szCs w:val="20"/>
        </w:rPr>
      </w:pPr>
      <w:r>
        <w:rPr>
          <w:rFonts w:ascii="宋体" w:eastAsia="宋体" w:hAnsi="宋体" w:cs="宋体"/>
          <w:spacing w:val="9"/>
          <w:sz w:val="20"/>
          <w:szCs w:val="20"/>
        </w:rPr>
        <w:t>禽类肝脏中各种维生素的含量均很高，是维生素A、</w:t>
      </w:r>
      <w:r>
        <w:rPr>
          <w:rFonts w:ascii="宋体" w:eastAsia="宋体" w:hAnsi="宋体" w:cs="宋体"/>
          <w:spacing w:val="23"/>
          <w:sz w:val="20"/>
          <w:szCs w:val="20"/>
        </w:rPr>
        <w:t xml:space="preserve"> </w:t>
      </w:r>
      <w:r>
        <w:rPr>
          <w:rFonts w:ascii="宋体" w:eastAsia="宋体" w:hAnsi="宋体" w:cs="宋体"/>
          <w:spacing w:val="9"/>
          <w:sz w:val="20"/>
          <w:szCs w:val="20"/>
        </w:rPr>
        <w:t>维生素</w:t>
      </w:r>
      <w:r>
        <w:rPr>
          <w:rFonts w:ascii="宋体" w:eastAsia="宋体" w:hAnsi="宋体" w:cs="宋体"/>
          <w:spacing w:val="-60"/>
          <w:sz w:val="20"/>
          <w:szCs w:val="20"/>
        </w:rPr>
        <w:t xml:space="preserve"> </w:t>
      </w:r>
      <w:r>
        <w:rPr>
          <w:rFonts w:ascii="宋体" w:eastAsia="宋体" w:hAnsi="宋体" w:cs="宋体"/>
          <w:spacing w:val="9"/>
          <w:sz w:val="20"/>
          <w:szCs w:val="20"/>
        </w:rPr>
        <w:t>D、</w:t>
      </w:r>
      <w:r>
        <w:rPr>
          <w:rFonts w:ascii="宋体" w:eastAsia="宋体" w:hAnsi="宋体" w:cs="宋体"/>
          <w:spacing w:val="15"/>
          <w:sz w:val="20"/>
          <w:szCs w:val="20"/>
        </w:rPr>
        <w:t xml:space="preserve"> </w:t>
      </w:r>
      <w:r>
        <w:rPr>
          <w:rFonts w:ascii="宋体" w:eastAsia="宋体" w:hAnsi="宋体" w:cs="宋体"/>
          <w:spacing w:val="9"/>
          <w:sz w:val="20"/>
          <w:szCs w:val="20"/>
        </w:rPr>
        <w:t>维生素</w:t>
      </w:r>
      <w:r>
        <w:rPr>
          <w:rFonts w:ascii="宋体" w:eastAsia="宋体" w:hAnsi="宋体" w:cs="宋体"/>
          <w:spacing w:val="-60"/>
          <w:sz w:val="20"/>
          <w:szCs w:val="20"/>
        </w:rPr>
        <w:t xml:space="preserve"> </w:t>
      </w:r>
      <w:r>
        <w:rPr>
          <w:rFonts w:ascii="宋体" w:eastAsia="宋体" w:hAnsi="宋体" w:cs="宋体"/>
          <w:spacing w:val="9"/>
          <w:sz w:val="20"/>
          <w:szCs w:val="20"/>
        </w:rPr>
        <w:t>B2</w:t>
      </w:r>
      <w:r>
        <w:rPr>
          <w:rFonts w:ascii="宋体" w:eastAsia="宋体" w:hAnsi="宋体" w:cs="宋体"/>
          <w:sz w:val="20"/>
          <w:szCs w:val="20"/>
        </w:rPr>
        <w:t xml:space="preserve">  </w:t>
      </w:r>
      <w:r>
        <w:rPr>
          <w:rFonts w:ascii="宋体" w:eastAsia="宋体" w:hAnsi="宋体" w:cs="宋体"/>
          <w:spacing w:val="13"/>
          <w:sz w:val="20"/>
          <w:szCs w:val="20"/>
        </w:rPr>
        <w:t>和维生素</w:t>
      </w:r>
      <w:r>
        <w:rPr>
          <w:rFonts w:ascii="宋体" w:eastAsia="宋体" w:hAnsi="宋体" w:cs="宋体"/>
          <w:spacing w:val="-60"/>
          <w:sz w:val="20"/>
          <w:szCs w:val="20"/>
        </w:rPr>
        <w:t xml:space="preserve"> </w:t>
      </w:r>
      <w:r>
        <w:rPr>
          <w:rFonts w:ascii="宋体" w:eastAsia="宋体" w:hAnsi="宋体" w:cs="宋体"/>
          <w:spacing w:val="13"/>
          <w:sz w:val="20"/>
          <w:szCs w:val="20"/>
        </w:rPr>
        <w:t>E</w:t>
      </w:r>
      <w:r>
        <w:rPr>
          <w:rFonts w:ascii="宋体" w:eastAsia="宋体" w:hAnsi="宋体" w:cs="宋体"/>
          <w:spacing w:val="-15"/>
          <w:sz w:val="20"/>
          <w:szCs w:val="20"/>
        </w:rPr>
        <w:t xml:space="preserve"> </w:t>
      </w:r>
      <w:r>
        <w:rPr>
          <w:rFonts w:ascii="宋体" w:eastAsia="宋体" w:hAnsi="宋体" w:cs="宋体"/>
          <w:spacing w:val="13"/>
          <w:sz w:val="20"/>
          <w:szCs w:val="20"/>
        </w:rPr>
        <w:t>的良好来源。禽类肝脏中的维生素含量往往</w:t>
      </w:r>
      <w:r>
        <w:rPr>
          <w:rFonts w:ascii="宋体" w:eastAsia="宋体" w:hAnsi="宋体" w:cs="宋体"/>
          <w:spacing w:val="12"/>
          <w:sz w:val="20"/>
          <w:szCs w:val="20"/>
        </w:rPr>
        <w:t>高于畜肉。例如：鸡肝</w:t>
      </w:r>
      <w:r>
        <w:rPr>
          <w:rFonts w:ascii="宋体" w:eastAsia="宋体" w:hAnsi="宋体" w:cs="宋体"/>
          <w:sz w:val="20"/>
          <w:szCs w:val="20"/>
        </w:rPr>
        <w:t xml:space="preserve"> </w:t>
      </w:r>
      <w:r>
        <w:rPr>
          <w:rFonts w:ascii="宋体" w:eastAsia="宋体" w:hAnsi="宋体" w:cs="宋体"/>
          <w:spacing w:val="4"/>
          <w:sz w:val="20"/>
          <w:szCs w:val="20"/>
        </w:rPr>
        <w:t>中维生素A</w:t>
      </w:r>
      <w:r>
        <w:rPr>
          <w:rFonts w:ascii="宋体" w:eastAsia="宋体" w:hAnsi="宋体" w:cs="宋体"/>
          <w:spacing w:val="21"/>
          <w:sz w:val="20"/>
          <w:szCs w:val="20"/>
        </w:rPr>
        <w:t xml:space="preserve"> </w:t>
      </w:r>
      <w:r>
        <w:rPr>
          <w:rFonts w:ascii="宋体" w:eastAsia="宋体" w:hAnsi="宋体" w:cs="宋体"/>
          <w:spacing w:val="4"/>
          <w:sz w:val="20"/>
          <w:szCs w:val="20"/>
        </w:rPr>
        <w:t>和核黄素的含量分别为10414μg/100g</w:t>
      </w:r>
      <w:r>
        <w:rPr>
          <w:rFonts w:ascii="宋体" w:eastAsia="宋体" w:hAnsi="宋体" w:cs="宋体"/>
          <w:spacing w:val="1"/>
          <w:sz w:val="20"/>
          <w:szCs w:val="20"/>
        </w:rPr>
        <w:t xml:space="preserve"> </w:t>
      </w:r>
      <w:r>
        <w:rPr>
          <w:rFonts w:ascii="宋体" w:eastAsia="宋体" w:hAnsi="宋体" w:cs="宋体"/>
          <w:spacing w:val="4"/>
          <w:sz w:val="20"/>
          <w:szCs w:val="20"/>
        </w:rPr>
        <w:t>和1100μg/100g,</w:t>
      </w:r>
      <w:r>
        <w:rPr>
          <w:rFonts w:ascii="宋体" w:eastAsia="宋体" w:hAnsi="宋体" w:cs="宋体"/>
          <w:spacing w:val="31"/>
          <w:sz w:val="20"/>
          <w:szCs w:val="20"/>
        </w:rPr>
        <w:t xml:space="preserve"> </w:t>
      </w:r>
      <w:r>
        <w:rPr>
          <w:rFonts w:ascii="宋体" w:eastAsia="宋体" w:hAnsi="宋体" w:cs="宋体"/>
          <w:spacing w:val="4"/>
          <w:sz w:val="20"/>
          <w:szCs w:val="20"/>
        </w:rPr>
        <w:t>鸭</w:t>
      </w:r>
      <w:r>
        <w:rPr>
          <w:rFonts w:ascii="宋体" w:eastAsia="宋体" w:hAnsi="宋体" w:cs="宋体"/>
          <w:spacing w:val="3"/>
          <w:sz w:val="20"/>
          <w:szCs w:val="20"/>
        </w:rPr>
        <w:t>肝分别为</w:t>
      </w:r>
    </w:p>
    <w:p w:rsidR="00EA40A3" w:rsidRDefault="00E86C16">
      <w:pPr>
        <w:spacing w:before="40" w:line="241" w:lineRule="auto"/>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212</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183"/>
          <w:pgSz w:w="9220" w:h="13360"/>
          <w:pgMar w:top="400" w:right="1089" w:bottom="400" w:left="809" w:header="0" w:footer="0" w:gutter="0"/>
          <w:cols w:space="720"/>
        </w:sectPr>
      </w:pPr>
    </w:p>
    <w:p w:rsidR="00EA40A3" w:rsidRDefault="00EA40A3">
      <w:pPr>
        <w:spacing w:line="283" w:lineRule="auto"/>
      </w:pPr>
    </w:p>
    <w:p w:rsidR="00EA40A3" w:rsidRDefault="00EA40A3">
      <w:pPr>
        <w:spacing w:line="284" w:lineRule="auto"/>
      </w:pPr>
    </w:p>
    <w:p w:rsidR="00EA40A3" w:rsidRDefault="00E86C16">
      <w:pPr>
        <w:spacing w:before="71" w:line="251" w:lineRule="auto"/>
        <w:ind w:right="20"/>
        <w:jc w:val="both"/>
        <w:rPr>
          <w:rFonts w:ascii="楷体" w:eastAsia="楷体" w:hAnsi="楷体" w:cs="楷体"/>
          <w:sz w:val="22"/>
          <w:szCs w:val="22"/>
        </w:rPr>
      </w:pPr>
      <w:bookmarkStart w:id="52" w:name="_bookmark56"/>
      <w:bookmarkEnd w:id="52"/>
      <w:r>
        <w:rPr>
          <w:rFonts w:ascii="宋体" w:eastAsia="宋体" w:hAnsi="宋体" w:cs="宋体"/>
          <w:spacing w:val="-5"/>
          <w:sz w:val="22"/>
          <w:szCs w:val="22"/>
        </w:rPr>
        <w:t>1040μg/100g和1050μg/100g,鹅肝含维生素A</w:t>
      </w:r>
      <w:r>
        <w:rPr>
          <w:rFonts w:ascii="宋体" w:eastAsia="宋体" w:hAnsi="宋体" w:cs="宋体"/>
          <w:spacing w:val="4"/>
          <w:sz w:val="22"/>
          <w:szCs w:val="22"/>
        </w:rPr>
        <w:t xml:space="preserve"> </w:t>
      </w:r>
      <w:r>
        <w:rPr>
          <w:rFonts w:ascii="宋体" w:eastAsia="宋体" w:hAnsi="宋体" w:cs="宋体"/>
          <w:spacing w:val="-5"/>
          <w:sz w:val="22"/>
          <w:szCs w:val="22"/>
        </w:rPr>
        <w:t>6100μg/100g,</w:t>
      </w:r>
      <w:r>
        <w:rPr>
          <w:rFonts w:ascii="宋体" w:eastAsia="宋体" w:hAnsi="宋体" w:cs="宋体"/>
          <w:spacing w:val="-65"/>
          <w:sz w:val="22"/>
          <w:szCs w:val="22"/>
        </w:rPr>
        <w:t xml:space="preserve"> </w:t>
      </w:r>
      <w:r>
        <w:rPr>
          <w:rFonts w:ascii="宋体" w:eastAsia="宋体" w:hAnsi="宋体" w:cs="宋体"/>
          <w:spacing w:val="-5"/>
          <w:sz w:val="22"/>
          <w:szCs w:val="22"/>
        </w:rPr>
        <w:t>核黄素含量</w:t>
      </w:r>
      <w:r>
        <w:rPr>
          <w:rFonts w:ascii="宋体" w:eastAsia="宋体" w:hAnsi="宋体" w:cs="宋体"/>
          <w:spacing w:val="-6"/>
          <w:sz w:val="22"/>
          <w:szCs w:val="22"/>
        </w:rPr>
        <w:t>略低</w:t>
      </w:r>
      <w:r>
        <w:rPr>
          <w:rFonts w:ascii="宋体" w:eastAsia="宋体" w:hAnsi="宋体" w:cs="宋体"/>
          <w:sz w:val="22"/>
          <w:szCs w:val="22"/>
        </w:rPr>
        <w:t xml:space="preserve"> </w:t>
      </w:r>
      <w:r>
        <w:rPr>
          <w:rFonts w:ascii="宋体" w:eastAsia="宋体" w:hAnsi="宋体" w:cs="宋体"/>
          <w:spacing w:val="-11"/>
          <w:sz w:val="22"/>
          <w:szCs w:val="22"/>
        </w:rPr>
        <w:t>一些，为250μg/100g。此外，禽类的心脏和胗也是B</w:t>
      </w:r>
      <w:r>
        <w:rPr>
          <w:rFonts w:ascii="宋体" w:eastAsia="宋体" w:hAnsi="宋体" w:cs="宋体"/>
          <w:spacing w:val="-31"/>
          <w:sz w:val="22"/>
          <w:szCs w:val="22"/>
        </w:rPr>
        <w:t xml:space="preserve"> </w:t>
      </w:r>
      <w:r>
        <w:rPr>
          <w:rFonts w:ascii="宋体" w:eastAsia="宋体" w:hAnsi="宋体" w:cs="宋体"/>
          <w:spacing w:val="-11"/>
          <w:sz w:val="22"/>
          <w:szCs w:val="22"/>
        </w:rPr>
        <w:t>族维生素含量丰富的食物。</w:t>
      </w:r>
      <w:r>
        <w:rPr>
          <w:rFonts w:ascii="宋体" w:eastAsia="宋体" w:hAnsi="宋体" w:cs="宋体"/>
          <w:sz w:val="22"/>
          <w:szCs w:val="22"/>
        </w:rPr>
        <w:t xml:space="preserve"> </w:t>
      </w:r>
      <w:r>
        <w:rPr>
          <w:rFonts w:ascii="楷体" w:eastAsia="楷体" w:hAnsi="楷体" w:cs="楷体"/>
          <w:spacing w:val="9"/>
          <w:sz w:val="22"/>
          <w:szCs w:val="22"/>
        </w:rPr>
        <w:t>4)矿物质</w:t>
      </w:r>
    </w:p>
    <w:p w:rsidR="00EA40A3" w:rsidRDefault="00E86C16">
      <w:pPr>
        <w:spacing w:before="18" w:line="250" w:lineRule="auto"/>
        <w:ind w:right="10" w:firstLine="530"/>
        <w:jc w:val="both"/>
        <w:rPr>
          <w:rFonts w:ascii="宋体" w:eastAsia="宋体" w:hAnsi="宋体" w:cs="宋体"/>
          <w:sz w:val="22"/>
          <w:szCs w:val="22"/>
        </w:rPr>
      </w:pPr>
      <w:r>
        <w:rPr>
          <w:rFonts w:ascii="宋体" w:eastAsia="宋体" w:hAnsi="宋体" w:cs="宋体"/>
          <w:spacing w:val="-13"/>
          <w:sz w:val="22"/>
          <w:szCs w:val="22"/>
        </w:rPr>
        <w:t>与畜肉相同，禽肉中铁、锌、硒等矿物质含量很</w:t>
      </w:r>
      <w:r>
        <w:rPr>
          <w:rFonts w:ascii="宋体" w:eastAsia="宋体" w:hAnsi="宋体" w:cs="宋体"/>
          <w:spacing w:val="-14"/>
          <w:sz w:val="22"/>
          <w:szCs w:val="22"/>
        </w:rPr>
        <w:t>高，但钙的含量也不高。禽</w:t>
      </w:r>
      <w:r>
        <w:rPr>
          <w:rFonts w:ascii="宋体" w:eastAsia="宋体" w:hAnsi="宋体" w:cs="宋体"/>
          <w:sz w:val="22"/>
          <w:szCs w:val="22"/>
        </w:rPr>
        <w:t xml:space="preserve"> </w:t>
      </w:r>
      <w:r>
        <w:rPr>
          <w:rFonts w:ascii="宋体" w:eastAsia="宋体" w:hAnsi="宋体" w:cs="宋体"/>
          <w:spacing w:val="-13"/>
          <w:sz w:val="22"/>
          <w:szCs w:val="22"/>
        </w:rPr>
        <w:t>类的肝脏中富含多种矿物质，且平均水平高于禽肉。肝脏和血液中铁的含量十分</w:t>
      </w:r>
      <w:r>
        <w:rPr>
          <w:rFonts w:ascii="宋体" w:eastAsia="宋体" w:hAnsi="宋体" w:cs="宋体"/>
          <w:spacing w:val="6"/>
          <w:sz w:val="22"/>
          <w:szCs w:val="22"/>
        </w:rPr>
        <w:t xml:space="preserve">  </w:t>
      </w:r>
      <w:r>
        <w:rPr>
          <w:rFonts w:ascii="宋体" w:eastAsia="宋体" w:hAnsi="宋体" w:cs="宋体"/>
          <w:spacing w:val="-5"/>
          <w:sz w:val="22"/>
          <w:szCs w:val="22"/>
        </w:rPr>
        <w:t>丰富，高达10～30mg/100g</w:t>
      </w:r>
      <w:r>
        <w:rPr>
          <w:rFonts w:ascii="宋体" w:eastAsia="宋体" w:hAnsi="宋体" w:cs="宋体"/>
          <w:spacing w:val="-28"/>
          <w:sz w:val="22"/>
          <w:szCs w:val="22"/>
        </w:rPr>
        <w:t xml:space="preserve"> </w:t>
      </w:r>
      <w:r>
        <w:rPr>
          <w:rFonts w:ascii="宋体" w:eastAsia="宋体" w:hAnsi="宋体" w:cs="宋体"/>
          <w:spacing w:val="-5"/>
          <w:sz w:val="22"/>
          <w:szCs w:val="22"/>
        </w:rPr>
        <w:t>以上，可称铁的</w:t>
      </w:r>
      <w:r>
        <w:rPr>
          <w:rFonts w:ascii="宋体" w:eastAsia="宋体" w:hAnsi="宋体" w:cs="宋体"/>
          <w:spacing w:val="-6"/>
          <w:sz w:val="22"/>
          <w:szCs w:val="22"/>
        </w:rPr>
        <w:t>最佳膳食来源。禽类的心脏和胗也</w:t>
      </w:r>
      <w:r>
        <w:rPr>
          <w:rFonts w:ascii="宋体" w:eastAsia="宋体" w:hAnsi="宋体" w:cs="宋体"/>
          <w:sz w:val="22"/>
          <w:szCs w:val="22"/>
        </w:rPr>
        <w:t xml:space="preserve">  </w:t>
      </w:r>
      <w:r>
        <w:rPr>
          <w:rFonts w:ascii="宋体" w:eastAsia="宋体" w:hAnsi="宋体" w:cs="宋体"/>
          <w:spacing w:val="-10"/>
          <w:sz w:val="22"/>
          <w:szCs w:val="22"/>
        </w:rPr>
        <w:t>是含矿物质非常丰富的食物。表6-20列出一些禽肉的主</w:t>
      </w:r>
      <w:r>
        <w:rPr>
          <w:rFonts w:ascii="宋体" w:eastAsia="宋体" w:hAnsi="宋体" w:cs="宋体"/>
          <w:spacing w:val="-11"/>
          <w:sz w:val="22"/>
          <w:szCs w:val="22"/>
        </w:rPr>
        <w:t>要营养素含量。</w:t>
      </w:r>
    </w:p>
    <w:p w:rsidR="00EA40A3" w:rsidRDefault="00EA40A3">
      <w:pPr>
        <w:spacing w:line="315" w:lineRule="auto"/>
      </w:pPr>
    </w:p>
    <w:p w:rsidR="00EA40A3" w:rsidRDefault="00E86C16">
      <w:pPr>
        <w:spacing w:before="55" w:line="221" w:lineRule="auto"/>
        <w:ind w:left="2292"/>
        <w:rPr>
          <w:rFonts w:ascii="黑体" w:eastAsia="黑体" w:hAnsi="黑体" w:cs="黑体"/>
          <w:sz w:val="17"/>
          <w:szCs w:val="17"/>
        </w:rPr>
      </w:pPr>
      <w:r>
        <w:rPr>
          <w:rFonts w:ascii="黑体" w:eastAsia="黑体" w:hAnsi="黑体" w:cs="黑体"/>
          <w:b/>
          <w:bCs/>
          <w:spacing w:val="6"/>
          <w:sz w:val="17"/>
          <w:szCs w:val="17"/>
        </w:rPr>
        <w:t>表6-20</w:t>
      </w:r>
      <w:r>
        <w:rPr>
          <w:rFonts w:ascii="黑体" w:eastAsia="黑体" w:hAnsi="黑体" w:cs="黑体"/>
          <w:spacing w:val="87"/>
          <w:sz w:val="17"/>
          <w:szCs w:val="17"/>
        </w:rPr>
        <w:t xml:space="preserve"> </w:t>
      </w:r>
      <w:r>
        <w:rPr>
          <w:rFonts w:ascii="黑体" w:eastAsia="黑体" w:hAnsi="黑体" w:cs="黑体"/>
          <w:b/>
          <w:bCs/>
          <w:spacing w:val="6"/>
          <w:sz w:val="17"/>
          <w:szCs w:val="17"/>
        </w:rPr>
        <w:t>一些禽肉的主要营养素含量</w:t>
      </w:r>
    </w:p>
    <w:p w:rsidR="00EA40A3" w:rsidRDefault="00EA40A3">
      <w:pPr>
        <w:spacing w:line="39" w:lineRule="exact"/>
      </w:pPr>
    </w:p>
    <w:tbl>
      <w:tblPr>
        <w:tblStyle w:val="TableNormal"/>
        <w:tblW w:w="734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47"/>
        <w:gridCol w:w="855"/>
        <w:gridCol w:w="892"/>
        <w:gridCol w:w="1000"/>
        <w:gridCol w:w="830"/>
        <w:gridCol w:w="997"/>
        <w:gridCol w:w="1077"/>
        <w:gridCol w:w="942"/>
      </w:tblGrid>
      <w:tr w:rsidR="00EA40A3">
        <w:trPr>
          <w:trHeight w:val="603"/>
        </w:trPr>
        <w:tc>
          <w:tcPr>
            <w:tcW w:w="747" w:type="dxa"/>
            <w:tcBorders>
              <w:top w:val="single" w:sz="4" w:space="0" w:color="000000"/>
            </w:tcBorders>
          </w:tcPr>
          <w:p w:rsidR="00EA40A3" w:rsidRDefault="00E86C16">
            <w:pPr>
              <w:spacing w:before="251" w:line="220" w:lineRule="auto"/>
              <w:ind w:left="49"/>
              <w:rPr>
                <w:rFonts w:ascii="宋体" w:eastAsia="宋体" w:hAnsi="宋体" w:cs="宋体"/>
                <w:sz w:val="16"/>
                <w:szCs w:val="16"/>
              </w:rPr>
            </w:pPr>
            <w:r>
              <w:rPr>
                <w:rFonts w:ascii="宋体" w:eastAsia="宋体" w:hAnsi="宋体" w:cs="宋体"/>
                <w:spacing w:val="-2"/>
                <w:sz w:val="16"/>
                <w:szCs w:val="16"/>
              </w:rPr>
              <w:t>食物名称</w:t>
            </w:r>
          </w:p>
        </w:tc>
        <w:tc>
          <w:tcPr>
            <w:tcW w:w="855" w:type="dxa"/>
            <w:tcBorders>
              <w:top w:val="single" w:sz="4" w:space="0" w:color="000000"/>
            </w:tcBorders>
          </w:tcPr>
          <w:p w:rsidR="00EA40A3" w:rsidRDefault="00E86C16">
            <w:pPr>
              <w:spacing w:before="111" w:line="254" w:lineRule="auto"/>
              <w:ind w:left="62" w:right="77" w:firstLine="170"/>
              <w:rPr>
                <w:rFonts w:ascii="宋体" w:eastAsia="宋体" w:hAnsi="宋体" w:cs="宋体"/>
                <w:sz w:val="16"/>
                <w:szCs w:val="16"/>
              </w:rPr>
            </w:pPr>
            <w:r>
              <w:rPr>
                <w:rFonts w:ascii="宋体" w:eastAsia="宋体" w:hAnsi="宋体" w:cs="宋体"/>
                <w:spacing w:val="6"/>
                <w:sz w:val="16"/>
                <w:szCs w:val="16"/>
              </w:rPr>
              <w:t>蛋白质</w:t>
            </w:r>
            <w:r>
              <w:rPr>
                <w:rFonts w:ascii="宋体" w:eastAsia="宋体" w:hAnsi="宋体" w:cs="宋体"/>
                <w:sz w:val="16"/>
                <w:szCs w:val="16"/>
              </w:rPr>
              <w:t xml:space="preserve"> </w:t>
            </w:r>
            <w:r>
              <w:rPr>
                <w:rFonts w:ascii="宋体" w:eastAsia="宋体" w:hAnsi="宋体" w:cs="宋体"/>
                <w:spacing w:val="-1"/>
                <w:sz w:val="16"/>
                <w:szCs w:val="16"/>
              </w:rPr>
              <w:t>/(g/100g)</w:t>
            </w:r>
          </w:p>
        </w:tc>
        <w:tc>
          <w:tcPr>
            <w:tcW w:w="892" w:type="dxa"/>
            <w:tcBorders>
              <w:top w:val="single" w:sz="4" w:space="0" w:color="000000"/>
            </w:tcBorders>
          </w:tcPr>
          <w:p w:rsidR="00EA40A3" w:rsidRDefault="00E86C16">
            <w:pPr>
              <w:spacing w:before="121" w:line="220" w:lineRule="auto"/>
              <w:ind w:left="317"/>
              <w:rPr>
                <w:rFonts w:ascii="宋体" w:eastAsia="宋体" w:hAnsi="宋体" w:cs="宋体"/>
                <w:sz w:val="16"/>
                <w:szCs w:val="16"/>
              </w:rPr>
            </w:pPr>
            <w:r>
              <w:rPr>
                <w:rFonts w:ascii="宋体" w:eastAsia="宋体" w:hAnsi="宋体" w:cs="宋体"/>
                <w:spacing w:val="-2"/>
                <w:sz w:val="16"/>
                <w:szCs w:val="16"/>
              </w:rPr>
              <w:t>脂肪</w:t>
            </w:r>
          </w:p>
          <w:p w:rsidR="00EA40A3" w:rsidRDefault="00E86C16">
            <w:pPr>
              <w:spacing w:before="53" w:line="214" w:lineRule="auto"/>
              <w:ind w:left="117"/>
              <w:rPr>
                <w:rFonts w:ascii="宋体" w:eastAsia="宋体" w:hAnsi="宋体" w:cs="宋体"/>
                <w:sz w:val="16"/>
                <w:szCs w:val="16"/>
              </w:rPr>
            </w:pPr>
            <w:r>
              <w:rPr>
                <w:rFonts w:ascii="宋体" w:eastAsia="宋体" w:hAnsi="宋体" w:cs="宋体"/>
                <w:spacing w:val="-1"/>
                <w:sz w:val="16"/>
                <w:szCs w:val="16"/>
              </w:rPr>
              <w:t>/(g/100g)</w:t>
            </w:r>
          </w:p>
        </w:tc>
        <w:tc>
          <w:tcPr>
            <w:tcW w:w="1830" w:type="dxa"/>
            <w:gridSpan w:val="2"/>
            <w:tcBorders>
              <w:top w:val="single" w:sz="4" w:space="0" w:color="000000"/>
            </w:tcBorders>
          </w:tcPr>
          <w:p w:rsidR="00EA40A3" w:rsidRDefault="00E86C16">
            <w:pPr>
              <w:spacing w:before="112" w:line="265" w:lineRule="auto"/>
              <w:ind w:left="136" w:right="82" w:firstLine="179"/>
              <w:rPr>
                <w:rFonts w:ascii="宋体" w:eastAsia="宋体" w:hAnsi="宋体" w:cs="宋体"/>
                <w:sz w:val="16"/>
                <w:szCs w:val="16"/>
              </w:rPr>
            </w:pPr>
            <w:r>
              <w:rPr>
                <w:rFonts w:ascii="宋体" w:eastAsia="宋体" w:hAnsi="宋体" w:cs="宋体"/>
                <w:spacing w:val="-3"/>
                <w:sz w:val="16"/>
                <w:szCs w:val="16"/>
              </w:rPr>
              <w:t>硫胺素</w:t>
            </w:r>
            <w:r>
              <w:rPr>
                <w:rFonts w:ascii="宋体" w:eastAsia="宋体" w:hAnsi="宋体" w:cs="宋体"/>
                <w:spacing w:val="1"/>
                <w:sz w:val="16"/>
                <w:szCs w:val="16"/>
              </w:rPr>
              <w:t xml:space="preserve">      </w:t>
            </w:r>
            <w:r>
              <w:rPr>
                <w:rFonts w:ascii="宋体" w:eastAsia="宋体" w:hAnsi="宋体" w:cs="宋体"/>
                <w:spacing w:val="-3"/>
                <w:sz w:val="16"/>
                <w:szCs w:val="16"/>
              </w:rPr>
              <w:t>核黄素</w:t>
            </w:r>
            <w:r>
              <w:rPr>
                <w:rFonts w:ascii="宋体" w:eastAsia="宋体" w:hAnsi="宋体" w:cs="宋体"/>
                <w:spacing w:val="2"/>
                <w:sz w:val="16"/>
                <w:szCs w:val="16"/>
              </w:rPr>
              <w:t xml:space="preserve"> </w:t>
            </w:r>
            <w:r>
              <w:rPr>
                <w:rFonts w:ascii="宋体" w:eastAsia="宋体" w:hAnsi="宋体" w:cs="宋体"/>
                <w:spacing w:val="-1"/>
                <w:sz w:val="16"/>
                <w:szCs w:val="16"/>
              </w:rPr>
              <w:t>/(mg/100g)/(mg/100g)</w:t>
            </w:r>
          </w:p>
        </w:tc>
        <w:tc>
          <w:tcPr>
            <w:tcW w:w="997" w:type="dxa"/>
            <w:tcBorders>
              <w:top w:val="single" w:sz="4" w:space="0" w:color="000000"/>
            </w:tcBorders>
          </w:tcPr>
          <w:p w:rsidR="00EA40A3" w:rsidRDefault="00E86C16">
            <w:pPr>
              <w:spacing w:before="110" w:line="260" w:lineRule="auto"/>
              <w:ind w:left="95" w:right="106" w:firstLine="290"/>
              <w:rPr>
                <w:rFonts w:ascii="宋体" w:eastAsia="宋体" w:hAnsi="宋体" w:cs="宋体"/>
                <w:sz w:val="16"/>
                <w:szCs w:val="16"/>
              </w:rPr>
            </w:pPr>
            <w:r>
              <w:rPr>
                <w:rFonts w:ascii="宋体" w:eastAsia="宋体" w:hAnsi="宋体" w:cs="宋体"/>
                <w:spacing w:val="-3"/>
                <w:sz w:val="16"/>
                <w:szCs w:val="16"/>
              </w:rPr>
              <w:t>尼克酸</w:t>
            </w:r>
            <w:r>
              <w:rPr>
                <w:rFonts w:ascii="宋体" w:eastAsia="宋体" w:hAnsi="宋体" w:cs="宋体"/>
                <w:spacing w:val="1"/>
                <w:sz w:val="16"/>
                <w:szCs w:val="16"/>
              </w:rPr>
              <w:t xml:space="preserve"> </w:t>
            </w:r>
            <w:r>
              <w:rPr>
                <w:rFonts w:ascii="宋体" w:eastAsia="宋体" w:hAnsi="宋体" w:cs="宋体"/>
                <w:spacing w:val="-1"/>
                <w:sz w:val="16"/>
                <w:szCs w:val="16"/>
              </w:rPr>
              <w:t>/(mg/100g)</w:t>
            </w:r>
          </w:p>
        </w:tc>
        <w:tc>
          <w:tcPr>
            <w:tcW w:w="2019" w:type="dxa"/>
            <w:gridSpan w:val="2"/>
            <w:tcBorders>
              <w:top w:val="single" w:sz="4" w:space="0" w:color="000000"/>
            </w:tcBorders>
          </w:tcPr>
          <w:p w:rsidR="00EA40A3" w:rsidRDefault="00E86C16">
            <w:pPr>
              <w:spacing w:before="111" w:line="221" w:lineRule="auto"/>
              <w:ind w:left="338"/>
              <w:rPr>
                <w:rFonts w:ascii="宋体" w:eastAsia="宋体" w:hAnsi="宋体" w:cs="宋体"/>
                <w:sz w:val="16"/>
                <w:szCs w:val="16"/>
              </w:rPr>
            </w:pPr>
            <w:r>
              <w:rPr>
                <w:rFonts w:ascii="宋体" w:eastAsia="宋体" w:hAnsi="宋体" w:cs="宋体"/>
                <w:spacing w:val="-2"/>
                <w:sz w:val="16"/>
                <w:szCs w:val="16"/>
              </w:rPr>
              <w:t>视黄醇</w:t>
            </w:r>
            <w:r>
              <w:rPr>
                <w:rFonts w:ascii="宋体" w:eastAsia="宋体" w:hAnsi="宋体" w:cs="宋体"/>
                <w:sz w:val="16"/>
                <w:szCs w:val="16"/>
              </w:rPr>
              <w:t xml:space="preserve">        </w:t>
            </w:r>
            <w:r>
              <w:rPr>
                <w:rFonts w:ascii="宋体" w:eastAsia="宋体" w:hAnsi="宋体" w:cs="宋体"/>
                <w:spacing w:val="-2"/>
                <w:sz w:val="16"/>
                <w:szCs w:val="16"/>
              </w:rPr>
              <w:t>铁</w:t>
            </w:r>
          </w:p>
          <w:p w:rsidR="00EA40A3" w:rsidRDefault="00E86C16">
            <w:pPr>
              <w:spacing w:before="63" w:line="214" w:lineRule="auto"/>
              <w:ind w:left="149"/>
              <w:rPr>
                <w:rFonts w:ascii="宋体" w:eastAsia="宋体" w:hAnsi="宋体" w:cs="宋体"/>
                <w:sz w:val="16"/>
                <w:szCs w:val="16"/>
              </w:rPr>
            </w:pPr>
            <w:r>
              <w:rPr>
                <w:rFonts w:ascii="宋体" w:eastAsia="宋体" w:hAnsi="宋体" w:cs="宋体"/>
                <w:spacing w:val="-1"/>
                <w:sz w:val="16"/>
                <w:szCs w:val="16"/>
              </w:rPr>
              <w:t>/(μg/100g)/(mg/100g)</w:t>
            </w:r>
          </w:p>
        </w:tc>
      </w:tr>
      <w:tr w:rsidR="00EA40A3">
        <w:trPr>
          <w:trHeight w:val="269"/>
        </w:trPr>
        <w:tc>
          <w:tcPr>
            <w:tcW w:w="747" w:type="dxa"/>
          </w:tcPr>
          <w:p w:rsidR="00EA40A3" w:rsidRDefault="00E86C16">
            <w:pPr>
              <w:spacing w:before="59" w:line="221" w:lineRule="auto"/>
              <w:ind w:left="49"/>
              <w:rPr>
                <w:rFonts w:ascii="宋体" w:eastAsia="宋体" w:hAnsi="宋体" w:cs="宋体"/>
                <w:sz w:val="16"/>
                <w:szCs w:val="16"/>
              </w:rPr>
            </w:pPr>
            <w:r>
              <w:rPr>
                <w:rFonts w:ascii="宋体" w:eastAsia="宋体" w:hAnsi="宋体" w:cs="宋体"/>
                <w:spacing w:val="3"/>
                <w:sz w:val="16"/>
                <w:szCs w:val="16"/>
              </w:rPr>
              <w:t>鸡胸脯肉</w:t>
            </w:r>
          </w:p>
        </w:tc>
        <w:tc>
          <w:tcPr>
            <w:tcW w:w="855" w:type="dxa"/>
          </w:tcPr>
          <w:p w:rsidR="00EA40A3" w:rsidRDefault="00E86C16">
            <w:pPr>
              <w:spacing w:before="98" w:line="184" w:lineRule="auto"/>
              <w:ind w:left="232"/>
              <w:rPr>
                <w:rFonts w:ascii="宋体" w:eastAsia="宋体" w:hAnsi="宋体" w:cs="宋体"/>
                <w:sz w:val="16"/>
                <w:szCs w:val="16"/>
              </w:rPr>
            </w:pPr>
            <w:r>
              <w:rPr>
                <w:rFonts w:ascii="宋体" w:eastAsia="宋体" w:hAnsi="宋体" w:cs="宋体"/>
                <w:spacing w:val="-4"/>
                <w:sz w:val="16"/>
                <w:szCs w:val="16"/>
              </w:rPr>
              <w:t>19.4</w:t>
            </w:r>
          </w:p>
        </w:tc>
        <w:tc>
          <w:tcPr>
            <w:tcW w:w="892" w:type="dxa"/>
          </w:tcPr>
          <w:p w:rsidR="00EA40A3" w:rsidRDefault="00E86C16">
            <w:pPr>
              <w:spacing w:before="89" w:line="183" w:lineRule="auto"/>
              <w:ind w:left="357"/>
              <w:rPr>
                <w:rFonts w:ascii="宋体" w:eastAsia="宋体" w:hAnsi="宋体" w:cs="宋体"/>
                <w:sz w:val="16"/>
                <w:szCs w:val="16"/>
              </w:rPr>
            </w:pPr>
            <w:r>
              <w:rPr>
                <w:rFonts w:ascii="宋体" w:eastAsia="宋体" w:hAnsi="宋体" w:cs="宋体"/>
                <w:spacing w:val="-3"/>
                <w:sz w:val="16"/>
                <w:szCs w:val="16"/>
              </w:rPr>
              <w:t>5.0</w:t>
            </w:r>
          </w:p>
        </w:tc>
        <w:tc>
          <w:tcPr>
            <w:tcW w:w="1000" w:type="dxa"/>
          </w:tcPr>
          <w:p w:rsidR="00EA40A3" w:rsidRDefault="00E86C16">
            <w:pPr>
              <w:spacing w:before="79" w:line="183" w:lineRule="auto"/>
              <w:ind w:left="315"/>
              <w:rPr>
                <w:rFonts w:ascii="宋体" w:eastAsia="宋体" w:hAnsi="宋体" w:cs="宋体"/>
                <w:sz w:val="16"/>
                <w:szCs w:val="16"/>
              </w:rPr>
            </w:pPr>
            <w:r>
              <w:rPr>
                <w:rFonts w:ascii="宋体" w:eastAsia="宋体" w:hAnsi="宋体" w:cs="宋体"/>
                <w:spacing w:val="-2"/>
                <w:sz w:val="16"/>
                <w:szCs w:val="16"/>
              </w:rPr>
              <w:t>0.07</w:t>
            </w:r>
          </w:p>
        </w:tc>
        <w:tc>
          <w:tcPr>
            <w:tcW w:w="830" w:type="dxa"/>
          </w:tcPr>
          <w:p w:rsidR="00EA40A3" w:rsidRDefault="00E86C16">
            <w:pPr>
              <w:spacing w:before="98" w:line="184" w:lineRule="auto"/>
              <w:ind w:left="335"/>
              <w:rPr>
                <w:rFonts w:ascii="宋体" w:eastAsia="宋体" w:hAnsi="宋体" w:cs="宋体"/>
                <w:sz w:val="16"/>
                <w:szCs w:val="16"/>
              </w:rPr>
            </w:pPr>
            <w:r>
              <w:rPr>
                <w:rFonts w:ascii="宋体" w:eastAsia="宋体" w:hAnsi="宋体" w:cs="宋体"/>
                <w:spacing w:val="-2"/>
                <w:sz w:val="16"/>
                <w:szCs w:val="16"/>
              </w:rPr>
              <w:t>0.13</w:t>
            </w:r>
          </w:p>
        </w:tc>
        <w:tc>
          <w:tcPr>
            <w:tcW w:w="997" w:type="dxa"/>
          </w:tcPr>
          <w:p w:rsidR="00EA40A3" w:rsidRDefault="00E86C16">
            <w:pPr>
              <w:spacing w:before="88" w:line="184" w:lineRule="auto"/>
              <w:ind w:left="476"/>
              <w:rPr>
                <w:rFonts w:ascii="宋体" w:eastAsia="宋体" w:hAnsi="宋体" w:cs="宋体"/>
                <w:sz w:val="16"/>
                <w:szCs w:val="16"/>
              </w:rPr>
            </w:pPr>
            <w:r>
              <w:rPr>
                <w:rFonts w:ascii="宋体" w:eastAsia="宋体" w:hAnsi="宋体" w:cs="宋体"/>
                <w:spacing w:val="-4"/>
                <w:sz w:val="16"/>
                <w:szCs w:val="16"/>
              </w:rPr>
              <w:t>10.8</w:t>
            </w:r>
          </w:p>
        </w:tc>
        <w:tc>
          <w:tcPr>
            <w:tcW w:w="1077" w:type="dxa"/>
          </w:tcPr>
          <w:p w:rsidR="00EA40A3" w:rsidRDefault="00E86C16">
            <w:pPr>
              <w:spacing w:before="88" w:line="184" w:lineRule="auto"/>
              <w:ind w:left="499"/>
              <w:rPr>
                <w:rFonts w:ascii="宋体" w:eastAsia="宋体" w:hAnsi="宋体" w:cs="宋体"/>
                <w:sz w:val="16"/>
                <w:szCs w:val="16"/>
              </w:rPr>
            </w:pPr>
            <w:r>
              <w:rPr>
                <w:rFonts w:ascii="宋体" w:eastAsia="宋体" w:hAnsi="宋体" w:cs="宋体"/>
                <w:spacing w:val="-5"/>
                <w:sz w:val="16"/>
                <w:szCs w:val="16"/>
              </w:rPr>
              <w:t>16</w:t>
            </w:r>
          </w:p>
        </w:tc>
        <w:tc>
          <w:tcPr>
            <w:tcW w:w="942" w:type="dxa"/>
          </w:tcPr>
          <w:p w:rsidR="00EA40A3" w:rsidRDefault="00E86C16">
            <w:pPr>
              <w:spacing w:before="89" w:line="183" w:lineRule="auto"/>
              <w:ind w:left="312"/>
              <w:rPr>
                <w:rFonts w:ascii="宋体" w:eastAsia="宋体" w:hAnsi="宋体" w:cs="宋体"/>
                <w:sz w:val="16"/>
                <w:szCs w:val="16"/>
              </w:rPr>
            </w:pPr>
            <w:r>
              <w:rPr>
                <w:rFonts w:ascii="宋体" w:eastAsia="宋体" w:hAnsi="宋体" w:cs="宋体"/>
                <w:spacing w:val="-2"/>
                <w:sz w:val="16"/>
                <w:szCs w:val="16"/>
              </w:rPr>
              <w:t>0.6</w:t>
            </w:r>
          </w:p>
        </w:tc>
      </w:tr>
      <w:tr w:rsidR="00EA40A3">
        <w:trPr>
          <w:trHeight w:val="269"/>
        </w:trPr>
        <w:tc>
          <w:tcPr>
            <w:tcW w:w="747" w:type="dxa"/>
          </w:tcPr>
          <w:p w:rsidR="00EA40A3" w:rsidRDefault="00E86C16">
            <w:pPr>
              <w:spacing w:before="60" w:line="221" w:lineRule="auto"/>
              <w:ind w:left="120"/>
              <w:rPr>
                <w:rFonts w:ascii="宋体" w:eastAsia="宋体" w:hAnsi="宋体" w:cs="宋体"/>
                <w:sz w:val="16"/>
                <w:szCs w:val="16"/>
              </w:rPr>
            </w:pPr>
            <w:r>
              <w:rPr>
                <w:rFonts w:ascii="宋体" w:eastAsia="宋体" w:hAnsi="宋体" w:cs="宋体"/>
                <w:spacing w:val="-2"/>
                <w:sz w:val="16"/>
                <w:szCs w:val="16"/>
              </w:rPr>
              <w:t>鸡肝</w:t>
            </w:r>
          </w:p>
        </w:tc>
        <w:tc>
          <w:tcPr>
            <w:tcW w:w="855" w:type="dxa"/>
          </w:tcPr>
          <w:p w:rsidR="00EA40A3" w:rsidRDefault="00E86C16">
            <w:pPr>
              <w:spacing w:before="119" w:line="172" w:lineRule="auto"/>
              <w:ind w:left="232"/>
              <w:rPr>
                <w:rFonts w:ascii="宋体" w:eastAsia="宋体" w:hAnsi="宋体" w:cs="宋体"/>
                <w:sz w:val="16"/>
                <w:szCs w:val="16"/>
              </w:rPr>
            </w:pPr>
            <w:r>
              <w:rPr>
                <w:rFonts w:ascii="宋体" w:eastAsia="宋体" w:hAnsi="宋体" w:cs="宋体"/>
                <w:spacing w:val="-4"/>
                <w:sz w:val="16"/>
                <w:szCs w:val="16"/>
              </w:rPr>
              <w:t>16.6</w:t>
            </w:r>
          </w:p>
        </w:tc>
        <w:tc>
          <w:tcPr>
            <w:tcW w:w="892" w:type="dxa"/>
          </w:tcPr>
          <w:p w:rsidR="00EA40A3" w:rsidRDefault="00E86C16">
            <w:pPr>
              <w:spacing w:before="110" w:line="183" w:lineRule="auto"/>
              <w:ind w:left="357"/>
              <w:rPr>
                <w:rFonts w:ascii="宋体" w:eastAsia="宋体" w:hAnsi="宋体" w:cs="宋体"/>
                <w:sz w:val="16"/>
                <w:szCs w:val="16"/>
              </w:rPr>
            </w:pPr>
            <w:r>
              <w:rPr>
                <w:rFonts w:ascii="宋体" w:eastAsia="宋体" w:hAnsi="宋体" w:cs="宋体"/>
                <w:spacing w:val="-2"/>
                <w:sz w:val="16"/>
                <w:szCs w:val="16"/>
              </w:rPr>
              <w:t>4.8</w:t>
            </w:r>
          </w:p>
        </w:tc>
        <w:tc>
          <w:tcPr>
            <w:tcW w:w="1000" w:type="dxa"/>
          </w:tcPr>
          <w:p w:rsidR="00EA40A3" w:rsidRDefault="00E86C16">
            <w:pPr>
              <w:spacing w:before="120" w:line="171" w:lineRule="auto"/>
              <w:ind w:left="366"/>
              <w:rPr>
                <w:rFonts w:ascii="宋体" w:eastAsia="宋体" w:hAnsi="宋体" w:cs="宋体"/>
                <w:sz w:val="16"/>
                <w:szCs w:val="16"/>
              </w:rPr>
            </w:pPr>
            <w:r>
              <w:rPr>
                <w:rFonts w:ascii="宋体" w:eastAsia="宋体" w:hAnsi="宋体" w:cs="宋体"/>
                <w:spacing w:val="-2"/>
                <w:sz w:val="16"/>
                <w:szCs w:val="16"/>
              </w:rPr>
              <w:t>0.33</w:t>
            </w:r>
          </w:p>
        </w:tc>
        <w:tc>
          <w:tcPr>
            <w:tcW w:w="830" w:type="dxa"/>
          </w:tcPr>
          <w:p w:rsidR="00EA40A3" w:rsidRDefault="00E86C16">
            <w:pPr>
              <w:spacing w:before="110" w:line="183" w:lineRule="auto"/>
              <w:ind w:left="326"/>
              <w:rPr>
                <w:rFonts w:ascii="宋体" w:eastAsia="宋体" w:hAnsi="宋体" w:cs="宋体"/>
                <w:sz w:val="16"/>
                <w:szCs w:val="16"/>
              </w:rPr>
            </w:pPr>
            <w:r>
              <w:rPr>
                <w:rFonts w:ascii="宋体" w:eastAsia="宋体" w:hAnsi="宋体" w:cs="宋体"/>
                <w:spacing w:val="-4"/>
                <w:sz w:val="16"/>
                <w:szCs w:val="16"/>
              </w:rPr>
              <w:t>1.10</w:t>
            </w:r>
          </w:p>
        </w:tc>
        <w:tc>
          <w:tcPr>
            <w:tcW w:w="997" w:type="dxa"/>
          </w:tcPr>
          <w:p w:rsidR="00EA40A3" w:rsidRDefault="00E86C16">
            <w:pPr>
              <w:spacing w:before="80" w:line="184" w:lineRule="auto"/>
              <w:ind w:left="446"/>
              <w:rPr>
                <w:rFonts w:ascii="宋体" w:eastAsia="宋体" w:hAnsi="宋体" w:cs="宋体"/>
                <w:sz w:val="16"/>
                <w:szCs w:val="16"/>
              </w:rPr>
            </w:pPr>
            <w:r>
              <w:rPr>
                <w:rFonts w:ascii="宋体" w:eastAsia="宋体" w:hAnsi="宋体" w:cs="宋体"/>
                <w:spacing w:val="-4"/>
                <w:sz w:val="16"/>
                <w:szCs w:val="16"/>
              </w:rPr>
              <w:t>11.9</w:t>
            </w:r>
          </w:p>
        </w:tc>
        <w:tc>
          <w:tcPr>
            <w:tcW w:w="1077" w:type="dxa"/>
          </w:tcPr>
          <w:p w:rsidR="00EA40A3" w:rsidRDefault="00E86C16">
            <w:pPr>
              <w:spacing w:before="99" w:line="184" w:lineRule="auto"/>
              <w:ind w:left="389"/>
              <w:rPr>
                <w:rFonts w:ascii="宋体" w:eastAsia="宋体" w:hAnsi="宋体" w:cs="宋体"/>
                <w:sz w:val="16"/>
                <w:szCs w:val="16"/>
              </w:rPr>
            </w:pPr>
            <w:r>
              <w:rPr>
                <w:rFonts w:ascii="宋体" w:eastAsia="宋体" w:hAnsi="宋体" w:cs="宋体"/>
                <w:spacing w:val="-3"/>
                <w:sz w:val="16"/>
                <w:szCs w:val="16"/>
              </w:rPr>
              <w:t>10414</w:t>
            </w:r>
          </w:p>
        </w:tc>
        <w:tc>
          <w:tcPr>
            <w:tcW w:w="942" w:type="dxa"/>
          </w:tcPr>
          <w:p w:rsidR="00EA40A3" w:rsidRDefault="00E86C16">
            <w:pPr>
              <w:spacing w:before="110" w:line="183" w:lineRule="auto"/>
              <w:ind w:left="312"/>
              <w:rPr>
                <w:rFonts w:ascii="宋体" w:eastAsia="宋体" w:hAnsi="宋体" w:cs="宋体"/>
                <w:sz w:val="16"/>
                <w:szCs w:val="16"/>
              </w:rPr>
            </w:pPr>
            <w:r>
              <w:rPr>
                <w:rFonts w:ascii="宋体" w:eastAsia="宋体" w:hAnsi="宋体" w:cs="宋体"/>
                <w:spacing w:val="-4"/>
                <w:sz w:val="16"/>
                <w:szCs w:val="16"/>
              </w:rPr>
              <w:t>12.0</w:t>
            </w:r>
          </w:p>
        </w:tc>
      </w:tr>
      <w:tr w:rsidR="00EA40A3">
        <w:trPr>
          <w:trHeight w:val="293"/>
        </w:trPr>
        <w:tc>
          <w:tcPr>
            <w:tcW w:w="747" w:type="dxa"/>
          </w:tcPr>
          <w:p w:rsidR="00EA40A3" w:rsidRDefault="00E86C16">
            <w:pPr>
              <w:spacing w:before="51" w:line="221" w:lineRule="auto"/>
              <w:ind w:left="120"/>
              <w:rPr>
                <w:rFonts w:ascii="宋体" w:eastAsia="宋体" w:hAnsi="宋体" w:cs="宋体"/>
                <w:sz w:val="16"/>
                <w:szCs w:val="16"/>
              </w:rPr>
            </w:pPr>
            <w:r>
              <w:rPr>
                <w:rFonts w:ascii="宋体" w:eastAsia="宋体" w:hAnsi="宋体" w:cs="宋体"/>
                <w:spacing w:val="-2"/>
                <w:sz w:val="16"/>
                <w:szCs w:val="16"/>
              </w:rPr>
              <w:t>鹌鹑</w:t>
            </w:r>
          </w:p>
        </w:tc>
        <w:tc>
          <w:tcPr>
            <w:tcW w:w="855" w:type="dxa"/>
          </w:tcPr>
          <w:p w:rsidR="00EA40A3" w:rsidRDefault="00E86C16">
            <w:pPr>
              <w:spacing w:before="91" w:line="183" w:lineRule="auto"/>
              <w:ind w:left="232"/>
              <w:rPr>
                <w:rFonts w:ascii="宋体" w:eastAsia="宋体" w:hAnsi="宋体" w:cs="宋体"/>
                <w:sz w:val="16"/>
                <w:szCs w:val="16"/>
              </w:rPr>
            </w:pPr>
            <w:r>
              <w:rPr>
                <w:rFonts w:ascii="宋体" w:eastAsia="宋体" w:hAnsi="宋体" w:cs="宋体"/>
                <w:spacing w:val="-2"/>
                <w:sz w:val="16"/>
                <w:szCs w:val="16"/>
              </w:rPr>
              <w:t>20.2</w:t>
            </w:r>
          </w:p>
        </w:tc>
        <w:tc>
          <w:tcPr>
            <w:tcW w:w="892" w:type="dxa"/>
          </w:tcPr>
          <w:p w:rsidR="00EA40A3" w:rsidRDefault="00E86C16">
            <w:pPr>
              <w:spacing w:before="110" w:line="184" w:lineRule="auto"/>
              <w:ind w:left="357"/>
              <w:rPr>
                <w:rFonts w:ascii="宋体" w:eastAsia="宋体" w:hAnsi="宋体" w:cs="宋体"/>
                <w:sz w:val="16"/>
                <w:szCs w:val="16"/>
              </w:rPr>
            </w:pPr>
            <w:r>
              <w:rPr>
                <w:rFonts w:ascii="宋体" w:eastAsia="宋体" w:hAnsi="宋体" w:cs="宋体"/>
                <w:spacing w:val="-3"/>
                <w:sz w:val="16"/>
                <w:szCs w:val="16"/>
              </w:rPr>
              <w:t>3.1</w:t>
            </w:r>
          </w:p>
        </w:tc>
        <w:tc>
          <w:tcPr>
            <w:tcW w:w="1000" w:type="dxa"/>
          </w:tcPr>
          <w:p w:rsidR="00EA40A3" w:rsidRDefault="00E86C16">
            <w:pPr>
              <w:spacing w:before="131" w:line="183" w:lineRule="auto"/>
              <w:ind w:left="366"/>
              <w:rPr>
                <w:rFonts w:ascii="宋体" w:eastAsia="宋体" w:hAnsi="宋体" w:cs="宋体"/>
                <w:sz w:val="16"/>
                <w:szCs w:val="16"/>
              </w:rPr>
            </w:pPr>
            <w:r>
              <w:rPr>
                <w:rFonts w:ascii="宋体" w:eastAsia="宋体" w:hAnsi="宋体" w:cs="宋体"/>
                <w:spacing w:val="-2"/>
                <w:sz w:val="16"/>
                <w:szCs w:val="16"/>
              </w:rPr>
              <w:t>0.04</w:t>
            </w:r>
          </w:p>
        </w:tc>
        <w:tc>
          <w:tcPr>
            <w:tcW w:w="830" w:type="dxa"/>
          </w:tcPr>
          <w:p w:rsidR="00EA40A3" w:rsidRDefault="00E86C16">
            <w:pPr>
              <w:spacing w:before="121" w:line="183" w:lineRule="auto"/>
              <w:ind w:left="326"/>
              <w:rPr>
                <w:rFonts w:ascii="宋体" w:eastAsia="宋体" w:hAnsi="宋体" w:cs="宋体"/>
                <w:sz w:val="16"/>
                <w:szCs w:val="16"/>
              </w:rPr>
            </w:pPr>
            <w:r>
              <w:rPr>
                <w:rFonts w:ascii="宋体" w:eastAsia="宋体" w:hAnsi="宋体" w:cs="宋体"/>
                <w:spacing w:val="-2"/>
                <w:sz w:val="16"/>
                <w:szCs w:val="16"/>
              </w:rPr>
              <w:t>0.32</w:t>
            </w:r>
          </w:p>
        </w:tc>
        <w:tc>
          <w:tcPr>
            <w:tcW w:w="997" w:type="dxa"/>
          </w:tcPr>
          <w:p w:rsidR="00EA40A3" w:rsidRDefault="00E86C16">
            <w:pPr>
              <w:spacing w:before="111" w:line="183" w:lineRule="auto"/>
              <w:ind w:left="485"/>
              <w:rPr>
                <w:rFonts w:ascii="宋体" w:eastAsia="宋体" w:hAnsi="宋体" w:cs="宋体"/>
                <w:sz w:val="16"/>
                <w:szCs w:val="16"/>
              </w:rPr>
            </w:pPr>
            <w:r>
              <w:rPr>
                <w:rFonts w:ascii="宋体" w:eastAsia="宋体" w:hAnsi="宋体" w:cs="宋体"/>
                <w:spacing w:val="-2"/>
                <w:sz w:val="16"/>
                <w:szCs w:val="16"/>
              </w:rPr>
              <w:t>6.3</w:t>
            </w:r>
          </w:p>
        </w:tc>
        <w:tc>
          <w:tcPr>
            <w:tcW w:w="1077" w:type="dxa"/>
          </w:tcPr>
          <w:p w:rsidR="00EA40A3" w:rsidRDefault="00E86C16">
            <w:pPr>
              <w:spacing w:before="111" w:line="183" w:lineRule="auto"/>
              <w:ind w:left="508"/>
              <w:rPr>
                <w:rFonts w:ascii="宋体" w:eastAsia="宋体" w:hAnsi="宋体" w:cs="宋体"/>
                <w:sz w:val="16"/>
                <w:szCs w:val="16"/>
              </w:rPr>
            </w:pPr>
            <w:r>
              <w:rPr>
                <w:rFonts w:ascii="宋体" w:eastAsia="宋体" w:hAnsi="宋体" w:cs="宋体"/>
                <w:spacing w:val="-2"/>
                <w:sz w:val="16"/>
                <w:szCs w:val="16"/>
              </w:rPr>
              <w:t>40</w:t>
            </w:r>
          </w:p>
        </w:tc>
        <w:tc>
          <w:tcPr>
            <w:tcW w:w="942" w:type="dxa"/>
          </w:tcPr>
          <w:p w:rsidR="00EA40A3" w:rsidRDefault="00E86C16">
            <w:pPr>
              <w:spacing w:before="111" w:line="183" w:lineRule="auto"/>
              <w:ind w:left="352"/>
              <w:rPr>
                <w:rFonts w:ascii="宋体" w:eastAsia="宋体" w:hAnsi="宋体" w:cs="宋体"/>
                <w:sz w:val="16"/>
                <w:szCs w:val="16"/>
              </w:rPr>
            </w:pPr>
            <w:r>
              <w:rPr>
                <w:rFonts w:ascii="宋体" w:eastAsia="宋体" w:hAnsi="宋体" w:cs="宋体"/>
                <w:spacing w:val="-2"/>
                <w:sz w:val="16"/>
                <w:szCs w:val="16"/>
              </w:rPr>
              <w:t>2.3</w:t>
            </w:r>
          </w:p>
        </w:tc>
      </w:tr>
      <w:tr w:rsidR="00EA40A3">
        <w:trPr>
          <w:trHeight w:val="264"/>
        </w:trPr>
        <w:tc>
          <w:tcPr>
            <w:tcW w:w="747" w:type="dxa"/>
          </w:tcPr>
          <w:p w:rsidR="00EA40A3" w:rsidRDefault="00E86C16">
            <w:pPr>
              <w:spacing w:before="58" w:line="220" w:lineRule="auto"/>
              <w:ind w:left="289"/>
              <w:rPr>
                <w:rFonts w:ascii="宋体" w:eastAsia="宋体" w:hAnsi="宋体" w:cs="宋体"/>
                <w:sz w:val="16"/>
                <w:szCs w:val="16"/>
              </w:rPr>
            </w:pPr>
            <w:r>
              <w:rPr>
                <w:rFonts w:ascii="宋体" w:eastAsia="宋体" w:hAnsi="宋体" w:cs="宋体"/>
                <w:sz w:val="16"/>
                <w:szCs w:val="16"/>
              </w:rPr>
              <w:t>鸭</w:t>
            </w:r>
          </w:p>
        </w:tc>
        <w:tc>
          <w:tcPr>
            <w:tcW w:w="855" w:type="dxa"/>
          </w:tcPr>
          <w:p w:rsidR="00EA40A3" w:rsidRDefault="00E86C16">
            <w:pPr>
              <w:spacing w:before="108" w:line="180" w:lineRule="auto"/>
              <w:ind w:left="232"/>
              <w:rPr>
                <w:rFonts w:ascii="宋体" w:eastAsia="宋体" w:hAnsi="宋体" w:cs="宋体"/>
                <w:sz w:val="16"/>
                <w:szCs w:val="16"/>
              </w:rPr>
            </w:pPr>
            <w:r>
              <w:rPr>
                <w:rFonts w:ascii="宋体" w:eastAsia="宋体" w:hAnsi="宋体" w:cs="宋体"/>
                <w:spacing w:val="-4"/>
                <w:sz w:val="16"/>
                <w:szCs w:val="16"/>
              </w:rPr>
              <w:t>15.5</w:t>
            </w:r>
          </w:p>
        </w:tc>
        <w:tc>
          <w:tcPr>
            <w:tcW w:w="892" w:type="dxa"/>
          </w:tcPr>
          <w:p w:rsidR="00EA40A3" w:rsidRDefault="00E86C16">
            <w:pPr>
              <w:spacing w:before="108" w:line="180" w:lineRule="auto"/>
              <w:ind w:left="317"/>
              <w:rPr>
                <w:rFonts w:ascii="宋体" w:eastAsia="宋体" w:hAnsi="宋体" w:cs="宋体"/>
                <w:sz w:val="16"/>
                <w:szCs w:val="16"/>
              </w:rPr>
            </w:pPr>
            <w:r>
              <w:rPr>
                <w:rFonts w:ascii="宋体" w:eastAsia="宋体" w:hAnsi="宋体" w:cs="宋体"/>
                <w:spacing w:val="-4"/>
                <w:sz w:val="16"/>
                <w:szCs w:val="16"/>
              </w:rPr>
              <w:t>19.7</w:t>
            </w:r>
          </w:p>
        </w:tc>
        <w:tc>
          <w:tcPr>
            <w:tcW w:w="1000" w:type="dxa"/>
          </w:tcPr>
          <w:p w:rsidR="00EA40A3" w:rsidRDefault="00E86C16">
            <w:pPr>
              <w:spacing w:before="108" w:line="179" w:lineRule="auto"/>
              <w:ind w:left="366"/>
              <w:rPr>
                <w:rFonts w:ascii="宋体" w:eastAsia="宋体" w:hAnsi="宋体" w:cs="宋体"/>
                <w:sz w:val="16"/>
                <w:szCs w:val="16"/>
              </w:rPr>
            </w:pPr>
            <w:r>
              <w:rPr>
                <w:rFonts w:ascii="宋体" w:eastAsia="宋体" w:hAnsi="宋体" w:cs="宋体"/>
                <w:spacing w:val="-2"/>
                <w:sz w:val="16"/>
                <w:szCs w:val="16"/>
              </w:rPr>
              <w:t>0.08</w:t>
            </w:r>
          </w:p>
        </w:tc>
        <w:tc>
          <w:tcPr>
            <w:tcW w:w="830" w:type="dxa"/>
          </w:tcPr>
          <w:p w:rsidR="00EA40A3" w:rsidRDefault="00E86C16">
            <w:pPr>
              <w:spacing w:before="98" w:line="183" w:lineRule="auto"/>
              <w:ind w:left="326"/>
              <w:rPr>
                <w:rFonts w:ascii="宋体" w:eastAsia="宋体" w:hAnsi="宋体" w:cs="宋体"/>
                <w:sz w:val="16"/>
                <w:szCs w:val="16"/>
              </w:rPr>
            </w:pPr>
            <w:r>
              <w:rPr>
                <w:rFonts w:ascii="宋体" w:eastAsia="宋体" w:hAnsi="宋体" w:cs="宋体"/>
                <w:spacing w:val="-2"/>
                <w:sz w:val="16"/>
                <w:szCs w:val="16"/>
              </w:rPr>
              <w:t>0.22</w:t>
            </w:r>
          </w:p>
        </w:tc>
        <w:tc>
          <w:tcPr>
            <w:tcW w:w="997" w:type="dxa"/>
          </w:tcPr>
          <w:p w:rsidR="00EA40A3" w:rsidRDefault="00E86C16">
            <w:pPr>
              <w:spacing w:before="88" w:line="183" w:lineRule="auto"/>
              <w:ind w:left="485"/>
              <w:rPr>
                <w:rFonts w:ascii="宋体" w:eastAsia="宋体" w:hAnsi="宋体" w:cs="宋体"/>
                <w:sz w:val="16"/>
                <w:szCs w:val="16"/>
              </w:rPr>
            </w:pPr>
            <w:r>
              <w:rPr>
                <w:rFonts w:ascii="宋体" w:eastAsia="宋体" w:hAnsi="宋体" w:cs="宋体"/>
                <w:spacing w:val="-2"/>
                <w:sz w:val="16"/>
                <w:szCs w:val="16"/>
              </w:rPr>
              <w:t>4.2</w:t>
            </w:r>
          </w:p>
        </w:tc>
        <w:tc>
          <w:tcPr>
            <w:tcW w:w="1077" w:type="dxa"/>
          </w:tcPr>
          <w:p w:rsidR="00EA40A3" w:rsidRDefault="00E86C16">
            <w:pPr>
              <w:spacing w:before="88" w:line="183" w:lineRule="auto"/>
              <w:ind w:left="508"/>
              <w:rPr>
                <w:rFonts w:ascii="宋体" w:eastAsia="宋体" w:hAnsi="宋体" w:cs="宋体"/>
                <w:sz w:val="16"/>
                <w:szCs w:val="16"/>
              </w:rPr>
            </w:pPr>
            <w:r>
              <w:rPr>
                <w:rFonts w:ascii="宋体" w:eastAsia="宋体" w:hAnsi="宋体" w:cs="宋体"/>
                <w:spacing w:val="-3"/>
                <w:sz w:val="16"/>
                <w:szCs w:val="16"/>
              </w:rPr>
              <w:t>52</w:t>
            </w:r>
          </w:p>
        </w:tc>
        <w:tc>
          <w:tcPr>
            <w:tcW w:w="942" w:type="dxa"/>
          </w:tcPr>
          <w:p w:rsidR="00EA40A3" w:rsidRDefault="00E86C16">
            <w:pPr>
              <w:spacing w:before="98" w:line="183" w:lineRule="auto"/>
              <w:ind w:left="352"/>
              <w:rPr>
                <w:rFonts w:ascii="宋体" w:eastAsia="宋体" w:hAnsi="宋体" w:cs="宋体"/>
                <w:sz w:val="16"/>
                <w:szCs w:val="16"/>
              </w:rPr>
            </w:pPr>
            <w:r>
              <w:rPr>
                <w:rFonts w:ascii="宋体" w:eastAsia="宋体" w:hAnsi="宋体" w:cs="宋体"/>
                <w:spacing w:val="-2"/>
                <w:sz w:val="16"/>
                <w:szCs w:val="16"/>
              </w:rPr>
              <w:t>2.2</w:t>
            </w:r>
          </w:p>
        </w:tc>
      </w:tr>
      <w:tr w:rsidR="00EA40A3">
        <w:trPr>
          <w:trHeight w:val="278"/>
        </w:trPr>
        <w:tc>
          <w:tcPr>
            <w:tcW w:w="747" w:type="dxa"/>
          </w:tcPr>
          <w:p w:rsidR="00EA40A3" w:rsidRDefault="00E86C16">
            <w:pPr>
              <w:spacing w:before="54" w:line="220" w:lineRule="auto"/>
              <w:ind w:left="109"/>
              <w:rPr>
                <w:rFonts w:ascii="宋体" w:eastAsia="宋体" w:hAnsi="宋体" w:cs="宋体"/>
                <w:sz w:val="16"/>
                <w:szCs w:val="16"/>
              </w:rPr>
            </w:pPr>
            <w:r>
              <w:rPr>
                <w:rFonts w:ascii="宋体" w:eastAsia="宋体" w:hAnsi="宋体" w:cs="宋体"/>
                <w:spacing w:val="-3"/>
                <w:sz w:val="16"/>
                <w:szCs w:val="16"/>
              </w:rPr>
              <w:t>鸭血</w:t>
            </w:r>
          </w:p>
        </w:tc>
        <w:tc>
          <w:tcPr>
            <w:tcW w:w="855" w:type="dxa"/>
          </w:tcPr>
          <w:p w:rsidR="00EA40A3" w:rsidRDefault="00E86C16">
            <w:pPr>
              <w:spacing w:before="103" w:line="184" w:lineRule="auto"/>
              <w:ind w:left="232"/>
              <w:rPr>
                <w:rFonts w:ascii="宋体" w:eastAsia="宋体" w:hAnsi="宋体" w:cs="宋体"/>
                <w:sz w:val="16"/>
                <w:szCs w:val="16"/>
              </w:rPr>
            </w:pPr>
            <w:r>
              <w:rPr>
                <w:rFonts w:ascii="宋体" w:eastAsia="宋体" w:hAnsi="宋体" w:cs="宋体"/>
                <w:spacing w:val="-4"/>
                <w:sz w:val="16"/>
                <w:szCs w:val="16"/>
              </w:rPr>
              <w:t>13.6</w:t>
            </w:r>
          </w:p>
        </w:tc>
        <w:tc>
          <w:tcPr>
            <w:tcW w:w="892" w:type="dxa"/>
          </w:tcPr>
          <w:p w:rsidR="00EA40A3" w:rsidRDefault="00E86C16">
            <w:pPr>
              <w:spacing w:before="114" w:line="183" w:lineRule="auto"/>
              <w:ind w:left="357"/>
              <w:rPr>
                <w:rFonts w:ascii="宋体" w:eastAsia="宋体" w:hAnsi="宋体" w:cs="宋体"/>
                <w:sz w:val="16"/>
                <w:szCs w:val="16"/>
              </w:rPr>
            </w:pPr>
            <w:r>
              <w:rPr>
                <w:rFonts w:ascii="宋体" w:eastAsia="宋体" w:hAnsi="宋体" w:cs="宋体"/>
                <w:spacing w:val="-2"/>
                <w:sz w:val="16"/>
                <w:szCs w:val="16"/>
              </w:rPr>
              <w:t>0.4</w:t>
            </w:r>
          </w:p>
        </w:tc>
        <w:tc>
          <w:tcPr>
            <w:tcW w:w="1000" w:type="dxa"/>
          </w:tcPr>
          <w:p w:rsidR="00EA40A3" w:rsidRDefault="00E86C16">
            <w:pPr>
              <w:spacing w:before="114" w:line="183" w:lineRule="auto"/>
              <w:ind w:left="366"/>
              <w:rPr>
                <w:rFonts w:ascii="宋体" w:eastAsia="宋体" w:hAnsi="宋体" w:cs="宋体"/>
                <w:sz w:val="16"/>
                <w:szCs w:val="16"/>
              </w:rPr>
            </w:pPr>
            <w:r>
              <w:rPr>
                <w:rFonts w:ascii="宋体" w:eastAsia="宋体" w:hAnsi="宋体" w:cs="宋体"/>
                <w:spacing w:val="-2"/>
                <w:sz w:val="16"/>
                <w:szCs w:val="16"/>
              </w:rPr>
              <w:t>0.06</w:t>
            </w:r>
          </w:p>
        </w:tc>
        <w:tc>
          <w:tcPr>
            <w:tcW w:w="830" w:type="dxa"/>
          </w:tcPr>
          <w:p w:rsidR="00EA40A3" w:rsidRDefault="00E86C16">
            <w:pPr>
              <w:spacing w:before="114" w:line="183" w:lineRule="auto"/>
              <w:ind w:left="326"/>
              <w:rPr>
                <w:rFonts w:ascii="宋体" w:eastAsia="宋体" w:hAnsi="宋体" w:cs="宋体"/>
                <w:sz w:val="16"/>
                <w:szCs w:val="16"/>
              </w:rPr>
            </w:pPr>
            <w:r>
              <w:rPr>
                <w:rFonts w:ascii="宋体" w:eastAsia="宋体" w:hAnsi="宋体" w:cs="宋体"/>
                <w:spacing w:val="-2"/>
                <w:sz w:val="16"/>
                <w:szCs w:val="16"/>
              </w:rPr>
              <w:t>0.06</w:t>
            </w:r>
          </w:p>
        </w:tc>
        <w:tc>
          <w:tcPr>
            <w:tcW w:w="997" w:type="dxa"/>
          </w:tcPr>
          <w:p w:rsidR="00EA40A3" w:rsidRDefault="00EA40A3"/>
        </w:tc>
        <w:tc>
          <w:tcPr>
            <w:tcW w:w="1077" w:type="dxa"/>
          </w:tcPr>
          <w:p w:rsidR="00EA40A3" w:rsidRDefault="00EA40A3"/>
        </w:tc>
        <w:tc>
          <w:tcPr>
            <w:tcW w:w="942" w:type="dxa"/>
          </w:tcPr>
          <w:p w:rsidR="00EA40A3" w:rsidRDefault="00E86C16">
            <w:pPr>
              <w:spacing w:before="94" w:line="183" w:lineRule="auto"/>
              <w:ind w:left="312"/>
              <w:rPr>
                <w:rFonts w:ascii="宋体" w:eastAsia="宋体" w:hAnsi="宋体" w:cs="宋体"/>
                <w:sz w:val="16"/>
                <w:szCs w:val="16"/>
              </w:rPr>
            </w:pPr>
            <w:r>
              <w:rPr>
                <w:rFonts w:ascii="宋体" w:eastAsia="宋体" w:hAnsi="宋体" w:cs="宋体"/>
                <w:spacing w:val="-2"/>
                <w:sz w:val="16"/>
                <w:szCs w:val="16"/>
              </w:rPr>
              <w:t>30.5</w:t>
            </w:r>
          </w:p>
        </w:tc>
      </w:tr>
      <w:tr w:rsidR="00EA40A3">
        <w:trPr>
          <w:trHeight w:val="253"/>
        </w:trPr>
        <w:tc>
          <w:tcPr>
            <w:tcW w:w="747" w:type="dxa"/>
            <w:tcBorders>
              <w:bottom w:val="single" w:sz="4" w:space="0" w:color="000000"/>
            </w:tcBorders>
          </w:tcPr>
          <w:p w:rsidR="00EA40A3" w:rsidRDefault="00E86C16">
            <w:pPr>
              <w:spacing w:before="65" w:line="216" w:lineRule="auto"/>
              <w:ind w:left="289"/>
              <w:rPr>
                <w:rFonts w:ascii="宋体" w:eastAsia="宋体" w:hAnsi="宋体" w:cs="宋体"/>
                <w:sz w:val="16"/>
                <w:szCs w:val="16"/>
              </w:rPr>
            </w:pPr>
            <w:r>
              <w:rPr>
                <w:rFonts w:ascii="宋体" w:eastAsia="宋体" w:hAnsi="宋体" w:cs="宋体"/>
                <w:sz w:val="16"/>
                <w:szCs w:val="16"/>
              </w:rPr>
              <w:t>鹅</w:t>
            </w:r>
          </w:p>
        </w:tc>
        <w:tc>
          <w:tcPr>
            <w:tcW w:w="855" w:type="dxa"/>
            <w:tcBorders>
              <w:bottom w:val="single" w:sz="4" w:space="0" w:color="000000"/>
            </w:tcBorders>
          </w:tcPr>
          <w:p w:rsidR="00EA40A3" w:rsidRDefault="00E86C16">
            <w:pPr>
              <w:spacing w:before="106" w:line="169" w:lineRule="auto"/>
              <w:ind w:left="232"/>
              <w:rPr>
                <w:rFonts w:ascii="宋体" w:eastAsia="宋体" w:hAnsi="宋体" w:cs="宋体"/>
                <w:sz w:val="16"/>
                <w:szCs w:val="16"/>
              </w:rPr>
            </w:pPr>
            <w:r>
              <w:rPr>
                <w:rFonts w:ascii="宋体" w:eastAsia="宋体" w:hAnsi="宋体" w:cs="宋体"/>
                <w:spacing w:val="-4"/>
                <w:sz w:val="16"/>
                <w:szCs w:val="16"/>
              </w:rPr>
              <w:t>17.9</w:t>
            </w:r>
          </w:p>
        </w:tc>
        <w:tc>
          <w:tcPr>
            <w:tcW w:w="892" w:type="dxa"/>
            <w:tcBorders>
              <w:bottom w:val="single" w:sz="4" w:space="0" w:color="000000"/>
            </w:tcBorders>
          </w:tcPr>
          <w:p w:rsidR="00EA40A3" w:rsidRDefault="00E86C16">
            <w:pPr>
              <w:spacing w:before="106" w:line="169" w:lineRule="auto"/>
              <w:ind w:left="317"/>
              <w:rPr>
                <w:rFonts w:ascii="宋体" w:eastAsia="宋体" w:hAnsi="宋体" w:cs="宋体"/>
                <w:sz w:val="16"/>
                <w:szCs w:val="16"/>
              </w:rPr>
            </w:pPr>
            <w:r>
              <w:rPr>
                <w:rFonts w:ascii="宋体" w:eastAsia="宋体" w:hAnsi="宋体" w:cs="宋体"/>
                <w:spacing w:val="-4"/>
                <w:sz w:val="16"/>
                <w:szCs w:val="16"/>
              </w:rPr>
              <w:t>19.9</w:t>
            </w:r>
          </w:p>
        </w:tc>
        <w:tc>
          <w:tcPr>
            <w:tcW w:w="1000" w:type="dxa"/>
            <w:tcBorders>
              <w:bottom w:val="single" w:sz="4" w:space="0" w:color="000000"/>
            </w:tcBorders>
          </w:tcPr>
          <w:p w:rsidR="00EA40A3" w:rsidRDefault="00E86C16">
            <w:pPr>
              <w:spacing w:before="106" w:line="169" w:lineRule="auto"/>
              <w:ind w:left="366"/>
              <w:rPr>
                <w:rFonts w:ascii="宋体" w:eastAsia="宋体" w:hAnsi="宋体" w:cs="宋体"/>
                <w:sz w:val="16"/>
                <w:szCs w:val="16"/>
              </w:rPr>
            </w:pPr>
            <w:r>
              <w:rPr>
                <w:rFonts w:ascii="宋体" w:eastAsia="宋体" w:hAnsi="宋体" w:cs="宋体"/>
                <w:spacing w:val="-2"/>
                <w:sz w:val="16"/>
                <w:szCs w:val="16"/>
              </w:rPr>
              <w:t>0.07</w:t>
            </w:r>
          </w:p>
        </w:tc>
        <w:tc>
          <w:tcPr>
            <w:tcW w:w="830" w:type="dxa"/>
            <w:tcBorders>
              <w:bottom w:val="single" w:sz="4" w:space="0" w:color="000000"/>
            </w:tcBorders>
          </w:tcPr>
          <w:p w:rsidR="00EA40A3" w:rsidRDefault="00E86C16">
            <w:pPr>
              <w:spacing w:before="106" w:line="169" w:lineRule="auto"/>
              <w:ind w:left="326"/>
              <w:rPr>
                <w:rFonts w:ascii="宋体" w:eastAsia="宋体" w:hAnsi="宋体" w:cs="宋体"/>
                <w:sz w:val="16"/>
                <w:szCs w:val="16"/>
              </w:rPr>
            </w:pPr>
            <w:r>
              <w:rPr>
                <w:rFonts w:ascii="宋体" w:eastAsia="宋体" w:hAnsi="宋体" w:cs="宋体"/>
                <w:spacing w:val="-2"/>
                <w:sz w:val="16"/>
                <w:szCs w:val="16"/>
              </w:rPr>
              <w:t>0.23</w:t>
            </w:r>
          </w:p>
        </w:tc>
        <w:tc>
          <w:tcPr>
            <w:tcW w:w="997" w:type="dxa"/>
            <w:tcBorders>
              <w:bottom w:val="single" w:sz="4" w:space="0" w:color="000000"/>
            </w:tcBorders>
          </w:tcPr>
          <w:p w:rsidR="00EA40A3" w:rsidRDefault="00E86C16">
            <w:pPr>
              <w:spacing w:before="96" w:line="180" w:lineRule="auto"/>
              <w:ind w:left="485"/>
              <w:rPr>
                <w:rFonts w:ascii="宋体" w:eastAsia="宋体" w:hAnsi="宋体" w:cs="宋体"/>
                <w:sz w:val="16"/>
                <w:szCs w:val="16"/>
              </w:rPr>
            </w:pPr>
            <w:r>
              <w:rPr>
                <w:rFonts w:ascii="宋体" w:eastAsia="宋体" w:hAnsi="宋体" w:cs="宋体"/>
                <w:spacing w:val="-2"/>
                <w:sz w:val="16"/>
                <w:szCs w:val="16"/>
              </w:rPr>
              <w:t>4.9</w:t>
            </w:r>
          </w:p>
        </w:tc>
        <w:tc>
          <w:tcPr>
            <w:tcW w:w="1077" w:type="dxa"/>
            <w:tcBorders>
              <w:bottom w:val="single" w:sz="4" w:space="0" w:color="000000"/>
            </w:tcBorders>
          </w:tcPr>
          <w:p w:rsidR="00EA40A3" w:rsidRDefault="00E86C16">
            <w:pPr>
              <w:spacing w:before="96" w:line="180" w:lineRule="auto"/>
              <w:ind w:left="508"/>
              <w:rPr>
                <w:rFonts w:ascii="宋体" w:eastAsia="宋体" w:hAnsi="宋体" w:cs="宋体"/>
                <w:sz w:val="16"/>
                <w:szCs w:val="16"/>
              </w:rPr>
            </w:pPr>
            <w:r>
              <w:rPr>
                <w:rFonts w:ascii="宋体" w:eastAsia="宋体" w:hAnsi="宋体" w:cs="宋体"/>
                <w:spacing w:val="-2"/>
                <w:sz w:val="16"/>
                <w:szCs w:val="16"/>
              </w:rPr>
              <w:t>42</w:t>
            </w:r>
          </w:p>
        </w:tc>
        <w:tc>
          <w:tcPr>
            <w:tcW w:w="942" w:type="dxa"/>
            <w:tcBorders>
              <w:bottom w:val="single" w:sz="4" w:space="0" w:color="000000"/>
            </w:tcBorders>
          </w:tcPr>
          <w:p w:rsidR="00EA40A3" w:rsidRDefault="00E86C16">
            <w:pPr>
              <w:spacing w:before="106" w:line="169" w:lineRule="auto"/>
              <w:ind w:left="352"/>
              <w:rPr>
                <w:rFonts w:ascii="宋体" w:eastAsia="宋体" w:hAnsi="宋体" w:cs="宋体"/>
                <w:sz w:val="16"/>
                <w:szCs w:val="16"/>
              </w:rPr>
            </w:pPr>
            <w:r>
              <w:rPr>
                <w:rFonts w:ascii="宋体" w:eastAsia="宋体" w:hAnsi="宋体" w:cs="宋体"/>
                <w:spacing w:val="-3"/>
                <w:sz w:val="16"/>
                <w:szCs w:val="16"/>
              </w:rPr>
              <w:t>3.8</w:t>
            </w:r>
          </w:p>
        </w:tc>
      </w:tr>
    </w:tbl>
    <w:p w:rsidR="00EA40A3" w:rsidRDefault="00E86C16">
      <w:pPr>
        <w:spacing w:before="121" w:line="235" w:lineRule="auto"/>
        <w:ind w:left="360" w:right="42"/>
        <w:rPr>
          <w:rFonts w:ascii="宋体" w:eastAsia="宋体" w:hAnsi="宋体" w:cs="宋体"/>
          <w:sz w:val="17"/>
          <w:szCs w:val="17"/>
        </w:rPr>
      </w:pPr>
      <w:r>
        <w:rPr>
          <w:rFonts w:ascii="宋体" w:eastAsia="宋体" w:hAnsi="宋体" w:cs="宋体"/>
          <w:spacing w:val="-6"/>
          <w:sz w:val="17"/>
          <w:szCs w:val="17"/>
        </w:rPr>
        <w:t>资料来源：预防医学科学院食品营养与卫生研究所.1991.食品成分表(全国代表值).北京：人民卫</w:t>
      </w:r>
      <w:r>
        <w:rPr>
          <w:rFonts w:ascii="宋体" w:eastAsia="宋体" w:hAnsi="宋体" w:cs="宋体"/>
          <w:spacing w:val="13"/>
          <w:sz w:val="17"/>
          <w:szCs w:val="17"/>
        </w:rPr>
        <w:t xml:space="preserve"> </w:t>
      </w:r>
      <w:r>
        <w:rPr>
          <w:rFonts w:ascii="宋体" w:eastAsia="宋体" w:hAnsi="宋体" w:cs="宋体"/>
          <w:spacing w:val="-14"/>
          <w:sz w:val="17"/>
          <w:szCs w:val="17"/>
        </w:rPr>
        <w:t>生出版社</w:t>
      </w:r>
    </w:p>
    <w:p w:rsidR="00EA40A3" w:rsidRDefault="00EA40A3">
      <w:pPr>
        <w:spacing w:line="470"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8"/>
          <w:sz w:val="22"/>
          <w:szCs w:val="22"/>
        </w:rPr>
        <w:t>6.5.2</w:t>
      </w:r>
      <w:r>
        <w:rPr>
          <w:rFonts w:ascii="黑体" w:eastAsia="黑体" w:hAnsi="黑体" w:cs="黑体"/>
          <w:spacing w:val="54"/>
          <w:sz w:val="22"/>
          <w:szCs w:val="22"/>
        </w:rPr>
        <w:t xml:space="preserve">  </w:t>
      </w:r>
      <w:r>
        <w:rPr>
          <w:rFonts w:ascii="黑体" w:eastAsia="黑体" w:hAnsi="黑体" w:cs="黑体"/>
          <w:b/>
          <w:bCs/>
          <w:spacing w:val="8"/>
          <w:sz w:val="22"/>
          <w:szCs w:val="22"/>
        </w:rPr>
        <w:t>水产品的营养价值</w:t>
      </w:r>
    </w:p>
    <w:p w:rsidR="00EA40A3" w:rsidRDefault="00E86C16">
      <w:pPr>
        <w:spacing w:before="243" w:line="224" w:lineRule="auto"/>
        <w:rPr>
          <w:rFonts w:ascii="仿宋" w:eastAsia="仿宋" w:hAnsi="仿宋" w:cs="仿宋"/>
          <w:sz w:val="22"/>
          <w:szCs w:val="22"/>
        </w:rPr>
      </w:pPr>
      <w:r>
        <w:rPr>
          <w:rFonts w:ascii="仿宋" w:eastAsia="仿宋" w:hAnsi="仿宋" w:cs="仿宋"/>
          <w:spacing w:val="3"/>
          <w:sz w:val="22"/>
          <w:szCs w:val="22"/>
        </w:rPr>
        <w:t>1.</w:t>
      </w:r>
      <w:r>
        <w:rPr>
          <w:rFonts w:ascii="仿宋" w:eastAsia="仿宋" w:hAnsi="仿宋" w:cs="仿宋"/>
          <w:spacing w:val="6"/>
          <w:sz w:val="22"/>
          <w:szCs w:val="22"/>
        </w:rPr>
        <w:t xml:space="preserve"> </w:t>
      </w:r>
      <w:r>
        <w:rPr>
          <w:rFonts w:ascii="仿宋" w:eastAsia="仿宋" w:hAnsi="仿宋" w:cs="仿宋"/>
          <w:spacing w:val="3"/>
          <w:sz w:val="22"/>
          <w:szCs w:val="22"/>
        </w:rPr>
        <w:t>蛋白质</w:t>
      </w:r>
    </w:p>
    <w:p w:rsidR="00EA40A3" w:rsidRDefault="00E86C16">
      <w:pPr>
        <w:spacing w:before="178" w:line="241" w:lineRule="auto"/>
        <w:ind w:right="99" w:firstLine="439"/>
        <w:jc w:val="both"/>
        <w:rPr>
          <w:rFonts w:ascii="宋体" w:eastAsia="宋体" w:hAnsi="宋体" w:cs="宋体"/>
          <w:sz w:val="22"/>
          <w:szCs w:val="22"/>
        </w:rPr>
      </w:pPr>
      <w:r>
        <w:rPr>
          <w:rFonts w:ascii="宋体" w:eastAsia="宋体" w:hAnsi="宋体" w:cs="宋体"/>
          <w:spacing w:val="3"/>
          <w:sz w:val="22"/>
          <w:szCs w:val="22"/>
        </w:rPr>
        <w:t>鱼类的蛋白质含量约15%～20%,与肉类相当，消化吸收率高于畜肉，生</w:t>
      </w:r>
      <w:r>
        <w:rPr>
          <w:rFonts w:ascii="宋体" w:eastAsia="宋体" w:hAnsi="宋体" w:cs="宋体"/>
          <w:spacing w:val="7"/>
          <w:sz w:val="22"/>
          <w:szCs w:val="22"/>
        </w:rPr>
        <w:t xml:space="preserve"> </w:t>
      </w:r>
      <w:r>
        <w:rPr>
          <w:rFonts w:ascii="宋体" w:eastAsia="宋体" w:hAnsi="宋体" w:cs="宋体"/>
          <w:spacing w:val="-13"/>
          <w:sz w:val="22"/>
          <w:szCs w:val="22"/>
        </w:rPr>
        <w:t>物价值也较高。与畜禽肉类相比，鱼类的肌肉纤维细嫩柔软，更易消化吸收，同</w:t>
      </w:r>
      <w:r>
        <w:rPr>
          <w:rFonts w:ascii="宋体" w:eastAsia="宋体" w:hAnsi="宋体" w:cs="宋体"/>
          <w:spacing w:val="2"/>
          <w:sz w:val="22"/>
          <w:szCs w:val="22"/>
        </w:rPr>
        <w:t xml:space="preserve"> </w:t>
      </w:r>
      <w:r>
        <w:rPr>
          <w:rFonts w:ascii="宋体" w:eastAsia="宋体" w:hAnsi="宋体" w:cs="宋体"/>
          <w:spacing w:val="-17"/>
          <w:sz w:val="22"/>
          <w:szCs w:val="22"/>
        </w:rPr>
        <w:t>时营养价值更高。</w:t>
      </w:r>
    </w:p>
    <w:p w:rsidR="00EA40A3" w:rsidRDefault="00E86C16">
      <w:pPr>
        <w:spacing w:before="72" w:line="241" w:lineRule="auto"/>
        <w:ind w:right="120" w:firstLine="439"/>
        <w:jc w:val="both"/>
        <w:rPr>
          <w:rFonts w:ascii="宋体" w:eastAsia="宋体" w:hAnsi="宋体" w:cs="宋体"/>
          <w:sz w:val="22"/>
          <w:szCs w:val="22"/>
        </w:rPr>
      </w:pPr>
      <w:r>
        <w:rPr>
          <w:rFonts w:ascii="宋体" w:eastAsia="宋体" w:hAnsi="宋体" w:cs="宋体"/>
          <w:spacing w:val="-14"/>
          <w:sz w:val="22"/>
          <w:szCs w:val="22"/>
        </w:rPr>
        <w:t>水产品中还含有氨基乙磺酸，即牛磺酸，它是一种能够促进胎儿和婴儿大脑</w:t>
      </w:r>
      <w:r>
        <w:rPr>
          <w:rFonts w:ascii="宋体" w:eastAsia="宋体" w:hAnsi="宋体" w:cs="宋体"/>
          <w:sz w:val="22"/>
          <w:szCs w:val="22"/>
        </w:rPr>
        <w:t xml:space="preserve"> </w:t>
      </w:r>
      <w:r>
        <w:rPr>
          <w:rFonts w:ascii="宋体" w:eastAsia="宋体" w:hAnsi="宋体" w:cs="宋体"/>
          <w:spacing w:val="-13"/>
          <w:sz w:val="22"/>
          <w:szCs w:val="22"/>
        </w:rPr>
        <w:t>发育、防止动脉硬化、维持血压、保护视力的有益物质。贝类中</w:t>
      </w:r>
      <w:r>
        <w:rPr>
          <w:rFonts w:ascii="宋体" w:eastAsia="宋体" w:hAnsi="宋体" w:cs="宋体"/>
          <w:spacing w:val="-14"/>
          <w:sz w:val="22"/>
          <w:szCs w:val="22"/>
        </w:rPr>
        <w:t>牛磺酸的含量高</w:t>
      </w:r>
      <w:r>
        <w:rPr>
          <w:rFonts w:ascii="宋体" w:eastAsia="宋体" w:hAnsi="宋体" w:cs="宋体"/>
          <w:sz w:val="22"/>
          <w:szCs w:val="22"/>
        </w:rPr>
        <w:t xml:space="preserve"> </w:t>
      </w:r>
      <w:r>
        <w:rPr>
          <w:rFonts w:ascii="宋体" w:eastAsia="宋体" w:hAnsi="宋体" w:cs="宋体"/>
          <w:spacing w:val="-15"/>
          <w:sz w:val="22"/>
          <w:szCs w:val="22"/>
        </w:rPr>
        <w:t>于鱼类。</w:t>
      </w:r>
    </w:p>
    <w:p w:rsidR="00EA40A3" w:rsidRDefault="00E86C16">
      <w:pPr>
        <w:spacing w:before="58" w:line="241" w:lineRule="auto"/>
        <w:ind w:right="108" w:firstLine="439"/>
        <w:jc w:val="both"/>
        <w:rPr>
          <w:rFonts w:ascii="宋体" w:eastAsia="宋体" w:hAnsi="宋体" w:cs="宋体"/>
          <w:sz w:val="22"/>
          <w:szCs w:val="22"/>
        </w:rPr>
      </w:pPr>
      <w:r>
        <w:rPr>
          <w:rFonts w:ascii="宋体" w:eastAsia="宋体" w:hAnsi="宋体" w:cs="宋体"/>
          <w:sz w:val="22"/>
          <w:szCs w:val="22"/>
        </w:rPr>
        <w:t>深色海鱼如蜻等含有较高的组氨酸，含量可达鲜肉重的0.</w:t>
      </w:r>
      <w:r>
        <w:rPr>
          <w:rFonts w:ascii="宋体" w:eastAsia="宋体" w:hAnsi="宋体" w:cs="宋体"/>
          <w:spacing w:val="-1"/>
          <w:sz w:val="22"/>
          <w:szCs w:val="22"/>
        </w:rPr>
        <w:t>6%～1.3%。鱼</w:t>
      </w:r>
      <w:r>
        <w:rPr>
          <w:rFonts w:ascii="宋体" w:eastAsia="宋体" w:hAnsi="宋体" w:cs="宋体"/>
          <w:sz w:val="22"/>
          <w:szCs w:val="22"/>
        </w:rPr>
        <w:t xml:space="preserve"> </w:t>
      </w:r>
      <w:r>
        <w:rPr>
          <w:rFonts w:ascii="宋体" w:eastAsia="宋体" w:hAnsi="宋体" w:cs="宋体"/>
          <w:spacing w:val="-13"/>
          <w:sz w:val="22"/>
          <w:szCs w:val="22"/>
        </w:rPr>
        <w:t>肉细菌腐败时，组氨酸可以形成大量的组胺。此外，鱼类中富含相对分子质</w:t>
      </w:r>
      <w:r>
        <w:rPr>
          <w:rFonts w:ascii="宋体" w:eastAsia="宋体" w:hAnsi="宋体" w:cs="宋体"/>
          <w:spacing w:val="-14"/>
          <w:sz w:val="22"/>
          <w:szCs w:val="22"/>
        </w:rPr>
        <w:t>量低</w:t>
      </w:r>
      <w:r>
        <w:rPr>
          <w:rFonts w:ascii="宋体" w:eastAsia="宋体" w:hAnsi="宋体" w:cs="宋体"/>
          <w:sz w:val="22"/>
          <w:szCs w:val="22"/>
        </w:rPr>
        <w:t xml:space="preserve"> </w:t>
      </w:r>
      <w:r>
        <w:rPr>
          <w:rFonts w:ascii="宋体" w:eastAsia="宋体" w:hAnsi="宋体" w:cs="宋体"/>
          <w:spacing w:val="-14"/>
          <w:sz w:val="22"/>
          <w:szCs w:val="22"/>
        </w:rPr>
        <w:t>的胺类物质，是其腥味的来源之一。</w:t>
      </w:r>
    </w:p>
    <w:p w:rsidR="00EA40A3" w:rsidRDefault="00E86C16">
      <w:pPr>
        <w:spacing w:before="218" w:line="223" w:lineRule="auto"/>
        <w:rPr>
          <w:rFonts w:ascii="仿宋" w:eastAsia="仿宋" w:hAnsi="仿宋" w:cs="仿宋"/>
          <w:sz w:val="22"/>
          <w:szCs w:val="22"/>
        </w:rPr>
      </w:pPr>
      <w:r>
        <w:rPr>
          <w:rFonts w:ascii="仿宋" w:eastAsia="仿宋" w:hAnsi="仿宋" w:cs="仿宋"/>
          <w:spacing w:val="1"/>
          <w:sz w:val="22"/>
          <w:szCs w:val="22"/>
        </w:rPr>
        <w:t>2.</w:t>
      </w:r>
      <w:r>
        <w:rPr>
          <w:rFonts w:ascii="仿宋" w:eastAsia="仿宋" w:hAnsi="仿宋" w:cs="仿宋"/>
          <w:spacing w:val="-19"/>
          <w:sz w:val="22"/>
          <w:szCs w:val="22"/>
        </w:rPr>
        <w:t xml:space="preserve"> </w:t>
      </w:r>
      <w:r>
        <w:rPr>
          <w:rFonts w:ascii="仿宋" w:eastAsia="仿宋" w:hAnsi="仿宋" w:cs="仿宋"/>
          <w:spacing w:val="1"/>
          <w:sz w:val="22"/>
          <w:szCs w:val="22"/>
        </w:rPr>
        <w:t>脂肪</w:t>
      </w:r>
    </w:p>
    <w:p w:rsidR="00EA40A3" w:rsidRDefault="00E86C16">
      <w:pPr>
        <w:spacing w:before="195" w:line="237" w:lineRule="auto"/>
        <w:ind w:right="19" w:firstLine="360"/>
        <w:rPr>
          <w:rFonts w:ascii="宋体" w:eastAsia="宋体" w:hAnsi="宋体" w:cs="宋体"/>
          <w:sz w:val="22"/>
          <w:szCs w:val="22"/>
        </w:rPr>
      </w:pPr>
      <w:r>
        <w:rPr>
          <w:rFonts w:ascii="宋体" w:eastAsia="宋体" w:hAnsi="宋体" w:cs="宋体"/>
          <w:spacing w:val="1"/>
          <w:sz w:val="22"/>
          <w:szCs w:val="22"/>
        </w:rPr>
        <w:t>鱼类的脂肪含量因品种不同而差异甚远。脂肪含量低的品种</w:t>
      </w:r>
      <w:r>
        <w:rPr>
          <w:rFonts w:ascii="宋体" w:eastAsia="宋体" w:hAnsi="宋体" w:cs="宋体"/>
          <w:sz w:val="22"/>
          <w:szCs w:val="22"/>
        </w:rPr>
        <w:t xml:space="preserve">仅有0.5%左  </w:t>
      </w:r>
      <w:r>
        <w:rPr>
          <w:rFonts w:ascii="宋体" w:eastAsia="宋体" w:hAnsi="宋体" w:cs="宋体"/>
          <w:spacing w:val="5"/>
          <w:sz w:val="22"/>
          <w:szCs w:val="22"/>
        </w:rPr>
        <w:t>右，如黑线鳕、鳕等；而脂肪高的品种可达16%～26%,如鳗、鲱和金枪鱼。</w:t>
      </w:r>
    </w:p>
    <w:p w:rsidR="00EA40A3" w:rsidRDefault="00EA40A3">
      <w:pPr>
        <w:sectPr w:rsidR="00EA40A3">
          <w:footerReference w:type="default" r:id="rId184"/>
          <w:pgSz w:w="9220" w:h="13360"/>
          <w:pgMar w:top="400" w:right="919" w:bottom="1226" w:left="939" w:header="0" w:footer="1005" w:gutter="0"/>
          <w:cols w:space="720"/>
        </w:sectPr>
      </w:pPr>
    </w:p>
    <w:p w:rsidR="00EA40A3" w:rsidRDefault="00EA40A3">
      <w:pPr>
        <w:spacing w:line="282" w:lineRule="auto"/>
      </w:pPr>
    </w:p>
    <w:p w:rsidR="00EA40A3" w:rsidRDefault="00EA40A3">
      <w:pPr>
        <w:spacing w:line="283" w:lineRule="auto"/>
      </w:pPr>
    </w:p>
    <w:p w:rsidR="00EA40A3" w:rsidRDefault="00E86C16">
      <w:pPr>
        <w:spacing w:before="68" w:line="261" w:lineRule="auto"/>
        <w:ind w:left="20"/>
        <w:jc w:val="both"/>
        <w:rPr>
          <w:rFonts w:ascii="宋体" w:eastAsia="宋体" w:hAnsi="宋体" w:cs="宋体"/>
        </w:rPr>
      </w:pPr>
      <w:bookmarkStart w:id="53" w:name="_bookmark57"/>
      <w:bookmarkEnd w:id="53"/>
      <w:r>
        <w:rPr>
          <w:rFonts w:ascii="宋体" w:eastAsia="宋体" w:hAnsi="宋体" w:cs="宋体"/>
          <w:spacing w:val="-4"/>
        </w:rPr>
        <w:t>多数鱼的脂肪含量介于这两者之间。</w:t>
      </w:r>
      <w:r>
        <w:rPr>
          <w:rFonts w:ascii="宋体" w:eastAsia="宋体" w:hAnsi="宋体" w:cs="宋体"/>
          <w:spacing w:val="43"/>
        </w:rPr>
        <w:t xml:space="preserve"> </w:t>
      </w:r>
      <w:r>
        <w:rPr>
          <w:rFonts w:ascii="宋体" w:eastAsia="宋体" w:hAnsi="宋体" w:cs="宋体"/>
          <w:spacing w:val="-4"/>
        </w:rPr>
        <w:t>一些鱼类的脂肪主要存在于鱼肉中</w:t>
      </w:r>
      <w:r>
        <w:rPr>
          <w:rFonts w:ascii="宋体" w:eastAsia="宋体" w:hAnsi="宋体" w:cs="宋体"/>
          <w:spacing w:val="-5"/>
        </w:rPr>
        <w:t>，如鲤、</w:t>
      </w:r>
      <w:r>
        <w:rPr>
          <w:rFonts w:ascii="宋体" w:eastAsia="宋体" w:hAnsi="宋体" w:cs="宋体"/>
        </w:rPr>
        <w:t xml:space="preserve"> </w:t>
      </w:r>
      <w:r>
        <w:rPr>
          <w:rFonts w:ascii="宋体" w:eastAsia="宋体" w:hAnsi="宋体" w:cs="宋体"/>
          <w:spacing w:val="-3"/>
        </w:rPr>
        <w:t>鲱等；另一些鱼类的脂肪主要集中于肝脏，而肌肉部分含量甚低，如各种鳕；也</w:t>
      </w:r>
      <w:r>
        <w:rPr>
          <w:rFonts w:ascii="宋体" w:eastAsia="宋体" w:hAnsi="宋体" w:cs="宋体"/>
          <w:spacing w:val="8"/>
        </w:rPr>
        <w:t xml:space="preserve">  </w:t>
      </w:r>
      <w:r>
        <w:rPr>
          <w:rFonts w:ascii="宋体" w:eastAsia="宋体" w:hAnsi="宋体" w:cs="宋体"/>
          <w:spacing w:val="-5"/>
        </w:rPr>
        <w:t>有的鱼类将脂肪积聚于小肠中，如真鲈。</w:t>
      </w:r>
    </w:p>
    <w:p w:rsidR="00EA40A3" w:rsidRDefault="00E86C16">
      <w:pPr>
        <w:spacing w:before="39" w:line="247" w:lineRule="auto"/>
        <w:ind w:left="20" w:right="97" w:firstLine="419"/>
        <w:rPr>
          <w:rFonts w:ascii="宋体" w:eastAsia="宋体" w:hAnsi="宋体" w:cs="宋体"/>
        </w:rPr>
      </w:pPr>
      <w:r>
        <w:rPr>
          <w:rFonts w:ascii="宋体" w:eastAsia="宋体" w:hAnsi="宋体" w:cs="宋体"/>
          <w:spacing w:val="-3"/>
        </w:rPr>
        <w:t>鱼类脂肪中含不饱和脂肪酸比例较高，容易被人体消化。例如，鲨鱼中不饱</w:t>
      </w:r>
      <w:r>
        <w:rPr>
          <w:rFonts w:ascii="宋体" w:eastAsia="宋体" w:hAnsi="宋体" w:cs="宋体"/>
          <w:spacing w:val="6"/>
        </w:rPr>
        <w:t xml:space="preserve"> </w:t>
      </w:r>
      <w:r>
        <w:rPr>
          <w:rFonts w:ascii="宋体" w:eastAsia="宋体" w:hAnsi="宋体" w:cs="宋体"/>
          <w:spacing w:val="5"/>
        </w:rPr>
        <w:t>和脂肪酸占总脂肪酸的50%左右，而鲤不饱和脂肪酸达70%左右。</w:t>
      </w:r>
    </w:p>
    <w:p w:rsidR="00EA40A3" w:rsidRDefault="00E86C16">
      <w:pPr>
        <w:spacing w:before="36" w:line="262" w:lineRule="auto"/>
        <w:ind w:left="20" w:right="82" w:firstLine="419"/>
        <w:rPr>
          <w:rFonts w:ascii="宋体" w:eastAsia="宋体" w:hAnsi="宋体" w:cs="宋体"/>
        </w:rPr>
      </w:pPr>
      <w:r>
        <w:rPr>
          <w:rFonts w:ascii="宋体" w:eastAsia="宋体" w:hAnsi="宋体" w:cs="宋体"/>
          <w:spacing w:val="12"/>
        </w:rPr>
        <w:t>鱼类脂肪的另一特点是富含20～24碳的长</w:t>
      </w:r>
      <w:r>
        <w:rPr>
          <w:rFonts w:ascii="宋体" w:eastAsia="宋体" w:hAnsi="宋体" w:cs="宋体"/>
          <w:spacing w:val="11"/>
        </w:rPr>
        <w:t>链不饱和脂肪酸，包括</w:t>
      </w:r>
      <w:r>
        <w:rPr>
          <w:rFonts w:ascii="宋体" w:eastAsia="宋体" w:hAnsi="宋体" w:cs="宋体"/>
          <w:spacing w:val="-53"/>
        </w:rPr>
        <w:t xml:space="preserve"> </w:t>
      </w:r>
      <w:r>
        <w:rPr>
          <w:rFonts w:ascii="宋体" w:eastAsia="宋体" w:hAnsi="宋体" w:cs="宋体"/>
        </w:rPr>
        <w:t>EPA</w:t>
      </w:r>
      <w:r>
        <w:rPr>
          <w:rFonts w:ascii="宋体" w:eastAsia="宋体" w:hAnsi="宋体" w:cs="宋体"/>
          <w:spacing w:val="11"/>
        </w:rPr>
        <w:t>、</w:t>
      </w:r>
      <w:r>
        <w:rPr>
          <w:rFonts w:ascii="宋体" w:eastAsia="宋体" w:hAnsi="宋体" w:cs="宋体"/>
        </w:rPr>
        <w:t xml:space="preserve"> DHA</w:t>
      </w:r>
      <w:r>
        <w:rPr>
          <w:rFonts w:ascii="宋体" w:eastAsia="宋体" w:hAnsi="宋体" w:cs="宋体"/>
          <w:spacing w:val="13"/>
        </w:rPr>
        <w:t xml:space="preserve">  </w:t>
      </w:r>
      <w:r>
        <w:rPr>
          <w:rFonts w:ascii="宋体" w:eastAsia="宋体" w:hAnsi="宋体" w:cs="宋体"/>
        </w:rPr>
        <w:t>等。这些长链不饱和脂肪酸在陆地动植物中含量很低，主要是在水产品中</w:t>
      </w:r>
      <w:r>
        <w:rPr>
          <w:rFonts w:ascii="宋体" w:eastAsia="宋体" w:hAnsi="宋体" w:cs="宋体"/>
          <w:spacing w:val="1"/>
        </w:rPr>
        <w:t xml:space="preserve"> </w:t>
      </w:r>
      <w:r>
        <w:rPr>
          <w:rFonts w:ascii="宋体" w:eastAsia="宋体" w:hAnsi="宋体" w:cs="宋体"/>
        </w:rPr>
        <w:t>存在。其中DHA</w:t>
      </w:r>
      <w:r>
        <w:rPr>
          <w:rFonts w:ascii="宋体" w:eastAsia="宋体" w:hAnsi="宋体" w:cs="宋体"/>
          <w:spacing w:val="9"/>
        </w:rPr>
        <w:t xml:space="preserve">  </w:t>
      </w:r>
      <w:r>
        <w:rPr>
          <w:rFonts w:ascii="宋体" w:eastAsia="宋体" w:hAnsi="宋体" w:cs="宋体"/>
        </w:rPr>
        <w:t>对防止动脉硬化、促进大脑发育等有一定好处。例</w:t>
      </w:r>
      <w:r>
        <w:rPr>
          <w:rFonts w:ascii="宋体" w:eastAsia="宋体" w:hAnsi="宋体" w:cs="宋体"/>
          <w:spacing w:val="-1"/>
        </w:rPr>
        <w:t>如，墨斗鱼</w:t>
      </w:r>
      <w:r>
        <w:rPr>
          <w:rFonts w:ascii="宋体" w:eastAsia="宋体" w:hAnsi="宋体" w:cs="宋体"/>
        </w:rPr>
        <w:t xml:space="preserve"> </w:t>
      </w:r>
      <w:r>
        <w:rPr>
          <w:rFonts w:ascii="宋体" w:eastAsia="宋体" w:hAnsi="宋体" w:cs="宋体"/>
          <w:spacing w:val="11"/>
        </w:rPr>
        <w:t>的脂肪中有27.4%为</w:t>
      </w:r>
      <w:r>
        <w:rPr>
          <w:rFonts w:ascii="宋体" w:eastAsia="宋体" w:hAnsi="宋体" w:cs="宋体"/>
        </w:rPr>
        <w:t>DHA</w:t>
      </w:r>
      <w:r>
        <w:rPr>
          <w:rFonts w:ascii="宋体" w:eastAsia="宋体" w:hAnsi="宋体" w:cs="宋体"/>
          <w:spacing w:val="11"/>
        </w:rPr>
        <w:t>,</w:t>
      </w:r>
      <w:r>
        <w:rPr>
          <w:rFonts w:ascii="宋体" w:eastAsia="宋体" w:hAnsi="宋体" w:cs="宋体"/>
          <w:spacing w:val="37"/>
        </w:rPr>
        <w:t xml:space="preserve">  </w:t>
      </w:r>
      <w:r>
        <w:rPr>
          <w:rFonts w:ascii="宋体" w:eastAsia="宋体" w:hAnsi="宋体" w:cs="宋体"/>
          <w:spacing w:val="11"/>
        </w:rPr>
        <w:t>小凤尾鱼中为15%。海鱼</w:t>
      </w:r>
      <w:r>
        <w:rPr>
          <w:rFonts w:ascii="宋体" w:eastAsia="宋体" w:hAnsi="宋体" w:cs="宋体"/>
          <w:spacing w:val="10"/>
        </w:rPr>
        <w:t>中</w:t>
      </w:r>
      <w:r>
        <w:rPr>
          <w:rFonts w:ascii="宋体" w:eastAsia="宋体" w:hAnsi="宋体" w:cs="宋体"/>
        </w:rPr>
        <w:t>DHA</w:t>
      </w:r>
      <w:r>
        <w:rPr>
          <w:rFonts w:ascii="宋体" w:eastAsia="宋体" w:hAnsi="宋体" w:cs="宋体"/>
          <w:spacing w:val="9"/>
        </w:rPr>
        <w:t xml:space="preserve">  </w:t>
      </w:r>
      <w:r>
        <w:rPr>
          <w:rFonts w:ascii="宋体" w:eastAsia="宋体" w:hAnsi="宋体" w:cs="宋体"/>
          <w:spacing w:val="10"/>
        </w:rPr>
        <w:t>的含量通常高于</w:t>
      </w:r>
      <w:r>
        <w:rPr>
          <w:rFonts w:ascii="宋体" w:eastAsia="宋体" w:hAnsi="宋体" w:cs="宋体"/>
        </w:rPr>
        <w:t xml:space="preserve"> 淡水鱼。表6-21给出鱼油中的w-3</w:t>
      </w:r>
      <w:r>
        <w:rPr>
          <w:rFonts w:ascii="宋体" w:eastAsia="宋体" w:hAnsi="宋体" w:cs="宋体"/>
          <w:spacing w:val="-25"/>
        </w:rPr>
        <w:t xml:space="preserve"> </w:t>
      </w:r>
      <w:r>
        <w:rPr>
          <w:rFonts w:ascii="宋体" w:eastAsia="宋体" w:hAnsi="宋体" w:cs="宋体"/>
        </w:rPr>
        <w:t>脂肪酸含量。</w:t>
      </w:r>
    </w:p>
    <w:p w:rsidR="00EA40A3" w:rsidRDefault="00EA40A3">
      <w:pPr>
        <w:spacing w:line="257" w:lineRule="auto"/>
      </w:pPr>
    </w:p>
    <w:p w:rsidR="00EA40A3" w:rsidRDefault="00E86C16">
      <w:pPr>
        <w:spacing w:before="68" w:line="213" w:lineRule="auto"/>
        <w:ind w:left="2312"/>
        <w:rPr>
          <w:rFonts w:ascii="Times New Roman" w:eastAsia="Times New Roman" w:hAnsi="Times New Roman" w:cs="Times New Roman"/>
        </w:rPr>
      </w:pPr>
      <w:r>
        <w:rPr>
          <w:rFonts w:ascii="黑体" w:eastAsia="黑体" w:hAnsi="黑体" w:cs="黑体"/>
          <w:b/>
          <w:bCs/>
          <w:spacing w:val="-15"/>
        </w:rPr>
        <w:t>表6-21</w:t>
      </w:r>
      <w:r>
        <w:rPr>
          <w:rFonts w:ascii="黑体" w:eastAsia="黑体" w:hAnsi="黑体" w:cs="黑体"/>
          <w:spacing w:val="52"/>
        </w:rPr>
        <w:t xml:space="preserve"> </w:t>
      </w:r>
      <w:r>
        <w:rPr>
          <w:rFonts w:ascii="黑体" w:eastAsia="黑体" w:hAnsi="黑体" w:cs="黑体"/>
          <w:b/>
          <w:bCs/>
          <w:spacing w:val="-15"/>
        </w:rPr>
        <w:t>鱼油中的w-3脂肪酸含量</w:t>
      </w:r>
      <w:r>
        <w:rPr>
          <w:rFonts w:ascii="黑体" w:eastAsia="黑体" w:hAnsi="黑体" w:cs="黑体"/>
          <w:spacing w:val="6"/>
        </w:rPr>
        <w:t xml:space="preserve">           </w:t>
      </w:r>
      <w:r>
        <w:rPr>
          <w:rFonts w:ascii="Times New Roman" w:eastAsia="Times New Roman" w:hAnsi="Times New Roman" w:cs="Times New Roman"/>
          <w:spacing w:val="-15"/>
        </w:rPr>
        <w:t>(g/100g)</w:t>
      </w:r>
    </w:p>
    <w:p w:rsidR="00EA40A3" w:rsidRDefault="00EA40A3">
      <w:pPr>
        <w:spacing w:line="29" w:lineRule="exact"/>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174"/>
        <w:gridCol w:w="2302"/>
        <w:gridCol w:w="2853"/>
      </w:tblGrid>
      <w:tr w:rsidR="00EA40A3">
        <w:trPr>
          <w:trHeight w:val="321"/>
        </w:trPr>
        <w:tc>
          <w:tcPr>
            <w:tcW w:w="2174" w:type="dxa"/>
            <w:tcBorders>
              <w:top w:val="single" w:sz="4" w:space="0" w:color="000000"/>
            </w:tcBorders>
          </w:tcPr>
          <w:p w:rsidR="00EA40A3" w:rsidRDefault="00E86C16">
            <w:pPr>
              <w:spacing w:before="92" w:line="220" w:lineRule="auto"/>
              <w:ind w:left="939"/>
              <w:rPr>
                <w:rFonts w:ascii="宋体" w:eastAsia="宋体" w:hAnsi="宋体" w:cs="宋体"/>
                <w:sz w:val="17"/>
                <w:szCs w:val="17"/>
              </w:rPr>
            </w:pPr>
            <w:r>
              <w:rPr>
                <w:rFonts w:ascii="宋体" w:eastAsia="宋体" w:hAnsi="宋体" w:cs="宋体"/>
                <w:spacing w:val="6"/>
                <w:sz w:val="17"/>
                <w:szCs w:val="17"/>
              </w:rPr>
              <w:t>鱼种</w:t>
            </w:r>
          </w:p>
        </w:tc>
        <w:tc>
          <w:tcPr>
            <w:tcW w:w="2302" w:type="dxa"/>
            <w:tcBorders>
              <w:top w:val="single" w:sz="4" w:space="0" w:color="000000"/>
            </w:tcBorders>
          </w:tcPr>
          <w:p w:rsidR="00EA40A3" w:rsidRDefault="00E86C16">
            <w:pPr>
              <w:spacing w:before="104" w:line="222" w:lineRule="auto"/>
              <w:ind w:left="685"/>
              <w:rPr>
                <w:rFonts w:ascii="宋体" w:eastAsia="宋体" w:hAnsi="宋体" w:cs="宋体"/>
                <w:sz w:val="17"/>
                <w:szCs w:val="17"/>
              </w:rPr>
            </w:pPr>
            <w:r>
              <w:rPr>
                <w:rFonts w:ascii="宋体" w:eastAsia="宋体" w:hAnsi="宋体" w:cs="宋体"/>
                <w:spacing w:val="-1"/>
                <w:sz w:val="17"/>
                <w:szCs w:val="17"/>
              </w:rPr>
              <w:t>EPA(20:5)</w:t>
            </w:r>
          </w:p>
        </w:tc>
        <w:tc>
          <w:tcPr>
            <w:tcW w:w="2853" w:type="dxa"/>
            <w:tcBorders>
              <w:top w:val="single" w:sz="4" w:space="0" w:color="000000"/>
            </w:tcBorders>
          </w:tcPr>
          <w:p w:rsidR="00EA40A3" w:rsidRDefault="00E86C16">
            <w:pPr>
              <w:spacing w:before="104" w:line="222" w:lineRule="auto"/>
              <w:ind w:left="894"/>
              <w:rPr>
                <w:rFonts w:ascii="宋体" w:eastAsia="宋体" w:hAnsi="宋体" w:cs="宋体"/>
                <w:sz w:val="17"/>
                <w:szCs w:val="17"/>
              </w:rPr>
            </w:pPr>
            <w:r>
              <w:rPr>
                <w:rFonts w:ascii="宋体" w:eastAsia="宋体" w:hAnsi="宋体" w:cs="宋体"/>
                <w:spacing w:val="-1"/>
                <w:sz w:val="17"/>
                <w:szCs w:val="17"/>
              </w:rPr>
              <w:t>DHA(22:6)</w:t>
            </w:r>
          </w:p>
        </w:tc>
      </w:tr>
      <w:tr w:rsidR="00EA40A3">
        <w:trPr>
          <w:trHeight w:val="272"/>
        </w:trPr>
        <w:tc>
          <w:tcPr>
            <w:tcW w:w="2174" w:type="dxa"/>
          </w:tcPr>
          <w:p w:rsidR="00EA40A3" w:rsidRDefault="00E86C16">
            <w:pPr>
              <w:spacing w:before="53" w:line="221" w:lineRule="auto"/>
              <w:ind w:left="1020"/>
              <w:rPr>
                <w:rFonts w:ascii="宋体" w:eastAsia="宋体" w:hAnsi="宋体" w:cs="宋体"/>
                <w:sz w:val="17"/>
                <w:szCs w:val="17"/>
              </w:rPr>
            </w:pPr>
            <w:r>
              <w:rPr>
                <w:rFonts w:ascii="宋体" w:eastAsia="宋体" w:hAnsi="宋体" w:cs="宋体"/>
                <w:sz w:val="17"/>
                <w:szCs w:val="17"/>
              </w:rPr>
              <w:t>鲐</w:t>
            </w:r>
          </w:p>
        </w:tc>
        <w:tc>
          <w:tcPr>
            <w:tcW w:w="2302" w:type="dxa"/>
          </w:tcPr>
          <w:p w:rsidR="00EA40A3" w:rsidRDefault="00E86C16">
            <w:pPr>
              <w:spacing w:before="94" w:line="183" w:lineRule="auto"/>
              <w:ind w:left="1055"/>
              <w:rPr>
                <w:rFonts w:ascii="宋体" w:eastAsia="宋体" w:hAnsi="宋体" w:cs="宋体"/>
                <w:sz w:val="17"/>
                <w:szCs w:val="17"/>
              </w:rPr>
            </w:pPr>
            <w:r>
              <w:rPr>
                <w:rFonts w:ascii="宋体" w:eastAsia="宋体" w:hAnsi="宋体" w:cs="宋体"/>
                <w:spacing w:val="-2"/>
                <w:sz w:val="17"/>
                <w:szCs w:val="17"/>
              </w:rPr>
              <w:t>0.65</w:t>
            </w:r>
          </w:p>
        </w:tc>
        <w:tc>
          <w:tcPr>
            <w:tcW w:w="2853" w:type="dxa"/>
          </w:tcPr>
          <w:p w:rsidR="00EA40A3" w:rsidRDefault="00E86C16">
            <w:pPr>
              <w:spacing w:before="104" w:line="182" w:lineRule="auto"/>
              <w:ind w:left="1313"/>
              <w:rPr>
                <w:rFonts w:ascii="宋体" w:eastAsia="宋体" w:hAnsi="宋体" w:cs="宋体"/>
                <w:sz w:val="17"/>
                <w:szCs w:val="17"/>
              </w:rPr>
            </w:pPr>
            <w:r>
              <w:rPr>
                <w:rFonts w:ascii="宋体" w:eastAsia="宋体" w:hAnsi="宋体" w:cs="宋体"/>
                <w:spacing w:val="-4"/>
                <w:sz w:val="17"/>
                <w:szCs w:val="17"/>
              </w:rPr>
              <w:t>1.10</w:t>
            </w:r>
          </w:p>
        </w:tc>
      </w:tr>
      <w:tr w:rsidR="00EA40A3">
        <w:trPr>
          <w:trHeight w:val="271"/>
        </w:trPr>
        <w:tc>
          <w:tcPr>
            <w:tcW w:w="2174" w:type="dxa"/>
          </w:tcPr>
          <w:p w:rsidR="00EA40A3" w:rsidRDefault="00E86C16">
            <w:pPr>
              <w:spacing w:before="49" w:line="220" w:lineRule="auto"/>
              <w:ind w:left="679"/>
              <w:rPr>
                <w:rFonts w:ascii="宋体" w:eastAsia="宋体" w:hAnsi="宋体" w:cs="宋体"/>
                <w:sz w:val="17"/>
                <w:szCs w:val="17"/>
              </w:rPr>
            </w:pPr>
            <w:r>
              <w:rPr>
                <w:rFonts w:ascii="宋体" w:eastAsia="宋体" w:hAnsi="宋体" w:cs="宋体"/>
                <w:spacing w:val="6"/>
                <w:sz w:val="17"/>
                <w:szCs w:val="17"/>
              </w:rPr>
              <w:t>鲑(大西洋)</w:t>
            </w:r>
          </w:p>
        </w:tc>
        <w:tc>
          <w:tcPr>
            <w:tcW w:w="2302" w:type="dxa"/>
          </w:tcPr>
          <w:p w:rsidR="00EA40A3" w:rsidRDefault="00E86C16">
            <w:pPr>
              <w:spacing w:before="91" w:line="184" w:lineRule="auto"/>
              <w:ind w:left="1055"/>
              <w:rPr>
                <w:rFonts w:ascii="宋体" w:eastAsia="宋体" w:hAnsi="宋体" w:cs="宋体"/>
                <w:sz w:val="17"/>
                <w:szCs w:val="17"/>
              </w:rPr>
            </w:pPr>
            <w:r>
              <w:rPr>
                <w:rFonts w:ascii="宋体" w:eastAsia="宋体" w:hAnsi="宋体" w:cs="宋体"/>
                <w:spacing w:val="-2"/>
                <w:sz w:val="17"/>
                <w:szCs w:val="17"/>
              </w:rPr>
              <w:t>0.18</w:t>
            </w:r>
          </w:p>
        </w:tc>
        <w:tc>
          <w:tcPr>
            <w:tcW w:w="2853" w:type="dxa"/>
          </w:tcPr>
          <w:p w:rsidR="00EA40A3" w:rsidRDefault="00E86C16">
            <w:pPr>
              <w:spacing w:before="91" w:line="184" w:lineRule="auto"/>
              <w:ind w:left="1313"/>
              <w:rPr>
                <w:rFonts w:ascii="宋体" w:eastAsia="宋体" w:hAnsi="宋体" w:cs="宋体"/>
                <w:sz w:val="17"/>
                <w:szCs w:val="17"/>
              </w:rPr>
            </w:pPr>
            <w:r>
              <w:rPr>
                <w:rFonts w:ascii="宋体" w:eastAsia="宋体" w:hAnsi="宋体" w:cs="宋体"/>
                <w:spacing w:val="-2"/>
                <w:sz w:val="17"/>
                <w:szCs w:val="17"/>
              </w:rPr>
              <w:t>0.61</w:t>
            </w:r>
          </w:p>
        </w:tc>
      </w:tr>
      <w:tr w:rsidR="00EA40A3">
        <w:trPr>
          <w:trHeight w:val="277"/>
        </w:trPr>
        <w:tc>
          <w:tcPr>
            <w:tcW w:w="2174" w:type="dxa"/>
          </w:tcPr>
          <w:p w:rsidR="00EA40A3" w:rsidRDefault="00E86C16">
            <w:pPr>
              <w:spacing w:before="60" w:line="222" w:lineRule="auto"/>
              <w:ind w:left="849"/>
              <w:rPr>
                <w:rFonts w:ascii="宋体" w:eastAsia="宋体" w:hAnsi="宋体" w:cs="宋体"/>
                <w:sz w:val="17"/>
                <w:szCs w:val="17"/>
              </w:rPr>
            </w:pPr>
            <w:r>
              <w:rPr>
                <w:rFonts w:ascii="宋体" w:eastAsia="宋体" w:hAnsi="宋体" w:cs="宋体"/>
                <w:spacing w:val="9"/>
                <w:sz w:val="17"/>
                <w:szCs w:val="17"/>
              </w:rPr>
              <w:t>鲑(红)</w:t>
            </w:r>
          </w:p>
        </w:tc>
        <w:tc>
          <w:tcPr>
            <w:tcW w:w="2302" w:type="dxa"/>
          </w:tcPr>
          <w:p w:rsidR="00EA40A3" w:rsidRDefault="00E86C16">
            <w:pPr>
              <w:spacing w:before="101" w:line="184" w:lineRule="auto"/>
              <w:ind w:left="1055"/>
              <w:rPr>
                <w:rFonts w:ascii="宋体" w:eastAsia="宋体" w:hAnsi="宋体" w:cs="宋体"/>
                <w:sz w:val="17"/>
                <w:szCs w:val="17"/>
              </w:rPr>
            </w:pPr>
            <w:r>
              <w:rPr>
                <w:rFonts w:ascii="宋体" w:eastAsia="宋体" w:hAnsi="宋体" w:cs="宋体"/>
                <w:spacing w:val="-4"/>
                <w:sz w:val="17"/>
                <w:szCs w:val="17"/>
              </w:rPr>
              <w:t>1.30</w:t>
            </w:r>
          </w:p>
        </w:tc>
        <w:tc>
          <w:tcPr>
            <w:tcW w:w="2853" w:type="dxa"/>
          </w:tcPr>
          <w:p w:rsidR="00EA40A3" w:rsidRDefault="00E86C16">
            <w:pPr>
              <w:spacing w:before="101" w:line="184" w:lineRule="auto"/>
              <w:ind w:left="1313"/>
              <w:rPr>
                <w:rFonts w:ascii="宋体" w:eastAsia="宋体" w:hAnsi="宋体" w:cs="宋体"/>
                <w:sz w:val="17"/>
                <w:szCs w:val="17"/>
              </w:rPr>
            </w:pPr>
            <w:r>
              <w:rPr>
                <w:rFonts w:ascii="宋体" w:eastAsia="宋体" w:hAnsi="宋体" w:cs="宋体"/>
                <w:spacing w:val="-4"/>
                <w:sz w:val="17"/>
                <w:szCs w:val="17"/>
              </w:rPr>
              <w:t>1.70</w:t>
            </w:r>
          </w:p>
        </w:tc>
      </w:tr>
      <w:tr w:rsidR="00EA40A3">
        <w:trPr>
          <w:trHeight w:val="279"/>
        </w:trPr>
        <w:tc>
          <w:tcPr>
            <w:tcW w:w="2174" w:type="dxa"/>
          </w:tcPr>
          <w:p w:rsidR="00EA40A3" w:rsidRDefault="00E86C16">
            <w:pPr>
              <w:spacing w:before="61" w:line="220" w:lineRule="auto"/>
              <w:ind w:left="1020"/>
              <w:rPr>
                <w:rFonts w:ascii="宋体" w:eastAsia="宋体" w:hAnsi="宋体" w:cs="宋体"/>
                <w:sz w:val="17"/>
                <w:szCs w:val="17"/>
              </w:rPr>
            </w:pPr>
            <w:r>
              <w:rPr>
                <w:rFonts w:ascii="宋体" w:eastAsia="宋体" w:hAnsi="宋体" w:cs="宋体"/>
                <w:sz w:val="17"/>
                <w:szCs w:val="17"/>
              </w:rPr>
              <w:t>鳟</w:t>
            </w:r>
          </w:p>
        </w:tc>
        <w:tc>
          <w:tcPr>
            <w:tcW w:w="2302" w:type="dxa"/>
          </w:tcPr>
          <w:p w:rsidR="00EA40A3" w:rsidRDefault="00E86C16">
            <w:pPr>
              <w:spacing w:before="104" w:line="183" w:lineRule="auto"/>
              <w:ind w:left="1055"/>
              <w:rPr>
                <w:rFonts w:ascii="宋体" w:eastAsia="宋体" w:hAnsi="宋体" w:cs="宋体"/>
                <w:sz w:val="17"/>
                <w:szCs w:val="17"/>
              </w:rPr>
            </w:pPr>
            <w:r>
              <w:rPr>
                <w:rFonts w:ascii="宋体" w:eastAsia="宋体" w:hAnsi="宋体" w:cs="宋体"/>
                <w:spacing w:val="-2"/>
                <w:sz w:val="17"/>
                <w:szCs w:val="17"/>
              </w:rPr>
              <w:t>0.22</w:t>
            </w:r>
          </w:p>
        </w:tc>
        <w:tc>
          <w:tcPr>
            <w:tcW w:w="2853" w:type="dxa"/>
          </w:tcPr>
          <w:p w:rsidR="00EA40A3" w:rsidRDefault="00E86C16">
            <w:pPr>
              <w:spacing w:before="104" w:line="183" w:lineRule="auto"/>
              <w:ind w:left="1313"/>
              <w:rPr>
                <w:rFonts w:ascii="宋体" w:eastAsia="宋体" w:hAnsi="宋体" w:cs="宋体"/>
                <w:sz w:val="17"/>
                <w:szCs w:val="17"/>
              </w:rPr>
            </w:pPr>
            <w:r>
              <w:rPr>
                <w:rFonts w:ascii="宋体" w:eastAsia="宋体" w:hAnsi="宋体" w:cs="宋体"/>
                <w:spacing w:val="-2"/>
                <w:sz w:val="17"/>
                <w:szCs w:val="17"/>
              </w:rPr>
              <w:t>0.62</w:t>
            </w:r>
          </w:p>
        </w:tc>
      </w:tr>
      <w:tr w:rsidR="00EA40A3">
        <w:trPr>
          <w:trHeight w:val="277"/>
        </w:trPr>
        <w:tc>
          <w:tcPr>
            <w:tcW w:w="2174" w:type="dxa"/>
          </w:tcPr>
          <w:p w:rsidR="00EA40A3" w:rsidRDefault="00E86C16">
            <w:pPr>
              <w:spacing w:before="62" w:line="219" w:lineRule="auto"/>
              <w:ind w:left="849"/>
              <w:rPr>
                <w:rFonts w:ascii="宋体" w:eastAsia="宋体" w:hAnsi="宋体" w:cs="宋体"/>
                <w:sz w:val="17"/>
                <w:szCs w:val="17"/>
              </w:rPr>
            </w:pPr>
            <w:r>
              <w:rPr>
                <w:rFonts w:ascii="宋体" w:eastAsia="宋体" w:hAnsi="宋体" w:cs="宋体"/>
                <w:spacing w:val="-2"/>
                <w:sz w:val="17"/>
                <w:szCs w:val="17"/>
              </w:rPr>
              <w:t>金枪鱼</w:t>
            </w:r>
          </w:p>
        </w:tc>
        <w:tc>
          <w:tcPr>
            <w:tcW w:w="2302" w:type="dxa"/>
          </w:tcPr>
          <w:p w:rsidR="00EA40A3" w:rsidRDefault="00E86C16">
            <w:pPr>
              <w:spacing w:before="105" w:line="183" w:lineRule="auto"/>
              <w:ind w:left="1055"/>
              <w:rPr>
                <w:rFonts w:ascii="宋体" w:eastAsia="宋体" w:hAnsi="宋体" w:cs="宋体"/>
                <w:sz w:val="17"/>
                <w:szCs w:val="17"/>
              </w:rPr>
            </w:pPr>
            <w:r>
              <w:rPr>
                <w:rFonts w:ascii="宋体" w:eastAsia="宋体" w:hAnsi="宋体" w:cs="宋体"/>
                <w:spacing w:val="-2"/>
                <w:sz w:val="17"/>
                <w:szCs w:val="17"/>
              </w:rPr>
              <w:t>0.63</w:t>
            </w:r>
          </w:p>
        </w:tc>
        <w:tc>
          <w:tcPr>
            <w:tcW w:w="2853" w:type="dxa"/>
          </w:tcPr>
          <w:p w:rsidR="00EA40A3" w:rsidRDefault="00E86C16">
            <w:pPr>
              <w:spacing w:before="105" w:line="184" w:lineRule="auto"/>
              <w:ind w:left="1313"/>
              <w:rPr>
                <w:rFonts w:ascii="宋体" w:eastAsia="宋体" w:hAnsi="宋体" w:cs="宋体"/>
                <w:sz w:val="17"/>
                <w:szCs w:val="17"/>
              </w:rPr>
            </w:pPr>
            <w:r>
              <w:rPr>
                <w:rFonts w:ascii="宋体" w:eastAsia="宋体" w:hAnsi="宋体" w:cs="宋体"/>
                <w:spacing w:val="-4"/>
                <w:sz w:val="17"/>
                <w:szCs w:val="17"/>
              </w:rPr>
              <w:t>1.70</w:t>
            </w:r>
          </w:p>
        </w:tc>
      </w:tr>
      <w:tr w:rsidR="00EA40A3">
        <w:trPr>
          <w:trHeight w:val="267"/>
        </w:trPr>
        <w:tc>
          <w:tcPr>
            <w:tcW w:w="2174" w:type="dxa"/>
          </w:tcPr>
          <w:p w:rsidR="00EA40A3" w:rsidRDefault="00E86C16">
            <w:pPr>
              <w:spacing w:before="57" w:line="222" w:lineRule="auto"/>
              <w:ind w:left="1020"/>
              <w:rPr>
                <w:rFonts w:ascii="宋体" w:eastAsia="宋体" w:hAnsi="宋体" w:cs="宋体"/>
                <w:sz w:val="17"/>
                <w:szCs w:val="17"/>
              </w:rPr>
            </w:pPr>
            <w:r>
              <w:rPr>
                <w:rFonts w:ascii="宋体" w:eastAsia="宋体" w:hAnsi="宋体" w:cs="宋体"/>
                <w:sz w:val="17"/>
                <w:szCs w:val="17"/>
              </w:rPr>
              <w:t>鳕</w:t>
            </w:r>
          </w:p>
        </w:tc>
        <w:tc>
          <w:tcPr>
            <w:tcW w:w="2302" w:type="dxa"/>
          </w:tcPr>
          <w:p w:rsidR="00EA40A3" w:rsidRDefault="00E86C16">
            <w:pPr>
              <w:spacing w:before="98" w:line="183" w:lineRule="auto"/>
              <w:ind w:left="1055"/>
              <w:rPr>
                <w:rFonts w:ascii="宋体" w:eastAsia="宋体" w:hAnsi="宋体" w:cs="宋体"/>
                <w:sz w:val="17"/>
                <w:szCs w:val="17"/>
              </w:rPr>
            </w:pPr>
            <w:r>
              <w:rPr>
                <w:rFonts w:ascii="宋体" w:eastAsia="宋体" w:hAnsi="宋体" w:cs="宋体"/>
                <w:spacing w:val="-2"/>
                <w:sz w:val="17"/>
                <w:szCs w:val="17"/>
              </w:rPr>
              <w:t>0.08</w:t>
            </w:r>
          </w:p>
        </w:tc>
        <w:tc>
          <w:tcPr>
            <w:tcW w:w="2853" w:type="dxa"/>
          </w:tcPr>
          <w:p w:rsidR="00EA40A3" w:rsidRDefault="00E86C16">
            <w:pPr>
              <w:spacing w:before="98" w:line="183" w:lineRule="auto"/>
              <w:ind w:left="1313"/>
              <w:rPr>
                <w:rFonts w:ascii="宋体" w:eastAsia="宋体" w:hAnsi="宋体" w:cs="宋体"/>
                <w:sz w:val="17"/>
                <w:szCs w:val="17"/>
              </w:rPr>
            </w:pPr>
            <w:r>
              <w:rPr>
                <w:rFonts w:ascii="宋体" w:eastAsia="宋体" w:hAnsi="宋体" w:cs="宋体"/>
                <w:spacing w:val="-2"/>
                <w:sz w:val="17"/>
                <w:szCs w:val="17"/>
              </w:rPr>
              <w:t>0.15</w:t>
            </w:r>
          </w:p>
        </w:tc>
      </w:tr>
      <w:tr w:rsidR="00EA40A3">
        <w:trPr>
          <w:trHeight w:val="274"/>
        </w:trPr>
        <w:tc>
          <w:tcPr>
            <w:tcW w:w="2174" w:type="dxa"/>
          </w:tcPr>
          <w:p w:rsidR="00EA40A3" w:rsidRDefault="00E86C16">
            <w:pPr>
              <w:spacing w:before="58" w:line="220" w:lineRule="auto"/>
              <w:ind w:left="1020"/>
              <w:rPr>
                <w:rFonts w:ascii="宋体" w:eastAsia="宋体" w:hAnsi="宋体" w:cs="宋体"/>
                <w:sz w:val="17"/>
                <w:szCs w:val="17"/>
              </w:rPr>
            </w:pPr>
            <w:r>
              <w:rPr>
                <w:rFonts w:ascii="宋体" w:eastAsia="宋体" w:hAnsi="宋体" w:cs="宋体"/>
                <w:sz w:val="17"/>
                <w:szCs w:val="17"/>
              </w:rPr>
              <w:t>蝶</w:t>
            </w:r>
          </w:p>
        </w:tc>
        <w:tc>
          <w:tcPr>
            <w:tcW w:w="2302" w:type="dxa"/>
          </w:tcPr>
          <w:p w:rsidR="00EA40A3" w:rsidRDefault="00E86C16">
            <w:pPr>
              <w:spacing w:before="100" w:line="184" w:lineRule="auto"/>
              <w:ind w:left="1055"/>
              <w:rPr>
                <w:rFonts w:ascii="宋体" w:eastAsia="宋体" w:hAnsi="宋体" w:cs="宋体"/>
                <w:sz w:val="17"/>
                <w:szCs w:val="17"/>
              </w:rPr>
            </w:pPr>
            <w:r>
              <w:rPr>
                <w:rFonts w:ascii="宋体" w:eastAsia="宋体" w:hAnsi="宋体" w:cs="宋体"/>
                <w:spacing w:val="-2"/>
                <w:sz w:val="17"/>
                <w:szCs w:val="17"/>
              </w:rPr>
              <w:t>0.11</w:t>
            </w:r>
          </w:p>
        </w:tc>
        <w:tc>
          <w:tcPr>
            <w:tcW w:w="2853" w:type="dxa"/>
          </w:tcPr>
          <w:p w:rsidR="00EA40A3" w:rsidRDefault="00E86C16">
            <w:pPr>
              <w:spacing w:before="100" w:line="184" w:lineRule="auto"/>
              <w:ind w:left="1313"/>
              <w:rPr>
                <w:rFonts w:ascii="宋体" w:eastAsia="宋体" w:hAnsi="宋体" w:cs="宋体"/>
                <w:sz w:val="17"/>
                <w:szCs w:val="17"/>
              </w:rPr>
            </w:pPr>
            <w:r>
              <w:rPr>
                <w:rFonts w:ascii="宋体" w:eastAsia="宋体" w:hAnsi="宋体" w:cs="宋体"/>
                <w:spacing w:val="-2"/>
                <w:sz w:val="17"/>
                <w:szCs w:val="17"/>
              </w:rPr>
              <w:t>0.11</w:t>
            </w:r>
          </w:p>
        </w:tc>
      </w:tr>
      <w:tr w:rsidR="00EA40A3">
        <w:trPr>
          <w:trHeight w:val="284"/>
        </w:trPr>
        <w:tc>
          <w:tcPr>
            <w:tcW w:w="2174" w:type="dxa"/>
          </w:tcPr>
          <w:p w:rsidR="00EA40A3" w:rsidRDefault="00E86C16">
            <w:pPr>
              <w:spacing w:before="64" w:line="219" w:lineRule="auto"/>
              <w:ind w:left="1020"/>
              <w:rPr>
                <w:rFonts w:ascii="宋体" w:eastAsia="宋体" w:hAnsi="宋体" w:cs="宋体"/>
                <w:sz w:val="17"/>
                <w:szCs w:val="17"/>
              </w:rPr>
            </w:pPr>
            <w:r>
              <w:rPr>
                <w:rFonts w:ascii="宋体" w:eastAsia="宋体" w:hAnsi="宋体" w:cs="宋体"/>
                <w:sz w:val="17"/>
                <w:szCs w:val="17"/>
              </w:rPr>
              <w:t>鲈</w:t>
            </w:r>
          </w:p>
        </w:tc>
        <w:tc>
          <w:tcPr>
            <w:tcW w:w="2302" w:type="dxa"/>
          </w:tcPr>
          <w:p w:rsidR="00EA40A3" w:rsidRDefault="00E86C16">
            <w:pPr>
              <w:spacing w:before="106" w:line="184" w:lineRule="auto"/>
              <w:ind w:left="1055"/>
              <w:rPr>
                <w:rFonts w:ascii="宋体" w:eastAsia="宋体" w:hAnsi="宋体" w:cs="宋体"/>
                <w:sz w:val="17"/>
                <w:szCs w:val="17"/>
              </w:rPr>
            </w:pPr>
            <w:r>
              <w:rPr>
                <w:rFonts w:ascii="宋体" w:eastAsia="宋体" w:hAnsi="宋体" w:cs="宋体"/>
                <w:spacing w:val="-2"/>
                <w:sz w:val="17"/>
                <w:szCs w:val="17"/>
              </w:rPr>
              <w:t>0.17</w:t>
            </w:r>
          </w:p>
        </w:tc>
        <w:tc>
          <w:tcPr>
            <w:tcW w:w="2853" w:type="dxa"/>
          </w:tcPr>
          <w:p w:rsidR="00EA40A3" w:rsidRDefault="00E86C16">
            <w:pPr>
              <w:spacing w:before="107" w:line="183" w:lineRule="auto"/>
              <w:ind w:left="1313"/>
              <w:rPr>
                <w:rFonts w:ascii="宋体" w:eastAsia="宋体" w:hAnsi="宋体" w:cs="宋体"/>
                <w:sz w:val="17"/>
                <w:szCs w:val="17"/>
              </w:rPr>
            </w:pPr>
            <w:r>
              <w:rPr>
                <w:rFonts w:ascii="宋体" w:eastAsia="宋体" w:hAnsi="宋体" w:cs="宋体"/>
                <w:spacing w:val="-2"/>
                <w:sz w:val="17"/>
                <w:szCs w:val="17"/>
              </w:rPr>
              <w:t>0.47</w:t>
            </w:r>
          </w:p>
        </w:tc>
      </w:tr>
      <w:tr w:rsidR="00EA40A3">
        <w:trPr>
          <w:trHeight w:val="289"/>
        </w:trPr>
        <w:tc>
          <w:tcPr>
            <w:tcW w:w="2174" w:type="dxa"/>
          </w:tcPr>
          <w:p w:rsidR="00EA40A3" w:rsidRDefault="00E86C16">
            <w:pPr>
              <w:spacing w:before="70" w:line="220" w:lineRule="auto"/>
              <w:ind w:left="849"/>
              <w:rPr>
                <w:rFonts w:ascii="宋体" w:eastAsia="宋体" w:hAnsi="宋体" w:cs="宋体"/>
                <w:sz w:val="17"/>
                <w:szCs w:val="17"/>
              </w:rPr>
            </w:pPr>
            <w:r>
              <w:rPr>
                <w:rFonts w:ascii="宋体" w:eastAsia="宋体" w:hAnsi="宋体" w:cs="宋体"/>
                <w:spacing w:val="-3"/>
                <w:sz w:val="17"/>
                <w:szCs w:val="17"/>
              </w:rPr>
              <w:t>黑线鳕</w:t>
            </w:r>
          </w:p>
        </w:tc>
        <w:tc>
          <w:tcPr>
            <w:tcW w:w="2302" w:type="dxa"/>
          </w:tcPr>
          <w:p w:rsidR="00EA40A3" w:rsidRDefault="00E86C16">
            <w:pPr>
              <w:spacing w:before="134" w:line="168" w:lineRule="auto"/>
              <w:ind w:left="1055"/>
              <w:rPr>
                <w:rFonts w:ascii="宋体" w:eastAsia="宋体" w:hAnsi="宋体" w:cs="宋体"/>
                <w:sz w:val="17"/>
                <w:szCs w:val="17"/>
              </w:rPr>
            </w:pPr>
            <w:r>
              <w:rPr>
                <w:rFonts w:ascii="宋体" w:eastAsia="宋体" w:hAnsi="宋体" w:cs="宋体"/>
                <w:spacing w:val="-2"/>
                <w:sz w:val="17"/>
                <w:szCs w:val="17"/>
              </w:rPr>
              <w:t>0.05</w:t>
            </w:r>
          </w:p>
        </w:tc>
        <w:tc>
          <w:tcPr>
            <w:tcW w:w="2853" w:type="dxa"/>
          </w:tcPr>
          <w:p w:rsidR="00EA40A3" w:rsidRDefault="00E86C16">
            <w:pPr>
              <w:spacing w:before="133" w:line="169" w:lineRule="auto"/>
              <w:ind w:left="1313"/>
              <w:rPr>
                <w:rFonts w:ascii="宋体" w:eastAsia="宋体" w:hAnsi="宋体" w:cs="宋体"/>
                <w:sz w:val="17"/>
                <w:szCs w:val="17"/>
              </w:rPr>
            </w:pPr>
            <w:r>
              <w:rPr>
                <w:rFonts w:ascii="宋体" w:eastAsia="宋体" w:hAnsi="宋体" w:cs="宋体"/>
                <w:spacing w:val="-2"/>
                <w:sz w:val="17"/>
                <w:szCs w:val="17"/>
              </w:rPr>
              <w:t>0.10</w:t>
            </w:r>
          </w:p>
        </w:tc>
      </w:tr>
      <w:tr w:rsidR="00EA40A3">
        <w:trPr>
          <w:trHeight w:val="248"/>
        </w:trPr>
        <w:tc>
          <w:tcPr>
            <w:tcW w:w="2174" w:type="dxa"/>
            <w:tcBorders>
              <w:bottom w:val="single" w:sz="4" w:space="0" w:color="000000"/>
            </w:tcBorders>
          </w:tcPr>
          <w:p w:rsidR="00EA40A3" w:rsidRDefault="00E86C16">
            <w:pPr>
              <w:spacing w:before="51" w:line="213" w:lineRule="auto"/>
              <w:ind w:left="939"/>
              <w:rPr>
                <w:rFonts w:ascii="宋体" w:eastAsia="宋体" w:hAnsi="宋体" w:cs="宋体"/>
                <w:sz w:val="17"/>
                <w:szCs w:val="17"/>
              </w:rPr>
            </w:pPr>
            <w:r>
              <w:rPr>
                <w:rFonts w:ascii="宋体" w:eastAsia="宋体" w:hAnsi="宋体" w:cs="宋体"/>
                <w:spacing w:val="-2"/>
                <w:sz w:val="17"/>
                <w:szCs w:val="17"/>
              </w:rPr>
              <w:t>舌鳊</w:t>
            </w:r>
          </w:p>
        </w:tc>
        <w:tc>
          <w:tcPr>
            <w:tcW w:w="2302" w:type="dxa"/>
            <w:tcBorders>
              <w:bottom w:val="single" w:sz="4" w:space="0" w:color="000000"/>
            </w:tcBorders>
          </w:tcPr>
          <w:p w:rsidR="00EA40A3" w:rsidRDefault="00E86C16">
            <w:pPr>
              <w:spacing w:before="104" w:line="143" w:lineRule="exact"/>
              <w:ind w:left="1055"/>
              <w:rPr>
                <w:rFonts w:ascii="宋体" w:eastAsia="宋体" w:hAnsi="宋体" w:cs="宋体"/>
                <w:sz w:val="17"/>
                <w:szCs w:val="17"/>
              </w:rPr>
            </w:pPr>
            <w:r>
              <w:rPr>
                <w:rFonts w:ascii="宋体" w:eastAsia="宋体" w:hAnsi="宋体" w:cs="宋体"/>
                <w:spacing w:val="-2"/>
                <w:position w:val="-2"/>
                <w:sz w:val="17"/>
                <w:szCs w:val="17"/>
              </w:rPr>
              <w:t>0.09</w:t>
            </w:r>
          </w:p>
        </w:tc>
        <w:tc>
          <w:tcPr>
            <w:tcW w:w="2853" w:type="dxa"/>
            <w:tcBorders>
              <w:bottom w:val="single" w:sz="4" w:space="0" w:color="000000"/>
            </w:tcBorders>
          </w:tcPr>
          <w:p w:rsidR="00EA40A3" w:rsidRDefault="00E86C16">
            <w:pPr>
              <w:spacing w:before="124" w:line="123" w:lineRule="exact"/>
              <w:ind w:left="1313"/>
              <w:rPr>
                <w:rFonts w:ascii="宋体" w:eastAsia="宋体" w:hAnsi="宋体" w:cs="宋体"/>
                <w:sz w:val="17"/>
                <w:szCs w:val="17"/>
              </w:rPr>
            </w:pPr>
            <w:r>
              <w:rPr>
                <w:rFonts w:ascii="宋体" w:eastAsia="宋体" w:hAnsi="宋体" w:cs="宋体"/>
                <w:spacing w:val="-2"/>
                <w:position w:val="-2"/>
                <w:sz w:val="17"/>
                <w:szCs w:val="17"/>
              </w:rPr>
              <w:t>0.09</w:t>
            </w:r>
          </w:p>
        </w:tc>
      </w:tr>
    </w:tbl>
    <w:p w:rsidR="00EA40A3" w:rsidRDefault="00E86C16">
      <w:pPr>
        <w:spacing w:before="111" w:line="219" w:lineRule="auto"/>
        <w:ind w:left="349"/>
        <w:rPr>
          <w:rFonts w:ascii="宋体" w:eastAsia="宋体" w:hAnsi="宋体" w:cs="宋体"/>
          <w:sz w:val="17"/>
          <w:szCs w:val="17"/>
        </w:rPr>
      </w:pPr>
      <w:r>
        <w:rPr>
          <w:rFonts w:ascii="宋体" w:eastAsia="宋体" w:hAnsi="宋体" w:cs="宋体"/>
          <w:spacing w:val="-7"/>
          <w:sz w:val="17"/>
          <w:szCs w:val="17"/>
        </w:rPr>
        <w:t>资料来源：葛可佑.2004.中国营养科学全书，食品营养卷.北京：人民卫生出版社</w:t>
      </w:r>
    </w:p>
    <w:p w:rsidR="00EA40A3" w:rsidRDefault="00EA40A3">
      <w:pPr>
        <w:spacing w:line="280" w:lineRule="auto"/>
      </w:pPr>
    </w:p>
    <w:p w:rsidR="00EA40A3" w:rsidRDefault="00E86C16">
      <w:pPr>
        <w:spacing w:before="69" w:line="255" w:lineRule="auto"/>
        <w:ind w:left="20" w:right="95" w:firstLine="419"/>
        <w:rPr>
          <w:rFonts w:ascii="宋体" w:eastAsia="宋体" w:hAnsi="宋体" w:cs="宋体"/>
        </w:rPr>
      </w:pPr>
      <w:r>
        <w:rPr>
          <w:rFonts w:ascii="宋体" w:eastAsia="宋体" w:hAnsi="宋体" w:cs="宋体"/>
          <w:spacing w:val="-3"/>
        </w:rPr>
        <w:t>此外，鱼类中的脂肪含量和脂肪酸分布还受到鱼龄、季节、栖息环境、摄食</w:t>
      </w:r>
      <w:r>
        <w:rPr>
          <w:rFonts w:ascii="宋体" w:eastAsia="宋体" w:hAnsi="宋体" w:cs="宋体"/>
          <w:spacing w:val="7"/>
        </w:rPr>
        <w:t xml:space="preserve"> </w:t>
      </w:r>
      <w:r>
        <w:rPr>
          <w:rFonts w:ascii="宋体" w:eastAsia="宋体" w:hAnsi="宋体" w:cs="宋体"/>
          <w:spacing w:val="-9"/>
        </w:rPr>
        <w:t>状态等因素的影响。</w:t>
      </w:r>
    </w:p>
    <w:p w:rsidR="00EA40A3" w:rsidRDefault="00E86C16">
      <w:pPr>
        <w:spacing w:before="23" w:line="252" w:lineRule="auto"/>
        <w:ind w:left="20" w:right="96" w:firstLine="419"/>
        <w:rPr>
          <w:rFonts w:ascii="宋体" w:eastAsia="宋体" w:hAnsi="宋体" w:cs="宋体"/>
        </w:rPr>
      </w:pPr>
      <w:r>
        <w:rPr>
          <w:rFonts w:ascii="宋体" w:eastAsia="宋体" w:hAnsi="宋体" w:cs="宋体"/>
          <w:spacing w:val="5"/>
        </w:rPr>
        <w:t>鱼类的胆固醇含量通常为50～70</w:t>
      </w:r>
      <w:r>
        <w:rPr>
          <w:rFonts w:ascii="宋体" w:eastAsia="宋体" w:hAnsi="宋体" w:cs="宋体"/>
        </w:rPr>
        <w:t>mg</w:t>
      </w:r>
      <w:r>
        <w:rPr>
          <w:rFonts w:ascii="宋体" w:eastAsia="宋体" w:hAnsi="宋体" w:cs="宋体"/>
          <w:spacing w:val="5"/>
        </w:rPr>
        <w:t>/100g,</w:t>
      </w:r>
      <w:r>
        <w:rPr>
          <w:rFonts w:ascii="宋体" w:eastAsia="宋体" w:hAnsi="宋体" w:cs="宋体"/>
          <w:spacing w:val="48"/>
        </w:rPr>
        <w:t xml:space="preserve"> </w:t>
      </w:r>
      <w:r>
        <w:rPr>
          <w:rFonts w:ascii="宋体" w:eastAsia="宋体" w:hAnsi="宋体" w:cs="宋体"/>
          <w:spacing w:val="5"/>
        </w:rPr>
        <w:t>虾蟹、贝类和鱼子中的胆固醇</w:t>
      </w:r>
      <w:r>
        <w:rPr>
          <w:rFonts w:ascii="宋体" w:eastAsia="宋体" w:hAnsi="宋体" w:cs="宋体"/>
        </w:rPr>
        <w:t xml:space="preserve"> </w:t>
      </w:r>
      <w:r>
        <w:rPr>
          <w:rFonts w:ascii="宋体" w:eastAsia="宋体" w:hAnsi="宋体" w:cs="宋体"/>
          <w:spacing w:val="-3"/>
        </w:rPr>
        <w:t>含量较高。如黄花鱼的鱼子中胆固醇含量为819</w:t>
      </w:r>
      <w:r>
        <w:rPr>
          <w:rFonts w:ascii="宋体" w:eastAsia="宋体" w:hAnsi="宋体" w:cs="宋体"/>
          <w:spacing w:val="8"/>
        </w:rPr>
        <w:t xml:space="preserve"> </w:t>
      </w:r>
      <w:r>
        <w:rPr>
          <w:rFonts w:ascii="宋体" w:eastAsia="宋体" w:hAnsi="宋体" w:cs="宋体"/>
          <w:spacing w:val="-3"/>
        </w:rPr>
        <w:t>mg/</w:t>
      </w:r>
      <w:r>
        <w:rPr>
          <w:rFonts w:ascii="宋体" w:eastAsia="宋体" w:hAnsi="宋体" w:cs="宋体"/>
          <w:spacing w:val="-4"/>
        </w:rPr>
        <w:t>100g。</w:t>
      </w:r>
    </w:p>
    <w:p w:rsidR="00EA40A3" w:rsidRDefault="00E86C16">
      <w:pPr>
        <w:spacing w:before="221" w:line="222" w:lineRule="auto"/>
        <w:ind w:left="20"/>
        <w:rPr>
          <w:rFonts w:ascii="仿宋" w:eastAsia="仿宋" w:hAnsi="仿宋" w:cs="仿宋"/>
        </w:rPr>
      </w:pPr>
      <w:r>
        <w:rPr>
          <w:rFonts w:ascii="仿宋" w:eastAsia="仿宋" w:hAnsi="仿宋" w:cs="仿宋"/>
          <w:spacing w:val="12"/>
        </w:rPr>
        <w:t>3.</w:t>
      </w:r>
      <w:r>
        <w:rPr>
          <w:rFonts w:ascii="仿宋" w:eastAsia="仿宋" w:hAnsi="仿宋" w:cs="仿宋"/>
          <w:spacing w:val="-4"/>
        </w:rPr>
        <w:t xml:space="preserve"> </w:t>
      </w:r>
      <w:r>
        <w:rPr>
          <w:rFonts w:ascii="仿宋" w:eastAsia="仿宋" w:hAnsi="仿宋" w:cs="仿宋"/>
          <w:spacing w:val="12"/>
        </w:rPr>
        <w:t>维生素</w:t>
      </w:r>
    </w:p>
    <w:p w:rsidR="00EA40A3" w:rsidRDefault="00E86C16">
      <w:pPr>
        <w:spacing w:before="182" w:line="259" w:lineRule="auto"/>
        <w:ind w:left="20" w:right="109" w:firstLine="419"/>
        <w:jc w:val="both"/>
        <w:rPr>
          <w:rFonts w:ascii="宋体" w:eastAsia="宋体" w:hAnsi="宋体" w:cs="宋体"/>
        </w:rPr>
      </w:pPr>
      <w:r>
        <w:rPr>
          <w:rFonts w:ascii="宋体" w:eastAsia="宋体" w:hAnsi="宋体" w:cs="宋体"/>
          <w:spacing w:val="-2"/>
        </w:rPr>
        <w:t>水产品中的维生素A、</w:t>
      </w:r>
      <w:r>
        <w:rPr>
          <w:rFonts w:ascii="宋体" w:eastAsia="宋体" w:hAnsi="宋体" w:cs="宋体"/>
          <w:spacing w:val="-4"/>
        </w:rPr>
        <w:t xml:space="preserve"> </w:t>
      </w:r>
      <w:r>
        <w:rPr>
          <w:rFonts w:ascii="宋体" w:eastAsia="宋体" w:hAnsi="宋体" w:cs="宋体"/>
          <w:spacing w:val="-2"/>
        </w:rPr>
        <w:t>维生素D、</w:t>
      </w:r>
      <w:r>
        <w:rPr>
          <w:rFonts w:ascii="宋体" w:eastAsia="宋体" w:hAnsi="宋体" w:cs="宋体"/>
          <w:spacing w:val="-24"/>
        </w:rPr>
        <w:t xml:space="preserve"> </w:t>
      </w:r>
      <w:r>
        <w:rPr>
          <w:rFonts w:ascii="宋体" w:eastAsia="宋体" w:hAnsi="宋体" w:cs="宋体"/>
          <w:spacing w:val="-2"/>
        </w:rPr>
        <w:t>维生素E</w:t>
      </w:r>
      <w:r>
        <w:rPr>
          <w:rFonts w:ascii="宋体" w:eastAsia="宋体" w:hAnsi="宋体" w:cs="宋体"/>
          <w:spacing w:val="-15"/>
        </w:rPr>
        <w:t xml:space="preserve"> </w:t>
      </w:r>
      <w:r>
        <w:rPr>
          <w:rFonts w:ascii="宋体" w:eastAsia="宋体" w:hAnsi="宋体" w:cs="宋体"/>
          <w:spacing w:val="-2"/>
        </w:rPr>
        <w:t>含量均高于畜肉，有的</w:t>
      </w:r>
      <w:r>
        <w:rPr>
          <w:rFonts w:ascii="宋体" w:eastAsia="宋体" w:hAnsi="宋体" w:cs="宋体"/>
          <w:spacing w:val="-3"/>
        </w:rPr>
        <w:t>含有较高</w:t>
      </w:r>
      <w:r>
        <w:rPr>
          <w:rFonts w:ascii="宋体" w:eastAsia="宋体" w:hAnsi="宋体" w:cs="宋体"/>
        </w:rPr>
        <w:t xml:space="preserve"> </w:t>
      </w:r>
      <w:r>
        <w:rPr>
          <w:rFonts w:ascii="宋体" w:eastAsia="宋体" w:hAnsi="宋体" w:cs="宋体"/>
          <w:spacing w:val="1"/>
        </w:rPr>
        <w:t>维生素B</w:t>
      </w:r>
      <w:r>
        <w:rPr>
          <w:rFonts w:ascii="Calibri" w:eastAsia="Calibri" w:hAnsi="Calibri" w:cs="Calibri"/>
          <w:spacing w:val="1"/>
        </w:rPr>
        <w:t>₂</w:t>
      </w:r>
      <w:r>
        <w:rPr>
          <w:rFonts w:ascii="Calibri" w:eastAsia="Calibri" w:hAnsi="Calibri" w:cs="Calibri"/>
          <w:spacing w:val="-19"/>
        </w:rPr>
        <w:t xml:space="preserve"> </w:t>
      </w:r>
      <w:r>
        <w:rPr>
          <w:rFonts w:ascii="宋体" w:eastAsia="宋体" w:hAnsi="宋体" w:cs="宋体"/>
          <w:spacing w:val="1"/>
        </w:rPr>
        <w:t>。</w:t>
      </w:r>
      <w:r>
        <w:rPr>
          <w:rFonts w:ascii="宋体" w:eastAsia="宋体" w:hAnsi="宋体" w:cs="宋体"/>
          <w:spacing w:val="-57"/>
        </w:rPr>
        <w:t xml:space="preserve"> </w:t>
      </w:r>
      <w:r>
        <w:rPr>
          <w:rFonts w:ascii="宋体" w:eastAsia="宋体" w:hAnsi="宋体" w:cs="宋体"/>
          <w:spacing w:val="1"/>
        </w:rPr>
        <w:t>多脂的海鱼肉也含有一定数量的维</w:t>
      </w:r>
      <w:r>
        <w:rPr>
          <w:rFonts w:ascii="宋体" w:eastAsia="宋体" w:hAnsi="宋体" w:cs="宋体"/>
        </w:rPr>
        <w:t>生素A</w:t>
      </w:r>
      <w:r>
        <w:rPr>
          <w:rFonts w:ascii="宋体" w:eastAsia="宋体" w:hAnsi="宋体" w:cs="宋体"/>
          <w:spacing w:val="21"/>
        </w:rPr>
        <w:t xml:space="preserve"> </w:t>
      </w:r>
      <w:r>
        <w:rPr>
          <w:rFonts w:ascii="宋体" w:eastAsia="宋体" w:hAnsi="宋体" w:cs="宋体"/>
        </w:rPr>
        <w:t>和维生素</w:t>
      </w:r>
      <w:r>
        <w:rPr>
          <w:rFonts w:ascii="宋体" w:eastAsia="宋体" w:hAnsi="宋体" w:cs="宋体"/>
          <w:spacing w:val="-36"/>
        </w:rPr>
        <w:t xml:space="preserve"> </w:t>
      </w:r>
      <w:r>
        <w:rPr>
          <w:rFonts w:ascii="宋体" w:eastAsia="宋体" w:hAnsi="宋体" w:cs="宋体"/>
        </w:rPr>
        <w:t>D,</w:t>
      </w:r>
      <w:r>
        <w:rPr>
          <w:rFonts w:ascii="宋体" w:eastAsia="宋体" w:hAnsi="宋体" w:cs="宋体"/>
          <w:spacing w:val="49"/>
        </w:rPr>
        <w:t xml:space="preserve"> </w:t>
      </w:r>
      <w:r>
        <w:rPr>
          <w:rFonts w:ascii="宋体" w:eastAsia="宋体" w:hAnsi="宋体" w:cs="宋体"/>
        </w:rPr>
        <w:t xml:space="preserve">是膳食中维 </w:t>
      </w:r>
      <w:r>
        <w:rPr>
          <w:rFonts w:ascii="宋体" w:eastAsia="宋体" w:hAnsi="宋体" w:cs="宋体"/>
          <w:spacing w:val="3"/>
        </w:rPr>
        <w:t>生素A、</w:t>
      </w:r>
      <w:r>
        <w:rPr>
          <w:rFonts w:ascii="宋体" w:eastAsia="宋体" w:hAnsi="宋体" w:cs="宋体"/>
          <w:spacing w:val="-15"/>
        </w:rPr>
        <w:t xml:space="preserve"> </w:t>
      </w:r>
      <w:r>
        <w:rPr>
          <w:rFonts w:ascii="宋体" w:eastAsia="宋体" w:hAnsi="宋体" w:cs="宋体"/>
          <w:spacing w:val="3"/>
        </w:rPr>
        <w:t>维生素D</w:t>
      </w:r>
      <w:r>
        <w:rPr>
          <w:rFonts w:ascii="宋体" w:eastAsia="宋体" w:hAnsi="宋体" w:cs="宋体"/>
          <w:spacing w:val="-16"/>
        </w:rPr>
        <w:t xml:space="preserve"> </w:t>
      </w:r>
      <w:r>
        <w:rPr>
          <w:rFonts w:ascii="宋体" w:eastAsia="宋体" w:hAnsi="宋体" w:cs="宋体"/>
          <w:spacing w:val="3"/>
        </w:rPr>
        <w:t>的重要来源，也是维生素</w:t>
      </w:r>
      <w:r>
        <w:rPr>
          <w:rFonts w:ascii="宋体" w:eastAsia="宋体" w:hAnsi="宋体" w:cs="宋体"/>
          <w:spacing w:val="-55"/>
        </w:rPr>
        <w:t xml:space="preserve"> </w:t>
      </w:r>
      <w:r>
        <w:rPr>
          <w:rFonts w:ascii="宋体" w:eastAsia="宋体" w:hAnsi="宋体" w:cs="宋体"/>
          <w:spacing w:val="3"/>
        </w:rPr>
        <w:t>E</w:t>
      </w:r>
      <w:r>
        <w:rPr>
          <w:rFonts w:ascii="宋体" w:eastAsia="宋体" w:hAnsi="宋体" w:cs="宋体"/>
          <w:spacing w:val="-14"/>
        </w:rPr>
        <w:t xml:space="preserve"> </w:t>
      </w:r>
      <w:r>
        <w:rPr>
          <w:rFonts w:ascii="宋体" w:eastAsia="宋体" w:hAnsi="宋体" w:cs="宋体"/>
          <w:spacing w:val="3"/>
        </w:rPr>
        <w:t>的一般来源。鱼油和鱼肝</w:t>
      </w:r>
      <w:r>
        <w:rPr>
          <w:rFonts w:ascii="宋体" w:eastAsia="宋体" w:hAnsi="宋体" w:cs="宋体"/>
          <w:spacing w:val="2"/>
        </w:rPr>
        <w:t>油是补</w:t>
      </w:r>
      <w:r>
        <w:rPr>
          <w:rFonts w:ascii="宋体" w:eastAsia="宋体" w:hAnsi="宋体" w:cs="宋体"/>
        </w:rPr>
        <w:t xml:space="preserve"> </w:t>
      </w:r>
      <w:r>
        <w:rPr>
          <w:rFonts w:ascii="宋体" w:eastAsia="宋体" w:hAnsi="宋体" w:cs="宋体"/>
          <w:spacing w:val="-3"/>
        </w:rPr>
        <w:t>充维生素A、</w:t>
      </w:r>
      <w:r>
        <w:rPr>
          <w:rFonts w:ascii="宋体" w:eastAsia="宋体" w:hAnsi="宋体" w:cs="宋体"/>
          <w:spacing w:val="-14"/>
        </w:rPr>
        <w:t xml:space="preserve"> </w:t>
      </w:r>
      <w:r>
        <w:rPr>
          <w:rFonts w:ascii="宋体" w:eastAsia="宋体" w:hAnsi="宋体" w:cs="宋体"/>
          <w:spacing w:val="-3"/>
        </w:rPr>
        <w:t>维生素D</w:t>
      </w:r>
      <w:r>
        <w:rPr>
          <w:rFonts w:ascii="宋体" w:eastAsia="宋体" w:hAnsi="宋体" w:cs="宋体"/>
          <w:spacing w:val="14"/>
        </w:rPr>
        <w:t xml:space="preserve"> </w:t>
      </w:r>
      <w:r>
        <w:rPr>
          <w:rFonts w:ascii="宋体" w:eastAsia="宋体" w:hAnsi="宋体" w:cs="宋体"/>
          <w:spacing w:val="-3"/>
        </w:rPr>
        <w:t>的主要方式。</w:t>
      </w:r>
    </w:p>
    <w:p w:rsidR="00EA40A3" w:rsidRDefault="00E86C16">
      <w:pPr>
        <w:spacing w:before="60" w:line="246" w:lineRule="auto"/>
        <w:ind w:left="20" w:right="20" w:firstLine="419"/>
        <w:jc w:val="both"/>
        <w:rPr>
          <w:rFonts w:ascii="宋体" w:eastAsia="宋体" w:hAnsi="宋体" w:cs="宋体"/>
        </w:rPr>
      </w:pPr>
      <w:r>
        <w:rPr>
          <w:rFonts w:ascii="宋体" w:eastAsia="宋体" w:hAnsi="宋体" w:cs="宋体"/>
          <w:spacing w:val="-3"/>
        </w:rPr>
        <w:t>水产类中水溶性维生素如硫胺素、核黄素、尼克</w:t>
      </w:r>
      <w:r>
        <w:rPr>
          <w:rFonts w:ascii="宋体" w:eastAsia="宋体" w:hAnsi="宋体" w:cs="宋体"/>
          <w:spacing w:val="-4"/>
        </w:rPr>
        <w:t>酸等的含量也较高，而维生</w:t>
      </w:r>
      <w:r>
        <w:rPr>
          <w:rFonts w:ascii="宋体" w:eastAsia="宋体" w:hAnsi="宋体" w:cs="宋体"/>
        </w:rPr>
        <w:t xml:space="preserve">  素</w:t>
      </w:r>
      <w:r>
        <w:rPr>
          <w:rFonts w:ascii="宋体" w:eastAsia="宋体" w:hAnsi="宋体" w:cs="宋体"/>
          <w:spacing w:val="-52"/>
        </w:rPr>
        <w:t xml:space="preserve"> </w:t>
      </w:r>
      <w:r>
        <w:rPr>
          <w:rFonts w:ascii="宋体" w:eastAsia="宋体" w:hAnsi="宋体" w:cs="宋体"/>
        </w:rPr>
        <w:t>C</w:t>
      </w:r>
      <w:r>
        <w:rPr>
          <w:rFonts w:ascii="宋体" w:eastAsia="宋体" w:hAnsi="宋体" w:cs="宋体"/>
          <w:spacing w:val="-14"/>
        </w:rPr>
        <w:t xml:space="preserve"> </w:t>
      </w:r>
      <w:r>
        <w:rPr>
          <w:rFonts w:ascii="宋体" w:eastAsia="宋体" w:hAnsi="宋体" w:cs="宋体"/>
        </w:rPr>
        <w:t>含量则很低。</w:t>
      </w:r>
      <w:r>
        <w:rPr>
          <w:rFonts w:ascii="宋体" w:eastAsia="宋体" w:hAnsi="宋体" w:cs="宋体"/>
          <w:spacing w:val="49"/>
        </w:rPr>
        <w:t xml:space="preserve"> </w:t>
      </w:r>
      <w:r>
        <w:rPr>
          <w:rFonts w:ascii="宋体" w:eastAsia="宋体" w:hAnsi="宋体" w:cs="宋体"/>
        </w:rPr>
        <w:t>一些鱼类食品中含有硫胺素酶和催化硫胺素降解的蛋白质，</w:t>
      </w:r>
    </w:p>
    <w:p w:rsidR="00EA40A3" w:rsidRDefault="00E86C16">
      <w:pPr>
        <w:spacing w:before="86" w:line="241" w:lineRule="auto"/>
        <w:ind w:left="179"/>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214</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185"/>
          <w:pgSz w:w="9220" w:h="13360"/>
          <w:pgMar w:top="400" w:right="1044" w:bottom="400" w:left="800" w:header="0" w:footer="0" w:gutter="0"/>
          <w:cols w:space="720"/>
        </w:sectPr>
      </w:pPr>
    </w:p>
    <w:p w:rsidR="00EA40A3" w:rsidRDefault="00EA40A3">
      <w:pPr>
        <w:spacing w:line="278" w:lineRule="auto"/>
      </w:pPr>
    </w:p>
    <w:p w:rsidR="00EA40A3" w:rsidRDefault="00EA40A3">
      <w:pPr>
        <w:spacing w:line="279" w:lineRule="auto"/>
      </w:pPr>
    </w:p>
    <w:p w:rsidR="00EA40A3" w:rsidRDefault="00E86C16">
      <w:pPr>
        <w:spacing w:before="75" w:line="222" w:lineRule="auto"/>
        <w:rPr>
          <w:rFonts w:ascii="仿宋" w:eastAsia="仿宋" w:hAnsi="仿宋" w:cs="仿宋"/>
          <w:sz w:val="23"/>
          <w:szCs w:val="23"/>
        </w:rPr>
      </w:pPr>
      <w:bookmarkStart w:id="54" w:name="_bookmark58"/>
      <w:bookmarkStart w:id="55" w:name="_bookmark59"/>
      <w:bookmarkEnd w:id="54"/>
      <w:bookmarkEnd w:id="55"/>
      <w:r>
        <w:rPr>
          <w:rFonts w:ascii="仿宋" w:eastAsia="仿宋" w:hAnsi="仿宋" w:cs="仿宋"/>
          <w:spacing w:val="-23"/>
          <w:sz w:val="23"/>
          <w:szCs w:val="23"/>
        </w:rPr>
        <w:t>因此大量食用生鱼可能造成硫胺素的缺乏。加热后食用可避免这</w:t>
      </w:r>
      <w:r>
        <w:rPr>
          <w:rFonts w:ascii="仿宋" w:eastAsia="仿宋" w:hAnsi="仿宋" w:cs="仿宋"/>
          <w:spacing w:val="-24"/>
          <w:sz w:val="23"/>
          <w:szCs w:val="23"/>
        </w:rPr>
        <w:t>类问题的发生。</w:t>
      </w:r>
    </w:p>
    <w:p w:rsidR="00EA40A3" w:rsidRDefault="00E86C16">
      <w:pPr>
        <w:spacing w:before="182" w:line="221" w:lineRule="auto"/>
        <w:rPr>
          <w:rFonts w:ascii="仿宋" w:eastAsia="仿宋" w:hAnsi="仿宋" w:cs="仿宋"/>
          <w:sz w:val="23"/>
          <w:szCs w:val="23"/>
        </w:rPr>
      </w:pPr>
      <w:r>
        <w:rPr>
          <w:rFonts w:ascii="仿宋" w:eastAsia="仿宋" w:hAnsi="仿宋" w:cs="仿宋"/>
          <w:spacing w:val="5"/>
          <w:sz w:val="23"/>
          <w:szCs w:val="23"/>
        </w:rPr>
        <w:t>4.</w:t>
      </w:r>
      <w:r>
        <w:rPr>
          <w:rFonts w:ascii="仿宋" w:eastAsia="仿宋" w:hAnsi="仿宋" w:cs="仿宋"/>
          <w:spacing w:val="-28"/>
          <w:sz w:val="23"/>
          <w:szCs w:val="23"/>
        </w:rPr>
        <w:t xml:space="preserve"> </w:t>
      </w:r>
      <w:r>
        <w:rPr>
          <w:rFonts w:ascii="仿宋" w:eastAsia="仿宋" w:hAnsi="仿宋" w:cs="仿宋"/>
          <w:spacing w:val="5"/>
          <w:sz w:val="23"/>
          <w:szCs w:val="23"/>
        </w:rPr>
        <w:t>矿物质</w:t>
      </w:r>
    </w:p>
    <w:p w:rsidR="00EA40A3" w:rsidRDefault="00E86C16">
      <w:pPr>
        <w:spacing w:before="180" w:line="235" w:lineRule="auto"/>
        <w:ind w:right="20" w:firstLine="440"/>
        <w:jc w:val="both"/>
        <w:rPr>
          <w:rFonts w:ascii="宋体" w:eastAsia="宋体" w:hAnsi="宋体" w:cs="宋体"/>
          <w:sz w:val="23"/>
          <w:szCs w:val="23"/>
        </w:rPr>
      </w:pPr>
      <w:r>
        <w:rPr>
          <w:rFonts w:ascii="宋体" w:eastAsia="宋体" w:hAnsi="宋体" w:cs="宋体"/>
          <w:spacing w:val="-24"/>
          <w:sz w:val="23"/>
          <w:szCs w:val="23"/>
        </w:rPr>
        <w:t>水产品中的各种矿物质含量丰富，钙、硒等元素的含量明显高于畜肉，微量</w:t>
      </w:r>
      <w:r>
        <w:rPr>
          <w:rFonts w:ascii="宋体" w:eastAsia="宋体" w:hAnsi="宋体" w:cs="宋体"/>
          <w:spacing w:val="9"/>
          <w:sz w:val="23"/>
          <w:szCs w:val="23"/>
        </w:rPr>
        <w:t xml:space="preserve"> </w:t>
      </w:r>
      <w:r>
        <w:rPr>
          <w:rFonts w:ascii="宋体" w:eastAsia="宋体" w:hAnsi="宋体" w:cs="宋体"/>
          <w:spacing w:val="-21"/>
          <w:sz w:val="23"/>
          <w:szCs w:val="23"/>
        </w:rPr>
        <w:t>元素的生物利用率也较高。甲壳类食品是锌、铜等微量元素的最佳来源。贝类、</w:t>
      </w:r>
      <w:r>
        <w:rPr>
          <w:rFonts w:ascii="宋体" w:eastAsia="宋体" w:hAnsi="宋体" w:cs="宋体"/>
          <w:spacing w:val="18"/>
          <w:sz w:val="23"/>
          <w:szCs w:val="23"/>
        </w:rPr>
        <w:t xml:space="preserve"> </w:t>
      </w:r>
      <w:r>
        <w:rPr>
          <w:rFonts w:ascii="宋体" w:eastAsia="宋体" w:hAnsi="宋体" w:cs="宋体"/>
          <w:spacing w:val="-23"/>
          <w:sz w:val="23"/>
          <w:szCs w:val="23"/>
        </w:rPr>
        <w:t>虾和鱼罐头是钙的好来源。海鱼和海生虾贝类还是碘、铜、锰、锌等元素的优质</w:t>
      </w:r>
      <w:r>
        <w:rPr>
          <w:rFonts w:ascii="宋体" w:eastAsia="宋体" w:hAnsi="宋体" w:cs="宋体"/>
          <w:spacing w:val="17"/>
          <w:sz w:val="23"/>
          <w:szCs w:val="23"/>
        </w:rPr>
        <w:t xml:space="preserve"> </w:t>
      </w:r>
      <w:r>
        <w:rPr>
          <w:rFonts w:ascii="宋体" w:eastAsia="宋体" w:hAnsi="宋体" w:cs="宋体"/>
          <w:spacing w:val="-22"/>
          <w:sz w:val="23"/>
          <w:szCs w:val="23"/>
        </w:rPr>
        <w:t>来源。</w:t>
      </w:r>
    </w:p>
    <w:p w:rsidR="00EA40A3" w:rsidRDefault="00E86C16">
      <w:pPr>
        <w:spacing w:before="57" w:line="228" w:lineRule="auto"/>
        <w:ind w:right="66" w:firstLine="440"/>
        <w:jc w:val="both"/>
        <w:rPr>
          <w:rFonts w:ascii="宋体" w:eastAsia="宋体" w:hAnsi="宋体" w:cs="宋体"/>
          <w:sz w:val="23"/>
          <w:szCs w:val="23"/>
        </w:rPr>
      </w:pPr>
      <w:r>
        <w:rPr>
          <w:rFonts w:ascii="宋体" w:eastAsia="宋体" w:hAnsi="宋体" w:cs="宋体"/>
          <w:spacing w:val="-23"/>
          <w:sz w:val="23"/>
          <w:szCs w:val="23"/>
        </w:rPr>
        <w:t>然而，贝类具有富集重金属污染的特性，食肉鱼因处在食物链的顶端，也极</w:t>
      </w:r>
      <w:r>
        <w:rPr>
          <w:rFonts w:ascii="宋体" w:eastAsia="宋体" w:hAnsi="宋体" w:cs="宋体"/>
          <w:spacing w:val="16"/>
          <w:sz w:val="23"/>
          <w:szCs w:val="23"/>
        </w:rPr>
        <w:t xml:space="preserve"> </w:t>
      </w:r>
      <w:r>
        <w:rPr>
          <w:rFonts w:ascii="宋体" w:eastAsia="宋体" w:hAnsi="宋体" w:cs="宋体"/>
          <w:spacing w:val="-24"/>
          <w:sz w:val="23"/>
          <w:szCs w:val="23"/>
        </w:rPr>
        <w:t>易富集汞、镉等重金属。故而食用水产品应适量，特别是金枪鱼、鲨鱼等食肉鱼</w:t>
      </w:r>
      <w:r>
        <w:rPr>
          <w:rFonts w:ascii="宋体" w:eastAsia="宋体" w:hAnsi="宋体" w:cs="宋体"/>
          <w:spacing w:val="18"/>
          <w:sz w:val="23"/>
          <w:szCs w:val="23"/>
        </w:rPr>
        <w:t xml:space="preserve"> </w:t>
      </w:r>
      <w:r>
        <w:rPr>
          <w:rFonts w:ascii="宋体" w:eastAsia="宋体" w:hAnsi="宋体" w:cs="宋体"/>
          <w:spacing w:val="-26"/>
          <w:sz w:val="23"/>
          <w:szCs w:val="23"/>
        </w:rPr>
        <w:t>和贝类。</w:t>
      </w:r>
    </w:p>
    <w:p w:rsidR="00EA40A3" w:rsidRDefault="00EA40A3">
      <w:pPr>
        <w:spacing w:line="264" w:lineRule="auto"/>
      </w:pPr>
    </w:p>
    <w:p w:rsidR="00EA40A3" w:rsidRDefault="00E86C16">
      <w:pPr>
        <w:spacing w:before="91" w:line="218" w:lineRule="auto"/>
        <w:ind w:left="2030"/>
        <w:rPr>
          <w:rFonts w:ascii="宋体" w:eastAsia="宋体" w:hAnsi="宋体" w:cs="宋体"/>
          <w:sz w:val="28"/>
          <w:szCs w:val="28"/>
        </w:rPr>
      </w:pPr>
      <w:r>
        <w:rPr>
          <w:rFonts w:ascii="宋体" w:eastAsia="宋体" w:hAnsi="宋体" w:cs="宋体"/>
          <w:spacing w:val="-2"/>
          <w:sz w:val="28"/>
          <w:szCs w:val="28"/>
        </w:rPr>
        <w:t>6.6</w:t>
      </w:r>
      <w:r>
        <w:rPr>
          <w:rFonts w:ascii="宋体" w:eastAsia="宋体" w:hAnsi="宋体" w:cs="宋体"/>
          <w:spacing w:val="103"/>
          <w:sz w:val="28"/>
          <w:szCs w:val="28"/>
        </w:rPr>
        <w:t xml:space="preserve"> </w:t>
      </w:r>
      <w:r>
        <w:rPr>
          <w:rFonts w:ascii="宋体" w:eastAsia="宋体" w:hAnsi="宋体" w:cs="宋体"/>
          <w:spacing w:val="-2"/>
          <w:sz w:val="28"/>
          <w:szCs w:val="28"/>
        </w:rPr>
        <w:t>乳和乳制品的营养价值</w:t>
      </w:r>
    </w:p>
    <w:p w:rsidR="00EA40A3" w:rsidRDefault="00E86C16">
      <w:pPr>
        <w:spacing w:before="125" w:line="221" w:lineRule="auto"/>
        <w:ind w:left="3"/>
        <w:outlineLvl w:val="6"/>
        <w:rPr>
          <w:rFonts w:ascii="黑体" w:eastAsia="黑体" w:hAnsi="黑体" w:cs="黑体"/>
          <w:sz w:val="23"/>
          <w:szCs w:val="23"/>
        </w:rPr>
      </w:pPr>
      <w:r>
        <w:rPr>
          <w:rFonts w:ascii="黑体" w:eastAsia="黑体" w:hAnsi="黑体" w:cs="黑体"/>
          <w:b/>
          <w:bCs/>
          <w:sz w:val="23"/>
          <w:szCs w:val="23"/>
        </w:rPr>
        <w:t>6.6.1</w:t>
      </w:r>
      <w:r>
        <w:rPr>
          <w:rFonts w:ascii="黑体" w:eastAsia="黑体" w:hAnsi="黑体" w:cs="黑体"/>
          <w:spacing w:val="10"/>
          <w:sz w:val="23"/>
          <w:szCs w:val="23"/>
        </w:rPr>
        <w:t xml:space="preserve">  </w:t>
      </w:r>
      <w:r>
        <w:rPr>
          <w:rFonts w:ascii="黑体" w:eastAsia="黑体" w:hAnsi="黑体" w:cs="黑体"/>
          <w:b/>
          <w:bCs/>
          <w:sz w:val="23"/>
          <w:szCs w:val="23"/>
        </w:rPr>
        <w:t>乳的营养价值</w:t>
      </w:r>
    </w:p>
    <w:p w:rsidR="00EA40A3" w:rsidRDefault="00E86C16">
      <w:pPr>
        <w:spacing w:before="186" w:line="237" w:lineRule="auto"/>
        <w:ind w:firstLine="440"/>
        <w:jc w:val="both"/>
        <w:rPr>
          <w:rFonts w:ascii="宋体" w:eastAsia="宋体" w:hAnsi="宋体" w:cs="宋体"/>
          <w:sz w:val="23"/>
          <w:szCs w:val="23"/>
        </w:rPr>
      </w:pPr>
      <w:r>
        <w:rPr>
          <w:rFonts w:ascii="宋体" w:eastAsia="宋体" w:hAnsi="宋体" w:cs="宋体"/>
          <w:spacing w:val="-21"/>
          <w:sz w:val="23"/>
          <w:szCs w:val="23"/>
        </w:rPr>
        <w:t>除婴儿应以母乳喂养为最佳之外，人类食用的乳类食品以牛乳占绝对优势，</w:t>
      </w:r>
      <w:r>
        <w:rPr>
          <w:rFonts w:ascii="宋体" w:eastAsia="宋体" w:hAnsi="宋体" w:cs="宋体"/>
          <w:spacing w:val="16"/>
          <w:sz w:val="23"/>
          <w:szCs w:val="23"/>
        </w:rPr>
        <w:t xml:space="preserve"> </w:t>
      </w:r>
      <w:r>
        <w:rPr>
          <w:rFonts w:ascii="宋体" w:eastAsia="宋体" w:hAnsi="宋体" w:cs="宋体"/>
          <w:spacing w:val="-17"/>
          <w:sz w:val="23"/>
          <w:szCs w:val="23"/>
        </w:rPr>
        <w:t>因而在论述乳的营养价值时以牛乳为代表。此外水牛奶、羊奶、牦牛奶、山羊</w:t>
      </w:r>
      <w:r>
        <w:rPr>
          <w:rFonts w:ascii="宋体" w:eastAsia="宋体" w:hAnsi="宋体" w:cs="宋体"/>
          <w:spacing w:val="4"/>
          <w:sz w:val="23"/>
          <w:szCs w:val="23"/>
        </w:rPr>
        <w:t xml:space="preserve">  </w:t>
      </w:r>
      <w:r>
        <w:rPr>
          <w:rFonts w:ascii="宋体" w:eastAsia="宋体" w:hAnsi="宋体" w:cs="宋体"/>
          <w:spacing w:val="-22"/>
          <w:sz w:val="23"/>
          <w:szCs w:val="23"/>
        </w:rPr>
        <w:t>奶、马奶等也在某些地方具有食用传统。乳制品的产品形态多种多样，按照我国</w:t>
      </w:r>
      <w:r>
        <w:rPr>
          <w:rFonts w:ascii="宋体" w:eastAsia="宋体" w:hAnsi="宋体" w:cs="宋体"/>
          <w:sz w:val="23"/>
          <w:szCs w:val="23"/>
        </w:rPr>
        <w:t xml:space="preserve"> </w:t>
      </w:r>
      <w:r>
        <w:rPr>
          <w:rFonts w:ascii="宋体" w:eastAsia="宋体" w:hAnsi="宋体" w:cs="宋体"/>
          <w:spacing w:val="-23"/>
          <w:sz w:val="23"/>
          <w:szCs w:val="23"/>
        </w:rPr>
        <w:t>食品工业标准体系，可划分为液体乳制品、乳粉、乳脂、炼乳</w:t>
      </w:r>
      <w:r>
        <w:rPr>
          <w:rFonts w:ascii="宋体" w:eastAsia="宋体" w:hAnsi="宋体" w:cs="宋体"/>
          <w:spacing w:val="-24"/>
          <w:sz w:val="23"/>
          <w:szCs w:val="23"/>
        </w:rPr>
        <w:t>、干酪、冰淇淋和</w:t>
      </w:r>
      <w:r>
        <w:rPr>
          <w:rFonts w:ascii="宋体" w:eastAsia="宋体" w:hAnsi="宋体" w:cs="宋体"/>
          <w:sz w:val="23"/>
          <w:szCs w:val="23"/>
        </w:rPr>
        <w:t xml:space="preserve">  </w:t>
      </w:r>
      <w:r>
        <w:rPr>
          <w:rFonts w:ascii="宋体" w:eastAsia="宋体" w:hAnsi="宋体" w:cs="宋体"/>
          <w:spacing w:val="-15"/>
          <w:sz w:val="23"/>
          <w:szCs w:val="23"/>
        </w:rPr>
        <w:t>其他乳制品6个大类。</w:t>
      </w:r>
    </w:p>
    <w:p w:rsidR="00EA40A3" w:rsidRDefault="00E86C16">
      <w:pPr>
        <w:spacing w:before="79" w:line="237" w:lineRule="auto"/>
        <w:ind w:firstLine="440"/>
        <w:jc w:val="both"/>
        <w:rPr>
          <w:rFonts w:ascii="宋体" w:eastAsia="宋体" w:hAnsi="宋体" w:cs="宋体"/>
          <w:sz w:val="23"/>
          <w:szCs w:val="23"/>
        </w:rPr>
      </w:pPr>
      <w:r>
        <w:rPr>
          <w:rFonts w:ascii="宋体" w:eastAsia="宋体" w:hAnsi="宋体" w:cs="宋体"/>
          <w:spacing w:val="-13"/>
          <w:sz w:val="23"/>
          <w:szCs w:val="23"/>
        </w:rPr>
        <w:t>牛乳及其制品是膳食中蛋白质、钙、磷、维生素A、</w:t>
      </w:r>
      <w:r>
        <w:rPr>
          <w:rFonts w:ascii="宋体" w:eastAsia="宋体" w:hAnsi="宋体" w:cs="宋体"/>
          <w:spacing w:val="-50"/>
          <w:sz w:val="23"/>
          <w:szCs w:val="23"/>
        </w:rPr>
        <w:t xml:space="preserve"> </w:t>
      </w:r>
      <w:r>
        <w:rPr>
          <w:rFonts w:ascii="宋体" w:eastAsia="宋体" w:hAnsi="宋体" w:cs="宋体"/>
          <w:spacing w:val="-14"/>
          <w:sz w:val="23"/>
          <w:szCs w:val="23"/>
        </w:rPr>
        <w:t>维生素D</w:t>
      </w:r>
      <w:r>
        <w:rPr>
          <w:rFonts w:ascii="宋体" w:eastAsia="宋体" w:hAnsi="宋体" w:cs="宋体"/>
          <w:spacing w:val="-16"/>
          <w:sz w:val="23"/>
          <w:szCs w:val="23"/>
        </w:rPr>
        <w:t xml:space="preserve"> </w:t>
      </w:r>
      <w:r>
        <w:rPr>
          <w:rFonts w:ascii="宋体" w:eastAsia="宋体" w:hAnsi="宋体" w:cs="宋体"/>
          <w:spacing w:val="-14"/>
          <w:sz w:val="23"/>
          <w:szCs w:val="23"/>
        </w:rPr>
        <w:t>和维生素B</w:t>
      </w:r>
      <w:r>
        <w:rPr>
          <w:rFonts w:ascii="Calibri" w:eastAsia="Calibri" w:hAnsi="Calibri" w:cs="Calibri"/>
          <w:spacing w:val="-14"/>
          <w:sz w:val="23"/>
          <w:szCs w:val="23"/>
        </w:rPr>
        <w:t>₂</w:t>
      </w:r>
      <w:r>
        <w:rPr>
          <w:rFonts w:ascii="Calibri" w:eastAsia="Calibri" w:hAnsi="Calibri" w:cs="Calibri"/>
          <w:sz w:val="23"/>
          <w:szCs w:val="23"/>
        </w:rPr>
        <w:t xml:space="preserve">   </w:t>
      </w:r>
      <w:r>
        <w:rPr>
          <w:rFonts w:ascii="宋体" w:eastAsia="宋体" w:hAnsi="宋体" w:cs="宋体"/>
          <w:spacing w:val="-3"/>
          <w:sz w:val="23"/>
          <w:szCs w:val="23"/>
        </w:rPr>
        <w:t>的重要来源之一。其中水分含量约占85%～88%</w:t>
      </w:r>
      <w:r>
        <w:rPr>
          <w:rFonts w:ascii="宋体" w:eastAsia="宋体" w:hAnsi="宋体" w:cs="宋体"/>
          <w:spacing w:val="-4"/>
          <w:sz w:val="23"/>
          <w:szCs w:val="23"/>
        </w:rPr>
        <w:t>,含有丰富的蛋白质、脂肪、</w:t>
      </w:r>
      <w:r>
        <w:rPr>
          <w:rFonts w:ascii="宋体" w:eastAsia="宋体" w:hAnsi="宋体" w:cs="宋体"/>
          <w:sz w:val="23"/>
          <w:szCs w:val="23"/>
        </w:rPr>
        <w:t xml:space="preserve"> </w:t>
      </w:r>
      <w:r>
        <w:rPr>
          <w:rFonts w:ascii="宋体" w:eastAsia="宋体" w:hAnsi="宋体" w:cs="宋体"/>
          <w:spacing w:val="-23"/>
          <w:sz w:val="23"/>
          <w:szCs w:val="23"/>
        </w:rPr>
        <w:t>碳水化合物、维生素和矿物质。在各种成分之中，以乳糖和矿物质的含量较为恒</w:t>
      </w:r>
      <w:r>
        <w:rPr>
          <w:rFonts w:ascii="宋体" w:eastAsia="宋体" w:hAnsi="宋体" w:cs="宋体"/>
          <w:spacing w:val="1"/>
          <w:sz w:val="23"/>
          <w:szCs w:val="23"/>
        </w:rPr>
        <w:t xml:space="preserve">  </w:t>
      </w:r>
      <w:r>
        <w:rPr>
          <w:rFonts w:ascii="宋体" w:eastAsia="宋体" w:hAnsi="宋体" w:cs="宋体"/>
          <w:spacing w:val="-22"/>
          <w:sz w:val="23"/>
          <w:szCs w:val="23"/>
        </w:rPr>
        <w:t>定，其他成分受到乳牛品种、哺乳期、所喂的饲料</w:t>
      </w:r>
      <w:r>
        <w:rPr>
          <w:rFonts w:ascii="宋体" w:eastAsia="宋体" w:hAnsi="宋体" w:cs="宋体"/>
          <w:spacing w:val="-23"/>
          <w:sz w:val="23"/>
          <w:szCs w:val="23"/>
        </w:rPr>
        <w:t>和各种环境因素的影响而有所</w:t>
      </w:r>
      <w:r>
        <w:rPr>
          <w:rFonts w:ascii="宋体" w:eastAsia="宋体" w:hAnsi="宋体" w:cs="宋体"/>
          <w:sz w:val="23"/>
          <w:szCs w:val="23"/>
        </w:rPr>
        <w:t xml:space="preserve"> </w:t>
      </w:r>
      <w:r>
        <w:rPr>
          <w:rFonts w:ascii="宋体" w:eastAsia="宋体" w:hAnsi="宋体" w:cs="宋体"/>
          <w:spacing w:val="-23"/>
          <w:sz w:val="23"/>
          <w:szCs w:val="23"/>
        </w:rPr>
        <w:t>波动。在各种乳汁成分中，乳脂肪变动幅度最大，蛋白质次之。市售鲜奶的脂肪</w:t>
      </w:r>
      <w:r>
        <w:rPr>
          <w:rFonts w:ascii="宋体" w:eastAsia="宋体" w:hAnsi="宋体" w:cs="宋体"/>
          <w:spacing w:val="2"/>
          <w:sz w:val="23"/>
          <w:szCs w:val="23"/>
        </w:rPr>
        <w:t xml:space="preserve">  </w:t>
      </w:r>
      <w:r>
        <w:rPr>
          <w:rFonts w:ascii="宋体" w:eastAsia="宋体" w:hAnsi="宋体" w:cs="宋体"/>
          <w:spacing w:val="-23"/>
          <w:sz w:val="23"/>
          <w:szCs w:val="23"/>
        </w:rPr>
        <w:t>和蛋白质含量是固定的。</w:t>
      </w:r>
    </w:p>
    <w:p w:rsidR="00EA40A3" w:rsidRDefault="00E86C16">
      <w:pPr>
        <w:spacing w:before="64" w:line="227" w:lineRule="auto"/>
        <w:ind w:right="82" w:firstLine="440"/>
        <w:jc w:val="both"/>
        <w:rPr>
          <w:rFonts w:ascii="宋体" w:eastAsia="宋体" w:hAnsi="宋体" w:cs="宋体"/>
          <w:sz w:val="23"/>
          <w:szCs w:val="23"/>
        </w:rPr>
      </w:pPr>
      <w:r>
        <w:rPr>
          <w:rFonts w:ascii="宋体" w:eastAsia="宋体" w:hAnsi="宋体" w:cs="宋体"/>
          <w:spacing w:val="-10"/>
          <w:sz w:val="23"/>
          <w:szCs w:val="23"/>
        </w:rPr>
        <w:t>母牛分娩后一周内的牛乳</w:t>
      </w:r>
      <w:r>
        <w:rPr>
          <w:rFonts w:ascii="宋体" w:eastAsia="宋体" w:hAnsi="宋体" w:cs="宋体"/>
          <w:spacing w:val="-11"/>
          <w:sz w:val="23"/>
          <w:szCs w:val="23"/>
        </w:rPr>
        <w:t>称为初乳</w:t>
      </w:r>
      <w:r>
        <w:rPr>
          <w:rFonts w:ascii="宋体" w:eastAsia="宋体" w:hAnsi="宋体" w:cs="宋体"/>
          <w:spacing w:val="-27"/>
          <w:sz w:val="23"/>
          <w:szCs w:val="23"/>
        </w:rPr>
        <w:t xml:space="preserve"> </w:t>
      </w:r>
      <w:r>
        <w:rPr>
          <w:rFonts w:ascii="宋体" w:eastAsia="宋体" w:hAnsi="宋体" w:cs="宋体"/>
          <w:spacing w:val="-11"/>
          <w:sz w:val="23"/>
          <w:szCs w:val="23"/>
        </w:rPr>
        <w:t>(</w:t>
      </w:r>
      <w:r>
        <w:rPr>
          <w:rFonts w:ascii="宋体" w:eastAsia="宋体" w:hAnsi="宋体" w:cs="宋体"/>
          <w:spacing w:val="-10"/>
          <w:sz w:val="23"/>
          <w:szCs w:val="23"/>
        </w:rPr>
        <w:t>colostrum</w:t>
      </w:r>
      <w:r>
        <w:rPr>
          <w:rFonts w:ascii="宋体" w:eastAsia="宋体" w:hAnsi="宋体" w:cs="宋体"/>
          <w:spacing w:val="-11"/>
          <w:sz w:val="23"/>
          <w:szCs w:val="23"/>
        </w:rPr>
        <w:t>),其成分与常乳有较大差</w:t>
      </w:r>
      <w:r>
        <w:rPr>
          <w:rFonts w:ascii="宋体" w:eastAsia="宋体" w:hAnsi="宋体" w:cs="宋体"/>
          <w:sz w:val="23"/>
          <w:szCs w:val="23"/>
        </w:rPr>
        <w:t xml:space="preserve"> </w:t>
      </w:r>
      <w:r>
        <w:rPr>
          <w:rFonts w:ascii="宋体" w:eastAsia="宋体" w:hAnsi="宋体" w:cs="宋体"/>
          <w:spacing w:val="-23"/>
          <w:sz w:val="23"/>
          <w:szCs w:val="23"/>
        </w:rPr>
        <w:t>异。乳牛患病时，其泌乳量下降，牛乳成分也发生改变。</w:t>
      </w:r>
    </w:p>
    <w:p w:rsidR="00EA40A3" w:rsidRDefault="00E86C16">
      <w:pPr>
        <w:spacing w:before="179" w:line="224" w:lineRule="auto"/>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18"/>
          <w:sz w:val="23"/>
          <w:szCs w:val="23"/>
        </w:rPr>
        <w:t xml:space="preserve"> </w:t>
      </w:r>
      <w:r>
        <w:rPr>
          <w:rFonts w:ascii="仿宋" w:eastAsia="仿宋" w:hAnsi="仿宋" w:cs="仿宋"/>
          <w:spacing w:val="-1"/>
          <w:sz w:val="23"/>
          <w:szCs w:val="23"/>
        </w:rPr>
        <w:t>蛋白质</w:t>
      </w:r>
    </w:p>
    <w:p w:rsidR="00EA40A3" w:rsidRDefault="00E86C16">
      <w:pPr>
        <w:spacing w:before="195" w:line="227" w:lineRule="auto"/>
        <w:ind w:right="86" w:firstLine="440"/>
        <w:rPr>
          <w:rFonts w:ascii="宋体" w:eastAsia="宋体" w:hAnsi="宋体" w:cs="宋体"/>
          <w:sz w:val="23"/>
          <w:szCs w:val="23"/>
        </w:rPr>
      </w:pPr>
      <w:r>
        <w:rPr>
          <w:rFonts w:ascii="宋体" w:eastAsia="宋体" w:hAnsi="宋体" w:cs="宋体"/>
          <w:spacing w:val="-5"/>
          <w:sz w:val="23"/>
          <w:szCs w:val="23"/>
        </w:rPr>
        <w:t>牛乳中的蛋白质含量比较恒定，约为3.0%～3.5%,含氮物</w:t>
      </w:r>
      <w:r>
        <w:rPr>
          <w:rFonts w:ascii="宋体" w:eastAsia="宋体" w:hAnsi="宋体" w:cs="宋体"/>
          <w:spacing w:val="-6"/>
          <w:sz w:val="23"/>
          <w:szCs w:val="23"/>
        </w:rPr>
        <w:t>的5%为非蛋白</w:t>
      </w:r>
      <w:r>
        <w:rPr>
          <w:rFonts w:ascii="宋体" w:eastAsia="宋体" w:hAnsi="宋体" w:cs="宋体"/>
          <w:sz w:val="23"/>
          <w:szCs w:val="23"/>
        </w:rPr>
        <w:t xml:space="preserve"> </w:t>
      </w:r>
      <w:r>
        <w:rPr>
          <w:rFonts w:ascii="宋体" w:eastAsia="宋体" w:hAnsi="宋体" w:cs="宋体"/>
          <w:spacing w:val="-18"/>
          <w:sz w:val="23"/>
          <w:szCs w:val="23"/>
        </w:rPr>
        <w:t>氮。其蛋白质中80%以上为酪蛋白，其他主要为乳清蛋白。</w:t>
      </w:r>
    </w:p>
    <w:p w:rsidR="00EA40A3" w:rsidRDefault="00E86C16">
      <w:pPr>
        <w:spacing w:before="40" w:line="242" w:lineRule="auto"/>
        <w:ind w:right="87" w:firstLine="440"/>
        <w:rPr>
          <w:rFonts w:ascii="宋体" w:eastAsia="宋体" w:hAnsi="宋体" w:cs="宋体"/>
          <w:sz w:val="23"/>
          <w:szCs w:val="23"/>
        </w:rPr>
      </w:pPr>
      <w:r>
        <w:rPr>
          <w:rFonts w:ascii="宋体" w:eastAsia="宋体" w:hAnsi="宋体" w:cs="宋体"/>
          <w:spacing w:val="-14"/>
          <w:sz w:val="23"/>
          <w:szCs w:val="23"/>
        </w:rPr>
        <w:t>凡20℃下于pH4.6</w:t>
      </w:r>
      <w:r>
        <w:rPr>
          <w:rFonts w:ascii="宋体" w:eastAsia="宋体" w:hAnsi="宋体" w:cs="宋体"/>
          <w:spacing w:val="-44"/>
          <w:sz w:val="23"/>
          <w:szCs w:val="23"/>
        </w:rPr>
        <w:t xml:space="preserve"> </w:t>
      </w:r>
      <w:r>
        <w:rPr>
          <w:rFonts w:ascii="宋体" w:eastAsia="宋体" w:hAnsi="宋体" w:cs="宋体"/>
          <w:spacing w:val="-14"/>
          <w:sz w:val="23"/>
          <w:szCs w:val="23"/>
        </w:rPr>
        <w:t>沉淀的牛乳蛋白被称为酪蛋白。酪蛋白是一种耐热蛋白</w:t>
      </w:r>
      <w:r>
        <w:rPr>
          <w:rFonts w:ascii="宋体" w:eastAsia="宋体" w:hAnsi="宋体" w:cs="宋体"/>
          <w:sz w:val="23"/>
          <w:szCs w:val="23"/>
        </w:rPr>
        <w:t xml:space="preserve"> </w:t>
      </w:r>
      <w:r>
        <w:rPr>
          <w:rFonts w:ascii="宋体" w:eastAsia="宋体" w:hAnsi="宋体" w:cs="宋体"/>
          <w:spacing w:val="-23"/>
          <w:sz w:val="23"/>
          <w:szCs w:val="23"/>
        </w:rPr>
        <w:t>质，但可在酸性条件下沉淀，酸奶和奶酪即是以这个原理制造的。在乳中，酪蛋</w:t>
      </w:r>
      <w:r>
        <w:rPr>
          <w:rFonts w:ascii="宋体" w:eastAsia="宋体" w:hAnsi="宋体" w:cs="宋体"/>
          <w:spacing w:val="3"/>
          <w:sz w:val="23"/>
          <w:szCs w:val="23"/>
        </w:rPr>
        <w:t xml:space="preserve"> </w:t>
      </w:r>
      <w:r>
        <w:rPr>
          <w:rFonts w:ascii="宋体" w:eastAsia="宋体" w:hAnsi="宋体" w:cs="宋体"/>
          <w:spacing w:val="-10"/>
          <w:sz w:val="23"/>
          <w:szCs w:val="23"/>
        </w:rPr>
        <w:t>白组成特定的四级结构——大小不等的酪蛋白胶束。酪蛋白微束的成分中</w:t>
      </w:r>
      <w:r>
        <w:rPr>
          <w:rFonts w:ascii="宋体" w:eastAsia="宋体" w:hAnsi="宋体" w:cs="宋体"/>
          <w:spacing w:val="-11"/>
          <w:sz w:val="23"/>
          <w:szCs w:val="23"/>
        </w:rPr>
        <w:t>约</w:t>
      </w:r>
      <w:r>
        <w:rPr>
          <w:rFonts w:ascii="宋体" w:eastAsia="宋体" w:hAnsi="宋体" w:cs="宋体"/>
          <w:sz w:val="23"/>
          <w:szCs w:val="23"/>
        </w:rPr>
        <w:t xml:space="preserve"> </w:t>
      </w:r>
      <w:r>
        <w:rPr>
          <w:rFonts w:ascii="宋体" w:eastAsia="宋体" w:hAnsi="宋体" w:cs="宋体"/>
          <w:spacing w:val="-23"/>
          <w:sz w:val="23"/>
          <w:szCs w:val="23"/>
        </w:rPr>
        <w:t>92%为蛋白质，其中as;酪蛋白：</w:t>
      </w:r>
      <w:r>
        <w:rPr>
          <w:rFonts w:ascii="宋体" w:eastAsia="宋体" w:hAnsi="宋体" w:cs="宋体"/>
          <w:spacing w:val="11"/>
          <w:sz w:val="23"/>
          <w:szCs w:val="23"/>
        </w:rPr>
        <w:t xml:space="preserve"> </w:t>
      </w:r>
      <w:r>
        <w:rPr>
          <w:rFonts w:ascii="宋体" w:eastAsia="宋体" w:hAnsi="宋体" w:cs="宋体"/>
          <w:spacing w:val="-23"/>
          <w:sz w:val="23"/>
          <w:szCs w:val="23"/>
        </w:rPr>
        <w:t>αs酪蛋白：β-酪蛋白：x-酪蛋白的大</w:t>
      </w:r>
      <w:r>
        <w:rPr>
          <w:rFonts w:ascii="宋体" w:eastAsia="宋体" w:hAnsi="宋体" w:cs="宋体"/>
          <w:spacing w:val="-24"/>
          <w:sz w:val="23"/>
          <w:szCs w:val="23"/>
        </w:rPr>
        <w:t>致摩尔比</w:t>
      </w:r>
      <w:r>
        <w:rPr>
          <w:rFonts w:ascii="宋体" w:eastAsia="宋体" w:hAnsi="宋体" w:cs="宋体"/>
          <w:sz w:val="23"/>
          <w:szCs w:val="23"/>
        </w:rPr>
        <w:t xml:space="preserve"> </w:t>
      </w:r>
      <w:r>
        <w:rPr>
          <w:rFonts w:ascii="宋体" w:eastAsia="宋体" w:hAnsi="宋体" w:cs="宋体"/>
          <w:spacing w:val="-1"/>
          <w:sz w:val="23"/>
          <w:szCs w:val="23"/>
        </w:rPr>
        <w:t>为3:1:3:1。另外8%为矿物质，主要是磷酸钙，但也有部分Mg²+</w:t>
      </w:r>
      <w:r>
        <w:rPr>
          <w:rFonts w:ascii="宋体" w:eastAsia="宋体" w:hAnsi="宋体" w:cs="宋体"/>
          <w:spacing w:val="-54"/>
          <w:sz w:val="23"/>
          <w:szCs w:val="23"/>
        </w:rPr>
        <w:t xml:space="preserve"> </w:t>
      </w:r>
      <w:r>
        <w:rPr>
          <w:rFonts w:ascii="宋体" w:eastAsia="宋体" w:hAnsi="宋体" w:cs="宋体"/>
          <w:spacing w:val="-1"/>
          <w:sz w:val="23"/>
          <w:szCs w:val="23"/>
        </w:rPr>
        <w:t>和柠</w:t>
      </w:r>
      <w:r>
        <w:rPr>
          <w:rFonts w:ascii="宋体" w:eastAsia="宋体" w:hAnsi="宋体" w:cs="宋体"/>
          <w:spacing w:val="-2"/>
          <w:sz w:val="23"/>
          <w:szCs w:val="23"/>
        </w:rPr>
        <w:t>檬酸</w:t>
      </w:r>
    </w:p>
    <w:p w:rsidR="00EA40A3" w:rsidRDefault="00E86C16">
      <w:pPr>
        <w:spacing w:before="105"/>
        <w:ind w:right="121"/>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215</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85" w:bottom="400" w:left="879" w:header="0" w:footer="0" w:gutter="0"/>
          <w:cols w:space="720"/>
        </w:sectPr>
      </w:pPr>
    </w:p>
    <w:p w:rsidR="00EA40A3" w:rsidRDefault="00EA40A3">
      <w:pPr>
        <w:spacing w:line="280" w:lineRule="auto"/>
      </w:pPr>
    </w:p>
    <w:p w:rsidR="00EA40A3" w:rsidRDefault="00EA40A3">
      <w:pPr>
        <w:spacing w:line="281" w:lineRule="auto"/>
      </w:pPr>
    </w:p>
    <w:p w:rsidR="00EA40A3" w:rsidRDefault="00E86C16">
      <w:pPr>
        <w:spacing w:before="74" w:line="230" w:lineRule="auto"/>
        <w:ind w:left="114" w:right="106"/>
        <w:rPr>
          <w:rFonts w:ascii="宋体" w:eastAsia="宋体" w:hAnsi="宋体" w:cs="宋体"/>
          <w:sz w:val="23"/>
          <w:szCs w:val="23"/>
        </w:rPr>
      </w:pPr>
      <w:r>
        <w:rPr>
          <w:rFonts w:ascii="宋体" w:eastAsia="宋体" w:hAnsi="宋体" w:cs="宋体"/>
          <w:spacing w:val="-23"/>
          <w:sz w:val="23"/>
          <w:szCs w:val="23"/>
        </w:rPr>
        <w:t>盐。巴氏消毒或超高温杀菌均会不可逆地增加胶体磷酸钙的含量，而降低离子化</w:t>
      </w:r>
      <w:r>
        <w:rPr>
          <w:rFonts w:ascii="宋体" w:eastAsia="宋体" w:hAnsi="宋体" w:cs="宋体"/>
          <w:spacing w:val="12"/>
          <w:sz w:val="23"/>
          <w:szCs w:val="23"/>
        </w:rPr>
        <w:t xml:space="preserve"> </w:t>
      </w:r>
      <w:r>
        <w:rPr>
          <w:rFonts w:ascii="宋体" w:eastAsia="宋体" w:hAnsi="宋体" w:cs="宋体"/>
          <w:spacing w:val="-24"/>
          <w:sz w:val="23"/>
          <w:szCs w:val="23"/>
        </w:rPr>
        <w:t>钙和可溶性磷酸的含量。</w:t>
      </w:r>
    </w:p>
    <w:p w:rsidR="00EA40A3" w:rsidRDefault="00E86C16">
      <w:pPr>
        <w:spacing w:before="36" w:line="230" w:lineRule="auto"/>
        <w:ind w:left="114" w:firstLine="430"/>
        <w:rPr>
          <w:rFonts w:ascii="宋体" w:eastAsia="宋体" w:hAnsi="宋体" w:cs="宋体"/>
          <w:sz w:val="23"/>
          <w:szCs w:val="23"/>
        </w:rPr>
      </w:pPr>
      <w:r>
        <w:rPr>
          <w:rFonts w:ascii="宋体" w:eastAsia="宋体" w:hAnsi="宋体" w:cs="宋体"/>
          <w:spacing w:val="-19"/>
          <w:sz w:val="23"/>
          <w:szCs w:val="23"/>
        </w:rPr>
        <w:t>乳清中的蛋白质属于乳清蛋白，其中主要包括β-乳球</w:t>
      </w:r>
      <w:r>
        <w:rPr>
          <w:rFonts w:ascii="宋体" w:eastAsia="宋体" w:hAnsi="宋体" w:cs="宋体"/>
          <w:spacing w:val="-20"/>
          <w:sz w:val="23"/>
          <w:szCs w:val="23"/>
        </w:rPr>
        <w:t>蛋白和α-乳清蛋白，</w:t>
      </w:r>
      <w:r>
        <w:rPr>
          <w:rFonts w:ascii="宋体" w:eastAsia="宋体" w:hAnsi="宋体" w:cs="宋体"/>
          <w:sz w:val="23"/>
          <w:szCs w:val="23"/>
        </w:rPr>
        <w:t xml:space="preserve"> </w:t>
      </w:r>
      <w:r>
        <w:rPr>
          <w:rFonts w:ascii="宋体" w:eastAsia="宋体" w:hAnsi="宋体" w:cs="宋体"/>
          <w:spacing w:val="-23"/>
          <w:sz w:val="23"/>
          <w:szCs w:val="23"/>
        </w:rPr>
        <w:t>此外还有少量血清蛋白、免疫球蛋白等。</w:t>
      </w:r>
    </w:p>
    <w:p w:rsidR="00EA40A3" w:rsidRDefault="00E86C16">
      <w:pPr>
        <w:spacing w:before="34" w:line="231" w:lineRule="auto"/>
        <w:ind w:left="115" w:right="85" w:firstLine="430"/>
        <w:rPr>
          <w:rFonts w:ascii="宋体" w:eastAsia="宋体" w:hAnsi="宋体" w:cs="宋体"/>
          <w:sz w:val="23"/>
          <w:szCs w:val="23"/>
        </w:rPr>
      </w:pPr>
      <w:r>
        <w:rPr>
          <w:rFonts w:ascii="宋体" w:eastAsia="宋体" w:hAnsi="宋体" w:cs="宋体"/>
          <w:spacing w:val="-18"/>
          <w:sz w:val="23"/>
          <w:szCs w:val="23"/>
        </w:rPr>
        <w:t>牛乳蛋白质为优质蛋白，容易为人体消化吸收</w:t>
      </w:r>
      <w:r>
        <w:rPr>
          <w:rFonts w:ascii="宋体" w:eastAsia="宋体" w:hAnsi="宋体" w:cs="宋体"/>
          <w:spacing w:val="-19"/>
          <w:sz w:val="23"/>
          <w:szCs w:val="23"/>
        </w:rPr>
        <w:t>，生物价为85,并能与谷类蛋</w:t>
      </w:r>
      <w:r>
        <w:rPr>
          <w:rFonts w:ascii="宋体" w:eastAsia="宋体" w:hAnsi="宋体" w:cs="宋体"/>
          <w:sz w:val="23"/>
          <w:szCs w:val="23"/>
        </w:rPr>
        <w:t xml:space="preserve"> </w:t>
      </w:r>
      <w:r>
        <w:rPr>
          <w:rFonts w:ascii="宋体" w:eastAsia="宋体" w:hAnsi="宋体" w:cs="宋体"/>
          <w:spacing w:val="-26"/>
          <w:sz w:val="23"/>
          <w:szCs w:val="23"/>
        </w:rPr>
        <w:t>白质发生营养互补作用。</w:t>
      </w:r>
    </w:p>
    <w:p w:rsidR="00EA40A3" w:rsidRDefault="00E86C16">
      <w:pPr>
        <w:spacing w:before="31" w:line="238" w:lineRule="auto"/>
        <w:ind w:left="114" w:right="88" w:firstLine="430"/>
        <w:rPr>
          <w:rFonts w:ascii="宋体" w:eastAsia="宋体" w:hAnsi="宋体" w:cs="宋体"/>
          <w:sz w:val="23"/>
          <w:szCs w:val="23"/>
        </w:rPr>
      </w:pPr>
      <w:r>
        <w:rPr>
          <w:rFonts w:ascii="宋体" w:eastAsia="宋体" w:hAnsi="宋体" w:cs="宋体"/>
          <w:spacing w:val="9"/>
          <w:sz w:val="23"/>
          <w:szCs w:val="23"/>
        </w:rPr>
        <w:t>羊奶的蛋白质含量为3.5%～3.8%,略高于牛乳。此外</w:t>
      </w:r>
      <w:r>
        <w:rPr>
          <w:rFonts w:ascii="宋体" w:eastAsia="宋体" w:hAnsi="宋体" w:cs="宋体"/>
          <w:spacing w:val="8"/>
          <w:sz w:val="23"/>
          <w:szCs w:val="23"/>
        </w:rPr>
        <w:t>，羊奶蛋白质</w:t>
      </w:r>
      <w:r>
        <w:rPr>
          <w:rFonts w:ascii="宋体" w:eastAsia="宋体" w:hAnsi="宋体" w:cs="宋体"/>
          <w:sz w:val="23"/>
          <w:szCs w:val="23"/>
        </w:rPr>
        <w:t xml:space="preserve"> </w:t>
      </w:r>
      <w:r>
        <w:rPr>
          <w:rFonts w:ascii="宋体" w:eastAsia="宋体" w:hAnsi="宋体" w:cs="宋体"/>
          <w:spacing w:val="-13"/>
          <w:sz w:val="23"/>
          <w:szCs w:val="23"/>
        </w:rPr>
        <w:t>当中酪蛋白的含量较牛奶略低，其中所含的</w:t>
      </w:r>
      <w:r>
        <w:rPr>
          <w:rFonts w:ascii="宋体" w:eastAsia="宋体" w:hAnsi="宋体" w:cs="宋体"/>
          <w:spacing w:val="-45"/>
          <w:sz w:val="23"/>
          <w:szCs w:val="23"/>
        </w:rPr>
        <w:t xml:space="preserve"> </w:t>
      </w:r>
      <w:r>
        <w:rPr>
          <w:rFonts w:ascii="宋体" w:eastAsia="宋体" w:hAnsi="宋体" w:cs="宋体"/>
          <w:spacing w:val="-13"/>
          <w:sz w:val="23"/>
          <w:szCs w:val="23"/>
        </w:rPr>
        <w:t>αs</w:t>
      </w:r>
      <w:r>
        <w:rPr>
          <w:rFonts w:ascii="宋体" w:eastAsia="宋体" w:hAnsi="宋体" w:cs="宋体"/>
          <w:spacing w:val="-11"/>
          <w:sz w:val="23"/>
          <w:szCs w:val="23"/>
        </w:rPr>
        <w:t xml:space="preserve"> </w:t>
      </w:r>
      <w:r>
        <w:rPr>
          <w:rFonts w:ascii="宋体" w:eastAsia="宋体" w:hAnsi="宋体" w:cs="宋体"/>
          <w:spacing w:val="-13"/>
          <w:sz w:val="23"/>
          <w:szCs w:val="23"/>
        </w:rPr>
        <w:t>酪蛋白在胃中所形成的凝乳</w:t>
      </w:r>
      <w:r>
        <w:rPr>
          <w:rFonts w:ascii="宋体" w:eastAsia="宋体" w:hAnsi="宋体" w:cs="宋体"/>
          <w:sz w:val="23"/>
          <w:szCs w:val="23"/>
        </w:rPr>
        <w:t xml:space="preserve"> 块较小而细软，更容易消化。婴儿消化羊奶的消化率可达94%以上。水牛</w:t>
      </w:r>
      <w:r>
        <w:rPr>
          <w:rFonts w:ascii="宋体" w:eastAsia="宋体" w:hAnsi="宋体" w:cs="宋体"/>
          <w:spacing w:val="17"/>
          <w:sz w:val="23"/>
          <w:szCs w:val="23"/>
        </w:rPr>
        <w:t xml:space="preserve"> </w:t>
      </w:r>
      <w:r>
        <w:rPr>
          <w:rFonts w:ascii="宋体" w:eastAsia="宋体" w:hAnsi="宋体" w:cs="宋体"/>
          <w:sz w:val="23"/>
          <w:szCs w:val="23"/>
        </w:rPr>
        <w:t>奶的蛋白质含量明显高于普通牛奶，为4.56%。水牛奶酪蛋白胶粒体积大</w:t>
      </w:r>
      <w:r>
        <w:rPr>
          <w:rFonts w:ascii="宋体" w:eastAsia="宋体" w:hAnsi="宋体" w:cs="宋体"/>
          <w:spacing w:val="14"/>
          <w:sz w:val="23"/>
          <w:szCs w:val="23"/>
        </w:rPr>
        <w:t xml:space="preserve"> </w:t>
      </w:r>
      <w:r>
        <w:rPr>
          <w:rFonts w:ascii="宋体" w:eastAsia="宋体" w:hAnsi="宋体" w:cs="宋体"/>
          <w:spacing w:val="-19"/>
          <w:sz w:val="23"/>
          <w:szCs w:val="23"/>
        </w:rPr>
        <w:t>于乳牛奶。</w:t>
      </w:r>
    </w:p>
    <w:p w:rsidR="00EA40A3" w:rsidRDefault="00E86C16">
      <w:pPr>
        <w:spacing w:before="202" w:line="223" w:lineRule="auto"/>
        <w:ind w:left="115"/>
        <w:rPr>
          <w:rFonts w:ascii="仿宋" w:eastAsia="仿宋" w:hAnsi="仿宋" w:cs="仿宋"/>
          <w:sz w:val="23"/>
          <w:szCs w:val="23"/>
        </w:rPr>
      </w:pPr>
      <w:r>
        <w:rPr>
          <w:rFonts w:ascii="仿宋" w:eastAsia="仿宋" w:hAnsi="仿宋" w:cs="仿宋"/>
          <w:spacing w:val="4"/>
          <w:sz w:val="23"/>
          <w:szCs w:val="23"/>
        </w:rPr>
        <w:t>2.</w:t>
      </w:r>
      <w:r>
        <w:rPr>
          <w:rFonts w:ascii="仿宋" w:eastAsia="仿宋" w:hAnsi="仿宋" w:cs="仿宋"/>
          <w:spacing w:val="-35"/>
          <w:sz w:val="23"/>
          <w:szCs w:val="23"/>
        </w:rPr>
        <w:t xml:space="preserve"> </w:t>
      </w:r>
      <w:r>
        <w:rPr>
          <w:rFonts w:ascii="仿宋" w:eastAsia="仿宋" w:hAnsi="仿宋" w:cs="仿宋"/>
          <w:spacing w:val="4"/>
          <w:sz w:val="23"/>
          <w:szCs w:val="23"/>
        </w:rPr>
        <w:t>脂肪</w:t>
      </w:r>
    </w:p>
    <w:p w:rsidR="00EA40A3" w:rsidRDefault="00E86C16">
      <w:pPr>
        <w:spacing w:before="190" w:line="236" w:lineRule="auto"/>
        <w:ind w:left="114" w:right="40" w:firstLine="430"/>
        <w:jc w:val="both"/>
        <w:rPr>
          <w:rFonts w:ascii="宋体" w:eastAsia="宋体" w:hAnsi="宋体" w:cs="宋体"/>
          <w:sz w:val="23"/>
          <w:szCs w:val="23"/>
        </w:rPr>
      </w:pPr>
      <w:r>
        <w:rPr>
          <w:rFonts w:ascii="宋体" w:eastAsia="宋体" w:hAnsi="宋体" w:cs="宋体"/>
          <w:spacing w:val="-5"/>
          <w:sz w:val="23"/>
          <w:szCs w:val="23"/>
        </w:rPr>
        <w:t>天然牛乳中的脂肪含量为2.8%～4.0%,以微脂肪球</w:t>
      </w:r>
      <w:r>
        <w:rPr>
          <w:rFonts w:ascii="宋体" w:eastAsia="宋体" w:hAnsi="宋体" w:cs="宋体"/>
          <w:spacing w:val="-6"/>
          <w:sz w:val="23"/>
          <w:szCs w:val="23"/>
        </w:rPr>
        <w:t>的形式分散于牛乳汁</w:t>
      </w:r>
      <w:r>
        <w:rPr>
          <w:rFonts w:ascii="宋体" w:eastAsia="宋体" w:hAnsi="宋体" w:cs="宋体"/>
          <w:sz w:val="23"/>
          <w:szCs w:val="23"/>
        </w:rPr>
        <w:t xml:space="preserve"> </w:t>
      </w:r>
      <w:r>
        <w:rPr>
          <w:rFonts w:ascii="宋体" w:eastAsia="宋体" w:hAnsi="宋体" w:cs="宋体"/>
          <w:spacing w:val="-14"/>
          <w:sz w:val="23"/>
          <w:szCs w:val="23"/>
        </w:rPr>
        <w:t>中，呈很好的乳化状态，容易消化。每毫升牛乳中约有脂肪球20亿～40亿个，</w:t>
      </w:r>
      <w:r>
        <w:rPr>
          <w:rFonts w:ascii="宋体" w:eastAsia="宋体" w:hAnsi="宋体" w:cs="宋体"/>
          <w:spacing w:val="7"/>
          <w:sz w:val="23"/>
          <w:szCs w:val="23"/>
        </w:rPr>
        <w:t xml:space="preserve"> </w:t>
      </w:r>
      <w:r>
        <w:rPr>
          <w:rFonts w:ascii="宋体" w:eastAsia="宋体" w:hAnsi="宋体" w:cs="宋体"/>
          <w:spacing w:val="-11"/>
          <w:sz w:val="23"/>
          <w:szCs w:val="23"/>
        </w:rPr>
        <w:t>平均直径为3</w:t>
      </w:r>
      <w:r>
        <w:rPr>
          <w:rFonts w:ascii="宋体" w:eastAsia="宋体" w:hAnsi="宋体" w:cs="宋体"/>
          <w:spacing w:val="-46"/>
          <w:sz w:val="23"/>
          <w:szCs w:val="23"/>
        </w:rPr>
        <w:t xml:space="preserve"> </w:t>
      </w:r>
      <w:r>
        <w:rPr>
          <w:rFonts w:ascii="宋体" w:eastAsia="宋体" w:hAnsi="宋体" w:cs="宋体"/>
          <w:spacing w:val="-11"/>
          <w:sz w:val="23"/>
          <w:szCs w:val="23"/>
        </w:rPr>
        <w:t>μm。羊奶中的脂肪球大小仅为牛奶的脂肪球的1/3,而且大小均</w:t>
      </w:r>
      <w:r>
        <w:rPr>
          <w:rFonts w:ascii="宋体" w:eastAsia="宋体" w:hAnsi="宋体" w:cs="宋体"/>
          <w:sz w:val="23"/>
          <w:szCs w:val="23"/>
        </w:rPr>
        <w:t xml:space="preserve"> </w:t>
      </w:r>
      <w:r>
        <w:rPr>
          <w:rFonts w:ascii="宋体" w:eastAsia="宋体" w:hAnsi="宋体" w:cs="宋体"/>
          <w:spacing w:val="-26"/>
          <w:sz w:val="23"/>
          <w:szCs w:val="23"/>
        </w:rPr>
        <w:t>一，容易消化吸收。</w:t>
      </w:r>
    </w:p>
    <w:p w:rsidR="00EA40A3" w:rsidRDefault="00E86C16">
      <w:pPr>
        <w:spacing w:before="54" w:line="237" w:lineRule="auto"/>
        <w:ind w:left="114" w:firstLine="430"/>
        <w:jc w:val="both"/>
        <w:rPr>
          <w:rFonts w:ascii="宋体" w:eastAsia="宋体" w:hAnsi="宋体" w:cs="宋体"/>
          <w:sz w:val="23"/>
          <w:szCs w:val="23"/>
        </w:rPr>
      </w:pPr>
      <w:r>
        <w:rPr>
          <w:rFonts w:ascii="宋体" w:eastAsia="宋体" w:hAnsi="宋体" w:cs="宋体"/>
          <w:spacing w:val="-16"/>
          <w:sz w:val="23"/>
          <w:szCs w:val="23"/>
        </w:rPr>
        <w:t>牛乳中的脂类主要由甘油三酯组成，已被分离出来的脂肪酸达400种之多，</w:t>
      </w:r>
      <w:r>
        <w:rPr>
          <w:rFonts w:ascii="宋体" w:eastAsia="宋体" w:hAnsi="宋体" w:cs="宋体"/>
          <w:spacing w:val="2"/>
          <w:sz w:val="23"/>
          <w:szCs w:val="23"/>
        </w:rPr>
        <w:t xml:space="preserve"> </w:t>
      </w:r>
      <w:r>
        <w:rPr>
          <w:rFonts w:ascii="宋体" w:eastAsia="宋体" w:hAnsi="宋体" w:cs="宋体"/>
          <w:spacing w:val="-10"/>
          <w:sz w:val="23"/>
          <w:szCs w:val="23"/>
        </w:rPr>
        <w:t>其中饱和脂肪酸占95%以上，还有少量的甘油单酯、</w:t>
      </w:r>
      <w:r>
        <w:rPr>
          <w:rFonts w:ascii="宋体" w:eastAsia="宋体" w:hAnsi="宋体" w:cs="宋体"/>
          <w:spacing w:val="-11"/>
          <w:sz w:val="23"/>
          <w:szCs w:val="23"/>
        </w:rPr>
        <w:t>甘油二酯、磷脂、鞘脂、</w:t>
      </w:r>
      <w:r>
        <w:rPr>
          <w:rFonts w:ascii="宋体" w:eastAsia="宋体" w:hAnsi="宋体" w:cs="宋体"/>
          <w:sz w:val="23"/>
          <w:szCs w:val="23"/>
        </w:rPr>
        <w:t xml:space="preserve"> </w:t>
      </w:r>
      <w:r>
        <w:rPr>
          <w:rFonts w:ascii="宋体" w:eastAsia="宋体" w:hAnsi="宋体" w:cs="宋体"/>
          <w:spacing w:val="-23"/>
          <w:sz w:val="23"/>
          <w:szCs w:val="23"/>
        </w:rPr>
        <w:t>固醇类，还有角鲨烯、类胡萝卜素和脂溶性维生素等。由于牛是反刍动物，乳脂</w:t>
      </w:r>
      <w:r>
        <w:rPr>
          <w:rFonts w:ascii="宋体" w:eastAsia="宋体" w:hAnsi="宋体" w:cs="宋体"/>
          <w:spacing w:val="7"/>
          <w:sz w:val="23"/>
          <w:szCs w:val="23"/>
        </w:rPr>
        <w:t xml:space="preserve">  </w:t>
      </w:r>
      <w:r>
        <w:rPr>
          <w:rFonts w:ascii="宋体" w:eastAsia="宋体" w:hAnsi="宋体" w:cs="宋体"/>
          <w:spacing w:val="-13"/>
          <w:sz w:val="23"/>
          <w:szCs w:val="23"/>
        </w:rPr>
        <w:t>中短链脂肪酸如丁酸、已酸等含量较高，挥发性、水溶性脂</w:t>
      </w:r>
      <w:r>
        <w:rPr>
          <w:rFonts w:ascii="宋体" w:eastAsia="宋体" w:hAnsi="宋体" w:cs="宋体"/>
          <w:spacing w:val="-14"/>
          <w:sz w:val="23"/>
          <w:szCs w:val="23"/>
        </w:rPr>
        <w:t>肪酸达8%,使牛乳</w:t>
      </w:r>
      <w:r>
        <w:rPr>
          <w:rFonts w:ascii="宋体" w:eastAsia="宋体" w:hAnsi="宋体" w:cs="宋体"/>
          <w:sz w:val="23"/>
          <w:szCs w:val="23"/>
        </w:rPr>
        <w:t xml:space="preserve">  </w:t>
      </w:r>
      <w:r>
        <w:rPr>
          <w:rFonts w:ascii="宋体" w:eastAsia="宋体" w:hAnsi="宋体" w:cs="宋体"/>
          <w:spacing w:val="-24"/>
          <w:sz w:val="23"/>
          <w:szCs w:val="23"/>
        </w:rPr>
        <w:t>具有特殊的风味，其中丁酸是反刍动物乳脂中的特有脂肪酸。</w:t>
      </w:r>
    </w:p>
    <w:p w:rsidR="00EA40A3" w:rsidRDefault="00E86C16">
      <w:pPr>
        <w:spacing w:before="60" w:line="230" w:lineRule="auto"/>
        <w:ind w:left="114" w:right="102" w:firstLine="430"/>
        <w:jc w:val="both"/>
        <w:rPr>
          <w:rFonts w:ascii="宋体" w:eastAsia="宋体" w:hAnsi="宋体" w:cs="宋体"/>
          <w:sz w:val="23"/>
          <w:szCs w:val="23"/>
        </w:rPr>
      </w:pPr>
      <w:r>
        <w:rPr>
          <w:rFonts w:ascii="宋体" w:eastAsia="宋体" w:hAnsi="宋体" w:cs="宋体"/>
          <w:spacing w:val="-12"/>
          <w:sz w:val="23"/>
          <w:szCs w:val="23"/>
        </w:rPr>
        <w:t>乳中磷脂含量约为20～50mg/100mL,</w:t>
      </w:r>
      <w:r>
        <w:rPr>
          <w:rFonts w:ascii="宋体" w:eastAsia="宋体" w:hAnsi="宋体" w:cs="宋体"/>
          <w:spacing w:val="34"/>
          <w:sz w:val="23"/>
          <w:szCs w:val="23"/>
        </w:rPr>
        <w:t xml:space="preserve"> </w:t>
      </w:r>
      <w:r>
        <w:rPr>
          <w:rFonts w:ascii="宋体" w:eastAsia="宋体" w:hAnsi="宋体" w:cs="宋体"/>
          <w:spacing w:val="-12"/>
          <w:sz w:val="23"/>
          <w:szCs w:val="23"/>
        </w:rPr>
        <w:t>胆固醇含量约为13mg/100mL。</w:t>
      </w:r>
      <w:r>
        <w:rPr>
          <w:rFonts w:ascii="宋体" w:eastAsia="宋体" w:hAnsi="宋体" w:cs="宋体"/>
          <w:spacing w:val="56"/>
          <w:sz w:val="23"/>
          <w:szCs w:val="23"/>
        </w:rPr>
        <w:t xml:space="preserve"> </w:t>
      </w:r>
      <w:r>
        <w:rPr>
          <w:rFonts w:ascii="宋体" w:eastAsia="宋体" w:hAnsi="宋体" w:cs="宋体"/>
          <w:spacing w:val="-12"/>
          <w:sz w:val="23"/>
          <w:szCs w:val="23"/>
        </w:rPr>
        <w:t>水牛</w:t>
      </w:r>
      <w:r>
        <w:rPr>
          <w:rFonts w:ascii="宋体" w:eastAsia="宋体" w:hAnsi="宋体" w:cs="宋体"/>
          <w:sz w:val="23"/>
          <w:szCs w:val="23"/>
        </w:rPr>
        <w:t xml:space="preserve"> </w:t>
      </w:r>
      <w:r>
        <w:rPr>
          <w:rFonts w:ascii="宋体" w:eastAsia="宋体" w:hAnsi="宋体" w:cs="宋体"/>
          <w:spacing w:val="-12"/>
          <w:sz w:val="23"/>
          <w:szCs w:val="23"/>
        </w:rPr>
        <w:t>奶脂肪含量在各种奶类当中最高，为9.5%～12.5%。随饲料的不同、季节的变</w:t>
      </w:r>
      <w:r>
        <w:rPr>
          <w:rFonts w:ascii="宋体" w:eastAsia="宋体" w:hAnsi="宋体" w:cs="宋体"/>
          <w:spacing w:val="9"/>
          <w:sz w:val="23"/>
          <w:szCs w:val="23"/>
        </w:rPr>
        <w:t xml:space="preserve"> </w:t>
      </w:r>
      <w:r>
        <w:rPr>
          <w:rFonts w:ascii="宋体" w:eastAsia="宋体" w:hAnsi="宋体" w:cs="宋体"/>
          <w:spacing w:val="-25"/>
          <w:sz w:val="23"/>
          <w:szCs w:val="23"/>
        </w:rPr>
        <w:t>化，乳中脂类成分略有变化。</w:t>
      </w:r>
    </w:p>
    <w:p w:rsidR="00EA40A3" w:rsidRDefault="00E86C16">
      <w:pPr>
        <w:spacing w:before="184" w:line="221" w:lineRule="auto"/>
        <w:ind w:left="114"/>
        <w:rPr>
          <w:rFonts w:ascii="仿宋" w:eastAsia="仿宋" w:hAnsi="仿宋" w:cs="仿宋"/>
          <w:sz w:val="23"/>
          <w:szCs w:val="23"/>
        </w:rPr>
      </w:pPr>
      <w:r>
        <w:rPr>
          <w:rFonts w:ascii="仿宋" w:eastAsia="仿宋" w:hAnsi="仿宋" w:cs="仿宋"/>
          <w:spacing w:val="4"/>
          <w:sz w:val="23"/>
          <w:szCs w:val="23"/>
        </w:rPr>
        <w:t>3.</w:t>
      </w:r>
      <w:r>
        <w:rPr>
          <w:rFonts w:ascii="仿宋" w:eastAsia="仿宋" w:hAnsi="仿宋" w:cs="仿宋"/>
          <w:spacing w:val="-28"/>
          <w:sz w:val="23"/>
          <w:szCs w:val="23"/>
        </w:rPr>
        <w:t xml:space="preserve"> </w:t>
      </w:r>
      <w:r>
        <w:rPr>
          <w:rFonts w:ascii="仿宋" w:eastAsia="仿宋" w:hAnsi="仿宋" w:cs="仿宋"/>
          <w:spacing w:val="4"/>
          <w:sz w:val="23"/>
          <w:szCs w:val="23"/>
        </w:rPr>
        <w:t>碳水化合物</w:t>
      </w:r>
    </w:p>
    <w:p w:rsidR="00EA40A3" w:rsidRDefault="00E86C16">
      <w:pPr>
        <w:spacing w:before="194" w:line="227" w:lineRule="auto"/>
        <w:ind w:left="114" w:right="84" w:firstLine="430"/>
        <w:rPr>
          <w:rFonts w:ascii="宋体" w:eastAsia="宋体" w:hAnsi="宋体" w:cs="宋体"/>
          <w:sz w:val="23"/>
          <w:szCs w:val="23"/>
        </w:rPr>
      </w:pPr>
      <w:r>
        <w:rPr>
          <w:rFonts w:ascii="宋体" w:eastAsia="宋体" w:hAnsi="宋体" w:cs="宋体"/>
          <w:spacing w:val="-12"/>
          <w:sz w:val="23"/>
          <w:szCs w:val="23"/>
        </w:rPr>
        <w:t>乳糖几乎是天然牛乳中唯一的碳水化合物，含量约占4.6%,占牛奶中碳水</w:t>
      </w:r>
      <w:r>
        <w:rPr>
          <w:rFonts w:ascii="宋体" w:eastAsia="宋体" w:hAnsi="宋体" w:cs="宋体"/>
          <w:spacing w:val="12"/>
          <w:sz w:val="23"/>
          <w:szCs w:val="23"/>
        </w:rPr>
        <w:t xml:space="preserve"> </w:t>
      </w:r>
      <w:r>
        <w:rPr>
          <w:rFonts w:ascii="宋体" w:eastAsia="宋体" w:hAnsi="宋体" w:cs="宋体"/>
          <w:spacing w:val="-14"/>
          <w:sz w:val="23"/>
          <w:szCs w:val="23"/>
        </w:rPr>
        <w:t>化合物的99.8%。羊奶中的乳糖含量与牛奶基本一致。</w:t>
      </w:r>
    </w:p>
    <w:p w:rsidR="00EA40A3" w:rsidRDefault="00E86C16">
      <w:pPr>
        <w:spacing w:before="66" w:line="238" w:lineRule="auto"/>
        <w:ind w:right="20" w:firstLine="545"/>
        <w:rPr>
          <w:rFonts w:ascii="宋体" w:eastAsia="宋体" w:hAnsi="宋体" w:cs="宋体"/>
          <w:sz w:val="23"/>
          <w:szCs w:val="23"/>
        </w:rPr>
      </w:pPr>
      <w:r>
        <w:rPr>
          <w:rFonts w:ascii="宋体" w:eastAsia="宋体" w:hAnsi="宋体" w:cs="宋体"/>
          <w:spacing w:val="-21"/>
          <w:sz w:val="23"/>
          <w:szCs w:val="23"/>
        </w:rPr>
        <w:t>乳糖容易为婴幼儿消化吸收，而且具备蔗糖、葡萄糖等所没有的特殊优点：</w:t>
      </w:r>
      <w:r>
        <w:rPr>
          <w:rFonts w:ascii="宋体" w:eastAsia="宋体" w:hAnsi="宋体" w:cs="宋体"/>
          <w:spacing w:val="16"/>
          <w:sz w:val="23"/>
          <w:szCs w:val="23"/>
        </w:rPr>
        <w:t xml:space="preserve"> </w:t>
      </w:r>
      <w:r>
        <w:rPr>
          <w:rFonts w:ascii="宋体" w:eastAsia="宋体" w:hAnsi="宋体" w:cs="宋体"/>
          <w:spacing w:val="-19"/>
          <w:sz w:val="23"/>
          <w:szCs w:val="23"/>
        </w:rPr>
        <w:t>促进钙、铁、锌等矿物质的吸收，提高其生物利用率；促进肠内乳酸细</w:t>
      </w:r>
      <w:r>
        <w:rPr>
          <w:rFonts w:ascii="宋体" w:eastAsia="宋体" w:hAnsi="宋体" w:cs="宋体"/>
          <w:spacing w:val="-20"/>
          <w:sz w:val="23"/>
          <w:szCs w:val="23"/>
        </w:rPr>
        <w:t>菌，特别</w:t>
      </w:r>
      <w:r>
        <w:rPr>
          <w:rFonts w:ascii="宋体" w:eastAsia="宋体" w:hAnsi="宋体" w:cs="宋体"/>
          <w:sz w:val="23"/>
          <w:szCs w:val="23"/>
        </w:rPr>
        <w:t xml:space="preserve"> </w:t>
      </w:r>
      <w:r>
        <w:rPr>
          <w:rFonts w:ascii="宋体" w:eastAsia="宋体" w:hAnsi="宋体" w:cs="宋体"/>
          <w:spacing w:val="-12"/>
          <w:sz w:val="23"/>
          <w:szCs w:val="23"/>
        </w:rPr>
        <w:t>是双歧杆菌的繁殖，改善人体微生态平衡；促进肠细菌</w:t>
      </w:r>
      <w:r>
        <w:rPr>
          <w:rFonts w:ascii="宋体" w:eastAsia="宋体" w:hAnsi="宋体" w:cs="宋体"/>
          <w:spacing w:val="-13"/>
          <w:sz w:val="23"/>
          <w:szCs w:val="23"/>
        </w:rPr>
        <w:t>合成B</w:t>
      </w:r>
      <w:r>
        <w:rPr>
          <w:rFonts w:ascii="宋体" w:eastAsia="宋体" w:hAnsi="宋体" w:cs="宋体"/>
          <w:spacing w:val="-27"/>
          <w:sz w:val="23"/>
          <w:szCs w:val="23"/>
        </w:rPr>
        <w:t xml:space="preserve"> </w:t>
      </w:r>
      <w:r>
        <w:rPr>
          <w:rFonts w:ascii="宋体" w:eastAsia="宋体" w:hAnsi="宋体" w:cs="宋体"/>
          <w:spacing w:val="-13"/>
          <w:sz w:val="23"/>
          <w:szCs w:val="23"/>
        </w:rPr>
        <w:t>族维生素。有些</w:t>
      </w:r>
      <w:r>
        <w:rPr>
          <w:rFonts w:ascii="宋体" w:eastAsia="宋体" w:hAnsi="宋体" w:cs="宋体"/>
          <w:sz w:val="23"/>
          <w:szCs w:val="23"/>
        </w:rPr>
        <w:t xml:space="preserve"> </w:t>
      </w:r>
      <w:r>
        <w:rPr>
          <w:rFonts w:ascii="宋体" w:eastAsia="宋体" w:hAnsi="宋体" w:cs="宋体"/>
          <w:spacing w:val="-21"/>
          <w:sz w:val="23"/>
          <w:szCs w:val="23"/>
        </w:rPr>
        <w:t>人成年后多年不喝牛乳，体内的乳糖酶活性很低，无法消化乳糖。小肠内未消化</w:t>
      </w:r>
      <w:r>
        <w:rPr>
          <w:rFonts w:ascii="宋体" w:eastAsia="宋体" w:hAnsi="宋体" w:cs="宋体"/>
          <w:spacing w:val="8"/>
          <w:sz w:val="23"/>
          <w:szCs w:val="23"/>
        </w:rPr>
        <w:t xml:space="preserve">  </w:t>
      </w:r>
      <w:r>
        <w:rPr>
          <w:rFonts w:ascii="宋体" w:eastAsia="宋体" w:hAnsi="宋体" w:cs="宋体"/>
          <w:spacing w:val="-13"/>
          <w:sz w:val="23"/>
          <w:szCs w:val="23"/>
        </w:rPr>
        <w:t>的乳糖具有促进肠蠕动的作用，在大肠中经细菌发酵分解产生大量</w:t>
      </w:r>
      <w:r>
        <w:rPr>
          <w:rFonts w:ascii="宋体" w:eastAsia="宋体" w:hAnsi="宋体" w:cs="宋体"/>
          <w:spacing w:val="-14"/>
          <w:sz w:val="23"/>
          <w:szCs w:val="23"/>
        </w:rPr>
        <w:t>气体，导致</w:t>
      </w:r>
      <w:r>
        <w:rPr>
          <w:rFonts w:ascii="宋体" w:eastAsia="宋体" w:hAnsi="宋体" w:cs="宋体"/>
          <w:sz w:val="23"/>
          <w:szCs w:val="23"/>
        </w:rPr>
        <w:t xml:space="preserve"> </w:t>
      </w:r>
      <w:r>
        <w:rPr>
          <w:rFonts w:ascii="宋体" w:eastAsia="宋体" w:hAnsi="宋体" w:cs="宋体"/>
          <w:spacing w:val="-22"/>
          <w:sz w:val="23"/>
          <w:szCs w:val="23"/>
        </w:rPr>
        <w:t>“乳糖不耐症”,包括腹胀、腹泻等症状。这部分人群可以食用经乳糖酶处理的奶</w:t>
      </w:r>
      <w:r>
        <w:rPr>
          <w:rFonts w:ascii="宋体" w:eastAsia="宋体" w:hAnsi="宋体" w:cs="宋体"/>
          <w:sz w:val="23"/>
          <w:szCs w:val="23"/>
        </w:rPr>
        <w:t xml:space="preserve"> </w:t>
      </w:r>
      <w:r>
        <w:rPr>
          <w:rFonts w:ascii="宋体" w:eastAsia="宋体" w:hAnsi="宋体" w:cs="宋体"/>
          <w:spacing w:val="-20"/>
          <w:sz w:val="23"/>
          <w:szCs w:val="23"/>
        </w:rPr>
        <w:t>粉，或是饮用酸奶。用固定化乳糖酶将乳糖水解为半乳糖和葡萄糖也可以解决乳</w:t>
      </w:r>
    </w:p>
    <w:p w:rsidR="00EA40A3" w:rsidRDefault="00E86C16">
      <w:pPr>
        <w:spacing w:before="90"/>
        <w:ind w:left="114"/>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216</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1055" w:bottom="400" w:left="685" w:header="0" w:footer="0" w:gutter="0"/>
          <w:cols w:space="720"/>
        </w:sectPr>
      </w:pPr>
    </w:p>
    <w:p w:rsidR="00EA40A3" w:rsidRDefault="00EA40A3">
      <w:pPr>
        <w:spacing w:line="297" w:lineRule="auto"/>
      </w:pPr>
    </w:p>
    <w:p w:rsidR="00EA40A3" w:rsidRDefault="00EA40A3">
      <w:pPr>
        <w:spacing w:line="29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5"/>
          <w:sz w:val="22"/>
          <w:szCs w:val="22"/>
        </w:rPr>
        <w:t>糖不耐问题，同时提高产品的甜度。</w:t>
      </w:r>
    </w:p>
    <w:p w:rsidR="00EA40A3" w:rsidRDefault="00E86C16">
      <w:pPr>
        <w:spacing w:before="265" w:line="222"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13"/>
          <w:sz w:val="22"/>
          <w:szCs w:val="22"/>
        </w:rPr>
        <w:t xml:space="preserve"> </w:t>
      </w:r>
      <w:r>
        <w:rPr>
          <w:rFonts w:ascii="仿宋" w:eastAsia="仿宋" w:hAnsi="仿宋" w:cs="仿宋"/>
          <w:spacing w:val="9"/>
          <w:sz w:val="22"/>
          <w:szCs w:val="22"/>
        </w:rPr>
        <w:t>维生素</w:t>
      </w:r>
    </w:p>
    <w:p w:rsidR="00EA40A3" w:rsidRDefault="00E86C16">
      <w:pPr>
        <w:spacing w:before="227" w:line="245" w:lineRule="auto"/>
        <w:ind w:right="124" w:firstLine="419"/>
        <w:jc w:val="both"/>
        <w:rPr>
          <w:rFonts w:ascii="宋体" w:eastAsia="宋体" w:hAnsi="宋体" w:cs="宋体"/>
          <w:sz w:val="22"/>
          <w:szCs w:val="22"/>
        </w:rPr>
      </w:pPr>
      <w:r>
        <w:rPr>
          <w:rFonts w:ascii="宋体" w:eastAsia="宋体" w:hAnsi="宋体" w:cs="宋体"/>
          <w:spacing w:val="-14"/>
          <w:sz w:val="22"/>
          <w:szCs w:val="22"/>
        </w:rPr>
        <w:t>牛乳是各种维生素的优良来源。它含有几乎所有种类的脂溶性和水溶性维生</w:t>
      </w:r>
      <w:r>
        <w:rPr>
          <w:rFonts w:ascii="宋体" w:eastAsia="宋体" w:hAnsi="宋体" w:cs="宋体"/>
          <w:sz w:val="22"/>
          <w:szCs w:val="22"/>
        </w:rPr>
        <w:t xml:space="preserve"> </w:t>
      </w:r>
      <w:r>
        <w:rPr>
          <w:rFonts w:ascii="宋体" w:eastAsia="宋体" w:hAnsi="宋体" w:cs="宋体"/>
          <w:spacing w:val="-8"/>
          <w:sz w:val="22"/>
          <w:szCs w:val="22"/>
        </w:rPr>
        <w:t>素，包括维生素A、</w:t>
      </w:r>
      <w:r>
        <w:rPr>
          <w:rFonts w:ascii="宋体" w:eastAsia="宋体" w:hAnsi="宋体" w:cs="宋体"/>
          <w:spacing w:val="-33"/>
          <w:sz w:val="22"/>
          <w:szCs w:val="22"/>
        </w:rPr>
        <w:t xml:space="preserve"> </w:t>
      </w:r>
      <w:r>
        <w:rPr>
          <w:rFonts w:ascii="宋体" w:eastAsia="宋体" w:hAnsi="宋体" w:cs="宋体"/>
          <w:spacing w:val="-8"/>
          <w:sz w:val="22"/>
          <w:szCs w:val="22"/>
        </w:rPr>
        <w:t>维生素D、</w:t>
      </w:r>
      <w:r>
        <w:rPr>
          <w:rFonts w:ascii="宋体" w:eastAsia="宋体" w:hAnsi="宋体" w:cs="宋体"/>
          <w:spacing w:val="-41"/>
          <w:sz w:val="22"/>
          <w:szCs w:val="22"/>
        </w:rPr>
        <w:t xml:space="preserve"> </w:t>
      </w:r>
      <w:r>
        <w:rPr>
          <w:rFonts w:ascii="宋体" w:eastAsia="宋体" w:hAnsi="宋体" w:cs="宋体"/>
          <w:spacing w:val="-8"/>
          <w:sz w:val="22"/>
          <w:szCs w:val="22"/>
        </w:rPr>
        <w:t>维生素E、</w:t>
      </w:r>
      <w:r>
        <w:rPr>
          <w:rFonts w:ascii="宋体" w:eastAsia="宋体" w:hAnsi="宋体" w:cs="宋体"/>
          <w:spacing w:val="-61"/>
          <w:sz w:val="22"/>
          <w:szCs w:val="22"/>
        </w:rPr>
        <w:t xml:space="preserve"> </w:t>
      </w:r>
      <w:r>
        <w:rPr>
          <w:rFonts w:ascii="宋体" w:eastAsia="宋体" w:hAnsi="宋体" w:cs="宋体"/>
          <w:spacing w:val="-8"/>
          <w:sz w:val="22"/>
          <w:szCs w:val="22"/>
        </w:rPr>
        <w:t>维生素K、</w:t>
      </w:r>
      <w:r>
        <w:rPr>
          <w:rFonts w:ascii="宋体" w:eastAsia="宋体" w:hAnsi="宋体" w:cs="宋体"/>
          <w:spacing w:val="-21"/>
          <w:sz w:val="22"/>
          <w:szCs w:val="22"/>
        </w:rPr>
        <w:t xml:space="preserve"> </w:t>
      </w:r>
      <w:r>
        <w:rPr>
          <w:rFonts w:ascii="宋体" w:eastAsia="宋体" w:hAnsi="宋体" w:cs="宋体"/>
          <w:spacing w:val="-8"/>
          <w:sz w:val="22"/>
          <w:szCs w:val="22"/>
        </w:rPr>
        <w:t>各种B</w:t>
      </w:r>
      <w:r>
        <w:rPr>
          <w:rFonts w:ascii="宋体" w:eastAsia="宋体" w:hAnsi="宋体" w:cs="宋体"/>
          <w:spacing w:val="-36"/>
          <w:sz w:val="22"/>
          <w:szCs w:val="22"/>
        </w:rPr>
        <w:t xml:space="preserve"> </w:t>
      </w:r>
      <w:r>
        <w:rPr>
          <w:rFonts w:ascii="宋体" w:eastAsia="宋体" w:hAnsi="宋体" w:cs="宋体"/>
          <w:spacing w:val="-8"/>
          <w:sz w:val="22"/>
          <w:szCs w:val="22"/>
        </w:rPr>
        <w:t>族维生素和</w:t>
      </w:r>
      <w:r>
        <w:rPr>
          <w:rFonts w:ascii="宋体" w:eastAsia="宋体" w:hAnsi="宋体" w:cs="宋体"/>
          <w:spacing w:val="-9"/>
          <w:sz w:val="22"/>
          <w:szCs w:val="22"/>
        </w:rPr>
        <w:t>微量的</w:t>
      </w:r>
      <w:r>
        <w:rPr>
          <w:rFonts w:ascii="宋体" w:eastAsia="宋体" w:hAnsi="宋体" w:cs="宋体"/>
          <w:sz w:val="22"/>
          <w:szCs w:val="22"/>
        </w:rPr>
        <w:t xml:space="preserve"> </w:t>
      </w:r>
      <w:r>
        <w:rPr>
          <w:rFonts w:ascii="宋体" w:eastAsia="宋体" w:hAnsi="宋体" w:cs="宋体"/>
          <w:spacing w:val="-11"/>
          <w:sz w:val="22"/>
          <w:szCs w:val="22"/>
        </w:rPr>
        <w:t>维生素C,</w:t>
      </w:r>
      <w:r>
        <w:rPr>
          <w:rFonts w:ascii="宋体" w:eastAsia="宋体" w:hAnsi="宋体" w:cs="宋体"/>
          <w:spacing w:val="32"/>
          <w:sz w:val="22"/>
          <w:szCs w:val="22"/>
        </w:rPr>
        <w:t xml:space="preserve"> </w:t>
      </w:r>
      <w:r>
        <w:rPr>
          <w:rFonts w:ascii="宋体" w:eastAsia="宋体" w:hAnsi="宋体" w:cs="宋体"/>
          <w:spacing w:val="-11"/>
          <w:sz w:val="22"/>
          <w:szCs w:val="22"/>
        </w:rPr>
        <w:t>只是这些维生素的含量差异较大。</w:t>
      </w:r>
    </w:p>
    <w:p w:rsidR="00EA40A3" w:rsidRDefault="00E86C16">
      <w:pPr>
        <w:spacing w:before="63" w:line="245" w:lineRule="auto"/>
        <w:ind w:firstLine="419"/>
        <w:jc w:val="both"/>
        <w:rPr>
          <w:rFonts w:ascii="宋体" w:eastAsia="宋体" w:hAnsi="宋体" w:cs="宋体"/>
          <w:sz w:val="22"/>
          <w:szCs w:val="22"/>
        </w:rPr>
      </w:pPr>
      <w:r>
        <w:rPr>
          <w:rFonts w:ascii="宋体" w:eastAsia="宋体" w:hAnsi="宋体" w:cs="宋体"/>
          <w:spacing w:val="-2"/>
          <w:sz w:val="22"/>
          <w:szCs w:val="22"/>
        </w:rPr>
        <w:t>总的来说，牛奶是B</w:t>
      </w:r>
      <w:r>
        <w:rPr>
          <w:rFonts w:ascii="宋体" w:eastAsia="宋体" w:hAnsi="宋体" w:cs="宋体"/>
          <w:spacing w:val="-37"/>
          <w:sz w:val="22"/>
          <w:szCs w:val="22"/>
        </w:rPr>
        <w:t xml:space="preserve"> </w:t>
      </w:r>
      <w:r>
        <w:rPr>
          <w:rFonts w:ascii="宋体" w:eastAsia="宋体" w:hAnsi="宋体" w:cs="宋体"/>
          <w:spacing w:val="-2"/>
          <w:sz w:val="22"/>
          <w:szCs w:val="22"/>
        </w:rPr>
        <w:t>族维生素的良好来源，可以提</w:t>
      </w:r>
      <w:r>
        <w:rPr>
          <w:rFonts w:ascii="宋体" w:eastAsia="宋体" w:hAnsi="宋体" w:cs="宋体"/>
          <w:spacing w:val="-3"/>
          <w:sz w:val="22"/>
          <w:szCs w:val="22"/>
        </w:rPr>
        <w:t>供相当数量的核黄素、</w:t>
      </w:r>
      <w:r>
        <w:rPr>
          <w:rFonts w:ascii="宋体" w:eastAsia="宋体" w:hAnsi="宋体" w:cs="宋体"/>
          <w:sz w:val="22"/>
          <w:szCs w:val="22"/>
        </w:rPr>
        <w:t xml:space="preserve"> </w:t>
      </w:r>
      <w:r>
        <w:rPr>
          <w:rFonts w:ascii="宋体" w:eastAsia="宋体" w:hAnsi="宋体" w:cs="宋体"/>
          <w:spacing w:val="-10"/>
          <w:sz w:val="22"/>
          <w:szCs w:val="22"/>
        </w:rPr>
        <w:t>维生素B</w:t>
      </w:r>
      <w:r>
        <w:rPr>
          <w:rFonts w:ascii="Calibri" w:eastAsia="Calibri" w:hAnsi="Calibri" w:cs="Calibri"/>
          <w:spacing w:val="-10"/>
          <w:sz w:val="22"/>
          <w:szCs w:val="22"/>
        </w:rPr>
        <w:t>₁₂</w:t>
      </w:r>
      <w:r>
        <w:rPr>
          <w:rFonts w:ascii="Calibri" w:eastAsia="Calibri" w:hAnsi="Calibri" w:cs="Calibri"/>
          <w:spacing w:val="-25"/>
          <w:sz w:val="22"/>
          <w:szCs w:val="22"/>
        </w:rPr>
        <w:t xml:space="preserve"> </w:t>
      </w:r>
      <w:r>
        <w:rPr>
          <w:rFonts w:ascii="宋体" w:eastAsia="宋体" w:hAnsi="宋体" w:cs="宋体"/>
          <w:spacing w:val="-10"/>
          <w:sz w:val="22"/>
          <w:szCs w:val="22"/>
        </w:rPr>
        <w:t>、维生素A、</w:t>
      </w:r>
      <w:r>
        <w:rPr>
          <w:rFonts w:ascii="宋体" w:eastAsia="宋体" w:hAnsi="宋体" w:cs="宋体"/>
          <w:spacing w:val="-22"/>
          <w:sz w:val="22"/>
          <w:szCs w:val="22"/>
        </w:rPr>
        <w:t xml:space="preserve"> </w:t>
      </w:r>
      <w:r>
        <w:rPr>
          <w:rFonts w:ascii="宋体" w:eastAsia="宋体" w:hAnsi="宋体" w:cs="宋体"/>
          <w:spacing w:val="-10"/>
          <w:sz w:val="22"/>
          <w:szCs w:val="22"/>
        </w:rPr>
        <w:t>维生素B。和泛酸。牛乳中的尼克酸含量不高，但由于牛</w:t>
      </w:r>
      <w:r>
        <w:rPr>
          <w:rFonts w:ascii="宋体" w:eastAsia="宋体" w:hAnsi="宋体" w:cs="宋体"/>
          <w:sz w:val="22"/>
          <w:szCs w:val="22"/>
        </w:rPr>
        <w:t xml:space="preserve">  </w:t>
      </w:r>
      <w:r>
        <w:rPr>
          <w:rFonts w:ascii="宋体" w:eastAsia="宋体" w:hAnsi="宋体" w:cs="宋体"/>
          <w:spacing w:val="-13"/>
          <w:sz w:val="22"/>
          <w:szCs w:val="22"/>
        </w:rPr>
        <w:t>乳蛋白质中的色氨酸含量高，可以帮助人体合成尼克酸。牛乳中还有少量维生素</w:t>
      </w:r>
      <w:r>
        <w:rPr>
          <w:rFonts w:ascii="宋体" w:eastAsia="宋体" w:hAnsi="宋体" w:cs="宋体"/>
          <w:spacing w:val="6"/>
          <w:sz w:val="22"/>
          <w:szCs w:val="22"/>
        </w:rPr>
        <w:t xml:space="preserve">  </w:t>
      </w:r>
      <w:r>
        <w:rPr>
          <w:rFonts w:ascii="宋体" w:eastAsia="宋体" w:hAnsi="宋体" w:cs="宋体"/>
          <w:spacing w:val="-9"/>
          <w:sz w:val="22"/>
          <w:szCs w:val="22"/>
        </w:rPr>
        <w:t>C</w:t>
      </w:r>
      <w:r>
        <w:rPr>
          <w:rFonts w:ascii="宋体" w:eastAsia="宋体" w:hAnsi="宋体" w:cs="宋体"/>
          <w:spacing w:val="-4"/>
          <w:sz w:val="22"/>
          <w:szCs w:val="22"/>
        </w:rPr>
        <w:t xml:space="preserve"> </w:t>
      </w:r>
      <w:r>
        <w:rPr>
          <w:rFonts w:ascii="宋体" w:eastAsia="宋体" w:hAnsi="宋体" w:cs="宋体"/>
          <w:spacing w:val="-9"/>
          <w:sz w:val="22"/>
          <w:szCs w:val="22"/>
        </w:rPr>
        <w:t>和维生素</w:t>
      </w:r>
      <w:r>
        <w:rPr>
          <w:rFonts w:ascii="宋体" w:eastAsia="宋体" w:hAnsi="宋体" w:cs="宋体"/>
          <w:spacing w:val="-60"/>
          <w:sz w:val="22"/>
          <w:szCs w:val="22"/>
        </w:rPr>
        <w:t xml:space="preserve"> </w:t>
      </w:r>
      <w:r>
        <w:rPr>
          <w:rFonts w:ascii="宋体" w:eastAsia="宋体" w:hAnsi="宋体" w:cs="宋体"/>
          <w:spacing w:val="-9"/>
          <w:sz w:val="22"/>
          <w:szCs w:val="22"/>
        </w:rPr>
        <w:t>D。</w:t>
      </w:r>
      <w:r>
        <w:rPr>
          <w:rFonts w:ascii="宋体" w:eastAsia="宋体" w:hAnsi="宋体" w:cs="宋体"/>
          <w:spacing w:val="-11"/>
          <w:sz w:val="22"/>
          <w:szCs w:val="22"/>
        </w:rPr>
        <w:t xml:space="preserve"> </w:t>
      </w:r>
      <w:r>
        <w:rPr>
          <w:rFonts w:ascii="宋体" w:eastAsia="宋体" w:hAnsi="宋体" w:cs="宋体"/>
          <w:spacing w:val="-9"/>
          <w:sz w:val="22"/>
          <w:szCs w:val="22"/>
        </w:rPr>
        <w:t>目前市售消毒鲜奶普遍强化维生素</w:t>
      </w:r>
      <w:r>
        <w:rPr>
          <w:rFonts w:ascii="宋体" w:eastAsia="宋体" w:hAnsi="宋体" w:cs="宋体"/>
          <w:spacing w:val="-60"/>
          <w:sz w:val="22"/>
          <w:szCs w:val="22"/>
        </w:rPr>
        <w:t xml:space="preserve"> </w:t>
      </w:r>
      <w:r>
        <w:rPr>
          <w:rFonts w:ascii="宋体" w:eastAsia="宋体" w:hAnsi="宋体" w:cs="宋体"/>
          <w:spacing w:val="-9"/>
          <w:sz w:val="22"/>
          <w:szCs w:val="22"/>
        </w:rPr>
        <w:t>A</w:t>
      </w:r>
      <w:r>
        <w:rPr>
          <w:rFonts w:ascii="宋体" w:eastAsia="宋体" w:hAnsi="宋体" w:cs="宋体"/>
          <w:spacing w:val="2"/>
          <w:sz w:val="22"/>
          <w:szCs w:val="22"/>
        </w:rPr>
        <w:t xml:space="preserve"> </w:t>
      </w:r>
      <w:r>
        <w:rPr>
          <w:rFonts w:ascii="宋体" w:eastAsia="宋体" w:hAnsi="宋体" w:cs="宋体"/>
          <w:spacing w:val="-10"/>
          <w:sz w:val="22"/>
          <w:szCs w:val="22"/>
        </w:rPr>
        <w:t>和维生素D,</w:t>
      </w:r>
      <w:r>
        <w:rPr>
          <w:rFonts w:ascii="宋体" w:eastAsia="宋体" w:hAnsi="宋体" w:cs="宋体"/>
          <w:spacing w:val="104"/>
          <w:sz w:val="22"/>
          <w:szCs w:val="22"/>
        </w:rPr>
        <w:t xml:space="preserve"> </w:t>
      </w:r>
      <w:r>
        <w:rPr>
          <w:rFonts w:ascii="宋体" w:eastAsia="宋体" w:hAnsi="宋体" w:cs="宋体"/>
          <w:spacing w:val="-10"/>
          <w:sz w:val="22"/>
          <w:szCs w:val="22"/>
        </w:rPr>
        <w:t>成为这两种</w:t>
      </w:r>
      <w:r>
        <w:rPr>
          <w:rFonts w:ascii="宋体" w:eastAsia="宋体" w:hAnsi="宋体" w:cs="宋体"/>
          <w:sz w:val="22"/>
          <w:szCs w:val="22"/>
        </w:rPr>
        <w:t xml:space="preserve">  </w:t>
      </w:r>
      <w:r>
        <w:rPr>
          <w:rFonts w:ascii="宋体" w:eastAsia="宋体" w:hAnsi="宋体" w:cs="宋体"/>
          <w:spacing w:val="-14"/>
          <w:sz w:val="22"/>
          <w:szCs w:val="22"/>
        </w:rPr>
        <w:t>维生素最方便和廉价的膳食来源之一。</w:t>
      </w:r>
    </w:p>
    <w:p w:rsidR="00EA40A3" w:rsidRDefault="00E86C16">
      <w:pPr>
        <w:spacing w:before="92" w:line="247" w:lineRule="auto"/>
        <w:ind w:right="98" w:firstLine="419"/>
        <w:jc w:val="both"/>
        <w:rPr>
          <w:rFonts w:ascii="宋体" w:eastAsia="宋体" w:hAnsi="宋体" w:cs="宋体"/>
          <w:sz w:val="22"/>
          <w:szCs w:val="22"/>
        </w:rPr>
      </w:pPr>
      <w:r>
        <w:rPr>
          <w:rFonts w:ascii="宋体" w:eastAsia="宋体" w:hAnsi="宋体" w:cs="宋体"/>
          <w:sz w:val="22"/>
          <w:szCs w:val="22"/>
        </w:rPr>
        <w:t>牛乳的淡黄色来自类胡萝卜素和核黄素，其中胡萝卜素的含量受饲料和</w:t>
      </w:r>
      <w:r>
        <w:rPr>
          <w:rFonts w:ascii="宋体" w:eastAsia="宋体" w:hAnsi="宋体" w:cs="宋体"/>
          <w:spacing w:val="6"/>
          <w:sz w:val="22"/>
          <w:szCs w:val="22"/>
        </w:rPr>
        <w:t xml:space="preserve"> </w:t>
      </w:r>
      <w:r>
        <w:rPr>
          <w:rFonts w:ascii="宋体" w:eastAsia="宋体" w:hAnsi="宋体" w:cs="宋体"/>
          <w:spacing w:val="-3"/>
          <w:sz w:val="22"/>
          <w:szCs w:val="22"/>
        </w:rPr>
        <w:t>季节影响，青饲料多时含量增加。维生素</w:t>
      </w:r>
      <w:r>
        <w:rPr>
          <w:rFonts w:ascii="宋体" w:eastAsia="宋体" w:hAnsi="宋体" w:cs="宋体"/>
          <w:spacing w:val="-61"/>
          <w:sz w:val="22"/>
          <w:szCs w:val="22"/>
        </w:rPr>
        <w:t xml:space="preserve"> </w:t>
      </w:r>
      <w:r>
        <w:rPr>
          <w:rFonts w:ascii="宋体" w:eastAsia="宋体" w:hAnsi="宋体" w:cs="宋体"/>
          <w:spacing w:val="-3"/>
          <w:sz w:val="22"/>
          <w:szCs w:val="22"/>
        </w:rPr>
        <w:t>A、</w:t>
      </w:r>
      <w:r>
        <w:rPr>
          <w:rFonts w:ascii="宋体" w:eastAsia="宋体" w:hAnsi="宋体" w:cs="宋体"/>
          <w:spacing w:val="-13"/>
          <w:sz w:val="22"/>
          <w:szCs w:val="22"/>
        </w:rPr>
        <w:t xml:space="preserve"> </w:t>
      </w:r>
      <w:r>
        <w:rPr>
          <w:rFonts w:ascii="宋体" w:eastAsia="宋体" w:hAnsi="宋体" w:cs="宋体"/>
          <w:spacing w:val="-3"/>
          <w:sz w:val="22"/>
          <w:szCs w:val="22"/>
        </w:rPr>
        <w:t>维生素</w:t>
      </w:r>
      <w:r>
        <w:rPr>
          <w:rFonts w:ascii="宋体" w:eastAsia="宋体" w:hAnsi="宋体" w:cs="宋体"/>
          <w:spacing w:val="-60"/>
          <w:sz w:val="22"/>
          <w:szCs w:val="22"/>
        </w:rPr>
        <w:t xml:space="preserve"> </w:t>
      </w:r>
      <w:r>
        <w:rPr>
          <w:rFonts w:ascii="宋体" w:eastAsia="宋体" w:hAnsi="宋体" w:cs="宋体"/>
          <w:spacing w:val="-3"/>
          <w:sz w:val="22"/>
          <w:szCs w:val="22"/>
        </w:rPr>
        <w:t>D、</w:t>
      </w:r>
      <w:r>
        <w:rPr>
          <w:rFonts w:ascii="宋体" w:eastAsia="宋体" w:hAnsi="宋体" w:cs="宋体"/>
          <w:spacing w:val="-21"/>
          <w:sz w:val="22"/>
          <w:szCs w:val="22"/>
        </w:rPr>
        <w:t xml:space="preserve"> </w:t>
      </w:r>
      <w:r>
        <w:rPr>
          <w:rFonts w:ascii="宋体" w:eastAsia="宋体" w:hAnsi="宋体" w:cs="宋体"/>
          <w:spacing w:val="-3"/>
          <w:sz w:val="22"/>
          <w:szCs w:val="22"/>
        </w:rPr>
        <w:t>维生素E</w:t>
      </w:r>
      <w:r>
        <w:rPr>
          <w:rFonts w:ascii="宋体" w:eastAsia="宋体" w:hAnsi="宋体" w:cs="宋体"/>
          <w:spacing w:val="-4"/>
          <w:sz w:val="22"/>
          <w:szCs w:val="22"/>
        </w:rPr>
        <w:t xml:space="preserve"> </w:t>
      </w:r>
      <w:r>
        <w:rPr>
          <w:rFonts w:ascii="宋体" w:eastAsia="宋体" w:hAnsi="宋体" w:cs="宋体"/>
          <w:spacing w:val="-3"/>
          <w:sz w:val="22"/>
          <w:szCs w:val="22"/>
        </w:rPr>
        <w:t>的含量也</w:t>
      </w:r>
      <w:r>
        <w:rPr>
          <w:rFonts w:ascii="宋体" w:eastAsia="宋体" w:hAnsi="宋体" w:cs="宋体"/>
          <w:sz w:val="22"/>
          <w:szCs w:val="22"/>
        </w:rPr>
        <w:t xml:space="preserve"> </w:t>
      </w:r>
      <w:r>
        <w:rPr>
          <w:rFonts w:ascii="宋体" w:eastAsia="宋体" w:hAnsi="宋体" w:cs="宋体"/>
          <w:spacing w:val="1"/>
          <w:sz w:val="22"/>
          <w:szCs w:val="22"/>
        </w:rPr>
        <w:t>受季节的影响。乳中的B</w:t>
      </w:r>
      <w:r>
        <w:rPr>
          <w:rFonts w:ascii="宋体" w:eastAsia="宋体" w:hAnsi="宋体" w:cs="宋体"/>
          <w:spacing w:val="-37"/>
          <w:sz w:val="22"/>
          <w:szCs w:val="22"/>
        </w:rPr>
        <w:t xml:space="preserve"> </w:t>
      </w:r>
      <w:r>
        <w:rPr>
          <w:rFonts w:ascii="宋体" w:eastAsia="宋体" w:hAnsi="宋体" w:cs="宋体"/>
          <w:spacing w:val="1"/>
          <w:sz w:val="22"/>
          <w:szCs w:val="22"/>
        </w:rPr>
        <w:t>族维生素主要是瘤胃中的微生物所产生</w:t>
      </w:r>
      <w:r>
        <w:rPr>
          <w:rFonts w:ascii="宋体" w:eastAsia="宋体" w:hAnsi="宋体" w:cs="宋体"/>
          <w:sz w:val="22"/>
          <w:szCs w:val="22"/>
        </w:rPr>
        <w:t xml:space="preserve">，其含量受 </w:t>
      </w:r>
      <w:r>
        <w:rPr>
          <w:rFonts w:ascii="宋体" w:eastAsia="宋体" w:hAnsi="宋体" w:cs="宋体"/>
          <w:spacing w:val="2"/>
          <w:sz w:val="22"/>
          <w:szCs w:val="22"/>
        </w:rPr>
        <w:t>饲料影响较小，但叶酸含量受到季节影响，维生素</w:t>
      </w:r>
      <w:r>
        <w:rPr>
          <w:rFonts w:ascii="宋体" w:eastAsia="宋体" w:hAnsi="宋体" w:cs="宋体"/>
          <w:spacing w:val="-61"/>
          <w:sz w:val="22"/>
          <w:szCs w:val="22"/>
        </w:rPr>
        <w:t xml:space="preserve"> </w:t>
      </w:r>
      <w:r>
        <w:rPr>
          <w:rFonts w:ascii="宋体" w:eastAsia="宋体" w:hAnsi="宋体" w:cs="宋体"/>
          <w:spacing w:val="2"/>
          <w:sz w:val="22"/>
          <w:szCs w:val="22"/>
        </w:rPr>
        <w:t>B</w:t>
      </w:r>
      <w:r>
        <w:rPr>
          <w:rFonts w:ascii="Calibri" w:eastAsia="Calibri" w:hAnsi="Calibri" w:cs="Calibri"/>
          <w:spacing w:val="2"/>
          <w:sz w:val="22"/>
          <w:szCs w:val="22"/>
        </w:rPr>
        <w:t>₂</w:t>
      </w:r>
      <w:r>
        <w:rPr>
          <w:rFonts w:ascii="Calibri" w:eastAsia="Calibri" w:hAnsi="Calibri" w:cs="Calibri"/>
          <w:spacing w:val="10"/>
          <w:sz w:val="22"/>
          <w:szCs w:val="22"/>
        </w:rPr>
        <w:t xml:space="preserve">  </w:t>
      </w:r>
      <w:r>
        <w:rPr>
          <w:rFonts w:ascii="宋体" w:eastAsia="宋体" w:hAnsi="宋体" w:cs="宋体"/>
          <w:spacing w:val="2"/>
          <w:sz w:val="22"/>
          <w:szCs w:val="22"/>
        </w:rPr>
        <w:t>含量受到饲料中钴含</w:t>
      </w:r>
      <w:r>
        <w:rPr>
          <w:rFonts w:ascii="宋体" w:eastAsia="宋体" w:hAnsi="宋体" w:cs="宋体"/>
          <w:sz w:val="22"/>
          <w:szCs w:val="22"/>
        </w:rPr>
        <w:t xml:space="preserve"> </w:t>
      </w:r>
      <w:r>
        <w:rPr>
          <w:rFonts w:ascii="宋体" w:eastAsia="宋体" w:hAnsi="宋体" w:cs="宋体"/>
          <w:spacing w:val="2"/>
          <w:sz w:val="22"/>
          <w:szCs w:val="22"/>
        </w:rPr>
        <w:t>量的影响。维生素</w:t>
      </w:r>
      <w:r>
        <w:rPr>
          <w:rFonts w:ascii="宋体" w:eastAsia="宋体" w:hAnsi="宋体" w:cs="宋体"/>
          <w:spacing w:val="-51"/>
          <w:sz w:val="22"/>
          <w:szCs w:val="22"/>
        </w:rPr>
        <w:t xml:space="preserve"> </w:t>
      </w:r>
      <w:r>
        <w:rPr>
          <w:rFonts w:ascii="宋体" w:eastAsia="宋体" w:hAnsi="宋体" w:cs="宋体"/>
          <w:spacing w:val="2"/>
          <w:sz w:val="22"/>
          <w:szCs w:val="22"/>
        </w:rPr>
        <w:t>D</w:t>
      </w:r>
      <w:r>
        <w:rPr>
          <w:rFonts w:ascii="宋体" w:eastAsia="宋体" w:hAnsi="宋体" w:cs="宋体"/>
          <w:spacing w:val="-5"/>
          <w:sz w:val="22"/>
          <w:szCs w:val="22"/>
        </w:rPr>
        <w:t xml:space="preserve"> </w:t>
      </w:r>
      <w:r>
        <w:rPr>
          <w:rFonts w:ascii="宋体" w:eastAsia="宋体" w:hAnsi="宋体" w:cs="宋体"/>
          <w:spacing w:val="2"/>
          <w:sz w:val="22"/>
          <w:szCs w:val="22"/>
        </w:rPr>
        <w:t>含量与牛的光照时间有关，而维生素</w:t>
      </w:r>
      <w:r>
        <w:rPr>
          <w:rFonts w:ascii="宋体" w:eastAsia="宋体" w:hAnsi="宋体" w:cs="宋体"/>
          <w:spacing w:val="-61"/>
          <w:sz w:val="22"/>
          <w:szCs w:val="22"/>
        </w:rPr>
        <w:t xml:space="preserve"> </w:t>
      </w:r>
      <w:r>
        <w:rPr>
          <w:rFonts w:ascii="宋体" w:eastAsia="宋体" w:hAnsi="宋体" w:cs="宋体"/>
          <w:spacing w:val="2"/>
          <w:sz w:val="22"/>
          <w:szCs w:val="22"/>
        </w:rPr>
        <w:t>A</w:t>
      </w:r>
      <w:r>
        <w:rPr>
          <w:rFonts w:ascii="宋体" w:eastAsia="宋体" w:hAnsi="宋体" w:cs="宋体"/>
          <w:spacing w:val="12"/>
          <w:sz w:val="22"/>
          <w:szCs w:val="22"/>
        </w:rPr>
        <w:t xml:space="preserve"> </w:t>
      </w:r>
      <w:r>
        <w:rPr>
          <w:rFonts w:ascii="宋体" w:eastAsia="宋体" w:hAnsi="宋体" w:cs="宋体"/>
          <w:spacing w:val="2"/>
          <w:sz w:val="22"/>
          <w:szCs w:val="22"/>
        </w:rPr>
        <w:t>和胡萝卜素的</w:t>
      </w:r>
      <w:r>
        <w:rPr>
          <w:rFonts w:ascii="宋体" w:eastAsia="宋体" w:hAnsi="宋体" w:cs="宋体"/>
          <w:sz w:val="22"/>
          <w:szCs w:val="22"/>
        </w:rPr>
        <w:t xml:space="preserve"> 含量则与乳牛的饲料密切相关。放牧乳牛所产奶的维生</w:t>
      </w:r>
      <w:r>
        <w:rPr>
          <w:rFonts w:ascii="宋体" w:eastAsia="宋体" w:hAnsi="宋体" w:cs="宋体"/>
          <w:spacing w:val="-1"/>
          <w:sz w:val="22"/>
          <w:szCs w:val="22"/>
        </w:rPr>
        <w:t>素含量通常高于舍饲</w:t>
      </w:r>
      <w:r>
        <w:rPr>
          <w:rFonts w:ascii="宋体" w:eastAsia="宋体" w:hAnsi="宋体" w:cs="宋体"/>
          <w:sz w:val="22"/>
          <w:szCs w:val="22"/>
        </w:rPr>
        <w:t xml:space="preserve"> </w:t>
      </w:r>
      <w:r>
        <w:rPr>
          <w:rFonts w:ascii="宋体" w:eastAsia="宋体" w:hAnsi="宋体" w:cs="宋体"/>
          <w:spacing w:val="-6"/>
          <w:sz w:val="22"/>
          <w:szCs w:val="22"/>
        </w:rPr>
        <w:t>乳牛所产奶。</w:t>
      </w:r>
    </w:p>
    <w:p w:rsidR="00EA40A3" w:rsidRDefault="00E86C16">
      <w:pPr>
        <w:spacing w:before="110" w:line="235" w:lineRule="auto"/>
        <w:ind w:right="107" w:firstLine="419"/>
        <w:jc w:val="both"/>
        <w:rPr>
          <w:rFonts w:ascii="宋体" w:eastAsia="宋体" w:hAnsi="宋体" w:cs="宋体"/>
          <w:sz w:val="22"/>
          <w:szCs w:val="22"/>
        </w:rPr>
      </w:pPr>
      <w:r>
        <w:rPr>
          <w:rFonts w:ascii="宋体" w:eastAsia="宋体" w:hAnsi="宋体" w:cs="宋体"/>
          <w:spacing w:val="-13"/>
          <w:sz w:val="22"/>
          <w:szCs w:val="22"/>
        </w:rPr>
        <w:t>脂溶性维生素存在于牛奶的脂肪部分中，而水溶性</w:t>
      </w:r>
      <w:r>
        <w:rPr>
          <w:rFonts w:ascii="宋体" w:eastAsia="宋体" w:hAnsi="宋体" w:cs="宋体"/>
          <w:spacing w:val="-14"/>
          <w:sz w:val="22"/>
          <w:szCs w:val="22"/>
        </w:rPr>
        <w:t>维生素存在于水相。乳清</w:t>
      </w:r>
      <w:r>
        <w:rPr>
          <w:rFonts w:ascii="宋体" w:eastAsia="宋体" w:hAnsi="宋体" w:cs="宋体"/>
          <w:sz w:val="22"/>
          <w:szCs w:val="22"/>
        </w:rPr>
        <w:t xml:space="preserve"> </w:t>
      </w:r>
      <w:r>
        <w:rPr>
          <w:rFonts w:ascii="宋体" w:eastAsia="宋体" w:hAnsi="宋体" w:cs="宋体"/>
          <w:spacing w:val="-13"/>
          <w:sz w:val="22"/>
          <w:szCs w:val="22"/>
        </w:rPr>
        <w:t>所呈现的淡黄绿色便是核黄素的颜色。脱脂奶的脂溶性维生素含量显著下</w:t>
      </w:r>
      <w:r>
        <w:rPr>
          <w:rFonts w:ascii="宋体" w:eastAsia="宋体" w:hAnsi="宋体" w:cs="宋体"/>
          <w:spacing w:val="-14"/>
          <w:sz w:val="22"/>
          <w:szCs w:val="22"/>
        </w:rPr>
        <w:t>降，需</w:t>
      </w:r>
      <w:r>
        <w:rPr>
          <w:rFonts w:ascii="宋体" w:eastAsia="宋体" w:hAnsi="宋体" w:cs="宋体"/>
          <w:sz w:val="22"/>
          <w:szCs w:val="22"/>
        </w:rPr>
        <w:t xml:space="preserve"> </w:t>
      </w:r>
      <w:r>
        <w:rPr>
          <w:rFonts w:ascii="宋体" w:eastAsia="宋体" w:hAnsi="宋体" w:cs="宋体"/>
          <w:spacing w:val="-7"/>
          <w:sz w:val="22"/>
          <w:szCs w:val="22"/>
        </w:rPr>
        <w:t>要进行营养强化.</w:t>
      </w:r>
    </w:p>
    <w:p w:rsidR="00EA40A3" w:rsidRDefault="00E86C16">
      <w:pPr>
        <w:spacing w:before="275" w:line="221" w:lineRule="auto"/>
        <w:rPr>
          <w:rFonts w:ascii="仿宋" w:eastAsia="仿宋" w:hAnsi="仿宋" w:cs="仿宋"/>
          <w:sz w:val="22"/>
          <w:szCs w:val="22"/>
        </w:rPr>
      </w:pPr>
      <w:r>
        <w:rPr>
          <w:rFonts w:ascii="仿宋" w:eastAsia="仿宋" w:hAnsi="仿宋" w:cs="仿宋"/>
          <w:spacing w:val="10"/>
          <w:sz w:val="22"/>
          <w:szCs w:val="22"/>
        </w:rPr>
        <w:t>5.</w:t>
      </w:r>
      <w:r>
        <w:rPr>
          <w:rFonts w:ascii="仿宋" w:eastAsia="仿宋" w:hAnsi="仿宋" w:cs="仿宋"/>
          <w:spacing w:val="-18"/>
          <w:sz w:val="22"/>
          <w:szCs w:val="22"/>
        </w:rPr>
        <w:t xml:space="preserve"> </w:t>
      </w:r>
      <w:r>
        <w:rPr>
          <w:rFonts w:ascii="仿宋" w:eastAsia="仿宋" w:hAnsi="仿宋" w:cs="仿宋"/>
          <w:spacing w:val="10"/>
          <w:sz w:val="22"/>
          <w:szCs w:val="22"/>
        </w:rPr>
        <w:t>矿物质</w:t>
      </w:r>
    </w:p>
    <w:p w:rsidR="00EA40A3" w:rsidRDefault="00E86C16">
      <w:pPr>
        <w:spacing w:before="259" w:line="248" w:lineRule="auto"/>
        <w:ind w:right="10" w:firstLine="419"/>
        <w:jc w:val="both"/>
        <w:rPr>
          <w:rFonts w:ascii="宋体" w:eastAsia="宋体" w:hAnsi="宋体" w:cs="宋体"/>
          <w:sz w:val="22"/>
          <w:szCs w:val="22"/>
        </w:rPr>
      </w:pPr>
      <w:r>
        <w:rPr>
          <w:rFonts w:ascii="宋体" w:eastAsia="宋体" w:hAnsi="宋体" w:cs="宋体"/>
          <w:spacing w:val="-13"/>
          <w:sz w:val="22"/>
          <w:szCs w:val="22"/>
        </w:rPr>
        <w:t>牛乳中含有丰富的矿物质，主要包括钠、钾、钙、镁、氯、磷、硫、铜、铁</w:t>
      </w:r>
      <w:r>
        <w:rPr>
          <w:rFonts w:ascii="宋体" w:eastAsia="宋体" w:hAnsi="宋体" w:cs="宋体"/>
          <w:spacing w:val="6"/>
          <w:sz w:val="22"/>
          <w:szCs w:val="22"/>
        </w:rPr>
        <w:t xml:space="preserve"> </w:t>
      </w:r>
      <w:r>
        <w:rPr>
          <w:rFonts w:ascii="宋体" w:eastAsia="宋体" w:hAnsi="宋体" w:cs="宋体"/>
          <w:sz w:val="22"/>
          <w:szCs w:val="22"/>
        </w:rPr>
        <w:t>等(表6-22),是动物性食品中唯一的成碱性食品。牛乳</w:t>
      </w:r>
      <w:r>
        <w:rPr>
          <w:rFonts w:ascii="宋体" w:eastAsia="宋体" w:hAnsi="宋体" w:cs="宋体"/>
          <w:spacing w:val="-1"/>
          <w:sz w:val="22"/>
          <w:szCs w:val="22"/>
        </w:rPr>
        <w:t>中的钙80%以酪蛋白酸</w:t>
      </w:r>
      <w:r>
        <w:rPr>
          <w:rFonts w:ascii="宋体" w:eastAsia="宋体" w:hAnsi="宋体" w:cs="宋体"/>
          <w:sz w:val="22"/>
          <w:szCs w:val="22"/>
        </w:rPr>
        <w:t xml:space="preserve">  </w:t>
      </w:r>
      <w:r>
        <w:rPr>
          <w:rFonts w:ascii="宋体" w:eastAsia="宋体" w:hAnsi="宋体" w:cs="宋体"/>
          <w:spacing w:val="-13"/>
          <w:sz w:val="22"/>
          <w:szCs w:val="22"/>
        </w:rPr>
        <w:t>钙复合物的形式存在，其他矿物质也主要是以与蛋白质结合、吸</w:t>
      </w:r>
      <w:r>
        <w:rPr>
          <w:rFonts w:ascii="宋体" w:eastAsia="宋体" w:hAnsi="宋体" w:cs="宋体"/>
          <w:spacing w:val="-14"/>
          <w:sz w:val="22"/>
          <w:szCs w:val="22"/>
        </w:rPr>
        <w:t>附在脂肪球膜上</w:t>
      </w:r>
      <w:r>
        <w:rPr>
          <w:rFonts w:ascii="宋体" w:eastAsia="宋体" w:hAnsi="宋体" w:cs="宋体"/>
          <w:sz w:val="22"/>
          <w:szCs w:val="22"/>
        </w:rPr>
        <w:t xml:space="preserve">  </w:t>
      </w:r>
      <w:r>
        <w:rPr>
          <w:rFonts w:ascii="宋体" w:eastAsia="宋体" w:hAnsi="宋体" w:cs="宋体"/>
          <w:spacing w:val="-13"/>
          <w:sz w:val="22"/>
          <w:szCs w:val="22"/>
        </w:rPr>
        <w:t>或与有机酸结合形成盐类结合的形式存在的。牛乳中的钙、磷不仅含量高</w:t>
      </w:r>
      <w:r>
        <w:rPr>
          <w:rFonts w:ascii="宋体" w:eastAsia="宋体" w:hAnsi="宋体" w:cs="宋体"/>
          <w:spacing w:val="-14"/>
          <w:sz w:val="22"/>
          <w:szCs w:val="22"/>
        </w:rPr>
        <w:t>而且比</w:t>
      </w:r>
      <w:r>
        <w:rPr>
          <w:rFonts w:ascii="宋体" w:eastAsia="宋体" w:hAnsi="宋体" w:cs="宋体"/>
          <w:sz w:val="22"/>
          <w:szCs w:val="22"/>
        </w:rPr>
        <w:t xml:space="preserve">  </w:t>
      </w:r>
      <w:r>
        <w:rPr>
          <w:rFonts w:ascii="宋体" w:eastAsia="宋体" w:hAnsi="宋体" w:cs="宋体"/>
          <w:spacing w:val="-11"/>
          <w:sz w:val="22"/>
          <w:szCs w:val="22"/>
        </w:rPr>
        <w:t>例合适，并有维生素D、</w:t>
      </w:r>
      <w:r>
        <w:rPr>
          <w:rFonts w:ascii="宋体" w:eastAsia="宋体" w:hAnsi="宋体" w:cs="宋体"/>
          <w:spacing w:val="-42"/>
          <w:sz w:val="22"/>
          <w:szCs w:val="22"/>
        </w:rPr>
        <w:t xml:space="preserve"> </w:t>
      </w:r>
      <w:r>
        <w:rPr>
          <w:rFonts w:ascii="宋体" w:eastAsia="宋体" w:hAnsi="宋体" w:cs="宋体"/>
          <w:spacing w:val="-11"/>
          <w:sz w:val="22"/>
          <w:szCs w:val="22"/>
        </w:rPr>
        <w:t>乳糖等促进吸收因子</w:t>
      </w:r>
      <w:r>
        <w:rPr>
          <w:rFonts w:ascii="宋体" w:eastAsia="宋体" w:hAnsi="宋体" w:cs="宋体"/>
          <w:spacing w:val="-12"/>
          <w:sz w:val="22"/>
          <w:szCs w:val="22"/>
        </w:rPr>
        <w:t>，吸收利用效率高，因此牛乳是膳</w:t>
      </w:r>
      <w:r>
        <w:rPr>
          <w:rFonts w:ascii="宋体" w:eastAsia="宋体" w:hAnsi="宋体" w:cs="宋体"/>
          <w:sz w:val="22"/>
          <w:szCs w:val="22"/>
        </w:rPr>
        <w:t xml:space="preserve"> </w:t>
      </w:r>
      <w:r>
        <w:rPr>
          <w:rFonts w:ascii="宋体" w:eastAsia="宋体" w:hAnsi="宋体" w:cs="宋体"/>
          <w:spacing w:val="-14"/>
          <w:sz w:val="22"/>
          <w:szCs w:val="22"/>
        </w:rPr>
        <w:t>食中钙的最佳来源。我国人民食用牛乳较少，是膳食中的重要缺陷之一，也直接</w:t>
      </w:r>
      <w:r>
        <w:rPr>
          <w:rFonts w:ascii="宋体" w:eastAsia="宋体" w:hAnsi="宋体" w:cs="宋体"/>
          <w:spacing w:val="9"/>
          <w:sz w:val="22"/>
          <w:szCs w:val="22"/>
        </w:rPr>
        <w:t xml:space="preserve">  </w:t>
      </w:r>
      <w:r>
        <w:rPr>
          <w:rFonts w:ascii="宋体" w:eastAsia="宋体" w:hAnsi="宋体" w:cs="宋体"/>
          <w:spacing w:val="-10"/>
          <w:sz w:val="22"/>
          <w:szCs w:val="22"/>
        </w:rPr>
        <w:t>造成了钙摄入量的不足。牛乳中的钾、钠、镁等元素含</w:t>
      </w:r>
      <w:r>
        <w:rPr>
          <w:rFonts w:ascii="宋体" w:eastAsia="宋体" w:hAnsi="宋体" w:cs="宋体"/>
          <w:spacing w:val="-11"/>
          <w:sz w:val="22"/>
          <w:szCs w:val="22"/>
        </w:rPr>
        <w:t>量也较丰富，但铁、锌、</w:t>
      </w:r>
      <w:r>
        <w:rPr>
          <w:rFonts w:ascii="宋体" w:eastAsia="宋体" w:hAnsi="宋体" w:cs="宋体"/>
          <w:sz w:val="22"/>
          <w:szCs w:val="22"/>
        </w:rPr>
        <w:t xml:space="preserve"> </w:t>
      </w:r>
      <w:r>
        <w:rPr>
          <w:rFonts w:ascii="宋体" w:eastAsia="宋体" w:hAnsi="宋体" w:cs="宋体"/>
          <w:spacing w:val="-6"/>
          <w:sz w:val="22"/>
          <w:szCs w:val="22"/>
        </w:rPr>
        <w:t>铜等元素含量较低，必须从其他食物中获取足够的铁。表6-23列出</w:t>
      </w:r>
      <w:r>
        <w:rPr>
          <w:rFonts w:ascii="宋体" w:eastAsia="宋体" w:hAnsi="宋体" w:cs="宋体"/>
          <w:spacing w:val="-7"/>
          <w:sz w:val="22"/>
          <w:szCs w:val="22"/>
        </w:rPr>
        <w:t>一袋强化维</w:t>
      </w:r>
      <w:r>
        <w:rPr>
          <w:rFonts w:ascii="宋体" w:eastAsia="宋体" w:hAnsi="宋体" w:cs="宋体"/>
          <w:sz w:val="22"/>
          <w:szCs w:val="22"/>
        </w:rPr>
        <w:t xml:space="preserve"> </w:t>
      </w:r>
      <w:r>
        <w:rPr>
          <w:rFonts w:ascii="宋体" w:eastAsia="宋体" w:hAnsi="宋体" w:cs="宋体"/>
          <w:spacing w:val="-10"/>
          <w:sz w:val="22"/>
          <w:szCs w:val="22"/>
        </w:rPr>
        <w:t>生素A、D</w:t>
      </w:r>
      <w:r>
        <w:rPr>
          <w:rFonts w:ascii="宋体" w:eastAsia="宋体" w:hAnsi="宋体" w:cs="宋体"/>
          <w:spacing w:val="25"/>
          <w:sz w:val="22"/>
          <w:szCs w:val="22"/>
        </w:rPr>
        <w:t xml:space="preserve"> </w:t>
      </w:r>
      <w:r>
        <w:rPr>
          <w:rFonts w:ascii="宋体" w:eastAsia="宋体" w:hAnsi="宋体" w:cs="宋体"/>
          <w:spacing w:val="-10"/>
          <w:sz w:val="22"/>
          <w:szCs w:val="22"/>
        </w:rPr>
        <w:t>的消毒鲜牛乳的营养价值。</w:t>
      </w:r>
    </w:p>
    <w:p w:rsidR="00EA40A3" w:rsidRDefault="00E86C16">
      <w:pPr>
        <w:spacing w:before="109" w:line="245" w:lineRule="auto"/>
        <w:ind w:right="89" w:firstLine="419"/>
        <w:rPr>
          <w:rFonts w:ascii="宋体" w:eastAsia="宋体" w:hAnsi="宋体" w:cs="宋体"/>
          <w:sz w:val="22"/>
          <w:szCs w:val="22"/>
        </w:rPr>
      </w:pPr>
      <w:r>
        <w:rPr>
          <w:rFonts w:ascii="宋体" w:eastAsia="宋体" w:hAnsi="宋体" w:cs="宋体"/>
          <w:spacing w:val="1"/>
          <w:sz w:val="22"/>
          <w:szCs w:val="22"/>
        </w:rPr>
        <w:t>羊奶中的矿物质含量比牛奶略高，达0.85</w:t>
      </w:r>
      <w:r>
        <w:rPr>
          <w:rFonts w:ascii="宋体" w:eastAsia="宋体" w:hAnsi="宋体" w:cs="宋体"/>
          <w:sz w:val="22"/>
          <w:szCs w:val="22"/>
        </w:rPr>
        <w:t xml:space="preserve">%,其中钙、磷含量丰富，也是 </w:t>
      </w:r>
      <w:r>
        <w:rPr>
          <w:rFonts w:ascii="宋体" w:eastAsia="宋体" w:hAnsi="宋体" w:cs="宋体"/>
          <w:spacing w:val="-10"/>
          <w:sz w:val="22"/>
          <w:szCs w:val="22"/>
        </w:rPr>
        <w:t>天然补钙品。其中铁含量与牛奶相当，钴含量比牛奶高6倍。</w:t>
      </w:r>
    </w:p>
    <w:p w:rsidR="00EA40A3" w:rsidRDefault="00EA40A3">
      <w:pPr>
        <w:sectPr w:rsidR="00EA40A3">
          <w:footerReference w:type="default" r:id="rId186"/>
          <w:pgSz w:w="9220" w:h="13360"/>
          <w:pgMar w:top="400" w:right="999" w:bottom="1206" w:left="869" w:header="0" w:footer="985" w:gutter="0"/>
          <w:cols w:space="720"/>
        </w:sectPr>
      </w:pPr>
    </w:p>
    <w:p w:rsidR="00EA40A3" w:rsidRDefault="00EA40A3">
      <w:pPr>
        <w:spacing w:line="293" w:lineRule="auto"/>
      </w:pPr>
    </w:p>
    <w:p w:rsidR="00EA40A3" w:rsidRDefault="00EA40A3">
      <w:pPr>
        <w:spacing w:line="293" w:lineRule="auto"/>
      </w:pPr>
    </w:p>
    <w:p w:rsidR="00EA40A3" w:rsidRDefault="00E86C16">
      <w:pPr>
        <w:spacing w:before="62" w:line="221" w:lineRule="auto"/>
        <w:ind w:left="2602"/>
        <w:rPr>
          <w:rFonts w:ascii="仿宋" w:eastAsia="仿宋" w:hAnsi="仿宋" w:cs="仿宋"/>
          <w:sz w:val="19"/>
          <w:szCs w:val="19"/>
        </w:rPr>
      </w:pPr>
      <w:r>
        <w:rPr>
          <w:rFonts w:ascii="仿宋" w:eastAsia="仿宋" w:hAnsi="仿宋" w:cs="仿宋"/>
          <w:b/>
          <w:bCs/>
          <w:spacing w:val="-10"/>
          <w:sz w:val="19"/>
          <w:szCs w:val="19"/>
        </w:rPr>
        <w:t>表6-22</w:t>
      </w:r>
      <w:r>
        <w:rPr>
          <w:rFonts w:ascii="仿宋" w:eastAsia="仿宋" w:hAnsi="仿宋" w:cs="仿宋"/>
          <w:spacing w:val="53"/>
          <w:sz w:val="19"/>
          <w:szCs w:val="19"/>
        </w:rPr>
        <w:t xml:space="preserve"> </w:t>
      </w:r>
      <w:r>
        <w:rPr>
          <w:rFonts w:ascii="仿宋" w:eastAsia="仿宋" w:hAnsi="仿宋" w:cs="仿宋"/>
          <w:b/>
          <w:bCs/>
          <w:spacing w:val="-10"/>
          <w:sz w:val="19"/>
          <w:szCs w:val="19"/>
        </w:rPr>
        <w:t>牛乳中的矿物质组分</w:t>
      </w:r>
    </w:p>
    <w:p w:rsidR="00EA40A3" w:rsidRDefault="00EA40A3">
      <w:pPr>
        <w:spacing w:line="65" w:lineRule="exact"/>
      </w:pPr>
    </w:p>
    <w:tbl>
      <w:tblPr>
        <w:tblStyle w:val="TableNormal"/>
        <w:tblW w:w="7250"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3"/>
        <w:gridCol w:w="2027"/>
        <w:gridCol w:w="1718"/>
        <w:gridCol w:w="1762"/>
      </w:tblGrid>
      <w:tr w:rsidR="00EA40A3">
        <w:trPr>
          <w:trHeight w:val="274"/>
        </w:trPr>
        <w:tc>
          <w:tcPr>
            <w:tcW w:w="1743" w:type="dxa"/>
            <w:tcBorders>
              <w:left w:val="nil"/>
              <w:right w:val="nil"/>
            </w:tcBorders>
          </w:tcPr>
          <w:p w:rsidR="00EA40A3" w:rsidRDefault="00E86C16">
            <w:pPr>
              <w:spacing w:before="82" w:line="220" w:lineRule="auto"/>
              <w:ind w:left="790"/>
              <w:rPr>
                <w:rFonts w:ascii="宋体" w:eastAsia="宋体" w:hAnsi="宋体" w:cs="宋体"/>
                <w:sz w:val="16"/>
                <w:szCs w:val="16"/>
              </w:rPr>
            </w:pPr>
            <w:r>
              <w:rPr>
                <w:rFonts w:ascii="宋体" w:eastAsia="宋体" w:hAnsi="宋体" w:cs="宋体"/>
                <w:spacing w:val="-2"/>
                <w:sz w:val="16"/>
                <w:szCs w:val="16"/>
              </w:rPr>
              <w:t>成分</w:t>
            </w:r>
          </w:p>
        </w:tc>
        <w:tc>
          <w:tcPr>
            <w:tcW w:w="2027" w:type="dxa"/>
            <w:tcBorders>
              <w:left w:val="nil"/>
            </w:tcBorders>
          </w:tcPr>
          <w:p w:rsidR="00EA40A3" w:rsidRDefault="00E86C16">
            <w:pPr>
              <w:spacing w:before="65" w:line="214" w:lineRule="auto"/>
              <w:ind w:left="647"/>
              <w:rPr>
                <w:rFonts w:ascii="宋体" w:eastAsia="宋体" w:hAnsi="宋体" w:cs="宋体"/>
                <w:sz w:val="16"/>
                <w:szCs w:val="16"/>
              </w:rPr>
            </w:pPr>
            <w:r>
              <w:rPr>
                <w:rFonts w:ascii="宋体" w:eastAsia="宋体" w:hAnsi="宋体" w:cs="宋体"/>
                <w:spacing w:val="5"/>
                <w:sz w:val="16"/>
                <w:szCs w:val="16"/>
              </w:rPr>
              <w:t>含量/(</w:t>
            </w:r>
            <w:r>
              <w:rPr>
                <w:rFonts w:ascii="宋体" w:eastAsia="宋体" w:hAnsi="宋体" w:cs="宋体"/>
                <w:sz w:val="16"/>
                <w:szCs w:val="16"/>
              </w:rPr>
              <w:t>mg</w:t>
            </w:r>
            <w:r>
              <w:rPr>
                <w:rFonts w:ascii="宋体" w:eastAsia="宋体" w:hAnsi="宋体" w:cs="宋体"/>
                <w:spacing w:val="5"/>
                <w:sz w:val="16"/>
                <w:szCs w:val="16"/>
              </w:rPr>
              <w:t>/L)</w:t>
            </w:r>
          </w:p>
        </w:tc>
        <w:tc>
          <w:tcPr>
            <w:tcW w:w="1718" w:type="dxa"/>
            <w:tcBorders>
              <w:right w:val="nil"/>
            </w:tcBorders>
          </w:tcPr>
          <w:p w:rsidR="00EA40A3" w:rsidRDefault="00E86C16">
            <w:pPr>
              <w:spacing w:before="61" w:line="220" w:lineRule="auto"/>
              <w:ind w:left="855"/>
              <w:rPr>
                <w:rFonts w:ascii="宋体" w:eastAsia="宋体" w:hAnsi="宋体" w:cs="宋体"/>
                <w:sz w:val="16"/>
                <w:szCs w:val="16"/>
              </w:rPr>
            </w:pPr>
            <w:r>
              <w:rPr>
                <w:rFonts w:ascii="宋体" w:eastAsia="宋体" w:hAnsi="宋体" w:cs="宋体"/>
                <w:spacing w:val="-2"/>
                <w:sz w:val="16"/>
                <w:szCs w:val="16"/>
              </w:rPr>
              <w:t>成分</w:t>
            </w:r>
          </w:p>
        </w:tc>
        <w:tc>
          <w:tcPr>
            <w:tcW w:w="1762" w:type="dxa"/>
            <w:tcBorders>
              <w:left w:val="nil"/>
              <w:right w:val="nil"/>
            </w:tcBorders>
          </w:tcPr>
          <w:p w:rsidR="00EA40A3" w:rsidRDefault="00E86C16">
            <w:pPr>
              <w:spacing w:before="65" w:line="214" w:lineRule="auto"/>
              <w:ind w:left="552"/>
              <w:rPr>
                <w:rFonts w:ascii="宋体" w:eastAsia="宋体" w:hAnsi="宋体" w:cs="宋体"/>
                <w:sz w:val="16"/>
                <w:szCs w:val="16"/>
              </w:rPr>
            </w:pPr>
            <w:r>
              <w:rPr>
                <w:rFonts w:ascii="宋体" w:eastAsia="宋体" w:hAnsi="宋体" w:cs="宋体"/>
                <w:spacing w:val="3"/>
                <w:sz w:val="16"/>
                <w:szCs w:val="16"/>
              </w:rPr>
              <w:t>含量/(μg/L)</w:t>
            </w:r>
          </w:p>
        </w:tc>
      </w:tr>
      <w:tr w:rsidR="00EA40A3">
        <w:trPr>
          <w:trHeight w:val="3295"/>
        </w:trPr>
        <w:tc>
          <w:tcPr>
            <w:tcW w:w="1743" w:type="dxa"/>
            <w:tcBorders>
              <w:left w:val="nil"/>
              <w:right w:val="nil"/>
            </w:tcBorders>
            <w:textDirection w:val="tbRlV"/>
          </w:tcPr>
          <w:p w:rsidR="00EA40A3" w:rsidRDefault="00EA40A3">
            <w:pPr>
              <w:spacing w:line="322" w:lineRule="auto"/>
            </w:pPr>
          </w:p>
          <w:p w:rsidR="00EA40A3" w:rsidRDefault="00EA40A3">
            <w:pPr>
              <w:spacing w:line="323" w:lineRule="auto"/>
            </w:pPr>
          </w:p>
          <w:p w:rsidR="00EA40A3" w:rsidRDefault="00E86C16">
            <w:pPr>
              <w:spacing w:before="53" w:line="221" w:lineRule="auto"/>
              <w:ind w:left="62"/>
              <w:rPr>
                <w:rFonts w:ascii="宋体" w:eastAsia="宋体" w:hAnsi="宋体" w:cs="宋体"/>
                <w:sz w:val="16"/>
                <w:szCs w:val="16"/>
              </w:rPr>
            </w:pPr>
            <w:r>
              <w:rPr>
                <w:rFonts w:ascii="宋体" w:eastAsia="宋体" w:hAnsi="宋体" w:cs="宋体"/>
                <w:spacing w:val="-1"/>
                <w:sz w:val="16"/>
                <w:szCs w:val="16"/>
              </w:rPr>
              <w:t>钾钙</w:t>
            </w:r>
            <w:r>
              <w:rPr>
                <w:rFonts w:ascii="宋体" w:eastAsia="宋体" w:hAnsi="宋体" w:cs="宋体"/>
                <w:spacing w:val="40"/>
                <w:w w:val="101"/>
                <w:sz w:val="16"/>
                <w:szCs w:val="16"/>
              </w:rPr>
              <w:t xml:space="preserve">  </w:t>
            </w:r>
            <w:r>
              <w:rPr>
                <w:rFonts w:ascii="宋体" w:eastAsia="宋体" w:hAnsi="宋体" w:cs="宋体"/>
                <w:spacing w:val="-1"/>
                <w:sz w:val="16"/>
                <w:szCs w:val="16"/>
              </w:rPr>
              <w:t>钠</w:t>
            </w:r>
            <w:r>
              <w:rPr>
                <w:rFonts w:ascii="宋体" w:eastAsia="宋体" w:hAnsi="宋体" w:cs="宋体"/>
                <w:spacing w:val="51"/>
                <w:sz w:val="16"/>
                <w:szCs w:val="16"/>
              </w:rPr>
              <w:t xml:space="preserve"> </w:t>
            </w:r>
            <w:r>
              <w:rPr>
                <w:rFonts w:ascii="宋体" w:eastAsia="宋体" w:hAnsi="宋体" w:cs="宋体"/>
                <w:spacing w:val="-1"/>
                <w:sz w:val="16"/>
                <w:szCs w:val="16"/>
              </w:rPr>
              <w:t>镁</w:t>
            </w:r>
            <w:r>
              <w:rPr>
                <w:rFonts w:ascii="宋体" w:eastAsia="宋体" w:hAnsi="宋体" w:cs="宋体"/>
                <w:spacing w:val="8"/>
                <w:sz w:val="16"/>
                <w:szCs w:val="16"/>
              </w:rPr>
              <w:t xml:space="preserve"> </w:t>
            </w:r>
            <w:r>
              <w:rPr>
                <w:rFonts w:ascii="宋体" w:eastAsia="宋体" w:hAnsi="宋体" w:cs="宋体"/>
                <w:spacing w:val="-1"/>
                <w:sz w:val="16"/>
                <w:szCs w:val="16"/>
              </w:rPr>
              <w:t>磷</w:t>
            </w:r>
            <w:r>
              <w:rPr>
                <w:rFonts w:ascii="宋体" w:eastAsia="宋体" w:hAnsi="宋体" w:cs="宋体"/>
                <w:spacing w:val="51"/>
                <w:sz w:val="16"/>
                <w:szCs w:val="16"/>
              </w:rPr>
              <w:t xml:space="preserve"> </w:t>
            </w:r>
            <w:r>
              <w:rPr>
                <w:rFonts w:ascii="宋体" w:eastAsia="宋体" w:hAnsi="宋体" w:cs="宋体"/>
                <w:spacing w:val="-1"/>
                <w:sz w:val="16"/>
                <w:szCs w:val="16"/>
              </w:rPr>
              <w:t>氯</w:t>
            </w:r>
            <w:r>
              <w:rPr>
                <w:rFonts w:ascii="宋体" w:eastAsia="宋体" w:hAnsi="宋体" w:cs="宋体"/>
                <w:spacing w:val="21"/>
                <w:sz w:val="16"/>
                <w:szCs w:val="16"/>
              </w:rPr>
              <w:t xml:space="preserve"> </w:t>
            </w:r>
            <w:r>
              <w:rPr>
                <w:rFonts w:ascii="宋体" w:eastAsia="宋体" w:hAnsi="宋体" w:cs="宋体"/>
                <w:spacing w:val="-1"/>
                <w:sz w:val="16"/>
                <w:szCs w:val="16"/>
              </w:rPr>
              <w:t>硫</w:t>
            </w:r>
          </w:p>
        </w:tc>
        <w:tc>
          <w:tcPr>
            <w:tcW w:w="2027" w:type="dxa"/>
            <w:tcBorders>
              <w:left w:val="nil"/>
            </w:tcBorders>
          </w:tcPr>
          <w:p w:rsidR="00EA40A3" w:rsidRDefault="00E86C16">
            <w:pPr>
              <w:spacing w:before="107" w:line="184" w:lineRule="auto"/>
              <w:ind w:left="917"/>
              <w:rPr>
                <w:rFonts w:ascii="宋体" w:eastAsia="宋体" w:hAnsi="宋体" w:cs="宋体"/>
                <w:sz w:val="16"/>
                <w:szCs w:val="16"/>
              </w:rPr>
            </w:pPr>
            <w:r>
              <w:rPr>
                <w:rFonts w:ascii="宋体" w:eastAsia="宋体" w:hAnsi="宋体" w:cs="宋体"/>
                <w:spacing w:val="-4"/>
                <w:sz w:val="16"/>
                <w:szCs w:val="16"/>
              </w:rPr>
              <w:t>1500</w:t>
            </w:r>
          </w:p>
          <w:p w:rsidR="00EA40A3" w:rsidRDefault="00E86C16">
            <w:pPr>
              <w:spacing w:before="130" w:line="184" w:lineRule="auto"/>
              <w:ind w:left="917"/>
              <w:rPr>
                <w:rFonts w:ascii="宋体" w:eastAsia="宋体" w:hAnsi="宋体" w:cs="宋体"/>
                <w:sz w:val="16"/>
                <w:szCs w:val="16"/>
              </w:rPr>
            </w:pPr>
            <w:r>
              <w:rPr>
                <w:rFonts w:ascii="宋体" w:eastAsia="宋体" w:hAnsi="宋体" w:cs="宋体"/>
                <w:spacing w:val="-4"/>
                <w:sz w:val="16"/>
                <w:szCs w:val="16"/>
              </w:rPr>
              <w:t>1200</w:t>
            </w:r>
          </w:p>
          <w:p w:rsidR="00EA40A3" w:rsidRDefault="00E86C16">
            <w:pPr>
              <w:spacing w:before="111" w:line="183" w:lineRule="auto"/>
              <w:ind w:left="996"/>
              <w:rPr>
                <w:rFonts w:ascii="宋体" w:eastAsia="宋体" w:hAnsi="宋体" w:cs="宋体"/>
                <w:sz w:val="16"/>
                <w:szCs w:val="16"/>
              </w:rPr>
            </w:pPr>
            <w:r>
              <w:rPr>
                <w:rFonts w:ascii="宋体" w:eastAsia="宋体" w:hAnsi="宋体" w:cs="宋体"/>
                <w:spacing w:val="-3"/>
                <w:sz w:val="16"/>
                <w:szCs w:val="16"/>
              </w:rPr>
              <w:t>500</w:t>
            </w:r>
          </w:p>
          <w:p w:rsidR="00EA40A3" w:rsidRDefault="00E86C16">
            <w:pPr>
              <w:spacing w:before="110" w:line="184" w:lineRule="auto"/>
              <w:ind w:left="996"/>
              <w:rPr>
                <w:rFonts w:ascii="宋体" w:eastAsia="宋体" w:hAnsi="宋体" w:cs="宋体"/>
                <w:sz w:val="16"/>
                <w:szCs w:val="16"/>
              </w:rPr>
            </w:pPr>
            <w:r>
              <w:rPr>
                <w:rFonts w:ascii="宋体" w:eastAsia="宋体" w:hAnsi="宋体" w:cs="宋体"/>
                <w:spacing w:val="-5"/>
                <w:sz w:val="16"/>
                <w:szCs w:val="16"/>
              </w:rPr>
              <w:t>120</w:t>
            </w:r>
          </w:p>
          <w:p w:rsidR="00EA40A3" w:rsidRDefault="00E86C16">
            <w:pPr>
              <w:spacing w:before="111" w:line="183" w:lineRule="auto"/>
              <w:ind w:left="917"/>
              <w:rPr>
                <w:rFonts w:ascii="宋体" w:eastAsia="宋体" w:hAnsi="宋体" w:cs="宋体"/>
                <w:sz w:val="16"/>
                <w:szCs w:val="16"/>
              </w:rPr>
            </w:pPr>
            <w:r>
              <w:rPr>
                <w:rFonts w:ascii="宋体" w:eastAsia="宋体" w:hAnsi="宋体" w:cs="宋体"/>
                <w:spacing w:val="-2"/>
                <w:sz w:val="16"/>
                <w:szCs w:val="16"/>
              </w:rPr>
              <w:t>3000</w:t>
            </w:r>
          </w:p>
          <w:p w:rsidR="00EA40A3" w:rsidRDefault="00E86C16">
            <w:pPr>
              <w:spacing w:before="121" w:line="184" w:lineRule="auto"/>
              <w:ind w:left="917"/>
              <w:rPr>
                <w:rFonts w:ascii="宋体" w:eastAsia="宋体" w:hAnsi="宋体" w:cs="宋体"/>
                <w:sz w:val="16"/>
                <w:szCs w:val="16"/>
              </w:rPr>
            </w:pPr>
            <w:r>
              <w:rPr>
                <w:rFonts w:ascii="宋体" w:eastAsia="宋体" w:hAnsi="宋体" w:cs="宋体"/>
                <w:spacing w:val="-4"/>
                <w:sz w:val="16"/>
                <w:szCs w:val="16"/>
              </w:rPr>
              <w:t>1000</w:t>
            </w:r>
          </w:p>
          <w:p w:rsidR="00EA40A3" w:rsidRDefault="00E86C16">
            <w:pPr>
              <w:spacing w:before="110" w:line="184" w:lineRule="auto"/>
              <w:ind w:left="996"/>
              <w:rPr>
                <w:rFonts w:ascii="宋体" w:eastAsia="宋体" w:hAnsi="宋体" w:cs="宋体"/>
                <w:sz w:val="16"/>
                <w:szCs w:val="16"/>
              </w:rPr>
            </w:pPr>
            <w:r>
              <w:rPr>
                <w:rFonts w:ascii="宋体" w:eastAsia="宋体" w:hAnsi="宋体" w:cs="宋体"/>
                <w:spacing w:val="-5"/>
                <w:sz w:val="16"/>
                <w:szCs w:val="16"/>
              </w:rPr>
              <w:t>100</w:t>
            </w:r>
          </w:p>
        </w:tc>
        <w:tc>
          <w:tcPr>
            <w:tcW w:w="1718" w:type="dxa"/>
            <w:tcBorders>
              <w:right w:val="nil"/>
            </w:tcBorders>
            <w:textDirection w:val="tbRlV"/>
          </w:tcPr>
          <w:p w:rsidR="00EA40A3" w:rsidRDefault="00EA40A3">
            <w:pPr>
              <w:spacing w:line="315" w:lineRule="auto"/>
            </w:pPr>
          </w:p>
          <w:p w:rsidR="00EA40A3" w:rsidRDefault="00EA40A3">
            <w:pPr>
              <w:spacing w:line="315" w:lineRule="auto"/>
            </w:pPr>
          </w:p>
          <w:p w:rsidR="00EA40A3" w:rsidRDefault="00E86C16">
            <w:pPr>
              <w:spacing w:before="53" w:line="209" w:lineRule="auto"/>
              <w:ind w:left="67"/>
              <w:rPr>
                <w:rFonts w:ascii="宋体" w:eastAsia="宋体" w:hAnsi="宋体" w:cs="宋体"/>
                <w:sz w:val="16"/>
                <w:szCs w:val="16"/>
              </w:rPr>
            </w:pPr>
            <w:r>
              <w:rPr>
                <w:rFonts w:ascii="宋体" w:eastAsia="宋体" w:hAnsi="宋体" w:cs="宋体"/>
                <w:spacing w:val="-1"/>
                <w:sz w:val="16"/>
                <w:szCs w:val="16"/>
              </w:rPr>
              <w:t>锌</w:t>
            </w:r>
            <w:r>
              <w:rPr>
                <w:rFonts w:ascii="宋体" w:eastAsia="宋体" w:hAnsi="宋体" w:cs="宋体"/>
                <w:spacing w:val="43"/>
                <w:w w:val="101"/>
                <w:sz w:val="16"/>
                <w:szCs w:val="16"/>
              </w:rPr>
              <w:t xml:space="preserve"> </w:t>
            </w:r>
            <w:r>
              <w:rPr>
                <w:rFonts w:ascii="宋体" w:eastAsia="宋体" w:hAnsi="宋体" w:cs="宋体"/>
                <w:spacing w:val="-1"/>
                <w:sz w:val="16"/>
                <w:szCs w:val="16"/>
              </w:rPr>
              <w:t>铝</w:t>
            </w:r>
            <w:r>
              <w:rPr>
                <w:rFonts w:ascii="宋体" w:eastAsia="宋体" w:hAnsi="宋体" w:cs="宋体"/>
                <w:spacing w:val="36"/>
                <w:sz w:val="16"/>
                <w:szCs w:val="16"/>
              </w:rPr>
              <w:t xml:space="preserve"> </w:t>
            </w:r>
            <w:r>
              <w:rPr>
                <w:rFonts w:ascii="宋体" w:eastAsia="宋体" w:hAnsi="宋体" w:cs="宋体"/>
                <w:spacing w:val="-1"/>
                <w:sz w:val="16"/>
                <w:szCs w:val="16"/>
              </w:rPr>
              <w:t>铁</w:t>
            </w:r>
            <w:r>
              <w:rPr>
                <w:rFonts w:ascii="宋体" w:eastAsia="宋体" w:hAnsi="宋体" w:cs="宋体"/>
                <w:spacing w:val="30"/>
                <w:sz w:val="16"/>
                <w:szCs w:val="16"/>
              </w:rPr>
              <w:t xml:space="preserve"> </w:t>
            </w:r>
            <w:r>
              <w:rPr>
                <w:rFonts w:ascii="宋体" w:eastAsia="宋体" w:hAnsi="宋体" w:cs="宋体"/>
                <w:spacing w:val="-1"/>
                <w:sz w:val="16"/>
                <w:szCs w:val="16"/>
              </w:rPr>
              <w:t>铜</w:t>
            </w:r>
            <w:r>
              <w:rPr>
                <w:rFonts w:ascii="宋体" w:eastAsia="宋体" w:hAnsi="宋体" w:cs="宋体"/>
                <w:spacing w:val="52"/>
                <w:sz w:val="16"/>
                <w:szCs w:val="16"/>
              </w:rPr>
              <w:t xml:space="preserve"> </w:t>
            </w:r>
            <w:r>
              <w:rPr>
                <w:rFonts w:ascii="宋体" w:eastAsia="宋体" w:hAnsi="宋体" w:cs="宋体"/>
                <w:spacing w:val="-1"/>
                <w:sz w:val="16"/>
                <w:szCs w:val="16"/>
              </w:rPr>
              <w:t>钼</w:t>
            </w:r>
            <w:r>
              <w:rPr>
                <w:rFonts w:ascii="宋体" w:eastAsia="宋体" w:hAnsi="宋体" w:cs="宋体"/>
                <w:spacing w:val="33"/>
                <w:sz w:val="16"/>
                <w:szCs w:val="16"/>
              </w:rPr>
              <w:t xml:space="preserve"> </w:t>
            </w:r>
            <w:r>
              <w:rPr>
                <w:rFonts w:ascii="宋体" w:eastAsia="宋体" w:hAnsi="宋体" w:cs="宋体"/>
                <w:spacing w:val="-1"/>
                <w:sz w:val="16"/>
                <w:szCs w:val="16"/>
              </w:rPr>
              <w:t>锰</w:t>
            </w:r>
            <w:r>
              <w:rPr>
                <w:rFonts w:ascii="宋体" w:eastAsia="宋体" w:hAnsi="宋体" w:cs="宋体"/>
                <w:spacing w:val="25"/>
                <w:sz w:val="16"/>
                <w:szCs w:val="16"/>
              </w:rPr>
              <w:t xml:space="preserve"> </w:t>
            </w:r>
            <w:r>
              <w:rPr>
                <w:rFonts w:ascii="宋体" w:eastAsia="宋体" w:hAnsi="宋体" w:cs="宋体"/>
                <w:spacing w:val="-1"/>
                <w:sz w:val="16"/>
                <w:szCs w:val="16"/>
              </w:rPr>
              <w:t>镍</w:t>
            </w:r>
            <w:r>
              <w:rPr>
                <w:rFonts w:ascii="宋体" w:eastAsia="宋体" w:hAnsi="宋体" w:cs="宋体"/>
                <w:spacing w:val="60"/>
                <w:sz w:val="16"/>
                <w:szCs w:val="16"/>
              </w:rPr>
              <w:t xml:space="preserve"> </w:t>
            </w:r>
            <w:r>
              <w:rPr>
                <w:rFonts w:ascii="宋体" w:eastAsia="宋体" w:hAnsi="宋体" w:cs="宋体"/>
                <w:spacing w:val="-1"/>
                <w:sz w:val="16"/>
                <w:szCs w:val="16"/>
              </w:rPr>
              <w:t>硅</w:t>
            </w:r>
            <w:r>
              <w:rPr>
                <w:rFonts w:ascii="宋体" w:eastAsia="宋体" w:hAnsi="宋体" w:cs="宋体"/>
                <w:spacing w:val="21"/>
                <w:sz w:val="16"/>
                <w:szCs w:val="16"/>
              </w:rPr>
              <w:t xml:space="preserve"> </w:t>
            </w:r>
            <w:r>
              <w:rPr>
                <w:rFonts w:ascii="宋体" w:eastAsia="宋体" w:hAnsi="宋体" w:cs="宋体"/>
                <w:spacing w:val="-1"/>
                <w:sz w:val="16"/>
                <w:szCs w:val="16"/>
              </w:rPr>
              <w:t>溴</w:t>
            </w:r>
            <w:r>
              <w:rPr>
                <w:rFonts w:ascii="宋体" w:eastAsia="宋体" w:hAnsi="宋体" w:cs="宋体"/>
                <w:spacing w:val="40"/>
                <w:sz w:val="16"/>
                <w:szCs w:val="16"/>
              </w:rPr>
              <w:t xml:space="preserve"> </w:t>
            </w:r>
            <w:r>
              <w:rPr>
                <w:rFonts w:ascii="宋体" w:eastAsia="宋体" w:hAnsi="宋体" w:cs="宋体"/>
                <w:spacing w:val="-1"/>
                <w:sz w:val="16"/>
                <w:szCs w:val="16"/>
              </w:rPr>
              <w:t>硼</w:t>
            </w:r>
            <w:r>
              <w:rPr>
                <w:rFonts w:ascii="宋体" w:eastAsia="宋体" w:hAnsi="宋体" w:cs="宋体"/>
                <w:spacing w:val="29"/>
                <w:sz w:val="16"/>
                <w:szCs w:val="16"/>
              </w:rPr>
              <w:t xml:space="preserve"> </w:t>
            </w:r>
            <w:r>
              <w:rPr>
                <w:rFonts w:ascii="宋体" w:eastAsia="宋体" w:hAnsi="宋体" w:cs="宋体"/>
                <w:spacing w:val="-1"/>
                <w:sz w:val="16"/>
                <w:szCs w:val="16"/>
              </w:rPr>
              <w:t>氟</w:t>
            </w:r>
            <w:r>
              <w:rPr>
                <w:rFonts w:ascii="宋体" w:eastAsia="宋体" w:hAnsi="宋体" w:cs="宋体"/>
                <w:spacing w:val="41"/>
                <w:w w:val="101"/>
                <w:sz w:val="16"/>
                <w:szCs w:val="16"/>
              </w:rPr>
              <w:t xml:space="preserve"> </w:t>
            </w:r>
            <w:r>
              <w:rPr>
                <w:rFonts w:ascii="宋体" w:eastAsia="宋体" w:hAnsi="宋体" w:cs="宋体"/>
                <w:spacing w:val="-1"/>
                <w:sz w:val="16"/>
                <w:szCs w:val="16"/>
              </w:rPr>
              <w:t>碘</w:t>
            </w:r>
          </w:p>
        </w:tc>
        <w:tc>
          <w:tcPr>
            <w:tcW w:w="1762" w:type="dxa"/>
            <w:tcBorders>
              <w:left w:val="nil"/>
              <w:right w:val="nil"/>
            </w:tcBorders>
          </w:tcPr>
          <w:p w:rsidR="00EA40A3" w:rsidRDefault="00E86C16">
            <w:pPr>
              <w:spacing w:before="118" w:line="183" w:lineRule="auto"/>
              <w:ind w:left="832"/>
              <w:rPr>
                <w:rFonts w:ascii="宋体" w:eastAsia="宋体" w:hAnsi="宋体" w:cs="宋体"/>
                <w:sz w:val="16"/>
                <w:szCs w:val="16"/>
              </w:rPr>
            </w:pPr>
            <w:r>
              <w:rPr>
                <w:rFonts w:ascii="宋体" w:eastAsia="宋体" w:hAnsi="宋体" w:cs="宋体"/>
                <w:spacing w:val="-2"/>
                <w:sz w:val="16"/>
                <w:szCs w:val="16"/>
              </w:rPr>
              <w:t>4000</w:t>
            </w:r>
          </w:p>
          <w:p w:rsidR="00EA40A3" w:rsidRDefault="00E86C16">
            <w:pPr>
              <w:spacing w:before="111" w:line="183" w:lineRule="auto"/>
              <w:ind w:left="872"/>
              <w:rPr>
                <w:rFonts w:ascii="宋体" w:eastAsia="宋体" w:hAnsi="宋体" w:cs="宋体"/>
                <w:sz w:val="16"/>
                <w:szCs w:val="16"/>
              </w:rPr>
            </w:pPr>
            <w:r>
              <w:rPr>
                <w:rFonts w:ascii="宋体" w:eastAsia="宋体" w:hAnsi="宋体" w:cs="宋体"/>
                <w:spacing w:val="-3"/>
                <w:sz w:val="16"/>
                <w:szCs w:val="16"/>
              </w:rPr>
              <w:t>500</w:t>
            </w:r>
          </w:p>
          <w:p w:rsidR="00EA40A3" w:rsidRDefault="00E86C16">
            <w:pPr>
              <w:spacing w:before="121" w:line="183" w:lineRule="auto"/>
              <w:ind w:left="861"/>
              <w:rPr>
                <w:rFonts w:ascii="宋体" w:eastAsia="宋体" w:hAnsi="宋体" w:cs="宋体"/>
                <w:sz w:val="16"/>
                <w:szCs w:val="16"/>
              </w:rPr>
            </w:pPr>
            <w:r>
              <w:rPr>
                <w:rFonts w:ascii="宋体" w:eastAsia="宋体" w:hAnsi="宋体" w:cs="宋体"/>
                <w:spacing w:val="-2"/>
                <w:sz w:val="16"/>
                <w:szCs w:val="16"/>
              </w:rPr>
              <w:t>400</w:t>
            </w:r>
          </w:p>
          <w:p w:rsidR="00EA40A3" w:rsidRDefault="00E86C16">
            <w:pPr>
              <w:spacing w:before="120" w:line="184" w:lineRule="auto"/>
              <w:ind w:left="872"/>
              <w:rPr>
                <w:rFonts w:ascii="宋体" w:eastAsia="宋体" w:hAnsi="宋体" w:cs="宋体"/>
                <w:sz w:val="16"/>
                <w:szCs w:val="16"/>
              </w:rPr>
            </w:pPr>
            <w:r>
              <w:rPr>
                <w:rFonts w:ascii="宋体" w:eastAsia="宋体" w:hAnsi="宋体" w:cs="宋体"/>
                <w:spacing w:val="-5"/>
                <w:sz w:val="16"/>
                <w:szCs w:val="16"/>
              </w:rPr>
              <w:t>120</w:t>
            </w:r>
          </w:p>
          <w:p w:rsidR="00EA40A3" w:rsidRDefault="00E86C16">
            <w:pPr>
              <w:spacing w:before="121" w:line="183" w:lineRule="auto"/>
              <w:ind w:left="892"/>
              <w:rPr>
                <w:rFonts w:ascii="宋体" w:eastAsia="宋体" w:hAnsi="宋体" w:cs="宋体"/>
                <w:sz w:val="16"/>
                <w:szCs w:val="16"/>
              </w:rPr>
            </w:pPr>
            <w:r>
              <w:rPr>
                <w:rFonts w:ascii="宋体" w:eastAsia="宋体" w:hAnsi="宋体" w:cs="宋体"/>
                <w:spacing w:val="-2"/>
                <w:sz w:val="16"/>
                <w:szCs w:val="16"/>
              </w:rPr>
              <w:t>60</w:t>
            </w:r>
          </w:p>
          <w:p w:rsidR="00EA40A3" w:rsidRDefault="00E86C16">
            <w:pPr>
              <w:spacing w:before="101" w:line="183" w:lineRule="auto"/>
              <w:ind w:left="892"/>
              <w:rPr>
                <w:rFonts w:ascii="宋体" w:eastAsia="宋体" w:hAnsi="宋体" w:cs="宋体"/>
                <w:sz w:val="16"/>
                <w:szCs w:val="16"/>
              </w:rPr>
            </w:pPr>
            <w:r>
              <w:rPr>
                <w:rFonts w:ascii="宋体" w:eastAsia="宋体" w:hAnsi="宋体" w:cs="宋体"/>
                <w:spacing w:val="-3"/>
                <w:sz w:val="16"/>
                <w:szCs w:val="16"/>
              </w:rPr>
              <w:t>30</w:t>
            </w:r>
          </w:p>
          <w:p w:rsidR="00EA40A3" w:rsidRDefault="00E86C16">
            <w:pPr>
              <w:spacing w:before="122" w:line="183" w:lineRule="auto"/>
              <w:ind w:left="902"/>
              <w:rPr>
                <w:rFonts w:ascii="宋体" w:eastAsia="宋体" w:hAnsi="宋体" w:cs="宋体"/>
                <w:sz w:val="16"/>
                <w:szCs w:val="16"/>
              </w:rPr>
            </w:pPr>
            <w:r>
              <w:rPr>
                <w:rFonts w:ascii="宋体" w:eastAsia="宋体" w:hAnsi="宋体" w:cs="宋体"/>
                <w:spacing w:val="-3"/>
                <w:sz w:val="16"/>
                <w:szCs w:val="16"/>
              </w:rPr>
              <w:t>25</w:t>
            </w:r>
          </w:p>
          <w:p w:rsidR="00EA40A3" w:rsidRDefault="00E86C16">
            <w:pPr>
              <w:spacing w:before="140" w:line="184" w:lineRule="auto"/>
              <w:ind w:left="832"/>
              <w:rPr>
                <w:rFonts w:ascii="宋体" w:eastAsia="宋体" w:hAnsi="宋体" w:cs="宋体"/>
                <w:sz w:val="16"/>
                <w:szCs w:val="16"/>
              </w:rPr>
            </w:pPr>
            <w:r>
              <w:rPr>
                <w:rFonts w:ascii="宋体" w:eastAsia="宋体" w:hAnsi="宋体" w:cs="宋体"/>
                <w:spacing w:val="-4"/>
                <w:sz w:val="16"/>
                <w:szCs w:val="16"/>
              </w:rPr>
              <w:t>1500</w:t>
            </w:r>
          </w:p>
          <w:p w:rsidR="00EA40A3" w:rsidRDefault="00E86C16">
            <w:pPr>
              <w:spacing w:before="101" w:line="184" w:lineRule="auto"/>
              <w:ind w:left="841"/>
              <w:rPr>
                <w:rFonts w:ascii="宋体" w:eastAsia="宋体" w:hAnsi="宋体" w:cs="宋体"/>
                <w:sz w:val="16"/>
                <w:szCs w:val="16"/>
              </w:rPr>
            </w:pPr>
            <w:r>
              <w:rPr>
                <w:rFonts w:ascii="宋体" w:eastAsia="宋体" w:hAnsi="宋体" w:cs="宋体"/>
                <w:spacing w:val="-4"/>
                <w:sz w:val="16"/>
                <w:szCs w:val="16"/>
              </w:rPr>
              <w:t>1000</w:t>
            </w:r>
          </w:p>
          <w:p w:rsidR="00EA40A3" w:rsidRDefault="00E86C16">
            <w:pPr>
              <w:spacing w:before="121" w:line="183" w:lineRule="auto"/>
              <w:ind w:left="852"/>
              <w:rPr>
                <w:rFonts w:ascii="宋体" w:eastAsia="宋体" w:hAnsi="宋体" w:cs="宋体"/>
                <w:sz w:val="16"/>
                <w:szCs w:val="16"/>
              </w:rPr>
            </w:pPr>
            <w:r>
              <w:rPr>
                <w:rFonts w:ascii="宋体" w:eastAsia="宋体" w:hAnsi="宋体" w:cs="宋体"/>
                <w:spacing w:val="-2"/>
                <w:sz w:val="16"/>
                <w:szCs w:val="16"/>
              </w:rPr>
              <w:t>200</w:t>
            </w:r>
          </w:p>
          <w:p w:rsidR="00EA40A3" w:rsidRDefault="00E86C16">
            <w:pPr>
              <w:spacing w:before="121" w:line="184" w:lineRule="auto"/>
              <w:ind w:left="872"/>
              <w:rPr>
                <w:rFonts w:ascii="宋体" w:eastAsia="宋体" w:hAnsi="宋体" w:cs="宋体"/>
                <w:sz w:val="16"/>
                <w:szCs w:val="16"/>
              </w:rPr>
            </w:pPr>
            <w:r>
              <w:rPr>
                <w:rFonts w:ascii="宋体" w:eastAsia="宋体" w:hAnsi="宋体" w:cs="宋体"/>
                <w:spacing w:val="-5"/>
                <w:sz w:val="16"/>
                <w:szCs w:val="16"/>
              </w:rPr>
              <w:t>150</w:t>
            </w:r>
          </w:p>
          <w:p w:rsidR="00EA40A3" w:rsidRDefault="00E86C16">
            <w:pPr>
              <w:spacing w:before="121" w:line="126" w:lineRule="exact"/>
              <w:ind w:left="892"/>
              <w:rPr>
                <w:rFonts w:ascii="宋体" w:eastAsia="宋体" w:hAnsi="宋体" w:cs="宋体"/>
                <w:sz w:val="16"/>
                <w:szCs w:val="16"/>
              </w:rPr>
            </w:pPr>
            <w:r>
              <w:rPr>
                <w:rFonts w:ascii="宋体" w:eastAsia="宋体" w:hAnsi="宋体" w:cs="宋体"/>
                <w:spacing w:val="-2"/>
                <w:position w:val="-2"/>
                <w:sz w:val="16"/>
                <w:szCs w:val="16"/>
              </w:rPr>
              <w:t>60</w:t>
            </w:r>
          </w:p>
        </w:tc>
      </w:tr>
    </w:tbl>
    <w:p w:rsidR="00EA40A3" w:rsidRDefault="00E86C16">
      <w:pPr>
        <w:spacing w:before="76" w:line="214" w:lineRule="auto"/>
        <w:ind w:left="390"/>
        <w:rPr>
          <w:rFonts w:ascii="宋体" w:eastAsia="宋体" w:hAnsi="宋体" w:cs="宋体"/>
          <w:sz w:val="15"/>
          <w:szCs w:val="15"/>
        </w:rPr>
      </w:pPr>
      <w:r>
        <w:rPr>
          <w:rFonts w:ascii="宋体" w:eastAsia="宋体" w:hAnsi="宋体" w:cs="宋体"/>
          <w:spacing w:val="-1"/>
          <w:sz w:val="15"/>
          <w:szCs w:val="15"/>
        </w:rPr>
        <w:t>数据来源：</w:t>
      </w:r>
      <w:r>
        <w:rPr>
          <w:rFonts w:ascii="宋体" w:eastAsia="宋体" w:hAnsi="宋体" w:cs="宋体"/>
          <w:sz w:val="15"/>
          <w:szCs w:val="15"/>
        </w:rPr>
        <w:t>Belitz</w:t>
      </w:r>
      <w:r>
        <w:rPr>
          <w:rFonts w:ascii="宋体" w:eastAsia="宋体" w:hAnsi="宋体" w:cs="宋体"/>
          <w:spacing w:val="2"/>
          <w:sz w:val="15"/>
          <w:szCs w:val="15"/>
        </w:rPr>
        <w:t xml:space="preserve"> </w:t>
      </w:r>
      <w:r>
        <w:rPr>
          <w:rFonts w:ascii="宋体" w:eastAsia="宋体" w:hAnsi="宋体" w:cs="宋体"/>
          <w:sz w:val="15"/>
          <w:szCs w:val="15"/>
        </w:rPr>
        <w:t>H</w:t>
      </w:r>
      <w:r>
        <w:rPr>
          <w:rFonts w:ascii="宋体" w:eastAsia="宋体" w:hAnsi="宋体" w:cs="宋体"/>
          <w:spacing w:val="3"/>
          <w:sz w:val="15"/>
          <w:szCs w:val="15"/>
        </w:rPr>
        <w:t xml:space="preserve"> </w:t>
      </w:r>
      <w:r>
        <w:rPr>
          <w:rFonts w:ascii="宋体" w:eastAsia="宋体" w:hAnsi="宋体" w:cs="宋体"/>
          <w:sz w:val="15"/>
          <w:szCs w:val="15"/>
        </w:rPr>
        <w:t>D</w:t>
      </w:r>
      <w:r>
        <w:rPr>
          <w:rFonts w:ascii="宋体" w:eastAsia="宋体" w:hAnsi="宋体" w:cs="宋体"/>
          <w:spacing w:val="-1"/>
          <w:sz w:val="15"/>
          <w:szCs w:val="15"/>
        </w:rPr>
        <w:t>,</w:t>
      </w:r>
      <w:r>
        <w:rPr>
          <w:rFonts w:ascii="宋体" w:eastAsia="宋体" w:hAnsi="宋体" w:cs="宋体"/>
          <w:sz w:val="15"/>
          <w:szCs w:val="15"/>
        </w:rPr>
        <w:t>Grosch</w:t>
      </w:r>
      <w:r>
        <w:rPr>
          <w:rFonts w:ascii="宋体" w:eastAsia="宋体" w:hAnsi="宋体" w:cs="宋体"/>
          <w:spacing w:val="1"/>
          <w:sz w:val="15"/>
          <w:szCs w:val="15"/>
        </w:rPr>
        <w:t xml:space="preserve"> </w:t>
      </w:r>
      <w:r>
        <w:rPr>
          <w:rFonts w:ascii="宋体" w:eastAsia="宋体" w:hAnsi="宋体" w:cs="宋体"/>
          <w:sz w:val="15"/>
          <w:szCs w:val="15"/>
        </w:rPr>
        <w:t>W</w:t>
      </w:r>
      <w:r>
        <w:rPr>
          <w:rFonts w:ascii="宋体" w:eastAsia="宋体" w:hAnsi="宋体" w:cs="宋体"/>
          <w:spacing w:val="-1"/>
          <w:sz w:val="15"/>
          <w:szCs w:val="15"/>
        </w:rPr>
        <w:t>.1999.</w:t>
      </w:r>
      <w:r>
        <w:rPr>
          <w:rFonts w:ascii="宋体" w:eastAsia="宋体" w:hAnsi="宋体" w:cs="宋体"/>
          <w:sz w:val="15"/>
          <w:szCs w:val="15"/>
        </w:rPr>
        <w:t>Food</w:t>
      </w:r>
      <w:r>
        <w:rPr>
          <w:rFonts w:ascii="宋体" w:eastAsia="宋体" w:hAnsi="宋体" w:cs="宋体"/>
          <w:spacing w:val="4"/>
          <w:sz w:val="15"/>
          <w:szCs w:val="15"/>
        </w:rPr>
        <w:t xml:space="preserve"> </w:t>
      </w:r>
      <w:r>
        <w:rPr>
          <w:rFonts w:ascii="宋体" w:eastAsia="宋体" w:hAnsi="宋体" w:cs="宋体"/>
          <w:sz w:val="15"/>
          <w:szCs w:val="15"/>
        </w:rPr>
        <w:t>Chemistry</w:t>
      </w:r>
      <w:r>
        <w:rPr>
          <w:rFonts w:ascii="宋体" w:eastAsia="宋体" w:hAnsi="宋体" w:cs="宋体"/>
          <w:spacing w:val="-1"/>
          <w:sz w:val="15"/>
          <w:szCs w:val="15"/>
        </w:rPr>
        <w:t>.</w:t>
      </w:r>
      <w:r>
        <w:rPr>
          <w:rFonts w:ascii="宋体" w:eastAsia="宋体" w:hAnsi="宋体" w:cs="宋体"/>
          <w:spacing w:val="8"/>
          <w:sz w:val="15"/>
          <w:szCs w:val="15"/>
        </w:rPr>
        <w:t xml:space="preserve"> </w:t>
      </w:r>
      <w:r>
        <w:rPr>
          <w:rFonts w:ascii="宋体" w:eastAsia="宋体" w:hAnsi="宋体" w:cs="宋体"/>
          <w:spacing w:val="-1"/>
          <w:sz w:val="15"/>
          <w:szCs w:val="15"/>
        </w:rPr>
        <w:t>2</w:t>
      </w:r>
      <w:r>
        <w:rPr>
          <w:rFonts w:ascii="宋体" w:eastAsia="宋体" w:hAnsi="宋体" w:cs="宋体"/>
          <w:sz w:val="15"/>
          <w:szCs w:val="15"/>
        </w:rPr>
        <w:t>nd</w:t>
      </w:r>
      <w:r>
        <w:rPr>
          <w:rFonts w:ascii="宋体" w:eastAsia="宋体" w:hAnsi="宋体" w:cs="宋体"/>
          <w:spacing w:val="9"/>
          <w:sz w:val="15"/>
          <w:szCs w:val="15"/>
        </w:rPr>
        <w:t xml:space="preserve"> </w:t>
      </w:r>
      <w:r>
        <w:rPr>
          <w:rFonts w:ascii="宋体" w:eastAsia="宋体" w:hAnsi="宋体" w:cs="宋体"/>
          <w:sz w:val="15"/>
          <w:szCs w:val="15"/>
        </w:rPr>
        <w:t>editio</w:t>
      </w:r>
      <w:r>
        <w:rPr>
          <w:rFonts w:ascii="宋体" w:eastAsia="宋体" w:hAnsi="宋体" w:cs="宋体"/>
          <w:spacing w:val="-1"/>
          <w:sz w:val="15"/>
          <w:szCs w:val="15"/>
        </w:rPr>
        <w:t>n.New</w:t>
      </w:r>
      <w:r>
        <w:rPr>
          <w:rFonts w:ascii="宋体" w:eastAsia="宋体" w:hAnsi="宋体" w:cs="宋体"/>
          <w:spacing w:val="4"/>
          <w:sz w:val="15"/>
          <w:szCs w:val="15"/>
        </w:rPr>
        <w:t xml:space="preserve"> </w:t>
      </w:r>
      <w:r>
        <w:rPr>
          <w:rFonts w:ascii="宋体" w:eastAsia="宋体" w:hAnsi="宋体" w:cs="宋体"/>
          <w:spacing w:val="-1"/>
          <w:sz w:val="15"/>
          <w:szCs w:val="15"/>
        </w:rPr>
        <w:t>York:Springer-Verlag</w:t>
      </w:r>
    </w:p>
    <w:p w:rsidR="00EA40A3" w:rsidRDefault="00EA40A3">
      <w:pPr>
        <w:spacing w:line="341" w:lineRule="auto"/>
      </w:pPr>
    </w:p>
    <w:p w:rsidR="00EA40A3" w:rsidRDefault="00E86C16">
      <w:pPr>
        <w:spacing w:before="71" w:line="231" w:lineRule="auto"/>
        <w:ind w:right="159" w:firstLine="349"/>
        <w:rPr>
          <w:rFonts w:ascii="宋体" w:eastAsia="宋体" w:hAnsi="宋体" w:cs="宋体"/>
          <w:sz w:val="22"/>
          <w:szCs w:val="22"/>
        </w:rPr>
      </w:pPr>
      <w:r>
        <w:rPr>
          <w:rFonts w:ascii="宋体" w:eastAsia="宋体" w:hAnsi="宋体" w:cs="宋体"/>
          <w:spacing w:val="-13"/>
          <w:sz w:val="22"/>
          <w:szCs w:val="22"/>
        </w:rPr>
        <w:t>乳中的矿物质含量因品种、饲料、泌乳期等因素而有所差异，初乳中含量最</w:t>
      </w:r>
      <w:r>
        <w:rPr>
          <w:rFonts w:ascii="宋体" w:eastAsia="宋体" w:hAnsi="宋体" w:cs="宋体"/>
          <w:spacing w:val="18"/>
          <w:sz w:val="22"/>
          <w:szCs w:val="22"/>
        </w:rPr>
        <w:t xml:space="preserve"> </w:t>
      </w:r>
      <w:r>
        <w:rPr>
          <w:rFonts w:ascii="宋体" w:eastAsia="宋体" w:hAnsi="宋体" w:cs="宋体"/>
          <w:spacing w:val="-13"/>
          <w:sz w:val="22"/>
          <w:szCs w:val="22"/>
        </w:rPr>
        <w:t>高，常乳中含量略有下降。</w:t>
      </w:r>
    </w:p>
    <w:p w:rsidR="00EA40A3" w:rsidRDefault="00EA40A3">
      <w:pPr>
        <w:spacing w:line="299" w:lineRule="auto"/>
      </w:pPr>
    </w:p>
    <w:p w:rsidR="00EA40A3" w:rsidRDefault="00E86C16">
      <w:pPr>
        <w:spacing w:before="62" w:line="221" w:lineRule="auto"/>
        <w:ind w:left="1182"/>
        <w:rPr>
          <w:rFonts w:ascii="黑体" w:eastAsia="黑体" w:hAnsi="黑体" w:cs="黑体"/>
          <w:sz w:val="19"/>
          <w:szCs w:val="19"/>
        </w:rPr>
      </w:pPr>
      <w:r>
        <w:rPr>
          <w:rFonts w:ascii="黑体" w:eastAsia="黑体" w:hAnsi="黑体" w:cs="黑体"/>
          <w:b/>
          <w:bCs/>
          <w:spacing w:val="-11"/>
          <w:sz w:val="19"/>
          <w:szCs w:val="19"/>
        </w:rPr>
        <w:t>表6-23</w:t>
      </w:r>
      <w:r>
        <w:rPr>
          <w:rFonts w:ascii="黑体" w:eastAsia="黑体" w:hAnsi="黑体" w:cs="黑体"/>
          <w:spacing w:val="84"/>
          <w:sz w:val="19"/>
          <w:szCs w:val="19"/>
        </w:rPr>
        <w:t xml:space="preserve"> </w:t>
      </w:r>
      <w:r>
        <w:rPr>
          <w:rFonts w:ascii="黑体" w:eastAsia="黑体" w:hAnsi="黑体" w:cs="黑体"/>
          <w:b/>
          <w:bCs/>
          <w:spacing w:val="-11"/>
          <w:sz w:val="19"/>
          <w:szCs w:val="19"/>
        </w:rPr>
        <w:t>一袋强化维生素A、</w:t>
      </w:r>
      <w:r>
        <w:rPr>
          <w:rFonts w:ascii="黑体" w:eastAsia="黑体" w:hAnsi="黑体" w:cs="黑体"/>
          <w:spacing w:val="-31"/>
          <w:sz w:val="19"/>
          <w:szCs w:val="19"/>
        </w:rPr>
        <w:t xml:space="preserve"> </w:t>
      </w:r>
      <w:r>
        <w:rPr>
          <w:rFonts w:ascii="黑体" w:eastAsia="黑体" w:hAnsi="黑体" w:cs="黑体"/>
          <w:b/>
          <w:bCs/>
          <w:spacing w:val="-11"/>
          <w:sz w:val="19"/>
          <w:szCs w:val="19"/>
        </w:rPr>
        <w:t>维生素D</w:t>
      </w:r>
      <w:r>
        <w:rPr>
          <w:rFonts w:ascii="黑体" w:eastAsia="黑体" w:hAnsi="黑体" w:cs="黑体"/>
          <w:spacing w:val="-2"/>
          <w:sz w:val="19"/>
          <w:szCs w:val="19"/>
        </w:rPr>
        <w:t xml:space="preserve"> </w:t>
      </w:r>
      <w:r>
        <w:rPr>
          <w:rFonts w:ascii="黑体" w:eastAsia="黑体" w:hAnsi="黑体" w:cs="黑体"/>
          <w:b/>
          <w:bCs/>
          <w:spacing w:val="-11"/>
          <w:sz w:val="19"/>
          <w:szCs w:val="19"/>
        </w:rPr>
        <w:t>的消毒鲜牛乳的营养价值</w:t>
      </w:r>
    </w:p>
    <w:p w:rsidR="00EA40A3" w:rsidRDefault="00EA40A3">
      <w:pPr>
        <w:spacing w:line="14" w:lineRule="exact"/>
      </w:pPr>
    </w:p>
    <w:tbl>
      <w:tblPr>
        <w:tblStyle w:val="TableNormal"/>
        <w:tblW w:w="730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212"/>
        <w:gridCol w:w="1309"/>
        <w:gridCol w:w="1035"/>
        <w:gridCol w:w="1456"/>
        <w:gridCol w:w="1297"/>
      </w:tblGrid>
      <w:tr w:rsidR="00EA40A3">
        <w:trPr>
          <w:trHeight w:val="292"/>
        </w:trPr>
        <w:tc>
          <w:tcPr>
            <w:tcW w:w="2212" w:type="dxa"/>
            <w:tcBorders>
              <w:top w:val="single" w:sz="4" w:space="0" w:color="000000"/>
              <w:bottom w:val="single" w:sz="4" w:space="0" w:color="000000"/>
            </w:tcBorders>
          </w:tcPr>
          <w:p w:rsidR="00EA40A3" w:rsidRDefault="00E86C16">
            <w:pPr>
              <w:spacing w:before="112" w:line="195" w:lineRule="auto"/>
              <w:ind w:left="990"/>
              <w:rPr>
                <w:rFonts w:ascii="宋体" w:eastAsia="宋体" w:hAnsi="宋体" w:cs="宋体"/>
                <w:sz w:val="17"/>
                <w:szCs w:val="17"/>
              </w:rPr>
            </w:pPr>
            <w:r>
              <w:rPr>
                <w:rFonts w:ascii="宋体" w:eastAsia="宋体" w:hAnsi="宋体" w:cs="宋体"/>
                <w:spacing w:val="-5"/>
                <w:sz w:val="17"/>
                <w:szCs w:val="17"/>
              </w:rPr>
              <w:t>项 目</w:t>
            </w:r>
          </w:p>
        </w:tc>
        <w:tc>
          <w:tcPr>
            <w:tcW w:w="1309" w:type="dxa"/>
            <w:tcBorders>
              <w:top w:val="single" w:sz="4" w:space="0" w:color="000000"/>
              <w:bottom w:val="single" w:sz="4" w:space="0" w:color="000000"/>
            </w:tcBorders>
          </w:tcPr>
          <w:p w:rsidR="00EA40A3" w:rsidRDefault="00E86C16">
            <w:pPr>
              <w:spacing w:before="116" w:line="191" w:lineRule="auto"/>
              <w:ind w:left="308"/>
              <w:rPr>
                <w:rFonts w:ascii="宋体" w:eastAsia="宋体" w:hAnsi="宋体" w:cs="宋体"/>
                <w:sz w:val="17"/>
                <w:szCs w:val="17"/>
              </w:rPr>
            </w:pPr>
            <w:r>
              <w:rPr>
                <w:rFonts w:ascii="宋体" w:eastAsia="宋体" w:hAnsi="宋体" w:cs="宋体"/>
                <w:spacing w:val="-3"/>
                <w:sz w:val="17"/>
                <w:szCs w:val="17"/>
              </w:rPr>
              <w:t>蛋白质/g</w:t>
            </w:r>
          </w:p>
        </w:tc>
        <w:tc>
          <w:tcPr>
            <w:tcW w:w="1035" w:type="dxa"/>
            <w:tcBorders>
              <w:top w:val="single" w:sz="4" w:space="0" w:color="000000"/>
              <w:bottom w:val="single" w:sz="4" w:space="0" w:color="000000"/>
            </w:tcBorders>
          </w:tcPr>
          <w:p w:rsidR="00EA40A3" w:rsidRDefault="00E86C16">
            <w:pPr>
              <w:spacing w:before="116" w:line="191" w:lineRule="auto"/>
              <w:ind w:left="339"/>
              <w:rPr>
                <w:rFonts w:ascii="宋体" w:eastAsia="宋体" w:hAnsi="宋体" w:cs="宋体"/>
                <w:sz w:val="17"/>
                <w:szCs w:val="17"/>
              </w:rPr>
            </w:pPr>
            <w:r>
              <w:rPr>
                <w:rFonts w:ascii="宋体" w:eastAsia="宋体" w:hAnsi="宋体" w:cs="宋体"/>
                <w:spacing w:val="-2"/>
                <w:sz w:val="17"/>
                <w:szCs w:val="17"/>
              </w:rPr>
              <w:t>钙/mg</w:t>
            </w:r>
          </w:p>
        </w:tc>
        <w:tc>
          <w:tcPr>
            <w:tcW w:w="1456" w:type="dxa"/>
            <w:tcBorders>
              <w:top w:val="single" w:sz="4" w:space="0" w:color="000000"/>
              <w:bottom w:val="single" w:sz="4" w:space="0" w:color="000000"/>
            </w:tcBorders>
          </w:tcPr>
          <w:p w:rsidR="00EA40A3" w:rsidRDefault="00E86C16">
            <w:pPr>
              <w:spacing w:before="96" w:line="212" w:lineRule="auto"/>
              <w:ind w:left="284"/>
              <w:rPr>
                <w:rFonts w:ascii="宋体" w:eastAsia="宋体" w:hAnsi="宋体" w:cs="宋体"/>
                <w:sz w:val="17"/>
                <w:szCs w:val="17"/>
              </w:rPr>
            </w:pPr>
            <w:r>
              <w:rPr>
                <w:rFonts w:ascii="宋体" w:eastAsia="宋体" w:hAnsi="宋体" w:cs="宋体"/>
                <w:spacing w:val="-1"/>
                <w:sz w:val="17"/>
                <w:szCs w:val="17"/>
              </w:rPr>
              <w:t>维生素A/ugRE</w:t>
            </w:r>
          </w:p>
        </w:tc>
        <w:tc>
          <w:tcPr>
            <w:tcW w:w="1297" w:type="dxa"/>
            <w:tcBorders>
              <w:top w:val="single" w:sz="4" w:space="0" w:color="000000"/>
              <w:bottom w:val="single" w:sz="4" w:space="0" w:color="000000"/>
            </w:tcBorders>
          </w:tcPr>
          <w:p w:rsidR="00EA40A3" w:rsidRDefault="00E86C16">
            <w:pPr>
              <w:spacing w:before="116" w:line="191" w:lineRule="auto"/>
              <w:ind w:left="167"/>
              <w:rPr>
                <w:rFonts w:ascii="宋体" w:eastAsia="宋体" w:hAnsi="宋体" w:cs="宋体"/>
                <w:sz w:val="17"/>
                <w:szCs w:val="17"/>
              </w:rPr>
            </w:pPr>
            <w:r>
              <w:rPr>
                <w:rFonts w:ascii="宋体" w:eastAsia="宋体" w:hAnsi="宋体" w:cs="宋体"/>
                <w:spacing w:val="13"/>
                <w:sz w:val="17"/>
                <w:szCs w:val="17"/>
              </w:rPr>
              <w:t>维生素B</w:t>
            </w:r>
            <w:r>
              <w:rPr>
                <w:rFonts w:ascii="Calibri" w:eastAsia="Calibri" w:hAnsi="Calibri" w:cs="Calibri"/>
                <w:spacing w:val="13"/>
                <w:sz w:val="17"/>
                <w:szCs w:val="17"/>
              </w:rPr>
              <w:t>₂</w:t>
            </w:r>
            <w:r>
              <w:rPr>
                <w:rFonts w:ascii="宋体" w:eastAsia="宋体" w:hAnsi="宋体" w:cs="宋体"/>
                <w:spacing w:val="13"/>
                <w:sz w:val="17"/>
                <w:szCs w:val="17"/>
              </w:rPr>
              <w:t>/</w:t>
            </w:r>
            <w:r>
              <w:rPr>
                <w:rFonts w:ascii="宋体" w:eastAsia="宋体" w:hAnsi="宋体" w:cs="宋体"/>
                <w:sz w:val="17"/>
                <w:szCs w:val="17"/>
              </w:rPr>
              <w:t>mg</w:t>
            </w:r>
          </w:p>
        </w:tc>
      </w:tr>
      <w:tr w:rsidR="00EA40A3">
        <w:trPr>
          <w:trHeight w:val="292"/>
        </w:trPr>
        <w:tc>
          <w:tcPr>
            <w:tcW w:w="2212" w:type="dxa"/>
            <w:tcBorders>
              <w:top w:val="single" w:sz="4" w:space="0" w:color="000000"/>
            </w:tcBorders>
          </w:tcPr>
          <w:p w:rsidR="00EA40A3" w:rsidRDefault="00E86C16">
            <w:pPr>
              <w:spacing w:before="70" w:line="219" w:lineRule="auto"/>
              <w:ind w:left="219"/>
              <w:rPr>
                <w:rFonts w:ascii="宋体" w:eastAsia="宋体" w:hAnsi="宋体" w:cs="宋体"/>
                <w:sz w:val="17"/>
                <w:szCs w:val="17"/>
              </w:rPr>
            </w:pPr>
            <w:r>
              <w:rPr>
                <w:rFonts w:ascii="宋体" w:eastAsia="宋体" w:hAnsi="宋体" w:cs="宋体"/>
                <w:spacing w:val="-1"/>
                <w:sz w:val="17"/>
                <w:szCs w:val="17"/>
              </w:rPr>
              <w:t>一袋强化鲜奶中的含量</w:t>
            </w:r>
          </w:p>
        </w:tc>
        <w:tc>
          <w:tcPr>
            <w:tcW w:w="1309" w:type="dxa"/>
            <w:tcBorders>
              <w:top w:val="single" w:sz="4" w:space="0" w:color="000000"/>
            </w:tcBorders>
          </w:tcPr>
          <w:p w:rsidR="00EA40A3" w:rsidRDefault="00E86C16">
            <w:pPr>
              <w:spacing w:before="113" w:line="183" w:lineRule="auto"/>
              <w:ind w:left="518"/>
              <w:rPr>
                <w:rFonts w:ascii="宋体" w:eastAsia="宋体" w:hAnsi="宋体" w:cs="宋体"/>
                <w:sz w:val="17"/>
                <w:szCs w:val="17"/>
              </w:rPr>
            </w:pPr>
            <w:r>
              <w:rPr>
                <w:rFonts w:ascii="宋体" w:eastAsia="宋体" w:hAnsi="宋体" w:cs="宋体"/>
                <w:spacing w:val="-3"/>
                <w:sz w:val="17"/>
                <w:szCs w:val="17"/>
              </w:rPr>
              <w:t>7.0</w:t>
            </w:r>
          </w:p>
        </w:tc>
        <w:tc>
          <w:tcPr>
            <w:tcW w:w="1035" w:type="dxa"/>
            <w:tcBorders>
              <w:top w:val="single" w:sz="4" w:space="0" w:color="000000"/>
            </w:tcBorders>
          </w:tcPr>
          <w:p w:rsidR="00EA40A3" w:rsidRDefault="00E86C16">
            <w:pPr>
              <w:spacing w:before="113" w:line="183" w:lineRule="auto"/>
              <w:ind w:left="339"/>
              <w:rPr>
                <w:rFonts w:ascii="宋体" w:eastAsia="宋体" w:hAnsi="宋体" w:cs="宋体"/>
                <w:sz w:val="17"/>
                <w:szCs w:val="17"/>
              </w:rPr>
            </w:pPr>
            <w:r>
              <w:rPr>
                <w:rFonts w:ascii="宋体" w:eastAsia="宋体" w:hAnsi="宋体" w:cs="宋体"/>
                <w:spacing w:val="-1"/>
                <w:sz w:val="17"/>
                <w:szCs w:val="17"/>
              </w:rPr>
              <w:t>402.5</w:t>
            </w:r>
          </w:p>
        </w:tc>
        <w:tc>
          <w:tcPr>
            <w:tcW w:w="1456" w:type="dxa"/>
            <w:tcBorders>
              <w:top w:val="single" w:sz="4" w:space="0" w:color="000000"/>
            </w:tcBorders>
          </w:tcPr>
          <w:p w:rsidR="00EA40A3" w:rsidRDefault="00E86C16">
            <w:pPr>
              <w:spacing w:before="112" w:line="184" w:lineRule="auto"/>
              <w:ind w:left="704"/>
              <w:rPr>
                <w:rFonts w:ascii="宋体" w:eastAsia="宋体" w:hAnsi="宋体" w:cs="宋体"/>
                <w:sz w:val="17"/>
                <w:szCs w:val="17"/>
              </w:rPr>
            </w:pPr>
            <w:r>
              <w:rPr>
                <w:rFonts w:ascii="宋体" w:eastAsia="宋体" w:hAnsi="宋体" w:cs="宋体"/>
                <w:spacing w:val="-5"/>
                <w:sz w:val="17"/>
                <w:szCs w:val="17"/>
              </w:rPr>
              <w:t>195</w:t>
            </w:r>
          </w:p>
        </w:tc>
        <w:tc>
          <w:tcPr>
            <w:tcW w:w="1297" w:type="dxa"/>
            <w:tcBorders>
              <w:top w:val="single" w:sz="4" w:space="0" w:color="000000"/>
            </w:tcBorders>
          </w:tcPr>
          <w:p w:rsidR="00EA40A3" w:rsidRDefault="00E86C16">
            <w:pPr>
              <w:spacing w:before="112" w:line="184" w:lineRule="auto"/>
              <w:ind w:left="488"/>
              <w:rPr>
                <w:rFonts w:ascii="宋体" w:eastAsia="宋体" w:hAnsi="宋体" w:cs="宋体"/>
                <w:sz w:val="17"/>
                <w:szCs w:val="17"/>
              </w:rPr>
            </w:pPr>
            <w:r>
              <w:rPr>
                <w:rFonts w:ascii="宋体" w:eastAsia="宋体" w:hAnsi="宋体" w:cs="宋体"/>
                <w:spacing w:val="-2"/>
                <w:sz w:val="17"/>
                <w:szCs w:val="17"/>
              </w:rPr>
              <w:t>0.18</w:t>
            </w:r>
          </w:p>
        </w:tc>
      </w:tr>
      <w:tr w:rsidR="00EA40A3">
        <w:trPr>
          <w:trHeight w:val="273"/>
        </w:trPr>
        <w:tc>
          <w:tcPr>
            <w:tcW w:w="2212" w:type="dxa"/>
          </w:tcPr>
          <w:p w:rsidR="00EA40A3" w:rsidRDefault="00E86C16">
            <w:pPr>
              <w:spacing w:before="68" w:line="219" w:lineRule="auto"/>
              <w:ind w:left="219"/>
              <w:rPr>
                <w:rFonts w:ascii="宋体" w:eastAsia="宋体" w:hAnsi="宋体" w:cs="宋体"/>
                <w:sz w:val="17"/>
                <w:szCs w:val="17"/>
              </w:rPr>
            </w:pPr>
            <w:r>
              <w:rPr>
                <w:rFonts w:ascii="宋体" w:eastAsia="宋体" w:hAnsi="宋体" w:cs="宋体"/>
                <w:spacing w:val="-1"/>
                <w:sz w:val="17"/>
                <w:szCs w:val="17"/>
              </w:rPr>
              <w:t>轻体力劳动男子的DRI</w:t>
            </w:r>
          </w:p>
        </w:tc>
        <w:tc>
          <w:tcPr>
            <w:tcW w:w="1309" w:type="dxa"/>
          </w:tcPr>
          <w:p w:rsidR="00EA40A3" w:rsidRDefault="00E86C16">
            <w:pPr>
              <w:spacing w:before="111" w:line="175" w:lineRule="auto"/>
              <w:ind w:left="568"/>
              <w:rPr>
                <w:rFonts w:ascii="宋体" w:eastAsia="宋体" w:hAnsi="宋体" w:cs="宋体"/>
                <w:sz w:val="17"/>
                <w:szCs w:val="17"/>
              </w:rPr>
            </w:pPr>
            <w:r>
              <w:rPr>
                <w:rFonts w:ascii="宋体" w:eastAsia="宋体" w:hAnsi="宋体" w:cs="宋体"/>
                <w:spacing w:val="-2"/>
                <w:sz w:val="17"/>
                <w:szCs w:val="17"/>
              </w:rPr>
              <w:t>80</w:t>
            </w:r>
          </w:p>
        </w:tc>
        <w:tc>
          <w:tcPr>
            <w:tcW w:w="1035" w:type="dxa"/>
          </w:tcPr>
          <w:p w:rsidR="00EA40A3" w:rsidRDefault="00E86C16">
            <w:pPr>
              <w:spacing w:before="111" w:line="175" w:lineRule="auto"/>
              <w:ind w:left="508"/>
              <w:rPr>
                <w:rFonts w:ascii="宋体" w:eastAsia="宋体" w:hAnsi="宋体" w:cs="宋体"/>
                <w:sz w:val="17"/>
                <w:szCs w:val="17"/>
              </w:rPr>
            </w:pPr>
            <w:r>
              <w:rPr>
                <w:rFonts w:ascii="宋体" w:eastAsia="宋体" w:hAnsi="宋体" w:cs="宋体"/>
                <w:spacing w:val="-2"/>
                <w:sz w:val="17"/>
                <w:szCs w:val="17"/>
              </w:rPr>
              <w:t>800</w:t>
            </w:r>
          </w:p>
        </w:tc>
        <w:tc>
          <w:tcPr>
            <w:tcW w:w="1456" w:type="dxa"/>
          </w:tcPr>
          <w:p w:rsidR="00EA40A3" w:rsidRDefault="00E86C16">
            <w:pPr>
              <w:spacing w:before="111" w:line="175" w:lineRule="auto"/>
              <w:ind w:left="704"/>
              <w:rPr>
                <w:rFonts w:ascii="宋体" w:eastAsia="宋体" w:hAnsi="宋体" w:cs="宋体"/>
                <w:sz w:val="17"/>
                <w:szCs w:val="17"/>
              </w:rPr>
            </w:pPr>
            <w:r>
              <w:rPr>
                <w:rFonts w:ascii="宋体" w:eastAsia="宋体" w:hAnsi="宋体" w:cs="宋体"/>
                <w:spacing w:val="-2"/>
                <w:sz w:val="17"/>
                <w:szCs w:val="17"/>
              </w:rPr>
              <w:t>800</w:t>
            </w:r>
          </w:p>
        </w:tc>
        <w:tc>
          <w:tcPr>
            <w:tcW w:w="1297" w:type="dxa"/>
          </w:tcPr>
          <w:p w:rsidR="00EA40A3" w:rsidRDefault="00E86C16">
            <w:pPr>
              <w:spacing w:before="110" w:line="176" w:lineRule="auto"/>
              <w:ind w:left="528"/>
              <w:rPr>
                <w:rFonts w:ascii="宋体" w:eastAsia="宋体" w:hAnsi="宋体" w:cs="宋体"/>
                <w:sz w:val="17"/>
                <w:szCs w:val="17"/>
              </w:rPr>
            </w:pPr>
            <w:r>
              <w:rPr>
                <w:rFonts w:ascii="宋体" w:eastAsia="宋体" w:hAnsi="宋体" w:cs="宋体"/>
                <w:spacing w:val="-5"/>
                <w:sz w:val="17"/>
                <w:szCs w:val="17"/>
              </w:rPr>
              <w:t>1.2</w:t>
            </w:r>
          </w:p>
        </w:tc>
      </w:tr>
      <w:tr w:rsidR="00EA40A3">
        <w:trPr>
          <w:trHeight w:val="252"/>
        </w:trPr>
        <w:tc>
          <w:tcPr>
            <w:tcW w:w="2212" w:type="dxa"/>
            <w:tcBorders>
              <w:bottom w:val="single" w:sz="4" w:space="0" w:color="000000"/>
            </w:tcBorders>
          </w:tcPr>
          <w:p w:rsidR="00EA40A3" w:rsidRDefault="00E86C16">
            <w:pPr>
              <w:spacing w:before="54" w:line="215" w:lineRule="auto"/>
              <w:ind w:left="219"/>
              <w:rPr>
                <w:rFonts w:ascii="宋体" w:eastAsia="宋体" w:hAnsi="宋体" w:cs="宋体"/>
                <w:sz w:val="17"/>
                <w:szCs w:val="17"/>
              </w:rPr>
            </w:pPr>
            <w:r>
              <w:rPr>
                <w:rFonts w:ascii="宋体" w:eastAsia="宋体" w:hAnsi="宋体" w:cs="宋体"/>
                <w:spacing w:val="-1"/>
                <w:sz w:val="17"/>
                <w:szCs w:val="17"/>
              </w:rPr>
              <w:t>可供应RDA的比例/%</w:t>
            </w:r>
          </w:p>
        </w:tc>
        <w:tc>
          <w:tcPr>
            <w:tcW w:w="1309" w:type="dxa"/>
            <w:tcBorders>
              <w:bottom w:val="single" w:sz="4" w:space="0" w:color="000000"/>
            </w:tcBorders>
          </w:tcPr>
          <w:p w:rsidR="00EA40A3" w:rsidRDefault="00E86C16">
            <w:pPr>
              <w:spacing w:before="99" w:line="166" w:lineRule="auto"/>
              <w:ind w:left="518"/>
              <w:rPr>
                <w:rFonts w:ascii="宋体" w:eastAsia="宋体" w:hAnsi="宋体" w:cs="宋体"/>
                <w:sz w:val="17"/>
                <w:szCs w:val="17"/>
              </w:rPr>
            </w:pPr>
            <w:r>
              <w:rPr>
                <w:rFonts w:ascii="宋体" w:eastAsia="宋体" w:hAnsi="宋体" w:cs="宋体"/>
                <w:spacing w:val="-2"/>
                <w:sz w:val="17"/>
                <w:szCs w:val="17"/>
              </w:rPr>
              <w:t>8.8</w:t>
            </w:r>
          </w:p>
        </w:tc>
        <w:tc>
          <w:tcPr>
            <w:tcW w:w="1035" w:type="dxa"/>
            <w:tcBorders>
              <w:bottom w:val="single" w:sz="4" w:space="0" w:color="000000"/>
            </w:tcBorders>
          </w:tcPr>
          <w:p w:rsidR="00EA40A3" w:rsidRDefault="00E86C16">
            <w:pPr>
              <w:spacing w:before="99" w:line="166" w:lineRule="auto"/>
              <w:ind w:left="429"/>
              <w:rPr>
                <w:rFonts w:ascii="宋体" w:eastAsia="宋体" w:hAnsi="宋体" w:cs="宋体"/>
                <w:sz w:val="17"/>
                <w:szCs w:val="17"/>
              </w:rPr>
            </w:pPr>
            <w:r>
              <w:rPr>
                <w:rFonts w:ascii="宋体" w:eastAsia="宋体" w:hAnsi="宋体" w:cs="宋体"/>
                <w:spacing w:val="-2"/>
                <w:sz w:val="17"/>
                <w:szCs w:val="17"/>
              </w:rPr>
              <w:t>50.3</w:t>
            </w:r>
          </w:p>
        </w:tc>
        <w:tc>
          <w:tcPr>
            <w:tcW w:w="1456" w:type="dxa"/>
            <w:tcBorders>
              <w:bottom w:val="single" w:sz="4" w:space="0" w:color="000000"/>
            </w:tcBorders>
          </w:tcPr>
          <w:p w:rsidR="00EA40A3" w:rsidRDefault="00E86C16">
            <w:pPr>
              <w:spacing w:before="99" w:line="166" w:lineRule="auto"/>
              <w:ind w:left="623"/>
              <w:rPr>
                <w:rFonts w:ascii="宋体" w:eastAsia="宋体" w:hAnsi="宋体" w:cs="宋体"/>
                <w:sz w:val="17"/>
                <w:szCs w:val="17"/>
              </w:rPr>
            </w:pPr>
            <w:r>
              <w:rPr>
                <w:rFonts w:ascii="宋体" w:eastAsia="宋体" w:hAnsi="宋体" w:cs="宋体"/>
                <w:spacing w:val="-2"/>
                <w:sz w:val="17"/>
                <w:szCs w:val="17"/>
              </w:rPr>
              <w:t>24.3</w:t>
            </w:r>
          </w:p>
        </w:tc>
        <w:tc>
          <w:tcPr>
            <w:tcW w:w="1297" w:type="dxa"/>
            <w:tcBorders>
              <w:bottom w:val="single" w:sz="4" w:space="0" w:color="000000"/>
            </w:tcBorders>
          </w:tcPr>
          <w:p w:rsidR="00EA40A3" w:rsidRDefault="00E86C16">
            <w:pPr>
              <w:spacing w:before="98" w:line="167" w:lineRule="auto"/>
              <w:ind w:left="488"/>
              <w:rPr>
                <w:rFonts w:ascii="宋体" w:eastAsia="宋体" w:hAnsi="宋体" w:cs="宋体"/>
                <w:sz w:val="17"/>
                <w:szCs w:val="17"/>
              </w:rPr>
            </w:pPr>
            <w:r>
              <w:rPr>
                <w:rFonts w:ascii="宋体" w:eastAsia="宋体" w:hAnsi="宋体" w:cs="宋体"/>
                <w:spacing w:val="-4"/>
                <w:sz w:val="17"/>
                <w:szCs w:val="17"/>
              </w:rPr>
              <w:t>15.0</w:t>
            </w:r>
          </w:p>
        </w:tc>
      </w:tr>
    </w:tbl>
    <w:p w:rsidR="00EA40A3" w:rsidRDefault="00E86C16">
      <w:pPr>
        <w:spacing w:before="110" w:line="235" w:lineRule="auto"/>
        <w:ind w:left="349" w:right="28" w:firstLine="10"/>
        <w:rPr>
          <w:rFonts w:ascii="宋体" w:eastAsia="宋体" w:hAnsi="宋体" w:cs="宋体"/>
          <w:sz w:val="19"/>
          <w:szCs w:val="19"/>
        </w:rPr>
      </w:pPr>
      <w:r>
        <w:rPr>
          <w:rFonts w:ascii="宋体" w:eastAsia="宋体" w:hAnsi="宋体" w:cs="宋体"/>
          <w:spacing w:val="-2"/>
          <w:sz w:val="17"/>
          <w:szCs w:val="17"/>
        </w:rPr>
        <w:t>资料来源：中国预防医学科学院营养与食品卫生研究所编著.1991.食物成分表(全国代表值),第</w:t>
      </w:r>
      <w:r>
        <w:rPr>
          <w:rFonts w:ascii="宋体" w:eastAsia="宋体" w:hAnsi="宋体" w:cs="宋体"/>
          <w:spacing w:val="7"/>
          <w:sz w:val="17"/>
          <w:szCs w:val="17"/>
        </w:rPr>
        <w:t xml:space="preserve"> </w:t>
      </w:r>
      <w:r>
        <w:rPr>
          <w:rFonts w:ascii="宋体" w:eastAsia="宋体" w:hAnsi="宋体" w:cs="宋体"/>
          <w:spacing w:val="-21"/>
          <w:sz w:val="19"/>
          <w:szCs w:val="19"/>
        </w:rPr>
        <w:t>1版.北京：人民卫生出版社</w:t>
      </w:r>
    </w:p>
    <w:p w:rsidR="00EA40A3" w:rsidRDefault="00E86C16">
      <w:pPr>
        <w:spacing w:before="72" w:line="219" w:lineRule="auto"/>
        <w:ind w:left="349"/>
        <w:rPr>
          <w:rFonts w:ascii="宋体" w:eastAsia="宋体" w:hAnsi="宋体" w:cs="宋体"/>
          <w:sz w:val="16"/>
          <w:szCs w:val="16"/>
        </w:rPr>
      </w:pPr>
      <w:r>
        <w:rPr>
          <w:rFonts w:ascii="宋体" w:eastAsia="宋体" w:hAnsi="宋体" w:cs="宋体"/>
          <w:spacing w:val="2"/>
          <w:sz w:val="16"/>
          <w:szCs w:val="16"/>
        </w:rPr>
        <w:t>中国营养学会编著.2000.中国居民膳食营养素参考摄入量.北京：中国轻工业出版社</w:t>
      </w:r>
    </w:p>
    <w:p w:rsidR="00EA40A3" w:rsidRDefault="00EA40A3">
      <w:pPr>
        <w:spacing w:line="435"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12"/>
          <w:sz w:val="22"/>
          <w:szCs w:val="22"/>
        </w:rPr>
        <w:t>6.</w:t>
      </w:r>
      <w:r>
        <w:rPr>
          <w:rFonts w:ascii="仿宋" w:eastAsia="仿宋" w:hAnsi="仿宋" w:cs="仿宋"/>
          <w:spacing w:val="9"/>
          <w:sz w:val="22"/>
          <w:szCs w:val="22"/>
        </w:rPr>
        <w:t xml:space="preserve"> </w:t>
      </w:r>
      <w:r>
        <w:rPr>
          <w:rFonts w:ascii="仿宋" w:eastAsia="仿宋" w:hAnsi="仿宋" w:cs="仿宋"/>
          <w:spacing w:val="12"/>
          <w:sz w:val="22"/>
          <w:szCs w:val="22"/>
        </w:rPr>
        <w:t>其他有益健康的物质</w:t>
      </w:r>
    </w:p>
    <w:p w:rsidR="00EA40A3" w:rsidRDefault="00E86C16">
      <w:pPr>
        <w:spacing w:before="232" w:line="235" w:lineRule="auto"/>
        <w:ind w:right="80" w:firstLine="349"/>
        <w:jc w:val="both"/>
        <w:rPr>
          <w:rFonts w:ascii="宋体" w:eastAsia="宋体" w:hAnsi="宋体" w:cs="宋体"/>
          <w:sz w:val="22"/>
          <w:szCs w:val="22"/>
        </w:rPr>
      </w:pPr>
      <w:r>
        <w:rPr>
          <w:rFonts w:ascii="宋体" w:eastAsia="宋体" w:hAnsi="宋体" w:cs="宋体"/>
          <w:spacing w:val="-11"/>
          <w:sz w:val="22"/>
          <w:szCs w:val="22"/>
        </w:rPr>
        <w:t>乳中含有大量的生理活性物质，其中较为重要的有乳铁蛋白(lactoferrin)、</w:t>
      </w:r>
      <w:r>
        <w:rPr>
          <w:rFonts w:ascii="宋体" w:eastAsia="宋体" w:hAnsi="宋体" w:cs="宋体"/>
          <w:sz w:val="22"/>
          <w:szCs w:val="22"/>
        </w:rPr>
        <w:t xml:space="preserve"> </w:t>
      </w:r>
      <w:r>
        <w:rPr>
          <w:rFonts w:ascii="宋体" w:eastAsia="宋体" w:hAnsi="宋体" w:cs="宋体"/>
          <w:spacing w:val="-16"/>
          <w:sz w:val="22"/>
          <w:szCs w:val="22"/>
        </w:rPr>
        <w:t>免疫球蛋白、生物活性肽、共轭亚油酸</w:t>
      </w:r>
      <w:r>
        <w:rPr>
          <w:rFonts w:ascii="宋体" w:eastAsia="宋体" w:hAnsi="宋体" w:cs="宋体"/>
          <w:spacing w:val="-8"/>
          <w:sz w:val="22"/>
          <w:szCs w:val="22"/>
        </w:rPr>
        <w:t xml:space="preserve"> </w:t>
      </w:r>
      <w:r>
        <w:rPr>
          <w:rFonts w:ascii="宋体" w:eastAsia="宋体" w:hAnsi="宋体" w:cs="宋体"/>
          <w:spacing w:val="-16"/>
          <w:sz w:val="22"/>
          <w:szCs w:val="22"/>
        </w:rPr>
        <w:t>(conjugated</w:t>
      </w:r>
      <w:r>
        <w:rPr>
          <w:rFonts w:ascii="宋体" w:eastAsia="宋体" w:hAnsi="宋体" w:cs="宋体"/>
          <w:spacing w:val="-1"/>
          <w:sz w:val="22"/>
          <w:szCs w:val="22"/>
        </w:rPr>
        <w:t xml:space="preserve"> </w:t>
      </w:r>
      <w:r>
        <w:rPr>
          <w:rFonts w:ascii="宋体" w:eastAsia="宋体" w:hAnsi="宋体" w:cs="宋体"/>
          <w:spacing w:val="-16"/>
          <w:sz w:val="22"/>
          <w:szCs w:val="22"/>
        </w:rPr>
        <w:t>linoleic</w:t>
      </w:r>
      <w:r>
        <w:rPr>
          <w:rFonts w:ascii="宋体" w:eastAsia="宋体" w:hAnsi="宋体" w:cs="宋体"/>
          <w:spacing w:val="-11"/>
          <w:sz w:val="22"/>
          <w:szCs w:val="22"/>
        </w:rPr>
        <w:t xml:space="preserve"> </w:t>
      </w:r>
      <w:r>
        <w:rPr>
          <w:rFonts w:ascii="宋体" w:eastAsia="宋体" w:hAnsi="宋体" w:cs="宋体"/>
          <w:spacing w:val="-16"/>
          <w:sz w:val="22"/>
          <w:szCs w:val="22"/>
        </w:rPr>
        <w:t>acid)、生长因子和</w:t>
      </w:r>
      <w:r>
        <w:rPr>
          <w:rFonts w:ascii="宋体" w:eastAsia="宋体" w:hAnsi="宋体" w:cs="宋体"/>
          <w:sz w:val="22"/>
          <w:szCs w:val="22"/>
        </w:rPr>
        <w:t xml:space="preserve"> </w:t>
      </w:r>
      <w:r>
        <w:rPr>
          <w:rFonts w:ascii="宋体" w:eastAsia="宋体" w:hAnsi="宋体" w:cs="宋体"/>
          <w:spacing w:val="-9"/>
          <w:sz w:val="22"/>
          <w:szCs w:val="22"/>
        </w:rPr>
        <w:t>多种活性肽类等.</w:t>
      </w:r>
    </w:p>
    <w:p w:rsidR="00EA40A3" w:rsidRDefault="00E86C16">
      <w:pPr>
        <w:spacing w:before="194" w:line="221" w:lineRule="auto"/>
        <w:ind w:left="3"/>
        <w:outlineLvl w:val="6"/>
        <w:rPr>
          <w:rFonts w:ascii="黑体" w:eastAsia="黑体" w:hAnsi="黑体" w:cs="黑体"/>
          <w:sz w:val="25"/>
          <w:szCs w:val="25"/>
        </w:rPr>
      </w:pPr>
      <w:r>
        <w:rPr>
          <w:rFonts w:ascii="黑体" w:eastAsia="黑体" w:hAnsi="黑体" w:cs="黑体"/>
          <w:b/>
          <w:bCs/>
          <w:spacing w:val="-11"/>
          <w:sz w:val="25"/>
          <w:szCs w:val="25"/>
        </w:rPr>
        <w:t>6.6.2</w:t>
      </w:r>
      <w:r>
        <w:rPr>
          <w:rFonts w:ascii="黑体" w:eastAsia="黑体" w:hAnsi="黑体" w:cs="黑体"/>
          <w:spacing w:val="95"/>
          <w:sz w:val="25"/>
          <w:szCs w:val="25"/>
        </w:rPr>
        <w:t xml:space="preserve"> </w:t>
      </w:r>
      <w:r>
        <w:rPr>
          <w:rFonts w:ascii="黑体" w:eastAsia="黑体" w:hAnsi="黑体" w:cs="黑体"/>
          <w:b/>
          <w:bCs/>
          <w:spacing w:val="-11"/>
          <w:sz w:val="25"/>
          <w:szCs w:val="25"/>
        </w:rPr>
        <w:t>乳制品的营养价值</w:t>
      </w:r>
    </w:p>
    <w:p w:rsidR="00EA40A3" w:rsidRDefault="00E86C16">
      <w:pPr>
        <w:spacing w:before="232" w:line="222" w:lineRule="auto"/>
        <w:rPr>
          <w:rFonts w:ascii="仿宋" w:eastAsia="仿宋" w:hAnsi="仿宋" w:cs="仿宋"/>
          <w:sz w:val="22"/>
          <w:szCs w:val="22"/>
        </w:rPr>
      </w:pPr>
      <w:r>
        <w:rPr>
          <w:rFonts w:ascii="仿宋" w:eastAsia="仿宋" w:hAnsi="仿宋" w:cs="仿宋"/>
          <w:spacing w:val="9"/>
          <w:sz w:val="22"/>
          <w:szCs w:val="22"/>
        </w:rPr>
        <w:t>1.</w:t>
      </w:r>
      <w:r>
        <w:rPr>
          <w:rFonts w:ascii="仿宋" w:eastAsia="仿宋" w:hAnsi="仿宋" w:cs="仿宋"/>
          <w:spacing w:val="14"/>
          <w:sz w:val="22"/>
          <w:szCs w:val="22"/>
        </w:rPr>
        <w:t xml:space="preserve"> </w:t>
      </w:r>
      <w:r>
        <w:rPr>
          <w:rFonts w:ascii="仿宋" w:eastAsia="仿宋" w:hAnsi="仿宋" w:cs="仿宋"/>
          <w:spacing w:val="9"/>
          <w:sz w:val="22"/>
          <w:szCs w:val="22"/>
        </w:rPr>
        <w:t>消毒奶和灭菌奶</w:t>
      </w:r>
    </w:p>
    <w:p w:rsidR="00EA40A3" w:rsidRDefault="00E86C16">
      <w:pPr>
        <w:spacing w:before="218" w:line="212" w:lineRule="auto"/>
        <w:ind w:left="349"/>
        <w:rPr>
          <w:rFonts w:ascii="宋体" w:eastAsia="宋体" w:hAnsi="宋体" w:cs="宋体"/>
          <w:sz w:val="22"/>
          <w:szCs w:val="22"/>
        </w:rPr>
      </w:pPr>
      <w:r>
        <w:rPr>
          <w:rFonts w:ascii="宋体" w:eastAsia="宋体" w:hAnsi="宋体" w:cs="宋体"/>
          <w:spacing w:val="-12"/>
          <w:sz w:val="22"/>
          <w:szCs w:val="22"/>
        </w:rPr>
        <w:t>消毒奶是牛乳经高温瞬时杀菌或超高温瞬时杀菌制成的液态奶制品，需要</w:t>
      </w:r>
      <w:r>
        <w:rPr>
          <w:rFonts w:ascii="宋体" w:eastAsia="宋体" w:hAnsi="宋体" w:cs="宋体"/>
          <w:spacing w:val="-13"/>
          <w:sz w:val="22"/>
          <w:szCs w:val="22"/>
        </w:rPr>
        <w:t>在</w:t>
      </w:r>
    </w:p>
    <w:p w:rsidR="00EA40A3" w:rsidRDefault="00E86C16">
      <w:pPr>
        <w:spacing w:before="1" w:line="239" w:lineRule="auto"/>
        <w:rPr>
          <w:rFonts w:ascii="宋体" w:eastAsia="宋体" w:hAnsi="宋体" w:cs="宋体"/>
          <w:sz w:val="22"/>
          <w:szCs w:val="22"/>
        </w:rPr>
      </w:pPr>
      <w:r>
        <w:rPr>
          <w:rFonts w:ascii="宋体" w:eastAsia="宋体" w:hAnsi="宋体" w:cs="宋体"/>
          <w:spacing w:val="-46"/>
          <w:sz w:val="22"/>
          <w:szCs w:val="22"/>
        </w:rPr>
        <w:t>·</w:t>
      </w:r>
      <w:r>
        <w:rPr>
          <w:rFonts w:ascii="宋体" w:eastAsia="宋体" w:hAnsi="宋体" w:cs="宋体"/>
          <w:spacing w:val="-25"/>
          <w:sz w:val="22"/>
          <w:szCs w:val="22"/>
        </w:rPr>
        <w:t xml:space="preserve"> </w:t>
      </w:r>
      <w:r>
        <w:rPr>
          <w:rFonts w:ascii="宋体" w:eastAsia="宋体" w:hAnsi="宋体" w:cs="宋体"/>
          <w:spacing w:val="-46"/>
          <w:sz w:val="22"/>
          <w:szCs w:val="22"/>
        </w:rPr>
        <w:t>218</w:t>
      </w:r>
      <w:r>
        <w:rPr>
          <w:rFonts w:ascii="宋体" w:eastAsia="宋体" w:hAnsi="宋体" w:cs="宋体"/>
          <w:spacing w:val="27"/>
          <w:sz w:val="22"/>
          <w:szCs w:val="22"/>
        </w:rPr>
        <w:t xml:space="preserve"> </w:t>
      </w:r>
      <w:r>
        <w:rPr>
          <w:rFonts w:ascii="宋体" w:eastAsia="宋体" w:hAnsi="宋体" w:cs="宋体"/>
          <w:spacing w:val="-46"/>
          <w:sz w:val="22"/>
          <w:szCs w:val="22"/>
        </w:rPr>
        <w:t>·</w:t>
      </w:r>
    </w:p>
    <w:p w:rsidR="00EA40A3" w:rsidRDefault="00EA40A3">
      <w:pPr>
        <w:sectPr w:rsidR="00EA40A3">
          <w:footerReference w:type="default" r:id="rId187"/>
          <w:pgSz w:w="9220" w:h="13360"/>
          <w:pgMar w:top="400" w:right="1049" w:bottom="400" w:left="809" w:header="0" w:footer="0" w:gutter="0"/>
          <w:cols w:space="720"/>
        </w:sectPr>
      </w:pPr>
    </w:p>
    <w:p w:rsidR="00EA40A3" w:rsidRDefault="00EA40A3">
      <w:pPr>
        <w:spacing w:line="288" w:lineRule="auto"/>
      </w:pPr>
    </w:p>
    <w:p w:rsidR="00EA40A3" w:rsidRDefault="00EA40A3">
      <w:pPr>
        <w:spacing w:line="289" w:lineRule="auto"/>
      </w:pPr>
    </w:p>
    <w:p w:rsidR="00EA40A3" w:rsidRDefault="00E86C16">
      <w:pPr>
        <w:spacing w:before="68" w:line="250" w:lineRule="auto"/>
        <w:ind w:right="131"/>
        <w:rPr>
          <w:rFonts w:ascii="宋体" w:eastAsia="宋体" w:hAnsi="宋体" w:cs="宋体"/>
        </w:rPr>
      </w:pPr>
      <w:r>
        <w:rPr>
          <w:rFonts w:ascii="宋体" w:eastAsia="宋体" w:hAnsi="宋体" w:cs="宋体"/>
          <w:spacing w:val="-3"/>
        </w:rPr>
        <w:t>冰箱中保存。灭菌奶则是经过长时间高温杀菌制成的</w:t>
      </w:r>
      <w:r>
        <w:rPr>
          <w:rFonts w:ascii="宋体" w:eastAsia="宋体" w:hAnsi="宋体" w:cs="宋体"/>
          <w:spacing w:val="-4"/>
        </w:rPr>
        <w:t>液态奶制品，可以在常温下</w:t>
      </w:r>
      <w:r>
        <w:rPr>
          <w:rFonts w:ascii="宋体" w:eastAsia="宋体" w:hAnsi="宋体" w:cs="宋体"/>
        </w:rPr>
        <w:t xml:space="preserve"> </w:t>
      </w:r>
      <w:r>
        <w:rPr>
          <w:rFonts w:ascii="宋体" w:eastAsia="宋体" w:hAnsi="宋体" w:cs="宋体"/>
          <w:spacing w:val="-8"/>
        </w:rPr>
        <w:t>保存数月之久。</w:t>
      </w:r>
    </w:p>
    <w:p w:rsidR="00EA40A3" w:rsidRDefault="00E86C16">
      <w:pPr>
        <w:spacing w:before="48" w:line="253" w:lineRule="auto"/>
        <w:ind w:right="95" w:firstLine="420"/>
        <w:jc w:val="both"/>
        <w:rPr>
          <w:rFonts w:ascii="宋体" w:eastAsia="宋体" w:hAnsi="宋体" w:cs="宋体"/>
        </w:rPr>
      </w:pPr>
      <w:r>
        <w:rPr>
          <w:rFonts w:ascii="宋体" w:eastAsia="宋体" w:hAnsi="宋体" w:cs="宋体"/>
          <w:spacing w:val="13"/>
        </w:rPr>
        <w:t>这些产品的蛋白质含量差异不大，均为2.9%～3</w:t>
      </w:r>
      <w:r>
        <w:rPr>
          <w:rFonts w:ascii="宋体" w:eastAsia="宋体" w:hAnsi="宋体" w:cs="宋体"/>
          <w:spacing w:val="12"/>
        </w:rPr>
        <w:t>.1%;但脂肪含量差异较</w:t>
      </w:r>
      <w:r>
        <w:rPr>
          <w:rFonts w:ascii="宋体" w:eastAsia="宋体" w:hAnsi="宋体" w:cs="宋体"/>
        </w:rPr>
        <w:t xml:space="preserve"> </w:t>
      </w:r>
      <w:r>
        <w:rPr>
          <w:rFonts w:ascii="宋体" w:eastAsia="宋体" w:hAnsi="宋体" w:cs="宋体"/>
          <w:spacing w:val="12"/>
        </w:rPr>
        <w:t>大。其中“半脱脂奶”或称“低脂奶”的脂肪</w:t>
      </w:r>
      <w:r>
        <w:rPr>
          <w:rFonts w:ascii="宋体" w:eastAsia="宋体" w:hAnsi="宋体" w:cs="宋体"/>
          <w:spacing w:val="11"/>
        </w:rPr>
        <w:t>含量为1.0%～2.0%,全脱脂牛</w:t>
      </w:r>
      <w:r>
        <w:rPr>
          <w:rFonts w:ascii="宋体" w:eastAsia="宋体" w:hAnsi="宋体" w:cs="宋体"/>
        </w:rPr>
        <w:t xml:space="preserve"> </w:t>
      </w:r>
      <w:r>
        <w:rPr>
          <w:rFonts w:ascii="宋体" w:eastAsia="宋体" w:hAnsi="宋体" w:cs="宋体"/>
          <w:spacing w:val="4"/>
        </w:rPr>
        <w:t>乳的脂肪含量在0.5%左右。目前市场上还</w:t>
      </w:r>
      <w:r>
        <w:rPr>
          <w:rFonts w:ascii="宋体" w:eastAsia="宋体" w:hAnsi="宋体" w:cs="宋体"/>
          <w:spacing w:val="3"/>
        </w:rPr>
        <w:t>有“精品奶”和“浓厚奶”出售，其</w:t>
      </w:r>
      <w:r>
        <w:rPr>
          <w:rFonts w:ascii="宋体" w:eastAsia="宋体" w:hAnsi="宋体" w:cs="宋体"/>
        </w:rPr>
        <w:t xml:space="preserve"> </w:t>
      </w:r>
      <w:r>
        <w:rPr>
          <w:rFonts w:ascii="宋体" w:eastAsia="宋体" w:hAnsi="宋体" w:cs="宋体"/>
          <w:spacing w:val="11"/>
        </w:rPr>
        <w:t>乳脂肪含量可达3.6%～4.5%。</w:t>
      </w:r>
    </w:p>
    <w:p w:rsidR="00EA40A3" w:rsidRDefault="00E86C16">
      <w:pPr>
        <w:spacing w:before="69" w:line="255" w:lineRule="auto"/>
        <w:ind w:right="87" w:firstLine="420"/>
        <w:jc w:val="both"/>
        <w:rPr>
          <w:rFonts w:ascii="宋体" w:eastAsia="宋体" w:hAnsi="宋体" w:cs="宋体"/>
        </w:rPr>
      </w:pPr>
      <w:r>
        <w:rPr>
          <w:rFonts w:ascii="宋体" w:eastAsia="宋体" w:hAnsi="宋体" w:cs="宋体"/>
          <w:spacing w:val="-2"/>
        </w:rPr>
        <w:t>消毒奶和灭菌奶的蛋白质、乳糖、矿物质等营养成分含量基</w:t>
      </w:r>
      <w:r>
        <w:rPr>
          <w:rFonts w:ascii="宋体" w:eastAsia="宋体" w:hAnsi="宋体" w:cs="宋体"/>
          <w:spacing w:val="-3"/>
        </w:rPr>
        <w:t>本上与原料乳相</w:t>
      </w:r>
      <w:r>
        <w:rPr>
          <w:rFonts w:ascii="宋体" w:eastAsia="宋体" w:hAnsi="宋体" w:cs="宋体"/>
        </w:rPr>
        <w:t xml:space="preserve"> </w:t>
      </w:r>
      <w:r>
        <w:rPr>
          <w:rFonts w:ascii="宋体" w:eastAsia="宋体" w:hAnsi="宋体" w:cs="宋体"/>
          <w:spacing w:val="6"/>
        </w:rPr>
        <w:t>同，仅</w:t>
      </w:r>
      <w:r>
        <w:rPr>
          <w:rFonts w:ascii="宋体" w:eastAsia="宋体" w:hAnsi="宋体" w:cs="宋体"/>
          <w:spacing w:val="-57"/>
        </w:rPr>
        <w:t xml:space="preserve"> </w:t>
      </w:r>
      <w:r>
        <w:rPr>
          <w:rFonts w:ascii="宋体" w:eastAsia="宋体" w:hAnsi="宋体" w:cs="宋体"/>
          <w:spacing w:val="6"/>
        </w:rPr>
        <w:t>B</w:t>
      </w:r>
      <w:r>
        <w:rPr>
          <w:rFonts w:ascii="宋体" w:eastAsia="宋体" w:hAnsi="宋体" w:cs="宋体"/>
          <w:spacing w:val="-37"/>
        </w:rPr>
        <w:t xml:space="preserve"> </w:t>
      </w:r>
      <w:r>
        <w:rPr>
          <w:rFonts w:ascii="宋体" w:eastAsia="宋体" w:hAnsi="宋体" w:cs="宋体"/>
          <w:spacing w:val="6"/>
        </w:rPr>
        <w:t>族维生素有少量损失，但消毒奶的保存率通常在90%以上</w:t>
      </w:r>
      <w:r>
        <w:rPr>
          <w:rFonts w:ascii="宋体" w:eastAsia="宋体" w:hAnsi="宋体" w:cs="宋体"/>
          <w:spacing w:val="5"/>
        </w:rPr>
        <w:t>，灭菌奶也</w:t>
      </w:r>
      <w:r>
        <w:rPr>
          <w:rFonts w:ascii="宋体" w:eastAsia="宋体" w:hAnsi="宋体" w:cs="宋体"/>
        </w:rPr>
        <w:t xml:space="preserve"> </w:t>
      </w:r>
      <w:r>
        <w:rPr>
          <w:rFonts w:ascii="宋体" w:eastAsia="宋体" w:hAnsi="宋体" w:cs="宋体"/>
          <w:spacing w:val="7"/>
        </w:rPr>
        <w:t>在60%以上。维生素C</w:t>
      </w:r>
      <w:r>
        <w:rPr>
          <w:rFonts w:ascii="宋体" w:eastAsia="宋体" w:hAnsi="宋体" w:cs="宋体"/>
          <w:spacing w:val="-11"/>
        </w:rPr>
        <w:t xml:space="preserve"> </w:t>
      </w:r>
      <w:r>
        <w:rPr>
          <w:rFonts w:ascii="宋体" w:eastAsia="宋体" w:hAnsi="宋体" w:cs="宋体"/>
          <w:spacing w:val="7"/>
        </w:rPr>
        <w:t>损失较大，但因它不属于牛奶中的重要营养物质，故而</w:t>
      </w:r>
      <w:r>
        <w:rPr>
          <w:rFonts w:ascii="宋体" w:eastAsia="宋体" w:hAnsi="宋体" w:cs="宋体"/>
        </w:rPr>
        <w:t xml:space="preserve"> 对奶制品的营养价值影响不大。城市超市中供应的消毒牛奶大多强化了维生</w:t>
      </w:r>
      <w:r>
        <w:rPr>
          <w:rFonts w:ascii="宋体" w:eastAsia="宋体" w:hAnsi="宋体" w:cs="宋体"/>
          <w:spacing w:val="-1"/>
        </w:rPr>
        <w:t>素A</w:t>
      </w:r>
      <w:r>
        <w:rPr>
          <w:rFonts w:ascii="宋体" w:eastAsia="宋体" w:hAnsi="宋体" w:cs="宋体"/>
        </w:rPr>
        <w:t xml:space="preserve"> </w:t>
      </w:r>
      <w:r>
        <w:rPr>
          <w:rFonts w:ascii="宋体" w:eastAsia="宋体" w:hAnsi="宋体" w:cs="宋体"/>
          <w:spacing w:val="-1"/>
        </w:rPr>
        <w:t>和维生素D。</w:t>
      </w:r>
    </w:p>
    <w:p w:rsidR="00EA40A3" w:rsidRDefault="00E86C16">
      <w:pPr>
        <w:spacing w:before="242" w:line="225" w:lineRule="auto"/>
        <w:rPr>
          <w:rFonts w:ascii="仿宋" w:eastAsia="仿宋" w:hAnsi="仿宋" w:cs="仿宋"/>
        </w:rPr>
      </w:pPr>
      <w:r>
        <w:rPr>
          <w:rFonts w:ascii="仿宋" w:eastAsia="仿宋" w:hAnsi="仿宋" w:cs="仿宋"/>
          <w:spacing w:val="-6"/>
        </w:rPr>
        <w:t>2.</w:t>
      </w:r>
      <w:r>
        <w:rPr>
          <w:rFonts w:ascii="仿宋" w:eastAsia="仿宋" w:hAnsi="仿宋" w:cs="仿宋"/>
          <w:spacing w:val="4"/>
        </w:rPr>
        <w:t xml:space="preserve"> </w:t>
      </w:r>
      <w:r>
        <w:rPr>
          <w:rFonts w:ascii="仿宋" w:eastAsia="仿宋" w:hAnsi="仿宋" w:cs="仿宋"/>
          <w:spacing w:val="-6"/>
        </w:rPr>
        <w:t>酸</w:t>
      </w:r>
      <w:r>
        <w:rPr>
          <w:rFonts w:ascii="仿宋" w:eastAsia="仿宋" w:hAnsi="仿宋" w:cs="仿宋"/>
          <w:spacing w:val="-42"/>
        </w:rPr>
        <w:t xml:space="preserve"> </w:t>
      </w:r>
      <w:r>
        <w:rPr>
          <w:rFonts w:ascii="仿宋" w:eastAsia="仿宋" w:hAnsi="仿宋" w:cs="仿宋"/>
          <w:spacing w:val="-6"/>
        </w:rPr>
        <w:t>奶</w:t>
      </w:r>
    </w:p>
    <w:p w:rsidR="00EA40A3" w:rsidRDefault="00E86C16">
      <w:pPr>
        <w:spacing w:before="201" w:line="244" w:lineRule="auto"/>
        <w:ind w:right="94" w:firstLine="420"/>
        <w:jc w:val="both"/>
        <w:rPr>
          <w:rFonts w:ascii="宋体" w:eastAsia="宋体" w:hAnsi="宋体" w:cs="宋体"/>
        </w:rPr>
      </w:pPr>
      <w:r>
        <w:rPr>
          <w:rFonts w:ascii="宋体" w:eastAsia="宋体" w:hAnsi="宋体" w:cs="宋体"/>
          <w:spacing w:val="10"/>
        </w:rPr>
        <w:t>酸奶是牛乳经乳酸发酵制成的食品。其中特征乳酸菌菌数不低于1×106</w:t>
      </w:r>
      <w:r>
        <w:rPr>
          <w:rFonts w:ascii="宋体" w:eastAsia="宋体" w:hAnsi="宋体" w:cs="宋体"/>
          <w:spacing w:val="9"/>
        </w:rPr>
        <w:t xml:space="preserve"> </w:t>
      </w:r>
      <w:r>
        <w:rPr>
          <w:rFonts w:ascii="宋体" w:eastAsia="宋体" w:hAnsi="宋体" w:cs="宋体"/>
        </w:rPr>
        <w:t>cfu</w:t>
      </w:r>
      <w:r>
        <w:rPr>
          <w:rFonts w:ascii="宋体" w:eastAsia="宋体" w:hAnsi="宋体" w:cs="宋体"/>
          <w:spacing w:val="4"/>
        </w:rPr>
        <w:t>/</w:t>
      </w:r>
      <w:r>
        <w:rPr>
          <w:rFonts w:ascii="宋体" w:eastAsia="宋体" w:hAnsi="宋体" w:cs="宋体"/>
        </w:rPr>
        <w:t>mL</w:t>
      </w:r>
      <w:r>
        <w:rPr>
          <w:rFonts w:ascii="宋体" w:eastAsia="宋体" w:hAnsi="宋体" w:cs="宋体"/>
          <w:spacing w:val="4"/>
        </w:rPr>
        <w:t>的产品为活性发酵乳，低于这个数值或不含特征菌的发酵乳称为非活性</w:t>
      </w:r>
      <w:r>
        <w:rPr>
          <w:rFonts w:ascii="宋体" w:eastAsia="宋体" w:hAnsi="宋体" w:cs="宋体"/>
        </w:rPr>
        <w:t xml:space="preserve"> </w:t>
      </w:r>
      <w:r>
        <w:rPr>
          <w:rFonts w:ascii="宋体" w:eastAsia="宋体" w:hAnsi="宋体" w:cs="宋体"/>
          <w:spacing w:val="-15"/>
        </w:rPr>
        <w:t>发酵乳。</w:t>
      </w:r>
    </w:p>
    <w:p w:rsidR="00EA40A3" w:rsidRDefault="00E86C16">
      <w:pPr>
        <w:spacing w:before="83" w:line="257" w:lineRule="auto"/>
        <w:ind w:right="59" w:firstLine="420"/>
        <w:jc w:val="both"/>
        <w:rPr>
          <w:rFonts w:ascii="宋体" w:eastAsia="宋体" w:hAnsi="宋体" w:cs="宋体"/>
        </w:rPr>
      </w:pPr>
      <w:r>
        <w:rPr>
          <w:rFonts w:ascii="宋体" w:eastAsia="宋体" w:hAnsi="宋体" w:cs="宋体"/>
          <w:spacing w:val="7"/>
        </w:rPr>
        <w:t>纯原味酸奶的蛋白质含量高于或等于2.5%,调味酸奶的蛋白质含量不低</w:t>
      </w:r>
      <w:r>
        <w:rPr>
          <w:rFonts w:ascii="宋体" w:eastAsia="宋体" w:hAnsi="宋体" w:cs="宋体"/>
          <w:spacing w:val="6"/>
        </w:rPr>
        <w:t>于</w:t>
      </w:r>
      <w:r>
        <w:rPr>
          <w:rFonts w:ascii="宋体" w:eastAsia="宋体" w:hAnsi="宋体" w:cs="宋体"/>
        </w:rPr>
        <w:t xml:space="preserve"> </w:t>
      </w:r>
      <w:r>
        <w:rPr>
          <w:rFonts w:ascii="宋体" w:eastAsia="宋体" w:hAnsi="宋体" w:cs="宋体"/>
          <w:spacing w:val="3"/>
        </w:rPr>
        <w:t>2.3%。经过乳酸菌发酵，蛋白质被部分分解为肽、游离氨基酸和非蛋白氮，进</w:t>
      </w:r>
      <w:r>
        <w:rPr>
          <w:rFonts w:ascii="宋体" w:eastAsia="宋体" w:hAnsi="宋体" w:cs="宋体"/>
          <w:spacing w:val="18"/>
        </w:rPr>
        <w:t xml:space="preserve"> </w:t>
      </w:r>
      <w:r>
        <w:rPr>
          <w:rFonts w:ascii="宋体" w:eastAsia="宋体" w:hAnsi="宋体" w:cs="宋体"/>
          <w:spacing w:val="-2"/>
        </w:rPr>
        <w:t>一步提高了消化吸收率。其脂肪含量有全脂、低脂和</w:t>
      </w:r>
      <w:r>
        <w:rPr>
          <w:rFonts w:ascii="宋体" w:eastAsia="宋体" w:hAnsi="宋体" w:cs="宋体"/>
          <w:spacing w:val="-3"/>
        </w:rPr>
        <w:t>全脱脂之分。按照碳水化合</w:t>
      </w:r>
      <w:r>
        <w:rPr>
          <w:rFonts w:ascii="宋体" w:eastAsia="宋体" w:hAnsi="宋体" w:cs="宋体"/>
        </w:rPr>
        <w:t xml:space="preserve"> </w:t>
      </w:r>
      <w:r>
        <w:rPr>
          <w:rFonts w:ascii="宋体" w:eastAsia="宋体" w:hAnsi="宋体" w:cs="宋体"/>
          <w:spacing w:val="8"/>
        </w:rPr>
        <w:t>物含量来说，也有普通、低糖、无糖等品种。普通甜味</w:t>
      </w:r>
      <w:r>
        <w:rPr>
          <w:rFonts w:ascii="宋体" w:eastAsia="宋体" w:hAnsi="宋体" w:cs="宋体"/>
          <w:spacing w:val="7"/>
        </w:rPr>
        <w:t>酸奶的蔗糖含量为7%,</w:t>
      </w:r>
      <w:r>
        <w:rPr>
          <w:rFonts w:ascii="宋体" w:eastAsia="宋体" w:hAnsi="宋体" w:cs="宋体"/>
        </w:rPr>
        <w:t xml:space="preserve"> </w:t>
      </w:r>
      <w:r>
        <w:rPr>
          <w:rFonts w:ascii="宋体" w:eastAsia="宋体" w:hAnsi="宋体" w:cs="宋体"/>
          <w:spacing w:val="9"/>
        </w:rPr>
        <w:t>无糖酸奶中往往添加非糖甜味剂。酸奶原料中的乳糖有20%～40%被发酵成为</w:t>
      </w:r>
      <w:r>
        <w:rPr>
          <w:rFonts w:ascii="宋体" w:eastAsia="宋体" w:hAnsi="宋体" w:cs="宋体"/>
          <w:spacing w:val="15"/>
        </w:rPr>
        <w:t xml:space="preserve"> </w:t>
      </w:r>
      <w:r>
        <w:rPr>
          <w:rFonts w:ascii="宋体" w:eastAsia="宋体" w:hAnsi="宋体" w:cs="宋体"/>
          <w:spacing w:val="-7"/>
        </w:rPr>
        <w:t>乳酸和其他有机酸。</w:t>
      </w:r>
    </w:p>
    <w:p w:rsidR="00EA40A3" w:rsidRDefault="00E86C16">
      <w:pPr>
        <w:spacing w:before="94" w:line="255" w:lineRule="auto"/>
        <w:ind w:right="92" w:firstLine="420"/>
        <w:jc w:val="both"/>
        <w:rPr>
          <w:rFonts w:ascii="宋体" w:eastAsia="宋体" w:hAnsi="宋体" w:cs="宋体"/>
        </w:rPr>
      </w:pPr>
      <w:r>
        <w:rPr>
          <w:rFonts w:ascii="宋体" w:eastAsia="宋体" w:hAnsi="宋体" w:cs="宋体"/>
          <w:spacing w:val="-3"/>
        </w:rPr>
        <w:t>乳酸菌的繁殖消耗了牛乳中的乳糖成分，解决了“乳糖不耐”的问题，而保</w:t>
      </w:r>
      <w:r>
        <w:rPr>
          <w:rFonts w:ascii="宋体" w:eastAsia="宋体" w:hAnsi="宋体" w:cs="宋体"/>
          <w:spacing w:val="15"/>
        </w:rPr>
        <w:t xml:space="preserve"> </w:t>
      </w:r>
      <w:r>
        <w:rPr>
          <w:rFonts w:ascii="宋体" w:eastAsia="宋体" w:hAnsi="宋体" w:cs="宋体"/>
          <w:spacing w:val="-2"/>
        </w:rPr>
        <w:t>留了牛乳中的其他所有营养成分。通过发酵，蛋白质被部分</w:t>
      </w:r>
      <w:r>
        <w:rPr>
          <w:rFonts w:ascii="宋体" w:eastAsia="宋体" w:hAnsi="宋体" w:cs="宋体"/>
          <w:spacing w:val="-3"/>
        </w:rPr>
        <w:t>水解，并产生活性肽</w:t>
      </w:r>
      <w:r>
        <w:rPr>
          <w:rFonts w:ascii="宋体" w:eastAsia="宋体" w:hAnsi="宋体" w:cs="宋体"/>
        </w:rPr>
        <w:t xml:space="preserve"> </w:t>
      </w:r>
      <w:r>
        <w:rPr>
          <w:rFonts w:ascii="宋体" w:eastAsia="宋体" w:hAnsi="宋体" w:cs="宋体"/>
          <w:spacing w:val="1"/>
        </w:rPr>
        <w:t>类；乳酸菌的繁殖也提高了维生素B</w:t>
      </w:r>
      <w:r>
        <w:rPr>
          <w:rFonts w:ascii="Calibri" w:eastAsia="Calibri" w:hAnsi="Calibri" w:cs="Calibri"/>
          <w:spacing w:val="1"/>
        </w:rPr>
        <w:t>₂</w:t>
      </w:r>
      <w:r>
        <w:rPr>
          <w:rFonts w:ascii="Calibri" w:eastAsia="Calibri" w:hAnsi="Calibri" w:cs="Calibri"/>
          <w:spacing w:val="17"/>
        </w:rPr>
        <w:t xml:space="preserve">  </w:t>
      </w:r>
      <w:r>
        <w:rPr>
          <w:rFonts w:ascii="宋体" w:eastAsia="宋体" w:hAnsi="宋体" w:cs="宋体"/>
          <w:spacing w:val="1"/>
        </w:rPr>
        <w:t>和叶酸的含量。此外，酸奶中含有的活乳</w:t>
      </w:r>
      <w:r>
        <w:rPr>
          <w:rFonts w:ascii="宋体" w:eastAsia="宋体" w:hAnsi="宋体" w:cs="宋体"/>
        </w:rPr>
        <w:t xml:space="preserve"> </w:t>
      </w:r>
      <w:r>
        <w:rPr>
          <w:rFonts w:ascii="宋体" w:eastAsia="宋体" w:hAnsi="宋体" w:cs="宋体"/>
          <w:spacing w:val="4"/>
        </w:rPr>
        <w:t>酸菌具有整肠作用，是一种健康食品。因此，质量优良的酸奶的营养</w:t>
      </w:r>
      <w:r>
        <w:rPr>
          <w:rFonts w:ascii="宋体" w:eastAsia="宋体" w:hAnsi="宋体" w:cs="宋体"/>
          <w:spacing w:val="3"/>
        </w:rPr>
        <w:t>价值高于</w:t>
      </w:r>
      <w:r>
        <w:rPr>
          <w:rFonts w:ascii="宋体" w:eastAsia="宋体" w:hAnsi="宋体" w:cs="宋体"/>
        </w:rPr>
        <w:t xml:space="preserve"> </w:t>
      </w:r>
      <w:r>
        <w:rPr>
          <w:rFonts w:ascii="宋体" w:eastAsia="宋体" w:hAnsi="宋体" w:cs="宋体"/>
          <w:spacing w:val="-15"/>
        </w:rPr>
        <w:t>牛乳。</w:t>
      </w:r>
    </w:p>
    <w:p w:rsidR="00EA40A3" w:rsidRDefault="00E86C16">
      <w:pPr>
        <w:spacing w:before="217" w:line="224" w:lineRule="auto"/>
        <w:rPr>
          <w:rFonts w:ascii="仿宋" w:eastAsia="仿宋" w:hAnsi="仿宋" w:cs="仿宋"/>
        </w:rPr>
      </w:pPr>
      <w:r>
        <w:rPr>
          <w:rFonts w:ascii="仿宋" w:eastAsia="仿宋" w:hAnsi="仿宋" w:cs="仿宋"/>
          <w:spacing w:val="-5"/>
        </w:rPr>
        <w:t>3.</w:t>
      </w:r>
      <w:r>
        <w:rPr>
          <w:rFonts w:ascii="仿宋" w:eastAsia="仿宋" w:hAnsi="仿宋" w:cs="仿宋"/>
          <w:spacing w:val="46"/>
        </w:rPr>
        <w:t xml:space="preserve"> </w:t>
      </w:r>
      <w:r>
        <w:rPr>
          <w:rFonts w:ascii="仿宋" w:eastAsia="仿宋" w:hAnsi="仿宋" w:cs="仿宋"/>
          <w:spacing w:val="-5"/>
        </w:rPr>
        <w:t>乳酪</w:t>
      </w:r>
    </w:p>
    <w:p w:rsidR="00EA40A3" w:rsidRDefault="00E86C16">
      <w:pPr>
        <w:spacing w:before="224" w:line="253" w:lineRule="auto"/>
        <w:ind w:firstLine="420"/>
        <w:jc w:val="both"/>
        <w:rPr>
          <w:rFonts w:ascii="宋体" w:eastAsia="宋体" w:hAnsi="宋体" w:cs="宋体"/>
        </w:rPr>
      </w:pPr>
      <w:r>
        <w:rPr>
          <w:rFonts w:ascii="宋体" w:eastAsia="宋体" w:hAnsi="宋体" w:cs="宋体"/>
        </w:rPr>
        <w:t>乳酪也称为奶酪或干酪，是由牛乳经过发酵、凝乳、除去乳清、加盐压榨、</w:t>
      </w:r>
      <w:r>
        <w:rPr>
          <w:rFonts w:ascii="宋体" w:eastAsia="宋体" w:hAnsi="宋体" w:cs="宋体"/>
          <w:spacing w:val="13"/>
        </w:rPr>
        <w:t xml:space="preserve"> </w:t>
      </w:r>
      <w:r>
        <w:rPr>
          <w:rFonts w:ascii="宋体" w:eastAsia="宋体" w:hAnsi="宋体" w:cs="宋体"/>
          <w:spacing w:val="-2"/>
        </w:rPr>
        <w:t>后熟等处理后得到的产品。除部分乳清蛋白和水溶性</w:t>
      </w:r>
      <w:r>
        <w:rPr>
          <w:rFonts w:ascii="宋体" w:eastAsia="宋体" w:hAnsi="宋体" w:cs="宋体"/>
          <w:spacing w:val="-3"/>
        </w:rPr>
        <w:t>维生素随乳清流失外，其他</w:t>
      </w:r>
      <w:r>
        <w:rPr>
          <w:rFonts w:ascii="宋体" w:eastAsia="宋体" w:hAnsi="宋体" w:cs="宋体"/>
        </w:rPr>
        <w:t xml:space="preserve">  </w:t>
      </w:r>
      <w:r>
        <w:rPr>
          <w:rFonts w:ascii="宋体" w:eastAsia="宋体" w:hAnsi="宋体" w:cs="宋体"/>
          <w:spacing w:val="-2"/>
        </w:rPr>
        <w:t>营养素得到保留和浓缩。经后熟发酵，蛋白质和脂肪</w:t>
      </w:r>
      <w:r>
        <w:rPr>
          <w:rFonts w:ascii="宋体" w:eastAsia="宋体" w:hAnsi="宋体" w:cs="宋体"/>
          <w:spacing w:val="-3"/>
        </w:rPr>
        <w:t>部分分解，提高了消化吸收</w:t>
      </w:r>
      <w:r>
        <w:rPr>
          <w:rFonts w:ascii="宋体" w:eastAsia="宋体" w:hAnsi="宋体" w:cs="宋体"/>
        </w:rPr>
        <w:t xml:space="preserve">  </w:t>
      </w:r>
      <w:r>
        <w:rPr>
          <w:rFonts w:ascii="宋体" w:eastAsia="宋体" w:hAnsi="宋体" w:cs="宋体"/>
          <w:spacing w:val="-3"/>
        </w:rPr>
        <w:t>率，并产生乳酪特有的风味。有的维生素经细菌发酵而增加</w:t>
      </w:r>
      <w:r>
        <w:rPr>
          <w:rFonts w:ascii="宋体" w:eastAsia="宋体" w:hAnsi="宋体" w:cs="宋体"/>
          <w:spacing w:val="-4"/>
        </w:rPr>
        <w:t>。</w:t>
      </w:r>
    </w:p>
    <w:p w:rsidR="00EA40A3" w:rsidRDefault="00E86C16">
      <w:pPr>
        <w:spacing w:before="62" w:line="254" w:lineRule="auto"/>
        <w:ind w:right="94" w:firstLine="420"/>
        <w:jc w:val="both"/>
        <w:rPr>
          <w:rFonts w:ascii="宋体" w:eastAsia="宋体" w:hAnsi="宋体" w:cs="宋体"/>
        </w:rPr>
      </w:pPr>
      <w:r>
        <w:rPr>
          <w:rFonts w:ascii="宋体" w:eastAsia="宋体" w:hAnsi="宋体" w:cs="宋体"/>
        </w:rPr>
        <w:t>乳酪中蛋白质、维生素A、B</w:t>
      </w:r>
      <w:r>
        <w:rPr>
          <w:rFonts w:ascii="宋体" w:eastAsia="宋体" w:hAnsi="宋体" w:cs="宋体"/>
          <w:spacing w:val="26"/>
        </w:rPr>
        <w:t xml:space="preserve"> </w:t>
      </w:r>
      <w:r>
        <w:rPr>
          <w:rFonts w:ascii="宋体" w:eastAsia="宋体" w:hAnsi="宋体" w:cs="宋体"/>
        </w:rPr>
        <w:t>族维生素和钙等营养素的含量十分丰富，</w:t>
      </w:r>
      <w:r>
        <w:rPr>
          <w:rFonts w:ascii="宋体" w:eastAsia="宋体" w:hAnsi="宋体" w:cs="宋体"/>
          <w:spacing w:val="-1"/>
        </w:rPr>
        <w:t>碳水</w:t>
      </w:r>
      <w:r>
        <w:rPr>
          <w:rFonts w:ascii="宋体" w:eastAsia="宋体" w:hAnsi="宋体" w:cs="宋体"/>
        </w:rPr>
        <w:t xml:space="preserve"> </w:t>
      </w:r>
      <w:r>
        <w:rPr>
          <w:rFonts w:ascii="宋体" w:eastAsia="宋体" w:hAnsi="宋体" w:cs="宋体"/>
          <w:spacing w:val="-2"/>
        </w:rPr>
        <w:t>化合物含量较低。各品种的含水量和营养素含量差异</w:t>
      </w:r>
      <w:r>
        <w:rPr>
          <w:rFonts w:ascii="宋体" w:eastAsia="宋体" w:hAnsi="宋体" w:cs="宋体"/>
          <w:spacing w:val="-3"/>
        </w:rPr>
        <w:t>较大。按含水率来划分，干</w:t>
      </w:r>
      <w:r>
        <w:rPr>
          <w:rFonts w:ascii="宋体" w:eastAsia="宋体" w:hAnsi="宋体" w:cs="宋体"/>
        </w:rPr>
        <w:t xml:space="preserve"> </w:t>
      </w:r>
      <w:r>
        <w:rPr>
          <w:rFonts w:ascii="宋体" w:eastAsia="宋体" w:hAnsi="宋体" w:cs="宋体"/>
          <w:spacing w:val="-9"/>
        </w:rPr>
        <w:t>酪又分为特硬质干酪</w:t>
      </w:r>
      <w:r>
        <w:rPr>
          <w:rFonts w:ascii="宋体" w:eastAsia="宋体" w:hAnsi="宋体" w:cs="宋体"/>
          <w:spacing w:val="-5"/>
        </w:rPr>
        <w:t xml:space="preserve"> </w:t>
      </w:r>
      <w:r>
        <w:rPr>
          <w:rFonts w:ascii="宋体" w:eastAsia="宋体" w:hAnsi="宋体" w:cs="宋体"/>
          <w:spacing w:val="-9"/>
        </w:rPr>
        <w:t>(extra-hard</w:t>
      </w:r>
      <w:r>
        <w:rPr>
          <w:rFonts w:ascii="宋体" w:eastAsia="宋体" w:hAnsi="宋体" w:cs="宋体"/>
          <w:spacing w:val="4"/>
        </w:rPr>
        <w:t xml:space="preserve"> </w:t>
      </w:r>
      <w:r>
        <w:rPr>
          <w:rFonts w:ascii="宋体" w:eastAsia="宋体" w:hAnsi="宋体" w:cs="宋体"/>
          <w:spacing w:val="-9"/>
        </w:rPr>
        <w:t>cheese)、</w:t>
      </w:r>
      <w:r>
        <w:rPr>
          <w:rFonts w:ascii="宋体" w:eastAsia="宋体" w:hAnsi="宋体" w:cs="宋体"/>
          <w:spacing w:val="-51"/>
        </w:rPr>
        <w:t xml:space="preserve"> </w:t>
      </w:r>
      <w:r>
        <w:rPr>
          <w:rFonts w:ascii="宋体" w:eastAsia="宋体" w:hAnsi="宋体" w:cs="宋体"/>
          <w:spacing w:val="-9"/>
        </w:rPr>
        <w:t>硬质干酪</w:t>
      </w:r>
      <w:r>
        <w:rPr>
          <w:rFonts w:ascii="宋体" w:eastAsia="宋体" w:hAnsi="宋体" w:cs="宋体"/>
          <w:spacing w:val="-14"/>
        </w:rPr>
        <w:t xml:space="preserve"> </w:t>
      </w:r>
      <w:r>
        <w:rPr>
          <w:rFonts w:ascii="宋体" w:eastAsia="宋体" w:hAnsi="宋体" w:cs="宋体"/>
          <w:spacing w:val="-9"/>
        </w:rPr>
        <w:t>(hard</w:t>
      </w:r>
      <w:r>
        <w:rPr>
          <w:rFonts w:ascii="宋体" w:eastAsia="宋体" w:hAnsi="宋体" w:cs="宋体"/>
          <w:spacing w:val="11"/>
        </w:rPr>
        <w:t xml:space="preserve"> </w:t>
      </w:r>
      <w:r>
        <w:rPr>
          <w:rFonts w:ascii="宋体" w:eastAsia="宋体" w:hAnsi="宋体" w:cs="宋体"/>
          <w:spacing w:val="-9"/>
        </w:rPr>
        <w:t>cheese)、</w:t>
      </w:r>
      <w:r>
        <w:rPr>
          <w:rFonts w:ascii="宋体" w:eastAsia="宋体" w:hAnsi="宋体" w:cs="宋体"/>
          <w:spacing w:val="-41"/>
        </w:rPr>
        <w:t xml:space="preserve"> </w:t>
      </w:r>
      <w:r>
        <w:rPr>
          <w:rFonts w:ascii="宋体" w:eastAsia="宋体" w:hAnsi="宋体" w:cs="宋体"/>
          <w:spacing w:val="-9"/>
        </w:rPr>
        <w:t>半</w:t>
      </w:r>
      <w:r>
        <w:rPr>
          <w:rFonts w:ascii="宋体" w:eastAsia="宋体" w:hAnsi="宋体" w:cs="宋体"/>
          <w:spacing w:val="-10"/>
        </w:rPr>
        <w:t>硬质干</w:t>
      </w:r>
    </w:p>
    <w:p w:rsidR="00EA40A3" w:rsidRDefault="00E86C16">
      <w:pPr>
        <w:spacing w:before="98"/>
        <w:ind w:right="91"/>
        <w:jc w:val="right"/>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219</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pgSz w:w="9220" w:h="13360"/>
          <w:pgMar w:top="400" w:right="955" w:bottom="400" w:left="899" w:header="0" w:footer="0" w:gutter="0"/>
          <w:cols w:space="720"/>
        </w:sectPr>
      </w:pPr>
    </w:p>
    <w:p w:rsidR="00EA40A3" w:rsidRDefault="00EA40A3">
      <w:pPr>
        <w:spacing w:line="283" w:lineRule="auto"/>
      </w:pPr>
    </w:p>
    <w:p w:rsidR="00EA40A3" w:rsidRDefault="00EA40A3">
      <w:pPr>
        <w:spacing w:line="284" w:lineRule="auto"/>
      </w:pPr>
    </w:p>
    <w:p w:rsidR="00EA40A3" w:rsidRDefault="00E86C16">
      <w:pPr>
        <w:spacing w:before="75" w:line="237" w:lineRule="auto"/>
        <w:ind w:right="19"/>
        <w:jc w:val="both"/>
        <w:rPr>
          <w:rFonts w:ascii="宋体" w:eastAsia="宋体" w:hAnsi="宋体" w:cs="宋体"/>
          <w:sz w:val="23"/>
          <w:szCs w:val="23"/>
        </w:rPr>
      </w:pPr>
      <w:r>
        <w:rPr>
          <w:rFonts w:ascii="宋体" w:eastAsia="宋体" w:hAnsi="宋体" w:cs="宋体"/>
          <w:spacing w:val="-17"/>
          <w:sz w:val="23"/>
          <w:szCs w:val="23"/>
        </w:rPr>
        <w:t>酪</w:t>
      </w:r>
      <w:r>
        <w:rPr>
          <w:rFonts w:ascii="宋体" w:eastAsia="宋体" w:hAnsi="宋体" w:cs="宋体"/>
          <w:spacing w:val="-34"/>
          <w:sz w:val="23"/>
          <w:szCs w:val="23"/>
        </w:rPr>
        <w:t xml:space="preserve"> </w:t>
      </w:r>
      <w:r>
        <w:rPr>
          <w:rFonts w:ascii="宋体" w:eastAsia="宋体" w:hAnsi="宋体" w:cs="宋体"/>
          <w:spacing w:val="-17"/>
          <w:sz w:val="23"/>
          <w:szCs w:val="23"/>
        </w:rPr>
        <w:t>(</w:t>
      </w:r>
      <w:r>
        <w:rPr>
          <w:rFonts w:ascii="宋体" w:eastAsia="宋体" w:hAnsi="宋体" w:cs="宋体"/>
          <w:spacing w:val="-16"/>
          <w:sz w:val="23"/>
          <w:szCs w:val="23"/>
        </w:rPr>
        <w:t>semi</w:t>
      </w:r>
      <w:r>
        <w:rPr>
          <w:rFonts w:ascii="宋体" w:eastAsia="宋体" w:hAnsi="宋体" w:cs="宋体"/>
          <w:spacing w:val="-17"/>
          <w:sz w:val="23"/>
          <w:szCs w:val="23"/>
        </w:rPr>
        <w:t>-</w:t>
      </w:r>
      <w:r>
        <w:rPr>
          <w:rFonts w:ascii="宋体" w:eastAsia="宋体" w:hAnsi="宋体" w:cs="宋体"/>
          <w:spacing w:val="-16"/>
          <w:sz w:val="23"/>
          <w:szCs w:val="23"/>
        </w:rPr>
        <w:t>hard</w:t>
      </w:r>
      <w:r>
        <w:rPr>
          <w:rFonts w:ascii="宋体" w:eastAsia="宋体" w:hAnsi="宋体" w:cs="宋体"/>
          <w:spacing w:val="-3"/>
          <w:sz w:val="23"/>
          <w:szCs w:val="23"/>
        </w:rPr>
        <w:t xml:space="preserve"> </w:t>
      </w:r>
      <w:r>
        <w:rPr>
          <w:rFonts w:ascii="宋体" w:eastAsia="宋体" w:hAnsi="宋体" w:cs="宋体"/>
          <w:spacing w:val="-16"/>
          <w:sz w:val="23"/>
          <w:szCs w:val="23"/>
        </w:rPr>
        <w:t>cheese</w:t>
      </w:r>
      <w:r>
        <w:rPr>
          <w:rFonts w:ascii="宋体" w:eastAsia="宋体" w:hAnsi="宋体" w:cs="宋体"/>
          <w:spacing w:val="-17"/>
          <w:sz w:val="23"/>
          <w:szCs w:val="23"/>
        </w:rPr>
        <w:t>)、</w:t>
      </w:r>
      <w:r>
        <w:rPr>
          <w:rFonts w:ascii="宋体" w:eastAsia="宋体" w:hAnsi="宋体" w:cs="宋体"/>
          <w:spacing w:val="-56"/>
          <w:sz w:val="23"/>
          <w:szCs w:val="23"/>
        </w:rPr>
        <w:t xml:space="preserve"> </w:t>
      </w:r>
      <w:r>
        <w:rPr>
          <w:rFonts w:ascii="宋体" w:eastAsia="宋体" w:hAnsi="宋体" w:cs="宋体"/>
          <w:spacing w:val="-17"/>
          <w:sz w:val="23"/>
          <w:szCs w:val="23"/>
        </w:rPr>
        <w:t>软质干酪</w:t>
      </w:r>
      <w:r>
        <w:rPr>
          <w:rFonts w:ascii="宋体" w:eastAsia="宋体" w:hAnsi="宋体" w:cs="宋体"/>
          <w:spacing w:val="17"/>
          <w:sz w:val="23"/>
          <w:szCs w:val="23"/>
        </w:rPr>
        <w:t xml:space="preserve"> </w:t>
      </w:r>
      <w:r>
        <w:rPr>
          <w:rFonts w:ascii="宋体" w:eastAsia="宋体" w:hAnsi="宋体" w:cs="宋体"/>
          <w:spacing w:val="-17"/>
          <w:sz w:val="23"/>
          <w:szCs w:val="23"/>
        </w:rPr>
        <w:t>(</w:t>
      </w:r>
      <w:r>
        <w:rPr>
          <w:rFonts w:ascii="宋体" w:eastAsia="宋体" w:hAnsi="宋体" w:cs="宋体"/>
          <w:spacing w:val="-16"/>
          <w:sz w:val="23"/>
          <w:szCs w:val="23"/>
        </w:rPr>
        <w:t>soft</w:t>
      </w:r>
      <w:r>
        <w:rPr>
          <w:rFonts w:ascii="宋体" w:eastAsia="宋体" w:hAnsi="宋体" w:cs="宋体"/>
          <w:spacing w:val="-4"/>
          <w:sz w:val="23"/>
          <w:szCs w:val="23"/>
        </w:rPr>
        <w:t xml:space="preserve"> </w:t>
      </w:r>
      <w:r>
        <w:rPr>
          <w:rFonts w:ascii="宋体" w:eastAsia="宋体" w:hAnsi="宋体" w:cs="宋体"/>
          <w:spacing w:val="-16"/>
          <w:sz w:val="23"/>
          <w:szCs w:val="23"/>
        </w:rPr>
        <w:t>che</w:t>
      </w:r>
      <w:r>
        <w:rPr>
          <w:rFonts w:ascii="宋体" w:eastAsia="宋体" w:hAnsi="宋体" w:cs="宋体"/>
          <w:spacing w:val="-17"/>
          <w:sz w:val="23"/>
          <w:szCs w:val="23"/>
        </w:rPr>
        <w:t>ese)。</w:t>
      </w:r>
      <w:r>
        <w:rPr>
          <w:rFonts w:ascii="宋体" w:eastAsia="宋体" w:hAnsi="宋体" w:cs="宋体"/>
          <w:spacing w:val="-58"/>
          <w:sz w:val="23"/>
          <w:szCs w:val="23"/>
        </w:rPr>
        <w:t xml:space="preserve"> </w:t>
      </w:r>
      <w:r>
        <w:rPr>
          <w:rFonts w:ascii="宋体" w:eastAsia="宋体" w:hAnsi="宋体" w:cs="宋体"/>
          <w:spacing w:val="-17"/>
          <w:sz w:val="23"/>
          <w:szCs w:val="23"/>
        </w:rPr>
        <w:t>特硬质干酪的水分含量为</w:t>
      </w:r>
      <w:r>
        <w:rPr>
          <w:rFonts w:ascii="宋体" w:eastAsia="宋体" w:hAnsi="宋体" w:cs="宋体"/>
          <w:sz w:val="23"/>
          <w:szCs w:val="23"/>
        </w:rPr>
        <w:t xml:space="preserve"> </w:t>
      </w:r>
      <w:r>
        <w:rPr>
          <w:rFonts w:ascii="宋体" w:eastAsia="宋体" w:hAnsi="宋体" w:cs="宋体"/>
          <w:spacing w:val="3"/>
          <w:sz w:val="23"/>
          <w:szCs w:val="23"/>
        </w:rPr>
        <w:t>30%～35%、硬质干酪为30%～40%、半硬质干酪为38%～45%、软质干酪为</w:t>
      </w:r>
      <w:r>
        <w:rPr>
          <w:rFonts w:ascii="宋体" w:eastAsia="宋体" w:hAnsi="宋体" w:cs="宋体"/>
          <w:spacing w:val="10"/>
          <w:sz w:val="23"/>
          <w:szCs w:val="23"/>
        </w:rPr>
        <w:t xml:space="preserve"> </w:t>
      </w:r>
      <w:r>
        <w:rPr>
          <w:rFonts w:ascii="宋体" w:eastAsia="宋体" w:hAnsi="宋体" w:cs="宋体"/>
          <w:spacing w:val="6"/>
          <w:sz w:val="23"/>
          <w:szCs w:val="23"/>
        </w:rPr>
        <w:t>40%～60%。农家干酪的水分含量高达70%～80%。根据</w:t>
      </w:r>
      <w:r>
        <w:rPr>
          <w:rFonts w:ascii="宋体" w:eastAsia="宋体" w:hAnsi="宋体" w:cs="宋体"/>
          <w:spacing w:val="5"/>
          <w:sz w:val="23"/>
          <w:szCs w:val="23"/>
        </w:rPr>
        <w:t>我国食物成分表，</w:t>
      </w:r>
      <w:r>
        <w:rPr>
          <w:rFonts w:ascii="宋体" w:eastAsia="宋体" w:hAnsi="宋体" w:cs="宋体"/>
          <w:sz w:val="23"/>
          <w:szCs w:val="23"/>
        </w:rPr>
        <w:t xml:space="preserve"> </w:t>
      </w:r>
      <w:r>
        <w:rPr>
          <w:rFonts w:ascii="宋体" w:eastAsia="宋体" w:hAnsi="宋体" w:cs="宋体"/>
          <w:spacing w:val="-8"/>
          <w:sz w:val="23"/>
          <w:szCs w:val="23"/>
        </w:rPr>
        <w:t>100g硬干酪中含蛋白质25.7g、脂肪23.5g、核黄素0.91mg、</w:t>
      </w:r>
      <w:r>
        <w:rPr>
          <w:rFonts w:ascii="宋体" w:eastAsia="宋体" w:hAnsi="宋体" w:cs="宋体"/>
          <w:spacing w:val="-39"/>
          <w:sz w:val="23"/>
          <w:szCs w:val="23"/>
        </w:rPr>
        <w:t xml:space="preserve"> </w:t>
      </w:r>
      <w:r>
        <w:rPr>
          <w:rFonts w:ascii="宋体" w:eastAsia="宋体" w:hAnsi="宋体" w:cs="宋体"/>
          <w:spacing w:val="-8"/>
          <w:sz w:val="23"/>
          <w:szCs w:val="23"/>
        </w:rPr>
        <w:t>钙799mg</w:t>
      </w:r>
      <w:r>
        <w:rPr>
          <w:rFonts w:ascii="宋体" w:eastAsia="宋体" w:hAnsi="宋体" w:cs="宋体"/>
          <w:spacing w:val="-9"/>
          <w:sz w:val="23"/>
          <w:szCs w:val="23"/>
        </w:rPr>
        <w:t>。</w:t>
      </w:r>
      <w:r>
        <w:rPr>
          <w:rFonts w:ascii="宋体" w:eastAsia="宋体" w:hAnsi="宋体" w:cs="宋体"/>
          <w:spacing w:val="-36"/>
          <w:sz w:val="23"/>
          <w:szCs w:val="23"/>
        </w:rPr>
        <w:t xml:space="preserve"> </w:t>
      </w:r>
      <w:r>
        <w:rPr>
          <w:rFonts w:ascii="宋体" w:eastAsia="宋体" w:hAnsi="宋体" w:cs="宋体"/>
          <w:spacing w:val="-9"/>
          <w:sz w:val="23"/>
          <w:szCs w:val="23"/>
        </w:rPr>
        <w:t>软干</w:t>
      </w:r>
      <w:r>
        <w:rPr>
          <w:rFonts w:ascii="宋体" w:eastAsia="宋体" w:hAnsi="宋体" w:cs="宋体"/>
          <w:sz w:val="23"/>
          <w:szCs w:val="23"/>
        </w:rPr>
        <w:t xml:space="preserve"> </w:t>
      </w:r>
      <w:r>
        <w:rPr>
          <w:rFonts w:ascii="宋体" w:eastAsia="宋体" w:hAnsi="宋体" w:cs="宋体"/>
          <w:spacing w:val="-24"/>
          <w:sz w:val="23"/>
          <w:szCs w:val="23"/>
        </w:rPr>
        <w:t>酪所含蛋白质和钙稍低。</w:t>
      </w:r>
    </w:p>
    <w:p w:rsidR="00EA40A3" w:rsidRDefault="00E86C16">
      <w:pPr>
        <w:spacing w:before="57" w:line="229" w:lineRule="auto"/>
        <w:ind w:right="104" w:firstLine="419"/>
        <w:rPr>
          <w:rFonts w:ascii="宋体" w:eastAsia="宋体" w:hAnsi="宋体" w:cs="宋体"/>
          <w:sz w:val="23"/>
          <w:szCs w:val="23"/>
        </w:rPr>
      </w:pPr>
      <w:r>
        <w:rPr>
          <w:rFonts w:ascii="宋体" w:eastAsia="宋体" w:hAnsi="宋体" w:cs="宋体"/>
          <w:spacing w:val="-23"/>
          <w:sz w:val="23"/>
          <w:szCs w:val="23"/>
        </w:rPr>
        <w:t>奶酪制作过程中，大部分乳糖随乳清流失，少量乳糖发酵产生乳酸。脂溶性</w:t>
      </w:r>
      <w:r>
        <w:rPr>
          <w:rFonts w:ascii="宋体" w:eastAsia="宋体" w:hAnsi="宋体" w:cs="宋体"/>
          <w:spacing w:val="6"/>
          <w:sz w:val="23"/>
          <w:szCs w:val="23"/>
        </w:rPr>
        <w:t xml:space="preserve"> </w:t>
      </w:r>
      <w:r>
        <w:rPr>
          <w:rFonts w:ascii="宋体" w:eastAsia="宋体" w:hAnsi="宋体" w:cs="宋体"/>
          <w:spacing w:val="-16"/>
          <w:sz w:val="23"/>
          <w:szCs w:val="23"/>
        </w:rPr>
        <w:t>维生素大多保留在蛋白质凝块当中，而水溶性的B</w:t>
      </w:r>
      <w:r>
        <w:rPr>
          <w:rFonts w:ascii="宋体" w:eastAsia="宋体" w:hAnsi="宋体" w:cs="宋体"/>
          <w:spacing w:val="-17"/>
          <w:sz w:val="23"/>
          <w:szCs w:val="23"/>
        </w:rPr>
        <w:t xml:space="preserve"> </w:t>
      </w:r>
      <w:r>
        <w:rPr>
          <w:rFonts w:ascii="宋体" w:eastAsia="宋体" w:hAnsi="宋体" w:cs="宋体"/>
          <w:spacing w:val="-16"/>
          <w:sz w:val="23"/>
          <w:szCs w:val="23"/>
        </w:rPr>
        <w:t>族维生素大部分损失于酪乳</w:t>
      </w:r>
      <w:r>
        <w:rPr>
          <w:rFonts w:ascii="宋体" w:eastAsia="宋体" w:hAnsi="宋体" w:cs="宋体"/>
          <w:sz w:val="23"/>
          <w:szCs w:val="23"/>
        </w:rPr>
        <w:t xml:space="preserve"> </w:t>
      </w:r>
      <w:r>
        <w:rPr>
          <w:rFonts w:ascii="宋体" w:eastAsia="宋体" w:hAnsi="宋体" w:cs="宋体"/>
          <w:spacing w:val="-17"/>
          <w:sz w:val="23"/>
          <w:szCs w:val="23"/>
        </w:rPr>
        <w:t>之中，但含量仍不低于原料牛奶。原料乳中微量的维生</w:t>
      </w:r>
      <w:r>
        <w:rPr>
          <w:rFonts w:ascii="宋体" w:eastAsia="宋体" w:hAnsi="宋体" w:cs="宋体"/>
          <w:spacing w:val="-18"/>
          <w:sz w:val="23"/>
          <w:szCs w:val="23"/>
        </w:rPr>
        <w:t>素</w:t>
      </w:r>
      <w:r>
        <w:rPr>
          <w:rFonts w:ascii="宋体" w:eastAsia="宋体" w:hAnsi="宋体" w:cs="宋体"/>
          <w:spacing w:val="-66"/>
          <w:sz w:val="23"/>
          <w:szCs w:val="23"/>
        </w:rPr>
        <w:t xml:space="preserve"> </w:t>
      </w:r>
      <w:r>
        <w:rPr>
          <w:rFonts w:ascii="宋体" w:eastAsia="宋体" w:hAnsi="宋体" w:cs="宋体"/>
          <w:spacing w:val="-18"/>
          <w:sz w:val="23"/>
          <w:szCs w:val="23"/>
        </w:rPr>
        <w:t>C</w:t>
      </w:r>
      <w:r>
        <w:rPr>
          <w:rFonts w:ascii="宋体" w:eastAsia="宋体" w:hAnsi="宋体" w:cs="宋体"/>
          <w:spacing w:val="-23"/>
          <w:sz w:val="23"/>
          <w:szCs w:val="23"/>
        </w:rPr>
        <w:t xml:space="preserve"> </w:t>
      </w:r>
      <w:r>
        <w:rPr>
          <w:rFonts w:ascii="宋体" w:eastAsia="宋体" w:hAnsi="宋体" w:cs="宋体"/>
          <w:spacing w:val="-18"/>
          <w:sz w:val="23"/>
          <w:szCs w:val="23"/>
        </w:rPr>
        <w:t>几乎全部损失。其</w:t>
      </w:r>
      <w:r>
        <w:rPr>
          <w:rFonts w:ascii="宋体" w:eastAsia="宋体" w:hAnsi="宋体" w:cs="宋体"/>
          <w:sz w:val="23"/>
          <w:szCs w:val="23"/>
        </w:rPr>
        <w:t xml:space="preserve"> </w:t>
      </w:r>
      <w:r>
        <w:rPr>
          <w:rFonts w:ascii="宋体" w:eastAsia="宋体" w:hAnsi="宋体" w:cs="宋体"/>
          <w:spacing w:val="-25"/>
          <w:sz w:val="23"/>
          <w:szCs w:val="23"/>
        </w:rPr>
        <w:t>中的钙和镁等元素则得到了浓缩。</w:t>
      </w:r>
    </w:p>
    <w:p w:rsidR="00EA40A3" w:rsidRDefault="00E86C16">
      <w:pPr>
        <w:spacing w:before="69" w:line="229" w:lineRule="auto"/>
        <w:ind w:right="95" w:firstLine="419"/>
        <w:rPr>
          <w:rFonts w:ascii="宋体" w:eastAsia="宋体" w:hAnsi="宋体" w:cs="宋体"/>
          <w:sz w:val="23"/>
          <w:szCs w:val="23"/>
        </w:rPr>
      </w:pPr>
      <w:r>
        <w:rPr>
          <w:rFonts w:ascii="宋体" w:eastAsia="宋体" w:hAnsi="宋体" w:cs="宋体"/>
          <w:spacing w:val="-15"/>
          <w:sz w:val="23"/>
          <w:szCs w:val="23"/>
        </w:rPr>
        <w:t>制乳酪时所分离的乳清含乳球蛋白、乳白蛋白和各种B</w:t>
      </w:r>
      <w:r>
        <w:rPr>
          <w:rFonts w:ascii="宋体" w:eastAsia="宋体" w:hAnsi="宋体" w:cs="宋体"/>
          <w:spacing w:val="-32"/>
          <w:sz w:val="23"/>
          <w:szCs w:val="23"/>
        </w:rPr>
        <w:t xml:space="preserve"> </w:t>
      </w:r>
      <w:r>
        <w:rPr>
          <w:rFonts w:ascii="宋体" w:eastAsia="宋体" w:hAnsi="宋体" w:cs="宋体"/>
          <w:spacing w:val="-15"/>
          <w:sz w:val="23"/>
          <w:szCs w:val="23"/>
        </w:rPr>
        <w:t>族维生素。它可以</w:t>
      </w:r>
      <w:r>
        <w:rPr>
          <w:rFonts w:ascii="宋体" w:eastAsia="宋体" w:hAnsi="宋体" w:cs="宋体"/>
          <w:sz w:val="23"/>
          <w:szCs w:val="23"/>
        </w:rPr>
        <w:t xml:space="preserve"> </w:t>
      </w:r>
      <w:r>
        <w:rPr>
          <w:rFonts w:ascii="宋体" w:eastAsia="宋体" w:hAnsi="宋体" w:cs="宋体"/>
          <w:spacing w:val="-23"/>
          <w:sz w:val="23"/>
          <w:szCs w:val="23"/>
        </w:rPr>
        <w:t>经过干燥制取乳清粉，也可以经调配或发酵生产乳清饮料。</w:t>
      </w:r>
    </w:p>
    <w:p w:rsidR="00EA40A3" w:rsidRDefault="00E86C16">
      <w:pPr>
        <w:spacing w:before="16" w:line="233" w:lineRule="auto"/>
        <w:ind w:right="95" w:firstLine="419"/>
        <w:rPr>
          <w:rFonts w:ascii="宋体" w:eastAsia="宋体" w:hAnsi="宋体" w:cs="宋体"/>
          <w:sz w:val="23"/>
          <w:szCs w:val="23"/>
        </w:rPr>
      </w:pPr>
      <w:r>
        <w:rPr>
          <w:rFonts w:ascii="宋体" w:eastAsia="宋体" w:hAnsi="宋体" w:cs="宋体"/>
          <w:spacing w:val="-23"/>
          <w:sz w:val="23"/>
          <w:szCs w:val="23"/>
        </w:rPr>
        <w:t>我国内蒙古等地有“奶豆腐”等食品，类似于乳酪，但一般是由牛</w:t>
      </w:r>
      <w:r>
        <w:rPr>
          <w:rFonts w:ascii="宋体" w:eastAsia="宋体" w:hAnsi="宋体" w:cs="宋体"/>
          <w:spacing w:val="-24"/>
          <w:sz w:val="23"/>
          <w:szCs w:val="23"/>
        </w:rPr>
        <w:t>的初乳制</w:t>
      </w:r>
      <w:r>
        <w:rPr>
          <w:rFonts w:ascii="宋体" w:eastAsia="宋体" w:hAnsi="宋体" w:cs="宋体"/>
          <w:sz w:val="23"/>
          <w:szCs w:val="23"/>
        </w:rPr>
        <w:t xml:space="preserve"> </w:t>
      </w:r>
      <w:r>
        <w:rPr>
          <w:rFonts w:ascii="宋体" w:eastAsia="宋体" w:hAnsi="宋体" w:cs="宋体"/>
          <w:spacing w:val="-17"/>
          <w:sz w:val="23"/>
          <w:szCs w:val="23"/>
        </w:rPr>
        <w:t>成。初乳的酸度较大，受热后很快凝固。其中含有大量维生素和免疫蛋白类物</w:t>
      </w:r>
      <w:r>
        <w:rPr>
          <w:rFonts w:ascii="宋体" w:eastAsia="宋体" w:hAnsi="宋体" w:cs="宋体"/>
          <w:spacing w:val="17"/>
          <w:sz w:val="23"/>
          <w:szCs w:val="23"/>
        </w:rPr>
        <w:t xml:space="preserve"> </w:t>
      </w:r>
      <w:r>
        <w:rPr>
          <w:rFonts w:ascii="宋体" w:eastAsia="宋体" w:hAnsi="宋体" w:cs="宋体"/>
          <w:spacing w:val="-7"/>
          <w:sz w:val="23"/>
          <w:szCs w:val="23"/>
        </w:rPr>
        <w:t>质，而脂肪的相对含量较低。例如，100g</w:t>
      </w:r>
      <w:r>
        <w:rPr>
          <w:rFonts w:ascii="宋体" w:eastAsia="宋体" w:hAnsi="宋体" w:cs="宋体"/>
          <w:spacing w:val="-48"/>
          <w:sz w:val="23"/>
          <w:szCs w:val="23"/>
        </w:rPr>
        <w:t xml:space="preserve"> </w:t>
      </w:r>
      <w:r>
        <w:rPr>
          <w:rFonts w:ascii="宋体" w:eastAsia="宋体" w:hAnsi="宋体" w:cs="宋体"/>
          <w:spacing w:val="-7"/>
          <w:sz w:val="23"/>
          <w:szCs w:val="23"/>
        </w:rPr>
        <w:t>鲜奶</w:t>
      </w:r>
      <w:r>
        <w:rPr>
          <w:rFonts w:ascii="宋体" w:eastAsia="宋体" w:hAnsi="宋体" w:cs="宋体"/>
          <w:spacing w:val="-8"/>
          <w:sz w:val="23"/>
          <w:szCs w:val="23"/>
        </w:rPr>
        <w:t>豆腐中含蛋白质46.2g、脂肪</w:t>
      </w:r>
      <w:r>
        <w:rPr>
          <w:rFonts w:ascii="宋体" w:eastAsia="宋体" w:hAnsi="宋体" w:cs="宋体"/>
          <w:sz w:val="23"/>
          <w:szCs w:val="23"/>
        </w:rPr>
        <w:t xml:space="preserve"> </w:t>
      </w:r>
      <w:r>
        <w:rPr>
          <w:rFonts w:ascii="宋体" w:eastAsia="宋体" w:hAnsi="宋体" w:cs="宋体"/>
          <w:spacing w:val="-11"/>
          <w:sz w:val="23"/>
          <w:szCs w:val="23"/>
        </w:rPr>
        <w:t>7.8g、核黄素0.69mg、</w:t>
      </w:r>
      <w:r>
        <w:rPr>
          <w:rFonts w:ascii="宋体" w:eastAsia="宋体" w:hAnsi="宋体" w:cs="宋体"/>
          <w:spacing w:val="-21"/>
          <w:sz w:val="23"/>
          <w:szCs w:val="23"/>
        </w:rPr>
        <w:t xml:space="preserve"> </w:t>
      </w:r>
      <w:r>
        <w:rPr>
          <w:rFonts w:ascii="宋体" w:eastAsia="宋体" w:hAnsi="宋体" w:cs="宋体"/>
          <w:spacing w:val="-11"/>
          <w:sz w:val="23"/>
          <w:szCs w:val="23"/>
        </w:rPr>
        <w:t>钙597mg。</w:t>
      </w:r>
    </w:p>
    <w:p w:rsidR="00EA40A3" w:rsidRDefault="00E86C16">
      <w:pPr>
        <w:spacing w:before="270" w:line="223" w:lineRule="auto"/>
        <w:rPr>
          <w:rFonts w:ascii="仿宋" w:eastAsia="仿宋" w:hAnsi="仿宋" w:cs="仿宋"/>
          <w:sz w:val="23"/>
          <w:szCs w:val="23"/>
        </w:rPr>
      </w:pPr>
      <w:r>
        <w:rPr>
          <w:rFonts w:ascii="仿宋" w:eastAsia="仿宋" w:hAnsi="仿宋" w:cs="仿宋"/>
          <w:spacing w:val="-7"/>
          <w:sz w:val="23"/>
          <w:szCs w:val="23"/>
        </w:rPr>
        <w:t>4.</w:t>
      </w:r>
      <w:r>
        <w:rPr>
          <w:rFonts w:ascii="仿宋" w:eastAsia="仿宋" w:hAnsi="仿宋" w:cs="仿宋"/>
          <w:spacing w:val="-36"/>
          <w:sz w:val="23"/>
          <w:szCs w:val="23"/>
        </w:rPr>
        <w:t xml:space="preserve"> </w:t>
      </w:r>
      <w:r>
        <w:rPr>
          <w:rFonts w:ascii="仿宋" w:eastAsia="仿宋" w:hAnsi="仿宋" w:cs="仿宋"/>
          <w:spacing w:val="-7"/>
          <w:sz w:val="23"/>
          <w:szCs w:val="23"/>
        </w:rPr>
        <w:t>乳</w:t>
      </w:r>
      <w:r>
        <w:rPr>
          <w:rFonts w:ascii="仿宋" w:eastAsia="仿宋" w:hAnsi="仿宋" w:cs="仿宋"/>
          <w:spacing w:val="-46"/>
          <w:sz w:val="23"/>
          <w:szCs w:val="23"/>
        </w:rPr>
        <w:t xml:space="preserve"> </w:t>
      </w:r>
      <w:r>
        <w:rPr>
          <w:rFonts w:ascii="仿宋" w:eastAsia="仿宋" w:hAnsi="仿宋" w:cs="仿宋"/>
          <w:spacing w:val="-7"/>
          <w:sz w:val="23"/>
          <w:szCs w:val="23"/>
        </w:rPr>
        <w:t>粉</w:t>
      </w:r>
    </w:p>
    <w:p w:rsidR="00EA40A3" w:rsidRDefault="00E86C16">
      <w:pPr>
        <w:spacing w:before="222" w:line="230" w:lineRule="auto"/>
        <w:ind w:right="106" w:firstLine="419"/>
        <w:rPr>
          <w:rFonts w:ascii="宋体" w:eastAsia="宋体" w:hAnsi="宋体" w:cs="宋体"/>
          <w:sz w:val="23"/>
          <w:szCs w:val="23"/>
        </w:rPr>
      </w:pPr>
      <w:r>
        <w:rPr>
          <w:rFonts w:ascii="宋体" w:eastAsia="宋体" w:hAnsi="宋体" w:cs="宋体"/>
          <w:spacing w:val="-15"/>
          <w:sz w:val="23"/>
          <w:szCs w:val="23"/>
        </w:rPr>
        <w:t>全脂牛乳粉是鲜牛乳经过浓缩除去70%～80%水分后，再滚筒干燥或喷雾干</w:t>
      </w:r>
      <w:r>
        <w:rPr>
          <w:rFonts w:ascii="宋体" w:eastAsia="宋体" w:hAnsi="宋体" w:cs="宋体"/>
          <w:spacing w:val="2"/>
          <w:sz w:val="23"/>
          <w:szCs w:val="23"/>
        </w:rPr>
        <w:t xml:space="preserve"> </w:t>
      </w:r>
      <w:r>
        <w:rPr>
          <w:rFonts w:ascii="宋体" w:eastAsia="宋体" w:hAnsi="宋体" w:cs="宋体"/>
          <w:spacing w:val="-12"/>
          <w:sz w:val="23"/>
          <w:szCs w:val="23"/>
        </w:rPr>
        <w:t>燥而成的，水分含量在5%以下。</w:t>
      </w:r>
    </w:p>
    <w:p w:rsidR="00EA40A3" w:rsidRDefault="00E86C16">
      <w:pPr>
        <w:spacing w:before="49" w:line="235" w:lineRule="auto"/>
        <w:ind w:right="104" w:firstLine="419"/>
        <w:rPr>
          <w:rFonts w:ascii="宋体" w:eastAsia="宋体" w:hAnsi="宋体" w:cs="宋体"/>
          <w:sz w:val="23"/>
          <w:szCs w:val="23"/>
        </w:rPr>
      </w:pPr>
      <w:r>
        <w:rPr>
          <w:rFonts w:ascii="宋体" w:eastAsia="宋体" w:hAnsi="宋体" w:cs="宋体"/>
          <w:spacing w:val="-12"/>
          <w:sz w:val="23"/>
          <w:szCs w:val="23"/>
        </w:rPr>
        <w:t>甜奶粉中添加了20%左右的蔗糖。全脂奶粉保存了原</w:t>
      </w:r>
      <w:r>
        <w:rPr>
          <w:rFonts w:ascii="宋体" w:eastAsia="宋体" w:hAnsi="宋体" w:cs="宋体"/>
          <w:spacing w:val="-13"/>
          <w:sz w:val="23"/>
          <w:szCs w:val="23"/>
        </w:rPr>
        <w:t>料乳中的所有脂肪成</w:t>
      </w:r>
      <w:r>
        <w:rPr>
          <w:rFonts w:ascii="宋体" w:eastAsia="宋体" w:hAnsi="宋体" w:cs="宋体"/>
          <w:sz w:val="23"/>
          <w:szCs w:val="23"/>
        </w:rPr>
        <w:t xml:space="preserve"> </w:t>
      </w:r>
      <w:r>
        <w:rPr>
          <w:rFonts w:ascii="宋体" w:eastAsia="宋体" w:hAnsi="宋体" w:cs="宋体"/>
          <w:spacing w:val="-12"/>
          <w:sz w:val="23"/>
          <w:szCs w:val="23"/>
        </w:rPr>
        <w:t>分，其中脂肪含量不低于26.0%。全脱脂奶粉中</w:t>
      </w:r>
      <w:r>
        <w:rPr>
          <w:rFonts w:ascii="宋体" w:eastAsia="宋体" w:hAnsi="宋体" w:cs="宋体"/>
          <w:spacing w:val="-13"/>
          <w:sz w:val="23"/>
          <w:szCs w:val="23"/>
        </w:rPr>
        <w:t>除去了大部分乳脂肪，脂肪含</w:t>
      </w:r>
      <w:r>
        <w:rPr>
          <w:rFonts w:ascii="宋体" w:eastAsia="宋体" w:hAnsi="宋体" w:cs="宋体"/>
          <w:sz w:val="23"/>
          <w:szCs w:val="23"/>
        </w:rPr>
        <w:t xml:space="preserve"> </w:t>
      </w:r>
      <w:r>
        <w:rPr>
          <w:rFonts w:ascii="宋体" w:eastAsia="宋体" w:hAnsi="宋体" w:cs="宋体"/>
          <w:spacing w:val="-3"/>
          <w:sz w:val="23"/>
          <w:szCs w:val="23"/>
        </w:rPr>
        <w:t>量应不超过2.0%,最低者脂肪含量仅有0.2%,而半脱脂或低脂奶粉的脂肪含</w:t>
      </w:r>
      <w:r>
        <w:rPr>
          <w:rFonts w:ascii="宋体" w:eastAsia="宋体" w:hAnsi="宋体" w:cs="宋体"/>
          <w:spacing w:val="10"/>
          <w:sz w:val="23"/>
          <w:szCs w:val="23"/>
        </w:rPr>
        <w:t xml:space="preserve"> </w:t>
      </w:r>
      <w:r>
        <w:rPr>
          <w:rFonts w:ascii="宋体" w:eastAsia="宋体" w:hAnsi="宋体" w:cs="宋体"/>
          <w:spacing w:val="-3"/>
          <w:sz w:val="23"/>
          <w:szCs w:val="23"/>
        </w:rPr>
        <w:t>量通常为8%～20%不等。</w:t>
      </w:r>
    </w:p>
    <w:p w:rsidR="00EA40A3" w:rsidRDefault="00E86C16">
      <w:pPr>
        <w:spacing w:before="38" w:line="228" w:lineRule="auto"/>
        <w:ind w:right="75" w:firstLine="419"/>
        <w:rPr>
          <w:rFonts w:ascii="宋体" w:eastAsia="宋体" w:hAnsi="宋体" w:cs="宋体"/>
          <w:sz w:val="23"/>
          <w:szCs w:val="23"/>
        </w:rPr>
      </w:pPr>
      <w:r>
        <w:rPr>
          <w:rFonts w:ascii="宋体" w:eastAsia="宋体" w:hAnsi="宋体" w:cs="宋体"/>
          <w:spacing w:val="-23"/>
          <w:sz w:val="23"/>
          <w:szCs w:val="23"/>
        </w:rPr>
        <w:t>牛乳粉是蛋白质和钙的良好来源。原料乳当中的蛋白质、无机盐、脂肪等主</w:t>
      </w:r>
      <w:r>
        <w:rPr>
          <w:rFonts w:ascii="宋体" w:eastAsia="宋体" w:hAnsi="宋体" w:cs="宋体"/>
          <w:spacing w:val="9"/>
          <w:sz w:val="23"/>
          <w:szCs w:val="23"/>
        </w:rPr>
        <w:t xml:space="preserve"> </w:t>
      </w:r>
      <w:r>
        <w:rPr>
          <w:rFonts w:ascii="宋体" w:eastAsia="宋体" w:hAnsi="宋体" w:cs="宋体"/>
          <w:spacing w:val="-8"/>
          <w:sz w:val="23"/>
          <w:szCs w:val="23"/>
        </w:rPr>
        <w:t>要营养成分基本得到保持，维生素B</w:t>
      </w:r>
      <w:r>
        <w:rPr>
          <w:rFonts w:ascii="Calibri" w:eastAsia="Calibri" w:hAnsi="Calibri" w:cs="Calibri"/>
          <w:spacing w:val="-8"/>
          <w:sz w:val="23"/>
          <w:szCs w:val="23"/>
        </w:rPr>
        <w:t>₁</w:t>
      </w:r>
      <w:r>
        <w:rPr>
          <w:rFonts w:ascii="Calibri" w:eastAsia="Calibri" w:hAnsi="Calibri" w:cs="Calibri"/>
          <w:spacing w:val="-26"/>
          <w:sz w:val="23"/>
          <w:szCs w:val="23"/>
        </w:rPr>
        <w:t xml:space="preserve"> </w:t>
      </w:r>
      <w:r>
        <w:rPr>
          <w:rFonts w:ascii="宋体" w:eastAsia="宋体" w:hAnsi="宋体" w:cs="宋体"/>
          <w:spacing w:val="-8"/>
          <w:sz w:val="23"/>
          <w:szCs w:val="23"/>
        </w:rPr>
        <w:t>、维生素B</w:t>
      </w:r>
      <w:r>
        <w:rPr>
          <w:rFonts w:ascii="Calibri" w:eastAsia="Calibri" w:hAnsi="Calibri" w:cs="Calibri"/>
          <w:spacing w:val="-8"/>
          <w:sz w:val="23"/>
          <w:szCs w:val="23"/>
        </w:rPr>
        <w:t>₆</w:t>
      </w:r>
      <w:r>
        <w:rPr>
          <w:rFonts w:ascii="Calibri" w:eastAsia="Calibri" w:hAnsi="Calibri" w:cs="Calibri"/>
          <w:spacing w:val="15"/>
          <w:sz w:val="23"/>
          <w:szCs w:val="23"/>
        </w:rPr>
        <w:t xml:space="preserve"> </w:t>
      </w:r>
      <w:r>
        <w:rPr>
          <w:rFonts w:ascii="宋体" w:eastAsia="宋体" w:hAnsi="宋体" w:cs="宋体"/>
          <w:spacing w:val="-8"/>
          <w:sz w:val="23"/>
          <w:szCs w:val="23"/>
        </w:rPr>
        <w:t>等有10%～30%的损失，只是</w:t>
      </w:r>
      <w:r>
        <w:rPr>
          <w:rFonts w:ascii="宋体" w:eastAsia="宋体" w:hAnsi="宋体" w:cs="宋体"/>
          <w:sz w:val="23"/>
          <w:szCs w:val="23"/>
        </w:rPr>
        <w:t xml:space="preserve"> </w:t>
      </w:r>
      <w:r>
        <w:rPr>
          <w:rFonts w:ascii="宋体" w:eastAsia="宋体" w:hAnsi="宋体" w:cs="宋体"/>
          <w:spacing w:val="-18"/>
          <w:sz w:val="23"/>
          <w:szCs w:val="23"/>
        </w:rPr>
        <w:t>维生素C</w:t>
      </w:r>
      <w:r>
        <w:rPr>
          <w:rFonts w:ascii="宋体" w:eastAsia="宋体" w:hAnsi="宋体" w:cs="宋体"/>
          <w:spacing w:val="-31"/>
          <w:sz w:val="23"/>
          <w:szCs w:val="23"/>
        </w:rPr>
        <w:t xml:space="preserve"> </w:t>
      </w:r>
      <w:r>
        <w:rPr>
          <w:rFonts w:ascii="宋体" w:eastAsia="宋体" w:hAnsi="宋体" w:cs="宋体"/>
          <w:spacing w:val="-18"/>
          <w:sz w:val="23"/>
          <w:szCs w:val="23"/>
        </w:rPr>
        <w:t>破坏较大。</w:t>
      </w:r>
    </w:p>
    <w:p w:rsidR="00EA40A3" w:rsidRDefault="00E86C16">
      <w:pPr>
        <w:spacing w:before="45" w:line="229" w:lineRule="auto"/>
        <w:ind w:firstLine="419"/>
        <w:rPr>
          <w:rFonts w:ascii="宋体" w:eastAsia="宋体" w:hAnsi="宋体" w:cs="宋体"/>
          <w:sz w:val="23"/>
          <w:szCs w:val="23"/>
        </w:rPr>
      </w:pPr>
      <w:r>
        <w:rPr>
          <w:rFonts w:ascii="宋体" w:eastAsia="宋体" w:hAnsi="宋体" w:cs="宋体"/>
          <w:spacing w:val="-23"/>
          <w:sz w:val="23"/>
          <w:szCs w:val="23"/>
        </w:rPr>
        <w:t>目前，许多牛乳粉产品都按照产品目标人群的营养需要对原来的营养成分进</w:t>
      </w:r>
      <w:r>
        <w:rPr>
          <w:rFonts w:ascii="宋体" w:eastAsia="宋体" w:hAnsi="宋体" w:cs="宋体"/>
          <w:spacing w:val="3"/>
          <w:sz w:val="23"/>
          <w:szCs w:val="23"/>
        </w:rPr>
        <w:t xml:space="preserve">  </w:t>
      </w:r>
      <w:r>
        <w:rPr>
          <w:rFonts w:ascii="宋体" w:eastAsia="宋体" w:hAnsi="宋体" w:cs="宋体"/>
          <w:spacing w:val="-20"/>
          <w:sz w:val="23"/>
          <w:szCs w:val="23"/>
        </w:rPr>
        <w:t>行了调整，添加钙、铁、锌、铬等矿物质，多种维生素，免疫球蛋白，亚油酸，</w:t>
      </w:r>
      <w:r>
        <w:rPr>
          <w:rFonts w:ascii="宋体" w:eastAsia="宋体" w:hAnsi="宋体" w:cs="宋体"/>
          <w:spacing w:val="13"/>
          <w:sz w:val="23"/>
          <w:szCs w:val="23"/>
        </w:rPr>
        <w:t xml:space="preserve"> </w:t>
      </w:r>
      <w:r>
        <w:rPr>
          <w:rFonts w:ascii="宋体" w:eastAsia="宋体" w:hAnsi="宋体" w:cs="宋体"/>
          <w:spacing w:val="-18"/>
          <w:sz w:val="23"/>
          <w:szCs w:val="23"/>
        </w:rPr>
        <w:t>DHA</w:t>
      </w:r>
      <w:r>
        <w:rPr>
          <w:rFonts w:ascii="宋体" w:eastAsia="宋体" w:hAnsi="宋体" w:cs="宋体"/>
          <w:spacing w:val="86"/>
          <w:sz w:val="23"/>
          <w:szCs w:val="23"/>
        </w:rPr>
        <w:t xml:space="preserve"> </w:t>
      </w:r>
      <w:r>
        <w:rPr>
          <w:rFonts w:ascii="宋体" w:eastAsia="宋体" w:hAnsi="宋体" w:cs="宋体"/>
          <w:spacing w:val="-18"/>
          <w:sz w:val="23"/>
          <w:szCs w:val="23"/>
        </w:rPr>
        <w:t>以及其他活性物质，生产出婴儿奶粉、青少年奶粉、老年奶粉等更适合特</w:t>
      </w:r>
      <w:r>
        <w:rPr>
          <w:rFonts w:ascii="宋体" w:eastAsia="宋体" w:hAnsi="宋体" w:cs="宋体"/>
          <w:sz w:val="23"/>
          <w:szCs w:val="23"/>
        </w:rPr>
        <w:t xml:space="preserve"> </w:t>
      </w:r>
      <w:r>
        <w:rPr>
          <w:rFonts w:ascii="宋体" w:eastAsia="宋体" w:hAnsi="宋体" w:cs="宋体"/>
          <w:spacing w:val="-24"/>
          <w:sz w:val="23"/>
          <w:szCs w:val="23"/>
        </w:rPr>
        <w:t>定人群营养需要的产品，提高了牛乳粉的营养价值。</w:t>
      </w:r>
    </w:p>
    <w:p w:rsidR="00EA40A3" w:rsidRDefault="00E86C16">
      <w:pPr>
        <w:spacing w:before="210" w:line="223" w:lineRule="auto"/>
        <w:rPr>
          <w:rFonts w:ascii="仿宋" w:eastAsia="仿宋" w:hAnsi="仿宋" w:cs="仿宋"/>
          <w:sz w:val="23"/>
          <w:szCs w:val="23"/>
        </w:rPr>
      </w:pPr>
      <w:r>
        <w:rPr>
          <w:rFonts w:ascii="仿宋" w:eastAsia="仿宋" w:hAnsi="仿宋" w:cs="仿宋"/>
          <w:spacing w:val="3"/>
          <w:sz w:val="23"/>
          <w:szCs w:val="23"/>
        </w:rPr>
        <w:t>5.</w:t>
      </w:r>
      <w:r>
        <w:rPr>
          <w:rFonts w:ascii="仿宋" w:eastAsia="仿宋" w:hAnsi="仿宋" w:cs="仿宋"/>
          <w:spacing w:val="-21"/>
          <w:sz w:val="23"/>
          <w:szCs w:val="23"/>
        </w:rPr>
        <w:t xml:space="preserve"> </w:t>
      </w:r>
      <w:r>
        <w:rPr>
          <w:rFonts w:ascii="仿宋" w:eastAsia="仿宋" w:hAnsi="仿宋" w:cs="仿宋"/>
          <w:spacing w:val="3"/>
          <w:sz w:val="23"/>
          <w:szCs w:val="23"/>
        </w:rPr>
        <w:t>炼乳</w:t>
      </w:r>
    </w:p>
    <w:p w:rsidR="00EA40A3" w:rsidRDefault="00E86C16">
      <w:pPr>
        <w:spacing w:before="193" w:line="234" w:lineRule="auto"/>
        <w:ind w:right="85" w:firstLine="419"/>
        <w:jc w:val="both"/>
        <w:rPr>
          <w:rFonts w:ascii="宋体" w:eastAsia="宋体" w:hAnsi="宋体" w:cs="宋体"/>
          <w:sz w:val="23"/>
          <w:szCs w:val="23"/>
        </w:rPr>
      </w:pPr>
      <w:r>
        <w:rPr>
          <w:rFonts w:ascii="宋体" w:eastAsia="宋体" w:hAnsi="宋体" w:cs="宋体"/>
          <w:spacing w:val="-20"/>
          <w:w w:val="98"/>
          <w:sz w:val="23"/>
          <w:szCs w:val="23"/>
        </w:rPr>
        <w:t>炼乳是原料牛乳经消毒和均质后，在低温真空条件下浓缩除去2/3的水分再装</w:t>
      </w:r>
      <w:r>
        <w:rPr>
          <w:rFonts w:ascii="宋体" w:eastAsia="宋体" w:hAnsi="宋体" w:cs="宋体"/>
          <w:spacing w:val="7"/>
          <w:sz w:val="23"/>
          <w:szCs w:val="23"/>
        </w:rPr>
        <w:t xml:space="preserve"> </w:t>
      </w:r>
      <w:r>
        <w:rPr>
          <w:rFonts w:ascii="宋体" w:eastAsia="宋体" w:hAnsi="宋体" w:cs="宋体"/>
          <w:spacing w:val="-26"/>
          <w:w w:val="99"/>
          <w:sz w:val="23"/>
          <w:szCs w:val="23"/>
        </w:rPr>
        <w:t>罐杀菌而成的，按是否加糖，可分为淡炼乳和调制甜炼乳两类。淡炼乳中的乳固体</w:t>
      </w:r>
      <w:r>
        <w:rPr>
          <w:rFonts w:ascii="宋体" w:eastAsia="宋体" w:hAnsi="宋体" w:cs="宋体"/>
          <w:spacing w:val="16"/>
          <w:sz w:val="23"/>
          <w:szCs w:val="23"/>
        </w:rPr>
        <w:t xml:space="preserve"> </w:t>
      </w:r>
      <w:r>
        <w:rPr>
          <w:rFonts w:ascii="宋体" w:eastAsia="宋体" w:hAnsi="宋体" w:cs="宋体"/>
          <w:spacing w:val="-2"/>
          <w:sz w:val="23"/>
          <w:szCs w:val="23"/>
        </w:rPr>
        <w:t>不得低于25%,蛋白质不低于6.0%,脂肪不低于7.5%;甜炼乳蔗糖含</w:t>
      </w:r>
      <w:r>
        <w:rPr>
          <w:rFonts w:ascii="宋体" w:eastAsia="宋体" w:hAnsi="宋体" w:cs="宋体"/>
          <w:spacing w:val="-3"/>
          <w:sz w:val="23"/>
          <w:szCs w:val="23"/>
        </w:rPr>
        <w:t>量不超过</w:t>
      </w:r>
      <w:r>
        <w:rPr>
          <w:rFonts w:ascii="宋体" w:eastAsia="宋体" w:hAnsi="宋体" w:cs="宋体"/>
          <w:sz w:val="23"/>
          <w:szCs w:val="23"/>
        </w:rPr>
        <w:t xml:space="preserve"> </w:t>
      </w:r>
      <w:r>
        <w:rPr>
          <w:rFonts w:ascii="宋体" w:eastAsia="宋体" w:hAnsi="宋体" w:cs="宋体"/>
          <w:spacing w:val="1"/>
          <w:sz w:val="23"/>
          <w:szCs w:val="23"/>
        </w:rPr>
        <w:t>45.0%,乳固体不低于28.0%,蛋白质不低于6.8%,脂</w:t>
      </w:r>
      <w:r>
        <w:rPr>
          <w:rFonts w:ascii="宋体" w:eastAsia="宋体" w:hAnsi="宋体" w:cs="宋体"/>
          <w:sz w:val="23"/>
          <w:szCs w:val="23"/>
        </w:rPr>
        <w:t>肪不低于8.0%。</w:t>
      </w:r>
    </w:p>
    <w:p w:rsidR="00EA40A3" w:rsidRDefault="00E86C16">
      <w:pPr>
        <w:spacing w:before="68"/>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220</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1075" w:bottom="400" w:left="780" w:header="0" w:footer="0" w:gutter="0"/>
          <w:cols w:space="720"/>
        </w:sectPr>
      </w:pPr>
    </w:p>
    <w:p w:rsidR="00EA40A3" w:rsidRDefault="00825D12">
      <w:pPr>
        <w:spacing w:line="259" w:lineRule="auto"/>
      </w:pPr>
      <w:r>
        <w:rPr>
          <w:noProof/>
        </w:rPr>
        <w:lastRenderedPageBreak/>
        <mc:AlternateContent>
          <mc:Choice Requires="wps">
            <w:drawing>
              <wp:anchor distT="0" distB="0" distL="114300" distR="114300" simplePos="0" relativeHeight="251701248" behindDoc="1" locked="0" layoutInCell="0" allowOverlap="1">
                <wp:simplePos x="0" y="0"/>
                <wp:positionH relativeFrom="page">
                  <wp:posOffset>508000</wp:posOffset>
                </wp:positionH>
                <wp:positionV relativeFrom="page">
                  <wp:posOffset>5622290</wp:posOffset>
                </wp:positionV>
                <wp:extent cx="4680585" cy="6350"/>
                <wp:effectExtent l="12700" t="2540" r="12065" b="10160"/>
                <wp:wrapNone/>
                <wp:docPr id="13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585" cy="6350"/>
                        </a:xfrm>
                        <a:custGeom>
                          <a:avLst/>
                          <a:gdLst>
                            <a:gd name="T0" fmla="*/ 0 w 7370"/>
                            <a:gd name="T1" fmla="*/ 5 h 10"/>
                            <a:gd name="T2" fmla="*/ 1599 w 7370"/>
                            <a:gd name="T3" fmla="*/ 5 h 10"/>
                            <a:gd name="T4" fmla="*/ 1599 w 7370"/>
                            <a:gd name="T5" fmla="*/ 5 h 10"/>
                            <a:gd name="T6" fmla="*/ 3199 w 7370"/>
                            <a:gd name="T7" fmla="*/ 5 h 10"/>
                            <a:gd name="T8" fmla="*/ 3199 w 7370"/>
                            <a:gd name="T9" fmla="*/ 5 h 10"/>
                            <a:gd name="T10" fmla="*/ 5289 w 7370"/>
                            <a:gd name="T11" fmla="*/ 5 h 10"/>
                            <a:gd name="T12" fmla="*/ 5289 w 7370"/>
                            <a:gd name="T13" fmla="*/ 5 h 10"/>
                            <a:gd name="T14" fmla="*/ 7370 w 737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70" h="10">
                              <a:moveTo>
                                <a:pt x="0" y="5"/>
                              </a:moveTo>
                              <a:lnTo>
                                <a:pt x="1599" y="5"/>
                              </a:lnTo>
                              <a:moveTo>
                                <a:pt x="1599" y="5"/>
                              </a:moveTo>
                              <a:lnTo>
                                <a:pt x="3199" y="5"/>
                              </a:lnTo>
                              <a:moveTo>
                                <a:pt x="3199" y="5"/>
                              </a:moveTo>
                              <a:lnTo>
                                <a:pt x="5289" y="5"/>
                              </a:lnTo>
                              <a:moveTo>
                                <a:pt x="5289" y="5"/>
                              </a:moveTo>
                              <a:lnTo>
                                <a:pt x="737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D505D" id="AutoShape 29" o:spid="_x0000_s1026" style="position:absolute;left:0;text-align:left;margin-left:40pt;margin-top:442.7pt;width:368.55pt;height:.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" o:allowincell="f" path="m,5r1599,m1599,5r1600,m3199,5r2090,m5289,5r2081,e" filled="f" strokeweight=".5pt">
                <v:stroke miterlimit="10" joinstyle="miter"/>
                <v:path o:connecttype="custom" o:connectlocs="0,3175;1015503,3175;1015503,3175;2031641,3175;2031641,3175;3358971,3175;3358971,3175;4680585,3175" o:connectangles="0,0,0,0,0,0,0,0"/>
                <w10:wrap anchorx="page" anchory="page"/>
              </v:shape>
            </w:pict>
          </mc:Fallback>
        </mc:AlternateContent>
      </w:r>
    </w:p>
    <w:p w:rsidR="00EA40A3" w:rsidRDefault="00EA40A3">
      <w:pPr>
        <w:spacing w:line="260" w:lineRule="auto"/>
      </w:pPr>
    </w:p>
    <w:p w:rsidR="00EA40A3" w:rsidRDefault="00E86C16">
      <w:pPr>
        <w:spacing w:before="75" w:line="235" w:lineRule="auto"/>
        <w:ind w:left="49" w:right="53" w:firstLine="430"/>
        <w:jc w:val="both"/>
        <w:rPr>
          <w:rFonts w:ascii="宋体" w:eastAsia="宋体" w:hAnsi="宋体" w:cs="宋体"/>
          <w:sz w:val="23"/>
          <w:szCs w:val="23"/>
        </w:rPr>
      </w:pPr>
      <w:r>
        <w:rPr>
          <w:rFonts w:ascii="宋体" w:eastAsia="宋体" w:hAnsi="宋体" w:cs="宋体"/>
          <w:spacing w:val="-16"/>
          <w:sz w:val="23"/>
          <w:szCs w:val="23"/>
        </w:rPr>
        <w:t>经过多次加热，炼乳中的维生素</w:t>
      </w:r>
      <w:r>
        <w:rPr>
          <w:rFonts w:ascii="宋体" w:eastAsia="宋体" w:hAnsi="宋体" w:cs="宋体"/>
          <w:spacing w:val="-62"/>
          <w:sz w:val="23"/>
          <w:szCs w:val="23"/>
        </w:rPr>
        <w:t xml:space="preserve"> </w:t>
      </w:r>
      <w:r>
        <w:rPr>
          <w:rFonts w:ascii="宋体" w:eastAsia="宋体" w:hAnsi="宋体" w:cs="宋体"/>
          <w:spacing w:val="-16"/>
          <w:sz w:val="23"/>
          <w:szCs w:val="23"/>
        </w:rPr>
        <w:t>A、</w:t>
      </w:r>
      <w:r>
        <w:rPr>
          <w:rFonts w:ascii="宋体" w:eastAsia="宋体" w:hAnsi="宋体" w:cs="宋体"/>
          <w:spacing w:val="-39"/>
          <w:sz w:val="23"/>
          <w:szCs w:val="23"/>
        </w:rPr>
        <w:t xml:space="preserve"> </w:t>
      </w:r>
      <w:r>
        <w:rPr>
          <w:rFonts w:ascii="宋体" w:eastAsia="宋体" w:hAnsi="宋体" w:cs="宋体"/>
          <w:spacing w:val="-16"/>
          <w:sz w:val="23"/>
          <w:szCs w:val="23"/>
        </w:rPr>
        <w:t>维生素B</w:t>
      </w:r>
      <w:r>
        <w:rPr>
          <w:rFonts w:ascii="Calibri" w:eastAsia="Calibri" w:hAnsi="Calibri" w:cs="Calibri"/>
          <w:spacing w:val="-16"/>
          <w:sz w:val="23"/>
          <w:szCs w:val="23"/>
        </w:rPr>
        <w:t>₁</w:t>
      </w:r>
      <w:r>
        <w:rPr>
          <w:rFonts w:ascii="Calibri" w:eastAsia="Calibri" w:hAnsi="Calibri" w:cs="Calibri"/>
          <w:spacing w:val="-27"/>
          <w:sz w:val="23"/>
          <w:szCs w:val="23"/>
        </w:rPr>
        <w:t xml:space="preserve"> </w:t>
      </w:r>
      <w:r>
        <w:rPr>
          <w:rFonts w:ascii="宋体" w:eastAsia="宋体" w:hAnsi="宋体" w:cs="宋体"/>
          <w:spacing w:val="-16"/>
          <w:sz w:val="23"/>
          <w:szCs w:val="23"/>
        </w:rPr>
        <w:t>、维生素B</w:t>
      </w:r>
      <w:r>
        <w:rPr>
          <w:rFonts w:ascii="Calibri" w:eastAsia="Calibri" w:hAnsi="Calibri" w:cs="Calibri"/>
          <w:spacing w:val="-16"/>
          <w:sz w:val="23"/>
          <w:szCs w:val="23"/>
        </w:rPr>
        <w:t>₂</w:t>
      </w:r>
      <w:r>
        <w:rPr>
          <w:rFonts w:ascii="Calibri" w:eastAsia="Calibri" w:hAnsi="Calibri" w:cs="Calibri"/>
          <w:spacing w:val="39"/>
          <w:w w:val="101"/>
          <w:sz w:val="23"/>
          <w:szCs w:val="23"/>
        </w:rPr>
        <w:t xml:space="preserve"> </w:t>
      </w:r>
      <w:r>
        <w:rPr>
          <w:rFonts w:ascii="宋体" w:eastAsia="宋体" w:hAnsi="宋体" w:cs="宋体"/>
          <w:spacing w:val="-16"/>
          <w:sz w:val="23"/>
          <w:szCs w:val="23"/>
        </w:rPr>
        <w:t>等营养素受到部</w:t>
      </w:r>
      <w:r>
        <w:rPr>
          <w:rFonts w:ascii="宋体" w:eastAsia="宋体" w:hAnsi="宋体" w:cs="宋体"/>
          <w:sz w:val="23"/>
          <w:szCs w:val="23"/>
        </w:rPr>
        <w:t xml:space="preserve"> </w:t>
      </w:r>
      <w:r>
        <w:rPr>
          <w:rFonts w:ascii="宋体" w:eastAsia="宋体" w:hAnsi="宋体" w:cs="宋体"/>
          <w:spacing w:val="-22"/>
          <w:sz w:val="23"/>
          <w:szCs w:val="23"/>
        </w:rPr>
        <w:t>分破坏，而蛋白质、脂肪和各种矿物质得到浓缩。淡炼乳保存了牛奶中的大</w:t>
      </w:r>
      <w:r>
        <w:rPr>
          <w:rFonts w:ascii="宋体" w:eastAsia="宋体" w:hAnsi="宋体" w:cs="宋体"/>
          <w:spacing w:val="-23"/>
          <w:sz w:val="23"/>
          <w:szCs w:val="23"/>
        </w:rPr>
        <w:t>部分</w:t>
      </w:r>
      <w:r>
        <w:rPr>
          <w:rFonts w:ascii="宋体" w:eastAsia="宋体" w:hAnsi="宋体" w:cs="宋体"/>
          <w:sz w:val="23"/>
          <w:szCs w:val="23"/>
        </w:rPr>
        <w:t xml:space="preserve"> </w:t>
      </w:r>
      <w:r>
        <w:rPr>
          <w:rFonts w:ascii="宋体" w:eastAsia="宋体" w:hAnsi="宋体" w:cs="宋体"/>
          <w:spacing w:val="-23"/>
          <w:sz w:val="23"/>
          <w:szCs w:val="23"/>
        </w:rPr>
        <w:t>营养成分，它是蛋白质和钙的良好来源。甜炼乳因为添加较多蔗糖，所含能量较</w:t>
      </w:r>
      <w:r>
        <w:rPr>
          <w:rFonts w:ascii="宋体" w:eastAsia="宋体" w:hAnsi="宋体" w:cs="宋体"/>
          <w:spacing w:val="2"/>
          <w:sz w:val="23"/>
          <w:szCs w:val="23"/>
        </w:rPr>
        <w:t xml:space="preserve"> </w:t>
      </w:r>
      <w:r>
        <w:rPr>
          <w:rFonts w:ascii="宋体" w:eastAsia="宋体" w:hAnsi="宋体" w:cs="宋体"/>
          <w:spacing w:val="-25"/>
          <w:sz w:val="23"/>
          <w:szCs w:val="23"/>
        </w:rPr>
        <w:t>高，营养价值低于淡炼乳。</w:t>
      </w:r>
    </w:p>
    <w:p w:rsidR="00EA40A3" w:rsidRDefault="00E86C16">
      <w:pPr>
        <w:spacing w:before="119" w:line="224" w:lineRule="auto"/>
        <w:ind w:left="49"/>
        <w:rPr>
          <w:rFonts w:ascii="仿宋" w:eastAsia="仿宋" w:hAnsi="仿宋" w:cs="仿宋"/>
          <w:sz w:val="23"/>
          <w:szCs w:val="23"/>
        </w:rPr>
      </w:pPr>
      <w:r>
        <w:rPr>
          <w:rFonts w:ascii="仿宋" w:eastAsia="仿宋" w:hAnsi="仿宋" w:cs="仿宋"/>
          <w:spacing w:val="3"/>
          <w:sz w:val="23"/>
          <w:szCs w:val="23"/>
        </w:rPr>
        <w:t>6.</w:t>
      </w:r>
      <w:r>
        <w:rPr>
          <w:rFonts w:ascii="仿宋" w:eastAsia="仿宋" w:hAnsi="仿宋" w:cs="仿宋"/>
          <w:spacing w:val="-34"/>
          <w:sz w:val="23"/>
          <w:szCs w:val="23"/>
        </w:rPr>
        <w:t xml:space="preserve"> </w:t>
      </w:r>
      <w:r>
        <w:rPr>
          <w:rFonts w:ascii="仿宋" w:eastAsia="仿宋" w:hAnsi="仿宋" w:cs="仿宋"/>
          <w:spacing w:val="3"/>
          <w:sz w:val="23"/>
          <w:szCs w:val="23"/>
        </w:rPr>
        <w:t>黄油</w:t>
      </w:r>
    </w:p>
    <w:p w:rsidR="00EA40A3" w:rsidRDefault="00E86C16">
      <w:pPr>
        <w:spacing w:before="143" w:line="230" w:lineRule="auto"/>
        <w:ind w:left="49" w:right="53" w:firstLine="430"/>
        <w:jc w:val="both"/>
        <w:rPr>
          <w:rFonts w:ascii="宋体" w:eastAsia="宋体" w:hAnsi="宋体" w:cs="宋体"/>
          <w:sz w:val="23"/>
          <w:szCs w:val="23"/>
        </w:rPr>
      </w:pPr>
      <w:r>
        <w:rPr>
          <w:rFonts w:ascii="宋体" w:eastAsia="宋体" w:hAnsi="宋体" w:cs="宋体"/>
          <w:spacing w:val="-23"/>
          <w:sz w:val="23"/>
          <w:szCs w:val="23"/>
        </w:rPr>
        <w:t>黄油由牛乳中的乳脂肪分离制成，也称为奶油、乳脂、白脱等，其脂肪含量</w:t>
      </w:r>
      <w:r>
        <w:rPr>
          <w:rFonts w:ascii="宋体" w:eastAsia="宋体" w:hAnsi="宋体" w:cs="宋体"/>
          <w:spacing w:val="16"/>
          <w:sz w:val="23"/>
          <w:szCs w:val="23"/>
        </w:rPr>
        <w:t xml:space="preserve"> </w:t>
      </w:r>
      <w:r>
        <w:rPr>
          <w:rFonts w:ascii="宋体" w:eastAsia="宋体" w:hAnsi="宋体" w:cs="宋体"/>
          <w:spacing w:val="-14"/>
          <w:sz w:val="23"/>
          <w:szCs w:val="23"/>
        </w:rPr>
        <w:t>在80%以上。牛乳中的维生素</w:t>
      </w:r>
      <w:r>
        <w:rPr>
          <w:rFonts w:ascii="宋体" w:eastAsia="宋体" w:hAnsi="宋体" w:cs="宋体"/>
          <w:spacing w:val="-38"/>
          <w:sz w:val="23"/>
          <w:szCs w:val="23"/>
        </w:rPr>
        <w:t xml:space="preserve"> </w:t>
      </w:r>
      <w:r>
        <w:rPr>
          <w:rFonts w:ascii="宋体" w:eastAsia="宋体" w:hAnsi="宋体" w:cs="宋体"/>
          <w:spacing w:val="-14"/>
          <w:sz w:val="23"/>
          <w:szCs w:val="23"/>
        </w:rPr>
        <w:t>A、</w:t>
      </w:r>
      <w:r>
        <w:rPr>
          <w:rFonts w:ascii="宋体" w:eastAsia="宋体" w:hAnsi="宋体" w:cs="宋体"/>
          <w:spacing w:val="-50"/>
          <w:sz w:val="23"/>
          <w:szCs w:val="23"/>
        </w:rPr>
        <w:t xml:space="preserve"> </w:t>
      </w:r>
      <w:r>
        <w:rPr>
          <w:rFonts w:ascii="宋体" w:eastAsia="宋体" w:hAnsi="宋体" w:cs="宋体"/>
          <w:spacing w:val="-14"/>
          <w:sz w:val="23"/>
          <w:szCs w:val="23"/>
        </w:rPr>
        <w:t>维生素</w:t>
      </w:r>
      <w:r>
        <w:rPr>
          <w:rFonts w:ascii="宋体" w:eastAsia="宋体" w:hAnsi="宋体" w:cs="宋体"/>
          <w:spacing w:val="-65"/>
          <w:sz w:val="23"/>
          <w:szCs w:val="23"/>
        </w:rPr>
        <w:t xml:space="preserve"> </w:t>
      </w:r>
      <w:r>
        <w:rPr>
          <w:rFonts w:ascii="宋体" w:eastAsia="宋体" w:hAnsi="宋体" w:cs="宋体"/>
          <w:spacing w:val="-14"/>
          <w:sz w:val="23"/>
          <w:szCs w:val="23"/>
        </w:rPr>
        <w:t>D</w:t>
      </w:r>
      <w:r>
        <w:rPr>
          <w:rFonts w:ascii="宋体" w:eastAsia="宋体" w:hAnsi="宋体" w:cs="宋体"/>
          <w:spacing w:val="-15"/>
          <w:sz w:val="23"/>
          <w:szCs w:val="23"/>
        </w:rPr>
        <w:t xml:space="preserve"> </w:t>
      </w:r>
      <w:r>
        <w:rPr>
          <w:rFonts w:ascii="宋体" w:eastAsia="宋体" w:hAnsi="宋体" w:cs="宋体"/>
          <w:spacing w:val="-14"/>
          <w:sz w:val="23"/>
          <w:szCs w:val="23"/>
        </w:rPr>
        <w:t>等脂溶性营养成分基本上保留在黄</w:t>
      </w:r>
      <w:r>
        <w:rPr>
          <w:rFonts w:ascii="宋体" w:eastAsia="宋体" w:hAnsi="宋体" w:cs="宋体"/>
          <w:sz w:val="23"/>
          <w:szCs w:val="23"/>
        </w:rPr>
        <w:t xml:space="preserve"> </w:t>
      </w:r>
      <w:r>
        <w:rPr>
          <w:rFonts w:ascii="宋体" w:eastAsia="宋体" w:hAnsi="宋体" w:cs="宋体"/>
          <w:spacing w:val="-15"/>
          <w:sz w:val="23"/>
          <w:szCs w:val="23"/>
        </w:rPr>
        <w:t>油甲，但是水溶性营养成分如B</w:t>
      </w:r>
      <w:r>
        <w:rPr>
          <w:rFonts w:ascii="宋体" w:eastAsia="宋体" w:hAnsi="宋体" w:cs="宋体"/>
          <w:spacing w:val="-31"/>
          <w:sz w:val="23"/>
          <w:szCs w:val="23"/>
        </w:rPr>
        <w:t xml:space="preserve"> </w:t>
      </w:r>
      <w:r>
        <w:rPr>
          <w:rFonts w:ascii="宋体" w:eastAsia="宋体" w:hAnsi="宋体" w:cs="宋体"/>
          <w:spacing w:val="-15"/>
          <w:sz w:val="23"/>
          <w:szCs w:val="23"/>
        </w:rPr>
        <w:t>族维生素绝大部分被除去。黄油中以饱和脂肪</w:t>
      </w:r>
      <w:r>
        <w:rPr>
          <w:rFonts w:ascii="宋体" w:eastAsia="宋体" w:hAnsi="宋体" w:cs="宋体"/>
          <w:sz w:val="23"/>
          <w:szCs w:val="23"/>
        </w:rPr>
        <w:t xml:space="preserve"> </w:t>
      </w:r>
      <w:r>
        <w:rPr>
          <w:rFonts w:ascii="宋体" w:eastAsia="宋体" w:hAnsi="宋体" w:cs="宋体"/>
          <w:spacing w:val="-22"/>
          <w:sz w:val="23"/>
          <w:szCs w:val="23"/>
        </w:rPr>
        <w:t>为主，在室温下呈现固态，由于其中含有类胡萝卜素而呈现淡黄色。其中含有一</w:t>
      </w:r>
      <w:r>
        <w:rPr>
          <w:rFonts w:ascii="宋体" w:eastAsia="宋体" w:hAnsi="宋体" w:cs="宋体"/>
          <w:sz w:val="23"/>
          <w:szCs w:val="23"/>
        </w:rPr>
        <w:t xml:space="preserve"> </w:t>
      </w:r>
      <w:r>
        <w:rPr>
          <w:rFonts w:ascii="宋体" w:eastAsia="宋体" w:hAnsi="宋体" w:cs="宋体"/>
          <w:spacing w:val="-23"/>
          <w:sz w:val="23"/>
          <w:szCs w:val="23"/>
        </w:rPr>
        <w:t>定量的胆固醇。</w:t>
      </w:r>
    </w:p>
    <w:p w:rsidR="00EA40A3" w:rsidRDefault="00E86C16">
      <w:pPr>
        <w:spacing w:before="285" w:line="218" w:lineRule="auto"/>
        <w:ind w:left="2449"/>
        <w:rPr>
          <w:rFonts w:ascii="宋体" w:eastAsia="宋体" w:hAnsi="宋体" w:cs="宋体"/>
          <w:sz w:val="28"/>
          <w:szCs w:val="28"/>
        </w:rPr>
      </w:pPr>
      <w:r>
        <w:rPr>
          <w:rFonts w:ascii="宋体" w:eastAsia="宋体" w:hAnsi="宋体" w:cs="宋体"/>
          <w:spacing w:val="-3"/>
          <w:sz w:val="28"/>
          <w:szCs w:val="28"/>
        </w:rPr>
        <w:t>6.7</w:t>
      </w:r>
      <w:r>
        <w:rPr>
          <w:rFonts w:ascii="宋体" w:eastAsia="宋体" w:hAnsi="宋体" w:cs="宋体"/>
          <w:spacing w:val="113"/>
          <w:sz w:val="28"/>
          <w:szCs w:val="28"/>
        </w:rPr>
        <w:t xml:space="preserve"> </w:t>
      </w:r>
      <w:r>
        <w:rPr>
          <w:rFonts w:ascii="宋体" w:eastAsia="宋体" w:hAnsi="宋体" w:cs="宋体"/>
          <w:spacing w:val="-3"/>
          <w:sz w:val="28"/>
          <w:szCs w:val="28"/>
        </w:rPr>
        <w:t>蛋类的营养价值</w:t>
      </w:r>
    </w:p>
    <w:p w:rsidR="00EA40A3" w:rsidRDefault="00E86C16">
      <w:pPr>
        <w:spacing w:before="94" w:line="221" w:lineRule="auto"/>
        <w:ind w:left="53"/>
        <w:outlineLvl w:val="6"/>
        <w:rPr>
          <w:rFonts w:ascii="黑体" w:eastAsia="黑体" w:hAnsi="黑体" w:cs="黑体"/>
          <w:sz w:val="23"/>
          <w:szCs w:val="23"/>
        </w:rPr>
      </w:pPr>
      <w:r>
        <w:rPr>
          <w:rFonts w:ascii="黑体" w:eastAsia="黑体" w:hAnsi="黑体" w:cs="黑体"/>
          <w:b/>
          <w:bCs/>
          <w:sz w:val="23"/>
          <w:szCs w:val="23"/>
        </w:rPr>
        <w:t>6.7.1</w:t>
      </w:r>
      <w:r>
        <w:rPr>
          <w:rFonts w:ascii="黑体" w:eastAsia="黑体" w:hAnsi="黑体" w:cs="黑体"/>
          <w:spacing w:val="14"/>
          <w:sz w:val="23"/>
          <w:szCs w:val="23"/>
        </w:rPr>
        <w:t xml:space="preserve">  </w:t>
      </w:r>
      <w:r>
        <w:rPr>
          <w:rFonts w:ascii="黑体" w:eastAsia="黑体" w:hAnsi="黑体" w:cs="黑体"/>
          <w:b/>
          <w:bCs/>
          <w:sz w:val="23"/>
          <w:szCs w:val="23"/>
        </w:rPr>
        <w:t>蛋类的营养价值</w:t>
      </w:r>
    </w:p>
    <w:p w:rsidR="00EA40A3" w:rsidRDefault="00E86C16">
      <w:pPr>
        <w:spacing w:before="201" w:line="228" w:lineRule="auto"/>
        <w:ind w:left="49" w:right="47" w:firstLine="430"/>
        <w:jc w:val="both"/>
        <w:rPr>
          <w:rFonts w:ascii="宋体" w:eastAsia="宋体" w:hAnsi="宋体" w:cs="宋体"/>
          <w:sz w:val="23"/>
          <w:szCs w:val="23"/>
        </w:rPr>
      </w:pPr>
      <w:r>
        <w:rPr>
          <w:rFonts w:ascii="宋体" w:eastAsia="宋体" w:hAnsi="宋体" w:cs="宋体"/>
          <w:spacing w:val="-22"/>
          <w:sz w:val="23"/>
          <w:szCs w:val="23"/>
        </w:rPr>
        <w:t>蛋是鸟类动物的卵，包括鸡蛋、鸭蛋、鹌鹑蛋、鹅蛋、鸽蛋</w:t>
      </w:r>
      <w:r>
        <w:rPr>
          <w:rFonts w:ascii="宋体" w:eastAsia="宋体" w:hAnsi="宋体" w:cs="宋体"/>
          <w:spacing w:val="-23"/>
          <w:sz w:val="23"/>
          <w:szCs w:val="23"/>
        </w:rPr>
        <w:t>、火鸡蛋和鸵鸟</w:t>
      </w:r>
      <w:r>
        <w:rPr>
          <w:rFonts w:ascii="宋体" w:eastAsia="宋体" w:hAnsi="宋体" w:cs="宋体"/>
          <w:sz w:val="23"/>
          <w:szCs w:val="23"/>
        </w:rPr>
        <w:t xml:space="preserve"> </w:t>
      </w:r>
      <w:r>
        <w:rPr>
          <w:rFonts w:ascii="宋体" w:eastAsia="宋体" w:hAnsi="宋体" w:cs="宋体"/>
          <w:spacing w:val="-15"/>
          <w:sz w:val="23"/>
          <w:szCs w:val="23"/>
        </w:rPr>
        <w:t>蛋等，以鸡蛋为代表。鸡蛋的蛋黄和蛋清分别占蛋可食部分的1/3和2/3。蛋黄</w:t>
      </w:r>
      <w:r>
        <w:rPr>
          <w:rFonts w:ascii="宋体" w:eastAsia="宋体" w:hAnsi="宋体" w:cs="宋体"/>
          <w:spacing w:val="12"/>
          <w:sz w:val="23"/>
          <w:szCs w:val="23"/>
        </w:rPr>
        <w:t xml:space="preserve"> </w:t>
      </w:r>
      <w:r>
        <w:rPr>
          <w:rFonts w:ascii="宋体" w:eastAsia="宋体" w:hAnsi="宋体" w:cs="宋体"/>
          <w:spacing w:val="-24"/>
          <w:sz w:val="23"/>
          <w:szCs w:val="23"/>
        </w:rPr>
        <w:t>中集中了鸡蛋中的大部分矿物质、维生素和脂</w:t>
      </w:r>
      <w:r>
        <w:rPr>
          <w:rFonts w:ascii="宋体" w:eastAsia="宋体" w:hAnsi="宋体" w:cs="宋体"/>
          <w:spacing w:val="-25"/>
          <w:sz w:val="23"/>
          <w:szCs w:val="23"/>
        </w:rPr>
        <w:t>肪。</w:t>
      </w:r>
    </w:p>
    <w:p w:rsidR="00EA40A3" w:rsidRDefault="00E86C16">
      <w:pPr>
        <w:spacing w:before="128" w:line="224" w:lineRule="auto"/>
        <w:ind w:left="49"/>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18"/>
          <w:sz w:val="23"/>
          <w:szCs w:val="23"/>
        </w:rPr>
        <w:t xml:space="preserve"> </w:t>
      </w:r>
      <w:r>
        <w:rPr>
          <w:rFonts w:ascii="仿宋" w:eastAsia="仿宋" w:hAnsi="仿宋" w:cs="仿宋"/>
          <w:spacing w:val="-1"/>
          <w:sz w:val="23"/>
          <w:szCs w:val="23"/>
        </w:rPr>
        <w:t>蛋白质</w:t>
      </w:r>
    </w:p>
    <w:p w:rsidR="00EA40A3" w:rsidRDefault="00E86C16">
      <w:pPr>
        <w:spacing w:before="155" w:line="230" w:lineRule="auto"/>
        <w:ind w:left="49" w:firstLine="430"/>
        <w:jc w:val="both"/>
        <w:rPr>
          <w:rFonts w:ascii="宋体" w:eastAsia="宋体" w:hAnsi="宋体" w:cs="宋体"/>
          <w:sz w:val="23"/>
          <w:szCs w:val="23"/>
        </w:rPr>
      </w:pPr>
      <w:r>
        <w:rPr>
          <w:rFonts w:ascii="宋体" w:eastAsia="宋体" w:hAnsi="宋体" w:cs="宋体"/>
          <w:spacing w:val="-11"/>
          <w:sz w:val="23"/>
          <w:szCs w:val="23"/>
        </w:rPr>
        <w:t>鸡蛋中蛋白质含量为11%～13%,略低于瘦肉，但质量优异。鸡蛋的蛋白质</w:t>
      </w:r>
      <w:r>
        <w:rPr>
          <w:rFonts w:ascii="宋体" w:eastAsia="宋体" w:hAnsi="宋体" w:cs="宋体"/>
          <w:spacing w:val="3"/>
          <w:sz w:val="23"/>
          <w:szCs w:val="23"/>
        </w:rPr>
        <w:t xml:space="preserve"> </w:t>
      </w:r>
      <w:r>
        <w:rPr>
          <w:rFonts w:ascii="宋体" w:eastAsia="宋体" w:hAnsi="宋体" w:cs="宋体"/>
          <w:spacing w:val="-2"/>
          <w:sz w:val="23"/>
          <w:szCs w:val="23"/>
        </w:rPr>
        <w:t>不仅分布在蛋清部分，也分布在蛋黄部分。例如，鸡蛋蛋清部分含蛋白</w:t>
      </w:r>
      <w:r>
        <w:rPr>
          <w:rFonts w:ascii="宋体" w:eastAsia="宋体" w:hAnsi="宋体" w:cs="宋体"/>
          <w:spacing w:val="-3"/>
          <w:sz w:val="23"/>
          <w:szCs w:val="23"/>
        </w:rPr>
        <w:t>质</w:t>
      </w:r>
      <w:r>
        <w:rPr>
          <w:rFonts w:ascii="宋体" w:eastAsia="宋体" w:hAnsi="宋体" w:cs="宋体"/>
          <w:sz w:val="23"/>
          <w:szCs w:val="23"/>
        </w:rPr>
        <w:t xml:space="preserve"> </w:t>
      </w:r>
      <w:r>
        <w:rPr>
          <w:rFonts w:ascii="宋体" w:eastAsia="宋体" w:hAnsi="宋体" w:cs="宋体"/>
          <w:spacing w:val="-5"/>
          <w:sz w:val="23"/>
          <w:szCs w:val="23"/>
        </w:rPr>
        <w:t>11.0%,而蛋黄部分含蛋白质17.5%。每枚鸡蛋平均可为人体提供6g</w:t>
      </w:r>
      <w:r>
        <w:rPr>
          <w:rFonts w:ascii="宋体" w:eastAsia="宋体" w:hAnsi="宋体" w:cs="宋体"/>
          <w:spacing w:val="-61"/>
          <w:sz w:val="23"/>
          <w:szCs w:val="23"/>
        </w:rPr>
        <w:t xml:space="preserve"> </w:t>
      </w:r>
      <w:r>
        <w:rPr>
          <w:rFonts w:ascii="宋体" w:eastAsia="宋体" w:hAnsi="宋体" w:cs="宋体"/>
          <w:spacing w:val="-5"/>
          <w:sz w:val="23"/>
          <w:szCs w:val="23"/>
        </w:rPr>
        <w:t>蛋白质。</w:t>
      </w:r>
      <w:r>
        <w:rPr>
          <w:rFonts w:ascii="宋体" w:eastAsia="宋体" w:hAnsi="宋体" w:cs="宋体"/>
          <w:sz w:val="23"/>
          <w:szCs w:val="23"/>
        </w:rPr>
        <w:t xml:space="preserve"> </w:t>
      </w:r>
      <w:r>
        <w:rPr>
          <w:rFonts w:ascii="宋体" w:eastAsia="宋体" w:hAnsi="宋体" w:cs="宋体"/>
          <w:spacing w:val="-23"/>
          <w:sz w:val="23"/>
          <w:szCs w:val="23"/>
        </w:rPr>
        <w:t>鸡蛋中蛋白质的数量和质量基本恒定，受饲料影响较小。</w:t>
      </w:r>
    </w:p>
    <w:p w:rsidR="00EA40A3" w:rsidRDefault="00E86C16">
      <w:pPr>
        <w:spacing w:before="56" w:line="224" w:lineRule="auto"/>
        <w:ind w:left="49" w:right="53" w:firstLine="430"/>
        <w:jc w:val="both"/>
        <w:rPr>
          <w:rFonts w:ascii="宋体" w:eastAsia="宋体" w:hAnsi="宋体" w:cs="宋体"/>
          <w:sz w:val="23"/>
          <w:szCs w:val="23"/>
        </w:rPr>
      </w:pPr>
      <w:r>
        <w:rPr>
          <w:rFonts w:ascii="宋体" w:eastAsia="宋体" w:hAnsi="宋体" w:cs="宋体"/>
          <w:spacing w:val="-16"/>
          <w:sz w:val="23"/>
          <w:szCs w:val="23"/>
        </w:rPr>
        <w:t>鸡蛋蛋白质为优质蛋白质的代表，是各类食物蛋白质中生物价值最高的一</w:t>
      </w:r>
      <w:r>
        <w:rPr>
          <w:rFonts w:ascii="宋体" w:eastAsia="宋体" w:hAnsi="宋体" w:cs="宋体"/>
          <w:spacing w:val="2"/>
          <w:sz w:val="23"/>
          <w:szCs w:val="23"/>
        </w:rPr>
        <w:t xml:space="preserve"> </w:t>
      </w:r>
      <w:r>
        <w:rPr>
          <w:rFonts w:ascii="宋体" w:eastAsia="宋体" w:hAnsi="宋体" w:cs="宋体"/>
          <w:spacing w:val="-6"/>
          <w:sz w:val="23"/>
          <w:szCs w:val="23"/>
        </w:rPr>
        <w:t>种，各种氨基酸比例合理，其生物价高达94(表6-24),在评定食物蛋白质营</w:t>
      </w:r>
    </w:p>
    <w:p w:rsidR="00EA40A3" w:rsidRDefault="00E86C16">
      <w:pPr>
        <w:spacing w:before="139" w:line="205" w:lineRule="auto"/>
        <w:ind w:left="1802"/>
        <w:rPr>
          <w:rFonts w:ascii="黑体" w:eastAsia="黑体" w:hAnsi="黑体" w:cs="黑体"/>
          <w:sz w:val="19"/>
          <w:szCs w:val="19"/>
        </w:rPr>
      </w:pPr>
      <w:r>
        <w:rPr>
          <w:rFonts w:ascii="黑体" w:eastAsia="黑体" w:hAnsi="黑体" w:cs="黑体"/>
          <w:b/>
          <w:bCs/>
          <w:spacing w:val="-11"/>
          <w:sz w:val="19"/>
          <w:szCs w:val="19"/>
        </w:rPr>
        <w:t>表6-24</w:t>
      </w:r>
      <w:r>
        <w:rPr>
          <w:rFonts w:ascii="黑体" w:eastAsia="黑体" w:hAnsi="黑体" w:cs="黑体"/>
          <w:spacing w:val="83"/>
          <w:sz w:val="19"/>
          <w:szCs w:val="19"/>
        </w:rPr>
        <w:t xml:space="preserve"> </w:t>
      </w:r>
      <w:r>
        <w:rPr>
          <w:rFonts w:ascii="黑体" w:eastAsia="黑体" w:hAnsi="黑体" w:cs="黑体"/>
          <w:b/>
          <w:bCs/>
          <w:spacing w:val="-11"/>
          <w:sz w:val="19"/>
          <w:szCs w:val="19"/>
        </w:rPr>
        <w:t>鸡蛋蛋白质与其他食物蛋白质质量比较</w:t>
      </w:r>
    </w:p>
    <w:p w:rsidR="00EA40A3" w:rsidRDefault="00EA40A3">
      <w:pPr>
        <w:sectPr w:rsidR="00EA40A3">
          <w:headerReference w:type="default" r:id="rId188"/>
          <w:footerReference w:type="default" r:id="rId189"/>
          <w:pgSz w:w="9220" w:h="13360"/>
          <w:pgMar w:top="400" w:right="1035" w:bottom="1293" w:left="800" w:header="0" w:footer="1045" w:gutter="0"/>
          <w:cols w:space="720" w:equalWidth="0">
            <w:col w:w="7385"/>
          </w:cols>
        </w:sectPr>
      </w:pPr>
    </w:p>
    <w:p w:rsidR="00EA40A3" w:rsidRDefault="00E86C16">
      <w:pPr>
        <w:spacing w:before="122" w:line="220" w:lineRule="auto"/>
        <w:ind w:left="399"/>
        <w:rPr>
          <w:rFonts w:ascii="宋体" w:eastAsia="宋体" w:hAnsi="宋体" w:cs="宋体"/>
          <w:sz w:val="16"/>
          <w:szCs w:val="16"/>
        </w:rPr>
      </w:pPr>
      <w:r>
        <w:rPr>
          <w:rFonts w:ascii="宋体" w:eastAsia="宋体" w:hAnsi="宋体" w:cs="宋体"/>
          <w:spacing w:val="3"/>
          <w:sz w:val="16"/>
          <w:szCs w:val="16"/>
        </w:rPr>
        <w:t>食物蛋白质</w:t>
      </w:r>
    </w:p>
    <w:p w:rsidR="00EA40A3" w:rsidRDefault="00E86C16">
      <w:pPr>
        <w:spacing w:line="14" w:lineRule="auto"/>
        <w:rPr>
          <w:sz w:val="2"/>
        </w:rPr>
      </w:pPr>
      <w:r>
        <w:rPr>
          <w:sz w:val="2"/>
          <w:szCs w:val="2"/>
        </w:rPr>
        <w:br w:type="column"/>
      </w:r>
    </w:p>
    <w:p w:rsidR="00EA40A3" w:rsidRDefault="00E86C16">
      <w:pPr>
        <w:spacing w:before="139" w:line="218" w:lineRule="auto"/>
        <w:rPr>
          <w:rFonts w:ascii="宋体" w:eastAsia="宋体" w:hAnsi="宋体" w:cs="宋体"/>
          <w:sz w:val="16"/>
          <w:szCs w:val="16"/>
        </w:rPr>
      </w:pPr>
      <w:r>
        <w:rPr>
          <w:rFonts w:ascii="宋体" w:eastAsia="宋体" w:hAnsi="宋体" w:cs="宋体"/>
          <w:spacing w:val="7"/>
          <w:sz w:val="16"/>
          <w:szCs w:val="16"/>
        </w:rPr>
        <w:t>生物价(</w:t>
      </w:r>
      <w:r>
        <w:rPr>
          <w:rFonts w:ascii="宋体" w:eastAsia="宋体" w:hAnsi="宋体" w:cs="宋体"/>
          <w:sz w:val="16"/>
          <w:szCs w:val="16"/>
        </w:rPr>
        <w:t>BV</w:t>
      </w:r>
      <w:r>
        <w:rPr>
          <w:rFonts w:ascii="宋体" w:eastAsia="宋体" w:hAnsi="宋体" w:cs="宋体"/>
          <w:spacing w:val="7"/>
          <w:sz w:val="16"/>
          <w:szCs w:val="16"/>
        </w:rPr>
        <w:t>)</w:t>
      </w:r>
    </w:p>
    <w:p w:rsidR="00EA40A3" w:rsidRDefault="00E86C16">
      <w:pPr>
        <w:spacing w:line="14" w:lineRule="auto"/>
        <w:rPr>
          <w:sz w:val="2"/>
        </w:rPr>
      </w:pPr>
      <w:r>
        <w:rPr>
          <w:sz w:val="2"/>
          <w:szCs w:val="2"/>
        </w:rPr>
        <w:br w:type="column"/>
      </w:r>
    </w:p>
    <w:p w:rsidR="00EA40A3" w:rsidRDefault="00E86C16">
      <w:pPr>
        <w:spacing w:before="131" w:line="220" w:lineRule="auto"/>
        <w:rPr>
          <w:rFonts w:ascii="宋体" w:eastAsia="宋体" w:hAnsi="宋体" w:cs="宋体"/>
          <w:sz w:val="16"/>
          <w:szCs w:val="16"/>
        </w:rPr>
      </w:pPr>
      <w:r>
        <w:rPr>
          <w:rFonts w:ascii="宋体" w:eastAsia="宋体" w:hAnsi="宋体" w:cs="宋体"/>
          <w:spacing w:val="4"/>
          <w:sz w:val="16"/>
          <w:szCs w:val="16"/>
        </w:rPr>
        <w:t>蛋白质功效比(</w:t>
      </w:r>
      <w:r>
        <w:rPr>
          <w:rFonts w:ascii="宋体" w:eastAsia="宋体" w:hAnsi="宋体" w:cs="宋体"/>
          <w:sz w:val="16"/>
          <w:szCs w:val="16"/>
        </w:rPr>
        <w:t>PER</w:t>
      </w:r>
      <w:r>
        <w:rPr>
          <w:rFonts w:ascii="宋体" w:eastAsia="宋体" w:hAnsi="宋体" w:cs="宋体"/>
          <w:spacing w:val="4"/>
          <w:sz w:val="16"/>
          <w:szCs w:val="16"/>
        </w:rPr>
        <w:t>)</w:t>
      </w:r>
    </w:p>
    <w:p w:rsidR="00EA40A3" w:rsidRDefault="00E86C16">
      <w:pPr>
        <w:spacing w:line="14" w:lineRule="auto"/>
        <w:rPr>
          <w:sz w:val="2"/>
        </w:rPr>
      </w:pPr>
      <w:r>
        <w:rPr>
          <w:sz w:val="2"/>
          <w:szCs w:val="2"/>
        </w:rPr>
        <w:br w:type="column"/>
      </w:r>
    </w:p>
    <w:p w:rsidR="00EA40A3" w:rsidRDefault="00825D12">
      <w:pPr>
        <w:spacing w:line="338" w:lineRule="exact"/>
        <w:textAlignment w:val="center"/>
      </w:pPr>
      <w:r>
        <w:rPr>
          <w:noProof/>
        </w:rPr>
        <mc:AlternateContent>
          <mc:Choice Requires="wps">
            <w:drawing>
              <wp:inline distT="0" distB="0" distL="0" distR="0">
                <wp:extent cx="1309370" cy="215900"/>
                <wp:effectExtent l="10795" t="11430" r="13335" b="1270"/>
                <wp:docPr id="133"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9370" cy="215900"/>
                        </a:xfrm>
                        <a:custGeom>
                          <a:avLst/>
                          <a:gdLst>
                            <a:gd name="T0" fmla="*/ 2060 w 2061"/>
                            <a:gd name="T1" fmla="*/ 334 h 340"/>
                            <a:gd name="T2" fmla="*/ 0 w 2061"/>
                            <a:gd name="T3" fmla="*/ 4 h 340"/>
                          </a:gdLst>
                          <a:ahLst/>
                          <a:cxnLst>
                            <a:cxn ang="0">
                              <a:pos x="T0" y="T1"/>
                            </a:cxn>
                            <a:cxn ang="0">
                              <a:pos x="T2" y="T3"/>
                            </a:cxn>
                          </a:cxnLst>
                          <a:rect l="0" t="0" r="r" b="b"/>
                          <a:pathLst>
                            <a:path w="2061" h="340">
                              <a:moveTo>
                                <a:pt x="2060" y="334"/>
                              </a:moveTo>
                              <a:lnTo>
                                <a:pt x="0" y="4"/>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63CE2B9E" id="Freeform 70" o:spid="_x0000_s1026" style="width:103.1pt;height:17pt;visibility:visible;mso-wrap-style:square;mso-left-percent:-10001;mso-top-percent:-10001;mso-position-horizontal:absolute;mso-position-horizontal-relative:char;mso-position-vertical:absolute;mso-position-vertical-relative:line;mso-left-percent:-10001;mso-top-percent:-10001;v-text-anchor:top" coordsize="206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" path="m2060,334l,4e" filled="f" strokeweight=".5pt">
                <v:stroke miterlimit="10" joinstyle="miter"/>
                <v:path o:connecttype="custom" o:connectlocs="1308735,212090;0,2540" o:connectangles="0,0"/>
                <w10:anchorlock/>
              </v:shape>
            </w:pict>
          </mc:Fallback>
        </mc:AlternateContent>
      </w:r>
    </w:p>
    <w:p w:rsidR="00EA40A3" w:rsidRDefault="00EA40A3">
      <w:pPr>
        <w:sectPr w:rsidR="00EA40A3">
          <w:type w:val="continuous"/>
          <w:pgSz w:w="9220" w:h="13360"/>
          <w:pgMar w:top="400" w:right="1035" w:bottom="1293" w:left="800" w:header="0" w:footer="1045" w:gutter="0"/>
          <w:cols w:num="4" w:space="720" w:equalWidth="0">
            <w:col w:w="1901" w:space="100"/>
            <w:col w:w="1461" w:space="100"/>
            <w:col w:w="1630" w:space="100"/>
            <w:col w:w="2096"/>
          </w:cols>
        </w:sectPr>
      </w:pPr>
    </w:p>
    <w:sdt>
      <w:sdtPr>
        <w:rPr>
          <w:rFonts w:ascii="宋体" w:eastAsia="宋体" w:hAnsi="宋体" w:cs="宋体"/>
          <w:sz w:val="16"/>
          <w:szCs w:val="16"/>
        </w:rPr>
        <w:id w:val="5"/>
        <w:docPartObj>
          <w:docPartGallery w:val="Table of Contents"/>
          <w:docPartUnique/>
        </w:docPartObj>
      </w:sdtPr>
      <w:sdtEndPr/>
      <w:sdtContent>
        <w:p w:rsidR="00EA40A3" w:rsidRDefault="00E86C16">
          <w:pPr>
            <w:spacing w:before="62" w:line="219" w:lineRule="auto"/>
            <w:ind w:left="639"/>
            <w:rPr>
              <w:rFonts w:ascii="宋体" w:eastAsia="宋体" w:hAnsi="宋体" w:cs="宋体"/>
              <w:sz w:val="16"/>
              <w:szCs w:val="16"/>
            </w:rPr>
          </w:pPr>
          <w:r>
            <w:rPr>
              <w:rFonts w:ascii="宋体" w:eastAsia="宋体" w:hAnsi="宋体" w:cs="宋体"/>
              <w:spacing w:val="-4"/>
              <w:position w:val="1"/>
              <w:sz w:val="16"/>
              <w:szCs w:val="16"/>
            </w:rPr>
            <w:t>全蛋</w:t>
          </w:r>
          <w:r>
            <w:rPr>
              <w:rFonts w:ascii="宋体" w:eastAsia="宋体" w:hAnsi="宋体" w:cs="宋体"/>
              <w:spacing w:val="3"/>
              <w:position w:val="1"/>
              <w:sz w:val="16"/>
              <w:szCs w:val="16"/>
            </w:rPr>
            <w:t xml:space="preserve">                </w:t>
          </w:r>
          <w:r>
            <w:rPr>
              <w:rFonts w:ascii="宋体" w:eastAsia="宋体" w:hAnsi="宋体" w:cs="宋体"/>
              <w:spacing w:val="-4"/>
              <w:sz w:val="16"/>
              <w:szCs w:val="16"/>
            </w:rPr>
            <w:t>100</w:t>
          </w:r>
          <w:r>
            <w:rPr>
              <w:rFonts w:ascii="宋体" w:eastAsia="宋体" w:hAnsi="宋体" w:cs="宋体"/>
              <w:sz w:val="16"/>
              <w:szCs w:val="16"/>
            </w:rPr>
            <w:t xml:space="preserve">                    </w:t>
          </w:r>
          <w:r>
            <w:rPr>
              <w:rFonts w:ascii="宋体" w:eastAsia="宋体" w:hAnsi="宋体" w:cs="宋体"/>
              <w:spacing w:val="-4"/>
              <w:sz w:val="16"/>
              <w:szCs w:val="16"/>
            </w:rPr>
            <w:t>3.8</w:t>
          </w:r>
          <w:r>
            <w:rPr>
              <w:rFonts w:ascii="宋体" w:eastAsia="宋体" w:hAnsi="宋体" w:cs="宋体"/>
              <w:spacing w:val="3"/>
              <w:sz w:val="16"/>
              <w:szCs w:val="16"/>
            </w:rPr>
            <w:t xml:space="preserve">                       </w:t>
          </w:r>
          <w:hyperlink w:anchor="_bookmark111" w:history="1">
            <w:r>
              <w:rPr>
                <w:rFonts w:ascii="宋体" w:eastAsia="宋体" w:hAnsi="宋体" w:cs="宋体"/>
                <w:spacing w:val="-4"/>
                <w:position w:val="-1"/>
                <w:sz w:val="16"/>
                <w:szCs w:val="16"/>
              </w:rPr>
              <w:t>94</w:t>
            </w:r>
          </w:hyperlink>
        </w:p>
        <w:p w:rsidR="00EA40A3" w:rsidRDefault="00E86C16">
          <w:pPr>
            <w:spacing w:before="61" w:line="229" w:lineRule="auto"/>
            <w:ind w:left="639"/>
            <w:rPr>
              <w:rFonts w:ascii="宋体" w:eastAsia="宋体" w:hAnsi="宋体" w:cs="宋体"/>
              <w:sz w:val="16"/>
              <w:szCs w:val="16"/>
            </w:rPr>
          </w:pPr>
          <w:r>
            <w:rPr>
              <w:rFonts w:ascii="宋体" w:eastAsia="宋体" w:hAnsi="宋体" w:cs="宋体"/>
              <w:spacing w:val="-4"/>
              <w:position w:val="1"/>
              <w:sz w:val="16"/>
              <w:szCs w:val="16"/>
            </w:rPr>
            <w:t>牛奶</w:t>
          </w:r>
          <w:r>
            <w:rPr>
              <w:rFonts w:ascii="宋体" w:eastAsia="宋体" w:hAnsi="宋体" w:cs="宋体"/>
              <w:position w:val="1"/>
              <w:sz w:val="16"/>
              <w:szCs w:val="16"/>
            </w:rPr>
            <w:t xml:space="preserve">                 </w:t>
          </w:r>
          <w:r>
            <w:rPr>
              <w:rFonts w:ascii="宋体" w:eastAsia="宋体" w:hAnsi="宋体" w:cs="宋体"/>
              <w:spacing w:val="-4"/>
              <w:sz w:val="16"/>
              <w:szCs w:val="16"/>
            </w:rPr>
            <w:t>91</w:t>
          </w:r>
          <w:r>
            <w:rPr>
              <w:rFonts w:ascii="宋体" w:eastAsia="宋体" w:hAnsi="宋体" w:cs="宋体"/>
              <w:spacing w:val="3"/>
              <w:sz w:val="16"/>
              <w:szCs w:val="16"/>
            </w:rPr>
            <w:t xml:space="preserve">                    </w:t>
          </w:r>
          <w:r>
            <w:rPr>
              <w:rFonts w:ascii="宋体" w:eastAsia="宋体" w:hAnsi="宋体" w:cs="宋体"/>
              <w:spacing w:val="-4"/>
              <w:sz w:val="16"/>
              <w:szCs w:val="16"/>
            </w:rPr>
            <w:t>3.1</w:t>
          </w:r>
          <w:r>
            <w:rPr>
              <w:rFonts w:ascii="宋体" w:eastAsia="宋体" w:hAnsi="宋体" w:cs="宋体"/>
              <w:spacing w:val="2"/>
              <w:sz w:val="16"/>
              <w:szCs w:val="16"/>
            </w:rPr>
            <w:t xml:space="preserve">                       </w:t>
          </w:r>
          <w:hyperlink w:anchor="_bookmark112" w:history="1">
            <w:r>
              <w:rPr>
                <w:rFonts w:ascii="宋体" w:eastAsia="宋体" w:hAnsi="宋体" w:cs="宋体"/>
                <w:spacing w:val="-4"/>
                <w:position w:val="-1"/>
                <w:sz w:val="16"/>
                <w:szCs w:val="16"/>
              </w:rPr>
              <w:t>82</w:t>
            </w:r>
          </w:hyperlink>
        </w:p>
        <w:p w:rsidR="00EA40A3" w:rsidRDefault="00E86C16">
          <w:pPr>
            <w:spacing w:before="71" w:line="220" w:lineRule="auto"/>
            <w:ind w:left="560"/>
            <w:rPr>
              <w:rFonts w:ascii="宋体" w:eastAsia="宋体" w:hAnsi="宋体" w:cs="宋体"/>
              <w:sz w:val="16"/>
              <w:szCs w:val="16"/>
            </w:rPr>
          </w:pPr>
          <w:r>
            <w:rPr>
              <w:rFonts w:ascii="宋体" w:eastAsia="宋体" w:hAnsi="宋体" w:cs="宋体"/>
              <w:spacing w:val="-1"/>
              <w:sz w:val="16"/>
              <w:szCs w:val="16"/>
            </w:rPr>
            <w:t>酪蛋白</w:t>
          </w:r>
          <w:r>
            <w:rPr>
              <w:rFonts w:ascii="宋体" w:eastAsia="宋体" w:hAnsi="宋体" w:cs="宋体"/>
              <w:spacing w:val="4"/>
              <w:sz w:val="16"/>
              <w:szCs w:val="16"/>
            </w:rPr>
            <w:t xml:space="preserve">               </w:t>
          </w:r>
          <w:r>
            <w:rPr>
              <w:rFonts w:ascii="宋体" w:eastAsia="宋体" w:hAnsi="宋体" w:cs="宋体"/>
              <w:spacing w:val="-1"/>
              <w:sz w:val="16"/>
              <w:szCs w:val="16"/>
            </w:rPr>
            <w:t>77</w:t>
          </w:r>
          <w:r>
            <w:rPr>
              <w:rFonts w:ascii="宋体" w:eastAsia="宋体" w:hAnsi="宋体" w:cs="宋体"/>
              <w:spacing w:val="2"/>
              <w:sz w:val="16"/>
              <w:szCs w:val="16"/>
            </w:rPr>
            <w:t xml:space="preserve">                    </w:t>
          </w:r>
          <w:r>
            <w:rPr>
              <w:rFonts w:ascii="宋体" w:eastAsia="宋体" w:hAnsi="宋体" w:cs="宋体"/>
              <w:spacing w:val="-1"/>
              <w:sz w:val="16"/>
              <w:szCs w:val="16"/>
            </w:rPr>
            <w:t>2.9</w:t>
          </w:r>
          <w:r>
            <w:rPr>
              <w:rFonts w:ascii="宋体" w:eastAsia="宋体" w:hAnsi="宋体" w:cs="宋体"/>
              <w:spacing w:val="3"/>
              <w:sz w:val="16"/>
              <w:szCs w:val="16"/>
            </w:rPr>
            <w:t xml:space="preserve">                       </w:t>
          </w:r>
          <w:hyperlink w:anchor="_bookmark113" w:history="1">
            <w:r>
              <w:rPr>
                <w:rFonts w:ascii="宋体" w:eastAsia="宋体" w:hAnsi="宋体" w:cs="宋体"/>
                <w:spacing w:val="-1"/>
                <w:sz w:val="16"/>
                <w:szCs w:val="16"/>
              </w:rPr>
              <w:t>76</w:t>
            </w:r>
          </w:hyperlink>
        </w:p>
        <w:p w:rsidR="00EA40A3" w:rsidRDefault="00E86C16">
          <w:pPr>
            <w:spacing w:before="80" w:line="218" w:lineRule="auto"/>
            <w:ind w:left="479"/>
            <w:rPr>
              <w:rFonts w:ascii="宋体" w:eastAsia="宋体" w:hAnsi="宋体" w:cs="宋体"/>
              <w:sz w:val="16"/>
              <w:szCs w:val="16"/>
            </w:rPr>
          </w:pPr>
          <w:r>
            <w:rPr>
              <w:rFonts w:ascii="宋体" w:eastAsia="宋体" w:hAnsi="宋体" w:cs="宋体"/>
              <w:spacing w:val="-1"/>
              <w:position w:val="1"/>
              <w:sz w:val="16"/>
              <w:szCs w:val="16"/>
            </w:rPr>
            <w:t>乳清蛋白</w:t>
          </w:r>
          <w:r>
            <w:rPr>
              <w:rFonts w:ascii="宋体" w:eastAsia="宋体" w:hAnsi="宋体" w:cs="宋体"/>
              <w:spacing w:val="1"/>
              <w:position w:val="1"/>
              <w:sz w:val="16"/>
              <w:szCs w:val="16"/>
            </w:rPr>
            <w:t xml:space="preserve">              </w:t>
          </w:r>
          <w:r>
            <w:rPr>
              <w:rFonts w:ascii="宋体" w:eastAsia="宋体" w:hAnsi="宋体" w:cs="宋体"/>
              <w:spacing w:val="-1"/>
              <w:sz w:val="16"/>
              <w:szCs w:val="16"/>
            </w:rPr>
            <w:t>104</w:t>
          </w:r>
          <w:r>
            <w:rPr>
              <w:rFonts w:ascii="宋体" w:eastAsia="宋体" w:hAnsi="宋体" w:cs="宋体"/>
              <w:spacing w:val="1"/>
              <w:sz w:val="16"/>
              <w:szCs w:val="16"/>
            </w:rPr>
            <w:t xml:space="preserve">                    </w:t>
          </w:r>
          <w:r>
            <w:rPr>
              <w:rFonts w:ascii="宋体" w:eastAsia="宋体" w:hAnsi="宋体" w:cs="宋体"/>
              <w:spacing w:val="-1"/>
              <w:position w:val="-2"/>
              <w:sz w:val="16"/>
              <w:szCs w:val="16"/>
            </w:rPr>
            <w:t>3.6</w:t>
          </w:r>
          <w:r>
            <w:rPr>
              <w:rFonts w:ascii="宋体" w:eastAsia="宋体" w:hAnsi="宋体" w:cs="宋体"/>
              <w:spacing w:val="2"/>
              <w:position w:val="-2"/>
              <w:sz w:val="16"/>
              <w:szCs w:val="16"/>
            </w:rPr>
            <w:t xml:space="preserve">                       </w:t>
          </w:r>
          <w:hyperlink w:anchor="_bookmark114" w:history="1">
            <w:r>
              <w:rPr>
                <w:rFonts w:ascii="宋体" w:eastAsia="宋体" w:hAnsi="宋体" w:cs="宋体"/>
                <w:spacing w:val="-1"/>
                <w:position w:val="-1"/>
                <w:sz w:val="16"/>
                <w:szCs w:val="16"/>
              </w:rPr>
              <w:t>92</w:t>
            </w:r>
          </w:hyperlink>
        </w:p>
        <w:p w:rsidR="00EA40A3" w:rsidRDefault="00E86C16">
          <w:pPr>
            <w:spacing w:before="41" w:line="221" w:lineRule="auto"/>
            <w:ind w:left="560"/>
            <w:rPr>
              <w:rFonts w:ascii="宋体" w:eastAsia="宋体" w:hAnsi="宋体" w:cs="宋体"/>
              <w:sz w:val="16"/>
              <w:szCs w:val="16"/>
            </w:rPr>
          </w:pPr>
          <w:r>
            <w:rPr>
              <w:rFonts w:ascii="宋体" w:eastAsia="宋体" w:hAnsi="宋体" w:cs="宋体"/>
              <w:spacing w:val="-6"/>
              <w:sz w:val="16"/>
              <w:szCs w:val="16"/>
            </w:rPr>
            <w:t>牛</w:t>
          </w:r>
          <w:r>
            <w:rPr>
              <w:rFonts w:ascii="宋体" w:eastAsia="宋体" w:hAnsi="宋体" w:cs="宋体"/>
              <w:spacing w:val="24"/>
              <w:sz w:val="16"/>
              <w:szCs w:val="16"/>
            </w:rPr>
            <w:t xml:space="preserve">  </w:t>
          </w:r>
          <w:r>
            <w:rPr>
              <w:rFonts w:ascii="宋体" w:eastAsia="宋体" w:hAnsi="宋体" w:cs="宋体"/>
              <w:spacing w:val="-6"/>
              <w:sz w:val="16"/>
              <w:szCs w:val="16"/>
            </w:rPr>
            <w:t>肉</w:t>
          </w:r>
          <w:r>
            <w:rPr>
              <w:rFonts w:ascii="宋体" w:eastAsia="宋体" w:hAnsi="宋体" w:cs="宋体"/>
              <w:spacing w:val="4"/>
              <w:sz w:val="16"/>
              <w:szCs w:val="16"/>
            </w:rPr>
            <w:t xml:space="preserve">               </w:t>
          </w:r>
          <w:r>
            <w:rPr>
              <w:rFonts w:ascii="宋体" w:eastAsia="宋体" w:hAnsi="宋体" w:cs="宋体"/>
              <w:spacing w:val="-6"/>
              <w:sz w:val="16"/>
              <w:szCs w:val="16"/>
            </w:rPr>
            <w:t>80</w:t>
          </w:r>
          <w:r>
            <w:rPr>
              <w:rFonts w:ascii="宋体" w:eastAsia="宋体" w:hAnsi="宋体" w:cs="宋体"/>
              <w:spacing w:val="2"/>
              <w:sz w:val="16"/>
              <w:szCs w:val="16"/>
            </w:rPr>
            <w:t xml:space="preserve">                    </w:t>
          </w:r>
          <w:r>
            <w:rPr>
              <w:rFonts w:ascii="宋体" w:eastAsia="宋体" w:hAnsi="宋体" w:cs="宋体"/>
              <w:spacing w:val="-6"/>
              <w:sz w:val="16"/>
              <w:szCs w:val="16"/>
            </w:rPr>
            <w:t>2.9</w:t>
          </w:r>
          <w:r>
            <w:rPr>
              <w:rFonts w:ascii="宋体" w:eastAsia="宋体" w:hAnsi="宋体" w:cs="宋体"/>
              <w:spacing w:val="3"/>
              <w:sz w:val="16"/>
              <w:szCs w:val="16"/>
            </w:rPr>
            <w:t xml:space="preserve">                       </w:t>
          </w:r>
          <w:hyperlink w:anchor="_bookmark115" w:history="1">
            <w:r>
              <w:rPr>
                <w:rFonts w:ascii="宋体" w:eastAsia="宋体" w:hAnsi="宋体" w:cs="宋体"/>
                <w:spacing w:val="-6"/>
                <w:sz w:val="16"/>
                <w:szCs w:val="16"/>
              </w:rPr>
              <w:t>73</w:t>
            </w:r>
          </w:hyperlink>
        </w:p>
        <w:p w:rsidR="00EA40A3" w:rsidRDefault="00E86C16">
          <w:pPr>
            <w:spacing w:before="87" w:line="219" w:lineRule="auto"/>
            <w:ind w:left="560"/>
            <w:rPr>
              <w:rFonts w:ascii="宋体" w:eastAsia="宋体" w:hAnsi="宋体" w:cs="宋体"/>
              <w:sz w:val="16"/>
              <w:szCs w:val="16"/>
            </w:rPr>
          </w:pPr>
          <w:r>
            <w:rPr>
              <w:rFonts w:ascii="宋体" w:eastAsia="宋体" w:hAnsi="宋体" w:cs="宋体"/>
              <w:sz w:val="16"/>
              <w:szCs w:val="16"/>
            </w:rPr>
            <w:t>马铃薯</w:t>
          </w:r>
          <w:r>
            <w:rPr>
              <w:rFonts w:ascii="宋体" w:eastAsia="宋体" w:hAnsi="宋体" w:cs="宋体"/>
              <w:spacing w:val="4"/>
              <w:sz w:val="16"/>
              <w:szCs w:val="16"/>
            </w:rPr>
            <w:t xml:space="preserve">               </w:t>
          </w:r>
          <w:hyperlink w:anchor="_bookmark116" w:history="1">
            <w:r>
              <w:rPr>
                <w:rFonts w:ascii="宋体" w:eastAsia="宋体" w:hAnsi="宋体" w:cs="宋体"/>
                <w:position w:val="-1"/>
                <w:sz w:val="16"/>
                <w:szCs w:val="16"/>
              </w:rPr>
              <w:t>71</w:t>
            </w:r>
          </w:hyperlink>
        </w:p>
        <w:p w:rsidR="00EA40A3" w:rsidRDefault="00E86C16">
          <w:pPr>
            <w:spacing w:before="91" w:line="222" w:lineRule="auto"/>
            <w:ind w:left="529"/>
            <w:rPr>
              <w:rFonts w:ascii="宋体" w:eastAsia="宋体" w:hAnsi="宋体" w:cs="宋体"/>
              <w:sz w:val="16"/>
              <w:szCs w:val="16"/>
            </w:rPr>
          </w:pPr>
          <w:r>
            <w:rPr>
              <w:rFonts w:ascii="宋体" w:eastAsia="宋体" w:hAnsi="宋体" w:cs="宋体"/>
              <w:spacing w:val="-1"/>
              <w:sz w:val="16"/>
              <w:szCs w:val="16"/>
            </w:rPr>
            <w:t>大豆蛋白</w:t>
          </w:r>
          <w:r>
            <w:rPr>
              <w:rFonts w:ascii="宋体" w:eastAsia="宋体" w:hAnsi="宋体" w:cs="宋体"/>
              <w:spacing w:val="2"/>
              <w:sz w:val="16"/>
              <w:szCs w:val="16"/>
            </w:rPr>
            <w:t xml:space="preserve">              </w:t>
          </w:r>
          <w:r>
            <w:rPr>
              <w:rFonts w:ascii="宋体" w:eastAsia="宋体" w:hAnsi="宋体" w:cs="宋体"/>
              <w:spacing w:val="-1"/>
              <w:sz w:val="16"/>
              <w:szCs w:val="16"/>
            </w:rPr>
            <w:t>74</w:t>
          </w:r>
          <w:r>
            <w:rPr>
              <w:rFonts w:ascii="宋体" w:eastAsia="宋体" w:hAnsi="宋体" w:cs="宋体"/>
              <w:spacing w:val="1"/>
              <w:sz w:val="16"/>
              <w:szCs w:val="16"/>
            </w:rPr>
            <w:t xml:space="preserve">                    </w:t>
          </w:r>
          <w:r>
            <w:rPr>
              <w:rFonts w:ascii="宋体" w:eastAsia="宋体" w:hAnsi="宋体" w:cs="宋体"/>
              <w:spacing w:val="-1"/>
              <w:sz w:val="16"/>
              <w:szCs w:val="16"/>
            </w:rPr>
            <w:t>2.1</w:t>
          </w:r>
          <w:r>
            <w:rPr>
              <w:rFonts w:ascii="宋体" w:eastAsia="宋体" w:hAnsi="宋体" w:cs="宋体"/>
              <w:spacing w:val="1"/>
              <w:sz w:val="16"/>
              <w:szCs w:val="16"/>
            </w:rPr>
            <w:t xml:space="preserve">                       </w:t>
          </w:r>
          <w:hyperlink w:anchor="_bookmark117" w:history="1">
            <w:r>
              <w:rPr>
                <w:rFonts w:ascii="宋体" w:eastAsia="宋体" w:hAnsi="宋体" w:cs="宋体"/>
                <w:spacing w:val="-1"/>
                <w:position w:val="-1"/>
                <w:sz w:val="16"/>
                <w:szCs w:val="16"/>
              </w:rPr>
              <w:t>61</w:t>
            </w:r>
          </w:hyperlink>
        </w:p>
        <w:p w:rsidR="00EA40A3" w:rsidRDefault="00E86C16">
          <w:pPr>
            <w:spacing w:before="47" w:line="231" w:lineRule="auto"/>
            <w:ind w:left="529"/>
            <w:rPr>
              <w:rFonts w:ascii="宋体" w:eastAsia="宋体" w:hAnsi="宋体" w:cs="宋体"/>
              <w:sz w:val="16"/>
              <w:szCs w:val="16"/>
            </w:rPr>
          </w:pPr>
          <w:r>
            <w:rPr>
              <w:rFonts w:ascii="宋体" w:eastAsia="宋体" w:hAnsi="宋体" w:cs="宋体"/>
              <w:spacing w:val="-1"/>
              <w:position w:val="1"/>
              <w:sz w:val="16"/>
              <w:szCs w:val="16"/>
            </w:rPr>
            <w:t>稻米蛋白</w:t>
          </w:r>
          <w:r>
            <w:rPr>
              <w:rFonts w:ascii="宋体" w:eastAsia="宋体" w:hAnsi="宋体" w:cs="宋体"/>
              <w:spacing w:val="1"/>
              <w:position w:val="1"/>
              <w:sz w:val="16"/>
              <w:szCs w:val="16"/>
            </w:rPr>
            <w:t xml:space="preserve">              </w:t>
          </w:r>
          <w:r>
            <w:rPr>
              <w:rFonts w:ascii="宋体" w:eastAsia="宋体" w:hAnsi="宋体" w:cs="宋体"/>
              <w:spacing w:val="-1"/>
              <w:position w:val="-1"/>
              <w:sz w:val="16"/>
              <w:szCs w:val="16"/>
            </w:rPr>
            <w:t>59</w:t>
          </w:r>
          <w:r>
            <w:rPr>
              <w:rFonts w:ascii="宋体" w:eastAsia="宋体" w:hAnsi="宋体" w:cs="宋体"/>
              <w:spacing w:val="1"/>
              <w:position w:val="-1"/>
              <w:sz w:val="16"/>
              <w:szCs w:val="16"/>
            </w:rPr>
            <w:t xml:space="preserve">                    </w:t>
          </w:r>
          <w:r>
            <w:rPr>
              <w:rFonts w:ascii="宋体" w:eastAsia="宋体" w:hAnsi="宋体" w:cs="宋体"/>
              <w:spacing w:val="-1"/>
              <w:position w:val="-1"/>
              <w:sz w:val="16"/>
              <w:szCs w:val="16"/>
            </w:rPr>
            <w:t>2.0</w:t>
          </w:r>
          <w:r>
            <w:rPr>
              <w:rFonts w:ascii="宋体" w:eastAsia="宋体" w:hAnsi="宋体" w:cs="宋体"/>
              <w:spacing w:val="2"/>
              <w:position w:val="-1"/>
              <w:sz w:val="16"/>
              <w:szCs w:val="16"/>
            </w:rPr>
            <w:t xml:space="preserve">                       </w:t>
          </w:r>
          <w:hyperlink w:anchor="_bookmark118" w:history="1">
            <w:r>
              <w:rPr>
                <w:rFonts w:ascii="宋体" w:eastAsia="宋体" w:hAnsi="宋体" w:cs="宋体"/>
                <w:spacing w:val="-1"/>
                <w:position w:val="-2"/>
                <w:sz w:val="16"/>
                <w:szCs w:val="16"/>
              </w:rPr>
              <w:t>57</w:t>
            </w:r>
          </w:hyperlink>
        </w:p>
      </w:sdtContent>
    </w:sdt>
    <w:p w:rsidR="00EA40A3" w:rsidRDefault="00E86C16">
      <w:pPr>
        <w:spacing w:before="65" w:line="184" w:lineRule="auto"/>
        <w:ind w:left="349"/>
        <w:rPr>
          <w:rFonts w:ascii="宋体" w:eastAsia="宋体" w:hAnsi="宋体" w:cs="宋体"/>
          <w:sz w:val="16"/>
          <w:szCs w:val="16"/>
        </w:rPr>
      </w:pPr>
      <w:r>
        <w:rPr>
          <w:rFonts w:ascii="宋体" w:eastAsia="宋体" w:hAnsi="宋体" w:cs="宋体"/>
          <w:spacing w:val="-10"/>
          <w:sz w:val="16"/>
          <w:szCs w:val="16"/>
        </w:rPr>
        <w:t>资料来源：</w:t>
      </w:r>
      <w:r>
        <w:rPr>
          <w:rFonts w:ascii="宋体" w:eastAsia="宋体" w:hAnsi="宋体" w:cs="宋体"/>
          <w:spacing w:val="-9"/>
          <w:sz w:val="16"/>
          <w:szCs w:val="16"/>
        </w:rPr>
        <w:t>Karmas</w:t>
      </w:r>
      <w:r>
        <w:rPr>
          <w:rFonts w:ascii="宋体" w:eastAsia="宋体" w:hAnsi="宋体" w:cs="宋体"/>
          <w:spacing w:val="-5"/>
          <w:sz w:val="16"/>
          <w:szCs w:val="16"/>
        </w:rPr>
        <w:t xml:space="preserve"> </w:t>
      </w:r>
      <w:r>
        <w:rPr>
          <w:rFonts w:ascii="宋体" w:eastAsia="宋体" w:hAnsi="宋体" w:cs="宋体"/>
          <w:spacing w:val="-9"/>
          <w:sz w:val="16"/>
          <w:szCs w:val="16"/>
        </w:rPr>
        <w:t>E</w:t>
      </w:r>
      <w:r>
        <w:rPr>
          <w:rFonts w:ascii="宋体" w:eastAsia="宋体" w:hAnsi="宋体" w:cs="宋体"/>
          <w:spacing w:val="-10"/>
          <w:sz w:val="16"/>
          <w:szCs w:val="16"/>
        </w:rPr>
        <w:t>,</w:t>
      </w:r>
      <w:r>
        <w:rPr>
          <w:rFonts w:ascii="宋体" w:eastAsia="宋体" w:hAnsi="宋体" w:cs="宋体"/>
          <w:spacing w:val="-9"/>
          <w:sz w:val="16"/>
          <w:szCs w:val="16"/>
        </w:rPr>
        <w:t>Harris</w:t>
      </w:r>
      <w:r>
        <w:rPr>
          <w:rFonts w:ascii="宋体" w:eastAsia="宋体" w:hAnsi="宋体" w:cs="宋体"/>
          <w:spacing w:val="-4"/>
          <w:sz w:val="16"/>
          <w:szCs w:val="16"/>
        </w:rPr>
        <w:t xml:space="preserve"> </w:t>
      </w:r>
      <w:r>
        <w:rPr>
          <w:rFonts w:ascii="宋体" w:eastAsia="宋体" w:hAnsi="宋体" w:cs="宋体"/>
          <w:spacing w:val="-9"/>
          <w:sz w:val="16"/>
          <w:szCs w:val="16"/>
        </w:rPr>
        <w:t>RS</w:t>
      </w:r>
      <w:r>
        <w:rPr>
          <w:rFonts w:ascii="宋体" w:eastAsia="宋体" w:hAnsi="宋体" w:cs="宋体"/>
          <w:spacing w:val="8"/>
          <w:sz w:val="16"/>
          <w:szCs w:val="16"/>
        </w:rPr>
        <w:t xml:space="preserve"> </w:t>
      </w:r>
      <w:r>
        <w:rPr>
          <w:rFonts w:ascii="宋体" w:eastAsia="宋体" w:hAnsi="宋体" w:cs="宋体"/>
          <w:spacing w:val="-10"/>
          <w:sz w:val="16"/>
          <w:szCs w:val="16"/>
        </w:rPr>
        <w:t>1988.</w:t>
      </w:r>
      <w:r>
        <w:rPr>
          <w:rFonts w:ascii="宋体" w:eastAsia="宋体" w:hAnsi="宋体" w:cs="宋体"/>
          <w:spacing w:val="-9"/>
          <w:sz w:val="16"/>
          <w:szCs w:val="16"/>
        </w:rPr>
        <w:t>Nutritional</w:t>
      </w:r>
      <w:r>
        <w:rPr>
          <w:rFonts w:ascii="宋体" w:eastAsia="宋体" w:hAnsi="宋体" w:cs="宋体"/>
          <w:spacing w:val="-5"/>
          <w:sz w:val="16"/>
          <w:szCs w:val="16"/>
        </w:rPr>
        <w:t xml:space="preserve"> </w:t>
      </w:r>
      <w:r>
        <w:rPr>
          <w:rFonts w:ascii="宋体" w:eastAsia="宋体" w:hAnsi="宋体" w:cs="宋体"/>
          <w:spacing w:val="-9"/>
          <w:sz w:val="16"/>
          <w:szCs w:val="16"/>
        </w:rPr>
        <w:t>Ev</w:t>
      </w:r>
      <w:r>
        <w:rPr>
          <w:rFonts w:ascii="宋体" w:eastAsia="宋体" w:hAnsi="宋体" w:cs="宋体"/>
          <w:spacing w:val="-10"/>
          <w:sz w:val="16"/>
          <w:szCs w:val="16"/>
        </w:rPr>
        <w:t>aluation</w:t>
      </w:r>
      <w:r>
        <w:rPr>
          <w:rFonts w:ascii="宋体" w:eastAsia="宋体" w:hAnsi="宋体" w:cs="宋体"/>
          <w:spacing w:val="-1"/>
          <w:sz w:val="16"/>
          <w:szCs w:val="16"/>
        </w:rPr>
        <w:t xml:space="preserve"> </w:t>
      </w:r>
      <w:r>
        <w:rPr>
          <w:rFonts w:ascii="宋体" w:eastAsia="宋体" w:hAnsi="宋体" w:cs="宋体"/>
          <w:spacing w:val="-10"/>
          <w:sz w:val="16"/>
          <w:szCs w:val="16"/>
        </w:rPr>
        <w:t>of</w:t>
      </w:r>
      <w:r>
        <w:rPr>
          <w:rFonts w:ascii="宋体" w:eastAsia="宋体" w:hAnsi="宋体" w:cs="宋体"/>
          <w:spacing w:val="-5"/>
          <w:sz w:val="16"/>
          <w:szCs w:val="16"/>
        </w:rPr>
        <w:t xml:space="preserve"> </w:t>
      </w:r>
      <w:r>
        <w:rPr>
          <w:rFonts w:ascii="宋体" w:eastAsia="宋体" w:hAnsi="宋体" w:cs="宋体"/>
          <w:spacing w:val="-10"/>
          <w:sz w:val="16"/>
          <w:szCs w:val="16"/>
        </w:rPr>
        <w:t>Fcod</w:t>
      </w:r>
      <w:r>
        <w:rPr>
          <w:rFonts w:ascii="宋体" w:eastAsia="宋体" w:hAnsi="宋体" w:cs="宋体"/>
          <w:spacing w:val="-5"/>
          <w:sz w:val="16"/>
          <w:szCs w:val="16"/>
        </w:rPr>
        <w:t xml:space="preserve"> </w:t>
      </w:r>
      <w:r>
        <w:rPr>
          <w:rFonts w:ascii="宋体" w:eastAsia="宋体" w:hAnsi="宋体" w:cs="宋体"/>
          <w:spacing w:val="-10"/>
          <w:sz w:val="16"/>
          <w:szCs w:val="16"/>
        </w:rPr>
        <w:t>Processing.</w:t>
      </w:r>
      <w:r>
        <w:rPr>
          <w:rFonts w:ascii="宋体" w:eastAsia="宋体" w:hAnsi="宋体" w:cs="宋体"/>
          <w:sz w:val="16"/>
          <w:szCs w:val="16"/>
        </w:rPr>
        <w:t xml:space="preserve"> </w:t>
      </w:r>
      <w:r>
        <w:rPr>
          <w:rFonts w:ascii="宋体" w:eastAsia="宋体" w:hAnsi="宋体" w:cs="宋体"/>
          <w:spacing w:val="-10"/>
          <w:sz w:val="16"/>
          <w:szCs w:val="16"/>
        </w:rPr>
        <w:t>3rd</w:t>
      </w:r>
      <w:r>
        <w:rPr>
          <w:rFonts w:ascii="宋体" w:eastAsia="宋体" w:hAnsi="宋体" w:cs="宋体"/>
          <w:sz w:val="16"/>
          <w:szCs w:val="16"/>
        </w:rPr>
        <w:t xml:space="preserve"> </w:t>
      </w:r>
      <w:r>
        <w:rPr>
          <w:rFonts w:ascii="宋体" w:eastAsia="宋体" w:hAnsi="宋体" w:cs="宋体"/>
          <w:spacing w:val="-10"/>
          <w:sz w:val="16"/>
          <w:szCs w:val="16"/>
        </w:rPr>
        <w:t>ed.</w:t>
      </w:r>
      <w:r>
        <w:rPr>
          <w:rFonts w:ascii="宋体" w:eastAsia="宋体" w:hAnsi="宋体" w:cs="宋体"/>
          <w:spacing w:val="-7"/>
          <w:sz w:val="16"/>
          <w:szCs w:val="16"/>
        </w:rPr>
        <w:t xml:space="preserve"> </w:t>
      </w:r>
      <w:r>
        <w:rPr>
          <w:rFonts w:ascii="宋体" w:eastAsia="宋体" w:hAnsi="宋体" w:cs="宋体"/>
          <w:spacing w:val="-10"/>
          <w:sz w:val="16"/>
          <w:szCs w:val="16"/>
        </w:rPr>
        <w:t>Avi.</w:t>
      </w:r>
      <w:r>
        <w:rPr>
          <w:rFonts w:ascii="宋体" w:eastAsia="宋体" w:hAnsi="宋体" w:cs="宋体"/>
          <w:spacing w:val="-7"/>
          <w:sz w:val="16"/>
          <w:szCs w:val="16"/>
        </w:rPr>
        <w:t xml:space="preserve"> </w:t>
      </w:r>
      <w:r>
        <w:rPr>
          <w:rFonts w:ascii="宋体" w:eastAsia="宋体" w:hAnsi="宋体" w:cs="宋体"/>
          <w:spacing w:val="-10"/>
          <w:sz w:val="16"/>
          <w:szCs w:val="16"/>
        </w:rPr>
        <w:t>New</w:t>
      </w:r>
      <w:r>
        <w:rPr>
          <w:rFonts w:ascii="宋体" w:eastAsia="宋体" w:hAnsi="宋体" w:cs="宋体"/>
          <w:spacing w:val="-5"/>
          <w:sz w:val="16"/>
          <w:szCs w:val="16"/>
        </w:rPr>
        <w:t xml:space="preserve"> </w:t>
      </w:r>
      <w:r>
        <w:rPr>
          <w:rFonts w:ascii="宋体" w:eastAsia="宋体" w:hAnsi="宋体" w:cs="宋体"/>
          <w:spacing w:val="-10"/>
          <w:sz w:val="16"/>
          <w:szCs w:val="16"/>
        </w:rPr>
        <w:t>York</w:t>
      </w:r>
    </w:p>
    <w:p w:rsidR="00EA40A3" w:rsidRDefault="00EA40A3">
      <w:pPr>
        <w:sectPr w:rsidR="00EA40A3">
          <w:type w:val="continuous"/>
          <w:pgSz w:w="9220" w:h="13360"/>
          <w:pgMar w:top="400" w:right="1035" w:bottom="1293" w:left="800" w:header="0" w:footer="1045" w:gutter="0"/>
          <w:cols w:space="720" w:equalWidth="0">
            <w:col w:w="7385"/>
          </w:cols>
        </w:sectPr>
      </w:pPr>
    </w:p>
    <w:p w:rsidR="00EA40A3" w:rsidRDefault="00EA40A3">
      <w:pPr>
        <w:spacing w:line="255" w:lineRule="auto"/>
      </w:pPr>
    </w:p>
    <w:p w:rsidR="00EA40A3" w:rsidRDefault="00EA40A3">
      <w:pPr>
        <w:spacing w:line="255" w:lineRule="auto"/>
      </w:pPr>
    </w:p>
    <w:p w:rsidR="00EA40A3" w:rsidRDefault="00E86C16">
      <w:pPr>
        <w:spacing w:before="75" w:line="225" w:lineRule="auto"/>
        <w:ind w:right="86"/>
        <w:rPr>
          <w:rFonts w:ascii="宋体" w:eastAsia="宋体" w:hAnsi="宋体" w:cs="宋体"/>
          <w:sz w:val="23"/>
          <w:szCs w:val="23"/>
        </w:rPr>
      </w:pPr>
      <w:r>
        <w:rPr>
          <w:rFonts w:ascii="宋体" w:eastAsia="宋体" w:hAnsi="宋体" w:cs="宋体"/>
          <w:spacing w:val="-22"/>
          <w:sz w:val="23"/>
          <w:szCs w:val="23"/>
        </w:rPr>
        <w:t>养质量时，常被用作参比蛋白质。易被人体消化吸收和利用。按蛋白质含量来</w:t>
      </w:r>
      <w:r>
        <w:rPr>
          <w:rFonts w:ascii="宋体" w:eastAsia="宋体" w:hAnsi="宋体" w:cs="宋体"/>
          <w:spacing w:val="-23"/>
          <w:sz w:val="23"/>
          <w:szCs w:val="23"/>
        </w:rPr>
        <w:t>计</w:t>
      </w:r>
      <w:r>
        <w:rPr>
          <w:rFonts w:ascii="宋体" w:eastAsia="宋体" w:hAnsi="宋体" w:cs="宋体"/>
          <w:sz w:val="23"/>
          <w:szCs w:val="23"/>
        </w:rPr>
        <w:t xml:space="preserve"> </w:t>
      </w:r>
      <w:r>
        <w:rPr>
          <w:rFonts w:ascii="宋体" w:eastAsia="宋体" w:hAnsi="宋体" w:cs="宋体"/>
          <w:spacing w:val="-24"/>
          <w:sz w:val="23"/>
          <w:szCs w:val="23"/>
        </w:rPr>
        <w:t>算，蛋类在各种动物蛋白质来源中是最为廉价的一种。</w:t>
      </w:r>
    </w:p>
    <w:p w:rsidR="00EA40A3" w:rsidRDefault="00E86C16">
      <w:pPr>
        <w:spacing w:before="51" w:line="237" w:lineRule="auto"/>
        <w:ind w:right="20" w:firstLine="410"/>
        <w:jc w:val="both"/>
        <w:rPr>
          <w:rFonts w:ascii="宋体" w:eastAsia="宋体" w:hAnsi="宋体" w:cs="宋体"/>
          <w:sz w:val="23"/>
          <w:szCs w:val="23"/>
        </w:rPr>
      </w:pPr>
      <w:r>
        <w:rPr>
          <w:rFonts w:ascii="宋体" w:eastAsia="宋体" w:hAnsi="宋体" w:cs="宋体"/>
          <w:spacing w:val="-23"/>
          <w:sz w:val="23"/>
          <w:szCs w:val="23"/>
        </w:rPr>
        <w:t>鸡蛋清中所含的卵类黏蛋白具有妨碍胰蛋白酶活性的作用，卵巨球蛋白</w:t>
      </w:r>
      <w:r>
        <w:rPr>
          <w:rFonts w:ascii="宋体" w:eastAsia="宋体" w:hAnsi="宋体" w:cs="宋体"/>
          <w:spacing w:val="-24"/>
          <w:sz w:val="23"/>
          <w:szCs w:val="23"/>
        </w:rPr>
        <w:t>为蛋</w:t>
      </w:r>
      <w:r>
        <w:rPr>
          <w:rFonts w:ascii="宋体" w:eastAsia="宋体" w:hAnsi="宋体" w:cs="宋体"/>
          <w:sz w:val="23"/>
          <w:szCs w:val="23"/>
        </w:rPr>
        <w:t xml:space="preserve">  </w:t>
      </w:r>
      <w:r>
        <w:rPr>
          <w:rFonts w:ascii="宋体" w:eastAsia="宋体" w:hAnsi="宋体" w:cs="宋体"/>
          <w:spacing w:val="-20"/>
          <w:sz w:val="23"/>
          <w:szCs w:val="23"/>
        </w:rPr>
        <w:t>白酶抑制剂；卵黄素蛋白易与核黄素结合。此外，卵清中尚含有少量</w:t>
      </w:r>
      <w:r>
        <w:rPr>
          <w:rFonts w:ascii="宋体" w:eastAsia="宋体" w:hAnsi="宋体" w:cs="宋体"/>
          <w:spacing w:val="-21"/>
          <w:sz w:val="23"/>
          <w:szCs w:val="23"/>
        </w:rPr>
        <w:t>卵抑制剂，</w:t>
      </w:r>
      <w:r>
        <w:rPr>
          <w:rFonts w:ascii="宋体" w:eastAsia="宋体" w:hAnsi="宋体" w:cs="宋体"/>
          <w:sz w:val="23"/>
          <w:szCs w:val="23"/>
        </w:rPr>
        <w:t xml:space="preserve"> </w:t>
      </w:r>
      <w:r>
        <w:rPr>
          <w:rFonts w:ascii="宋体" w:eastAsia="宋体" w:hAnsi="宋体" w:cs="宋体"/>
          <w:spacing w:val="-23"/>
          <w:sz w:val="23"/>
          <w:szCs w:val="23"/>
        </w:rPr>
        <w:t>为丝氨酸蛋白酶的抑制剂；其中的生物素结合蛋白可与生物素形成极难分解的复</w:t>
      </w:r>
      <w:r>
        <w:rPr>
          <w:rFonts w:ascii="宋体" w:eastAsia="宋体" w:hAnsi="宋体" w:cs="宋体"/>
          <w:spacing w:val="13"/>
          <w:sz w:val="23"/>
          <w:szCs w:val="23"/>
        </w:rPr>
        <w:t xml:space="preserve"> </w:t>
      </w:r>
      <w:r>
        <w:rPr>
          <w:rFonts w:ascii="宋体" w:eastAsia="宋体" w:hAnsi="宋体" w:cs="宋体"/>
          <w:spacing w:val="-23"/>
          <w:sz w:val="23"/>
          <w:szCs w:val="23"/>
        </w:rPr>
        <w:t>合物，使人体不能吸收鸡蛋中的生物素。因此，生鸡蛋的消化吸收率很低，仅为</w:t>
      </w:r>
      <w:r>
        <w:rPr>
          <w:rFonts w:ascii="宋体" w:eastAsia="宋体" w:hAnsi="宋体" w:cs="宋体"/>
          <w:spacing w:val="14"/>
          <w:sz w:val="23"/>
          <w:szCs w:val="23"/>
        </w:rPr>
        <w:t xml:space="preserve"> </w:t>
      </w:r>
      <w:r>
        <w:rPr>
          <w:rFonts w:ascii="宋体" w:eastAsia="宋体" w:hAnsi="宋体" w:cs="宋体"/>
          <w:spacing w:val="-19"/>
          <w:sz w:val="23"/>
          <w:szCs w:val="23"/>
        </w:rPr>
        <w:t>50%左右，应等到蛋清凝固后再加以食用。烹调后可使各种鸡蛋中的抗营养因素</w:t>
      </w:r>
      <w:r>
        <w:rPr>
          <w:rFonts w:ascii="宋体" w:eastAsia="宋体" w:hAnsi="宋体" w:cs="宋体"/>
          <w:spacing w:val="7"/>
          <w:sz w:val="23"/>
          <w:szCs w:val="23"/>
        </w:rPr>
        <w:t xml:space="preserve"> </w:t>
      </w:r>
      <w:r>
        <w:rPr>
          <w:rFonts w:ascii="宋体" w:eastAsia="宋体" w:hAnsi="宋体" w:cs="宋体"/>
          <w:spacing w:val="-11"/>
          <w:sz w:val="23"/>
          <w:szCs w:val="23"/>
        </w:rPr>
        <w:t>完全失活，消化率达96%。</w:t>
      </w:r>
    </w:p>
    <w:p w:rsidR="00EA40A3" w:rsidRDefault="00E86C16">
      <w:pPr>
        <w:spacing w:before="206" w:line="223" w:lineRule="auto"/>
        <w:rPr>
          <w:rFonts w:ascii="仿宋" w:eastAsia="仿宋" w:hAnsi="仿宋" w:cs="仿宋"/>
          <w:sz w:val="23"/>
          <w:szCs w:val="23"/>
        </w:rPr>
      </w:pPr>
      <w:r>
        <w:rPr>
          <w:rFonts w:ascii="仿宋" w:eastAsia="仿宋" w:hAnsi="仿宋" w:cs="仿宋"/>
          <w:spacing w:val="1"/>
          <w:sz w:val="23"/>
          <w:szCs w:val="23"/>
        </w:rPr>
        <w:t>2.</w:t>
      </w:r>
      <w:r>
        <w:rPr>
          <w:rFonts w:ascii="仿宋" w:eastAsia="仿宋" w:hAnsi="仿宋" w:cs="仿宋"/>
          <w:spacing w:val="-23"/>
          <w:sz w:val="23"/>
          <w:szCs w:val="23"/>
        </w:rPr>
        <w:t xml:space="preserve"> </w:t>
      </w:r>
      <w:r>
        <w:rPr>
          <w:rFonts w:ascii="仿宋" w:eastAsia="仿宋" w:hAnsi="仿宋" w:cs="仿宋"/>
          <w:spacing w:val="1"/>
          <w:sz w:val="23"/>
          <w:szCs w:val="23"/>
        </w:rPr>
        <w:t>脂肪</w:t>
      </w:r>
    </w:p>
    <w:p w:rsidR="00EA40A3" w:rsidRDefault="00E86C16">
      <w:pPr>
        <w:spacing w:before="193" w:line="228" w:lineRule="auto"/>
        <w:ind w:right="104" w:firstLine="410"/>
        <w:jc w:val="both"/>
        <w:rPr>
          <w:rFonts w:ascii="宋体" w:eastAsia="宋体" w:hAnsi="宋体" w:cs="宋体"/>
          <w:sz w:val="23"/>
          <w:szCs w:val="23"/>
        </w:rPr>
      </w:pPr>
      <w:r>
        <w:rPr>
          <w:rFonts w:ascii="宋体" w:eastAsia="宋体" w:hAnsi="宋体" w:cs="宋体"/>
          <w:spacing w:val="-8"/>
          <w:sz w:val="23"/>
          <w:szCs w:val="23"/>
        </w:rPr>
        <w:t>蛋类的脂肪含量为9%～15%。鸡蛋清中含脂肪极少，98%的脂肪存在于蛋</w:t>
      </w:r>
      <w:r>
        <w:rPr>
          <w:rFonts w:ascii="宋体" w:eastAsia="宋体" w:hAnsi="宋体" w:cs="宋体"/>
          <w:sz w:val="23"/>
          <w:szCs w:val="23"/>
        </w:rPr>
        <w:t xml:space="preserve"> </w:t>
      </w:r>
      <w:r>
        <w:rPr>
          <w:rFonts w:ascii="宋体" w:eastAsia="宋体" w:hAnsi="宋体" w:cs="宋体"/>
          <w:spacing w:val="-23"/>
          <w:sz w:val="23"/>
          <w:szCs w:val="23"/>
        </w:rPr>
        <w:t>黄当中。蛋黄中的脂肪几乎全部以与蛋白质结合的良好乳化形式存在，因而消化</w:t>
      </w:r>
      <w:r>
        <w:rPr>
          <w:rFonts w:ascii="宋体" w:eastAsia="宋体" w:hAnsi="宋体" w:cs="宋体"/>
          <w:spacing w:val="12"/>
          <w:sz w:val="23"/>
          <w:szCs w:val="23"/>
        </w:rPr>
        <w:t xml:space="preserve"> </w:t>
      </w:r>
      <w:r>
        <w:rPr>
          <w:rFonts w:ascii="宋体" w:eastAsia="宋体" w:hAnsi="宋体" w:cs="宋体"/>
          <w:spacing w:val="-24"/>
          <w:sz w:val="23"/>
          <w:szCs w:val="23"/>
        </w:rPr>
        <w:t>吸收率高。</w:t>
      </w:r>
    </w:p>
    <w:p w:rsidR="00EA40A3" w:rsidRDefault="00E86C16">
      <w:pPr>
        <w:spacing w:before="54" w:line="236" w:lineRule="auto"/>
        <w:ind w:firstLine="410"/>
        <w:jc w:val="both"/>
        <w:rPr>
          <w:rFonts w:ascii="宋体" w:eastAsia="宋体" w:hAnsi="宋体" w:cs="宋体"/>
          <w:sz w:val="23"/>
          <w:szCs w:val="23"/>
        </w:rPr>
      </w:pPr>
      <w:r>
        <w:rPr>
          <w:rFonts w:ascii="宋体" w:eastAsia="宋体" w:hAnsi="宋体" w:cs="宋体"/>
          <w:spacing w:val="7"/>
          <w:sz w:val="23"/>
          <w:szCs w:val="23"/>
        </w:rPr>
        <w:t>鸡蛋黄中的脂肪含量约30%～33%,其中中性脂肪含</w:t>
      </w:r>
      <w:r>
        <w:rPr>
          <w:rFonts w:ascii="宋体" w:eastAsia="宋体" w:hAnsi="宋体" w:cs="宋体"/>
          <w:spacing w:val="6"/>
          <w:sz w:val="23"/>
          <w:szCs w:val="23"/>
        </w:rPr>
        <w:t>量约占62%～65%,</w:t>
      </w:r>
      <w:r>
        <w:rPr>
          <w:rFonts w:ascii="宋体" w:eastAsia="宋体" w:hAnsi="宋体" w:cs="宋体"/>
          <w:sz w:val="23"/>
          <w:szCs w:val="23"/>
        </w:rPr>
        <w:t xml:space="preserve"> </w:t>
      </w:r>
      <w:r>
        <w:rPr>
          <w:rFonts w:ascii="宋体" w:eastAsia="宋体" w:hAnsi="宋体" w:cs="宋体"/>
          <w:spacing w:val="3"/>
          <w:sz w:val="23"/>
          <w:szCs w:val="23"/>
        </w:rPr>
        <w:t>磷脂占30%～33%,固醇占4%～5%,还有微量脑苷脂类。蛋黄的脂肪酸构成</w:t>
      </w:r>
      <w:r>
        <w:rPr>
          <w:rFonts w:ascii="宋体" w:eastAsia="宋体" w:hAnsi="宋体" w:cs="宋体"/>
          <w:spacing w:val="9"/>
          <w:sz w:val="23"/>
          <w:szCs w:val="23"/>
        </w:rPr>
        <w:t xml:space="preserve">  </w:t>
      </w:r>
      <w:r>
        <w:rPr>
          <w:rFonts w:ascii="宋体" w:eastAsia="宋体" w:hAnsi="宋体" w:cs="宋体"/>
          <w:spacing w:val="-3"/>
          <w:sz w:val="23"/>
          <w:szCs w:val="23"/>
        </w:rPr>
        <w:t>中，以油酸最为丰富，约占50%左右，亚油酸约占10%,其余主要是硬脂</w:t>
      </w:r>
      <w:r>
        <w:rPr>
          <w:rFonts w:ascii="宋体" w:eastAsia="宋体" w:hAnsi="宋体" w:cs="宋体"/>
          <w:spacing w:val="-4"/>
          <w:sz w:val="23"/>
          <w:szCs w:val="23"/>
        </w:rPr>
        <w:t>酸、</w:t>
      </w:r>
      <w:r>
        <w:rPr>
          <w:rFonts w:ascii="宋体" w:eastAsia="宋体" w:hAnsi="宋体" w:cs="宋体"/>
          <w:sz w:val="23"/>
          <w:szCs w:val="23"/>
        </w:rPr>
        <w:t xml:space="preserve"> </w:t>
      </w:r>
      <w:r>
        <w:rPr>
          <w:rFonts w:ascii="宋体" w:eastAsia="宋体" w:hAnsi="宋体" w:cs="宋体"/>
          <w:spacing w:val="-17"/>
          <w:sz w:val="23"/>
          <w:szCs w:val="23"/>
        </w:rPr>
        <w:t>棕榈酸和棕榈油酸，含微量花生四烯酸和DHA。</w:t>
      </w:r>
    </w:p>
    <w:p w:rsidR="00EA40A3" w:rsidRDefault="00E86C16">
      <w:pPr>
        <w:spacing w:before="45" w:line="237" w:lineRule="auto"/>
        <w:ind w:firstLine="410"/>
        <w:jc w:val="both"/>
        <w:rPr>
          <w:rFonts w:ascii="宋体" w:eastAsia="宋体" w:hAnsi="宋体" w:cs="宋体"/>
          <w:sz w:val="23"/>
          <w:szCs w:val="23"/>
        </w:rPr>
      </w:pPr>
      <w:r>
        <w:rPr>
          <w:rFonts w:ascii="宋体" w:eastAsia="宋体" w:hAnsi="宋体" w:cs="宋体"/>
          <w:spacing w:val="-9"/>
          <w:sz w:val="23"/>
          <w:szCs w:val="23"/>
        </w:rPr>
        <w:t>鸡蛋中的固醇含量较高，其中90%以上为胆</w:t>
      </w:r>
      <w:r>
        <w:rPr>
          <w:rFonts w:ascii="宋体" w:eastAsia="宋体" w:hAnsi="宋体" w:cs="宋体"/>
          <w:spacing w:val="-10"/>
          <w:sz w:val="23"/>
          <w:szCs w:val="23"/>
        </w:rPr>
        <w:t>固醇，仅有少量植物性固醇。</w:t>
      </w:r>
      <w:r>
        <w:rPr>
          <w:rFonts w:ascii="宋体" w:eastAsia="宋体" w:hAnsi="宋体" w:cs="宋体"/>
          <w:sz w:val="23"/>
          <w:szCs w:val="23"/>
        </w:rPr>
        <w:t xml:space="preserve"> </w:t>
      </w:r>
      <w:r>
        <w:rPr>
          <w:rFonts w:ascii="宋体" w:eastAsia="宋体" w:hAnsi="宋体" w:cs="宋体"/>
          <w:spacing w:val="-12"/>
          <w:sz w:val="23"/>
          <w:szCs w:val="23"/>
        </w:rPr>
        <w:t>每个鸡蛋中含胆固醇约213mg,</w:t>
      </w:r>
      <w:r>
        <w:rPr>
          <w:rFonts w:ascii="宋体" w:eastAsia="宋体" w:hAnsi="宋体" w:cs="宋体"/>
          <w:spacing w:val="12"/>
          <w:sz w:val="23"/>
          <w:szCs w:val="23"/>
        </w:rPr>
        <w:t xml:space="preserve"> </w:t>
      </w:r>
      <w:r>
        <w:rPr>
          <w:rFonts w:ascii="宋体" w:eastAsia="宋体" w:hAnsi="宋体" w:cs="宋体"/>
          <w:spacing w:val="-12"/>
          <w:sz w:val="23"/>
          <w:szCs w:val="23"/>
        </w:rPr>
        <w:t>全部存在于蛋黄当中。但它同时含</w:t>
      </w:r>
      <w:r>
        <w:rPr>
          <w:rFonts w:ascii="宋体" w:eastAsia="宋体" w:hAnsi="宋体" w:cs="宋体"/>
          <w:spacing w:val="-13"/>
          <w:sz w:val="23"/>
          <w:szCs w:val="23"/>
        </w:rPr>
        <w:t>有大量磷脂</w:t>
      </w:r>
      <w:r>
        <w:rPr>
          <w:rFonts w:ascii="宋体" w:eastAsia="宋体" w:hAnsi="宋体" w:cs="宋体"/>
          <w:sz w:val="23"/>
          <w:szCs w:val="23"/>
        </w:rPr>
        <w:t xml:space="preserve"> </w:t>
      </w:r>
      <w:r>
        <w:rPr>
          <w:rFonts w:ascii="宋体" w:eastAsia="宋体" w:hAnsi="宋体" w:cs="宋体"/>
          <w:spacing w:val="-20"/>
          <w:sz w:val="23"/>
          <w:szCs w:val="23"/>
        </w:rPr>
        <w:t>和有益降低血脂的甜菜碱，故而鸡蛋中胆固醇对人体血胆固醇的影响并不肯定。</w:t>
      </w:r>
      <w:r>
        <w:rPr>
          <w:rFonts w:ascii="宋体" w:eastAsia="宋体" w:hAnsi="宋体" w:cs="宋体"/>
          <w:spacing w:val="14"/>
          <w:sz w:val="23"/>
          <w:szCs w:val="23"/>
        </w:rPr>
        <w:t xml:space="preserve"> </w:t>
      </w:r>
      <w:r>
        <w:rPr>
          <w:rFonts w:ascii="宋体" w:eastAsia="宋体" w:hAnsi="宋体" w:cs="宋体"/>
          <w:spacing w:val="-23"/>
          <w:sz w:val="23"/>
          <w:szCs w:val="23"/>
        </w:rPr>
        <w:t>饲料的成分对于蛋黄中的胆固醇含量影响甚大，可以通过畜牧学措施生产出低胆</w:t>
      </w:r>
      <w:r>
        <w:rPr>
          <w:rFonts w:ascii="宋体" w:eastAsia="宋体" w:hAnsi="宋体" w:cs="宋体"/>
          <w:spacing w:val="6"/>
          <w:sz w:val="23"/>
          <w:szCs w:val="23"/>
        </w:rPr>
        <w:t xml:space="preserve">  </w:t>
      </w:r>
      <w:r>
        <w:rPr>
          <w:rFonts w:ascii="宋体" w:eastAsia="宋体" w:hAnsi="宋体" w:cs="宋体"/>
          <w:spacing w:val="-24"/>
          <w:sz w:val="23"/>
          <w:szCs w:val="23"/>
        </w:rPr>
        <w:t>固醇鸡蛋。</w:t>
      </w:r>
    </w:p>
    <w:p w:rsidR="00EA40A3" w:rsidRDefault="00E86C16">
      <w:pPr>
        <w:spacing w:before="212" w:line="222" w:lineRule="auto"/>
        <w:rPr>
          <w:rFonts w:ascii="仿宋" w:eastAsia="仿宋" w:hAnsi="仿宋" w:cs="仿宋"/>
          <w:sz w:val="23"/>
          <w:szCs w:val="23"/>
        </w:rPr>
      </w:pPr>
      <w:r>
        <w:rPr>
          <w:rFonts w:ascii="仿宋" w:eastAsia="仿宋" w:hAnsi="仿宋" w:cs="仿宋"/>
          <w:spacing w:val="4"/>
          <w:sz w:val="23"/>
          <w:szCs w:val="23"/>
        </w:rPr>
        <w:t>3.</w:t>
      </w:r>
      <w:r>
        <w:rPr>
          <w:rFonts w:ascii="仿宋" w:eastAsia="仿宋" w:hAnsi="仿宋" w:cs="仿宋"/>
          <w:spacing w:val="-32"/>
          <w:sz w:val="23"/>
          <w:szCs w:val="23"/>
        </w:rPr>
        <w:t xml:space="preserve"> </w:t>
      </w:r>
      <w:r>
        <w:rPr>
          <w:rFonts w:ascii="仿宋" w:eastAsia="仿宋" w:hAnsi="仿宋" w:cs="仿宋"/>
          <w:spacing w:val="4"/>
          <w:sz w:val="23"/>
          <w:szCs w:val="23"/>
        </w:rPr>
        <w:t>维生素</w:t>
      </w:r>
    </w:p>
    <w:p w:rsidR="00EA40A3" w:rsidRDefault="00E86C16">
      <w:pPr>
        <w:spacing w:before="185" w:line="230" w:lineRule="auto"/>
        <w:ind w:right="104" w:firstLine="410"/>
        <w:jc w:val="both"/>
        <w:rPr>
          <w:rFonts w:ascii="宋体" w:eastAsia="宋体" w:hAnsi="宋体" w:cs="宋体"/>
          <w:sz w:val="23"/>
          <w:szCs w:val="23"/>
        </w:rPr>
      </w:pPr>
      <w:r>
        <w:rPr>
          <w:rFonts w:ascii="宋体" w:eastAsia="宋体" w:hAnsi="宋体" w:cs="宋体"/>
          <w:spacing w:val="-15"/>
          <w:sz w:val="23"/>
          <w:szCs w:val="23"/>
        </w:rPr>
        <w:t>蛋中维生素含量较高，且品种较为完全，包括所有的B</w:t>
      </w:r>
      <w:r>
        <w:rPr>
          <w:rFonts w:ascii="宋体" w:eastAsia="宋体" w:hAnsi="宋体" w:cs="宋体"/>
          <w:spacing w:val="-31"/>
          <w:sz w:val="23"/>
          <w:szCs w:val="23"/>
        </w:rPr>
        <w:t xml:space="preserve"> </w:t>
      </w:r>
      <w:r>
        <w:rPr>
          <w:rFonts w:ascii="宋体" w:eastAsia="宋体" w:hAnsi="宋体" w:cs="宋体"/>
          <w:spacing w:val="-15"/>
          <w:sz w:val="23"/>
          <w:szCs w:val="23"/>
        </w:rPr>
        <w:t>族维生素、维生素</w:t>
      </w:r>
      <w:r>
        <w:rPr>
          <w:rFonts w:ascii="宋体" w:eastAsia="宋体" w:hAnsi="宋体" w:cs="宋体"/>
          <w:sz w:val="23"/>
          <w:szCs w:val="23"/>
        </w:rPr>
        <w:t xml:space="preserve"> </w:t>
      </w:r>
      <w:r>
        <w:rPr>
          <w:rFonts w:ascii="宋体" w:eastAsia="宋体" w:hAnsi="宋体" w:cs="宋体"/>
          <w:spacing w:val="-14"/>
          <w:sz w:val="23"/>
          <w:szCs w:val="23"/>
        </w:rPr>
        <w:t>A、维生素D、</w:t>
      </w:r>
      <w:r>
        <w:rPr>
          <w:rFonts w:ascii="宋体" w:eastAsia="宋体" w:hAnsi="宋体" w:cs="宋体"/>
          <w:spacing w:val="-55"/>
          <w:sz w:val="23"/>
          <w:szCs w:val="23"/>
        </w:rPr>
        <w:t xml:space="preserve"> </w:t>
      </w:r>
      <w:r>
        <w:rPr>
          <w:rFonts w:ascii="宋体" w:eastAsia="宋体" w:hAnsi="宋体" w:cs="宋体"/>
          <w:spacing w:val="-14"/>
          <w:sz w:val="23"/>
          <w:szCs w:val="23"/>
        </w:rPr>
        <w:t>维生素E、</w:t>
      </w:r>
      <w:r>
        <w:rPr>
          <w:rFonts w:ascii="宋体" w:eastAsia="宋体" w:hAnsi="宋体" w:cs="宋体"/>
          <w:spacing w:val="-68"/>
          <w:sz w:val="23"/>
          <w:szCs w:val="23"/>
        </w:rPr>
        <w:t xml:space="preserve"> </w:t>
      </w:r>
      <w:r>
        <w:rPr>
          <w:rFonts w:ascii="宋体" w:eastAsia="宋体" w:hAnsi="宋体" w:cs="宋体"/>
          <w:spacing w:val="-14"/>
          <w:sz w:val="23"/>
          <w:szCs w:val="23"/>
        </w:rPr>
        <w:t>维生素K</w:t>
      </w:r>
      <w:r>
        <w:rPr>
          <w:rFonts w:ascii="宋体" w:eastAsia="宋体" w:hAnsi="宋体" w:cs="宋体"/>
          <w:spacing w:val="-15"/>
          <w:sz w:val="23"/>
          <w:szCs w:val="23"/>
        </w:rPr>
        <w:t xml:space="preserve"> </w:t>
      </w:r>
      <w:r>
        <w:rPr>
          <w:rFonts w:ascii="宋体" w:eastAsia="宋体" w:hAnsi="宋体" w:cs="宋体"/>
          <w:spacing w:val="-14"/>
          <w:sz w:val="23"/>
          <w:szCs w:val="23"/>
        </w:rPr>
        <w:t>和微量的维生素C。</w:t>
      </w:r>
      <w:r>
        <w:rPr>
          <w:rFonts w:ascii="宋体" w:eastAsia="宋体" w:hAnsi="宋体" w:cs="宋体"/>
          <w:spacing w:val="-68"/>
          <w:sz w:val="23"/>
          <w:szCs w:val="23"/>
        </w:rPr>
        <w:t xml:space="preserve"> </w:t>
      </w:r>
      <w:r>
        <w:rPr>
          <w:rFonts w:ascii="宋体" w:eastAsia="宋体" w:hAnsi="宋体" w:cs="宋体"/>
          <w:spacing w:val="-14"/>
          <w:sz w:val="23"/>
          <w:szCs w:val="23"/>
        </w:rPr>
        <w:t>其中维生素</w:t>
      </w:r>
      <w:r>
        <w:rPr>
          <w:rFonts w:ascii="宋体" w:eastAsia="宋体" w:hAnsi="宋体" w:cs="宋体"/>
          <w:spacing w:val="-55"/>
          <w:sz w:val="23"/>
          <w:szCs w:val="23"/>
        </w:rPr>
        <w:t xml:space="preserve"> </w:t>
      </w:r>
      <w:r>
        <w:rPr>
          <w:rFonts w:ascii="宋体" w:eastAsia="宋体" w:hAnsi="宋体" w:cs="宋体"/>
          <w:spacing w:val="-14"/>
          <w:sz w:val="23"/>
          <w:szCs w:val="23"/>
        </w:rPr>
        <w:t>A、</w:t>
      </w:r>
      <w:r>
        <w:rPr>
          <w:rFonts w:ascii="宋体" w:eastAsia="宋体" w:hAnsi="宋体" w:cs="宋体"/>
          <w:spacing w:val="-40"/>
          <w:sz w:val="23"/>
          <w:szCs w:val="23"/>
        </w:rPr>
        <w:t xml:space="preserve"> </w:t>
      </w:r>
      <w:r>
        <w:rPr>
          <w:rFonts w:ascii="宋体" w:eastAsia="宋体" w:hAnsi="宋体" w:cs="宋体"/>
          <w:spacing w:val="-14"/>
          <w:sz w:val="23"/>
          <w:szCs w:val="23"/>
        </w:rPr>
        <w:t>维生素</w:t>
      </w:r>
      <w:r>
        <w:rPr>
          <w:rFonts w:ascii="宋体" w:eastAsia="宋体" w:hAnsi="宋体" w:cs="宋体"/>
          <w:sz w:val="23"/>
          <w:szCs w:val="23"/>
        </w:rPr>
        <w:t xml:space="preserve"> </w:t>
      </w:r>
      <w:r>
        <w:rPr>
          <w:rFonts w:ascii="宋体" w:eastAsia="宋体" w:hAnsi="宋体" w:cs="宋体"/>
          <w:spacing w:val="-13"/>
          <w:sz w:val="23"/>
          <w:szCs w:val="23"/>
        </w:rPr>
        <w:t>D、维生素B</w:t>
      </w:r>
      <w:r>
        <w:rPr>
          <w:rFonts w:ascii="Calibri" w:eastAsia="Calibri" w:hAnsi="Calibri" w:cs="Calibri"/>
          <w:spacing w:val="-13"/>
          <w:sz w:val="23"/>
          <w:szCs w:val="23"/>
        </w:rPr>
        <w:t>₁</w:t>
      </w:r>
      <w:r>
        <w:rPr>
          <w:rFonts w:ascii="Calibri" w:eastAsia="Calibri" w:hAnsi="Calibri" w:cs="Calibri"/>
          <w:spacing w:val="-12"/>
          <w:sz w:val="23"/>
          <w:szCs w:val="23"/>
        </w:rPr>
        <w:t xml:space="preserve"> </w:t>
      </w:r>
      <w:r>
        <w:rPr>
          <w:rFonts w:ascii="宋体" w:eastAsia="宋体" w:hAnsi="宋体" w:cs="宋体"/>
          <w:spacing w:val="-13"/>
          <w:sz w:val="23"/>
          <w:szCs w:val="23"/>
        </w:rPr>
        <w:t>、维生素B</w:t>
      </w:r>
      <w:r>
        <w:rPr>
          <w:rFonts w:ascii="Calibri" w:eastAsia="Calibri" w:hAnsi="Calibri" w:cs="Calibri"/>
          <w:spacing w:val="-13"/>
          <w:sz w:val="23"/>
          <w:szCs w:val="23"/>
        </w:rPr>
        <w:t>₂</w:t>
      </w:r>
      <w:r>
        <w:rPr>
          <w:rFonts w:ascii="Calibri" w:eastAsia="Calibri" w:hAnsi="Calibri" w:cs="Calibri"/>
          <w:spacing w:val="-27"/>
          <w:sz w:val="23"/>
          <w:szCs w:val="23"/>
        </w:rPr>
        <w:t xml:space="preserve"> </w:t>
      </w:r>
      <w:r>
        <w:rPr>
          <w:rFonts w:ascii="宋体" w:eastAsia="宋体" w:hAnsi="宋体" w:cs="宋体"/>
          <w:spacing w:val="-13"/>
          <w:sz w:val="23"/>
          <w:szCs w:val="23"/>
        </w:rPr>
        <w:t>、维生素B、</w:t>
      </w:r>
      <w:r>
        <w:rPr>
          <w:rFonts w:ascii="宋体" w:eastAsia="宋体" w:hAnsi="宋体" w:cs="宋体"/>
          <w:spacing w:val="11"/>
          <w:sz w:val="23"/>
          <w:szCs w:val="23"/>
        </w:rPr>
        <w:t xml:space="preserve"> </w:t>
      </w:r>
      <w:r>
        <w:rPr>
          <w:rFonts w:ascii="宋体" w:eastAsia="宋体" w:hAnsi="宋体" w:cs="宋体"/>
          <w:spacing w:val="-13"/>
          <w:sz w:val="23"/>
          <w:szCs w:val="23"/>
        </w:rPr>
        <w:t>维生素B</w:t>
      </w:r>
      <w:r>
        <w:rPr>
          <w:rFonts w:ascii="Calibri" w:eastAsia="Calibri" w:hAnsi="Calibri" w:cs="Calibri"/>
          <w:spacing w:val="-13"/>
          <w:sz w:val="23"/>
          <w:szCs w:val="23"/>
        </w:rPr>
        <w:t>₂</w:t>
      </w:r>
      <w:r>
        <w:rPr>
          <w:rFonts w:ascii="Calibri" w:eastAsia="Calibri" w:hAnsi="Calibri" w:cs="Calibri"/>
          <w:spacing w:val="39"/>
          <w:w w:val="101"/>
          <w:sz w:val="23"/>
          <w:szCs w:val="23"/>
        </w:rPr>
        <w:t xml:space="preserve"> </w:t>
      </w:r>
      <w:r>
        <w:rPr>
          <w:rFonts w:ascii="宋体" w:eastAsia="宋体" w:hAnsi="宋体" w:cs="宋体"/>
          <w:spacing w:val="-13"/>
          <w:sz w:val="23"/>
          <w:szCs w:val="23"/>
        </w:rPr>
        <w:t>等较为丰富，最为突出的是维</w:t>
      </w:r>
      <w:r>
        <w:rPr>
          <w:rFonts w:ascii="宋体" w:eastAsia="宋体" w:hAnsi="宋体" w:cs="宋体"/>
          <w:sz w:val="23"/>
          <w:szCs w:val="23"/>
        </w:rPr>
        <w:t xml:space="preserve"> </w:t>
      </w:r>
      <w:r>
        <w:rPr>
          <w:rFonts w:ascii="宋体" w:eastAsia="宋体" w:hAnsi="宋体" w:cs="宋体"/>
          <w:spacing w:val="-12"/>
          <w:sz w:val="23"/>
          <w:szCs w:val="23"/>
        </w:rPr>
        <w:t>生素A</w:t>
      </w:r>
      <w:r>
        <w:rPr>
          <w:rFonts w:ascii="宋体" w:eastAsia="宋体" w:hAnsi="宋体" w:cs="宋体"/>
          <w:spacing w:val="-9"/>
          <w:sz w:val="23"/>
          <w:szCs w:val="23"/>
        </w:rPr>
        <w:t xml:space="preserve"> </w:t>
      </w:r>
      <w:r>
        <w:rPr>
          <w:rFonts w:ascii="宋体" w:eastAsia="宋体" w:hAnsi="宋体" w:cs="宋体"/>
          <w:spacing w:val="-12"/>
          <w:sz w:val="23"/>
          <w:szCs w:val="23"/>
        </w:rPr>
        <w:t>与核黄素。</w:t>
      </w:r>
      <w:r>
        <w:rPr>
          <w:rFonts w:ascii="宋体" w:eastAsia="宋体" w:hAnsi="宋体" w:cs="宋体"/>
          <w:spacing w:val="-19"/>
          <w:sz w:val="23"/>
          <w:szCs w:val="23"/>
        </w:rPr>
        <w:t xml:space="preserve"> </w:t>
      </w:r>
      <w:r>
        <w:rPr>
          <w:rFonts w:ascii="宋体" w:eastAsia="宋体" w:hAnsi="宋体" w:cs="宋体"/>
          <w:spacing w:val="-12"/>
          <w:sz w:val="23"/>
          <w:szCs w:val="23"/>
        </w:rPr>
        <w:t>一枚鸡蛋约可满足成年女子一天维生素B</w:t>
      </w:r>
      <w:r>
        <w:rPr>
          <w:rFonts w:ascii="Calibri" w:eastAsia="Calibri" w:hAnsi="Calibri" w:cs="Calibri"/>
          <w:spacing w:val="-13"/>
          <w:sz w:val="23"/>
          <w:szCs w:val="23"/>
        </w:rPr>
        <w:t>₂</w:t>
      </w:r>
      <w:r>
        <w:rPr>
          <w:rFonts w:ascii="Calibri" w:eastAsia="Calibri" w:hAnsi="Calibri" w:cs="Calibri"/>
          <w:spacing w:val="9"/>
          <w:sz w:val="23"/>
          <w:szCs w:val="23"/>
        </w:rPr>
        <w:t xml:space="preserve"> </w:t>
      </w:r>
      <w:r>
        <w:rPr>
          <w:rFonts w:ascii="宋体" w:eastAsia="宋体" w:hAnsi="宋体" w:cs="宋体"/>
          <w:spacing w:val="-13"/>
          <w:sz w:val="23"/>
          <w:szCs w:val="23"/>
        </w:rPr>
        <w:t>推荐量的13%,维</w:t>
      </w:r>
      <w:r>
        <w:rPr>
          <w:rFonts w:ascii="宋体" w:eastAsia="宋体" w:hAnsi="宋体" w:cs="宋体"/>
          <w:sz w:val="23"/>
          <w:szCs w:val="23"/>
        </w:rPr>
        <w:t xml:space="preserve"> 生素A</w:t>
      </w:r>
      <w:r>
        <w:rPr>
          <w:rFonts w:ascii="宋体" w:eastAsia="宋体" w:hAnsi="宋体" w:cs="宋体"/>
          <w:spacing w:val="-28"/>
          <w:sz w:val="23"/>
          <w:szCs w:val="23"/>
        </w:rPr>
        <w:t xml:space="preserve"> </w:t>
      </w:r>
      <w:r>
        <w:rPr>
          <w:rFonts w:ascii="宋体" w:eastAsia="宋体" w:hAnsi="宋体" w:cs="宋体"/>
          <w:sz w:val="23"/>
          <w:szCs w:val="23"/>
        </w:rPr>
        <w:t>推荐量的22%。</w:t>
      </w:r>
    </w:p>
    <w:p w:rsidR="00EA40A3" w:rsidRDefault="00E86C16">
      <w:pPr>
        <w:spacing w:before="109" w:line="230" w:lineRule="auto"/>
        <w:ind w:right="84" w:firstLine="410"/>
        <w:rPr>
          <w:rFonts w:ascii="宋体" w:eastAsia="宋体" w:hAnsi="宋体" w:cs="宋体"/>
          <w:sz w:val="23"/>
          <w:szCs w:val="23"/>
        </w:rPr>
      </w:pPr>
      <w:r>
        <w:rPr>
          <w:rFonts w:ascii="宋体" w:eastAsia="宋体" w:hAnsi="宋体" w:cs="宋体"/>
          <w:spacing w:val="-13"/>
          <w:sz w:val="23"/>
          <w:szCs w:val="23"/>
        </w:rPr>
        <w:t>绝大部分的维生素A、</w:t>
      </w:r>
      <w:r>
        <w:rPr>
          <w:rFonts w:ascii="宋体" w:eastAsia="宋体" w:hAnsi="宋体" w:cs="宋体"/>
          <w:spacing w:val="-23"/>
          <w:sz w:val="23"/>
          <w:szCs w:val="23"/>
        </w:rPr>
        <w:t xml:space="preserve"> </w:t>
      </w:r>
      <w:r>
        <w:rPr>
          <w:rFonts w:ascii="宋体" w:eastAsia="宋体" w:hAnsi="宋体" w:cs="宋体"/>
          <w:spacing w:val="-13"/>
          <w:sz w:val="23"/>
          <w:szCs w:val="23"/>
        </w:rPr>
        <w:t>维生素D、</w:t>
      </w:r>
      <w:r>
        <w:rPr>
          <w:rFonts w:ascii="宋体" w:eastAsia="宋体" w:hAnsi="宋体" w:cs="宋体"/>
          <w:spacing w:val="-59"/>
          <w:sz w:val="23"/>
          <w:szCs w:val="23"/>
        </w:rPr>
        <w:t xml:space="preserve"> </w:t>
      </w:r>
      <w:r>
        <w:rPr>
          <w:rFonts w:ascii="宋体" w:eastAsia="宋体" w:hAnsi="宋体" w:cs="宋体"/>
          <w:spacing w:val="-13"/>
          <w:sz w:val="23"/>
          <w:szCs w:val="23"/>
        </w:rPr>
        <w:t>维生素E</w:t>
      </w:r>
      <w:r>
        <w:rPr>
          <w:rFonts w:ascii="宋体" w:eastAsia="宋体" w:hAnsi="宋体" w:cs="宋体"/>
          <w:spacing w:val="-24"/>
          <w:sz w:val="23"/>
          <w:szCs w:val="23"/>
        </w:rPr>
        <w:t xml:space="preserve"> </w:t>
      </w:r>
      <w:r>
        <w:rPr>
          <w:rFonts w:ascii="宋体" w:eastAsia="宋体" w:hAnsi="宋体" w:cs="宋体"/>
          <w:spacing w:val="-13"/>
          <w:sz w:val="23"/>
          <w:szCs w:val="23"/>
        </w:rPr>
        <w:t>和大部分维生素B</w:t>
      </w:r>
      <w:r>
        <w:rPr>
          <w:rFonts w:ascii="Calibri" w:eastAsia="Calibri" w:hAnsi="Calibri" w:cs="Calibri"/>
          <w:spacing w:val="-13"/>
          <w:sz w:val="23"/>
          <w:szCs w:val="23"/>
        </w:rPr>
        <w:t>₁</w:t>
      </w:r>
      <w:r>
        <w:rPr>
          <w:rFonts w:ascii="Calibri" w:eastAsia="Calibri" w:hAnsi="Calibri" w:cs="Calibri"/>
          <w:spacing w:val="50"/>
          <w:w w:val="101"/>
          <w:sz w:val="23"/>
          <w:szCs w:val="23"/>
        </w:rPr>
        <w:t xml:space="preserve"> </w:t>
      </w:r>
      <w:r>
        <w:rPr>
          <w:rFonts w:ascii="宋体" w:eastAsia="宋体" w:hAnsi="宋体" w:cs="宋体"/>
          <w:spacing w:val="-13"/>
          <w:sz w:val="23"/>
          <w:szCs w:val="23"/>
        </w:rPr>
        <w:t>都存在于蛋</w:t>
      </w:r>
      <w:r>
        <w:rPr>
          <w:rFonts w:ascii="宋体" w:eastAsia="宋体" w:hAnsi="宋体" w:cs="宋体"/>
          <w:sz w:val="23"/>
          <w:szCs w:val="23"/>
        </w:rPr>
        <w:t xml:space="preserve"> </w:t>
      </w:r>
      <w:r>
        <w:rPr>
          <w:rFonts w:ascii="宋体" w:eastAsia="宋体" w:hAnsi="宋体" w:cs="宋体"/>
          <w:spacing w:val="-22"/>
          <w:sz w:val="23"/>
          <w:szCs w:val="23"/>
        </w:rPr>
        <w:t>黄当中。蛋中的维生素含量受到品种、季节和饲料等因素的影响而</w:t>
      </w:r>
      <w:r>
        <w:rPr>
          <w:rFonts w:ascii="宋体" w:eastAsia="宋体" w:hAnsi="宋体" w:cs="宋体"/>
          <w:spacing w:val="-23"/>
          <w:sz w:val="23"/>
          <w:szCs w:val="23"/>
        </w:rPr>
        <w:t>有所变异。</w:t>
      </w:r>
    </w:p>
    <w:p w:rsidR="00EA40A3" w:rsidRDefault="00E86C16">
      <w:pPr>
        <w:spacing w:before="35" w:line="218" w:lineRule="auto"/>
        <w:ind w:right="98" w:firstLine="410"/>
        <w:rPr>
          <w:rFonts w:ascii="宋体" w:eastAsia="宋体" w:hAnsi="宋体" w:cs="宋体"/>
          <w:sz w:val="23"/>
          <w:szCs w:val="23"/>
        </w:rPr>
      </w:pPr>
      <w:r>
        <w:rPr>
          <w:rFonts w:ascii="宋体" w:eastAsia="宋体" w:hAnsi="宋体" w:cs="宋体"/>
          <w:spacing w:val="-22"/>
          <w:sz w:val="23"/>
          <w:szCs w:val="23"/>
        </w:rPr>
        <w:t>蛋黄的颜色来自核黄素、胡萝卜素和叶黄素，其颜色深浅</w:t>
      </w:r>
      <w:r>
        <w:rPr>
          <w:rFonts w:ascii="宋体" w:eastAsia="宋体" w:hAnsi="宋体" w:cs="宋体"/>
          <w:spacing w:val="-23"/>
          <w:sz w:val="23"/>
          <w:szCs w:val="23"/>
        </w:rPr>
        <w:t>因饲料不同、类胡</w:t>
      </w:r>
      <w:r>
        <w:rPr>
          <w:rFonts w:ascii="宋体" w:eastAsia="宋体" w:hAnsi="宋体" w:cs="宋体"/>
          <w:sz w:val="23"/>
          <w:szCs w:val="23"/>
        </w:rPr>
        <w:t xml:space="preserve"> </w:t>
      </w:r>
      <w:r>
        <w:rPr>
          <w:rFonts w:ascii="宋体" w:eastAsia="宋体" w:hAnsi="宋体" w:cs="宋体"/>
          <w:spacing w:val="-26"/>
          <w:sz w:val="23"/>
          <w:szCs w:val="23"/>
        </w:rPr>
        <w:t>萝卜素类物质含量不同而异。</w:t>
      </w:r>
    </w:p>
    <w:p w:rsidR="00EA40A3" w:rsidRDefault="00E86C16">
      <w:pPr>
        <w:spacing w:before="185" w:line="221" w:lineRule="auto"/>
        <w:rPr>
          <w:rFonts w:ascii="仿宋" w:eastAsia="仿宋" w:hAnsi="仿宋" w:cs="仿宋"/>
          <w:sz w:val="23"/>
          <w:szCs w:val="23"/>
        </w:rPr>
      </w:pPr>
      <w:r>
        <w:rPr>
          <w:rFonts w:ascii="仿宋" w:eastAsia="仿宋" w:hAnsi="仿宋" w:cs="仿宋"/>
          <w:spacing w:val="5"/>
          <w:sz w:val="23"/>
          <w:szCs w:val="23"/>
        </w:rPr>
        <w:t>4.</w:t>
      </w:r>
      <w:r>
        <w:rPr>
          <w:rFonts w:ascii="仿宋" w:eastAsia="仿宋" w:hAnsi="仿宋" w:cs="仿宋"/>
          <w:spacing w:val="-38"/>
          <w:sz w:val="23"/>
          <w:szCs w:val="23"/>
        </w:rPr>
        <w:t xml:space="preserve"> </w:t>
      </w:r>
      <w:r>
        <w:rPr>
          <w:rFonts w:ascii="仿宋" w:eastAsia="仿宋" w:hAnsi="仿宋" w:cs="仿宋"/>
          <w:spacing w:val="5"/>
          <w:sz w:val="23"/>
          <w:szCs w:val="23"/>
        </w:rPr>
        <w:t>矿物质</w:t>
      </w:r>
    </w:p>
    <w:p w:rsidR="00EA40A3" w:rsidRDefault="00E86C16">
      <w:pPr>
        <w:spacing w:before="219" w:line="219" w:lineRule="auto"/>
        <w:ind w:left="410"/>
        <w:rPr>
          <w:rFonts w:ascii="宋体" w:eastAsia="宋体" w:hAnsi="宋体" w:cs="宋体"/>
          <w:sz w:val="23"/>
          <w:szCs w:val="23"/>
        </w:rPr>
      </w:pPr>
      <w:r>
        <w:rPr>
          <w:rFonts w:ascii="宋体" w:eastAsia="宋体" w:hAnsi="宋体" w:cs="宋体"/>
          <w:spacing w:val="-15"/>
          <w:sz w:val="23"/>
          <w:szCs w:val="23"/>
        </w:rPr>
        <w:t>蛋中的矿物质主要存在于蛋黄部分，蛋白部分含量较低。蛋黄中含矿物</w:t>
      </w:r>
      <w:r>
        <w:rPr>
          <w:rFonts w:ascii="宋体" w:eastAsia="宋体" w:hAnsi="宋体" w:cs="宋体"/>
          <w:spacing w:val="-16"/>
          <w:sz w:val="23"/>
          <w:szCs w:val="23"/>
        </w:rPr>
        <w:t>质</w:t>
      </w:r>
    </w:p>
    <w:p w:rsidR="00EA40A3" w:rsidRDefault="00E86C16">
      <w:pPr>
        <w:spacing w:before="32" w:line="241" w:lineRule="auto"/>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6"/>
          <w:sz w:val="18"/>
          <w:szCs w:val="18"/>
        </w:rPr>
        <w:t xml:space="preserve"> </w:t>
      </w:r>
      <w:r>
        <w:rPr>
          <w:rFonts w:ascii="宋体" w:eastAsia="宋体" w:hAnsi="宋体" w:cs="宋体"/>
          <w:spacing w:val="-27"/>
          <w:sz w:val="18"/>
          <w:szCs w:val="18"/>
        </w:rPr>
        <w:t>222</w:t>
      </w:r>
      <w:r>
        <w:rPr>
          <w:rFonts w:ascii="宋体" w:eastAsia="宋体" w:hAnsi="宋体" w:cs="宋体"/>
          <w:spacing w:val="44"/>
          <w:sz w:val="18"/>
          <w:szCs w:val="18"/>
        </w:rPr>
        <w:t xml:space="preserve"> </w:t>
      </w:r>
      <w:r>
        <w:rPr>
          <w:rFonts w:ascii="宋体" w:eastAsia="宋体" w:hAnsi="宋体" w:cs="宋体"/>
          <w:spacing w:val="-27"/>
          <w:sz w:val="18"/>
          <w:szCs w:val="18"/>
        </w:rPr>
        <w:t>·</w:t>
      </w:r>
    </w:p>
    <w:p w:rsidR="00EA40A3" w:rsidRDefault="00EA40A3">
      <w:pPr>
        <w:sectPr w:rsidR="00EA40A3">
          <w:headerReference w:type="default" r:id="rId190"/>
          <w:footerReference w:type="default" r:id="rId191"/>
          <w:pgSz w:w="9220" w:h="13360"/>
          <w:pgMar w:top="400" w:right="974" w:bottom="400" w:left="879" w:header="0" w:footer="0" w:gutter="0"/>
          <w:cols w:space="720"/>
        </w:sectPr>
      </w:pPr>
    </w:p>
    <w:p w:rsidR="00EA40A3" w:rsidRDefault="00EA40A3">
      <w:pPr>
        <w:spacing w:line="280" w:lineRule="auto"/>
      </w:pPr>
    </w:p>
    <w:p w:rsidR="00EA40A3" w:rsidRDefault="00EA40A3">
      <w:pPr>
        <w:spacing w:line="280" w:lineRule="auto"/>
      </w:pPr>
    </w:p>
    <w:p w:rsidR="00EA40A3" w:rsidRDefault="00E86C16">
      <w:pPr>
        <w:spacing w:before="61" w:line="276" w:lineRule="auto"/>
        <w:ind w:right="30"/>
        <w:rPr>
          <w:rFonts w:ascii="宋体" w:eastAsia="宋体" w:hAnsi="宋体" w:cs="宋体"/>
          <w:sz w:val="19"/>
          <w:szCs w:val="19"/>
        </w:rPr>
      </w:pPr>
      <w:r>
        <w:rPr>
          <w:rFonts w:ascii="宋体" w:eastAsia="宋体" w:hAnsi="宋体" w:cs="宋体"/>
          <w:spacing w:val="28"/>
          <w:sz w:val="19"/>
          <w:szCs w:val="19"/>
        </w:rPr>
        <w:t>1</w:t>
      </w:r>
      <w:r>
        <w:rPr>
          <w:rFonts w:ascii="宋体" w:eastAsia="宋体" w:hAnsi="宋体" w:cs="宋体"/>
          <w:spacing w:val="-49"/>
          <w:sz w:val="19"/>
          <w:szCs w:val="19"/>
        </w:rPr>
        <w:t xml:space="preserve"> </w:t>
      </w:r>
      <w:r>
        <w:rPr>
          <w:rFonts w:ascii="宋体" w:eastAsia="宋体" w:hAnsi="宋体" w:cs="宋体"/>
          <w:spacing w:val="28"/>
          <w:sz w:val="19"/>
          <w:szCs w:val="19"/>
        </w:rPr>
        <w:t>.</w:t>
      </w:r>
      <w:r>
        <w:rPr>
          <w:rFonts w:ascii="宋体" w:eastAsia="宋体" w:hAnsi="宋体" w:cs="宋体"/>
          <w:spacing w:val="-53"/>
          <w:sz w:val="19"/>
          <w:szCs w:val="19"/>
        </w:rPr>
        <w:t xml:space="preserve"> </w:t>
      </w:r>
      <w:r>
        <w:rPr>
          <w:rFonts w:ascii="宋体" w:eastAsia="宋体" w:hAnsi="宋体" w:cs="宋体"/>
          <w:spacing w:val="28"/>
          <w:sz w:val="19"/>
          <w:szCs w:val="19"/>
        </w:rPr>
        <w:t>0%～1</w:t>
      </w:r>
      <w:r>
        <w:rPr>
          <w:rFonts w:ascii="宋体" w:eastAsia="宋体" w:hAnsi="宋体" w:cs="宋体"/>
          <w:spacing w:val="-49"/>
          <w:sz w:val="19"/>
          <w:szCs w:val="19"/>
        </w:rPr>
        <w:t xml:space="preserve"> </w:t>
      </w:r>
      <w:r>
        <w:rPr>
          <w:rFonts w:ascii="宋体" w:eastAsia="宋体" w:hAnsi="宋体" w:cs="宋体"/>
          <w:spacing w:val="28"/>
          <w:sz w:val="19"/>
          <w:szCs w:val="19"/>
        </w:rPr>
        <w:t>.</w:t>
      </w:r>
      <w:r>
        <w:rPr>
          <w:rFonts w:ascii="宋体" w:eastAsia="宋体" w:hAnsi="宋体" w:cs="宋体"/>
          <w:spacing w:val="-51"/>
          <w:sz w:val="19"/>
          <w:szCs w:val="19"/>
        </w:rPr>
        <w:t xml:space="preserve"> </w:t>
      </w:r>
      <w:r>
        <w:rPr>
          <w:rFonts w:ascii="宋体" w:eastAsia="宋体" w:hAnsi="宋体" w:cs="宋体"/>
          <w:spacing w:val="28"/>
          <w:sz w:val="19"/>
          <w:szCs w:val="19"/>
        </w:rPr>
        <w:t>5%,其中磷最为丰富，占60%</w:t>
      </w:r>
      <w:r>
        <w:rPr>
          <w:rFonts w:ascii="宋体" w:eastAsia="宋体" w:hAnsi="宋体" w:cs="宋体"/>
          <w:spacing w:val="27"/>
          <w:sz w:val="19"/>
          <w:szCs w:val="19"/>
        </w:rPr>
        <w:t>以上，钙占13%左右，主要以碳酸钙</w:t>
      </w:r>
      <w:r>
        <w:rPr>
          <w:rFonts w:ascii="宋体" w:eastAsia="宋体" w:hAnsi="宋体" w:cs="宋体"/>
          <w:sz w:val="19"/>
          <w:szCs w:val="19"/>
        </w:rPr>
        <w:t xml:space="preserve"> </w:t>
      </w:r>
      <w:r>
        <w:rPr>
          <w:rFonts w:ascii="宋体" w:eastAsia="宋体" w:hAnsi="宋体" w:cs="宋体"/>
          <w:spacing w:val="11"/>
          <w:sz w:val="19"/>
          <w:szCs w:val="19"/>
        </w:rPr>
        <w:t>的形式存在于蛋壳中。</w:t>
      </w:r>
    </w:p>
    <w:p w:rsidR="00EA40A3" w:rsidRDefault="00E86C16">
      <w:pPr>
        <w:spacing w:before="75" w:line="280" w:lineRule="auto"/>
        <w:ind w:right="32" w:firstLine="309"/>
        <w:jc w:val="both"/>
        <w:rPr>
          <w:rFonts w:ascii="宋体" w:eastAsia="宋体" w:hAnsi="宋体" w:cs="宋体"/>
          <w:sz w:val="19"/>
          <w:szCs w:val="19"/>
        </w:rPr>
      </w:pPr>
      <w:r>
        <w:rPr>
          <w:rFonts w:ascii="宋体" w:eastAsia="宋体" w:hAnsi="宋体" w:cs="宋体"/>
          <w:spacing w:val="17"/>
          <w:sz w:val="19"/>
          <w:szCs w:val="19"/>
        </w:rPr>
        <w:t>蛋黄是多种微量元素的良好来源，包括铁、硫、镁、钾、钠等。蛋中所含铁</w:t>
      </w:r>
      <w:r>
        <w:rPr>
          <w:rFonts w:ascii="宋体" w:eastAsia="宋体" w:hAnsi="宋体" w:cs="宋体"/>
          <w:spacing w:val="2"/>
          <w:sz w:val="19"/>
          <w:szCs w:val="19"/>
        </w:rPr>
        <w:t xml:space="preserve">  </w:t>
      </w:r>
      <w:r>
        <w:rPr>
          <w:rFonts w:ascii="宋体" w:eastAsia="宋体" w:hAnsi="宋体" w:cs="宋体"/>
          <w:spacing w:val="17"/>
          <w:sz w:val="19"/>
          <w:szCs w:val="19"/>
        </w:rPr>
        <w:t>元素数量较高，但以非血红素铁形式存在。由于卵黄高磷蛋白</w:t>
      </w:r>
      <w:r>
        <w:rPr>
          <w:rFonts w:ascii="宋体" w:eastAsia="宋体" w:hAnsi="宋体" w:cs="宋体"/>
          <w:spacing w:val="16"/>
          <w:sz w:val="19"/>
          <w:szCs w:val="19"/>
        </w:rPr>
        <w:t>对铁的吸收具有干</w:t>
      </w:r>
      <w:r>
        <w:rPr>
          <w:rFonts w:ascii="宋体" w:eastAsia="宋体" w:hAnsi="宋体" w:cs="宋体"/>
          <w:sz w:val="19"/>
          <w:szCs w:val="19"/>
        </w:rPr>
        <w:t xml:space="preserve"> </w:t>
      </w:r>
      <w:r>
        <w:rPr>
          <w:rFonts w:ascii="宋体" w:eastAsia="宋体" w:hAnsi="宋体" w:cs="宋体"/>
          <w:spacing w:val="21"/>
          <w:sz w:val="19"/>
          <w:szCs w:val="19"/>
        </w:rPr>
        <w:t>扰作用，故而蛋黄中铁的生物利用率较低，仅为3%左右</w:t>
      </w:r>
      <w:r>
        <w:rPr>
          <w:rFonts w:ascii="宋体" w:eastAsia="宋体" w:hAnsi="宋体" w:cs="宋体"/>
          <w:spacing w:val="20"/>
          <w:sz w:val="19"/>
          <w:szCs w:val="19"/>
        </w:rPr>
        <w:t>。</w:t>
      </w:r>
    </w:p>
    <w:p w:rsidR="00EA40A3" w:rsidRDefault="00E86C16">
      <w:pPr>
        <w:spacing w:before="64" w:line="265" w:lineRule="auto"/>
        <w:ind w:right="34" w:firstLine="309"/>
        <w:jc w:val="both"/>
        <w:rPr>
          <w:rFonts w:ascii="宋体" w:eastAsia="宋体" w:hAnsi="宋体" w:cs="宋体"/>
          <w:sz w:val="19"/>
          <w:szCs w:val="19"/>
        </w:rPr>
      </w:pPr>
      <w:r>
        <w:rPr>
          <w:rFonts w:ascii="宋体" w:eastAsia="宋体" w:hAnsi="宋体" w:cs="宋体"/>
          <w:spacing w:val="18"/>
          <w:sz w:val="19"/>
          <w:szCs w:val="19"/>
        </w:rPr>
        <w:t>蛋中的矿物质含量受饲料因素影响较大。可以通过畜牧学措施生产出高碘、</w:t>
      </w:r>
      <w:r>
        <w:rPr>
          <w:rFonts w:ascii="宋体" w:eastAsia="宋体" w:hAnsi="宋体" w:cs="宋体"/>
          <w:spacing w:val="9"/>
          <w:sz w:val="19"/>
          <w:szCs w:val="19"/>
        </w:rPr>
        <w:t xml:space="preserve"> </w:t>
      </w:r>
      <w:r>
        <w:rPr>
          <w:rFonts w:ascii="宋体" w:eastAsia="宋体" w:hAnsi="宋体" w:cs="宋体"/>
          <w:spacing w:val="17"/>
          <w:sz w:val="19"/>
          <w:szCs w:val="19"/>
        </w:rPr>
        <w:t>高硒、高锌等特种鸡蛋。鹌鹑蛋的某些矿物质如铁、锌</w:t>
      </w:r>
      <w:r>
        <w:rPr>
          <w:rFonts w:ascii="宋体" w:eastAsia="宋体" w:hAnsi="宋体" w:cs="宋体"/>
          <w:spacing w:val="16"/>
          <w:sz w:val="19"/>
          <w:szCs w:val="19"/>
        </w:rPr>
        <w:t>、硒等含量略高于鸡蛋。</w:t>
      </w:r>
    </w:p>
    <w:p w:rsidR="00EA40A3" w:rsidRDefault="00E86C16">
      <w:pPr>
        <w:spacing w:before="220" w:line="221" w:lineRule="auto"/>
        <w:ind w:left="3"/>
        <w:outlineLvl w:val="6"/>
        <w:rPr>
          <w:rFonts w:ascii="黑体" w:eastAsia="黑体" w:hAnsi="黑体" w:cs="黑体"/>
          <w:sz w:val="22"/>
          <w:szCs w:val="22"/>
        </w:rPr>
      </w:pPr>
      <w:r>
        <w:rPr>
          <w:rFonts w:ascii="黑体" w:eastAsia="黑体" w:hAnsi="黑体" w:cs="黑体"/>
          <w:b/>
          <w:bCs/>
          <w:spacing w:val="8"/>
          <w:sz w:val="22"/>
          <w:szCs w:val="22"/>
        </w:rPr>
        <w:t>6.7.2</w:t>
      </w:r>
      <w:r>
        <w:rPr>
          <w:rFonts w:ascii="黑体" w:eastAsia="黑体" w:hAnsi="黑体" w:cs="黑体"/>
          <w:spacing w:val="29"/>
          <w:sz w:val="22"/>
          <w:szCs w:val="22"/>
        </w:rPr>
        <w:t xml:space="preserve">  </w:t>
      </w:r>
      <w:r>
        <w:rPr>
          <w:rFonts w:ascii="黑体" w:eastAsia="黑体" w:hAnsi="黑体" w:cs="黑体"/>
          <w:b/>
          <w:bCs/>
          <w:spacing w:val="8"/>
          <w:sz w:val="22"/>
          <w:szCs w:val="22"/>
        </w:rPr>
        <w:t>蛋类加工品的营养价值</w:t>
      </w:r>
    </w:p>
    <w:p w:rsidR="00EA40A3" w:rsidRDefault="00E86C16">
      <w:pPr>
        <w:spacing w:before="231" w:line="219" w:lineRule="auto"/>
        <w:ind w:left="309"/>
        <w:rPr>
          <w:rFonts w:ascii="宋体" w:eastAsia="宋体" w:hAnsi="宋体" w:cs="宋体"/>
          <w:sz w:val="19"/>
          <w:szCs w:val="19"/>
        </w:rPr>
      </w:pPr>
      <w:r>
        <w:rPr>
          <w:rFonts w:ascii="宋体" w:eastAsia="宋体" w:hAnsi="宋体" w:cs="宋体"/>
          <w:spacing w:val="15"/>
          <w:sz w:val="19"/>
          <w:szCs w:val="19"/>
        </w:rPr>
        <w:t>制作咸蛋对营养素的含量影响不大，但增加了钠盐的含量。</w:t>
      </w:r>
    </w:p>
    <w:p w:rsidR="00EA40A3" w:rsidRDefault="00E86C16">
      <w:pPr>
        <w:spacing w:before="83" w:line="281" w:lineRule="auto"/>
        <w:ind w:firstLine="309"/>
        <w:rPr>
          <w:rFonts w:ascii="宋体" w:eastAsia="宋体" w:hAnsi="宋体" w:cs="宋体"/>
          <w:sz w:val="19"/>
          <w:szCs w:val="19"/>
        </w:rPr>
      </w:pPr>
      <w:r>
        <w:rPr>
          <w:rFonts w:ascii="宋体" w:eastAsia="宋体" w:hAnsi="宋体" w:cs="宋体"/>
          <w:spacing w:val="20"/>
          <w:sz w:val="19"/>
          <w:szCs w:val="19"/>
        </w:rPr>
        <w:t>制作松花蛋使维生素</w:t>
      </w:r>
      <w:r>
        <w:rPr>
          <w:rFonts w:ascii="宋体" w:eastAsia="宋体" w:hAnsi="宋体" w:cs="宋体"/>
          <w:spacing w:val="-54"/>
          <w:sz w:val="19"/>
          <w:szCs w:val="19"/>
        </w:rPr>
        <w:t xml:space="preserve"> </w:t>
      </w:r>
      <w:r>
        <w:rPr>
          <w:rFonts w:ascii="宋体" w:eastAsia="宋体" w:hAnsi="宋体" w:cs="宋体"/>
          <w:spacing w:val="20"/>
          <w:sz w:val="19"/>
          <w:szCs w:val="19"/>
        </w:rPr>
        <w:t>B,</w:t>
      </w:r>
      <w:r>
        <w:rPr>
          <w:rFonts w:ascii="宋体" w:eastAsia="宋体" w:hAnsi="宋体" w:cs="宋体"/>
          <w:spacing w:val="-32"/>
          <w:sz w:val="19"/>
          <w:szCs w:val="19"/>
        </w:rPr>
        <w:t xml:space="preserve"> </w:t>
      </w:r>
      <w:r>
        <w:rPr>
          <w:rFonts w:ascii="宋体" w:eastAsia="宋体" w:hAnsi="宋体" w:cs="宋体"/>
          <w:spacing w:val="20"/>
          <w:sz w:val="19"/>
          <w:szCs w:val="19"/>
        </w:rPr>
        <w:t>受到一定程度的破坏，因为松花蛋的加工中需要加</w:t>
      </w:r>
      <w:r>
        <w:rPr>
          <w:rFonts w:ascii="宋体" w:eastAsia="宋体" w:hAnsi="宋体" w:cs="宋体"/>
          <w:sz w:val="19"/>
          <w:szCs w:val="19"/>
        </w:rPr>
        <w:t xml:space="preserve">  </w:t>
      </w:r>
      <w:r>
        <w:rPr>
          <w:rFonts w:ascii="宋体" w:eastAsia="宋体" w:hAnsi="宋体" w:cs="宋体"/>
          <w:spacing w:val="17"/>
          <w:sz w:val="19"/>
          <w:szCs w:val="19"/>
        </w:rPr>
        <w:t>入氢氧化钠等碱性物质，而且传统的松花蛋腌制中加入黄丹粉，即氧化</w:t>
      </w:r>
      <w:r>
        <w:rPr>
          <w:rFonts w:ascii="宋体" w:eastAsia="宋体" w:hAnsi="宋体" w:cs="宋体"/>
          <w:spacing w:val="16"/>
          <w:sz w:val="19"/>
          <w:szCs w:val="19"/>
        </w:rPr>
        <w:t>铅，使产</w:t>
      </w:r>
      <w:r>
        <w:rPr>
          <w:rFonts w:ascii="宋体" w:eastAsia="宋体" w:hAnsi="宋体" w:cs="宋体"/>
          <w:sz w:val="19"/>
          <w:szCs w:val="19"/>
        </w:rPr>
        <w:t xml:space="preserve"> </w:t>
      </w:r>
      <w:r>
        <w:rPr>
          <w:rFonts w:ascii="宋体" w:eastAsia="宋体" w:hAnsi="宋体" w:cs="宋体"/>
          <w:spacing w:val="18"/>
          <w:sz w:val="19"/>
          <w:szCs w:val="19"/>
        </w:rPr>
        <w:t>品的铅含量提高。目前已有多种“无铅皮蛋”问世，用</w:t>
      </w:r>
      <w:r>
        <w:rPr>
          <w:rFonts w:ascii="宋体" w:eastAsia="宋体" w:hAnsi="宋体" w:cs="宋体"/>
          <w:spacing w:val="17"/>
          <w:sz w:val="19"/>
          <w:szCs w:val="19"/>
        </w:rPr>
        <w:t>铜或锌盐代替氧化铅，使</w:t>
      </w:r>
      <w:r>
        <w:rPr>
          <w:rFonts w:ascii="宋体" w:eastAsia="宋体" w:hAnsi="宋体" w:cs="宋体"/>
          <w:sz w:val="19"/>
          <w:szCs w:val="19"/>
        </w:rPr>
        <w:t xml:space="preserve"> </w:t>
      </w:r>
      <w:r>
        <w:rPr>
          <w:rFonts w:ascii="宋体" w:eastAsia="宋体" w:hAnsi="宋体" w:cs="宋体"/>
          <w:spacing w:val="12"/>
          <w:sz w:val="19"/>
          <w:szCs w:val="19"/>
        </w:rPr>
        <w:t>得这些微量元素含量相应上升。</w:t>
      </w:r>
    </w:p>
    <w:p w:rsidR="00EA40A3" w:rsidRDefault="00E86C16">
      <w:pPr>
        <w:spacing w:before="95" w:line="260" w:lineRule="auto"/>
        <w:ind w:right="120" w:firstLine="309"/>
        <w:rPr>
          <w:rFonts w:ascii="宋体" w:eastAsia="宋体" w:hAnsi="宋体" w:cs="宋体"/>
          <w:sz w:val="19"/>
          <w:szCs w:val="19"/>
        </w:rPr>
      </w:pPr>
      <w:r>
        <w:rPr>
          <w:rFonts w:ascii="宋体" w:eastAsia="宋体" w:hAnsi="宋体" w:cs="宋体"/>
          <w:spacing w:val="14"/>
          <w:sz w:val="19"/>
          <w:szCs w:val="19"/>
        </w:rPr>
        <w:t>制作蛋粉对蛋白质的利用率无影响，</w:t>
      </w:r>
      <w:r>
        <w:rPr>
          <w:rFonts w:ascii="宋体" w:eastAsia="宋体" w:hAnsi="宋体" w:cs="宋体"/>
          <w:spacing w:val="17"/>
          <w:sz w:val="19"/>
          <w:szCs w:val="19"/>
        </w:rPr>
        <w:t xml:space="preserve"> </w:t>
      </w:r>
      <w:r>
        <w:rPr>
          <w:rFonts w:ascii="宋体" w:eastAsia="宋体" w:hAnsi="宋体" w:cs="宋体"/>
          <w:spacing w:val="14"/>
          <w:sz w:val="19"/>
          <w:szCs w:val="19"/>
        </w:rPr>
        <w:t>B</w:t>
      </w:r>
      <w:r>
        <w:rPr>
          <w:rFonts w:ascii="宋体" w:eastAsia="宋体" w:hAnsi="宋体" w:cs="宋体"/>
          <w:spacing w:val="-7"/>
          <w:sz w:val="19"/>
          <w:szCs w:val="19"/>
        </w:rPr>
        <w:t xml:space="preserve"> </w:t>
      </w:r>
      <w:r>
        <w:rPr>
          <w:rFonts w:ascii="宋体" w:eastAsia="宋体" w:hAnsi="宋体" w:cs="宋体"/>
          <w:spacing w:val="14"/>
          <w:sz w:val="19"/>
          <w:szCs w:val="19"/>
        </w:rPr>
        <w:t>族维生素维生素有少量损失，但维生</w:t>
      </w:r>
      <w:r>
        <w:rPr>
          <w:rFonts w:ascii="宋体" w:eastAsia="宋体" w:hAnsi="宋体" w:cs="宋体"/>
          <w:sz w:val="19"/>
          <w:szCs w:val="19"/>
        </w:rPr>
        <w:t xml:space="preserve"> </w:t>
      </w:r>
      <w:r>
        <w:rPr>
          <w:rFonts w:ascii="宋体" w:eastAsia="宋体" w:hAnsi="宋体" w:cs="宋体"/>
          <w:spacing w:val="5"/>
          <w:sz w:val="19"/>
          <w:szCs w:val="19"/>
        </w:rPr>
        <w:t>素</w:t>
      </w:r>
      <w:r>
        <w:rPr>
          <w:rFonts w:ascii="宋体" w:eastAsia="宋体" w:hAnsi="宋体" w:cs="宋体"/>
          <w:spacing w:val="-8"/>
          <w:sz w:val="19"/>
          <w:szCs w:val="19"/>
        </w:rPr>
        <w:t xml:space="preserve"> </w:t>
      </w:r>
      <w:r>
        <w:rPr>
          <w:rFonts w:ascii="宋体" w:eastAsia="宋体" w:hAnsi="宋体" w:cs="宋体"/>
          <w:spacing w:val="5"/>
          <w:sz w:val="19"/>
          <w:szCs w:val="19"/>
        </w:rPr>
        <w:t>A、</w:t>
      </w:r>
      <w:r>
        <w:rPr>
          <w:rFonts w:ascii="宋体" w:eastAsia="宋体" w:hAnsi="宋体" w:cs="宋体"/>
          <w:spacing w:val="22"/>
          <w:sz w:val="19"/>
          <w:szCs w:val="19"/>
        </w:rPr>
        <w:t xml:space="preserve"> </w:t>
      </w:r>
      <w:r>
        <w:rPr>
          <w:rFonts w:ascii="宋体" w:eastAsia="宋体" w:hAnsi="宋体" w:cs="宋体"/>
          <w:spacing w:val="5"/>
          <w:sz w:val="19"/>
          <w:szCs w:val="19"/>
        </w:rPr>
        <w:t>维生素</w:t>
      </w:r>
      <w:r>
        <w:rPr>
          <w:rFonts w:ascii="宋体" w:eastAsia="宋体" w:hAnsi="宋体" w:cs="宋体"/>
          <w:spacing w:val="-54"/>
          <w:sz w:val="19"/>
          <w:szCs w:val="19"/>
        </w:rPr>
        <w:t xml:space="preserve"> </w:t>
      </w:r>
      <w:r>
        <w:rPr>
          <w:rFonts w:ascii="宋体" w:eastAsia="宋体" w:hAnsi="宋体" w:cs="宋体"/>
          <w:spacing w:val="5"/>
          <w:sz w:val="19"/>
          <w:szCs w:val="19"/>
        </w:rPr>
        <w:t>D</w:t>
      </w:r>
      <w:r>
        <w:rPr>
          <w:rFonts w:ascii="宋体" w:eastAsia="宋体" w:hAnsi="宋体" w:cs="宋体"/>
          <w:spacing w:val="3"/>
          <w:sz w:val="19"/>
          <w:szCs w:val="19"/>
        </w:rPr>
        <w:t xml:space="preserve"> </w:t>
      </w:r>
      <w:r>
        <w:rPr>
          <w:rFonts w:ascii="宋体" w:eastAsia="宋体" w:hAnsi="宋体" w:cs="宋体"/>
          <w:spacing w:val="5"/>
          <w:sz w:val="19"/>
          <w:szCs w:val="19"/>
        </w:rPr>
        <w:t>含量不受影响。</w:t>
      </w:r>
    </w:p>
    <w:p w:rsidR="00EA40A3" w:rsidRDefault="00E86C16">
      <w:pPr>
        <w:spacing w:before="251" w:line="222" w:lineRule="auto"/>
        <w:ind w:left="3142"/>
        <w:rPr>
          <w:rFonts w:ascii="黑体" w:eastAsia="黑体" w:hAnsi="黑体" w:cs="黑体"/>
          <w:sz w:val="19"/>
          <w:szCs w:val="19"/>
        </w:rPr>
      </w:pPr>
      <w:r>
        <w:rPr>
          <w:rFonts w:ascii="黑体" w:eastAsia="黑体" w:hAnsi="黑体" w:cs="黑体"/>
          <w:b/>
          <w:bCs/>
          <w:spacing w:val="-7"/>
          <w:sz w:val="19"/>
          <w:szCs w:val="19"/>
        </w:rPr>
        <w:t>思</w:t>
      </w:r>
      <w:r>
        <w:rPr>
          <w:rFonts w:ascii="黑体" w:eastAsia="黑体" w:hAnsi="黑体" w:cs="黑体"/>
          <w:spacing w:val="8"/>
          <w:sz w:val="19"/>
          <w:szCs w:val="19"/>
        </w:rPr>
        <w:t xml:space="preserve">  </w:t>
      </w:r>
      <w:r>
        <w:rPr>
          <w:rFonts w:ascii="黑体" w:eastAsia="黑体" w:hAnsi="黑体" w:cs="黑体"/>
          <w:b/>
          <w:bCs/>
          <w:spacing w:val="-7"/>
          <w:sz w:val="19"/>
          <w:szCs w:val="19"/>
        </w:rPr>
        <w:t>考</w:t>
      </w:r>
      <w:r>
        <w:rPr>
          <w:rFonts w:ascii="黑体" w:eastAsia="黑体" w:hAnsi="黑体" w:cs="黑体"/>
          <w:spacing w:val="19"/>
          <w:sz w:val="19"/>
          <w:szCs w:val="19"/>
        </w:rPr>
        <w:t xml:space="preserve">  </w:t>
      </w:r>
      <w:r>
        <w:rPr>
          <w:rFonts w:ascii="黑体" w:eastAsia="黑体" w:hAnsi="黑体" w:cs="黑体"/>
          <w:b/>
          <w:bCs/>
          <w:spacing w:val="-7"/>
          <w:sz w:val="19"/>
          <w:szCs w:val="19"/>
        </w:rPr>
        <w:t>题</w:t>
      </w:r>
    </w:p>
    <w:p w:rsidR="00EA40A3" w:rsidRDefault="00E86C16">
      <w:pPr>
        <w:spacing w:before="215" w:line="219" w:lineRule="auto"/>
        <w:ind w:left="309"/>
        <w:rPr>
          <w:rFonts w:ascii="宋体" w:eastAsia="宋体" w:hAnsi="宋体" w:cs="宋体"/>
          <w:sz w:val="19"/>
          <w:szCs w:val="19"/>
        </w:rPr>
      </w:pPr>
      <w:r>
        <w:rPr>
          <w:rFonts w:ascii="宋体" w:eastAsia="宋体" w:hAnsi="宋体" w:cs="宋体"/>
          <w:spacing w:val="-11"/>
          <w:sz w:val="19"/>
          <w:szCs w:val="19"/>
        </w:rPr>
        <w:t>1.</w:t>
      </w:r>
      <w:r>
        <w:rPr>
          <w:rFonts w:ascii="宋体" w:eastAsia="宋体" w:hAnsi="宋体" w:cs="宋体"/>
          <w:spacing w:val="-24"/>
          <w:sz w:val="19"/>
          <w:szCs w:val="19"/>
        </w:rPr>
        <w:t xml:space="preserve"> </w:t>
      </w:r>
      <w:r>
        <w:rPr>
          <w:rFonts w:ascii="宋体" w:eastAsia="宋体" w:hAnsi="宋体" w:cs="宋体"/>
          <w:spacing w:val="-11"/>
          <w:sz w:val="19"/>
          <w:szCs w:val="19"/>
        </w:rPr>
        <w:t>为什么说没有十全十美的食物，也没有一无是</w:t>
      </w:r>
      <w:r>
        <w:rPr>
          <w:rFonts w:ascii="宋体" w:eastAsia="宋体" w:hAnsi="宋体" w:cs="宋体"/>
          <w:spacing w:val="-12"/>
          <w:sz w:val="19"/>
          <w:szCs w:val="19"/>
        </w:rPr>
        <w:t>处的食物?</w:t>
      </w:r>
    </w:p>
    <w:p w:rsidR="00EA40A3" w:rsidRDefault="00E86C16">
      <w:pPr>
        <w:spacing w:before="74" w:line="219" w:lineRule="auto"/>
        <w:ind w:left="309"/>
        <w:rPr>
          <w:rFonts w:ascii="宋体" w:eastAsia="宋体" w:hAnsi="宋体" w:cs="宋体"/>
          <w:sz w:val="19"/>
          <w:szCs w:val="19"/>
        </w:rPr>
      </w:pPr>
      <w:r>
        <w:rPr>
          <w:rFonts w:ascii="宋体" w:eastAsia="宋体" w:hAnsi="宋体" w:cs="宋体"/>
          <w:spacing w:val="-8"/>
          <w:sz w:val="19"/>
          <w:szCs w:val="19"/>
        </w:rPr>
        <w:t>2.</w:t>
      </w:r>
      <w:r>
        <w:rPr>
          <w:rFonts w:ascii="宋体" w:eastAsia="宋体" w:hAnsi="宋体" w:cs="宋体"/>
          <w:spacing w:val="-19"/>
          <w:sz w:val="19"/>
          <w:szCs w:val="19"/>
        </w:rPr>
        <w:t xml:space="preserve"> </w:t>
      </w:r>
      <w:r>
        <w:rPr>
          <w:rFonts w:ascii="宋体" w:eastAsia="宋体" w:hAnsi="宋体" w:cs="宋体"/>
          <w:spacing w:val="-8"/>
          <w:sz w:val="19"/>
          <w:szCs w:val="19"/>
        </w:rPr>
        <w:t>什么叫营养素密度?营养素生物利用率的概念有什么意义?</w:t>
      </w:r>
    </w:p>
    <w:p w:rsidR="00EA40A3" w:rsidRDefault="00E86C16">
      <w:pPr>
        <w:spacing w:before="73" w:line="218" w:lineRule="auto"/>
        <w:ind w:left="309"/>
        <w:rPr>
          <w:rFonts w:ascii="宋体" w:eastAsia="宋体" w:hAnsi="宋体" w:cs="宋体"/>
          <w:sz w:val="19"/>
          <w:szCs w:val="19"/>
        </w:rPr>
      </w:pPr>
      <w:r>
        <w:rPr>
          <w:rFonts w:ascii="宋体" w:eastAsia="宋体" w:hAnsi="宋体" w:cs="宋体"/>
          <w:spacing w:val="-12"/>
          <w:sz w:val="19"/>
          <w:szCs w:val="19"/>
        </w:rPr>
        <w:t>3、食物中的营养素含量是判断其营养价值的唯一标</w:t>
      </w:r>
      <w:r>
        <w:rPr>
          <w:rFonts w:ascii="宋体" w:eastAsia="宋体" w:hAnsi="宋体" w:cs="宋体"/>
          <w:spacing w:val="-13"/>
          <w:sz w:val="19"/>
          <w:szCs w:val="19"/>
        </w:rPr>
        <w:t>准吗?</w:t>
      </w:r>
    </w:p>
    <w:p w:rsidR="00EA40A3" w:rsidRDefault="00E86C16">
      <w:pPr>
        <w:spacing w:before="78" w:line="219" w:lineRule="auto"/>
        <w:ind w:left="309"/>
        <w:rPr>
          <w:rFonts w:ascii="宋体" w:eastAsia="宋体" w:hAnsi="宋体" w:cs="宋体"/>
          <w:sz w:val="19"/>
          <w:szCs w:val="19"/>
        </w:rPr>
      </w:pPr>
      <w:r>
        <w:rPr>
          <w:rFonts w:ascii="宋体" w:eastAsia="宋体" w:hAnsi="宋体" w:cs="宋体"/>
          <w:spacing w:val="-11"/>
          <w:sz w:val="19"/>
          <w:szCs w:val="19"/>
        </w:rPr>
        <w:t>4.</w:t>
      </w:r>
      <w:r>
        <w:rPr>
          <w:rFonts w:ascii="宋体" w:eastAsia="宋体" w:hAnsi="宋体" w:cs="宋体"/>
          <w:spacing w:val="-26"/>
          <w:sz w:val="19"/>
          <w:szCs w:val="19"/>
        </w:rPr>
        <w:t xml:space="preserve"> </w:t>
      </w:r>
      <w:r>
        <w:rPr>
          <w:rFonts w:ascii="宋体" w:eastAsia="宋体" w:hAnsi="宋体" w:cs="宋体"/>
          <w:spacing w:val="-11"/>
          <w:sz w:val="19"/>
          <w:szCs w:val="19"/>
        </w:rPr>
        <w:t>为什么说“五谷为养”?谷类在膳食中有什么意义?</w:t>
      </w:r>
    </w:p>
    <w:p w:rsidR="00EA40A3" w:rsidRDefault="00E86C16">
      <w:pPr>
        <w:spacing w:before="74" w:line="219" w:lineRule="auto"/>
        <w:ind w:left="309"/>
        <w:rPr>
          <w:rFonts w:ascii="宋体" w:eastAsia="宋体" w:hAnsi="宋体" w:cs="宋体"/>
          <w:sz w:val="19"/>
          <w:szCs w:val="19"/>
        </w:rPr>
      </w:pPr>
      <w:r>
        <w:rPr>
          <w:rFonts w:ascii="宋体" w:eastAsia="宋体" w:hAnsi="宋体" w:cs="宋体"/>
          <w:spacing w:val="-14"/>
          <w:sz w:val="19"/>
          <w:szCs w:val="19"/>
        </w:rPr>
        <w:t>5.</w:t>
      </w:r>
      <w:r>
        <w:rPr>
          <w:rFonts w:ascii="宋体" w:eastAsia="宋体" w:hAnsi="宋体" w:cs="宋体"/>
          <w:spacing w:val="-25"/>
          <w:sz w:val="19"/>
          <w:szCs w:val="19"/>
        </w:rPr>
        <w:t xml:space="preserve"> </w:t>
      </w:r>
      <w:r>
        <w:rPr>
          <w:rFonts w:ascii="宋体" w:eastAsia="宋体" w:hAnsi="宋体" w:cs="宋体"/>
          <w:spacing w:val="-14"/>
          <w:sz w:val="19"/>
          <w:szCs w:val="19"/>
        </w:rPr>
        <w:t>为什么有营养学家说“大豆是中国人五千年文明的营养支柱”?</w:t>
      </w:r>
    </w:p>
    <w:p w:rsidR="00EA40A3" w:rsidRDefault="00E86C16">
      <w:pPr>
        <w:spacing w:before="73" w:line="218" w:lineRule="auto"/>
        <w:ind w:left="309"/>
        <w:rPr>
          <w:rFonts w:ascii="宋体" w:eastAsia="宋体" w:hAnsi="宋体" w:cs="宋体"/>
          <w:sz w:val="19"/>
          <w:szCs w:val="19"/>
        </w:rPr>
      </w:pPr>
      <w:r>
        <w:rPr>
          <w:rFonts w:ascii="宋体" w:eastAsia="宋体" w:hAnsi="宋体" w:cs="宋体"/>
          <w:spacing w:val="-11"/>
          <w:sz w:val="19"/>
          <w:szCs w:val="19"/>
        </w:rPr>
        <w:t>6.</w:t>
      </w:r>
      <w:r>
        <w:rPr>
          <w:rFonts w:ascii="宋体" w:eastAsia="宋体" w:hAnsi="宋体" w:cs="宋体"/>
          <w:spacing w:val="-31"/>
          <w:sz w:val="19"/>
          <w:szCs w:val="19"/>
        </w:rPr>
        <w:t xml:space="preserve"> </w:t>
      </w:r>
      <w:r>
        <w:rPr>
          <w:rFonts w:ascii="宋体" w:eastAsia="宋体" w:hAnsi="宋体" w:cs="宋体"/>
          <w:spacing w:val="-11"/>
          <w:sz w:val="19"/>
          <w:szCs w:val="19"/>
        </w:rPr>
        <w:t>生大豆加工成为豆制品之后，营养价值上有哪些变化?</w:t>
      </w:r>
    </w:p>
    <w:p w:rsidR="00EA40A3" w:rsidRDefault="00E86C16">
      <w:pPr>
        <w:spacing w:before="76" w:line="219" w:lineRule="auto"/>
        <w:ind w:left="309"/>
        <w:rPr>
          <w:rFonts w:ascii="宋体" w:eastAsia="宋体" w:hAnsi="宋体" w:cs="宋体"/>
          <w:sz w:val="19"/>
          <w:szCs w:val="19"/>
        </w:rPr>
      </w:pPr>
      <w:r>
        <w:rPr>
          <w:rFonts w:ascii="宋体" w:eastAsia="宋体" w:hAnsi="宋体" w:cs="宋体"/>
          <w:spacing w:val="-11"/>
          <w:sz w:val="19"/>
          <w:szCs w:val="19"/>
        </w:rPr>
        <w:t>7.</w:t>
      </w:r>
      <w:r>
        <w:rPr>
          <w:rFonts w:ascii="宋体" w:eastAsia="宋体" w:hAnsi="宋体" w:cs="宋体"/>
          <w:spacing w:val="-34"/>
          <w:sz w:val="19"/>
          <w:szCs w:val="19"/>
        </w:rPr>
        <w:t xml:space="preserve"> </w:t>
      </w:r>
      <w:r>
        <w:rPr>
          <w:rFonts w:ascii="宋体" w:eastAsia="宋体" w:hAnsi="宋体" w:cs="宋体"/>
          <w:spacing w:val="-11"/>
          <w:sz w:val="19"/>
          <w:szCs w:val="19"/>
        </w:rPr>
        <w:t>为什么说经常少量食用坚果类有养生作用，过量则易造成肥</w:t>
      </w:r>
      <w:r>
        <w:rPr>
          <w:rFonts w:ascii="宋体" w:eastAsia="宋体" w:hAnsi="宋体" w:cs="宋体"/>
          <w:spacing w:val="-12"/>
          <w:sz w:val="19"/>
          <w:szCs w:val="19"/>
        </w:rPr>
        <w:t>胖?</w:t>
      </w:r>
    </w:p>
    <w:p w:rsidR="00EA40A3" w:rsidRDefault="00E86C16">
      <w:pPr>
        <w:spacing w:before="74" w:line="218" w:lineRule="auto"/>
        <w:ind w:left="309"/>
        <w:rPr>
          <w:rFonts w:ascii="宋体" w:eastAsia="宋体" w:hAnsi="宋体" w:cs="宋体"/>
          <w:sz w:val="19"/>
          <w:szCs w:val="19"/>
        </w:rPr>
      </w:pPr>
      <w:r>
        <w:rPr>
          <w:rFonts w:ascii="宋体" w:eastAsia="宋体" w:hAnsi="宋体" w:cs="宋体"/>
          <w:spacing w:val="-11"/>
          <w:sz w:val="19"/>
          <w:szCs w:val="19"/>
        </w:rPr>
        <w:t>8.</w:t>
      </w:r>
      <w:r>
        <w:rPr>
          <w:rFonts w:ascii="宋体" w:eastAsia="宋体" w:hAnsi="宋体" w:cs="宋体"/>
          <w:spacing w:val="-28"/>
          <w:sz w:val="19"/>
          <w:szCs w:val="19"/>
        </w:rPr>
        <w:t xml:space="preserve"> </w:t>
      </w:r>
      <w:r>
        <w:rPr>
          <w:rFonts w:ascii="宋体" w:eastAsia="宋体" w:hAnsi="宋体" w:cs="宋体"/>
          <w:spacing w:val="-11"/>
          <w:sz w:val="19"/>
          <w:szCs w:val="19"/>
        </w:rPr>
        <w:t>蔬菜和水果的营养价值有哪些异同?</w:t>
      </w:r>
    </w:p>
    <w:p w:rsidR="00EA40A3" w:rsidRDefault="00E86C16">
      <w:pPr>
        <w:spacing w:before="76" w:line="219" w:lineRule="auto"/>
        <w:ind w:left="309"/>
        <w:rPr>
          <w:rFonts w:ascii="宋体" w:eastAsia="宋体" w:hAnsi="宋体" w:cs="宋体"/>
          <w:sz w:val="19"/>
          <w:szCs w:val="19"/>
        </w:rPr>
      </w:pPr>
      <w:r>
        <w:rPr>
          <w:rFonts w:ascii="宋体" w:eastAsia="宋体" w:hAnsi="宋体" w:cs="宋体"/>
          <w:spacing w:val="-11"/>
          <w:sz w:val="19"/>
          <w:szCs w:val="19"/>
        </w:rPr>
        <w:t>9.</w:t>
      </w:r>
      <w:r>
        <w:rPr>
          <w:rFonts w:ascii="宋体" w:eastAsia="宋体" w:hAnsi="宋体" w:cs="宋体"/>
          <w:spacing w:val="-40"/>
          <w:sz w:val="19"/>
          <w:szCs w:val="19"/>
        </w:rPr>
        <w:t xml:space="preserve"> </w:t>
      </w:r>
      <w:r>
        <w:rPr>
          <w:rFonts w:ascii="宋体" w:eastAsia="宋体" w:hAnsi="宋体" w:cs="宋体"/>
          <w:spacing w:val="-11"/>
          <w:sz w:val="19"/>
          <w:szCs w:val="19"/>
        </w:rPr>
        <w:t>为什么儿童少年要适当地摄入肉类，不宜完全素食也不能养成肉食为主的习惯?</w:t>
      </w:r>
    </w:p>
    <w:p w:rsidR="00EA40A3" w:rsidRDefault="00E86C16">
      <w:pPr>
        <w:spacing w:before="76" w:line="219" w:lineRule="auto"/>
        <w:ind w:left="309"/>
        <w:rPr>
          <w:rFonts w:ascii="宋体" w:eastAsia="宋体" w:hAnsi="宋体" w:cs="宋体"/>
          <w:sz w:val="19"/>
          <w:szCs w:val="19"/>
        </w:rPr>
      </w:pPr>
      <w:r>
        <w:rPr>
          <w:rFonts w:ascii="宋体" w:eastAsia="宋体" w:hAnsi="宋体" w:cs="宋体"/>
          <w:spacing w:val="-9"/>
          <w:sz w:val="19"/>
          <w:szCs w:val="19"/>
        </w:rPr>
        <w:t>10.为什么说适当地“多吃鱼、少吃肉”对健康更有益处?</w:t>
      </w:r>
    </w:p>
    <w:p w:rsidR="00EA40A3" w:rsidRDefault="00E86C16">
      <w:pPr>
        <w:spacing w:before="74" w:line="219" w:lineRule="auto"/>
        <w:ind w:left="309"/>
        <w:rPr>
          <w:rFonts w:ascii="宋体" w:eastAsia="宋体" w:hAnsi="宋体" w:cs="宋体"/>
          <w:sz w:val="19"/>
          <w:szCs w:val="19"/>
        </w:rPr>
      </w:pPr>
      <w:r>
        <w:rPr>
          <w:rFonts w:ascii="宋体" w:eastAsia="宋体" w:hAnsi="宋体" w:cs="宋体"/>
          <w:spacing w:val="-11"/>
          <w:sz w:val="19"/>
          <w:szCs w:val="19"/>
        </w:rPr>
        <w:t>11.</w:t>
      </w:r>
      <w:r>
        <w:rPr>
          <w:rFonts w:ascii="宋体" w:eastAsia="宋体" w:hAnsi="宋体" w:cs="宋体"/>
          <w:spacing w:val="-41"/>
          <w:sz w:val="19"/>
          <w:szCs w:val="19"/>
        </w:rPr>
        <w:t xml:space="preserve"> </w:t>
      </w:r>
      <w:r>
        <w:rPr>
          <w:rFonts w:ascii="宋体" w:eastAsia="宋体" w:hAnsi="宋体" w:cs="宋体"/>
          <w:spacing w:val="-11"/>
          <w:sz w:val="19"/>
          <w:szCs w:val="19"/>
        </w:rPr>
        <w:t>为什么营养学家推荐儿童少年“早一杯、晚一杯”地喝牛奶?</w:t>
      </w:r>
    </w:p>
    <w:p w:rsidR="00EA40A3" w:rsidRDefault="00E86C16">
      <w:pPr>
        <w:spacing w:before="74" w:line="219" w:lineRule="auto"/>
        <w:ind w:left="309"/>
        <w:rPr>
          <w:rFonts w:ascii="宋体" w:eastAsia="宋体" w:hAnsi="宋体" w:cs="宋体"/>
          <w:sz w:val="19"/>
          <w:szCs w:val="19"/>
        </w:rPr>
      </w:pPr>
      <w:r>
        <w:rPr>
          <w:rFonts w:ascii="宋体" w:eastAsia="宋体" w:hAnsi="宋体" w:cs="宋体"/>
          <w:spacing w:val="-10"/>
          <w:sz w:val="19"/>
          <w:szCs w:val="19"/>
        </w:rPr>
        <w:t>12.</w:t>
      </w:r>
      <w:r>
        <w:rPr>
          <w:rFonts w:ascii="宋体" w:eastAsia="宋体" w:hAnsi="宋体" w:cs="宋体"/>
          <w:spacing w:val="-49"/>
          <w:sz w:val="19"/>
          <w:szCs w:val="19"/>
        </w:rPr>
        <w:t xml:space="preserve"> </w:t>
      </w:r>
      <w:r>
        <w:rPr>
          <w:rFonts w:ascii="宋体" w:eastAsia="宋体" w:hAnsi="宋体" w:cs="宋体"/>
          <w:spacing w:val="-10"/>
          <w:sz w:val="19"/>
          <w:szCs w:val="19"/>
        </w:rPr>
        <w:t>为什么说鸡蛋是补充蛋白质的最佳食品</w:t>
      </w:r>
      <w:r>
        <w:rPr>
          <w:rFonts w:ascii="宋体" w:eastAsia="宋体" w:hAnsi="宋体" w:cs="宋体"/>
          <w:spacing w:val="-11"/>
          <w:sz w:val="19"/>
          <w:szCs w:val="19"/>
        </w:rPr>
        <w:t>之一?</w:t>
      </w:r>
    </w:p>
    <w:p w:rsidR="00EA40A3" w:rsidRDefault="00E86C16">
      <w:pPr>
        <w:spacing w:before="75" w:line="219" w:lineRule="auto"/>
        <w:ind w:left="309"/>
        <w:rPr>
          <w:rFonts w:ascii="宋体" w:eastAsia="宋体" w:hAnsi="宋体" w:cs="宋体"/>
          <w:sz w:val="19"/>
          <w:szCs w:val="19"/>
        </w:rPr>
      </w:pPr>
      <w:r>
        <w:rPr>
          <w:rFonts w:ascii="宋体" w:eastAsia="宋体" w:hAnsi="宋体" w:cs="宋体"/>
          <w:spacing w:val="-10"/>
          <w:sz w:val="19"/>
          <w:szCs w:val="19"/>
        </w:rPr>
        <w:t>13.</w:t>
      </w:r>
      <w:r>
        <w:rPr>
          <w:rFonts w:ascii="宋体" w:eastAsia="宋体" w:hAnsi="宋体" w:cs="宋体"/>
          <w:spacing w:val="-49"/>
          <w:sz w:val="19"/>
          <w:szCs w:val="19"/>
        </w:rPr>
        <w:t xml:space="preserve"> </w:t>
      </w:r>
      <w:r>
        <w:rPr>
          <w:rFonts w:ascii="宋体" w:eastAsia="宋体" w:hAnsi="宋体" w:cs="宋体"/>
          <w:spacing w:val="-10"/>
          <w:sz w:val="19"/>
          <w:szCs w:val="19"/>
        </w:rPr>
        <w:t>为什么不能仅吃精制主食，还要多吃粗</w:t>
      </w:r>
      <w:r>
        <w:rPr>
          <w:rFonts w:ascii="宋体" w:eastAsia="宋体" w:hAnsi="宋体" w:cs="宋体"/>
          <w:spacing w:val="-11"/>
          <w:sz w:val="19"/>
          <w:szCs w:val="19"/>
        </w:rPr>
        <w:t>粮?</w:t>
      </w:r>
    </w:p>
    <w:p w:rsidR="00EA40A3" w:rsidRDefault="00E86C16">
      <w:pPr>
        <w:spacing w:before="76" w:line="219" w:lineRule="auto"/>
        <w:ind w:left="309"/>
        <w:rPr>
          <w:rFonts w:ascii="宋体" w:eastAsia="宋体" w:hAnsi="宋体" w:cs="宋体"/>
          <w:sz w:val="19"/>
          <w:szCs w:val="19"/>
        </w:rPr>
      </w:pPr>
      <w:r>
        <w:rPr>
          <w:rFonts w:ascii="宋体" w:eastAsia="宋体" w:hAnsi="宋体" w:cs="宋体"/>
          <w:spacing w:val="-11"/>
          <w:sz w:val="19"/>
          <w:szCs w:val="19"/>
        </w:rPr>
        <w:t>14.</w:t>
      </w:r>
      <w:r>
        <w:rPr>
          <w:rFonts w:ascii="宋体" w:eastAsia="宋体" w:hAnsi="宋体" w:cs="宋体"/>
          <w:spacing w:val="-41"/>
          <w:sz w:val="19"/>
          <w:szCs w:val="19"/>
        </w:rPr>
        <w:t xml:space="preserve"> </w:t>
      </w:r>
      <w:r>
        <w:rPr>
          <w:rFonts w:ascii="宋体" w:eastAsia="宋体" w:hAnsi="宋体" w:cs="宋体"/>
          <w:spacing w:val="-11"/>
          <w:sz w:val="19"/>
          <w:szCs w:val="19"/>
        </w:rPr>
        <w:t>为什么提倡多吃薯类作为主食的补充?</w:t>
      </w:r>
    </w:p>
    <w:p w:rsidR="00EA40A3" w:rsidRDefault="00E86C16">
      <w:pPr>
        <w:spacing w:before="74" w:line="219" w:lineRule="auto"/>
        <w:ind w:left="309"/>
        <w:rPr>
          <w:rFonts w:ascii="宋体" w:eastAsia="宋体" w:hAnsi="宋体" w:cs="宋体"/>
          <w:sz w:val="19"/>
          <w:szCs w:val="19"/>
        </w:rPr>
      </w:pPr>
      <w:r>
        <w:rPr>
          <w:rFonts w:ascii="宋体" w:eastAsia="宋体" w:hAnsi="宋体" w:cs="宋体"/>
          <w:spacing w:val="-12"/>
          <w:sz w:val="19"/>
          <w:szCs w:val="19"/>
        </w:rPr>
        <w:t>15.</w:t>
      </w:r>
      <w:r>
        <w:rPr>
          <w:rFonts w:ascii="宋体" w:eastAsia="宋体" w:hAnsi="宋体" w:cs="宋体"/>
          <w:spacing w:val="-48"/>
          <w:sz w:val="19"/>
          <w:szCs w:val="19"/>
        </w:rPr>
        <w:t xml:space="preserve"> </w:t>
      </w:r>
      <w:r>
        <w:rPr>
          <w:rFonts w:ascii="宋体" w:eastAsia="宋体" w:hAnsi="宋体" w:cs="宋体"/>
          <w:spacing w:val="-12"/>
          <w:sz w:val="19"/>
          <w:szCs w:val="19"/>
        </w:rPr>
        <w:t>深绿色叶菜有哪些营养意义?</w:t>
      </w:r>
    </w:p>
    <w:p w:rsidR="00EA40A3" w:rsidRDefault="00E86C16">
      <w:pPr>
        <w:spacing w:before="75" w:line="219" w:lineRule="auto"/>
        <w:ind w:left="309"/>
        <w:rPr>
          <w:rFonts w:ascii="宋体" w:eastAsia="宋体" w:hAnsi="宋体" w:cs="宋体"/>
          <w:sz w:val="19"/>
          <w:szCs w:val="19"/>
        </w:rPr>
      </w:pPr>
      <w:r>
        <w:rPr>
          <w:rFonts w:ascii="宋体" w:eastAsia="宋体" w:hAnsi="宋体" w:cs="宋体"/>
          <w:spacing w:val="-11"/>
          <w:sz w:val="19"/>
          <w:szCs w:val="19"/>
        </w:rPr>
        <w:t>16.</w:t>
      </w:r>
      <w:r>
        <w:rPr>
          <w:rFonts w:ascii="宋体" w:eastAsia="宋体" w:hAnsi="宋体" w:cs="宋体"/>
          <w:spacing w:val="-40"/>
          <w:sz w:val="19"/>
          <w:szCs w:val="19"/>
        </w:rPr>
        <w:t xml:space="preserve"> </w:t>
      </w:r>
      <w:r>
        <w:rPr>
          <w:rFonts w:ascii="宋体" w:eastAsia="宋体" w:hAnsi="宋体" w:cs="宋体"/>
          <w:spacing w:val="-11"/>
          <w:sz w:val="19"/>
          <w:szCs w:val="19"/>
        </w:rPr>
        <w:t>素食者应当怎样通过选择食品来预防蛋白质、钙和铁的缺乏问题?</w:t>
      </w:r>
    </w:p>
    <w:p w:rsidR="00EA40A3" w:rsidRDefault="00EA40A3">
      <w:pPr>
        <w:spacing w:line="319" w:lineRule="auto"/>
      </w:pPr>
    </w:p>
    <w:p w:rsidR="00EA40A3" w:rsidRDefault="00E86C16">
      <w:pPr>
        <w:spacing w:before="72" w:line="225" w:lineRule="auto"/>
        <w:ind w:left="4769"/>
        <w:rPr>
          <w:rFonts w:ascii="楷体" w:eastAsia="楷体" w:hAnsi="楷体" w:cs="楷体"/>
          <w:sz w:val="22"/>
          <w:szCs w:val="22"/>
        </w:rPr>
      </w:pPr>
      <w:r>
        <w:rPr>
          <w:rFonts w:ascii="楷体" w:eastAsia="楷体" w:hAnsi="楷体" w:cs="楷体"/>
          <w:spacing w:val="-12"/>
          <w:sz w:val="22"/>
          <w:szCs w:val="22"/>
        </w:rPr>
        <w:t>(本章编写人：范志红)</w:t>
      </w:r>
    </w:p>
    <w:p w:rsidR="00EA40A3" w:rsidRDefault="00E86C16">
      <w:pPr>
        <w:spacing w:before="62"/>
        <w:ind w:right="56"/>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8"/>
          <w:sz w:val="19"/>
          <w:szCs w:val="19"/>
        </w:rPr>
        <w:t xml:space="preserve"> </w:t>
      </w:r>
      <w:r>
        <w:rPr>
          <w:rFonts w:ascii="宋体" w:eastAsia="宋体" w:hAnsi="宋体" w:cs="宋体"/>
          <w:spacing w:val="-30"/>
          <w:sz w:val="19"/>
          <w:szCs w:val="19"/>
        </w:rPr>
        <w:t>223</w:t>
      </w:r>
      <w:r>
        <w:rPr>
          <w:rFonts w:ascii="宋体" w:eastAsia="宋体" w:hAnsi="宋体" w:cs="宋体"/>
          <w:spacing w:val="45"/>
          <w:sz w:val="19"/>
          <w:szCs w:val="19"/>
        </w:rPr>
        <w:t xml:space="preserve"> </w:t>
      </w:r>
      <w:r>
        <w:rPr>
          <w:rFonts w:ascii="宋体" w:eastAsia="宋体" w:hAnsi="宋体" w:cs="宋体"/>
          <w:spacing w:val="-30"/>
          <w:sz w:val="19"/>
          <w:szCs w:val="19"/>
        </w:rPr>
        <w:t>·</w:t>
      </w:r>
    </w:p>
    <w:p w:rsidR="00EA40A3" w:rsidRDefault="00EA40A3">
      <w:pPr>
        <w:sectPr w:rsidR="00EA40A3">
          <w:pgSz w:w="9220" w:h="13360"/>
          <w:pgMar w:top="400" w:right="1040" w:bottom="400" w:left="910" w:header="0" w:footer="0" w:gutter="0"/>
          <w:cols w:space="720"/>
        </w:sectPr>
      </w:pPr>
    </w:p>
    <w:p w:rsidR="00EA40A3" w:rsidRDefault="00EA40A3">
      <w:pPr>
        <w:spacing w:line="355" w:lineRule="auto"/>
      </w:pPr>
    </w:p>
    <w:p w:rsidR="00EA40A3" w:rsidRDefault="00EA40A3">
      <w:pPr>
        <w:spacing w:line="356" w:lineRule="auto"/>
      </w:pPr>
    </w:p>
    <w:p w:rsidR="00EA40A3" w:rsidRDefault="00E86C16">
      <w:pPr>
        <w:spacing w:before="68" w:line="222" w:lineRule="auto"/>
        <w:ind w:left="3122"/>
        <w:rPr>
          <w:rFonts w:ascii="黑体" w:eastAsia="黑体" w:hAnsi="黑体" w:cs="黑体"/>
        </w:rPr>
      </w:pPr>
      <w:r>
        <w:rPr>
          <w:rFonts w:ascii="黑体" w:eastAsia="黑体" w:hAnsi="黑体" w:cs="黑体"/>
          <w:b/>
          <w:bCs/>
          <w:spacing w:val="-10"/>
        </w:rPr>
        <w:t>主要参考文献</w:t>
      </w:r>
    </w:p>
    <w:p w:rsidR="00EA40A3" w:rsidRDefault="00E86C16">
      <w:pPr>
        <w:spacing w:before="219" w:line="249" w:lineRule="exact"/>
        <w:rPr>
          <w:rFonts w:ascii="宋体" w:eastAsia="宋体" w:hAnsi="宋体" w:cs="宋体"/>
          <w:sz w:val="16"/>
          <w:szCs w:val="16"/>
        </w:rPr>
      </w:pPr>
      <w:r>
        <w:rPr>
          <w:rFonts w:ascii="宋体" w:eastAsia="宋体" w:hAnsi="宋体" w:cs="宋体"/>
          <w:spacing w:val="10"/>
          <w:position w:val="6"/>
          <w:sz w:val="16"/>
          <w:szCs w:val="16"/>
        </w:rPr>
        <w:t>波特</w:t>
      </w:r>
      <w:r>
        <w:rPr>
          <w:rFonts w:ascii="宋体" w:eastAsia="宋体" w:hAnsi="宋体" w:cs="宋体"/>
          <w:position w:val="6"/>
          <w:sz w:val="16"/>
          <w:szCs w:val="16"/>
        </w:rPr>
        <w:t>N</w:t>
      </w:r>
      <w:r>
        <w:rPr>
          <w:rFonts w:ascii="宋体" w:eastAsia="宋体" w:hAnsi="宋体" w:cs="宋体"/>
          <w:spacing w:val="65"/>
          <w:position w:val="6"/>
          <w:sz w:val="16"/>
          <w:szCs w:val="16"/>
        </w:rPr>
        <w:t xml:space="preserve"> </w:t>
      </w:r>
      <w:r>
        <w:rPr>
          <w:rFonts w:ascii="宋体" w:eastAsia="宋体" w:hAnsi="宋体" w:cs="宋体"/>
          <w:position w:val="6"/>
          <w:sz w:val="16"/>
          <w:szCs w:val="16"/>
        </w:rPr>
        <w:t>N</w:t>
      </w:r>
      <w:r>
        <w:rPr>
          <w:rFonts w:ascii="宋体" w:eastAsia="宋体" w:hAnsi="宋体" w:cs="宋体"/>
          <w:spacing w:val="10"/>
          <w:position w:val="6"/>
          <w:sz w:val="16"/>
          <w:szCs w:val="16"/>
        </w:rPr>
        <w:t>等.2002.食品科学.第5版.王璋等译.北京：中国轻工业出版社</w:t>
      </w:r>
    </w:p>
    <w:p w:rsidR="00EA40A3" w:rsidRDefault="00E86C16">
      <w:pPr>
        <w:spacing w:line="217" w:lineRule="auto"/>
        <w:rPr>
          <w:rFonts w:ascii="宋体" w:eastAsia="宋体" w:hAnsi="宋体" w:cs="宋体"/>
          <w:sz w:val="16"/>
          <w:szCs w:val="16"/>
        </w:rPr>
      </w:pPr>
      <w:r>
        <w:rPr>
          <w:rFonts w:ascii="宋体" w:eastAsia="宋体" w:hAnsi="宋体" w:cs="宋体"/>
          <w:spacing w:val="3"/>
          <w:sz w:val="16"/>
          <w:szCs w:val="16"/>
        </w:rPr>
        <w:t>陈葆新等译.1989.加工食品的营养价值手册.北京：轻工业出版社</w:t>
      </w:r>
    </w:p>
    <w:p w:rsidR="00EA40A3" w:rsidRDefault="00E86C16">
      <w:pPr>
        <w:spacing w:before="61" w:line="250" w:lineRule="exact"/>
        <w:rPr>
          <w:rFonts w:ascii="宋体" w:eastAsia="宋体" w:hAnsi="宋体" w:cs="宋体"/>
          <w:sz w:val="16"/>
          <w:szCs w:val="16"/>
        </w:rPr>
      </w:pPr>
      <w:r>
        <w:rPr>
          <w:rFonts w:ascii="宋体" w:eastAsia="宋体" w:hAnsi="宋体" w:cs="宋体"/>
          <w:spacing w:val="4"/>
          <w:position w:val="6"/>
          <w:sz w:val="16"/>
          <w:szCs w:val="16"/>
        </w:rPr>
        <w:t>陈炳卿.2000.营养与食品卫生学.北京：人</w:t>
      </w:r>
      <w:r>
        <w:rPr>
          <w:rFonts w:ascii="宋体" w:eastAsia="宋体" w:hAnsi="宋体" w:cs="宋体"/>
          <w:spacing w:val="3"/>
          <w:position w:val="6"/>
          <w:sz w:val="16"/>
          <w:szCs w:val="16"/>
        </w:rPr>
        <w:t>民卫生出版社</w:t>
      </w:r>
    </w:p>
    <w:p w:rsidR="00EA40A3" w:rsidRDefault="00E86C16">
      <w:pPr>
        <w:spacing w:before="1" w:line="218" w:lineRule="auto"/>
        <w:rPr>
          <w:rFonts w:ascii="宋体" w:eastAsia="宋体" w:hAnsi="宋体" w:cs="宋体"/>
          <w:sz w:val="16"/>
          <w:szCs w:val="16"/>
        </w:rPr>
      </w:pPr>
      <w:r>
        <w:rPr>
          <w:rFonts w:ascii="宋体" w:eastAsia="宋体" w:hAnsi="宋体" w:cs="宋体"/>
          <w:spacing w:val="4"/>
          <w:sz w:val="16"/>
          <w:szCs w:val="16"/>
        </w:rPr>
        <w:t>陈仁淳.2001.营养保健食品.北京：中国轻工业出版社</w:t>
      </w:r>
    </w:p>
    <w:p w:rsidR="00EA40A3" w:rsidRDefault="00E86C16">
      <w:pPr>
        <w:spacing w:before="61" w:line="250" w:lineRule="exact"/>
        <w:rPr>
          <w:rFonts w:ascii="宋体" w:eastAsia="宋体" w:hAnsi="宋体" w:cs="宋体"/>
          <w:sz w:val="16"/>
          <w:szCs w:val="16"/>
        </w:rPr>
      </w:pPr>
      <w:r>
        <w:rPr>
          <w:rFonts w:ascii="宋体" w:eastAsia="宋体" w:hAnsi="宋体" w:cs="宋体"/>
          <w:spacing w:val="2"/>
          <w:position w:val="6"/>
          <w:sz w:val="16"/>
          <w:szCs w:val="16"/>
        </w:rPr>
        <w:t>葛可佑.2004.中国营养科学全书，食品营养卷.北京：人民卫生出版</w:t>
      </w:r>
      <w:r>
        <w:rPr>
          <w:rFonts w:ascii="宋体" w:eastAsia="宋体" w:hAnsi="宋体" w:cs="宋体"/>
          <w:spacing w:val="1"/>
          <w:position w:val="6"/>
          <w:sz w:val="16"/>
          <w:szCs w:val="16"/>
        </w:rPr>
        <w:t>社</w:t>
      </w:r>
    </w:p>
    <w:p w:rsidR="00EA40A3" w:rsidRDefault="00E86C16">
      <w:pPr>
        <w:spacing w:line="219" w:lineRule="auto"/>
        <w:rPr>
          <w:rFonts w:ascii="宋体" w:eastAsia="宋体" w:hAnsi="宋体" w:cs="宋体"/>
          <w:sz w:val="16"/>
          <w:szCs w:val="16"/>
        </w:rPr>
      </w:pPr>
      <w:r>
        <w:rPr>
          <w:rFonts w:ascii="宋体" w:eastAsia="宋体" w:hAnsi="宋体" w:cs="宋体"/>
          <w:spacing w:val="3"/>
          <w:sz w:val="16"/>
          <w:szCs w:val="16"/>
        </w:rPr>
        <w:t>顾瑞霞.2000.乳与乳制品的生理功能特性.北京：中国轻工业</w:t>
      </w:r>
      <w:r>
        <w:rPr>
          <w:rFonts w:ascii="宋体" w:eastAsia="宋体" w:hAnsi="宋体" w:cs="宋体"/>
          <w:spacing w:val="2"/>
          <w:sz w:val="16"/>
          <w:szCs w:val="16"/>
        </w:rPr>
        <w:t>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8"/>
          <w:sz w:val="16"/>
          <w:szCs w:val="16"/>
        </w:rPr>
        <w:t>何志谦.2001.人类营养学.第2版.北京：人</w:t>
      </w:r>
      <w:r>
        <w:rPr>
          <w:rFonts w:ascii="宋体" w:eastAsia="宋体" w:hAnsi="宋体" w:cs="宋体"/>
          <w:spacing w:val="7"/>
          <w:sz w:val="16"/>
          <w:szCs w:val="16"/>
        </w:rPr>
        <w:t>民卫生出版社</w:t>
      </w:r>
    </w:p>
    <w:p w:rsidR="00EA40A3" w:rsidRDefault="00E86C16">
      <w:pPr>
        <w:spacing w:before="61" w:line="219" w:lineRule="auto"/>
        <w:rPr>
          <w:rFonts w:ascii="宋体" w:eastAsia="宋体" w:hAnsi="宋体" w:cs="宋体"/>
          <w:sz w:val="16"/>
          <w:szCs w:val="16"/>
        </w:rPr>
      </w:pPr>
      <w:r>
        <w:rPr>
          <w:rFonts w:ascii="宋体" w:eastAsia="宋体" w:hAnsi="宋体" w:cs="宋体"/>
          <w:spacing w:val="4"/>
          <w:sz w:val="16"/>
          <w:szCs w:val="16"/>
        </w:rPr>
        <w:t>阚建全.2002.食品化学.北京：中国农业大学出版社</w:t>
      </w:r>
    </w:p>
    <w:p w:rsidR="00EA40A3" w:rsidRDefault="00E86C16">
      <w:pPr>
        <w:spacing w:before="59" w:line="251" w:lineRule="exact"/>
        <w:rPr>
          <w:rFonts w:ascii="宋体" w:eastAsia="宋体" w:hAnsi="宋体" w:cs="宋体"/>
          <w:sz w:val="16"/>
          <w:szCs w:val="16"/>
        </w:rPr>
      </w:pPr>
      <w:r>
        <w:rPr>
          <w:rFonts w:ascii="宋体" w:eastAsia="宋体" w:hAnsi="宋体" w:cs="宋体"/>
          <w:spacing w:val="3"/>
          <w:position w:val="6"/>
          <w:sz w:val="16"/>
          <w:szCs w:val="16"/>
        </w:rPr>
        <w:t>孔保华.1996.肉制品工艺学.哈尔滨：黑龙江科学技术出版社</w:t>
      </w:r>
    </w:p>
    <w:p w:rsidR="00EA40A3" w:rsidRDefault="00E86C16">
      <w:pPr>
        <w:spacing w:line="219" w:lineRule="auto"/>
        <w:rPr>
          <w:rFonts w:ascii="宋体" w:eastAsia="宋体" w:hAnsi="宋体" w:cs="宋体"/>
          <w:sz w:val="16"/>
          <w:szCs w:val="16"/>
        </w:rPr>
      </w:pPr>
      <w:r>
        <w:rPr>
          <w:rFonts w:ascii="宋体" w:eastAsia="宋体" w:hAnsi="宋体" w:cs="宋体"/>
          <w:spacing w:val="4"/>
          <w:sz w:val="16"/>
          <w:szCs w:val="16"/>
        </w:rPr>
        <w:t>李里特.2001.食品原料学.北京：中国农</w:t>
      </w:r>
      <w:r>
        <w:rPr>
          <w:rFonts w:ascii="宋体" w:eastAsia="宋体" w:hAnsi="宋体" w:cs="宋体"/>
          <w:spacing w:val="3"/>
          <w:sz w:val="16"/>
          <w:szCs w:val="16"/>
        </w:rPr>
        <w:t>业出版社</w:t>
      </w:r>
    </w:p>
    <w:p w:rsidR="00EA40A3" w:rsidRDefault="00E86C16">
      <w:pPr>
        <w:spacing w:before="60" w:line="250" w:lineRule="exact"/>
        <w:rPr>
          <w:rFonts w:ascii="宋体" w:eastAsia="宋体" w:hAnsi="宋体" w:cs="宋体"/>
          <w:sz w:val="16"/>
          <w:szCs w:val="16"/>
        </w:rPr>
      </w:pPr>
      <w:r>
        <w:rPr>
          <w:rFonts w:ascii="宋体" w:eastAsia="宋体" w:hAnsi="宋体" w:cs="宋体"/>
          <w:spacing w:val="3"/>
          <w:position w:val="6"/>
          <w:sz w:val="16"/>
          <w:szCs w:val="16"/>
        </w:rPr>
        <w:t>李勇.2005.营养与食品学生学.北京：北京大学医学出版社</w:t>
      </w:r>
    </w:p>
    <w:p w:rsidR="00EA40A3" w:rsidRDefault="00E86C16">
      <w:pPr>
        <w:spacing w:line="219" w:lineRule="auto"/>
        <w:rPr>
          <w:rFonts w:ascii="宋体" w:eastAsia="宋体" w:hAnsi="宋体" w:cs="宋体"/>
          <w:sz w:val="16"/>
          <w:szCs w:val="16"/>
        </w:rPr>
      </w:pPr>
      <w:r>
        <w:rPr>
          <w:rFonts w:ascii="宋体" w:eastAsia="宋体" w:hAnsi="宋体" w:cs="宋体"/>
          <w:spacing w:val="4"/>
          <w:sz w:val="16"/>
          <w:szCs w:val="16"/>
        </w:rPr>
        <w:t>余纲哲.1994.稻米化学加工储藏.北京：中国</w:t>
      </w:r>
      <w:r>
        <w:rPr>
          <w:rFonts w:ascii="宋体" w:eastAsia="宋体" w:hAnsi="宋体" w:cs="宋体"/>
          <w:spacing w:val="3"/>
          <w:sz w:val="16"/>
          <w:szCs w:val="16"/>
        </w:rPr>
        <w:t>商业出版社</w:t>
      </w:r>
    </w:p>
    <w:p w:rsidR="00EA40A3" w:rsidRDefault="00E86C16">
      <w:pPr>
        <w:spacing w:before="60" w:line="250" w:lineRule="exact"/>
        <w:rPr>
          <w:rFonts w:ascii="宋体" w:eastAsia="宋体" w:hAnsi="宋体" w:cs="宋体"/>
          <w:sz w:val="16"/>
          <w:szCs w:val="16"/>
        </w:rPr>
      </w:pPr>
      <w:r>
        <w:rPr>
          <w:rFonts w:ascii="宋体" w:eastAsia="宋体" w:hAnsi="宋体" w:cs="宋体"/>
          <w:spacing w:val="3"/>
          <w:position w:val="6"/>
          <w:sz w:val="16"/>
          <w:szCs w:val="16"/>
        </w:rPr>
        <w:t>孙远明，余群力.2001.食品营养学.北京：中国农业大学出版社</w:t>
      </w:r>
    </w:p>
    <w:p w:rsidR="00EA40A3" w:rsidRDefault="00E86C16">
      <w:pPr>
        <w:spacing w:line="219" w:lineRule="auto"/>
        <w:rPr>
          <w:rFonts w:ascii="宋体" w:eastAsia="宋体" w:hAnsi="宋体" w:cs="宋体"/>
          <w:sz w:val="16"/>
          <w:szCs w:val="16"/>
        </w:rPr>
      </w:pPr>
      <w:r>
        <w:rPr>
          <w:rFonts w:ascii="宋体" w:eastAsia="宋体" w:hAnsi="宋体" w:cs="宋体"/>
          <w:spacing w:val="3"/>
          <w:sz w:val="16"/>
          <w:szCs w:val="16"/>
        </w:rPr>
        <w:t>吴加根.1995.谷物与大豆食品工艺学.北京：中国轻工业出版社</w:t>
      </w:r>
    </w:p>
    <w:p w:rsidR="00EA40A3" w:rsidRDefault="00E86C16">
      <w:pPr>
        <w:spacing w:before="61" w:line="219" w:lineRule="auto"/>
        <w:rPr>
          <w:rFonts w:ascii="宋体" w:eastAsia="宋体" w:hAnsi="宋体" w:cs="宋体"/>
          <w:sz w:val="16"/>
          <w:szCs w:val="16"/>
        </w:rPr>
      </w:pPr>
      <w:r>
        <w:rPr>
          <w:rFonts w:ascii="宋体" w:eastAsia="宋体" w:hAnsi="宋体" w:cs="宋体"/>
          <w:spacing w:val="4"/>
          <w:sz w:val="16"/>
          <w:szCs w:val="16"/>
        </w:rPr>
        <w:t>杨月欣.2002.中国食物成分表2002.北京：北京大</w:t>
      </w:r>
      <w:r>
        <w:rPr>
          <w:rFonts w:ascii="宋体" w:eastAsia="宋体" w:hAnsi="宋体" w:cs="宋体"/>
          <w:spacing w:val="3"/>
          <w:sz w:val="16"/>
          <w:szCs w:val="16"/>
        </w:rPr>
        <w:t>学医学出版社</w:t>
      </w:r>
    </w:p>
    <w:p w:rsidR="00EA40A3" w:rsidRDefault="00E86C16">
      <w:pPr>
        <w:spacing w:before="59" w:line="250" w:lineRule="exact"/>
        <w:rPr>
          <w:rFonts w:ascii="宋体" w:eastAsia="宋体" w:hAnsi="宋体" w:cs="宋体"/>
          <w:sz w:val="16"/>
          <w:szCs w:val="16"/>
        </w:rPr>
      </w:pPr>
      <w:r>
        <w:rPr>
          <w:rFonts w:ascii="宋体" w:eastAsia="宋体" w:hAnsi="宋体" w:cs="宋体"/>
          <w:spacing w:val="2"/>
          <w:position w:val="6"/>
          <w:sz w:val="16"/>
          <w:szCs w:val="16"/>
        </w:rPr>
        <w:t>中国营养学会.1992.中国居民膳食营养参考摄入量.北京：中国轻工业出版社</w:t>
      </w:r>
    </w:p>
    <w:p w:rsidR="00EA40A3" w:rsidRDefault="00E86C16">
      <w:pPr>
        <w:spacing w:before="1" w:line="219" w:lineRule="auto"/>
        <w:rPr>
          <w:rFonts w:ascii="宋体" w:eastAsia="宋体" w:hAnsi="宋体" w:cs="宋体"/>
          <w:sz w:val="16"/>
          <w:szCs w:val="16"/>
        </w:rPr>
      </w:pPr>
      <w:r>
        <w:rPr>
          <w:rFonts w:ascii="宋体" w:eastAsia="宋体" w:hAnsi="宋体" w:cs="宋体"/>
          <w:spacing w:val="4"/>
          <w:sz w:val="16"/>
          <w:szCs w:val="16"/>
        </w:rPr>
        <w:t>周光宏.2002.畜产品加工学.北京：中国农业出版社</w:t>
      </w:r>
    </w:p>
    <w:p w:rsidR="00EA40A3" w:rsidRDefault="00E86C16">
      <w:pPr>
        <w:spacing w:before="59" w:line="219" w:lineRule="auto"/>
        <w:rPr>
          <w:rFonts w:ascii="宋体" w:eastAsia="宋体" w:hAnsi="宋体" w:cs="宋体"/>
          <w:sz w:val="16"/>
          <w:szCs w:val="16"/>
        </w:rPr>
      </w:pPr>
      <w:r>
        <w:rPr>
          <w:rFonts w:ascii="宋体" w:eastAsia="宋体" w:hAnsi="宋体" w:cs="宋体"/>
          <w:spacing w:val="2"/>
          <w:sz w:val="16"/>
          <w:szCs w:val="16"/>
        </w:rPr>
        <w:t>周世英，钟丽玉.1986.粮食学与粮食化学.北京：中国商业出版社</w:t>
      </w:r>
    </w:p>
    <w:p w:rsidR="00EA40A3" w:rsidRDefault="00E86C16">
      <w:pPr>
        <w:spacing w:before="67" w:line="259" w:lineRule="auto"/>
        <w:ind w:left="109" w:right="29" w:hanging="109"/>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Bauernfeind</w:t>
      </w:r>
      <w:r>
        <w:rPr>
          <w:rFonts w:ascii="Times New Roman" w:eastAsia="Times New Roman" w:hAnsi="Times New Roman" w:cs="Times New Roman"/>
          <w:spacing w:val="50"/>
          <w:w w:val="101"/>
          <w:sz w:val="16"/>
          <w:szCs w:val="16"/>
        </w:rPr>
        <w:t xml:space="preserve"> </w:t>
      </w:r>
      <w:r>
        <w:rPr>
          <w:rFonts w:ascii="Times New Roman" w:eastAsia="Times New Roman" w:hAnsi="Times New Roman" w:cs="Times New Roman"/>
          <w:spacing w:val="-1"/>
          <w:sz w:val="16"/>
          <w:szCs w:val="16"/>
        </w:rPr>
        <w:t>J</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C,</w:t>
      </w:r>
      <w:r>
        <w:rPr>
          <w:rFonts w:ascii="Times New Roman" w:eastAsia="Times New Roman" w:hAnsi="Times New Roman" w:cs="Times New Roman"/>
          <w:spacing w:val="37"/>
          <w:w w:val="101"/>
          <w:sz w:val="16"/>
          <w:szCs w:val="16"/>
        </w:rPr>
        <w:t xml:space="preserve"> </w:t>
      </w:r>
      <w:r>
        <w:rPr>
          <w:rFonts w:ascii="Times New Roman" w:eastAsia="Times New Roman" w:hAnsi="Times New Roman" w:cs="Times New Roman"/>
          <w:spacing w:val="-1"/>
          <w:sz w:val="16"/>
          <w:szCs w:val="16"/>
        </w:rPr>
        <w:t>Lachance</w:t>
      </w:r>
      <w:r>
        <w:rPr>
          <w:rFonts w:ascii="Times New Roman" w:eastAsia="Times New Roman" w:hAnsi="Times New Roman" w:cs="Times New Roman"/>
          <w:spacing w:val="37"/>
          <w:sz w:val="16"/>
          <w:szCs w:val="16"/>
        </w:rPr>
        <w:t xml:space="preserve"> </w:t>
      </w:r>
      <w:r>
        <w:rPr>
          <w:rFonts w:ascii="Times New Roman" w:eastAsia="Times New Roman" w:hAnsi="Times New Roman" w:cs="Times New Roman"/>
          <w:spacing w:val="-1"/>
          <w:sz w:val="16"/>
          <w:szCs w:val="16"/>
        </w:rPr>
        <w:t>P</w:t>
      </w:r>
      <w:r>
        <w:rPr>
          <w:rFonts w:ascii="Times New Roman" w:eastAsia="Times New Roman" w:hAnsi="Times New Roman" w:cs="Times New Roman"/>
          <w:spacing w:val="36"/>
          <w:sz w:val="16"/>
          <w:szCs w:val="16"/>
        </w:rPr>
        <w:t xml:space="preserve"> </w:t>
      </w:r>
      <w:r>
        <w:rPr>
          <w:rFonts w:ascii="Times New Roman" w:eastAsia="Times New Roman" w:hAnsi="Times New Roman" w:cs="Times New Roman"/>
          <w:spacing w:val="-1"/>
          <w:sz w:val="16"/>
          <w:szCs w:val="16"/>
        </w:rPr>
        <w:t>A,</w:t>
      </w:r>
      <w:r>
        <w:rPr>
          <w:rFonts w:ascii="Times New Roman" w:eastAsia="Times New Roman" w:hAnsi="Times New Roman" w:cs="Times New Roman"/>
          <w:spacing w:val="37"/>
          <w:sz w:val="16"/>
          <w:szCs w:val="16"/>
        </w:rPr>
        <w:t xml:space="preserve"> </w:t>
      </w:r>
      <w:r>
        <w:rPr>
          <w:rFonts w:ascii="Times New Roman" w:eastAsia="Times New Roman" w:hAnsi="Times New Roman" w:cs="Times New Roman"/>
          <w:spacing w:val="-1"/>
          <w:sz w:val="16"/>
          <w:szCs w:val="16"/>
        </w:rPr>
        <w:t>Karmas</w:t>
      </w:r>
      <w:r>
        <w:rPr>
          <w:rFonts w:ascii="Times New Roman" w:eastAsia="Times New Roman" w:hAnsi="Times New Roman" w:cs="Times New Roman"/>
          <w:spacing w:val="37"/>
          <w:w w:val="102"/>
          <w:sz w:val="16"/>
          <w:szCs w:val="16"/>
        </w:rPr>
        <w:t xml:space="preserve"> </w:t>
      </w:r>
      <w:r>
        <w:rPr>
          <w:rFonts w:ascii="Times New Roman" w:eastAsia="Times New Roman" w:hAnsi="Times New Roman" w:cs="Times New Roman"/>
          <w:spacing w:val="-1"/>
          <w:sz w:val="16"/>
          <w:szCs w:val="16"/>
        </w:rPr>
        <w:t>E</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et</w:t>
      </w:r>
      <w:r>
        <w:rPr>
          <w:rFonts w:ascii="Times New Roman" w:eastAsia="Times New Roman" w:hAnsi="Times New Roman" w:cs="Times New Roman"/>
          <w:spacing w:val="40"/>
          <w:sz w:val="16"/>
          <w:szCs w:val="16"/>
        </w:rPr>
        <w:t xml:space="preserve"> </w:t>
      </w:r>
      <w:r>
        <w:rPr>
          <w:rFonts w:ascii="Times New Roman" w:eastAsia="Times New Roman" w:hAnsi="Times New Roman" w:cs="Times New Roman"/>
          <w:spacing w:val="-1"/>
          <w:sz w:val="16"/>
          <w:szCs w:val="16"/>
        </w:rPr>
        <w:t>al.</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1988.Nutritional</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evaluation</w:t>
      </w:r>
      <w:r>
        <w:rPr>
          <w:rFonts w:ascii="Times New Roman" w:eastAsia="Times New Roman" w:hAnsi="Times New Roman" w:cs="Times New Roman"/>
          <w:spacing w:val="41"/>
          <w:sz w:val="16"/>
          <w:szCs w:val="16"/>
        </w:rPr>
        <w:t xml:space="preserve"> </w:t>
      </w:r>
      <w:r>
        <w:rPr>
          <w:rFonts w:ascii="Times New Roman" w:eastAsia="Times New Roman" w:hAnsi="Times New Roman" w:cs="Times New Roman"/>
          <w:spacing w:val="-1"/>
          <w:sz w:val="16"/>
          <w:szCs w:val="16"/>
        </w:rPr>
        <w:t>of</w:t>
      </w:r>
      <w:r>
        <w:rPr>
          <w:rFonts w:ascii="Times New Roman" w:eastAsia="Times New Roman" w:hAnsi="Times New Roman" w:cs="Times New Roman"/>
          <w:spacing w:val="24"/>
          <w:w w:val="101"/>
          <w:sz w:val="16"/>
          <w:szCs w:val="16"/>
        </w:rPr>
        <w:t xml:space="preserve"> </w:t>
      </w:r>
      <w:r>
        <w:rPr>
          <w:rFonts w:ascii="Times New Roman" w:eastAsia="Times New Roman" w:hAnsi="Times New Roman" w:cs="Times New Roman"/>
          <w:spacing w:val="-1"/>
          <w:sz w:val="16"/>
          <w:szCs w:val="16"/>
        </w:rPr>
        <w:t>food</w:t>
      </w:r>
      <w:r>
        <w:rPr>
          <w:rFonts w:ascii="Times New Roman" w:eastAsia="Times New Roman" w:hAnsi="Times New Roman" w:cs="Times New Roman"/>
          <w:spacing w:val="33"/>
          <w:w w:val="101"/>
          <w:sz w:val="16"/>
          <w:szCs w:val="16"/>
        </w:rPr>
        <w:t xml:space="preserve"> </w:t>
      </w:r>
      <w:r>
        <w:rPr>
          <w:rFonts w:ascii="Times New Roman" w:eastAsia="Times New Roman" w:hAnsi="Times New Roman" w:cs="Times New Roman"/>
          <w:spacing w:val="-1"/>
          <w:sz w:val="16"/>
          <w:szCs w:val="16"/>
        </w:rPr>
        <w:t>processing.</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3rd</w:t>
      </w:r>
      <w:r>
        <w:rPr>
          <w:rFonts w:ascii="Times New Roman" w:eastAsia="Times New Roman" w:hAnsi="Times New Roman" w:cs="Times New Roman"/>
          <w:spacing w:val="41"/>
          <w:sz w:val="16"/>
          <w:szCs w:val="16"/>
        </w:rPr>
        <w:t xml:space="preserve"> </w:t>
      </w:r>
      <w:r>
        <w:rPr>
          <w:rFonts w:ascii="Times New Roman" w:eastAsia="Times New Roman" w:hAnsi="Times New Roman" w:cs="Times New Roman"/>
          <w:spacing w:val="-1"/>
          <w:sz w:val="16"/>
          <w:szCs w:val="16"/>
        </w:rPr>
        <w:t>edi-</w:t>
      </w:r>
      <w:r>
        <w:rPr>
          <w:rFonts w:ascii="Times New Roman" w:eastAsia="Times New Roman" w:hAnsi="Times New Roman" w:cs="Times New Roman"/>
          <w:sz w:val="16"/>
          <w:szCs w:val="16"/>
        </w:rPr>
        <w:t xml:space="preserve"> tion</w:t>
      </w:r>
      <w:r>
        <w:rPr>
          <w:rFonts w:ascii="Times New Roman" w:eastAsia="Times New Roman" w:hAnsi="Times New Roman" w:cs="Times New Roman"/>
          <w:spacing w:val="-1"/>
          <w:sz w:val="16"/>
          <w:szCs w:val="16"/>
        </w:rPr>
        <w:t>.</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New</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York</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Van</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Nostrand</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Reinhold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Company</w:t>
      </w:r>
    </w:p>
    <w:p w:rsidR="00EA40A3" w:rsidRDefault="00E86C16">
      <w:pPr>
        <w:spacing w:before="243" w:line="253" w:lineRule="auto"/>
        <w:ind w:left="109" w:right="4" w:hanging="109"/>
        <w:rPr>
          <w:rFonts w:ascii="Times New Roman" w:eastAsia="Times New Roman" w:hAnsi="Times New Roman" w:cs="Times New Roman"/>
          <w:sz w:val="16"/>
          <w:szCs w:val="16"/>
        </w:rPr>
      </w:pPr>
      <w:r>
        <w:rPr>
          <w:rFonts w:ascii="Times New Roman" w:eastAsia="Times New Roman" w:hAnsi="Times New Roman" w:cs="Times New Roman"/>
          <w:sz w:val="16"/>
          <w:szCs w:val="16"/>
        </w:rPr>
        <w:t>Bauernfeind</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J</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C</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Lachance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P</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1991.</w:t>
      </w:r>
      <w:r>
        <w:rPr>
          <w:rFonts w:ascii="Times New Roman" w:eastAsia="Times New Roman" w:hAnsi="Times New Roman" w:cs="Times New Roman"/>
          <w:sz w:val="16"/>
          <w:szCs w:val="16"/>
        </w:rPr>
        <w:t>Nutrition</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additions</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to</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food,</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nutritional,technological</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regulatory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aspects</w:t>
      </w:r>
      <w:r>
        <w:rPr>
          <w:rFonts w:ascii="Times New Roman" w:eastAsia="Times New Roman" w:hAnsi="Times New Roman" w:cs="Times New Roman"/>
          <w:spacing w:val="-1"/>
          <w:sz w:val="16"/>
          <w:szCs w:val="16"/>
        </w:rPr>
        <w:t>.</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z w:val="16"/>
          <w:szCs w:val="16"/>
        </w:rPr>
        <w:t>Food</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10"/>
          <w:sz w:val="16"/>
          <w:szCs w:val="16"/>
        </w:rPr>
        <w:t xml:space="preserve">  </w:t>
      </w:r>
      <w:r>
        <w:rPr>
          <w:rFonts w:ascii="Times New Roman" w:eastAsia="Times New Roman" w:hAnsi="Times New Roman" w:cs="Times New Roman"/>
          <w:sz w:val="16"/>
          <w:szCs w:val="16"/>
        </w:rPr>
        <w:t>Nutrition</w:t>
      </w:r>
      <w:r>
        <w:rPr>
          <w:rFonts w:ascii="Times New Roman" w:eastAsia="Times New Roman" w:hAnsi="Times New Roman" w:cs="Times New Roman"/>
          <w:spacing w:val="12"/>
          <w:w w:val="101"/>
          <w:sz w:val="16"/>
          <w:szCs w:val="16"/>
        </w:rPr>
        <w:t xml:space="preserve">  </w:t>
      </w:r>
      <w:r>
        <w:rPr>
          <w:rFonts w:ascii="Times New Roman" w:eastAsia="Times New Roman" w:hAnsi="Times New Roman" w:cs="Times New Roman"/>
          <w:sz w:val="16"/>
          <w:szCs w:val="16"/>
        </w:rPr>
        <w:t>Press</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I</w:t>
      </w:r>
      <w:r>
        <w:rPr>
          <w:rFonts w:ascii="Times New Roman" w:eastAsia="Times New Roman" w:hAnsi="Times New Roman" w:cs="Times New Roman"/>
          <w:spacing w:val="-1"/>
          <w:sz w:val="16"/>
          <w:szCs w:val="16"/>
        </w:rPr>
        <w:t>nc.</w:t>
      </w:r>
    </w:p>
    <w:p w:rsidR="00EA40A3" w:rsidRDefault="00E86C16">
      <w:pPr>
        <w:spacing w:before="102"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Belitz</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H</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D</w:t>
      </w:r>
      <w:r>
        <w:rPr>
          <w:rFonts w:ascii="Times New Roman" w:eastAsia="Times New Roman" w:hAnsi="Times New Roman" w:cs="Times New Roman"/>
          <w:spacing w:val="-1"/>
          <w:sz w:val="16"/>
          <w:szCs w:val="16"/>
        </w:rPr>
        <w:t>,</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z w:val="16"/>
          <w:szCs w:val="16"/>
        </w:rPr>
        <w:t>Grosch</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W</w:t>
      </w:r>
      <w:r>
        <w:rPr>
          <w:rFonts w:ascii="Times New Roman" w:eastAsia="Times New Roman" w:hAnsi="Times New Roman" w:cs="Times New Roman"/>
          <w:spacing w:val="-1"/>
          <w:sz w:val="16"/>
          <w:szCs w:val="16"/>
        </w:rPr>
        <w:t>.1999.</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Food</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z w:val="16"/>
          <w:szCs w:val="16"/>
        </w:rPr>
        <w:t>cher</w:t>
      </w:r>
      <w:r>
        <w:rPr>
          <w:rFonts w:ascii="Times New Roman" w:eastAsia="Times New Roman" w:hAnsi="Times New Roman" w:cs="Times New Roman"/>
          <w:spacing w:val="-1"/>
          <w:sz w:val="16"/>
          <w:szCs w:val="16"/>
        </w:rPr>
        <w:t>istry.</w:t>
      </w:r>
      <w:r>
        <w:rPr>
          <w:rFonts w:ascii="Times New Roman" w:eastAsia="Times New Roman" w:hAnsi="Times New Roman" w:cs="Times New Roman"/>
          <w:spacing w:val="5"/>
          <w:sz w:val="16"/>
          <w:szCs w:val="16"/>
        </w:rPr>
        <w:t xml:space="preserve">  </w:t>
      </w:r>
      <w:r>
        <w:rPr>
          <w:rFonts w:ascii="Times New Roman" w:eastAsia="Times New Roman" w:hAnsi="Times New Roman" w:cs="Times New Roman"/>
          <w:spacing w:val="-1"/>
          <w:sz w:val="16"/>
          <w:szCs w:val="16"/>
        </w:rPr>
        <w:t>New</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York:</w:t>
      </w:r>
      <w:r>
        <w:rPr>
          <w:rFonts w:ascii="Times New Roman" w:eastAsia="Times New Roman" w:hAnsi="Times New Roman" w:cs="Times New Roman"/>
          <w:spacing w:val="11"/>
          <w:w w:val="102"/>
          <w:sz w:val="16"/>
          <w:szCs w:val="16"/>
        </w:rPr>
        <w:t xml:space="preserve">  </w:t>
      </w:r>
      <w:r>
        <w:rPr>
          <w:rFonts w:ascii="Times New Roman" w:eastAsia="Times New Roman" w:hAnsi="Times New Roman" w:cs="Times New Roman"/>
          <w:spacing w:val="-1"/>
          <w:sz w:val="16"/>
          <w:szCs w:val="16"/>
        </w:rPr>
        <w:t>Springer-Verlag</w:t>
      </w:r>
    </w:p>
    <w:p w:rsidR="00EA40A3" w:rsidRDefault="00E86C16">
      <w:pPr>
        <w:spacing w:before="103"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Fennema</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().1996.</w:t>
      </w:r>
      <w:r>
        <w:rPr>
          <w:rFonts w:ascii="Times New Roman" w:eastAsia="Times New Roman" w:hAnsi="Times New Roman" w:cs="Times New Roman"/>
          <w:sz w:val="16"/>
          <w:szCs w:val="16"/>
        </w:rPr>
        <w:t>Food</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z w:val="16"/>
          <w:szCs w:val="16"/>
        </w:rPr>
        <w:t>chemistry</w:t>
      </w:r>
      <w:r>
        <w:rPr>
          <w:rFonts w:ascii="Times New Roman" w:eastAsia="Times New Roman" w:hAnsi="Times New Roman" w:cs="Times New Roman"/>
          <w:spacing w:val="-1"/>
          <w:sz w:val="16"/>
          <w:szCs w:val="16"/>
        </w:rPr>
        <w:t>.3</w:t>
      </w:r>
      <w:r>
        <w:rPr>
          <w:rFonts w:ascii="Times New Roman" w:eastAsia="Times New Roman" w:hAnsi="Times New Roman" w:cs="Times New Roman"/>
          <w:sz w:val="16"/>
          <w:szCs w:val="16"/>
        </w:rPr>
        <w:t>rd</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z w:val="16"/>
          <w:szCs w:val="16"/>
        </w:rPr>
        <w:t>edition</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New</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z w:val="16"/>
          <w:szCs w:val="16"/>
        </w:rPr>
        <w:t>York</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Marcel</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Dek</w:t>
      </w:r>
      <w:r>
        <w:rPr>
          <w:rFonts w:ascii="Times New Roman" w:eastAsia="Times New Roman" w:hAnsi="Times New Roman" w:cs="Times New Roman"/>
          <w:spacing w:val="-1"/>
          <w:sz w:val="16"/>
          <w:szCs w:val="16"/>
        </w:rPr>
        <w:t>ker</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Inc.</w:t>
      </w:r>
    </w:p>
    <w:p w:rsidR="00EA40A3" w:rsidRDefault="00E86C16">
      <w:pPr>
        <w:spacing w:before="103"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Smolin</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z w:val="16"/>
          <w:szCs w:val="16"/>
        </w:rPr>
        <w:t>L</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Grosvenor</w:t>
      </w:r>
      <w:r>
        <w:rPr>
          <w:rFonts w:ascii="Times New Roman" w:eastAsia="Times New Roman" w:hAnsi="Times New Roman" w:cs="Times New Roman"/>
          <w:spacing w:val="10"/>
          <w:w w:val="101"/>
          <w:sz w:val="16"/>
          <w:szCs w:val="16"/>
        </w:rPr>
        <w:t xml:space="preserve">   </w:t>
      </w:r>
      <w:r>
        <w:rPr>
          <w:rFonts w:ascii="Times New Roman" w:eastAsia="Times New Roman" w:hAnsi="Times New Roman" w:cs="Times New Roman"/>
          <w:sz w:val="16"/>
          <w:szCs w:val="16"/>
        </w:rPr>
        <w:t>M</w:t>
      </w:r>
      <w:r>
        <w:rPr>
          <w:rFonts w:ascii="Times New Roman" w:eastAsia="Times New Roman" w:hAnsi="Times New Roman" w:cs="Times New Roman"/>
          <w:spacing w:val="-1"/>
          <w:sz w:val="16"/>
          <w:szCs w:val="16"/>
        </w:rPr>
        <w:t>.</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2000.</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z w:val="16"/>
          <w:szCs w:val="16"/>
        </w:rPr>
        <w:t>Nutrition</w:t>
      </w:r>
      <w:r>
        <w:rPr>
          <w:rFonts w:ascii="Times New Roman" w:eastAsia="Times New Roman" w:hAnsi="Times New Roman" w:cs="Times New Roman"/>
          <w:spacing w:val="-1"/>
          <w:sz w:val="16"/>
          <w:szCs w:val="16"/>
        </w:rPr>
        <w:t>:</w:t>
      </w:r>
      <w:r>
        <w:rPr>
          <w:rFonts w:ascii="Times New Roman" w:eastAsia="Times New Roman" w:hAnsi="Times New Roman" w:cs="Times New Roman"/>
          <w:spacing w:val="13"/>
          <w:sz w:val="16"/>
          <w:szCs w:val="16"/>
        </w:rPr>
        <w:t xml:space="preserve">   </w:t>
      </w:r>
      <w:r>
        <w:rPr>
          <w:rFonts w:ascii="Times New Roman" w:eastAsia="Times New Roman" w:hAnsi="Times New Roman" w:cs="Times New Roman"/>
          <w:sz w:val="16"/>
          <w:szCs w:val="16"/>
        </w:rPr>
        <w:t>s</w:t>
      </w:r>
      <w:r>
        <w:rPr>
          <w:rFonts w:ascii="Times New Roman" w:eastAsia="Times New Roman" w:hAnsi="Times New Roman" w:cs="Times New Roman"/>
          <w:spacing w:val="-1"/>
          <w:sz w:val="16"/>
          <w:szCs w:val="16"/>
        </w:rPr>
        <w:t>cience</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11"/>
          <w:w w:val="102"/>
          <w:sz w:val="16"/>
          <w:szCs w:val="16"/>
        </w:rPr>
        <w:t xml:space="preserve">   </w:t>
      </w:r>
      <w:r>
        <w:rPr>
          <w:rFonts w:ascii="Times New Roman" w:eastAsia="Times New Roman" w:hAnsi="Times New Roman" w:cs="Times New Roman"/>
          <w:spacing w:val="-1"/>
          <w:sz w:val="16"/>
          <w:szCs w:val="16"/>
        </w:rPr>
        <w:t>applications.</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pacing w:val="-1"/>
          <w:sz w:val="16"/>
          <w:szCs w:val="16"/>
        </w:rPr>
        <w:t>3rd</w:t>
      </w:r>
      <w:r>
        <w:rPr>
          <w:rFonts w:ascii="Times New Roman" w:eastAsia="Times New Roman" w:hAnsi="Times New Roman" w:cs="Times New Roman"/>
          <w:spacing w:val="12"/>
          <w:sz w:val="16"/>
          <w:szCs w:val="16"/>
        </w:rPr>
        <w:t xml:space="preserve">   </w:t>
      </w:r>
      <w:r>
        <w:rPr>
          <w:rFonts w:ascii="Times New Roman" w:eastAsia="Times New Roman" w:hAnsi="Times New Roman" w:cs="Times New Roman"/>
          <w:spacing w:val="-1"/>
          <w:sz w:val="16"/>
          <w:szCs w:val="16"/>
        </w:rPr>
        <w:t>edition.</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London:Saunders</w:t>
      </w:r>
    </w:p>
    <w:p w:rsidR="00EA40A3" w:rsidRDefault="00E86C16">
      <w:pPr>
        <w:spacing w:before="103" w:line="192" w:lineRule="auto"/>
        <w:ind w:left="109"/>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College</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Publishing</w:t>
      </w:r>
    </w:p>
    <w:p w:rsidR="00EA40A3" w:rsidRDefault="00E86C16">
      <w:pPr>
        <w:spacing w:before="163" w:line="246" w:lineRule="auto"/>
        <w:ind w:left="109" w:right="22" w:hanging="109"/>
        <w:rPr>
          <w:rFonts w:ascii="Times New Roman" w:eastAsia="Times New Roman" w:hAnsi="Times New Roman" w:cs="Times New Roman"/>
          <w:sz w:val="16"/>
          <w:szCs w:val="16"/>
        </w:rPr>
      </w:pPr>
      <w:r>
        <w:rPr>
          <w:rFonts w:ascii="Times New Roman" w:eastAsia="Times New Roman" w:hAnsi="Times New Roman" w:cs="Times New Roman"/>
          <w:sz w:val="16"/>
          <w:szCs w:val="16"/>
        </w:rPr>
        <w:t>Whitncy</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z w:val="16"/>
          <w:szCs w:val="16"/>
        </w:rPr>
        <w:t>E</w:t>
      </w:r>
      <w:r>
        <w:rPr>
          <w:rFonts w:ascii="Times New Roman" w:eastAsia="Times New Roman" w:hAnsi="Times New Roman" w:cs="Times New Roman"/>
          <w:spacing w:val="-1"/>
          <w:sz w:val="16"/>
          <w:szCs w:val="16"/>
        </w:rPr>
        <w:t>,</w:t>
      </w:r>
      <w:r>
        <w:rPr>
          <w:rFonts w:ascii="Times New Roman" w:eastAsia="Times New Roman" w:hAnsi="Times New Roman" w:cs="Times New Roman"/>
          <w:spacing w:val="34"/>
          <w:w w:val="102"/>
          <w:sz w:val="16"/>
          <w:szCs w:val="16"/>
        </w:rPr>
        <w:t xml:space="preserve"> </w:t>
      </w:r>
      <w:r>
        <w:rPr>
          <w:rFonts w:ascii="Times New Roman" w:eastAsia="Times New Roman" w:hAnsi="Times New Roman" w:cs="Times New Roman"/>
          <w:sz w:val="16"/>
          <w:szCs w:val="16"/>
        </w:rPr>
        <w:t>Cataldo</w:t>
      </w:r>
      <w:r>
        <w:rPr>
          <w:rFonts w:ascii="Times New Roman" w:eastAsia="Times New Roman" w:hAnsi="Times New Roman" w:cs="Times New Roman"/>
          <w:spacing w:val="34"/>
          <w:w w:val="102"/>
          <w:sz w:val="16"/>
          <w:szCs w:val="16"/>
        </w:rPr>
        <w:t xml:space="preserve"> </w:t>
      </w:r>
      <w:r>
        <w:rPr>
          <w:rFonts w:ascii="Times New Roman" w:eastAsia="Times New Roman" w:hAnsi="Times New Roman" w:cs="Times New Roman"/>
          <w:sz w:val="16"/>
          <w:szCs w:val="16"/>
        </w:rPr>
        <w:t>C</w:t>
      </w:r>
      <w:r>
        <w:rPr>
          <w:rFonts w:ascii="Times New Roman" w:eastAsia="Times New Roman" w:hAnsi="Times New Roman" w:cs="Times New Roman"/>
          <w:spacing w:val="-1"/>
          <w:sz w:val="16"/>
          <w:szCs w:val="16"/>
        </w:rPr>
        <w:t>.</w:t>
      </w:r>
      <w:r>
        <w:rPr>
          <w:rFonts w:ascii="Times New Roman" w:eastAsia="Times New Roman" w:hAnsi="Times New Roman" w:cs="Times New Roman"/>
          <w:spacing w:val="31"/>
          <w:w w:val="102"/>
          <w:sz w:val="16"/>
          <w:szCs w:val="16"/>
        </w:rPr>
        <w:t xml:space="preserve"> </w:t>
      </w:r>
      <w:r>
        <w:rPr>
          <w:rFonts w:ascii="Times New Roman" w:eastAsia="Times New Roman" w:hAnsi="Times New Roman" w:cs="Times New Roman"/>
          <w:sz w:val="16"/>
          <w:szCs w:val="16"/>
        </w:rPr>
        <w:t>Rolfes</w:t>
      </w:r>
      <w:r>
        <w:rPr>
          <w:rFonts w:ascii="Times New Roman" w:eastAsia="Times New Roman" w:hAnsi="Times New Roman" w:cs="Times New Roman"/>
          <w:spacing w:val="39"/>
          <w:sz w:val="16"/>
          <w:szCs w:val="16"/>
        </w:rPr>
        <w:t xml:space="preserve"> </w:t>
      </w:r>
      <w:r>
        <w:rPr>
          <w:rFonts w:ascii="Times New Roman" w:eastAsia="Times New Roman" w:hAnsi="Times New Roman" w:cs="Times New Roman"/>
          <w:sz w:val="16"/>
          <w:szCs w:val="16"/>
        </w:rPr>
        <w:t>S</w:t>
      </w:r>
      <w:r>
        <w:rPr>
          <w:rFonts w:ascii="Times New Roman" w:eastAsia="Times New Roman" w:hAnsi="Times New Roman" w:cs="Times New Roman"/>
          <w:spacing w:val="-1"/>
          <w:sz w:val="16"/>
          <w:szCs w:val="16"/>
        </w:rPr>
        <w:t>.</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pacing w:val="-1"/>
          <w:sz w:val="16"/>
          <w:szCs w:val="16"/>
        </w:rPr>
        <w:t>2002.</w:t>
      </w:r>
      <w:r>
        <w:rPr>
          <w:rFonts w:ascii="Times New Roman" w:eastAsia="Times New Roman" w:hAnsi="Times New Roman" w:cs="Times New Roman"/>
          <w:sz w:val="16"/>
          <w:szCs w:val="16"/>
        </w:rPr>
        <w:t>Und</w:t>
      </w:r>
      <w:r>
        <w:rPr>
          <w:rFonts w:ascii="Times New Roman" w:eastAsia="Times New Roman" w:hAnsi="Times New Roman" w:cs="Times New Roman"/>
          <w:spacing w:val="-1"/>
          <w:sz w:val="16"/>
          <w:szCs w:val="16"/>
        </w:rPr>
        <w:t>erstanding</w:t>
      </w:r>
      <w:r>
        <w:rPr>
          <w:rFonts w:ascii="Times New Roman" w:eastAsia="Times New Roman" w:hAnsi="Times New Roman" w:cs="Times New Roman"/>
          <w:spacing w:val="30"/>
          <w:sz w:val="16"/>
          <w:szCs w:val="16"/>
        </w:rPr>
        <w:t xml:space="preserve"> </w:t>
      </w:r>
      <w:r>
        <w:rPr>
          <w:rFonts w:ascii="Times New Roman" w:eastAsia="Times New Roman" w:hAnsi="Times New Roman" w:cs="Times New Roman"/>
          <w:spacing w:val="-1"/>
          <w:sz w:val="16"/>
          <w:szCs w:val="16"/>
        </w:rPr>
        <w:t>normal</w:t>
      </w:r>
      <w:r>
        <w:rPr>
          <w:rFonts w:ascii="Times New Roman" w:eastAsia="Times New Roman" w:hAnsi="Times New Roman" w:cs="Times New Roman"/>
          <w:spacing w:val="35"/>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34"/>
          <w:w w:val="101"/>
          <w:sz w:val="16"/>
          <w:szCs w:val="16"/>
        </w:rPr>
        <w:t xml:space="preserve"> </w:t>
      </w:r>
      <w:r>
        <w:rPr>
          <w:rFonts w:ascii="Times New Roman" w:eastAsia="Times New Roman" w:hAnsi="Times New Roman" w:cs="Times New Roman"/>
          <w:spacing w:val="-1"/>
          <w:sz w:val="16"/>
          <w:szCs w:val="16"/>
        </w:rPr>
        <w:t>clinical</w:t>
      </w:r>
      <w:r>
        <w:rPr>
          <w:rFonts w:ascii="Times New Roman" w:eastAsia="Times New Roman" w:hAnsi="Times New Roman" w:cs="Times New Roman"/>
          <w:spacing w:val="30"/>
          <w:sz w:val="16"/>
          <w:szCs w:val="16"/>
        </w:rPr>
        <w:t xml:space="preserve"> </w:t>
      </w:r>
      <w:r>
        <w:rPr>
          <w:rFonts w:ascii="Times New Roman" w:eastAsia="Times New Roman" w:hAnsi="Times New Roman" w:cs="Times New Roman"/>
          <w:spacing w:val="-1"/>
          <w:sz w:val="16"/>
          <w:szCs w:val="16"/>
        </w:rPr>
        <w:t>nutrition.</w:t>
      </w:r>
      <w:r>
        <w:rPr>
          <w:rFonts w:ascii="Times New Roman" w:eastAsia="Times New Roman" w:hAnsi="Times New Roman" w:cs="Times New Roman"/>
          <w:spacing w:val="36"/>
          <w:sz w:val="16"/>
          <w:szCs w:val="16"/>
        </w:rPr>
        <w:t xml:space="preserve"> </w:t>
      </w:r>
      <w:r>
        <w:rPr>
          <w:rFonts w:ascii="Times New Roman" w:eastAsia="Times New Roman" w:hAnsi="Times New Roman" w:cs="Times New Roman"/>
          <w:spacing w:val="-1"/>
          <w:sz w:val="16"/>
          <w:szCs w:val="16"/>
        </w:rPr>
        <w:t>6th</w:t>
      </w:r>
      <w:r>
        <w:rPr>
          <w:rFonts w:ascii="Times New Roman" w:eastAsia="Times New Roman" w:hAnsi="Times New Roman" w:cs="Times New Roman"/>
          <w:spacing w:val="35"/>
          <w:w w:val="101"/>
          <w:sz w:val="16"/>
          <w:szCs w:val="16"/>
        </w:rPr>
        <w:t xml:space="preserve"> </w:t>
      </w:r>
      <w:r>
        <w:rPr>
          <w:rFonts w:ascii="Times New Roman" w:eastAsia="Times New Roman" w:hAnsi="Times New Roman" w:cs="Times New Roman"/>
          <w:spacing w:val="-1"/>
          <w:sz w:val="16"/>
          <w:szCs w:val="16"/>
        </w:rPr>
        <w:t>edition.</w:t>
      </w:r>
      <w:r>
        <w:rPr>
          <w:rFonts w:ascii="Times New Roman" w:eastAsia="Times New Roman" w:hAnsi="Times New Roman" w:cs="Times New Roman"/>
          <w:spacing w:val="27"/>
          <w:sz w:val="16"/>
          <w:szCs w:val="16"/>
        </w:rPr>
        <w:t xml:space="preserve"> </w:t>
      </w:r>
      <w:r>
        <w:rPr>
          <w:rFonts w:ascii="Times New Roman" w:eastAsia="Times New Roman" w:hAnsi="Times New Roman" w:cs="Times New Roman"/>
          <w:spacing w:val="-1"/>
          <w:sz w:val="16"/>
          <w:szCs w:val="16"/>
        </w:rPr>
        <w:t>New</w:t>
      </w:r>
      <w:r>
        <w:rPr>
          <w:rFonts w:ascii="Times New Roman" w:eastAsia="Times New Roman" w:hAnsi="Times New Roman" w:cs="Times New Roman"/>
          <w:spacing w:val="30"/>
          <w:w w:val="102"/>
          <w:sz w:val="16"/>
          <w:szCs w:val="16"/>
        </w:rPr>
        <w:t xml:space="preserve"> </w:t>
      </w:r>
      <w:r>
        <w:rPr>
          <w:rFonts w:ascii="Times New Roman" w:eastAsia="Times New Roman" w:hAnsi="Times New Roman" w:cs="Times New Roman"/>
          <w:spacing w:val="-1"/>
          <w:sz w:val="16"/>
          <w:szCs w:val="16"/>
        </w:rPr>
        <w:t>York:</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West</w:t>
      </w:r>
      <w:r>
        <w:rPr>
          <w:rFonts w:ascii="Times New Roman" w:eastAsia="Times New Roman" w:hAnsi="Times New Roman" w:cs="Times New Roman"/>
          <w:spacing w:val="26"/>
          <w:sz w:val="16"/>
          <w:szCs w:val="16"/>
        </w:rPr>
        <w:t xml:space="preserve"> </w:t>
      </w:r>
      <w:r>
        <w:rPr>
          <w:rFonts w:ascii="Times New Roman" w:eastAsia="Times New Roman" w:hAnsi="Times New Roman" w:cs="Times New Roman"/>
          <w:spacing w:val="-1"/>
          <w:sz w:val="16"/>
          <w:szCs w:val="16"/>
        </w:rPr>
        <w:t>Publishing</w:t>
      </w:r>
      <w:r>
        <w:rPr>
          <w:rFonts w:ascii="Times New Roman" w:eastAsia="Times New Roman" w:hAnsi="Times New Roman" w:cs="Times New Roman"/>
          <w:spacing w:val="20"/>
          <w:sz w:val="16"/>
          <w:szCs w:val="16"/>
        </w:rPr>
        <w:t xml:space="preserve"> </w:t>
      </w:r>
      <w:r>
        <w:rPr>
          <w:rFonts w:ascii="Times New Roman" w:eastAsia="Times New Roman" w:hAnsi="Times New Roman" w:cs="Times New Roman"/>
          <w:spacing w:val="-1"/>
          <w:sz w:val="16"/>
          <w:szCs w:val="16"/>
        </w:rPr>
        <w:t>Company</w:t>
      </w:r>
    </w:p>
    <w:p w:rsidR="00EA40A3" w:rsidRDefault="00E86C16">
      <w:pPr>
        <w:spacing w:before="132"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Whitney</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E</w:t>
      </w:r>
      <w:r>
        <w:rPr>
          <w:rFonts w:ascii="Times New Roman" w:eastAsia="Times New Roman" w:hAnsi="Times New Roman" w:cs="Times New Roman"/>
          <w:spacing w:val="-1"/>
          <w:sz w:val="16"/>
          <w:szCs w:val="16"/>
        </w:rPr>
        <w:t>,</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z w:val="16"/>
          <w:szCs w:val="16"/>
        </w:rPr>
        <w:t>Cataldo</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z w:val="16"/>
          <w:szCs w:val="16"/>
        </w:rPr>
        <w:t>C</w:t>
      </w:r>
      <w:r>
        <w:rPr>
          <w:rFonts w:ascii="Times New Roman" w:eastAsia="Times New Roman" w:hAnsi="Times New Roman" w:cs="Times New Roman"/>
          <w:spacing w:val="-1"/>
          <w:sz w:val="16"/>
          <w:szCs w:val="16"/>
        </w:rPr>
        <w:t>,</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z w:val="16"/>
          <w:szCs w:val="16"/>
        </w:rPr>
        <w:t>Rolfes</w:t>
      </w:r>
      <w:r>
        <w:rPr>
          <w:rFonts w:ascii="Times New Roman" w:eastAsia="Times New Roman" w:hAnsi="Times New Roman" w:cs="Times New Roman"/>
          <w:spacing w:val="10"/>
          <w:sz w:val="16"/>
          <w:szCs w:val="16"/>
        </w:rPr>
        <w:t xml:space="preserve">   </w:t>
      </w:r>
      <w:r>
        <w:rPr>
          <w:rFonts w:ascii="Times New Roman" w:eastAsia="Times New Roman" w:hAnsi="Times New Roman" w:cs="Times New Roman"/>
          <w:sz w:val="16"/>
          <w:szCs w:val="16"/>
        </w:rPr>
        <w:t>S</w:t>
      </w:r>
      <w:r>
        <w:rPr>
          <w:rFonts w:ascii="Times New Roman" w:eastAsia="Times New Roman" w:hAnsi="Times New Roman" w:cs="Times New Roman"/>
          <w:spacing w:val="-1"/>
          <w:sz w:val="16"/>
          <w:szCs w:val="16"/>
        </w:rPr>
        <w:t>.</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2005.</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Understanding</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nutrition.</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6th</w:t>
      </w:r>
      <w:r>
        <w:rPr>
          <w:rFonts w:ascii="Times New Roman" w:eastAsia="Times New Roman" w:hAnsi="Times New Roman" w:cs="Times New Roman"/>
          <w:spacing w:val="9"/>
          <w:sz w:val="16"/>
          <w:szCs w:val="16"/>
        </w:rPr>
        <w:t xml:space="preserve">   </w:t>
      </w:r>
      <w:r>
        <w:rPr>
          <w:rFonts w:ascii="Times New Roman" w:eastAsia="Times New Roman" w:hAnsi="Times New Roman" w:cs="Times New Roman"/>
          <w:spacing w:val="-1"/>
          <w:sz w:val="16"/>
          <w:szCs w:val="16"/>
        </w:rPr>
        <w:t>edition.</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New</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York:</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West</w:t>
      </w:r>
    </w:p>
    <w:p w:rsidR="00EA40A3" w:rsidRDefault="00E86C16">
      <w:pPr>
        <w:spacing w:before="93" w:line="192" w:lineRule="auto"/>
        <w:ind w:left="109"/>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Publishing</w:t>
      </w:r>
      <w:r>
        <w:rPr>
          <w:rFonts w:ascii="Times New Roman" w:eastAsia="Times New Roman" w:hAnsi="Times New Roman" w:cs="Times New Roman"/>
          <w:spacing w:val="13"/>
          <w:sz w:val="16"/>
          <w:szCs w:val="16"/>
        </w:rPr>
        <w:t xml:space="preserve"> </w:t>
      </w:r>
      <w:r>
        <w:rPr>
          <w:rFonts w:ascii="Times New Roman" w:eastAsia="Times New Roman" w:hAnsi="Times New Roman" w:cs="Times New Roman"/>
          <w:spacing w:val="-1"/>
          <w:sz w:val="16"/>
          <w:szCs w:val="16"/>
        </w:rPr>
        <w:t>Company</w:t>
      </w:r>
    </w:p>
    <w:p w:rsidR="00EA40A3" w:rsidRDefault="00EA40A3">
      <w:pPr>
        <w:sectPr w:rsidR="00EA40A3">
          <w:footerReference w:type="default" r:id="rId192"/>
          <w:pgSz w:w="9220" w:h="13360"/>
          <w:pgMar w:top="400" w:right="1034" w:bottom="1330" w:left="910" w:header="0" w:footer="1056" w:gutter="0"/>
          <w:cols w:space="720"/>
        </w:sectPr>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86C16">
      <w:pPr>
        <w:spacing w:before="101" w:line="218" w:lineRule="auto"/>
        <w:ind w:left="1064"/>
        <w:rPr>
          <w:rFonts w:ascii="宋体" w:eastAsia="宋体" w:hAnsi="宋体" w:cs="宋体"/>
          <w:sz w:val="31"/>
          <w:szCs w:val="31"/>
        </w:rPr>
      </w:pPr>
      <w:bookmarkStart w:id="56" w:name="_bookmark60"/>
      <w:bookmarkEnd w:id="56"/>
      <w:r>
        <w:rPr>
          <w:rFonts w:ascii="宋体" w:eastAsia="宋体" w:hAnsi="宋体" w:cs="宋体"/>
          <w:b/>
          <w:bCs/>
          <w:spacing w:val="6"/>
          <w:sz w:val="31"/>
          <w:szCs w:val="31"/>
        </w:rPr>
        <w:t>第7章</w:t>
      </w:r>
      <w:r>
        <w:rPr>
          <w:rFonts w:ascii="宋体" w:eastAsia="宋体" w:hAnsi="宋体" w:cs="宋体"/>
          <w:spacing w:val="138"/>
          <w:sz w:val="31"/>
          <w:szCs w:val="31"/>
        </w:rPr>
        <w:t xml:space="preserve"> </w:t>
      </w:r>
      <w:r>
        <w:rPr>
          <w:rFonts w:ascii="宋体" w:eastAsia="宋体" w:hAnsi="宋体" w:cs="宋体"/>
          <w:b/>
          <w:bCs/>
          <w:spacing w:val="6"/>
          <w:sz w:val="31"/>
          <w:szCs w:val="31"/>
        </w:rPr>
        <w:t>储藏加工对食品营养价值的影响</w:t>
      </w:r>
    </w:p>
    <w:p w:rsidR="00EA40A3" w:rsidRDefault="00EA40A3">
      <w:pPr>
        <w:spacing w:line="368" w:lineRule="auto"/>
      </w:pPr>
    </w:p>
    <w:p w:rsidR="00EA40A3" w:rsidRDefault="00E86C16">
      <w:pPr>
        <w:spacing w:before="71" w:line="221" w:lineRule="auto"/>
        <w:ind w:left="3323"/>
        <w:rPr>
          <w:rFonts w:ascii="黑体" w:eastAsia="黑体" w:hAnsi="黑体" w:cs="黑体"/>
          <w:sz w:val="22"/>
          <w:szCs w:val="22"/>
        </w:rPr>
      </w:pPr>
      <w:r>
        <w:rPr>
          <w:rFonts w:ascii="黑体" w:eastAsia="黑体" w:hAnsi="黑体" w:cs="黑体"/>
          <w:b/>
          <w:bCs/>
          <w:spacing w:val="27"/>
          <w:sz w:val="22"/>
          <w:szCs w:val="22"/>
        </w:rPr>
        <w:t>教学目标</w:t>
      </w:r>
    </w:p>
    <w:p w:rsidR="00EA40A3" w:rsidRDefault="00E86C16">
      <w:pPr>
        <w:spacing w:before="206" w:line="223" w:lineRule="auto"/>
        <w:ind w:left="689"/>
        <w:rPr>
          <w:rFonts w:ascii="楷体" w:eastAsia="楷体" w:hAnsi="楷体" w:cs="楷体"/>
          <w:sz w:val="22"/>
          <w:szCs w:val="22"/>
        </w:rPr>
      </w:pPr>
      <w:r>
        <w:rPr>
          <w:rFonts w:ascii="楷体" w:eastAsia="楷体" w:hAnsi="楷体" w:cs="楷体"/>
          <w:spacing w:val="-16"/>
          <w:sz w:val="22"/>
          <w:szCs w:val="22"/>
        </w:rPr>
        <w:t>·</w:t>
      </w:r>
      <w:r>
        <w:rPr>
          <w:rFonts w:ascii="楷体" w:eastAsia="楷体" w:hAnsi="楷体" w:cs="楷体"/>
          <w:spacing w:val="-71"/>
          <w:sz w:val="22"/>
          <w:szCs w:val="22"/>
        </w:rPr>
        <w:t xml:space="preserve"> </w:t>
      </w:r>
      <w:r>
        <w:rPr>
          <w:rFonts w:ascii="楷体" w:eastAsia="楷体" w:hAnsi="楷体" w:cs="楷体"/>
          <w:spacing w:val="-16"/>
          <w:sz w:val="22"/>
          <w:szCs w:val="22"/>
        </w:rPr>
        <w:t>了解储藏保鲜对食品营养价值的影响。</w:t>
      </w:r>
    </w:p>
    <w:p w:rsidR="00EA40A3" w:rsidRDefault="00E86C16">
      <w:pPr>
        <w:spacing w:before="34" w:line="223" w:lineRule="auto"/>
        <w:ind w:left="689"/>
        <w:rPr>
          <w:rFonts w:ascii="楷体" w:eastAsia="楷体" w:hAnsi="楷体" w:cs="楷体"/>
          <w:sz w:val="22"/>
          <w:szCs w:val="22"/>
        </w:rPr>
      </w:pPr>
      <w:r>
        <w:rPr>
          <w:rFonts w:ascii="楷体" w:eastAsia="楷体" w:hAnsi="楷体" w:cs="楷体"/>
          <w:spacing w:val="-16"/>
          <w:sz w:val="22"/>
          <w:szCs w:val="22"/>
        </w:rPr>
        <w:t>·</w:t>
      </w:r>
      <w:r>
        <w:rPr>
          <w:rFonts w:ascii="楷体" w:eastAsia="楷体" w:hAnsi="楷体" w:cs="楷体"/>
          <w:spacing w:val="-71"/>
          <w:sz w:val="22"/>
          <w:szCs w:val="22"/>
        </w:rPr>
        <w:t xml:space="preserve"> </w:t>
      </w:r>
      <w:r>
        <w:rPr>
          <w:rFonts w:ascii="楷体" w:eastAsia="楷体" w:hAnsi="楷体" w:cs="楷体"/>
          <w:spacing w:val="-16"/>
          <w:sz w:val="22"/>
          <w:szCs w:val="22"/>
        </w:rPr>
        <w:t>了解加工工艺对食品营养价值的影响。</w:t>
      </w:r>
    </w:p>
    <w:p w:rsidR="00EA40A3" w:rsidRDefault="00E86C16">
      <w:pPr>
        <w:spacing w:before="34" w:line="223" w:lineRule="auto"/>
        <w:ind w:left="689"/>
        <w:rPr>
          <w:rFonts w:ascii="楷体" w:eastAsia="楷体" w:hAnsi="楷体" w:cs="楷体"/>
          <w:sz w:val="22"/>
          <w:szCs w:val="22"/>
        </w:rPr>
      </w:pPr>
      <w:r>
        <w:rPr>
          <w:rFonts w:ascii="楷体" w:eastAsia="楷体" w:hAnsi="楷体" w:cs="楷体"/>
          <w:spacing w:val="-16"/>
          <w:sz w:val="22"/>
          <w:szCs w:val="22"/>
        </w:rPr>
        <w:t>·</w:t>
      </w:r>
      <w:r>
        <w:rPr>
          <w:rFonts w:ascii="楷体" w:eastAsia="楷体" w:hAnsi="楷体" w:cs="楷体"/>
          <w:spacing w:val="-60"/>
          <w:sz w:val="22"/>
          <w:szCs w:val="22"/>
        </w:rPr>
        <w:t xml:space="preserve"> </w:t>
      </w:r>
      <w:r>
        <w:rPr>
          <w:rFonts w:ascii="楷体" w:eastAsia="楷体" w:hAnsi="楷体" w:cs="楷体"/>
          <w:spacing w:val="-16"/>
          <w:sz w:val="22"/>
          <w:szCs w:val="22"/>
        </w:rPr>
        <w:t>了解常用烹调方法对食品营养价值的影响。</w:t>
      </w:r>
    </w:p>
    <w:p w:rsidR="00EA40A3" w:rsidRDefault="00EA40A3">
      <w:pPr>
        <w:spacing w:line="286" w:lineRule="auto"/>
      </w:pPr>
    </w:p>
    <w:p w:rsidR="00EA40A3" w:rsidRDefault="00E86C16">
      <w:pPr>
        <w:spacing w:before="72" w:line="244" w:lineRule="auto"/>
        <w:ind w:right="32" w:firstLine="619"/>
        <w:jc w:val="both"/>
        <w:rPr>
          <w:rFonts w:ascii="宋体" w:eastAsia="宋体" w:hAnsi="宋体" w:cs="宋体"/>
          <w:sz w:val="22"/>
          <w:szCs w:val="22"/>
        </w:rPr>
      </w:pPr>
      <w:r>
        <w:rPr>
          <w:rFonts w:ascii="宋体" w:eastAsia="宋体" w:hAnsi="宋体" w:cs="宋体"/>
          <w:spacing w:val="-13"/>
          <w:sz w:val="22"/>
          <w:szCs w:val="22"/>
        </w:rPr>
        <w:t>为了满足人们不同的饮食习惯和爱好，或为了延长食物的保存期，</w:t>
      </w:r>
      <w:r>
        <w:rPr>
          <w:rFonts w:ascii="宋体" w:eastAsia="宋体" w:hAnsi="宋体" w:cs="宋体"/>
          <w:spacing w:val="-14"/>
          <w:sz w:val="22"/>
          <w:szCs w:val="22"/>
        </w:rPr>
        <w:t>食物原料</w:t>
      </w:r>
      <w:r>
        <w:rPr>
          <w:rFonts w:ascii="宋体" w:eastAsia="宋体" w:hAnsi="宋体" w:cs="宋体"/>
          <w:sz w:val="22"/>
          <w:szCs w:val="22"/>
        </w:rPr>
        <w:t xml:space="preserve"> </w:t>
      </w:r>
      <w:r>
        <w:rPr>
          <w:rFonts w:ascii="宋体" w:eastAsia="宋体" w:hAnsi="宋体" w:cs="宋体"/>
          <w:spacing w:val="-9"/>
          <w:sz w:val="22"/>
          <w:szCs w:val="22"/>
        </w:rPr>
        <w:t>通常需经过储藏保鲜、加工或烹调处理，制成更为适口、美观、方便、安全</w:t>
      </w:r>
      <w:r>
        <w:rPr>
          <w:rFonts w:ascii="宋体" w:eastAsia="宋体" w:hAnsi="宋体" w:cs="宋体"/>
          <w:spacing w:val="-10"/>
          <w:sz w:val="22"/>
          <w:szCs w:val="22"/>
        </w:rPr>
        <w:t>、营</w:t>
      </w:r>
      <w:r>
        <w:rPr>
          <w:rFonts w:ascii="宋体" w:eastAsia="宋体" w:hAnsi="宋体" w:cs="宋体"/>
          <w:sz w:val="22"/>
          <w:szCs w:val="22"/>
        </w:rPr>
        <w:t xml:space="preserve"> </w:t>
      </w:r>
      <w:r>
        <w:rPr>
          <w:rFonts w:ascii="宋体" w:eastAsia="宋体" w:hAnsi="宋体" w:cs="宋体"/>
          <w:spacing w:val="-14"/>
          <w:sz w:val="22"/>
          <w:szCs w:val="22"/>
        </w:rPr>
        <w:t>“养的各类食品。然而，储藏加工和烹调处理，也会使食</w:t>
      </w:r>
      <w:r>
        <w:rPr>
          <w:rFonts w:ascii="宋体" w:eastAsia="宋体" w:hAnsi="宋体" w:cs="宋体"/>
          <w:spacing w:val="-15"/>
          <w:sz w:val="22"/>
          <w:szCs w:val="22"/>
        </w:rPr>
        <w:t>物的营养成分及其生物利</w:t>
      </w:r>
      <w:r>
        <w:rPr>
          <w:rFonts w:ascii="宋体" w:eastAsia="宋体" w:hAnsi="宋体" w:cs="宋体"/>
          <w:sz w:val="22"/>
          <w:szCs w:val="22"/>
        </w:rPr>
        <w:t xml:space="preserve"> </w:t>
      </w:r>
      <w:r>
        <w:rPr>
          <w:rFonts w:ascii="宋体" w:eastAsia="宋体" w:hAnsi="宋体" w:cs="宋体"/>
          <w:spacing w:val="-6"/>
          <w:sz w:val="22"/>
          <w:szCs w:val="22"/>
        </w:rPr>
        <w:t>用性受到很大的影响。</w:t>
      </w:r>
    </w:p>
    <w:p w:rsidR="00EA40A3" w:rsidRDefault="00EA40A3">
      <w:pPr>
        <w:spacing w:line="244" w:lineRule="auto"/>
      </w:pPr>
    </w:p>
    <w:p w:rsidR="00EA40A3" w:rsidRDefault="00E86C16">
      <w:pPr>
        <w:spacing w:before="91" w:line="218" w:lineRule="auto"/>
        <w:ind w:left="1799"/>
        <w:rPr>
          <w:rFonts w:ascii="宋体" w:eastAsia="宋体" w:hAnsi="宋体" w:cs="宋体"/>
          <w:sz w:val="28"/>
          <w:szCs w:val="28"/>
        </w:rPr>
      </w:pPr>
      <w:r>
        <w:rPr>
          <w:rFonts w:ascii="宋体" w:eastAsia="宋体" w:hAnsi="宋体" w:cs="宋体"/>
          <w:spacing w:val="-2"/>
          <w:sz w:val="28"/>
          <w:szCs w:val="28"/>
        </w:rPr>
        <w:t>7.1</w:t>
      </w:r>
      <w:r>
        <w:rPr>
          <w:rFonts w:ascii="宋体" w:eastAsia="宋体" w:hAnsi="宋体" w:cs="宋体"/>
          <w:spacing w:val="130"/>
          <w:sz w:val="28"/>
          <w:szCs w:val="28"/>
        </w:rPr>
        <w:t xml:space="preserve"> </w:t>
      </w:r>
      <w:r>
        <w:rPr>
          <w:rFonts w:ascii="宋体" w:eastAsia="宋体" w:hAnsi="宋体" w:cs="宋体"/>
          <w:spacing w:val="-2"/>
          <w:sz w:val="28"/>
          <w:szCs w:val="28"/>
        </w:rPr>
        <w:t>储藏对食品营养价值的影响</w:t>
      </w:r>
    </w:p>
    <w:p w:rsidR="00EA40A3" w:rsidRDefault="00E86C16">
      <w:pPr>
        <w:spacing w:before="165" w:line="221" w:lineRule="auto"/>
        <w:ind w:left="113"/>
        <w:outlineLvl w:val="6"/>
        <w:rPr>
          <w:rFonts w:ascii="黑体" w:eastAsia="黑体" w:hAnsi="黑体" w:cs="黑体"/>
          <w:sz w:val="22"/>
          <w:szCs w:val="22"/>
        </w:rPr>
      </w:pPr>
      <w:r>
        <w:rPr>
          <w:rFonts w:ascii="黑体" w:eastAsia="黑体" w:hAnsi="黑体" w:cs="黑体"/>
          <w:b/>
          <w:bCs/>
          <w:spacing w:val="10"/>
          <w:sz w:val="22"/>
          <w:szCs w:val="22"/>
        </w:rPr>
        <w:t>7.1.1</w:t>
      </w:r>
      <w:r>
        <w:rPr>
          <w:rFonts w:ascii="黑体" w:eastAsia="黑体" w:hAnsi="黑体" w:cs="黑体"/>
          <w:spacing w:val="48"/>
          <w:sz w:val="22"/>
          <w:szCs w:val="22"/>
        </w:rPr>
        <w:t xml:space="preserve">  </w:t>
      </w:r>
      <w:r>
        <w:rPr>
          <w:rFonts w:ascii="黑体" w:eastAsia="黑体" w:hAnsi="黑体" w:cs="黑体"/>
          <w:b/>
          <w:bCs/>
          <w:spacing w:val="10"/>
          <w:sz w:val="22"/>
          <w:szCs w:val="22"/>
        </w:rPr>
        <w:t>常温储藏对食品营养价值的影响</w:t>
      </w:r>
    </w:p>
    <w:p w:rsidR="00EA40A3" w:rsidRDefault="00E86C16">
      <w:pPr>
        <w:spacing w:before="189" w:line="244" w:lineRule="auto"/>
        <w:ind w:left="109" w:right="81" w:firstLine="449"/>
        <w:jc w:val="both"/>
        <w:rPr>
          <w:rFonts w:ascii="宋体" w:eastAsia="宋体" w:hAnsi="宋体" w:cs="宋体"/>
          <w:sz w:val="22"/>
          <w:szCs w:val="22"/>
        </w:rPr>
      </w:pPr>
      <w:r>
        <w:rPr>
          <w:rFonts w:ascii="宋体" w:eastAsia="宋体" w:hAnsi="宋体" w:cs="宋体"/>
          <w:spacing w:val="-13"/>
          <w:sz w:val="22"/>
          <w:szCs w:val="22"/>
        </w:rPr>
        <w:t>常温储藏是粮食、豆类常用的保藏方法。粮食在常温下储藏，种子细胞酶活</w:t>
      </w:r>
      <w:r>
        <w:rPr>
          <w:rFonts w:ascii="宋体" w:eastAsia="宋体" w:hAnsi="宋体" w:cs="宋体"/>
          <w:spacing w:val="6"/>
          <w:sz w:val="22"/>
          <w:szCs w:val="22"/>
        </w:rPr>
        <w:t xml:space="preserve"> </w:t>
      </w:r>
      <w:r>
        <w:rPr>
          <w:rFonts w:ascii="宋体" w:eastAsia="宋体" w:hAnsi="宋体" w:cs="宋体"/>
          <w:spacing w:val="-12"/>
          <w:sz w:val="22"/>
          <w:szCs w:val="22"/>
        </w:rPr>
        <w:t>性、微生物繁殖及仓库虫害都是影响储藏时间和质量的因素，同时，水</w:t>
      </w:r>
      <w:r>
        <w:rPr>
          <w:rFonts w:ascii="宋体" w:eastAsia="宋体" w:hAnsi="宋体" w:cs="宋体"/>
          <w:spacing w:val="-13"/>
          <w:sz w:val="22"/>
          <w:szCs w:val="22"/>
        </w:rPr>
        <w:t>分含量与</w:t>
      </w:r>
      <w:r>
        <w:rPr>
          <w:rFonts w:ascii="宋体" w:eastAsia="宋体" w:hAnsi="宋体" w:cs="宋体"/>
          <w:sz w:val="22"/>
          <w:szCs w:val="22"/>
        </w:rPr>
        <w:t xml:space="preserve"> </w:t>
      </w:r>
      <w:r>
        <w:rPr>
          <w:rFonts w:ascii="宋体" w:eastAsia="宋体" w:hAnsi="宋体" w:cs="宋体"/>
          <w:spacing w:val="-13"/>
          <w:sz w:val="22"/>
          <w:szCs w:val="22"/>
        </w:rPr>
        <w:t>以上因素关系密切，因此在常温储藏期间，控制粮食储藏期间的水分含量是延长</w:t>
      </w:r>
      <w:r>
        <w:rPr>
          <w:rFonts w:ascii="宋体" w:eastAsia="宋体" w:hAnsi="宋体" w:cs="宋体"/>
          <w:spacing w:val="3"/>
          <w:sz w:val="22"/>
          <w:szCs w:val="22"/>
        </w:rPr>
        <w:t xml:space="preserve"> </w:t>
      </w:r>
      <w:r>
        <w:rPr>
          <w:rFonts w:ascii="宋体" w:eastAsia="宋体" w:hAnsi="宋体" w:cs="宋体"/>
          <w:spacing w:val="-16"/>
          <w:sz w:val="22"/>
          <w:szCs w:val="22"/>
        </w:rPr>
        <w:t>储藏期的重要手段。</w:t>
      </w:r>
    </w:p>
    <w:p w:rsidR="00EA40A3" w:rsidRDefault="00E86C16">
      <w:pPr>
        <w:spacing w:before="65" w:line="246" w:lineRule="auto"/>
        <w:ind w:left="109" w:right="99" w:firstLine="449"/>
        <w:jc w:val="both"/>
        <w:rPr>
          <w:rFonts w:ascii="宋体" w:eastAsia="宋体" w:hAnsi="宋体" w:cs="宋体"/>
          <w:sz w:val="22"/>
          <w:szCs w:val="22"/>
        </w:rPr>
      </w:pPr>
      <w:r>
        <w:rPr>
          <w:rFonts w:ascii="宋体" w:eastAsia="宋体" w:hAnsi="宋体" w:cs="宋体"/>
          <w:spacing w:val="3"/>
          <w:sz w:val="22"/>
          <w:szCs w:val="22"/>
        </w:rPr>
        <w:t>谷类粮食储藏期间的水分含量一般控制在11%～14%,小麦、玉米的安全</w:t>
      </w:r>
      <w:r>
        <w:rPr>
          <w:rFonts w:ascii="宋体" w:eastAsia="宋体" w:hAnsi="宋体" w:cs="宋体"/>
          <w:spacing w:val="7"/>
          <w:sz w:val="22"/>
          <w:szCs w:val="22"/>
        </w:rPr>
        <w:t xml:space="preserve"> </w:t>
      </w:r>
      <w:r>
        <w:rPr>
          <w:rFonts w:ascii="宋体" w:eastAsia="宋体" w:hAnsi="宋体" w:cs="宋体"/>
          <w:spacing w:val="-4"/>
          <w:sz w:val="22"/>
          <w:szCs w:val="22"/>
        </w:rPr>
        <w:t>水分含量在13%以下。水分含量越低，储藏时间越长；若水分含量高，环境相</w:t>
      </w:r>
      <w:r>
        <w:rPr>
          <w:rFonts w:ascii="宋体" w:eastAsia="宋体" w:hAnsi="宋体" w:cs="宋体"/>
          <w:spacing w:val="6"/>
          <w:sz w:val="22"/>
          <w:szCs w:val="22"/>
        </w:rPr>
        <w:t xml:space="preserve"> </w:t>
      </w:r>
      <w:r>
        <w:rPr>
          <w:rFonts w:ascii="宋体" w:eastAsia="宋体" w:hAnsi="宋体" w:cs="宋体"/>
          <w:spacing w:val="-12"/>
          <w:sz w:val="22"/>
          <w:szCs w:val="22"/>
        </w:rPr>
        <w:t>对湿度大，温度高时，种子呼吸作用加强，营养成分</w:t>
      </w:r>
      <w:r>
        <w:rPr>
          <w:rFonts w:ascii="宋体" w:eastAsia="宋体" w:hAnsi="宋体" w:cs="宋体"/>
          <w:spacing w:val="-13"/>
          <w:sz w:val="22"/>
          <w:szCs w:val="22"/>
        </w:rPr>
        <w:t>损失较多，同时容易引起霉</w:t>
      </w:r>
      <w:r>
        <w:rPr>
          <w:rFonts w:ascii="宋体" w:eastAsia="宋体" w:hAnsi="宋体" w:cs="宋体"/>
          <w:sz w:val="22"/>
          <w:szCs w:val="22"/>
        </w:rPr>
        <w:t xml:space="preserve"> </w:t>
      </w:r>
      <w:r>
        <w:rPr>
          <w:rFonts w:ascii="宋体" w:eastAsia="宋体" w:hAnsi="宋体" w:cs="宋体"/>
          <w:spacing w:val="-4"/>
          <w:sz w:val="22"/>
          <w:szCs w:val="22"/>
        </w:rPr>
        <w:t>菌生长繁殖，严重时腐烂变质。例如：小麦常温下储藏5个月，当水分含量在</w:t>
      </w:r>
      <w:r>
        <w:rPr>
          <w:rFonts w:ascii="宋体" w:eastAsia="宋体" w:hAnsi="宋体" w:cs="宋体"/>
          <w:spacing w:val="16"/>
          <w:sz w:val="22"/>
          <w:szCs w:val="22"/>
        </w:rPr>
        <w:t xml:space="preserve"> </w:t>
      </w:r>
      <w:r>
        <w:rPr>
          <w:rFonts w:ascii="宋体" w:eastAsia="宋体" w:hAnsi="宋体" w:cs="宋体"/>
          <w:spacing w:val="11"/>
          <w:sz w:val="22"/>
          <w:szCs w:val="22"/>
        </w:rPr>
        <w:t>12%时，维生素B</w:t>
      </w:r>
      <w:r>
        <w:rPr>
          <w:rFonts w:ascii="Calibri" w:eastAsia="Calibri" w:hAnsi="Calibri" w:cs="Calibri"/>
          <w:spacing w:val="11"/>
          <w:sz w:val="22"/>
          <w:szCs w:val="22"/>
        </w:rPr>
        <w:t>₁</w:t>
      </w:r>
      <w:r>
        <w:rPr>
          <w:rFonts w:ascii="Calibri" w:eastAsia="Calibri" w:hAnsi="Calibri" w:cs="Calibri"/>
          <w:spacing w:val="39"/>
          <w:w w:val="101"/>
          <w:sz w:val="22"/>
          <w:szCs w:val="22"/>
        </w:rPr>
        <w:t xml:space="preserve"> </w:t>
      </w:r>
      <w:r>
        <w:rPr>
          <w:rFonts w:ascii="宋体" w:eastAsia="宋体" w:hAnsi="宋体" w:cs="宋体"/>
          <w:spacing w:val="11"/>
          <w:sz w:val="22"/>
          <w:szCs w:val="22"/>
        </w:rPr>
        <w:t>损失12%;当水分含量在1</w:t>
      </w:r>
      <w:r>
        <w:rPr>
          <w:rFonts w:ascii="宋体" w:eastAsia="宋体" w:hAnsi="宋体" w:cs="宋体"/>
          <w:spacing w:val="10"/>
          <w:sz w:val="22"/>
          <w:szCs w:val="22"/>
        </w:rPr>
        <w:t>7%时，维生素B</w:t>
      </w:r>
      <w:r>
        <w:rPr>
          <w:rFonts w:ascii="宋体" w:eastAsia="宋体" w:hAnsi="宋体" w:cs="宋体"/>
          <w:spacing w:val="43"/>
          <w:sz w:val="22"/>
          <w:szCs w:val="22"/>
        </w:rPr>
        <w:t xml:space="preserve"> </w:t>
      </w:r>
      <w:r>
        <w:rPr>
          <w:rFonts w:ascii="宋体" w:eastAsia="宋体" w:hAnsi="宋体" w:cs="宋体"/>
          <w:spacing w:val="10"/>
          <w:sz w:val="22"/>
          <w:szCs w:val="22"/>
        </w:rPr>
        <w:t>损失30%。</w:t>
      </w:r>
    </w:p>
    <w:p w:rsidR="00EA40A3" w:rsidRDefault="00E86C16">
      <w:pPr>
        <w:spacing w:before="55" w:line="247" w:lineRule="auto"/>
        <w:ind w:left="109" w:firstLine="449"/>
        <w:jc w:val="both"/>
        <w:rPr>
          <w:rFonts w:ascii="宋体" w:eastAsia="宋体" w:hAnsi="宋体" w:cs="宋体"/>
          <w:sz w:val="22"/>
          <w:szCs w:val="22"/>
        </w:rPr>
      </w:pPr>
      <w:r>
        <w:rPr>
          <w:rFonts w:ascii="宋体" w:eastAsia="宋体" w:hAnsi="宋体" w:cs="宋体"/>
          <w:spacing w:val="-10"/>
          <w:sz w:val="22"/>
          <w:szCs w:val="22"/>
        </w:rPr>
        <w:t>含油较多的作物如大豆、花生在储藏中稳定性略差</w:t>
      </w:r>
      <w:r>
        <w:rPr>
          <w:rFonts w:ascii="宋体" w:eastAsia="宋体" w:hAnsi="宋体" w:cs="宋体"/>
          <w:spacing w:val="-11"/>
          <w:sz w:val="22"/>
          <w:szCs w:val="22"/>
        </w:rPr>
        <w:t>于谷类粮食。由于大豆、</w:t>
      </w:r>
      <w:r>
        <w:rPr>
          <w:rFonts w:ascii="宋体" w:eastAsia="宋体" w:hAnsi="宋体" w:cs="宋体"/>
          <w:sz w:val="22"/>
          <w:szCs w:val="22"/>
        </w:rPr>
        <w:t xml:space="preserve"> </w:t>
      </w:r>
      <w:r>
        <w:rPr>
          <w:rFonts w:ascii="宋体" w:eastAsia="宋体" w:hAnsi="宋体" w:cs="宋体"/>
          <w:spacing w:val="-13"/>
          <w:sz w:val="22"/>
          <w:szCs w:val="22"/>
        </w:rPr>
        <w:t>花生含有丰富的蛋白质和脂肪，营养丰富，在常温储藏过程中，除一般粮食常见</w:t>
      </w:r>
      <w:r>
        <w:rPr>
          <w:rFonts w:ascii="宋体" w:eastAsia="宋体" w:hAnsi="宋体" w:cs="宋体"/>
          <w:spacing w:val="2"/>
          <w:sz w:val="22"/>
          <w:szCs w:val="22"/>
        </w:rPr>
        <w:t xml:space="preserve">  </w:t>
      </w:r>
      <w:r>
        <w:rPr>
          <w:rFonts w:ascii="宋体" w:eastAsia="宋体" w:hAnsi="宋体" w:cs="宋体"/>
          <w:spacing w:val="-12"/>
          <w:sz w:val="22"/>
          <w:szCs w:val="22"/>
        </w:rPr>
        <w:t>的生虫、结露、发热之外，还易出现吸湿生霉，引起油料蛋白质变性、</w:t>
      </w:r>
      <w:r>
        <w:rPr>
          <w:rFonts w:ascii="宋体" w:eastAsia="宋体" w:hAnsi="宋体" w:cs="宋体"/>
          <w:spacing w:val="-13"/>
          <w:sz w:val="22"/>
          <w:szCs w:val="22"/>
        </w:rPr>
        <w:t>酸价增加</w:t>
      </w:r>
      <w:r>
        <w:rPr>
          <w:rFonts w:ascii="宋体" w:eastAsia="宋体" w:hAnsi="宋体" w:cs="宋体"/>
          <w:sz w:val="22"/>
          <w:szCs w:val="22"/>
        </w:rPr>
        <w:t xml:space="preserve">  </w:t>
      </w:r>
      <w:r>
        <w:rPr>
          <w:rFonts w:ascii="宋体" w:eastAsia="宋体" w:hAnsi="宋体" w:cs="宋体"/>
          <w:spacing w:val="-12"/>
          <w:sz w:val="22"/>
          <w:szCs w:val="22"/>
        </w:rPr>
        <w:t>和丧失发芽能力等问题，因此常温储藏油料作物除了注</w:t>
      </w:r>
      <w:r>
        <w:rPr>
          <w:rFonts w:ascii="宋体" w:eastAsia="宋体" w:hAnsi="宋体" w:cs="宋体"/>
          <w:spacing w:val="-13"/>
          <w:sz w:val="22"/>
          <w:szCs w:val="22"/>
        </w:rPr>
        <w:t>意防潮散湿、防治虫害等</w:t>
      </w:r>
      <w:r>
        <w:rPr>
          <w:rFonts w:ascii="宋体" w:eastAsia="宋体" w:hAnsi="宋体" w:cs="宋体"/>
          <w:sz w:val="22"/>
          <w:szCs w:val="22"/>
        </w:rPr>
        <w:t xml:space="preserve">  </w:t>
      </w:r>
      <w:r>
        <w:rPr>
          <w:rFonts w:ascii="宋体" w:eastAsia="宋体" w:hAnsi="宋体" w:cs="宋体"/>
          <w:spacing w:val="-3"/>
          <w:sz w:val="22"/>
          <w:szCs w:val="22"/>
        </w:rPr>
        <w:t>问题外，还应有效地保持油料的水分含量，花生含水量必须降低到8%～10%以</w:t>
      </w:r>
      <w:r>
        <w:rPr>
          <w:rFonts w:ascii="宋体" w:eastAsia="宋体" w:hAnsi="宋体" w:cs="宋体"/>
          <w:spacing w:val="8"/>
          <w:sz w:val="22"/>
          <w:szCs w:val="22"/>
        </w:rPr>
        <w:t xml:space="preserve">  </w:t>
      </w:r>
      <w:r>
        <w:rPr>
          <w:rFonts w:ascii="宋体" w:eastAsia="宋体" w:hAnsi="宋体" w:cs="宋体"/>
          <w:spacing w:val="3"/>
          <w:sz w:val="22"/>
          <w:szCs w:val="22"/>
        </w:rPr>
        <w:t>下，大豆则在10%～12%以下。</w:t>
      </w:r>
    </w:p>
    <w:p w:rsidR="00EA40A3" w:rsidRDefault="00EA40A3">
      <w:pPr>
        <w:sectPr w:rsidR="00EA40A3">
          <w:footerReference w:type="default" r:id="rId193"/>
          <w:pgSz w:w="9220" w:h="13360"/>
          <w:pgMar w:top="400" w:right="990" w:bottom="1194" w:left="750" w:header="0" w:footer="961" w:gutter="0"/>
          <w:cols w:space="720"/>
        </w:sectPr>
      </w:pPr>
    </w:p>
    <w:p w:rsidR="00EA40A3" w:rsidRDefault="00EA40A3">
      <w:pPr>
        <w:spacing w:line="259" w:lineRule="auto"/>
      </w:pPr>
    </w:p>
    <w:p w:rsidR="00EA40A3" w:rsidRDefault="00EA40A3">
      <w:pPr>
        <w:spacing w:line="259" w:lineRule="auto"/>
      </w:pPr>
    </w:p>
    <w:p w:rsidR="00EA40A3" w:rsidRDefault="00EA40A3">
      <w:pPr>
        <w:spacing w:line="259" w:lineRule="auto"/>
      </w:pPr>
    </w:p>
    <w:p w:rsidR="00EA40A3" w:rsidRDefault="00E86C16">
      <w:pPr>
        <w:spacing w:before="72" w:line="221" w:lineRule="auto"/>
        <w:ind w:left="73"/>
        <w:outlineLvl w:val="6"/>
        <w:rPr>
          <w:rFonts w:ascii="黑体" w:eastAsia="黑体" w:hAnsi="黑体" w:cs="黑体"/>
          <w:sz w:val="22"/>
          <w:szCs w:val="22"/>
        </w:rPr>
      </w:pPr>
      <w:r>
        <w:rPr>
          <w:rFonts w:ascii="黑体" w:eastAsia="黑体" w:hAnsi="黑体" w:cs="黑体"/>
          <w:b/>
          <w:bCs/>
          <w:spacing w:val="10"/>
          <w:sz w:val="22"/>
          <w:szCs w:val="22"/>
        </w:rPr>
        <w:t>7.1.2</w:t>
      </w:r>
      <w:r>
        <w:rPr>
          <w:rFonts w:ascii="黑体" w:eastAsia="黑体" w:hAnsi="黑体" w:cs="黑体"/>
          <w:spacing w:val="63"/>
          <w:sz w:val="22"/>
          <w:szCs w:val="22"/>
        </w:rPr>
        <w:t xml:space="preserve">  </w:t>
      </w:r>
      <w:r>
        <w:rPr>
          <w:rFonts w:ascii="黑体" w:eastAsia="黑体" w:hAnsi="黑体" w:cs="黑体"/>
          <w:b/>
          <w:bCs/>
          <w:spacing w:val="10"/>
          <w:sz w:val="22"/>
          <w:szCs w:val="22"/>
        </w:rPr>
        <w:t>低温储藏对食品营养价值的影响</w:t>
      </w:r>
    </w:p>
    <w:p w:rsidR="00EA40A3" w:rsidRDefault="00E86C16">
      <w:pPr>
        <w:spacing w:before="161" w:line="219" w:lineRule="auto"/>
        <w:ind w:left="319"/>
        <w:rPr>
          <w:rFonts w:ascii="宋体" w:eastAsia="宋体" w:hAnsi="宋体" w:cs="宋体"/>
          <w:sz w:val="22"/>
          <w:szCs w:val="22"/>
        </w:rPr>
      </w:pPr>
      <w:r>
        <w:rPr>
          <w:rFonts w:ascii="宋体" w:eastAsia="宋体" w:hAnsi="宋体" w:cs="宋体"/>
          <w:spacing w:val="-13"/>
          <w:sz w:val="22"/>
          <w:szCs w:val="22"/>
        </w:rPr>
        <w:t>食品低温储藏是利用低温技术将食品温度降低并维持在低</w:t>
      </w:r>
      <w:r>
        <w:rPr>
          <w:rFonts w:ascii="宋体" w:eastAsia="宋体" w:hAnsi="宋体" w:cs="宋体"/>
          <w:spacing w:val="-14"/>
          <w:sz w:val="22"/>
          <w:szCs w:val="22"/>
        </w:rPr>
        <w:t>温状态下，以阻止</w:t>
      </w:r>
    </w:p>
    <w:p w:rsidR="00EA40A3" w:rsidRDefault="00E86C16">
      <w:pPr>
        <w:spacing w:before="46" w:line="247" w:lineRule="auto"/>
        <w:ind w:left="69"/>
        <w:rPr>
          <w:rFonts w:ascii="宋体" w:eastAsia="宋体" w:hAnsi="宋体" w:cs="宋体"/>
          <w:sz w:val="22"/>
          <w:szCs w:val="22"/>
        </w:rPr>
      </w:pPr>
      <w:r>
        <w:rPr>
          <w:rFonts w:ascii="宋体" w:eastAsia="宋体" w:hAnsi="宋体" w:cs="宋体"/>
          <w:spacing w:val="-17"/>
          <w:sz w:val="22"/>
          <w:szCs w:val="22"/>
        </w:rPr>
        <w:t>食品腐败变质，延长食品保存期的保存方法，</w:t>
      </w:r>
      <w:r>
        <w:rPr>
          <w:rFonts w:ascii="宋体" w:eastAsia="宋体" w:hAnsi="宋体" w:cs="宋体"/>
          <w:spacing w:val="51"/>
          <w:sz w:val="22"/>
          <w:szCs w:val="22"/>
        </w:rPr>
        <w:t xml:space="preserve"> </w:t>
      </w:r>
      <w:r>
        <w:rPr>
          <w:rFonts w:ascii="宋体" w:eastAsia="宋体" w:hAnsi="宋体" w:cs="宋体"/>
          <w:spacing w:val="-17"/>
          <w:sz w:val="22"/>
          <w:szCs w:val="22"/>
        </w:rPr>
        <w:t>一般按食品保藏温度分冷藏和</w:t>
      </w:r>
      <w:r>
        <w:rPr>
          <w:rFonts w:ascii="宋体" w:eastAsia="宋体" w:hAnsi="宋体" w:cs="宋体"/>
          <w:spacing w:val="-18"/>
          <w:sz w:val="22"/>
          <w:szCs w:val="22"/>
        </w:rPr>
        <w:t>冷冻</w:t>
      </w:r>
      <w:r>
        <w:rPr>
          <w:rFonts w:ascii="宋体" w:eastAsia="宋体" w:hAnsi="宋体" w:cs="宋体"/>
          <w:sz w:val="22"/>
          <w:szCs w:val="22"/>
        </w:rPr>
        <w:t xml:space="preserve"> </w:t>
      </w:r>
      <w:r>
        <w:rPr>
          <w:rFonts w:ascii="宋体" w:eastAsia="宋体" w:hAnsi="宋体" w:cs="宋体"/>
          <w:spacing w:val="-13"/>
          <w:sz w:val="22"/>
          <w:szCs w:val="22"/>
        </w:rPr>
        <w:t>保藏两种方式。食品低温储藏不仅可以用于新鲜食品物料，也可以用于食品加工</w:t>
      </w:r>
      <w:r>
        <w:rPr>
          <w:rFonts w:ascii="宋体" w:eastAsia="宋体" w:hAnsi="宋体" w:cs="宋体"/>
          <w:spacing w:val="15"/>
          <w:sz w:val="22"/>
          <w:szCs w:val="22"/>
        </w:rPr>
        <w:t xml:space="preserve"> </w:t>
      </w:r>
      <w:r>
        <w:rPr>
          <w:rFonts w:ascii="宋体" w:eastAsia="宋体" w:hAnsi="宋体" w:cs="宋体"/>
          <w:spacing w:val="-16"/>
          <w:sz w:val="22"/>
          <w:szCs w:val="22"/>
        </w:rPr>
        <w:t>品、半成品的储藏。</w:t>
      </w:r>
    </w:p>
    <w:p w:rsidR="00EA40A3" w:rsidRDefault="00E86C16">
      <w:pPr>
        <w:spacing w:before="140" w:line="224" w:lineRule="auto"/>
        <w:ind w:left="69"/>
        <w:rPr>
          <w:rFonts w:ascii="仿宋" w:eastAsia="仿宋" w:hAnsi="仿宋" w:cs="仿宋"/>
          <w:sz w:val="22"/>
          <w:szCs w:val="22"/>
        </w:rPr>
      </w:pPr>
      <w:r>
        <w:rPr>
          <w:rFonts w:ascii="仿宋" w:eastAsia="仿宋" w:hAnsi="仿宋" w:cs="仿宋"/>
          <w:spacing w:val="7"/>
          <w:sz w:val="22"/>
          <w:szCs w:val="22"/>
        </w:rPr>
        <w:t>1.</w:t>
      </w:r>
      <w:r>
        <w:rPr>
          <w:rFonts w:ascii="仿宋" w:eastAsia="仿宋" w:hAnsi="仿宋" w:cs="仿宋"/>
          <w:spacing w:val="-5"/>
          <w:sz w:val="22"/>
          <w:szCs w:val="22"/>
        </w:rPr>
        <w:t xml:space="preserve"> </w:t>
      </w:r>
      <w:r>
        <w:rPr>
          <w:rFonts w:ascii="仿宋" w:eastAsia="仿宋" w:hAnsi="仿宋" w:cs="仿宋"/>
          <w:spacing w:val="7"/>
          <w:sz w:val="22"/>
          <w:szCs w:val="22"/>
        </w:rPr>
        <w:t>食品冷藏</w:t>
      </w:r>
    </w:p>
    <w:p w:rsidR="00EA40A3" w:rsidRDefault="00E86C16">
      <w:pPr>
        <w:spacing w:before="110" w:line="247" w:lineRule="auto"/>
        <w:ind w:left="69" w:right="17" w:firstLine="249"/>
        <w:rPr>
          <w:rFonts w:ascii="宋体" w:eastAsia="宋体" w:hAnsi="宋体" w:cs="宋体"/>
          <w:sz w:val="22"/>
          <w:szCs w:val="22"/>
        </w:rPr>
      </w:pPr>
      <w:r>
        <w:rPr>
          <w:rFonts w:ascii="宋体" w:eastAsia="宋体" w:hAnsi="宋体" w:cs="宋体"/>
          <w:spacing w:val="-14"/>
          <w:sz w:val="22"/>
          <w:szCs w:val="22"/>
        </w:rPr>
        <w:t>食品冷藏是低温保藏中一种常用的保藏方法，它是将预冷后的食品，在稍高</w:t>
      </w:r>
      <w:r>
        <w:rPr>
          <w:rFonts w:ascii="宋体" w:eastAsia="宋体" w:hAnsi="宋体" w:cs="宋体"/>
          <w:spacing w:val="4"/>
          <w:sz w:val="22"/>
          <w:szCs w:val="22"/>
        </w:rPr>
        <w:t xml:space="preserve">  </w:t>
      </w:r>
      <w:r>
        <w:rPr>
          <w:rFonts w:ascii="宋体" w:eastAsia="宋体" w:hAnsi="宋体" w:cs="宋体"/>
          <w:sz w:val="22"/>
          <w:szCs w:val="22"/>
        </w:rPr>
        <w:t>于冰点温度(0℃)的条件下进行储藏，冷藏温度一般</w:t>
      </w:r>
      <w:r>
        <w:rPr>
          <w:rFonts w:ascii="宋体" w:eastAsia="宋体" w:hAnsi="宋体" w:cs="宋体"/>
          <w:spacing w:val="-1"/>
          <w:sz w:val="22"/>
          <w:szCs w:val="22"/>
        </w:rPr>
        <w:t>为-2～15℃,最常用的冷</w:t>
      </w:r>
      <w:r>
        <w:rPr>
          <w:rFonts w:ascii="宋体" w:eastAsia="宋体" w:hAnsi="宋体" w:cs="宋体"/>
          <w:sz w:val="22"/>
          <w:szCs w:val="22"/>
        </w:rPr>
        <w:t xml:space="preserve"> </w:t>
      </w:r>
      <w:r>
        <w:rPr>
          <w:rFonts w:ascii="宋体" w:eastAsia="宋体" w:hAnsi="宋体" w:cs="宋体"/>
          <w:spacing w:val="-9"/>
          <w:sz w:val="22"/>
          <w:szCs w:val="22"/>
        </w:rPr>
        <w:t>藏温度是4～8℃。</w:t>
      </w:r>
    </w:p>
    <w:p w:rsidR="00EA40A3" w:rsidRDefault="00E86C16">
      <w:pPr>
        <w:spacing w:before="48" w:line="245" w:lineRule="auto"/>
        <w:ind w:left="69" w:right="1" w:firstLine="249"/>
        <w:rPr>
          <w:rFonts w:ascii="宋体" w:eastAsia="宋体" w:hAnsi="宋体" w:cs="宋体"/>
          <w:sz w:val="22"/>
          <w:szCs w:val="22"/>
        </w:rPr>
      </w:pPr>
      <w:r>
        <w:rPr>
          <w:rFonts w:ascii="宋体" w:eastAsia="宋体" w:hAnsi="宋体" w:cs="宋体"/>
          <w:spacing w:val="-13"/>
          <w:sz w:val="22"/>
          <w:szCs w:val="22"/>
        </w:rPr>
        <w:t>对大多数食品来说，冷藏不能像热处理、脱水干制、发酵或冻藏那样长期而</w:t>
      </w:r>
      <w:r>
        <w:rPr>
          <w:rFonts w:ascii="宋体" w:eastAsia="宋体" w:hAnsi="宋体" w:cs="宋体"/>
          <w:spacing w:val="4"/>
          <w:sz w:val="22"/>
          <w:szCs w:val="22"/>
        </w:rPr>
        <w:t xml:space="preserve">  </w:t>
      </w:r>
      <w:r>
        <w:rPr>
          <w:rFonts w:ascii="宋体" w:eastAsia="宋体" w:hAnsi="宋体" w:cs="宋体"/>
          <w:spacing w:val="-18"/>
          <w:sz w:val="22"/>
          <w:szCs w:val="22"/>
        </w:rPr>
        <w:t>有效地阻止食品腐败变质，只能减缓食品的变质速度，但若冷</w:t>
      </w:r>
      <w:r>
        <w:rPr>
          <w:rFonts w:ascii="宋体" w:eastAsia="宋体" w:hAnsi="宋体" w:cs="宋体"/>
          <w:spacing w:val="-19"/>
          <w:sz w:val="22"/>
          <w:szCs w:val="22"/>
        </w:rPr>
        <w:t>藏处理妥当，在一定</w:t>
      </w:r>
      <w:r>
        <w:rPr>
          <w:rFonts w:ascii="宋体" w:eastAsia="宋体" w:hAnsi="宋体" w:cs="宋体"/>
          <w:sz w:val="22"/>
          <w:szCs w:val="22"/>
        </w:rPr>
        <w:t xml:space="preserve"> </w:t>
      </w:r>
      <w:r>
        <w:rPr>
          <w:rFonts w:ascii="宋体" w:eastAsia="宋体" w:hAnsi="宋体" w:cs="宋体"/>
          <w:spacing w:val="-18"/>
          <w:sz w:val="22"/>
          <w:szCs w:val="22"/>
        </w:rPr>
        <w:t>的储存期内，对食品风味、质地、营养价值等的不良影响比热处</w:t>
      </w:r>
      <w:r>
        <w:rPr>
          <w:rFonts w:ascii="宋体" w:eastAsia="宋体" w:hAnsi="宋体" w:cs="宋体"/>
          <w:spacing w:val="-19"/>
          <w:sz w:val="22"/>
          <w:szCs w:val="22"/>
        </w:rPr>
        <w:t>理、脱水干制、辐</w:t>
      </w:r>
      <w:r>
        <w:rPr>
          <w:rFonts w:ascii="宋体" w:eastAsia="宋体" w:hAnsi="宋体" w:cs="宋体"/>
          <w:sz w:val="22"/>
          <w:szCs w:val="22"/>
        </w:rPr>
        <w:t xml:space="preserve"> </w:t>
      </w:r>
      <w:r>
        <w:rPr>
          <w:rFonts w:ascii="宋体" w:eastAsia="宋体" w:hAnsi="宋体" w:cs="宋体"/>
          <w:spacing w:val="-18"/>
          <w:sz w:val="22"/>
          <w:szCs w:val="22"/>
        </w:rPr>
        <w:t>照等工艺的影响要小得多。因此，冷藏仅适用于食物的短期储</w:t>
      </w:r>
      <w:r>
        <w:rPr>
          <w:rFonts w:ascii="宋体" w:eastAsia="宋体" w:hAnsi="宋体" w:cs="宋体"/>
          <w:spacing w:val="-19"/>
          <w:sz w:val="22"/>
          <w:szCs w:val="22"/>
        </w:rPr>
        <w:t>藏，对适当延长易腐</w:t>
      </w:r>
      <w:r>
        <w:rPr>
          <w:rFonts w:ascii="宋体" w:eastAsia="宋体" w:hAnsi="宋体" w:cs="宋体"/>
          <w:sz w:val="22"/>
          <w:szCs w:val="22"/>
        </w:rPr>
        <w:t xml:space="preserve"> </w:t>
      </w:r>
      <w:r>
        <w:rPr>
          <w:rFonts w:ascii="宋体" w:eastAsia="宋体" w:hAnsi="宋体" w:cs="宋体"/>
          <w:spacing w:val="-19"/>
          <w:sz w:val="22"/>
          <w:szCs w:val="22"/>
        </w:rPr>
        <w:t>食品及其原料的供应时间，缓解季节性产品的加工高峰起着一定的作用。</w:t>
      </w:r>
    </w:p>
    <w:p w:rsidR="00EA40A3" w:rsidRDefault="00E86C16">
      <w:pPr>
        <w:spacing w:before="79" w:line="241" w:lineRule="auto"/>
        <w:ind w:left="69" w:right="4" w:firstLine="249"/>
        <w:rPr>
          <w:rFonts w:ascii="宋体" w:eastAsia="宋体" w:hAnsi="宋体" w:cs="宋体"/>
          <w:sz w:val="22"/>
          <w:szCs w:val="22"/>
        </w:rPr>
      </w:pPr>
      <w:r>
        <w:rPr>
          <w:rFonts w:ascii="宋体" w:eastAsia="宋体" w:hAnsi="宋体" w:cs="宋体"/>
          <w:spacing w:val="-13"/>
          <w:sz w:val="22"/>
          <w:szCs w:val="22"/>
        </w:rPr>
        <w:t>此外，冷藏技术还用于干酪成熟、牛肉嫩化、肉类腌制、酒类陈酿等工艺处</w:t>
      </w:r>
      <w:r>
        <w:rPr>
          <w:rFonts w:ascii="宋体" w:eastAsia="宋体" w:hAnsi="宋体" w:cs="宋体"/>
          <w:spacing w:val="3"/>
          <w:sz w:val="22"/>
          <w:szCs w:val="22"/>
        </w:rPr>
        <w:t xml:space="preserve">  </w:t>
      </w:r>
      <w:r>
        <w:rPr>
          <w:rFonts w:ascii="宋体" w:eastAsia="宋体" w:hAnsi="宋体" w:cs="宋体"/>
          <w:spacing w:val="-13"/>
          <w:sz w:val="22"/>
          <w:szCs w:val="22"/>
        </w:rPr>
        <w:t>理中，以控制某些食品储藏过程中一些化学和生物酶的反应率，降低有益微生物</w:t>
      </w:r>
      <w:r>
        <w:rPr>
          <w:rFonts w:ascii="宋体" w:eastAsia="宋体" w:hAnsi="宋体" w:cs="宋体"/>
          <w:spacing w:val="14"/>
          <w:sz w:val="22"/>
          <w:szCs w:val="22"/>
        </w:rPr>
        <w:t xml:space="preserve"> </w:t>
      </w:r>
      <w:r>
        <w:rPr>
          <w:rFonts w:ascii="宋体" w:eastAsia="宋体" w:hAnsi="宋体" w:cs="宋体"/>
          <w:spacing w:val="-16"/>
          <w:sz w:val="22"/>
          <w:szCs w:val="22"/>
        </w:rPr>
        <w:t>的新陈代谢速度。</w:t>
      </w:r>
    </w:p>
    <w:p w:rsidR="00EA40A3" w:rsidRDefault="00E86C16">
      <w:pPr>
        <w:spacing w:before="69"/>
        <w:ind w:left="69" w:right="25" w:firstLine="249"/>
        <w:rPr>
          <w:rFonts w:ascii="宋体" w:eastAsia="宋体" w:hAnsi="宋体" w:cs="宋体"/>
          <w:sz w:val="22"/>
          <w:szCs w:val="22"/>
        </w:rPr>
      </w:pPr>
      <w:r>
        <w:rPr>
          <w:rFonts w:ascii="宋体" w:eastAsia="宋体" w:hAnsi="宋体" w:cs="宋体"/>
          <w:spacing w:val="-10"/>
          <w:sz w:val="22"/>
          <w:szCs w:val="22"/>
        </w:rPr>
        <w:t>冷藏处理的新鲜果蔬食品，维生素C</w:t>
      </w:r>
      <w:r>
        <w:rPr>
          <w:rFonts w:ascii="宋体" w:eastAsia="宋体" w:hAnsi="宋体" w:cs="宋体"/>
          <w:spacing w:val="-14"/>
          <w:sz w:val="22"/>
          <w:szCs w:val="22"/>
        </w:rPr>
        <w:t xml:space="preserve"> </w:t>
      </w:r>
      <w:r>
        <w:rPr>
          <w:rFonts w:ascii="宋体" w:eastAsia="宋体" w:hAnsi="宋体" w:cs="宋体"/>
          <w:spacing w:val="-10"/>
          <w:sz w:val="22"/>
          <w:szCs w:val="22"/>
        </w:rPr>
        <w:t>的损失比常温下储存的</w:t>
      </w:r>
      <w:r>
        <w:rPr>
          <w:rFonts w:ascii="宋体" w:eastAsia="宋体" w:hAnsi="宋体" w:cs="宋体"/>
          <w:spacing w:val="-11"/>
          <w:sz w:val="22"/>
          <w:szCs w:val="22"/>
        </w:rPr>
        <w:t>损失小，例如：</w:t>
      </w:r>
      <w:r>
        <w:rPr>
          <w:rFonts w:ascii="宋体" w:eastAsia="宋体" w:hAnsi="宋体" w:cs="宋体"/>
          <w:sz w:val="22"/>
          <w:szCs w:val="22"/>
        </w:rPr>
        <w:t xml:space="preserve"> </w:t>
      </w:r>
      <w:r>
        <w:rPr>
          <w:rFonts w:ascii="宋体" w:eastAsia="宋体" w:hAnsi="宋体" w:cs="宋体"/>
          <w:spacing w:val="-1"/>
          <w:sz w:val="22"/>
          <w:szCs w:val="22"/>
        </w:rPr>
        <w:t>菠菜在室温下储存，其维生素C</w:t>
      </w:r>
      <w:r>
        <w:rPr>
          <w:rFonts w:ascii="宋体" w:eastAsia="宋体" w:hAnsi="宋体" w:cs="宋体"/>
          <w:spacing w:val="13"/>
          <w:sz w:val="22"/>
          <w:szCs w:val="22"/>
        </w:rPr>
        <w:t xml:space="preserve"> </w:t>
      </w:r>
      <w:r>
        <w:rPr>
          <w:rFonts w:ascii="宋体" w:eastAsia="宋体" w:hAnsi="宋体" w:cs="宋体"/>
          <w:spacing w:val="-1"/>
          <w:sz w:val="22"/>
          <w:szCs w:val="22"/>
        </w:rPr>
        <w:t>的损失每天可高达50%;若在冷藏情况下，其</w:t>
      </w:r>
    </w:p>
    <w:p w:rsidR="00EA40A3" w:rsidRDefault="00E86C16">
      <w:pPr>
        <w:spacing w:before="48" w:line="390" w:lineRule="exact"/>
        <w:ind w:left="69"/>
        <w:rPr>
          <w:rFonts w:ascii="宋体" w:eastAsia="宋体" w:hAnsi="宋体" w:cs="宋体"/>
          <w:sz w:val="22"/>
          <w:szCs w:val="22"/>
        </w:rPr>
      </w:pPr>
      <w:r>
        <w:rPr>
          <w:rFonts w:ascii="宋体" w:eastAsia="宋体" w:hAnsi="宋体" w:cs="宋体"/>
          <w:spacing w:val="-4"/>
          <w:position w:val="12"/>
          <w:sz w:val="22"/>
          <w:szCs w:val="22"/>
        </w:rPr>
        <w:t>损失则不会超过10%。表7-1是果蔬冷藏过程中维生素C</w:t>
      </w:r>
      <w:r>
        <w:rPr>
          <w:rFonts w:ascii="宋体" w:eastAsia="宋体" w:hAnsi="宋体" w:cs="宋体"/>
          <w:spacing w:val="-11"/>
          <w:position w:val="12"/>
          <w:sz w:val="22"/>
          <w:szCs w:val="22"/>
        </w:rPr>
        <w:t xml:space="preserve"> </w:t>
      </w:r>
      <w:r>
        <w:rPr>
          <w:rFonts w:ascii="宋体" w:eastAsia="宋体" w:hAnsi="宋体" w:cs="宋体"/>
          <w:spacing w:val="-4"/>
          <w:position w:val="12"/>
          <w:sz w:val="22"/>
          <w:szCs w:val="22"/>
        </w:rPr>
        <w:t>的损失情况。</w:t>
      </w:r>
    </w:p>
    <w:p w:rsidR="00EA40A3" w:rsidRDefault="00E86C16">
      <w:pPr>
        <w:spacing w:line="188" w:lineRule="auto"/>
        <w:ind w:left="1082"/>
        <w:rPr>
          <w:rFonts w:ascii="Times New Roman" w:eastAsia="Times New Roman" w:hAnsi="Times New Roman" w:cs="Times New Roman"/>
          <w:sz w:val="19"/>
          <w:szCs w:val="19"/>
        </w:rPr>
      </w:pPr>
      <w:r>
        <w:rPr>
          <w:rFonts w:ascii="黑体" w:eastAsia="黑体" w:hAnsi="黑体" w:cs="黑体"/>
          <w:b/>
          <w:bCs/>
          <w:spacing w:val="-5"/>
          <w:sz w:val="19"/>
          <w:szCs w:val="19"/>
        </w:rPr>
        <w:t>表7-1</w:t>
      </w:r>
      <w:r>
        <w:rPr>
          <w:rFonts w:ascii="黑体" w:eastAsia="黑体" w:hAnsi="黑体" w:cs="黑体"/>
          <w:spacing w:val="61"/>
          <w:sz w:val="19"/>
          <w:szCs w:val="19"/>
        </w:rPr>
        <w:t xml:space="preserve"> </w:t>
      </w:r>
      <w:r>
        <w:rPr>
          <w:rFonts w:ascii="黑体" w:eastAsia="黑体" w:hAnsi="黑体" w:cs="黑体"/>
          <w:b/>
          <w:bCs/>
          <w:spacing w:val="-5"/>
          <w:sz w:val="19"/>
          <w:szCs w:val="19"/>
        </w:rPr>
        <w:t>果蔬冷藏过程中维生素</w:t>
      </w:r>
      <w:r>
        <w:rPr>
          <w:rFonts w:ascii="Times New Roman" w:eastAsia="Times New Roman" w:hAnsi="Times New Roman" w:cs="Times New Roman"/>
          <w:b/>
          <w:bCs/>
          <w:spacing w:val="-6"/>
          <w:sz w:val="25"/>
          <w:szCs w:val="25"/>
        </w:rPr>
        <w:t>C</w:t>
      </w:r>
      <w:r>
        <w:rPr>
          <w:rFonts w:ascii="黑体" w:eastAsia="黑体" w:hAnsi="黑体" w:cs="黑体"/>
          <w:b/>
          <w:bCs/>
          <w:spacing w:val="-6"/>
          <w:sz w:val="19"/>
          <w:szCs w:val="19"/>
        </w:rPr>
        <w:t>的损失率</w:t>
      </w:r>
      <w:r>
        <w:rPr>
          <w:rFonts w:ascii="黑体" w:eastAsia="黑体" w:hAnsi="黑体" w:cs="黑体"/>
          <w:spacing w:val="-11"/>
          <w:sz w:val="19"/>
          <w:szCs w:val="19"/>
        </w:rPr>
        <w:t xml:space="preserve"> </w:t>
      </w:r>
      <w:r>
        <w:rPr>
          <w:rFonts w:ascii="Times New Roman" w:eastAsia="Times New Roman" w:hAnsi="Times New Roman" w:cs="Times New Roman"/>
          <w:spacing w:val="-6"/>
          <w:sz w:val="19"/>
          <w:szCs w:val="19"/>
        </w:rPr>
        <w:t>(</w:t>
      </w:r>
      <w:r>
        <w:rPr>
          <w:rFonts w:ascii="Times New Roman" w:eastAsia="Times New Roman" w:hAnsi="Times New Roman" w:cs="Times New Roman"/>
          <w:spacing w:val="-5"/>
          <w:sz w:val="19"/>
          <w:szCs w:val="19"/>
        </w:rPr>
        <w:t>Zeuthen</w:t>
      </w:r>
      <w:r>
        <w:rPr>
          <w:rFonts w:ascii="Times New Roman" w:eastAsia="Times New Roman" w:hAnsi="Times New Roman" w:cs="Times New Roman"/>
          <w:spacing w:val="37"/>
          <w:sz w:val="19"/>
          <w:szCs w:val="19"/>
        </w:rPr>
        <w:t xml:space="preserve"> </w:t>
      </w:r>
      <w:r>
        <w:rPr>
          <w:rFonts w:ascii="Times New Roman" w:eastAsia="Times New Roman" w:hAnsi="Times New Roman" w:cs="Times New Roman"/>
          <w:spacing w:val="-5"/>
          <w:sz w:val="19"/>
          <w:szCs w:val="19"/>
        </w:rPr>
        <w:t>et</w:t>
      </w:r>
      <w:r>
        <w:rPr>
          <w:rFonts w:ascii="Times New Roman" w:eastAsia="Times New Roman" w:hAnsi="Times New Roman" w:cs="Times New Roman"/>
          <w:spacing w:val="36"/>
          <w:w w:val="101"/>
          <w:sz w:val="19"/>
          <w:szCs w:val="19"/>
        </w:rPr>
        <w:t xml:space="preserve"> </w:t>
      </w:r>
      <w:r>
        <w:rPr>
          <w:rFonts w:ascii="Times New Roman" w:eastAsia="Times New Roman" w:hAnsi="Times New Roman" w:cs="Times New Roman"/>
          <w:spacing w:val="-5"/>
          <w:sz w:val="19"/>
          <w:szCs w:val="19"/>
        </w:rPr>
        <w:t>al</w:t>
      </w:r>
      <w:r>
        <w:rPr>
          <w:rFonts w:ascii="Times New Roman" w:eastAsia="Times New Roman" w:hAnsi="Times New Roman" w:cs="Times New Roman"/>
          <w:spacing w:val="-6"/>
          <w:sz w:val="19"/>
          <w:szCs w:val="19"/>
        </w:rPr>
        <w:t>.</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6"/>
          <w:sz w:val="19"/>
          <w:szCs w:val="19"/>
        </w:rPr>
        <w:t>1990)</w:t>
      </w:r>
    </w:p>
    <w:p w:rsidR="00EA40A3" w:rsidRDefault="00EA40A3">
      <w:pPr>
        <w:spacing w:line="51" w:lineRule="exact"/>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502"/>
        <w:gridCol w:w="1538"/>
        <w:gridCol w:w="1388"/>
        <w:gridCol w:w="1448"/>
        <w:gridCol w:w="1453"/>
      </w:tblGrid>
      <w:tr w:rsidR="00EA40A3">
        <w:trPr>
          <w:trHeight w:val="291"/>
        </w:trPr>
        <w:tc>
          <w:tcPr>
            <w:tcW w:w="1502" w:type="dxa"/>
            <w:vMerge w:val="restart"/>
            <w:tcBorders>
              <w:top w:val="single" w:sz="4" w:space="0" w:color="000000"/>
              <w:bottom w:val="nil"/>
            </w:tcBorders>
          </w:tcPr>
          <w:p w:rsidR="00EA40A3" w:rsidRDefault="00E86C16">
            <w:pPr>
              <w:spacing w:before="231" w:line="219" w:lineRule="auto"/>
              <w:ind w:left="609"/>
              <w:rPr>
                <w:rFonts w:ascii="宋体" w:eastAsia="宋体" w:hAnsi="宋体" w:cs="宋体"/>
                <w:sz w:val="16"/>
                <w:szCs w:val="16"/>
              </w:rPr>
            </w:pPr>
            <w:r>
              <w:rPr>
                <w:rFonts w:ascii="宋体" w:eastAsia="宋体" w:hAnsi="宋体" w:cs="宋体"/>
                <w:spacing w:val="8"/>
                <w:sz w:val="16"/>
                <w:szCs w:val="16"/>
              </w:rPr>
              <w:t>产品</w:t>
            </w:r>
          </w:p>
        </w:tc>
        <w:tc>
          <w:tcPr>
            <w:tcW w:w="1538" w:type="dxa"/>
            <w:vMerge w:val="restart"/>
            <w:tcBorders>
              <w:top w:val="single" w:sz="4" w:space="0" w:color="000000"/>
              <w:bottom w:val="nil"/>
            </w:tcBorders>
          </w:tcPr>
          <w:p w:rsidR="00EA40A3" w:rsidRDefault="00E86C16">
            <w:pPr>
              <w:spacing w:before="111" w:line="275" w:lineRule="exact"/>
              <w:ind w:left="547"/>
              <w:rPr>
                <w:rFonts w:ascii="宋体" w:eastAsia="宋体" w:hAnsi="宋体" w:cs="宋体"/>
                <w:sz w:val="16"/>
                <w:szCs w:val="16"/>
              </w:rPr>
            </w:pPr>
            <w:r>
              <w:rPr>
                <w:rFonts w:ascii="宋体" w:eastAsia="宋体" w:hAnsi="宋体" w:cs="宋体"/>
                <w:spacing w:val="-2"/>
                <w:position w:val="8"/>
                <w:sz w:val="16"/>
                <w:szCs w:val="16"/>
              </w:rPr>
              <w:t>初含量</w:t>
            </w:r>
          </w:p>
          <w:p w:rsidR="00EA40A3" w:rsidRDefault="00E86C16">
            <w:pPr>
              <w:spacing w:line="208" w:lineRule="auto"/>
              <w:ind w:left="368"/>
              <w:rPr>
                <w:rFonts w:ascii="宋体" w:eastAsia="宋体" w:hAnsi="宋体" w:cs="宋体"/>
                <w:sz w:val="16"/>
                <w:szCs w:val="16"/>
              </w:rPr>
            </w:pPr>
            <w:r>
              <w:rPr>
                <w:rFonts w:ascii="宋体" w:eastAsia="宋体" w:hAnsi="宋体" w:cs="宋体"/>
                <w:spacing w:val="-1"/>
                <w:sz w:val="16"/>
                <w:szCs w:val="16"/>
              </w:rPr>
              <w:t>/(mg/100g)</w:t>
            </w:r>
          </w:p>
        </w:tc>
        <w:tc>
          <w:tcPr>
            <w:tcW w:w="4289" w:type="dxa"/>
            <w:gridSpan w:val="3"/>
            <w:tcBorders>
              <w:top w:val="single" w:sz="4" w:space="0" w:color="000000"/>
              <w:bottom w:val="single" w:sz="4" w:space="0" w:color="000000"/>
            </w:tcBorders>
          </w:tcPr>
          <w:p w:rsidR="00EA40A3" w:rsidRDefault="00E86C16">
            <w:pPr>
              <w:spacing w:before="99" w:line="217" w:lineRule="auto"/>
              <w:ind w:left="1720"/>
              <w:rPr>
                <w:rFonts w:ascii="宋体" w:eastAsia="宋体" w:hAnsi="宋体" w:cs="宋体"/>
                <w:sz w:val="16"/>
                <w:szCs w:val="16"/>
              </w:rPr>
            </w:pPr>
            <w:r>
              <w:rPr>
                <w:rFonts w:ascii="宋体" w:eastAsia="宋体" w:hAnsi="宋体" w:cs="宋体"/>
                <w:spacing w:val="-1"/>
                <w:sz w:val="16"/>
                <w:szCs w:val="16"/>
              </w:rPr>
              <w:t>损失率/%d①</w:t>
            </w:r>
          </w:p>
        </w:tc>
      </w:tr>
      <w:tr w:rsidR="00EA40A3">
        <w:trPr>
          <w:trHeight w:val="266"/>
        </w:trPr>
        <w:tc>
          <w:tcPr>
            <w:tcW w:w="1502" w:type="dxa"/>
            <w:vMerge/>
            <w:tcBorders>
              <w:top w:val="nil"/>
              <w:bottom w:val="single" w:sz="4" w:space="0" w:color="000000"/>
            </w:tcBorders>
          </w:tcPr>
          <w:p w:rsidR="00EA40A3" w:rsidRDefault="00EA40A3"/>
        </w:tc>
        <w:tc>
          <w:tcPr>
            <w:tcW w:w="1538" w:type="dxa"/>
            <w:vMerge/>
            <w:tcBorders>
              <w:top w:val="nil"/>
              <w:bottom w:val="single" w:sz="4" w:space="0" w:color="000000"/>
            </w:tcBorders>
          </w:tcPr>
          <w:p w:rsidR="00EA40A3" w:rsidRDefault="00EA40A3"/>
        </w:tc>
        <w:tc>
          <w:tcPr>
            <w:tcW w:w="1388" w:type="dxa"/>
            <w:tcBorders>
              <w:top w:val="single" w:sz="4" w:space="0" w:color="000000"/>
              <w:bottom w:val="single" w:sz="4" w:space="0" w:color="000000"/>
            </w:tcBorders>
          </w:tcPr>
          <w:p w:rsidR="00EA40A3" w:rsidRDefault="00E86C16">
            <w:pPr>
              <w:spacing w:before="88" w:line="205" w:lineRule="auto"/>
              <w:ind w:left="429"/>
              <w:rPr>
                <w:rFonts w:ascii="宋体" w:eastAsia="宋体" w:hAnsi="宋体" w:cs="宋体"/>
                <w:sz w:val="16"/>
                <w:szCs w:val="16"/>
              </w:rPr>
            </w:pPr>
            <w:r>
              <w:rPr>
                <w:rFonts w:ascii="宋体" w:eastAsia="宋体" w:hAnsi="宋体" w:cs="宋体"/>
                <w:spacing w:val="-2"/>
                <w:sz w:val="16"/>
                <w:szCs w:val="16"/>
              </w:rPr>
              <w:t>0～2℃③</w:t>
            </w:r>
          </w:p>
        </w:tc>
        <w:tc>
          <w:tcPr>
            <w:tcW w:w="1448" w:type="dxa"/>
            <w:tcBorders>
              <w:top w:val="single" w:sz="4" w:space="0" w:color="000000"/>
              <w:bottom w:val="single" w:sz="4" w:space="0" w:color="000000"/>
            </w:tcBorders>
          </w:tcPr>
          <w:p w:rsidR="00EA40A3" w:rsidRDefault="00E86C16">
            <w:pPr>
              <w:spacing w:before="78" w:line="216" w:lineRule="auto"/>
              <w:ind w:left="451"/>
              <w:rPr>
                <w:rFonts w:ascii="宋体" w:eastAsia="宋体" w:hAnsi="宋体" w:cs="宋体"/>
                <w:sz w:val="16"/>
                <w:szCs w:val="16"/>
              </w:rPr>
            </w:pPr>
            <w:r>
              <w:rPr>
                <w:rFonts w:ascii="宋体" w:eastAsia="宋体" w:hAnsi="宋体" w:cs="宋体"/>
                <w:spacing w:val="-1"/>
                <w:sz w:val="16"/>
                <w:szCs w:val="16"/>
              </w:rPr>
              <w:t>4～8℃③</w:t>
            </w:r>
          </w:p>
        </w:tc>
        <w:tc>
          <w:tcPr>
            <w:tcW w:w="1453" w:type="dxa"/>
            <w:tcBorders>
              <w:top w:val="single" w:sz="4" w:space="0" w:color="000000"/>
              <w:bottom w:val="single" w:sz="4" w:space="0" w:color="000000"/>
            </w:tcBorders>
          </w:tcPr>
          <w:p w:rsidR="00EA40A3" w:rsidRDefault="00E86C16">
            <w:pPr>
              <w:spacing w:before="78" w:line="216" w:lineRule="auto"/>
              <w:ind w:left="373"/>
              <w:rPr>
                <w:rFonts w:ascii="宋体" w:eastAsia="宋体" w:hAnsi="宋体" w:cs="宋体"/>
                <w:sz w:val="16"/>
                <w:szCs w:val="16"/>
              </w:rPr>
            </w:pPr>
            <w:r>
              <w:rPr>
                <w:rFonts w:ascii="宋体" w:eastAsia="宋体" w:hAnsi="宋体" w:cs="宋体"/>
                <w:spacing w:val="-3"/>
                <w:sz w:val="16"/>
                <w:szCs w:val="16"/>
              </w:rPr>
              <w:t>16～24℃④</w:t>
            </w:r>
          </w:p>
        </w:tc>
      </w:tr>
      <w:tr w:rsidR="00EA40A3">
        <w:trPr>
          <w:trHeight w:val="281"/>
        </w:trPr>
        <w:tc>
          <w:tcPr>
            <w:tcW w:w="1502" w:type="dxa"/>
            <w:tcBorders>
              <w:top w:val="single" w:sz="4" w:space="0" w:color="000000"/>
            </w:tcBorders>
          </w:tcPr>
          <w:p w:rsidR="00EA40A3" w:rsidRDefault="00E86C16">
            <w:pPr>
              <w:spacing w:before="75" w:line="220" w:lineRule="auto"/>
              <w:ind w:left="589"/>
              <w:rPr>
                <w:rFonts w:ascii="宋体" w:eastAsia="宋体" w:hAnsi="宋体" w:cs="宋体"/>
                <w:sz w:val="16"/>
                <w:szCs w:val="16"/>
              </w:rPr>
            </w:pPr>
            <w:r>
              <w:rPr>
                <w:rFonts w:ascii="宋体" w:eastAsia="宋体" w:hAnsi="宋体" w:cs="宋体"/>
                <w:spacing w:val="-2"/>
                <w:sz w:val="16"/>
                <w:szCs w:val="16"/>
              </w:rPr>
              <w:t>苹果</w:t>
            </w:r>
          </w:p>
        </w:tc>
        <w:tc>
          <w:tcPr>
            <w:tcW w:w="1538" w:type="dxa"/>
            <w:tcBorders>
              <w:top w:val="single" w:sz="4" w:space="0" w:color="000000"/>
            </w:tcBorders>
          </w:tcPr>
          <w:p w:rsidR="00EA40A3" w:rsidRDefault="00E86C16">
            <w:pPr>
              <w:spacing w:before="114" w:line="184" w:lineRule="auto"/>
              <w:ind w:left="707"/>
              <w:rPr>
                <w:rFonts w:ascii="宋体" w:eastAsia="宋体" w:hAnsi="宋体" w:cs="宋体"/>
                <w:sz w:val="16"/>
                <w:szCs w:val="16"/>
              </w:rPr>
            </w:pPr>
            <w:r>
              <w:rPr>
                <w:rFonts w:ascii="宋体" w:eastAsia="宋体" w:hAnsi="宋体" w:cs="宋体"/>
                <w:spacing w:val="-5"/>
                <w:sz w:val="16"/>
                <w:szCs w:val="16"/>
              </w:rPr>
              <w:t>12</w:t>
            </w:r>
          </w:p>
        </w:tc>
        <w:tc>
          <w:tcPr>
            <w:tcW w:w="1388" w:type="dxa"/>
            <w:tcBorders>
              <w:top w:val="single" w:sz="4" w:space="0" w:color="000000"/>
            </w:tcBorders>
          </w:tcPr>
          <w:p w:rsidR="00EA40A3" w:rsidRDefault="00E86C16">
            <w:pPr>
              <w:spacing w:before="135" w:line="168" w:lineRule="auto"/>
              <w:ind w:left="379"/>
              <w:rPr>
                <w:rFonts w:ascii="宋体" w:eastAsia="宋体" w:hAnsi="宋体" w:cs="宋体"/>
                <w:sz w:val="16"/>
                <w:szCs w:val="16"/>
              </w:rPr>
            </w:pPr>
            <w:r>
              <w:rPr>
                <w:rFonts w:ascii="宋体" w:eastAsia="宋体" w:hAnsi="宋体" w:cs="宋体"/>
                <w:spacing w:val="-6"/>
                <w:sz w:val="16"/>
                <w:szCs w:val="16"/>
              </w:rPr>
              <w:t>0</w:t>
            </w:r>
            <w:r>
              <w:rPr>
                <w:rFonts w:ascii="宋体" w:eastAsia="宋体" w:hAnsi="宋体" w:cs="宋体"/>
                <w:spacing w:val="21"/>
                <w:sz w:val="16"/>
                <w:szCs w:val="16"/>
              </w:rPr>
              <w:t xml:space="preserve"> </w:t>
            </w:r>
            <w:r>
              <w:rPr>
                <w:rFonts w:ascii="宋体" w:eastAsia="宋体" w:hAnsi="宋体" w:cs="宋体"/>
                <w:spacing w:val="-6"/>
                <w:sz w:val="16"/>
                <w:szCs w:val="16"/>
              </w:rPr>
              <w:t>1～0</w:t>
            </w:r>
            <w:r>
              <w:rPr>
                <w:rFonts w:ascii="宋体" w:eastAsia="宋体" w:hAnsi="宋体" w:cs="宋体"/>
                <w:spacing w:val="9"/>
                <w:sz w:val="16"/>
                <w:szCs w:val="16"/>
              </w:rPr>
              <w:t xml:space="preserve"> </w:t>
            </w:r>
            <w:r>
              <w:rPr>
                <w:rFonts w:ascii="宋体" w:eastAsia="宋体" w:hAnsi="宋体" w:cs="宋体"/>
                <w:spacing w:val="-6"/>
                <w:sz w:val="16"/>
                <w:szCs w:val="16"/>
              </w:rPr>
              <w:t>5</w:t>
            </w:r>
          </w:p>
        </w:tc>
        <w:tc>
          <w:tcPr>
            <w:tcW w:w="1448" w:type="dxa"/>
            <w:tcBorders>
              <w:top w:val="single" w:sz="4" w:space="0" w:color="000000"/>
            </w:tcBorders>
          </w:tcPr>
          <w:p w:rsidR="00EA40A3" w:rsidRDefault="00EA40A3"/>
        </w:tc>
        <w:tc>
          <w:tcPr>
            <w:tcW w:w="1453" w:type="dxa"/>
            <w:tcBorders>
              <w:top w:val="single" w:sz="4" w:space="0" w:color="000000"/>
            </w:tcBorders>
          </w:tcPr>
          <w:p w:rsidR="00EA40A3" w:rsidRDefault="00E86C16">
            <w:pPr>
              <w:spacing w:before="115" w:line="183" w:lineRule="auto"/>
              <w:ind w:left="423"/>
              <w:rPr>
                <w:rFonts w:ascii="宋体" w:eastAsia="宋体" w:hAnsi="宋体" w:cs="宋体"/>
                <w:sz w:val="16"/>
                <w:szCs w:val="16"/>
              </w:rPr>
            </w:pPr>
            <w:r>
              <w:rPr>
                <w:rFonts w:ascii="宋体" w:eastAsia="宋体" w:hAnsi="宋体" w:cs="宋体"/>
                <w:spacing w:val="-2"/>
                <w:sz w:val="16"/>
                <w:szCs w:val="16"/>
              </w:rPr>
              <w:t>3.0～8.0</w:t>
            </w:r>
          </w:p>
        </w:tc>
      </w:tr>
      <w:tr w:rsidR="00EA40A3">
        <w:trPr>
          <w:trHeight w:val="247"/>
        </w:trPr>
        <w:tc>
          <w:tcPr>
            <w:tcW w:w="1502" w:type="dxa"/>
          </w:tcPr>
          <w:p w:rsidR="00EA40A3" w:rsidRDefault="00E86C16">
            <w:pPr>
              <w:spacing w:before="53" w:line="219" w:lineRule="auto"/>
              <w:ind w:left="349"/>
              <w:rPr>
                <w:rFonts w:ascii="宋体" w:eastAsia="宋体" w:hAnsi="宋体" w:cs="宋体"/>
                <w:sz w:val="16"/>
                <w:szCs w:val="16"/>
              </w:rPr>
            </w:pPr>
            <w:r>
              <w:rPr>
                <w:rFonts w:ascii="宋体" w:eastAsia="宋体" w:hAnsi="宋体" w:cs="宋体"/>
                <w:spacing w:val="-2"/>
                <w:sz w:val="16"/>
                <w:szCs w:val="16"/>
              </w:rPr>
              <w:t>龙眼卷心菜</w:t>
            </w:r>
          </w:p>
        </w:tc>
        <w:tc>
          <w:tcPr>
            <w:tcW w:w="1538" w:type="dxa"/>
          </w:tcPr>
          <w:p w:rsidR="00EA40A3" w:rsidRDefault="00E86C16">
            <w:pPr>
              <w:spacing w:before="83" w:line="184" w:lineRule="auto"/>
              <w:ind w:left="667"/>
              <w:rPr>
                <w:rFonts w:ascii="宋体" w:eastAsia="宋体" w:hAnsi="宋体" w:cs="宋体"/>
                <w:sz w:val="16"/>
                <w:szCs w:val="16"/>
              </w:rPr>
            </w:pPr>
            <w:r>
              <w:rPr>
                <w:rFonts w:ascii="宋体" w:eastAsia="宋体" w:hAnsi="宋体" w:cs="宋体"/>
                <w:spacing w:val="-5"/>
                <w:sz w:val="16"/>
                <w:szCs w:val="16"/>
              </w:rPr>
              <w:t>114</w:t>
            </w:r>
          </w:p>
        </w:tc>
        <w:tc>
          <w:tcPr>
            <w:tcW w:w="1388" w:type="dxa"/>
          </w:tcPr>
          <w:p w:rsidR="00EA40A3" w:rsidRDefault="00EA40A3"/>
        </w:tc>
        <w:tc>
          <w:tcPr>
            <w:tcW w:w="1448" w:type="dxa"/>
          </w:tcPr>
          <w:p w:rsidR="00EA40A3" w:rsidRDefault="00E86C16">
            <w:pPr>
              <w:spacing w:before="94" w:line="176" w:lineRule="auto"/>
              <w:ind w:left="611"/>
              <w:rPr>
                <w:rFonts w:ascii="宋体" w:eastAsia="宋体" w:hAnsi="宋体" w:cs="宋体"/>
                <w:sz w:val="16"/>
                <w:szCs w:val="16"/>
              </w:rPr>
            </w:pPr>
            <w:r>
              <w:rPr>
                <w:rFonts w:ascii="宋体" w:eastAsia="宋体" w:hAnsi="宋体" w:cs="宋体"/>
                <w:spacing w:val="-3"/>
                <w:sz w:val="16"/>
                <w:szCs w:val="16"/>
              </w:rPr>
              <w:t>5.0</w:t>
            </w:r>
          </w:p>
        </w:tc>
        <w:tc>
          <w:tcPr>
            <w:tcW w:w="1453" w:type="dxa"/>
          </w:tcPr>
          <w:p w:rsidR="00EA40A3" w:rsidRDefault="00E86C16">
            <w:pPr>
              <w:spacing w:before="94" w:line="176" w:lineRule="auto"/>
              <w:ind w:left="583"/>
              <w:rPr>
                <w:rFonts w:ascii="宋体" w:eastAsia="宋体" w:hAnsi="宋体" w:cs="宋体"/>
                <w:sz w:val="16"/>
                <w:szCs w:val="16"/>
              </w:rPr>
            </w:pPr>
            <w:r>
              <w:rPr>
                <w:rFonts w:ascii="宋体" w:eastAsia="宋体" w:hAnsi="宋体" w:cs="宋体"/>
                <w:spacing w:val="-2"/>
                <w:sz w:val="16"/>
                <w:szCs w:val="16"/>
              </w:rPr>
              <w:t>22.0</w:t>
            </w:r>
          </w:p>
        </w:tc>
      </w:tr>
      <w:tr w:rsidR="00EA40A3">
        <w:trPr>
          <w:trHeight w:val="246"/>
        </w:trPr>
        <w:tc>
          <w:tcPr>
            <w:tcW w:w="1502" w:type="dxa"/>
          </w:tcPr>
          <w:p w:rsidR="00EA40A3" w:rsidRDefault="00E86C16">
            <w:pPr>
              <w:spacing w:before="46" w:line="219" w:lineRule="auto"/>
              <w:ind w:left="509"/>
              <w:rPr>
                <w:rFonts w:ascii="宋体" w:eastAsia="宋体" w:hAnsi="宋体" w:cs="宋体"/>
                <w:sz w:val="16"/>
                <w:szCs w:val="16"/>
              </w:rPr>
            </w:pPr>
            <w:r>
              <w:rPr>
                <w:rFonts w:ascii="宋体" w:eastAsia="宋体" w:hAnsi="宋体" w:cs="宋体"/>
                <w:spacing w:val="-2"/>
                <w:sz w:val="16"/>
                <w:szCs w:val="16"/>
              </w:rPr>
              <w:t>花椰菜</w:t>
            </w:r>
          </w:p>
        </w:tc>
        <w:tc>
          <w:tcPr>
            <w:tcW w:w="1538" w:type="dxa"/>
          </w:tcPr>
          <w:p w:rsidR="00EA40A3" w:rsidRDefault="00E86C16">
            <w:pPr>
              <w:spacing w:before="97" w:line="171" w:lineRule="auto"/>
              <w:ind w:left="707"/>
              <w:rPr>
                <w:rFonts w:ascii="宋体" w:eastAsia="宋体" w:hAnsi="宋体" w:cs="宋体"/>
                <w:sz w:val="16"/>
                <w:szCs w:val="16"/>
              </w:rPr>
            </w:pPr>
            <w:r>
              <w:rPr>
                <w:rFonts w:ascii="宋体" w:eastAsia="宋体" w:hAnsi="宋体" w:cs="宋体"/>
                <w:spacing w:val="-3"/>
                <w:sz w:val="16"/>
                <w:szCs w:val="16"/>
              </w:rPr>
              <w:t>73</w:t>
            </w:r>
          </w:p>
        </w:tc>
        <w:tc>
          <w:tcPr>
            <w:tcW w:w="1388" w:type="dxa"/>
          </w:tcPr>
          <w:p w:rsidR="00EA40A3" w:rsidRDefault="00E86C16">
            <w:pPr>
              <w:spacing w:before="96" w:line="172" w:lineRule="auto"/>
              <w:ind w:left="379"/>
              <w:rPr>
                <w:rFonts w:ascii="宋体" w:eastAsia="宋体" w:hAnsi="宋体" w:cs="宋体"/>
                <w:sz w:val="16"/>
                <w:szCs w:val="16"/>
              </w:rPr>
            </w:pPr>
            <w:r>
              <w:rPr>
                <w:rFonts w:ascii="宋体" w:eastAsia="宋体" w:hAnsi="宋体" w:cs="宋体"/>
                <w:spacing w:val="-2"/>
                <w:sz w:val="16"/>
                <w:szCs w:val="16"/>
              </w:rPr>
              <w:t>0.1～0.2</w:t>
            </w:r>
          </w:p>
        </w:tc>
        <w:tc>
          <w:tcPr>
            <w:tcW w:w="1448" w:type="dxa"/>
          </w:tcPr>
          <w:p w:rsidR="00EA40A3" w:rsidRDefault="00E86C16">
            <w:pPr>
              <w:spacing w:before="87" w:line="183" w:lineRule="auto"/>
              <w:ind w:left="411"/>
              <w:rPr>
                <w:rFonts w:ascii="宋体" w:eastAsia="宋体" w:hAnsi="宋体" w:cs="宋体"/>
                <w:sz w:val="16"/>
                <w:szCs w:val="16"/>
              </w:rPr>
            </w:pPr>
            <w:r>
              <w:rPr>
                <w:rFonts w:ascii="宋体" w:eastAsia="宋体" w:hAnsi="宋体" w:cs="宋体"/>
                <w:spacing w:val="-2"/>
                <w:sz w:val="16"/>
                <w:szCs w:val="16"/>
              </w:rPr>
              <w:t>0.1～0.7</w:t>
            </w:r>
          </w:p>
        </w:tc>
        <w:tc>
          <w:tcPr>
            <w:tcW w:w="1453" w:type="dxa"/>
          </w:tcPr>
          <w:p w:rsidR="00EA40A3" w:rsidRDefault="00E86C16">
            <w:pPr>
              <w:spacing w:before="96" w:line="172" w:lineRule="auto"/>
              <w:ind w:left="384"/>
              <w:rPr>
                <w:rFonts w:ascii="宋体" w:eastAsia="宋体" w:hAnsi="宋体" w:cs="宋体"/>
                <w:sz w:val="16"/>
                <w:szCs w:val="16"/>
              </w:rPr>
            </w:pPr>
            <w:r>
              <w:rPr>
                <w:rFonts w:ascii="宋体" w:eastAsia="宋体" w:hAnsi="宋体" w:cs="宋体"/>
                <w:spacing w:val="-2"/>
                <w:sz w:val="16"/>
                <w:szCs w:val="16"/>
              </w:rPr>
              <w:t>7.0～14.0</w:t>
            </w:r>
          </w:p>
        </w:tc>
      </w:tr>
      <w:tr w:rsidR="00EA40A3">
        <w:trPr>
          <w:trHeight w:val="256"/>
        </w:trPr>
        <w:tc>
          <w:tcPr>
            <w:tcW w:w="1502" w:type="dxa"/>
          </w:tcPr>
          <w:p w:rsidR="00EA40A3" w:rsidRDefault="00E86C16">
            <w:pPr>
              <w:spacing w:before="50" w:line="219" w:lineRule="auto"/>
              <w:ind w:left="589"/>
              <w:rPr>
                <w:rFonts w:ascii="宋体" w:eastAsia="宋体" w:hAnsi="宋体" w:cs="宋体"/>
                <w:sz w:val="16"/>
                <w:szCs w:val="16"/>
              </w:rPr>
            </w:pPr>
            <w:r>
              <w:rPr>
                <w:rFonts w:ascii="宋体" w:eastAsia="宋体" w:hAnsi="宋体" w:cs="宋体"/>
                <w:spacing w:val="-2"/>
                <w:sz w:val="16"/>
                <w:szCs w:val="16"/>
              </w:rPr>
              <w:t>樱桃</w:t>
            </w:r>
          </w:p>
        </w:tc>
        <w:tc>
          <w:tcPr>
            <w:tcW w:w="1538" w:type="dxa"/>
          </w:tcPr>
          <w:p w:rsidR="00EA40A3" w:rsidRDefault="00E86C16">
            <w:pPr>
              <w:spacing w:before="100" w:line="179" w:lineRule="auto"/>
              <w:ind w:left="707"/>
              <w:rPr>
                <w:rFonts w:ascii="宋体" w:eastAsia="宋体" w:hAnsi="宋体" w:cs="宋体"/>
                <w:sz w:val="16"/>
                <w:szCs w:val="16"/>
              </w:rPr>
            </w:pPr>
            <w:r>
              <w:rPr>
                <w:rFonts w:ascii="宋体" w:eastAsia="宋体" w:hAnsi="宋体" w:cs="宋体"/>
                <w:spacing w:val="-5"/>
                <w:sz w:val="16"/>
                <w:szCs w:val="16"/>
              </w:rPr>
              <w:t>15</w:t>
            </w:r>
          </w:p>
        </w:tc>
        <w:tc>
          <w:tcPr>
            <w:tcW w:w="1388" w:type="dxa"/>
          </w:tcPr>
          <w:p w:rsidR="00EA40A3" w:rsidRDefault="00EA40A3"/>
        </w:tc>
        <w:tc>
          <w:tcPr>
            <w:tcW w:w="1448" w:type="dxa"/>
          </w:tcPr>
          <w:p w:rsidR="00EA40A3" w:rsidRDefault="00E86C16">
            <w:pPr>
              <w:spacing w:before="111" w:line="167" w:lineRule="auto"/>
              <w:ind w:left="332"/>
              <w:rPr>
                <w:rFonts w:ascii="宋体" w:eastAsia="宋体" w:hAnsi="宋体" w:cs="宋体"/>
                <w:sz w:val="16"/>
                <w:szCs w:val="16"/>
              </w:rPr>
            </w:pPr>
            <w:r>
              <w:rPr>
                <w:rFonts w:ascii="宋体" w:eastAsia="宋体" w:hAnsi="宋体" w:cs="宋体"/>
                <w:spacing w:val="-3"/>
                <w:sz w:val="16"/>
                <w:szCs w:val="16"/>
              </w:rPr>
              <w:t>18.0～25.0</w:t>
            </w:r>
          </w:p>
        </w:tc>
        <w:tc>
          <w:tcPr>
            <w:tcW w:w="1453" w:type="dxa"/>
          </w:tcPr>
          <w:p w:rsidR="00EA40A3" w:rsidRDefault="00E86C16">
            <w:pPr>
              <w:spacing w:before="111" w:line="167" w:lineRule="auto"/>
              <w:ind w:left="343"/>
              <w:rPr>
                <w:rFonts w:ascii="宋体" w:eastAsia="宋体" w:hAnsi="宋体" w:cs="宋体"/>
                <w:sz w:val="16"/>
                <w:szCs w:val="16"/>
              </w:rPr>
            </w:pPr>
            <w:r>
              <w:rPr>
                <w:rFonts w:ascii="宋体" w:eastAsia="宋体" w:hAnsi="宋体" w:cs="宋体"/>
                <w:spacing w:val="-3"/>
                <w:sz w:val="16"/>
                <w:szCs w:val="16"/>
              </w:rPr>
              <w:t>18.0～25.0</w:t>
            </w:r>
          </w:p>
        </w:tc>
      </w:tr>
      <w:tr w:rsidR="00EA40A3">
        <w:trPr>
          <w:trHeight w:val="246"/>
        </w:trPr>
        <w:tc>
          <w:tcPr>
            <w:tcW w:w="1502" w:type="dxa"/>
          </w:tcPr>
          <w:p w:rsidR="00EA40A3" w:rsidRDefault="00E86C16">
            <w:pPr>
              <w:spacing w:before="55" w:line="220" w:lineRule="auto"/>
              <w:ind w:left="589"/>
              <w:rPr>
                <w:rFonts w:ascii="宋体" w:eastAsia="宋体" w:hAnsi="宋体" w:cs="宋体"/>
                <w:sz w:val="16"/>
                <w:szCs w:val="16"/>
              </w:rPr>
            </w:pPr>
            <w:r>
              <w:rPr>
                <w:rFonts w:ascii="宋体" w:eastAsia="宋体" w:hAnsi="宋体" w:cs="宋体"/>
                <w:spacing w:val="-2"/>
                <w:sz w:val="16"/>
                <w:szCs w:val="16"/>
              </w:rPr>
              <w:t>甘蓝</w:t>
            </w:r>
          </w:p>
        </w:tc>
        <w:tc>
          <w:tcPr>
            <w:tcW w:w="1538" w:type="dxa"/>
          </w:tcPr>
          <w:p w:rsidR="00EA40A3" w:rsidRDefault="00E86C16">
            <w:pPr>
              <w:spacing w:before="105" w:line="162" w:lineRule="auto"/>
              <w:ind w:left="667"/>
              <w:rPr>
                <w:rFonts w:ascii="宋体" w:eastAsia="宋体" w:hAnsi="宋体" w:cs="宋体"/>
                <w:sz w:val="16"/>
                <w:szCs w:val="16"/>
              </w:rPr>
            </w:pPr>
            <w:r>
              <w:rPr>
                <w:rFonts w:ascii="宋体" w:eastAsia="宋体" w:hAnsi="宋体" w:cs="宋体"/>
                <w:spacing w:val="-5"/>
                <w:sz w:val="16"/>
                <w:szCs w:val="16"/>
              </w:rPr>
              <w:t>105</w:t>
            </w:r>
          </w:p>
        </w:tc>
        <w:tc>
          <w:tcPr>
            <w:tcW w:w="1388" w:type="dxa"/>
          </w:tcPr>
          <w:p w:rsidR="00EA40A3" w:rsidRDefault="00E86C16">
            <w:pPr>
              <w:spacing w:before="96" w:line="173" w:lineRule="auto"/>
              <w:ind w:left="379"/>
              <w:rPr>
                <w:rFonts w:ascii="宋体" w:eastAsia="宋体" w:hAnsi="宋体" w:cs="宋体"/>
                <w:sz w:val="16"/>
                <w:szCs w:val="16"/>
              </w:rPr>
            </w:pPr>
            <w:r>
              <w:rPr>
                <w:rFonts w:ascii="宋体" w:eastAsia="宋体" w:hAnsi="宋体" w:cs="宋体"/>
                <w:spacing w:val="-2"/>
                <w:sz w:val="16"/>
                <w:szCs w:val="16"/>
              </w:rPr>
              <w:t>0.5～4.4</w:t>
            </w:r>
          </w:p>
        </w:tc>
        <w:tc>
          <w:tcPr>
            <w:tcW w:w="1448" w:type="dxa"/>
          </w:tcPr>
          <w:p w:rsidR="00EA40A3" w:rsidRDefault="00EA40A3"/>
        </w:tc>
        <w:tc>
          <w:tcPr>
            <w:tcW w:w="1453" w:type="dxa"/>
          </w:tcPr>
          <w:p w:rsidR="00EA40A3" w:rsidRDefault="00E86C16">
            <w:pPr>
              <w:spacing w:before="96" w:line="173" w:lineRule="auto"/>
              <w:ind w:left="343"/>
              <w:rPr>
                <w:rFonts w:ascii="宋体" w:eastAsia="宋体" w:hAnsi="宋体" w:cs="宋体"/>
                <w:sz w:val="16"/>
                <w:szCs w:val="16"/>
              </w:rPr>
            </w:pPr>
            <w:r>
              <w:rPr>
                <w:rFonts w:ascii="宋体" w:eastAsia="宋体" w:hAnsi="宋体" w:cs="宋体"/>
                <w:spacing w:val="-1"/>
                <w:sz w:val="16"/>
                <w:szCs w:val="16"/>
              </w:rPr>
              <w:t>20.0～23.0</w:t>
            </w:r>
          </w:p>
        </w:tc>
      </w:tr>
      <w:tr w:rsidR="00EA40A3">
        <w:trPr>
          <w:trHeight w:val="249"/>
        </w:trPr>
        <w:tc>
          <w:tcPr>
            <w:tcW w:w="1502" w:type="dxa"/>
          </w:tcPr>
          <w:p w:rsidR="00EA40A3" w:rsidRDefault="00E86C16">
            <w:pPr>
              <w:spacing w:before="67" w:line="209" w:lineRule="auto"/>
              <w:ind w:left="669"/>
              <w:rPr>
                <w:rFonts w:ascii="宋体" w:eastAsia="宋体" w:hAnsi="宋体" w:cs="宋体"/>
                <w:sz w:val="16"/>
                <w:szCs w:val="16"/>
              </w:rPr>
            </w:pPr>
            <w:r>
              <w:rPr>
                <w:rFonts w:ascii="宋体" w:eastAsia="宋体" w:hAnsi="宋体" w:cs="宋体"/>
                <w:sz w:val="16"/>
                <w:szCs w:val="16"/>
              </w:rPr>
              <w:t>橙</w:t>
            </w:r>
          </w:p>
        </w:tc>
        <w:tc>
          <w:tcPr>
            <w:tcW w:w="1538" w:type="dxa"/>
          </w:tcPr>
          <w:p w:rsidR="00EA40A3" w:rsidRDefault="00E86C16">
            <w:pPr>
              <w:spacing w:before="109" w:line="161" w:lineRule="auto"/>
              <w:ind w:left="707"/>
              <w:rPr>
                <w:rFonts w:ascii="宋体" w:eastAsia="宋体" w:hAnsi="宋体" w:cs="宋体"/>
                <w:sz w:val="16"/>
                <w:szCs w:val="16"/>
              </w:rPr>
            </w:pPr>
            <w:r>
              <w:rPr>
                <w:rFonts w:ascii="宋体" w:eastAsia="宋体" w:hAnsi="宋体" w:cs="宋体"/>
                <w:spacing w:val="-3"/>
                <w:sz w:val="16"/>
                <w:szCs w:val="16"/>
              </w:rPr>
              <w:t>50</w:t>
            </w:r>
          </w:p>
        </w:tc>
        <w:tc>
          <w:tcPr>
            <w:tcW w:w="1388" w:type="dxa"/>
          </w:tcPr>
          <w:p w:rsidR="00EA40A3" w:rsidRDefault="00E86C16">
            <w:pPr>
              <w:spacing w:before="99" w:line="172" w:lineRule="auto"/>
              <w:ind w:left="539"/>
              <w:rPr>
                <w:rFonts w:ascii="宋体" w:eastAsia="宋体" w:hAnsi="宋体" w:cs="宋体"/>
                <w:sz w:val="16"/>
                <w:szCs w:val="16"/>
              </w:rPr>
            </w:pPr>
            <w:r>
              <w:rPr>
                <w:rFonts w:ascii="宋体" w:eastAsia="宋体" w:hAnsi="宋体" w:cs="宋体"/>
                <w:spacing w:val="-2"/>
                <w:sz w:val="16"/>
                <w:szCs w:val="16"/>
              </w:rPr>
              <w:t>26.0</w:t>
            </w:r>
          </w:p>
        </w:tc>
        <w:tc>
          <w:tcPr>
            <w:tcW w:w="1448" w:type="dxa"/>
          </w:tcPr>
          <w:p w:rsidR="00EA40A3" w:rsidRDefault="00E86C16">
            <w:pPr>
              <w:spacing w:before="119" w:line="129" w:lineRule="exact"/>
              <w:ind w:left="572"/>
              <w:rPr>
                <w:rFonts w:ascii="宋体" w:eastAsia="宋体" w:hAnsi="宋体" w:cs="宋体"/>
                <w:sz w:val="16"/>
                <w:szCs w:val="16"/>
              </w:rPr>
            </w:pPr>
            <w:r>
              <w:rPr>
                <w:rFonts w:ascii="宋体" w:eastAsia="宋体" w:hAnsi="宋体" w:cs="宋体"/>
                <w:spacing w:val="-4"/>
                <w:position w:val="-2"/>
                <w:sz w:val="16"/>
                <w:szCs w:val="16"/>
              </w:rPr>
              <w:t>10.0</w:t>
            </w:r>
          </w:p>
        </w:tc>
        <w:tc>
          <w:tcPr>
            <w:tcW w:w="1453" w:type="dxa"/>
          </w:tcPr>
          <w:p w:rsidR="00EA40A3" w:rsidRDefault="00E86C16">
            <w:pPr>
              <w:spacing w:before="109" w:line="161" w:lineRule="auto"/>
              <w:ind w:left="343"/>
              <w:rPr>
                <w:rFonts w:ascii="宋体" w:eastAsia="宋体" w:hAnsi="宋体" w:cs="宋体"/>
                <w:sz w:val="16"/>
                <w:szCs w:val="16"/>
              </w:rPr>
            </w:pPr>
            <w:r>
              <w:rPr>
                <w:rFonts w:ascii="宋体" w:eastAsia="宋体" w:hAnsi="宋体" w:cs="宋体"/>
                <w:spacing w:val="-3"/>
                <w:sz w:val="16"/>
                <w:szCs w:val="16"/>
              </w:rPr>
              <w:t>16.0～20.0</w:t>
            </w:r>
          </w:p>
        </w:tc>
      </w:tr>
      <w:tr w:rsidR="00EA40A3">
        <w:trPr>
          <w:trHeight w:val="259"/>
        </w:trPr>
        <w:tc>
          <w:tcPr>
            <w:tcW w:w="1502" w:type="dxa"/>
          </w:tcPr>
          <w:p w:rsidR="00EA40A3" w:rsidRDefault="00E86C16">
            <w:pPr>
              <w:spacing w:before="61" w:line="221" w:lineRule="auto"/>
              <w:ind w:left="589"/>
              <w:rPr>
                <w:rFonts w:ascii="宋体" w:eastAsia="宋体" w:hAnsi="宋体" w:cs="宋体"/>
                <w:sz w:val="16"/>
                <w:szCs w:val="16"/>
              </w:rPr>
            </w:pPr>
            <w:r>
              <w:rPr>
                <w:rFonts w:ascii="宋体" w:eastAsia="宋体" w:hAnsi="宋体" w:cs="宋体"/>
                <w:spacing w:val="-2"/>
                <w:sz w:val="16"/>
                <w:szCs w:val="16"/>
              </w:rPr>
              <w:t>豌豆</w:t>
            </w:r>
          </w:p>
        </w:tc>
        <w:tc>
          <w:tcPr>
            <w:tcW w:w="1538" w:type="dxa"/>
          </w:tcPr>
          <w:p w:rsidR="00EA40A3" w:rsidRDefault="00E86C16">
            <w:pPr>
              <w:spacing w:before="121" w:line="159" w:lineRule="auto"/>
              <w:ind w:left="707"/>
              <w:rPr>
                <w:rFonts w:ascii="宋体" w:eastAsia="宋体" w:hAnsi="宋体" w:cs="宋体"/>
                <w:sz w:val="16"/>
                <w:szCs w:val="16"/>
              </w:rPr>
            </w:pPr>
            <w:r>
              <w:rPr>
                <w:rFonts w:ascii="宋体" w:eastAsia="宋体" w:hAnsi="宋体" w:cs="宋体"/>
                <w:spacing w:val="-3"/>
                <w:sz w:val="16"/>
                <w:szCs w:val="16"/>
              </w:rPr>
              <w:t>25</w:t>
            </w:r>
          </w:p>
        </w:tc>
        <w:tc>
          <w:tcPr>
            <w:tcW w:w="1388" w:type="dxa"/>
          </w:tcPr>
          <w:p w:rsidR="00EA40A3" w:rsidRDefault="00E86C16">
            <w:pPr>
              <w:spacing w:before="120" w:line="160" w:lineRule="auto"/>
              <w:ind w:left="379"/>
              <w:rPr>
                <w:rFonts w:ascii="宋体" w:eastAsia="宋体" w:hAnsi="宋体" w:cs="宋体"/>
                <w:sz w:val="16"/>
                <w:szCs w:val="16"/>
              </w:rPr>
            </w:pPr>
            <w:r>
              <w:rPr>
                <w:rFonts w:ascii="宋体" w:eastAsia="宋体" w:hAnsi="宋体" w:cs="宋体"/>
                <w:spacing w:val="-6"/>
                <w:sz w:val="16"/>
                <w:szCs w:val="16"/>
              </w:rPr>
              <w:t>1</w:t>
            </w:r>
            <w:r>
              <w:rPr>
                <w:rFonts w:ascii="宋体" w:eastAsia="宋体" w:hAnsi="宋体" w:cs="宋体"/>
                <w:spacing w:val="10"/>
                <w:sz w:val="16"/>
                <w:szCs w:val="16"/>
              </w:rPr>
              <w:t xml:space="preserve"> </w:t>
            </w:r>
            <w:r>
              <w:rPr>
                <w:rFonts w:ascii="宋体" w:eastAsia="宋体" w:hAnsi="宋体" w:cs="宋体"/>
                <w:spacing w:val="-6"/>
                <w:sz w:val="16"/>
                <w:szCs w:val="16"/>
              </w:rPr>
              <w:t>0～2</w:t>
            </w:r>
            <w:r>
              <w:rPr>
                <w:rFonts w:ascii="宋体" w:eastAsia="宋体" w:hAnsi="宋体" w:cs="宋体"/>
                <w:spacing w:val="8"/>
                <w:sz w:val="16"/>
                <w:szCs w:val="16"/>
              </w:rPr>
              <w:t xml:space="preserve"> </w:t>
            </w:r>
            <w:r>
              <w:rPr>
                <w:rFonts w:ascii="宋体" w:eastAsia="宋体" w:hAnsi="宋体" w:cs="宋体"/>
                <w:spacing w:val="-6"/>
                <w:sz w:val="16"/>
                <w:szCs w:val="16"/>
              </w:rPr>
              <w:t>0</w:t>
            </w:r>
          </w:p>
        </w:tc>
        <w:tc>
          <w:tcPr>
            <w:tcW w:w="1448" w:type="dxa"/>
          </w:tcPr>
          <w:p w:rsidR="00EA40A3" w:rsidRDefault="00E86C16">
            <w:pPr>
              <w:spacing w:before="140" w:line="118" w:lineRule="exact"/>
              <w:ind w:left="411"/>
              <w:rPr>
                <w:rFonts w:ascii="宋体" w:eastAsia="宋体" w:hAnsi="宋体" w:cs="宋体"/>
                <w:sz w:val="16"/>
                <w:szCs w:val="16"/>
              </w:rPr>
            </w:pPr>
            <w:r>
              <w:rPr>
                <w:rFonts w:ascii="宋体" w:eastAsia="宋体" w:hAnsi="宋体" w:cs="宋体"/>
                <w:spacing w:val="-4"/>
                <w:position w:val="-2"/>
                <w:sz w:val="16"/>
                <w:szCs w:val="16"/>
              </w:rPr>
              <w:t>2</w:t>
            </w:r>
            <w:r>
              <w:rPr>
                <w:rFonts w:ascii="宋体" w:eastAsia="宋体" w:hAnsi="宋体" w:cs="宋体"/>
                <w:spacing w:val="10"/>
                <w:position w:val="-2"/>
                <w:sz w:val="16"/>
                <w:szCs w:val="16"/>
              </w:rPr>
              <w:t xml:space="preserve"> </w:t>
            </w:r>
            <w:r>
              <w:rPr>
                <w:rFonts w:ascii="宋体" w:eastAsia="宋体" w:hAnsi="宋体" w:cs="宋体"/>
                <w:spacing w:val="-4"/>
                <w:position w:val="-2"/>
                <w:sz w:val="16"/>
                <w:szCs w:val="16"/>
              </w:rPr>
              <w:t>0～6</w:t>
            </w:r>
            <w:r>
              <w:rPr>
                <w:rFonts w:ascii="宋体" w:eastAsia="宋体" w:hAnsi="宋体" w:cs="宋体"/>
                <w:spacing w:val="8"/>
                <w:position w:val="-2"/>
                <w:sz w:val="16"/>
                <w:szCs w:val="16"/>
              </w:rPr>
              <w:t xml:space="preserve"> </w:t>
            </w:r>
            <w:r>
              <w:rPr>
                <w:rFonts w:ascii="宋体" w:eastAsia="宋体" w:hAnsi="宋体" w:cs="宋体"/>
                <w:spacing w:val="-4"/>
                <w:position w:val="-2"/>
                <w:sz w:val="16"/>
                <w:szCs w:val="16"/>
              </w:rPr>
              <w:t>0</w:t>
            </w:r>
          </w:p>
        </w:tc>
        <w:tc>
          <w:tcPr>
            <w:tcW w:w="1453" w:type="dxa"/>
          </w:tcPr>
          <w:p w:rsidR="00EA40A3" w:rsidRDefault="00E86C16">
            <w:pPr>
              <w:spacing w:before="109" w:line="172" w:lineRule="auto"/>
              <w:ind w:left="343"/>
              <w:rPr>
                <w:rFonts w:ascii="宋体" w:eastAsia="宋体" w:hAnsi="宋体" w:cs="宋体"/>
                <w:sz w:val="16"/>
                <w:szCs w:val="16"/>
              </w:rPr>
            </w:pPr>
            <w:r>
              <w:rPr>
                <w:rFonts w:ascii="宋体" w:eastAsia="宋体" w:hAnsi="宋体" w:cs="宋体"/>
                <w:spacing w:val="-3"/>
                <w:sz w:val="16"/>
                <w:szCs w:val="16"/>
              </w:rPr>
              <w:t>11.0～13.0</w:t>
            </w:r>
          </w:p>
        </w:tc>
      </w:tr>
      <w:tr w:rsidR="00EA40A3">
        <w:trPr>
          <w:trHeight w:val="284"/>
        </w:trPr>
        <w:tc>
          <w:tcPr>
            <w:tcW w:w="1502" w:type="dxa"/>
          </w:tcPr>
          <w:p w:rsidR="00EA40A3" w:rsidRDefault="00E86C16">
            <w:pPr>
              <w:spacing w:before="49" w:line="219" w:lineRule="auto"/>
              <w:ind w:left="589"/>
              <w:rPr>
                <w:rFonts w:ascii="宋体" w:eastAsia="宋体" w:hAnsi="宋体" w:cs="宋体"/>
                <w:sz w:val="16"/>
                <w:szCs w:val="16"/>
              </w:rPr>
            </w:pPr>
            <w:r>
              <w:rPr>
                <w:rFonts w:ascii="宋体" w:eastAsia="宋体" w:hAnsi="宋体" w:cs="宋体"/>
                <w:spacing w:val="-3"/>
                <w:sz w:val="16"/>
                <w:szCs w:val="16"/>
              </w:rPr>
              <w:t>菠萝</w:t>
            </w:r>
          </w:p>
        </w:tc>
        <w:tc>
          <w:tcPr>
            <w:tcW w:w="1538" w:type="dxa"/>
          </w:tcPr>
          <w:p w:rsidR="00EA40A3" w:rsidRDefault="00E86C16">
            <w:pPr>
              <w:spacing w:before="110" w:line="184" w:lineRule="auto"/>
              <w:ind w:left="707"/>
              <w:rPr>
                <w:rFonts w:ascii="宋体" w:eastAsia="宋体" w:hAnsi="宋体" w:cs="宋体"/>
                <w:sz w:val="16"/>
                <w:szCs w:val="16"/>
              </w:rPr>
            </w:pPr>
            <w:r>
              <w:rPr>
                <w:rFonts w:ascii="宋体" w:eastAsia="宋体" w:hAnsi="宋体" w:cs="宋体"/>
                <w:spacing w:val="-5"/>
                <w:sz w:val="16"/>
                <w:szCs w:val="16"/>
              </w:rPr>
              <w:t>19</w:t>
            </w:r>
          </w:p>
        </w:tc>
        <w:tc>
          <w:tcPr>
            <w:tcW w:w="1388" w:type="dxa"/>
          </w:tcPr>
          <w:p w:rsidR="00EA40A3" w:rsidRDefault="00E86C16">
            <w:pPr>
              <w:spacing w:before="131" w:line="176" w:lineRule="auto"/>
              <w:ind w:left="539"/>
              <w:rPr>
                <w:rFonts w:ascii="宋体" w:eastAsia="宋体" w:hAnsi="宋体" w:cs="宋体"/>
                <w:sz w:val="16"/>
                <w:szCs w:val="16"/>
              </w:rPr>
            </w:pPr>
            <w:r>
              <w:rPr>
                <w:rFonts w:ascii="宋体" w:eastAsia="宋体" w:hAnsi="宋体" w:cs="宋体"/>
                <w:spacing w:val="-4"/>
                <w:sz w:val="16"/>
                <w:szCs w:val="16"/>
              </w:rPr>
              <w:t>18.0</w:t>
            </w:r>
          </w:p>
        </w:tc>
        <w:tc>
          <w:tcPr>
            <w:tcW w:w="1448" w:type="dxa"/>
          </w:tcPr>
          <w:p w:rsidR="00EA40A3" w:rsidRDefault="00E86C16">
            <w:pPr>
              <w:spacing w:before="131" w:line="176" w:lineRule="auto"/>
              <w:ind w:left="572"/>
              <w:rPr>
                <w:rFonts w:ascii="宋体" w:eastAsia="宋体" w:hAnsi="宋体" w:cs="宋体"/>
                <w:sz w:val="16"/>
                <w:szCs w:val="16"/>
              </w:rPr>
            </w:pPr>
            <w:r>
              <w:rPr>
                <w:rFonts w:ascii="宋体" w:eastAsia="宋体" w:hAnsi="宋体" w:cs="宋体"/>
                <w:spacing w:val="-4"/>
                <w:sz w:val="16"/>
                <w:szCs w:val="16"/>
              </w:rPr>
              <w:t>10.0</w:t>
            </w:r>
          </w:p>
        </w:tc>
        <w:tc>
          <w:tcPr>
            <w:tcW w:w="1453" w:type="dxa"/>
          </w:tcPr>
          <w:p w:rsidR="00EA40A3" w:rsidRDefault="00E86C16">
            <w:pPr>
              <w:spacing w:before="131" w:line="176" w:lineRule="auto"/>
              <w:ind w:left="583"/>
              <w:rPr>
                <w:rFonts w:ascii="宋体" w:eastAsia="宋体" w:hAnsi="宋体" w:cs="宋体"/>
                <w:sz w:val="16"/>
                <w:szCs w:val="16"/>
              </w:rPr>
            </w:pPr>
            <w:r>
              <w:rPr>
                <w:rFonts w:ascii="宋体" w:eastAsia="宋体" w:hAnsi="宋体" w:cs="宋体"/>
                <w:spacing w:val="-4"/>
                <w:sz w:val="16"/>
                <w:szCs w:val="16"/>
              </w:rPr>
              <w:t>17.0</w:t>
            </w:r>
          </w:p>
        </w:tc>
      </w:tr>
      <w:tr w:rsidR="00EA40A3">
        <w:trPr>
          <w:trHeight w:val="206"/>
        </w:trPr>
        <w:tc>
          <w:tcPr>
            <w:tcW w:w="1502" w:type="dxa"/>
            <w:tcBorders>
              <w:bottom w:val="single" w:sz="4" w:space="0" w:color="000000"/>
            </w:tcBorders>
          </w:tcPr>
          <w:p w:rsidR="00EA40A3" w:rsidRDefault="00E86C16">
            <w:pPr>
              <w:spacing w:before="57" w:line="196" w:lineRule="auto"/>
              <w:ind w:left="589"/>
              <w:rPr>
                <w:rFonts w:ascii="宋体" w:eastAsia="宋体" w:hAnsi="宋体" w:cs="宋体"/>
                <w:sz w:val="14"/>
                <w:szCs w:val="14"/>
              </w:rPr>
            </w:pPr>
            <w:r>
              <w:rPr>
                <w:rFonts w:ascii="宋体" w:eastAsia="宋体" w:hAnsi="宋体" w:cs="宋体"/>
                <w:spacing w:val="16"/>
                <w:sz w:val="14"/>
                <w:szCs w:val="14"/>
              </w:rPr>
              <w:t>土豆</w:t>
            </w:r>
          </w:p>
        </w:tc>
        <w:tc>
          <w:tcPr>
            <w:tcW w:w="1538" w:type="dxa"/>
            <w:tcBorders>
              <w:bottom w:val="single" w:sz="4" w:space="0" w:color="000000"/>
            </w:tcBorders>
          </w:tcPr>
          <w:p w:rsidR="00EA40A3" w:rsidRDefault="00E86C16">
            <w:pPr>
              <w:spacing w:before="56" w:line="172" w:lineRule="auto"/>
              <w:ind w:left="707"/>
              <w:rPr>
                <w:rFonts w:ascii="宋体" w:eastAsia="宋体" w:hAnsi="宋体" w:cs="宋体"/>
                <w:sz w:val="16"/>
                <w:szCs w:val="16"/>
              </w:rPr>
            </w:pPr>
            <w:r>
              <w:rPr>
                <w:rFonts w:ascii="宋体" w:eastAsia="宋体" w:hAnsi="宋体" w:cs="宋体"/>
                <w:spacing w:val="-5"/>
                <w:sz w:val="16"/>
                <w:szCs w:val="16"/>
              </w:rPr>
              <w:t>17</w:t>
            </w:r>
          </w:p>
        </w:tc>
        <w:tc>
          <w:tcPr>
            <w:tcW w:w="1388" w:type="dxa"/>
            <w:tcBorders>
              <w:bottom w:val="single" w:sz="4" w:space="0" w:color="000000"/>
            </w:tcBorders>
          </w:tcPr>
          <w:p w:rsidR="00EA40A3" w:rsidRDefault="00EA40A3">
            <w:pPr>
              <w:spacing w:line="206" w:lineRule="exact"/>
              <w:rPr>
                <w:sz w:val="17"/>
              </w:rPr>
            </w:pPr>
          </w:p>
        </w:tc>
        <w:tc>
          <w:tcPr>
            <w:tcW w:w="1448" w:type="dxa"/>
            <w:tcBorders>
              <w:bottom w:val="single" w:sz="4" w:space="0" w:color="000000"/>
            </w:tcBorders>
          </w:tcPr>
          <w:p w:rsidR="00EA40A3" w:rsidRDefault="00E86C16">
            <w:pPr>
              <w:spacing w:before="56" w:line="172" w:lineRule="auto"/>
              <w:ind w:left="451"/>
              <w:rPr>
                <w:rFonts w:ascii="宋体" w:eastAsia="宋体" w:hAnsi="宋体" w:cs="宋体"/>
                <w:sz w:val="16"/>
                <w:szCs w:val="16"/>
              </w:rPr>
            </w:pPr>
            <w:r>
              <w:rPr>
                <w:rFonts w:ascii="宋体" w:eastAsia="宋体" w:hAnsi="宋体" w:cs="宋体"/>
                <w:spacing w:val="-6"/>
                <w:sz w:val="16"/>
                <w:szCs w:val="16"/>
              </w:rPr>
              <w:t>0</w:t>
            </w:r>
            <w:r>
              <w:rPr>
                <w:rFonts w:ascii="宋体" w:eastAsia="宋体" w:hAnsi="宋体" w:cs="宋体"/>
                <w:spacing w:val="21"/>
                <w:sz w:val="16"/>
                <w:szCs w:val="16"/>
              </w:rPr>
              <w:t xml:space="preserve"> </w:t>
            </w:r>
            <w:r>
              <w:rPr>
                <w:rFonts w:ascii="宋体" w:eastAsia="宋体" w:hAnsi="宋体" w:cs="宋体"/>
                <w:spacing w:val="-6"/>
                <w:sz w:val="16"/>
                <w:szCs w:val="16"/>
              </w:rPr>
              <w:t>1～0</w:t>
            </w:r>
            <w:r>
              <w:rPr>
                <w:rFonts w:ascii="宋体" w:eastAsia="宋体" w:hAnsi="宋体" w:cs="宋体"/>
                <w:spacing w:val="7"/>
                <w:sz w:val="16"/>
                <w:szCs w:val="16"/>
              </w:rPr>
              <w:t xml:space="preserve"> </w:t>
            </w:r>
            <w:r>
              <w:rPr>
                <w:rFonts w:ascii="宋体" w:eastAsia="宋体" w:hAnsi="宋体" w:cs="宋体"/>
                <w:spacing w:val="-6"/>
                <w:sz w:val="16"/>
                <w:szCs w:val="16"/>
              </w:rPr>
              <w:t>6</w:t>
            </w:r>
          </w:p>
        </w:tc>
        <w:tc>
          <w:tcPr>
            <w:tcW w:w="1453" w:type="dxa"/>
            <w:tcBorders>
              <w:bottom w:val="single" w:sz="4" w:space="0" w:color="000000"/>
            </w:tcBorders>
          </w:tcPr>
          <w:p w:rsidR="00EA40A3" w:rsidRDefault="00EA40A3">
            <w:pPr>
              <w:spacing w:line="206" w:lineRule="exact"/>
              <w:rPr>
                <w:sz w:val="17"/>
              </w:rPr>
            </w:pPr>
          </w:p>
        </w:tc>
      </w:tr>
    </w:tbl>
    <w:p w:rsidR="00EA40A3" w:rsidRDefault="00E86C16">
      <w:pPr>
        <w:spacing w:before="98" w:line="217" w:lineRule="auto"/>
        <w:ind w:left="329"/>
        <w:rPr>
          <w:rFonts w:ascii="宋体" w:eastAsia="宋体" w:hAnsi="宋体" w:cs="宋体"/>
          <w:sz w:val="16"/>
          <w:szCs w:val="16"/>
        </w:rPr>
      </w:pPr>
      <w:r>
        <w:rPr>
          <w:rFonts w:ascii="宋体" w:eastAsia="宋体" w:hAnsi="宋体" w:cs="宋体"/>
          <w:spacing w:val="2"/>
          <w:sz w:val="16"/>
          <w:szCs w:val="16"/>
        </w:rPr>
        <w:t>①储存时间从2～21d。②储存室的相对湿度为76%～98%</w:t>
      </w:r>
      <w:r>
        <w:rPr>
          <w:rFonts w:ascii="宋体" w:eastAsia="宋体" w:hAnsi="宋体" w:cs="宋体"/>
          <w:spacing w:val="1"/>
          <w:sz w:val="16"/>
          <w:szCs w:val="16"/>
        </w:rPr>
        <w:t>。③冰箱中储存，相对湿度为70%～~90%。</w:t>
      </w:r>
    </w:p>
    <w:p w:rsidR="00EA40A3" w:rsidRDefault="00E86C16">
      <w:pPr>
        <w:spacing w:before="42" w:line="217" w:lineRule="auto"/>
        <w:ind w:left="319"/>
        <w:rPr>
          <w:rFonts w:ascii="宋体" w:eastAsia="宋体" w:hAnsi="宋体" w:cs="宋体"/>
          <w:sz w:val="19"/>
          <w:szCs w:val="19"/>
        </w:rPr>
      </w:pPr>
      <w:r>
        <w:rPr>
          <w:rFonts w:ascii="宋体" w:eastAsia="宋体" w:hAnsi="宋体" w:cs="宋体"/>
          <w:spacing w:val="-15"/>
          <w:sz w:val="19"/>
          <w:szCs w:val="19"/>
        </w:rPr>
        <w:t>④储存室相对湿度为50%～70%。</w:t>
      </w:r>
    </w:p>
    <w:p w:rsidR="00EA40A3" w:rsidRDefault="00E86C16">
      <w:pPr>
        <w:spacing w:before="66" w:line="223" w:lineRule="auto"/>
        <w:ind w:left="319" w:right="68"/>
        <w:rPr>
          <w:rFonts w:ascii="宋体" w:eastAsia="宋体" w:hAnsi="宋体" w:cs="宋体"/>
          <w:sz w:val="19"/>
          <w:szCs w:val="19"/>
        </w:rPr>
      </w:pPr>
      <w:r>
        <w:rPr>
          <w:rFonts w:ascii="宋体" w:eastAsia="宋体" w:hAnsi="宋体" w:cs="宋体"/>
          <w:spacing w:val="-20"/>
          <w:sz w:val="19"/>
          <w:szCs w:val="19"/>
        </w:rPr>
        <w:t>数据来源：Dennis</w:t>
      </w:r>
      <w:r>
        <w:rPr>
          <w:rFonts w:ascii="宋体" w:eastAsia="宋体" w:hAnsi="宋体" w:cs="宋体"/>
          <w:spacing w:val="-7"/>
          <w:sz w:val="19"/>
          <w:szCs w:val="19"/>
        </w:rPr>
        <w:t xml:space="preserve"> </w:t>
      </w:r>
      <w:r>
        <w:rPr>
          <w:rFonts w:ascii="宋体" w:eastAsia="宋体" w:hAnsi="宋体" w:cs="宋体"/>
          <w:spacing w:val="-20"/>
          <w:sz w:val="19"/>
          <w:szCs w:val="19"/>
        </w:rPr>
        <w:t>R</w:t>
      </w:r>
      <w:r>
        <w:rPr>
          <w:rFonts w:ascii="宋体" w:eastAsia="宋体" w:hAnsi="宋体" w:cs="宋体"/>
          <w:spacing w:val="-13"/>
          <w:sz w:val="19"/>
          <w:szCs w:val="19"/>
        </w:rPr>
        <w:t xml:space="preserve"> </w:t>
      </w:r>
      <w:r>
        <w:rPr>
          <w:rFonts w:ascii="宋体" w:eastAsia="宋体" w:hAnsi="宋体" w:cs="宋体"/>
          <w:spacing w:val="-20"/>
          <w:sz w:val="19"/>
          <w:szCs w:val="19"/>
        </w:rPr>
        <w:t>Heldman,</w:t>
      </w:r>
      <w:r>
        <w:rPr>
          <w:rFonts w:ascii="宋体" w:eastAsia="宋体" w:hAnsi="宋体" w:cs="宋体"/>
          <w:spacing w:val="-11"/>
          <w:sz w:val="19"/>
          <w:szCs w:val="19"/>
        </w:rPr>
        <w:t xml:space="preserve"> </w:t>
      </w:r>
      <w:r>
        <w:rPr>
          <w:rFonts w:ascii="宋体" w:eastAsia="宋体" w:hAnsi="宋体" w:cs="宋体"/>
          <w:spacing w:val="-20"/>
          <w:sz w:val="19"/>
          <w:szCs w:val="19"/>
        </w:rPr>
        <w:t>Richard</w:t>
      </w:r>
      <w:r>
        <w:rPr>
          <w:rFonts w:ascii="宋体" w:eastAsia="宋体" w:hAnsi="宋体" w:cs="宋体"/>
          <w:spacing w:val="-14"/>
          <w:sz w:val="19"/>
          <w:szCs w:val="19"/>
        </w:rPr>
        <w:t xml:space="preserve"> </w:t>
      </w:r>
      <w:r>
        <w:rPr>
          <w:rFonts w:ascii="宋体" w:eastAsia="宋体" w:hAnsi="宋体" w:cs="宋体"/>
          <w:spacing w:val="-20"/>
          <w:sz w:val="19"/>
          <w:szCs w:val="19"/>
        </w:rPr>
        <w:t>W</w:t>
      </w:r>
      <w:r>
        <w:rPr>
          <w:rFonts w:ascii="宋体" w:eastAsia="宋体" w:hAnsi="宋体" w:cs="宋体"/>
          <w:spacing w:val="-13"/>
          <w:sz w:val="19"/>
          <w:szCs w:val="19"/>
        </w:rPr>
        <w:t xml:space="preserve"> </w:t>
      </w:r>
      <w:r>
        <w:rPr>
          <w:rFonts w:ascii="宋体" w:eastAsia="宋体" w:hAnsi="宋体" w:cs="宋体"/>
          <w:spacing w:val="-20"/>
          <w:sz w:val="19"/>
          <w:szCs w:val="19"/>
        </w:rPr>
        <w:t>Harte.</w:t>
      </w:r>
      <w:r>
        <w:rPr>
          <w:rFonts w:ascii="宋体" w:eastAsia="宋体" w:hAnsi="宋体" w:cs="宋体"/>
          <w:spacing w:val="-7"/>
          <w:sz w:val="19"/>
          <w:szCs w:val="19"/>
        </w:rPr>
        <w:t xml:space="preserve"> </w:t>
      </w:r>
      <w:r>
        <w:rPr>
          <w:rFonts w:ascii="宋体" w:eastAsia="宋体" w:hAnsi="宋体" w:cs="宋体"/>
          <w:spacing w:val="-20"/>
          <w:sz w:val="19"/>
          <w:szCs w:val="19"/>
        </w:rPr>
        <w:t>2003.食品加工原理.夏文水等译.北京：中国轻</w:t>
      </w:r>
      <w:r>
        <w:rPr>
          <w:rFonts w:ascii="宋体" w:eastAsia="宋体" w:hAnsi="宋体" w:cs="宋体"/>
          <w:sz w:val="19"/>
          <w:szCs w:val="19"/>
        </w:rPr>
        <w:t xml:space="preserve"> </w:t>
      </w:r>
      <w:r>
        <w:rPr>
          <w:rFonts w:ascii="宋体" w:eastAsia="宋体" w:hAnsi="宋体" w:cs="宋体"/>
          <w:spacing w:val="-21"/>
          <w:w w:val="95"/>
          <w:sz w:val="19"/>
          <w:szCs w:val="19"/>
        </w:rPr>
        <w:t>工业出版社</w:t>
      </w:r>
    </w:p>
    <w:p w:rsidR="00EA40A3" w:rsidRDefault="00E86C16">
      <w:pPr>
        <w:spacing w:before="108"/>
        <w:ind w:left="69"/>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226</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194"/>
          <w:pgSz w:w="9220" w:h="13360"/>
          <w:pgMar w:top="400" w:right="1044" w:bottom="400" w:left="840" w:header="0" w:footer="0" w:gutter="0"/>
          <w:cols w:space="720"/>
        </w:sectPr>
      </w:pPr>
    </w:p>
    <w:p w:rsidR="00EA40A3" w:rsidRDefault="00EA40A3">
      <w:pPr>
        <w:spacing w:line="284" w:lineRule="auto"/>
      </w:pPr>
    </w:p>
    <w:p w:rsidR="00EA40A3" w:rsidRDefault="00EA40A3">
      <w:pPr>
        <w:spacing w:line="285" w:lineRule="auto"/>
      </w:pPr>
    </w:p>
    <w:p w:rsidR="00EA40A3" w:rsidRDefault="00E86C16">
      <w:pPr>
        <w:spacing w:before="72" w:line="254" w:lineRule="auto"/>
        <w:ind w:right="51" w:firstLine="449"/>
        <w:rPr>
          <w:rFonts w:ascii="宋体" w:eastAsia="宋体" w:hAnsi="宋体" w:cs="宋体"/>
          <w:sz w:val="22"/>
          <w:szCs w:val="22"/>
        </w:rPr>
      </w:pPr>
      <w:r>
        <w:rPr>
          <w:rFonts w:ascii="宋体" w:eastAsia="宋体" w:hAnsi="宋体" w:cs="宋体"/>
          <w:spacing w:val="7"/>
          <w:sz w:val="22"/>
          <w:szCs w:val="22"/>
        </w:rPr>
        <w:t>蛋类储藏的适宜温度为1～5℃,相对湿度87%～97%</w:t>
      </w:r>
      <w:r>
        <w:rPr>
          <w:rFonts w:ascii="宋体" w:eastAsia="宋体" w:hAnsi="宋体" w:cs="宋体"/>
          <w:spacing w:val="6"/>
          <w:sz w:val="22"/>
          <w:szCs w:val="22"/>
        </w:rPr>
        <w:t>,若同时注意储藏的</w:t>
      </w:r>
      <w:r>
        <w:rPr>
          <w:rFonts w:ascii="宋体" w:eastAsia="宋体" w:hAnsi="宋体" w:cs="宋体"/>
          <w:sz w:val="22"/>
          <w:szCs w:val="22"/>
        </w:rPr>
        <w:t xml:space="preserve"> </w:t>
      </w:r>
      <w:r>
        <w:rPr>
          <w:rFonts w:ascii="宋体" w:eastAsia="宋体" w:hAnsi="宋体" w:cs="宋体"/>
          <w:spacing w:val="-9"/>
          <w:sz w:val="22"/>
          <w:szCs w:val="22"/>
        </w:rPr>
        <w:t>清洁条件，避免蛋类受到污染，在此环境中可储藏4～5个月。</w:t>
      </w:r>
    </w:p>
    <w:p w:rsidR="00EA40A3" w:rsidRDefault="00E86C16">
      <w:pPr>
        <w:spacing w:before="26" w:line="247" w:lineRule="auto"/>
        <w:ind w:right="26" w:firstLine="449"/>
        <w:rPr>
          <w:rFonts w:ascii="宋体" w:eastAsia="宋体" w:hAnsi="宋体" w:cs="宋体"/>
          <w:sz w:val="22"/>
          <w:szCs w:val="22"/>
        </w:rPr>
      </w:pPr>
      <w:r>
        <w:rPr>
          <w:rFonts w:ascii="宋体" w:eastAsia="宋体" w:hAnsi="宋体" w:cs="宋体"/>
          <w:spacing w:val="-12"/>
          <w:sz w:val="22"/>
          <w:szCs w:val="22"/>
        </w:rPr>
        <w:t>水产品的储藏可采用低温和食盐来抑制酶的活性和微生物的生长繁殖，</w:t>
      </w:r>
      <w:r>
        <w:rPr>
          <w:rFonts w:ascii="宋体" w:eastAsia="宋体" w:hAnsi="宋体" w:cs="宋体"/>
          <w:spacing w:val="-13"/>
          <w:sz w:val="22"/>
          <w:szCs w:val="22"/>
        </w:rPr>
        <w:t>以延</w:t>
      </w:r>
      <w:r>
        <w:rPr>
          <w:rFonts w:ascii="宋体" w:eastAsia="宋体" w:hAnsi="宋体" w:cs="宋体"/>
          <w:sz w:val="22"/>
          <w:szCs w:val="22"/>
        </w:rPr>
        <w:t xml:space="preserve"> </w:t>
      </w:r>
      <w:r>
        <w:rPr>
          <w:rFonts w:ascii="宋体" w:eastAsia="宋体" w:hAnsi="宋体" w:cs="宋体"/>
          <w:spacing w:val="-12"/>
          <w:sz w:val="22"/>
          <w:szCs w:val="22"/>
        </w:rPr>
        <w:t>缓其僵直期和自溶期。</w:t>
      </w:r>
      <w:r>
        <w:rPr>
          <w:rFonts w:ascii="宋体" w:eastAsia="宋体" w:hAnsi="宋体" w:cs="宋体"/>
          <w:spacing w:val="38"/>
          <w:sz w:val="22"/>
          <w:szCs w:val="22"/>
        </w:rPr>
        <w:t xml:space="preserve"> </w:t>
      </w:r>
      <w:r>
        <w:rPr>
          <w:rFonts w:ascii="宋体" w:eastAsia="宋体" w:hAnsi="宋体" w:cs="宋体"/>
          <w:spacing w:val="-12"/>
          <w:sz w:val="22"/>
          <w:szCs w:val="22"/>
        </w:rPr>
        <w:t>一般来说，冷藏的水产品</w:t>
      </w:r>
      <w:r>
        <w:rPr>
          <w:rFonts w:ascii="宋体" w:eastAsia="宋体" w:hAnsi="宋体" w:cs="宋体"/>
          <w:spacing w:val="-13"/>
          <w:sz w:val="22"/>
          <w:szCs w:val="22"/>
        </w:rPr>
        <w:t>可保存5～14日，冻结的水产品</w:t>
      </w:r>
      <w:r>
        <w:rPr>
          <w:rFonts w:ascii="宋体" w:eastAsia="宋体" w:hAnsi="宋体" w:cs="宋体"/>
          <w:sz w:val="22"/>
          <w:szCs w:val="22"/>
        </w:rPr>
        <w:t xml:space="preserve"> </w:t>
      </w:r>
      <w:r>
        <w:rPr>
          <w:rFonts w:ascii="宋体" w:eastAsia="宋体" w:hAnsi="宋体" w:cs="宋体"/>
          <w:spacing w:val="-20"/>
          <w:sz w:val="22"/>
          <w:szCs w:val="22"/>
        </w:rPr>
        <w:t>可保存半年。</w:t>
      </w:r>
    </w:p>
    <w:p w:rsidR="00EA40A3" w:rsidRDefault="00E86C16">
      <w:pPr>
        <w:spacing w:before="210" w:line="224"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16"/>
          <w:sz w:val="22"/>
          <w:szCs w:val="22"/>
        </w:rPr>
        <w:t xml:space="preserve"> </w:t>
      </w:r>
      <w:r>
        <w:rPr>
          <w:rFonts w:ascii="仿宋" w:eastAsia="仿宋" w:hAnsi="仿宋" w:cs="仿宋"/>
          <w:spacing w:val="12"/>
          <w:sz w:val="22"/>
          <w:szCs w:val="22"/>
        </w:rPr>
        <w:t>食品冷冻</w:t>
      </w:r>
    </w:p>
    <w:p w:rsidR="00EA40A3" w:rsidRDefault="00E86C16">
      <w:pPr>
        <w:tabs>
          <w:tab w:val="left" w:pos="208"/>
        </w:tabs>
        <w:spacing w:before="179" w:line="244" w:lineRule="auto"/>
        <w:ind w:firstLine="449"/>
        <w:rPr>
          <w:rFonts w:ascii="宋体" w:eastAsia="宋体" w:hAnsi="宋体" w:cs="宋体"/>
          <w:sz w:val="22"/>
          <w:szCs w:val="22"/>
        </w:rPr>
      </w:pPr>
      <w:r>
        <w:rPr>
          <w:rFonts w:ascii="宋体" w:eastAsia="宋体" w:hAnsi="宋体" w:cs="宋体"/>
          <w:spacing w:val="-5"/>
          <w:sz w:val="22"/>
          <w:szCs w:val="22"/>
        </w:rPr>
        <w:t>食品冷冻是低温储藏的另一种保藏方法，它是采用缓</w:t>
      </w:r>
      <w:r>
        <w:rPr>
          <w:rFonts w:ascii="宋体" w:eastAsia="宋体" w:hAnsi="宋体" w:cs="宋体"/>
          <w:spacing w:val="-6"/>
          <w:sz w:val="22"/>
          <w:szCs w:val="22"/>
        </w:rPr>
        <w:t>冻或速冻方法将食品</w:t>
      </w:r>
      <w:r>
        <w:rPr>
          <w:rFonts w:ascii="宋体" w:eastAsia="宋体" w:hAnsi="宋体" w:cs="宋体"/>
          <w:sz w:val="22"/>
          <w:szCs w:val="22"/>
        </w:rPr>
        <w:t xml:space="preserve"> </w:t>
      </w:r>
      <w:r>
        <w:rPr>
          <w:rFonts w:ascii="宋体" w:eastAsia="宋体" w:hAnsi="宋体" w:cs="宋体"/>
          <w:spacing w:val="-6"/>
          <w:sz w:val="22"/>
          <w:szCs w:val="22"/>
        </w:rPr>
        <w:t>冻结，然后在保持食品冻结状态的温度下储藏食品的方法。常用的储藏温度为</w:t>
      </w:r>
      <w:r>
        <w:rPr>
          <w:rFonts w:ascii="宋体" w:eastAsia="宋体" w:hAnsi="宋体" w:cs="宋体"/>
          <w:spacing w:val="3"/>
          <w:sz w:val="22"/>
          <w:szCs w:val="22"/>
        </w:rPr>
        <w:t xml:space="preserve"> </w:t>
      </w:r>
      <w:r>
        <w:rPr>
          <w:rFonts w:ascii="宋体" w:eastAsia="宋体" w:hAnsi="宋体" w:cs="宋体"/>
          <w:sz w:val="22"/>
          <w:szCs w:val="22"/>
        </w:rPr>
        <w:tab/>
      </w:r>
      <w:r>
        <w:rPr>
          <w:rFonts w:ascii="宋体" w:eastAsia="宋体" w:hAnsi="宋体" w:cs="宋体"/>
          <w:spacing w:val="15"/>
          <w:sz w:val="22"/>
          <w:szCs w:val="22"/>
        </w:rPr>
        <w:t>-23～-12℃,其中以-18℃最为常用。冷冻适用于长期储藏，甚至可达</w:t>
      </w:r>
      <w:r>
        <w:rPr>
          <w:rFonts w:ascii="宋体" w:eastAsia="宋体" w:hAnsi="宋体" w:cs="宋体"/>
          <w:spacing w:val="3"/>
          <w:sz w:val="22"/>
          <w:szCs w:val="22"/>
        </w:rPr>
        <w:t xml:space="preserve"> </w:t>
      </w:r>
      <w:r>
        <w:rPr>
          <w:rFonts w:ascii="宋体" w:eastAsia="宋体" w:hAnsi="宋体" w:cs="宋体"/>
          <w:spacing w:val="-10"/>
          <w:sz w:val="22"/>
          <w:szCs w:val="22"/>
        </w:rPr>
        <w:t>数年。</w:t>
      </w:r>
    </w:p>
    <w:p w:rsidR="00EA40A3" w:rsidRDefault="00E86C16">
      <w:pPr>
        <w:spacing w:before="56" w:line="248" w:lineRule="auto"/>
        <w:ind w:right="28" w:firstLine="449"/>
        <w:jc w:val="both"/>
        <w:rPr>
          <w:rFonts w:ascii="宋体" w:eastAsia="宋体" w:hAnsi="宋体" w:cs="宋体"/>
          <w:sz w:val="22"/>
          <w:szCs w:val="22"/>
        </w:rPr>
      </w:pPr>
      <w:r>
        <w:rPr>
          <w:rFonts w:ascii="宋体" w:eastAsia="宋体" w:hAnsi="宋体" w:cs="宋体"/>
          <w:spacing w:val="-6"/>
          <w:sz w:val="22"/>
          <w:szCs w:val="22"/>
        </w:rPr>
        <w:t>冷冻储藏又分为速冻冷藏法和缓冻冷藏法两种类型。速冻冷藏法是将新鲜</w:t>
      </w:r>
      <w:r>
        <w:rPr>
          <w:rFonts w:ascii="宋体" w:eastAsia="宋体" w:hAnsi="宋体" w:cs="宋体"/>
          <w:spacing w:val="11"/>
          <w:sz w:val="22"/>
          <w:szCs w:val="22"/>
        </w:rPr>
        <w:t xml:space="preserve"> </w:t>
      </w:r>
      <w:r>
        <w:rPr>
          <w:rFonts w:ascii="宋体" w:eastAsia="宋体" w:hAnsi="宋体" w:cs="宋体"/>
          <w:spacing w:val="3"/>
          <w:sz w:val="22"/>
          <w:szCs w:val="22"/>
        </w:rPr>
        <w:t>原料或加工食品在短时间(30</w:t>
      </w:r>
      <w:r>
        <w:rPr>
          <w:rFonts w:ascii="宋体" w:eastAsia="宋体" w:hAnsi="宋体" w:cs="宋体"/>
          <w:sz w:val="22"/>
          <w:szCs w:val="22"/>
        </w:rPr>
        <w:t>min</w:t>
      </w:r>
      <w:r>
        <w:rPr>
          <w:rFonts w:ascii="宋体" w:eastAsia="宋体" w:hAnsi="宋体" w:cs="宋体"/>
          <w:spacing w:val="3"/>
          <w:sz w:val="22"/>
          <w:szCs w:val="22"/>
        </w:rPr>
        <w:t>以内)内快速冻结，特别是通过最大冰晶生</w:t>
      </w:r>
      <w:r>
        <w:rPr>
          <w:rFonts w:ascii="宋体" w:eastAsia="宋体" w:hAnsi="宋体" w:cs="宋体"/>
          <w:spacing w:val="10"/>
          <w:sz w:val="22"/>
          <w:szCs w:val="22"/>
        </w:rPr>
        <w:t xml:space="preserve"> </w:t>
      </w:r>
      <w:r>
        <w:rPr>
          <w:rFonts w:ascii="宋体" w:eastAsia="宋体" w:hAnsi="宋体" w:cs="宋体"/>
          <w:spacing w:val="14"/>
          <w:sz w:val="22"/>
          <w:szCs w:val="22"/>
        </w:rPr>
        <w:t>成区(-5～</w:t>
      </w:r>
      <w:r>
        <w:rPr>
          <w:rFonts w:ascii="宋体" w:eastAsia="宋体" w:hAnsi="宋体" w:cs="宋体"/>
          <w:spacing w:val="-64"/>
          <w:sz w:val="22"/>
          <w:szCs w:val="22"/>
        </w:rPr>
        <w:t xml:space="preserve"> </w:t>
      </w:r>
      <w:r>
        <w:rPr>
          <w:rFonts w:ascii="宋体" w:eastAsia="宋体" w:hAnsi="宋体" w:cs="宋体"/>
          <w:spacing w:val="14"/>
          <w:sz w:val="22"/>
          <w:szCs w:val="22"/>
        </w:rPr>
        <w:t>-</w:t>
      </w:r>
      <w:r>
        <w:rPr>
          <w:rFonts w:ascii="宋体" w:eastAsia="宋体" w:hAnsi="宋体" w:cs="宋体"/>
          <w:spacing w:val="-65"/>
          <w:sz w:val="22"/>
          <w:szCs w:val="22"/>
        </w:rPr>
        <w:t xml:space="preserve"> </w:t>
      </w:r>
      <w:r>
        <w:rPr>
          <w:rFonts w:ascii="宋体" w:eastAsia="宋体" w:hAnsi="宋体" w:cs="宋体"/>
          <w:spacing w:val="14"/>
          <w:sz w:val="22"/>
          <w:szCs w:val="22"/>
        </w:rPr>
        <w:t>1℃)的速度要快，然后在-23～</w:t>
      </w:r>
      <w:r>
        <w:rPr>
          <w:rFonts w:ascii="宋体" w:eastAsia="宋体" w:hAnsi="宋体" w:cs="宋体"/>
          <w:spacing w:val="-65"/>
          <w:sz w:val="22"/>
          <w:szCs w:val="22"/>
        </w:rPr>
        <w:t xml:space="preserve"> </w:t>
      </w:r>
      <w:r>
        <w:rPr>
          <w:rFonts w:ascii="宋体" w:eastAsia="宋体" w:hAnsi="宋体" w:cs="宋体"/>
          <w:spacing w:val="14"/>
          <w:sz w:val="22"/>
          <w:szCs w:val="22"/>
        </w:rPr>
        <w:t>-</w:t>
      </w:r>
      <w:r>
        <w:rPr>
          <w:rFonts w:ascii="宋体" w:eastAsia="宋体" w:hAnsi="宋体" w:cs="宋体"/>
          <w:spacing w:val="-65"/>
          <w:sz w:val="22"/>
          <w:szCs w:val="22"/>
        </w:rPr>
        <w:t xml:space="preserve"> </w:t>
      </w:r>
      <w:r>
        <w:rPr>
          <w:rFonts w:ascii="宋体" w:eastAsia="宋体" w:hAnsi="宋体" w:cs="宋体"/>
          <w:spacing w:val="14"/>
          <w:sz w:val="22"/>
          <w:szCs w:val="22"/>
        </w:rPr>
        <w:t>12℃的低温下储藏。速冻</w:t>
      </w:r>
      <w:r>
        <w:rPr>
          <w:rFonts w:ascii="宋体" w:eastAsia="宋体" w:hAnsi="宋体" w:cs="宋体"/>
          <w:sz w:val="22"/>
          <w:szCs w:val="22"/>
        </w:rPr>
        <w:t xml:space="preserve"> </w:t>
      </w:r>
      <w:r>
        <w:rPr>
          <w:rFonts w:ascii="宋体" w:eastAsia="宋体" w:hAnsi="宋体" w:cs="宋体"/>
          <w:spacing w:val="1"/>
          <w:sz w:val="22"/>
          <w:szCs w:val="22"/>
        </w:rPr>
        <w:t>加工对制成品的细胞、组织危害轻，解冻后对食用品质影响小，是对食品质</w:t>
      </w:r>
      <w:r>
        <w:rPr>
          <w:rFonts w:ascii="宋体" w:eastAsia="宋体" w:hAnsi="宋体" w:cs="宋体"/>
          <w:sz w:val="22"/>
          <w:szCs w:val="22"/>
        </w:rPr>
        <w:t xml:space="preserve"> </w:t>
      </w:r>
      <w:r>
        <w:rPr>
          <w:rFonts w:ascii="宋体" w:eastAsia="宋体" w:hAnsi="宋体" w:cs="宋体"/>
          <w:spacing w:val="-6"/>
          <w:sz w:val="22"/>
          <w:szCs w:val="22"/>
        </w:rPr>
        <w:t>地、结构、品质破坏最小，对感官质量影响最小的冷冻方式。相对而言，缓冻</w:t>
      </w:r>
      <w:r>
        <w:rPr>
          <w:rFonts w:ascii="宋体" w:eastAsia="宋体" w:hAnsi="宋体" w:cs="宋体"/>
          <w:spacing w:val="8"/>
          <w:sz w:val="22"/>
          <w:szCs w:val="22"/>
        </w:rPr>
        <w:t xml:space="preserve"> </w:t>
      </w:r>
      <w:r>
        <w:rPr>
          <w:rFonts w:ascii="宋体" w:eastAsia="宋体" w:hAnsi="宋体" w:cs="宋体"/>
          <w:spacing w:val="1"/>
          <w:sz w:val="22"/>
          <w:szCs w:val="22"/>
        </w:rPr>
        <w:t>冷藏法是将新鲜原料或加工食品在相对较长的时间</w:t>
      </w:r>
      <w:r>
        <w:rPr>
          <w:rFonts w:ascii="宋体" w:eastAsia="宋体" w:hAnsi="宋体" w:cs="宋体"/>
          <w:sz w:val="22"/>
          <w:szCs w:val="22"/>
        </w:rPr>
        <w:t>(大于30min)</w:t>
      </w:r>
      <w:r>
        <w:rPr>
          <w:rFonts w:ascii="宋体" w:eastAsia="宋体" w:hAnsi="宋体" w:cs="宋体"/>
          <w:spacing w:val="2"/>
          <w:sz w:val="22"/>
          <w:szCs w:val="22"/>
        </w:rPr>
        <w:t xml:space="preserve"> </w:t>
      </w:r>
      <w:r>
        <w:rPr>
          <w:rFonts w:ascii="宋体" w:eastAsia="宋体" w:hAnsi="宋体" w:cs="宋体"/>
          <w:sz w:val="22"/>
          <w:szCs w:val="22"/>
        </w:rPr>
        <w:t xml:space="preserve">内冻结，然 </w:t>
      </w:r>
      <w:r>
        <w:rPr>
          <w:rFonts w:ascii="宋体" w:eastAsia="宋体" w:hAnsi="宋体" w:cs="宋体"/>
          <w:spacing w:val="-3"/>
          <w:sz w:val="22"/>
          <w:szCs w:val="22"/>
        </w:rPr>
        <w:t>后在—</w:t>
      </w:r>
      <w:r>
        <w:rPr>
          <w:rFonts w:ascii="宋体" w:eastAsia="宋体" w:hAnsi="宋体" w:cs="宋体"/>
          <w:spacing w:val="-86"/>
          <w:sz w:val="22"/>
          <w:szCs w:val="22"/>
        </w:rPr>
        <w:t xml:space="preserve"> </w:t>
      </w:r>
      <w:r>
        <w:rPr>
          <w:rFonts w:ascii="宋体" w:eastAsia="宋体" w:hAnsi="宋体" w:cs="宋体"/>
          <w:spacing w:val="-3"/>
          <w:sz w:val="22"/>
          <w:szCs w:val="22"/>
        </w:rPr>
        <w:t>12～-23℃的低温下储藏的方法，其对食品质地、结构、</w:t>
      </w:r>
      <w:r>
        <w:rPr>
          <w:rFonts w:ascii="宋体" w:eastAsia="宋体" w:hAnsi="宋体" w:cs="宋体"/>
          <w:spacing w:val="-4"/>
          <w:sz w:val="22"/>
          <w:szCs w:val="22"/>
        </w:rPr>
        <w:t>品质的破坏要</w:t>
      </w:r>
      <w:r>
        <w:rPr>
          <w:rFonts w:ascii="宋体" w:eastAsia="宋体" w:hAnsi="宋体" w:cs="宋体"/>
          <w:sz w:val="22"/>
          <w:szCs w:val="22"/>
        </w:rPr>
        <w:t xml:space="preserve"> </w:t>
      </w:r>
      <w:r>
        <w:rPr>
          <w:rFonts w:ascii="宋体" w:eastAsia="宋体" w:hAnsi="宋体" w:cs="宋体"/>
          <w:spacing w:val="-10"/>
          <w:sz w:val="22"/>
          <w:szCs w:val="22"/>
        </w:rPr>
        <w:t>高于速冻冷藏。</w:t>
      </w:r>
    </w:p>
    <w:p w:rsidR="00EA40A3" w:rsidRDefault="00E86C16">
      <w:pPr>
        <w:spacing w:before="99" w:line="247" w:lineRule="auto"/>
        <w:ind w:right="44" w:firstLine="449"/>
        <w:jc w:val="both"/>
        <w:rPr>
          <w:rFonts w:ascii="宋体" w:eastAsia="宋体" w:hAnsi="宋体" w:cs="宋体"/>
          <w:sz w:val="22"/>
          <w:szCs w:val="22"/>
        </w:rPr>
      </w:pPr>
      <w:r>
        <w:rPr>
          <w:rFonts w:ascii="宋体" w:eastAsia="宋体" w:hAnsi="宋体" w:cs="宋体"/>
          <w:sz w:val="22"/>
          <w:szCs w:val="22"/>
        </w:rPr>
        <w:t>冷冻、冻藏的全过程，在加工工艺上包括：预冻结处理、冻结、冻藏和</w:t>
      </w:r>
      <w:r>
        <w:rPr>
          <w:rFonts w:ascii="宋体" w:eastAsia="宋体" w:hAnsi="宋体" w:cs="宋体"/>
          <w:spacing w:val="16"/>
          <w:sz w:val="22"/>
          <w:szCs w:val="22"/>
        </w:rPr>
        <w:t xml:space="preserve"> </w:t>
      </w:r>
      <w:r>
        <w:rPr>
          <w:rFonts w:ascii="宋体" w:eastAsia="宋体" w:hAnsi="宋体" w:cs="宋体"/>
          <w:spacing w:val="1"/>
          <w:sz w:val="22"/>
          <w:szCs w:val="22"/>
        </w:rPr>
        <w:t>解冻。冷冻、冻藏的全过程中某些产品不可避免有维生素损耗，但对食物中</w:t>
      </w:r>
      <w:r>
        <w:rPr>
          <w:rFonts w:ascii="宋体" w:eastAsia="宋体" w:hAnsi="宋体" w:cs="宋体"/>
          <w:sz w:val="22"/>
          <w:szCs w:val="22"/>
        </w:rPr>
        <w:t xml:space="preserve"> </w:t>
      </w:r>
      <w:r>
        <w:rPr>
          <w:rFonts w:ascii="宋体" w:eastAsia="宋体" w:hAnsi="宋体" w:cs="宋体"/>
          <w:spacing w:val="7"/>
          <w:sz w:val="22"/>
          <w:szCs w:val="22"/>
        </w:rPr>
        <w:t>的蛋白质、碳水化合物、脂肪、微量元素等的影响很小，几乎可以忽略不</w:t>
      </w:r>
      <w:r>
        <w:rPr>
          <w:rFonts w:ascii="宋体" w:eastAsia="宋体" w:hAnsi="宋体" w:cs="宋体"/>
          <w:spacing w:val="16"/>
          <w:sz w:val="22"/>
          <w:szCs w:val="22"/>
        </w:rPr>
        <w:t xml:space="preserve"> </w:t>
      </w:r>
      <w:r>
        <w:rPr>
          <w:rFonts w:ascii="宋体" w:eastAsia="宋体" w:hAnsi="宋体" w:cs="宋体"/>
          <w:sz w:val="22"/>
          <w:szCs w:val="22"/>
        </w:rPr>
        <w:t>计。解冻期间，各种水溶性的营养素，如碳水化合物、</w:t>
      </w:r>
      <w:r>
        <w:rPr>
          <w:rFonts w:ascii="宋体" w:eastAsia="宋体" w:hAnsi="宋体" w:cs="宋体"/>
          <w:spacing w:val="-1"/>
          <w:sz w:val="22"/>
          <w:szCs w:val="22"/>
        </w:rPr>
        <w:t>水溶性蛋白质、氨基</w:t>
      </w:r>
      <w:r>
        <w:rPr>
          <w:rFonts w:ascii="宋体" w:eastAsia="宋体" w:hAnsi="宋体" w:cs="宋体"/>
          <w:sz w:val="22"/>
          <w:szCs w:val="22"/>
        </w:rPr>
        <w:t xml:space="preserve"> </w:t>
      </w:r>
      <w:r>
        <w:rPr>
          <w:rFonts w:ascii="宋体" w:eastAsia="宋体" w:hAnsi="宋体" w:cs="宋体"/>
          <w:spacing w:val="1"/>
          <w:sz w:val="22"/>
          <w:szCs w:val="22"/>
        </w:rPr>
        <w:t>酸、维生素和微量元素等，都有不同程度的溶</w:t>
      </w:r>
      <w:r>
        <w:rPr>
          <w:rFonts w:ascii="宋体" w:eastAsia="宋体" w:hAnsi="宋体" w:cs="宋体"/>
          <w:sz w:val="22"/>
          <w:szCs w:val="22"/>
        </w:rPr>
        <w:t xml:space="preserve">出流失。总之，合理冻藏的食 品不仅在大小、形状、质地、色泽和风味方面不会发生明显变化，而且还能 </w:t>
      </w:r>
      <w:r>
        <w:rPr>
          <w:rFonts w:ascii="宋体" w:eastAsia="宋体" w:hAnsi="宋体" w:cs="宋体"/>
          <w:spacing w:val="-7"/>
          <w:sz w:val="22"/>
          <w:szCs w:val="22"/>
        </w:rPr>
        <w:t>保持原始的新鲜状态。</w:t>
      </w:r>
    </w:p>
    <w:p w:rsidR="00EA40A3" w:rsidRDefault="00E86C16">
      <w:pPr>
        <w:spacing w:before="61" w:line="222" w:lineRule="auto"/>
        <w:rPr>
          <w:rFonts w:ascii="楷体" w:eastAsia="楷体" w:hAnsi="楷体" w:cs="楷体"/>
          <w:sz w:val="22"/>
          <w:szCs w:val="22"/>
        </w:rPr>
      </w:pPr>
      <w:r>
        <w:rPr>
          <w:rFonts w:ascii="楷体" w:eastAsia="楷体" w:hAnsi="楷体" w:cs="楷体"/>
          <w:spacing w:val="-8"/>
          <w:sz w:val="22"/>
          <w:szCs w:val="22"/>
        </w:rPr>
        <w:t>1)烫漂处理对蔬菜中营养素的影响</w:t>
      </w:r>
    </w:p>
    <w:p w:rsidR="00EA40A3" w:rsidRDefault="00E86C16">
      <w:pPr>
        <w:spacing w:before="54" w:line="247" w:lineRule="auto"/>
        <w:ind w:right="27" w:firstLine="449"/>
        <w:jc w:val="both"/>
        <w:rPr>
          <w:rFonts w:ascii="宋体" w:eastAsia="宋体" w:hAnsi="宋体" w:cs="宋体"/>
          <w:sz w:val="22"/>
          <w:szCs w:val="22"/>
        </w:rPr>
      </w:pPr>
      <w:r>
        <w:rPr>
          <w:rFonts w:ascii="宋体" w:eastAsia="宋体" w:hAnsi="宋体" w:cs="宋体"/>
          <w:spacing w:val="-12"/>
          <w:sz w:val="22"/>
          <w:szCs w:val="22"/>
        </w:rPr>
        <w:t>大多数蔬菜冻结前要进行预处理即烫漂处理，由于蔬菜中含有的碳</w:t>
      </w:r>
      <w:r>
        <w:rPr>
          <w:rFonts w:ascii="宋体" w:eastAsia="宋体" w:hAnsi="宋体" w:cs="宋体"/>
          <w:spacing w:val="-13"/>
          <w:sz w:val="22"/>
          <w:szCs w:val="22"/>
        </w:rPr>
        <w:t>水化合物</w:t>
      </w:r>
      <w:r>
        <w:rPr>
          <w:rFonts w:ascii="宋体" w:eastAsia="宋体" w:hAnsi="宋体" w:cs="宋体"/>
          <w:sz w:val="22"/>
          <w:szCs w:val="22"/>
        </w:rPr>
        <w:t xml:space="preserve"> </w:t>
      </w:r>
      <w:r>
        <w:rPr>
          <w:rFonts w:ascii="宋体" w:eastAsia="宋体" w:hAnsi="宋体" w:cs="宋体"/>
          <w:spacing w:val="-12"/>
          <w:sz w:val="22"/>
          <w:szCs w:val="22"/>
        </w:rPr>
        <w:t>主要是纤维素和淀粉，水溶性的碳水化合物很少；且蛋白质和脂肪含量低，</w:t>
      </w:r>
      <w:r>
        <w:rPr>
          <w:rFonts w:ascii="宋体" w:eastAsia="宋体" w:hAnsi="宋体" w:cs="宋体"/>
          <w:spacing w:val="-13"/>
          <w:sz w:val="22"/>
          <w:szCs w:val="22"/>
        </w:rPr>
        <w:t>因此</w:t>
      </w:r>
      <w:r>
        <w:rPr>
          <w:rFonts w:ascii="宋体" w:eastAsia="宋体" w:hAnsi="宋体" w:cs="宋体"/>
          <w:sz w:val="22"/>
          <w:szCs w:val="22"/>
        </w:rPr>
        <w:t xml:space="preserve"> </w:t>
      </w:r>
      <w:r>
        <w:rPr>
          <w:rFonts w:ascii="宋体" w:eastAsia="宋体" w:hAnsi="宋体" w:cs="宋体"/>
          <w:spacing w:val="-12"/>
          <w:sz w:val="22"/>
          <w:szCs w:val="22"/>
        </w:rPr>
        <w:t>在烫漂过程中对碳水化合物含量影响很小，只可使小部分水溶性蛋白流失，影响</w:t>
      </w:r>
      <w:r>
        <w:rPr>
          <w:rFonts w:ascii="宋体" w:eastAsia="宋体" w:hAnsi="宋体" w:cs="宋体"/>
          <w:spacing w:val="6"/>
          <w:sz w:val="22"/>
          <w:szCs w:val="22"/>
        </w:rPr>
        <w:t xml:space="preserve"> </w:t>
      </w:r>
      <w:r>
        <w:rPr>
          <w:rFonts w:ascii="宋体" w:eastAsia="宋体" w:hAnsi="宋体" w:cs="宋体"/>
          <w:spacing w:val="-12"/>
          <w:sz w:val="22"/>
          <w:szCs w:val="22"/>
        </w:rPr>
        <w:t>较小，脂肪含量几乎不变，脂溶性维生素也几乎不损失。但烫漂处理使矿物</w:t>
      </w:r>
      <w:r>
        <w:rPr>
          <w:rFonts w:ascii="宋体" w:eastAsia="宋体" w:hAnsi="宋体" w:cs="宋体"/>
          <w:spacing w:val="-13"/>
          <w:sz w:val="22"/>
          <w:szCs w:val="22"/>
        </w:rPr>
        <w:t>质元</w:t>
      </w:r>
      <w:r>
        <w:rPr>
          <w:rFonts w:ascii="宋体" w:eastAsia="宋体" w:hAnsi="宋体" w:cs="宋体"/>
          <w:sz w:val="22"/>
          <w:szCs w:val="22"/>
        </w:rPr>
        <w:t xml:space="preserve"> </w:t>
      </w:r>
      <w:r>
        <w:rPr>
          <w:rFonts w:ascii="宋体" w:eastAsia="宋体" w:hAnsi="宋体" w:cs="宋体"/>
          <w:spacing w:val="-12"/>
          <w:sz w:val="22"/>
          <w:szCs w:val="22"/>
        </w:rPr>
        <w:t>素和水溶性维生素损失很大，这主要是烫漂后沥滤的结果。至于矿物质元素损失</w:t>
      </w:r>
      <w:r>
        <w:rPr>
          <w:rFonts w:ascii="宋体" w:eastAsia="宋体" w:hAnsi="宋体" w:cs="宋体"/>
          <w:sz w:val="22"/>
          <w:szCs w:val="22"/>
        </w:rPr>
        <w:t xml:space="preserve"> </w:t>
      </w:r>
      <w:r>
        <w:rPr>
          <w:rFonts w:ascii="宋体" w:eastAsia="宋体" w:hAnsi="宋体" w:cs="宋体"/>
          <w:spacing w:val="7"/>
          <w:sz w:val="22"/>
          <w:szCs w:val="22"/>
        </w:rPr>
        <w:t>程度的差别，则与它们的溶解度有关。如菠菜在烫漂后矿物质元素的损失</w:t>
      </w:r>
      <w:r>
        <w:rPr>
          <w:rFonts w:ascii="宋体" w:eastAsia="宋体" w:hAnsi="宋体" w:cs="宋体"/>
          <w:spacing w:val="15"/>
          <w:sz w:val="22"/>
          <w:szCs w:val="22"/>
        </w:rPr>
        <w:t xml:space="preserve"> </w:t>
      </w:r>
      <w:r>
        <w:rPr>
          <w:rFonts w:ascii="宋体" w:eastAsia="宋体" w:hAnsi="宋体" w:cs="宋体"/>
          <w:spacing w:val="-7"/>
          <w:sz w:val="22"/>
          <w:szCs w:val="22"/>
        </w:rPr>
        <w:t>见表7-2所示。</w:t>
      </w:r>
    </w:p>
    <w:p w:rsidR="00EA40A3" w:rsidRDefault="00EA40A3">
      <w:pPr>
        <w:sectPr w:rsidR="00EA40A3">
          <w:footerReference w:type="default" r:id="rId195"/>
          <w:pgSz w:w="9220" w:h="13360"/>
          <w:pgMar w:top="400" w:right="951" w:bottom="1206" w:left="930" w:header="0" w:footer="985" w:gutter="0"/>
          <w:cols w:space="720"/>
        </w:sectPr>
      </w:pPr>
    </w:p>
    <w:p w:rsidR="00EA40A3" w:rsidRDefault="00E86C16">
      <w:pPr>
        <w:spacing w:before="91" w:line="229" w:lineRule="auto"/>
        <w:ind w:left="659"/>
        <w:rPr>
          <w:rFonts w:ascii="宋体" w:eastAsia="宋体" w:hAnsi="宋体" w:cs="宋体"/>
          <w:sz w:val="16"/>
          <w:szCs w:val="16"/>
        </w:rPr>
      </w:pPr>
      <w:r>
        <w:rPr>
          <w:rFonts w:ascii="宋体" w:eastAsia="宋体" w:hAnsi="宋体" w:cs="宋体"/>
          <w:spacing w:val="-2"/>
          <w:position w:val="-1"/>
          <w:sz w:val="16"/>
          <w:szCs w:val="16"/>
        </w:rPr>
        <w:lastRenderedPageBreak/>
        <w:t>矿物质元素</w:t>
      </w:r>
      <w:r>
        <w:rPr>
          <w:rFonts w:ascii="宋体" w:eastAsia="宋体" w:hAnsi="宋体" w:cs="宋体"/>
          <w:spacing w:val="2"/>
          <w:position w:val="-1"/>
          <w:sz w:val="16"/>
          <w:szCs w:val="16"/>
        </w:rPr>
        <w:t xml:space="preserve">               </w:t>
      </w:r>
      <w:r>
        <w:rPr>
          <w:rFonts w:ascii="宋体" w:eastAsia="宋体" w:hAnsi="宋体" w:cs="宋体"/>
          <w:spacing w:val="-2"/>
          <w:sz w:val="16"/>
          <w:szCs w:val="16"/>
        </w:rPr>
        <w:t>未烫漂</w:t>
      </w:r>
      <w:r>
        <w:rPr>
          <w:rFonts w:ascii="宋体" w:eastAsia="宋体" w:hAnsi="宋体" w:cs="宋体"/>
          <w:spacing w:val="1"/>
          <w:sz w:val="16"/>
          <w:szCs w:val="16"/>
        </w:rPr>
        <w:t xml:space="preserve">                 </w:t>
      </w:r>
      <w:r>
        <w:rPr>
          <w:rFonts w:ascii="宋体" w:eastAsia="宋体" w:hAnsi="宋体" w:cs="宋体"/>
          <w:spacing w:val="-2"/>
          <w:position w:val="3"/>
          <w:sz w:val="16"/>
          <w:szCs w:val="16"/>
        </w:rPr>
        <w:t>烫漂</w:t>
      </w:r>
      <w:r>
        <w:rPr>
          <w:rFonts w:ascii="宋体" w:eastAsia="宋体" w:hAnsi="宋体" w:cs="宋体"/>
          <w:spacing w:val="4"/>
          <w:position w:val="3"/>
          <w:sz w:val="16"/>
          <w:szCs w:val="16"/>
        </w:rPr>
        <w:t xml:space="preserve">                </w:t>
      </w:r>
      <w:r>
        <w:rPr>
          <w:rFonts w:ascii="宋体" w:eastAsia="宋体" w:hAnsi="宋体" w:cs="宋体"/>
          <w:spacing w:val="-2"/>
          <w:sz w:val="16"/>
          <w:szCs w:val="16"/>
        </w:rPr>
        <w:t>损失率/%</w:t>
      </w:r>
    </w:p>
    <w:tbl>
      <w:tblPr>
        <w:tblStyle w:val="TableNormal"/>
        <w:tblW w:w="7369" w:type="dxa"/>
        <w:tblInd w:w="10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93"/>
        <w:gridCol w:w="1814"/>
        <w:gridCol w:w="1811"/>
        <w:gridCol w:w="1851"/>
      </w:tblGrid>
      <w:tr w:rsidR="00EA40A3">
        <w:trPr>
          <w:trHeight w:val="304"/>
        </w:trPr>
        <w:tc>
          <w:tcPr>
            <w:tcW w:w="1893" w:type="dxa"/>
            <w:tcBorders>
              <w:top w:val="single" w:sz="4" w:space="0" w:color="000000"/>
            </w:tcBorders>
          </w:tcPr>
          <w:p w:rsidR="00EA40A3" w:rsidRDefault="00E86C16">
            <w:pPr>
              <w:spacing w:before="72" w:line="220" w:lineRule="auto"/>
              <w:ind w:left="879"/>
              <w:rPr>
                <w:rFonts w:ascii="宋体" w:eastAsia="宋体" w:hAnsi="宋体" w:cs="宋体"/>
                <w:sz w:val="16"/>
                <w:szCs w:val="16"/>
              </w:rPr>
            </w:pPr>
            <w:r>
              <w:rPr>
                <w:rFonts w:ascii="宋体" w:eastAsia="宋体" w:hAnsi="宋体" w:cs="宋体"/>
                <w:sz w:val="16"/>
                <w:szCs w:val="16"/>
              </w:rPr>
              <w:t>钾</w:t>
            </w:r>
          </w:p>
        </w:tc>
        <w:tc>
          <w:tcPr>
            <w:tcW w:w="1814" w:type="dxa"/>
            <w:tcBorders>
              <w:top w:val="single" w:sz="4" w:space="0" w:color="000000"/>
            </w:tcBorders>
          </w:tcPr>
          <w:p w:rsidR="00EA40A3" w:rsidRDefault="00E86C16">
            <w:pPr>
              <w:spacing w:before="112" w:line="183" w:lineRule="auto"/>
              <w:ind w:left="816"/>
              <w:rPr>
                <w:rFonts w:ascii="宋体" w:eastAsia="宋体" w:hAnsi="宋体" w:cs="宋体"/>
                <w:sz w:val="16"/>
                <w:szCs w:val="16"/>
              </w:rPr>
            </w:pPr>
            <w:r>
              <w:rPr>
                <w:rFonts w:ascii="宋体" w:eastAsia="宋体" w:hAnsi="宋体" w:cs="宋体"/>
                <w:spacing w:val="-2"/>
                <w:sz w:val="16"/>
                <w:szCs w:val="16"/>
              </w:rPr>
              <w:t>6.9</w:t>
            </w:r>
          </w:p>
        </w:tc>
        <w:tc>
          <w:tcPr>
            <w:tcW w:w="1811" w:type="dxa"/>
            <w:tcBorders>
              <w:top w:val="single" w:sz="4" w:space="0" w:color="000000"/>
            </w:tcBorders>
          </w:tcPr>
          <w:p w:rsidR="00EA40A3" w:rsidRDefault="00E86C16">
            <w:pPr>
              <w:spacing w:before="112" w:line="183" w:lineRule="auto"/>
              <w:ind w:left="772"/>
              <w:rPr>
                <w:rFonts w:ascii="宋体" w:eastAsia="宋体" w:hAnsi="宋体" w:cs="宋体"/>
                <w:sz w:val="16"/>
                <w:szCs w:val="16"/>
              </w:rPr>
            </w:pPr>
            <w:r>
              <w:rPr>
                <w:rFonts w:ascii="宋体" w:eastAsia="宋体" w:hAnsi="宋体" w:cs="宋体"/>
                <w:spacing w:val="-3"/>
                <w:sz w:val="16"/>
                <w:szCs w:val="16"/>
              </w:rPr>
              <w:t>3.0</w:t>
            </w:r>
          </w:p>
        </w:tc>
        <w:tc>
          <w:tcPr>
            <w:tcW w:w="1851" w:type="dxa"/>
            <w:tcBorders>
              <w:top w:val="single" w:sz="4" w:space="0" w:color="000000"/>
            </w:tcBorders>
          </w:tcPr>
          <w:p w:rsidR="00EA40A3" w:rsidRDefault="00E86C16">
            <w:pPr>
              <w:spacing w:before="112" w:line="183" w:lineRule="auto"/>
              <w:ind w:left="811"/>
              <w:rPr>
                <w:rFonts w:ascii="宋体" w:eastAsia="宋体" w:hAnsi="宋体" w:cs="宋体"/>
                <w:sz w:val="16"/>
                <w:szCs w:val="16"/>
              </w:rPr>
            </w:pPr>
            <w:r>
              <w:rPr>
                <w:rFonts w:ascii="宋体" w:eastAsia="宋体" w:hAnsi="宋体" w:cs="宋体"/>
                <w:spacing w:val="-3"/>
                <w:sz w:val="16"/>
                <w:szCs w:val="16"/>
              </w:rPr>
              <w:t>56</w:t>
            </w:r>
          </w:p>
        </w:tc>
      </w:tr>
      <w:tr w:rsidR="00EA40A3">
        <w:trPr>
          <w:trHeight w:val="305"/>
        </w:trPr>
        <w:tc>
          <w:tcPr>
            <w:tcW w:w="1893" w:type="dxa"/>
          </w:tcPr>
          <w:p w:rsidR="00EA40A3" w:rsidRDefault="00E86C16">
            <w:pPr>
              <w:spacing w:before="78" w:line="221" w:lineRule="auto"/>
              <w:ind w:left="879"/>
              <w:rPr>
                <w:rFonts w:ascii="宋体" w:eastAsia="宋体" w:hAnsi="宋体" w:cs="宋体"/>
                <w:sz w:val="16"/>
                <w:szCs w:val="16"/>
              </w:rPr>
            </w:pPr>
            <w:r>
              <w:rPr>
                <w:rFonts w:ascii="宋体" w:eastAsia="宋体" w:hAnsi="宋体" w:cs="宋体"/>
                <w:sz w:val="16"/>
                <w:szCs w:val="16"/>
              </w:rPr>
              <w:t>钠</w:t>
            </w:r>
          </w:p>
        </w:tc>
        <w:tc>
          <w:tcPr>
            <w:tcW w:w="1814" w:type="dxa"/>
          </w:tcPr>
          <w:p w:rsidR="00EA40A3" w:rsidRDefault="00E86C16">
            <w:pPr>
              <w:spacing w:before="118" w:line="183" w:lineRule="auto"/>
              <w:ind w:left="816"/>
              <w:rPr>
                <w:rFonts w:ascii="宋体" w:eastAsia="宋体" w:hAnsi="宋体" w:cs="宋体"/>
                <w:sz w:val="16"/>
                <w:szCs w:val="16"/>
              </w:rPr>
            </w:pPr>
            <w:r>
              <w:rPr>
                <w:rFonts w:ascii="宋体" w:eastAsia="宋体" w:hAnsi="宋体" w:cs="宋体"/>
                <w:spacing w:val="-2"/>
                <w:sz w:val="16"/>
                <w:szCs w:val="16"/>
              </w:rPr>
              <w:t>0.5</w:t>
            </w:r>
          </w:p>
        </w:tc>
        <w:tc>
          <w:tcPr>
            <w:tcW w:w="1811" w:type="dxa"/>
          </w:tcPr>
          <w:p w:rsidR="00EA40A3" w:rsidRDefault="00E86C16">
            <w:pPr>
              <w:spacing w:before="118" w:line="183" w:lineRule="auto"/>
              <w:ind w:left="772"/>
              <w:rPr>
                <w:rFonts w:ascii="宋体" w:eastAsia="宋体" w:hAnsi="宋体" w:cs="宋体"/>
                <w:sz w:val="16"/>
                <w:szCs w:val="16"/>
              </w:rPr>
            </w:pPr>
            <w:r>
              <w:rPr>
                <w:rFonts w:ascii="宋体" w:eastAsia="宋体" w:hAnsi="宋体" w:cs="宋体"/>
                <w:spacing w:val="-2"/>
                <w:sz w:val="16"/>
                <w:szCs w:val="16"/>
              </w:rPr>
              <w:t>0.3</w:t>
            </w:r>
          </w:p>
        </w:tc>
        <w:tc>
          <w:tcPr>
            <w:tcW w:w="1851" w:type="dxa"/>
          </w:tcPr>
          <w:p w:rsidR="00EA40A3" w:rsidRDefault="00E86C16">
            <w:pPr>
              <w:spacing w:before="118" w:line="183" w:lineRule="auto"/>
              <w:ind w:left="811"/>
              <w:rPr>
                <w:rFonts w:ascii="宋体" w:eastAsia="宋体" w:hAnsi="宋体" w:cs="宋体"/>
                <w:sz w:val="16"/>
                <w:szCs w:val="16"/>
              </w:rPr>
            </w:pPr>
            <w:r>
              <w:rPr>
                <w:rFonts w:ascii="宋体" w:eastAsia="宋体" w:hAnsi="宋体" w:cs="宋体"/>
                <w:spacing w:val="-2"/>
                <w:sz w:val="16"/>
                <w:szCs w:val="16"/>
              </w:rPr>
              <w:t>43</w:t>
            </w:r>
          </w:p>
        </w:tc>
      </w:tr>
      <w:tr w:rsidR="00EA40A3">
        <w:trPr>
          <w:trHeight w:val="292"/>
        </w:trPr>
        <w:tc>
          <w:tcPr>
            <w:tcW w:w="1893" w:type="dxa"/>
          </w:tcPr>
          <w:p w:rsidR="00EA40A3" w:rsidRDefault="00E86C16">
            <w:pPr>
              <w:spacing w:before="74" w:line="221" w:lineRule="auto"/>
              <w:ind w:left="879"/>
              <w:rPr>
                <w:rFonts w:ascii="宋体" w:eastAsia="宋体" w:hAnsi="宋体" w:cs="宋体"/>
                <w:sz w:val="16"/>
                <w:szCs w:val="16"/>
              </w:rPr>
            </w:pPr>
            <w:r>
              <w:rPr>
                <w:rFonts w:ascii="宋体" w:eastAsia="宋体" w:hAnsi="宋体" w:cs="宋体"/>
                <w:sz w:val="16"/>
                <w:szCs w:val="16"/>
              </w:rPr>
              <w:t>钙</w:t>
            </w:r>
          </w:p>
        </w:tc>
        <w:tc>
          <w:tcPr>
            <w:tcW w:w="1814" w:type="dxa"/>
          </w:tcPr>
          <w:p w:rsidR="00EA40A3" w:rsidRDefault="00E86C16">
            <w:pPr>
              <w:spacing w:before="113" w:line="183" w:lineRule="auto"/>
              <w:ind w:left="726"/>
              <w:rPr>
                <w:rFonts w:ascii="宋体" w:eastAsia="宋体" w:hAnsi="宋体" w:cs="宋体"/>
                <w:sz w:val="16"/>
                <w:szCs w:val="16"/>
              </w:rPr>
            </w:pPr>
            <w:r>
              <w:rPr>
                <w:rFonts w:ascii="宋体" w:eastAsia="宋体" w:hAnsi="宋体" w:cs="宋体"/>
                <w:spacing w:val="-2"/>
                <w:sz w:val="16"/>
                <w:szCs w:val="16"/>
              </w:rPr>
              <w:t>2.2</w:t>
            </w:r>
          </w:p>
        </w:tc>
        <w:tc>
          <w:tcPr>
            <w:tcW w:w="1811" w:type="dxa"/>
          </w:tcPr>
          <w:p w:rsidR="00EA40A3" w:rsidRDefault="00E86C16">
            <w:pPr>
              <w:spacing w:before="113" w:line="183" w:lineRule="auto"/>
              <w:ind w:left="772"/>
              <w:rPr>
                <w:rFonts w:ascii="宋体" w:eastAsia="宋体" w:hAnsi="宋体" w:cs="宋体"/>
                <w:sz w:val="16"/>
                <w:szCs w:val="16"/>
              </w:rPr>
            </w:pPr>
            <w:r>
              <w:rPr>
                <w:rFonts w:ascii="宋体" w:eastAsia="宋体" w:hAnsi="宋体" w:cs="宋体"/>
                <w:spacing w:val="-2"/>
                <w:sz w:val="16"/>
                <w:szCs w:val="16"/>
              </w:rPr>
              <w:t>2.3</w:t>
            </w:r>
          </w:p>
        </w:tc>
        <w:tc>
          <w:tcPr>
            <w:tcW w:w="1851" w:type="dxa"/>
          </w:tcPr>
          <w:p w:rsidR="00EA40A3" w:rsidRDefault="00E86C16">
            <w:pPr>
              <w:spacing w:before="113" w:line="183" w:lineRule="auto"/>
              <w:ind w:left="851"/>
              <w:rPr>
                <w:rFonts w:ascii="宋体" w:eastAsia="宋体" w:hAnsi="宋体" w:cs="宋体"/>
                <w:sz w:val="16"/>
                <w:szCs w:val="16"/>
              </w:rPr>
            </w:pPr>
            <w:r>
              <w:rPr>
                <w:rFonts w:ascii="宋体" w:eastAsia="宋体" w:hAnsi="宋体" w:cs="宋体"/>
                <w:sz w:val="16"/>
                <w:szCs w:val="16"/>
              </w:rPr>
              <w:t>0</w:t>
            </w:r>
          </w:p>
        </w:tc>
      </w:tr>
      <w:tr w:rsidR="00EA40A3">
        <w:trPr>
          <w:trHeight w:val="302"/>
        </w:trPr>
        <w:tc>
          <w:tcPr>
            <w:tcW w:w="1893" w:type="dxa"/>
          </w:tcPr>
          <w:p w:rsidR="00EA40A3" w:rsidRDefault="00E86C16">
            <w:pPr>
              <w:spacing w:before="72" w:line="221" w:lineRule="auto"/>
              <w:ind w:left="879"/>
              <w:rPr>
                <w:rFonts w:ascii="宋体" w:eastAsia="宋体" w:hAnsi="宋体" w:cs="宋体"/>
                <w:sz w:val="16"/>
                <w:szCs w:val="16"/>
              </w:rPr>
            </w:pPr>
            <w:r>
              <w:rPr>
                <w:rFonts w:ascii="宋体" w:eastAsia="宋体" w:hAnsi="宋体" w:cs="宋体"/>
                <w:sz w:val="16"/>
                <w:szCs w:val="16"/>
              </w:rPr>
              <w:t>镁</w:t>
            </w:r>
          </w:p>
        </w:tc>
        <w:tc>
          <w:tcPr>
            <w:tcW w:w="1814" w:type="dxa"/>
          </w:tcPr>
          <w:p w:rsidR="00EA40A3" w:rsidRDefault="00E86C16">
            <w:pPr>
              <w:spacing w:before="121" w:line="183" w:lineRule="auto"/>
              <w:ind w:left="706"/>
              <w:rPr>
                <w:rFonts w:ascii="宋体" w:eastAsia="宋体" w:hAnsi="宋体" w:cs="宋体"/>
                <w:sz w:val="16"/>
                <w:szCs w:val="16"/>
              </w:rPr>
            </w:pPr>
            <w:r>
              <w:rPr>
                <w:rFonts w:ascii="宋体" w:eastAsia="宋体" w:hAnsi="宋体" w:cs="宋体"/>
                <w:spacing w:val="-2"/>
                <w:sz w:val="16"/>
                <w:szCs w:val="16"/>
              </w:rPr>
              <w:t>0.3</w:t>
            </w:r>
          </w:p>
        </w:tc>
        <w:tc>
          <w:tcPr>
            <w:tcW w:w="1811" w:type="dxa"/>
          </w:tcPr>
          <w:p w:rsidR="00EA40A3" w:rsidRDefault="00E86C16">
            <w:pPr>
              <w:spacing w:before="121" w:line="183" w:lineRule="auto"/>
              <w:ind w:left="772"/>
              <w:rPr>
                <w:rFonts w:ascii="宋体" w:eastAsia="宋体" w:hAnsi="宋体" w:cs="宋体"/>
                <w:sz w:val="16"/>
                <w:szCs w:val="16"/>
              </w:rPr>
            </w:pPr>
            <w:r>
              <w:rPr>
                <w:rFonts w:ascii="宋体" w:eastAsia="宋体" w:hAnsi="宋体" w:cs="宋体"/>
                <w:spacing w:val="-2"/>
                <w:sz w:val="16"/>
                <w:szCs w:val="16"/>
              </w:rPr>
              <w:t>0.2</w:t>
            </w:r>
          </w:p>
        </w:tc>
        <w:tc>
          <w:tcPr>
            <w:tcW w:w="1851" w:type="dxa"/>
          </w:tcPr>
          <w:p w:rsidR="00EA40A3" w:rsidRDefault="00E86C16">
            <w:pPr>
              <w:spacing w:before="131" w:line="183" w:lineRule="auto"/>
              <w:ind w:left="811"/>
              <w:rPr>
                <w:rFonts w:ascii="宋体" w:eastAsia="宋体" w:hAnsi="宋体" w:cs="宋体"/>
                <w:sz w:val="16"/>
                <w:szCs w:val="16"/>
              </w:rPr>
            </w:pPr>
            <w:r>
              <w:rPr>
                <w:rFonts w:ascii="宋体" w:eastAsia="宋体" w:hAnsi="宋体" w:cs="宋体"/>
                <w:spacing w:val="-3"/>
                <w:sz w:val="16"/>
                <w:szCs w:val="16"/>
              </w:rPr>
              <w:t>36</w:t>
            </w:r>
          </w:p>
        </w:tc>
      </w:tr>
      <w:tr w:rsidR="00EA40A3">
        <w:trPr>
          <w:trHeight w:val="289"/>
        </w:trPr>
        <w:tc>
          <w:tcPr>
            <w:tcW w:w="1893" w:type="dxa"/>
          </w:tcPr>
          <w:p w:rsidR="00EA40A3" w:rsidRDefault="00E86C16">
            <w:pPr>
              <w:spacing w:before="68" w:line="219" w:lineRule="auto"/>
              <w:ind w:left="879"/>
              <w:rPr>
                <w:rFonts w:ascii="宋体" w:eastAsia="宋体" w:hAnsi="宋体" w:cs="宋体"/>
                <w:sz w:val="16"/>
                <w:szCs w:val="16"/>
              </w:rPr>
            </w:pPr>
            <w:r>
              <w:rPr>
                <w:rFonts w:ascii="宋体" w:eastAsia="宋体" w:hAnsi="宋体" w:cs="宋体"/>
                <w:sz w:val="16"/>
                <w:szCs w:val="16"/>
              </w:rPr>
              <w:t>磷</w:t>
            </w:r>
          </w:p>
        </w:tc>
        <w:tc>
          <w:tcPr>
            <w:tcW w:w="1814" w:type="dxa"/>
          </w:tcPr>
          <w:p w:rsidR="00EA40A3" w:rsidRDefault="00E86C16">
            <w:pPr>
              <w:spacing w:before="109" w:line="183" w:lineRule="auto"/>
              <w:ind w:left="816"/>
              <w:rPr>
                <w:rFonts w:ascii="宋体" w:eastAsia="宋体" w:hAnsi="宋体" w:cs="宋体"/>
                <w:sz w:val="16"/>
                <w:szCs w:val="16"/>
              </w:rPr>
            </w:pPr>
            <w:r>
              <w:rPr>
                <w:rFonts w:ascii="宋体" w:eastAsia="宋体" w:hAnsi="宋体" w:cs="宋体"/>
                <w:spacing w:val="-2"/>
                <w:sz w:val="16"/>
                <w:szCs w:val="16"/>
              </w:rPr>
              <w:t>0.6</w:t>
            </w:r>
          </w:p>
        </w:tc>
        <w:tc>
          <w:tcPr>
            <w:tcW w:w="1811" w:type="dxa"/>
          </w:tcPr>
          <w:p w:rsidR="00EA40A3" w:rsidRDefault="00E86C16">
            <w:pPr>
              <w:spacing w:before="109" w:line="183" w:lineRule="auto"/>
              <w:ind w:left="772"/>
              <w:rPr>
                <w:rFonts w:ascii="宋体" w:eastAsia="宋体" w:hAnsi="宋体" w:cs="宋体"/>
                <w:sz w:val="16"/>
                <w:szCs w:val="16"/>
              </w:rPr>
            </w:pPr>
            <w:r>
              <w:rPr>
                <w:rFonts w:ascii="宋体" w:eastAsia="宋体" w:hAnsi="宋体" w:cs="宋体"/>
                <w:spacing w:val="-2"/>
                <w:sz w:val="16"/>
                <w:szCs w:val="16"/>
              </w:rPr>
              <w:t>0.4</w:t>
            </w:r>
          </w:p>
        </w:tc>
        <w:tc>
          <w:tcPr>
            <w:tcW w:w="1851" w:type="dxa"/>
          </w:tcPr>
          <w:p w:rsidR="00EA40A3" w:rsidRDefault="00E86C16">
            <w:pPr>
              <w:spacing w:before="109" w:line="183" w:lineRule="auto"/>
              <w:ind w:left="811"/>
              <w:rPr>
                <w:rFonts w:ascii="宋体" w:eastAsia="宋体" w:hAnsi="宋体" w:cs="宋体"/>
                <w:sz w:val="16"/>
                <w:szCs w:val="16"/>
              </w:rPr>
            </w:pPr>
            <w:r>
              <w:rPr>
                <w:rFonts w:ascii="宋体" w:eastAsia="宋体" w:hAnsi="宋体" w:cs="宋体"/>
                <w:spacing w:val="-3"/>
                <w:sz w:val="16"/>
                <w:szCs w:val="16"/>
              </w:rPr>
              <w:t>36</w:t>
            </w:r>
          </w:p>
        </w:tc>
      </w:tr>
      <w:tr w:rsidR="00EA40A3">
        <w:trPr>
          <w:trHeight w:val="287"/>
        </w:trPr>
        <w:tc>
          <w:tcPr>
            <w:tcW w:w="1893" w:type="dxa"/>
            <w:tcBorders>
              <w:bottom w:val="single" w:sz="4" w:space="0" w:color="000000"/>
            </w:tcBorders>
          </w:tcPr>
          <w:p w:rsidR="00EA40A3" w:rsidRDefault="00E86C16">
            <w:pPr>
              <w:spacing w:before="80" w:line="221" w:lineRule="auto"/>
              <w:ind w:left="719"/>
              <w:rPr>
                <w:rFonts w:ascii="宋体" w:eastAsia="宋体" w:hAnsi="宋体" w:cs="宋体"/>
                <w:sz w:val="16"/>
                <w:szCs w:val="16"/>
              </w:rPr>
            </w:pPr>
            <w:r>
              <w:rPr>
                <w:rFonts w:ascii="宋体" w:eastAsia="宋体" w:hAnsi="宋体" w:cs="宋体"/>
                <w:spacing w:val="-2"/>
                <w:sz w:val="16"/>
                <w:szCs w:val="16"/>
              </w:rPr>
              <w:t>硝酸盐</w:t>
            </w:r>
          </w:p>
        </w:tc>
        <w:tc>
          <w:tcPr>
            <w:tcW w:w="1814" w:type="dxa"/>
            <w:tcBorders>
              <w:bottom w:val="single" w:sz="4" w:space="0" w:color="000000"/>
            </w:tcBorders>
          </w:tcPr>
          <w:p w:rsidR="00EA40A3" w:rsidRDefault="00E86C16">
            <w:pPr>
              <w:spacing w:before="120" w:line="183" w:lineRule="auto"/>
              <w:ind w:left="816"/>
              <w:rPr>
                <w:rFonts w:ascii="宋体" w:eastAsia="宋体" w:hAnsi="宋体" w:cs="宋体"/>
                <w:sz w:val="16"/>
                <w:szCs w:val="16"/>
              </w:rPr>
            </w:pPr>
            <w:r>
              <w:rPr>
                <w:rFonts w:ascii="宋体" w:eastAsia="宋体" w:hAnsi="宋体" w:cs="宋体"/>
                <w:spacing w:val="-2"/>
                <w:sz w:val="16"/>
                <w:szCs w:val="16"/>
              </w:rPr>
              <w:t>2.5</w:t>
            </w:r>
          </w:p>
        </w:tc>
        <w:tc>
          <w:tcPr>
            <w:tcW w:w="1811" w:type="dxa"/>
            <w:tcBorders>
              <w:bottom w:val="single" w:sz="4" w:space="0" w:color="000000"/>
            </w:tcBorders>
          </w:tcPr>
          <w:p w:rsidR="00EA40A3" w:rsidRDefault="00E86C16">
            <w:pPr>
              <w:spacing w:before="120" w:line="183" w:lineRule="auto"/>
              <w:ind w:left="772"/>
              <w:rPr>
                <w:rFonts w:ascii="宋体" w:eastAsia="宋体" w:hAnsi="宋体" w:cs="宋体"/>
                <w:sz w:val="16"/>
                <w:szCs w:val="16"/>
              </w:rPr>
            </w:pPr>
            <w:r>
              <w:rPr>
                <w:rFonts w:ascii="宋体" w:eastAsia="宋体" w:hAnsi="宋体" w:cs="宋体"/>
                <w:spacing w:val="-2"/>
                <w:sz w:val="16"/>
                <w:szCs w:val="16"/>
              </w:rPr>
              <w:t>0.8</w:t>
            </w:r>
          </w:p>
        </w:tc>
        <w:tc>
          <w:tcPr>
            <w:tcW w:w="1851" w:type="dxa"/>
            <w:tcBorders>
              <w:bottom w:val="single" w:sz="4" w:space="0" w:color="000000"/>
            </w:tcBorders>
          </w:tcPr>
          <w:p w:rsidR="00EA40A3" w:rsidRDefault="00E86C16">
            <w:pPr>
              <w:spacing w:before="120" w:line="183" w:lineRule="auto"/>
              <w:ind w:left="811"/>
              <w:rPr>
                <w:rFonts w:ascii="宋体" w:eastAsia="宋体" w:hAnsi="宋体" w:cs="宋体"/>
                <w:sz w:val="16"/>
                <w:szCs w:val="16"/>
              </w:rPr>
            </w:pPr>
            <w:r>
              <w:rPr>
                <w:rFonts w:ascii="宋体" w:eastAsia="宋体" w:hAnsi="宋体" w:cs="宋体"/>
                <w:spacing w:val="-3"/>
                <w:sz w:val="16"/>
                <w:szCs w:val="16"/>
              </w:rPr>
              <w:t>70</w:t>
            </w:r>
          </w:p>
        </w:tc>
      </w:tr>
    </w:tbl>
    <w:p w:rsidR="00EA40A3" w:rsidRDefault="00E86C16">
      <w:pPr>
        <w:spacing w:before="100" w:line="219" w:lineRule="auto"/>
        <w:ind w:left="580"/>
        <w:rPr>
          <w:rFonts w:ascii="宋体" w:eastAsia="宋体" w:hAnsi="宋体" w:cs="宋体"/>
          <w:sz w:val="16"/>
          <w:szCs w:val="16"/>
        </w:rPr>
      </w:pPr>
      <w:r>
        <w:rPr>
          <w:rFonts w:ascii="宋体" w:eastAsia="宋体" w:hAnsi="宋体" w:cs="宋体"/>
          <w:sz w:val="16"/>
          <w:szCs w:val="16"/>
        </w:rPr>
        <w:t>数据来源：葛可佑.2004.中国营养科学全书.北京：</w:t>
      </w:r>
      <w:r>
        <w:rPr>
          <w:rFonts w:ascii="宋体" w:eastAsia="宋体" w:hAnsi="宋体" w:cs="宋体"/>
          <w:spacing w:val="-1"/>
          <w:sz w:val="16"/>
          <w:szCs w:val="16"/>
        </w:rPr>
        <w:t>人民卫生出版社</w:t>
      </w:r>
    </w:p>
    <w:p w:rsidR="00EA40A3" w:rsidRDefault="00EA40A3">
      <w:pPr>
        <w:spacing w:line="300" w:lineRule="auto"/>
      </w:pPr>
    </w:p>
    <w:p w:rsidR="00EA40A3" w:rsidRDefault="00E86C16">
      <w:pPr>
        <w:spacing w:before="68" w:line="224" w:lineRule="auto"/>
        <w:ind w:left="80"/>
        <w:rPr>
          <w:rFonts w:ascii="楷体" w:eastAsia="楷体" w:hAnsi="楷体" w:cs="楷体"/>
        </w:rPr>
      </w:pPr>
      <w:r>
        <w:rPr>
          <w:rFonts w:ascii="楷体" w:eastAsia="楷体" w:hAnsi="楷体" w:cs="楷体"/>
          <w:spacing w:val="3"/>
        </w:rPr>
        <w:t>2)冻藏期间食品中营养素的损失</w:t>
      </w:r>
    </w:p>
    <w:p w:rsidR="00EA40A3" w:rsidRDefault="00E86C16">
      <w:pPr>
        <w:spacing w:before="79" w:line="268" w:lineRule="auto"/>
        <w:ind w:left="80" w:right="14" w:firstLine="469"/>
        <w:jc w:val="both"/>
        <w:rPr>
          <w:rFonts w:ascii="宋体" w:eastAsia="宋体" w:hAnsi="宋体" w:cs="宋体"/>
        </w:rPr>
      </w:pPr>
      <w:r>
        <w:rPr>
          <w:rFonts w:ascii="宋体" w:eastAsia="宋体" w:hAnsi="宋体" w:cs="宋体"/>
          <w:spacing w:val="-3"/>
        </w:rPr>
        <w:t>果蔬食物冻结后在冻藏期间，蛋白质、碳水化合物、脂肪和矿物质元素等几</w:t>
      </w:r>
      <w:r>
        <w:rPr>
          <w:rFonts w:ascii="宋体" w:eastAsia="宋体" w:hAnsi="宋体" w:cs="宋体"/>
          <w:spacing w:val="6"/>
        </w:rPr>
        <w:t xml:space="preserve"> </w:t>
      </w:r>
      <w:r>
        <w:rPr>
          <w:rFonts w:ascii="宋体" w:eastAsia="宋体" w:hAnsi="宋体" w:cs="宋体"/>
          <w:spacing w:val="-1"/>
        </w:rPr>
        <w:t>乎没有什么损失，但维生素会有损失。如冷藏温度对维生素</w:t>
      </w:r>
      <w:r>
        <w:rPr>
          <w:rFonts w:ascii="宋体" w:eastAsia="宋体" w:hAnsi="宋体" w:cs="宋体"/>
          <w:spacing w:val="-43"/>
        </w:rPr>
        <w:t xml:space="preserve"> </w:t>
      </w:r>
      <w:r>
        <w:rPr>
          <w:rFonts w:ascii="宋体" w:eastAsia="宋体" w:hAnsi="宋体" w:cs="宋体"/>
          <w:spacing w:val="-1"/>
        </w:rPr>
        <w:t>C</w:t>
      </w:r>
      <w:r>
        <w:rPr>
          <w:rFonts w:ascii="宋体" w:eastAsia="宋体" w:hAnsi="宋体" w:cs="宋体"/>
          <w:spacing w:val="-4"/>
        </w:rPr>
        <w:t xml:space="preserve"> </w:t>
      </w:r>
      <w:r>
        <w:rPr>
          <w:rFonts w:ascii="宋体" w:eastAsia="宋体" w:hAnsi="宋体" w:cs="宋体"/>
          <w:spacing w:val="-1"/>
        </w:rPr>
        <w:t>的损失影响很大，</w:t>
      </w:r>
      <w:r>
        <w:rPr>
          <w:rFonts w:ascii="宋体" w:eastAsia="宋体" w:hAnsi="宋体" w:cs="宋体"/>
        </w:rPr>
        <w:t xml:space="preserve"> </w:t>
      </w:r>
      <w:r>
        <w:rPr>
          <w:rFonts w:ascii="宋体" w:eastAsia="宋体" w:hAnsi="宋体" w:cs="宋体"/>
          <w:spacing w:val="6"/>
        </w:rPr>
        <w:t>温度在—</w:t>
      </w:r>
      <w:r>
        <w:rPr>
          <w:rFonts w:ascii="宋体" w:eastAsia="宋体" w:hAnsi="宋体" w:cs="宋体"/>
          <w:spacing w:val="-75"/>
        </w:rPr>
        <w:t xml:space="preserve"> </w:t>
      </w:r>
      <w:r>
        <w:rPr>
          <w:rFonts w:ascii="宋体" w:eastAsia="宋体" w:hAnsi="宋体" w:cs="宋体"/>
          <w:spacing w:val="6"/>
        </w:rPr>
        <w:t>18～-7℃范围内，每上升10℃,可引起蔬菜如青豆</w:t>
      </w:r>
      <w:r>
        <w:rPr>
          <w:rFonts w:ascii="宋体" w:eastAsia="宋体" w:hAnsi="宋体" w:cs="宋体"/>
          <w:spacing w:val="5"/>
        </w:rPr>
        <w:t>、花椰菜、青豌豆</w:t>
      </w:r>
      <w:r>
        <w:rPr>
          <w:rFonts w:ascii="宋体" w:eastAsia="宋体" w:hAnsi="宋体" w:cs="宋体"/>
        </w:rPr>
        <w:t xml:space="preserve">  </w:t>
      </w:r>
      <w:r>
        <w:rPr>
          <w:rFonts w:ascii="宋体" w:eastAsia="宋体" w:hAnsi="宋体" w:cs="宋体"/>
          <w:spacing w:val="5"/>
        </w:rPr>
        <w:t>和菠菜等中的维生素C</w:t>
      </w:r>
      <w:r>
        <w:rPr>
          <w:rFonts w:ascii="宋体" w:eastAsia="宋体" w:hAnsi="宋体" w:cs="宋体"/>
          <w:spacing w:val="8"/>
        </w:rPr>
        <w:t xml:space="preserve"> </w:t>
      </w:r>
      <w:r>
        <w:rPr>
          <w:rFonts w:ascii="宋体" w:eastAsia="宋体" w:hAnsi="宋体" w:cs="宋体"/>
          <w:spacing w:val="5"/>
        </w:rPr>
        <w:t>以6～20倍的速度加速降解。水果中某些品种如桃和草</w:t>
      </w:r>
      <w:r>
        <w:rPr>
          <w:rFonts w:ascii="宋体" w:eastAsia="宋体" w:hAnsi="宋体" w:cs="宋体"/>
        </w:rPr>
        <w:t xml:space="preserve">  </w:t>
      </w:r>
      <w:r>
        <w:rPr>
          <w:rFonts w:ascii="宋体" w:eastAsia="宋体" w:hAnsi="宋体" w:cs="宋体"/>
          <w:spacing w:val="14"/>
        </w:rPr>
        <w:t>莓等中的维生素C,</w:t>
      </w:r>
      <w:r>
        <w:rPr>
          <w:rFonts w:ascii="宋体" w:eastAsia="宋体" w:hAnsi="宋体" w:cs="宋体"/>
          <w:spacing w:val="31"/>
        </w:rPr>
        <w:t xml:space="preserve"> </w:t>
      </w:r>
      <w:r>
        <w:rPr>
          <w:rFonts w:ascii="宋体" w:eastAsia="宋体" w:hAnsi="宋体" w:cs="宋体"/>
          <w:spacing w:val="14"/>
        </w:rPr>
        <w:t>在-18～-7℃范围内，每上升</w:t>
      </w:r>
      <w:r>
        <w:rPr>
          <w:rFonts w:ascii="宋体" w:eastAsia="宋体" w:hAnsi="宋体" w:cs="宋体"/>
          <w:spacing w:val="13"/>
        </w:rPr>
        <w:t>10℃,降解速度可提高30~</w:t>
      </w:r>
      <w:r>
        <w:rPr>
          <w:rFonts w:ascii="宋体" w:eastAsia="宋体" w:hAnsi="宋体" w:cs="宋体"/>
        </w:rPr>
        <w:t xml:space="preserve">  </w:t>
      </w:r>
      <w:r>
        <w:rPr>
          <w:rFonts w:ascii="宋体" w:eastAsia="宋体" w:hAnsi="宋体" w:cs="宋体"/>
          <w:spacing w:val="3"/>
        </w:rPr>
        <w:t>70倍。通常将果蔬食品冻结到—</w:t>
      </w:r>
      <w:r>
        <w:rPr>
          <w:rFonts w:ascii="宋体" w:eastAsia="宋体" w:hAnsi="宋体" w:cs="宋体"/>
          <w:spacing w:val="-76"/>
        </w:rPr>
        <w:t xml:space="preserve"> </w:t>
      </w:r>
      <w:r>
        <w:rPr>
          <w:rFonts w:ascii="宋体" w:eastAsia="宋体" w:hAnsi="宋体" w:cs="宋体"/>
          <w:spacing w:val="3"/>
        </w:rPr>
        <w:t>18℃以下，并在该温度下储藏，可大大降低其</w:t>
      </w:r>
      <w:r>
        <w:rPr>
          <w:rFonts w:ascii="宋体" w:eastAsia="宋体" w:hAnsi="宋体" w:cs="宋体"/>
        </w:rPr>
        <w:t xml:space="preserve">  </w:t>
      </w:r>
      <w:r>
        <w:rPr>
          <w:rFonts w:ascii="宋体" w:eastAsia="宋体" w:hAnsi="宋体" w:cs="宋体"/>
          <w:spacing w:val="4"/>
        </w:rPr>
        <w:t>中维生素C</w:t>
      </w:r>
      <w:r>
        <w:rPr>
          <w:rFonts w:ascii="宋体" w:eastAsia="宋体" w:hAnsi="宋体" w:cs="宋体"/>
          <w:spacing w:val="2"/>
        </w:rPr>
        <w:t xml:space="preserve"> </w:t>
      </w:r>
      <w:r>
        <w:rPr>
          <w:rFonts w:ascii="宋体" w:eastAsia="宋体" w:hAnsi="宋体" w:cs="宋体"/>
          <w:spacing w:val="4"/>
        </w:rPr>
        <w:t>的损失，并较好地保持食品的原始品质，同时还可获得较长的储存</w:t>
      </w:r>
      <w:r>
        <w:rPr>
          <w:rFonts w:ascii="宋体" w:eastAsia="宋体" w:hAnsi="宋体" w:cs="宋体"/>
        </w:rPr>
        <w:t xml:space="preserve">  </w:t>
      </w:r>
      <w:r>
        <w:rPr>
          <w:rFonts w:ascii="宋体" w:eastAsia="宋体" w:hAnsi="宋体" w:cs="宋体"/>
          <w:spacing w:val="12"/>
        </w:rPr>
        <w:t>期。水果和果汁在冻藏期间的维生素</w:t>
      </w:r>
      <w:r>
        <w:rPr>
          <w:rFonts w:ascii="宋体" w:eastAsia="宋体" w:hAnsi="宋体" w:cs="宋体"/>
          <w:spacing w:val="-45"/>
        </w:rPr>
        <w:t xml:space="preserve"> </w:t>
      </w:r>
      <w:r>
        <w:rPr>
          <w:rFonts w:ascii="宋体" w:eastAsia="宋体" w:hAnsi="宋体" w:cs="宋体"/>
          <w:spacing w:val="12"/>
        </w:rPr>
        <w:t>C</w:t>
      </w:r>
      <w:r>
        <w:rPr>
          <w:rFonts w:ascii="宋体" w:eastAsia="宋体" w:hAnsi="宋体" w:cs="宋体"/>
          <w:spacing w:val="-3"/>
        </w:rPr>
        <w:t xml:space="preserve"> </w:t>
      </w:r>
      <w:r>
        <w:rPr>
          <w:rFonts w:ascii="宋体" w:eastAsia="宋体" w:hAnsi="宋体" w:cs="宋体"/>
          <w:spacing w:val="12"/>
        </w:rPr>
        <w:t>损失取决于品种、产品类型(有无糖</w:t>
      </w:r>
      <w:r>
        <w:rPr>
          <w:rFonts w:ascii="宋体" w:eastAsia="宋体" w:hAnsi="宋体" w:cs="宋体"/>
        </w:rPr>
        <w:t xml:space="preserve">  浆)、汁液的固形物含量和包装形式等，多数水果中维生素</w:t>
      </w:r>
      <w:r>
        <w:rPr>
          <w:rFonts w:ascii="宋体" w:eastAsia="宋体" w:hAnsi="宋体" w:cs="宋体"/>
          <w:spacing w:val="-62"/>
        </w:rPr>
        <w:t xml:space="preserve"> </w:t>
      </w:r>
      <w:r>
        <w:rPr>
          <w:rFonts w:ascii="宋体" w:eastAsia="宋体" w:hAnsi="宋体" w:cs="宋体"/>
        </w:rPr>
        <w:t>C</w:t>
      </w:r>
      <w:r>
        <w:rPr>
          <w:rFonts w:ascii="宋体" w:eastAsia="宋体" w:hAnsi="宋体" w:cs="宋体"/>
          <w:spacing w:val="-4"/>
        </w:rPr>
        <w:t xml:space="preserve"> </w:t>
      </w:r>
      <w:r>
        <w:rPr>
          <w:rFonts w:ascii="宋体" w:eastAsia="宋体" w:hAnsi="宋体" w:cs="宋体"/>
        </w:rPr>
        <w:t>的损失</w:t>
      </w:r>
      <w:r>
        <w:rPr>
          <w:rFonts w:ascii="宋体" w:eastAsia="宋体" w:hAnsi="宋体" w:cs="宋体"/>
          <w:spacing w:val="-1"/>
        </w:rPr>
        <w:t>发生在冻藏</w:t>
      </w:r>
      <w:r>
        <w:rPr>
          <w:rFonts w:ascii="宋体" w:eastAsia="宋体" w:hAnsi="宋体" w:cs="宋体"/>
        </w:rPr>
        <w:t xml:space="preserve">  </w:t>
      </w:r>
      <w:r>
        <w:rPr>
          <w:rFonts w:ascii="宋体" w:eastAsia="宋体" w:hAnsi="宋体" w:cs="宋体"/>
          <w:spacing w:val="10"/>
        </w:rPr>
        <w:t>期间，但维生素C</w:t>
      </w:r>
      <w:r>
        <w:rPr>
          <w:rFonts w:ascii="宋体" w:eastAsia="宋体" w:hAnsi="宋体" w:cs="宋体"/>
          <w:spacing w:val="4"/>
        </w:rPr>
        <w:t xml:space="preserve"> </w:t>
      </w:r>
      <w:r>
        <w:rPr>
          <w:rFonts w:ascii="宋体" w:eastAsia="宋体" w:hAnsi="宋体" w:cs="宋体"/>
          <w:spacing w:val="10"/>
        </w:rPr>
        <w:t>的损失不超过30%,有些果汁如浓缩橘汁冻藏中维生素C</w:t>
      </w:r>
      <w:r>
        <w:rPr>
          <w:rFonts w:ascii="宋体" w:eastAsia="宋体" w:hAnsi="宋体" w:cs="宋体"/>
          <w:spacing w:val="-14"/>
        </w:rPr>
        <w:t xml:space="preserve"> </w:t>
      </w:r>
      <w:r>
        <w:rPr>
          <w:rFonts w:ascii="宋体" w:eastAsia="宋体" w:hAnsi="宋体" w:cs="宋体"/>
          <w:spacing w:val="10"/>
        </w:rPr>
        <w:t>损</w:t>
      </w:r>
      <w:r>
        <w:rPr>
          <w:rFonts w:ascii="宋体" w:eastAsia="宋体" w:hAnsi="宋体" w:cs="宋体"/>
        </w:rPr>
        <w:t xml:space="preserve">  </w:t>
      </w:r>
      <w:r>
        <w:rPr>
          <w:rFonts w:ascii="宋体" w:eastAsia="宋体" w:hAnsi="宋体" w:cs="宋体"/>
          <w:spacing w:val="9"/>
        </w:rPr>
        <w:t>失率仅为5%。新鲜水果及其制品和经烫漂、冷冻后蔬菜在-18℃储存6～12个</w:t>
      </w:r>
      <w:r>
        <w:rPr>
          <w:rFonts w:ascii="宋体" w:eastAsia="宋体" w:hAnsi="宋体" w:cs="宋体"/>
          <w:spacing w:val="7"/>
        </w:rPr>
        <w:t xml:space="preserve">  </w:t>
      </w:r>
      <w:r>
        <w:rPr>
          <w:rFonts w:ascii="宋体" w:eastAsia="宋体" w:hAnsi="宋体" w:cs="宋体"/>
          <w:spacing w:val="2"/>
        </w:rPr>
        <w:t>月后维生素C</w:t>
      </w:r>
      <w:r>
        <w:rPr>
          <w:rFonts w:ascii="宋体" w:eastAsia="宋体" w:hAnsi="宋体" w:cs="宋体"/>
          <w:spacing w:val="14"/>
        </w:rPr>
        <w:t xml:space="preserve"> </w:t>
      </w:r>
      <w:r>
        <w:rPr>
          <w:rFonts w:ascii="宋体" w:eastAsia="宋体" w:hAnsi="宋体" w:cs="宋体"/>
          <w:spacing w:val="2"/>
        </w:rPr>
        <w:t>的损失如表7-3和表7-4所示。</w:t>
      </w:r>
    </w:p>
    <w:p w:rsidR="00EA40A3" w:rsidRDefault="00EA40A3">
      <w:pPr>
        <w:spacing w:line="328" w:lineRule="auto"/>
      </w:pPr>
    </w:p>
    <w:p w:rsidR="00EA40A3" w:rsidRDefault="00E86C16">
      <w:pPr>
        <w:spacing w:before="55" w:line="222" w:lineRule="auto"/>
        <w:ind w:left="2042"/>
        <w:rPr>
          <w:rFonts w:ascii="黑体" w:eastAsia="黑体" w:hAnsi="黑体" w:cs="黑体"/>
          <w:sz w:val="17"/>
          <w:szCs w:val="17"/>
        </w:rPr>
      </w:pPr>
      <w:r>
        <w:rPr>
          <w:rFonts w:ascii="黑体" w:eastAsia="黑体" w:hAnsi="黑体" w:cs="黑体"/>
          <w:b/>
          <w:bCs/>
          <w:spacing w:val="8"/>
          <w:sz w:val="17"/>
          <w:szCs w:val="17"/>
        </w:rPr>
        <w:t>表7-3</w:t>
      </w:r>
      <w:r>
        <w:rPr>
          <w:rFonts w:ascii="黑体" w:eastAsia="黑体" w:hAnsi="黑体" w:cs="黑体"/>
          <w:spacing w:val="92"/>
          <w:sz w:val="17"/>
          <w:szCs w:val="17"/>
        </w:rPr>
        <w:t xml:space="preserve"> </w:t>
      </w:r>
      <w:r>
        <w:rPr>
          <w:rFonts w:ascii="黑体" w:eastAsia="黑体" w:hAnsi="黑体" w:cs="黑体"/>
          <w:b/>
          <w:bCs/>
          <w:spacing w:val="8"/>
          <w:sz w:val="17"/>
          <w:szCs w:val="17"/>
        </w:rPr>
        <w:t>某些蔬菜冻藏期间维生素C</w:t>
      </w:r>
      <w:r>
        <w:rPr>
          <w:rFonts w:ascii="黑体" w:eastAsia="黑体" w:hAnsi="黑体" w:cs="黑体"/>
          <w:spacing w:val="-4"/>
          <w:sz w:val="17"/>
          <w:szCs w:val="17"/>
        </w:rPr>
        <w:t xml:space="preserve"> </w:t>
      </w:r>
      <w:r>
        <w:rPr>
          <w:rFonts w:ascii="黑体" w:eastAsia="黑体" w:hAnsi="黑体" w:cs="黑体"/>
          <w:b/>
          <w:bCs/>
          <w:spacing w:val="8"/>
          <w:sz w:val="17"/>
          <w:szCs w:val="17"/>
        </w:rPr>
        <w:t>的损失</w:t>
      </w:r>
    </w:p>
    <w:p w:rsidR="00EA40A3" w:rsidRDefault="00EA40A3">
      <w:pPr>
        <w:spacing w:line="27" w:lineRule="exact"/>
      </w:pPr>
    </w:p>
    <w:tbl>
      <w:tblPr>
        <w:tblStyle w:val="TableNormal"/>
        <w:tblW w:w="735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44"/>
        <w:gridCol w:w="1896"/>
        <w:gridCol w:w="1756"/>
        <w:gridCol w:w="1854"/>
      </w:tblGrid>
      <w:tr w:rsidR="00EA40A3">
        <w:trPr>
          <w:trHeight w:val="314"/>
        </w:trPr>
        <w:tc>
          <w:tcPr>
            <w:tcW w:w="1844" w:type="dxa"/>
            <w:vMerge w:val="restart"/>
            <w:tcBorders>
              <w:top w:val="single" w:sz="4" w:space="0" w:color="000000"/>
              <w:bottom w:val="nil"/>
            </w:tcBorders>
          </w:tcPr>
          <w:p w:rsidR="00EA40A3" w:rsidRDefault="00E86C16">
            <w:pPr>
              <w:spacing w:before="252" w:line="220" w:lineRule="auto"/>
              <w:ind w:left="789"/>
              <w:rPr>
                <w:rFonts w:ascii="宋体" w:eastAsia="宋体" w:hAnsi="宋体" w:cs="宋体"/>
                <w:sz w:val="16"/>
                <w:szCs w:val="16"/>
              </w:rPr>
            </w:pPr>
            <w:r>
              <w:rPr>
                <w:rFonts w:ascii="宋体" w:eastAsia="宋体" w:hAnsi="宋体" w:cs="宋体"/>
                <w:spacing w:val="-2"/>
                <w:sz w:val="16"/>
                <w:szCs w:val="16"/>
              </w:rPr>
              <w:t>食物名称</w:t>
            </w:r>
          </w:p>
        </w:tc>
        <w:tc>
          <w:tcPr>
            <w:tcW w:w="1896" w:type="dxa"/>
            <w:vMerge w:val="restart"/>
            <w:tcBorders>
              <w:top w:val="single" w:sz="4" w:space="0" w:color="000000"/>
              <w:bottom w:val="nil"/>
            </w:tcBorders>
          </w:tcPr>
          <w:p w:rsidR="00EA40A3" w:rsidRDefault="00E86C16">
            <w:pPr>
              <w:spacing w:before="122" w:line="242" w:lineRule="auto"/>
              <w:ind w:left="614" w:right="86" w:hanging="239"/>
              <w:rPr>
                <w:rFonts w:ascii="宋体" w:eastAsia="宋体" w:hAnsi="宋体" w:cs="宋体"/>
                <w:sz w:val="16"/>
                <w:szCs w:val="16"/>
              </w:rPr>
            </w:pPr>
            <w:r>
              <w:rPr>
                <w:rFonts w:ascii="宋体" w:eastAsia="宋体" w:hAnsi="宋体" w:cs="宋体"/>
                <w:spacing w:val="-1"/>
                <w:sz w:val="16"/>
                <w:szCs w:val="16"/>
              </w:rPr>
              <w:t>新鲜蔬菜中的代表值</w:t>
            </w:r>
            <w:r>
              <w:rPr>
                <w:rFonts w:ascii="宋体" w:eastAsia="宋体" w:hAnsi="宋体" w:cs="宋体"/>
                <w:spacing w:val="1"/>
                <w:sz w:val="16"/>
                <w:szCs w:val="16"/>
              </w:rPr>
              <w:t xml:space="preserve"> </w:t>
            </w:r>
            <w:r>
              <w:rPr>
                <w:rFonts w:ascii="宋体" w:eastAsia="宋体" w:hAnsi="宋体" w:cs="宋体"/>
                <w:spacing w:val="-1"/>
                <w:sz w:val="16"/>
                <w:szCs w:val="16"/>
              </w:rPr>
              <w:t>/(mg/100g)</w:t>
            </w:r>
          </w:p>
        </w:tc>
        <w:tc>
          <w:tcPr>
            <w:tcW w:w="3610" w:type="dxa"/>
            <w:gridSpan w:val="2"/>
            <w:tcBorders>
              <w:top w:val="single" w:sz="4" w:space="0" w:color="000000"/>
              <w:bottom w:val="single" w:sz="4" w:space="0" w:color="000000"/>
            </w:tcBorders>
          </w:tcPr>
          <w:p w:rsidR="00EA40A3" w:rsidRDefault="00E86C16">
            <w:pPr>
              <w:spacing w:before="81" w:line="219" w:lineRule="auto"/>
              <w:ind w:left="679"/>
              <w:rPr>
                <w:rFonts w:ascii="宋体" w:eastAsia="宋体" w:hAnsi="宋体" w:cs="宋体"/>
                <w:sz w:val="16"/>
                <w:szCs w:val="16"/>
              </w:rPr>
            </w:pPr>
            <w:r>
              <w:rPr>
                <w:rFonts w:ascii="宋体" w:eastAsia="宋体" w:hAnsi="宋体" w:cs="宋体"/>
                <w:spacing w:val="-1"/>
                <w:sz w:val="16"/>
                <w:szCs w:val="16"/>
              </w:rPr>
              <w:t>-18℃储存6～12个月的损失率</w:t>
            </w:r>
          </w:p>
        </w:tc>
      </w:tr>
      <w:tr w:rsidR="00EA40A3">
        <w:trPr>
          <w:trHeight w:val="274"/>
        </w:trPr>
        <w:tc>
          <w:tcPr>
            <w:tcW w:w="1844" w:type="dxa"/>
            <w:vMerge/>
            <w:tcBorders>
              <w:top w:val="nil"/>
            </w:tcBorders>
          </w:tcPr>
          <w:p w:rsidR="00EA40A3" w:rsidRDefault="00EA40A3"/>
        </w:tc>
        <w:tc>
          <w:tcPr>
            <w:tcW w:w="1896" w:type="dxa"/>
            <w:vMerge/>
            <w:tcBorders>
              <w:top w:val="nil"/>
            </w:tcBorders>
          </w:tcPr>
          <w:p w:rsidR="00EA40A3" w:rsidRDefault="00EA40A3"/>
        </w:tc>
        <w:tc>
          <w:tcPr>
            <w:tcW w:w="3610" w:type="dxa"/>
            <w:gridSpan w:val="2"/>
            <w:tcBorders>
              <w:top w:val="single" w:sz="4" w:space="0" w:color="000000"/>
            </w:tcBorders>
          </w:tcPr>
          <w:p w:rsidR="00EA40A3" w:rsidRDefault="00E86C16">
            <w:pPr>
              <w:spacing w:before="68" w:line="220" w:lineRule="auto"/>
              <w:ind w:left="719"/>
              <w:rPr>
                <w:rFonts w:ascii="宋体" w:eastAsia="宋体" w:hAnsi="宋体" w:cs="宋体"/>
                <w:sz w:val="16"/>
                <w:szCs w:val="16"/>
              </w:rPr>
            </w:pPr>
            <w:r>
              <w:rPr>
                <w:rFonts w:ascii="宋体" w:eastAsia="宋体" w:hAnsi="宋体" w:cs="宋体"/>
                <w:spacing w:val="-2"/>
                <w:sz w:val="16"/>
                <w:szCs w:val="16"/>
              </w:rPr>
              <w:t>平均/%</w:t>
            </w:r>
            <w:r>
              <w:rPr>
                <w:rFonts w:ascii="宋体" w:eastAsia="宋体" w:hAnsi="宋体" w:cs="宋体"/>
                <w:spacing w:val="4"/>
                <w:sz w:val="16"/>
                <w:szCs w:val="16"/>
              </w:rPr>
              <w:t xml:space="preserve">                </w:t>
            </w:r>
            <w:r>
              <w:rPr>
                <w:rFonts w:ascii="宋体" w:eastAsia="宋体" w:hAnsi="宋体" w:cs="宋体"/>
                <w:spacing w:val="-2"/>
                <w:sz w:val="16"/>
                <w:szCs w:val="16"/>
              </w:rPr>
              <w:t>范围/%</w:t>
            </w:r>
          </w:p>
        </w:tc>
      </w:tr>
      <w:tr w:rsidR="00EA40A3">
        <w:trPr>
          <w:trHeight w:val="303"/>
        </w:trPr>
        <w:tc>
          <w:tcPr>
            <w:tcW w:w="1844" w:type="dxa"/>
          </w:tcPr>
          <w:p w:rsidR="00EA40A3" w:rsidRDefault="00E86C16">
            <w:pPr>
              <w:spacing w:before="54" w:line="220" w:lineRule="auto"/>
              <w:ind w:left="950"/>
              <w:rPr>
                <w:rFonts w:ascii="宋体" w:eastAsia="宋体" w:hAnsi="宋体" w:cs="宋体"/>
                <w:sz w:val="16"/>
                <w:szCs w:val="16"/>
              </w:rPr>
            </w:pPr>
            <w:r>
              <w:rPr>
                <w:rFonts w:ascii="宋体" w:eastAsia="宋体" w:hAnsi="宋体" w:cs="宋体"/>
                <w:spacing w:val="-3"/>
                <w:sz w:val="16"/>
                <w:szCs w:val="16"/>
              </w:rPr>
              <w:t>莴笋</w:t>
            </w:r>
          </w:p>
        </w:tc>
        <w:tc>
          <w:tcPr>
            <w:tcW w:w="1896" w:type="dxa"/>
          </w:tcPr>
          <w:p w:rsidR="00EA40A3" w:rsidRDefault="00E86C16">
            <w:pPr>
              <w:spacing w:before="104" w:line="183" w:lineRule="auto"/>
              <w:ind w:left="985"/>
              <w:rPr>
                <w:rFonts w:ascii="宋体" w:eastAsia="宋体" w:hAnsi="宋体" w:cs="宋体"/>
                <w:sz w:val="16"/>
                <w:szCs w:val="16"/>
              </w:rPr>
            </w:pPr>
            <w:r>
              <w:rPr>
                <w:rFonts w:ascii="宋体" w:eastAsia="宋体" w:hAnsi="宋体" w:cs="宋体"/>
                <w:spacing w:val="-3"/>
                <w:sz w:val="16"/>
                <w:szCs w:val="16"/>
              </w:rPr>
              <w:t>33</w:t>
            </w:r>
          </w:p>
        </w:tc>
        <w:tc>
          <w:tcPr>
            <w:tcW w:w="1756" w:type="dxa"/>
          </w:tcPr>
          <w:p w:rsidR="00EA40A3" w:rsidRDefault="00E86C16">
            <w:pPr>
              <w:spacing w:before="104" w:line="184" w:lineRule="auto"/>
              <w:ind w:left="910"/>
              <w:rPr>
                <w:rFonts w:ascii="宋体" w:eastAsia="宋体" w:hAnsi="宋体" w:cs="宋体"/>
                <w:sz w:val="16"/>
                <w:szCs w:val="16"/>
              </w:rPr>
            </w:pPr>
            <w:r>
              <w:rPr>
                <w:rFonts w:ascii="宋体" w:eastAsia="宋体" w:hAnsi="宋体" w:cs="宋体"/>
                <w:spacing w:val="-5"/>
                <w:sz w:val="16"/>
                <w:szCs w:val="16"/>
              </w:rPr>
              <w:t>12</w:t>
            </w:r>
          </w:p>
        </w:tc>
        <w:tc>
          <w:tcPr>
            <w:tcW w:w="1854" w:type="dxa"/>
          </w:tcPr>
          <w:p w:rsidR="00EA40A3" w:rsidRDefault="00E86C16">
            <w:pPr>
              <w:spacing w:before="86" w:line="222" w:lineRule="auto"/>
              <w:ind w:left="753"/>
              <w:rPr>
                <w:rFonts w:ascii="宋体" w:eastAsia="宋体" w:hAnsi="宋体" w:cs="宋体"/>
                <w:sz w:val="16"/>
                <w:szCs w:val="16"/>
              </w:rPr>
            </w:pPr>
            <w:r>
              <w:rPr>
                <w:rFonts w:ascii="宋体" w:eastAsia="宋体" w:hAnsi="宋体" w:cs="宋体"/>
                <w:spacing w:val="-5"/>
                <w:sz w:val="16"/>
                <w:szCs w:val="16"/>
              </w:rPr>
              <w:t>(12～13)</w:t>
            </w:r>
          </w:p>
        </w:tc>
      </w:tr>
      <w:tr w:rsidR="00EA40A3">
        <w:trPr>
          <w:trHeight w:val="289"/>
        </w:trPr>
        <w:tc>
          <w:tcPr>
            <w:tcW w:w="1844" w:type="dxa"/>
          </w:tcPr>
          <w:p w:rsidR="00EA40A3" w:rsidRDefault="00E86C16">
            <w:pPr>
              <w:spacing w:before="69" w:line="219" w:lineRule="auto"/>
              <w:ind w:left="939"/>
              <w:rPr>
                <w:rFonts w:ascii="宋体" w:eastAsia="宋体" w:hAnsi="宋体" w:cs="宋体"/>
                <w:sz w:val="16"/>
                <w:szCs w:val="16"/>
              </w:rPr>
            </w:pPr>
            <w:r>
              <w:rPr>
                <w:rFonts w:ascii="宋体" w:eastAsia="宋体" w:hAnsi="宋体" w:cs="宋体"/>
                <w:spacing w:val="-2"/>
                <w:sz w:val="16"/>
                <w:szCs w:val="16"/>
              </w:rPr>
              <w:t>青豆</w:t>
            </w:r>
          </w:p>
        </w:tc>
        <w:tc>
          <w:tcPr>
            <w:tcW w:w="1896" w:type="dxa"/>
          </w:tcPr>
          <w:p w:rsidR="00EA40A3" w:rsidRDefault="00E86C16">
            <w:pPr>
              <w:spacing w:before="110" w:line="184" w:lineRule="auto"/>
              <w:ind w:left="996"/>
              <w:rPr>
                <w:rFonts w:ascii="宋体" w:eastAsia="宋体" w:hAnsi="宋体" w:cs="宋体"/>
                <w:sz w:val="16"/>
                <w:szCs w:val="16"/>
              </w:rPr>
            </w:pPr>
            <w:r>
              <w:rPr>
                <w:rFonts w:ascii="宋体" w:eastAsia="宋体" w:hAnsi="宋体" w:cs="宋体"/>
                <w:spacing w:val="-5"/>
                <w:sz w:val="16"/>
                <w:szCs w:val="16"/>
              </w:rPr>
              <w:t>19</w:t>
            </w:r>
          </w:p>
        </w:tc>
        <w:tc>
          <w:tcPr>
            <w:tcW w:w="1756" w:type="dxa"/>
          </w:tcPr>
          <w:p w:rsidR="00EA40A3" w:rsidRDefault="00E86C16">
            <w:pPr>
              <w:spacing w:before="111" w:line="183" w:lineRule="auto"/>
              <w:ind w:left="809"/>
              <w:rPr>
                <w:rFonts w:ascii="宋体" w:eastAsia="宋体" w:hAnsi="宋体" w:cs="宋体"/>
                <w:sz w:val="16"/>
                <w:szCs w:val="16"/>
              </w:rPr>
            </w:pPr>
            <w:r>
              <w:rPr>
                <w:rFonts w:ascii="宋体" w:eastAsia="宋体" w:hAnsi="宋体" w:cs="宋体"/>
                <w:spacing w:val="-2"/>
                <w:sz w:val="16"/>
                <w:szCs w:val="16"/>
              </w:rPr>
              <w:t>45</w:t>
            </w:r>
          </w:p>
        </w:tc>
        <w:tc>
          <w:tcPr>
            <w:tcW w:w="1854" w:type="dxa"/>
          </w:tcPr>
          <w:p w:rsidR="00EA40A3" w:rsidRDefault="00E86C16">
            <w:pPr>
              <w:spacing w:before="73" w:line="222" w:lineRule="auto"/>
              <w:ind w:left="714"/>
              <w:rPr>
                <w:rFonts w:ascii="宋体" w:eastAsia="宋体" w:hAnsi="宋体" w:cs="宋体"/>
                <w:sz w:val="16"/>
                <w:szCs w:val="16"/>
              </w:rPr>
            </w:pPr>
            <w:r>
              <w:rPr>
                <w:rFonts w:ascii="宋体" w:eastAsia="宋体" w:hAnsi="宋体" w:cs="宋体"/>
                <w:spacing w:val="-5"/>
                <w:sz w:val="16"/>
                <w:szCs w:val="16"/>
              </w:rPr>
              <w:t>(30～68)</w:t>
            </w:r>
          </w:p>
        </w:tc>
      </w:tr>
      <w:tr w:rsidR="00EA40A3">
        <w:trPr>
          <w:trHeight w:val="294"/>
        </w:trPr>
        <w:tc>
          <w:tcPr>
            <w:tcW w:w="1844" w:type="dxa"/>
          </w:tcPr>
          <w:p w:rsidR="00EA40A3" w:rsidRDefault="00E86C16">
            <w:pPr>
              <w:spacing w:before="70" w:line="219" w:lineRule="auto"/>
              <w:ind w:left="780"/>
              <w:rPr>
                <w:rFonts w:ascii="宋体" w:eastAsia="宋体" w:hAnsi="宋体" w:cs="宋体"/>
                <w:sz w:val="16"/>
                <w:szCs w:val="16"/>
              </w:rPr>
            </w:pPr>
            <w:r>
              <w:rPr>
                <w:rFonts w:ascii="宋体" w:eastAsia="宋体" w:hAnsi="宋体" w:cs="宋体"/>
                <w:spacing w:val="-2"/>
                <w:sz w:val="16"/>
                <w:szCs w:val="16"/>
              </w:rPr>
              <w:t>青豌豆</w:t>
            </w:r>
          </w:p>
        </w:tc>
        <w:tc>
          <w:tcPr>
            <w:tcW w:w="1896" w:type="dxa"/>
          </w:tcPr>
          <w:p w:rsidR="00EA40A3" w:rsidRDefault="00E86C16">
            <w:pPr>
              <w:spacing w:before="112" w:line="183" w:lineRule="auto"/>
              <w:ind w:left="996"/>
              <w:rPr>
                <w:rFonts w:ascii="宋体" w:eastAsia="宋体" w:hAnsi="宋体" w:cs="宋体"/>
                <w:sz w:val="16"/>
                <w:szCs w:val="16"/>
              </w:rPr>
            </w:pPr>
            <w:r>
              <w:rPr>
                <w:rFonts w:ascii="宋体" w:eastAsia="宋体" w:hAnsi="宋体" w:cs="宋体"/>
                <w:spacing w:val="-3"/>
                <w:sz w:val="16"/>
                <w:szCs w:val="16"/>
              </w:rPr>
              <w:t>27</w:t>
            </w:r>
          </w:p>
        </w:tc>
        <w:tc>
          <w:tcPr>
            <w:tcW w:w="1756" w:type="dxa"/>
          </w:tcPr>
          <w:p w:rsidR="00EA40A3" w:rsidRDefault="00E86C16">
            <w:pPr>
              <w:spacing w:before="112" w:line="183" w:lineRule="auto"/>
              <w:ind w:left="809"/>
              <w:rPr>
                <w:rFonts w:ascii="宋体" w:eastAsia="宋体" w:hAnsi="宋体" w:cs="宋体"/>
                <w:sz w:val="16"/>
                <w:szCs w:val="16"/>
              </w:rPr>
            </w:pPr>
            <w:r>
              <w:rPr>
                <w:rFonts w:ascii="宋体" w:eastAsia="宋体" w:hAnsi="宋体" w:cs="宋体"/>
                <w:spacing w:val="-2"/>
                <w:sz w:val="16"/>
                <w:szCs w:val="16"/>
              </w:rPr>
              <w:t>43</w:t>
            </w:r>
          </w:p>
        </w:tc>
        <w:tc>
          <w:tcPr>
            <w:tcW w:w="1854" w:type="dxa"/>
          </w:tcPr>
          <w:p w:rsidR="00EA40A3" w:rsidRDefault="00E86C16">
            <w:pPr>
              <w:spacing w:before="84" w:line="222" w:lineRule="auto"/>
              <w:ind w:left="714"/>
              <w:rPr>
                <w:rFonts w:ascii="宋体" w:eastAsia="宋体" w:hAnsi="宋体" w:cs="宋体"/>
                <w:sz w:val="16"/>
                <w:szCs w:val="16"/>
              </w:rPr>
            </w:pPr>
            <w:r>
              <w:rPr>
                <w:rFonts w:ascii="宋体" w:eastAsia="宋体" w:hAnsi="宋体" w:cs="宋体"/>
                <w:spacing w:val="-5"/>
                <w:sz w:val="16"/>
                <w:szCs w:val="16"/>
              </w:rPr>
              <w:t>(32～67)</w:t>
            </w:r>
          </w:p>
        </w:tc>
      </w:tr>
      <w:tr w:rsidR="00EA40A3">
        <w:trPr>
          <w:trHeight w:val="301"/>
        </w:trPr>
        <w:tc>
          <w:tcPr>
            <w:tcW w:w="1844" w:type="dxa"/>
          </w:tcPr>
          <w:p w:rsidR="00EA40A3" w:rsidRDefault="00E86C16">
            <w:pPr>
              <w:spacing w:before="67" w:line="219" w:lineRule="auto"/>
              <w:ind w:left="939"/>
              <w:rPr>
                <w:rFonts w:ascii="宋体" w:eastAsia="宋体" w:hAnsi="宋体" w:cs="宋体"/>
                <w:sz w:val="16"/>
                <w:szCs w:val="16"/>
              </w:rPr>
            </w:pPr>
            <w:r>
              <w:rPr>
                <w:rFonts w:ascii="宋体" w:eastAsia="宋体" w:hAnsi="宋体" w:cs="宋体"/>
                <w:spacing w:val="-2"/>
                <w:sz w:val="16"/>
                <w:szCs w:val="16"/>
              </w:rPr>
              <w:t>菜豆</w:t>
            </w:r>
          </w:p>
        </w:tc>
        <w:tc>
          <w:tcPr>
            <w:tcW w:w="1896" w:type="dxa"/>
          </w:tcPr>
          <w:p w:rsidR="00EA40A3" w:rsidRDefault="00E86C16">
            <w:pPr>
              <w:spacing w:before="118" w:line="183" w:lineRule="auto"/>
              <w:ind w:left="996"/>
              <w:rPr>
                <w:rFonts w:ascii="宋体" w:eastAsia="宋体" w:hAnsi="宋体" w:cs="宋体"/>
                <w:sz w:val="16"/>
                <w:szCs w:val="16"/>
              </w:rPr>
            </w:pPr>
            <w:r>
              <w:rPr>
                <w:rFonts w:ascii="宋体" w:eastAsia="宋体" w:hAnsi="宋体" w:cs="宋体"/>
                <w:spacing w:val="-3"/>
                <w:sz w:val="16"/>
                <w:szCs w:val="16"/>
              </w:rPr>
              <w:t>29</w:t>
            </w:r>
          </w:p>
        </w:tc>
        <w:tc>
          <w:tcPr>
            <w:tcW w:w="1756" w:type="dxa"/>
          </w:tcPr>
          <w:p w:rsidR="00EA40A3" w:rsidRDefault="00E86C16">
            <w:pPr>
              <w:spacing w:before="117" w:line="184" w:lineRule="auto"/>
              <w:ind w:left="809"/>
              <w:rPr>
                <w:rFonts w:ascii="宋体" w:eastAsia="宋体" w:hAnsi="宋体" w:cs="宋体"/>
                <w:sz w:val="16"/>
                <w:szCs w:val="16"/>
              </w:rPr>
            </w:pPr>
            <w:r>
              <w:rPr>
                <w:rFonts w:ascii="宋体" w:eastAsia="宋体" w:hAnsi="宋体" w:cs="宋体"/>
                <w:spacing w:val="-3"/>
                <w:sz w:val="16"/>
                <w:szCs w:val="16"/>
              </w:rPr>
              <w:t>51</w:t>
            </w:r>
          </w:p>
        </w:tc>
        <w:tc>
          <w:tcPr>
            <w:tcW w:w="1854" w:type="dxa"/>
          </w:tcPr>
          <w:p w:rsidR="00EA40A3" w:rsidRDefault="00E86C16">
            <w:pPr>
              <w:spacing w:before="90" w:line="222" w:lineRule="auto"/>
              <w:ind w:left="714"/>
              <w:rPr>
                <w:rFonts w:ascii="宋体" w:eastAsia="宋体" w:hAnsi="宋体" w:cs="宋体"/>
                <w:sz w:val="16"/>
                <w:szCs w:val="16"/>
              </w:rPr>
            </w:pPr>
            <w:r>
              <w:rPr>
                <w:rFonts w:ascii="宋体" w:eastAsia="宋体" w:hAnsi="宋体" w:cs="宋体"/>
                <w:spacing w:val="-5"/>
                <w:sz w:val="16"/>
                <w:szCs w:val="16"/>
              </w:rPr>
              <w:t>(39～64)</w:t>
            </w:r>
          </w:p>
        </w:tc>
      </w:tr>
      <w:tr w:rsidR="00EA40A3">
        <w:trPr>
          <w:trHeight w:val="281"/>
        </w:trPr>
        <w:tc>
          <w:tcPr>
            <w:tcW w:w="1844" w:type="dxa"/>
          </w:tcPr>
          <w:p w:rsidR="00EA40A3" w:rsidRDefault="00E86C16">
            <w:pPr>
              <w:spacing w:before="76" w:line="219" w:lineRule="auto"/>
              <w:ind w:left="679"/>
              <w:rPr>
                <w:rFonts w:ascii="宋体" w:eastAsia="宋体" w:hAnsi="宋体" w:cs="宋体"/>
                <w:sz w:val="16"/>
                <w:szCs w:val="16"/>
              </w:rPr>
            </w:pPr>
            <w:r>
              <w:rPr>
                <w:rFonts w:ascii="宋体" w:eastAsia="宋体" w:hAnsi="宋体" w:cs="宋体"/>
                <w:spacing w:val="-1"/>
                <w:sz w:val="16"/>
                <w:szCs w:val="16"/>
              </w:rPr>
              <w:t>嫩茎花椰菜</w:t>
            </w:r>
          </w:p>
        </w:tc>
        <w:tc>
          <w:tcPr>
            <w:tcW w:w="1896" w:type="dxa"/>
          </w:tcPr>
          <w:p w:rsidR="00EA40A3" w:rsidRDefault="00E86C16">
            <w:pPr>
              <w:spacing w:before="117" w:line="184" w:lineRule="auto"/>
              <w:ind w:left="916"/>
              <w:rPr>
                <w:rFonts w:ascii="宋体" w:eastAsia="宋体" w:hAnsi="宋体" w:cs="宋体"/>
                <w:sz w:val="16"/>
                <w:szCs w:val="16"/>
              </w:rPr>
            </w:pPr>
            <w:r>
              <w:rPr>
                <w:rFonts w:ascii="宋体" w:eastAsia="宋体" w:hAnsi="宋体" w:cs="宋体"/>
                <w:spacing w:val="-5"/>
                <w:sz w:val="16"/>
                <w:szCs w:val="16"/>
              </w:rPr>
              <w:t>113</w:t>
            </w:r>
          </w:p>
        </w:tc>
        <w:tc>
          <w:tcPr>
            <w:tcW w:w="1756" w:type="dxa"/>
          </w:tcPr>
          <w:p w:rsidR="00EA40A3" w:rsidRDefault="00E86C16">
            <w:pPr>
              <w:spacing w:before="107" w:line="183" w:lineRule="auto"/>
              <w:ind w:left="809"/>
              <w:rPr>
                <w:rFonts w:ascii="宋体" w:eastAsia="宋体" w:hAnsi="宋体" w:cs="宋体"/>
                <w:sz w:val="16"/>
                <w:szCs w:val="16"/>
              </w:rPr>
            </w:pPr>
            <w:r>
              <w:rPr>
                <w:rFonts w:ascii="宋体" w:eastAsia="宋体" w:hAnsi="宋体" w:cs="宋体"/>
                <w:spacing w:val="-2"/>
                <w:sz w:val="16"/>
                <w:szCs w:val="16"/>
              </w:rPr>
              <w:t>49</w:t>
            </w:r>
          </w:p>
        </w:tc>
        <w:tc>
          <w:tcPr>
            <w:tcW w:w="1854" w:type="dxa"/>
          </w:tcPr>
          <w:p w:rsidR="00EA40A3" w:rsidRDefault="00E86C16">
            <w:pPr>
              <w:spacing w:before="69" w:line="222" w:lineRule="auto"/>
              <w:ind w:left="714"/>
              <w:rPr>
                <w:rFonts w:ascii="宋体" w:eastAsia="宋体" w:hAnsi="宋体" w:cs="宋体"/>
                <w:sz w:val="16"/>
                <w:szCs w:val="16"/>
              </w:rPr>
            </w:pPr>
            <w:r>
              <w:rPr>
                <w:rFonts w:ascii="宋体" w:eastAsia="宋体" w:hAnsi="宋体" w:cs="宋体"/>
                <w:spacing w:val="-5"/>
                <w:sz w:val="16"/>
                <w:szCs w:val="16"/>
              </w:rPr>
              <w:t>(35～68)</w:t>
            </w:r>
          </w:p>
        </w:tc>
      </w:tr>
      <w:tr w:rsidR="00EA40A3">
        <w:trPr>
          <w:trHeight w:val="299"/>
        </w:trPr>
        <w:tc>
          <w:tcPr>
            <w:tcW w:w="1844" w:type="dxa"/>
          </w:tcPr>
          <w:p w:rsidR="00EA40A3" w:rsidRDefault="00E86C16">
            <w:pPr>
              <w:spacing w:before="65" w:line="219" w:lineRule="auto"/>
              <w:ind w:left="780"/>
              <w:rPr>
                <w:rFonts w:ascii="宋体" w:eastAsia="宋体" w:hAnsi="宋体" w:cs="宋体"/>
                <w:sz w:val="16"/>
                <w:szCs w:val="16"/>
              </w:rPr>
            </w:pPr>
            <w:r>
              <w:rPr>
                <w:rFonts w:ascii="宋体" w:eastAsia="宋体" w:hAnsi="宋体" w:cs="宋体"/>
                <w:spacing w:val="-2"/>
                <w:sz w:val="16"/>
                <w:szCs w:val="16"/>
              </w:rPr>
              <w:t>花椰菜</w:t>
            </w:r>
          </w:p>
        </w:tc>
        <w:tc>
          <w:tcPr>
            <w:tcW w:w="1896" w:type="dxa"/>
          </w:tcPr>
          <w:p w:rsidR="00EA40A3" w:rsidRDefault="00E86C16">
            <w:pPr>
              <w:spacing w:before="126" w:line="183" w:lineRule="auto"/>
              <w:ind w:left="996"/>
              <w:rPr>
                <w:rFonts w:ascii="宋体" w:eastAsia="宋体" w:hAnsi="宋体" w:cs="宋体"/>
                <w:sz w:val="16"/>
                <w:szCs w:val="16"/>
              </w:rPr>
            </w:pPr>
            <w:r>
              <w:rPr>
                <w:rFonts w:ascii="宋体" w:eastAsia="宋体" w:hAnsi="宋体" w:cs="宋体"/>
                <w:spacing w:val="-3"/>
                <w:sz w:val="16"/>
                <w:szCs w:val="16"/>
              </w:rPr>
              <w:t>78</w:t>
            </w:r>
          </w:p>
        </w:tc>
        <w:tc>
          <w:tcPr>
            <w:tcW w:w="1756" w:type="dxa"/>
          </w:tcPr>
          <w:p w:rsidR="00EA40A3" w:rsidRDefault="00E86C16">
            <w:pPr>
              <w:spacing w:before="126" w:line="183" w:lineRule="auto"/>
              <w:ind w:left="809"/>
              <w:rPr>
                <w:rFonts w:ascii="宋体" w:eastAsia="宋体" w:hAnsi="宋体" w:cs="宋体"/>
                <w:sz w:val="16"/>
                <w:szCs w:val="16"/>
              </w:rPr>
            </w:pPr>
            <w:r>
              <w:rPr>
                <w:rFonts w:ascii="宋体" w:eastAsia="宋体" w:hAnsi="宋体" w:cs="宋体"/>
                <w:spacing w:val="-3"/>
                <w:sz w:val="16"/>
                <w:szCs w:val="16"/>
              </w:rPr>
              <w:t>50</w:t>
            </w:r>
          </w:p>
        </w:tc>
        <w:tc>
          <w:tcPr>
            <w:tcW w:w="1854" w:type="dxa"/>
          </w:tcPr>
          <w:p w:rsidR="00EA40A3" w:rsidRDefault="00E86C16">
            <w:pPr>
              <w:spacing w:before="88" w:line="222" w:lineRule="auto"/>
              <w:ind w:left="714"/>
              <w:rPr>
                <w:rFonts w:ascii="宋体" w:eastAsia="宋体" w:hAnsi="宋体" w:cs="宋体"/>
                <w:sz w:val="16"/>
                <w:szCs w:val="16"/>
              </w:rPr>
            </w:pPr>
            <w:r>
              <w:rPr>
                <w:rFonts w:ascii="宋体" w:eastAsia="宋体" w:hAnsi="宋体" w:cs="宋体"/>
                <w:spacing w:val="-5"/>
                <w:sz w:val="16"/>
                <w:szCs w:val="16"/>
              </w:rPr>
              <w:t>(40～60)</w:t>
            </w:r>
          </w:p>
        </w:tc>
      </w:tr>
      <w:tr w:rsidR="00EA40A3">
        <w:trPr>
          <w:trHeight w:val="274"/>
        </w:trPr>
        <w:tc>
          <w:tcPr>
            <w:tcW w:w="1844" w:type="dxa"/>
            <w:tcBorders>
              <w:bottom w:val="single" w:sz="4" w:space="0" w:color="000000"/>
            </w:tcBorders>
          </w:tcPr>
          <w:p w:rsidR="00EA40A3" w:rsidRDefault="00E86C16">
            <w:pPr>
              <w:spacing w:before="76" w:line="219" w:lineRule="auto"/>
              <w:ind w:left="939"/>
              <w:rPr>
                <w:rFonts w:ascii="宋体" w:eastAsia="宋体" w:hAnsi="宋体" w:cs="宋体"/>
                <w:sz w:val="16"/>
                <w:szCs w:val="16"/>
              </w:rPr>
            </w:pPr>
            <w:r>
              <w:rPr>
                <w:rFonts w:ascii="宋体" w:eastAsia="宋体" w:hAnsi="宋体" w:cs="宋体"/>
                <w:spacing w:val="-3"/>
                <w:sz w:val="16"/>
                <w:szCs w:val="16"/>
              </w:rPr>
              <w:t>菠菜</w:t>
            </w:r>
          </w:p>
        </w:tc>
        <w:tc>
          <w:tcPr>
            <w:tcW w:w="1896" w:type="dxa"/>
            <w:tcBorders>
              <w:bottom w:val="single" w:sz="4" w:space="0" w:color="000000"/>
            </w:tcBorders>
          </w:tcPr>
          <w:p w:rsidR="00EA40A3" w:rsidRDefault="00E86C16">
            <w:pPr>
              <w:spacing w:before="127" w:line="169" w:lineRule="auto"/>
              <w:ind w:left="996"/>
              <w:rPr>
                <w:rFonts w:ascii="宋体" w:eastAsia="宋体" w:hAnsi="宋体" w:cs="宋体"/>
                <w:sz w:val="16"/>
                <w:szCs w:val="16"/>
              </w:rPr>
            </w:pPr>
            <w:r>
              <w:rPr>
                <w:rFonts w:ascii="宋体" w:eastAsia="宋体" w:hAnsi="宋体" w:cs="宋体"/>
                <w:spacing w:val="-3"/>
                <w:sz w:val="16"/>
                <w:szCs w:val="16"/>
              </w:rPr>
              <w:t>51</w:t>
            </w:r>
          </w:p>
        </w:tc>
        <w:tc>
          <w:tcPr>
            <w:tcW w:w="1756" w:type="dxa"/>
            <w:tcBorders>
              <w:bottom w:val="single" w:sz="4" w:space="0" w:color="000000"/>
            </w:tcBorders>
          </w:tcPr>
          <w:p w:rsidR="00EA40A3" w:rsidRDefault="00E86C16">
            <w:pPr>
              <w:spacing w:before="137" w:line="157" w:lineRule="auto"/>
              <w:ind w:left="809"/>
              <w:rPr>
                <w:rFonts w:ascii="宋体" w:eastAsia="宋体" w:hAnsi="宋体" w:cs="宋体"/>
                <w:sz w:val="16"/>
                <w:szCs w:val="16"/>
              </w:rPr>
            </w:pPr>
            <w:r>
              <w:rPr>
                <w:rFonts w:ascii="宋体" w:eastAsia="宋体" w:hAnsi="宋体" w:cs="宋体"/>
                <w:spacing w:val="-2"/>
                <w:sz w:val="16"/>
                <w:szCs w:val="16"/>
              </w:rPr>
              <w:t>65</w:t>
            </w:r>
          </w:p>
        </w:tc>
        <w:tc>
          <w:tcPr>
            <w:tcW w:w="1854" w:type="dxa"/>
            <w:tcBorders>
              <w:bottom w:val="single" w:sz="4" w:space="0" w:color="000000"/>
            </w:tcBorders>
          </w:tcPr>
          <w:p w:rsidR="00EA40A3" w:rsidRDefault="00E86C16">
            <w:pPr>
              <w:spacing w:before="98" w:line="202" w:lineRule="auto"/>
              <w:ind w:left="714"/>
              <w:rPr>
                <w:rFonts w:ascii="宋体" w:eastAsia="宋体" w:hAnsi="宋体" w:cs="宋体"/>
                <w:sz w:val="16"/>
                <w:szCs w:val="16"/>
              </w:rPr>
            </w:pPr>
            <w:r>
              <w:rPr>
                <w:rFonts w:ascii="宋体" w:eastAsia="宋体" w:hAnsi="宋体" w:cs="宋体"/>
                <w:spacing w:val="-5"/>
                <w:sz w:val="16"/>
                <w:szCs w:val="16"/>
              </w:rPr>
              <w:t>(54～80)</w:t>
            </w:r>
          </w:p>
        </w:tc>
      </w:tr>
    </w:tbl>
    <w:p w:rsidR="00EA40A3" w:rsidRDefault="00E86C16">
      <w:pPr>
        <w:spacing w:before="111" w:line="219" w:lineRule="auto"/>
        <w:ind w:left="340"/>
        <w:rPr>
          <w:rFonts w:ascii="宋体" w:eastAsia="宋体" w:hAnsi="宋体" w:cs="宋体"/>
          <w:sz w:val="16"/>
          <w:szCs w:val="16"/>
        </w:rPr>
      </w:pPr>
      <w:r>
        <w:rPr>
          <w:rFonts w:ascii="宋体" w:eastAsia="宋体" w:hAnsi="宋体" w:cs="宋体"/>
          <w:spacing w:val="-1"/>
          <w:sz w:val="16"/>
          <w:szCs w:val="16"/>
        </w:rPr>
        <w:t>数据来源：葛可佑.</w:t>
      </w:r>
      <w:r>
        <w:rPr>
          <w:rFonts w:ascii="宋体" w:eastAsia="宋体" w:hAnsi="宋体" w:cs="宋体"/>
          <w:spacing w:val="25"/>
          <w:sz w:val="16"/>
          <w:szCs w:val="16"/>
        </w:rPr>
        <w:t xml:space="preserve"> </w:t>
      </w:r>
      <w:r>
        <w:rPr>
          <w:rFonts w:ascii="宋体" w:eastAsia="宋体" w:hAnsi="宋体" w:cs="宋体"/>
          <w:spacing w:val="-1"/>
          <w:sz w:val="16"/>
          <w:szCs w:val="16"/>
        </w:rPr>
        <w:t>2004.中国营养科学全书.北京：人民卫生出版社</w:t>
      </w:r>
    </w:p>
    <w:p w:rsidR="00EA40A3" w:rsidRDefault="00EA40A3">
      <w:pPr>
        <w:sectPr w:rsidR="00EA40A3">
          <w:headerReference w:type="default" r:id="rId196"/>
          <w:footerReference w:type="default" r:id="rId197"/>
          <w:pgSz w:w="9220" w:h="13360"/>
          <w:pgMar w:top="1355" w:right="990" w:bottom="1246" w:left="760" w:header="1081" w:footer="1025" w:gutter="0"/>
          <w:cols w:space="720"/>
        </w:sectPr>
      </w:pPr>
    </w:p>
    <w:p w:rsidR="00EA40A3" w:rsidRDefault="00EA40A3">
      <w:pPr>
        <w:spacing w:line="297" w:lineRule="auto"/>
      </w:pPr>
    </w:p>
    <w:p w:rsidR="00EA40A3" w:rsidRDefault="00EA40A3">
      <w:pPr>
        <w:spacing w:line="298" w:lineRule="auto"/>
      </w:pPr>
    </w:p>
    <w:p w:rsidR="00EA40A3" w:rsidRDefault="00E86C16">
      <w:pPr>
        <w:spacing w:before="56" w:line="219" w:lineRule="auto"/>
        <w:ind w:left="1802"/>
        <w:rPr>
          <w:rFonts w:ascii="宋体" w:eastAsia="宋体" w:hAnsi="宋体" w:cs="宋体"/>
          <w:sz w:val="17"/>
          <w:szCs w:val="17"/>
        </w:rPr>
      </w:pPr>
      <w:r>
        <w:rPr>
          <w:rFonts w:ascii="宋体" w:eastAsia="宋体" w:hAnsi="宋体" w:cs="宋体"/>
          <w:b/>
          <w:bCs/>
          <w:spacing w:val="-2"/>
          <w:sz w:val="17"/>
          <w:szCs w:val="17"/>
        </w:rPr>
        <w:t>表7-4水果于-18℃下冻藏期间维生素C的损失</w:t>
      </w:r>
    </w:p>
    <w:p w:rsidR="00EA40A3" w:rsidRDefault="00EA40A3">
      <w:pPr>
        <w:spacing w:line="90" w:lineRule="auto"/>
        <w:rPr>
          <w:sz w:val="2"/>
        </w:rPr>
      </w:pPr>
    </w:p>
    <w:tbl>
      <w:tblPr>
        <w:tblStyle w:val="TableNormal"/>
        <w:tblW w:w="7359" w:type="dxa"/>
        <w:tblInd w:w="3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533"/>
        <w:gridCol w:w="1646"/>
        <w:gridCol w:w="3180"/>
      </w:tblGrid>
      <w:tr w:rsidR="00EA40A3">
        <w:trPr>
          <w:trHeight w:val="274"/>
        </w:trPr>
        <w:tc>
          <w:tcPr>
            <w:tcW w:w="2533" w:type="dxa"/>
            <w:tcBorders>
              <w:top w:val="single" w:sz="4" w:space="0" w:color="000000"/>
              <w:bottom w:val="single" w:sz="4" w:space="0" w:color="000000"/>
            </w:tcBorders>
          </w:tcPr>
          <w:p w:rsidR="00EA40A3" w:rsidRDefault="00E86C16">
            <w:pPr>
              <w:spacing w:before="82" w:line="208" w:lineRule="auto"/>
              <w:ind w:left="1079"/>
              <w:rPr>
                <w:rFonts w:ascii="宋体" w:eastAsia="宋体" w:hAnsi="宋体" w:cs="宋体"/>
                <w:sz w:val="17"/>
                <w:szCs w:val="17"/>
              </w:rPr>
            </w:pPr>
            <w:r>
              <w:rPr>
                <w:rFonts w:ascii="宋体" w:eastAsia="宋体" w:hAnsi="宋体" w:cs="宋体"/>
                <w:spacing w:val="-5"/>
                <w:sz w:val="17"/>
                <w:szCs w:val="17"/>
              </w:rPr>
              <w:t>项 目</w:t>
            </w:r>
          </w:p>
        </w:tc>
        <w:tc>
          <w:tcPr>
            <w:tcW w:w="1646" w:type="dxa"/>
            <w:tcBorders>
              <w:top w:val="single" w:sz="4" w:space="0" w:color="000000"/>
              <w:bottom w:val="single" w:sz="4" w:space="0" w:color="000000"/>
            </w:tcBorders>
          </w:tcPr>
          <w:p w:rsidR="00EA40A3" w:rsidRDefault="00E86C16">
            <w:pPr>
              <w:spacing w:before="52" w:line="219" w:lineRule="auto"/>
              <w:ind w:left="337"/>
              <w:rPr>
                <w:rFonts w:ascii="宋体" w:eastAsia="宋体" w:hAnsi="宋体" w:cs="宋体"/>
                <w:sz w:val="17"/>
                <w:szCs w:val="17"/>
              </w:rPr>
            </w:pPr>
            <w:r>
              <w:rPr>
                <w:rFonts w:ascii="宋体" w:eastAsia="宋体" w:hAnsi="宋体" w:cs="宋体"/>
                <w:spacing w:val="5"/>
                <w:sz w:val="17"/>
                <w:szCs w:val="17"/>
              </w:rPr>
              <w:t>储存期/月</w:t>
            </w:r>
          </w:p>
        </w:tc>
        <w:tc>
          <w:tcPr>
            <w:tcW w:w="3180" w:type="dxa"/>
            <w:tcBorders>
              <w:top w:val="single" w:sz="4" w:space="0" w:color="000000"/>
              <w:bottom w:val="single" w:sz="4" w:space="0" w:color="000000"/>
            </w:tcBorders>
          </w:tcPr>
          <w:p w:rsidR="00EA40A3" w:rsidRDefault="00E86C16">
            <w:pPr>
              <w:spacing w:before="52" w:line="219" w:lineRule="auto"/>
              <w:ind w:left="550"/>
              <w:rPr>
                <w:rFonts w:ascii="宋体" w:eastAsia="宋体" w:hAnsi="宋体" w:cs="宋体"/>
                <w:sz w:val="17"/>
                <w:szCs w:val="17"/>
              </w:rPr>
            </w:pPr>
            <w:r>
              <w:rPr>
                <w:rFonts w:ascii="宋体" w:eastAsia="宋体" w:hAnsi="宋体" w:cs="宋体"/>
                <w:spacing w:val="2"/>
                <w:sz w:val="17"/>
                <w:szCs w:val="17"/>
              </w:rPr>
              <w:t>维生素C损失率/%(范围)</w:t>
            </w:r>
          </w:p>
        </w:tc>
      </w:tr>
      <w:tr w:rsidR="00EA40A3">
        <w:trPr>
          <w:trHeight w:val="284"/>
        </w:trPr>
        <w:tc>
          <w:tcPr>
            <w:tcW w:w="2533" w:type="dxa"/>
            <w:tcBorders>
              <w:top w:val="single" w:sz="4" w:space="0" w:color="000000"/>
            </w:tcBorders>
          </w:tcPr>
          <w:p w:rsidR="00EA40A3" w:rsidRDefault="00E86C16">
            <w:pPr>
              <w:spacing w:before="58" w:line="219" w:lineRule="auto"/>
              <w:ind w:left="379"/>
              <w:rPr>
                <w:rFonts w:ascii="宋体" w:eastAsia="宋体" w:hAnsi="宋体" w:cs="宋体"/>
                <w:sz w:val="17"/>
                <w:szCs w:val="17"/>
              </w:rPr>
            </w:pPr>
            <w:r>
              <w:rPr>
                <w:rFonts w:ascii="宋体" w:eastAsia="宋体" w:hAnsi="宋体" w:cs="宋体"/>
                <w:spacing w:val="-2"/>
                <w:sz w:val="17"/>
                <w:szCs w:val="17"/>
              </w:rPr>
              <w:t>草莓类</w:t>
            </w:r>
          </w:p>
        </w:tc>
        <w:tc>
          <w:tcPr>
            <w:tcW w:w="1646" w:type="dxa"/>
            <w:tcBorders>
              <w:top w:val="single" w:sz="4" w:space="0" w:color="000000"/>
            </w:tcBorders>
          </w:tcPr>
          <w:p w:rsidR="00EA40A3" w:rsidRDefault="00EA40A3"/>
        </w:tc>
        <w:tc>
          <w:tcPr>
            <w:tcW w:w="3180" w:type="dxa"/>
            <w:tcBorders>
              <w:top w:val="single" w:sz="4" w:space="0" w:color="000000"/>
            </w:tcBorders>
          </w:tcPr>
          <w:p w:rsidR="00EA40A3" w:rsidRDefault="00EA40A3"/>
        </w:tc>
      </w:tr>
      <w:tr w:rsidR="00EA40A3">
        <w:trPr>
          <w:trHeight w:val="275"/>
        </w:trPr>
        <w:tc>
          <w:tcPr>
            <w:tcW w:w="2533" w:type="dxa"/>
          </w:tcPr>
          <w:p w:rsidR="00EA40A3" w:rsidRDefault="00E86C16">
            <w:pPr>
              <w:spacing w:before="64" w:line="219" w:lineRule="auto"/>
              <w:ind w:left="709"/>
              <w:rPr>
                <w:rFonts w:ascii="宋体" w:eastAsia="宋体" w:hAnsi="宋体" w:cs="宋体"/>
                <w:sz w:val="17"/>
                <w:szCs w:val="17"/>
              </w:rPr>
            </w:pPr>
            <w:r>
              <w:rPr>
                <w:rFonts w:ascii="宋体" w:eastAsia="宋体" w:hAnsi="宋体" w:cs="宋体"/>
                <w:spacing w:val="-2"/>
                <w:sz w:val="17"/>
                <w:szCs w:val="17"/>
              </w:rPr>
              <w:t>加糖草莓片</w:t>
            </w:r>
          </w:p>
        </w:tc>
        <w:tc>
          <w:tcPr>
            <w:tcW w:w="1646" w:type="dxa"/>
          </w:tcPr>
          <w:p w:rsidR="00EA40A3" w:rsidRDefault="00E86C16">
            <w:pPr>
              <w:spacing w:before="109" w:line="180" w:lineRule="auto"/>
              <w:ind w:left="606"/>
              <w:rPr>
                <w:rFonts w:ascii="宋体" w:eastAsia="宋体" w:hAnsi="宋体" w:cs="宋体"/>
                <w:sz w:val="17"/>
                <w:szCs w:val="17"/>
              </w:rPr>
            </w:pPr>
            <w:r>
              <w:rPr>
                <w:rFonts w:ascii="宋体" w:eastAsia="宋体" w:hAnsi="宋体" w:cs="宋体"/>
                <w:sz w:val="17"/>
                <w:szCs w:val="17"/>
              </w:rPr>
              <w:t>5</w:t>
            </w:r>
          </w:p>
        </w:tc>
        <w:tc>
          <w:tcPr>
            <w:tcW w:w="3180" w:type="dxa"/>
          </w:tcPr>
          <w:p w:rsidR="00EA40A3" w:rsidRDefault="00E86C16">
            <w:pPr>
              <w:spacing w:before="66" w:line="222" w:lineRule="auto"/>
              <w:ind w:left="1231"/>
              <w:rPr>
                <w:rFonts w:ascii="宋体" w:eastAsia="宋体" w:hAnsi="宋体" w:cs="宋体"/>
                <w:sz w:val="17"/>
                <w:szCs w:val="17"/>
              </w:rPr>
            </w:pPr>
            <w:r>
              <w:rPr>
                <w:rFonts w:ascii="宋体" w:eastAsia="宋体" w:hAnsi="宋体" w:cs="宋体"/>
                <w:spacing w:val="-3"/>
                <w:sz w:val="17"/>
                <w:szCs w:val="17"/>
              </w:rPr>
              <w:t>17(0~44)</w:t>
            </w:r>
          </w:p>
        </w:tc>
      </w:tr>
      <w:tr w:rsidR="00EA40A3">
        <w:trPr>
          <w:trHeight w:val="265"/>
        </w:trPr>
        <w:tc>
          <w:tcPr>
            <w:tcW w:w="2533" w:type="dxa"/>
          </w:tcPr>
          <w:p w:rsidR="00EA40A3" w:rsidRDefault="00E86C16">
            <w:pPr>
              <w:spacing w:before="49" w:line="219" w:lineRule="auto"/>
              <w:ind w:left="689"/>
              <w:rPr>
                <w:rFonts w:ascii="宋体" w:eastAsia="宋体" w:hAnsi="宋体" w:cs="宋体"/>
                <w:sz w:val="17"/>
                <w:szCs w:val="17"/>
              </w:rPr>
            </w:pPr>
            <w:r>
              <w:rPr>
                <w:rFonts w:ascii="宋体" w:eastAsia="宋体" w:hAnsi="宋体" w:cs="宋体"/>
                <w:spacing w:val="1"/>
                <w:sz w:val="17"/>
                <w:szCs w:val="17"/>
              </w:rPr>
              <w:t>草莓酱加糖量5:1</w:t>
            </w:r>
          </w:p>
        </w:tc>
        <w:tc>
          <w:tcPr>
            <w:tcW w:w="1646" w:type="dxa"/>
          </w:tcPr>
          <w:p w:rsidR="00EA40A3" w:rsidRDefault="00E86C16">
            <w:pPr>
              <w:spacing w:before="92" w:line="183" w:lineRule="auto"/>
              <w:ind w:left="606"/>
              <w:rPr>
                <w:rFonts w:ascii="宋体" w:eastAsia="宋体" w:hAnsi="宋体" w:cs="宋体"/>
                <w:sz w:val="17"/>
                <w:szCs w:val="17"/>
              </w:rPr>
            </w:pPr>
            <w:r>
              <w:rPr>
                <w:rFonts w:ascii="宋体" w:eastAsia="宋体" w:hAnsi="宋体" w:cs="宋体"/>
                <w:sz w:val="17"/>
                <w:szCs w:val="17"/>
              </w:rPr>
              <w:t>6</w:t>
            </w:r>
          </w:p>
        </w:tc>
        <w:tc>
          <w:tcPr>
            <w:tcW w:w="3180" w:type="dxa"/>
          </w:tcPr>
          <w:p w:rsidR="00EA40A3" w:rsidRDefault="00E86C16">
            <w:pPr>
              <w:spacing w:before="91" w:line="184" w:lineRule="auto"/>
              <w:ind w:left="1480"/>
              <w:rPr>
                <w:rFonts w:ascii="宋体" w:eastAsia="宋体" w:hAnsi="宋体" w:cs="宋体"/>
                <w:sz w:val="17"/>
                <w:szCs w:val="17"/>
              </w:rPr>
            </w:pPr>
            <w:r>
              <w:rPr>
                <w:rFonts w:ascii="宋体" w:eastAsia="宋体" w:hAnsi="宋体" w:cs="宋体"/>
                <w:spacing w:val="-5"/>
                <w:sz w:val="17"/>
                <w:szCs w:val="17"/>
              </w:rPr>
              <w:t>16</w:t>
            </w:r>
          </w:p>
        </w:tc>
      </w:tr>
      <w:tr w:rsidR="00EA40A3">
        <w:trPr>
          <w:trHeight w:val="274"/>
        </w:trPr>
        <w:tc>
          <w:tcPr>
            <w:tcW w:w="2533" w:type="dxa"/>
          </w:tcPr>
          <w:p w:rsidR="00EA40A3" w:rsidRDefault="00E86C16">
            <w:pPr>
              <w:spacing w:before="54" w:line="219" w:lineRule="auto"/>
              <w:ind w:left="379"/>
              <w:rPr>
                <w:rFonts w:ascii="宋体" w:eastAsia="宋体" w:hAnsi="宋体" w:cs="宋体"/>
                <w:sz w:val="17"/>
                <w:szCs w:val="17"/>
              </w:rPr>
            </w:pPr>
            <w:r>
              <w:rPr>
                <w:rFonts w:ascii="宋体" w:eastAsia="宋体" w:hAnsi="宋体" w:cs="宋体"/>
                <w:spacing w:val="-2"/>
                <w:sz w:val="17"/>
                <w:szCs w:val="17"/>
              </w:rPr>
              <w:t>整草莓</w:t>
            </w:r>
          </w:p>
        </w:tc>
        <w:tc>
          <w:tcPr>
            <w:tcW w:w="1646" w:type="dxa"/>
          </w:tcPr>
          <w:p w:rsidR="00EA40A3" w:rsidRDefault="00E86C16">
            <w:pPr>
              <w:spacing w:before="96" w:line="184" w:lineRule="auto"/>
              <w:ind w:left="606"/>
              <w:rPr>
                <w:rFonts w:ascii="宋体" w:eastAsia="宋体" w:hAnsi="宋体" w:cs="宋体"/>
                <w:sz w:val="17"/>
                <w:szCs w:val="17"/>
              </w:rPr>
            </w:pPr>
            <w:r>
              <w:rPr>
                <w:rFonts w:ascii="宋体" w:eastAsia="宋体" w:hAnsi="宋体" w:cs="宋体"/>
                <w:spacing w:val="-5"/>
                <w:sz w:val="17"/>
                <w:szCs w:val="17"/>
              </w:rPr>
              <w:t>10</w:t>
            </w:r>
          </w:p>
        </w:tc>
        <w:tc>
          <w:tcPr>
            <w:tcW w:w="3180" w:type="dxa"/>
          </w:tcPr>
          <w:p w:rsidR="00EA40A3" w:rsidRDefault="00E86C16">
            <w:pPr>
              <w:spacing w:before="97" w:line="183" w:lineRule="auto"/>
              <w:ind w:left="1480"/>
              <w:rPr>
                <w:rFonts w:ascii="宋体" w:eastAsia="宋体" w:hAnsi="宋体" w:cs="宋体"/>
                <w:sz w:val="17"/>
                <w:szCs w:val="17"/>
              </w:rPr>
            </w:pPr>
            <w:r>
              <w:rPr>
                <w:rFonts w:ascii="宋体" w:eastAsia="宋体" w:hAnsi="宋体" w:cs="宋体"/>
                <w:spacing w:val="-3"/>
                <w:sz w:val="17"/>
                <w:szCs w:val="17"/>
              </w:rPr>
              <w:t>34</w:t>
            </w:r>
          </w:p>
        </w:tc>
      </w:tr>
      <w:tr w:rsidR="00EA40A3">
        <w:trPr>
          <w:trHeight w:val="549"/>
        </w:trPr>
        <w:tc>
          <w:tcPr>
            <w:tcW w:w="2533" w:type="dxa"/>
          </w:tcPr>
          <w:p w:rsidR="00EA40A3" w:rsidRDefault="00E86C16">
            <w:pPr>
              <w:spacing w:before="59" w:line="280" w:lineRule="exact"/>
              <w:ind w:left="379"/>
              <w:rPr>
                <w:rFonts w:ascii="宋体" w:eastAsia="宋体" w:hAnsi="宋体" w:cs="宋体"/>
                <w:sz w:val="17"/>
                <w:szCs w:val="17"/>
              </w:rPr>
            </w:pPr>
            <w:r>
              <w:rPr>
                <w:rFonts w:ascii="宋体" w:eastAsia="宋体" w:hAnsi="宋体" w:cs="宋体"/>
                <w:spacing w:val="-1"/>
                <w:position w:val="8"/>
                <w:sz w:val="17"/>
                <w:szCs w:val="17"/>
              </w:rPr>
              <w:t>切片草莓加糖量6:1</w:t>
            </w:r>
          </w:p>
          <w:p w:rsidR="00EA40A3" w:rsidRDefault="00E86C16">
            <w:pPr>
              <w:spacing w:line="219" w:lineRule="auto"/>
              <w:ind w:left="379"/>
              <w:rPr>
                <w:rFonts w:ascii="宋体" w:eastAsia="宋体" w:hAnsi="宋体" w:cs="宋体"/>
                <w:sz w:val="17"/>
                <w:szCs w:val="17"/>
              </w:rPr>
            </w:pPr>
            <w:r>
              <w:rPr>
                <w:rFonts w:ascii="宋体" w:eastAsia="宋体" w:hAnsi="宋体" w:cs="宋体"/>
                <w:spacing w:val="4"/>
                <w:sz w:val="17"/>
                <w:szCs w:val="17"/>
              </w:rPr>
              <w:t>柑橘制品</w:t>
            </w:r>
          </w:p>
        </w:tc>
        <w:tc>
          <w:tcPr>
            <w:tcW w:w="1646" w:type="dxa"/>
          </w:tcPr>
          <w:p w:rsidR="00EA40A3" w:rsidRDefault="00E86C16">
            <w:pPr>
              <w:spacing w:before="102" w:line="184" w:lineRule="auto"/>
              <w:ind w:left="606"/>
              <w:rPr>
                <w:rFonts w:ascii="宋体" w:eastAsia="宋体" w:hAnsi="宋体" w:cs="宋体"/>
                <w:sz w:val="17"/>
                <w:szCs w:val="17"/>
              </w:rPr>
            </w:pPr>
            <w:r>
              <w:rPr>
                <w:rFonts w:ascii="宋体" w:eastAsia="宋体" w:hAnsi="宋体" w:cs="宋体"/>
                <w:spacing w:val="-5"/>
                <w:sz w:val="17"/>
                <w:szCs w:val="17"/>
              </w:rPr>
              <w:t>10</w:t>
            </w:r>
          </w:p>
        </w:tc>
        <w:tc>
          <w:tcPr>
            <w:tcW w:w="3180" w:type="dxa"/>
          </w:tcPr>
          <w:p w:rsidR="00EA40A3" w:rsidRDefault="00E86C16">
            <w:pPr>
              <w:spacing w:before="103" w:line="183" w:lineRule="auto"/>
              <w:ind w:left="1480"/>
              <w:rPr>
                <w:rFonts w:ascii="宋体" w:eastAsia="宋体" w:hAnsi="宋体" w:cs="宋体"/>
                <w:sz w:val="17"/>
                <w:szCs w:val="17"/>
              </w:rPr>
            </w:pPr>
            <w:r>
              <w:rPr>
                <w:rFonts w:ascii="宋体" w:eastAsia="宋体" w:hAnsi="宋体" w:cs="宋体"/>
                <w:spacing w:val="-2"/>
                <w:sz w:val="17"/>
                <w:szCs w:val="17"/>
              </w:rPr>
              <w:t>42</w:t>
            </w:r>
          </w:p>
        </w:tc>
      </w:tr>
      <w:tr w:rsidR="00EA40A3">
        <w:trPr>
          <w:trHeight w:val="288"/>
        </w:trPr>
        <w:tc>
          <w:tcPr>
            <w:tcW w:w="2533" w:type="dxa"/>
          </w:tcPr>
          <w:p w:rsidR="00EA40A3" w:rsidRDefault="00E86C16">
            <w:pPr>
              <w:spacing w:before="49" w:line="219" w:lineRule="auto"/>
              <w:ind w:left="679"/>
              <w:rPr>
                <w:rFonts w:ascii="宋体" w:eastAsia="宋体" w:hAnsi="宋体" w:cs="宋体"/>
                <w:sz w:val="17"/>
                <w:szCs w:val="17"/>
              </w:rPr>
            </w:pPr>
            <w:r>
              <w:rPr>
                <w:rFonts w:ascii="宋体" w:eastAsia="宋体" w:hAnsi="宋体" w:cs="宋体"/>
                <w:spacing w:val="-1"/>
                <w:sz w:val="17"/>
                <w:szCs w:val="17"/>
              </w:rPr>
              <w:t>浓缩橘汁42°Bx</w:t>
            </w:r>
          </w:p>
        </w:tc>
        <w:tc>
          <w:tcPr>
            <w:tcW w:w="1646" w:type="dxa"/>
          </w:tcPr>
          <w:p w:rsidR="00EA40A3" w:rsidRDefault="00E86C16">
            <w:pPr>
              <w:spacing w:before="94" w:line="183" w:lineRule="auto"/>
              <w:ind w:left="606"/>
              <w:rPr>
                <w:rFonts w:ascii="宋体" w:eastAsia="宋体" w:hAnsi="宋体" w:cs="宋体"/>
                <w:sz w:val="17"/>
                <w:szCs w:val="17"/>
              </w:rPr>
            </w:pPr>
            <w:r>
              <w:rPr>
                <w:rFonts w:ascii="宋体" w:eastAsia="宋体" w:hAnsi="宋体" w:cs="宋体"/>
                <w:sz w:val="17"/>
                <w:szCs w:val="17"/>
              </w:rPr>
              <w:t>9</w:t>
            </w:r>
          </w:p>
        </w:tc>
        <w:tc>
          <w:tcPr>
            <w:tcW w:w="3180" w:type="dxa"/>
          </w:tcPr>
          <w:p w:rsidR="00EA40A3" w:rsidRDefault="00E86C16">
            <w:pPr>
              <w:spacing w:before="134" w:line="167" w:lineRule="auto"/>
              <w:ind w:left="1520"/>
              <w:rPr>
                <w:rFonts w:ascii="宋体" w:eastAsia="宋体" w:hAnsi="宋体" w:cs="宋体"/>
                <w:sz w:val="17"/>
                <w:szCs w:val="17"/>
              </w:rPr>
            </w:pPr>
            <w:r>
              <w:rPr>
                <w:rFonts w:ascii="宋体" w:eastAsia="宋体" w:hAnsi="宋体" w:cs="宋体"/>
                <w:sz w:val="17"/>
                <w:szCs w:val="17"/>
              </w:rPr>
              <w:t>1</w:t>
            </w:r>
          </w:p>
        </w:tc>
      </w:tr>
      <w:tr w:rsidR="00EA40A3">
        <w:trPr>
          <w:trHeight w:val="266"/>
        </w:trPr>
        <w:tc>
          <w:tcPr>
            <w:tcW w:w="2533" w:type="dxa"/>
          </w:tcPr>
          <w:p w:rsidR="00EA40A3" w:rsidRDefault="00E86C16">
            <w:pPr>
              <w:spacing w:before="43" w:line="219" w:lineRule="auto"/>
              <w:ind w:left="379"/>
              <w:rPr>
                <w:rFonts w:ascii="宋体" w:eastAsia="宋体" w:hAnsi="宋体" w:cs="宋体"/>
                <w:sz w:val="17"/>
                <w:szCs w:val="17"/>
              </w:rPr>
            </w:pPr>
            <w:r>
              <w:rPr>
                <w:rFonts w:ascii="宋体" w:eastAsia="宋体" w:hAnsi="宋体" w:cs="宋体"/>
                <w:spacing w:val="-2"/>
                <w:sz w:val="17"/>
                <w:szCs w:val="17"/>
              </w:rPr>
              <w:t>橘汁</w:t>
            </w:r>
          </w:p>
        </w:tc>
        <w:tc>
          <w:tcPr>
            <w:tcW w:w="1646" w:type="dxa"/>
          </w:tcPr>
          <w:p w:rsidR="00EA40A3" w:rsidRDefault="00E86C16">
            <w:pPr>
              <w:spacing w:before="86" w:line="183" w:lineRule="auto"/>
              <w:ind w:left="606"/>
              <w:rPr>
                <w:rFonts w:ascii="宋体" w:eastAsia="宋体" w:hAnsi="宋体" w:cs="宋体"/>
                <w:sz w:val="17"/>
                <w:szCs w:val="17"/>
              </w:rPr>
            </w:pPr>
            <w:r>
              <w:rPr>
                <w:rFonts w:ascii="宋体" w:eastAsia="宋体" w:hAnsi="宋体" w:cs="宋体"/>
                <w:sz w:val="17"/>
                <w:szCs w:val="17"/>
              </w:rPr>
              <w:t>6</w:t>
            </w:r>
          </w:p>
        </w:tc>
        <w:tc>
          <w:tcPr>
            <w:tcW w:w="3180" w:type="dxa"/>
          </w:tcPr>
          <w:p w:rsidR="00EA40A3" w:rsidRDefault="00E86C16">
            <w:pPr>
              <w:spacing w:before="126" w:line="139" w:lineRule="exact"/>
              <w:ind w:left="1480"/>
              <w:rPr>
                <w:rFonts w:ascii="宋体" w:eastAsia="宋体" w:hAnsi="宋体" w:cs="宋体"/>
                <w:sz w:val="17"/>
                <w:szCs w:val="17"/>
              </w:rPr>
            </w:pPr>
            <w:r>
              <w:rPr>
                <w:rFonts w:ascii="宋体" w:eastAsia="宋体" w:hAnsi="宋体" w:cs="宋体"/>
                <w:spacing w:val="-3"/>
                <w:position w:val="-2"/>
                <w:sz w:val="17"/>
                <w:szCs w:val="17"/>
              </w:rPr>
              <w:t>32</w:t>
            </w:r>
          </w:p>
        </w:tc>
      </w:tr>
      <w:tr w:rsidR="00EA40A3">
        <w:trPr>
          <w:trHeight w:val="279"/>
        </w:trPr>
        <w:tc>
          <w:tcPr>
            <w:tcW w:w="2533" w:type="dxa"/>
          </w:tcPr>
          <w:p w:rsidR="00EA40A3" w:rsidRDefault="00E86C16">
            <w:pPr>
              <w:spacing w:before="67" w:line="219" w:lineRule="auto"/>
              <w:ind w:left="379"/>
              <w:rPr>
                <w:rFonts w:ascii="宋体" w:eastAsia="宋体" w:hAnsi="宋体" w:cs="宋体"/>
                <w:sz w:val="17"/>
                <w:szCs w:val="17"/>
              </w:rPr>
            </w:pPr>
            <w:r>
              <w:rPr>
                <w:rFonts w:ascii="宋体" w:eastAsia="宋体" w:hAnsi="宋体" w:cs="宋体"/>
                <w:spacing w:val="-2"/>
                <w:sz w:val="17"/>
                <w:szCs w:val="17"/>
              </w:rPr>
              <w:t>橘瓣</w:t>
            </w:r>
          </w:p>
        </w:tc>
        <w:tc>
          <w:tcPr>
            <w:tcW w:w="1646" w:type="dxa"/>
          </w:tcPr>
          <w:p w:rsidR="00EA40A3" w:rsidRDefault="00E86C16">
            <w:pPr>
              <w:spacing w:before="110" w:line="183" w:lineRule="auto"/>
              <w:ind w:left="606"/>
              <w:rPr>
                <w:rFonts w:ascii="宋体" w:eastAsia="宋体" w:hAnsi="宋体" w:cs="宋体"/>
                <w:sz w:val="17"/>
                <w:szCs w:val="17"/>
              </w:rPr>
            </w:pPr>
            <w:r>
              <w:rPr>
                <w:rFonts w:ascii="宋体" w:eastAsia="宋体" w:hAnsi="宋体" w:cs="宋体"/>
                <w:sz w:val="17"/>
                <w:szCs w:val="17"/>
              </w:rPr>
              <w:t>6</w:t>
            </w:r>
          </w:p>
        </w:tc>
        <w:tc>
          <w:tcPr>
            <w:tcW w:w="3180" w:type="dxa"/>
          </w:tcPr>
          <w:p w:rsidR="00EA40A3" w:rsidRDefault="00E86C16">
            <w:pPr>
              <w:spacing w:before="110" w:line="183" w:lineRule="auto"/>
              <w:ind w:left="1480"/>
              <w:rPr>
                <w:rFonts w:ascii="宋体" w:eastAsia="宋体" w:hAnsi="宋体" w:cs="宋体"/>
                <w:sz w:val="17"/>
                <w:szCs w:val="17"/>
              </w:rPr>
            </w:pPr>
            <w:r>
              <w:rPr>
                <w:rFonts w:ascii="宋体" w:eastAsia="宋体" w:hAnsi="宋体" w:cs="宋体"/>
                <w:spacing w:val="-3"/>
                <w:sz w:val="17"/>
                <w:szCs w:val="17"/>
              </w:rPr>
              <w:t>31</w:t>
            </w:r>
          </w:p>
        </w:tc>
      </w:tr>
      <w:tr w:rsidR="00EA40A3">
        <w:trPr>
          <w:trHeight w:val="285"/>
        </w:trPr>
        <w:tc>
          <w:tcPr>
            <w:tcW w:w="2533" w:type="dxa"/>
          </w:tcPr>
          <w:p w:rsidR="00EA40A3" w:rsidRDefault="00E86C16">
            <w:pPr>
              <w:spacing w:before="56" w:line="219" w:lineRule="auto"/>
              <w:ind w:left="679"/>
              <w:rPr>
                <w:rFonts w:ascii="宋体" w:eastAsia="宋体" w:hAnsi="宋体" w:cs="宋体"/>
                <w:sz w:val="17"/>
                <w:szCs w:val="17"/>
              </w:rPr>
            </w:pPr>
            <w:r>
              <w:rPr>
                <w:rFonts w:ascii="宋体" w:eastAsia="宋体" w:hAnsi="宋体" w:cs="宋体"/>
                <w:spacing w:val="-1"/>
                <w:sz w:val="17"/>
                <w:szCs w:val="17"/>
              </w:rPr>
              <w:t>浓缩葡萄柚汁42°Bx</w:t>
            </w:r>
          </w:p>
        </w:tc>
        <w:tc>
          <w:tcPr>
            <w:tcW w:w="1646" w:type="dxa"/>
          </w:tcPr>
          <w:p w:rsidR="00EA40A3" w:rsidRDefault="00E86C16">
            <w:pPr>
              <w:spacing w:before="101" w:line="183" w:lineRule="auto"/>
              <w:ind w:left="606"/>
              <w:rPr>
                <w:rFonts w:ascii="宋体" w:eastAsia="宋体" w:hAnsi="宋体" w:cs="宋体"/>
                <w:sz w:val="17"/>
                <w:szCs w:val="17"/>
              </w:rPr>
            </w:pPr>
            <w:r>
              <w:rPr>
                <w:rFonts w:ascii="宋体" w:eastAsia="宋体" w:hAnsi="宋体" w:cs="宋体"/>
                <w:sz w:val="17"/>
                <w:szCs w:val="17"/>
              </w:rPr>
              <w:t>9</w:t>
            </w:r>
          </w:p>
        </w:tc>
        <w:tc>
          <w:tcPr>
            <w:tcW w:w="3180" w:type="dxa"/>
          </w:tcPr>
          <w:p w:rsidR="00EA40A3" w:rsidRDefault="00E86C16">
            <w:pPr>
              <w:spacing w:before="143" w:line="141" w:lineRule="exact"/>
              <w:ind w:left="1520"/>
              <w:rPr>
                <w:rFonts w:ascii="宋体" w:eastAsia="宋体" w:hAnsi="宋体" w:cs="宋体"/>
                <w:sz w:val="17"/>
                <w:szCs w:val="17"/>
              </w:rPr>
            </w:pPr>
            <w:r>
              <w:rPr>
                <w:rFonts w:ascii="宋体" w:eastAsia="宋体" w:hAnsi="宋体" w:cs="宋体"/>
                <w:position w:val="-2"/>
                <w:sz w:val="17"/>
                <w:szCs w:val="17"/>
              </w:rPr>
              <w:t>5</w:t>
            </w:r>
          </w:p>
        </w:tc>
      </w:tr>
      <w:tr w:rsidR="00EA40A3">
        <w:trPr>
          <w:trHeight w:val="268"/>
        </w:trPr>
        <w:tc>
          <w:tcPr>
            <w:tcW w:w="2533" w:type="dxa"/>
          </w:tcPr>
          <w:p w:rsidR="00EA40A3" w:rsidRDefault="00E86C16">
            <w:pPr>
              <w:spacing w:before="33" w:line="220" w:lineRule="auto"/>
              <w:ind w:left="689"/>
              <w:rPr>
                <w:rFonts w:ascii="宋体" w:eastAsia="宋体" w:hAnsi="宋体" w:cs="宋体"/>
                <w:sz w:val="17"/>
                <w:szCs w:val="17"/>
              </w:rPr>
            </w:pPr>
            <w:r>
              <w:rPr>
                <w:rFonts w:ascii="宋体" w:eastAsia="宋体" w:hAnsi="宋体" w:cs="宋体"/>
                <w:spacing w:val="-2"/>
                <w:sz w:val="17"/>
                <w:szCs w:val="17"/>
              </w:rPr>
              <w:t>葡萄柚瓣</w:t>
            </w:r>
          </w:p>
        </w:tc>
        <w:tc>
          <w:tcPr>
            <w:tcW w:w="1646" w:type="dxa"/>
          </w:tcPr>
          <w:p w:rsidR="00EA40A3" w:rsidRDefault="00E86C16">
            <w:pPr>
              <w:spacing w:before="76" w:line="183" w:lineRule="auto"/>
              <w:ind w:left="606"/>
              <w:rPr>
                <w:rFonts w:ascii="宋体" w:eastAsia="宋体" w:hAnsi="宋体" w:cs="宋体"/>
                <w:sz w:val="17"/>
                <w:szCs w:val="17"/>
              </w:rPr>
            </w:pPr>
            <w:r>
              <w:rPr>
                <w:rFonts w:ascii="宋体" w:eastAsia="宋体" w:hAnsi="宋体" w:cs="宋体"/>
                <w:sz w:val="17"/>
                <w:szCs w:val="17"/>
              </w:rPr>
              <w:t>9</w:t>
            </w:r>
          </w:p>
        </w:tc>
        <w:tc>
          <w:tcPr>
            <w:tcW w:w="3180" w:type="dxa"/>
          </w:tcPr>
          <w:p w:rsidR="00EA40A3" w:rsidRDefault="00E86C16">
            <w:pPr>
              <w:spacing w:before="116" w:line="164" w:lineRule="auto"/>
              <w:ind w:left="1520"/>
              <w:rPr>
                <w:rFonts w:ascii="宋体" w:eastAsia="宋体" w:hAnsi="宋体" w:cs="宋体"/>
                <w:sz w:val="17"/>
                <w:szCs w:val="17"/>
              </w:rPr>
            </w:pPr>
            <w:r>
              <w:rPr>
                <w:rFonts w:ascii="宋体" w:eastAsia="宋体" w:hAnsi="宋体" w:cs="宋体"/>
                <w:sz w:val="17"/>
                <w:szCs w:val="17"/>
              </w:rPr>
              <w:t>4</w:t>
            </w:r>
          </w:p>
        </w:tc>
      </w:tr>
      <w:tr w:rsidR="00EA40A3">
        <w:trPr>
          <w:trHeight w:val="271"/>
        </w:trPr>
        <w:tc>
          <w:tcPr>
            <w:tcW w:w="2533" w:type="dxa"/>
          </w:tcPr>
          <w:p w:rsidR="00EA40A3" w:rsidRDefault="00E86C16">
            <w:pPr>
              <w:spacing w:before="45" w:line="219" w:lineRule="auto"/>
              <w:ind w:left="379"/>
              <w:rPr>
                <w:rFonts w:ascii="宋体" w:eastAsia="宋体" w:hAnsi="宋体" w:cs="宋体"/>
                <w:sz w:val="17"/>
                <w:szCs w:val="17"/>
              </w:rPr>
            </w:pPr>
            <w:r>
              <w:rPr>
                <w:rFonts w:ascii="宋体" w:eastAsia="宋体" w:hAnsi="宋体" w:cs="宋体"/>
                <w:spacing w:val="-2"/>
                <w:sz w:val="17"/>
                <w:szCs w:val="17"/>
              </w:rPr>
              <w:t>糖水杏</w:t>
            </w:r>
          </w:p>
        </w:tc>
        <w:tc>
          <w:tcPr>
            <w:tcW w:w="1646" w:type="dxa"/>
          </w:tcPr>
          <w:p w:rsidR="00EA40A3" w:rsidRDefault="00E86C16">
            <w:pPr>
              <w:spacing w:before="89" w:line="182" w:lineRule="auto"/>
              <w:ind w:left="606"/>
              <w:rPr>
                <w:rFonts w:ascii="宋体" w:eastAsia="宋体" w:hAnsi="宋体" w:cs="宋体"/>
                <w:sz w:val="17"/>
                <w:szCs w:val="17"/>
              </w:rPr>
            </w:pPr>
            <w:r>
              <w:rPr>
                <w:rFonts w:ascii="宋体" w:eastAsia="宋体" w:hAnsi="宋体" w:cs="宋体"/>
                <w:sz w:val="17"/>
                <w:szCs w:val="17"/>
              </w:rPr>
              <w:t>5</w:t>
            </w:r>
          </w:p>
        </w:tc>
        <w:tc>
          <w:tcPr>
            <w:tcW w:w="3180" w:type="dxa"/>
          </w:tcPr>
          <w:p w:rsidR="00EA40A3" w:rsidRDefault="00E86C16">
            <w:pPr>
              <w:spacing w:before="87" w:line="184" w:lineRule="auto"/>
              <w:ind w:left="1480"/>
              <w:rPr>
                <w:rFonts w:ascii="宋体" w:eastAsia="宋体" w:hAnsi="宋体" w:cs="宋体"/>
                <w:sz w:val="17"/>
                <w:szCs w:val="17"/>
              </w:rPr>
            </w:pPr>
            <w:r>
              <w:rPr>
                <w:rFonts w:ascii="宋体" w:eastAsia="宋体" w:hAnsi="宋体" w:cs="宋体"/>
                <w:spacing w:val="-5"/>
                <w:sz w:val="17"/>
                <w:szCs w:val="17"/>
              </w:rPr>
              <w:t>19</w:t>
            </w:r>
          </w:p>
        </w:tc>
      </w:tr>
      <w:tr w:rsidR="00EA40A3">
        <w:trPr>
          <w:trHeight w:val="534"/>
        </w:trPr>
        <w:tc>
          <w:tcPr>
            <w:tcW w:w="2533" w:type="dxa"/>
          </w:tcPr>
          <w:p w:rsidR="00EA40A3" w:rsidRDefault="00E86C16">
            <w:pPr>
              <w:spacing w:before="73" w:line="240" w:lineRule="exact"/>
              <w:ind w:left="379"/>
              <w:rPr>
                <w:rFonts w:ascii="宋体" w:eastAsia="宋体" w:hAnsi="宋体" w:cs="宋体"/>
                <w:sz w:val="17"/>
                <w:szCs w:val="17"/>
              </w:rPr>
            </w:pPr>
            <w:r>
              <w:rPr>
                <w:rFonts w:ascii="宋体" w:eastAsia="宋体" w:hAnsi="宋体" w:cs="宋体"/>
                <w:spacing w:val="3"/>
                <w:position w:val="5"/>
                <w:sz w:val="17"/>
                <w:szCs w:val="17"/>
              </w:rPr>
              <w:t>糖水杏(加维生素C)</w:t>
            </w:r>
          </w:p>
          <w:p w:rsidR="00EA40A3" w:rsidRDefault="00E86C16">
            <w:pPr>
              <w:spacing w:line="219" w:lineRule="auto"/>
              <w:ind w:left="379"/>
              <w:rPr>
                <w:rFonts w:ascii="宋体" w:eastAsia="宋体" w:hAnsi="宋体" w:cs="宋体"/>
                <w:sz w:val="17"/>
                <w:szCs w:val="17"/>
              </w:rPr>
            </w:pPr>
            <w:r>
              <w:rPr>
                <w:rFonts w:ascii="宋体" w:eastAsia="宋体" w:hAnsi="宋体" w:cs="宋体"/>
                <w:spacing w:val="-2"/>
                <w:sz w:val="17"/>
                <w:szCs w:val="17"/>
              </w:rPr>
              <w:t>桃类</w:t>
            </w:r>
          </w:p>
        </w:tc>
        <w:tc>
          <w:tcPr>
            <w:tcW w:w="1646" w:type="dxa"/>
          </w:tcPr>
          <w:p w:rsidR="00EA40A3" w:rsidRDefault="00E86C16">
            <w:pPr>
              <w:spacing w:before="108" w:line="182" w:lineRule="auto"/>
              <w:ind w:left="606"/>
              <w:rPr>
                <w:rFonts w:ascii="宋体" w:eastAsia="宋体" w:hAnsi="宋体" w:cs="宋体"/>
                <w:sz w:val="17"/>
                <w:szCs w:val="17"/>
              </w:rPr>
            </w:pPr>
            <w:r>
              <w:rPr>
                <w:rFonts w:ascii="宋体" w:eastAsia="宋体" w:hAnsi="宋体" w:cs="宋体"/>
                <w:sz w:val="17"/>
                <w:szCs w:val="17"/>
              </w:rPr>
              <w:t>5</w:t>
            </w:r>
          </w:p>
        </w:tc>
        <w:tc>
          <w:tcPr>
            <w:tcW w:w="3180" w:type="dxa"/>
          </w:tcPr>
          <w:p w:rsidR="00EA40A3" w:rsidRDefault="00E86C16">
            <w:pPr>
              <w:spacing w:before="127" w:line="183" w:lineRule="auto"/>
              <w:ind w:left="1480"/>
              <w:rPr>
                <w:rFonts w:ascii="宋体" w:eastAsia="宋体" w:hAnsi="宋体" w:cs="宋体"/>
                <w:sz w:val="17"/>
                <w:szCs w:val="17"/>
              </w:rPr>
            </w:pPr>
            <w:r>
              <w:rPr>
                <w:rFonts w:ascii="宋体" w:eastAsia="宋体" w:hAnsi="宋体" w:cs="宋体"/>
                <w:spacing w:val="-3"/>
                <w:sz w:val="17"/>
                <w:szCs w:val="17"/>
              </w:rPr>
              <w:t>22</w:t>
            </w:r>
          </w:p>
        </w:tc>
      </w:tr>
      <w:tr w:rsidR="00EA40A3">
        <w:trPr>
          <w:trHeight w:val="564"/>
        </w:trPr>
        <w:tc>
          <w:tcPr>
            <w:tcW w:w="2533" w:type="dxa"/>
          </w:tcPr>
          <w:p w:rsidR="00EA40A3" w:rsidRDefault="00E86C16">
            <w:pPr>
              <w:spacing w:before="69" w:line="262" w:lineRule="auto"/>
              <w:ind w:left="379" w:right="424" w:firstLine="290"/>
              <w:rPr>
                <w:rFonts w:ascii="宋体" w:eastAsia="宋体" w:hAnsi="宋体" w:cs="宋体"/>
                <w:sz w:val="17"/>
                <w:szCs w:val="17"/>
              </w:rPr>
            </w:pPr>
            <w:r>
              <w:rPr>
                <w:rFonts w:ascii="宋体" w:eastAsia="宋体" w:hAnsi="宋体" w:cs="宋体"/>
                <w:spacing w:val="-1"/>
                <w:sz w:val="17"/>
                <w:szCs w:val="17"/>
              </w:rPr>
              <w:t>糖水桃片加维生素C</w:t>
            </w:r>
            <w:r>
              <w:rPr>
                <w:rFonts w:ascii="宋体" w:eastAsia="宋体" w:hAnsi="宋体" w:cs="宋体"/>
                <w:spacing w:val="1"/>
                <w:sz w:val="17"/>
                <w:szCs w:val="17"/>
              </w:rPr>
              <w:t xml:space="preserve"> </w:t>
            </w:r>
            <w:r>
              <w:rPr>
                <w:rFonts w:ascii="宋体" w:eastAsia="宋体" w:hAnsi="宋体" w:cs="宋体"/>
                <w:spacing w:val="-2"/>
                <w:sz w:val="17"/>
                <w:szCs w:val="17"/>
              </w:rPr>
              <w:t>樱桃类</w:t>
            </w:r>
          </w:p>
        </w:tc>
        <w:tc>
          <w:tcPr>
            <w:tcW w:w="1646" w:type="dxa"/>
          </w:tcPr>
          <w:p w:rsidR="00EA40A3" w:rsidRDefault="00E86C16">
            <w:pPr>
              <w:spacing w:before="113" w:line="183" w:lineRule="auto"/>
              <w:ind w:left="606"/>
              <w:rPr>
                <w:rFonts w:ascii="宋体" w:eastAsia="宋体" w:hAnsi="宋体" w:cs="宋体"/>
                <w:sz w:val="17"/>
                <w:szCs w:val="17"/>
              </w:rPr>
            </w:pPr>
            <w:r>
              <w:rPr>
                <w:rFonts w:ascii="宋体" w:eastAsia="宋体" w:hAnsi="宋体" w:cs="宋体"/>
                <w:sz w:val="17"/>
                <w:szCs w:val="17"/>
              </w:rPr>
              <w:t>8</w:t>
            </w:r>
          </w:p>
        </w:tc>
        <w:tc>
          <w:tcPr>
            <w:tcW w:w="3180" w:type="dxa"/>
          </w:tcPr>
          <w:p w:rsidR="00EA40A3" w:rsidRDefault="00E86C16">
            <w:pPr>
              <w:spacing w:before="122" w:line="222" w:lineRule="auto"/>
              <w:ind w:left="1140"/>
              <w:rPr>
                <w:rFonts w:ascii="宋体" w:eastAsia="宋体" w:hAnsi="宋体" w:cs="宋体"/>
                <w:sz w:val="17"/>
                <w:szCs w:val="17"/>
              </w:rPr>
            </w:pPr>
            <w:r>
              <w:rPr>
                <w:rFonts w:ascii="宋体" w:eastAsia="宋体" w:hAnsi="宋体" w:cs="宋体"/>
                <w:spacing w:val="-1"/>
                <w:sz w:val="17"/>
                <w:szCs w:val="17"/>
              </w:rPr>
              <w:t>23(12～40)</w:t>
            </w:r>
          </w:p>
        </w:tc>
      </w:tr>
      <w:tr w:rsidR="00EA40A3">
        <w:trPr>
          <w:trHeight w:val="274"/>
        </w:trPr>
        <w:tc>
          <w:tcPr>
            <w:tcW w:w="2533" w:type="dxa"/>
            <w:tcBorders>
              <w:bottom w:val="single" w:sz="4" w:space="0" w:color="000000"/>
            </w:tcBorders>
          </w:tcPr>
          <w:p w:rsidR="00EA40A3" w:rsidRDefault="00E86C16">
            <w:pPr>
              <w:spacing w:before="66" w:line="219" w:lineRule="auto"/>
              <w:ind w:left="679"/>
              <w:rPr>
                <w:rFonts w:ascii="宋体" w:eastAsia="宋体" w:hAnsi="宋体" w:cs="宋体"/>
                <w:sz w:val="17"/>
                <w:szCs w:val="17"/>
              </w:rPr>
            </w:pPr>
            <w:r>
              <w:rPr>
                <w:rFonts w:ascii="宋体" w:eastAsia="宋体" w:hAnsi="宋体" w:cs="宋体"/>
                <w:spacing w:val="-2"/>
                <w:sz w:val="17"/>
                <w:szCs w:val="17"/>
              </w:rPr>
              <w:t>去核糖水樱桃</w:t>
            </w:r>
          </w:p>
        </w:tc>
        <w:tc>
          <w:tcPr>
            <w:tcW w:w="1646" w:type="dxa"/>
            <w:tcBorders>
              <w:bottom w:val="single" w:sz="4" w:space="0" w:color="000000"/>
            </w:tcBorders>
          </w:tcPr>
          <w:p w:rsidR="00EA40A3" w:rsidRDefault="00E86C16">
            <w:pPr>
              <w:spacing w:before="139" w:line="135" w:lineRule="exact"/>
              <w:ind w:left="606"/>
              <w:rPr>
                <w:rFonts w:ascii="宋体" w:eastAsia="宋体" w:hAnsi="宋体" w:cs="宋体"/>
                <w:sz w:val="17"/>
                <w:szCs w:val="17"/>
              </w:rPr>
            </w:pPr>
            <w:r>
              <w:rPr>
                <w:rFonts w:ascii="宋体" w:eastAsia="宋体" w:hAnsi="宋体" w:cs="宋体"/>
                <w:spacing w:val="-5"/>
                <w:position w:val="-2"/>
                <w:sz w:val="17"/>
                <w:szCs w:val="17"/>
              </w:rPr>
              <w:t>10</w:t>
            </w:r>
          </w:p>
        </w:tc>
        <w:tc>
          <w:tcPr>
            <w:tcW w:w="3180" w:type="dxa"/>
            <w:tcBorders>
              <w:bottom w:val="single" w:sz="4" w:space="0" w:color="000000"/>
            </w:tcBorders>
          </w:tcPr>
          <w:p w:rsidR="00EA40A3" w:rsidRDefault="00E86C16">
            <w:pPr>
              <w:spacing w:before="108" w:line="191" w:lineRule="auto"/>
              <w:ind w:left="1140"/>
              <w:rPr>
                <w:rFonts w:ascii="宋体" w:eastAsia="宋体" w:hAnsi="宋体" w:cs="宋体"/>
                <w:sz w:val="16"/>
                <w:szCs w:val="16"/>
              </w:rPr>
            </w:pPr>
            <w:r>
              <w:rPr>
                <w:rFonts w:ascii="宋体" w:eastAsia="宋体" w:hAnsi="宋体" w:cs="宋体"/>
                <w:spacing w:val="3"/>
                <w:sz w:val="16"/>
                <w:szCs w:val="16"/>
              </w:rPr>
              <w:t>19(11～28)</w:t>
            </w:r>
          </w:p>
        </w:tc>
      </w:tr>
    </w:tbl>
    <w:p w:rsidR="00EA40A3" w:rsidRDefault="00E86C16">
      <w:pPr>
        <w:spacing w:before="80" w:line="219" w:lineRule="auto"/>
        <w:ind w:left="369"/>
        <w:rPr>
          <w:rFonts w:ascii="宋体" w:eastAsia="宋体" w:hAnsi="宋体" w:cs="宋体"/>
          <w:sz w:val="17"/>
          <w:szCs w:val="17"/>
        </w:rPr>
      </w:pPr>
      <w:r>
        <w:rPr>
          <w:rFonts w:ascii="宋体" w:eastAsia="宋体" w:hAnsi="宋体" w:cs="宋体"/>
          <w:sz w:val="17"/>
          <w:szCs w:val="17"/>
        </w:rPr>
        <w:t>数据来源：葛可佑.2004.中国营养科学全书.北京</w:t>
      </w:r>
      <w:r>
        <w:rPr>
          <w:rFonts w:ascii="宋体" w:eastAsia="宋体" w:hAnsi="宋体" w:cs="宋体"/>
          <w:spacing w:val="-1"/>
          <w:sz w:val="17"/>
          <w:szCs w:val="17"/>
        </w:rPr>
        <w:t>：人民卫生出版社</w:t>
      </w:r>
    </w:p>
    <w:p w:rsidR="00EA40A3" w:rsidRDefault="00EA40A3">
      <w:pPr>
        <w:spacing w:line="302" w:lineRule="auto"/>
      </w:pPr>
    </w:p>
    <w:p w:rsidR="00EA40A3" w:rsidRDefault="00E86C16">
      <w:pPr>
        <w:spacing w:before="69" w:line="256" w:lineRule="auto"/>
        <w:ind w:right="94" w:firstLine="420"/>
        <w:jc w:val="both"/>
        <w:rPr>
          <w:rFonts w:ascii="宋体" w:eastAsia="宋体" w:hAnsi="宋体" w:cs="宋体"/>
        </w:rPr>
      </w:pPr>
      <w:r>
        <w:rPr>
          <w:rFonts w:ascii="宋体" w:eastAsia="宋体" w:hAnsi="宋体" w:cs="宋体"/>
          <w:spacing w:val="-2"/>
        </w:rPr>
        <w:t>此外，冷冻过程可使高脂食物中的脂类物质发生自动氧化作用，导</w:t>
      </w:r>
      <w:r>
        <w:rPr>
          <w:rFonts w:ascii="宋体" w:eastAsia="宋体" w:hAnsi="宋体" w:cs="宋体"/>
          <w:spacing w:val="-3"/>
        </w:rPr>
        <w:t>致食品物</w:t>
      </w:r>
      <w:r>
        <w:rPr>
          <w:rFonts w:ascii="宋体" w:eastAsia="宋体" w:hAnsi="宋体" w:cs="宋体"/>
        </w:rPr>
        <w:t xml:space="preserve"> </w:t>
      </w:r>
      <w:r>
        <w:rPr>
          <w:rFonts w:ascii="宋体" w:eastAsia="宋体" w:hAnsi="宋体" w:cs="宋体"/>
          <w:spacing w:val="-3"/>
        </w:rPr>
        <w:t>料出现油哈败味。同时脂类还会发生降解，游离脂肪酸的含量会随着冻藏时间的</w:t>
      </w:r>
      <w:r>
        <w:rPr>
          <w:rFonts w:ascii="宋体" w:eastAsia="宋体" w:hAnsi="宋体" w:cs="宋体"/>
        </w:rPr>
        <w:t xml:space="preserve"> </w:t>
      </w:r>
      <w:r>
        <w:rPr>
          <w:rFonts w:ascii="宋体" w:eastAsia="宋体" w:hAnsi="宋体" w:cs="宋体"/>
          <w:spacing w:val="-2"/>
        </w:rPr>
        <w:t>增加而增加。例如乳的固形物含量与脂类氧化的敏感性有关；冻结的浓缩效应</w:t>
      </w:r>
      <w:r>
        <w:rPr>
          <w:rFonts w:ascii="宋体" w:eastAsia="宋体" w:hAnsi="宋体" w:cs="宋体"/>
          <w:spacing w:val="-3"/>
        </w:rPr>
        <w:t>往</w:t>
      </w:r>
      <w:r>
        <w:rPr>
          <w:rFonts w:ascii="宋体" w:eastAsia="宋体" w:hAnsi="宋体" w:cs="宋体"/>
        </w:rPr>
        <w:t xml:space="preserve"> </w:t>
      </w:r>
      <w:r>
        <w:rPr>
          <w:rFonts w:ascii="宋体" w:eastAsia="宋体" w:hAnsi="宋体" w:cs="宋体"/>
          <w:spacing w:val="-2"/>
        </w:rPr>
        <w:t>往导致大分子胶体的失稳，蛋白质分子可能会发生凝聚，溶解性降低，甚至会出</w:t>
      </w:r>
      <w:r>
        <w:rPr>
          <w:rFonts w:ascii="宋体" w:eastAsia="宋体" w:hAnsi="宋体" w:cs="宋体"/>
          <w:spacing w:val="14"/>
        </w:rPr>
        <w:t xml:space="preserve"> </w:t>
      </w:r>
      <w:r>
        <w:rPr>
          <w:rFonts w:ascii="宋体" w:eastAsia="宋体" w:hAnsi="宋体" w:cs="宋体"/>
          <w:spacing w:val="-3"/>
        </w:rPr>
        <w:t>现絮凝、变性等。冻藏时间延长往往会加剧这一现象，而冻藏温度低、冻结速度</w:t>
      </w:r>
      <w:r>
        <w:rPr>
          <w:rFonts w:ascii="宋体" w:eastAsia="宋体" w:hAnsi="宋体" w:cs="宋体"/>
          <w:spacing w:val="16"/>
        </w:rPr>
        <w:t xml:space="preserve"> </w:t>
      </w:r>
      <w:r>
        <w:rPr>
          <w:rFonts w:ascii="宋体" w:eastAsia="宋体" w:hAnsi="宋体" w:cs="宋体"/>
          <w:spacing w:val="-6"/>
        </w:rPr>
        <w:t>快可以减轻这一现象。</w:t>
      </w:r>
    </w:p>
    <w:p w:rsidR="00EA40A3" w:rsidRDefault="00E86C16">
      <w:pPr>
        <w:spacing w:before="57" w:line="224" w:lineRule="auto"/>
        <w:rPr>
          <w:rFonts w:ascii="楷体" w:eastAsia="楷体" w:hAnsi="楷体" w:cs="楷体"/>
        </w:rPr>
      </w:pPr>
      <w:r>
        <w:rPr>
          <w:rFonts w:ascii="楷体" w:eastAsia="楷体" w:hAnsi="楷体" w:cs="楷体"/>
          <w:spacing w:val="1"/>
        </w:rPr>
        <w:t>3)解冻期间食物中营养素的损失</w:t>
      </w:r>
    </w:p>
    <w:p w:rsidR="00EA40A3" w:rsidRDefault="00E86C16">
      <w:pPr>
        <w:spacing w:before="72" w:line="250" w:lineRule="auto"/>
        <w:ind w:right="34" w:firstLine="420"/>
        <w:jc w:val="both"/>
        <w:rPr>
          <w:rFonts w:ascii="宋体" w:eastAsia="宋体" w:hAnsi="宋体" w:cs="宋体"/>
        </w:rPr>
      </w:pPr>
      <w:r>
        <w:rPr>
          <w:rFonts w:ascii="宋体" w:eastAsia="宋体" w:hAnsi="宋体" w:cs="宋体"/>
          <w:spacing w:val="-2"/>
        </w:rPr>
        <w:t>不同食物在解冻期间的维生素损失有所不同。解冻时渗出的固</w:t>
      </w:r>
      <w:r>
        <w:rPr>
          <w:rFonts w:ascii="宋体" w:eastAsia="宋体" w:hAnsi="宋体" w:cs="宋体"/>
          <w:spacing w:val="-3"/>
        </w:rPr>
        <w:t>形物成分分析</w:t>
      </w:r>
      <w:r>
        <w:rPr>
          <w:rFonts w:ascii="宋体" w:eastAsia="宋体" w:hAnsi="宋体" w:cs="宋体"/>
        </w:rPr>
        <w:t xml:space="preserve"> </w:t>
      </w:r>
      <w:r>
        <w:rPr>
          <w:rFonts w:ascii="宋体" w:eastAsia="宋体" w:hAnsi="宋体" w:cs="宋体"/>
          <w:spacing w:val="-6"/>
        </w:rPr>
        <w:t>结果表明：</w:t>
      </w:r>
      <w:r>
        <w:rPr>
          <w:rFonts w:ascii="宋体" w:eastAsia="宋体" w:hAnsi="宋体" w:cs="宋体"/>
          <w:spacing w:val="35"/>
        </w:rPr>
        <w:t xml:space="preserve"> </w:t>
      </w:r>
      <w:r>
        <w:rPr>
          <w:rFonts w:ascii="宋体" w:eastAsia="宋体" w:hAnsi="宋体" w:cs="宋体"/>
          <w:spacing w:val="-6"/>
        </w:rPr>
        <w:t>一般解冻处理对果蔬中的维生素损失影响较小，但有水溶性维生素随</w:t>
      </w:r>
      <w:r>
        <w:rPr>
          <w:rFonts w:ascii="宋体" w:eastAsia="宋体" w:hAnsi="宋体" w:cs="宋体"/>
        </w:rPr>
        <w:t xml:space="preserve"> </w:t>
      </w:r>
      <w:r>
        <w:rPr>
          <w:rFonts w:ascii="宋体" w:eastAsia="宋体" w:hAnsi="宋体" w:cs="宋体"/>
          <w:spacing w:val="-3"/>
        </w:rPr>
        <w:t>解冻时的渗出物流失，其损失量与渗出的汁液量成正比。动物组织在解冻过程中</w:t>
      </w:r>
      <w:r>
        <w:rPr>
          <w:rFonts w:ascii="宋体" w:eastAsia="宋体" w:hAnsi="宋体" w:cs="宋体"/>
          <w:spacing w:val="3"/>
        </w:rPr>
        <w:t xml:space="preserve">  蛋白质、氨基酸的损失量不大，主要损失的是</w:t>
      </w:r>
      <w:r>
        <w:rPr>
          <w:rFonts w:ascii="宋体" w:eastAsia="宋体" w:hAnsi="宋体" w:cs="宋体"/>
          <w:spacing w:val="-43"/>
        </w:rPr>
        <w:t xml:space="preserve"> </w:t>
      </w:r>
      <w:r>
        <w:rPr>
          <w:rFonts w:ascii="宋体" w:eastAsia="宋体" w:hAnsi="宋体" w:cs="宋体"/>
          <w:spacing w:val="3"/>
        </w:rPr>
        <w:t>B</w:t>
      </w:r>
      <w:r>
        <w:rPr>
          <w:rFonts w:ascii="宋体" w:eastAsia="宋体" w:hAnsi="宋体" w:cs="宋体"/>
          <w:spacing w:val="-26"/>
        </w:rPr>
        <w:t xml:space="preserve"> </w:t>
      </w:r>
      <w:r>
        <w:rPr>
          <w:rFonts w:ascii="宋体" w:eastAsia="宋体" w:hAnsi="宋体" w:cs="宋体"/>
          <w:spacing w:val="3"/>
        </w:rPr>
        <w:t>族维生素和矿物质，矿物质元</w:t>
      </w:r>
      <w:r>
        <w:rPr>
          <w:rFonts w:ascii="宋体" w:eastAsia="宋体" w:hAnsi="宋体" w:cs="宋体"/>
        </w:rPr>
        <w:t xml:space="preserve"> </w:t>
      </w:r>
      <w:r>
        <w:rPr>
          <w:rFonts w:ascii="宋体" w:eastAsia="宋体" w:hAnsi="宋体" w:cs="宋体"/>
          <w:spacing w:val="-2"/>
        </w:rPr>
        <w:t>素的损失，发生在渗出的流失过程中，损失的程度与其水溶性大小有关。鲜肉是</w:t>
      </w:r>
      <w:r>
        <w:rPr>
          <w:rFonts w:ascii="宋体" w:eastAsia="宋体" w:hAnsi="宋体" w:cs="宋体"/>
        </w:rPr>
        <w:t xml:space="preserve"> </w:t>
      </w:r>
      <w:r>
        <w:rPr>
          <w:rFonts w:ascii="宋体" w:eastAsia="宋体" w:hAnsi="宋体" w:cs="宋体"/>
          <w:spacing w:val="-2"/>
        </w:rPr>
        <w:t>膳食中维生素</w:t>
      </w:r>
      <w:r>
        <w:rPr>
          <w:rFonts w:ascii="宋体" w:eastAsia="宋体" w:hAnsi="宋体" w:cs="宋体"/>
          <w:spacing w:val="-49"/>
        </w:rPr>
        <w:t xml:space="preserve"> </w:t>
      </w:r>
      <w:r>
        <w:rPr>
          <w:rFonts w:ascii="宋体" w:eastAsia="宋体" w:hAnsi="宋体" w:cs="宋体"/>
          <w:spacing w:val="-2"/>
        </w:rPr>
        <w:t>B</w:t>
      </w:r>
      <w:r>
        <w:rPr>
          <w:rFonts w:ascii="Calibri" w:eastAsia="Calibri" w:hAnsi="Calibri" w:cs="Calibri"/>
          <w:spacing w:val="-2"/>
        </w:rPr>
        <w:t>₁</w:t>
      </w:r>
      <w:r>
        <w:rPr>
          <w:rFonts w:ascii="Calibri" w:eastAsia="Calibri" w:hAnsi="Calibri" w:cs="Calibri"/>
          <w:spacing w:val="-25"/>
        </w:rPr>
        <w:t xml:space="preserve"> </w:t>
      </w:r>
      <w:r>
        <w:rPr>
          <w:rFonts w:ascii="宋体" w:eastAsia="宋体" w:hAnsi="宋体" w:cs="宋体"/>
          <w:spacing w:val="-2"/>
        </w:rPr>
        <w:t>、</w:t>
      </w:r>
      <w:r>
        <w:rPr>
          <w:rFonts w:ascii="宋体" w:eastAsia="宋体" w:hAnsi="宋体" w:cs="宋体"/>
          <w:spacing w:val="-58"/>
        </w:rPr>
        <w:t xml:space="preserve"> </w:t>
      </w:r>
      <w:r>
        <w:rPr>
          <w:rFonts w:ascii="宋体" w:eastAsia="宋体" w:hAnsi="宋体" w:cs="宋体"/>
          <w:spacing w:val="-2"/>
        </w:rPr>
        <w:t>维生素B2、</w:t>
      </w:r>
      <w:r>
        <w:rPr>
          <w:rFonts w:ascii="宋体" w:eastAsia="宋体" w:hAnsi="宋体" w:cs="宋体"/>
          <w:spacing w:val="14"/>
        </w:rPr>
        <w:t xml:space="preserve"> </w:t>
      </w:r>
      <w:r>
        <w:rPr>
          <w:rFonts w:ascii="宋体" w:eastAsia="宋体" w:hAnsi="宋体" w:cs="宋体"/>
          <w:spacing w:val="-2"/>
        </w:rPr>
        <w:t>尼克酸和铁的重要来源，同时动物内脏是维生素</w:t>
      </w:r>
      <w:r>
        <w:rPr>
          <w:rFonts w:ascii="宋体" w:eastAsia="宋体" w:hAnsi="宋体" w:cs="宋体"/>
        </w:rPr>
        <w:t xml:space="preserve">  </w:t>
      </w:r>
      <w:r>
        <w:rPr>
          <w:rFonts w:ascii="宋体" w:eastAsia="宋体" w:hAnsi="宋体" w:cs="宋体"/>
          <w:spacing w:val="4"/>
        </w:rPr>
        <w:t>B</w:t>
      </w:r>
      <w:r>
        <w:rPr>
          <w:rFonts w:ascii="Calibri" w:eastAsia="Calibri" w:hAnsi="Calibri" w:cs="Calibri"/>
          <w:spacing w:val="4"/>
        </w:rPr>
        <w:t>₂</w:t>
      </w:r>
      <w:r>
        <w:rPr>
          <w:rFonts w:ascii="Calibri" w:eastAsia="Calibri" w:hAnsi="Calibri" w:cs="Calibri"/>
          <w:spacing w:val="6"/>
        </w:rPr>
        <w:t xml:space="preserve">  </w:t>
      </w:r>
      <w:r>
        <w:rPr>
          <w:rFonts w:ascii="宋体" w:eastAsia="宋体" w:hAnsi="宋体" w:cs="宋体"/>
          <w:spacing w:val="4"/>
        </w:rPr>
        <w:t>的重要来源。通常经解冻的肉制品由于汁液渗出易造成水溶性维生素损失，</w:t>
      </w:r>
      <w:r>
        <w:rPr>
          <w:rFonts w:ascii="宋体" w:eastAsia="宋体" w:hAnsi="宋体" w:cs="宋体"/>
          <w:spacing w:val="1"/>
        </w:rPr>
        <w:t xml:space="preserve"> </w:t>
      </w:r>
      <w:r>
        <w:rPr>
          <w:rFonts w:ascii="宋体" w:eastAsia="宋体" w:hAnsi="宋体" w:cs="宋体"/>
          <w:spacing w:val="14"/>
        </w:rPr>
        <w:t>有时高达30%。</w:t>
      </w:r>
    </w:p>
    <w:p w:rsidR="00EA40A3" w:rsidRDefault="00E86C16">
      <w:pPr>
        <w:spacing w:before="131" w:line="236" w:lineRule="auto"/>
        <w:ind w:right="112" w:firstLine="420"/>
        <w:rPr>
          <w:rFonts w:ascii="宋体" w:eastAsia="宋体" w:hAnsi="宋体" w:cs="宋体"/>
        </w:rPr>
      </w:pPr>
      <w:r>
        <w:rPr>
          <w:rFonts w:ascii="宋体" w:eastAsia="宋体" w:hAnsi="宋体" w:cs="宋体"/>
          <w:spacing w:val="-8"/>
        </w:rPr>
        <w:t>总的来说，冷冻食品的营养成分损失较小，但冷冻前</w:t>
      </w:r>
      <w:r>
        <w:rPr>
          <w:rFonts w:ascii="宋体" w:eastAsia="宋体" w:hAnsi="宋体" w:cs="宋体"/>
          <w:spacing w:val="-9"/>
        </w:rPr>
        <w:t>的烫漂或肉类的解冻过程</w:t>
      </w:r>
      <w:r>
        <w:rPr>
          <w:rFonts w:ascii="宋体" w:eastAsia="宋体" w:hAnsi="宋体" w:cs="宋体"/>
        </w:rPr>
        <w:t xml:space="preserve"> </w:t>
      </w:r>
      <w:r>
        <w:rPr>
          <w:rFonts w:ascii="宋体" w:eastAsia="宋体" w:hAnsi="宋体" w:cs="宋体"/>
          <w:spacing w:val="-6"/>
        </w:rPr>
        <w:t>会导致一些维生素和矿物质的损失，有时甚至是大量的维生素损失(10%～4</w:t>
      </w:r>
      <w:r>
        <w:rPr>
          <w:rFonts w:ascii="宋体" w:eastAsia="宋体" w:hAnsi="宋体" w:cs="宋体"/>
          <w:spacing w:val="-7"/>
        </w:rPr>
        <w:t>4%)。</w:t>
      </w:r>
    </w:p>
    <w:p w:rsidR="00EA40A3" w:rsidRDefault="00E86C16">
      <w:pPr>
        <w:spacing w:before="99"/>
        <w:ind w:right="11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229</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headerReference w:type="default" r:id="rId198"/>
          <w:footerReference w:type="default" r:id="rId199"/>
          <w:pgSz w:w="9220" w:h="13360"/>
          <w:pgMar w:top="400" w:right="930" w:bottom="400" w:left="899" w:header="0" w:footer="0" w:gutter="0"/>
          <w:cols w:space="720"/>
        </w:sectPr>
      </w:pPr>
    </w:p>
    <w:p w:rsidR="00EA40A3" w:rsidRDefault="00EA40A3">
      <w:pPr>
        <w:spacing w:line="349" w:lineRule="auto"/>
      </w:pPr>
    </w:p>
    <w:p w:rsidR="00EA40A3" w:rsidRDefault="00EA40A3">
      <w:pPr>
        <w:spacing w:line="349" w:lineRule="auto"/>
      </w:pPr>
    </w:p>
    <w:p w:rsidR="00EA40A3" w:rsidRDefault="00E86C16">
      <w:pPr>
        <w:spacing w:before="71" w:line="221" w:lineRule="auto"/>
        <w:ind w:left="3"/>
        <w:outlineLvl w:val="6"/>
        <w:rPr>
          <w:rFonts w:ascii="黑体" w:eastAsia="黑体" w:hAnsi="黑体" w:cs="黑体"/>
          <w:sz w:val="22"/>
          <w:szCs w:val="22"/>
        </w:rPr>
      </w:pPr>
      <w:r>
        <w:rPr>
          <w:rFonts w:ascii="黑体" w:eastAsia="黑体" w:hAnsi="黑体" w:cs="黑体"/>
          <w:b/>
          <w:bCs/>
          <w:spacing w:val="11"/>
          <w:sz w:val="22"/>
          <w:szCs w:val="22"/>
        </w:rPr>
        <w:t>7.1.3</w:t>
      </w:r>
      <w:r>
        <w:rPr>
          <w:rFonts w:ascii="黑体" w:eastAsia="黑体" w:hAnsi="黑体" w:cs="黑体"/>
          <w:spacing w:val="25"/>
          <w:sz w:val="22"/>
          <w:szCs w:val="22"/>
        </w:rPr>
        <w:t xml:space="preserve">   </w:t>
      </w:r>
      <w:r>
        <w:rPr>
          <w:rFonts w:ascii="黑体" w:eastAsia="黑体" w:hAnsi="黑体" w:cs="黑体"/>
          <w:b/>
          <w:bCs/>
          <w:spacing w:val="11"/>
          <w:sz w:val="22"/>
          <w:szCs w:val="22"/>
        </w:rPr>
        <w:t>气调储藏对食品营养价值的影响</w:t>
      </w:r>
    </w:p>
    <w:p w:rsidR="00EA40A3" w:rsidRDefault="00E86C16">
      <w:pPr>
        <w:spacing w:before="160" w:line="254" w:lineRule="auto"/>
        <w:ind w:right="49" w:firstLine="359"/>
        <w:jc w:val="both"/>
        <w:rPr>
          <w:rFonts w:ascii="宋体" w:eastAsia="宋体" w:hAnsi="宋体" w:cs="宋体"/>
          <w:sz w:val="22"/>
          <w:szCs w:val="22"/>
        </w:rPr>
      </w:pPr>
      <w:r>
        <w:rPr>
          <w:rFonts w:ascii="宋体" w:eastAsia="宋体" w:hAnsi="宋体" w:cs="宋体"/>
          <w:spacing w:val="-9"/>
          <w:sz w:val="22"/>
          <w:szCs w:val="22"/>
        </w:rPr>
        <w:t>气调储藏是以改变储藏环境中的气体成分(通常是增</w:t>
      </w:r>
      <w:r>
        <w:rPr>
          <w:rFonts w:ascii="宋体" w:eastAsia="宋体" w:hAnsi="宋体" w:cs="宋体"/>
          <w:spacing w:val="-10"/>
          <w:sz w:val="22"/>
          <w:szCs w:val="22"/>
        </w:rPr>
        <w:t>加二氧化碳浓度和降低</w:t>
      </w:r>
      <w:r>
        <w:rPr>
          <w:rFonts w:ascii="宋体" w:eastAsia="宋体" w:hAnsi="宋体" w:cs="宋体"/>
          <w:sz w:val="22"/>
          <w:szCs w:val="22"/>
        </w:rPr>
        <w:t xml:space="preserve">  </w:t>
      </w:r>
      <w:r>
        <w:rPr>
          <w:rFonts w:ascii="宋体" w:eastAsia="宋体" w:hAnsi="宋体" w:cs="宋体"/>
          <w:spacing w:val="-5"/>
          <w:sz w:val="22"/>
          <w:szCs w:val="22"/>
        </w:rPr>
        <w:t>氧浓度)来实现长期储藏食品的一种方式。气调储藏有快速降氧法</w:t>
      </w:r>
      <w:r>
        <w:rPr>
          <w:rFonts w:ascii="宋体" w:eastAsia="宋体" w:hAnsi="宋体" w:cs="宋体"/>
          <w:spacing w:val="2"/>
          <w:sz w:val="22"/>
          <w:szCs w:val="22"/>
        </w:rPr>
        <w:t xml:space="preserve"> </w:t>
      </w:r>
      <w:r>
        <w:rPr>
          <w:rFonts w:ascii="宋体" w:eastAsia="宋体" w:hAnsi="宋体" w:cs="宋体"/>
          <w:spacing w:val="-5"/>
          <w:sz w:val="22"/>
          <w:szCs w:val="22"/>
        </w:rPr>
        <w:t>(CA</w:t>
      </w:r>
      <w:r>
        <w:rPr>
          <w:rFonts w:ascii="宋体" w:eastAsia="宋体" w:hAnsi="宋体" w:cs="宋体"/>
          <w:spacing w:val="57"/>
          <w:sz w:val="22"/>
          <w:szCs w:val="22"/>
        </w:rPr>
        <w:t xml:space="preserve"> </w:t>
      </w:r>
      <w:r>
        <w:rPr>
          <w:rFonts w:ascii="宋体" w:eastAsia="宋体" w:hAnsi="宋体" w:cs="宋体"/>
          <w:spacing w:val="-6"/>
          <w:sz w:val="22"/>
          <w:szCs w:val="22"/>
        </w:rPr>
        <w:t>储藏)</w:t>
      </w:r>
      <w:r>
        <w:rPr>
          <w:rFonts w:ascii="宋体" w:eastAsia="宋体" w:hAnsi="宋体" w:cs="宋体"/>
          <w:sz w:val="22"/>
          <w:szCs w:val="22"/>
        </w:rPr>
        <w:t xml:space="preserve"> </w:t>
      </w:r>
      <w:r>
        <w:rPr>
          <w:rFonts w:ascii="宋体" w:eastAsia="宋体" w:hAnsi="宋体" w:cs="宋体"/>
          <w:spacing w:val="-10"/>
          <w:sz w:val="22"/>
          <w:szCs w:val="22"/>
        </w:rPr>
        <w:t>和自然降氧法</w:t>
      </w:r>
      <w:r>
        <w:rPr>
          <w:rFonts w:ascii="宋体" w:eastAsia="宋体" w:hAnsi="宋体" w:cs="宋体"/>
          <w:spacing w:val="-2"/>
          <w:sz w:val="22"/>
          <w:szCs w:val="22"/>
        </w:rPr>
        <w:t xml:space="preserve"> </w:t>
      </w:r>
      <w:r>
        <w:rPr>
          <w:rFonts w:ascii="宋体" w:eastAsia="宋体" w:hAnsi="宋体" w:cs="宋体"/>
          <w:spacing w:val="-10"/>
          <w:sz w:val="22"/>
          <w:szCs w:val="22"/>
        </w:rPr>
        <w:t>(MA</w:t>
      </w:r>
      <w:r>
        <w:rPr>
          <w:rFonts w:ascii="宋体" w:eastAsia="宋体" w:hAnsi="宋体" w:cs="宋体"/>
          <w:spacing w:val="108"/>
          <w:sz w:val="22"/>
          <w:szCs w:val="22"/>
        </w:rPr>
        <w:t xml:space="preserve"> </w:t>
      </w:r>
      <w:r>
        <w:rPr>
          <w:rFonts w:ascii="宋体" w:eastAsia="宋体" w:hAnsi="宋体" w:cs="宋体"/>
          <w:spacing w:val="-10"/>
          <w:sz w:val="22"/>
          <w:szCs w:val="22"/>
        </w:rPr>
        <w:t>储藏)两大类。 CA</w:t>
      </w:r>
      <w:r>
        <w:rPr>
          <w:rFonts w:ascii="宋体" w:eastAsia="宋体" w:hAnsi="宋体" w:cs="宋体"/>
          <w:spacing w:val="37"/>
          <w:sz w:val="22"/>
          <w:szCs w:val="22"/>
        </w:rPr>
        <w:t xml:space="preserve"> </w:t>
      </w:r>
      <w:r>
        <w:rPr>
          <w:rFonts w:ascii="宋体" w:eastAsia="宋体" w:hAnsi="宋体" w:cs="宋体"/>
          <w:spacing w:val="-10"/>
          <w:sz w:val="22"/>
          <w:szCs w:val="22"/>
        </w:rPr>
        <w:t>储藏是用机械在库外制取所需的人工气</w:t>
      </w:r>
      <w:r>
        <w:rPr>
          <w:rFonts w:ascii="宋体" w:eastAsia="宋体" w:hAnsi="宋体" w:cs="宋体"/>
          <w:sz w:val="22"/>
          <w:szCs w:val="22"/>
        </w:rPr>
        <w:t xml:space="preserve"> </w:t>
      </w:r>
      <w:r>
        <w:rPr>
          <w:rFonts w:ascii="宋体" w:eastAsia="宋体" w:hAnsi="宋体" w:cs="宋体"/>
          <w:spacing w:val="-15"/>
          <w:sz w:val="22"/>
          <w:szCs w:val="22"/>
        </w:rPr>
        <w:t>体后送入冷藏库内，达到调节二氧化碳和氧浓度的目的；</w:t>
      </w:r>
      <w:r>
        <w:rPr>
          <w:rFonts w:ascii="宋体" w:eastAsia="宋体" w:hAnsi="宋体" w:cs="宋体"/>
          <w:spacing w:val="26"/>
          <w:sz w:val="22"/>
          <w:szCs w:val="22"/>
        </w:rPr>
        <w:t xml:space="preserve"> </w:t>
      </w:r>
      <w:r>
        <w:rPr>
          <w:rFonts w:ascii="宋体" w:eastAsia="宋体" w:hAnsi="宋体" w:cs="宋体"/>
          <w:spacing w:val="-15"/>
          <w:sz w:val="22"/>
          <w:szCs w:val="22"/>
        </w:rPr>
        <w:t>MA</w:t>
      </w:r>
      <w:r>
        <w:rPr>
          <w:rFonts w:ascii="宋体" w:eastAsia="宋体" w:hAnsi="宋体" w:cs="宋体"/>
          <w:spacing w:val="61"/>
          <w:sz w:val="22"/>
          <w:szCs w:val="22"/>
        </w:rPr>
        <w:t xml:space="preserve"> </w:t>
      </w:r>
      <w:r>
        <w:rPr>
          <w:rFonts w:ascii="宋体" w:eastAsia="宋体" w:hAnsi="宋体" w:cs="宋体"/>
          <w:spacing w:val="-15"/>
          <w:sz w:val="22"/>
          <w:szCs w:val="22"/>
        </w:rPr>
        <w:t>储藏是在气密的库</w:t>
      </w:r>
      <w:r>
        <w:rPr>
          <w:rFonts w:ascii="宋体" w:eastAsia="宋体" w:hAnsi="宋体" w:cs="宋体"/>
          <w:sz w:val="22"/>
          <w:szCs w:val="22"/>
        </w:rPr>
        <w:t xml:space="preserve"> </w:t>
      </w:r>
      <w:r>
        <w:rPr>
          <w:rFonts w:ascii="宋体" w:eastAsia="宋体" w:hAnsi="宋体" w:cs="宋体"/>
          <w:spacing w:val="-10"/>
          <w:sz w:val="22"/>
          <w:szCs w:val="22"/>
        </w:rPr>
        <w:t>房或塑料膜帐里，利用果蔬本身的呼吸作用达到调节二</w:t>
      </w:r>
      <w:r>
        <w:rPr>
          <w:rFonts w:ascii="宋体" w:eastAsia="宋体" w:hAnsi="宋体" w:cs="宋体"/>
          <w:spacing w:val="-11"/>
          <w:sz w:val="22"/>
          <w:szCs w:val="22"/>
        </w:rPr>
        <w:t>氧化碳和氧浓度的目的。</w:t>
      </w:r>
      <w:r>
        <w:rPr>
          <w:rFonts w:ascii="宋体" w:eastAsia="宋体" w:hAnsi="宋体" w:cs="宋体"/>
          <w:sz w:val="22"/>
          <w:szCs w:val="22"/>
        </w:rPr>
        <w:t xml:space="preserve"> </w:t>
      </w:r>
      <w:r>
        <w:rPr>
          <w:rFonts w:ascii="宋体" w:eastAsia="宋体" w:hAnsi="宋体" w:cs="宋体"/>
          <w:spacing w:val="-13"/>
          <w:sz w:val="22"/>
          <w:szCs w:val="22"/>
        </w:rPr>
        <w:t>气调储藏可用于果蔬、粮食、肉类和蛋的储藏保鲜，尤其在果蔬储藏中应用最为</w:t>
      </w:r>
      <w:r>
        <w:rPr>
          <w:rFonts w:ascii="宋体" w:eastAsia="宋体" w:hAnsi="宋体" w:cs="宋体"/>
          <w:spacing w:val="14"/>
          <w:sz w:val="22"/>
          <w:szCs w:val="22"/>
        </w:rPr>
        <w:t xml:space="preserve"> </w:t>
      </w:r>
      <w:r>
        <w:rPr>
          <w:rFonts w:ascii="宋体" w:eastAsia="宋体" w:hAnsi="宋体" w:cs="宋体"/>
          <w:spacing w:val="-18"/>
          <w:sz w:val="22"/>
          <w:szCs w:val="22"/>
        </w:rPr>
        <w:t>广泛。</w:t>
      </w:r>
      <w:r>
        <w:rPr>
          <w:rFonts w:ascii="宋体" w:eastAsia="宋体" w:hAnsi="宋体" w:cs="宋体"/>
          <w:spacing w:val="-15"/>
          <w:sz w:val="22"/>
          <w:szCs w:val="22"/>
        </w:rPr>
        <w:t xml:space="preserve"> </w:t>
      </w:r>
      <w:r>
        <w:rPr>
          <w:rFonts w:ascii="宋体" w:eastAsia="宋体" w:hAnsi="宋体" w:cs="宋体"/>
          <w:spacing w:val="-18"/>
          <w:sz w:val="22"/>
          <w:szCs w:val="22"/>
        </w:rPr>
        <w:t>一般来说，气调储藏对果蔬营养价值影响较小。</w:t>
      </w:r>
    </w:p>
    <w:p w:rsidR="00EA40A3" w:rsidRDefault="00E86C16">
      <w:pPr>
        <w:spacing w:before="81" w:line="241" w:lineRule="auto"/>
        <w:ind w:right="130" w:firstLine="359"/>
        <w:jc w:val="both"/>
        <w:rPr>
          <w:rFonts w:ascii="宋体" w:eastAsia="宋体" w:hAnsi="宋体" w:cs="宋体"/>
          <w:sz w:val="22"/>
          <w:szCs w:val="22"/>
        </w:rPr>
      </w:pPr>
      <w:r>
        <w:rPr>
          <w:rFonts w:ascii="宋体" w:eastAsia="宋体" w:hAnsi="宋体" w:cs="宋体"/>
          <w:spacing w:val="-12"/>
          <w:sz w:val="22"/>
          <w:szCs w:val="22"/>
        </w:rPr>
        <w:t>例如在板栗的气调储藏中，高二氧化碳和低氧环境对板栗的</w:t>
      </w:r>
      <w:r>
        <w:rPr>
          <w:rFonts w:ascii="宋体" w:eastAsia="宋体" w:hAnsi="宋体" w:cs="宋体"/>
          <w:spacing w:val="-13"/>
          <w:sz w:val="22"/>
          <w:szCs w:val="22"/>
        </w:rPr>
        <w:t>生理代谢起到了</w:t>
      </w:r>
      <w:r>
        <w:rPr>
          <w:rFonts w:ascii="宋体" w:eastAsia="宋体" w:hAnsi="宋体" w:cs="宋体"/>
          <w:sz w:val="22"/>
          <w:szCs w:val="22"/>
        </w:rPr>
        <w:t xml:space="preserve"> </w:t>
      </w:r>
      <w:r>
        <w:rPr>
          <w:rFonts w:ascii="宋体" w:eastAsia="宋体" w:hAnsi="宋体" w:cs="宋体"/>
          <w:spacing w:val="-7"/>
          <w:sz w:val="22"/>
          <w:szCs w:val="22"/>
        </w:rPr>
        <w:t>一定的抑制作用，使得气调储藏的板栗干耗率、淀粉的水解比冷藏低，其含糖</w:t>
      </w:r>
      <w:r>
        <w:rPr>
          <w:rFonts w:ascii="宋体" w:eastAsia="宋体" w:hAnsi="宋体" w:cs="宋体"/>
          <w:spacing w:val="16"/>
          <w:sz w:val="22"/>
          <w:szCs w:val="22"/>
        </w:rPr>
        <w:t xml:space="preserve"> </w:t>
      </w:r>
      <w:r>
        <w:rPr>
          <w:rFonts w:ascii="宋体" w:eastAsia="宋体" w:hAnsi="宋体" w:cs="宋体"/>
          <w:spacing w:val="-16"/>
          <w:sz w:val="22"/>
          <w:szCs w:val="22"/>
        </w:rPr>
        <w:t>量、蛋白质的保存率高于冷藏。</w:t>
      </w:r>
    </w:p>
    <w:p w:rsidR="00EA40A3" w:rsidRDefault="00E86C16">
      <w:pPr>
        <w:spacing w:before="66" w:line="250" w:lineRule="auto"/>
        <w:ind w:right="49" w:firstLine="359"/>
        <w:jc w:val="both"/>
        <w:rPr>
          <w:rFonts w:ascii="宋体" w:eastAsia="宋体" w:hAnsi="宋体" w:cs="宋体"/>
          <w:sz w:val="22"/>
          <w:szCs w:val="22"/>
        </w:rPr>
      </w:pPr>
      <w:r>
        <w:rPr>
          <w:rFonts w:ascii="宋体" w:eastAsia="宋体" w:hAnsi="宋体" w:cs="宋体"/>
          <w:spacing w:val="-12"/>
          <w:sz w:val="22"/>
          <w:szCs w:val="22"/>
        </w:rPr>
        <w:t>杨梅不耐储藏，即使在低温条件下杨梅的营养</w:t>
      </w:r>
      <w:r>
        <w:rPr>
          <w:rFonts w:ascii="宋体" w:eastAsia="宋体" w:hAnsi="宋体" w:cs="宋体"/>
          <w:spacing w:val="-13"/>
          <w:sz w:val="22"/>
          <w:szCs w:val="22"/>
        </w:rPr>
        <w:t>物质分解仍较为迅速，果实品</w:t>
      </w:r>
      <w:r>
        <w:rPr>
          <w:rFonts w:ascii="宋体" w:eastAsia="宋体" w:hAnsi="宋体" w:cs="宋体"/>
          <w:sz w:val="22"/>
          <w:szCs w:val="22"/>
        </w:rPr>
        <w:t xml:space="preserve">  </w:t>
      </w:r>
      <w:r>
        <w:rPr>
          <w:rFonts w:ascii="宋体" w:eastAsia="宋体" w:hAnsi="宋体" w:cs="宋体"/>
          <w:spacing w:val="-7"/>
          <w:sz w:val="22"/>
          <w:szCs w:val="22"/>
        </w:rPr>
        <w:t>质在3～5d</w:t>
      </w:r>
      <w:r>
        <w:rPr>
          <w:rFonts w:ascii="宋体" w:eastAsia="宋体" w:hAnsi="宋体" w:cs="宋体"/>
          <w:spacing w:val="-58"/>
          <w:sz w:val="22"/>
          <w:szCs w:val="22"/>
        </w:rPr>
        <w:t xml:space="preserve"> </w:t>
      </w:r>
      <w:r>
        <w:rPr>
          <w:rFonts w:ascii="宋体" w:eastAsia="宋体" w:hAnsi="宋体" w:cs="宋体"/>
          <w:spacing w:val="-7"/>
          <w:sz w:val="22"/>
          <w:szCs w:val="22"/>
        </w:rPr>
        <w:t>内迅速变劣。2℃下采后4d</w:t>
      </w:r>
      <w:r>
        <w:rPr>
          <w:rFonts w:ascii="宋体" w:eastAsia="宋体" w:hAnsi="宋体" w:cs="宋体"/>
          <w:spacing w:val="-37"/>
          <w:sz w:val="22"/>
          <w:szCs w:val="22"/>
        </w:rPr>
        <w:t xml:space="preserve"> </w:t>
      </w:r>
      <w:r>
        <w:rPr>
          <w:rFonts w:ascii="宋体" w:eastAsia="宋体" w:hAnsi="宋体" w:cs="宋体"/>
          <w:spacing w:val="-7"/>
          <w:sz w:val="22"/>
          <w:szCs w:val="22"/>
        </w:rPr>
        <w:t>内杨梅的呼吸强度上升</w:t>
      </w:r>
      <w:r>
        <w:rPr>
          <w:rFonts w:ascii="宋体" w:eastAsia="宋体" w:hAnsi="宋体" w:cs="宋体"/>
          <w:spacing w:val="-8"/>
          <w:sz w:val="22"/>
          <w:szCs w:val="22"/>
        </w:rPr>
        <w:t>，并伴随着总糖、</w:t>
      </w:r>
      <w:r>
        <w:rPr>
          <w:rFonts w:ascii="宋体" w:eastAsia="宋体" w:hAnsi="宋体" w:cs="宋体"/>
          <w:sz w:val="22"/>
          <w:szCs w:val="22"/>
        </w:rPr>
        <w:t xml:space="preserve"> </w:t>
      </w:r>
      <w:r>
        <w:rPr>
          <w:rFonts w:ascii="宋体" w:eastAsia="宋体" w:hAnsi="宋体" w:cs="宋体"/>
          <w:spacing w:val="-13"/>
          <w:sz w:val="22"/>
          <w:szCs w:val="22"/>
        </w:rPr>
        <w:t>总酸和硬度的迅速下降，还原糖含量迅速升高。而气调储藏对杨梅果实保鲜效果</w:t>
      </w:r>
      <w:r>
        <w:rPr>
          <w:rFonts w:ascii="宋体" w:eastAsia="宋体" w:hAnsi="宋体" w:cs="宋体"/>
          <w:spacing w:val="16"/>
          <w:sz w:val="22"/>
          <w:szCs w:val="22"/>
        </w:rPr>
        <w:t xml:space="preserve"> </w:t>
      </w:r>
      <w:r>
        <w:rPr>
          <w:rFonts w:ascii="宋体" w:eastAsia="宋体" w:hAnsi="宋体" w:cs="宋体"/>
          <w:spacing w:val="-11"/>
          <w:sz w:val="22"/>
          <w:szCs w:val="22"/>
        </w:rPr>
        <w:t>较好，采后8d</w:t>
      </w:r>
      <w:r>
        <w:rPr>
          <w:rFonts w:ascii="宋体" w:eastAsia="宋体" w:hAnsi="宋体" w:cs="宋体"/>
          <w:spacing w:val="-44"/>
          <w:sz w:val="22"/>
          <w:szCs w:val="22"/>
        </w:rPr>
        <w:t xml:space="preserve"> </w:t>
      </w:r>
      <w:r>
        <w:rPr>
          <w:rFonts w:ascii="宋体" w:eastAsia="宋体" w:hAnsi="宋体" w:cs="宋体"/>
          <w:spacing w:val="-11"/>
          <w:sz w:val="22"/>
          <w:szCs w:val="22"/>
        </w:rPr>
        <w:t>内总糖和总酸含量的下降明显减缓，还原糖含量仅略有上升。</w:t>
      </w:r>
    </w:p>
    <w:p w:rsidR="00EA40A3" w:rsidRDefault="00E86C16">
      <w:pPr>
        <w:spacing w:before="47" w:line="242" w:lineRule="auto"/>
        <w:ind w:right="126" w:firstLine="359"/>
        <w:jc w:val="both"/>
        <w:rPr>
          <w:rFonts w:ascii="宋体" w:eastAsia="宋体" w:hAnsi="宋体" w:cs="宋体"/>
          <w:sz w:val="22"/>
          <w:szCs w:val="22"/>
        </w:rPr>
      </w:pPr>
      <w:r>
        <w:rPr>
          <w:rFonts w:ascii="宋体" w:eastAsia="宋体" w:hAnsi="宋体" w:cs="宋体"/>
          <w:spacing w:val="-2"/>
          <w:sz w:val="22"/>
          <w:szCs w:val="22"/>
        </w:rPr>
        <w:t>中等成熟的番荔枝经气调冷藏15～16d,</w:t>
      </w:r>
      <w:r>
        <w:rPr>
          <w:rFonts w:ascii="宋体" w:eastAsia="宋体" w:hAnsi="宋体" w:cs="宋体"/>
          <w:spacing w:val="-11"/>
          <w:sz w:val="22"/>
          <w:szCs w:val="22"/>
        </w:rPr>
        <w:t xml:space="preserve"> </w:t>
      </w:r>
      <w:r>
        <w:rPr>
          <w:rFonts w:ascii="宋体" w:eastAsia="宋体" w:hAnsi="宋体" w:cs="宋体"/>
          <w:spacing w:val="-2"/>
          <w:sz w:val="22"/>
          <w:szCs w:val="22"/>
        </w:rPr>
        <w:t>果实含糖和总酸各降低了3.3%和</w:t>
      </w:r>
      <w:r>
        <w:rPr>
          <w:rFonts w:ascii="宋体" w:eastAsia="宋体" w:hAnsi="宋体" w:cs="宋体"/>
          <w:sz w:val="22"/>
          <w:szCs w:val="22"/>
        </w:rPr>
        <w:t xml:space="preserve"> </w:t>
      </w:r>
      <w:r>
        <w:rPr>
          <w:rFonts w:ascii="宋体" w:eastAsia="宋体" w:hAnsi="宋体" w:cs="宋体"/>
          <w:spacing w:val="2"/>
          <w:sz w:val="22"/>
          <w:szCs w:val="22"/>
        </w:rPr>
        <w:t>0.06%,维生素C</w:t>
      </w:r>
      <w:r>
        <w:rPr>
          <w:rFonts w:ascii="宋体" w:eastAsia="宋体" w:hAnsi="宋体" w:cs="宋体"/>
          <w:spacing w:val="-34"/>
          <w:sz w:val="22"/>
          <w:szCs w:val="22"/>
        </w:rPr>
        <w:t xml:space="preserve"> </w:t>
      </w:r>
      <w:r>
        <w:rPr>
          <w:rFonts w:ascii="宋体" w:eastAsia="宋体" w:hAnsi="宋体" w:cs="宋体"/>
          <w:spacing w:val="2"/>
          <w:sz w:val="22"/>
          <w:szCs w:val="22"/>
        </w:rPr>
        <w:t>损失2.26</w:t>
      </w:r>
      <w:r>
        <w:rPr>
          <w:rFonts w:ascii="宋体" w:eastAsia="宋体" w:hAnsi="宋体" w:cs="宋体"/>
          <w:sz w:val="22"/>
          <w:szCs w:val="22"/>
        </w:rPr>
        <w:t>mg</w:t>
      </w:r>
      <w:r>
        <w:rPr>
          <w:rFonts w:ascii="宋体" w:eastAsia="宋体" w:hAnsi="宋体" w:cs="宋体"/>
          <w:spacing w:val="2"/>
          <w:sz w:val="22"/>
          <w:szCs w:val="22"/>
        </w:rPr>
        <w:t>/100</w:t>
      </w:r>
      <w:r>
        <w:rPr>
          <w:rFonts w:ascii="宋体" w:eastAsia="宋体" w:hAnsi="宋体" w:cs="宋体"/>
          <w:spacing w:val="1"/>
          <w:sz w:val="22"/>
          <w:szCs w:val="22"/>
        </w:rPr>
        <w:t>g,</w:t>
      </w:r>
      <w:r>
        <w:rPr>
          <w:rFonts w:ascii="宋体" w:eastAsia="宋体" w:hAnsi="宋体" w:cs="宋体"/>
          <w:spacing w:val="-8"/>
          <w:sz w:val="22"/>
          <w:szCs w:val="22"/>
        </w:rPr>
        <w:t xml:space="preserve"> </w:t>
      </w:r>
      <w:r>
        <w:rPr>
          <w:rFonts w:ascii="宋体" w:eastAsia="宋体" w:hAnsi="宋体" w:cs="宋体"/>
          <w:spacing w:val="1"/>
          <w:sz w:val="22"/>
          <w:szCs w:val="22"/>
        </w:rPr>
        <w:t>延长保鲜期14d,</w:t>
      </w:r>
      <w:r>
        <w:rPr>
          <w:rFonts w:ascii="宋体" w:eastAsia="宋体" w:hAnsi="宋体" w:cs="宋体"/>
          <w:spacing w:val="-17"/>
          <w:sz w:val="22"/>
          <w:szCs w:val="22"/>
        </w:rPr>
        <w:t xml:space="preserve"> </w:t>
      </w:r>
      <w:r>
        <w:rPr>
          <w:rFonts w:ascii="宋体" w:eastAsia="宋体" w:hAnsi="宋体" w:cs="宋体"/>
          <w:spacing w:val="1"/>
          <w:sz w:val="22"/>
          <w:szCs w:val="22"/>
        </w:rPr>
        <w:t>番荔枝气调储藏期间营</w:t>
      </w:r>
      <w:r>
        <w:rPr>
          <w:rFonts w:ascii="宋体" w:eastAsia="宋体" w:hAnsi="宋体" w:cs="宋体"/>
          <w:sz w:val="22"/>
          <w:szCs w:val="22"/>
        </w:rPr>
        <w:t xml:space="preserve"> </w:t>
      </w:r>
      <w:r>
        <w:rPr>
          <w:rFonts w:ascii="宋体" w:eastAsia="宋体" w:hAnsi="宋体" w:cs="宋体"/>
          <w:spacing w:val="-9"/>
          <w:sz w:val="22"/>
          <w:szCs w:val="22"/>
        </w:rPr>
        <w:t>养品质的变化结果见表7-5。</w:t>
      </w:r>
    </w:p>
    <w:p w:rsidR="00EA40A3" w:rsidRDefault="00EA40A3">
      <w:pPr>
        <w:spacing w:line="355" w:lineRule="auto"/>
      </w:pPr>
    </w:p>
    <w:p w:rsidR="00EA40A3" w:rsidRDefault="00E86C16">
      <w:pPr>
        <w:spacing w:before="56" w:line="221" w:lineRule="auto"/>
        <w:ind w:left="1762"/>
        <w:rPr>
          <w:rFonts w:ascii="黑体" w:eastAsia="黑体" w:hAnsi="黑体" w:cs="黑体"/>
          <w:sz w:val="17"/>
          <w:szCs w:val="17"/>
        </w:rPr>
      </w:pPr>
      <w:r>
        <w:rPr>
          <w:rFonts w:ascii="黑体" w:eastAsia="黑体" w:hAnsi="黑体" w:cs="黑体"/>
          <w:b/>
          <w:bCs/>
          <w:spacing w:val="7"/>
          <w:sz w:val="17"/>
          <w:szCs w:val="17"/>
        </w:rPr>
        <w:t>表7-5</w:t>
      </w:r>
      <w:r>
        <w:rPr>
          <w:rFonts w:ascii="黑体" w:eastAsia="黑体" w:hAnsi="黑体" w:cs="黑体"/>
          <w:spacing w:val="77"/>
          <w:sz w:val="17"/>
          <w:szCs w:val="17"/>
        </w:rPr>
        <w:t xml:space="preserve"> </w:t>
      </w:r>
      <w:r>
        <w:rPr>
          <w:rFonts w:ascii="黑体" w:eastAsia="黑体" w:hAnsi="黑体" w:cs="黑体"/>
          <w:b/>
          <w:bCs/>
          <w:spacing w:val="7"/>
          <w:sz w:val="17"/>
          <w:szCs w:val="17"/>
        </w:rPr>
        <w:t>采后番荔枝气调储藏期间营养品质的变化</w:t>
      </w:r>
    </w:p>
    <w:p w:rsidR="00EA40A3" w:rsidRDefault="00EA40A3">
      <w:pPr>
        <w:spacing w:line="28" w:lineRule="exact"/>
      </w:pPr>
    </w:p>
    <w:tbl>
      <w:tblPr>
        <w:tblStyle w:val="TableNormal"/>
        <w:tblW w:w="7320" w:type="dxa"/>
        <w:tblInd w:w="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55"/>
        <w:gridCol w:w="1015"/>
        <w:gridCol w:w="856"/>
        <w:gridCol w:w="841"/>
        <w:gridCol w:w="1078"/>
        <w:gridCol w:w="901"/>
        <w:gridCol w:w="974"/>
      </w:tblGrid>
      <w:tr w:rsidR="00EA40A3">
        <w:trPr>
          <w:trHeight w:val="581"/>
        </w:trPr>
        <w:tc>
          <w:tcPr>
            <w:tcW w:w="1655" w:type="dxa"/>
            <w:tcBorders>
              <w:top w:val="single" w:sz="4" w:space="0" w:color="000000"/>
              <w:bottom w:val="single" w:sz="4" w:space="0" w:color="000000"/>
            </w:tcBorders>
          </w:tcPr>
          <w:p w:rsidR="00EA40A3" w:rsidRDefault="00E86C16">
            <w:pPr>
              <w:spacing w:before="211" w:line="219" w:lineRule="auto"/>
              <w:ind w:left="520"/>
              <w:rPr>
                <w:rFonts w:ascii="宋体" w:eastAsia="宋体" w:hAnsi="宋体" w:cs="宋体"/>
                <w:sz w:val="16"/>
                <w:szCs w:val="16"/>
              </w:rPr>
            </w:pPr>
            <w:r>
              <w:rPr>
                <w:rFonts w:ascii="宋体" w:eastAsia="宋体" w:hAnsi="宋体" w:cs="宋体"/>
                <w:spacing w:val="-2"/>
                <w:sz w:val="16"/>
                <w:szCs w:val="16"/>
              </w:rPr>
              <w:t>储藏方法</w:t>
            </w:r>
          </w:p>
        </w:tc>
        <w:tc>
          <w:tcPr>
            <w:tcW w:w="1015" w:type="dxa"/>
            <w:tcBorders>
              <w:top w:val="single" w:sz="4" w:space="0" w:color="000000"/>
              <w:bottom w:val="single" w:sz="4" w:space="0" w:color="000000"/>
            </w:tcBorders>
          </w:tcPr>
          <w:p w:rsidR="00EA40A3" w:rsidRDefault="00E86C16">
            <w:pPr>
              <w:spacing w:before="121" w:line="264" w:lineRule="exact"/>
              <w:ind w:left="134"/>
              <w:rPr>
                <w:rFonts w:ascii="宋体" w:eastAsia="宋体" w:hAnsi="宋体" w:cs="宋体"/>
                <w:sz w:val="16"/>
                <w:szCs w:val="16"/>
              </w:rPr>
            </w:pPr>
            <w:r>
              <w:rPr>
                <w:rFonts w:ascii="宋体" w:eastAsia="宋体" w:hAnsi="宋体" w:cs="宋体"/>
                <w:spacing w:val="3"/>
                <w:position w:val="7"/>
                <w:sz w:val="16"/>
                <w:szCs w:val="16"/>
              </w:rPr>
              <w:t>储藏时间</w:t>
            </w:r>
          </w:p>
          <w:p w:rsidR="00EA40A3" w:rsidRDefault="00E86C16">
            <w:pPr>
              <w:spacing w:line="224" w:lineRule="auto"/>
              <w:ind w:left="375"/>
              <w:rPr>
                <w:rFonts w:ascii="宋体" w:eastAsia="宋体" w:hAnsi="宋体" w:cs="宋体"/>
                <w:sz w:val="16"/>
                <w:szCs w:val="16"/>
              </w:rPr>
            </w:pPr>
            <w:r>
              <w:rPr>
                <w:rFonts w:ascii="宋体" w:eastAsia="宋体" w:hAnsi="宋体" w:cs="宋体"/>
                <w:spacing w:val="-2"/>
                <w:sz w:val="16"/>
                <w:szCs w:val="16"/>
              </w:rPr>
              <w:t>/d</w:t>
            </w:r>
          </w:p>
        </w:tc>
        <w:tc>
          <w:tcPr>
            <w:tcW w:w="856" w:type="dxa"/>
            <w:tcBorders>
              <w:top w:val="single" w:sz="4" w:space="0" w:color="000000"/>
              <w:bottom w:val="single" w:sz="4" w:space="0" w:color="000000"/>
            </w:tcBorders>
          </w:tcPr>
          <w:p w:rsidR="00EA40A3" w:rsidRDefault="00E86C16">
            <w:pPr>
              <w:spacing w:before="122" w:line="243" w:lineRule="exact"/>
              <w:ind w:left="240"/>
              <w:rPr>
                <w:rFonts w:ascii="宋体" w:eastAsia="宋体" w:hAnsi="宋体" w:cs="宋体"/>
                <w:sz w:val="16"/>
                <w:szCs w:val="16"/>
              </w:rPr>
            </w:pPr>
            <w:r>
              <w:rPr>
                <w:rFonts w:ascii="宋体" w:eastAsia="宋体" w:hAnsi="宋体" w:cs="宋体"/>
                <w:spacing w:val="-3"/>
                <w:position w:val="6"/>
                <w:sz w:val="16"/>
                <w:szCs w:val="16"/>
              </w:rPr>
              <w:t>总糖</w:t>
            </w:r>
          </w:p>
          <w:p w:rsidR="00EA40A3" w:rsidRDefault="00E86C16">
            <w:pPr>
              <w:spacing w:line="224" w:lineRule="auto"/>
              <w:ind w:left="260"/>
              <w:rPr>
                <w:rFonts w:ascii="宋体" w:eastAsia="宋体" w:hAnsi="宋体" w:cs="宋体"/>
                <w:sz w:val="16"/>
                <w:szCs w:val="16"/>
              </w:rPr>
            </w:pPr>
            <w:r>
              <w:rPr>
                <w:rFonts w:ascii="宋体" w:eastAsia="宋体" w:hAnsi="宋体" w:cs="宋体"/>
                <w:spacing w:val="-2"/>
                <w:sz w:val="16"/>
                <w:szCs w:val="16"/>
              </w:rPr>
              <w:t>/%</w:t>
            </w:r>
          </w:p>
        </w:tc>
        <w:tc>
          <w:tcPr>
            <w:tcW w:w="841" w:type="dxa"/>
            <w:tcBorders>
              <w:top w:val="single" w:sz="4" w:space="0" w:color="000000"/>
              <w:bottom w:val="single" w:sz="4" w:space="0" w:color="000000"/>
            </w:tcBorders>
          </w:tcPr>
          <w:p w:rsidR="00EA40A3" w:rsidRDefault="00E86C16">
            <w:pPr>
              <w:spacing w:before="132" w:line="233" w:lineRule="exact"/>
              <w:ind w:left="314"/>
              <w:rPr>
                <w:rFonts w:ascii="宋体" w:eastAsia="宋体" w:hAnsi="宋体" w:cs="宋体"/>
                <w:sz w:val="16"/>
                <w:szCs w:val="16"/>
              </w:rPr>
            </w:pPr>
            <w:r>
              <w:rPr>
                <w:rFonts w:ascii="宋体" w:eastAsia="宋体" w:hAnsi="宋体" w:cs="宋体"/>
                <w:spacing w:val="-3"/>
                <w:position w:val="5"/>
                <w:sz w:val="16"/>
                <w:szCs w:val="16"/>
              </w:rPr>
              <w:t>总酸</w:t>
            </w:r>
          </w:p>
          <w:p w:rsidR="00EA40A3" w:rsidRDefault="00E86C16">
            <w:pPr>
              <w:spacing w:line="224" w:lineRule="auto"/>
              <w:ind w:left="354"/>
              <w:rPr>
                <w:rFonts w:ascii="宋体" w:eastAsia="宋体" w:hAnsi="宋体" w:cs="宋体"/>
                <w:sz w:val="16"/>
                <w:szCs w:val="16"/>
              </w:rPr>
            </w:pPr>
            <w:r>
              <w:rPr>
                <w:rFonts w:ascii="宋体" w:eastAsia="宋体" w:hAnsi="宋体" w:cs="宋体"/>
                <w:spacing w:val="-2"/>
                <w:sz w:val="16"/>
                <w:szCs w:val="16"/>
              </w:rPr>
              <w:t>/%</w:t>
            </w:r>
          </w:p>
        </w:tc>
        <w:tc>
          <w:tcPr>
            <w:tcW w:w="1078" w:type="dxa"/>
            <w:tcBorders>
              <w:top w:val="single" w:sz="4" w:space="0" w:color="000000"/>
              <w:bottom w:val="single" w:sz="4" w:space="0" w:color="000000"/>
            </w:tcBorders>
          </w:tcPr>
          <w:p w:rsidR="00EA40A3" w:rsidRDefault="00E86C16">
            <w:pPr>
              <w:spacing w:before="121" w:line="265" w:lineRule="auto"/>
              <w:ind w:left="222" w:right="169" w:firstLine="120"/>
              <w:rPr>
                <w:rFonts w:ascii="宋体" w:eastAsia="宋体" w:hAnsi="宋体" w:cs="宋体"/>
                <w:sz w:val="16"/>
                <w:szCs w:val="16"/>
              </w:rPr>
            </w:pPr>
            <w:r>
              <w:rPr>
                <w:rFonts w:ascii="宋体" w:eastAsia="宋体" w:hAnsi="宋体" w:cs="宋体"/>
                <w:spacing w:val="-3"/>
                <w:sz w:val="16"/>
                <w:szCs w:val="16"/>
              </w:rPr>
              <w:t>维生素</w:t>
            </w:r>
            <w:r>
              <w:rPr>
                <w:rFonts w:ascii="宋体" w:eastAsia="宋体" w:hAnsi="宋体" w:cs="宋体"/>
                <w:sz w:val="16"/>
                <w:szCs w:val="16"/>
              </w:rPr>
              <w:t xml:space="preserve">  </w:t>
            </w:r>
            <w:r>
              <w:rPr>
                <w:rFonts w:ascii="宋体" w:eastAsia="宋体" w:hAnsi="宋体" w:cs="宋体"/>
                <w:spacing w:val="-4"/>
                <w:sz w:val="16"/>
                <w:szCs w:val="16"/>
              </w:rPr>
              <w:t>(mg/100g)</w:t>
            </w:r>
          </w:p>
        </w:tc>
        <w:tc>
          <w:tcPr>
            <w:tcW w:w="901" w:type="dxa"/>
            <w:tcBorders>
              <w:top w:val="single" w:sz="4" w:space="0" w:color="000000"/>
              <w:bottom w:val="single" w:sz="4" w:space="0" w:color="000000"/>
            </w:tcBorders>
          </w:tcPr>
          <w:p w:rsidR="00EA40A3" w:rsidRDefault="00E86C16">
            <w:pPr>
              <w:spacing w:before="121" w:line="264" w:lineRule="exact"/>
              <w:ind w:left="205"/>
              <w:rPr>
                <w:rFonts w:ascii="宋体" w:eastAsia="宋体" w:hAnsi="宋体" w:cs="宋体"/>
                <w:sz w:val="16"/>
                <w:szCs w:val="16"/>
              </w:rPr>
            </w:pPr>
            <w:r>
              <w:rPr>
                <w:rFonts w:ascii="宋体" w:eastAsia="宋体" w:hAnsi="宋体" w:cs="宋体"/>
                <w:spacing w:val="-3"/>
                <w:position w:val="7"/>
                <w:sz w:val="16"/>
                <w:szCs w:val="16"/>
              </w:rPr>
              <w:t>失重率</w:t>
            </w:r>
          </w:p>
          <w:p w:rsidR="00EA40A3" w:rsidRDefault="00E86C16">
            <w:pPr>
              <w:spacing w:line="224" w:lineRule="auto"/>
              <w:ind w:left="315"/>
              <w:rPr>
                <w:rFonts w:ascii="宋体" w:eastAsia="宋体" w:hAnsi="宋体" w:cs="宋体"/>
                <w:sz w:val="16"/>
                <w:szCs w:val="16"/>
              </w:rPr>
            </w:pPr>
            <w:r>
              <w:rPr>
                <w:rFonts w:ascii="宋体" w:eastAsia="宋体" w:hAnsi="宋体" w:cs="宋体"/>
                <w:spacing w:val="-2"/>
                <w:sz w:val="16"/>
                <w:szCs w:val="16"/>
              </w:rPr>
              <w:t>/%</w:t>
            </w:r>
          </w:p>
        </w:tc>
        <w:tc>
          <w:tcPr>
            <w:tcW w:w="974" w:type="dxa"/>
            <w:tcBorders>
              <w:top w:val="single" w:sz="4" w:space="0" w:color="000000"/>
              <w:bottom w:val="single" w:sz="4" w:space="0" w:color="000000"/>
            </w:tcBorders>
          </w:tcPr>
          <w:p w:rsidR="00EA40A3" w:rsidRDefault="00E86C16">
            <w:pPr>
              <w:spacing w:before="121" w:line="254" w:lineRule="exact"/>
              <w:ind w:left="234"/>
              <w:rPr>
                <w:rFonts w:ascii="宋体" w:eastAsia="宋体" w:hAnsi="宋体" w:cs="宋体"/>
                <w:sz w:val="16"/>
                <w:szCs w:val="16"/>
              </w:rPr>
            </w:pPr>
            <w:r>
              <w:rPr>
                <w:rFonts w:ascii="宋体" w:eastAsia="宋体" w:hAnsi="宋体" w:cs="宋体"/>
                <w:spacing w:val="-2"/>
                <w:position w:val="7"/>
                <w:sz w:val="16"/>
                <w:szCs w:val="16"/>
              </w:rPr>
              <w:t>好果率</w:t>
            </w:r>
          </w:p>
          <w:p w:rsidR="00EA40A3" w:rsidRDefault="00E86C16">
            <w:pPr>
              <w:spacing w:line="224" w:lineRule="auto"/>
              <w:ind w:left="394"/>
              <w:rPr>
                <w:rFonts w:ascii="宋体" w:eastAsia="宋体" w:hAnsi="宋体" w:cs="宋体"/>
                <w:sz w:val="16"/>
                <w:szCs w:val="16"/>
              </w:rPr>
            </w:pPr>
            <w:r>
              <w:rPr>
                <w:rFonts w:ascii="宋体" w:eastAsia="宋体" w:hAnsi="宋体" w:cs="宋体"/>
                <w:spacing w:val="-2"/>
                <w:sz w:val="16"/>
                <w:szCs w:val="16"/>
              </w:rPr>
              <w:t>/%</w:t>
            </w:r>
          </w:p>
        </w:tc>
      </w:tr>
      <w:tr w:rsidR="00EA40A3">
        <w:trPr>
          <w:trHeight w:val="298"/>
        </w:trPr>
        <w:tc>
          <w:tcPr>
            <w:tcW w:w="1655" w:type="dxa"/>
            <w:tcBorders>
              <w:top w:val="single" w:sz="4" w:space="0" w:color="000000"/>
            </w:tcBorders>
          </w:tcPr>
          <w:p w:rsidR="00EA40A3" w:rsidRDefault="00E86C16">
            <w:pPr>
              <w:spacing w:before="61" w:line="221" w:lineRule="auto"/>
              <w:ind w:left="80"/>
              <w:rPr>
                <w:rFonts w:ascii="宋体" w:eastAsia="宋体" w:hAnsi="宋体" w:cs="宋体"/>
                <w:sz w:val="16"/>
                <w:szCs w:val="16"/>
              </w:rPr>
            </w:pPr>
            <w:r>
              <w:rPr>
                <w:rFonts w:ascii="宋体" w:eastAsia="宋体" w:hAnsi="宋体" w:cs="宋体"/>
                <w:spacing w:val="2"/>
                <w:sz w:val="16"/>
                <w:szCs w:val="16"/>
              </w:rPr>
              <w:t>室温气调(26～34℃)</w:t>
            </w:r>
          </w:p>
        </w:tc>
        <w:tc>
          <w:tcPr>
            <w:tcW w:w="1015" w:type="dxa"/>
            <w:tcBorders>
              <w:top w:val="single" w:sz="4" w:space="0" w:color="000000"/>
            </w:tcBorders>
          </w:tcPr>
          <w:p w:rsidR="00EA40A3" w:rsidRDefault="00E86C16">
            <w:pPr>
              <w:spacing w:before="131" w:line="183" w:lineRule="auto"/>
              <w:ind w:left="275"/>
              <w:rPr>
                <w:rFonts w:ascii="宋体" w:eastAsia="宋体" w:hAnsi="宋体" w:cs="宋体"/>
                <w:sz w:val="16"/>
                <w:szCs w:val="16"/>
              </w:rPr>
            </w:pPr>
            <w:r>
              <w:rPr>
                <w:rFonts w:ascii="宋体" w:eastAsia="宋体" w:hAnsi="宋体" w:cs="宋体"/>
                <w:spacing w:val="-2"/>
                <w:sz w:val="16"/>
                <w:szCs w:val="16"/>
              </w:rPr>
              <w:t>6～8</w:t>
            </w:r>
          </w:p>
        </w:tc>
        <w:tc>
          <w:tcPr>
            <w:tcW w:w="856" w:type="dxa"/>
            <w:tcBorders>
              <w:top w:val="single" w:sz="4" w:space="0" w:color="000000"/>
            </w:tcBorders>
          </w:tcPr>
          <w:p w:rsidR="00EA40A3" w:rsidRDefault="00E86C16">
            <w:pPr>
              <w:spacing w:before="131" w:line="183" w:lineRule="auto"/>
              <w:ind w:left="240"/>
              <w:rPr>
                <w:rFonts w:ascii="宋体" w:eastAsia="宋体" w:hAnsi="宋体" w:cs="宋体"/>
                <w:sz w:val="16"/>
                <w:szCs w:val="16"/>
              </w:rPr>
            </w:pPr>
            <w:r>
              <w:rPr>
                <w:rFonts w:ascii="宋体" w:eastAsia="宋体" w:hAnsi="宋体" w:cs="宋体"/>
                <w:spacing w:val="-2"/>
                <w:sz w:val="16"/>
                <w:szCs w:val="16"/>
              </w:rPr>
              <w:t>25.5</w:t>
            </w:r>
          </w:p>
        </w:tc>
        <w:tc>
          <w:tcPr>
            <w:tcW w:w="841" w:type="dxa"/>
            <w:tcBorders>
              <w:top w:val="single" w:sz="4" w:space="0" w:color="000000"/>
            </w:tcBorders>
          </w:tcPr>
          <w:p w:rsidR="00EA40A3" w:rsidRDefault="00E86C16">
            <w:pPr>
              <w:spacing w:before="130" w:line="184" w:lineRule="auto"/>
              <w:ind w:left="314"/>
              <w:rPr>
                <w:rFonts w:ascii="宋体" w:eastAsia="宋体" w:hAnsi="宋体" w:cs="宋体"/>
                <w:sz w:val="16"/>
                <w:szCs w:val="16"/>
              </w:rPr>
            </w:pPr>
            <w:r>
              <w:rPr>
                <w:rFonts w:ascii="宋体" w:eastAsia="宋体" w:hAnsi="宋体" w:cs="宋体"/>
                <w:spacing w:val="-2"/>
                <w:sz w:val="16"/>
                <w:szCs w:val="16"/>
              </w:rPr>
              <w:t>0.21</w:t>
            </w:r>
          </w:p>
        </w:tc>
        <w:tc>
          <w:tcPr>
            <w:tcW w:w="1078" w:type="dxa"/>
            <w:tcBorders>
              <w:top w:val="single" w:sz="4" w:space="0" w:color="000000"/>
            </w:tcBorders>
          </w:tcPr>
          <w:p w:rsidR="00EA40A3" w:rsidRDefault="00E86C16">
            <w:pPr>
              <w:spacing w:before="141" w:line="180" w:lineRule="auto"/>
              <w:ind w:left="422"/>
              <w:rPr>
                <w:rFonts w:ascii="宋体" w:eastAsia="宋体" w:hAnsi="宋体" w:cs="宋体"/>
                <w:sz w:val="16"/>
                <w:szCs w:val="16"/>
              </w:rPr>
            </w:pPr>
            <w:r>
              <w:rPr>
                <w:rFonts w:ascii="宋体" w:eastAsia="宋体" w:hAnsi="宋体" w:cs="宋体"/>
                <w:spacing w:val="-2"/>
                <w:sz w:val="16"/>
                <w:szCs w:val="16"/>
              </w:rPr>
              <w:t>9.36</w:t>
            </w:r>
          </w:p>
        </w:tc>
        <w:tc>
          <w:tcPr>
            <w:tcW w:w="901" w:type="dxa"/>
            <w:tcBorders>
              <w:top w:val="single" w:sz="4" w:space="0" w:color="000000"/>
            </w:tcBorders>
          </w:tcPr>
          <w:p w:rsidR="00EA40A3" w:rsidRDefault="00E86C16">
            <w:pPr>
              <w:spacing w:before="121" w:line="183" w:lineRule="auto"/>
              <w:ind w:left="315"/>
              <w:rPr>
                <w:rFonts w:ascii="宋体" w:eastAsia="宋体" w:hAnsi="宋体" w:cs="宋体"/>
                <w:sz w:val="16"/>
                <w:szCs w:val="16"/>
              </w:rPr>
            </w:pPr>
            <w:r>
              <w:rPr>
                <w:rFonts w:ascii="宋体" w:eastAsia="宋体" w:hAnsi="宋体" w:cs="宋体"/>
                <w:spacing w:val="-3"/>
                <w:sz w:val="16"/>
                <w:szCs w:val="16"/>
              </w:rPr>
              <w:t>7.6</w:t>
            </w:r>
          </w:p>
        </w:tc>
        <w:tc>
          <w:tcPr>
            <w:tcW w:w="974" w:type="dxa"/>
            <w:tcBorders>
              <w:top w:val="single" w:sz="4" w:space="0" w:color="000000"/>
            </w:tcBorders>
          </w:tcPr>
          <w:p w:rsidR="00EA40A3" w:rsidRDefault="00E86C16">
            <w:pPr>
              <w:spacing w:before="96" w:line="232" w:lineRule="auto"/>
              <w:ind w:left="353"/>
              <w:rPr>
                <w:rFonts w:ascii="宋体" w:eastAsia="宋体" w:hAnsi="宋体" w:cs="宋体"/>
                <w:sz w:val="16"/>
                <w:szCs w:val="16"/>
              </w:rPr>
            </w:pPr>
            <w:r>
              <w:rPr>
                <w:rFonts w:ascii="宋体" w:eastAsia="宋体" w:hAnsi="宋体" w:cs="宋体"/>
                <w:spacing w:val="-3"/>
                <w:sz w:val="16"/>
                <w:szCs w:val="16"/>
              </w:rPr>
              <w:t>&gt;95</w:t>
            </w:r>
          </w:p>
        </w:tc>
      </w:tr>
      <w:tr w:rsidR="00EA40A3">
        <w:trPr>
          <w:trHeight w:val="258"/>
        </w:trPr>
        <w:tc>
          <w:tcPr>
            <w:tcW w:w="1655" w:type="dxa"/>
          </w:tcPr>
          <w:p w:rsidR="00EA40A3" w:rsidRDefault="00E86C16">
            <w:pPr>
              <w:spacing w:before="52" w:line="219" w:lineRule="auto"/>
              <w:ind w:left="80"/>
              <w:rPr>
                <w:rFonts w:ascii="宋体" w:eastAsia="宋体" w:hAnsi="宋体" w:cs="宋体"/>
                <w:sz w:val="16"/>
                <w:szCs w:val="16"/>
              </w:rPr>
            </w:pPr>
            <w:r>
              <w:rPr>
                <w:rFonts w:ascii="宋体" w:eastAsia="宋体" w:hAnsi="宋体" w:cs="宋体"/>
                <w:spacing w:val="2"/>
                <w:sz w:val="16"/>
                <w:szCs w:val="16"/>
              </w:rPr>
              <w:t>冷藏气调(12～20℃)</w:t>
            </w:r>
          </w:p>
        </w:tc>
        <w:tc>
          <w:tcPr>
            <w:tcW w:w="1015" w:type="dxa"/>
          </w:tcPr>
          <w:p w:rsidR="00EA40A3" w:rsidRDefault="00E86C16">
            <w:pPr>
              <w:spacing w:before="93" w:line="184" w:lineRule="auto"/>
              <w:ind w:left="275"/>
              <w:rPr>
                <w:rFonts w:ascii="宋体" w:eastAsia="宋体" w:hAnsi="宋体" w:cs="宋体"/>
                <w:sz w:val="16"/>
                <w:szCs w:val="16"/>
              </w:rPr>
            </w:pPr>
            <w:r>
              <w:rPr>
                <w:rFonts w:ascii="宋体" w:eastAsia="宋体" w:hAnsi="宋体" w:cs="宋体"/>
                <w:spacing w:val="-4"/>
                <w:sz w:val="16"/>
                <w:szCs w:val="16"/>
              </w:rPr>
              <w:t>15～16</w:t>
            </w:r>
          </w:p>
        </w:tc>
        <w:tc>
          <w:tcPr>
            <w:tcW w:w="856" w:type="dxa"/>
          </w:tcPr>
          <w:p w:rsidR="00EA40A3" w:rsidRDefault="00E86C16">
            <w:pPr>
              <w:spacing w:before="93" w:line="183" w:lineRule="auto"/>
              <w:ind w:left="240"/>
              <w:rPr>
                <w:rFonts w:ascii="宋体" w:eastAsia="宋体" w:hAnsi="宋体" w:cs="宋体"/>
                <w:sz w:val="16"/>
                <w:szCs w:val="16"/>
              </w:rPr>
            </w:pPr>
            <w:r>
              <w:rPr>
                <w:rFonts w:ascii="宋体" w:eastAsia="宋体" w:hAnsi="宋体" w:cs="宋体"/>
                <w:spacing w:val="-2"/>
                <w:sz w:val="16"/>
                <w:szCs w:val="16"/>
              </w:rPr>
              <w:t>24.8</w:t>
            </w:r>
          </w:p>
        </w:tc>
        <w:tc>
          <w:tcPr>
            <w:tcW w:w="841" w:type="dxa"/>
          </w:tcPr>
          <w:p w:rsidR="00EA40A3" w:rsidRDefault="00E86C16">
            <w:pPr>
              <w:spacing w:before="103" w:line="178" w:lineRule="auto"/>
              <w:ind w:left="314"/>
              <w:rPr>
                <w:rFonts w:ascii="宋体" w:eastAsia="宋体" w:hAnsi="宋体" w:cs="宋体"/>
                <w:sz w:val="16"/>
                <w:szCs w:val="16"/>
              </w:rPr>
            </w:pPr>
            <w:r>
              <w:rPr>
                <w:rFonts w:ascii="宋体" w:eastAsia="宋体" w:hAnsi="宋体" w:cs="宋体"/>
                <w:spacing w:val="-2"/>
                <w:sz w:val="16"/>
                <w:szCs w:val="16"/>
              </w:rPr>
              <w:t>0.23</w:t>
            </w:r>
          </w:p>
        </w:tc>
        <w:tc>
          <w:tcPr>
            <w:tcW w:w="1078" w:type="dxa"/>
          </w:tcPr>
          <w:p w:rsidR="00EA40A3" w:rsidRDefault="00E86C16">
            <w:pPr>
              <w:spacing w:before="93" w:line="184" w:lineRule="auto"/>
              <w:ind w:left="383"/>
              <w:rPr>
                <w:rFonts w:ascii="宋体" w:eastAsia="宋体" w:hAnsi="宋体" w:cs="宋体"/>
                <w:sz w:val="16"/>
                <w:szCs w:val="16"/>
              </w:rPr>
            </w:pPr>
            <w:r>
              <w:rPr>
                <w:rFonts w:ascii="宋体" w:eastAsia="宋体" w:hAnsi="宋体" w:cs="宋体"/>
                <w:spacing w:val="-3"/>
                <w:sz w:val="16"/>
                <w:szCs w:val="16"/>
              </w:rPr>
              <w:t>10.34</w:t>
            </w:r>
          </w:p>
        </w:tc>
        <w:tc>
          <w:tcPr>
            <w:tcW w:w="901" w:type="dxa"/>
          </w:tcPr>
          <w:p w:rsidR="00EA40A3" w:rsidRDefault="00E86C16">
            <w:pPr>
              <w:spacing w:before="93" w:line="183" w:lineRule="auto"/>
              <w:ind w:left="315"/>
              <w:rPr>
                <w:rFonts w:ascii="宋体" w:eastAsia="宋体" w:hAnsi="宋体" w:cs="宋体"/>
                <w:sz w:val="16"/>
                <w:szCs w:val="16"/>
              </w:rPr>
            </w:pPr>
            <w:r>
              <w:rPr>
                <w:rFonts w:ascii="宋体" w:eastAsia="宋体" w:hAnsi="宋体" w:cs="宋体"/>
                <w:spacing w:val="-3"/>
                <w:sz w:val="16"/>
                <w:szCs w:val="16"/>
              </w:rPr>
              <w:t>7.3</w:t>
            </w:r>
          </w:p>
        </w:tc>
        <w:tc>
          <w:tcPr>
            <w:tcW w:w="974" w:type="dxa"/>
          </w:tcPr>
          <w:p w:rsidR="00EA40A3" w:rsidRDefault="00E86C16">
            <w:pPr>
              <w:spacing w:before="73" w:line="183" w:lineRule="auto"/>
              <w:ind w:left="234"/>
              <w:rPr>
                <w:rFonts w:ascii="宋体" w:eastAsia="宋体" w:hAnsi="宋体" w:cs="宋体"/>
                <w:sz w:val="16"/>
                <w:szCs w:val="16"/>
              </w:rPr>
            </w:pPr>
            <w:r>
              <w:rPr>
                <w:rFonts w:ascii="宋体" w:eastAsia="宋体" w:hAnsi="宋体" w:cs="宋体"/>
                <w:spacing w:val="-2"/>
                <w:sz w:val="16"/>
                <w:szCs w:val="16"/>
              </w:rPr>
              <w:t>85～90</w:t>
            </w:r>
          </w:p>
        </w:tc>
      </w:tr>
      <w:tr w:rsidR="00EA40A3">
        <w:trPr>
          <w:trHeight w:val="253"/>
        </w:trPr>
        <w:tc>
          <w:tcPr>
            <w:tcW w:w="1655" w:type="dxa"/>
            <w:tcBorders>
              <w:bottom w:val="single" w:sz="4" w:space="0" w:color="000000"/>
            </w:tcBorders>
          </w:tcPr>
          <w:p w:rsidR="00EA40A3" w:rsidRDefault="00E86C16">
            <w:pPr>
              <w:spacing w:before="54" w:line="219" w:lineRule="auto"/>
              <w:ind w:left="80"/>
              <w:rPr>
                <w:rFonts w:ascii="宋体" w:eastAsia="宋体" w:hAnsi="宋体" w:cs="宋体"/>
                <w:sz w:val="16"/>
                <w:szCs w:val="16"/>
              </w:rPr>
            </w:pPr>
            <w:r>
              <w:rPr>
                <w:rFonts w:ascii="宋体" w:eastAsia="宋体" w:hAnsi="宋体" w:cs="宋体"/>
                <w:spacing w:val="2"/>
                <w:sz w:val="16"/>
                <w:szCs w:val="16"/>
              </w:rPr>
              <w:t>室温储藏(26～34℃)</w:t>
            </w:r>
          </w:p>
        </w:tc>
        <w:tc>
          <w:tcPr>
            <w:tcW w:w="1015" w:type="dxa"/>
            <w:tcBorders>
              <w:bottom w:val="single" w:sz="4" w:space="0" w:color="000000"/>
            </w:tcBorders>
          </w:tcPr>
          <w:p w:rsidR="00EA40A3" w:rsidRDefault="00E86C16">
            <w:pPr>
              <w:spacing w:before="95" w:line="182" w:lineRule="auto"/>
              <w:ind w:left="275"/>
              <w:rPr>
                <w:rFonts w:ascii="宋体" w:eastAsia="宋体" w:hAnsi="宋体" w:cs="宋体"/>
                <w:sz w:val="16"/>
                <w:szCs w:val="16"/>
              </w:rPr>
            </w:pPr>
            <w:r>
              <w:rPr>
                <w:rFonts w:ascii="宋体" w:eastAsia="宋体" w:hAnsi="宋体" w:cs="宋体"/>
                <w:spacing w:val="-5"/>
                <w:sz w:val="16"/>
                <w:szCs w:val="16"/>
              </w:rPr>
              <w:t>1～2</w:t>
            </w:r>
          </w:p>
        </w:tc>
        <w:tc>
          <w:tcPr>
            <w:tcW w:w="856" w:type="dxa"/>
            <w:tcBorders>
              <w:bottom w:val="single" w:sz="4" w:space="0" w:color="000000"/>
            </w:tcBorders>
          </w:tcPr>
          <w:p w:rsidR="00EA40A3" w:rsidRDefault="00E86C16">
            <w:pPr>
              <w:spacing w:before="95" w:line="182" w:lineRule="auto"/>
              <w:ind w:left="240"/>
              <w:rPr>
                <w:rFonts w:ascii="宋体" w:eastAsia="宋体" w:hAnsi="宋体" w:cs="宋体"/>
                <w:sz w:val="16"/>
                <w:szCs w:val="16"/>
              </w:rPr>
            </w:pPr>
            <w:r>
              <w:rPr>
                <w:rFonts w:ascii="宋体" w:eastAsia="宋体" w:hAnsi="宋体" w:cs="宋体"/>
                <w:spacing w:val="-2"/>
                <w:sz w:val="16"/>
                <w:szCs w:val="16"/>
              </w:rPr>
              <w:t>28.1</w:t>
            </w:r>
          </w:p>
        </w:tc>
        <w:tc>
          <w:tcPr>
            <w:tcW w:w="841" w:type="dxa"/>
            <w:tcBorders>
              <w:bottom w:val="single" w:sz="4" w:space="0" w:color="000000"/>
            </w:tcBorders>
          </w:tcPr>
          <w:p w:rsidR="00EA40A3" w:rsidRDefault="00E86C16">
            <w:pPr>
              <w:spacing w:before="96" w:line="181" w:lineRule="auto"/>
              <w:ind w:left="314"/>
              <w:rPr>
                <w:rFonts w:ascii="宋体" w:eastAsia="宋体" w:hAnsi="宋体" w:cs="宋体"/>
                <w:sz w:val="16"/>
                <w:szCs w:val="16"/>
              </w:rPr>
            </w:pPr>
            <w:r>
              <w:rPr>
                <w:rFonts w:ascii="宋体" w:eastAsia="宋体" w:hAnsi="宋体" w:cs="宋体"/>
                <w:spacing w:val="-2"/>
                <w:sz w:val="16"/>
                <w:szCs w:val="16"/>
              </w:rPr>
              <w:t>0.29</w:t>
            </w:r>
          </w:p>
        </w:tc>
        <w:tc>
          <w:tcPr>
            <w:tcW w:w="1078" w:type="dxa"/>
            <w:tcBorders>
              <w:bottom w:val="single" w:sz="4" w:space="0" w:color="000000"/>
            </w:tcBorders>
          </w:tcPr>
          <w:p w:rsidR="00EA40A3" w:rsidRDefault="00E86C16">
            <w:pPr>
              <w:spacing w:before="95" w:line="182" w:lineRule="auto"/>
              <w:ind w:left="383"/>
              <w:rPr>
                <w:rFonts w:ascii="宋体" w:eastAsia="宋体" w:hAnsi="宋体" w:cs="宋体"/>
                <w:sz w:val="16"/>
                <w:szCs w:val="16"/>
              </w:rPr>
            </w:pPr>
            <w:r>
              <w:rPr>
                <w:rFonts w:ascii="宋体" w:eastAsia="宋体" w:hAnsi="宋体" w:cs="宋体"/>
                <w:spacing w:val="-3"/>
                <w:sz w:val="16"/>
                <w:szCs w:val="16"/>
              </w:rPr>
              <w:t>12.60</w:t>
            </w:r>
          </w:p>
        </w:tc>
        <w:tc>
          <w:tcPr>
            <w:tcW w:w="901" w:type="dxa"/>
            <w:tcBorders>
              <w:bottom w:val="single" w:sz="4" w:space="0" w:color="000000"/>
            </w:tcBorders>
          </w:tcPr>
          <w:p w:rsidR="00EA40A3" w:rsidRDefault="00E86C16">
            <w:pPr>
              <w:spacing w:before="95" w:line="182" w:lineRule="auto"/>
              <w:ind w:left="315"/>
              <w:rPr>
                <w:rFonts w:ascii="宋体" w:eastAsia="宋体" w:hAnsi="宋体" w:cs="宋体"/>
                <w:sz w:val="16"/>
                <w:szCs w:val="16"/>
              </w:rPr>
            </w:pPr>
            <w:r>
              <w:rPr>
                <w:rFonts w:ascii="宋体" w:eastAsia="宋体" w:hAnsi="宋体" w:cs="宋体"/>
                <w:spacing w:val="-4"/>
                <w:sz w:val="16"/>
                <w:szCs w:val="16"/>
              </w:rPr>
              <w:t>12.8</w:t>
            </w:r>
          </w:p>
        </w:tc>
        <w:tc>
          <w:tcPr>
            <w:tcW w:w="974" w:type="dxa"/>
            <w:tcBorders>
              <w:bottom w:val="single" w:sz="4" w:space="0" w:color="000000"/>
            </w:tcBorders>
          </w:tcPr>
          <w:p w:rsidR="00EA40A3" w:rsidRDefault="00E86C16">
            <w:pPr>
              <w:spacing w:before="95" w:line="182" w:lineRule="auto"/>
              <w:ind w:left="353"/>
              <w:rPr>
                <w:rFonts w:ascii="宋体" w:eastAsia="宋体" w:hAnsi="宋体" w:cs="宋体"/>
                <w:sz w:val="16"/>
                <w:szCs w:val="16"/>
              </w:rPr>
            </w:pPr>
            <w:r>
              <w:rPr>
                <w:rFonts w:ascii="宋体" w:eastAsia="宋体" w:hAnsi="宋体" w:cs="宋体"/>
                <w:spacing w:val="-5"/>
                <w:sz w:val="16"/>
                <w:szCs w:val="16"/>
              </w:rPr>
              <w:t>100</w:t>
            </w:r>
          </w:p>
        </w:tc>
      </w:tr>
    </w:tbl>
    <w:p w:rsidR="00EA40A3" w:rsidRDefault="00E86C16">
      <w:pPr>
        <w:spacing w:before="111" w:line="219" w:lineRule="auto"/>
        <w:ind w:left="349"/>
        <w:rPr>
          <w:rFonts w:ascii="宋体" w:eastAsia="宋体" w:hAnsi="宋体" w:cs="宋体"/>
          <w:sz w:val="16"/>
          <w:szCs w:val="16"/>
        </w:rPr>
      </w:pPr>
      <w:r>
        <w:rPr>
          <w:rFonts w:ascii="宋体" w:eastAsia="宋体" w:hAnsi="宋体" w:cs="宋体"/>
          <w:spacing w:val="2"/>
          <w:sz w:val="16"/>
          <w:szCs w:val="16"/>
        </w:rPr>
        <w:t>数据来源：张福平，陈蔚辉，林定雄.2003.气调储藏对番荔枝果实</w:t>
      </w:r>
      <w:r>
        <w:rPr>
          <w:rFonts w:ascii="宋体" w:eastAsia="宋体" w:hAnsi="宋体" w:cs="宋体"/>
          <w:spacing w:val="1"/>
          <w:sz w:val="16"/>
          <w:szCs w:val="16"/>
        </w:rPr>
        <w:t>耐藏性及品质的影响.特产研究。</w:t>
      </w:r>
    </w:p>
    <w:p w:rsidR="00EA40A3" w:rsidRDefault="00E86C16">
      <w:pPr>
        <w:spacing w:before="64" w:line="222" w:lineRule="auto"/>
        <w:ind w:left="359"/>
        <w:rPr>
          <w:rFonts w:ascii="宋体" w:eastAsia="宋体" w:hAnsi="宋体" w:cs="宋体"/>
          <w:sz w:val="17"/>
          <w:szCs w:val="17"/>
        </w:rPr>
      </w:pPr>
      <w:r>
        <w:rPr>
          <w:rFonts w:ascii="宋体" w:eastAsia="宋体" w:hAnsi="宋体" w:cs="宋体"/>
          <w:spacing w:val="-6"/>
          <w:sz w:val="17"/>
          <w:szCs w:val="17"/>
        </w:rPr>
        <w:t>(2):12</w:t>
      </w:r>
    </w:p>
    <w:p w:rsidR="00EA40A3" w:rsidRDefault="00E86C16">
      <w:pPr>
        <w:spacing w:before="270" w:line="221" w:lineRule="auto"/>
        <w:ind w:left="3"/>
        <w:outlineLvl w:val="6"/>
        <w:rPr>
          <w:rFonts w:ascii="黑体" w:eastAsia="黑体" w:hAnsi="黑体" w:cs="黑体"/>
          <w:sz w:val="22"/>
          <w:szCs w:val="22"/>
        </w:rPr>
      </w:pPr>
      <w:r>
        <w:rPr>
          <w:rFonts w:ascii="黑体" w:eastAsia="黑体" w:hAnsi="黑体" w:cs="黑体"/>
          <w:b/>
          <w:bCs/>
          <w:spacing w:val="10"/>
          <w:sz w:val="22"/>
          <w:szCs w:val="22"/>
        </w:rPr>
        <w:t>7.1.4</w:t>
      </w:r>
      <w:r>
        <w:rPr>
          <w:rFonts w:ascii="黑体" w:eastAsia="黑体" w:hAnsi="黑体" w:cs="黑体"/>
          <w:spacing w:val="48"/>
          <w:sz w:val="22"/>
          <w:szCs w:val="22"/>
        </w:rPr>
        <w:t xml:space="preserve">  </w:t>
      </w:r>
      <w:r>
        <w:rPr>
          <w:rFonts w:ascii="黑体" w:eastAsia="黑体" w:hAnsi="黑体" w:cs="黑体"/>
          <w:b/>
          <w:bCs/>
          <w:spacing w:val="10"/>
          <w:sz w:val="22"/>
          <w:szCs w:val="22"/>
        </w:rPr>
        <w:t>辐照处理对食品营养价值的影响</w:t>
      </w:r>
    </w:p>
    <w:p w:rsidR="00EA40A3" w:rsidRDefault="00E86C16">
      <w:pPr>
        <w:spacing w:before="169" w:line="248" w:lineRule="auto"/>
        <w:ind w:right="49" w:firstLine="359"/>
        <w:jc w:val="both"/>
        <w:rPr>
          <w:rFonts w:ascii="宋体" w:eastAsia="宋体" w:hAnsi="宋体" w:cs="宋体"/>
          <w:sz w:val="22"/>
          <w:szCs w:val="22"/>
        </w:rPr>
      </w:pPr>
      <w:r>
        <w:rPr>
          <w:rFonts w:ascii="宋体" w:eastAsia="宋体" w:hAnsi="宋体" w:cs="宋体"/>
          <w:spacing w:val="-18"/>
          <w:sz w:val="22"/>
          <w:szCs w:val="22"/>
        </w:rPr>
        <w:t>为了延长保藏时间，</w:t>
      </w:r>
      <w:r>
        <w:rPr>
          <w:rFonts w:ascii="宋体" w:eastAsia="宋体" w:hAnsi="宋体" w:cs="宋体"/>
          <w:spacing w:val="67"/>
          <w:sz w:val="22"/>
          <w:szCs w:val="22"/>
        </w:rPr>
        <w:t xml:space="preserve"> </w:t>
      </w:r>
      <w:r>
        <w:rPr>
          <w:rFonts w:ascii="宋体" w:eastAsia="宋体" w:hAnsi="宋体" w:cs="宋体"/>
          <w:spacing w:val="-18"/>
          <w:sz w:val="22"/>
          <w:szCs w:val="22"/>
        </w:rPr>
        <w:t>一些食品在储藏前可先采用原子级射线如γ射线进行辐</w:t>
      </w:r>
      <w:r>
        <w:rPr>
          <w:rFonts w:ascii="宋体" w:eastAsia="宋体" w:hAnsi="宋体" w:cs="宋体"/>
          <w:sz w:val="22"/>
          <w:szCs w:val="22"/>
        </w:rPr>
        <w:t xml:space="preserve">  </w:t>
      </w:r>
      <w:r>
        <w:rPr>
          <w:rFonts w:ascii="宋体" w:eastAsia="宋体" w:hAnsi="宋体" w:cs="宋体"/>
          <w:spacing w:val="-9"/>
          <w:sz w:val="22"/>
          <w:szCs w:val="22"/>
        </w:rPr>
        <w:t>照处理。</w:t>
      </w:r>
      <w:r>
        <w:rPr>
          <w:rFonts w:ascii="宋体" w:eastAsia="宋体" w:hAnsi="宋体" w:cs="宋体"/>
          <w:spacing w:val="-3"/>
          <w:sz w:val="22"/>
          <w:szCs w:val="22"/>
        </w:rPr>
        <w:t xml:space="preserve"> </w:t>
      </w:r>
      <w:r>
        <w:rPr>
          <w:rFonts w:ascii="宋体" w:eastAsia="宋体" w:hAnsi="宋体" w:cs="宋体"/>
          <w:spacing w:val="-9"/>
          <w:sz w:val="22"/>
          <w:szCs w:val="22"/>
        </w:rPr>
        <w:t>一般来说，剂量为10kGy</w:t>
      </w:r>
      <w:r>
        <w:rPr>
          <w:rFonts w:ascii="宋体" w:eastAsia="宋体" w:hAnsi="宋体" w:cs="宋体"/>
          <w:spacing w:val="-4"/>
          <w:sz w:val="22"/>
          <w:szCs w:val="22"/>
        </w:rPr>
        <w:t xml:space="preserve"> </w:t>
      </w:r>
      <w:r>
        <w:rPr>
          <w:rFonts w:ascii="宋体" w:eastAsia="宋体" w:hAnsi="宋体" w:cs="宋体"/>
          <w:spacing w:val="-9"/>
          <w:sz w:val="22"/>
          <w:szCs w:val="22"/>
        </w:rPr>
        <w:t>以上的辐照为高剂量辐照，处理后的食品</w:t>
      </w:r>
      <w:r>
        <w:rPr>
          <w:rFonts w:ascii="宋体" w:eastAsia="宋体" w:hAnsi="宋体" w:cs="宋体"/>
          <w:spacing w:val="-10"/>
          <w:sz w:val="22"/>
          <w:szCs w:val="22"/>
        </w:rPr>
        <w:t>可</w:t>
      </w:r>
      <w:r>
        <w:rPr>
          <w:rFonts w:ascii="宋体" w:eastAsia="宋体" w:hAnsi="宋体" w:cs="宋体"/>
          <w:sz w:val="22"/>
          <w:szCs w:val="22"/>
        </w:rPr>
        <w:t xml:space="preserve"> </w:t>
      </w:r>
      <w:r>
        <w:rPr>
          <w:rFonts w:ascii="宋体" w:eastAsia="宋体" w:hAnsi="宋体" w:cs="宋体"/>
          <w:spacing w:val="-9"/>
          <w:sz w:val="22"/>
          <w:szCs w:val="22"/>
        </w:rPr>
        <w:t>达到接近无菌，但一般应配合低温储藏来保藏食品；剂量为1～10kGy</w:t>
      </w:r>
      <w:r>
        <w:rPr>
          <w:rFonts w:ascii="宋体" w:eastAsia="宋体" w:hAnsi="宋体" w:cs="宋体"/>
          <w:spacing w:val="2"/>
          <w:sz w:val="22"/>
          <w:szCs w:val="22"/>
        </w:rPr>
        <w:t xml:space="preserve"> </w:t>
      </w:r>
      <w:r>
        <w:rPr>
          <w:rFonts w:ascii="宋体" w:eastAsia="宋体" w:hAnsi="宋体" w:cs="宋体"/>
          <w:spacing w:val="-9"/>
          <w:sz w:val="22"/>
          <w:szCs w:val="22"/>
        </w:rPr>
        <w:t>的辐照为</w:t>
      </w:r>
      <w:r>
        <w:rPr>
          <w:rFonts w:ascii="宋体" w:eastAsia="宋体" w:hAnsi="宋体" w:cs="宋体"/>
          <w:sz w:val="22"/>
          <w:szCs w:val="22"/>
        </w:rPr>
        <w:t xml:space="preserve"> </w:t>
      </w:r>
      <w:r>
        <w:rPr>
          <w:rFonts w:ascii="宋体" w:eastAsia="宋体" w:hAnsi="宋体" w:cs="宋体"/>
          <w:spacing w:val="-12"/>
          <w:sz w:val="22"/>
          <w:szCs w:val="22"/>
        </w:rPr>
        <w:t>中剂量辐照，可抑制代谢、降低食品中所含微生</w:t>
      </w:r>
      <w:r>
        <w:rPr>
          <w:rFonts w:ascii="宋体" w:eastAsia="宋体" w:hAnsi="宋体" w:cs="宋体"/>
          <w:spacing w:val="-13"/>
          <w:sz w:val="22"/>
          <w:szCs w:val="22"/>
        </w:rPr>
        <w:t>物菌数，达到延长食品储藏期的</w:t>
      </w:r>
      <w:r>
        <w:rPr>
          <w:rFonts w:ascii="宋体" w:eastAsia="宋体" w:hAnsi="宋体" w:cs="宋体"/>
          <w:sz w:val="22"/>
          <w:szCs w:val="22"/>
        </w:rPr>
        <w:t xml:space="preserve"> </w:t>
      </w:r>
      <w:r>
        <w:rPr>
          <w:rFonts w:ascii="宋体" w:eastAsia="宋体" w:hAnsi="宋体" w:cs="宋体"/>
          <w:spacing w:val="-7"/>
          <w:sz w:val="22"/>
          <w:szCs w:val="22"/>
        </w:rPr>
        <w:t>目的；剂量为1kGy</w:t>
      </w:r>
      <w:r>
        <w:rPr>
          <w:rFonts w:ascii="宋体" w:eastAsia="宋体" w:hAnsi="宋体" w:cs="宋体"/>
          <w:sz w:val="22"/>
          <w:szCs w:val="22"/>
        </w:rPr>
        <w:t xml:space="preserve"> </w:t>
      </w:r>
      <w:r>
        <w:rPr>
          <w:rFonts w:ascii="宋体" w:eastAsia="宋体" w:hAnsi="宋体" w:cs="宋体"/>
          <w:spacing w:val="-7"/>
          <w:sz w:val="22"/>
          <w:szCs w:val="22"/>
        </w:rPr>
        <w:t>以下的辐照为低剂量辐照，主要用于抑制果蔬发芽、杀虫、</w:t>
      </w:r>
      <w:r>
        <w:rPr>
          <w:rFonts w:ascii="宋体" w:eastAsia="宋体" w:hAnsi="宋体" w:cs="宋体"/>
          <w:sz w:val="22"/>
          <w:szCs w:val="22"/>
        </w:rPr>
        <w:t xml:space="preserve"> </w:t>
      </w:r>
      <w:r>
        <w:rPr>
          <w:rFonts w:ascii="宋体" w:eastAsia="宋体" w:hAnsi="宋体" w:cs="宋体"/>
          <w:spacing w:val="-15"/>
          <w:sz w:val="22"/>
          <w:szCs w:val="22"/>
        </w:rPr>
        <w:t>和杀灭寄生虫、延迟生理衰老等方面。</w:t>
      </w:r>
    </w:p>
    <w:p w:rsidR="00EA40A3" w:rsidRDefault="00E86C16">
      <w:pPr>
        <w:spacing w:before="104"/>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230</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1010" w:bottom="400" w:left="820" w:header="0" w:footer="0" w:gutter="0"/>
          <w:cols w:space="720"/>
        </w:sectPr>
      </w:pPr>
    </w:p>
    <w:p w:rsidR="00EA40A3" w:rsidRDefault="00EA40A3">
      <w:pPr>
        <w:spacing w:line="354" w:lineRule="auto"/>
      </w:pPr>
    </w:p>
    <w:p w:rsidR="00EA40A3" w:rsidRDefault="00EA40A3">
      <w:pPr>
        <w:spacing w:line="355" w:lineRule="auto"/>
      </w:pPr>
    </w:p>
    <w:p w:rsidR="00EA40A3" w:rsidRDefault="00E86C16">
      <w:pPr>
        <w:spacing w:before="72" w:line="338" w:lineRule="exact"/>
        <w:rPr>
          <w:rFonts w:ascii="仿宋" w:eastAsia="仿宋" w:hAnsi="仿宋" w:cs="仿宋"/>
          <w:sz w:val="22"/>
          <w:szCs w:val="22"/>
        </w:rPr>
      </w:pPr>
      <w:r>
        <w:rPr>
          <w:rFonts w:ascii="仿宋" w:eastAsia="仿宋" w:hAnsi="仿宋" w:cs="仿宋"/>
          <w:spacing w:val="13"/>
          <w:position w:val="8"/>
          <w:sz w:val="22"/>
          <w:szCs w:val="22"/>
        </w:rPr>
        <w:t>1.</w:t>
      </w:r>
      <w:r>
        <w:rPr>
          <w:rFonts w:ascii="仿宋" w:eastAsia="仿宋" w:hAnsi="仿宋" w:cs="仿宋"/>
          <w:spacing w:val="-46"/>
          <w:position w:val="8"/>
          <w:sz w:val="22"/>
          <w:szCs w:val="22"/>
        </w:rPr>
        <w:t xml:space="preserve"> </w:t>
      </w:r>
      <w:r>
        <w:rPr>
          <w:rFonts w:ascii="仿宋" w:eastAsia="仿宋" w:hAnsi="仿宋" w:cs="仿宋"/>
          <w:spacing w:val="13"/>
          <w:position w:val="8"/>
          <w:sz w:val="22"/>
          <w:szCs w:val="22"/>
        </w:rPr>
        <w:t>辐照处理对食品中营养素的影响</w:t>
      </w:r>
    </w:p>
    <w:p w:rsidR="00EA40A3" w:rsidRDefault="00E86C16">
      <w:pPr>
        <w:spacing w:before="1" w:line="222" w:lineRule="auto"/>
        <w:rPr>
          <w:rFonts w:ascii="楷体" w:eastAsia="楷体" w:hAnsi="楷体" w:cs="楷体"/>
          <w:sz w:val="22"/>
          <w:szCs w:val="22"/>
        </w:rPr>
      </w:pPr>
      <w:r>
        <w:rPr>
          <w:rFonts w:ascii="楷体" w:eastAsia="楷体" w:hAnsi="楷体" w:cs="楷体"/>
          <w:spacing w:val="-7"/>
          <w:sz w:val="22"/>
          <w:szCs w:val="22"/>
        </w:rPr>
        <w:t>1)辐照对食品中蛋白质的影响</w:t>
      </w:r>
    </w:p>
    <w:p w:rsidR="00EA40A3" w:rsidRDefault="00E86C16">
      <w:pPr>
        <w:spacing w:before="50" w:line="247" w:lineRule="auto"/>
        <w:ind w:right="93" w:firstLine="439"/>
        <w:jc w:val="both"/>
        <w:rPr>
          <w:rFonts w:ascii="宋体" w:eastAsia="宋体" w:hAnsi="宋体" w:cs="宋体"/>
          <w:sz w:val="22"/>
          <w:szCs w:val="22"/>
        </w:rPr>
      </w:pPr>
      <w:r>
        <w:rPr>
          <w:rFonts w:ascii="宋体" w:eastAsia="宋体" w:hAnsi="宋体" w:cs="宋体"/>
          <w:spacing w:val="-14"/>
          <w:sz w:val="22"/>
          <w:szCs w:val="22"/>
        </w:rPr>
        <w:t>食品中的蛋白质经辐照后能发生变性现象，主要变化有：脱氨作用、脱羧反</w:t>
      </w:r>
      <w:r>
        <w:rPr>
          <w:rFonts w:ascii="宋体" w:eastAsia="宋体" w:hAnsi="宋体" w:cs="宋体"/>
          <w:spacing w:val="18"/>
          <w:sz w:val="22"/>
          <w:szCs w:val="22"/>
        </w:rPr>
        <w:t xml:space="preserve"> </w:t>
      </w:r>
      <w:r>
        <w:rPr>
          <w:rFonts w:ascii="宋体" w:eastAsia="宋体" w:hAnsi="宋体" w:cs="宋体"/>
          <w:spacing w:val="-13"/>
          <w:sz w:val="22"/>
          <w:szCs w:val="22"/>
        </w:rPr>
        <w:t>应、巯基被氧化、交联作用、降解等。这些变化大多与蛋白质大分子裂解及裂解</w:t>
      </w:r>
      <w:r>
        <w:rPr>
          <w:rFonts w:ascii="宋体" w:eastAsia="宋体" w:hAnsi="宋体" w:cs="宋体"/>
          <w:spacing w:val="11"/>
          <w:sz w:val="22"/>
          <w:szCs w:val="22"/>
        </w:rPr>
        <w:t xml:space="preserve"> </w:t>
      </w:r>
      <w:r>
        <w:rPr>
          <w:rFonts w:ascii="宋体" w:eastAsia="宋体" w:hAnsi="宋体" w:cs="宋体"/>
          <w:spacing w:val="-13"/>
          <w:sz w:val="22"/>
          <w:szCs w:val="22"/>
        </w:rPr>
        <w:t>后的小分子聚结有关。如：蛋白质分子间通过巯基的氧化生成分子内或分子间二</w:t>
      </w:r>
      <w:r>
        <w:rPr>
          <w:rFonts w:ascii="宋体" w:eastAsia="宋体" w:hAnsi="宋体" w:cs="宋体"/>
          <w:spacing w:val="15"/>
          <w:sz w:val="22"/>
          <w:szCs w:val="22"/>
        </w:rPr>
        <w:t xml:space="preserve"> </w:t>
      </w:r>
      <w:r>
        <w:rPr>
          <w:rFonts w:ascii="宋体" w:eastAsia="宋体" w:hAnsi="宋体" w:cs="宋体"/>
          <w:spacing w:val="-18"/>
          <w:sz w:val="22"/>
          <w:szCs w:val="22"/>
        </w:rPr>
        <w:t>硫键的辐射交联，</w:t>
      </w:r>
      <w:r>
        <w:rPr>
          <w:rFonts w:ascii="宋体" w:eastAsia="宋体" w:hAnsi="宋体" w:cs="宋体"/>
          <w:spacing w:val="30"/>
          <w:sz w:val="22"/>
          <w:szCs w:val="22"/>
        </w:rPr>
        <w:t xml:space="preserve"> </w:t>
      </w:r>
      <w:r>
        <w:rPr>
          <w:rFonts w:ascii="宋体" w:eastAsia="宋体" w:hAnsi="宋体" w:cs="宋体"/>
          <w:spacing w:val="-18"/>
          <w:sz w:val="22"/>
          <w:szCs w:val="22"/>
        </w:rPr>
        <w:t>一方面导致了蛋白质凝聚的发生，出现不溶解的聚集体；另一</w:t>
      </w:r>
      <w:r>
        <w:rPr>
          <w:rFonts w:ascii="宋体" w:eastAsia="宋体" w:hAnsi="宋体" w:cs="宋体"/>
          <w:sz w:val="22"/>
          <w:szCs w:val="22"/>
        </w:rPr>
        <w:t xml:space="preserve"> </w:t>
      </w:r>
      <w:r>
        <w:rPr>
          <w:rFonts w:ascii="宋体" w:eastAsia="宋体" w:hAnsi="宋体" w:cs="宋体"/>
          <w:spacing w:val="-12"/>
          <w:sz w:val="22"/>
          <w:szCs w:val="22"/>
        </w:rPr>
        <w:t>方面，蛋白质发生部分降解，会产生较小的碎片</w:t>
      </w:r>
      <w:r>
        <w:rPr>
          <w:rFonts w:ascii="宋体" w:eastAsia="宋体" w:hAnsi="宋体" w:cs="宋体"/>
          <w:spacing w:val="-13"/>
          <w:sz w:val="22"/>
          <w:szCs w:val="22"/>
        </w:rPr>
        <w:t>。这些反应的发生，使蛋白质的</w:t>
      </w:r>
      <w:r>
        <w:rPr>
          <w:rFonts w:ascii="宋体" w:eastAsia="宋体" w:hAnsi="宋体" w:cs="宋体"/>
          <w:sz w:val="22"/>
          <w:szCs w:val="22"/>
        </w:rPr>
        <w:t xml:space="preserve"> </w:t>
      </w:r>
      <w:r>
        <w:rPr>
          <w:rFonts w:ascii="宋体" w:eastAsia="宋体" w:hAnsi="宋体" w:cs="宋体"/>
          <w:spacing w:val="-13"/>
          <w:sz w:val="22"/>
          <w:szCs w:val="22"/>
        </w:rPr>
        <w:t>损失增加；同时，辐照后蛋白质降解生成了氨基酸，相当于进行了预消化，使蛋</w:t>
      </w:r>
      <w:r>
        <w:rPr>
          <w:rFonts w:ascii="宋体" w:eastAsia="宋体" w:hAnsi="宋体" w:cs="宋体"/>
          <w:spacing w:val="13"/>
          <w:sz w:val="22"/>
          <w:szCs w:val="22"/>
        </w:rPr>
        <w:t xml:space="preserve"> </w:t>
      </w:r>
      <w:r>
        <w:rPr>
          <w:rFonts w:ascii="宋体" w:eastAsia="宋体" w:hAnsi="宋体" w:cs="宋体"/>
          <w:spacing w:val="-16"/>
          <w:sz w:val="22"/>
          <w:szCs w:val="22"/>
        </w:rPr>
        <w:t>白质的吸收利用率比未辐照的有所增加。</w:t>
      </w:r>
    </w:p>
    <w:p w:rsidR="00EA40A3" w:rsidRDefault="00E86C16">
      <w:pPr>
        <w:spacing w:before="83" w:line="223" w:lineRule="auto"/>
        <w:rPr>
          <w:rFonts w:ascii="楷体" w:eastAsia="楷体" w:hAnsi="楷体" w:cs="楷体"/>
          <w:sz w:val="22"/>
          <w:szCs w:val="22"/>
        </w:rPr>
      </w:pPr>
      <w:r>
        <w:rPr>
          <w:rFonts w:ascii="楷体" w:eastAsia="楷体" w:hAnsi="楷体" w:cs="楷体"/>
          <w:spacing w:val="-6"/>
          <w:sz w:val="22"/>
          <w:szCs w:val="22"/>
        </w:rPr>
        <w:t>2)辐照对食物中脂肪的影响</w:t>
      </w:r>
    </w:p>
    <w:p w:rsidR="00EA40A3" w:rsidRDefault="00E86C16">
      <w:pPr>
        <w:spacing w:before="49" w:line="245" w:lineRule="auto"/>
        <w:ind w:right="98" w:firstLine="439"/>
        <w:jc w:val="both"/>
        <w:rPr>
          <w:rFonts w:ascii="宋体" w:eastAsia="宋体" w:hAnsi="宋体" w:cs="宋体"/>
          <w:sz w:val="22"/>
          <w:szCs w:val="22"/>
        </w:rPr>
      </w:pPr>
      <w:r>
        <w:rPr>
          <w:rFonts w:ascii="宋体" w:eastAsia="宋体" w:hAnsi="宋体" w:cs="宋体"/>
          <w:spacing w:val="-13"/>
          <w:sz w:val="22"/>
          <w:szCs w:val="22"/>
        </w:rPr>
        <w:t>食物中的脂肪经照射后会发生氧化、脱羧、氢化、脱</w:t>
      </w:r>
      <w:r>
        <w:rPr>
          <w:rFonts w:ascii="宋体" w:eastAsia="宋体" w:hAnsi="宋体" w:cs="宋体"/>
          <w:spacing w:val="-14"/>
          <w:sz w:val="22"/>
          <w:szCs w:val="22"/>
        </w:rPr>
        <w:t>氢等作用，这些作用主</w:t>
      </w:r>
      <w:r>
        <w:rPr>
          <w:rFonts w:ascii="宋体" w:eastAsia="宋体" w:hAnsi="宋体" w:cs="宋体"/>
          <w:sz w:val="22"/>
          <w:szCs w:val="22"/>
        </w:rPr>
        <w:t xml:space="preserve"> </w:t>
      </w:r>
      <w:r>
        <w:rPr>
          <w:rFonts w:ascii="宋体" w:eastAsia="宋体" w:hAnsi="宋体" w:cs="宋体"/>
          <w:spacing w:val="-13"/>
          <w:sz w:val="22"/>
          <w:szCs w:val="22"/>
        </w:rPr>
        <w:t>要由于辐射使食物中的水分在电离辐射作用下产生游离的自由基，这些自由基直</w:t>
      </w:r>
      <w:r>
        <w:rPr>
          <w:rFonts w:ascii="宋体" w:eastAsia="宋体" w:hAnsi="宋体" w:cs="宋体"/>
          <w:spacing w:val="13"/>
          <w:sz w:val="22"/>
          <w:szCs w:val="22"/>
        </w:rPr>
        <w:t xml:space="preserve"> </w:t>
      </w:r>
      <w:r>
        <w:rPr>
          <w:rFonts w:ascii="宋体" w:eastAsia="宋体" w:hAnsi="宋体" w:cs="宋体"/>
          <w:spacing w:val="-13"/>
          <w:sz w:val="22"/>
          <w:szCs w:val="22"/>
        </w:rPr>
        <w:t>接参与氧化还原反应，从而产生典型的氧化物、过氧化物等。它取决于脂肪的类</w:t>
      </w:r>
      <w:r>
        <w:rPr>
          <w:rFonts w:ascii="宋体" w:eastAsia="宋体" w:hAnsi="宋体" w:cs="宋体"/>
          <w:spacing w:val="12"/>
          <w:sz w:val="22"/>
          <w:szCs w:val="22"/>
        </w:rPr>
        <w:t xml:space="preserve"> </w:t>
      </w:r>
      <w:r>
        <w:rPr>
          <w:rFonts w:ascii="宋体" w:eastAsia="宋体" w:hAnsi="宋体" w:cs="宋体"/>
          <w:spacing w:val="-17"/>
          <w:sz w:val="22"/>
          <w:szCs w:val="22"/>
        </w:rPr>
        <w:t>型、不饱和程度、照射剂量、氧的存在与否。</w:t>
      </w:r>
      <w:r>
        <w:rPr>
          <w:rFonts w:ascii="宋体" w:eastAsia="宋体" w:hAnsi="宋体" w:cs="宋体"/>
          <w:spacing w:val="44"/>
          <w:sz w:val="22"/>
          <w:szCs w:val="22"/>
        </w:rPr>
        <w:t xml:space="preserve"> </w:t>
      </w:r>
      <w:r>
        <w:rPr>
          <w:rFonts w:ascii="宋体" w:eastAsia="宋体" w:hAnsi="宋体" w:cs="宋体"/>
          <w:spacing w:val="-17"/>
          <w:sz w:val="22"/>
          <w:szCs w:val="22"/>
        </w:rPr>
        <w:t>一般说来，不饱和脂肪比饱和脂肪</w:t>
      </w:r>
      <w:r>
        <w:rPr>
          <w:rFonts w:ascii="宋体" w:eastAsia="宋体" w:hAnsi="宋体" w:cs="宋体"/>
          <w:sz w:val="22"/>
          <w:szCs w:val="22"/>
        </w:rPr>
        <w:t xml:space="preserve"> </w:t>
      </w:r>
      <w:r>
        <w:rPr>
          <w:rFonts w:ascii="宋体" w:eastAsia="宋体" w:hAnsi="宋体" w:cs="宋体"/>
          <w:spacing w:val="-21"/>
          <w:sz w:val="22"/>
          <w:szCs w:val="22"/>
        </w:rPr>
        <w:t>易氧化。</w:t>
      </w:r>
    </w:p>
    <w:p w:rsidR="00EA40A3" w:rsidRDefault="00E86C16">
      <w:pPr>
        <w:spacing w:before="74" w:line="223" w:lineRule="auto"/>
        <w:rPr>
          <w:rFonts w:ascii="楷体" w:eastAsia="楷体" w:hAnsi="楷体" w:cs="楷体"/>
          <w:sz w:val="22"/>
          <w:szCs w:val="22"/>
        </w:rPr>
      </w:pPr>
      <w:r>
        <w:rPr>
          <w:rFonts w:ascii="楷体" w:eastAsia="楷体" w:hAnsi="楷体" w:cs="楷体"/>
          <w:spacing w:val="-6"/>
          <w:sz w:val="22"/>
          <w:szCs w:val="22"/>
        </w:rPr>
        <w:t>3)辐照对食品中碳水化合物的影响</w:t>
      </w:r>
    </w:p>
    <w:p w:rsidR="00EA40A3" w:rsidRDefault="00E86C16">
      <w:pPr>
        <w:spacing w:before="60" w:line="241" w:lineRule="auto"/>
        <w:ind w:firstLine="439"/>
        <w:jc w:val="both"/>
        <w:rPr>
          <w:rFonts w:ascii="宋体" w:eastAsia="宋体" w:hAnsi="宋体" w:cs="宋体"/>
          <w:sz w:val="22"/>
          <w:szCs w:val="22"/>
        </w:rPr>
      </w:pPr>
      <w:r>
        <w:rPr>
          <w:rFonts w:ascii="宋体" w:eastAsia="宋体" w:hAnsi="宋体" w:cs="宋体"/>
          <w:spacing w:val="-12"/>
          <w:sz w:val="22"/>
          <w:szCs w:val="22"/>
        </w:rPr>
        <w:t>碳水化合物对辐射相对稳定，只有在大剂量照射下才发生氧化和</w:t>
      </w:r>
      <w:r>
        <w:rPr>
          <w:rFonts w:ascii="宋体" w:eastAsia="宋体" w:hAnsi="宋体" w:cs="宋体"/>
          <w:spacing w:val="-13"/>
          <w:sz w:val="22"/>
          <w:szCs w:val="22"/>
        </w:rPr>
        <w:t>分解，如多</w:t>
      </w:r>
      <w:r>
        <w:rPr>
          <w:rFonts w:ascii="宋体" w:eastAsia="宋体" w:hAnsi="宋体" w:cs="宋体"/>
          <w:sz w:val="22"/>
          <w:szCs w:val="22"/>
        </w:rPr>
        <w:t xml:space="preserve"> </w:t>
      </w:r>
      <w:r>
        <w:rPr>
          <w:rFonts w:ascii="宋体" w:eastAsia="宋体" w:hAnsi="宋体" w:cs="宋体"/>
          <w:spacing w:val="-10"/>
          <w:sz w:val="22"/>
          <w:szCs w:val="22"/>
        </w:rPr>
        <w:t>糖分解后会放出CO</w:t>
      </w:r>
      <w:r>
        <w:rPr>
          <w:rFonts w:ascii="Calibri" w:eastAsia="Calibri" w:hAnsi="Calibri" w:cs="Calibri"/>
          <w:spacing w:val="-10"/>
          <w:sz w:val="22"/>
          <w:szCs w:val="22"/>
        </w:rPr>
        <w:t>₂</w:t>
      </w:r>
      <w:r>
        <w:rPr>
          <w:rFonts w:ascii="Calibri" w:eastAsia="Calibri" w:hAnsi="Calibri" w:cs="Calibri"/>
          <w:spacing w:val="-26"/>
          <w:sz w:val="22"/>
          <w:szCs w:val="22"/>
        </w:rPr>
        <w:t xml:space="preserve"> </w:t>
      </w:r>
      <w:r>
        <w:rPr>
          <w:rFonts w:ascii="宋体" w:eastAsia="宋体" w:hAnsi="宋体" w:cs="宋体"/>
          <w:spacing w:val="-10"/>
          <w:sz w:val="22"/>
          <w:szCs w:val="22"/>
        </w:rPr>
        <w:t>、H</w:t>
      </w:r>
      <w:r>
        <w:rPr>
          <w:rFonts w:ascii="Calibri" w:eastAsia="Calibri" w:hAnsi="Calibri" w:cs="Calibri"/>
          <w:spacing w:val="-10"/>
          <w:sz w:val="22"/>
          <w:szCs w:val="22"/>
        </w:rPr>
        <w:t>₂</w:t>
      </w:r>
      <w:r>
        <w:rPr>
          <w:rFonts w:ascii="Calibri" w:eastAsia="Calibri" w:hAnsi="Calibri" w:cs="Calibri"/>
          <w:spacing w:val="13"/>
          <w:sz w:val="22"/>
          <w:szCs w:val="22"/>
        </w:rPr>
        <w:t xml:space="preserve">   </w:t>
      </w:r>
      <w:r>
        <w:rPr>
          <w:rFonts w:ascii="宋体" w:eastAsia="宋体" w:hAnsi="宋体" w:cs="宋体"/>
          <w:spacing w:val="-10"/>
          <w:sz w:val="22"/>
          <w:szCs w:val="22"/>
        </w:rPr>
        <w:t>等气体，而且使食品质地变得松脆，黏度也有所下</w:t>
      </w:r>
      <w:r>
        <w:rPr>
          <w:rFonts w:ascii="宋体" w:eastAsia="宋体" w:hAnsi="宋体" w:cs="宋体"/>
          <w:spacing w:val="-11"/>
          <w:sz w:val="22"/>
          <w:szCs w:val="22"/>
        </w:rPr>
        <w:t>降。</w:t>
      </w:r>
      <w:r>
        <w:rPr>
          <w:rFonts w:ascii="宋体" w:eastAsia="宋体" w:hAnsi="宋体" w:cs="宋体"/>
          <w:spacing w:val="1"/>
          <w:sz w:val="22"/>
          <w:szCs w:val="22"/>
        </w:rPr>
        <w:t xml:space="preserve"> </w:t>
      </w:r>
      <w:r>
        <w:rPr>
          <w:rFonts w:ascii="宋体" w:eastAsia="宋体" w:hAnsi="宋体" w:cs="宋体"/>
          <w:spacing w:val="-6"/>
          <w:sz w:val="22"/>
          <w:szCs w:val="22"/>
        </w:rPr>
        <w:t>4)辐照对食品中维生素的影响</w:t>
      </w:r>
    </w:p>
    <w:p w:rsidR="00EA40A3" w:rsidRDefault="00E86C16">
      <w:pPr>
        <w:spacing w:before="80" w:line="248" w:lineRule="auto"/>
        <w:ind w:right="97" w:firstLine="439"/>
        <w:jc w:val="both"/>
        <w:rPr>
          <w:rFonts w:ascii="宋体" w:eastAsia="宋体" w:hAnsi="宋体" w:cs="宋体"/>
          <w:sz w:val="22"/>
          <w:szCs w:val="22"/>
        </w:rPr>
      </w:pPr>
      <w:r>
        <w:rPr>
          <w:rFonts w:ascii="宋体" w:eastAsia="宋体" w:hAnsi="宋体" w:cs="宋体"/>
          <w:spacing w:val="-13"/>
          <w:sz w:val="22"/>
          <w:szCs w:val="22"/>
        </w:rPr>
        <w:t>相对来说辐射对部分维生素影响较大。水溶性维生</w:t>
      </w:r>
      <w:r>
        <w:rPr>
          <w:rFonts w:ascii="宋体" w:eastAsia="宋体" w:hAnsi="宋体" w:cs="宋体"/>
          <w:spacing w:val="-14"/>
          <w:sz w:val="22"/>
          <w:szCs w:val="22"/>
        </w:rPr>
        <w:t>素对辐射的敏感性，主要</w:t>
      </w:r>
      <w:r>
        <w:rPr>
          <w:rFonts w:ascii="宋体" w:eastAsia="宋体" w:hAnsi="宋体" w:cs="宋体"/>
          <w:sz w:val="22"/>
          <w:szCs w:val="22"/>
        </w:rPr>
        <w:t xml:space="preserve"> </w:t>
      </w:r>
      <w:r>
        <w:rPr>
          <w:rFonts w:ascii="宋体" w:eastAsia="宋体" w:hAnsi="宋体" w:cs="宋体"/>
          <w:spacing w:val="-13"/>
          <w:sz w:val="22"/>
          <w:szCs w:val="22"/>
        </w:rPr>
        <w:t>取决于它们是处在水溶液中，还是存在于食品中，或者他们是否受食品中其他化</w:t>
      </w:r>
      <w:r>
        <w:rPr>
          <w:rFonts w:ascii="宋体" w:eastAsia="宋体" w:hAnsi="宋体" w:cs="宋体"/>
          <w:spacing w:val="12"/>
          <w:sz w:val="22"/>
          <w:szCs w:val="22"/>
        </w:rPr>
        <w:t xml:space="preserve"> </w:t>
      </w:r>
      <w:r>
        <w:rPr>
          <w:rFonts w:ascii="宋体" w:eastAsia="宋体" w:hAnsi="宋体" w:cs="宋体"/>
          <w:spacing w:val="-7"/>
          <w:sz w:val="22"/>
          <w:szCs w:val="22"/>
        </w:rPr>
        <w:t>学物质所保护。其中包括维生素之间彼此的保护作用，由于辐射而产生的自由</w:t>
      </w:r>
      <w:r>
        <w:rPr>
          <w:rFonts w:ascii="宋体" w:eastAsia="宋体" w:hAnsi="宋体" w:cs="宋体"/>
          <w:spacing w:val="11"/>
          <w:sz w:val="22"/>
          <w:szCs w:val="22"/>
        </w:rPr>
        <w:t xml:space="preserve"> </w:t>
      </w:r>
      <w:r>
        <w:rPr>
          <w:rFonts w:ascii="宋体" w:eastAsia="宋体" w:hAnsi="宋体" w:cs="宋体"/>
          <w:spacing w:val="-6"/>
          <w:sz w:val="22"/>
          <w:szCs w:val="22"/>
        </w:rPr>
        <w:t>基、过氧化物和羰基，可与维生素反应，并产生破坏</w:t>
      </w:r>
      <w:r>
        <w:rPr>
          <w:rFonts w:ascii="宋体" w:eastAsia="宋体" w:hAnsi="宋体" w:cs="宋体"/>
          <w:spacing w:val="-7"/>
          <w:sz w:val="22"/>
          <w:szCs w:val="22"/>
        </w:rPr>
        <w:t>作用。维生素C</w:t>
      </w:r>
      <w:r>
        <w:rPr>
          <w:rFonts w:ascii="宋体" w:eastAsia="宋体" w:hAnsi="宋体" w:cs="宋体"/>
          <w:spacing w:val="-14"/>
          <w:sz w:val="22"/>
          <w:szCs w:val="22"/>
        </w:rPr>
        <w:t xml:space="preserve"> </w:t>
      </w:r>
      <w:r>
        <w:rPr>
          <w:rFonts w:ascii="宋体" w:eastAsia="宋体" w:hAnsi="宋体" w:cs="宋体"/>
          <w:spacing w:val="-7"/>
          <w:sz w:val="22"/>
          <w:szCs w:val="22"/>
        </w:rPr>
        <w:t>对辐射很</w:t>
      </w:r>
      <w:r>
        <w:rPr>
          <w:rFonts w:ascii="宋体" w:eastAsia="宋体" w:hAnsi="宋体" w:cs="宋体"/>
          <w:sz w:val="22"/>
          <w:szCs w:val="22"/>
        </w:rPr>
        <w:t xml:space="preserve"> </w:t>
      </w:r>
      <w:r>
        <w:rPr>
          <w:rFonts w:ascii="宋体" w:eastAsia="宋体" w:hAnsi="宋体" w:cs="宋体"/>
          <w:spacing w:val="-13"/>
          <w:sz w:val="22"/>
          <w:szCs w:val="22"/>
        </w:rPr>
        <w:t>敏感，其损害程度随辐射剂量的增大而加剧，这主要是因为其容易与水受辐射时</w:t>
      </w:r>
      <w:r>
        <w:rPr>
          <w:rFonts w:ascii="宋体" w:eastAsia="宋体" w:hAnsi="宋体" w:cs="宋体"/>
          <w:spacing w:val="16"/>
          <w:sz w:val="22"/>
          <w:szCs w:val="22"/>
        </w:rPr>
        <w:t xml:space="preserve"> </w:t>
      </w:r>
      <w:r>
        <w:rPr>
          <w:rFonts w:ascii="宋体" w:eastAsia="宋体" w:hAnsi="宋体" w:cs="宋体"/>
          <w:spacing w:val="-13"/>
          <w:sz w:val="22"/>
          <w:szCs w:val="22"/>
        </w:rPr>
        <w:t>分解的自由基发生反应的结果。食品在冷冻状态下辐射</w:t>
      </w:r>
      <w:r>
        <w:rPr>
          <w:rFonts w:ascii="宋体" w:eastAsia="宋体" w:hAnsi="宋体" w:cs="宋体"/>
          <w:spacing w:val="-14"/>
          <w:sz w:val="22"/>
          <w:szCs w:val="22"/>
        </w:rPr>
        <w:t>时，由于水分子产生的自</w:t>
      </w:r>
      <w:r>
        <w:rPr>
          <w:rFonts w:ascii="宋体" w:eastAsia="宋体" w:hAnsi="宋体" w:cs="宋体"/>
          <w:sz w:val="22"/>
          <w:szCs w:val="22"/>
        </w:rPr>
        <w:t xml:space="preserve"> </w:t>
      </w:r>
      <w:r>
        <w:rPr>
          <w:rFonts w:ascii="宋体" w:eastAsia="宋体" w:hAnsi="宋体" w:cs="宋体"/>
          <w:spacing w:val="-9"/>
          <w:sz w:val="22"/>
          <w:szCs w:val="22"/>
        </w:rPr>
        <w:t>由基流动性小，故维生素C</w:t>
      </w:r>
      <w:r>
        <w:rPr>
          <w:rFonts w:ascii="宋体" w:eastAsia="宋体" w:hAnsi="宋体" w:cs="宋体"/>
          <w:spacing w:val="-14"/>
          <w:sz w:val="22"/>
          <w:szCs w:val="22"/>
        </w:rPr>
        <w:t xml:space="preserve"> </w:t>
      </w:r>
      <w:r>
        <w:rPr>
          <w:rFonts w:ascii="宋体" w:eastAsia="宋体" w:hAnsi="宋体" w:cs="宋体"/>
          <w:spacing w:val="-9"/>
          <w:sz w:val="22"/>
          <w:szCs w:val="22"/>
        </w:rPr>
        <w:t>的破坏小。当辐射剂量在5kGy</w:t>
      </w:r>
      <w:r>
        <w:rPr>
          <w:rFonts w:ascii="宋体" w:eastAsia="宋体" w:hAnsi="宋体" w:cs="宋体"/>
          <w:spacing w:val="-3"/>
          <w:sz w:val="22"/>
          <w:szCs w:val="22"/>
        </w:rPr>
        <w:t xml:space="preserve"> </w:t>
      </w:r>
      <w:r>
        <w:rPr>
          <w:rFonts w:ascii="宋体" w:eastAsia="宋体" w:hAnsi="宋体" w:cs="宋体"/>
          <w:spacing w:val="-9"/>
          <w:sz w:val="22"/>
          <w:szCs w:val="22"/>
        </w:rPr>
        <w:t>以下时，维</w:t>
      </w:r>
      <w:r>
        <w:rPr>
          <w:rFonts w:ascii="宋体" w:eastAsia="宋体" w:hAnsi="宋体" w:cs="宋体"/>
          <w:spacing w:val="-10"/>
          <w:sz w:val="22"/>
          <w:szCs w:val="22"/>
        </w:rPr>
        <w:t>生素C</w:t>
      </w:r>
      <w:r>
        <w:rPr>
          <w:rFonts w:ascii="宋体" w:eastAsia="宋体" w:hAnsi="宋体" w:cs="宋体"/>
          <w:spacing w:val="-3"/>
          <w:sz w:val="22"/>
          <w:szCs w:val="22"/>
        </w:rPr>
        <w:t xml:space="preserve"> </w:t>
      </w:r>
      <w:r>
        <w:rPr>
          <w:rFonts w:ascii="宋体" w:eastAsia="宋体" w:hAnsi="宋体" w:cs="宋体"/>
          <w:spacing w:val="-10"/>
          <w:sz w:val="22"/>
          <w:szCs w:val="22"/>
        </w:rPr>
        <w:t>的</w:t>
      </w:r>
      <w:r>
        <w:rPr>
          <w:rFonts w:ascii="宋体" w:eastAsia="宋体" w:hAnsi="宋体" w:cs="宋体"/>
          <w:sz w:val="22"/>
          <w:szCs w:val="22"/>
        </w:rPr>
        <w:t xml:space="preserve"> </w:t>
      </w:r>
      <w:r>
        <w:rPr>
          <w:rFonts w:ascii="宋体" w:eastAsia="宋体" w:hAnsi="宋体" w:cs="宋体"/>
          <w:spacing w:val="2"/>
          <w:sz w:val="22"/>
          <w:szCs w:val="22"/>
        </w:rPr>
        <w:t>损失率通常不超过20%～30%,同时由于维生素</w:t>
      </w:r>
      <w:r>
        <w:rPr>
          <w:rFonts w:ascii="宋体" w:eastAsia="宋体" w:hAnsi="宋体" w:cs="宋体"/>
          <w:spacing w:val="-52"/>
          <w:sz w:val="22"/>
          <w:szCs w:val="22"/>
        </w:rPr>
        <w:t xml:space="preserve"> </w:t>
      </w:r>
      <w:r>
        <w:rPr>
          <w:rFonts w:ascii="宋体" w:eastAsia="宋体" w:hAnsi="宋体" w:cs="宋体"/>
          <w:spacing w:val="2"/>
          <w:sz w:val="22"/>
          <w:szCs w:val="22"/>
        </w:rPr>
        <w:t>C</w:t>
      </w:r>
      <w:r>
        <w:rPr>
          <w:rFonts w:ascii="宋体" w:eastAsia="宋体" w:hAnsi="宋体" w:cs="宋体"/>
          <w:spacing w:val="-23"/>
          <w:sz w:val="22"/>
          <w:szCs w:val="22"/>
        </w:rPr>
        <w:t xml:space="preserve"> </w:t>
      </w:r>
      <w:r>
        <w:rPr>
          <w:rFonts w:ascii="宋体" w:eastAsia="宋体" w:hAnsi="宋体" w:cs="宋体"/>
          <w:spacing w:val="2"/>
          <w:sz w:val="22"/>
          <w:szCs w:val="22"/>
        </w:rPr>
        <w:t>经辐射后转变而成的脱氢抗</w:t>
      </w:r>
      <w:r>
        <w:rPr>
          <w:rFonts w:ascii="宋体" w:eastAsia="宋体" w:hAnsi="宋体" w:cs="宋体"/>
          <w:sz w:val="22"/>
          <w:szCs w:val="22"/>
        </w:rPr>
        <w:t xml:space="preserve"> </w:t>
      </w:r>
      <w:r>
        <w:rPr>
          <w:rFonts w:ascii="宋体" w:eastAsia="宋体" w:hAnsi="宋体" w:cs="宋体"/>
          <w:spacing w:val="-12"/>
          <w:sz w:val="22"/>
          <w:szCs w:val="22"/>
        </w:rPr>
        <w:t>坏血酸也有一定的活性，因此，实际对维生素C</w:t>
      </w:r>
      <w:r>
        <w:rPr>
          <w:rFonts w:ascii="宋体" w:eastAsia="宋体" w:hAnsi="宋体" w:cs="宋体"/>
          <w:spacing w:val="-24"/>
          <w:sz w:val="22"/>
          <w:szCs w:val="22"/>
        </w:rPr>
        <w:t xml:space="preserve"> </w:t>
      </w:r>
      <w:r>
        <w:rPr>
          <w:rFonts w:ascii="宋体" w:eastAsia="宋体" w:hAnsi="宋体" w:cs="宋体"/>
          <w:spacing w:val="-13"/>
          <w:sz w:val="22"/>
          <w:szCs w:val="22"/>
        </w:rPr>
        <w:t>活性的破坏比这个数据要低。</w:t>
      </w:r>
    </w:p>
    <w:p w:rsidR="00EA40A3" w:rsidRDefault="00E86C16">
      <w:pPr>
        <w:spacing w:before="119" w:line="247" w:lineRule="auto"/>
        <w:ind w:right="49" w:firstLine="439"/>
        <w:jc w:val="both"/>
        <w:rPr>
          <w:rFonts w:ascii="宋体" w:eastAsia="宋体" w:hAnsi="宋体" w:cs="宋体"/>
          <w:sz w:val="22"/>
          <w:szCs w:val="22"/>
        </w:rPr>
      </w:pPr>
      <w:r>
        <w:rPr>
          <w:rFonts w:ascii="宋体" w:eastAsia="宋体" w:hAnsi="宋体" w:cs="宋体"/>
          <w:spacing w:val="-5"/>
          <w:sz w:val="22"/>
          <w:szCs w:val="22"/>
        </w:rPr>
        <w:t>B</w:t>
      </w:r>
      <w:r>
        <w:rPr>
          <w:rFonts w:ascii="宋体" w:eastAsia="宋体" w:hAnsi="宋体" w:cs="宋体"/>
          <w:spacing w:val="-47"/>
          <w:sz w:val="22"/>
          <w:szCs w:val="22"/>
        </w:rPr>
        <w:t xml:space="preserve"> </w:t>
      </w:r>
      <w:r>
        <w:rPr>
          <w:rFonts w:ascii="宋体" w:eastAsia="宋体" w:hAnsi="宋体" w:cs="宋体"/>
          <w:spacing w:val="-5"/>
          <w:sz w:val="22"/>
          <w:szCs w:val="22"/>
        </w:rPr>
        <w:t>族维生素中，维生素B</w:t>
      </w:r>
      <w:r>
        <w:rPr>
          <w:rFonts w:ascii="Calibri" w:eastAsia="Calibri" w:hAnsi="Calibri" w:cs="Calibri"/>
          <w:spacing w:val="-5"/>
          <w:sz w:val="22"/>
          <w:szCs w:val="22"/>
        </w:rPr>
        <w:t>₁</w:t>
      </w:r>
      <w:r>
        <w:rPr>
          <w:rFonts w:ascii="Calibri" w:eastAsia="Calibri" w:hAnsi="Calibri" w:cs="Calibri"/>
          <w:spacing w:val="40"/>
          <w:sz w:val="22"/>
          <w:szCs w:val="22"/>
        </w:rPr>
        <w:t xml:space="preserve"> </w:t>
      </w:r>
      <w:r>
        <w:rPr>
          <w:rFonts w:ascii="宋体" w:eastAsia="宋体" w:hAnsi="宋体" w:cs="宋体"/>
          <w:spacing w:val="-5"/>
          <w:sz w:val="22"/>
          <w:szCs w:val="22"/>
        </w:rPr>
        <w:t>对辐射的稳定性最差，维生素B2</w:t>
      </w:r>
      <w:r>
        <w:rPr>
          <w:rFonts w:ascii="宋体" w:eastAsia="宋体" w:hAnsi="宋体" w:cs="宋体"/>
          <w:spacing w:val="-6"/>
          <w:sz w:val="22"/>
          <w:szCs w:val="22"/>
        </w:rPr>
        <w:t>受辐射的影响要</w:t>
      </w:r>
      <w:r>
        <w:rPr>
          <w:rFonts w:ascii="宋体" w:eastAsia="宋体" w:hAnsi="宋体" w:cs="宋体"/>
          <w:sz w:val="22"/>
          <w:szCs w:val="22"/>
        </w:rPr>
        <w:t xml:space="preserve"> </w:t>
      </w:r>
      <w:r>
        <w:rPr>
          <w:rFonts w:ascii="宋体" w:eastAsia="宋体" w:hAnsi="宋体" w:cs="宋体"/>
          <w:spacing w:val="-6"/>
          <w:sz w:val="22"/>
          <w:szCs w:val="22"/>
        </w:rPr>
        <w:t>远小于维生素B</w:t>
      </w:r>
      <w:r>
        <w:rPr>
          <w:rFonts w:ascii="Calibri" w:eastAsia="Calibri" w:hAnsi="Calibri" w:cs="Calibri"/>
          <w:spacing w:val="-6"/>
          <w:sz w:val="22"/>
          <w:szCs w:val="22"/>
        </w:rPr>
        <w:t>₁</w:t>
      </w:r>
      <w:r>
        <w:rPr>
          <w:rFonts w:ascii="宋体" w:eastAsia="宋体" w:hAnsi="宋体" w:cs="宋体"/>
          <w:spacing w:val="-6"/>
          <w:sz w:val="22"/>
          <w:szCs w:val="22"/>
        </w:rPr>
        <w:t>,</w:t>
      </w:r>
      <w:r>
        <w:rPr>
          <w:rFonts w:ascii="宋体" w:eastAsia="宋体" w:hAnsi="宋体" w:cs="宋体"/>
          <w:spacing w:val="35"/>
          <w:sz w:val="22"/>
          <w:szCs w:val="22"/>
        </w:rPr>
        <w:t xml:space="preserve"> </w:t>
      </w:r>
      <w:r>
        <w:rPr>
          <w:rFonts w:ascii="宋体" w:eastAsia="宋体" w:hAnsi="宋体" w:cs="宋体"/>
          <w:spacing w:val="-6"/>
          <w:sz w:val="22"/>
          <w:szCs w:val="22"/>
        </w:rPr>
        <w:t>再其次是烟酸，其损失率比维生素</w:t>
      </w:r>
      <w:r>
        <w:rPr>
          <w:rFonts w:ascii="宋体" w:eastAsia="宋体" w:hAnsi="宋体" w:cs="宋体"/>
          <w:spacing w:val="-60"/>
          <w:sz w:val="22"/>
          <w:szCs w:val="22"/>
        </w:rPr>
        <w:t xml:space="preserve"> </w:t>
      </w:r>
      <w:r>
        <w:rPr>
          <w:rFonts w:ascii="宋体" w:eastAsia="宋体" w:hAnsi="宋体" w:cs="宋体"/>
          <w:spacing w:val="-6"/>
          <w:sz w:val="22"/>
          <w:szCs w:val="22"/>
        </w:rPr>
        <w:t>B</w:t>
      </w:r>
      <w:r>
        <w:rPr>
          <w:rFonts w:ascii="Calibri" w:eastAsia="Calibri" w:hAnsi="Calibri" w:cs="Calibri"/>
          <w:spacing w:val="-6"/>
          <w:sz w:val="22"/>
          <w:szCs w:val="22"/>
        </w:rPr>
        <w:t>₁</w:t>
      </w:r>
      <w:r>
        <w:rPr>
          <w:rFonts w:ascii="Calibri" w:eastAsia="Calibri" w:hAnsi="Calibri" w:cs="Calibri"/>
          <w:spacing w:val="-26"/>
          <w:sz w:val="22"/>
          <w:szCs w:val="22"/>
        </w:rPr>
        <w:t xml:space="preserve"> </w:t>
      </w:r>
      <w:r>
        <w:rPr>
          <w:rFonts w:ascii="宋体" w:eastAsia="宋体" w:hAnsi="宋体" w:cs="宋体"/>
          <w:spacing w:val="-6"/>
          <w:sz w:val="22"/>
          <w:szCs w:val="22"/>
        </w:rPr>
        <w:t>、维生素B2</w:t>
      </w:r>
      <w:r>
        <w:rPr>
          <w:rFonts w:ascii="宋体" w:eastAsia="宋体" w:hAnsi="宋体" w:cs="宋体"/>
          <w:spacing w:val="-57"/>
          <w:sz w:val="22"/>
          <w:szCs w:val="22"/>
        </w:rPr>
        <w:t xml:space="preserve"> </w:t>
      </w:r>
      <w:r>
        <w:rPr>
          <w:rFonts w:ascii="宋体" w:eastAsia="宋体" w:hAnsi="宋体" w:cs="宋体"/>
          <w:spacing w:val="-6"/>
          <w:sz w:val="22"/>
          <w:szCs w:val="22"/>
        </w:rPr>
        <w:t>要小得多。</w:t>
      </w:r>
      <w:r>
        <w:rPr>
          <w:rFonts w:ascii="宋体" w:eastAsia="宋体" w:hAnsi="宋体" w:cs="宋体"/>
          <w:sz w:val="22"/>
          <w:szCs w:val="22"/>
        </w:rPr>
        <w:t xml:space="preserve"> </w:t>
      </w:r>
      <w:r>
        <w:rPr>
          <w:rFonts w:ascii="宋体" w:eastAsia="宋体" w:hAnsi="宋体" w:cs="宋体"/>
          <w:spacing w:val="-12"/>
          <w:sz w:val="22"/>
          <w:szCs w:val="22"/>
        </w:rPr>
        <w:t>一般而言维生素在冰冻状态下破坏最小，这种辐</w:t>
      </w:r>
      <w:r>
        <w:rPr>
          <w:rFonts w:ascii="宋体" w:eastAsia="宋体" w:hAnsi="宋体" w:cs="宋体"/>
          <w:spacing w:val="-13"/>
          <w:sz w:val="22"/>
          <w:szCs w:val="22"/>
        </w:rPr>
        <w:t>射时所受的破坏程度与其受热加</w:t>
      </w:r>
      <w:r>
        <w:rPr>
          <w:rFonts w:ascii="宋体" w:eastAsia="宋体" w:hAnsi="宋体" w:cs="宋体"/>
          <w:sz w:val="22"/>
          <w:szCs w:val="22"/>
        </w:rPr>
        <w:t xml:space="preserve"> </w:t>
      </w:r>
      <w:r>
        <w:rPr>
          <w:rFonts w:ascii="宋体" w:eastAsia="宋体" w:hAnsi="宋体" w:cs="宋体"/>
          <w:spacing w:val="3"/>
          <w:sz w:val="22"/>
          <w:szCs w:val="22"/>
        </w:rPr>
        <w:t>工时相当。如维生素</w:t>
      </w:r>
      <w:r>
        <w:rPr>
          <w:rFonts w:ascii="宋体" w:eastAsia="宋体" w:hAnsi="宋体" w:cs="宋体"/>
          <w:spacing w:val="-49"/>
          <w:sz w:val="22"/>
          <w:szCs w:val="22"/>
        </w:rPr>
        <w:t xml:space="preserve"> </w:t>
      </w:r>
      <w:r>
        <w:rPr>
          <w:rFonts w:ascii="宋体" w:eastAsia="宋体" w:hAnsi="宋体" w:cs="宋体"/>
          <w:spacing w:val="3"/>
          <w:sz w:val="22"/>
          <w:szCs w:val="22"/>
        </w:rPr>
        <w:t>B.</w:t>
      </w:r>
      <w:r>
        <w:rPr>
          <w:rFonts w:ascii="宋体" w:eastAsia="宋体" w:hAnsi="宋体" w:cs="宋体"/>
          <w:spacing w:val="-56"/>
          <w:sz w:val="22"/>
          <w:szCs w:val="22"/>
        </w:rPr>
        <w:t xml:space="preserve"> </w:t>
      </w:r>
      <w:r>
        <w:rPr>
          <w:rFonts w:ascii="宋体" w:eastAsia="宋体" w:hAnsi="宋体" w:cs="宋体"/>
          <w:spacing w:val="3"/>
          <w:sz w:val="22"/>
          <w:szCs w:val="22"/>
        </w:rPr>
        <w:t>在热加工食品中损失65%,在辐射加工过程中约损失</w:t>
      </w:r>
      <w:r>
        <w:rPr>
          <w:rFonts w:ascii="宋体" w:eastAsia="宋体" w:hAnsi="宋体" w:cs="宋体"/>
          <w:sz w:val="22"/>
          <w:szCs w:val="22"/>
        </w:rPr>
        <w:t xml:space="preserve"> </w:t>
      </w:r>
      <w:r>
        <w:rPr>
          <w:rFonts w:ascii="宋体" w:eastAsia="宋体" w:hAnsi="宋体" w:cs="宋体"/>
          <w:spacing w:val="-6"/>
          <w:sz w:val="22"/>
          <w:szCs w:val="22"/>
        </w:rPr>
        <w:t>63%。此外，对多种食品而言，即使辐</w:t>
      </w:r>
      <w:r>
        <w:rPr>
          <w:rFonts w:ascii="宋体" w:eastAsia="宋体" w:hAnsi="宋体" w:cs="宋体"/>
          <w:spacing w:val="-7"/>
          <w:sz w:val="22"/>
          <w:szCs w:val="22"/>
        </w:rPr>
        <w:t>射剂量达到55</w:t>
      </w:r>
      <w:r>
        <w:rPr>
          <w:rFonts w:ascii="宋体" w:eastAsia="宋体" w:hAnsi="宋体" w:cs="宋体"/>
          <w:spacing w:val="-6"/>
          <w:sz w:val="22"/>
          <w:szCs w:val="22"/>
        </w:rPr>
        <w:t>kGy</w:t>
      </w:r>
      <w:r>
        <w:rPr>
          <w:rFonts w:ascii="宋体" w:eastAsia="宋体" w:hAnsi="宋体" w:cs="宋体"/>
          <w:spacing w:val="-7"/>
          <w:sz w:val="22"/>
          <w:szCs w:val="22"/>
        </w:rPr>
        <w:t>,</w:t>
      </w:r>
      <w:r>
        <w:rPr>
          <w:rFonts w:ascii="宋体" w:eastAsia="宋体" w:hAnsi="宋体" w:cs="宋体"/>
          <w:spacing w:val="26"/>
          <w:sz w:val="22"/>
          <w:szCs w:val="22"/>
        </w:rPr>
        <w:t xml:space="preserve"> </w:t>
      </w:r>
      <w:r>
        <w:rPr>
          <w:rFonts w:ascii="宋体" w:eastAsia="宋体" w:hAnsi="宋体" w:cs="宋体"/>
          <w:spacing w:val="-7"/>
          <w:sz w:val="22"/>
          <w:szCs w:val="22"/>
        </w:rPr>
        <w:t>对单独存在的烟酸也</w:t>
      </w:r>
      <w:r>
        <w:rPr>
          <w:rFonts w:ascii="宋体" w:eastAsia="宋体" w:hAnsi="宋体" w:cs="宋体"/>
          <w:sz w:val="22"/>
          <w:szCs w:val="22"/>
        </w:rPr>
        <w:t xml:space="preserve"> </w:t>
      </w:r>
      <w:r>
        <w:rPr>
          <w:rFonts w:ascii="宋体" w:eastAsia="宋体" w:hAnsi="宋体" w:cs="宋体"/>
          <w:spacing w:val="-6"/>
          <w:sz w:val="22"/>
          <w:szCs w:val="22"/>
        </w:rPr>
        <w:t>没有太大影响，但当它与维生素C</w:t>
      </w:r>
      <w:r>
        <w:rPr>
          <w:rFonts w:ascii="宋体" w:eastAsia="宋体" w:hAnsi="宋体" w:cs="宋体"/>
          <w:spacing w:val="-14"/>
          <w:sz w:val="22"/>
          <w:szCs w:val="22"/>
        </w:rPr>
        <w:t xml:space="preserve"> </w:t>
      </w:r>
      <w:r>
        <w:rPr>
          <w:rFonts w:ascii="宋体" w:eastAsia="宋体" w:hAnsi="宋体" w:cs="宋体"/>
          <w:spacing w:val="-6"/>
          <w:sz w:val="22"/>
          <w:szCs w:val="22"/>
        </w:rPr>
        <w:t>一起存在时，可迅速被降解破坏，</w:t>
      </w:r>
      <w:r>
        <w:rPr>
          <w:rFonts w:ascii="宋体" w:eastAsia="宋体" w:hAnsi="宋体" w:cs="宋体"/>
          <w:spacing w:val="-7"/>
          <w:sz w:val="22"/>
          <w:szCs w:val="22"/>
        </w:rPr>
        <w:t>例如烟酸</w:t>
      </w:r>
      <w:r>
        <w:rPr>
          <w:rFonts w:ascii="宋体" w:eastAsia="宋体" w:hAnsi="宋体" w:cs="宋体"/>
          <w:sz w:val="22"/>
          <w:szCs w:val="22"/>
        </w:rPr>
        <w:t xml:space="preserve"> </w:t>
      </w:r>
      <w:r>
        <w:rPr>
          <w:rFonts w:ascii="宋体" w:eastAsia="宋体" w:hAnsi="宋体" w:cs="宋体"/>
          <w:spacing w:val="-4"/>
          <w:sz w:val="22"/>
          <w:szCs w:val="22"/>
        </w:rPr>
        <w:t>在桃中的辐射损失率高达50%。</w:t>
      </w:r>
    </w:p>
    <w:p w:rsidR="00EA40A3" w:rsidRDefault="00EA40A3">
      <w:pPr>
        <w:sectPr w:rsidR="00EA40A3">
          <w:footerReference w:type="default" r:id="rId200"/>
          <w:pgSz w:w="9220" w:h="13360"/>
          <w:pgMar w:top="400" w:right="950" w:bottom="1264" w:left="910" w:header="0" w:footer="1031" w:gutter="0"/>
          <w:cols w:space="720"/>
        </w:sectPr>
      </w:pPr>
    </w:p>
    <w:p w:rsidR="00EA40A3" w:rsidRDefault="00EA40A3">
      <w:pPr>
        <w:spacing w:line="261" w:lineRule="auto"/>
      </w:pPr>
    </w:p>
    <w:p w:rsidR="00EA40A3" w:rsidRDefault="00EA40A3">
      <w:pPr>
        <w:spacing w:line="261" w:lineRule="auto"/>
      </w:pPr>
    </w:p>
    <w:p w:rsidR="00EA40A3" w:rsidRDefault="00E86C16">
      <w:pPr>
        <w:spacing w:before="71" w:line="247" w:lineRule="auto"/>
        <w:ind w:right="82" w:firstLine="420"/>
        <w:jc w:val="both"/>
        <w:rPr>
          <w:rFonts w:ascii="宋体" w:eastAsia="宋体" w:hAnsi="宋体" w:cs="宋体"/>
          <w:sz w:val="22"/>
          <w:szCs w:val="22"/>
        </w:rPr>
      </w:pPr>
      <w:r>
        <w:rPr>
          <w:rFonts w:ascii="宋体" w:eastAsia="宋体" w:hAnsi="宋体" w:cs="宋体"/>
          <w:spacing w:val="-6"/>
          <w:sz w:val="22"/>
          <w:szCs w:val="22"/>
        </w:rPr>
        <w:t>脂溶性维生素对辐射也敏感，其中以维生素E</w:t>
      </w:r>
      <w:r>
        <w:rPr>
          <w:rFonts w:ascii="宋体" w:eastAsia="宋体" w:hAnsi="宋体" w:cs="宋体"/>
          <w:spacing w:val="-15"/>
          <w:sz w:val="22"/>
          <w:szCs w:val="22"/>
        </w:rPr>
        <w:t xml:space="preserve"> </w:t>
      </w:r>
      <w:r>
        <w:rPr>
          <w:rFonts w:ascii="宋体" w:eastAsia="宋体" w:hAnsi="宋体" w:cs="宋体"/>
          <w:spacing w:val="-6"/>
          <w:sz w:val="22"/>
          <w:szCs w:val="22"/>
        </w:rPr>
        <w:t>最为显著，脂溶</w:t>
      </w:r>
      <w:r>
        <w:rPr>
          <w:rFonts w:ascii="宋体" w:eastAsia="宋体" w:hAnsi="宋体" w:cs="宋体"/>
          <w:spacing w:val="-7"/>
          <w:sz w:val="22"/>
          <w:szCs w:val="22"/>
        </w:rPr>
        <w:t>性维生素对</w:t>
      </w:r>
      <w:r>
        <w:rPr>
          <w:rFonts w:ascii="宋体" w:eastAsia="宋体" w:hAnsi="宋体" w:cs="宋体"/>
          <w:sz w:val="22"/>
          <w:szCs w:val="22"/>
        </w:rPr>
        <w:t xml:space="preserve"> </w:t>
      </w:r>
      <w:r>
        <w:rPr>
          <w:rFonts w:ascii="宋体" w:eastAsia="宋体" w:hAnsi="宋体" w:cs="宋体"/>
          <w:spacing w:val="-5"/>
          <w:sz w:val="22"/>
          <w:szCs w:val="22"/>
        </w:rPr>
        <w:t>辐射的敏感性的大小顺序为：维生素E&gt;</w:t>
      </w:r>
      <w:r>
        <w:rPr>
          <w:rFonts w:ascii="宋体" w:eastAsia="宋体" w:hAnsi="宋体" w:cs="宋体"/>
          <w:spacing w:val="37"/>
          <w:sz w:val="22"/>
          <w:szCs w:val="22"/>
        </w:rPr>
        <w:t xml:space="preserve"> </w:t>
      </w:r>
      <w:r>
        <w:rPr>
          <w:rFonts w:ascii="宋体" w:eastAsia="宋体" w:hAnsi="宋体" w:cs="宋体"/>
          <w:spacing w:val="-5"/>
          <w:sz w:val="22"/>
          <w:szCs w:val="22"/>
        </w:rPr>
        <w:t>类胡萝卜素&gt;维生素</w:t>
      </w:r>
      <w:r>
        <w:rPr>
          <w:rFonts w:ascii="宋体" w:eastAsia="宋体" w:hAnsi="宋体" w:cs="宋体"/>
          <w:spacing w:val="-62"/>
          <w:sz w:val="22"/>
          <w:szCs w:val="22"/>
        </w:rPr>
        <w:t xml:space="preserve"> </w:t>
      </w:r>
      <w:r>
        <w:rPr>
          <w:rFonts w:ascii="宋体" w:eastAsia="宋体" w:hAnsi="宋体" w:cs="宋体"/>
          <w:spacing w:val="-5"/>
          <w:sz w:val="22"/>
          <w:szCs w:val="22"/>
        </w:rPr>
        <w:t>A&gt;</w:t>
      </w:r>
      <w:r>
        <w:rPr>
          <w:rFonts w:ascii="宋体" w:eastAsia="宋体" w:hAnsi="宋体" w:cs="宋体"/>
          <w:spacing w:val="52"/>
          <w:sz w:val="22"/>
          <w:szCs w:val="22"/>
        </w:rPr>
        <w:t xml:space="preserve"> </w:t>
      </w:r>
      <w:r>
        <w:rPr>
          <w:rFonts w:ascii="宋体" w:eastAsia="宋体" w:hAnsi="宋体" w:cs="宋体"/>
          <w:spacing w:val="-5"/>
          <w:sz w:val="22"/>
          <w:szCs w:val="22"/>
        </w:rPr>
        <w:t>维生素D&gt;</w:t>
      </w:r>
      <w:r>
        <w:rPr>
          <w:rFonts w:ascii="宋体" w:eastAsia="宋体" w:hAnsi="宋体" w:cs="宋体"/>
          <w:spacing w:val="44"/>
          <w:sz w:val="22"/>
          <w:szCs w:val="22"/>
        </w:rPr>
        <w:t xml:space="preserve"> </w:t>
      </w:r>
      <w:r>
        <w:rPr>
          <w:rFonts w:ascii="宋体" w:eastAsia="宋体" w:hAnsi="宋体" w:cs="宋体"/>
          <w:spacing w:val="-5"/>
          <w:sz w:val="22"/>
          <w:szCs w:val="22"/>
        </w:rPr>
        <w:t>维</w:t>
      </w:r>
      <w:r>
        <w:rPr>
          <w:rFonts w:ascii="宋体" w:eastAsia="宋体" w:hAnsi="宋体" w:cs="宋体"/>
          <w:sz w:val="22"/>
          <w:szCs w:val="22"/>
        </w:rPr>
        <w:t xml:space="preserve"> </w:t>
      </w:r>
      <w:r>
        <w:rPr>
          <w:rFonts w:ascii="宋体" w:eastAsia="宋体" w:hAnsi="宋体" w:cs="宋体"/>
          <w:spacing w:val="1"/>
          <w:sz w:val="22"/>
          <w:szCs w:val="22"/>
        </w:rPr>
        <w:t>生素K。</w:t>
      </w:r>
    </w:p>
    <w:p w:rsidR="00EA40A3" w:rsidRDefault="00E86C16">
      <w:pPr>
        <w:spacing w:before="50" w:line="245" w:lineRule="auto"/>
        <w:ind w:firstLine="420"/>
        <w:jc w:val="both"/>
        <w:rPr>
          <w:rFonts w:ascii="宋体" w:eastAsia="宋体" w:hAnsi="宋体" w:cs="宋体"/>
          <w:sz w:val="22"/>
          <w:szCs w:val="22"/>
        </w:rPr>
      </w:pPr>
      <w:r>
        <w:rPr>
          <w:rFonts w:ascii="宋体" w:eastAsia="宋体" w:hAnsi="宋体" w:cs="宋体"/>
          <w:spacing w:val="-3"/>
          <w:sz w:val="22"/>
          <w:szCs w:val="22"/>
        </w:rPr>
        <w:t>维生素A</w:t>
      </w:r>
      <w:r>
        <w:rPr>
          <w:rFonts w:ascii="宋体" w:eastAsia="宋体" w:hAnsi="宋体" w:cs="宋体"/>
          <w:spacing w:val="-9"/>
          <w:sz w:val="22"/>
          <w:szCs w:val="22"/>
        </w:rPr>
        <w:t xml:space="preserve"> </w:t>
      </w:r>
      <w:r>
        <w:rPr>
          <w:rFonts w:ascii="宋体" w:eastAsia="宋体" w:hAnsi="宋体" w:cs="宋体"/>
          <w:spacing w:val="-3"/>
          <w:sz w:val="22"/>
          <w:szCs w:val="22"/>
        </w:rPr>
        <w:t>在辐射时的损失率不仅与辐射剂量有关，而且与食</w:t>
      </w:r>
      <w:r>
        <w:rPr>
          <w:rFonts w:ascii="宋体" w:eastAsia="宋体" w:hAnsi="宋体" w:cs="宋体"/>
          <w:spacing w:val="-4"/>
          <w:sz w:val="22"/>
          <w:szCs w:val="22"/>
        </w:rPr>
        <w:t>品成分有关。</w:t>
      </w:r>
      <w:r>
        <w:rPr>
          <w:rFonts w:ascii="宋体" w:eastAsia="宋体" w:hAnsi="宋体" w:cs="宋体"/>
          <w:sz w:val="22"/>
          <w:szCs w:val="22"/>
        </w:rPr>
        <w:t xml:space="preserve"> </w:t>
      </w:r>
      <w:r>
        <w:rPr>
          <w:rFonts w:ascii="宋体" w:eastAsia="宋体" w:hAnsi="宋体" w:cs="宋体"/>
          <w:spacing w:val="-9"/>
          <w:sz w:val="22"/>
          <w:szCs w:val="22"/>
        </w:rPr>
        <w:t>牛奶经4.8kGy</w:t>
      </w:r>
      <w:r>
        <w:rPr>
          <w:rFonts w:ascii="宋体" w:eastAsia="宋体" w:hAnsi="宋体" w:cs="宋体"/>
          <w:spacing w:val="-12"/>
          <w:sz w:val="22"/>
          <w:szCs w:val="22"/>
        </w:rPr>
        <w:t xml:space="preserve"> </w:t>
      </w:r>
      <w:r>
        <w:rPr>
          <w:rFonts w:ascii="宋体" w:eastAsia="宋体" w:hAnsi="宋体" w:cs="宋体"/>
          <w:spacing w:val="-9"/>
          <w:sz w:val="22"/>
          <w:szCs w:val="22"/>
        </w:rPr>
        <w:t>辐射时，维生素A 损失较大，鲜牛奶的损失比干酪、奶油等乳制</w:t>
      </w:r>
      <w:r>
        <w:rPr>
          <w:rFonts w:ascii="宋体" w:eastAsia="宋体" w:hAnsi="宋体" w:cs="宋体"/>
          <w:sz w:val="22"/>
          <w:szCs w:val="22"/>
        </w:rPr>
        <w:t xml:space="preserve">  </w:t>
      </w:r>
      <w:r>
        <w:rPr>
          <w:rFonts w:ascii="宋体" w:eastAsia="宋体" w:hAnsi="宋体" w:cs="宋体"/>
          <w:spacing w:val="-10"/>
          <w:sz w:val="22"/>
          <w:szCs w:val="22"/>
        </w:rPr>
        <w:t>品要高，这可能与水分含量有关。鲜奶中含水量大，辐射时产生的电子、离子、</w:t>
      </w:r>
      <w:r>
        <w:rPr>
          <w:rFonts w:ascii="宋体" w:eastAsia="宋体" w:hAnsi="宋体" w:cs="宋体"/>
          <w:sz w:val="22"/>
          <w:szCs w:val="22"/>
        </w:rPr>
        <w:t xml:space="preserve"> </w:t>
      </w:r>
      <w:r>
        <w:rPr>
          <w:rFonts w:ascii="宋体" w:eastAsia="宋体" w:hAnsi="宋体" w:cs="宋体"/>
          <w:spacing w:val="-13"/>
          <w:sz w:val="22"/>
          <w:szCs w:val="22"/>
        </w:rPr>
        <w:t>自由基等各种活性粒子多。这些活性粒子引起的化学反应，会影响食品成分的分</w:t>
      </w:r>
      <w:r>
        <w:rPr>
          <w:rFonts w:ascii="宋体" w:eastAsia="宋体" w:hAnsi="宋体" w:cs="宋体"/>
          <w:spacing w:val="1"/>
          <w:sz w:val="22"/>
          <w:szCs w:val="22"/>
        </w:rPr>
        <w:t xml:space="preserve">  </w:t>
      </w:r>
      <w:r>
        <w:rPr>
          <w:rFonts w:ascii="宋体" w:eastAsia="宋体" w:hAnsi="宋体" w:cs="宋体"/>
          <w:spacing w:val="-14"/>
          <w:sz w:val="22"/>
          <w:szCs w:val="22"/>
        </w:rPr>
        <w:t>子结构的变化，从而引起维生素的损失增加。</w:t>
      </w:r>
    </w:p>
    <w:p w:rsidR="00EA40A3" w:rsidRDefault="00E86C16">
      <w:pPr>
        <w:spacing w:before="69" w:line="246" w:lineRule="auto"/>
        <w:ind w:right="79" w:firstLine="420"/>
        <w:jc w:val="both"/>
        <w:rPr>
          <w:rFonts w:ascii="宋体" w:eastAsia="宋体" w:hAnsi="宋体" w:cs="宋体"/>
          <w:sz w:val="22"/>
          <w:szCs w:val="22"/>
        </w:rPr>
      </w:pPr>
      <w:r>
        <w:rPr>
          <w:rFonts w:ascii="宋体" w:eastAsia="宋体" w:hAnsi="宋体" w:cs="宋体"/>
          <w:spacing w:val="1"/>
          <w:sz w:val="22"/>
          <w:szCs w:val="22"/>
        </w:rPr>
        <w:t>此外，辐射时维生素之间也存在相互保护(或破坏)作用，在维生素</w:t>
      </w:r>
      <w:r>
        <w:rPr>
          <w:rFonts w:ascii="宋体" w:eastAsia="宋体" w:hAnsi="宋体" w:cs="宋体"/>
          <w:sz w:val="22"/>
          <w:szCs w:val="22"/>
        </w:rPr>
        <w:t>C</w:t>
      </w:r>
      <w:r>
        <w:rPr>
          <w:rFonts w:ascii="宋体" w:eastAsia="宋体" w:hAnsi="宋体" w:cs="宋体"/>
          <w:spacing w:val="-14"/>
          <w:sz w:val="22"/>
          <w:szCs w:val="22"/>
        </w:rPr>
        <w:t xml:space="preserve"> </w:t>
      </w:r>
      <w:r>
        <w:rPr>
          <w:rFonts w:ascii="宋体" w:eastAsia="宋体" w:hAnsi="宋体" w:cs="宋体"/>
          <w:sz w:val="22"/>
          <w:szCs w:val="22"/>
        </w:rPr>
        <w:t xml:space="preserve">与 </w:t>
      </w:r>
      <w:r>
        <w:rPr>
          <w:rFonts w:ascii="宋体" w:eastAsia="宋体" w:hAnsi="宋体" w:cs="宋体"/>
          <w:spacing w:val="-6"/>
          <w:sz w:val="22"/>
          <w:szCs w:val="22"/>
        </w:rPr>
        <w:t>烟酸共存时非常明显。当二者分别接受大剂量辐射时，维生素C</w:t>
      </w:r>
      <w:r>
        <w:rPr>
          <w:rFonts w:ascii="宋体" w:eastAsia="宋体" w:hAnsi="宋体" w:cs="宋体"/>
          <w:spacing w:val="-4"/>
          <w:sz w:val="22"/>
          <w:szCs w:val="22"/>
        </w:rPr>
        <w:t xml:space="preserve"> </w:t>
      </w:r>
      <w:r>
        <w:rPr>
          <w:rFonts w:ascii="宋体" w:eastAsia="宋体" w:hAnsi="宋体" w:cs="宋体"/>
          <w:spacing w:val="-6"/>
          <w:sz w:val="22"/>
          <w:szCs w:val="22"/>
        </w:rPr>
        <w:t>损失严重</w:t>
      </w:r>
      <w:r>
        <w:rPr>
          <w:rFonts w:ascii="宋体" w:eastAsia="宋体" w:hAnsi="宋体" w:cs="宋体"/>
          <w:spacing w:val="-7"/>
          <w:sz w:val="22"/>
          <w:szCs w:val="22"/>
        </w:rPr>
        <w:t>，而</w:t>
      </w:r>
      <w:r>
        <w:rPr>
          <w:rFonts w:ascii="宋体" w:eastAsia="宋体" w:hAnsi="宋体" w:cs="宋体"/>
          <w:sz w:val="22"/>
          <w:szCs w:val="22"/>
        </w:rPr>
        <w:t xml:space="preserve"> </w:t>
      </w:r>
      <w:r>
        <w:rPr>
          <w:rFonts w:ascii="宋体" w:eastAsia="宋体" w:hAnsi="宋体" w:cs="宋体"/>
          <w:spacing w:val="-13"/>
          <w:sz w:val="22"/>
          <w:szCs w:val="22"/>
        </w:rPr>
        <w:t>烟酸则非常稳定；当二者共存时，烟酸竞争性地与被活化的水分子结合，破坏增</w:t>
      </w:r>
      <w:r>
        <w:rPr>
          <w:rFonts w:ascii="宋体" w:eastAsia="宋体" w:hAnsi="宋体" w:cs="宋体"/>
          <w:spacing w:val="11"/>
          <w:sz w:val="22"/>
          <w:szCs w:val="22"/>
        </w:rPr>
        <w:t xml:space="preserve"> </w:t>
      </w:r>
      <w:r>
        <w:rPr>
          <w:rFonts w:ascii="宋体" w:eastAsia="宋体" w:hAnsi="宋体" w:cs="宋体"/>
          <w:spacing w:val="-3"/>
          <w:sz w:val="22"/>
          <w:szCs w:val="22"/>
        </w:rPr>
        <w:t>大，从而保护了维生素C</w:t>
      </w:r>
      <w:r>
        <w:rPr>
          <w:rFonts w:ascii="宋体" w:eastAsia="宋体" w:hAnsi="宋体" w:cs="宋体"/>
          <w:sz w:val="22"/>
          <w:szCs w:val="22"/>
        </w:rPr>
        <w:t xml:space="preserve"> </w:t>
      </w:r>
      <w:r>
        <w:rPr>
          <w:rFonts w:ascii="宋体" w:eastAsia="宋体" w:hAnsi="宋体" w:cs="宋体"/>
          <w:spacing w:val="-3"/>
          <w:sz w:val="22"/>
          <w:szCs w:val="22"/>
        </w:rPr>
        <w:t>免遭破坏。另外，维生素C</w:t>
      </w:r>
      <w:r>
        <w:rPr>
          <w:rFonts w:ascii="宋体" w:eastAsia="宋体" w:hAnsi="宋体" w:cs="宋体"/>
          <w:spacing w:val="-14"/>
          <w:sz w:val="22"/>
          <w:szCs w:val="22"/>
        </w:rPr>
        <w:t xml:space="preserve"> </w:t>
      </w:r>
      <w:r>
        <w:rPr>
          <w:rFonts w:ascii="宋体" w:eastAsia="宋体" w:hAnsi="宋体" w:cs="宋体"/>
          <w:spacing w:val="-3"/>
          <w:sz w:val="22"/>
          <w:szCs w:val="22"/>
        </w:rPr>
        <w:t>对维生素</w:t>
      </w:r>
      <w:r>
        <w:rPr>
          <w:rFonts w:ascii="宋体" w:eastAsia="宋体" w:hAnsi="宋体" w:cs="宋体"/>
          <w:spacing w:val="-52"/>
          <w:sz w:val="22"/>
          <w:szCs w:val="22"/>
        </w:rPr>
        <w:t xml:space="preserve"> </w:t>
      </w:r>
      <w:r>
        <w:rPr>
          <w:rFonts w:ascii="宋体" w:eastAsia="宋体" w:hAnsi="宋体" w:cs="宋体"/>
          <w:spacing w:val="-3"/>
          <w:sz w:val="22"/>
          <w:szCs w:val="22"/>
        </w:rPr>
        <w:t>B2</w:t>
      </w:r>
      <w:r>
        <w:rPr>
          <w:rFonts w:ascii="宋体" w:eastAsia="宋体" w:hAnsi="宋体" w:cs="宋体"/>
          <w:spacing w:val="-56"/>
          <w:sz w:val="22"/>
          <w:szCs w:val="22"/>
        </w:rPr>
        <w:t xml:space="preserve"> </w:t>
      </w:r>
      <w:r>
        <w:rPr>
          <w:rFonts w:ascii="宋体" w:eastAsia="宋体" w:hAnsi="宋体" w:cs="宋体"/>
          <w:spacing w:val="-3"/>
          <w:sz w:val="22"/>
          <w:szCs w:val="22"/>
        </w:rPr>
        <w:t>也有保护作</w:t>
      </w:r>
      <w:r>
        <w:rPr>
          <w:rFonts w:ascii="宋体" w:eastAsia="宋体" w:hAnsi="宋体" w:cs="宋体"/>
          <w:sz w:val="22"/>
          <w:szCs w:val="22"/>
        </w:rPr>
        <w:t xml:space="preserve"> </w:t>
      </w:r>
      <w:r>
        <w:rPr>
          <w:rFonts w:ascii="宋体" w:eastAsia="宋体" w:hAnsi="宋体" w:cs="宋体"/>
          <w:spacing w:val="-9"/>
          <w:sz w:val="22"/>
          <w:szCs w:val="22"/>
        </w:rPr>
        <w:t>用。在脂溶性维生素中，也存在类似的保护作用，维生素C</w:t>
      </w:r>
      <w:r>
        <w:rPr>
          <w:rFonts w:ascii="宋体" w:eastAsia="宋体" w:hAnsi="宋体" w:cs="宋体"/>
          <w:spacing w:val="-4"/>
          <w:sz w:val="22"/>
          <w:szCs w:val="22"/>
        </w:rPr>
        <w:t xml:space="preserve"> </w:t>
      </w:r>
      <w:r>
        <w:rPr>
          <w:rFonts w:ascii="宋体" w:eastAsia="宋体" w:hAnsi="宋体" w:cs="宋体"/>
          <w:spacing w:val="-9"/>
          <w:sz w:val="22"/>
          <w:szCs w:val="22"/>
        </w:rPr>
        <w:t>和维生素E</w:t>
      </w:r>
      <w:r>
        <w:rPr>
          <w:rFonts w:ascii="宋体" w:eastAsia="宋体" w:hAnsi="宋体" w:cs="宋体"/>
          <w:spacing w:val="-25"/>
          <w:sz w:val="22"/>
          <w:szCs w:val="22"/>
        </w:rPr>
        <w:t xml:space="preserve"> </w:t>
      </w:r>
      <w:r>
        <w:rPr>
          <w:rFonts w:ascii="宋体" w:eastAsia="宋体" w:hAnsi="宋体" w:cs="宋体"/>
          <w:spacing w:val="-9"/>
          <w:sz w:val="22"/>
          <w:szCs w:val="22"/>
        </w:rPr>
        <w:t>可使β</w:t>
      </w:r>
      <w:r>
        <w:rPr>
          <w:rFonts w:ascii="宋体" w:eastAsia="宋体" w:hAnsi="宋体" w:cs="宋体"/>
          <w:spacing w:val="-10"/>
          <w:sz w:val="22"/>
          <w:szCs w:val="22"/>
        </w:rPr>
        <w:t>-</w:t>
      </w:r>
      <w:r>
        <w:rPr>
          <w:rFonts w:ascii="宋体" w:eastAsia="宋体" w:hAnsi="宋体" w:cs="宋体"/>
          <w:sz w:val="22"/>
          <w:szCs w:val="22"/>
        </w:rPr>
        <w:t xml:space="preserve"> </w:t>
      </w:r>
      <w:r>
        <w:rPr>
          <w:rFonts w:ascii="宋体" w:eastAsia="宋体" w:hAnsi="宋体" w:cs="宋体"/>
          <w:spacing w:val="-16"/>
          <w:sz w:val="22"/>
          <w:szCs w:val="22"/>
        </w:rPr>
        <w:t>胡萝卜素的破坏减少。</w:t>
      </w:r>
    </w:p>
    <w:p w:rsidR="00EA40A3" w:rsidRDefault="00E86C16">
      <w:pPr>
        <w:spacing w:before="54" w:line="223" w:lineRule="auto"/>
        <w:rPr>
          <w:rFonts w:ascii="楷体" w:eastAsia="楷体" w:hAnsi="楷体" w:cs="楷体"/>
          <w:sz w:val="22"/>
          <w:szCs w:val="22"/>
        </w:rPr>
      </w:pPr>
      <w:r>
        <w:rPr>
          <w:rFonts w:ascii="楷体" w:eastAsia="楷体" w:hAnsi="楷体" w:cs="楷体"/>
          <w:spacing w:val="-7"/>
          <w:sz w:val="22"/>
          <w:szCs w:val="22"/>
        </w:rPr>
        <w:t>5)电离辐射对食品中微量元素的影响</w:t>
      </w:r>
    </w:p>
    <w:p w:rsidR="00EA40A3" w:rsidRDefault="00E86C16">
      <w:pPr>
        <w:spacing w:before="58" w:line="245" w:lineRule="auto"/>
        <w:ind w:right="84" w:firstLine="420"/>
        <w:jc w:val="both"/>
        <w:rPr>
          <w:rFonts w:ascii="宋体" w:eastAsia="宋体" w:hAnsi="宋体" w:cs="宋体"/>
          <w:sz w:val="22"/>
          <w:szCs w:val="22"/>
        </w:rPr>
      </w:pPr>
      <w:r>
        <w:rPr>
          <w:rFonts w:ascii="宋体" w:eastAsia="宋体" w:hAnsi="宋体" w:cs="宋体"/>
          <w:spacing w:val="-13"/>
          <w:sz w:val="22"/>
          <w:szCs w:val="22"/>
        </w:rPr>
        <w:t>电离辐射对食品作用，使得食品中的组成分子产生电子、离子、自由基</w:t>
      </w:r>
      <w:r>
        <w:rPr>
          <w:rFonts w:ascii="宋体" w:eastAsia="宋体" w:hAnsi="宋体" w:cs="宋体"/>
          <w:spacing w:val="-14"/>
          <w:sz w:val="22"/>
          <w:szCs w:val="22"/>
        </w:rPr>
        <w:t>等各</w:t>
      </w:r>
      <w:r>
        <w:rPr>
          <w:rFonts w:ascii="宋体" w:eastAsia="宋体" w:hAnsi="宋体" w:cs="宋体"/>
          <w:sz w:val="22"/>
          <w:szCs w:val="22"/>
        </w:rPr>
        <w:t xml:space="preserve"> </w:t>
      </w:r>
      <w:r>
        <w:rPr>
          <w:rFonts w:ascii="宋体" w:eastAsia="宋体" w:hAnsi="宋体" w:cs="宋体"/>
          <w:spacing w:val="-7"/>
          <w:sz w:val="22"/>
          <w:szCs w:val="22"/>
        </w:rPr>
        <w:t>种活性粒子。由这些活性粒子引起的化学反应会影响食品中微量元素的存在形</w:t>
      </w:r>
      <w:r>
        <w:rPr>
          <w:rFonts w:ascii="宋体" w:eastAsia="宋体" w:hAnsi="宋体" w:cs="宋体"/>
          <w:spacing w:val="7"/>
          <w:sz w:val="22"/>
          <w:szCs w:val="22"/>
        </w:rPr>
        <w:t xml:space="preserve"> </w:t>
      </w:r>
      <w:r>
        <w:rPr>
          <w:rFonts w:ascii="宋体" w:eastAsia="宋体" w:hAnsi="宋体" w:cs="宋体"/>
          <w:spacing w:val="-12"/>
          <w:sz w:val="22"/>
          <w:szCs w:val="22"/>
        </w:rPr>
        <w:t>式，降低其生物有效性。如辐射作用于食品中</w:t>
      </w:r>
      <w:r>
        <w:rPr>
          <w:rFonts w:ascii="宋体" w:eastAsia="宋体" w:hAnsi="宋体" w:cs="宋体"/>
          <w:spacing w:val="-13"/>
          <w:sz w:val="22"/>
          <w:szCs w:val="22"/>
        </w:rPr>
        <w:t>的水分子，水分子在电离辐射作用</w:t>
      </w:r>
      <w:r>
        <w:rPr>
          <w:rFonts w:ascii="宋体" w:eastAsia="宋体" w:hAnsi="宋体" w:cs="宋体"/>
          <w:sz w:val="22"/>
          <w:szCs w:val="22"/>
        </w:rPr>
        <w:t xml:space="preserve"> </w:t>
      </w:r>
      <w:r>
        <w:rPr>
          <w:rFonts w:ascii="宋体" w:eastAsia="宋体" w:hAnsi="宋体" w:cs="宋体"/>
          <w:spacing w:val="-13"/>
          <w:sz w:val="22"/>
          <w:szCs w:val="22"/>
        </w:rPr>
        <w:t>下所产生的自由基，将直接参与氧化还原反应，使食品中高生物效价的二价铁或</w:t>
      </w:r>
      <w:r>
        <w:rPr>
          <w:rFonts w:ascii="宋体" w:eastAsia="宋体" w:hAnsi="宋体" w:cs="宋体"/>
          <w:spacing w:val="3"/>
          <w:sz w:val="22"/>
          <w:szCs w:val="22"/>
        </w:rPr>
        <w:t xml:space="preserve"> </w:t>
      </w:r>
      <w:r>
        <w:rPr>
          <w:rFonts w:ascii="宋体" w:eastAsia="宋体" w:hAnsi="宋体" w:cs="宋体"/>
          <w:spacing w:val="-15"/>
          <w:sz w:val="22"/>
          <w:szCs w:val="22"/>
        </w:rPr>
        <w:t>亚铁盐转化为不易为人体吸收、生物效价低的三价铁盐。</w:t>
      </w:r>
    </w:p>
    <w:p w:rsidR="00EA40A3" w:rsidRDefault="00E86C16">
      <w:pPr>
        <w:spacing w:before="228" w:line="221" w:lineRule="auto"/>
        <w:rPr>
          <w:rFonts w:ascii="仿宋" w:eastAsia="仿宋" w:hAnsi="仿宋" w:cs="仿宋"/>
          <w:sz w:val="22"/>
          <w:szCs w:val="22"/>
        </w:rPr>
      </w:pPr>
      <w:r>
        <w:rPr>
          <w:rFonts w:ascii="仿宋" w:eastAsia="仿宋" w:hAnsi="仿宋" w:cs="仿宋"/>
          <w:spacing w:val="15"/>
          <w:sz w:val="22"/>
          <w:szCs w:val="22"/>
        </w:rPr>
        <w:t>2.</w:t>
      </w:r>
      <w:r>
        <w:rPr>
          <w:rFonts w:ascii="仿宋" w:eastAsia="仿宋" w:hAnsi="仿宋" w:cs="仿宋"/>
          <w:spacing w:val="7"/>
          <w:sz w:val="22"/>
          <w:szCs w:val="22"/>
        </w:rPr>
        <w:t xml:space="preserve"> </w:t>
      </w:r>
      <w:r>
        <w:rPr>
          <w:rFonts w:ascii="仿宋" w:eastAsia="仿宋" w:hAnsi="仿宋" w:cs="仿宋"/>
          <w:spacing w:val="15"/>
          <w:sz w:val="22"/>
          <w:szCs w:val="22"/>
        </w:rPr>
        <w:t>辐照处理对各种食品的营养价值的影响</w:t>
      </w:r>
    </w:p>
    <w:p w:rsidR="00EA40A3" w:rsidRDefault="00E86C16">
      <w:pPr>
        <w:spacing w:before="190" w:line="244" w:lineRule="auto"/>
        <w:ind w:right="96" w:firstLine="420"/>
        <w:rPr>
          <w:rFonts w:ascii="宋体" w:eastAsia="宋体" w:hAnsi="宋体" w:cs="宋体"/>
          <w:sz w:val="22"/>
          <w:szCs w:val="22"/>
        </w:rPr>
      </w:pPr>
      <w:r>
        <w:rPr>
          <w:rFonts w:ascii="宋体" w:eastAsia="宋体" w:hAnsi="宋体" w:cs="宋体"/>
          <w:spacing w:val="-13"/>
          <w:sz w:val="22"/>
          <w:szCs w:val="22"/>
        </w:rPr>
        <w:t>从食品的整体来说，辐照处理过程食品温度升高很小，而且可以在常温或低</w:t>
      </w:r>
      <w:r>
        <w:rPr>
          <w:rFonts w:ascii="宋体" w:eastAsia="宋体" w:hAnsi="宋体" w:cs="宋体"/>
          <w:spacing w:val="1"/>
          <w:sz w:val="22"/>
          <w:szCs w:val="22"/>
        </w:rPr>
        <w:t xml:space="preserve"> </w:t>
      </w:r>
      <w:r>
        <w:rPr>
          <w:rFonts w:ascii="宋体" w:eastAsia="宋体" w:hAnsi="宋体" w:cs="宋体"/>
          <w:spacing w:val="-13"/>
          <w:sz w:val="22"/>
          <w:szCs w:val="22"/>
        </w:rPr>
        <w:t>温不进行，因此经适当辐照处理的食品在质地和色、香、味方面变化很小。</w:t>
      </w:r>
    </w:p>
    <w:p w:rsidR="00EA40A3" w:rsidRDefault="00E86C16">
      <w:pPr>
        <w:spacing w:before="13" w:line="231" w:lineRule="auto"/>
        <w:rPr>
          <w:rFonts w:ascii="楷体" w:eastAsia="楷体" w:hAnsi="楷体" w:cs="楷体"/>
          <w:sz w:val="22"/>
          <w:szCs w:val="22"/>
        </w:rPr>
      </w:pPr>
      <w:r>
        <w:rPr>
          <w:rFonts w:ascii="楷体" w:eastAsia="楷体" w:hAnsi="楷体" w:cs="楷体"/>
          <w:spacing w:val="3"/>
          <w:sz w:val="22"/>
          <w:szCs w:val="22"/>
        </w:rPr>
        <w:t>1)谷类</w:t>
      </w:r>
    </w:p>
    <w:p w:rsidR="00EA40A3" w:rsidRDefault="00E86C16">
      <w:pPr>
        <w:spacing w:before="63" w:line="246" w:lineRule="auto"/>
        <w:ind w:right="94" w:firstLine="420"/>
        <w:rPr>
          <w:rFonts w:ascii="宋体" w:eastAsia="宋体" w:hAnsi="宋体" w:cs="宋体"/>
          <w:sz w:val="22"/>
          <w:szCs w:val="22"/>
        </w:rPr>
      </w:pPr>
      <w:r>
        <w:rPr>
          <w:rFonts w:ascii="宋体" w:eastAsia="宋体" w:hAnsi="宋体" w:cs="宋体"/>
          <w:spacing w:val="-7"/>
          <w:sz w:val="22"/>
          <w:szCs w:val="22"/>
        </w:rPr>
        <w:t>造成谷类食品耗损的重要原因之一是昆虫的危害和霉菌活动导致的腐烂变</w:t>
      </w:r>
      <w:r>
        <w:rPr>
          <w:rFonts w:ascii="宋体" w:eastAsia="宋体" w:hAnsi="宋体" w:cs="宋体"/>
          <w:spacing w:val="12"/>
          <w:sz w:val="22"/>
          <w:szCs w:val="22"/>
        </w:rPr>
        <w:t xml:space="preserve"> </w:t>
      </w:r>
      <w:r>
        <w:rPr>
          <w:rFonts w:ascii="宋体" w:eastAsia="宋体" w:hAnsi="宋体" w:cs="宋体"/>
          <w:spacing w:val="-10"/>
          <w:sz w:val="22"/>
          <w:szCs w:val="22"/>
        </w:rPr>
        <w:t>质。杀虫的效果与辐照剂量有关，0.1～0.2kGy</w:t>
      </w:r>
      <w:r>
        <w:rPr>
          <w:rFonts w:ascii="宋体" w:eastAsia="宋体" w:hAnsi="宋体" w:cs="宋体"/>
          <w:spacing w:val="-34"/>
          <w:sz w:val="22"/>
          <w:szCs w:val="22"/>
        </w:rPr>
        <w:t xml:space="preserve"> </w:t>
      </w:r>
      <w:r>
        <w:rPr>
          <w:rFonts w:ascii="宋体" w:eastAsia="宋体" w:hAnsi="宋体" w:cs="宋体"/>
          <w:spacing w:val="-10"/>
          <w:sz w:val="22"/>
          <w:szCs w:val="22"/>
        </w:rPr>
        <w:t>辐照可以使昆</w:t>
      </w:r>
      <w:r>
        <w:rPr>
          <w:rFonts w:ascii="宋体" w:eastAsia="宋体" w:hAnsi="宋体" w:cs="宋体"/>
          <w:spacing w:val="-11"/>
          <w:sz w:val="22"/>
          <w:szCs w:val="22"/>
        </w:rPr>
        <w:t>虫不育，</w:t>
      </w:r>
      <w:r>
        <w:rPr>
          <w:rFonts w:ascii="宋体" w:eastAsia="宋体" w:hAnsi="宋体" w:cs="宋体"/>
          <w:spacing w:val="-4"/>
          <w:sz w:val="22"/>
          <w:szCs w:val="22"/>
        </w:rPr>
        <w:t xml:space="preserve"> </w:t>
      </w:r>
      <w:r>
        <w:rPr>
          <w:rFonts w:ascii="宋体" w:eastAsia="宋体" w:hAnsi="宋体" w:cs="宋体"/>
          <w:spacing w:val="-10"/>
          <w:sz w:val="22"/>
          <w:szCs w:val="22"/>
        </w:rPr>
        <w:t>lkGy</w:t>
      </w:r>
      <w:r>
        <w:rPr>
          <w:rFonts w:ascii="宋体" w:eastAsia="宋体" w:hAnsi="宋体" w:cs="宋体"/>
          <w:spacing w:val="-9"/>
          <w:sz w:val="22"/>
          <w:szCs w:val="22"/>
        </w:rPr>
        <w:t xml:space="preserve"> </w:t>
      </w:r>
      <w:r>
        <w:rPr>
          <w:rFonts w:ascii="宋体" w:eastAsia="宋体" w:hAnsi="宋体" w:cs="宋体"/>
          <w:spacing w:val="-11"/>
          <w:sz w:val="22"/>
          <w:szCs w:val="22"/>
        </w:rPr>
        <w:t>可</w:t>
      </w:r>
      <w:r>
        <w:rPr>
          <w:rFonts w:ascii="宋体" w:eastAsia="宋体" w:hAnsi="宋体" w:cs="宋体"/>
          <w:sz w:val="22"/>
          <w:szCs w:val="22"/>
        </w:rPr>
        <w:t xml:space="preserve"> </w:t>
      </w:r>
      <w:r>
        <w:rPr>
          <w:rFonts w:ascii="宋体" w:eastAsia="宋体" w:hAnsi="宋体" w:cs="宋体"/>
          <w:spacing w:val="-6"/>
          <w:sz w:val="22"/>
          <w:szCs w:val="22"/>
        </w:rPr>
        <w:t>使昆虫几天内死亡，3～5kGy</w:t>
      </w:r>
      <w:r>
        <w:rPr>
          <w:rFonts w:ascii="宋体" w:eastAsia="宋体" w:hAnsi="宋体" w:cs="宋体"/>
          <w:spacing w:val="-10"/>
          <w:sz w:val="22"/>
          <w:szCs w:val="22"/>
        </w:rPr>
        <w:t xml:space="preserve"> </w:t>
      </w:r>
      <w:r>
        <w:rPr>
          <w:rFonts w:ascii="宋体" w:eastAsia="宋体" w:hAnsi="宋体" w:cs="宋体"/>
          <w:spacing w:val="-6"/>
          <w:sz w:val="22"/>
          <w:szCs w:val="22"/>
        </w:rPr>
        <w:t>可使昆虫立即死亡。抑制谷类霉菌蔓延发展的辐</w:t>
      </w:r>
      <w:r>
        <w:rPr>
          <w:rFonts w:ascii="宋体" w:eastAsia="宋体" w:hAnsi="宋体" w:cs="宋体"/>
          <w:sz w:val="22"/>
          <w:szCs w:val="22"/>
        </w:rPr>
        <w:t xml:space="preserve"> </w:t>
      </w:r>
      <w:r>
        <w:rPr>
          <w:rFonts w:ascii="宋体" w:eastAsia="宋体" w:hAnsi="宋体" w:cs="宋体"/>
          <w:spacing w:val="5"/>
          <w:sz w:val="22"/>
          <w:szCs w:val="22"/>
        </w:rPr>
        <w:t>照剂量是2～4</w:t>
      </w:r>
      <w:r>
        <w:rPr>
          <w:rFonts w:ascii="宋体" w:eastAsia="宋体" w:hAnsi="宋体" w:cs="宋体"/>
          <w:sz w:val="22"/>
          <w:szCs w:val="22"/>
        </w:rPr>
        <w:t>kGy</w:t>
      </w:r>
      <w:r>
        <w:rPr>
          <w:rFonts w:ascii="宋体" w:eastAsia="宋体" w:hAnsi="宋体" w:cs="宋体"/>
          <w:spacing w:val="5"/>
          <w:sz w:val="22"/>
          <w:szCs w:val="22"/>
        </w:rPr>
        <w:t>,</w:t>
      </w:r>
      <w:r>
        <w:rPr>
          <w:rFonts w:ascii="宋体" w:eastAsia="宋体" w:hAnsi="宋体" w:cs="宋体"/>
          <w:spacing w:val="16"/>
          <w:sz w:val="22"/>
          <w:szCs w:val="22"/>
        </w:rPr>
        <w:t xml:space="preserve"> </w:t>
      </w:r>
      <w:r>
        <w:rPr>
          <w:rFonts w:ascii="宋体" w:eastAsia="宋体" w:hAnsi="宋体" w:cs="宋体"/>
          <w:spacing w:val="5"/>
          <w:sz w:val="22"/>
          <w:szCs w:val="22"/>
        </w:rPr>
        <w:t>小麦和面粉杀虫的剂量是0.20～0.75</w:t>
      </w:r>
      <w:r>
        <w:rPr>
          <w:rFonts w:ascii="宋体" w:eastAsia="宋体" w:hAnsi="宋体" w:cs="宋体"/>
          <w:sz w:val="22"/>
          <w:szCs w:val="22"/>
        </w:rPr>
        <w:t>kGy</w:t>
      </w:r>
      <w:r>
        <w:rPr>
          <w:rFonts w:ascii="宋体" w:eastAsia="宋体" w:hAnsi="宋体" w:cs="宋体"/>
          <w:spacing w:val="5"/>
          <w:sz w:val="22"/>
          <w:szCs w:val="22"/>
        </w:rPr>
        <w:t>,</w:t>
      </w:r>
      <w:r>
        <w:rPr>
          <w:rFonts w:ascii="宋体" w:eastAsia="宋体" w:hAnsi="宋体" w:cs="宋体"/>
          <w:spacing w:val="27"/>
          <w:sz w:val="22"/>
          <w:szCs w:val="22"/>
        </w:rPr>
        <w:t xml:space="preserve"> </w:t>
      </w:r>
      <w:r>
        <w:rPr>
          <w:rFonts w:ascii="宋体" w:eastAsia="宋体" w:hAnsi="宋体" w:cs="宋体"/>
          <w:spacing w:val="5"/>
          <w:sz w:val="22"/>
          <w:szCs w:val="22"/>
        </w:rPr>
        <w:t>焙烤</w:t>
      </w:r>
      <w:r>
        <w:rPr>
          <w:rFonts w:ascii="宋体" w:eastAsia="宋体" w:hAnsi="宋体" w:cs="宋体"/>
          <w:spacing w:val="4"/>
          <w:sz w:val="22"/>
          <w:szCs w:val="22"/>
        </w:rPr>
        <w:t>食品为</w:t>
      </w:r>
      <w:r>
        <w:rPr>
          <w:rFonts w:ascii="宋体" w:eastAsia="宋体" w:hAnsi="宋体" w:cs="宋体"/>
          <w:sz w:val="22"/>
          <w:szCs w:val="22"/>
        </w:rPr>
        <w:t xml:space="preserve"> </w:t>
      </w:r>
      <w:r>
        <w:rPr>
          <w:rFonts w:ascii="宋体" w:eastAsia="宋体" w:hAnsi="宋体" w:cs="宋体"/>
          <w:spacing w:val="-8"/>
          <w:sz w:val="22"/>
          <w:szCs w:val="22"/>
        </w:rPr>
        <w:t>lkGy。</w:t>
      </w:r>
      <w:r>
        <w:rPr>
          <w:rFonts w:ascii="宋体" w:eastAsia="宋体" w:hAnsi="宋体" w:cs="宋体"/>
          <w:spacing w:val="12"/>
          <w:sz w:val="22"/>
          <w:szCs w:val="22"/>
        </w:rPr>
        <w:t xml:space="preserve"> </w:t>
      </w:r>
      <w:r>
        <w:rPr>
          <w:rFonts w:ascii="宋体" w:eastAsia="宋体" w:hAnsi="宋体" w:cs="宋体"/>
          <w:spacing w:val="-8"/>
          <w:sz w:val="22"/>
          <w:szCs w:val="22"/>
        </w:rPr>
        <w:t>研究证实，经0.2～2.0kGy</w:t>
      </w:r>
      <w:r>
        <w:rPr>
          <w:rFonts w:ascii="宋体" w:eastAsia="宋体" w:hAnsi="宋体" w:cs="宋体"/>
          <w:spacing w:val="-33"/>
          <w:sz w:val="22"/>
          <w:szCs w:val="22"/>
        </w:rPr>
        <w:t xml:space="preserve"> </w:t>
      </w:r>
      <w:r>
        <w:rPr>
          <w:rFonts w:ascii="宋体" w:eastAsia="宋体" w:hAnsi="宋体" w:cs="宋体"/>
          <w:spacing w:val="-8"/>
          <w:sz w:val="22"/>
          <w:szCs w:val="22"/>
        </w:rPr>
        <w:t>剂量辐照过的玉米、小麦、大米，其营养成</w:t>
      </w:r>
      <w:r>
        <w:rPr>
          <w:rFonts w:ascii="宋体" w:eastAsia="宋体" w:hAnsi="宋体" w:cs="宋体"/>
          <w:sz w:val="22"/>
          <w:szCs w:val="22"/>
        </w:rPr>
        <w:t xml:space="preserve"> </w:t>
      </w:r>
      <w:r>
        <w:rPr>
          <w:rFonts w:ascii="宋体" w:eastAsia="宋体" w:hAnsi="宋体" w:cs="宋体"/>
          <w:spacing w:val="-16"/>
          <w:sz w:val="22"/>
          <w:szCs w:val="22"/>
        </w:rPr>
        <w:t>分未发生明显变化：</w:t>
      </w:r>
    </w:p>
    <w:p w:rsidR="00EA40A3" w:rsidRDefault="00E86C16">
      <w:pPr>
        <w:spacing w:before="67" w:line="244" w:lineRule="auto"/>
        <w:ind w:right="119" w:firstLine="420"/>
        <w:rPr>
          <w:rFonts w:ascii="宋体" w:eastAsia="宋体" w:hAnsi="宋体" w:cs="宋体"/>
          <w:sz w:val="22"/>
          <w:szCs w:val="22"/>
        </w:rPr>
      </w:pPr>
      <w:r>
        <w:rPr>
          <w:rFonts w:ascii="宋体" w:eastAsia="宋体" w:hAnsi="宋体" w:cs="宋体"/>
          <w:spacing w:val="-14"/>
          <w:sz w:val="22"/>
          <w:szCs w:val="22"/>
        </w:rPr>
        <w:t>在辐照杀虫的剂量范围内，辐照处理对谷类和豆类的营养品质没有或很少有</w:t>
      </w:r>
      <w:r>
        <w:rPr>
          <w:rFonts w:ascii="宋体" w:eastAsia="宋体" w:hAnsi="宋体" w:cs="宋体"/>
          <w:spacing w:val="11"/>
          <w:sz w:val="22"/>
          <w:szCs w:val="22"/>
        </w:rPr>
        <w:t xml:space="preserve"> </w:t>
      </w:r>
      <w:r>
        <w:rPr>
          <w:rFonts w:ascii="宋体" w:eastAsia="宋体" w:hAnsi="宋体" w:cs="宋体"/>
          <w:spacing w:val="-13"/>
          <w:sz w:val="22"/>
          <w:szCs w:val="22"/>
        </w:rPr>
        <w:t>影响，但在较高的辐照剂量下，辐照处理会对营养品质产生一定的影响。</w:t>
      </w:r>
    </w:p>
    <w:p w:rsidR="00EA40A3" w:rsidRDefault="00E86C16">
      <w:pPr>
        <w:spacing w:before="22" w:line="247" w:lineRule="auto"/>
        <w:ind w:right="94" w:firstLine="420"/>
        <w:rPr>
          <w:rFonts w:ascii="宋体" w:eastAsia="宋体" w:hAnsi="宋体" w:cs="宋体"/>
          <w:sz w:val="22"/>
          <w:szCs w:val="22"/>
        </w:rPr>
      </w:pPr>
      <w:r>
        <w:rPr>
          <w:rFonts w:ascii="宋体" w:eastAsia="宋体" w:hAnsi="宋体" w:cs="宋体"/>
          <w:spacing w:val="-3"/>
          <w:sz w:val="22"/>
          <w:szCs w:val="22"/>
        </w:rPr>
        <w:t>Marathe等(2002)研究了γ射线辐照对小麦面粉品质的影响，结果表明应</w:t>
      </w:r>
      <w:r>
        <w:rPr>
          <w:rFonts w:ascii="宋体" w:eastAsia="宋体" w:hAnsi="宋体" w:cs="宋体"/>
          <w:spacing w:val="12"/>
          <w:sz w:val="22"/>
          <w:szCs w:val="22"/>
        </w:rPr>
        <w:t xml:space="preserve"> </w:t>
      </w:r>
      <w:r>
        <w:rPr>
          <w:rFonts w:ascii="宋体" w:eastAsia="宋体" w:hAnsi="宋体" w:cs="宋体"/>
          <w:spacing w:val="-2"/>
          <w:sz w:val="22"/>
          <w:szCs w:val="22"/>
        </w:rPr>
        <w:t>用0.25～1.00kGy</w:t>
      </w:r>
      <w:r>
        <w:rPr>
          <w:rFonts w:ascii="宋体" w:eastAsia="宋体" w:hAnsi="宋体" w:cs="宋体"/>
          <w:spacing w:val="-24"/>
          <w:sz w:val="22"/>
          <w:szCs w:val="22"/>
        </w:rPr>
        <w:t xml:space="preserve"> </w:t>
      </w:r>
      <w:r>
        <w:rPr>
          <w:rFonts w:ascii="宋体" w:eastAsia="宋体" w:hAnsi="宋体" w:cs="宋体"/>
          <w:spacing w:val="-2"/>
          <w:sz w:val="22"/>
          <w:szCs w:val="22"/>
        </w:rPr>
        <w:t>的剂量辐照包装的面粉，在</w:t>
      </w:r>
      <w:r>
        <w:rPr>
          <w:rFonts w:ascii="宋体" w:eastAsia="宋体" w:hAnsi="宋体" w:cs="宋体"/>
          <w:spacing w:val="-3"/>
          <w:sz w:val="22"/>
          <w:szCs w:val="22"/>
        </w:rPr>
        <w:t>室温下保藏6个月，没有发现辐</w:t>
      </w:r>
      <w:r>
        <w:rPr>
          <w:rFonts w:ascii="宋体" w:eastAsia="宋体" w:hAnsi="宋体" w:cs="宋体"/>
          <w:sz w:val="22"/>
          <w:szCs w:val="22"/>
        </w:rPr>
        <w:t xml:space="preserve"> 照对面粉总蛋白、脂肪、碳水化合物、灰分和含水量</w:t>
      </w:r>
      <w:r>
        <w:rPr>
          <w:rFonts w:ascii="宋体" w:eastAsia="宋体" w:hAnsi="宋体" w:cs="宋体"/>
          <w:spacing w:val="-1"/>
          <w:sz w:val="22"/>
          <w:szCs w:val="22"/>
        </w:rPr>
        <w:t>有影响(见表7-6),研究</w:t>
      </w:r>
    </w:p>
    <w:p w:rsidR="00EA40A3" w:rsidRDefault="00E86C16">
      <w:pPr>
        <w:spacing w:before="50"/>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232</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footerReference w:type="default" r:id="rId201"/>
          <w:pgSz w:w="9220" w:h="13360"/>
          <w:pgMar w:top="400" w:right="1080" w:bottom="400" w:left="789" w:header="0" w:footer="0" w:gutter="0"/>
          <w:cols w:space="720"/>
        </w:sectPr>
      </w:pPr>
    </w:p>
    <w:p w:rsidR="00EA40A3" w:rsidRDefault="00EA40A3">
      <w:pPr>
        <w:spacing w:line="279" w:lineRule="auto"/>
      </w:pPr>
    </w:p>
    <w:p w:rsidR="00EA40A3" w:rsidRDefault="00EA40A3">
      <w:pPr>
        <w:spacing w:line="280" w:lineRule="auto"/>
      </w:pPr>
    </w:p>
    <w:p w:rsidR="00EA40A3" w:rsidRDefault="00E86C16">
      <w:pPr>
        <w:spacing w:before="65" w:line="219" w:lineRule="auto"/>
        <w:rPr>
          <w:rFonts w:ascii="宋体" w:eastAsia="宋体" w:hAnsi="宋体" w:cs="宋体"/>
          <w:sz w:val="20"/>
          <w:szCs w:val="20"/>
        </w:rPr>
      </w:pPr>
      <w:r>
        <w:rPr>
          <w:rFonts w:ascii="宋体" w:eastAsia="宋体" w:hAnsi="宋体" w:cs="宋体"/>
          <w:spacing w:val="9"/>
          <w:sz w:val="20"/>
          <w:szCs w:val="20"/>
        </w:rPr>
        <w:t>还表明辐照处理的面粉在储藏间出现含水量、还原糖、游离脂肪酸的轻微增加，</w:t>
      </w:r>
    </w:p>
    <w:p w:rsidR="00EA40A3" w:rsidRDefault="00E86C16">
      <w:pPr>
        <w:spacing w:before="82" w:line="219" w:lineRule="auto"/>
        <w:rPr>
          <w:rFonts w:ascii="宋体" w:eastAsia="宋体" w:hAnsi="宋体" w:cs="宋体"/>
          <w:sz w:val="20"/>
          <w:szCs w:val="20"/>
        </w:rPr>
      </w:pPr>
      <w:r>
        <w:rPr>
          <w:rFonts w:ascii="宋体" w:eastAsia="宋体" w:hAnsi="宋体" w:cs="宋体"/>
          <w:spacing w:val="1"/>
          <w:sz w:val="20"/>
          <w:szCs w:val="20"/>
        </w:rPr>
        <w:t>面粉的黏性有所下降。</w:t>
      </w:r>
    </w:p>
    <w:p w:rsidR="00EA40A3" w:rsidRDefault="00EA40A3">
      <w:pPr>
        <w:spacing w:line="273" w:lineRule="auto"/>
      </w:pPr>
    </w:p>
    <w:p w:rsidR="00EA40A3" w:rsidRDefault="00E86C16">
      <w:pPr>
        <w:spacing w:before="65" w:line="212" w:lineRule="auto"/>
        <w:ind w:left="412"/>
        <w:rPr>
          <w:rFonts w:ascii="黑体" w:eastAsia="黑体" w:hAnsi="黑体" w:cs="黑体"/>
          <w:sz w:val="20"/>
          <w:szCs w:val="20"/>
        </w:rPr>
      </w:pPr>
      <w:r>
        <w:rPr>
          <w:rFonts w:ascii="黑体" w:eastAsia="黑体" w:hAnsi="黑体" w:cs="黑体"/>
          <w:b/>
          <w:bCs/>
          <w:spacing w:val="-11"/>
          <w:sz w:val="20"/>
          <w:szCs w:val="20"/>
        </w:rPr>
        <w:t>表7-6</w:t>
      </w:r>
      <w:r>
        <w:rPr>
          <w:rFonts w:ascii="黑体" w:eastAsia="黑体" w:hAnsi="黑体" w:cs="黑体"/>
          <w:spacing w:val="61"/>
          <w:sz w:val="20"/>
          <w:szCs w:val="20"/>
        </w:rPr>
        <w:t xml:space="preserve"> </w:t>
      </w:r>
      <w:r>
        <w:rPr>
          <w:rFonts w:ascii="黑体" w:eastAsia="黑体" w:hAnsi="黑体" w:cs="黑体"/>
          <w:b/>
          <w:bCs/>
          <w:spacing w:val="-11"/>
          <w:sz w:val="20"/>
          <w:szCs w:val="20"/>
        </w:rPr>
        <w:t>辐照对小麦面粉营养成分保存率的影响</w:t>
      </w:r>
      <w:r>
        <w:rPr>
          <w:rFonts w:ascii="黑体" w:eastAsia="黑体" w:hAnsi="黑体" w:cs="黑体"/>
          <w:spacing w:val="-3"/>
          <w:sz w:val="20"/>
          <w:szCs w:val="20"/>
        </w:rPr>
        <w:t xml:space="preserve"> </w:t>
      </w:r>
      <w:r>
        <w:rPr>
          <w:rFonts w:ascii="Times New Roman" w:eastAsia="Times New Roman" w:hAnsi="Times New Roman" w:cs="Times New Roman"/>
          <w:spacing w:val="-11"/>
          <w:sz w:val="20"/>
          <w:szCs w:val="20"/>
        </w:rPr>
        <w:t>(Marathe</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1"/>
          <w:sz w:val="20"/>
          <w:szCs w:val="20"/>
        </w:rPr>
        <w:t>et</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1"/>
          <w:sz w:val="20"/>
          <w:szCs w:val="20"/>
        </w:rPr>
        <w:t>al.</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pacing w:val="-11"/>
          <w:sz w:val="20"/>
          <w:szCs w:val="20"/>
        </w:rPr>
        <w:t>20</w:t>
      </w:r>
      <w:r>
        <w:rPr>
          <w:rFonts w:ascii="Times New Roman" w:eastAsia="Times New Roman" w:hAnsi="Times New Roman" w:cs="Times New Roman"/>
          <w:spacing w:val="-12"/>
          <w:sz w:val="20"/>
          <w:szCs w:val="20"/>
        </w:rPr>
        <w:t>02)</w:t>
      </w:r>
      <w:r>
        <w:rPr>
          <w:rFonts w:ascii="Times New Roman" w:eastAsia="Times New Roman" w:hAnsi="Times New Roman" w:cs="Times New Roman"/>
          <w:spacing w:val="6"/>
          <w:sz w:val="20"/>
          <w:szCs w:val="20"/>
        </w:rPr>
        <w:t xml:space="preserve">    </w:t>
      </w:r>
      <w:r>
        <w:rPr>
          <w:rFonts w:ascii="黑体" w:eastAsia="黑体" w:hAnsi="黑体" w:cs="黑体"/>
          <w:spacing w:val="-12"/>
          <w:sz w:val="20"/>
          <w:szCs w:val="20"/>
        </w:rPr>
        <w:t>(单位：%)</w:t>
      </w:r>
    </w:p>
    <w:p w:rsidR="00EA40A3" w:rsidRDefault="00EA40A3">
      <w:pPr>
        <w:spacing w:line="49" w:lineRule="exact"/>
      </w:pPr>
    </w:p>
    <w:tbl>
      <w:tblPr>
        <w:tblStyle w:val="TableNormal"/>
        <w:tblW w:w="734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23"/>
        <w:gridCol w:w="1272"/>
        <w:gridCol w:w="810"/>
        <w:gridCol w:w="851"/>
        <w:gridCol w:w="1608"/>
        <w:gridCol w:w="1685"/>
      </w:tblGrid>
      <w:tr w:rsidR="00EA40A3">
        <w:trPr>
          <w:trHeight w:val="563"/>
        </w:trPr>
        <w:tc>
          <w:tcPr>
            <w:tcW w:w="1123" w:type="dxa"/>
            <w:tcBorders>
              <w:top w:val="single" w:sz="4" w:space="0" w:color="000000"/>
              <w:bottom w:val="single" w:sz="4" w:space="0" w:color="000000"/>
            </w:tcBorders>
          </w:tcPr>
          <w:p w:rsidR="00EA40A3" w:rsidRDefault="00E86C16">
            <w:pPr>
              <w:spacing w:before="201" w:line="219" w:lineRule="auto"/>
              <w:ind w:left="239"/>
              <w:rPr>
                <w:rFonts w:ascii="宋体" w:eastAsia="宋体" w:hAnsi="宋体" w:cs="宋体"/>
                <w:sz w:val="16"/>
                <w:szCs w:val="16"/>
              </w:rPr>
            </w:pPr>
            <w:r>
              <w:rPr>
                <w:rFonts w:ascii="宋体" w:eastAsia="宋体" w:hAnsi="宋体" w:cs="宋体"/>
                <w:spacing w:val="-3"/>
                <w:sz w:val="16"/>
                <w:szCs w:val="16"/>
              </w:rPr>
              <w:t>营养成分</w:t>
            </w:r>
          </w:p>
        </w:tc>
        <w:tc>
          <w:tcPr>
            <w:tcW w:w="1272" w:type="dxa"/>
            <w:tcBorders>
              <w:top w:val="single" w:sz="4" w:space="0" w:color="000000"/>
              <w:bottom w:val="single" w:sz="4" w:space="0" w:color="000000"/>
            </w:tcBorders>
          </w:tcPr>
          <w:p w:rsidR="00EA40A3" w:rsidRDefault="00E86C16">
            <w:pPr>
              <w:spacing w:before="201" w:line="219" w:lineRule="auto"/>
              <w:ind w:left="177"/>
              <w:rPr>
                <w:rFonts w:ascii="宋体" w:eastAsia="宋体" w:hAnsi="宋体" w:cs="宋体"/>
                <w:sz w:val="16"/>
                <w:szCs w:val="16"/>
              </w:rPr>
            </w:pPr>
            <w:r>
              <w:rPr>
                <w:rFonts w:ascii="宋体" w:eastAsia="宋体" w:hAnsi="宋体" w:cs="宋体"/>
                <w:spacing w:val="5"/>
                <w:sz w:val="16"/>
                <w:szCs w:val="16"/>
              </w:rPr>
              <w:t>保藏时间/月</w:t>
            </w:r>
          </w:p>
        </w:tc>
        <w:tc>
          <w:tcPr>
            <w:tcW w:w="810" w:type="dxa"/>
            <w:tcBorders>
              <w:top w:val="single" w:sz="4" w:space="0" w:color="000000"/>
              <w:bottom w:val="single" w:sz="4" w:space="0" w:color="000000"/>
            </w:tcBorders>
          </w:tcPr>
          <w:p w:rsidR="00EA40A3" w:rsidRDefault="00EA40A3">
            <w:pPr>
              <w:spacing w:line="378" w:lineRule="auto"/>
            </w:pPr>
          </w:p>
          <w:p w:rsidR="00EA40A3" w:rsidRDefault="00E86C16">
            <w:pPr>
              <w:spacing w:before="52" w:line="130" w:lineRule="exact"/>
              <w:ind w:left="214"/>
              <w:rPr>
                <w:rFonts w:ascii="宋体" w:eastAsia="宋体" w:hAnsi="宋体" w:cs="宋体"/>
                <w:sz w:val="16"/>
                <w:szCs w:val="16"/>
              </w:rPr>
            </w:pPr>
            <w:r>
              <w:rPr>
                <w:rFonts w:ascii="宋体" w:eastAsia="宋体" w:hAnsi="宋体" w:cs="宋体"/>
                <w:position w:val="-2"/>
                <w:sz w:val="16"/>
                <w:szCs w:val="16"/>
              </w:rPr>
              <w:t>0</w:t>
            </w:r>
          </w:p>
        </w:tc>
        <w:tc>
          <w:tcPr>
            <w:tcW w:w="851" w:type="dxa"/>
            <w:tcBorders>
              <w:top w:val="single" w:sz="4" w:space="0" w:color="000000"/>
              <w:bottom w:val="single" w:sz="4" w:space="0" w:color="000000"/>
            </w:tcBorders>
          </w:tcPr>
          <w:p w:rsidR="00EA40A3" w:rsidRDefault="00EA40A3">
            <w:pPr>
              <w:spacing w:line="378" w:lineRule="auto"/>
            </w:pPr>
          </w:p>
          <w:p w:rsidR="00EA40A3" w:rsidRDefault="00E86C16">
            <w:pPr>
              <w:spacing w:before="52" w:line="130" w:lineRule="exact"/>
              <w:ind w:left="295"/>
              <w:rPr>
                <w:rFonts w:ascii="宋体" w:eastAsia="宋体" w:hAnsi="宋体" w:cs="宋体"/>
                <w:sz w:val="16"/>
                <w:szCs w:val="16"/>
              </w:rPr>
            </w:pPr>
            <w:r>
              <w:rPr>
                <w:rFonts w:ascii="宋体" w:eastAsia="宋体" w:hAnsi="宋体" w:cs="宋体"/>
                <w:spacing w:val="-2"/>
                <w:position w:val="-2"/>
                <w:sz w:val="16"/>
                <w:szCs w:val="16"/>
              </w:rPr>
              <w:t>0.25</w:t>
            </w:r>
          </w:p>
        </w:tc>
        <w:tc>
          <w:tcPr>
            <w:tcW w:w="1608" w:type="dxa"/>
            <w:tcBorders>
              <w:top w:val="single" w:sz="4" w:space="0" w:color="000000"/>
              <w:bottom w:val="single" w:sz="4" w:space="0" w:color="000000"/>
            </w:tcBorders>
          </w:tcPr>
          <w:p w:rsidR="00EA40A3" w:rsidRDefault="00E86C16">
            <w:pPr>
              <w:spacing w:before="107" w:line="315" w:lineRule="exact"/>
              <w:ind w:left="253"/>
              <w:rPr>
                <w:rFonts w:ascii="宋体" w:eastAsia="宋体" w:hAnsi="宋体" w:cs="宋体"/>
                <w:sz w:val="16"/>
                <w:szCs w:val="16"/>
              </w:rPr>
            </w:pPr>
            <w:r>
              <w:rPr>
                <w:rFonts w:ascii="宋体" w:eastAsia="宋体" w:hAnsi="宋体" w:cs="宋体"/>
                <w:spacing w:val="-1"/>
                <w:position w:val="12"/>
                <w:sz w:val="16"/>
                <w:szCs w:val="16"/>
              </w:rPr>
              <w:t>辐照剂量/kGy</w:t>
            </w:r>
          </w:p>
          <w:p w:rsidR="00EA40A3" w:rsidRDefault="00E86C16">
            <w:pPr>
              <w:spacing w:line="161" w:lineRule="auto"/>
              <w:ind w:left="453"/>
              <w:rPr>
                <w:rFonts w:ascii="宋体" w:eastAsia="宋体" w:hAnsi="宋体" w:cs="宋体"/>
                <w:sz w:val="16"/>
                <w:szCs w:val="16"/>
              </w:rPr>
            </w:pPr>
            <w:r>
              <w:rPr>
                <w:rFonts w:ascii="宋体" w:eastAsia="宋体" w:hAnsi="宋体" w:cs="宋体"/>
                <w:spacing w:val="-2"/>
                <w:sz w:val="16"/>
                <w:szCs w:val="16"/>
              </w:rPr>
              <w:t>0.50</w:t>
            </w:r>
          </w:p>
        </w:tc>
        <w:tc>
          <w:tcPr>
            <w:tcW w:w="1685" w:type="dxa"/>
            <w:tcBorders>
              <w:top w:val="single" w:sz="4" w:space="0" w:color="000000"/>
              <w:bottom w:val="single" w:sz="4" w:space="0" w:color="000000"/>
            </w:tcBorders>
          </w:tcPr>
          <w:p w:rsidR="00EA40A3" w:rsidRDefault="00EA40A3">
            <w:pPr>
              <w:spacing w:line="368" w:lineRule="auto"/>
            </w:pPr>
          </w:p>
          <w:p w:rsidR="00EA40A3" w:rsidRDefault="00E86C16">
            <w:pPr>
              <w:spacing w:before="52" w:line="162" w:lineRule="auto"/>
              <w:ind w:left="405"/>
              <w:rPr>
                <w:rFonts w:ascii="宋体" w:eastAsia="宋体" w:hAnsi="宋体" w:cs="宋体"/>
                <w:sz w:val="16"/>
                <w:szCs w:val="16"/>
              </w:rPr>
            </w:pPr>
            <w:r>
              <w:rPr>
                <w:rFonts w:ascii="宋体" w:eastAsia="宋体" w:hAnsi="宋体" w:cs="宋体"/>
                <w:spacing w:val="-4"/>
                <w:sz w:val="16"/>
                <w:szCs w:val="16"/>
              </w:rPr>
              <w:t>1.00</w:t>
            </w:r>
          </w:p>
        </w:tc>
      </w:tr>
      <w:tr w:rsidR="00EA40A3">
        <w:trPr>
          <w:trHeight w:val="308"/>
        </w:trPr>
        <w:tc>
          <w:tcPr>
            <w:tcW w:w="1123" w:type="dxa"/>
            <w:tcBorders>
              <w:top w:val="single" w:sz="4" w:space="0" w:color="000000"/>
            </w:tcBorders>
          </w:tcPr>
          <w:p w:rsidR="00EA40A3" w:rsidRDefault="00E86C16">
            <w:pPr>
              <w:spacing w:before="68" w:line="219" w:lineRule="auto"/>
              <w:ind w:left="319"/>
              <w:rPr>
                <w:rFonts w:ascii="宋体" w:eastAsia="宋体" w:hAnsi="宋体" w:cs="宋体"/>
                <w:sz w:val="16"/>
                <w:szCs w:val="16"/>
              </w:rPr>
            </w:pPr>
            <w:r>
              <w:rPr>
                <w:rFonts w:ascii="宋体" w:eastAsia="宋体" w:hAnsi="宋体" w:cs="宋体"/>
                <w:spacing w:val="-2"/>
                <w:sz w:val="16"/>
                <w:szCs w:val="16"/>
              </w:rPr>
              <w:t>含水量</w:t>
            </w:r>
          </w:p>
        </w:tc>
        <w:tc>
          <w:tcPr>
            <w:tcW w:w="1272" w:type="dxa"/>
            <w:tcBorders>
              <w:top w:val="single" w:sz="4" w:space="0" w:color="000000"/>
            </w:tcBorders>
          </w:tcPr>
          <w:p w:rsidR="00EA40A3" w:rsidRDefault="00E86C16">
            <w:pPr>
              <w:spacing w:before="109" w:line="183" w:lineRule="auto"/>
              <w:ind w:left="576"/>
              <w:rPr>
                <w:rFonts w:ascii="宋体" w:eastAsia="宋体" w:hAnsi="宋体" w:cs="宋体"/>
                <w:sz w:val="16"/>
                <w:szCs w:val="16"/>
              </w:rPr>
            </w:pPr>
            <w:r>
              <w:rPr>
                <w:rFonts w:ascii="宋体" w:eastAsia="宋体" w:hAnsi="宋体" w:cs="宋体"/>
                <w:sz w:val="16"/>
                <w:szCs w:val="16"/>
              </w:rPr>
              <w:t>0</w:t>
            </w:r>
          </w:p>
        </w:tc>
        <w:tc>
          <w:tcPr>
            <w:tcW w:w="810" w:type="dxa"/>
            <w:tcBorders>
              <w:top w:val="single" w:sz="4" w:space="0" w:color="000000"/>
            </w:tcBorders>
          </w:tcPr>
          <w:p w:rsidR="00EA40A3" w:rsidRDefault="00E86C16">
            <w:pPr>
              <w:spacing w:before="109" w:line="183" w:lineRule="auto"/>
              <w:ind w:left="214"/>
              <w:rPr>
                <w:rFonts w:ascii="宋体" w:eastAsia="宋体" w:hAnsi="宋体" w:cs="宋体"/>
                <w:sz w:val="16"/>
                <w:szCs w:val="16"/>
              </w:rPr>
            </w:pPr>
            <w:r>
              <w:rPr>
                <w:rFonts w:ascii="宋体" w:eastAsia="宋体" w:hAnsi="宋体" w:cs="宋体"/>
                <w:spacing w:val="-2"/>
                <w:sz w:val="16"/>
                <w:szCs w:val="16"/>
              </w:rPr>
              <w:t>8.8</w:t>
            </w:r>
          </w:p>
        </w:tc>
        <w:tc>
          <w:tcPr>
            <w:tcW w:w="851" w:type="dxa"/>
            <w:tcBorders>
              <w:top w:val="single" w:sz="4" w:space="0" w:color="000000"/>
            </w:tcBorders>
          </w:tcPr>
          <w:p w:rsidR="00EA40A3" w:rsidRDefault="00E86C16">
            <w:pPr>
              <w:spacing w:before="109" w:line="183" w:lineRule="auto"/>
              <w:ind w:left="374"/>
              <w:rPr>
                <w:rFonts w:ascii="宋体" w:eastAsia="宋体" w:hAnsi="宋体" w:cs="宋体"/>
                <w:sz w:val="16"/>
                <w:szCs w:val="16"/>
              </w:rPr>
            </w:pPr>
            <w:r>
              <w:rPr>
                <w:rFonts w:ascii="宋体" w:eastAsia="宋体" w:hAnsi="宋体" w:cs="宋体"/>
                <w:spacing w:val="-2"/>
                <w:sz w:val="16"/>
                <w:szCs w:val="16"/>
              </w:rPr>
              <w:t>8.2</w:t>
            </w:r>
          </w:p>
        </w:tc>
        <w:tc>
          <w:tcPr>
            <w:tcW w:w="1608" w:type="dxa"/>
            <w:tcBorders>
              <w:top w:val="single" w:sz="4" w:space="0" w:color="000000"/>
            </w:tcBorders>
          </w:tcPr>
          <w:p w:rsidR="00EA40A3" w:rsidRDefault="00E86C16">
            <w:pPr>
              <w:spacing w:before="109" w:line="183" w:lineRule="auto"/>
              <w:ind w:left="453"/>
              <w:rPr>
                <w:rFonts w:ascii="宋体" w:eastAsia="宋体" w:hAnsi="宋体" w:cs="宋体"/>
                <w:sz w:val="16"/>
                <w:szCs w:val="16"/>
              </w:rPr>
            </w:pPr>
            <w:r>
              <w:rPr>
                <w:rFonts w:ascii="宋体" w:eastAsia="宋体" w:hAnsi="宋体" w:cs="宋体"/>
                <w:spacing w:val="-2"/>
                <w:sz w:val="16"/>
                <w:szCs w:val="16"/>
              </w:rPr>
              <w:t>8.5</w:t>
            </w:r>
          </w:p>
        </w:tc>
        <w:tc>
          <w:tcPr>
            <w:tcW w:w="1685" w:type="dxa"/>
            <w:tcBorders>
              <w:top w:val="single" w:sz="4" w:space="0" w:color="000000"/>
            </w:tcBorders>
          </w:tcPr>
          <w:p w:rsidR="00EA40A3" w:rsidRDefault="00E86C16">
            <w:pPr>
              <w:spacing w:before="109" w:line="183" w:lineRule="auto"/>
              <w:ind w:left="405"/>
              <w:rPr>
                <w:rFonts w:ascii="宋体" w:eastAsia="宋体" w:hAnsi="宋体" w:cs="宋体"/>
                <w:sz w:val="16"/>
                <w:szCs w:val="16"/>
              </w:rPr>
            </w:pPr>
            <w:r>
              <w:rPr>
                <w:rFonts w:ascii="宋体" w:eastAsia="宋体" w:hAnsi="宋体" w:cs="宋体"/>
                <w:spacing w:val="-2"/>
                <w:sz w:val="16"/>
                <w:szCs w:val="16"/>
              </w:rPr>
              <w:t>8.5</w:t>
            </w:r>
          </w:p>
        </w:tc>
      </w:tr>
      <w:tr w:rsidR="00EA40A3">
        <w:trPr>
          <w:trHeight w:val="276"/>
        </w:trPr>
        <w:tc>
          <w:tcPr>
            <w:tcW w:w="1123" w:type="dxa"/>
          </w:tcPr>
          <w:p w:rsidR="00EA40A3" w:rsidRDefault="00EA40A3"/>
        </w:tc>
        <w:tc>
          <w:tcPr>
            <w:tcW w:w="1272" w:type="dxa"/>
          </w:tcPr>
          <w:p w:rsidR="00EA40A3" w:rsidRDefault="00E86C16">
            <w:pPr>
              <w:spacing w:before="101" w:line="183" w:lineRule="auto"/>
              <w:ind w:left="576"/>
              <w:rPr>
                <w:rFonts w:ascii="宋体" w:eastAsia="宋体" w:hAnsi="宋体" w:cs="宋体"/>
                <w:sz w:val="16"/>
                <w:szCs w:val="16"/>
              </w:rPr>
            </w:pPr>
            <w:r>
              <w:rPr>
                <w:rFonts w:ascii="宋体" w:eastAsia="宋体" w:hAnsi="宋体" w:cs="宋体"/>
                <w:sz w:val="16"/>
                <w:szCs w:val="16"/>
              </w:rPr>
              <w:t>6</w:t>
            </w:r>
          </w:p>
        </w:tc>
        <w:tc>
          <w:tcPr>
            <w:tcW w:w="810" w:type="dxa"/>
          </w:tcPr>
          <w:p w:rsidR="00EA40A3" w:rsidRDefault="00E86C16">
            <w:pPr>
              <w:spacing w:before="101" w:line="183" w:lineRule="auto"/>
              <w:ind w:left="214"/>
              <w:rPr>
                <w:rFonts w:ascii="宋体" w:eastAsia="宋体" w:hAnsi="宋体" w:cs="宋体"/>
                <w:sz w:val="16"/>
                <w:szCs w:val="16"/>
              </w:rPr>
            </w:pPr>
            <w:r>
              <w:rPr>
                <w:rFonts w:ascii="宋体" w:eastAsia="宋体" w:hAnsi="宋体" w:cs="宋体"/>
                <w:spacing w:val="-2"/>
                <w:sz w:val="16"/>
                <w:szCs w:val="16"/>
              </w:rPr>
              <w:t>9.7</w:t>
            </w:r>
          </w:p>
        </w:tc>
        <w:tc>
          <w:tcPr>
            <w:tcW w:w="851" w:type="dxa"/>
          </w:tcPr>
          <w:p w:rsidR="00EA40A3" w:rsidRDefault="00E86C16">
            <w:pPr>
              <w:spacing w:before="101" w:line="183" w:lineRule="auto"/>
              <w:ind w:left="374"/>
              <w:rPr>
                <w:rFonts w:ascii="宋体" w:eastAsia="宋体" w:hAnsi="宋体" w:cs="宋体"/>
                <w:sz w:val="16"/>
                <w:szCs w:val="16"/>
              </w:rPr>
            </w:pPr>
            <w:r>
              <w:rPr>
                <w:rFonts w:ascii="宋体" w:eastAsia="宋体" w:hAnsi="宋体" w:cs="宋体"/>
                <w:spacing w:val="-2"/>
                <w:sz w:val="16"/>
                <w:szCs w:val="16"/>
              </w:rPr>
              <w:t>9.9</w:t>
            </w:r>
          </w:p>
        </w:tc>
        <w:tc>
          <w:tcPr>
            <w:tcW w:w="1608" w:type="dxa"/>
          </w:tcPr>
          <w:p w:rsidR="00EA40A3" w:rsidRDefault="00E86C16">
            <w:pPr>
              <w:spacing w:before="91" w:line="183" w:lineRule="auto"/>
              <w:ind w:left="453"/>
              <w:rPr>
                <w:rFonts w:ascii="宋体" w:eastAsia="宋体" w:hAnsi="宋体" w:cs="宋体"/>
                <w:sz w:val="16"/>
                <w:szCs w:val="16"/>
              </w:rPr>
            </w:pPr>
            <w:r>
              <w:rPr>
                <w:rFonts w:ascii="宋体" w:eastAsia="宋体" w:hAnsi="宋体" w:cs="宋体"/>
                <w:spacing w:val="-2"/>
                <w:sz w:val="16"/>
                <w:szCs w:val="16"/>
              </w:rPr>
              <w:t>9.7</w:t>
            </w:r>
          </w:p>
        </w:tc>
        <w:tc>
          <w:tcPr>
            <w:tcW w:w="1685" w:type="dxa"/>
          </w:tcPr>
          <w:p w:rsidR="00EA40A3" w:rsidRDefault="00E86C16">
            <w:pPr>
              <w:spacing w:before="91" w:line="184" w:lineRule="auto"/>
              <w:ind w:left="405"/>
              <w:rPr>
                <w:rFonts w:ascii="宋体" w:eastAsia="宋体" w:hAnsi="宋体" w:cs="宋体"/>
                <w:sz w:val="16"/>
                <w:szCs w:val="16"/>
              </w:rPr>
            </w:pPr>
            <w:r>
              <w:rPr>
                <w:rFonts w:ascii="宋体" w:eastAsia="宋体" w:hAnsi="宋体" w:cs="宋体"/>
                <w:spacing w:val="-4"/>
                <w:sz w:val="16"/>
                <w:szCs w:val="16"/>
              </w:rPr>
              <w:t>10.6</w:t>
            </w:r>
          </w:p>
        </w:tc>
      </w:tr>
      <w:tr w:rsidR="00EA40A3">
        <w:trPr>
          <w:trHeight w:val="543"/>
        </w:trPr>
        <w:tc>
          <w:tcPr>
            <w:tcW w:w="1123" w:type="dxa"/>
          </w:tcPr>
          <w:p w:rsidR="00EA40A3" w:rsidRDefault="00E86C16">
            <w:pPr>
              <w:spacing w:before="65" w:line="220" w:lineRule="auto"/>
              <w:ind w:left="399"/>
              <w:rPr>
                <w:rFonts w:ascii="宋体" w:eastAsia="宋体" w:hAnsi="宋体" w:cs="宋体"/>
                <w:sz w:val="16"/>
                <w:szCs w:val="16"/>
              </w:rPr>
            </w:pPr>
            <w:r>
              <w:rPr>
                <w:rFonts w:ascii="宋体" w:eastAsia="宋体" w:hAnsi="宋体" w:cs="宋体"/>
                <w:spacing w:val="-2"/>
                <w:sz w:val="16"/>
                <w:szCs w:val="16"/>
              </w:rPr>
              <w:t>脂肪</w:t>
            </w:r>
          </w:p>
        </w:tc>
        <w:tc>
          <w:tcPr>
            <w:tcW w:w="1272" w:type="dxa"/>
          </w:tcPr>
          <w:p w:rsidR="00EA40A3" w:rsidRDefault="00E86C16">
            <w:pPr>
              <w:spacing w:before="105" w:line="183" w:lineRule="auto"/>
              <w:ind w:left="576"/>
              <w:rPr>
                <w:rFonts w:ascii="宋体" w:eastAsia="宋体" w:hAnsi="宋体" w:cs="宋体"/>
                <w:sz w:val="16"/>
                <w:szCs w:val="16"/>
              </w:rPr>
            </w:pPr>
            <w:r>
              <w:rPr>
                <w:rFonts w:ascii="宋体" w:eastAsia="宋体" w:hAnsi="宋体" w:cs="宋体"/>
                <w:sz w:val="16"/>
                <w:szCs w:val="16"/>
              </w:rPr>
              <w:t>0</w:t>
            </w:r>
          </w:p>
          <w:p w:rsidR="00EA40A3" w:rsidRDefault="00E86C16">
            <w:pPr>
              <w:spacing w:before="111" w:line="183" w:lineRule="auto"/>
              <w:ind w:left="576"/>
              <w:rPr>
                <w:rFonts w:ascii="宋体" w:eastAsia="宋体" w:hAnsi="宋体" w:cs="宋体"/>
                <w:sz w:val="16"/>
                <w:szCs w:val="16"/>
              </w:rPr>
            </w:pPr>
            <w:r>
              <w:rPr>
                <w:rFonts w:ascii="宋体" w:eastAsia="宋体" w:hAnsi="宋体" w:cs="宋体"/>
                <w:sz w:val="16"/>
                <w:szCs w:val="16"/>
              </w:rPr>
              <w:t>6</w:t>
            </w:r>
          </w:p>
        </w:tc>
        <w:tc>
          <w:tcPr>
            <w:tcW w:w="810" w:type="dxa"/>
          </w:tcPr>
          <w:p w:rsidR="00EA40A3" w:rsidRDefault="00E86C16">
            <w:pPr>
              <w:spacing w:before="105" w:line="260" w:lineRule="exact"/>
              <w:ind w:left="214"/>
              <w:rPr>
                <w:rFonts w:ascii="宋体" w:eastAsia="宋体" w:hAnsi="宋体" w:cs="宋体"/>
                <w:sz w:val="16"/>
                <w:szCs w:val="16"/>
              </w:rPr>
            </w:pPr>
            <w:r>
              <w:rPr>
                <w:rFonts w:ascii="宋体" w:eastAsia="宋体" w:hAnsi="宋体" w:cs="宋体"/>
                <w:spacing w:val="-5"/>
                <w:position w:val="10"/>
                <w:sz w:val="16"/>
                <w:szCs w:val="16"/>
              </w:rPr>
              <w:t>1.9</w:t>
            </w:r>
          </w:p>
          <w:p w:rsidR="00EA40A3" w:rsidRDefault="00E86C16">
            <w:pPr>
              <w:spacing w:line="183" w:lineRule="auto"/>
              <w:ind w:left="214"/>
              <w:rPr>
                <w:rFonts w:ascii="宋体" w:eastAsia="宋体" w:hAnsi="宋体" w:cs="宋体"/>
                <w:sz w:val="16"/>
                <w:szCs w:val="16"/>
              </w:rPr>
            </w:pPr>
            <w:r>
              <w:rPr>
                <w:rFonts w:ascii="宋体" w:eastAsia="宋体" w:hAnsi="宋体" w:cs="宋体"/>
                <w:spacing w:val="-5"/>
                <w:sz w:val="16"/>
                <w:szCs w:val="16"/>
              </w:rPr>
              <w:t>1.9</w:t>
            </w:r>
          </w:p>
        </w:tc>
        <w:tc>
          <w:tcPr>
            <w:tcW w:w="851" w:type="dxa"/>
          </w:tcPr>
          <w:p w:rsidR="00EA40A3" w:rsidRDefault="00E86C16">
            <w:pPr>
              <w:spacing w:before="105" w:line="260" w:lineRule="exact"/>
              <w:ind w:left="374"/>
              <w:rPr>
                <w:rFonts w:ascii="宋体" w:eastAsia="宋体" w:hAnsi="宋体" w:cs="宋体"/>
                <w:sz w:val="16"/>
                <w:szCs w:val="16"/>
              </w:rPr>
            </w:pPr>
            <w:r>
              <w:rPr>
                <w:rFonts w:ascii="宋体" w:eastAsia="宋体" w:hAnsi="宋体" w:cs="宋体"/>
                <w:spacing w:val="-2"/>
                <w:position w:val="10"/>
                <w:sz w:val="16"/>
                <w:szCs w:val="16"/>
              </w:rPr>
              <w:t>2.0</w:t>
            </w:r>
          </w:p>
          <w:p w:rsidR="00EA40A3" w:rsidRDefault="00E86C16">
            <w:pPr>
              <w:spacing w:line="183" w:lineRule="auto"/>
              <w:ind w:left="374"/>
              <w:rPr>
                <w:rFonts w:ascii="宋体" w:eastAsia="宋体" w:hAnsi="宋体" w:cs="宋体"/>
                <w:sz w:val="16"/>
                <w:szCs w:val="16"/>
              </w:rPr>
            </w:pPr>
            <w:r>
              <w:rPr>
                <w:rFonts w:ascii="宋体" w:eastAsia="宋体" w:hAnsi="宋体" w:cs="宋体"/>
                <w:spacing w:val="-5"/>
                <w:sz w:val="16"/>
                <w:szCs w:val="16"/>
              </w:rPr>
              <w:t>1.9</w:t>
            </w:r>
          </w:p>
        </w:tc>
        <w:tc>
          <w:tcPr>
            <w:tcW w:w="1608" w:type="dxa"/>
          </w:tcPr>
          <w:p w:rsidR="00EA40A3" w:rsidRDefault="00E86C16">
            <w:pPr>
              <w:spacing w:before="95" w:line="280" w:lineRule="exact"/>
              <w:ind w:left="453"/>
              <w:rPr>
                <w:rFonts w:ascii="宋体" w:eastAsia="宋体" w:hAnsi="宋体" w:cs="宋体"/>
                <w:sz w:val="16"/>
                <w:szCs w:val="16"/>
              </w:rPr>
            </w:pPr>
            <w:r>
              <w:rPr>
                <w:rFonts w:ascii="宋体" w:eastAsia="宋体" w:hAnsi="宋体" w:cs="宋体"/>
                <w:spacing w:val="-5"/>
                <w:position w:val="11"/>
                <w:sz w:val="16"/>
                <w:szCs w:val="16"/>
              </w:rPr>
              <w:t>1.9</w:t>
            </w:r>
          </w:p>
          <w:p w:rsidR="00EA40A3" w:rsidRDefault="00E86C16">
            <w:pPr>
              <w:spacing w:line="183" w:lineRule="auto"/>
              <w:ind w:left="453"/>
              <w:rPr>
                <w:rFonts w:ascii="宋体" w:eastAsia="宋体" w:hAnsi="宋体" w:cs="宋体"/>
                <w:sz w:val="16"/>
                <w:szCs w:val="16"/>
              </w:rPr>
            </w:pPr>
            <w:r>
              <w:rPr>
                <w:rFonts w:ascii="宋体" w:eastAsia="宋体" w:hAnsi="宋体" w:cs="宋体"/>
                <w:spacing w:val="-5"/>
                <w:sz w:val="16"/>
                <w:szCs w:val="16"/>
              </w:rPr>
              <w:t>1.9</w:t>
            </w:r>
          </w:p>
        </w:tc>
        <w:tc>
          <w:tcPr>
            <w:tcW w:w="1685" w:type="dxa"/>
          </w:tcPr>
          <w:p w:rsidR="00EA40A3" w:rsidRDefault="00E86C16">
            <w:pPr>
              <w:spacing w:before="95" w:line="270" w:lineRule="exact"/>
              <w:ind w:left="405"/>
              <w:rPr>
                <w:rFonts w:ascii="宋体" w:eastAsia="宋体" w:hAnsi="宋体" w:cs="宋体"/>
                <w:sz w:val="16"/>
                <w:szCs w:val="16"/>
              </w:rPr>
            </w:pPr>
            <w:r>
              <w:rPr>
                <w:rFonts w:ascii="宋体" w:eastAsia="宋体" w:hAnsi="宋体" w:cs="宋体"/>
                <w:spacing w:val="-2"/>
                <w:position w:val="10"/>
                <w:sz w:val="16"/>
                <w:szCs w:val="16"/>
              </w:rPr>
              <w:t>2.0</w:t>
            </w:r>
          </w:p>
          <w:p w:rsidR="00EA40A3" w:rsidRDefault="00E86C16">
            <w:pPr>
              <w:spacing w:line="183" w:lineRule="auto"/>
              <w:ind w:left="405"/>
              <w:rPr>
                <w:rFonts w:ascii="宋体" w:eastAsia="宋体" w:hAnsi="宋体" w:cs="宋体"/>
                <w:sz w:val="16"/>
                <w:szCs w:val="16"/>
              </w:rPr>
            </w:pPr>
            <w:r>
              <w:rPr>
                <w:rFonts w:ascii="宋体" w:eastAsia="宋体" w:hAnsi="宋体" w:cs="宋体"/>
                <w:spacing w:val="-5"/>
                <w:sz w:val="16"/>
                <w:szCs w:val="16"/>
              </w:rPr>
              <w:t>1.9</w:t>
            </w:r>
          </w:p>
        </w:tc>
      </w:tr>
      <w:tr w:rsidR="00EA40A3">
        <w:trPr>
          <w:trHeight w:val="544"/>
        </w:trPr>
        <w:tc>
          <w:tcPr>
            <w:tcW w:w="1123" w:type="dxa"/>
          </w:tcPr>
          <w:p w:rsidR="00EA40A3" w:rsidRDefault="00E86C16">
            <w:pPr>
              <w:spacing w:before="61" w:line="219" w:lineRule="auto"/>
              <w:ind w:left="399"/>
              <w:rPr>
                <w:rFonts w:ascii="宋体" w:eastAsia="宋体" w:hAnsi="宋体" w:cs="宋体"/>
                <w:sz w:val="16"/>
                <w:szCs w:val="16"/>
              </w:rPr>
            </w:pPr>
            <w:r>
              <w:rPr>
                <w:rFonts w:ascii="宋体" w:eastAsia="宋体" w:hAnsi="宋体" w:cs="宋体"/>
                <w:spacing w:val="-2"/>
                <w:sz w:val="16"/>
                <w:szCs w:val="16"/>
              </w:rPr>
              <w:t>灰分</w:t>
            </w:r>
          </w:p>
        </w:tc>
        <w:tc>
          <w:tcPr>
            <w:tcW w:w="1272" w:type="dxa"/>
          </w:tcPr>
          <w:p w:rsidR="00EA40A3" w:rsidRDefault="00E86C16">
            <w:pPr>
              <w:spacing w:before="102" w:line="183" w:lineRule="auto"/>
              <w:ind w:left="576"/>
              <w:rPr>
                <w:rFonts w:ascii="宋体" w:eastAsia="宋体" w:hAnsi="宋体" w:cs="宋体"/>
                <w:sz w:val="16"/>
                <w:szCs w:val="16"/>
              </w:rPr>
            </w:pPr>
            <w:r>
              <w:rPr>
                <w:rFonts w:ascii="宋体" w:eastAsia="宋体" w:hAnsi="宋体" w:cs="宋体"/>
                <w:sz w:val="16"/>
                <w:szCs w:val="16"/>
              </w:rPr>
              <w:t>0</w:t>
            </w:r>
          </w:p>
          <w:p w:rsidR="00EA40A3" w:rsidRDefault="00E86C16">
            <w:pPr>
              <w:spacing w:before="121" w:line="183" w:lineRule="auto"/>
              <w:ind w:left="576"/>
              <w:rPr>
                <w:rFonts w:ascii="宋体" w:eastAsia="宋体" w:hAnsi="宋体" w:cs="宋体"/>
                <w:sz w:val="16"/>
                <w:szCs w:val="16"/>
              </w:rPr>
            </w:pPr>
            <w:r>
              <w:rPr>
                <w:rFonts w:ascii="宋体" w:eastAsia="宋体" w:hAnsi="宋体" w:cs="宋体"/>
                <w:sz w:val="16"/>
                <w:szCs w:val="16"/>
              </w:rPr>
              <w:t>6</w:t>
            </w:r>
          </w:p>
        </w:tc>
        <w:tc>
          <w:tcPr>
            <w:tcW w:w="810" w:type="dxa"/>
          </w:tcPr>
          <w:p w:rsidR="00EA40A3" w:rsidRDefault="00E86C16">
            <w:pPr>
              <w:spacing w:before="112" w:line="270" w:lineRule="exact"/>
              <w:ind w:left="214"/>
              <w:rPr>
                <w:rFonts w:ascii="宋体" w:eastAsia="宋体" w:hAnsi="宋体" w:cs="宋体"/>
                <w:sz w:val="16"/>
                <w:szCs w:val="16"/>
              </w:rPr>
            </w:pPr>
            <w:r>
              <w:rPr>
                <w:rFonts w:ascii="宋体" w:eastAsia="宋体" w:hAnsi="宋体" w:cs="宋体"/>
                <w:spacing w:val="-5"/>
                <w:position w:val="10"/>
                <w:sz w:val="16"/>
                <w:szCs w:val="16"/>
              </w:rPr>
              <w:t>1.6</w:t>
            </w:r>
          </w:p>
          <w:p w:rsidR="00EA40A3" w:rsidRDefault="00E86C16">
            <w:pPr>
              <w:spacing w:line="183" w:lineRule="auto"/>
              <w:ind w:left="214"/>
              <w:rPr>
                <w:rFonts w:ascii="宋体" w:eastAsia="宋体" w:hAnsi="宋体" w:cs="宋体"/>
                <w:sz w:val="16"/>
                <w:szCs w:val="16"/>
              </w:rPr>
            </w:pPr>
            <w:r>
              <w:rPr>
                <w:rFonts w:ascii="宋体" w:eastAsia="宋体" w:hAnsi="宋体" w:cs="宋体"/>
                <w:spacing w:val="-5"/>
                <w:sz w:val="16"/>
                <w:szCs w:val="16"/>
              </w:rPr>
              <w:t>1.4</w:t>
            </w:r>
          </w:p>
        </w:tc>
        <w:tc>
          <w:tcPr>
            <w:tcW w:w="851" w:type="dxa"/>
          </w:tcPr>
          <w:p w:rsidR="00EA40A3" w:rsidRDefault="00E86C16">
            <w:pPr>
              <w:spacing w:before="102" w:line="280" w:lineRule="exact"/>
              <w:ind w:left="374"/>
              <w:rPr>
                <w:rFonts w:ascii="宋体" w:eastAsia="宋体" w:hAnsi="宋体" w:cs="宋体"/>
                <w:sz w:val="16"/>
                <w:szCs w:val="16"/>
              </w:rPr>
            </w:pPr>
            <w:r>
              <w:rPr>
                <w:rFonts w:ascii="宋体" w:eastAsia="宋体" w:hAnsi="宋体" w:cs="宋体"/>
                <w:spacing w:val="-5"/>
                <w:position w:val="11"/>
                <w:sz w:val="16"/>
                <w:szCs w:val="16"/>
              </w:rPr>
              <w:t>1.4</w:t>
            </w:r>
          </w:p>
          <w:p w:rsidR="00EA40A3" w:rsidRDefault="00E86C16">
            <w:pPr>
              <w:spacing w:line="183" w:lineRule="auto"/>
              <w:ind w:left="374"/>
              <w:rPr>
                <w:rFonts w:ascii="宋体" w:eastAsia="宋体" w:hAnsi="宋体" w:cs="宋体"/>
                <w:sz w:val="16"/>
                <w:szCs w:val="16"/>
              </w:rPr>
            </w:pPr>
            <w:r>
              <w:rPr>
                <w:rFonts w:ascii="宋体" w:eastAsia="宋体" w:hAnsi="宋体" w:cs="宋体"/>
                <w:spacing w:val="-5"/>
                <w:sz w:val="16"/>
                <w:szCs w:val="16"/>
              </w:rPr>
              <w:t>1.5</w:t>
            </w:r>
          </w:p>
        </w:tc>
        <w:tc>
          <w:tcPr>
            <w:tcW w:w="1608" w:type="dxa"/>
          </w:tcPr>
          <w:p w:rsidR="00EA40A3" w:rsidRDefault="00E86C16">
            <w:pPr>
              <w:spacing w:before="112" w:line="270" w:lineRule="exact"/>
              <w:ind w:left="453"/>
              <w:rPr>
                <w:rFonts w:ascii="宋体" w:eastAsia="宋体" w:hAnsi="宋体" w:cs="宋体"/>
                <w:sz w:val="16"/>
                <w:szCs w:val="16"/>
              </w:rPr>
            </w:pPr>
            <w:r>
              <w:rPr>
                <w:rFonts w:ascii="宋体" w:eastAsia="宋体" w:hAnsi="宋体" w:cs="宋体"/>
                <w:spacing w:val="-5"/>
                <w:position w:val="10"/>
                <w:sz w:val="16"/>
                <w:szCs w:val="16"/>
              </w:rPr>
              <w:t>1.4</w:t>
            </w:r>
          </w:p>
          <w:p w:rsidR="00EA40A3" w:rsidRDefault="00E86C16">
            <w:pPr>
              <w:spacing w:line="183" w:lineRule="auto"/>
              <w:ind w:left="453"/>
              <w:rPr>
                <w:rFonts w:ascii="宋体" w:eastAsia="宋体" w:hAnsi="宋体" w:cs="宋体"/>
                <w:sz w:val="16"/>
                <w:szCs w:val="16"/>
              </w:rPr>
            </w:pPr>
            <w:r>
              <w:rPr>
                <w:rFonts w:ascii="宋体" w:eastAsia="宋体" w:hAnsi="宋体" w:cs="宋体"/>
                <w:spacing w:val="-5"/>
                <w:sz w:val="16"/>
                <w:szCs w:val="16"/>
              </w:rPr>
              <w:t>1.5</w:t>
            </w:r>
          </w:p>
        </w:tc>
        <w:tc>
          <w:tcPr>
            <w:tcW w:w="1685" w:type="dxa"/>
          </w:tcPr>
          <w:p w:rsidR="00EA40A3" w:rsidRDefault="00E86C16">
            <w:pPr>
              <w:spacing w:before="102" w:line="270" w:lineRule="exact"/>
              <w:ind w:left="405"/>
              <w:rPr>
                <w:rFonts w:ascii="宋体" w:eastAsia="宋体" w:hAnsi="宋体" w:cs="宋体"/>
                <w:sz w:val="16"/>
                <w:szCs w:val="16"/>
              </w:rPr>
            </w:pPr>
            <w:r>
              <w:rPr>
                <w:rFonts w:ascii="宋体" w:eastAsia="宋体" w:hAnsi="宋体" w:cs="宋体"/>
                <w:spacing w:val="-5"/>
                <w:position w:val="10"/>
                <w:sz w:val="16"/>
                <w:szCs w:val="16"/>
              </w:rPr>
              <w:t>1.6</w:t>
            </w:r>
          </w:p>
          <w:p w:rsidR="00EA40A3" w:rsidRDefault="00E86C16">
            <w:pPr>
              <w:spacing w:line="183" w:lineRule="auto"/>
              <w:ind w:left="405"/>
              <w:rPr>
                <w:rFonts w:ascii="宋体" w:eastAsia="宋体" w:hAnsi="宋体" w:cs="宋体"/>
                <w:sz w:val="16"/>
                <w:szCs w:val="16"/>
              </w:rPr>
            </w:pPr>
            <w:r>
              <w:rPr>
                <w:rFonts w:ascii="宋体" w:eastAsia="宋体" w:hAnsi="宋体" w:cs="宋体"/>
                <w:spacing w:val="-5"/>
                <w:sz w:val="16"/>
                <w:szCs w:val="16"/>
              </w:rPr>
              <w:t>1.8</w:t>
            </w:r>
          </w:p>
        </w:tc>
      </w:tr>
      <w:tr w:rsidR="00EA40A3">
        <w:trPr>
          <w:trHeight w:val="547"/>
        </w:trPr>
        <w:tc>
          <w:tcPr>
            <w:tcW w:w="1123" w:type="dxa"/>
          </w:tcPr>
          <w:p w:rsidR="00EA40A3" w:rsidRDefault="00E86C16">
            <w:pPr>
              <w:spacing w:before="58" w:line="220" w:lineRule="auto"/>
              <w:ind w:left="319"/>
              <w:rPr>
                <w:rFonts w:ascii="宋体" w:eastAsia="宋体" w:hAnsi="宋体" w:cs="宋体"/>
                <w:sz w:val="16"/>
                <w:szCs w:val="16"/>
              </w:rPr>
            </w:pPr>
            <w:r>
              <w:rPr>
                <w:rFonts w:ascii="宋体" w:eastAsia="宋体" w:hAnsi="宋体" w:cs="宋体"/>
                <w:spacing w:val="6"/>
                <w:sz w:val="16"/>
                <w:szCs w:val="16"/>
              </w:rPr>
              <w:t>蛋白质</w:t>
            </w:r>
          </w:p>
        </w:tc>
        <w:tc>
          <w:tcPr>
            <w:tcW w:w="1272" w:type="dxa"/>
          </w:tcPr>
          <w:p w:rsidR="00EA40A3" w:rsidRDefault="00E86C16">
            <w:pPr>
              <w:spacing w:before="108" w:line="183" w:lineRule="auto"/>
              <w:ind w:left="576"/>
              <w:rPr>
                <w:rFonts w:ascii="宋体" w:eastAsia="宋体" w:hAnsi="宋体" w:cs="宋体"/>
                <w:sz w:val="16"/>
                <w:szCs w:val="16"/>
              </w:rPr>
            </w:pPr>
            <w:r>
              <w:rPr>
                <w:rFonts w:ascii="宋体" w:eastAsia="宋体" w:hAnsi="宋体" w:cs="宋体"/>
                <w:sz w:val="16"/>
                <w:szCs w:val="16"/>
              </w:rPr>
              <w:t>0</w:t>
            </w:r>
          </w:p>
          <w:p w:rsidR="00EA40A3" w:rsidRDefault="00E86C16">
            <w:pPr>
              <w:spacing w:before="121" w:line="182" w:lineRule="auto"/>
              <w:ind w:left="576"/>
              <w:rPr>
                <w:rFonts w:ascii="宋体" w:eastAsia="宋体" w:hAnsi="宋体" w:cs="宋体"/>
                <w:sz w:val="16"/>
                <w:szCs w:val="16"/>
              </w:rPr>
            </w:pPr>
            <w:r>
              <w:rPr>
                <w:rFonts w:ascii="宋体" w:eastAsia="宋体" w:hAnsi="宋体" w:cs="宋体"/>
                <w:sz w:val="16"/>
                <w:szCs w:val="16"/>
              </w:rPr>
              <w:t>6</w:t>
            </w:r>
          </w:p>
        </w:tc>
        <w:tc>
          <w:tcPr>
            <w:tcW w:w="810" w:type="dxa"/>
          </w:tcPr>
          <w:p w:rsidR="00EA40A3" w:rsidRDefault="00E86C16">
            <w:pPr>
              <w:spacing w:before="98" w:line="280" w:lineRule="exact"/>
              <w:ind w:left="214"/>
              <w:rPr>
                <w:rFonts w:ascii="宋体" w:eastAsia="宋体" w:hAnsi="宋体" w:cs="宋体"/>
                <w:sz w:val="16"/>
                <w:szCs w:val="16"/>
              </w:rPr>
            </w:pPr>
            <w:r>
              <w:rPr>
                <w:rFonts w:ascii="宋体" w:eastAsia="宋体" w:hAnsi="宋体" w:cs="宋体"/>
                <w:spacing w:val="-4"/>
                <w:position w:val="11"/>
                <w:sz w:val="16"/>
                <w:szCs w:val="16"/>
              </w:rPr>
              <w:t>11.7</w:t>
            </w:r>
          </w:p>
          <w:p w:rsidR="00EA40A3" w:rsidRDefault="00E86C16">
            <w:pPr>
              <w:spacing w:line="183" w:lineRule="auto"/>
              <w:ind w:left="214"/>
              <w:rPr>
                <w:rFonts w:ascii="宋体" w:eastAsia="宋体" w:hAnsi="宋体" w:cs="宋体"/>
                <w:sz w:val="16"/>
                <w:szCs w:val="16"/>
              </w:rPr>
            </w:pPr>
            <w:r>
              <w:rPr>
                <w:rFonts w:ascii="宋体" w:eastAsia="宋体" w:hAnsi="宋体" w:cs="宋体"/>
                <w:spacing w:val="-4"/>
                <w:sz w:val="16"/>
                <w:szCs w:val="16"/>
              </w:rPr>
              <w:t>11.9</w:t>
            </w:r>
          </w:p>
        </w:tc>
        <w:tc>
          <w:tcPr>
            <w:tcW w:w="851" w:type="dxa"/>
          </w:tcPr>
          <w:p w:rsidR="00EA40A3" w:rsidRDefault="00E86C16">
            <w:pPr>
              <w:spacing w:before="98" w:line="300" w:lineRule="exact"/>
              <w:ind w:left="295"/>
              <w:rPr>
                <w:rFonts w:ascii="宋体" w:eastAsia="宋体" w:hAnsi="宋体" w:cs="宋体"/>
                <w:sz w:val="16"/>
                <w:szCs w:val="16"/>
              </w:rPr>
            </w:pPr>
            <w:r>
              <w:rPr>
                <w:rFonts w:ascii="宋体" w:eastAsia="宋体" w:hAnsi="宋体" w:cs="宋体"/>
                <w:spacing w:val="-4"/>
                <w:position w:val="13"/>
                <w:sz w:val="16"/>
                <w:szCs w:val="16"/>
              </w:rPr>
              <w:t>12.3</w:t>
            </w:r>
          </w:p>
          <w:p w:rsidR="00EA40A3" w:rsidRDefault="00E86C16">
            <w:pPr>
              <w:spacing w:line="171" w:lineRule="auto"/>
              <w:ind w:left="295"/>
              <w:rPr>
                <w:rFonts w:ascii="宋体" w:eastAsia="宋体" w:hAnsi="宋体" w:cs="宋体"/>
                <w:sz w:val="16"/>
                <w:szCs w:val="16"/>
              </w:rPr>
            </w:pPr>
            <w:r>
              <w:rPr>
                <w:rFonts w:ascii="宋体" w:eastAsia="宋体" w:hAnsi="宋体" w:cs="宋体"/>
                <w:spacing w:val="-4"/>
                <w:sz w:val="16"/>
                <w:szCs w:val="16"/>
              </w:rPr>
              <w:t>12.9</w:t>
            </w:r>
          </w:p>
        </w:tc>
        <w:tc>
          <w:tcPr>
            <w:tcW w:w="1608" w:type="dxa"/>
          </w:tcPr>
          <w:p w:rsidR="00EA40A3" w:rsidRDefault="00E86C16">
            <w:pPr>
              <w:spacing w:before="108" w:line="280" w:lineRule="exact"/>
              <w:ind w:left="453"/>
              <w:rPr>
                <w:rFonts w:ascii="宋体" w:eastAsia="宋体" w:hAnsi="宋体" w:cs="宋体"/>
                <w:sz w:val="16"/>
                <w:szCs w:val="16"/>
              </w:rPr>
            </w:pPr>
            <w:r>
              <w:rPr>
                <w:rFonts w:ascii="宋体" w:eastAsia="宋体" w:hAnsi="宋体" w:cs="宋体"/>
                <w:spacing w:val="-4"/>
                <w:position w:val="11"/>
                <w:sz w:val="16"/>
                <w:szCs w:val="16"/>
              </w:rPr>
              <w:t>11.8</w:t>
            </w:r>
          </w:p>
          <w:p w:rsidR="00EA40A3" w:rsidRDefault="00E86C16">
            <w:pPr>
              <w:spacing w:line="183" w:lineRule="auto"/>
              <w:ind w:left="453"/>
              <w:rPr>
                <w:rFonts w:ascii="宋体" w:eastAsia="宋体" w:hAnsi="宋体" w:cs="宋体"/>
                <w:sz w:val="16"/>
                <w:szCs w:val="16"/>
              </w:rPr>
            </w:pPr>
            <w:r>
              <w:rPr>
                <w:rFonts w:ascii="宋体" w:eastAsia="宋体" w:hAnsi="宋体" w:cs="宋体"/>
                <w:spacing w:val="-4"/>
                <w:sz w:val="16"/>
                <w:szCs w:val="16"/>
              </w:rPr>
              <w:t>12.6</w:t>
            </w:r>
          </w:p>
        </w:tc>
        <w:tc>
          <w:tcPr>
            <w:tcW w:w="1685" w:type="dxa"/>
          </w:tcPr>
          <w:p w:rsidR="00EA40A3" w:rsidRDefault="00E86C16">
            <w:pPr>
              <w:spacing w:before="98" w:line="300" w:lineRule="exact"/>
              <w:ind w:left="405"/>
              <w:rPr>
                <w:rFonts w:ascii="宋体" w:eastAsia="宋体" w:hAnsi="宋体" w:cs="宋体"/>
                <w:sz w:val="16"/>
                <w:szCs w:val="16"/>
              </w:rPr>
            </w:pPr>
            <w:r>
              <w:rPr>
                <w:rFonts w:ascii="宋体" w:eastAsia="宋体" w:hAnsi="宋体" w:cs="宋体"/>
                <w:spacing w:val="-4"/>
                <w:position w:val="13"/>
                <w:sz w:val="16"/>
                <w:szCs w:val="16"/>
              </w:rPr>
              <w:t>11.9</w:t>
            </w:r>
          </w:p>
          <w:p w:rsidR="00EA40A3" w:rsidRDefault="00E86C16">
            <w:pPr>
              <w:spacing w:line="171" w:lineRule="auto"/>
              <w:ind w:left="405"/>
              <w:rPr>
                <w:rFonts w:ascii="宋体" w:eastAsia="宋体" w:hAnsi="宋体" w:cs="宋体"/>
                <w:sz w:val="16"/>
                <w:szCs w:val="16"/>
              </w:rPr>
            </w:pPr>
            <w:r>
              <w:rPr>
                <w:rFonts w:ascii="宋体" w:eastAsia="宋体" w:hAnsi="宋体" w:cs="宋体"/>
                <w:spacing w:val="-4"/>
                <w:sz w:val="16"/>
                <w:szCs w:val="16"/>
              </w:rPr>
              <w:t>11.9</w:t>
            </w:r>
          </w:p>
        </w:tc>
      </w:tr>
      <w:tr w:rsidR="00EA40A3">
        <w:trPr>
          <w:trHeight w:val="528"/>
        </w:trPr>
        <w:tc>
          <w:tcPr>
            <w:tcW w:w="1123" w:type="dxa"/>
            <w:tcBorders>
              <w:bottom w:val="single" w:sz="4" w:space="0" w:color="000000"/>
            </w:tcBorders>
          </w:tcPr>
          <w:p w:rsidR="00EA40A3" w:rsidRDefault="00E86C16">
            <w:pPr>
              <w:spacing w:before="50" w:line="219" w:lineRule="auto"/>
              <w:ind w:left="159"/>
              <w:rPr>
                <w:rFonts w:ascii="宋体" w:eastAsia="宋体" w:hAnsi="宋体" w:cs="宋体"/>
                <w:sz w:val="16"/>
                <w:szCs w:val="16"/>
              </w:rPr>
            </w:pPr>
            <w:r>
              <w:rPr>
                <w:rFonts w:ascii="宋体" w:eastAsia="宋体" w:hAnsi="宋体" w:cs="宋体"/>
                <w:spacing w:val="-1"/>
                <w:sz w:val="16"/>
                <w:szCs w:val="16"/>
              </w:rPr>
              <w:t>碳水化合物</w:t>
            </w:r>
          </w:p>
        </w:tc>
        <w:tc>
          <w:tcPr>
            <w:tcW w:w="1272" w:type="dxa"/>
            <w:tcBorders>
              <w:bottom w:val="single" w:sz="4" w:space="0" w:color="000000"/>
            </w:tcBorders>
          </w:tcPr>
          <w:p w:rsidR="00EA40A3" w:rsidRDefault="00E86C16">
            <w:pPr>
              <w:spacing w:before="111" w:line="183" w:lineRule="auto"/>
              <w:ind w:left="576"/>
              <w:rPr>
                <w:rFonts w:ascii="宋体" w:eastAsia="宋体" w:hAnsi="宋体" w:cs="宋体"/>
                <w:sz w:val="16"/>
                <w:szCs w:val="16"/>
              </w:rPr>
            </w:pPr>
            <w:r>
              <w:rPr>
                <w:rFonts w:ascii="宋体" w:eastAsia="宋体" w:hAnsi="宋体" w:cs="宋体"/>
                <w:sz w:val="16"/>
                <w:szCs w:val="16"/>
              </w:rPr>
              <w:t>0</w:t>
            </w:r>
          </w:p>
          <w:p w:rsidR="00EA40A3" w:rsidRDefault="00E86C16">
            <w:pPr>
              <w:spacing w:before="101" w:line="180" w:lineRule="auto"/>
              <w:ind w:left="576"/>
              <w:rPr>
                <w:rFonts w:ascii="宋体" w:eastAsia="宋体" w:hAnsi="宋体" w:cs="宋体"/>
                <w:sz w:val="16"/>
                <w:szCs w:val="16"/>
              </w:rPr>
            </w:pPr>
            <w:r>
              <w:rPr>
                <w:rFonts w:ascii="宋体" w:eastAsia="宋体" w:hAnsi="宋体" w:cs="宋体"/>
                <w:sz w:val="16"/>
                <w:szCs w:val="16"/>
              </w:rPr>
              <w:t>6</w:t>
            </w:r>
          </w:p>
        </w:tc>
        <w:tc>
          <w:tcPr>
            <w:tcW w:w="810" w:type="dxa"/>
            <w:tcBorders>
              <w:bottom w:val="single" w:sz="4" w:space="0" w:color="000000"/>
            </w:tcBorders>
          </w:tcPr>
          <w:p w:rsidR="00EA40A3" w:rsidRDefault="00E86C16">
            <w:pPr>
              <w:spacing w:before="111" w:line="260" w:lineRule="exact"/>
              <w:ind w:left="214"/>
              <w:rPr>
                <w:rFonts w:ascii="宋体" w:eastAsia="宋体" w:hAnsi="宋体" w:cs="宋体"/>
                <w:sz w:val="16"/>
                <w:szCs w:val="16"/>
              </w:rPr>
            </w:pPr>
            <w:r>
              <w:rPr>
                <w:rFonts w:ascii="宋体" w:eastAsia="宋体" w:hAnsi="宋体" w:cs="宋体"/>
                <w:spacing w:val="-2"/>
                <w:position w:val="10"/>
                <w:sz w:val="16"/>
                <w:szCs w:val="16"/>
              </w:rPr>
              <w:t>76.3</w:t>
            </w:r>
          </w:p>
          <w:p w:rsidR="00EA40A3" w:rsidRDefault="00E86C16">
            <w:pPr>
              <w:spacing w:line="180" w:lineRule="auto"/>
              <w:ind w:left="214"/>
              <w:rPr>
                <w:rFonts w:ascii="宋体" w:eastAsia="宋体" w:hAnsi="宋体" w:cs="宋体"/>
                <w:sz w:val="16"/>
                <w:szCs w:val="16"/>
              </w:rPr>
            </w:pPr>
            <w:r>
              <w:rPr>
                <w:rFonts w:ascii="宋体" w:eastAsia="宋体" w:hAnsi="宋体" w:cs="宋体"/>
                <w:spacing w:val="-2"/>
                <w:sz w:val="16"/>
                <w:szCs w:val="16"/>
              </w:rPr>
              <w:t>74.9</w:t>
            </w:r>
          </w:p>
        </w:tc>
        <w:tc>
          <w:tcPr>
            <w:tcW w:w="851" w:type="dxa"/>
            <w:tcBorders>
              <w:bottom w:val="single" w:sz="4" w:space="0" w:color="000000"/>
            </w:tcBorders>
          </w:tcPr>
          <w:p w:rsidR="00EA40A3" w:rsidRDefault="00E86C16">
            <w:pPr>
              <w:spacing w:before="111" w:line="260" w:lineRule="exact"/>
              <w:ind w:left="295"/>
              <w:rPr>
                <w:rFonts w:ascii="宋体" w:eastAsia="宋体" w:hAnsi="宋体" w:cs="宋体"/>
                <w:sz w:val="16"/>
                <w:szCs w:val="16"/>
              </w:rPr>
            </w:pPr>
            <w:r>
              <w:rPr>
                <w:rFonts w:ascii="宋体" w:eastAsia="宋体" w:hAnsi="宋体" w:cs="宋体"/>
                <w:spacing w:val="-2"/>
                <w:position w:val="10"/>
                <w:sz w:val="16"/>
                <w:szCs w:val="16"/>
              </w:rPr>
              <w:t>76.1</w:t>
            </w:r>
          </w:p>
          <w:p w:rsidR="00EA40A3" w:rsidRDefault="00E86C16">
            <w:pPr>
              <w:spacing w:line="180" w:lineRule="auto"/>
              <w:ind w:left="295"/>
              <w:rPr>
                <w:rFonts w:ascii="宋体" w:eastAsia="宋体" w:hAnsi="宋体" w:cs="宋体"/>
                <w:sz w:val="16"/>
                <w:szCs w:val="16"/>
              </w:rPr>
            </w:pPr>
            <w:r>
              <w:rPr>
                <w:rFonts w:ascii="宋体" w:eastAsia="宋体" w:hAnsi="宋体" w:cs="宋体"/>
                <w:spacing w:val="-2"/>
                <w:sz w:val="16"/>
                <w:szCs w:val="16"/>
              </w:rPr>
              <w:t>73.6</w:t>
            </w:r>
          </w:p>
        </w:tc>
        <w:tc>
          <w:tcPr>
            <w:tcW w:w="1608" w:type="dxa"/>
            <w:tcBorders>
              <w:bottom w:val="single" w:sz="4" w:space="0" w:color="000000"/>
            </w:tcBorders>
          </w:tcPr>
          <w:p w:rsidR="00EA40A3" w:rsidRDefault="00E86C16">
            <w:pPr>
              <w:spacing w:before="111" w:line="260" w:lineRule="exact"/>
              <w:ind w:left="453"/>
              <w:rPr>
                <w:rFonts w:ascii="宋体" w:eastAsia="宋体" w:hAnsi="宋体" w:cs="宋体"/>
                <w:sz w:val="16"/>
                <w:szCs w:val="16"/>
              </w:rPr>
            </w:pPr>
            <w:r>
              <w:rPr>
                <w:rFonts w:ascii="宋体" w:eastAsia="宋体" w:hAnsi="宋体" w:cs="宋体"/>
                <w:spacing w:val="-2"/>
                <w:position w:val="10"/>
                <w:sz w:val="16"/>
                <w:szCs w:val="16"/>
              </w:rPr>
              <w:t>76.5</w:t>
            </w:r>
          </w:p>
          <w:p w:rsidR="00EA40A3" w:rsidRDefault="00E86C16">
            <w:pPr>
              <w:spacing w:line="180" w:lineRule="auto"/>
              <w:ind w:left="453"/>
              <w:rPr>
                <w:rFonts w:ascii="宋体" w:eastAsia="宋体" w:hAnsi="宋体" w:cs="宋体"/>
                <w:sz w:val="16"/>
                <w:szCs w:val="16"/>
              </w:rPr>
            </w:pPr>
            <w:r>
              <w:rPr>
                <w:rFonts w:ascii="宋体" w:eastAsia="宋体" w:hAnsi="宋体" w:cs="宋体"/>
                <w:spacing w:val="-2"/>
                <w:sz w:val="16"/>
                <w:szCs w:val="16"/>
              </w:rPr>
              <w:t>74.3</w:t>
            </w:r>
          </w:p>
        </w:tc>
        <w:tc>
          <w:tcPr>
            <w:tcW w:w="1685" w:type="dxa"/>
            <w:tcBorders>
              <w:bottom w:val="single" w:sz="4" w:space="0" w:color="000000"/>
            </w:tcBorders>
          </w:tcPr>
          <w:p w:rsidR="00EA40A3" w:rsidRDefault="00E86C16">
            <w:pPr>
              <w:spacing w:before="121" w:line="250" w:lineRule="exact"/>
              <w:ind w:left="405"/>
              <w:rPr>
                <w:rFonts w:ascii="宋体" w:eastAsia="宋体" w:hAnsi="宋体" w:cs="宋体"/>
                <w:sz w:val="16"/>
                <w:szCs w:val="16"/>
              </w:rPr>
            </w:pPr>
            <w:r>
              <w:rPr>
                <w:rFonts w:ascii="宋体" w:eastAsia="宋体" w:hAnsi="宋体" w:cs="宋体"/>
                <w:spacing w:val="-2"/>
                <w:position w:val="9"/>
                <w:sz w:val="16"/>
                <w:szCs w:val="16"/>
              </w:rPr>
              <w:t>76.0</w:t>
            </w:r>
          </w:p>
          <w:p w:rsidR="00EA40A3" w:rsidRDefault="00E86C16">
            <w:pPr>
              <w:spacing w:line="180" w:lineRule="auto"/>
              <w:ind w:left="405"/>
              <w:rPr>
                <w:rFonts w:ascii="宋体" w:eastAsia="宋体" w:hAnsi="宋体" w:cs="宋体"/>
                <w:sz w:val="16"/>
                <w:szCs w:val="16"/>
              </w:rPr>
            </w:pPr>
            <w:r>
              <w:rPr>
                <w:rFonts w:ascii="宋体" w:eastAsia="宋体" w:hAnsi="宋体" w:cs="宋体"/>
                <w:spacing w:val="-2"/>
                <w:sz w:val="16"/>
                <w:szCs w:val="16"/>
              </w:rPr>
              <w:t>73.6</w:t>
            </w:r>
          </w:p>
        </w:tc>
      </w:tr>
    </w:tbl>
    <w:p w:rsidR="00EA40A3" w:rsidRDefault="00E86C16">
      <w:pPr>
        <w:spacing w:before="102" w:line="219" w:lineRule="auto"/>
        <w:ind w:left="359"/>
        <w:rPr>
          <w:rFonts w:ascii="宋体" w:eastAsia="宋体" w:hAnsi="宋体" w:cs="宋体"/>
          <w:sz w:val="16"/>
          <w:szCs w:val="16"/>
        </w:rPr>
      </w:pPr>
      <w:r>
        <w:rPr>
          <w:rFonts w:ascii="宋体" w:eastAsia="宋体" w:hAnsi="宋体" w:cs="宋体"/>
          <w:sz w:val="16"/>
          <w:szCs w:val="16"/>
        </w:rPr>
        <w:t>数据来源：汪勋清，哈益明，高美须.2005.食品辐照加工技术.北京：</w:t>
      </w:r>
      <w:r>
        <w:rPr>
          <w:rFonts w:ascii="宋体" w:eastAsia="宋体" w:hAnsi="宋体" w:cs="宋体"/>
          <w:spacing w:val="-1"/>
          <w:sz w:val="16"/>
          <w:szCs w:val="16"/>
        </w:rPr>
        <w:t>化学工业出版社</w:t>
      </w:r>
    </w:p>
    <w:p w:rsidR="00EA40A3" w:rsidRDefault="00EA40A3">
      <w:pPr>
        <w:spacing w:line="292" w:lineRule="auto"/>
      </w:pPr>
    </w:p>
    <w:p w:rsidR="00EA40A3" w:rsidRDefault="00E86C16">
      <w:pPr>
        <w:spacing w:before="65" w:line="224" w:lineRule="auto"/>
        <w:rPr>
          <w:rFonts w:ascii="楷体" w:eastAsia="楷体" w:hAnsi="楷体" w:cs="楷体"/>
          <w:sz w:val="20"/>
          <w:szCs w:val="20"/>
        </w:rPr>
      </w:pPr>
      <w:r>
        <w:rPr>
          <w:rFonts w:ascii="楷体" w:eastAsia="楷体" w:hAnsi="楷体" w:cs="楷体"/>
          <w:spacing w:val="18"/>
          <w:sz w:val="20"/>
          <w:szCs w:val="20"/>
        </w:rPr>
        <w:t>2)豆类及坚果类</w:t>
      </w:r>
    </w:p>
    <w:p w:rsidR="00EA40A3" w:rsidRDefault="00E86C16">
      <w:pPr>
        <w:spacing w:before="83" w:line="260" w:lineRule="auto"/>
        <w:ind w:right="129" w:firstLine="410"/>
        <w:jc w:val="both"/>
        <w:rPr>
          <w:rFonts w:ascii="宋体" w:eastAsia="宋体" w:hAnsi="宋体" w:cs="宋体"/>
          <w:sz w:val="20"/>
          <w:szCs w:val="20"/>
        </w:rPr>
      </w:pPr>
      <w:r>
        <w:rPr>
          <w:rFonts w:ascii="宋体" w:eastAsia="宋体" w:hAnsi="宋体" w:cs="宋体"/>
          <w:spacing w:val="7"/>
          <w:sz w:val="20"/>
          <w:szCs w:val="20"/>
        </w:rPr>
        <w:t>豆类是人们从膳食中获得蛋白质的重要来源。研究表明高剂量γ辐照处理能</w:t>
      </w:r>
      <w:r>
        <w:rPr>
          <w:rFonts w:ascii="宋体" w:eastAsia="宋体" w:hAnsi="宋体" w:cs="宋体"/>
          <w:spacing w:val="17"/>
          <w:sz w:val="20"/>
          <w:szCs w:val="20"/>
        </w:rPr>
        <w:t xml:space="preserve"> </w:t>
      </w:r>
      <w:r>
        <w:rPr>
          <w:rFonts w:ascii="宋体" w:eastAsia="宋体" w:hAnsi="宋体" w:cs="宋体"/>
          <w:spacing w:val="10"/>
          <w:sz w:val="20"/>
          <w:szCs w:val="20"/>
        </w:rPr>
        <w:t>增强豆类蛋白质的脱氨作用。如2</w:t>
      </w:r>
      <w:r>
        <w:rPr>
          <w:rFonts w:ascii="宋体" w:eastAsia="宋体" w:hAnsi="宋体" w:cs="宋体"/>
          <w:sz w:val="20"/>
          <w:szCs w:val="20"/>
        </w:rPr>
        <w:t>kGy</w:t>
      </w:r>
      <w:r>
        <w:rPr>
          <w:rFonts w:ascii="宋体" w:eastAsia="宋体" w:hAnsi="宋体" w:cs="宋体"/>
          <w:spacing w:val="36"/>
          <w:sz w:val="20"/>
          <w:szCs w:val="20"/>
        </w:rPr>
        <w:t xml:space="preserve"> </w:t>
      </w:r>
      <w:r>
        <w:rPr>
          <w:rFonts w:ascii="宋体" w:eastAsia="宋体" w:hAnsi="宋体" w:cs="宋体"/>
          <w:spacing w:val="10"/>
          <w:sz w:val="20"/>
          <w:szCs w:val="20"/>
        </w:rPr>
        <w:t>以上辐照处理能增强干红菜</w:t>
      </w:r>
      <w:r>
        <w:rPr>
          <w:rFonts w:ascii="宋体" w:eastAsia="宋体" w:hAnsi="宋体" w:cs="宋体"/>
          <w:spacing w:val="9"/>
          <w:sz w:val="20"/>
          <w:szCs w:val="20"/>
        </w:rPr>
        <w:t>豆蛋白质的脱</w:t>
      </w:r>
      <w:r>
        <w:rPr>
          <w:rFonts w:ascii="宋体" w:eastAsia="宋体" w:hAnsi="宋体" w:cs="宋体"/>
          <w:sz w:val="20"/>
          <w:szCs w:val="20"/>
        </w:rPr>
        <w:t xml:space="preserve"> </w:t>
      </w:r>
      <w:r>
        <w:rPr>
          <w:rFonts w:ascii="宋体" w:eastAsia="宋体" w:hAnsi="宋体" w:cs="宋体"/>
          <w:spacing w:val="5"/>
          <w:sz w:val="20"/>
          <w:szCs w:val="20"/>
        </w:rPr>
        <w:t>氨作用，且增加了蛋白质的溶解性和疏水性。</w:t>
      </w:r>
    </w:p>
    <w:p w:rsidR="00EA40A3" w:rsidRDefault="00E86C16">
      <w:pPr>
        <w:spacing w:before="78" w:line="268" w:lineRule="auto"/>
        <w:ind w:right="124" w:firstLine="410"/>
        <w:jc w:val="both"/>
        <w:rPr>
          <w:rFonts w:ascii="宋体" w:eastAsia="宋体" w:hAnsi="宋体" w:cs="宋体"/>
          <w:sz w:val="20"/>
          <w:szCs w:val="20"/>
        </w:rPr>
      </w:pPr>
      <w:r>
        <w:rPr>
          <w:rFonts w:ascii="宋体" w:eastAsia="宋体" w:hAnsi="宋体" w:cs="宋体"/>
          <w:spacing w:val="12"/>
          <w:sz w:val="20"/>
          <w:szCs w:val="20"/>
        </w:rPr>
        <w:t>此外，低剂量y</w:t>
      </w:r>
      <w:r>
        <w:rPr>
          <w:rFonts w:ascii="宋体" w:eastAsia="宋体" w:hAnsi="宋体" w:cs="宋体"/>
          <w:spacing w:val="-14"/>
          <w:sz w:val="20"/>
          <w:szCs w:val="20"/>
        </w:rPr>
        <w:t xml:space="preserve"> </w:t>
      </w:r>
      <w:r>
        <w:rPr>
          <w:rFonts w:ascii="宋体" w:eastAsia="宋体" w:hAnsi="宋体" w:cs="宋体"/>
          <w:spacing w:val="12"/>
          <w:sz w:val="20"/>
          <w:szCs w:val="20"/>
        </w:rPr>
        <w:t>辐照对豆类食物的低聚糖含量有影响。如用辐照(0.25</w:t>
      </w:r>
      <w:r>
        <w:rPr>
          <w:rFonts w:ascii="宋体" w:eastAsia="宋体" w:hAnsi="宋体" w:cs="宋体"/>
          <w:sz w:val="20"/>
          <w:szCs w:val="20"/>
        </w:rPr>
        <w:t xml:space="preserve">kGy </w:t>
      </w:r>
      <w:r>
        <w:rPr>
          <w:rFonts w:ascii="宋体" w:eastAsia="宋体" w:hAnsi="宋体" w:cs="宋体"/>
          <w:spacing w:val="9"/>
          <w:sz w:val="20"/>
          <w:szCs w:val="20"/>
        </w:rPr>
        <w:t>和0.75</w:t>
      </w:r>
      <w:r>
        <w:rPr>
          <w:rFonts w:ascii="宋体" w:eastAsia="宋体" w:hAnsi="宋体" w:cs="宋体"/>
          <w:sz w:val="20"/>
          <w:szCs w:val="20"/>
        </w:rPr>
        <w:t>kGy</w:t>
      </w:r>
      <w:r>
        <w:rPr>
          <w:rFonts w:ascii="宋体" w:eastAsia="宋体" w:hAnsi="宋体" w:cs="宋体"/>
          <w:spacing w:val="9"/>
          <w:sz w:val="20"/>
          <w:szCs w:val="20"/>
        </w:rPr>
        <w:t>)</w:t>
      </w:r>
      <w:r>
        <w:rPr>
          <w:rFonts w:ascii="宋体" w:eastAsia="宋体" w:hAnsi="宋体" w:cs="宋体"/>
          <w:spacing w:val="72"/>
          <w:sz w:val="20"/>
          <w:szCs w:val="20"/>
        </w:rPr>
        <w:t xml:space="preserve"> </w:t>
      </w:r>
      <w:r>
        <w:rPr>
          <w:rFonts w:ascii="宋体" w:eastAsia="宋体" w:hAnsi="宋体" w:cs="宋体"/>
          <w:spacing w:val="9"/>
          <w:sz w:val="20"/>
          <w:szCs w:val="20"/>
        </w:rPr>
        <w:t>处理的绿豆发芽，在0～2d</w:t>
      </w:r>
      <w:r>
        <w:rPr>
          <w:rFonts w:ascii="宋体" w:eastAsia="宋体" w:hAnsi="宋体" w:cs="宋体"/>
          <w:spacing w:val="-38"/>
          <w:sz w:val="20"/>
          <w:szCs w:val="20"/>
        </w:rPr>
        <w:t xml:space="preserve"> </w:t>
      </w:r>
      <w:r>
        <w:rPr>
          <w:rFonts w:ascii="宋体" w:eastAsia="宋体" w:hAnsi="宋体" w:cs="宋体"/>
          <w:spacing w:val="9"/>
          <w:sz w:val="20"/>
          <w:szCs w:val="20"/>
        </w:rPr>
        <w:t>内发现，引起肠胃气胀的一些低聚糖含</w:t>
      </w:r>
      <w:r>
        <w:rPr>
          <w:rFonts w:ascii="宋体" w:eastAsia="宋体" w:hAnsi="宋体" w:cs="宋体"/>
          <w:sz w:val="20"/>
          <w:szCs w:val="20"/>
        </w:rPr>
        <w:t xml:space="preserve"> </w:t>
      </w:r>
      <w:r>
        <w:rPr>
          <w:rFonts w:ascii="宋体" w:eastAsia="宋体" w:hAnsi="宋体" w:cs="宋体"/>
          <w:spacing w:val="12"/>
          <w:sz w:val="20"/>
          <w:szCs w:val="20"/>
        </w:rPr>
        <w:t>量下降，而对照组要在4d</w:t>
      </w:r>
      <w:r>
        <w:rPr>
          <w:rFonts w:ascii="宋体" w:eastAsia="宋体" w:hAnsi="宋体" w:cs="宋体"/>
          <w:spacing w:val="-49"/>
          <w:sz w:val="20"/>
          <w:szCs w:val="20"/>
        </w:rPr>
        <w:t xml:space="preserve"> </w:t>
      </w:r>
      <w:r>
        <w:rPr>
          <w:rFonts w:ascii="宋体" w:eastAsia="宋体" w:hAnsi="宋体" w:cs="宋体"/>
          <w:spacing w:val="12"/>
          <w:sz w:val="20"/>
          <w:szCs w:val="20"/>
        </w:rPr>
        <w:t>后才出现下降的现象，同</w:t>
      </w:r>
      <w:r>
        <w:rPr>
          <w:rFonts w:ascii="宋体" w:eastAsia="宋体" w:hAnsi="宋体" w:cs="宋体"/>
          <w:spacing w:val="11"/>
          <w:sz w:val="20"/>
          <w:szCs w:val="20"/>
        </w:rPr>
        <w:t>时发现辐照后的样品中可代</w:t>
      </w:r>
      <w:r>
        <w:rPr>
          <w:rFonts w:ascii="宋体" w:eastAsia="宋体" w:hAnsi="宋体" w:cs="宋体"/>
          <w:sz w:val="20"/>
          <w:szCs w:val="20"/>
        </w:rPr>
        <w:t xml:space="preserve"> </w:t>
      </w:r>
      <w:r>
        <w:rPr>
          <w:rFonts w:ascii="宋体" w:eastAsia="宋体" w:hAnsi="宋体" w:cs="宋体"/>
          <w:spacing w:val="13"/>
          <w:sz w:val="20"/>
          <w:szCs w:val="20"/>
        </w:rPr>
        <w:t>谢的果糖、葡萄糖和半乳糖的含量增加，0.25</w:t>
      </w:r>
      <w:r>
        <w:rPr>
          <w:rFonts w:ascii="宋体" w:eastAsia="宋体" w:hAnsi="宋体" w:cs="宋体"/>
          <w:sz w:val="20"/>
          <w:szCs w:val="20"/>
        </w:rPr>
        <w:t>kGy</w:t>
      </w:r>
      <w:r>
        <w:rPr>
          <w:rFonts w:ascii="宋体" w:eastAsia="宋体" w:hAnsi="宋体" w:cs="宋体"/>
          <w:spacing w:val="26"/>
          <w:sz w:val="20"/>
          <w:szCs w:val="20"/>
        </w:rPr>
        <w:t xml:space="preserve"> </w:t>
      </w:r>
      <w:r>
        <w:rPr>
          <w:rFonts w:ascii="宋体" w:eastAsia="宋体" w:hAnsi="宋体" w:cs="宋体"/>
          <w:spacing w:val="13"/>
          <w:sz w:val="20"/>
          <w:szCs w:val="20"/>
        </w:rPr>
        <w:t>的辐照对绿豆的发芽</w:t>
      </w:r>
      <w:r>
        <w:rPr>
          <w:rFonts w:ascii="宋体" w:eastAsia="宋体" w:hAnsi="宋体" w:cs="宋体"/>
          <w:spacing w:val="12"/>
          <w:sz w:val="20"/>
          <w:szCs w:val="20"/>
        </w:rPr>
        <w:t>和芽的</w:t>
      </w:r>
      <w:r>
        <w:rPr>
          <w:rFonts w:ascii="宋体" w:eastAsia="宋体" w:hAnsi="宋体" w:cs="宋体"/>
          <w:sz w:val="20"/>
          <w:szCs w:val="20"/>
        </w:rPr>
        <w:t xml:space="preserve"> </w:t>
      </w:r>
      <w:r>
        <w:rPr>
          <w:rFonts w:ascii="宋体" w:eastAsia="宋体" w:hAnsi="宋体" w:cs="宋体"/>
          <w:spacing w:val="7"/>
          <w:sz w:val="20"/>
          <w:szCs w:val="20"/>
        </w:rPr>
        <w:t>长度没有影响，因此，在绿豆辐照杀虫的剂量范围内，辐照处理能够使引起肠胃</w:t>
      </w:r>
      <w:r>
        <w:rPr>
          <w:rFonts w:ascii="宋体" w:eastAsia="宋体" w:hAnsi="宋体" w:cs="宋体"/>
          <w:spacing w:val="15"/>
          <w:sz w:val="20"/>
          <w:szCs w:val="20"/>
        </w:rPr>
        <w:t xml:space="preserve"> </w:t>
      </w:r>
      <w:r>
        <w:rPr>
          <w:rFonts w:ascii="宋体" w:eastAsia="宋体" w:hAnsi="宋体" w:cs="宋体"/>
          <w:spacing w:val="6"/>
          <w:sz w:val="20"/>
          <w:szCs w:val="20"/>
        </w:rPr>
        <w:t>气胀的低聚糖含量下降，改进绿豆的营养品质和消化性能。</w:t>
      </w:r>
    </w:p>
    <w:p w:rsidR="00EA40A3" w:rsidRDefault="00E86C16">
      <w:pPr>
        <w:spacing w:before="89" w:line="224" w:lineRule="auto"/>
        <w:rPr>
          <w:rFonts w:ascii="楷体" w:eastAsia="楷体" w:hAnsi="楷体" w:cs="楷体"/>
          <w:sz w:val="20"/>
          <w:szCs w:val="20"/>
        </w:rPr>
      </w:pPr>
      <w:r>
        <w:rPr>
          <w:rFonts w:ascii="楷体" w:eastAsia="楷体" w:hAnsi="楷体" w:cs="楷体"/>
          <w:spacing w:val="23"/>
          <w:sz w:val="20"/>
          <w:szCs w:val="20"/>
        </w:rPr>
        <w:t>3)果蔬类</w:t>
      </w:r>
    </w:p>
    <w:p w:rsidR="00EA40A3" w:rsidRDefault="00E86C16">
      <w:pPr>
        <w:spacing w:before="78" w:line="269" w:lineRule="auto"/>
        <w:ind w:right="125" w:firstLine="410"/>
        <w:jc w:val="both"/>
        <w:rPr>
          <w:rFonts w:ascii="宋体" w:eastAsia="宋体" w:hAnsi="宋体" w:cs="宋体"/>
          <w:sz w:val="20"/>
          <w:szCs w:val="20"/>
        </w:rPr>
      </w:pPr>
      <w:r>
        <w:rPr>
          <w:rFonts w:ascii="宋体" w:eastAsia="宋体" w:hAnsi="宋体" w:cs="宋体"/>
          <w:spacing w:val="12"/>
          <w:sz w:val="20"/>
          <w:szCs w:val="20"/>
        </w:rPr>
        <w:t>辐照能使水果中的化学成分发生变化，如维生素</w:t>
      </w:r>
      <w:r>
        <w:rPr>
          <w:rFonts w:ascii="宋体" w:eastAsia="宋体" w:hAnsi="宋体" w:cs="宋体"/>
          <w:spacing w:val="-50"/>
          <w:sz w:val="20"/>
          <w:szCs w:val="20"/>
        </w:rPr>
        <w:t xml:space="preserve"> </w:t>
      </w:r>
      <w:r>
        <w:rPr>
          <w:rFonts w:ascii="宋体" w:eastAsia="宋体" w:hAnsi="宋体" w:cs="宋体"/>
          <w:spacing w:val="12"/>
          <w:sz w:val="20"/>
          <w:szCs w:val="20"/>
        </w:rPr>
        <w:t>C</w:t>
      </w:r>
      <w:r>
        <w:rPr>
          <w:rFonts w:ascii="宋体" w:eastAsia="宋体" w:hAnsi="宋体" w:cs="宋体"/>
          <w:spacing w:val="16"/>
          <w:sz w:val="20"/>
          <w:szCs w:val="20"/>
        </w:rPr>
        <w:t xml:space="preserve"> </w:t>
      </w:r>
      <w:r>
        <w:rPr>
          <w:rFonts w:ascii="宋体" w:eastAsia="宋体" w:hAnsi="宋体" w:cs="宋体"/>
          <w:spacing w:val="12"/>
          <w:sz w:val="20"/>
          <w:szCs w:val="20"/>
        </w:rPr>
        <w:t>的损失、原果胶变成果</w:t>
      </w:r>
      <w:r>
        <w:rPr>
          <w:rFonts w:ascii="宋体" w:eastAsia="宋体" w:hAnsi="宋体" w:cs="宋体"/>
          <w:sz w:val="20"/>
          <w:szCs w:val="20"/>
        </w:rPr>
        <w:t xml:space="preserve"> </w:t>
      </w:r>
      <w:r>
        <w:rPr>
          <w:rFonts w:ascii="宋体" w:eastAsia="宋体" w:hAnsi="宋体" w:cs="宋体"/>
          <w:spacing w:val="7"/>
          <w:sz w:val="20"/>
          <w:szCs w:val="20"/>
        </w:rPr>
        <w:t>胶质及果胶酸盐、纤维素及淀粉的降解、某些酸的破坏及色素的变化等。辐照延</w:t>
      </w:r>
      <w:r>
        <w:rPr>
          <w:rFonts w:ascii="宋体" w:eastAsia="宋体" w:hAnsi="宋体" w:cs="宋体"/>
          <w:spacing w:val="15"/>
          <w:sz w:val="20"/>
          <w:szCs w:val="20"/>
        </w:rPr>
        <w:t xml:space="preserve"> </w:t>
      </w:r>
      <w:r>
        <w:rPr>
          <w:rFonts w:ascii="宋体" w:eastAsia="宋体" w:hAnsi="宋体" w:cs="宋体"/>
          <w:spacing w:val="7"/>
          <w:sz w:val="20"/>
          <w:szCs w:val="20"/>
        </w:rPr>
        <w:t>长水果的后熟期，对香蕉、木瓜、芒果等热带水果十分有效，如对绿色香蕉的辐</w:t>
      </w:r>
      <w:r>
        <w:rPr>
          <w:rFonts w:ascii="宋体" w:eastAsia="宋体" w:hAnsi="宋体" w:cs="宋体"/>
          <w:spacing w:val="18"/>
          <w:sz w:val="20"/>
          <w:szCs w:val="20"/>
        </w:rPr>
        <w:t xml:space="preserve"> </w:t>
      </w:r>
      <w:r>
        <w:rPr>
          <w:rFonts w:ascii="宋体" w:eastAsia="宋体" w:hAnsi="宋体" w:cs="宋体"/>
          <w:spacing w:val="15"/>
          <w:sz w:val="20"/>
          <w:szCs w:val="20"/>
        </w:rPr>
        <w:t>照剂量常低于0.5</w:t>
      </w:r>
      <w:r>
        <w:rPr>
          <w:rFonts w:ascii="宋体" w:eastAsia="宋体" w:hAnsi="宋体" w:cs="宋体"/>
          <w:sz w:val="20"/>
          <w:szCs w:val="20"/>
        </w:rPr>
        <w:t>kGy</w:t>
      </w:r>
      <w:r>
        <w:rPr>
          <w:rFonts w:ascii="宋体" w:eastAsia="宋体" w:hAnsi="宋体" w:cs="宋体"/>
          <w:spacing w:val="15"/>
          <w:sz w:val="20"/>
          <w:szCs w:val="20"/>
        </w:rPr>
        <w:t>,</w:t>
      </w:r>
      <w:r>
        <w:rPr>
          <w:rFonts w:ascii="宋体" w:eastAsia="宋体" w:hAnsi="宋体" w:cs="宋体"/>
          <w:spacing w:val="66"/>
          <w:sz w:val="20"/>
          <w:szCs w:val="20"/>
        </w:rPr>
        <w:t xml:space="preserve"> </w:t>
      </w:r>
      <w:r>
        <w:rPr>
          <w:rFonts w:ascii="宋体" w:eastAsia="宋体" w:hAnsi="宋体" w:cs="宋体"/>
          <w:spacing w:val="15"/>
          <w:sz w:val="20"/>
          <w:szCs w:val="20"/>
        </w:rPr>
        <w:t>但对有机械伤的香蕉一般无效；用2</w:t>
      </w:r>
      <w:r>
        <w:rPr>
          <w:rFonts w:ascii="宋体" w:eastAsia="宋体" w:hAnsi="宋体" w:cs="宋体"/>
          <w:sz w:val="20"/>
          <w:szCs w:val="20"/>
        </w:rPr>
        <w:t>kGy</w:t>
      </w:r>
      <w:r>
        <w:rPr>
          <w:rFonts w:ascii="宋体" w:eastAsia="宋体" w:hAnsi="宋体" w:cs="宋体"/>
          <w:spacing w:val="16"/>
          <w:sz w:val="20"/>
          <w:szCs w:val="20"/>
        </w:rPr>
        <w:t xml:space="preserve"> </w:t>
      </w:r>
      <w:r>
        <w:rPr>
          <w:rFonts w:ascii="宋体" w:eastAsia="宋体" w:hAnsi="宋体" w:cs="宋体"/>
          <w:spacing w:val="15"/>
          <w:sz w:val="20"/>
          <w:szCs w:val="20"/>
        </w:rPr>
        <w:t>剂量即</w:t>
      </w:r>
      <w:r>
        <w:rPr>
          <w:rFonts w:ascii="宋体" w:eastAsia="宋体" w:hAnsi="宋体" w:cs="宋体"/>
          <w:spacing w:val="14"/>
          <w:sz w:val="20"/>
          <w:szCs w:val="20"/>
        </w:rPr>
        <w:t>可延迟</w:t>
      </w:r>
      <w:r>
        <w:rPr>
          <w:rFonts w:ascii="宋体" w:eastAsia="宋体" w:hAnsi="宋体" w:cs="宋体"/>
          <w:sz w:val="20"/>
          <w:szCs w:val="20"/>
        </w:rPr>
        <w:t xml:space="preserve"> </w:t>
      </w:r>
      <w:r>
        <w:rPr>
          <w:rFonts w:ascii="宋体" w:eastAsia="宋体" w:hAnsi="宋体" w:cs="宋体"/>
          <w:spacing w:val="9"/>
          <w:sz w:val="20"/>
          <w:szCs w:val="20"/>
        </w:rPr>
        <w:t>木瓜的成熟；对芒果用0.4</w:t>
      </w:r>
      <w:r>
        <w:rPr>
          <w:rFonts w:ascii="宋体" w:eastAsia="宋体" w:hAnsi="宋体" w:cs="宋体"/>
          <w:sz w:val="20"/>
          <w:szCs w:val="20"/>
        </w:rPr>
        <w:t>kGy</w:t>
      </w:r>
      <w:r>
        <w:rPr>
          <w:rFonts w:ascii="宋体" w:eastAsia="宋体" w:hAnsi="宋体" w:cs="宋体"/>
          <w:spacing w:val="23"/>
          <w:sz w:val="20"/>
          <w:szCs w:val="20"/>
        </w:rPr>
        <w:t xml:space="preserve"> </w:t>
      </w:r>
      <w:r>
        <w:rPr>
          <w:rFonts w:ascii="宋体" w:eastAsia="宋体" w:hAnsi="宋体" w:cs="宋体"/>
          <w:spacing w:val="9"/>
          <w:sz w:val="20"/>
          <w:szCs w:val="20"/>
        </w:rPr>
        <w:t>剂量辐照可延长保藏期8d,</w:t>
      </w:r>
      <w:r>
        <w:rPr>
          <w:rFonts w:ascii="宋体" w:eastAsia="宋体" w:hAnsi="宋体" w:cs="宋体"/>
          <w:spacing w:val="11"/>
          <w:sz w:val="20"/>
          <w:szCs w:val="20"/>
        </w:rPr>
        <w:t xml:space="preserve"> </w:t>
      </w:r>
      <w:r>
        <w:rPr>
          <w:rFonts w:ascii="宋体" w:eastAsia="宋体" w:hAnsi="宋体" w:cs="宋体"/>
          <w:spacing w:val="9"/>
          <w:sz w:val="20"/>
          <w:szCs w:val="20"/>
        </w:rPr>
        <w:t>用1</w:t>
      </w:r>
      <w:r>
        <w:rPr>
          <w:rFonts w:ascii="宋体" w:eastAsia="宋体" w:hAnsi="宋体" w:cs="宋体"/>
          <w:spacing w:val="-52"/>
          <w:sz w:val="20"/>
          <w:szCs w:val="20"/>
        </w:rPr>
        <w:t xml:space="preserve"> </w:t>
      </w:r>
      <w:r>
        <w:rPr>
          <w:rFonts w:ascii="宋体" w:eastAsia="宋体" w:hAnsi="宋体" w:cs="宋体"/>
          <w:spacing w:val="9"/>
          <w:sz w:val="20"/>
          <w:szCs w:val="20"/>
        </w:rPr>
        <w:t>.</w:t>
      </w:r>
      <w:r>
        <w:rPr>
          <w:rFonts w:ascii="宋体" w:eastAsia="宋体" w:hAnsi="宋体" w:cs="宋体"/>
          <w:spacing w:val="-55"/>
          <w:sz w:val="20"/>
          <w:szCs w:val="20"/>
        </w:rPr>
        <w:t xml:space="preserve"> </w:t>
      </w:r>
      <w:r>
        <w:rPr>
          <w:rFonts w:ascii="宋体" w:eastAsia="宋体" w:hAnsi="宋体" w:cs="宋体"/>
          <w:spacing w:val="9"/>
          <w:sz w:val="20"/>
          <w:szCs w:val="20"/>
        </w:rPr>
        <w:t>5</w:t>
      </w:r>
      <w:r>
        <w:rPr>
          <w:rFonts w:ascii="宋体" w:eastAsia="宋体" w:hAnsi="宋体" w:cs="宋体"/>
          <w:sz w:val="20"/>
          <w:szCs w:val="20"/>
        </w:rPr>
        <w:t>kGy</w:t>
      </w:r>
      <w:r>
        <w:rPr>
          <w:rFonts w:ascii="宋体" w:eastAsia="宋体" w:hAnsi="宋体" w:cs="宋体"/>
          <w:spacing w:val="26"/>
          <w:sz w:val="20"/>
          <w:szCs w:val="20"/>
        </w:rPr>
        <w:t xml:space="preserve"> </w:t>
      </w:r>
      <w:r>
        <w:rPr>
          <w:rFonts w:ascii="宋体" w:eastAsia="宋体" w:hAnsi="宋体" w:cs="宋体"/>
          <w:spacing w:val="9"/>
          <w:sz w:val="20"/>
          <w:szCs w:val="20"/>
        </w:rPr>
        <w:t>可完全杀</w:t>
      </w:r>
      <w:r>
        <w:rPr>
          <w:rFonts w:ascii="宋体" w:eastAsia="宋体" w:hAnsi="宋体" w:cs="宋体"/>
          <w:sz w:val="20"/>
          <w:szCs w:val="20"/>
        </w:rPr>
        <w:t xml:space="preserve"> </w:t>
      </w:r>
      <w:r>
        <w:rPr>
          <w:rFonts w:ascii="宋体" w:eastAsia="宋体" w:hAnsi="宋体" w:cs="宋体"/>
          <w:spacing w:val="7"/>
          <w:sz w:val="20"/>
          <w:szCs w:val="20"/>
        </w:rPr>
        <w:t>死果实中的害虫。水果的辐照处理，除可延长保藏期外，还能增加水果的加工性</w:t>
      </w:r>
      <w:r>
        <w:rPr>
          <w:rFonts w:ascii="宋体" w:eastAsia="宋体" w:hAnsi="宋体" w:cs="宋体"/>
          <w:spacing w:val="11"/>
          <w:sz w:val="20"/>
          <w:szCs w:val="20"/>
        </w:rPr>
        <w:t xml:space="preserve"> </w:t>
      </w:r>
      <w:r>
        <w:rPr>
          <w:rFonts w:ascii="宋体" w:eastAsia="宋体" w:hAnsi="宋体" w:cs="宋体"/>
          <w:spacing w:val="5"/>
          <w:sz w:val="20"/>
          <w:szCs w:val="20"/>
        </w:rPr>
        <w:t>能，如使涩柿提前脱涩和增加葡萄的出汁率等。</w:t>
      </w:r>
    </w:p>
    <w:p w:rsidR="00EA40A3" w:rsidRDefault="00E86C16">
      <w:pPr>
        <w:spacing w:before="123" w:line="219" w:lineRule="auto"/>
        <w:ind w:left="410"/>
        <w:rPr>
          <w:rFonts w:ascii="宋体" w:eastAsia="宋体" w:hAnsi="宋体" w:cs="宋体"/>
          <w:sz w:val="20"/>
          <w:szCs w:val="20"/>
        </w:rPr>
      </w:pPr>
      <w:r>
        <w:rPr>
          <w:rFonts w:ascii="宋体" w:eastAsia="宋体" w:hAnsi="宋体" w:cs="宋体"/>
          <w:spacing w:val="14"/>
          <w:sz w:val="20"/>
          <w:szCs w:val="20"/>
        </w:rPr>
        <w:t>蔬菜的辐照处理主要是抑制发芽，杀死寄生虫，辐照可以改变蔬菜的呼吸</w:t>
      </w:r>
    </w:p>
    <w:p w:rsidR="00EA40A3" w:rsidRDefault="00E86C16">
      <w:pPr>
        <w:spacing w:before="72"/>
        <w:ind w:right="107"/>
        <w:jc w:val="right"/>
        <w:rPr>
          <w:rFonts w:ascii="宋体" w:eastAsia="宋体" w:hAnsi="宋体" w:cs="宋体"/>
          <w:sz w:val="20"/>
          <w:szCs w:val="20"/>
        </w:rPr>
      </w:pPr>
      <w:r>
        <w:rPr>
          <w:rFonts w:ascii="宋体" w:eastAsia="宋体" w:hAnsi="宋体" w:cs="宋体"/>
          <w:spacing w:val="-35"/>
          <w:sz w:val="20"/>
          <w:szCs w:val="20"/>
        </w:rPr>
        <w:t>·</w:t>
      </w:r>
      <w:r>
        <w:rPr>
          <w:rFonts w:ascii="宋体" w:eastAsia="宋体" w:hAnsi="宋体" w:cs="宋体"/>
          <w:spacing w:val="-13"/>
          <w:sz w:val="20"/>
          <w:szCs w:val="20"/>
        </w:rPr>
        <w:t xml:space="preserve"> </w:t>
      </w:r>
      <w:r>
        <w:rPr>
          <w:rFonts w:ascii="宋体" w:eastAsia="宋体" w:hAnsi="宋体" w:cs="宋体"/>
          <w:spacing w:val="-35"/>
          <w:sz w:val="20"/>
          <w:szCs w:val="20"/>
        </w:rPr>
        <w:t>233</w:t>
      </w:r>
      <w:r>
        <w:rPr>
          <w:rFonts w:ascii="宋体" w:eastAsia="宋体" w:hAnsi="宋体" w:cs="宋体"/>
          <w:spacing w:val="40"/>
          <w:sz w:val="20"/>
          <w:szCs w:val="20"/>
        </w:rPr>
        <w:t xml:space="preserve"> </w:t>
      </w:r>
      <w:r>
        <w:rPr>
          <w:rFonts w:ascii="宋体" w:eastAsia="宋体" w:hAnsi="宋体" w:cs="宋体"/>
          <w:spacing w:val="-35"/>
          <w:sz w:val="20"/>
          <w:szCs w:val="20"/>
        </w:rPr>
        <w:t>·</w:t>
      </w:r>
    </w:p>
    <w:p w:rsidR="00EA40A3" w:rsidRDefault="00EA40A3">
      <w:pPr>
        <w:sectPr w:rsidR="00EA40A3">
          <w:pgSz w:w="9220" w:h="13360"/>
          <w:pgMar w:top="400" w:right="939" w:bottom="400" w:left="890" w:header="0" w:footer="0" w:gutter="0"/>
          <w:cols w:space="720"/>
        </w:sectPr>
      </w:pPr>
    </w:p>
    <w:p w:rsidR="00EA40A3" w:rsidRDefault="00EA40A3">
      <w:pPr>
        <w:spacing w:line="258" w:lineRule="auto"/>
      </w:pPr>
    </w:p>
    <w:p w:rsidR="00EA40A3" w:rsidRDefault="00EA40A3">
      <w:pPr>
        <w:spacing w:line="259" w:lineRule="auto"/>
      </w:pPr>
    </w:p>
    <w:p w:rsidR="00EA40A3" w:rsidRDefault="00E86C16">
      <w:pPr>
        <w:spacing w:before="68" w:line="219" w:lineRule="auto"/>
        <w:rPr>
          <w:rFonts w:ascii="宋体" w:eastAsia="宋体" w:hAnsi="宋体" w:cs="宋体"/>
        </w:rPr>
      </w:pPr>
      <w:r>
        <w:rPr>
          <w:rFonts w:ascii="宋体" w:eastAsia="宋体" w:hAnsi="宋体" w:cs="宋体"/>
          <w:spacing w:val="-3"/>
        </w:rPr>
        <w:t>率，防止老化，改变化学成分等，如马铃薯、洋葱等经辐照后可抑制发芽；辐照</w:t>
      </w:r>
    </w:p>
    <w:p w:rsidR="00EA40A3" w:rsidRDefault="00E86C16">
      <w:pPr>
        <w:spacing w:before="80" w:line="280" w:lineRule="exact"/>
        <w:rPr>
          <w:rFonts w:ascii="宋体" w:eastAsia="宋体" w:hAnsi="宋体" w:cs="宋体"/>
        </w:rPr>
      </w:pPr>
      <w:r>
        <w:rPr>
          <w:rFonts w:ascii="宋体" w:eastAsia="宋体" w:hAnsi="宋体" w:cs="宋体"/>
          <w:spacing w:val="-7"/>
          <w:position w:val="4"/>
        </w:rPr>
        <w:t>蘑菇可防止开伞，延长储藏期。</w:t>
      </w:r>
    </w:p>
    <w:p w:rsidR="00EA40A3" w:rsidRDefault="00E86C16">
      <w:pPr>
        <w:spacing w:line="219" w:lineRule="auto"/>
        <w:rPr>
          <w:rFonts w:ascii="宋体" w:eastAsia="宋体" w:hAnsi="宋体" w:cs="宋体"/>
        </w:rPr>
      </w:pPr>
      <w:r>
        <w:rPr>
          <w:rFonts w:ascii="宋体" w:eastAsia="宋体" w:hAnsi="宋体" w:cs="宋体"/>
          <w:spacing w:val="17"/>
        </w:rPr>
        <w:t>4)肉类</w:t>
      </w:r>
    </w:p>
    <w:p w:rsidR="00EA40A3" w:rsidRDefault="00E86C16">
      <w:pPr>
        <w:spacing w:before="50" w:line="252" w:lineRule="auto"/>
        <w:ind w:right="93" w:firstLine="419"/>
        <w:rPr>
          <w:rFonts w:ascii="宋体" w:eastAsia="宋体" w:hAnsi="宋体" w:cs="宋体"/>
        </w:rPr>
      </w:pPr>
      <w:r>
        <w:rPr>
          <w:rFonts w:ascii="宋体" w:eastAsia="宋体" w:hAnsi="宋体" w:cs="宋体"/>
          <w:spacing w:val="-3"/>
        </w:rPr>
        <w:t>通常用辐照方法保藏鲜肉，需结合热处理方法。如用加热方法使鲜肉内部的</w:t>
      </w:r>
      <w:r>
        <w:rPr>
          <w:rFonts w:ascii="宋体" w:eastAsia="宋体" w:hAnsi="宋体" w:cs="宋体"/>
          <w:spacing w:val="4"/>
        </w:rPr>
        <w:t xml:space="preserve"> </w:t>
      </w:r>
      <w:r>
        <w:rPr>
          <w:rFonts w:ascii="宋体" w:eastAsia="宋体" w:hAnsi="宋体" w:cs="宋体"/>
          <w:spacing w:val="3"/>
        </w:rPr>
        <w:t>温度高达70℃,保持30</w:t>
      </w:r>
      <w:r>
        <w:rPr>
          <w:rFonts w:ascii="宋体" w:eastAsia="宋体" w:hAnsi="宋体" w:cs="宋体"/>
        </w:rPr>
        <w:t>min</w:t>
      </w:r>
      <w:r>
        <w:rPr>
          <w:rFonts w:ascii="宋体" w:eastAsia="宋体" w:hAnsi="宋体" w:cs="宋体"/>
          <w:spacing w:val="3"/>
        </w:rPr>
        <w:t>,</w:t>
      </w:r>
      <w:r>
        <w:rPr>
          <w:rFonts w:ascii="宋体" w:eastAsia="宋体" w:hAnsi="宋体" w:cs="宋体"/>
          <w:spacing w:val="1"/>
        </w:rPr>
        <w:t xml:space="preserve"> </w:t>
      </w:r>
      <w:r>
        <w:rPr>
          <w:rFonts w:ascii="宋体" w:eastAsia="宋体" w:hAnsi="宋体" w:cs="宋体"/>
          <w:spacing w:val="3"/>
        </w:rPr>
        <w:t>使其蛋白分解酶完全被钝化后再进行辐照。</w:t>
      </w:r>
    </w:p>
    <w:p w:rsidR="00EA40A3" w:rsidRDefault="00E86C16">
      <w:pPr>
        <w:spacing w:before="38" w:line="257" w:lineRule="auto"/>
        <w:ind w:right="52" w:firstLine="419"/>
        <w:rPr>
          <w:rFonts w:ascii="宋体" w:eastAsia="宋体" w:hAnsi="宋体" w:cs="宋体"/>
        </w:rPr>
      </w:pPr>
      <w:r>
        <w:rPr>
          <w:rFonts w:ascii="宋体" w:eastAsia="宋体" w:hAnsi="宋体" w:cs="宋体"/>
          <w:spacing w:val="-3"/>
        </w:rPr>
        <w:t>高剂量辐照处理肉类，可达到灭菌保藏的目的，所用的剂量要能杀死抗辐照</w:t>
      </w:r>
      <w:r>
        <w:rPr>
          <w:rFonts w:ascii="宋体" w:eastAsia="宋体" w:hAnsi="宋体" w:cs="宋体"/>
          <w:spacing w:val="5"/>
        </w:rPr>
        <w:t xml:space="preserve"> </w:t>
      </w:r>
      <w:r>
        <w:rPr>
          <w:rFonts w:ascii="宋体" w:eastAsia="宋体" w:hAnsi="宋体" w:cs="宋体"/>
          <w:spacing w:val="11"/>
        </w:rPr>
        <w:t>性强的肉毒芽孢杆菌；对低盐、无酸的肉类(如</w:t>
      </w:r>
      <w:r>
        <w:rPr>
          <w:rFonts w:ascii="宋体" w:eastAsia="宋体" w:hAnsi="宋体" w:cs="宋体"/>
          <w:spacing w:val="10"/>
        </w:rPr>
        <w:t>鸡肉)需用剂量45</w:t>
      </w:r>
      <w:r>
        <w:rPr>
          <w:rFonts w:ascii="宋体" w:eastAsia="宋体" w:hAnsi="宋体" w:cs="宋体"/>
        </w:rPr>
        <w:t>kGy</w:t>
      </w:r>
      <w:r>
        <w:rPr>
          <w:rFonts w:ascii="宋体" w:eastAsia="宋体" w:hAnsi="宋体" w:cs="宋体"/>
          <w:spacing w:val="16"/>
        </w:rPr>
        <w:t xml:space="preserve"> </w:t>
      </w:r>
      <w:r>
        <w:rPr>
          <w:rFonts w:ascii="宋体" w:eastAsia="宋体" w:hAnsi="宋体" w:cs="宋体"/>
          <w:spacing w:val="10"/>
        </w:rPr>
        <w:t>以上。</w:t>
      </w:r>
      <w:r>
        <w:rPr>
          <w:rFonts w:ascii="宋体" w:eastAsia="宋体" w:hAnsi="宋体" w:cs="宋体"/>
        </w:rPr>
        <w:t xml:space="preserve"> </w:t>
      </w:r>
      <w:r>
        <w:rPr>
          <w:rFonts w:ascii="宋体" w:eastAsia="宋体" w:hAnsi="宋体" w:cs="宋体"/>
          <w:spacing w:val="3"/>
        </w:rPr>
        <w:t>但肉类的高剂量辐照灭菌处理会使产品产生异味，此异味随肉类的品种不同而</w:t>
      </w:r>
      <w:r>
        <w:rPr>
          <w:rFonts w:ascii="宋体" w:eastAsia="宋体" w:hAnsi="宋体" w:cs="宋体"/>
          <w:spacing w:val="7"/>
        </w:rPr>
        <w:t xml:space="preserve"> </w:t>
      </w:r>
      <w:r>
        <w:rPr>
          <w:rFonts w:ascii="宋体" w:eastAsia="宋体" w:hAnsi="宋体" w:cs="宋体"/>
          <w:spacing w:val="3"/>
        </w:rPr>
        <w:t>异，牛肉产生的异味最强。目前防止异味最好的方法是在冰冻温度-80～-30℃</w:t>
      </w:r>
      <w:r>
        <w:rPr>
          <w:rFonts w:ascii="宋体" w:eastAsia="宋体" w:hAnsi="宋体" w:cs="宋体"/>
          <w:spacing w:val="16"/>
        </w:rPr>
        <w:t xml:space="preserve"> </w:t>
      </w:r>
      <w:r>
        <w:rPr>
          <w:rFonts w:ascii="宋体" w:eastAsia="宋体" w:hAnsi="宋体" w:cs="宋体"/>
          <w:spacing w:val="-3"/>
        </w:rPr>
        <w:t>下辐照，因为异味的形成大多数是间接的化学效应。在冰冻时水中的自由基的流</w:t>
      </w:r>
      <w:r>
        <w:rPr>
          <w:rFonts w:ascii="宋体" w:eastAsia="宋体" w:hAnsi="宋体" w:cs="宋体"/>
          <w:spacing w:val="2"/>
        </w:rPr>
        <w:t xml:space="preserve"> </w:t>
      </w:r>
      <w:r>
        <w:rPr>
          <w:rFonts w:ascii="宋体" w:eastAsia="宋体" w:hAnsi="宋体" w:cs="宋体"/>
          <w:spacing w:val="-4"/>
        </w:rPr>
        <w:t>动性减少，可防止自由基和肉类成分的相互反应发生。同时，辐照可引起肉</w:t>
      </w:r>
      <w:r>
        <w:rPr>
          <w:rFonts w:ascii="宋体" w:eastAsia="宋体" w:hAnsi="宋体" w:cs="宋体"/>
          <w:spacing w:val="-5"/>
        </w:rPr>
        <w:t>颜色</w:t>
      </w:r>
      <w:r>
        <w:rPr>
          <w:rFonts w:ascii="宋体" w:eastAsia="宋体" w:hAnsi="宋体" w:cs="宋体"/>
        </w:rPr>
        <w:t xml:space="preserve">  </w:t>
      </w:r>
      <w:r>
        <w:rPr>
          <w:rFonts w:ascii="宋体" w:eastAsia="宋体" w:hAnsi="宋体" w:cs="宋体"/>
          <w:spacing w:val="-7"/>
        </w:rPr>
        <w:t>的变化，在有氧存在下更为显著。</w:t>
      </w:r>
    </w:p>
    <w:p w:rsidR="00EA40A3" w:rsidRDefault="00E86C16">
      <w:pPr>
        <w:spacing w:before="90" w:line="253" w:lineRule="auto"/>
        <w:ind w:right="92" w:firstLine="419"/>
        <w:rPr>
          <w:rFonts w:ascii="宋体" w:eastAsia="宋体" w:hAnsi="宋体" w:cs="宋体"/>
        </w:rPr>
      </w:pPr>
      <w:r>
        <w:rPr>
          <w:rFonts w:ascii="宋体" w:eastAsia="宋体" w:hAnsi="宋体" w:cs="宋体"/>
          <w:spacing w:val="3"/>
        </w:rPr>
        <w:t>研究表明，经72℃蛋白酶热钝化处理和真空包装的猪肉样品，在一20℃温</w:t>
      </w:r>
      <w:r>
        <w:rPr>
          <w:rFonts w:ascii="宋体" w:eastAsia="宋体" w:hAnsi="宋体" w:cs="宋体"/>
          <w:spacing w:val="4"/>
        </w:rPr>
        <w:t xml:space="preserve"> </w:t>
      </w:r>
      <w:r>
        <w:rPr>
          <w:rFonts w:ascii="宋体" w:eastAsia="宋体" w:hAnsi="宋体" w:cs="宋体"/>
          <w:spacing w:val="-1"/>
        </w:rPr>
        <w:t>度下辐照45kGy,</w:t>
      </w:r>
      <w:r>
        <w:rPr>
          <w:rFonts w:ascii="宋体" w:eastAsia="宋体" w:hAnsi="宋体" w:cs="宋体"/>
          <w:spacing w:val="48"/>
        </w:rPr>
        <w:t xml:space="preserve"> </w:t>
      </w:r>
      <w:r>
        <w:rPr>
          <w:rFonts w:ascii="宋体" w:eastAsia="宋体" w:hAnsi="宋体" w:cs="宋体"/>
          <w:spacing w:val="-1"/>
        </w:rPr>
        <w:t>对猪肉的蛋白质虽有所影响，但影响不大。辐照猪肉发生很小</w:t>
      </w:r>
      <w:r>
        <w:rPr>
          <w:rFonts w:ascii="宋体" w:eastAsia="宋体" w:hAnsi="宋体" w:cs="宋体"/>
        </w:rPr>
        <w:t xml:space="preserve"> </w:t>
      </w:r>
      <w:r>
        <w:rPr>
          <w:rFonts w:ascii="宋体" w:eastAsia="宋体" w:hAnsi="宋体" w:cs="宋体"/>
          <w:spacing w:val="-3"/>
        </w:rPr>
        <w:t>的结构变化，其氨基酸主要组分基本保持不变，也就是说高剂量辐照并不会导致</w:t>
      </w:r>
      <w:r>
        <w:rPr>
          <w:rFonts w:ascii="宋体" w:eastAsia="宋体" w:hAnsi="宋体" w:cs="宋体"/>
          <w:spacing w:val="2"/>
        </w:rPr>
        <w:t xml:space="preserve"> </w:t>
      </w:r>
      <w:r>
        <w:rPr>
          <w:rFonts w:ascii="宋体" w:eastAsia="宋体" w:hAnsi="宋体" w:cs="宋体"/>
          <w:spacing w:val="-5"/>
        </w:rPr>
        <w:t>猪肉损失其蛋白质营养值。</w:t>
      </w:r>
    </w:p>
    <w:p w:rsidR="00EA40A3" w:rsidRDefault="00E86C16">
      <w:pPr>
        <w:spacing w:before="70" w:line="250" w:lineRule="auto"/>
        <w:ind w:right="79" w:firstLine="419"/>
        <w:rPr>
          <w:rFonts w:ascii="宋体" w:eastAsia="宋体" w:hAnsi="宋体" w:cs="宋体"/>
        </w:rPr>
      </w:pPr>
      <w:r>
        <w:rPr>
          <w:rFonts w:ascii="宋体" w:eastAsia="宋体" w:hAnsi="宋体" w:cs="宋体"/>
          <w:spacing w:val="-3"/>
        </w:rPr>
        <w:t>肉类是维生素</w:t>
      </w:r>
      <w:r>
        <w:rPr>
          <w:rFonts w:ascii="宋体" w:eastAsia="宋体" w:hAnsi="宋体" w:cs="宋体"/>
          <w:spacing w:val="-57"/>
        </w:rPr>
        <w:t xml:space="preserve"> </w:t>
      </w:r>
      <w:r>
        <w:rPr>
          <w:rFonts w:ascii="宋体" w:eastAsia="宋体" w:hAnsi="宋体" w:cs="宋体"/>
          <w:spacing w:val="-3"/>
        </w:rPr>
        <w:t>B</w:t>
      </w:r>
      <w:r>
        <w:rPr>
          <w:rFonts w:ascii="Calibri" w:eastAsia="Calibri" w:hAnsi="Calibri" w:cs="Calibri"/>
          <w:spacing w:val="-3"/>
        </w:rPr>
        <w:t>₁</w:t>
      </w:r>
      <w:r>
        <w:rPr>
          <w:rFonts w:ascii="Calibri" w:eastAsia="Calibri" w:hAnsi="Calibri" w:cs="Calibri"/>
          <w:spacing w:val="11"/>
        </w:rPr>
        <w:t xml:space="preserve">  </w:t>
      </w:r>
      <w:r>
        <w:rPr>
          <w:rFonts w:ascii="宋体" w:eastAsia="宋体" w:hAnsi="宋体" w:cs="宋体"/>
          <w:spacing w:val="-3"/>
        </w:rPr>
        <w:t>的重要来源。维生素</w:t>
      </w:r>
      <w:r>
        <w:rPr>
          <w:rFonts w:ascii="宋体" w:eastAsia="宋体" w:hAnsi="宋体" w:cs="宋体"/>
          <w:spacing w:val="-60"/>
        </w:rPr>
        <w:t xml:space="preserve"> </w:t>
      </w:r>
      <w:r>
        <w:rPr>
          <w:rFonts w:ascii="宋体" w:eastAsia="宋体" w:hAnsi="宋体" w:cs="宋体"/>
          <w:spacing w:val="-3"/>
        </w:rPr>
        <w:t>B</w:t>
      </w:r>
      <w:r>
        <w:rPr>
          <w:rFonts w:ascii="Calibri" w:eastAsia="Calibri" w:hAnsi="Calibri" w:cs="Calibri"/>
          <w:spacing w:val="-3"/>
        </w:rPr>
        <w:t>₁</w:t>
      </w:r>
      <w:r>
        <w:rPr>
          <w:rFonts w:ascii="Calibri" w:eastAsia="Calibri" w:hAnsi="Calibri" w:cs="Calibri"/>
          <w:spacing w:val="11"/>
        </w:rPr>
        <w:t xml:space="preserve">  </w:t>
      </w:r>
      <w:r>
        <w:rPr>
          <w:rFonts w:ascii="宋体" w:eastAsia="宋体" w:hAnsi="宋体" w:cs="宋体"/>
          <w:spacing w:val="-3"/>
        </w:rPr>
        <w:t>对辐照非常敏</w:t>
      </w:r>
      <w:r>
        <w:rPr>
          <w:rFonts w:ascii="宋体" w:eastAsia="宋体" w:hAnsi="宋体" w:cs="宋体"/>
          <w:spacing w:val="-4"/>
        </w:rPr>
        <w:t>感，在温度高时更为</w:t>
      </w:r>
      <w:r>
        <w:rPr>
          <w:rFonts w:ascii="宋体" w:eastAsia="宋体" w:hAnsi="宋体" w:cs="宋体"/>
        </w:rPr>
        <w:t xml:space="preserve"> </w:t>
      </w:r>
      <w:r>
        <w:rPr>
          <w:rFonts w:ascii="宋体" w:eastAsia="宋体" w:hAnsi="宋体" w:cs="宋体"/>
          <w:spacing w:val="5"/>
        </w:rPr>
        <w:t>敏感。肉及肉制品在冷冻状态下用辐照处理可以显</w:t>
      </w:r>
      <w:r>
        <w:rPr>
          <w:rFonts w:ascii="宋体" w:eastAsia="宋体" w:hAnsi="宋体" w:cs="宋体"/>
          <w:spacing w:val="4"/>
        </w:rPr>
        <w:t>著减少维生素B</w:t>
      </w:r>
      <w:r>
        <w:rPr>
          <w:rFonts w:ascii="Calibri" w:eastAsia="Calibri" w:hAnsi="Calibri" w:cs="Calibri"/>
          <w:spacing w:val="4"/>
        </w:rPr>
        <w:t>₁</w:t>
      </w:r>
      <w:r>
        <w:rPr>
          <w:rFonts w:ascii="Calibri" w:eastAsia="Calibri" w:hAnsi="Calibri" w:cs="Calibri"/>
          <w:spacing w:val="15"/>
          <w:w w:val="101"/>
        </w:rPr>
        <w:t xml:space="preserve">  </w:t>
      </w:r>
      <w:r>
        <w:rPr>
          <w:rFonts w:ascii="宋体" w:eastAsia="宋体" w:hAnsi="宋体" w:cs="宋体"/>
          <w:spacing w:val="4"/>
        </w:rPr>
        <w:t>的损失(见</w:t>
      </w:r>
      <w:r>
        <w:rPr>
          <w:rFonts w:ascii="宋体" w:eastAsia="宋体" w:hAnsi="宋体" w:cs="宋体"/>
        </w:rPr>
        <w:t xml:space="preserve"> </w:t>
      </w:r>
      <w:r>
        <w:rPr>
          <w:rFonts w:ascii="宋体" w:eastAsia="宋体" w:hAnsi="宋体" w:cs="宋体"/>
          <w:spacing w:val="-3"/>
        </w:rPr>
        <w:t>表7-7)。</w:t>
      </w:r>
    </w:p>
    <w:p w:rsidR="00EA40A3" w:rsidRDefault="00EA40A3">
      <w:pPr>
        <w:spacing w:line="273" w:lineRule="auto"/>
      </w:pPr>
    </w:p>
    <w:p w:rsidR="00EA40A3" w:rsidRDefault="00E86C16">
      <w:pPr>
        <w:spacing w:before="69" w:line="222" w:lineRule="auto"/>
        <w:ind w:left="1182"/>
        <w:rPr>
          <w:rFonts w:ascii="黑体" w:eastAsia="黑体" w:hAnsi="黑体" w:cs="黑体"/>
        </w:rPr>
      </w:pPr>
      <w:r>
        <w:rPr>
          <w:rFonts w:ascii="黑体" w:eastAsia="黑体" w:hAnsi="黑体" w:cs="黑体"/>
          <w:b/>
          <w:bCs/>
          <w:spacing w:val="-21"/>
          <w:w w:val="97"/>
        </w:rPr>
        <w:t>表7-7</w:t>
      </w:r>
      <w:r>
        <w:rPr>
          <w:rFonts w:ascii="黑体" w:eastAsia="黑体" w:hAnsi="黑体" w:cs="黑体"/>
          <w:spacing w:val="48"/>
        </w:rPr>
        <w:t xml:space="preserve"> </w:t>
      </w:r>
      <w:r>
        <w:rPr>
          <w:rFonts w:ascii="黑体" w:eastAsia="黑体" w:hAnsi="黑体" w:cs="黑体"/>
          <w:b/>
          <w:bCs/>
          <w:spacing w:val="-21"/>
          <w:w w:val="97"/>
        </w:rPr>
        <w:t>火腿和牛肉中维生素B</w:t>
      </w:r>
      <w:r>
        <w:rPr>
          <w:rFonts w:ascii="Calibri" w:eastAsia="Calibri" w:hAnsi="Calibri" w:cs="Calibri"/>
          <w:b/>
          <w:bCs/>
          <w:spacing w:val="-21"/>
          <w:w w:val="97"/>
        </w:rPr>
        <w:t>₁</w:t>
      </w:r>
      <w:r>
        <w:rPr>
          <w:rFonts w:ascii="Calibri" w:eastAsia="Calibri" w:hAnsi="Calibri" w:cs="Calibri"/>
          <w:spacing w:val="33"/>
          <w:w w:val="101"/>
        </w:rPr>
        <w:t xml:space="preserve"> </w:t>
      </w:r>
      <w:r>
        <w:rPr>
          <w:rFonts w:ascii="黑体" w:eastAsia="黑体" w:hAnsi="黑体" w:cs="黑体"/>
          <w:b/>
          <w:bCs/>
          <w:spacing w:val="-21"/>
          <w:w w:val="97"/>
        </w:rPr>
        <w:t>保留率与辐照剂量、温度的关系</w:t>
      </w:r>
    </w:p>
    <w:p w:rsidR="00EA40A3" w:rsidRDefault="00EA40A3">
      <w:pPr>
        <w:spacing w:line="87" w:lineRule="auto"/>
        <w:rPr>
          <w:sz w:val="2"/>
        </w:rPr>
      </w:pP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35"/>
        <w:gridCol w:w="1321"/>
        <w:gridCol w:w="1598"/>
        <w:gridCol w:w="1475"/>
        <w:gridCol w:w="1720"/>
      </w:tblGrid>
      <w:tr w:rsidR="00EA40A3">
        <w:trPr>
          <w:trHeight w:val="563"/>
        </w:trPr>
        <w:tc>
          <w:tcPr>
            <w:tcW w:w="1235" w:type="dxa"/>
            <w:tcBorders>
              <w:top w:val="single" w:sz="4" w:space="0" w:color="000000"/>
              <w:bottom w:val="single" w:sz="4" w:space="0" w:color="000000"/>
            </w:tcBorders>
          </w:tcPr>
          <w:p w:rsidR="00EA40A3" w:rsidRDefault="00E86C16">
            <w:pPr>
              <w:spacing w:before="202" w:line="220" w:lineRule="auto"/>
              <w:ind w:left="529"/>
              <w:rPr>
                <w:rFonts w:ascii="宋体" w:eastAsia="宋体" w:hAnsi="宋体" w:cs="宋体"/>
                <w:sz w:val="16"/>
                <w:szCs w:val="16"/>
              </w:rPr>
            </w:pPr>
            <w:r>
              <w:rPr>
                <w:rFonts w:ascii="宋体" w:eastAsia="宋体" w:hAnsi="宋体" w:cs="宋体"/>
                <w:spacing w:val="8"/>
                <w:sz w:val="16"/>
                <w:szCs w:val="16"/>
              </w:rPr>
              <w:t>食品</w:t>
            </w:r>
          </w:p>
        </w:tc>
        <w:tc>
          <w:tcPr>
            <w:tcW w:w="1321" w:type="dxa"/>
            <w:tcBorders>
              <w:top w:val="single" w:sz="4" w:space="0" w:color="000000"/>
              <w:bottom w:val="single" w:sz="4" w:space="0" w:color="000000"/>
            </w:tcBorders>
          </w:tcPr>
          <w:p w:rsidR="00EA40A3" w:rsidRDefault="00E86C16">
            <w:pPr>
              <w:spacing w:before="204" w:line="224" w:lineRule="auto"/>
              <w:ind w:left="554"/>
              <w:rPr>
                <w:rFonts w:ascii="宋体" w:eastAsia="宋体" w:hAnsi="宋体" w:cs="宋体"/>
                <w:sz w:val="16"/>
                <w:szCs w:val="16"/>
              </w:rPr>
            </w:pPr>
            <w:r>
              <w:rPr>
                <w:rFonts w:ascii="宋体" w:eastAsia="宋体" w:hAnsi="宋体" w:cs="宋体"/>
                <w:spacing w:val="-3"/>
                <w:sz w:val="16"/>
                <w:szCs w:val="16"/>
              </w:rPr>
              <w:t>处理</w:t>
            </w:r>
          </w:p>
        </w:tc>
        <w:tc>
          <w:tcPr>
            <w:tcW w:w="1598" w:type="dxa"/>
            <w:tcBorders>
              <w:top w:val="single" w:sz="4" w:space="0" w:color="000000"/>
              <w:bottom w:val="single" w:sz="4" w:space="0" w:color="000000"/>
            </w:tcBorders>
          </w:tcPr>
          <w:p w:rsidR="00EA40A3" w:rsidRDefault="00E86C16">
            <w:pPr>
              <w:spacing w:before="197" w:line="215" w:lineRule="auto"/>
              <w:ind w:left="473"/>
              <w:rPr>
                <w:rFonts w:ascii="宋体" w:eastAsia="宋体" w:hAnsi="宋体" w:cs="宋体"/>
                <w:sz w:val="16"/>
                <w:szCs w:val="16"/>
              </w:rPr>
            </w:pPr>
            <w:r>
              <w:rPr>
                <w:rFonts w:ascii="宋体" w:eastAsia="宋体" w:hAnsi="宋体" w:cs="宋体"/>
                <w:spacing w:val="-2"/>
                <w:sz w:val="16"/>
                <w:szCs w:val="16"/>
              </w:rPr>
              <w:t>剂量/kGy</w:t>
            </w:r>
          </w:p>
        </w:tc>
        <w:tc>
          <w:tcPr>
            <w:tcW w:w="1475" w:type="dxa"/>
            <w:tcBorders>
              <w:top w:val="single" w:sz="4" w:space="0" w:color="000000"/>
              <w:bottom w:val="single" w:sz="4" w:space="0" w:color="000000"/>
            </w:tcBorders>
          </w:tcPr>
          <w:p w:rsidR="00EA40A3" w:rsidRDefault="00E86C16">
            <w:pPr>
              <w:spacing w:before="201" w:line="219" w:lineRule="auto"/>
              <w:ind w:left="325"/>
              <w:rPr>
                <w:rFonts w:ascii="宋体" w:eastAsia="宋体" w:hAnsi="宋体" w:cs="宋体"/>
                <w:sz w:val="16"/>
                <w:szCs w:val="16"/>
              </w:rPr>
            </w:pPr>
            <w:r>
              <w:rPr>
                <w:rFonts w:ascii="宋体" w:eastAsia="宋体" w:hAnsi="宋体" w:cs="宋体"/>
                <w:spacing w:val="3"/>
                <w:sz w:val="16"/>
                <w:szCs w:val="16"/>
              </w:rPr>
              <w:t>辐照温度/℃</w:t>
            </w:r>
          </w:p>
        </w:tc>
        <w:tc>
          <w:tcPr>
            <w:tcW w:w="1720" w:type="dxa"/>
            <w:tcBorders>
              <w:top w:val="single" w:sz="4" w:space="0" w:color="000000"/>
              <w:bottom w:val="single" w:sz="4" w:space="0" w:color="000000"/>
            </w:tcBorders>
          </w:tcPr>
          <w:p w:rsidR="00EA40A3" w:rsidRDefault="00E86C16">
            <w:pPr>
              <w:spacing w:before="101" w:line="266" w:lineRule="auto"/>
              <w:ind w:left="830" w:right="280" w:hanging="560"/>
              <w:rPr>
                <w:rFonts w:ascii="宋体" w:eastAsia="宋体" w:hAnsi="宋体" w:cs="宋体"/>
                <w:sz w:val="16"/>
                <w:szCs w:val="16"/>
              </w:rPr>
            </w:pPr>
            <w:r>
              <w:rPr>
                <w:rFonts w:ascii="宋体" w:eastAsia="宋体" w:hAnsi="宋体" w:cs="宋体"/>
                <w:spacing w:val="11"/>
                <w:sz w:val="16"/>
                <w:szCs w:val="16"/>
              </w:rPr>
              <w:t>维生素B</w:t>
            </w:r>
            <w:r>
              <w:rPr>
                <w:rFonts w:ascii="Calibri" w:eastAsia="Calibri" w:hAnsi="Calibri" w:cs="Calibri"/>
                <w:spacing w:val="11"/>
                <w:sz w:val="16"/>
                <w:szCs w:val="16"/>
              </w:rPr>
              <w:t>₁</w:t>
            </w:r>
            <w:r>
              <w:rPr>
                <w:rFonts w:ascii="宋体" w:eastAsia="宋体" w:hAnsi="宋体" w:cs="宋体"/>
                <w:spacing w:val="11"/>
                <w:sz w:val="16"/>
                <w:szCs w:val="16"/>
              </w:rPr>
              <w:t>保留率</w:t>
            </w:r>
            <w:r>
              <w:rPr>
                <w:rFonts w:ascii="宋体" w:eastAsia="宋体" w:hAnsi="宋体" w:cs="宋体"/>
                <w:sz w:val="16"/>
                <w:szCs w:val="16"/>
              </w:rPr>
              <w:t xml:space="preserve"> %</w:t>
            </w:r>
          </w:p>
        </w:tc>
      </w:tr>
      <w:tr w:rsidR="00EA40A3">
        <w:trPr>
          <w:trHeight w:val="851"/>
        </w:trPr>
        <w:tc>
          <w:tcPr>
            <w:tcW w:w="1235" w:type="dxa"/>
            <w:tcBorders>
              <w:top w:val="single" w:sz="4" w:space="0" w:color="000000"/>
            </w:tcBorders>
          </w:tcPr>
          <w:p w:rsidR="00EA40A3" w:rsidRDefault="00E86C16">
            <w:pPr>
              <w:spacing w:before="79" w:line="221" w:lineRule="auto"/>
              <w:ind w:left="529"/>
              <w:rPr>
                <w:rFonts w:ascii="宋体" w:eastAsia="宋体" w:hAnsi="宋体" w:cs="宋体"/>
                <w:sz w:val="16"/>
                <w:szCs w:val="16"/>
              </w:rPr>
            </w:pPr>
            <w:r>
              <w:rPr>
                <w:rFonts w:ascii="宋体" w:eastAsia="宋体" w:hAnsi="宋体" w:cs="宋体"/>
                <w:spacing w:val="7"/>
                <w:sz w:val="16"/>
                <w:szCs w:val="16"/>
              </w:rPr>
              <w:t>牛肉</w:t>
            </w:r>
          </w:p>
        </w:tc>
        <w:tc>
          <w:tcPr>
            <w:tcW w:w="1321" w:type="dxa"/>
            <w:tcBorders>
              <w:top w:val="single" w:sz="4" w:space="0" w:color="000000"/>
            </w:tcBorders>
          </w:tcPr>
          <w:p w:rsidR="00EA40A3" w:rsidRDefault="00E86C16">
            <w:pPr>
              <w:spacing w:before="79" w:line="270" w:lineRule="exact"/>
              <w:ind w:left="554"/>
              <w:rPr>
                <w:rFonts w:ascii="宋体" w:eastAsia="宋体" w:hAnsi="宋体" w:cs="宋体"/>
                <w:sz w:val="16"/>
                <w:szCs w:val="16"/>
              </w:rPr>
            </w:pPr>
            <w:r>
              <w:rPr>
                <w:rFonts w:ascii="宋体" w:eastAsia="宋体" w:hAnsi="宋体" w:cs="宋体"/>
                <w:spacing w:val="-3"/>
                <w:position w:val="8"/>
                <w:sz w:val="16"/>
                <w:szCs w:val="16"/>
              </w:rPr>
              <w:t>照射</w:t>
            </w:r>
          </w:p>
          <w:p w:rsidR="00EA40A3" w:rsidRDefault="00E86C16">
            <w:pPr>
              <w:spacing w:line="220" w:lineRule="auto"/>
              <w:ind w:left="554"/>
              <w:rPr>
                <w:rFonts w:ascii="宋体" w:eastAsia="宋体" w:hAnsi="宋体" w:cs="宋体"/>
                <w:sz w:val="16"/>
                <w:szCs w:val="16"/>
              </w:rPr>
            </w:pPr>
            <w:r>
              <w:rPr>
                <w:rFonts w:ascii="宋体" w:eastAsia="宋体" w:hAnsi="宋体" w:cs="宋体"/>
                <w:spacing w:val="-3"/>
                <w:sz w:val="16"/>
                <w:szCs w:val="16"/>
              </w:rPr>
              <w:t>照射</w:t>
            </w:r>
          </w:p>
          <w:p w:rsidR="00EA40A3" w:rsidRDefault="00E86C16">
            <w:pPr>
              <w:spacing w:before="99" w:line="220" w:lineRule="auto"/>
              <w:ind w:left="554"/>
              <w:rPr>
                <w:rFonts w:ascii="宋体" w:eastAsia="宋体" w:hAnsi="宋体" w:cs="宋体"/>
                <w:sz w:val="16"/>
                <w:szCs w:val="16"/>
              </w:rPr>
            </w:pPr>
            <w:r>
              <w:rPr>
                <w:rFonts w:ascii="宋体" w:eastAsia="宋体" w:hAnsi="宋体" w:cs="宋体"/>
                <w:spacing w:val="-3"/>
                <w:sz w:val="16"/>
                <w:szCs w:val="16"/>
              </w:rPr>
              <w:t>照射</w:t>
            </w:r>
          </w:p>
        </w:tc>
        <w:tc>
          <w:tcPr>
            <w:tcW w:w="1598" w:type="dxa"/>
            <w:tcBorders>
              <w:top w:val="single" w:sz="4" w:space="0" w:color="000000"/>
            </w:tcBorders>
          </w:tcPr>
          <w:p w:rsidR="00EA40A3" w:rsidRDefault="00E86C16">
            <w:pPr>
              <w:spacing w:before="139" w:line="183" w:lineRule="auto"/>
              <w:ind w:left="713"/>
              <w:rPr>
                <w:rFonts w:ascii="宋体" w:eastAsia="宋体" w:hAnsi="宋体" w:cs="宋体"/>
                <w:sz w:val="16"/>
                <w:szCs w:val="16"/>
              </w:rPr>
            </w:pPr>
            <w:r>
              <w:rPr>
                <w:rFonts w:ascii="宋体" w:eastAsia="宋体" w:hAnsi="宋体" w:cs="宋体"/>
                <w:spacing w:val="-3"/>
                <w:sz w:val="16"/>
                <w:szCs w:val="16"/>
              </w:rPr>
              <w:t>30</w:t>
            </w:r>
          </w:p>
          <w:p w:rsidR="00EA40A3" w:rsidRDefault="00E86C16">
            <w:pPr>
              <w:spacing w:before="111" w:line="183" w:lineRule="auto"/>
              <w:ind w:left="713"/>
              <w:rPr>
                <w:rFonts w:ascii="宋体" w:eastAsia="宋体" w:hAnsi="宋体" w:cs="宋体"/>
                <w:sz w:val="16"/>
                <w:szCs w:val="16"/>
              </w:rPr>
            </w:pPr>
            <w:r>
              <w:rPr>
                <w:rFonts w:ascii="宋体" w:eastAsia="宋体" w:hAnsi="宋体" w:cs="宋体"/>
                <w:spacing w:val="-3"/>
                <w:sz w:val="16"/>
                <w:szCs w:val="16"/>
              </w:rPr>
              <w:t>30</w:t>
            </w:r>
          </w:p>
          <w:p w:rsidR="00EA40A3" w:rsidRDefault="00E86C16">
            <w:pPr>
              <w:spacing w:before="121" w:line="183" w:lineRule="auto"/>
              <w:ind w:left="713"/>
              <w:rPr>
                <w:rFonts w:ascii="宋体" w:eastAsia="宋体" w:hAnsi="宋体" w:cs="宋体"/>
                <w:sz w:val="16"/>
                <w:szCs w:val="16"/>
              </w:rPr>
            </w:pPr>
            <w:r>
              <w:rPr>
                <w:rFonts w:ascii="宋体" w:eastAsia="宋体" w:hAnsi="宋体" w:cs="宋体"/>
                <w:spacing w:val="-2"/>
                <w:sz w:val="16"/>
                <w:szCs w:val="16"/>
              </w:rPr>
              <w:t>60</w:t>
            </w:r>
          </w:p>
        </w:tc>
        <w:tc>
          <w:tcPr>
            <w:tcW w:w="1475" w:type="dxa"/>
            <w:tcBorders>
              <w:top w:val="single" w:sz="4" w:space="0" w:color="000000"/>
            </w:tcBorders>
          </w:tcPr>
          <w:p w:rsidR="00EA40A3" w:rsidRDefault="00E86C16">
            <w:pPr>
              <w:spacing w:before="139" w:line="183" w:lineRule="auto"/>
              <w:ind w:left="646"/>
              <w:rPr>
                <w:rFonts w:ascii="宋体" w:eastAsia="宋体" w:hAnsi="宋体" w:cs="宋体"/>
                <w:sz w:val="16"/>
                <w:szCs w:val="16"/>
              </w:rPr>
            </w:pPr>
            <w:r>
              <w:rPr>
                <w:rFonts w:ascii="宋体" w:eastAsia="宋体" w:hAnsi="宋体" w:cs="宋体"/>
                <w:spacing w:val="-2"/>
                <w:sz w:val="16"/>
                <w:szCs w:val="16"/>
              </w:rPr>
              <w:t>-80</w:t>
            </w:r>
          </w:p>
          <w:p w:rsidR="00EA40A3" w:rsidRDefault="00E86C16">
            <w:pPr>
              <w:spacing w:before="102" w:line="182" w:lineRule="auto"/>
              <w:ind w:left="725"/>
              <w:rPr>
                <w:rFonts w:ascii="宋体" w:eastAsia="宋体" w:hAnsi="宋体" w:cs="宋体"/>
                <w:sz w:val="16"/>
                <w:szCs w:val="16"/>
              </w:rPr>
            </w:pPr>
            <w:r>
              <w:rPr>
                <w:rFonts w:ascii="宋体" w:eastAsia="宋体" w:hAnsi="宋体" w:cs="宋体"/>
                <w:sz w:val="16"/>
                <w:szCs w:val="16"/>
              </w:rPr>
              <w:t>5</w:t>
            </w:r>
          </w:p>
          <w:p w:rsidR="00EA40A3" w:rsidRDefault="00E86C16">
            <w:pPr>
              <w:spacing w:before="131" w:line="183" w:lineRule="auto"/>
              <w:ind w:left="646"/>
              <w:rPr>
                <w:rFonts w:ascii="宋体" w:eastAsia="宋体" w:hAnsi="宋体" w:cs="宋体"/>
                <w:sz w:val="16"/>
                <w:szCs w:val="16"/>
              </w:rPr>
            </w:pPr>
            <w:r>
              <w:rPr>
                <w:rFonts w:ascii="宋体" w:eastAsia="宋体" w:hAnsi="宋体" w:cs="宋体"/>
                <w:spacing w:val="-2"/>
                <w:sz w:val="16"/>
                <w:szCs w:val="16"/>
              </w:rPr>
              <w:t>-80</w:t>
            </w:r>
          </w:p>
        </w:tc>
        <w:tc>
          <w:tcPr>
            <w:tcW w:w="1720" w:type="dxa"/>
            <w:tcBorders>
              <w:top w:val="single" w:sz="4" w:space="0" w:color="000000"/>
            </w:tcBorders>
          </w:tcPr>
          <w:p w:rsidR="00EA40A3" w:rsidRDefault="00E86C16">
            <w:pPr>
              <w:spacing w:before="129" w:line="183" w:lineRule="auto"/>
              <w:ind w:left="790"/>
              <w:rPr>
                <w:rFonts w:ascii="宋体" w:eastAsia="宋体" w:hAnsi="宋体" w:cs="宋体"/>
                <w:sz w:val="16"/>
                <w:szCs w:val="16"/>
              </w:rPr>
            </w:pPr>
            <w:r>
              <w:rPr>
                <w:rFonts w:ascii="宋体" w:eastAsia="宋体" w:hAnsi="宋体" w:cs="宋体"/>
                <w:spacing w:val="-2"/>
                <w:sz w:val="16"/>
                <w:szCs w:val="16"/>
              </w:rPr>
              <w:t>90</w:t>
            </w:r>
          </w:p>
          <w:p w:rsidR="00EA40A3" w:rsidRDefault="00E86C16">
            <w:pPr>
              <w:spacing w:before="110" w:line="184" w:lineRule="auto"/>
              <w:ind w:left="790"/>
              <w:rPr>
                <w:rFonts w:ascii="宋体" w:eastAsia="宋体" w:hAnsi="宋体" w:cs="宋体"/>
                <w:sz w:val="16"/>
                <w:szCs w:val="16"/>
              </w:rPr>
            </w:pPr>
            <w:r>
              <w:rPr>
                <w:rFonts w:ascii="宋体" w:eastAsia="宋体" w:hAnsi="宋体" w:cs="宋体"/>
                <w:spacing w:val="-5"/>
                <w:sz w:val="16"/>
                <w:szCs w:val="16"/>
              </w:rPr>
              <w:t>10</w:t>
            </w:r>
          </w:p>
          <w:p w:rsidR="00EA40A3" w:rsidRDefault="00E86C16">
            <w:pPr>
              <w:spacing w:before="112" w:line="182" w:lineRule="auto"/>
              <w:ind w:left="790"/>
              <w:rPr>
                <w:rFonts w:ascii="宋体" w:eastAsia="宋体" w:hAnsi="宋体" w:cs="宋体"/>
                <w:sz w:val="16"/>
                <w:szCs w:val="16"/>
              </w:rPr>
            </w:pPr>
            <w:r>
              <w:rPr>
                <w:rFonts w:ascii="宋体" w:eastAsia="宋体" w:hAnsi="宋体" w:cs="宋体"/>
                <w:spacing w:val="-3"/>
                <w:sz w:val="16"/>
                <w:szCs w:val="16"/>
              </w:rPr>
              <w:t>75</w:t>
            </w:r>
          </w:p>
        </w:tc>
      </w:tr>
      <w:tr w:rsidR="00EA40A3">
        <w:trPr>
          <w:trHeight w:val="1066"/>
        </w:trPr>
        <w:tc>
          <w:tcPr>
            <w:tcW w:w="1235" w:type="dxa"/>
            <w:tcBorders>
              <w:bottom w:val="single" w:sz="4" w:space="0" w:color="000000"/>
            </w:tcBorders>
          </w:tcPr>
          <w:p w:rsidR="00EA40A3" w:rsidRDefault="00E86C16">
            <w:pPr>
              <w:spacing w:before="57" w:line="219" w:lineRule="auto"/>
              <w:ind w:left="529"/>
              <w:rPr>
                <w:rFonts w:ascii="宋体" w:eastAsia="宋体" w:hAnsi="宋体" w:cs="宋体"/>
                <w:sz w:val="16"/>
                <w:szCs w:val="16"/>
              </w:rPr>
            </w:pPr>
            <w:r>
              <w:rPr>
                <w:rFonts w:ascii="宋体" w:eastAsia="宋体" w:hAnsi="宋体" w:cs="宋体"/>
                <w:spacing w:val="-2"/>
                <w:sz w:val="16"/>
                <w:szCs w:val="16"/>
              </w:rPr>
              <w:t>火腿</w:t>
            </w:r>
          </w:p>
        </w:tc>
        <w:tc>
          <w:tcPr>
            <w:tcW w:w="1321" w:type="dxa"/>
            <w:tcBorders>
              <w:bottom w:val="single" w:sz="4" w:space="0" w:color="000000"/>
            </w:tcBorders>
          </w:tcPr>
          <w:p w:rsidR="00EA40A3" w:rsidRDefault="00E86C16">
            <w:pPr>
              <w:spacing w:before="58" w:line="220" w:lineRule="auto"/>
              <w:ind w:left="554"/>
              <w:rPr>
                <w:rFonts w:ascii="宋体" w:eastAsia="宋体" w:hAnsi="宋体" w:cs="宋体"/>
                <w:sz w:val="16"/>
                <w:szCs w:val="16"/>
              </w:rPr>
            </w:pPr>
            <w:r>
              <w:rPr>
                <w:rFonts w:ascii="宋体" w:eastAsia="宋体" w:hAnsi="宋体" w:cs="宋体"/>
                <w:spacing w:val="-3"/>
                <w:sz w:val="16"/>
                <w:szCs w:val="16"/>
              </w:rPr>
              <w:t>照射</w:t>
            </w:r>
          </w:p>
          <w:p w:rsidR="00EA40A3" w:rsidRDefault="00E86C16">
            <w:pPr>
              <w:spacing w:before="79" w:line="220" w:lineRule="auto"/>
              <w:ind w:left="554"/>
              <w:rPr>
                <w:rFonts w:ascii="宋体" w:eastAsia="宋体" w:hAnsi="宋体" w:cs="宋体"/>
                <w:sz w:val="16"/>
                <w:szCs w:val="16"/>
              </w:rPr>
            </w:pPr>
            <w:r>
              <w:rPr>
                <w:rFonts w:ascii="宋体" w:eastAsia="宋体" w:hAnsi="宋体" w:cs="宋体"/>
                <w:spacing w:val="-3"/>
                <w:sz w:val="16"/>
                <w:szCs w:val="16"/>
              </w:rPr>
              <w:t>照射</w:t>
            </w:r>
          </w:p>
          <w:p w:rsidR="00EA40A3" w:rsidRDefault="00E86C16">
            <w:pPr>
              <w:spacing w:before="89" w:line="220" w:lineRule="auto"/>
              <w:ind w:left="554"/>
              <w:rPr>
                <w:rFonts w:ascii="宋体" w:eastAsia="宋体" w:hAnsi="宋体" w:cs="宋体"/>
                <w:sz w:val="16"/>
                <w:szCs w:val="16"/>
              </w:rPr>
            </w:pPr>
            <w:r>
              <w:rPr>
                <w:rFonts w:ascii="宋体" w:eastAsia="宋体" w:hAnsi="宋体" w:cs="宋体"/>
                <w:spacing w:val="-3"/>
                <w:sz w:val="16"/>
                <w:szCs w:val="16"/>
              </w:rPr>
              <w:t>照射</w:t>
            </w:r>
          </w:p>
          <w:p w:rsidR="00EA40A3" w:rsidRDefault="00E86C16">
            <w:pPr>
              <w:spacing w:before="88" w:line="206" w:lineRule="auto"/>
              <w:ind w:left="384"/>
              <w:rPr>
                <w:rFonts w:ascii="宋体" w:eastAsia="宋体" w:hAnsi="宋体" w:cs="宋体"/>
                <w:sz w:val="16"/>
                <w:szCs w:val="16"/>
              </w:rPr>
            </w:pPr>
            <w:r>
              <w:rPr>
                <w:rFonts w:ascii="宋体" w:eastAsia="宋体" w:hAnsi="宋体" w:cs="宋体"/>
                <w:spacing w:val="-2"/>
                <w:sz w:val="16"/>
                <w:szCs w:val="16"/>
              </w:rPr>
              <w:t>加热杀菌</w:t>
            </w:r>
          </w:p>
        </w:tc>
        <w:tc>
          <w:tcPr>
            <w:tcW w:w="1598" w:type="dxa"/>
            <w:tcBorders>
              <w:bottom w:val="single" w:sz="4" w:space="0" w:color="000000"/>
            </w:tcBorders>
          </w:tcPr>
          <w:p w:rsidR="00EA40A3" w:rsidRDefault="00E86C16">
            <w:pPr>
              <w:spacing w:before="108" w:line="183" w:lineRule="auto"/>
              <w:ind w:left="713"/>
              <w:rPr>
                <w:rFonts w:ascii="宋体" w:eastAsia="宋体" w:hAnsi="宋体" w:cs="宋体"/>
                <w:sz w:val="16"/>
                <w:szCs w:val="16"/>
              </w:rPr>
            </w:pPr>
            <w:r>
              <w:rPr>
                <w:rFonts w:ascii="宋体" w:eastAsia="宋体" w:hAnsi="宋体" w:cs="宋体"/>
                <w:spacing w:val="-2"/>
                <w:sz w:val="16"/>
                <w:szCs w:val="16"/>
              </w:rPr>
              <w:t>40</w:t>
            </w:r>
          </w:p>
          <w:p w:rsidR="00EA40A3" w:rsidRDefault="00E86C16">
            <w:pPr>
              <w:spacing w:before="101" w:line="183" w:lineRule="auto"/>
              <w:ind w:left="713"/>
              <w:rPr>
                <w:rFonts w:ascii="宋体" w:eastAsia="宋体" w:hAnsi="宋体" w:cs="宋体"/>
                <w:sz w:val="16"/>
                <w:szCs w:val="16"/>
              </w:rPr>
            </w:pPr>
            <w:r>
              <w:rPr>
                <w:rFonts w:ascii="宋体" w:eastAsia="宋体" w:hAnsi="宋体" w:cs="宋体"/>
                <w:spacing w:val="-2"/>
                <w:sz w:val="16"/>
                <w:szCs w:val="16"/>
              </w:rPr>
              <w:t>40</w:t>
            </w:r>
          </w:p>
          <w:p w:rsidR="00EA40A3" w:rsidRDefault="00E86C16">
            <w:pPr>
              <w:spacing w:before="121" w:line="183" w:lineRule="auto"/>
              <w:ind w:left="713"/>
              <w:rPr>
                <w:rFonts w:ascii="宋体" w:eastAsia="宋体" w:hAnsi="宋体" w:cs="宋体"/>
                <w:sz w:val="16"/>
                <w:szCs w:val="16"/>
              </w:rPr>
            </w:pPr>
            <w:r>
              <w:rPr>
                <w:rFonts w:ascii="宋体" w:eastAsia="宋体" w:hAnsi="宋体" w:cs="宋体"/>
                <w:spacing w:val="-3"/>
                <w:sz w:val="16"/>
                <w:szCs w:val="16"/>
              </w:rPr>
              <w:t>50</w:t>
            </w:r>
          </w:p>
          <w:p w:rsidR="00EA40A3" w:rsidRDefault="00E86C16">
            <w:pPr>
              <w:spacing w:before="54" w:line="214" w:lineRule="auto"/>
              <w:ind w:left="314"/>
              <w:rPr>
                <w:rFonts w:ascii="宋体" w:eastAsia="宋体" w:hAnsi="宋体" w:cs="宋体"/>
                <w:sz w:val="16"/>
                <w:szCs w:val="16"/>
              </w:rPr>
            </w:pPr>
            <w:r>
              <w:rPr>
                <w:rFonts w:ascii="宋体" w:eastAsia="宋体" w:hAnsi="宋体" w:cs="宋体"/>
                <w:spacing w:val="3"/>
                <w:sz w:val="16"/>
                <w:szCs w:val="16"/>
              </w:rPr>
              <w:t>罐头(680g装)</w:t>
            </w:r>
          </w:p>
        </w:tc>
        <w:tc>
          <w:tcPr>
            <w:tcW w:w="1475" w:type="dxa"/>
            <w:tcBorders>
              <w:bottom w:val="single" w:sz="4" w:space="0" w:color="000000"/>
            </w:tcBorders>
          </w:tcPr>
          <w:p w:rsidR="00EA40A3" w:rsidRDefault="00E86C16">
            <w:pPr>
              <w:spacing w:before="108" w:line="225" w:lineRule="exact"/>
              <w:ind w:left="646"/>
              <w:rPr>
                <w:rFonts w:ascii="宋体" w:eastAsia="宋体" w:hAnsi="宋体" w:cs="宋体"/>
                <w:sz w:val="16"/>
                <w:szCs w:val="16"/>
              </w:rPr>
            </w:pPr>
            <w:r>
              <w:rPr>
                <w:rFonts w:ascii="宋体" w:eastAsia="宋体" w:hAnsi="宋体" w:cs="宋体"/>
                <w:spacing w:val="-2"/>
                <w:position w:val="7"/>
                <w:sz w:val="16"/>
                <w:szCs w:val="16"/>
              </w:rPr>
              <w:t>-80</w:t>
            </w:r>
          </w:p>
          <w:p w:rsidR="00EA40A3" w:rsidRDefault="00E86C16">
            <w:pPr>
              <w:spacing w:line="226" w:lineRule="auto"/>
              <w:ind w:left="606"/>
              <w:rPr>
                <w:rFonts w:ascii="宋体" w:eastAsia="宋体" w:hAnsi="宋体" w:cs="宋体"/>
                <w:sz w:val="16"/>
                <w:szCs w:val="16"/>
              </w:rPr>
            </w:pPr>
            <w:r>
              <w:rPr>
                <w:rFonts w:ascii="宋体" w:eastAsia="宋体" w:hAnsi="宋体" w:cs="宋体"/>
                <w:spacing w:val="-3"/>
                <w:sz w:val="16"/>
                <w:szCs w:val="16"/>
              </w:rPr>
              <w:t>室温</w:t>
            </w:r>
          </w:p>
          <w:p w:rsidR="00EA40A3" w:rsidRDefault="00E86C16">
            <w:pPr>
              <w:spacing w:before="118" w:line="183" w:lineRule="auto"/>
              <w:ind w:left="646"/>
              <w:rPr>
                <w:rFonts w:ascii="宋体" w:eastAsia="宋体" w:hAnsi="宋体" w:cs="宋体"/>
                <w:sz w:val="16"/>
                <w:szCs w:val="16"/>
              </w:rPr>
            </w:pPr>
            <w:r>
              <w:rPr>
                <w:rFonts w:ascii="宋体" w:eastAsia="宋体" w:hAnsi="宋体" w:cs="宋体"/>
                <w:spacing w:val="-2"/>
                <w:sz w:val="16"/>
                <w:szCs w:val="16"/>
              </w:rPr>
              <w:t>-80</w:t>
            </w:r>
          </w:p>
        </w:tc>
        <w:tc>
          <w:tcPr>
            <w:tcW w:w="1720" w:type="dxa"/>
            <w:tcBorders>
              <w:bottom w:val="single" w:sz="4" w:space="0" w:color="000000"/>
            </w:tcBorders>
          </w:tcPr>
          <w:p w:rsidR="00EA40A3" w:rsidRDefault="00E86C16">
            <w:pPr>
              <w:spacing w:before="88" w:line="183" w:lineRule="auto"/>
              <w:ind w:left="790"/>
              <w:rPr>
                <w:rFonts w:ascii="宋体" w:eastAsia="宋体" w:hAnsi="宋体" w:cs="宋体"/>
                <w:sz w:val="16"/>
                <w:szCs w:val="16"/>
              </w:rPr>
            </w:pPr>
            <w:r>
              <w:rPr>
                <w:rFonts w:ascii="宋体" w:eastAsia="宋体" w:hAnsi="宋体" w:cs="宋体"/>
                <w:spacing w:val="-2"/>
                <w:sz w:val="16"/>
                <w:szCs w:val="16"/>
              </w:rPr>
              <w:t>49</w:t>
            </w:r>
          </w:p>
          <w:p w:rsidR="00EA40A3" w:rsidRDefault="00E86C16">
            <w:pPr>
              <w:spacing w:before="131" w:line="183" w:lineRule="auto"/>
              <w:ind w:left="830"/>
              <w:rPr>
                <w:rFonts w:ascii="宋体" w:eastAsia="宋体" w:hAnsi="宋体" w:cs="宋体"/>
                <w:sz w:val="16"/>
                <w:szCs w:val="16"/>
              </w:rPr>
            </w:pPr>
            <w:r>
              <w:rPr>
                <w:rFonts w:ascii="宋体" w:eastAsia="宋体" w:hAnsi="宋体" w:cs="宋体"/>
                <w:sz w:val="16"/>
                <w:szCs w:val="16"/>
              </w:rPr>
              <w:t>4</w:t>
            </w:r>
          </w:p>
          <w:p w:rsidR="00EA40A3" w:rsidRDefault="00E86C16">
            <w:pPr>
              <w:spacing w:before="111" w:line="183" w:lineRule="auto"/>
              <w:ind w:left="790"/>
              <w:rPr>
                <w:rFonts w:ascii="宋体" w:eastAsia="宋体" w:hAnsi="宋体" w:cs="宋体"/>
                <w:sz w:val="16"/>
                <w:szCs w:val="16"/>
              </w:rPr>
            </w:pPr>
            <w:r>
              <w:rPr>
                <w:rFonts w:ascii="宋体" w:eastAsia="宋体" w:hAnsi="宋体" w:cs="宋体"/>
                <w:spacing w:val="-2"/>
                <w:sz w:val="16"/>
                <w:szCs w:val="16"/>
              </w:rPr>
              <w:t>88</w:t>
            </w:r>
          </w:p>
          <w:p w:rsidR="00EA40A3" w:rsidRDefault="00E86C16">
            <w:pPr>
              <w:spacing w:before="121" w:line="158" w:lineRule="auto"/>
              <w:ind w:left="790"/>
              <w:rPr>
                <w:rFonts w:ascii="宋体" w:eastAsia="宋体" w:hAnsi="宋体" w:cs="宋体"/>
                <w:sz w:val="16"/>
                <w:szCs w:val="16"/>
              </w:rPr>
            </w:pPr>
            <w:r>
              <w:rPr>
                <w:rFonts w:ascii="宋体" w:eastAsia="宋体" w:hAnsi="宋体" w:cs="宋体"/>
                <w:spacing w:val="-3"/>
                <w:sz w:val="16"/>
                <w:szCs w:val="16"/>
              </w:rPr>
              <w:t>33</w:t>
            </w:r>
          </w:p>
        </w:tc>
      </w:tr>
    </w:tbl>
    <w:p w:rsidR="00EA40A3" w:rsidRDefault="00E86C16">
      <w:pPr>
        <w:spacing w:before="90" w:line="219" w:lineRule="auto"/>
        <w:ind w:left="329"/>
        <w:rPr>
          <w:rFonts w:ascii="宋体" w:eastAsia="宋体" w:hAnsi="宋体" w:cs="宋体"/>
          <w:sz w:val="16"/>
          <w:szCs w:val="16"/>
        </w:rPr>
      </w:pPr>
      <w:r>
        <w:rPr>
          <w:rFonts w:ascii="宋体" w:eastAsia="宋体" w:hAnsi="宋体" w:cs="宋体"/>
          <w:sz w:val="16"/>
          <w:szCs w:val="16"/>
        </w:rPr>
        <w:t>数据来源：赵晋府.2002.食品技术原理.北京：中</w:t>
      </w:r>
      <w:r>
        <w:rPr>
          <w:rFonts w:ascii="宋体" w:eastAsia="宋体" w:hAnsi="宋体" w:cs="宋体"/>
          <w:spacing w:val="-1"/>
          <w:sz w:val="16"/>
          <w:szCs w:val="16"/>
        </w:rPr>
        <w:t>国轻工业出版社</w:t>
      </w:r>
    </w:p>
    <w:p w:rsidR="00EA40A3" w:rsidRDefault="00EA40A3">
      <w:pPr>
        <w:spacing w:line="298" w:lineRule="auto"/>
      </w:pPr>
    </w:p>
    <w:p w:rsidR="00EA40A3" w:rsidRDefault="00E86C16">
      <w:pPr>
        <w:spacing w:before="68" w:line="223" w:lineRule="auto"/>
        <w:rPr>
          <w:rFonts w:ascii="楷体" w:eastAsia="楷体" w:hAnsi="楷体" w:cs="楷体"/>
        </w:rPr>
      </w:pPr>
      <w:r>
        <w:rPr>
          <w:rFonts w:ascii="楷体" w:eastAsia="楷体" w:hAnsi="楷体" w:cs="楷体"/>
          <w:spacing w:val="9"/>
        </w:rPr>
        <w:t>5)水产品类</w:t>
      </w:r>
    </w:p>
    <w:p w:rsidR="00EA40A3" w:rsidRDefault="00E86C16">
      <w:pPr>
        <w:spacing w:before="61" w:line="249" w:lineRule="auto"/>
        <w:ind w:right="101" w:firstLine="419"/>
        <w:jc w:val="both"/>
        <w:rPr>
          <w:rFonts w:ascii="宋体" w:eastAsia="宋体" w:hAnsi="宋体" w:cs="宋体"/>
        </w:rPr>
      </w:pPr>
      <w:r>
        <w:rPr>
          <w:rFonts w:ascii="宋体" w:eastAsia="宋体" w:hAnsi="宋体" w:cs="宋体"/>
          <w:spacing w:val="-3"/>
        </w:rPr>
        <w:t>水产品辐照保藏多数采用中、低剂量处理，通常辐照对蛋白质和氨基</w:t>
      </w:r>
      <w:r>
        <w:rPr>
          <w:rFonts w:ascii="宋体" w:eastAsia="宋体" w:hAnsi="宋体" w:cs="宋体"/>
          <w:spacing w:val="-4"/>
        </w:rPr>
        <w:t>酸总体</w:t>
      </w:r>
      <w:r>
        <w:rPr>
          <w:rFonts w:ascii="宋体" w:eastAsia="宋体" w:hAnsi="宋体" w:cs="宋体"/>
        </w:rPr>
        <w:t xml:space="preserve"> </w:t>
      </w:r>
      <w:r>
        <w:rPr>
          <w:rFonts w:ascii="宋体" w:eastAsia="宋体" w:hAnsi="宋体" w:cs="宋体"/>
          <w:spacing w:val="-2"/>
        </w:rPr>
        <w:t>上没有影响。如经过2～45kGy</w:t>
      </w:r>
      <w:r>
        <w:rPr>
          <w:rFonts w:ascii="宋体" w:eastAsia="宋体" w:hAnsi="宋体" w:cs="宋体"/>
          <w:spacing w:val="12"/>
        </w:rPr>
        <w:t xml:space="preserve"> </w:t>
      </w:r>
      <w:r>
        <w:rPr>
          <w:rFonts w:ascii="宋体" w:eastAsia="宋体" w:hAnsi="宋体" w:cs="宋体"/>
          <w:spacing w:val="-2"/>
        </w:rPr>
        <w:t>的辐照，虾中色氨酸的变化在各处理中没有明显</w:t>
      </w:r>
      <w:r>
        <w:rPr>
          <w:rFonts w:ascii="宋体" w:eastAsia="宋体" w:hAnsi="宋体" w:cs="宋体"/>
        </w:rPr>
        <w:t xml:space="preserve"> </w:t>
      </w:r>
      <w:r>
        <w:rPr>
          <w:rFonts w:ascii="宋体" w:eastAsia="宋体" w:hAnsi="宋体" w:cs="宋体"/>
          <w:spacing w:val="-10"/>
        </w:rPr>
        <w:t>差异。</w:t>
      </w:r>
    </w:p>
    <w:p w:rsidR="00EA40A3" w:rsidRDefault="00E86C16">
      <w:pPr>
        <w:spacing w:before="80" w:line="219" w:lineRule="auto"/>
        <w:ind w:left="419"/>
        <w:rPr>
          <w:rFonts w:ascii="宋体" w:eastAsia="宋体" w:hAnsi="宋体" w:cs="宋体"/>
        </w:rPr>
      </w:pPr>
      <w:r>
        <w:rPr>
          <w:rFonts w:ascii="宋体" w:eastAsia="宋体" w:hAnsi="宋体" w:cs="宋体"/>
          <w:spacing w:val="6"/>
        </w:rPr>
        <w:t>为了延长储藏期，低剂量辐照鱼类多结合低温(3℃以下)储藏。不同的鱼</w:t>
      </w:r>
    </w:p>
    <w:p w:rsidR="00EA40A3" w:rsidRDefault="00E86C16">
      <w:pPr>
        <w:spacing w:before="23"/>
        <w:rPr>
          <w:rFonts w:ascii="宋体" w:eastAsia="宋体" w:hAnsi="宋体" w:cs="宋体"/>
        </w:rPr>
      </w:pPr>
      <w:r>
        <w:rPr>
          <w:rFonts w:ascii="宋体" w:eastAsia="宋体" w:hAnsi="宋体" w:cs="宋体"/>
          <w:spacing w:val="-41"/>
        </w:rPr>
        <w:t>·</w:t>
      </w:r>
      <w:r>
        <w:rPr>
          <w:rFonts w:ascii="宋体" w:eastAsia="宋体" w:hAnsi="宋体" w:cs="宋体"/>
          <w:spacing w:val="-20"/>
        </w:rPr>
        <w:t xml:space="preserve"> </w:t>
      </w:r>
      <w:r>
        <w:rPr>
          <w:rFonts w:ascii="宋体" w:eastAsia="宋体" w:hAnsi="宋体" w:cs="宋体"/>
          <w:spacing w:val="-41"/>
        </w:rPr>
        <w:t>234</w:t>
      </w:r>
      <w:r>
        <w:rPr>
          <w:rFonts w:ascii="宋体" w:eastAsia="宋体" w:hAnsi="宋体" w:cs="宋体"/>
          <w:spacing w:val="32"/>
        </w:rPr>
        <w:t xml:space="preserve"> </w:t>
      </w:r>
      <w:r>
        <w:rPr>
          <w:rFonts w:ascii="宋体" w:eastAsia="宋体" w:hAnsi="宋体" w:cs="宋体"/>
          <w:spacing w:val="-41"/>
        </w:rPr>
        <w:t>·</w:t>
      </w:r>
    </w:p>
    <w:p w:rsidR="00EA40A3" w:rsidRDefault="00EA40A3">
      <w:pPr>
        <w:sectPr w:rsidR="00EA40A3">
          <w:pgSz w:w="9220" w:h="13360"/>
          <w:pgMar w:top="400" w:right="1069" w:bottom="400" w:left="800" w:header="0" w:footer="0" w:gutter="0"/>
          <w:cols w:space="720"/>
        </w:sectPr>
      </w:pPr>
    </w:p>
    <w:p w:rsidR="00EA40A3" w:rsidRDefault="00EA40A3">
      <w:pPr>
        <w:spacing w:line="264" w:lineRule="auto"/>
      </w:pPr>
    </w:p>
    <w:p w:rsidR="00EA40A3" w:rsidRDefault="00EA40A3">
      <w:pPr>
        <w:spacing w:line="265" w:lineRule="auto"/>
      </w:pPr>
    </w:p>
    <w:p w:rsidR="00EA40A3" w:rsidRDefault="00E86C16">
      <w:pPr>
        <w:spacing w:before="62" w:line="281" w:lineRule="auto"/>
        <w:ind w:right="101"/>
        <w:jc w:val="both"/>
        <w:rPr>
          <w:rFonts w:ascii="宋体" w:eastAsia="宋体" w:hAnsi="宋体" w:cs="宋体"/>
          <w:sz w:val="19"/>
          <w:szCs w:val="19"/>
        </w:rPr>
      </w:pPr>
      <w:r>
        <w:rPr>
          <w:rFonts w:ascii="宋体" w:eastAsia="宋体" w:hAnsi="宋体" w:cs="宋体"/>
          <w:spacing w:val="19"/>
          <w:sz w:val="19"/>
          <w:szCs w:val="19"/>
        </w:rPr>
        <w:t>类有不同的剂量要求，如淡水鲈鱼在1～2</w:t>
      </w:r>
      <w:r>
        <w:rPr>
          <w:rFonts w:ascii="宋体" w:eastAsia="宋体" w:hAnsi="宋体" w:cs="宋体"/>
          <w:sz w:val="19"/>
          <w:szCs w:val="19"/>
        </w:rPr>
        <w:t>kGy</w:t>
      </w:r>
      <w:r>
        <w:rPr>
          <w:rFonts w:ascii="宋体" w:eastAsia="宋体" w:hAnsi="宋体" w:cs="宋体"/>
          <w:spacing w:val="68"/>
          <w:sz w:val="19"/>
          <w:szCs w:val="19"/>
        </w:rPr>
        <w:t xml:space="preserve"> </w:t>
      </w:r>
      <w:r>
        <w:rPr>
          <w:rFonts w:ascii="宋体" w:eastAsia="宋体" w:hAnsi="宋体" w:cs="宋体"/>
          <w:spacing w:val="19"/>
          <w:sz w:val="19"/>
          <w:szCs w:val="19"/>
        </w:rPr>
        <w:t>剂量下，延长储藏期5～25d;</w:t>
      </w:r>
      <w:r>
        <w:rPr>
          <w:rFonts w:ascii="宋体" w:eastAsia="宋体" w:hAnsi="宋体" w:cs="宋体"/>
          <w:spacing w:val="36"/>
          <w:sz w:val="19"/>
          <w:szCs w:val="19"/>
        </w:rPr>
        <w:t xml:space="preserve"> </w:t>
      </w:r>
      <w:r>
        <w:rPr>
          <w:rFonts w:ascii="宋体" w:eastAsia="宋体" w:hAnsi="宋体" w:cs="宋体"/>
          <w:spacing w:val="19"/>
          <w:sz w:val="19"/>
          <w:szCs w:val="19"/>
        </w:rPr>
        <w:t>大</w:t>
      </w:r>
      <w:r>
        <w:rPr>
          <w:rFonts w:ascii="宋体" w:eastAsia="宋体" w:hAnsi="宋体" w:cs="宋体"/>
          <w:sz w:val="19"/>
          <w:szCs w:val="19"/>
        </w:rPr>
        <w:t xml:space="preserve"> </w:t>
      </w:r>
      <w:r>
        <w:rPr>
          <w:rFonts w:ascii="宋体" w:eastAsia="宋体" w:hAnsi="宋体" w:cs="宋体"/>
          <w:spacing w:val="20"/>
          <w:sz w:val="19"/>
          <w:szCs w:val="19"/>
        </w:rPr>
        <w:t>洋鲈在2.5</w:t>
      </w:r>
      <w:r>
        <w:rPr>
          <w:rFonts w:ascii="宋体" w:eastAsia="宋体" w:hAnsi="宋体" w:cs="宋体"/>
          <w:sz w:val="19"/>
          <w:szCs w:val="19"/>
        </w:rPr>
        <w:t>kGy</w:t>
      </w:r>
      <w:r>
        <w:rPr>
          <w:rFonts w:ascii="宋体" w:eastAsia="宋体" w:hAnsi="宋体" w:cs="宋体"/>
          <w:spacing w:val="45"/>
          <w:sz w:val="19"/>
          <w:szCs w:val="19"/>
        </w:rPr>
        <w:t xml:space="preserve"> </w:t>
      </w:r>
      <w:r>
        <w:rPr>
          <w:rFonts w:ascii="宋体" w:eastAsia="宋体" w:hAnsi="宋体" w:cs="宋体"/>
          <w:spacing w:val="20"/>
          <w:sz w:val="19"/>
          <w:szCs w:val="19"/>
        </w:rPr>
        <w:t>剂量下，延长储藏期18～20d;</w:t>
      </w:r>
      <w:r>
        <w:rPr>
          <w:rFonts w:ascii="宋体" w:eastAsia="宋体" w:hAnsi="宋体" w:cs="宋体"/>
          <w:spacing w:val="26"/>
          <w:sz w:val="19"/>
          <w:szCs w:val="19"/>
        </w:rPr>
        <w:t xml:space="preserve"> </w:t>
      </w:r>
      <w:r>
        <w:rPr>
          <w:rFonts w:ascii="宋体" w:eastAsia="宋体" w:hAnsi="宋体" w:cs="宋体"/>
          <w:spacing w:val="20"/>
          <w:sz w:val="19"/>
          <w:szCs w:val="19"/>
        </w:rPr>
        <w:t>牡蛎在20</w:t>
      </w:r>
      <w:r>
        <w:rPr>
          <w:rFonts w:ascii="宋体" w:eastAsia="宋体" w:hAnsi="宋体" w:cs="宋体"/>
          <w:sz w:val="19"/>
          <w:szCs w:val="19"/>
        </w:rPr>
        <w:t>kGy</w:t>
      </w:r>
      <w:r>
        <w:rPr>
          <w:rFonts w:ascii="宋体" w:eastAsia="宋体" w:hAnsi="宋体" w:cs="宋体"/>
          <w:spacing w:val="36"/>
          <w:sz w:val="19"/>
          <w:szCs w:val="19"/>
        </w:rPr>
        <w:t xml:space="preserve"> </w:t>
      </w:r>
      <w:r>
        <w:rPr>
          <w:rFonts w:ascii="宋体" w:eastAsia="宋体" w:hAnsi="宋体" w:cs="宋体"/>
          <w:spacing w:val="20"/>
          <w:sz w:val="19"/>
          <w:szCs w:val="19"/>
        </w:rPr>
        <w:t>剂量下，可延长储</w:t>
      </w:r>
      <w:r>
        <w:rPr>
          <w:rFonts w:ascii="宋体" w:eastAsia="宋体" w:hAnsi="宋体" w:cs="宋体"/>
          <w:sz w:val="19"/>
          <w:szCs w:val="19"/>
        </w:rPr>
        <w:t xml:space="preserve"> </w:t>
      </w:r>
      <w:r>
        <w:rPr>
          <w:rFonts w:ascii="宋体" w:eastAsia="宋体" w:hAnsi="宋体" w:cs="宋体"/>
          <w:spacing w:val="9"/>
          <w:sz w:val="19"/>
          <w:szCs w:val="19"/>
        </w:rPr>
        <w:t>藏期几个月。</w:t>
      </w:r>
    </w:p>
    <w:p w:rsidR="00EA40A3" w:rsidRDefault="00E86C16">
      <w:pPr>
        <w:spacing w:before="70" w:line="282" w:lineRule="auto"/>
        <w:ind w:right="97" w:firstLine="349"/>
        <w:rPr>
          <w:rFonts w:ascii="宋体" w:eastAsia="宋体" w:hAnsi="宋体" w:cs="宋体"/>
          <w:sz w:val="19"/>
          <w:szCs w:val="19"/>
        </w:rPr>
      </w:pPr>
      <w:r>
        <w:rPr>
          <w:rFonts w:ascii="宋体" w:eastAsia="宋体" w:hAnsi="宋体" w:cs="宋体"/>
          <w:spacing w:val="19"/>
          <w:sz w:val="19"/>
          <w:szCs w:val="19"/>
        </w:rPr>
        <w:t>不同辐照剂量对鳕鱼中维生素含量影响研究的结果表明，6～1</w:t>
      </w:r>
      <w:r>
        <w:rPr>
          <w:rFonts w:ascii="宋体" w:eastAsia="宋体" w:hAnsi="宋体" w:cs="宋体"/>
          <w:spacing w:val="18"/>
          <w:sz w:val="19"/>
          <w:szCs w:val="19"/>
        </w:rPr>
        <w:t>0</w:t>
      </w:r>
      <w:r>
        <w:rPr>
          <w:rFonts w:ascii="宋体" w:eastAsia="宋体" w:hAnsi="宋体" w:cs="宋体"/>
          <w:sz w:val="19"/>
          <w:szCs w:val="19"/>
        </w:rPr>
        <w:t>kGy</w:t>
      </w:r>
      <w:r>
        <w:rPr>
          <w:rFonts w:ascii="宋体" w:eastAsia="宋体" w:hAnsi="宋体" w:cs="宋体"/>
          <w:spacing w:val="45"/>
          <w:sz w:val="19"/>
          <w:szCs w:val="19"/>
        </w:rPr>
        <w:t xml:space="preserve"> </w:t>
      </w:r>
      <w:r>
        <w:rPr>
          <w:rFonts w:ascii="宋体" w:eastAsia="宋体" w:hAnsi="宋体" w:cs="宋体"/>
          <w:spacing w:val="18"/>
          <w:sz w:val="19"/>
          <w:szCs w:val="19"/>
        </w:rPr>
        <w:t>的辐照</w:t>
      </w:r>
      <w:r>
        <w:rPr>
          <w:rFonts w:ascii="宋体" w:eastAsia="宋体" w:hAnsi="宋体" w:cs="宋体"/>
          <w:sz w:val="19"/>
          <w:szCs w:val="19"/>
        </w:rPr>
        <w:t xml:space="preserve">  </w:t>
      </w:r>
      <w:r>
        <w:rPr>
          <w:rFonts w:ascii="宋体" w:eastAsia="宋体" w:hAnsi="宋体" w:cs="宋体"/>
          <w:spacing w:val="23"/>
          <w:sz w:val="19"/>
          <w:szCs w:val="19"/>
        </w:rPr>
        <w:t>会导致维生素B</w:t>
      </w:r>
      <w:r>
        <w:rPr>
          <w:rFonts w:ascii="Calibri" w:eastAsia="Calibri" w:hAnsi="Calibri" w:cs="Calibri"/>
          <w:spacing w:val="23"/>
          <w:sz w:val="19"/>
          <w:szCs w:val="19"/>
        </w:rPr>
        <w:t>₁</w:t>
      </w:r>
      <w:r>
        <w:rPr>
          <w:rFonts w:ascii="Calibri" w:eastAsia="Calibri" w:hAnsi="Calibri" w:cs="Calibri"/>
          <w:spacing w:val="17"/>
          <w:w w:val="101"/>
          <w:sz w:val="19"/>
          <w:szCs w:val="19"/>
        </w:rPr>
        <w:t xml:space="preserve">  </w:t>
      </w:r>
      <w:r>
        <w:rPr>
          <w:rFonts w:ascii="宋体" w:eastAsia="宋体" w:hAnsi="宋体" w:cs="宋体"/>
          <w:spacing w:val="23"/>
          <w:sz w:val="19"/>
          <w:szCs w:val="19"/>
        </w:rPr>
        <w:t>含量明显下降，其他维生素在6～10</w:t>
      </w:r>
      <w:r>
        <w:rPr>
          <w:rFonts w:ascii="宋体" w:eastAsia="宋体" w:hAnsi="宋体" w:cs="宋体"/>
          <w:sz w:val="19"/>
          <w:szCs w:val="19"/>
        </w:rPr>
        <w:t>kGy</w:t>
      </w:r>
      <w:r>
        <w:rPr>
          <w:rFonts w:ascii="宋体" w:eastAsia="宋体" w:hAnsi="宋体" w:cs="宋体"/>
          <w:spacing w:val="55"/>
          <w:sz w:val="19"/>
          <w:szCs w:val="19"/>
        </w:rPr>
        <w:t xml:space="preserve"> </w:t>
      </w:r>
      <w:r>
        <w:rPr>
          <w:rFonts w:ascii="宋体" w:eastAsia="宋体" w:hAnsi="宋体" w:cs="宋体"/>
          <w:spacing w:val="23"/>
          <w:sz w:val="19"/>
          <w:szCs w:val="19"/>
        </w:rPr>
        <w:t>的</w:t>
      </w:r>
      <w:r>
        <w:rPr>
          <w:rFonts w:ascii="宋体" w:eastAsia="宋体" w:hAnsi="宋体" w:cs="宋体"/>
          <w:spacing w:val="22"/>
          <w:sz w:val="19"/>
          <w:szCs w:val="19"/>
        </w:rPr>
        <w:t>辐照范围内含量变</w:t>
      </w:r>
      <w:r>
        <w:rPr>
          <w:rFonts w:ascii="宋体" w:eastAsia="宋体" w:hAnsi="宋体" w:cs="宋体"/>
          <w:sz w:val="19"/>
          <w:szCs w:val="19"/>
        </w:rPr>
        <w:t xml:space="preserve"> </w:t>
      </w:r>
      <w:r>
        <w:rPr>
          <w:rFonts w:ascii="宋体" w:eastAsia="宋体" w:hAnsi="宋体" w:cs="宋体"/>
          <w:spacing w:val="21"/>
          <w:sz w:val="19"/>
          <w:szCs w:val="19"/>
        </w:rPr>
        <w:t>化很小或变化不明显，即使在45</w:t>
      </w:r>
      <w:r>
        <w:rPr>
          <w:rFonts w:ascii="宋体" w:eastAsia="宋体" w:hAnsi="宋体" w:cs="宋体"/>
          <w:sz w:val="19"/>
          <w:szCs w:val="19"/>
        </w:rPr>
        <w:t>kGy</w:t>
      </w:r>
      <w:r>
        <w:rPr>
          <w:rFonts w:ascii="宋体" w:eastAsia="宋体" w:hAnsi="宋体" w:cs="宋体"/>
          <w:spacing w:val="62"/>
          <w:sz w:val="19"/>
          <w:szCs w:val="19"/>
        </w:rPr>
        <w:t xml:space="preserve"> </w:t>
      </w:r>
      <w:r>
        <w:rPr>
          <w:rFonts w:ascii="宋体" w:eastAsia="宋体" w:hAnsi="宋体" w:cs="宋体"/>
          <w:spacing w:val="21"/>
          <w:sz w:val="19"/>
          <w:szCs w:val="19"/>
        </w:rPr>
        <w:t>的条件下尼克酸和维生素</w:t>
      </w:r>
      <w:r>
        <w:rPr>
          <w:rFonts w:ascii="宋体" w:eastAsia="宋体" w:hAnsi="宋体" w:cs="宋体"/>
          <w:spacing w:val="-54"/>
          <w:sz w:val="19"/>
          <w:szCs w:val="19"/>
        </w:rPr>
        <w:t xml:space="preserve"> </w:t>
      </w:r>
      <w:r>
        <w:rPr>
          <w:rFonts w:ascii="宋体" w:eastAsia="宋体" w:hAnsi="宋体" w:cs="宋体"/>
          <w:spacing w:val="21"/>
          <w:sz w:val="19"/>
          <w:szCs w:val="19"/>
        </w:rPr>
        <w:t>E</w:t>
      </w:r>
      <w:r>
        <w:rPr>
          <w:rFonts w:ascii="宋体" w:eastAsia="宋体" w:hAnsi="宋体" w:cs="宋体"/>
          <w:spacing w:val="15"/>
          <w:sz w:val="19"/>
          <w:szCs w:val="19"/>
        </w:rPr>
        <w:t xml:space="preserve"> </w:t>
      </w:r>
      <w:r>
        <w:rPr>
          <w:rFonts w:ascii="宋体" w:eastAsia="宋体" w:hAnsi="宋体" w:cs="宋体"/>
          <w:spacing w:val="21"/>
          <w:sz w:val="19"/>
          <w:szCs w:val="19"/>
        </w:rPr>
        <w:t>的含量仅略低</w:t>
      </w:r>
      <w:r>
        <w:rPr>
          <w:rFonts w:ascii="宋体" w:eastAsia="宋体" w:hAnsi="宋体" w:cs="宋体"/>
          <w:sz w:val="19"/>
          <w:szCs w:val="19"/>
        </w:rPr>
        <w:t xml:space="preserve"> </w:t>
      </w:r>
      <w:r>
        <w:rPr>
          <w:rFonts w:ascii="宋体" w:eastAsia="宋体" w:hAnsi="宋体" w:cs="宋体"/>
          <w:spacing w:val="17"/>
          <w:sz w:val="19"/>
          <w:szCs w:val="19"/>
        </w:rPr>
        <w:t>于对照(见表7-8)。</w:t>
      </w:r>
    </w:p>
    <w:p w:rsidR="00EA40A3" w:rsidRDefault="00EA40A3">
      <w:pPr>
        <w:spacing w:line="299" w:lineRule="auto"/>
      </w:pPr>
    </w:p>
    <w:p w:rsidR="00EA40A3" w:rsidRDefault="00E86C16">
      <w:pPr>
        <w:spacing w:before="62" w:line="219" w:lineRule="auto"/>
        <w:ind w:left="2"/>
        <w:rPr>
          <w:rFonts w:ascii="宋体" w:eastAsia="宋体" w:hAnsi="宋体" w:cs="宋体"/>
          <w:sz w:val="19"/>
          <w:szCs w:val="19"/>
        </w:rPr>
      </w:pPr>
      <w:r>
        <w:rPr>
          <w:rFonts w:ascii="黑体" w:eastAsia="黑体" w:hAnsi="黑体" w:cs="黑体"/>
          <w:b/>
          <w:bCs/>
          <w:spacing w:val="-8"/>
          <w:position w:val="1"/>
          <w:sz w:val="19"/>
          <w:szCs w:val="19"/>
        </w:rPr>
        <w:t>表7-8</w:t>
      </w:r>
      <w:r>
        <w:rPr>
          <w:rFonts w:ascii="黑体" w:eastAsia="黑体" w:hAnsi="黑体" w:cs="黑体"/>
          <w:spacing w:val="81"/>
          <w:position w:val="1"/>
          <w:sz w:val="19"/>
          <w:szCs w:val="19"/>
        </w:rPr>
        <w:t xml:space="preserve"> </w:t>
      </w:r>
      <w:r>
        <w:rPr>
          <w:rFonts w:ascii="黑体" w:eastAsia="黑体" w:hAnsi="黑体" w:cs="黑体"/>
          <w:b/>
          <w:bCs/>
          <w:spacing w:val="-8"/>
          <w:position w:val="1"/>
          <w:sz w:val="19"/>
          <w:szCs w:val="19"/>
        </w:rPr>
        <w:t>不同辐照剂量对鳕鱼维生素含量的影响</w:t>
      </w:r>
      <w:r>
        <w:rPr>
          <w:rFonts w:ascii="黑体" w:eastAsia="黑体" w:hAnsi="黑体" w:cs="黑体"/>
          <w:spacing w:val="-17"/>
          <w:position w:val="1"/>
          <w:sz w:val="19"/>
          <w:szCs w:val="19"/>
        </w:rPr>
        <w:t xml:space="preserve"> </w:t>
      </w:r>
      <w:r>
        <w:rPr>
          <w:rFonts w:ascii="Times New Roman" w:eastAsia="Times New Roman" w:hAnsi="Times New Roman" w:cs="Times New Roman"/>
          <w:spacing w:val="-8"/>
          <w:position w:val="1"/>
          <w:sz w:val="19"/>
          <w:szCs w:val="19"/>
        </w:rPr>
        <w:t>(Underdal</w:t>
      </w:r>
      <w:r>
        <w:rPr>
          <w:rFonts w:ascii="Times New Roman" w:eastAsia="Times New Roman" w:hAnsi="Times New Roman" w:cs="Times New Roman"/>
          <w:spacing w:val="40"/>
          <w:position w:val="1"/>
          <w:sz w:val="19"/>
          <w:szCs w:val="19"/>
        </w:rPr>
        <w:t xml:space="preserve"> </w:t>
      </w:r>
      <w:r>
        <w:rPr>
          <w:rFonts w:ascii="Times New Roman" w:eastAsia="Times New Roman" w:hAnsi="Times New Roman" w:cs="Times New Roman"/>
          <w:spacing w:val="-8"/>
          <w:position w:val="1"/>
          <w:sz w:val="19"/>
          <w:szCs w:val="19"/>
        </w:rPr>
        <w:t>et</w:t>
      </w:r>
      <w:r>
        <w:rPr>
          <w:rFonts w:ascii="Times New Roman" w:eastAsia="Times New Roman" w:hAnsi="Times New Roman" w:cs="Times New Roman"/>
          <w:spacing w:val="39"/>
          <w:w w:val="101"/>
          <w:position w:val="1"/>
          <w:sz w:val="19"/>
          <w:szCs w:val="19"/>
        </w:rPr>
        <w:t xml:space="preserve"> </w:t>
      </w:r>
      <w:r>
        <w:rPr>
          <w:rFonts w:ascii="Times New Roman" w:eastAsia="Times New Roman" w:hAnsi="Times New Roman" w:cs="Times New Roman"/>
          <w:spacing w:val="-8"/>
          <w:position w:val="1"/>
          <w:sz w:val="19"/>
          <w:szCs w:val="19"/>
        </w:rPr>
        <w:t>al.</w:t>
      </w:r>
      <w:r>
        <w:rPr>
          <w:rFonts w:ascii="Times New Roman" w:eastAsia="Times New Roman" w:hAnsi="Times New Roman" w:cs="Times New Roman"/>
          <w:spacing w:val="1"/>
          <w:position w:val="1"/>
          <w:sz w:val="19"/>
          <w:szCs w:val="19"/>
        </w:rPr>
        <w:t xml:space="preserve">    </w:t>
      </w:r>
      <w:r>
        <w:rPr>
          <w:rFonts w:ascii="Times New Roman" w:eastAsia="Times New Roman" w:hAnsi="Times New Roman" w:cs="Times New Roman"/>
          <w:spacing w:val="-8"/>
          <w:position w:val="1"/>
          <w:sz w:val="19"/>
          <w:szCs w:val="19"/>
        </w:rPr>
        <w:t>1973)</w:t>
      </w:r>
      <w:r>
        <w:rPr>
          <w:rFonts w:ascii="Times New Roman" w:eastAsia="Times New Roman" w:hAnsi="Times New Roman" w:cs="Times New Roman"/>
          <w:spacing w:val="1"/>
          <w:position w:val="1"/>
          <w:sz w:val="19"/>
          <w:szCs w:val="19"/>
        </w:rPr>
        <w:t xml:space="preserve">       </w:t>
      </w:r>
      <w:r>
        <w:rPr>
          <w:rFonts w:ascii="宋体" w:eastAsia="宋体" w:hAnsi="宋体" w:cs="宋体"/>
          <w:spacing w:val="-8"/>
          <w:position w:val="-3"/>
          <w:sz w:val="19"/>
          <w:szCs w:val="19"/>
        </w:rPr>
        <w:t>(单位：</w:t>
      </w:r>
      <w:r>
        <w:rPr>
          <w:rFonts w:ascii="宋体" w:eastAsia="宋体" w:hAnsi="宋体" w:cs="宋体"/>
          <w:spacing w:val="-30"/>
          <w:position w:val="-3"/>
          <w:sz w:val="19"/>
          <w:szCs w:val="19"/>
        </w:rPr>
        <w:t xml:space="preserve"> </w:t>
      </w:r>
      <w:r>
        <w:rPr>
          <w:rFonts w:ascii="宋体" w:eastAsia="宋体" w:hAnsi="宋体" w:cs="宋体"/>
          <w:spacing w:val="-8"/>
          <w:position w:val="-3"/>
          <w:sz w:val="19"/>
          <w:szCs w:val="19"/>
        </w:rPr>
        <w:t>mg/kg)</w:t>
      </w:r>
    </w:p>
    <w:p w:rsidR="00EA40A3" w:rsidRDefault="00EA40A3">
      <w:pPr>
        <w:spacing w:line="35" w:lineRule="auto"/>
        <w:rPr>
          <w:sz w:val="2"/>
        </w:rPr>
      </w:pPr>
    </w:p>
    <w:tbl>
      <w:tblPr>
        <w:tblStyle w:val="TableNormal"/>
        <w:tblW w:w="7340" w:type="dxa"/>
        <w:tblInd w:w="2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85"/>
        <w:gridCol w:w="1348"/>
        <w:gridCol w:w="1479"/>
        <w:gridCol w:w="1356"/>
        <w:gridCol w:w="1472"/>
      </w:tblGrid>
      <w:tr w:rsidR="00EA40A3">
        <w:trPr>
          <w:trHeight w:val="312"/>
        </w:trPr>
        <w:tc>
          <w:tcPr>
            <w:tcW w:w="1685" w:type="dxa"/>
            <w:tcBorders>
              <w:top w:val="single" w:sz="4" w:space="0" w:color="000000"/>
            </w:tcBorders>
          </w:tcPr>
          <w:p w:rsidR="00EA40A3" w:rsidRDefault="00E86C16">
            <w:pPr>
              <w:spacing w:before="97" w:line="215" w:lineRule="auto"/>
              <w:ind w:left="349"/>
              <w:rPr>
                <w:rFonts w:ascii="宋体" w:eastAsia="宋体" w:hAnsi="宋体" w:cs="宋体"/>
                <w:sz w:val="16"/>
                <w:szCs w:val="16"/>
              </w:rPr>
            </w:pPr>
            <w:r>
              <w:rPr>
                <w:rFonts w:ascii="宋体" w:eastAsia="宋体" w:hAnsi="宋体" w:cs="宋体"/>
                <w:spacing w:val="-1"/>
                <w:sz w:val="16"/>
                <w:szCs w:val="16"/>
              </w:rPr>
              <w:t>辐照剂量/kGy</w:t>
            </w:r>
          </w:p>
        </w:tc>
        <w:tc>
          <w:tcPr>
            <w:tcW w:w="1348" w:type="dxa"/>
            <w:tcBorders>
              <w:top w:val="single" w:sz="4" w:space="0" w:color="000000"/>
            </w:tcBorders>
          </w:tcPr>
          <w:p w:rsidR="00EA40A3" w:rsidRDefault="00E86C16">
            <w:pPr>
              <w:spacing w:before="101" w:line="219" w:lineRule="auto"/>
              <w:ind w:left="385"/>
              <w:rPr>
                <w:rFonts w:ascii="宋体" w:eastAsia="宋体" w:hAnsi="宋体" w:cs="宋体"/>
                <w:sz w:val="16"/>
                <w:szCs w:val="16"/>
              </w:rPr>
            </w:pPr>
            <w:r>
              <w:rPr>
                <w:rFonts w:ascii="宋体" w:eastAsia="宋体" w:hAnsi="宋体" w:cs="宋体"/>
                <w:spacing w:val="-2"/>
                <w:sz w:val="16"/>
                <w:szCs w:val="16"/>
              </w:rPr>
              <w:t>维生素B</w:t>
            </w:r>
          </w:p>
        </w:tc>
        <w:tc>
          <w:tcPr>
            <w:tcW w:w="1479" w:type="dxa"/>
            <w:tcBorders>
              <w:top w:val="single" w:sz="4" w:space="0" w:color="000000"/>
            </w:tcBorders>
          </w:tcPr>
          <w:p w:rsidR="00EA40A3" w:rsidRDefault="00E86C16">
            <w:pPr>
              <w:spacing w:before="101" w:line="219" w:lineRule="auto"/>
              <w:ind w:left="417"/>
              <w:rPr>
                <w:rFonts w:ascii="宋体" w:eastAsia="宋体" w:hAnsi="宋体" w:cs="宋体"/>
                <w:sz w:val="16"/>
                <w:szCs w:val="16"/>
              </w:rPr>
            </w:pPr>
            <w:r>
              <w:rPr>
                <w:rFonts w:ascii="宋体" w:eastAsia="宋体" w:hAnsi="宋体" w:cs="宋体"/>
                <w:spacing w:val="-2"/>
                <w:sz w:val="16"/>
                <w:szCs w:val="16"/>
              </w:rPr>
              <w:t>维生素Bx</w:t>
            </w:r>
          </w:p>
        </w:tc>
        <w:tc>
          <w:tcPr>
            <w:tcW w:w="1356" w:type="dxa"/>
            <w:tcBorders>
              <w:top w:val="single" w:sz="4" w:space="0" w:color="000000"/>
            </w:tcBorders>
          </w:tcPr>
          <w:p w:rsidR="00EA40A3" w:rsidRDefault="00E86C16">
            <w:pPr>
              <w:spacing w:before="91" w:line="219" w:lineRule="auto"/>
              <w:ind w:left="438"/>
              <w:rPr>
                <w:rFonts w:ascii="宋体" w:eastAsia="宋体" w:hAnsi="宋体" w:cs="宋体"/>
                <w:sz w:val="16"/>
                <w:szCs w:val="16"/>
              </w:rPr>
            </w:pPr>
            <w:r>
              <w:rPr>
                <w:rFonts w:ascii="宋体" w:eastAsia="宋体" w:hAnsi="宋体" w:cs="宋体"/>
                <w:spacing w:val="-2"/>
                <w:sz w:val="16"/>
                <w:szCs w:val="16"/>
              </w:rPr>
              <w:t>尼克酸</w:t>
            </w:r>
          </w:p>
        </w:tc>
        <w:tc>
          <w:tcPr>
            <w:tcW w:w="1472" w:type="dxa"/>
            <w:tcBorders>
              <w:top w:val="single" w:sz="4" w:space="0" w:color="000000"/>
            </w:tcBorders>
          </w:tcPr>
          <w:p w:rsidR="00EA40A3" w:rsidRDefault="00E86C16">
            <w:pPr>
              <w:spacing w:before="81" w:line="219" w:lineRule="auto"/>
              <w:ind w:left="452"/>
              <w:rPr>
                <w:rFonts w:ascii="宋体" w:eastAsia="宋体" w:hAnsi="宋体" w:cs="宋体"/>
                <w:sz w:val="16"/>
                <w:szCs w:val="16"/>
              </w:rPr>
            </w:pPr>
            <w:r>
              <w:rPr>
                <w:rFonts w:ascii="宋体" w:eastAsia="宋体" w:hAnsi="宋体" w:cs="宋体"/>
                <w:spacing w:val="-2"/>
                <w:sz w:val="16"/>
                <w:szCs w:val="16"/>
              </w:rPr>
              <w:t>维生素E</w:t>
            </w:r>
          </w:p>
        </w:tc>
      </w:tr>
      <w:tr w:rsidR="00EA40A3">
        <w:trPr>
          <w:trHeight w:val="259"/>
        </w:trPr>
        <w:tc>
          <w:tcPr>
            <w:tcW w:w="1685" w:type="dxa"/>
          </w:tcPr>
          <w:p w:rsidR="00EA40A3" w:rsidRDefault="00E86C16">
            <w:pPr>
              <w:spacing w:before="70" w:line="183" w:lineRule="auto"/>
              <w:ind w:left="790"/>
              <w:rPr>
                <w:rFonts w:ascii="宋体" w:eastAsia="宋体" w:hAnsi="宋体" w:cs="宋体"/>
                <w:sz w:val="16"/>
                <w:szCs w:val="16"/>
              </w:rPr>
            </w:pPr>
            <w:r>
              <w:rPr>
                <w:rFonts w:ascii="宋体" w:eastAsia="宋体" w:hAnsi="宋体" w:cs="宋体"/>
                <w:sz w:val="16"/>
                <w:szCs w:val="16"/>
              </w:rPr>
              <w:t>0</w:t>
            </w:r>
          </w:p>
        </w:tc>
        <w:tc>
          <w:tcPr>
            <w:tcW w:w="1348" w:type="dxa"/>
          </w:tcPr>
          <w:p w:rsidR="00EA40A3" w:rsidRDefault="00E86C16">
            <w:pPr>
              <w:spacing w:before="70" w:line="184" w:lineRule="auto"/>
              <w:ind w:left="505"/>
              <w:rPr>
                <w:rFonts w:ascii="宋体" w:eastAsia="宋体" w:hAnsi="宋体" w:cs="宋体"/>
                <w:sz w:val="16"/>
                <w:szCs w:val="16"/>
              </w:rPr>
            </w:pPr>
            <w:r>
              <w:rPr>
                <w:rFonts w:ascii="宋体" w:eastAsia="宋体" w:hAnsi="宋体" w:cs="宋体"/>
                <w:spacing w:val="-2"/>
                <w:sz w:val="16"/>
                <w:szCs w:val="16"/>
              </w:rPr>
              <w:t>0.51</w:t>
            </w:r>
          </w:p>
        </w:tc>
        <w:tc>
          <w:tcPr>
            <w:tcW w:w="1479" w:type="dxa"/>
          </w:tcPr>
          <w:p w:rsidR="00EA40A3" w:rsidRDefault="00E86C16">
            <w:pPr>
              <w:spacing w:before="89" w:line="184" w:lineRule="auto"/>
              <w:ind w:left="576"/>
              <w:rPr>
                <w:rFonts w:ascii="宋体" w:eastAsia="宋体" w:hAnsi="宋体" w:cs="宋体"/>
                <w:sz w:val="16"/>
                <w:szCs w:val="16"/>
              </w:rPr>
            </w:pPr>
            <w:r>
              <w:rPr>
                <w:rFonts w:ascii="宋体" w:eastAsia="宋体" w:hAnsi="宋体" w:cs="宋体"/>
                <w:spacing w:val="-4"/>
                <w:sz w:val="16"/>
                <w:szCs w:val="16"/>
              </w:rPr>
              <w:t>1.75</w:t>
            </w:r>
          </w:p>
        </w:tc>
        <w:tc>
          <w:tcPr>
            <w:tcW w:w="1356" w:type="dxa"/>
          </w:tcPr>
          <w:p w:rsidR="00EA40A3" w:rsidRDefault="00E86C16">
            <w:pPr>
              <w:spacing w:before="60" w:line="184" w:lineRule="auto"/>
              <w:ind w:left="518"/>
              <w:rPr>
                <w:rFonts w:ascii="宋体" w:eastAsia="宋体" w:hAnsi="宋体" w:cs="宋体"/>
                <w:sz w:val="16"/>
                <w:szCs w:val="16"/>
              </w:rPr>
            </w:pPr>
            <w:r>
              <w:rPr>
                <w:rFonts w:ascii="宋体" w:eastAsia="宋体" w:hAnsi="宋体" w:cs="宋体"/>
                <w:spacing w:val="-4"/>
                <w:sz w:val="16"/>
                <w:szCs w:val="16"/>
              </w:rPr>
              <w:t>16.8</w:t>
            </w:r>
          </w:p>
        </w:tc>
        <w:tc>
          <w:tcPr>
            <w:tcW w:w="1472" w:type="dxa"/>
          </w:tcPr>
          <w:p w:rsidR="00EA40A3" w:rsidRDefault="00E86C16">
            <w:pPr>
              <w:spacing w:before="70" w:line="183" w:lineRule="auto"/>
              <w:ind w:left="612"/>
              <w:rPr>
                <w:rFonts w:ascii="宋体" w:eastAsia="宋体" w:hAnsi="宋体" w:cs="宋体"/>
                <w:sz w:val="16"/>
                <w:szCs w:val="16"/>
              </w:rPr>
            </w:pPr>
            <w:r>
              <w:rPr>
                <w:rFonts w:ascii="宋体" w:eastAsia="宋体" w:hAnsi="宋体" w:cs="宋体"/>
                <w:spacing w:val="-3"/>
                <w:sz w:val="16"/>
                <w:szCs w:val="16"/>
              </w:rPr>
              <w:t>7.0</w:t>
            </w:r>
          </w:p>
        </w:tc>
      </w:tr>
      <w:tr w:rsidR="00EA40A3">
        <w:trPr>
          <w:trHeight w:val="253"/>
        </w:trPr>
        <w:tc>
          <w:tcPr>
            <w:tcW w:w="1685" w:type="dxa"/>
          </w:tcPr>
          <w:p w:rsidR="00EA40A3" w:rsidRDefault="00E86C16">
            <w:pPr>
              <w:spacing w:before="90" w:line="184" w:lineRule="auto"/>
              <w:ind w:left="790"/>
              <w:rPr>
                <w:rFonts w:ascii="宋体" w:eastAsia="宋体" w:hAnsi="宋体" w:cs="宋体"/>
                <w:sz w:val="16"/>
                <w:szCs w:val="16"/>
              </w:rPr>
            </w:pPr>
            <w:r>
              <w:rPr>
                <w:rFonts w:ascii="宋体" w:eastAsia="宋体" w:hAnsi="宋体" w:cs="宋体"/>
                <w:sz w:val="16"/>
                <w:szCs w:val="16"/>
              </w:rPr>
              <w:t>1</w:t>
            </w:r>
          </w:p>
        </w:tc>
        <w:tc>
          <w:tcPr>
            <w:tcW w:w="1348" w:type="dxa"/>
          </w:tcPr>
          <w:p w:rsidR="00EA40A3" w:rsidRDefault="00E86C16">
            <w:pPr>
              <w:spacing w:before="81" w:line="183" w:lineRule="auto"/>
              <w:ind w:left="505"/>
              <w:rPr>
                <w:rFonts w:ascii="宋体" w:eastAsia="宋体" w:hAnsi="宋体" w:cs="宋体"/>
                <w:sz w:val="16"/>
                <w:szCs w:val="16"/>
              </w:rPr>
            </w:pPr>
            <w:r>
              <w:rPr>
                <w:rFonts w:ascii="宋体" w:eastAsia="宋体" w:hAnsi="宋体" w:cs="宋体"/>
                <w:spacing w:val="-2"/>
                <w:sz w:val="16"/>
                <w:szCs w:val="16"/>
              </w:rPr>
              <w:t>0.57</w:t>
            </w:r>
          </w:p>
        </w:tc>
        <w:tc>
          <w:tcPr>
            <w:tcW w:w="1479" w:type="dxa"/>
          </w:tcPr>
          <w:p w:rsidR="00EA40A3" w:rsidRDefault="00E86C16">
            <w:pPr>
              <w:spacing w:before="90" w:line="184" w:lineRule="auto"/>
              <w:ind w:left="576"/>
              <w:rPr>
                <w:rFonts w:ascii="宋体" w:eastAsia="宋体" w:hAnsi="宋体" w:cs="宋体"/>
                <w:sz w:val="16"/>
                <w:szCs w:val="16"/>
              </w:rPr>
            </w:pPr>
            <w:r>
              <w:rPr>
                <w:rFonts w:ascii="宋体" w:eastAsia="宋体" w:hAnsi="宋体" w:cs="宋体"/>
                <w:spacing w:val="-4"/>
                <w:sz w:val="16"/>
                <w:szCs w:val="16"/>
              </w:rPr>
              <w:t>1.46</w:t>
            </w:r>
          </w:p>
        </w:tc>
        <w:tc>
          <w:tcPr>
            <w:tcW w:w="1356" w:type="dxa"/>
          </w:tcPr>
          <w:p w:rsidR="00EA40A3" w:rsidRDefault="00E86C16">
            <w:pPr>
              <w:spacing w:before="81" w:line="184" w:lineRule="auto"/>
              <w:ind w:left="518"/>
              <w:rPr>
                <w:rFonts w:ascii="宋体" w:eastAsia="宋体" w:hAnsi="宋体" w:cs="宋体"/>
                <w:sz w:val="16"/>
                <w:szCs w:val="16"/>
              </w:rPr>
            </w:pPr>
            <w:r>
              <w:rPr>
                <w:rFonts w:ascii="宋体" w:eastAsia="宋体" w:hAnsi="宋体" w:cs="宋体"/>
                <w:spacing w:val="-4"/>
                <w:sz w:val="16"/>
                <w:szCs w:val="16"/>
              </w:rPr>
              <w:t>16.4</w:t>
            </w:r>
          </w:p>
        </w:tc>
        <w:tc>
          <w:tcPr>
            <w:tcW w:w="1472" w:type="dxa"/>
          </w:tcPr>
          <w:p w:rsidR="00EA40A3" w:rsidRDefault="00E86C16">
            <w:pPr>
              <w:spacing w:before="61" w:line="183" w:lineRule="auto"/>
              <w:ind w:left="612"/>
              <w:rPr>
                <w:rFonts w:ascii="宋体" w:eastAsia="宋体" w:hAnsi="宋体" w:cs="宋体"/>
                <w:sz w:val="16"/>
                <w:szCs w:val="16"/>
              </w:rPr>
            </w:pPr>
            <w:r>
              <w:rPr>
                <w:rFonts w:ascii="宋体" w:eastAsia="宋体" w:hAnsi="宋体" w:cs="宋体"/>
                <w:spacing w:val="-2"/>
                <w:sz w:val="16"/>
                <w:szCs w:val="16"/>
              </w:rPr>
              <w:t>6.0</w:t>
            </w:r>
          </w:p>
        </w:tc>
      </w:tr>
      <w:tr w:rsidR="00EA40A3">
        <w:trPr>
          <w:trHeight w:val="229"/>
        </w:trPr>
        <w:tc>
          <w:tcPr>
            <w:tcW w:w="1685" w:type="dxa"/>
          </w:tcPr>
          <w:p w:rsidR="00EA40A3" w:rsidRDefault="00E86C16">
            <w:pPr>
              <w:spacing w:before="68" w:line="183" w:lineRule="auto"/>
              <w:ind w:left="790"/>
              <w:rPr>
                <w:rFonts w:ascii="宋体" w:eastAsia="宋体" w:hAnsi="宋体" w:cs="宋体"/>
                <w:sz w:val="16"/>
                <w:szCs w:val="16"/>
              </w:rPr>
            </w:pPr>
            <w:r>
              <w:rPr>
                <w:rFonts w:ascii="宋体" w:eastAsia="宋体" w:hAnsi="宋体" w:cs="宋体"/>
                <w:sz w:val="16"/>
                <w:szCs w:val="16"/>
              </w:rPr>
              <w:t>3</w:t>
            </w:r>
          </w:p>
        </w:tc>
        <w:tc>
          <w:tcPr>
            <w:tcW w:w="1348" w:type="dxa"/>
          </w:tcPr>
          <w:p w:rsidR="00EA40A3" w:rsidRDefault="00E86C16">
            <w:pPr>
              <w:spacing w:before="68" w:line="183" w:lineRule="auto"/>
              <w:ind w:left="505"/>
              <w:rPr>
                <w:rFonts w:ascii="宋体" w:eastAsia="宋体" w:hAnsi="宋体" w:cs="宋体"/>
                <w:sz w:val="16"/>
                <w:szCs w:val="16"/>
              </w:rPr>
            </w:pPr>
            <w:r>
              <w:rPr>
                <w:rFonts w:ascii="宋体" w:eastAsia="宋体" w:hAnsi="宋体" w:cs="宋体"/>
                <w:spacing w:val="-2"/>
                <w:sz w:val="16"/>
                <w:szCs w:val="16"/>
              </w:rPr>
              <w:t>0.87</w:t>
            </w:r>
          </w:p>
        </w:tc>
        <w:tc>
          <w:tcPr>
            <w:tcW w:w="1479" w:type="dxa"/>
          </w:tcPr>
          <w:p w:rsidR="00EA40A3" w:rsidRDefault="00E86C16">
            <w:pPr>
              <w:spacing w:before="68" w:line="184" w:lineRule="auto"/>
              <w:ind w:left="576"/>
              <w:rPr>
                <w:rFonts w:ascii="宋体" w:eastAsia="宋体" w:hAnsi="宋体" w:cs="宋体"/>
                <w:sz w:val="16"/>
                <w:szCs w:val="16"/>
              </w:rPr>
            </w:pPr>
            <w:r>
              <w:rPr>
                <w:rFonts w:ascii="宋体" w:eastAsia="宋体" w:hAnsi="宋体" w:cs="宋体"/>
                <w:spacing w:val="-4"/>
                <w:sz w:val="16"/>
                <w:szCs w:val="16"/>
              </w:rPr>
              <w:t>1.64</w:t>
            </w:r>
          </w:p>
        </w:tc>
        <w:tc>
          <w:tcPr>
            <w:tcW w:w="1356" w:type="dxa"/>
          </w:tcPr>
          <w:p w:rsidR="00EA40A3" w:rsidRDefault="00E86C16">
            <w:pPr>
              <w:spacing w:before="58" w:line="184" w:lineRule="auto"/>
              <w:ind w:left="518"/>
              <w:rPr>
                <w:rFonts w:ascii="宋体" w:eastAsia="宋体" w:hAnsi="宋体" w:cs="宋体"/>
                <w:sz w:val="16"/>
                <w:szCs w:val="16"/>
              </w:rPr>
            </w:pPr>
            <w:r>
              <w:rPr>
                <w:rFonts w:ascii="宋体" w:eastAsia="宋体" w:hAnsi="宋体" w:cs="宋体"/>
                <w:spacing w:val="-4"/>
                <w:sz w:val="16"/>
                <w:szCs w:val="16"/>
              </w:rPr>
              <w:t>17.9</w:t>
            </w:r>
          </w:p>
        </w:tc>
        <w:tc>
          <w:tcPr>
            <w:tcW w:w="1472" w:type="dxa"/>
          </w:tcPr>
          <w:p w:rsidR="00EA40A3" w:rsidRDefault="00E86C16">
            <w:pPr>
              <w:spacing w:before="58" w:line="183" w:lineRule="auto"/>
              <w:ind w:left="612"/>
              <w:rPr>
                <w:rFonts w:ascii="宋体" w:eastAsia="宋体" w:hAnsi="宋体" w:cs="宋体"/>
                <w:sz w:val="16"/>
                <w:szCs w:val="16"/>
              </w:rPr>
            </w:pPr>
            <w:r>
              <w:rPr>
                <w:rFonts w:ascii="宋体" w:eastAsia="宋体" w:hAnsi="宋体" w:cs="宋体"/>
                <w:spacing w:val="-3"/>
                <w:sz w:val="16"/>
                <w:szCs w:val="16"/>
              </w:rPr>
              <w:t>7.0</w:t>
            </w:r>
          </w:p>
        </w:tc>
      </w:tr>
      <w:tr w:rsidR="00EA40A3">
        <w:trPr>
          <w:trHeight w:val="240"/>
        </w:trPr>
        <w:tc>
          <w:tcPr>
            <w:tcW w:w="1685" w:type="dxa"/>
          </w:tcPr>
          <w:p w:rsidR="00EA40A3" w:rsidRDefault="00E86C16">
            <w:pPr>
              <w:spacing w:before="59" w:line="183" w:lineRule="auto"/>
              <w:ind w:left="790"/>
              <w:rPr>
                <w:rFonts w:ascii="宋体" w:eastAsia="宋体" w:hAnsi="宋体" w:cs="宋体"/>
                <w:sz w:val="16"/>
                <w:szCs w:val="16"/>
              </w:rPr>
            </w:pPr>
            <w:r>
              <w:rPr>
                <w:rFonts w:ascii="宋体" w:eastAsia="宋体" w:hAnsi="宋体" w:cs="宋体"/>
                <w:sz w:val="16"/>
                <w:szCs w:val="16"/>
              </w:rPr>
              <w:t>6</w:t>
            </w:r>
          </w:p>
        </w:tc>
        <w:tc>
          <w:tcPr>
            <w:tcW w:w="1348" w:type="dxa"/>
          </w:tcPr>
          <w:p w:rsidR="00EA40A3" w:rsidRDefault="00E86C16">
            <w:pPr>
              <w:spacing w:before="59" w:line="183" w:lineRule="auto"/>
              <w:ind w:left="505"/>
              <w:rPr>
                <w:rFonts w:ascii="宋体" w:eastAsia="宋体" w:hAnsi="宋体" w:cs="宋体"/>
                <w:sz w:val="16"/>
                <w:szCs w:val="16"/>
              </w:rPr>
            </w:pPr>
            <w:r>
              <w:rPr>
                <w:rFonts w:ascii="宋体" w:eastAsia="宋体" w:hAnsi="宋体" w:cs="宋体"/>
                <w:spacing w:val="-2"/>
                <w:sz w:val="16"/>
                <w:szCs w:val="16"/>
              </w:rPr>
              <w:t>0.07</w:t>
            </w:r>
          </w:p>
        </w:tc>
        <w:tc>
          <w:tcPr>
            <w:tcW w:w="1479" w:type="dxa"/>
          </w:tcPr>
          <w:p w:rsidR="00EA40A3" w:rsidRDefault="00E86C16">
            <w:pPr>
              <w:spacing w:before="59" w:line="184" w:lineRule="auto"/>
              <w:ind w:left="576"/>
              <w:rPr>
                <w:rFonts w:ascii="宋体" w:eastAsia="宋体" w:hAnsi="宋体" w:cs="宋体"/>
                <w:sz w:val="16"/>
                <w:szCs w:val="16"/>
              </w:rPr>
            </w:pPr>
            <w:r>
              <w:rPr>
                <w:rFonts w:ascii="宋体" w:eastAsia="宋体" w:hAnsi="宋体" w:cs="宋体"/>
                <w:spacing w:val="-4"/>
                <w:sz w:val="16"/>
                <w:szCs w:val="16"/>
              </w:rPr>
              <w:t>1.54</w:t>
            </w:r>
          </w:p>
        </w:tc>
        <w:tc>
          <w:tcPr>
            <w:tcW w:w="1356" w:type="dxa"/>
          </w:tcPr>
          <w:p w:rsidR="00EA40A3" w:rsidRDefault="00E86C16">
            <w:pPr>
              <w:spacing w:before="59" w:line="184" w:lineRule="auto"/>
              <w:ind w:left="518"/>
              <w:rPr>
                <w:rFonts w:ascii="宋体" w:eastAsia="宋体" w:hAnsi="宋体" w:cs="宋体"/>
                <w:sz w:val="16"/>
                <w:szCs w:val="16"/>
              </w:rPr>
            </w:pPr>
            <w:r>
              <w:rPr>
                <w:rFonts w:ascii="宋体" w:eastAsia="宋体" w:hAnsi="宋体" w:cs="宋体"/>
                <w:spacing w:val="-4"/>
                <w:sz w:val="16"/>
                <w:szCs w:val="16"/>
              </w:rPr>
              <w:t>16.5</w:t>
            </w:r>
          </w:p>
        </w:tc>
        <w:tc>
          <w:tcPr>
            <w:tcW w:w="1472" w:type="dxa"/>
          </w:tcPr>
          <w:p w:rsidR="00EA40A3" w:rsidRDefault="00E86C16">
            <w:pPr>
              <w:spacing w:before="59" w:line="183" w:lineRule="auto"/>
              <w:ind w:left="612"/>
              <w:rPr>
                <w:rFonts w:ascii="宋体" w:eastAsia="宋体" w:hAnsi="宋体" w:cs="宋体"/>
                <w:sz w:val="16"/>
                <w:szCs w:val="16"/>
              </w:rPr>
            </w:pPr>
            <w:r>
              <w:rPr>
                <w:rFonts w:ascii="宋体" w:eastAsia="宋体" w:hAnsi="宋体" w:cs="宋体"/>
                <w:spacing w:val="-2"/>
                <w:sz w:val="16"/>
                <w:szCs w:val="16"/>
              </w:rPr>
              <w:t>6.5</w:t>
            </w:r>
          </w:p>
        </w:tc>
      </w:tr>
      <w:tr w:rsidR="00EA40A3">
        <w:trPr>
          <w:trHeight w:val="258"/>
        </w:trPr>
        <w:tc>
          <w:tcPr>
            <w:tcW w:w="1685" w:type="dxa"/>
          </w:tcPr>
          <w:p w:rsidR="00EA40A3" w:rsidRDefault="00E86C16">
            <w:pPr>
              <w:spacing w:before="89" w:line="184" w:lineRule="auto"/>
              <w:ind w:left="750"/>
              <w:rPr>
                <w:rFonts w:ascii="宋体" w:eastAsia="宋体" w:hAnsi="宋体" w:cs="宋体"/>
                <w:sz w:val="16"/>
                <w:szCs w:val="16"/>
              </w:rPr>
            </w:pPr>
            <w:r>
              <w:rPr>
                <w:rFonts w:ascii="宋体" w:eastAsia="宋体" w:hAnsi="宋体" w:cs="宋体"/>
                <w:spacing w:val="-5"/>
                <w:sz w:val="16"/>
                <w:szCs w:val="16"/>
              </w:rPr>
              <w:t>10</w:t>
            </w:r>
          </w:p>
        </w:tc>
        <w:tc>
          <w:tcPr>
            <w:tcW w:w="1348" w:type="dxa"/>
          </w:tcPr>
          <w:p w:rsidR="00EA40A3" w:rsidRDefault="00E86C16">
            <w:pPr>
              <w:spacing w:before="100" w:line="182" w:lineRule="auto"/>
              <w:ind w:left="505"/>
              <w:rPr>
                <w:rFonts w:ascii="宋体" w:eastAsia="宋体" w:hAnsi="宋体" w:cs="宋体"/>
                <w:sz w:val="16"/>
                <w:szCs w:val="16"/>
              </w:rPr>
            </w:pPr>
            <w:r>
              <w:rPr>
                <w:rFonts w:ascii="宋体" w:eastAsia="宋体" w:hAnsi="宋体" w:cs="宋体"/>
                <w:spacing w:val="-2"/>
                <w:sz w:val="16"/>
                <w:szCs w:val="16"/>
              </w:rPr>
              <w:t>0.07</w:t>
            </w:r>
          </w:p>
        </w:tc>
        <w:tc>
          <w:tcPr>
            <w:tcW w:w="1479" w:type="dxa"/>
          </w:tcPr>
          <w:p w:rsidR="00EA40A3" w:rsidRDefault="00E86C16">
            <w:pPr>
              <w:spacing w:before="89" w:line="183" w:lineRule="auto"/>
              <w:ind w:left="576"/>
              <w:rPr>
                <w:rFonts w:ascii="宋体" w:eastAsia="宋体" w:hAnsi="宋体" w:cs="宋体"/>
                <w:sz w:val="16"/>
                <w:szCs w:val="16"/>
              </w:rPr>
            </w:pPr>
            <w:r>
              <w:rPr>
                <w:rFonts w:ascii="宋体" w:eastAsia="宋体" w:hAnsi="宋体" w:cs="宋体"/>
                <w:spacing w:val="-2"/>
                <w:sz w:val="16"/>
                <w:szCs w:val="16"/>
              </w:rPr>
              <w:t>0.95</w:t>
            </w:r>
          </w:p>
        </w:tc>
        <w:tc>
          <w:tcPr>
            <w:tcW w:w="1356" w:type="dxa"/>
          </w:tcPr>
          <w:p w:rsidR="00EA40A3" w:rsidRDefault="00E86C16">
            <w:pPr>
              <w:spacing w:before="89" w:line="184" w:lineRule="auto"/>
              <w:ind w:left="518"/>
              <w:rPr>
                <w:rFonts w:ascii="宋体" w:eastAsia="宋体" w:hAnsi="宋体" w:cs="宋体"/>
                <w:sz w:val="16"/>
                <w:szCs w:val="16"/>
              </w:rPr>
            </w:pPr>
            <w:r>
              <w:rPr>
                <w:rFonts w:ascii="宋体" w:eastAsia="宋体" w:hAnsi="宋体" w:cs="宋体"/>
                <w:spacing w:val="-4"/>
                <w:sz w:val="16"/>
                <w:szCs w:val="16"/>
              </w:rPr>
              <w:t>18.2</w:t>
            </w:r>
          </w:p>
        </w:tc>
        <w:tc>
          <w:tcPr>
            <w:tcW w:w="1472" w:type="dxa"/>
          </w:tcPr>
          <w:p w:rsidR="00EA40A3" w:rsidRDefault="00E86C16">
            <w:pPr>
              <w:spacing w:before="80" w:line="182" w:lineRule="auto"/>
              <w:ind w:left="612"/>
              <w:rPr>
                <w:rFonts w:ascii="宋体" w:eastAsia="宋体" w:hAnsi="宋体" w:cs="宋体"/>
                <w:sz w:val="16"/>
                <w:szCs w:val="16"/>
              </w:rPr>
            </w:pPr>
            <w:r>
              <w:rPr>
                <w:rFonts w:ascii="宋体" w:eastAsia="宋体" w:hAnsi="宋体" w:cs="宋体"/>
                <w:spacing w:val="-3"/>
                <w:sz w:val="16"/>
                <w:szCs w:val="16"/>
              </w:rPr>
              <w:t>5.5</w:t>
            </w:r>
          </w:p>
        </w:tc>
      </w:tr>
      <w:tr w:rsidR="00EA40A3">
        <w:trPr>
          <w:trHeight w:val="254"/>
        </w:trPr>
        <w:tc>
          <w:tcPr>
            <w:tcW w:w="1685" w:type="dxa"/>
          </w:tcPr>
          <w:p w:rsidR="00EA40A3" w:rsidRDefault="00E86C16">
            <w:pPr>
              <w:spacing w:before="71" w:line="183" w:lineRule="auto"/>
              <w:ind w:left="750"/>
              <w:rPr>
                <w:rFonts w:ascii="宋体" w:eastAsia="宋体" w:hAnsi="宋体" w:cs="宋体"/>
                <w:sz w:val="16"/>
                <w:szCs w:val="16"/>
              </w:rPr>
            </w:pPr>
            <w:r>
              <w:rPr>
                <w:rFonts w:ascii="宋体" w:eastAsia="宋体" w:hAnsi="宋体" w:cs="宋体"/>
                <w:spacing w:val="-3"/>
                <w:sz w:val="16"/>
                <w:szCs w:val="16"/>
              </w:rPr>
              <w:t>25</w:t>
            </w:r>
          </w:p>
        </w:tc>
        <w:tc>
          <w:tcPr>
            <w:tcW w:w="1348" w:type="dxa"/>
          </w:tcPr>
          <w:p w:rsidR="00EA40A3" w:rsidRDefault="00E86C16">
            <w:pPr>
              <w:spacing w:before="71" w:line="183" w:lineRule="auto"/>
              <w:ind w:left="505"/>
              <w:rPr>
                <w:rFonts w:ascii="宋体" w:eastAsia="宋体" w:hAnsi="宋体" w:cs="宋体"/>
                <w:sz w:val="16"/>
                <w:szCs w:val="16"/>
              </w:rPr>
            </w:pPr>
            <w:r>
              <w:rPr>
                <w:rFonts w:ascii="宋体" w:eastAsia="宋体" w:hAnsi="宋体" w:cs="宋体"/>
                <w:spacing w:val="-2"/>
                <w:sz w:val="16"/>
                <w:szCs w:val="16"/>
              </w:rPr>
              <w:t>0.02</w:t>
            </w:r>
          </w:p>
        </w:tc>
        <w:tc>
          <w:tcPr>
            <w:tcW w:w="1479" w:type="dxa"/>
          </w:tcPr>
          <w:p w:rsidR="00EA40A3" w:rsidRDefault="00E86C16">
            <w:pPr>
              <w:spacing w:before="91" w:line="184" w:lineRule="auto"/>
              <w:ind w:left="576"/>
              <w:rPr>
                <w:rFonts w:ascii="宋体" w:eastAsia="宋体" w:hAnsi="宋体" w:cs="宋体"/>
                <w:sz w:val="16"/>
                <w:szCs w:val="16"/>
              </w:rPr>
            </w:pPr>
            <w:r>
              <w:rPr>
                <w:rFonts w:ascii="宋体" w:eastAsia="宋体" w:hAnsi="宋体" w:cs="宋体"/>
                <w:spacing w:val="-2"/>
                <w:sz w:val="16"/>
                <w:szCs w:val="16"/>
              </w:rPr>
              <w:t>0.81</w:t>
            </w:r>
          </w:p>
        </w:tc>
        <w:tc>
          <w:tcPr>
            <w:tcW w:w="1356" w:type="dxa"/>
          </w:tcPr>
          <w:p w:rsidR="00EA40A3" w:rsidRDefault="00E86C16">
            <w:pPr>
              <w:spacing w:before="61" w:line="184" w:lineRule="auto"/>
              <w:ind w:left="518"/>
              <w:rPr>
                <w:rFonts w:ascii="宋体" w:eastAsia="宋体" w:hAnsi="宋体" w:cs="宋体"/>
                <w:sz w:val="16"/>
                <w:szCs w:val="16"/>
              </w:rPr>
            </w:pPr>
            <w:r>
              <w:rPr>
                <w:rFonts w:ascii="宋体" w:eastAsia="宋体" w:hAnsi="宋体" w:cs="宋体"/>
                <w:spacing w:val="-4"/>
                <w:sz w:val="16"/>
                <w:szCs w:val="16"/>
              </w:rPr>
              <w:t>15.4</w:t>
            </w:r>
          </w:p>
        </w:tc>
        <w:tc>
          <w:tcPr>
            <w:tcW w:w="1472" w:type="dxa"/>
          </w:tcPr>
          <w:p w:rsidR="00EA40A3" w:rsidRDefault="00E86C16">
            <w:pPr>
              <w:spacing w:before="81" w:line="183" w:lineRule="auto"/>
              <w:ind w:left="612"/>
              <w:rPr>
                <w:rFonts w:ascii="宋体" w:eastAsia="宋体" w:hAnsi="宋体" w:cs="宋体"/>
                <w:sz w:val="16"/>
                <w:szCs w:val="16"/>
              </w:rPr>
            </w:pPr>
            <w:r>
              <w:rPr>
                <w:rFonts w:ascii="宋体" w:eastAsia="宋体" w:hAnsi="宋体" w:cs="宋体"/>
                <w:spacing w:val="-3"/>
                <w:sz w:val="16"/>
                <w:szCs w:val="16"/>
              </w:rPr>
              <w:t>5.0</w:t>
            </w:r>
          </w:p>
        </w:tc>
      </w:tr>
      <w:tr w:rsidR="00EA40A3">
        <w:trPr>
          <w:trHeight w:val="215"/>
        </w:trPr>
        <w:tc>
          <w:tcPr>
            <w:tcW w:w="1685" w:type="dxa"/>
            <w:tcBorders>
              <w:bottom w:val="single" w:sz="4" w:space="0" w:color="000000"/>
            </w:tcBorders>
          </w:tcPr>
          <w:p w:rsidR="00EA40A3" w:rsidRDefault="00E86C16">
            <w:pPr>
              <w:spacing w:before="67" w:line="170" w:lineRule="auto"/>
              <w:ind w:left="750"/>
              <w:rPr>
                <w:rFonts w:ascii="宋体" w:eastAsia="宋体" w:hAnsi="宋体" w:cs="宋体"/>
                <w:sz w:val="16"/>
                <w:szCs w:val="16"/>
              </w:rPr>
            </w:pPr>
            <w:r>
              <w:rPr>
                <w:rFonts w:ascii="宋体" w:eastAsia="宋体" w:hAnsi="宋体" w:cs="宋体"/>
                <w:spacing w:val="-2"/>
                <w:sz w:val="16"/>
                <w:szCs w:val="16"/>
              </w:rPr>
              <w:t>45</w:t>
            </w:r>
          </w:p>
        </w:tc>
        <w:tc>
          <w:tcPr>
            <w:tcW w:w="1348" w:type="dxa"/>
            <w:tcBorders>
              <w:bottom w:val="single" w:sz="4" w:space="0" w:color="000000"/>
            </w:tcBorders>
          </w:tcPr>
          <w:p w:rsidR="00EA40A3" w:rsidRDefault="00E86C16">
            <w:pPr>
              <w:spacing w:before="67" w:line="170" w:lineRule="auto"/>
              <w:ind w:left="505"/>
              <w:rPr>
                <w:rFonts w:ascii="宋体" w:eastAsia="宋体" w:hAnsi="宋体" w:cs="宋体"/>
                <w:sz w:val="16"/>
                <w:szCs w:val="16"/>
              </w:rPr>
            </w:pPr>
            <w:r>
              <w:rPr>
                <w:rFonts w:ascii="宋体" w:eastAsia="宋体" w:hAnsi="宋体" w:cs="宋体"/>
                <w:spacing w:val="-2"/>
                <w:sz w:val="16"/>
                <w:szCs w:val="16"/>
              </w:rPr>
              <w:t>0.02</w:t>
            </w:r>
          </w:p>
        </w:tc>
        <w:tc>
          <w:tcPr>
            <w:tcW w:w="1479" w:type="dxa"/>
            <w:tcBorders>
              <w:bottom w:val="single" w:sz="4" w:space="0" w:color="000000"/>
            </w:tcBorders>
          </w:tcPr>
          <w:p w:rsidR="00EA40A3" w:rsidRDefault="00E86C16">
            <w:pPr>
              <w:spacing w:before="67" w:line="170" w:lineRule="auto"/>
              <w:ind w:left="576"/>
              <w:rPr>
                <w:rFonts w:ascii="宋体" w:eastAsia="宋体" w:hAnsi="宋体" w:cs="宋体"/>
                <w:sz w:val="16"/>
                <w:szCs w:val="16"/>
              </w:rPr>
            </w:pPr>
            <w:r>
              <w:rPr>
                <w:rFonts w:ascii="宋体" w:eastAsia="宋体" w:hAnsi="宋体" w:cs="宋体"/>
                <w:spacing w:val="-2"/>
                <w:sz w:val="16"/>
                <w:szCs w:val="16"/>
              </w:rPr>
              <w:t>0.46</w:t>
            </w:r>
          </w:p>
        </w:tc>
        <w:tc>
          <w:tcPr>
            <w:tcW w:w="1356" w:type="dxa"/>
            <w:tcBorders>
              <w:bottom w:val="single" w:sz="4" w:space="0" w:color="000000"/>
            </w:tcBorders>
          </w:tcPr>
          <w:p w:rsidR="00EA40A3" w:rsidRDefault="00E86C16">
            <w:pPr>
              <w:spacing w:before="66" w:line="171" w:lineRule="auto"/>
              <w:ind w:left="518"/>
              <w:rPr>
                <w:rFonts w:ascii="宋体" w:eastAsia="宋体" w:hAnsi="宋体" w:cs="宋体"/>
                <w:sz w:val="16"/>
                <w:szCs w:val="16"/>
              </w:rPr>
            </w:pPr>
            <w:r>
              <w:rPr>
                <w:rFonts w:ascii="宋体" w:eastAsia="宋体" w:hAnsi="宋体" w:cs="宋体"/>
                <w:spacing w:val="-4"/>
                <w:sz w:val="16"/>
                <w:szCs w:val="16"/>
              </w:rPr>
              <w:t>13.5</w:t>
            </w:r>
          </w:p>
        </w:tc>
        <w:tc>
          <w:tcPr>
            <w:tcW w:w="1472" w:type="dxa"/>
            <w:tcBorders>
              <w:bottom w:val="single" w:sz="4" w:space="0" w:color="000000"/>
            </w:tcBorders>
          </w:tcPr>
          <w:p w:rsidR="00EA40A3" w:rsidRDefault="00E86C16">
            <w:pPr>
              <w:spacing w:before="67" w:line="170" w:lineRule="auto"/>
              <w:ind w:left="612"/>
              <w:rPr>
                <w:rFonts w:ascii="宋体" w:eastAsia="宋体" w:hAnsi="宋体" w:cs="宋体"/>
                <w:sz w:val="16"/>
                <w:szCs w:val="16"/>
              </w:rPr>
            </w:pPr>
            <w:r>
              <w:rPr>
                <w:rFonts w:ascii="宋体" w:eastAsia="宋体" w:hAnsi="宋体" w:cs="宋体"/>
                <w:spacing w:val="-2"/>
                <w:sz w:val="16"/>
                <w:szCs w:val="16"/>
              </w:rPr>
              <w:t>4.5</w:t>
            </w:r>
          </w:p>
        </w:tc>
      </w:tr>
    </w:tbl>
    <w:p w:rsidR="00EA40A3" w:rsidRDefault="00E86C16">
      <w:pPr>
        <w:spacing w:before="72" w:line="219" w:lineRule="auto"/>
        <w:ind w:left="349"/>
        <w:rPr>
          <w:rFonts w:ascii="宋体" w:eastAsia="宋体" w:hAnsi="宋体" w:cs="宋体"/>
          <w:sz w:val="19"/>
          <w:szCs w:val="19"/>
        </w:rPr>
      </w:pPr>
      <w:r>
        <w:rPr>
          <w:rFonts w:ascii="宋体" w:eastAsia="宋体" w:hAnsi="宋体" w:cs="宋体"/>
          <w:spacing w:val="-21"/>
          <w:w w:val="98"/>
          <w:sz w:val="19"/>
          <w:szCs w:val="19"/>
        </w:rPr>
        <w:t>数据来源：汪勋清，哈益明，高美须.2005.食品辐照加工技术.北京：化学工业出版社</w:t>
      </w:r>
    </w:p>
    <w:p w:rsidR="00EA40A3" w:rsidRDefault="00EA40A3">
      <w:pPr>
        <w:spacing w:line="329" w:lineRule="auto"/>
      </w:pPr>
    </w:p>
    <w:p w:rsidR="00EA40A3" w:rsidRDefault="00E86C16">
      <w:pPr>
        <w:spacing w:before="61" w:line="226" w:lineRule="auto"/>
        <w:rPr>
          <w:rFonts w:ascii="楷体" w:eastAsia="楷体" w:hAnsi="楷体" w:cs="楷体"/>
          <w:sz w:val="19"/>
          <w:szCs w:val="19"/>
        </w:rPr>
      </w:pPr>
      <w:r>
        <w:rPr>
          <w:rFonts w:ascii="楷体" w:eastAsia="楷体" w:hAnsi="楷体" w:cs="楷体"/>
          <w:spacing w:val="28"/>
          <w:sz w:val="19"/>
          <w:szCs w:val="19"/>
        </w:rPr>
        <w:t>6)蛋类</w:t>
      </w:r>
    </w:p>
    <w:p w:rsidR="00EA40A3" w:rsidRDefault="00E86C16">
      <w:pPr>
        <w:spacing w:before="87" w:line="278" w:lineRule="auto"/>
        <w:ind w:right="101" w:firstLine="349"/>
        <w:jc w:val="both"/>
        <w:rPr>
          <w:rFonts w:ascii="宋体" w:eastAsia="宋体" w:hAnsi="宋体" w:cs="宋体"/>
          <w:sz w:val="19"/>
          <w:szCs w:val="19"/>
        </w:rPr>
      </w:pPr>
      <w:r>
        <w:rPr>
          <w:rFonts w:ascii="宋体" w:eastAsia="宋体" w:hAnsi="宋体" w:cs="宋体"/>
          <w:spacing w:val="18"/>
          <w:sz w:val="19"/>
          <w:szCs w:val="19"/>
        </w:rPr>
        <w:t>蛋类辐照的目的是杀灭沙门氏菌，同时避免蛋白质降解而使蛋</w:t>
      </w:r>
      <w:r>
        <w:rPr>
          <w:rFonts w:ascii="宋体" w:eastAsia="宋体" w:hAnsi="宋体" w:cs="宋体"/>
          <w:spacing w:val="17"/>
          <w:sz w:val="19"/>
          <w:szCs w:val="19"/>
        </w:rPr>
        <w:t>液黏度降低或</w:t>
      </w:r>
      <w:r>
        <w:rPr>
          <w:rFonts w:ascii="宋体" w:eastAsia="宋体" w:hAnsi="宋体" w:cs="宋体"/>
          <w:sz w:val="19"/>
          <w:szCs w:val="19"/>
        </w:rPr>
        <w:t xml:space="preserve"> </w:t>
      </w:r>
      <w:r>
        <w:rPr>
          <w:rFonts w:ascii="宋体" w:eastAsia="宋体" w:hAnsi="宋体" w:cs="宋体"/>
          <w:spacing w:val="14"/>
          <w:sz w:val="19"/>
          <w:szCs w:val="19"/>
        </w:rPr>
        <w:t>产</w:t>
      </w:r>
      <w:r>
        <w:rPr>
          <w:rFonts w:ascii="宋体" w:eastAsia="宋体" w:hAnsi="宋体" w:cs="宋体"/>
          <w:spacing w:val="-20"/>
          <w:sz w:val="19"/>
          <w:szCs w:val="19"/>
        </w:rPr>
        <w:t xml:space="preserve"> </w:t>
      </w:r>
      <w:r>
        <w:rPr>
          <w:rFonts w:ascii="宋体" w:eastAsia="宋体" w:hAnsi="宋体" w:cs="宋体"/>
          <w:spacing w:val="14"/>
          <w:sz w:val="19"/>
          <w:szCs w:val="19"/>
        </w:rPr>
        <w:t>生H</w:t>
      </w:r>
      <w:r>
        <w:rPr>
          <w:rFonts w:ascii="Calibri" w:eastAsia="Calibri" w:hAnsi="Calibri" w:cs="Calibri"/>
          <w:spacing w:val="14"/>
          <w:sz w:val="19"/>
          <w:szCs w:val="19"/>
        </w:rPr>
        <w:t>₂</w:t>
      </w:r>
      <w:r>
        <w:rPr>
          <w:rFonts w:ascii="宋体" w:eastAsia="宋体" w:hAnsi="宋体" w:cs="宋体"/>
          <w:spacing w:val="14"/>
          <w:sz w:val="19"/>
          <w:szCs w:val="19"/>
        </w:rPr>
        <w:t>S</w:t>
      </w:r>
      <w:r>
        <w:rPr>
          <w:rFonts w:ascii="宋体" w:eastAsia="宋体" w:hAnsi="宋体" w:cs="宋体"/>
          <w:spacing w:val="84"/>
          <w:sz w:val="19"/>
          <w:szCs w:val="19"/>
        </w:rPr>
        <w:t xml:space="preserve"> </w:t>
      </w:r>
      <w:r>
        <w:rPr>
          <w:rFonts w:ascii="宋体" w:eastAsia="宋体" w:hAnsi="宋体" w:cs="宋体"/>
          <w:spacing w:val="14"/>
          <w:sz w:val="19"/>
          <w:szCs w:val="19"/>
        </w:rPr>
        <w:t>等异味。</w:t>
      </w:r>
      <w:r>
        <w:rPr>
          <w:rFonts w:ascii="宋体" w:eastAsia="宋体" w:hAnsi="宋体" w:cs="宋体"/>
          <w:spacing w:val="65"/>
          <w:sz w:val="19"/>
          <w:szCs w:val="19"/>
        </w:rPr>
        <w:t xml:space="preserve"> </w:t>
      </w:r>
      <w:r>
        <w:rPr>
          <w:rFonts w:ascii="宋体" w:eastAsia="宋体" w:hAnsi="宋体" w:cs="宋体"/>
          <w:spacing w:val="14"/>
          <w:sz w:val="19"/>
          <w:szCs w:val="19"/>
        </w:rPr>
        <w:t>一般5～6</w:t>
      </w:r>
      <w:r>
        <w:rPr>
          <w:rFonts w:ascii="宋体" w:eastAsia="宋体" w:hAnsi="宋体" w:cs="宋体"/>
          <w:sz w:val="19"/>
          <w:szCs w:val="19"/>
        </w:rPr>
        <w:t>kGy</w:t>
      </w:r>
      <w:r>
        <w:rPr>
          <w:rFonts w:ascii="宋体" w:eastAsia="宋体" w:hAnsi="宋体" w:cs="宋体"/>
          <w:spacing w:val="46"/>
          <w:sz w:val="19"/>
          <w:szCs w:val="19"/>
        </w:rPr>
        <w:t xml:space="preserve"> </w:t>
      </w:r>
      <w:r>
        <w:rPr>
          <w:rFonts w:ascii="宋体" w:eastAsia="宋体" w:hAnsi="宋体" w:cs="宋体"/>
          <w:spacing w:val="14"/>
          <w:sz w:val="19"/>
          <w:szCs w:val="19"/>
        </w:rPr>
        <w:t>的辐照能够显著降低冷冻的蛋类或由蛋类</w:t>
      </w:r>
      <w:r>
        <w:rPr>
          <w:rFonts w:ascii="宋体" w:eastAsia="宋体" w:hAnsi="宋体" w:cs="宋体"/>
          <w:spacing w:val="13"/>
          <w:sz w:val="19"/>
          <w:szCs w:val="19"/>
        </w:rPr>
        <w:t>制成</w:t>
      </w:r>
      <w:r>
        <w:rPr>
          <w:rFonts w:ascii="宋体" w:eastAsia="宋体" w:hAnsi="宋体" w:cs="宋体"/>
          <w:sz w:val="19"/>
          <w:szCs w:val="19"/>
        </w:rPr>
        <w:t xml:space="preserve"> </w:t>
      </w:r>
      <w:r>
        <w:rPr>
          <w:rFonts w:ascii="宋体" w:eastAsia="宋体" w:hAnsi="宋体" w:cs="宋体"/>
          <w:spacing w:val="18"/>
          <w:sz w:val="19"/>
          <w:szCs w:val="19"/>
        </w:rPr>
        <w:t>的食品中的微生物，带壳鲜蛋则用10</w:t>
      </w:r>
      <w:r>
        <w:rPr>
          <w:rFonts w:ascii="宋体" w:eastAsia="宋体" w:hAnsi="宋体" w:cs="宋体"/>
          <w:sz w:val="19"/>
          <w:szCs w:val="19"/>
        </w:rPr>
        <w:t>kGy</w:t>
      </w:r>
      <w:r>
        <w:rPr>
          <w:rFonts w:ascii="宋体" w:eastAsia="宋体" w:hAnsi="宋体" w:cs="宋体"/>
          <w:spacing w:val="38"/>
          <w:sz w:val="19"/>
          <w:szCs w:val="19"/>
        </w:rPr>
        <w:t xml:space="preserve"> </w:t>
      </w:r>
      <w:r>
        <w:rPr>
          <w:rFonts w:ascii="宋体" w:eastAsia="宋体" w:hAnsi="宋体" w:cs="宋体"/>
          <w:spacing w:val="18"/>
          <w:sz w:val="19"/>
          <w:szCs w:val="19"/>
        </w:rPr>
        <w:t>剂量辐照。</w:t>
      </w:r>
    </w:p>
    <w:p w:rsidR="00EA40A3" w:rsidRDefault="00EA40A3">
      <w:pPr>
        <w:spacing w:line="242" w:lineRule="auto"/>
      </w:pPr>
    </w:p>
    <w:p w:rsidR="00EA40A3" w:rsidRDefault="00E86C16">
      <w:pPr>
        <w:spacing w:before="91" w:line="218" w:lineRule="auto"/>
        <w:ind w:left="1679"/>
        <w:rPr>
          <w:rFonts w:ascii="宋体" w:eastAsia="宋体" w:hAnsi="宋体" w:cs="宋体"/>
          <w:sz w:val="28"/>
          <w:szCs w:val="28"/>
        </w:rPr>
      </w:pPr>
      <w:r>
        <w:rPr>
          <w:rFonts w:ascii="宋体" w:eastAsia="宋体" w:hAnsi="宋体" w:cs="宋体"/>
          <w:spacing w:val="-2"/>
          <w:sz w:val="28"/>
          <w:szCs w:val="28"/>
        </w:rPr>
        <w:t>7.2</w:t>
      </w:r>
      <w:r>
        <w:rPr>
          <w:rFonts w:ascii="宋体" w:eastAsia="宋体" w:hAnsi="宋体" w:cs="宋体"/>
          <w:spacing w:val="138"/>
          <w:sz w:val="28"/>
          <w:szCs w:val="28"/>
        </w:rPr>
        <w:t xml:space="preserve"> </w:t>
      </w:r>
      <w:r>
        <w:rPr>
          <w:rFonts w:ascii="宋体" w:eastAsia="宋体" w:hAnsi="宋体" w:cs="宋体"/>
          <w:spacing w:val="-2"/>
          <w:sz w:val="28"/>
          <w:szCs w:val="28"/>
        </w:rPr>
        <w:t>加工对食品营养价值的影响</w:t>
      </w:r>
    </w:p>
    <w:p w:rsidR="00EA40A3" w:rsidRDefault="00E86C16">
      <w:pPr>
        <w:spacing w:before="175" w:line="221" w:lineRule="auto"/>
        <w:ind w:left="3"/>
        <w:outlineLvl w:val="6"/>
        <w:rPr>
          <w:rFonts w:ascii="黑体" w:eastAsia="黑体" w:hAnsi="黑体" w:cs="黑体"/>
          <w:sz w:val="22"/>
          <w:szCs w:val="22"/>
        </w:rPr>
      </w:pPr>
      <w:r>
        <w:rPr>
          <w:rFonts w:ascii="黑体" w:eastAsia="黑体" w:hAnsi="黑体" w:cs="黑体"/>
          <w:b/>
          <w:bCs/>
          <w:spacing w:val="10"/>
          <w:sz w:val="22"/>
          <w:szCs w:val="22"/>
        </w:rPr>
        <w:t>7.2.1</w:t>
      </w:r>
      <w:r>
        <w:rPr>
          <w:rFonts w:ascii="黑体" w:eastAsia="黑体" w:hAnsi="黑体" w:cs="黑体"/>
          <w:spacing w:val="44"/>
          <w:sz w:val="22"/>
          <w:szCs w:val="22"/>
        </w:rPr>
        <w:t xml:space="preserve">  </w:t>
      </w:r>
      <w:r>
        <w:rPr>
          <w:rFonts w:ascii="黑体" w:eastAsia="黑体" w:hAnsi="黑体" w:cs="黑体"/>
          <w:b/>
          <w:bCs/>
          <w:spacing w:val="10"/>
          <w:sz w:val="22"/>
          <w:szCs w:val="22"/>
        </w:rPr>
        <w:t>热处理对食品营养价值的影响</w:t>
      </w:r>
    </w:p>
    <w:p w:rsidR="00EA40A3" w:rsidRDefault="00E86C16">
      <w:pPr>
        <w:spacing w:before="202" w:line="280" w:lineRule="auto"/>
        <w:ind w:right="102" w:firstLine="349"/>
        <w:jc w:val="both"/>
        <w:rPr>
          <w:rFonts w:ascii="宋体" w:eastAsia="宋体" w:hAnsi="宋体" w:cs="宋体"/>
          <w:sz w:val="19"/>
          <w:szCs w:val="19"/>
        </w:rPr>
      </w:pPr>
      <w:r>
        <w:rPr>
          <w:rFonts w:ascii="宋体" w:eastAsia="宋体" w:hAnsi="宋体" w:cs="宋体"/>
          <w:spacing w:val="18"/>
          <w:sz w:val="19"/>
          <w:szCs w:val="19"/>
        </w:rPr>
        <w:t>热处理是食品加工与保藏中用于改善食品品质、延长食品储藏</w:t>
      </w:r>
      <w:r>
        <w:rPr>
          <w:rFonts w:ascii="宋体" w:eastAsia="宋体" w:hAnsi="宋体" w:cs="宋体"/>
          <w:spacing w:val="17"/>
          <w:sz w:val="19"/>
          <w:szCs w:val="19"/>
        </w:rPr>
        <w:t>期最重要的处</w:t>
      </w:r>
      <w:r>
        <w:rPr>
          <w:rFonts w:ascii="宋体" w:eastAsia="宋体" w:hAnsi="宋体" w:cs="宋体"/>
          <w:sz w:val="19"/>
          <w:szCs w:val="19"/>
        </w:rPr>
        <w:t xml:space="preserve"> </w:t>
      </w:r>
      <w:r>
        <w:rPr>
          <w:rFonts w:ascii="宋体" w:eastAsia="宋体" w:hAnsi="宋体" w:cs="宋体"/>
          <w:spacing w:val="11"/>
          <w:sz w:val="19"/>
          <w:szCs w:val="19"/>
        </w:rPr>
        <w:t>理方法之一</w:t>
      </w:r>
      <w:r>
        <w:rPr>
          <w:rFonts w:ascii="宋体" w:eastAsia="宋体" w:hAnsi="宋体" w:cs="宋体"/>
          <w:spacing w:val="-57"/>
          <w:sz w:val="19"/>
          <w:szCs w:val="19"/>
        </w:rPr>
        <w:t xml:space="preserve"> </w:t>
      </w:r>
      <w:r>
        <w:rPr>
          <w:rFonts w:ascii="宋体" w:eastAsia="宋体" w:hAnsi="宋体" w:cs="宋体"/>
          <w:spacing w:val="11"/>
          <w:sz w:val="19"/>
          <w:szCs w:val="19"/>
        </w:rPr>
        <w:t>。食品工业中采用的热处理有不同的</w:t>
      </w:r>
      <w:r>
        <w:rPr>
          <w:rFonts w:ascii="宋体" w:eastAsia="宋体" w:hAnsi="宋体" w:cs="宋体"/>
          <w:spacing w:val="10"/>
          <w:sz w:val="19"/>
          <w:szCs w:val="19"/>
        </w:rPr>
        <w:t>方式和工艺，如：蒸煮、焙烤、热</w:t>
      </w:r>
      <w:r>
        <w:rPr>
          <w:rFonts w:ascii="宋体" w:eastAsia="宋体" w:hAnsi="宋体" w:cs="宋体"/>
          <w:sz w:val="19"/>
          <w:szCs w:val="19"/>
        </w:rPr>
        <w:t xml:space="preserve"> </w:t>
      </w:r>
      <w:r>
        <w:rPr>
          <w:rFonts w:ascii="宋体" w:eastAsia="宋体" w:hAnsi="宋体" w:cs="宋体"/>
          <w:spacing w:val="12"/>
          <w:sz w:val="19"/>
          <w:szCs w:val="19"/>
        </w:rPr>
        <w:t>杀菌、煎炸等，不同种类的热处理所达到的主要目的和作用也有不同，</w:t>
      </w:r>
      <w:r>
        <w:rPr>
          <w:rFonts w:ascii="宋体" w:eastAsia="宋体" w:hAnsi="宋体" w:cs="宋体"/>
          <w:spacing w:val="11"/>
          <w:sz w:val="19"/>
          <w:szCs w:val="19"/>
        </w:rPr>
        <w:t>但热处理过</w:t>
      </w:r>
      <w:r>
        <w:rPr>
          <w:rFonts w:ascii="宋体" w:eastAsia="宋体" w:hAnsi="宋体" w:cs="宋体"/>
          <w:sz w:val="19"/>
          <w:szCs w:val="19"/>
        </w:rPr>
        <w:t xml:space="preserve"> </w:t>
      </w:r>
      <w:r>
        <w:rPr>
          <w:rFonts w:ascii="宋体" w:eastAsia="宋体" w:hAnsi="宋体" w:cs="宋体"/>
          <w:spacing w:val="11"/>
          <w:sz w:val="19"/>
          <w:szCs w:val="19"/>
        </w:rPr>
        <w:t>程对微生物、酶和食品成分的作用以及传热原理和规律却</w:t>
      </w:r>
      <w:r>
        <w:rPr>
          <w:rFonts w:ascii="宋体" w:eastAsia="宋体" w:hAnsi="宋体" w:cs="宋体"/>
          <w:spacing w:val="10"/>
          <w:sz w:val="19"/>
          <w:szCs w:val="19"/>
        </w:rPr>
        <w:t>有相同和相近之处。</w:t>
      </w:r>
    </w:p>
    <w:p w:rsidR="00EA40A3" w:rsidRDefault="00E86C16">
      <w:pPr>
        <w:spacing w:before="107" w:line="279" w:lineRule="auto"/>
        <w:ind w:right="15" w:firstLine="349"/>
        <w:jc w:val="both"/>
        <w:rPr>
          <w:rFonts w:ascii="宋体" w:eastAsia="宋体" w:hAnsi="宋体" w:cs="宋体"/>
          <w:sz w:val="19"/>
          <w:szCs w:val="19"/>
        </w:rPr>
      </w:pPr>
      <w:r>
        <w:rPr>
          <w:rFonts w:ascii="宋体" w:eastAsia="宋体" w:hAnsi="宋体" w:cs="宋体"/>
          <w:spacing w:val="18"/>
          <w:sz w:val="19"/>
          <w:szCs w:val="19"/>
        </w:rPr>
        <w:t>热处理用于食品加工中可以杀死微生物、钝化酶，破坏食品中不需要或</w:t>
      </w:r>
      <w:r>
        <w:rPr>
          <w:rFonts w:ascii="宋体" w:eastAsia="宋体" w:hAnsi="宋体" w:cs="宋体"/>
          <w:spacing w:val="17"/>
          <w:sz w:val="19"/>
          <w:szCs w:val="19"/>
        </w:rPr>
        <w:t>有害</w:t>
      </w:r>
      <w:r>
        <w:rPr>
          <w:rFonts w:ascii="宋体" w:eastAsia="宋体" w:hAnsi="宋体" w:cs="宋体"/>
          <w:sz w:val="19"/>
          <w:szCs w:val="19"/>
        </w:rPr>
        <w:t xml:space="preserve">  </w:t>
      </w:r>
      <w:r>
        <w:rPr>
          <w:rFonts w:ascii="宋体" w:eastAsia="宋体" w:hAnsi="宋体" w:cs="宋体"/>
          <w:spacing w:val="17"/>
          <w:sz w:val="19"/>
          <w:szCs w:val="19"/>
        </w:rPr>
        <w:t>的成分和因子；改善食品的品质和特性、提高食品中营养成分的可利用率、可消</w:t>
      </w:r>
      <w:r>
        <w:rPr>
          <w:rFonts w:ascii="宋体" w:eastAsia="宋体" w:hAnsi="宋体" w:cs="宋体"/>
          <w:spacing w:val="1"/>
          <w:sz w:val="19"/>
          <w:szCs w:val="19"/>
        </w:rPr>
        <w:t xml:space="preserve">  </w:t>
      </w:r>
      <w:r>
        <w:rPr>
          <w:rFonts w:ascii="宋体" w:eastAsia="宋体" w:hAnsi="宋体" w:cs="宋体"/>
          <w:spacing w:val="18"/>
          <w:sz w:val="19"/>
          <w:szCs w:val="19"/>
        </w:rPr>
        <w:t>化性等。但热处理也易给食品带来一些负面影响：食品中的</w:t>
      </w:r>
      <w:r>
        <w:rPr>
          <w:rFonts w:ascii="宋体" w:eastAsia="宋体" w:hAnsi="宋体" w:cs="宋体"/>
          <w:spacing w:val="17"/>
          <w:sz w:val="19"/>
          <w:szCs w:val="19"/>
        </w:rPr>
        <w:t>营养成分，特别是热</w:t>
      </w:r>
      <w:r>
        <w:rPr>
          <w:rFonts w:ascii="宋体" w:eastAsia="宋体" w:hAnsi="宋体" w:cs="宋体"/>
          <w:sz w:val="19"/>
          <w:szCs w:val="19"/>
        </w:rPr>
        <w:t xml:space="preserve">  </w:t>
      </w:r>
      <w:r>
        <w:rPr>
          <w:rFonts w:ascii="宋体" w:eastAsia="宋体" w:hAnsi="宋体" w:cs="宋体"/>
          <w:spacing w:val="18"/>
          <w:sz w:val="19"/>
          <w:szCs w:val="19"/>
        </w:rPr>
        <w:t>敏性成分的损失；食品的色泽、口感劣化等。同时，热处理</w:t>
      </w:r>
      <w:r>
        <w:rPr>
          <w:rFonts w:ascii="宋体" w:eastAsia="宋体" w:hAnsi="宋体" w:cs="宋体"/>
          <w:spacing w:val="17"/>
          <w:sz w:val="19"/>
          <w:szCs w:val="19"/>
        </w:rPr>
        <w:t>对食品营养素和感官</w:t>
      </w:r>
      <w:r>
        <w:rPr>
          <w:rFonts w:ascii="宋体" w:eastAsia="宋体" w:hAnsi="宋体" w:cs="宋体"/>
          <w:sz w:val="19"/>
          <w:szCs w:val="19"/>
        </w:rPr>
        <w:t xml:space="preserve">  </w:t>
      </w:r>
      <w:r>
        <w:rPr>
          <w:rFonts w:ascii="宋体" w:eastAsia="宋体" w:hAnsi="宋体" w:cs="宋体"/>
          <w:spacing w:val="21"/>
          <w:sz w:val="19"/>
          <w:szCs w:val="19"/>
        </w:rPr>
        <w:t>品质的影响取决于食品的种类、营养素和感官指标的种类，以及</w:t>
      </w:r>
      <w:r>
        <w:rPr>
          <w:rFonts w:ascii="宋体" w:eastAsia="宋体" w:hAnsi="宋体" w:cs="宋体"/>
          <w:spacing w:val="-46"/>
          <w:sz w:val="19"/>
          <w:szCs w:val="19"/>
        </w:rPr>
        <w:t xml:space="preserve"> </w:t>
      </w:r>
      <w:r>
        <w:rPr>
          <w:rFonts w:ascii="宋体" w:eastAsia="宋体" w:hAnsi="宋体" w:cs="宋体"/>
          <w:sz w:val="19"/>
          <w:szCs w:val="19"/>
        </w:rPr>
        <w:t>pH</w:t>
      </w:r>
      <w:r>
        <w:rPr>
          <w:rFonts w:ascii="宋体" w:eastAsia="宋体" w:hAnsi="宋体" w:cs="宋体"/>
          <w:spacing w:val="60"/>
          <w:sz w:val="19"/>
          <w:szCs w:val="19"/>
        </w:rPr>
        <w:t xml:space="preserve"> </w:t>
      </w:r>
      <w:r>
        <w:rPr>
          <w:rFonts w:ascii="宋体" w:eastAsia="宋体" w:hAnsi="宋体" w:cs="宋体"/>
          <w:spacing w:val="21"/>
          <w:sz w:val="19"/>
          <w:szCs w:val="19"/>
        </w:rPr>
        <w:t>值、</w:t>
      </w:r>
      <w:r>
        <w:rPr>
          <w:rFonts w:ascii="宋体" w:eastAsia="宋体" w:hAnsi="宋体" w:cs="宋体"/>
          <w:spacing w:val="20"/>
          <w:sz w:val="19"/>
          <w:szCs w:val="19"/>
        </w:rPr>
        <w:t>水分、</w:t>
      </w:r>
      <w:r>
        <w:rPr>
          <w:rFonts w:ascii="宋体" w:eastAsia="宋体" w:hAnsi="宋体" w:cs="宋体"/>
          <w:sz w:val="19"/>
          <w:szCs w:val="19"/>
        </w:rPr>
        <w:t xml:space="preserve"> </w:t>
      </w:r>
      <w:r>
        <w:rPr>
          <w:rFonts w:ascii="宋体" w:eastAsia="宋体" w:hAnsi="宋体" w:cs="宋体"/>
          <w:spacing w:val="14"/>
          <w:sz w:val="19"/>
          <w:szCs w:val="19"/>
        </w:rPr>
        <w:t>氧气含量和缓冲盐类等一些热处理时的条件。</w:t>
      </w:r>
    </w:p>
    <w:p w:rsidR="00EA40A3" w:rsidRDefault="00EA40A3">
      <w:pPr>
        <w:sectPr w:rsidR="00EA40A3">
          <w:footerReference w:type="default" r:id="rId202"/>
          <w:pgSz w:w="9220" w:h="13360"/>
          <w:pgMar w:top="400" w:right="959" w:bottom="1293" w:left="890" w:header="0" w:footer="1046" w:gutter="0"/>
          <w:cols w:space="720"/>
        </w:sectPr>
      </w:pPr>
    </w:p>
    <w:p w:rsidR="00EA40A3" w:rsidRDefault="00EA40A3"/>
    <w:p w:rsidR="00EA40A3" w:rsidRDefault="00EA40A3">
      <w:pPr>
        <w:spacing w:line="241" w:lineRule="auto"/>
      </w:pPr>
    </w:p>
    <w:p w:rsidR="00EA40A3" w:rsidRDefault="00EA40A3">
      <w:pPr>
        <w:spacing w:line="241" w:lineRule="auto"/>
      </w:pPr>
    </w:p>
    <w:p w:rsidR="00EA40A3" w:rsidRDefault="00E86C16">
      <w:pPr>
        <w:spacing w:before="69" w:line="222" w:lineRule="auto"/>
        <w:ind w:left="49"/>
        <w:rPr>
          <w:rFonts w:ascii="仿宋" w:eastAsia="仿宋" w:hAnsi="仿宋" w:cs="仿宋"/>
        </w:rPr>
      </w:pPr>
      <w:r>
        <w:rPr>
          <w:rFonts w:ascii="仿宋" w:eastAsia="仿宋" w:hAnsi="仿宋" w:cs="仿宋"/>
          <w:spacing w:val="20"/>
        </w:rPr>
        <w:t>1.</w:t>
      </w:r>
      <w:r>
        <w:rPr>
          <w:rFonts w:ascii="仿宋" w:eastAsia="仿宋" w:hAnsi="仿宋" w:cs="仿宋"/>
          <w:spacing w:val="36"/>
        </w:rPr>
        <w:t xml:space="preserve"> </w:t>
      </w:r>
      <w:r>
        <w:rPr>
          <w:rFonts w:ascii="仿宋" w:eastAsia="仿宋" w:hAnsi="仿宋" w:cs="仿宋"/>
          <w:spacing w:val="20"/>
        </w:rPr>
        <w:t>热处理对维生素的影响</w:t>
      </w:r>
    </w:p>
    <w:p w:rsidR="00EA40A3" w:rsidRDefault="00E86C16">
      <w:pPr>
        <w:spacing w:before="180" w:line="247" w:lineRule="auto"/>
        <w:ind w:left="49" w:right="57" w:firstLine="430"/>
        <w:jc w:val="both"/>
        <w:rPr>
          <w:rFonts w:ascii="宋体" w:eastAsia="宋体" w:hAnsi="宋体" w:cs="宋体"/>
        </w:rPr>
      </w:pPr>
      <w:r>
        <w:rPr>
          <w:rFonts w:ascii="宋体" w:eastAsia="宋体" w:hAnsi="宋体" w:cs="宋体"/>
          <w:spacing w:val="-2"/>
        </w:rPr>
        <w:t>热处理造成的营养素的损失研究最多的是维生素。脂溶性维生素</w:t>
      </w:r>
      <w:r>
        <w:rPr>
          <w:rFonts w:ascii="宋体" w:eastAsia="宋体" w:hAnsi="宋体" w:cs="宋体"/>
          <w:spacing w:val="-3"/>
        </w:rPr>
        <w:t>一般比水溶</w:t>
      </w:r>
      <w:r>
        <w:rPr>
          <w:rFonts w:ascii="宋体" w:eastAsia="宋体" w:hAnsi="宋体" w:cs="宋体"/>
        </w:rPr>
        <w:t xml:space="preserve"> </w:t>
      </w:r>
      <w:r>
        <w:rPr>
          <w:rFonts w:ascii="宋体" w:eastAsia="宋体" w:hAnsi="宋体" w:cs="宋体"/>
          <w:spacing w:val="2"/>
        </w:rPr>
        <w:t>性维生素的热稳定性强，热稳定性最差的是维生素C、</w:t>
      </w:r>
      <w:r>
        <w:rPr>
          <w:rFonts w:ascii="宋体" w:eastAsia="宋体" w:hAnsi="宋体" w:cs="宋体"/>
          <w:spacing w:val="-23"/>
        </w:rPr>
        <w:t xml:space="preserve"> </w:t>
      </w:r>
      <w:r>
        <w:rPr>
          <w:rFonts w:ascii="宋体" w:eastAsia="宋体" w:hAnsi="宋体" w:cs="宋体"/>
          <w:spacing w:val="2"/>
        </w:rPr>
        <w:t>维生素</w:t>
      </w:r>
      <w:r>
        <w:rPr>
          <w:rFonts w:ascii="宋体" w:eastAsia="宋体" w:hAnsi="宋体" w:cs="宋体"/>
          <w:spacing w:val="1"/>
        </w:rPr>
        <w:t>B</w:t>
      </w:r>
      <w:r>
        <w:rPr>
          <w:rFonts w:ascii="Calibri" w:eastAsia="Calibri" w:hAnsi="Calibri" w:cs="Calibri"/>
          <w:spacing w:val="1"/>
        </w:rPr>
        <w:t>₁</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48"/>
        </w:rPr>
        <w:t xml:space="preserve"> </w:t>
      </w:r>
      <w:r>
        <w:rPr>
          <w:rFonts w:ascii="宋体" w:eastAsia="宋体" w:hAnsi="宋体" w:cs="宋体"/>
          <w:spacing w:val="1"/>
        </w:rPr>
        <w:t>维生素B</w:t>
      </w:r>
      <w:r>
        <w:rPr>
          <w:rFonts w:ascii="Calibri" w:eastAsia="Calibri" w:hAnsi="Calibri" w:cs="Calibri"/>
          <w:spacing w:val="1"/>
        </w:rPr>
        <w:t>₂</w:t>
      </w:r>
      <w:r>
        <w:rPr>
          <w:rFonts w:ascii="Calibri" w:eastAsia="Calibri" w:hAnsi="Calibri" w:cs="Calibri"/>
          <w:spacing w:val="6"/>
        </w:rPr>
        <w:t xml:space="preserve">  </w:t>
      </w:r>
      <w:r>
        <w:rPr>
          <w:rFonts w:ascii="宋体" w:eastAsia="宋体" w:hAnsi="宋体" w:cs="宋体"/>
          <w:spacing w:val="1"/>
        </w:rPr>
        <w:t xml:space="preserve">和 </w:t>
      </w:r>
      <w:r>
        <w:rPr>
          <w:rFonts w:ascii="宋体" w:eastAsia="宋体" w:hAnsi="宋体" w:cs="宋体"/>
          <w:spacing w:val="-1"/>
        </w:rPr>
        <w:t>维生素D,</w:t>
      </w:r>
      <w:r>
        <w:rPr>
          <w:rFonts w:ascii="宋体" w:eastAsia="宋体" w:hAnsi="宋体" w:cs="宋体"/>
          <w:spacing w:val="29"/>
        </w:rPr>
        <w:t xml:space="preserve"> </w:t>
      </w:r>
      <w:r>
        <w:rPr>
          <w:rFonts w:ascii="宋体" w:eastAsia="宋体" w:hAnsi="宋体" w:cs="宋体"/>
          <w:spacing w:val="-1"/>
        </w:rPr>
        <w:t>其他维生素在杀菌加热时变化不大</w:t>
      </w:r>
      <w:r>
        <w:rPr>
          <w:rFonts w:ascii="宋体" w:eastAsia="宋体" w:hAnsi="宋体" w:cs="宋体"/>
          <w:spacing w:val="-2"/>
        </w:rPr>
        <w:t>。</w:t>
      </w:r>
    </w:p>
    <w:p w:rsidR="00EA40A3" w:rsidRDefault="00E86C16">
      <w:pPr>
        <w:spacing w:before="73" w:line="250" w:lineRule="auto"/>
        <w:ind w:left="49" w:right="22" w:firstLine="430"/>
        <w:jc w:val="both"/>
        <w:rPr>
          <w:rFonts w:ascii="宋体" w:eastAsia="宋体" w:hAnsi="宋体" w:cs="宋体"/>
        </w:rPr>
      </w:pPr>
      <w:r>
        <w:rPr>
          <w:rFonts w:ascii="宋体" w:eastAsia="宋体" w:hAnsi="宋体" w:cs="宋体"/>
          <w:spacing w:val="14"/>
        </w:rPr>
        <w:t>如蔬菜等通过杀青处理后，维生素B</w:t>
      </w:r>
      <w:r>
        <w:rPr>
          <w:rFonts w:ascii="Calibri" w:eastAsia="Calibri" w:hAnsi="Calibri" w:cs="Calibri"/>
          <w:spacing w:val="14"/>
        </w:rPr>
        <w:t>₁</w:t>
      </w:r>
      <w:r>
        <w:rPr>
          <w:rFonts w:ascii="Calibri" w:eastAsia="Calibri" w:hAnsi="Calibri" w:cs="Calibri"/>
          <w:spacing w:val="11"/>
          <w:w w:val="101"/>
        </w:rPr>
        <w:t xml:space="preserve">  </w:t>
      </w:r>
      <w:r>
        <w:rPr>
          <w:rFonts w:ascii="宋体" w:eastAsia="宋体" w:hAnsi="宋体" w:cs="宋体"/>
          <w:spacing w:val="14"/>
        </w:rPr>
        <w:t>损失约5%～10%,维生素C</w:t>
      </w:r>
      <w:r>
        <w:rPr>
          <w:rFonts w:ascii="宋体" w:eastAsia="宋体" w:hAnsi="宋体" w:cs="宋体"/>
          <w:spacing w:val="7"/>
        </w:rPr>
        <w:t xml:space="preserve"> </w:t>
      </w:r>
      <w:r>
        <w:rPr>
          <w:rFonts w:ascii="宋体" w:eastAsia="宋体" w:hAnsi="宋体" w:cs="宋体"/>
          <w:spacing w:val="14"/>
        </w:rPr>
        <w:t>损失约</w:t>
      </w:r>
      <w:r>
        <w:rPr>
          <w:rFonts w:ascii="宋体" w:eastAsia="宋体" w:hAnsi="宋体" w:cs="宋体"/>
        </w:rPr>
        <w:t xml:space="preserve"> </w:t>
      </w:r>
      <w:r>
        <w:rPr>
          <w:rFonts w:ascii="宋体" w:eastAsia="宋体" w:hAnsi="宋体" w:cs="宋体"/>
          <w:spacing w:val="23"/>
        </w:rPr>
        <w:t>10%～30%。通过装罐杀菌，前者损失40%～60%,后者损失约50%～80%。</w:t>
      </w:r>
      <w:r>
        <w:rPr>
          <w:rFonts w:ascii="宋体" w:eastAsia="宋体" w:hAnsi="宋体" w:cs="宋体"/>
        </w:rPr>
        <w:t xml:space="preserve"> </w:t>
      </w:r>
      <w:r>
        <w:rPr>
          <w:rFonts w:ascii="宋体" w:eastAsia="宋体" w:hAnsi="宋体" w:cs="宋体"/>
          <w:spacing w:val="-4"/>
        </w:rPr>
        <w:t>总的来说高温对食品物料中的维生素均有不同程度的破坏。</w:t>
      </w:r>
    </w:p>
    <w:p w:rsidR="00EA40A3" w:rsidRDefault="00E86C16">
      <w:pPr>
        <w:spacing w:before="70" w:line="258" w:lineRule="auto"/>
        <w:ind w:left="49" w:right="2" w:firstLine="430"/>
        <w:jc w:val="both"/>
        <w:rPr>
          <w:rFonts w:ascii="宋体" w:eastAsia="宋体" w:hAnsi="宋体" w:cs="宋体"/>
        </w:rPr>
      </w:pPr>
      <w:r>
        <w:rPr>
          <w:rFonts w:ascii="宋体" w:eastAsia="宋体" w:hAnsi="宋体" w:cs="宋体"/>
          <w:spacing w:val="-6"/>
        </w:rPr>
        <w:t>肉品在受到高温加热时，特别是在121℃下长时间受热，肉中含有的人体必需</w:t>
      </w:r>
      <w:r>
        <w:rPr>
          <w:rFonts w:ascii="宋体" w:eastAsia="宋体" w:hAnsi="宋体" w:cs="宋体"/>
          <w:spacing w:val="16"/>
        </w:rPr>
        <w:t xml:space="preserve"> </w:t>
      </w:r>
      <w:r>
        <w:rPr>
          <w:rFonts w:ascii="宋体" w:eastAsia="宋体" w:hAnsi="宋体" w:cs="宋体"/>
          <w:spacing w:val="-8"/>
        </w:rPr>
        <w:t>氨基酸会遭到严重破坏，肉中蛋白质的营养价值会大大降低。肉中的维生</w:t>
      </w:r>
      <w:r>
        <w:rPr>
          <w:rFonts w:ascii="宋体" w:eastAsia="宋体" w:hAnsi="宋体" w:cs="宋体"/>
          <w:spacing w:val="-9"/>
        </w:rPr>
        <w:t>素包括维</w:t>
      </w:r>
      <w:r>
        <w:rPr>
          <w:rFonts w:ascii="宋体" w:eastAsia="宋体" w:hAnsi="宋体" w:cs="宋体"/>
        </w:rPr>
        <w:t xml:space="preserve"> </w:t>
      </w:r>
      <w:r>
        <w:rPr>
          <w:rFonts w:ascii="宋体" w:eastAsia="宋体" w:hAnsi="宋体" w:cs="宋体"/>
          <w:spacing w:val="-5"/>
        </w:rPr>
        <w:t>生素B、</w:t>
      </w:r>
      <w:r>
        <w:rPr>
          <w:rFonts w:ascii="宋体" w:eastAsia="宋体" w:hAnsi="宋体" w:cs="宋体"/>
          <w:spacing w:val="26"/>
        </w:rPr>
        <w:t xml:space="preserve"> </w:t>
      </w:r>
      <w:r>
        <w:rPr>
          <w:rFonts w:ascii="宋体" w:eastAsia="宋体" w:hAnsi="宋体" w:cs="宋体"/>
          <w:spacing w:val="-5"/>
        </w:rPr>
        <w:t>维生素B2、</w:t>
      </w:r>
      <w:r>
        <w:rPr>
          <w:rFonts w:ascii="宋体" w:eastAsia="宋体" w:hAnsi="宋体" w:cs="宋体"/>
          <w:spacing w:val="-56"/>
        </w:rPr>
        <w:t xml:space="preserve"> </w:t>
      </w:r>
      <w:r>
        <w:rPr>
          <w:rFonts w:ascii="宋体" w:eastAsia="宋体" w:hAnsi="宋体" w:cs="宋体"/>
          <w:spacing w:val="-5"/>
        </w:rPr>
        <w:t>尼克酸、维生素B、</w:t>
      </w:r>
      <w:r>
        <w:rPr>
          <w:rFonts w:ascii="宋体" w:eastAsia="宋体" w:hAnsi="宋体" w:cs="宋体"/>
          <w:spacing w:val="36"/>
        </w:rPr>
        <w:t xml:space="preserve"> </w:t>
      </w:r>
      <w:r>
        <w:rPr>
          <w:rFonts w:ascii="宋体" w:eastAsia="宋体" w:hAnsi="宋体" w:cs="宋体"/>
          <w:spacing w:val="-5"/>
        </w:rPr>
        <w:t>叶酸等</w:t>
      </w:r>
      <w:r>
        <w:rPr>
          <w:rFonts w:ascii="宋体" w:eastAsia="宋体" w:hAnsi="宋体" w:cs="宋体"/>
          <w:spacing w:val="-6"/>
        </w:rPr>
        <w:t>，这些维生素在受热时，也会受</w:t>
      </w:r>
      <w:r>
        <w:rPr>
          <w:rFonts w:ascii="宋体" w:eastAsia="宋体" w:hAnsi="宋体" w:cs="宋体"/>
        </w:rPr>
        <w:t xml:space="preserve"> 到一定的损失；特别是维生素B,</w:t>
      </w:r>
      <w:r>
        <w:rPr>
          <w:rFonts w:ascii="宋体" w:eastAsia="宋体" w:hAnsi="宋体" w:cs="宋体"/>
          <w:spacing w:val="98"/>
        </w:rPr>
        <w:t xml:space="preserve"> </w:t>
      </w:r>
      <w:r>
        <w:rPr>
          <w:rFonts w:ascii="宋体" w:eastAsia="宋体" w:hAnsi="宋体" w:cs="宋体"/>
        </w:rPr>
        <w:t xml:space="preserve">在中性及碱性溶液中遇热，很容易受到破坏， </w:t>
      </w:r>
      <w:r>
        <w:rPr>
          <w:rFonts w:ascii="宋体" w:eastAsia="宋体" w:hAnsi="宋体" w:cs="宋体"/>
          <w:spacing w:val="6"/>
        </w:rPr>
        <w:t>加热过程会损失15%～25%(而在酸性溶液中，可以耐受120℃的高温)。当猪肉</w:t>
      </w:r>
      <w:r>
        <w:rPr>
          <w:rFonts w:ascii="宋体" w:eastAsia="宋体" w:hAnsi="宋体" w:cs="宋体"/>
          <w:spacing w:val="10"/>
        </w:rPr>
        <w:t xml:space="preserve"> </w:t>
      </w:r>
      <w:r>
        <w:rPr>
          <w:rFonts w:ascii="宋体" w:eastAsia="宋体" w:hAnsi="宋体" w:cs="宋体"/>
          <w:spacing w:val="1"/>
        </w:rPr>
        <w:t>和牛肉在100℃的水中受热蒸煮1～3h,</w:t>
      </w:r>
      <w:r>
        <w:rPr>
          <w:rFonts w:ascii="宋体" w:eastAsia="宋体" w:hAnsi="宋体" w:cs="宋体"/>
        </w:rPr>
        <w:t xml:space="preserve"> </w:t>
      </w:r>
      <w:r>
        <w:rPr>
          <w:rFonts w:ascii="宋体" w:eastAsia="宋体" w:hAnsi="宋体" w:cs="宋体"/>
          <w:spacing w:val="1"/>
        </w:rPr>
        <w:t>吡哆酸</w:t>
      </w:r>
      <w:r>
        <w:rPr>
          <w:rFonts w:ascii="宋体" w:eastAsia="宋体" w:hAnsi="宋体" w:cs="宋体"/>
        </w:rPr>
        <w:t xml:space="preserve">的损失较多。在121℃的情况下受 </w:t>
      </w:r>
      <w:r>
        <w:rPr>
          <w:rFonts w:ascii="宋体" w:eastAsia="宋体" w:hAnsi="宋体" w:cs="宋体"/>
          <w:spacing w:val="6"/>
        </w:rPr>
        <w:t>热</w:t>
      </w:r>
      <w:r>
        <w:rPr>
          <w:rFonts w:ascii="宋体" w:eastAsia="宋体" w:hAnsi="宋体" w:cs="宋体"/>
          <w:spacing w:val="10"/>
        </w:rPr>
        <w:t xml:space="preserve"> </w:t>
      </w:r>
      <w:r>
        <w:rPr>
          <w:rFonts w:ascii="宋体" w:eastAsia="宋体" w:hAnsi="宋体" w:cs="宋体"/>
          <w:spacing w:val="6"/>
        </w:rPr>
        <w:t>1h后，猪肉中的吡哆酸的损失率将达61.5%,牛肉中的吡哆酸的损失率将达</w:t>
      </w:r>
      <w:r>
        <w:rPr>
          <w:rFonts w:ascii="宋体" w:eastAsia="宋体" w:hAnsi="宋体" w:cs="宋体"/>
        </w:rPr>
        <w:t xml:space="preserve"> </w:t>
      </w:r>
      <w:r>
        <w:rPr>
          <w:rFonts w:ascii="宋体" w:eastAsia="宋体" w:hAnsi="宋体" w:cs="宋体"/>
          <w:spacing w:val="-5"/>
        </w:rPr>
        <w:t>63%。在长时间受热或者制作罐头时，叶酸也会有较大的损失。</w:t>
      </w:r>
    </w:p>
    <w:p w:rsidR="00EA40A3" w:rsidRDefault="00E86C16">
      <w:pPr>
        <w:spacing w:before="104" w:line="256" w:lineRule="auto"/>
        <w:ind w:left="49" w:firstLine="430"/>
        <w:jc w:val="both"/>
        <w:rPr>
          <w:rFonts w:ascii="宋体" w:eastAsia="宋体" w:hAnsi="宋体" w:cs="宋体"/>
        </w:rPr>
      </w:pPr>
      <w:r>
        <w:rPr>
          <w:rFonts w:ascii="宋体" w:eastAsia="宋体" w:hAnsi="宋体" w:cs="宋体"/>
          <w:spacing w:val="-3"/>
        </w:rPr>
        <w:t>不同的热加工方式对维生素的影响不同。超高温</w:t>
      </w:r>
      <w:r>
        <w:rPr>
          <w:rFonts w:ascii="宋体" w:eastAsia="宋体" w:hAnsi="宋体" w:cs="宋体"/>
          <w:spacing w:val="-32"/>
        </w:rPr>
        <w:t xml:space="preserve"> </w:t>
      </w:r>
      <w:r>
        <w:rPr>
          <w:rFonts w:ascii="宋体" w:eastAsia="宋体" w:hAnsi="宋体" w:cs="宋体"/>
          <w:spacing w:val="-3"/>
        </w:rPr>
        <w:t>(UHT)</w:t>
      </w:r>
      <w:r>
        <w:rPr>
          <w:rFonts w:ascii="宋体" w:eastAsia="宋体" w:hAnsi="宋体" w:cs="宋体"/>
          <w:spacing w:val="5"/>
        </w:rPr>
        <w:t xml:space="preserve">   </w:t>
      </w:r>
      <w:r>
        <w:rPr>
          <w:rFonts w:ascii="宋体" w:eastAsia="宋体" w:hAnsi="宋体" w:cs="宋体"/>
          <w:spacing w:val="-3"/>
        </w:rPr>
        <w:t>杀菌、巴氏杀菌、</w:t>
      </w:r>
      <w:r>
        <w:rPr>
          <w:rFonts w:ascii="宋体" w:eastAsia="宋体" w:hAnsi="宋体" w:cs="宋体"/>
        </w:rPr>
        <w:t xml:space="preserve"> </w:t>
      </w:r>
      <w:r>
        <w:rPr>
          <w:rFonts w:ascii="宋体" w:eastAsia="宋体" w:hAnsi="宋体" w:cs="宋体"/>
          <w:spacing w:val="-2"/>
        </w:rPr>
        <w:t>高温短时</w:t>
      </w:r>
      <w:r>
        <w:rPr>
          <w:rFonts w:ascii="宋体" w:eastAsia="宋体" w:hAnsi="宋体" w:cs="宋体"/>
          <w:spacing w:val="-10"/>
        </w:rPr>
        <w:t xml:space="preserve"> </w:t>
      </w:r>
      <w:r>
        <w:rPr>
          <w:rFonts w:ascii="宋体" w:eastAsia="宋体" w:hAnsi="宋体" w:cs="宋体"/>
          <w:spacing w:val="-2"/>
        </w:rPr>
        <w:t>(HTST)</w:t>
      </w:r>
      <w:r>
        <w:rPr>
          <w:rFonts w:ascii="宋体" w:eastAsia="宋体" w:hAnsi="宋体" w:cs="宋体"/>
          <w:spacing w:val="3"/>
        </w:rPr>
        <w:t xml:space="preserve">   </w:t>
      </w:r>
      <w:r>
        <w:rPr>
          <w:rFonts w:ascii="宋体" w:eastAsia="宋体" w:hAnsi="宋体" w:cs="宋体"/>
          <w:spacing w:val="-2"/>
        </w:rPr>
        <w:t>巴氏杀菌等不同工艺下，维生素的损失不同。牛乳和果汁通</w:t>
      </w:r>
      <w:r>
        <w:rPr>
          <w:rFonts w:ascii="宋体" w:eastAsia="宋体" w:hAnsi="宋体" w:cs="宋体"/>
          <w:spacing w:val="1"/>
        </w:rPr>
        <w:t xml:space="preserve"> 常用超高温</w:t>
      </w:r>
      <w:r>
        <w:rPr>
          <w:rFonts w:ascii="宋体" w:eastAsia="宋体" w:hAnsi="宋体" w:cs="宋体"/>
          <w:spacing w:val="-23"/>
        </w:rPr>
        <w:t xml:space="preserve"> </w:t>
      </w:r>
      <w:r>
        <w:rPr>
          <w:rFonts w:ascii="宋体" w:eastAsia="宋体" w:hAnsi="宋体" w:cs="宋体"/>
          <w:spacing w:val="1"/>
        </w:rPr>
        <w:t>(</w:t>
      </w:r>
      <w:r>
        <w:rPr>
          <w:rFonts w:ascii="宋体" w:eastAsia="宋体" w:hAnsi="宋体" w:cs="宋体"/>
        </w:rPr>
        <w:t>UHT</w:t>
      </w:r>
      <w:r>
        <w:rPr>
          <w:rFonts w:ascii="宋体" w:eastAsia="宋体" w:hAnsi="宋体" w:cs="宋体"/>
          <w:spacing w:val="1"/>
        </w:rPr>
        <w:t>)</w:t>
      </w:r>
      <w:r>
        <w:rPr>
          <w:rFonts w:ascii="宋体" w:eastAsia="宋体" w:hAnsi="宋体" w:cs="宋体"/>
          <w:spacing w:val="50"/>
        </w:rPr>
        <w:t xml:space="preserve">  </w:t>
      </w:r>
      <w:r>
        <w:rPr>
          <w:rFonts w:ascii="宋体" w:eastAsia="宋体" w:hAnsi="宋体" w:cs="宋体"/>
          <w:spacing w:val="1"/>
        </w:rPr>
        <w:t>杀菌，脂溶性维生素</w:t>
      </w:r>
      <w:r>
        <w:rPr>
          <w:rFonts w:ascii="宋体" w:eastAsia="宋体" w:hAnsi="宋体" w:cs="宋体"/>
          <w:spacing w:val="-15"/>
        </w:rPr>
        <w:t xml:space="preserve"> </w:t>
      </w:r>
      <w:r>
        <w:rPr>
          <w:rFonts w:ascii="宋体" w:eastAsia="宋体" w:hAnsi="宋体" w:cs="宋体"/>
          <w:spacing w:val="1"/>
        </w:rPr>
        <w:t>(A、D、E、K)</w:t>
      </w:r>
      <w:r>
        <w:rPr>
          <w:rFonts w:ascii="宋体" w:eastAsia="宋体" w:hAnsi="宋体" w:cs="宋体"/>
          <w:spacing w:val="16"/>
        </w:rPr>
        <w:t xml:space="preserve">   </w:t>
      </w:r>
      <w:r>
        <w:rPr>
          <w:rFonts w:ascii="宋体" w:eastAsia="宋体" w:hAnsi="宋体" w:cs="宋体"/>
          <w:spacing w:val="1"/>
        </w:rPr>
        <w:t>损失很少</w:t>
      </w:r>
      <w:r>
        <w:rPr>
          <w:rFonts w:ascii="宋体" w:eastAsia="宋体" w:hAnsi="宋体" w:cs="宋体"/>
        </w:rPr>
        <w:t>。牛乳中</w:t>
      </w:r>
      <w:r>
        <w:rPr>
          <w:rFonts w:ascii="宋体" w:eastAsia="宋体" w:hAnsi="宋体" w:cs="宋体"/>
          <w:spacing w:val="2"/>
        </w:rPr>
        <w:t xml:space="preserve"> </w:t>
      </w:r>
      <w:r>
        <w:rPr>
          <w:rFonts w:ascii="宋体" w:eastAsia="宋体" w:hAnsi="宋体" w:cs="宋体"/>
          <w:spacing w:val="4"/>
        </w:rPr>
        <w:t>的水溶性维生素在</w:t>
      </w:r>
      <w:r>
        <w:rPr>
          <w:rFonts w:ascii="宋体" w:eastAsia="宋体" w:hAnsi="宋体" w:cs="宋体"/>
        </w:rPr>
        <w:t>HTST</w:t>
      </w:r>
      <w:r>
        <w:rPr>
          <w:rFonts w:ascii="宋体" w:eastAsia="宋体" w:hAnsi="宋体" w:cs="宋体"/>
          <w:spacing w:val="23"/>
        </w:rPr>
        <w:t xml:space="preserve">  </w:t>
      </w:r>
      <w:r>
        <w:rPr>
          <w:rFonts w:ascii="宋体" w:eastAsia="宋体" w:hAnsi="宋体" w:cs="宋体"/>
          <w:spacing w:val="4"/>
        </w:rPr>
        <w:t>巴氏杀菌时仅维生素B</w:t>
      </w:r>
      <w:r>
        <w:rPr>
          <w:rFonts w:ascii="Calibri" w:eastAsia="Calibri" w:hAnsi="Calibri" w:cs="Calibri"/>
          <w:spacing w:val="4"/>
        </w:rPr>
        <w:t>₁</w:t>
      </w:r>
      <w:r>
        <w:rPr>
          <w:rFonts w:ascii="Calibri" w:eastAsia="Calibri" w:hAnsi="Calibri" w:cs="Calibri"/>
          <w:spacing w:val="-23"/>
        </w:rPr>
        <w:t xml:space="preserve"> </w:t>
      </w:r>
      <w:r>
        <w:rPr>
          <w:rFonts w:ascii="宋体" w:eastAsia="宋体" w:hAnsi="宋体" w:cs="宋体"/>
          <w:spacing w:val="4"/>
        </w:rPr>
        <w:t>、</w:t>
      </w:r>
      <w:r>
        <w:rPr>
          <w:rFonts w:ascii="宋体" w:eastAsia="宋体" w:hAnsi="宋体" w:cs="宋体"/>
          <w:spacing w:val="-39"/>
        </w:rPr>
        <w:t xml:space="preserve"> </w:t>
      </w:r>
      <w:r>
        <w:rPr>
          <w:rFonts w:ascii="宋体" w:eastAsia="宋体" w:hAnsi="宋体" w:cs="宋体"/>
          <w:spacing w:val="4"/>
        </w:rPr>
        <w:t>维生素</w:t>
      </w:r>
      <w:r>
        <w:rPr>
          <w:rFonts w:ascii="宋体" w:eastAsia="宋体" w:hAnsi="宋体" w:cs="宋体"/>
        </w:rPr>
        <w:t>Bz</w:t>
      </w:r>
      <w:r>
        <w:rPr>
          <w:rFonts w:ascii="宋体" w:eastAsia="宋体" w:hAnsi="宋体" w:cs="宋体"/>
          <w:spacing w:val="4"/>
        </w:rPr>
        <w:t>、</w:t>
      </w:r>
      <w:r>
        <w:rPr>
          <w:rFonts w:ascii="宋体" w:eastAsia="宋体" w:hAnsi="宋体" w:cs="宋体"/>
          <w:spacing w:val="25"/>
        </w:rPr>
        <w:t xml:space="preserve"> </w:t>
      </w:r>
      <w:r>
        <w:rPr>
          <w:rFonts w:ascii="宋体" w:eastAsia="宋体" w:hAnsi="宋体" w:cs="宋体"/>
          <w:spacing w:val="4"/>
        </w:rPr>
        <w:t>维生素C</w:t>
      </w:r>
      <w:r>
        <w:rPr>
          <w:rFonts w:ascii="宋体" w:eastAsia="宋体" w:hAnsi="宋体" w:cs="宋体"/>
          <w:spacing w:val="6"/>
        </w:rPr>
        <w:t xml:space="preserve"> </w:t>
      </w:r>
      <w:r>
        <w:rPr>
          <w:rFonts w:ascii="宋体" w:eastAsia="宋体" w:hAnsi="宋体" w:cs="宋体"/>
          <w:spacing w:val="4"/>
        </w:rPr>
        <w:t>和叶</w:t>
      </w:r>
      <w:r>
        <w:rPr>
          <w:rFonts w:ascii="宋体" w:eastAsia="宋体" w:hAnsi="宋体" w:cs="宋体"/>
        </w:rPr>
        <w:t xml:space="preserve"> </w:t>
      </w:r>
      <w:r>
        <w:rPr>
          <w:rFonts w:ascii="宋体" w:eastAsia="宋体" w:hAnsi="宋体" w:cs="宋体"/>
          <w:spacing w:val="14"/>
        </w:rPr>
        <w:t>酸有一定损失(0%～10%);但是，采用</w:t>
      </w:r>
      <w:r>
        <w:rPr>
          <w:rFonts w:ascii="宋体" w:eastAsia="宋体" w:hAnsi="宋体" w:cs="宋体"/>
        </w:rPr>
        <w:t>UHT</w:t>
      </w:r>
      <w:r>
        <w:rPr>
          <w:rFonts w:ascii="宋体" w:eastAsia="宋体" w:hAnsi="宋体" w:cs="宋体"/>
          <w:spacing w:val="9"/>
        </w:rPr>
        <w:t xml:space="preserve">  </w:t>
      </w:r>
      <w:r>
        <w:rPr>
          <w:rFonts w:ascii="宋体" w:eastAsia="宋体" w:hAnsi="宋体" w:cs="宋体"/>
          <w:spacing w:val="13"/>
        </w:rPr>
        <w:t>杀菌时，维生素B</w:t>
      </w:r>
      <w:r>
        <w:rPr>
          <w:rFonts w:ascii="Calibri" w:eastAsia="Calibri" w:hAnsi="Calibri" w:cs="Calibri"/>
          <w:spacing w:val="13"/>
        </w:rPr>
        <w:t>₁</w:t>
      </w:r>
      <w:r>
        <w:rPr>
          <w:rFonts w:ascii="Calibri" w:eastAsia="Calibri" w:hAnsi="Calibri" w:cs="Calibri"/>
          <w:spacing w:val="-25"/>
        </w:rPr>
        <w:t xml:space="preserve"> </w:t>
      </w:r>
      <w:r>
        <w:rPr>
          <w:rFonts w:ascii="宋体" w:eastAsia="宋体" w:hAnsi="宋体" w:cs="宋体"/>
          <w:spacing w:val="13"/>
        </w:rPr>
        <w:t>、</w:t>
      </w:r>
      <w:r>
        <w:rPr>
          <w:rFonts w:ascii="宋体" w:eastAsia="宋体" w:hAnsi="宋体" w:cs="宋体"/>
          <w:spacing w:val="-48"/>
        </w:rPr>
        <w:t xml:space="preserve"> </w:t>
      </w:r>
      <w:r>
        <w:rPr>
          <w:rFonts w:ascii="宋体" w:eastAsia="宋体" w:hAnsi="宋体" w:cs="宋体"/>
          <w:spacing w:val="13"/>
        </w:rPr>
        <w:t>维生素B</w:t>
      </w:r>
      <w:r>
        <w:rPr>
          <w:rFonts w:ascii="Calibri" w:eastAsia="Calibri" w:hAnsi="Calibri" w:cs="Calibri"/>
          <w:spacing w:val="13"/>
        </w:rPr>
        <w:t>₂</w:t>
      </w:r>
      <w:r>
        <w:rPr>
          <w:rFonts w:ascii="Calibri" w:eastAsia="Calibri" w:hAnsi="Calibri" w:cs="Calibri"/>
          <w:spacing w:val="-24"/>
        </w:rPr>
        <w:t xml:space="preserve"> </w:t>
      </w:r>
      <w:r>
        <w:rPr>
          <w:rFonts w:ascii="宋体" w:eastAsia="宋体" w:hAnsi="宋体" w:cs="宋体"/>
          <w:spacing w:val="13"/>
        </w:rPr>
        <w:t>、</w:t>
      </w:r>
      <w:r>
        <w:rPr>
          <w:rFonts w:ascii="宋体" w:eastAsia="宋体" w:hAnsi="宋体" w:cs="宋体"/>
        </w:rPr>
        <w:t xml:space="preserve"> </w:t>
      </w:r>
      <w:r>
        <w:rPr>
          <w:rFonts w:ascii="宋体" w:eastAsia="宋体" w:hAnsi="宋体" w:cs="宋体"/>
          <w:spacing w:val="1"/>
        </w:rPr>
        <w:t>维生素B。和维生素</w:t>
      </w:r>
      <w:r>
        <w:rPr>
          <w:rFonts w:ascii="宋体" w:eastAsia="宋体" w:hAnsi="宋体" w:cs="宋体"/>
          <w:spacing w:val="-38"/>
        </w:rPr>
        <w:t xml:space="preserve"> </w:t>
      </w:r>
      <w:r>
        <w:rPr>
          <w:rFonts w:ascii="宋体" w:eastAsia="宋体" w:hAnsi="宋体" w:cs="宋体"/>
          <w:spacing w:val="1"/>
        </w:rPr>
        <w:t>B</w:t>
      </w:r>
      <w:r>
        <w:rPr>
          <w:rFonts w:ascii="Calibri" w:eastAsia="Calibri" w:hAnsi="Calibri" w:cs="Calibri"/>
          <w:spacing w:val="1"/>
        </w:rPr>
        <w:t>₂</w:t>
      </w:r>
      <w:r>
        <w:rPr>
          <w:rFonts w:ascii="Calibri" w:eastAsia="Calibri" w:hAnsi="Calibri" w:cs="Calibri"/>
          <w:spacing w:val="11"/>
        </w:rPr>
        <w:t xml:space="preserve">  </w:t>
      </w:r>
      <w:r>
        <w:rPr>
          <w:rFonts w:ascii="宋体" w:eastAsia="宋体" w:hAnsi="宋体" w:cs="宋体"/>
          <w:spacing w:val="1"/>
        </w:rPr>
        <w:t>的破坏增加(见表7-9)。</w:t>
      </w:r>
    </w:p>
    <w:p w:rsidR="00EA40A3" w:rsidRDefault="00EA40A3">
      <w:pPr>
        <w:spacing w:line="296" w:lineRule="auto"/>
      </w:pPr>
    </w:p>
    <w:p w:rsidR="00EA40A3" w:rsidRDefault="00E86C16">
      <w:pPr>
        <w:spacing w:before="69" w:line="211" w:lineRule="auto"/>
        <w:ind w:left="2122"/>
        <w:rPr>
          <w:rFonts w:ascii="宋体" w:eastAsia="宋体" w:hAnsi="宋体" w:cs="宋体"/>
        </w:rPr>
      </w:pPr>
      <w:r>
        <w:rPr>
          <w:rFonts w:ascii="黑体" w:eastAsia="黑体" w:hAnsi="黑体" w:cs="黑体"/>
          <w:b/>
          <w:bCs/>
          <w:spacing w:val="-18"/>
          <w:w w:val="95"/>
        </w:rPr>
        <w:t>表7-9</w:t>
      </w:r>
      <w:r>
        <w:rPr>
          <w:rFonts w:ascii="黑体" w:eastAsia="黑体" w:hAnsi="黑体" w:cs="黑体"/>
          <w:spacing w:val="58"/>
        </w:rPr>
        <w:t xml:space="preserve"> </w:t>
      </w:r>
      <w:r>
        <w:rPr>
          <w:rFonts w:ascii="黑体" w:eastAsia="黑体" w:hAnsi="黑体" w:cs="黑体"/>
          <w:b/>
          <w:bCs/>
          <w:spacing w:val="-18"/>
          <w:w w:val="95"/>
        </w:rPr>
        <w:t>不同热加工时牛乳维生素的损失</w:t>
      </w:r>
      <w:r>
        <w:rPr>
          <w:rFonts w:ascii="黑体" w:eastAsia="黑体" w:hAnsi="黑体" w:cs="黑体"/>
          <w:spacing w:val="7"/>
        </w:rPr>
        <w:t xml:space="preserve">        </w:t>
      </w:r>
      <w:r>
        <w:rPr>
          <w:rFonts w:ascii="宋体" w:eastAsia="宋体" w:hAnsi="宋体" w:cs="宋体"/>
          <w:spacing w:val="-18"/>
          <w:w w:val="95"/>
        </w:rPr>
        <w:t>(单位：%)</w:t>
      </w: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84"/>
        <w:gridCol w:w="591"/>
        <w:gridCol w:w="547"/>
        <w:gridCol w:w="605"/>
        <w:gridCol w:w="506"/>
        <w:gridCol w:w="550"/>
        <w:gridCol w:w="525"/>
        <w:gridCol w:w="569"/>
        <w:gridCol w:w="584"/>
        <w:gridCol w:w="488"/>
        <w:gridCol w:w="576"/>
        <w:gridCol w:w="615"/>
      </w:tblGrid>
      <w:tr w:rsidR="00EA40A3">
        <w:trPr>
          <w:trHeight w:val="276"/>
        </w:trPr>
        <w:tc>
          <w:tcPr>
            <w:tcW w:w="1184" w:type="dxa"/>
            <w:vMerge w:val="restart"/>
            <w:tcBorders>
              <w:top w:val="single" w:sz="4" w:space="0" w:color="000000"/>
              <w:bottom w:val="nil"/>
            </w:tcBorders>
          </w:tcPr>
          <w:p w:rsidR="00EA40A3" w:rsidRDefault="00E86C16">
            <w:pPr>
              <w:spacing w:before="184" w:line="221" w:lineRule="auto"/>
              <w:ind w:left="439"/>
              <w:rPr>
                <w:rFonts w:ascii="宋体" w:eastAsia="宋体" w:hAnsi="宋体" w:cs="宋体"/>
                <w:sz w:val="17"/>
                <w:szCs w:val="17"/>
              </w:rPr>
            </w:pPr>
            <w:r>
              <w:rPr>
                <w:rFonts w:ascii="宋体" w:eastAsia="宋体" w:hAnsi="宋体" w:cs="宋体"/>
                <w:spacing w:val="-3"/>
                <w:sz w:val="17"/>
                <w:szCs w:val="17"/>
              </w:rPr>
              <w:t>名称</w:t>
            </w:r>
          </w:p>
        </w:tc>
        <w:tc>
          <w:tcPr>
            <w:tcW w:w="1743" w:type="dxa"/>
            <w:gridSpan w:val="3"/>
            <w:tcBorders>
              <w:top w:val="single" w:sz="4" w:space="0" w:color="000000"/>
            </w:tcBorders>
          </w:tcPr>
          <w:p w:rsidR="00EA40A3" w:rsidRDefault="00E86C16">
            <w:pPr>
              <w:spacing w:before="81" w:line="211" w:lineRule="auto"/>
              <w:ind w:left="76"/>
              <w:rPr>
                <w:rFonts w:ascii="宋体" w:eastAsia="宋体" w:hAnsi="宋体" w:cs="宋体"/>
                <w:sz w:val="17"/>
                <w:szCs w:val="17"/>
              </w:rPr>
            </w:pPr>
            <w:r>
              <w:rPr>
                <w:rFonts w:ascii="宋体" w:eastAsia="宋体" w:hAnsi="宋体" w:cs="宋体"/>
                <w:spacing w:val="-1"/>
                <w:sz w:val="17"/>
                <w:szCs w:val="17"/>
              </w:rPr>
              <w:t>维生素维生素维生素</w:t>
            </w:r>
          </w:p>
        </w:tc>
        <w:tc>
          <w:tcPr>
            <w:tcW w:w="506" w:type="dxa"/>
            <w:vMerge w:val="restart"/>
            <w:tcBorders>
              <w:top w:val="single" w:sz="4" w:space="0" w:color="000000"/>
              <w:bottom w:val="nil"/>
            </w:tcBorders>
          </w:tcPr>
          <w:p w:rsidR="00EA40A3" w:rsidRDefault="00E86C16">
            <w:pPr>
              <w:spacing w:before="93" w:line="206" w:lineRule="auto"/>
              <w:ind w:left="153"/>
              <w:rPr>
                <w:rFonts w:ascii="宋体" w:eastAsia="宋体" w:hAnsi="宋体" w:cs="宋体"/>
                <w:sz w:val="17"/>
                <w:szCs w:val="17"/>
              </w:rPr>
            </w:pPr>
            <w:r>
              <w:rPr>
                <w:rFonts w:ascii="宋体" w:eastAsia="宋体" w:hAnsi="宋体" w:cs="宋体"/>
                <w:sz w:val="17"/>
                <w:szCs w:val="17"/>
              </w:rPr>
              <w:t>烟</w:t>
            </w:r>
          </w:p>
          <w:p w:rsidR="00EA40A3" w:rsidRDefault="00E86C16">
            <w:pPr>
              <w:spacing w:line="220" w:lineRule="auto"/>
              <w:ind w:left="153"/>
              <w:rPr>
                <w:rFonts w:ascii="宋体" w:eastAsia="宋体" w:hAnsi="宋体" w:cs="宋体"/>
                <w:sz w:val="17"/>
                <w:szCs w:val="17"/>
              </w:rPr>
            </w:pPr>
            <w:r>
              <w:rPr>
                <w:rFonts w:ascii="宋体" w:eastAsia="宋体" w:hAnsi="宋体" w:cs="宋体"/>
                <w:sz w:val="17"/>
                <w:szCs w:val="17"/>
              </w:rPr>
              <w:t>酸</w:t>
            </w:r>
          </w:p>
        </w:tc>
        <w:tc>
          <w:tcPr>
            <w:tcW w:w="550" w:type="dxa"/>
            <w:vMerge w:val="restart"/>
            <w:tcBorders>
              <w:top w:val="single" w:sz="4" w:space="0" w:color="000000"/>
              <w:bottom w:val="nil"/>
            </w:tcBorders>
          </w:tcPr>
          <w:p w:rsidR="00EA40A3" w:rsidRDefault="00E86C16">
            <w:pPr>
              <w:spacing w:before="87" w:line="212" w:lineRule="auto"/>
              <w:ind w:left="197"/>
              <w:rPr>
                <w:rFonts w:ascii="宋体" w:eastAsia="宋体" w:hAnsi="宋体" w:cs="宋体"/>
                <w:sz w:val="17"/>
                <w:szCs w:val="17"/>
              </w:rPr>
            </w:pPr>
            <w:r>
              <w:rPr>
                <w:rFonts w:ascii="宋体" w:eastAsia="宋体" w:hAnsi="宋体" w:cs="宋体"/>
                <w:sz w:val="17"/>
                <w:szCs w:val="17"/>
              </w:rPr>
              <w:t>泛</w:t>
            </w:r>
          </w:p>
          <w:p w:rsidR="00EA40A3" w:rsidRDefault="00E86C16">
            <w:pPr>
              <w:spacing w:line="220" w:lineRule="auto"/>
              <w:ind w:left="197"/>
              <w:rPr>
                <w:rFonts w:ascii="宋体" w:eastAsia="宋体" w:hAnsi="宋体" w:cs="宋体"/>
                <w:sz w:val="17"/>
                <w:szCs w:val="17"/>
              </w:rPr>
            </w:pPr>
            <w:r>
              <w:rPr>
                <w:rFonts w:ascii="宋体" w:eastAsia="宋体" w:hAnsi="宋体" w:cs="宋体"/>
                <w:sz w:val="17"/>
                <w:szCs w:val="17"/>
              </w:rPr>
              <w:t>酸</w:t>
            </w:r>
          </w:p>
        </w:tc>
        <w:tc>
          <w:tcPr>
            <w:tcW w:w="525" w:type="dxa"/>
            <w:vMerge w:val="restart"/>
            <w:tcBorders>
              <w:top w:val="single" w:sz="4" w:space="0" w:color="000000"/>
              <w:bottom w:val="nil"/>
            </w:tcBorders>
          </w:tcPr>
          <w:p w:rsidR="00EA40A3" w:rsidRDefault="00E86C16">
            <w:pPr>
              <w:spacing w:before="91" w:line="197" w:lineRule="auto"/>
              <w:ind w:left="236"/>
              <w:rPr>
                <w:rFonts w:ascii="宋体" w:eastAsia="宋体" w:hAnsi="宋体" w:cs="宋体"/>
                <w:sz w:val="17"/>
                <w:szCs w:val="17"/>
              </w:rPr>
            </w:pPr>
            <w:r>
              <w:rPr>
                <w:rFonts w:ascii="宋体" w:eastAsia="宋体" w:hAnsi="宋体" w:cs="宋体"/>
                <w:sz w:val="17"/>
                <w:szCs w:val="17"/>
              </w:rPr>
              <w:t>叶</w:t>
            </w:r>
          </w:p>
          <w:p w:rsidR="00EA40A3" w:rsidRDefault="00E86C16">
            <w:pPr>
              <w:spacing w:line="220" w:lineRule="auto"/>
              <w:ind w:left="236"/>
              <w:rPr>
                <w:rFonts w:ascii="宋体" w:eastAsia="宋体" w:hAnsi="宋体" w:cs="宋体"/>
                <w:sz w:val="17"/>
                <w:szCs w:val="17"/>
              </w:rPr>
            </w:pPr>
            <w:r>
              <w:rPr>
                <w:rFonts w:ascii="宋体" w:eastAsia="宋体" w:hAnsi="宋体" w:cs="宋体"/>
                <w:sz w:val="17"/>
                <w:szCs w:val="17"/>
              </w:rPr>
              <w:t>酸</w:t>
            </w:r>
          </w:p>
        </w:tc>
        <w:tc>
          <w:tcPr>
            <w:tcW w:w="2832" w:type="dxa"/>
            <w:gridSpan w:val="5"/>
            <w:tcBorders>
              <w:top w:val="single" w:sz="4" w:space="0" w:color="000000"/>
            </w:tcBorders>
          </w:tcPr>
          <w:p w:rsidR="00EA40A3" w:rsidRDefault="00E86C16">
            <w:pPr>
              <w:spacing w:before="91" w:line="200" w:lineRule="auto"/>
              <w:ind w:left="132"/>
              <w:rPr>
                <w:rFonts w:ascii="宋体" w:eastAsia="宋体" w:hAnsi="宋体" w:cs="宋体"/>
                <w:sz w:val="17"/>
                <w:szCs w:val="17"/>
              </w:rPr>
            </w:pPr>
            <w:r>
              <w:rPr>
                <w:rFonts w:ascii="宋体" w:eastAsia="宋体" w:hAnsi="宋体" w:cs="宋体"/>
                <w:spacing w:val="-1"/>
                <w:sz w:val="17"/>
                <w:szCs w:val="17"/>
              </w:rPr>
              <w:t>生物维生素维生素维生素维生素</w:t>
            </w:r>
          </w:p>
        </w:tc>
      </w:tr>
      <w:tr w:rsidR="00EA40A3">
        <w:trPr>
          <w:trHeight w:val="232"/>
        </w:trPr>
        <w:tc>
          <w:tcPr>
            <w:tcW w:w="1184" w:type="dxa"/>
            <w:vMerge/>
            <w:tcBorders>
              <w:top w:val="nil"/>
            </w:tcBorders>
          </w:tcPr>
          <w:p w:rsidR="00EA40A3" w:rsidRDefault="00EA40A3"/>
        </w:tc>
        <w:tc>
          <w:tcPr>
            <w:tcW w:w="591" w:type="dxa"/>
          </w:tcPr>
          <w:p w:rsidR="00EA40A3" w:rsidRDefault="00825D12">
            <w:pPr>
              <w:spacing w:before="102" w:line="95" w:lineRule="exact"/>
              <w:ind w:left="311"/>
              <w:rPr>
                <w:rFonts w:ascii="Calibri" w:eastAsia="Calibri" w:hAnsi="Calibri" w:cs="Calibri"/>
                <w:sz w:val="17"/>
                <w:szCs w:val="17"/>
              </w:rPr>
            </w:pPr>
            <w:r>
              <w:rPr>
                <w:noProof/>
              </w:rPr>
              <mc:AlternateContent>
                <mc:Choice Requires="wps">
                  <w:drawing>
                    <wp:anchor distT="0" distB="0" distL="114300" distR="114300" simplePos="0" relativeHeight="251702272" behindDoc="0" locked="0" layoutInCell="1" allowOverlap="1">
                      <wp:simplePos x="0" y="0"/>
                      <wp:positionH relativeFrom="column">
                        <wp:posOffset>130810</wp:posOffset>
                      </wp:positionH>
                      <wp:positionV relativeFrom="paragraph">
                        <wp:posOffset>8255</wp:posOffset>
                      </wp:positionV>
                      <wp:extent cx="78105" cy="132080"/>
                      <wp:effectExtent l="0" t="4445" r="0" b="0"/>
                      <wp:wrapNone/>
                      <wp:docPr id="1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182" w:lineRule="auto"/>
                                    <w:ind w:left="20"/>
                                    <w:rPr>
                                      <w:rFonts w:ascii="宋体" w:eastAsia="宋体" w:hAnsi="宋体" w:cs="宋体"/>
                                      <w:sz w:val="17"/>
                                      <w:szCs w:val="17"/>
                                    </w:rPr>
                                  </w:pPr>
                                  <w:r>
                                    <w:rPr>
                                      <w:rFonts w:ascii="宋体" w:eastAsia="宋体" w:hAnsi="宋体" w:cs="宋体"/>
                                      <w:sz w:val="17"/>
                                      <w:szCs w:val="17"/>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8" type="#_x0000_t202" style="position:absolute;left:0;text-align:left;margin-left:10.3pt;margin-top:.65pt;width:6.15pt;height:10.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xZsgIAALI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" filled="f" stroked="f">
                      <v:textbox inset="0,0,0,0">
                        <w:txbxContent>
                          <w:p w:rsidR="00E86C16" w:rsidRDefault="00E86C16">
                            <w:pPr>
                              <w:spacing w:before="19" w:line="182" w:lineRule="auto"/>
                              <w:ind w:left="20"/>
                              <w:rPr>
                                <w:rFonts w:ascii="宋体" w:eastAsia="宋体" w:hAnsi="宋体" w:cs="宋体"/>
                                <w:sz w:val="17"/>
                                <w:szCs w:val="17"/>
                              </w:rPr>
                            </w:pPr>
                            <w:r>
                              <w:rPr>
                                <w:rFonts w:ascii="宋体" w:eastAsia="宋体" w:hAnsi="宋体" w:cs="宋体"/>
                                <w:sz w:val="17"/>
                                <w:szCs w:val="17"/>
                              </w:rPr>
                              <w:t>B</w:t>
                            </w:r>
                          </w:p>
                        </w:txbxContent>
                      </v:textbox>
                    </v:shape>
                  </w:pict>
                </mc:Fallback>
              </mc:AlternateContent>
            </w:r>
            <w:r w:rsidR="00E86C16">
              <w:rPr>
                <w:rFonts w:ascii="Calibri" w:eastAsia="Calibri" w:hAnsi="Calibri" w:cs="Calibri"/>
                <w:position w:val="1"/>
                <w:sz w:val="17"/>
                <w:szCs w:val="17"/>
              </w:rPr>
              <w:t>₁</w:t>
            </w:r>
          </w:p>
        </w:tc>
        <w:tc>
          <w:tcPr>
            <w:tcW w:w="1152" w:type="dxa"/>
            <w:gridSpan w:val="2"/>
          </w:tcPr>
          <w:p w:rsidR="00EA40A3" w:rsidRDefault="00E86C16">
            <w:pPr>
              <w:spacing w:before="33" w:line="182" w:lineRule="auto"/>
              <w:ind w:left="431"/>
              <w:rPr>
                <w:rFonts w:ascii="宋体" w:eastAsia="宋体" w:hAnsi="宋体" w:cs="宋体"/>
                <w:sz w:val="17"/>
                <w:szCs w:val="17"/>
              </w:rPr>
            </w:pPr>
            <w:r>
              <w:rPr>
                <w:rFonts w:ascii="宋体" w:eastAsia="宋体" w:hAnsi="宋体" w:cs="宋体"/>
                <w:spacing w:val="-2"/>
                <w:position w:val="1"/>
                <w:sz w:val="17"/>
                <w:szCs w:val="17"/>
              </w:rPr>
              <w:t>B</w:t>
            </w:r>
            <w:r>
              <w:rPr>
                <w:rFonts w:ascii="Calibri" w:eastAsia="Calibri" w:hAnsi="Calibri" w:cs="Calibri"/>
                <w:spacing w:val="-2"/>
                <w:position w:val="1"/>
                <w:sz w:val="17"/>
                <w:szCs w:val="17"/>
              </w:rPr>
              <w:t>₂</w:t>
            </w:r>
            <w:r>
              <w:rPr>
                <w:rFonts w:ascii="Calibri" w:eastAsia="Calibri" w:hAnsi="Calibri" w:cs="Calibri"/>
                <w:spacing w:val="3"/>
                <w:position w:val="1"/>
                <w:sz w:val="17"/>
                <w:szCs w:val="17"/>
              </w:rPr>
              <w:t xml:space="preserve">    </w:t>
            </w:r>
            <w:r>
              <w:rPr>
                <w:rFonts w:ascii="宋体" w:eastAsia="宋体" w:hAnsi="宋体" w:cs="宋体"/>
                <w:spacing w:val="-2"/>
                <w:sz w:val="17"/>
                <w:szCs w:val="17"/>
              </w:rPr>
              <w:t>Be</w:t>
            </w:r>
          </w:p>
        </w:tc>
        <w:tc>
          <w:tcPr>
            <w:tcW w:w="506" w:type="dxa"/>
            <w:vMerge/>
            <w:tcBorders>
              <w:top w:val="nil"/>
            </w:tcBorders>
          </w:tcPr>
          <w:p w:rsidR="00EA40A3" w:rsidRDefault="00EA40A3"/>
        </w:tc>
        <w:tc>
          <w:tcPr>
            <w:tcW w:w="550" w:type="dxa"/>
            <w:vMerge/>
            <w:tcBorders>
              <w:top w:val="nil"/>
            </w:tcBorders>
          </w:tcPr>
          <w:p w:rsidR="00EA40A3" w:rsidRDefault="00EA40A3"/>
        </w:tc>
        <w:tc>
          <w:tcPr>
            <w:tcW w:w="525" w:type="dxa"/>
            <w:vMerge/>
            <w:tcBorders>
              <w:top w:val="nil"/>
            </w:tcBorders>
          </w:tcPr>
          <w:p w:rsidR="00EA40A3" w:rsidRDefault="00EA40A3"/>
        </w:tc>
        <w:tc>
          <w:tcPr>
            <w:tcW w:w="569" w:type="dxa"/>
          </w:tcPr>
          <w:p w:rsidR="00EA40A3" w:rsidRDefault="00E86C16">
            <w:pPr>
              <w:spacing w:before="26" w:line="219" w:lineRule="auto"/>
              <w:ind w:left="242"/>
              <w:rPr>
                <w:rFonts w:ascii="宋体" w:eastAsia="宋体" w:hAnsi="宋体" w:cs="宋体"/>
                <w:sz w:val="17"/>
                <w:szCs w:val="17"/>
              </w:rPr>
            </w:pPr>
            <w:r>
              <w:rPr>
                <w:rFonts w:ascii="宋体" w:eastAsia="宋体" w:hAnsi="宋体" w:cs="宋体"/>
                <w:sz w:val="17"/>
                <w:szCs w:val="17"/>
              </w:rPr>
              <w:t>素</w:t>
            </w:r>
          </w:p>
        </w:tc>
        <w:tc>
          <w:tcPr>
            <w:tcW w:w="584" w:type="dxa"/>
          </w:tcPr>
          <w:p w:rsidR="00EA40A3" w:rsidRDefault="00E86C16">
            <w:pPr>
              <w:spacing w:before="58" w:line="184" w:lineRule="auto"/>
              <w:ind w:left="173"/>
              <w:rPr>
                <w:rFonts w:ascii="宋体" w:eastAsia="宋体" w:hAnsi="宋体" w:cs="宋体"/>
                <w:sz w:val="17"/>
                <w:szCs w:val="17"/>
              </w:rPr>
            </w:pPr>
            <w:r>
              <w:rPr>
                <w:rFonts w:ascii="宋体" w:eastAsia="宋体" w:hAnsi="宋体" w:cs="宋体"/>
                <w:spacing w:val="-1"/>
                <w:sz w:val="17"/>
                <w:szCs w:val="17"/>
              </w:rPr>
              <w:t>B12</w:t>
            </w:r>
          </w:p>
        </w:tc>
        <w:tc>
          <w:tcPr>
            <w:tcW w:w="488" w:type="dxa"/>
          </w:tcPr>
          <w:p w:rsidR="00EA40A3" w:rsidRDefault="00E86C16">
            <w:pPr>
              <w:spacing w:before="59" w:line="183" w:lineRule="auto"/>
              <w:ind w:left="188"/>
              <w:rPr>
                <w:rFonts w:ascii="宋体" w:eastAsia="宋体" w:hAnsi="宋体" w:cs="宋体"/>
                <w:sz w:val="17"/>
                <w:szCs w:val="17"/>
              </w:rPr>
            </w:pPr>
            <w:r>
              <w:rPr>
                <w:rFonts w:ascii="宋体" w:eastAsia="宋体" w:hAnsi="宋体" w:cs="宋体"/>
                <w:sz w:val="17"/>
                <w:szCs w:val="17"/>
              </w:rPr>
              <w:t>C</w:t>
            </w:r>
          </w:p>
        </w:tc>
        <w:tc>
          <w:tcPr>
            <w:tcW w:w="576" w:type="dxa"/>
          </w:tcPr>
          <w:p w:rsidR="00EA40A3" w:rsidRDefault="00E86C16">
            <w:pPr>
              <w:spacing w:before="68" w:line="178" w:lineRule="auto"/>
              <w:ind w:left="261"/>
              <w:rPr>
                <w:rFonts w:ascii="宋体" w:eastAsia="宋体" w:hAnsi="宋体" w:cs="宋体"/>
                <w:sz w:val="17"/>
                <w:szCs w:val="17"/>
              </w:rPr>
            </w:pPr>
            <w:r>
              <w:rPr>
                <w:rFonts w:ascii="宋体" w:eastAsia="宋体" w:hAnsi="宋体" w:cs="宋体"/>
                <w:sz w:val="17"/>
                <w:szCs w:val="17"/>
              </w:rPr>
              <w:t>A</w:t>
            </w:r>
          </w:p>
        </w:tc>
        <w:tc>
          <w:tcPr>
            <w:tcW w:w="615" w:type="dxa"/>
          </w:tcPr>
          <w:p w:rsidR="00EA40A3" w:rsidRDefault="00E86C16">
            <w:pPr>
              <w:spacing w:before="70" w:line="175" w:lineRule="auto"/>
              <w:ind w:left="234"/>
              <w:rPr>
                <w:rFonts w:ascii="宋体" w:eastAsia="宋体" w:hAnsi="宋体" w:cs="宋体"/>
                <w:sz w:val="17"/>
                <w:szCs w:val="17"/>
              </w:rPr>
            </w:pPr>
            <w:r>
              <w:rPr>
                <w:rFonts w:ascii="宋体" w:eastAsia="宋体" w:hAnsi="宋体" w:cs="宋体"/>
                <w:sz w:val="17"/>
                <w:szCs w:val="17"/>
              </w:rPr>
              <w:t>D</w:t>
            </w:r>
          </w:p>
        </w:tc>
      </w:tr>
      <w:tr w:rsidR="00EA40A3">
        <w:trPr>
          <w:trHeight w:val="263"/>
        </w:trPr>
        <w:tc>
          <w:tcPr>
            <w:tcW w:w="1184" w:type="dxa"/>
          </w:tcPr>
          <w:p w:rsidR="00EA40A3" w:rsidRDefault="00E86C16">
            <w:pPr>
              <w:spacing w:before="44" w:line="219" w:lineRule="auto"/>
              <w:ind w:left="100"/>
              <w:rPr>
                <w:rFonts w:ascii="宋体" w:eastAsia="宋体" w:hAnsi="宋体" w:cs="宋体"/>
                <w:sz w:val="17"/>
                <w:szCs w:val="17"/>
              </w:rPr>
            </w:pPr>
            <w:r>
              <w:rPr>
                <w:rFonts w:ascii="宋体" w:eastAsia="宋体" w:hAnsi="宋体" w:cs="宋体"/>
                <w:spacing w:val="-1"/>
                <w:sz w:val="17"/>
                <w:szCs w:val="17"/>
              </w:rPr>
              <w:t>低温巴氏杀菌</w:t>
            </w:r>
          </w:p>
        </w:tc>
        <w:tc>
          <w:tcPr>
            <w:tcW w:w="591" w:type="dxa"/>
          </w:tcPr>
          <w:p w:rsidR="00EA40A3" w:rsidRDefault="00E86C16">
            <w:pPr>
              <w:spacing w:before="97" w:line="180" w:lineRule="auto"/>
              <w:ind w:left="226"/>
              <w:rPr>
                <w:rFonts w:ascii="宋体" w:eastAsia="宋体" w:hAnsi="宋体" w:cs="宋体"/>
                <w:sz w:val="17"/>
                <w:szCs w:val="17"/>
              </w:rPr>
            </w:pPr>
            <w:r>
              <w:rPr>
                <w:rFonts w:ascii="宋体" w:eastAsia="宋体" w:hAnsi="宋体" w:cs="宋体"/>
                <w:spacing w:val="-5"/>
                <w:sz w:val="17"/>
                <w:szCs w:val="17"/>
              </w:rPr>
              <w:t>10</w:t>
            </w:r>
          </w:p>
        </w:tc>
        <w:tc>
          <w:tcPr>
            <w:tcW w:w="547" w:type="dxa"/>
          </w:tcPr>
          <w:p w:rsidR="00EA40A3" w:rsidRDefault="00E86C16">
            <w:pPr>
              <w:spacing w:before="87" w:line="183" w:lineRule="auto"/>
              <w:ind w:left="21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77" w:line="183" w:lineRule="auto"/>
              <w:ind w:left="198"/>
              <w:rPr>
                <w:rFonts w:ascii="宋体" w:eastAsia="宋体" w:hAnsi="宋体" w:cs="宋体"/>
                <w:sz w:val="17"/>
                <w:szCs w:val="17"/>
              </w:rPr>
            </w:pPr>
            <w:r>
              <w:rPr>
                <w:rFonts w:ascii="宋体" w:eastAsia="宋体" w:hAnsi="宋体" w:cs="宋体"/>
                <w:spacing w:val="-3"/>
                <w:sz w:val="17"/>
                <w:szCs w:val="17"/>
              </w:rPr>
              <w:t>20</w:t>
            </w:r>
          </w:p>
        </w:tc>
        <w:tc>
          <w:tcPr>
            <w:tcW w:w="506" w:type="dxa"/>
          </w:tcPr>
          <w:p w:rsidR="00EA40A3" w:rsidRDefault="00E86C16">
            <w:pPr>
              <w:spacing w:before="77" w:line="183" w:lineRule="auto"/>
              <w:ind w:left="153"/>
              <w:rPr>
                <w:rFonts w:ascii="宋体" w:eastAsia="宋体" w:hAnsi="宋体" w:cs="宋体"/>
                <w:sz w:val="17"/>
                <w:szCs w:val="17"/>
              </w:rPr>
            </w:pPr>
            <w:r>
              <w:rPr>
                <w:rFonts w:ascii="宋体" w:eastAsia="宋体" w:hAnsi="宋体" w:cs="宋体"/>
                <w:sz w:val="17"/>
                <w:szCs w:val="17"/>
              </w:rPr>
              <w:t>0</w:t>
            </w:r>
          </w:p>
        </w:tc>
        <w:tc>
          <w:tcPr>
            <w:tcW w:w="550" w:type="dxa"/>
          </w:tcPr>
          <w:p w:rsidR="00EA40A3" w:rsidRDefault="00E86C16">
            <w:pPr>
              <w:spacing w:before="77" w:line="183" w:lineRule="auto"/>
              <w:ind w:left="237"/>
              <w:rPr>
                <w:rFonts w:ascii="宋体" w:eastAsia="宋体" w:hAnsi="宋体" w:cs="宋体"/>
                <w:sz w:val="17"/>
                <w:szCs w:val="17"/>
              </w:rPr>
            </w:pPr>
            <w:r>
              <w:rPr>
                <w:rFonts w:ascii="宋体" w:eastAsia="宋体" w:hAnsi="宋体" w:cs="宋体"/>
                <w:sz w:val="17"/>
                <w:szCs w:val="17"/>
              </w:rPr>
              <w:t>0</w:t>
            </w:r>
          </w:p>
        </w:tc>
        <w:tc>
          <w:tcPr>
            <w:tcW w:w="525" w:type="dxa"/>
          </w:tcPr>
          <w:p w:rsidR="00EA40A3" w:rsidRDefault="00E86C16">
            <w:pPr>
              <w:spacing w:before="76" w:line="184" w:lineRule="auto"/>
              <w:ind w:left="236"/>
              <w:rPr>
                <w:rFonts w:ascii="宋体" w:eastAsia="宋体" w:hAnsi="宋体" w:cs="宋体"/>
                <w:sz w:val="17"/>
                <w:szCs w:val="17"/>
              </w:rPr>
            </w:pPr>
            <w:r>
              <w:rPr>
                <w:rFonts w:ascii="宋体" w:eastAsia="宋体" w:hAnsi="宋体" w:cs="宋体"/>
                <w:spacing w:val="-5"/>
                <w:sz w:val="17"/>
                <w:szCs w:val="17"/>
              </w:rPr>
              <w:t>10</w:t>
            </w:r>
          </w:p>
        </w:tc>
        <w:tc>
          <w:tcPr>
            <w:tcW w:w="569" w:type="dxa"/>
          </w:tcPr>
          <w:p w:rsidR="00EA40A3" w:rsidRDefault="00E86C16">
            <w:pPr>
              <w:spacing w:before="98" w:line="179" w:lineRule="auto"/>
              <w:ind w:left="242"/>
              <w:rPr>
                <w:rFonts w:ascii="宋体" w:eastAsia="宋体" w:hAnsi="宋体" w:cs="宋体"/>
                <w:sz w:val="17"/>
                <w:szCs w:val="17"/>
              </w:rPr>
            </w:pPr>
            <w:r>
              <w:rPr>
                <w:rFonts w:ascii="宋体" w:eastAsia="宋体" w:hAnsi="宋体" w:cs="宋体"/>
                <w:sz w:val="17"/>
                <w:szCs w:val="17"/>
              </w:rPr>
              <w:t>0</w:t>
            </w:r>
          </w:p>
        </w:tc>
        <w:tc>
          <w:tcPr>
            <w:tcW w:w="584" w:type="dxa"/>
          </w:tcPr>
          <w:p w:rsidR="00EA40A3" w:rsidRDefault="00E86C16">
            <w:pPr>
              <w:spacing w:before="98" w:line="179" w:lineRule="auto"/>
              <w:ind w:left="232"/>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87" w:line="183" w:lineRule="auto"/>
              <w:ind w:left="199"/>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98" w:line="179" w:lineRule="auto"/>
              <w:ind w:left="27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98" w:line="179" w:lineRule="auto"/>
              <w:ind w:left="234"/>
              <w:rPr>
                <w:rFonts w:ascii="宋体" w:eastAsia="宋体" w:hAnsi="宋体" w:cs="宋体"/>
                <w:sz w:val="17"/>
                <w:szCs w:val="17"/>
              </w:rPr>
            </w:pPr>
            <w:r>
              <w:rPr>
                <w:rFonts w:ascii="宋体" w:eastAsia="宋体" w:hAnsi="宋体" w:cs="宋体"/>
                <w:sz w:val="17"/>
                <w:szCs w:val="17"/>
              </w:rPr>
              <w:t>0</w:t>
            </w:r>
          </w:p>
        </w:tc>
      </w:tr>
      <w:tr w:rsidR="00EA40A3">
        <w:trPr>
          <w:trHeight w:val="269"/>
        </w:trPr>
        <w:tc>
          <w:tcPr>
            <w:tcW w:w="1184" w:type="dxa"/>
          </w:tcPr>
          <w:p w:rsidR="00EA40A3" w:rsidRDefault="00E86C16">
            <w:pPr>
              <w:spacing w:before="51" w:line="219" w:lineRule="auto"/>
              <w:ind w:left="100"/>
              <w:rPr>
                <w:rFonts w:ascii="宋体" w:eastAsia="宋体" w:hAnsi="宋体" w:cs="宋体"/>
                <w:sz w:val="17"/>
                <w:szCs w:val="17"/>
              </w:rPr>
            </w:pPr>
            <w:r>
              <w:rPr>
                <w:rFonts w:ascii="宋体" w:eastAsia="宋体" w:hAnsi="宋体" w:cs="宋体"/>
                <w:spacing w:val="-1"/>
                <w:sz w:val="17"/>
                <w:szCs w:val="17"/>
              </w:rPr>
              <w:t>HTST巴氏杀菌</w:t>
            </w:r>
          </w:p>
        </w:tc>
        <w:tc>
          <w:tcPr>
            <w:tcW w:w="591" w:type="dxa"/>
          </w:tcPr>
          <w:p w:rsidR="00EA40A3" w:rsidRDefault="00E86C16">
            <w:pPr>
              <w:spacing w:before="104" w:line="179" w:lineRule="auto"/>
              <w:ind w:left="235"/>
              <w:rPr>
                <w:rFonts w:ascii="宋体" w:eastAsia="宋体" w:hAnsi="宋体" w:cs="宋体"/>
                <w:sz w:val="17"/>
                <w:szCs w:val="17"/>
              </w:rPr>
            </w:pPr>
            <w:r>
              <w:rPr>
                <w:rFonts w:ascii="宋体" w:eastAsia="宋体" w:hAnsi="宋体" w:cs="宋体"/>
                <w:spacing w:val="-5"/>
                <w:sz w:val="17"/>
                <w:szCs w:val="17"/>
              </w:rPr>
              <w:t>10</w:t>
            </w:r>
          </w:p>
        </w:tc>
        <w:tc>
          <w:tcPr>
            <w:tcW w:w="547" w:type="dxa"/>
          </w:tcPr>
          <w:p w:rsidR="00EA40A3" w:rsidRDefault="00E86C16">
            <w:pPr>
              <w:spacing w:before="84" w:line="183" w:lineRule="auto"/>
              <w:ind w:left="24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84" w:line="183" w:lineRule="auto"/>
              <w:ind w:left="198"/>
              <w:rPr>
                <w:rFonts w:ascii="宋体" w:eastAsia="宋体" w:hAnsi="宋体" w:cs="宋体"/>
                <w:sz w:val="17"/>
                <w:szCs w:val="17"/>
              </w:rPr>
            </w:pPr>
            <w:r>
              <w:rPr>
                <w:rFonts w:ascii="宋体" w:eastAsia="宋体" w:hAnsi="宋体" w:cs="宋体"/>
                <w:sz w:val="17"/>
                <w:szCs w:val="17"/>
              </w:rPr>
              <w:t>0</w:t>
            </w:r>
          </w:p>
        </w:tc>
        <w:tc>
          <w:tcPr>
            <w:tcW w:w="506" w:type="dxa"/>
          </w:tcPr>
          <w:p w:rsidR="00EA40A3" w:rsidRDefault="00E86C16">
            <w:pPr>
              <w:spacing w:before="84" w:line="183" w:lineRule="auto"/>
              <w:ind w:left="153"/>
              <w:rPr>
                <w:rFonts w:ascii="宋体" w:eastAsia="宋体" w:hAnsi="宋体" w:cs="宋体"/>
                <w:sz w:val="17"/>
                <w:szCs w:val="17"/>
              </w:rPr>
            </w:pPr>
            <w:r>
              <w:rPr>
                <w:rFonts w:ascii="宋体" w:eastAsia="宋体" w:hAnsi="宋体" w:cs="宋体"/>
                <w:sz w:val="17"/>
                <w:szCs w:val="17"/>
              </w:rPr>
              <w:t>0</w:t>
            </w:r>
          </w:p>
        </w:tc>
        <w:tc>
          <w:tcPr>
            <w:tcW w:w="550" w:type="dxa"/>
          </w:tcPr>
          <w:p w:rsidR="00EA40A3" w:rsidRDefault="00E86C16">
            <w:pPr>
              <w:spacing w:before="84" w:line="183" w:lineRule="auto"/>
              <w:ind w:left="237"/>
              <w:rPr>
                <w:rFonts w:ascii="宋体" w:eastAsia="宋体" w:hAnsi="宋体" w:cs="宋体"/>
                <w:sz w:val="17"/>
                <w:szCs w:val="17"/>
              </w:rPr>
            </w:pPr>
            <w:r>
              <w:rPr>
                <w:rFonts w:ascii="宋体" w:eastAsia="宋体" w:hAnsi="宋体" w:cs="宋体"/>
                <w:sz w:val="17"/>
                <w:szCs w:val="17"/>
              </w:rPr>
              <w:t>0</w:t>
            </w:r>
          </w:p>
        </w:tc>
        <w:tc>
          <w:tcPr>
            <w:tcW w:w="525" w:type="dxa"/>
          </w:tcPr>
          <w:p w:rsidR="00EA40A3" w:rsidRDefault="00E86C16">
            <w:pPr>
              <w:spacing w:before="104" w:line="179" w:lineRule="auto"/>
              <w:ind w:left="236"/>
              <w:rPr>
                <w:rFonts w:ascii="宋体" w:eastAsia="宋体" w:hAnsi="宋体" w:cs="宋体"/>
                <w:sz w:val="17"/>
                <w:szCs w:val="17"/>
              </w:rPr>
            </w:pPr>
            <w:r>
              <w:rPr>
                <w:rFonts w:ascii="宋体" w:eastAsia="宋体" w:hAnsi="宋体" w:cs="宋体"/>
                <w:spacing w:val="-5"/>
                <w:sz w:val="17"/>
                <w:szCs w:val="17"/>
              </w:rPr>
              <w:t>10</w:t>
            </w:r>
          </w:p>
        </w:tc>
        <w:tc>
          <w:tcPr>
            <w:tcW w:w="569" w:type="dxa"/>
          </w:tcPr>
          <w:p w:rsidR="00EA40A3" w:rsidRDefault="00E86C16">
            <w:pPr>
              <w:spacing w:before="94" w:line="183" w:lineRule="auto"/>
              <w:ind w:left="252"/>
              <w:rPr>
                <w:rFonts w:ascii="宋体" w:eastAsia="宋体" w:hAnsi="宋体" w:cs="宋体"/>
                <w:sz w:val="17"/>
                <w:szCs w:val="17"/>
              </w:rPr>
            </w:pPr>
            <w:r>
              <w:rPr>
                <w:rFonts w:ascii="宋体" w:eastAsia="宋体" w:hAnsi="宋体" w:cs="宋体"/>
                <w:sz w:val="17"/>
                <w:szCs w:val="17"/>
              </w:rPr>
              <w:t>0</w:t>
            </w:r>
          </w:p>
        </w:tc>
        <w:tc>
          <w:tcPr>
            <w:tcW w:w="584" w:type="dxa"/>
          </w:tcPr>
          <w:p w:rsidR="00EA40A3" w:rsidRDefault="00E86C16">
            <w:pPr>
              <w:spacing w:before="94" w:line="183"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84" w:line="183" w:lineRule="auto"/>
              <w:ind w:left="179"/>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84" w:line="183" w:lineRule="auto"/>
              <w:ind w:left="25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105" w:line="178"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84"/>
        </w:trPr>
        <w:tc>
          <w:tcPr>
            <w:tcW w:w="1184" w:type="dxa"/>
          </w:tcPr>
          <w:p w:rsidR="00EA40A3" w:rsidRDefault="00E86C16">
            <w:pPr>
              <w:spacing w:before="52" w:line="219" w:lineRule="auto"/>
              <w:ind w:left="309"/>
              <w:rPr>
                <w:rFonts w:ascii="宋体" w:eastAsia="宋体" w:hAnsi="宋体" w:cs="宋体"/>
                <w:sz w:val="17"/>
                <w:szCs w:val="17"/>
              </w:rPr>
            </w:pPr>
            <w:r>
              <w:rPr>
                <w:rFonts w:ascii="宋体" w:eastAsia="宋体" w:hAnsi="宋体" w:cs="宋体"/>
                <w:spacing w:val="-1"/>
                <w:sz w:val="17"/>
                <w:szCs w:val="17"/>
              </w:rPr>
              <w:t>UHT杀菌</w:t>
            </w:r>
          </w:p>
        </w:tc>
        <w:tc>
          <w:tcPr>
            <w:tcW w:w="591" w:type="dxa"/>
          </w:tcPr>
          <w:p w:rsidR="00EA40A3" w:rsidRDefault="00E86C16">
            <w:pPr>
              <w:spacing w:before="115" w:line="183" w:lineRule="auto"/>
              <w:ind w:left="275"/>
              <w:rPr>
                <w:rFonts w:ascii="宋体" w:eastAsia="宋体" w:hAnsi="宋体" w:cs="宋体"/>
                <w:sz w:val="17"/>
                <w:szCs w:val="17"/>
              </w:rPr>
            </w:pPr>
            <w:r>
              <w:rPr>
                <w:rFonts w:ascii="宋体" w:eastAsia="宋体" w:hAnsi="宋体" w:cs="宋体"/>
                <w:sz w:val="17"/>
                <w:szCs w:val="17"/>
              </w:rPr>
              <w:t>0</w:t>
            </w:r>
          </w:p>
        </w:tc>
        <w:tc>
          <w:tcPr>
            <w:tcW w:w="547" w:type="dxa"/>
          </w:tcPr>
          <w:p w:rsidR="00EA40A3" w:rsidRDefault="00E86C16">
            <w:pPr>
              <w:spacing w:before="104" w:line="184" w:lineRule="auto"/>
              <w:ind w:left="204"/>
              <w:rPr>
                <w:rFonts w:ascii="宋体" w:eastAsia="宋体" w:hAnsi="宋体" w:cs="宋体"/>
                <w:sz w:val="17"/>
                <w:szCs w:val="17"/>
              </w:rPr>
            </w:pPr>
            <w:r>
              <w:rPr>
                <w:rFonts w:ascii="宋体" w:eastAsia="宋体" w:hAnsi="宋体" w:cs="宋体"/>
                <w:spacing w:val="-5"/>
                <w:sz w:val="17"/>
                <w:szCs w:val="17"/>
              </w:rPr>
              <w:t>10</w:t>
            </w:r>
          </w:p>
        </w:tc>
        <w:tc>
          <w:tcPr>
            <w:tcW w:w="605" w:type="dxa"/>
          </w:tcPr>
          <w:p w:rsidR="00EA40A3" w:rsidRDefault="00E86C16">
            <w:pPr>
              <w:spacing w:before="75" w:line="183" w:lineRule="auto"/>
              <w:ind w:left="198"/>
              <w:rPr>
                <w:rFonts w:ascii="宋体" w:eastAsia="宋体" w:hAnsi="宋体" w:cs="宋体"/>
                <w:sz w:val="17"/>
                <w:szCs w:val="17"/>
              </w:rPr>
            </w:pPr>
            <w:r>
              <w:rPr>
                <w:rFonts w:ascii="宋体" w:eastAsia="宋体" w:hAnsi="宋体" w:cs="宋体"/>
                <w:spacing w:val="-3"/>
                <w:sz w:val="17"/>
                <w:szCs w:val="17"/>
              </w:rPr>
              <w:t>20</w:t>
            </w:r>
          </w:p>
        </w:tc>
        <w:tc>
          <w:tcPr>
            <w:tcW w:w="506" w:type="dxa"/>
          </w:tcPr>
          <w:p w:rsidR="00EA40A3" w:rsidRDefault="00E86C16">
            <w:pPr>
              <w:spacing w:before="95" w:line="183" w:lineRule="auto"/>
              <w:ind w:left="153"/>
              <w:rPr>
                <w:rFonts w:ascii="宋体" w:eastAsia="宋体" w:hAnsi="宋体" w:cs="宋体"/>
                <w:sz w:val="17"/>
                <w:szCs w:val="17"/>
              </w:rPr>
            </w:pPr>
            <w:r>
              <w:rPr>
                <w:rFonts w:ascii="宋体" w:eastAsia="宋体" w:hAnsi="宋体" w:cs="宋体"/>
                <w:sz w:val="17"/>
                <w:szCs w:val="17"/>
              </w:rPr>
              <w:t>0</w:t>
            </w:r>
          </w:p>
        </w:tc>
        <w:tc>
          <w:tcPr>
            <w:tcW w:w="550" w:type="dxa"/>
          </w:tcPr>
          <w:p w:rsidR="00EA40A3" w:rsidRDefault="00E86C16">
            <w:pPr>
              <w:spacing w:before="88" w:line="212" w:lineRule="auto"/>
              <w:ind w:left="237"/>
              <w:rPr>
                <w:rFonts w:ascii="宋体" w:eastAsia="宋体" w:hAnsi="宋体" w:cs="宋体"/>
                <w:sz w:val="17"/>
                <w:szCs w:val="17"/>
              </w:rPr>
            </w:pPr>
            <w:r>
              <w:rPr>
                <w:rFonts w:ascii="宋体" w:eastAsia="宋体" w:hAnsi="宋体" w:cs="宋体"/>
                <w:sz w:val="17"/>
                <w:szCs w:val="17"/>
              </w:rPr>
              <w:t>?</w:t>
            </w:r>
          </w:p>
        </w:tc>
        <w:tc>
          <w:tcPr>
            <w:tcW w:w="525" w:type="dxa"/>
          </w:tcPr>
          <w:p w:rsidR="00EA40A3" w:rsidRDefault="00E86C16">
            <w:pPr>
              <w:spacing w:before="104" w:line="184" w:lineRule="auto"/>
              <w:ind w:left="236"/>
              <w:rPr>
                <w:rFonts w:ascii="宋体" w:eastAsia="宋体" w:hAnsi="宋体" w:cs="宋体"/>
                <w:sz w:val="17"/>
                <w:szCs w:val="17"/>
              </w:rPr>
            </w:pPr>
            <w:r>
              <w:rPr>
                <w:rFonts w:ascii="宋体" w:eastAsia="宋体" w:hAnsi="宋体" w:cs="宋体"/>
                <w:spacing w:val="-5"/>
                <w:sz w:val="17"/>
                <w:szCs w:val="17"/>
              </w:rPr>
              <w:t>10</w:t>
            </w:r>
          </w:p>
        </w:tc>
        <w:tc>
          <w:tcPr>
            <w:tcW w:w="569" w:type="dxa"/>
          </w:tcPr>
          <w:p w:rsidR="00EA40A3" w:rsidRDefault="00E86C16">
            <w:pPr>
              <w:spacing w:before="95" w:line="183" w:lineRule="auto"/>
              <w:ind w:left="252"/>
              <w:rPr>
                <w:rFonts w:ascii="宋体" w:eastAsia="宋体" w:hAnsi="宋体" w:cs="宋体"/>
                <w:sz w:val="17"/>
                <w:szCs w:val="17"/>
              </w:rPr>
            </w:pPr>
            <w:r>
              <w:rPr>
                <w:rFonts w:ascii="宋体" w:eastAsia="宋体" w:hAnsi="宋体" w:cs="宋体"/>
                <w:sz w:val="17"/>
                <w:szCs w:val="17"/>
              </w:rPr>
              <w:t>0</w:t>
            </w:r>
          </w:p>
        </w:tc>
        <w:tc>
          <w:tcPr>
            <w:tcW w:w="584" w:type="dxa"/>
          </w:tcPr>
          <w:p w:rsidR="00EA40A3" w:rsidRDefault="00E86C16">
            <w:pPr>
              <w:spacing w:before="95" w:line="183"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105" w:line="183" w:lineRule="auto"/>
              <w:ind w:left="179"/>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95" w:line="183" w:lineRule="auto"/>
              <w:ind w:left="25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95" w:line="183"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69"/>
        </w:trPr>
        <w:tc>
          <w:tcPr>
            <w:tcW w:w="1184" w:type="dxa"/>
          </w:tcPr>
          <w:p w:rsidR="00EA40A3" w:rsidRDefault="00E86C16">
            <w:pPr>
              <w:spacing w:before="58" w:line="219" w:lineRule="auto"/>
              <w:ind w:left="270"/>
              <w:rPr>
                <w:rFonts w:ascii="宋体" w:eastAsia="宋体" w:hAnsi="宋体" w:cs="宋体"/>
                <w:sz w:val="17"/>
                <w:szCs w:val="17"/>
              </w:rPr>
            </w:pPr>
            <w:r>
              <w:rPr>
                <w:rFonts w:ascii="宋体" w:eastAsia="宋体" w:hAnsi="宋体" w:cs="宋体"/>
                <w:spacing w:val="-2"/>
                <w:sz w:val="17"/>
                <w:szCs w:val="17"/>
              </w:rPr>
              <w:t>瓶装杀菌</w:t>
            </w:r>
          </w:p>
        </w:tc>
        <w:tc>
          <w:tcPr>
            <w:tcW w:w="591" w:type="dxa"/>
          </w:tcPr>
          <w:p w:rsidR="00EA40A3" w:rsidRDefault="00E86C16">
            <w:pPr>
              <w:spacing w:before="111" w:line="171" w:lineRule="auto"/>
              <w:ind w:left="235"/>
              <w:rPr>
                <w:rFonts w:ascii="宋体" w:eastAsia="宋体" w:hAnsi="宋体" w:cs="宋体"/>
                <w:sz w:val="17"/>
                <w:szCs w:val="17"/>
              </w:rPr>
            </w:pPr>
            <w:r>
              <w:rPr>
                <w:rFonts w:ascii="宋体" w:eastAsia="宋体" w:hAnsi="宋体" w:cs="宋体"/>
                <w:spacing w:val="-3"/>
                <w:sz w:val="17"/>
                <w:szCs w:val="17"/>
              </w:rPr>
              <w:t>35</w:t>
            </w:r>
          </w:p>
        </w:tc>
        <w:tc>
          <w:tcPr>
            <w:tcW w:w="547" w:type="dxa"/>
          </w:tcPr>
          <w:p w:rsidR="00EA40A3" w:rsidRDefault="00E86C16">
            <w:pPr>
              <w:spacing w:before="101" w:line="182" w:lineRule="auto"/>
              <w:ind w:left="24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84" w:line="200" w:lineRule="auto"/>
              <w:ind w:left="198"/>
              <w:rPr>
                <w:rFonts w:ascii="宋体" w:eastAsia="宋体" w:hAnsi="宋体" w:cs="宋体"/>
                <w:sz w:val="17"/>
                <w:szCs w:val="17"/>
              </w:rPr>
            </w:pPr>
            <w:r>
              <w:rPr>
                <w:rFonts w:ascii="宋体" w:eastAsia="宋体" w:hAnsi="宋体" w:cs="宋体"/>
                <w:sz w:val="17"/>
                <w:szCs w:val="17"/>
              </w:rPr>
              <w:t>*</w:t>
            </w:r>
          </w:p>
        </w:tc>
        <w:tc>
          <w:tcPr>
            <w:tcW w:w="506" w:type="dxa"/>
          </w:tcPr>
          <w:p w:rsidR="00EA40A3" w:rsidRDefault="00E86C16">
            <w:pPr>
              <w:spacing w:before="91" w:line="183" w:lineRule="auto"/>
              <w:ind w:left="153"/>
              <w:rPr>
                <w:rFonts w:ascii="宋体" w:eastAsia="宋体" w:hAnsi="宋体" w:cs="宋体"/>
                <w:sz w:val="17"/>
                <w:szCs w:val="17"/>
              </w:rPr>
            </w:pPr>
            <w:r>
              <w:rPr>
                <w:rFonts w:ascii="宋体" w:eastAsia="宋体" w:hAnsi="宋体" w:cs="宋体"/>
                <w:sz w:val="17"/>
                <w:szCs w:val="17"/>
              </w:rPr>
              <w:t>0</w:t>
            </w:r>
          </w:p>
        </w:tc>
        <w:tc>
          <w:tcPr>
            <w:tcW w:w="550" w:type="dxa"/>
          </w:tcPr>
          <w:p w:rsidR="00EA40A3" w:rsidRDefault="00E86C16">
            <w:pPr>
              <w:spacing w:before="74" w:line="211" w:lineRule="auto"/>
              <w:ind w:left="237"/>
              <w:rPr>
                <w:rFonts w:ascii="宋体" w:eastAsia="宋体" w:hAnsi="宋体" w:cs="宋体"/>
                <w:sz w:val="17"/>
                <w:szCs w:val="17"/>
              </w:rPr>
            </w:pPr>
            <w:r>
              <w:rPr>
                <w:rFonts w:ascii="宋体" w:eastAsia="宋体" w:hAnsi="宋体" w:cs="宋体"/>
                <w:sz w:val="17"/>
                <w:szCs w:val="17"/>
              </w:rPr>
              <w:t>?</w:t>
            </w:r>
          </w:p>
        </w:tc>
        <w:tc>
          <w:tcPr>
            <w:tcW w:w="525" w:type="dxa"/>
          </w:tcPr>
          <w:p w:rsidR="00EA40A3" w:rsidRDefault="00E86C16">
            <w:pPr>
              <w:spacing w:before="91" w:line="183" w:lineRule="auto"/>
              <w:ind w:left="236"/>
              <w:rPr>
                <w:rFonts w:ascii="宋体" w:eastAsia="宋体" w:hAnsi="宋体" w:cs="宋体"/>
                <w:sz w:val="17"/>
                <w:szCs w:val="17"/>
              </w:rPr>
            </w:pPr>
            <w:r>
              <w:rPr>
                <w:rFonts w:ascii="宋体" w:eastAsia="宋体" w:hAnsi="宋体" w:cs="宋体"/>
                <w:spacing w:val="-3"/>
                <w:sz w:val="17"/>
                <w:szCs w:val="17"/>
              </w:rPr>
              <w:t>50</w:t>
            </w:r>
          </w:p>
        </w:tc>
        <w:tc>
          <w:tcPr>
            <w:tcW w:w="569" w:type="dxa"/>
          </w:tcPr>
          <w:p w:rsidR="00EA40A3" w:rsidRDefault="00E86C16">
            <w:pPr>
              <w:spacing w:before="91" w:line="183" w:lineRule="auto"/>
              <w:ind w:left="252"/>
              <w:rPr>
                <w:rFonts w:ascii="宋体" w:eastAsia="宋体" w:hAnsi="宋体" w:cs="宋体"/>
                <w:sz w:val="17"/>
                <w:szCs w:val="17"/>
              </w:rPr>
            </w:pPr>
            <w:r>
              <w:rPr>
                <w:rFonts w:ascii="宋体" w:eastAsia="宋体" w:hAnsi="宋体" w:cs="宋体"/>
                <w:sz w:val="17"/>
                <w:szCs w:val="17"/>
              </w:rPr>
              <w:t>0</w:t>
            </w:r>
          </w:p>
        </w:tc>
        <w:tc>
          <w:tcPr>
            <w:tcW w:w="584" w:type="dxa"/>
          </w:tcPr>
          <w:p w:rsidR="00EA40A3" w:rsidRDefault="00E86C16">
            <w:pPr>
              <w:spacing w:before="91" w:line="183"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81" w:line="183" w:lineRule="auto"/>
              <w:ind w:left="179"/>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101" w:line="182" w:lineRule="auto"/>
              <w:ind w:left="25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111" w:line="171"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64"/>
        </w:trPr>
        <w:tc>
          <w:tcPr>
            <w:tcW w:w="1184" w:type="dxa"/>
          </w:tcPr>
          <w:p w:rsidR="00EA40A3" w:rsidRDefault="00E86C16">
            <w:pPr>
              <w:spacing w:before="47" w:line="219" w:lineRule="auto"/>
              <w:ind w:left="439"/>
              <w:rPr>
                <w:rFonts w:ascii="宋体" w:eastAsia="宋体" w:hAnsi="宋体" w:cs="宋体"/>
                <w:sz w:val="17"/>
                <w:szCs w:val="17"/>
              </w:rPr>
            </w:pPr>
            <w:r>
              <w:rPr>
                <w:rFonts w:ascii="宋体" w:eastAsia="宋体" w:hAnsi="宋体" w:cs="宋体"/>
                <w:spacing w:val="-2"/>
                <w:sz w:val="17"/>
                <w:szCs w:val="17"/>
              </w:rPr>
              <w:t>浓缩</w:t>
            </w:r>
          </w:p>
        </w:tc>
        <w:tc>
          <w:tcPr>
            <w:tcW w:w="591" w:type="dxa"/>
          </w:tcPr>
          <w:p w:rsidR="00EA40A3" w:rsidRDefault="00E86C16">
            <w:pPr>
              <w:spacing w:before="102" w:line="175" w:lineRule="auto"/>
              <w:ind w:left="275"/>
              <w:rPr>
                <w:rFonts w:ascii="宋体" w:eastAsia="宋体" w:hAnsi="宋体" w:cs="宋体"/>
                <w:sz w:val="17"/>
                <w:szCs w:val="17"/>
              </w:rPr>
            </w:pPr>
            <w:r>
              <w:rPr>
                <w:rFonts w:ascii="宋体" w:eastAsia="宋体" w:hAnsi="宋体" w:cs="宋体"/>
                <w:sz w:val="17"/>
                <w:szCs w:val="17"/>
              </w:rPr>
              <w:t>0</w:t>
            </w:r>
          </w:p>
        </w:tc>
        <w:tc>
          <w:tcPr>
            <w:tcW w:w="547" w:type="dxa"/>
          </w:tcPr>
          <w:p w:rsidR="00EA40A3" w:rsidRDefault="00E86C16">
            <w:pPr>
              <w:spacing w:before="92" w:line="183" w:lineRule="auto"/>
              <w:ind w:left="24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86" w:line="193" w:lineRule="auto"/>
              <w:ind w:left="198"/>
              <w:rPr>
                <w:rFonts w:ascii="宋体" w:eastAsia="宋体" w:hAnsi="宋体" w:cs="宋体"/>
                <w:sz w:val="17"/>
                <w:szCs w:val="17"/>
              </w:rPr>
            </w:pPr>
            <w:r>
              <w:rPr>
                <w:rFonts w:ascii="宋体" w:eastAsia="宋体" w:hAnsi="宋体" w:cs="宋体"/>
                <w:sz w:val="17"/>
                <w:szCs w:val="17"/>
              </w:rPr>
              <w:t>*</w:t>
            </w:r>
          </w:p>
        </w:tc>
        <w:tc>
          <w:tcPr>
            <w:tcW w:w="506" w:type="dxa"/>
          </w:tcPr>
          <w:p w:rsidR="00EA40A3" w:rsidRDefault="00E86C16">
            <w:pPr>
              <w:spacing w:before="76" w:line="204" w:lineRule="auto"/>
              <w:ind w:left="153"/>
              <w:rPr>
                <w:rFonts w:ascii="宋体" w:eastAsia="宋体" w:hAnsi="宋体" w:cs="宋体"/>
                <w:sz w:val="17"/>
                <w:szCs w:val="17"/>
              </w:rPr>
            </w:pPr>
            <w:r>
              <w:rPr>
                <w:rFonts w:ascii="宋体" w:eastAsia="宋体" w:hAnsi="宋体" w:cs="宋体"/>
                <w:sz w:val="17"/>
                <w:szCs w:val="17"/>
              </w:rPr>
              <w:t>?</w:t>
            </w:r>
          </w:p>
        </w:tc>
        <w:tc>
          <w:tcPr>
            <w:tcW w:w="550" w:type="dxa"/>
          </w:tcPr>
          <w:p w:rsidR="00EA40A3" w:rsidRDefault="00E86C16">
            <w:pPr>
              <w:spacing w:before="76" w:line="204" w:lineRule="auto"/>
              <w:ind w:left="237"/>
              <w:rPr>
                <w:rFonts w:ascii="宋体" w:eastAsia="宋体" w:hAnsi="宋体" w:cs="宋体"/>
                <w:sz w:val="17"/>
                <w:szCs w:val="17"/>
              </w:rPr>
            </w:pPr>
            <w:r>
              <w:rPr>
                <w:rFonts w:ascii="宋体" w:eastAsia="宋体" w:hAnsi="宋体" w:cs="宋体"/>
                <w:sz w:val="17"/>
                <w:szCs w:val="17"/>
              </w:rPr>
              <w:t>?</w:t>
            </w:r>
          </w:p>
        </w:tc>
        <w:tc>
          <w:tcPr>
            <w:tcW w:w="525" w:type="dxa"/>
          </w:tcPr>
          <w:p w:rsidR="00EA40A3" w:rsidRDefault="00E86C16">
            <w:pPr>
              <w:spacing w:before="76" w:line="204" w:lineRule="auto"/>
              <w:ind w:left="216"/>
              <w:rPr>
                <w:rFonts w:ascii="宋体" w:eastAsia="宋体" w:hAnsi="宋体" w:cs="宋体"/>
                <w:sz w:val="17"/>
                <w:szCs w:val="17"/>
              </w:rPr>
            </w:pPr>
            <w:r>
              <w:rPr>
                <w:rFonts w:ascii="宋体" w:eastAsia="宋体" w:hAnsi="宋体" w:cs="宋体"/>
                <w:sz w:val="17"/>
                <w:szCs w:val="17"/>
              </w:rPr>
              <w:t>?</w:t>
            </w:r>
          </w:p>
        </w:tc>
        <w:tc>
          <w:tcPr>
            <w:tcW w:w="569" w:type="dxa"/>
          </w:tcPr>
          <w:p w:rsidR="00EA40A3" w:rsidRDefault="00E86C16">
            <w:pPr>
              <w:spacing w:before="91" w:line="184" w:lineRule="auto"/>
              <w:ind w:left="211"/>
              <w:rPr>
                <w:rFonts w:ascii="宋体" w:eastAsia="宋体" w:hAnsi="宋体" w:cs="宋体"/>
                <w:sz w:val="17"/>
                <w:szCs w:val="17"/>
              </w:rPr>
            </w:pPr>
            <w:r>
              <w:rPr>
                <w:rFonts w:ascii="宋体" w:eastAsia="宋体" w:hAnsi="宋体" w:cs="宋体"/>
                <w:spacing w:val="-5"/>
                <w:sz w:val="17"/>
                <w:szCs w:val="17"/>
              </w:rPr>
              <w:t>10</w:t>
            </w:r>
          </w:p>
        </w:tc>
        <w:tc>
          <w:tcPr>
            <w:tcW w:w="584" w:type="dxa"/>
          </w:tcPr>
          <w:p w:rsidR="00EA40A3" w:rsidRDefault="00E86C16">
            <w:pPr>
              <w:spacing w:before="102" w:line="175"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92" w:line="183" w:lineRule="auto"/>
              <w:ind w:left="179"/>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102" w:line="175" w:lineRule="auto"/>
              <w:ind w:left="25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102" w:line="175"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84"/>
        </w:trPr>
        <w:tc>
          <w:tcPr>
            <w:tcW w:w="1184" w:type="dxa"/>
          </w:tcPr>
          <w:p w:rsidR="00EA40A3" w:rsidRDefault="00E86C16">
            <w:pPr>
              <w:spacing w:before="53" w:line="219" w:lineRule="auto"/>
              <w:ind w:left="270"/>
              <w:rPr>
                <w:rFonts w:ascii="宋体" w:eastAsia="宋体" w:hAnsi="宋体" w:cs="宋体"/>
                <w:sz w:val="17"/>
                <w:szCs w:val="17"/>
              </w:rPr>
            </w:pPr>
            <w:r>
              <w:rPr>
                <w:rFonts w:ascii="宋体" w:eastAsia="宋体" w:hAnsi="宋体" w:cs="宋体"/>
                <w:spacing w:val="-2"/>
                <w:sz w:val="17"/>
                <w:szCs w:val="17"/>
              </w:rPr>
              <w:t>加糖浓缩</w:t>
            </w:r>
          </w:p>
        </w:tc>
        <w:tc>
          <w:tcPr>
            <w:tcW w:w="591" w:type="dxa"/>
          </w:tcPr>
          <w:p w:rsidR="00EA40A3" w:rsidRDefault="00E86C16">
            <w:pPr>
              <w:spacing w:before="108" w:line="183" w:lineRule="auto"/>
              <w:ind w:left="275"/>
              <w:rPr>
                <w:rFonts w:ascii="宋体" w:eastAsia="宋体" w:hAnsi="宋体" w:cs="宋体"/>
                <w:sz w:val="17"/>
                <w:szCs w:val="17"/>
              </w:rPr>
            </w:pPr>
            <w:r>
              <w:rPr>
                <w:rFonts w:ascii="宋体" w:eastAsia="宋体" w:hAnsi="宋体" w:cs="宋体"/>
                <w:sz w:val="17"/>
                <w:szCs w:val="17"/>
              </w:rPr>
              <w:t>0</w:t>
            </w:r>
          </w:p>
        </w:tc>
        <w:tc>
          <w:tcPr>
            <w:tcW w:w="547" w:type="dxa"/>
          </w:tcPr>
          <w:p w:rsidR="00EA40A3" w:rsidRDefault="00E86C16">
            <w:pPr>
              <w:spacing w:before="98" w:line="183" w:lineRule="auto"/>
              <w:ind w:left="24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108" w:line="183" w:lineRule="auto"/>
              <w:ind w:left="198"/>
              <w:rPr>
                <w:rFonts w:ascii="宋体" w:eastAsia="宋体" w:hAnsi="宋体" w:cs="宋体"/>
                <w:sz w:val="17"/>
                <w:szCs w:val="17"/>
              </w:rPr>
            </w:pPr>
            <w:r>
              <w:rPr>
                <w:rFonts w:ascii="宋体" w:eastAsia="宋体" w:hAnsi="宋体" w:cs="宋体"/>
                <w:sz w:val="17"/>
                <w:szCs w:val="17"/>
              </w:rPr>
              <w:t>0</w:t>
            </w:r>
          </w:p>
        </w:tc>
        <w:tc>
          <w:tcPr>
            <w:tcW w:w="506" w:type="dxa"/>
          </w:tcPr>
          <w:p w:rsidR="00EA40A3" w:rsidRDefault="00E86C16">
            <w:pPr>
              <w:spacing w:before="108" w:line="183" w:lineRule="auto"/>
              <w:ind w:left="153"/>
              <w:rPr>
                <w:rFonts w:ascii="宋体" w:eastAsia="宋体" w:hAnsi="宋体" w:cs="宋体"/>
                <w:sz w:val="17"/>
                <w:szCs w:val="17"/>
              </w:rPr>
            </w:pPr>
            <w:r>
              <w:rPr>
                <w:rFonts w:ascii="宋体" w:eastAsia="宋体" w:hAnsi="宋体" w:cs="宋体"/>
                <w:sz w:val="17"/>
                <w:szCs w:val="17"/>
              </w:rPr>
              <w:t>0</w:t>
            </w:r>
          </w:p>
        </w:tc>
        <w:tc>
          <w:tcPr>
            <w:tcW w:w="550" w:type="dxa"/>
          </w:tcPr>
          <w:p w:rsidR="00EA40A3" w:rsidRDefault="00E86C16">
            <w:pPr>
              <w:spacing w:before="92" w:line="208" w:lineRule="auto"/>
              <w:ind w:left="237"/>
              <w:rPr>
                <w:rFonts w:ascii="宋体" w:eastAsia="宋体" w:hAnsi="宋体" w:cs="宋体"/>
                <w:sz w:val="17"/>
                <w:szCs w:val="17"/>
              </w:rPr>
            </w:pPr>
            <w:r>
              <w:rPr>
                <w:rFonts w:ascii="宋体" w:eastAsia="宋体" w:hAnsi="宋体" w:cs="宋体"/>
                <w:sz w:val="17"/>
                <w:szCs w:val="17"/>
              </w:rPr>
              <w:t>?</w:t>
            </w:r>
          </w:p>
        </w:tc>
        <w:tc>
          <w:tcPr>
            <w:tcW w:w="525" w:type="dxa"/>
          </w:tcPr>
          <w:p w:rsidR="00EA40A3" w:rsidRDefault="00E86C16">
            <w:pPr>
              <w:spacing w:before="82" w:line="219" w:lineRule="auto"/>
              <w:ind w:left="196"/>
              <w:rPr>
                <w:rFonts w:ascii="宋体" w:eastAsia="宋体" w:hAnsi="宋体" w:cs="宋体"/>
                <w:sz w:val="17"/>
                <w:szCs w:val="17"/>
              </w:rPr>
            </w:pPr>
            <w:r>
              <w:rPr>
                <w:rFonts w:ascii="宋体" w:eastAsia="宋体" w:hAnsi="宋体" w:cs="宋体"/>
                <w:sz w:val="17"/>
                <w:szCs w:val="17"/>
              </w:rPr>
              <w:t>?</w:t>
            </w:r>
          </w:p>
        </w:tc>
        <w:tc>
          <w:tcPr>
            <w:tcW w:w="569" w:type="dxa"/>
          </w:tcPr>
          <w:p w:rsidR="00EA40A3" w:rsidRDefault="00E86C16">
            <w:pPr>
              <w:spacing w:before="107" w:line="184" w:lineRule="auto"/>
              <w:ind w:left="211"/>
              <w:rPr>
                <w:rFonts w:ascii="宋体" w:eastAsia="宋体" w:hAnsi="宋体" w:cs="宋体"/>
                <w:sz w:val="17"/>
                <w:szCs w:val="17"/>
              </w:rPr>
            </w:pPr>
            <w:r>
              <w:rPr>
                <w:rFonts w:ascii="宋体" w:eastAsia="宋体" w:hAnsi="宋体" w:cs="宋体"/>
                <w:spacing w:val="-5"/>
                <w:sz w:val="17"/>
                <w:szCs w:val="17"/>
              </w:rPr>
              <w:t>10</w:t>
            </w:r>
          </w:p>
        </w:tc>
        <w:tc>
          <w:tcPr>
            <w:tcW w:w="584" w:type="dxa"/>
          </w:tcPr>
          <w:p w:rsidR="00EA40A3" w:rsidRDefault="00E86C16">
            <w:pPr>
              <w:spacing w:before="108" w:line="183"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99" w:line="182" w:lineRule="auto"/>
              <w:ind w:left="168"/>
              <w:rPr>
                <w:rFonts w:ascii="宋体" w:eastAsia="宋体" w:hAnsi="宋体" w:cs="宋体"/>
                <w:sz w:val="17"/>
                <w:szCs w:val="17"/>
              </w:rPr>
            </w:pPr>
            <w:r>
              <w:rPr>
                <w:rFonts w:ascii="宋体" w:eastAsia="宋体" w:hAnsi="宋体" w:cs="宋体"/>
                <w:sz w:val="17"/>
                <w:szCs w:val="17"/>
              </w:rPr>
              <w:t>5</w:t>
            </w:r>
          </w:p>
        </w:tc>
        <w:tc>
          <w:tcPr>
            <w:tcW w:w="576" w:type="dxa"/>
          </w:tcPr>
          <w:p w:rsidR="00EA40A3" w:rsidRDefault="00E86C16">
            <w:pPr>
              <w:spacing w:before="108" w:line="183" w:lineRule="auto"/>
              <w:ind w:left="250"/>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119" w:line="179"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65"/>
        </w:trPr>
        <w:tc>
          <w:tcPr>
            <w:tcW w:w="1184" w:type="dxa"/>
          </w:tcPr>
          <w:p w:rsidR="00EA40A3" w:rsidRDefault="00E86C16">
            <w:pPr>
              <w:spacing w:before="59" w:line="219" w:lineRule="auto"/>
              <w:ind w:left="270"/>
              <w:rPr>
                <w:rFonts w:ascii="宋体" w:eastAsia="宋体" w:hAnsi="宋体" w:cs="宋体"/>
                <w:sz w:val="17"/>
                <w:szCs w:val="17"/>
              </w:rPr>
            </w:pPr>
            <w:r>
              <w:rPr>
                <w:rFonts w:ascii="宋体" w:eastAsia="宋体" w:hAnsi="宋体" w:cs="宋体"/>
                <w:spacing w:val="-2"/>
                <w:sz w:val="17"/>
                <w:szCs w:val="17"/>
              </w:rPr>
              <w:t>滚筒干燥</w:t>
            </w:r>
          </w:p>
        </w:tc>
        <w:tc>
          <w:tcPr>
            <w:tcW w:w="591" w:type="dxa"/>
          </w:tcPr>
          <w:p w:rsidR="00EA40A3" w:rsidRDefault="00E86C16">
            <w:pPr>
              <w:spacing w:before="95" w:line="182" w:lineRule="auto"/>
              <w:ind w:left="275"/>
              <w:rPr>
                <w:rFonts w:ascii="宋体" w:eastAsia="宋体" w:hAnsi="宋体" w:cs="宋体"/>
                <w:sz w:val="17"/>
                <w:szCs w:val="17"/>
              </w:rPr>
            </w:pPr>
            <w:r>
              <w:rPr>
                <w:rFonts w:ascii="宋体" w:eastAsia="宋体" w:hAnsi="宋体" w:cs="宋体"/>
                <w:sz w:val="17"/>
                <w:szCs w:val="17"/>
              </w:rPr>
              <w:t>5</w:t>
            </w:r>
          </w:p>
        </w:tc>
        <w:tc>
          <w:tcPr>
            <w:tcW w:w="547" w:type="dxa"/>
          </w:tcPr>
          <w:p w:rsidR="00EA40A3" w:rsidRDefault="00E86C16">
            <w:pPr>
              <w:spacing w:before="104" w:line="174" w:lineRule="auto"/>
              <w:ind w:left="245"/>
              <w:rPr>
                <w:rFonts w:ascii="宋体" w:eastAsia="宋体" w:hAnsi="宋体" w:cs="宋体"/>
                <w:sz w:val="17"/>
                <w:szCs w:val="17"/>
              </w:rPr>
            </w:pPr>
            <w:r>
              <w:rPr>
                <w:rFonts w:ascii="宋体" w:eastAsia="宋体" w:hAnsi="宋体" w:cs="宋体"/>
                <w:sz w:val="17"/>
                <w:szCs w:val="17"/>
              </w:rPr>
              <w:t>0</w:t>
            </w:r>
          </w:p>
        </w:tc>
        <w:tc>
          <w:tcPr>
            <w:tcW w:w="605" w:type="dxa"/>
          </w:tcPr>
          <w:p w:rsidR="00EA40A3" w:rsidRDefault="00E86C16">
            <w:pPr>
              <w:spacing w:before="94" w:line="183" w:lineRule="auto"/>
              <w:ind w:left="198"/>
              <w:rPr>
                <w:rFonts w:ascii="宋体" w:eastAsia="宋体" w:hAnsi="宋体" w:cs="宋体"/>
                <w:sz w:val="17"/>
                <w:szCs w:val="17"/>
              </w:rPr>
            </w:pPr>
            <w:r>
              <w:rPr>
                <w:rFonts w:ascii="宋体" w:eastAsia="宋体" w:hAnsi="宋体" w:cs="宋体"/>
                <w:sz w:val="17"/>
                <w:szCs w:val="17"/>
              </w:rPr>
              <w:t>0</w:t>
            </w:r>
          </w:p>
        </w:tc>
        <w:tc>
          <w:tcPr>
            <w:tcW w:w="506" w:type="dxa"/>
          </w:tcPr>
          <w:p w:rsidR="00EA40A3" w:rsidRDefault="00E86C16">
            <w:pPr>
              <w:spacing w:before="78" w:line="203" w:lineRule="auto"/>
              <w:ind w:left="153"/>
              <w:rPr>
                <w:rFonts w:ascii="宋体" w:eastAsia="宋体" w:hAnsi="宋体" w:cs="宋体"/>
                <w:sz w:val="17"/>
                <w:szCs w:val="17"/>
              </w:rPr>
            </w:pPr>
            <w:r>
              <w:rPr>
                <w:rFonts w:ascii="宋体" w:eastAsia="宋体" w:hAnsi="宋体" w:cs="宋体"/>
                <w:sz w:val="17"/>
                <w:szCs w:val="17"/>
              </w:rPr>
              <w:t>?</w:t>
            </w:r>
          </w:p>
        </w:tc>
        <w:tc>
          <w:tcPr>
            <w:tcW w:w="550" w:type="dxa"/>
          </w:tcPr>
          <w:p w:rsidR="00EA40A3" w:rsidRDefault="00E86C16">
            <w:pPr>
              <w:spacing w:before="67" w:line="214" w:lineRule="auto"/>
              <w:ind w:left="237"/>
              <w:rPr>
                <w:rFonts w:ascii="宋体" w:eastAsia="宋体" w:hAnsi="宋体" w:cs="宋体"/>
                <w:sz w:val="17"/>
                <w:szCs w:val="17"/>
              </w:rPr>
            </w:pPr>
            <w:r>
              <w:rPr>
                <w:rFonts w:ascii="宋体" w:eastAsia="宋体" w:hAnsi="宋体" w:cs="宋体"/>
                <w:sz w:val="17"/>
                <w:szCs w:val="17"/>
              </w:rPr>
              <w:t>?</w:t>
            </w:r>
          </w:p>
        </w:tc>
        <w:tc>
          <w:tcPr>
            <w:tcW w:w="525" w:type="dxa"/>
          </w:tcPr>
          <w:p w:rsidR="00EA40A3" w:rsidRDefault="00E86C16">
            <w:pPr>
              <w:spacing w:before="78" w:line="203" w:lineRule="auto"/>
              <w:ind w:left="196"/>
              <w:rPr>
                <w:rFonts w:ascii="宋体" w:eastAsia="宋体" w:hAnsi="宋体" w:cs="宋体"/>
                <w:sz w:val="17"/>
                <w:szCs w:val="17"/>
              </w:rPr>
            </w:pPr>
            <w:r>
              <w:rPr>
                <w:rFonts w:ascii="宋体" w:eastAsia="宋体" w:hAnsi="宋体" w:cs="宋体"/>
                <w:sz w:val="17"/>
                <w:szCs w:val="17"/>
              </w:rPr>
              <w:t>?</w:t>
            </w:r>
          </w:p>
        </w:tc>
        <w:tc>
          <w:tcPr>
            <w:tcW w:w="569" w:type="dxa"/>
          </w:tcPr>
          <w:p w:rsidR="00EA40A3" w:rsidRDefault="00E86C16">
            <w:pPr>
              <w:spacing w:before="103" w:line="175" w:lineRule="auto"/>
              <w:ind w:left="211"/>
              <w:rPr>
                <w:rFonts w:ascii="宋体" w:eastAsia="宋体" w:hAnsi="宋体" w:cs="宋体"/>
                <w:sz w:val="17"/>
                <w:szCs w:val="17"/>
              </w:rPr>
            </w:pPr>
            <w:r>
              <w:rPr>
                <w:rFonts w:ascii="宋体" w:eastAsia="宋体" w:hAnsi="宋体" w:cs="宋体"/>
                <w:spacing w:val="-5"/>
                <w:sz w:val="17"/>
                <w:szCs w:val="17"/>
              </w:rPr>
              <w:t>10</w:t>
            </w:r>
          </w:p>
        </w:tc>
        <w:tc>
          <w:tcPr>
            <w:tcW w:w="584" w:type="dxa"/>
          </w:tcPr>
          <w:p w:rsidR="00EA40A3" w:rsidRDefault="00E86C16">
            <w:pPr>
              <w:spacing w:before="104" w:line="174" w:lineRule="auto"/>
              <w:ind w:left="243"/>
              <w:rPr>
                <w:rFonts w:ascii="宋体" w:eastAsia="宋体" w:hAnsi="宋体" w:cs="宋体"/>
                <w:sz w:val="17"/>
                <w:szCs w:val="17"/>
              </w:rPr>
            </w:pPr>
            <w:r>
              <w:rPr>
                <w:rFonts w:ascii="宋体" w:eastAsia="宋体" w:hAnsi="宋体" w:cs="宋体"/>
                <w:sz w:val="17"/>
                <w:szCs w:val="17"/>
              </w:rPr>
              <w:t>0</w:t>
            </w:r>
          </w:p>
        </w:tc>
        <w:tc>
          <w:tcPr>
            <w:tcW w:w="488" w:type="dxa"/>
          </w:tcPr>
          <w:p w:rsidR="00EA40A3" w:rsidRDefault="00E86C16">
            <w:pPr>
              <w:spacing w:before="104" w:line="174" w:lineRule="auto"/>
              <w:ind w:left="168"/>
              <w:rPr>
                <w:rFonts w:ascii="宋体" w:eastAsia="宋体" w:hAnsi="宋体" w:cs="宋体"/>
                <w:sz w:val="17"/>
                <w:szCs w:val="17"/>
              </w:rPr>
            </w:pPr>
            <w:r>
              <w:rPr>
                <w:rFonts w:ascii="宋体" w:eastAsia="宋体" w:hAnsi="宋体" w:cs="宋体"/>
                <w:sz w:val="17"/>
                <w:szCs w:val="17"/>
              </w:rPr>
              <w:t>0</w:t>
            </w:r>
          </w:p>
        </w:tc>
        <w:tc>
          <w:tcPr>
            <w:tcW w:w="576" w:type="dxa"/>
          </w:tcPr>
          <w:p w:rsidR="00EA40A3" w:rsidRDefault="00E86C16">
            <w:pPr>
              <w:spacing w:before="114" w:line="163" w:lineRule="auto"/>
              <w:ind w:left="231"/>
              <w:rPr>
                <w:rFonts w:ascii="宋体" w:eastAsia="宋体" w:hAnsi="宋体" w:cs="宋体"/>
                <w:sz w:val="17"/>
                <w:szCs w:val="17"/>
              </w:rPr>
            </w:pPr>
            <w:r>
              <w:rPr>
                <w:rFonts w:ascii="宋体" w:eastAsia="宋体" w:hAnsi="宋体" w:cs="宋体"/>
                <w:sz w:val="17"/>
                <w:szCs w:val="17"/>
              </w:rPr>
              <w:t>0</w:t>
            </w:r>
          </w:p>
        </w:tc>
        <w:tc>
          <w:tcPr>
            <w:tcW w:w="615" w:type="dxa"/>
          </w:tcPr>
          <w:p w:rsidR="00EA40A3" w:rsidRDefault="00E86C16">
            <w:pPr>
              <w:spacing w:before="114" w:line="163" w:lineRule="auto"/>
              <w:ind w:left="275"/>
              <w:rPr>
                <w:rFonts w:ascii="宋体" w:eastAsia="宋体" w:hAnsi="宋体" w:cs="宋体"/>
                <w:sz w:val="17"/>
                <w:szCs w:val="17"/>
              </w:rPr>
            </w:pPr>
            <w:r>
              <w:rPr>
                <w:rFonts w:ascii="宋体" w:eastAsia="宋体" w:hAnsi="宋体" w:cs="宋体"/>
                <w:sz w:val="17"/>
                <w:szCs w:val="17"/>
              </w:rPr>
              <w:t>0</w:t>
            </w:r>
          </w:p>
        </w:tc>
      </w:tr>
      <w:tr w:rsidR="00EA40A3">
        <w:trPr>
          <w:trHeight w:val="264"/>
        </w:trPr>
        <w:tc>
          <w:tcPr>
            <w:tcW w:w="1184" w:type="dxa"/>
            <w:tcBorders>
              <w:bottom w:val="single" w:sz="4" w:space="0" w:color="000000"/>
            </w:tcBorders>
          </w:tcPr>
          <w:p w:rsidR="00EA40A3" w:rsidRDefault="00E86C16">
            <w:pPr>
              <w:spacing w:before="54" w:line="219" w:lineRule="auto"/>
              <w:ind w:left="270"/>
              <w:rPr>
                <w:rFonts w:ascii="宋体" w:eastAsia="宋体" w:hAnsi="宋体" w:cs="宋体"/>
                <w:sz w:val="17"/>
                <w:szCs w:val="17"/>
              </w:rPr>
            </w:pPr>
            <w:r>
              <w:rPr>
                <w:rFonts w:ascii="宋体" w:eastAsia="宋体" w:hAnsi="宋体" w:cs="宋体"/>
                <w:spacing w:val="-3"/>
                <w:sz w:val="17"/>
                <w:szCs w:val="17"/>
              </w:rPr>
              <w:t>喷雾干燥</w:t>
            </w:r>
          </w:p>
        </w:tc>
        <w:tc>
          <w:tcPr>
            <w:tcW w:w="591" w:type="dxa"/>
            <w:tcBorders>
              <w:bottom w:val="single" w:sz="4" w:space="0" w:color="000000"/>
            </w:tcBorders>
          </w:tcPr>
          <w:p w:rsidR="00EA40A3" w:rsidRDefault="00E86C16">
            <w:pPr>
              <w:spacing w:before="100" w:line="178" w:lineRule="auto"/>
              <w:ind w:left="275"/>
              <w:rPr>
                <w:rFonts w:ascii="宋体" w:eastAsia="宋体" w:hAnsi="宋体" w:cs="宋体"/>
                <w:sz w:val="17"/>
                <w:szCs w:val="17"/>
              </w:rPr>
            </w:pPr>
            <w:r>
              <w:rPr>
                <w:rFonts w:ascii="宋体" w:eastAsia="宋体" w:hAnsi="宋体" w:cs="宋体"/>
                <w:sz w:val="17"/>
                <w:szCs w:val="17"/>
              </w:rPr>
              <w:t>0</w:t>
            </w:r>
          </w:p>
        </w:tc>
        <w:tc>
          <w:tcPr>
            <w:tcW w:w="547" w:type="dxa"/>
            <w:tcBorders>
              <w:bottom w:val="single" w:sz="4" w:space="0" w:color="000000"/>
            </w:tcBorders>
          </w:tcPr>
          <w:p w:rsidR="00EA40A3" w:rsidRDefault="00E86C16">
            <w:pPr>
              <w:spacing w:before="119" w:line="157" w:lineRule="auto"/>
              <w:ind w:left="245"/>
              <w:rPr>
                <w:rFonts w:ascii="宋体" w:eastAsia="宋体" w:hAnsi="宋体" w:cs="宋体"/>
                <w:sz w:val="17"/>
                <w:szCs w:val="17"/>
              </w:rPr>
            </w:pPr>
            <w:r>
              <w:rPr>
                <w:rFonts w:ascii="宋体" w:eastAsia="宋体" w:hAnsi="宋体" w:cs="宋体"/>
                <w:sz w:val="17"/>
                <w:szCs w:val="17"/>
              </w:rPr>
              <w:t>0</w:t>
            </w:r>
          </w:p>
        </w:tc>
        <w:tc>
          <w:tcPr>
            <w:tcW w:w="605" w:type="dxa"/>
            <w:tcBorders>
              <w:bottom w:val="single" w:sz="4" w:space="0" w:color="000000"/>
            </w:tcBorders>
          </w:tcPr>
          <w:p w:rsidR="00EA40A3" w:rsidRDefault="00E86C16">
            <w:pPr>
              <w:spacing w:before="119" w:line="157" w:lineRule="auto"/>
              <w:ind w:left="198"/>
              <w:rPr>
                <w:rFonts w:ascii="宋体" w:eastAsia="宋体" w:hAnsi="宋体" w:cs="宋体"/>
                <w:sz w:val="17"/>
                <w:szCs w:val="17"/>
              </w:rPr>
            </w:pPr>
            <w:r>
              <w:rPr>
                <w:rFonts w:ascii="宋体" w:eastAsia="宋体" w:hAnsi="宋体" w:cs="宋体"/>
                <w:sz w:val="17"/>
                <w:szCs w:val="17"/>
              </w:rPr>
              <w:t>0</w:t>
            </w:r>
          </w:p>
        </w:tc>
        <w:tc>
          <w:tcPr>
            <w:tcW w:w="506" w:type="dxa"/>
            <w:tcBorders>
              <w:bottom w:val="single" w:sz="4" w:space="0" w:color="000000"/>
            </w:tcBorders>
          </w:tcPr>
          <w:p w:rsidR="00EA40A3" w:rsidRDefault="00E86C16">
            <w:pPr>
              <w:spacing w:before="82" w:line="197" w:lineRule="auto"/>
              <w:ind w:left="153"/>
              <w:rPr>
                <w:rFonts w:ascii="宋体" w:eastAsia="宋体" w:hAnsi="宋体" w:cs="宋体"/>
                <w:sz w:val="17"/>
                <w:szCs w:val="17"/>
              </w:rPr>
            </w:pPr>
            <w:r>
              <w:rPr>
                <w:rFonts w:ascii="宋体" w:eastAsia="宋体" w:hAnsi="宋体" w:cs="宋体"/>
                <w:sz w:val="17"/>
                <w:szCs w:val="17"/>
              </w:rPr>
              <w:t>?</w:t>
            </w:r>
          </w:p>
        </w:tc>
        <w:tc>
          <w:tcPr>
            <w:tcW w:w="550" w:type="dxa"/>
            <w:tcBorders>
              <w:bottom w:val="single" w:sz="4" w:space="0" w:color="000000"/>
            </w:tcBorders>
          </w:tcPr>
          <w:p w:rsidR="00EA40A3" w:rsidRDefault="00E86C16">
            <w:pPr>
              <w:spacing w:before="82" w:line="197" w:lineRule="auto"/>
              <w:ind w:left="237"/>
              <w:rPr>
                <w:rFonts w:ascii="宋体" w:eastAsia="宋体" w:hAnsi="宋体" w:cs="宋体"/>
                <w:sz w:val="17"/>
                <w:szCs w:val="17"/>
              </w:rPr>
            </w:pPr>
            <w:r>
              <w:rPr>
                <w:rFonts w:ascii="宋体" w:eastAsia="宋体" w:hAnsi="宋体" w:cs="宋体"/>
                <w:sz w:val="17"/>
                <w:szCs w:val="17"/>
              </w:rPr>
              <w:t>?</w:t>
            </w:r>
          </w:p>
        </w:tc>
        <w:tc>
          <w:tcPr>
            <w:tcW w:w="525" w:type="dxa"/>
            <w:tcBorders>
              <w:bottom w:val="single" w:sz="4" w:space="0" w:color="000000"/>
            </w:tcBorders>
          </w:tcPr>
          <w:p w:rsidR="00EA40A3" w:rsidRDefault="00E86C16">
            <w:pPr>
              <w:spacing w:before="82" w:line="197" w:lineRule="auto"/>
              <w:ind w:left="196"/>
              <w:rPr>
                <w:rFonts w:ascii="宋体" w:eastAsia="宋体" w:hAnsi="宋体" w:cs="宋体"/>
                <w:sz w:val="17"/>
                <w:szCs w:val="17"/>
              </w:rPr>
            </w:pPr>
            <w:r>
              <w:rPr>
                <w:rFonts w:ascii="宋体" w:eastAsia="宋体" w:hAnsi="宋体" w:cs="宋体"/>
                <w:sz w:val="17"/>
                <w:szCs w:val="17"/>
              </w:rPr>
              <w:t>?</w:t>
            </w:r>
          </w:p>
        </w:tc>
        <w:tc>
          <w:tcPr>
            <w:tcW w:w="569" w:type="dxa"/>
            <w:tcBorders>
              <w:bottom w:val="single" w:sz="4" w:space="0" w:color="000000"/>
            </w:tcBorders>
          </w:tcPr>
          <w:p w:rsidR="00EA40A3" w:rsidRDefault="00E86C16">
            <w:pPr>
              <w:spacing w:before="109" w:line="168" w:lineRule="auto"/>
              <w:ind w:left="211"/>
              <w:rPr>
                <w:rFonts w:ascii="宋体" w:eastAsia="宋体" w:hAnsi="宋体" w:cs="宋体"/>
                <w:sz w:val="17"/>
                <w:szCs w:val="17"/>
              </w:rPr>
            </w:pPr>
            <w:r>
              <w:rPr>
                <w:rFonts w:ascii="宋体" w:eastAsia="宋体" w:hAnsi="宋体" w:cs="宋体"/>
                <w:spacing w:val="-5"/>
                <w:sz w:val="17"/>
                <w:szCs w:val="17"/>
              </w:rPr>
              <w:t>10</w:t>
            </w:r>
          </w:p>
        </w:tc>
        <w:tc>
          <w:tcPr>
            <w:tcW w:w="584" w:type="dxa"/>
            <w:tcBorders>
              <w:bottom w:val="single" w:sz="4" w:space="0" w:color="000000"/>
            </w:tcBorders>
          </w:tcPr>
          <w:p w:rsidR="00EA40A3" w:rsidRDefault="00E86C16">
            <w:pPr>
              <w:spacing w:before="129" w:line="134" w:lineRule="exact"/>
              <w:ind w:left="243"/>
              <w:rPr>
                <w:rFonts w:ascii="宋体" w:eastAsia="宋体" w:hAnsi="宋体" w:cs="宋体"/>
                <w:sz w:val="17"/>
                <w:szCs w:val="17"/>
              </w:rPr>
            </w:pPr>
            <w:r>
              <w:rPr>
                <w:rFonts w:ascii="宋体" w:eastAsia="宋体" w:hAnsi="宋体" w:cs="宋体"/>
                <w:position w:val="-2"/>
                <w:sz w:val="17"/>
                <w:szCs w:val="17"/>
              </w:rPr>
              <w:t>0</w:t>
            </w:r>
          </w:p>
        </w:tc>
        <w:tc>
          <w:tcPr>
            <w:tcW w:w="488" w:type="dxa"/>
            <w:tcBorders>
              <w:bottom w:val="single" w:sz="4" w:space="0" w:color="000000"/>
            </w:tcBorders>
          </w:tcPr>
          <w:p w:rsidR="00EA40A3" w:rsidRDefault="00E86C16">
            <w:pPr>
              <w:spacing w:before="129" w:line="134" w:lineRule="exact"/>
              <w:ind w:left="168"/>
              <w:rPr>
                <w:rFonts w:ascii="宋体" w:eastAsia="宋体" w:hAnsi="宋体" w:cs="宋体"/>
                <w:sz w:val="17"/>
                <w:szCs w:val="17"/>
              </w:rPr>
            </w:pPr>
            <w:r>
              <w:rPr>
                <w:rFonts w:ascii="宋体" w:eastAsia="宋体" w:hAnsi="宋体" w:cs="宋体"/>
                <w:position w:val="-2"/>
                <w:sz w:val="17"/>
                <w:szCs w:val="17"/>
              </w:rPr>
              <w:t>0</w:t>
            </w:r>
          </w:p>
        </w:tc>
        <w:tc>
          <w:tcPr>
            <w:tcW w:w="576" w:type="dxa"/>
            <w:tcBorders>
              <w:bottom w:val="single" w:sz="4" w:space="0" w:color="000000"/>
            </w:tcBorders>
          </w:tcPr>
          <w:p w:rsidR="00EA40A3" w:rsidRDefault="00E86C16">
            <w:pPr>
              <w:spacing w:before="139" w:line="124" w:lineRule="exact"/>
              <w:ind w:left="221"/>
              <w:rPr>
                <w:rFonts w:ascii="宋体" w:eastAsia="宋体" w:hAnsi="宋体" w:cs="宋体"/>
                <w:sz w:val="17"/>
                <w:szCs w:val="17"/>
              </w:rPr>
            </w:pPr>
            <w:r>
              <w:rPr>
                <w:rFonts w:ascii="宋体" w:eastAsia="宋体" w:hAnsi="宋体" w:cs="宋体"/>
                <w:position w:val="-2"/>
                <w:sz w:val="17"/>
                <w:szCs w:val="17"/>
              </w:rPr>
              <w:t>0</w:t>
            </w:r>
          </w:p>
        </w:tc>
        <w:tc>
          <w:tcPr>
            <w:tcW w:w="615" w:type="dxa"/>
            <w:tcBorders>
              <w:bottom w:val="single" w:sz="4" w:space="0" w:color="000000"/>
            </w:tcBorders>
          </w:tcPr>
          <w:p w:rsidR="00EA40A3" w:rsidRDefault="00E86C16">
            <w:pPr>
              <w:spacing w:before="129" w:line="134" w:lineRule="exact"/>
              <w:ind w:left="275"/>
              <w:rPr>
                <w:rFonts w:ascii="宋体" w:eastAsia="宋体" w:hAnsi="宋体" w:cs="宋体"/>
                <w:sz w:val="17"/>
                <w:szCs w:val="17"/>
              </w:rPr>
            </w:pPr>
            <w:r>
              <w:rPr>
                <w:rFonts w:ascii="宋体" w:eastAsia="宋体" w:hAnsi="宋体" w:cs="宋体"/>
                <w:position w:val="-2"/>
                <w:sz w:val="17"/>
                <w:szCs w:val="17"/>
              </w:rPr>
              <w:t>0</w:t>
            </w:r>
          </w:p>
        </w:tc>
      </w:tr>
    </w:tbl>
    <w:p w:rsidR="00EA40A3" w:rsidRDefault="00E86C16">
      <w:pPr>
        <w:spacing w:before="102" w:line="219" w:lineRule="auto"/>
        <w:ind w:left="320"/>
        <w:rPr>
          <w:rFonts w:ascii="宋体" w:eastAsia="宋体" w:hAnsi="宋体" w:cs="宋体"/>
          <w:sz w:val="17"/>
          <w:szCs w:val="17"/>
        </w:rPr>
      </w:pPr>
      <w:r>
        <w:rPr>
          <w:rFonts w:ascii="宋体" w:eastAsia="宋体" w:hAnsi="宋体" w:cs="宋体"/>
          <w:sz w:val="17"/>
          <w:szCs w:val="17"/>
        </w:rPr>
        <w:t>注：?表示可能有光引起的损失；*表示生物可利</w:t>
      </w:r>
      <w:r>
        <w:rPr>
          <w:rFonts w:ascii="宋体" w:eastAsia="宋体" w:hAnsi="宋体" w:cs="宋体"/>
          <w:spacing w:val="-1"/>
          <w:sz w:val="17"/>
          <w:szCs w:val="17"/>
        </w:rPr>
        <w:t>用性有显著损失</w:t>
      </w:r>
    </w:p>
    <w:p w:rsidR="00EA40A3" w:rsidRDefault="00E86C16">
      <w:pPr>
        <w:spacing w:before="57" w:line="219" w:lineRule="auto"/>
        <w:ind w:left="320"/>
        <w:rPr>
          <w:rFonts w:ascii="宋体" w:eastAsia="宋体" w:hAnsi="宋体" w:cs="宋体"/>
          <w:sz w:val="16"/>
          <w:szCs w:val="16"/>
        </w:rPr>
      </w:pPr>
      <w:r>
        <w:rPr>
          <w:rFonts w:ascii="宋体" w:eastAsia="宋体" w:hAnsi="宋体" w:cs="宋体"/>
          <w:spacing w:val="4"/>
          <w:sz w:val="16"/>
          <w:szCs w:val="16"/>
        </w:rPr>
        <w:t>数据来源：葛可佑.2004.中国营养科学全书.北京：人民卫生出版社</w:t>
      </w:r>
    </w:p>
    <w:p w:rsidR="00EA40A3" w:rsidRDefault="00EA40A3">
      <w:pPr>
        <w:sectPr w:rsidR="00EA40A3">
          <w:footerReference w:type="default" r:id="rId203"/>
          <w:pgSz w:w="9220" w:h="13360"/>
          <w:pgMar w:top="400" w:right="992" w:bottom="1317" w:left="829" w:header="0" w:footer="1109" w:gutter="0"/>
          <w:cols w:space="720"/>
        </w:sectPr>
      </w:pPr>
    </w:p>
    <w:p w:rsidR="00EA40A3" w:rsidRDefault="00EA40A3">
      <w:pPr>
        <w:spacing w:line="257" w:lineRule="auto"/>
      </w:pPr>
    </w:p>
    <w:p w:rsidR="00EA40A3" w:rsidRDefault="00EA40A3">
      <w:pPr>
        <w:spacing w:line="257" w:lineRule="auto"/>
      </w:pPr>
    </w:p>
    <w:p w:rsidR="00EA40A3" w:rsidRDefault="00EA40A3">
      <w:pPr>
        <w:spacing w:line="257" w:lineRule="auto"/>
      </w:pPr>
    </w:p>
    <w:p w:rsidR="00EA40A3" w:rsidRDefault="00E86C16">
      <w:pPr>
        <w:spacing w:before="72" w:line="223" w:lineRule="auto"/>
        <w:rPr>
          <w:rFonts w:ascii="仿宋" w:eastAsia="仿宋" w:hAnsi="仿宋" w:cs="仿宋"/>
          <w:sz w:val="22"/>
          <w:szCs w:val="22"/>
        </w:rPr>
      </w:pPr>
      <w:bookmarkStart w:id="57" w:name="_bookmark61"/>
      <w:bookmarkEnd w:id="57"/>
      <w:r>
        <w:rPr>
          <w:rFonts w:ascii="仿宋" w:eastAsia="仿宋" w:hAnsi="仿宋" w:cs="仿宋"/>
          <w:spacing w:val="14"/>
          <w:sz w:val="22"/>
          <w:szCs w:val="22"/>
        </w:rPr>
        <w:t>2.</w:t>
      </w:r>
      <w:r>
        <w:rPr>
          <w:rFonts w:ascii="仿宋" w:eastAsia="仿宋" w:hAnsi="仿宋" w:cs="仿宋"/>
          <w:spacing w:val="-12"/>
          <w:sz w:val="22"/>
          <w:szCs w:val="22"/>
        </w:rPr>
        <w:t xml:space="preserve"> </w:t>
      </w:r>
      <w:r>
        <w:rPr>
          <w:rFonts w:ascii="仿宋" w:eastAsia="仿宋" w:hAnsi="仿宋" w:cs="仿宋"/>
          <w:spacing w:val="14"/>
          <w:sz w:val="22"/>
          <w:szCs w:val="22"/>
        </w:rPr>
        <w:t>热处理对氨基酸、蛋白质的影响</w:t>
      </w:r>
    </w:p>
    <w:p w:rsidR="00EA40A3" w:rsidRDefault="00E86C16">
      <w:pPr>
        <w:spacing w:before="173" w:line="245" w:lineRule="auto"/>
        <w:ind w:firstLine="419"/>
        <w:jc w:val="both"/>
        <w:rPr>
          <w:rFonts w:ascii="宋体" w:eastAsia="宋体" w:hAnsi="宋体" w:cs="宋体"/>
          <w:sz w:val="22"/>
          <w:szCs w:val="22"/>
        </w:rPr>
      </w:pPr>
      <w:r>
        <w:rPr>
          <w:rFonts w:ascii="宋体" w:eastAsia="宋体" w:hAnsi="宋体" w:cs="宋体"/>
          <w:spacing w:val="-6"/>
          <w:sz w:val="22"/>
          <w:szCs w:val="22"/>
        </w:rPr>
        <w:t>加热可影响蛋白质的空间排列，研究表明，未加热的蛋白质在进行酶促水</w:t>
      </w:r>
      <w:r>
        <w:rPr>
          <w:rFonts w:ascii="宋体" w:eastAsia="宋体" w:hAnsi="宋体" w:cs="宋体"/>
          <w:spacing w:val="1"/>
          <w:sz w:val="22"/>
          <w:szCs w:val="22"/>
        </w:rPr>
        <w:t xml:space="preserve"> </w:t>
      </w:r>
      <w:r>
        <w:rPr>
          <w:rFonts w:ascii="宋体" w:eastAsia="宋体" w:hAnsi="宋体" w:cs="宋体"/>
          <w:spacing w:val="-17"/>
          <w:sz w:val="22"/>
          <w:szCs w:val="22"/>
        </w:rPr>
        <w:t>解、消化时，主要产生游离氨基酸，仅有少量小肽；</w:t>
      </w:r>
      <w:r>
        <w:rPr>
          <w:rFonts w:ascii="宋体" w:eastAsia="宋体" w:hAnsi="宋体" w:cs="宋体"/>
          <w:spacing w:val="54"/>
          <w:sz w:val="22"/>
          <w:szCs w:val="22"/>
        </w:rPr>
        <w:t xml:space="preserve"> </w:t>
      </w:r>
      <w:r>
        <w:rPr>
          <w:rFonts w:ascii="宋体" w:eastAsia="宋体" w:hAnsi="宋体" w:cs="宋体"/>
          <w:spacing w:val="-17"/>
          <w:sz w:val="22"/>
          <w:szCs w:val="22"/>
        </w:rPr>
        <w:t>一般加热杀菌的蛋白质要</w:t>
      </w:r>
      <w:r>
        <w:rPr>
          <w:rFonts w:ascii="宋体" w:eastAsia="宋体" w:hAnsi="宋体" w:cs="宋体"/>
          <w:spacing w:val="-18"/>
          <w:sz w:val="22"/>
          <w:szCs w:val="22"/>
        </w:rPr>
        <w:t>发</w:t>
      </w:r>
      <w:r>
        <w:rPr>
          <w:rFonts w:ascii="宋体" w:eastAsia="宋体" w:hAnsi="宋体" w:cs="宋体"/>
          <w:sz w:val="22"/>
          <w:szCs w:val="22"/>
        </w:rPr>
        <w:t xml:space="preserve"> </w:t>
      </w:r>
      <w:r>
        <w:rPr>
          <w:rFonts w:ascii="宋体" w:eastAsia="宋体" w:hAnsi="宋体" w:cs="宋体"/>
          <w:spacing w:val="-16"/>
          <w:sz w:val="22"/>
          <w:szCs w:val="22"/>
        </w:rPr>
        <w:t>生变性，</w:t>
      </w:r>
      <w:r>
        <w:rPr>
          <w:rFonts w:ascii="宋体" w:eastAsia="宋体" w:hAnsi="宋体" w:cs="宋体"/>
          <w:spacing w:val="-2"/>
          <w:sz w:val="22"/>
          <w:szCs w:val="22"/>
        </w:rPr>
        <w:t xml:space="preserve"> </w:t>
      </w:r>
      <w:r>
        <w:rPr>
          <w:rFonts w:ascii="宋体" w:eastAsia="宋体" w:hAnsi="宋体" w:cs="宋体"/>
          <w:spacing w:val="-16"/>
          <w:sz w:val="22"/>
          <w:szCs w:val="22"/>
        </w:rPr>
        <w:t>一些酶被破坏而失活，这不仅有利于食品的保藏，并且蛋白质的变性可</w:t>
      </w:r>
      <w:r>
        <w:rPr>
          <w:rFonts w:ascii="宋体" w:eastAsia="宋体" w:hAnsi="宋体" w:cs="宋体"/>
          <w:sz w:val="22"/>
          <w:szCs w:val="22"/>
        </w:rPr>
        <w:t xml:space="preserve">  </w:t>
      </w:r>
      <w:r>
        <w:rPr>
          <w:rFonts w:ascii="宋体" w:eastAsia="宋体" w:hAnsi="宋体" w:cs="宋体"/>
          <w:spacing w:val="-10"/>
          <w:sz w:val="22"/>
          <w:szCs w:val="22"/>
        </w:rPr>
        <w:t>提高消化性；长时间加热后蛋白质的消化性降低，抑制了氨基酸的释放和利用，</w:t>
      </w:r>
      <w:r>
        <w:rPr>
          <w:rFonts w:ascii="宋体" w:eastAsia="宋体" w:hAnsi="宋体" w:cs="宋体"/>
          <w:sz w:val="22"/>
          <w:szCs w:val="22"/>
        </w:rPr>
        <w:t xml:space="preserve"> </w:t>
      </w:r>
      <w:r>
        <w:rPr>
          <w:rFonts w:ascii="宋体" w:eastAsia="宋体" w:hAnsi="宋体" w:cs="宋体"/>
          <w:spacing w:val="-13"/>
          <w:sz w:val="22"/>
          <w:szCs w:val="22"/>
        </w:rPr>
        <w:t>使水解时产生的游离氨基酸减少，因而降低了蛋白质的营养价值。</w:t>
      </w:r>
    </w:p>
    <w:p w:rsidR="00EA40A3" w:rsidRDefault="00E86C16">
      <w:pPr>
        <w:spacing w:before="71" w:line="235" w:lineRule="auto"/>
        <w:ind w:right="12" w:firstLine="419"/>
        <w:rPr>
          <w:rFonts w:ascii="宋体" w:eastAsia="宋体" w:hAnsi="宋体" w:cs="宋体"/>
          <w:sz w:val="22"/>
          <w:szCs w:val="22"/>
        </w:rPr>
      </w:pPr>
      <w:r>
        <w:rPr>
          <w:rFonts w:ascii="宋体" w:eastAsia="宋体" w:hAnsi="宋体" w:cs="宋体"/>
          <w:spacing w:val="-13"/>
          <w:sz w:val="22"/>
          <w:szCs w:val="22"/>
        </w:rPr>
        <w:t>乳在巴氏杀菌时不影响氨基酸的利用率，但是传统的杀菌方法可使其生物价</w:t>
      </w:r>
      <w:r>
        <w:rPr>
          <w:rFonts w:ascii="宋体" w:eastAsia="宋体" w:hAnsi="宋体" w:cs="宋体"/>
          <w:spacing w:val="16"/>
          <w:sz w:val="22"/>
          <w:szCs w:val="22"/>
        </w:rPr>
        <w:t xml:space="preserve"> </w:t>
      </w:r>
      <w:r>
        <w:rPr>
          <w:rFonts w:ascii="宋体" w:eastAsia="宋体" w:hAnsi="宋体" w:cs="宋体"/>
          <w:spacing w:val="8"/>
          <w:sz w:val="22"/>
          <w:szCs w:val="22"/>
        </w:rPr>
        <w:t xml:space="preserve">下降约6%。与此同时，赖氨酸与胱氨酸的含量分别降低10%和13%。传统的 </w:t>
      </w:r>
      <w:r>
        <w:rPr>
          <w:rFonts w:ascii="宋体" w:eastAsia="宋体" w:hAnsi="宋体" w:cs="宋体"/>
          <w:spacing w:val="-3"/>
          <w:sz w:val="22"/>
          <w:szCs w:val="22"/>
        </w:rPr>
        <w:t>加热杀菌方法生产的淡炼乳，其中赖氨酸的损失可达15%～</w:t>
      </w:r>
      <w:r>
        <w:rPr>
          <w:rFonts w:ascii="宋体" w:eastAsia="宋体" w:hAnsi="宋体" w:cs="宋体"/>
          <w:spacing w:val="-4"/>
          <w:sz w:val="22"/>
          <w:szCs w:val="22"/>
        </w:rPr>
        <w:t>25%。</w:t>
      </w:r>
    </w:p>
    <w:p w:rsidR="00EA40A3" w:rsidRDefault="00E86C16">
      <w:pPr>
        <w:spacing w:before="229" w:line="223"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9"/>
          <w:sz w:val="22"/>
          <w:szCs w:val="22"/>
        </w:rPr>
        <w:t xml:space="preserve"> </w:t>
      </w:r>
      <w:r>
        <w:rPr>
          <w:rFonts w:ascii="仿宋" w:eastAsia="仿宋" w:hAnsi="仿宋" w:cs="仿宋"/>
          <w:spacing w:val="11"/>
          <w:sz w:val="22"/>
          <w:szCs w:val="22"/>
        </w:rPr>
        <w:t>热处理对脂肪的影响</w:t>
      </w:r>
    </w:p>
    <w:p w:rsidR="00EA40A3" w:rsidRDefault="00E86C16">
      <w:pPr>
        <w:spacing w:before="181" w:line="247" w:lineRule="auto"/>
        <w:ind w:firstLine="419"/>
        <w:jc w:val="both"/>
        <w:rPr>
          <w:rFonts w:ascii="宋体" w:eastAsia="宋体" w:hAnsi="宋体" w:cs="宋体"/>
          <w:sz w:val="22"/>
          <w:szCs w:val="22"/>
        </w:rPr>
      </w:pPr>
      <w:r>
        <w:rPr>
          <w:rFonts w:ascii="宋体" w:eastAsia="宋体" w:hAnsi="宋体" w:cs="宋体"/>
          <w:spacing w:val="-6"/>
          <w:sz w:val="22"/>
          <w:szCs w:val="22"/>
        </w:rPr>
        <w:t>热加工过程中，食品(特别是含油脂食品)物料中的油脂极易发生氧化，干</w:t>
      </w:r>
      <w:r>
        <w:rPr>
          <w:rFonts w:ascii="宋体" w:eastAsia="宋体" w:hAnsi="宋体" w:cs="宋体"/>
          <w:spacing w:val="5"/>
          <w:sz w:val="22"/>
          <w:szCs w:val="22"/>
        </w:rPr>
        <w:t xml:space="preserve"> </w:t>
      </w:r>
      <w:r>
        <w:rPr>
          <w:rFonts w:ascii="宋体" w:eastAsia="宋体" w:hAnsi="宋体" w:cs="宋体"/>
          <w:spacing w:val="-3"/>
          <w:sz w:val="22"/>
          <w:szCs w:val="22"/>
        </w:rPr>
        <w:t>燥温度升高，脂肪的氧化加重。油脂类在高温时(200℃)的氧化作用与常温不</w:t>
      </w:r>
      <w:r>
        <w:rPr>
          <w:rFonts w:ascii="宋体" w:eastAsia="宋体" w:hAnsi="宋体" w:cs="宋体"/>
          <w:spacing w:val="8"/>
          <w:sz w:val="22"/>
          <w:szCs w:val="22"/>
        </w:rPr>
        <w:t xml:space="preserve"> </w:t>
      </w:r>
      <w:r>
        <w:rPr>
          <w:rFonts w:ascii="宋体" w:eastAsia="宋体" w:hAnsi="宋体" w:cs="宋体"/>
          <w:spacing w:val="-10"/>
          <w:sz w:val="22"/>
          <w:szCs w:val="22"/>
        </w:rPr>
        <w:t>同。常温时脂肪氧化可以因羰键断裂，产生许多短链的挥发性和非挥发性物质，</w:t>
      </w:r>
      <w:r>
        <w:rPr>
          <w:rFonts w:ascii="宋体" w:eastAsia="宋体" w:hAnsi="宋体" w:cs="宋体"/>
          <w:sz w:val="22"/>
          <w:szCs w:val="22"/>
        </w:rPr>
        <w:t xml:space="preserve"> </w:t>
      </w:r>
      <w:r>
        <w:rPr>
          <w:rFonts w:ascii="宋体" w:eastAsia="宋体" w:hAnsi="宋体" w:cs="宋体"/>
          <w:spacing w:val="-13"/>
          <w:sz w:val="22"/>
          <w:szCs w:val="22"/>
        </w:rPr>
        <w:t>即氧化酸败，影响食品感官质量、降低食品营养价值。高温氧化时，不仅氧化速</w:t>
      </w:r>
      <w:r>
        <w:rPr>
          <w:rFonts w:ascii="宋体" w:eastAsia="宋体" w:hAnsi="宋体" w:cs="宋体"/>
          <w:spacing w:val="1"/>
          <w:sz w:val="22"/>
          <w:szCs w:val="22"/>
        </w:rPr>
        <w:t xml:space="preserve">  </w:t>
      </w:r>
      <w:r>
        <w:rPr>
          <w:rFonts w:ascii="宋体" w:eastAsia="宋体" w:hAnsi="宋体" w:cs="宋体"/>
          <w:spacing w:val="-6"/>
          <w:sz w:val="22"/>
          <w:szCs w:val="22"/>
        </w:rPr>
        <w:t>度增加，还可产生大量的反式和共轭双键体系，以及环状化合物、二聚体和多</w:t>
      </w:r>
      <w:r>
        <w:rPr>
          <w:rFonts w:ascii="宋体" w:eastAsia="宋体" w:hAnsi="宋体" w:cs="宋体"/>
          <w:spacing w:val="3"/>
          <w:sz w:val="22"/>
          <w:szCs w:val="22"/>
        </w:rPr>
        <w:t xml:space="preserve"> </w:t>
      </w:r>
      <w:r>
        <w:rPr>
          <w:rFonts w:ascii="宋体" w:eastAsia="宋体" w:hAnsi="宋体" w:cs="宋体"/>
          <w:spacing w:val="-18"/>
          <w:sz w:val="22"/>
          <w:szCs w:val="22"/>
        </w:rPr>
        <w:t>聚体。</w:t>
      </w:r>
    </w:p>
    <w:p w:rsidR="00EA40A3" w:rsidRDefault="00E86C16">
      <w:pPr>
        <w:spacing w:before="86" w:line="227" w:lineRule="auto"/>
        <w:ind w:right="80" w:firstLine="419"/>
        <w:rPr>
          <w:rFonts w:ascii="宋体" w:eastAsia="宋体" w:hAnsi="宋体" w:cs="宋体"/>
          <w:sz w:val="22"/>
          <w:szCs w:val="22"/>
        </w:rPr>
      </w:pPr>
      <w:r>
        <w:rPr>
          <w:rFonts w:ascii="宋体" w:eastAsia="宋体" w:hAnsi="宋体" w:cs="宋体"/>
          <w:spacing w:val="-13"/>
          <w:sz w:val="22"/>
          <w:szCs w:val="22"/>
        </w:rPr>
        <w:t>此外，食品中的碳水化合物在加热杀菌中的变化主要是淀粉的糊化和纤维软</w:t>
      </w:r>
      <w:r>
        <w:rPr>
          <w:rFonts w:ascii="宋体" w:eastAsia="宋体" w:hAnsi="宋体" w:cs="宋体"/>
          <w:spacing w:val="17"/>
          <w:sz w:val="22"/>
          <w:szCs w:val="22"/>
        </w:rPr>
        <w:t xml:space="preserve"> </w:t>
      </w:r>
      <w:r>
        <w:rPr>
          <w:rFonts w:ascii="宋体" w:eastAsia="宋体" w:hAnsi="宋体" w:cs="宋体"/>
          <w:spacing w:val="-12"/>
          <w:sz w:val="22"/>
          <w:szCs w:val="22"/>
        </w:rPr>
        <w:t>化，后者在一定程度上会影响食品的风味</w:t>
      </w:r>
    </w:p>
    <w:p w:rsidR="00EA40A3" w:rsidRDefault="00E86C16">
      <w:pPr>
        <w:spacing w:before="205" w:line="221" w:lineRule="auto"/>
        <w:ind w:left="3"/>
        <w:outlineLvl w:val="6"/>
        <w:rPr>
          <w:rFonts w:ascii="黑体" w:eastAsia="黑体" w:hAnsi="黑体" w:cs="黑体"/>
          <w:sz w:val="22"/>
          <w:szCs w:val="22"/>
        </w:rPr>
      </w:pPr>
      <w:r>
        <w:rPr>
          <w:rFonts w:ascii="黑体" w:eastAsia="黑体" w:hAnsi="黑体" w:cs="黑体"/>
          <w:b/>
          <w:bCs/>
          <w:spacing w:val="10"/>
          <w:sz w:val="22"/>
          <w:szCs w:val="22"/>
        </w:rPr>
        <w:t>7.2.2</w:t>
      </w:r>
      <w:r>
        <w:rPr>
          <w:rFonts w:ascii="黑体" w:eastAsia="黑体" w:hAnsi="黑体" w:cs="黑体"/>
          <w:spacing w:val="63"/>
          <w:sz w:val="22"/>
          <w:szCs w:val="22"/>
        </w:rPr>
        <w:t xml:space="preserve">  </w:t>
      </w:r>
      <w:r>
        <w:rPr>
          <w:rFonts w:ascii="黑体" w:eastAsia="黑体" w:hAnsi="黑体" w:cs="黑体"/>
          <w:b/>
          <w:bCs/>
          <w:spacing w:val="10"/>
          <w:sz w:val="22"/>
          <w:szCs w:val="22"/>
        </w:rPr>
        <w:t>微波处理对食品营养价值的影响</w:t>
      </w:r>
    </w:p>
    <w:p w:rsidR="00EA40A3" w:rsidRDefault="00E86C16">
      <w:pPr>
        <w:spacing w:before="210" w:line="244" w:lineRule="auto"/>
        <w:ind w:right="80" w:firstLine="419"/>
        <w:rPr>
          <w:rFonts w:ascii="宋体" w:eastAsia="宋体" w:hAnsi="宋体" w:cs="宋体"/>
          <w:sz w:val="22"/>
          <w:szCs w:val="22"/>
        </w:rPr>
      </w:pPr>
      <w:r>
        <w:rPr>
          <w:rFonts w:ascii="宋体" w:eastAsia="宋体" w:hAnsi="宋体" w:cs="宋体"/>
          <w:spacing w:val="20"/>
          <w:sz w:val="22"/>
          <w:szCs w:val="22"/>
        </w:rPr>
        <w:t>微波一般是指波长在1</w:t>
      </w:r>
      <w:r>
        <w:rPr>
          <w:rFonts w:ascii="宋体" w:eastAsia="宋体" w:hAnsi="宋体" w:cs="宋体"/>
          <w:sz w:val="22"/>
          <w:szCs w:val="22"/>
        </w:rPr>
        <w:t>mm</w:t>
      </w:r>
      <w:r>
        <w:rPr>
          <w:rFonts w:ascii="宋体" w:eastAsia="宋体" w:hAnsi="宋体" w:cs="宋体"/>
          <w:spacing w:val="20"/>
          <w:sz w:val="22"/>
          <w:szCs w:val="22"/>
        </w:rPr>
        <w:t>～1m</w:t>
      </w:r>
      <w:r>
        <w:rPr>
          <w:rFonts w:ascii="宋体" w:eastAsia="宋体" w:hAnsi="宋体" w:cs="宋体"/>
          <w:spacing w:val="49"/>
          <w:sz w:val="22"/>
          <w:szCs w:val="22"/>
        </w:rPr>
        <w:t xml:space="preserve">  </w:t>
      </w:r>
      <w:r>
        <w:rPr>
          <w:rFonts w:ascii="宋体" w:eastAsia="宋体" w:hAnsi="宋体" w:cs="宋体"/>
          <w:spacing w:val="20"/>
          <w:sz w:val="22"/>
          <w:szCs w:val="22"/>
        </w:rPr>
        <w:t>范围内(其相应的频率为300</w:t>
      </w:r>
      <w:r>
        <w:rPr>
          <w:rFonts w:ascii="宋体" w:eastAsia="宋体" w:hAnsi="宋体" w:cs="宋体"/>
          <w:sz w:val="22"/>
          <w:szCs w:val="22"/>
        </w:rPr>
        <w:t>MHz</w:t>
      </w:r>
      <w:r>
        <w:rPr>
          <w:rFonts w:ascii="宋体" w:eastAsia="宋体" w:hAnsi="宋体" w:cs="宋体"/>
          <w:spacing w:val="20"/>
          <w:sz w:val="22"/>
          <w:szCs w:val="22"/>
        </w:rPr>
        <w:t>~</w:t>
      </w:r>
      <w:r>
        <w:rPr>
          <w:rFonts w:ascii="宋体" w:eastAsia="宋体" w:hAnsi="宋体" w:cs="宋体"/>
          <w:sz w:val="22"/>
          <w:szCs w:val="22"/>
        </w:rPr>
        <w:t xml:space="preserve">  </w:t>
      </w:r>
      <w:r>
        <w:rPr>
          <w:rFonts w:ascii="宋体" w:eastAsia="宋体" w:hAnsi="宋体" w:cs="宋体"/>
          <w:spacing w:val="-11"/>
          <w:sz w:val="22"/>
          <w:szCs w:val="22"/>
        </w:rPr>
        <w:t>30GHz)</w:t>
      </w:r>
      <w:r>
        <w:rPr>
          <w:rFonts w:ascii="宋体" w:eastAsia="宋体" w:hAnsi="宋体" w:cs="宋体"/>
          <w:spacing w:val="92"/>
          <w:sz w:val="22"/>
          <w:szCs w:val="22"/>
        </w:rPr>
        <w:t xml:space="preserve"> </w:t>
      </w:r>
      <w:r>
        <w:rPr>
          <w:rFonts w:ascii="宋体" w:eastAsia="宋体" w:hAnsi="宋体" w:cs="宋体"/>
          <w:spacing w:val="-11"/>
          <w:sz w:val="22"/>
          <w:szCs w:val="22"/>
        </w:rPr>
        <w:t>的电磁波。目前微波技术主要应用在食品的储藏和加工</w:t>
      </w:r>
      <w:r>
        <w:rPr>
          <w:rFonts w:ascii="宋体" w:eastAsia="宋体" w:hAnsi="宋体" w:cs="宋体"/>
          <w:spacing w:val="-12"/>
          <w:sz w:val="22"/>
          <w:szCs w:val="22"/>
        </w:rPr>
        <w:t>中，如对肉、禽</w:t>
      </w:r>
      <w:r>
        <w:rPr>
          <w:rFonts w:ascii="宋体" w:eastAsia="宋体" w:hAnsi="宋体" w:cs="宋体"/>
          <w:sz w:val="22"/>
          <w:szCs w:val="22"/>
        </w:rPr>
        <w:t xml:space="preserve"> 制品、水产品、果蔬、奶制品和面制品的杀菌、消毒</w:t>
      </w:r>
      <w:r>
        <w:rPr>
          <w:rFonts w:ascii="宋体" w:eastAsia="宋体" w:hAnsi="宋体" w:cs="宋体"/>
          <w:spacing w:val="-1"/>
          <w:sz w:val="22"/>
          <w:szCs w:val="22"/>
        </w:rPr>
        <w:t>、脱水、烫漂和焙烤处</w:t>
      </w:r>
      <w:r>
        <w:rPr>
          <w:rFonts w:ascii="宋体" w:eastAsia="宋体" w:hAnsi="宋体" w:cs="宋体"/>
          <w:sz w:val="22"/>
          <w:szCs w:val="22"/>
        </w:rPr>
        <w:t xml:space="preserve"> </w:t>
      </w:r>
      <w:r>
        <w:rPr>
          <w:rFonts w:ascii="宋体" w:eastAsia="宋体" w:hAnsi="宋体" w:cs="宋体"/>
          <w:spacing w:val="-10"/>
          <w:sz w:val="22"/>
          <w:szCs w:val="22"/>
        </w:rPr>
        <w:t>理等。</w:t>
      </w:r>
    </w:p>
    <w:p w:rsidR="00EA40A3" w:rsidRDefault="00E86C16">
      <w:pPr>
        <w:spacing w:before="54" w:line="248" w:lineRule="auto"/>
        <w:ind w:right="67" w:firstLine="419"/>
        <w:rPr>
          <w:rFonts w:ascii="宋体" w:eastAsia="宋体" w:hAnsi="宋体" w:cs="宋体"/>
          <w:sz w:val="22"/>
          <w:szCs w:val="22"/>
        </w:rPr>
      </w:pPr>
      <w:r>
        <w:rPr>
          <w:rFonts w:ascii="宋体" w:eastAsia="宋体" w:hAnsi="宋体" w:cs="宋体"/>
          <w:spacing w:val="-13"/>
          <w:sz w:val="22"/>
          <w:szCs w:val="22"/>
        </w:rPr>
        <w:t>微波经常用于食品中酶钝化处理工艺，以此可解决传统果蔬加工中用沸水烫</w:t>
      </w:r>
      <w:r>
        <w:rPr>
          <w:rFonts w:ascii="宋体" w:eastAsia="宋体" w:hAnsi="宋体" w:cs="宋体"/>
          <w:spacing w:val="17"/>
          <w:sz w:val="22"/>
          <w:szCs w:val="22"/>
        </w:rPr>
        <w:t xml:space="preserve"> </w:t>
      </w:r>
      <w:r>
        <w:rPr>
          <w:rFonts w:ascii="宋体" w:eastAsia="宋体" w:hAnsi="宋体" w:cs="宋体"/>
          <w:spacing w:val="-13"/>
          <w:sz w:val="22"/>
          <w:szCs w:val="22"/>
        </w:rPr>
        <w:t>煮引起的大量水溶性营养成分流失，以及采用热空气或蒸汽加热时出现的受热不</w:t>
      </w:r>
      <w:r>
        <w:rPr>
          <w:rFonts w:ascii="宋体" w:eastAsia="宋体" w:hAnsi="宋体" w:cs="宋体"/>
          <w:spacing w:val="5"/>
          <w:sz w:val="22"/>
          <w:szCs w:val="22"/>
        </w:rPr>
        <w:t xml:space="preserve"> </w:t>
      </w:r>
      <w:r>
        <w:rPr>
          <w:rFonts w:ascii="宋体" w:eastAsia="宋体" w:hAnsi="宋体" w:cs="宋体"/>
          <w:spacing w:val="-12"/>
          <w:sz w:val="22"/>
          <w:szCs w:val="22"/>
        </w:rPr>
        <w:t>均匀问题。如甜玉米棒在冷冻储藏前需抑制玉米及芯</w:t>
      </w:r>
      <w:r>
        <w:rPr>
          <w:rFonts w:ascii="宋体" w:eastAsia="宋体" w:hAnsi="宋体" w:cs="宋体"/>
          <w:spacing w:val="-13"/>
          <w:sz w:val="22"/>
          <w:szCs w:val="22"/>
        </w:rPr>
        <w:t>中引起变味的酶，传统热处</w:t>
      </w:r>
      <w:r>
        <w:rPr>
          <w:rFonts w:ascii="宋体" w:eastAsia="宋体" w:hAnsi="宋体" w:cs="宋体"/>
          <w:sz w:val="22"/>
          <w:szCs w:val="22"/>
        </w:rPr>
        <w:t xml:space="preserve"> </w:t>
      </w:r>
      <w:r>
        <w:rPr>
          <w:rFonts w:ascii="宋体" w:eastAsia="宋体" w:hAnsi="宋体" w:cs="宋体"/>
          <w:spacing w:val="-5"/>
          <w:sz w:val="22"/>
          <w:szCs w:val="22"/>
        </w:rPr>
        <w:t>理工艺将会产生玉米粒过热问题，而采用热水-微</w:t>
      </w:r>
      <w:r>
        <w:rPr>
          <w:rFonts w:ascii="宋体" w:eastAsia="宋体" w:hAnsi="宋体" w:cs="宋体"/>
          <w:spacing w:val="-6"/>
          <w:sz w:val="22"/>
          <w:szCs w:val="22"/>
        </w:rPr>
        <w:t>波(915</w:t>
      </w:r>
      <w:r>
        <w:rPr>
          <w:rFonts w:ascii="宋体" w:eastAsia="宋体" w:hAnsi="宋体" w:cs="宋体"/>
          <w:spacing w:val="-3"/>
          <w:sz w:val="22"/>
          <w:szCs w:val="22"/>
        </w:rPr>
        <w:t xml:space="preserve"> </w:t>
      </w:r>
      <w:r>
        <w:rPr>
          <w:rFonts w:ascii="宋体" w:eastAsia="宋体" w:hAnsi="宋体" w:cs="宋体"/>
          <w:spacing w:val="-5"/>
          <w:sz w:val="22"/>
          <w:szCs w:val="22"/>
        </w:rPr>
        <w:t>MHz</w:t>
      </w:r>
      <w:r>
        <w:rPr>
          <w:rFonts w:ascii="宋体" w:eastAsia="宋体" w:hAnsi="宋体" w:cs="宋体"/>
          <w:spacing w:val="-6"/>
          <w:sz w:val="22"/>
          <w:szCs w:val="22"/>
        </w:rPr>
        <w:t>)</w:t>
      </w:r>
      <w:r>
        <w:rPr>
          <w:rFonts w:ascii="宋体" w:eastAsia="宋体" w:hAnsi="宋体" w:cs="宋体"/>
          <w:spacing w:val="101"/>
          <w:sz w:val="22"/>
          <w:szCs w:val="22"/>
        </w:rPr>
        <w:t xml:space="preserve"> </w:t>
      </w:r>
      <w:r>
        <w:rPr>
          <w:rFonts w:ascii="宋体" w:eastAsia="宋体" w:hAnsi="宋体" w:cs="宋体"/>
          <w:spacing w:val="-6"/>
          <w:sz w:val="22"/>
          <w:szCs w:val="22"/>
        </w:rPr>
        <w:t>工艺，先经热</w:t>
      </w:r>
      <w:r>
        <w:rPr>
          <w:rFonts w:ascii="宋体" w:eastAsia="宋体" w:hAnsi="宋体" w:cs="宋体"/>
          <w:sz w:val="22"/>
          <w:szCs w:val="22"/>
        </w:rPr>
        <w:t xml:space="preserve"> </w:t>
      </w:r>
      <w:r>
        <w:rPr>
          <w:rFonts w:ascii="宋体" w:eastAsia="宋体" w:hAnsi="宋体" w:cs="宋体"/>
          <w:spacing w:val="-3"/>
          <w:sz w:val="22"/>
          <w:szCs w:val="22"/>
        </w:rPr>
        <w:t>水处理2～4min,</w:t>
      </w:r>
      <w:r>
        <w:rPr>
          <w:rFonts w:ascii="宋体" w:eastAsia="宋体" w:hAnsi="宋体" w:cs="宋体"/>
          <w:spacing w:val="-7"/>
          <w:sz w:val="22"/>
          <w:szCs w:val="22"/>
        </w:rPr>
        <w:t xml:space="preserve"> </w:t>
      </w:r>
      <w:r>
        <w:rPr>
          <w:rFonts w:ascii="宋体" w:eastAsia="宋体" w:hAnsi="宋体" w:cs="宋体"/>
          <w:spacing w:val="-3"/>
          <w:sz w:val="22"/>
          <w:szCs w:val="22"/>
        </w:rPr>
        <w:t>再用微波处理2min可抑制玉米粒及芯中过氧化酶活性。茶叶</w:t>
      </w:r>
      <w:r>
        <w:rPr>
          <w:rFonts w:ascii="宋体" w:eastAsia="宋体" w:hAnsi="宋体" w:cs="宋体"/>
          <w:sz w:val="22"/>
          <w:szCs w:val="22"/>
        </w:rPr>
        <w:t xml:space="preserve"> </w:t>
      </w:r>
      <w:r>
        <w:rPr>
          <w:rFonts w:ascii="宋体" w:eastAsia="宋体" w:hAnsi="宋体" w:cs="宋体"/>
          <w:spacing w:val="-12"/>
          <w:sz w:val="22"/>
          <w:szCs w:val="22"/>
        </w:rPr>
        <w:t>制造过程中的杀青也可以由微波来完成，并且产品的质量有所提高。在水产品中</w:t>
      </w:r>
      <w:r>
        <w:rPr>
          <w:rFonts w:ascii="宋体" w:eastAsia="宋体" w:hAnsi="宋体" w:cs="宋体"/>
          <w:spacing w:val="1"/>
          <w:sz w:val="22"/>
          <w:szCs w:val="22"/>
        </w:rPr>
        <w:t xml:space="preserve"> </w:t>
      </w:r>
      <w:r>
        <w:rPr>
          <w:rFonts w:ascii="宋体" w:eastAsia="宋体" w:hAnsi="宋体" w:cs="宋体"/>
          <w:spacing w:val="-12"/>
          <w:sz w:val="22"/>
          <w:szCs w:val="22"/>
        </w:rPr>
        <w:t>的保鲜，如虾的保鲜中，经常采用微波来灭酶以防止酶褐变。微</w:t>
      </w:r>
      <w:r>
        <w:rPr>
          <w:rFonts w:ascii="宋体" w:eastAsia="宋体" w:hAnsi="宋体" w:cs="宋体"/>
          <w:spacing w:val="-13"/>
          <w:sz w:val="22"/>
          <w:szCs w:val="22"/>
        </w:rPr>
        <w:t>波处理还可使稻</w:t>
      </w:r>
      <w:r>
        <w:rPr>
          <w:rFonts w:ascii="宋体" w:eastAsia="宋体" w:hAnsi="宋体" w:cs="宋体"/>
          <w:sz w:val="22"/>
          <w:szCs w:val="22"/>
        </w:rPr>
        <w:t xml:space="preserve"> </w:t>
      </w:r>
      <w:r>
        <w:rPr>
          <w:rFonts w:ascii="宋体" w:eastAsia="宋体" w:hAnsi="宋体" w:cs="宋体"/>
          <w:spacing w:val="-14"/>
          <w:sz w:val="22"/>
          <w:szCs w:val="22"/>
        </w:rPr>
        <w:t>米、麦芽中的淀粉酶与其他酶活性大大降低。</w:t>
      </w:r>
    </w:p>
    <w:p w:rsidR="00EA40A3" w:rsidRDefault="00E86C16">
      <w:pPr>
        <w:spacing w:before="89" w:line="232" w:lineRule="auto"/>
        <w:ind w:right="81" w:firstLine="419"/>
        <w:rPr>
          <w:rFonts w:ascii="宋体" w:eastAsia="宋体" w:hAnsi="宋体" w:cs="宋体"/>
          <w:sz w:val="22"/>
          <w:szCs w:val="22"/>
        </w:rPr>
      </w:pPr>
      <w:r>
        <w:rPr>
          <w:rFonts w:ascii="宋体" w:eastAsia="宋体" w:hAnsi="宋体" w:cs="宋体"/>
          <w:spacing w:val="-6"/>
          <w:sz w:val="22"/>
          <w:szCs w:val="22"/>
        </w:rPr>
        <w:t>微波处理在肉及肉制品的杀菌中也应用广泛。表7-10提供了不同杀菌方式</w:t>
      </w:r>
      <w:r>
        <w:rPr>
          <w:rFonts w:ascii="宋体" w:eastAsia="宋体" w:hAnsi="宋体" w:cs="宋体"/>
          <w:spacing w:val="11"/>
          <w:sz w:val="22"/>
          <w:szCs w:val="22"/>
        </w:rPr>
        <w:t xml:space="preserve"> </w:t>
      </w:r>
      <w:r>
        <w:rPr>
          <w:rFonts w:ascii="宋体" w:eastAsia="宋体" w:hAnsi="宋体" w:cs="宋体"/>
          <w:spacing w:val="-13"/>
          <w:sz w:val="22"/>
          <w:szCs w:val="22"/>
        </w:rPr>
        <w:t>对酱牛肉营养成分的影响情况，结果表明相对高温、沸水，微波处理对酱牛肉中</w:t>
      </w:r>
    </w:p>
    <w:p w:rsidR="00EA40A3" w:rsidRDefault="00E86C16">
      <w:pPr>
        <w:spacing w:before="95"/>
        <w:ind w:right="115"/>
        <w:jc w:val="right"/>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4"/>
          <w:sz w:val="18"/>
          <w:szCs w:val="18"/>
        </w:rPr>
        <w:t xml:space="preserve"> </w:t>
      </w:r>
      <w:r>
        <w:rPr>
          <w:rFonts w:ascii="宋体" w:eastAsia="宋体" w:hAnsi="宋体" w:cs="宋体"/>
          <w:spacing w:val="-29"/>
          <w:sz w:val="18"/>
          <w:szCs w:val="18"/>
        </w:rPr>
        <w:t>237</w:t>
      </w:r>
      <w:r>
        <w:rPr>
          <w:rFonts w:ascii="宋体" w:eastAsia="宋体" w:hAnsi="宋体" w:cs="宋体"/>
          <w:spacing w:val="42"/>
          <w:w w:val="101"/>
          <w:sz w:val="18"/>
          <w:szCs w:val="18"/>
        </w:rPr>
        <w:t xml:space="preserve"> </w:t>
      </w:r>
      <w:r>
        <w:rPr>
          <w:rFonts w:ascii="宋体" w:eastAsia="宋体" w:hAnsi="宋体" w:cs="宋体"/>
          <w:spacing w:val="-29"/>
          <w:sz w:val="18"/>
          <w:szCs w:val="18"/>
        </w:rPr>
        <w:t>·</w:t>
      </w:r>
    </w:p>
    <w:p w:rsidR="00EA40A3" w:rsidRDefault="00EA40A3">
      <w:pPr>
        <w:sectPr w:rsidR="00EA40A3">
          <w:footerReference w:type="default" r:id="rId204"/>
          <w:pgSz w:w="9220" w:h="13360"/>
          <w:pgMar w:top="400" w:right="979" w:bottom="400" w:left="890"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8"/>
          <w:sz w:val="22"/>
          <w:szCs w:val="22"/>
        </w:rPr>
        <w:t>的蛋白质、脂肪、维生素B</w:t>
      </w:r>
      <w:r>
        <w:rPr>
          <w:rFonts w:ascii="Calibri" w:eastAsia="Calibri" w:hAnsi="Calibri" w:cs="Calibri"/>
          <w:spacing w:val="-8"/>
          <w:sz w:val="22"/>
          <w:szCs w:val="22"/>
        </w:rPr>
        <w:t>₁</w:t>
      </w:r>
      <w:r>
        <w:rPr>
          <w:rFonts w:ascii="Calibri" w:eastAsia="Calibri" w:hAnsi="Calibri" w:cs="Calibri"/>
          <w:spacing w:val="-26"/>
          <w:sz w:val="22"/>
          <w:szCs w:val="22"/>
        </w:rPr>
        <w:t xml:space="preserve"> </w:t>
      </w:r>
      <w:r>
        <w:rPr>
          <w:rFonts w:ascii="宋体" w:eastAsia="宋体" w:hAnsi="宋体" w:cs="宋体"/>
          <w:spacing w:val="-8"/>
          <w:sz w:val="22"/>
          <w:szCs w:val="22"/>
        </w:rPr>
        <w:t>、维生素B</w:t>
      </w:r>
      <w:r>
        <w:rPr>
          <w:rFonts w:ascii="Calibri" w:eastAsia="Calibri" w:hAnsi="Calibri" w:cs="Calibri"/>
          <w:spacing w:val="-8"/>
          <w:sz w:val="22"/>
          <w:szCs w:val="22"/>
        </w:rPr>
        <w:t>₂</w:t>
      </w:r>
      <w:r>
        <w:rPr>
          <w:rFonts w:ascii="Calibri" w:eastAsia="Calibri" w:hAnsi="Calibri" w:cs="Calibri"/>
          <w:spacing w:val="40"/>
          <w:sz w:val="22"/>
          <w:szCs w:val="22"/>
        </w:rPr>
        <w:t xml:space="preserve"> </w:t>
      </w:r>
      <w:r>
        <w:rPr>
          <w:rFonts w:ascii="宋体" w:eastAsia="宋体" w:hAnsi="宋体" w:cs="宋体"/>
          <w:spacing w:val="-8"/>
          <w:sz w:val="22"/>
          <w:szCs w:val="22"/>
        </w:rPr>
        <w:t>影响最小，与对照组最</w:t>
      </w:r>
      <w:r>
        <w:rPr>
          <w:rFonts w:ascii="宋体" w:eastAsia="宋体" w:hAnsi="宋体" w:cs="宋体"/>
          <w:spacing w:val="-9"/>
          <w:sz w:val="22"/>
          <w:szCs w:val="22"/>
        </w:rPr>
        <w:t>接近。</w:t>
      </w:r>
    </w:p>
    <w:p w:rsidR="00EA40A3" w:rsidRDefault="00EA40A3">
      <w:pPr>
        <w:spacing w:line="318" w:lineRule="auto"/>
      </w:pPr>
    </w:p>
    <w:p w:rsidR="00EA40A3" w:rsidRDefault="00E86C16">
      <w:pPr>
        <w:spacing w:before="52" w:line="221" w:lineRule="auto"/>
        <w:ind w:left="1882"/>
        <w:rPr>
          <w:rFonts w:ascii="黑体" w:eastAsia="黑体" w:hAnsi="黑体" w:cs="黑体"/>
          <w:sz w:val="16"/>
          <w:szCs w:val="16"/>
        </w:rPr>
      </w:pPr>
      <w:r>
        <w:rPr>
          <w:rFonts w:ascii="黑体" w:eastAsia="黑体" w:hAnsi="黑体" w:cs="黑体"/>
          <w:b/>
          <w:bCs/>
          <w:spacing w:val="15"/>
          <w:sz w:val="16"/>
          <w:szCs w:val="16"/>
        </w:rPr>
        <w:t>表7-</w:t>
      </w:r>
      <w:r>
        <w:rPr>
          <w:rFonts w:ascii="黑体" w:eastAsia="黑体" w:hAnsi="黑体" w:cs="黑体"/>
          <w:spacing w:val="-46"/>
          <w:sz w:val="16"/>
          <w:szCs w:val="16"/>
        </w:rPr>
        <w:t xml:space="preserve"> </w:t>
      </w:r>
      <w:r>
        <w:rPr>
          <w:rFonts w:ascii="黑体" w:eastAsia="黑体" w:hAnsi="黑体" w:cs="黑体"/>
          <w:b/>
          <w:bCs/>
          <w:spacing w:val="15"/>
          <w:sz w:val="16"/>
          <w:szCs w:val="16"/>
        </w:rPr>
        <w:t>10</w:t>
      </w:r>
      <w:r>
        <w:rPr>
          <w:rFonts w:ascii="黑体" w:eastAsia="黑体" w:hAnsi="黑体" w:cs="黑体"/>
          <w:spacing w:val="67"/>
          <w:sz w:val="16"/>
          <w:szCs w:val="16"/>
        </w:rPr>
        <w:t xml:space="preserve"> </w:t>
      </w:r>
      <w:r>
        <w:rPr>
          <w:rFonts w:ascii="黑体" w:eastAsia="黑体" w:hAnsi="黑体" w:cs="黑体"/>
          <w:b/>
          <w:bCs/>
          <w:spacing w:val="15"/>
          <w:sz w:val="16"/>
          <w:szCs w:val="16"/>
        </w:rPr>
        <w:t>不同杀菌方式对酱牛肉营养成分的影</w:t>
      </w:r>
      <w:r>
        <w:rPr>
          <w:rFonts w:ascii="黑体" w:eastAsia="黑体" w:hAnsi="黑体" w:cs="黑体"/>
          <w:b/>
          <w:bCs/>
          <w:spacing w:val="14"/>
          <w:sz w:val="16"/>
          <w:szCs w:val="16"/>
        </w:rPr>
        <w:t>响</w:t>
      </w:r>
    </w:p>
    <w:p w:rsidR="00EA40A3" w:rsidRDefault="00EA40A3">
      <w:pPr>
        <w:spacing w:line="40" w:lineRule="exact"/>
      </w:pPr>
    </w:p>
    <w:tbl>
      <w:tblPr>
        <w:tblStyle w:val="TableNormal"/>
        <w:tblW w:w="7339" w:type="dxa"/>
        <w:tblInd w:w="8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20"/>
        <w:gridCol w:w="1157"/>
        <w:gridCol w:w="1137"/>
        <w:gridCol w:w="1588"/>
        <w:gridCol w:w="1637"/>
      </w:tblGrid>
      <w:tr w:rsidR="00EA40A3">
        <w:trPr>
          <w:trHeight w:val="303"/>
        </w:trPr>
        <w:tc>
          <w:tcPr>
            <w:tcW w:w="1820" w:type="dxa"/>
            <w:tcBorders>
              <w:top w:val="single" w:sz="4" w:space="0" w:color="000000"/>
              <w:bottom w:val="single" w:sz="4" w:space="0" w:color="000000"/>
            </w:tcBorders>
          </w:tcPr>
          <w:p w:rsidR="00EA40A3" w:rsidRDefault="00E86C16">
            <w:pPr>
              <w:spacing w:before="121" w:line="210" w:lineRule="auto"/>
              <w:ind w:left="529"/>
              <w:rPr>
                <w:rFonts w:ascii="宋体" w:eastAsia="宋体" w:hAnsi="宋体" w:cs="宋体"/>
                <w:sz w:val="16"/>
                <w:szCs w:val="16"/>
              </w:rPr>
            </w:pPr>
            <w:r>
              <w:rPr>
                <w:rFonts w:ascii="宋体" w:eastAsia="宋体" w:hAnsi="宋体" w:cs="宋体"/>
                <w:spacing w:val="-2"/>
                <w:sz w:val="16"/>
                <w:szCs w:val="16"/>
              </w:rPr>
              <w:t>杀菌方式</w:t>
            </w:r>
          </w:p>
        </w:tc>
        <w:tc>
          <w:tcPr>
            <w:tcW w:w="1157" w:type="dxa"/>
            <w:tcBorders>
              <w:top w:val="single" w:sz="4" w:space="0" w:color="000000"/>
              <w:bottom w:val="single" w:sz="4" w:space="0" w:color="000000"/>
            </w:tcBorders>
          </w:tcPr>
          <w:p w:rsidR="00EA40A3" w:rsidRDefault="00E86C16">
            <w:pPr>
              <w:spacing w:before="121" w:line="209" w:lineRule="auto"/>
              <w:ind w:left="229"/>
              <w:rPr>
                <w:rFonts w:ascii="宋体" w:eastAsia="宋体" w:hAnsi="宋体" w:cs="宋体"/>
                <w:sz w:val="16"/>
                <w:szCs w:val="16"/>
              </w:rPr>
            </w:pPr>
            <w:r>
              <w:rPr>
                <w:rFonts w:ascii="宋体" w:eastAsia="宋体" w:hAnsi="宋体" w:cs="宋体"/>
                <w:spacing w:val="-2"/>
                <w:sz w:val="16"/>
                <w:szCs w:val="16"/>
              </w:rPr>
              <w:t>蛋白质/%</w:t>
            </w:r>
          </w:p>
        </w:tc>
        <w:tc>
          <w:tcPr>
            <w:tcW w:w="1137" w:type="dxa"/>
            <w:tcBorders>
              <w:top w:val="single" w:sz="4" w:space="0" w:color="000000"/>
              <w:bottom w:val="single" w:sz="4" w:space="0" w:color="000000"/>
            </w:tcBorders>
          </w:tcPr>
          <w:p w:rsidR="00EA40A3" w:rsidRDefault="00E86C16">
            <w:pPr>
              <w:spacing w:before="121" w:line="209" w:lineRule="auto"/>
              <w:ind w:left="303"/>
              <w:rPr>
                <w:rFonts w:ascii="宋体" w:eastAsia="宋体" w:hAnsi="宋体" w:cs="宋体"/>
                <w:sz w:val="16"/>
                <w:szCs w:val="16"/>
              </w:rPr>
            </w:pPr>
            <w:r>
              <w:rPr>
                <w:rFonts w:ascii="宋体" w:eastAsia="宋体" w:hAnsi="宋体" w:cs="宋体"/>
                <w:spacing w:val="-2"/>
                <w:sz w:val="16"/>
                <w:szCs w:val="16"/>
              </w:rPr>
              <w:t>脂肪/%</w:t>
            </w:r>
          </w:p>
        </w:tc>
        <w:tc>
          <w:tcPr>
            <w:tcW w:w="1588" w:type="dxa"/>
            <w:tcBorders>
              <w:top w:val="single" w:sz="4" w:space="0" w:color="000000"/>
              <w:bottom w:val="single" w:sz="4" w:space="0" w:color="000000"/>
            </w:tcBorders>
          </w:tcPr>
          <w:p w:rsidR="00EA40A3" w:rsidRDefault="00E86C16">
            <w:pPr>
              <w:spacing w:before="111" w:line="219" w:lineRule="auto"/>
              <w:ind w:left="365"/>
              <w:rPr>
                <w:rFonts w:ascii="宋体" w:eastAsia="宋体" w:hAnsi="宋体" w:cs="宋体"/>
                <w:sz w:val="16"/>
                <w:szCs w:val="16"/>
              </w:rPr>
            </w:pPr>
            <w:r>
              <w:rPr>
                <w:rFonts w:ascii="宋体" w:eastAsia="宋体" w:hAnsi="宋体" w:cs="宋体"/>
                <w:spacing w:val="11"/>
                <w:sz w:val="16"/>
                <w:szCs w:val="16"/>
              </w:rPr>
              <w:t>维生素B</w:t>
            </w:r>
            <w:r>
              <w:rPr>
                <w:rFonts w:ascii="Calibri" w:eastAsia="Calibri" w:hAnsi="Calibri" w:cs="Calibri"/>
                <w:spacing w:val="11"/>
                <w:sz w:val="16"/>
                <w:szCs w:val="16"/>
              </w:rPr>
              <w:t>₁</w:t>
            </w:r>
            <w:r>
              <w:rPr>
                <w:rFonts w:ascii="宋体" w:eastAsia="宋体" w:hAnsi="宋体" w:cs="宋体"/>
                <w:spacing w:val="11"/>
                <w:sz w:val="16"/>
                <w:szCs w:val="16"/>
              </w:rPr>
              <w:t>/%</w:t>
            </w:r>
          </w:p>
        </w:tc>
        <w:tc>
          <w:tcPr>
            <w:tcW w:w="1637" w:type="dxa"/>
            <w:tcBorders>
              <w:top w:val="single" w:sz="4" w:space="0" w:color="000000"/>
              <w:bottom w:val="single" w:sz="4" w:space="0" w:color="000000"/>
            </w:tcBorders>
          </w:tcPr>
          <w:p w:rsidR="00EA40A3" w:rsidRDefault="00E86C16">
            <w:pPr>
              <w:spacing w:before="71" w:line="219" w:lineRule="auto"/>
              <w:ind w:left="387"/>
              <w:rPr>
                <w:rFonts w:ascii="宋体" w:eastAsia="宋体" w:hAnsi="宋体" w:cs="宋体"/>
                <w:sz w:val="16"/>
                <w:szCs w:val="16"/>
              </w:rPr>
            </w:pPr>
            <w:r>
              <w:rPr>
                <w:rFonts w:ascii="宋体" w:eastAsia="宋体" w:hAnsi="宋体" w:cs="宋体"/>
                <w:spacing w:val="10"/>
                <w:sz w:val="16"/>
                <w:szCs w:val="16"/>
              </w:rPr>
              <w:t>维生素B</w:t>
            </w:r>
            <w:r>
              <w:rPr>
                <w:rFonts w:ascii="Calibri" w:eastAsia="Calibri" w:hAnsi="Calibri" w:cs="Calibri"/>
                <w:spacing w:val="10"/>
                <w:sz w:val="16"/>
                <w:szCs w:val="16"/>
              </w:rPr>
              <w:t>₂</w:t>
            </w:r>
            <w:r>
              <w:rPr>
                <w:rFonts w:ascii="宋体" w:eastAsia="宋体" w:hAnsi="宋体" w:cs="宋体"/>
                <w:spacing w:val="10"/>
                <w:sz w:val="16"/>
                <w:szCs w:val="16"/>
              </w:rPr>
              <w:t>/%</w:t>
            </w:r>
          </w:p>
        </w:tc>
      </w:tr>
      <w:tr w:rsidR="00EA40A3">
        <w:trPr>
          <w:trHeight w:val="307"/>
        </w:trPr>
        <w:tc>
          <w:tcPr>
            <w:tcW w:w="1820" w:type="dxa"/>
            <w:tcBorders>
              <w:top w:val="single" w:sz="4" w:space="0" w:color="000000"/>
            </w:tcBorders>
          </w:tcPr>
          <w:p w:rsidR="00EA40A3" w:rsidRDefault="00E86C16">
            <w:pPr>
              <w:spacing w:before="96" w:line="216" w:lineRule="auto"/>
              <w:ind w:left="150"/>
              <w:rPr>
                <w:rFonts w:ascii="宋体" w:eastAsia="宋体" w:hAnsi="宋体" w:cs="宋体"/>
                <w:sz w:val="16"/>
                <w:szCs w:val="16"/>
              </w:rPr>
            </w:pPr>
            <w:r>
              <w:rPr>
                <w:rFonts w:ascii="宋体" w:eastAsia="宋体" w:hAnsi="宋体" w:cs="宋体"/>
                <w:spacing w:val="3"/>
                <w:sz w:val="16"/>
                <w:szCs w:val="16"/>
              </w:rPr>
              <w:t>微波(2450</w:t>
            </w:r>
            <w:r>
              <w:rPr>
                <w:rFonts w:ascii="宋体" w:eastAsia="宋体" w:hAnsi="宋体" w:cs="宋体"/>
                <w:sz w:val="16"/>
                <w:szCs w:val="16"/>
              </w:rPr>
              <w:t>MHz</w:t>
            </w:r>
            <w:r>
              <w:rPr>
                <w:rFonts w:ascii="宋体" w:eastAsia="宋体" w:hAnsi="宋体" w:cs="宋体"/>
                <w:spacing w:val="3"/>
                <w:sz w:val="16"/>
                <w:szCs w:val="16"/>
              </w:rPr>
              <w:t>,3</w:t>
            </w:r>
            <w:r>
              <w:rPr>
                <w:rFonts w:ascii="宋体" w:eastAsia="宋体" w:hAnsi="宋体" w:cs="宋体"/>
                <w:sz w:val="16"/>
                <w:szCs w:val="16"/>
              </w:rPr>
              <w:t>min</w:t>
            </w:r>
            <w:r>
              <w:rPr>
                <w:rFonts w:ascii="宋体" w:eastAsia="宋体" w:hAnsi="宋体" w:cs="宋体"/>
                <w:spacing w:val="3"/>
                <w:sz w:val="16"/>
                <w:szCs w:val="16"/>
              </w:rPr>
              <w:t>)</w:t>
            </w:r>
          </w:p>
        </w:tc>
        <w:tc>
          <w:tcPr>
            <w:tcW w:w="1157" w:type="dxa"/>
            <w:tcBorders>
              <w:top w:val="single" w:sz="4" w:space="0" w:color="000000"/>
            </w:tcBorders>
          </w:tcPr>
          <w:p w:rsidR="00EA40A3" w:rsidRDefault="00E86C16">
            <w:pPr>
              <w:spacing w:before="129" w:line="183" w:lineRule="auto"/>
              <w:ind w:left="229"/>
              <w:rPr>
                <w:rFonts w:ascii="宋体" w:eastAsia="宋体" w:hAnsi="宋体" w:cs="宋体"/>
                <w:sz w:val="16"/>
                <w:szCs w:val="16"/>
              </w:rPr>
            </w:pPr>
            <w:r>
              <w:rPr>
                <w:rFonts w:ascii="宋体" w:eastAsia="宋体" w:hAnsi="宋体" w:cs="宋体"/>
                <w:spacing w:val="-2"/>
                <w:sz w:val="16"/>
                <w:szCs w:val="16"/>
              </w:rPr>
              <w:t>24.57</w:t>
            </w:r>
          </w:p>
        </w:tc>
        <w:tc>
          <w:tcPr>
            <w:tcW w:w="1137" w:type="dxa"/>
            <w:tcBorders>
              <w:top w:val="single" w:sz="4" w:space="0" w:color="000000"/>
            </w:tcBorders>
          </w:tcPr>
          <w:p w:rsidR="00EA40A3" w:rsidRDefault="00E86C16">
            <w:pPr>
              <w:spacing w:before="139" w:line="183" w:lineRule="auto"/>
              <w:ind w:left="382"/>
              <w:rPr>
                <w:rFonts w:ascii="宋体" w:eastAsia="宋体" w:hAnsi="宋体" w:cs="宋体"/>
                <w:sz w:val="16"/>
                <w:szCs w:val="16"/>
              </w:rPr>
            </w:pPr>
            <w:r>
              <w:rPr>
                <w:rFonts w:ascii="宋体" w:eastAsia="宋体" w:hAnsi="宋体" w:cs="宋体"/>
                <w:spacing w:val="-2"/>
                <w:sz w:val="16"/>
                <w:szCs w:val="16"/>
              </w:rPr>
              <w:t>4.02</w:t>
            </w:r>
          </w:p>
        </w:tc>
        <w:tc>
          <w:tcPr>
            <w:tcW w:w="1588" w:type="dxa"/>
            <w:tcBorders>
              <w:top w:val="single" w:sz="4" w:space="0" w:color="000000"/>
            </w:tcBorders>
          </w:tcPr>
          <w:p w:rsidR="00EA40A3" w:rsidRDefault="00E86C16">
            <w:pPr>
              <w:spacing w:before="139" w:line="183" w:lineRule="auto"/>
              <w:ind w:left="646"/>
              <w:rPr>
                <w:rFonts w:ascii="宋体" w:eastAsia="宋体" w:hAnsi="宋体" w:cs="宋体"/>
                <w:sz w:val="16"/>
                <w:szCs w:val="16"/>
              </w:rPr>
            </w:pPr>
            <w:r>
              <w:rPr>
                <w:rFonts w:ascii="宋体" w:eastAsia="宋体" w:hAnsi="宋体" w:cs="宋体"/>
                <w:spacing w:val="-2"/>
                <w:sz w:val="16"/>
                <w:szCs w:val="16"/>
              </w:rPr>
              <w:t>0.38</w:t>
            </w:r>
          </w:p>
        </w:tc>
        <w:tc>
          <w:tcPr>
            <w:tcW w:w="1637" w:type="dxa"/>
            <w:tcBorders>
              <w:top w:val="single" w:sz="4" w:space="0" w:color="000000"/>
            </w:tcBorders>
          </w:tcPr>
          <w:p w:rsidR="00EA40A3" w:rsidRDefault="00E86C16">
            <w:pPr>
              <w:spacing w:before="129" w:line="184" w:lineRule="auto"/>
              <w:ind w:left="668"/>
              <w:rPr>
                <w:rFonts w:ascii="宋体" w:eastAsia="宋体" w:hAnsi="宋体" w:cs="宋体"/>
                <w:sz w:val="16"/>
                <w:szCs w:val="16"/>
              </w:rPr>
            </w:pPr>
            <w:r>
              <w:rPr>
                <w:rFonts w:ascii="宋体" w:eastAsia="宋体" w:hAnsi="宋体" w:cs="宋体"/>
                <w:spacing w:val="-4"/>
                <w:sz w:val="16"/>
                <w:szCs w:val="16"/>
              </w:rPr>
              <w:t>1.18</w:t>
            </w:r>
          </w:p>
        </w:tc>
      </w:tr>
      <w:tr w:rsidR="00EA40A3">
        <w:trPr>
          <w:trHeight w:val="263"/>
        </w:trPr>
        <w:tc>
          <w:tcPr>
            <w:tcW w:w="1820" w:type="dxa"/>
          </w:tcPr>
          <w:p w:rsidR="00EA40A3" w:rsidRDefault="00E86C16">
            <w:pPr>
              <w:spacing w:before="59" w:line="216" w:lineRule="auto"/>
              <w:ind w:left="150"/>
              <w:rPr>
                <w:rFonts w:ascii="宋体" w:eastAsia="宋体" w:hAnsi="宋体" w:cs="宋体"/>
                <w:sz w:val="16"/>
                <w:szCs w:val="16"/>
              </w:rPr>
            </w:pPr>
            <w:r>
              <w:rPr>
                <w:rFonts w:ascii="宋体" w:eastAsia="宋体" w:hAnsi="宋体" w:cs="宋体"/>
                <w:spacing w:val="3"/>
                <w:sz w:val="16"/>
                <w:szCs w:val="16"/>
              </w:rPr>
              <w:t>高温(121℃,20</w:t>
            </w:r>
            <w:r>
              <w:rPr>
                <w:rFonts w:ascii="宋体" w:eastAsia="宋体" w:hAnsi="宋体" w:cs="宋体"/>
                <w:sz w:val="16"/>
                <w:szCs w:val="16"/>
              </w:rPr>
              <w:t>min</w:t>
            </w:r>
            <w:r>
              <w:rPr>
                <w:rFonts w:ascii="宋体" w:eastAsia="宋体" w:hAnsi="宋体" w:cs="宋体"/>
                <w:spacing w:val="3"/>
                <w:sz w:val="16"/>
                <w:szCs w:val="16"/>
              </w:rPr>
              <w:t>)</w:t>
            </w:r>
          </w:p>
        </w:tc>
        <w:tc>
          <w:tcPr>
            <w:tcW w:w="1157" w:type="dxa"/>
          </w:tcPr>
          <w:p w:rsidR="00EA40A3" w:rsidRDefault="00E86C16">
            <w:pPr>
              <w:spacing w:before="102" w:line="183" w:lineRule="auto"/>
              <w:ind w:left="229"/>
              <w:rPr>
                <w:rFonts w:ascii="宋体" w:eastAsia="宋体" w:hAnsi="宋体" w:cs="宋体"/>
                <w:sz w:val="16"/>
                <w:szCs w:val="16"/>
              </w:rPr>
            </w:pPr>
            <w:r>
              <w:rPr>
                <w:rFonts w:ascii="宋体" w:eastAsia="宋体" w:hAnsi="宋体" w:cs="宋体"/>
                <w:spacing w:val="-2"/>
                <w:sz w:val="16"/>
                <w:szCs w:val="16"/>
              </w:rPr>
              <w:t>22.76</w:t>
            </w:r>
          </w:p>
        </w:tc>
        <w:tc>
          <w:tcPr>
            <w:tcW w:w="1137" w:type="dxa"/>
          </w:tcPr>
          <w:p w:rsidR="00EA40A3" w:rsidRDefault="00E86C16">
            <w:pPr>
              <w:spacing w:before="113" w:line="173" w:lineRule="auto"/>
              <w:ind w:left="382"/>
              <w:rPr>
                <w:rFonts w:ascii="宋体" w:eastAsia="宋体" w:hAnsi="宋体" w:cs="宋体"/>
                <w:sz w:val="16"/>
                <w:szCs w:val="16"/>
              </w:rPr>
            </w:pPr>
            <w:r>
              <w:rPr>
                <w:rFonts w:ascii="宋体" w:eastAsia="宋体" w:hAnsi="宋体" w:cs="宋体"/>
                <w:spacing w:val="-2"/>
                <w:sz w:val="16"/>
                <w:szCs w:val="16"/>
              </w:rPr>
              <w:t>2.04</w:t>
            </w:r>
          </w:p>
        </w:tc>
        <w:tc>
          <w:tcPr>
            <w:tcW w:w="1588" w:type="dxa"/>
          </w:tcPr>
          <w:p w:rsidR="00EA40A3" w:rsidRDefault="00E86C16">
            <w:pPr>
              <w:spacing w:before="102" w:line="183" w:lineRule="auto"/>
              <w:ind w:left="646"/>
              <w:rPr>
                <w:rFonts w:ascii="宋体" w:eastAsia="宋体" w:hAnsi="宋体" w:cs="宋体"/>
                <w:sz w:val="16"/>
                <w:szCs w:val="16"/>
              </w:rPr>
            </w:pPr>
            <w:r>
              <w:rPr>
                <w:rFonts w:ascii="宋体" w:eastAsia="宋体" w:hAnsi="宋体" w:cs="宋体"/>
                <w:spacing w:val="-2"/>
                <w:sz w:val="16"/>
                <w:szCs w:val="16"/>
              </w:rPr>
              <w:t>0.29</w:t>
            </w:r>
          </w:p>
        </w:tc>
        <w:tc>
          <w:tcPr>
            <w:tcW w:w="1637" w:type="dxa"/>
          </w:tcPr>
          <w:p w:rsidR="00EA40A3" w:rsidRDefault="00E86C16">
            <w:pPr>
              <w:spacing w:before="102" w:line="183" w:lineRule="auto"/>
              <w:ind w:left="668"/>
              <w:rPr>
                <w:rFonts w:ascii="宋体" w:eastAsia="宋体" w:hAnsi="宋体" w:cs="宋体"/>
                <w:sz w:val="16"/>
                <w:szCs w:val="16"/>
              </w:rPr>
            </w:pPr>
            <w:r>
              <w:rPr>
                <w:rFonts w:ascii="宋体" w:eastAsia="宋体" w:hAnsi="宋体" w:cs="宋体"/>
                <w:spacing w:val="-2"/>
                <w:sz w:val="16"/>
                <w:szCs w:val="16"/>
              </w:rPr>
              <w:t>0.95</w:t>
            </w:r>
          </w:p>
        </w:tc>
      </w:tr>
      <w:tr w:rsidR="00EA40A3">
        <w:trPr>
          <w:trHeight w:val="261"/>
        </w:trPr>
        <w:tc>
          <w:tcPr>
            <w:tcW w:w="1820" w:type="dxa"/>
          </w:tcPr>
          <w:p w:rsidR="00EA40A3" w:rsidRDefault="00E86C16">
            <w:pPr>
              <w:spacing w:before="46" w:line="216" w:lineRule="auto"/>
              <w:ind w:left="150"/>
              <w:rPr>
                <w:rFonts w:ascii="宋体" w:eastAsia="宋体" w:hAnsi="宋体" w:cs="宋体"/>
                <w:sz w:val="16"/>
                <w:szCs w:val="16"/>
              </w:rPr>
            </w:pPr>
            <w:r>
              <w:rPr>
                <w:rFonts w:ascii="宋体" w:eastAsia="宋体" w:hAnsi="宋体" w:cs="宋体"/>
                <w:spacing w:val="3"/>
                <w:sz w:val="16"/>
                <w:szCs w:val="16"/>
              </w:rPr>
              <w:t>沸水(100℃,20</w:t>
            </w:r>
            <w:r>
              <w:rPr>
                <w:rFonts w:ascii="宋体" w:eastAsia="宋体" w:hAnsi="宋体" w:cs="宋体"/>
                <w:sz w:val="16"/>
                <w:szCs w:val="16"/>
              </w:rPr>
              <w:t>min</w:t>
            </w:r>
            <w:r>
              <w:rPr>
                <w:rFonts w:ascii="宋体" w:eastAsia="宋体" w:hAnsi="宋体" w:cs="宋体"/>
                <w:spacing w:val="3"/>
                <w:sz w:val="16"/>
                <w:szCs w:val="16"/>
              </w:rPr>
              <w:t>)</w:t>
            </w:r>
          </w:p>
        </w:tc>
        <w:tc>
          <w:tcPr>
            <w:tcW w:w="1157" w:type="dxa"/>
          </w:tcPr>
          <w:p w:rsidR="00EA40A3" w:rsidRDefault="00E86C16">
            <w:pPr>
              <w:spacing w:before="89" w:line="184" w:lineRule="auto"/>
              <w:ind w:left="229"/>
              <w:rPr>
                <w:rFonts w:ascii="宋体" w:eastAsia="宋体" w:hAnsi="宋体" w:cs="宋体"/>
                <w:sz w:val="16"/>
                <w:szCs w:val="16"/>
              </w:rPr>
            </w:pPr>
            <w:r>
              <w:rPr>
                <w:rFonts w:ascii="宋体" w:eastAsia="宋体" w:hAnsi="宋体" w:cs="宋体"/>
                <w:spacing w:val="-2"/>
                <w:sz w:val="16"/>
                <w:szCs w:val="16"/>
              </w:rPr>
              <w:t>24.51</w:t>
            </w:r>
          </w:p>
        </w:tc>
        <w:tc>
          <w:tcPr>
            <w:tcW w:w="1137" w:type="dxa"/>
          </w:tcPr>
          <w:p w:rsidR="00EA40A3" w:rsidRDefault="00E86C16">
            <w:pPr>
              <w:spacing w:before="89" w:line="183" w:lineRule="auto"/>
              <w:ind w:left="382"/>
              <w:rPr>
                <w:rFonts w:ascii="宋体" w:eastAsia="宋体" w:hAnsi="宋体" w:cs="宋体"/>
                <w:sz w:val="16"/>
                <w:szCs w:val="16"/>
              </w:rPr>
            </w:pPr>
            <w:r>
              <w:rPr>
                <w:rFonts w:ascii="宋体" w:eastAsia="宋体" w:hAnsi="宋体" w:cs="宋体"/>
                <w:spacing w:val="-2"/>
                <w:sz w:val="16"/>
                <w:szCs w:val="16"/>
              </w:rPr>
              <w:t>3.56</w:t>
            </w:r>
          </w:p>
        </w:tc>
        <w:tc>
          <w:tcPr>
            <w:tcW w:w="1588" w:type="dxa"/>
          </w:tcPr>
          <w:p w:rsidR="00EA40A3" w:rsidRDefault="00E86C16">
            <w:pPr>
              <w:spacing w:before="89" w:line="183" w:lineRule="auto"/>
              <w:ind w:left="646"/>
              <w:rPr>
                <w:rFonts w:ascii="宋体" w:eastAsia="宋体" w:hAnsi="宋体" w:cs="宋体"/>
                <w:sz w:val="16"/>
                <w:szCs w:val="16"/>
              </w:rPr>
            </w:pPr>
            <w:r>
              <w:rPr>
                <w:rFonts w:ascii="宋体" w:eastAsia="宋体" w:hAnsi="宋体" w:cs="宋体"/>
                <w:spacing w:val="-2"/>
                <w:sz w:val="16"/>
                <w:szCs w:val="16"/>
              </w:rPr>
              <w:t>0.35</w:t>
            </w:r>
          </w:p>
        </w:tc>
        <w:tc>
          <w:tcPr>
            <w:tcW w:w="1637" w:type="dxa"/>
          </w:tcPr>
          <w:p w:rsidR="00EA40A3" w:rsidRDefault="00E86C16">
            <w:pPr>
              <w:spacing w:before="89" w:line="184" w:lineRule="auto"/>
              <w:ind w:left="668"/>
              <w:rPr>
                <w:rFonts w:ascii="宋体" w:eastAsia="宋体" w:hAnsi="宋体" w:cs="宋体"/>
                <w:sz w:val="16"/>
                <w:szCs w:val="16"/>
              </w:rPr>
            </w:pPr>
            <w:r>
              <w:rPr>
                <w:rFonts w:ascii="宋体" w:eastAsia="宋体" w:hAnsi="宋体" w:cs="宋体"/>
                <w:spacing w:val="-4"/>
                <w:sz w:val="16"/>
                <w:szCs w:val="16"/>
              </w:rPr>
              <w:t>1.10</w:t>
            </w:r>
          </w:p>
        </w:tc>
      </w:tr>
      <w:tr w:rsidR="00EA40A3">
        <w:trPr>
          <w:trHeight w:val="276"/>
        </w:trPr>
        <w:tc>
          <w:tcPr>
            <w:tcW w:w="1820" w:type="dxa"/>
            <w:tcBorders>
              <w:bottom w:val="single" w:sz="4" w:space="0" w:color="000000"/>
            </w:tcBorders>
          </w:tcPr>
          <w:p w:rsidR="00EA40A3" w:rsidRDefault="00E86C16">
            <w:pPr>
              <w:spacing w:before="68" w:line="221" w:lineRule="auto"/>
              <w:ind w:left="580"/>
              <w:rPr>
                <w:rFonts w:ascii="宋体" w:eastAsia="宋体" w:hAnsi="宋体" w:cs="宋体"/>
                <w:sz w:val="16"/>
                <w:szCs w:val="16"/>
              </w:rPr>
            </w:pPr>
            <w:r>
              <w:rPr>
                <w:rFonts w:ascii="宋体" w:eastAsia="宋体" w:hAnsi="宋体" w:cs="宋体"/>
                <w:spacing w:val="-2"/>
                <w:sz w:val="16"/>
                <w:szCs w:val="16"/>
              </w:rPr>
              <w:t>对照组</w:t>
            </w:r>
          </w:p>
        </w:tc>
        <w:tc>
          <w:tcPr>
            <w:tcW w:w="1157" w:type="dxa"/>
            <w:tcBorders>
              <w:bottom w:val="single" w:sz="4" w:space="0" w:color="000000"/>
            </w:tcBorders>
          </w:tcPr>
          <w:p w:rsidR="00EA40A3" w:rsidRDefault="00E86C16">
            <w:pPr>
              <w:spacing w:before="108" w:line="183" w:lineRule="auto"/>
              <w:ind w:left="229"/>
              <w:rPr>
                <w:rFonts w:ascii="宋体" w:eastAsia="宋体" w:hAnsi="宋体" w:cs="宋体"/>
                <w:sz w:val="16"/>
                <w:szCs w:val="16"/>
              </w:rPr>
            </w:pPr>
            <w:r>
              <w:rPr>
                <w:rFonts w:ascii="宋体" w:eastAsia="宋体" w:hAnsi="宋体" w:cs="宋体"/>
                <w:spacing w:val="-2"/>
                <w:sz w:val="16"/>
                <w:szCs w:val="16"/>
              </w:rPr>
              <w:t>24.70</w:t>
            </w:r>
          </w:p>
        </w:tc>
        <w:tc>
          <w:tcPr>
            <w:tcW w:w="1137" w:type="dxa"/>
            <w:tcBorders>
              <w:bottom w:val="single" w:sz="4" w:space="0" w:color="000000"/>
            </w:tcBorders>
          </w:tcPr>
          <w:p w:rsidR="00EA40A3" w:rsidRDefault="00E86C16">
            <w:pPr>
              <w:spacing w:before="108" w:line="184" w:lineRule="auto"/>
              <w:ind w:left="382"/>
              <w:rPr>
                <w:rFonts w:ascii="宋体" w:eastAsia="宋体" w:hAnsi="宋体" w:cs="宋体"/>
                <w:sz w:val="16"/>
                <w:szCs w:val="16"/>
              </w:rPr>
            </w:pPr>
            <w:r>
              <w:rPr>
                <w:rFonts w:ascii="宋体" w:eastAsia="宋体" w:hAnsi="宋体" w:cs="宋体"/>
                <w:spacing w:val="-2"/>
                <w:sz w:val="16"/>
                <w:szCs w:val="16"/>
              </w:rPr>
              <w:t>4.16</w:t>
            </w:r>
          </w:p>
        </w:tc>
        <w:tc>
          <w:tcPr>
            <w:tcW w:w="1588" w:type="dxa"/>
            <w:tcBorders>
              <w:bottom w:val="single" w:sz="4" w:space="0" w:color="000000"/>
            </w:tcBorders>
          </w:tcPr>
          <w:p w:rsidR="00EA40A3" w:rsidRDefault="00E86C16">
            <w:pPr>
              <w:spacing w:before="108" w:line="183" w:lineRule="auto"/>
              <w:ind w:left="646"/>
              <w:rPr>
                <w:rFonts w:ascii="宋体" w:eastAsia="宋体" w:hAnsi="宋体" w:cs="宋体"/>
                <w:sz w:val="16"/>
                <w:szCs w:val="16"/>
              </w:rPr>
            </w:pPr>
            <w:r>
              <w:rPr>
                <w:rFonts w:ascii="宋体" w:eastAsia="宋体" w:hAnsi="宋体" w:cs="宋体"/>
                <w:spacing w:val="-2"/>
                <w:sz w:val="16"/>
                <w:szCs w:val="16"/>
              </w:rPr>
              <w:t>0.40</w:t>
            </w:r>
          </w:p>
        </w:tc>
        <w:tc>
          <w:tcPr>
            <w:tcW w:w="1637" w:type="dxa"/>
            <w:tcBorders>
              <w:bottom w:val="single" w:sz="4" w:space="0" w:color="000000"/>
            </w:tcBorders>
          </w:tcPr>
          <w:p w:rsidR="00EA40A3" w:rsidRDefault="00E86C16">
            <w:pPr>
              <w:spacing w:before="108" w:line="184" w:lineRule="auto"/>
              <w:ind w:left="668"/>
              <w:rPr>
                <w:rFonts w:ascii="宋体" w:eastAsia="宋体" w:hAnsi="宋体" w:cs="宋体"/>
                <w:sz w:val="16"/>
                <w:szCs w:val="16"/>
              </w:rPr>
            </w:pPr>
            <w:r>
              <w:rPr>
                <w:rFonts w:ascii="宋体" w:eastAsia="宋体" w:hAnsi="宋体" w:cs="宋体"/>
                <w:spacing w:val="-4"/>
                <w:sz w:val="16"/>
                <w:szCs w:val="16"/>
              </w:rPr>
              <w:t>1.30</w:t>
            </w:r>
          </w:p>
        </w:tc>
      </w:tr>
    </w:tbl>
    <w:p w:rsidR="00EA40A3" w:rsidRDefault="00E86C16">
      <w:pPr>
        <w:spacing w:before="131" w:line="242" w:lineRule="auto"/>
        <w:ind w:left="390" w:right="67"/>
        <w:rPr>
          <w:rFonts w:ascii="宋体" w:eastAsia="宋体" w:hAnsi="宋体" w:cs="宋体"/>
          <w:sz w:val="16"/>
          <w:szCs w:val="16"/>
        </w:rPr>
      </w:pPr>
      <w:r>
        <w:rPr>
          <w:rFonts w:ascii="宋体" w:eastAsia="宋体" w:hAnsi="宋体" w:cs="宋体"/>
          <w:spacing w:val="7"/>
          <w:sz w:val="16"/>
          <w:szCs w:val="16"/>
        </w:rPr>
        <w:t>数据来源：赵凯，张庆钢.1999.不同杀菌方式对凿牛肉品质的影响.黑</w:t>
      </w:r>
      <w:r>
        <w:rPr>
          <w:rFonts w:ascii="宋体" w:eastAsia="宋体" w:hAnsi="宋体" w:cs="宋体"/>
          <w:spacing w:val="6"/>
          <w:sz w:val="16"/>
          <w:szCs w:val="16"/>
        </w:rPr>
        <w:t>龙江商学院学报，15(4):</w:t>
      </w:r>
      <w:r>
        <w:rPr>
          <w:rFonts w:ascii="宋体" w:eastAsia="宋体" w:hAnsi="宋体" w:cs="宋体"/>
          <w:sz w:val="16"/>
          <w:szCs w:val="16"/>
        </w:rPr>
        <w:t xml:space="preserve"> </w:t>
      </w:r>
      <w:r>
        <w:rPr>
          <w:rFonts w:ascii="宋体" w:eastAsia="宋体" w:hAnsi="宋体" w:cs="宋体"/>
          <w:spacing w:val="-4"/>
          <w:sz w:val="16"/>
          <w:szCs w:val="16"/>
        </w:rPr>
        <w:t>15～19</w:t>
      </w:r>
    </w:p>
    <w:p w:rsidR="00EA40A3" w:rsidRDefault="00E86C16">
      <w:pPr>
        <w:spacing w:before="248" w:line="221" w:lineRule="auto"/>
        <w:ind w:left="3"/>
        <w:outlineLvl w:val="6"/>
        <w:rPr>
          <w:rFonts w:ascii="黑体" w:eastAsia="黑体" w:hAnsi="黑体" w:cs="黑体"/>
          <w:sz w:val="22"/>
          <w:szCs w:val="22"/>
        </w:rPr>
      </w:pPr>
      <w:r>
        <w:rPr>
          <w:rFonts w:ascii="黑体" w:eastAsia="黑体" w:hAnsi="黑体" w:cs="黑体"/>
          <w:b/>
          <w:bCs/>
          <w:spacing w:val="10"/>
          <w:sz w:val="22"/>
          <w:szCs w:val="22"/>
        </w:rPr>
        <w:t>7.2.3</w:t>
      </w:r>
      <w:r>
        <w:rPr>
          <w:rFonts w:ascii="黑体" w:eastAsia="黑体" w:hAnsi="黑体" w:cs="黑体"/>
          <w:spacing w:val="17"/>
          <w:sz w:val="22"/>
          <w:szCs w:val="22"/>
        </w:rPr>
        <w:t xml:space="preserve">   </w:t>
      </w:r>
      <w:r>
        <w:rPr>
          <w:rFonts w:ascii="黑体" w:eastAsia="黑体" w:hAnsi="黑体" w:cs="黑体"/>
          <w:b/>
          <w:bCs/>
          <w:spacing w:val="10"/>
          <w:sz w:val="22"/>
          <w:szCs w:val="22"/>
        </w:rPr>
        <w:t>浓缩对食品营养价值的影响</w:t>
      </w:r>
    </w:p>
    <w:p w:rsidR="00EA40A3" w:rsidRDefault="00E86C16">
      <w:pPr>
        <w:spacing w:before="200" w:line="250" w:lineRule="auto"/>
        <w:ind w:right="79" w:firstLine="390"/>
        <w:jc w:val="both"/>
        <w:rPr>
          <w:rFonts w:ascii="宋体" w:eastAsia="宋体" w:hAnsi="宋体" w:cs="宋体"/>
          <w:sz w:val="22"/>
          <w:szCs w:val="22"/>
        </w:rPr>
      </w:pPr>
      <w:r>
        <w:rPr>
          <w:rFonts w:ascii="宋体" w:eastAsia="宋体" w:hAnsi="宋体" w:cs="宋体"/>
          <w:spacing w:val="-13"/>
          <w:sz w:val="22"/>
          <w:szCs w:val="22"/>
        </w:rPr>
        <w:t>浓缩是从溶液中除去溶剂的操作过程，也是溶质和溶剂均匀混合溶液的部分</w:t>
      </w:r>
      <w:r>
        <w:rPr>
          <w:rFonts w:ascii="宋体" w:eastAsia="宋体" w:hAnsi="宋体" w:cs="宋体"/>
          <w:spacing w:val="8"/>
          <w:sz w:val="22"/>
          <w:szCs w:val="22"/>
        </w:rPr>
        <w:t xml:space="preserve">  </w:t>
      </w:r>
      <w:r>
        <w:rPr>
          <w:rFonts w:ascii="宋体" w:eastAsia="宋体" w:hAnsi="宋体" w:cs="宋体"/>
          <w:spacing w:val="-13"/>
          <w:sz w:val="22"/>
          <w:szCs w:val="22"/>
        </w:rPr>
        <w:t>分离的过程。食品的浓缩，可分为平衡浓缩和非平衡浓缩两种方法。</w:t>
      </w:r>
      <w:r>
        <w:rPr>
          <w:rFonts w:ascii="宋体" w:eastAsia="宋体" w:hAnsi="宋体" w:cs="宋体"/>
          <w:spacing w:val="-14"/>
          <w:sz w:val="22"/>
          <w:szCs w:val="22"/>
        </w:rPr>
        <w:t>平衡浓缩是</w:t>
      </w:r>
      <w:r>
        <w:rPr>
          <w:rFonts w:ascii="宋体" w:eastAsia="宋体" w:hAnsi="宋体" w:cs="宋体"/>
          <w:sz w:val="22"/>
          <w:szCs w:val="22"/>
        </w:rPr>
        <w:t xml:space="preserve">  </w:t>
      </w:r>
      <w:r>
        <w:rPr>
          <w:rFonts w:ascii="宋体" w:eastAsia="宋体" w:hAnsi="宋体" w:cs="宋体"/>
          <w:spacing w:val="-10"/>
          <w:sz w:val="22"/>
          <w:szCs w:val="22"/>
        </w:rPr>
        <w:t>利用两相在分配上的某种差异而获得溶质的浓缩方法，如</w:t>
      </w:r>
      <w:r>
        <w:rPr>
          <w:rFonts w:ascii="宋体" w:eastAsia="宋体" w:hAnsi="宋体" w:cs="宋体"/>
          <w:spacing w:val="-11"/>
          <w:sz w:val="22"/>
          <w:szCs w:val="22"/>
        </w:rPr>
        <w:t>蒸发浓缩和冷冻浓缩。</w:t>
      </w:r>
      <w:r>
        <w:rPr>
          <w:rFonts w:ascii="宋体" w:eastAsia="宋体" w:hAnsi="宋体" w:cs="宋体"/>
          <w:sz w:val="22"/>
          <w:szCs w:val="22"/>
        </w:rPr>
        <w:t xml:space="preserve"> </w:t>
      </w:r>
      <w:r>
        <w:rPr>
          <w:rFonts w:ascii="宋体" w:eastAsia="宋体" w:hAnsi="宋体" w:cs="宋体"/>
          <w:spacing w:val="-13"/>
          <w:sz w:val="22"/>
          <w:szCs w:val="22"/>
        </w:rPr>
        <w:t>非平衡浓缩是利用半透膜等来分离溶质与溶剂的过程，如膜浓缩。</w:t>
      </w:r>
    </w:p>
    <w:p w:rsidR="00EA40A3" w:rsidRDefault="00E86C16">
      <w:pPr>
        <w:spacing w:before="217"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3"/>
          <w:sz w:val="22"/>
          <w:szCs w:val="22"/>
        </w:rPr>
        <w:t xml:space="preserve"> </w:t>
      </w:r>
      <w:r>
        <w:rPr>
          <w:rFonts w:ascii="仿宋" w:eastAsia="仿宋" w:hAnsi="仿宋" w:cs="仿宋"/>
          <w:spacing w:val="8"/>
          <w:sz w:val="22"/>
          <w:szCs w:val="22"/>
        </w:rPr>
        <w:t>蒸发浓缩</w:t>
      </w:r>
    </w:p>
    <w:p w:rsidR="00EA40A3" w:rsidRDefault="00E86C16">
      <w:pPr>
        <w:spacing w:before="207" w:line="252" w:lineRule="auto"/>
        <w:ind w:right="111" w:firstLine="390"/>
        <w:jc w:val="both"/>
        <w:rPr>
          <w:rFonts w:ascii="宋体" w:eastAsia="宋体" w:hAnsi="宋体" w:cs="宋体"/>
          <w:sz w:val="22"/>
          <w:szCs w:val="22"/>
        </w:rPr>
      </w:pPr>
      <w:r>
        <w:rPr>
          <w:rFonts w:ascii="宋体" w:eastAsia="宋体" w:hAnsi="宋体" w:cs="宋体"/>
          <w:spacing w:val="-13"/>
          <w:sz w:val="22"/>
          <w:szCs w:val="22"/>
        </w:rPr>
        <w:t>蒸发浓缩是通过物料沸腾将水分除去获得浓缩物的工艺过程，包括常压蒸发</w:t>
      </w:r>
      <w:r>
        <w:rPr>
          <w:rFonts w:ascii="宋体" w:eastAsia="宋体" w:hAnsi="宋体" w:cs="宋体"/>
          <w:spacing w:val="17"/>
          <w:sz w:val="22"/>
          <w:szCs w:val="22"/>
        </w:rPr>
        <w:t xml:space="preserve"> </w:t>
      </w:r>
      <w:r>
        <w:rPr>
          <w:rFonts w:ascii="宋体" w:eastAsia="宋体" w:hAnsi="宋体" w:cs="宋体"/>
          <w:spacing w:val="-9"/>
          <w:sz w:val="22"/>
          <w:szCs w:val="22"/>
        </w:rPr>
        <w:t>浓缩和真空蒸发浓缩，蒸发浓缩在各种食品的加工操作中主要应用于：果汁(如</w:t>
      </w:r>
      <w:r>
        <w:rPr>
          <w:rFonts w:ascii="宋体" w:eastAsia="宋体" w:hAnsi="宋体" w:cs="宋体"/>
          <w:sz w:val="22"/>
          <w:szCs w:val="22"/>
        </w:rPr>
        <w:t xml:space="preserve"> </w:t>
      </w:r>
      <w:r>
        <w:rPr>
          <w:rFonts w:ascii="宋体" w:eastAsia="宋体" w:hAnsi="宋体" w:cs="宋体"/>
          <w:spacing w:val="4"/>
          <w:sz w:val="22"/>
          <w:szCs w:val="22"/>
        </w:rPr>
        <w:t>橙汁浓缩)、蔬菜汁(如番茄酱)和乳制品(如浓缩牛乳、乳粉在脱水前处理)</w:t>
      </w:r>
      <w:r>
        <w:rPr>
          <w:rFonts w:ascii="宋体" w:eastAsia="宋体" w:hAnsi="宋体" w:cs="宋体"/>
          <w:spacing w:val="17"/>
          <w:sz w:val="22"/>
          <w:szCs w:val="22"/>
        </w:rPr>
        <w:t xml:space="preserve"> </w:t>
      </w:r>
      <w:r>
        <w:rPr>
          <w:rFonts w:ascii="宋体" w:eastAsia="宋体" w:hAnsi="宋体" w:cs="宋体"/>
          <w:spacing w:val="-12"/>
          <w:sz w:val="22"/>
          <w:szCs w:val="22"/>
        </w:rPr>
        <w:t>的浓缩；盐或糖精的浓缩，用于从高浓度糖浆来生产硬糖；通常浓缩处理</w:t>
      </w:r>
      <w:r>
        <w:rPr>
          <w:rFonts w:ascii="宋体" w:eastAsia="宋体" w:hAnsi="宋体" w:cs="宋体"/>
          <w:spacing w:val="-13"/>
          <w:sz w:val="22"/>
          <w:szCs w:val="22"/>
        </w:rPr>
        <w:t>可抑制</w:t>
      </w:r>
      <w:r>
        <w:rPr>
          <w:rFonts w:ascii="宋体" w:eastAsia="宋体" w:hAnsi="宋体" w:cs="宋体"/>
          <w:sz w:val="22"/>
          <w:szCs w:val="22"/>
        </w:rPr>
        <w:t xml:space="preserve"> </w:t>
      </w:r>
      <w:r>
        <w:rPr>
          <w:rFonts w:ascii="宋体" w:eastAsia="宋体" w:hAnsi="宋体" w:cs="宋体"/>
          <w:spacing w:val="-12"/>
          <w:sz w:val="22"/>
          <w:szCs w:val="22"/>
        </w:rPr>
        <w:t>食品物料中微生物的生长，提高货架期的稳定性和</w:t>
      </w:r>
      <w:r>
        <w:rPr>
          <w:rFonts w:ascii="宋体" w:eastAsia="宋体" w:hAnsi="宋体" w:cs="宋体"/>
          <w:spacing w:val="-13"/>
          <w:sz w:val="22"/>
          <w:szCs w:val="22"/>
        </w:rPr>
        <w:t>产生理想的质地。</w:t>
      </w:r>
    </w:p>
    <w:p w:rsidR="00EA40A3" w:rsidRDefault="00E86C16">
      <w:pPr>
        <w:spacing w:before="38" w:line="244" w:lineRule="auto"/>
        <w:ind w:right="149" w:firstLine="390"/>
        <w:jc w:val="both"/>
        <w:rPr>
          <w:rFonts w:ascii="宋体" w:eastAsia="宋体" w:hAnsi="宋体" w:cs="宋体"/>
          <w:sz w:val="22"/>
          <w:szCs w:val="22"/>
        </w:rPr>
      </w:pPr>
      <w:r>
        <w:rPr>
          <w:rFonts w:ascii="宋体" w:eastAsia="宋体" w:hAnsi="宋体" w:cs="宋体"/>
          <w:spacing w:val="-12"/>
          <w:sz w:val="22"/>
          <w:szCs w:val="22"/>
        </w:rPr>
        <w:t>食品中的蛋白质、脂肪、碳水化合物、维生素以</w:t>
      </w:r>
      <w:r>
        <w:rPr>
          <w:rFonts w:ascii="宋体" w:eastAsia="宋体" w:hAnsi="宋体" w:cs="宋体"/>
          <w:spacing w:val="-13"/>
          <w:sz w:val="22"/>
          <w:szCs w:val="22"/>
        </w:rPr>
        <w:t>及其他成分，在高温或长时</w:t>
      </w:r>
      <w:r>
        <w:rPr>
          <w:rFonts w:ascii="宋体" w:eastAsia="宋体" w:hAnsi="宋体" w:cs="宋体"/>
          <w:sz w:val="22"/>
          <w:szCs w:val="22"/>
        </w:rPr>
        <w:t xml:space="preserve"> </w:t>
      </w:r>
      <w:r>
        <w:rPr>
          <w:rFonts w:ascii="宋体" w:eastAsia="宋体" w:hAnsi="宋体" w:cs="宋体"/>
          <w:spacing w:val="-12"/>
          <w:sz w:val="22"/>
          <w:szCs w:val="22"/>
        </w:rPr>
        <w:t>间受热时会受到破坏或发生变性、氧化等作用。真空蒸</w:t>
      </w:r>
      <w:r>
        <w:rPr>
          <w:rFonts w:ascii="宋体" w:eastAsia="宋体" w:hAnsi="宋体" w:cs="宋体"/>
          <w:spacing w:val="-13"/>
          <w:sz w:val="22"/>
          <w:szCs w:val="22"/>
        </w:rPr>
        <w:t>发浓缩则能更好地保持食</w:t>
      </w:r>
      <w:r>
        <w:rPr>
          <w:rFonts w:ascii="宋体" w:eastAsia="宋体" w:hAnsi="宋体" w:cs="宋体"/>
          <w:sz w:val="22"/>
          <w:szCs w:val="22"/>
        </w:rPr>
        <w:t xml:space="preserve"> </w:t>
      </w:r>
      <w:r>
        <w:rPr>
          <w:rFonts w:ascii="宋体" w:eastAsia="宋体" w:hAnsi="宋体" w:cs="宋体"/>
          <w:spacing w:val="-12"/>
          <w:sz w:val="22"/>
          <w:szCs w:val="22"/>
        </w:rPr>
        <w:t>品中的营养成分。在真空条件下，液体的沸点低，物料在</w:t>
      </w:r>
      <w:r>
        <w:rPr>
          <w:rFonts w:ascii="宋体" w:eastAsia="宋体" w:hAnsi="宋体" w:cs="宋体"/>
          <w:spacing w:val="-13"/>
          <w:sz w:val="22"/>
          <w:szCs w:val="22"/>
        </w:rPr>
        <w:t>较低温度下蒸发，从而</w:t>
      </w:r>
      <w:r>
        <w:rPr>
          <w:rFonts w:ascii="宋体" w:eastAsia="宋体" w:hAnsi="宋体" w:cs="宋体"/>
          <w:sz w:val="22"/>
          <w:szCs w:val="22"/>
        </w:rPr>
        <w:t xml:space="preserve"> </w:t>
      </w:r>
      <w:r>
        <w:rPr>
          <w:rFonts w:ascii="宋体" w:eastAsia="宋体" w:hAnsi="宋体" w:cs="宋体"/>
          <w:spacing w:val="-16"/>
          <w:sz w:val="22"/>
          <w:szCs w:val="22"/>
        </w:rPr>
        <w:t>减少了对热敏性食品成分的破坏。</w:t>
      </w:r>
    </w:p>
    <w:p w:rsidR="00EA40A3" w:rsidRDefault="00E86C16">
      <w:pPr>
        <w:spacing w:before="236" w:line="222" w:lineRule="auto"/>
        <w:rPr>
          <w:rFonts w:ascii="仿宋" w:eastAsia="仿宋" w:hAnsi="仿宋" w:cs="仿宋"/>
          <w:sz w:val="22"/>
          <w:szCs w:val="22"/>
        </w:rPr>
      </w:pPr>
      <w:r>
        <w:rPr>
          <w:rFonts w:ascii="仿宋" w:eastAsia="仿宋" w:hAnsi="仿宋" w:cs="仿宋"/>
          <w:spacing w:val="-4"/>
          <w:sz w:val="22"/>
          <w:szCs w:val="22"/>
        </w:rPr>
        <w:t>2.</w:t>
      </w:r>
      <w:r>
        <w:rPr>
          <w:rFonts w:ascii="仿宋" w:eastAsia="仿宋" w:hAnsi="仿宋" w:cs="仿宋"/>
          <w:spacing w:val="50"/>
          <w:sz w:val="22"/>
          <w:szCs w:val="22"/>
        </w:rPr>
        <w:t xml:space="preserve"> </w:t>
      </w:r>
      <w:r>
        <w:rPr>
          <w:rFonts w:ascii="仿宋" w:eastAsia="仿宋" w:hAnsi="仿宋" w:cs="仿宋"/>
          <w:spacing w:val="-4"/>
          <w:sz w:val="22"/>
          <w:szCs w:val="22"/>
        </w:rPr>
        <w:t>冷冻浓缩</w:t>
      </w:r>
    </w:p>
    <w:p w:rsidR="00EA40A3" w:rsidRDefault="00E86C16">
      <w:pPr>
        <w:spacing w:before="198" w:line="246" w:lineRule="auto"/>
        <w:ind w:right="150" w:firstLine="390"/>
        <w:jc w:val="both"/>
        <w:rPr>
          <w:rFonts w:ascii="宋体" w:eastAsia="宋体" w:hAnsi="宋体" w:cs="宋体"/>
          <w:sz w:val="22"/>
          <w:szCs w:val="22"/>
        </w:rPr>
      </w:pPr>
      <w:r>
        <w:rPr>
          <w:rFonts w:ascii="宋体" w:eastAsia="宋体" w:hAnsi="宋体" w:cs="宋体"/>
          <w:spacing w:val="-12"/>
          <w:sz w:val="22"/>
          <w:szCs w:val="22"/>
        </w:rPr>
        <w:t>冷冻浓缩是一项浓缩新技术。它是利用冰和水</w:t>
      </w:r>
      <w:r>
        <w:rPr>
          <w:rFonts w:ascii="宋体" w:eastAsia="宋体" w:hAnsi="宋体" w:cs="宋体"/>
          <w:spacing w:val="-13"/>
          <w:sz w:val="22"/>
          <w:szCs w:val="22"/>
        </w:rPr>
        <w:t>溶液之间固液相平衡原理的一</w:t>
      </w:r>
      <w:r>
        <w:rPr>
          <w:rFonts w:ascii="宋体" w:eastAsia="宋体" w:hAnsi="宋体" w:cs="宋体"/>
          <w:sz w:val="22"/>
          <w:szCs w:val="22"/>
        </w:rPr>
        <w:t xml:space="preserve"> </w:t>
      </w:r>
      <w:r>
        <w:rPr>
          <w:rFonts w:ascii="宋体" w:eastAsia="宋体" w:hAnsi="宋体" w:cs="宋体"/>
          <w:spacing w:val="-6"/>
          <w:sz w:val="22"/>
          <w:szCs w:val="22"/>
        </w:rPr>
        <w:t>种浓缩方法。先将食品中的部分水冻结，使浓缩产物中产生一</w:t>
      </w:r>
      <w:r>
        <w:rPr>
          <w:rFonts w:ascii="宋体" w:eastAsia="宋体" w:hAnsi="宋体" w:cs="宋体"/>
          <w:spacing w:val="-7"/>
          <w:sz w:val="22"/>
          <w:szCs w:val="22"/>
        </w:rPr>
        <w:t>种含冰晶的浆状</w:t>
      </w:r>
      <w:r>
        <w:rPr>
          <w:rFonts w:ascii="宋体" w:eastAsia="宋体" w:hAnsi="宋体" w:cs="宋体"/>
          <w:sz w:val="22"/>
          <w:szCs w:val="22"/>
        </w:rPr>
        <w:t xml:space="preserve"> </w:t>
      </w:r>
      <w:r>
        <w:rPr>
          <w:rFonts w:ascii="宋体" w:eastAsia="宋体" w:hAnsi="宋体" w:cs="宋体"/>
          <w:spacing w:val="-12"/>
          <w:sz w:val="22"/>
          <w:szCs w:val="22"/>
        </w:rPr>
        <w:t>物，然后用某种洗涤技术使冰晶分离从而获得浓缩物的工艺过程。</w:t>
      </w:r>
    </w:p>
    <w:p w:rsidR="00EA40A3" w:rsidRDefault="00E86C16">
      <w:pPr>
        <w:spacing w:before="59" w:line="244" w:lineRule="auto"/>
        <w:ind w:right="79" w:firstLine="390"/>
        <w:jc w:val="both"/>
        <w:rPr>
          <w:rFonts w:ascii="宋体" w:eastAsia="宋体" w:hAnsi="宋体" w:cs="宋体"/>
          <w:sz w:val="22"/>
          <w:szCs w:val="22"/>
        </w:rPr>
      </w:pPr>
      <w:r>
        <w:rPr>
          <w:rFonts w:ascii="宋体" w:eastAsia="宋体" w:hAnsi="宋体" w:cs="宋体"/>
          <w:spacing w:val="-6"/>
          <w:sz w:val="22"/>
          <w:szCs w:val="22"/>
        </w:rPr>
        <w:t>冷冻浓缩由于不涉及加热过程，所以这种方法适用于热敏性食品物料的浓</w:t>
      </w:r>
      <w:r>
        <w:rPr>
          <w:rFonts w:ascii="宋体" w:eastAsia="宋体" w:hAnsi="宋体" w:cs="宋体"/>
          <w:sz w:val="22"/>
          <w:szCs w:val="22"/>
        </w:rPr>
        <w:t xml:space="preserve">  </w:t>
      </w:r>
      <w:r>
        <w:rPr>
          <w:rFonts w:ascii="宋体" w:eastAsia="宋体" w:hAnsi="宋体" w:cs="宋体"/>
          <w:spacing w:val="-12"/>
          <w:sz w:val="22"/>
          <w:szCs w:val="22"/>
        </w:rPr>
        <w:t>缩，可避免挥发性风味物质和芳香物质因加热造成的挥发损失，能生产出高品质</w:t>
      </w:r>
      <w:r>
        <w:rPr>
          <w:rFonts w:ascii="宋体" w:eastAsia="宋体" w:hAnsi="宋体" w:cs="宋体"/>
          <w:spacing w:val="2"/>
          <w:sz w:val="22"/>
          <w:szCs w:val="22"/>
        </w:rPr>
        <w:t xml:space="preserve"> </w:t>
      </w:r>
      <w:r>
        <w:rPr>
          <w:rFonts w:ascii="宋体" w:eastAsia="宋体" w:hAnsi="宋体" w:cs="宋体"/>
          <w:spacing w:val="-10"/>
          <w:sz w:val="22"/>
          <w:szCs w:val="22"/>
        </w:rPr>
        <w:t>的产品。但由于成本昂贵，冷冻浓缩在食品工业中的应用</w:t>
      </w:r>
      <w:r>
        <w:rPr>
          <w:rFonts w:ascii="宋体" w:eastAsia="宋体" w:hAnsi="宋体" w:cs="宋体"/>
          <w:spacing w:val="-11"/>
          <w:sz w:val="22"/>
          <w:szCs w:val="22"/>
        </w:rPr>
        <w:t>一般限于果汁、咖啡、</w:t>
      </w:r>
      <w:r>
        <w:rPr>
          <w:rFonts w:ascii="宋体" w:eastAsia="宋体" w:hAnsi="宋体" w:cs="宋体"/>
          <w:sz w:val="22"/>
          <w:szCs w:val="22"/>
        </w:rPr>
        <w:t xml:space="preserve"> </w:t>
      </w:r>
      <w:r>
        <w:rPr>
          <w:rFonts w:ascii="宋体" w:eastAsia="宋体" w:hAnsi="宋体" w:cs="宋体"/>
          <w:spacing w:val="-14"/>
          <w:sz w:val="22"/>
          <w:szCs w:val="22"/>
        </w:rPr>
        <w:t>茶叶提取物、啤酒、葡萄酒、生物制品、药品和调料品等。</w:t>
      </w:r>
    </w:p>
    <w:p w:rsidR="00EA40A3" w:rsidRDefault="00E86C16">
      <w:pPr>
        <w:spacing w:before="82"/>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238</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970" w:bottom="400" w:left="829" w:header="0" w:footer="0" w:gutter="0"/>
          <w:cols w:space="720"/>
        </w:sectPr>
      </w:pPr>
    </w:p>
    <w:p w:rsidR="00EA40A3" w:rsidRDefault="00EA40A3">
      <w:pPr>
        <w:spacing w:line="291" w:lineRule="auto"/>
      </w:pPr>
    </w:p>
    <w:p w:rsidR="00EA40A3" w:rsidRDefault="00EA40A3">
      <w:pPr>
        <w:spacing w:line="292" w:lineRule="auto"/>
      </w:pPr>
    </w:p>
    <w:p w:rsidR="00EA40A3" w:rsidRDefault="00E86C16">
      <w:pPr>
        <w:spacing w:before="71" w:line="250" w:lineRule="auto"/>
        <w:ind w:right="11" w:firstLine="490"/>
        <w:jc w:val="both"/>
        <w:rPr>
          <w:rFonts w:ascii="宋体" w:eastAsia="宋体" w:hAnsi="宋体" w:cs="宋体"/>
          <w:sz w:val="22"/>
          <w:szCs w:val="22"/>
        </w:rPr>
      </w:pPr>
      <w:r>
        <w:rPr>
          <w:rFonts w:ascii="宋体" w:eastAsia="宋体" w:hAnsi="宋体" w:cs="宋体"/>
          <w:spacing w:val="-14"/>
          <w:sz w:val="22"/>
          <w:szCs w:val="22"/>
        </w:rPr>
        <w:t>在日本、法国等发达国家，对冷冻浓缩的研究比较多，有用冷冻浓缩工艺制</w:t>
      </w:r>
      <w:r>
        <w:rPr>
          <w:rFonts w:ascii="宋体" w:eastAsia="宋体" w:hAnsi="宋体" w:cs="宋体"/>
          <w:spacing w:val="18"/>
          <w:sz w:val="22"/>
          <w:szCs w:val="22"/>
        </w:rPr>
        <w:t xml:space="preserve"> </w:t>
      </w:r>
      <w:r>
        <w:rPr>
          <w:rFonts w:ascii="宋体" w:eastAsia="宋体" w:hAnsi="宋体" w:cs="宋体"/>
          <w:spacing w:val="-4"/>
          <w:sz w:val="22"/>
          <w:szCs w:val="22"/>
        </w:rPr>
        <w:t>作速溶咖啡、橙汁的报道，如浓缩咖啡时有效成分损失小于1%;浓缩果汁时维</w:t>
      </w:r>
      <w:r>
        <w:rPr>
          <w:rFonts w:ascii="宋体" w:eastAsia="宋体" w:hAnsi="宋体" w:cs="宋体"/>
          <w:spacing w:val="18"/>
          <w:sz w:val="22"/>
          <w:szCs w:val="22"/>
        </w:rPr>
        <w:t xml:space="preserve"> </w:t>
      </w:r>
      <w:r>
        <w:rPr>
          <w:rFonts w:ascii="宋体" w:eastAsia="宋体" w:hAnsi="宋体" w:cs="宋体"/>
          <w:spacing w:val="-13"/>
          <w:sz w:val="22"/>
          <w:szCs w:val="22"/>
        </w:rPr>
        <w:t>生素保护得很好；也有用冷冻浓缩工艺提纯浓缩葡萄酒，以保护酒内的维生素及</w:t>
      </w:r>
      <w:r>
        <w:rPr>
          <w:rFonts w:ascii="宋体" w:eastAsia="宋体" w:hAnsi="宋体" w:cs="宋体"/>
          <w:spacing w:val="5"/>
          <w:sz w:val="22"/>
          <w:szCs w:val="22"/>
        </w:rPr>
        <w:t xml:space="preserve"> </w:t>
      </w:r>
      <w:r>
        <w:rPr>
          <w:rFonts w:ascii="宋体" w:eastAsia="宋体" w:hAnsi="宋体" w:cs="宋体"/>
          <w:spacing w:val="-17"/>
          <w:sz w:val="22"/>
          <w:szCs w:val="22"/>
        </w:rPr>
        <w:t>活性物质的报道。</w:t>
      </w:r>
    </w:p>
    <w:p w:rsidR="00EA40A3" w:rsidRDefault="00E86C16">
      <w:pPr>
        <w:spacing w:before="225" w:line="222" w:lineRule="auto"/>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15"/>
          <w:sz w:val="22"/>
          <w:szCs w:val="22"/>
        </w:rPr>
        <w:t xml:space="preserve"> </w:t>
      </w:r>
      <w:r>
        <w:rPr>
          <w:rFonts w:ascii="仿宋" w:eastAsia="仿宋" w:hAnsi="仿宋" w:cs="仿宋"/>
          <w:spacing w:val="8"/>
          <w:sz w:val="22"/>
          <w:szCs w:val="22"/>
        </w:rPr>
        <w:t>膜浓缩</w:t>
      </w:r>
    </w:p>
    <w:p w:rsidR="00EA40A3" w:rsidRDefault="00E86C16">
      <w:pPr>
        <w:spacing w:before="186" w:line="250" w:lineRule="auto"/>
        <w:ind w:firstLine="490"/>
        <w:jc w:val="both"/>
        <w:rPr>
          <w:rFonts w:ascii="宋体" w:eastAsia="宋体" w:hAnsi="宋体" w:cs="宋体"/>
          <w:sz w:val="22"/>
          <w:szCs w:val="22"/>
        </w:rPr>
      </w:pPr>
      <w:r>
        <w:rPr>
          <w:rFonts w:ascii="宋体" w:eastAsia="宋体" w:hAnsi="宋体" w:cs="宋体"/>
          <w:spacing w:val="-13"/>
          <w:sz w:val="22"/>
          <w:szCs w:val="22"/>
        </w:rPr>
        <w:t>膜浓缩是一种类似于过滤的浓缩方法，只不过“过滤介质”为天然或</w:t>
      </w:r>
      <w:r>
        <w:rPr>
          <w:rFonts w:ascii="宋体" w:eastAsia="宋体" w:hAnsi="宋体" w:cs="宋体"/>
          <w:spacing w:val="-14"/>
          <w:sz w:val="22"/>
          <w:szCs w:val="22"/>
        </w:rPr>
        <w:t>人工合</w:t>
      </w:r>
      <w:r>
        <w:rPr>
          <w:rFonts w:ascii="宋体" w:eastAsia="宋体" w:hAnsi="宋体" w:cs="宋体"/>
          <w:sz w:val="22"/>
          <w:szCs w:val="22"/>
        </w:rPr>
        <w:t xml:space="preserve"> </w:t>
      </w:r>
      <w:r>
        <w:rPr>
          <w:rFonts w:ascii="宋体" w:eastAsia="宋体" w:hAnsi="宋体" w:cs="宋体"/>
          <w:spacing w:val="-13"/>
          <w:sz w:val="22"/>
          <w:szCs w:val="22"/>
        </w:rPr>
        <w:t>成的高分子半透膜，如果“过滤”膜只允许溶剂通过，把溶质截流下来，使溶质</w:t>
      </w:r>
      <w:r>
        <w:rPr>
          <w:rFonts w:ascii="宋体" w:eastAsia="宋体" w:hAnsi="宋体" w:cs="宋体"/>
          <w:spacing w:val="17"/>
          <w:sz w:val="22"/>
          <w:szCs w:val="22"/>
        </w:rPr>
        <w:t xml:space="preserve"> </w:t>
      </w:r>
      <w:r>
        <w:rPr>
          <w:rFonts w:ascii="宋体" w:eastAsia="宋体" w:hAnsi="宋体" w:cs="宋体"/>
          <w:spacing w:val="-13"/>
          <w:sz w:val="22"/>
          <w:szCs w:val="22"/>
        </w:rPr>
        <w:t>在溶液中的相对浓度提高。膜浓缩包括反渗透、超滤和电渗析等方法，目前已成</w:t>
      </w:r>
      <w:r>
        <w:rPr>
          <w:rFonts w:ascii="宋体" w:eastAsia="宋体" w:hAnsi="宋体" w:cs="宋体"/>
          <w:spacing w:val="3"/>
          <w:sz w:val="22"/>
          <w:szCs w:val="22"/>
        </w:rPr>
        <w:t xml:space="preserve"> </w:t>
      </w:r>
      <w:r>
        <w:rPr>
          <w:rFonts w:ascii="宋体" w:eastAsia="宋体" w:hAnsi="宋体" w:cs="宋体"/>
          <w:spacing w:val="-13"/>
          <w:sz w:val="22"/>
          <w:szCs w:val="22"/>
        </w:rPr>
        <w:t>功地应用于牛乳、咖啡、明胶、乳清蛋白等的浓缩工艺中。</w:t>
      </w:r>
    </w:p>
    <w:p w:rsidR="00EA40A3" w:rsidRDefault="00E86C16">
      <w:pPr>
        <w:spacing w:before="50" w:line="245" w:lineRule="auto"/>
        <w:ind w:firstLine="490"/>
        <w:jc w:val="both"/>
        <w:rPr>
          <w:rFonts w:ascii="宋体" w:eastAsia="宋体" w:hAnsi="宋体" w:cs="宋体"/>
          <w:sz w:val="22"/>
          <w:szCs w:val="22"/>
        </w:rPr>
      </w:pPr>
      <w:r>
        <w:rPr>
          <w:rFonts w:ascii="宋体" w:eastAsia="宋体" w:hAnsi="宋体" w:cs="宋体"/>
          <w:spacing w:val="-13"/>
          <w:sz w:val="22"/>
          <w:szCs w:val="22"/>
        </w:rPr>
        <w:t>果汁在蒸发浓缩过程中，原果汁所含的水溶性芳香物质及维生素几乎</w:t>
      </w:r>
      <w:r>
        <w:rPr>
          <w:rFonts w:ascii="宋体" w:eastAsia="宋体" w:hAnsi="宋体" w:cs="宋体"/>
          <w:spacing w:val="-14"/>
          <w:sz w:val="22"/>
          <w:szCs w:val="22"/>
        </w:rPr>
        <w:t>完全被</w:t>
      </w:r>
      <w:r>
        <w:rPr>
          <w:rFonts w:ascii="宋体" w:eastAsia="宋体" w:hAnsi="宋体" w:cs="宋体"/>
          <w:sz w:val="22"/>
          <w:szCs w:val="22"/>
        </w:rPr>
        <w:t xml:space="preserve"> </w:t>
      </w:r>
      <w:r>
        <w:rPr>
          <w:rFonts w:ascii="宋体" w:eastAsia="宋体" w:hAnsi="宋体" w:cs="宋体"/>
          <w:spacing w:val="-6"/>
          <w:sz w:val="22"/>
          <w:szCs w:val="22"/>
        </w:rPr>
        <w:t>破坏、损失。据Morga</w:t>
      </w:r>
      <w:r>
        <w:rPr>
          <w:rFonts w:ascii="宋体" w:eastAsia="宋体" w:hAnsi="宋体" w:cs="宋体"/>
          <w:spacing w:val="-12"/>
          <w:sz w:val="22"/>
          <w:szCs w:val="22"/>
        </w:rPr>
        <w:t xml:space="preserve"> </w:t>
      </w:r>
      <w:r>
        <w:rPr>
          <w:rFonts w:ascii="宋体" w:eastAsia="宋体" w:hAnsi="宋体" w:cs="宋体"/>
          <w:spacing w:val="-6"/>
          <w:sz w:val="22"/>
          <w:szCs w:val="22"/>
        </w:rPr>
        <w:t>等研究发现，当采用管式反渗透组件在10MPa</w:t>
      </w:r>
      <w:r>
        <w:rPr>
          <w:rFonts w:ascii="宋体" w:eastAsia="宋体" w:hAnsi="宋体" w:cs="宋体"/>
          <w:spacing w:val="22"/>
          <w:sz w:val="22"/>
          <w:szCs w:val="22"/>
        </w:rPr>
        <w:t xml:space="preserve"> </w:t>
      </w:r>
      <w:r>
        <w:rPr>
          <w:rFonts w:ascii="宋体" w:eastAsia="宋体" w:hAnsi="宋体" w:cs="宋体"/>
          <w:spacing w:val="-6"/>
          <w:sz w:val="22"/>
          <w:szCs w:val="22"/>
        </w:rPr>
        <w:t>的操作压</w:t>
      </w:r>
      <w:r>
        <w:rPr>
          <w:rFonts w:ascii="宋体" w:eastAsia="宋体" w:hAnsi="宋体" w:cs="宋体"/>
          <w:sz w:val="22"/>
          <w:szCs w:val="22"/>
        </w:rPr>
        <w:t xml:space="preserve"> </w:t>
      </w:r>
      <w:r>
        <w:rPr>
          <w:rFonts w:ascii="宋体" w:eastAsia="宋体" w:hAnsi="宋体" w:cs="宋体"/>
          <w:spacing w:val="-4"/>
          <w:sz w:val="22"/>
          <w:szCs w:val="22"/>
        </w:rPr>
        <w:t>力下处理橘子和苹果汁，可得到固形物损失率小于1%的浓缩果汁(浓度可达到</w:t>
      </w:r>
      <w:r>
        <w:rPr>
          <w:rFonts w:ascii="宋体" w:eastAsia="宋体" w:hAnsi="宋体" w:cs="宋体"/>
          <w:spacing w:val="4"/>
          <w:sz w:val="22"/>
          <w:szCs w:val="22"/>
        </w:rPr>
        <w:t xml:space="preserve"> </w:t>
      </w:r>
      <w:r>
        <w:rPr>
          <w:rFonts w:ascii="宋体" w:eastAsia="宋体" w:hAnsi="宋体" w:cs="宋体"/>
          <w:spacing w:val="-3"/>
          <w:sz w:val="22"/>
          <w:szCs w:val="22"/>
        </w:rPr>
        <w:t>40%),其芳香物质及维生素得到了很好的保存。由于膜浓缩存在浓缩极限，</w:t>
      </w:r>
      <w:r>
        <w:rPr>
          <w:rFonts w:ascii="宋体" w:eastAsia="宋体" w:hAnsi="宋体" w:cs="宋体"/>
          <w:spacing w:val="-4"/>
          <w:sz w:val="22"/>
          <w:szCs w:val="22"/>
        </w:rPr>
        <w:t>目</w:t>
      </w:r>
      <w:r>
        <w:rPr>
          <w:rFonts w:ascii="宋体" w:eastAsia="宋体" w:hAnsi="宋体" w:cs="宋体"/>
          <w:sz w:val="22"/>
          <w:szCs w:val="22"/>
        </w:rPr>
        <w:t xml:space="preserve"> </w:t>
      </w:r>
      <w:r>
        <w:rPr>
          <w:rFonts w:ascii="宋体" w:eastAsia="宋体" w:hAnsi="宋体" w:cs="宋体"/>
          <w:spacing w:val="-15"/>
          <w:sz w:val="22"/>
          <w:szCs w:val="22"/>
        </w:rPr>
        <w:t>前反渗透主要用于果汁的预浓缩。</w:t>
      </w:r>
    </w:p>
    <w:p w:rsidR="00EA40A3" w:rsidRDefault="00E86C16">
      <w:pPr>
        <w:spacing w:before="255" w:line="221" w:lineRule="auto"/>
        <w:ind w:left="3"/>
        <w:outlineLvl w:val="6"/>
        <w:rPr>
          <w:rFonts w:ascii="黑体" w:eastAsia="黑体" w:hAnsi="黑体" w:cs="黑体"/>
          <w:sz w:val="22"/>
          <w:szCs w:val="22"/>
        </w:rPr>
      </w:pPr>
      <w:r>
        <w:rPr>
          <w:rFonts w:ascii="黑体" w:eastAsia="黑体" w:hAnsi="黑体" w:cs="黑体"/>
          <w:b/>
          <w:bCs/>
          <w:spacing w:val="11"/>
          <w:sz w:val="22"/>
          <w:szCs w:val="22"/>
        </w:rPr>
        <w:t>7.2.4</w:t>
      </w:r>
      <w:r>
        <w:rPr>
          <w:rFonts w:ascii="黑体" w:eastAsia="黑体" w:hAnsi="黑体" w:cs="黑体"/>
          <w:spacing w:val="54"/>
          <w:sz w:val="22"/>
          <w:szCs w:val="22"/>
        </w:rPr>
        <w:t xml:space="preserve">  </w:t>
      </w:r>
      <w:r>
        <w:rPr>
          <w:rFonts w:ascii="黑体" w:eastAsia="黑体" w:hAnsi="黑体" w:cs="黑体"/>
          <w:b/>
          <w:bCs/>
          <w:spacing w:val="11"/>
          <w:sz w:val="22"/>
          <w:szCs w:val="22"/>
        </w:rPr>
        <w:t>挤压及挤压膨化对食品营养价值的影</w:t>
      </w:r>
      <w:r>
        <w:rPr>
          <w:rFonts w:ascii="黑体" w:eastAsia="黑体" w:hAnsi="黑体" w:cs="黑体"/>
          <w:b/>
          <w:bCs/>
          <w:spacing w:val="10"/>
          <w:sz w:val="22"/>
          <w:szCs w:val="22"/>
        </w:rPr>
        <w:t>响</w:t>
      </w:r>
    </w:p>
    <w:p w:rsidR="00EA40A3" w:rsidRDefault="00E86C16">
      <w:pPr>
        <w:spacing w:before="228" w:line="220" w:lineRule="auto"/>
        <w:rPr>
          <w:rFonts w:ascii="仿宋" w:eastAsia="仿宋" w:hAnsi="仿宋" w:cs="仿宋"/>
          <w:sz w:val="22"/>
          <w:szCs w:val="22"/>
        </w:rPr>
      </w:pPr>
      <w:r>
        <w:rPr>
          <w:rFonts w:ascii="仿宋" w:eastAsia="仿宋" w:hAnsi="仿宋" w:cs="仿宋"/>
          <w:sz w:val="22"/>
          <w:szCs w:val="22"/>
        </w:rPr>
        <w:t>1.</w:t>
      </w:r>
      <w:r>
        <w:rPr>
          <w:rFonts w:ascii="仿宋" w:eastAsia="仿宋" w:hAnsi="仿宋" w:cs="仿宋"/>
          <w:spacing w:val="-4"/>
          <w:sz w:val="22"/>
          <w:szCs w:val="22"/>
        </w:rPr>
        <w:t xml:space="preserve"> </w:t>
      </w:r>
      <w:r>
        <w:rPr>
          <w:rFonts w:ascii="仿宋" w:eastAsia="仿宋" w:hAnsi="仿宋" w:cs="仿宋"/>
          <w:sz w:val="22"/>
          <w:szCs w:val="22"/>
        </w:rPr>
        <w:t>挤压</w:t>
      </w:r>
    </w:p>
    <w:p w:rsidR="00EA40A3" w:rsidRDefault="00E86C16">
      <w:pPr>
        <w:spacing w:before="214" w:line="246" w:lineRule="auto"/>
        <w:ind w:right="18" w:firstLine="430"/>
        <w:jc w:val="both"/>
        <w:rPr>
          <w:rFonts w:ascii="宋体" w:eastAsia="宋体" w:hAnsi="宋体" w:cs="宋体"/>
          <w:sz w:val="22"/>
          <w:szCs w:val="22"/>
        </w:rPr>
      </w:pPr>
      <w:r>
        <w:rPr>
          <w:rFonts w:ascii="宋体" w:eastAsia="宋体" w:hAnsi="宋体" w:cs="宋体"/>
          <w:spacing w:val="-7"/>
          <w:sz w:val="22"/>
          <w:szCs w:val="22"/>
        </w:rPr>
        <w:t>食品挤压技术是指物料经预处理(粉碎、调湿、混合)后，经机械作用强迫</w:t>
      </w:r>
      <w:r>
        <w:rPr>
          <w:rFonts w:ascii="宋体" w:eastAsia="宋体" w:hAnsi="宋体" w:cs="宋体"/>
          <w:spacing w:val="9"/>
          <w:sz w:val="22"/>
          <w:szCs w:val="22"/>
        </w:rPr>
        <w:t xml:space="preserve"> </w:t>
      </w:r>
      <w:r>
        <w:rPr>
          <w:rFonts w:ascii="宋体" w:eastAsia="宋体" w:hAnsi="宋体" w:cs="宋体"/>
          <w:spacing w:val="-13"/>
          <w:sz w:val="22"/>
          <w:szCs w:val="22"/>
        </w:rPr>
        <w:t>使其通过一个专门设计的孔口或模具，以形成一定形状和组织形态的产品，其常</w:t>
      </w:r>
      <w:r>
        <w:rPr>
          <w:rFonts w:ascii="宋体" w:eastAsia="宋体" w:hAnsi="宋体" w:cs="宋体"/>
          <w:spacing w:val="5"/>
          <w:sz w:val="22"/>
          <w:szCs w:val="22"/>
        </w:rPr>
        <w:t xml:space="preserve"> </w:t>
      </w:r>
      <w:r>
        <w:rPr>
          <w:rFonts w:ascii="宋体" w:eastAsia="宋体" w:hAnsi="宋体" w:cs="宋体"/>
          <w:spacing w:val="-13"/>
          <w:sz w:val="22"/>
          <w:szCs w:val="22"/>
        </w:rPr>
        <w:t>用于面制品加工中，如通心面的挤压成型等。挤压过程中除了高温高压之外，还</w:t>
      </w:r>
      <w:r>
        <w:rPr>
          <w:rFonts w:ascii="宋体" w:eastAsia="宋体" w:hAnsi="宋体" w:cs="宋体"/>
          <w:spacing w:val="2"/>
          <w:sz w:val="22"/>
          <w:szCs w:val="22"/>
        </w:rPr>
        <w:t xml:space="preserve"> </w:t>
      </w:r>
      <w:r>
        <w:rPr>
          <w:rFonts w:ascii="宋体" w:eastAsia="宋体" w:hAnsi="宋体" w:cs="宋体"/>
          <w:spacing w:val="-17"/>
          <w:sz w:val="22"/>
          <w:szCs w:val="22"/>
        </w:rPr>
        <w:t>存在着较高的剪切力。挤压过程与一般的加工过程相比，水分含量较低，</w:t>
      </w:r>
      <w:r>
        <w:rPr>
          <w:rFonts w:ascii="宋体" w:eastAsia="宋体" w:hAnsi="宋体" w:cs="宋体"/>
          <w:spacing w:val="55"/>
          <w:sz w:val="22"/>
          <w:szCs w:val="22"/>
        </w:rPr>
        <w:t xml:space="preserve"> </w:t>
      </w:r>
      <w:r>
        <w:rPr>
          <w:rFonts w:ascii="宋体" w:eastAsia="宋体" w:hAnsi="宋体" w:cs="宋体"/>
          <w:spacing w:val="-17"/>
          <w:sz w:val="22"/>
          <w:szCs w:val="22"/>
        </w:rPr>
        <w:t>一般不</w:t>
      </w:r>
      <w:r>
        <w:rPr>
          <w:rFonts w:ascii="宋体" w:eastAsia="宋体" w:hAnsi="宋体" w:cs="宋体"/>
          <w:sz w:val="22"/>
          <w:szCs w:val="22"/>
        </w:rPr>
        <w:t xml:space="preserve"> </w:t>
      </w:r>
      <w:r>
        <w:rPr>
          <w:rFonts w:ascii="宋体" w:eastAsia="宋体" w:hAnsi="宋体" w:cs="宋体"/>
          <w:spacing w:val="-5"/>
          <w:sz w:val="22"/>
          <w:szCs w:val="22"/>
        </w:rPr>
        <w:t>会超过30%,因此挤压过程中各种营养素的变化也与一般的加工过程有所不同。</w:t>
      </w:r>
      <w:r>
        <w:rPr>
          <w:rFonts w:ascii="宋体" w:eastAsia="宋体" w:hAnsi="宋体" w:cs="宋体"/>
          <w:sz w:val="22"/>
          <w:szCs w:val="22"/>
        </w:rPr>
        <w:t xml:space="preserve"> </w:t>
      </w:r>
      <w:r>
        <w:rPr>
          <w:rFonts w:ascii="宋体" w:eastAsia="宋体" w:hAnsi="宋体" w:cs="宋体"/>
          <w:spacing w:val="-7"/>
          <w:sz w:val="22"/>
          <w:szCs w:val="22"/>
        </w:rPr>
        <w:t>1)挤压过程中淀粉的变化</w:t>
      </w:r>
    </w:p>
    <w:p w:rsidR="00EA40A3" w:rsidRDefault="00E86C16">
      <w:pPr>
        <w:spacing w:before="86" w:line="247" w:lineRule="auto"/>
        <w:ind w:right="50" w:firstLine="430"/>
        <w:rPr>
          <w:rFonts w:ascii="宋体" w:eastAsia="宋体" w:hAnsi="宋体" w:cs="宋体"/>
          <w:sz w:val="22"/>
          <w:szCs w:val="22"/>
        </w:rPr>
      </w:pPr>
      <w:r>
        <w:rPr>
          <w:rFonts w:ascii="宋体" w:eastAsia="宋体" w:hAnsi="宋体" w:cs="宋体"/>
          <w:spacing w:val="-14"/>
          <w:sz w:val="22"/>
          <w:szCs w:val="22"/>
        </w:rPr>
        <w:t>挤压食品的原料主要是淀粉。原料在挤压过程中，经过高温高压和高剪切力</w:t>
      </w:r>
      <w:r>
        <w:rPr>
          <w:rFonts w:ascii="宋体" w:eastAsia="宋体" w:hAnsi="宋体" w:cs="宋体"/>
          <w:spacing w:val="8"/>
          <w:sz w:val="22"/>
          <w:szCs w:val="22"/>
        </w:rPr>
        <w:t xml:space="preserve"> </w:t>
      </w:r>
      <w:r>
        <w:rPr>
          <w:rFonts w:ascii="宋体" w:eastAsia="宋体" w:hAnsi="宋体" w:cs="宋体"/>
          <w:spacing w:val="-12"/>
          <w:sz w:val="22"/>
          <w:szCs w:val="22"/>
        </w:rPr>
        <w:t>的作用，淀粉糊化之后又产生相互间的交联，形成网</w:t>
      </w:r>
      <w:r>
        <w:rPr>
          <w:rFonts w:ascii="宋体" w:eastAsia="宋体" w:hAnsi="宋体" w:cs="宋体"/>
          <w:spacing w:val="-13"/>
          <w:sz w:val="22"/>
          <w:szCs w:val="22"/>
        </w:rPr>
        <w:t>状的空间结构。该结构在挤</w:t>
      </w:r>
      <w:r>
        <w:rPr>
          <w:rFonts w:ascii="宋体" w:eastAsia="宋体" w:hAnsi="宋体" w:cs="宋体"/>
          <w:sz w:val="22"/>
          <w:szCs w:val="22"/>
        </w:rPr>
        <w:t xml:space="preserve"> </w:t>
      </w:r>
      <w:r>
        <w:rPr>
          <w:rFonts w:ascii="宋体" w:eastAsia="宋体" w:hAnsi="宋体" w:cs="宋体"/>
          <w:spacing w:val="-7"/>
          <w:sz w:val="22"/>
          <w:szCs w:val="22"/>
        </w:rPr>
        <w:t>出后，由于水分的迅速闪蒸，温度迅速下降从而定形，成为膨化食品结构的骨</w:t>
      </w:r>
      <w:r>
        <w:rPr>
          <w:rFonts w:ascii="宋体" w:eastAsia="宋体" w:hAnsi="宋体" w:cs="宋体"/>
          <w:spacing w:val="8"/>
          <w:sz w:val="22"/>
          <w:szCs w:val="22"/>
        </w:rPr>
        <w:t xml:space="preserve"> </w:t>
      </w:r>
      <w:r>
        <w:rPr>
          <w:rFonts w:ascii="宋体" w:eastAsia="宋体" w:hAnsi="宋体" w:cs="宋体"/>
          <w:spacing w:val="-13"/>
          <w:sz w:val="22"/>
          <w:szCs w:val="22"/>
        </w:rPr>
        <w:t>架，给予产品一定的形状。若产品中很少或根本不含有淀粉，则产品很难形成具</w:t>
      </w:r>
      <w:r>
        <w:rPr>
          <w:rFonts w:ascii="宋体" w:eastAsia="宋体" w:hAnsi="宋体" w:cs="宋体"/>
          <w:spacing w:val="5"/>
          <w:sz w:val="22"/>
          <w:szCs w:val="22"/>
        </w:rPr>
        <w:t xml:space="preserve"> </w:t>
      </w:r>
      <w:r>
        <w:rPr>
          <w:rFonts w:ascii="宋体" w:eastAsia="宋体" w:hAnsi="宋体" w:cs="宋体"/>
          <w:spacing w:val="-14"/>
          <w:sz w:val="22"/>
          <w:szCs w:val="22"/>
        </w:rPr>
        <w:t>有一定膨化度的松散的产品结构。挤压过程中，淀粉主要发生糊化和降解作用。</w:t>
      </w:r>
      <w:r>
        <w:rPr>
          <w:rFonts w:ascii="宋体" w:eastAsia="宋体" w:hAnsi="宋体" w:cs="宋体"/>
          <w:sz w:val="22"/>
          <w:szCs w:val="22"/>
        </w:rPr>
        <w:t xml:space="preserve"> </w:t>
      </w:r>
      <w:r>
        <w:rPr>
          <w:rFonts w:ascii="宋体" w:eastAsia="宋体" w:hAnsi="宋体" w:cs="宋体"/>
          <w:spacing w:val="-6"/>
          <w:sz w:val="22"/>
          <w:szCs w:val="22"/>
        </w:rPr>
        <w:t>2)挤压过程中蛋白质、氨基酸的变化</w:t>
      </w:r>
    </w:p>
    <w:p w:rsidR="00EA40A3" w:rsidRDefault="00E86C16">
      <w:pPr>
        <w:spacing w:before="108" w:line="245" w:lineRule="auto"/>
        <w:ind w:right="49" w:firstLine="430"/>
        <w:jc w:val="both"/>
        <w:rPr>
          <w:rFonts w:ascii="宋体" w:eastAsia="宋体" w:hAnsi="宋体" w:cs="宋体"/>
          <w:sz w:val="22"/>
          <w:szCs w:val="22"/>
        </w:rPr>
      </w:pPr>
      <w:r>
        <w:rPr>
          <w:rFonts w:ascii="宋体" w:eastAsia="宋体" w:hAnsi="宋体" w:cs="宋体"/>
          <w:spacing w:val="-13"/>
          <w:sz w:val="22"/>
          <w:szCs w:val="22"/>
        </w:rPr>
        <w:t>经挤压之后，蛋白质的总量有所降低，有部分蛋白质发生降解，使游离氨基</w:t>
      </w:r>
      <w:r>
        <w:rPr>
          <w:rFonts w:ascii="宋体" w:eastAsia="宋体" w:hAnsi="宋体" w:cs="宋体"/>
          <w:spacing w:val="6"/>
          <w:sz w:val="22"/>
          <w:szCs w:val="22"/>
        </w:rPr>
        <w:t xml:space="preserve"> </w:t>
      </w:r>
      <w:r>
        <w:rPr>
          <w:rFonts w:ascii="宋体" w:eastAsia="宋体" w:hAnsi="宋体" w:cs="宋体"/>
          <w:spacing w:val="3"/>
          <w:sz w:val="22"/>
          <w:szCs w:val="22"/>
        </w:rPr>
        <w:t>酸的含量升高。其中赖氨酸的损失根据不同的条件损失为13%～37%,蛋氨酸</w:t>
      </w:r>
      <w:r>
        <w:rPr>
          <w:rFonts w:ascii="宋体" w:eastAsia="宋体" w:hAnsi="宋体" w:cs="宋体"/>
          <w:spacing w:val="10"/>
          <w:sz w:val="22"/>
          <w:szCs w:val="22"/>
        </w:rPr>
        <w:t xml:space="preserve"> </w:t>
      </w:r>
      <w:r>
        <w:rPr>
          <w:rFonts w:ascii="宋体" w:eastAsia="宋体" w:hAnsi="宋体" w:cs="宋体"/>
          <w:spacing w:val="9"/>
          <w:sz w:val="22"/>
          <w:szCs w:val="22"/>
        </w:rPr>
        <w:t>的损失也比较大，约26%～28%,胱氨酸损失在</w:t>
      </w:r>
      <w:r>
        <w:rPr>
          <w:rFonts w:ascii="宋体" w:eastAsia="宋体" w:hAnsi="宋体" w:cs="宋体"/>
          <w:spacing w:val="8"/>
          <w:sz w:val="22"/>
          <w:szCs w:val="22"/>
        </w:rPr>
        <w:t>17%左右，精氨酸损失20%左</w:t>
      </w:r>
      <w:r>
        <w:rPr>
          <w:rFonts w:ascii="宋体" w:eastAsia="宋体" w:hAnsi="宋体" w:cs="宋体"/>
          <w:sz w:val="22"/>
          <w:szCs w:val="22"/>
        </w:rPr>
        <w:t xml:space="preserve"> </w:t>
      </w:r>
      <w:r>
        <w:rPr>
          <w:rFonts w:ascii="宋体" w:eastAsia="宋体" w:hAnsi="宋体" w:cs="宋体"/>
          <w:spacing w:val="-13"/>
          <w:sz w:val="22"/>
          <w:szCs w:val="22"/>
        </w:rPr>
        <w:t>右。除以上氨基酸外，其他氨基酸的损失不大。使氨基酸含量变化的主要作用因</w:t>
      </w:r>
      <w:r>
        <w:rPr>
          <w:rFonts w:ascii="宋体" w:eastAsia="宋体" w:hAnsi="宋体" w:cs="宋体"/>
          <w:spacing w:val="15"/>
          <w:sz w:val="22"/>
          <w:szCs w:val="22"/>
        </w:rPr>
        <w:t xml:space="preserve"> </w:t>
      </w:r>
      <w:r>
        <w:rPr>
          <w:rFonts w:ascii="宋体" w:eastAsia="宋体" w:hAnsi="宋体" w:cs="宋体"/>
          <w:spacing w:val="-13"/>
          <w:sz w:val="22"/>
          <w:szCs w:val="22"/>
        </w:rPr>
        <w:t>素是挤压温度和水分含量。挤压过程中，原料中糖含量的下降也有一定程度的影</w:t>
      </w:r>
    </w:p>
    <w:p w:rsidR="00EA40A3" w:rsidRDefault="00EA40A3">
      <w:pPr>
        <w:sectPr w:rsidR="00EA40A3">
          <w:footerReference w:type="default" r:id="rId205"/>
          <w:pgSz w:w="9220" w:h="13360"/>
          <w:pgMar w:top="400" w:right="1021" w:bottom="1214" w:left="879" w:header="0" w:footer="981" w:gutter="0"/>
          <w:cols w:space="720"/>
        </w:sectPr>
      </w:pPr>
    </w:p>
    <w:p w:rsidR="00EA40A3" w:rsidRDefault="00EA40A3">
      <w:pPr>
        <w:spacing w:line="321" w:lineRule="auto"/>
      </w:pPr>
    </w:p>
    <w:p w:rsidR="00EA40A3" w:rsidRDefault="00EA40A3">
      <w:pPr>
        <w:spacing w:line="322" w:lineRule="auto"/>
      </w:pPr>
    </w:p>
    <w:p w:rsidR="00EA40A3" w:rsidRDefault="00E86C16">
      <w:pPr>
        <w:spacing w:before="71" w:line="298" w:lineRule="exact"/>
        <w:rPr>
          <w:rFonts w:ascii="宋体" w:eastAsia="宋体" w:hAnsi="宋体" w:cs="宋体"/>
          <w:sz w:val="22"/>
          <w:szCs w:val="22"/>
        </w:rPr>
      </w:pPr>
      <w:r>
        <w:rPr>
          <w:rFonts w:ascii="宋体" w:eastAsia="宋体" w:hAnsi="宋体" w:cs="宋体"/>
          <w:spacing w:val="-15"/>
          <w:position w:val="5"/>
          <w:sz w:val="22"/>
          <w:szCs w:val="22"/>
        </w:rPr>
        <w:t>响，糖对氨基酸含量变化的影响主要来自于美拉德反应。</w:t>
      </w:r>
    </w:p>
    <w:p w:rsidR="00EA40A3" w:rsidRDefault="00E86C16">
      <w:pPr>
        <w:spacing w:line="225" w:lineRule="auto"/>
        <w:rPr>
          <w:rFonts w:ascii="楷体" w:eastAsia="楷体" w:hAnsi="楷体" w:cs="楷体"/>
          <w:sz w:val="22"/>
          <w:szCs w:val="22"/>
        </w:rPr>
      </w:pPr>
      <w:r>
        <w:rPr>
          <w:rFonts w:ascii="楷体" w:eastAsia="楷体" w:hAnsi="楷体" w:cs="楷体"/>
          <w:spacing w:val="-5"/>
          <w:sz w:val="22"/>
          <w:szCs w:val="22"/>
        </w:rPr>
        <w:t>3)挤压过程中脂肪的变化</w:t>
      </w:r>
    </w:p>
    <w:p w:rsidR="00EA40A3" w:rsidRDefault="00E86C16">
      <w:pPr>
        <w:spacing w:before="24" w:line="246" w:lineRule="auto"/>
        <w:ind w:right="97" w:firstLine="420"/>
        <w:rPr>
          <w:rFonts w:ascii="宋体" w:eastAsia="宋体" w:hAnsi="宋体" w:cs="宋体"/>
          <w:sz w:val="22"/>
          <w:szCs w:val="22"/>
        </w:rPr>
      </w:pPr>
      <w:r>
        <w:rPr>
          <w:rFonts w:ascii="宋体" w:eastAsia="宋体" w:hAnsi="宋体" w:cs="宋体"/>
          <w:spacing w:val="-14"/>
          <w:sz w:val="22"/>
          <w:szCs w:val="22"/>
        </w:rPr>
        <w:t>在挤压过程中脂肪与淀粉和蛋白质形成复合物，复</w:t>
      </w:r>
      <w:r>
        <w:rPr>
          <w:rFonts w:ascii="宋体" w:eastAsia="宋体" w:hAnsi="宋体" w:cs="宋体"/>
          <w:spacing w:val="-15"/>
          <w:sz w:val="22"/>
          <w:szCs w:val="22"/>
        </w:rPr>
        <w:t>合物的形成对脂肪起到了</w:t>
      </w:r>
      <w:r>
        <w:rPr>
          <w:rFonts w:ascii="宋体" w:eastAsia="宋体" w:hAnsi="宋体" w:cs="宋体"/>
          <w:sz w:val="22"/>
          <w:szCs w:val="22"/>
        </w:rPr>
        <w:t xml:space="preserve"> </w:t>
      </w:r>
      <w:r>
        <w:rPr>
          <w:rFonts w:ascii="宋体" w:eastAsia="宋体" w:hAnsi="宋体" w:cs="宋体"/>
          <w:spacing w:val="-13"/>
          <w:sz w:val="22"/>
          <w:szCs w:val="22"/>
        </w:rPr>
        <w:t>保护作用，减少了脂肪产品保存时的氧化程度，因此在一定程度上起到了</w:t>
      </w:r>
      <w:r>
        <w:rPr>
          <w:rFonts w:ascii="宋体" w:eastAsia="宋体" w:hAnsi="宋体" w:cs="宋体"/>
          <w:spacing w:val="-14"/>
          <w:sz w:val="22"/>
          <w:szCs w:val="22"/>
        </w:rPr>
        <w:t>延长产</w:t>
      </w:r>
      <w:r>
        <w:rPr>
          <w:rFonts w:ascii="宋体" w:eastAsia="宋体" w:hAnsi="宋体" w:cs="宋体"/>
          <w:sz w:val="22"/>
          <w:szCs w:val="22"/>
        </w:rPr>
        <w:t xml:space="preserve"> </w:t>
      </w:r>
      <w:r>
        <w:rPr>
          <w:rFonts w:ascii="宋体" w:eastAsia="宋体" w:hAnsi="宋体" w:cs="宋体"/>
          <w:spacing w:val="-16"/>
          <w:sz w:val="22"/>
          <w:szCs w:val="22"/>
        </w:rPr>
        <w:t>品货架期的作用。</w:t>
      </w:r>
    </w:p>
    <w:p w:rsidR="00EA40A3" w:rsidRDefault="00E86C16">
      <w:pPr>
        <w:spacing w:before="49" w:line="241" w:lineRule="auto"/>
        <w:ind w:right="76" w:firstLine="420"/>
        <w:rPr>
          <w:rFonts w:ascii="宋体" w:eastAsia="宋体" w:hAnsi="宋体" w:cs="宋体"/>
          <w:sz w:val="22"/>
          <w:szCs w:val="22"/>
        </w:rPr>
      </w:pPr>
      <w:r>
        <w:rPr>
          <w:rFonts w:ascii="宋体" w:eastAsia="宋体" w:hAnsi="宋体" w:cs="宋体"/>
          <w:spacing w:val="-3"/>
          <w:sz w:val="22"/>
          <w:szCs w:val="22"/>
        </w:rPr>
        <w:t>挤压原料中脂肪含量高，产品的膨化度小。脂肪含量在10%以下时，对产</w:t>
      </w:r>
      <w:r>
        <w:rPr>
          <w:rFonts w:ascii="宋体" w:eastAsia="宋体" w:hAnsi="宋体" w:cs="宋体"/>
          <w:spacing w:val="11"/>
          <w:sz w:val="22"/>
          <w:szCs w:val="22"/>
        </w:rPr>
        <w:t xml:space="preserve"> </w:t>
      </w:r>
      <w:r>
        <w:rPr>
          <w:rFonts w:ascii="宋体" w:eastAsia="宋体" w:hAnsi="宋体" w:cs="宋体"/>
          <w:spacing w:val="-14"/>
          <w:sz w:val="22"/>
          <w:szCs w:val="22"/>
        </w:rPr>
        <w:t>品的膨化度影响不明显；脂肪含量较高时，对产品的</w:t>
      </w:r>
      <w:r>
        <w:rPr>
          <w:rFonts w:ascii="宋体" w:eastAsia="宋体" w:hAnsi="宋体" w:cs="宋体"/>
          <w:spacing w:val="-15"/>
          <w:sz w:val="22"/>
          <w:szCs w:val="22"/>
        </w:rPr>
        <w:t>膨化度影响很大。但在相同</w:t>
      </w:r>
      <w:r>
        <w:rPr>
          <w:rFonts w:ascii="宋体" w:eastAsia="宋体" w:hAnsi="宋体" w:cs="宋体"/>
          <w:sz w:val="22"/>
          <w:szCs w:val="22"/>
        </w:rPr>
        <w:t xml:space="preserve"> </w:t>
      </w:r>
      <w:r>
        <w:rPr>
          <w:rFonts w:ascii="宋体" w:eastAsia="宋体" w:hAnsi="宋体" w:cs="宋体"/>
          <w:spacing w:val="-14"/>
          <w:sz w:val="22"/>
          <w:szCs w:val="22"/>
        </w:rPr>
        <w:t>的脂肪含量下，复合脂肪的生成量越多，产品的膨化度越大。</w:t>
      </w:r>
    </w:p>
    <w:p w:rsidR="00EA40A3" w:rsidRDefault="00E86C16">
      <w:pPr>
        <w:spacing w:before="46" w:line="225" w:lineRule="auto"/>
        <w:rPr>
          <w:rFonts w:ascii="楷体" w:eastAsia="楷体" w:hAnsi="楷体" w:cs="楷体"/>
          <w:sz w:val="22"/>
          <w:szCs w:val="22"/>
        </w:rPr>
      </w:pPr>
      <w:r>
        <w:rPr>
          <w:rFonts w:ascii="楷体" w:eastAsia="楷体" w:hAnsi="楷体" w:cs="楷体"/>
          <w:spacing w:val="-6"/>
          <w:sz w:val="22"/>
          <w:szCs w:val="22"/>
        </w:rPr>
        <w:t>4)挤压过程中维生素的变化</w:t>
      </w:r>
    </w:p>
    <w:p w:rsidR="00EA40A3" w:rsidRDefault="00E86C16">
      <w:pPr>
        <w:spacing w:before="45" w:line="248" w:lineRule="auto"/>
        <w:ind w:firstLine="420"/>
        <w:rPr>
          <w:rFonts w:ascii="宋体" w:eastAsia="宋体" w:hAnsi="宋体" w:cs="宋体"/>
          <w:sz w:val="22"/>
          <w:szCs w:val="22"/>
        </w:rPr>
      </w:pPr>
      <w:r>
        <w:rPr>
          <w:rFonts w:ascii="宋体" w:eastAsia="宋体" w:hAnsi="宋体" w:cs="宋体"/>
          <w:spacing w:val="-13"/>
          <w:sz w:val="22"/>
          <w:szCs w:val="22"/>
        </w:rPr>
        <w:t>挤压过程的温度较高，物料在套筒中停留的时间较短</w:t>
      </w:r>
      <w:r>
        <w:rPr>
          <w:rFonts w:ascii="宋体" w:eastAsia="宋体" w:hAnsi="宋体" w:cs="宋体"/>
          <w:spacing w:val="-14"/>
          <w:sz w:val="22"/>
          <w:szCs w:val="22"/>
        </w:rPr>
        <w:t>，故该过程实际上是一</w:t>
      </w:r>
      <w:r>
        <w:rPr>
          <w:rFonts w:ascii="宋体" w:eastAsia="宋体" w:hAnsi="宋体" w:cs="宋体"/>
          <w:sz w:val="22"/>
          <w:szCs w:val="22"/>
        </w:rPr>
        <w:t xml:space="preserve">  </w:t>
      </w:r>
      <w:r>
        <w:rPr>
          <w:rFonts w:ascii="宋体" w:eastAsia="宋体" w:hAnsi="宋体" w:cs="宋体"/>
          <w:spacing w:val="-10"/>
          <w:sz w:val="22"/>
          <w:szCs w:val="22"/>
        </w:rPr>
        <w:t>种高温短时过程。物料从模具挤出后，由于水分的闪蒸，</w:t>
      </w:r>
      <w:r>
        <w:rPr>
          <w:rFonts w:ascii="宋体" w:eastAsia="宋体" w:hAnsi="宋体" w:cs="宋体"/>
          <w:spacing w:val="-11"/>
          <w:sz w:val="22"/>
          <w:szCs w:val="22"/>
        </w:rPr>
        <w:t>带走了大部分的热量，</w:t>
      </w:r>
      <w:r>
        <w:rPr>
          <w:rFonts w:ascii="宋体" w:eastAsia="宋体" w:hAnsi="宋体" w:cs="宋体"/>
          <w:sz w:val="22"/>
          <w:szCs w:val="22"/>
        </w:rPr>
        <w:t xml:space="preserve"> </w:t>
      </w:r>
      <w:r>
        <w:rPr>
          <w:rFonts w:ascii="宋体" w:eastAsia="宋体" w:hAnsi="宋体" w:cs="宋体"/>
          <w:spacing w:val="2"/>
          <w:sz w:val="22"/>
          <w:szCs w:val="22"/>
        </w:rPr>
        <w:t xml:space="preserve">使物料能够在短时间内从挤压套筒中的高温(120～200℃左右)迅速降至70~  </w:t>
      </w:r>
      <w:r>
        <w:rPr>
          <w:rFonts w:ascii="宋体" w:eastAsia="宋体" w:hAnsi="宋体" w:cs="宋体"/>
          <w:spacing w:val="-13"/>
          <w:sz w:val="22"/>
          <w:szCs w:val="22"/>
        </w:rPr>
        <w:t>80℃的相对低温。因此对于谷物加工的其他方法来说，挤压过程中物料的受热强</w:t>
      </w:r>
      <w:r>
        <w:rPr>
          <w:rFonts w:ascii="宋体" w:eastAsia="宋体" w:hAnsi="宋体" w:cs="宋体"/>
          <w:spacing w:val="3"/>
          <w:sz w:val="22"/>
          <w:szCs w:val="22"/>
        </w:rPr>
        <w:t xml:space="preserve">  </w:t>
      </w:r>
      <w:r>
        <w:rPr>
          <w:rFonts w:ascii="宋体" w:eastAsia="宋体" w:hAnsi="宋体" w:cs="宋体"/>
          <w:spacing w:val="-13"/>
          <w:sz w:val="22"/>
          <w:szCs w:val="22"/>
        </w:rPr>
        <w:t>度相对较小，该过程中维生素的损失也相对较小。除了受热强度</w:t>
      </w:r>
      <w:r>
        <w:rPr>
          <w:rFonts w:ascii="宋体" w:eastAsia="宋体" w:hAnsi="宋体" w:cs="宋体"/>
          <w:spacing w:val="-14"/>
          <w:sz w:val="22"/>
          <w:szCs w:val="22"/>
        </w:rPr>
        <w:t>较小外，挤压过</w:t>
      </w:r>
      <w:r>
        <w:rPr>
          <w:rFonts w:ascii="宋体" w:eastAsia="宋体" w:hAnsi="宋体" w:cs="宋体"/>
          <w:sz w:val="22"/>
          <w:szCs w:val="22"/>
        </w:rPr>
        <w:t xml:space="preserve">  </w:t>
      </w:r>
      <w:r>
        <w:rPr>
          <w:rFonts w:ascii="宋体" w:eastAsia="宋体" w:hAnsi="宋体" w:cs="宋体"/>
          <w:spacing w:val="-13"/>
          <w:sz w:val="22"/>
          <w:szCs w:val="22"/>
        </w:rPr>
        <w:t>程中维生素的损失较小还有另外的原因，即物料在挤压机的套筒中与空</w:t>
      </w:r>
      <w:r>
        <w:rPr>
          <w:rFonts w:ascii="宋体" w:eastAsia="宋体" w:hAnsi="宋体" w:cs="宋体"/>
          <w:spacing w:val="-14"/>
          <w:sz w:val="22"/>
          <w:szCs w:val="22"/>
        </w:rPr>
        <w:t>气的接触</w:t>
      </w:r>
      <w:r>
        <w:rPr>
          <w:rFonts w:ascii="宋体" w:eastAsia="宋体" w:hAnsi="宋体" w:cs="宋体"/>
          <w:sz w:val="22"/>
          <w:szCs w:val="22"/>
        </w:rPr>
        <w:t xml:space="preserve">  </w:t>
      </w:r>
      <w:r>
        <w:rPr>
          <w:rFonts w:ascii="宋体" w:eastAsia="宋体" w:hAnsi="宋体" w:cs="宋体"/>
          <w:spacing w:val="-9"/>
          <w:sz w:val="22"/>
          <w:szCs w:val="22"/>
        </w:rPr>
        <w:t>少，</w:t>
      </w:r>
      <w:r>
        <w:rPr>
          <w:rFonts w:ascii="宋体" w:eastAsia="宋体" w:hAnsi="宋体" w:cs="宋体"/>
          <w:spacing w:val="-17"/>
          <w:sz w:val="22"/>
          <w:szCs w:val="22"/>
        </w:rPr>
        <w:t xml:space="preserve"> </w:t>
      </w:r>
      <w:r>
        <w:rPr>
          <w:rFonts w:ascii="宋体" w:eastAsia="宋体" w:hAnsi="宋体" w:cs="宋体"/>
          <w:spacing w:val="-9"/>
          <w:sz w:val="22"/>
          <w:szCs w:val="22"/>
        </w:rPr>
        <w:t>一些容易发生氧化的维生素如维生素A、</w:t>
      </w:r>
      <w:r>
        <w:rPr>
          <w:rFonts w:ascii="宋体" w:eastAsia="宋体" w:hAnsi="宋体" w:cs="宋体"/>
          <w:spacing w:val="-12"/>
          <w:sz w:val="22"/>
          <w:szCs w:val="22"/>
        </w:rPr>
        <w:t xml:space="preserve"> </w:t>
      </w:r>
      <w:r>
        <w:rPr>
          <w:rFonts w:ascii="宋体" w:eastAsia="宋体" w:hAnsi="宋体" w:cs="宋体"/>
          <w:spacing w:val="-9"/>
          <w:sz w:val="22"/>
          <w:szCs w:val="22"/>
        </w:rPr>
        <w:t>维生素C</w:t>
      </w:r>
      <w:r>
        <w:rPr>
          <w:rFonts w:ascii="宋体" w:eastAsia="宋体" w:hAnsi="宋体" w:cs="宋体"/>
          <w:spacing w:val="-13"/>
          <w:sz w:val="22"/>
          <w:szCs w:val="22"/>
        </w:rPr>
        <w:t xml:space="preserve"> </w:t>
      </w:r>
      <w:r>
        <w:rPr>
          <w:rFonts w:ascii="宋体" w:eastAsia="宋体" w:hAnsi="宋体" w:cs="宋体"/>
          <w:spacing w:val="-9"/>
          <w:sz w:val="22"/>
          <w:szCs w:val="22"/>
        </w:rPr>
        <w:t>等也不会因为氧化而产</w:t>
      </w:r>
      <w:r>
        <w:rPr>
          <w:rFonts w:ascii="宋体" w:eastAsia="宋体" w:hAnsi="宋体" w:cs="宋体"/>
          <w:sz w:val="22"/>
          <w:szCs w:val="22"/>
        </w:rPr>
        <w:t xml:space="preserve">  </w:t>
      </w:r>
      <w:r>
        <w:rPr>
          <w:rFonts w:ascii="宋体" w:eastAsia="宋体" w:hAnsi="宋体" w:cs="宋体"/>
          <w:spacing w:val="-18"/>
          <w:sz w:val="22"/>
          <w:szCs w:val="22"/>
        </w:rPr>
        <w:t>生过多的损失。</w:t>
      </w:r>
    </w:p>
    <w:p w:rsidR="00EA40A3" w:rsidRDefault="00E86C16">
      <w:pPr>
        <w:spacing w:before="221" w:line="220"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5"/>
          <w:sz w:val="22"/>
          <w:szCs w:val="22"/>
        </w:rPr>
        <w:t xml:space="preserve"> </w:t>
      </w:r>
      <w:r>
        <w:rPr>
          <w:rFonts w:ascii="仿宋" w:eastAsia="仿宋" w:hAnsi="仿宋" w:cs="仿宋"/>
          <w:spacing w:val="10"/>
          <w:sz w:val="22"/>
          <w:szCs w:val="22"/>
        </w:rPr>
        <w:t>挤压膨化</w:t>
      </w:r>
    </w:p>
    <w:p w:rsidR="00EA40A3" w:rsidRDefault="00E86C16">
      <w:pPr>
        <w:spacing w:before="213" w:line="235" w:lineRule="auto"/>
        <w:ind w:right="80" w:firstLine="420"/>
        <w:jc w:val="both"/>
        <w:rPr>
          <w:rFonts w:ascii="宋体" w:eastAsia="宋体" w:hAnsi="宋体" w:cs="宋体"/>
          <w:sz w:val="22"/>
          <w:szCs w:val="22"/>
        </w:rPr>
      </w:pPr>
      <w:r>
        <w:rPr>
          <w:rFonts w:ascii="宋体" w:eastAsia="宋体" w:hAnsi="宋体" w:cs="宋体"/>
          <w:spacing w:val="-6"/>
          <w:sz w:val="22"/>
          <w:szCs w:val="22"/>
        </w:rPr>
        <w:t>挤压膨化是一种膨化食品常用的加工方式，原料一般</w:t>
      </w:r>
      <w:r>
        <w:rPr>
          <w:rFonts w:ascii="宋体" w:eastAsia="宋体" w:hAnsi="宋体" w:cs="宋体"/>
          <w:spacing w:val="-7"/>
          <w:sz w:val="22"/>
          <w:szCs w:val="22"/>
        </w:rPr>
        <w:t>为谷类、薯类和豆类</w:t>
      </w:r>
      <w:r>
        <w:rPr>
          <w:rFonts w:ascii="宋体" w:eastAsia="宋体" w:hAnsi="宋体" w:cs="宋体"/>
          <w:sz w:val="22"/>
          <w:szCs w:val="22"/>
        </w:rPr>
        <w:t xml:space="preserve"> 等，通过挤压膨化过程制得膨化食品，如爆米花、</w:t>
      </w:r>
      <w:r>
        <w:rPr>
          <w:rFonts w:ascii="宋体" w:eastAsia="宋体" w:hAnsi="宋体" w:cs="宋体"/>
          <w:spacing w:val="-1"/>
          <w:sz w:val="22"/>
          <w:szCs w:val="22"/>
        </w:rPr>
        <w:t>酥棒、膨化饼干、早餐谷</w:t>
      </w:r>
      <w:r>
        <w:rPr>
          <w:rFonts w:ascii="宋体" w:eastAsia="宋体" w:hAnsi="宋体" w:cs="宋体"/>
          <w:sz w:val="22"/>
          <w:szCs w:val="22"/>
        </w:rPr>
        <w:t xml:space="preserve"> </w:t>
      </w:r>
      <w:r>
        <w:rPr>
          <w:rFonts w:ascii="宋体" w:eastAsia="宋体" w:hAnsi="宋体" w:cs="宋体"/>
          <w:spacing w:val="-9"/>
          <w:sz w:val="22"/>
          <w:szCs w:val="22"/>
        </w:rPr>
        <w:t>物等。</w:t>
      </w:r>
    </w:p>
    <w:p w:rsidR="00EA40A3" w:rsidRDefault="00E86C16">
      <w:pPr>
        <w:spacing w:before="82" w:line="247" w:lineRule="auto"/>
        <w:ind w:right="92" w:firstLine="420"/>
        <w:jc w:val="both"/>
        <w:rPr>
          <w:rFonts w:ascii="宋体" w:eastAsia="宋体" w:hAnsi="宋体" w:cs="宋体"/>
          <w:sz w:val="22"/>
          <w:szCs w:val="22"/>
        </w:rPr>
      </w:pPr>
      <w:r>
        <w:rPr>
          <w:rFonts w:ascii="宋体" w:eastAsia="宋体" w:hAnsi="宋体" w:cs="宋体"/>
          <w:spacing w:val="-13"/>
          <w:sz w:val="22"/>
          <w:szCs w:val="22"/>
        </w:rPr>
        <w:t>含有一定水分的物料，在挤压机套筒内受到螺杆的</w:t>
      </w:r>
      <w:r>
        <w:rPr>
          <w:rFonts w:ascii="宋体" w:eastAsia="宋体" w:hAnsi="宋体" w:cs="宋体"/>
          <w:spacing w:val="-14"/>
          <w:sz w:val="22"/>
          <w:szCs w:val="22"/>
        </w:rPr>
        <w:t>推动作用及卸料模具和套</w:t>
      </w:r>
      <w:r>
        <w:rPr>
          <w:rFonts w:ascii="宋体" w:eastAsia="宋体" w:hAnsi="宋体" w:cs="宋体"/>
          <w:sz w:val="22"/>
          <w:szCs w:val="22"/>
        </w:rPr>
        <w:t xml:space="preserve"> </w:t>
      </w:r>
      <w:r>
        <w:rPr>
          <w:rFonts w:ascii="宋体" w:eastAsia="宋体" w:hAnsi="宋体" w:cs="宋体"/>
          <w:spacing w:val="-13"/>
          <w:sz w:val="22"/>
          <w:szCs w:val="22"/>
        </w:rPr>
        <w:t>筒内节流装置的反向装置方向的阻滞作用，另外还受到来自于外部的和物料</w:t>
      </w:r>
      <w:r>
        <w:rPr>
          <w:rFonts w:ascii="宋体" w:eastAsia="宋体" w:hAnsi="宋体" w:cs="宋体"/>
          <w:spacing w:val="-14"/>
          <w:sz w:val="22"/>
          <w:szCs w:val="22"/>
        </w:rPr>
        <w:t>与螺</w:t>
      </w:r>
      <w:r>
        <w:rPr>
          <w:rFonts w:ascii="宋体" w:eastAsia="宋体" w:hAnsi="宋体" w:cs="宋体"/>
          <w:sz w:val="22"/>
          <w:szCs w:val="22"/>
        </w:rPr>
        <w:t xml:space="preserve"> </w:t>
      </w:r>
      <w:r>
        <w:rPr>
          <w:rFonts w:ascii="宋体" w:eastAsia="宋体" w:hAnsi="宋体" w:cs="宋体"/>
          <w:spacing w:val="-5"/>
          <w:sz w:val="22"/>
          <w:szCs w:val="22"/>
        </w:rPr>
        <w:t>杆、套筒内部摩擦热的加热作用。此综合作用的结果使物料处于高达3</w:t>
      </w:r>
      <w:r>
        <w:rPr>
          <w:rFonts w:ascii="宋体" w:eastAsia="宋体" w:hAnsi="宋体" w:cs="宋体"/>
          <w:spacing w:val="-6"/>
          <w:sz w:val="22"/>
          <w:szCs w:val="22"/>
        </w:rPr>
        <w:t>～8</w:t>
      </w:r>
      <w:r>
        <w:rPr>
          <w:rFonts w:ascii="宋体" w:eastAsia="宋体" w:hAnsi="宋体" w:cs="宋体"/>
          <w:spacing w:val="-5"/>
          <w:sz w:val="22"/>
          <w:szCs w:val="22"/>
        </w:rPr>
        <w:t>MPa</w:t>
      </w:r>
      <w:r>
        <w:rPr>
          <w:rFonts w:ascii="宋体" w:eastAsia="宋体" w:hAnsi="宋体" w:cs="宋体"/>
          <w:sz w:val="22"/>
          <w:szCs w:val="22"/>
        </w:rPr>
        <w:t xml:space="preserve"> </w:t>
      </w:r>
      <w:r>
        <w:rPr>
          <w:rFonts w:ascii="宋体" w:eastAsia="宋体" w:hAnsi="宋体" w:cs="宋体"/>
          <w:spacing w:val="-3"/>
          <w:sz w:val="22"/>
          <w:szCs w:val="22"/>
        </w:rPr>
        <w:t>的高压和高温下(一般可达120～200℃,根</w:t>
      </w:r>
      <w:r>
        <w:rPr>
          <w:rFonts w:ascii="宋体" w:eastAsia="宋体" w:hAnsi="宋体" w:cs="宋体"/>
          <w:spacing w:val="-4"/>
          <w:sz w:val="22"/>
          <w:szCs w:val="22"/>
        </w:rPr>
        <w:t>据需要还可达到更高)。如此高的压</w:t>
      </w:r>
      <w:r>
        <w:rPr>
          <w:rFonts w:ascii="宋体" w:eastAsia="宋体" w:hAnsi="宋体" w:cs="宋体"/>
          <w:sz w:val="22"/>
          <w:szCs w:val="22"/>
        </w:rPr>
        <w:t xml:space="preserve"> </w:t>
      </w:r>
      <w:r>
        <w:rPr>
          <w:rFonts w:ascii="宋体" w:eastAsia="宋体" w:hAnsi="宋体" w:cs="宋体"/>
          <w:spacing w:val="-13"/>
          <w:sz w:val="22"/>
          <w:szCs w:val="22"/>
        </w:rPr>
        <w:t>力超过了挤压温度的饱和蒸汽压，所以物料在挤压套筒内不会产生水分的蒸发和</w:t>
      </w:r>
      <w:r>
        <w:rPr>
          <w:rFonts w:ascii="宋体" w:eastAsia="宋体" w:hAnsi="宋体" w:cs="宋体"/>
          <w:spacing w:val="1"/>
          <w:sz w:val="22"/>
          <w:szCs w:val="22"/>
        </w:rPr>
        <w:t xml:space="preserve"> </w:t>
      </w:r>
      <w:r>
        <w:rPr>
          <w:rFonts w:ascii="宋体" w:eastAsia="宋体" w:hAnsi="宋体" w:cs="宋体"/>
          <w:spacing w:val="-13"/>
          <w:sz w:val="22"/>
          <w:szCs w:val="22"/>
        </w:rPr>
        <w:t>沸腾，在如此高的温度、剪切力及高压的作用下，物料呈现熔融</w:t>
      </w:r>
      <w:r>
        <w:rPr>
          <w:rFonts w:ascii="宋体" w:eastAsia="宋体" w:hAnsi="宋体" w:cs="宋体"/>
          <w:spacing w:val="-14"/>
          <w:sz w:val="22"/>
          <w:szCs w:val="22"/>
        </w:rPr>
        <w:t>状态。当物料被</w:t>
      </w:r>
      <w:r>
        <w:rPr>
          <w:rFonts w:ascii="宋体" w:eastAsia="宋体" w:hAnsi="宋体" w:cs="宋体"/>
          <w:sz w:val="22"/>
          <w:szCs w:val="22"/>
        </w:rPr>
        <w:t xml:space="preserve"> </w:t>
      </w:r>
      <w:r>
        <w:rPr>
          <w:rFonts w:ascii="宋体" w:eastAsia="宋体" w:hAnsi="宋体" w:cs="宋体"/>
          <w:spacing w:val="-13"/>
          <w:sz w:val="22"/>
          <w:szCs w:val="22"/>
        </w:rPr>
        <w:t>强行挤出模具口时，压力骤然降为常压，此时水分便会发生急骤</w:t>
      </w:r>
      <w:r>
        <w:rPr>
          <w:rFonts w:ascii="宋体" w:eastAsia="宋体" w:hAnsi="宋体" w:cs="宋体"/>
          <w:spacing w:val="-14"/>
          <w:sz w:val="22"/>
          <w:szCs w:val="22"/>
        </w:rPr>
        <w:t>的闪蒸，产生类</w:t>
      </w:r>
      <w:r>
        <w:rPr>
          <w:rFonts w:ascii="宋体" w:eastAsia="宋体" w:hAnsi="宋体" w:cs="宋体"/>
          <w:sz w:val="22"/>
          <w:szCs w:val="22"/>
        </w:rPr>
        <w:t xml:space="preserve"> </w:t>
      </w:r>
      <w:r>
        <w:rPr>
          <w:rFonts w:ascii="宋体" w:eastAsia="宋体" w:hAnsi="宋体" w:cs="宋体"/>
          <w:spacing w:val="-16"/>
          <w:sz w:val="22"/>
          <w:szCs w:val="22"/>
        </w:rPr>
        <w:t>似于“爆炸”的情况，产品随之膨胀。</w:t>
      </w:r>
    </w:p>
    <w:p w:rsidR="00EA40A3" w:rsidRDefault="00E86C16">
      <w:pPr>
        <w:spacing w:before="93" w:line="246" w:lineRule="auto"/>
        <w:ind w:right="76" w:firstLine="420"/>
        <w:jc w:val="both"/>
        <w:rPr>
          <w:rFonts w:ascii="宋体" w:eastAsia="宋体" w:hAnsi="宋体" w:cs="宋体"/>
          <w:sz w:val="22"/>
          <w:szCs w:val="22"/>
        </w:rPr>
      </w:pPr>
      <w:r>
        <w:rPr>
          <w:rFonts w:ascii="宋体" w:eastAsia="宋体" w:hAnsi="宋体" w:cs="宋体"/>
          <w:spacing w:val="-13"/>
          <w:sz w:val="22"/>
          <w:szCs w:val="22"/>
        </w:rPr>
        <w:t>挤压膨化是高温短时的过程，由于原料受热时间短，在加工过程中食品的营</w:t>
      </w:r>
      <w:r>
        <w:rPr>
          <w:rFonts w:ascii="宋体" w:eastAsia="宋体" w:hAnsi="宋体" w:cs="宋体"/>
          <w:spacing w:val="11"/>
          <w:sz w:val="22"/>
          <w:szCs w:val="22"/>
        </w:rPr>
        <w:t xml:space="preserve"> </w:t>
      </w:r>
      <w:r>
        <w:rPr>
          <w:rFonts w:ascii="宋体" w:eastAsia="宋体" w:hAnsi="宋体" w:cs="宋体"/>
          <w:spacing w:val="-3"/>
          <w:sz w:val="22"/>
          <w:szCs w:val="22"/>
        </w:rPr>
        <w:t>养成分几乎没有损失。挤压过程中大约有70%的维生素C</w:t>
      </w:r>
      <w:r>
        <w:rPr>
          <w:rFonts w:ascii="宋体" w:eastAsia="宋体" w:hAnsi="宋体" w:cs="宋体"/>
          <w:spacing w:val="-10"/>
          <w:sz w:val="22"/>
          <w:szCs w:val="22"/>
        </w:rPr>
        <w:t xml:space="preserve"> </w:t>
      </w:r>
      <w:r>
        <w:rPr>
          <w:rFonts w:ascii="宋体" w:eastAsia="宋体" w:hAnsi="宋体" w:cs="宋体"/>
          <w:spacing w:val="-3"/>
          <w:sz w:val="22"/>
          <w:szCs w:val="22"/>
        </w:rPr>
        <w:t>被保留下来，而采用</w:t>
      </w:r>
      <w:r>
        <w:rPr>
          <w:rFonts w:ascii="宋体" w:eastAsia="宋体" w:hAnsi="宋体" w:cs="宋体"/>
          <w:sz w:val="22"/>
          <w:szCs w:val="22"/>
        </w:rPr>
        <w:t xml:space="preserve"> </w:t>
      </w:r>
      <w:r>
        <w:rPr>
          <w:rFonts w:ascii="宋体" w:eastAsia="宋体" w:hAnsi="宋体" w:cs="宋体"/>
          <w:spacing w:val="-4"/>
          <w:sz w:val="22"/>
          <w:szCs w:val="22"/>
        </w:rPr>
        <w:t>一般的加热处理或热力杀菌，则维生素C 的保存率不到40%</w:t>
      </w:r>
      <w:r>
        <w:rPr>
          <w:rFonts w:ascii="宋体" w:eastAsia="宋体" w:hAnsi="宋体" w:cs="宋体"/>
          <w:spacing w:val="-5"/>
          <w:sz w:val="22"/>
          <w:szCs w:val="22"/>
        </w:rPr>
        <w:t>。挤压过程中的矿</w:t>
      </w:r>
      <w:r>
        <w:rPr>
          <w:rFonts w:ascii="宋体" w:eastAsia="宋体" w:hAnsi="宋体" w:cs="宋体"/>
          <w:sz w:val="22"/>
          <w:szCs w:val="22"/>
        </w:rPr>
        <w:t xml:space="preserve"> </w:t>
      </w:r>
      <w:r>
        <w:rPr>
          <w:rFonts w:ascii="宋体" w:eastAsia="宋体" w:hAnsi="宋体" w:cs="宋体"/>
          <w:spacing w:val="-7"/>
          <w:sz w:val="22"/>
          <w:szCs w:val="22"/>
        </w:rPr>
        <w:t>物质没有损失，维生素B</w:t>
      </w:r>
      <w:r>
        <w:rPr>
          <w:rFonts w:ascii="Calibri" w:eastAsia="Calibri" w:hAnsi="Calibri" w:cs="Calibri"/>
          <w:spacing w:val="-7"/>
          <w:sz w:val="22"/>
          <w:szCs w:val="22"/>
        </w:rPr>
        <w:t>₁</w:t>
      </w:r>
      <w:r>
        <w:rPr>
          <w:rFonts w:ascii="Calibri" w:eastAsia="Calibri" w:hAnsi="Calibri" w:cs="Calibri"/>
          <w:spacing w:val="-15"/>
          <w:sz w:val="22"/>
          <w:szCs w:val="22"/>
        </w:rPr>
        <w:t xml:space="preserve"> </w:t>
      </w:r>
      <w:r>
        <w:rPr>
          <w:rFonts w:ascii="宋体" w:eastAsia="宋体" w:hAnsi="宋体" w:cs="宋体"/>
          <w:spacing w:val="-7"/>
          <w:sz w:val="22"/>
          <w:szCs w:val="22"/>
        </w:rPr>
        <w:t>、维生素B</w:t>
      </w:r>
      <w:r>
        <w:rPr>
          <w:rFonts w:ascii="Calibri" w:eastAsia="Calibri" w:hAnsi="Calibri" w:cs="Calibri"/>
          <w:spacing w:val="-7"/>
          <w:sz w:val="22"/>
          <w:szCs w:val="22"/>
        </w:rPr>
        <w:t>₂</w:t>
      </w:r>
      <w:r>
        <w:rPr>
          <w:rFonts w:ascii="Calibri" w:eastAsia="Calibri" w:hAnsi="Calibri" w:cs="Calibri"/>
          <w:spacing w:val="40"/>
          <w:w w:val="101"/>
          <w:sz w:val="22"/>
          <w:szCs w:val="22"/>
        </w:rPr>
        <w:t xml:space="preserve"> </w:t>
      </w:r>
      <w:r>
        <w:rPr>
          <w:rFonts w:ascii="宋体" w:eastAsia="宋体" w:hAnsi="宋体" w:cs="宋体"/>
          <w:spacing w:val="-7"/>
          <w:sz w:val="22"/>
          <w:szCs w:val="22"/>
        </w:rPr>
        <w:t>和泛酸也几乎没有损失。膨化过程中不仅</w:t>
      </w:r>
      <w:r>
        <w:rPr>
          <w:rFonts w:ascii="宋体" w:eastAsia="宋体" w:hAnsi="宋体" w:cs="宋体"/>
          <w:sz w:val="22"/>
          <w:szCs w:val="22"/>
        </w:rPr>
        <w:t xml:space="preserve"> </w:t>
      </w:r>
      <w:r>
        <w:rPr>
          <w:rFonts w:ascii="宋体" w:eastAsia="宋体" w:hAnsi="宋体" w:cs="宋体"/>
          <w:spacing w:val="-13"/>
          <w:sz w:val="22"/>
          <w:szCs w:val="22"/>
        </w:rPr>
        <w:t>使原料的质构发生变化，其内部分子结构也发生变化，如一部分淀粉</w:t>
      </w:r>
      <w:r>
        <w:rPr>
          <w:rFonts w:ascii="宋体" w:eastAsia="宋体" w:hAnsi="宋体" w:cs="宋体"/>
          <w:spacing w:val="-14"/>
          <w:sz w:val="22"/>
          <w:szCs w:val="22"/>
        </w:rPr>
        <w:t>分子发生降</w:t>
      </w:r>
      <w:r>
        <w:rPr>
          <w:rFonts w:ascii="宋体" w:eastAsia="宋体" w:hAnsi="宋体" w:cs="宋体"/>
          <w:sz w:val="22"/>
          <w:szCs w:val="22"/>
        </w:rPr>
        <w:t xml:space="preserve"> </w:t>
      </w:r>
      <w:r>
        <w:rPr>
          <w:rFonts w:ascii="宋体" w:eastAsia="宋体" w:hAnsi="宋体" w:cs="宋体"/>
          <w:spacing w:val="-15"/>
          <w:sz w:val="22"/>
          <w:szCs w:val="22"/>
        </w:rPr>
        <w:t>解转化为糊精、低聚糖和麦芽糖等。</w:t>
      </w:r>
    </w:p>
    <w:p w:rsidR="00EA40A3" w:rsidRDefault="00E86C16">
      <w:pPr>
        <w:spacing w:before="76"/>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240</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footerReference w:type="default" r:id="rId206"/>
          <w:pgSz w:w="9220" w:h="13360"/>
          <w:pgMar w:top="400" w:right="1000" w:bottom="400" w:left="879" w:header="0" w:footer="0" w:gutter="0"/>
          <w:cols w:space="720"/>
        </w:sectPr>
      </w:pPr>
    </w:p>
    <w:p w:rsidR="00EA40A3" w:rsidRDefault="00EA40A3">
      <w:pPr>
        <w:spacing w:line="307" w:lineRule="auto"/>
      </w:pPr>
    </w:p>
    <w:p w:rsidR="00EA40A3" w:rsidRDefault="00EA40A3">
      <w:pPr>
        <w:spacing w:line="308" w:lineRule="auto"/>
      </w:pPr>
    </w:p>
    <w:p w:rsidR="00EA40A3" w:rsidRDefault="00E86C16">
      <w:pPr>
        <w:spacing w:before="72" w:line="248" w:lineRule="auto"/>
        <w:ind w:right="43" w:firstLine="419"/>
        <w:jc w:val="both"/>
        <w:rPr>
          <w:rFonts w:ascii="宋体" w:eastAsia="宋体" w:hAnsi="宋体" w:cs="宋体"/>
          <w:sz w:val="22"/>
          <w:szCs w:val="22"/>
        </w:rPr>
      </w:pPr>
      <w:bookmarkStart w:id="58" w:name="_bookmark63"/>
      <w:bookmarkStart w:id="59" w:name="_bookmark62"/>
      <w:bookmarkEnd w:id="58"/>
      <w:bookmarkEnd w:id="59"/>
      <w:r>
        <w:rPr>
          <w:rFonts w:ascii="宋体" w:eastAsia="宋体" w:hAnsi="宋体" w:cs="宋体"/>
          <w:spacing w:val="-13"/>
          <w:sz w:val="22"/>
          <w:szCs w:val="22"/>
        </w:rPr>
        <w:t>挤压膨化后，食品多孔的蓬松结构和其中某些成分的降解有利于消化酶的作</w:t>
      </w:r>
      <w:r>
        <w:rPr>
          <w:rFonts w:ascii="宋体" w:eastAsia="宋体" w:hAnsi="宋体" w:cs="宋体"/>
          <w:spacing w:val="11"/>
          <w:sz w:val="22"/>
          <w:szCs w:val="22"/>
        </w:rPr>
        <w:t xml:space="preserve"> </w:t>
      </w:r>
      <w:r>
        <w:rPr>
          <w:rFonts w:ascii="宋体" w:eastAsia="宋体" w:hAnsi="宋体" w:cs="宋体"/>
          <w:spacing w:val="-13"/>
          <w:sz w:val="22"/>
          <w:szCs w:val="22"/>
        </w:rPr>
        <w:t>用，利于人体吸收。挤压后的淀粉和蛋白质均易受酶作用而发生水解。如：挤压</w:t>
      </w:r>
      <w:r>
        <w:rPr>
          <w:rFonts w:ascii="宋体" w:eastAsia="宋体" w:hAnsi="宋体" w:cs="宋体"/>
          <w:spacing w:val="13"/>
          <w:sz w:val="22"/>
          <w:szCs w:val="22"/>
        </w:rPr>
        <w:t xml:space="preserve"> </w:t>
      </w:r>
      <w:r>
        <w:rPr>
          <w:rFonts w:ascii="宋体" w:eastAsia="宋体" w:hAnsi="宋体" w:cs="宋体"/>
          <w:spacing w:val="-4"/>
          <w:sz w:val="22"/>
          <w:szCs w:val="22"/>
        </w:rPr>
        <w:t>后的大米其蛋白质消化率可以提高到83.84%,而未经挤压膨化的煮熟大米，其</w:t>
      </w:r>
      <w:r>
        <w:rPr>
          <w:rFonts w:ascii="宋体" w:eastAsia="宋体" w:hAnsi="宋体" w:cs="宋体"/>
          <w:spacing w:val="16"/>
          <w:sz w:val="22"/>
          <w:szCs w:val="22"/>
        </w:rPr>
        <w:t xml:space="preserve"> </w:t>
      </w:r>
      <w:r>
        <w:rPr>
          <w:rFonts w:ascii="宋体" w:eastAsia="宋体" w:hAnsi="宋体" w:cs="宋体"/>
          <w:spacing w:val="-3"/>
          <w:sz w:val="22"/>
          <w:szCs w:val="22"/>
        </w:rPr>
        <w:t>蛋白质消化率仅有75.95%;大豆经挤压加工后用于酱油的酿造，其蛋白质利用</w:t>
      </w:r>
      <w:r>
        <w:rPr>
          <w:rFonts w:ascii="宋体" w:eastAsia="宋体" w:hAnsi="宋体" w:cs="宋体"/>
          <w:spacing w:val="16"/>
          <w:sz w:val="22"/>
          <w:szCs w:val="22"/>
        </w:rPr>
        <w:t xml:space="preserve"> </w:t>
      </w:r>
      <w:r>
        <w:rPr>
          <w:rFonts w:ascii="宋体" w:eastAsia="宋体" w:hAnsi="宋体" w:cs="宋体"/>
          <w:sz w:val="22"/>
          <w:szCs w:val="22"/>
        </w:rPr>
        <w:t>率高达90%,而未经挤压的大豆用于酿造酱油时，其</w:t>
      </w:r>
      <w:r>
        <w:rPr>
          <w:rFonts w:ascii="宋体" w:eastAsia="宋体" w:hAnsi="宋体" w:cs="宋体"/>
          <w:spacing w:val="-1"/>
          <w:sz w:val="22"/>
          <w:szCs w:val="22"/>
        </w:rPr>
        <w:t>蛋白质的利用率一般只有</w:t>
      </w:r>
      <w:r>
        <w:rPr>
          <w:rFonts w:ascii="宋体" w:eastAsia="宋体" w:hAnsi="宋体" w:cs="宋体"/>
          <w:sz w:val="22"/>
          <w:szCs w:val="22"/>
        </w:rPr>
        <w:t xml:space="preserve"> </w:t>
      </w:r>
      <w:r>
        <w:rPr>
          <w:rFonts w:ascii="宋体" w:eastAsia="宋体" w:hAnsi="宋体" w:cs="宋体"/>
          <w:spacing w:val="1"/>
          <w:sz w:val="22"/>
          <w:szCs w:val="22"/>
        </w:rPr>
        <w:t>65%左右。</w:t>
      </w:r>
    </w:p>
    <w:p w:rsidR="00EA40A3" w:rsidRDefault="00E86C16">
      <w:pPr>
        <w:spacing w:before="229" w:line="221" w:lineRule="auto"/>
        <w:ind w:left="3"/>
        <w:outlineLvl w:val="6"/>
        <w:rPr>
          <w:rFonts w:ascii="黑体" w:eastAsia="黑体" w:hAnsi="黑体" w:cs="黑体"/>
          <w:sz w:val="22"/>
          <w:szCs w:val="22"/>
        </w:rPr>
      </w:pPr>
      <w:r>
        <w:rPr>
          <w:rFonts w:ascii="黑体" w:eastAsia="黑体" w:hAnsi="黑体" w:cs="黑体"/>
          <w:b/>
          <w:bCs/>
          <w:spacing w:val="9"/>
          <w:sz w:val="22"/>
          <w:szCs w:val="22"/>
        </w:rPr>
        <w:t>7.2.5</w:t>
      </w:r>
      <w:r>
        <w:rPr>
          <w:rFonts w:ascii="黑体" w:eastAsia="黑体" w:hAnsi="黑体" w:cs="黑体"/>
          <w:spacing w:val="57"/>
          <w:sz w:val="22"/>
          <w:szCs w:val="22"/>
        </w:rPr>
        <w:t xml:space="preserve">  </w:t>
      </w:r>
      <w:r>
        <w:rPr>
          <w:rFonts w:ascii="黑体" w:eastAsia="黑体" w:hAnsi="黑体" w:cs="黑体"/>
          <w:b/>
          <w:bCs/>
          <w:spacing w:val="9"/>
          <w:sz w:val="22"/>
          <w:szCs w:val="22"/>
        </w:rPr>
        <w:t>高压处理对食品营养价值的影响</w:t>
      </w:r>
    </w:p>
    <w:p w:rsidR="00EA40A3" w:rsidRDefault="00E86C16">
      <w:pPr>
        <w:spacing w:before="179" w:line="244" w:lineRule="auto"/>
        <w:ind w:right="60" w:firstLine="419"/>
        <w:rPr>
          <w:rFonts w:ascii="宋体" w:eastAsia="宋体" w:hAnsi="宋体" w:cs="宋体"/>
          <w:sz w:val="22"/>
          <w:szCs w:val="22"/>
        </w:rPr>
      </w:pPr>
      <w:r>
        <w:rPr>
          <w:rFonts w:ascii="宋体" w:eastAsia="宋体" w:hAnsi="宋体" w:cs="宋体"/>
          <w:spacing w:val="-4"/>
          <w:sz w:val="22"/>
          <w:szCs w:val="22"/>
        </w:rPr>
        <w:t>高压处理就是将食品物料置于高压(100MPa</w:t>
      </w:r>
      <w:r>
        <w:rPr>
          <w:rFonts w:ascii="宋体" w:eastAsia="宋体" w:hAnsi="宋体" w:cs="宋体"/>
          <w:spacing w:val="25"/>
          <w:sz w:val="22"/>
          <w:szCs w:val="22"/>
        </w:rPr>
        <w:t xml:space="preserve"> </w:t>
      </w:r>
      <w:r>
        <w:rPr>
          <w:rFonts w:ascii="宋体" w:eastAsia="宋体" w:hAnsi="宋体" w:cs="宋体"/>
          <w:spacing w:val="-4"/>
          <w:sz w:val="22"/>
          <w:szCs w:val="22"/>
        </w:rPr>
        <w:t>以上)装置中加压处理，以达</w:t>
      </w:r>
      <w:r>
        <w:rPr>
          <w:rFonts w:ascii="宋体" w:eastAsia="宋体" w:hAnsi="宋体" w:cs="宋体"/>
          <w:sz w:val="22"/>
          <w:szCs w:val="22"/>
        </w:rPr>
        <w:t xml:space="preserve"> </w:t>
      </w:r>
      <w:r>
        <w:rPr>
          <w:rFonts w:ascii="宋体" w:eastAsia="宋体" w:hAnsi="宋体" w:cs="宋体"/>
          <w:spacing w:val="-16"/>
          <w:sz w:val="22"/>
          <w:szCs w:val="22"/>
        </w:rPr>
        <w:t>到灭菌目的。</w:t>
      </w:r>
      <w:r>
        <w:rPr>
          <w:rFonts w:ascii="宋体" w:eastAsia="宋体" w:hAnsi="宋体" w:cs="宋体"/>
          <w:spacing w:val="8"/>
          <w:sz w:val="22"/>
          <w:szCs w:val="22"/>
        </w:rPr>
        <w:t xml:space="preserve"> </w:t>
      </w:r>
      <w:r>
        <w:rPr>
          <w:rFonts w:ascii="宋体" w:eastAsia="宋体" w:hAnsi="宋体" w:cs="宋体"/>
          <w:spacing w:val="-16"/>
          <w:sz w:val="22"/>
          <w:szCs w:val="22"/>
        </w:rPr>
        <w:t>一般来说，高压对食品中的风味物质、维生素、色素及各种小分子</w:t>
      </w:r>
      <w:r>
        <w:rPr>
          <w:rFonts w:ascii="宋体" w:eastAsia="宋体" w:hAnsi="宋体" w:cs="宋体"/>
          <w:sz w:val="22"/>
          <w:szCs w:val="22"/>
        </w:rPr>
        <w:t xml:space="preserve"> </w:t>
      </w:r>
      <w:r>
        <w:rPr>
          <w:rFonts w:ascii="宋体" w:eastAsia="宋体" w:hAnsi="宋体" w:cs="宋体"/>
          <w:spacing w:val="-13"/>
          <w:sz w:val="22"/>
          <w:szCs w:val="22"/>
        </w:rPr>
        <w:t>物质的天然结构几乎没有影响。因而采用高压技术处理食品，与传统的食品热处</w:t>
      </w:r>
      <w:r>
        <w:rPr>
          <w:rFonts w:ascii="宋体" w:eastAsia="宋体" w:hAnsi="宋体" w:cs="宋体"/>
          <w:spacing w:val="12"/>
          <w:sz w:val="22"/>
          <w:szCs w:val="22"/>
        </w:rPr>
        <w:t xml:space="preserve"> </w:t>
      </w:r>
      <w:r>
        <w:rPr>
          <w:rFonts w:ascii="宋体" w:eastAsia="宋体" w:hAnsi="宋体" w:cs="宋体"/>
          <w:spacing w:val="-15"/>
          <w:sz w:val="22"/>
          <w:szCs w:val="22"/>
        </w:rPr>
        <w:t>理方法相比，能较好地保存食品原有的色、香、味及营养成分。</w:t>
      </w:r>
    </w:p>
    <w:p w:rsidR="00EA40A3" w:rsidRDefault="00E86C16">
      <w:pPr>
        <w:spacing w:before="70"/>
        <w:ind w:right="34" w:firstLine="419"/>
        <w:rPr>
          <w:rFonts w:ascii="宋体" w:eastAsia="宋体" w:hAnsi="宋体" w:cs="宋体"/>
          <w:sz w:val="22"/>
          <w:szCs w:val="22"/>
        </w:rPr>
      </w:pPr>
      <w:r>
        <w:rPr>
          <w:rFonts w:ascii="宋体" w:eastAsia="宋体" w:hAnsi="宋体" w:cs="宋体"/>
          <w:spacing w:val="-3"/>
          <w:sz w:val="22"/>
          <w:szCs w:val="22"/>
        </w:rPr>
        <w:t>通常100～300MPa</w:t>
      </w:r>
      <w:r>
        <w:rPr>
          <w:rFonts w:ascii="宋体" w:eastAsia="宋体" w:hAnsi="宋体" w:cs="宋体"/>
          <w:spacing w:val="16"/>
          <w:sz w:val="22"/>
          <w:szCs w:val="22"/>
        </w:rPr>
        <w:t xml:space="preserve"> </w:t>
      </w:r>
      <w:r>
        <w:rPr>
          <w:rFonts w:ascii="宋体" w:eastAsia="宋体" w:hAnsi="宋体" w:cs="宋体"/>
          <w:spacing w:val="-3"/>
          <w:sz w:val="22"/>
          <w:szCs w:val="22"/>
        </w:rPr>
        <w:t>压力引起的蛋白质变性是可逆的，超过300MPa</w:t>
      </w:r>
      <w:r>
        <w:rPr>
          <w:rFonts w:ascii="宋体" w:eastAsia="宋体" w:hAnsi="宋体" w:cs="宋体"/>
          <w:spacing w:val="32"/>
          <w:sz w:val="22"/>
          <w:szCs w:val="22"/>
        </w:rPr>
        <w:t xml:space="preserve"> </w:t>
      </w:r>
      <w:r>
        <w:rPr>
          <w:rFonts w:ascii="宋体" w:eastAsia="宋体" w:hAnsi="宋体" w:cs="宋体"/>
          <w:spacing w:val="-3"/>
          <w:sz w:val="22"/>
          <w:szCs w:val="22"/>
        </w:rPr>
        <w:t>引起的</w:t>
      </w:r>
      <w:r>
        <w:rPr>
          <w:rFonts w:ascii="宋体" w:eastAsia="宋体" w:hAnsi="宋体" w:cs="宋体"/>
          <w:sz w:val="22"/>
          <w:szCs w:val="22"/>
        </w:rPr>
        <w:t xml:space="preserve"> </w:t>
      </w:r>
      <w:r>
        <w:rPr>
          <w:rFonts w:ascii="宋体" w:eastAsia="宋体" w:hAnsi="宋体" w:cs="宋体"/>
          <w:spacing w:val="-13"/>
          <w:sz w:val="22"/>
          <w:szCs w:val="22"/>
        </w:rPr>
        <w:t>变性是不可逆的。高压使蛋白质变性，是由于压力使蛋白质原始结构伸展，导致</w:t>
      </w:r>
      <w:r>
        <w:rPr>
          <w:rFonts w:ascii="宋体" w:eastAsia="宋体" w:hAnsi="宋体" w:cs="宋体"/>
          <w:spacing w:val="12"/>
          <w:sz w:val="22"/>
          <w:szCs w:val="22"/>
        </w:rPr>
        <w:t xml:space="preserve"> </w:t>
      </w:r>
      <w:r>
        <w:rPr>
          <w:rFonts w:ascii="宋体" w:eastAsia="宋体" w:hAnsi="宋体" w:cs="宋体"/>
          <w:spacing w:val="-14"/>
          <w:sz w:val="22"/>
          <w:szCs w:val="22"/>
        </w:rPr>
        <w:t>蛋白质体积的改变。使蛋白质发生变性的压力依不同的食品原料而不同。</w:t>
      </w:r>
    </w:p>
    <w:p w:rsidR="00EA40A3" w:rsidRDefault="00E86C16">
      <w:pPr>
        <w:spacing w:before="47" w:line="236" w:lineRule="auto"/>
        <w:ind w:right="42" w:firstLine="419"/>
        <w:rPr>
          <w:rFonts w:ascii="宋体" w:eastAsia="宋体" w:hAnsi="宋体" w:cs="宋体"/>
          <w:sz w:val="22"/>
          <w:szCs w:val="22"/>
        </w:rPr>
      </w:pPr>
      <w:r>
        <w:rPr>
          <w:rFonts w:ascii="宋体" w:eastAsia="宋体" w:hAnsi="宋体" w:cs="宋体"/>
          <w:spacing w:val="-4"/>
          <w:sz w:val="22"/>
          <w:szCs w:val="22"/>
        </w:rPr>
        <w:t>油脂类耐压程度低，常温下加压到100～200MPa,</w:t>
      </w:r>
      <w:r>
        <w:rPr>
          <w:rFonts w:ascii="宋体" w:eastAsia="宋体" w:hAnsi="宋体" w:cs="宋体"/>
          <w:spacing w:val="71"/>
          <w:sz w:val="22"/>
          <w:szCs w:val="22"/>
        </w:rPr>
        <w:t xml:space="preserve"> </w:t>
      </w:r>
      <w:r>
        <w:rPr>
          <w:rFonts w:ascii="宋体" w:eastAsia="宋体" w:hAnsi="宋体" w:cs="宋体"/>
          <w:spacing w:val="-4"/>
          <w:sz w:val="22"/>
          <w:szCs w:val="22"/>
        </w:rPr>
        <w:t>基本上变成固体，但</w:t>
      </w:r>
      <w:r>
        <w:rPr>
          <w:rFonts w:ascii="宋体" w:eastAsia="宋体" w:hAnsi="宋体" w:cs="宋体"/>
          <w:spacing w:val="-5"/>
          <w:sz w:val="22"/>
          <w:szCs w:val="22"/>
        </w:rPr>
        <w:t>解</w:t>
      </w:r>
      <w:r>
        <w:rPr>
          <w:rFonts w:ascii="宋体" w:eastAsia="宋体" w:hAnsi="宋体" w:cs="宋体"/>
          <w:sz w:val="22"/>
          <w:szCs w:val="22"/>
        </w:rPr>
        <w:t xml:space="preserve"> </w:t>
      </w:r>
      <w:r>
        <w:rPr>
          <w:rFonts w:ascii="宋体" w:eastAsia="宋体" w:hAnsi="宋体" w:cs="宋体"/>
          <w:spacing w:val="-12"/>
          <w:sz w:val="22"/>
          <w:szCs w:val="22"/>
        </w:rPr>
        <w:t>除压力后固体仍能恢复到原状。并且，高压处理对油脂的氧化有一定</w:t>
      </w:r>
      <w:r>
        <w:rPr>
          <w:rFonts w:ascii="宋体" w:eastAsia="宋体" w:hAnsi="宋体" w:cs="宋体"/>
          <w:spacing w:val="-13"/>
          <w:sz w:val="22"/>
          <w:szCs w:val="22"/>
        </w:rPr>
        <w:t>的促进。</w:t>
      </w:r>
    </w:p>
    <w:p w:rsidR="00EA40A3" w:rsidRDefault="00E86C16">
      <w:pPr>
        <w:spacing w:before="37" w:line="242" w:lineRule="auto"/>
        <w:ind w:right="60" w:firstLine="419"/>
        <w:rPr>
          <w:rFonts w:ascii="宋体" w:eastAsia="宋体" w:hAnsi="宋体" w:cs="宋体"/>
          <w:sz w:val="22"/>
          <w:szCs w:val="22"/>
        </w:rPr>
      </w:pPr>
      <w:r>
        <w:rPr>
          <w:rFonts w:ascii="宋体" w:eastAsia="宋体" w:hAnsi="宋体" w:cs="宋体"/>
          <w:spacing w:val="-4"/>
          <w:sz w:val="22"/>
          <w:szCs w:val="22"/>
        </w:rPr>
        <w:t>高压可使淀粉变性。常温下加压到400～600MPa,</w:t>
      </w:r>
      <w:r>
        <w:rPr>
          <w:rFonts w:ascii="宋体" w:eastAsia="宋体" w:hAnsi="宋体" w:cs="宋体"/>
          <w:spacing w:val="61"/>
          <w:sz w:val="22"/>
          <w:szCs w:val="22"/>
        </w:rPr>
        <w:t xml:space="preserve"> </w:t>
      </w:r>
      <w:r>
        <w:rPr>
          <w:rFonts w:ascii="宋体" w:eastAsia="宋体" w:hAnsi="宋体" w:cs="宋体"/>
          <w:spacing w:val="-5"/>
          <w:sz w:val="22"/>
          <w:szCs w:val="22"/>
        </w:rPr>
        <w:t>可使淀粉糊化而呈不透</w:t>
      </w:r>
      <w:r>
        <w:rPr>
          <w:rFonts w:ascii="宋体" w:eastAsia="宋体" w:hAnsi="宋体" w:cs="宋体"/>
          <w:sz w:val="22"/>
          <w:szCs w:val="22"/>
        </w:rPr>
        <w:t xml:space="preserve"> </w:t>
      </w:r>
      <w:r>
        <w:rPr>
          <w:rFonts w:ascii="宋体" w:eastAsia="宋体" w:hAnsi="宋体" w:cs="宋体"/>
          <w:spacing w:val="-13"/>
          <w:sz w:val="22"/>
          <w:szCs w:val="22"/>
        </w:rPr>
        <w:t>明的黏稠糊状，且吸水量也发生改变，原因是压力使淀粉分子的长链断裂，分子</w:t>
      </w:r>
      <w:r>
        <w:rPr>
          <w:rFonts w:ascii="宋体" w:eastAsia="宋体" w:hAnsi="宋体" w:cs="宋体"/>
          <w:spacing w:val="13"/>
          <w:sz w:val="22"/>
          <w:szCs w:val="22"/>
        </w:rPr>
        <w:t xml:space="preserve"> </w:t>
      </w:r>
      <w:r>
        <w:rPr>
          <w:rFonts w:ascii="宋体" w:eastAsia="宋体" w:hAnsi="宋体" w:cs="宋体"/>
          <w:spacing w:val="-16"/>
          <w:sz w:val="22"/>
          <w:szCs w:val="22"/>
        </w:rPr>
        <w:t>结构发生改变。</w:t>
      </w:r>
    </w:p>
    <w:p w:rsidR="00EA40A3" w:rsidRDefault="00E86C16">
      <w:pPr>
        <w:spacing w:before="78" w:line="235" w:lineRule="auto"/>
        <w:ind w:right="40" w:firstLine="419"/>
        <w:rPr>
          <w:rFonts w:ascii="宋体" w:eastAsia="宋体" w:hAnsi="宋体" w:cs="宋体"/>
          <w:sz w:val="22"/>
          <w:szCs w:val="22"/>
        </w:rPr>
      </w:pPr>
      <w:r>
        <w:rPr>
          <w:rFonts w:ascii="宋体" w:eastAsia="宋体" w:hAnsi="宋体" w:cs="宋体"/>
          <w:spacing w:val="-6"/>
          <w:sz w:val="22"/>
          <w:szCs w:val="22"/>
        </w:rPr>
        <w:t>根据研究报道，对蜂蜜进行高压杀菌处理，结果发现在微生物致死的条件</w:t>
      </w:r>
      <w:r>
        <w:rPr>
          <w:rFonts w:ascii="宋体" w:eastAsia="宋体" w:hAnsi="宋体" w:cs="宋体"/>
          <w:spacing w:val="10"/>
          <w:sz w:val="22"/>
          <w:szCs w:val="22"/>
        </w:rPr>
        <w:t xml:space="preserve"> </w:t>
      </w:r>
      <w:r>
        <w:rPr>
          <w:rFonts w:ascii="宋体" w:eastAsia="宋体" w:hAnsi="宋体" w:cs="宋体"/>
          <w:spacing w:val="-17"/>
          <w:sz w:val="22"/>
          <w:szCs w:val="22"/>
        </w:rPr>
        <w:t>下，对糖类几乎没有影响。</w:t>
      </w:r>
    </w:p>
    <w:p w:rsidR="00EA40A3" w:rsidRDefault="00E86C16">
      <w:pPr>
        <w:spacing w:before="48" w:line="244" w:lineRule="auto"/>
        <w:ind w:right="57" w:firstLine="419"/>
        <w:rPr>
          <w:rFonts w:ascii="宋体" w:eastAsia="宋体" w:hAnsi="宋体" w:cs="宋体"/>
          <w:sz w:val="22"/>
          <w:szCs w:val="22"/>
        </w:rPr>
      </w:pPr>
      <w:r>
        <w:rPr>
          <w:rFonts w:ascii="宋体" w:eastAsia="宋体" w:hAnsi="宋体" w:cs="宋体"/>
          <w:spacing w:val="-7"/>
          <w:sz w:val="22"/>
          <w:szCs w:val="22"/>
        </w:rPr>
        <w:t>牛肉宰后需要在低温下存放10d</w:t>
      </w:r>
      <w:r>
        <w:rPr>
          <w:rFonts w:ascii="宋体" w:eastAsia="宋体" w:hAnsi="宋体" w:cs="宋体"/>
          <w:spacing w:val="-38"/>
          <w:sz w:val="22"/>
          <w:szCs w:val="22"/>
        </w:rPr>
        <w:t xml:space="preserve"> </w:t>
      </w:r>
      <w:r>
        <w:rPr>
          <w:rFonts w:ascii="宋体" w:eastAsia="宋体" w:hAnsi="宋体" w:cs="宋体"/>
          <w:spacing w:val="-7"/>
          <w:sz w:val="22"/>
          <w:szCs w:val="22"/>
        </w:rPr>
        <w:t>以上才能成熟，若采用高压技术处理牛</w:t>
      </w:r>
      <w:r>
        <w:rPr>
          <w:rFonts w:ascii="宋体" w:eastAsia="宋体" w:hAnsi="宋体" w:cs="宋体"/>
          <w:spacing w:val="-8"/>
          <w:sz w:val="22"/>
          <w:szCs w:val="22"/>
        </w:rPr>
        <w:t>肉</w:t>
      </w:r>
      <w:r>
        <w:rPr>
          <w:rFonts w:ascii="宋体" w:eastAsia="宋体" w:hAnsi="宋体" w:cs="宋体"/>
          <w:sz w:val="22"/>
          <w:szCs w:val="22"/>
        </w:rPr>
        <w:t xml:space="preserve"> </w:t>
      </w:r>
      <w:r>
        <w:rPr>
          <w:rFonts w:ascii="宋体" w:eastAsia="宋体" w:hAnsi="宋体" w:cs="宋体"/>
          <w:spacing w:val="-11"/>
          <w:sz w:val="22"/>
          <w:szCs w:val="22"/>
        </w:rPr>
        <w:t>只需10min。</w:t>
      </w:r>
      <w:r>
        <w:rPr>
          <w:rFonts w:ascii="宋体" w:eastAsia="宋体" w:hAnsi="宋体" w:cs="宋体"/>
          <w:spacing w:val="-44"/>
          <w:sz w:val="22"/>
          <w:szCs w:val="22"/>
        </w:rPr>
        <w:t xml:space="preserve"> </w:t>
      </w:r>
      <w:r>
        <w:rPr>
          <w:rFonts w:ascii="宋体" w:eastAsia="宋体" w:hAnsi="宋体" w:cs="宋体"/>
          <w:spacing w:val="-11"/>
          <w:sz w:val="22"/>
          <w:szCs w:val="22"/>
        </w:rPr>
        <w:t>与常规加工方法相比，经过高压处理后肉制品改善了嫩度、</w:t>
      </w:r>
      <w:r>
        <w:rPr>
          <w:rFonts w:ascii="宋体" w:eastAsia="宋体" w:hAnsi="宋体" w:cs="宋体"/>
          <w:spacing w:val="-12"/>
          <w:sz w:val="22"/>
          <w:szCs w:val="22"/>
        </w:rPr>
        <w:t>色泽和</w:t>
      </w:r>
      <w:r>
        <w:rPr>
          <w:rFonts w:ascii="宋体" w:eastAsia="宋体" w:hAnsi="宋体" w:cs="宋体"/>
          <w:sz w:val="22"/>
          <w:szCs w:val="22"/>
        </w:rPr>
        <w:t xml:space="preserve"> </w:t>
      </w:r>
      <w:r>
        <w:rPr>
          <w:rFonts w:ascii="宋体" w:eastAsia="宋体" w:hAnsi="宋体" w:cs="宋体"/>
          <w:spacing w:val="-9"/>
          <w:sz w:val="22"/>
          <w:szCs w:val="22"/>
        </w:rPr>
        <w:t>成熟度，增加了保藏性。牛肉在常温进行250MPa</w:t>
      </w:r>
      <w:r>
        <w:rPr>
          <w:rFonts w:ascii="宋体" w:eastAsia="宋体" w:hAnsi="宋体" w:cs="宋体"/>
          <w:spacing w:val="4"/>
          <w:sz w:val="22"/>
          <w:szCs w:val="22"/>
        </w:rPr>
        <w:t xml:space="preserve"> </w:t>
      </w:r>
      <w:r>
        <w:rPr>
          <w:rFonts w:ascii="宋体" w:eastAsia="宋体" w:hAnsi="宋体" w:cs="宋体"/>
          <w:spacing w:val="-9"/>
          <w:sz w:val="22"/>
          <w:szCs w:val="22"/>
        </w:rPr>
        <w:t>的处理，可使肉得到一定程度</w:t>
      </w:r>
      <w:r>
        <w:rPr>
          <w:rFonts w:ascii="宋体" w:eastAsia="宋体" w:hAnsi="宋体" w:cs="宋体"/>
          <w:sz w:val="22"/>
          <w:szCs w:val="22"/>
        </w:rPr>
        <w:t xml:space="preserve"> </w:t>
      </w:r>
      <w:r>
        <w:rPr>
          <w:rFonts w:ascii="宋体" w:eastAsia="宋体" w:hAnsi="宋体" w:cs="宋体"/>
          <w:spacing w:val="-21"/>
          <w:sz w:val="22"/>
          <w:szCs w:val="22"/>
        </w:rPr>
        <w:t>的嫩化。</w:t>
      </w:r>
    </w:p>
    <w:p w:rsidR="00EA40A3" w:rsidRDefault="00E86C16">
      <w:pPr>
        <w:spacing w:before="67" w:line="244" w:lineRule="auto"/>
        <w:ind w:firstLine="419"/>
        <w:rPr>
          <w:rFonts w:ascii="宋体" w:eastAsia="宋体" w:hAnsi="宋体" w:cs="宋体"/>
          <w:sz w:val="22"/>
          <w:szCs w:val="22"/>
        </w:rPr>
      </w:pPr>
      <w:r>
        <w:rPr>
          <w:rFonts w:ascii="宋体" w:eastAsia="宋体" w:hAnsi="宋体" w:cs="宋体"/>
          <w:spacing w:val="-2"/>
          <w:sz w:val="22"/>
          <w:szCs w:val="22"/>
        </w:rPr>
        <w:t>高压处理可保持水产品原有的新鲜风味。例如</w:t>
      </w:r>
      <w:r>
        <w:rPr>
          <w:rFonts w:ascii="宋体" w:eastAsia="宋体" w:hAnsi="宋体" w:cs="宋体"/>
          <w:spacing w:val="-3"/>
          <w:sz w:val="22"/>
          <w:szCs w:val="22"/>
        </w:rPr>
        <w:t>，在600</w:t>
      </w:r>
      <w:r>
        <w:rPr>
          <w:rFonts w:ascii="宋体" w:eastAsia="宋体" w:hAnsi="宋体" w:cs="宋体"/>
          <w:spacing w:val="-2"/>
          <w:sz w:val="22"/>
          <w:szCs w:val="22"/>
        </w:rPr>
        <w:t>MPa</w:t>
      </w:r>
      <w:r>
        <w:rPr>
          <w:rFonts w:ascii="宋体" w:eastAsia="宋体" w:hAnsi="宋体" w:cs="宋体"/>
          <w:spacing w:val="21"/>
          <w:sz w:val="22"/>
          <w:szCs w:val="22"/>
        </w:rPr>
        <w:t xml:space="preserve"> </w:t>
      </w:r>
      <w:r>
        <w:rPr>
          <w:rFonts w:ascii="宋体" w:eastAsia="宋体" w:hAnsi="宋体" w:cs="宋体"/>
          <w:spacing w:val="-3"/>
          <w:sz w:val="22"/>
          <w:szCs w:val="22"/>
        </w:rPr>
        <w:t>下处理10</w:t>
      </w:r>
      <w:r>
        <w:rPr>
          <w:rFonts w:ascii="宋体" w:eastAsia="宋体" w:hAnsi="宋体" w:cs="宋体"/>
          <w:spacing w:val="-2"/>
          <w:sz w:val="22"/>
          <w:szCs w:val="22"/>
        </w:rPr>
        <w:t>min</w:t>
      </w:r>
      <w:r>
        <w:rPr>
          <w:rFonts w:ascii="宋体" w:eastAsia="宋体" w:hAnsi="宋体" w:cs="宋体"/>
          <w:spacing w:val="-3"/>
          <w:sz w:val="22"/>
          <w:szCs w:val="22"/>
        </w:rPr>
        <w:t>,</w:t>
      </w:r>
      <w:r>
        <w:rPr>
          <w:rFonts w:ascii="宋体" w:eastAsia="宋体" w:hAnsi="宋体" w:cs="宋体"/>
          <w:sz w:val="22"/>
          <w:szCs w:val="22"/>
        </w:rPr>
        <w:t xml:space="preserve"> </w:t>
      </w:r>
      <w:r>
        <w:rPr>
          <w:rFonts w:ascii="宋体" w:eastAsia="宋体" w:hAnsi="宋体" w:cs="宋体"/>
          <w:spacing w:val="-11"/>
          <w:sz w:val="22"/>
          <w:szCs w:val="22"/>
        </w:rPr>
        <w:t>可使对虾等甲壳类水产品外观变色，细菌量大大减少，但仍保持原有的生鲜味。</w:t>
      </w:r>
      <w:r>
        <w:rPr>
          <w:rFonts w:ascii="宋体" w:eastAsia="宋体" w:hAnsi="宋体" w:cs="宋体"/>
          <w:spacing w:val="3"/>
          <w:sz w:val="22"/>
          <w:szCs w:val="22"/>
        </w:rPr>
        <w:t xml:space="preserve"> </w:t>
      </w:r>
      <w:r>
        <w:rPr>
          <w:rFonts w:ascii="宋体" w:eastAsia="宋体" w:hAnsi="宋体" w:cs="宋体"/>
          <w:spacing w:val="-11"/>
          <w:sz w:val="22"/>
          <w:szCs w:val="22"/>
        </w:rPr>
        <w:t>日本采用400MPa</w:t>
      </w:r>
      <w:r>
        <w:rPr>
          <w:rFonts w:ascii="宋体" w:eastAsia="宋体" w:hAnsi="宋体" w:cs="宋体"/>
          <w:spacing w:val="37"/>
          <w:sz w:val="22"/>
          <w:szCs w:val="22"/>
        </w:rPr>
        <w:t xml:space="preserve"> </w:t>
      </w:r>
      <w:r>
        <w:rPr>
          <w:rFonts w:ascii="宋体" w:eastAsia="宋体" w:hAnsi="宋体" w:cs="宋体"/>
          <w:spacing w:val="-11"/>
          <w:sz w:val="22"/>
          <w:szCs w:val="22"/>
        </w:rPr>
        <w:t>高压处理鳕鱼、沙丁鱼、鳍鱼制造胶凝的鱼糜制品，高压加工</w:t>
      </w:r>
      <w:r>
        <w:rPr>
          <w:rFonts w:ascii="宋体" w:eastAsia="宋体" w:hAnsi="宋体" w:cs="宋体"/>
          <w:sz w:val="22"/>
          <w:szCs w:val="22"/>
        </w:rPr>
        <w:t xml:space="preserve">  </w:t>
      </w:r>
      <w:r>
        <w:rPr>
          <w:rFonts w:ascii="宋体" w:eastAsia="宋体" w:hAnsi="宋体" w:cs="宋体"/>
          <w:spacing w:val="-15"/>
          <w:sz w:val="22"/>
          <w:szCs w:val="22"/>
        </w:rPr>
        <w:t>的鱼糜制品感官质量好于热加工产品。</w:t>
      </w:r>
    </w:p>
    <w:p w:rsidR="00EA40A3" w:rsidRDefault="00E86C16">
      <w:pPr>
        <w:spacing w:before="224" w:line="221" w:lineRule="auto"/>
        <w:ind w:left="3"/>
        <w:outlineLvl w:val="6"/>
        <w:rPr>
          <w:rFonts w:ascii="黑体" w:eastAsia="黑体" w:hAnsi="黑体" w:cs="黑体"/>
          <w:sz w:val="22"/>
          <w:szCs w:val="22"/>
        </w:rPr>
      </w:pPr>
      <w:r>
        <w:rPr>
          <w:rFonts w:ascii="黑体" w:eastAsia="黑体" w:hAnsi="黑体" w:cs="黑体"/>
          <w:b/>
          <w:bCs/>
          <w:spacing w:val="9"/>
          <w:sz w:val="22"/>
          <w:szCs w:val="22"/>
        </w:rPr>
        <w:t>7.2.6</w:t>
      </w:r>
      <w:r>
        <w:rPr>
          <w:rFonts w:ascii="黑体" w:eastAsia="黑体" w:hAnsi="黑体" w:cs="黑体"/>
          <w:spacing w:val="44"/>
          <w:sz w:val="22"/>
          <w:szCs w:val="22"/>
        </w:rPr>
        <w:t xml:space="preserve">  </w:t>
      </w:r>
      <w:r>
        <w:rPr>
          <w:rFonts w:ascii="黑体" w:eastAsia="黑体" w:hAnsi="黑体" w:cs="黑体"/>
          <w:b/>
          <w:bCs/>
          <w:spacing w:val="9"/>
          <w:sz w:val="22"/>
          <w:szCs w:val="22"/>
        </w:rPr>
        <w:t>干制对食品营养价值的影响</w:t>
      </w:r>
    </w:p>
    <w:p w:rsidR="00EA40A3" w:rsidRDefault="00E86C16">
      <w:pPr>
        <w:spacing w:before="190" w:line="241" w:lineRule="auto"/>
        <w:ind w:right="61" w:firstLine="419"/>
        <w:jc w:val="both"/>
        <w:rPr>
          <w:rFonts w:ascii="宋体" w:eastAsia="宋体" w:hAnsi="宋体" w:cs="宋体"/>
          <w:sz w:val="22"/>
          <w:szCs w:val="22"/>
        </w:rPr>
      </w:pPr>
      <w:r>
        <w:rPr>
          <w:rFonts w:ascii="宋体" w:eastAsia="宋体" w:hAnsi="宋体" w:cs="宋体"/>
          <w:spacing w:val="-13"/>
          <w:sz w:val="22"/>
          <w:szCs w:val="22"/>
        </w:rPr>
        <w:t>干制就是在自然条件下或人工控制条件下使产品中水分蒸发的工艺过程。干</w:t>
      </w:r>
      <w:r>
        <w:rPr>
          <w:rFonts w:ascii="宋体" w:eastAsia="宋体" w:hAnsi="宋体" w:cs="宋体"/>
          <w:spacing w:val="6"/>
          <w:sz w:val="22"/>
          <w:szCs w:val="22"/>
        </w:rPr>
        <w:t xml:space="preserve"> </w:t>
      </w:r>
      <w:r>
        <w:rPr>
          <w:rFonts w:ascii="宋体" w:eastAsia="宋体" w:hAnsi="宋体" w:cs="宋体"/>
          <w:spacing w:val="-13"/>
          <w:sz w:val="22"/>
          <w:szCs w:val="22"/>
        </w:rPr>
        <w:t>制一般包括自然干制，如晒干、风干等，以及人工干制，如箱式干燥、隧道式干</w:t>
      </w:r>
      <w:r>
        <w:rPr>
          <w:rFonts w:ascii="宋体" w:eastAsia="宋体" w:hAnsi="宋体" w:cs="宋体"/>
          <w:spacing w:val="12"/>
          <w:sz w:val="22"/>
          <w:szCs w:val="22"/>
        </w:rPr>
        <w:t xml:space="preserve"> </w:t>
      </w:r>
      <w:r>
        <w:rPr>
          <w:rFonts w:ascii="宋体" w:eastAsia="宋体" w:hAnsi="宋体" w:cs="宋体"/>
          <w:spacing w:val="-14"/>
          <w:sz w:val="22"/>
          <w:szCs w:val="22"/>
        </w:rPr>
        <w:t>燥、滚筒干燥、喷雾干燥、真空干燥、辐照干燥和微波干燥等。</w:t>
      </w:r>
    </w:p>
    <w:p w:rsidR="00EA40A3" w:rsidRDefault="00E86C16">
      <w:pPr>
        <w:spacing w:before="39" w:line="219" w:lineRule="auto"/>
        <w:ind w:left="419"/>
        <w:rPr>
          <w:rFonts w:ascii="宋体" w:eastAsia="宋体" w:hAnsi="宋体" w:cs="宋体"/>
          <w:sz w:val="22"/>
          <w:szCs w:val="22"/>
        </w:rPr>
      </w:pPr>
      <w:r>
        <w:rPr>
          <w:rFonts w:ascii="宋体" w:eastAsia="宋体" w:hAnsi="宋体" w:cs="宋体"/>
          <w:spacing w:val="-14"/>
          <w:sz w:val="22"/>
          <w:szCs w:val="22"/>
        </w:rPr>
        <w:t>食品成分一般属于热敏性物质，在加热干制过程中，难免不受到损害。</w:t>
      </w:r>
    </w:p>
    <w:p w:rsidR="00EA40A3" w:rsidRDefault="00E86C16">
      <w:pPr>
        <w:spacing w:before="77" w:line="241" w:lineRule="auto"/>
        <w:ind w:right="4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241</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370" w:h="13460"/>
          <w:pgMar w:top="400" w:right="1060" w:bottom="400" w:left="990" w:header="0" w:footer="0" w:gutter="0"/>
          <w:cols w:space="720"/>
        </w:sectPr>
      </w:pPr>
    </w:p>
    <w:p w:rsidR="00EA40A3" w:rsidRDefault="00EA40A3">
      <w:pPr>
        <w:spacing w:line="246" w:lineRule="auto"/>
      </w:pPr>
    </w:p>
    <w:p w:rsidR="00EA40A3" w:rsidRDefault="00EA40A3">
      <w:pPr>
        <w:spacing w:line="246" w:lineRule="auto"/>
      </w:pPr>
    </w:p>
    <w:p w:rsidR="00EA40A3" w:rsidRDefault="00EA40A3">
      <w:pPr>
        <w:spacing w:line="247"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8"/>
          <w:sz w:val="22"/>
          <w:szCs w:val="22"/>
        </w:rPr>
        <w:t xml:space="preserve"> </w:t>
      </w:r>
      <w:r>
        <w:rPr>
          <w:rFonts w:ascii="仿宋" w:eastAsia="仿宋" w:hAnsi="仿宋" w:cs="仿宋"/>
          <w:spacing w:val="10"/>
          <w:sz w:val="22"/>
          <w:szCs w:val="22"/>
        </w:rPr>
        <w:t>干制对蛋白质的影响</w:t>
      </w:r>
    </w:p>
    <w:p w:rsidR="00EA40A3" w:rsidRDefault="00E86C16">
      <w:pPr>
        <w:spacing w:before="175" w:line="245" w:lineRule="auto"/>
        <w:ind w:right="79" w:firstLine="410"/>
        <w:jc w:val="both"/>
        <w:rPr>
          <w:rFonts w:ascii="宋体" w:eastAsia="宋体" w:hAnsi="宋体" w:cs="宋体"/>
          <w:sz w:val="22"/>
          <w:szCs w:val="22"/>
        </w:rPr>
      </w:pPr>
      <w:r>
        <w:rPr>
          <w:rFonts w:ascii="宋体" w:eastAsia="宋体" w:hAnsi="宋体" w:cs="宋体"/>
          <w:spacing w:val="-13"/>
          <w:sz w:val="22"/>
          <w:szCs w:val="22"/>
        </w:rPr>
        <w:t>在干制过程中蛋白质要发生变性。其一是热变性</w:t>
      </w:r>
      <w:r>
        <w:rPr>
          <w:rFonts w:ascii="宋体" w:eastAsia="宋体" w:hAnsi="宋体" w:cs="宋体"/>
          <w:spacing w:val="-14"/>
          <w:sz w:val="22"/>
          <w:szCs w:val="22"/>
        </w:rPr>
        <w:t>，即在热的作用下，维持蛋</w:t>
      </w:r>
      <w:r>
        <w:rPr>
          <w:rFonts w:ascii="宋体" w:eastAsia="宋体" w:hAnsi="宋体" w:cs="宋体"/>
          <w:sz w:val="22"/>
          <w:szCs w:val="22"/>
        </w:rPr>
        <w:t xml:space="preserve"> </w:t>
      </w:r>
      <w:r>
        <w:rPr>
          <w:rFonts w:ascii="宋体" w:eastAsia="宋体" w:hAnsi="宋体" w:cs="宋体"/>
          <w:spacing w:val="-14"/>
          <w:sz w:val="22"/>
          <w:szCs w:val="22"/>
        </w:rPr>
        <w:t>白质空间结构稳定的氢键、二硫键等被破坏，改变了蛋白质分子的空间结构而导</w:t>
      </w:r>
      <w:r>
        <w:rPr>
          <w:rFonts w:ascii="宋体" w:eastAsia="宋体" w:hAnsi="宋体" w:cs="宋体"/>
          <w:spacing w:val="2"/>
          <w:sz w:val="22"/>
          <w:szCs w:val="22"/>
        </w:rPr>
        <w:t xml:space="preserve"> </w:t>
      </w:r>
      <w:r>
        <w:rPr>
          <w:rFonts w:ascii="宋体" w:eastAsia="宋体" w:hAnsi="宋体" w:cs="宋体"/>
          <w:spacing w:val="-13"/>
          <w:sz w:val="22"/>
          <w:szCs w:val="22"/>
        </w:rPr>
        <w:t>致变性；其二是由于脱水作用使组织中溶液的盐浓度增大，蛋白质因盐析作用而</w:t>
      </w:r>
      <w:r>
        <w:rPr>
          <w:rFonts w:ascii="宋体" w:eastAsia="宋体" w:hAnsi="宋体" w:cs="宋体"/>
          <w:spacing w:val="4"/>
          <w:sz w:val="22"/>
          <w:szCs w:val="22"/>
        </w:rPr>
        <w:t xml:space="preserve"> </w:t>
      </w:r>
      <w:r>
        <w:rPr>
          <w:rFonts w:ascii="宋体" w:eastAsia="宋体" w:hAnsi="宋体" w:cs="宋体"/>
          <w:spacing w:val="-16"/>
          <w:sz w:val="22"/>
          <w:szCs w:val="22"/>
        </w:rPr>
        <w:t>变性。</w:t>
      </w:r>
    </w:p>
    <w:p w:rsidR="00EA40A3" w:rsidRDefault="00E86C16">
      <w:pPr>
        <w:spacing w:before="63" w:line="232" w:lineRule="auto"/>
        <w:ind w:right="120" w:firstLine="410"/>
        <w:jc w:val="both"/>
        <w:rPr>
          <w:rFonts w:ascii="宋体" w:eastAsia="宋体" w:hAnsi="宋体" w:cs="宋体"/>
          <w:sz w:val="22"/>
          <w:szCs w:val="22"/>
        </w:rPr>
      </w:pPr>
      <w:r>
        <w:rPr>
          <w:rFonts w:ascii="宋体" w:eastAsia="宋体" w:hAnsi="宋体" w:cs="宋体"/>
          <w:spacing w:val="-18"/>
          <w:sz w:val="22"/>
          <w:szCs w:val="22"/>
        </w:rPr>
        <w:t>另外，氨基酸在干制过程中的损失也有两种机制</w:t>
      </w:r>
      <w:r>
        <w:rPr>
          <w:rFonts w:ascii="宋体" w:eastAsia="宋体" w:hAnsi="宋体" w:cs="宋体"/>
          <w:spacing w:val="-19"/>
          <w:sz w:val="22"/>
          <w:szCs w:val="22"/>
        </w:rPr>
        <w:t>。</w:t>
      </w:r>
      <w:r>
        <w:rPr>
          <w:rFonts w:ascii="宋体" w:eastAsia="宋体" w:hAnsi="宋体" w:cs="宋体"/>
          <w:spacing w:val="34"/>
          <w:sz w:val="22"/>
          <w:szCs w:val="22"/>
        </w:rPr>
        <w:t xml:space="preserve"> </w:t>
      </w:r>
      <w:r>
        <w:rPr>
          <w:rFonts w:ascii="宋体" w:eastAsia="宋体" w:hAnsi="宋体" w:cs="宋体"/>
          <w:spacing w:val="-19"/>
          <w:sz w:val="22"/>
          <w:szCs w:val="22"/>
        </w:rPr>
        <w:t>一种是通过与脂肪自动氧</w:t>
      </w:r>
      <w:r>
        <w:rPr>
          <w:rFonts w:ascii="宋体" w:eastAsia="宋体" w:hAnsi="宋体" w:cs="宋体"/>
          <w:sz w:val="22"/>
          <w:szCs w:val="22"/>
        </w:rPr>
        <w:t xml:space="preserve"> </w:t>
      </w:r>
      <w:r>
        <w:rPr>
          <w:rFonts w:ascii="宋体" w:eastAsia="宋体" w:hAnsi="宋体" w:cs="宋体"/>
          <w:spacing w:val="-14"/>
          <w:sz w:val="22"/>
          <w:szCs w:val="22"/>
        </w:rPr>
        <w:t>化的产物发生反应而损失氨基酸；另一种则通过参与美拉德反应而损失氨基酸</w:t>
      </w:r>
      <w:r>
        <w:rPr>
          <w:rFonts w:ascii="宋体" w:eastAsia="宋体" w:hAnsi="宋体" w:cs="宋体"/>
          <w:spacing w:val="-15"/>
          <w:sz w:val="22"/>
          <w:szCs w:val="22"/>
        </w:rPr>
        <w:t>。</w:t>
      </w:r>
    </w:p>
    <w:p w:rsidR="00EA40A3" w:rsidRDefault="00E86C16">
      <w:pPr>
        <w:spacing w:before="205" w:line="222"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8"/>
          <w:sz w:val="22"/>
          <w:szCs w:val="22"/>
        </w:rPr>
        <w:t xml:space="preserve"> </w:t>
      </w:r>
      <w:r>
        <w:rPr>
          <w:rFonts w:ascii="仿宋" w:eastAsia="仿宋" w:hAnsi="仿宋" w:cs="仿宋"/>
          <w:spacing w:val="11"/>
          <w:sz w:val="22"/>
          <w:szCs w:val="22"/>
        </w:rPr>
        <w:t>干制对脂肪的影响</w:t>
      </w:r>
    </w:p>
    <w:p w:rsidR="00EA40A3" w:rsidRDefault="00E86C16">
      <w:pPr>
        <w:spacing w:before="209" w:line="246" w:lineRule="auto"/>
        <w:ind w:firstLine="410"/>
        <w:jc w:val="both"/>
        <w:rPr>
          <w:rFonts w:ascii="宋体" w:eastAsia="宋体" w:hAnsi="宋体" w:cs="宋体"/>
          <w:sz w:val="22"/>
          <w:szCs w:val="22"/>
        </w:rPr>
      </w:pPr>
      <w:r>
        <w:rPr>
          <w:rFonts w:ascii="宋体" w:eastAsia="宋体" w:hAnsi="宋体" w:cs="宋体"/>
          <w:spacing w:val="-13"/>
          <w:sz w:val="22"/>
          <w:szCs w:val="22"/>
        </w:rPr>
        <w:t>虽然干制品的水分浓度较低，脂酶及脂氧化酶的</w:t>
      </w:r>
      <w:r>
        <w:rPr>
          <w:rFonts w:ascii="宋体" w:eastAsia="宋体" w:hAnsi="宋体" w:cs="宋体"/>
          <w:spacing w:val="-14"/>
          <w:sz w:val="22"/>
          <w:szCs w:val="22"/>
        </w:rPr>
        <w:t>活性受到抑制，但由于缺乏</w:t>
      </w:r>
      <w:r>
        <w:rPr>
          <w:rFonts w:ascii="宋体" w:eastAsia="宋体" w:hAnsi="宋体" w:cs="宋体"/>
          <w:sz w:val="22"/>
          <w:szCs w:val="22"/>
        </w:rPr>
        <w:t xml:space="preserve">  </w:t>
      </w:r>
      <w:r>
        <w:rPr>
          <w:rFonts w:ascii="宋体" w:eastAsia="宋体" w:hAnsi="宋体" w:cs="宋体"/>
          <w:spacing w:val="-13"/>
          <w:sz w:val="22"/>
          <w:szCs w:val="22"/>
        </w:rPr>
        <w:t>水分的保护作用，含油脂的食品，尤其是含不饱和脂肪酸高的食品极易发生脂质</w:t>
      </w:r>
      <w:r>
        <w:rPr>
          <w:rFonts w:ascii="宋体" w:eastAsia="宋体" w:hAnsi="宋体" w:cs="宋体"/>
          <w:spacing w:val="17"/>
          <w:sz w:val="22"/>
          <w:szCs w:val="22"/>
        </w:rPr>
        <w:t xml:space="preserve"> </w:t>
      </w:r>
      <w:r>
        <w:rPr>
          <w:rFonts w:ascii="宋体" w:eastAsia="宋体" w:hAnsi="宋体" w:cs="宋体"/>
          <w:spacing w:val="-11"/>
          <w:sz w:val="22"/>
          <w:szCs w:val="22"/>
        </w:rPr>
        <w:t>的自动氧化，导致干制品的变质。脂质氧化不仅会影响到干制品的色泽、风味，</w:t>
      </w:r>
      <w:r>
        <w:rPr>
          <w:rFonts w:ascii="宋体" w:eastAsia="宋体" w:hAnsi="宋体" w:cs="宋体"/>
          <w:spacing w:val="13"/>
          <w:sz w:val="22"/>
          <w:szCs w:val="22"/>
        </w:rPr>
        <w:t xml:space="preserve"> </w:t>
      </w:r>
      <w:r>
        <w:rPr>
          <w:rFonts w:ascii="宋体" w:eastAsia="宋体" w:hAnsi="宋体" w:cs="宋体"/>
          <w:spacing w:val="-6"/>
          <w:sz w:val="22"/>
          <w:szCs w:val="22"/>
        </w:rPr>
        <w:t>而且还会促进蛋白质的变性，使干制品的营养价值和食用价</w:t>
      </w:r>
      <w:r>
        <w:rPr>
          <w:rFonts w:ascii="宋体" w:eastAsia="宋体" w:hAnsi="宋体" w:cs="宋体"/>
          <w:spacing w:val="-7"/>
          <w:sz w:val="22"/>
          <w:szCs w:val="22"/>
        </w:rPr>
        <w:t>值降低甚至完全丧</w:t>
      </w:r>
      <w:r>
        <w:rPr>
          <w:rFonts w:ascii="宋体" w:eastAsia="宋体" w:hAnsi="宋体" w:cs="宋体"/>
          <w:sz w:val="22"/>
          <w:szCs w:val="22"/>
        </w:rPr>
        <w:t xml:space="preserve"> </w:t>
      </w:r>
      <w:r>
        <w:rPr>
          <w:rFonts w:ascii="宋体" w:eastAsia="宋体" w:hAnsi="宋体" w:cs="宋体"/>
          <w:spacing w:val="-14"/>
          <w:sz w:val="22"/>
          <w:szCs w:val="22"/>
        </w:rPr>
        <w:t>失，这常成为影响干制品品质的重要问题。如高温脱水时，脂肪的氧化就比低温</w:t>
      </w:r>
      <w:r>
        <w:rPr>
          <w:rFonts w:ascii="宋体" w:eastAsia="宋体" w:hAnsi="宋体" w:cs="宋体"/>
          <w:spacing w:val="8"/>
          <w:sz w:val="22"/>
          <w:szCs w:val="22"/>
        </w:rPr>
        <w:t xml:space="preserve">  </w:t>
      </w:r>
      <w:r>
        <w:rPr>
          <w:rFonts w:ascii="宋体" w:eastAsia="宋体" w:hAnsi="宋体" w:cs="宋体"/>
          <w:spacing w:val="-13"/>
          <w:sz w:val="22"/>
          <w:szCs w:val="22"/>
        </w:rPr>
        <w:t>时严重得多，若事先添加抗氧化剂则能有效地控制脂肪的氧化。</w:t>
      </w:r>
    </w:p>
    <w:p w:rsidR="00EA40A3" w:rsidRDefault="00E86C16">
      <w:pPr>
        <w:spacing w:before="207" w:line="221"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10"/>
          <w:sz w:val="22"/>
          <w:szCs w:val="22"/>
        </w:rPr>
        <w:t xml:space="preserve"> </w:t>
      </w:r>
      <w:r>
        <w:rPr>
          <w:rFonts w:ascii="仿宋" w:eastAsia="仿宋" w:hAnsi="仿宋" w:cs="仿宋"/>
          <w:spacing w:val="14"/>
          <w:sz w:val="22"/>
          <w:szCs w:val="22"/>
        </w:rPr>
        <w:t>干制对碳水化合物的影响</w:t>
      </w:r>
    </w:p>
    <w:p w:rsidR="00EA40A3" w:rsidRDefault="00E86C16">
      <w:pPr>
        <w:spacing w:before="209" w:line="237" w:lineRule="auto"/>
        <w:ind w:right="79" w:firstLine="410"/>
        <w:jc w:val="both"/>
        <w:rPr>
          <w:rFonts w:ascii="宋体" w:eastAsia="宋体" w:hAnsi="宋体" w:cs="宋体"/>
          <w:sz w:val="22"/>
          <w:szCs w:val="22"/>
        </w:rPr>
      </w:pPr>
      <w:r>
        <w:rPr>
          <w:rFonts w:ascii="宋体" w:eastAsia="宋体" w:hAnsi="宋体" w:cs="宋体"/>
          <w:spacing w:val="-13"/>
          <w:sz w:val="22"/>
          <w:szCs w:val="22"/>
        </w:rPr>
        <w:t>在干制过程中，水果蔬菜中的碳水化合物变化主要是糖类的损失；而动物性</w:t>
      </w:r>
      <w:r>
        <w:rPr>
          <w:rFonts w:ascii="宋体" w:eastAsia="宋体" w:hAnsi="宋体" w:cs="宋体"/>
          <w:spacing w:val="6"/>
          <w:sz w:val="22"/>
          <w:szCs w:val="22"/>
        </w:rPr>
        <w:t xml:space="preserve"> </w:t>
      </w:r>
      <w:r>
        <w:rPr>
          <w:rFonts w:ascii="宋体" w:eastAsia="宋体" w:hAnsi="宋体" w:cs="宋体"/>
          <w:spacing w:val="-13"/>
          <w:sz w:val="22"/>
          <w:szCs w:val="22"/>
        </w:rPr>
        <w:t>食物除乳、蛋制品之外，碳水化合物的变化不是干制过程中营养变化损失的主要</w:t>
      </w:r>
      <w:r>
        <w:rPr>
          <w:rFonts w:ascii="宋体" w:eastAsia="宋体" w:hAnsi="宋体" w:cs="宋体"/>
          <w:spacing w:val="4"/>
          <w:sz w:val="22"/>
          <w:szCs w:val="22"/>
        </w:rPr>
        <w:t xml:space="preserve"> </w:t>
      </w:r>
      <w:r>
        <w:rPr>
          <w:rFonts w:ascii="宋体" w:eastAsia="宋体" w:hAnsi="宋体" w:cs="宋体"/>
          <w:spacing w:val="-15"/>
          <w:sz w:val="22"/>
          <w:szCs w:val="22"/>
        </w:rPr>
        <w:t>问题。</w:t>
      </w:r>
    </w:p>
    <w:p w:rsidR="00EA40A3" w:rsidRDefault="00E86C16">
      <w:pPr>
        <w:spacing w:before="63" w:line="242" w:lineRule="auto"/>
        <w:ind w:right="76" w:firstLine="410"/>
        <w:jc w:val="both"/>
        <w:rPr>
          <w:rFonts w:ascii="宋体" w:eastAsia="宋体" w:hAnsi="宋体" w:cs="宋体"/>
          <w:sz w:val="22"/>
          <w:szCs w:val="22"/>
        </w:rPr>
      </w:pPr>
      <w:r>
        <w:rPr>
          <w:rFonts w:ascii="宋体" w:eastAsia="宋体" w:hAnsi="宋体" w:cs="宋体"/>
          <w:spacing w:val="-13"/>
          <w:sz w:val="22"/>
          <w:szCs w:val="22"/>
        </w:rPr>
        <w:t>在人工干制果蔬中，高温快速脱水工艺处理能很快的抑制酶的活性和呼吸作</w:t>
      </w:r>
      <w:r>
        <w:rPr>
          <w:rFonts w:ascii="宋体" w:eastAsia="宋体" w:hAnsi="宋体" w:cs="宋体"/>
          <w:spacing w:val="11"/>
          <w:sz w:val="22"/>
          <w:szCs w:val="22"/>
        </w:rPr>
        <w:t xml:space="preserve"> </w:t>
      </w:r>
      <w:r>
        <w:rPr>
          <w:rFonts w:ascii="宋体" w:eastAsia="宋体" w:hAnsi="宋体" w:cs="宋体"/>
          <w:sz w:val="22"/>
          <w:szCs w:val="22"/>
        </w:rPr>
        <w:t>用，干制时间短，可减少糖分的损失，但较高的干</w:t>
      </w:r>
      <w:r>
        <w:rPr>
          <w:rFonts w:ascii="宋体" w:eastAsia="宋体" w:hAnsi="宋体" w:cs="宋体"/>
          <w:spacing w:val="-1"/>
          <w:sz w:val="22"/>
          <w:szCs w:val="22"/>
        </w:rPr>
        <w:t>燥温度会造成糖分大量的</w:t>
      </w:r>
      <w:r>
        <w:rPr>
          <w:rFonts w:ascii="宋体" w:eastAsia="宋体" w:hAnsi="宋体" w:cs="宋体"/>
          <w:sz w:val="22"/>
          <w:szCs w:val="22"/>
        </w:rPr>
        <w:t xml:space="preserve"> </w:t>
      </w:r>
      <w:r>
        <w:rPr>
          <w:rFonts w:ascii="宋体" w:eastAsia="宋体" w:hAnsi="宋体" w:cs="宋体"/>
          <w:spacing w:val="-9"/>
          <w:sz w:val="22"/>
          <w:szCs w:val="22"/>
        </w:rPr>
        <w:t>损失。</w:t>
      </w:r>
    </w:p>
    <w:p w:rsidR="00EA40A3" w:rsidRDefault="00E86C16">
      <w:pPr>
        <w:spacing w:before="76" w:line="246" w:lineRule="auto"/>
        <w:ind w:right="77" w:firstLine="410"/>
        <w:jc w:val="both"/>
        <w:rPr>
          <w:rFonts w:ascii="宋体" w:eastAsia="宋体" w:hAnsi="宋体" w:cs="宋体"/>
          <w:sz w:val="22"/>
          <w:szCs w:val="22"/>
        </w:rPr>
      </w:pPr>
      <w:r>
        <w:rPr>
          <w:rFonts w:ascii="宋体" w:eastAsia="宋体" w:hAnsi="宋体" w:cs="宋体"/>
          <w:spacing w:val="-13"/>
          <w:sz w:val="22"/>
          <w:szCs w:val="22"/>
        </w:rPr>
        <w:t>果蔬食品中含有的碳水化合物主要是淀粉类、纤维类和糖类。高温快速干燥</w:t>
      </w:r>
      <w:r>
        <w:rPr>
          <w:rFonts w:ascii="宋体" w:eastAsia="宋体" w:hAnsi="宋体" w:cs="宋体"/>
          <w:spacing w:val="5"/>
          <w:sz w:val="22"/>
          <w:szCs w:val="22"/>
        </w:rPr>
        <w:t xml:space="preserve"> </w:t>
      </w:r>
      <w:r>
        <w:rPr>
          <w:rFonts w:ascii="宋体" w:eastAsia="宋体" w:hAnsi="宋体" w:cs="宋体"/>
          <w:spacing w:val="-13"/>
          <w:sz w:val="22"/>
          <w:szCs w:val="22"/>
        </w:rPr>
        <w:t>中，淀粉和纤维素在干制过程中相对稳定，不易损失。而糖类，尤其是水果中含</w:t>
      </w:r>
      <w:r>
        <w:rPr>
          <w:rFonts w:ascii="宋体" w:eastAsia="宋体" w:hAnsi="宋体" w:cs="宋体"/>
          <w:spacing w:val="3"/>
          <w:sz w:val="22"/>
          <w:szCs w:val="22"/>
        </w:rPr>
        <w:t xml:space="preserve"> </w:t>
      </w:r>
      <w:r>
        <w:rPr>
          <w:rFonts w:ascii="宋体" w:eastAsia="宋体" w:hAnsi="宋体" w:cs="宋体"/>
          <w:spacing w:val="-13"/>
          <w:sz w:val="22"/>
          <w:szCs w:val="22"/>
        </w:rPr>
        <w:t>量丰富的果糖和葡萄糖非常不稳定，易于分解，长时间的加热脱水干制，尤其是</w:t>
      </w:r>
      <w:r>
        <w:rPr>
          <w:rFonts w:ascii="宋体" w:eastAsia="宋体" w:hAnsi="宋体" w:cs="宋体"/>
          <w:spacing w:val="4"/>
          <w:sz w:val="22"/>
          <w:szCs w:val="22"/>
        </w:rPr>
        <w:t xml:space="preserve"> </w:t>
      </w:r>
      <w:r>
        <w:rPr>
          <w:rFonts w:ascii="宋体" w:eastAsia="宋体" w:hAnsi="宋体" w:cs="宋体"/>
          <w:spacing w:val="-13"/>
          <w:sz w:val="22"/>
          <w:szCs w:val="22"/>
        </w:rPr>
        <w:t>加热温度较高时，还原糖含量较高的食品易于发生焦糖化反应，导致糖的损失严</w:t>
      </w:r>
      <w:r>
        <w:rPr>
          <w:rFonts w:ascii="宋体" w:eastAsia="宋体" w:hAnsi="宋体" w:cs="宋体"/>
          <w:spacing w:val="2"/>
          <w:sz w:val="22"/>
          <w:szCs w:val="22"/>
        </w:rPr>
        <w:t xml:space="preserve"> </w:t>
      </w:r>
      <w:r>
        <w:rPr>
          <w:rFonts w:ascii="宋体" w:eastAsia="宋体" w:hAnsi="宋体" w:cs="宋体"/>
          <w:spacing w:val="9"/>
          <w:sz w:val="22"/>
          <w:szCs w:val="22"/>
        </w:rPr>
        <w:t>重。例如，大荔圆枣在70℃干燥10h糖分损失为12.3%,34h</w:t>
      </w:r>
      <w:r>
        <w:rPr>
          <w:rFonts w:ascii="宋体" w:eastAsia="宋体" w:hAnsi="宋体" w:cs="宋体"/>
          <w:spacing w:val="-48"/>
          <w:sz w:val="22"/>
          <w:szCs w:val="22"/>
        </w:rPr>
        <w:t xml:space="preserve"> </w:t>
      </w:r>
      <w:r>
        <w:rPr>
          <w:rFonts w:ascii="宋体" w:eastAsia="宋体" w:hAnsi="宋体" w:cs="宋体"/>
          <w:spacing w:val="9"/>
          <w:sz w:val="22"/>
          <w:szCs w:val="22"/>
        </w:rPr>
        <w:t>为16.4%;而在</w:t>
      </w:r>
      <w:r>
        <w:rPr>
          <w:rFonts w:ascii="宋体" w:eastAsia="宋体" w:hAnsi="宋体" w:cs="宋体"/>
          <w:sz w:val="22"/>
          <w:szCs w:val="22"/>
        </w:rPr>
        <w:t xml:space="preserve"> </w:t>
      </w:r>
      <w:r>
        <w:rPr>
          <w:rFonts w:ascii="宋体" w:eastAsia="宋体" w:hAnsi="宋体" w:cs="宋体"/>
          <w:spacing w:val="-2"/>
          <w:sz w:val="22"/>
          <w:szCs w:val="22"/>
        </w:rPr>
        <w:t>65℃时，干燥34h</w:t>
      </w:r>
      <w:r>
        <w:rPr>
          <w:rFonts w:ascii="宋体" w:eastAsia="宋体" w:hAnsi="宋体" w:cs="宋体"/>
          <w:spacing w:val="-40"/>
          <w:sz w:val="22"/>
          <w:szCs w:val="22"/>
        </w:rPr>
        <w:t xml:space="preserve"> </w:t>
      </w:r>
      <w:r>
        <w:rPr>
          <w:rFonts w:ascii="宋体" w:eastAsia="宋体" w:hAnsi="宋体" w:cs="宋体"/>
          <w:spacing w:val="-2"/>
          <w:sz w:val="22"/>
          <w:szCs w:val="22"/>
        </w:rPr>
        <w:t>的糖分损失仅为6.5%。</w:t>
      </w:r>
    </w:p>
    <w:p w:rsidR="00EA40A3" w:rsidRDefault="00E86C16">
      <w:pPr>
        <w:spacing w:before="70" w:line="235" w:lineRule="auto"/>
        <w:ind w:right="61" w:firstLine="410"/>
        <w:jc w:val="both"/>
        <w:rPr>
          <w:rFonts w:ascii="宋体" w:eastAsia="宋体" w:hAnsi="宋体" w:cs="宋体"/>
          <w:sz w:val="22"/>
          <w:szCs w:val="22"/>
        </w:rPr>
      </w:pPr>
      <w:r>
        <w:rPr>
          <w:rFonts w:ascii="宋体" w:eastAsia="宋体" w:hAnsi="宋体" w:cs="宋体"/>
          <w:spacing w:val="-13"/>
          <w:sz w:val="22"/>
          <w:szCs w:val="22"/>
        </w:rPr>
        <w:t>自然干制的果蔬因干燥缓慢，酶活性不能很快被抑制</w:t>
      </w:r>
      <w:r>
        <w:rPr>
          <w:rFonts w:ascii="宋体" w:eastAsia="宋体" w:hAnsi="宋体" w:cs="宋体"/>
          <w:spacing w:val="-14"/>
          <w:sz w:val="22"/>
          <w:szCs w:val="22"/>
        </w:rPr>
        <w:t>，呼吸作用仍要进行一</w:t>
      </w:r>
      <w:r>
        <w:rPr>
          <w:rFonts w:ascii="宋体" w:eastAsia="宋体" w:hAnsi="宋体" w:cs="宋体"/>
          <w:sz w:val="22"/>
          <w:szCs w:val="22"/>
        </w:rPr>
        <w:t xml:space="preserve"> </w:t>
      </w:r>
      <w:r>
        <w:rPr>
          <w:rFonts w:ascii="宋体" w:eastAsia="宋体" w:hAnsi="宋体" w:cs="宋体"/>
          <w:spacing w:val="-12"/>
          <w:sz w:val="22"/>
          <w:szCs w:val="22"/>
        </w:rPr>
        <w:t>段时间，从而要消耗一部分的糖类和其他有机物质。</w:t>
      </w:r>
      <w:r>
        <w:rPr>
          <w:rFonts w:ascii="宋体" w:eastAsia="宋体" w:hAnsi="宋体" w:cs="宋体"/>
          <w:spacing w:val="-13"/>
          <w:sz w:val="22"/>
          <w:szCs w:val="22"/>
        </w:rPr>
        <w:t>干制时间越长，糖分损失越</w:t>
      </w:r>
      <w:r>
        <w:rPr>
          <w:rFonts w:ascii="宋体" w:eastAsia="宋体" w:hAnsi="宋体" w:cs="宋体"/>
          <w:sz w:val="22"/>
          <w:szCs w:val="22"/>
        </w:rPr>
        <w:t xml:space="preserve"> </w:t>
      </w:r>
      <w:r>
        <w:rPr>
          <w:rFonts w:ascii="宋体" w:eastAsia="宋体" w:hAnsi="宋体" w:cs="宋体"/>
          <w:spacing w:val="-15"/>
          <w:sz w:val="22"/>
          <w:szCs w:val="22"/>
        </w:rPr>
        <w:t>多，干制品的质量越差，质量也相应降低。</w:t>
      </w:r>
    </w:p>
    <w:p w:rsidR="00EA40A3" w:rsidRDefault="00E86C16">
      <w:pPr>
        <w:spacing w:before="80" w:line="241" w:lineRule="auto"/>
        <w:ind w:right="58" w:firstLine="410"/>
        <w:jc w:val="both"/>
        <w:rPr>
          <w:rFonts w:ascii="宋体" w:eastAsia="宋体" w:hAnsi="宋体" w:cs="宋体"/>
          <w:sz w:val="22"/>
          <w:szCs w:val="22"/>
        </w:rPr>
      </w:pPr>
      <w:r>
        <w:rPr>
          <w:rFonts w:ascii="宋体" w:eastAsia="宋体" w:hAnsi="宋体" w:cs="宋体"/>
          <w:spacing w:val="-6"/>
          <w:sz w:val="22"/>
          <w:szCs w:val="22"/>
        </w:rPr>
        <w:t>缓慢晒干(即温度较低的干燥过程)中，淀粉类、纤维类和糖类都会发生不</w:t>
      </w:r>
      <w:r>
        <w:rPr>
          <w:rFonts w:ascii="宋体" w:eastAsia="宋体" w:hAnsi="宋体" w:cs="宋体"/>
          <w:spacing w:val="18"/>
          <w:sz w:val="22"/>
          <w:szCs w:val="22"/>
        </w:rPr>
        <w:t xml:space="preserve"> </w:t>
      </w:r>
      <w:r>
        <w:rPr>
          <w:rFonts w:ascii="宋体" w:eastAsia="宋体" w:hAnsi="宋体" w:cs="宋体"/>
          <w:spacing w:val="-16"/>
          <w:sz w:val="22"/>
          <w:szCs w:val="22"/>
        </w:rPr>
        <w:t>同程度的变化。</w:t>
      </w:r>
      <w:r>
        <w:rPr>
          <w:rFonts w:ascii="宋体" w:eastAsia="宋体" w:hAnsi="宋体" w:cs="宋体"/>
          <w:sz w:val="22"/>
          <w:szCs w:val="22"/>
        </w:rPr>
        <w:t xml:space="preserve"> </w:t>
      </w:r>
      <w:r>
        <w:rPr>
          <w:rFonts w:ascii="宋体" w:eastAsia="宋体" w:hAnsi="宋体" w:cs="宋体"/>
          <w:spacing w:val="-16"/>
          <w:sz w:val="22"/>
          <w:szCs w:val="22"/>
        </w:rPr>
        <w:t>一方面，干燥初期由于水果自身的呼吸作用，会导致制品体</w:t>
      </w:r>
      <w:r>
        <w:rPr>
          <w:rFonts w:ascii="宋体" w:eastAsia="宋体" w:hAnsi="宋体" w:cs="宋体"/>
          <w:spacing w:val="-17"/>
          <w:sz w:val="22"/>
          <w:szCs w:val="22"/>
        </w:rPr>
        <w:t>内单</w:t>
      </w:r>
      <w:r>
        <w:rPr>
          <w:rFonts w:ascii="宋体" w:eastAsia="宋体" w:hAnsi="宋体" w:cs="宋体"/>
          <w:sz w:val="22"/>
          <w:szCs w:val="22"/>
        </w:rPr>
        <w:t xml:space="preserve"> </w:t>
      </w:r>
      <w:r>
        <w:rPr>
          <w:rFonts w:ascii="宋体" w:eastAsia="宋体" w:hAnsi="宋体" w:cs="宋体"/>
          <w:spacing w:val="-6"/>
          <w:sz w:val="22"/>
          <w:szCs w:val="22"/>
        </w:rPr>
        <w:t>糖的分解消耗，使糖的含量降低；另一方面，淀粉、</w:t>
      </w:r>
      <w:r>
        <w:rPr>
          <w:rFonts w:ascii="宋体" w:eastAsia="宋体" w:hAnsi="宋体" w:cs="宋体"/>
          <w:spacing w:val="-7"/>
          <w:sz w:val="22"/>
          <w:szCs w:val="22"/>
        </w:rPr>
        <w:t>纤维类在水解酶类的作用</w:t>
      </w:r>
    </w:p>
    <w:p w:rsidR="00EA40A3" w:rsidRDefault="00E86C16">
      <w:pPr>
        <w:spacing w:before="62" w:line="241" w:lineRule="auto"/>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242</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1089" w:bottom="400" w:left="800" w:header="0" w:footer="0" w:gutter="0"/>
          <w:cols w:space="720"/>
        </w:sectPr>
      </w:pPr>
    </w:p>
    <w:p w:rsidR="00EA40A3" w:rsidRDefault="00EA40A3">
      <w:pPr>
        <w:spacing w:line="266" w:lineRule="auto"/>
      </w:pPr>
    </w:p>
    <w:p w:rsidR="00EA40A3" w:rsidRDefault="00EA40A3">
      <w:pPr>
        <w:spacing w:line="266" w:lineRule="auto"/>
      </w:pPr>
    </w:p>
    <w:p w:rsidR="00EA40A3" w:rsidRDefault="00E86C16">
      <w:pPr>
        <w:spacing w:before="71" w:line="252" w:lineRule="auto"/>
        <w:jc w:val="both"/>
        <w:rPr>
          <w:rFonts w:ascii="宋体" w:eastAsia="宋体" w:hAnsi="宋体" w:cs="宋体"/>
          <w:sz w:val="22"/>
          <w:szCs w:val="22"/>
        </w:rPr>
      </w:pPr>
      <w:bookmarkStart w:id="60" w:name="_bookmark64"/>
      <w:bookmarkStart w:id="61" w:name="_bookmark65"/>
      <w:bookmarkEnd w:id="60"/>
      <w:bookmarkEnd w:id="61"/>
      <w:r>
        <w:rPr>
          <w:rFonts w:ascii="宋体" w:eastAsia="宋体" w:hAnsi="宋体" w:cs="宋体"/>
          <w:spacing w:val="-13"/>
          <w:sz w:val="22"/>
          <w:szCs w:val="22"/>
        </w:rPr>
        <w:t>下，产生糖类，最终结果是淀粉、纤维类等大分子多糖类含量降低，引起干制品</w:t>
      </w:r>
      <w:r>
        <w:rPr>
          <w:rFonts w:ascii="宋体" w:eastAsia="宋体" w:hAnsi="宋体" w:cs="宋体"/>
          <w:spacing w:val="5"/>
          <w:sz w:val="22"/>
          <w:szCs w:val="22"/>
        </w:rPr>
        <w:t xml:space="preserve"> </w:t>
      </w:r>
      <w:r>
        <w:rPr>
          <w:rFonts w:ascii="宋体" w:eastAsia="宋体" w:hAnsi="宋体" w:cs="宋体"/>
          <w:spacing w:val="-13"/>
          <w:sz w:val="22"/>
          <w:szCs w:val="22"/>
        </w:rPr>
        <w:t>中含糖量的升高。尤其是成熟度低的水果中，纤维素、淀粉、生果</w:t>
      </w:r>
      <w:r>
        <w:rPr>
          <w:rFonts w:ascii="宋体" w:eastAsia="宋体" w:hAnsi="宋体" w:cs="宋体"/>
          <w:spacing w:val="-14"/>
          <w:sz w:val="22"/>
          <w:szCs w:val="22"/>
        </w:rPr>
        <w:t>胶含量高，水</w:t>
      </w:r>
      <w:r>
        <w:rPr>
          <w:rFonts w:ascii="宋体" w:eastAsia="宋体" w:hAnsi="宋体" w:cs="宋体"/>
          <w:sz w:val="22"/>
          <w:szCs w:val="22"/>
        </w:rPr>
        <w:t xml:space="preserve">  </w:t>
      </w:r>
      <w:r>
        <w:rPr>
          <w:rFonts w:ascii="宋体" w:eastAsia="宋体" w:hAnsi="宋体" w:cs="宋体"/>
          <w:spacing w:val="-10"/>
          <w:sz w:val="22"/>
          <w:szCs w:val="22"/>
        </w:rPr>
        <w:t>果口感差，甜度低，随着缓慢干燥的进行，水果体内的温</w:t>
      </w:r>
      <w:r>
        <w:rPr>
          <w:rFonts w:ascii="宋体" w:eastAsia="宋体" w:hAnsi="宋体" w:cs="宋体"/>
          <w:spacing w:val="-11"/>
          <w:sz w:val="22"/>
          <w:szCs w:val="22"/>
        </w:rPr>
        <w:t>度逐渐升高，淀粉酶、</w:t>
      </w:r>
      <w:r>
        <w:rPr>
          <w:rFonts w:ascii="宋体" w:eastAsia="宋体" w:hAnsi="宋体" w:cs="宋体"/>
          <w:sz w:val="22"/>
          <w:szCs w:val="22"/>
        </w:rPr>
        <w:t xml:space="preserve"> </w:t>
      </w:r>
      <w:r>
        <w:rPr>
          <w:rFonts w:ascii="宋体" w:eastAsia="宋体" w:hAnsi="宋体" w:cs="宋体"/>
          <w:spacing w:val="-13"/>
          <w:sz w:val="22"/>
          <w:szCs w:val="22"/>
        </w:rPr>
        <w:t>纤维素酶、果胶酶活性增加，催化水果熟化，水果中的大分子碳水化合物转化为</w:t>
      </w:r>
      <w:r>
        <w:rPr>
          <w:rFonts w:ascii="宋体" w:eastAsia="宋体" w:hAnsi="宋体" w:cs="宋体"/>
          <w:spacing w:val="14"/>
          <w:sz w:val="22"/>
          <w:szCs w:val="22"/>
        </w:rPr>
        <w:t xml:space="preserve"> </w:t>
      </w:r>
      <w:r>
        <w:rPr>
          <w:rFonts w:ascii="宋体" w:eastAsia="宋体" w:hAnsi="宋体" w:cs="宋体"/>
          <w:spacing w:val="-17"/>
          <w:sz w:val="22"/>
          <w:szCs w:val="22"/>
        </w:rPr>
        <w:t>糖，最终导致干制品的绝对含糖量高于鲜果。</w:t>
      </w:r>
    </w:p>
    <w:p w:rsidR="00EA40A3" w:rsidRDefault="00E86C16">
      <w:pPr>
        <w:spacing w:before="197" w:line="222" w:lineRule="auto"/>
        <w:rPr>
          <w:rFonts w:ascii="仿宋" w:eastAsia="仿宋" w:hAnsi="仿宋" w:cs="仿宋"/>
          <w:sz w:val="22"/>
          <w:szCs w:val="22"/>
        </w:rPr>
      </w:pPr>
      <w:r>
        <w:rPr>
          <w:rFonts w:ascii="仿宋" w:eastAsia="仿宋" w:hAnsi="仿宋" w:cs="仿宋"/>
          <w:spacing w:val="12"/>
          <w:sz w:val="22"/>
          <w:szCs w:val="22"/>
        </w:rPr>
        <w:t>4.</w:t>
      </w:r>
      <w:r>
        <w:rPr>
          <w:rFonts w:ascii="仿宋" w:eastAsia="仿宋" w:hAnsi="仿宋" w:cs="仿宋"/>
          <w:spacing w:val="-20"/>
          <w:sz w:val="22"/>
          <w:szCs w:val="22"/>
        </w:rPr>
        <w:t xml:space="preserve"> </w:t>
      </w:r>
      <w:r>
        <w:rPr>
          <w:rFonts w:ascii="仿宋" w:eastAsia="仿宋" w:hAnsi="仿宋" w:cs="仿宋"/>
          <w:spacing w:val="12"/>
          <w:sz w:val="22"/>
          <w:szCs w:val="22"/>
        </w:rPr>
        <w:t>干制对维生素的影响</w:t>
      </w:r>
    </w:p>
    <w:p w:rsidR="00EA40A3" w:rsidRDefault="00E86C16">
      <w:pPr>
        <w:spacing w:before="196" w:line="241" w:lineRule="auto"/>
        <w:ind w:right="93" w:firstLine="419"/>
        <w:rPr>
          <w:rFonts w:ascii="宋体" w:eastAsia="宋体" w:hAnsi="宋体" w:cs="宋体"/>
          <w:sz w:val="22"/>
          <w:szCs w:val="22"/>
        </w:rPr>
      </w:pPr>
      <w:r>
        <w:rPr>
          <w:rFonts w:ascii="宋体" w:eastAsia="宋体" w:hAnsi="宋体" w:cs="宋体"/>
          <w:spacing w:val="-13"/>
          <w:sz w:val="22"/>
          <w:szCs w:val="22"/>
        </w:rPr>
        <w:t>食品中大部分维生素的性质不太稳定，许多理化因素都可以引起维</w:t>
      </w:r>
      <w:r>
        <w:rPr>
          <w:rFonts w:ascii="宋体" w:eastAsia="宋体" w:hAnsi="宋体" w:cs="宋体"/>
          <w:spacing w:val="-14"/>
          <w:sz w:val="22"/>
          <w:szCs w:val="22"/>
        </w:rPr>
        <w:t>生素的损</w:t>
      </w:r>
      <w:r>
        <w:rPr>
          <w:rFonts w:ascii="宋体" w:eastAsia="宋体" w:hAnsi="宋体" w:cs="宋体"/>
          <w:sz w:val="22"/>
          <w:szCs w:val="22"/>
        </w:rPr>
        <w:t xml:space="preserve"> </w:t>
      </w:r>
      <w:r>
        <w:rPr>
          <w:rFonts w:ascii="宋体" w:eastAsia="宋体" w:hAnsi="宋体" w:cs="宋体"/>
          <w:spacing w:val="-13"/>
          <w:sz w:val="22"/>
          <w:szCs w:val="22"/>
        </w:rPr>
        <w:t>失。温度的变化，特别是较高的温度、氧气的存在、光线的照射，</w:t>
      </w:r>
      <w:r>
        <w:rPr>
          <w:rFonts w:ascii="宋体" w:eastAsia="宋体" w:hAnsi="宋体" w:cs="宋体"/>
          <w:spacing w:val="-14"/>
          <w:sz w:val="22"/>
          <w:szCs w:val="22"/>
        </w:rPr>
        <w:t>都可使维生素</w:t>
      </w:r>
      <w:r>
        <w:rPr>
          <w:rFonts w:ascii="宋体" w:eastAsia="宋体" w:hAnsi="宋体" w:cs="宋体"/>
          <w:sz w:val="22"/>
          <w:szCs w:val="22"/>
        </w:rPr>
        <w:t xml:space="preserve"> </w:t>
      </w:r>
      <w:r>
        <w:rPr>
          <w:rFonts w:ascii="宋体" w:eastAsia="宋体" w:hAnsi="宋体" w:cs="宋体"/>
          <w:spacing w:val="-15"/>
          <w:sz w:val="22"/>
          <w:szCs w:val="22"/>
        </w:rPr>
        <w:t>分子裂解、环键氧化、环状结构打开，从而丧失活性，造成损失。</w:t>
      </w:r>
    </w:p>
    <w:p w:rsidR="00EA40A3" w:rsidRDefault="00E86C16">
      <w:pPr>
        <w:spacing w:before="61" w:line="243" w:lineRule="auto"/>
        <w:ind w:right="40" w:firstLine="419"/>
        <w:rPr>
          <w:rFonts w:ascii="宋体" w:eastAsia="宋体" w:hAnsi="宋体" w:cs="宋体"/>
          <w:sz w:val="22"/>
          <w:szCs w:val="22"/>
        </w:rPr>
      </w:pPr>
      <w:r>
        <w:rPr>
          <w:rFonts w:ascii="宋体" w:eastAsia="宋体" w:hAnsi="宋体" w:cs="宋体"/>
          <w:spacing w:val="-8"/>
          <w:sz w:val="22"/>
          <w:szCs w:val="22"/>
        </w:rPr>
        <w:t>对水溶性维生素：维生素</w:t>
      </w:r>
      <w:r>
        <w:rPr>
          <w:rFonts w:ascii="宋体" w:eastAsia="宋体" w:hAnsi="宋体" w:cs="宋体"/>
          <w:spacing w:val="-60"/>
          <w:sz w:val="22"/>
          <w:szCs w:val="22"/>
        </w:rPr>
        <w:t xml:space="preserve"> </w:t>
      </w:r>
      <w:r>
        <w:rPr>
          <w:rFonts w:ascii="宋体" w:eastAsia="宋体" w:hAnsi="宋体" w:cs="宋体"/>
          <w:spacing w:val="-8"/>
          <w:sz w:val="22"/>
          <w:szCs w:val="22"/>
        </w:rPr>
        <w:t>C</w:t>
      </w:r>
      <w:r>
        <w:rPr>
          <w:rFonts w:ascii="宋体" w:eastAsia="宋体" w:hAnsi="宋体" w:cs="宋体"/>
          <w:spacing w:val="-4"/>
          <w:sz w:val="22"/>
          <w:szCs w:val="22"/>
        </w:rPr>
        <w:t xml:space="preserve"> </w:t>
      </w:r>
      <w:r>
        <w:rPr>
          <w:rFonts w:ascii="宋体" w:eastAsia="宋体" w:hAnsi="宋体" w:cs="宋体"/>
          <w:spacing w:val="-8"/>
          <w:sz w:val="22"/>
          <w:szCs w:val="22"/>
        </w:rPr>
        <w:t>和</w:t>
      </w:r>
      <w:r>
        <w:rPr>
          <w:rFonts w:ascii="宋体" w:eastAsia="宋体" w:hAnsi="宋体" w:cs="宋体"/>
          <w:spacing w:val="-61"/>
          <w:sz w:val="22"/>
          <w:szCs w:val="22"/>
        </w:rPr>
        <w:t xml:space="preserve"> </w:t>
      </w:r>
      <w:r>
        <w:rPr>
          <w:rFonts w:ascii="宋体" w:eastAsia="宋体" w:hAnsi="宋体" w:cs="宋体"/>
          <w:spacing w:val="-8"/>
          <w:sz w:val="22"/>
          <w:szCs w:val="22"/>
        </w:rPr>
        <w:t>B</w:t>
      </w:r>
      <w:r>
        <w:rPr>
          <w:rFonts w:ascii="宋体" w:eastAsia="宋体" w:hAnsi="宋体" w:cs="宋体"/>
          <w:spacing w:val="-36"/>
          <w:sz w:val="22"/>
          <w:szCs w:val="22"/>
        </w:rPr>
        <w:t xml:space="preserve"> </w:t>
      </w:r>
      <w:r>
        <w:rPr>
          <w:rFonts w:ascii="宋体" w:eastAsia="宋体" w:hAnsi="宋体" w:cs="宋体"/>
          <w:spacing w:val="-8"/>
          <w:sz w:val="22"/>
          <w:szCs w:val="22"/>
        </w:rPr>
        <w:t>族维生素而言，干制处理中最</w:t>
      </w:r>
      <w:r>
        <w:rPr>
          <w:rFonts w:ascii="宋体" w:eastAsia="宋体" w:hAnsi="宋体" w:cs="宋体"/>
          <w:spacing w:val="-9"/>
          <w:sz w:val="22"/>
          <w:szCs w:val="22"/>
        </w:rPr>
        <w:t>不稳定的维</w:t>
      </w:r>
      <w:r>
        <w:rPr>
          <w:rFonts w:ascii="宋体" w:eastAsia="宋体" w:hAnsi="宋体" w:cs="宋体"/>
          <w:sz w:val="22"/>
          <w:szCs w:val="22"/>
        </w:rPr>
        <w:t xml:space="preserve"> </w:t>
      </w:r>
      <w:r>
        <w:rPr>
          <w:rFonts w:ascii="宋体" w:eastAsia="宋体" w:hAnsi="宋体" w:cs="宋体"/>
          <w:spacing w:val="-11"/>
          <w:sz w:val="22"/>
          <w:szCs w:val="22"/>
        </w:rPr>
        <w:t>生素是维生素C,</w:t>
      </w:r>
      <w:r>
        <w:rPr>
          <w:rFonts w:ascii="宋体" w:eastAsia="宋体" w:hAnsi="宋体" w:cs="宋体"/>
          <w:spacing w:val="64"/>
          <w:sz w:val="22"/>
          <w:szCs w:val="22"/>
        </w:rPr>
        <w:t xml:space="preserve"> </w:t>
      </w:r>
      <w:r>
        <w:rPr>
          <w:rFonts w:ascii="宋体" w:eastAsia="宋体" w:hAnsi="宋体" w:cs="宋体"/>
          <w:spacing w:val="-11"/>
          <w:sz w:val="22"/>
          <w:szCs w:val="22"/>
        </w:rPr>
        <w:t>由于维生素C</w:t>
      </w:r>
      <w:r>
        <w:rPr>
          <w:rFonts w:ascii="宋体" w:eastAsia="宋体" w:hAnsi="宋体" w:cs="宋体"/>
          <w:spacing w:val="-23"/>
          <w:sz w:val="22"/>
          <w:szCs w:val="22"/>
        </w:rPr>
        <w:t xml:space="preserve"> </w:t>
      </w:r>
      <w:r>
        <w:rPr>
          <w:rFonts w:ascii="宋体" w:eastAsia="宋体" w:hAnsi="宋体" w:cs="宋体"/>
          <w:spacing w:val="-11"/>
          <w:sz w:val="22"/>
          <w:szCs w:val="22"/>
        </w:rPr>
        <w:t>对加工温度和氧非常敏感，因而易氧化而遭受损</w:t>
      </w:r>
      <w:r>
        <w:rPr>
          <w:rFonts w:ascii="宋体" w:eastAsia="宋体" w:hAnsi="宋体" w:cs="宋体"/>
          <w:sz w:val="22"/>
          <w:szCs w:val="22"/>
        </w:rPr>
        <w:t xml:space="preserve"> </w:t>
      </w:r>
      <w:r>
        <w:rPr>
          <w:rFonts w:ascii="宋体" w:eastAsia="宋体" w:hAnsi="宋体" w:cs="宋体"/>
          <w:spacing w:val="-11"/>
          <w:sz w:val="22"/>
          <w:szCs w:val="22"/>
        </w:rPr>
        <w:t>耗。通常在迅速干燥时维生素C</w:t>
      </w:r>
      <w:r>
        <w:rPr>
          <w:rFonts w:ascii="宋体" w:eastAsia="宋体" w:hAnsi="宋体" w:cs="宋体"/>
          <w:spacing w:val="-4"/>
          <w:sz w:val="22"/>
          <w:szCs w:val="22"/>
        </w:rPr>
        <w:t xml:space="preserve"> </w:t>
      </w:r>
      <w:r>
        <w:rPr>
          <w:rFonts w:ascii="宋体" w:eastAsia="宋体" w:hAnsi="宋体" w:cs="宋体"/>
          <w:spacing w:val="-11"/>
          <w:sz w:val="22"/>
          <w:szCs w:val="22"/>
        </w:rPr>
        <w:t>的保存量远大于缓慢</w:t>
      </w:r>
      <w:r>
        <w:rPr>
          <w:rFonts w:ascii="宋体" w:eastAsia="宋体" w:hAnsi="宋体" w:cs="宋体"/>
          <w:spacing w:val="-12"/>
          <w:sz w:val="22"/>
          <w:szCs w:val="22"/>
        </w:rPr>
        <w:t>干燥，在缓慢日晒干燥中，</w:t>
      </w:r>
      <w:r>
        <w:rPr>
          <w:rFonts w:ascii="宋体" w:eastAsia="宋体" w:hAnsi="宋体" w:cs="宋体"/>
          <w:sz w:val="22"/>
          <w:szCs w:val="22"/>
        </w:rPr>
        <w:t xml:space="preserve"> </w:t>
      </w:r>
      <w:r>
        <w:rPr>
          <w:rFonts w:ascii="宋体" w:eastAsia="宋体" w:hAnsi="宋体" w:cs="宋体"/>
          <w:spacing w:val="-12"/>
          <w:sz w:val="22"/>
          <w:szCs w:val="22"/>
        </w:rPr>
        <w:t>维生素C</w:t>
      </w:r>
      <w:r>
        <w:rPr>
          <w:rFonts w:ascii="宋体" w:eastAsia="宋体" w:hAnsi="宋体" w:cs="宋体"/>
          <w:spacing w:val="-22"/>
          <w:sz w:val="22"/>
          <w:szCs w:val="22"/>
        </w:rPr>
        <w:t xml:space="preserve"> </w:t>
      </w:r>
      <w:r>
        <w:rPr>
          <w:rFonts w:ascii="宋体" w:eastAsia="宋体" w:hAnsi="宋体" w:cs="宋体"/>
          <w:spacing w:val="-12"/>
          <w:sz w:val="22"/>
          <w:szCs w:val="22"/>
        </w:rPr>
        <w:t>几乎损失殆尽。</w:t>
      </w:r>
    </w:p>
    <w:p w:rsidR="00EA40A3" w:rsidRDefault="00E86C16">
      <w:pPr>
        <w:spacing w:before="63" w:line="246" w:lineRule="auto"/>
        <w:ind w:right="20" w:firstLine="419"/>
        <w:rPr>
          <w:rFonts w:ascii="宋体" w:eastAsia="宋体" w:hAnsi="宋体" w:cs="宋体"/>
          <w:sz w:val="22"/>
          <w:szCs w:val="22"/>
        </w:rPr>
      </w:pPr>
      <w:r>
        <w:rPr>
          <w:rFonts w:ascii="宋体" w:eastAsia="宋体" w:hAnsi="宋体" w:cs="宋体"/>
          <w:spacing w:val="-5"/>
          <w:sz w:val="22"/>
          <w:szCs w:val="22"/>
        </w:rPr>
        <w:t>B</w:t>
      </w:r>
      <w:r>
        <w:rPr>
          <w:rFonts w:ascii="宋体" w:eastAsia="宋体" w:hAnsi="宋体" w:cs="宋体"/>
          <w:spacing w:val="-47"/>
          <w:sz w:val="22"/>
          <w:szCs w:val="22"/>
        </w:rPr>
        <w:t xml:space="preserve"> </w:t>
      </w:r>
      <w:r>
        <w:rPr>
          <w:rFonts w:ascii="宋体" w:eastAsia="宋体" w:hAnsi="宋体" w:cs="宋体"/>
          <w:spacing w:val="-5"/>
          <w:sz w:val="22"/>
          <w:szCs w:val="22"/>
        </w:rPr>
        <w:t>族维生素中维生素B</w:t>
      </w:r>
      <w:r>
        <w:rPr>
          <w:rFonts w:ascii="Calibri" w:eastAsia="Calibri" w:hAnsi="Calibri" w:cs="Calibri"/>
          <w:spacing w:val="-5"/>
          <w:sz w:val="22"/>
          <w:szCs w:val="22"/>
        </w:rPr>
        <w:t>₁</w:t>
      </w:r>
      <w:r>
        <w:rPr>
          <w:rFonts w:ascii="Calibri" w:eastAsia="Calibri" w:hAnsi="Calibri" w:cs="Calibri"/>
          <w:spacing w:val="15"/>
          <w:sz w:val="22"/>
          <w:szCs w:val="22"/>
        </w:rPr>
        <w:t xml:space="preserve">  </w:t>
      </w:r>
      <w:r>
        <w:rPr>
          <w:rFonts w:ascii="宋体" w:eastAsia="宋体" w:hAnsi="宋体" w:cs="宋体"/>
          <w:spacing w:val="-5"/>
          <w:sz w:val="22"/>
          <w:szCs w:val="22"/>
        </w:rPr>
        <w:t>的稳定性最差，通常对温度最敏感，预煮处</w:t>
      </w:r>
      <w:r>
        <w:rPr>
          <w:rFonts w:ascii="宋体" w:eastAsia="宋体" w:hAnsi="宋体" w:cs="宋体"/>
          <w:spacing w:val="-6"/>
          <w:sz w:val="22"/>
          <w:szCs w:val="22"/>
        </w:rPr>
        <w:t>理时，</w:t>
      </w:r>
      <w:r>
        <w:rPr>
          <w:rFonts w:ascii="宋体" w:eastAsia="宋体" w:hAnsi="宋体" w:cs="宋体"/>
          <w:sz w:val="22"/>
          <w:szCs w:val="22"/>
        </w:rPr>
        <w:t xml:space="preserve"> </w:t>
      </w:r>
      <w:r>
        <w:rPr>
          <w:rFonts w:ascii="宋体" w:eastAsia="宋体" w:hAnsi="宋体" w:cs="宋体"/>
          <w:spacing w:val="-2"/>
          <w:sz w:val="22"/>
          <w:szCs w:val="22"/>
        </w:rPr>
        <w:t>蔬菜中的维生素B</w:t>
      </w:r>
      <w:r>
        <w:rPr>
          <w:rFonts w:ascii="Calibri" w:eastAsia="Calibri" w:hAnsi="Calibri" w:cs="Calibri"/>
          <w:spacing w:val="-2"/>
          <w:sz w:val="22"/>
          <w:szCs w:val="22"/>
        </w:rPr>
        <w:t>₁</w:t>
      </w:r>
      <w:r>
        <w:rPr>
          <w:rFonts w:ascii="Calibri" w:eastAsia="Calibri" w:hAnsi="Calibri" w:cs="Calibri"/>
          <w:spacing w:val="42"/>
          <w:w w:val="101"/>
          <w:sz w:val="22"/>
          <w:szCs w:val="22"/>
        </w:rPr>
        <w:t xml:space="preserve"> </w:t>
      </w:r>
      <w:r>
        <w:rPr>
          <w:rFonts w:ascii="宋体" w:eastAsia="宋体" w:hAnsi="宋体" w:cs="宋体"/>
          <w:spacing w:val="-2"/>
          <w:sz w:val="22"/>
          <w:szCs w:val="22"/>
        </w:rPr>
        <w:t>损耗量达15%,高于维生素C</w:t>
      </w:r>
      <w:r>
        <w:rPr>
          <w:rFonts w:ascii="宋体" w:eastAsia="宋体" w:hAnsi="宋体" w:cs="宋体"/>
          <w:spacing w:val="-13"/>
          <w:sz w:val="22"/>
          <w:szCs w:val="22"/>
        </w:rPr>
        <w:t xml:space="preserve"> </w:t>
      </w:r>
      <w:r>
        <w:rPr>
          <w:rFonts w:ascii="宋体" w:eastAsia="宋体" w:hAnsi="宋体" w:cs="宋体"/>
          <w:spacing w:val="-2"/>
          <w:sz w:val="22"/>
          <w:szCs w:val="22"/>
        </w:rPr>
        <w:t>和维生素B</w:t>
      </w:r>
      <w:r>
        <w:rPr>
          <w:rFonts w:ascii="Calibri" w:eastAsia="Calibri" w:hAnsi="Calibri" w:cs="Calibri"/>
          <w:spacing w:val="-2"/>
          <w:sz w:val="22"/>
          <w:szCs w:val="22"/>
        </w:rPr>
        <w:t>₂</w:t>
      </w:r>
      <w:r>
        <w:rPr>
          <w:rFonts w:ascii="Calibri" w:eastAsia="Calibri" w:hAnsi="Calibri" w:cs="Calibri"/>
          <w:spacing w:val="-6"/>
          <w:sz w:val="22"/>
          <w:szCs w:val="22"/>
        </w:rPr>
        <w:t xml:space="preserve"> </w:t>
      </w:r>
      <w:r>
        <w:rPr>
          <w:rFonts w:ascii="宋体" w:eastAsia="宋体" w:hAnsi="宋体" w:cs="宋体"/>
          <w:spacing w:val="-2"/>
          <w:sz w:val="22"/>
          <w:szCs w:val="22"/>
        </w:rPr>
        <w:t>;</w:t>
      </w:r>
      <w:r>
        <w:rPr>
          <w:rFonts w:ascii="宋体" w:eastAsia="宋体" w:hAnsi="宋体" w:cs="宋体"/>
          <w:spacing w:val="20"/>
          <w:sz w:val="22"/>
          <w:szCs w:val="22"/>
        </w:rPr>
        <w:t xml:space="preserve"> </w:t>
      </w:r>
      <w:r>
        <w:rPr>
          <w:rFonts w:ascii="宋体" w:eastAsia="宋体" w:hAnsi="宋体" w:cs="宋体"/>
          <w:spacing w:val="-2"/>
          <w:sz w:val="22"/>
          <w:szCs w:val="22"/>
        </w:rPr>
        <w:t>它在中性和碱性</w:t>
      </w:r>
      <w:r>
        <w:rPr>
          <w:rFonts w:ascii="宋体" w:eastAsia="宋体" w:hAnsi="宋体" w:cs="宋体"/>
          <w:sz w:val="22"/>
          <w:szCs w:val="22"/>
        </w:rPr>
        <w:t xml:space="preserve"> </w:t>
      </w:r>
      <w:r>
        <w:rPr>
          <w:rFonts w:ascii="宋体" w:eastAsia="宋体" w:hAnsi="宋体" w:cs="宋体"/>
          <w:spacing w:val="-10"/>
          <w:sz w:val="22"/>
          <w:szCs w:val="22"/>
        </w:rPr>
        <w:t>环境下稳定性不好；蔬菜烫漂后进行空气干燥时，维生素</w:t>
      </w:r>
      <w:r>
        <w:rPr>
          <w:rFonts w:ascii="宋体" w:eastAsia="宋体" w:hAnsi="宋体" w:cs="宋体"/>
          <w:spacing w:val="-45"/>
          <w:sz w:val="22"/>
          <w:szCs w:val="22"/>
        </w:rPr>
        <w:t xml:space="preserve"> </w:t>
      </w:r>
      <w:r>
        <w:rPr>
          <w:rFonts w:ascii="宋体" w:eastAsia="宋体" w:hAnsi="宋体" w:cs="宋体"/>
          <w:spacing w:val="-10"/>
          <w:sz w:val="22"/>
          <w:szCs w:val="22"/>
        </w:rPr>
        <w:t>B</w:t>
      </w:r>
      <w:r>
        <w:rPr>
          <w:rFonts w:ascii="Calibri" w:eastAsia="Calibri" w:hAnsi="Calibri" w:cs="Calibri"/>
          <w:spacing w:val="-10"/>
          <w:sz w:val="22"/>
          <w:szCs w:val="22"/>
        </w:rPr>
        <w:t>₁</w:t>
      </w:r>
      <w:r>
        <w:rPr>
          <w:rFonts w:ascii="Calibri" w:eastAsia="Calibri" w:hAnsi="Calibri" w:cs="Calibri"/>
          <w:spacing w:val="50"/>
          <w:sz w:val="22"/>
          <w:szCs w:val="22"/>
        </w:rPr>
        <w:t xml:space="preserve"> </w:t>
      </w:r>
      <w:r>
        <w:rPr>
          <w:rFonts w:ascii="宋体" w:eastAsia="宋体" w:hAnsi="宋体" w:cs="宋体"/>
          <w:spacing w:val="-10"/>
          <w:sz w:val="22"/>
          <w:szCs w:val="22"/>
        </w:rPr>
        <w:t>平均损失范围从豆</w:t>
      </w:r>
      <w:r>
        <w:rPr>
          <w:rFonts w:ascii="宋体" w:eastAsia="宋体" w:hAnsi="宋体" w:cs="宋体"/>
          <w:sz w:val="22"/>
          <w:szCs w:val="22"/>
        </w:rPr>
        <w:t xml:space="preserve"> </w:t>
      </w:r>
      <w:r>
        <w:rPr>
          <w:rFonts w:ascii="宋体" w:eastAsia="宋体" w:hAnsi="宋体" w:cs="宋体"/>
          <w:spacing w:val="7"/>
          <w:sz w:val="22"/>
          <w:szCs w:val="22"/>
        </w:rPr>
        <w:t>类的5%到马铃薯的25%和胡萝卜的29%;牛奶在喷雾干燥时维生素B</w:t>
      </w:r>
      <w:r>
        <w:rPr>
          <w:rFonts w:ascii="Calibri" w:eastAsia="Calibri" w:hAnsi="Calibri" w:cs="Calibri"/>
          <w:spacing w:val="7"/>
          <w:sz w:val="22"/>
          <w:szCs w:val="22"/>
        </w:rPr>
        <w:t>₁</w:t>
      </w:r>
      <w:r>
        <w:rPr>
          <w:rFonts w:ascii="Calibri" w:eastAsia="Calibri" w:hAnsi="Calibri" w:cs="Calibri"/>
          <w:spacing w:val="13"/>
          <w:w w:val="101"/>
          <w:sz w:val="22"/>
          <w:szCs w:val="22"/>
        </w:rPr>
        <w:t xml:space="preserve">  </w:t>
      </w:r>
      <w:r>
        <w:rPr>
          <w:rFonts w:ascii="宋体" w:eastAsia="宋体" w:hAnsi="宋体" w:cs="宋体"/>
          <w:spacing w:val="7"/>
          <w:sz w:val="22"/>
          <w:szCs w:val="22"/>
        </w:rPr>
        <w:t>的损失</w:t>
      </w:r>
      <w:r>
        <w:rPr>
          <w:rFonts w:ascii="宋体" w:eastAsia="宋体" w:hAnsi="宋体" w:cs="宋体"/>
          <w:sz w:val="22"/>
          <w:szCs w:val="22"/>
        </w:rPr>
        <w:t xml:space="preserve"> </w:t>
      </w:r>
      <w:r>
        <w:rPr>
          <w:rFonts w:ascii="宋体" w:eastAsia="宋体" w:hAnsi="宋体" w:cs="宋体"/>
          <w:spacing w:val="-13"/>
          <w:sz w:val="22"/>
          <w:szCs w:val="22"/>
        </w:rPr>
        <w:t>与成品水分含量有关，水分高则损失大；冷冻干燥的鸡肉、猪肉和</w:t>
      </w:r>
      <w:r>
        <w:rPr>
          <w:rFonts w:ascii="宋体" w:eastAsia="宋体" w:hAnsi="宋体" w:cs="宋体"/>
          <w:spacing w:val="-14"/>
          <w:sz w:val="22"/>
          <w:szCs w:val="22"/>
        </w:rPr>
        <w:t>牛肉的维生素</w:t>
      </w:r>
      <w:r>
        <w:rPr>
          <w:rFonts w:ascii="宋体" w:eastAsia="宋体" w:hAnsi="宋体" w:cs="宋体"/>
          <w:sz w:val="22"/>
          <w:szCs w:val="22"/>
        </w:rPr>
        <w:t xml:space="preserve"> </w:t>
      </w:r>
      <w:r>
        <w:rPr>
          <w:rFonts w:ascii="宋体" w:eastAsia="宋体" w:hAnsi="宋体" w:cs="宋体"/>
          <w:spacing w:val="4"/>
          <w:sz w:val="22"/>
          <w:szCs w:val="22"/>
        </w:rPr>
        <w:t>B</w:t>
      </w:r>
      <w:r>
        <w:rPr>
          <w:rFonts w:ascii="宋体" w:eastAsia="宋体" w:hAnsi="宋体" w:cs="宋体"/>
          <w:spacing w:val="18"/>
          <w:sz w:val="22"/>
          <w:szCs w:val="22"/>
        </w:rPr>
        <w:t xml:space="preserve"> </w:t>
      </w:r>
      <w:r>
        <w:rPr>
          <w:rFonts w:ascii="宋体" w:eastAsia="宋体" w:hAnsi="宋体" w:cs="宋体"/>
          <w:spacing w:val="4"/>
          <w:sz w:val="22"/>
          <w:szCs w:val="22"/>
        </w:rPr>
        <w:t>损失率平均为5%。</w:t>
      </w:r>
    </w:p>
    <w:p w:rsidR="00EA40A3" w:rsidRDefault="00E86C16">
      <w:pPr>
        <w:spacing w:before="66" w:line="250" w:lineRule="auto"/>
        <w:ind w:right="6" w:firstLine="419"/>
        <w:rPr>
          <w:rFonts w:ascii="宋体" w:eastAsia="宋体" w:hAnsi="宋体" w:cs="宋体"/>
          <w:sz w:val="22"/>
          <w:szCs w:val="22"/>
        </w:rPr>
      </w:pPr>
      <w:r>
        <w:rPr>
          <w:rFonts w:ascii="宋体" w:eastAsia="宋体" w:hAnsi="宋体" w:cs="宋体"/>
          <w:spacing w:val="-5"/>
          <w:sz w:val="22"/>
          <w:szCs w:val="22"/>
        </w:rPr>
        <w:t>维生素B2</w:t>
      </w:r>
      <w:r>
        <w:rPr>
          <w:rFonts w:ascii="宋体" w:eastAsia="宋体" w:hAnsi="宋体" w:cs="宋体"/>
          <w:spacing w:val="-55"/>
          <w:sz w:val="22"/>
          <w:szCs w:val="22"/>
        </w:rPr>
        <w:t xml:space="preserve"> </w:t>
      </w:r>
      <w:r>
        <w:rPr>
          <w:rFonts w:ascii="宋体" w:eastAsia="宋体" w:hAnsi="宋体" w:cs="宋体"/>
          <w:spacing w:val="-5"/>
          <w:sz w:val="22"/>
          <w:szCs w:val="22"/>
        </w:rPr>
        <w:t>在酸性或中性溶液中对热稳定，即使在120℃下加热6h</w:t>
      </w:r>
      <w:r>
        <w:rPr>
          <w:rFonts w:ascii="宋体" w:eastAsia="宋体" w:hAnsi="宋体" w:cs="宋体"/>
          <w:spacing w:val="-64"/>
          <w:sz w:val="22"/>
          <w:szCs w:val="22"/>
        </w:rPr>
        <w:t xml:space="preserve"> </w:t>
      </w:r>
      <w:r>
        <w:rPr>
          <w:rFonts w:ascii="宋体" w:eastAsia="宋体" w:hAnsi="宋体" w:cs="宋体"/>
          <w:spacing w:val="-5"/>
          <w:sz w:val="22"/>
          <w:szCs w:val="22"/>
        </w:rPr>
        <w:t>也仅有少</w:t>
      </w:r>
      <w:r>
        <w:rPr>
          <w:rFonts w:ascii="宋体" w:eastAsia="宋体" w:hAnsi="宋体" w:cs="宋体"/>
          <w:sz w:val="22"/>
          <w:szCs w:val="22"/>
        </w:rPr>
        <w:t xml:space="preserve"> </w:t>
      </w:r>
      <w:r>
        <w:rPr>
          <w:rFonts w:ascii="宋体" w:eastAsia="宋体" w:hAnsi="宋体" w:cs="宋体"/>
          <w:spacing w:val="-6"/>
          <w:sz w:val="22"/>
          <w:szCs w:val="22"/>
        </w:rPr>
        <w:t>量被破坏，且不受大气中氧的影响。但是在碱性</w:t>
      </w:r>
      <w:r>
        <w:rPr>
          <w:rFonts w:ascii="宋体" w:eastAsia="宋体" w:hAnsi="宋体" w:cs="宋体"/>
          <w:spacing w:val="-7"/>
          <w:sz w:val="22"/>
          <w:szCs w:val="22"/>
        </w:rPr>
        <w:t>溶液中易被热分解。维生素B2</w:t>
      </w:r>
      <w:r>
        <w:rPr>
          <w:rFonts w:ascii="宋体" w:eastAsia="宋体" w:hAnsi="宋体" w:cs="宋体"/>
          <w:sz w:val="22"/>
          <w:szCs w:val="22"/>
        </w:rPr>
        <w:t xml:space="preserve"> </w:t>
      </w:r>
      <w:r>
        <w:rPr>
          <w:rFonts w:ascii="宋体" w:eastAsia="宋体" w:hAnsi="宋体" w:cs="宋体"/>
          <w:spacing w:val="-6"/>
          <w:sz w:val="22"/>
          <w:szCs w:val="22"/>
        </w:rPr>
        <w:t>易被光破坏，尤其是紫外线。日光干燥脱水对这类食品中维生素B</w:t>
      </w:r>
      <w:r>
        <w:rPr>
          <w:rFonts w:ascii="Calibri" w:eastAsia="Calibri" w:hAnsi="Calibri" w:cs="Calibri"/>
          <w:spacing w:val="-6"/>
          <w:sz w:val="22"/>
          <w:szCs w:val="22"/>
        </w:rPr>
        <w:t>₂</w:t>
      </w:r>
      <w:r>
        <w:rPr>
          <w:rFonts w:ascii="Calibri" w:eastAsia="Calibri" w:hAnsi="Calibri" w:cs="Calibri"/>
          <w:sz w:val="22"/>
          <w:szCs w:val="22"/>
        </w:rPr>
        <w:t xml:space="preserve">  </w:t>
      </w:r>
      <w:r>
        <w:rPr>
          <w:rFonts w:ascii="宋体" w:eastAsia="宋体" w:hAnsi="宋体" w:cs="宋体"/>
          <w:spacing w:val="-6"/>
          <w:sz w:val="22"/>
          <w:szCs w:val="22"/>
        </w:rPr>
        <w:t>破坏严重</w:t>
      </w:r>
      <w:r>
        <w:rPr>
          <w:rFonts w:ascii="宋体" w:eastAsia="宋体" w:hAnsi="宋体" w:cs="宋体"/>
          <w:spacing w:val="-7"/>
          <w:sz w:val="22"/>
          <w:szCs w:val="22"/>
        </w:rPr>
        <w:t>，</w:t>
      </w:r>
      <w:r>
        <w:rPr>
          <w:rFonts w:ascii="宋体" w:eastAsia="宋体" w:hAnsi="宋体" w:cs="宋体"/>
          <w:sz w:val="22"/>
          <w:szCs w:val="22"/>
        </w:rPr>
        <w:t xml:space="preserve"> </w:t>
      </w:r>
      <w:r>
        <w:rPr>
          <w:rFonts w:ascii="宋体" w:eastAsia="宋体" w:hAnsi="宋体" w:cs="宋体"/>
          <w:spacing w:val="-15"/>
          <w:sz w:val="22"/>
          <w:szCs w:val="22"/>
        </w:rPr>
        <w:t>尤其是若在干燥前用碱性溶液烫漂，破坏更严重。</w:t>
      </w:r>
    </w:p>
    <w:p w:rsidR="00EA40A3" w:rsidRDefault="00E86C16">
      <w:pPr>
        <w:spacing w:before="49" w:line="241" w:lineRule="auto"/>
        <w:ind w:right="73" w:firstLine="419"/>
        <w:rPr>
          <w:rFonts w:ascii="宋体" w:eastAsia="宋体" w:hAnsi="宋体" w:cs="宋体"/>
          <w:sz w:val="22"/>
          <w:szCs w:val="22"/>
        </w:rPr>
      </w:pPr>
      <w:r>
        <w:rPr>
          <w:rFonts w:ascii="宋体" w:eastAsia="宋体" w:hAnsi="宋体" w:cs="宋体"/>
          <w:spacing w:val="-6"/>
          <w:sz w:val="22"/>
          <w:szCs w:val="22"/>
        </w:rPr>
        <w:t>维生素B。是吡啶的衍生物，有3种活性存在形式：吡哆醛、吡哆醇、吡哆</w:t>
      </w:r>
      <w:r>
        <w:rPr>
          <w:rFonts w:ascii="宋体" w:eastAsia="宋体" w:hAnsi="宋体" w:cs="宋体"/>
          <w:spacing w:val="3"/>
          <w:sz w:val="22"/>
          <w:szCs w:val="22"/>
        </w:rPr>
        <w:t xml:space="preserve"> </w:t>
      </w:r>
      <w:r>
        <w:rPr>
          <w:rFonts w:ascii="宋体" w:eastAsia="宋体" w:hAnsi="宋体" w:cs="宋体"/>
          <w:spacing w:val="-5"/>
          <w:sz w:val="22"/>
          <w:szCs w:val="22"/>
        </w:rPr>
        <w:t>胺，广泛分布于动植物体内。3种形式的维生素B</w:t>
      </w:r>
      <w:r>
        <w:rPr>
          <w:rFonts w:ascii="宋体" w:eastAsia="宋体" w:hAnsi="宋体" w:cs="宋体"/>
          <w:spacing w:val="58"/>
          <w:sz w:val="22"/>
          <w:szCs w:val="22"/>
        </w:rPr>
        <w:t xml:space="preserve"> </w:t>
      </w:r>
      <w:r>
        <w:rPr>
          <w:rFonts w:ascii="宋体" w:eastAsia="宋体" w:hAnsi="宋体" w:cs="宋体"/>
          <w:spacing w:val="-5"/>
          <w:sz w:val="22"/>
          <w:szCs w:val="22"/>
        </w:rPr>
        <w:t>对热都很稳定，其中吡哆醇</w:t>
      </w:r>
      <w:r>
        <w:rPr>
          <w:rFonts w:ascii="宋体" w:eastAsia="宋体" w:hAnsi="宋体" w:cs="宋体"/>
          <w:sz w:val="22"/>
          <w:szCs w:val="22"/>
        </w:rPr>
        <w:t xml:space="preserve"> </w:t>
      </w:r>
      <w:r>
        <w:rPr>
          <w:rFonts w:ascii="宋体" w:eastAsia="宋体" w:hAnsi="宋体" w:cs="宋体"/>
          <w:spacing w:val="-14"/>
          <w:sz w:val="22"/>
          <w:szCs w:val="22"/>
        </w:rPr>
        <w:t>最稳定。脱水干燥过程中，损失很少。</w:t>
      </w:r>
    </w:p>
    <w:p w:rsidR="00EA40A3" w:rsidRDefault="00E86C16">
      <w:pPr>
        <w:spacing w:before="48" w:line="241" w:lineRule="auto"/>
        <w:ind w:firstLine="419"/>
        <w:rPr>
          <w:rFonts w:ascii="宋体" w:eastAsia="宋体" w:hAnsi="宋体" w:cs="宋体"/>
          <w:sz w:val="22"/>
          <w:szCs w:val="22"/>
        </w:rPr>
      </w:pPr>
      <w:r>
        <w:rPr>
          <w:rFonts w:ascii="宋体" w:eastAsia="宋体" w:hAnsi="宋体" w:cs="宋体"/>
          <w:spacing w:val="-8"/>
          <w:sz w:val="22"/>
          <w:szCs w:val="22"/>
        </w:rPr>
        <w:t>维生素B</w:t>
      </w:r>
      <w:r>
        <w:rPr>
          <w:rFonts w:ascii="Calibri" w:eastAsia="Calibri" w:hAnsi="Calibri" w:cs="Calibri"/>
          <w:spacing w:val="-8"/>
          <w:sz w:val="22"/>
          <w:szCs w:val="22"/>
        </w:rPr>
        <w:t>₂</w:t>
      </w:r>
      <w:r>
        <w:rPr>
          <w:rFonts w:ascii="Calibri" w:eastAsia="Calibri" w:hAnsi="Calibri" w:cs="Calibri"/>
          <w:sz w:val="22"/>
          <w:szCs w:val="22"/>
        </w:rPr>
        <w:t xml:space="preserve">  </w:t>
      </w:r>
      <w:r>
        <w:rPr>
          <w:rFonts w:ascii="宋体" w:eastAsia="宋体" w:hAnsi="宋体" w:cs="宋体"/>
          <w:spacing w:val="-8"/>
          <w:sz w:val="22"/>
          <w:szCs w:val="22"/>
        </w:rPr>
        <w:t>主要存在于肉类、海产动物、蛋和乳类食品中，植物食品一般不</w:t>
      </w:r>
      <w:r>
        <w:rPr>
          <w:rFonts w:ascii="宋体" w:eastAsia="宋体" w:hAnsi="宋体" w:cs="宋体"/>
          <w:spacing w:val="1"/>
          <w:sz w:val="22"/>
          <w:szCs w:val="22"/>
        </w:rPr>
        <w:t xml:space="preserve"> </w:t>
      </w:r>
      <w:r>
        <w:rPr>
          <w:rFonts w:ascii="宋体" w:eastAsia="宋体" w:hAnsi="宋体" w:cs="宋体"/>
          <w:spacing w:val="-6"/>
          <w:sz w:val="22"/>
          <w:szCs w:val="22"/>
        </w:rPr>
        <w:t>含该种维生素。维生素B</w:t>
      </w:r>
      <w:r>
        <w:rPr>
          <w:rFonts w:ascii="Calibri" w:eastAsia="Calibri" w:hAnsi="Calibri" w:cs="Calibri"/>
          <w:spacing w:val="-6"/>
          <w:sz w:val="22"/>
          <w:szCs w:val="22"/>
        </w:rPr>
        <w:t>₂</w:t>
      </w:r>
      <w:r>
        <w:rPr>
          <w:rFonts w:ascii="Calibri" w:eastAsia="Calibri" w:hAnsi="Calibri" w:cs="Calibri"/>
          <w:spacing w:val="5"/>
          <w:sz w:val="22"/>
          <w:szCs w:val="22"/>
        </w:rPr>
        <w:t xml:space="preserve">  </w:t>
      </w:r>
      <w:r>
        <w:rPr>
          <w:rFonts w:ascii="宋体" w:eastAsia="宋体" w:hAnsi="宋体" w:cs="宋体"/>
          <w:spacing w:val="-6"/>
          <w:sz w:val="22"/>
          <w:szCs w:val="22"/>
        </w:rPr>
        <w:t>对热稳定，但是，遇到强光或紫外线不稳定</w:t>
      </w:r>
      <w:r>
        <w:rPr>
          <w:rFonts w:ascii="宋体" w:eastAsia="宋体" w:hAnsi="宋体" w:cs="宋体"/>
          <w:spacing w:val="-7"/>
          <w:sz w:val="22"/>
          <w:szCs w:val="22"/>
        </w:rPr>
        <w:t>。因此，</w:t>
      </w:r>
      <w:r>
        <w:rPr>
          <w:rFonts w:ascii="宋体" w:eastAsia="宋体" w:hAnsi="宋体" w:cs="宋体"/>
          <w:sz w:val="22"/>
          <w:szCs w:val="22"/>
        </w:rPr>
        <w:t xml:space="preserve"> </w:t>
      </w:r>
      <w:r>
        <w:rPr>
          <w:rFonts w:ascii="宋体" w:eastAsia="宋体" w:hAnsi="宋体" w:cs="宋体"/>
          <w:spacing w:val="-16"/>
          <w:sz w:val="22"/>
          <w:szCs w:val="22"/>
        </w:rPr>
        <w:t>日光干燥时破坏严重，烘干脱水破坏少。</w:t>
      </w:r>
    </w:p>
    <w:p w:rsidR="00EA40A3" w:rsidRDefault="00E86C16">
      <w:pPr>
        <w:spacing w:before="69" w:line="241" w:lineRule="auto"/>
        <w:ind w:right="79" w:firstLine="419"/>
        <w:rPr>
          <w:rFonts w:ascii="宋体" w:eastAsia="宋体" w:hAnsi="宋体" w:cs="宋体"/>
          <w:sz w:val="22"/>
          <w:szCs w:val="22"/>
        </w:rPr>
      </w:pPr>
      <w:r>
        <w:rPr>
          <w:rFonts w:ascii="宋体" w:eastAsia="宋体" w:hAnsi="宋体" w:cs="宋体"/>
          <w:spacing w:val="-6"/>
          <w:sz w:val="22"/>
          <w:szCs w:val="22"/>
        </w:rPr>
        <w:t>尼克酸是较稳定的一种维生素，耐热，即使在120℃下加热20min几乎不被</w:t>
      </w:r>
      <w:r>
        <w:rPr>
          <w:rFonts w:ascii="宋体" w:eastAsia="宋体" w:hAnsi="宋体" w:cs="宋体"/>
          <w:spacing w:val="14"/>
          <w:sz w:val="22"/>
          <w:szCs w:val="22"/>
        </w:rPr>
        <w:t xml:space="preserve"> </w:t>
      </w:r>
      <w:r>
        <w:rPr>
          <w:rFonts w:ascii="宋体" w:eastAsia="宋体" w:hAnsi="宋体" w:cs="宋体"/>
          <w:spacing w:val="-13"/>
          <w:sz w:val="22"/>
          <w:szCs w:val="22"/>
        </w:rPr>
        <w:t>破坏，对光、氧、酸、碱也很稳定。因此在脱水过程中损失非常少，其损失主要</w:t>
      </w:r>
      <w:r>
        <w:rPr>
          <w:rFonts w:ascii="宋体" w:eastAsia="宋体" w:hAnsi="宋体" w:cs="宋体"/>
          <w:spacing w:val="14"/>
          <w:sz w:val="22"/>
          <w:szCs w:val="22"/>
        </w:rPr>
        <w:t xml:space="preserve"> </w:t>
      </w:r>
      <w:r>
        <w:rPr>
          <w:rFonts w:ascii="宋体" w:eastAsia="宋体" w:hAnsi="宋体" w:cs="宋体"/>
          <w:spacing w:val="-15"/>
          <w:sz w:val="22"/>
          <w:szCs w:val="22"/>
        </w:rPr>
        <w:t>发生在干燥前的烫漂和沥滤中。</w:t>
      </w:r>
    </w:p>
    <w:p w:rsidR="00EA40A3" w:rsidRDefault="00E86C16">
      <w:pPr>
        <w:spacing w:before="49" w:line="219" w:lineRule="auto"/>
        <w:ind w:left="419"/>
        <w:rPr>
          <w:rFonts w:ascii="宋体" w:eastAsia="宋体" w:hAnsi="宋体" w:cs="宋体"/>
          <w:sz w:val="22"/>
          <w:szCs w:val="22"/>
        </w:rPr>
      </w:pPr>
      <w:r>
        <w:rPr>
          <w:rFonts w:ascii="宋体" w:eastAsia="宋体" w:hAnsi="宋体" w:cs="宋体"/>
          <w:spacing w:val="-14"/>
          <w:sz w:val="22"/>
          <w:szCs w:val="22"/>
        </w:rPr>
        <w:t>叶酸在无氧条件下稳定，可被日光分解，因此，日晒干燥对其影响较大。</w:t>
      </w:r>
    </w:p>
    <w:p w:rsidR="00EA40A3" w:rsidRDefault="00E86C16">
      <w:pPr>
        <w:spacing w:before="50" w:line="239" w:lineRule="auto"/>
        <w:ind w:right="98" w:firstLine="419"/>
        <w:rPr>
          <w:rFonts w:ascii="宋体" w:eastAsia="宋体" w:hAnsi="宋体" w:cs="宋体"/>
          <w:sz w:val="22"/>
          <w:szCs w:val="22"/>
        </w:rPr>
      </w:pPr>
      <w:r>
        <w:rPr>
          <w:rFonts w:ascii="宋体" w:eastAsia="宋体" w:hAnsi="宋体" w:cs="宋体"/>
          <w:spacing w:val="-13"/>
          <w:sz w:val="22"/>
          <w:szCs w:val="22"/>
        </w:rPr>
        <w:t>与水溶性维生素相比，在一些脱水干燥工艺中脂溶性</w:t>
      </w:r>
      <w:r>
        <w:rPr>
          <w:rFonts w:ascii="宋体" w:eastAsia="宋体" w:hAnsi="宋体" w:cs="宋体"/>
          <w:spacing w:val="-14"/>
          <w:sz w:val="22"/>
          <w:szCs w:val="22"/>
        </w:rPr>
        <w:t>维生素的稳定性要好一</w:t>
      </w:r>
      <w:r>
        <w:rPr>
          <w:rFonts w:ascii="宋体" w:eastAsia="宋体" w:hAnsi="宋体" w:cs="宋体"/>
          <w:sz w:val="22"/>
          <w:szCs w:val="22"/>
        </w:rPr>
        <w:t xml:space="preserve"> </w:t>
      </w:r>
      <w:r>
        <w:rPr>
          <w:rFonts w:ascii="宋体" w:eastAsia="宋体" w:hAnsi="宋体" w:cs="宋体"/>
          <w:spacing w:val="-6"/>
          <w:sz w:val="22"/>
          <w:szCs w:val="22"/>
        </w:rPr>
        <w:t>些。例如乳类的维生素A</w:t>
      </w:r>
      <w:r>
        <w:rPr>
          <w:rFonts w:ascii="宋体" w:eastAsia="宋体" w:hAnsi="宋体" w:cs="宋体"/>
          <w:spacing w:val="-9"/>
          <w:sz w:val="22"/>
          <w:szCs w:val="22"/>
        </w:rPr>
        <w:t xml:space="preserve"> </w:t>
      </w:r>
      <w:r>
        <w:rPr>
          <w:rFonts w:ascii="宋体" w:eastAsia="宋体" w:hAnsi="宋体" w:cs="宋体"/>
          <w:spacing w:val="-6"/>
          <w:sz w:val="22"/>
          <w:szCs w:val="22"/>
        </w:rPr>
        <w:t>和维生素D</w:t>
      </w:r>
      <w:r>
        <w:rPr>
          <w:rFonts w:ascii="宋体" w:eastAsia="宋体" w:hAnsi="宋体" w:cs="宋体"/>
          <w:spacing w:val="-16"/>
          <w:sz w:val="22"/>
          <w:szCs w:val="22"/>
        </w:rPr>
        <w:t xml:space="preserve"> </w:t>
      </w:r>
      <w:r>
        <w:rPr>
          <w:rFonts w:ascii="宋体" w:eastAsia="宋体" w:hAnsi="宋体" w:cs="宋体"/>
          <w:spacing w:val="-6"/>
          <w:sz w:val="22"/>
          <w:szCs w:val="22"/>
        </w:rPr>
        <w:t>在喷雾干燥、</w:t>
      </w:r>
      <w:r>
        <w:rPr>
          <w:rFonts w:ascii="宋体" w:eastAsia="宋体" w:hAnsi="宋体" w:cs="宋体"/>
          <w:spacing w:val="-7"/>
          <w:sz w:val="22"/>
          <w:szCs w:val="22"/>
        </w:rPr>
        <w:t>滚筒干燥或蒸发浓缩时损失</w:t>
      </w:r>
    </w:p>
    <w:p w:rsidR="00EA40A3" w:rsidRDefault="00E86C16">
      <w:pPr>
        <w:spacing w:before="105"/>
        <w:ind w:right="106"/>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243</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919" w:bottom="400" w:left="959" w:header="0" w:footer="0" w:gutter="0"/>
          <w:cols w:space="720"/>
        </w:sectPr>
      </w:pPr>
    </w:p>
    <w:p w:rsidR="00EA40A3" w:rsidRDefault="00EA40A3">
      <w:pPr>
        <w:spacing w:line="280" w:lineRule="auto"/>
      </w:pPr>
    </w:p>
    <w:p w:rsidR="00EA40A3" w:rsidRDefault="00EA40A3">
      <w:pPr>
        <w:spacing w:line="281" w:lineRule="auto"/>
      </w:pPr>
    </w:p>
    <w:p w:rsidR="00EA40A3" w:rsidRDefault="00E86C16">
      <w:pPr>
        <w:spacing w:before="72" w:line="242" w:lineRule="auto"/>
        <w:ind w:right="120"/>
        <w:rPr>
          <w:rFonts w:ascii="宋体" w:eastAsia="宋体" w:hAnsi="宋体" w:cs="宋体"/>
          <w:sz w:val="22"/>
          <w:szCs w:val="22"/>
        </w:rPr>
      </w:pPr>
      <w:r>
        <w:rPr>
          <w:rFonts w:ascii="宋体" w:eastAsia="宋体" w:hAnsi="宋体" w:cs="宋体"/>
          <w:spacing w:val="-8"/>
          <w:sz w:val="22"/>
          <w:szCs w:val="22"/>
        </w:rPr>
        <w:t>很少或没有损失；同样蛋类在喷雾干燥时维生素A、</w:t>
      </w:r>
      <w:r>
        <w:rPr>
          <w:rFonts w:ascii="宋体" w:eastAsia="宋体" w:hAnsi="宋体" w:cs="宋体"/>
          <w:spacing w:val="-17"/>
          <w:sz w:val="22"/>
          <w:szCs w:val="22"/>
        </w:rPr>
        <w:t xml:space="preserve"> </w:t>
      </w:r>
      <w:r>
        <w:rPr>
          <w:rFonts w:ascii="宋体" w:eastAsia="宋体" w:hAnsi="宋体" w:cs="宋体"/>
          <w:spacing w:val="-8"/>
          <w:sz w:val="22"/>
          <w:szCs w:val="22"/>
        </w:rPr>
        <w:t>维生素</w:t>
      </w:r>
      <w:r>
        <w:rPr>
          <w:rFonts w:ascii="宋体" w:eastAsia="宋体" w:hAnsi="宋体" w:cs="宋体"/>
          <w:spacing w:val="-58"/>
          <w:sz w:val="22"/>
          <w:szCs w:val="22"/>
        </w:rPr>
        <w:t xml:space="preserve"> </w:t>
      </w:r>
      <w:r>
        <w:rPr>
          <w:rFonts w:ascii="宋体" w:eastAsia="宋体" w:hAnsi="宋体" w:cs="宋体"/>
          <w:spacing w:val="-8"/>
          <w:sz w:val="22"/>
          <w:szCs w:val="22"/>
        </w:rPr>
        <w:t>D</w:t>
      </w:r>
      <w:r>
        <w:rPr>
          <w:rFonts w:ascii="宋体" w:eastAsia="宋体" w:hAnsi="宋体" w:cs="宋体"/>
          <w:spacing w:val="-5"/>
          <w:sz w:val="22"/>
          <w:szCs w:val="22"/>
        </w:rPr>
        <w:t xml:space="preserve"> </w:t>
      </w:r>
      <w:r>
        <w:rPr>
          <w:rFonts w:ascii="宋体" w:eastAsia="宋体" w:hAnsi="宋体" w:cs="宋体"/>
          <w:spacing w:val="-8"/>
          <w:sz w:val="22"/>
          <w:szCs w:val="22"/>
        </w:rPr>
        <w:t>损失也很小或无</w:t>
      </w:r>
      <w:r>
        <w:rPr>
          <w:rFonts w:ascii="宋体" w:eastAsia="宋体" w:hAnsi="宋体" w:cs="宋体"/>
          <w:sz w:val="22"/>
          <w:szCs w:val="22"/>
        </w:rPr>
        <w:t xml:space="preserve"> </w:t>
      </w:r>
      <w:r>
        <w:rPr>
          <w:rFonts w:ascii="宋体" w:eastAsia="宋体" w:hAnsi="宋体" w:cs="宋体"/>
          <w:spacing w:val="-16"/>
          <w:sz w:val="22"/>
          <w:szCs w:val="22"/>
        </w:rPr>
        <w:t>损失。</w:t>
      </w:r>
    </w:p>
    <w:p w:rsidR="00EA40A3" w:rsidRDefault="00E86C16">
      <w:pPr>
        <w:spacing w:before="31" w:line="243" w:lineRule="auto"/>
        <w:ind w:right="141" w:firstLine="410"/>
        <w:jc w:val="both"/>
        <w:rPr>
          <w:rFonts w:ascii="宋体" w:eastAsia="宋体" w:hAnsi="宋体" w:cs="宋体"/>
          <w:sz w:val="22"/>
          <w:szCs w:val="22"/>
        </w:rPr>
      </w:pPr>
      <w:r>
        <w:rPr>
          <w:rFonts w:ascii="宋体" w:eastAsia="宋体" w:hAnsi="宋体" w:cs="宋体"/>
          <w:spacing w:val="3"/>
          <w:sz w:val="22"/>
          <w:szCs w:val="22"/>
        </w:rPr>
        <w:t>脱水过程中维生素A</w:t>
      </w:r>
      <w:r>
        <w:rPr>
          <w:rFonts w:ascii="宋体" w:eastAsia="宋体" w:hAnsi="宋体" w:cs="宋体"/>
          <w:spacing w:val="1"/>
          <w:sz w:val="22"/>
          <w:szCs w:val="22"/>
        </w:rPr>
        <w:t xml:space="preserve"> </w:t>
      </w:r>
      <w:r>
        <w:rPr>
          <w:rFonts w:ascii="宋体" w:eastAsia="宋体" w:hAnsi="宋体" w:cs="宋体"/>
          <w:spacing w:val="3"/>
          <w:sz w:val="22"/>
          <w:szCs w:val="22"/>
        </w:rPr>
        <w:t>的破坏损失为10%～20%,具体的损失</w:t>
      </w:r>
      <w:r>
        <w:rPr>
          <w:rFonts w:ascii="宋体" w:eastAsia="宋体" w:hAnsi="宋体" w:cs="宋体"/>
          <w:spacing w:val="2"/>
          <w:sz w:val="22"/>
          <w:szCs w:val="22"/>
        </w:rPr>
        <w:t>数值随不同干</w:t>
      </w:r>
      <w:r>
        <w:rPr>
          <w:rFonts w:ascii="宋体" w:eastAsia="宋体" w:hAnsi="宋体" w:cs="宋体"/>
          <w:sz w:val="22"/>
          <w:szCs w:val="22"/>
        </w:rPr>
        <w:t xml:space="preserve"> </w:t>
      </w:r>
      <w:r>
        <w:rPr>
          <w:rFonts w:ascii="宋体" w:eastAsia="宋体" w:hAnsi="宋体" w:cs="宋体"/>
          <w:spacing w:val="-11"/>
          <w:sz w:val="22"/>
          <w:szCs w:val="22"/>
        </w:rPr>
        <w:t>燥方式而异，冷冻干燥的橘子汁、喷雾干燥的强化乳粉，其胡萝</w:t>
      </w:r>
      <w:r>
        <w:rPr>
          <w:rFonts w:ascii="宋体" w:eastAsia="宋体" w:hAnsi="宋体" w:cs="宋体"/>
          <w:spacing w:val="-12"/>
          <w:sz w:val="22"/>
          <w:szCs w:val="22"/>
        </w:rPr>
        <w:t>卜素和维生素A</w:t>
      </w:r>
      <w:r>
        <w:rPr>
          <w:rFonts w:ascii="宋体" w:eastAsia="宋体" w:hAnsi="宋体" w:cs="宋体"/>
          <w:sz w:val="22"/>
          <w:szCs w:val="22"/>
        </w:rPr>
        <w:t xml:space="preserve"> </w:t>
      </w:r>
      <w:r>
        <w:rPr>
          <w:rFonts w:ascii="宋体" w:eastAsia="宋体" w:hAnsi="宋体" w:cs="宋体"/>
          <w:spacing w:val="5"/>
          <w:sz w:val="22"/>
          <w:szCs w:val="22"/>
        </w:rPr>
        <w:t>的损失可以忽略不计(&lt;10%)。</w:t>
      </w:r>
    </w:p>
    <w:p w:rsidR="00EA40A3" w:rsidRDefault="00E86C16">
      <w:pPr>
        <w:spacing w:before="51" w:line="242" w:lineRule="auto"/>
        <w:ind w:right="89" w:firstLine="410"/>
        <w:jc w:val="both"/>
        <w:rPr>
          <w:rFonts w:ascii="宋体" w:eastAsia="宋体" w:hAnsi="宋体" w:cs="宋体"/>
          <w:sz w:val="22"/>
          <w:szCs w:val="22"/>
        </w:rPr>
      </w:pPr>
      <w:r>
        <w:rPr>
          <w:rFonts w:ascii="宋体" w:eastAsia="宋体" w:hAnsi="宋体" w:cs="宋体"/>
          <w:spacing w:val="-2"/>
          <w:sz w:val="22"/>
          <w:szCs w:val="22"/>
        </w:rPr>
        <w:t>维生素E</w:t>
      </w:r>
      <w:r>
        <w:rPr>
          <w:rFonts w:ascii="宋体" w:eastAsia="宋体" w:hAnsi="宋体" w:cs="宋体"/>
          <w:spacing w:val="-34"/>
          <w:sz w:val="22"/>
          <w:szCs w:val="22"/>
        </w:rPr>
        <w:t xml:space="preserve"> </w:t>
      </w:r>
      <w:r>
        <w:rPr>
          <w:rFonts w:ascii="宋体" w:eastAsia="宋体" w:hAnsi="宋体" w:cs="宋体"/>
          <w:spacing w:val="-2"/>
          <w:sz w:val="22"/>
          <w:szCs w:val="22"/>
        </w:rPr>
        <w:t>有天然抗氧化的性质(即本身易被氧化),它在脱水期间损失的</w:t>
      </w:r>
      <w:r>
        <w:rPr>
          <w:rFonts w:ascii="宋体" w:eastAsia="宋体" w:hAnsi="宋体" w:cs="宋体"/>
          <w:spacing w:val="-3"/>
          <w:sz w:val="22"/>
          <w:szCs w:val="22"/>
        </w:rPr>
        <w:t>研</w:t>
      </w:r>
      <w:r>
        <w:rPr>
          <w:rFonts w:ascii="宋体" w:eastAsia="宋体" w:hAnsi="宋体" w:cs="宋体"/>
          <w:sz w:val="22"/>
          <w:szCs w:val="22"/>
        </w:rPr>
        <w:t xml:space="preserve"> </w:t>
      </w:r>
      <w:r>
        <w:rPr>
          <w:rFonts w:ascii="宋体" w:eastAsia="宋体" w:hAnsi="宋体" w:cs="宋体"/>
          <w:spacing w:val="-6"/>
          <w:sz w:val="22"/>
          <w:szCs w:val="22"/>
        </w:rPr>
        <w:t>究不多，维生素E</w:t>
      </w:r>
      <w:r>
        <w:rPr>
          <w:rFonts w:ascii="宋体" w:eastAsia="宋体" w:hAnsi="宋体" w:cs="宋体"/>
          <w:spacing w:val="-7"/>
          <w:sz w:val="22"/>
          <w:szCs w:val="22"/>
        </w:rPr>
        <w:t xml:space="preserve"> </w:t>
      </w:r>
      <w:r>
        <w:rPr>
          <w:rFonts w:ascii="宋体" w:eastAsia="宋体" w:hAnsi="宋体" w:cs="宋体"/>
          <w:spacing w:val="-6"/>
          <w:sz w:val="22"/>
          <w:szCs w:val="22"/>
        </w:rPr>
        <w:t>与乙酸反应酯化后形成生育酚乙酸酯，可极大地改善化合物</w:t>
      </w:r>
      <w:r>
        <w:rPr>
          <w:rFonts w:ascii="宋体" w:eastAsia="宋体" w:hAnsi="宋体" w:cs="宋体"/>
          <w:sz w:val="22"/>
          <w:szCs w:val="22"/>
        </w:rPr>
        <w:t xml:space="preserve"> </w:t>
      </w:r>
      <w:r>
        <w:rPr>
          <w:rFonts w:ascii="宋体" w:eastAsia="宋体" w:hAnsi="宋体" w:cs="宋体"/>
          <w:spacing w:val="-15"/>
          <w:sz w:val="22"/>
          <w:szCs w:val="22"/>
        </w:rPr>
        <w:t>的稳定性，所以广泛用于食品强化和饲料的添加中。</w:t>
      </w:r>
    </w:p>
    <w:p w:rsidR="00EA40A3" w:rsidRDefault="00E86C16">
      <w:pPr>
        <w:spacing w:before="60" w:line="243" w:lineRule="auto"/>
        <w:ind w:right="121" w:firstLine="410"/>
        <w:jc w:val="both"/>
        <w:rPr>
          <w:rFonts w:ascii="宋体" w:eastAsia="宋体" w:hAnsi="宋体" w:cs="宋体"/>
          <w:sz w:val="22"/>
          <w:szCs w:val="22"/>
        </w:rPr>
      </w:pPr>
      <w:r>
        <w:rPr>
          <w:rFonts w:ascii="宋体" w:eastAsia="宋体" w:hAnsi="宋体" w:cs="宋体"/>
          <w:spacing w:val="-10"/>
          <w:sz w:val="22"/>
          <w:szCs w:val="22"/>
        </w:rPr>
        <w:t>胡萝卜素是植物性食物中的维生素A</w:t>
      </w:r>
      <w:r>
        <w:rPr>
          <w:rFonts w:ascii="宋体" w:eastAsia="宋体" w:hAnsi="宋体" w:cs="宋体"/>
          <w:spacing w:val="6"/>
          <w:sz w:val="22"/>
          <w:szCs w:val="22"/>
        </w:rPr>
        <w:t xml:space="preserve"> </w:t>
      </w:r>
      <w:r>
        <w:rPr>
          <w:rFonts w:ascii="宋体" w:eastAsia="宋体" w:hAnsi="宋体" w:cs="宋体"/>
          <w:spacing w:val="-10"/>
          <w:sz w:val="22"/>
          <w:szCs w:val="22"/>
        </w:rPr>
        <w:t>原。据资料，β-胡萝卜素在冷冻干燥</w:t>
      </w:r>
      <w:r>
        <w:rPr>
          <w:rFonts w:ascii="宋体" w:eastAsia="宋体" w:hAnsi="宋体" w:cs="宋体"/>
          <w:sz w:val="22"/>
          <w:szCs w:val="22"/>
        </w:rPr>
        <w:t xml:space="preserve"> </w:t>
      </w:r>
      <w:r>
        <w:rPr>
          <w:rFonts w:ascii="宋体" w:eastAsia="宋体" w:hAnsi="宋体" w:cs="宋体"/>
          <w:spacing w:val="5"/>
          <w:sz w:val="22"/>
          <w:szCs w:val="22"/>
        </w:rPr>
        <w:t>过程的保留率为85%,普通空气干燥的保留率为80%,鼓风干燥效果较差只保</w:t>
      </w:r>
      <w:r>
        <w:rPr>
          <w:rFonts w:ascii="宋体" w:eastAsia="宋体" w:hAnsi="宋体" w:cs="宋体"/>
          <w:spacing w:val="16"/>
          <w:sz w:val="22"/>
          <w:szCs w:val="22"/>
        </w:rPr>
        <w:t xml:space="preserve"> </w:t>
      </w:r>
      <w:r>
        <w:rPr>
          <w:rFonts w:ascii="宋体" w:eastAsia="宋体" w:hAnsi="宋体" w:cs="宋体"/>
          <w:spacing w:val="-4"/>
          <w:sz w:val="22"/>
          <w:szCs w:val="22"/>
        </w:rPr>
        <w:t>留72%。在其他一项报道中，胡萝卜分别用浅盘空气干燥、喷爆干燥和冷冻干</w:t>
      </w:r>
      <w:r>
        <w:rPr>
          <w:rFonts w:ascii="宋体" w:eastAsia="宋体" w:hAnsi="宋体" w:cs="宋体"/>
          <w:spacing w:val="7"/>
          <w:sz w:val="22"/>
          <w:szCs w:val="22"/>
        </w:rPr>
        <w:t xml:space="preserve"> </w:t>
      </w:r>
      <w:r>
        <w:rPr>
          <w:rFonts w:ascii="宋体" w:eastAsia="宋体" w:hAnsi="宋体" w:cs="宋体"/>
          <w:spacing w:val="-11"/>
          <w:sz w:val="22"/>
          <w:szCs w:val="22"/>
        </w:rPr>
        <w:t>燥脱水时，所引起的总β-胡萝卜素的损失(见表7-11)。</w:t>
      </w:r>
    </w:p>
    <w:p w:rsidR="00EA40A3" w:rsidRDefault="00EA40A3">
      <w:pPr>
        <w:spacing w:line="310" w:lineRule="auto"/>
      </w:pPr>
    </w:p>
    <w:p w:rsidR="00EA40A3" w:rsidRDefault="00E86C16">
      <w:pPr>
        <w:spacing w:before="61" w:line="219" w:lineRule="auto"/>
        <w:ind w:left="1562"/>
        <w:rPr>
          <w:rFonts w:ascii="黑体" w:eastAsia="黑体" w:hAnsi="黑体" w:cs="黑体"/>
          <w:sz w:val="19"/>
          <w:szCs w:val="19"/>
        </w:rPr>
      </w:pPr>
      <w:r>
        <w:rPr>
          <w:rFonts w:ascii="黑体" w:eastAsia="黑体" w:hAnsi="黑体" w:cs="黑体"/>
          <w:b/>
          <w:bCs/>
          <w:spacing w:val="-14"/>
          <w:sz w:val="19"/>
          <w:szCs w:val="19"/>
        </w:rPr>
        <w:t>表7-11</w:t>
      </w:r>
      <w:r>
        <w:rPr>
          <w:rFonts w:ascii="黑体" w:eastAsia="黑体" w:hAnsi="黑体" w:cs="黑体"/>
          <w:spacing w:val="61"/>
          <w:sz w:val="19"/>
          <w:szCs w:val="19"/>
        </w:rPr>
        <w:t xml:space="preserve"> </w:t>
      </w:r>
      <w:r>
        <w:rPr>
          <w:rFonts w:ascii="黑体" w:eastAsia="黑体" w:hAnsi="黑体" w:cs="黑体"/>
          <w:b/>
          <w:bCs/>
          <w:spacing w:val="-14"/>
          <w:sz w:val="19"/>
          <w:szCs w:val="19"/>
        </w:rPr>
        <w:t>不同干制条件下胡萝卜中的β-胡萝卜素的损失</w:t>
      </w:r>
    </w:p>
    <w:p w:rsidR="00EA40A3" w:rsidRDefault="00EA40A3">
      <w:pPr>
        <w:spacing w:line="17" w:lineRule="exact"/>
      </w:pPr>
    </w:p>
    <w:tbl>
      <w:tblPr>
        <w:tblStyle w:val="TableNormal"/>
        <w:tblW w:w="7309" w:type="dxa"/>
        <w:tblInd w:w="5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072"/>
        <w:gridCol w:w="1901"/>
        <w:gridCol w:w="1823"/>
        <w:gridCol w:w="1513"/>
      </w:tblGrid>
      <w:tr w:rsidR="00EA40A3">
        <w:trPr>
          <w:trHeight w:val="331"/>
        </w:trPr>
        <w:tc>
          <w:tcPr>
            <w:tcW w:w="2072" w:type="dxa"/>
            <w:tcBorders>
              <w:top w:val="single" w:sz="4" w:space="0" w:color="000000"/>
            </w:tcBorders>
          </w:tcPr>
          <w:p w:rsidR="00EA40A3" w:rsidRDefault="00E86C16">
            <w:pPr>
              <w:spacing w:before="112" w:line="220" w:lineRule="auto"/>
              <w:ind w:left="690"/>
              <w:rPr>
                <w:rFonts w:ascii="宋体" w:eastAsia="宋体" w:hAnsi="宋体" w:cs="宋体"/>
                <w:sz w:val="16"/>
                <w:szCs w:val="16"/>
              </w:rPr>
            </w:pPr>
            <w:r>
              <w:rPr>
                <w:rFonts w:ascii="宋体" w:eastAsia="宋体" w:hAnsi="宋体" w:cs="宋体"/>
                <w:spacing w:val="-2"/>
                <w:sz w:val="16"/>
                <w:szCs w:val="16"/>
              </w:rPr>
              <w:t>成分名称</w:t>
            </w:r>
          </w:p>
        </w:tc>
        <w:tc>
          <w:tcPr>
            <w:tcW w:w="1901" w:type="dxa"/>
            <w:tcBorders>
              <w:top w:val="single" w:sz="4" w:space="0" w:color="000000"/>
            </w:tcBorders>
          </w:tcPr>
          <w:p w:rsidR="00EA40A3" w:rsidRDefault="00E86C16">
            <w:pPr>
              <w:spacing w:before="110" w:line="219" w:lineRule="auto"/>
              <w:ind w:left="517"/>
              <w:rPr>
                <w:rFonts w:ascii="宋体" w:eastAsia="宋体" w:hAnsi="宋体" w:cs="宋体"/>
                <w:sz w:val="16"/>
                <w:szCs w:val="16"/>
              </w:rPr>
            </w:pPr>
            <w:r>
              <w:rPr>
                <w:rFonts w:ascii="宋体" w:eastAsia="宋体" w:hAnsi="宋体" w:cs="宋体"/>
                <w:spacing w:val="-2"/>
                <w:sz w:val="16"/>
                <w:szCs w:val="16"/>
              </w:rPr>
              <w:t>浅盘干燥/%</w:t>
            </w:r>
          </w:p>
        </w:tc>
        <w:tc>
          <w:tcPr>
            <w:tcW w:w="1823" w:type="dxa"/>
            <w:tcBorders>
              <w:top w:val="single" w:sz="4" w:space="0" w:color="000000"/>
            </w:tcBorders>
          </w:tcPr>
          <w:p w:rsidR="00EA40A3" w:rsidRDefault="00E86C16">
            <w:pPr>
              <w:spacing w:before="100" w:line="218" w:lineRule="auto"/>
              <w:ind w:left="596"/>
              <w:rPr>
                <w:rFonts w:ascii="宋体" w:eastAsia="宋体" w:hAnsi="宋体" w:cs="宋体"/>
                <w:sz w:val="16"/>
                <w:szCs w:val="16"/>
              </w:rPr>
            </w:pPr>
            <w:r>
              <w:rPr>
                <w:rFonts w:ascii="宋体" w:eastAsia="宋体" w:hAnsi="宋体" w:cs="宋体"/>
                <w:spacing w:val="-2"/>
                <w:sz w:val="16"/>
                <w:szCs w:val="16"/>
              </w:rPr>
              <w:t>喷爆干燥/%</w:t>
            </w:r>
          </w:p>
        </w:tc>
        <w:tc>
          <w:tcPr>
            <w:tcW w:w="1513" w:type="dxa"/>
            <w:tcBorders>
              <w:top w:val="single" w:sz="4" w:space="0" w:color="000000"/>
            </w:tcBorders>
          </w:tcPr>
          <w:p w:rsidR="00EA40A3" w:rsidRDefault="00E86C16">
            <w:pPr>
              <w:spacing w:before="110" w:line="219" w:lineRule="auto"/>
              <w:ind w:left="444"/>
              <w:rPr>
                <w:rFonts w:ascii="宋体" w:eastAsia="宋体" w:hAnsi="宋体" w:cs="宋体"/>
                <w:sz w:val="16"/>
                <w:szCs w:val="16"/>
              </w:rPr>
            </w:pPr>
            <w:r>
              <w:rPr>
                <w:rFonts w:ascii="宋体" w:eastAsia="宋体" w:hAnsi="宋体" w:cs="宋体"/>
                <w:spacing w:val="-2"/>
                <w:sz w:val="16"/>
                <w:szCs w:val="16"/>
              </w:rPr>
              <w:t>冷冻干燥/%</w:t>
            </w:r>
          </w:p>
        </w:tc>
      </w:tr>
      <w:tr w:rsidR="00EA40A3">
        <w:trPr>
          <w:trHeight w:val="281"/>
        </w:trPr>
        <w:tc>
          <w:tcPr>
            <w:tcW w:w="2072" w:type="dxa"/>
          </w:tcPr>
          <w:p w:rsidR="00EA40A3" w:rsidRDefault="00E86C16">
            <w:pPr>
              <w:spacing w:before="69" w:line="219" w:lineRule="auto"/>
              <w:ind w:left="489"/>
              <w:rPr>
                <w:rFonts w:ascii="宋体" w:eastAsia="宋体" w:hAnsi="宋体" w:cs="宋体"/>
                <w:sz w:val="16"/>
                <w:szCs w:val="16"/>
              </w:rPr>
            </w:pPr>
            <w:r>
              <w:rPr>
                <w:rFonts w:ascii="宋体" w:eastAsia="宋体" w:hAnsi="宋体" w:cs="宋体"/>
                <w:spacing w:val="-2"/>
                <w:sz w:val="16"/>
                <w:szCs w:val="16"/>
              </w:rPr>
              <w:t>总β-胡萝卜素</w:t>
            </w:r>
          </w:p>
        </w:tc>
        <w:tc>
          <w:tcPr>
            <w:tcW w:w="1901" w:type="dxa"/>
          </w:tcPr>
          <w:p w:rsidR="00EA40A3" w:rsidRDefault="00E86C16">
            <w:pPr>
              <w:spacing w:before="101" w:line="183" w:lineRule="auto"/>
              <w:ind w:left="838"/>
              <w:rPr>
                <w:rFonts w:ascii="宋体" w:eastAsia="宋体" w:hAnsi="宋体" w:cs="宋体"/>
                <w:sz w:val="16"/>
                <w:szCs w:val="16"/>
              </w:rPr>
            </w:pPr>
            <w:r>
              <w:rPr>
                <w:rFonts w:ascii="宋体" w:eastAsia="宋体" w:hAnsi="宋体" w:cs="宋体"/>
                <w:spacing w:val="-3"/>
                <w:sz w:val="16"/>
                <w:szCs w:val="16"/>
              </w:rPr>
              <w:t>26</w:t>
            </w:r>
          </w:p>
        </w:tc>
        <w:tc>
          <w:tcPr>
            <w:tcW w:w="1823" w:type="dxa"/>
          </w:tcPr>
          <w:p w:rsidR="00EA40A3" w:rsidRDefault="00E86C16">
            <w:pPr>
              <w:spacing w:before="91" w:line="184" w:lineRule="auto"/>
              <w:ind w:left="966"/>
              <w:rPr>
                <w:rFonts w:ascii="宋体" w:eastAsia="宋体" w:hAnsi="宋体" w:cs="宋体"/>
                <w:sz w:val="16"/>
                <w:szCs w:val="16"/>
              </w:rPr>
            </w:pPr>
            <w:r>
              <w:rPr>
                <w:rFonts w:ascii="宋体" w:eastAsia="宋体" w:hAnsi="宋体" w:cs="宋体"/>
                <w:spacing w:val="-5"/>
                <w:sz w:val="16"/>
                <w:szCs w:val="16"/>
              </w:rPr>
              <w:t>19</w:t>
            </w:r>
          </w:p>
        </w:tc>
        <w:tc>
          <w:tcPr>
            <w:tcW w:w="1513" w:type="dxa"/>
          </w:tcPr>
          <w:p w:rsidR="00EA40A3" w:rsidRDefault="00E86C16">
            <w:pPr>
              <w:spacing w:before="101" w:line="184" w:lineRule="auto"/>
              <w:ind w:left="814"/>
              <w:rPr>
                <w:rFonts w:ascii="宋体" w:eastAsia="宋体" w:hAnsi="宋体" w:cs="宋体"/>
                <w:sz w:val="16"/>
                <w:szCs w:val="16"/>
              </w:rPr>
            </w:pPr>
            <w:r>
              <w:rPr>
                <w:rFonts w:ascii="宋体" w:eastAsia="宋体" w:hAnsi="宋体" w:cs="宋体"/>
                <w:spacing w:val="-5"/>
                <w:sz w:val="16"/>
                <w:szCs w:val="16"/>
              </w:rPr>
              <w:t>15</w:t>
            </w:r>
          </w:p>
        </w:tc>
      </w:tr>
      <w:tr w:rsidR="00EA40A3">
        <w:trPr>
          <w:trHeight w:val="237"/>
        </w:trPr>
        <w:tc>
          <w:tcPr>
            <w:tcW w:w="2072" w:type="dxa"/>
            <w:tcBorders>
              <w:bottom w:val="single" w:sz="4" w:space="0" w:color="000000"/>
            </w:tcBorders>
          </w:tcPr>
          <w:p w:rsidR="00EA40A3" w:rsidRDefault="00E86C16">
            <w:pPr>
              <w:spacing w:before="68" w:line="194" w:lineRule="auto"/>
              <w:ind w:left="449"/>
              <w:rPr>
                <w:rFonts w:ascii="宋体" w:eastAsia="宋体" w:hAnsi="宋体" w:cs="宋体"/>
                <w:sz w:val="16"/>
                <w:szCs w:val="16"/>
              </w:rPr>
            </w:pPr>
            <w:r>
              <w:rPr>
                <w:rFonts w:ascii="宋体" w:eastAsia="宋体" w:hAnsi="宋体" w:cs="宋体"/>
                <w:spacing w:val="-1"/>
                <w:sz w:val="16"/>
                <w:szCs w:val="16"/>
              </w:rPr>
              <w:t>反式β胡萝卜素</w:t>
            </w:r>
          </w:p>
        </w:tc>
        <w:tc>
          <w:tcPr>
            <w:tcW w:w="1901" w:type="dxa"/>
            <w:tcBorders>
              <w:bottom w:val="single" w:sz="4" w:space="0" w:color="000000"/>
            </w:tcBorders>
          </w:tcPr>
          <w:p w:rsidR="00EA40A3" w:rsidRDefault="00E86C16">
            <w:pPr>
              <w:spacing w:before="81" w:line="180" w:lineRule="auto"/>
              <w:ind w:left="838"/>
              <w:rPr>
                <w:rFonts w:ascii="宋体" w:eastAsia="宋体" w:hAnsi="宋体" w:cs="宋体"/>
                <w:sz w:val="16"/>
                <w:szCs w:val="16"/>
              </w:rPr>
            </w:pPr>
            <w:r>
              <w:rPr>
                <w:rFonts w:ascii="宋体" w:eastAsia="宋体" w:hAnsi="宋体" w:cs="宋体"/>
                <w:spacing w:val="-2"/>
                <w:sz w:val="16"/>
                <w:szCs w:val="16"/>
              </w:rPr>
              <w:t>40</w:t>
            </w:r>
          </w:p>
        </w:tc>
        <w:tc>
          <w:tcPr>
            <w:tcW w:w="1823" w:type="dxa"/>
            <w:tcBorders>
              <w:bottom w:val="single" w:sz="4" w:space="0" w:color="000000"/>
            </w:tcBorders>
          </w:tcPr>
          <w:p w:rsidR="00EA40A3" w:rsidRDefault="00E86C16">
            <w:pPr>
              <w:spacing w:before="81" w:line="180" w:lineRule="auto"/>
              <w:ind w:left="966"/>
              <w:rPr>
                <w:rFonts w:ascii="宋体" w:eastAsia="宋体" w:hAnsi="宋体" w:cs="宋体"/>
                <w:sz w:val="16"/>
                <w:szCs w:val="16"/>
              </w:rPr>
            </w:pPr>
            <w:r>
              <w:rPr>
                <w:rFonts w:ascii="宋体" w:eastAsia="宋体" w:hAnsi="宋体" w:cs="宋体"/>
                <w:spacing w:val="-2"/>
                <w:sz w:val="16"/>
                <w:szCs w:val="16"/>
              </w:rPr>
              <w:t>40</w:t>
            </w:r>
          </w:p>
        </w:tc>
        <w:tc>
          <w:tcPr>
            <w:tcW w:w="1513" w:type="dxa"/>
            <w:tcBorders>
              <w:bottom w:val="single" w:sz="4" w:space="0" w:color="000000"/>
            </w:tcBorders>
          </w:tcPr>
          <w:p w:rsidR="00EA40A3" w:rsidRDefault="00E86C16">
            <w:pPr>
              <w:spacing w:before="81" w:line="180" w:lineRule="auto"/>
              <w:ind w:left="814"/>
              <w:rPr>
                <w:rFonts w:ascii="宋体" w:eastAsia="宋体" w:hAnsi="宋体" w:cs="宋体"/>
                <w:sz w:val="16"/>
                <w:szCs w:val="16"/>
              </w:rPr>
            </w:pPr>
            <w:r>
              <w:rPr>
                <w:rFonts w:ascii="宋体" w:eastAsia="宋体" w:hAnsi="宋体" w:cs="宋体"/>
                <w:spacing w:val="-3"/>
                <w:sz w:val="16"/>
                <w:szCs w:val="16"/>
              </w:rPr>
              <w:t>20</w:t>
            </w:r>
          </w:p>
        </w:tc>
      </w:tr>
    </w:tbl>
    <w:p w:rsidR="00EA40A3" w:rsidRDefault="00E86C16">
      <w:pPr>
        <w:spacing w:before="90" w:line="219" w:lineRule="auto"/>
        <w:ind w:left="390"/>
        <w:rPr>
          <w:rFonts w:ascii="宋体" w:eastAsia="宋体" w:hAnsi="宋体" w:cs="宋体"/>
          <w:sz w:val="16"/>
          <w:szCs w:val="16"/>
        </w:rPr>
      </w:pPr>
      <w:r>
        <w:rPr>
          <w:rFonts w:ascii="宋体" w:eastAsia="宋体" w:hAnsi="宋体" w:cs="宋体"/>
          <w:sz w:val="16"/>
          <w:szCs w:val="16"/>
        </w:rPr>
        <w:t>数据来源：葛可佑.2004.中国营养科学全书.北京：</w:t>
      </w:r>
      <w:r>
        <w:rPr>
          <w:rFonts w:ascii="宋体" w:eastAsia="宋体" w:hAnsi="宋体" w:cs="宋体"/>
          <w:spacing w:val="-1"/>
          <w:sz w:val="16"/>
          <w:szCs w:val="16"/>
        </w:rPr>
        <w:t>人民卫生出版社</w:t>
      </w:r>
    </w:p>
    <w:p w:rsidR="00EA40A3" w:rsidRDefault="00EA40A3">
      <w:pPr>
        <w:spacing w:line="351" w:lineRule="auto"/>
      </w:pPr>
    </w:p>
    <w:p w:rsidR="00EA40A3" w:rsidRDefault="00E86C16">
      <w:pPr>
        <w:spacing w:before="72" w:line="243" w:lineRule="auto"/>
        <w:ind w:right="20" w:firstLine="410"/>
        <w:jc w:val="both"/>
        <w:rPr>
          <w:rFonts w:ascii="宋体" w:eastAsia="宋体" w:hAnsi="宋体" w:cs="宋体"/>
          <w:sz w:val="22"/>
          <w:szCs w:val="22"/>
        </w:rPr>
      </w:pPr>
      <w:r>
        <w:rPr>
          <w:rFonts w:ascii="宋体" w:eastAsia="宋体" w:hAnsi="宋体" w:cs="宋体"/>
          <w:spacing w:val="-13"/>
          <w:sz w:val="22"/>
          <w:szCs w:val="22"/>
        </w:rPr>
        <w:t>总之，不同食物原料含维生素的种类、数量不同，干制过程中，维生素的损</w:t>
      </w:r>
      <w:r>
        <w:rPr>
          <w:rFonts w:ascii="宋体" w:eastAsia="宋体" w:hAnsi="宋体" w:cs="宋体"/>
          <w:spacing w:val="2"/>
          <w:sz w:val="22"/>
          <w:szCs w:val="22"/>
        </w:rPr>
        <w:t xml:space="preserve">  </w:t>
      </w:r>
      <w:r>
        <w:rPr>
          <w:rFonts w:ascii="宋体" w:eastAsia="宋体" w:hAnsi="宋体" w:cs="宋体"/>
          <w:spacing w:val="-13"/>
          <w:sz w:val="22"/>
          <w:szCs w:val="22"/>
        </w:rPr>
        <w:t>失情况不同。</w:t>
      </w:r>
      <w:r>
        <w:rPr>
          <w:rFonts w:ascii="宋体" w:eastAsia="宋体" w:hAnsi="宋体" w:cs="宋体"/>
          <w:sz w:val="22"/>
          <w:szCs w:val="22"/>
        </w:rPr>
        <w:t xml:space="preserve"> </w:t>
      </w:r>
      <w:r>
        <w:rPr>
          <w:rFonts w:ascii="宋体" w:eastAsia="宋体" w:hAnsi="宋体" w:cs="宋体"/>
          <w:spacing w:val="-13"/>
          <w:sz w:val="22"/>
          <w:szCs w:val="22"/>
        </w:rPr>
        <w:t>一般肉类加工过程中维生素B</w:t>
      </w:r>
      <w:r>
        <w:rPr>
          <w:rFonts w:ascii="宋体" w:eastAsia="宋体" w:hAnsi="宋体" w:cs="宋体"/>
          <w:spacing w:val="54"/>
          <w:sz w:val="22"/>
          <w:szCs w:val="22"/>
        </w:rPr>
        <w:t xml:space="preserve"> </w:t>
      </w:r>
      <w:r>
        <w:rPr>
          <w:rFonts w:ascii="宋体" w:eastAsia="宋体" w:hAnsi="宋体" w:cs="宋体"/>
          <w:spacing w:val="-13"/>
          <w:sz w:val="22"/>
          <w:szCs w:val="22"/>
        </w:rPr>
        <w:t>的损耗较大，而维生素B</w:t>
      </w:r>
      <w:r>
        <w:rPr>
          <w:rFonts w:ascii="Calibri" w:eastAsia="Calibri" w:hAnsi="Calibri" w:cs="Calibri"/>
          <w:spacing w:val="-14"/>
          <w:sz w:val="22"/>
          <w:szCs w:val="22"/>
        </w:rPr>
        <w:t>₂</w:t>
      </w:r>
      <w:r>
        <w:rPr>
          <w:rFonts w:ascii="Calibri" w:eastAsia="Calibri" w:hAnsi="Calibri" w:cs="Calibri"/>
          <w:spacing w:val="40"/>
          <w:sz w:val="22"/>
          <w:szCs w:val="22"/>
        </w:rPr>
        <w:t xml:space="preserve"> </w:t>
      </w:r>
      <w:r>
        <w:rPr>
          <w:rFonts w:ascii="宋体" w:eastAsia="宋体" w:hAnsi="宋体" w:cs="宋体"/>
          <w:spacing w:val="-14"/>
          <w:sz w:val="22"/>
          <w:szCs w:val="22"/>
        </w:rPr>
        <w:t>和尼克酸</w:t>
      </w:r>
      <w:r>
        <w:rPr>
          <w:rFonts w:ascii="宋体" w:eastAsia="宋体" w:hAnsi="宋体" w:cs="宋体"/>
          <w:sz w:val="22"/>
          <w:szCs w:val="22"/>
        </w:rPr>
        <w:t xml:space="preserve">  </w:t>
      </w:r>
      <w:r>
        <w:rPr>
          <w:rFonts w:ascii="宋体" w:eastAsia="宋体" w:hAnsi="宋体" w:cs="宋体"/>
          <w:spacing w:val="-10"/>
          <w:sz w:val="22"/>
          <w:szCs w:val="22"/>
        </w:rPr>
        <w:t>的损耗则较少。乳制品在喷雾干燥时，维生素A</w:t>
      </w:r>
      <w:r>
        <w:rPr>
          <w:rFonts w:ascii="宋体" w:eastAsia="宋体" w:hAnsi="宋体" w:cs="宋体"/>
          <w:spacing w:val="1"/>
          <w:sz w:val="22"/>
          <w:szCs w:val="22"/>
        </w:rPr>
        <w:t xml:space="preserve"> </w:t>
      </w:r>
      <w:r>
        <w:rPr>
          <w:rFonts w:ascii="宋体" w:eastAsia="宋体" w:hAnsi="宋体" w:cs="宋体"/>
          <w:spacing w:val="-10"/>
          <w:sz w:val="22"/>
          <w:szCs w:val="22"/>
        </w:rPr>
        <w:t>的保</w:t>
      </w:r>
      <w:r>
        <w:rPr>
          <w:rFonts w:ascii="宋体" w:eastAsia="宋体" w:hAnsi="宋体" w:cs="宋体"/>
          <w:spacing w:val="-11"/>
          <w:sz w:val="22"/>
          <w:szCs w:val="22"/>
        </w:rPr>
        <w:t>存效果很好，几乎不损失，</w:t>
      </w:r>
      <w:r>
        <w:rPr>
          <w:rFonts w:ascii="宋体" w:eastAsia="宋体" w:hAnsi="宋体" w:cs="宋体"/>
          <w:sz w:val="22"/>
          <w:szCs w:val="22"/>
        </w:rPr>
        <w:t xml:space="preserve"> </w:t>
      </w:r>
      <w:r>
        <w:rPr>
          <w:rFonts w:ascii="宋体" w:eastAsia="宋体" w:hAnsi="宋体" w:cs="宋体"/>
          <w:spacing w:val="-8"/>
          <w:sz w:val="22"/>
          <w:szCs w:val="22"/>
        </w:rPr>
        <w:t>尽管此时维生素B、</w:t>
      </w:r>
      <w:r>
        <w:rPr>
          <w:rFonts w:ascii="宋体" w:eastAsia="宋体" w:hAnsi="宋体" w:cs="宋体"/>
          <w:spacing w:val="18"/>
          <w:sz w:val="22"/>
          <w:szCs w:val="22"/>
        </w:rPr>
        <w:t xml:space="preserve"> </w:t>
      </w:r>
      <w:r>
        <w:rPr>
          <w:rFonts w:ascii="宋体" w:eastAsia="宋体" w:hAnsi="宋体" w:cs="宋体"/>
          <w:spacing w:val="-8"/>
          <w:sz w:val="22"/>
          <w:szCs w:val="22"/>
        </w:rPr>
        <w:t>维生素B2会有所损失，但</w:t>
      </w:r>
      <w:r>
        <w:rPr>
          <w:rFonts w:ascii="宋体" w:eastAsia="宋体" w:hAnsi="宋体" w:cs="宋体"/>
          <w:spacing w:val="-9"/>
          <w:sz w:val="22"/>
          <w:szCs w:val="22"/>
        </w:rPr>
        <w:t>又比果蔬干制中要低得多。</w:t>
      </w:r>
    </w:p>
    <w:p w:rsidR="00EA40A3" w:rsidRDefault="00E86C16">
      <w:pPr>
        <w:spacing w:before="207" w:line="221" w:lineRule="auto"/>
        <w:rPr>
          <w:rFonts w:ascii="仿宋" w:eastAsia="仿宋" w:hAnsi="仿宋" w:cs="仿宋"/>
          <w:sz w:val="22"/>
          <w:szCs w:val="22"/>
        </w:rPr>
      </w:pPr>
      <w:r>
        <w:rPr>
          <w:rFonts w:ascii="仿宋" w:eastAsia="仿宋" w:hAnsi="仿宋" w:cs="仿宋"/>
          <w:spacing w:val="7"/>
          <w:sz w:val="22"/>
          <w:szCs w:val="22"/>
        </w:rPr>
        <w:t>5.</w:t>
      </w:r>
      <w:r>
        <w:rPr>
          <w:rFonts w:ascii="仿宋" w:eastAsia="仿宋" w:hAnsi="仿宋" w:cs="仿宋"/>
          <w:spacing w:val="35"/>
          <w:sz w:val="22"/>
          <w:szCs w:val="22"/>
        </w:rPr>
        <w:t xml:space="preserve"> </w:t>
      </w:r>
      <w:r>
        <w:rPr>
          <w:rFonts w:ascii="仿宋" w:eastAsia="仿宋" w:hAnsi="仿宋" w:cs="仿宋"/>
          <w:spacing w:val="7"/>
          <w:sz w:val="22"/>
          <w:szCs w:val="22"/>
        </w:rPr>
        <w:t>千制对矿物质的影响</w:t>
      </w:r>
    </w:p>
    <w:p w:rsidR="00EA40A3" w:rsidRDefault="00E86C16">
      <w:pPr>
        <w:spacing w:before="208" w:line="245" w:lineRule="auto"/>
        <w:ind w:right="114" w:firstLine="410"/>
        <w:jc w:val="both"/>
        <w:rPr>
          <w:rFonts w:ascii="宋体" w:eastAsia="宋体" w:hAnsi="宋体" w:cs="宋体"/>
          <w:sz w:val="22"/>
          <w:szCs w:val="22"/>
        </w:rPr>
      </w:pPr>
      <w:r>
        <w:rPr>
          <w:rFonts w:ascii="宋体" w:eastAsia="宋体" w:hAnsi="宋体" w:cs="宋体"/>
          <w:spacing w:val="-18"/>
          <w:sz w:val="22"/>
          <w:szCs w:val="22"/>
        </w:rPr>
        <w:t>干制过程对食物中矿物质含量的影响比较小，</w:t>
      </w:r>
      <w:r>
        <w:rPr>
          <w:rFonts w:ascii="宋体" w:eastAsia="宋体" w:hAnsi="宋体" w:cs="宋体"/>
          <w:spacing w:val="58"/>
          <w:sz w:val="22"/>
          <w:szCs w:val="22"/>
        </w:rPr>
        <w:t xml:space="preserve"> </w:t>
      </w:r>
      <w:r>
        <w:rPr>
          <w:rFonts w:ascii="宋体" w:eastAsia="宋体" w:hAnsi="宋体" w:cs="宋体"/>
          <w:spacing w:val="-18"/>
          <w:sz w:val="22"/>
          <w:szCs w:val="22"/>
        </w:rPr>
        <w:t>一般可以忽略不计。只有两种</w:t>
      </w:r>
      <w:r>
        <w:rPr>
          <w:rFonts w:ascii="宋体" w:eastAsia="宋体" w:hAnsi="宋体" w:cs="宋体"/>
          <w:sz w:val="22"/>
          <w:szCs w:val="22"/>
        </w:rPr>
        <w:t xml:space="preserve"> </w:t>
      </w:r>
      <w:r>
        <w:rPr>
          <w:rFonts w:ascii="宋体" w:eastAsia="宋体" w:hAnsi="宋体" w:cs="宋体"/>
          <w:spacing w:val="-18"/>
          <w:sz w:val="22"/>
          <w:szCs w:val="22"/>
        </w:rPr>
        <w:t>情况下有所影响：其一，干燥前如果需要进行烫漂处理，则在烫漂过程中，</w:t>
      </w:r>
      <w:r>
        <w:rPr>
          <w:rFonts w:ascii="宋体" w:eastAsia="宋体" w:hAnsi="宋体" w:cs="宋体"/>
          <w:spacing w:val="59"/>
          <w:sz w:val="22"/>
          <w:szCs w:val="22"/>
        </w:rPr>
        <w:t xml:space="preserve"> </w:t>
      </w:r>
      <w:r>
        <w:rPr>
          <w:rFonts w:ascii="宋体" w:eastAsia="宋体" w:hAnsi="宋体" w:cs="宋体"/>
          <w:spacing w:val="-18"/>
          <w:sz w:val="22"/>
          <w:szCs w:val="22"/>
        </w:rPr>
        <w:t>一些</w:t>
      </w:r>
      <w:r>
        <w:rPr>
          <w:rFonts w:ascii="宋体" w:eastAsia="宋体" w:hAnsi="宋体" w:cs="宋体"/>
          <w:sz w:val="22"/>
          <w:szCs w:val="22"/>
        </w:rPr>
        <w:t xml:space="preserve"> </w:t>
      </w:r>
      <w:r>
        <w:rPr>
          <w:rFonts w:ascii="宋体" w:eastAsia="宋体" w:hAnsi="宋体" w:cs="宋体"/>
          <w:spacing w:val="-18"/>
          <w:sz w:val="22"/>
          <w:szCs w:val="22"/>
        </w:rPr>
        <w:t>水溶性较好的矿物质会溶于烫漂水中而流失掉；其二，</w:t>
      </w:r>
      <w:r>
        <w:rPr>
          <w:rFonts w:ascii="宋体" w:eastAsia="宋体" w:hAnsi="宋体" w:cs="宋体"/>
          <w:spacing w:val="57"/>
          <w:sz w:val="22"/>
          <w:szCs w:val="22"/>
        </w:rPr>
        <w:t xml:space="preserve"> </w:t>
      </w:r>
      <w:r>
        <w:rPr>
          <w:rFonts w:ascii="宋体" w:eastAsia="宋体" w:hAnsi="宋体" w:cs="宋体"/>
          <w:spacing w:val="-18"/>
          <w:sz w:val="22"/>
          <w:szCs w:val="22"/>
        </w:rPr>
        <w:t>一些还原性较强的微量金</w:t>
      </w:r>
      <w:r>
        <w:rPr>
          <w:rFonts w:ascii="宋体" w:eastAsia="宋体" w:hAnsi="宋体" w:cs="宋体"/>
          <w:sz w:val="22"/>
          <w:szCs w:val="22"/>
        </w:rPr>
        <w:t xml:space="preserve"> </w:t>
      </w:r>
      <w:r>
        <w:rPr>
          <w:rFonts w:ascii="宋体" w:eastAsia="宋体" w:hAnsi="宋体" w:cs="宋体"/>
          <w:spacing w:val="-13"/>
          <w:sz w:val="22"/>
          <w:szCs w:val="22"/>
        </w:rPr>
        <w:t>属元素，如二价铁离子等，在热干燥过程中因氧化作用而变为三价铁，降低</w:t>
      </w:r>
      <w:r>
        <w:rPr>
          <w:rFonts w:ascii="宋体" w:eastAsia="宋体" w:hAnsi="宋体" w:cs="宋体"/>
          <w:spacing w:val="-14"/>
          <w:sz w:val="22"/>
          <w:szCs w:val="22"/>
        </w:rPr>
        <w:t>了营</w:t>
      </w:r>
      <w:r>
        <w:rPr>
          <w:rFonts w:ascii="宋体" w:eastAsia="宋体" w:hAnsi="宋体" w:cs="宋体"/>
          <w:sz w:val="22"/>
          <w:szCs w:val="22"/>
        </w:rPr>
        <w:t xml:space="preserve"> </w:t>
      </w:r>
      <w:r>
        <w:rPr>
          <w:rFonts w:ascii="宋体" w:eastAsia="宋体" w:hAnsi="宋体" w:cs="宋体"/>
          <w:spacing w:val="-15"/>
          <w:sz w:val="22"/>
          <w:szCs w:val="22"/>
        </w:rPr>
        <w:t>养价值。</w:t>
      </w:r>
    </w:p>
    <w:p w:rsidR="00EA40A3" w:rsidRDefault="00E86C16">
      <w:pPr>
        <w:spacing w:before="71" w:line="247" w:lineRule="auto"/>
        <w:ind w:right="106" w:firstLine="410"/>
        <w:jc w:val="both"/>
        <w:rPr>
          <w:rFonts w:ascii="宋体" w:eastAsia="宋体" w:hAnsi="宋体" w:cs="宋体"/>
          <w:sz w:val="22"/>
          <w:szCs w:val="22"/>
        </w:rPr>
      </w:pPr>
      <w:r>
        <w:rPr>
          <w:rFonts w:ascii="宋体" w:eastAsia="宋体" w:hAnsi="宋体" w:cs="宋体"/>
          <w:spacing w:val="-13"/>
          <w:sz w:val="22"/>
          <w:szCs w:val="22"/>
        </w:rPr>
        <w:t>尽管干燥过程对矿物质含量的影响不大，但在干制品的复水过程中，矿物质</w:t>
      </w:r>
      <w:r>
        <w:rPr>
          <w:rFonts w:ascii="宋体" w:eastAsia="宋体" w:hAnsi="宋体" w:cs="宋体"/>
          <w:spacing w:val="11"/>
          <w:sz w:val="22"/>
          <w:szCs w:val="22"/>
        </w:rPr>
        <w:t xml:space="preserve"> </w:t>
      </w:r>
      <w:r>
        <w:rPr>
          <w:rFonts w:ascii="宋体" w:eastAsia="宋体" w:hAnsi="宋体" w:cs="宋体"/>
          <w:spacing w:val="-13"/>
          <w:sz w:val="22"/>
          <w:szCs w:val="22"/>
        </w:rPr>
        <w:t>的损失却不容忽视。因为干制过程中，尤其缓慢干燥过程对蔬菜类的细胞</w:t>
      </w:r>
      <w:r>
        <w:rPr>
          <w:rFonts w:ascii="宋体" w:eastAsia="宋体" w:hAnsi="宋体" w:cs="宋体"/>
          <w:spacing w:val="-14"/>
          <w:sz w:val="22"/>
          <w:szCs w:val="22"/>
        </w:rPr>
        <w:t>损伤比</w:t>
      </w:r>
      <w:r>
        <w:rPr>
          <w:rFonts w:ascii="宋体" w:eastAsia="宋体" w:hAnsi="宋体" w:cs="宋体"/>
          <w:sz w:val="22"/>
          <w:szCs w:val="22"/>
        </w:rPr>
        <w:t xml:space="preserve"> </w:t>
      </w:r>
      <w:r>
        <w:rPr>
          <w:rFonts w:ascii="宋体" w:eastAsia="宋体" w:hAnsi="宋体" w:cs="宋体"/>
          <w:spacing w:val="-14"/>
          <w:sz w:val="22"/>
          <w:szCs w:val="22"/>
        </w:rPr>
        <w:t>较严重，复水时，损伤细胞中的水溶性内容物将溶解而流失掉。</w:t>
      </w:r>
    </w:p>
    <w:p w:rsidR="00EA40A3" w:rsidRDefault="00E86C16">
      <w:pPr>
        <w:spacing w:before="183" w:line="221" w:lineRule="auto"/>
        <w:ind w:left="3"/>
        <w:outlineLvl w:val="6"/>
        <w:rPr>
          <w:rFonts w:ascii="黑体" w:eastAsia="黑体" w:hAnsi="黑体" w:cs="黑体"/>
          <w:sz w:val="22"/>
          <w:szCs w:val="22"/>
        </w:rPr>
      </w:pPr>
      <w:r>
        <w:rPr>
          <w:rFonts w:ascii="黑体" w:eastAsia="黑体" w:hAnsi="黑体" w:cs="黑体"/>
          <w:b/>
          <w:bCs/>
          <w:spacing w:val="9"/>
          <w:sz w:val="22"/>
          <w:szCs w:val="22"/>
        </w:rPr>
        <w:t>7.2.7</w:t>
      </w:r>
      <w:r>
        <w:rPr>
          <w:rFonts w:ascii="黑体" w:eastAsia="黑体" w:hAnsi="黑体" w:cs="黑体"/>
          <w:spacing w:val="39"/>
          <w:sz w:val="22"/>
          <w:szCs w:val="22"/>
        </w:rPr>
        <w:t xml:space="preserve">  </w:t>
      </w:r>
      <w:r>
        <w:rPr>
          <w:rFonts w:ascii="黑体" w:eastAsia="黑体" w:hAnsi="黑体" w:cs="黑体"/>
          <w:b/>
          <w:bCs/>
          <w:spacing w:val="9"/>
          <w:sz w:val="22"/>
          <w:szCs w:val="22"/>
        </w:rPr>
        <w:t>腌制对食品营养价值的影响</w:t>
      </w:r>
    </w:p>
    <w:p w:rsidR="00EA40A3" w:rsidRDefault="00E86C16">
      <w:pPr>
        <w:spacing w:before="222" w:line="219" w:lineRule="auto"/>
        <w:ind w:left="410"/>
        <w:rPr>
          <w:rFonts w:ascii="宋体" w:eastAsia="宋体" w:hAnsi="宋体" w:cs="宋体"/>
          <w:sz w:val="22"/>
          <w:szCs w:val="22"/>
        </w:rPr>
      </w:pPr>
      <w:r>
        <w:rPr>
          <w:rFonts w:ascii="宋体" w:eastAsia="宋体" w:hAnsi="宋体" w:cs="宋体"/>
          <w:spacing w:val="-13"/>
          <w:sz w:val="22"/>
          <w:szCs w:val="22"/>
        </w:rPr>
        <w:t>将食盐或糖渗入食品组织内，降低其水分活性，提高其渗透压，或通过微生</w:t>
      </w:r>
    </w:p>
    <w:p w:rsidR="00EA40A3" w:rsidRDefault="00E86C16">
      <w:pPr>
        <w:spacing w:before="53" w:line="241" w:lineRule="auto"/>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spacing w:val="4"/>
          <w:sz w:val="16"/>
          <w:szCs w:val="16"/>
        </w:rPr>
        <w:t xml:space="preserve"> </w:t>
      </w:r>
      <w:r>
        <w:rPr>
          <w:rFonts w:ascii="宋体" w:eastAsia="宋体" w:hAnsi="宋体" w:cs="宋体"/>
          <w:spacing w:val="-17"/>
          <w:sz w:val="16"/>
          <w:szCs w:val="16"/>
        </w:rPr>
        <w:t>244</w:t>
      </w:r>
      <w:r>
        <w:rPr>
          <w:rFonts w:ascii="宋体" w:eastAsia="宋体" w:hAnsi="宋体" w:cs="宋体"/>
          <w:spacing w:val="54"/>
          <w:w w:val="101"/>
          <w:sz w:val="16"/>
          <w:szCs w:val="16"/>
        </w:rPr>
        <w:t xml:space="preserve"> </w:t>
      </w:r>
      <w:r>
        <w:rPr>
          <w:rFonts w:ascii="宋体" w:eastAsia="宋体" w:hAnsi="宋体" w:cs="宋体"/>
          <w:spacing w:val="-17"/>
          <w:sz w:val="16"/>
          <w:szCs w:val="16"/>
        </w:rPr>
        <w:t>·</w:t>
      </w:r>
    </w:p>
    <w:p w:rsidR="00EA40A3" w:rsidRDefault="00EA40A3">
      <w:pPr>
        <w:sectPr w:rsidR="00EA40A3">
          <w:pgSz w:w="9220" w:h="13360"/>
          <w:pgMar w:top="400" w:right="1109" w:bottom="400" w:left="749" w:header="0" w:footer="0" w:gutter="0"/>
          <w:cols w:space="720"/>
        </w:sectPr>
      </w:pPr>
    </w:p>
    <w:p w:rsidR="00EA40A3" w:rsidRDefault="00EA40A3">
      <w:pPr>
        <w:spacing w:line="299" w:lineRule="auto"/>
      </w:pPr>
    </w:p>
    <w:p w:rsidR="00EA40A3" w:rsidRDefault="00EA40A3">
      <w:pPr>
        <w:spacing w:line="300" w:lineRule="auto"/>
      </w:pPr>
    </w:p>
    <w:p w:rsidR="00EA40A3" w:rsidRDefault="00E86C16">
      <w:pPr>
        <w:spacing w:before="68" w:line="251" w:lineRule="auto"/>
        <w:ind w:left="50"/>
        <w:jc w:val="both"/>
        <w:rPr>
          <w:rFonts w:ascii="宋体" w:eastAsia="宋体" w:hAnsi="宋体" w:cs="宋体"/>
        </w:rPr>
      </w:pPr>
      <w:r>
        <w:rPr>
          <w:rFonts w:ascii="宋体" w:eastAsia="宋体" w:hAnsi="宋体" w:cs="宋体"/>
          <w:spacing w:val="3"/>
        </w:rPr>
        <w:t>物的正常发酵降低食品的</w:t>
      </w:r>
      <w:r>
        <w:rPr>
          <w:rFonts w:ascii="宋体" w:eastAsia="宋体" w:hAnsi="宋体" w:cs="宋体"/>
          <w:spacing w:val="-56"/>
        </w:rPr>
        <w:t xml:space="preserve"> </w:t>
      </w:r>
      <w:r>
        <w:rPr>
          <w:rFonts w:ascii="宋体" w:eastAsia="宋体" w:hAnsi="宋体" w:cs="宋体"/>
        </w:rPr>
        <w:t>pH</w:t>
      </w:r>
      <w:r>
        <w:rPr>
          <w:rFonts w:ascii="宋体" w:eastAsia="宋体" w:hAnsi="宋体" w:cs="宋体"/>
          <w:spacing w:val="3"/>
        </w:rPr>
        <w:t>,</w:t>
      </w:r>
      <w:r>
        <w:rPr>
          <w:rFonts w:ascii="宋体" w:eastAsia="宋体" w:hAnsi="宋体" w:cs="宋体"/>
          <w:spacing w:val="75"/>
        </w:rPr>
        <w:t xml:space="preserve"> </w:t>
      </w:r>
      <w:r>
        <w:rPr>
          <w:rFonts w:ascii="宋体" w:eastAsia="宋体" w:hAnsi="宋体" w:cs="宋体"/>
          <w:spacing w:val="3"/>
        </w:rPr>
        <w:t>从而抑制腐败菌的生长，防止食品的腐败变质，</w:t>
      </w:r>
      <w:r>
        <w:rPr>
          <w:rFonts w:ascii="宋体" w:eastAsia="宋体" w:hAnsi="宋体" w:cs="宋体"/>
        </w:rPr>
        <w:t xml:space="preserve"> </w:t>
      </w:r>
      <w:r>
        <w:rPr>
          <w:rFonts w:ascii="宋体" w:eastAsia="宋体" w:hAnsi="宋体" w:cs="宋体"/>
          <w:spacing w:val="-2"/>
        </w:rPr>
        <w:t>获得更好的感官品质，并延长保质期的方法称为腌制保藏。这是人类最</w:t>
      </w:r>
      <w:r>
        <w:rPr>
          <w:rFonts w:ascii="宋体" w:eastAsia="宋体" w:hAnsi="宋体" w:cs="宋体"/>
          <w:spacing w:val="-3"/>
        </w:rPr>
        <w:t>早采用的</w:t>
      </w:r>
      <w:r>
        <w:rPr>
          <w:rFonts w:ascii="宋体" w:eastAsia="宋体" w:hAnsi="宋体" w:cs="宋体"/>
        </w:rPr>
        <w:t xml:space="preserve">  </w:t>
      </w:r>
      <w:r>
        <w:rPr>
          <w:rFonts w:ascii="宋体" w:eastAsia="宋体" w:hAnsi="宋体" w:cs="宋体"/>
          <w:spacing w:val="-7"/>
        </w:rPr>
        <w:t>一种行之有效的食品保藏方法。</w:t>
      </w:r>
    </w:p>
    <w:p w:rsidR="00EA40A3" w:rsidRDefault="00E86C16">
      <w:pPr>
        <w:spacing w:before="237" w:line="222" w:lineRule="auto"/>
        <w:ind w:left="50"/>
        <w:rPr>
          <w:rFonts w:ascii="仿宋" w:eastAsia="仿宋" w:hAnsi="仿宋" w:cs="仿宋"/>
        </w:rPr>
      </w:pPr>
      <w:r>
        <w:rPr>
          <w:rFonts w:ascii="仿宋" w:eastAsia="仿宋" w:hAnsi="仿宋" w:cs="仿宋"/>
          <w:spacing w:val="19"/>
        </w:rPr>
        <w:t>1.</w:t>
      </w:r>
      <w:r>
        <w:rPr>
          <w:rFonts w:ascii="仿宋" w:eastAsia="仿宋" w:hAnsi="仿宋" w:cs="仿宋"/>
          <w:spacing w:val="-4"/>
        </w:rPr>
        <w:t xml:space="preserve"> </w:t>
      </w:r>
      <w:r>
        <w:rPr>
          <w:rFonts w:ascii="仿宋" w:eastAsia="仿宋" w:hAnsi="仿宋" w:cs="仿宋"/>
          <w:spacing w:val="19"/>
        </w:rPr>
        <w:t>腌制对脂肪的影响</w:t>
      </w:r>
    </w:p>
    <w:p w:rsidR="00EA40A3" w:rsidRDefault="00E86C16">
      <w:pPr>
        <w:spacing w:before="203" w:line="257" w:lineRule="auto"/>
        <w:ind w:left="50" w:right="95" w:firstLine="419"/>
        <w:jc w:val="both"/>
        <w:rPr>
          <w:rFonts w:ascii="宋体" w:eastAsia="宋体" w:hAnsi="宋体" w:cs="宋体"/>
        </w:rPr>
      </w:pPr>
      <w:r>
        <w:rPr>
          <w:rFonts w:ascii="宋体" w:eastAsia="宋体" w:hAnsi="宋体" w:cs="宋体"/>
          <w:spacing w:val="-3"/>
        </w:rPr>
        <w:t>腌制过程中亚硝酸盐和硝酸盐不仅对肉制品的色泽有影响，对腌制品的风味</w:t>
      </w:r>
      <w:r>
        <w:rPr>
          <w:rFonts w:ascii="宋体" w:eastAsia="宋体" w:hAnsi="宋体" w:cs="宋体"/>
          <w:spacing w:val="16"/>
        </w:rPr>
        <w:t xml:space="preserve"> </w:t>
      </w:r>
      <w:r>
        <w:rPr>
          <w:rFonts w:ascii="宋体" w:eastAsia="宋体" w:hAnsi="宋体" w:cs="宋体"/>
          <w:spacing w:val="-2"/>
        </w:rPr>
        <w:t>也有很大的影响，它们的还原性导致肉中会产生一</w:t>
      </w:r>
      <w:r>
        <w:rPr>
          <w:rFonts w:ascii="宋体" w:eastAsia="宋体" w:hAnsi="宋体" w:cs="宋体"/>
          <w:spacing w:val="-3"/>
        </w:rPr>
        <w:t>系列的变化，并防止或延缓了</w:t>
      </w:r>
      <w:r>
        <w:rPr>
          <w:rFonts w:ascii="宋体" w:eastAsia="宋体" w:hAnsi="宋体" w:cs="宋体"/>
        </w:rPr>
        <w:t xml:space="preserve"> </w:t>
      </w:r>
      <w:r>
        <w:rPr>
          <w:rFonts w:ascii="宋体" w:eastAsia="宋体" w:hAnsi="宋体" w:cs="宋体"/>
          <w:spacing w:val="-3"/>
        </w:rPr>
        <w:t>脂肪的氧化。脂肪含量对成熟腌制品的风味有影响，多脂鱼腌制后的风味胜过少</w:t>
      </w:r>
      <w:r>
        <w:rPr>
          <w:rFonts w:ascii="宋体" w:eastAsia="宋体" w:hAnsi="宋体" w:cs="宋体"/>
          <w:spacing w:val="11"/>
        </w:rPr>
        <w:t xml:space="preserve"> </w:t>
      </w:r>
      <w:r>
        <w:rPr>
          <w:rFonts w:ascii="宋体" w:eastAsia="宋体" w:hAnsi="宋体" w:cs="宋体"/>
          <w:spacing w:val="-3"/>
        </w:rPr>
        <w:t>脂鱼。有人认为脂肪在弱碱性条件下将分解成甘油和脂肪酸，而后者将与硝酸盐</w:t>
      </w:r>
      <w:r>
        <w:rPr>
          <w:rFonts w:ascii="宋体" w:eastAsia="宋体" w:hAnsi="宋体" w:cs="宋体"/>
          <w:spacing w:val="2"/>
        </w:rPr>
        <w:t xml:space="preserve"> </w:t>
      </w:r>
      <w:r>
        <w:rPr>
          <w:rFonts w:ascii="宋体" w:eastAsia="宋体" w:hAnsi="宋体" w:cs="宋体"/>
          <w:spacing w:val="-3"/>
        </w:rPr>
        <w:t>和亚硝酸盐还原生成的碱类化合物合成皂化，其结果将降低肉制品的油腻感。少</w:t>
      </w:r>
      <w:r>
        <w:rPr>
          <w:rFonts w:ascii="宋体" w:eastAsia="宋体" w:hAnsi="宋体" w:cs="宋体"/>
          <w:spacing w:val="11"/>
        </w:rPr>
        <w:t xml:space="preserve"> </w:t>
      </w:r>
      <w:r>
        <w:rPr>
          <w:rFonts w:ascii="宋体" w:eastAsia="宋体" w:hAnsi="宋体" w:cs="宋体"/>
          <w:spacing w:val="-3"/>
        </w:rPr>
        <w:t>量甘油还可使腌制品润泽、略带甜味。腌制咸猪腿肉，其面上的脂肪增加了腌肉</w:t>
      </w:r>
      <w:r>
        <w:rPr>
          <w:rFonts w:ascii="宋体" w:eastAsia="宋体" w:hAnsi="宋体" w:cs="宋体"/>
          <w:spacing w:val="14"/>
        </w:rPr>
        <w:t xml:space="preserve"> </w:t>
      </w:r>
      <w:r>
        <w:rPr>
          <w:rFonts w:ascii="宋体" w:eastAsia="宋体" w:hAnsi="宋体" w:cs="宋体"/>
          <w:spacing w:val="-11"/>
        </w:rPr>
        <w:t>特有的风味。</w:t>
      </w:r>
    </w:p>
    <w:p w:rsidR="00EA40A3" w:rsidRDefault="00E86C16">
      <w:pPr>
        <w:spacing w:before="247" w:line="222" w:lineRule="auto"/>
        <w:ind w:left="50"/>
        <w:rPr>
          <w:rFonts w:ascii="仿宋" w:eastAsia="仿宋" w:hAnsi="仿宋" w:cs="仿宋"/>
        </w:rPr>
      </w:pPr>
      <w:r>
        <w:rPr>
          <w:rFonts w:ascii="仿宋" w:eastAsia="仿宋" w:hAnsi="仿宋" w:cs="仿宋"/>
          <w:spacing w:val="21"/>
        </w:rPr>
        <w:t>2.</w:t>
      </w:r>
      <w:r>
        <w:rPr>
          <w:rFonts w:ascii="仿宋" w:eastAsia="仿宋" w:hAnsi="仿宋" w:cs="仿宋"/>
          <w:spacing w:val="-16"/>
        </w:rPr>
        <w:t xml:space="preserve"> </w:t>
      </w:r>
      <w:r>
        <w:rPr>
          <w:rFonts w:ascii="仿宋" w:eastAsia="仿宋" w:hAnsi="仿宋" w:cs="仿宋"/>
          <w:spacing w:val="21"/>
        </w:rPr>
        <w:t>腌制对蛋白质的影响</w:t>
      </w:r>
    </w:p>
    <w:p w:rsidR="00EA40A3" w:rsidRDefault="00E86C16">
      <w:pPr>
        <w:spacing w:before="219" w:line="253" w:lineRule="auto"/>
        <w:ind w:left="50" w:right="116" w:firstLine="419"/>
        <w:jc w:val="both"/>
        <w:rPr>
          <w:rFonts w:ascii="宋体" w:eastAsia="宋体" w:hAnsi="宋体" w:cs="宋体"/>
        </w:rPr>
      </w:pPr>
      <w:r>
        <w:rPr>
          <w:rFonts w:ascii="宋体" w:eastAsia="宋体" w:hAnsi="宋体" w:cs="宋体"/>
          <w:spacing w:val="-3"/>
        </w:rPr>
        <w:t>在腌制过程中，蛋白质发生明显变化，产生了氨基酸、胺和其他成分</w:t>
      </w:r>
      <w:r>
        <w:rPr>
          <w:rFonts w:ascii="宋体" w:eastAsia="宋体" w:hAnsi="宋体" w:cs="宋体"/>
          <w:spacing w:val="-4"/>
        </w:rPr>
        <w:t>。在腌</w:t>
      </w:r>
      <w:r>
        <w:rPr>
          <w:rFonts w:ascii="宋体" w:eastAsia="宋体" w:hAnsi="宋体" w:cs="宋体"/>
        </w:rPr>
        <w:t xml:space="preserve"> </w:t>
      </w:r>
      <w:r>
        <w:rPr>
          <w:rFonts w:ascii="宋体" w:eastAsia="宋体" w:hAnsi="宋体" w:cs="宋体"/>
          <w:spacing w:val="-3"/>
        </w:rPr>
        <w:t>制时，肌肉组织中的一部分可溶性物质溶解到盐水中，如肌球蛋白、肌动球蛋白</w:t>
      </w:r>
      <w:r>
        <w:rPr>
          <w:rFonts w:ascii="宋体" w:eastAsia="宋体" w:hAnsi="宋体" w:cs="宋体"/>
        </w:rPr>
        <w:t xml:space="preserve"> </w:t>
      </w:r>
      <w:r>
        <w:rPr>
          <w:rFonts w:ascii="宋体" w:eastAsia="宋体" w:hAnsi="宋体" w:cs="宋体"/>
          <w:spacing w:val="3"/>
        </w:rPr>
        <w:t>等。这些营养物质成为微生物生长的物质基础，同时，也是成熟</w:t>
      </w:r>
      <w:r>
        <w:rPr>
          <w:rFonts w:ascii="宋体" w:eastAsia="宋体" w:hAnsi="宋体" w:cs="宋体"/>
          <w:spacing w:val="2"/>
        </w:rPr>
        <w:t>腌制品风味的</w:t>
      </w:r>
      <w:r>
        <w:rPr>
          <w:rFonts w:ascii="宋体" w:eastAsia="宋体" w:hAnsi="宋体" w:cs="宋体"/>
        </w:rPr>
        <w:t xml:space="preserve"> </w:t>
      </w:r>
      <w:r>
        <w:rPr>
          <w:rFonts w:ascii="宋体" w:eastAsia="宋体" w:hAnsi="宋体" w:cs="宋体"/>
          <w:spacing w:val="-9"/>
        </w:rPr>
        <w:t>来源。</w:t>
      </w:r>
    </w:p>
    <w:p w:rsidR="00EA40A3" w:rsidRDefault="00E86C16">
      <w:pPr>
        <w:spacing w:before="247" w:line="222" w:lineRule="auto"/>
        <w:ind w:left="50"/>
        <w:rPr>
          <w:rFonts w:ascii="仿宋" w:eastAsia="仿宋" w:hAnsi="仿宋" w:cs="仿宋"/>
        </w:rPr>
      </w:pPr>
      <w:r>
        <w:rPr>
          <w:rFonts w:ascii="仿宋" w:eastAsia="仿宋" w:hAnsi="仿宋" w:cs="仿宋"/>
          <w:spacing w:val="20"/>
        </w:rPr>
        <w:t>3.</w:t>
      </w:r>
      <w:r>
        <w:rPr>
          <w:rFonts w:ascii="仿宋" w:eastAsia="仿宋" w:hAnsi="仿宋" w:cs="仿宋"/>
          <w:spacing w:val="-5"/>
        </w:rPr>
        <w:t xml:space="preserve"> </w:t>
      </w:r>
      <w:r>
        <w:rPr>
          <w:rFonts w:ascii="仿宋" w:eastAsia="仿宋" w:hAnsi="仿宋" w:cs="仿宋"/>
          <w:spacing w:val="20"/>
        </w:rPr>
        <w:t>腌制对维生素的影响</w:t>
      </w:r>
    </w:p>
    <w:p w:rsidR="00EA40A3" w:rsidRDefault="00E86C16">
      <w:pPr>
        <w:spacing w:before="200" w:line="242" w:lineRule="auto"/>
        <w:ind w:left="50" w:right="128" w:firstLine="419"/>
        <w:rPr>
          <w:rFonts w:ascii="宋体" w:eastAsia="宋体" w:hAnsi="宋体" w:cs="宋体"/>
        </w:rPr>
      </w:pPr>
      <w:r>
        <w:rPr>
          <w:rFonts w:ascii="宋体" w:eastAsia="宋体" w:hAnsi="宋体" w:cs="宋体"/>
          <w:spacing w:val="3"/>
        </w:rPr>
        <w:t>对果蔬制品而言，糖煮过程经热处理，维生素C</w:t>
      </w:r>
      <w:r>
        <w:rPr>
          <w:rFonts w:ascii="宋体" w:eastAsia="宋体" w:hAnsi="宋体" w:cs="宋体"/>
          <w:spacing w:val="-1"/>
        </w:rPr>
        <w:t xml:space="preserve"> </w:t>
      </w:r>
      <w:r>
        <w:rPr>
          <w:rFonts w:ascii="宋体" w:eastAsia="宋体" w:hAnsi="宋体" w:cs="宋体"/>
          <w:spacing w:val="3"/>
        </w:rPr>
        <w:t>损失较多。糖腌不需要加</w:t>
      </w:r>
      <w:r>
        <w:rPr>
          <w:rFonts w:ascii="宋体" w:eastAsia="宋体" w:hAnsi="宋体" w:cs="宋体"/>
        </w:rPr>
        <w:t xml:space="preserve"> </w:t>
      </w:r>
      <w:r>
        <w:rPr>
          <w:rFonts w:ascii="宋体" w:eastAsia="宋体" w:hAnsi="宋体" w:cs="宋体"/>
          <w:spacing w:val="-2"/>
        </w:rPr>
        <w:t>热处理，产品中的维生素C</w:t>
      </w:r>
      <w:r>
        <w:rPr>
          <w:rFonts w:ascii="宋体" w:eastAsia="宋体" w:hAnsi="宋体" w:cs="宋体"/>
          <w:spacing w:val="-11"/>
        </w:rPr>
        <w:t xml:space="preserve"> </w:t>
      </w:r>
      <w:r>
        <w:rPr>
          <w:rFonts w:ascii="宋体" w:eastAsia="宋体" w:hAnsi="宋体" w:cs="宋体"/>
          <w:spacing w:val="-2"/>
        </w:rPr>
        <w:t>损失较少，但产品含水量高，不利于保藏。</w:t>
      </w:r>
    </w:p>
    <w:p w:rsidR="00EA40A3" w:rsidRDefault="00E86C16">
      <w:pPr>
        <w:spacing w:before="68" w:line="254" w:lineRule="auto"/>
        <w:ind w:left="50" w:right="59" w:firstLine="419"/>
        <w:rPr>
          <w:rFonts w:ascii="宋体" w:eastAsia="宋体" w:hAnsi="宋体" w:cs="宋体"/>
        </w:rPr>
      </w:pPr>
      <w:r>
        <w:rPr>
          <w:rFonts w:ascii="宋体" w:eastAsia="宋体" w:hAnsi="宋体" w:cs="宋体"/>
          <w:spacing w:val="2"/>
        </w:rPr>
        <w:t>用10%的食盐腌制香椿，在腌制初期，由于水分渗出及淀</w:t>
      </w:r>
      <w:r>
        <w:rPr>
          <w:rFonts w:ascii="宋体" w:eastAsia="宋体" w:hAnsi="宋体" w:cs="宋体"/>
          <w:spacing w:val="1"/>
        </w:rPr>
        <w:t>粉水解成葡萄糖，</w:t>
      </w:r>
      <w:r>
        <w:rPr>
          <w:rFonts w:ascii="宋体" w:eastAsia="宋体" w:hAnsi="宋体" w:cs="宋体"/>
        </w:rPr>
        <w:t xml:space="preserve"> </w:t>
      </w:r>
      <w:r>
        <w:rPr>
          <w:rFonts w:ascii="宋体" w:eastAsia="宋体" w:hAnsi="宋体" w:cs="宋体"/>
          <w:spacing w:val="-3"/>
        </w:rPr>
        <w:t>总糖含量呈现累积升高趋势，随着腌制时间增加，淀粉酶活性降低，而乳酸发酵</w:t>
      </w:r>
      <w:r>
        <w:rPr>
          <w:rFonts w:ascii="宋体" w:eastAsia="宋体" w:hAnsi="宋体" w:cs="宋体"/>
          <w:spacing w:val="2"/>
        </w:rPr>
        <w:t xml:space="preserve"> </w:t>
      </w:r>
      <w:r>
        <w:rPr>
          <w:rFonts w:ascii="宋体" w:eastAsia="宋体" w:hAnsi="宋体" w:cs="宋体"/>
          <w:spacing w:val="3"/>
        </w:rPr>
        <w:t>又使总糖含量略有降低。在香椿腌制中，维生素C</w:t>
      </w:r>
      <w:r>
        <w:rPr>
          <w:rFonts w:ascii="宋体" w:eastAsia="宋体" w:hAnsi="宋体" w:cs="宋体"/>
          <w:spacing w:val="16"/>
        </w:rPr>
        <w:t xml:space="preserve"> </w:t>
      </w:r>
      <w:r>
        <w:rPr>
          <w:rFonts w:ascii="宋体" w:eastAsia="宋体" w:hAnsi="宋体" w:cs="宋体"/>
          <w:spacing w:val="3"/>
        </w:rPr>
        <w:t>由于</w:t>
      </w:r>
      <w:r>
        <w:rPr>
          <w:rFonts w:ascii="宋体" w:eastAsia="宋体" w:hAnsi="宋体" w:cs="宋体"/>
          <w:spacing w:val="2"/>
        </w:rPr>
        <w:t>揉搓，细胞破裂，汁液</w:t>
      </w:r>
      <w:r>
        <w:rPr>
          <w:rFonts w:ascii="宋体" w:eastAsia="宋体" w:hAnsi="宋体" w:cs="宋体"/>
        </w:rPr>
        <w:t xml:space="preserve"> </w:t>
      </w:r>
      <w:r>
        <w:rPr>
          <w:rFonts w:ascii="宋体" w:eastAsia="宋体" w:hAnsi="宋体" w:cs="宋体"/>
          <w:spacing w:val="4"/>
        </w:rPr>
        <w:t>流失，加之维生素C</w:t>
      </w:r>
      <w:r>
        <w:rPr>
          <w:rFonts w:ascii="宋体" w:eastAsia="宋体" w:hAnsi="宋体" w:cs="宋体"/>
          <w:spacing w:val="-10"/>
        </w:rPr>
        <w:t xml:space="preserve"> </w:t>
      </w:r>
      <w:r>
        <w:rPr>
          <w:rFonts w:ascii="宋体" w:eastAsia="宋体" w:hAnsi="宋体" w:cs="宋体"/>
          <w:spacing w:val="4"/>
        </w:rPr>
        <w:t>酶的作用，维生素C</w:t>
      </w:r>
      <w:r>
        <w:rPr>
          <w:rFonts w:ascii="宋体" w:eastAsia="宋体" w:hAnsi="宋体" w:cs="宋体"/>
          <w:spacing w:val="-3"/>
        </w:rPr>
        <w:t xml:space="preserve"> </w:t>
      </w:r>
      <w:r>
        <w:rPr>
          <w:rFonts w:ascii="宋体" w:eastAsia="宋体" w:hAnsi="宋体" w:cs="宋体"/>
          <w:spacing w:val="4"/>
        </w:rPr>
        <w:t>被氧化而减少，蛋白质变化不大。由</w:t>
      </w:r>
      <w:r>
        <w:rPr>
          <w:rFonts w:ascii="宋体" w:eastAsia="宋体" w:hAnsi="宋体" w:cs="宋体"/>
        </w:rPr>
        <w:t xml:space="preserve"> </w:t>
      </w:r>
      <w:r>
        <w:rPr>
          <w:rFonts w:ascii="宋体" w:eastAsia="宋体" w:hAnsi="宋体" w:cs="宋体"/>
          <w:spacing w:val="1"/>
        </w:rPr>
        <w:t>于渗透压高，干物质含量略有增加，水分略有降低(见表7-12),</w:t>
      </w:r>
    </w:p>
    <w:p w:rsidR="00EA40A3" w:rsidRDefault="00E86C16">
      <w:pPr>
        <w:spacing w:before="163" w:line="221" w:lineRule="auto"/>
        <w:ind w:left="1342"/>
        <w:rPr>
          <w:rFonts w:ascii="黑体" w:eastAsia="黑体" w:hAnsi="黑体" w:cs="黑体"/>
        </w:rPr>
      </w:pPr>
      <w:r>
        <w:rPr>
          <w:rFonts w:ascii="黑体" w:eastAsia="黑体" w:hAnsi="黑体" w:cs="黑体"/>
          <w:b/>
          <w:bCs/>
          <w:spacing w:val="-18"/>
          <w:w w:val="96"/>
        </w:rPr>
        <w:t>表7-12</w:t>
      </w:r>
      <w:r>
        <w:rPr>
          <w:rFonts w:ascii="黑体" w:eastAsia="黑体" w:hAnsi="黑体" w:cs="黑体"/>
          <w:spacing w:val="67"/>
        </w:rPr>
        <w:t xml:space="preserve"> </w:t>
      </w:r>
      <w:r>
        <w:rPr>
          <w:rFonts w:ascii="黑体" w:eastAsia="黑体" w:hAnsi="黑体" w:cs="黑体"/>
          <w:b/>
          <w:bCs/>
          <w:spacing w:val="-18"/>
          <w:w w:val="96"/>
        </w:rPr>
        <w:t>10%食盐腌制香椿在不同存放时间营养品质的变化</w:t>
      </w:r>
    </w:p>
    <w:p w:rsidR="00EA40A3" w:rsidRDefault="00EA40A3">
      <w:pPr>
        <w:spacing w:line="20" w:lineRule="exact"/>
      </w:pP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85"/>
        <w:gridCol w:w="641"/>
        <w:gridCol w:w="691"/>
        <w:gridCol w:w="709"/>
        <w:gridCol w:w="705"/>
        <w:gridCol w:w="700"/>
        <w:gridCol w:w="625"/>
        <w:gridCol w:w="875"/>
        <w:gridCol w:w="622"/>
        <w:gridCol w:w="787"/>
      </w:tblGrid>
      <w:tr w:rsidR="00EA40A3">
        <w:trPr>
          <w:trHeight w:val="334"/>
        </w:trPr>
        <w:tc>
          <w:tcPr>
            <w:tcW w:w="985" w:type="dxa"/>
            <w:tcBorders>
              <w:top w:val="single" w:sz="4" w:space="0" w:color="000000"/>
            </w:tcBorders>
          </w:tcPr>
          <w:p w:rsidR="00EA40A3" w:rsidRDefault="00E86C16">
            <w:pPr>
              <w:spacing w:before="121" w:line="219" w:lineRule="auto"/>
              <w:ind w:left="80"/>
              <w:rPr>
                <w:rFonts w:ascii="宋体" w:eastAsia="宋体" w:hAnsi="宋体" w:cs="宋体"/>
                <w:sz w:val="16"/>
                <w:szCs w:val="16"/>
              </w:rPr>
            </w:pPr>
            <w:r>
              <w:rPr>
                <w:rFonts w:ascii="宋体" w:eastAsia="宋体" w:hAnsi="宋体" w:cs="宋体"/>
                <w:spacing w:val="-1"/>
                <w:sz w:val="16"/>
                <w:szCs w:val="16"/>
              </w:rPr>
              <w:t>存放时间/d</w:t>
            </w:r>
          </w:p>
        </w:tc>
        <w:tc>
          <w:tcPr>
            <w:tcW w:w="641" w:type="dxa"/>
            <w:tcBorders>
              <w:top w:val="single" w:sz="4" w:space="0" w:color="000000"/>
            </w:tcBorders>
          </w:tcPr>
          <w:p w:rsidR="00EA40A3" w:rsidRDefault="00E86C16">
            <w:pPr>
              <w:spacing w:before="161" w:line="184" w:lineRule="auto"/>
              <w:ind w:left="225"/>
              <w:rPr>
                <w:rFonts w:ascii="宋体" w:eastAsia="宋体" w:hAnsi="宋体" w:cs="宋体"/>
                <w:sz w:val="16"/>
                <w:szCs w:val="16"/>
              </w:rPr>
            </w:pPr>
            <w:r>
              <w:rPr>
                <w:rFonts w:ascii="宋体" w:eastAsia="宋体" w:hAnsi="宋体" w:cs="宋体"/>
                <w:sz w:val="16"/>
                <w:szCs w:val="16"/>
              </w:rPr>
              <w:t>1</w:t>
            </w:r>
          </w:p>
        </w:tc>
        <w:tc>
          <w:tcPr>
            <w:tcW w:w="691" w:type="dxa"/>
            <w:tcBorders>
              <w:top w:val="single" w:sz="4" w:space="0" w:color="000000"/>
            </w:tcBorders>
          </w:tcPr>
          <w:p w:rsidR="00EA40A3" w:rsidRDefault="00E86C16">
            <w:pPr>
              <w:spacing w:before="153" w:line="182" w:lineRule="auto"/>
              <w:ind w:left="304"/>
              <w:rPr>
                <w:rFonts w:ascii="宋体" w:eastAsia="宋体" w:hAnsi="宋体" w:cs="宋体"/>
                <w:sz w:val="16"/>
                <w:szCs w:val="16"/>
              </w:rPr>
            </w:pPr>
            <w:r>
              <w:rPr>
                <w:rFonts w:ascii="宋体" w:eastAsia="宋体" w:hAnsi="宋体" w:cs="宋体"/>
                <w:sz w:val="16"/>
                <w:szCs w:val="16"/>
              </w:rPr>
              <w:t>5</w:t>
            </w:r>
          </w:p>
        </w:tc>
        <w:tc>
          <w:tcPr>
            <w:tcW w:w="709" w:type="dxa"/>
            <w:tcBorders>
              <w:top w:val="single" w:sz="4" w:space="0" w:color="000000"/>
            </w:tcBorders>
          </w:tcPr>
          <w:p w:rsidR="00EA40A3" w:rsidRDefault="00E86C16">
            <w:pPr>
              <w:spacing w:before="152" w:line="184" w:lineRule="auto"/>
              <w:ind w:left="283"/>
              <w:rPr>
                <w:rFonts w:ascii="宋体" w:eastAsia="宋体" w:hAnsi="宋体" w:cs="宋体"/>
                <w:sz w:val="16"/>
                <w:szCs w:val="16"/>
              </w:rPr>
            </w:pPr>
            <w:r>
              <w:rPr>
                <w:rFonts w:ascii="宋体" w:eastAsia="宋体" w:hAnsi="宋体" w:cs="宋体"/>
                <w:spacing w:val="-5"/>
                <w:sz w:val="16"/>
                <w:szCs w:val="16"/>
              </w:rPr>
              <w:t>10</w:t>
            </w:r>
          </w:p>
        </w:tc>
        <w:tc>
          <w:tcPr>
            <w:tcW w:w="705" w:type="dxa"/>
            <w:tcBorders>
              <w:top w:val="single" w:sz="4" w:space="0" w:color="000000"/>
            </w:tcBorders>
          </w:tcPr>
          <w:p w:rsidR="00EA40A3" w:rsidRDefault="00E86C16">
            <w:pPr>
              <w:spacing w:before="152" w:line="184" w:lineRule="auto"/>
              <w:ind w:left="283"/>
              <w:rPr>
                <w:rFonts w:ascii="宋体" w:eastAsia="宋体" w:hAnsi="宋体" w:cs="宋体"/>
                <w:sz w:val="16"/>
                <w:szCs w:val="16"/>
              </w:rPr>
            </w:pPr>
            <w:r>
              <w:rPr>
                <w:rFonts w:ascii="宋体" w:eastAsia="宋体" w:hAnsi="宋体" w:cs="宋体"/>
                <w:spacing w:val="-5"/>
                <w:sz w:val="16"/>
                <w:szCs w:val="16"/>
              </w:rPr>
              <w:t>15</w:t>
            </w:r>
          </w:p>
        </w:tc>
        <w:tc>
          <w:tcPr>
            <w:tcW w:w="700" w:type="dxa"/>
            <w:tcBorders>
              <w:top w:val="single" w:sz="4" w:space="0" w:color="000000"/>
            </w:tcBorders>
          </w:tcPr>
          <w:p w:rsidR="00EA40A3" w:rsidRDefault="00E86C16">
            <w:pPr>
              <w:spacing w:before="152" w:line="183" w:lineRule="auto"/>
              <w:ind w:left="279"/>
              <w:rPr>
                <w:rFonts w:ascii="宋体" w:eastAsia="宋体" w:hAnsi="宋体" w:cs="宋体"/>
                <w:sz w:val="16"/>
                <w:szCs w:val="16"/>
              </w:rPr>
            </w:pPr>
            <w:r>
              <w:rPr>
                <w:rFonts w:ascii="宋体" w:eastAsia="宋体" w:hAnsi="宋体" w:cs="宋体"/>
                <w:spacing w:val="-3"/>
                <w:sz w:val="16"/>
                <w:szCs w:val="16"/>
              </w:rPr>
              <w:t>20</w:t>
            </w:r>
          </w:p>
        </w:tc>
        <w:tc>
          <w:tcPr>
            <w:tcW w:w="625" w:type="dxa"/>
            <w:tcBorders>
              <w:top w:val="single" w:sz="4" w:space="0" w:color="000000"/>
            </w:tcBorders>
          </w:tcPr>
          <w:p w:rsidR="00EA40A3" w:rsidRDefault="00E86C16">
            <w:pPr>
              <w:spacing w:before="152" w:line="183" w:lineRule="auto"/>
              <w:ind w:left="279"/>
              <w:rPr>
                <w:rFonts w:ascii="宋体" w:eastAsia="宋体" w:hAnsi="宋体" w:cs="宋体"/>
                <w:sz w:val="16"/>
                <w:szCs w:val="16"/>
              </w:rPr>
            </w:pPr>
            <w:r>
              <w:rPr>
                <w:rFonts w:ascii="宋体" w:eastAsia="宋体" w:hAnsi="宋体" w:cs="宋体"/>
                <w:spacing w:val="-3"/>
                <w:sz w:val="16"/>
                <w:szCs w:val="16"/>
              </w:rPr>
              <w:t>27</w:t>
            </w:r>
          </w:p>
        </w:tc>
        <w:tc>
          <w:tcPr>
            <w:tcW w:w="875" w:type="dxa"/>
            <w:tcBorders>
              <w:top w:val="single" w:sz="4" w:space="0" w:color="000000"/>
            </w:tcBorders>
          </w:tcPr>
          <w:p w:rsidR="00EA40A3" w:rsidRDefault="00825D12">
            <w:pPr>
              <w:spacing w:before="152" w:line="183" w:lineRule="auto"/>
              <w:ind w:left="363"/>
              <w:rPr>
                <w:rFonts w:ascii="宋体" w:eastAsia="宋体" w:hAnsi="宋体" w:cs="宋体"/>
                <w:sz w:val="16"/>
                <w:szCs w:val="16"/>
              </w:rPr>
            </w:pPr>
            <w:r>
              <w:rPr>
                <w:noProof/>
              </w:rPr>
              <mc:AlternateContent>
                <mc:Choice Requires="wps">
                  <w:drawing>
                    <wp:anchor distT="0" distB="0" distL="114300" distR="114300" simplePos="0" relativeHeight="251703296" behindDoc="1" locked="0" layoutInCell="1" allowOverlap="1">
                      <wp:simplePos x="0" y="0"/>
                      <wp:positionH relativeFrom="column">
                        <wp:posOffset>53340</wp:posOffset>
                      </wp:positionH>
                      <wp:positionV relativeFrom="paragraph">
                        <wp:posOffset>-3175</wp:posOffset>
                      </wp:positionV>
                      <wp:extent cx="450215" cy="203200"/>
                      <wp:effectExtent l="12065" t="10160" r="13970" b="5715"/>
                      <wp:wrapNone/>
                      <wp:docPr id="1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203200"/>
                              </a:xfrm>
                              <a:custGeom>
                                <a:avLst/>
                                <a:gdLst>
                                  <a:gd name="T0" fmla="*/ 715 w 715"/>
                                  <a:gd name="T1" fmla="*/ 330 h 330"/>
                                  <a:gd name="T2" fmla="*/ 0 w 715"/>
                                  <a:gd name="T3" fmla="*/ 0 h 330"/>
                                </a:gdLst>
                                <a:ahLst/>
                                <a:cxnLst>
                                  <a:cxn ang="0">
                                    <a:pos x="T0" y="T1"/>
                                  </a:cxn>
                                  <a:cxn ang="0">
                                    <a:pos x="T2" y="T3"/>
                                  </a:cxn>
                                </a:cxnLst>
                                <a:rect l="0" t="0" r="r" b="b"/>
                                <a:pathLst>
                                  <a:path w="715" h="330">
                                    <a:moveTo>
                                      <a:pt x="715" y="330"/>
                                    </a:moveTo>
                                    <a:lnTo>
                                      <a:pt x="0"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02249" id="Freeform 32" o:spid="_x0000_s1026" style="position:absolute;left:0;text-align:left;margin-left:4.2pt;margin-top:-.25pt;width:35.45pt;height: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1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" path="m715,330l,e" filled="f" strokeweight=".5pt">
                      <v:stroke miterlimit="10" joinstyle="miter"/>
                      <v:path o:connecttype="custom" o:connectlocs="450215,203200;0,0" o:connectangles="0,0"/>
                    </v:shape>
                  </w:pict>
                </mc:Fallback>
              </mc:AlternateContent>
            </w:r>
            <w:r w:rsidR="00E86C16">
              <w:rPr>
                <w:rFonts w:ascii="宋体" w:eastAsia="宋体" w:hAnsi="宋体" w:cs="宋体"/>
                <w:spacing w:val="-2"/>
                <w:sz w:val="16"/>
                <w:szCs w:val="16"/>
              </w:rPr>
              <w:t>40</w:t>
            </w:r>
          </w:p>
        </w:tc>
        <w:tc>
          <w:tcPr>
            <w:tcW w:w="622" w:type="dxa"/>
            <w:tcBorders>
              <w:top w:val="single" w:sz="4" w:space="0" w:color="000000"/>
            </w:tcBorders>
          </w:tcPr>
          <w:p w:rsidR="00EA40A3" w:rsidRDefault="00E86C16">
            <w:pPr>
              <w:spacing w:before="142" w:line="183" w:lineRule="auto"/>
              <w:ind w:left="199"/>
              <w:rPr>
                <w:rFonts w:ascii="宋体" w:eastAsia="宋体" w:hAnsi="宋体" w:cs="宋体"/>
                <w:sz w:val="16"/>
                <w:szCs w:val="16"/>
              </w:rPr>
            </w:pPr>
            <w:r>
              <w:rPr>
                <w:rFonts w:ascii="宋体" w:eastAsia="宋体" w:hAnsi="宋体" w:cs="宋体"/>
                <w:spacing w:val="-3"/>
                <w:sz w:val="16"/>
                <w:szCs w:val="16"/>
              </w:rPr>
              <w:t>50</w:t>
            </w:r>
          </w:p>
        </w:tc>
        <w:tc>
          <w:tcPr>
            <w:tcW w:w="787" w:type="dxa"/>
            <w:tcBorders>
              <w:top w:val="single" w:sz="4" w:space="0" w:color="000000"/>
            </w:tcBorders>
          </w:tcPr>
          <w:p w:rsidR="00EA40A3" w:rsidRDefault="00E86C16">
            <w:pPr>
              <w:spacing w:before="91" w:line="219" w:lineRule="auto"/>
              <w:ind w:left="157"/>
              <w:rPr>
                <w:rFonts w:ascii="宋体" w:eastAsia="宋体" w:hAnsi="宋体" w:cs="宋体"/>
                <w:sz w:val="16"/>
                <w:szCs w:val="16"/>
              </w:rPr>
            </w:pPr>
            <w:r>
              <w:rPr>
                <w:rFonts w:ascii="宋体" w:eastAsia="宋体" w:hAnsi="宋体" w:cs="宋体"/>
                <w:spacing w:val="-2"/>
                <w:sz w:val="16"/>
                <w:szCs w:val="16"/>
              </w:rPr>
              <w:t>鲜香椿</w:t>
            </w:r>
          </w:p>
        </w:tc>
      </w:tr>
      <w:tr w:rsidR="00EA40A3">
        <w:trPr>
          <w:trHeight w:val="278"/>
        </w:trPr>
        <w:tc>
          <w:tcPr>
            <w:tcW w:w="985" w:type="dxa"/>
          </w:tcPr>
          <w:p w:rsidR="00EA40A3" w:rsidRDefault="00E86C16">
            <w:pPr>
              <w:spacing w:before="58" w:line="220" w:lineRule="auto"/>
              <w:ind w:left="239"/>
              <w:rPr>
                <w:rFonts w:ascii="宋体" w:eastAsia="宋体" w:hAnsi="宋体" w:cs="宋体"/>
                <w:sz w:val="16"/>
                <w:szCs w:val="16"/>
              </w:rPr>
            </w:pPr>
            <w:r>
              <w:rPr>
                <w:rFonts w:ascii="宋体" w:eastAsia="宋体" w:hAnsi="宋体" w:cs="宋体"/>
                <w:spacing w:val="-3"/>
                <w:sz w:val="16"/>
                <w:szCs w:val="16"/>
              </w:rPr>
              <w:t>总糖/%</w:t>
            </w:r>
          </w:p>
        </w:tc>
        <w:tc>
          <w:tcPr>
            <w:tcW w:w="641" w:type="dxa"/>
          </w:tcPr>
          <w:p w:rsidR="00EA40A3" w:rsidRDefault="00E86C16">
            <w:pPr>
              <w:spacing w:before="108" w:line="183" w:lineRule="auto"/>
              <w:ind w:left="115"/>
              <w:rPr>
                <w:rFonts w:ascii="宋体" w:eastAsia="宋体" w:hAnsi="宋体" w:cs="宋体"/>
                <w:sz w:val="16"/>
                <w:szCs w:val="16"/>
              </w:rPr>
            </w:pPr>
            <w:r>
              <w:rPr>
                <w:rFonts w:ascii="宋体" w:eastAsia="宋体" w:hAnsi="宋体" w:cs="宋体"/>
                <w:spacing w:val="-2"/>
                <w:sz w:val="16"/>
                <w:szCs w:val="16"/>
              </w:rPr>
              <w:t>0.92</w:t>
            </w:r>
          </w:p>
        </w:tc>
        <w:tc>
          <w:tcPr>
            <w:tcW w:w="691" w:type="dxa"/>
          </w:tcPr>
          <w:p w:rsidR="00EA40A3" w:rsidRDefault="00E86C16">
            <w:pPr>
              <w:spacing w:before="108" w:line="184" w:lineRule="auto"/>
              <w:ind w:left="183"/>
              <w:rPr>
                <w:rFonts w:ascii="宋体" w:eastAsia="宋体" w:hAnsi="宋体" w:cs="宋体"/>
                <w:sz w:val="16"/>
                <w:szCs w:val="16"/>
              </w:rPr>
            </w:pPr>
            <w:r>
              <w:rPr>
                <w:rFonts w:ascii="宋体" w:eastAsia="宋体" w:hAnsi="宋体" w:cs="宋体"/>
                <w:spacing w:val="-4"/>
                <w:sz w:val="16"/>
                <w:szCs w:val="16"/>
              </w:rPr>
              <w:t>1.68</w:t>
            </w:r>
          </w:p>
        </w:tc>
        <w:tc>
          <w:tcPr>
            <w:tcW w:w="709" w:type="dxa"/>
          </w:tcPr>
          <w:p w:rsidR="00EA40A3" w:rsidRDefault="00E86C16">
            <w:pPr>
              <w:spacing w:before="108" w:line="184" w:lineRule="auto"/>
              <w:ind w:left="203"/>
              <w:rPr>
                <w:rFonts w:ascii="宋体" w:eastAsia="宋体" w:hAnsi="宋体" w:cs="宋体"/>
                <w:sz w:val="16"/>
                <w:szCs w:val="16"/>
              </w:rPr>
            </w:pPr>
            <w:r>
              <w:rPr>
                <w:rFonts w:ascii="宋体" w:eastAsia="宋体" w:hAnsi="宋体" w:cs="宋体"/>
                <w:spacing w:val="-2"/>
                <w:sz w:val="16"/>
                <w:szCs w:val="16"/>
              </w:rPr>
              <w:t>2.91</w:t>
            </w:r>
          </w:p>
        </w:tc>
        <w:tc>
          <w:tcPr>
            <w:tcW w:w="705" w:type="dxa"/>
          </w:tcPr>
          <w:p w:rsidR="00EA40A3" w:rsidRDefault="00E86C16">
            <w:pPr>
              <w:spacing w:before="98" w:line="183" w:lineRule="auto"/>
              <w:ind w:left="204"/>
              <w:rPr>
                <w:rFonts w:ascii="宋体" w:eastAsia="宋体" w:hAnsi="宋体" w:cs="宋体"/>
                <w:sz w:val="16"/>
                <w:szCs w:val="16"/>
              </w:rPr>
            </w:pPr>
            <w:r>
              <w:rPr>
                <w:rFonts w:ascii="宋体" w:eastAsia="宋体" w:hAnsi="宋体" w:cs="宋体"/>
                <w:spacing w:val="-2"/>
                <w:sz w:val="16"/>
                <w:szCs w:val="16"/>
              </w:rPr>
              <w:t>3.08</w:t>
            </w:r>
          </w:p>
        </w:tc>
        <w:tc>
          <w:tcPr>
            <w:tcW w:w="700" w:type="dxa"/>
          </w:tcPr>
          <w:p w:rsidR="00EA40A3" w:rsidRDefault="00E86C16">
            <w:pPr>
              <w:spacing w:before="88" w:line="183" w:lineRule="auto"/>
              <w:ind w:left="199"/>
              <w:rPr>
                <w:rFonts w:ascii="宋体" w:eastAsia="宋体" w:hAnsi="宋体" w:cs="宋体"/>
                <w:sz w:val="16"/>
                <w:szCs w:val="16"/>
              </w:rPr>
            </w:pPr>
            <w:r>
              <w:rPr>
                <w:rFonts w:ascii="宋体" w:eastAsia="宋体" w:hAnsi="宋体" w:cs="宋体"/>
                <w:spacing w:val="-2"/>
                <w:sz w:val="16"/>
                <w:szCs w:val="16"/>
              </w:rPr>
              <w:t>3.27</w:t>
            </w:r>
          </w:p>
        </w:tc>
        <w:tc>
          <w:tcPr>
            <w:tcW w:w="625" w:type="dxa"/>
          </w:tcPr>
          <w:p w:rsidR="00EA40A3" w:rsidRDefault="00E86C16">
            <w:pPr>
              <w:spacing w:before="88" w:line="184" w:lineRule="auto"/>
              <w:ind w:left="199"/>
              <w:rPr>
                <w:rFonts w:ascii="宋体" w:eastAsia="宋体" w:hAnsi="宋体" w:cs="宋体"/>
                <w:sz w:val="16"/>
                <w:szCs w:val="16"/>
              </w:rPr>
            </w:pPr>
            <w:r>
              <w:rPr>
                <w:rFonts w:ascii="宋体" w:eastAsia="宋体" w:hAnsi="宋体" w:cs="宋体"/>
                <w:spacing w:val="-2"/>
                <w:sz w:val="16"/>
                <w:szCs w:val="16"/>
              </w:rPr>
              <w:t>3.14</w:t>
            </w:r>
          </w:p>
        </w:tc>
        <w:tc>
          <w:tcPr>
            <w:tcW w:w="875" w:type="dxa"/>
          </w:tcPr>
          <w:p w:rsidR="00EA40A3" w:rsidRDefault="00E86C16">
            <w:pPr>
              <w:spacing w:before="88" w:line="183" w:lineRule="auto"/>
              <w:ind w:left="284"/>
              <w:rPr>
                <w:rFonts w:ascii="宋体" w:eastAsia="宋体" w:hAnsi="宋体" w:cs="宋体"/>
                <w:sz w:val="16"/>
                <w:szCs w:val="16"/>
              </w:rPr>
            </w:pPr>
            <w:r>
              <w:rPr>
                <w:rFonts w:ascii="宋体" w:eastAsia="宋体" w:hAnsi="宋体" w:cs="宋体"/>
                <w:spacing w:val="-2"/>
                <w:sz w:val="16"/>
                <w:szCs w:val="16"/>
              </w:rPr>
              <w:t>2.95</w:t>
            </w:r>
          </w:p>
        </w:tc>
        <w:tc>
          <w:tcPr>
            <w:tcW w:w="622" w:type="dxa"/>
          </w:tcPr>
          <w:p w:rsidR="00EA40A3" w:rsidRDefault="00E86C16">
            <w:pPr>
              <w:spacing w:before="88" w:line="184" w:lineRule="auto"/>
              <w:ind w:left="118"/>
              <w:rPr>
                <w:rFonts w:ascii="宋体" w:eastAsia="宋体" w:hAnsi="宋体" w:cs="宋体"/>
                <w:sz w:val="16"/>
                <w:szCs w:val="16"/>
              </w:rPr>
            </w:pPr>
            <w:r>
              <w:rPr>
                <w:rFonts w:ascii="宋体" w:eastAsia="宋体" w:hAnsi="宋体" w:cs="宋体"/>
                <w:spacing w:val="-2"/>
                <w:sz w:val="16"/>
                <w:szCs w:val="16"/>
              </w:rPr>
              <w:t>2.91</w:t>
            </w:r>
          </w:p>
        </w:tc>
        <w:tc>
          <w:tcPr>
            <w:tcW w:w="787" w:type="dxa"/>
          </w:tcPr>
          <w:p w:rsidR="00EA40A3" w:rsidRDefault="00E86C16">
            <w:pPr>
              <w:spacing w:before="88" w:line="183" w:lineRule="auto"/>
              <w:ind w:left="236"/>
              <w:rPr>
                <w:rFonts w:ascii="宋体" w:eastAsia="宋体" w:hAnsi="宋体" w:cs="宋体"/>
                <w:sz w:val="16"/>
                <w:szCs w:val="16"/>
              </w:rPr>
            </w:pPr>
            <w:r>
              <w:rPr>
                <w:rFonts w:ascii="宋体" w:eastAsia="宋体" w:hAnsi="宋体" w:cs="宋体"/>
                <w:spacing w:val="-2"/>
                <w:sz w:val="16"/>
                <w:szCs w:val="16"/>
              </w:rPr>
              <w:t>0.70</w:t>
            </w:r>
          </w:p>
        </w:tc>
      </w:tr>
      <w:tr w:rsidR="00EA40A3">
        <w:trPr>
          <w:trHeight w:val="538"/>
        </w:trPr>
        <w:tc>
          <w:tcPr>
            <w:tcW w:w="985" w:type="dxa"/>
          </w:tcPr>
          <w:p w:rsidR="00EA40A3" w:rsidRDefault="00E86C16">
            <w:pPr>
              <w:spacing w:before="60" w:line="265" w:lineRule="auto"/>
              <w:ind w:left="80" w:right="110" w:firstLine="119"/>
              <w:rPr>
                <w:rFonts w:ascii="宋体" w:eastAsia="宋体" w:hAnsi="宋体" w:cs="宋体"/>
                <w:sz w:val="16"/>
                <w:szCs w:val="16"/>
              </w:rPr>
            </w:pPr>
            <w:r>
              <w:rPr>
                <w:rFonts w:ascii="宋体" w:eastAsia="宋体" w:hAnsi="宋体" w:cs="宋体"/>
                <w:spacing w:val="-3"/>
                <w:sz w:val="16"/>
                <w:szCs w:val="16"/>
              </w:rPr>
              <w:t>维生素C</w:t>
            </w:r>
            <w:r>
              <w:rPr>
                <w:rFonts w:ascii="宋体" w:eastAsia="宋体" w:hAnsi="宋体" w:cs="宋体"/>
                <w:spacing w:val="1"/>
                <w:sz w:val="16"/>
                <w:szCs w:val="16"/>
              </w:rPr>
              <w:t xml:space="preserve">  </w:t>
            </w:r>
            <w:r>
              <w:rPr>
                <w:rFonts w:ascii="宋体" w:eastAsia="宋体" w:hAnsi="宋体" w:cs="宋体"/>
                <w:spacing w:val="-1"/>
                <w:sz w:val="16"/>
                <w:szCs w:val="16"/>
              </w:rPr>
              <w:t>/(mg/100g)</w:t>
            </w:r>
          </w:p>
        </w:tc>
        <w:tc>
          <w:tcPr>
            <w:tcW w:w="641" w:type="dxa"/>
          </w:tcPr>
          <w:p w:rsidR="00EA40A3" w:rsidRDefault="00E86C16">
            <w:pPr>
              <w:spacing w:before="220" w:line="183" w:lineRule="auto"/>
              <w:ind w:left="115"/>
              <w:rPr>
                <w:rFonts w:ascii="宋体" w:eastAsia="宋体" w:hAnsi="宋体" w:cs="宋体"/>
                <w:sz w:val="16"/>
                <w:szCs w:val="16"/>
              </w:rPr>
            </w:pPr>
            <w:r>
              <w:rPr>
                <w:rFonts w:ascii="宋体" w:eastAsia="宋体" w:hAnsi="宋体" w:cs="宋体"/>
                <w:spacing w:val="-2"/>
                <w:sz w:val="16"/>
                <w:szCs w:val="16"/>
              </w:rPr>
              <w:t>246</w:t>
            </w:r>
          </w:p>
        </w:tc>
        <w:tc>
          <w:tcPr>
            <w:tcW w:w="691" w:type="dxa"/>
          </w:tcPr>
          <w:p w:rsidR="00EA40A3" w:rsidRDefault="00E86C16">
            <w:pPr>
              <w:spacing w:before="220" w:line="184" w:lineRule="auto"/>
              <w:ind w:left="223"/>
              <w:rPr>
                <w:rFonts w:ascii="宋体" w:eastAsia="宋体" w:hAnsi="宋体" w:cs="宋体"/>
                <w:sz w:val="16"/>
                <w:szCs w:val="16"/>
              </w:rPr>
            </w:pPr>
            <w:r>
              <w:rPr>
                <w:rFonts w:ascii="宋体" w:eastAsia="宋体" w:hAnsi="宋体" w:cs="宋体"/>
                <w:spacing w:val="-5"/>
                <w:sz w:val="16"/>
                <w:szCs w:val="16"/>
              </w:rPr>
              <w:t>112</w:t>
            </w:r>
          </w:p>
        </w:tc>
        <w:tc>
          <w:tcPr>
            <w:tcW w:w="709" w:type="dxa"/>
          </w:tcPr>
          <w:p w:rsidR="00EA40A3" w:rsidRDefault="00E86C16">
            <w:pPr>
              <w:spacing w:before="221" w:line="182" w:lineRule="auto"/>
              <w:ind w:left="283"/>
              <w:rPr>
                <w:rFonts w:ascii="宋体" w:eastAsia="宋体" w:hAnsi="宋体" w:cs="宋体"/>
                <w:sz w:val="16"/>
                <w:szCs w:val="16"/>
              </w:rPr>
            </w:pPr>
            <w:r>
              <w:rPr>
                <w:rFonts w:ascii="宋体" w:eastAsia="宋体" w:hAnsi="宋体" w:cs="宋体"/>
                <w:spacing w:val="-3"/>
                <w:sz w:val="16"/>
                <w:szCs w:val="16"/>
              </w:rPr>
              <w:t>55</w:t>
            </w:r>
          </w:p>
        </w:tc>
        <w:tc>
          <w:tcPr>
            <w:tcW w:w="705" w:type="dxa"/>
          </w:tcPr>
          <w:p w:rsidR="00EA40A3" w:rsidRDefault="00E86C16">
            <w:pPr>
              <w:spacing w:before="220" w:line="183" w:lineRule="auto"/>
              <w:ind w:left="283"/>
              <w:rPr>
                <w:rFonts w:ascii="宋体" w:eastAsia="宋体" w:hAnsi="宋体" w:cs="宋体"/>
                <w:sz w:val="16"/>
                <w:szCs w:val="16"/>
              </w:rPr>
            </w:pPr>
            <w:r>
              <w:rPr>
                <w:rFonts w:ascii="宋体" w:eastAsia="宋体" w:hAnsi="宋体" w:cs="宋体"/>
                <w:spacing w:val="-2"/>
                <w:sz w:val="16"/>
                <w:szCs w:val="16"/>
              </w:rPr>
              <w:t>48</w:t>
            </w:r>
          </w:p>
        </w:tc>
        <w:tc>
          <w:tcPr>
            <w:tcW w:w="700" w:type="dxa"/>
          </w:tcPr>
          <w:p w:rsidR="00EA40A3" w:rsidRDefault="00E86C16">
            <w:pPr>
              <w:spacing w:before="220" w:line="183" w:lineRule="auto"/>
              <w:ind w:left="279"/>
              <w:rPr>
                <w:rFonts w:ascii="宋体" w:eastAsia="宋体" w:hAnsi="宋体" w:cs="宋体"/>
                <w:sz w:val="16"/>
                <w:szCs w:val="16"/>
              </w:rPr>
            </w:pPr>
            <w:r>
              <w:rPr>
                <w:rFonts w:ascii="宋体" w:eastAsia="宋体" w:hAnsi="宋体" w:cs="宋体"/>
                <w:spacing w:val="-2"/>
                <w:sz w:val="16"/>
                <w:szCs w:val="16"/>
              </w:rPr>
              <w:t>42</w:t>
            </w:r>
          </w:p>
        </w:tc>
        <w:tc>
          <w:tcPr>
            <w:tcW w:w="625" w:type="dxa"/>
          </w:tcPr>
          <w:p w:rsidR="00EA40A3" w:rsidRDefault="00E86C16">
            <w:pPr>
              <w:spacing w:before="220" w:line="183" w:lineRule="auto"/>
              <w:ind w:left="279"/>
              <w:rPr>
                <w:rFonts w:ascii="宋体" w:eastAsia="宋体" w:hAnsi="宋体" w:cs="宋体"/>
                <w:sz w:val="16"/>
                <w:szCs w:val="16"/>
              </w:rPr>
            </w:pPr>
            <w:r>
              <w:rPr>
                <w:rFonts w:ascii="宋体" w:eastAsia="宋体" w:hAnsi="宋体" w:cs="宋体"/>
                <w:spacing w:val="-3"/>
                <w:sz w:val="16"/>
                <w:szCs w:val="16"/>
              </w:rPr>
              <w:t>38</w:t>
            </w:r>
          </w:p>
        </w:tc>
        <w:tc>
          <w:tcPr>
            <w:tcW w:w="875" w:type="dxa"/>
          </w:tcPr>
          <w:p w:rsidR="00EA40A3" w:rsidRDefault="00E86C16">
            <w:pPr>
              <w:spacing w:before="220" w:line="183" w:lineRule="auto"/>
              <w:ind w:left="363"/>
              <w:rPr>
                <w:rFonts w:ascii="宋体" w:eastAsia="宋体" w:hAnsi="宋体" w:cs="宋体"/>
                <w:sz w:val="16"/>
                <w:szCs w:val="16"/>
              </w:rPr>
            </w:pPr>
            <w:r>
              <w:rPr>
                <w:rFonts w:ascii="宋体" w:eastAsia="宋体" w:hAnsi="宋体" w:cs="宋体"/>
                <w:spacing w:val="-3"/>
                <w:sz w:val="16"/>
                <w:szCs w:val="16"/>
              </w:rPr>
              <w:t>32</w:t>
            </w:r>
          </w:p>
        </w:tc>
        <w:tc>
          <w:tcPr>
            <w:tcW w:w="622" w:type="dxa"/>
          </w:tcPr>
          <w:p w:rsidR="00EA40A3" w:rsidRDefault="00E86C16">
            <w:pPr>
              <w:spacing w:before="220" w:line="183" w:lineRule="auto"/>
              <w:ind w:left="199"/>
              <w:rPr>
                <w:rFonts w:ascii="宋体" w:eastAsia="宋体" w:hAnsi="宋体" w:cs="宋体"/>
                <w:sz w:val="16"/>
                <w:szCs w:val="16"/>
              </w:rPr>
            </w:pPr>
            <w:r>
              <w:rPr>
                <w:rFonts w:ascii="宋体" w:eastAsia="宋体" w:hAnsi="宋体" w:cs="宋体"/>
                <w:spacing w:val="-3"/>
                <w:sz w:val="16"/>
                <w:szCs w:val="16"/>
              </w:rPr>
              <w:t>29</w:t>
            </w:r>
          </w:p>
        </w:tc>
        <w:tc>
          <w:tcPr>
            <w:tcW w:w="787" w:type="dxa"/>
          </w:tcPr>
          <w:p w:rsidR="00EA40A3" w:rsidRDefault="00E86C16">
            <w:pPr>
              <w:spacing w:before="220" w:line="183" w:lineRule="auto"/>
              <w:ind w:left="276"/>
              <w:rPr>
                <w:rFonts w:ascii="宋体" w:eastAsia="宋体" w:hAnsi="宋体" w:cs="宋体"/>
                <w:sz w:val="16"/>
                <w:szCs w:val="16"/>
              </w:rPr>
            </w:pPr>
            <w:r>
              <w:rPr>
                <w:rFonts w:ascii="宋体" w:eastAsia="宋体" w:hAnsi="宋体" w:cs="宋体"/>
                <w:spacing w:val="-2"/>
                <w:sz w:val="16"/>
                <w:szCs w:val="16"/>
              </w:rPr>
              <w:t>287</w:t>
            </w:r>
          </w:p>
        </w:tc>
      </w:tr>
      <w:tr w:rsidR="00EA40A3">
        <w:trPr>
          <w:trHeight w:val="263"/>
        </w:trPr>
        <w:tc>
          <w:tcPr>
            <w:tcW w:w="985" w:type="dxa"/>
          </w:tcPr>
          <w:p w:rsidR="00EA40A3" w:rsidRDefault="00E86C16">
            <w:pPr>
              <w:spacing w:before="52" w:line="220" w:lineRule="auto"/>
              <w:ind w:left="160"/>
              <w:rPr>
                <w:rFonts w:ascii="宋体" w:eastAsia="宋体" w:hAnsi="宋体" w:cs="宋体"/>
                <w:sz w:val="16"/>
                <w:szCs w:val="16"/>
              </w:rPr>
            </w:pPr>
            <w:r>
              <w:rPr>
                <w:rFonts w:ascii="宋体" w:eastAsia="宋体" w:hAnsi="宋体" w:cs="宋体"/>
                <w:spacing w:val="-2"/>
                <w:sz w:val="16"/>
                <w:szCs w:val="16"/>
              </w:rPr>
              <w:t>蛋白质/%</w:t>
            </w:r>
          </w:p>
        </w:tc>
        <w:tc>
          <w:tcPr>
            <w:tcW w:w="641" w:type="dxa"/>
          </w:tcPr>
          <w:p w:rsidR="00EA40A3" w:rsidRDefault="00E86C16">
            <w:pPr>
              <w:spacing w:before="92" w:line="183" w:lineRule="auto"/>
              <w:ind w:left="115"/>
              <w:rPr>
                <w:rFonts w:ascii="宋体" w:eastAsia="宋体" w:hAnsi="宋体" w:cs="宋体"/>
                <w:sz w:val="16"/>
                <w:szCs w:val="16"/>
              </w:rPr>
            </w:pPr>
            <w:r>
              <w:rPr>
                <w:rFonts w:ascii="宋体" w:eastAsia="宋体" w:hAnsi="宋体" w:cs="宋体"/>
                <w:spacing w:val="-2"/>
                <w:sz w:val="16"/>
                <w:szCs w:val="16"/>
              </w:rPr>
              <w:t>5.95</w:t>
            </w:r>
          </w:p>
        </w:tc>
        <w:tc>
          <w:tcPr>
            <w:tcW w:w="691" w:type="dxa"/>
          </w:tcPr>
          <w:p w:rsidR="00EA40A3" w:rsidRDefault="00E86C16">
            <w:pPr>
              <w:spacing w:before="92" w:line="183" w:lineRule="auto"/>
              <w:ind w:left="183"/>
              <w:rPr>
                <w:rFonts w:ascii="宋体" w:eastAsia="宋体" w:hAnsi="宋体" w:cs="宋体"/>
                <w:sz w:val="16"/>
                <w:szCs w:val="16"/>
              </w:rPr>
            </w:pPr>
            <w:r>
              <w:rPr>
                <w:rFonts w:ascii="宋体" w:eastAsia="宋体" w:hAnsi="宋体" w:cs="宋体"/>
                <w:spacing w:val="-2"/>
                <w:sz w:val="16"/>
                <w:szCs w:val="16"/>
              </w:rPr>
              <w:t>5.34</w:t>
            </w:r>
          </w:p>
        </w:tc>
        <w:tc>
          <w:tcPr>
            <w:tcW w:w="709" w:type="dxa"/>
          </w:tcPr>
          <w:p w:rsidR="00EA40A3" w:rsidRDefault="00E86C16">
            <w:pPr>
              <w:spacing w:before="92" w:line="183" w:lineRule="auto"/>
              <w:ind w:left="203"/>
              <w:rPr>
                <w:rFonts w:ascii="宋体" w:eastAsia="宋体" w:hAnsi="宋体" w:cs="宋体"/>
                <w:sz w:val="16"/>
                <w:szCs w:val="16"/>
              </w:rPr>
            </w:pPr>
            <w:r>
              <w:rPr>
                <w:rFonts w:ascii="宋体" w:eastAsia="宋体" w:hAnsi="宋体" w:cs="宋体"/>
                <w:spacing w:val="-2"/>
                <w:sz w:val="16"/>
                <w:szCs w:val="16"/>
              </w:rPr>
              <w:t>4.86</w:t>
            </w:r>
          </w:p>
        </w:tc>
        <w:tc>
          <w:tcPr>
            <w:tcW w:w="705" w:type="dxa"/>
          </w:tcPr>
          <w:p w:rsidR="00EA40A3" w:rsidRDefault="00E86C16">
            <w:pPr>
              <w:spacing w:before="92" w:line="183" w:lineRule="auto"/>
              <w:ind w:left="204"/>
              <w:rPr>
                <w:rFonts w:ascii="宋体" w:eastAsia="宋体" w:hAnsi="宋体" w:cs="宋体"/>
                <w:sz w:val="16"/>
                <w:szCs w:val="16"/>
              </w:rPr>
            </w:pPr>
            <w:r>
              <w:rPr>
                <w:rFonts w:ascii="宋体" w:eastAsia="宋体" w:hAnsi="宋体" w:cs="宋体"/>
                <w:spacing w:val="-2"/>
                <w:sz w:val="16"/>
                <w:szCs w:val="16"/>
              </w:rPr>
              <w:t>4.52</w:t>
            </w:r>
          </w:p>
        </w:tc>
        <w:tc>
          <w:tcPr>
            <w:tcW w:w="700" w:type="dxa"/>
          </w:tcPr>
          <w:p w:rsidR="00EA40A3" w:rsidRDefault="00E86C16">
            <w:pPr>
              <w:spacing w:before="92" w:line="183" w:lineRule="auto"/>
              <w:ind w:left="199"/>
              <w:rPr>
                <w:rFonts w:ascii="宋体" w:eastAsia="宋体" w:hAnsi="宋体" w:cs="宋体"/>
                <w:sz w:val="16"/>
                <w:szCs w:val="16"/>
              </w:rPr>
            </w:pPr>
            <w:r>
              <w:rPr>
                <w:rFonts w:ascii="宋体" w:eastAsia="宋体" w:hAnsi="宋体" w:cs="宋体"/>
                <w:spacing w:val="-2"/>
                <w:sz w:val="16"/>
                <w:szCs w:val="16"/>
              </w:rPr>
              <w:t>4.35</w:t>
            </w:r>
          </w:p>
        </w:tc>
        <w:tc>
          <w:tcPr>
            <w:tcW w:w="625" w:type="dxa"/>
          </w:tcPr>
          <w:p w:rsidR="00EA40A3" w:rsidRDefault="00E86C16">
            <w:pPr>
              <w:spacing w:before="92" w:line="183" w:lineRule="auto"/>
              <w:ind w:left="199"/>
              <w:rPr>
                <w:rFonts w:ascii="宋体" w:eastAsia="宋体" w:hAnsi="宋体" w:cs="宋体"/>
                <w:sz w:val="16"/>
                <w:szCs w:val="16"/>
              </w:rPr>
            </w:pPr>
            <w:r>
              <w:rPr>
                <w:rFonts w:ascii="宋体" w:eastAsia="宋体" w:hAnsi="宋体" w:cs="宋体"/>
                <w:spacing w:val="-2"/>
                <w:sz w:val="16"/>
                <w:szCs w:val="16"/>
              </w:rPr>
              <w:t>4.29</w:t>
            </w:r>
          </w:p>
        </w:tc>
        <w:tc>
          <w:tcPr>
            <w:tcW w:w="875" w:type="dxa"/>
          </w:tcPr>
          <w:p w:rsidR="00EA40A3" w:rsidRDefault="00E86C16">
            <w:pPr>
              <w:spacing w:before="92" w:line="183" w:lineRule="auto"/>
              <w:ind w:left="284"/>
              <w:rPr>
                <w:rFonts w:ascii="宋体" w:eastAsia="宋体" w:hAnsi="宋体" w:cs="宋体"/>
                <w:sz w:val="16"/>
                <w:szCs w:val="16"/>
              </w:rPr>
            </w:pPr>
            <w:r>
              <w:rPr>
                <w:rFonts w:ascii="宋体" w:eastAsia="宋体" w:hAnsi="宋体" w:cs="宋体"/>
                <w:spacing w:val="-2"/>
                <w:sz w:val="16"/>
                <w:szCs w:val="16"/>
              </w:rPr>
              <w:t>4.25</w:t>
            </w:r>
          </w:p>
        </w:tc>
        <w:tc>
          <w:tcPr>
            <w:tcW w:w="622" w:type="dxa"/>
          </w:tcPr>
          <w:p w:rsidR="00EA40A3" w:rsidRDefault="00E86C16">
            <w:pPr>
              <w:spacing w:before="92" w:line="184" w:lineRule="auto"/>
              <w:ind w:left="118"/>
              <w:rPr>
                <w:rFonts w:ascii="宋体" w:eastAsia="宋体" w:hAnsi="宋体" w:cs="宋体"/>
                <w:sz w:val="16"/>
                <w:szCs w:val="16"/>
              </w:rPr>
            </w:pPr>
            <w:r>
              <w:rPr>
                <w:rFonts w:ascii="宋体" w:eastAsia="宋体" w:hAnsi="宋体" w:cs="宋体"/>
                <w:spacing w:val="-2"/>
                <w:sz w:val="16"/>
                <w:szCs w:val="16"/>
              </w:rPr>
              <w:t>4.31</w:t>
            </w:r>
          </w:p>
        </w:tc>
        <w:tc>
          <w:tcPr>
            <w:tcW w:w="787" w:type="dxa"/>
          </w:tcPr>
          <w:p w:rsidR="00EA40A3" w:rsidRDefault="00E86C16">
            <w:pPr>
              <w:spacing w:before="92" w:line="183" w:lineRule="auto"/>
              <w:ind w:left="236"/>
              <w:rPr>
                <w:rFonts w:ascii="宋体" w:eastAsia="宋体" w:hAnsi="宋体" w:cs="宋体"/>
                <w:sz w:val="16"/>
                <w:szCs w:val="16"/>
              </w:rPr>
            </w:pPr>
            <w:r>
              <w:rPr>
                <w:rFonts w:ascii="宋体" w:eastAsia="宋体" w:hAnsi="宋体" w:cs="宋体"/>
                <w:spacing w:val="-2"/>
                <w:sz w:val="16"/>
                <w:szCs w:val="16"/>
              </w:rPr>
              <w:t>5.98</w:t>
            </w:r>
          </w:p>
        </w:tc>
      </w:tr>
      <w:tr w:rsidR="00EA40A3">
        <w:trPr>
          <w:trHeight w:val="279"/>
        </w:trPr>
        <w:tc>
          <w:tcPr>
            <w:tcW w:w="985" w:type="dxa"/>
          </w:tcPr>
          <w:p w:rsidR="00EA40A3" w:rsidRDefault="00E86C16">
            <w:pPr>
              <w:spacing w:before="67" w:line="219" w:lineRule="auto"/>
              <w:ind w:left="160"/>
              <w:rPr>
                <w:rFonts w:ascii="宋体" w:eastAsia="宋体" w:hAnsi="宋体" w:cs="宋体"/>
                <w:sz w:val="16"/>
                <w:szCs w:val="16"/>
              </w:rPr>
            </w:pPr>
            <w:r>
              <w:rPr>
                <w:rFonts w:ascii="宋体" w:eastAsia="宋体" w:hAnsi="宋体" w:cs="宋体"/>
                <w:spacing w:val="-1"/>
                <w:sz w:val="16"/>
                <w:szCs w:val="16"/>
              </w:rPr>
              <w:t>干物质/%</w:t>
            </w:r>
          </w:p>
        </w:tc>
        <w:tc>
          <w:tcPr>
            <w:tcW w:w="641" w:type="dxa"/>
          </w:tcPr>
          <w:p w:rsidR="00EA40A3" w:rsidRDefault="00E86C16">
            <w:pPr>
              <w:spacing w:before="109" w:line="183" w:lineRule="auto"/>
              <w:ind w:left="115"/>
              <w:rPr>
                <w:rFonts w:ascii="宋体" w:eastAsia="宋体" w:hAnsi="宋体" w:cs="宋体"/>
                <w:sz w:val="16"/>
                <w:szCs w:val="16"/>
              </w:rPr>
            </w:pPr>
            <w:r>
              <w:rPr>
                <w:rFonts w:ascii="宋体" w:eastAsia="宋体" w:hAnsi="宋体" w:cs="宋体"/>
                <w:spacing w:val="-2"/>
                <w:sz w:val="16"/>
                <w:szCs w:val="16"/>
              </w:rPr>
              <w:t>20.02</w:t>
            </w:r>
          </w:p>
        </w:tc>
        <w:tc>
          <w:tcPr>
            <w:tcW w:w="691" w:type="dxa"/>
          </w:tcPr>
          <w:p w:rsidR="00EA40A3" w:rsidRDefault="00E86C16">
            <w:pPr>
              <w:spacing w:before="109" w:line="183" w:lineRule="auto"/>
              <w:ind w:left="144"/>
              <w:rPr>
                <w:rFonts w:ascii="宋体" w:eastAsia="宋体" w:hAnsi="宋体" w:cs="宋体"/>
                <w:sz w:val="16"/>
                <w:szCs w:val="16"/>
              </w:rPr>
            </w:pPr>
            <w:r>
              <w:rPr>
                <w:rFonts w:ascii="宋体" w:eastAsia="宋体" w:hAnsi="宋体" w:cs="宋体"/>
                <w:spacing w:val="-2"/>
                <w:sz w:val="16"/>
                <w:szCs w:val="16"/>
              </w:rPr>
              <w:t>20.36</w:t>
            </w:r>
          </w:p>
        </w:tc>
        <w:tc>
          <w:tcPr>
            <w:tcW w:w="709" w:type="dxa"/>
          </w:tcPr>
          <w:p w:rsidR="00EA40A3" w:rsidRDefault="00E86C16">
            <w:pPr>
              <w:spacing w:before="109" w:line="183" w:lineRule="auto"/>
              <w:ind w:left="162"/>
              <w:rPr>
                <w:rFonts w:ascii="宋体" w:eastAsia="宋体" w:hAnsi="宋体" w:cs="宋体"/>
                <w:sz w:val="16"/>
                <w:szCs w:val="16"/>
              </w:rPr>
            </w:pPr>
            <w:r>
              <w:rPr>
                <w:rFonts w:ascii="宋体" w:eastAsia="宋体" w:hAnsi="宋体" w:cs="宋体"/>
                <w:spacing w:val="-2"/>
                <w:sz w:val="16"/>
                <w:szCs w:val="16"/>
              </w:rPr>
              <w:t>20.92</w:t>
            </w:r>
          </w:p>
        </w:tc>
        <w:tc>
          <w:tcPr>
            <w:tcW w:w="705" w:type="dxa"/>
          </w:tcPr>
          <w:p w:rsidR="00EA40A3" w:rsidRDefault="00E86C16">
            <w:pPr>
              <w:spacing w:before="109" w:line="184" w:lineRule="auto"/>
              <w:ind w:left="164"/>
              <w:rPr>
                <w:rFonts w:ascii="宋体" w:eastAsia="宋体" w:hAnsi="宋体" w:cs="宋体"/>
                <w:sz w:val="16"/>
                <w:szCs w:val="16"/>
              </w:rPr>
            </w:pPr>
            <w:r>
              <w:rPr>
                <w:rFonts w:ascii="宋体" w:eastAsia="宋体" w:hAnsi="宋体" w:cs="宋体"/>
                <w:spacing w:val="-2"/>
                <w:sz w:val="16"/>
                <w:szCs w:val="16"/>
              </w:rPr>
              <w:t>21.18</w:t>
            </w:r>
          </w:p>
        </w:tc>
        <w:tc>
          <w:tcPr>
            <w:tcW w:w="700" w:type="dxa"/>
          </w:tcPr>
          <w:p w:rsidR="00EA40A3" w:rsidRDefault="00E86C16">
            <w:pPr>
              <w:spacing w:before="109" w:line="184" w:lineRule="auto"/>
              <w:ind w:left="159"/>
              <w:rPr>
                <w:rFonts w:ascii="宋体" w:eastAsia="宋体" w:hAnsi="宋体" w:cs="宋体"/>
                <w:sz w:val="16"/>
                <w:szCs w:val="16"/>
              </w:rPr>
            </w:pPr>
            <w:r>
              <w:rPr>
                <w:rFonts w:ascii="宋体" w:eastAsia="宋体" w:hAnsi="宋体" w:cs="宋体"/>
                <w:spacing w:val="-2"/>
                <w:sz w:val="16"/>
                <w:szCs w:val="16"/>
              </w:rPr>
              <w:t>21.88</w:t>
            </w:r>
          </w:p>
        </w:tc>
        <w:tc>
          <w:tcPr>
            <w:tcW w:w="625" w:type="dxa"/>
          </w:tcPr>
          <w:p w:rsidR="00EA40A3" w:rsidRDefault="00E86C16">
            <w:pPr>
              <w:spacing w:before="109" w:line="183" w:lineRule="auto"/>
              <w:ind w:left="158"/>
              <w:rPr>
                <w:rFonts w:ascii="宋体" w:eastAsia="宋体" w:hAnsi="宋体" w:cs="宋体"/>
                <w:sz w:val="16"/>
                <w:szCs w:val="16"/>
              </w:rPr>
            </w:pPr>
            <w:r>
              <w:rPr>
                <w:rFonts w:ascii="宋体" w:eastAsia="宋体" w:hAnsi="宋体" w:cs="宋体"/>
                <w:spacing w:val="-2"/>
                <w:sz w:val="16"/>
                <w:szCs w:val="16"/>
              </w:rPr>
              <w:t>23.00</w:t>
            </w:r>
          </w:p>
        </w:tc>
        <w:tc>
          <w:tcPr>
            <w:tcW w:w="875" w:type="dxa"/>
          </w:tcPr>
          <w:p w:rsidR="00EA40A3" w:rsidRDefault="00E86C16">
            <w:pPr>
              <w:spacing w:before="109" w:line="183" w:lineRule="auto"/>
              <w:ind w:left="244"/>
              <w:rPr>
                <w:rFonts w:ascii="宋体" w:eastAsia="宋体" w:hAnsi="宋体" w:cs="宋体"/>
                <w:sz w:val="16"/>
                <w:szCs w:val="16"/>
              </w:rPr>
            </w:pPr>
            <w:r>
              <w:rPr>
                <w:rFonts w:ascii="宋体" w:eastAsia="宋体" w:hAnsi="宋体" w:cs="宋体"/>
                <w:spacing w:val="-2"/>
                <w:sz w:val="16"/>
                <w:szCs w:val="16"/>
              </w:rPr>
              <w:t>23.77</w:t>
            </w:r>
          </w:p>
        </w:tc>
        <w:tc>
          <w:tcPr>
            <w:tcW w:w="622" w:type="dxa"/>
          </w:tcPr>
          <w:p w:rsidR="00EA40A3" w:rsidRDefault="00E86C16">
            <w:pPr>
              <w:spacing w:before="109" w:line="183" w:lineRule="auto"/>
              <w:ind w:left="79"/>
              <w:rPr>
                <w:rFonts w:ascii="宋体" w:eastAsia="宋体" w:hAnsi="宋体" w:cs="宋体"/>
                <w:sz w:val="16"/>
                <w:szCs w:val="16"/>
              </w:rPr>
            </w:pPr>
            <w:r>
              <w:rPr>
                <w:rFonts w:ascii="宋体" w:eastAsia="宋体" w:hAnsi="宋体" w:cs="宋体"/>
                <w:spacing w:val="-2"/>
                <w:sz w:val="16"/>
                <w:szCs w:val="16"/>
              </w:rPr>
              <w:t>24.84</w:t>
            </w:r>
          </w:p>
        </w:tc>
        <w:tc>
          <w:tcPr>
            <w:tcW w:w="787" w:type="dxa"/>
          </w:tcPr>
          <w:p w:rsidR="00EA40A3" w:rsidRDefault="00E86C16">
            <w:pPr>
              <w:spacing w:before="109" w:line="184" w:lineRule="auto"/>
              <w:ind w:left="197"/>
              <w:rPr>
                <w:rFonts w:ascii="宋体" w:eastAsia="宋体" w:hAnsi="宋体" w:cs="宋体"/>
                <w:sz w:val="16"/>
                <w:szCs w:val="16"/>
              </w:rPr>
            </w:pPr>
            <w:r>
              <w:rPr>
                <w:rFonts w:ascii="宋体" w:eastAsia="宋体" w:hAnsi="宋体" w:cs="宋体"/>
                <w:spacing w:val="-3"/>
                <w:sz w:val="16"/>
                <w:szCs w:val="16"/>
              </w:rPr>
              <w:t>19.10</w:t>
            </w:r>
          </w:p>
        </w:tc>
      </w:tr>
      <w:tr w:rsidR="00EA40A3">
        <w:trPr>
          <w:trHeight w:val="268"/>
        </w:trPr>
        <w:tc>
          <w:tcPr>
            <w:tcW w:w="985" w:type="dxa"/>
            <w:tcBorders>
              <w:bottom w:val="single" w:sz="4" w:space="0" w:color="000000"/>
            </w:tcBorders>
          </w:tcPr>
          <w:p w:rsidR="00EA40A3" w:rsidRDefault="00E86C16">
            <w:pPr>
              <w:spacing w:before="69" w:line="219" w:lineRule="auto"/>
              <w:ind w:left="239"/>
              <w:rPr>
                <w:rFonts w:ascii="宋体" w:eastAsia="宋体" w:hAnsi="宋体" w:cs="宋体"/>
                <w:sz w:val="16"/>
                <w:szCs w:val="16"/>
              </w:rPr>
            </w:pPr>
            <w:r>
              <w:rPr>
                <w:rFonts w:ascii="宋体" w:eastAsia="宋体" w:hAnsi="宋体" w:cs="宋体"/>
                <w:spacing w:val="-2"/>
                <w:sz w:val="16"/>
                <w:szCs w:val="16"/>
              </w:rPr>
              <w:t>水分/%</w:t>
            </w:r>
          </w:p>
        </w:tc>
        <w:tc>
          <w:tcPr>
            <w:tcW w:w="641" w:type="dxa"/>
            <w:tcBorders>
              <w:bottom w:val="single" w:sz="4" w:space="0" w:color="000000"/>
            </w:tcBorders>
          </w:tcPr>
          <w:p w:rsidR="00EA40A3" w:rsidRDefault="00E86C16">
            <w:pPr>
              <w:spacing w:before="111" w:line="181" w:lineRule="auto"/>
              <w:ind w:left="115"/>
              <w:rPr>
                <w:rFonts w:ascii="宋体" w:eastAsia="宋体" w:hAnsi="宋体" w:cs="宋体"/>
                <w:sz w:val="16"/>
                <w:szCs w:val="16"/>
              </w:rPr>
            </w:pPr>
            <w:r>
              <w:rPr>
                <w:rFonts w:ascii="宋体" w:eastAsia="宋体" w:hAnsi="宋体" w:cs="宋体"/>
                <w:spacing w:val="-2"/>
                <w:sz w:val="16"/>
                <w:szCs w:val="16"/>
              </w:rPr>
              <w:t>79.98</w:t>
            </w:r>
          </w:p>
        </w:tc>
        <w:tc>
          <w:tcPr>
            <w:tcW w:w="691" w:type="dxa"/>
            <w:tcBorders>
              <w:bottom w:val="single" w:sz="4" w:space="0" w:color="000000"/>
            </w:tcBorders>
          </w:tcPr>
          <w:p w:rsidR="00EA40A3" w:rsidRDefault="00E86C16">
            <w:pPr>
              <w:spacing w:before="111" w:line="181" w:lineRule="auto"/>
              <w:ind w:left="144"/>
              <w:rPr>
                <w:rFonts w:ascii="宋体" w:eastAsia="宋体" w:hAnsi="宋体" w:cs="宋体"/>
                <w:sz w:val="16"/>
                <w:szCs w:val="16"/>
              </w:rPr>
            </w:pPr>
            <w:r>
              <w:rPr>
                <w:rFonts w:ascii="宋体" w:eastAsia="宋体" w:hAnsi="宋体" w:cs="宋体"/>
                <w:spacing w:val="-2"/>
                <w:sz w:val="16"/>
                <w:szCs w:val="16"/>
              </w:rPr>
              <w:t>79.64</w:t>
            </w:r>
          </w:p>
        </w:tc>
        <w:tc>
          <w:tcPr>
            <w:tcW w:w="709" w:type="dxa"/>
            <w:tcBorders>
              <w:bottom w:val="single" w:sz="4" w:space="0" w:color="000000"/>
            </w:tcBorders>
          </w:tcPr>
          <w:p w:rsidR="00EA40A3" w:rsidRDefault="00E86C16">
            <w:pPr>
              <w:spacing w:before="111" w:line="181" w:lineRule="auto"/>
              <w:ind w:left="162"/>
              <w:rPr>
                <w:rFonts w:ascii="宋体" w:eastAsia="宋体" w:hAnsi="宋体" w:cs="宋体"/>
                <w:sz w:val="16"/>
                <w:szCs w:val="16"/>
              </w:rPr>
            </w:pPr>
            <w:r>
              <w:rPr>
                <w:rFonts w:ascii="宋体" w:eastAsia="宋体" w:hAnsi="宋体" w:cs="宋体"/>
                <w:spacing w:val="-2"/>
                <w:sz w:val="16"/>
                <w:szCs w:val="16"/>
              </w:rPr>
              <w:t>79.08</w:t>
            </w:r>
          </w:p>
        </w:tc>
        <w:tc>
          <w:tcPr>
            <w:tcW w:w="705" w:type="dxa"/>
            <w:tcBorders>
              <w:bottom w:val="single" w:sz="4" w:space="0" w:color="000000"/>
            </w:tcBorders>
          </w:tcPr>
          <w:p w:rsidR="00EA40A3" w:rsidRDefault="00E86C16">
            <w:pPr>
              <w:spacing w:before="111" w:line="181" w:lineRule="auto"/>
              <w:ind w:left="164"/>
              <w:rPr>
                <w:rFonts w:ascii="宋体" w:eastAsia="宋体" w:hAnsi="宋体" w:cs="宋体"/>
                <w:sz w:val="16"/>
                <w:szCs w:val="16"/>
              </w:rPr>
            </w:pPr>
            <w:r>
              <w:rPr>
                <w:rFonts w:ascii="宋体" w:eastAsia="宋体" w:hAnsi="宋体" w:cs="宋体"/>
                <w:spacing w:val="-2"/>
                <w:sz w:val="16"/>
                <w:szCs w:val="16"/>
              </w:rPr>
              <w:t>78.82</w:t>
            </w:r>
          </w:p>
        </w:tc>
        <w:tc>
          <w:tcPr>
            <w:tcW w:w="700" w:type="dxa"/>
            <w:tcBorders>
              <w:bottom w:val="single" w:sz="4" w:space="0" w:color="000000"/>
            </w:tcBorders>
          </w:tcPr>
          <w:p w:rsidR="00EA40A3" w:rsidRDefault="00E86C16">
            <w:pPr>
              <w:spacing w:before="110" w:line="182" w:lineRule="auto"/>
              <w:ind w:left="159"/>
              <w:rPr>
                <w:rFonts w:ascii="宋体" w:eastAsia="宋体" w:hAnsi="宋体" w:cs="宋体"/>
                <w:sz w:val="16"/>
                <w:szCs w:val="16"/>
              </w:rPr>
            </w:pPr>
            <w:r>
              <w:rPr>
                <w:rFonts w:ascii="宋体" w:eastAsia="宋体" w:hAnsi="宋体" w:cs="宋体"/>
                <w:spacing w:val="-2"/>
                <w:sz w:val="16"/>
                <w:szCs w:val="16"/>
              </w:rPr>
              <w:t>78.12</w:t>
            </w:r>
          </w:p>
        </w:tc>
        <w:tc>
          <w:tcPr>
            <w:tcW w:w="625" w:type="dxa"/>
            <w:tcBorders>
              <w:bottom w:val="single" w:sz="4" w:space="0" w:color="000000"/>
            </w:tcBorders>
          </w:tcPr>
          <w:p w:rsidR="00EA40A3" w:rsidRDefault="00E86C16">
            <w:pPr>
              <w:spacing w:before="111" w:line="181" w:lineRule="auto"/>
              <w:ind w:left="158"/>
              <w:rPr>
                <w:rFonts w:ascii="宋体" w:eastAsia="宋体" w:hAnsi="宋体" w:cs="宋体"/>
                <w:sz w:val="16"/>
                <w:szCs w:val="16"/>
              </w:rPr>
            </w:pPr>
            <w:r>
              <w:rPr>
                <w:rFonts w:ascii="宋体" w:eastAsia="宋体" w:hAnsi="宋体" w:cs="宋体"/>
                <w:spacing w:val="-2"/>
                <w:sz w:val="16"/>
                <w:szCs w:val="16"/>
              </w:rPr>
              <w:t>77.05</w:t>
            </w:r>
          </w:p>
        </w:tc>
        <w:tc>
          <w:tcPr>
            <w:tcW w:w="875" w:type="dxa"/>
            <w:tcBorders>
              <w:bottom w:val="single" w:sz="4" w:space="0" w:color="000000"/>
            </w:tcBorders>
          </w:tcPr>
          <w:p w:rsidR="00EA40A3" w:rsidRDefault="00E86C16">
            <w:pPr>
              <w:spacing w:before="111" w:line="181" w:lineRule="auto"/>
              <w:ind w:left="244"/>
              <w:rPr>
                <w:rFonts w:ascii="宋体" w:eastAsia="宋体" w:hAnsi="宋体" w:cs="宋体"/>
                <w:sz w:val="16"/>
                <w:szCs w:val="16"/>
              </w:rPr>
            </w:pPr>
            <w:r>
              <w:rPr>
                <w:rFonts w:ascii="宋体" w:eastAsia="宋体" w:hAnsi="宋体" w:cs="宋体"/>
                <w:spacing w:val="-2"/>
                <w:sz w:val="16"/>
                <w:szCs w:val="16"/>
              </w:rPr>
              <w:t>76.23</w:t>
            </w:r>
          </w:p>
        </w:tc>
        <w:tc>
          <w:tcPr>
            <w:tcW w:w="622" w:type="dxa"/>
            <w:tcBorders>
              <w:bottom w:val="single" w:sz="4" w:space="0" w:color="000000"/>
            </w:tcBorders>
          </w:tcPr>
          <w:p w:rsidR="00EA40A3" w:rsidRDefault="00E86C16">
            <w:pPr>
              <w:spacing w:before="110" w:line="182" w:lineRule="auto"/>
              <w:ind w:left="79"/>
              <w:rPr>
                <w:rFonts w:ascii="宋体" w:eastAsia="宋体" w:hAnsi="宋体" w:cs="宋体"/>
                <w:sz w:val="16"/>
                <w:szCs w:val="16"/>
              </w:rPr>
            </w:pPr>
            <w:r>
              <w:rPr>
                <w:rFonts w:ascii="宋体" w:eastAsia="宋体" w:hAnsi="宋体" w:cs="宋体"/>
                <w:spacing w:val="-2"/>
                <w:sz w:val="16"/>
                <w:szCs w:val="16"/>
              </w:rPr>
              <w:t>75.16</w:t>
            </w:r>
          </w:p>
        </w:tc>
        <w:tc>
          <w:tcPr>
            <w:tcW w:w="787" w:type="dxa"/>
            <w:tcBorders>
              <w:bottom w:val="single" w:sz="4" w:space="0" w:color="000000"/>
            </w:tcBorders>
          </w:tcPr>
          <w:p w:rsidR="00EA40A3" w:rsidRDefault="00E86C16">
            <w:pPr>
              <w:spacing w:before="111" w:line="181" w:lineRule="auto"/>
              <w:ind w:left="197"/>
              <w:rPr>
                <w:rFonts w:ascii="宋体" w:eastAsia="宋体" w:hAnsi="宋体" w:cs="宋体"/>
                <w:sz w:val="16"/>
                <w:szCs w:val="16"/>
              </w:rPr>
            </w:pPr>
            <w:r>
              <w:rPr>
                <w:rFonts w:ascii="宋体" w:eastAsia="宋体" w:hAnsi="宋体" w:cs="宋体"/>
                <w:spacing w:val="-2"/>
                <w:sz w:val="16"/>
                <w:szCs w:val="16"/>
              </w:rPr>
              <w:t>80.90</w:t>
            </w:r>
          </w:p>
        </w:tc>
      </w:tr>
    </w:tbl>
    <w:p w:rsidR="00EA40A3" w:rsidRDefault="00E86C16">
      <w:pPr>
        <w:spacing w:before="111" w:line="219" w:lineRule="auto"/>
        <w:ind w:left="329"/>
        <w:rPr>
          <w:rFonts w:ascii="宋体" w:eastAsia="宋体" w:hAnsi="宋体" w:cs="宋体"/>
          <w:sz w:val="17"/>
          <w:szCs w:val="17"/>
        </w:rPr>
      </w:pPr>
      <w:r>
        <w:rPr>
          <w:rFonts w:ascii="宋体" w:eastAsia="宋体" w:hAnsi="宋体" w:cs="宋体"/>
          <w:spacing w:val="-5"/>
          <w:sz w:val="17"/>
          <w:szCs w:val="17"/>
        </w:rPr>
        <w:t>数据来源：周志才，王美兰.2004.香椿腌制及储藏过程中品质变化的研究.食品科学，(25):12</w:t>
      </w:r>
    </w:p>
    <w:p w:rsidR="00EA40A3" w:rsidRDefault="00E86C16">
      <w:pPr>
        <w:spacing w:before="95"/>
        <w:ind w:right="154"/>
        <w:jc w:val="right"/>
        <w:rPr>
          <w:rFonts w:ascii="宋体" w:eastAsia="宋体" w:hAnsi="宋体" w:cs="宋体"/>
          <w:sz w:val="17"/>
          <w:szCs w:val="17"/>
        </w:rPr>
      </w:pPr>
      <w:r>
        <w:rPr>
          <w:rFonts w:ascii="宋体" w:eastAsia="宋体" w:hAnsi="宋体" w:cs="宋体"/>
          <w:spacing w:val="-19"/>
          <w:sz w:val="17"/>
          <w:szCs w:val="17"/>
        </w:rPr>
        <w:t>·</w:t>
      </w:r>
      <w:r>
        <w:rPr>
          <w:rFonts w:ascii="宋体" w:eastAsia="宋体" w:hAnsi="宋体" w:cs="宋体"/>
          <w:spacing w:val="3"/>
          <w:sz w:val="17"/>
          <w:szCs w:val="17"/>
        </w:rPr>
        <w:t xml:space="preserve"> </w:t>
      </w:r>
      <w:r>
        <w:rPr>
          <w:rFonts w:ascii="宋体" w:eastAsia="宋体" w:hAnsi="宋体" w:cs="宋体"/>
          <w:spacing w:val="-19"/>
          <w:sz w:val="17"/>
          <w:szCs w:val="17"/>
        </w:rPr>
        <w:t>245</w:t>
      </w:r>
      <w:r>
        <w:rPr>
          <w:rFonts w:ascii="宋体" w:eastAsia="宋体" w:hAnsi="宋体" w:cs="宋体"/>
          <w:spacing w:val="36"/>
          <w:sz w:val="17"/>
          <w:szCs w:val="17"/>
        </w:rPr>
        <w:t xml:space="preserve"> </w:t>
      </w:r>
      <w:r>
        <w:rPr>
          <w:rFonts w:ascii="宋体" w:eastAsia="宋体" w:hAnsi="宋体" w:cs="宋体"/>
          <w:spacing w:val="-19"/>
          <w:sz w:val="17"/>
          <w:szCs w:val="17"/>
        </w:rPr>
        <w:t>·</w:t>
      </w:r>
    </w:p>
    <w:p w:rsidR="00EA40A3" w:rsidRDefault="00EA40A3">
      <w:pPr>
        <w:sectPr w:rsidR="00EA40A3">
          <w:pgSz w:w="9220" w:h="13360"/>
          <w:pgMar w:top="400" w:right="865" w:bottom="400" w:left="939" w:header="0" w:footer="0" w:gutter="0"/>
          <w:cols w:space="720"/>
        </w:sectPr>
      </w:pPr>
    </w:p>
    <w:p w:rsidR="00EA40A3" w:rsidRDefault="00EA40A3">
      <w:pPr>
        <w:spacing w:line="354" w:lineRule="auto"/>
      </w:pPr>
    </w:p>
    <w:p w:rsidR="00EA40A3" w:rsidRDefault="00EA40A3">
      <w:pPr>
        <w:spacing w:line="354" w:lineRule="auto"/>
      </w:pPr>
    </w:p>
    <w:p w:rsidR="00EA40A3" w:rsidRDefault="00E86C16">
      <w:pPr>
        <w:spacing w:before="82" w:line="221" w:lineRule="auto"/>
        <w:ind w:left="3"/>
        <w:outlineLvl w:val="6"/>
        <w:rPr>
          <w:rFonts w:ascii="黑体" w:eastAsia="黑体" w:hAnsi="黑体" w:cs="黑体"/>
          <w:sz w:val="25"/>
          <w:szCs w:val="25"/>
        </w:rPr>
      </w:pPr>
      <w:r>
        <w:rPr>
          <w:rFonts w:ascii="黑体" w:eastAsia="黑体" w:hAnsi="黑体" w:cs="黑体"/>
          <w:b/>
          <w:bCs/>
          <w:spacing w:val="-7"/>
          <w:sz w:val="25"/>
          <w:szCs w:val="25"/>
        </w:rPr>
        <w:t>7.2.8</w:t>
      </w:r>
      <w:r>
        <w:rPr>
          <w:rFonts w:ascii="黑体" w:eastAsia="黑体" w:hAnsi="黑体" w:cs="黑体"/>
          <w:spacing w:val="25"/>
          <w:sz w:val="25"/>
          <w:szCs w:val="25"/>
        </w:rPr>
        <w:t xml:space="preserve">  </w:t>
      </w:r>
      <w:r>
        <w:rPr>
          <w:rFonts w:ascii="黑体" w:eastAsia="黑体" w:hAnsi="黑体" w:cs="黑体"/>
          <w:b/>
          <w:bCs/>
          <w:spacing w:val="-7"/>
          <w:sz w:val="25"/>
          <w:szCs w:val="25"/>
        </w:rPr>
        <w:t>食品的烟熏</w:t>
      </w:r>
    </w:p>
    <w:p w:rsidR="00EA40A3" w:rsidRDefault="00E86C16">
      <w:pPr>
        <w:spacing w:before="193" w:line="246" w:lineRule="auto"/>
        <w:ind w:right="36" w:firstLine="430"/>
        <w:jc w:val="both"/>
        <w:rPr>
          <w:rFonts w:ascii="宋体" w:eastAsia="宋体" w:hAnsi="宋体" w:cs="宋体"/>
        </w:rPr>
      </w:pPr>
      <w:r>
        <w:rPr>
          <w:rFonts w:ascii="宋体" w:eastAsia="宋体" w:hAnsi="宋体" w:cs="宋体"/>
          <w:spacing w:val="-3"/>
        </w:rPr>
        <w:t>食品尤其是肉类，烟熏保藏有着悠久的历史。食品的烟熏保藏是在腌制的基</w:t>
      </w:r>
      <w:r>
        <w:rPr>
          <w:rFonts w:ascii="宋体" w:eastAsia="宋体" w:hAnsi="宋体" w:cs="宋体"/>
          <w:spacing w:val="16"/>
        </w:rPr>
        <w:t xml:space="preserve"> </w:t>
      </w:r>
      <w:r>
        <w:rPr>
          <w:rFonts w:ascii="宋体" w:eastAsia="宋体" w:hAnsi="宋体" w:cs="宋体"/>
          <w:spacing w:val="-3"/>
        </w:rPr>
        <w:t>础上利用木材不完全燃烧时产生的烟气熏制食品的方法。它可赋予食品特殊的风</w:t>
      </w:r>
      <w:r>
        <w:rPr>
          <w:rFonts w:ascii="宋体" w:eastAsia="宋体" w:hAnsi="宋体" w:cs="宋体"/>
          <w:spacing w:val="13"/>
        </w:rPr>
        <w:t xml:space="preserve"> </w:t>
      </w:r>
      <w:r>
        <w:rPr>
          <w:rFonts w:ascii="宋体" w:eastAsia="宋体" w:hAnsi="宋体" w:cs="宋体"/>
          <w:spacing w:val="-2"/>
        </w:rPr>
        <w:t>味并能延长其储藏期。食品的烟熏主要用于动物性</w:t>
      </w:r>
      <w:r>
        <w:rPr>
          <w:rFonts w:ascii="宋体" w:eastAsia="宋体" w:hAnsi="宋体" w:cs="宋体"/>
          <w:spacing w:val="-3"/>
        </w:rPr>
        <w:t>食品的制作，如肉制品、禽制</w:t>
      </w:r>
      <w:r>
        <w:rPr>
          <w:rFonts w:ascii="宋体" w:eastAsia="宋体" w:hAnsi="宋体" w:cs="宋体"/>
        </w:rPr>
        <w:t xml:space="preserve"> </w:t>
      </w:r>
      <w:r>
        <w:rPr>
          <w:rFonts w:ascii="宋体" w:eastAsia="宋体" w:hAnsi="宋体" w:cs="宋体"/>
          <w:spacing w:val="-4"/>
        </w:rPr>
        <w:t>品和鱼制品，某些植物性食品也可采用烟熏，如豆制品和干果。</w:t>
      </w:r>
    </w:p>
    <w:p w:rsidR="00EA40A3" w:rsidRDefault="00E86C16">
      <w:pPr>
        <w:spacing w:before="100" w:line="242" w:lineRule="auto"/>
        <w:ind w:right="55" w:firstLine="430"/>
        <w:rPr>
          <w:rFonts w:ascii="宋体" w:eastAsia="宋体" w:hAnsi="宋体" w:cs="宋体"/>
        </w:rPr>
      </w:pPr>
      <w:r>
        <w:rPr>
          <w:rFonts w:ascii="宋体" w:eastAsia="宋体" w:hAnsi="宋体" w:cs="宋体"/>
          <w:spacing w:val="-3"/>
        </w:rPr>
        <w:t>烟熏的同时常伴随着加热。烟熏和加热不但对微生物有杀灭作用，对感</w:t>
      </w:r>
      <w:r>
        <w:rPr>
          <w:rFonts w:ascii="宋体" w:eastAsia="宋体" w:hAnsi="宋体" w:cs="宋体"/>
          <w:spacing w:val="-4"/>
        </w:rPr>
        <w:t>官等</w:t>
      </w:r>
      <w:r>
        <w:rPr>
          <w:rFonts w:ascii="宋体" w:eastAsia="宋体" w:hAnsi="宋体" w:cs="宋体"/>
        </w:rPr>
        <w:t xml:space="preserve"> </w:t>
      </w:r>
      <w:r>
        <w:rPr>
          <w:rFonts w:ascii="宋体" w:eastAsia="宋体" w:hAnsi="宋体" w:cs="宋体"/>
          <w:spacing w:val="-4"/>
        </w:rPr>
        <w:t>也有影响。但同时也对食品中的营养成分产生多种影响</w:t>
      </w:r>
      <w:r>
        <w:rPr>
          <w:rFonts w:ascii="宋体" w:eastAsia="宋体" w:hAnsi="宋体" w:cs="宋体"/>
          <w:spacing w:val="-5"/>
        </w:rPr>
        <w:t>。</w:t>
      </w:r>
    </w:p>
    <w:p w:rsidR="00EA40A3" w:rsidRDefault="00E86C16">
      <w:pPr>
        <w:spacing w:before="60" w:line="243" w:lineRule="auto"/>
        <w:ind w:right="49" w:firstLine="430"/>
        <w:rPr>
          <w:rFonts w:ascii="宋体" w:eastAsia="宋体" w:hAnsi="宋体" w:cs="宋体"/>
        </w:rPr>
      </w:pPr>
      <w:r>
        <w:rPr>
          <w:rFonts w:ascii="宋体" w:eastAsia="宋体" w:hAnsi="宋体" w:cs="宋体"/>
          <w:spacing w:val="-3"/>
        </w:rPr>
        <w:t>熏烟成分中的羰基化合物，可以和肉蛋白质或其他含氮物中的游离氨基</w:t>
      </w:r>
      <w:r>
        <w:rPr>
          <w:rFonts w:ascii="宋体" w:eastAsia="宋体" w:hAnsi="宋体" w:cs="宋体"/>
          <w:spacing w:val="-4"/>
        </w:rPr>
        <w:t>发生</w:t>
      </w:r>
      <w:r>
        <w:rPr>
          <w:rFonts w:ascii="宋体" w:eastAsia="宋体" w:hAnsi="宋体" w:cs="宋体"/>
        </w:rPr>
        <w:t xml:space="preserve"> </w:t>
      </w:r>
      <w:r>
        <w:rPr>
          <w:rFonts w:ascii="宋体" w:eastAsia="宋体" w:hAnsi="宋体" w:cs="宋体"/>
          <w:spacing w:val="-2"/>
        </w:rPr>
        <w:t>美拉德反应，使其外表形成独特的金黄色或棕</w:t>
      </w:r>
      <w:r>
        <w:rPr>
          <w:rFonts w:ascii="宋体" w:eastAsia="宋体" w:hAnsi="宋体" w:cs="宋体"/>
          <w:spacing w:val="-3"/>
        </w:rPr>
        <w:t>色，熏制过程中的加热还能促进硝</w:t>
      </w:r>
      <w:r>
        <w:rPr>
          <w:rFonts w:ascii="宋体" w:eastAsia="宋体" w:hAnsi="宋体" w:cs="宋体"/>
        </w:rPr>
        <w:t xml:space="preserve"> </w:t>
      </w:r>
      <w:r>
        <w:rPr>
          <w:rFonts w:ascii="宋体" w:eastAsia="宋体" w:hAnsi="宋体" w:cs="宋体"/>
          <w:spacing w:val="-5"/>
        </w:rPr>
        <w:t>酸盐还原菌增殖及蛋白质的热变性。</w:t>
      </w:r>
    </w:p>
    <w:p w:rsidR="00EA40A3" w:rsidRDefault="00E86C16">
      <w:pPr>
        <w:spacing w:before="77" w:line="249" w:lineRule="auto"/>
        <w:ind w:firstLine="430"/>
        <w:rPr>
          <w:rFonts w:ascii="宋体" w:eastAsia="宋体" w:hAnsi="宋体" w:cs="宋体"/>
        </w:rPr>
      </w:pPr>
      <w:r>
        <w:rPr>
          <w:rFonts w:ascii="宋体" w:eastAsia="宋体" w:hAnsi="宋体" w:cs="宋体"/>
          <w:spacing w:val="1"/>
        </w:rPr>
        <w:t>烟熏可破坏维生素B</w:t>
      </w:r>
      <w:r>
        <w:rPr>
          <w:rFonts w:ascii="Calibri" w:eastAsia="Calibri" w:hAnsi="Calibri" w:cs="Calibri"/>
          <w:spacing w:val="1"/>
        </w:rPr>
        <w:t>₁</w:t>
      </w:r>
      <w:r>
        <w:rPr>
          <w:rFonts w:ascii="宋体" w:eastAsia="宋体" w:hAnsi="宋体" w:cs="宋体"/>
          <w:spacing w:val="1"/>
        </w:rPr>
        <w:t>,</w:t>
      </w:r>
      <w:r>
        <w:rPr>
          <w:rFonts w:ascii="宋体" w:eastAsia="宋体" w:hAnsi="宋体" w:cs="宋体"/>
          <w:spacing w:val="46"/>
        </w:rPr>
        <w:t xml:space="preserve"> </w:t>
      </w:r>
      <w:r>
        <w:rPr>
          <w:rFonts w:ascii="宋体" w:eastAsia="宋体" w:hAnsi="宋体" w:cs="宋体"/>
          <w:spacing w:val="1"/>
        </w:rPr>
        <w:t>但对尼克酸和维生素</w:t>
      </w:r>
      <w:r>
        <w:rPr>
          <w:rFonts w:ascii="宋体" w:eastAsia="宋体" w:hAnsi="宋体" w:cs="宋体"/>
          <w:spacing w:val="-48"/>
        </w:rPr>
        <w:t xml:space="preserve"> </w:t>
      </w:r>
      <w:r>
        <w:rPr>
          <w:rFonts w:ascii="宋体" w:eastAsia="宋体" w:hAnsi="宋体" w:cs="宋体"/>
          <w:spacing w:val="1"/>
        </w:rPr>
        <w:t>B2</w:t>
      </w:r>
      <w:r>
        <w:rPr>
          <w:rFonts w:ascii="宋体" w:eastAsia="宋体" w:hAnsi="宋体" w:cs="宋体"/>
          <w:spacing w:val="-52"/>
        </w:rPr>
        <w:t xml:space="preserve"> </w:t>
      </w:r>
      <w:r>
        <w:rPr>
          <w:rFonts w:ascii="宋体" w:eastAsia="宋体" w:hAnsi="宋体" w:cs="宋体"/>
          <w:spacing w:val="1"/>
        </w:rPr>
        <w:t>没有什</w:t>
      </w:r>
      <w:r>
        <w:rPr>
          <w:rFonts w:ascii="宋体" w:eastAsia="宋体" w:hAnsi="宋体" w:cs="宋体"/>
        </w:rPr>
        <w:t xml:space="preserve">么影响。烟熏的抗氧 </w:t>
      </w:r>
      <w:r>
        <w:rPr>
          <w:rFonts w:ascii="宋体" w:eastAsia="宋体" w:hAnsi="宋体" w:cs="宋体"/>
          <w:spacing w:val="-1"/>
        </w:rPr>
        <w:t>化作用有助于稳定脂溶性维生素，也会防止肉制品表面脂肪的氧化。如此看来，</w:t>
      </w:r>
      <w:r>
        <w:rPr>
          <w:rFonts w:ascii="宋体" w:eastAsia="宋体" w:hAnsi="宋体" w:cs="宋体"/>
        </w:rPr>
        <w:t xml:space="preserve"> </w:t>
      </w:r>
      <w:r>
        <w:rPr>
          <w:rFonts w:ascii="宋体" w:eastAsia="宋体" w:hAnsi="宋体" w:cs="宋体"/>
          <w:spacing w:val="-6"/>
        </w:rPr>
        <w:t>烟熏对制品的营养价值也有有利的方面。</w:t>
      </w:r>
    </w:p>
    <w:p w:rsidR="00EA40A3" w:rsidRDefault="00E86C16">
      <w:pPr>
        <w:spacing w:before="75" w:line="252" w:lineRule="auto"/>
        <w:ind w:right="52" w:firstLine="430"/>
        <w:rPr>
          <w:rFonts w:ascii="宋体" w:eastAsia="宋体" w:hAnsi="宋体" w:cs="宋体"/>
        </w:rPr>
      </w:pPr>
      <w:r>
        <w:rPr>
          <w:rFonts w:ascii="宋体" w:eastAsia="宋体" w:hAnsi="宋体" w:cs="宋体"/>
          <w:spacing w:val="-1"/>
        </w:rPr>
        <w:t>研究表明，烟熏食品中能分离出不少的多环烃，其中有苯并</w:t>
      </w:r>
      <w:r>
        <w:rPr>
          <w:rFonts w:ascii="宋体" w:eastAsia="宋体" w:hAnsi="宋体" w:cs="宋体"/>
          <w:spacing w:val="-2"/>
        </w:rPr>
        <w:t xml:space="preserve"> </w:t>
      </w:r>
      <w:r>
        <w:rPr>
          <w:rFonts w:ascii="宋体" w:eastAsia="宋体" w:hAnsi="宋体" w:cs="宋体"/>
          <w:spacing w:val="-1"/>
        </w:rPr>
        <w:t>(a)</w:t>
      </w:r>
      <w:r>
        <w:rPr>
          <w:rFonts w:ascii="宋体" w:eastAsia="宋体" w:hAnsi="宋体" w:cs="宋体"/>
          <w:spacing w:val="35"/>
        </w:rPr>
        <w:t xml:space="preserve"> </w:t>
      </w:r>
      <w:r>
        <w:rPr>
          <w:rFonts w:ascii="宋体" w:eastAsia="宋体" w:hAnsi="宋体" w:cs="宋体"/>
          <w:spacing w:val="-1"/>
        </w:rPr>
        <w:t>蒽、二苯</w:t>
      </w:r>
      <w:r>
        <w:rPr>
          <w:rFonts w:ascii="宋体" w:eastAsia="宋体" w:hAnsi="宋体" w:cs="宋体"/>
        </w:rPr>
        <w:t xml:space="preserve"> </w:t>
      </w:r>
      <w:r>
        <w:rPr>
          <w:rFonts w:ascii="宋体" w:eastAsia="宋体" w:hAnsi="宋体" w:cs="宋体"/>
          <w:spacing w:val="-5"/>
        </w:rPr>
        <w:t>并</w:t>
      </w:r>
      <w:r>
        <w:rPr>
          <w:rFonts w:ascii="宋体" w:eastAsia="宋体" w:hAnsi="宋体" w:cs="宋体"/>
          <w:spacing w:val="8"/>
        </w:rPr>
        <w:t xml:space="preserve"> </w:t>
      </w:r>
      <w:r>
        <w:rPr>
          <w:rFonts w:ascii="宋体" w:eastAsia="宋体" w:hAnsi="宋体" w:cs="宋体"/>
          <w:spacing w:val="-5"/>
        </w:rPr>
        <w:t>(a,h)</w:t>
      </w:r>
      <w:r>
        <w:rPr>
          <w:rFonts w:ascii="宋体" w:eastAsia="宋体" w:hAnsi="宋体" w:cs="宋体"/>
          <w:spacing w:val="15"/>
        </w:rPr>
        <w:t xml:space="preserve">  </w:t>
      </w:r>
      <w:r>
        <w:rPr>
          <w:rFonts w:ascii="宋体" w:eastAsia="宋体" w:hAnsi="宋体" w:cs="宋体"/>
          <w:spacing w:val="-5"/>
        </w:rPr>
        <w:t>蒽、苯并</w:t>
      </w:r>
      <w:r>
        <w:rPr>
          <w:rFonts w:ascii="宋体" w:eastAsia="宋体" w:hAnsi="宋体" w:cs="宋体"/>
          <w:spacing w:val="-2"/>
        </w:rPr>
        <w:t xml:space="preserve"> </w:t>
      </w:r>
      <w:r>
        <w:rPr>
          <w:rFonts w:ascii="宋体" w:eastAsia="宋体" w:hAnsi="宋体" w:cs="宋体"/>
          <w:spacing w:val="-5"/>
        </w:rPr>
        <w:t>(a)</w:t>
      </w:r>
      <w:r>
        <w:rPr>
          <w:rFonts w:ascii="宋体" w:eastAsia="宋体" w:hAnsi="宋体" w:cs="宋体"/>
          <w:spacing w:val="25"/>
        </w:rPr>
        <w:t xml:space="preserve"> </w:t>
      </w:r>
      <w:r>
        <w:rPr>
          <w:rFonts w:ascii="宋体" w:eastAsia="宋体" w:hAnsi="宋体" w:cs="宋体"/>
          <w:spacing w:val="-5"/>
        </w:rPr>
        <w:t>芘以及4-甲基芘等，已证实苯并</w:t>
      </w:r>
      <w:r>
        <w:rPr>
          <w:rFonts w:ascii="宋体" w:eastAsia="宋体" w:hAnsi="宋体" w:cs="宋体"/>
          <w:spacing w:val="5"/>
        </w:rPr>
        <w:t xml:space="preserve"> </w:t>
      </w:r>
      <w:r>
        <w:rPr>
          <w:rFonts w:ascii="宋体" w:eastAsia="宋体" w:hAnsi="宋体" w:cs="宋体"/>
          <w:spacing w:val="-5"/>
        </w:rPr>
        <w:t>(a)</w:t>
      </w:r>
      <w:r>
        <w:rPr>
          <w:rFonts w:ascii="宋体" w:eastAsia="宋体" w:hAnsi="宋体" w:cs="宋体"/>
          <w:spacing w:val="15"/>
        </w:rPr>
        <w:t xml:space="preserve"> </w:t>
      </w:r>
      <w:r>
        <w:rPr>
          <w:rFonts w:ascii="宋体" w:eastAsia="宋体" w:hAnsi="宋体" w:cs="宋体"/>
          <w:spacing w:val="-5"/>
        </w:rPr>
        <w:t>蒽和二苯</w:t>
      </w:r>
      <w:r>
        <w:rPr>
          <w:rFonts w:ascii="宋体" w:eastAsia="宋体" w:hAnsi="宋体" w:cs="宋体"/>
          <w:spacing w:val="-6"/>
        </w:rPr>
        <w:t>并</w:t>
      </w:r>
      <w:r>
        <w:rPr>
          <w:rFonts w:ascii="宋体" w:eastAsia="宋体" w:hAnsi="宋体" w:cs="宋体"/>
          <w:spacing w:val="-14"/>
        </w:rPr>
        <w:t xml:space="preserve"> </w:t>
      </w:r>
      <w:r>
        <w:rPr>
          <w:rFonts w:ascii="宋体" w:eastAsia="宋体" w:hAnsi="宋体" w:cs="宋体"/>
          <w:spacing w:val="-6"/>
        </w:rPr>
        <w:t>(a,</w:t>
      </w:r>
      <w:r>
        <w:rPr>
          <w:rFonts w:ascii="宋体" w:eastAsia="宋体" w:hAnsi="宋体" w:cs="宋体"/>
        </w:rPr>
        <w:t xml:space="preserve"> </w:t>
      </w:r>
      <w:r>
        <w:rPr>
          <w:rFonts w:ascii="宋体" w:eastAsia="宋体" w:hAnsi="宋体" w:cs="宋体"/>
          <w:spacing w:val="-2"/>
        </w:rPr>
        <w:t>h)</w:t>
      </w:r>
      <w:r>
        <w:rPr>
          <w:rFonts w:ascii="宋体" w:eastAsia="宋体" w:hAnsi="宋体" w:cs="宋体"/>
        </w:rPr>
        <w:t xml:space="preserve"> </w:t>
      </w:r>
      <w:r>
        <w:rPr>
          <w:rFonts w:ascii="宋体" w:eastAsia="宋体" w:hAnsi="宋体" w:cs="宋体"/>
          <w:spacing w:val="-2"/>
        </w:rPr>
        <w:t>蒽是致癌物质。现已研制出了不含苯并</w:t>
      </w:r>
      <w:r>
        <w:rPr>
          <w:rFonts w:ascii="宋体" w:eastAsia="宋体" w:hAnsi="宋体" w:cs="宋体"/>
          <w:spacing w:val="-12"/>
        </w:rPr>
        <w:t xml:space="preserve"> </w:t>
      </w:r>
      <w:r>
        <w:rPr>
          <w:rFonts w:ascii="宋体" w:eastAsia="宋体" w:hAnsi="宋体" w:cs="宋体"/>
          <w:spacing w:val="-2"/>
        </w:rPr>
        <w:t>(a)</w:t>
      </w:r>
      <w:r>
        <w:rPr>
          <w:rFonts w:ascii="宋体" w:eastAsia="宋体" w:hAnsi="宋体" w:cs="宋体"/>
          <w:spacing w:val="15"/>
        </w:rPr>
        <w:t xml:space="preserve"> </w:t>
      </w:r>
      <w:r>
        <w:rPr>
          <w:rFonts w:ascii="宋体" w:eastAsia="宋体" w:hAnsi="宋体" w:cs="宋体"/>
          <w:spacing w:val="-2"/>
        </w:rPr>
        <w:t>蒽和二苯并</w:t>
      </w:r>
      <w:r>
        <w:rPr>
          <w:rFonts w:ascii="宋体" w:eastAsia="宋体" w:hAnsi="宋体" w:cs="宋体"/>
          <w:spacing w:val="-24"/>
        </w:rPr>
        <w:t xml:space="preserve"> </w:t>
      </w:r>
      <w:r>
        <w:rPr>
          <w:rFonts w:ascii="宋体" w:eastAsia="宋体" w:hAnsi="宋体" w:cs="宋体"/>
          <w:spacing w:val="-2"/>
        </w:rPr>
        <w:t>(a,h)</w:t>
      </w:r>
      <w:r>
        <w:rPr>
          <w:rFonts w:ascii="宋体" w:eastAsia="宋体" w:hAnsi="宋体" w:cs="宋体"/>
          <w:spacing w:val="5"/>
        </w:rPr>
        <w:t xml:space="preserve">  </w:t>
      </w:r>
      <w:r>
        <w:rPr>
          <w:rFonts w:ascii="宋体" w:eastAsia="宋体" w:hAnsi="宋体" w:cs="宋体"/>
          <w:spacing w:val="-2"/>
        </w:rPr>
        <w:t>蒽</w:t>
      </w:r>
      <w:r>
        <w:rPr>
          <w:rFonts w:ascii="宋体" w:eastAsia="宋体" w:hAnsi="宋体" w:cs="宋体"/>
          <w:spacing w:val="-3"/>
        </w:rPr>
        <w:t>的液体烟</w:t>
      </w:r>
      <w:r>
        <w:rPr>
          <w:rFonts w:ascii="宋体" w:eastAsia="宋体" w:hAnsi="宋体" w:cs="宋体"/>
        </w:rPr>
        <w:t xml:space="preserve"> </w:t>
      </w:r>
      <w:r>
        <w:rPr>
          <w:rFonts w:ascii="宋体" w:eastAsia="宋体" w:hAnsi="宋体" w:cs="宋体"/>
          <w:spacing w:val="-6"/>
        </w:rPr>
        <w:t>熏制剂，并已广泛应用于肉制品的生产中。</w:t>
      </w:r>
    </w:p>
    <w:p w:rsidR="00EA40A3" w:rsidRDefault="00E86C16">
      <w:pPr>
        <w:spacing w:before="198" w:line="221" w:lineRule="auto"/>
        <w:ind w:left="3"/>
        <w:outlineLvl w:val="6"/>
        <w:rPr>
          <w:rFonts w:ascii="黑体" w:eastAsia="黑体" w:hAnsi="黑体" w:cs="黑体"/>
          <w:sz w:val="25"/>
          <w:szCs w:val="25"/>
        </w:rPr>
      </w:pPr>
      <w:r>
        <w:rPr>
          <w:rFonts w:ascii="黑体" w:eastAsia="黑体" w:hAnsi="黑体" w:cs="黑体"/>
          <w:b/>
          <w:bCs/>
          <w:spacing w:val="-8"/>
          <w:sz w:val="25"/>
          <w:szCs w:val="25"/>
        </w:rPr>
        <w:t>7.2.9</w:t>
      </w:r>
      <w:r>
        <w:rPr>
          <w:rFonts w:ascii="黑体" w:eastAsia="黑体" w:hAnsi="黑体" w:cs="黑体"/>
          <w:spacing w:val="10"/>
          <w:sz w:val="25"/>
          <w:szCs w:val="25"/>
        </w:rPr>
        <w:t xml:space="preserve">  </w:t>
      </w:r>
      <w:r>
        <w:rPr>
          <w:rFonts w:ascii="黑体" w:eastAsia="黑体" w:hAnsi="黑体" w:cs="黑体"/>
          <w:b/>
          <w:bCs/>
          <w:spacing w:val="-8"/>
          <w:sz w:val="25"/>
          <w:szCs w:val="25"/>
        </w:rPr>
        <w:t>食品的发酵</w:t>
      </w:r>
    </w:p>
    <w:p w:rsidR="00EA40A3" w:rsidRDefault="00E86C16">
      <w:pPr>
        <w:spacing w:before="196" w:line="258" w:lineRule="auto"/>
        <w:ind w:right="48" w:firstLine="430"/>
        <w:rPr>
          <w:rFonts w:ascii="宋体" w:eastAsia="宋体" w:hAnsi="宋体" w:cs="宋体"/>
        </w:rPr>
      </w:pPr>
      <w:r>
        <w:rPr>
          <w:rFonts w:ascii="宋体" w:eastAsia="宋体" w:hAnsi="宋体" w:cs="宋体"/>
          <w:spacing w:val="-3"/>
        </w:rPr>
        <w:t>食品发酵是指在有氧或缺氧条件下通过微生物的作用使糖类或近似糖类的</w:t>
      </w:r>
      <w:r>
        <w:rPr>
          <w:rFonts w:ascii="宋体" w:eastAsia="宋体" w:hAnsi="宋体" w:cs="宋体"/>
          <w:spacing w:val="-4"/>
        </w:rPr>
        <w:t>物</w:t>
      </w:r>
      <w:r>
        <w:rPr>
          <w:rFonts w:ascii="宋体" w:eastAsia="宋体" w:hAnsi="宋体" w:cs="宋体"/>
        </w:rPr>
        <w:t xml:space="preserve"> </w:t>
      </w:r>
      <w:r>
        <w:rPr>
          <w:rFonts w:ascii="宋体" w:eastAsia="宋体" w:hAnsi="宋体" w:cs="宋体"/>
          <w:spacing w:val="-3"/>
        </w:rPr>
        <w:t>质分解的过程。发酵不仅提供花色品种繁多的食品，提高它的耐储性，而且对食</w:t>
      </w:r>
      <w:r>
        <w:rPr>
          <w:rFonts w:ascii="宋体" w:eastAsia="宋体" w:hAnsi="宋体" w:cs="宋体"/>
          <w:spacing w:val="13"/>
        </w:rPr>
        <w:t xml:space="preserve"> </w:t>
      </w:r>
      <w:r>
        <w:rPr>
          <w:rFonts w:ascii="宋体" w:eastAsia="宋体" w:hAnsi="宋体" w:cs="宋体"/>
          <w:spacing w:val="3"/>
        </w:rPr>
        <w:t>品的营养成分也产生一定的影响。发酵食品能提高原有的未发酵食品的营养价</w:t>
      </w:r>
      <w:r>
        <w:rPr>
          <w:rFonts w:ascii="宋体" w:eastAsia="宋体" w:hAnsi="宋体" w:cs="宋体"/>
          <w:spacing w:val="16"/>
        </w:rPr>
        <w:t xml:space="preserve"> </w:t>
      </w:r>
      <w:r>
        <w:rPr>
          <w:rFonts w:ascii="宋体" w:eastAsia="宋体" w:hAnsi="宋体" w:cs="宋体"/>
          <w:spacing w:val="4"/>
        </w:rPr>
        <w:t>值。伴随着微生物分解食品中大分子(如蛋白质</w:t>
      </w:r>
      <w:r>
        <w:rPr>
          <w:rFonts w:ascii="宋体" w:eastAsia="宋体" w:hAnsi="宋体" w:cs="宋体"/>
          <w:spacing w:val="3"/>
        </w:rPr>
        <w:t>、多糖)的同时，由于微生物的</w:t>
      </w:r>
      <w:r>
        <w:rPr>
          <w:rFonts w:ascii="宋体" w:eastAsia="宋体" w:hAnsi="宋体" w:cs="宋体"/>
        </w:rPr>
        <w:t xml:space="preserve"> </w:t>
      </w:r>
      <w:r>
        <w:rPr>
          <w:rFonts w:ascii="宋体" w:eastAsia="宋体" w:hAnsi="宋体" w:cs="宋体"/>
          <w:spacing w:val="-3"/>
        </w:rPr>
        <w:t>新陈代谢也会产生一些代谢产物，这些代谢产物有许多是营养性的物质，如氨基</w:t>
      </w:r>
      <w:r>
        <w:rPr>
          <w:rFonts w:ascii="宋体" w:eastAsia="宋体" w:hAnsi="宋体" w:cs="宋体"/>
          <w:spacing w:val="12"/>
        </w:rPr>
        <w:t xml:space="preserve"> </w:t>
      </w:r>
      <w:r>
        <w:rPr>
          <w:rFonts w:ascii="宋体" w:eastAsia="宋体" w:hAnsi="宋体" w:cs="宋体"/>
          <w:spacing w:val="-3"/>
        </w:rPr>
        <w:t>酸、有机酸等。有些人体不易消化的纤维素、半纤维素和类似的物质，在发酵时</w:t>
      </w:r>
      <w:r>
        <w:rPr>
          <w:rFonts w:ascii="宋体" w:eastAsia="宋体" w:hAnsi="宋体" w:cs="宋体"/>
          <w:spacing w:val="16"/>
        </w:rPr>
        <w:t xml:space="preserve"> </w:t>
      </w:r>
      <w:r>
        <w:rPr>
          <w:rFonts w:ascii="宋体" w:eastAsia="宋体" w:hAnsi="宋体" w:cs="宋体"/>
          <w:spacing w:val="-3"/>
        </w:rPr>
        <w:t>也被适当地分解而变成人类能够消化吸收的成分。此外，发酵菌特别是霉菌，能</w:t>
      </w:r>
      <w:r>
        <w:rPr>
          <w:rFonts w:ascii="宋体" w:eastAsia="宋体" w:hAnsi="宋体" w:cs="宋体"/>
          <w:spacing w:val="14"/>
        </w:rPr>
        <w:t xml:space="preserve"> </w:t>
      </w:r>
      <w:r>
        <w:rPr>
          <w:rFonts w:ascii="宋体" w:eastAsia="宋体" w:hAnsi="宋体" w:cs="宋体"/>
          <w:spacing w:val="-3"/>
        </w:rPr>
        <w:t>使食品组织细胞壁分解，从而，使得细胞内的营养物质更容易直</w:t>
      </w:r>
      <w:r>
        <w:rPr>
          <w:rFonts w:ascii="宋体" w:eastAsia="宋体" w:hAnsi="宋体" w:cs="宋体"/>
          <w:spacing w:val="-4"/>
        </w:rPr>
        <w:t>接被人体吸收。</w:t>
      </w:r>
    </w:p>
    <w:p w:rsidR="00EA40A3" w:rsidRDefault="00E86C16">
      <w:pPr>
        <w:spacing w:before="79" w:line="218" w:lineRule="auto"/>
        <w:ind w:left="430"/>
        <w:rPr>
          <w:rFonts w:ascii="宋体" w:eastAsia="宋体" w:hAnsi="宋体" w:cs="宋体"/>
        </w:rPr>
      </w:pPr>
      <w:r>
        <w:rPr>
          <w:rFonts w:ascii="宋体" w:eastAsia="宋体" w:hAnsi="宋体" w:cs="宋体"/>
          <w:spacing w:val="-7"/>
        </w:rPr>
        <w:t>发酵过程可以通过以下几种途径提高营养价值：</w:t>
      </w:r>
    </w:p>
    <w:p w:rsidR="00EA40A3" w:rsidRDefault="00E86C16">
      <w:pPr>
        <w:spacing w:before="94" w:line="249" w:lineRule="auto"/>
        <w:ind w:right="55" w:firstLine="430"/>
        <w:rPr>
          <w:rFonts w:ascii="宋体" w:eastAsia="宋体" w:hAnsi="宋体" w:cs="宋体"/>
        </w:rPr>
      </w:pPr>
      <w:r>
        <w:rPr>
          <w:rFonts w:ascii="宋体" w:eastAsia="宋体" w:hAnsi="宋体" w:cs="宋体"/>
        </w:rPr>
        <w:t>(1)增加营养素，因为发酵过程的微生物不只</w:t>
      </w:r>
      <w:r>
        <w:rPr>
          <w:rFonts w:ascii="宋体" w:eastAsia="宋体" w:hAnsi="宋体" w:cs="宋体"/>
          <w:spacing w:val="-1"/>
        </w:rPr>
        <w:t>是将复杂物质进行分解，同时</w:t>
      </w:r>
      <w:r>
        <w:rPr>
          <w:rFonts w:ascii="宋体" w:eastAsia="宋体" w:hAnsi="宋体" w:cs="宋体"/>
        </w:rPr>
        <w:t xml:space="preserve"> </w:t>
      </w:r>
      <w:r>
        <w:rPr>
          <w:rFonts w:ascii="宋体" w:eastAsia="宋体" w:hAnsi="宋体" w:cs="宋体"/>
          <w:spacing w:val="2"/>
        </w:rPr>
        <w:t>还进行新陈代谢，合成许多复杂的维生素和其他生长素，如维生素B</w:t>
      </w:r>
      <w:r>
        <w:rPr>
          <w:rFonts w:ascii="Calibri" w:eastAsia="Calibri" w:hAnsi="Calibri" w:cs="Calibri"/>
          <w:spacing w:val="2"/>
        </w:rPr>
        <w:t>₁</w:t>
      </w:r>
      <w:r>
        <w:rPr>
          <w:rFonts w:ascii="Calibri" w:eastAsia="Calibri" w:hAnsi="Calibri" w:cs="Calibri"/>
          <w:spacing w:val="-13"/>
        </w:rPr>
        <w:t xml:space="preserve"> </w:t>
      </w:r>
      <w:r>
        <w:rPr>
          <w:rFonts w:ascii="宋体" w:eastAsia="宋体" w:hAnsi="宋体" w:cs="宋体"/>
          <w:spacing w:val="2"/>
        </w:rPr>
        <w:t>、</w:t>
      </w:r>
      <w:r>
        <w:rPr>
          <w:rFonts w:ascii="宋体" w:eastAsia="宋体" w:hAnsi="宋体" w:cs="宋体"/>
          <w:spacing w:val="-38"/>
        </w:rPr>
        <w:t xml:space="preserve"> </w:t>
      </w:r>
      <w:r>
        <w:rPr>
          <w:rFonts w:ascii="宋体" w:eastAsia="宋体" w:hAnsi="宋体" w:cs="宋体"/>
          <w:spacing w:val="2"/>
        </w:rPr>
        <w:t>维生素</w:t>
      </w:r>
      <w:r>
        <w:rPr>
          <w:rFonts w:ascii="宋体" w:eastAsia="宋体" w:hAnsi="宋体" w:cs="宋体"/>
        </w:rPr>
        <w:t xml:space="preserve"> </w:t>
      </w:r>
      <w:r>
        <w:rPr>
          <w:rFonts w:ascii="宋体" w:eastAsia="宋体" w:hAnsi="宋体" w:cs="宋体"/>
          <w:spacing w:val="-5"/>
        </w:rPr>
        <w:t>B2、</w:t>
      </w:r>
      <w:r>
        <w:rPr>
          <w:rFonts w:ascii="宋体" w:eastAsia="宋体" w:hAnsi="宋体" w:cs="宋体"/>
          <w:spacing w:val="-34"/>
        </w:rPr>
        <w:t xml:space="preserve"> </w:t>
      </w:r>
      <w:r>
        <w:rPr>
          <w:rFonts w:ascii="宋体" w:eastAsia="宋体" w:hAnsi="宋体" w:cs="宋体"/>
          <w:spacing w:val="-5"/>
        </w:rPr>
        <w:t>维生素C</w:t>
      </w:r>
      <w:r>
        <w:rPr>
          <w:rFonts w:ascii="宋体" w:eastAsia="宋体" w:hAnsi="宋体" w:cs="宋体"/>
          <w:spacing w:val="7"/>
        </w:rPr>
        <w:t xml:space="preserve"> </w:t>
      </w:r>
      <w:r>
        <w:rPr>
          <w:rFonts w:ascii="宋体" w:eastAsia="宋体" w:hAnsi="宋体" w:cs="宋体"/>
          <w:spacing w:val="-5"/>
        </w:rPr>
        <w:t>的原始化合物等，使得体系中营养更丰富。</w:t>
      </w:r>
    </w:p>
    <w:p w:rsidR="00EA40A3" w:rsidRDefault="00E86C16">
      <w:pPr>
        <w:spacing w:before="48" w:line="249" w:lineRule="auto"/>
        <w:ind w:right="53" w:firstLine="430"/>
        <w:rPr>
          <w:rFonts w:ascii="宋体" w:eastAsia="宋体" w:hAnsi="宋体" w:cs="宋体"/>
        </w:rPr>
      </w:pPr>
      <w:r>
        <w:rPr>
          <w:rFonts w:ascii="宋体" w:eastAsia="宋体" w:hAnsi="宋体" w:cs="宋体"/>
        </w:rPr>
        <w:t>(2)通过微生物的作用，还可以提高原料中原有成分的生理活性。比如糖苷</w:t>
      </w:r>
      <w:r>
        <w:rPr>
          <w:rFonts w:ascii="宋体" w:eastAsia="宋体" w:hAnsi="宋体" w:cs="宋体"/>
          <w:spacing w:val="4"/>
        </w:rPr>
        <w:t xml:space="preserve"> </w:t>
      </w:r>
      <w:r>
        <w:rPr>
          <w:rFonts w:ascii="宋体" w:eastAsia="宋体" w:hAnsi="宋体" w:cs="宋体"/>
          <w:spacing w:val="-8"/>
        </w:rPr>
        <w:t>型异黄酮在大豆原料中呈低活性的结合态，经过发酵制成</w:t>
      </w:r>
      <w:r>
        <w:rPr>
          <w:rFonts w:ascii="宋体" w:eastAsia="宋体" w:hAnsi="宋体" w:cs="宋体"/>
          <w:spacing w:val="-9"/>
        </w:rPr>
        <w:t>豆豉的过程中被水解掉结</w:t>
      </w:r>
      <w:r>
        <w:rPr>
          <w:rFonts w:ascii="宋体" w:eastAsia="宋体" w:hAnsi="宋体" w:cs="宋体"/>
        </w:rPr>
        <w:t xml:space="preserve"> </w:t>
      </w:r>
      <w:r>
        <w:rPr>
          <w:rFonts w:ascii="宋体" w:eastAsia="宋体" w:hAnsi="宋体" w:cs="宋体"/>
          <w:spacing w:val="-9"/>
        </w:rPr>
        <w:t>合的糖苷，成为抗氧化活性非常高的游离态异黄酮，使得营养保健作用相对增加。</w:t>
      </w:r>
    </w:p>
    <w:p w:rsidR="00EA40A3" w:rsidRDefault="00E86C16">
      <w:pPr>
        <w:spacing w:before="53" w:line="219" w:lineRule="auto"/>
        <w:ind w:left="430"/>
        <w:rPr>
          <w:rFonts w:ascii="宋体" w:eastAsia="宋体" w:hAnsi="宋体" w:cs="宋体"/>
        </w:rPr>
      </w:pPr>
      <w:r>
        <w:rPr>
          <w:rFonts w:ascii="宋体" w:eastAsia="宋体" w:hAnsi="宋体" w:cs="宋体"/>
        </w:rPr>
        <w:t>(3)释放营养素，就是将封闭在不易消化物质构成的植物结构和细胞内的营</w:t>
      </w:r>
    </w:p>
    <w:p w:rsidR="00EA40A3" w:rsidRDefault="00E86C16">
      <w:pPr>
        <w:spacing w:before="67"/>
        <w:ind w:left="15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246</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1104" w:bottom="400" w:left="800" w:header="0" w:footer="0" w:gutter="0"/>
          <w:cols w:space="720"/>
        </w:sectPr>
      </w:pPr>
    </w:p>
    <w:p w:rsidR="00EA40A3" w:rsidRDefault="00EA40A3">
      <w:pPr>
        <w:spacing w:line="302" w:lineRule="auto"/>
      </w:pPr>
    </w:p>
    <w:p w:rsidR="00EA40A3" w:rsidRDefault="00EA40A3">
      <w:pPr>
        <w:spacing w:line="303" w:lineRule="auto"/>
      </w:pPr>
    </w:p>
    <w:p w:rsidR="00EA40A3" w:rsidRDefault="00E86C16">
      <w:pPr>
        <w:spacing w:before="69" w:line="255" w:lineRule="auto"/>
        <w:ind w:left="60" w:right="17"/>
        <w:jc w:val="both"/>
        <w:rPr>
          <w:rFonts w:ascii="宋体" w:eastAsia="宋体" w:hAnsi="宋体" w:cs="宋体"/>
        </w:rPr>
      </w:pPr>
      <w:r>
        <w:rPr>
          <w:rFonts w:ascii="宋体" w:eastAsia="宋体" w:hAnsi="宋体" w:cs="宋体"/>
          <w:spacing w:val="-2"/>
        </w:rPr>
        <w:t>养物质释放出来，从而增加了食品的营养价值，对植物和谷物</w:t>
      </w:r>
      <w:r>
        <w:rPr>
          <w:rFonts w:ascii="宋体" w:eastAsia="宋体" w:hAnsi="宋体" w:cs="宋体"/>
          <w:spacing w:val="-3"/>
        </w:rPr>
        <w:t>更是如此。但有时</w:t>
      </w:r>
      <w:r>
        <w:rPr>
          <w:rFonts w:ascii="宋体" w:eastAsia="宋体" w:hAnsi="宋体" w:cs="宋体"/>
        </w:rPr>
        <w:t xml:space="preserve"> </w:t>
      </w:r>
      <w:r>
        <w:rPr>
          <w:rFonts w:ascii="宋体" w:eastAsia="宋体" w:hAnsi="宋体" w:cs="宋体"/>
          <w:spacing w:val="4"/>
        </w:rPr>
        <w:t>借助机械研磨甚至加以蒸煮，也难以将封闭在细胞里</w:t>
      </w:r>
      <w:r>
        <w:rPr>
          <w:rFonts w:ascii="宋体" w:eastAsia="宋体" w:hAnsi="宋体" w:cs="宋体"/>
          <w:spacing w:val="3"/>
        </w:rPr>
        <w:t>面的营养物质全部释放出</w:t>
      </w:r>
      <w:r>
        <w:rPr>
          <w:rFonts w:ascii="宋体" w:eastAsia="宋体" w:hAnsi="宋体" w:cs="宋体"/>
        </w:rPr>
        <w:t xml:space="preserve"> </w:t>
      </w:r>
      <w:r>
        <w:rPr>
          <w:rFonts w:ascii="宋体" w:eastAsia="宋体" w:hAnsi="宋体" w:cs="宋体"/>
          <w:spacing w:val="-5"/>
        </w:rPr>
        <w:t>来，总有一部分营养素不能为人体利用。</w:t>
      </w:r>
    </w:p>
    <w:p w:rsidR="00EA40A3" w:rsidRDefault="00E86C16">
      <w:pPr>
        <w:spacing w:before="63" w:line="257" w:lineRule="auto"/>
        <w:ind w:left="60" w:right="7" w:firstLine="360"/>
        <w:jc w:val="both"/>
        <w:rPr>
          <w:rFonts w:ascii="宋体" w:eastAsia="宋体" w:hAnsi="宋体" w:cs="宋体"/>
        </w:rPr>
      </w:pPr>
      <w:r>
        <w:rPr>
          <w:rFonts w:ascii="宋体" w:eastAsia="宋体" w:hAnsi="宋体" w:cs="宋体"/>
          <w:spacing w:val="1"/>
        </w:rPr>
        <w:t>(4)通过酶的水解作用，提高营养素的生物利用率。食物</w:t>
      </w:r>
      <w:r>
        <w:rPr>
          <w:rFonts w:ascii="宋体" w:eastAsia="宋体" w:hAnsi="宋体" w:cs="宋体"/>
        </w:rPr>
        <w:t xml:space="preserve">中含有的人体不易 </w:t>
      </w:r>
      <w:r>
        <w:rPr>
          <w:rFonts w:ascii="宋体" w:eastAsia="宋体" w:hAnsi="宋体" w:cs="宋体"/>
          <w:spacing w:val="-2"/>
        </w:rPr>
        <w:t>消化的纤维素、半纤维素和类似的聚合物，在发酵</w:t>
      </w:r>
      <w:r>
        <w:rPr>
          <w:rFonts w:ascii="宋体" w:eastAsia="宋体" w:hAnsi="宋体" w:cs="宋体"/>
          <w:spacing w:val="-3"/>
        </w:rPr>
        <w:t>过程中，通过微生物酶的水解</w:t>
      </w:r>
      <w:r>
        <w:rPr>
          <w:rFonts w:ascii="宋体" w:eastAsia="宋体" w:hAnsi="宋体" w:cs="宋体"/>
        </w:rPr>
        <w:t xml:space="preserve"> </w:t>
      </w:r>
      <w:r>
        <w:rPr>
          <w:rFonts w:ascii="宋体" w:eastAsia="宋体" w:hAnsi="宋体" w:cs="宋体"/>
          <w:spacing w:val="-2"/>
        </w:rPr>
        <w:t>作用，裂解成为可以为人体吸收利用的简单糖类和糖的衍</w:t>
      </w:r>
      <w:r>
        <w:rPr>
          <w:rFonts w:ascii="宋体" w:eastAsia="宋体" w:hAnsi="宋体" w:cs="宋体"/>
          <w:spacing w:val="-3"/>
        </w:rPr>
        <w:t>生物，从而增加了食物</w:t>
      </w:r>
      <w:r>
        <w:rPr>
          <w:rFonts w:ascii="宋体" w:eastAsia="宋体" w:hAnsi="宋体" w:cs="宋体"/>
        </w:rPr>
        <w:t xml:space="preserve"> </w:t>
      </w:r>
      <w:r>
        <w:rPr>
          <w:rFonts w:ascii="宋体" w:eastAsia="宋体" w:hAnsi="宋体" w:cs="宋体"/>
          <w:spacing w:val="-2"/>
        </w:rPr>
        <w:t>的营养价值；此外发酵可使大分子的蛋白质水解为胨</w:t>
      </w:r>
      <w:r>
        <w:rPr>
          <w:rFonts w:ascii="宋体" w:eastAsia="宋体" w:hAnsi="宋体" w:cs="宋体"/>
          <w:spacing w:val="-3"/>
        </w:rPr>
        <w:t>、肽等更易于消化吸收的短</w:t>
      </w:r>
      <w:r>
        <w:rPr>
          <w:rFonts w:ascii="宋体" w:eastAsia="宋体" w:hAnsi="宋体" w:cs="宋体"/>
        </w:rPr>
        <w:t xml:space="preserve"> </w:t>
      </w:r>
      <w:r>
        <w:rPr>
          <w:rFonts w:ascii="宋体" w:eastAsia="宋体" w:hAnsi="宋体" w:cs="宋体"/>
          <w:spacing w:val="-2"/>
        </w:rPr>
        <w:t>链成分，实际上起到一种预消化作用。虽然没有提高</w:t>
      </w:r>
      <w:r>
        <w:rPr>
          <w:rFonts w:ascii="宋体" w:eastAsia="宋体" w:hAnsi="宋体" w:cs="宋体"/>
          <w:spacing w:val="-3"/>
        </w:rPr>
        <w:t>体系中的氨基酸含量，但提</w:t>
      </w:r>
      <w:r>
        <w:rPr>
          <w:rFonts w:ascii="宋体" w:eastAsia="宋体" w:hAnsi="宋体" w:cs="宋体"/>
        </w:rPr>
        <w:t xml:space="preserve"> </w:t>
      </w:r>
      <w:r>
        <w:rPr>
          <w:rFonts w:ascii="宋体" w:eastAsia="宋体" w:hAnsi="宋体" w:cs="宋体"/>
          <w:spacing w:val="-2"/>
        </w:rPr>
        <w:t>高了原有蛋白的生物效价。发酵还可以利用乳酸菌中的乳糖消化酶，消除牛奶中</w:t>
      </w:r>
      <w:r>
        <w:rPr>
          <w:rFonts w:ascii="宋体" w:eastAsia="宋体" w:hAnsi="宋体" w:cs="宋体"/>
          <w:spacing w:val="1"/>
        </w:rPr>
        <w:t xml:space="preserve"> </w:t>
      </w:r>
      <w:r>
        <w:rPr>
          <w:rFonts w:ascii="宋体" w:eastAsia="宋体" w:hAnsi="宋体" w:cs="宋体"/>
          <w:spacing w:val="-6"/>
        </w:rPr>
        <w:t>的胀气因子，增加牛奶的消化利用率。</w:t>
      </w:r>
    </w:p>
    <w:p w:rsidR="00EA40A3" w:rsidRDefault="00E86C16">
      <w:pPr>
        <w:spacing w:before="98" w:line="255" w:lineRule="auto"/>
        <w:ind w:left="60" w:right="20" w:firstLine="360"/>
        <w:jc w:val="both"/>
        <w:rPr>
          <w:rFonts w:ascii="宋体" w:eastAsia="宋体" w:hAnsi="宋体" w:cs="宋体"/>
        </w:rPr>
      </w:pPr>
      <w:r>
        <w:rPr>
          <w:rFonts w:ascii="宋体" w:eastAsia="宋体" w:hAnsi="宋体" w:cs="宋体"/>
          <w:spacing w:val="-3"/>
        </w:rPr>
        <w:t>番薯制成番薯脯的乳酸发酵过程，可以减少原材料重要营养成分的损失，如</w:t>
      </w:r>
      <w:r>
        <w:rPr>
          <w:rFonts w:ascii="宋体" w:eastAsia="宋体" w:hAnsi="宋体" w:cs="宋体"/>
          <w:spacing w:val="13"/>
        </w:rPr>
        <w:t xml:space="preserve"> </w:t>
      </w:r>
      <w:r>
        <w:rPr>
          <w:rFonts w:ascii="宋体" w:eastAsia="宋体" w:hAnsi="宋体" w:cs="宋体"/>
          <w:spacing w:val="-1"/>
        </w:rPr>
        <w:t>维生素C;</w:t>
      </w:r>
      <w:r>
        <w:rPr>
          <w:rFonts w:ascii="宋体" w:eastAsia="宋体" w:hAnsi="宋体" w:cs="宋体"/>
          <w:spacing w:val="58"/>
        </w:rPr>
        <w:t xml:space="preserve"> </w:t>
      </w:r>
      <w:r>
        <w:rPr>
          <w:rFonts w:ascii="宋体" w:eastAsia="宋体" w:hAnsi="宋体" w:cs="宋体"/>
          <w:spacing w:val="-1"/>
        </w:rPr>
        <w:t>而且在发酵中增加了某些必需氨基酸。另外，番薯经乳酸发酵后制成</w:t>
      </w:r>
      <w:r>
        <w:rPr>
          <w:rFonts w:ascii="宋体" w:eastAsia="宋体" w:hAnsi="宋体" w:cs="宋体"/>
        </w:rPr>
        <w:t xml:space="preserve"> </w:t>
      </w:r>
      <w:r>
        <w:rPr>
          <w:rFonts w:ascii="宋体" w:eastAsia="宋体" w:hAnsi="宋体" w:cs="宋体"/>
          <w:spacing w:val="-3"/>
        </w:rPr>
        <w:t>蜜饯，其中含有的乳酸可提高钙、磷、铁的利用率，促进维</w:t>
      </w:r>
      <w:r>
        <w:rPr>
          <w:rFonts w:ascii="宋体" w:eastAsia="宋体" w:hAnsi="宋体" w:cs="宋体"/>
          <w:spacing w:val="-4"/>
        </w:rPr>
        <w:t>生素的吸收。</w:t>
      </w:r>
    </w:p>
    <w:p w:rsidR="00EA40A3" w:rsidRDefault="00E86C16">
      <w:pPr>
        <w:spacing w:before="49" w:line="255" w:lineRule="auto"/>
        <w:ind w:left="60" w:right="20" w:firstLine="360"/>
        <w:jc w:val="both"/>
        <w:rPr>
          <w:rFonts w:ascii="宋体" w:eastAsia="宋体" w:hAnsi="宋体" w:cs="宋体"/>
        </w:rPr>
      </w:pPr>
      <w:r>
        <w:rPr>
          <w:rFonts w:ascii="宋体" w:eastAsia="宋体" w:hAnsi="宋体" w:cs="宋体"/>
          <w:spacing w:val="-4"/>
        </w:rPr>
        <w:t>(5)改变食品的营养成分构成。发酵使得食物中碳水化合物的含量降低。</w:t>
      </w:r>
      <w:r>
        <w:rPr>
          <w:rFonts w:ascii="宋体" w:eastAsia="宋体" w:hAnsi="宋体" w:cs="宋体"/>
          <w:spacing w:val="46"/>
        </w:rPr>
        <w:t xml:space="preserve"> </w:t>
      </w:r>
      <w:r>
        <w:rPr>
          <w:rFonts w:ascii="宋体" w:eastAsia="宋体" w:hAnsi="宋体" w:cs="宋体"/>
          <w:spacing w:val="-4"/>
        </w:rPr>
        <w:t>一</w:t>
      </w:r>
      <w:r>
        <w:rPr>
          <w:rFonts w:ascii="宋体" w:eastAsia="宋体" w:hAnsi="宋体" w:cs="宋体"/>
        </w:rPr>
        <w:t xml:space="preserve"> </w:t>
      </w:r>
      <w:r>
        <w:rPr>
          <w:rFonts w:ascii="宋体" w:eastAsia="宋体" w:hAnsi="宋体" w:cs="宋体"/>
          <w:spacing w:val="-2"/>
        </w:rPr>
        <w:t>方面，原料中的大分子碳水化合物如：纤维素、淀粉</w:t>
      </w:r>
      <w:r>
        <w:rPr>
          <w:rFonts w:ascii="宋体" w:eastAsia="宋体" w:hAnsi="宋体" w:cs="宋体"/>
          <w:spacing w:val="-3"/>
        </w:rPr>
        <w:t>等分别被相应的酶水解为可</w:t>
      </w:r>
      <w:r>
        <w:rPr>
          <w:rFonts w:ascii="宋体" w:eastAsia="宋体" w:hAnsi="宋体" w:cs="宋体"/>
        </w:rPr>
        <w:t xml:space="preserve"> </w:t>
      </w:r>
      <w:r>
        <w:rPr>
          <w:rFonts w:ascii="宋体" w:eastAsia="宋体" w:hAnsi="宋体" w:cs="宋体"/>
          <w:spacing w:val="-2"/>
        </w:rPr>
        <w:t>利用的单糖，多糖的含量减少；另一方面，发酵中的</w:t>
      </w:r>
      <w:r>
        <w:rPr>
          <w:rFonts w:ascii="宋体" w:eastAsia="宋体" w:hAnsi="宋体" w:cs="宋体"/>
          <w:spacing w:val="-3"/>
        </w:rPr>
        <w:t>微生物需要的能量是由单糖</w:t>
      </w:r>
      <w:r>
        <w:rPr>
          <w:rFonts w:ascii="宋体" w:eastAsia="宋体" w:hAnsi="宋体" w:cs="宋体"/>
        </w:rPr>
        <w:t xml:space="preserve"> </w:t>
      </w:r>
      <w:r>
        <w:rPr>
          <w:rFonts w:ascii="宋体" w:eastAsia="宋体" w:hAnsi="宋体" w:cs="宋体"/>
          <w:spacing w:val="-2"/>
        </w:rPr>
        <w:t>产生，如果转化彻底，则完全变成二氧化碳，如果不</w:t>
      </w:r>
      <w:r>
        <w:rPr>
          <w:rFonts w:ascii="宋体" w:eastAsia="宋体" w:hAnsi="宋体" w:cs="宋体"/>
          <w:spacing w:val="-3"/>
        </w:rPr>
        <w:t>彻底，则变成了其他非糖类</w:t>
      </w:r>
      <w:r>
        <w:rPr>
          <w:rFonts w:ascii="宋体" w:eastAsia="宋体" w:hAnsi="宋体" w:cs="宋体"/>
        </w:rPr>
        <w:t xml:space="preserve"> </w:t>
      </w:r>
      <w:r>
        <w:rPr>
          <w:rFonts w:ascii="宋体" w:eastAsia="宋体" w:hAnsi="宋体" w:cs="宋体"/>
          <w:spacing w:val="-6"/>
        </w:rPr>
        <w:t>物质，如酒精、有机酸等。</w:t>
      </w:r>
    </w:p>
    <w:p w:rsidR="00EA40A3" w:rsidRDefault="00E86C16">
      <w:pPr>
        <w:spacing w:before="99" w:line="255" w:lineRule="auto"/>
        <w:ind w:left="60" w:right="18" w:firstLine="360"/>
        <w:jc w:val="both"/>
        <w:rPr>
          <w:rFonts w:ascii="宋体" w:eastAsia="宋体" w:hAnsi="宋体" w:cs="宋体"/>
        </w:rPr>
      </w:pPr>
      <w:r>
        <w:rPr>
          <w:rFonts w:ascii="宋体" w:eastAsia="宋体" w:hAnsi="宋体" w:cs="宋体"/>
          <w:spacing w:val="-3"/>
        </w:rPr>
        <w:t>如桑椹汁经过发酵生成桑椹酒后所含营养成分发生了较大的变化。所含的总</w:t>
      </w:r>
      <w:r>
        <w:rPr>
          <w:rFonts w:ascii="宋体" w:eastAsia="宋体" w:hAnsi="宋体" w:cs="宋体"/>
          <w:spacing w:val="15"/>
        </w:rPr>
        <w:t xml:space="preserve"> </w:t>
      </w:r>
      <w:r>
        <w:rPr>
          <w:rFonts w:ascii="宋体" w:eastAsia="宋体" w:hAnsi="宋体" w:cs="宋体"/>
          <w:spacing w:val="6"/>
        </w:rPr>
        <w:t>糖和添加的蔗糖大部分转化成了酒精，酒精含量达9.3%</w:t>
      </w:r>
      <w:r>
        <w:rPr>
          <w:rFonts w:ascii="宋体" w:eastAsia="宋体" w:hAnsi="宋体" w:cs="宋体"/>
          <w:spacing w:val="10"/>
        </w:rPr>
        <w:t xml:space="preserve"> </w:t>
      </w:r>
      <w:r>
        <w:rPr>
          <w:rFonts w:ascii="宋体" w:eastAsia="宋体" w:hAnsi="宋体" w:cs="宋体"/>
          <w:spacing w:val="6"/>
        </w:rPr>
        <w:t>(V/V);</w:t>
      </w:r>
      <w:r>
        <w:rPr>
          <w:rFonts w:ascii="宋体" w:eastAsia="宋体" w:hAnsi="宋体" w:cs="宋体"/>
          <w:spacing w:val="2"/>
        </w:rPr>
        <w:t xml:space="preserve">  </w:t>
      </w:r>
      <w:r>
        <w:rPr>
          <w:rFonts w:ascii="宋体" w:eastAsia="宋体" w:hAnsi="宋体" w:cs="宋体"/>
          <w:spacing w:val="6"/>
        </w:rPr>
        <w:t>蛋白质和</w:t>
      </w:r>
      <w:r>
        <w:rPr>
          <w:rFonts w:ascii="宋体" w:eastAsia="宋体" w:hAnsi="宋体" w:cs="宋体"/>
          <w:spacing w:val="5"/>
        </w:rPr>
        <w:t>氨</w:t>
      </w:r>
      <w:r>
        <w:rPr>
          <w:rFonts w:ascii="宋体" w:eastAsia="宋体" w:hAnsi="宋体" w:cs="宋体"/>
        </w:rPr>
        <w:t xml:space="preserve"> </w:t>
      </w:r>
      <w:r>
        <w:rPr>
          <w:rFonts w:ascii="宋体" w:eastAsia="宋体" w:hAnsi="宋体" w:cs="宋体"/>
          <w:spacing w:val="3"/>
        </w:rPr>
        <w:t>基酸被酵母利用，均已下降；总酸有一定程度的升高(见表7-13)。并且桑椹汁</w:t>
      </w:r>
      <w:r>
        <w:rPr>
          <w:rFonts w:ascii="宋体" w:eastAsia="宋体" w:hAnsi="宋体" w:cs="宋体"/>
          <w:spacing w:val="18"/>
        </w:rPr>
        <w:t xml:space="preserve"> </w:t>
      </w:r>
      <w:r>
        <w:rPr>
          <w:rFonts w:ascii="宋体" w:eastAsia="宋体" w:hAnsi="宋体" w:cs="宋体"/>
          <w:spacing w:val="-3"/>
        </w:rPr>
        <w:t>中所含的大部分维生素由于在发酵过程中被酵母利用，维生素含量大为降低，同</w:t>
      </w:r>
      <w:r>
        <w:rPr>
          <w:rFonts w:ascii="宋体" w:eastAsia="宋体" w:hAnsi="宋体" w:cs="宋体"/>
          <w:spacing w:val="12"/>
        </w:rPr>
        <w:t xml:space="preserve"> </w:t>
      </w:r>
      <w:r>
        <w:rPr>
          <w:rFonts w:ascii="宋体" w:eastAsia="宋体" w:hAnsi="宋体" w:cs="宋体"/>
          <w:spacing w:val="-1"/>
        </w:rPr>
        <w:t>时还有一些维生素，如维生素C</w:t>
      </w:r>
      <w:r>
        <w:rPr>
          <w:rFonts w:ascii="宋体" w:eastAsia="宋体" w:hAnsi="宋体" w:cs="宋体"/>
          <w:spacing w:val="-20"/>
        </w:rPr>
        <w:t xml:space="preserve"> </w:t>
      </w:r>
      <w:r>
        <w:rPr>
          <w:rFonts w:ascii="宋体" w:eastAsia="宋体" w:hAnsi="宋体" w:cs="宋体"/>
          <w:spacing w:val="-1"/>
        </w:rPr>
        <w:t>在发酵过程中被氧化损失。</w:t>
      </w:r>
    </w:p>
    <w:p w:rsidR="00EA40A3" w:rsidRDefault="00E86C16">
      <w:pPr>
        <w:spacing w:before="208" w:line="222" w:lineRule="auto"/>
        <w:ind w:left="2082"/>
        <w:rPr>
          <w:rFonts w:ascii="黑体" w:eastAsia="黑体" w:hAnsi="黑体" w:cs="黑体"/>
          <w:sz w:val="18"/>
          <w:szCs w:val="18"/>
        </w:rPr>
      </w:pPr>
      <w:r>
        <w:rPr>
          <w:rFonts w:ascii="黑体" w:eastAsia="黑体" w:hAnsi="黑体" w:cs="黑体"/>
          <w:b/>
          <w:bCs/>
          <w:spacing w:val="-2"/>
          <w:sz w:val="18"/>
          <w:szCs w:val="18"/>
        </w:rPr>
        <w:t>表7-13</w:t>
      </w:r>
      <w:r>
        <w:rPr>
          <w:rFonts w:ascii="黑体" w:eastAsia="黑体" w:hAnsi="黑体" w:cs="黑体"/>
          <w:spacing w:val="80"/>
          <w:sz w:val="18"/>
          <w:szCs w:val="18"/>
        </w:rPr>
        <w:t xml:space="preserve"> </w:t>
      </w:r>
      <w:r>
        <w:rPr>
          <w:rFonts w:ascii="黑体" w:eastAsia="黑体" w:hAnsi="黑体" w:cs="黑体"/>
          <w:b/>
          <w:bCs/>
          <w:spacing w:val="-2"/>
          <w:sz w:val="18"/>
          <w:szCs w:val="18"/>
        </w:rPr>
        <w:t>桑椹汁和桑椹酒的主要成分比较</w:t>
      </w:r>
    </w:p>
    <w:p w:rsidR="00EA40A3" w:rsidRDefault="00EA40A3">
      <w:pPr>
        <w:spacing w:line="34" w:lineRule="exact"/>
      </w:pP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840"/>
        <w:gridCol w:w="2201"/>
        <w:gridCol w:w="2308"/>
      </w:tblGrid>
      <w:tr w:rsidR="00EA40A3">
        <w:trPr>
          <w:trHeight w:val="283"/>
        </w:trPr>
        <w:tc>
          <w:tcPr>
            <w:tcW w:w="2840" w:type="dxa"/>
            <w:tcBorders>
              <w:top w:val="single" w:sz="4" w:space="0" w:color="000000"/>
              <w:bottom w:val="single" w:sz="4" w:space="0" w:color="000000"/>
            </w:tcBorders>
          </w:tcPr>
          <w:p w:rsidR="00EA40A3" w:rsidRDefault="00E86C16">
            <w:pPr>
              <w:spacing w:before="101" w:line="209" w:lineRule="auto"/>
              <w:ind w:left="940"/>
              <w:rPr>
                <w:rFonts w:ascii="宋体" w:eastAsia="宋体" w:hAnsi="宋体" w:cs="宋体"/>
                <w:sz w:val="16"/>
                <w:szCs w:val="16"/>
              </w:rPr>
            </w:pPr>
            <w:r>
              <w:rPr>
                <w:rFonts w:ascii="宋体" w:eastAsia="宋体" w:hAnsi="宋体" w:cs="宋体"/>
                <w:spacing w:val="-2"/>
                <w:sz w:val="16"/>
                <w:szCs w:val="16"/>
              </w:rPr>
              <w:t>主要成分</w:t>
            </w:r>
          </w:p>
        </w:tc>
        <w:tc>
          <w:tcPr>
            <w:tcW w:w="2201" w:type="dxa"/>
            <w:tcBorders>
              <w:top w:val="single" w:sz="4" w:space="0" w:color="000000"/>
              <w:bottom w:val="single" w:sz="4" w:space="0" w:color="000000"/>
            </w:tcBorders>
          </w:tcPr>
          <w:p w:rsidR="00EA40A3" w:rsidRDefault="00E86C16">
            <w:pPr>
              <w:spacing w:before="92" w:line="220" w:lineRule="auto"/>
              <w:ind w:left="860"/>
              <w:rPr>
                <w:rFonts w:ascii="宋体" w:eastAsia="宋体" w:hAnsi="宋体" w:cs="宋体"/>
                <w:sz w:val="16"/>
                <w:szCs w:val="16"/>
              </w:rPr>
            </w:pPr>
            <w:r>
              <w:rPr>
                <w:rFonts w:ascii="宋体" w:eastAsia="宋体" w:hAnsi="宋体" w:cs="宋体"/>
                <w:spacing w:val="-2"/>
                <w:sz w:val="16"/>
                <w:szCs w:val="16"/>
              </w:rPr>
              <w:t>桑椹汁</w:t>
            </w:r>
          </w:p>
        </w:tc>
        <w:tc>
          <w:tcPr>
            <w:tcW w:w="2308" w:type="dxa"/>
            <w:tcBorders>
              <w:top w:val="single" w:sz="4" w:space="0" w:color="000000"/>
              <w:bottom w:val="single" w:sz="4" w:space="0" w:color="000000"/>
            </w:tcBorders>
          </w:tcPr>
          <w:p w:rsidR="00EA40A3" w:rsidRDefault="00E86C16">
            <w:pPr>
              <w:spacing w:before="112" w:line="197" w:lineRule="auto"/>
              <w:ind w:left="879"/>
              <w:rPr>
                <w:rFonts w:ascii="宋体" w:eastAsia="宋体" w:hAnsi="宋体" w:cs="宋体"/>
                <w:sz w:val="16"/>
                <w:szCs w:val="16"/>
              </w:rPr>
            </w:pPr>
            <w:r>
              <w:rPr>
                <w:rFonts w:ascii="宋体" w:eastAsia="宋体" w:hAnsi="宋体" w:cs="宋体"/>
                <w:spacing w:val="-2"/>
                <w:sz w:val="16"/>
                <w:szCs w:val="16"/>
              </w:rPr>
              <w:t>桑椹酒</w:t>
            </w:r>
          </w:p>
        </w:tc>
      </w:tr>
      <w:tr w:rsidR="00EA40A3">
        <w:trPr>
          <w:trHeight w:val="296"/>
        </w:trPr>
        <w:tc>
          <w:tcPr>
            <w:tcW w:w="2840" w:type="dxa"/>
            <w:tcBorders>
              <w:top w:val="single" w:sz="4" w:space="0" w:color="000000"/>
            </w:tcBorders>
          </w:tcPr>
          <w:p w:rsidR="00EA40A3" w:rsidRDefault="00E86C16">
            <w:pPr>
              <w:spacing w:before="89" w:line="220" w:lineRule="auto"/>
              <w:ind w:left="540"/>
              <w:rPr>
                <w:rFonts w:ascii="宋体" w:eastAsia="宋体" w:hAnsi="宋体" w:cs="宋体"/>
                <w:sz w:val="16"/>
                <w:szCs w:val="16"/>
              </w:rPr>
            </w:pPr>
            <w:r>
              <w:rPr>
                <w:rFonts w:ascii="宋体" w:eastAsia="宋体" w:hAnsi="宋体" w:cs="宋体"/>
                <w:spacing w:val="-3"/>
                <w:sz w:val="16"/>
                <w:szCs w:val="16"/>
              </w:rPr>
              <w:t>总糖/%</w:t>
            </w:r>
          </w:p>
        </w:tc>
        <w:tc>
          <w:tcPr>
            <w:tcW w:w="2201" w:type="dxa"/>
            <w:tcBorders>
              <w:top w:val="single" w:sz="4" w:space="0" w:color="000000"/>
            </w:tcBorders>
          </w:tcPr>
          <w:p w:rsidR="00EA40A3" w:rsidRDefault="00E86C16">
            <w:pPr>
              <w:spacing w:before="129" w:line="183" w:lineRule="auto"/>
              <w:ind w:left="980"/>
              <w:rPr>
                <w:rFonts w:ascii="宋体" w:eastAsia="宋体" w:hAnsi="宋体" w:cs="宋体"/>
                <w:sz w:val="16"/>
                <w:szCs w:val="16"/>
              </w:rPr>
            </w:pPr>
            <w:r>
              <w:rPr>
                <w:rFonts w:ascii="宋体" w:eastAsia="宋体" w:hAnsi="宋体" w:cs="宋体"/>
                <w:spacing w:val="-2"/>
                <w:sz w:val="16"/>
                <w:szCs w:val="16"/>
              </w:rPr>
              <w:t>4.5</w:t>
            </w:r>
          </w:p>
        </w:tc>
        <w:tc>
          <w:tcPr>
            <w:tcW w:w="2308" w:type="dxa"/>
            <w:tcBorders>
              <w:top w:val="single" w:sz="4" w:space="0" w:color="000000"/>
            </w:tcBorders>
          </w:tcPr>
          <w:p w:rsidR="00EA40A3" w:rsidRDefault="00E86C16">
            <w:pPr>
              <w:spacing w:before="109" w:line="183" w:lineRule="auto"/>
              <w:ind w:left="879"/>
              <w:rPr>
                <w:rFonts w:ascii="宋体" w:eastAsia="宋体" w:hAnsi="宋体" w:cs="宋体"/>
                <w:sz w:val="16"/>
                <w:szCs w:val="16"/>
              </w:rPr>
            </w:pPr>
            <w:r>
              <w:rPr>
                <w:rFonts w:ascii="宋体" w:eastAsia="宋体" w:hAnsi="宋体" w:cs="宋体"/>
                <w:spacing w:val="-2"/>
                <w:sz w:val="16"/>
                <w:szCs w:val="16"/>
              </w:rPr>
              <w:t>2.9</w:t>
            </w:r>
          </w:p>
        </w:tc>
      </w:tr>
      <w:tr w:rsidR="00EA40A3">
        <w:trPr>
          <w:trHeight w:val="276"/>
        </w:trPr>
        <w:tc>
          <w:tcPr>
            <w:tcW w:w="2840" w:type="dxa"/>
          </w:tcPr>
          <w:p w:rsidR="00EA40A3" w:rsidRDefault="00E86C16">
            <w:pPr>
              <w:spacing w:before="57" w:line="214" w:lineRule="auto"/>
              <w:ind w:left="540"/>
              <w:rPr>
                <w:rFonts w:ascii="宋体" w:eastAsia="宋体" w:hAnsi="宋体" w:cs="宋体"/>
                <w:sz w:val="16"/>
                <w:szCs w:val="16"/>
              </w:rPr>
            </w:pPr>
            <w:r>
              <w:rPr>
                <w:rFonts w:ascii="宋体" w:eastAsia="宋体" w:hAnsi="宋体" w:cs="宋体"/>
                <w:spacing w:val="2"/>
                <w:sz w:val="16"/>
                <w:szCs w:val="16"/>
              </w:rPr>
              <w:t>总酸柠檬酸计/(g/L)</w:t>
            </w:r>
          </w:p>
        </w:tc>
        <w:tc>
          <w:tcPr>
            <w:tcW w:w="2201" w:type="dxa"/>
          </w:tcPr>
          <w:p w:rsidR="00EA40A3" w:rsidRDefault="00E86C16">
            <w:pPr>
              <w:spacing w:before="103" w:line="183" w:lineRule="auto"/>
              <w:ind w:left="980"/>
              <w:rPr>
                <w:rFonts w:ascii="宋体" w:eastAsia="宋体" w:hAnsi="宋体" w:cs="宋体"/>
                <w:sz w:val="16"/>
                <w:szCs w:val="16"/>
              </w:rPr>
            </w:pPr>
            <w:r>
              <w:rPr>
                <w:rFonts w:ascii="宋体" w:eastAsia="宋体" w:hAnsi="宋体" w:cs="宋体"/>
                <w:spacing w:val="-3"/>
                <w:sz w:val="16"/>
                <w:szCs w:val="16"/>
              </w:rPr>
              <w:t>5.6</w:t>
            </w:r>
          </w:p>
        </w:tc>
        <w:tc>
          <w:tcPr>
            <w:tcW w:w="2308" w:type="dxa"/>
          </w:tcPr>
          <w:p w:rsidR="00EA40A3" w:rsidRDefault="00E86C16">
            <w:pPr>
              <w:spacing w:before="93" w:line="183" w:lineRule="auto"/>
              <w:ind w:left="879"/>
              <w:rPr>
                <w:rFonts w:ascii="宋体" w:eastAsia="宋体" w:hAnsi="宋体" w:cs="宋体"/>
                <w:sz w:val="16"/>
                <w:szCs w:val="16"/>
              </w:rPr>
            </w:pPr>
            <w:r>
              <w:rPr>
                <w:rFonts w:ascii="宋体" w:eastAsia="宋体" w:hAnsi="宋体" w:cs="宋体"/>
                <w:spacing w:val="-3"/>
                <w:sz w:val="16"/>
                <w:szCs w:val="16"/>
              </w:rPr>
              <w:t>7.4</w:t>
            </w:r>
          </w:p>
        </w:tc>
      </w:tr>
      <w:tr w:rsidR="00EA40A3">
        <w:trPr>
          <w:trHeight w:val="280"/>
        </w:trPr>
        <w:tc>
          <w:tcPr>
            <w:tcW w:w="2840" w:type="dxa"/>
          </w:tcPr>
          <w:p w:rsidR="00EA40A3" w:rsidRDefault="00E86C16">
            <w:pPr>
              <w:spacing w:before="65" w:line="219" w:lineRule="auto"/>
              <w:ind w:left="540"/>
              <w:rPr>
                <w:rFonts w:ascii="宋体" w:eastAsia="宋体" w:hAnsi="宋体" w:cs="宋体"/>
                <w:sz w:val="16"/>
                <w:szCs w:val="16"/>
              </w:rPr>
            </w:pPr>
            <w:r>
              <w:rPr>
                <w:rFonts w:ascii="宋体" w:eastAsia="宋体" w:hAnsi="宋体" w:cs="宋体"/>
                <w:spacing w:val="-1"/>
                <w:sz w:val="16"/>
                <w:szCs w:val="16"/>
              </w:rPr>
              <w:t>酒精度(V/V)/%</w:t>
            </w:r>
          </w:p>
        </w:tc>
        <w:tc>
          <w:tcPr>
            <w:tcW w:w="2201" w:type="dxa"/>
          </w:tcPr>
          <w:p w:rsidR="00EA40A3" w:rsidRDefault="00EA40A3"/>
        </w:tc>
        <w:tc>
          <w:tcPr>
            <w:tcW w:w="2308" w:type="dxa"/>
          </w:tcPr>
          <w:p w:rsidR="00EA40A3" w:rsidRDefault="00E86C16">
            <w:pPr>
              <w:spacing w:before="107" w:line="183" w:lineRule="auto"/>
              <w:ind w:left="879"/>
              <w:rPr>
                <w:rFonts w:ascii="宋体" w:eastAsia="宋体" w:hAnsi="宋体" w:cs="宋体"/>
                <w:sz w:val="16"/>
                <w:szCs w:val="16"/>
              </w:rPr>
            </w:pPr>
            <w:r>
              <w:rPr>
                <w:rFonts w:ascii="宋体" w:eastAsia="宋体" w:hAnsi="宋体" w:cs="宋体"/>
                <w:spacing w:val="-2"/>
                <w:sz w:val="16"/>
                <w:szCs w:val="16"/>
              </w:rPr>
              <w:t>9.3</w:t>
            </w:r>
          </w:p>
        </w:tc>
      </w:tr>
      <w:tr w:rsidR="00EA40A3">
        <w:trPr>
          <w:trHeight w:val="282"/>
        </w:trPr>
        <w:tc>
          <w:tcPr>
            <w:tcW w:w="2840" w:type="dxa"/>
          </w:tcPr>
          <w:p w:rsidR="00EA40A3" w:rsidRDefault="00E86C16">
            <w:pPr>
              <w:spacing w:before="67" w:line="220" w:lineRule="auto"/>
              <w:ind w:left="540"/>
              <w:rPr>
                <w:rFonts w:ascii="宋体" w:eastAsia="宋体" w:hAnsi="宋体" w:cs="宋体"/>
                <w:sz w:val="16"/>
                <w:szCs w:val="16"/>
              </w:rPr>
            </w:pPr>
            <w:r>
              <w:rPr>
                <w:rFonts w:ascii="宋体" w:eastAsia="宋体" w:hAnsi="宋体" w:cs="宋体"/>
                <w:spacing w:val="-2"/>
                <w:sz w:val="16"/>
                <w:szCs w:val="16"/>
              </w:rPr>
              <w:t>蛋白质/%</w:t>
            </w:r>
          </w:p>
        </w:tc>
        <w:tc>
          <w:tcPr>
            <w:tcW w:w="2201" w:type="dxa"/>
          </w:tcPr>
          <w:p w:rsidR="00EA40A3" w:rsidRDefault="00E86C16">
            <w:pPr>
              <w:spacing w:before="116" w:line="184" w:lineRule="auto"/>
              <w:ind w:left="940"/>
              <w:rPr>
                <w:rFonts w:ascii="宋体" w:eastAsia="宋体" w:hAnsi="宋体" w:cs="宋体"/>
                <w:sz w:val="16"/>
                <w:szCs w:val="16"/>
              </w:rPr>
            </w:pPr>
            <w:r>
              <w:rPr>
                <w:rFonts w:ascii="宋体" w:eastAsia="宋体" w:hAnsi="宋体" w:cs="宋体"/>
                <w:spacing w:val="-4"/>
                <w:sz w:val="16"/>
                <w:szCs w:val="16"/>
              </w:rPr>
              <w:t>1.17</w:t>
            </w:r>
          </w:p>
        </w:tc>
        <w:tc>
          <w:tcPr>
            <w:tcW w:w="2308" w:type="dxa"/>
          </w:tcPr>
          <w:p w:rsidR="00EA40A3" w:rsidRDefault="00E86C16">
            <w:pPr>
              <w:spacing w:before="97" w:line="183" w:lineRule="auto"/>
              <w:ind w:left="879"/>
              <w:rPr>
                <w:rFonts w:ascii="宋体" w:eastAsia="宋体" w:hAnsi="宋体" w:cs="宋体"/>
                <w:sz w:val="16"/>
                <w:szCs w:val="16"/>
              </w:rPr>
            </w:pPr>
            <w:r>
              <w:rPr>
                <w:rFonts w:ascii="宋体" w:eastAsia="宋体" w:hAnsi="宋体" w:cs="宋体"/>
                <w:spacing w:val="-2"/>
                <w:sz w:val="16"/>
                <w:szCs w:val="16"/>
              </w:rPr>
              <w:t>0.25</w:t>
            </w:r>
          </w:p>
        </w:tc>
      </w:tr>
      <w:tr w:rsidR="00EA40A3">
        <w:trPr>
          <w:trHeight w:val="260"/>
        </w:trPr>
        <w:tc>
          <w:tcPr>
            <w:tcW w:w="2840" w:type="dxa"/>
          </w:tcPr>
          <w:p w:rsidR="00EA40A3" w:rsidRDefault="00E86C16">
            <w:pPr>
              <w:spacing w:before="65" w:line="220" w:lineRule="auto"/>
              <w:ind w:left="540"/>
              <w:rPr>
                <w:rFonts w:ascii="宋体" w:eastAsia="宋体" w:hAnsi="宋体" w:cs="宋体"/>
                <w:sz w:val="16"/>
                <w:szCs w:val="16"/>
              </w:rPr>
            </w:pPr>
            <w:r>
              <w:rPr>
                <w:rFonts w:ascii="宋体" w:eastAsia="宋体" w:hAnsi="宋体" w:cs="宋体"/>
                <w:spacing w:val="-2"/>
                <w:sz w:val="16"/>
                <w:szCs w:val="16"/>
              </w:rPr>
              <w:t>氨基酸/%</w:t>
            </w:r>
          </w:p>
        </w:tc>
        <w:tc>
          <w:tcPr>
            <w:tcW w:w="2201" w:type="dxa"/>
          </w:tcPr>
          <w:p w:rsidR="00EA40A3" w:rsidRDefault="00E86C16">
            <w:pPr>
              <w:spacing w:before="116" w:line="166" w:lineRule="auto"/>
              <w:ind w:left="940"/>
              <w:rPr>
                <w:rFonts w:ascii="宋体" w:eastAsia="宋体" w:hAnsi="宋体" w:cs="宋体"/>
                <w:sz w:val="16"/>
                <w:szCs w:val="16"/>
              </w:rPr>
            </w:pPr>
            <w:r>
              <w:rPr>
                <w:rFonts w:ascii="宋体" w:eastAsia="宋体" w:hAnsi="宋体" w:cs="宋体"/>
                <w:spacing w:val="-2"/>
                <w:sz w:val="16"/>
                <w:szCs w:val="16"/>
              </w:rPr>
              <w:t>0.46</w:t>
            </w:r>
          </w:p>
        </w:tc>
        <w:tc>
          <w:tcPr>
            <w:tcW w:w="2308" w:type="dxa"/>
          </w:tcPr>
          <w:p w:rsidR="00EA40A3" w:rsidRDefault="00E86C16">
            <w:pPr>
              <w:spacing w:before="104" w:line="179" w:lineRule="auto"/>
              <w:ind w:left="879"/>
              <w:rPr>
                <w:rFonts w:ascii="宋体" w:eastAsia="宋体" w:hAnsi="宋体" w:cs="宋体"/>
                <w:sz w:val="16"/>
                <w:szCs w:val="16"/>
              </w:rPr>
            </w:pPr>
            <w:r>
              <w:rPr>
                <w:rFonts w:ascii="宋体" w:eastAsia="宋体" w:hAnsi="宋体" w:cs="宋体"/>
                <w:spacing w:val="-2"/>
                <w:sz w:val="16"/>
                <w:szCs w:val="16"/>
              </w:rPr>
              <w:t>0.16</w:t>
            </w:r>
          </w:p>
        </w:tc>
      </w:tr>
      <w:tr w:rsidR="00EA40A3">
        <w:trPr>
          <w:trHeight w:val="243"/>
        </w:trPr>
        <w:tc>
          <w:tcPr>
            <w:tcW w:w="2840" w:type="dxa"/>
            <w:tcBorders>
              <w:bottom w:val="single" w:sz="4" w:space="0" w:color="000000"/>
            </w:tcBorders>
          </w:tcPr>
          <w:p w:rsidR="00EA40A3" w:rsidRDefault="00E86C16">
            <w:pPr>
              <w:spacing w:before="45" w:line="220" w:lineRule="auto"/>
              <w:ind w:left="540"/>
              <w:rPr>
                <w:rFonts w:ascii="宋体" w:eastAsia="宋体" w:hAnsi="宋体" w:cs="宋体"/>
                <w:sz w:val="16"/>
                <w:szCs w:val="16"/>
              </w:rPr>
            </w:pPr>
            <w:r>
              <w:rPr>
                <w:rFonts w:ascii="宋体" w:eastAsia="宋体" w:hAnsi="宋体" w:cs="宋体"/>
                <w:spacing w:val="-2"/>
                <w:sz w:val="16"/>
                <w:szCs w:val="16"/>
              </w:rPr>
              <w:t>脂肪/%</w:t>
            </w:r>
          </w:p>
        </w:tc>
        <w:tc>
          <w:tcPr>
            <w:tcW w:w="2201" w:type="dxa"/>
            <w:tcBorders>
              <w:bottom w:val="single" w:sz="4" w:space="0" w:color="000000"/>
            </w:tcBorders>
          </w:tcPr>
          <w:p w:rsidR="00EA40A3" w:rsidRDefault="00E86C16">
            <w:pPr>
              <w:spacing w:before="85" w:line="182" w:lineRule="auto"/>
              <w:ind w:left="970"/>
              <w:rPr>
                <w:rFonts w:ascii="宋体" w:eastAsia="宋体" w:hAnsi="宋体" w:cs="宋体"/>
                <w:sz w:val="16"/>
                <w:szCs w:val="16"/>
              </w:rPr>
            </w:pPr>
            <w:r>
              <w:rPr>
                <w:rFonts w:ascii="宋体" w:eastAsia="宋体" w:hAnsi="宋体" w:cs="宋体"/>
                <w:spacing w:val="-2"/>
                <w:sz w:val="16"/>
                <w:szCs w:val="16"/>
              </w:rPr>
              <w:t>2.15</w:t>
            </w:r>
          </w:p>
        </w:tc>
        <w:tc>
          <w:tcPr>
            <w:tcW w:w="2308" w:type="dxa"/>
            <w:tcBorders>
              <w:bottom w:val="single" w:sz="4" w:space="0" w:color="000000"/>
            </w:tcBorders>
          </w:tcPr>
          <w:p w:rsidR="00EA40A3" w:rsidRDefault="00EA40A3"/>
        </w:tc>
      </w:tr>
    </w:tbl>
    <w:p w:rsidR="00EA40A3" w:rsidRDefault="00E86C16">
      <w:pPr>
        <w:spacing w:before="101" w:line="563" w:lineRule="exact"/>
        <w:ind w:left="330"/>
        <w:rPr>
          <w:rFonts w:ascii="宋体" w:eastAsia="宋体" w:hAnsi="宋体" w:cs="宋体"/>
          <w:sz w:val="16"/>
          <w:szCs w:val="16"/>
        </w:rPr>
      </w:pPr>
      <w:r>
        <w:rPr>
          <w:rFonts w:ascii="宋体" w:eastAsia="宋体" w:hAnsi="宋体" w:cs="宋体"/>
          <w:position w:val="31"/>
          <w:sz w:val="16"/>
          <w:szCs w:val="16"/>
        </w:rPr>
        <w:t>数据来源；吴继军，肖更生，刘学铭等.2002.桑果汁发酵前后营养成分的变化.酿酒</w:t>
      </w:r>
      <w:r>
        <w:rPr>
          <w:rFonts w:ascii="宋体" w:eastAsia="宋体" w:hAnsi="宋体" w:cs="宋体"/>
          <w:spacing w:val="-1"/>
          <w:position w:val="31"/>
          <w:sz w:val="16"/>
          <w:szCs w:val="16"/>
        </w:rPr>
        <w:t>科技，(3);6</w:t>
      </w:r>
    </w:p>
    <w:p w:rsidR="00EA40A3" w:rsidRDefault="00E86C16">
      <w:pPr>
        <w:spacing w:before="2" w:line="217" w:lineRule="auto"/>
        <w:ind w:left="1630"/>
        <w:rPr>
          <w:rFonts w:ascii="宋体" w:eastAsia="宋体" w:hAnsi="宋体" w:cs="宋体"/>
          <w:sz w:val="28"/>
          <w:szCs w:val="28"/>
        </w:rPr>
      </w:pPr>
      <w:r>
        <w:rPr>
          <w:rFonts w:ascii="宋体" w:eastAsia="宋体" w:hAnsi="宋体" w:cs="宋体"/>
          <w:spacing w:val="-3"/>
          <w:sz w:val="28"/>
          <w:szCs w:val="28"/>
        </w:rPr>
        <w:t>7.3</w:t>
      </w:r>
      <w:r>
        <w:rPr>
          <w:rFonts w:ascii="宋体" w:eastAsia="宋体" w:hAnsi="宋体" w:cs="宋体"/>
          <w:spacing w:val="7"/>
          <w:sz w:val="28"/>
          <w:szCs w:val="28"/>
        </w:rPr>
        <w:t xml:space="preserve">  </w:t>
      </w:r>
      <w:r>
        <w:rPr>
          <w:rFonts w:ascii="宋体" w:eastAsia="宋体" w:hAnsi="宋体" w:cs="宋体"/>
          <w:spacing w:val="-3"/>
          <w:sz w:val="28"/>
          <w:szCs w:val="28"/>
        </w:rPr>
        <w:t>烹调对食品营养价值的影响</w:t>
      </w:r>
    </w:p>
    <w:p w:rsidR="00EA40A3" w:rsidRDefault="00EA40A3">
      <w:pPr>
        <w:spacing w:line="259" w:lineRule="auto"/>
      </w:pPr>
    </w:p>
    <w:p w:rsidR="00EA40A3" w:rsidRDefault="00E86C16">
      <w:pPr>
        <w:spacing w:before="69" w:line="220" w:lineRule="auto"/>
        <w:ind w:left="420"/>
        <w:rPr>
          <w:rFonts w:ascii="宋体" w:eastAsia="宋体" w:hAnsi="宋体" w:cs="宋体"/>
        </w:rPr>
      </w:pPr>
      <w:r>
        <w:rPr>
          <w:rFonts w:ascii="宋体" w:eastAsia="宋体" w:hAnsi="宋体" w:cs="宋体"/>
          <w:spacing w:val="-7"/>
        </w:rPr>
        <w:t>食物在烹调时要发生物理和化学变化。食物通过这</w:t>
      </w:r>
      <w:r>
        <w:rPr>
          <w:rFonts w:ascii="宋体" w:eastAsia="宋体" w:hAnsi="宋体" w:cs="宋体"/>
          <w:spacing w:val="-8"/>
        </w:rPr>
        <w:t>些变化，</w:t>
      </w:r>
      <w:r>
        <w:rPr>
          <w:rFonts w:ascii="宋体" w:eastAsia="宋体" w:hAnsi="宋体" w:cs="宋体"/>
          <w:spacing w:val="56"/>
        </w:rPr>
        <w:t xml:space="preserve"> </w:t>
      </w:r>
      <w:r>
        <w:rPr>
          <w:rFonts w:ascii="宋体" w:eastAsia="宋体" w:hAnsi="宋体" w:cs="宋体"/>
          <w:spacing w:val="-8"/>
        </w:rPr>
        <w:t>一方面可以增加</w:t>
      </w:r>
    </w:p>
    <w:p w:rsidR="00EA40A3" w:rsidRDefault="00EA40A3">
      <w:pPr>
        <w:sectPr w:rsidR="00EA40A3">
          <w:footerReference w:type="default" r:id="rId207"/>
          <w:pgSz w:w="9220" w:h="13360"/>
          <w:pgMar w:top="400" w:right="990" w:bottom="1194" w:left="879" w:header="0" w:footer="961" w:gutter="0"/>
          <w:cols w:space="720"/>
        </w:sectPr>
      </w:pPr>
    </w:p>
    <w:p w:rsidR="00EA40A3" w:rsidRDefault="00EA40A3">
      <w:pPr>
        <w:spacing w:line="302" w:lineRule="auto"/>
      </w:pPr>
    </w:p>
    <w:p w:rsidR="00EA40A3" w:rsidRDefault="00EA40A3">
      <w:pPr>
        <w:spacing w:line="302" w:lineRule="auto"/>
      </w:pPr>
    </w:p>
    <w:p w:rsidR="00EA40A3" w:rsidRDefault="00E86C16">
      <w:pPr>
        <w:spacing w:before="69" w:line="249" w:lineRule="auto"/>
        <w:jc w:val="both"/>
        <w:rPr>
          <w:rFonts w:ascii="宋体" w:eastAsia="宋体" w:hAnsi="宋体" w:cs="宋体"/>
        </w:rPr>
      </w:pPr>
      <w:bookmarkStart w:id="62" w:name="_bookmark66"/>
      <w:bookmarkEnd w:id="62"/>
      <w:r>
        <w:rPr>
          <w:rFonts w:ascii="宋体" w:eastAsia="宋体" w:hAnsi="宋体" w:cs="宋体"/>
          <w:spacing w:val="-3"/>
        </w:rPr>
        <w:t>色、香、味，刺激食欲；另一方面，利于食品的消化吸收，但同时也会使一些营</w:t>
      </w:r>
      <w:r>
        <w:rPr>
          <w:rFonts w:ascii="宋体" w:eastAsia="宋体" w:hAnsi="宋体" w:cs="宋体"/>
          <w:spacing w:val="7"/>
        </w:rPr>
        <w:t xml:space="preserve"> </w:t>
      </w:r>
      <w:r>
        <w:rPr>
          <w:rFonts w:ascii="宋体" w:eastAsia="宋体" w:hAnsi="宋体" w:cs="宋体"/>
          <w:spacing w:val="-1"/>
        </w:rPr>
        <w:t>养素受到破坏。合理烹调应尽量减少营养素的损失，既最大限度的保存营养素，</w:t>
      </w:r>
      <w:r>
        <w:rPr>
          <w:rFonts w:ascii="宋体" w:eastAsia="宋体" w:hAnsi="宋体" w:cs="宋体"/>
          <w:spacing w:val="8"/>
        </w:rPr>
        <w:t xml:space="preserve"> </w:t>
      </w:r>
      <w:r>
        <w:rPr>
          <w:rFonts w:ascii="宋体" w:eastAsia="宋体" w:hAnsi="宋体" w:cs="宋体"/>
          <w:spacing w:val="-5"/>
        </w:rPr>
        <w:t>又要使菜肴和面点的色、香、味俱佳，才能达到合理营养的要求。</w:t>
      </w:r>
    </w:p>
    <w:p w:rsidR="00EA40A3" w:rsidRDefault="00E86C16">
      <w:pPr>
        <w:spacing w:before="61" w:line="250" w:lineRule="auto"/>
        <w:ind w:right="87" w:firstLine="410"/>
        <w:rPr>
          <w:rFonts w:ascii="宋体" w:eastAsia="宋体" w:hAnsi="宋体" w:cs="宋体"/>
        </w:rPr>
      </w:pPr>
      <w:r>
        <w:rPr>
          <w:rFonts w:ascii="宋体" w:eastAsia="宋体" w:hAnsi="宋体" w:cs="宋体"/>
          <w:spacing w:val="-3"/>
        </w:rPr>
        <w:t>我国的烹调方法多种多样，不同的烹调方法对食物原料的营养素</w:t>
      </w:r>
      <w:r>
        <w:rPr>
          <w:rFonts w:ascii="宋体" w:eastAsia="宋体" w:hAnsi="宋体" w:cs="宋体"/>
          <w:spacing w:val="-4"/>
        </w:rPr>
        <w:t>造成的影响</w:t>
      </w:r>
      <w:r>
        <w:rPr>
          <w:rFonts w:ascii="宋体" w:eastAsia="宋体" w:hAnsi="宋体" w:cs="宋体"/>
        </w:rPr>
        <w:t xml:space="preserve"> </w:t>
      </w:r>
      <w:r>
        <w:rPr>
          <w:rFonts w:ascii="宋体" w:eastAsia="宋体" w:hAnsi="宋体" w:cs="宋体"/>
          <w:spacing w:val="-4"/>
        </w:rPr>
        <w:t>往往不同，这些影响直接关系到营养素的损失程度和人体对食物的消化吸收率。</w:t>
      </w:r>
      <w:r>
        <w:rPr>
          <w:rFonts w:ascii="宋体" w:eastAsia="宋体" w:hAnsi="宋体" w:cs="宋体"/>
          <w:spacing w:val="3"/>
        </w:rPr>
        <w:t xml:space="preserve"> </w:t>
      </w:r>
      <w:r>
        <w:rPr>
          <w:rFonts w:ascii="宋体" w:eastAsia="宋体" w:hAnsi="宋体" w:cs="宋体"/>
          <w:spacing w:val="8"/>
        </w:rPr>
        <w:t>1)烹调前处理</w:t>
      </w:r>
    </w:p>
    <w:p w:rsidR="00EA40A3" w:rsidRDefault="00E86C16">
      <w:pPr>
        <w:spacing w:before="66" w:line="242" w:lineRule="auto"/>
        <w:ind w:right="74" w:firstLine="410"/>
        <w:rPr>
          <w:rFonts w:ascii="宋体" w:eastAsia="宋体" w:hAnsi="宋体" w:cs="宋体"/>
        </w:rPr>
      </w:pPr>
      <w:r>
        <w:rPr>
          <w:rFonts w:ascii="宋体" w:eastAsia="宋体" w:hAnsi="宋体" w:cs="宋体"/>
          <w:spacing w:val="-3"/>
        </w:rPr>
        <w:t>一般来说，原料在烹调加工前都要进行一定的清洗、切分、烫漂、预煮等前</w:t>
      </w:r>
      <w:r>
        <w:rPr>
          <w:rFonts w:ascii="宋体" w:eastAsia="宋体" w:hAnsi="宋体" w:cs="宋体"/>
          <w:spacing w:val="8"/>
        </w:rPr>
        <w:t xml:space="preserve"> </w:t>
      </w:r>
      <w:r>
        <w:rPr>
          <w:rFonts w:ascii="宋体" w:eastAsia="宋体" w:hAnsi="宋体" w:cs="宋体"/>
          <w:spacing w:val="-10"/>
        </w:rPr>
        <w:t>处理。</w:t>
      </w:r>
    </w:p>
    <w:p w:rsidR="00EA40A3" w:rsidRDefault="00E86C16">
      <w:pPr>
        <w:spacing w:before="58" w:line="249" w:lineRule="auto"/>
        <w:ind w:right="82" w:firstLine="410"/>
        <w:rPr>
          <w:rFonts w:ascii="宋体" w:eastAsia="宋体" w:hAnsi="宋体" w:cs="宋体"/>
        </w:rPr>
      </w:pPr>
      <w:r>
        <w:rPr>
          <w:rFonts w:ascii="宋体" w:eastAsia="宋体" w:hAnsi="宋体" w:cs="宋体"/>
          <w:spacing w:val="-6"/>
        </w:rPr>
        <w:t>大米在淘洗过程中有部分营养素流失于水中。搓洗用力越大，浸泡时间越长</w:t>
      </w:r>
      <w:r>
        <w:rPr>
          <w:rFonts w:ascii="宋体" w:eastAsia="宋体" w:hAnsi="宋体" w:cs="宋体"/>
          <w:spacing w:val="16"/>
        </w:rPr>
        <w:t xml:space="preserve"> </w:t>
      </w:r>
      <w:r>
        <w:rPr>
          <w:rFonts w:ascii="宋体" w:eastAsia="宋体" w:hAnsi="宋体" w:cs="宋体"/>
          <w:spacing w:val="-2"/>
        </w:rPr>
        <w:t>用水温度越高，则损失越大。尤其是米粒的糊粉层和胚</w:t>
      </w:r>
      <w:r>
        <w:rPr>
          <w:rFonts w:ascii="宋体" w:eastAsia="宋体" w:hAnsi="宋体" w:cs="宋体"/>
          <w:spacing w:val="-3"/>
        </w:rPr>
        <w:t>所含的B</w:t>
      </w:r>
      <w:r>
        <w:rPr>
          <w:rFonts w:ascii="宋体" w:eastAsia="宋体" w:hAnsi="宋体" w:cs="宋体"/>
          <w:spacing w:val="-27"/>
        </w:rPr>
        <w:t xml:space="preserve"> </w:t>
      </w:r>
      <w:r>
        <w:rPr>
          <w:rFonts w:ascii="宋体" w:eastAsia="宋体" w:hAnsi="宋体" w:cs="宋体"/>
          <w:spacing w:val="-3"/>
        </w:rPr>
        <w:t>族维生素和矿物</w:t>
      </w:r>
      <w:r>
        <w:rPr>
          <w:rFonts w:ascii="宋体" w:eastAsia="宋体" w:hAnsi="宋体" w:cs="宋体"/>
        </w:rPr>
        <w:t xml:space="preserve"> </w:t>
      </w:r>
      <w:r>
        <w:rPr>
          <w:rFonts w:ascii="宋体" w:eastAsia="宋体" w:hAnsi="宋体" w:cs="宋体"/>
          <w:spacing w:val="-1"/>
        </w:rPr>
        <w:t>质损失较大。研究表明，大米被淘洗后营养素损失率为：维生素</w:t>
      </w:r>
      <w:r>
        <w:rPr>
          <w:rFonts w:ascii="宋体" w:eastAsia="宋体" w:hAnsi="宋体" w:cs="宋体"/>
          <w:spacing w:val="-56"/>
        </w:rPr>
        <w:t xml:space="preserve"> </w:t>
      </w:r>
      <w:r>
        <w:rPr>
          <w:rFonts w:ascii="宋体" w:eastAsia="宋体" w:hAnsi="宋体" w:cs="宋体"/>
          <w:spacing w:val="-1"/>
        </w:rPr>
        <w:t>B</w:t>
      </w:r>
      <w:r>
        <w:rPr>
          <w:rFonts w:ascii="Calibri" w:eastAsia="Calibri" w:hAnsi="Calibri" w:cs="Calibri"/>
          <w:spacing w:val="-1"/>
        </w:rPr>
        <w:t>₁</w:t>
      </w:r>
      <w:r>
        <w:rPr>
          <w:rFonts w:ascii="宋体" w:eastAsia="宋体" w:hAnsi="宋体" w:cs="宋体"/>
          <w:spacing w:val="-1"/>
        </w:rPr>
        <w:t>20%～60%、</w:t>
      </w:r>
    </w:p>
    <w:p w:rsidR="00EA40A3" w:rsidRDefault="00E86C16">
      <w:pPr>
        <w:spacing w:before="52" w:line="251" w:lineRule="auto"/>
        <w:ind w:right="55"/>
        <w:rPr>
          <w:rFonts w:ascii="宋体" w:eastAsia="宋体" w:hAnsi="宋体" w:cs="宋体"/>
        </w:rPr>
      </w:pPr>
      <w:r>
        <w:rPr>
          <w:rFonts w:ascii="宋体" w:eastAsia="宋体" w:hAnsi="宋体" w:cs="宋体"/>
          <w:spacing w:val="14"/>
        </w:rPr>
        <w:t>维生素B2</w:t>
      </w:r>
      <w:r>
        <w:rPr>
          <w:rFonts w:ascii="宋体" w:eastAsia="宋体" w:hAnsi="宋体" w:cs="宋体"/>
          <w:spacing w:val="-40"/>
        </w:rPr>
        <w:t xml:space="preserve"> </w:t>
      </w:r>
      <w:r>
        <w:rPr>
          <w:rFonts w:ascii="宋体" w:eastAsia="宋体" w:hAnsi="宋体" w:cs="宋体"/>
          <w:spacing w:val="14"/>
        </w:rPr>
        <w:t>和尼克酸23%～25%、矿物质70%、蛋白质15.7%、脂肪42.6%、糖</w:t>
      </w:r>
      <w:r>
        <w:rPr>
          <w:rFonts w:ascii="宋体" w:eastAsia="宋体" w:hAnsi="宋体" w:cs="宋体"/>
        </w:rPr>
        <w:t xml:space="preserve"> </w:t>
      </w:r>
      <w:r>
        <w:rPr>
          <w:rFonts w:ascii="宋体" w:eastAsia="宋体" w:hAnsi="宋体" w:cs="宋体"/>
          <w:spacing w:val="-2"/>
        </w:rPr>
        <w:t>类2%。</w:t>
      </w:r>
      <w:r>
        <w:rPr>
          <w:rFonts w:ascii="宋体" w:eastAsia="宋体" w:hAnsi="宋体" w:cs="宋体"/>
          <w:spacing w:val="-1"/>
        </w:rPr>
        <w:t xml:space="preserve"> </w:t>
      </w:r>
      <w:r>
        <w:rPr>
          <w:rFonts w:ascii="宋体" w:eastAsia="宋体" w:hAnsi="宋体" w:cs="宋体"/>
          <w:spacing w:val="-2"/>
        </w:rPr>
        <w:t>一些居民喜欢食用捞饭法，捞出来的米饭可损失维生素B</w:t>
      </w:r>
      <w:r>
        <w:rPr>
          <w:rFonts w:ascii="Calibri" w:eastAsia="Calibri" w:hAnsi="Calibri" w:cs="Calibri"/>
          <w:spacing w:val="-2"/>
        </w:rPr>
        <w:t>₁</w:t>
      </w:r>
      <w:r>
        <w:rPr>
          <w:rFonts w:ascii="Calibri" w:eastAsia="Calibri" w:hAnsi="Calibri" w:cs="Calibri"/>
          <w:spacing w:val="11"/>
        </w:rPr>
        <w:t xml:space="preserve">    </w:t>
      </w:r>
      <w:r>
        <w:rPr>
          <w:rFonts w:ascii="宋体" w:eastAsia="宋体" w:hAnsi="宋体" w:cs="宋体"/>
          <w:spacing w:val="-2"/>
        </w:rPr>
        <w:t>67%、维生</w:t>
      </w:r>
      <w:r>
        <w:rPr>
          <w:rFonts w:ascii="宋体" w:eastAsia="宋体" w:hAnsi="宋体" w:cs="宋体"/>
          <w:spacing w:val="-3"/>
        </w:rPr>
        <w:t>素</w:t>
      </w:r>
      <w:r>
        <w:rPr>
          <w:rFonts w:ascii="宋体" w:eastAsia="宋体" w:hAnsi="宋体" w:cs="宋体"/>
          <w:spacing w:val="2"/>
        </w:rPr>
        <w:t xml:space="preserve"> </w:t>
      </w:r>
      <w:r>
        <w:rPr>
          <w:rFonts w:ascii="宋体" w:eastAsia="宋体" w:hAnsi="宋体" w:cs="宋体"/>
          <w:spacing w:val="1"/>
        </w:rPr>
        <w:t>B</w:t>
      </w:r>
      <w:r>
        <w:rPr>
          <w:rFonts w:ascii="Calibri" w:eastAsia="Calibri" w:hAnsi="Calibri" w:cs="Calibri"/>
          <w:spacing w:val="1"/>
        </w:rPr>
        <w:t>₂</w:t>
      </w:r>
      <w:r>
        <w:rPr>
          <w:rFonts w:ascii="宋体" w:eastAsia="宋体" w:hAnsi="宋体" w:cs="宋体"/>
          <w:spacing w:val="1"/>
        </w:rPr>
        <w:t>50%、</w:t>
      </w:r>
      <w:r>
        <w:rPr>
          <w:rFonts w:ascii="宋体" w:eastAsia="宋体" w:hAnsi="宋体" w:cs="宋体"/>
          <w:spacing w:val="13"/>
        </w:rPr>
        <w:t xml:space="preserve">  </w:t>
      </w:r>
      <w:r>
        <w:rPr>
          <w:rFonts w:ascii="宋体" w:eastAsia="宋体" w:hAnsi="宋体" w:cs="宋体"/>
          <w:spacing w:val="1"/>
        </w:rPr>
        <w:t>尼克酸76%;捞出来的面条可损失维生素B</w:t>
      </w:r>
      <w:r>
        <w:rPr>
          <w:rFonts w:ascii="Calibri" w:eastAsia="Calibri" w:hAnsi="Calibri" w:cs="Calibri"/>
          <w:spacing w:val="1"/>
        </w:rPr>
        <w:t>₁</w:t>
      </w:r>
      <w:r>
        <w:rPr>
          <w:rFonts w:ascii="Calibri" w:eastAsia="Calibri" w:hAnsi="Calibri" w:cs="Calibri"/>
          <w:spacing w:val="11"/>
        </w:rPr>
        <w:t xml:space="preserve">    </w:t>
      </w:r>
      <w:r>
        <w:rPr>
          <w:rFonts w:ascii="宋体" w:eastAsia="宋体" w:hAnsi="宋体" w:cs="宋体"/>
          <w:spacing w:val="1"/>
        </w:rPr>
        <w:t>49%、维生素B</w:t>
      </w:r>
      <w:r>
        <w:rPr>
          <w:rFonts w:ascii="Calibri" w:eastAsia="Calibri" w:hAnsi="Calibri" w:cs="Calibri"/>
          <w:spacing w:val="1"/>
        </w:rPr>
        <w:t>₂</w:t>
      </w:r>
      <w:r>
        <w:rPr>
          <w:rFonts w:ascii="宋体" w:eastAsia="宋体" w:hAnsi="宋体" w:cs="宋体"/>
          <w:spacing w:val="1"/>
        </w:rPr>
        <w:t>257%、</w:t>
      </w:r>
      <w:r>
        <w:rPr>
          <w:rFonts w:ascii="宋体" w:eastAsia="宋体" w:hAnsi="宋体" w:cs="宋体"/>
          <w:spacing w:val="45"/>
        </w:rPr>
        <w:t xml:space="preserve"> </w:t>
      </w:r>
      <w:r>
        <w:rPr>
          <w:rFonts w:ascii="宋体" w:eastAsia="宋体" w:hAnsi="宋体" w:cs="宋体"/>
          <w:spacing w:val="1"/>
        </w:rPr>
        <w:t>尼</w:t>
      </w:r>
      <w:r>
        <w:rPr>
          <w:rFonts w:ascii="宋体" w:eastAsia="宋体" w:hAnsi="宋体" w:cs="宋体"/>
        </w:rPr>
        <w:t xml:space="preserve"> 克酸22%,并且这两种方法还会使蛋白质、矿物质也</w:t>
      </w:r>
      <w:r>
        <w:rPr>
          <w:rFonts w:ascii="宋体" w:eastAsia="宋体" w:hAnsi="宋体" w:cs="宋体"/>
          <w:spacing w:val="-1"/>
        </w:rPr>
        <w:t>受到损失。</w:t>
      </w:r>
    </w:p>
    <w:p w:rsidR="00EA40A3" w:rsidRDefault="00E86C16">
      <w:pPr>
        <w:spacing w:before="98" w:line="256" w:lineRule="auto"/>
        <w:ind w:right="52" w:firstLine="410"/>
        <w:rPr>
          <w:rFonts w:ascii="宋体" w:eastAsia="宋体" w:hAnsi="宋体" w:cs="宋体"/>
        </w:rPr>
      </w:pPr>
      <w:r>
        <w:rPr>
          <w:rFonts w:ascii="宋体" w:eastAsia="宋体" w:hAnsi="宋体" w:cs="宋体"/>
          <w:spacing w:val="-3"/>
        </w:rPr>
        <w:t>蔬菜由于切碎水洗，少部分矿物质和维生素会从断口流失于水中。此时，蔬</w:t>
      </w:r>
      <w:r>
        <w:rPr>
          <w:rFonts w:ascii="宋体" w:eastAsia="宋体" w:hAnsi="宋体" w:cs="宋体"/>
          <w:spacing w:val="6"/>
        </w:rPr>
        <w:t xml:space="preserve"> </w:t>
      </w:r>
      <w:r>
        <w:rPr>
          <w:rFonts w:ascii="宋体" w:eastAsia="宋体" w:hAnsi="宋体" w:cs="宋体"/>
          <w:spacing w:val="-3"/>
        </w:rPr>
        <w:t>菜中所含的维生素C</w:t>
      </w:r>
      <w:r>
        <w:rPr>
          <w:rFonts w:ascii="宋体" w:eastAsia="宋体" w:hAnsi="宋体" w:cs="宋体"/>
          <w:spacing w:val="1"/>
        </w:rPr>
        <w:t xml:space="preserve"> </w:t>
      </w:r>
      <w:r>
        <w:rPr>
          <w:rFonts w:ascii="宋体" w:eastAsia="宋体" w:hAnsi="宋体" w:cs="宋体"/>
          <w:spacing w:val="-3"/>
        </w:rPr>
        <w:t>最容易受损失，其损失程度与蔬菜切后形状大小，切后放置</w:t>
      </w:r>
      <w:r>
        <w:rPr>
          <w:rFonts w:ascii="宋体" w:eastAsia="宋体" w:hAnsi="宋体" w:cs="宋体"/>
        </w:rPr>
        <w:t xml:space="preserve"> </w:t>
      </w:r>
      <w:r>
        <w:rPr>
          <w:rFonts w:ascii="宋体" w:eastAsia="宋体" w:hAnsi="宋体" w:cs="宋体"/>
          <w:spacing w:val="-8"/>
        </w:rPr>
        <w:t>的时间，切前或切后浸泡水洗等多方面因素有关。例</w:t>
      </w:r>
      <w:r>
        <w:rPr>
          <w:rFonts w:ascii="宋体" w:eastAsia="宋体" w:hAnsi="宋体" w:cs="宋体"/>
          <w:spacing w:val="-9"/>
        </w:rPr>
        <w:t>如，蔬菜细胞中含氧化酶，当</w:t>
      </w:r>
      <w:r>
        <w:rPr>
          <w:rFonts w:ascii="宋体" w:eastAsia="宋体" w:hAnsi="宋体" w:cs="宋体"/>
        </w:rPr>
        <w:t xml:space="preserve"> </w:t>
      </w:r>
      <w:r>
        <w:rPr>
          <w:rFonts w:ascii="宋体" w:eastAsia="宋体" w:hAnsi="宋体" w:cs="宋体"/>
          <w:spacing w:val="-2"/>
        </w:rPr>
        <w:t>蔬菜被切开或压碎时，这种酶就被释放出来，它可催化维生素C</w:t>
      </w:r>
      <w:r>
        <w:rPr>
          <w:rFonts w:ascii="宋体" w:eastAsia="宋体" w:hAnsi="宋体" w:cs="宋体"/>
          <w:spacing w:val="-10"/>
        </w:rPr>
        <w:t xml:space="preserve"> </w:t>
      </w:r>
      <w:r>
        <w:rPr>
          <w:rFonts w:ascii="宋体" w:eastAsia="宋体" w:hAnsi="宋体" w:cs="宋体"/>
          <w:spacing w:val="-2"/>
        </w:rPr>
        <w:t>被氧化破坏。氧</w:t>
      </w:r>
      <w:r>
        <w:rPr>
          <w:rFonts w:ascii="宋体" w:eastAsia="宋体" w:hAnsi="宋体" w:cs="宋体"/>
        </w:rPr>
        <w:t xml:space="preserve"> </w:t>
      </w:r>
      <w:r>
        <w:rPr>
          <w:rFonts w:ascii="宋体" w:eastAsia="宋体" w:hAnsi="宋体" w:cs="宋体"/>
          <w:spacing w:val="-2"/>
        </w:rPr>
        <w:t>化酶在60～80℃时活性最强，超出80℃后，氧化酶很</w:t>
      </w:r>
      <w:r>
        <w:rPr>
          <w:rFonts w:ascii="宋体" w:eastAsia="宋体" w:hAnsi="宋体" w:cs="宋体"/>
          <w:spacing w:val="-3"/>
        </w:rPr>
        <w:t>快就失去活性，同时沸水中</w:t>
      </w:r>
      <w:r>
        <w:rPr>
          <w:rFonts w:ascii="宋体" w:eastAsia="宋体" w:hAnsi="宋体" w:cs="宋体"/>
        </w:rPr>
        <w:t xml:space="preserve"> </w:t>
      </w:r>
      <w:r>
        <w:rPr>
          <w:rFonts w:ascii="宋体" w:eastAsia="宋体" w:hAnsi="宋体" w:cs="宋体"/>
          <w:spacing w:val="-7"/>
        </w:rPr>
        <w:t>不含有溶解的氧，所以待水沸后再放入蔬菜，就可大大减少维生素C</w:t>
      </w:r>
      <w:r>
        <w:rPr>
          <w:rFonts w:ascii="宋体" w:eastAsia="宋体" w:hAnsi="宋体" w:cs="宋体"/>
          <w:spacing w:val="-4"/>
        </w:rPr>
        <w:t xml:space="preserve"> </w:t>
      </w:r>
      <w:r>
        <w:rPr>
          <w:rFonts w:ascii="宋体" w:eastAsia="宋体" w:hAnsi="宋体" w:cs="宋体"/>
          <w:spacing w:val="-7"/>
        </w:rPr>
        <w:t>的损失</w:t>
      </w:r>
      <w:r>
        <w:rPr>
          <w:rFonts w:ascii="宋体" w:eastAsia="宋体" w:hAnsi="宋体" w:cs="宋体"/>
          <w:spacing w:val="-8"/>
        </w:rPr>
        <w:t>。</w:t>
      </w:r>
    </w:p>
    <w:p w:rsidR="00EA40A3" w:rsidRDefault="00E86C16">
      <w:pPr>
        <w:spacing w:before="55" w:line="221" w:lineRule="auto"/>
        <w:rPr>
          <w:rFonts w:ascii="宋体" w:eastAsia="宋体" w:hAnsi="宋体" w:cs="宋体"/>
        </w:rPr>
      </w:pPr>
      <w:r>
        <w:rPr>
          <w:rFonts w:ascii="宋体" w:eastAsia="宋体" w:hAnsi="宋体" w:cs="宋体"/>
          <w:spacing w:val="25"/>
        </w:rPr>
        <w:t>2)煮</w:t>
      </w:r>
    </w:p>
    <w:p w:rsidR="00EA40A3" w:rsidRDefault="00E86C16">
      <w:pPr>
        <w:spacing w:before="99" w:line="257" w:lineRule="auto"/>
        <w:ind w:right="74" w:firstLine="410"/>
        <w:jc w:val="both"/>
        <w:rPr>
          <w:rFonts w:ascii="宋体" w:eastAsia="宋体" w:hAnsi="宋体" w:cs="宋体"/>
        </w:rPr>
      </w:pPr>
      <w:r>
        <w:rPr>
          <w:rFonts w:ascii="宋体" w:eastAsia="宋体" w:hAnsi="宋体" w:cs="宋体"/>
          <w:spacing w:val="-5"/>
        </w:rPr>
        <w:t>煮，</w:t>
      </w:r>
      <w:r>
        <w:rPr>
          <w:rFonts w:ascii="宋体" w:eastAsia="宋体" w:hAnsi="宋体" w:cs="宋体"/>
          <w:spacing w:val="-28"/>
        </w:rPr>
        <w:t xml:space="preserve"> </w:t>
      </w:r>
      <w:r>
        <w:rPr>
          <w:rFonts w:ascii="宋体" w:eastAsia="宋体" w:hAnsi="宋体" w:cs="宋体"/>
          <w:spacing w:val="-5"/>
        </w:rPr>
        <w:t>一般加热时间较长，用水量较多，原料中的矿物质和维生素部分</w:t>
      </w:r>
      <w:r>
        <w:rPr>
          <w:rFonts w:ascii="宋体" w:eastAsia="宋体" w:hAnsi="宋体" w:cs="宋体"/>
          <w:spacing w:val="-6"/>
        </w:rPr>
        <w:t>溶于水</w:t>
      </w:r>
      <w:r>
        <w:rPr>
          <w:rFonts w:ascii="宋体" w:eastAsia="宋体" w:hAnsi="宋体" w:cs="宋体"/>
        </w:rPr>
        <w:t xml:space="preserve"> </w:t>
      </w:r>
      <w:r>
        <w:rPr>
          <w:rFonts w:ascii="宋体" w:eastAsia="宋体" w:hAnsi="宋体" w:cs="宋体"/>
          <w:spacing w:val="-3"/>
        </w:rPr>
        <w:t>中，不耐热的维生素损失较大。煮时的汤汁或水具有传热和良好的溶解作用，所</w:t>
      </w:r>
      <w:r>
        <w:rPr>
          <w:rFonts w:ascii="宋体" w:eastAsia="宋体" w:hAnsi="宋体" w:cs="宋体"/>
          <w:spacing w:val="1"/>
        </w:rPr>
        <w:t xml:space="preserve"> </w:t>
      </w:r>
      <w:r>
        <w:rPr>
          <w:rFonts w:ascii="宋体" w:eastAsia="宋体" w:hAnsi="宋体" w:cs="宋体"/>
          <w:spacing w:val="2"/>
        </w:rPr>
        <w:t>以，汤液中存在相当多的水溶性成分，如维生素B</w:t>
      </w:r>
      <w:r>
        <w:rPr>
          <w:rFonts w:ascii="Calibri" w:eastAsia="Calibri" w:hAnsi="Calibri" w:cs="Calibri"/>
          <w:spacing w:val="1"/>
        </w:rPr>
        <w:t>₁</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49"/>
        </w:rPr>
        <w:t xml:space="preserve"> </w:t>
      </w:r>
      <w:r>
        <w:rPr>
          <w:rFonts w:ascii="宋体" w:eastAsia="宋体" w:hAnsi="宋体" w:cs="宋体"/>
          <w:spacing w:val="1"/>
        </w:rPr>
        <w:t>维生素C</w:t>
      </w:r>
      <w:r>
        <w:rPr>
          <w:rFonts w:ascii="宋体" w:eastAsia="宋体" w:hAnsi="宋体" w:cs="宋体"/>
          <w:spacing w:val="6"/>
        </w:rPr>
        <w:t xml:space="preserve"> </w:t>
      </w:r>
      <w:r>
        <w:rPr>
          <w:rFonts w:ascii="宋体" w:eastAsia="宋体" w:hAnsi="宋体" w:cs="宋体"/>
          <w:spacing w:val="1"/>
        </w:rPr>
        <w:t>等。煮也常使肉</w:t>
      </w:r>
      <w:r>
        <w:rPr>
          <w:rFonts w:ascii="宋体" w:eastAsia="宋体" w:hAnsi="宋体" w:cs="宋体"/>
        </w:rPr>
        <w:t xml:space="preserve"> </w:t>
      </w:r>
      <w:r>
        <w:rPr>
          <w:rFonts w:ascii="宋体" w:eastAsia="宋体" w:hAnsi="宋体" w:cs="宋体"/>
          <w:spacing w:val="-3"/>
        </w:rPr>
        <w:t>类原料水分流失增多，水解作用加强，较多的氨基酸和胶原物质、脂肪等溶于水</w:t>
      </w:r>
      <w:r>
        <w:rPr>
          <w:rFonts w:ascii="宋体" w:eastAsia="宋体" w:hAnsi="宋体" w:cs="宋体"/>
          <w:spacing w:val="3"/>
        </w:rPr>
        <w:t xml:space="preserve"> </w:t>
      </w:r>
      <w:r>
        <w:rPr>
          <w:rFonts w:ascii="宋体" w:eastAsia="宋体" w:hAnsi="宋体" w:cs="宋体"/>
          <w:spacing w:val="-3"/>
        </w:rPr>
        <w:t>中。此外，煮沸时间的长短，煮沸前食物的处理方法对维生素营养的损失也有影</w:t>
      </w:r>
      <w:r>
        <w:rPr>
          <w:rFonts w:ascii="宋体" w:eastAsia="宋体" w:hAnsi="宋体" w:cs="宋体"/>
          <w:spacing w:val="2"/>
        </w:rPr>
        <w:t xml:space="preserve"> 响。延长煮沸时间，维生素</w:t>
      </w:r>
      <w:r>
        <w:rPr>
          <w:rFonts w:ascii="宋体" w:eastAsia="宋体" w:hAnsi="宋体" w:cs="宋体"/>
          <w:spacing w:val="-47"/>
        </w:rPr>
        <w:t xml:space="preserve"> </w:t>
      </w:r>
      <w:r>
        <w:rPr>
          <w:rFonts w:ascii="宋体" w:eastAsia="宋体" w:hAnsi="宋体" w:cs="宋体"/>
          <w:spacing w:val="2"/>
        </w:rPr>
        <w:t>C</w:t>
      </w:r>
      <w:r>
        <w:rPr>
          <w:rFonts w:ascii="宋体" w:eastAsia="宋体" w:hAnsi="宋体" w:cs="宋体"/>
          <w:spacing w:val="-14"/>
        </w:rPr>
        <w:t xml:space="preserve"> </w:t>
      </w:r>
      <w:r>
        <w:rPr>
          <w:rFonts w:ascii="宋体" w:eastAsia="宋体" w:hAnsi="宋体" w:cs="宋体"/>
          <w:spacing w:val="2"/>
        </w:rPr>
        <w:t>损失急剧增加。食物的表面积越大，水</w:t>
      </w:r>
      <w:r>
        <w:rPr>
          <w:rFonts w:ascii="宋体" w:eastAsia="宋体" w:hAnsi="宋体" w:cs="宋体"/>
          <w:spacing w:val="1"/>
        </w:rPr>
        <w:t>溶性维生</w:t>
      </w:r>
      <w:r>
        <w:rPr>
          <w:rFonts w:ascii="宋体" w:eastAsia="宋体" w:hAnsi="宋体" w:cs="宋体"/>
        </w:rPr>
        <w:t xml:space="preserve"> </w:t>
      </w:r>
      <w:r>
        <w:rPr>
          <w:rFonts w:ascii="宋体" w:eastAsia="宋体" w:hAnsi="宋体" w:cs="宋体"/>
          <w:spacing w:val="-10"/>
        </w:rPr>
        <w:t>素损失越大。</w:t>
      </w:r>
    </w:p>
    <w:p w:rsidR="00EA40A3" w:rsidRDefault="00E86C16">
      <w:pPr>
        <w:spacing w:before="60" w:line="224" w:lineRule="auto"/>
        <w:rPr>
          <w:rFonts w:ascii="仿宋" w:eastAsia="仿宋" w:hAnsi="仿宋" w:cs="仿宋"/>
        </w:rPr>
      </w:pPr>
      <w:r>
        <w:rPr>
          <w:rFonts w:ascii="仿宋" w:eastAsia="仿宋" w:hAnsi="仿宋" w:cs="仿宋"/>
          <w:spacing w:val="25"/>
        </w:rPr>
        <w:t>3)蒸</w:t>
      </w:r>
    </w:p>
    <w:p w:rsidR="00EA40A3" w:rsidRDefault="00E86C16">
      <w:pPr>
        <w:spacing w:before="82" w:line="252" w:lineRule="auto"/>
        <w:ind w:right="71" w:firstLine="410"/>
        <w:jc w:val="both"/>
        <w:rPr>
          <w:rFonts w:ascii="宋体" w:eastAsia="宋体" w:hAnsi="宋体" w:cs="宋体"/>
        </w:rPr>
      </w:pPr>
      <w:r>
        <w:rPr>
          <w:rFonts w:ascii="宋体" w:eastAsia="宋体" w:hAnsi="宋体" w:cs="宋体"/>
          <w:spacing w:val="-4"/>
        </w:rPr>
        <w:t>由于笼内的水蒸气压力较大，温度较高，</w:t>
      </w:r>
      <w:r>
        <w:rPr>
          <w:rFonts w:ascii="宋体" w:eastAsia="宋体" w:hAnsi="宋体" w:cs="宋体"/>
          <w:spacing w:val="59"/>
        </w:rPr>
        <w:t xml:space="preserve"> </w:t>
      </w:r>
      <w:r>
        <w:rPr>
          <w:rFonts w:ascii="宋体" w:eastAsia="宋体" w:hAnsi="宋体" w:cs="宋体"/>
          <w:spacing w:val="-4"/>
        </w:rPr>
        <w:t>一般可比沸</w:t>
      </w:r>
      <w:r>
        <w:rPr>
          <w:rFonts w:ascii="宋体" w:eastAsia="宋体" w:hAnsi="宋体" w:cs="宋体"/>
          <w:spacing w:val="-5"/>
        </w:rPr>
        <w:t>水高出2～5℃,水蒸气</w:t>
      </w:r>
      <w:r>
        <w:rPr>
          <w:rFonts w:ascii="宋体" w:eastAsia="宋体" w:hAnsi="宋体" w:cs="宋体"/>
        </w:rPr>
        <w:t xml:space="preserve"> </w:t>
      </w:r>
      <w:r>
        <w:rPr>
          <w:rFonts w:ascii="宋体" w:eastAsia="宋体" w:hAnsi="宋体" w:cs="宋体"/>
          <w:spacing w:val="-9"/>
        </w:rPr>
        <w:t>的渗透压较强，所以原料质地变化快，易成熟，部分蛋白质、糖类被水解，利于吸</w:t>
      </w:r>
      <w:r>
        <w:rPr>
          <w:rFonts w:ascii="宋体" w:eastAsia="宋体" w:hAnsi="宋体" w:cs="宋体"/>
          <w:spacing w:val="11"/>
        </w:rPr>
        <w:t xml:space="preserve"> </w:t>
      </w:r>
      <w:r>
        <w:rPr>
          <w:rFonts w:ascii="宋体" w:eastAsia="宋体" w:hAnsi="宋体" w:cs="宋体"/>
          <w:spacing w:val="12"/>
        </w:rPr>
        <w:t>收。部分不耐热的维生素损失较大，例如蒸饭使大米的维生素</w:t>
      </w:r>
      <w:r>
        <w:rPr>
          <w:rFonts w:ascii="宋体" w:eastAsia="宋体" w:hAnsi="宋体" w:cs="宋体"/>
          <w:spacing w:val="-55"/>
        </w:rPr>
        <w:t xml:space="preserve"> </w:t>
      </w:r>
      <w:r>
        <w:rPr>
          <w:rFonts w:ascii="宋体" w:eastAsia="宋体" w:hAnsi="宋体" w:cs="宋体"/>
          <w:spacing w:val="12"/>
        </w:rPr>
        <w:t>B</w:t>
      </w:r>
      <w:r>
        <w:rPr>
          <w:rFonts w:ascii="Calibri" w:eastAsia="Calibri" w:hAnsi="Calibri" w:cs="Calibri"/>
          <w:spacing w:val="12"/>
        </w:rPr>
        <w:t>₁</w:t>
      </w:r>
      <w:r>
        <w:rPr>
          <w:rFonts w:ascii="Calibri" w:eastAsia="Calibri" w:hAnsi="Calibri" w:cs="Calibri"/>
          <w:spacing w:val="21"/>
        </w:rPr>
        <w:t xml:space="preserve">  </w:t>
      </w:r>
      <w:r>
        <w:rPr>
          <w:rFonts w:ascii="宋体" w:eastAsia="宋体" w:hAnsi="宋体" w:cs="宋体"/>
          <w:spacing w:val="12"/>
        </w:rPr>
        <w:t>含量损失</w:t>
      </w:r>
      <w:r>
        <w:rPr>
          <w:rFonts w:ascii="宋体" w:eastAsia="宋体" w:hAnsi="宋体" w:cs="宋体"/>
        </w:rPr>
        <w:t xml:space="preserve"> </w:t>
      </w:r>
      <w:r>
        <w:rPr>
          <w:rFonts w:ascii="宋体" w:eastAsia="宋体" w:hAnsi="宋体" w:cs="宋体"/>
          <w:spacing w:val="-3"/>
        </w:rPr>
        <w:t>38.1%,其他成分如水、矿物质、蛋白质的</w:t>
      </w:r>
      <w:r>
        <w:rPr>
          <w:rFonts w:ascii="宋体" w:eastAsia="宋体" w:hAnsi="宋体" w:cs="宋体"/>
          <w:spacing w:val="-4"/>
        </w:rPr>
        <w:t>水解物不易流失，可以保持原汁原味。</w:t>
      </w:r>
    </w:p>
    <w:p w:rsidR="00EA40A3" w:rsidRDefault="00E86C16">
      <w:pPr>
        <w:spacing w:before="44" w:line="224" w:lineRule="auto"/>
        <w:rPr>
          <w:rFonts w:ascii="楷体" w:eastAsia="楷体" w:hAnsi="楷体" w:cs="楷体"/>
        </w:rPr>
      </w:pPr>
      <w:r>
        <w:rPr>
          <w:rFonts w:ascii="楷体" w:eastAsia="楷体" w:hAnsi="楷体" w:cs="楷体"/>
          <w:spacing w:val="-13"/>
        </w:rPr>
        <w:t>4)</w:t>
      </w:r>
      <w:r>
        <w:rPr>
          <w:rFonts w:ascii="楷体" w:eastAsia="楷体" w:hAnsi="楷体" w:cs="楷体"/>
          <w:spacing w:val="59"/>
        </w:rPr>
        <w:t xml:space="preserve"> </w:t>
      </w:r>
      <w:r>
        <w:rPr>
          <w:rFonts w:ascii="楷体" w:eastAsia="楷体" w:hAnsi="楷体" w:cs="楷体"/>
          <w:spacing w:val="-13"/>
        </w:rPr>
        <w:t>划油与油爆</w:t>
      </w:r>
    </w:p>
    <w:p w:rsidR="00EA40A3" w:rsidRDefault="00E86C16">
      <w:pPr>
        <w:spacing w:before="88" w:line="219" w:lineRule="auto"/>
        <w:ind w:left="410"/>
        <w:rPr>
          <w:rFonts w:ascii="宋体" w:eastAsia="宋体" w:hAnsi="宋体" w:cs="宋体"/>
        </w:rPr>
      </w:pPr>
      <w:r>
        <w:rPr>
          <w:rFonts w:ascii="宋体" w:eastAsia="宋体" w:hAnsi="宋体" w:cs="宋体"/>
          <w:spacing w:val="-3"/>
        </w:rPr>
        <w:t>用于划油的动物性原料大都切成较细小的形状后腌味上浆，然后视不同情况</w:t>
      </w:r>
    </w:p>
    <w:p w:rsidR="00EA40A3" w:rsidRDefault="00E86C16">
      <w:pPr>
        <w:spacing w:before="47"/>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6"/>
          <w:sz w:val="18"/>
          <w:szCs w:val="18"/>
        </w:rPr>
        <w:t xml:space="preserve"> </w:t>
      </w:r>
      <w:r>
        <w:rPr>
          <w:rFonts w:ascii="宋体" w:eastAsia="宋体" w:hAnsi="宋体" w:cs="宋体"/>
          <w:spacing w:val="-27"/>
          <w:sz w:val="18"/>
          <w:szCs w:val="18"/>
        </w:rPr>
        <w:t>248</w:t>
      </w:r>
      <w:r>
        <w:rPr>
          <w:rFonts w:ascii="宋体" w:eastAsia="宋体" w:hAnsi="宋体" w:cs="宋体"/>
          <w:spacing w:val="44"/>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208"/>
          <w:pgSz w:w="9220" w:h="13360"/>
          <w:pgMar w:top="400" w:right="1075" w:bottom="400" w:left="820" w:header="0" w:footer="0" w:gutter="0"/>
          <w:cols w:space="720"/>
        </w:sectPr>
      </w:pPr>
    </w:p>
    <w:p w:rsidR="00EA40A3" w:rsidRDefault="00EA40A3">
      <w:pPr>
        <w:spacing w:line="312" w:lineRule="auto"/>
      </w:pPr>
    </w:p>
    <w:p w:rsidR="00EA40A3" w:rsidRDefault="00EA40A3">
      <w:pPr>
        <w:spacing w:line="313" w:lineRule="auto"/>
      </w:pPr>
    </w:p>
    <w:p w:rsidR="00EA40A3" w:rsidRDefault="00E86C16">
      <w:pPr>
        <w:spacing w:before="68" w:line="255" w:lineRule="auto"/>
        <w:ind w:left="69" w:right="97"/>
        <w:jc w:val="both"/>
        <w:rPr>
          <w:rFonts w:ascii="宋体" w:eastAsia="宋体" w:hAnsi="宋体" w:cs="宋体"/>
        </w:rPr>
      </w:pPr>
      <w:r>
        <w:rPr>
          <w:rFonts w:ascii="宋体" w:eastAsia="宋体" w:hAnsi="宋体" w:cs="宋体"/>
          <w:spacing w:val="3"/>
        </w:rPr>
        <w:t>入油温为110～190℃的油锅中划散后快速出锅，即原料刚断生。由于此种处理</w:t>
      </w:r>
      <w:r>
        <w:rPr>
          <w:rFonts w:ascii="宋体" w:eastAsia="宋体" w:hAnsi="宋体" w:cs="宋体"/>
          <w:spacing w:val="5"/>
        </w:rPr>
        <w:t xml:space="preserve"> </w:t>
      </w:r>
      <w:r>
        <w:rPr>
          <w:rFonts w:ascii="宋体" w:eastAsia="宋体" w:hAnsi="宋体" w:cs="宋体"/>
          <w:spacing w:val="-4"/>
        </w:rPr>
        <w:t>时间短，往往有淀粉糊层保护，因此原料水分流失少，维生素的损失不大，脂肪</w:t>
      </w:r>
      <w:r>
        <w:rPr>
          <w:rFonts w:ascii="宋体" w:eastAsia="宋体" w:hAnsi="宋体" w:cs="宋体"/>
          <w:spacing w:val="9"/>
        </w:rPr>
        <w:t xml:space="preserve"> </w:t>
      </w:r>
      <w:r>
        <w:rPr>
          <w:rFonts w:ascii="宋体" w:eastAsia="宋体" w:hAnsi="宋体" w:cs="宋体"/>
          <w:spacing w:val="-7"/>
        </w:rPr>
        <w:t>含量增加。</w:t>
      </w:r>
    </w:p>
    <w:p w:rsidR="00EA40A3" w:rsidRDefault="00E86C16">
      <w:pPr>
        <w:spacing w:before="50" w:line="249" w:lineRule="auto"/>
        <w:ind w:left="69" w:right="87" w:firstLine="430"/>
        <w:jc w:val="both"/>
        <w:rPr>
          <w:rFonts w:ascii="宋体" w:eastAsia="宋体" w:hAnsi="宋体" w:cs="宋体"/>
        </w:rPr>
      </w:pPr>
      <w:r>
        <w:rPr>
          <w:rFonts w:ascii="宋体" w:eastAsia="宋体" w:hAnsi="宋体" w:cs="宋体"/>
          <w:spacing w:val="-3"/>
        </w:rPr>
        <w:t>油爆法与划油相比，尽管油温高，但加热时间极短，因此对营养素的影响与</w:t>
      </w:r>
      <w:r>
        <w:rPr>
          <w:rFonts w:ascii="宋体" w:eastAsia="宋体" w:hAnsi="宋体" w:cs="宋体"/>
          <w:spacing w:val="5"/>
        </w:rPr>
        <w:t xml:space="preserve"> </w:t>
      </w:r>
      <w:r>
        <w:rPr>
          <w:rFonts w:ascii="宋体" w:eastAsia="宋体" w:hAnsi="宋体" w:cs="宋体"/>
          <w:spacing w:val="-3"/>
        </w:rPr>
        <w:t>划油基本相同。相对来说，划油和油爆法对原料中的营养素损失影响很小，是比</w:t>
      </w:r>
      <w:r>
        <w:rPr>
          <w:rFonts w:ascii="宋体" w:eastAsia="宋体" w:hAnsi="宋体" w:cs="宋体"/>
          <w:spacing w:val="16"/>
        </w:rPr>
        <w:t xml:space="preserve"> </w:t>
      </w:r>
      <w:r>
        <w:rPr>
          <w:rFonts w:ascii="宋体" w:eastAsia="宋体" w:hAnsi="宋体" w:cs="宋体"/>
          <w:spacing w:val="-9"/>
        </w:rPr>
        <w:t>较好的烹调方法。</w:t>
      </w:r>
    </w:p>
    <w:p w:rsidR="00EA40A3" w:rsidRDefault="00E86C16">
      <w:pPr>
        <w:spacing w:before="61" w:line="221" w:lineRule="auto"/>
        <w:ind w:left="69"/>
        <w:rPr>
          <w:rFonts w:ascii="宋体" w:eastAsia="宋体" w:hAnsi="宋体" w:cs="宋体"/>
        </w:rPr>
      </w:pPr>
      <w:r>
        <w:rPr>
          <w:rFonts w:ascii="宋体" w:eastAsia="宋体" w:hAnsi="宋体" w:cs="宋体"/>
          <w:spacing w:val="27"/>
        </w:rPr>
        <w:t>5)炒</w:t>
      </w:r>
    </w:p>
    <w:p w:rsidR="00EA40A3" w:rsidRDefault="00E86C16">
      <w:pPr>
        <w:spacing w:before="48" w:line="252" w:lineRule="auto"/>
        <w:ind w:left="69" w:firstLine="430"/>
        <w:jc w:val="both"/>
        <w:rPr>
          <w:rFonts w:ascii="宋体" w:eastAsia="宋体" w:hAnsi="宋体" w:cs="宋体"/>
        </w:rPr>
      </w:pPr>
      <w:r>
        <w:rPr>
          <w:rFonts w:ascii="宋体" w:eastAsia="宋体" w:hAnsi="宋体" w:cs="宋体"/>
        </w:rPr>
        <w:t>炒法有多种，如滑炒，生炒、干炒等。滑炒的原料大多是较细</w:t>
      </w:r>
      <w:r>
        <w:rPr>
          <w:rFonts w:ascii="宋体" w:eastAsia="宋体" w:hAnsi="宋体" w:cs="宋体"/>
          <w:spacing w:val="-1"/>
        </w:rPr>
        <w:t>小的丝、片，</w:t>
      </w:r>
      <w:r>
        <w:rPr>
          <w:rFonts w:ascii="宋体" w:eastAsia="宋体" w:hAnsi="宋体" w:cs="宋体"/>
        </w:rPr>
        <w:t xml:space="preserve"> </w:t>
      </w:r>
      <w:r>
        <w:rPr>
          <w:rFonts w:ascii="宋体" w:eastAsia="宋体" w:hAnsi="宋体" w:cs="宋体"/>
          <w:spacing w:val="3"/>
        </w:rPr>
        <w:t>又事先划过油，主料已熟或接近熟，因此炒的过程很短，原料营养素的</w:t>
      </w:r>
      <w:r>
        <w:rPr>
          <w:rFonts w:ascii="宋体" w:eastAsia="宋体" w:hAnsi="宋体" w:cs="宋体"/>
          <w:spacing w:val="2"/>
        </w:rPr>
        <w:t>损失较</w:t>
      </w:r>
      <w:r>
        <w:rPr>
          <w:rFonts w:ascii="宋体" w:eastAsia="宋体" w:hAnsi="宋体" w:cs="宋体"/>
        </w:rPr>
        <w:t xml:space="preserve">  </w:t>
      </w:r>
      <w:r>
        <w:rPr>
          <w:rFonts w:ascii="宋体" w:eastAsia="宋体" w:hAnsi="宋体" w:cs="宋体"/>
          <w:spacing w:val="-3"/>
        </w:rPr>
        <w:t>少。生炒时如果原料先上浆，旺火热油急炒，那么营养损失也不大。干炒法由于</w:t>
      </w:r>
      <w:r>
        <w:rPr>
          <w:rFonts w:ascii="宋体" w:eastAsia="宋体" w:hAnsi="宋体" w:cs="宋体"/>
          <w:spacing w:val="8"/>
        </w:rPr>
        <w:t xml:space="preserve">  </w:t>
      </w:r>
      <w:r>
        <w:rPr>
          <w:rFonts w:ascii="宋体" w:eastAsia="宋体" w:hAnsi="宋体" w:cs="宋体"/>
          <w:spacing w:val="-5"/>
        </w:rPr>
        <w:t>要将原料水分煽干，因此对营养素的破坏较大。</w:t>
      </w:r>
    </w:p>
    <w:p w:rsidR="00EA40A3" w:rsidRDefault="00E86C16">
      <w:pPr>
        <w:spacing w:before="82" w:line="249" w:lineRule="auto"/>
        <w:ind w:left="69" w:right="20" w:firstLine="430"/>
        <w:rPr>
          <w:rFonts w:ascii="宋体" w:eastAsia="宋体" w:hAnsi="宋体" w:cs="宋体"/>
        </w:rPr>
      </w:pPr>
      <w:r>
        <w:rPr>
          <w:rFonts w:ascii="宋体" w:eastAsia="宋体" w:hAnsi="宋体" w:cs="宋体"/>
          <w:spacing w:val="-1"/>
        </w:rPr>
        <w:t>一般来说，高温短时的急火快炒，可以大大减少维生素的破坏。过早放盐，</w:t>
      </w:r>
      <w:r>
        <w:rPr>
          <w:rFonts w:ascii="宋体" w:eastAsia="宋体" w:hAnsi="宋体" w:cs="宋体"/>
          <w:spacing w:val="6"/>
        </w:rPr>
        <w:t xml:space="preserve"> </w:t>
      </w:r>
      <w:r>
        <w:rPr>
          <w:rFonts w:ascii="宋体" w:eastAsia="宋体" w:hAnsi="宋体" w:cs="宋体"/>
          <w:spacing w:val="-3"/>
        </w:rPr>
        <w:t>不仅影响菜的成熟时间，而且出现较多的菜汁，水溶性的维生素、无机盐等营养</w:t>
      </w:r>
      <w:r>
        <w:rPr>
          <w:rFonts w:ascii="宋体" w:eastAsia="宋体" w:hAnsi="宋体" w:cs="宋体"/>
          <w:spacing w:val="13"/>
        </w:rPr>
        <w:t xml:space="preserve"> </w:t>
      </w:r>
      <w:r>
        <w:rPr>
          <w:rFonts w:ascii="宋体" w:eastAsia="宋体" w:hAnsi="宋体" w:cs="宋体"/>
          <w:spacing w:val="-3"/>
        </w:rPr>
        <w:t>溶出损失；炒菜时用淀粉勾芡，汤汁浓稠，并具有保护维生素C</w:t>
      </w:r>
      <w:r>
        <w:rPr>
          <w:rFonts w:ascii="宋体" w:eastAsia="宋体" w:hAnsi="宋体" w:cs="宋体"/>
          <w:spacing w:val="23"/>
        </w:rPr>
        <w:t xml:space="preserve"> </w:t>
      </w:r>
      <w:r>
        <w:rPr>
          <w:rFonts w:ascii="宋体" w:eastAsia="宋体" w:hAnsi="宋体" w:cs="宋体"/>
          <w:spacing w:val="-3"/>
        </w:rPr>
        <w:t>的作用。</w:t>
      </w:r>
    </w:p>
    <w:p w:rsidR="00EA40A3" w:rsidRDefault="00E86C16">
      <w:pPr>
        <w:spacing w:before="71" w:line="219" w:lineRule="auto"/>
        <w:ind w:left="69"/>
        <w:rPr>
          <w:rFonts w:ascii="宋体" w:eastAsia="宋体" w:hAnsi="宋体" w:cs="宋体"/>
        </w:rPr>
      </w:pPr>
      <w:r>
        <w:rPr>
          <w:rFonts w:ascii="宋体" w:eastAsia="宋体" w:hAnsi="宋体" w:cs="宋体"/>
          <w:spacing w:val="27"/>
        </w:rPr>
        <w:t>6)炸</w:t>
      </w:r>
    </w:p>
    <w:p w:rsidR="00EA40A3" w:rsidRDefault="00E86C16">
      <w:pPr>
        <w:spacing w:before="63" w:line="257" w:lineRule="auto"/>
        <w:ind w:left="69" w:firstLine="430"/>
        <w:rPr>
          <w:rFonts w:ascii="宋体" w:eastAsia="宋体" w:hAnsi="宋体" w:cs="宋体"/>
        </w:rPr>
      </w:pPr>
      <w:r>
        <w:rPr>
          <w:rFonts w:ascii="宋体" w:eastAsia="宋体" w:hAnsi="宋体" w:cs="宋体"/>
          <w:spacing w:val="3"/>
        </w:rPr>
        <w:t>炸法多种多样，如清炸、酥炸、软炸等。炸时一般都是油温较高，油量较</w:t>
      </w:r>
      <w:r>
        <w:rPr>
          <w:rFonts w:ascii="宋体" w:eastAsia="宋体" w:hAnsi="宋体" w:cs="宋体"/>
          <w:spacing w:val="5"/>
        </w:rPr>
        <w:t xml:space="preserve">  </w:t>
      </w:r>
      <w:r>
        <w:rPr>
          <w:rFonts w:ascii="宋体" w:eastAsia="宋体" w:hAnsi="宋体" w:cs="宋体"/>
          <w:spacing w:val="-2"/>
        </w:rPr>
        <w:t>多，因此对原料所含的营养素有不同程度的破坏损</w:t>
      </w:r>
      <w:r>
        <w:rPr>
          <w:rFonts w:ascii="宋体" w:eastAsia="宋体" w:hAnsi="宋体" w:cs="宋体"/>
          <w:spacing w:val="-3"/>
        </w:rPr>
        <w:t>失。特别是高温焦炸，会使原</w:t>
      </w:r>
      <w:r>
        <w:rPr>
          <w:rFonts w:ascii="宋体" w:eastAsia="宋体" w:hAnsi="宋体" w:cs="宋体"/>
        </w:rPr>
        <w:t xml:space="preserve">  </w:t>
      </w:r>
      <w:r>
        <w:rPr>
          <w:rFonts w:ascii="宋体" w:eastAsia="宋体" w:hAnsi="宋体" w:cs="宋体"/>
          <w:spacing w:val="-1"/>
        </w:rPr>
        <w:t>料水分基本蒸发完，蛋白炸焦变性，脂肪被破坏，易产生不良气味和有害物质</w:t>
      </w:r>
      <w:r>
        <w:rPr>
          <w:rFonts w:ascii="宋体" w:eastAsia="宋体" w:hAnsi="宋体" w:cs="宋体"/>
          <w:spacing w:val="-2"/>
        </w:rPr>
        <w:t>，</w:t>
      </w:r>
      <w:r>
        <w:rPr>
          <w:rFonts w:ascii="宋体" w:eastAsia="宋体" w:hAnsi="宋体" w:cs="宋体"/>
        </w:rPr>
        <w:t xml:space="preserve"> 维生素也被基本破坏，营养价值和消化率都大大降低。烹调中应采用多种挂糊、</w:t>
      </w:r>
      <w:r>
        <w:rPr>
          <w:rFonts w:ascii="宋体" w:eastAsia="宋体" w:hAnsi="宋体" w:cs="宋体"/>
          <w:spacing w:val="3"/>
        </w:rPr>
        <w:t xml:space="preserve"> </w:t>
      </w:r>
      <w:r>
        <w:rPr>
          <w:rFonts w:ascii="宋体" w:eastAsia="宋体" w:hAnsi="宋体" w:cs="宋体"/>
          <w:spacing w:val="-2"/>
        </w:rPr>
        <w:t>拍粉的炸法，如各种水粉糊、蛋糊、脆浆以及</w:t>
      </w:r>
      <w:r>
        <w:rPr>
          <w:rFonts w:ascii="宋体" w:eastAsia="宋体" w:hAnsi="宋体" w:cs="宋体"/>
          <w:spacing w:val="-3"/>
        </w:rPr>
        <w:t>纸包炸等，使原料表面有一层保护</w:t>
      </w:r>
      <w:r>
        <w:rPr>
          <w:rFonts w:ascii="宋体" w:eastAsia="宋体" w:hAnsi="宋体" w:cs="宋体"/>
        </w:rPr>
        <w:t xml:space="preserve">  层。同时在保证菜肴特色的前提下，要注意尽</w:t>
      </w:r>
      <w:r>
        <w:rPr>
          <w:rFonts w:ascii="宋体" w:eastAsia="宋体" w:hAnsi="宋体" w:cs="宋体"/>
          <w:spacing w:val="-1"/>
        </w:rPr>
        <w:t>量避免油温过高，油炸时间过长，</w:t>
      </w:r>
      <w:r>
        <w:rPr>
          <w:rFonts w:ascii="宋体" w:eastAsia="宋体" w:hAnsi="宋体" w:cs="宋体"/>
        </w:rPr>
        <w:t xml:space="preserve"> </w:t>
      </w:r>
      <w:r>
        <w:rPr>
          <w:rFonts w:ascii="宋体" w:eastAsia="宋体" w:hAnsi="宋体" w:cs="宋体"/>
          <w:spacing w:val="-8"/>
        </w:rPr>
        <w:t>减少营养素的破坏。</w:t>
      </w:r>
    </w:p>
    <w:p w:rsidR="00EA40A3" w:rsidRDefault="00E86C16">
      <w:pPr>
        <w:spacing w:before="81" w:line="219" w:lineRule="auto"/>
        <w:ind w:left="499"/>
        <w:rPr>
          <w:rFonts w:ascii="宋体" w:eastAsia="宋体" w:hAnsi="宋体" w:cs="宋体"/>
        </w:rPr>
      </w:pPr>
      <w:r>
        <w:rPr>
          <w:rFonts w:ascii="宋体" w:eastAsia="宋体" w:hAnsi="宋体" w:cs="宋体"/>
          <w:spacing w:val="4"/>
        </w:rPr>
        <w:t>马铃薯经油炸后尼克酸和维生素B.</w:t>
      </w:r>
      <w:r>
        <w:rPr>
          <w:rFonts w:ascii="宋体" w:eastAsia="宋体" w:hAnsi="宋体" w:cs="宋体"/>
          <w:spacing w:val="-31"/>
        </w:rPr>
        <w:t xml:space="preserve"> </w:t>
      </w:r>
      <w:r>
        <w:rPr>
          <w:rFonts w:ascii="宋体" w:eastAsia="宋体" w:hAnsi="宋体" w:cs="宋体"/>
          <w:spacing w:val="4"/>
        </w:rPr>
        <w:t>的损失很小，叶酸损失为30%～50%。</w:t>
      </w:r>
    </w:p>
    <w:p w:rsidR="00EA40A3" w:rsidRDefault="00E86C16">
      <w:pPr>
        <w:spacing w:before="51" w:line="249" w:lineRule="auto"/>
        <w:ind w:left="69" w:right="90" w:firstLine="430"/>
        <w:rPr>
          <w:rFonts w:ascii="宋体" w:eastAsia="宋体" w:hAnsi="宋体" w:cs="宋体"/>
        </w:rPr>
      </w:pPr>
      <w:r>
        <w:rPr>
          <w:rFonts w:ascii="宋体" w:eastAsia="宋体" w:hAnsi="宋体" w:cs="宋体"/>
          <w:spacing w:val="-1"/>
        </w:rPr>
        <w:t>油条经过加碱再油炸，维生素B</w:t>
      </w:r>
      <w:r>
        <w:rPr>
          <w:rFonts w:ascii="Calibri" w:eastAsia="Calibri" w:hAnsi="Calibri" w:cs="Calibri"/>
          <w:spacing w:val="-1"/>
        </w:rPr>
        <w:t>₁</w:t>
      </w:r>
      <w:r>
        <w:rPr>
          <w:rFonts w:ascii="Calibri" w:eastAsia="Calibri" w:hAnsi="Calibri" w:cs="Calibri"/>
          <w:spacing w:val="11"/>
        </w:rPr>
        <w:t xml:space="preserve">  </w:t>
      </w:r>
      <w:r>
        <w:rPr>
          <w:rFonts w:ascii="宋体" w:eastAsia="宋体" w:hAnsi="宋体" w:cs="宋体"/>
          <w:spacing w:val="-1"/>
        </w:rPr>
        <w:t>被全部破坏。煮、烙、炸对维生素</w:t>
      </w:r>
      <w:r>
        <w:rPr>
          <w:rFonts w:ascii="宋体" w:eastAsia="宋体" w:hAnsi="宋体" w:cs="宋体"/>
          <w:spacing w:val="-54"/>
        </w:rPr>
        <w:t xml:space="preserve"> </w:t>
      </w:r>
      <w:r>
        <w:rPr>
          <w:rFonts w:ascii="宋体" w:eastAsia="宋体" w:hAnsi="宋体" w:cs="宋体"/>
          <w:spacing w:val="-1"/>
        </w:rPr>
        <w:t>B</w:t>
      </w:r>
      <w:r>
        <w:rPr>
          <w:rFonts w:ascii="Calibri" w:eastAsia="Calibri" w:hAnsi="Calibri" w:cs="Calibri"/>
          <w:spacing w:val="-1"/>
        </w:rPr>
        <w:t>₁</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58"/>
        </w:rPr>
        <w:t xml:space="preserve"> </w:t>
      </w:r>
      <w:r>
        <w:rPr>
          <w:rFonts w:ascii="宋体" w:eastAsia="宋体" w:hAnsi="宋体" w:cs="宋体"/>
          <w:spacing w:val="-1"/>
        </w:rPr>
        <w:t>维</w:t>
      </w:r>
      <w:r>
        <w:rPr>
          <w:rFonts w:ascii="宋体" w:eastAsia="宋体" w:hAnsi="宋体" w:cs="宋体"/>
        </w:rPr>
        <w:t xml:space="preserve"> </w:t>
      </w:r>
      <w:r>
        <w:rPr>
          <w:rFonts w:ascii="宋体" w:eastAsia="宋体" w:hAnsi="宋体" w:cs="宋体"/>
          <w:spacing w:val="10"/>
        </w:rPr>
        <w:t>生素B</w:t>
      </w:r>
      <w:r>
        <w:rPr>
          <w:rFonts w:ascii="Calibri" w:eastAsia="Calibri" w:hAnsi="Calibri" w:cs="Calibri"/>
          <w:spacing w:val="10"/>
        </w:rPr>
        <w:t>₂</w:t>
      </w:r>
      <w:r>
        <w:rPr>
          <w:rFonts w:ascii="Calibri" w:eastAsia="Calibri" w:hAnsi="Calibri" w:cs="Calibri"/>
          <w:spacing w:val="15"/>
        </w:rPr>
        <w:t xml:space="preserve">  </w:t>
      </w:r>
      <w:r>
        <w:rPr>
          <w:rFonts w:ascii="宋体" w:eastAsia="宋体" w:hAnsi="宋体" w:cs="宋体"/>
          <w:spacing w:val="10"/>
        </w:rPr>
        <w:t>的含量影响见表7-14,维生素B</w:t>
      </w:r>
      <w:r>
        <w:rPr>
          <w:rFonts w:ascii="Calibri" w:eastAsia="Calibri" w:hAnsi="Calibri" w:cs="Calibri"/>
          <w:spacing w:val="10"/>
        </w:rPr>
        <w:t>₁</w:t>
      </w:r>
      <w:r>
        <w:rPr>
          <w:rFonts w:ascii="Calibri" w:eastAsia="Calibri" w:hAnsi="Calibri" w:cs="Calibri"/>
          <w:spacing w:val="11"/>
        </w:rPr>
        <w:t xml:space="preserve">  </w:t>
      </w:r>
      <w:r>
        <w:rPr>
          <w:rFonts w:ascii="宋体" w:eastAsia="宋体" w:hAnsi="宋体" w:cs="宋体"/>
          <w:spacing w:val="10"/>
        </w:rPr>
        <w:t>和维生素</w:t>
      </w:r>
      <w:r>
        <w:rPr>
          <w:rFonts w:ascii="宋体" w:eastAsia="宋体" w:hAnsi="宋体" w:cs="宋体"/>
          <w:spacing w:val="-55"/>
        </w:rPr>
        <w:t xml:space="preserve"> </w:t>
      </w:r>
      <w:r>
        <w:rPr>
          <w:rFonts w:ascii="宋体" w:eastAsia="宋体" w:hAnsi="宋体" w:cs="宋体"/>
          <w:spacing w:val="10"/>
        </w:rPr>
        <w:t>B</w:t>
      </w:r>
      <w:r>
        <w:rPr>
          <w:rFonts w:ascii="Calibri" w:eastAsia="Calibri" w:hAnsi="Calibri" w:cs="Calibri"/>
          <w:spacing w:val="10"/>
        </w:rPr>
        <w:t>₂</w:t>
      </w:r>
      <w:r>
        <w:rPr>
          <w:rFonts w:ascii="Calibri" w:eastAsia="Calibri" w:hAnsi="Calibri" w:cs="Calibri"/>
          <w:spacing w:val="6"/>
        </w:rPr>
        <w:t xml:space="preserve">  </w:t>
      </w:r>
      <w:r>
        <w:rPr>
          <w:rFonts w:ascii="宋体" w:eastAsia="宋体" w:hAnsi="宋体" w:cs="宋体"/>
          <w:spacing w:val="10"/>
        </w:rPr>
        <w:t>的含量以油炸食品降低</w:t>
      </w:r>
      <w:r>
        <w:rPr>
          <w:rFonts w:ascii="宋体" w:eastAsia="宋体" w:hAnsi="宋体" w:cs="宋体"/>
          <w:spacing w:val="1"/>
        </w:rPr>
        <w:t xml:space="preserve"> </w:t>
      </w:r>
      <w:r>
        <w:rPr>
          <w:rFonts w:ascii="宋体" w:eastAsia="宋体" w:hAnsi="宋体" w:cs="宋体"/>
          <w:spacing w:val="-10"/>
        </w:rPr>
        <w:t>最多。</w:t>
      </w:r>
    </w:p>
    <w:p w:rsidR="00EA40A3" w:rsidRDefault="00EA40A3">
      <w:pPr>
        <w:spacing w:line="295" w:lineRule="auto"/>
      </w:pPr>
    </w:p>
    <w:p w:rsidR="00EA40A3" w:rsidRDefault="00E86C16">
      <w:pPr>
        <w:spacing w:before="69" w:line="221" w:lineRule="auto"/>
        <w:ind w:left="1972"/>
        <w:rPr>
          <w:rFonts w:ascii="黑体" w:eastAsia="黑体" w:hAnsi="黑体" w:cs="黑体"/>
        </w:rPr>
      </w:pPr>
      <w:r>
        <w:rPr>
          <w:rFonts w:ascii="黑体" w:eastAsia="黑体" w:hAnsi="黑体" w:cs="黑体"/>
          <w:b/>
          <w:bCs/>
          <w:spacing w:val="-17"/>
          <w:w w:val="96"/>
        </w:rPr>
        <w:t>表7-14</w:t>
      </w:r>
      <w:r>
        <w:rPr>
          <w:rFonts w:ascii="黑体" w:eastAsia="黑体" w:hAnsi="黑体" w:cs="黑体"/>
          <w:spacing w:val="69"/>
        </w:rPr>
        <w:t xml:space="preserve"> </w:t>
      </w:r>
      <w:r>
        <w:rPr>
          <w:rFonts w:ascii="黑体" w:eastAsia="黑体" w:hAnsi="黑体" w:cs="黑体"/>
          <w:b/>
          <w:bCs/>
          <w:spacing w:val="-17"/>
          <w:w w:val="96"/>
        </w:rPr>
        <w:t>烹调方法对维生素B</w:t>
      </w:r>
      <w:r>
        <w:rPr>
          <w:rFonts w:ascii="黑体" w:eastAsia="黑体" w:hAnsi="黑体" w:cs="黑体"/>
          <w:spacing w:val="-52"/>
        </w:rPr>
        <w:t xml:space="preserve"> </w:t>
      </w:r>
      <w:r>
        <w:rPr>
          <w:rFonts w:ascii="黑体" w:eastAsia="黑体" w:hAnsi="黑体" w:cs="黑体"/>
          <w:b/>
          <w:bCs/>
          <w:spacing w:val="-17"/>
          <w:w w:val="96"/>
        </w:rPr>
        <w:t>族含量的影响</w:t>
      </w:r>
    </w:p>
    <w:p w:rsidR="00EA40A3" w:rsidRDefault="00EA40A3">
      <w:pPr>
        <w:spacing w:line="104" w:lineRule="auto"/>
        <w:rPr>
          <w:sz w:val="2"/>
        </w:rPr>
      </w:pPr>
    </w:p>
    <w:tbl>
      <w:tblPr>
        <w:tblStyle w:val="TableNormal"/>
        <w:tblW w:w="735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893"/>
        <w:gridCol w:w="865"/>
        <w:gridCol w:w="961"/>
        <w:gridCol w:w="1345"/>
        <w:gridCol w:w="940"/>
        <w:gridCol w:w="1395"/>
        <w:gridCol w:w="960"/>
      </w:tblGrid>
      <w:tr w:rsidR="00EA40A3">
        <w:trPr>
          <w:trHeight w:val="303"/>
        </w:trPr>
        <w:tc>
          <w:tcPr>
            <w:tcW w:w="893" w:type="dxa"/>
            <w:vMerge w:val="restart"/>
            <w:tcBorders>
              <w:top w:val="single" w:sz="4" w:space="0" w:color="000000"/>
              <w:bottom w:val="nil"/>
            </w:tcBorders>
          </w:tcPr>
          <w:p w:rsidR="00EA40A3" w:rsidRDefault="00E86C16">
            <w:pPr>
              <w:spacing w:before="241" w:line="219" w:lineRule="auto"/>
              <w:ind w:left="289"/>
              <w:rPr>
                <w:rFonts w:ascii="宋体" w:eastAsia="宋体" w:hAnsi="宋体" w:cs="宋体"/>
                <w:sz w:val="16"/>
                <w:szCs w:val="16"/>
              </w:rPr>
            </w:pPr>
            <w:r>
              <w:rPr>
                <w:rFonts w:ascii="宋体" w:eastAsia="宋体" w:hAnsi="宋体" w:cs="宋体"/>
                <w:spacing w:val="8"/>
                <w:sz w:val="16"/>
                <w:szCs w:val="16"/>
              </w:rPr>
              <w:t>样品</w:t>
            </w:r>
          </w:p>
        </w:tc>
        <w:tc>
          <w:tcPr>
            <w:tcW w:w="865" w:type="dxa"/>
            <w:vMerge w:val="restart"/>
            <w:tcBorders>
              <w:top w:val="single" w:sz="4" w:space="0" w:color="000000"/>
              <w:bottom w:val="nil"/>
            </w:tcBorders>
          </w:tcPr>
          <w:p w:rsidR="00EA40A3" w:rsidRDefault="00E86C16">
            <w:pPr>
              <w:spacing w:before="132" w:line="248" w:lineRule="auto"/>
              <w:ind w:left="227" w:right="164"/>
              <w:rPr>
                <w:rFonts w:ascii="宋体" w:eastAsia="宋体" w:hAnsi="宋体" w:cs="宋体"/>
                <w:sz w:val="16"/>
                <w:szCs w:val="16"/>
              </w:rPr>
            </w:pPr>
            <w:r>
              <w:rPr>
                <w:rFonts w:ascii="宋体" w:eastAsia="宋体" w:hAnsi="宋体" w:cs="宋体"/>
                <w:spacing w:val="-3"/>
                <w:sz w:val="16"/>
                <w:szCs w:val="16"/>
              </w:rPr>
              <w:t>加工烹</w:t>
            </w:r>
            <w:r>
              <w:rPr>
                <w:rFonts w:ascii="宋体" w:eastAsia="宋体" w:hAnsi="宋体" w:cs="宋体"/>
                <w:spacing w:val="1"/>
                <w:sz w:val="16"/>
                <w:szCs w:val="16"/>
              </w:rPr>
              <w:t xml:space="preserve"> </w:t>
            </w:r>
            <w:r>
              <w:rPr>
                <w:rFonts w:ascii="宋体" w:eastAsia="宋体" w:hAnsi="宋体" w:cs="宋体"/>
                <w:spacing w:val="-3"/>
                <w:sz w:val="16"/>
                <w:szCs w:val="16"/>
              </w:rPr>
              <w:t>调方法</w:t>
            </w:r>
          </w:p>
        </w:tc>
        <w:tc>
          <w:tcPr>
            <w:tcW w:w="961" w:type="dxa"/>
            <w:vMerge w:val="restart"/>
            <w:tcBorders>
              <w:top w:val="single" w:sz="4" w:space="0" w:color="000000"/>
              <w:bottom w:val="nil"/>
            </w:tcBorders>
          </w:tcPr>
          <w:p w:rsidR="00EA40A3" w:rsidRDefault="00E86C16">
            <w:pPr>
              <w:spacing w:before="121" w:line="254" w:lineRule="auto"/>
              <w:ind w:left="351" w:right="52" w:hanging="179"/>
              <w:rPr>
                <w:rFonts w:ascii="宋体" w:eastAsia="宋体" w:hAnsi="宋体" w:cs="宋体"/>
                <w:sz w:val="16"/>
                <w:szCs w:val="16"/>
              </w:rPr>
            </w:pPr>
            <w:r>
              <w:rPr>
                <w:rFonts w:ascii="宋体" w:eastAsia="宋体" w:hAnsi="宋体" w:cs="宋体"/>
                <w:spacing w:val="3"/>
                <w:sz w:val="16"/>
                <w:szCs w:val="16"/>
              </w:rPr>
              <w:t>面粉/样品</w:t>
            </w:r>
            <w:r>
              <w:rPr>
                <w:rFonts w:ascii="宋体" w:eastAsia="宋体" w:hAnsi="宋体" w:cs="宋体"/>
                <w:sz w:val="16"/>
                <w:szCs w:val="16"/>
              </w:rPr>
              <w:t xml:space="preserve"> </w:t>
            </w:r>
            <w:r>
              <w:rPr>
                <w:rFonts w:ascii="宋体" w:eastAsia="宋体" w:hAnsi="宋体" w:cs="宋体"/>
                <w:spacing w:val="9"/>
                <w:sz w:val="16"/>
                <w:szCs w:val="16"/>
              </w:rPr>
              <w:t>比例</w:t>
            </w:r>
          </w:p>
        </w:tc>
        <w:tc>
          <w:tcPr>
            <w:tcW w:w="2285" w:type="dxa"/>
            <w:gridSpan w:val="2"/>
            <w:tcBorders>
              <w:top w:val="single" w:sz="4" w:space="0" w:color="000000"/>
              <w:bottom w:val="single" w:sz="4" w:space="0" w:color="000000"/>
            </w:tcBorders>
          </w:tcPr>
          <w:p w:rsidR="00EA40A3" w:rsidRDefault="00E86C16">
            <w:pPr>
              <w:spacing w:before="111" w:line="219" w:lineRule="auto"/>
              <w:ind w:left="870"/>
              <w:rPr>
                <w:rFonts w:ascii="Calibri" w:eastAsia="Calibri" w:hAnsi="Calibri" w:cs="Calibri"/>
                <w:sz w:val="16"/>
                <w:szCs w:val="16"/>
              </w:rPr>
            </w:pPr>
            <w:r>
              <w:rPr>
                <w:rFonts w:ascii="宋体" w:eastAsia="宋体" w:hAnsi="宋体" w:cs="宋体"/>
                <w:spacing w:val="19"/>
                <w:sz w:val="16"/>
                <w:szCs w:val="16"/>
              </w:rPr>
              <w:t>维生素B</w:t>
            </w:r>
            <w:r>
              <w:rPr>
                <w:rFonts w:ascii="Calibri" w:eastAsia="Calibri" w:hAnsi="Calibri" w:cs="Calibri"/>
                <w:spacing w:val="19"/>
                <w:sz w:val="16"/>
                <w:szCs w:val="16"/>
              </w:rPr>
              <w:t>₁</w:t>
            </w:r>
          </w:p>
        </w:tc>
        <w:tc>
          <w:tcPr>
            <w:tcW w:w="2355" w:type="dxa"/>
            <w:gridSpan w:val="2"/>
            <w:tcBorders>
              <w:top w:val="single" w:sz="4" w:space="0" w:color="000000"/>
              <w:bottom w:val="single" w:sz="4" w:space="0" w:color="000000"/>
            </w:tcBorders>
          </w:tcPr>
          <w:p w:rsidR="00EA40A3" w:rsidRDefault="00E86C16">
            <w:pPr>
              <w:spacing w:before="111" w:line="219" w:lineRule="auto"/>
              <w:ind w:left="886"/>
              <w:rPr>
                <w:rFonts w:ascii="Calibri" w:eastAsia="Calibri" w:hAnsi="Calibri" w:cs="Calibri"/>
                <w:sz w:val="16"/>
                <w:szCs w:val="16"/>
              </w:rPr>
            </w:pPr>
            <w:r>
              <w:rPr>
                <w:rFonts w:ascii="宋体" w:eastAsia="宋体" w:hAnsi="宋体" w:cs="宋体"/>
                <w:spacing w:val="16"/>
                <w:sz w:val="16"/>
                <w:szCs w:val="16"/>
              </w:rPr>
              <w:t>维生素B</w:t>
            </w:r>
            <w:r>
              <w:rPr>
                <w:rFonts w:ascii="Calibri" w:eastAsia="Calibri" w:hAnsi="Calibri" w:cs="Calibri"/>
                <w:spacing w:val="16"/>
                <w:sz w:val="16"/>
                <w:szCs w:val="16"/>
              </w:rPr>
              <w:t>₂</w:t>
            </w:r>
          </w:p>
        </w:tc>
      </w:tr>
      <w:tr w:rsidR="00EA40A3">
        <w:trPr>
          <w:trHeight w:val="249"/>
        </w:trPr>
        <w:tc>
          <w:tcPr>
            <w:tcW w:w="893" w:type="dxa"/>
            <w:vMerge/>
            <w:tcBorders>
              <w:top w:val="nil"/>
              <w:bottom w:val="single" w:sz="4" w:space="0" w:color="000000"/>
            </w:tcBorders>
          </w:tcPr>
          <w:p w:rsidR="00EA40A3" w:rsidRDefault="00EA40A3"/>
        </w:tc>
        <w:tc>
          <w:tcPr>
            <w:tcW w:w="865" w:type="dxa"/>
            <w:vMerge/>
            <w:tcBorders>
              <w:top w:val="nil"/>
              <w:bottom w:val="single" w:sz="4" w:space="0" w:color="000000"/>
            </w:tcBorders>
          </w:tcPr>
          <w:p w:rsidR="00EA40A3" w:rsidRDefault="00EA40A3"/>
        </w:tc>
        <w:tc>
          <w:tcPr>
            <w:tcW w:w="961" w:type="dxa"/>
            <w:vMerge/>
            <w:tcBorders>
              <w:top w:val="nil"/>
              <w:bottom w:val="single" w:sz="4" w:space="0" w:color="000000"/>
            </w:tcBorders>
          </w:tcPr>
          <w:p w:rsidR="00EA40A3" w:rsidRDefault="00EA40A3"/>
        </w:tc>
        <w:tc>
          <w:tcPr>
            <w:tcW w:w="1345" w:type="dxa"/>
            <w:tcBorders>
              <w:top w:val="single" w:sz="4" w:space="0" w:color="000000"/>
              <w:bottom w:val="single" w:sz="4" w:space="0" w:color="000000"/>
            </w:tcBorders>
          </w:tcPr>
          <w:p w:rsidR="00EA40A3" w:rsidRDefault="00E86C16">
            <w:pPr>
              <w:spacing w:before="43" w:line="214" w:lineRule="auto"/>
              <w:ind w:left="101"/>
              <w:rPr>
                <w:rFonts w:ascii="宋体" w:eastAsia="宋体" w:hAnsi="宋体" w:cs="宋体"/>
                <w:sz w:val="16"/>
                <w:szCs w:val="16"/>
              </w:rPr>
            </w:pPr>
            <w:r>
              <w:rPr>
                <w:rFonts w:ascii="宋体" w:eastAsia="宋体" w:hAnsi="宋体" w:cs="宋体"/>
                <w:spacing w:val="3"/>
                <w:sz w:val="16"/>
                <w:szCs w:val="16"/>
              </w:rPr>
              <w:t>含量/(</w:t>
            </w:r>
            <w:r>
              <w:rPr>
                <w:rFonts w:ascii="宋体" w:eastAsia="宋体" w:hAnsi="宋体" w:cs="宋体"/>
                <w:sz w:val="16"/>
                <w:szCs w:val="16"/>
              </w:rPr>
              <w:t>mg</w:t>
            </w:r>
            <w:r>
              <w:rPr>
                <w:rFonts w:ascii="宋体" w:eastAsia="宋体" w:hAnsi="宋体" w:cs="宋体"/>
                <w:spacing w:val="3"/>
                <w:sz w:val="16"/>
                <w:szCs w:val="16"/>
              </w:rPr>
              <w:t>/100g)</w:t>
            </w:r>
          </w:p>
        </w:tc>
        <w:tc>
          <w:tcPr>
            <w:tcW w:w="940" w:type="dxa"/>
            <w:tcBorders>
              <w:top w:val="single" w:sz="4" w:space="0" w:color="000000"/>
              <w:bottom w:val="single" w:sz="4" w:space="0" w:color="000000"/>
            </w:tcBorders>
          </w:tcPr>
          <w:p w:rsidR="00EA40A3" w:rsidRDefault="00E86C16">
            <w:pPr>
              <w:spacing w:before="78" w:line="197" w:lineRule="auto"/>
              <w:ind w:left="126"/>
              <w:rPr>
                <w:rFonts w:ascii="宋体" w:eastAsia="宋体" w:hAnsi="宋体" w:cs="宋体"/>
                <w:sz w:val="16"/>
                <w:szCs w:val="16"/>
              </w:rPr>
            </w:pPr>
            <w:r>
              <w:rPr>
                <w:rFonts w:ascii="宋体" w:eastAsia="宋体" w:hAnsi="宋体" w:cs="宋体"/>
                <w:spacing w:val="-2"/>
                <w:sz w:val="16"/>
                <w:szCs w:val="16"/>
              </w:rPr>
              <w:t>损失率/%</w:t>
            </w:r>
          </w:p>
        </w:tc>
        <w:tc>
          <w:tcPr>
            <w:tcW w:w="1395" w:type="dxa"/>
            <w:tcBorders>
              <w:top w:val="single" w:sz="4" w:space="0" w:color="000000"/>
              <w:bottom w:val="single" w:sz="4" w:space="0" w:color="000000"/>
            </w:tcBorders>
          </w:tcPr>
          <w:p w:rsidR="00EA40A3" w:rsidRDefault="00E86C16">
            <w:pPr>
              <w:spacing w:before="73" w:line="203" w:lineRule="auto"/>
              <w:ind w:left="186"/>
              <w:rPr>
                <w:rFonts w:ascii="宋体" w:eastAsia="宋体" w:hAnsi="宋体" w:cs="宋体"/>
                <w:sz w:val="16"/>
                <w:szCs w:val="16"/>
              </w:rPr>
            </w:pPr>
            <w:r>
              <w:rPr>
                <w:rFonts w:ascii="宋体" w:eastAsia="宋体" w:hAnsi="宋体" w:cs="宋体"/>
                <w:spacing w:val="3"/>
                <w:sz w:val="16"/>
                <w:szCs w:val="16"/>
              </w:rPr>
              <w:t>含量/(</w:t>
            </w:r>
            <w:r>
              <w:rPr>
                <w:rFonts w:ascii="宋体" w:eastAsia="宋体" w:hAnsi="宋体" w:cs="宋体"/>
                <w:sz w:val="16"/>
                <w:szCs w:val="16"/>
              </w:rPr>
              <w:t>mg</w:t>
            </w:r>
            <w:r>
              <w:rPr>
                <w:rFonts w:ascii="宋体" w:eastAsia="宋体" w:hAnsi="宋体" w:cs="宋体"/>
                <w:spacing w:val="3"/>
                <w:sz w:val="16"/>
                <w:szCs w:val="16"/>
              </w:rPr>
              <w:t>/100g)</w:t>
            </w:r>
          </w:p>
        </w:tc>
        <w:tc>
          <w:tcPr>
            <w:tcW w:w="960" w:type="dxa"/>
            <w:tcBorders>
              <w:top w:val="single" w:sz="4" w:space="0" w:color="000000"/>
              <w:bottom w:val="single" w:sz="4" w:space="0" w:color="000000"/>
            </w:tcBorders>
          </w:tcPr>
          <w:p w:rsidR="00EA40A3" w:rsidRDefault="00E86C16">
            <w:pPr>
              <w:spacing w:before="88" w:line="185" w:lineRule="auto"/>
              <w:ind w:left="90"/>
              <w:rPr>
                <w:rFonts w:ascii="宋体" w:eastAsia="宋体" w:hAnsi="宋体" w:cs="宋体"/>
                <w:sz w:val="16"/>
                <w:szCs w:val="16"/>
              </w:rPr>
            </w:pPr>
            <w:r>
              <w:rPr>
                <w:rFonts w:ascii="宋体" w:eastAsia="宋体" w:hAnsi="宋体" w:cs="宋体"/>
                <w:spacing w:val="-2"/>
                <w:sz w:val="16"/>
                <w:szCs w:val="16"/>
              </w:rPr>
              <w:t>损失率1%</w:t>
            </w:r>
          </w:p>
        </w:tc>
      </w:tr>
      <w:tr w:rsidR="00EA40A3">
        <w:trPr>
          <w:trHeight w:val="244"/>
        </w:trPr>
        <w:tc>
          <w:tcPr>
            <w:tcW w:w="893" w:type="dxa"/>
            <w:tcBorders>
              <w:top w:val="single" w:sz="4" w:space="0" w:color="000000"/>
            </w:tcBorders>
          </w:tcPr>
          <w:p w:rsidR="00EA40A3" w:rsidRDefault="00E86C16">
            <w:pPr>
              <w:spacing w:before="60" w:line="212" w:lineRule="auto"/>
              <w:ind w:left="360"/>
              <w:rPr>
                <w:rFonts w:ascii="宋体" w:eastAsia="宋体" w:hAnsi="宋体" w:cs="宋体"/>
                <w:sz w:val="16"/>
                <w:szCs w:val="16"/>
              </w:rPr>
            </w:pPr>
            <w:r>
              <w:rPr>
                <w:rFonts w:ascii="宋体" w:eastAsia="宋体" w:hAnsi="宋体" w:cs="宋体"/>
                <w:sz w:val="16"/>
                <w:szCs w:val="16"/>
              </w:rPr>
              <w:t>饼</w:t>
            </w:r>
          </w:p>
        </w:tc>
        <w:tc>
          <w:tcPr>
            <w:tcW w:w="865" w:type="dxa"/>
            <w:tcBorders>
              <w:top w:val="single" w:sz="4" w:space="0" w:color="000000"/>
            </w:tcBorders>
          </w:tcPr>
          <w:p w:rsidR="00EA40A3" w:rsidRDefault="00E86C16">
            <w:pPr>
              <w:spacing w:before="60" w:line="212" w:lineRule="auto"/>
              <w:ind w:left="337"/>
              <w:rPr>
                <w:rFonts w:ascii="宋体" w:eastAsia="宋体" w:hAnsi="宋体" w:cs="宋体"/>
                <w:sz w:val="16"/>
                <w:szCs w:val="16"/>
              </w:rPr>
            </w:pPr>
            <w:r>
              <w:rPr>
                <w:rFonts w:ascii="宋体" w:eastAsia="宋体" w:hAnsi="宋体" w:cs="宋体"/>
                <w:sz w:val="16"/>
                <w:szCs w:val="16"/>
              </w:rPr>
              <w:t>烙</w:t>
            </w:r>
          </w:p>
        </w:tc>
        <w:tc>
          <w:tcPr>
            <w:tcW w:w="961" w:type="dxa"/>
            <w:tcBorders>
              <w:top w:val="single" w:sz="4" w:space="0" w:color="000000"/>
            </w:tcBorders>
          </w:tcPr>
          <w:p w:rsidR="00EA40A3" w:rsidRDefault="00E86C16">
            <w:pPr>
              <w:spacing w:before="100" w:line="166" w:lineRule="auto"/>
              <w:ind w:left="242"/>
              <w:rPr>
                <w:rFonts w:ascii="宋体" w:eastAsia="宋体" w:hAnsi="宋体" w:cs="宋体"/>
                <w:sz w:val="16"/>
                <w:szCs w:val="16"/>
              </w:rPr>
            </w:pPr>
            <w:r>
              <w:rPr>
                <w:rFonts w:ascii="宋体" w:eastAsia="宋体" w:hAnsi="宋体" w:cs="宋体"/>
                <w:spacing w:val="-3"/>
                <w:sz w:val="16"/>
                <w:szCs w:val="16"/>
              </w:rPr>
              <w:t>I:1.33</w:t>
            </w:r>
          </w:p>
        </w:tc>
        <w:tc>
          <w:tcPr>
            <w:tcW w:w="1345" w:type="dxa"/>
            <w:tcBorders>
              <w:top w:val="single" w:sz="4" w:space="0" w:color="000000"/>
            </w:tcBorders>
          </w:tcPr>
          <w:p w:rsidR="00EA40A3" w:rsidRDefault="00E86C16">
            <w:pPr>
              <w:spacing w:before="100" w:line="165" w:lineRule="auto"/>
              <w:ind w:left="420"/>
              <w:rPr>
                <w:rFonts w:ascii="宋体" w:eastAsia="宋体" w:hAnsi="宋体" w:cs="宋体"/>
                <w:sz w:val="16"/>
                <w:szCs w:val="16"/>
              </w:rPr>
            </w:pPr>
            <w:r>
              <w:rPr>
                <w:rFonts w:ascii="宋体" w:eastAsia="宋体" w:hAnsi="宋体" w:cs="宋体"/>
                <w:spacing w:val="-2"/>
                <w:sz w:val="16"/>
                <w:szCs w:val="16"/>
              </w:rPr>
              <w:t>0.285</w:t>
            </w:r>
          </w:p>
        </w:tc>
        <w:tc>
          <w:tcPr>
            <w:tcW w:w="940" w:type="dxa"/>
            <w:tcBorders>
              <w:top w:val="single" w:sz="4" w:space="0" w:color="000000"/>
            </w:tcBorders>
          </w:tcPr>
          <w:p w:rsidR="00EA40A3" w:rsidRDefault="00E86C16">
            <w:pPr>
              <w:spacing w:before="110" w:line="133" w:lineRule="exact"/>
              <w:ind w:left="366"/>
              <w:rPr>
                <w:rFonts w:ascii="宋体" w:eastAsia="宋体" w:hAnsi="宋体" w:cs="宋体"/>
                <w:sz w:val="16"/>
                <w:szCs w:val="16"/>
              </w:rPr>
            </w:pPr>
            <w:r>
              <w:rPr>
                <w:rFonts w:ascii="宋体" w:eastAsia="宋体" w:hAnsi="宋体" w:cs="宋体"/>
                <w:spacing w:val="-2"/>
                <w:position w:val="-2"/>
                <w:sz w:val="16"/>
                <w:szCs w:val="16"/>
              </w:rPr>
              <w:t>3.69</w:t>
            </w:r>
          </w:p>
        </w:tc>
        <w:tc>
          <w:tcPr>
            <w:tcW w:w="1395" w:type="dxa"/>
            <w:tcBorders>
              <w:top w:val="single" w:sz="4" w:space="0" w:color="000000"/>
            </w:tcBorders>
          </w:tcPr>
          <w:p w:rsidR="00EA40A3" w:rsidRDefault="00E86C16">
            <w:pPr>
              <w:spacing w:before="100" w:line="165" w:lineRule="auto"/>
              <w:ind w:left="536"/>
              <w:rPr>
                <w:rFonts w:ascii="宋体" w:eastAsia="宋体" w:hAnsi="宋体" w:cs="宋体"/>
                <w:sz w:val="16"/>
                <w:szCs w:val="16"/>
              </w:rPr>
            </w:pPr>
            <w:r>
              <w:rPr>
                <w:rFonts w:ascii="宋体" w:eastAsia="宋体" w:hAnsi="宋体" w:cs="宋体"/>
                <w:spacing w:val="-2"/>
                <w:sz w:val="16"/>
                <w:szCs w:val="16"/>
              </w:rPr>
              <w:t>0.058</w:t>
            </w:r>
          </w:p>
        </w:tc>
        <w:tc>
          <w:tcPr>
            <w:tcW w:w="960" w:type="dxa"/>
            <w:tcBorders>
              <w:top w:val="single" w:sz="4" w:space="0" w:color="000000"/>
            </w:tcBorders>
          </w:tcPr>
          <w:p w:rsidR="00EA40A3" w:rsidRDefault="00E86C16">
            <w:pPr>
              <w:spacing w:before="120" w:line="123" w:lineRule="exact"/>
              <w:ind w:left="220"/>
              <w:rPr>
                <w:rFonts w:ascii="宋体" w:eastAsia="宋体" w:hAnsi="宋体" w:cs="宋体"/>
                <w:sz w:val="16"/>
                <w:szCs w:val="16"/>
              </w:rPr>
            </w:pPr>
            <w:r>
              <w:rPr>
                <w:rFonts w:ascii="宋体" w:eastAsia="宋体" w:hAnsi="宋体" w:cs="宋体"/>
                <w:spacing w:val="-3"/>
                <w:position w:val="-2"/>
                <w:sz w:val="16"/>
                <w:szCs w:val="16"/>
              </w:rPr>
              <w:t>14.71</w:t>
            </w:r>
          </w:p>
        </w:tc>
      </w:tr>
      <w:tr w:rsidR="00EA40A3">
        <w:trPr>
          <w:trHeight w:val="224"/>
        </w:trPr>
        <w:tc>
          <w:tcPr>
            <w:tcW w:w="893" w:type="dxa"/>
          </w:tcPr>
          <w:p w:rsidR="00EA40A3" w:rsidRDefault="00E86C16">
            <w:pPr>
              <w:spacing w:before="45" w:line="206" w:lineRule="auto"/>
              <w:ind w:left="280"/>
              <w:rPr>
                <w:rFonts w:ascii="宋体" w:eastAsia="宋体" w:hAnsi="宋体" w:cs="宋体"/>
                <w:sz w:val="16"/>
                <w:szCs w:val="16"/>
              </w:rPr>
            </w:pPr>
            <w:r>
              <w:rPr>
                <w:rFonts w:ascii="宋体" w:eastAsia="宋体" w:hAnsi="宋体" w:cs="宋体"/>
                <w:spacing w:val="-3"/>
                <w:sz w:val="16"/>
                <w:szCs w:val="16"/>
              </w:rPr>
              <w:t>油条</w:t>
            </w:r>
          </w:p>
        </w:tc>
        <w:tc>
          <w:tcPr>
            <w:tcW w:w="865" w:type="dxa"/>
          </w:tcPr>
          <w:p w:rsidR="00EA40A3" w:rsidRDefault="00E86C16">
            <w:pPr>
              <w:spacing w:before="35" w:line="218" w:lineRule="auto"/>
              <w:ind w:left="257"/>
              <w:rPr>
                <w:rFonts w:ascii="宋体" w:eastAsia="宋体" w:hAnsi="宋体" w:cs="宋体"/>
                <w:sz w:val="16"/>
                <w:szCs w:val="16"/>
              </w:rPr>
            </w:pPr>
            <w:r>
              <w:rPr>
                <w:rFonts w:ascii="宋体" w:eastAsia="宋体" w:hAnsi="宋体" w:cs="宋体"/>
                <w:spacing w:val="-3"/>
                <w:sz w:val="16"/>
                <w:szCs w:val="16"/>
              </w:rPr>
              <w:t>油炸</w:t>
            </w:r>
          </w:p>
        </w:tc>
        <w:tc>
          <w:tcPr>
            <w:tcW w:w="961" w:type="dxa"/>
          </w:tcPr>
          <w:p w:rsidR="00EA40A3" w:rsidRDefault="00E86C16">
            <w:pPr>
              <w:spacing w:before="66" w:line="182" w:lineRule="auto"/>
              <w:ind w:left="242"/>
              <w:rPr>
                <w:rFonts w:ascii="宋体" w:eastAsia="宋体" w:hAnsi="宋体" w:cs="宋体"/>
                <w:sz w:val="16"/>
                <w:szCs w:val="16"/>
              </w:rPr>
            </w:pPr>
            <w:r>
              <w:rPr>
                <w:rFonts w:ascii="宋体" w:eastAsia="宋体" w:hAnsi="宋体" w:cs="宋体"/>
                <w:spacing w:val="-4"/>
                <w:sz w:val="16"/>
                <w:szCs w:val="16"/>
              </w:rPr>
              <w:t>1:1.16</w:t>
            </w:r>
          </w:p>
        </w:tc>
        <w:tc>
          <w:tcPr>
            <w:tcW w:w="1345" w:type="dxa"/>
          </w:tcPr>
          <w:p w:rsidR="00EA40A3" w:rsidRDefault="00E86C16">
            <w:pPr>
              <w:spacing w:before="86" w:line="159" w:lineRule="auto"/>
              <w:ind w:left="381"/>
              <w:rPr>
                <w:rFonts w:ascii="宋体" w:eastAsia="宋体" w:hAnsi="宋体" w:cs="宋体"/>
                <w:sz w:val="16"/>
                <w:szCs w:val="16"/>
              </w:rPr>
            </w:pPr>
            <w:r>
              <w:rPr>
                <w:rFonts w:ascii="宋体" w:eastAsia="宋体" w:hAnsi="宋体" w:cs="宋体"/>
                <w:spacing w:val="-2"/>
                <w:sz w:val="16"/>
                <w:szCs w:val="16"/>
              </w:rPr>
              <w:t>0.10.1</w:t>
            </w:r>
          </w:p>
        </w:tc>
        <w:tc>
          <w:tcPr>
            <w:tcW w:w="940" w:type="dxa"/>
          </w:tcPr>
          <w:p w:rsidR="00EA40A3" w:rsidRDefault="00E86C16">
            <w:pPr>
              <w:spacing w:before="86" w:line="159" w:lineRule="auto"/>
              <w:ind w:left="285"/>
              <w:rPr>
                <w:rFonts w:ascii="宋体" w:eastAsia="宋体" w:hAnsi="宋体" w:cs="宋体"/>
                <w:sz w:val="16"/>
                <w:szCs w:val="16"/>
              </w:rPr>
            </w:pPr>
            <w:r>
              <w:rPr>
                <w:rFonts w:ascii="宋体" w:eastAsia="宋体" w:hAnsi="宋体" w:cs="宋体"/>
                <w:spacing w:val="-2"/>
                <w:sz w:val="16"/>
                <w:szCs w:val="16"/>
              </w:rPr>
              <w:t>61.75</w:t>
            </w:r>
          </w:p>
        </w:tc>
        <w:tc>
          <w:tcPr>
            <w:tcW w:w="1395" w:type="dxa"/>
          </w:tcPr>
          <w:p w:rsidR="00EA40A3" w:rsidRDefault="00E86C16">
            <w:pPr>
              <w:spacing w:before="66" w:line="182" w:lineRule="auto"/>
              <w:ind w:left="615"/>
              <w:rPr>
                <w:rFonts w:ascii="宋体" w:eastAsia="宋体" w:hAnsi="宋体" w:cs="宋体"/>
                <w:sz w:val="16"/>
                <w:szCs w:val="16"/>
              </w:rPr>
            </w:pPr>
            <w:r>
              <w:rPr>
                <w:rFonts w:ascii="宋体" w:eastAsia="宋体" w:hAnsi="宋体" w:cs="宋体"/>
                <w:spacing w:val="-2"/>
                <w:sz w:val="16"/>
                <w:szCs w:val="16"/>
              </w:rPr>
              <w:t>0.21</w:t>
            </w:r>
          </w:p>
        </w:tc>
        <w:tc>
          <w:tcPr>
            <w:tcW w:w="960" w:type="dxa"/>
          </w:tcPr>
          <w:p w:rsidR="00EA40A3" w:rsidRDefault="00E86C16">
            <w:pPr>
              <w:spacing w:before="96" w:line="127" w:lineRule="exact"/>
              <w:ind w:left="220"/>
              <w:rPr>
                <w:rFonts w:ascii="宋体" w:eastAsia="宋体" w:hAnsi="宋体" w:cs="宋体"/>
                <w:sz w:val="16"/>
                <w:szCs w:val="16"/>
              </w:rPr>
            </w:pPr>
            <w:r>
              <w:rPr>
                <w:rFonts w:ascii="宋体" w:eastAsia="宋体" w:hAnsi="宋体" w:cs="宋体"/>
                <w:spacing w:val="-2"/>
                <w:position w:val="-2"/>
                <w:sz w:val="16"/>
                <w:szCs w:val="16"/>
              </w:rPr>
              <w:t>69.12</w:t>
            </w:r>
          </w:p>
        </w:tc>
      </w:tr>
      <w:tr w:rsidR="00EA40A3">
        <w:trPr>
          <w:trHeight w:val="223"/>
        </w:trPr>
        <w:tc>
          <w:tcPr>
            <w:tcW w:w="893" w:type="dxa"/>
          </w:tcPr>
          <w:p w:rsidR="00EA40A3" w:rsidRDefault="00E86C16">
            <w:pPr>
              <w:spacing w:before="32" w:line="220" w:lineRule="auto"/>
              <w:ind w:left="280"/>
              <w:rPr>
                <w:rFonts w:ascii="宋体" w:eastAsia="宋体" w:hAnsi="宋体" w:cs="宋体"/>
                <w:sz w:val="16"/>
                <w:szCs w:val="16"/>
              </w:rPr>
            </w:pPr>
            <w:r>
              <w:rPr>
                <w:rFonts w:ascii="宋体" w:eastAsia="宋体" w:hAnsi="宋体" w:cs="宋体"/>
                <w:spacing w:val="-2"/>
                <w:sz w:val="16"/>
                <w:szCs w:val="16"/>
              </w:rPr>
              <w:t>麻花</w:t>
            </w:r>
          </w:p>
        </w:tc>
        <w:tc>
          <w:tcPr>
            <w:tcW w:w="865" w:type="dxa"/>
          </w:tcPr>
          <w:p w:rsidR="00EA40A3" w:rsidRDefault="00E86C16">
            <w:pPr>
              <w:spacing w:before="31" w:line="219" w:lineRule="auto"/>
              <w:ind w:left="257"/>
              <w:rPr>
                <w:rFonts w:ascii="宋体" w:eastAsia="宋体" w:hAnsi="宋体" w:cs="宋体"/>
                <w:sz w:val="16"/>
                <w:szCs w:val="16"/>
              </w:rPr>
            </w:pPr>
            <w:r>
              <w:rPr>
                <w:rFonts w:ascii="宋体" w:eastAsia="宋体" w:hAnsi="宋体" w:cs="宋体"/>
                <w:spacing w:val="-3"/>
                <w:sz w:val="16"/>
                <w:szCs w:val="16"/>
              </w:rPr>
              <w:t>油炸</w:t>
            </w:r>
          </w:p>
        </w:tc>
        <w:tc>
          <w:tcPr>
            <w:tcW w:w="961" w:type="dxa"/>
          </w:tcPr>
          <w:p w:rsidR="00EA40A3" w:rsidRDefault="00E86C16">
            <w:pPr>
              <w:spacing w:before="72" w:line="174" w:lineRule="auto"/>
              <w:ind w:left="242"/>
              <w:rPr>
                <w:rFonts w:ascii="宋体" w:eastAsia="宋体" w:hAnsi="宋体" w:cs="宋体"/>
                <w:sz w:val="16"/>
                <w:szCs w:val="16"/>
              </w:rPr>
            </w:pPr>
            <w:r>
              <w:rPr>
                <w:rFonts w:ascii="宋体" w:eastAsia="宋体" w:hAnsi="宋体" w:cs="宋体"/>
                <w:spacing w:val="-4"/>
                <w:sz w:val="16"/>
                <w:szCs w:val="16"/>
              </w:rPr>
              <w:t>1:1.27</w:t>
            </w:r>
          </w:p>
        </w:tc>
        <w:tc>
          <w:tcPr>
            <w:tcW w:w="1345" w:type="dxa"/>
          </w:tcPr>
          <w:p w:rsidR="00EA40A3" w:rsidRDefault="00E86C16">
            <w:pPr>
              <w:spacing w:before="73" w:line="173" w:lineRule="auto"/>
              <w:ind w:left="420"/>
              <w:rPr>
                <w:rFonts w:ascii="宋体" w:eastAsia="宋体" w:hAnsi="宋体" w:cs="宋体"/>
                <w:sz w:val="16"/>
                <w:szCs w:val="16"/>
              </w:rPr>
            </w:pPr>
            <w:r>
              <w:rPr>
                <w:rFonts w:ascii="宋体" w:eastAsia="宋体" w:hAnsi="宋体" w:cs="宋体"/>
                <w:spacing w:val="-2"/>
                <w:sz w:val="16"/>
                <w:szCs w:val="16"/>
              </w:rPr>
              <w:t>0.023</w:t>
            </w:r>
          </w:p>
        </w:tc>
        <w:tc>
          <w:tcPr>
            <w:tcW w:w="940" w:type="dxa"/>
          </w:tcPr>
          <w:p w:rsidR="00EA40A3" w:rsidRDefault="00E86C16">
            <w:pPr>
              <w:spacing w:before="92" w:line="131" w:lineRule="exact"/>
              <w:ind w:left="285"/>
              <w:rPr>
                <w:rFonts w:ascii="宋体" w:eastAsia="宋体" w:hAnsi="宋体" w:cs="宋体"/>
                <w:sz w:val="16"/>
                <w:szCs w:val="16"/>
              </w:rPr>
            </w:pPr>
            <w:r>
              <w:rPr>
                <w:rFonts w:ascii="宋体" w:eastAsia="宋体" w:hAnsi="宋体" w:cs="宋体"/>
                <w:spacing w:val="-2"/>
                <w:position w:val="-2"/>
                <w:sz w:val="16"/>
                <w:szCs w:val="16"/>
              </w:rPr>
              <w:t>92.20</w:t>
            </w:r>
          </w:p>
        </w:tc>
        <w:tc>
          <w:tcPr>
            <w:tcW w:w="1395" w:type="dxa"/>
          </w:tcPr>
          <w:p w:rsidR="00EA40A3" w:rsidRDefault="00EA40A3">
            <w:pPr>
              <w:spacing w:line="223" w:lineRule="exact"/>
              <w:rPr>
                <w:sz w:val="19"/>
              </w:rPr>
            </w:pPr>
          </w:p>
        </w:tc>
        <w:tc>
          <w:tcPr>
            <w:tcW w:w="960" w:type="dxa"/>
          </w:tcPr>
          <w:p w:rsidR="00EA40A3" w:rsidRDefault="00EA40A3">
            <w:pPr>
              <w:spacing w:line="223" w:lineRule="exact"/>
              <w:rPr>
                <w:sz w:val="19"/>
              </w:rPr>
            </w:pPr>
          </w:p>
        </w:tc>
      </w:tr>
      <w:tr w:rsidR="00EA40A3">
        <w:trPr>
          <w:trHeight w:val="216"/>
        </w:trPr>
        <w:tc>
          <w:tcPr>
            <w:tcW w:w="893" w:type="dxa"/>
          </w:tcPr>
          <w:p w:rsidR="00EA40A3" w:rsidRDefault="00E86C16">
            <w:pPr>
              <w:spacing w:before="38" w:line="205" w:lineRule="auto"/>
              <w:ind w:left="280"/>
              <w:rPr>
                <w:rFonts w:ascii="宋体" w:eastAsia="宋体" w:hAnsi="宋体" w:cs="宋体"/>
                <w:sz w:val="16"/>
                <w:szCs w:val="16"/>
              </w:rPr>
            </w:pPr>
            <w:r>
              <w:rPr>
                <w:rFonts w:ascii="宋体" w:eastAsia="宋体" w:hAnsi="宋体" w:cs="宋体"/>
                <w:spacing w:val="-2"/>
                <w:sz w:val="16"/>
                <w:szCs w:val="16"/>
              </w:rPr>
              <w:t>面条</w:t>
            </w:r>
          </w:p>
        </w:tc>
        <w:tc>
          <w:tcPr>
            <w:tcW w:w="865" w:type="dxa"/>
          </w:tcPr>
          <w:p w:rsidR="00EA40A3" w:rsidRDefault="00E86C16">
            <w:pPr>
              <w:spacing w:before="28" w:line="216" w:lineRule="auto"/>
              <w:ind w:left="257"/>
              <w:rPr>
                <w:rFonts w:ascii="宋体" w:eastAsia="宋体" w:hAnsi="宋体" w:cs="宋体"/>
                <w:sz w:val="16"/>
                <w:szCs w:val="16"/>
              </w:rPr>
            </w:pPr>
            <w:r>
              <w:rPr>
                <w:rFonts w:ascii="宋体" w:eastAsia="宋体" w:hAnsi="宋体" w:cs="宋体"/>
                <w:spacing w:val="6"/>
                <w:sz w:val="16"/>
                <w:szCs w:val="16"/>
              </w:rPr>
              <w:t>水煮</w:t>
            </w:r>
          </w:p>
        </w:tc>
        <w:tc>
          <w:tcPr>
            <w:tcW w:w="961" w:type="dxa"/>
          </w:tcPr>
          <w:p w:rsidR="00EA40A3" w:rsidRDefault="00E86C16">
            <w:pPr>
              <w:spacing w:before="79" w:line="158" w:lineRule="auto"/>
              <w:ind w:left="242"/>
              <w:rPr>
                <w:rFonts w:ascii="宋体" w:eastAsia="宋体" w:hAnsi="宋体" w:cs="宋体"/>
                <w:sz w:val="16"/>
                <w:szCs w:val="16"/>
              </w:rPr>
            </w:pPr>
            <w:r>
              <w:rPr>
                <w:rFonts w:ascii="宋体" w:eastAsia="宋体" w:hAnsi="宋体" w:cs="宋体"/>
                <w:spacing w:val="-4"/>
                <w:sz w:val="16"/>
                <w:szCs w:val="16"/>
              </w:rPr>
              <w:t>1:2.60</w:t>
            </w:r>
          </w:p>
        </w:tc>
        <w:tc>
          <w:tcPr>
            <w:tcW w:w="1345" w:type="dxa"/>
          </w:tcPr>
          <w:p w:rsidR="00EA40A3" w:rsidRDefault="00E86C16">
            <w:pPr>
              <w:spacing w:before="79" w:line="157" w:lineRule="auto"/>
              <w:ind w:left="420"/>
              <w:rPr>
                <w:rFonts w:ascii="宋体" w:eastAsia="宋体" w:hAnsi="宋体" w:cs="宋体"/>
                <w:sz w:val="16"/>
                <w:szCs w:val="16"/>
              </w:rPr>
            </w:pPr>
            <w:r>
              <w:rPr>
                <w:rFonts w:ascii="宋体" w:eastAsia="宋体" w:hAnsi="宋体" w:cs="宋体"/>
                <w:spacing w:val="-2"/>
                <w:sz w:val="16"/>
                <w:szCs w:val="16"/>
              </w:rPr>
              <w:t>0.237</w:t>
            </w:r>
          </w:p>
        </w:tc>
        <w:tc>
          <w:tcPr>
            <w:tcW w:w="940" w:type="dxa"/>
          </w:tcPr>
          <w:p w:rsidR="00EA40A3" w:rsidRDefault="00E86C16">
            <w:pPr>
              <w:spacing w:before="69" w:line="169" w:lineRule="auto"/>
              <w:ind w:left="285"/>
              <w:rPr>
                <w:rFonts w:ascii="宋体" w:eastAsia="宋体" w:hAnsi="宋体" w:cs="宋体"/>
                <w:sz w:val="16"/>
                <w:szCs w:val="16"/>
              </w:rPr>
            </w:pPr>
            <w:r>
              <w:rPr>
                <w:rFonts w:ascii="宋体" w:eastAsia="宋体" w:hAnsi="宋体" w:cs="宋体"/>
                <w:spacing w:val="-3"/>
                <w:sz w:val="16"/>
                <w:szCs w:val="16"/>
              </w:rPr>
              <w:t>19.60</w:t>
            </w:r>
          </w:p>
        </w:tc>
        <w:tc>
          <w:tcPr>
            <w:tcW w:w="1395" w:type="dxa"/>
          </w:tcPr>
          <w:p w:rsidR="00EA40A3" w:rsidRDefault="00E86C16">
            <w:pPr>
              <w:spacing w:before="79" w:line="157" w:lineRule="auto"/>
              <w:ind w:left="536"/>
              <w:rPr>
                <w:rFonts w:ascii="宋体" w:eastAsia="宋体" w:hAnsi="宋体" w:cs="宋体"/>
                <w:sz w:val="16"/>
                <w:szCs w:val="16"/>
              </w:rPr>
            </w:pPr>
            <w:r>
              <w:rPr>
                <w:rFonts w:ascii="宋体" w:eastAsia="宋体" w:hAnsi="宋体" w:cs="宋体"/>
                <w:spacing w:val="-2"/>
                <w:sz w:val="16"/>
                <w:szCs w:val="16"/>
              </w:rPr>
              <w:t>0.066</w:t>
            </w:r>
          </w:p>
        </w:tc>
        <w:tc>
          <w:tcPr>
            <w:tcW w:w="960" w:type="dxa"/>
          </w:tcPr>
          <w:p w:rsidR="00EA40A3" w:rsidRDefault="00E86C16">
            <w:pPr>
              <w:spacing w:before="79" w:line="157" w:lineRule="auto"/>
              <w:ind w:left="260"/>
              <w:rPr>
                <w:rFonts w:ascii="宋体" w:eastAsia="宋体" w:hAnsi="宋体" w:cs="宋体"/>
                <w:sz w:val="16"/>
                <w:szCs w:val="16"/>
              </w:rPr>
            </w:pPr>
            <w:r>
              <w:rPr>
                <w:rFonts w:ascii="宋体" w:eastAsia="宋体" w:hAnsi="宋体" w:cs="宋体"/>
                <w:spacing w:val="-2"/>
                <w:sz w:val="16"/>
                <w:szCs w:val="16"/>
              </w:rPr>
              <w:t>2.94</w:t>
            </w:r>
          </w:p>
        </w:tc>
      </w:tr>
      <w:tr w:rsidR="00EA40A3">
        <w:trPr>
          <w:trHeight w:val="212"/>
        </w:trPr>
        <w:tc>
          <w:tcPr>
            <w:tcW w:w="893" w:type="dxa"/>
          </w:tcPr>
          <w:p w:rsidR="00EA40A3" w:rsidRDefault="00E86C16">
            <w:pPr>
              <w:spacing w:before="33" w:line="206" w:lineRule="auto"/>
              <w:ind w:left="280"/>
              <w:rPr>
                <w:rFonts w:ascii="宋体" w:eastAsia="宋体" w:hAnsi="宋体" w:cs="宋体"/>
                <w:sz w:val="16"/>
                <w:szCs w:val="16"/>
              </w:rPr>
            </w:pPr>
            <w:r>
              <w:rPr>
                <w:rFonts w:ascii="宋体" w:eastAsia="宋体" w:hAnsi="宋体" w:cs="宋体"/>
                <w:spacing w:val="-2"/>
                <w:sz w:val="16"/>
                <w:szCs w:val="16"/>
              </w:rPr>
              <w:t>面汤</w:t>
            </w:r>
          </w:p>
        </w:tc>
        <w:tc>
          <w:tcPr>
            <w:tcW w:w="865" w:type="dxa"/>
          </w:tcPr>
          <w:p w:rsidR="00EA40A3" w:rsidRDefault="00EA40A3">
            <w:pPr>
              <w:spacing w:line="211" w:lineRule="exact"/>
              <w:rPr>
                <w:sz w:val="18"/>
              </w:rPr>
            </w:pPr>
          </w:p>
        </w:tc>
        <w:tc>
          <w:tcPr>
            <w:tcW w:w="961" w:type="dxa"/>
          </w:tcPr>
          <w:p w:rsidR="00EA40A3" w:rsidRDefault="00E86C16">
            <w:pPr>
              <w:spacing w:before="74" w:line="159" w:lineRule="auto"/>
              <w:ind w:left="282"/>
              <w:rPr>
                <w:rFonts w:ascii="宋体" w:eastAsia="宋体" w:hAnsi="宋体" w:cs="宋体"/>
                <w:sz w:val="16"/>
                <w:szCs w:val="16"/>
              </w:rPr>
            </w:pPr>
            <w:r>
              <w:rPr>
                <w:rFonts w:ascii="宋体" w:eastAsia="宋体" w:hAnsi="宋体" w:cs="宋体"/>
                <w:spacing w:val="-2"/>
                <w:sz w:val="16"/>
                <w:szCs w:val="16"/>
              </w:rPr>
              <w:t>0.034</w:t>
            </w:r>
          </w:p>
        </w:tc>
        <w:tc>
          <w:tcPr>
            <w:tcW w:w="1345" w:type="dxa"/>
          </w:tcPr>
          <w:p w:rsidR="00EA40A3" w:rsidRDefault="00EA40A3">
            <w:pPr>
              <w:spacing w:line="211" w:lineRule="exact"/>
              <w:rPr>
                <w:sz w:val="18"/>
              </w:rPr>
            </w:pPr>
          </w:p>
        </w:tc>
        <w:tc>
          <w:tcPr>
            <w:tcW w:w="940" w:type="dxa"/>
          </w:tcPr>
          <w:p w:rsidR="00EA40A3" w:rsidRDefault="00E86C16">
            <w:pPr>
              <w:spacing w:before="93" w:line="118" w:lineRule="exact"/>
              <w:ind w:left="285"/>
              <w:rPr>
                <w:rFonts w:ascii="宋体" w:eastAsia="宋体" w:hAnsi="宋体" w:cs="宋体"/>
                <w:sz w:val="16"/>
                <w:szCs w:val="16"/>
              </w:rPr>
            </w:pPr>
            <w:r>
              <w:rPr>
                <w:rFonts w:ascii="宋体" w:eastAsia="宋体" w:hAnsi="宋体" w:cs="宋体"/>
                <w:spacing w:val="-2"/>
                <w:position w:val="-2"/>
                <w:sz w:val="16"/>
                <w:szCs w:val="16"/>
              </w:rPr>
              <w:t>0.005</w:t>
            </w:r>
          </w:p>
        </w:tc>
        <w:tc>
          <w:tcPr>
            <w:tcW w:w="1395" w:type="dxa"/>
          </w:tcPr>
          <w:p w:rsidR="00EA40A3" w:rsidRDefault="00EA40A3">
            <w:pPr>
              <w:spacing w:line="211" w:lineRule="exact"/>
              <w:rPr>
                <w:sz w:val="18"/>
              </w:rPr>
            </w:pPr>
          </w:p>
        </w:tc>
        <w:tc>
          <w:tcPr>
            <w:tcW w:w="960" w:type="dxa"/>
          </w:tcPr>
          <w:p w:rsidR="00EA40A3" w:rsidRDefault="00EA40A3">
            <w:pPr>
              <w:spacing w:line="211" w:lineRule="exact"/>
              <w:rPr>
                <w:sz w:val="18"/>
              </w:rPr>
            </w:pPr>
          </w:p>
        </w:tc>
      </w:tr>
      <w:tr w:rsidR="00EA40A3">
        <w:trPr>
          <w:trHeight w:val="199"/>
        </w:trPr>
        <w:tc>
          <w:tcPr>
            <w:tcW w:w="893" w:type="dxa"/>
            <w:tcBorders>
              <w:bottom w:val="single" w:sz="4" w:space="0" w:color="000000"/>
            </w:tcBorders>
          </w:tcPr>
          <w:p w:rsidR="00EA40A3" w:rsidRDefault="00E86C16">
            <w:pPr>
              <w:spacing w:before="20" w:line="206" w:lineRule="auto"/>
              <w:ind w:left="199"/>
              <w:rPr>
                <w:rFonts w:ascii="宋体" w:eastAsia="宋体" w:hAnsi="宋体" w:cs="宋体"/>
                <w:sz w:val="16"/>
                <w:szCs w:val="16"/>
              </w:rPr>
            </w:pPr>
            <w:r>
              <w:rPr>
                <w:rFonts w:ascii="宋体" w:eastAsia="宋体" w:hAnsi="宋体" w:cs="宋体"/>
                <w:spacing w:val="-2"/>
                <w:sz w:val="16"/>
                <w:szCs w:val="16"/>
              </w:rPr>
              <w:t>标准粉</w:t>
            </w:r>
          </w:p>
        </w:tc>
        <w:tc>
          <w:tcPr>
            <w:tcW w:w="865" w:type="dxa"/>
            <w:tcBorders>
              <w:bottom w:val="single" w:sz="4" w:space="0" w:color="000000"/>
            </w:tcBorders>
          </w:tcPr>
          <w:p w:rsidR="00EA40A3" w:rsidRDefault="00EA40A3">
            <w:pPr>
              <w:spacing w:line="198" w:lineRule="exact"/>
              <w:rPr>
                <w:sz w:val="17"/>
              </w:rPr>
            </w:pPr>
          </w:p>
        </w:tc>
        <w:tc>
          <w:tcPr>
            <w:tcW w:w="961" w:type="dxa"/>
            <w:tcBorders>
              <w:bottom w:val="single" w:sz="4" w:space="0" w:color="000000"/>
            </w:tcBorders>
          </w:tcPr>
          <w:p w:rsidR="00EA40A3" w:rsidRDefault="00E86C16">
            <w:pPr>
              <w:spacing w:before="91" w:line="107" w:lineRule="exact"/>
              <w:ind w:left="282"/>
              <w:rPr>
                <w:rFonts w:ascii="宋体" w:eastAsia="宋体" w:hAnsi="宋体" w:cs="宋体"/>
                <w:sz w:val="15"/>
                <w:szCs w:val="15"/>
              </w:rPr>
            </w:pPr>
            <w:r>
              <w:rPr>
                <w:rFonts w:ascii="宋体" w:eastAsia="宋体" w:hAnsi="宋体" w:cs="宋体"/>
                <w:spacing w:val="3"/>
                <w:position w:val="-2"/>
                <w:sz w:val="15"/>
                <w:szCs w:val="15"/>
              </w:rPr>
              <w:t>0.295</w:t>
            </w:r>
          </w:p>
        </w:tc>
        <w:tc>
          <w:tcPr>
            <w:tcW w:w="1345" w:type="dxa"/>
            <w:tcBorders>
              <w:bottom w:val="single" w:sz="4" w:space="0" w:color="000000"/>
            </w:tcBorders>
          </w:tcPr>
          <w:p w:rsidR="00EA40A3" w:rsidRDefault="00EA40A3">
            <w:pPr>
              <w:spacing w:line="198" w:lineRule="exact"/>
              <w:rPr>
                <w:sz w:val="17"/>
              </w:rPr>
            </w:pPr>
          </w:p>
        </w:tc>
        <w:tc>
          <w:tcPr>
            <w:tcW w:w="940" w:type="dxa"/>
            <w:tcBorders>
              <w:bottom w:val="single" w:sz="4" w:space="0" w:color="000000"/>
            </w:tcBorders>
          </w:tcPr>
          <w:p w:rsidR="00EA40A3" w:rsidRDefault="00E86C16">
            <w:pPr>
              <w:spacing w:before="81" w:line="117" w:lineRule="exact"/>
              <w:ind w:left="285"/>
              <w:rPr>
                <w:rFonts w:ascii="宋体" w:eastAsia="宋体" w:hAnsi="宋体" w:cs="宋体"/>
                <w:sz w:val="16"/>
                <w:szCs w:val="16"/>
              </w:rPr>
            </w:pPr>
            <w:r>
              <w:rPr>
                <w:rFonts w:ascii="宋体" w:eastAsia="宋体" w:hAnsi="宋体" w:cs="宋体"/>
                <w:spacing w:val="-2"/>
                <w:position w:val="-2"/>
                <w:sz w:val="16"/>
                <w:szCs w:val="16"/>
              </w:rPr>
              <w:t>0.068</w:t>
            </w:r>
          </w:p>
        </w:tc>
        <w:tc>
          <w:tcPr>
            <w:tcW w:w="1395" w:type="dxa"/>
            <w:tcBorders>
              <w:bottom w:val="single" w:sz="4" w:space="0" w:color="000000"/>
            </w:tcBorders>
          </w:tcPr>
          <w:p w:rsidR="00EA40A3" w:rsidRDefault="00EA40A3">
            <w:pPr>
              <w:spacing w:line="198" w:lineRule="exact"/>
              <w:rPr>
                <w:sz w:val="17"/>
              </w:rPr>
            </w:pPr>
          </w:p>
        </w:tc>
        <w:tc>
          <w:tcPr>
            <w:tcW w:w="960" w:type="dxa"/>
            <w:tcBorders>
              <w:bottom w:val="single" w:sz="4" w:space="0" w:color="000000"/>
            </w:tcBorders>
          </w:tcPr>
          <w:p w:rsidR="00EA40A3" w:rsidRDefault="00EA40A3">
            <w:pPr>
              <w:spacing w:line="198" w:lineRule="exact"/>
              <w:rPr>
                <w:sz w:val="17"/>
              </w:rPr>
            </w:pPr>
          </w:p>
        </w:tc>
      </w:tr>
    </w:tbl>
    <w:p w:rsidR="00EA40A3" w:rsidRDefault="00E86C16">
      <w:pPr>
        <w:spacing w:before="100" w:line="265" w:lineRule="auto"/>
        <w:ind w:left="359" w:right="1002" w:hanging="10"/>
        <w:rPr>
          <w:rFonts w:ascii="宋体" w:eastAsia="宋体" w:hAnsi="宋体" w:cs="宋体"/>
          <w:sz w:val="14"/>
          <w:szCs w:val="14"/>
        </w:rPr>
      </w:pPr>
      <w:r>
        <w:rPr>
          <w:rFonts w:ascii="宋体" w:eastAsia="宋体" w:hAnsi="宋体" w:cs="宋体"/>
          <w:sz w:val="16"/>
          <w:szCs w:val="16"/>
        </w:rPr>
        <w:t>数据来源：郝丽萍，何艳，姜泽春等.2000.面食烹调对维生素B族的影</w:t>
      </w:r>
      <w:r>
        <w:rPr>
          <w:rFonts w:ascii="宋体" w:eastAsia="宋体" w:hAnsi="宋体" w:cs="宋体"/>
          <w:spacing w:val="-1"/>
          <w:sz w:val="16"/>
          <w:szCs w:val="16"/>
        </w:rPr>
        <w:t>响.华中医学杂志</w:t>
      </w:r>
      <w:r>
        <w:rPr>
          <w:rFonts w:ascii="宋体" w:eastAsia="宋体" w:hAnsi="宋体" w:cs="宋体"/>
          <w:sz w:val="16"/>
          <w:szCs w:val="16"/>
        </w:rPr>
        <w:t xml:space="preserve"> </w:t>
      </w:r>
      <w:r>
        <w:rPr>
          <w:rFonts w:ascii="宋体" w:eastAsia="宋体" w:hAnsi="宋体" w:cs="宋体"/>
          <w:spacing w:val="-3"/>
          <w:sz w:val="14"/>
          <w:szCs w:val="14"/>
        </w:rPr>
        <w:t>(24):118~119</w:t>
      </w:r>
    </w:p>
    <w:p w:rsidR="00EA40A3" w:rsidRDefault="00EA40A3">
      <w:pPr>
        <w:sectPr w:rsidR="00EA40A3">
          <w:footerReference w:type="default" r:id="rId209"/>
          <w:pgSz w:w="9220" w:h="13360"/>
          <w:pgMar w:top="400" w:right="925" w:bottom="1150" w:left="870" w:header="0" w:footer="968" w:gutter="0"/>
          <w:cols w:space="720"/>
        </w:sectPr>
      </w:pPr>
    </w:p>
    <w:p w:rsidR="00EA40A3" w:rsidRDefault="00EA40A3">
      <w:pPr>
        <w:spacing w:line="334" w:lineRule="auto"/>
      </w:pPr>
    </w:p>
    <w:p w:rsidR="00EA40A3" w:rsidRDefault="00EA40A3">
      <w:pPr>
        <w:spacing w:line="334" w:lineRule="auto"/>
      </w:pPr>
    </w:p>
    <w:p w:rsidR="00EA40A3" w:rsidRDefault="00E86C16">
      <w:pPr>
        <w:spacing w:before="55" w:line="220" w:lineRule="auto"/>
        <w:rPr>
          <w:rFonts w:ascii="宋体" w:eastAsia="宋体" w:hAnsi="宋体" w:cs="宋体"/>
          <w:sz w:val="17"/>
          <w:szCs w:val="17"/>
        </w:rPr>
      </w:pPr>
      <w:bookmarkStart w:id="63" w:name="_bookmark67"/>
      <w:bookmarkEnd w:id="63"/>
      <w:r>
        <w:rPr>
          <w:rFonts w:ascii="宋体" w:eastAsia="宋体" w:hAnsi="宋体" w:cs="宋体"/>
          <w:spacing w:val="-7"/>
          <w:sz w:val="17"/>
          <w:szCs w:val="17"/>
        </w:rPr>
        <w:t>7</w:t>
      </w:r>
      <w:r>
        <w:rPr>
          <w:rFonts w:ascii="宋体" w:eastAsia="宋体" w:hAnsi="宋体" w:cs="宋体"/>
          <w:spacing w:val="9"/>
          <w:sz w:val="17"/>
          <w:szCs w:val="17"/>
        </w:rPr>
        <w:t xml:space="preserve"> </w:t>
      </w:r>
      <w:r>
        <w:rPr>
          <w:rFonts w:ascii="宋体" w:eastAsia="宋体" w:hAnsi="宋体" w:cs="宋体"/>
          <w:spacing w:val="-7"/>
          <w:sz w:val="17"/>
          <w:szCs w:val="17"/>
        </w:rPr>
        <w:t>)</w:t>
      </w:r>
      <w:r>
        <w:rPr>
          <w:rFonts w:ascii="宋体" w:eastAsia="宋体" w:hAnsi="宋体" w:cs="宋体"/>
          <w:spacing w:val="7"/>
          <w:sz w:val="17"/>
          <w:szCs w:val="17"/>
        </w:rPr>
        <w:t xml:space="preserve"> </w:t>
      </w:r>
      <w:r>
        <w:rPr>
          <w:rFonts w:ascii="宋体" w:eastAsia="宋体" w:hAnsi="宋体" w:cs="宋体"/>
          <w:spacing w:val="-7"/>
          <w:sz w:val="17"/>
          <w:szCs w:val="17"/>
        </w:rPr>
        <w:t>熘</w:t>
      </w:r>
    </w:p>
    <w:p w:rsidR="00EA40A3" w:rsidRDefault="00E86C16">
      <w:pPr>
        <w:spacing w:before="58" w:line="250" w:lineRule="auto"/>
        <w:ind w:right="28" w:firstLine="419"/>
        <w:rPr>
          <w:rFonts w:ascii="宋体" w:eastAsia="宋体" w:hAnsi="宋体" w:cs="宋体"/>
        </w:rPr>
      </w:pPr>
      <w:r>
        <w:rPr>
          <w:rFonts w:ascii="宋体" w:eastAsia="宋体" w:hAnsi="宋体" w:cs="宋体"/>
          <w:spacing w:val="-8"/>
        </w:rPr>
        <w:t>熘法有多种，</w:t>
      </w:r>
      <w:r>
        <w:rPr>
          <w:rFonts w:ascii="宋体" w:eastAsia="宋体" w:hAnsi="宋体" w:cs="宋体"/>
          <w:spacing w:val="55"/>
        </w:rPr>
        <w:t xml:space="preserve"> </w:t>
      </w:r>
      <w:r>
        <w:rPr>
          <w:rFonts w:ascii="宋体" w:eastAsia="宋体" w:hAnsi="宋体" w:cs="宋体"/>
          <w:spacing w:val="-8"/>
        </w:rPr>
        <w:t>一般主料都先炸过或划油、蒸、煮等，使</w:t>
      </w:r>
      <w:r>
        <w:rPr>
          <w:rFonts w:ascii="宋体" w:eastAsia="宋体" w:hAnsi="宋体" w:cs="宋体"/>
          <w:spacing w:val="-9"/>
        </w:rPr>
        <w:t>之成熟。后期熘的过</w:t>
      </w:r>
      <w:r>
        <w:rPr>
          <w:rFonts w:ascii="宋体" w:eastAsia="宋体" w:hAnsi="宋体" w:cs="宋体"/>
        </w:rPr>
        <w:t xml:space="preserve"> </w:t>
      </w:r>
      <w:r>
        <w:rPr>
          <w:rFonts w:ascii="宋体" w:eastAsia="宋体" w:hAnsi="宋体" w:cs="宋体"/>
          <w:spacing w:val="-6"/>
        </w:rPr>
        <w:t>程很短，因此熘法对原料的影响主要取决于前</w:t>
      </w:r>
      <w:r>
        <w:rPr>
          <w:rFonts w:ascii="宋体" w:eastAsia="宋体" w:hAnsi="宋体" w:cs="宋体"/>
          <w:spacing w:val="-7"/>
        </w:rPr>
        <w:t>期的加工方法，</w:t>
      </w:r>
    </w:p>
    <w:p w:rsidR="00EA40A3" w:rsidRDefault="00E86C16">
      <w:pPr>
        <w:spacing w:before="41" w:line="255" w:lineRule="auto"/>
        <w:ind w:right="23" w:firstLine="419"/>
        <w:rPr>
          <w:rFonts w:ascii="宋体" w:eastAsia="宋体" w:hAnsi="宋体" w:cs="宋体"/>
        </w:rPr>
      </w:pPr>
      <w:r>
        <w:rPr>
          <w:rFonts w:ascii="宋体" w:eastAsia="宋体" w:hAnsi="宋体" w:cs="宋体"/>
          <w:spacing w:val="-3"/>
        </w:rPr>
        <w:t>虽然熘所用温度较高，但是由于操作速度快，所以营养</w:t>
      </w:r>
      <w:r>
        <w:rPr>
          <w:rFonts w:ascii="宋体" w:eastAsia="宋体" w:hAnsi="宋体" w:cs="宋体"/>
          <w:spacing w:val="-4"/>
        </w:rPr>
        <w:t>素的损失不大。如果</w:t>
      </w:r>
      <w:r>
        <w:rPr>
          <w:rFonts w:ascii="宋体" w:eastAsia="宋体" w:hAnsi="宋体" w:cs="宋体"/>
        </w:rPr>
        <w:t xml:space="preserve"> </w:t>
      </w:r>
      <w:r>
        <w:rPr>
          <w:rFonts w:ascii="宋体" w:eastAsia="宋体" w:hAnsi="宋体" w:cs="宋体"/>
          <w:spacing w:val="-3"/>
        </w:rPr>
        <w:t>食物外面挂糊，使原料所含的汁液不外流，不仅可以减少维生素等营</w:t>
      </w:r>
      <w:r>
        <w:rPr>
          <w:rFonts w:ascii="宋体" w:eastAsia="宋体" w:hAnsi="宋体" w:cs="宋体"/>
          <w:spacing w:val="-4"/>
        </w:rPr>
        <w:t>养损失，而</w:t>
      </w:r>
      <w:r>
        <w:rPr>
          <w:rFonts w:ascii="宋体" w:eastAsia="宋体" w:hAnsi="宋体" w:cs="宋体"/>
        </w:rPr>
        <w:t xml:space="preserve"> </w:t>
      </w:r>
      <w:r>
        <w:rPr>
          <w:rFonts w:ascii="宋体" w:eastAsia="宋体" w:hAnsi="宋体" w:cs="宋体"/>
          <w:spacing w:val="-10"/>
        </w:rPr>
        <w:t>且可以增加风味。</w:t>
      </w:r>
    </w:p>
    <w:p w:rsidR="00EA40A3" w:rsidRDefault="00E86C16">
      <w:pPr>
        <w:spacing w:before="51" w:line="221" w:lineRule="auto"/>
        <w:rPr>
          <w:rFonts w:ascii="宋体" w:eastAsia="宋体" w:hAnsi="宋体" w:cs="宋体"/>
        </w:rPr>
      </w:pPr>
      <w:r>
        <w:rPr>
          <w:rFonts w:ascii="宋体" w:eastAsia="宋体" w:hAnsi="宋体" w:cs="宋体"/>
          <w:spacing w:val="26"/>
        </w:rPr>
        <w:t>8)煎</w:t>
      </w:r>
    </w:p>
    <w:p w:rsidR="00EA40A3" w:rsidRDefault="00E86C16">
      <w:pPr>
        <w:spacing w:before="55" w:line="255" w:lineRule="auto"/>
        <w:ind w:firstLine="419"/>
        <w:jc w:val="both"/>
        <w:rPr>
          <w:rFonts w:ascii="宋体" w:eastAsia="宋体" w:hAnsi="宋体" w:cs="宋体"/>
        </w:rPr>
      </w:pPr>
      <w:r>
        <w:rPr>
          <w:rFonts w:ascii="宋体" w:eastAsia="宋体" w:hAnsi="宋体" w:cs="宋体"/>
          <w:spacing w:val="-3"/>
        </w:rPr>
        <w:t>与炸法相比，煎法所不同的主要是用油较少，</w:t>
      </w:r>
      <w:r>
        <w:rPr>
          <w:rFonts w:ascii="宋体" w:eastAsia="宋体" w:hAnsi="宋体" w:cs="宋体"/>
          <w:spacing w:val="-4"/>
        </w:rPr>
        <w:t>油温较低，同时还可以淋少许</w:t>
      </w:r>
      <w:r>
        <w:rPr>
          <w:rFonts w:ascii="宋体" w:eastAsia="宋体" w:hAnsi="宋体" w:cs="宋体"/>
        </w:rPr>
        <w:t xml:space="preserve"> </w:t>
      </w:r>
      <w:r>
        <w:rPr>
          <w:rFonts w:ascii="宋体" w:eastAsia="宋体" w:hAnsi="宋体" w:cs="宋体"/>
          <w:spacing w:val="-2"/>
        </w:rPr>
        <w:t>水。但煎时原料直接与锅底接触，并且加热时间</w:t>
      </w:r>
      <w:r>
        <w:rPr>
          <w:rFonts w:ascii="宋体" w:eastAsia="宋体" w:hAnsi="宋体" w:cs="宋体"/>
          <w:spacing w:val="-3"/>
        </w:rPr>
        <w:t>较长，所以煎法容易使原料中的</w:t>
      </w:r>
      <w:r>
        <w:rPr>
          <w:rFonts w:ascii="宋体" w:eastAsia="宋体" w:hAnsi="宋体" w:cs="宋体"/>
        </w:rPr>
        <w:t xml:space="preserve"> </w:t>
      </w:r>
      <w:r>
        <w:rPr>
          <w:rFonts w:ascii="宋体" w:eastAsia="宋体" w:hAnsi="宋体" w:cs="宋体"/>
          <w:spacing w:val="-3"/>
        </w:rPr>
        <w:t>营养素损失较多，如果煎焦更会使蛋白质、脂肪严重损失，产生杂环胺和</w:t>
      </w:r>
      <w:r>
        <w:rPr>
          <w:rFonts w:ascii="宋体" w:eastAsia="宋体" w:hAnsi="宋体" w:cs="宋体"/>
          <w:spacing w:val="-4"/>
        </w:rPr>
        <w:t>脂肪热</w:t>
      </w:r>
      <w:r>
        <w:rPr>
          <w:rFonts w:ascii="宋体" w:eastAsia="宋体" w:hAnsi="宋体" w:cs="宋体"/>
        </w:rPr>
        <w:t xml:space="preserve"> </w:t>
      </w:r>
      <w:r>
        <w:rPr>
          <w:rFonts w:ascii="宋体" w:eastAsia="宋体" w:hAnsi="宋体" w:cs="宋体"/>
          <w:spacing w:val="-4"/>
        </w:rPr>
        <w:t>氧化产物，甚至苯并芘类致癌物。可多采用挂糊和拍粉煎的方法，减少维生素的</w:t>
      </w:r>
      <w:r>
        <w:rPr>
          <w:rFonts w:ascii="宋体" w:eastAsia="宋体" w:hAnsi="宋体" w:cs="宋体"/>
          <w:spacing w:val="15"/>
        </w:rPr>
        <w:t xml:space="preserve"> </w:t>
      </w:r>
      <w:r>
        <w:rPr>
          <w:rFonts w:ascii="宋体" w:eastAsia="宋体" w:hAnsi="宋体" w:cs="宋体"/>
          <w:spacing w:val="-6"/>
        </w:rPr>
        <w:t>损失，并使其他营养素也无严重损失。</w:t>
      </w:r>
    </w:p>
    <w:p w:rsidR="00EA40A3" w:rsidRDefault="00E86C16">
      <w:pPr>
        <w:spacing w:before="101" w:line="229" w:lineRule="auto"/>
        <w:rPr>
          <w:rFonts w:ascii="楷体" w:eastAsia="楷体" w:hAnsi="楷体" w:cs="楷体"/>
          <w:sz w:val="17"/>
          <w:szCs w:val="17"/>
        </w:rPr>
      </w:pPr>
      <w:r>
        <w:rPr>
          <w:rFonts w:ascii="楷体" w:eastAsia="楷体" w:hAnsi="楷体" w:cs="楷体"/>
          <w:spacing w:val="-8"/>
          <w:sz w:val="17"/>
          <w:szCs w:val="17"/>
        </w:rPr>
        <w:t>9</w:t>
      </w:r>
      <w:r>
        <w:rPr>
          <w:rFonts w:ascii="楷体" w:eastAsia="楷体" w:hAnsi="楷体" w:cs="楷体"/>
          <w:spacing w:val="-31"/>
          <w:sz w:val="17"/>
          <w:szCs w:val="17"/>
        </w:rPr>
        <w:t xml:space="preserve"> </w:t>
      </w:r>
      <w:r>
        <w:rPr>
          <w:rFonts w:ascii="楷体" w:eastAsia="楷体" w:hAnsi="楷体" w:cs="楷体"/>
          <w:spacing w:val="-8"/>
          <w:sz w:val="17"/>
          <w:szCs w:val="17"/>
        </w:rPr>
        <w:t>)</w:t>
      </w:r>
      <w:r>
        <w:rPr>
          <w:rFonts w:ascii="楷体" w:eastAsia="楷体" w:hAnsi="楷体" w:cs="楷体"/>
          <w:spacing w:val="-38"/>
          <w:sz w:val="17"/>
          <w:szCs w:val="17"/>
        </w:rPr>
        <w:t xml:space="preserve"> </w:t>
      </w:r>
      <w:r>
        <w:rPr>
          <w:rFonts w:ascii="楷体" w:eastAsia="楷体" w:hAnsi="楷体" w:cs="楷体"/>
          <w:spacing w:val="-8"/>
          <w:sz w:val="17"/>
          <w:szCs w:val="17"/>
        </w:rPr>
        <w:t>煨</w:t>
      </w:r>
      <w:r>
        <w:rPr>
          <w:rFonts w:ascii="楷体" w:eastAsia="楷体" w:hAnsi="楷体" w:cs="楷体"/>
          <w:spacing w:val="-19"/>
          <w:sz w:val="17"/>
          <w:szCs w:val="17"/>
        </w:rPr>
        <w:t xml:space="preserve"> </w:t>
      </w:r>
      <w:r>
        <w:rPr>
          <w:rFonts w:ascii="楷体" w:eastAsia="楷体" w:hAnsi="楷体" w:cs="楷体"/>
          <w:spacing w:val="-8"/>
          <w:sz w:val="17"/>
          <w:szCs w:val="17"/>
        </w:rPr>
        <w:t>、</w:t>
      </w:r>
      <w:r>
        <w:rPr>
          <w:rFonts w:ascii="楷体" w:eastAsia="楷体" w:hAnsi="楷体" w:cs="楷体"/>
          <w:spacing w:val="-30"/>
          <w:sz w:val="17"/>
          <w:szCs w:val="17"/>
        </w:rPr>
        <w:t xml:space="preserve"> </w:t>
      </w:r>
      <w:r>
        <w:rPr>
          <w:rFonts w:ascii="楷体" w:eastAsia="楷体" w:hAnsi="楷体" w:cs="楷体"/>
          <w:spacing w:val="-8"/>
          <w:sz w:val="17"/>
          <w:szCs w:val="17"/>
        </w:rPr>
        <w:t>烧</w:t>
      </w:r>
      <w:r>
        <w:rPr>
          <w:rFonts w:ascii="楷体" w:eastAsia="楷体" w:hAnsi="楷体" w:cs="楷体"/>
          <w:spacing w:val="-19"/>
          <w:sz w:val="17"/>
          <w:szCs w:val="17"/>
        </w:rPr>
        <w:t xml:space="preserve"> </w:t>
      </w:r>
      <w:r>
        <w:rPr>
          <w:rFonts w:ascii="楷体" w:eastAsia="楷体" w:hAnsi="楷体" w:cs="楷体"/>
          <w:spacing w:val="-8"/>
          <w:sz w:val="17"/>
          <w:szCs w:val="17"/>
        </w:rPr>
        <w:t>、</w:t>
      </w:r>
      <w:r>
        <w:rPr>
          <w:rFonts w:ascii="楷体" w:eastAsia="楷体" w:hAnsi="楷体" w:cs="楷体"/>
          <w:spacing w:val="-36"/>
          <w:sz w:val="17"/>
          <w:szCs w:val="17"/>
        </w:rPr>
        <w:t xml:space="preserve"> </w:t>
      </w:r>
      <w:r>
        <w:rPr>
          <w:rFonts w:ascii="楷体" w:eastAsia="楷体" w:hAnsi="楷体" w:cs="楷体"/>
          <w:spacing w:val="-8"/>
          <w:sz w:val="17"/>
          <w:szCs w:val="17"/>
        </w:rPr>
        <w:t>焖</w:t>
      </w:r>
    </w:p>
    <w:p w:rsidR="00EA40A3" w:rsidRDefault="00E86C16">
      <w:pPr>
        <w:spacing w:before="67" w:line="253" w:lineRule="auto"/>
        <w:ind w:right="6" w:firstLine="419"/>
        <w:rPr>
          <w:rFonts w:ascii="宋体" w:eastAsia="宋体" w:hAnsi="宋体" w:cs="宋体"/>
        </w:rPr>
      </w:pPr>
      <w:r>
        <w:rPr>
          <w:rFonts w:ascii="宋体" w:eastAsia="宋体" w:hAnsi="宋体" w:cs="宋体"/>
          <w:spacing w:val="4"/>
        </w:rPr>
        <w:t>这几种方法的主料虽先经过炸、煎、煮、煽炒等处理</w:t>
      </w:r>
      <w:r>
        <w:rPr>
          <w:rFonts w:ascii="宋体" w:eastAsia="宋体" w:hAnsi="宋体" w:cs="宋体"/>
          <w:spacing w:val="3"/>
        </w:rPr>
        <w:t>，但一般这个过程较</w:t>
      </w:r>
      <w:r>
        <w:rPr>
          <w:rFonts w:ascii="宋体" w:eastAsia="宋体" w:hAnsi="宋体" w:cs="宋体"/>
        </w:rPr>
        <w:t xml:space="preserve"> </w:t>
      </w:r>
      <w:r>
        <w:rPr>
          <w:rFonts w:ascii="宋体" w:eastAsia="宋体" w:hAnsi="宋体" w:cs="宋体"/>
          <w:spacing w:val="-3"/>
        </w:rPr>
        <w:t>短，主料块又较大，因此前期处理对原料营养素影响不大，主要</w:t>
      </w:r>
      <w:r>
        <w:rPr>
          <w:rFonts w:ascii="宋体" w:eastAsia="宋体" w:hAnsi="宋体" w:cs="宋体"/>
          <w:spacing w:val="-4"/>
        </w:rPr>
        <w:t>的是靠后期小火</w:t>
      </w:r>
      <w:r>
        <w:rPr>
          <w:rFonts w:ascii="宋体" w:eastAsia="宋体" w:hAnsi="宋体" w:cs="宋体"/>
        </w:rPr>
        <w:t xml:space="preserve"> </w:t>
      </w:r>
      <w:r>
        <w:rPr>
          <w:rFonts w:ascii="宋体" w:eastAsia="宋体" w:hAnsi="宋体" w:cs="宋体"/>
          <w:spacing w:val="-3"/>
        </w:rPr>
        <w:t>较长时间的加热使原料熟透。这个过程中，维生素损失较多，同时有较多的营养</w:t>
      </w:r>
      <w:r>
        <w:rPr>
          <w:rFonts w:ascii="宋体" w:eastAsia="宋体" w:hAnsi="宋体" w:cs="宋体"/>
          <w:spacing w:val="13"/>
        </w:rPr>
        <w:t xml:space="preserve"> </w:t>
      </w:r>
      <w:r>
        <w:rPr>
          <w:rFonts w:ascii="宋体" w:eastAsia="宋体" w:hAnsi="宋体" w:cs="宋体"/>
          <w:spacing w:val="-5"/>
        </w:rPr>
        <w:t>成分溶解于浓稠的汤汁中，有利于消化吸收。</w:t>
      </w:r>
    </w:p>
    <w:p w:rsidR="00EA40A3" w:rsidRDefault="00E86C16">
      <w:pPr>
        <w:spacing w:before="69" w:line="248" w:lineRule="auto"/>
        <w:ind w:right="21" w:firstLine="419"/>
        <w:rPr>
          <w:rFonts w:ascii="宋体" w:eastAsia="宋体" w:hAnsi="宋体" w:cs="宋体"/>
        </w:rPr>
      </w:pPr>
      <w:r>
        <w:rPr>
          <w:rFonts w:ascii="宋体" w:eastAsia="宋体" w:hAnsi="宋体" w:cs="宋体"/>
          <w:spacing w:val="1"/>
        </w:rPr>
        <w:t>红烧因受高温时间长，对肉类中维生素的破坏较</w:t>
      </w:r>
      <w:r>
        <w:rPr>
          <w:rFonts w:ascii="宋体" w:eastAsia="宋体" w:hAnsi="宋体" w:cs="宋体"/>
        </w:rPr>
        <w:t>严重，如维生素B</w:t>
      </w:r>
      <w:r>
        <w:rPr>
          <w:rFonts w:ascii="Calibri" w:eastAsia="Calibri" w:hAnsi="Calibri" w:cs="Calibri"/>
        </w:rPr>
        <w:t>₁</w:t>
      </w:r>
      <w:r>
        <w:rPr>
          <w:rFonts w:ascii="Calibri" w:eastAsia="Calibri" w:hAnsi="Calibri" w:cs="Calibri"/>
          <w:spacing w:val="20"/>
          <w:w w:val="101"/>
        </w:rPr>
        <w:t xml:space="preserve">  </w:t>
      </w:r>
      <w:r>
        <w:rPr>
          <w:rFonts w:ascii="宋体" w:eastAsia="宋体" w:hAnsi="宋体" w:cs="宋体"/>
        </w:rPr>
        <w:t xml:space="preserve">的损失 </w:t>
      </w:r>
      <w:r>
        <w:rPr>
          <w:rFonts w:ascii="宋体" w:eastAsia="宋体" w:hAnsi="宋体" w:cs="宋体"/>
          <w:spacing w:val="18"/>
        </w:rPr>
        <w:t>率60%,尼克酸的损失率为71%。</w:t>
      </w:r>
    </w:p>
    <w:p w:rsidR="00EA40A3" w:rsidRDefault="00E86C16">
      <w:pPr>
        <w:spacing w:before="66" w:line="253" w:lineRule="auto"/>
        <w:ind w:right="5" w:firstLine="419"/>
        <w:rPr>
          <w:rFonts w:ascii="宋体" w:eastAsia="宋体" w:hAnsi="宋体" w:cs="宋体"/>
        </w:rPr>
      </w:pPr>
      <w:r>
        <w:rPr>
          <w:rFonts w:ascii="宋体" w:eastAsia="宋体" w:hAnsi="宋体" w:cs="宋体"/>
          <w:spacing w:val="-3"/>
        </w:rPr>
        <w:t>采用焖煮时，先要将主料经过炸或煎后，放入辅料等小火焖煮，蛋白质、脂</w:t>
      </w:r>
      <w:r>
        <w:rPr>
          <w:rFonts w:ascii="宋体" w:eastAsia="宋体" w:hAnsi="宋体" w:cs="宋体"/>
          <w:spacing w:val="8"/>
        </w:rPr>
        <w:t xml:space="preserve"> </w:t>
      </w:r>
      <w:r>
        <w:rPr>
          <w:rFonts w:ascii="宋体" w:eastAsia="宋体" w:hAnsi="宋体" w:cs="宋体"/>
        </w:rPr>
        <w:t>肪、维生素等营养有不同程度的损失，如不耐热的水溶性B</w:t>
      </w:r>
      <w:r>
        <w:rPr>
          <w:rFonts w:ascii="宋体" w:eastAsia="宋体" w:hAnsi="宋体" w:cs="宋体"/>
          <w:spacing w:val="-27"/>
        </w:rPr>
        <w:t xml:space="preserve"> </w:t>
      </w:r>
      <w:r>
        <w:rPr>
          <w:rFonts w:ascii="宋体" w:eastAsia="宋体" w:hAnsi="宋体" w:cs="宋体"/>
        </w:rPr>
        <w:t xml:space="preserve">族维生素、维生素C </w:t>
      </w:r>
      <w:r>
        <w:rPr>
          <w:rFonts w:ascii="宋体" w:eastAsia="宋体" w:hAnsi="宋体" w:cs="宋体"/>
          <w:spacing w:val="-3"/>
        </w:rPr>
        <w:t>会有所损失。虽然焖的时间长短会影响维生素的含量，但是，食物经煮以后，消</w:t>
      </w:r>
      <w:r>
        <w:rPr>
          <w:rFonts w:ascii="宋体" w:eastAsia="宋体" w:hAnsi="宋体" w:cs="宋体"/>
          <w:spacing w:val="4"/>
        </w:rPr>
        <w:t xml:space="preserve"> </w:t>
      </w:r>
      <w:r>
        <w:rPr>
          <w:rFonts w:ascii="宋体" w:eastAsia="宋体" w:hAnsi="宋体" w:cs="宋体"/>
          <w:spacing w:val="-10"/>
        </w:rPr>
        <w:t>化率有所增加。</w:t>
      </w:r>
    </w:p>
    <w:p w:rsidR="00EA40A3" w:rsidRDefault="00E86C16">
      <w:pPr>
        <w:spacing w:before="61" w:line="219" w:lineRule="auto"/>
        <w:rPr>
          <w:rFonts w:ascii="宋体" w:eastAsia="宋体" w:hAnsi="宋体" w:cs="宋体"/>
        </w:rPr>
      </w:pPr>
      <w:r>
        <w:rPr>
          <w:rFonts w:ascii="宋体" w:eastAsia="宋体" w:hAnsi="宋体" w:cs="宋体"/>
          <w:spacing w:val="13"/>
        </w:rPr>
        <w:t>10)烤</w:t>
      </w:r>
    </w:p>
    <w:p w:rsidR="00EA40A3" w:rsidRDefault="00E86C16">
      <w:pPr>
        <w:spacing w:before="68" w:line="253" w:lineRule="auto"/>
        <w:ind w:right="7" w:firstLine="419"/>
        <w:rPr>
          <w:rFonts w:ascii="宋体" w:eastAsia="宋体" w:hAnsi="宋体" w:cs="宋体"/>
        </w:rPr>
      </w:pPr>
      <w:r>
        <w:rPr>
          <w:rFonts w:ascii="宋体" w:eastAsia="宋体" w:hAnsi="宋体" w:cs="宋体"/>
          <w:spacing w:val="-3"/>
        </w:rPr>
        <w:t>烤分为明火烤和暗火烤两种工艺。明火烤即在火上直接烤原料，因为火力分</w:t>
      </w:r>
      <w:r>
        <w:rPr>
          <w:rFonts w:ascii="宋体" w:eastAsia="宋体" w:hAnsi="宋体" w:cs="宋体"/>
          <w:spacing w:val="6"/>
        </w:rPr>
        <w:t xml:space="preserve"> </w:t>
      </w:r>
      <w:r>
        <w:rPr>
          <w:rFonts w:ascii="宋体" w:eastAsia="宋体" w:hAnsi="宋体" w:cs="宋体"/>
        </w:rPr>
        <w:t>散，所以时间比较长，从而使维生素A、B</w:t>
      </w:r>
      <w:r>
        <w:rPr>
          <w:rFonts w:ascii="宋体" w:eastAsia="宋体" w:hAnsi="宋体" w:cs="宋体"/>
          <w:spacing w:val="16"/>
        </w:rPr>
        <w:t xml:space="preserve"> </w:t>
      </w:r>
      <w:r>
        <w:rPr>
          <w:rFonts w:ascii="宋体" w:eastAsia="宋体" w:hAnsi="宋体" w:cs="宋体"/>
        </w:rPr>
        <w:t>族维生素、</w:t>
      </w:r>
      <w:r>
        <w:rPr>
          <w:rFonts w:ascii="宋体" w:eastAsia="宋体" w:hAnsi="宋体" w:cs="宋体"/>
          <w:spacing w:val="-1"/>
        </w:rPr>
        <w:t>维生素C</w:t>
      </w:r>
      <w:r>
        <w:rPr>
          <w:rFonts w:ascii="宋体" w:eastAsia="宋体" w:hAnsi="宋体" w:cs="宋体"/>
          <w:spacing w:val="-3"/>
        </w:rPr>
        <w:t xml:space="preserve"> </w:t>
      </w:r>
      <w:r>
        <w:rPr>
          <w:rFonts w:ascii="宋体" w:eastAsia="宋体" w:hAnsi="宋体" w:cs="宋体"/>
          <w:spacing w:val="-1"/>
        </w:rPr>
        <w:t>以及脂肪受到很</w:t>
      </w:r>
      <w:r>
        <w:rPr>
          <w:rFonts w:ascii="宋体" w:eastAsia="宋体" w:hAnsi="宋体" w:cs="宋体"/>
        </w:rPr>
        <w:t xml:space="preserve"> </w:t>
      </w:r>
      <w:r>
        <w:rPr>
          <w:rFonts w:ascii="宋体" w:eastAsia="宋体" w:hAnsi="宋体" w:cs="宋体"/>
          <w:spacing w:val="-3"/>
        </w:rPr>
        <w:t>大损失。另外，还可能产生苯并芘等强烈致癌物质。暗火烤又叫</w:t>
      </w:r>
      <w:r>
        <w:rPr>
          <w:rFonts w:ascii="宋体" w:eastAsia="宋体" w:hAnsi="宋体" w:cs="宋体"/>
          <w:spacing w:val="-4"/>
        </w:rPr>
        <w:t>烘，即炉内保持</w:t>
      </w:r>
      <w:r>
        <w:rPr>
          <w:rFonts w:ascii="宋体" w:eastAsia="宋体" w:hAnsi="宋体" w:cs="宋体"/>
        </w:rPr>
        <w:t xml:space="preserve"> </w:t>
      </w:r>
      <w:r>
        <w:rPr>
          <w:rFonts w:ascii="宋体" w:eastAsia="宋体" w:hAnsi="宋体" w:cs="宋体"/>
          <w:spacing w:val="-3"/>
        </w:rPr>
        <w:t>高温，原料的四周均匀受热，与明火烤相比对维生素营养的破坏要</w:t>
      </w:r>
      <w:r>
        <w:rPr>
          <w:rFonts w:ascii="宋体" w:eastAsia="宋体" w:hAnsi="宋体" w:cs="宋体"/>
          <w:spacing w:val="-4"/>
        </w:rPr>
        <w:t>少一些。</w:t>
      </w:r>
    </w:p>
    <w:p w:rsidR="00EA40A3" w:rsidRDefault="00E86C16">
      <w:pPr>
        <w:spacing w:before="61" w:line="219" w:lineRule="auto"/>
        <w:rPr>
          <w:rFonts w:ascii="宋体" w:eastAsia="宋体" w:hAnsi="宋体" w:cs="宋体"/>
        </w:rPr>
      </w:pPr>
      <w:r>
        <w:rPr>
          <w:rFonts w:ascii="宋体" w:eastAsia="宋体" w:hAnsi="宋体" w:cs="宋体"/>
          <w:spacing w:val="4"/>
        </w:rPr>
        <w:t>11)微波烹调法</w:t>
      </w:r>
    </w:p>
    <w:p w:rsidR="00EA40A3" w:rsidRDefault="00E86C16">
      <w:pPr>
        <w:spacing w:before="73" w:line="256" w:lineRule="auto"/>
        <w:ind w:right="20" w:firstLine="419"/>
        <w:rPr>
          <w:rFonts w:ascii="宋体" w:eastAsia="宋体" w:hAnsi="宋体" w:cs="宋体"/>
        </w:rPr>
      </w:pPr>
      <w:r>
        <w:rPr>
          <w:rFonts w:ascii="宋体" w:eastAsia="宋体" w:hAnsi="宋体" w:cs="宋体"/>
          <w:spacing w:val="-1"/>
        </w:rPr>
        <w:t>微波烹调时加水量会影响原料中维生素C、B</w:t>
      </w:r>
      <w:r>
        <w:rPr>
          <w:rFonts w:ascii="宋体" w:eastAsia="宋体" w:hAnsi="宋体" w:cs="宋体"/>
          <w:spacing w:val="19"/>
        </w:rPr>
        <w:t xml:space="preserve"> </w:t>
      </w:r>
      <w:r>
        <w:rPr>
          <w:rFonts w:ascii="宋体" w:eastAsia="宋体" w:hAnsi="宋体" w:cs="宋体"/>
          <w:spacing w:val="-1"/>
        </w:rPr>
        <w:t>族维生素等水溶性维生素的损</w:t>
      </w:r>
      <w:r>
        <w:rPr>
          <w:rFonts w:ascii="宋体" w:eastAsia="宋体" w:hAnsi="宋体" w:cs="宋体"/>
        </w:rPr>
        <w:t xml:space="preserve"> </w:t>
      </w:r>
      <w:r>
        <w:rPr>
          <w:rFonts w:ascii="宋体" w:eastAsia="宋体" w:hAnsi="宋体" w:cs="宋体"/>
          <w:spacing w:val="-3"/>
        </w:rPr>
        <w:t>失率。传统烹调方式通常需要加水，造成水溶性维生素随汤汁大</w:t>
      </w:r>
      <w:r>
        <w:rPr>
          <w:rFonts w:ascii="宋体" w:eastAsia="宋体" w:hAnsi="宋体" w:cs="宋体"/>
          <w:spacing w:val="-4"/>
        </w:rPr>
        <w:t>量流失；使用微</w:t>
      </w:r>
      <w:r>
        <w:rPr>
          <w:rFonts w:ascii="宋体" w:eastAsia="宋体" w:hAnsi="宋体" w:cs="宋体"/>
        </w:rPr>
        <w:t xml:space="preserve"> </w:t>
      </w:r>
      <w:r>
        <w:rPr>
          <w:rFonts w:ascii="宋体" w:eastAsia="宋体" w:hAnsi="宋体" w:cs="宋体"/>
          <w:spacing w:val="-3"/>
        </w:rPr>
        <w:t>波烹调不加水时可较好地保留食品中的水溶性维生素，若在微波烹调时加水，如</w:t>
      </w:r>
      <w:r>
        <w:rPr>
          <w:rFonts w:ascii="宋体" w:eastAsia="宋体" w:hAnsi="宋体" w:cs="宋体"/>
        </w:rPr>
        <w:t xml:space="preserve"> </w:t>
      </w:r>
      <w:r>
        <w:rPr>
          <w:rFonts w:ascii="宋体" w:eastAsia="宋体" w:hAnsi="宋体" w:cs="宋体"/>
          <w:spacing w:val="-3"/>
        </w:rPr>
        <w:t>微波蒸煮，则原料中维生素的保留率与传统烹调相差无几。对微波烹调</w:t>
      </w:r>
      <w:r>
        <w:rPr>
          <w:rFonts w:ascii="宋体" w:eastAsia="宋体" w:hAnsi="宋体" w:cs="宋体"/>
          <w:spacing w:val="-4"/>
        </w:rPr>
        <w:t>及煤气烹</w:t>
      </w:r>
      <w:r>
        <w:rPr>
          <w:rFonts w:ascii="宋体" w:eastAsia="宋体" w:hAnsi="宋体" w:cs="宋体"/>
        </w:rPr>
        <w:t xml:space="preserve"> </w:t>
      </w:r>
      <w:r>
        <w:rPr>
          <w:rFonts w:ascii="宋体" w:eastAsia="宋体" w:hAnsi="宋体" w:cs="宋体"/>
          <w:spacing w:val="3"/>
        </w:rPr>
        <w:t>调对蔬菜中维生素C</w:t>
      </w:r>
      <w:r>
        <w:rPr>
          <w:rFonts w:ascii="宋体" w:eastAsia="宋体" w:hAnsi="宋体" w:cs="宋体"/>
          <w:spacing w:val="-4"/>
        </w:rPr>
        <w:t xml:space="preserve"> </w:t>
      </w:r>
      <w:r>
        <w:rPr>
          <w:rFonts w:ascii="宋体" w:eastAsia="宋体" w:hAnsi="宋体" w:cs="宋体"/>
          <w:spacing w:val="3"/>
        </w:rPr>
        <w:t>的保留率进行比较，发现微波烹调蔬菜的维生</w:t>
      </w:r>
      <w:r>
        <w:rPr>
          <w:rFonts w:ascii="宋体" w:eastAsia="宋体" w:hAnsi="宋体" w:cs="宋体"/>
          <w:spacing w:val="2"/>
        </w:rPr>
        <w:t>素C</w:t>
      </w:r>
      <w:r>
        <w:rPr>
          <w:rFonts w:ascii="宋体" w:eastAsia="宋体" w:hAnsi="宋体" w:cs="宋体"/>
          <w:spacing w:val="-14"/>
        </w:rPr>
        <w:t xml:space="preserve"> </w:t>
      </w:r>
      <w:r>
        <w:rPr>
          <w:rFonts w:ascii="宋体" w:eastAsia="宋体" w:hAnsi="宋体" w:cs="宋体"/>
          <w:spacing w:val="2"/>
        </w:rPr>
        <w:t>保留率</w:t>
      </w:r>
      <w:r>
        <w:rPr>
          <w:rFonts w:ascii="宋体" w:eastAsia="宋体" w:hAnsi="宋体" w:cs="宋体"/>
        </w:rPr>
        <w:t xml:space="preserve"> </w:t>
      </w:r>
      <w:r>
        <w:rPr>
          <w:rFonts w:ascii="宋体" w:eastAsia="宋体" w:hAnsi="宋体" w:cs="宋体"/>
          <w:spacing w:val="3"/>
        </w:rPr>
        <w:t>远高于煤气烹调(见表7-15)。</w:t>
      </w:r>
    </w:p>
    <w:p w:rsidR="00EA40A3" w:rsidRDefault="00EA40A3">
      <w:pPr>
        <w:sectPr w:rsidR="00EA40A3">
          <w:footerReference w:type="default" r:id="rId210"/>
          <w:pgSz w:w="9220" w:h="13360"/>
          <w:pgMar w:top="400" w:right="1113" w:bottom="1236" w:left="840" w:header="0" w:footer="1015" w:gutter="0"/>
          <w:cols w:space="720"/>
        </w:sectPr>
      </w:pPr>
    </w:p>
    <w:p w:rsidR="00EA40A3" w:rsidRDefault="00EA40A3">
      <w:pPr>
        <w:spacing w:line="317" w:lineRule="auto"/>
      </w:pPr>
    </w:p>
    <w:p w:rsidR="00EA40A3" w:rsidRDefault="00EA40A3">
      <w:pPr>
        <w:spacing w:line="318" w:lineRule="auto"/>
      </w:pPr>
    </w:p>
    <w:p w:rsidR="00EA40A3" w:rsidRDefault="00E86C16">
      <w:pPr>
        <w:spacing w:before="55" w:line="218" w:lineRule="auto"/>
        <w:ind w:left="1902"/>
        <w:rPr>
          <w:rFonts w:ascii="宋体" w:eastAsia="宋体" w:hAnsi="宋体" w:cs="宋体"/>
          <w:sz w:val="17"/>
          <w:szCs w:val="17"/>
        </w:rPr>
      </w:pPr>
      <w:r>
        <w:rPr>
          <w:rFonts w:ascii="宋体" w:eastAsia="宋体" w:hAnsi="宋体" w:cs="宋体"/>
          <w:b/>
          <w:bCs/>
          <w:spacing w:val="-2"/>
          <w:sz w:val="17"/>
          <w:szCs w:val="17"/>
        </w:rPr>
        <w:t>表7-15不同烹调方式蔬菜维生素C保存率比</w:t>
      </w:r>
      <w:r>
        <w:rPr>
          <w:rFonts w:ascii="宋体" w:eastAsia="宋体" w:hAnsi="宋体" w:cs="宋体"/>
          <w:b/>
          <w:bCs/>
          <w:spacing w:val="-3"/>
          <w:sz w:val="17"/>
          <w:szCs w:val="17"/>
        </w:rPr>
        <w:t>较</w:t>
      </w:r>
    </w:p>
    <w:tbl>
      <w:tblPr>
        <w:tblStyle w:val="TableNormal"/>
        <w:tblW w:w="7349" w:type="dxa"/>
        <w:tblInd w:w="8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50"/>
        <w:gridCol w:w="1073"/>
        <w:gridCol w:w="1104"/>
        <w:gridCol w:w="1147"/>
        <w:gridCol w:w="1126"/>
        <w:gridCol w:w="1249"/>
      </w:tblGrid>
      <w:tr w:rsidR="00EA40A3">
        <w:trPr>
          <w:trHeight w:val="273"/>
        </w:trPr>
        <w:tc>
          <w:tcPr>
            <w:tcW w:w="1650" w:type="dxa"/>
            <w:vMerge w:val="restart"/>
            <w:tcBorders>
              <w:top w:val="single" w:sz="4" w:space="0" w:color="000000"/>
              <w:bottom w:val="nil"/>
            </w:tcBorders>
          </w:tcPr>
          <w:p w:rsidR="00EA40A3" w:rsidRDefault="00E86C16">
            <w:pPr>
              <w:spacing w:before="222" w:line="219" w:lineRule="auto"/>
              <w:ind w:left="650"/>
              <w:rPr>
                <w:rFonts w:ascii="宋体" w:eastAsia="宋体" w:hAnsi="宋体" w:cs="宋体"/>
                <w:sz w:val="17"/>
                <w:szCs w:val="17"/>
              </w:rPr>
            </w:pPr>
            <w:r>
              <w:rPr>
                <w:rFonts w:ascii="宋体" w:eastAsia="宋体" w:hAnsi="宋体" w:cs="宋体"/>
                <w:spacing w:val="6"/>
                <w:sz w:val="17"/>
                <w:szCs w:val="17"/>
              </w:rPr>
              <w:t>类别</w:t>
            </w:r>
          </w:p>
        </w:tc>
        <w:tc>
          <w:tcPr>
            <w:tcW w:w="3324" w:type="dxa"/>
            <w:gridSpan w:val="3"/>
            <w:tcBorders>
              <w:top w:val="single" w:sz="4" w:space="0" w:color="000000"/>
              <w:bottom w:val="single" w:sz="4" w:space="0" w:color="000000"/>
            </w:tcBorders>
          </w:tcPr>
          <w:p w:rsidR="00EA40A3" w:rsidRDefault="00E86C16">
            <w:pPr>
              <w:spacing w:before="96" w:line="192" w:lineRule="auto"/>
              <w:ind w:left="630"/>
              <w:rPr>
                <w:rFonts w:ascii="宋体" w:eastAsia="宋体" w:hAnsi="宋体" w:cs="宋体"/>
                <w:sz w:val="17"/>
                <w:szCs w:val="17"/>
              </w:rPr>
            </w:pPr>
            <w:r>
              <w:rPr>
                <w:rFonts w:ascii="宋体" w:eastAsia="宋体" w:hAnsi="宋体" w:cs="宋体"/>
                <w:spacing w:val="2"/>
                <w:sz w:val="17"/>
                <w:szCs w:val="17"/>
              </w:rPr>
              <w:t>维生素C含量/(100</w:t>
            </w:r>
            <w:r>
              <w:rPr>
                <w:rFonts w:ascii="宋体" w:eastAsia="宋体" w:hAnsi="宋体" w:cs="宋体"/>
                <w:sz w:val="17"/>
                <w:szCs w:val="17"/>
              </w:rPr>
              <w:t>mg</w:t>
            </w:r>
            <w:r>
              <w:rPr>
                <w:rFonts w:ascii="宋体" w:eastAsia="宋体" w:hAnsi="宋体" w:cs="宋体"/>
                <w:spacing w:val="2"/>
                <w:sz w:val="17"/>
                <w:szCs w:val="17"/>
              </w:rPr>
              <w:t>/100g)</w:t>
            </w:r>
          </w:p>
        </w:tc>
        <w:tc>
          <w:tcPr>
            <w:tcW w:w="2375" w:type="dxa"/>
            <w:gridSpan w:val="2"/>
            <w:tcBorders>
              <w:top w:val="single" w:sz="4" w:space="0" w:color="000000"/>
              <w:bottom w:val="single" w:sz="4" w:space="0" w:color="000000"/>
            </w:tcBorders>
          </w:tcPr>
          <w:p w:rsidR="00EA40A3" w:rsidRDefault="00E86C16">
            <w:pPr>
              <w:spacing w:before="71" w:line="219" w:lineRule="auto"/>
              <w:ind w:left="476"/>
              <w:rPr>
                <w:rFonts w:ascii="宋体" w:eastAsia="宋体" w:hAnsi="宋体" w:cs="宋体"/>
                <w:sz w:val="17"/>
                <w:szCs w:val="17"/>
              </w:rPr>
            </w:pPr>
            <w:r>
              <w:rPr>
                <w:rFonts w:ascii="宋体" w:eastAsia="宋体" w:hAnsi="宋体" w:cs="宋体"/>
                <w:spacing w:val="-1"/>
                <w:sz w:val="17"/>
                <w:szCs w:val="17"/>
              </w:rPr>
              <w:t>维生素C保留率/%</w:t>
            </w:r>
          </w:p>
        </w:tc>
      </w:tr>
      <w:tr w:rsidR="00EA40A3">
        <w:trPr>
          <w:trHeight w:val="299"/>
        </w:trPr>
        <w:tc>
          <w:tcPr>
            <w:tcW w:w="1650" w:type="dxa"/>
            <w:vMerge/>
            <w:tcBorders>
              <w:top w:val="nil"/>
            </w:tcBorders>
          </w:tcPr>
          <w:p w:rsidR="00EA40A3" w:rsidRDefault="00EA40A3"/>
        </w:tc>
        <w:tc>
          <w:tcPr>
            <w:tcW w:w="3324" w:type="dxa"/>
            <w:gridSpan w:val="3"/>
            <w:tcBorders>
              <w:top w:val="single" w:sz="4" w:space="0" w:color="000000"/>
            </w:tcBorders>
          </w:tcPr>
          <w:p w:rsidR="00EA40A3" w:rsidRDefault="00E86C16">
            <w:pPr>
              <w:spacing w:before="89" w:line="228" w:lineRule="auto"/>
              <w:ind w:left="309"/>
              <w:rPr>
                <w:rFonts w:ascii="宋体" w:eastAsia="宋体" w:hAnsi="宋体" w:cs="宋体"/>
                <w:sz w:val="17"/>
                <w:szCs w:val="17"/>
              </w:rPr>
            </w:pPr>
            <w:r>
              <w:rPr>
                <w:rFonts w:ascii="宋体" w:eastAsia="宋体" w:hAnsi="宋体" w:cs="宋体"/>
                <w:spacing w:val="3"/>
                <w:sz w:val="17"/>
                <w:szCs w:val="17"/>
              </w:rPr>
              <w:t>烹调前</w:t>
            </w:r>
            <w:r>
              <w:rPr>
                <w:rFonts w:ascii="宋体" w:eastAsia="宋体" w:hAnsi="宋体" w:cs="宋体"/>
                <w:spacing w:val="15"/>
                <w:sz w:val="17"/>
                <w:szCs w:val="17"/>
              </w:rPr>
              <w:t xml:space="preserve">     </w:t>
            </w:r>
            <w:r>
              <w:rPr>
                <w:rFonts w:ascii="宋体" w:eastAsia="宋体" w:hAnsi="宋体" w:cs="宋体"/>
                <w:spacing w:val="3"/>
                <w:sz w:val="17"/>
                <w:szCs w:val="17"/>
              </w:rPr>
              <w:t>微波烹调</w:t>
            </w:r>
            <w:r>
              <w:rPr>
                <w:rFonts w:ascii="宋体" w:eastAsia="宋体" w:hAnsi="宋体" w:cs="宋体"/>
                <w:spacing w:val="17"/>
                <w:sz w:val="17"/>
                <w:szCs w:val="17"/>
              </w:rPr>
              <w:t xml:space="preserve">    </w:t>
            </w:r>
            <w:r>
              <w:rPr>
                <w:rFonts w:ascii="宋体" w:eastAsia="宋体" w:hAnsi="宋体" w:cs="宋体"/>
                <w:spacing w:val="3"/>
                <w:sz w:val="17"/>
                <w:szCs w:val="17"/>
              </w:rPr>
              <w:t>煤气烹调</w:t>
            </w:r>
          </w:p>
        </w:tc>
        <w:tc>
          <w:tcPr>
            <w:tcW w:w="2375" w:type="dxa"/>
            <w:gridSpan w:val="2"/>
            <w:tcBorders>
              <w:top w:val="single" w:sz="4" w:space="0" w:color="000000"/>
            </w:tcBorders>
          </w:tcPr>
          <w:p w:rsidR="00EA40A3" w:rsidRDefault="00E86C16">
            <w:pPr>
              <w:spacing w:before="88" w:line="220" w:lineRule="auto"/>
              <w:ind w:left="216"/>
              <w:rPr>
                <w:rFonts w:ascii="宋体" w:eastAsia="宋体" w:hAnsi="宋体" w:cs="宋体"/>
                <w:sz w:val="17"/>
                <w:szCs w:val="17"/>
              </w:rPr>
            </w:pPr>
            <w:r>
              <w:rPr>
                <w:rFonts w:ascii="宋体" w:eastAsia="宋体" w:hAnsi="宋体" w:cs="宋体"/>
                <w:spacing w:val="3"/>
                <w:sz w:val="17"/>
                <w:szCs w:val="17"/>
              </w:rPr>
              <w:t>微波烹调</w:t>
            </w:r>
            <w:r>
              <w:rPr>
                <w:rFonts w:ascii="宋体" w:eastAsia="宋体" w:hAnsi="宋体" w:cs="宋体"/>
                <w:spacing w:val="14"/>
                <w:sz w:val="17"/>
                <w:szCs w:val="17"/>
              </w:rPr>
              <w:t xml:space="preserve">     </w:t>
            </w:r>
            <w:r>
              <w:rPr>
                <w:rFonts w:ascii="宋体" w:eastAsia="宋体" w:hAnsi="宋体" w:cs="宋体"/>
                <w:spacing w:val="3"/>
                <w:sz w:val="17"/>
                <w:szCs w:val="17"/>
              </w:rPr>
              <w:t>煤气烹调</w:t>
            </w:r>
          </w:p>
        </w:tc>
      </w:tr>
      <w:tr w:rsidR="00EA40A3">
        <w:trPr>
          <w:trHeight w:val="278"/>
        </w:trPr>
        <w:tc>
          <w:tcPr>
            <w:tcW w:w="1650" w:type="dxa"/>
          </w:tcPr>
          <w:p w:rsidR="00EA40A3" w:rsidRDefault="00E86C16">
            <w:pPr>
              <w:spacing w:before="40" w:line="219" w:lineRule="auto"/>
              <w:ind w:left="569"/>
              <w:rPr>
                <w:rFonts w:ascii="宋体" w:eastAsia="宋体" w:hAnsi="宋体" w:cs="宋体"/>
                <w:sz w:val="17"/>
                <w:szCs w:val="17"/>
              </w:rPr>
            </w:pPr>
            <w:r>
              <w:rPr>
                <w:rFonts w:ascii="宋体" w:eastAsia="宋体" w:hAnsi="宋体" w:cs="宋体"/>
                <w:spacing w:val="-2"/>
                <w:sz w:val="17"/>
                <w:szCs w:val="17"/>
              </w:rPr>
              <w:t>卷心菜</w:t>
            </w:r>
          </w:p>
        </w:tc>
        <w:tc>
          <w:tcPr>
            <w:tcW w:w="1073" w:type="dxa"/>
          </w:tcPr>
          <w:p w:rsidR="00EA40A3" w:rsidRDefault="00E86C16">
            <w:pPr>
              <w:spacing w:before="114" w:line="178" w:lineRule="auto"/>
              <w:ind w:left="329"/>
              <w:rPr>
                <w:rFonts w:ascii="宋体" w:eastAsia="宋体" w:hAnsi="宋体" w:cs="宋体"/>
                <w:sz w:val="17"/>
                <w:szCs w:val="17"/>
              </w:rPr>
            </w:pPr>
            <w:r>
              <w:rPr>
                <w:rFonts w:ascii="宋体" w:eastAsia="宋体" w:hAnsi="宋体" w:cs="宋体"/>
                <w:spacing w:val="-2"/>
                <w:sz w:val="17"/>
                <w:szCs w:val="17"/>
              </w:rPr>
              <w:t>56.50</w:t>
            </w:r>
          </w:p>
        </w:tc>
        <w:tc>
          <w:tcPr>
            <w:tcW w:w="1104" w:type="dxa"/>
          </w:tcPr>
          <w:p w:rsidR="00EA40A3" w:rsidRDefault="00E86C16">
            <w:pPr>
              <w:spacing w:before="114" w:line="178" w:lineRule="auto"/>
              <w:ind w:left="357"/>
              <w:rPr>
                <w:rFonts w:ascii="宋体" w:eastAsia="宋体" w:hAnsi="宋体" w:cs="宋体"/>
                <w:sz w:val="17"/>
                <w:szCs w:val="17"/>
              </w:rPr>
            </w:pPr>
            <w:r>
              <w:rPr>
                <w:rFonts w:ascii="宋体" w:eastAsia="宋体" w:hAnsi="宋体" w:cs="宋体"/>
                <w:spacing w:val="-2"/>
                <w:sz w:val="17"/>
                <w:szCs w:val="17"/>
              </w:rPr>
              <w:t>27.25</w:t>
            </w:r>
          </w:p>
        </w:tc>
        <w:tc>
          <w:tcPr>
            <w:tcW w:w="1147" w:type="dxa"/>
          </w:tcPr>
          <w:p w:rsidR="00EA40A3" w:rsidRDefault="00E86C16">
            <w:pPr>
              <w:spacing w:before="114" w:line="178" w:lineRule="auto"/>
              <w:ind w:left="343"/>
              <w:rPr>
                <w:rFonts w:ascii="宋体" w:eastAsia="宋体" w:hAnsi="宋体" w:cs="宋体"/>
                <w:sz w:val="17"/>
                <w:szCs w:val="17"/>
              </w:rPr>
            </w:pPr>
            <w:r>
              <w:rPr>
                <w:rFonts w:ascii="宋体" w:eastAsia="宋体" w:hAnsi="宋体" w:cs="宋体"/>
                <w:spacing w:val="-2"/>
                <w:sz w:val="17"/>
                <w:szCs w:val="17"/>
              </w:rPr>
              <w:t>22.25</w:t>
            </w:r>
          </w:p>
        </w:tc>
        <w:tc>
          <w:tcPr>
            <w:tcW w:w="1126" w:type="dxa"/>
          </w:tcPr>
          <w:p w:rsidR="00EA40A3" w:rsidRDefault="00E86C16">
            <w:pPr>
              <w:spacing w:before="123" w:line="168" w:lineRule="auto"/>
              <w:ind w:left="326"/>
              <w:rPr>
                <w:rFonts w:ascii="宋体" w:eastAsia="宋体" w:hAnsi="宋体" w:cs="宋体"/>
                <w:sz w:val="17"/>
                <w:szCs w:val="17"/>
              </w:rPr>
            </w:pPr>
            <w:r>
              <w:rPr>
                <w:rFonts w:ascii="宋体" w:eastAsia="宋体" w:hAnsi="宋体" w:cs="宋体"/>
                <w:spacing w:val="-1"/>
                <w:sz w:val="17"/>
                <w:szCs w:val="17"/>
              </w:rPr>
              <w:t>48.23</w:t>
            </w:r>
          </w:p>
        </w:tc>
        <w:tc>
          <w:tcPr>
            <w:tcW w:w="1249" w:type="dxa"/>
          </w:tcPr>
          <w:p w:rsidR="00EA40A3" w:rsidRDefault="00E86C16">
            <w:pPr>
              <w:spacing w:before="123" w:line="168" w:lineRule="auto"/>
              <w:ind w:left="389"/>
              <w:rPr>
                <w:rFonts w:ascii="宋体" w:eastAsia="宋体" w:hAnsi="宋体" w:cs="宋体"/>
                <w:sz w:val="17"/>
                <w:szCs w:val="17"/>
              </w:rPr>
            </w:pPr>
            <w:r>
              <w:rPr>
                <w:rFonts w:ascii="宋体" w:eastAsia="宋体" w:hAnsi="宋体" w:cs="宋体"/>
                <w:spacing w:val="-2"/>
                <w:sz w:val="17"/>
                <w:szCs w:val="17"/>
              </w:rPr>
              <w:t>39.38</w:t>
            </w:r>
          </w:p>
        </w:tc>
      </w:tr>
      <w:tr w:rsidR="00EA40A3">
        <w:trPr>
          <w:trHeight w:val="253"/>
        </w:trPr>
        <w:tc>
          <w:tcPr>
            <w:tcW w:w="1650" w:type="dxa"/>
          </w:tcPr>
          <w:p w:rsidR="00EA40A3" w:rsidRDefault="00E86C16">
            <w:pPr>
              <w:spacing w:before="42" w:line="219" w:lineRule="auto"/>
              <w:ind w:left="569"/>
              <w:rPr>
                <w:rFonts w:ascii="宋体" w:eastAsia="宋体" w:hAnsi="宋体" w:cs="宋体"/>
                <w:sz w:val="17"/>
                <w:szCs w:val="17"/>
              </w:rPr>
            </w:pPr>
            <w:r>
              <w:rPr>
                <w:rFonts w:ascii="宋体" w:eastAsia="宋体" w:hAnsi="宋体" w:cs="宋体"/>
                <w:spacing w:val="-2"/>
                <w:sz w:val="17"/>
                <w:szCs w:val="17"/>
              </w:rPr>
              <w:t>大白菜</w:t>
            </w:r>
          </w:p>
        </w:tc>
        <w:tc>
          <w:tcPr>
            <w:tcW w:w="1073" w:type="dxa"/>
          </w:tcPr>
          <w:p w:rsidR="00EA40A3" w:rsidRDefault="00E86C16">
            <w:pPr>
              <w:spacing w:before="85" w:line="182" w:lineRule="auto"/>
              <w:ind w:left="320"/>
              <w:rPr>
                <w:rFonts w:ascii="宋体" w:eastAsia="宋体" w:hAnsi="宋体" w:cs="宋体"/>
                <w:sz w:val="17"/>
                <w:szCs w:val="17"/>
              </w:rPr>
            </w:pPr>
            <w:r>
              <w:rPr>
                <w:rFonts w:ascii="宋体" w:eastAsia="宋体" w:hAnsi="宋体" w:cs="宋体"/>
                <w:spacing w:val="-2"/>
                <w:sz w:val="17"/>
                <w:szCs w:val="17"/>
              </w:rPr>
              <w:t>57.50</w:t>
            </w:r>
          </w:p>
        </w:tc>
        <w:tc>
          <w:tcPr>
            <w:tcW w:w="1104" w:type="dxa"/>
          </w:tcPr>
          <w:p w:rsidR="00EA40A3" w:rsidRDefault="00E86C16">
            <w:pPr>
              <w:spacing w:before="85" w:line="182" w:lineRule="auto"/>
              <w:ind w:left="337"/>
              <w:rPr>
                <w:rFonts w:ascii="宋体" w:eastAsia="宋体" w:hAnsi="宋体" w:cs="宋体"/>
                <w:sz w:val="17"/>
                <w:szCs w:val="17"/>
              </w:rPr>
            </w:pPr>
            <w:r>
              <w:rPr>
                <w:rFonts w:ascii="宋体" w:eastAsia="宋体" w:hAnsi="宋体" w:cs="宋体"/>
                <w:spacing w:val="-2"/>
                <w:sz w:val="17"/>
                <w:szCs w:val="17"/>
              </w:rPr>
              <w:t>52.50</w:t>
            </w:r>
          </w:p>
        </w:tc>
        <w:tc>
          <w:tcPr>
            <w:tcW w:w="1147" w:type="dxa"/>
          </w:tcPr>
          <w:p w:rsidR="00EA40A3" w:rsidRDefault="00E86C16">
            <w:pPr>
              <w:spacing w:before="85" w:line="182" w:lineRule="auto"/>
              <w:ind w:left="343"/>
              <w:rPr>
                <w:rFonts w:ascii="宋体" w:eastAsia="宋体" w:hAnsi="宋体" w:cs="宋体"/>
                <w:sz w:val="17"/>
                <w:szCs w:val="17"/>
              </w:rPr>
            </w:pPr>
            <w:r>
              <w:rPr>
                <w:rFonts w:ascii="宋体" w:eastAsia="宋体" w:hAnsi="宋体" w:cs="宋体"/>
                <w:spacing w:val="-2"/>
                <w:sz w:val="17"/>
                <w:szCs w:val="17"/>
              </w:rPr>
              <w:t>28.75</w:t>
            </w:r>
          </w:p>
        </w:tc>
        <w:tc>
          <w:tcPr>
            <w:tcW w:w="1126" w:type="dxa"/>
          </w:tcPr>
          <w:p w:rsidR="00EA40A3" w:rsidRDefault="00E86C16">
            <w:pPr>
              <w:spacing w:before="85" w:line="182" w:lineRule="auto"/>
              <w:ind w:left="326"/>
              <w:rPr>
                <w:rFonts w:ascii="宋体" w:eastAsia="宋体" w:hAnsi="宋体" w:cs="宋体"/>
                <w:sz w:val="17"/>
                <w:szCs w:val="17"/>
              </w:rPr>
            </w:pPr>
            <w:r>
              <w:rPr>
                <w:rFonts w:ascii="宋体" w:eastAsia="宋体" w:hAnsi="宋体" w:cs="宋体"/>
                <w:spacing w:val="-2"/>
                <w:sz w:val="17"/>
                <w:szCs w:val="17"/>
              </w:rPr>
              <w:t>91.30</w:t>
            </w:r>
          </w:p>
        </w:tc>
        <w:tc>
          <w:tcPr>
            <w:tcW w:w="1249" w:type="dxa"/>
          </w:tcPr>
          <w:p w:rsidR="00EA40A3" w:rsidRDefault="00E86C16">
            <w:pPr>
              <w:spacing w:before="85" w:line="182" w:lineRule="auto"/>
              <w:ind w:left="400"/>
              <w:rPr>
                <w:rFonts w:ascii="宋体" w:eastAsia="宋体" w:hAnsi="宋体" w:cs="宋体"/>
                <w:sz w:val="17"/>
                <w:szCs w:val="17"/>
              </w:rPr>
            </w:pPr>
            <w:r>
              <w:rPr>
                <w:rFonts w:ascii="宋体" w:eastAsia="宋体" w:hAnsi="宋体" w:cs="宋体"/>
                <w:spacing w:val="-2"/>
                <w:sz w:val="17"/>
                <w:szCs w:val="17"/>
              </w:rPr>
              <w:t>50.00</w:t>
            </w:r>
          </w:p>
        </w:tc>
      </w:tr>
      <w:tr w:rsidR="00EA40A3">
        <w:trPr>
          <w:trHeight w:val="269"/>
        </w:trPr>
        <w:tc>
          <w:tcPr>
            <w:tcW w:w="1650" w:type="dxa"/>
          </w:tcPr>
          <w:p w:rsidR="00EA40A3" w:rsidRDefault="00E86C16">
            <w:pPr>
              <w:spacing w:before="57" w:line="219" w:lineRule="auto"/>
              <w:ind w:left="650"/>
              <w:rPr>
                <w:rFonts w:ascii="宋体" w:eastAsia="宋体" w:hAnsi="宋体" w:cs="宋体"/>
                <w:sz w:val="17"/>
                <w:szCs w:val="17"/>
              </w:rPr>
            </w:pPr>
            <w:r>
              <w:rPr>
                <w:rFonts w:ascii="宋体" w:eastAsia="宋体" w:hAnsi="宋体" w:cs="宋体"/>
                <w:spacing w:val="-2"/>
                <w:sz w:val="17"/>
                <w:szCs w:val="17"/>
              </w:rPr>
              <w:t>青菜</w:t>
            </w:r>
          </w:p>
        </w:tc>
        <w:tc>
          <w:tcPr>
            <w:tcW w:w="1073" w:type="dxa"/>
          </w:tcPr>
          <w:p w:rsidR="00EA40A3" w:rsidRDefault="00E86C16">
            <w:pPr>
              <w:spacing w:before="102" w:line="181" w:lineRule="auto"/>
              <w:ind w:left="320"/>
              <w:rPr>
                <w:rFonts w:ascii="宋体" w:eastAsia="宋体" w:hAnsi="宋体" w:cs="宋体"/>
                <w:sz w:val="17"/>
                <w:szCs w:val="17"/>
              </w:rPr>
            </w:pPr>
            <w:r>
              <w:rPr>
                <w:rFonts w:ascii="宋体" w:eastAsia="宋体" w:hAnsi="宋体" w:cs="宋体"/>
                <w:spacing w:val="-2"/>
                <w:sz w:val="17"/>
                <w:szCs w:val="17"/>
              </w:rPr>
              <w:t>87.50</w:t>
            </w:r>
          </w:p>
        </w:tc>
        <w:tc>
          <w:tcPr>
            <w:tcW w:w="1104" w:type="dxa"/>
          </w:tcPr>
          <w:p w:rsidR="00EA40A3" w:rsidRDefault="00E86C16">
            <w:pPr>
              <w:spacing w:before="102" w:line="181" w:lineRule="auto"/>
              <w:ind w:left="337"/>
              <w:rPr>
                <w:rFonts w:ascii="宋体" w:eastAsia="宋体" w:hAnsi="宋体" w:cs="宋体"/>
                <w:sz w:val="17"/>
                <w:szCs w:val="17"/>
              </w:rPr>
            </w:pPr>
            <w:r>
              <w:rPr>
                <w:rFonts w:ascii="宋体" w:eastAsia="宋体" w:hAnsi="宋体" w:cs="宋体"/>
                <w:spacing w:val="-2"/>
                <w:sz w:val="17"/>
                <w:szCs w:val="17"/>
              </w:rPr>
              <w:t>53.75</w:t>
            </w:r>
          </w:p>
        </w:tc>
        <w:tc>
          <w:tcPr>
            <w:tcW w:w="1147" w:type="dxa"/>
          </w:tcPr>
          <w:p w:rsidR="00EA40A3" w:rsidRDefault="00E86C16">
            <w:pPr>
              <w:spacing w:before="102" w:line="181" w:lineRule="auto"/>
              <w:ind w:left="343"/>
              <w:rPr>
                <w:rFonts w:ascii="宋体" w:eastAsia="宋体" w:hAnsi="宋体" w:cs="宋体"/>
                <w:sz w:val="17"/>
                <w:szCs w:val="17"/>
              </w:rPr>
            </w:pPr>
            <w:r>
              <w:rPr>
                <w:rFonts w:ascii="宋体" w:eastAsia="宋体" w:hAnsi="宋体" w:cs="宋体"/>
                <w:spacing w:val="-2"/>
                <w:sz w:val="17"/>
                <w:szCs w:val="17"/>
              </w:rPr>
              <w:t>30.75</w:t>
            </w:r>
          </w:p>
        </w:tc>
        <w:tc>
          <w:tcPr>
            <w:tcW w:w="1126" w:type="dxa"/>
          </w:tcPr>
          <w:p w:rsidR="00EA40A3" w:rsidRDefault="00E86C16">
            <w:pPr>
              <w:spacing w:before="102" w:line="181" w:lineRule="auto"/>
              <w:ind w:left="326"/>
              <w:rPr>
                <w:rFonts w:ascii="宋体" w:eastAsia="宋体" w:hAnsi="宋体" w:cs="宋体"/>
                <w:sz w:val="17"/>
                <w:szCs w:val="17"/>
              </w:rPr>
            </w:pPr>
            <w:r>
              <w:rPr>
                <w:rFonts w:ascii="宋体" w:eastAsia="宋体" w:hAnsi="宋体" w:cs="宋体"/>
                <w:spacing w:val="-2"/>
                <w:sz w:val="17"/>
                <w:szCs w:val="17"/>
              </w:rPr>
              <w:t>61.43</w:t>
            </w:r>
          </w:p>
        </w:tc>
        <w:tc>
          <w:tcPr>
            <w:tcW w:w="1249" w:type="dxa"/>
          </w:tcPr>
          <w:p w:rsidR="00EA40A3" w:rsidRDefault="00E86C16">
            <w:pPr>
              <w:spacing w:before="102" w:line="181" w:lineRule="auto"/>
              <w:ind w:left="400"/>
              <w:rPr>
                <w:rFonts w:ascii="宋体" w:eastAsia="宋体" w:hAnsi="宋体" w:cs="宋体"/>
                <w:sz w:val="17"/>
                <w:szCs w:val="17"/>
              </w:rPr>
            </w:pPr>
            <w:r>
              <w:rPr>
                <w:rFonts w:ascii="宋体" w:eastAsia="宋体" w:hAnsi="宋体" w:cs="宋体"/>
                <w:spacing w:val="-1"/>
                <w:sz w:val="17"/>
                <w:szCs w:val="17"/>
              </w:rPr>
              <w:t>44.29</w:t>
            </w:r>
          </w:p>
        </w:tc>
      </w:tr>
      <w:tr w:rsidR="00EA40A3">
        <w:trPr>
          <w:trHeight w:val="267"/>
        </w:trPr>
        <w:tc>
          <w:tcPr>
            <w:tcW w:w="1650" w:type="dxa"/>
            <w:tcBorders>
              <w:bottom w:val="single" w:sz="4" w:space="0" w:color="000000"/>
            </w:tcBorders>
          </w:tcPr>
          <w:p w:rsidR="00EA40A3" w:rsidRDefault="00E86C16">
            <w:pPr>
              <w:spacing w:before="59" w:line="219" w:lineRule="auto"/>
              <w:ind w:left="650"/>
              <w:rPr>
                <w:rFonts w:ascii="宋体" w:eastAsia="宋体" w:hAnsi="宋体" w:cs="宋体"/>
                <w:sz w:val="17"/>
                <w:szCs w:val="17"/>
              </w:rPr>
            </w:pPr>
            <w:r>
              <w:rPr>
                <w:rFonts w:ascii="宋体" w:eastAsia="宋体" w:hAnsi="宋体" w:cs="宋体"/>
                <w:spacing w:val="-3"/>
                <w:sz w:val="17"/>
                <w:szCs w:val="17"/>
              </w:rPr>
              <w:t>菠菜</w:t>
            </w:r>
          </w:p>
        </w:tc>
        <w:tc>
          <w:tcPr>
            <w:tcW w:w="1073" w:type="dxa"/>
            <w:tcBorders>
              <w:bottom w:val="single" w:sz="4" w:space="0" w:color="000000"/>
            </w:tcBorders>
          </w:tcPr>
          <w:p w:rsidR="00EA40A3" w:rsidRDefault="00E86C16">
            <w:pPr>
              <w:spacing w:before="104" w:line="177" w:lineRule="auto"/>
              <w:ind w:left="320"/>
              <w:rPr>
                <w:rFonts w:ascii="宋体" w:eastAsia="宋体" w:hAnsi="宋体" w:cs="宋体"/>
                <w:sz w:val="17"/>
                <w:szCs w:val="17"/>
              </w:rPr>
            </w:pPr>
            <w:r>
              <w:rPr>
                <w:rFonts w:ascii="宋体" w:eastAsia="宋体" w:hAnsi="宋体" w:cs="宋体"/>
                <w:spacing w:val="-2"/>
                <w:sz w:val="17"/>
                <w:szCs w:val="17"/>
              </w:rPr>
              <w:t>56.25</w:t>
            </w:r>
          </w:p>
        </w:tc>
        <w:tc>
          <w:tcPr>
            <w:tcW w:w="1104" w:type="dxa"/>
            <w:tcBorders>
              <w:bottom w:val="single" w:sz="4" w:space="0" w:color="000000"/>
            </w:tcBorders>
          </w:tcPr>
          <w:p w:rsidR="00EA40A3" w:rsidRDefault="00E86C16">
            <w:pPr>
              <w:spacing w:before="133" w:line="133" w:lineRule="exact"/>
              <w:ind w:left="337"/>
              <w:rPr>
                <w:rFonts w:ascii="宋体" w:eastAsia="宋体" w:hAnsi="宋体" w:cs="宋体"/>
                <w:sz w:val="17"/>
                <w:szCs w:val="17"/>
              </w:rPr>
            </w:pPr>
            <w:r>
              <w:rPr>
                <w:rFonts w:ascii="宋体" w:eastAsia="宋体" w:hAnsi="宋体" w:cs="宋体"/>
                <w:spacing w:val="-1"/>
                <w:position w:val="-2"/>
                <w:sz w:val="17"/>
                <w:szCs w:val="17"/>
              </w:rPr>
              <w:t>47.50</w:t>
            </w:r>
          </w:p>
        </w:tc>
        <w:tc>
          <w:tcPr>
            <w:tcW w:w="1147" w:type="dxa"/>
            <w:tcBorders>
              <w:bottom w:val="single" w:sz="4" w:space="0" w:color="000000"/>
            </w:tcBorders>
          </w:tcPr>
          <w:p w:rsidR="00EA40A3" w:rsidRDefault="00E86C16">
            <w:pPr>
              <w:spacing w:before="104" w:line="177" w:lineRule="auto"/>
              <w:ind w:left="343"/>
              <w:rPr>
                <w:rFonts w:ascii="宋体" w:eastAsia="宋体" w:hAnsi="宋体" w:cs="宋体"/>
                <w:sz w:val="17"/>
                <w:szCs w:val="17"/>
              </w:rPr>
            </w:pPr>
            <w:r>
              <w:rPr>
                <w:rFonts w:ascii="宋体" w:eastAsia="宋体" w:hAnsi="宋体" w:cs="宋体"/>
                <w:spacing w:val="-2"/>
                <w:sz w:val="17"/>
                <w:szCs w:val="17"/>
              </w:rPr>
              <w:t>26.25</w:t>
            </w:r>
          </w:p>
        </w:tc>
        <w:tc>
          <w:tcPr>
            <w:tcW w:w="1126" w:type="dxa"/>
            <w:tcBorders>
              <w:bottom w:val="single" w:sz="4" w:space="0" w:color="000000"/>
            </w:tcBorders>
          </w:tcPr>
          <w:p w:rsidR="00EA40A3" w:rsidRDefault="00E86C16">
            <w:pPr>
              <w:spacing w:before="143" w:line="123" w:lineRule="exact"/>
              <w:ind w:left="326"/>
              <w:rPr>
                <w:rFonts w:ascii="宋体" w:eastAsia="宋体" w:hAnsi="宋体" w:cs="宋体"/>
                <w:sz w:val="17"/>
                <w:szCs w:val="17"/>
              </w:rPr>
            </w:pPr>
            <w:r>
              <w:rPr>
                <w:rFonts w:ascii="宋体" w:eastAsia="宋体" w:hAnsi="宋体" w:cs="宋体"/>
                <w:spacing w:val="-2"/>
                <w:position w:val="-2"/>
                <w:sz w:val="17"/>
                <w:szCs w:val="17"/>
              </w:rPr>
              <w:t>84.44</w:t>
            </w:r>
          </w:p>
        </w:tc>
        <w:tc>
          <w:tcPr>
            <w:tcW w:w="1249" w:type="dxa"/>
            <w:tcBorders>
              <w:bottom w:val="single" w:sz="4" w:space="0" w:color="000000"/>
            </w:tcBorders>
          </w:tcPr>
          <w:p w:rsidR="00EA40A3" w:rsidRDefault="00E86C16">
            <w:pPr>
              <w:spacing w:before="104" w:line="177" w:lineRule="auto"/>
              <w:ind w:left="400"/>
              <w:rPr>
                <w:rFonts w:ascii="宋体" w:eastAsia="宋体" w:hAnsi="宋体" w:cs="宋体"/>
                <w:sz w:val="17"/>
                <w:szCs w:val="17"/>
              </w:rPr>
            </w:pPr>
            <w:r>
              <w:rPr>
                <w:rFonts w:ascii="宋体" w:eastAsia="宋体" w:hAnsi="宋体" w:cs="宋体"/>
                <w:spacing w:val="-1"/>
                <w:sz w:val="17"/>
                <w:szCs w:val="17"/>
              </w:rPr>
              <w:t>46.67</w:t>
            </w:r>
          </w:p>
        </w:tc>
      </w:tr>
    </w:tbl>
    <w:p w:rsidR="00EA40A3" w:rsidRDefault="00E86C16">
      <w:pPr>
        <w:spacing w:before="90" w:line="219" w:lineRule="auto"/>
        <w:ind w:left="420"/>
        <w:rPr>
          <w:rFonts w:ascii="宋体" w:eastAsia="宋体" w:hAnsi="宋体" w:cs="宋体"/>
          <w:sz w:val="17"/>
          <w:szCs w:val="17"/>
        </w:rPr>
      </w:pPr>
      <w:r>
        <w:rPr>
          <w:rFonts w:ascii="宋体" w:eastAsia="宋体" w:hAnsi="宋体" w:cs="宋体"/>
          <w:spacing w:val="-3"/>
          <w:sz w:val="17"/>
          <w:szCs w:val="17"/>
        </w:rPr>
        <w:t>数据来源：陈洁，吴小南.2004.微波烹调的营养与食品卫生相关问题的研究.海峡预防医学杂</w:t>
      </w:r>
      <w:r>
        <w:rPr>
          <w:rFonts w:ascii="宋体" w:eastAsia="宋体" w:hAnsi="宋体" w:cs="宋体"/>
          <w:spacing w:val="-4"/>
          <w:sz w:val="17"/>
          <w:szCs w:val="17"/>
        </w:rPr>
        <w:t>志。</w:t>
      </w:r>
    </w:p>
    <w:p w:rsidR="00EA40A3" w:rsidRDefault="00E86C16">
      <w:pPr>
        <w:spacing w:before="13" w:line="222" w:lineRule="auto"/>
        <w:ind w:left="380"/>
        <w:rPr>
          <w:rFonts w:ascii="宋体" w:eastAsia="宋体" w:hAnsi="宋体" w:cs="宋体"/>
          <w:sz w:val="19"/>
          <w:szCs w:val="19"/>
        </w:rPr>
      </w:pPr>
      <w:r>
        <w:rPr>
          <w:rFonts w:ascii="宋体" w:eastAsia="宋体" w:hAnsi="宋体" w:cs="宋体"/>
          <w:spacing w:val="-6"/>
          <w:sz w:val="19"/>
          <w:szCs w:val="19"/>
        </w:rPr>
        <w:t>(10):8</w:t>
      </w:r>
    </w:p>
    <w:p w:rsidR="00EA40A3" w:rsidRDefault="00EA40A3">
      <w:pPr>
        <w:spacing w:line="281" w:lineRule="auto"/>
      </w:pPr>
    </w:p>
    <w:p w:rsidR="00EA40A3" w:rsidRDefault="00E86C16">
      <w:pPr>
        <w:spacing w:before="62" w:line="262" w:lineRule="auto"/>
        <w:ind w:right="246" w:firstLine="380"/>
        <w:rPr>
          <w:rFonts w:ascii="宋体" w:eastAsia="宋体" w:hAnsi="宋体" w:cs="宋体"/>
          <w:sz w:val="19"/>
          <w:szCs w:val="19"/>
        </w:rPr>
      </w:pPr>
      <w:r>
        <w:rPr>
          <w:rFonts w:ascii="宋体" w:eastAsia="宋体" w:hAnsi="宋体" w:cs="宋体"/>
          <w:spacing w:val="23"/>
          <w:sz w:val="19"/>
          <w:szCs w:val="19"/>
        </w:rPr>
        <w:t>研究表明，用微波加热牛肉饼和羊肉饼发现牛肉中的赖氨酸保存率为89%,</w:t>
      </w:r>
      <w:r>
        <w:rPr>
          <w:rFonts w:ascii="宋体" w:eastAsia="宋体" w:hAnsi="宋体" w:cs="宋体"/>
          <w:spacing w:val="15"/>
          <w:sz w:val="19"/>
          <w:szCs w:val="19"/>
        </w:rPr>
        <w:t xml:space="preserve"> </w:t>
      </w:r>
      <w:r>
        <w:rPr>
          <w:rFonts w:ascii="宋体" w:eastAsia="宋体" w:hAnsi="宋体" w:cs="宋体"/>
          <w:spacing w:val="23"/>
          <w:sz w:val="19"/>
          <w:szCs w:val="19"/>
        </w:rPr>
        <w:t>羊肉中的保存率为92%。</w:t>
      </w:r>
    </w:p>
    <w:p w:rsidR="00EA40A3" w:rsidRDefault="00E86C16">
      <w:pPr>
        <w:spacing w:before="72" w:line="274" w:lineRule="auto"/>
        <w:ind w:right="233" w:firstLine="380"/>
        <w:rPr>
          <w:rFonts w:ascii="宋体" w:eastAsia="宋体" w:hAnsi="宋体" w:cs="宋体"/>
          <w:sz w:val="19"/>
          <w:szCs w:val="19"/>
        </w:rPr>
      </w:pPr>
      <w:r>
        <w:rPr>
          <w:rFonts w:ascii="宋体" w:eastAsia="宋体" w:hAnsi="宋体" w:cs="宋体"/>
          <w:spacing w:val="17"/>
          <w:sz w:val="19"/>
          <w:szCs w:val="19"/>
        </w:rPr>
        <w:t>不同的烹调方式对芥菜的品质有很大的影响，相对烫漂、油炒，微波烹调芥</w:t>
      </w:r>
      <w:r>
        <w:rPr>
          <w:rFonts w:ascii="宋体" w:eastAsia="宋体" w:hAnsi="宋体" w:cs="宋体"/>
          <w:spacing w:val="18"/>
          <w:sz w:val="19"/>
          <w:szCs w:val="19"/>
        </w:rPr>
        <w:t xml:space="preserve"> </w:t>
      </w:r>
      <w:r>
        <w:rPr>
          <w:rFonts w:ascii="宋体" w:eastAsia="宋体" w:hAnsi="宋体" w:cs="宋体"/>
          <w:spacing w:val="20"/>
          <w:sz w:val="19"/>
          <w:szCs w:val="19"/>
        </w:rPr>
        <w:t>菜对芥菜的营养价值损失较低。烫漂、油炒都导致芥菜的氨基态氮、维生素C、</w:t>
      </w:r>
      <w:r>
        <w:rPr>
          <w:rFonts w:ascii="宋体" w:eastAsia="宋体" w:hAnsi="宋体" w:cs="宋体"/>
          <w:spacing w:val="15"/>
          <w:sz w:val="19"/>
          <w:szCs w:val="19"/>
        </w:rPr>
        <w:t xml:space="preserve"> </w:t>
      </w:r>
      <w:r>
        <w:rPr>
          <w:rFonts w:ascii="宋体" w:eastAsia="宋体" w:hAnsi="宋体" w:cs="宋体"/>
          <w:spacing w:val="22"/>
          <w:sz w:val="19"/>
          <w:szCs w:val="19"/>
        </w:rPr>
        <w:t>可溶性糖含量降低，微波虽使芥菜的氨基酸氮、维生素</w:t>
      </w:r>
      <w:r>
        <w:rPr>
          <w:rFonts w:ascii="宋体" w:eastAsia="宋体" w:hAnsi="宋体" w:cs="宋体"/>
          <w:spacing w:val="-51"/>
          <w:sz w:val="19"/>
          <w:szCs w:val="19"/>
        </w:rPr>
        <w:t xml:space="preserve"> </w:t>
      </w:r>
      <w:r>
        <w:rPr>
          <w:rFonts w:ascii="宋体" w:eastAsia="宋体" w:hAnsi="宋体" w:cs="宋体"/>
          <w:spacing w:val="22"/>
          <w:sz w:val="19"/>
          <w:szCs w:val="19"/>
        </w:rPr>
        <w:t>C</w:t>
      </w:r>
      <w:r>
        <w:rPr>
          <w:rFonts w:ascii="宋体" w:eastAsia="宋体" w:hAnsi="宋体" w:cs="宋体"/>
          <w:spacing w:val="15"/>
          <w:sz w:val="19"/>
          <w:szCs w:val="19"/>
        </w:rPr>
        <w:t xml:space="preserve"> </w:t>
      </w:r>
      <w:r>
        <w:rPr>
          <w:rFonts w:ascii="宋体" w:eastAsia="宋体" w:hAnsi="宋体" w:cs="宋体"/>
          <w:spacing w:val="22"/>
          <w:sz w:val="19"/>
          <w:szCs w:val="19"/>
        </w:rPr>
        <w:t>降低，但增加了可溶</w:t>
      </w:r>
      <w:r>
        <w:rPr>
          <w:rFonts w:ascii="宋体" w:eastAsia="宋体" w:hAnsi="宋体" w:cs="宋体"/>
          <w:sz w:val="19"/>
          <w:szCs w:val="19"/>
        </w:rPr>
        <w:t xml:space="preserve"> </w:t>
      </w:r>
      <w:r>
        <w:rPr>
          <w:rFonts w:ascii="宋体" w:eastAsia="宋体" w:hAnsi="宋体" w:cs="宋体"/>
          <w:spacing w:val="16"/>
          <w:sz w:val="19"/>
          <w:szCs w:val="19"/>
        </w:rPr>
        <w:t>性糖的含量(见表7-</w:t>
      </w:r>
      <w:r>
        <w:rPr>
          <w:rFonts w:ascii="宋体" w:eastAsia="宋体" w:hAnsi="宋体" w:cs="宋体"/>
          <w:spacing w:val="-45"/>
          <w:sz w:val="19"/>
          <w:szCs w:val="19"/>
        </w:rPr>
        <w:t xml:space="preserve"> </w:t>
      </w:r>
      <w:r>
        <w:rPr>
          <w:rFonts w:ascii="宋体" w:eastAsia="宋体" w:hAnsi="宋体" w:cs="宋体"/>
          <w:spacing w:val="16"/>
          <w:sz w:val="19"/>
          <w:szCs w:val="19"/>
        </w:rPr>
        <w:t>16)。</w:t>
      </w:r>
    </w:p>
    <w:p w:rsidR="00EA40A3" w:rsidRDefault="00EA40A3">
      <w:pPr>
        <w:spacing w:line="305" w:lineRule="auto"/>
      </w:pPr>
    </w:p>
    <w:p w:rsidR="00EA40A3" w:rsidRDefault="00E86C16">
      <w:pPr>
        <w:spacing w:before="62" w:line="220" w:lineRule="auto"/>
        <w:ind w:left="852"/>
        <w:rPr>
          <w:rFonts w:ascii="黑体" w:eastAsia="黑体" w:hAnsi="黑体" w:cs="黑体"/>
          <w:sz w:val="19"/>
          <w:szCs w:val="19"/>
        </w:rPr>
      </w:pPr>
      <w:r>
        <w:rPr>
          <w:rFonts w:ascii="黑体" w:eastAsia="黑体" w:hAnsi="黑体" w:cs="黑体"/>
          <w:b/>
          <w:bCs/>
          <w:spacing w:val="-11"/>
          <w:sz w:val="19"/>
          <w:szCs w:val="19"/>
        </w:rPr>
        <w:t>表7-16</w:t>
      </w:r>
      <w:r>
        <w:rPr>
          <w:rFonts w:ascii="黑体" w:eastAsia="黑体" w:hAnsi="黑体" w:cs="黑体"/>
          <w:spacing w:val="88"/>
          <w:sz w:val="19"/>
          <w:szCs w:val="19"/>
        </w:rPr>
        <w:t xml:space="preserve"> </w:t>
      </w:r>
      <w:r>
        <w:rPr>
          <w:rFonts w:ascii="黑体" w:eastAsia="黑体" w:hAnsi="黑体" w:cs="黑体"/>
          <w:b/>
          <w:bCs/>
          <w:spacing w:val="-11"/>
          <w:sz w:val="19"/>
          <w:szCs w:val="19"/>
        </w:rPr>
        <w:t>不同烹调方法对芥菜氨基态氮、维生素C、</w:t>
      </w:r>
      <w:r>
        <w:rPr>
          <w:rFonts w:ascii="黑体" w:eastAsia="黑体" w:hAnsi="黑体" w:cs="黑体"/>
          <w:spacing w:val="-39"/>
          <w:sz w:val="19"/>
          <w:szCs w:val="19"/>
        </w:rPr>
        <w:t xml:space="preserve"> </w:t>
      </w:r>
      <w:r>
        <w:rPr>
          <w:rFonts w:ascii="黑体" w:eastAsia="黑体" w:hAnsi="黑体" w:cs="黑体"/>
          <w:b/>
          <w:bCs/>
          <w:spacing w:val="-11"/>
          <w:sz w:val="19"/>
          <w:szCs w:val="19"/>
        </w:rPr>
        <w:t>可溶性糖含量的影响</w:t>
      </w:r>
    </w:p>
    <w:p w:rsidR="00EA40A3" w:rsidRDefault="00E86C16">
      <w:pPr>
        <w:spacing w:before="102" w:line="214" w:lineRule="auto"/>
        <w:ind w:left="5950"/>
        <w:rPr>
          <w:rFonts w:ascii="宋体" w:eastAsia="宋体" w:hAnsi="宋体" w:cs="宋体"/>
          <w:sz w:val="16"/>
          <w:szCs w:val="16"/>
        </w:rPr>
      </w:pPr>
      <w:r>
        <w:rPr>
          <w:rFonts w:ascii="宋体" w:eastAsia="宋体" w:hAnsi="宋体" w:cs="宋体"/>
          <w:spacing w:val="5"/>
          <w:sz w:val="16"/>
          <w:szCs w:val="16"/>
        </w:rPr>
        <w:t>(单位：</w:t>
      </w:r>
      <w:r>
        <w:rPr>
          <w:rFonts w:ascii="宋体" w:eastAsia="宋体" w:hAnsi="宋体" w:cs="宋体"/>
          <w:sz w:val="16"/>
          <w:szCs w:val="16"/>
        </w:rPr>
        <w:t>mg</w:t>
      </w:r>
      <w:r>
        <w:rPr>
          <w:rFonts w:ascii="宋体" w:eastAsia="宋体" w:hAnsi="宋体" w:cs="宋体"/>
          <w:spacing w:val="5"/>
          <w:sz w:val="16"/>
          <w:szCs w:val="16"/>
        </w:rPr>
        <w:t>/</w:t>
      </w:r>
      <w:r>
        <w:rPr>
          <w:rFonts w:ascii="宋体" w:eastAsia="宋体" w:hAnsi="宋体" w:cs="宋体"/>
          <w:sz w:val="16"/>
          <w:szCs w:val="16"/>
        </w:rPr>
        <w:t>kg</w:t>
      </w:r>
      <w:r>
        <w:rPr>
          <w:rFonts w:ascii="宋体" w:eastAsia="宋体" w:hAnsi="宋体" w:cs="宋体"/>
          <w:spacing w:val="5"/>
          <w:sz w:val="16"/>
          <w:szCs w:val="16"/>
        </w:rPr>
        <w:t>)</w:t>
      </w:r>
    </w:p>
    <w:p w:rsidR="00EA40A3" w:rsidRDefault="00EA40A3">
      <w:pPr>
        <w:spacing w:line="18" w:lineRule="exact"/>
      </w:pPr>
    </w:p>
    <w:tbl>
      <w:tblPr>
        <w:tblStyle w:val="TableNormal"/>
        <w:tblW w:w="7329" w:type="dxa"/>
        <w:tblInd w:w="3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373"/>
        <w:gridCol w:w="1952"/>
        <w:gridCol w:w="1116"/>
        <w:gridCol w:w="1465"/>
        <w:gridCol w:w="1423"/>
      </w:tblGrid>
      <w:tr w:rsidR="00EA40A3">
        <w:trPr>
          <w:trHeight w:val="292"/>
        </w:trPr>
        <w:tc>
          <w:tcPr>
            <w:tcW w:w="1373" w:type="dxa"/>
            <w:tcBorders>
              <w:top w:val="single" w:sz="4" w:space="0" w:color="000000"/>
            </w:tcBorders>
          </w:tcPr>
          <w:p w:rsidR="00EA40A3" w:rsidRDefault="00E86C16">
            <w:pPr>
              <w:spacing w:before="81" w:line="219" w:lineRule="auto"/>
              <w:ind w:left="489"/>
              <w:rPr>
                <w:rFonts w:ascii="宋体" w:eastAsia="宋体" w:hAnsi="宋体" w:cs="宋体"/>
                <w:sz w:val="16"/>
                <w:szCs w:val="16"/>
              </w:rPr>
            </w:pPr>
            <w:r>
              <w:rPr>
                <w:rFonts w:ascii="宋体" w:eastAsia="宋体" w:hAnsi="宋体" w:cs="宋体"/>
                <w:spacing w:val="-3"/>
                <w:sz w:val="16"/>
                <w:szCs w:val="16"/>
              </w:rPr>
              <w:t>营养成分</w:t>
            </w:r>
          </w:p>
        </w:tc>
        <w:tc>
          <w:tcPr>
            <w:tcW w:w="1952" w:type="dxa"/>
            <w:tcBorders>
              <w:top w:val="single" w:sz="4" w:space="0" w:color="000000"/>
            </w:tcBorders>
          </w:tcPr>
          <w:p w:rsidR="00EA40A3" w:rsidRDefault="00825D12">
            <w:pPr>
              <w:spacing w:before="82" w:line="221" w:lineRule="auto"/>
              <w:ind w:left="816"/>
              <w:rPr>
                <w:rFonts w:ascii="宋体" w:eastAsia="宋体" w:hAnsi="宋体" w:cs="宋体"/>
                <w:sz w:val="16"/>
                <w:szCs w:val="16"/>
              </w:rPr>
            </w:pPr>
            <w:r>
              <w:rPr>
                <w:noProof/>
              </w:rPr>
              <mc:AlternateContent>
                <mc:Choice Requires="wps">
                  <w:drawing>
                    <wp:anchor distT="0" distB="0" distL="114300" distR="114300" simplePos="0" relativeHeight="251704320" behindDoc="1" locked="0" layoutInCell="1" allowOverlap="1">
                      <wp:simplePos x="0" y="0"/>
                      <wp:positionH relativeFrom="column">
                        <wp:posOffset>162560</wp:posOffset>
                      </wp:positionH>
                      <wp:positionV relativeFrom="paragraph">
                        <wp:posOffset>-6350</wp:posOffset>
                      </wp:positionV>
                      <wp:extent cx="902970" cy="190500"/>
                      <wp:effectExtent l="11430" t="6350" r="9525" b="3175"/>
                      <wp:wrapNone/>
                      <wp:docPr id="13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970" cy="190500"/>
                              </a:xfrm>
                              <a:custGeom>
                                <a:avLst/>
                                <a:gdLst>
                                  <a:gd name="T0" fmla="*/ 1420 w 1421"/>
                                  <a:gd name="T1" fmla="*/ 294 h 300"/>
                                  <a:gd name="T2" fmla="*/ 1 w 1421"/>
                                  <a:gd name="T3" fmla="*/ 4 h 300"/>
                                </a:gdLst>
                                <a:ahLst/>
                                <a:cxnLst>
                                  <a:cxn ang="0">
                                    <a:pos x="T0" y="T1"/>
                                  </a:cxn>
                                  <a:cxn ang="0">
                                    <a:pos x="T2" y="T3"/>
                                  </a:cxn>
                                </a:cxnLst>
                                <a:rect l="0" t="0" r="r" b="b"/>
                                <a:pathLst>
                                  <a:path w="1421" h="300">
                                    <a:moveTo>
                                      <a:pt x="1420" y="294"/>
                                    </a:moveTo>
                                    <a:lnTo>
                                      <a:pt x="1" y="4"/>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37980" id="Freeform 33" o:spid="_x0000_s1026" style="position:absolute;left:0;text-align:left;margin-left:12.8pt;margin-top:-.5pt;width:71.1pt;height: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2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" path="m1420,294l1,4e" filled="f" strokeweight=".5pt">
                      <v:stroke miterlimit="10" joinstyle="miter"/>
                      <v:path o:connecttype="custom" o:connectlocs="902335,186690;635,2540" o:connectangles="0,0"/>
                    </v:shape>
                  </w:pict>
                </mc:Fallback>
              </mc:AlternateContent>
            </w:r>
            <w:r w:rsidR="00E86C16">
              <w:rPr>
                <w:rFonts w:ascii="宋体" w:eastAsia="宋体" w:hAnsi="宋体" w:cs="宋体"/>
                <w:spacing w:val="-2"/>
                <w:sz w:val="16"/>
                <w:szCs w:val="16"/>
              </w:rPr>
              <w:t>对照</w:t>
            </w:r>
          </w:p>
        </w:tc>
        <w:tc>
          <w:tcPr>
            <w:tcW w:w="1116" w:type="dxa"/>
            <w:tcBorders>
              <w:top w:val="single" w:sz="4" w:space="0" w:color="000000"/>
            </w:tcBorders>
          </w:tcPr>
          <w:p w:rsidR="00EA40A3" w:rsidRDefault="00E86C16">
            <w:pPr>
              <w:spacing w:before="71" w:line="219" w:lineRule="auto"/>
              <w:ind w:left="274"/>
              <w:rPr>
                <w:rFonts w:ascii="宋体" w:eastAsia="宋体" w:hAnsi="宋体" w:cs="宋体"/>
                <w:sz w:val="16"/>
                <w:szCs w:val="16"/>
              </w:rPr>
            </w:pPr>
            <w:r>
              <w:rPr>
                <w:rFonts w:ascii="宋体" w:eastAsia="宋体" w:hAnsi="宋体" w:cs="宋体"/>
                <w:spacing w:val="-3"/>
                <w:sz w:val="16"/>
                <w:szCs w:val="16"/>
              </w:rPr>
              <w:t>汤漂</w:t>
            </w:r>
          </w:p>
        </w:tc>
        <w:tc>
          <w:tcPr>
            <w:tcW w:w="1465" w:type="dxa"/>
            <w:tcBorders>
              <w:top w:val="single" w:sz="4" w:space="0" w:color="000000"/>
            </w:tcBorders>
          </w:tcPr>
          <w:p w:rsidR="00EA40A3" w:rsidRDefault="00E86C16">
            <w:pPr>
              <w:spacing w:before="71" w:line="219" w:lineRule="auto"/>
              <w:ind w:left="579"/>
              <w:rPr>
                <w:rFonts w:ascii="宋体" w:eastAsia="宋体" w:hAnsi="宋体" w:cs="宋体"/>
                <w:sz w:val="16"/>
                <w:szCs w:val="16"/>
              </w:rPr>
            </w:pPr>
            <w:r>
              <w:rPr>
                <w:rFonts w:ascii="宋体" w:eastAsia="宋体" w:hAnsi="宋体" w:cs="宋体"/>
                <w:spacing w:val="-2"/>
                <w:sz w:val="16"/>
                <w:szCs w:val="16"/>
              </w:rPr>
              <w:t>微波</w:t>
            </w:r>
          </w:p>
        </w:tc>
        <w:tc>
          <w:tcPr>
            <w:tcW w:w="1423" w:type="dxa"/>
            <w:tcBorders>
              <w:top w:val="single" w:sz="4" w:space="0" w:color="000000"/>
            </w:tcBorders>
          </w:tcPr>
          <w:p w:rsidR="00EA40A3" w:rsidRDefault="00E86C16">
            <w:pPr>
              <w:spacing w:before="82" w:line="221" w:lineRule="auto"/>
              <w:ind w:left="553"/>
              <w:rPr>
                <w:rFonts w:ascii="宋体" w:eastAsia="宋体" w:hAnsi="宋体" w:cs="宋体"/>
                <w:sz w:val="16"/>
                <w:szCs w:val="16"/>
              </w:rPr>
            </w:pPr>
            <w:r>
              <w:rPr>
                <w:rFonts w:ascii="宋体" w:eastAsia="宋体" w:hAnsi="宋体" w:cs="宋体"/>
                <w:spacing w:val="-3"/>
                <w:sz w:val="16"/>
                <w:szCs w:val="16"/>
              </w:rPr>
              <w:t>油炒</w:t>
            </w:r>
          </w:p>
        </w:tc>
      </w:tr>
      <w:tr w:rsidR="00EA40A3">
        <w:trPr>
          <w:trHeight w:val="272"/>
        </w:trPr>
        <w:tc>
          <w:tcPr>
            <w:tcW w:w="1373" w:type="dxa"/>
          </w:tcPr>
          <w:p w:rsidR="00EA40A3" w:rsidRDefault="00E86C16">
            <w:pPr>
              <w:spacing w:before="58" w:line="219" w:lineRule="auto"/>
              <w:ind w:left="489"/>
              <w:rPr>
                <w:rFonts w:ascii="宋体" w:eastAsia="宋体" w:hAnsi="宋体" w:cs="宋体"/>
                <w:sz w:val="16"/>
                <w:szCs w:val="16"/>
              </w:rPr>
            </w:pPr>
            <w:r>
              <w:rPr>
                <w:rFonts w:ascii="宋体" w:eastAsia="宋体" w:hAnsi="宋体" w:cs="宋体"/>
                <w:spacing w:val="-2"/>
                <w:sz w:val="16"/>
                <w:szCs w:val="16"/>
              </w:rPr>
              <w:t>氨基态氮</w:t>
            </w:r>
          </w:p>
        </w:tc>
        <w:tc>
          <w:tcPr>
            <w:tcW w:w="1952" w:type="dxa"/>
          </w:tcPr>
          <w:p w:rsidR="00EA40A3" w:rsidRDefault="00E86C16">
            <w:pPr>
              <w:spacing w:before="121" w:line="174" w:lineRule="auto"/>
              <w:ind w:left="856"/>
              <w:rPr>
                <w:rFonts w:ascii="宋体" w:eastAsia="宋体" w:hAnsi="宋体" w:cs="宋体"/>
                <w:sz w:val="16"/>
                <w:szCs w:val="16"/>
              </w:rPr>
            </w:pPr>
            <w:r>
              <w:rPr>
                <w:rFonts w:ascii="宋体" w:eastAsia="宋体" w:hAnsi="宋体" w:cs="宋体"/>
                <w:spacing w:val="-2"/>
                <w:sz w:val="16"/>
                <w:szCs w:val="16"/>
              </w:rPr>
              <w:t>290</w:t>
            </w:r>
          </w:p>
        </w:tc>
        <w:tc>
          <w:tcPr>
            <w:tcW w:w="1116" w:type="dxa"/>
          </w:tcPr>
          <w:p w:rsidR="00EA40A3" w:rsidRDefault="00E86C16">
            <w:pPr>
              <w:spacing w:before="110" w:line="183" w:lineRule="auto"/>
              <w:ind w:left="354"/>
              <w:rPr>
                <w:rFonts w:ascii="宋体" w:eastAsia="宋体" w:hAnsi="宋体" w:cs="宋体"/>
                <w:sz w:val="16"/>
                <w:szCs w:val="16"/>
              </w:rPr>
            </w:pPr>
            <w:r>
              <w:rPr>
                <w:rFonts w:ascii="宋体" w:eastAsia="宋体" w:hAnsi="宋体" w:cs="宋体"/>
                <w:spacing w:val="-2"/>
                <w:sz w:val="16"/>
                <w:szCs w:val="16"/>
              </w:rPr>
              <w:t>85</w:t>
            </w:r>
          </w:p>
        </w:tc>
        <w:tc>
          <w:tcPr>
            <w:tcW w:w="1465" w:type="dxa"/>
          </w:tcPr>
          <w:p w:rsidR="00EA40A3" w:rsidRDefault="00E86C16">
            <w:pPr>
              <w:spacing w:before="121" w:line="174" w:lineRule="auto"/>
              <w:ind w:left="618"/>
              <w:rPr>
                <w:rFonts w:ascii="宋体" w:eastAsia="宋体" w:hAnsi="宋体" w:cs="宋体"/>
                <w:sz w:val="16"/>
                <w:szCs w:val="16"/>
              </w:rPr>
            </w:pPr>
            <w:r>
              <w:rPr>
                <w:rFonts w:ascii="宋体" w:eastAsia="宋体" w:hAnsi="宋体" w:cs="宋体"/>
                <w:spacing w:val="-2"/>
                <w:sz w:val="16"/>
                <w:szCs w:val="16"/>
              </w:rPr>
              <w:t>225</w:t>
            </w:r>
          </w:p>
        </w:tc>
        <w:tc>
          <w:tcPr>
            <w:tcW w:w="1423" w:type="dxa"/>
          </w:tcPr>
          <w:p w:rsidR="00EA40A3" w:rsidRDefault="00E86C16">
            <w:pPr>
              <w:spacing w:before="120" w:line="175" w:lineRule="auto"/>
              <w:ind w:left="594"/>
              <w:rPr>
                <w:rFonts w:ascii="宋体" w:eastAsia="宋体" w:hAnsi="宋体" w:cs="宋体"/>
                <w:sz w:val="16"/>
                <w:szCs w:val="16"/>
              </w:rPr>
            </w:pPr>
            <w:r>
              <w:rPr>
                <w:rFonts w:ascii="宋体" w:eastAsia="宋体" w:hAnsi="宋体" w:cs="宋体"/>
                <w:spacing w:val="-2"/>
                <w:sz w:val="16"/>
                <w:szCs w:val="16"/>
              </w:rPr>
              <w:t>210</w:t>
            </w:r>
          </w:p>
        </w:tc>
      </w:tr>
      <w:tr w:rsidR="00EA40A3">
        <w:trPr>
          <w:trHeight w:val="268"/>
        </w:trPr>
        <w:tc>
          <w:tcPr>
            <w:tcW w:w="1373" w:type="dxa"/>
          </w:tcPr>
          <w:p w:rsidR="00EA40A3" w:rsidRDefault="00E86C16">
            <w:pPr>
              <w:spacing w:before="47" w:line="219" w:lineRule="auto"/>
              <w:ind w:left="529"/>
              <w:rPr>
                <w:rFonts w:ascii="宋体" w:eastAsia="宋体" w:hAnsi="宋体" w:cs="宋体"/>
                <w:sz w:val="16"/>
                <w:szCs w:val="16"/>
              </w:rPr>
            </w:pPr>
            <w:r>
              <w:rPr>
                <w:rFonts w:ascii="宋体" w:eastAsia="宋体" w:hAnsi="宋体" w:cs="宋体"/>
                <w:spacing w:val="-2"/>
                <w:sz w:val="16"/>
                <w:szCs w:val="16"/>
              </w:rPr>
              <w:t>维生素C</w:t>
            </w:r>
          </w:p>
        </w:tc>
        <w:tc>
          <w:tcPr>
            <w:tcW w:w="1952" w:type="dxa"/>
          </w:tcPr>
          <w:p w:rsidR="00EA40A3" w:rsidRDefault="00E86C16">
            <w:pPr>
              <w:spacing w:before="87" w:line="184" w:lineRule="auto"/>
              <w:ind w:left="816"/>
              <w:rPr>
                <w:rFonts w:ascii="宋体" w:eastAsia="宋体" w:hAnsi="宋体" w:cs="宋体"/>
                <w:sz w:val="16"/>
                <w:szCs w:val="16"/>
              </w:rPr>
            </w:pPr>
            <w:r>
              <w:rPr>
                <w:rFonts w:ascii="宋体" w:eastAsia="宋体" w:hAnsi="宋体" w:cs="宋体"/>
                <w:spacing w:val="-4"/>
                <w:sz w:val="16"/>
                <w:szCs w:val="16"/>
              </w:rPr>
              <w:t>1340</w:t>
            </w:r>
          </w:p>
        </w:tc>
        <w:tc>
          <w:tcPr>
            <w:tcW w:w="1116" w:type="dxa"/>
          </w:tcPr>
          <w:p w:rsidR="00EA40A3" w:rsidRDefault="00E86C16">
            <w:pPr>
              <w:spacing w:before="87" w:line="184" w:lineRule="auto"/>
              <w:ind w:left="314"/>
              <w:rPr>
                <w:rFonts w:ascii="宋体" w:eastAsia="宋体" w:hAnsi="宋体" w:cs="宋体"/>
                <w:sz w:val="16"/>
                <w:szCs w:val="16"/>
              </w:rPr>
            </w:pPr>
            <w:r>
              <w:rPr>
                <w:rFonts w:ascii="宋体" w:eastAsia="宋体" w:hAnsi="宋体" w:cs="宋体"/>
                <w:spacing w:val="-3"/>
                <w:sz w:val="16"/>
                <w:szCs w:val="16"/>
              </w:rPr>
              <w:t>510</w:t>
            </w:r>
          </w:p>
        </w:tc>
        <w:tc>
          <w:tcPr>
            <w:tcW w:w="1465" w:type="dxa"/>
          </w:tcPr>
          <w:p w:rsidR="00EA40A3" w:rsidRDefault="00E86C16">
            <w:pPr>
              <w:spacing w:before="87" w:line="184" w:lineRule="auto"/>
              <w:ind w:left="579"/>
              <w:rPr>
                <w:rFonts w:ascii="宋体" w:eastAsia="宋体" w:hAnsi="宋体" w:cs="宋体"/>
                <w:sz w:val="16"/>
                <w:szCs w:val="16"/>
              </w:rPr>
            </w:pPr>
            <w:r>
              <w:rPr>
                <w:rFonts w:ascii="宋体" w:eastAsia="宋体" w:hAnsi="宋体" w:cs="宋体"/>
                <w:spacing w:val="-4"/>
                <w:sz w:val="16"/>
                <w:szCs w:val="16"/>
              </w:rPr>
              <w:t>1200</w:t>
            </w:r>
          </w:p>
        </w:tc>
        <w:tc>
          <w:tcPr>
            <w:tcW w:w="1423" w:type="dxa"/>
          </w:tcPr>
          <w:p w:rsidR="00EA40A3" w:rsidRDefault="00E86C16">
            <w:pPr>
              <w:spacing w:before="87" w:line="184" w:lineRule="auto"/>
              <w:ind w:left="553"/>
              <w:rPr>
                <w:rFonts w:ascii="宋体" w:eastAsia="宋体" w:hAnsi="宋体" w:cs="宋体"/>
                <w:sz w:val="16"/>
                <w:szCs w:val="16"/>
              </w:rPr>
            </w:pPr>
            <w:r>
              <w:rPr>
                <w:rFonts w:ascii="宋体" w:eastAsia="宋体" w:hAnsi="宋体" w:cs="宋体"/>
                <w:spacing w:val="-4"/>
                <w:sz w:val="16"/>
                <w:szCs w:val="16"/>
              </w:rPr>
              <w:t>1050</w:t>
            </w:r>
          </w:p>
        </w:tc>
      </w:tr>
      <w:tr w:rsidR="00EA40A3">
        <w:trPr>
          <w:trHeight w:val="257"/>
        </w:trPr>
        <w:tc>
          <w:tcPr>
            <w:tcW w:w="1373" w:type="dxa"/>
            <w:tcBorders>
              <w:bottom w:val="single" w:sz="4" w:space="0" w:color="000000"/>
            </w:tcBorders>
          </w:tcPr>
          <w:p w:rsidR="00EA40A3" w:rsidRDefault="00E86C16">
            <w:pPr>
              <w:spacing w:before="80" w:line="204" w:lineRule="auto"/>
              <w:ind w:left="489"/>
              <w:rPr>
                <w:rFonts w:ascii="宋体" w:eastAsia="宋体" w:hAnsi="宋体" w:cs="宋体"/>
                <w:sz w:val="16"/>
                <w:szCs w:val="16"/>
              </w:rPr>
            </w:pPr>
            <w:r>
              <w:rPr>
                <w:rFonts w:ascii="宋体" w:eastAsia="宋体" w:hAnsi="宋体" w:cs="宋体"/>
                <w:spacing w:val="-2"/>
                <w:sz w:val="16"/>
                <w:szCs w:val="16"/>
              </w:rPr>
              <w:t>可溶性糖</w:t>
            </w:r>
          </w:p>
        </w:tc>
        <w:tc>
          <w:tcPr>
            <w:tcW w:w="1952" w:type="dxa"/>
            <w:tcBorders>
              <w:bottom w:val="single" w:sz="4" w:space="0" w:color="000000"/>
            </w:tcBorders>
          </w:tcPr>
          <w:p w:rsidR="00EA40A3" w:rsidRDefault="00E86C16">
            <w:pPr>
              <w:spacing w:before="89" w:line="184" w:lineRule="auto"/>
              <w:ind w:left="777"/>
              <w:rPr>
                <w:rFonts w:ascii="宋体" w:eastAsia="宋体" w:hAnsi="宋体" w:cs="宋体"/>
                <w:sz w:val="16"/>
                <w:szCs w:val="16"/>
              </w:rPr>
            </w:pPr>
            <w:r>
              <w:rPr>
                <w:rFonts w:ascii="宋体" w:eastAsia="宋体" w:hAnsi="宋体" w:cs="宋体"/>
                <w:spacing w:val="-3"/>
                <w:sz w:val="16"/>
                <w:szCs w:val="16"/>
              </w:rPr>
              <w:t>10000</w:t>
            </w:r>
          </w:p>
        </w:tc>
        <w:tc>
          <w:tcPr>
            <w:tcW w:w="1116" w:type="dxa"/>
            <w:tcBorders>
              <w:bottom w:val="single" w:sz="4" w:space="0" w:color="000000"/>
            </w:tcBorders>
          </w:tcPr>
          <w:p w:rsidR="00EA40A3" w:rsidRDefault="00E86C16">
            <w:pPr>
              <w:spacing w:before="90" w:line="183" w:lineRule="auto"/>
              <w:ind w:left="274"/>
              <w:rPr>
                <w:rFonts w:ascii="宋体" w:eastAsia="宋体" w:hAnsi="宋体" w:cs="宋体"/>
                <w:sz w:val="16"/>
                <w:szCs w:val="16"/>
              </w:rPr>
            </w:pPr>
            <w:r>
              <w:rPr>
                <w:rFonts w:ascii="宋体" w:eastAsia="宋体" w:hAnsi="宋体" w:cs="宋体"/>
                <w:spacing w:val="-2"/>
                <w:sz w:val="16"/>
                <w:szCs w:val="16"/>
              </w:rPr>
              <w:t>5200</w:t>
            </w:r>
          </w:p>
        </w:tc>
        <w:tc>
          <w:tcPr>
            <w:tcW w:w="1465" w:type="dxa"/>
            <w:tcBorders>
              <w:bottom w:val="single" w:sz="4" w:space="0" w:color="000000"/>
            </w:tcBorders>
          </w:tcPr>
          <w:p w:rsidR="00EA40A3" w:rsidRDefault="00E86C16">
            <w:pPr>
              <w:spacing w:before="89" w:line="184" w:lineRule="auto"/>
              <w:ind w:left="538"/>
              <w:rPr>
                <w:rFonts w:ascii="宋体" w:eastAsia="宋体" w:hAnsi="宋体" w:cs="宋体"/>
                <w:sz w:val="16"/>
                <w:szCs w:val="16"/>
              </w:rPr>
            </w:pPr>
            <w:r>
              <w:rPr>
                <w:rFonts w:ascii="宋体" w:eastAsia="宋体" w:hAnsi="宋体" w:cs="宋体"/>
                <w:spacing w:val="-3"/>
                <w:sz w:val="16"/>
                <w:szCs w:val="16"/>
              </w:rPr>
              <w:t>11000</w:t>
            </w:r>
          </w:p>
        </w:tc>
        <w:tc>
          <w:tcPr>
            <w:tcW w:w="1423" w:type="dxa"/>
            <w:tcBorders>
              <w:bottom w:val="single" w:sz="4" w:space="0" w:color="000000"/>
            </w:tcBorders>
          </w:tcPr>
          <w:p w:rsidR="00EA40A3" w:rsidRDefault="00E86C16">
            <w:pPr>
              <w:spacing w:before="90" w:line="183" w:lineRule="auto"/>
              <w:ind w:left="553"/>
              <w:rPr>
                <w:rFonts w:ascii="宋体" w:eastAsia="宋体" w:hAnsi="宋体" w:cs="宋体"/>
                <w:sz w:val="16"/>
                <w:szCs w:val="16"/>
              </w:rPr>
            </w:pPr>
            <w:r>
              <w:rPr>
                <w:rFonts w:ascii="宋体" w:eastAsia="宋体" w:hAnsi="宋体" w:cs="宋体"/>
                <w:spacing w:val="-2"/>
                <w:sz w:val="16"/>
                <w:szCs w:val="16"/>
              </w:rPr>
              <w:t>7000</w:t>
            </w:r>
          </w:p>
        </w:tc>
      </w:tr>
    </w:tbl>
    <w:p w:rsidR="00EA40A3" w:rsidRDefault="00E86C16">
      <w:pPr>
        <w:spacing w:before="80" w:line="238" w:lineRule="auto"/>
        <w:ind w:left="380" w:right="332"/>
        <w:rPr>
          <w:rFonts w:ascii="宋体" w:eastAsia="宋体" w:hAnsi="宋体" w:cs="宋体"/>
          <w:sz w:val="16"/>
          <w:szCs w:val="16"/>
        </w:rPr>
      </w:pPr>
      <w:r>
        <w:rPr>
          <w:rFonts w:ascii="宋体" w:eastAsia="宋体" w:hAnsi="宋体" w:cs="宋体"/>
          <w:sz w:val="16"/>
          <w:szCs w:val="16"/>
        </w:rPr>
        <w:t>数据来源：常丽新，刘晶芝，王换霞等.2005.不同烹调方法对野生蔬菜品质的影</w:t>
      </w:r>
      <w:r>
        <w:rPr>
          <w:rFonts w:ascii="宋体" w:eastAsia="宋体" w:hAnsi="宋体" w:cs="宋体"/>
          <w:spacing w:val="-1"/>
          <w:sz w:val="16"/>
          <w:szCs w:val="16"/>
        </w:rPr>
        <w:t>响.食品研究与开</w:t>
      </w:r>
      <w:r>
        <w:rPr>
          <w:rFonts w:ascii="宋体" w:eastAsia="宋体" w:hAnsi="宋体" w:cs="宋体"/>
          <w:sz w:val="16"/>
          <w:szCs w:val="16"/>
        </w:rPr>
        <w:t xml:space="preserve"> </w:t>
      </w:r>
      <w:r>
        <w:rPr>
          <w:rFonts w:ascii="宋体" w:eastAsia="宋体" w:hAnsi="宋体" w:cs="宋体"/>
          <w:spacing w:val="4"/>
          <w:sz w:val="16"/>
          <w:szCs w:val="16"/>
        </w:rPr>
        <w:t>发，(2):115～118</w:t>
      </w:r>
    </w:p>
    <w:p w:rsidR="00EA40A3" w:rsidRDefault="00E86C16">
      <w:pPr>
        <w:spacing w:before="238" w:line="222" w:lineRule="auto"/>
        <w:ind w:left="3162"/>
        <w:rPr>
          <w:rFonts w:ascii="黑体" w:eastAsia="黑体" w:hAnsi="黑体" w:cs="黑体"/>
          <w:sz w:val="19"/>
          <w:szCs w:val="19"/>
        </w:rPr>
      </w:pPr>
      <w:r>
        <w:rPr>
          <w:rFonts w:ascii="黑体" w:eastAsia="黑体" w:hAnsi="黑体" w:cs="黑体"/>
          <w:b/>
          <w:bCs/>
          <w:spacing w:val="-7"/>
          <w:sz w:val="19"/>
          <w:szCs w:val="19"/>
        </w:rPr>
        <w:t>思</w:t>
      </w:r>
      <w:r>
        <w:rPr>
          <w:rFonts w:ascii="黑体" w:eastAsia="黑体" w:hAnsi="黑体" w:cs="黑体"/>
          <w:spacing w:val="38"/>
          <w:sz w:val="19"/>
          <w:szCs w:val="19"/>
        </w:rPr>
        <w:t xml:space="preserve">  </w:t>
      </w:r>
      <w:r>
        <w:rPr>
          <w:rFonts w:ascii="黑体" w:eastAsia="黑体" w:hAnsi="黑体" w:cs="黑体"/>
          <w:b/>
          <w:bCs/>
          <w:spacing w:val="-7"/>
          <w:sz w:val="19"/>
          <w:szCs w:val="19"/>
        </w:rPr>
        <w:t>考</w:t>
      </w:r>
      <w:r>
        <w:rPr>
          <w:rFonts w:ascii="黑体" w:eastAsia="黑体" w:hAnsi="黑体" w:cs="黑体"/>
          <w:spacing w:val="3"/>
          <w:sz w:val="19"/>
          <w:szCs w:val="19"/>
        </w:rPr>
        <w:t xml:space="preserve">  </w:t>
      </w:r>
      <w:r>
        <w:rPr>
          <w:rFonts w:ascii="黑体" w:eastAsia="黑体" w:hAnsi="黑体" w:cs="黑体"/>
          <w:b/>
          <w:bCs/>
          <w:spacing w:val="-7"/>
          <w:sz w:val="19"/>
          <w:szCs w:val="19"/>
        </w:rPr>
        <w:t>题</w:t>
      </w:r>
    </w:p>
    <w:p w:rsidR="00EA40A3" w:rsidRDefault="00E86C16">
      <w:pPr>
        <w:spacing w:before="212" w:line="218" w:lineRule="auto"/>
        <w:ind w:left="380"/>
        <w:rPr>
          <w:rFonts w:ascii="宋体" w:eastAsia="宋体" w:hAnsi="宋体" w:cs="宋体"/>
          <w:sz w:val="19"/>
          <w:szCs w:val="19"/>
        </w:rPr>
      </w:pPr>
      <w:r>
        <w:rPr>
          <w:rFonts w:ascii="宋体" w:eastAsia="宋体" w:hAnsi="宋体" w:cs="宋体"/>
          <w:spacing w:val="-12"/>
          <w:sz w:val="19"/>
          <w:szCs w:val="19"/>
        </w:rPr>
        <w:t>1.</w:t>
      </w:r>
      <w:r>
        <w:rPr>
          <w:rFonts w:ascii="宋体" w:eastAsia="宋体" w:hAnsi="宋体" w:cs="宋体"/>
          <w:spacing w:val="-21"/>
          <w:sz w:val="19"/>
          <w:szCs w:val="19"/>
        </w:rPr>
        <w:t xml:space="preserve"> </w:t>
      </w:r>
      <w:r>
        <w:rPr>
          <w:rFonts w:ascii="宋体" w:eastAsia="宋体" w:hAnsi="宋体" w:cs="宋体"/>
          <w:spacing w:val="-12"/>
          <w:sz w:val="19"/>
          <w:szCs w:val="19"/>
        </w:rPr>
        <w:t>简述加热处理对食品营养价值的影响。</w:t>
      </w:r>
    </w:p>
    <w:p w:rsidR="00EA40A3" w:rsidRDefault="00E86C16">
      <w:pPr>
        <w:spacing w:before="26" w:line="218" w:lineRule="auto"/>
        <w:ind w:left="380"/>
        <w:rPr>
          <w:rFonts w:ascii="宋体" w:eastAsia="宋体" w:hAnsi="宋体" w:cs="宋体"/>
          <w:sz w:val="19"/>
          <w:szCs w:val="19"/>
        </w:rPr>
      </w:pPr>
      <w:r>
        <w:rPr>
          <w:rFonts w:ascii="宋体" w:eastAsia="宋体" w:hAnsi="宋体" w:cs="宋体"/>
          <w:spacing w:val="-11"/>
          <w:sz w:val="19"/>
          <w:szCs w:val="19"/>
        </w:rPr>
        <w:t>2.</w:t>
      </w:r>
      <w:r>
        <w:rPr>
          <w:rFonts w:ascii="宋体" w:eastAsia="宋体" w:hAnsi="宋体" w:cs="宋体"/>
          <w:spacing w:val="-22"/>
          <w:sz w:val="19"/>
          <w:szCs w:val="19"/>
        </w:rPr>
        <w:t xml:space="preserve"> </w:t>
      </w:r>
      <w:r>
        <w:rPr>
          <w:rFonts w:ascii="宋体" w:eastAsia="宋体" w:hAnsi="宋体" w:cs="宋体"/>
          <w:spacing w:val="-11"/>
          <w:sz w:val="19"/>
          <w:szCs w:val="19"/>
        </w:rPr>
        <w:t>以发酵豆制品为例，简述发酵处理对食品营养价值的影响。</w:t>
      </w:r>
    </w:p>
    <w:p w:rsidR="00EA40A3" w:rsidRDefault="00E86C16">
      <w:pPr>
        <w:spacing w:before="26" w:line="218" w:lineRule="auto"/>
        <w:ind w:left="380"/>
        <w:rPr>
          <w:rFonts w:ascii="宋体" w:eastAsia="宋体" w:hAnsi="宋体" w:cs="宋体"/>
          <w:sz w:val="19"/>
          <w:szCs w:val="19"/>
        </w:rPr>
      </w:pPr>
      <w:r>
        <w:rPr>
          <w:rFonts w:ascii="宋体" w:eastAsia="宋体" w:hAnsi="宋体" w:cs="宋体"/>
          <w:spacing w:val="-5"/>
          <w:sz w:val="19"/>
          <w:szCs w:val="19"/>
        </w:rPr>
        <w:t>3.</w:t>
      </w:r>
      <w:r>
        <w:rPr>
          <w:rFonts w:ascii="宋体" w:eastAsia="宋体" w:hAnsi="宋体" w:cs="宋体"/>
          <w:spacing w:val="-10"/>
          <w:sz w:val="19"/>
          <w:szCs w:val="19"/>
        </w:rPr>
        <w:t xml:space="preserve"> </w:t>
      </w:r>
      <w:r>
        <w:rPr>
          <w:rFonts w:ascii="宋体" w:eastAsia="宋体" w:hAnsi="宋体" w:cs="宋体"/>
          <w:spacing w:val="-5"/>
          <w:sz w:val="19"/>
          <w:szCs w:val="19"/>
        </w:rPr>
        <w:t>比较儿种新型杀菌工艺(如辐照、高压、微波等处理)对食品营养价值的影响和工业</w:t>
      </w:r>
    </w:p>
    <w:p w:rsidR="00EA40A3" w:rsidRDefault="00E86C16">
      <w:pPr>
        <w:spacing w:before="27" w:line="219" w:lineRule="auto"/>
        <w:rPr>
          <w:rFonts w:ascii="宋体" w:eastAsia="宋体" w:hAnsi="宋体" w:cs="宋体"/>
          <w:sz w:val="19"/>
          <w:szCs w:val="19"/>
        </w:rPr>
      </w:pPr>
      <w:r>
        <w:rPr>
          <w:rFonts w:ascii="宋体" w:eastAsia="宋体" w:hAnsi="宋体" w:cs="宋体"/>
          <w:spacing w:val="-13"/>
          <w:sz w:val="19"/>
          <w:szCs w:val="19"/>
        </w:rPr>
        <w:t>化应用的现状与前景。</w:t>
      </w:r>
    </w:p>
    <w:p w:rsidR="00EA40A3" w:rsidRDefault="00E86C16">
      <w:pPr>
        <w:spacing w:before="23" w:line="218" w:lineRule="auto"/>
        <w:ind w:left="380"/>
        <w:rPr>
          <w:rFonts w:ascii="宋体" w:eastAsia="宋体" w:hAnsi="宋体" w:cs="宋体"/>
          <w:sz w:val="19"/>
          <w:szCs w:val="19"/>
        </w:rPr>
      </w:pPr>
      <w:r>
        <w:rPr>
          <w:rFonts w:ascii="宋体" w:eastAsia="宋体" w:hAnsi="宋体" w:cs="宋体"/>
          <w:spacing w:val="-11"/>
          <w:sz w:val="19"/>
          <w:szCs w:val="19"/>
        </w:rPr>
        <w:t>4.</w:t>
      </w:r>
      <w:r>
        <w:rPr>
          <w:rFonts w:ascii="宋体" w:eastAsia="宋体" w:hAnsi="宋体" w:cs="宋体"/>
          <w:spacing w:val="-39"/>
          <w:sz w:val="19"/>
          <w:szCs w:val="19"/>
        </w:rPr>
        <w:t xml:space="preserve"> </w:t>
      </w:r>
      <w:r>
        <w:rPr>
          <w:rFonts w:ascii="宋体" w:eastAsia="宋体" w:hAnsi="宋体" w:cs="宋体"/>
          <w:spacing w:val="-11"/>
          <w:sz w:val="19"/>
          <w:szCs w:val="19"/>
        </w:rPr>
        <w:t>调查一种当地大宗水果的储藏方式，查阅资料分析该方式对水果营养价值的影</w:t>
      </w:r>
      <w:r>
        <w:rPr>
          <w:rFonts w:ascii="宋体" w:eastAsia="宋体" w:hAnsi="宋体" w:cs="宋体"/>
          <w:spacing w:val="-12"/>
          <w:sz w:val="19"/>
          <w:szCs w:val="19"/>
        </w:rPr>
        <w:t>响。</w:t>
      </w:r>
    </w:p>
    <w:p w:rsidR="00EA40A3" w:rsidRDefault="00E86C16">
      <w:pPr>
        <w:spacing w:before="25" w:line="234" w:lineRule="auto"/>
        <w:ind w:right="230" w:firstLine="380"/>
        <w:rPr>
          <w:rFonts w:ascii="宋体" w:eastAsia="宋体" w:hAnsi="宋体" w:cs="宋体"/>
          <w:sz w:val="19"/>
          <w:szCs w:val="19"/>
        </w:rPr>
      </w:pPr>
      <w:r>
        <w:rPr>
          <w:rFonts w:ascii="宋体" w:eastAsia="宋体" w:hAnsi="宋体" w:cs="宋体"/>
          <w:sz w:val="19"/>
          <w:szCs w:val="19"/>
        </w:rPr>
        <w:t>5.</w:t>
      </w:r>
      <w:r>
        <w:rPr>
          <w:rFonts w:ascii="宋体" w:eastAsia="宋体" w:hAnsi="宋体" w:cs="宋体"/>
          <w:spacing w:val="-42"/>
          <w:sz w:val="19"/>
          <w:szCs w:val="19"/>
        </w:rPr>
        <w:t xml:space="preserve"> </w:t>
      </w:r>
      <w:r>
        <w:rPr>
          <w:rFonts w:ascii="宋体" w:eastAsia="宋体" w:hAnsi="宋体" w:cs="宋体"/>
          <w:sz w:val="19"/>
          <w:szCs w:val="19"/>
        </w:rPr>
        <w:t xml:space="preserve">设计一个研究方案，分析某一种食品加工工艺或烹调方式对某种食品营养价值的 </w:t>
      </w:r>
      <w:r>
        <w:rPr>
          <w:rFonts w:ascii="宋体" w:eastAsia="宋体" w:hAnsi="宋体" w:cs="宋体"/>
          <w:spacing w:val="-8"/>
          <w:sz w:val="19"/>
          <w:szCs w:val="19"/>
        </w:rPr>
        <w:t>影响。</w:t>
      </w:r>
    </w:p>
    <w:p w:rsidR="00EA40A3" w:rsidRDefault="00EA40A3">
      <w:pPr>
        <w:spacing w:line="364" w:lineRule="auto"/>
      </w:pPr>
    </w:p>
    <w:p w:rsidR="00EA40A3" w:rsidRDefault="00E86C16">
      <w:pPr>
        <w:spacing w:before="73" w:line="225" w:lineRule="auto"/>
        <w:ind w:left="5000"/>
        <w:rPr>
          <w:rFonts w:ascii="楷体" w:eastAsia="楷体" w:hAnsi="楷体" w:cs="楷体"/>
          <w:sz w:val="22"/>
          <w:szCs w:val="22"/>
        </w:rPr>
      </w:pPr>
      <w:r>
        <w:rPr>
          <w:rFonts w:ascii="楷体" w:eastAsia="楷体" w:hAnsi="楷体" w:cs="楷体"/>
          <w:spacing w:val="-11"/>
          <w:sz w:val="22"/>
          <w:szCs w:val="22"/>
        </w:rPr>
        <w:t>(本章编写人：王敏)</w:t>
      </w:r>
    </w:p>
    <w:p w:rsidR="00EA40A3" w:rsidRDefault="00E86C16">
      <w:pPr>
        <w:spacing w:before="179" w:line="222" w:lineRule="auto"/>
        <w:ind w:left="3032"/>
        <w:rPr>
          <w:rFonts w:ascii="黑体" w:eastAsia="黑体" w:hAnsi="黑体" w:cs="黑体"/>
          <w:sz w:val="19"/>
          <w:szCs w:val="19"/>
        </w:rPr>
      </w:pPr>
      <w:r>
        <w:rPr>
          <w:rFonts w:ascii="黑体" w:eastAsia="黑体" w:hAnsi="黑体" w:cs="黑体"/>
          <w:b/>
          <w:bCs/>
          <w:spacing w:val="13"/>
          <w:sz w:val="19"/>
          <w:szCs w:val="19"/>
        </w:rPr>
        <w:t>主要参考文献</w:t>
      </w:r>
    </w:p>
    <w:p w:rsidR="00EA40A3" w:rsidRDefault="00E86C16">
      <w:pPr>
        <w:spacing w:before="174" w:line="219" w:lineRule="auto"/>
        <w:rPr>
          <w:rFonts w:ascii="宋体" w:eastAsia="宋体" w:hAnsi="宋体" w:cs="宋体"/>
          <w:sz w:val="19"/>
          <w:szCs w:val="19"/>
        </w:rPr>
      </w:pPr>
      <w:r>
        <w:rPr>
          <w:rFonts w:ascii="宋体" w:eastAsia="宋体" w:hAnsi="宋体" w:cs="宋体"/>
          <w:spacing w:val="-22"/>
          <w:w w:val="99"/>
          <w:sz w:val="19"/>
          <w:szCs w:val="19"/>
        </w:rPr>
        <w:t>曹恒武，田振山，刘广文.2004.干燥技术及其工业应用.北京：中国石化出版社</w:t>
      </w:r>
    </w:p>
    <w:p w:rsidR="00EA40A3" w:rsidRDefault="00E86C16">
      <w:pPr>
        <w:spacing w:before="115"/>
        <w:ind w:right="222"/>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8"/>
          <w:sz w:val="19"/>
          <w:szCs w:val="19"/>
        </w:rPr>
        <w:t xml:space="preserve"> </w:t>
      </w:r>
      <w:r>
        <w:rPr>
          <w:rFonts w:ascii="宋体" w:eastAsia="宋体" w:hAnsi="宋体" w:cs="宋体"/>
          <w:spacing w:val="-30"/>
          <w:sz w:val="19"/>
          <w:szCs w:val="19"/>
        </w:rPr>
        <w:t>251</w:t>
      </w:r>
      <w:r>
        <w:rPr>
          <w:rFonts w:ascii="宋体" w:eastAsia="宋体" w:hAnsi="宋体" w:cs="宋体"/>
          <w:spacing w:val="45"/>
          <w:sz w:val="19"/>
          <w:szCs w:val="19"/>
        </w:rPr>
        <w:t xml:space="preserve"> </w:t>
      </w:r>
      <w:r>
        <w:rPr>
          <w:rFonts w:ascii="宋体" w:eastAsia="宋体" w:hAnsi="宋体" w:cs="宋体"/>
          <w:spacing w:val="-30"/>
          <w:sz w:val="19"/>
          <w:szCs w:val="19"/>
        </w:rPr>
        <w:t>·</w:t>
      </w:r>
    </w:p>
    <w:p w:rsidR="00EA40A3" w:rsidRDefault="00EA40A3">
      <w:pPr>
        <w:sectPr w:rsidR="00EA40A3">
          <w:footerReference w:type="default" r:id="rId211"/>
          <w:pgSz w:w="9220" w:h="13360"/>
          <w:pgMar w:top="400" w:right="924" w:bottom="400" w:left="789" w:header="0" w:footer="0" w:gutter="0"/>
          <w:cols w:space="720"/>
        </w:sectPr>
      </w:pPr>
    </w:p>
    <w:p w:rsidR="00EA40A3" w:rsidRDefault="00EA40A3">
      <w:pPr>
        <w:spacing w:line="280" w:lineRule="auto"/>
      </w:pPr>
    </w:p>
    <w:p w:rsidR="00EA40A3" w:rsidRDefault="00EA40A3">
      <w:pPr>
        <w:spacing w:line="280" w:lineRule="auto"/>
      </w:pPr>
    </w:p>
    <w:p w:rsidR="00EA40A3" w:rsidRDefault="00E86C16">
      <w:pPr>
        <w:spacing w:before="52" w:line="250" w:lineRule="exact"/>
        <w:rPr>
          <w:rFonts w:ascii="宋体" w:eastAsia="宋体" w:hAnsi="宋体" w:cs="宋体"/>
          <w:sz w:val="16"/>
          <w:szCs w:val="16"/>
        </w:rPr>
      </w:pPr>
      <w:r>
        <w:rPr>
          <w:rFonts w:ascii="宋体" w:eastAsia="宋体" w:hAnsi="宋体" w:cs="宋体"/>
          <w:spacing w:val="5"/>
          <w:position w:val="6"/>
          <w:sz w:val="16"/>
          <w:szCs w:val="16"/>
        </w:rPr>
        <w:t>陈炳卿.2000.食品与食品卫生学.北京：人民卫生出版社</w:t>
      </w:r>
    </w:p>
    <w:p w:rsidR="00EA40A3" w:rsidRDefault="00E86C16">
      <w:pPr>
        <w:spacing w:line="218" w:lineRule="auto"/>
        <w:rPr>
          <w:rFonts w:ascii="宋体" w:eastAsia="宋体" w:hAnsi="宋体" w:cs="宋体"/>
          <w:sz w:val="16"/>
          <w:szCs w:val="16"/>
        </w:rPr>
      </w:pPr>
      <w:r>
        <w:rPr>
          <w:rFonts w:ascii="宋体" w:eastAsia="宋体" w:hAnsi="宋体" w:cs="宋体"/>
          <w:spacing w:val="4"/>
          <w:sz w:val="16"/>
          <w:szCs w:val="16"/>
        </w:rPr>
        <w:t>高福成，陈卫.1999.微波食品.北京：中国轻</w:t>
      </w:r>
      <w:r>
        <w:rPr>
          <w:rFonts w:ascii="宋体" w:eastAsia="宋体" w:hAnsi="宋体" w:cs="宋体"/>
          <w:spacing w:val="3"/>
          <w:sz w:val="16"/>
          <w:szCs w:val="16"/>
        </w:rPr>
        <w:t>工业出版社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3"/>
          <w:sz w:val="16"/>
          <w:szCs w:val="16"/>
        </w:rPr>
        <w:t>高福成，刘志胜，李修渠.1998.冻干食品.北京：中国轻工业出版社</w:t>
      </w:r>
    </w:p>
    <w:p w:rsidR="00EA40A3" w:rsidRDefault="00E86C16">
      <w:pPr>
        <w:spacing w:before="59" w:line="254" w:lineRule="auto"/>
        <w:ind w:right="990"/>
        <w:rPr>
          <w:rFonts w:ascii="宋体" w:eastAsia="宋体" w:hAnsi="宋体" w:cs="宋体"/>
          <w:sz w:val="16"/>
          <w:szCs w:val="16"/>
        </w:rPr>
      </w:pPr>
      <w:r>
        <w:rPr>
          <w:rFonts w:ascii="宋体" w:eastAsia="宋体" w:hAnsi="宋体" w:cs="宋体"/>
          <w:spacing w:val="2"/>
          <w:sz w:val="16"/>
          <w:szCs w:val="16"/>
        </w:rPr>
        <w:t>高福成，郑建仙，许学勤等.2000.现代食品工程高新技术.北京：中国轻工业出版社</w:t>
      </w:r>
      <w:r>
        <w:rPr>
          <w:rFonts w:ascii="宋体" w:eastAsia="宋体" w:hAnsi="宋体" w:cs="宋体"/>
          <w:spacing w:val="5"/>
          <w:sz w:val="16"/>
          <w:szCs w:val="16"/>
        </w:rPr>
        <w:t xml:space="preserve"> </w:t>
      </w:r>
      <w:r>
        <w:rPr>
          <w:rFonts w:ascii="宋体" w:eastAsia="宋体" w:hAnsi="宋体" w:cs="宋体"/>
          <w:spacing w:val="1"/>
          <w:sz w:val="16"/>
          <w:szCs w:val="16"/>
        </w:rPr>
        <w:t>葛长荣，马美湖，马长伟等.</w:t>
      </w:r>
      <w:r>
        <w:rPr>
          <w:rFonts w:ascii="宋体" w:eastAsia="宋体" w:hAnsi="宋体" w:cs="宋体"/>
          <w:spacing w:val="10"/>
          <w:sz w:val="16"/>
          <w:szCs w:val="16"/>
        </w:rPr>
        <w:t xml:space="preserve"> </w:t>
      </w:r>
      <w:r>
        <w:rPr>
          <w:rFonts w:ascii="宋体" w:eastAsia="宋体" w:hAnsi="宋体" w:cs="宋体"/>
          <w:spacing w:val="1"/>
          <w:sz w:val="16"/>
          <w:szCs w:val="16"/>
        </w:rPr>
        <w:t>2002.肉与肉制品工艺学</w:t>
      </w:r>
      <w:r>
        <w:rPr>
          <w:rFonts w:ascii="宋体" w:eastAsia="宋体" w:hAnsi="宋体" w:cs="宋体"/>
          <w:sz w:val="16"/>
          <w:szCs w:val="16"/>
        </w:rPr>
        <w:t>.北京：中国轻工业出版社</w:t>
      </w:r>
    </w:p>
    <w:p w:rsidR="00EA40A3" w:rsidRDefault="00E86C16">
      <w:pPr>
        <w:spacing w:before="60" w:line="250" w:lineRule="exact"/>
        <w:rPr>
          <w:rFonts w:ascii="宋体" w:eastAsia="宋体" w:hAnsi="宋体" w:cs="宋体"/>
          <w:sz w:val="16"/>
          <w:szCs w:val="16"/>
        </w:rPr>
      </w:pPr>
      <w:r>
        <w:rPr>
          <w:rFonts w:ascii="宋体" w:eastAsia="宋体" w:hAnsi="宋体" w:cs="宋体"/>
          <w:spacing w:val="4"/>
          <w:position w:val="6"/>
          <w:sz w:val="16"/>
          <w:szCs w:val="16"/>
        </w:rPr>
        <w:t>葛可佑.2004.中国营养科学全书.北京：人民卫生出版社</w:t>
      </w:r>
    </w:p>
    <w:p w:rsidR="00EA40A3" w:rsidRDefault="00E86C16">
      <w:pPr>
        <w:spacing w:before="1" w:line="219" w:lineRule="auto"/>
        <w:rPr>
          <w:rFonts w:ascii="宋体" w:eastAsia="宋体" w:hAnsi="宋体" w:cs="宋体"/>
          <w:sz w:val="16"/>
          <w:szCs w:val="16"/>
        </w:rPr>
      </w:pPr>
      <w:r>
        <w:rPr>
          <w:rFonts w:ascii="宋体" w:eastAsia="宋体" w:hAnsi="宋体" w:cs="宋体"/>
          <w:spacing w:val="1"/>
          <w:sz w:val="16"/>
          <w:szCs w:val="16"/>
        </w:rPr>
        <w:t>刘北林.</w:t>
      </w:r>
      <w:r>
        <w:rPr>
          <w:rFonts w:ascii="宋体" w:eastAsia="宋体" w:hAnsi="宋体" w:cs="宋体"/>
          <w:spacing w:val="29"/>
          <w:sz w:val="16"/>
          <w:szCs w:val="16"/>
        </w:rPr>
        <w:t xml:space="preserve"> </w:t>
      </w:r>
      <w:r>
        <w:rPr>
          <w:rFonts w:ascii="宋体" w:eastAsia="宋体" w:hAnsi="宋体" w:cs="宋体"/>
          <w:spacing w:val="1"/>
          <w:sz w:val="16"/>
          <w:szCs w:val="16"/>
        </w:rPr>
        <w:t>2003.食品保鲜技术.北京：中国物资出版社</w:t>
      </w:r>
    </w:p>
    <w:p w:rsidR="00EA40A3" w:rsidRDefault="00E86C16">
      <w:pPr>
        <w:spacing w:before="59" w:line="219" w:lineRule="auto"/>
        <w:rPr>
          <w:rFonts w:ascii="宋体" w:eastAsia="宋体" w:hAnsi="宋体" w:cs="宋体"/>
          <w:sz w:val="16"/>
          <w:szCs w:val="16"/>
        </w:rPr>
      </w:pPr>
      <w:r>
        <w:rPr>
          <w:rFonts w:ascii="宋体" w:eastAsia="宋体" w:hAnsi="宋体" w:cs="宋体"/>
          <w:spacing w:val="5"/>
          <w:sz w:val="16"/>
          <w:szCs w:val="16"/>
        </w:rPr>
        <w:t>刘志皋.1992.食品营养学.北京：中国轻工业出版社</w:t>
      </w:r>
    </w:p>
    <w:p w:rsidR="00EA40A3" w:rsidRDefault="00E86C16">
      <w:pPr>
        <w:spacing w:before="61" w:line="250" w:lineRule="exact"/>
        <w:rPr>
          <w:rFonts w:ascii="宋体" w:eastAsia="宋体" w:hAnsi="宋体" w:cs="宋体"/>
          <w:sz w:val="16"/>
          <w:szCs w:val="16"/>
        </w:rPr>
      </w:pPr>
      <w:r>
        <w:rPr>
          <w:rFonts w:ascii="宋体" w:eastAsia="宋体" w:hAnsi="宋体" w:cs="宋体"/>
          <w:spacing w:val="3"/>
          <w:position w:val="6"/>
          <w:sz w:val="16"/>
          <w:szCs w:val="16"/>
        </w:rPr>
        <w:t>马长伟，曾名勇.2002.食品工艺学导论.北京：中国农业大学出版社</w:t>
      </w:r>
    </w:p>
    <w:p w:rsidR="00EA40A3" w:rsidRDefault="00E86C16">
      <w:pPr>
        <w:spacing w:line="219" w:lineRule="auto"/>
        <w:rPr>
          <w:rFonts w:ascii="宋体" w:eastAsia="宋体" w:hAnsi="宋体" w:cs="宋体"/>
          <w:sz w:val="16"/>
          <w:szCs w:val="16"/>
        </w:rPr>
      </w:pPr>
      <w:r>
        <w:rPr>
          <w:rFonts w:ascii="宋体" w:eastAsia="宋体" w:hAnsi="宋体" w:cs="宋体"/>
          <w:spacing w:val="4"/>
          <w:sz w:val="16"/>
          <w:szCs w:val="16"/>
        </w:rPr>
        <w:t>孙远明，余群力.2002.食品营养学.北京：中</w:t>
      </w:r>
      <w:r>
        <w:rPr>
          <w:rFonts w:ascii="宋体" w:eastAsia="宋体" w:hAnsi="宋体" w:cs="宋体"/>
          <w:spacing w:val="3"/>
          <w:sz w:val="16"/>
          <w:szCs w:val="16"/>
        </w:rPr>
        <w:t>国农业大学出版社</w:t>
      </w:r>
    </w:p>
    <w:p w:rsidR="00EA40A3" w:rsidRDefault="00E86C16">
      <w:pPr>
        <w:spacing w:before="60" w:line="250" w:lineRule="exact"/>
        <w:rPr>
          <w:rFonts w:ascii="宋体" w:eastAsia="宋体" w:hAnsi="宋体" w:cs="宋体"/>
          <w:sz w:val="16"/>
          <w:szCs w:val="16"/>
        </w:rPr>
      </w:pPr>
      <w:r>
        <w:rPr>
          <w:rFonts w:ascii="宋体" w:eastAsia="宋体" w:hAnsi="宋体" w:cs="宋体"/>
          <w:spacing w:val="4"/>
          <w:position w:val="6"/>
          <w:sz w:val="16"/>
          <w:szCs w:val="16"/>
        </w:rPr>
        <w:t>汪勋清，哈益明，高美须.2005.食品辐照加工技术.北京</w:t>
      </w:r>
      <w:r>
        <w:rPr>
          <w:rFonts w:ascii="宋体" w:eastAsia="宋体" w:hAnsi="宋体" w:cs="宋体"/>
          <w:spacing w:val="3"/>
          <w:position w:val="6"/>
          <w:sz w:val="16"/>
          <w:szCs w:val="16"/>
        </w:rPr>
        <w:t>：化学工业出版社</w:t>
      </w:r>
    </w:p>
    <w:p w:rsidR="00EA40A3" w:rsidRDefault="00E86C16">
      <w:pPr>
        <w:spacing w:line="218" w:lineRule="auto"/>
        <w:rPr>
          <w:rFonts w:ascii="宋体" w:eastAsia="宋体" w:hAnsi="宋体" w:cs="宋体"/>
          <w:sz w:val="16"/>
          <w:szCs w:val="16"/>
        </w:rPr>
      </w:pPr>
      <w:r>
        <w:rPr>
          <w:rFonts w:ascii="宋体" w:eastAsia="宋体" w:hAnsi="宋体" w:cs="宋体"/>
          <w:spacing w:val="4"/>
          <w:sz w:val="16"/>
          <w:szCs w:val="16"/>
        </w:rPr>
        <w:t>王银瑞，胡军，解柱华.1992.食品营养学.西安：陕西科技出版</w:t>
      </w:r>
      <w:r>
        <w:rPr>
          <w:rFonts w:ascii="宋体" w:eastAsia="宋体" w:hAnsi="宋体" w:cs="宋体"/>
          <w:spacing w:val="3"/>
          <w:sz w:val="16"/>
          <w:szCs w:val="16"/>
        </w:rPr>
        <w:t>社</w:t>
      </w:r>
    </w:p>
    <w:p w:rsidR="00EA40A3" w:rsidRDefault="00E86C16">
      <w:pPr>
        <w:spacing w:before="61" w:line="250" w:lineRule="exact"/>
        <w:rPr>
          <w:rFonts w:ascii="宋体" w:eastAsia="宋体" w:hAnsi="宋体" w:cs="宋体"/>
          <w:sz w:val="16"/>
          <w:szCs w:val="16"/>
        </w:rPr>
      </w:pPr>
      <w:r>
        <w:rPr>
          <w:rFonts w:ascii="宋体" w:eastAsia="宋体" w:hAnsi="宋体" w:cs="宋体"/>
          <w:spacing w:val="4"/>
          <w:position w:val="6"/>
          <w:sz w:val="16"/>
          <w:szCs w:val="16"/>
        </w:rPr>
        <w:t>杨秀科，蒋建基，蔡柱培.1994.营养与食品</w:t>
      </w:r>
      <w:r>
        <w:rPr>
          <w:rFonts w:ascii="宋体" w:eastAsia="宋体" w:hAnsi="宋体" w:cs="宋体"/>
          <w:spacing w:val="3"/>
          <w:position w:val="6"/>
          <w:sz w:val="16"/>
          <w:szCs w:val="16"/>
        </w:rPr>
        <w:t>卫生.北京：高等科技出版社</w:t>
      </w:r>
    </w:p>
    <w:p w:rsidR="00EA40A3" w:rsidRDefault="00E86C16">
      <w:pPr>
        <w:spacing w:line="219" w:lineRule="auto"/>
        <w:rPr>
          <w:rFonts w:ascii="宋体" w:eastAsia="宋体" w:hAnsi="宋体" w:cs="宋体"/>
          <w:sz w:val="16"/>
          <w:szCs w:val="16"/>
        </w:rPr>
      </w:pPr>
      <w:r>
        <w:rPr>
          <w:rFonts w:ascii="宋体" w:eastAsia="宋体" w:hAnsi="宋体" w:cs="宋体"/>
          <w:spacing w:val="5"/>
          <w:sz w:val="16"/>
          <w:szCs w:val="16"/>
        </w:rPr>
        <w:t>叶兴乾.2002.果品蔬菜加工工艺学.北京：中国农业出版社</w:t>
      </w:r>
    </w:p>
    <w:p w:rsidR="00EA40A3" w:rsidRDefault="00E86C16">
      <w:pPr>
        <w:spacing w:before="59" w:line="219" w:lineRule="auto"/>
        <w:rPr>
          <w:rFonts w:ascii="宋体" w:eastAsia="宋体" w:hAnsi="宋体" w:cs="宋体"/>
          <w:sz w:val="16"/>
          <w:szCs w:val="16"/>
        </w:rPr>
      </w:pPr>
      <w:r>
        <w:rPr>
          <w:rFonts w:ascii="宋体" w:eastAsia="宋体" w:hAnsi="宋体" w:cs="宋体"/>
          <w:spacing w:val="4"/>
          <w:sz w:val="16"/>
          <w:szCs w:val="16"/>
        </w:rPr>
        <w:t>袁惠新，陆振曦，吕季章.2001.食品加工与保藏技术</w:t>
      </w:r>
      <w:r>
        <w:rPr>
          <w:rFonts w:ascii="宋体" w:eastAsia="宋体" w:hAnsi="宋体" w:cs="宋体"/>
          <w:spacing w:val="3"/>
          <w:sz w:val="16"/>
          <w:szCs w:val="16"/>
        </w:rPr>
        <w:t>.北京：化学工业出版社</w:t>
      </w:r>
    </w:p>
    <w:p w:rsidR="00EA40A3" w:rsidRDefault="00E86C16">
      <w:pPr>
        <w:spacing w:before="61" w:line="251" w:lineRule="exact"/>
        <w:rPr>
          <w:rFonts w:ascii="宋体" w:eastAsia="宋体" w:hAnsi="宋体" w:cs="宋体"/>
          <w:sz w:val="16"/>
          <w:szCs w:val="16"/>
        </w:rPr>
      </w:pPr>
      <w:r>
        <w:rPr>
          <w:rFonts w:ascii="宋体" w:eastAsia="宋体" w:hAnsi="宋体" w:cs="宋体"/>
          <w:spacing w:val="2"/>
          <w:position w:val="6"/>
          <w:sz w:val="16"/>
          <w:szCs w:val="16"/>
        </w:rPr>
        <w:t>曾庆孝。2002.食品加工与保藏原理.北京：化学工业出版社</w:t>
      </w:r>
    </w:p>
    <w:p w:rsidR="00EA40A3" w:rsidRDefault="00E86C16">
      <w:pPr>
        <w:spacing w:line="219" w:lineRule="auto"/>
        <w:rPr>
          <w:rFonts w:ascii="宋体" w:eastAsia="宋体" w:hAnsi="宋体" w:cs="宋体"/>
          <w:sz w:val="16"/>
          <w:szCs w:val="16"/>
        </w:rPr>
      </w:pPr>
      <w:r>
        <w:rPr>
          <w:rFonts w:ascii="宋体" w:eastAsia="宋体" w:hAnsi="宋体" w:cs="宋体"/>
          <w:spacing w:val="6"/>
          <w:sz w:val="16"/>
          <w:szCs w:val="16"/>
        </w:rPr>
        <w:t>张仁庆.1994.烹调营养卫生.北京：中国轻工业出版社</w:t>
      </w:r>
    </w:p>
    <w:p w:rsidR="00EA40A3" w:rsidRDefault="00E86C16">
      <w:pPr>
        <w:spacing w:before="59" w:line="250" w:lineRule="exact"/>
        <w:rPr>
          <w:rFonts w:ascii="宋体" w:eastAsia="宋体" w:hAnsi="宋体" w:cs="宋体"/>
          <w:sz w:val="16"/>
          <w:szCs w:val="16"/>
        </w:rPr>
      </w:pPr>
      <w:r>
        <w:rPr>
          <w:rFonts w:ascii="宋体" w:eastAsia="宋体" w:hAnsi="宋体" w:cs="宋体"/>
          <w:spacing w:val="4"/>
          <w:position w:val="6"/>
          <w:sz w:val="16"/>
          <w:szCs w:val="16"/>
        </w:rPr>
        <w:t>张彦明，丁东泉.1996.营养与食品卫生知识指南.西安：陕西科技出版社</w:t>
      </w:r>
    </w:p>
    <w:p w:rsidR="00EA40A3" w:rsidRDefault="00E86C16">
      <w:pPr>
        <w:spacing w:before="1" w:line="218" w:lineRule="auto"/>
        <w:rPr>
          <w:rFonts w:ascii="宋体" w:eastAsia="宋体" w:hAnsi="宋体" w:cs="宋体"/>
          <w:sz w:val="16"/>
          <w:szCs w:val="16"/>
        </w:rPr>
      </w:pPr>
      <w:r>
        <w:rPr>
          <w:rFonts w:ascii="宋体" w:eastAsia="宋体" w:hAnsi="宋体" w:cs="宋体"/>
          <w:spacing w:val="6"/>
          <w:sz w:val="16"/>
          <w:szCs w:val="16"/>
        </w:rPr>
        <w:t>赵晋府.2002.食品技术原理.北京：中国轻工业出版社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2"/>
          <w:sz w:val="16"/>
          <w:szCs w:val="16"/>
        </w:rPr>
        <w:t>赵晋府.</w:t>
      </w:r>
      <w:r>
        <w:rPr>
          <w:rFonts w:ascii="宋体" w:eastAsia="宋体" w:hAnsi="宋体" w:cs="宋体"/>
          <w:spacing w:val="33"/>
          <w:w w:val="101"/>
          <w:sz w:val="16"/>
          <w:szCs w:val="16"/>
        </w:rPr>
        <w:t xml:space="preserve"> </w:t>
      </w:r>
      <w:r>
        <w:rPr>
          <w:rFonts w:ascii="宋体" w:eastAsia="宋体" w:hAnsi="宋体" w:cs="宋体"/>
          <w:spacing w:val="2"/>
          <w:sz w:val="16"/>
          <w:szCs w:val="16"/>
        </w:rPr>
        <w:t>2004.食品工艺学.北京：中国轻工业出版社</w:t>
      </w:r>
    </w:p>
    <w:p w:rsidR="00EA40A3" w:rsidRDefault="00E86C16">
      <w:pPr>
        <w:spacing w:before="59" w:line="255" w:lineRule="auto"/>
        <w:ind w:right="650"/>
        <w:rPr>
          <w:rFonts w:ascii="宋体" w:eastAsia="宋体" w:hAnsi="宋体" w:cs="宋体"/>
          <w:sz w:val="16"/>
          <w:szCs w:val="16"/>
        </w:rPr>
      </w:pPr>
      <w:r>
        <w:rPr>
          <w:rFonts w:ascii="宋体" w:eastAsia="宋体" w:hAnsi="宋体" w:cs="宋体"/>
          <w:sz w:val="16"/>
          <w:szCs w:val="16"/>
        </w:rPr>
        <w:t>Heldman</w:t>
      </w:r>
      <w:r>
        <w:rPr>
          <w:rFonts w:ascii="宋体" w:eastAsia="宋体" w:hAnsi="宋体" w:cs="宋体"/>
          <w:spacing w:val="56"/>
          <w:sz w:val="16"/>
          <w:szCs w:val="16"/>
        </w:rPr>
        <w:t xml:space="preserve"> </w:t>
      </w:r>
      <w:r>
        <w:rPr>
          <w:rFonts w:ascii="宋体" w:eastAsia="宋体" w:hAnsi="宋体" w:cs="宋体"/>
          <w:sz w:val="16"/>
          <w:szCs w:val="16"/>
        </w:rPr>
        <w:t>D</w:t>
      </w:r>
      <w:r>
        <w:rPr>
          <w:rFonts w:ascii="宋体" w:eastAsia="宋体" w:hAnsi="宋体" w:cs="宋体"/>
          <w:spacing w:val="58"/>
          <w:sz w:val="16"/>
          <w:szCs w:val="16"/>
        </w:rPr>
        <w:t xml:space="preserve"> </w:t>
      </w:r>
      <w:r>
        <w:rPr>
          <w:rFonts w:ascii="宋体" w:eastAsia="宋体" w:hAnsi="宋体" w:cs="宋体"/>
          <w:sz w:val="16"/>
          <w:szCs w:val="16"/>
        </w:rPr>
        <w:t>R</w:t>
      </w:r>
      <w:r>
        <w:rPr>
          <w:rFonts w:ascii="宋体" w:eastAsia="宋体" w:hAnsi="宋体" w:cs="宋体"/>
          <w:spacing w:val="4"/>
          <w:sz w:val="16"/>
          <w:szCs w:val="16"/>
        </w:rPr>
        <w:t>,</w:t>
      </w:r>
      <w:r>
        <w:rPr>
          <w:rFonts w:ascii="宋体" w:eastAsia="宋体" w:hAnsi="宋体" w:cs="宋体"/>
          <w:sz w:val="16"/>
          <w:szCs w:val="16"/>
        </w:rPr>
        <w:t>HartelR</w:t>
      </w:r>
      <w:r>
        <w:rPr>
          <w:rFonts w:ascii="宋体" w:eastAsia="宋体" w:hAnsi="宋体" w:cs="宋体"/>
          <w:spacing w:val="54"/>
          <w:sz w:val="16"/>
          <w:szCs w:val="16"/>
        </w:rPr>
        <w:t xml:space="preserve"> </w:t>
      </w:r>
      <w:r>
        <w:rPr>
          <w:rFonts w:ascii="宋体" w:eastAsia="宋体" w:hAnsi="宋体" w:cs="宋体"/>
          <w:sz w:val="16"/>
          <w:szCs w:val="16"/>
        </w:rPr>
        <w:t>W</w:t>
      </w:r>
      <w:r>
        <w:rPr>
          <w:rFonts w:ascii="宋体" w:eastAsia="宋体" w:hAnsi="宋体" w:cs="宋体"/>
          <w:spacing w:val="4"/>
          <w:sz w:val="16"/>
          <w:szCs w:val="16"/>
        </w:rPr>
        <w:t>.</w:t>
      </w:r>
      <w:r>
        <w:rPr>
          <w:rFonts w:ascii="宋体" w:eastAsia="宋体" w:hAnsi="宋体" w:cs="宋体"/>
          <w:spacing w:val="61"/>
          <w:w w:val="101"/>
          <w:sz w:val="16"/>
          <w:szCs w:val="16"/>
        </w:rPr>
        <w:t xml:space="preserve"> </w:t>
      </w:r>
      <w:r>
        <w:rPr>
          <w:rFonts w:ascii="宋体" w:eastAsia="宋体" w:hAnsi="宋体" w:cs="宋体"/>
          <w:spacing w:val="4"/>
          <w:sz w:val="16"/>
          <w:szCs w:val="16"/>
        </w:rPr>
        <w:t>2003.食品加工原理.夏文水等译.北京：</w:t>
      </w:r>
      <w:r>
        <w:rPr>
          <w:rFonts w:ascii="宋体" w:eastAsia="宋体" w:hAnsi="宋体" w:cs="宋体"/>
          <w:spacing w:val="3"/>
          <w:sz w:val="16"/>
          <w:szCs w:val="16"/>
        </w:rPr>
        <w:t>中国轻工业出版社</w:t>
      </w:r>
      <w:r>
        <w:rPr>
          <w:rFonts w:ascii="宋体" w:eastAsia="宋体" w:hAnsi="宋体" w:cs="宋体"/>
          <w:sz w:val="16"/>
          <w:szCs w:val="16"/>
        </w:rPr>
        <w:t xml:space="preserve"> Mallett</w:t>
      </w:r>
      <w:r>
        <w:rPr>
          <w:rFonts w:ascii="宋体" w:eastAsia="宋体" w:hAnsi="宋体" w:cs="宋体"/>
          <w:spacing w:val="30"/>
          <w:w w:val="101"/>
          <w:sz w:val="16"/>
          <w:szCs w:val="16"/>
        </w:rPr>
        <w:t xml:space="preserve">  </w:t>
      </w:r>
      <w:r>
        <w:rPr>
          <w:rFonts w:ascii="宋体" w:eastAsia="宋体" w:hAnsi="宋体" w:cs="宋体"/>
          <w:sz w:val="16"/>
          <w:szCs w:val="16"/>
        </w:rPr>
        <w:t>CP</w:t>
      </w:r>
      <w:r>
        <w:rPr>
          <w:rFonts w:ascii="宋体" w:eastAsia="宋体" w:hAnsi="宋体" w:cs="宋体"/>
          <w:spacing w:val="4"/>
          <w:sz w:val="16"/>
          <w:szCs w:val="16"/>
        </w:rPr>
        <w:t>.2004.冷冻食品加工技术.张煞等译.北京：中国轻工业出版社</w:t>
      </w:r>
    </w:p>
    <w:p w:rsidR="00EA40A3" w:rsidRDefault="00EA40A3">
      <w:pPr>
        <w:sectPr w:rsidR="00EA40A3">
          <w:footerReference w:type="default" r:id="rId212"/>
          <w:pgSz w:w="9220" w:h="13360"/>
          <w:pgMar w:top="400" w:right="1383" w:bottom="1297" w:left="919" w:header="0" w:footer="1089" w:gutter="0"/>
          <w:cols w:space="720"/>
        </w:sectPr>
      </w:pPr>
    </w:p>
    <w:p w:rsidR="00EA40A3" w:rsidRDefault="00EA40A3">
      <w:pPr>
        <w:spacing w:line="264" w:lineRule="auto"/>
      </w:pPr>
    </w:p>
    <w:p w:rsidR="00EA40A3" w:rsidRDefault="00EA40A3">
      <w:pPr>
        <w:spacing w:line="265" w:lineRule="auto"/>
      </w:pPr>
    </w:p>
    <w:p w:rsidR="00EA40A3" w:rsidRDefault="00EA40A3">
      <w:pPr>
        <w:spacing w:line="265" w:lineRule="auto"/>
      </w:pPr>
    </w:p>
    <w:p w:rsidR="00EA40A3" w:rsidRDefault="00EA40A3">
      <w:pPr>
        <w:spacing w:line="265" w:lineRule="auto"/>
      </w:pPr>
    </w:p>
    <w:p w:rsidR="00EA40A3" w:rsidRDefault="00EA40A3">
      <w:pPr>
        <w:spacing w:line="265" w:lineRule="auto"/>
      </w:pPr>
    </w:p>
    <w:p w:rsidR="00EA40A3" w:rsidRDefault="00E86C16">
      <w:pPr>
        <w:spacing w:before="104" w:line="219" w:lineRule="auto"/>
        <w:ind w:left="2114"/>
        <w:rPr>
          <w:rFonts w:ascii="宋体" w:eastAsia="宋体" w:hAnsi="宋体" w:cs="宋体"/>
          <w:sz w:val="32"/>
          <w:szCs w:val="32"/>
        </w:rPr>
      </w:pPr>
      <w:r>
        <w:rPr>
          <w:rFonts w:ascii="宋体" w:eastAsia="宋体" w:hAnsi="宋体" w:cs="宋体"/>
          <w:b/>
          <w:bCs/>
          <w:spacing w:val="4"/>
          <w:sz w:val="32"/>
          <w:szCs w:val="32"/>
        </w:rPr>
        <w:t>第8章</w:t>
      </w:r>
      <w:r>
        <w:rPr>
          <w:rFonts w:ascii="宋体" w:eastAsia="宋体" w:hAnsi="宋体" w:cs="宋体"/>
          <w:spacing w:val="138"/>
          <w:sz w:val="32"/>
          <w:szCs w:val="32"/>
        </w:rPr>
        <w:t xml:space="preserve"> </w:t>
      </w:r>
      <w:r>
        <w:rPr>
          <w:rFonts w:ascii="宋体" w:eastAsia="宋体" w:hAnsi="宋体" w:cs="宋体"/>
          <w:b/>
          <w:bCs/>
          <w:spacing w:val="4"/>
          <w:sz w:val="32"/>
          <w:szCs w:val="32"/>
        </w:rPr>
        <w:t>食品营养强化</w:t>
      </w:r>
    </w:p>
    <w:p w:rsidR="00EA40A3" w:rsidRDefault="00EA40A3">
      <w:pPr>
        <w:spacing w:line="383" w:lineRule="auto"/>
      </w:pPr>
    </w:p>
    <w:p w:rsidR="00EA40A3" w:rsidRDefault="00E86C16">
      <w:pPr>
        <w:spacing w:before="72" w:line="221" w:lineRule="auto"/>
        <w:ind w:left="3153"/>
        <w:rPr>
          <w:rFonts w:ascii="黑体" w:eastAsia="黑体" w:hAnsi="黑体" w:cs="黑体"/>
          <w:sz w:val="22"/>
          <w:szCs w:val="22"/>
        </w:rPr>
      </w:pPr>
      <w:r>
        <w:rPr>
          <w:rFonts w:ascii="黑体" w:eastAsia="黑体" w:hAnsi="黑体" w:cs="黑体"/>
          <w:b/>
          <w:bCs/>
          <w:spacing w:val="36"/>
          <w:sz w:val="22"/>
          <w:szCs w:val="22"/>
        </w:rPr>
        <w:t>教学目标</w:t>
      </w:r>
    </w:p>
    <w:p w:rsidR="00EA40A3" w:rsidRDefault="00E86C16">
      <w:pPr>
        <w:spacing w:before="208" w:line="224" w:lineRule="auto"/>
        <w:ind w:left="429"/>
        <w:rPr>
          <w:rFonts w:ascii="楷体" w:eastAsia="楷体" w:hAnsi="楷体" w:cs="楷体"/>
          <w:sz w:val="22"/>
          <w:szCs w:val="22"/>
        </w:rPr>
      </w:pPr>
      <w:r>
        <w:rPr>
          <w:rFonts w:ascii="楷体" w:eastAsia="楷体" w:hAnsi="楷体" w:cs="楷体"/>
          <w:spacing w:val="-18"/>
          <w:sz w:val="22"/>
          <w:szCs w:val="22"/>
        </w:rPr>
        <w:t>·</w:t>
      </w:r>
      <w:r>
        <w:rPr>
          <w:rFonts w:ascii="楷体" w:eastAsia="楷体" w:hAnsi="楷体" w:cs="楷体"/>
          <w:spacing w:val="-65"/>
          <w:sz w:val="22"/>
          <w:szCs w:val="22"/>
        </w:rPr>
        <w:t xml:space="preserve"> </w:t>
      </w:r>
      <w:r>
        <w:rPr>
          <w:rFonts w:ascii="楷体" w:eastAsia="楷体" w:hAnsi="楷体" w:cs="楷体"/>
          <w:spacing w:val="-18"/>
          <w:sz w:val="22"/>
          <w:szCs w:val="22"/>
        </w:rPr>
        <w:t>了解食品营养强化的意义。</w:t>
      </w:r>
    </w:p>
    <w:p w:rsidR="00EA40A3" w:rsidRDefault="00E86C16">
      <w:pPr>
        <w:spacing w:before="31" w:line="300" w:lineRule="exact"/>
        <w:ind w:left="429"/>
        <w:rPr>
          <w:rFonts w:ascii="楷体" w:eastAsia="楷体" w:hAnsi="楷体" w:cs="楷体"/>
          <w:sz w:val="22"/>
          <w:szCs w:val="22"/>
        </w:rPr>
      </w:pPr>
      <w:r>
        <w:rPr>
          <w:rFonts w:ascii="楷体" w:eastAsia="楷体" w:hAnsi="楷体" w:cs="楷体"/>
          <w:spacing w:val="-16"/>
          <w:position w:val="5"/>
          <w:sz w:val="22"/>
          <w:szCs w:val="22"/>
        </w:rPr>
        <w:t>·</w:t>
      </w:r>
      <w:r>
        <w:rPr>
          <w:rFonts w:ascii="楷体" w:eastAsia="楷体" w:hAnsi="楷体" w:cs="楷体"/>
          <w:spacing w:val="-72"/>
          <w:position w:val="5"/>
          <w:sz w:val="22"/>
          <w:szCs w:val="22"/>
        </w:rPr>
        <w:t xml:space="preserve"> </w:t>
      </w:r>
      <w:r>
        <w:rPr>
          <w:rFonts w:ascii="楷体" w:eastAsia="楷体" w:hAnsi="楷体" w:cs="楷体"/>
          <w:spacing w:val="-16"/>
          <w:position w:val="5"/>
          <w:sz w:val="22"/>
          <w:szCs w:val="22"/>
        </w:rPr>
        <w:t>掌握食品营养强化的概念和基本原则。</w:t>
      </w:r>
    </w:p>
    <w:p w:rsidR="00EA40A3" w:rsidRDefault="00E86C16">
      <w:pPr>
        <w:spacing w:before="1" w:line="223" w:lineRule="auto"/>
        <w:ind w:left="429"/>
        <w:rPr>
          <w:rFonts w:ascii="楷体" w:eastAsia="楷体" w:hAnsi="楷体" w:cs="楷体"/>
          <w:sz w:val="22"/>
          <w:szCs w:val="22"/>
        </w:rPr>
      </w:pPr>
      <w:r>
        <w:rPr>
          <w:rFonts w:ascii="楷体" w:eastAsia="楷体" w:hAnsi="楷体" w:cs="楷体"/>
          <w:spacing w:val="-17"/>
          <w:sz w:val="22"/>
          <w:szCs w:val="22"/>
        </w:rPr>
        <w:t>·</w:t>
      </w:r>
      <w:r>
        <w:rPr>
          <w:rFonts w:ascii="楷体" w:eastAsia="楷体" w:hAnsi="楷体" w:cs="楷体"/>
          <w:spacing w:val="-86"/>
          <w:sz w:val="22"/>
          <w:szCs w:val="22"/>
        </w:rPr>
        <w:t xml:space="preserve"> </w:t>
      </w:r>
      <w:r>
        <w:rPr>
          <w:rFonts w:ascii="楷体" w:eastAsia="楷体" w:hAnsi="楷体" w:cs="楷体"/>
          <w:spacing w:val="-17"/>
          <w:sz w:val="22"/>
          <w:szCs w:val="22"/>
        </w:rPr>
        <w:t>掌握食品营养强化技术。</w:t>
      </w:r>
    </w:p>
    <w:p w:rsidR="00EA40A3" w:rsidRDefault="00E86C16">
      <w:pPr>
        <w:spacing w:before="32" w:line="301" w:lineRule="exact"/>
        <w:ind w:left="429"/>
        <w:rPr>
          <w:rFonts w:ascii="楷体" w:eastAsia="楷体" w:hAnsi="楷体" w:cs="楷体"/>
          <w:sz w:val="22"/>
          <w:szCs w:val="22"/>
        </w:rPr>
      </w:pPr>
      <w:r>
        <w:rPr>
          <w:rFonts w:ascii="楷体" w:eastAsia="楷体" w:hAnsi="楷体" w:cs="楷体"/>
          <w:spacing w:val="-14"/>
          <w:position w:val="5"/>
          <w:sz w:val="22"/>
          <w:szCs w:val="22"/>
        </w:rPr>
        <w:t>·基本掌握营养强化食品的种类及其生产方法。</w:t>
      </w:r>
    </w:p>
    <w:p w:rsidR="00EA40A3" w:rsidRDefault="00E86C16">
      <w:pPr>
        <w:spacing w:before="1" w:line="223" w:lineRule="auto"/>
        <w:ind w:left="519"/>
        <w:rPr>
          <w:rFonts w:ascii="楷体" w:eastAsia="楷体" w:hAnsi="楷体" w:cs="楷体"/>
          <w:sz w:val="22"/>
          <w:szCs w:val="22"/>
        </w:rPr>
      </w:pPr>
      <w:r>
        <w:rPr>
          <w:rFonts w:ascii="楷体" w:eastAsia="楷体" w:hAnsi="楷体" w:cs="楷体"/>
          <w:spacing w:val="-15"/>
          <w:sz w:val="22"/>
          <w:szCs w:val="22"/>
        </w:rPr>
        <w:t>·</w:t>
      </w:r>
      <w:r>
        <w:rPr>
          <w:rFonts w:ascii="楷体" w:eastAsia="楷体" w:hAnsi="楷体" w:cs="楷体"/>
          <w:spacing w:val="-74"/>
          <w:sz w:val="22"/>
          <w:szCs w:val="22"/>
        </w:rPr>
        <w:t xml:space="preserve"> </w:t>
      </w:r>
      <w:r>
        <w:rPr>
          <w:rFonts w:ascii="楷体" w:eastAsia="楷体" w:hAnsi="楷体" w:cs="楷体"/>
          <w:spacing w:val="-15"/>
          <w:sz w:val="22"/>
          <w:szCs w:val="22"/>
        </w:rPr>
        <w:t>了解食品营养强化发展简况和发展动态。</w:t>
      </w:r>
    </w:p>
    <w:p w:rsidR="00EA40A3" w:rsidRDefault="00EA40A3">
      <w:pPr>
        <w:spacing w:line="278" w:lineRule="auto"/>
      </w:pPr>
    </w:p>
    <w:p w:rsidR="00EA40A3" w:rsidRDefault="00E86C16">
      <w:pPr>
        <w:spacing w:before="72" w:line="249" w:lineRule="auto"/>
        <w:ind w:right="39" w:firstLine="429"/>
        <w:jc w:val="both"/>
        <w:rPr>
          <w:rFonts w:ascii="宋体" w:eastAsia="宋体" w:hAnsi="宋体" w:cs="宋体"/>
          <w:sz w:val="22"/>
          <w:szCs w:val="22"/>
        </w:rPr>
      </w:pPr>
      <w:r>
        <w:rPr>
          <w:rFonts w:ascii="宋体" w:eastAsia="宋体" w:hAnsi="宋体" w:cs="宋体"/>
          <w:spacing w:val="-15"/>
          <w:sz w:val="22"/>
          <w:szCs w:val="22"/>
        </w:rPr>
        <w:t>人类生存以及繁衍后代所需要的营养素主要来源于食品。然而，几乎没有一</w:t>
      </w:r>
      <w:r>
        <w:rPr>
          <w:rFonts w:ascii="宋体" w:eastAsia="宋体" w:hAnsi="宋体" w:cs="宋体"/>
          <w:spacing w:val="5"/>
          <w:sz w:val="22"/>
          <w:szCs w:val="22"/>
        </w:rPr>
        <w:t xml:space="preserve"> </w:t>
      </w:r>
      <w:r>
        <w:rPr>
          <w:rFonts w:ascii="宋体" w:eastAsia="宋体" w:hAnsi="宋体" w:cs="宋体"/>
          <w:spacing w:val="-13"/>
          <w:sz w:val="22"/>
          <w:szCs w:val="22"/>
        </w:rPr>
        <w:t>种天然食品能提供人体所需的全部营养素，而且食品在烹调、加工、储存等过程</w:t>
      </w:r>
      <w:r>
        <w:rPr>
          <w:rFonts w:ascii="宋体" w:eastAsia="宋体" w:hAnsi="宋体" w:cs="宋体"/>
          <w:spacing w:val="11"/>
          <w:sz w:val="22"/>
          <w:szCs w:val="22"/>
        </w:rPr>
        <w:t xml:space="preserve"> </w:t>
      </w:r>
      <w:r>
        <w:rPr>
          <w:rFonts w:ascii="宋体" w:eastAsia="宋体" w:hAnsi="宋体" w:cs="宋体"/>
          <w:spacing w:val="-12"/>
          <w:sz w:val="22"/>
          <w:szCs w:val="22"/>
        </w:rPr>
        <w:t>中往往有部分营养素损失，加之人们由于经济条件、文</w:t>
      </w:r>
      <w:r>
        <w:rPr>
          <w:rFonts w:ascii="宋体" w:eastAsia="宋体" w:hAnsi="宋体" w:cs="宋体"/>
          <w:spacing w:val="-13"/>
          <w:sz w:val="22"/>
          <w:szCs w:val="22"/>
        </w:rPr>
        <w:t>化水平、饮食习惯等诸多</w:t>
      </w:r>
      <w:r>
        <w:rPr>
          <w:rFonts w:ascii="宋体" w:eastAsia="宋体" w:hAnsi="宋体" w:cs="宋体"/>
          <w:sz w:val="22"/>
          <w:szCs w:val="22"/>
        </w:rPr>
        <w:t xml:space="preserve"> </w:t>
      </w:r>
      <w:r>
        <w:rPr>
          <w:rFonts w:ascii="宋体" w:eastAsia="宋体" w:hAnsi="宋体" w:cs="宋体"/>
          <w:spacing w:val="-13"/>
          <w:sz w:val="22"/>
          <w:szCs w:val="22"/>
        </w:rPr>
        <w:t>因素的影响，常常导致人体缺乏矿物质、维生素、蛋白质等营养素而影响身体健</w:t>
      </w:r>
      <w:r>
        <w:rPr>
          <w:rFonts w:ascii="宋体" w:eastAsia="宋体" w:hAnsi="宋体" w:cs="宋体"/>
          <w:spacing w:val="12"/>
          <w:sz w:val="22"/>
          <w:szCs w:val="22"/>
        </w:rPr>
        <w:t xml:space="preserve"> </w:t>
      </w:r>
      <w:r>
        <w:rPr>
          <w:rFonts w:ascii="宋体" w:eastAsia="宋体" w:hAnsi="宋体" w:cs="宋体"/>
          <w:spacing w:val="-13"/>
          <w:sz w:val="22"/>
          <w:szCs w:val="22"/>
        </w:rPr>
        <w:t>康。因此，许多国家的政府和营养学家都提倡在国民膳食食物种类多样化的基础</w:t>
      </w:r>
      <w:r>
        <w:rPr>
          <w:rFonts w:ascii="宋体" w:eastAsia="宋体" w:hAnsi="宋体" w:cs="宋体"/>
          <w:spacing w:val="15"/>
          <w:sz w:val="22"/>
          <w:szCs w:val="22"/>
        </w:rPr>
        <w:t xml:space="preserve"> </w:t>
      </w:r>
      <w:r>
        <w:rPr>
          <w:rFonts w:ascii="宋体" w:eastAsia="宋体" w:hAnsi="宋体" w:cs="宋体"/>
          <w:spacing w:val="-12"/>
          <w:sz w:val="22"/>
          <w:szCs w:val="22"/>
        </w:rPr>
        <w:t>上，通过在部分食品中强化其缺乏的营养素，开发和生产居民需要的各种营养强</w:t>
      </w:r>
      <w:r>
        <w:rPr>
          <w:rFonts w:ascii="宋体" w:eastAsia="宋体" w:hAnsi="宋体" w:cs="宋体"/>
          <w:sz w:val="22"/>
          <w:szCs w:val="22"/>
        </w:rPr>
        <w:t xml:space="preserve"> </w:t>
      </w:r>
      <w:r>
        <w:rPr>
          <w:rFonts w:ascii="宋体" w:eastAsia="宋体" w:hAnsi="宋体" w:cs="宋体"/>
          <w:spacing w:val="-13"/>
          <w:sz w:val="22"/>
          <w:szCs w:val="22"/>
        </w:rPr>
        <w:t>化食品。随着我国经济的迅速发展和国民收入与生活水平的不断提高，人们越来</w:t>
      </w:r>
      <w:r>
        <w:rPr>
          <w:rFonts w:ascii="宋体" w:eastAsia="宋体" w:hAnsi="宋体" w:cs="宋体"/>
          <w:spacing w:val="12"/>
          <w:sz w:val="22"/>
          <w:szCs w:val="22"/>
        </w:rPr>
        <w:t xml:space="preserve"> </w:t>
      </w:r>
      <w:r>
        <w:rPr>
          <w:rFonts w:ascii="宋体" w:eastAsia="宋体" w:hAnsi="宋体" w:cs="宋体"/>
          <w:spacing w:val="-12"/>
          <w:sz w:val="22"/>
          <w:szCs w:val="22"/>
        </w:rPr>
        <w:t>越希望得到品种多样、品质优良、安全卫生、营</w:t>
      </w:r>
      <w:r>
        <w:rPr>
          <w:rFonts w:ascii="宋体" w:eastAsia="宋体" w:hAnsi="宋体" w:cs="宋体"/>
          <w:spacing w:val="-13"/>
          <w:sz w:val="22"/>
          <w:szCs w:val="22"/>
        </w:rPr>
        <w:t>养科学、方便实惠和富有特色的</w:t>
      </w:r>
      <w:r>
        <w:rPr>
          <w:rFonts w:ascii="宋体" w:eastAsia="宋体" w:hAnsi="宋体" w:cs="宋体"/>
          <w:sz w:val="22"/>
          <w:szCs w:val="22"/>
        </w:rPr>
        <w:t xml:space="preserve"> </w:t>
      </w:r>
      <w:r>
        <w:rPr>
          <w:rFonts w:ascii="宋体" w:eastAsia="宋体" w:hAnsi="宋体" w:cs="宋体"/>
          <w:spacing w:val="-12"/>
          <w:sz w:val="22"/>
          <w:szCs w:val="22"/>
        </w:rPr>
        <w:t>强化食品。目前，食品营养强化已成为世界各国营养学和食品科学的主要研</w:t>
      </w:r>
      <w:r>
        <w:rPr>
          <w:rFonts w:ascii="宋体" w:eastAsia="宋体" w:hAnsi="宋体" w:cs="宋体"/>
          <w:spacing w:val="-13"/>
          <w:sz w:val="22"/>
          <w:szCs w:val="22"/>
        </w:rPr>
        <w:t>究内</w:t>
      </w:r>
      <w:r>
        <w:rPr>
          <w:rFonts w:ascii="宋体" w:eastAsia="宋体" w:hAnsi="宋体" w:cs="宋体"/>
          <w:sz w:val="22"/>
          <w:szCs w:val="22"/>
        </w:rPr>
        <w:t xml:space="preserve"> </w:t>
      </w:r>
      <w:r>
        <w:rPr>
          <w:rFonts w:ascii="宋体" w:eastAsia="宋体" w:hAnsi="宋体" w:cs="宋体"/>
          <w:spacing w:val="-15"/>
          <w:sz w:val="22"/>
          <w:szCs w:val="22"/>
        </w:rPr>
        <w:t>容，今后也必将成为食品工业发展的重要方向，</w:t>
      </w:r>
    </w:p>
    <w:p w:rsidR="00EA40A3" w:rsidRDefault="00EA40A3">
      <w:pPr>
        <w:spacing w:line="288" w:lineRule="auto"/>
      </w:pPr>
    </w:p>
    <w:p w:rsidR="00EA40A3" w:rsidRDefault="00E86C16">
      <w:pPr>
        <w:spacing w:before="92" w:line="219" w:lineRule="auto"/>
        <w:ind w:left="2219"/>
        <w:rPr>
          <w:rFonts w:ascii="宋体" w:eastAsia="宋体" w:hAnsi="宋体" w:cs="宋体"/>
          <w:sz w:val="28"/>
          <w:szCs w:val="28"/>
        </w:rPr>
      </w:pPr>
      <w:r>
        <w:rPr>
          <w:rFonts w:ascii="宋体" w:eastAsia="宋体" w:hAnsi="宋体" w:cs="宋体"/>
          <w:spacing w:val="-2"/>
          <w:sz w:val="28"/>
          <w:szCs w:val="28"/>
        </w:rPr>
        <w:t>8.1</w:t>
      </w:r>
      <w:r>
        <w:rPr>
          <w:rFonts w:ascii="宋体" w:eastAsia="宋体" w:hAnsi="宋体" w:cs="宋体"/>
          <w:spacing w:val="102"/>
          <w:sz w:val="28"/>
          <w:szCs w:val="28"/>
        </w:rPr>
        <w:t xml:space="preserve"> </w:t>
      </w:r>
      <w:r>
        <w:rPr>
          <w:rFonts w:ascii="宋体" w:eastAsia="宋体" w:hAnsi="宋体" w:cs="宋体"/>
          <w:spacing w:val="-2"/>
          <w:sz w:val="28"/>
          <w:szCs w:val="28"/>
        </w:rPr>
        <w:t>食品营养强化概述</w:t>
      </w:r>
    </w:p>
    <w:p w:rsidR="00EA40A3" w:rsidRDefault="00E86C16">
      <w:pPr>
        <w:spacing w:before="170" w:line="221" w:lineRule="auto"/>
        <w:ind w:left="3"/>
        <w:outlineLvl w:val="6"/>
        <w:rPr>
          <w:rFonts w:ascii="黑体" w:eastAsia="黑体" w:hAnsi="黑体" w:cs="黑体"/>
          <w:sz w:val="22"/>
          <w:szCs w:val="22"/>
        </w:rPr>
      </w:pPr>
      <w:r>
        <w:rPr>
          <w:rFonts w:ascii="黑体" w:eastAsia="黑体" w:hAnsi="黑体" w:cs="黑体"/>
          <w:b/>
          <w:bCs/>
          <w:spacing w:val="9"/>
          <w:sz w:val="22"/>
          <w:szCs w:val="22"/>
        </w:rPr>
        <w:t>8.1.1</w:t>
      </w:r>
      <w:r>
        <w:rPr>
          <w:rFonts w:ascii="黑体" w:eastAsia="黑体" w:hAnsi="黑体" w:cs="黑体"/>
          <w:spacing w:val="34"/>
          <w:sz w:val="22"/>
          <w:szCs w:val="22"/>
        </w:rPr>
        <w:t xml:space="preserve">  </w:t>
      </w:r>
      <w:r>
        <w:rPr>
          <w:rFonts w:ascii="黑体" w:eastAsia="黑体" w:hAnsi="黑体" w:cs="黑体"/>
          <w:b/>
          <w:bCs/>
          <w:spacing w:val="9"/>
          <w:sz w:val="22"/>
          <w:szCs w:val="22"/>
        </w:rPr>
        <w:t>食品营养强化与食品强化剂</w:t>
      </w:r>
    </w:p>
    <w:p w:rsidR="00EA40A3" w:rsidRDefault="00E86C16">
      <w:pPr>
        <w:spacing w:before="193" w:line="243" w:lineRule="auto"/>
        <w:ind w:right="48" w:firstLine="429"/>
        <w:jc w:val="both"/>
        <w:rPr>
          <w:rFonts w:ascii="宋体" w:eastAsia="宋体" w:hAnsi="宋体" w:cs="宋体"/>
          <w:sz w:val="22"/>
          <w:szCs w:val="22"/>
        </w:rPr>
      </w:pPr>
      <w:r>
        <w:rPr>
          <w:rFonts w:ascii="宋体" w:eastAsia="宋体" w:hAnsi="宋体" w:cs="宋体"/>
          <w:spacing w:val="-13"/>
          <w:sz w:val="22"/>
          <w:szCs w:val="22"/>
        </w:rPr>
        <w:t>根据营养需要向食品中添加一种或多种营养素或者某些天然食品，提高食品</w:t>
      </w:r>
      <w:r>
        <w:rPr>
          <w:rFonts w:ascii="宋体" w:eastAsia="宋体" w:hAnsi="宋体" w:cs="宋体"/>
          <w:spacing w:val="9"/>
          <w:sz w:val="22"/>
          <w:szCs w:val="22"/>
        </w:rPr>
        <w:t xml:space="preserve"> </w:t>
      </w:r>
      <w:r>
        <w:rPr>
          <w:rFonts w:ascii="宋体" w:eastAsia="宋体" w:hAnsi="宋体" w:cs="宋体"/>
          <w:spacing w:val="-13"/>
          <w:sz w:val="22"/>
          <w:szCs w:val="22"/>
        </w:rPr>
        <w:t>营养价值的过程称为食品营养强化，或简称食品强化。这种经过强化处理的食品</w:t>
      </w:r>
      <w:r>
        <w:rPr>
          <w:rFonts w:ascii="宋体" w:eastAsia="宋体" w:hAnsi="宋体" w:cs="宋体"/>
          <w:spacing w:val="5"/>
          <w:sz w:val="22"/>
          <w:szCs w:val="22"/>
        </w:rPr>
        <w:t xml:space="preserve"> </w:t>
      </w:r>
      <w:r>
        <w:rPr>
          <w:rFonts w:ascii="宋体" w:eastAsia="宋体" w:hAnsi="宋体" w:cs="宋体"/>
          <w:spacing w:val="-10"/>
          <w:sz w:val="22"/>
          <w:szCs w:val="22"/>
        </w:rPr>
        <w:t>称为营养强化食品。所添加的营养素或含有营养素的物质(包括天然的和人工合</w:t>
      </w:r>
      <w:r>
        <w:rPr>
          <w:rFonts w:ascii="宋体" w:eastAsia="宋体" w:hAnsi="宋体" w:cs="宋体"/>
          <w:spacing w:val="17"/>
          <w:sz w:val="22"/>
          <w:szCs w:val="22"/>
        </w:rPr>
        <w:t xml:space="preserve"> </w:t>
      </w:r>
      <w:r>
        <w:rPr>
          <w:rFonts w:ascii="宋体" w:eastAsia="宋体" w:hAnsi="宋体" w:cs="宋体"/>
          <w:spacing w:val="-6"/>
          <w:sz w:val="22"/>
          <w:szCs w:val="22"/>
        </w:rPr>
        <w:t>成的)称为食品强化剂。</w:t>
      </w:r>
    </w:p>
    <w:p w:rsidR="00EA40A3" w:rsidRDefault="00E86C16">
      <w:pPr>
        <w:spacing w:before="61" w:line="243" w:lineRule="auto"/>
        <w:ind w:firstLine="429"/>
        <w:jc w:val="both"/>
        <w:rPr>
          <w:rFonts w:ascii="宋体" w:eastAsia="宋体" w:hAnsi="宋体" w:cs="宋体"/>
          <w:sz w:val="22"/>
          <w:szCs w:val="22"/>
        </w:rPr>
      </w:pPr>
      <w:r>
        <w:rPr>
          <w:rFonts w:ascii="宋体" w:eastAsia="宋体" w:hAnsi="宋体" w:cs="宋体"/>
          <w:spacing w:val="-12"/>
          <w:sz w:val="22"/>
          <w:szCs w:val="22"/>
        </w:rPr>
        <w:t>我国《食品卫生法》规定“食品强化剂是指为增强营养成</w:t>
      </w:r>
      <w:r>
        <w:rPr>
          <w:rFonts w:ascii="宋体" w:eastAsia="宋体" w:hAnsi="宋体" w:cs="宋体"/>
          <w:spacing w:val="-13"/>
          <w:sz w:val="22"/>
          <w:szCs w:val="22"/>
        </w:rPr>
        <w:t>分而加入食品中的</w:t>
      </w:r>
      <w:r>
        <w:rPr>
          <w:rFonts w:ascii="宋体" w:eastAsia="宋体" w:hAnsi="宋体" w:cs="宋体"/>
          <w:sz w:val="22"/>
          <w:szCs w:val="22"/>
        </w:rPr>
        <w:t xml:space="preserve"> </w:t>
      </w:r>
      <w:r>
        <w:rPr>
          <w:rFonts w:ascii="宋体" w:eastAsia="宋体" w:hAnsi="宋体" w:cs="宋体"/>
          <w:spacing w:val="-6"/>
          <w:sz w:val="22"/>
          <w:szCs w:val="22"/>
        </w:rPr>
        <w:t>天然的或者人工合成的属于天然营养素范围的食品添加剂”。1994年11月卫生</w:t>
      </w:r>
      <w:r>
        <w:rPr>
          <w:rFonts w:ascii="宋体" w:eastAsia="宋体" w:hAnsi="宋体" w:cs="宋体"/>
          <w:spacing w:val="1"/>
          <w:sz w:val="22"/>
          <w:szCs w:val="22"/>
        </w:rPr>
        <w:t xml:space="preserve"> </w:t>
      </w:r>
      <w:r>
        <w:rPr>
          <w:rFonts w:ascii="宋体" w:eastAsia="宋体" w:hAnsi="宋体" w:cs="宋体"/>
          <w:spacing w:val="-8"/>
          <w:sz w:val="22"/>
          <w:szCs w:val="22"/>
        </w:rPr>
        <w:t>部进一步颁发了《食品营养强化剂使用卫生</w:t>
      </w:r>
      <w:r>
        <w:rPr>
          <w:rFonts w:ascii="宋体" w:eastAsia="宋体" w:hAnsi="宋体" w:cs="宋体"/>
          <w:spacing w:val="-9"/>
          <w:sz w:val="22"/>
          <w:szCs w:val="22"/>
        </w:rPr>
        <w:t>标准</w:t>
      </w:r>
      <w:r>
        <w:rPr>
          <w:rFonts w:ascii="宋体" w:eastAsia="宋体" w:hAnsi="宋体" w:cs="宋体"/>
          <w:spacing w:val="-11"/>
          <w:sz w:val="22"/>
          <w:szCs w:val="22"/>
        </w:rPr>
        <w:t xml:space="preserve"> </w:t>
      </w:r>
      <w:r>
        <w:rPr>
          <w:rFonts w:ascii="宋体" w:eastAsia="宋体" w:hAnsi="宋体" w:cs="宋体"/>
          <w:spacing w:val="-9"/>
          <w:sz w:val="22"/>
          <w:szCs w:val="22"/>
        </w:rPr>
        <w:t>(</w:t>
      </w:r>
      <w:r>
        <w:rPr>
          <w:rFonts w:ascii="宋体" w:eastAsia="宋体" w:hAnsi="宋体" w:cs="宋体"/>
          <w:spacing w:val="-8"/>
          <w:sz w:val="22"/>
          <w:szCs w:val="22"/>
        </w:rPr>
        <w:t>GB</w:t>
      </w:r>
      <w:r>
        <w:rPr>
          <w:rFonts w:ascii="宋体" w:eastAsia="宋体" w:hAnsi="宋体" w:cs="宋体"/>
          <w:spacing w:val="-9"/>
          <w:sz w:val="22"/>
          <w:szCs w:val="22"/>
        </w:rPr>
        <w:t>14880—</w:t>
      </w:r>
      <w:r>
        <w:rPr>
          <w:rFonts w:ascii="宋体" w:eastAsia="宋体" w:hAnsi="宋体" w:cs="宋体"/>
          <w:spacing w:val="-85"/>
          <w:sz w:val="22"/>
          <w:szCs w:val="22"/>
        </w:rPr>
        <w:t xml:space="preserve"> </w:t>
      </w:r>
      <w:r>
        <w:rPr>
          <w:rFonts w:ascii="宋体" w:eastAsia="宋体" w:hAnsi="宋体" w:cs="宋体"/>
          <w:spacing w:val="-9"/>
          <w:sz w:val="22"/>
          <w:szCs w:val="22"/>
        </w:rPr>
        <w:t>1994)》</w:t>
      </w:r>
      <w:r>
        <w:rPr>
          <w:rFonts w:ascii="宋体" w:eastAsia="宋体" w:hAnsi="宋体" w:cs="宋体"/>
          <w:spacing w:val="5"/>
          <w:sz w:val="22"/>
          <w:szCs w:val="22"/>
        </w:rPr>
        <w:t xml:space="preserve"> </w:t>
      </w:r>
      <w:r>
        <w:rPr>
          <w:rFonts w:ascii="宋体" w:eastAsia="宋体" w:hAnsi="宋体" w:cs="宋体"/>
          <w:spacing w:val="-9"/>
          <w:sz w:val="22"/>
          <w:szCs w:val="22"/>
        </w:rPr>
        <w:t>和《食品</w:t>
      </w:r>
      <w:r>
        <w:rPr>
          <w:rFonts w:ascii="宋体" w:eastAsia="宋体" w:hAnsi="宋体" w:cs="宋体"/>
          <w:sz w:val="22"/>
          <w:szCs w:val="22"/>
        </w:rPr>
        <w:t xml:space="preserve"> </w:t>
      </w:r>
      <w:r>
        <w:rPr>
          <w:rFonts w:ascii="宋体" w:eastAsia="宋体" w:hAnsi="宋体" w:cs="宋体"/>
          <w:spacing w:val="-17"/>
          <w:sz w:val="22"/>
          <w:szCs w:val="22"/>
        </w:rPr>
        <w:t>营养强化剂卫生管理办法》。这是我国第一部有关食品营养强化方面的标准法规。</w:t>
      </w:r>
    </w:p>
    <w:p w:rsidR="00EA40A3" w:rsidRDefault="00E86C16">
      <w:pPr>
        <w:spacing w:before="61" w:line="219" w:lineRule="auto"/>
        <w:ind w:left="429"/>
        <w:rPr>
          <w:rFonts w:ascii="宋体" w:eastAsia="宋体" w:hAnsi="宋体" w:cs="宋体"/>
          <w:sz w:val="22"/>
          <w:szCs w:val="22"/>
        </w:rPr>
      </w:pPr>
      <w:r>
        <w:rPr>
          <w:rFonts w:ascii="宋体" w:eastAsia="宋体" w:hAnsi="宋体" w:cs="宋体"/>
          <w:spacing w:val="-8"/>
          <w:sz w:val="22"/>
          <w:szCs w:val="22"/>
        </w:rPr>
        <w:t>食品营养强化根据目的不同，大体可分如下4类：</w:t>
      </w:r>
    </w:p>
    <w:p w:rsidR="00EA40A3" w:rsidRDefault="00E86C16">
      <w:pPr>
        <w:spacing w:before="92"/>
        <w:ind w:right="49"/>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253</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213"/>
          <w:pgSz w:w="9220" w:h="13360"/>
          <w:pgMar w:top="400" w:right="1040" w:bottom="400" w:left="860" w:header="0" w:footer="0" w:gutter="0"/>
          <w:cols w:space="720"/>
        </w:sectPr>
      </w:pPr>
    </w:p>
    <w:p w:rsidR="00EA40A3" w:rsidRDefault="00EA40A3">
      <w:pPr>
        <w:spacing w:line="261" w:lineRule="auto"/>
      </w:pPr>
    </w:p>
    <w:p w:rsidR="00EA40A3" w:rsidRDefault="00EA40A3">
      <w:pPr>
        <w:spacing w:line="261" w:lineRule="auto"/>
      </w:pPr>
    </w:p>
    <w:p w:rsidR="00EA40A3" w:rsidRDefault="00E86C16">
      <w:pPr>
        <w:spacing w:before="72" w:line="236" w:lineRule="auto"/>
        <w:ind w:firstLine="460"/>
        <w:rPr>
          <w:rFonts w:ascii="宋体" w:eastAsia="宋体" w:hAnsi="宋体" w:cs="宋体"/>
          <w:sz w:val="22"/>
          <w:szCs w:val="22"/>
        </w:rPr>
      </w:pPr>
      <w:r>
        <w:rPr>
          <w:rFonts w:ascii="宋体" w:eastAsia="宋体" w:hAnsi="宋体" w:cs="宋体"/>
          <w:spacing w:val="-11"/>
          <w:sz w:val="22"/>
          <w:szCs w:val="22"/>
        </w:rPr>
        <w:t>(1)营养素的强化</w:t>
      </w:r>
      <w:r>
        <w:rPr>
          <w:rFonts w:ascii="宋体" w:eastAsia="宋体" w:hAnsi="宋体" w:cs="宋体"/>
          <w:spacing w:val="-10"/>
          <w:sz w:val="22"/>
          <w:szCs w:val="22"/>
        </w:rPr>
        <w:t xml:space="preserve"> </w:t>
      </w:r>
      <w:r>
        <w:rPr>
          <w:rFonts w:ascii="宋体" w:eastAsia="宋体" w:hAnsi="宋体" w:cs="宋体"/>
          <w:spacing w:val="-11"/>
          <w:sz w:val="22"/>
          <w:szCs w:val="22"/>
        </w:rPr>
        <w:t>(fortification)即向食品中添加原来含量不足的营养素，</w:t>
      </w:r>
      <w:r>
        <w:rPr>
          <w:rFonts w:ascii="宋体" w:eastAsia="宋体" w:hAnsi="宋体" w:cs="宋体"/>
          <w:sz w:val="22"/>
          <w:szCs w:val="22"/>
        </w:rPr>
        <w:t xml:space="preserve"> </w:t>
      </w:r>
      <w:bookmarkStart w:id="64" w:name="_bookmark68"/>
      <w:bookmarkEnd w:id="64"/>
      <w:r>
        <w:rPr>
          <w:rFonts w:ascii="宋体" w:eastAsia="宋体" w:hAnsi="宋体" w:cs="宋体"/>
          <w:spacing w:val="-17"/>
          <w:sz w:val="22"/>
          <w:szCs w:val="22"/>
        </w:rPr>
        <w:t>如向谷类食品中添加赖氨酸。</w:t>
      </w:r>
    </w:p>
    <w:p w:rsidR="00EA40A3" w:rsidRDefault="00E86C16">
      <w:pPr>
        <w:spacing w:before="37" w:line="236" w:lineRule="auto"/>
        <w:ind w:right="84" w:firstLine="460"/>
        <w:rPr>
          <w:rFonts w:ascii="宋体" w:eastAsia="宋体" w:hAnsi="宋体" w:cs="宋体"/>
          <w:sz w:val="22"/>
          <w:szCs w:val="22"/>
        </w:rPr>
      </w:pPr>
      <w:r>
        <w:rPr>
          <w:rFonts w:ascii="宋体" w:eastAsia="宋体" w:hAnsi="宋体" w:cs="宋体"/>
          <w:spacing w:val="-8"/>
          <w:sz w:val="22"/>
          <w:szCs w:val="22"/>
        </w:rPr>
        <w:t>(2)营养素的恢复</w:t>
      </w:r>
      <w:r>
        <w:rPr>
          <w:rFonts w:ascii="宋体" w:eastAsia="宋体" w:hAnsi="宋体" w:cs="宋体"/>
          <w:spacing w:val="-11"/>
          <w:sz w:val="22"/>
          <w:szCs w:val="22"/>
        </w:rPr>
        <w:t xml:space="preserve"> </w:t>
      </w:r>
      <w:r>
        <w:rPr>
          <w:rFonts w:ascii="宋体" w:eastAsia="宋体" w:hAnsi="宋体" w:cs="宋体"/>
          <w:spacing w:val="-8"/>
          <w:sz w:val="22"/>
          <w:szCs w:val="22"/>
        </w:rPr>
        <w:t>(restoration)即补充食品加工中损失的营养素</w:t>
      </w:r>
      <w:r>
        <w:rPr>
          <w:rFonts w:ascii="宋体" w:eastAsia="宋体" w:hAnsi="宋体" w:cs="宋体"/>
          <w:spacing w:val="-9"/>
          <w:sz w:val="22"/>
          <w:szCs w:val="22"/>
        </w:rPr>
        <w:t>，如向出</w:t>
      </w:r>
      <w:r>
        <w:rPr>
          <w:rFonts w:ascii="宋体" w:eastAsia="宋体" w:hAnsi="宋体" w:cs="宋体"/>
          <w:sz w:val="22"/>
          <w:szCs w:val="22"/>
        </w:rPr>
        <w:t xml:space="preserve"> </w:t>
      </w:r>
      <w:r>
        <w:rPr>
          <w:rFonts w:ascii="宋体" w:eastAsia="宋体" w:hAnsi="宋体" w:cs="宋体"/>
          <w:spacing w:val="-16"/>
          <w:sz w:val="22"/>
          <w:szCs w:val="22"/>
        </w:rPr>
        <w:t>粉率低的面粉中添加维生素等。</w:t>
      </w:r>
    </w:p>
    <w:p w:rsidR="00EA40A3" w:rsidRDefault="00E86C16">
      <w:pPr>
        <w:spacing w:before="38" w:line="241" w:lineRule="auto"/>
        <w:ind w:right="80" w:firstLine="460"/>
        <w:rPr>
          <w:rFonts w:ascii="宋体" w:eastAsia="宋体" w:hAnsi="宋体" w:cs="宋体"/>
          <w:sz w:val="22"/>
          <w:szCs w:val="22"/>
        </w:rPr>
      </w:pPr>
      <w:r>
        <w:rPr>
          <w:rFonts w:ascii="宋体" w:eastAsia="宋体" w:hAnsi="宋体" w:cs="宋体"/>
          <w:spacing w:val="-10"/>
          <w:sz w:val="22"/>
          <w:szCs w:val="22"/>
        </w:rPr>
        <w:t>(3)营养素的标准化</w:t>
      </w:r>
      <w:r>
        <w:rPr>
          <w:rFonts w:ascii="宋体" w:eastAsia="宋体" w:hAnsi="宋体" w:cs="宋体"/>
          <w:spacing w:val="-20"/>
          <w:sz w:val="22"/>
          <w:szCs w:val="22"/>
        </w:rPr>
        <w:t xml:space="preserve"> </w:t>
      </w:r>
      <w:r>
        <w:rPr>
          <w:rFonts w:ascii="宋体" w:eastAsia="宋体" w:hAnsi="宋体" w:cs="宋体"/>
          <w:spacing w:val="-10"/>
          <w:sz w:val="22"/>
          <w:szCs w:val="22"/>
        </w:rPr>
        <w:t>(standarization)即使一种食品尽可能满足食用者</w:t>
      </w:r>
      <w:r>
        <w:rPr>
          <w:rFonts w:ascii="宋体" w:eastAsia="宋体" w:hAnsi="宋体" w:cs="宋体"/>
          <w:spacing w:val="-11"/>
          <w:sz w:val="22"/>
          <w:szCs w:val="22"/>
        </w:rPr>
        <w:t>全面</w:t>
      </w:r>
      <w:r>
        <w:rPr>
          <w:rFonts w:ascii="宋体" w:eastAsia="宋体" w:hAnsi="宋体" w:cs="宋体"/>
          <w:sz w:val="22"/>
          <w:szCs w:val="22"/>
        </w:rPr>
        <w:t xml:space="preserve"> </w:t>
      </w:r>
      <w:r>
        <w:rPr>
          <w:rFonts w:ascii="宋体" w:eastAsia="宋体" w:hAnsi="宋体" w:cs="宋体"/>
          <w:spacing w:val="-12"/>
          <w:sz w:val="22"/>
          <w:szCs w:val="22"/>
        </w:rPr>
        <w:t>的营养需要而加入各种营养素。如人乳化配方奶粉、宇航食</w:t>
      </w:r>
      <w:r>
        <w:rPr>
          <w:rFonts w:ascii="宋体" w:eastAsia="宋体" w:hAnsi="宋体" w:cs="宋体"/>
          <w:spacing w:val="-13"/>
          <w:sz w:val="22"/>
          <w:szCs w:val="22"/>
        </w:rPr>
        <w:t>品等的生产，使食品</w:t>
      </w:r>
      <w:r>
        <w:rPr>
          <w:rFonts w:ascii="宋体" w:eastAsia="宋体" w:hAnsi="宋体" w:cs="宋体"/>
          <w:sz w:val="22"/>
          <w:szCs w:val="22"/>
        </w:rPr>
        <w:t xml:space="preserve"> </w:t>
      </w:r>
      <w:r>
        <w:rPr>
          <w:rFonts w:ascii="宋体" w:eastAsia="宋体" w:hAnsi="宋体" w:cs="宋体"/>
          <w:spacing w:val="-17"/>
          <w:sz w:val="22"/>
          <w:szCs w:val="22"/>
        </w:rPr>
        <w:t>中的营养素含量达到某一标准。</w:t>
      </w:r>
    </w:p>
    <w:p w:rsidR="00EA40A3" w:rsidRDefault="00E86C16">
      <w:pPr>
        <w:spacing w:before="38" w:line="241" w:lineRule="auto"/>
        <w:ind w:right="54" w:firstLine="460"/>
        <w:rPr>
          <w:rFonts w:ascii="宋体" w:eastAsia="宋体" w:hAnsi="宋体" w:cs="宋体"/>
          <w:sz w:val="22"/>
          <w:szCs w:val="22"/>
        </w:rPr>
      </w:pPr>
      <w:r>
        <w:rPr>
          <w:rFonts w:ascii="宋体" w:eastAsia="宋体" w:hAnsi="宋体" w:cs="宋体"/>
          <w:spacing w:val="-10"/>
          <w:sz w:val="22"/>
          <w:szCs w:val="22"/>
        </w:rPr>
        <w:t>(4)维生素化</w:t>
      </w:r>
      <w:r>
        <w:rPr>
          <w:rFonts w:ascii="宋体" w:eastAsia="宋体" w:hAnsi="宋体" w:cs="宋体"/>
          <w:spacing w:val="4"/>
          <w:sz w:val="22"/>
          <w:szCs w:val="22"/>
        </w:rPr>
        <w:t xml:space="preserve"> </w:t>
      </w:r>
      <w:r>
        <w:rPr>
          <w:rFonts w:ascii="宋体" w:eastAsia="宋体" w:hAnsi="宋体" w:cs="宋体"/>
          <w:spacing w:val="-10"/>
          <w:sz w:val="22"/>
          <w:szCs w:val="22"/>
        </w:rPr>
        <w:t>(vitaminization)即向原来不含某种维生素的食品中添加该种</w:t>
      </w:r>
      <w:r>
        <w:rPr>
          <w:rFonts w:ascii="宋体" w:eastAsia="宋体" w:hAnsi="宋体" w:cs="宋体"/>
          <w:sz w:val="22"/>
          <w:szCs w:val="22"/>
        </w:rPr>
        <w:t xml:space="preserve"> </w:t>
      </w:r>
      <w:r>
        <w:rPr>
          <w:rFonts w:ascii="宋体" w:eastAsia="宋体" w:hAnsi="宋体" w:cs="宋体"/>
          <w:spacing w:val="-13"/>
          <w:sz w:val="22"/>
          <w:szCs w:val="22"/>
        </w:rPr>
        <w:t>维生素，如极地探险或在职业性毒害威胁下，特别强调食品中要富含某种维生素</w:t>
      </w:r>
      <w:r>
        <w:rPr>
          <w:rFonts w:ascii="宋体" w:eastAsia="宋体" w:hAnsi="宋体" w:cs="宋体"/>
          <w:spacing w:val="13"/>
          <w:sz w:val="22"/>
          <w:szCs w:val="22"/>
        </w:rPr>
        <w:t xml:space="preserve"> </w:t>
      </w:r>
      <w:r>
        <w:rPr>
          <w:rFonts w:ascii="宋体" w:eastAsia="宋体" w:hAnsi="宋体" w:cs="宋体"/>
          <w:spacing w:val="-8"/>
          <w:sz w:val="22"/>
          <w:szCs w:val="22"/>
        </w:rPr>
        <w:t>(如维生素C)。</w:t>
      </w:r>
    </w:p>
    <w:p w:rsidR="00EA40A3" w:rsidRDefault="00E86C16">
      <w:pPr>
        <w:spacing w:before="106" w:line="244" w:lineRule="auto"/>
        <w:ind w:right="80" w:firstLine="460"/>
        <w:jc w:val="both"/>
        <w:rPr>
          <w:rFonts w:ascii="宋体" w:eastAsia="宋体" w:hAnsi="宋体" w:cs="宋体"/>
          <w:sz w:val="22"/>
          <w:szCs w:val="22"/>
        </w:rPr>
      </w:pPr>
      <w:r>
        <w:rPr>
          <w:rFonts w:ascii="宋体" w:eastAsia="宋体" w:hAnsi="宋体" w:cs="宋体"/>
          <w:spacing w:val="-10"/>
          <w:sz w:val="22"/>
          <w:szCs w:val="22"/>
        </w:rPr>
        <w:t>以上4种情况，如不特别指明时均可统称为食品营养强化。此外，有营养</w:t>
      </w:r>
      <w:r>
        <w:rPr>
          <w:rFonts w:ascii="宋体" w:eastAsia="宋体" w:hAnsi="宋体" w:cs="宋体"/>
          <w:spacing w:val="-11"/>
          <w:sz w:val="22"/>
          <w:szCs w:val="22"/>
        </w:rPr>
        <w:t>素</w:t>
      </w:r>
      <w:r>
        <w:rPr>
          <w:rFonts w:ascii="宋体" w:eastAsia="宋体" w:hAnsi="宋体" w:cs="宋体"/>
          <w:sz w:val="22"/>
          <w:szCs w:val="22"/>
        </w:rPr>
        <w:t xml:space="preserve"> </w:t>
      </w:r>
      <w:r>
        <w:rPr>
          <w:rFonts w:ascii="宋体" w:eastAsia="宋体" w:hAnsi="宋体" w:cs="宋体"/>
          <w:spacing w:val="-6"/>
          <w:sz w:val="22"/>
          <w:szCs w:val="22"/>
        </w:rPr>
        <w:t>的增补</w:t>
      </w:r>
      <w:r>
        <w:rPr>
          <w:rFonts w:ascii="宋体" w:eastAsia="宋体" w:hAnsi="宋体" w:cs="宋体"/>
          <w:spacing w:val="-23"/>
          <w:sz w:val="22"/>
          <w:szCs w:val="22"/>
        </w:rPr>
        <w:t xml:space="preserve"> </w:t>
      </w:r>
      <w:r>
        <w:rPr>
          <w:rFonts w:ascii="宋体" w:eastAsia="宋体" w:hAnsi="宋体" w:cs="宋体"/>
          <w:spacing w:val="-6"/>
          <w:sz w:val="22"/>
          <w:szCs w:val="22"/>
        </w:rPr>
        <w:t>(supplementation)</w:t>
      </w:r>
      <w:r>
        <w:rPr>
          <w:rFonts w:ascii="宋体" w:eastAsia="宋体" w:hAnsi="宋体" w:cs="宋体"/>
          <w:spacing w:val="-55"/>
          <w:sz w:val="22"/>
          <w:szCs w:val="22"/>
        </w:rPr>
        <w:t xml:space="preserve"> </w:t>
      </w:r>
      <w:r>
        <w:rPr>
          <w:rFonts w:ascii="宋体" w:eastAsia="宋体" w:hAnsi="宋体" w:cs="宋体"/>
          <w:spacing w:val="-6"/>
          <w:sz w:val="22"/>
          <w:szCs w:val="22"/>
        </w:rPr>
        <w:t>一词，即指以一定剂量向食品中添加营养素；功能</w:t>
      </w:r>
      <w:r>
        <w:rPr>
          <w:rFonts w:ascii="宋体" w:eastAsia="宋体" w:hAnsi="宋体" w:cs="宋体"/>
          <w:sz w:val="22"/>
          <w:szCs w:val="22"/>
        </w:rPr>
        <w:t xml:space="preserve"> </w:t>
      </w:r>
      <w:r>
        <w:rPr>
          <w:rFonts w:ascii="宋体" w:eastAsia="宋体" w:hAnsi="宋体" w:cs="宋体"/>
          <w:spacing w:val="-13"/>
          <w:sz w:val="22"/>
          <w:szCs w:val="22"/>
        </w:rPr>
        <w:t>因子强化，即向食品中添加原来不含的某种或某些功能因子，使强化后的食品成</w:t>
      </w:r>
      <w:r>
        <w:rPr>
          <w:rFonts w:ascii="宋体" w:eastAsia="宋体" w:hAnsi="宋体" w:cs="宋体"/>
          <w:spacing w:val="13"/>
          <w:sz w:val="22"/>
          <w:szCs w:val="22"/>
        </w:rPr>
        <w:t xml:space="preserve"> </w:t>
      </w:r>
      <w:r>
        <w:rPr>
          <w:rFonts w:ascii="宋体" w:eastAsia="宋体" w:hAnsi="宋体" w:cs="宋体"/>
          <w:spacing w:val="-14"/>
          <w:sz w:val="22"/>
          <w:szCs w:val="22"/>
        </w:rPr>
        <w:t>为具有一定生理调节功能的保健食品，如向谷类食品中添加膳食纤维。</w:t>
      </w:r>
    </w:p>
    <w:p w:rsidR="00EA40A3" w:rsidRDefault="00E86C16">
      <w:pPr>
        <w:spacing w:before="54" w:line="248" w:lineRule="auto"/>
        <w:ind w:right="49" w:firstLine="460"/>
        <w:jc w:val="both"/>
        <w:rPr>
          <w:rFonts w:ascii="宋体" w:eastAsia="宋体" w:hAnsi="宋体" w:cs="宋体"/>
          <w:sz w:val="22"/>
          <w:szCs w:val="22"/>
        </w:rPr>
      </w:pPr>
      <w:r>
        <w:rPr>
          <w:rFonts w:ascii="宋体" w:eastAsia="宋体" w:hAnsi="宋体" w:cs="宋体"/>
          <w:spacing w:val="-5"/>
          <w:sz w:val="22"/>
          <w:szCs w:val="22"/>
        </w:rPr>
        <w:t>根据我国《食品营养强化剂使用卫生标准</w:t>
      </w:r>
      <w:r>
        <w:rPr>
          <w:rFonts w:ascii="宋体" w:eastAsia="宋体" w:hAnsi="宋体" w:cs="宋体"/>
          <w:spacing w:val="14"/>
          <w:sz w:val="22"/>
          <w:szCs w:val="22"/>
        </w:rPr>
        <w:t xml:space="preserve"> </w:t>
      </w:r>
      <w:r>
        <w:rPr>
          <w:rFonts w:ascii="宋体" w:eastAsia="宋体" w:hAnsi="宋体" w:cs="宋体"/>
          <w:spacing w:val="-5"/>
          <w:sz w:val="22"/>
          <w:szCs w:val="22"/>
        </w:rPr>
        <w:t>(GB14880—</w:t>
      </w:r>
      <w:r>
        <w:rPr>
          <w:rFonts w:ascii="宋体" w:eastAsia="宋体" w:hAnsi="宋体" w:cs="宋体"/>
          <w:spacing w:val="-85"/>
          <w:sz w:val="22"/>
          <w:szCs w:val="22"/>
        </w:rPr>
        <w:t xml:space="preserve"> </w:t>
      </w:r>
      <w:r>
        <w:rPr>
          <w:rFonts w:ascii="宋体" w:eastAsia="宋体" w:hAnsi="宋体" w:cs="宋体"/>
          <w:spacing w:val="-5"/>
          <w:sz w:val="22"/>
          <w:szCs w:val="22"/>
        </w:rPr>
        <w:t>1994)》</w:t>
      </w:r>
      <w:r>
        <w:rPr>
          <w:rFonts w:ascii="宋体" w:eastAsia="宋体" w:hAnsi="宋体" w:cs="宋体"/>
          <w:spacing w:val="65"/>
          <w:sz w:val="22"/>
          <w:szCs w:val="22"/>
        </w:rPr>
        <w:t xml:space="preserve"> </w:t>
      </w:r>
      <w:r>
        <w:rPr>
          <w:rFonts w:ascii="宋体" w:eastAsia="宋体" w:hAnsi="宋体" w:cs="宋体"/>
          <w:spacing w:val="-5"/>
          <w:sz w:val="22"/>
          <w:szCs w:val="22"/>
        </w:rPr>
        <w:t>和《食品</w:t>
      </w:r>
      <w:r>
        <w:rPr>
          <w:rFonts w:ascii="宋体" w:eastAsia="宋体" w:hAnsi="宋体" w:cs="宋体"/>
          <w:sz w:val="22"/>
          <w:szCs w:val="22"/>
        </w:rPr>
        <w:t xml:space="preserve"> </w:t>
      </w:r>
      <w:r>
        <w:rPr>
          <w:rFonts w:ascii="宋体" w:eastAsia="宋体" w:hAnsi="宋体" w:cs="宋体"/>
          <w:spacing w:val="4"/>
          <w:sz w:val="22"/>
          <w:szCs w:val="22"/>
        </w:rPr>
        <w:t>添加剂使用卫生标准</w:t>
      </w:r>
      <w:r>
        <w:rPr>
          <w:rFonts w:ascii="宋体" w:eastAsia="宋体" w:hAnsi="宋体" w:cs="宋体"/>
          <w:spacing w:val="-1"/>
          <w:sz w:val="22"/>
          <w:szCs w:val="22"/>
        </w:rPr>
        <w:t xml:space="preserve"> </w:t>
      </w:r>
      <w:r>
        <w:rPr>
          <w:rFonts w:ascii="宋体" w:eastAsia="宋体" w:hAnsi="宋体" w:cs="宋体"/>
          <w:spacing w:val="4"/>
          <w:sz w:val="22"/>
          <w:szCs w:val="22"/>
        </w:rPr>
        <w:t>(</w:t>
      </w:r>
      <w:r>
        <w:rPr>
          <w:rFonts w:ascii="宋体" w:eastAsia="宋体" w:hAnsi="宋体" w:cs="宋体"/>
          <w:sz w:val="22"/>
          <w:szCs w:val="22"/>
        </w:rPr>
        <w:t>GB</w:t>
      </w:r>
      <w:r>
        <w:rPr>
          <w:rFonts w:ascii="宋体" w:eastAsia="宋体" w:hAnsi="宋体" w:cs="宋体"/>
          <w:spacing w:val="4"/>
          <w:sz w:val="22"/>
          <w:szCs w:val="22"/>
        </w:rPr>
        <w:t>2760—</w:t>
      </w:r>
      <w:r>
        <w:rPr>
          <w:rFonts w:ascii="宋体" w:eastAsia="宋体" w:hAnsi="宋体" w:cs="宋体"/>
          <w:spacing w:val="-86"/>
          <w:sz w:val="22"/>
          <w:szCs w:val="22"/>
        </w:rPr>
        <w:t xml:space="preserve"> </w:t>
      </w:r>
      <w:r>
        <w:rPr>
          <w:rFonts w:ascii="宋体" w:eastAsia="宋体" w:hAnsi="宋体" w:cs="宋体"/>
          <w:spacing w:val="4"/>
          <w:sz w:val="22"/>
          <w:szCs w:val="22"/>
        </w:rPr>
        <w:t>1996)》</w:t>
      </w:r>
      <w:r>
        <w:rPr>
          <w:rFonts w:ascii="宋体" w:eastAsia="宋体" w:hAnsi="宋体" w:cs="宋体"/>
          <w:spacing w:val="65"/>
          <w:sz w:val="22"/>
          <w:szCs w:val="22"/>
        </w:rPr>
        <w:t xml:space="preserve"> </w:t>
      </w:r>
      <w:r>
        <w:rPr>
          <w:rFonts w:ascii="宋体" w:eastAsia="宋体" w:hAnsi="宋体" w:cs="宋体"/>
          <w:spacing w:val="4"/>
          <w:sz w:val="22"/>
          <w:szCs w:val="22"/>
        </w:rPr>
        <w:t>规定以及其后</w:t>
      </w:r>
      <w:r>
        <w:rPr>
          <w:rFonts w:ascii="宋体" w:eastAsia="宋体" w:hAnsi="宋体" w:cs="宋体"/>
          <w:spacing w:val="3"/>
          <w:sz w:val="22"/>
          <w:szCs w:val="22"/>
        </w:rPr>
        <w:t>的连续增补，截至</w:t>
      </w:r>
      <w:r>
        <w:rPr>
          <w:rFonts w:ascii="宋体" w:eastAsia="宋体" w:hAnsi="宋体" w:cs="宋体"/>
          <w:sz w:val="22"/>
          <w:szCs w:val="22"/>
        </w:rPr>
        <w:t xml:space="preserve"> </w:t>
      </w:r>
      <w:r>
        <w:rPr>
          <w:rFonts w:ascii="宋体" w:eastAsia="宋体" w:hAnsi="宋体" w:cs="宋体"/>
          <w:spacing w:val="3"/>
          <w:sz w:val="22"/>
          <w:szCs w:val="22"/>
        </w:rPr>
        <w:t>2001年，我国正式许可使用的食品营养强化剂品种约110多种，主要包括氨</w:t>
      </w:r>
      <w:r>
        <w:rPr>
          <w:rFonts w:ascii="宋体" w:eastAsia="宋体" w:hAnsi="宋体" w:cs="宋体"/>
          <w:spacing w:val="2"/>
          <w:sz w:val="22"/>
          <w:szCs w:val="22"/>
        </w:rPr>
        <w:t xml:space="preserve"> </w:t>
      </w:r>
      <w:r>
        <w:rPr>
          <w:rFonts w:ascii="宋体" w:eastAsia="宋体" w:hAnsi="宋体" w:cs="宋体"/>
          <w:spacing w:val="-3"/>
          <w:sz w:val="22"/>
          <w:szCs w:val="22"/>
        </w:rPr>
        <w:t>基酸和含氮化合物、维生素、矿物质和脂肪酸4类，此外</w:t>
      </w:r>
      <w:r>
        <w:rPr>
          <w:rFonts w:ascii="宋体" w:eastAsia="宋体" w:hAnsi="宋体" w:cs="宋体"/>
          <w:spacing w:val="-4"/>
          <w:sz w:val="22"/>
          <w:szCs w:val="22"/>
        </w:rPr>
        <w:t>也包括用于营养强化</w:t>
      </w:r>
      <w:r>
        <w:rPr>
          <w:rFonts w:ascii="宋体" w:eastAsia="宋体" w:hAnsi="宋体" w:cs="宋体"/>
          <w:sz w:val="22"/>
          <w:szCs w:val="22"/>
        </w:rPr>
        <w:t xml:space="preserve"> </w:t>
      </w:r>
      <w:r>
        <w:rPr>
          <w:rFonts w:ascii="宋体" w:eastAsia="宋体" w:hAnsi="宋体" w:cs="宋体"/>
          <w:spacing w:val="-7"/>
          <w:sz w:val="22"/>
          <w:szCs w:val="22"/>
        </w:rPr>
        <w:t>的天然食物及其制品。这和当前国外许可使用的食品营养强化剂品种情况</w:t>
      </w:r>
      <w:r>
        <w:rPr>
          <w:rFonts w:ascii="宋体" w:eastAsia="宋体" w:hAnsi="宋体" w:cs="宋体"/>
          <w:spacing w:val="-8"/>
          <w:sz w:val="22"/>
          <w:szCs w:val="22"/>
        </w:rPr>
        <w:t>基本</w:t>
      </w:r>
      <w:r>
        <w:rPr>
          <w:rFonts w:ascii="宋体" w:eastAsia="宋体" w:hAnsi="宋体" w:cs="宋体"/>
          <w:sz w:val="22"/>
          <w:szCs w:val="22"/>
        </w:rPr>
        <w:t xml:space="preserve"> </w:t>
      </w:r>
      <w:r>
        <w:rPr>
          <w:rFonts w:ascii="宋体" w:eastAsia="宋体" w:hAnsi="宋体" w:cs="宋体"/>
          <w:spacing w:val="-7"/>
          <w:sz w:val="22"/>
          <w:szCs w:val="22"/>
        </w:rPr>
        <w:t>一致。我国目前许可使用的食品营养强化剂的品种、使用范围和使用量见附录</w:t>
      </w:r>
      <w:r>
        <w:rPr>
          <w:rFonts w:ascii="宋体" w:eastAsia="宋体" w:hAnsi="宋体" w:cs="宋体"/>
          <w:spacing w:val="17"/>
          <w:sz w:val="22"/>
          <w:szCs w:val="22"/>
        </w:rPr>
        <w:t xml:space="preserve"> </w:t>
      </w:r>
      <w:r>
        <w:rPr>
          <w:rFonts w:ascii="宋体" w:eastAsia="宋体" w:hAnsi="宋体" w:cs="宋体"/>
          <w:spacing w:val="-6"/>
          <w:sz w:val="22"/>
          <w:szCs w:val="22"/>
        </w:rPr>
        <w:t>的《食品营养强化剂使用卫生标准》和</w:t>
      </w:r>
      <w:r>
        <w:rPr>
          <w:rFonts w:ascii="宋体" w:eastAsia="宋体" w:hAnsi="宋体" w:cs="宋体"/>
          <w:spacing w:val="-21"/>
          <w:sz w:val="22"/>
          <w:szCs w:val="22"/>
        </w:rPr>
        <w:t xml:space="preserve"> </w:t>
      </w:r>
      <w:r>
        <w:rPr>
          <w:rFonts w:ascii="宋体" w:eastAsia="宋体" w:hAnsi="宋体" w:cs="宋体"/>
          <w:spacing w:val="-6"/>
          <w:sz w:val="22"/>
          <w:szCs w:val="22"/>
        </w:rPr>
        <w:t>《GB2760—1996</w:t>
      </w:r>
      <w:r>
        <w:rPr>
          <w:rFonts w:ascii="宋体" w:eastAsia="宋体" w:hAnsi="宋体" w:cs="宋体"/>
          <w:spacing w:val="10"/>
          <w:sz w:val="22"/>
          <w:szCs w:val="22"/>
        </w:rPr>
        <w:t xml:space="preserve"> </w:t>
      </w:r>
      <w:r>
        <w:rPr>
          <w:rFonts w:ascii="宋体" w:eastAsia="宋体" w:hAnsi="宋体" w:cs="宋体"/>
          <w:spacing w:val="-6"/>
          <w:sz w:val="22"/>
          <w:szCs w:val="22"/>
        </w:rPr>
        <w:t>及其增补的食品营养</w:t>
      </w:r>
      <w:r>
        <w:rPr>
          <w:rFonts w:ascii="宋体" w:eastAsia="宋体" w:hAnsi="宋体" w:cs="宋体"/>
          <w:sz w:val="22"/>
          <w:szCs w:val="22"/>
        </w:rPr>
        <w:t xml:space="preserve"> </w:t>
      </w:r>
      <w:r>
        <w:rPr>
          <w:rFonts w:ascii="宋体" w:eastAsia="宋体" w:hAnsi="宋体" w:cs="宋体"/>
          <w:spacing w:val="-25"/>
          <w:sz w:val="22"/>
          <w:szCs w:val="22"/>
        </w:rPr>
        <w:t>强化剂种类》。</w:t>
      </w:r>
    </w:p>
    <w:p w:rsidR="00EA40A3" w:rsidRDefault="00E86C16">
      <w:pPr>
        <w:spacing w:before="246" w:line="221" w:lineRule="auto"/>
        <w:ind w:left="3"/>
        <w:outlineLvl w:val="6"/>
        <w:rPr>
          <w:rFonts w:ascii="黑体" w:eastAsia="黑体" w:hAnsi="黑体" w:cs="黑体"/>
          <w:sz w:val="22"/>
          <w:szCs w:val="22"/>
        </w:rPr>
      </w:pPr>
      <w:r>
        <w:rPr>
          <w:rFonts w:ascii="黑体" w:eastAsia="黑体" w:hAnsi="黑体" w:cs="黑体"/>
          <w:b/>
          <w:bCs/>
          <w:spacing w:val="7"/>
          <w:sz w:val="22"/>
          <w:szCs w:val="22"/>
        </w:rPr>
        <w:t>8.1.2</w:t>
      </w:r>
      <w:r>
        <w:rPr>
          <w:rFonts w:ascii="黑体" w:eastAsia="黑体" w:hAnsi="黑体" w:cs="黑体"/>
          <w:spacing w:val="3"/>
          <w:sz w:val="22"/>
          <w:szCs w:val="22"/>
        </w:rPr>
        <w:t xml:space="preserve">   </w:t>
      </w:r>
      <w:r>
        <w:rPr>
          <w:rFonts w:ascii="黑体" w:eastAsia="黑体" w:hAnsi="黑体" w:cs="黑体"/>
          <w:b/>
          <w:bCs/>
          <w:spacing w:val="7"/>
          <w:sz w:val="22"/>
          <w:szCs w:val="22"/>
        </w:rPr>
        <w:t>食品营养强化发展简况</w:t>
      </w:r>
    </w:p>
    <w:p w:rsidR="00EA40A3" w:rsidRDefault="00E86C16">
      <w:pPr>
        <w:spacing w:before="185" w:line="245" w:lineRule="auto"/>
        <w:ind w:right="40" w:firstLine="460"/>
        <w:jc w:val="both"/>
        <w:rPr>
          <w:rFonts w:ascii="宋体" w:eastAsia="宋体" w:hAnsi="宋体" w:cs="宋体"/>
          <w:sz w:val="22"/>
          <w:szCs w:val="22"/>
        </w:rPr>
      </w:pPr>
      <w:r>
        <w:rPr>
          <w:rFonts w:ascii="宋体" w:eastAsia="宋体" w:hAnsi="宋体" w:cs="宋体"/>
          <w:spacing w:val="-8"/>
          <w:sz w:val="22"/>
          <w:szCs w:val="22"/>
        </w:rPr>
        <w:t>食品营养强化可能起于1833年，当时法国化学家Bou-ssingault提出向食盐</w:t>
      </w:r>
      <w:r>
        <w:rPr>
          <w:rFonts w:ascii="宋体" w:eastAsia="宋体" w:hAnsi="宋体" w:cs="宋体"/>
          <w:spacing w:val="15"/>
          <w:sz w:val="22"/>
          <w:szCs w:val="22"/>
        </w:rPr>
        <w:t xml:space="preserve"> </w:t>
      </w:r>
      <w:r>
        <w:rPr>
          <w:rFonts w:ascii="宋体" w:eastAsia="宋体" w:hAnsi="宋体" w:cs="宋体"/>
          <w:spacing w:val="-6"/>
          <w:sz w:val="22"/>
          <w:szCs w:val="22"/>
        </w:rPr>
        <w:t>中加碘，防止南美的甲状腺肿。1900年食盐加碘在欧洲实现。第一次世界</w:t>
      </w:r>
      <w:r>
        <w:rPr>
          <w:rFonts w:ascii="宋体" w:eastAsia="宋体" w:hAnsi="宋体" w:cs="宋体"/>
          <w:spacing w:val="-7"/>
          <w:sz w:val="22"/>
          <w:szCs w:val="22"/>
        </w:rPr>
        <w:t>大战</w:t>
      </w:r>
      <w:r>
        <w:rPr>
          <w:rFonts w:ascii="宋体" w:eastAsia="宋体" w:hAnsi="宋体" w:cs="宋体"/>
          <w:sz w:val="22"/>
          <w:szCs w:val="22"/>
        </w:rPr>
        <w:t xml:space="preserve"> </w:t>
      </w:r>
      <w:r>
        <w:rPr>
          <w:rFonts w:ascii="宋体" w:eastAsia="宋体" w:hAnsi="宋体" w:cs="宋体"/>
          <w:spacing w:val="-4"/>
          <w:sz w:val="22"/>
          <w:szCs w:val="22"/>
        </w:rPr>
        <w:t>期间，丹麦人明显缺乏维生素A,1918</w:t>
      </w:r>
      <w:r>
        <w:rPr>
          <w:rFonts w:ascii="宋体" w:eastAsia="宋体" w:hAnsi="宋体" w:cs="宋体"/>
          <w:spacing w:val="101"/>
          <w:sz w:val="22"/>
          <w:szCs w:val="22"/>
        </w:rPr>
        <w:t xml:space="preserve"> </w:t>
      </w:r>
      <w:r>
        <w:rPr>
          <w:rFonts w:ascii="宋体" w:eastAsia="宋体" w:hAnsi="宋体" w:cs="宋体"/>
          <w:spacing w:val="-4"/>
          <w:sz w:val="22"/>
          <w:szCs w:val="22"/>
        </w:rPr>
        <w:t>年曾用维生素A</w:t>
      </w:r>
      <w:r>
        <w:rPr>
          <w:rFonts w:ascii="宋体" w:eastAsia="宋体" w:hAnsi="宋体" w:cs="宋体"/>
          <w:spacing w:val="2"/>
          <w:sz w:val="22"/>
          <w:szCs w:val="22"/>
        </w:rPr>
        <w:t xml:space="preserve"> </w:t>
      </w:r>
      <w:r>
        <w:rPr>
          <w:rFonts w:ascii="宋体" w:eastAsia="宋体" w:hAnsi="宋体" w:cs="宋体"/>
          <w:spacing w:val="-5"/>
          <w:sz w:val="22"/>
          <w:szCs w:val="22"/>
        </w:rPr>
        <w:t>浓缩物强化人造黄油。</w:t>
      </w:r>
      <w:r>
        <w:rPr>
          <w:rFonts w:ascii="宋体" w:eastAsia="宋体" w:hAnsi="宋体" w:cs="宋体"/>
          <w:sz w:val="22"/>
          <w:szCs w:val="22"/>
        </w:rPr>
        <w:t xml:space="preserve"> </w:t>
      </w:r>
      <w:r>
        <w:rPr>
          <w:rFonts w:ascii="宋体" w:eastAsia="宋体" w:hAnsi="宋体" w:cs="宋体"/>
          <w:spacing w:val="-5"/>
          <w:sz w:val="22"/>
          <w:szCs w:val="22"/>
        </w:rPr>
        <w:t>美国大约在1931年用维生素D 强化鲜乳。</w:t>
      </w:r>
    </w:p>
    <w:p w:rsidR="00EA40A3" w:rsidRDefault="00E86C16">
      <w:pPr>
        <w:spacing w:before="66" w:line="248" w:lineRule="auto"/>
        <w:ind w:right="40" w:firstLine="460"/>
        <w:jc w:val="both"/>
        <w:rPr>
          <w:rFonts w:ascii="宋体" w:eastAsia="宋体" w:hAnsi="宋体" w:cs="宋体"/>
          <w:sz w:val="22"/>
          <w:szCs w:val="22"/>
        </w:rPr>
      </w:pPr>
      <w:r>
        <w:rPr>
          <w:rFonts w:ascii="宋体" w:eastAsia="宋体" w:hAnsi="宋体" w:cs="宋体"/>
          <w:spacing w:val="-12"/>
          <w:sz w:val="22"/>
          <w:szCs w:val="22"/>
        </w:rPr>
        <w:t>但是，食品营养强化真正得到应用大概是在第</w:t>
      </w:r>
      <w:r>
        <w:rPr>
          <w:rFonts w:ascii="宋体" w:eastAsia="宋体" w:hAnsi="宋体" w:cs="宋体"/>
          <w:spacing w:val="-13"/>
          <w:sz w:val="22"/>
          <w:szCs w:val="22"/>
        </w:rPr>
        <w:t>二次世界大战之前，当时美国</w:t>
      </w:r>
      <w:r>
        <w:rPr>
          <w:rFonts w:ascii="宋体" w:eastAsia="宋体" w:hAnsi="宋体" w:cs="宋体"/>
          <w:sz w:val="22"/>
          <w:szCs w:val="22"/>
        </w:rPr>
        <w:t xml:space="preserve"> </w:t>
      </w:r>
      <w:r>
        <w:rPr>
          <w:rFonts w:ascii="宋体" w:eastAsia="宋体" w:hAnsi="宋体" w:cs="宋体"/>
          <w:spacing w:val="-2"/>
          <w:sz w:val="22"/>
          <w:szCs w:val="22"/>
        </w:rPr>
        <w:t>的营养缺乏病在增长，1941年底美国FDA</w:t>
      </w:r>
      <w:r>
        <w:rPr>
          <w:rFonts w:ascii="宋体" w:eastAsia="宋体" w:hAnsi="宋体" w:cs="宋体"/>
          <w:spacing w:val="69"/>
          <w:sz w:val="22"/>
          <w:szCs w:val="22"/>
        </w:rPr>
        <w:t xml:space="preserve"> </w:t>
      </w:r>
      <w:r>
        <w:rPr>
          <w:rFonts w:ascii="宋体" w:eastAsia="宋体" w:hAnsi="宋体" w:cs="宋体"/>
          <w:spacing w:val="-2"/>
          <w:sz w:val="22"/>
          <w:szCs w:val="22"/>
        </w:rPr>
        <w:t>提出了一个强化面粉的标准，并从</w:t>
      </w:r>
      <w:r>
        <w:rPr>
          <w:rFonts w:ascii="宋体" w:eastAsia="宋体" w:hAnsi="宋体" w:cs="宋体"/>
          <w:sz w:val="22"/>
          <w:szCs w:val="22"/>
        </w:rPr>
        <w:t xml:space="preserve"> </w:t>
      </w:r>
      <w:r>
        <w:rPr>
          <w:rFonts w:ascii="宋体" w:eastAsia="宋体" w:hAnsi="宋体" w:cs="宋体"/>
          <w:spacing w:val="-3"/>
          <w:sz w:val="22"/>
          <w:szCs w:val="22"/>
        </w:rPr>
        <w:t>1942年1月生效，与此同时公布了食品强化的法规，对食品强化的定义、范围</w:t>
      </w:r>
      <w:r>
        <w:rPr>
          <w:rFonts w:ascii="宋体" w:eastAsia="宋体" w:hAnsi="宋体" w:cs="宋体"/>
          <w:spacing w:val="7"/>
          <w:sz w:val="22"/>
          <w:szCs w:val="22"/>
        </w:rPr>
        <w:t xml:space="preserve"> </w:t>
      </w:r>
      <w:r>
        <w:rPr>
          <w:rFonts w:ascii="宋体" w:eastAsia="宋体" w:hAnsi="宋体" w:cs="宋体"/>
          <w:spacing w:val="-11"/>
          <w:sz w:val="22"/>
          <w:szCs w:val="22"/>
        </w:rPr>
        <w:t>和强化标准等都做了明确的规定。此后，对其他谷类制品的强化标准随之而起，</w:t>
      </w:r>
      <w:r>
        <w:rPr>
          <w:rFonts w:ascii="宋体" w:eastAsia="宋体" w:hAnsi="宋体" w:cs="宋体"/>
          <w:spacing w:val="4"/>
          <w:sz w:val="22"/>
          <w:szCs w:val="22"/>
        </w:rPr>
        <w:t xml:space="preserve"> </w:t>
      </w:r>
      <w:r>
        <w:rPr>
          <w:rFonts w:ascii="宋体" w:eastAsia="宋体" w:hAnsi="宋体" w:cs="宋体"/>
          <w:spacing w:val="-5"/>
          <w:sz w:val="22"/>
          <w:szCs w:val="22"/>
        </w:rPr>
        <w:t>如1943年对玉米粉的强化、1946年对稀粥的强化、1952年对面包的强化、1958</w:t>
      </w:r>
      <w:r>
        <w:rPr>
          <w:rFonts w:ascii="宋体" w:eastAsia="宋体" w:hAnsi="宋体" w:cs="宋体"/>
          <w:spacing w:val="11"/>
          <w:sz w:val="22"/>
          <w:szCs w:val="22"/>
        </w:rPr>
        <w:t xml:space="preserve"> </w:t>
      </w:r>
      <w:r>
        <w:rPr>
          <w:rFonts w:ascii="宋体" w:eastAsia="宋体" w:hAnsi="宋体" w:cs="宋体"/>
          <w:spacing w:val="-6"/>
          <w:sz w:val="22"/>
          <w:szCs w:val="22"/>
        </w:rPr>
        <w:t>年对大米的强化等。1995年食品生产者还开始用微量元素和蛋白质强化谷类食</w:t>
      </w:r>
      <w:r>
        <w:rPr>
          <w:rFonts w:ascii="宋体" w:eastAsia="宋体" w:hAnsi="宋体" w:cs="宋体"/>
          <w:spacing w:val="15"/>
          <w:sz w:val="22"/>
          <w:szCs w:val="22"/>
        </w:rPr>
        <w:t xml:space="preserve"> </w:t>
      </w:r>
      <w:r>
        <w:rPr>
          <w:rFonts w:ascii="宋体" w:eastAsia="宋体" w:hAnsi="宋体" w:cs="宋体"/>
          <w:spacing w:val="-3"/>
          <w:sz w:val="22"/>
          <w:szCs w:val="22"/>
        </w:rPr>
        <w:t>物。到1969年食用的谷类食物中已经有约11%进行了营养强化。今天，美国大</w:t>
      </w:r>
      <w:r>
        <w:rPr>
          <w:rFonts w:ascii="宋体" w:eastAsia="宋体" w:hAnsi="宋体" w:cs="宋体"/>
          <w:sz w:val="22"/>
          <w:szCs w:val="22"/>
        </w:rPr>
        <w:t xml:space="preserve"> </w:t>
      </w:r>
      <w:r>
        <w:rPr>
          <w:rFonts w:ascii="宋体" w:eastAsia="宋体" w:hAnsi="宋体" w:cs="宋体"/>
          <w:spacing w:val="-6"/>
          <w:sz w:val="22"/>
          <w:szCs w:val="22"/>
        </w:rPr>
        <w:t>约有92%以上的早餐谷类食物进行了营养强</w:t>
      </w:r>
      <w:r>
        <w:rPr>
          <w:rFonts w:ascii="宋体" w:eastAsia="宋体" w:hAnsi="宋体" w:cs="宋体"/>
          <w:spacing w:val="-7"/>
          <w:sz w:val="22"/>
          <w:szCs w:val="22"/>
        </w:rPr>
        <w:t>化。</w:t>
      </w:r>
    </w:p>
    <w:p w:rsidR="00EA40A3" w:rsidRDefault="00E86C16">
      <w:pPr>
        <w:spacing w:before="102"/>
        <w:ind w:left="160"/>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254</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979" w:bottom="400" w:left="879" w:header="0" w:footer="0" w:gutter="0"/>
          <w:cols w:space="720"/>
        </w:sectPr>
      </w:pPr>
    </w:p>
    <w:p w:rsidR="00EA40A3" w:rsidRDefault="00EA40A3">
      <w:pPr>
        <w:spacing w:line="268" w:lineRule="auto"/>
      </w:pPr>
    </w:p>
    <w:p w:rsidR="00EA40A3" w:rsidRDefault="00EA40A3">
      <w:pPr>
        <w:spacing w:line="269" w:lineRule="auto"/>
      </w:pPr>
    </w:p>
    <w:p w:rsidR="00EA40A3" w:rsidRDefault="00E86C16">
      <w:pPr>
        <w:spacing w:before="71" w:line="248" w:lineRule="auto"/>
        <w:ind w:firstLine="410"/>
        <w:jc w:val="both"/>
        <w:rPr>
          <w:rFonts w:ascii="宋体" w:eastAsia="宋体" w:hAnsi="宋体" w:cs="宋体"/>
          <w:sz w:val="22"/>
          <w:szCs w:val="22"/>
        </w:rPr>
      </w:pPr>
      <w:r>
        <w:rPr>
          <w:rFonts w:ascii="宋体" w:eastAsia="宋体" w:hAnsi="宋体" w:cs="宋体"/>
          <w:spacing w:val="-6"/>
          <w:sz w:val="22"/>
          <w:szCs w:val="22"/>
        </w:rPr>
        <w:t>日本在1949年设立了关于食品强化的研究</w:t>
      </w:r>
      <w:r>
        <w:rPr>
          <w:rFonts w:ascii="宋体" w:eastAsia="宋体" w:hAnsi="宋体" w:cs="宋体"/>
          <w:spacing w:val="-7"/>
          <w:sz w:val="22"/>
          <w:szCs w:val="22"/>
        </w:rPr>
        <w:t>委员会。1952年在其国民经济趋</w:t>
      </w:r>
      <w:r>
        <w:rPr>
          <w:rFonts w:ascii="宋体" w:eastAsia="宋体" w:hAnsi="宋体" w:cs="宋体"/>
          <w:sz w:val="22"/>
          <w:szCs w:val="22"/>
        </w:rPr>
        <w:t xml:space="preserve">  </w:t>
      </w:r>
      <w:r>
        <w:rPr>
          <w:rFonts w:ascii="宋体" w:eastAsia="宋体" w:hAnsi="宋体" w:cs="宋体"/>
          <w:spacing w:val="-11"/>
          <w:sz w:val="22"/>
          <w:szCs w:val="22"/>
        </w:rPr>
        <w:t>于稳定时即建议食品要强化，并制定了食品强化标准，颁布了“营养改善法”。</w:t>
      </w:r>
      <w:r>
        <w:rPr>
          <w:rFonts w:ascii="宋体" w:eastAsia="宋体" w:hAnsi="宋体" w:cs="宋体"/>
          <w:spacing w:val="4"/>
          <w:sz w:val="22"/>
          <w:szCs w:val="22"/>
        </w:rPr>
        <w:t xml:space="preserve"> </w:t>
      </w:r>
      <w:r>
        <w:rPr>
          <w:rFonts w:ascii="宋体" w:eastAsia="宋体" w:hAnsi="宋体" w:cs="宋体"/>
          <w:spacing w:val="-11"/>
          <w:sz w:val="22"/>
          <w:szCs w:val="22"/>
        </w:rPr>
        <w:t>根据1983年修订的营养改善法规定，有两类不同的营</w:t>
      </w:r>
      <w:r>
        <w:rPr>
          <w:rFonts w:ascii="宋体" w:eastAsia="宋体" w:hAnsi="宋体" w:cs="宋体"/>
          <w:spacing w:val="-12"/>
          <w:sz w:val="22"/>
          <w:szCs w:val="22"/>
        </w:rPr>
        <w:t>养强化食品，</w:t>
      </w:r>
      <w:r>
        <w:rPr>
          <w:rFonts w:ascii="宋体" w:eastAsia="宋体" w:hAnsi="宋体" w:cs="宋体"/>
          <w:spacing w:val="55"/>
          <w:sz w:val="22"/>
          <w:szCs w:val="22"/>
        </w:rPr>
        <w:t xml:space="preserve"> </w:t>
      </w:r>
      <w:r>
        <w:rPr>
          <w:rFonts w:ascii="宋体" w:eastAsia="宋体" w:hAnsi="宋体" w:cs="宋体"/>
          <w:spacing w:val="-12"/>
          <w:sz w:val="22"/>
          <w:szCs w:val="22"/>
        </w:rPr>
        <w:t>一类是以普</w:t>
      </w:r>
      <w:r>
        <w:rPr>
          <w:rFonts w:ascii="宋体" w:eastAsia="宋体" w:hAnsi="宋体" w:cs="宋体"/>
          <w:sz w:val="22"/>
          <w:szCs w:val="22"/>
        </w:rPr>
        <w:t xml:space="preserve"> </w:t>
      </w:r>
      <w:r>
        <w:rPr>
          <w:rFonts w:ascii="宋体" w:eastAsia="宋体" w:hAnsi="宋体" w:cs="宋体"/>
          <w:spacing w:val="-13"/>
          <w:sz w:val="22"/>
          <w:szCs w:val="22"/>
        </w:rPr>
        <w:t>通人为食用对象的营养强化食品，有大米、面粉、麦片、面包、</w:t>
      </w:r>
      <w:r>
        <w:rPr>
          <w:rFonts w:ascii="宋体" w:eastAsia="宋体" w:hAnsi="宋体" w:cs="宋体"/>
          <w:spacing w:val="-14"/>
          <w:sz w:val="22"/>
          <w:szCs w:val="22"/>
        </w:rPr>
        <w:t>面条、挂面、速</w:t>
      </w:r>
      <w:r>
        <w:rPr>
          <w:rFonts w:ascii="宋体" w:eastAsia="宋体" w:hAnsi="宋体" w:cs="宋体"/>
          <w:sz w:val="22"/>
          <w:szCs w:val="22"/>
        </w:rPr>
        <w:t xml:space="preserve"> </w:t>
      </w:r>
      <w:r>
        <w:rPr>
          <w:rFonts w:ascii="宋体" w:eastAsia="宋体" w:hAnsi="宋体" w:cs="宋体"/>
          <w:spacing w:val="-6"/>
          <w:sz w:val="22"/>
          <w:szCs w:val="22"/>
        </w:rPr>
        <w:t>煮面、大酱、人造奶油，以及鱼肉制作的火腿与香肠</w:t>
      </w:r>
      <w:r>
        <w:rPr>
          <w:rFonts w:ascii="宋体" w:eastAsia="宋体" w:hAnsi="宋体" w:cs="宋体"/>
          <w:spacing w:val="-7"/>
          <w:sz w:val="22"/>
          <w:szCs w:val="22"/>
        </w:rPr>
        <w:t>共10种；另一类是供特殊</w:t>
      </w:r>
      <w:r>
        <w:rPr>
          <w:rFonts w:ascii="宋体" w:eastAsia="宋体" w:hAnsi="宋体" w:cs="宋体"/>
          <w:sz w:val="22"/>
          <w:szCs w:val="22"/>
        </w:rPr>
        <w:t xml:space="preserve"> </w:t>
      </w:r>
      <w:r>
        <w:rPr>
          <w:rFonts w:ascii="宋体" w:eastAsia="宋体" w:hAnsi="宋体" w:cs="宋体"/>
          <w:spacing w:val="-14"/>
          <w:sz w:val="22"/>
          <w:szCs w:val="22"/>
        </w:rPr>
        <w:t>人群及病人食用的营养强化食品，有调制奶粉、低钠食品、低谷胶食品、低能量</w:t>
      </w:r>
      <w:r>
        <w:rPr>
          <w:rFonts w:ascii="宋体" w:eastAsia="宋体" w:hAnsi="宋体" w:cs="宋体"/>
          <w:spacing w:val="3"/>
          <w:sz w:val="22"/>
          <w:szCs w:val="22"/>
        </w:rPr>
        <w:t xml:space="preserve">  </w:t>
      </w:r>
      <w:r>
        <w:rPr>
          <w:rFonts w:ascii="宋体" w:eastAsia="宋体" w:hAnsi="宋体" w:cs="宋体"/>
          <w:spacing w:val="-13"/>
          <w:sz w:val="22"/>
          <w:szCs w:val="22"/>
        </w:rPr>
        <w:t>食品、高能量食品、低脂肪食品、低糖食品、低蛋白食品、高蛋白食品、降低过</w:t>
      </w:r>
      <w:r>
        <w:rPr>
          <w:rFonts w:ascii="宋体" w:eastAsia="宋体" w:hAnsi="宋体" w:cs="宋体"/>
          <w:spacing w:val="12"/>
          <w:sz w:val="22"/>
          <w:szCs w:val="22"/>
        </w:rPr>
        <w:t xml:space="preserve"> </w:t>
      </w:r>
      <w:r>
        <w:rPr>
          <w:rFonts w:ascii="宋体" w:eastAsia="宋体" w:hAnsi="宋体" w:cs="宋体"/>
          <w:sz w:val="22"/>
          <w:szCs w:val="22"/>
        </w:rPr>
        <w:t>敏原食品、特定氨基酸(苯丙氨酸)含量低的食品11种</w:t>
      </w:r>
      <w:r>
        <w:rPr>
          <w:rFonts w:ascii="宋体" w:eastAsia="宋体" w:hAnsi="宋体" w:cs="宋体"/>
          <w:spacing w:val="-1"/>
          <w:sz w:val="22"/>
          <w:szCs w:val="22"/>
        </w:rPr>
        <w:t>。上述各种强化食品均</w:t>
      </w:r>
      <w:r>
        <w:rPr>
          <w:rFonts w:ascii="宋体" w:eastAsia="宋体" w:hAnsi="宋体" w:cs="宋体"/>
          <w:sz w:val="22"/>
          <w:szCs w:val="22"/>
        </w:rPr>
        <w:t xml:space="preserve"> </w:t>
      </w:r>
      <w:r>
        <w:rPr>
          <w:rFonts w:ascii="宋体" w:eastAsia="宋体" w:hAnsi="宋体" w:cs="宋体"/>
          <w:spacing w:val="-16"/>
          <w:sz w:val="22"/>
          <w:szCs w:val="22"/>
        </w:rPr>
        <w:t>有各自的强化标准。</w:t>
      </w:r>
    </w:p>
    <w:p w:rsidR="00EA40A3" w:rsidRDefault="00E86C16">
      <w:pPr>
        <w:spacing w:before="116" w:line="245" w:lineRule="auto"/>
        <w:ind w:right="39" w:firstLine="410"/>
        <w:jc w:val="both"/>
        <w:rPr>
          <w:rFonts w:ascii="宋体" w:eastAsia="宋体" w:hAnsi="宋体" w:cs="宋体"/>
          <w:sz w:val="22"/>
          <w:szCs w:val="22"/>
        </w:rPr>
      </w:pPr>
      <w:r>
        <w:rPr>
          <w:rFonts w:ascii="宋体" w:eastAsia="宋体" w:hAnsi="宋体" w:cs="宋体"/>
          <w:spacing w:val="-6"/>
          <w:sz w:val="22"/>
          <w:szCs w:val="22"/>
        </w:rPr>
        <w:t>欧洲各国在20世纪50年代先后对食品营养强化建立了政府的监督、管理体</w:t>
      </w:r>
      <w:r>
        <w:rPr>
          <w:rFonts w:ascii="宋体" w:eastAsia="宋体" w:hAnsi="宋体" w:cs="宋体"/>
          <w:spacing w:val="12"/>
          <w:sz w:val="22"/>
          <w:szCs w:val="22"/>
        </w:rPr>
        <w:t xml:space="preserve"> </w:t>
      </w:r>
      <w:r>
        <w:rPr>
          <w:rFonts w:ascii="宋体" w:eastAsia="宋体" w:hAnsi="宋体" w:cs="宋体"/>
          <w:spacing w:val="-13"/>
          <w:sz w:val="22"/>
          <w:szCs w:val="22"/>
        </w:rPr>
        <w:t>制，现已有许多国家对食品进行营养强化。有些国家还法定对某些主食品强制添</w:t>
      </w:r>
      <w:r>
        <w:rPr>
          <w:rFonts w:ascii="宋体" w:eastAsia="宋体" w:hAnsi="宋体" w:cs="宋体"/>
          <w:spacing w:val="12"/>
          <w:sz w:val="22"/>
          <w:szCs w:val="22"/>
        </w:rPr>
        <w:t xml:space="preserve"> </w:t>
      </w:r>
      <w:r>
        <w:rPr>
          <w:rFonts w:ascii="宋体" w:eastAsia="宋体" w:hAnsi="宋体" w:cs="宋体"/>
          <w:spacing w:val="-5"/>
          <w:sz w:val="22"/>
          <w:szCs w:val="22"/>
        </w:rPr>
        <w:t>加一定的营养素，例如英国规定面粉中至少应加入维生素B</w:t>
      </w:r>
      <w:r>
        <w:rPr>
          <w:rFonts w:ascii="Calibri" w:eastAsia="Calibri" w:hAnsi="Calibri" w:cs="Calibri"/>
          <w:spacing w:val="-5"/>
          <w:sz w:val="22"/>
          <w:szCs w:val="22"/>
        </w:rPr>
        <w:t>₁</w:t>
      </w:r>
      <w:r>
        <w:rPr>
          <w:rFonts w:ascii="Calibri" w:eastAsia="Calibri" w:hAnsi="Calibri" w:cs="Calibri"/>
          <w:spacing w:val="1"/>
          <w:sz w:val="22"/>
          <w:szCs w:val="22"/>
        </w:rPr>
        <w:t xml:space="preserve"> </w:t>
      </w:r>
      <w:r>
        <w:rPr>
          <w:rFonts w:ascii="宋体" w:eastAsia="宋体" w:hAnsi="宋体" w:cs="宋体"/>
          <w:spacing w:val="-5"/>
          <w:sz w:val="22"/>
          <w:szCs w:val="22"/>
        </w:rPr>
        <w:t>(2.4mg/kg)</w:t>
      </w:r>
      <w:r>
        <w:rPr>
          <w:rFonts w:ascii="宋体" w:eastAsia="宋体" w:hAnsi="宋体" w:cs="宋体"/>
          <w:spacing w:val="109"/>
          <w:sz w:val="22"/>
          <w:szCs w:val="22"/>
        </w:rPr>
        <w:t xml:space="preserve"> </w:t>
      </w:r>
      <w:r>
        <w:rPr>
          <w:rFonts w:ascii="宋体" w:eastAsia="宋体" w:hAnsi="宋体" w:cs="宋体"/>
          <w:spacing w:val="-5"/>
          <w:sz w:val="22"/>
          <w:szCs w:val="22"/>
        </w:rPr>
        <w:t>和烟</w:t>
      </w:r>
      <w:r>
        <w:rPr>
          <w:rFonts w:ascii="宋体" w:eastAsia="宋体" w:hAnsi="宋体" w:cs="宋体"/>
          <w:sz w:val="22"/>
          <w:szCs w:val="22"/>
        </w:rPr>
        <w:t xml:space="preserve"> </w:t>
      </w:r>
      <w:r>
        <w:rPr>
          <w:rFonts w:ascii="宋体" w:eastAsia="宋体" w:hAnsi="宋体" w:cs="宋体"/>
          <w:spacing w:val="-6"/>
          <w:sz w:val="22"/>
          <w:szCs w:val="22"/>
        </w:rPr>
        <w:t>酸(16.5mg/kg)、</w:t>
      </w:r>
      <w:r>
        <w:rPr>
          <w:rFonts w:ascii="宋体" w:eastAsia="宋体" w:hAnsi="宋体" w:cs="宋体"/>
          <w:spacing w:val="7"/>
          <w:sz w:val="22"/>
          <w:szCs w:val="22"/>
        </w:rPr>
        <w:t xml:space="preserve"> </w:t>
      </w:r>
      <w:r>
        <w:rPr>
          <w:rFonts w:ascii="宋体" w:eastAsia="宋体" w:hAnsi="宋体" w:cs="宋体"/>
          <w:spacing w:val="-6"/>
          <w:sz w:val="22"/>
          <w:szCs w:val="22"/>
        </w:rPr>
        <w:t>人造奶油中必须添加维</w:t>
      </w:r>
      <w:r>
        <w:rPr>
          <w:rFonts w:ascii="宋体" w:eastAsia="宋体" w:hAnsi="宋体" w:cs="宋体"/>
          <w:spacing w:val="-7"/>
          <w:sz w:val="22"/>
          <w:szCs w:val="22"/>
        </w:rPr>
        <w:t>生素</w:t>
      </w:r>
      <w:r>
        <w:rPr>
          <w:rFonts w:ascii="宋体" w:eastAsia="宋体" w:hAnsi="宋体" w:cs="宋体"/>
          <w:spacing w:val="-50"/>
          <w:sz w:val="22"/>
          <w:szCs w:val="22"/>
        </w:rPr>
        <w:t xml:space="preserve"> </w:t>
      </w:r>
      <w:r>
        <w:rPr>
          <w:rFonts w:ascii="宋体" w:eastAsia="宋体" w:hAnsi="宋体" w:cs="宋体"/>
          <w:spacing w:val="-7"/>
          <w:sz w:val="22"/>
          <w:szCs w:val="22"/>
        </w:rPr>
        <w:t>A</w:t>
      </w:r>
      <w:r>
        <w:rPr>
          <w:rFonts w:ascii="宋体" w:eastAsia="宋体" w:hAnsi="宋体" w:cs="宋体"/>
          <w:spacing w:val="-9"/>
          <w:sz w:val="22"/>
          <w:szCs w:val="22"/>
        </w:rPr>
        <w:t xml:space="preserve"> </w:t>
      </w:r>
      <w:r>
        <w:rPr>
          <w:rFonts w:ascii="宋体" w:eastAsia="宋体" w:hAnsi="宋体" w:cs="宋体"/>
          <w:spacing w:val="-7"/>
          <w:sz w:val="22"/>
          <w:szCs w:val="22"/>
        </w:rPr>
        <w:t>和维生素D。</w:t>
      </w:r>
      <w:r>
        <w:rPr>
          <w:rFonts w:ascii="宋体" w:eastAsia="宋体" w:hAnsi="宋体" w:cs="宋体"/>
          <w:spacing w:val="-31"/>
          <w:sz w:val="22"/>
          <w:szCs w:val="22"/>
        </w:rPr>
        <w:t xml:space="preserve"> </w:t>
      </w:r>
      <w:r>
        <w:rPr>
          <w:rFonts w:ascii="宋体" w:eastAsia="宋体" w:hAnsi="宋体" w:cs="宋体"/>
          <w:spacing w:val="-7"/>
          <w:sz w:val="22"/>
          <w:szCs w:val="22"/>
        </w:rPr>
        <w:t>丹麦也规定人造</w:t>
      </w:r>
      <w:r>
        <w:rPr>
          <w:rFonts w:ascii="宋体" w:eastAsia="宋体" w:hAnsi="宋体" w:cs="宋体"/>
          <w:sz w:val="22"/>
          <w:szCs w:val="22"/>
        </w:rPr>
        <w:t xml:space="preserve"> </w:t>
      </w:r>
      <w:r>
        <w:rPr>
          <w:rFonts w:ascii="宋体" w:eastAsia="宋体" w:hAnsi="宋体" w:cs="宋体"/>
          <w:spacing w:val="-15"/>
          <w:sz w:val="22"/>
          <w:szCs w:val="22"/>
        </w:rPr>
        <w:t>奶油及精白面粉中必须进行营养强化。</w:t>
      </w:r>
    </w:p>
    <w:p w:rsidR="00EA40A3" w:rsidRDefault="00E86C16">
      <w:pPr>
        <w:spacing w:before="94" w:line="256" w:lineRule="auto"/>
        <w:ind w:right="39" w:firstLine="410"/>
        <w:jc w:val="both"/>
        <w:rPr>
          <w:rFonts w:ascii="宋体" w:eastAsia="宋体" w:hAnsi="宋体" w:cs="宋体"/>
          <w:sz w:val="22"/>
          <w:szCs w:val="22"/>
        </w:rPr>
      </w:pPr>
      <w:r>
        <w:rPr>
          <w:rFonts w:ascii="宋体" w:eastAsia="宋体" w:hAnsi="宋体" w:cs="宋体"/>
          <w:spacing w:val="-13"/>
          <w:sz w:val="22"/>
          <w:szCs w:val="22"/>
        </w:rPr>
        <w:t>我国近年来已开始涉足这一领域，《食品卫生法》规定食盐必须强化碘，各</w:t>
      </w:r>
      <w:r>
        <w:rPr>
          <w:rFonts w:ascii="宋体" w:eastAsia="宋体" w:hAnsi="宋体" w:cs="宋体"/>
          <w:spacing w:val="17"/>
          <w:sz w:val="22"/>
          <w:szCs w:val="22"/>
        </w:rPr>
        <w:t xml:space="preserve"> </w:t>
      </w:r>
      <w:r>
        <w:rPr>
          <w:rFonts w:ascii="宋体" w:eastAsia="宋体" w:hAnsi="宋体" w:cs="宋体"/>
          <w:spacing w:val="-12"/>
          <w:sz w:val="22"/>
          <w:szCs w:val="22"/>
        </w:rPr>
        <w:t>地也不断涌现出一些用维生素、矿物质和氨基酸强化的食品，如核黄素面包、钙</w:t>
      </w:r>
      <w:r>
        <w:rPr>
          <w:rFonts w:ascii="宋体" w:eastAsia="宋体" w:hAnsi="宋体" w:cs="宋体"/>
          <w:sz w:val="22"/>
          <w:szCs w:val="22"/>
        </w:rPr>
        <w:t xml:space="preserve"> </w:t>
      </w:r>
      <w:r>
        <w:rPr>
          <w:rFonts w:ascii="宋体" w:eastAsia="宋体" w:hAnsi="宋体" w:cs="宋体"/>
          <w:spacing w:val="-13"/>
          <w:sz w:val="22"/>
          <w:szCs w:val="22"/>
        </w:rPr>
        <w:t>质饼干和人乳化配方奶粉等。但国家在监督管理方面还较薄弱，食品法规中对什</w:t>
      </w:r>
      <w:r>
        <w:rPr>
          <w:rFonts w:ascii="宋体" w:eastAsia="宋体" w:hAnsi="宋体" w:cs="宋体"/>
          <w:spacing w:val="12"/>
          <w:sz w:val="22"/>
          <w:szCs w:val="22"/>
        </w:rPr>
        <w:t xml:space="preserve"> </w:t>
      </w:r>
      <w:r>
        <w:rPr>
          <w:rFonts w:ascii="宋体" w:eastAsia="宋体" w:hAnsi="宋体" w:cs="宋体"/>
          <w:spacing w:val="-13"/>
          <w:sz w:val="22"/>
          <w:szCs w:val="22"/>
        </w:rPr>
        <w:t>么食品应强化何种营养素及其剂量尚无明确规定，最近，经全国卫生标准技术委</w:t>
      </w:r>
      <w:r>
        <w:rPr>
          <w:rFonts w:ascii="宋体" w:eastAsia="宋体" w:hAnsi="宋体" w:cs="宋体"/>
          <w:spacing w:val="13"/>
          <w:sz w:val="22"/>
          <w:szCs w:val="22"/>
        </w:rPr>
        <w:t xml:space="preserve"> </w:t>
      </w:r>
      <w:r>
        <w:rPr>
          <w:rFonts w:ascii="宋体" w:eastAsia="宋体" w:hAnsi="宋体" w:cs="宋体"/>
          <w:spacing w:val="-13"/>
          <w:sz w:val="22"/>
          <w:szCs w:val="22"/>
        </w:rPr>
        <w:t>员会食品卫生分委员会和全国食品添加剂技术标准委员会审议，并征求有关营养</w:t>
      </w:r>
      <w:r>
        <w:rPr>
          <w:rFonts w:ascii="宋体" w:eastAsia="宋体" w:hAnsi="宋体" w:cs="宋体"/>
          <w:spacing w:val="13"/>
          <w:sz w:val="22"/>
          <w:szCs w:val="22"/>
        </w:rPr>
        <w:t xml:space="preserve"> </w:t>
      </w:r>
      <w:r>
        <w:rPr>
          <w:rFonts w:ascii="宋体" w:eastAsia="宋体" w:hAnsi="宋体" w:cs="宋体"/>
          <w:spacing w:val="-7"/>
          <w:sz w:val="22"/>
          <w:szCs w:val="22"/>
        </w:rPr>
        <w:t>学家的意见，由卫生部正式颁发了我国食品营养强化剂使用卫生标准和管理办</w:t>
      </w:r>
      <w:r>
        <w:rPr>
          <w:rFonts w:ascii="宋体" w:eastAsia="宋体" w:hAnsi="宋体" w:cs="宋体"/>
          <w:sz w:val="22"/>
          <w:szCs w:val="22"/>
        </w:rPr>
        <w:t xml:space="preserve"> </w:t>
      </w:r>
      <w:r>
        <w:rPr>
          <w:rFonts w:ascii="宋体" w:eastAsia="宋体" w:hAnsi="宋体" w:cs="宋体"/>
          <w:spacing w:val="-6"/>
          <w:sz w:val="22"/>
          <w:szCs w:val="22"/>
        </w:rPr>
        <w:t>法。2005年，中国已启动粮食作物强化工程计划，粮食作物强化工程是国</w:t>
      </w:r>
      <w:r>
        <w:rPr>
          <w:rFonts w:ascii="宋体" w:eastAsia="宋体" w:hAnsi="宋体" w:cs="宋体"/>
          <w:spacing w:val="-7"/>
          <w:sz w:val="22"/>
          <w:szCs w:val="22"/>
        </w:rPr>
        <w:t>际农</w:t>
      </w:r>
      <w:r>
        <w:rPr>
          <w:rFonts w:ascii="宋体" w:eastAsia="宋体" w:hAnsi="宋体" w:cs="宋体"/>
          <w:sz w:val="22"/>
          <w:szCs w:val="22"/>
        </w:rPr>
        <w:t xml:space="preserve"> </w:t>
      </w:r>
      <w:r>
        <w:rPr>
          <w:rFonts w:ascii="宋体" w:eastAsia="宋体" w:hAnsi="宋体" w:cs="宋体"/>
          <w:spacing w:val="-13"/>
          <w:sz w:val="22"/>
          <w:szCs w:val="22"/>
        </w:rPr>
        <w:t>业研究协作组织发起的一个全球性项目，旨在通过生物强化途径提高主要粮食作</w:t>
      </w:r>
      <w:r>
        <w:rPr>
          <w:rFonts w:ascii="宋体" w:eastAsia="宋体" w:hAnsi="宋体" w:cs="宋体"/>
          <w:spacing w:val="17"/>
          <w:sz w:val="22"/>
          <w:szCs w:val="22"/>
        </w:rPr>
        <w:t xml:space="preserve"> </w:t>
      </w:r>
      <w:r>
        <w:rPr>
          <w:rFonts w:ascii="宋体" w:eastAsia="宋体" w:hAnsi="宋体" w:cs="宋体"/>
          <w:spacing w:val="-7"/>
          <w:sz w:val="22"/>
          <w:szCs w:val="22"/>
        </w:rPr>
        <w:t>物的微量营养元素含量，国际粮食作物强化工程计划第一阶段的目标作物是水</w:t>
      </w:r>
      <w:r>
        <w:rPr>
          <w:rFonts w:ascii="宋体" w:eastAsia="宋体" w:hAnsi="宋体" w:cs="宋体"/>
          <w:spacing w:val="17"/>
          <w:sz w:val="22"/>
          <w:szCs w:val="22"/>
        </w:rPr>
        <w:t xml:space="preserve"> </w:t>
      </w:r>
      <w:r>
        <w:rPr>
          <w:rFonts w:ascii="宋体" w:eastAsia="宋体" w:hAnsi="宋体" w:cs="宋体"/>
          <w:spacing w:val="-9"/>
          <w:sz w:val="22"/>
          <w:szCs w:val="22"/>
        </w:rPr>
        <w:t>稻、小麦、玉米、木薯、甘薯和大豆等，目标元素是铁、锌、维生素</w:t>
      </w:r>
      <w:r>
        <w:rPr>
          <w:rFonts w:ascii="宋体" w:eastAsia="宋体" w:hAnsi="宋体" w:cs="宋体"/>
          <w:spacing w:val="-49"/>
          <w:sz w:val="22"/>
          <w:szCs w:val="22"/>
        </w:rPr>
        <w:t xml:space="preserve"> </w:t>
      </w:r>
      <w:r>
        <w:rPr>
          <w:rFonts w:ascii="宋体" w:eastAsia="宋体" w:hAnsi="宋体" w:cs="宋体"/>
          <w:spacing w:val="-9"/>
          <w:sz w:val="22"/>
          <w:szCs w:val="22"/>
        </w:rPr>
        <w:t>A</w:t>
      </w:r>
      <w:r>
        <w:rPr>
          <w:rFonts w:ascii="宋体" w:eastAsia="宋体" w:hAnsi="宋体" w:cs="宋体"/>
          <w:spacing w:val="2"/>
          <w:sz w:val="22"/>
          <w:szCs w:val="22"/>
        </w:rPr>
        <w:t xml:space="preserve"> </w:t>
      </w:r>
      <w:r>
        <w:rPr>
          <w:rFonts w:ascii="宋体" w:eastAsia="宋体" w:hAnsi="宋体" w:cs="宋体"/>
          <w:spacing w:val="-9"/>
          <w:sz w:val="22"/>
          <w:szCs w:val="22"/>
        </w:rPr>
        <w:t>等。可</w:t>
      </w:r>
      <w:r>
        <w:rPr>
          <w:rFonts w:ascii="宋体" w:eastAsia="宋体" w:hAnsi="宋体" w:cs="宋体"/>
          <w:sz w:val="22"/>
          <w:szCs w:val="22"/>
        </w:rPr>
        <w:t xml:space="preserve"> </w:t>
      </w:r>
      <w:r>
        <w:rPr>
          <w:rFonts w:ascii="宋体" w:eastAsia="宋体" w:hAnsi="宋体" w:cs="宋体"/>
          <w:spacing w:val="-13"/>
          <w:sz w:val="22"/>
          <w:szCs w:val="22"/>
        </w:rPr>
        <w:t>见，我国食品营养强化工作以及强化食品的生产将会</w:t>
      </w:r>
      <w:r>
        <w:rPr>
          <w:rFonts w:ascii="宋体" w:eastAsia="宋体" w:hAnsi="宋体" w:cs="宋体"/>
          <w:spacing w:val="-14"/>
          <w:sz w:val="22"/>
          <w:szCs w:val="22"/>
        </w:rPr>
        <w:t>有较大的发展。</w:t>
      </w:r>
    </w:p>
    <w:p w:rsidR="00EA40A3" w:rsidRDefault="00E86C16">
      <w:pPr>
        <w:spacing w:before="185" w:line="221" w:lineRule="auto"/>
        <w:ind w:left="3"/>
        <w:outlineLvl w:val="6"/>
        <w:rPr>
          <w:rFonts w:ascii="黑体" w:eastAsia="黑体" w:hAnsi="黑体" w:cs="黑体"/>
          <w:sz w:val="22"/>
          <w:szCs w:val="22"/>
        </w:rPr>
      </w:pPr>
      <w:r>
        <w:rPr>
          <w:rFonts w:ascii="黑体" w:eastAsia="黑体" w:hAnsi="黑体" w:cs="黑体"/>
          <w:b/>
          <w:bCs/>
          <w:spacing w:val="9"/>
          <w:sz w:val="22"/>
          <w:szCs w:val="22"/>
        </w:rPr>
        <w:t>8.1.3</w:t>
      </w:r>
      <w:r>
        <w:rPr>
          <w:rFonts w:ascii="黑体" w:eastAsia="黑体" w:hAnsi="黑体" w:cs="黑体"/>
          <w:spacing w:val="55"/>
          <w:sz w:val="22"/>
          <w:szCs w:val="22"/>
        </w:rPr>
        <w:t xml:space="preserve">  </w:t>
      </w:r>
      <w:r>
        <w:rPr>
          <w:rFonts w:ascii="黑体" w:eastAsia="黑体" w:hAnsi="黑体" w:cs="黑体"/>
          <w:b/>
          <w:bCs/>
          <w:spacing w:val="9"/>
          <w:sz w:val="22"/>
          <w:szCs w:val="22"/>
        </w:rPr>
        <w:t>食品营养强化的意义和作用</w:t>
      </w:r>
    </w:p>
    <w:p w:rsidR="00EA40A3" w:rsidRDefault="00E86C16">
      <w:pPr>
        <w:spacing w:before="238" w:line="221"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29"/>
          <w:sz w:val="22"/>
          <w:szCs w:val="22"/>
        </w:rPr>
        <w:t xml:space="preserve"> </w:t>
      </w:r>
      <w:r>
        <w:rPr>
          <w:rFonts w:ascii="仿宋" w:eastAsia="仿宋" w:hAnsi="仿宋" w:cs="仿宋"/>
          <w:spacing w:val="10"/>
          <w:sz w:val="22"/>
          <w:szCs w:val="22"/>
        </w:rPr>
        <w:t>弥补天然食物的营养缺陷</w:t>
      </w:r>
    </w:p>
    <w:p w:rsidR="00EA40A3" w:rsidRDefault="00E86C16">
      <w:pPr>
        <w:spacing w:before="222" w:line="246" w:lineRule="auto"/>
        <w:ind w:right="59" w:firstLine="410"/>
        <w:jc w:val="both"/>
        <w:rPr>
          <w:rFonts w:ascii="宋体" w:eastAsia="宋体" w:hAnsi="宋体" w:cs="宋体"/>
          <w:sz w:val="22"/>
          <w:szCs w:val="22"/>
        </w:rPr>
      </w:pPr>
      <w:r>
        <w:rPr>
          <w:rFonts w:ascii="宋体" w:eastAsia="宋体" w:hAnsi="宋体" w:cs="宋体"/>
          <w:spacing w:val="-13"/>
          <w:sz w:val="22"/>
          <w:szCs w:val="22"/>
        </w:rPr>
        <w:t>天然食品中几乎没有一种是营养俱全的，亦即几乎没有一种天然食品</w:t>
      </w:r>
      <w:r>
        <w:rPr>
          <w:rFonts w:ascii="宋体" w:eastAsia="宋体" w:hAnsi="宋体" w:cs="宋体"/>
          <w:spacing w:val="-14"/>
          <w:sz w:val="22"/>
          <w:szCs w:val="22"/>
        </w:rPr>
        <w:t>能满足</w:t>
      </w:r>
      <w:r>
        <w:rPr>
          <w:rFonts w:ascii="宋体" w:eastAsia="宋体" w:hAnsi="宋体" w:cs="宋体"/>
          <w:sz w:val="22"/>
          <w:szCs w:val="22"/>
        </w:rPr>
        <w:t xml:space="preserve"> </w:t>
      </w:r>
      <w:r>
        <w:rPr>
          <w:rFonts w:ascii="宋体" w:eastAsia="宋体" w:hAnsi="宋体" w:cs="宋体"/>
          <w:spacing w:val="-13"/>
          <w:sz w:val="22"/>
          <w:szCs w:val="22"/>
        </w:rPr>
        <w:t>人体的全部营养需要。例如，以米、面为主食的地区，除了可能</w:t>
      </w:r>
      <w:r>
        <w:rPr>
          <w:rFonts w:ascii="宋体" w:eastAsia="宋体" w:hAnsi="宋体" w:cs="宋体"/>
          <w:spacing w:val="-14"/>
          <w:sz w:val="22"/>
          <w:szCs w:val="22"/>
        </w:rPr>
        <w:t>有多种维生素缺</w:t>
      </w:r>
      <w:r>
        <w:rPr>
          <w:rFonts w:ascii="宋体" w:eastAsia="宋体" w:hAnsi="宋体" w:cs="宋体"/>
          <w:sz w:val="22"/>
          <w:szCs w:val="22"/>
        </w:rPr>
        <w:t xml:space="preserve"> </w:t>
      </w:r>
      <w:r>
        <w:rPr>
          <w:rFonts w:ascii="宋体" w:eastAsia="宋体" w:hAnsi="宋体" w:cs="宋体"/>
          <w:spacing w:val="-13"/>
          <w:sz w:val="22"/>
          <w:szCs w:val="22"/>
        </w:rPr>
        <w:t>乏外，蛋白质的质和量均显不足，特别是赖氨酸等必需氨基酸尤为不足，严重影</w:t>
      </w:r>
      <w:r>
        <w:rPr>
          <w:rFonts w:ascii="宋体" w:eastAsia="宋体" w:hAnsi="宋体" w:cs="宋体"/>
          <w:spacing w:val="13"/>
          <w:sz w:val="22"/>
          <w:szCs w:val="22"/>
        </w:rPr>
        <w:t xml:space="preserve"> </w:t>
      </w:r>
      <w:r>
        <w:rPr>
          <w:rFonts w:ascii="宋体" w:eastAsia="宋体" w:hAnsi="宋体" w:cs="宋体"/>
          <w:spacing w:val="-10"/>
          <w:sz w:val="22"/>
          <w:szCs w:val="22"/>
        </w:rPr>
        <w:t>响其营养价值。新鲜果蔬含有丰富的维生素C,</w:t>
      </w:r>
      <w:r>
        <w:rPr>
          <w:rFonts w:ascii="宋体" w:eastAsia="宋体" w:hAnsi="宋体" w:cs="宋体"/>
          <w:spacing w:val="19"/>
          <w:sz w:val="22"/>
          <w:szCs w:val="22"/>
        </w:rPr>
        <w:t xml:space="preserve"> </w:t>
      </w:r>
      <w:r>
        <w:rPr>
          <w:rFonts w:ascii="宋体" w:eastAsia="宋体" w:hAnsi="宋体" w:cs="宋体"/>
          <w:spacing w:val="-10"/>
          <w:sz w:val="22"/>
          <w:szCs w:val="22"/>
        </w:rPr>
        <w:t>但其蛋白质和能源物质欠缺。至</w:t>
      </w:r>
      <w:r>
        <w:rPr>
          <w:rFonts w:ascii="宋体" w:eastAsia="宋体" w:hAnsi="宋体" w:cs="宋体"/>
          <w:sz w:val="22"/>
          <w:szCs w:val="22"/>
        </w:rPr>
        <w:t xml:space="preserve"> </w:t>
      </w:r>
      <w:r>
        <w:rPr>
          <w:rFonts w:ascii="宋体" w:eastAsia="宋体" w:hAnsi="宋体" w:cs="宋体"/>
          <w:spacing w:val="-13"/>
          <w:sz w:val="22"/>
          <w:szCs w:val="22"/>
        </w:rPr>
        <w:t>于那些含有丰富优质蛋白质的乳、肉、禽、蛋等食物，其维生素含量则多不能满</w:t>
      </w:r>
      <w:r>
        <w:rPr>
          <w:rFonts w:ascii="宋体" w:eastAsia="宋体" w:hAnsi="宋体" w:cs="宋体"/>
          <w:spacing w:val="13"/>
          <w:sz w:val="22"/>
          <w:szCs w:val="22"/>
        </w:rPr>
        <w:t xml:space="preserve"> </w:t>
      </w:r>
      <w:r>
        <w:rPr>
          <w:rFonts w:ascii="宋体" w:eastAsia="宋体" w:hAnsi="宋体" w:cs="宋体"/>
          <w:spacing w:val="-11"/>
          <w:sz w:val="22"/>
          <w:szCs w:val="22"/>
        </w:rPr>
        <w:t>足人类的需要，特别是它们缺乏维生素C。</w:t>
      </w:r>
    </w:p>
    <w:p w:rsidR="00EA40A3" w:rsidRDefault="00E86C16">
      <w:pPr>
        <w:spacing w:before="99" w:line="219" w:lineRule="auto"/>
        <w:ind w:left="410"/>
        <w:rPr>
          <w:rFonts w:ascii="宋体" w:eastAsia="宋体" w:hAnsi="宋体" w:cs="宋体"/>
          <w:sz w:val="22"/>
          <w:szCs w:val="22"/>
        </w:rPr>
      </w:pPr>
      <w:r>
        <w:rPr>
          <w:rFonts w:ascii="宋体" w:eastAsia="宋体" w:hAnsi="宋体" w:cs="宋体"/>
          <w:spacing w:val="-12"/>
          <w:sz w:val="22"/>
          <w:szCs w:val="22"/>
        </w:rPr>
        <w:t>由于地球化学的关系，内地及山区的食物易缺碘，有的地区缺锌，</w:t>
      </w:r>
      <w:r>
        <w:rPr>
          <w:rFonts w:ascii="宋体" w:eastAsia="宋体" w:hAnsi="宋体" w:cs="宋体"/>
          <w:spacing w:val="-13"/>
          <w:sz w:val="22"/>
          <w:szCs w:val="22"/>
        </w:rPr>
        <w:t>还有的地</w:t>
      </w:r>
    </w:p>
    <w:p w:rsidR="00EA40A3" w:rsidRDefault="00EA40A3">
      <w:pPr>
        <w:sectPr w:rsidR="00EA40A3">
          <w:footerReference w:type="default" r:id="rId214"/>
          <w:pgSz w:w="9220" w:h="13360"/>
          <w:pgMar w:top="400" w:right="1069" w:bottom="1274" w:left="829" w:header="0" w:footer="1041" w:gutter="0"/>
          <w:cols w:space="720"/>
        </w:sectPr>
      </w:pPr>
    </w:p>
    <w:p w:rsidR="00EA40A3" w:rsidRDefault="00EA40A3">
      <w:pPr>
        <w:spacing w:line="272" w:lineRule="auto"/>
      </w:pPr>
    </w:p>
    <w:p w:rsidR="00EA40A3" w:rsidRDefault="00EA40A3">
      <w:pPr>
        <w:spacing w:line="272" w:lineRule="auto"/>
      </w:pPr>
    </w:p>
    <w:p w:rsidR="00EA40A3" w:rsidRDefault="00E86C16">
      <w:pPr>
        <w:spacing w:before="71"/>
        <w:ind w:right="100"/>
        <w:jc w:val="both"/>
        <w:rPr>
          <w:rFonts w:ascii="宋体" w:eastAsia="宋体" w:hAnsi="宋体" w:cs="宋体"/>
          <w:sz w:val="22"/>
          <w:szCs w:val="22"/>
        </w:rPr>
      </w:pPr>
      <w:r>
        <w:rPr>
          <w:rFonts w:ascii="宋体" w:eastAsia="宋体" w:hAnsi="宋体" w:cs="宋体"/>
          <w:spacing w:val="-13"/>
          <w:sz w:val="22"/>
          <w:szCs w:val="22"/>
        </w:rPr>
        <w:t>区缺硒。这些地区的居民常可因此患有不同的营养缺乏症。因此，如果能根据各</w:t>
      </w:r>
      <w:r>
        <w:rPr>
          <w:rFonts w:ascii="宋体" w:eastAsia="宋体" w:hAnsi="宋体" w:cs="宋体"/>
          <w:spacing w:val="3"/>
          <w:sz w:val="22"/>
          <w:szCs w:val="22"/>
        </w:rPr>
        <w:t xml:space="preserve"> </w:t>
      </w:r>
      <w:r>
        <w:rPr>
          <w:rFonts w:ascii="宋体" w:eastAsia="宋体" w:hAnsi="宋体" w:cs="宋体"/>
          <w:spacing w:val="-13"/>
          <w:sz w:val="22"/>
          <w:szCs w:val="22"/>
        </w:rPr>
        <w:t>地的营养调查，有针对性地进行食品营养强化、增补天然食物缺少的营养素，便</w:t>
      </w:r>
      <w:r>
        <w:rPr>
          <w:rFonts w:ascii="宋体" w:eastAsia="宋体" w:hAnsi="宋体" w:cs="宋体"/>
          <w:spacing w:val="3"/>
          <w:sz w:val="22"/>
          <w:szCs w:val="22"/>
        </w:rPr>
        <w:t xml:space="preserve"> </w:t>
      </w:r>
      <w:r>
        <w:rPr>
          <w:rFonts w:ascii="宋体" w:eastAsia="宋体" w:hAnsi="宋体" w:cs="宋体"/>
          <w:spacing w:val="-14"/>
          <w:sz w:val="22"/>
          <w:szCs w:val="22"/>
        </w:rPr>
        <w:t>可大大提高食品的营养价值，改善人们的营养和健康水</w:t>
      </w:r>
      <w:r>
        <w:rPr>
          <w:rFonts w:ascii="宋体" w:eastAsia="宋体" w:hAnsi="宋体" w:cs="宋体"/>
          <w:spacing w:val="-15"/>
          <w:sz w:val="22"/>
          <w:szCs w:val="22"/>
        </w:rPr>
        <w:t>平。</w:t>
      </w:r>
    </w:p>
    <w:p w:rsidR="00EA40A3" w:rsidRDefault="00E86C16">
      <w:pPr>
        <w:spacing w:before="232" w:line="219" w:lineRule="auto"/>
        <w:rPr>
          <w:rFonts w:ascii="宋体" w:eastAsia="宋体" w:hAnsi="宋体" w:cs="宋体"/>
          <w:sz w:val="22"/>
          <w:szCs w:val="22"/>
        </w:rPr>
      </w:pPr>
      <w:r>
        <w:rPr>
          <w:rFonts w:ascii="宋体" w:eastAsia="宋体" w:hAnsi="宋体" w:cs="宋体"/>
          <w:spacing w:val="15"/>
          <w:sz w:val="22"/>
          <w:szCs w:val="22"/>
        </w:rPr>
        <w:t>2.</w:t>
      </w:r>
      <w:r>
        <w:rPr>
          <w:rFonts w:ascii="宋体" w:eastAsia="宋体" w:hAnsi="宋体" w:cs="宋体"/>
          <w:spacing w:val="-9"/>
          <w:sz w:val="22"/>
          <w:szCs w:val="22"/>
        </w:rPr>
        <w:t xml:space="preserve"> </w:t>
      </w:r>
      <w:r>
        <w:rPr>
          <w:rFonts w:ascii="宋体" w:eastAsia="宋体" w:hAnsi="宋体" w:cs="宋体"/>
          <w:spacing w:val="15"/>
          <w:sz w:val="22"/>
          <w:szCs w:val="22"/>
        </w:rPr>
        <w:t>补充食品在加工、储存及运输过程中营养素的损</w:t>
      </w:r>
      <w:r>
        <w:rPr>
          <w:rFonts w:ascii="宋体" w:eastAsia="宋体" w:hAnsi="宋体" w:cs="宋体"/>
          <w:spacing w:val="14"/>
          <w:sz w:val="22"/>
          <w:szCs w:val="22"/>
        </w:rPr>
        <w:t>失</w:t>
      </w:r>
    </w:p>
    <w:p w:rsidR="00EA40A3" w:rsidRDefault="00E86C16">
      <w:pPr>
        <w:spacing w:before="185" w:line="250" w:lineRule="auto"/>
        <w:ind w:firstLine="430"/>
        <w:jc w:val="both"/>
        <w:rPr>
          <w:rFonts w:ascii="宋体" w:eastAsia="宋体" w:hAnsi="宋体" w:cs="宋体"/>
          <w:sz w:val="22"/>
          <w:szCs w:val="22"/>
        </w:rPr>
      </w:pPr>
      <w:r>
        <w:rPr>
          <w:rFonts w:ascii="宋体" w:eastAsia="宋体" w:hAnsi="宋体" w:cs="宋体"/>
          <w:spacing w:val="-10"/>
          <w:sz w:val="22"/>
          <w:szCs w:val="22"/>
        </w:rPr>
        <w:t>许多食品在消费之前往往需要加工(工厂化生产或家庭烹调)、储存及运输，</w:t>
      </w:r>
      <w:r>
        <w:rPr>
          <w:rFonts w:ascii="宋体" w:eastAsia="宋体" w:hAnsi="宋体" w:cs="宋体"/>
          <w:sz w:val="22"/>
          <w:szCs w:val="22"/>
        </w:rPr>
        <w:t xml:space="preserve"> </w:t>
      </w:r>
      <w:r>
        <w:rPr>
          <w:rFonts w:ascii="宋体" w:eastAsia="宋体" w:hAnsi="宋体" w:cs="宋体"/>
          <w:spacing w:val="-14"/>
          <w:sz w:val="22"/>
          <w:szCs w:val="22"/>
        </w:rPr>
        <w:t>在这一系列过程中，由于物理的、化学的、生物的因素均会引起食品部分营养素</w:t>
      </w:r>
      <w:r>
        <w:rPr>
          <w:rFonts w:ascii="宋体" w:eastAsia="宋体" w:hAnsi="宋体" w:cs="宋体"/>
          <w:spacing w:val="9"/>
          <w:sz w:val="22"/>
          <w:szCs w:val="22"/>
        </w:rPr>
        <w:t xml:space="preserve">  </w:t>
      </w:r>
      <w:r>
        <w:rPr>
          <w:rFonts w:ascii="宋体" w:eastAsia="宋体" w:hAnsi="宋体" w:cs="宋体"/>
          <w:spacing w:val="-13"/>
          <w:sz w:val="22"/>
          <w:szCs w:val="22"/>
        </w:rPr>
        <w:t>的损失，有时甚至造成某种或某些营养素的大量损失。例如，在碾米和小麦磨粉</w:t>
      </w:r>
      <w:r>
        <w:rPr>
          <w:rFonts w:ascii="宋体" w:eastAsia="宋体" w:hAnsi="宋体" w:cs="宋体"/>
          <w:spacing w:val="1"/>
          <w:sz w:val="22"/>
          <w:szCs w:val="22"/>
        </w:rPr>
        <w:t xml:space="preserve">  </w:t>
      </w:r>
      <w:r>
        <w:rPr>
          <w:rFonts w:ascii="宋体" w:eastAsia="宋体" w:hAnsi="宋体" w:cs="宋体"/>
          <w:spacing w:val="-13"/>
          <w:sz w:val="22"/>
          <w:szCs w:val="22"/>
        </w:rPr>
        <w:t>时有多种维生素损失，而且加工精度愈高，这种损失愈大，甚至造成大部分维生</w:t>
      </w:r>
      <w:r>
        <w:rPr>
          <w:rFonts w:ascii="宋体" w:eastAsia="宋体" w:hAnsi="宋体" w:cs="宋体"/>
          <w:spacing w:val="1"/>
          <w:sz w:val="22"/>
          <w:szCs w:val="22"/>
        </w:rPr>
        <w:t xml:space="preserve">  </w:t>
      </w:r>
      <w:r>
        <w:rPr>
          <w:rFonts w:ascii="宋体" w:eastAsia="宋体" w:hAnsi="宋体" w:cs="宋体"/>
          <w:spacing w:val="-13"/>
          <w:sz w:val="22"/>
          <w:szCs w:val="22"/>
        </w:rPr>
        <w:t>素的大量损失。又如在果蔬的加工过程中，如制造水果、蔬菜罐头时，很多水溶</w:t>
      </w:r>
      <w:r>
        <w:rPr>
          <w:rFonts w:ascii="宋体" w:eastAsia="宋体" w:hAnsi="宋体" w:cs="宋体"/>
          <w:spacing w:val="1"/>
          <w:sz w:val="22"/>
          <w:szCs w:val="22"/>
        </w:rPr>
        <w:t xml:space="preserve">  </w:t>
      </w:r>
      <w:r>
        <w:rPr>
          <w:rFonts w:ascii="宋体" w:eastAsia="宋体" w:hAnsi="宋体" w:cs="宋体"/>
          <w:spacing w:val="-13"/>
          <w:sz w:val="22"/>
          <w:szCs w:val="22"/>
        </w:rPr>
        <w:t>性和热敏性维生素均有损失。此外，用小麦面粉烤制面包时，其中赖氨酸损失约</w:t>
      </w:r>
      <w:r>
        <w:rPr>
          <w:rFonts w:ascii="宋体" w:eastAsia="宋体" w:hAnsi="宋体" w:cs="宋体"/>
          <w:spacing w:val="6"/>
          <w:sz w:val="22"/>
          <w:szCs w:val="22"/>
        </w:rPr>
        <w:t xml:space="preserve">  </w:t>
      </w:r>
      <w:r>
        <w:rPr>
          <w:rFonts w:ascii="宋体" w:eastAsia="宋体" w:hAnsi="宋体" w:cs="宋体"/>
          <w:spacing w:val="5"/>
          <w:sz w:val="22"/>
          <w:szCs w:val="22"/>
        </w:rPr>
        <w:t>10%,当用小麦粉烤制饼干时，其赖氨酸的损失更大，甚至可高达50%以上，</w:t>
      </w:r>
      <w:r>
        <w:rPr>
          <w:rFonts w:ascii="宋体" w:eastAsia="宋体" w:hAnsi="宋体" w:cs="宋体"/>
          <w:sz w:val="22"/>
          <w:szCs w:val="22"/>
        </w:rPr>
        <w:t xml:space="preserve"> </w:t>
      </w:r>
      <w:r>
        <w:rPr>
          <w:rFonts w:ascii="宋体" w:eastAsia="宋体" w:hAnsi="宋体" w:cs="宋体"/>
          <w:spacing w:val="-11"/>
          <w:sz w:val="22"/>
          <w:szCs w:val="22"/>
        </w:rPr>
        <w:t>与此同时，蛋氨酸和色氨酸也损失严重。新鲜果蔬含有丰富的</w:t>
      </w:r>
      <w:r>
        <w:rPr>
          <w:rFonts w:ascii="宋体" w:eastAsia="宋体" w:hAnsi="宋体" w:cs="宋体"/>
          <w:spacing w:val="-12"/>
          <w:sz w:val="22"/>
          <w:szCs w:val="22"/>
        </w:rPr>
        <w:t>维生素C,</w:t>
      </w:r>
      <w:r>
        <w:rPr>
          <w:rFonts w:ascii="宋体" w:eastAsia="宋体" w:hAnsi="宋体" w:cs="宋体"/>
          <w:spacing w:val="36"/>
          <w:sz w:val="22"/>
          <w:szCs w:val="22"/>
        </w:rPr>
        <w:t xml:space="preserve"> </w:t>
      </w:r>
      <w:r>
        <w:rPr>
          <w:rFonts w:ascii="宋体" w:eastAsia="宋体" w:hAnsi="宋体" w:cs="宋体"/>
          <w:spacing w:val="-12"/>
          <w:sz w:val="22"/>
          <w:szCs w:val="22"/>
        </w:rPr>
        <w:t>由于其</w:t>
      </w:r>
      <w:r>
        <w:rPr>
          <w:rFonts w:ascii="宋体" w:eastAsia="宋体" w:hAnsi="宋体" w:cs="宋体"/>
          <w:sz w:val="22"/>
          <w:szCs w:val="22"/>
        </w:rPr>
        <w:t xml:space="preserve">  </w:t>
      </w:r>
      <w:r>
        <w:rPr>
          <w:rFonts w:ascii="宋体" w:eastAsia="宋体" w:hAnsi="宋体" w:cs="宋体"/>
          <w:spacing w:val="-10"/>
          <w:sz w:val="22"/>
          <w:szCs w:val="22"/>
        </w:rPr>
        <w:t>本身存在的氧化酶系统的作用，如抗坏血酸氧化酶、过氧化物酶、多酚氧化酶</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细胞色素氧化酶等，因此，在水果蔬菜储存、运输过程中可造成果蔬中的维生素</w:t>
      </w:r>
      <w:r>
        <w:rPr>
          <w:rFonts w:ascii="宋体" w:eastAsia="宋体" w:hAnsi="宋体" w:cs="宋体"/>
          <w:spacing w:val="1"/>
          <w:sz w:val="22"/>
          <w:szCs w:val="22"/>
        </w:rPr>
        <w:t xml:space="preserve">  </w:t>
      </w:r>
      <w:r>
        <w:rPr>
          <w:rFonts w:ascii="宋体" w:eastAsia="宋体" w:hAnsi="宋体" w:cs="宋体"/>
          <w:spacing w:val="5"/>
          <w:sz w:val="22"/>
          <w:szCs w:val="22"/>
        </w:rPr>
        <w:t>C</w:t>
      </w:r>
      <w:r>
        <w:rPr>
          <w:rFonts w:ascii="宋体" w:eastAsia="宋体" w:hAnsi="宋体" w:cs="宋体"/>
          <w:spacing w:val="-16"/>
          <w:sz w:val="22"/>
          <w:szCs w:val="22"/>
        </w:rPr>
        <w:t xml:space="preserve"> </w:t>
      </w:r>
      <w:r>
        <w:rPr>
          <w:rFonts w:ascii="宋体" w:eastAsia="宋体" w:hAnsi="宋体" w:cs="宋体"/>
          <w:spacing w:val="5"/>
          <w:sz w:val="22"/>
          <w:szCs w:val="22"/>
        </w:rPr>
        <w:t>不同程度的破坏。果汁饮料若存放在冰箱中，7d</w:t>
      </w:r>
      <w:r>
        <w:rPr>
          <w:rFonts w:ascii="宋体" w:eastAsia="宋体" w:hAnsi="宋体" w:cs="宋体"/>
          <w:spacing w:val="-47"/>
          <w:sz w:val="22"/>
          <w:szCs w:val="22"/>
        </w:rPr>
        <w:t xml:space="preserve"> </w:t>
      </w:r>
      <w:r>
        <w:rPr>
          <w:rFonts w:ascii="宋体" w:eastAsia="宋体" w:hAnsi="宋体" w:cs="宋体"/>
          <w:spacing w:val="5"/>
          <w:sz w:val="22"/>
          <w:szCs w:val="22"/>
        </w:rPr>
        <w:t>后维生素C</w:t>
      </w:r>
      <w:r>
        <w:rPr>
          <w:rFonts w:ascii="宋体" w:eastAsia="宋体" w:hAnsi="宋体" w:cs="宋体"/>
          <w:spacing w:val="-4"/>
          <w:sz w:val="22"/>
          <w:szCs w:val="22"/>
        </w:rPr>
        <w:t xml:space="preserve"> </w:t>
      </w:r>
      <w:r>
        <w:rPr>
          <w:rFonts w:ascii="宋体" w:eastAsia="宋体" w:hAnsi="宋体" w:cs="宋体"/>
          <w:spacing w:val="5"/>
          <w:sz w:val="22"/>
          <w:szCs w:val="22"/>
        </w:rPr>
        <w:t>可减少10%~</w:t>
      </w:r>
      <w:r>
        <w:rPr>
          <w:rFonts w:ascii="宋体" w:eastAsia="宋体" w:hAnsi="宋体" w:cs="宋体"/>
          <w:sz w:val="22"/>
          <w:szCs w:val="22"/>
        </w:rPr>
        <w:t xml:space="preserve">  20%,能渗透氧的容器还会促进饮料中维生素C</w:t>
      </w:r>
      <w:r>
        <w:rPr>
          <w:rFonts w:ascii="宋体" w:eastAsia="宋体" w:hAnsi="宋体" w:cs="宋体"/>
          <w:spacing w:val="-4"/>
          <w:sz w:val="22"/>
          <w:szCs w:val="22"/>
        </w:rPr>
        <w:t xml:space="preserve"> </w:t>
      </w:r>
      <w:r>
        <w:rPr>
          <w:rFonts w:ascii="宋体" w:eastAsia="宋体" w:hAnsi="宋体" w:cs="宋体"/>
          <w:sz w:val="22"/>
          <w:szCs w:val="22"/>
        </w:rPr>
        <w:t>的降解</w:t>
      </w:r>
      <w:r>
        <w:rPr>
          <w:rFonts w:ascii="宋体" w:eastAsia="宋体" w:hAnsi="宋体" w:cs="宋体"/>
          <w:spacing w:val="-1"/>
          <w:sz w:val="22"/>
          <w:szCs w:val="22"/>
        </w:rPr>
        <w:t>。据报道，将橘汁饮料</w:t>
      </w:r>
      <w:r>
        <w:rPr>
          <w:rFonts w:ascii="宋体" w:eastAsia="宋体" w:hAnsi="宋体" w:cs="宋体"/>
          <w:sz w:val="22"/>
          <w:szCs w:val="22"/>
        </w:rPr>
        <w:t xml:space="preserve">  </w:t>
      </w:r>
      <w:r>
        <w:rPr>
          <w:rFonts w:ascii="宋体" w:eastAsia="宋体" w:hAnsi="宋体" w:cs="宋体"/>
          <w:spacing w:val="-3"/>
          <w:sz w:val="22"/>
          <w:szCs w:val="22"/>
        </w:rPr>
        <w:t>装在聚乙烯容器中，于室温下存放1年，其维生素全部损失，若用纸质容器盛</w:t>
      </w:r>
      <w:r>
        <w:rPr>
          <w:rFonts w:ascii="宋体" w:eastAsia="宋体" w:hAnsi="宋体" w:cs="宋体"/>
          <w:spacing w:val="3"/>
          <w:sz w:val="22"/>
          <w:szCs w:val="22"/>
        </w:rPr>
        <w:t xml:space="preserve"> </w:t>
      </w:r>
      <w:r>
        <w:rPr>
          <w:rFonts w:ascii="宋体" w:eastAsia="宋体" w:hAnsi="宋体" w:cs="宋体"/>
          <w:spacing w:val="-12"/>
          <w:sz w:val="22"/>
          <w:szCs w:val="22"/>
        </w:rPr>
        <w:t>装，两个月后便会全部损失。因此，为了弥补营养素在食品加工、储存等过程中</w:t>
      </w:r>
      <w:r>
        <w:rPr>
          <w:rFonts w:ascii="宋体" w:eastAsia="宋体" w:hAnsi="宋体" w:cs="宋体"/>
          <w:spacing w:val="1"/>
          <w:sz w:val="22"/>
          <w:szCs w:val="22"/>
        </w:rPr>
        <w:t xml:space="preserve"> </w:t>
      </w:r>
      <w:r>
        <w:rPr>
          <w:rFonts w:ascii="宋体" w:eastAsia="宋体" w:hAnsi="宋体" w:cs="宋体"/>
          <w:spacing w:val="-7"/>
          <w:sz w:val="22"/>
          <w:szCs w:val="22"/>
        </w:rPr>
        <w:t>的损失，满足人体的营养需要，在上述各食品中适当增补一些营养素是很有意</w:t>
      </w:r>
      <w:r>
        <w:rPr>
          <w:rFonts w:ascii="宋体" w:eastAsia="宋体" w:hAnsi="宋体" w:cs="宋体"/>
          <w:spacing w:val="5"/>
          <w:sz w:val="22"/>
          <w:szCs w:val="22"/>
        </w:rPr>
        <w:t xml:space="preserve">  </w:t>
      </w:r>
      <w:r>
        <w:rPr>
          <w:rFonts w:ascii="宋体" w:eastAsia="宋体" w:hAnsi="宋体" w:cs="宋体"/>
          <w:spacing w:val="-21"/>
          <w:sz w:val="22"/>
          <w:szCs w:val="22"/>
        </w:rPr>
        <w:t>义的。</w:t>
      </w:r>
    </w:p>
    <w:p w:rsidR="00EA40A3" w:rsidRDefault="00E86C16">
      <w:pPr>
        <w:spacing w:before="273" w:line="221" w:lineRule="auto"/>
        <w:rPr>
          <w:rFonts w:ascii="仿宋" w:eastAsia="仿宋" w:hAnsi="仿宋" w:cs="仿宋"/>
          <w:sz w:val="22"/>
          <w:szCs w:val="22"/>
        </w:rPr>
      </w:pPr>
      <w:r>
        <w:rPr>
          <w:rFonts w:ascii="仿宋" w:eastAsia="仿宋" w:hAnsi="仿宋" w:cs="仿宋"/>
          <w:spacing w:val="12"/>
          <w:sz w:val="22"/>
          <w:szCs w:val="22"/>
        </w:rPr>
        <w:t>3.</w:t>
      </w:r>
      <w:r>
        <w:rPr>
          <w:rFonts w:ascii="仿宋" w:eastAsia="仿宋" w:hAnsi="仿宋" w:cs="仿宋"/>
          <w:spacing w:val="16"/>
          <w:sz w:val="22"/>
          <w:szCs w:val="22"/>
        </w:rPr>
        <w:t xml:space="preserve"> </w:t>
      </w:r>
      <w:r>
        <w:rPr>
          <w:rFonts w:ascii="仿宋" w:eastAsia="仿宋" w:hAnsi="仿宋" w:cs="仿宋"/>
          <w:spacing w:val="12"/>
          <w:sz w:val="22"/>
          <w:szCs w:val="22"/>
        </w:rPr>
        <w:t>简化膳食处理、方便摄食</w:t>
      </w:r>
    </w:p>
    <w:p w:rsidR="00EA40A3" w:rsidRDefault="00E86C16">
      <w:pPr>
        <w:spacing w:before="195" w:line="248" w:lineRule="auto"/>
        <w:ind w:right="20" w:firstLine="430"/>
        <w:jc w:val="both"/>
        <w:rPr>
          <w:rFonts w:ascii="宋体" w:eastAsia="宋体" w:hAnsi="宋体" w:cs="宋体"/>
          <w:sz w:val="22"/>
          <w:szCs w:val="22"/>
        </w:rPr>
      </w:pPr>
      <w:r>
        <w:rPr>
          <w:rFonts w:ascii="宋体" w:eastAsia="宋体" w:hAnsi="宋体" w:cs="宋体"/>
          <w:spacing w:val="-13"/>
          <w:sz w:val="22"/>
          <w:szCs w:val="22"/>
        </w:rPr>
        <w:t>由于天然的单一食物仅含有人体所需的部分营养素，不能全面满足人体的营</w:t>
      </w:r>
      <w:r>
        <w:rPr>
          <w:rFonts w:ascii="宋体" w:eastAsia="宋体" w:hAnsi="宋体" w:cs="宋体"/>
          <w:spacing w:val="11"/>
          <w:sz w:val="22"/>
          <w:szCs w:val="22"/>
        </w:rPr>
        <w:t xml:space="preserve"> </w:t>
      </w:r>
      <w:r>
        <w:rPr>
          <w:rFonts w:ascii="宋体" w:eastAsia="宋体" w:hAnsi="宋体" w:cs="宋体"/>
          <w:spacing w:val="-11"/>
          <w:sz w:val="22"/>
          <w:szCs w:val="22"/>
        </w:rPr>
        <w:t>养需要，因此，人们为了获得全面的营养需要就必须同时进食多种食物。例如，</w:t>
      </w:r>
      <w:r>
        <w:rPr>
          <w:rFonts w:ascii="宋体" w:eastAsia="宋体" w:hAnsi="宋体" w:cs="宋体"/>
          <w:spacing w:val="13"/>
          <w:sz w:val="22"/>
          <w:szCs w:val="22"/>
        </w:rPr>
        <w:t xml:space="preserve"> </w:t>
      </w:r>
      <w:r>
        <w:rPr>
          <w:rFonts w:ascii="宋体" w:eastAsia="宋体" w:hAnsi="宋体" w:cs="宋体"/>
          <w:spacing w:val="-12"/>
          <w:sz w:val="22"/>
          <w:szCs w:val="22"/>
        </w:rPr>
        <w:t>我国饮食以谷类为主，谷类能满足机体能量需要，但</w:t>
      </w:r>
      <w:r>
        <w:rPr>
          <w:rFonts w:ascii="宋体" w:eastAsia="宋体" w:hAnsi="宋体" w:cs="宋体"/>
          <w:spacing w:val="-13"/>
          <w:sz w:val="22"/>
          <w:szCs w:val="22"/>
        </w:rPr>
        <w:t>其蛋白质含量低，而且质量</w:t>
      </w:r>
      <w:r>
        <w:rPr>
          <w:rFonts w:ascii="宋体" w:eastAsia="宋体" w:hAnsi="宋体" w:cs="宋体"/>
          <w:sz w:val="22"/>
          <w:szCs w:val="22"/>
        </w:rPr>
        <w:t xml:space="preserve"> </w:t>
      </w:r>
      <w:r>
        <w:rPr>
          <w:rFonts w:ascii="宋体" w:eastAsia="宋体" w:hAnsi="宋体" w:cs="宋体"/>
          <w:spacing w:val="-13"/>
          <w:sz w:val="22"/>
          <w:szCs w:val="22"/>
        </w:rPr>
        <w:t>差，维生素和矿物质也不足，必须混食肉类、豆类、水果、蔬菜等。这在膳食的</w:t>
      </w:r>
      <w:r>
        <w:rPr>
          <w:rFonts w:ascii="宋体" w:eastAsia="宋体" w:hAnsi="宋体" w:cs="宋体"/>
          <w:spacing w:val="10"/>
          <w:sz w:val="22"/>
          <w:szCs w:val="22"/>
        </w:rPr>
        <w:t xml:space="preserve"> </w:t>
      </w:r>
      <w:r>
        <w:rPr>
          <w:rFonts w:ascii="宋体" w:eastAsia="宋体" w:hAnsi="宋体" w:cs="宋体"/>
          <w:spacing w:val="-12"/>
          <w:sz w:val="22"/>
          <w:szCs w:val="22"/>
        </w:rPr>
        <w:t>处理上是比较烦琐的。如果还采取一家一户的家庭烹</w:t>
      </w:r>
      <w:r>
        <w:rPr>
          <w:rFonts w:ascii="宋体" w:eastAsia="宋体" w:hAnsi="宋体" w:cs="宋体"/>
          <w:spacing w:val="-13"/>
          <w:sz w:val="22"/>
          <w:szCs w:val="22"/>
        </w:rPr>
        <w:t>饪，不但浪费时间，还消耗</w:t>
      </w:r>
      <w:r>
        <w:rPr>
          <w:rFonts w:ascii="宋体" w:eastAsia="宋体" w:hAnsi="宋体" w:cs="宋体"/>
          <w:sz w:val="22"/>
          <w:szCs w:val="22"/>
        </w:rPr>
        <w:t xml:space="preserve"> </w:t>
      </w:r>
      <w:r>
        <w:rPr>
          <w:rFonts w:ascii="宋体" w:eastAsia="宋体" w:hAnsi="宋体" w:cs="宋体"/>
          <w:spacing w:val="-14"/>
          <w:sz w:val="22"/>
          <w:szCs w:val="22"/>
        </w:rPr>
        <w:t>精力。为了适应现代化生活的变化，满足人们的营养和嗜好要求，现已涌现出许</w:t>
      </w:r>
      <w:r>
        <w:rPr>
          <w:rFonts w:ascii="宋体" w:eastAsia="宋体" w:hAnsi="宋体" w:cs="宋体"/>
          <w:spacing w:val="8"/>
          <w:sz w:val="22"/>
          <w:szCs w:val="22"/>
        </w:rPr>
        <w:t xml:space="preserve">  </w:t>
      </w:r>
      <w:r>
        <w:rPr>
          <w:rFonts w:ascii="宋体" w:eastAsia="宋体" w:hAnsi="宋体" w:cs="宋体"/>
          <w:spacing w:val="-7"/>
          <w:sz w:val="22"/>
          <w:szCs w:val="22"/>
        </w:rPr>
        <w:t>多方便食品与快餐食品。其中有的盒饭从营养需要出发，将不同的食物予以搭</w:t>
      </w:r>
      <w:r>
        <w:rPr>
          <w:rFonts w:ascii="宋体" w:eastAsia="宋体" w:hAnsi="宋体" w:cs="宋体"/>
          <w:spacing w:val="5"/>
          <w:sz w:val="22"/>
          <w:szCs w:val="22"/>
        </w:rPr>
        <w:t xml:space="preserve"> </w:t>
      </w:r>
      <w:r>
        <w:rPr>
          <w:rFonts w:ascii="宋体" w:eastAsia="宋体" w:hAnsi="宋体" w:cs="宋体"/>
          <w:spacing w:val="-15"/>
          <w:sz w:val="22"/>
          <w:szCs w:val="22"/>
        </w:rPr>
        <w:t>配，供人们进食，非常方便。</w:t>
      </w:r>
    </w:p>
    <w:p w:rsidR="00EA40A3" w:rsidRDefault="00E86C16">
      <w:pPr>
        <w:spacing w:before="101" w:line="245" w:lineRule="auto"/>
        <w:ind w:right="98" w:firstLine="430"/>
        <w:jc w:val="both"/>
        <w:rPr>
          <w:rFonts w:ascii="宋体" w:eastAsia="宋体" w:hAnsi="宋体" w:cs="宋体"/>
          <w:sz w:val="22"/>
          <w:szCs w:val="22"/>
        </w:rPr>
      </w:pPr>
      <w:r>
        <w:rPr>
          <w:rFonts w:ascii="宋体" w:eastAsia="宋体" w:hAnsi="宋体" w:cs="宋体"/>
          <w:spacing w:val="-10"/>
          <w:sz w:val="22"/>
          <w:szCs w:val="22"/>
        </w:rPr>
        <w:t>婴儿的膳食处理更加繁杂。即使母乳喂养的婴儿，在6个月以后，也需按不</w:t>
      </w:r>
      <w:r>
        <w:rPr>
          <w:rFonts w:ascii="宋体" w:eastAsia="宋体" w:hAnsi="宋体" w:cs="宋体"/>
          <w:sz w:val="22"/>
          <w:szCs w:val="22"/>
        </w:rPr>
        <w:t xml:space="preserve"> </w:t>
      </w:r>
      <w:r>
        <w:rPr>
          <w:rFonts w:ascii="宋体" w:eastAsia="宋体" w:hAnsi="宋体" w:cs="宋体"/>
          <w:spacing w:val="-7"/>
          <w:sz w:val="22"/>
          <w:szCs w:val="22"/>
        </w:rPr>
        <w:t>同月龄增加辅助食品，如肝酱、蛋黄、肉末、米粥或面片、菜泥、菜汤和果泥</w:t>
      </w:r>
      <w:r>
        <w:rPr>
          <w:rFonts w:ascii="宋体" w:eastAsia="宋体" w:hAnsi="宋体" w:cs="宋体"/>
          <w:spacing w:val="8"/>
          <w:sz w:val="22"/>
          <w:szCs w:val="22"/>
        </w:rPr>
        <w:t xml:space="preserve"> </w:t>
      </w:r>
      <w:r>
        <w:rPr>
          <w:rFonts w:ascii="宋体" w:eastAsia="宋体" w:hAnsi="宋体" w:cs="宋体"/>
          <w:spacing w:val="-14"/>
          <w:sz w:val="22"/>
          <w:szCs w:val="22"/>
        </w:rPr>
        <w:t>等，用于补充其维生素等的不足。由于辅助食品原料的购买及制作均较麻烦，且</w:t>
      </w:r>
      <w:r>
        <w:rPr>
          <w:rFonts w:ascii="宋体" w:eastAsia="宋体" w:hAnsi="宋体" w:cs="宋体"/>
          <w:spacing w:val="18"/>
          <w:sz w:val="22"/>
          <w:szCs w:val="22"/>
        </w:rPr>
        <w:t xml:space="preserve"> </w:t>
      </w:r>
      <w:r>
        <w:rPr>
          <w:rFonts w:ascii="宋体" w:eastAsia="宋体" w:hAnsi="宋体" w:cs="宋体"/>
          <w:spacing w:val="-13"/>
          <w:sz w:val="22"/>
          <w:szCs w:val="22"/>
        </w:rPr>
        <w:t>易疏忽，从而影响婴儿的生长、发育和身体健</w:t>
      </w:r>
      <w:r>
        <w:rPr>
          <w:rFonts w:ascii="宋体" w:eastAsia="宋体" w:hAnsi="宋体" w:cs="宋体"/>
          <w:spacing w:val="-14"/>
          <w:sz w:val="22"/>
          <w:szCs w:val="22"/>
        </w:rPr>
        <w:t>康。若采用强化食品，例如，在乳</w:t>
      </w:r>
      <w:r>
        <w:rPr>
          <w:rFonts w:ascii="宋体" w:eastAsia="宋体" w:hAnsi="宋体" w:cs="宋体"/>
          <w:sz w:val="22"/>
          <w:szCs w:val="22"/>
        </w:rPr>
        <w:t xml:space="preserve"> </w:t>
      </w:r>
      <w:r>
        <w:rPr>
          <w:rFonts w:ascii="宋体" w:eastAsia="宋体" w:hAnsi="宋体" w:cs="宋体"/>
          <w:spacing w:val="-5"/>
          <w:sz w:val="22"/>
          <w:szCs w:val="22"/>
        </w:rPr>
        <w:t>制品中强化维生素A、</w:t>
      </w:r>
      <w:r>
        <w:rPr>
          <w:rFonts w:ascii="宋体" w:eastAsia="宋体" w:hAnsi="宋体" w:cs="宋体"/>
          <w:spacing w:val="-33"/>
          <w:sz w:val="22"/>
          <w:szCs w:val="22"/>
        </w:rPr>
        <w:t xml:space="preserve"> </w:t>
      </w:r>
      <w:r>
        <w:rPr>
          <w:rFonts w:ascii="宋体" w:eastAsia="宋体" w:hAnsi="宋体" w:cs="宋体"/>
          <w:spacing w:val="-5"/>
          <w:sz w:val="22"/>
          <w:szCs w:val="22"/>
        </w:rPr>
        <w:t>维生素C、</w:t>
      </w:r>
      <w:r>
        <w:rPr>
          <w:rFonts w:ascii="宋体" w:eastAsia="宋体" w:hAnsi="宋体" w:cs="宋体"/>
          <w:spacing w:val="-42"/>
          <w:sz w:val="22"/>
          <w:szCs w:val="22"/>
        </w:rPr>
        <w:t xml:space="preserve"> </w:t>
      </w:r>
      <w:r>
        <w:rPr>
          <w:rFonts w:ascii="宋体" w:eastAsia="宋体" w:hAnsi="宋体" w:cs="宋体"/>
          <w:spacing w:val="-5"/>
          <w:sz w:val="22"/>
          <w:szCs w:val="22"/>
        </w:rPr>
        <w:t>维生素D、</w:t>
      </w:r>
      <w:r>
        <w:rPr>
          <w:rFonts w:ascii="宋体" w:eastAsia="宋体" w:hAnsi="宋体" w:cs="宋体"/>
          <w:spacing w:val="-41"/>
          <w:sz w:val="22"/>
          <w:szCs w:val="22"/>
        </w:rPr>
        <w:t xml:space="preserve"> </w:t>
      </w:r>
      <w:r>
        <w:rPr>
          <w:rFonts w:ascii="宋体" w:eastAsia="宋体" w:hAnsi="宋体" w:cs="宋体"/>
          <w:spacing w:val="-5"/>
          <w:sz w:val="22"/>
          <w:szCs w:val="22"/>
        </w:rPr>
        <w:t>维生素B</w:t>
      </w:r>
      <w:r>
        <w:rPr>
          <w:rFonts w:ascii="Calibri" w:eastAsia="Calibri" w:hAnsi="Calibri" w:cs="Calibri"/>
          <w:spacing w:val="-5"/>
          <w:sz w:val="22"/>
          <w:szCs w:val="22"/>
        </w:rPr>
        <w:t>₁</w:t>
      </w:r>
      <w:r>
        <w:rPr>
          <w:rFonts w:ascii="Calibri" w:eastAsia="Calibri" w:hAnsi="Calibri" w:cs="Calibri"/>
          <w:spacing w:val="-26"/>
          <w:sz w:val="22"/>
          <w:szCs w:val="22"/>
        </w:rPr>
        <w:t xml:space="preserve"> </w:t>
      </w:r>
      <w:r>
        <w:rPr>
          <w:rFonts w:ascii="宋体" w:eastAsia="宋体" w:hAnsi="宋体" w:cs="宋体"/>
          <w:spacing w:val="-5"/>
          <w:sz w:val="22"/>
          <w:szCs w:val="22"/>
        </w:rPr>
        <w:t>、维生素</w:t>
      </w:r>
      <w:r>
        <w:rPr>
          <w:rFonts w:ascii="宋体" w:eastAsia="宋体" w:hAnsi="宋体" w:cs="宋体"/>
          <w:spacing w:val="-6"/>
          <w:sz w:val="22"/>
          <w:szCs w:val="22"/>
        </w:rPr>
        <w:t>B</w:t>
      </w:r>
      <w:r>
        <w:rPr>
          <w:rFonts w:ascii="Calibri" w:eastAsia="Calibri" w:hAnsi="Calibri" w:cs="Calibri"/>
          <w:spacing w:val="-6"/>
          <w:sz w:val="22"/>
          <w:szCs w:val="22"/>
        </w:rPr>
        <w:t>₂</w:t>
      </w:r>
      <w:r>
        <w:rPr>
          <w:rFonts w:ascii="Calibri" w:eastAsia="Calibri" w:hAnsi="Calibri" w:cs="Calibri"/>
          <w:spacing w:val="-26"/>
          <w:sz w:val="22"/>
          <w:szCs w:val="22"/>
        </w:rPr>
        <w:t xml:space="preserve"> </w:t>
      </w:r>
      <w:r>
        <w:rPr>
          <w:rFonts w:ascii="宋体" w:eastAsia="宋体" w:hAnsi="宋体" w:cs="宋体"/>
          <w:spacing w:val="-6"/>
          <w:sz w:val="22"/>
          <w:szCs w:val="22"/>
        </w:rPr>
        <w:t>、维生素B。</w:t>
      </w:r>
    </w:p>
    <w:p w:rsidR="00EA40A3" w:rsidRDefault="00E86C16">
      <w:pPr>
        <w:spacing w:before="72"/>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256</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215"/>
          <w:pgSz w:w="9220" w:h="13360"/>
          <w:pgMar w:top="400" w:right="999" w:bottom="400" w:left="869" w:header="0" w:footer="0" w:gutter="0"/>
          <w:cols w:space="720"/>
        </w:sectPr>
      </w:pPr>
    </w:p>
    <w:p w:rsidR="00EA40A3" w:rsidRDefault="00EA40A3">
      <w:pPr>
        <w:spacing w:line="291" w:lineRule="auto"/>
      </w:pPr>
    </w:p>
    <w:p w:rsidR="00EA40A3" w:rsidRDefault="00EA40A3">
      <w:pPr>
        <w:spacing w:line="292" w:lineRule="auto"/>
      </w:pPr>
    </w:p>
    <w:p w:rsidR="00EA40A3" w:rsidRDefault="00E86C16">
      <w:pPr>
        <w:spacing w:before="72" w:line="239" w:lineRule="auto"/>
        <w:ind w:right="60"/>
        <w:rPr>
          <w:rFonts w:ascii="宋体" w:eastAsia="宋体" w:hAnsi="宋体" w:cs="宋体"/>
          <w:sz w:val="22"/>
          <w:szCs w:val="22"/>
        </w:rPr>
      </w:pPr>
      <w:r>
        <w:rPr>
          <w:rFonts w:ascii="宋体" w:eastAsia="宋体" w:hAnsi="宋体" w:cs="宋体"/>
          <w:spacing w:val="-12"/>
          <w:sz w:val="22"/>
          <w:szCs w:val="22"/>
        </w:rPr>
        <w:t>维生素B</w:t>
      </w:r>
      <w:r>
        <w:rPr>
          <w:rFonts w:ascii="Calibri" w:eastAsia="Calibri" w:hAnsi="Calibri" w:cs="Calibri"/>
          <w:spacing w:val="-12"/>
          <w:sz w:val="22"/>
          <w:szCs w:val="22"/>
        </w:rPr>
        <w:t>₂</w:t>
      </w:r>
      <w:r>
        <w:rPr>
          <w:rFonts w:ascii="Calibri" w:eastAsia="Calibri" w:hAnsi="Calibri" w:cs="Calibri"/>
          <w:sz w:val="22"/>
          <w:szCs w:val="22"/>
        </w:rPr>
        <w:t xml:space="preserve">  </w:t>
      </w:r>
      <w:r>
        <w:rPr>
          <w:rFonts w:ascii="宋体" w:eastAsia="宋体" w:hAnsi="宋体" w:cs="宋体"/>
          <w:spacing w:val="-12"/>
          <w:sz w:val="22"/>
          <w:szCs w:val="22"/>
        </w:rPr>
        <w:t>及烟酸等制成调制奶粉供给婴儿食用，不仅</w:t>
      </w:r>
      <w:r>
        <w:rPr>
          <w:rFonts w:ascii="宋体" w:eastAsia="宋体" w:hAnsi="宋体" w:cs="宋体"/>
          <w:spacing w:val="-13"/>
          <w:sz w:val="22"/>
          <w:szCs w:val="22"/>
        </w:rPr>
        <w:t>可以满足婴儿的营养需要，</w:t>
      </w:r>
      <w:r>
        <w:rPr>
          <w:rFonts w:ascii="宋体" w:eastAsia="宋体" w:hAnsi="宋体" w:cs="宋体"/>
          <w:sz w:val="22"/>
          <w:szCs w:val="22"/>
        </w:rPr>
        <w:t xml:space="preserve"> </w:t>
      </w:r>
      <w:r>
        <w:rPr>
          <w:rFonts w:ascii="宋体" w:eastAsia="宋体" w:hAnsi="宋体" w:cs="宋体"/>
          <w:spacing w:val="-17"/>
          <w:sz w:val="22"/>
          <w:szCs w:val="22"/>
        </w:rPr>
        <w:t>而且可大大简化摄食手续。</w:t>
      </w:r>
    </w:p>
    <w:p w:rsidR="00EA40A3" w:rsidRDefault="00E86C16">
      <w:pPr>
        <w:spacing w:before="41" w:line="252" w:lineRule="auto"/>
        <w:ind w:right="117" w:firstLine="430"/>
        <w:jc w:val="both"/>
        <w:rPr>
          <w:rFonts w:ascii="宋体" w:eastAsia="宋体" w:hAnsi="宋体" w:cs="宋体"/>
          <w:sz w:val="22"/>
          <w:szCs w:val="22"/>
        </w:rPr>
      </w:pPr>
      <w:r>
        <w:rPr>
          <w:rFonts w:ascii="宋体" w:eastAsia="宋体" w:hAnsi="宋体" w:cs="宋体"/>
          <w:spacing w:val="-13"/>
          <w:sz w:val="22"/>
          <w:szCs w:val="22"/>
        </w:rPr>
        <w:t>此外，对于某些特殊人群，例如对行军作战的军事人员，他们在战斗进行时</w:t>
      </w:r>
      <w:r>
        <w:rPr>
          <w:rFonts w:ascii="宋体" w:eastAsia="宋体" w:hAnsi="宋体" w:cs="宋体"/>
          <w:sz w:val="22"/>
          <w:szCs w:val="22"/>
        </w:rPr>
        <w:t xml:space="preserve"> </w:t>
      </w:r>
      <w:r>
        <w:rPr>
          <w:rFonts w:ascii="宋体" w:eastAsia="宋体" w:hAnsi="宋体" w:cs="宋体"/>
          <w:spacing w:val="-10"/>
          <w:sz w:val="22"/>
          <w:szCs w:val="22"/>
        </w:rPr>
        <w:t>不可能自己“埋锅做饭”,而且由于军事活动体力消耗大、营养要求高，既要进</w:t>
      </w:r>
      <w:r>
        <w:rPr>
          <w:rFonts w:ascii="宋体" w:eastAsia="宋体" w:hAnsi="宋体" w:cs="宋体"/>
          <w:spacing w:val="17"/>
          <w:sz w:val="22"/>
          <w:szCs w:val="22"/>
        </w:rPr>
        <w:t xml:space="preserve"> </w:t>
      </w:r>
      <w:r>
        <w:rPr>
          <w:rFonts w:ascii="宋体" w:eastAsia="宋体" w:hAnsi="宋体" w:cs="宋体"/>
          <w:spacing w:val="-13"/>
          <w:sz w:val="22"/>
          <w:szCs w:val="22"/>
        </w:rPr>
        <w:t>食简便，又要营养全面。因而各国的军粮采用强化食品的比例很高，特别是野战</w:t>
      </w:r>
      <w:r>
        <w:rPr>
          <w:rFonts w:ascii="宋体" w:eastAsia="宋体" w:hAnsi="宋体" w:cs="宋体"/>
          <w:spacing w:val="16"/>
          <w:sz w:val="22"/>
          <w:szCs w:val="22"/>
        </w:rPr>
        <w:t xml:space="preserve"> </w:t>
      </w:r>
      <w:r>
        <w:rPr>
          <w:rFonts w:ascii="宋体" w:eastAsia="宋体" w:hAnsi="宋体" w:cs="宋体"/>
          <w:spacing w:val="-13"/>
          <w:sz w:val="22"/>
          <w:szCs w:val="22"/>
        </w:rPr>
        <w:t>时，大多采用强化食品。对于从事地质勘探和极地探险等工作的人们也大多应用</w:t>
      </w:r>
      <w:r>
        <w:rPr>
          <w:rFonts w:ascii="宋体" w:eastAsia="宋体" w:hAnsi="宋体" w:cs="宋体"/>
          <w:spacing w:val="9"/>
          <w:sz w:val="22"/>
          <w:szCs w:val="22"/>
        </w:rPr>
        <w:t xml:space="preserve"> </w:t>
      </w:r>
      <w:r>
        <w:rPr>
          <w:rFonts w:ascii="宋体" w:eastAsia="宋体" w:hAnsi="宋体" w:cs="宋体"/>
          <w:spacing w:val="-16"/>
          <w:sz w:val="22"/>
          <w:szCs w:val="22"/>
        </w:rPr>
        <w:t>强化食品。</w:t>
      </w:r>
    </w:p>
    <w:p w:rsidR="00EA40A3" w:rsidRDefault="00E86C16">
      <w:pPr>
        <w:spacing w:before="205" w:line="222"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34"/>
          <w:sz w:val="22"/>
          <w:szCs w:val="22"/>
        </w:rPr>
        <w:t xml:space="preserve"> </w:t>
      </w:r>
      <w:r>
        <w:rPr>
          <w:rFonts w:ascii="仿宋" w:eastAsia="仿宋" w:hAnsi="仿宋" w:cs="仿宋"/>
          <w:spacing w:val="15"/>
          <w:sz w:val="22"/>
          <w:szCs w:val="22"/>
        </w:rPr>
        <w:t>适应不同人群生理及职业的需要</w:t>
      </w:r>
    </w:p>
    <w:p w:rsidR="00EA40A3" w:rsidRDefault="00E86C16">
      <w:pPr>
        <w:spacing w:before="180" w:line="249" w:lineRule="auto"/>
        <w:ind w:firstLine="430"/>
        <w:rPr>
          <w:rFonts w:ascii="宋体" w:eastAsia="宋体" w:hAnsi="宋体" w:cs="宋体"/>
          <w:sz w:val="22"/>
          <w:szCs w:val="22"/>
        </w:rPr>
      </w:pPr>
      <w:r>
        <w:rPr>
          <w:rFonts w:ascii="宋体" w:eastAsia="宋体" w:hAnsi="宋体" w:cs="宋体"/>
          <w:spacing w:val="-9"/>
          <w:sz w:val="22"/>
          <w:szCs w:val="22"/>
        </w:rPr>
        <w:t>对于不同年龄、性别、工作性质，以及处于不</w:t>
      </w:r>
      <w:r>
        <w:rPr>
          <w:rFonts w:ascii="宋体" w:eastAsia="宋体" w:hAnsi="宋体" w:cs="宋体"/>
          <w:spacing w:val="-10"/>
          <w:sz w:val="22"/>
          <w:szCs w:val="22"/>
        </w:rPr>
        <w:t>同生理、病理状况的人来说，</w:t>
      </w:r>
      <w:r>
        <w:rPr>
          <w:rFonts w:ascii="宋体" w:eastAsia="宋体" w:hAnsi="宋体" w:cs="宋体"/>
          <w:sz w:val="22"/>
          <w:szCs w:val="22"/>
        </w:rPr>
        <w:t xml:space="preserve"> </w:t>
      </w:r>
      <w:r>
        <w:rPr>
          <w:rFonts w:ascii="宋体" w:eastAsia="宋体" w:hAnsi="宋体" w:cs="宋体"/>
          <w:spacing w:val="-13"/>
          <w:sz w:val="22"/>
          <w:szCs w:val="22"/>
        </w:rPr>
        <w:t>他们所需营养的情况是不同的，对食品进行不同的营养强化可分别满足他们的营</w:t>
      </w:r>
      <w:r>
        <w:rPr>
          <w:rFonts w:ascii="宋体" w:eastAsia="宋体" w:hAnsi="宋体" w:cs="宋体"/>
          <w:spacing w:val="8"/>
          <w:sz w:val="22"/>
          <w:szCs w:val="22"/>
        </w:rPr>
        <w:t xml:space="preserve">  </w:t>
      </w:r>
      <w:r>
        <w:rPr>
          <w:rFonts w:ascii="宋体" w:eastAsia="宋体" w:hAnsi="宋体" w:cs="宋体"/>
          <w:spacing w:val="-14"/>
          <w:sz w:val="22"/>
          <w:szCs w:val="22"/>
        </w:rPr>
        <w:t>养需要。婴儿是人一生中生长、发育最快的时期，</w:t>
      </w:r>
      <w:r>
        <w:rPr>
          <w:rFonts w:ascii="宋体" w:eastAsia="宋体" w:hAnsi="宋体" w:cs="宋体"/>
          <w:spacing w:val="53"/>
          <w:sz w:val="22"/>
          <w:szCs w:val="22"/>
        </w:rPr>
        <w:t xml:space="preserve"> </w:t>
      </w:r>
      <w:r>
        <w:rPr>
          <w:rFonts w:ascii="宋体" w:eastAsia="宋体" w:hAnsi="宋体" w:cs="宋体"/>
          <w:spacing w:val="-14"/>
          <w:sz w:val="22"/>
          <w:szCs w:val="22"/>
        </w:rPr>
        <w:t>一岁婴儿的体重为出生时的</w:t>
      </w:r>
      <w:r>
        <w:rPr>
          <w:rFonts w:ascii="宋体" w:eastAsia="宋体" w:hAnsi="宋体" w:cs="宋体"/>
          <w:spacing w:val="-15"/>
          <w:sz w:val="22"/>
          <w:szCs w:val="22"/>
        </w:rPr>
        <w:t>3</w:t>
      </w:r>
      <w:r>
        <w:rPr>
          <w:rFonts w:ascii="宋体" w:eastAsia="宋体" w:hAnsi="宋体" w:cs="宋体"/>
          <w:sz w:val="22"/>
          <w:szCs w:val="22"/>
        </w:rPr>
        <w:t xml:space="preserve">  </w:t>
      </w:r>
      <w:r>
        <w:rPr>
          <w:rFonts w:ascii="宋体" w:eastAsia="宋体" w:hAnsi="宋体" w:cs="宋体"/>
          <w:spacing w:val="-11"/>
          <w:sz w:val="22"/>
          <w:szCs w:val="22"/>
        </w:rPr>
        <w:t>倍，这就需要有充分的营养素供应。婴儿以母乳喂养最好，</w:t>
      </w:r>
      <w:r>
        <w:rPr>
          <w:rFonts w:ascii="宋体" w:eastAsia="宋体" w:hAnsi="宋体" w:cs="宋体"/>
          <w:spacing w:val="58"/>
          <w:sz w:val="22"/>
          <w:szCs w:val="22"/>
        </w:rPr>
        <w:t xml:space="preserve"> </w:t>
      </w:r>
      <w:r>
        <w:rPr>
          <w:rFonts w:ascii="宋体" w:eastAsia="宋体" w:hAnsi="宋体" w:cs="宋体"/>
          <w:spacing w:val="-11"/>
          <w:sz w:val="22"/>
          <w:szCs w:val="22"/>
        </w:rPr>
        <w:t>一旦母乳喂养有问</w:t>
      </w:r>
      <w:r>
        <w:rPr>
          <w:rFonts w:ascii="宋体" w:eastAsia="宋体" w:hAnsi="宋体" w:cs="宋体"/>
          <w:sz w:val="22"/>
          <w:szCs w:val="22"/>
        </w:rPr>
        <w:t xml:space="preserve">  </w:t>
      </w:r>
      <w:r>
        <w:rPr>
          <w:rFonts w:ascii="宋体" w:eastAsia="宋体" w:hAnsi="宋体" w:cs="宋体"/>
          <w:spacing w:val="-13"/>
          <w:sz w:val="22"/>
          <w:szCs w:val="22"/>
        </w:rPr>
        <w:t>题，则需要有适当的“代乳食品”。此外，随着孩子的长大，不论是以人乳或牛</w:t>
      </w:r>
      <w:r>
        <w:rPr>
          <w:rFonts w:ascii="宋体" w:eastAsia="宋体" w:hAnsi="宋体" w:cs="宋体"/>
          <w:spacing w:val="8"/>
          <w:sz w:val="22"/>
          <w:szCs w:val="22"/>
        </w:rPr>
        <w:t xml:space="preserve">  </w:t>
      </w:r>
      <w:r>
        <w:rPr>
          <w:rFonts w:ascii="宋体" w:eastAsia="宋体" w:hAnsi="宋体" w:cs="宋体"/>
          <w:spacing w:val="-13"/>
          <w:sz w:val="22"/>
          <w:szCs w:val="22"/>
        </w:rPr>
        <w:t>乳喂养都不能完全满足孩子生长、发育的需要，这就有必要对其食品进行营养强</w:t>
      </w:r>
      <w:r>
        <w:rPr>
          <w:rFonts w:ascii="宋体" w:eastAsia="宋体" w:hAnsi="宋体" w:cs="宋体"/>
          <w:spacing w:val="7"/>
          <w:sz w:val="22"/>
          <w:szCs w:val="22"/>
        </w:rPr>
        <w:t xml:space="preserve">  </w:t>
      </w:r>
      <w:r>
        <w:rPr>
          <w:rFonts w:ascii="宋体" w:eastAsia="宋体" w:hAnsi="宋体" w:cs="宋体"/>
          <w:spacing w:val="-13"/>
          <w:sz w:val="22"/>
          <w:szCs w:val="22"/>
        </w:rPr>
        <w:t>化或给以辅助食品。例如人乳化配方奶粉就是以牛乳为主要原料，以类似人乳的</w:t>
      </w:r>
      <w:r>
        <w:rPr>
          <w:rFonts w:ascii="宋体" w:eastAsia="宋体" w:hAnsi="宋体" w:cs="宋体"/>
          <w:sz w:val="22"/>
          <w:szCs w:val="22"/>
        </w:rPr>
        <w:t xml:space="preserve">  </w:t>
      </w:r>
      <w:r>
        <w:rPr>
          <w:rFonts w:ascii="宋体" w:eastAsia="宋体" w:hAnsi="宋体" w:cs="宋体"/>
          <w:spacing w:val="-10"/>
          <w:sz w:val="22"/>
          <w:szCs w:val="22"/>
        </w:rPr>
        <w:t>营养素组成为目标、通过添加和提取出某些成分，使其组成成分不仅在数量</w:t>
      </w:r>
      <w:r>
        <w:rPr>
          <w:rFonts w:ascii="宋体" w:eastAsia="宋体" w:hAnsi="宋体" w:cs="宋体"/>
          <w:spacing w:val="-11"/>
          <w:sz w:val="22"/>
          <w:szCs w:val="22"/>
        </w:rPr>
        <w:t>上</w:t>
      </w:r>
      <w:r>
        <w:rPr>
          <w:rFonts w:ascii="宋体" w:eastAsia="宋体" w:hAnsi="宋体" w:cs="宋体"/>
          <w:sz w:val="22"/>
          <w:szCs w:val="22"/>
        </w:rPr>
        <w:t xml:space="preserve">   </w:t>
      </w:r>
      <w:r>
        <w:rPr>
          <w:rFonts w:ascii="宋体" w:eastAsia="宋体" w:hAnsi="宋体" w:cs="宋体"/>
          <w:spacing w:val="-13"/>
          <w:sz w:val="22"/>
          <w:szCs w:val="22"/>
        </w:rPr>
        <w:t>而且在质量上都接近母乳，更适合于喂养婴儿。这除了需要改变乳清蛋白和酪蛋</w:t>
      </w:r>
      <w:r>
        <w:rPr>
          <w:rFonts w:ascii="宋体" w:eastAsia="宋体" w:hAnsi="宋体" w:cs="宋体"/>
          <w:spacing w:val="6"/>
          <w:sz w:val="22"/>
          <w:szCs w:val="22"/>
        </w:rPr>
        <w:t xml:space="preserve">  </w:t>
      </w:r>
      <w:r>
        <w:rPr>
          <w:rFonts w:ascii="宋体" w:eastAsia="宋体" w:hAnsi="宋体" w:cs="宋体"/>
          <w:spacing w:val="-13"/>
          <w:sz w:val="22"/>
          <w:szCs w:val="22"/>
        </w:rPr>
        <w:t>白的比例，降低矿物质含量外，尚需增加不饱和脂肪酸、乳糖或可</w:t>
      </w:r>
      <w:r>
        <w:rPr>
          <w:rFonts w:ascii="宋体" w:eastAsia="宋体" w:hAnsi="宋体" w:cs="宋体"/>
          <w:spacing w:val="-14"/>
          <w:sz w:val="22"/>
          <w:szCs w:val="22"/>
        </w:rPr>
        <w:t>溶性多糖的含</w:t>
      </w:r>
      <w:r>
        <w:rPr>
          <w:rFonts w:ascii="宋体" w:eastAsia="宋体" w:hAnsi="宋体" w:cs="宋体"/>
          <w:sz w:val="22"/>
          <w:szCs w:val="22"/>
        </w:rPr>
        <w:t xml:space="preserve">  </w:t>
      </w:r>
      <w:r>
        <w:rPr>
          <w:rFonts w:ascii="宋体" w:eastAsia="宋体" w:hAnsi="宋体" w:cs="宋体"/>
          <w:spacing w:val="-13"/>
          <w:sz w:val="22"/>
          <w:szCs w:val="22"/>
        </w:rPr>
        <w:t>量，与此同时还应适当增加维生素等微量营养成分。至于孕妇、乳母，由于其特</w:t>
      </w:r>
      <w:r>
        <w:rPr>
          <w:rFonts w:ascii="宋体" w:eastAsia="宋体" w:hAnsi="宋体" w:cs="宋体"/>
          <w:spacing w:val="5"/>
          <w:sz w:val="22"/>
          <w:szCs w:val="22"/>
        </w:rPr>
        <w:t xml:space="preserve">  </w:t>
      </w:r>
      <w:r>
        <w:rPr>
          <w:rFonts w:ascii="宋体" w:eastAsia="宋体" w:hAnsi="宋体" w:cs="宋体"/>
          <w:spacing w:val="-12"/>
          <w:sz w:val="22"/>
          <w:szCs w:val="22"/>
        </w:rPr>
        <w:t>殊的营养需要，除应全面增加高质量膳食的供应</w:t>
      </w:r>
      <w:r>
        <w:rPr>
          <w:rFonts w:ascii="宋体" w:eastAsia="宋体" w:hAnsi="宋体" w:cs="宋体"/>
          <w:spacing w:val="-13"/>
          <w:sz w:val="22"/>
          <w:szCs w:val="22"/>
        </w:rPr>
        <w:t>外，尚需注意对她们最易缺乏的</w:t>
      </w:r>
      <w:r>
        <w:rPr>
          <w:rFonts w:ascii="宋体" w:eastAsia="宋体" w:hAnsi="宋体" w:cs="宋体"/>
          <w:sz w:val="22"/>
          <w:szCs w:val="22"/>
        </w:rPr>
        <w:t xml:space="preserve">  </w:t>
      </w:r>
      <w:r>
        <w:rPr>
          <w:rFonts w:ascii="宋体" w:eastAsia="宋体" w:hAnsi="宋体" w:cs="宋体"/>
          <w:spacing w:val="-16"/>
          <w:sz w:val="22"/>
          <w:szCs w:val="22"/>
        </w:rPr>
        <w:t>钙和铁等的强化。</w:t>
      </w:r>
    </w:p>
    <w:p w:rsidR="00EA40A3" w:rsidRDefault="00E86C16">
      <w:pPr>
        <w:spacing w:before="118" w:line="247" w:lineRule="auto"/>
        <w:ind w:right="19" w:firstLine="430"/>
        <w:jc w:val="both"/>
        <w:rPr>
          <w:rFonts w:ascii="宋体" w:eastAsia="宋体" w:hAnsi="宋体" w:cs="宋体"/>
          <w:sz w:val="22"/>
          <w:szCs w:val="22"/>
        </w:rPr>
      </w:pPr>
      <w:r>
        <w:rPr>
          <w:rFonts w:ascii="宋体" w:eastAsia="宋体" w:hAnsi="宋体" w:cs="宋体"/>
          <w:spacing w:val="-13"/>
          <w:sz w:val="22"/>
          <w:szCs w:val="22"/>
        </w:rPr>
        <w:t>不同职业的人群对营养素的需要可有不同。例如对钢铁厂高温作业的人，在</w:t>
      </w:r>
      <w:r>
        <w:rPr>
          <w:rFonts w:ascii="宋体" w:eastAsia="宋体" w:hAnsi="宋体" w:cs="宋体"/>
          <w:sz w:val="22"/>
          <w:szCs w:val="22"/>
        </w:rPr>
        <w:t xml:space="preserve">  </w:t>
      </w:r>
      <w:r>
        <w:rPr>
          <w:rFonts w:ascii="宋体" w:eastAsia="宋体" w:hAnsi="宋体" w:cs="宋体"/>
          <w:spacing w:val="-7"/>
          <w:sz w:val="22"/>
          <w:szCs w:val="22"/>
        </w:rPr>
        <w:t>增补维生素</w:t>
      </w:r>
      <w:r>
        <w:rPr>
          <w:rFonts w:ascii="宋体" w:eastAsia="宋体" w:hAnsi="宋体" w:cs="宋体"/>
          <w:spacing w:val="-46"/>
          <w:sz w:val="22"/>
          <w:szCs w:val="22"/>
        </w:rPr>
        <w:t xml:space="preserve"> </w:t>
      </w:r>
      <w:r>
        <w:rPr>
          <w:rFonts w:ascii="宋体" w:eastAsia="宋体" w:hAnsi="宋体" w:cs="宋体"/>
          <w:spacing w:val="-7"/>
          <w:sz w:val="22"/>
          <w:szCs w:val="22"/>
        </w:rPr>
        <w:t>A(2000IU/d)、</w:t>
      </w:r>
      <w:r>
        <w:rPr>
          <w:rFonts w:ascii="宋体" w:eastAsia="宋体" w:hAnsi="宋体" w:cs="宋体"/>
          <w:spacing w:val="37"/>
          <w:sz w:val="22"/>
          <w:szCs w:val="22"/>
        </w:rPr>
        <w:t xml:space="preserve">  </w:t>
      </w:r>
      <w:r>
        <w:rPr>
          <w:rFonts w:ascii="宋体" w:eastAsia="宋体" w:hAnsi="宋体" w:cs="宋体"/>
          <w:spacing w:val="-7"/>
          <w:sz w:val="22"/>
          <w:szCs w:val="22"/>
        </w:rPr>
        <w:t>维生素</w:t>
      </w:r>
      <w:r>
        <w:rPr>
          <w:rFonts w:ascii="宋体" w:eastAsia="宋体" w:hAnsi="宋体" w:cs="宋体"/>
          <w:spacing w:val="-60"/>
          <w:sz w:val="22"/>
          <w:szCs w:val="22"/>
        </w:rPr>
        <w:t xml:space="preserve"> </w:t>
      </w:r>
      <w:r>
        <w:rPr>
          <w:rFonts w:ascii="宋体" w:eastAsia="宋体" w:hAnsi="宋体" w:cs="宋体"/>
          <w:spacing w:val="-7"/>
          <w:sz w:val="22"/>
          <w:szCs w:val="22"/>
        </w:rPr>
        <w:t>B2(0.5mg/d)、</w:t>
      </w:r>
      <w:r>
        <w:rPr>
          <w:rFonts w:ascii="宋体" w:eastAsia="宋体" w:hAnsi="宋体" w:cs="宋体"/>
          <w:spacing w:val="13"/>
          <w:sz w:val="22"/>
          <w:szCs w:val="22"/>
        </w:rPr>
        <w:t xml:space="preserve">  </w:t>
      </w:r>
      <w:r>
        <w:rPr>
          <w:rFonts w:ascii="宋体" w:eastAsia="宋体" w:hAnsi="宋体" w:cs="宋体"/>
          <w:spacing w:val="-7"/>
          <w:sz w:val="22"/>
          <w:szCs w:val="22"/>
        </w:rPr>
        <w:t>维生素C(50mg/d)</w:t>
      </w:r>
      <w:r>
        <w:rPr>
          <w:rFonts w:ascii="宋体" w:eastAsia="宋体" w:hAnsi="宋体" w:cs="宋体"/>
          <w:spacing w:val="48"/>
          <w:sz w:val="22"/>
          <w:szCs w:val="22"/>
        </w:rPr>
        <w:t xml:space="preserve">  </w:t>
      </w:r>
      <w:r>
        <w:rPr>
          <w:rFonts w:ascii="宋体" w:eastAsia="宋体" w:hAnsi="宋体" w:cs="宋体"/>
          <w:spacing w:val="-7"/>
          <w:sz w:val="22"/>
          <w:szCs w:val="22"/>
        </w:rPr>
        <w:t>后，</w:t>
      </w:r>
      <w:r>
        <w:rPr>
          <w:rFonts w:ascii="宋体" w:eastAsia="宋体" w:hAnsi="宋体" w:cs="宋体"/>
          <w:spacing w:val="1"/>
          <w:sz w:val="22"/>
          <w:szCs w:val="22"/>
        </w:rPr>
        <w:t xml:space="preserve"> </w:t>
      </w:r>
      <w:r>
        <w:rPr>
          <w:rFonts w:ascii="宋体" w:eastAsia="宋体" w:hAnsi="宋体" w:cs="宋体"/>
          <w:spacing w:val="-7"/>
          <w:sz w:val="22"/>
          <w:szCs w:val="22"/>
        </w:rPr>
        <w:t>其血清中维生素A、</w:t>
      </w:r>
      <w:r>
        <w:rPr>
          <w:rFonts w:ascii="宋体" w:eastAsia="宋体" w:hAnsi="宋体" w:cs="宋体"/>
          <w:spacing w:val="-29"/>
          <w:sz w:val="22"/>
          <w:szCs w:val="22"/>
        </w:rPr>
        <w:t xml:space="preserve"> </w:t>
      </w:r>
      <w:r>
        <w:rPr>
          <w:rFonts w:ascii="宋体" w:eastAsia="宋体" w:hAnsi="宋体" w:cs="宋体"/>
          <w:spacing w:val="-7"/>
          <w:sz w:val="22"/>
          <w:szCs w:val="22"/>
        </w:rPr>
        <w:t>维生素B</w:t>
      </w:r>
      <w:r>
        <w:rPr>
          <w:rFonts w:ascii="Calibri" w:eastAsia="Calibri" w:hAnsi="Calibri" w:cs="Calibri"/>
          <w:spacing w:val="-7"/>
          <w:sz w:val="22"/>
          <w:szCs w:val="22"/>
        </w:rPr>
        <w:t>₂</w:t>
      </w:r>
      <w:r>
        <w:rPr>
          <w:rFonts w:ascii="Calibri" w:eastAsia="Calibri" w:hAnsi="Calibri" w:cs="Calibri"/>
          <w:spacing w:val="40"/>
          <w:w w:val="101"/>
          <w:sz w:val="22"/>
          <w:szCs w:val="22"/>
        </w:rPr>
        <w:t xml:space="preserve"> </w:t>
      </w:r>
      <w:r>
        <w:rPr>
          <w:rFonts w:ascii="宋体" w:eastAsia="宋体" w:hAnsi="宋体" w:cs="宋体"/>
          <w:spacing w:val="-7"/>
          <w:sz w:val="22"/>
          <w:szCs w:val="22"/>
        </w:rPr>
        <w:t>和维生素C</w:t>
      </w:r>
      <w:r>
        <w:rPr>
          <w:rFonts w:ascii="宋体" w:eastAsia="宋体" w:hAnsi="宋体" w:cs="宋体"/>
          <w:spacing w:val="-3"/>
          <w:sz w:val="22"/>
          <w:szCs w:val="22"/>
        </w:rPr>
        <w:t xml:space="preserve"> </w:t>
      </w:r>
      <w:r>
        <w:rPr>
          <w:rFonts w:ascii="宋体" w:eastAsia="宋体" w:hAnsi="宋体" w:cs="宋体"/>
          <w:spacing w:val="-7"/>
          <w:sz w:val="22"/>
          <w:szCs w:val="22"/>
        </w:rPr>
        <w:t>的含量增加，营养情况大为改善，从</w:t>
      </w:r>
      <w:r>
        <w:rPr>
          <w:rFonts w:ascii="宋体" w:eastAsia="宋体" w:hAnsi="宋体" w:cs="宋体"/>
          <w:sz w:val="22"/>
          <w:szCs w:val="22"/>
        </w:rPr>
        <w:t xml:space="preserve">  </w:t>
      </w:r>
      <w:r>
        <w:rPr>
          <w:rFonts w:ascii="宋体" w:eastAsia="宋体" w:hAnsi="宋体" w:cs="宋体"/>
          <w:spacing w:val="-13"/>
          <w:sz w:val="22"/>
          <w:szCs w:val="22"/>
        </w:rPr>
        <w:t>而减轻疲劳，增加工作能力。对于接触铅的作业人员，由于铅可</w:t>
      </w:r>
      <w:r>
        <w:rPr>
          <w:rFonts w:ascii="宋体" w:eastAsia="宋体" w:hAnsi="宋体" w:cs="宋体"/>
          <w:spacing w:val="-14"/>
          <w:sz w:val="22"/>
          <w:szCs w:val="22"/>
        </w:rPr>
        <w:t>由消化道和呼吸</w:t>
      </w:r>
      <w:r>
        <w:rPr>
          <w:rFonts w:ascii="宋体" w:eastAsia="宋体" w:hAnsi="宋体" w:cs="宋体"/>
          <w:sz w:val="22"/>
          <w:szCs w:val="22"/>
        </w:rPr>
        <w:t xml:space="preserve">  </w:t>
      </w:r>
      <w:r>
        <w:rPr>
          <w:rFonts w:ascii="宋体" w:eastAsia="宋体" w:hAnsi="宋体" w:cs="宋体"/>
          <w:spacing w:val="-6"/>
          <w:sz w:val="22"/>
          <w:szCs w:val="22"/>
        </w:rPr>
        <w:t>道进入体内引起慢性或急性铅中毒，如果给以大量维生素C</w:t>
      </w:r>
      <w:r>
        <w:rPr>
          <w:rFonts w:ascii="宋体" w:eastAsia="宋体" w:hAnsi="宋体" w:cs="宋体"/>
          <w:spacing w:val="-13"/>
          <w:sz w:val="22"/>
          <w:szCs w:val="22"/>
        </w:rPr>
        <w:t xml:space="preserve"> </w:t>
      </w:r>
      <w:r>
        <w:rPr>
          <w:rFonts w:ascii="宋体" w:eastAsia="宋体" w:hAnsi="宋体" w:cs="宋体"/>
          <w:spacing w:val="-6"/>
          <w:sz w:val="22"/>
          <w:szCs w:val="22"/>
        </w:rPr>
        <w:t>强化的食品，可显</w:t>
      </w:r>
      <w:r>
        <w:rPr>
          <w:rFonts w:ascii="宋体" w:eastAsia="宋体" w:hAnsi="宋体" w:cs="宋体"/>
          <w:sz w:val="22"/>
          <w:szCs w:val="22"/>
        </w:rPr>
        <w:t xml:space="preserve">  </w:t>
      </w:r>
      <w:r>
        <w:rPr>
          <w:rFonts w:ascii="宋体" w:eastAsia="宋体" w:hAnsi="宋体" w:cs="宋体"/>
          <w:spacing w:val="-8"/>
          <w:sz w:val="22"/>
          <w:szCs w:val="22"/>
        </w:rPr>
        <w:t>著减少铅中毒的情况。对于接触苯的作业人员则应供给用维生素</w:t>
      </w:r>
      <w:r>
        <w:rPr>
          <w:rFonts w:ascii="宋体" w:eastAsia="宋体" w:hAnsi="宋体" w:cs="宋体"/>
          <w:spacing w:val="-60"/>
          <w:sz w:val="22"/>
          <w:szCs w:val="22"/>
        </w:rPr>
        <w:t xml:space="preserve"> </w:t>
      </w:r>
      <w:r>
        <w:rPr>
          <w:rFonts w:ascii="宋体" w:eastAsia="宋体" w:hAnsi="宋体" w:cs="宋体"/>
          <w:spacing w:val="-8"/>
          <w:sz w:val="22"/>
          <w:szCs w:val="22"/>
        </w:rPr>
        <w:t>C</w:t>
      </w:r>
      <w:r>
        <w:rPr>
          <w:rFonts w:ascii="宋体" w:eastAsia="宋体" w:hAnsi="宋体" w:cs="宋体"/>
          <w:spacing w:val="-13"/>
          <w:sz w:val="22"/>
          <w:szCs w:val="22"/>
        </w:rPr>
        <w:t xml:space="preserve"> </w:t>
      </w:r>
      <w:r>
        <w:rPr>
          <w:rFonts w:ascii="宋体" w:eastAsia="宋体" w:hAnsi="宋体" w:cs="宋体"/>
          <w:spacing w:val="-8"/>
          <w:sz w:val="22"/>
          <w:szCs w:val="22"/>
        </w:rPr>
        <w:t>和铁强化的</w:t>
      </w:r>
      <w:r>
        <w:rPr>
          <w:rFonts w:ascii="宋体" w:eastAsia="宋体" w:hAnsi="宋体" w:cs="宋体"/>
          <w:sz w:val="22"/>
          <w:szCs w:val="22"/>
        </w:rPr>
        <w:t xml:space="preserve">  </w:t>
      </w:r>
      <w:r>
        <w:rPr>
          <w:rFonts w:ascii="宋体" w:eastAsia="宋体" w:hAnsi="宋体" w:cs="宋体"/>
          <w:spacing w:val="-14"/>
          <w:sz w:val="22"/>
          <w:szCs w:val="22"/>
        </w:rPr>
        <w:t>食品，以减轻苯中毒和防止贫血。</w:t>
      </w:r>
    </w:p>
    <w:p w:rsidR="00EA40A3" w:rsidRDefault="00E86C16">
      <w:pPr>
        <w:spacing w:before="227" w:line="221" w:lineRule="auto"/>
        <w:rPr>
          <w:rFonts w:ascii="仿宋" w:eastAsia="仿宋" w:hAnsi="仿宋" w:cs="仿宋"/>
          <w:sz w:val="22"/>
          <w:szCs w:val="22"/>
        </w:rPr>
      </w:pPr>
      <w:r>
        <w:rPr>
          <w:rFonts w:ascii="仿宋" w:eastAsia="仿宋" w:hAnsi="仿宋" w:cs="仿宋"/>
          <w:spacing w:val="9"/>
          <w:sz w:val="22"/>
          <w:szCs w:val="22"/>
        </w:rPr>
        <w:t>5.</w:t>
      </w:r>
      <w:r>
        <w:rPr>
          <w:rFonts w:ascii="仿宋" w:eastAsia="仿宋" w:hAnsi="仿宋" w:cs="仿宋"/>
          <w:spacing w:val="34"/>
          <w:sz w:val="22"/>
          <w:szCs w:val="22"/>
        </w:rPr>
        <w:t xml:space="preserve"> </w:t>
      </w:r>
      <w:r>
        <w:rPr>
          <w:rFonts w:ascii="仿宋" w:eastAsia="仿宋" w:hAnsi="仿宋" w:cs="仿宋"/>
          <w:spacing w:val="9"/>
          <w:sz w:val="22"/>
          <w:szCs w:val="22"/>
        </w:rPr>
        <w:t>防病、保健及其他</w:t>
      </w:r>
    </w:p>
    <w:p w:rsidR="00EA40A3" w:rsidRDefault="00E86C16">
      <w:pPr>
        <w:spacing w:before="211" w:line="245" w:lineRule="auto"/>
        <w:ind w:right="11" w:firstLine="430"/>
        <w:jc w:val="both"/>
        <w:rPr>
          <w:rFonts w:ascii="宋体" w:eastAsia="宋体" w:hAnsi="宋体" w:cs="宋体"/>
          <w:sz w:val="22"/>
          <w:szCs w:val="22"/>
        </w:rPr>
      </w:pPr>
      <w:r>
        <w:rPr>
          <w:rFonts w:ascii="宋体" w:eastAsia="宋体" w:hAnsi="宋体" w:cs="宋体"/>
          <w:spacing w:val="-13"/>
          <w:sz w:val="22"/>
          <w:szCs w:val="22"/>
        </w:rPr>
        <w:t>从预防医学的角度看，食品营养强化对预防和减少营养缺乏病，特别是某些</w:t>
      </w:r>
      <w:r>
        <w:rPr>
          <w:rFonts w:ascii="宋体" w:eastAsia="宋体" w:hAnsi="宋体" w:cs="宋体"/>
          <w:spacing w:val="18"/>
          <w:sz w:val="22"/>
          <w:szCs w:val="22"/>
        </w:rPr>
        <w:t xml:space="preserve"> </w:t>
      </w:r>
      <w:r>
        <w:rPr>
          <w:rFonts w:ascii="宋体" w:eastAsia="宋体" w:hAnsi="宋体" w:cs="宋体"/>
          <w:spacing w:val="-13"/>
          <w:sz w:val="22"/>
          <w:szCs w:val="22"/>
        </w:rPr>
        <w:t>地方性营养缺乏病具有重要的意义。例如对缺碘地区的人采取食盐加碘可大大降</w:t>
      </w:r>
      <w:r>
        <w:rPr>
          <w:rFonts w:ascii="宋体" w:eastAsia="宋体" w:hAnsi="宋体" w:cs="宋体"/>
          <w:spacing w:val="7"/>
          <w:sz w:val="22"/>
          <w:szCs w:val="22"/>
        </w:rPr>
        <w:t xml:space="preserve">  </w:t>
      </w:r>
      <w:r>
        <w:rPr>
          <w:rFonts w:ascii="宋体" w:eastAsia="宋体" w:hAnsi="宋体" w:cs="宋体"/>
          <w:spacing w:val="4"/>
          <w:sz w:val="22"/>
          <w:szCs w:val="22"/>
        </w:rPr>
        <w:t>低当地甲状腺肿的发病率(下降率可达40%～95%),用维生素B</w:t>
      </w:r>
      <w:r>
        <w:rPr>
          <w:rFonts w:ascii="Calibri" w:eastAsia="Calibri" w:hAnsi="Calibri" w:cs="Calibri"/>
          <w:spacing w:val="4"/>
          <w:sz w:val="22"/>
          <w:szCs w:val="22"/>
        </w:rPr>
        <w:t>₁</w:t>
      </w:r>
      <w:r>
        <w:rPr>
          <w:rFonts w:ascii="Calibri" w:eastAsia="Calibri" w:hAnsi="Calibri" w:cs="Calibri"/>
          <w:spacing w:val="10"/>
          <w:sz w:val="22"/>
          <w:szCs w:val="22"/>
        </w:rPr>
        <w:t xml:space="preserve">  </w:t>
      </w:r>
      <w:r>
        <w:rPr>
          <w:rFonts w:ascii="宋体" w:eastAsia="宋体" w:hAnsi="宋体" w:cs="宋体"/>
          <w:spacing w:val="4"/>
          <w:sz w:val="22"/>
          <w:szCs w:val="22"/>
        </w:rPr>
        <w:t>防治脚气病，</w:t>
      </w:r>
      <w:r>
        <w:rPr>
          <w:rFonts w:ascii="宋体" w:eastAsia="宋体" w:hAnsi="宋体" w:cs="宋体"/>
          <w:spacing w:val="1"/>
          <w:sz w:val="22"/>
          <w:szCs w:val="22"/>
        </w:rPr>
        <w:t xml:space="preserve"> </w:t>
      </w:r>
      <w:r>
        <w:rPr>
          <w:rFonts w:ascii="宋体" w:eastAsia="宋体" w:hAnsi="宋体" w:cs="宋体"/>
          <w:spacing w:val="-6"/>
          <w:sz w:val="22"/>
          <w:szCs w:val="22"/>
        </w:rPr>
        <w:t>用维生素C</w:t>
      </w:r>
      <w:r>
        <w:rPr>
          <w:rFonts w:ascii="宋体" w:eastAsia="宋体" w:hAnsi="宋体" w:cs="宋体"/>
          <w:spacing w:val="-14"/>
          <w:sz w:val="22"/>
          <w:szCs w:val="22"/>
        </w:rPr>
        <w:t xml:space="preserve"> </w:t>
      </w:r>
      <w:r>
        <w:rPr>
          <w:rFonts w:ascii="宋体" w:eastAsia="宋体" w:hAnsi="宋体" w:cs="宋体"/>
          <w:spacing w:val="-6"/>
          <w:sz w:val="22"/>
          <w:szCs w:val="22"/>
        </w:rPr>
        <w:t>防治坏血病等早已人所共知。实践证明，食品营养强化</w:t>
      </w:r>
      <w:r>
        <w:rPr>
          <w:rFonts w:ascii="宋体" w:eastAsia="宋体" w:hAnsi="宋体" w:cs="宋体"/>
          <w:spacing w:val="-7"/>
          <w:sz w:val="22"/>
          <w:szCs w:val="22"/>
        </w:rPr>
        <w:t>是控制微量</w:t>
      </w:r>
      <w:r>
        <w:rPr>
          <w:rFonts w:ascii="宋体" w:eastAsia="宋体" w:hAnsi="宋体" w:cs="宋体"/>
          <w:sz w:val="22"/>
          <w:szCs w:val="22"/>
        </w:rPr>
        <w:t xml:space="preserve">  </w:t>
      </w:r>
      <w:r>
        <w:rPr>
          <w:rFonts w:ascii="宋体" w:eastAsia="宋体" w:hAnsi="宋体" w:cs="宋体"/>
          <w:spacing w:val="-11"/>
          <w:sz w:val="22"/>
          <w:szCs w:val="22"/>
        </w:rPr>
        <w:t>营养素缺乏的一种有效措施，它既可以覆盖众多的消费者，又有见效快的优点。</w:t>
      </w:r>
    </w:p>
    <w:p w:rsidR="00EA40A3" w:rsidRDefault="00E86C16">
      <w:pPr>
        <w:spacing w:before="95"/>
        <w:ind w:right="10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257</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960" w:bottom="400" w:left="879" w:header="0" w:footer="0" w:gutter="0"/>
          <w:cols w:space="720"/>
        </w:sectPr>
      </w:pPr>
    </w:p>
    <w:p w:rsidR="00EA40A3" w:rsidRDefault="00EA40A3">
      <w:pPr>
        <w:spacing w:line="297" w:lineRule="auto"/>
      </w:pPr>
    </w:p>
    <w:p w:rsidR="00EA40A3" w:rsidRDefault="00EA40A3">
      <w:pPr>
        <w:spacing w:line="297" w:lineRule="auto"/>
      </w:pPr>
    </w:p>
    <w:p w:rsidR="00EA40A3" w:rsidRDefault="00E86C16">
      <w:pPr>
        <w:spacing w:before="69" w:line="251" w:lineRule="auto"/>
        <w:ind w:right="117"/>
        <w:rPr>
          <w:rFonts w:ascii="宋体" w:eastAsia="宋体" w:hAnsi="宋体" w:cs="宋体"/>
        </w:rPr>
      </w:pPr>
      <w:r>
        <w:rPr>
          <w:rFonts w:ascii="宋体" w:eastAsia="宋体" w:hAnsi="宋体" w:cs="宋体"/>
        </w:rPr>
        <w:t>1995年FAO</w:t>
      </w:r>
      <w:r>
        <w:rPr>
          <w:rFonts w:ascii="宋体" w:eastAsia="宋体" w:hAnsi="宋体" w:cs="宋体"/>
          <w:spacing w:val="84"/>
        </w:rPr>
        <w:t xml:space="preserve"> </w:t>
      </w:r>
      <w:r>
        <w:rPr>
          <w:rFonts w:ascii="宋体" w:eastAsia="宋体" w:hAnsi="宋体" w:cs="宋体"/>
        </w:rPr>
        <w:t>食物营养强化专家咨询会议</w:t>
      </w:r>
      <w:r>
        <w:rPr>
          <w:rFonts w:ascii="宋体" w:eastAsia="宋体" w:hAnsi="宋体" w:cs="宋体"/>
          <w:spacing w:val="-1"/>
        </w:rPr>
        <w:t>呼吁各国将食品营养强化作为当前控制</w:t>
      </w:r>
      <w:r>
        <w:rPr>
          <w:rFonts w:ascii="宋体" w:eastAsia="宋体" w:hAnsi="宋体" w:cs="宋体"/>
        </w:rPr>
        <w:t xml:space="preserve"> </w:t>
      </w:r>
      <w:r>
        <w:rPr>
          <w:rFonts w:ascii="宋体" w:eastAsia="宋体" w:hAnsi="宋体" w:cs="宋体"/>
          <w:spacing w:val="-4"/>
        </w:rPr>
        <w:t>微量营养素缺乏的一项重要政策，特别是在发展中国家。</w:t>
      </w:r>
    </w:p>
    <w:p w:rsidR="00EA40A3" w:rsidRDefault="00E86C16">
      <w:pPr>
        <w:spacing w:before="43" w:line="259" w:lineRule="auto"/>
        <w:ind w:firstLine="409"/>
        <w:jc w:val="both"/>
        <w:rPr>
          <w:rFonts w:ascii="宋体" w:eastAsia="宋体" w:hAnsi="宋体" w:cs="宋体"/>
        </w:rPr>
      </w:pPr>
      <w:r>
        <w:rPr>
          <w:rFonts w:ascii="宋体" w:eastAsia="宋体" w:hAnsi="宋体" w:cs="宋体"/>
          <w:spacing w:val="13"/>
        </w:rPr>
        <w:t>近年来对谷类制品强化赖氨酸的营养效果颇引人注意。小麦粉用0.25%</w:t>
      </w:r>
      <w:r>
        <w:rPr>
          <w:rFonts w:ascii="宋体" w:eastAsia="宋体" w:hAnsi="宋体" w:cs="宋体"/>
        </w:rPr>
        <w:t xml:space="preserve"> </w:t>
      </w:r>
      <w:r>
        <w:rPr>
          <w:rFonts w:ascii="宋体" w:eastAsia="宋体" w:hAnsi="宋体" w:cs="宋体"/>
          <w:spacing w:val="8"/>
        </w:rPr>
        <w:t>L-赖氨酸盐酸盐强化后营养价值提高128%,大米用0.05%L-赖氨酸盐酸盐强化</w:t>
      </w:r>
      <w:r>
        <w:rPr>
          <w:rFonts w:ascii="宋体" w:eastAsia="宋体" w:hAnsi="宋体" w:cs="宋体"/>
          <w:spacing w:val="1"/>
        </w:rPr>
        <w:t xml:space="preserve"> </w:t>
      </w:r>
      <w:r>
        <w:rPr>
          <w:rFonts w:ascii="宋体" w:eastAsia="宋体" w:hAnsi="宋体" w:cs="宋体"/>
          <w:spacing w:val="7"/>
        </w:rPr>
        <w:t>后营养价值提高44%。日本必需氨基酸协会</w:t>
      </w:r>
      <w:r>
        <w:rPr>
          <w:rFonts w:ascii="宋体" w:eastAsia="宋体" w:hAnsi="宋体" w:cs="宋体"/>
          <w:spacing w:val="6"/>
        </w:rPr>
        <w:t>从1984年开始在全国许多地区的小</w:t>
      </w:r>
      <w:r>
        <w:rPr>
          <w:rFonts w:ascii="宋体" w:eastAsia="宋体" w:hAnsi="宋体" w:cs="宋体"/>
        </w:rPr>
        <w:t xml:space="preserve"> </w:t>
      </w:r>
      <w:r>
        <w:rPr>
          <w:rFonts w:ascii="宋体" w:eastAsia="宋体" w:hAnsi="宋体" w:cs="宋体"/>
          <w:spacing w:val="-1"/>
        </w:rPr>
        <w:t>学午餐中供给</w:t>
      </w:r>
      <w:r>
        <w:rPr>
          <w:rFonts w:ascii="宋体" w:eastAsia="宋体" w:hAnsi="宋体" w:cs="宋体"/>
          <w:spacing w:val="-53"/>
        </w:rPr>
        <w:t xml:space="preserve"> </w:t>
      </w:r>
      <w:r>
        <w:rPr>
          <w:rFonts w:ascii="宋体" w:eastAsia="宋体" w:hAnsi="宋体" w:cs="宋体"/>
          <w:spacing w:val="-1"/>
        </w:rPr>
        <w:t>L-赖氨酸强化面包，</w:t>
      </w:r>
      <w:r>
        <w:rPr>
          <w:rFonts w:ascii="宋体" w:eastAsia="宋体" w:hAnsi="宋体" w:cs="宋体"/>
          <w:spacing w:val="65"/>
        </w:rPr>
        <w:t xml:space="preserve"> </w:t>
      </w:r>
      <w:r>
        <w:rPr>
          <w:rFonts w:ascii="宋体" w:eastAsia="宋体" w:hAnsi="宋体" w:cs="宋体"/>
          <w:spacing w:val="-1"/>
        </w:rPr>
        <w:t>一年后检查他们的身高、体重。结果</w:t>
      </w:r>
      <w:r>
        <w:rPr>
          <w:rFonts w:ascii="宋体" w:eastAsia="宋体" w:hAnsi="宋体" w:cs="宋体"/>
          <w:spacing w:val="-2"/>
        </w:rPr>
        <w:t>表明，</w:t>
      </w:r>
      <w:r>
        <w:rPr>
          <w:rFonts w:ascii="宋体" w:eastAsia="宋体" w:hAnsi="宋体" w:cs="宋体"/>
        </w:rPr>
        <w:t xml:space="preserve"> </w:t>
      </w:r>
      <w:r>
        <w:rPr>
          <w:rFonts w:ascii="宋体" w:eastAsia="宋体" w:hAnsi="宋体" w:cs="宋体"/>
          <w:spacing w:val="11"/>
        </w:rPr>
        <w:t>L-赖氨酸强化组的孩子比全国同龄孩子平均身高增加5.7</w:t>
      </w:r>
      <w:r>
        <w:rPr>
          <w:rFonts w:ascii="宋体" w:eastAsia="宋体" w:hAnsi="宋体" w:cs="宋体"/>
        </w:rPr>
        <w:t>cm</w:t>
      </w:r>
      <w:r>
        <w:rPr>
          <w:rFonts w:ascii="宋体" w:eastAsia="宋体" w:hAnsi="宋体" w:cs="宋体"/>
          <w:spacing w:val="11"/>
        </w:rPr>
        <w:t>,</w:t>
      </w:r>
      <w:r>
        <w:rPr>
          <w:rFonts w:ascii="宋体" w:eastAsia="宋体" w:hAnsi="宋体" w:cs="宋体"/>
          <w:spacing w:val="56"/>
        </w:rPr>
        <w:t xml:space="preserve"> </w:t>
      </w:r>
      <w:r>
        <w:rPr>
          <w:rFonts w:ascii="宋体" w:eastAsia="宋体" w:hAnsi="宋体" w:cs="宋体"/>
          <w:spacing w:val="11"/>
        </w:rPr>
        <w:t>平均体重增加</w:t>
      </w:r>
      <w:r>
        <w:rPr>
          <w:rFonts w:ascii="宋体" w:eastAsia="宋体" w:hAnsi="宋体" w:cs="宋体"/>
        </w:rPr>
        <w:t xml:space="preserve"> </w:t>
      </w:r>
      <w:r>
        <w:rPr>
          <w:rFonts w:ascii="宋体" w:eastAsia="宋体" w:hAnsi="宋体" w:cs="宋体"/>
          <w:spacing w:val="-3"/>
        </w:rPr>
        <w:t>4.4kg。</w:t>
      </w:r>
      <w:r>
        <w:rPr>
          <w:rFonts w:ascii="宋体" w:eastAsia="宋体" w:hAnsi="宋体" w:cs="宋体"/>
        </w:rPr>
        <w:t xml:space="preserve"> </w:t>
      </w:r>
      <w:r>
        <w:rPr>
          <w:rFonts w:ascii="宋体" w:eastAsia="宋体" w:hAnsi="宋体" w:cs="宋体"/>
          <w:spacing w:val="-3"/>
        </w:rPr>
        <w:t>我国广西南宁妇幼保健院采用强化赖氨酸防治儿童营养不良症，效果显</w:t>
      </w:r>
      <w:r>
        <w:rPr>
          <w:rFonts w:ascii="宋体" w:eastAsia="宋体" w:hAnsi="宋体" w:cs="宋体"/>
        </w:rPr>
        <w:t xml:space="preserve"> </w:t>
      </w:r>
      <w:r>
        <w:rPr>
          <w:rFonts w:ascii="宋体" w:eastAsia="宋体" w:hAnsi="宋体" w:cs="宋体"/>
          <w:spacing w:val="11"/>
        </w:rPr>
        <w:t>著。有一婴儿出生后就用米糊人工喂养，5个半月时身高仅59</w:t>
      </w:r>
      <w:r>
        <w:rPr>
          <w:rFonts w:ascii="宋体" w:eastAsia="宋体" w:hAnsi="宋体" w:cs="宋体"/>
        </w:rPr>
        <w:t>cm</w:t>
      </w:r>
      <w:r>
        <w:rPr>
          <w:rFonts w:ascii="宋体" w:eastAsia="宋体" w:hAnsi="宋体" w:cs="宋体"/>
          <w:spacing w:val="11"/>
        </w:rPr>
        <w:t>,</w:t>
      </w:r>
      <w:r>
        <w:rPr>
          <w:rFonts w:ascii="宋体" w:eastAsia="宋体" w:hAnsi="宋体" w:cs="宋体"/>
          <w:spacing w:val="61"/>
        </w:rPr>
        <w:t xml:space="preserve"> </w:t>
      </w:r>
      <w:r>
        <w:rPr>
          <w:rFonts w:ascii="宋体" w:eastAsia="宋体" w:hAnsi="宋体" w:cs="宋体"/>
          <w:spacing w:val="11"/>
        </w:rPr>
        <w:t>体重只有</w:t>
      </w:r>
      <w:r>
        <w:rPr>
          <w:rFonts w:ascii="宋体" w:eastAsia="宋体" w:hAnsi="宋体" w:cs="宋体"/>
        </w:rPr>
        <w:t xml:space="preserve"> </w:t>
      </w:r>
      <w:r>
        <w:rPr>
          <w:rFonts w:ascii="宋体" w:eastAsia="宋体" w:hAnsi="宋体" w:cs="宋体"/>
          <w:spacing w:val="1"/>
        </w:rPr>
        <w:t>4.1</w:t>
      </w:r>
      <w:r>
        <w:rPr>
          <w:rFonts w:ascii="宋体" w:eastAsia="宋体" w:hAnsi="宋体" w:cs="宋体"/>
        </w:rPr>
        <w:t>kg</w:t>
      </w:r>
      <w:r>
        <w:rPr>
          <w:rFonts w:ascii="宋体" w:eastAsia="宋体" w:hAnsi="宋体" w:cs="宋体"/>
          <w:spacing w:val="1"/>
        </w:rPr>
        <w:t>,</w:t>
      </w:r>
      <w:r>
        <w:rPr>
          <w:rFonts w:ascii="宋体" w:eastAsia="宋体" w:hAnsi="宋体" w:cs="宋体"/>
          <w:spacing w:val="-18"/>
        </w:rPr>
        <w:t xml:space="preserve"> </w:t>
      </w:r>
      <w:r>
        <w:rPr>
          <w:rFonts w:ascii="宋体" w:eastAsia="宋体" w:hAnsi="宋体" w:cs="宋体"/>
          <w:spacing w:val="1"/>
        </w:rPr>
        <w:t>其皮肤干燥，表情呆板，且易患呼吸道感染疾</w:t>
      </w:r>
      <w:r>
        <w:rPr>
          <w:rFonts w:ascii="宋体" w:eastAsia="宋体" w:hAnsi="宋体" w:cs="宋体"/>
        </w:rPr>
        <w:t xml:space="preserve">病。当在米糊中强化赖氨 </w:t>
      </w:r>
      <w:r>
        <w:rPr>
          <w:rFonts w:ascii="宋体" w:eastAsia="宋体" w:hAnsi="宋体" w:cs="宋体"/>
          <w:spacing w:val="8"/>
        </w:rPr>
        <w:t>酸20d</w:t>
      </w:r>
      <w:r>
        <w:rPr>
          <w:rFonts w:ascii="宋体" w:eastAsia="宋体" w:hAnsi="宋体" w:cs="宋体"/>
          <w:spacing w:val="-41"/>
        </w:rPr>
        <w:t xml:space="preserve"> </w:t>
      </w:r>
      <w:r>
        <w:rPr>
          <w:rFonts w:ascii="宋体" w:eastAsia="宋体" w:hAnsi="宋体" w:cs="宋体"/>
          <w:spacing w:val="8"/>
        </w:rPr>
        <w:t>后体重增至4.5</w:t>
      </w:r>
      <w:r>
        <w:rPr>
          <w:rFonts w:ascii="宋体" w:eastAsia="宋体" w:hAnsi="宋体" w:cs="宋体"/>
        </w:rPr>
        <w:t>kg</w:t>
      </w:r>
      <w:r>
        <w:rPr>
          <w:rFonts w:ascii="宋体" w:eastAsia="宋体" w:hAnsi="宋体" w:cs="宋体"/>
          <w:spacing w:val="8"/>
        </w:rPr>
        <w:t>,</w:t>
      </w:r>
      <w:r>
        <w:rPr>
          <w:rFonts w:ascii="宋体" w:eastAsia="宋体" w:hAnsi="宋体" w:cs="宋体"/>
          <w:spacing w:val="16"/>
        </w:rPr>
        <w:t xml:space="preserve"> </w:t>
      </w:r>
      <w:r>
        <w:rPr>
          <w:rFonts w:ascii="宋体" w:eastAsia="宋体" w:hAnsi="宋体" w:cs="宋体"/>
          <w:spacing w:val="8"/>
        </w:rPr>
        <w:t>身高达61</w:t>
      </w:r>
      <w:r>
        <w:rPr>
          <w:rFonts w:ascii="宋体" w:eastAsia="宋体" w:hAnsi="宋体" w:cs="宋体"/>
        </w:rPr>
        <w:t>cm</w:t>
      </w:r>
      <w:r>
        <w:rPr>
          <w:rFonts w:ascii="宋体" w:eastAsia="宋体" w:hAnsi="宋体" w:cs="宋体"/>
          <w:spacing w:val="8"/>
        </w:rPr>
        <w:t>,30d</w:t>
      </w:r>
      <w:r>
        <w:rPr>
          <w:rFonts w:ascii="宋体" w:eastAsia="宋体" w:hAnsi="宋体" w:cs="宋体"/>
          <w:spacing w:val="1"/>
        </w:rPr>
        <w:t xml:space="preserve">  </w:t>
      </w:r>
      <w:r>
        <w:rPr>
          <w:rFonts w:ascii="宋体" w:eastAsia="宋体" w:hAnsi="宋体" w:cs="宋体"/>
          <w:spacing w:val="8"/>
        </w:rPr>
        <w:t>后体重5</w:t>
      </w:r>
      <w:r>
        <w:rPr>
          <w:rFonts w:ascii="宋体" w:eastAsia="宋体" w:hAnsi="宋体" w:cs="宋体"/>
        </w:rPr>
        <w:t>kg</w:t>
      </w:r>
      <w:r>
        <w:rPr>
          <w:rFonts w:ascii="宋体" w:eastAsia="宋体" w:hAnsi="宋体" w:cs="宋体"/>
          <w:spacing w:val="8"/>
        </w:rPr>
        <w:t>,</w:t>
      </w:r>
      <w:r>
        <w:rPr>
          <w:rFonts w:ascii="宋体" w:eastAsia="宋体" w:hAnsi="宋体" w:cs="宋体"/>
          <w:spacing w:val="7"/>
        </w:rPr>
        <w:t xml:space="preserve"> </w:t>
      </w:r>
      <w:r>
        <w:rPr>
          <w:rFonts w:ascii="宋体" w:eastAsia="宋体" w:hAnsi="宋体" w:cs="宋体"/>
          <w:spacing w:val="8"/>
        </w:rPr>
        <w:t>身高62</w:t>
      </w:r>
      <w:r>
        <w:rPr>
          <w:rFonts w:ascii="宋体" w:eastAsia="宋体" w:hAnsi="宋体" w:cs="宋体"/>
        </w:rPr>
        <w:t>cm</w:t>
      </w:r>
      <w:r>
        <w:rPr>
          <w:rFonts w:ascii="宋体" w:eastAsia="宋体" w:hAnsi="宋体" w:cs="宋体"/>
          <w:spacing w:val="8"/>
        </w:rPr>
        <w:t>,</w:t>
      </w:r>
      <w:r>
        <w:rPr>
          <w:rFonts w:ascii="宋体" w:eastAsia="宋体" w:hAnsi="宋体" w:cs="宋体"/>
          <w:spacing w:val="53"/>
        </w:rPr>
        <w:t xml:space="preserve"> </w:t>
      </w:r>
      <w:r>
        <w:rPr>
          <w:rFonts w:ascii="宋体" w:eastAsia="宋体" w:hAnsi="宋体" w:cs="宋体"/>
          <w:spacing w:val="8"/>
        </w:rPr>
        <w:t>食欲好</w:t>
      </w:r>
      <w:r>
        <w:rPr>
          <w:rFonts w:ascii="宋体" w:eastAsia="宋体" w:hAnsi="宋体" w:cs="宋体"/>
        </w:rPr>
        <w:t xml:space="preserve"> </w:t>
      </w:r>
      <w:r>
        <w:rPr>
          <w:rFonts w:ascii="宋体" w:eastAsia="宋体" w:hAnsi="宋体" w:cs="宋体"/>
          <w:spacing w:val="-5"/>
        </w:rPr>
        <w:t>转，活泼可爱，且这一个月内未曾患病。</w:t>
      </w:r>
    </w:p>
    <w:p w:rsidR="00EA40A3" w:rsidRDefault="00E86C16">
      <w:pPr>
        <w:spacing w:before="121" w:line="255" w:lineRule="auto"/>
        <w:ind w:firstLine="409"/>
        <w:jc w:val="both"/>
        <w:rPr>
          <w:rFonts w:ascii="宋体" w:eastAsia="宋体" w:hAnsi="宋体" w:cs="宋体"/>
        </w:rPr>
      </w:pPr>
      <w:r>
        <w:rPr>
          <w:rFonts w:ascii="宋体" w:eastAsia="宋体" w:hAnsi="宋体" w:cs="宋体"/>
          <w:spacing w:val="-3"/>
        </w:rPr>
        <w:t>此外，某些食品强化剂尚可提高食品的感官质量和改善食品的保藏性能。例</w:t>
      </w:r>
      <w:r>
        <w:rPr>
          <w:rFonts w:ascii="宋体" w:eastAsia="宋体" w:hAnsi="宋体" w:cs="宋体"/>
          <w:spacing w:val="15"/>
        </w:rPr>
        <w:t xml:space="preserve"> </w:t>
      </w:r>
      <w:r>
        <w:rPr>
          <w:rFonts w:ascii="宋体" w:eastAsia="宋体" w:hAnsi="宋体" w:cs="宋体"/>
        </w:rPr>
        <w:t>如β-胡萝卜素和核黄素既具有维生素的作用，又可作为食品着色剂使用，达到</w:t>
      </w:r>
      <w:r>
        <w:rPr>
          <w:rFonts w:ascii="宋体" w:eastAsia="宋体" w:hAnsi="宋体" w:cs="宋体"/>
          <w:spacing w:val="8"/>
        </w:rPr>
        <w:t xml:space="preserve"> </w:t>
      </w:r>
      <w:r>
        <w:rPr>
          <w:rFonts w:ascii="宋体" w:eastAsia="宋体" w:hAnsi="宋体" w:cs="宋体"/>
          <w:spacing w:val="-2"/>
        </w:rPr>
        <w:t>改善食品色泽的目的。维生素C</w:t>
      </w:r>
      <w:r>
        <w:rPr>
          <w:rFonts w:ascii="宋体" w:eastAsia="宋体" w:hAnsi="宋体" w:cs="宋体"/>
          <w:spacing w:val="9"/>
        </w:rPr>
        <w:t xml:space="preserve"> </w:t>
      </w:r>
      <w:r>
        <w:rPr>
          <w:rFonts w:ascii="宋体" w:eastAsia="宋体" w:hAnsi="宋体" w:cs="宋体"/>
          <w:spacing w:val="-2"/>
        </w:rPr>
        <w:t>和维生素</w:t>
      </w:r>
      <w:r>
        <w:rPr>
          <w:rFonts w:ascii="宋体" w:eastAsia="宋体" w:hAnsi="宋体" w:cs="宋体"/>
          <w:spacing w:val="-56"/>
        </w:rPr>
        <w:t xml:space="preserve"> </w:t>
      </w:r>
      <w:r>
        <w:rPr>
          <w:rFonts w:ascii="宋体" w:eastAsia="宋体" w:hAnsi="宋体" w:cs="宋体"/>
          <w:spacing w:val="-2"/>
        </w:rPr>
        <w:t>E</w:t>
      </w:r>
      <w:r>
        <w:rPr>
          <w:rFonts w:ascii="宋体" w:eastAsia="宋体" w:hAnsi="宋体" w:cs="宋体"/>
          <w:spacing w:val="-15"/>
        </w:rPr>
        <w:t xml:space="preserve"> </w:t>
      </w:r>
      <w:r>
        <w:rPr>
          <w:rFonts w:ascii="宋体" w:eastAsia="宋体" w:hAnsi="宋体" w:cs="宋体"/>
          <w:spacing w:val="-2"/>
        </w:rPr>
        <w:t>在食品中还具有良好的抗氧化性能，</w:t>
      </w:r>
      <w:r>
        <w:rPr>
          <w:rFonts w:ascii="宋体" w:eastAsia="宋体" w:hAnsi="宋体" w:cs="宋体"/>
        </w:rPr>
        <w:t xml:space="preserve"> </w:t>
      </w:r>
      <w:r>
        <w:rPr>
          <w:rFonts w:ascii="宋体" w:eastAsia="宋体" w:hAnsi="宋体" w:cs="宋体"/>
          <w:spacing w:val="-3"/>
        </w:rPr>
        <w:t>在食品加工中可作为抗氧化剂使用；此外，当它们在肉制品中和亚硝酸盐并用时</w:t>
      </w:r>
      <w:r>
        <w:rPr>
          <w:rFonts w:ascii="宋体" w:eastAsia="宋体" w:hAnsi="宋体" w:cs="宋体"/>
          <w:spacing w:val="6"/>
        </w:rPr>
        <w:t xml:space="preserve"> </w:t>
      </w:r>
      <w:r>
        <w:rPr>
          <w:rFonts w:ascii="宋体" w:eastAsia="宋体" w:hAnsi="宋体" w:cs="宋体"/>
          <w:spacing w:val="-5"/>
        </w:rPr>
        <w:t>还具有阻止亚硝胺生成的作用。</w:t>
      </w:r>
    </w:p>
    <w:p w:rsidR="00EA40A3" w:rsidRDefault="00EA40A3">
      <w:pPr>
        <w:spacing w:line="247" w:lineRule="auto"/>
      </w:pPr>
    </w:p>
    <w:p w:rsidR="00EA40A3" w:rsidRDefault="00E86C16">
      <w:pPr>
        <w:spacing w:before="91" w:line="219" w:lineRule="auto"/>
        <w:ind w:left="1829"/>
        <w:rPr>
          <w:rFonts w:ascii="宋体" w:eastAsia="宋体" w:hAnsi="宋体" w:cs="宋体"/>
          <w:sz w:val="28"/>
          <w:szCs w:val="28"/>
        </w:rPr>
      </w:pPr>
      <w:r>
        <w:rPr>
          <w:rFonts w:ascii="宋体" w:eastAsia="宋体" w:hAnsi="宋体" w:cs="宋体"/>
          <w:spacing w:val="-2"/>
          <w:sz w:val="28"/>
          <w:szCs w:val="28"/>
        </w:rPr>
        <w:t>8.2</w:t>
      </w:r>
      <w:r>
        <w:rPr>
          <w:rFonts w:ascii="宋体" w:eastAsia="宋体" w:hAnsi="宋体" w:cs="宋体"/>
          <w:spacing w:val="117"/>
          <w:sz w:val="28"/>
          <w:szCs w:val="28"/>
        </w:rPr>
        <w:t xml:space="preserve"> </w:t>
      </w:r>
      <w:r>
        <w:rPr>
          <w:rFonts w:ascii="宋体" w:eastAsia="宋体" w:hAnsi="宋体" w:cs="宋体"/>
          <w:spacing w:val="-2"/>
          <w:sz w:val="28"/>
          <w:szCs w:val="28"/>
        </w:rPr>
        <w:t>食品营养强化的基本原则</w:t>
      </w:r>
    </w:p>
    <w:p w:rsidR="00EA40A3" w:rsidRDefault="00EA40A3">
      <w:pPr>
        <w:spacing w:line="254" w:lineRule="auto"/>
      </w:pPr>
    </w:p>
    <w:p w:rsidR="00EA40A3" w:rsidRDefault="00E86C16">
      <w:pPr>
        <w:spacing w:before="69" w:line="249" w:lineRule="auto"/>
        <w:ind w:right="73" w:firstLine="409"/>
        <w:jc w:val="both"/>
        <w:rPr>
          <w:rFonts w:ascii="宋体" w:eastAsia="宋体" w:hAnsi="宋体" w:cs="宋体"/>
        </w:rPr>
      </w:pPr>
      <w:r>
        <w:rPr>
          <w:rFonts w:ascii="宋体" w:eastAsia="宋体" w:hAnsi="宋体" w:cs="宋体"/>
          <w:spacing w:val="-3"/>
        </w:rPr>
        <w:t>营养强化食品的功能和优点是多方面的，但其强化过程必须从营养、卫生及</w:t>
      </w:r>
      <w:r>
        <w:rPr>
          <w:rFonts w:ascii="宋体" w:eastAsia="宋体" w:hAnsi="宋体" w:cs="宋体"/>
          <w:spacing w:val="9"/>
        </w:rPr>
        <w:t xml:space="preserve"> </w:t>
      </w:r>
      <w:r>
        <w:rPr>
          <w:rFonts w:ascii="宋体" w:eastAsia="宋体" w:hAnsi="宋体" w:cs="宋体"/>
          <w:spacing w:val="-3"/>
        </w:rPr>
        <w:t>经济效益等方面全面考虑，并需适合各国的具体情况。进行食品营养强化时应遵</w:t>
      </w:r>
      <w:r>
        <w:rPr>
          <w:rFonts w:ascii="宋体" w:eastAsia="宋体" w:hAnsi="宋体" w:cs="宋体"/>
          <w:spacing w:val="2"/>
        </w:rPr>
        <w:t xml:space="preserve"> </w:t>
      </w:r>
      <w:r>
        <w:rPr>
          <w:rFonts w:ascii="宋体" w:eastAsia="宋体" w:hAnsi="宋体" w:cs="宋体"/>
          <w:spacing w:val="-4"/>
        </w:rPr>
        <w:t>循的基本原则归纳起来有以下几个方面。</w:t>
      </w:r>
    </w:p>
    <w:p w:rsidR="00EA40A3" w:rsidRDefault="00E86C16">
      <w:pPr>
        <w:spacing w:before="188" w:line="221" w:lineRule="auto"/>
        <w:ind w:left="3"/>
        <w:outlineLvl w:val="6"/>
        <w:rPr>
          <w:rFonts w:ascii="黑体" w:eastAsia="黑体" w:hAnsi="黑体" w:cs="黑体"/>
          <w:sz w:val="25"/>
          <w:szCs w:val="25"/>
        </w:rPr>
      </w:pPr>
      <w:r>
        <w:rPr>
          <w:rFonts w:ascii="黑体" w:eastAsia="黑体" w:hAnsi="黑体" w:cs="黑体"/>
          <w:b/>
          <w:bCs/>
          <w:spacing w:val="-9"/>
          <w:sz w:val="25"/>
          <w:szCs w:val="25"/>
        </w:rPr>
        <w:t>8.2.1</w:t>
      </w:r>
      <w:r>
        <w:rPr>
          <w:rFonts w:ascii="黑体" w:eastAsia="黑体" w:hAnsi="黑体" w:cs="黑体"/>
          <w:spacing w:val="83"/>
          <w:sz w:val="25"/>
          <w:szCs w:val="25"/>
        </w:rPr>
        <w:t xml:space="preserve"> </w:t>
      </w:r>
      <w:r>
        <w:rPr>
          <w:rFonts w:ascii="黑体" w:eastAsia="黑体" w:hAnsi="黑体" w:cs="黑体"/>
          <w:b/>
          <w:bCs/>
          <w:spacing w:val="-9"/>
          <w:sz w:val="25"/>
          <w:szCs w:val="25"/>
        </w:rPr>
        <w:t>有明确的针对性</w:t>
      </w:r>
    </w:p>
    <w:p w:rsidR="00EA40A3" w:rsidRDefault="00E86C16">
      <w:pPr>
        <w:spacing w:before="206" w:line="257" w:lineRule="auto"/>
        <w:ind w:right="73" w:firstLine="409"/>
        <w:rPr>
          <w:rFonts w:ascii="宋体" w:eastAsia="宋体" w:hAnsi="宋体" w:cs="宋体"/>
        </w:rPr>
      </w:pPr>
      <w:r>
        <w:rPr>
          <w:rFonts w:ascii="宋体" w:eastAsia="宋体" w:hAnsi="宋体" w:cs="宋体"/>
          <w:spacing w:val="4"/>
        </w:rPr>
        <w:t>进行食品营养强化前必须对本国(本地区)的食</w:t>
      </w:r>
      <w:r>
        <w:rPr>
          <w:rFonts w:ascii="宋体" w:eastAsia="宋体" w:hAnsi="宋体" w:cs="宋体"/>
          <w:spacing w:val="3"/>
        </w:rPr>
        <w:t>物种类及人们的营养状况做</w:t>
      </w:r>
      <w:r>
        <w:rPr>
          <w:rFonts w:ascii="宋体" w:eastAsia="宋体" w:hAnsi="宋体" w:cs="宋体"/>
        </w:rPr>
        <w:t xml:space="preserve"> </w:t>
      </w:r>
      <w:r>
        <w:rPr>
          <w:rFonts w:ascii="宋体" w:eastAsia="宋体" w:hAnsi="宋体" w:cs="宋体"/>
          <w:spacing w:val="-3"/>
        </w:rPr>
        <w:t>全面细致的调查研究，从中分析缺少哪种营养成分，然后根据本国、本地区人民</w:t>
      </w:r>
      <w:r>
        <w:rPr>
          <w:rFonts w:ascii="宋体" w:eastAsia="宋体" w:hAnsi="宋体" w:cs="宋体"/>
          <w:spacing w:val="5"/>
        </w:rPr>
        <w:t xml:space="preserve"> </w:t>
      </w:r>
      <w:r>
        <w:rPr>
          <w:rFonts w:ascii="宋体" w:eastAsia="宋体" w:hAnsi="宋体" w:cs="宋体"/>
          <w:spacing w:val="3"/>
        </w:rPr>
        <w:t>摄食的食物种类和数量选择需要进行强化的食品(载体)以及强化剂的种类和数</w:t>
      </w:r>
      <w:r>
        <w:rPr>
          <w:rFonts w:ascii="宋体" w:eastAsia="宋体" w:hAnsi="宋体" w:cs="宋体"/>
          <w:spacing w:val="2"/>
        </w:rPr>
        <w:t xml:space="preserve"> </w:t>
      </w:r>
      <w:r>
        <w:rPr>
          <w:rFonts w:ascii="宋体" w:eastAsia="宋体" w:hAnsi="宋体" w:cs="宋体"/>
          <w:spacing w:val="3"/>
        </w:rPr>
        <w:t>量。例如，日本居民多以大米为主食，其膳食中缺少</w:t>
      </w:r>
      <w:r>
        <w:rPr>
          <w:rFonts w:ascii="宋体" w:eastAsia="宋体" w:hAnsi="宋体" w:cs="宋体"/>
          <w:spacing w:val="2"/>
        </w:rPr>
        <w:t>维生素B</w:t>
      </w:r>
      <w:r>
        <w:rPr>
          <w:rFonts w:ascii="Calibri" w:eastAsia="Calibri" w:hAnsi="Calibri" w:cs="Calibri"/>
          <w:spacing w:val="2"/>
        </w:rPr>
        <w:t>₁</w:t>
      </w:r>
      <w:r>
        <w:rPr>
          <w:rFonts w:ascii="宋体" w:eastAsia="宋体" w:hAnsi="宋体" w:cs="宋体"/>
          <w:spacing w:val="2"/>
        </w:rPr>
        <w:t>,</w:t>
      </w:r>
      <w:r>
        <w:rPr>
          <w:rFonts w:ascii="宋体" w:eastAsia="宋体" w:hAnsi="宋体" w:cs="宋体"/>
          <w:spacing w:val="66"/>
        </w:rPr>
        <w:t xml:space="preserve"> </w:t>
      </w:r>
      <w:r>
        <w:rPr>
          <w:rFonts w:ascii="宋体" w:eastAsia="宋体" w:hAnsi="宋体" w:cs="宋体"/>
          <w:spacing w:val="2"/>
        </w:rPr>
        <w:t>他们根据其所</w:t>
      </w:r>
      <w:r>
        <w:rPr>
          <w:rFonts w:ascii="宋体" w:eastAsia="宋体" w:hAnsi="宋体" w:cs="宋体"/>
        </w:rPr>
        <w:t xml:space="preserve"> </w:t>
      </w:r>
      <w:r>
        <w:rPr>
          <w:rFonts w:ascii="宋体" w:eastAsia="宋体" w:hAnsi="宋体" w:cs="宋体"/>
          <w:spacing w:val="-3"/>
        </w:rPr>
        <w:t>缺少的数量在大米中增补。我国南方也多以大米为主食，而且由于生活水平的提</w:t>
      </w:r>
      <w:r>
        <w:rPr>
          <w:rFonts w:ascii="宋体" w:eastAsia="宋体" w:hAnsi="宋体" w:cs="宋体"/>
          <w:spacing w:val="2"/>
        </w:rPr>
        <w:t xml:space="preserve"> </w:t>
      </w:r>
      <w:r>
        <w:rPr>
          <w:rFonts w:ascii="宋体" w:eastAsia="宋体" w:hAnsi="宋体" w:cs="宋体"/>
          <w:spacing w:val="-3"/>
        </w:rPr>
        <w:t>高，人们多喜食精米，致使有的地区脚气病流行。这除了提倡食用标准米以防止</w:t>
      </w:r>
      <w:r>
        <w:rPr>
          <w:rFonts w:ascii="宋体" w:eastAsia="宋体" w:hAnsi="宋体" w:cs="宋体"/>
          <w:spacing w:val="3"/>
        </w:rPr>
        <w:t xml:space="preserve"> </w:t>
      </w:r>
      <w:r>
        <w:rPr>
          <w:rFonts w:ascii="宋体" w:eastAsia="宋体" w:hAnsi="宋体" w:cs="宋体"/>
          <w:spacing w:val="-2"/>
        </w:rPr>
        <w:t>脚气病外，在有条件的地方也可考虑对精米进行适当的维生素B</w:t>
      </w:r>
      <w:r>
        <w:rPr>
          <w:rFonts w:ascii="Calibri" w:eastAsia="Calibri" w:hAnsi="Calibri" w:cs="Calibri"/>
          <w:spacing w:val="-2"/>
        </w:rPr>
        <w:t>₁</w:t>
      </w:r>
      <w:r>
        <w:rPr>
          <w:rFonts w:ascii="Calibri" w:eastAsia="Calibri" w:hAnsi="Calibri" w:cs="Calibri"/>
          <w:spacing w:val="16"/>
        </w:rPr>
        <w:t xml:space="preserve">  </w:t>
      </w:r>
      <w:r>
        <w:rPr>
          <w:rFonts w:ascii="宋体" w:eastAsia="宋体" w:hAnsi="宋体" w:cs="宋体"/>
          <w:spacing w:val="-2"/>
        </w:rPr>
        <w:t>强化。</w:t>
      </w:r>
    </w:p>
    <w:p w:rsidR="00EA40A3" w:rsidRDefault="00E86C16">
      <w:pPr>
        <w:spacing w:before="92" w:line="246" w:lineRule="auto"/>
        <w:ind w:right="72" w:firstLine="409"/>
        <w:rPr>
          <w:rFonts w:ascii="宋体" w:eastAsia="宋体" w:hAnsi="宋体" w:cs="宋体"/>
        </w:rPr>
      </w:pPr>
      <w:r>
        <w:rPr>
          <w:rFonts w:ascii="宋体" w:eastAsia="宋体" w:hAnsi="宋体" w:cs="宋体"/>
          <w:spacing w:val="-3"/>
        </w:rPr>
        <w:t>对于地区性营养缺乏症和职业病等患者的食品强化更应仔细调查，针对所需</w:t>
      </w:r>
      <w:r>
        <w:rPr>
          <w:rFonts w:ascii="宋体" w:eastAsia="宋体" w:hAnsi="宋体" w:cs="宋体"/>
          <w:spacing w:val="10"/>
        </w:rPr>
        <w:t xml:space="preserve"> </w:t>
      </w:r>
      <w:r>
        <w:rPr>
          <w:rFonts w:ascii="宋体" w:eastAsia="宋体" w:hAnsi="宋体" w:cs="宋体"/>
          <w:spacing w:val="-6"/>
        </w:rPr>
        <w:t>的营养素选择好适当的载体进行强化。</w:t>
      </w:r>
    </w:p>
    <w:p w:rsidR="00EA40A3" w:rsidRDefault="00E86C16">
      <w:pPr>
        <w:spacing w:before="50" w:line="250" w:lineRule="auto"/>
        <w:ind w:right="52" w:firstLine="409"/>
        <w:rPr>
          <w:rFonts w:ascii="宋体" w:eastAsia="宋体" w:hAnsi="宋体" w:cs="宋体"/>
        </w:rPr>
      </w:pPr>
      <w:r>
        <w:rPr>
          <w:rFonts w:ascii="宋体" w:eastAsia="宋体" w:hAnsi="宋体" w:cs="宋体"/>
          <w:spacing w:val="-2"/>
        </w:rPr>
        <w:t>有一个缺乏针对性进行食品营养强化的典型例子，即美国在</w:t>
      </w:r>
      <w:r>
        <w:rPr>
          <w:rFonts w:ascii="宋体" w:eastAsia="宋体" w:hAnsi="宋体" w:cs="宋体"/>
          <w:spacing w:val="-3"/>
        </w:rPr>
        <w:t>早先年曾花费了</w:t>
      </w:r>
      <w:r>
        <w:rPr>
          <w:rFonts w:ascii="宋体" w:eastAsia="宋体" w:hAnsi="宋体" w:cs="宋体"/>
        </w:rPr>
        <w:t xml:space="preserve"> </w:t>
      </w:r>
      <w:r>
        <w:rPr>
          <w:rFonts w:ascii="宋体" w:eastAsia="宋体" w:hAnsi="宋体" w:cs="宋体"/>
          <w:spacing w:val="-2"/>
        </w:rPr>
        <w:t>大量人力和物力对面包进行赖氨酸强化的研究，动物试验和人</w:t>
      </w:r>
      <w:r>
        <w:rPr>
          <w:rFonts w:ascii="宋体" w:eastAsia="宋体" w:hAnsi="宋体" w:cs="宋体"/>
          <w:spacing w:val="-3"/>
        </w:rPr>
        <w:t>体研究的很多数据</w:t>
      </w:r>
    </w:p>
    <w:p w:rsidR="00EA40A3" w:rsidRDefault="00E86C16">
      <w:pPr>
        <w:spacing w:before="48"/>
        <w:ind w:left="159"/>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258</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1054" w:bottom="400" w:left="840"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68" w:line="259" w:lineRule="auto"/>
        <w:ind w:right="63"/>
        <w:jc w:val="both"/>
        <w:rPr>
          <w:rFonts w:ascii="宋体" w:eastAsia="宋体" w:hAnsi="宋体" w:cs="宋体"/>
        </w:rPr>
      </w:pPr>
      <w:r>
        <w:rPr>
          <w:rFonts w:ascii="宋体" w:eastAsia="宋体" w:hAnsi="宋体" w:cs="宋体"/>
          <w:spacing w:val="-3"/>
        </w:rPr>
        <w:t>表明，用赖氨酸强化的面包可大大提高小麦蛋白质的生物价。但是，这对一个已</w:t>
      </w:r>
      <w:r>
        <w:rPr>
          <w:rFonts w:ascii="宋体" w:eastAsia="宋体" w:hAnsi="宋体" w:cs="宋体"/>
          <w:spacing w:val="7"/>
        </w:rPr>
        <w:t xml:space="preserve"> </w:t>
      </w:r>
      <w:r>
        <w:rPr>
          <w:rFonts w:ascii="宋体" w:eastAsia="宋体" w:hAnsi="宋体" w:cs="宋体"/>
          <w:spacing w:val="-4"/>
        </w:rPr>
        <w:t>经能够供给大量优质蛋白质的国家，而且人们的膳食中并不缺乏赖氨酸的情况来</w:t>
      </w:r>
      <w:r>
        <w:rPr>
          <w:rFonts w:ascii="宋体" w:eastAsia="宋体" w:hAnsi="宋体" w:cs="宋体"/>
          <w:spacing w:val="17"/>
        </w:rPr>
        <w:t xml:space="preserve"> </w:t>
      </w:r>
      <w:r>
        <w:rPr>
          <w:rFonts w:ascii="宋体" w:eastAsia="宋体" w:hAnsi="宋体" w:cs="宋体"/>
          <w:spacing w:val="-2"/>
        </w:rPr>
        <w:t>说，这种强化就大可不必了。不过这一研究对其他国家和地区，尤其是发展中国</w:t>
      </w:r>
      <w:r>
        <w:rPr>
          <w:rFonts w:ascii="宋体" w:eastAsia="宋体" w:hAnsi="宋体" w:cs="宋体"/>
        </w:rPr>
        <w:t xml:space="preserve"> </w:t>
      </w:r>
      <w:r>
        <w:rPr>
          <w:rFonts w:ascii="宋体" w:eastAsia="宋体" w:hAnsi="宋体" w:cs="宋体"/>
          <w:spacing w:val="-9"/>
        </w:rPr>
        <w:t>家颇有参考价值。</w:t>
      </w:r>
    </w:p>
    <w:p w:rsidR="00EA40A3" w:rsidRDefault="00E86C16">
      <w:pPr>
        <w:spacing w:before="199" w:line="221" w:lineRule="auto"/>
        <w:ind w:left="3"/>
        <w:outlineLvl w:val="6"/>
        <w:rPr>
          <w:rFonts w:ascii="黑体" w:eastAsia="黑体" w:hAnsi="黑体" w:cs="黑体"/>
          <w:sz w:val="24"/>
          <w:szCs w:val="24"/>
        </w:rPr>
      </w:pPr>
      <w:r>
        <w:rPr>
          <w:rFonts w:ascii="黑体" w:eastAsia="黑体" w:hAnsi="黑体" w:cs="黑体"/>
          <w:b/>
          <w:bCs/>
          <w:spacing w:val="-4"/>
          <w:sz w:val="24"/>
          <w:szCs w:val="24"/>
        </w:rPr>
        <w:t>8.2.2</w:t>
      </w:r>
      <w:r>
        <w:rPr>
          <w:rFonts w:ascii="黑体" w:eastAsia="黑体" w:hAnsi="黑体" w:cs="黑体"/>
          <w:spacing w:val="9"/>
          <w:sz w:val="24"/>
          <w:szCs w:val="24"/>
        </w:rPr>
        <w:t xml:space="preserve">  </w:t>
      </w:r>
      <w:r>
        <w:rPr>
          <w:rFonts w:ascii="黑体" w:eastAsia="黑体" w:hAnsi="黑体" w:cs="黑体"/>
          <w:b/>
          <w:bCs/>
          <w:spacing w:val="-4"/>
          <w:sz w:val="24"/>
          <w:szCs w:val="24"/>
        </w:rPr>
        <w:t>符合营养学原理</w:t>
      </w:r>
    </w:p>
    <w:p w:rsidR="00EA40A3" w:rsidRDefault="00E86C16">
      <w:pPr>
        <w:spacing w:before="190" w:line="257" w:lineRule="auto"/>
        <w:ind w:right="5" w:firstLine="520"/>
        <w:rPr>
          <w:rFonts w:ascii="宋体" w:eastAsia="宋体" w:hAnsi="宋体" w:cs="宋体"/>
        </w:rPr>
      </w:pPr>
      <w:r>
        <w:rPr>
          <w:rFonts w:ascii="宋体" w:eastAsia="宋体" w:hAnsi="宋体" w:cs="宋体"/>
          <w:spacing w:val="-3"/>
        </w:rPr>
        <w:t>人体所需各种营养素在数量之间有一定的比例关</w:t>
      </w:r>
      <w:r>
        <w:rPr>
          <w:rFonts w:ascii="宋体" w:eastAsia="宋体" w:hAnsi="宋体" w:cs="宋体"/>
          <w:spacing w:val="-4"/>
        </w:rPr>
        <w:t>系。因此，所强化的营养素</w:t>
      </w:r>
      <w:r>
        <w:rPr>
          <w:rFonts w:ascii="宋体" w:eastAsia="宋体" w:hAnsi="宋体" w:cs="宋体"/>
        </w:rPr>
        <w:t xml:space="preserve"> </w:t>
      </w:r>
      <w:r>
        <w:rPr>
          <w:rFonts w:ascii="宋体" w:eastAsia="宋体" w:hAnsi="宋体" w:cs="宋体"/>
          <w:spacing w:val="-3"/>
        </w:rPr>
        <w:t>除了考虑其生物利用率之外，还应注意保持各营养素之间的平衡。食品营养强化</w:t>
      </w:r>
      <w:r>
        <w:rPr>
          <w:rFonts w:ascii="宋体" w:eastAsia="宋体" w:hAnsi="宋体" w:cs="宋体"/>
          <w:spacing w:val="1"/>
        </w:rPr>
        <w:t xml:space="preserve">  </w:t>
      </w:r>
      <w:r>
        <w:rPr>
          <w:rFonts w:ascii="宋体" w:eastAsia="宋体" w:hAnsi="宋体" w:cs="宋体"/>
          <w:spacing w:val="-3"/>
        </w:rPr>
        <w:t>的主要目的是改善天然食物存在的营养素不平衡关系，亦即通过加入其所缺少的</w:t>
      </w:r>
      <w:r>
        <w:rPr>
          <w:rFonts w:ascii="宋体" w:eastAsia="宋体" w:hAnsi="宋体" w:cs="宋体"/>
          <w:spacing w:val="10"/>
        </w:rPr>
        <w:t xml:space="preserve"> </w:t>
      </w:r>
      <w:r>
        <w:rPr>
          <w:rFonts w:ascii="宋体" w:eastAsia="宋体" w:hAnsi="宋体" w:cs="宋体"/>
          <w:spacing w:val="-2"/>
        </w:rPr>
        <w:t>营养素，使之达到平衡，适应人体需要。强化的剂量</w:t>
      </w:r>
      <w:r>
        <w:rPr>
          <w:rFonts w:ascii="宋体" w:eastAsia="宋体" w:hAnsi="宋体" w:cs="宋体"/>
          <w:spacing w:val="-3"/>
        </w:rPr>
        <w:t>应适当，如果不当，不但无</w:t>
      </w:r>
      <w:r>
        <w:rPr>
          <w:rFonts w:ascii="宋体" w:eastAsia="宋体" w:hAnsi="宋体" w:cs="宋体"/>
        </w:rPr>
        <w:t xml:space="preserve"> </w:t>
      </w:r>
      <w:r>
        <w:rPr>
          <w:rFonts w:ascii="宋体" w:eastAsia="宋体" w:hAnsi="宋体" w:cs="宋体"/>
          <w:spacing w:val="3"/>
        </w:rPr>
        <w:t>益，甚至反而会造成某些新的不平衡，产生某些不良影响。这些平衡关系大致</w:t>
      </w:r>
      <w:r>
        <w:rPr>
          <w:rFonts w:ascii="宋体" w:eastAsia="宋体" w:hAnsi="宋体" w:cs="宋体"/>
          <w:spacing w:val="2"/>
        </w:rPr>
        <w:t xml:space="preserve">  有：必需氨基酸之间的平衡、生热营养素之间的平衡，维生素</w:t>
      </w:r>
      <w:r>
        <w:rPr>
          <w:rFonts w:ascii="宋体" w:eastAsia="宋体" w:hAnsi="宋体" w:cs="宋体"/>
          <w:spacing w:val="-55"/>
        </w:rPr>
        <w:t xml:space="preserve"> </w:t>
      </w:r>
      <w:r>
        <w:rPr>
          <w:rFonts w:ascii="宋体" w:eastAsia="宋体" w:hAnsi="宋体" w:cs="宋体"/>
          <w:spacing w:val="2"/>
        </w:rPr>
        <w:t>B</w:t>
      </w:r>
      <w:r>
        <w:rPr>
          <w:rFonts w:ascii="Calibri" w:eastAsia="Calibri" w:hAnsi="Calibri" w:cs="Calibri"/>
          <w:spacing w:val="1"/>
        </w:rPr>
        <w:t>₁</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spacing w:val="-38"/>
        </w:rPr>
        <w:t xml:space="preserve"> </w:t>
      </w:r>
      <w:r>
        <w:rPr>
          <w:rFonts w:ascii="宋体" w:eastAsia="宋体" w:hAnsi="宋体" w:cs="宋体"/>
          <w:spacing w:val="1"/>
        </w:rPr>
        <w:t>维生素</w:t>
      </w:r>
      <w:r>
        <w:rPr>
          <w:rFonts w:ascii="宋体" w:eastAsia="宋体" w:hAnsi="宋体" w:cs="宋体"/>
          <w:spacing w:val="-45"/>
        </w:rPr>
        <w:t xml:space="preserve"> </w:t>
      </w:r>
      <w:r>
        <w:rPr>
          <w:rFonts w:ascii="宋体" w:eastAsia="宋体" w:hAnsi="宋体" w:cs="宋体"/>
          <w:spacing w:val="1"/>
        </w:rPr>
        <w:t>B</w:t>
      </w:r>
      <w:r>
        <w:rPr>
          <w:rFonts w:ascii="Calibri" w:eastAsia="Calibri" w:hAnsi="Calibri" w:cs="Calibri"/>
          <w:spacing w:val="1"/>
        </w:rPr>
        <w:t>₂</w:t>
      </w:r>
      <w:r>
        <w:rPr>
          <w:rFonts w:ascii="Calibri" w:eastAsia="Calibri" w:hAnsi="Calibri" w:cs="Calibri"/>
          <w:spacing w:val="-25"/>
        </w:rPr>
        <w:t xml:space="preserve"> </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5"/>
        </w:rPr>
        <w:t>烟酸与能量之间的平衡，以及钙、磷平衡等。</w:t>
      </w:r>
    </w:p>
    <w:p w:rsidR="00EA40A3" w:rsidRDefault="00E86C16">
      <w:pPr>
        <w:spacing w:before="226" w:line="222" w:lineRule="auto"/>
        <w:ind w:left="3"/>
        <w:outlineLvl w:val="6"/>
        <w:rPr>
          <w:rFonts w:ascii="黑体" w:eastAsia="黑体" w:hAnsi="黑体" w:cs="黑体"/>
          <w:sz w:val="24"/>
          <w:szCs w:val="24"/>
        </w:rPr>
      </w:pPr>
      <w:r>
        <w:rPr>
          <w:rFonts w:ascii="黑体" w:eastAsia="黑体" w:hAnsi="黑体" w:cs="黑体"/>
          <w:b/>
          <w:bCs/>
          <w:spacing w:val="-4"/>
          <w:sz w:val="24"/>
          <w:szCs w:val="24"/>
        </w:rPr>
        <w:t>8.2.3</w:t>
      </w:r>
      <w:r>
        <w:rPr>
          <w:rFonts w:ascii="黑体" w:eastAsia="黑体" w:hAnsi="黑体" w:cs="黑体"/>
          <w:spacing w:val="11"/>
          <w:sz w:val="24"/>
          <w:szCs w:val="24"/>
        </w:rPr>
        <w:t xml:space="preserve">  </w:t>
      </w:r>
      <w:r>
        <w:rPr>
          <w:rFonts w:ascii="黑体" w:eastAsia="黑体" w:hAnsi="黑体" w:cs="黑体"/>
          <w:b/>
          <w:bCs/>
          <w:spacing w:val="-4"/>
          <w:sz w:val="24"/>
          <w:szCs w:val="24"/>
        </w:rPr>
        <w:t>符合国家的卫生标准</w:t>
      </w:r>
    </w:p>
    <w:p w:rsidR="00EA40A3" w:rsidRDefault="00E86C16">
      <w:pPr>
        <w:spacing w:before="194" w:line="245" w:lineRule="auto"/>
        <w:ind w:right="69" w:firstLine="479"/>
        <w:rPr>
          <w:rFonts w:ascii="宋体" w:eastAsia="宋体" w:hAnsi="宋体" w:cs="宋体"/>
        </w:rPr>
      </w:pPr>
      <w:r>
        <w:rPr>
          <w:rFonts w:ascii="宋体" w:eastAsia="宋体" w:hAnsi="宋体" w:cs="宋体"/>
          <w:spacing w:val="-4"/>
        </w:rPr>
        <w:t>食品营养强化剂的卫生和质量应符合国家标准，也应严格进行卫生管</w:t>
      </w:r>
      <w:r>
        <w:rPr>
          <w:rFonts w:ascii="宋体" w:eastAsia="宋体" w:hAnsi="宋体" w:cs="宋体"/>
          <w:spacing w:val="-5"/>
        </w:rPr>
        <w:t>理，切</w:t>
      </w:r>
      <w:r>
        <w:rPr>
          <w:rFonts w:ascii="宋体" w:eastAsia="宋体" w:hAnsi="宋体" w:cs="宋体"/>
        </w:rPr>
        <w:t xml:space="preserve"> </w:t>
      </w:r>
      <w:r>
        <w:rPr>
          <w:rFonts w:ascii="宋体" w:eastAsia="宋体" w:hAnsi="宋体" w:cs="宋体"/>
          <w:spacing w:val="-3"/>
        </w:rPr>
        <w:t>忌滥用。特别是对于那些人工合成的化合物更应通过一定的卫生评价</w:t>
      </w:r>
      <w:r>
        <w:rPr>
          <w:rFonts w:ascii="宋体" w:eastAsia="宋体" w:hAnsi="宋体" w:cs="宋体"/>
          <w:spacing w:val="-4"/>
        </w:rPr>
        <w:t>方可使用。</w:t>
      </w:r>
    </w:p>
    <w:p w:rsidR="00EA40A3" w:rsidRDefault="00E86C16">
      <w:pPr>
        <w:spacing w:before="65" w:line="259" w:lineRule="auto"/>
        <w:ind w:right="23" w:firstLine="509"/>
        <w:rPr>
          <w:rFonts w:ascii="宋体" w:eastAsia="宋体" w:hAnsi="宋体" w:cs="宋体"/>
        </w:rPr>
      </w:pPr>
      <w:r>
        <w:rPr>
          <w:rFonts w:ascii="宋体" w:eastAsia="宋体" w:hAnsi="宋体" w:cs="宋体"/>
          <w:spacing w:val="-4"/>
        </w:rPr>
        <w:t>人们在食品中经常使用的营养强化剂约十余种。其强化剂量各国多根据本国</w:t>
      </w:r>
      <w:r>
        <w:rPr>
          <w:rFonts w:ascii="宋体" w:eastAsia="宋体" w:hAnsi="宋体" w:cs="宋体"/>
          <w:spacing w:val="12"/>
        </w:rPr>
        <w:t xml:space="preserve"> </w:t>
      </w:r>
      <w:r>
        <w:rPr>
          <w:rFonts w:ascii="宋体" w:eastAsia="宋体" w:hAnsi="宋体" w:cs="宋体"/>
          <w:spacing w:val="3"/>
        </w:rPr>
        <w:t>人民摄食情况以及每日膳食中营养素供给量标准确定。由于营养素为人体所必</w:t>
      </w:r>
      <w:r>
        <w:rPr>
          <w:rFonts w:ascii="宋体" w:eastAsia="宋体" w:hAnsi="宋体" w:cs="宋体"/>
          <w:spacing w:val="14"/>
        </w:rPr>
        <w:t xml:space="preserve"> </w:t>
      </w:r>
      <w:r>
        <w:rPr>
          <w:rFonts w:ascii="宋体" w:eastAsia="宋体" w:hAnsi="宋体" w:cs="宋体"/>
          <w:spacing w:val="3"/>
        </w:rPr>
        <w:t>需，往往易于注意到其不足或缺乏的危害，而忽视过多时对机体产生的不良作</w:t>
      </w:r>
      <w:r>
        <w:rPr>
          <w:rFonts w:ascii="宋体" w:eastAsia="宋体" w:hAnsi="宋体" w:cs="宋体"/>
          <w:spacing w:val="10"/>
        </w:rPr>
        <w:t xml:space="preserve"> </w:t>
      </w:r>
      <w:r>
        <w:rPr>
          <w:rFonts w:ascii="宋体" w:eastAsia="宋体" w:hAnsi="宋体" w:cs="宋体"/>
          <w:spacing w:val="-3"/>
        </w:rPr>
        <w:t>用。如水溶性维生素因易溶于水，且有一定的肾阀，过多的量可随尿排出，难以</w:t>
      </w:r>
      <w:r>
        <w:rPr>
          <w:rFonts w:ascii="宋体" w:eastAsia="宋体" w:hAnsi="宋体" w:cs="宋体"/>
          <w:spacing w:val="12"/>
        </w:rPr>
        <w:t xml:space="preserve"> </w:t>
      </w:r>
      <w:r>
        <w:rPr>
          <w:rFonts w:ascii="宋体" w:eastAsia="宋体" w:hAnsi="宋体" w:cs="宋体"/>
          <w:spacing w:val="-3"/>
        </w:rPr>
        <w:t>在组织中大量积累。但是，脂溶性维生素则不同，它们可在体内积累，若用量过</w:t>
      </w:r>
      <w:r>
        <w:rPr>
          <w:rFonts w:ascii="宋体" w:eastAsia="宋体" w:hAnsi="宋体" w:cs="宋体"/>
          <w:spacing w:val="2"/>
        </w:rPr>
        <w:t xml:space="preserve"> </w:t>
      </w:r>
      <w:r>
        <w:rPr>
          <w:rFonts w:ascii="宋体" w:eastAsia="宋体" w:hAnsi="宋体" w:cs="宋体"/>
          <w:spacing w:val="-3"/>
        </w:rPr>
        <w:t>大则可使机体发生中毒性反应。生理剂量为健康人所需剂量或者用于预防缺乏症</w:t>
      </w:r>
      <w:r>
        <w:rPr>
          <w:rFonts w:ascii="宋体" w:eastAsia="宋体" w:hAnsi="宋体" w:cs="宋体"/>
          <w:spacing w:val="4"/>
        </w:rPr>
        <w:t xml:space="preserve"> </w:t>
      </w:r>
      <w:r>
        <w:rPr>
          <w:rFonts w:ascii="宋体" w:eastAsia="宋体" w:hAnsi="宋体" w:cs="宋体"/>
          <w:spacing w:val="-1"/>
        </w:rPr>
        <w:t>的剂量；药理剂量则是用于治疗缺乏症的剂量，</w:t>
      </w:r>
      <w:r>
        <w:rPr>
          <w:rFonts w:ascii="宋体" w:eastAsia="宋体" w:hAnsi="宋体" w:cs="宋体"/>
          <w:spacing w:val="62"/>
        </w:rPr>
        <w:t xml:space="preserve"> </w:t>
      </w:r>
      <w:r>
        <w:rPr>
          <w:rFonts w:ascii="宋体" w:eastAsia="宋体" w:hAnsi="宋体" w:cs="宋体"/>
          <w:spacing w:val="-1"/>
        </w:rPr>
        <w:t>一般约为</w:t>
      </w:r>
      <w:r>
        <w:rPr>
          <w:rFonts w:ascii="宋体" w:eastAsia="宋体" w:hAnsi="宋体" w:cs="宋体"/>
          <w:spacing w:val="-2"/>
        </w:rPr>
        <w:t>生理剂量的10倍，中</w:t>
      </w:r>
      <w:r>
        <w:rPr>
          <w:rFonts w:ascii="宋体" w:eastAsia="宋体" w:hAnsi="宋体" w:cs="宋体"/>
        </w:rPr>
        <w:t xml:space="preserve"> 毒剂量则是可引起不良反应或中毒症状的剂量，它通常为生</w:t>
      </w:r>
      <w:r>
        <w:rPr>
          <w:rFonts w:ascii="宋体" w:eastAsia="宋体" w:hAnsi="宋体" w:cs="宋体"/>
          <w:spacing w:val="-1"/>
        </w:rPr>
        <w:t>理剂量的100倍。但</w:t>
      </w:r>
      <w:r>
        <w:rPr>
          <w:rFonts w:ascii="宋体" w:eastAsia="宋体" w:hAnsi="宋体" w:cs="宋体"/>
        </w:rPr>
        <w:t xml:space="preserve">  </w:t>
      </w:r>
      <w:r>
        <w:rPr>
          <w:rFonts w:ascii="宋体" w:eastAsia="宋体" w:hAnsi="宋体" w:cs="宋体"/>
          <w:spacing w:val="4"/>
        </w:rPr>
        <w:t>是，像儿童引起血钙过高时维生素</w:t>
      </w:r>
      <w:r>
        <w:rPr>
          <w:rFonts w:ascii="宋体" w:eastAsia="宋体" w:hAnsi="宋体" w:cs="宋体"/>
          <w:spacing w:val="-43"/>
        </w:rPr>
        <w:t xml:space="preserve"> </w:t>
      </w:r>
      <w:r>
        <w:rPr>
          <w:rFonts w:ascii="宋体" w:eastAsia="宋体" w:hAnsi="宋体" w:cs="宋体"/>
          <w:spacing w:val="4"/>
        </w:rPr>
        <w:t>D</w:t>
      </w:r>
      <w:r>
        <w:rPr>
          <w:rFonts w:ascii="宋体" w:eastAsia="宋体" w:hAnsi="宋体" w:cs="宋体"/>
          <w:spacing w:val="14"/>
        </w:rPr>
        <w:t xml:space="preserve"> </w:t>
      </w:r>
      <w:r>
        <w:rPr>
          <w:rFonts w:ascii="宋体" w:eastAsia="宋体" w:hAnsi="宋体" w:cs="宋体"/>
          <w:spacing w:val="4"/>
        </w:rPr>
        <w:t>的剂量仅比生理剂量高约3倍。因此，对</w:t>
      </w:r>
      <w:r>
        <w:rPr>
          <w:rFonts w:ascii="宋体" w:eastAsia="宋体" w:hAnsi="宋体" w:cs="宋体"/>
        </w:rPr>
        <w:t xml:space="preserve"> </w:t>
      </w:r>
      <w:r>
        <w:rPr>
          <w:rFonts w:ascii="宋体" w:eastAsia="宋体" w:hAnsi="宋体" w:cs="宋体"/>
          <w:spacing w:val="-5"/>
        </w:rPr>
        <w:t>强化剂使用剂量的制定应参照营养素参考摄入量和最高摄入量。</w:t>
      </w:r>
    </w:p>
    <w:p w:rsidR="00EA40A3" w:rsidRDefault="00E86C16">
      <w:pPr>
        <w:spacing w:before="239" w:line="222" w:lineRule="auto"/>
        <w:ind w:left="3"/>
        <w:outlineLvl w:val="6"/>
        <w:rPr>
          <w:rFonts w:ascii="黑体" w:eastAsia="黑体" w:hAnsi="黑体" w:cs="黑体"/>
          <w:sz w:val="24"/>
          <w:szCs w:val="24"/>
        </w:rPr>
      </w:pPr>
      <w:r>
        <w:rPr>
          <w:rFonts w:ascii="黑体" w:eastAsia="黑体" w:hAnsi="黑体" w:cs="黑体"/>
          <w:b/>
          <w:bCs/>
          <w:spacing w:val="-4"/>
          <w:sz w:val="24"/>
          <w:szCs w:val="24"/>
        </w:rPr>
        <w:t>8.2.4</w:t>
      </w:r>
      <w:r>
        <w:rPr>
          <w:rFonts w:ascii="黑体" w:eastAsia="黑体" w:hAnsi="黑体" w:cs="黑体"/>
          <w:spacing w:val="8"/>
          <w:sz w:val="24"/>
          <w:szCs w:val="24"/>
        </w:rPr>
        <w:t xml:space="preserve">  </w:t>
      </w:r>
      <w:r>
        <w:rPr>
          <w:rFonts w:ascii="黑体" w:eastAsia="黑体" w:hAnsi="黑体" w:cs="黑体"/>
          <w:b/>
          <w:bCs/>
          <w:spacing w:val="-4"/>
          <w:sz w:val="24"/>
          <w:szCs w:val="24"/>
        </w:rPr>
        <w:t>易被机体吸收利用</w:t>
      </w:r>
    </w:p>
    <w:p w:rsidR="00EA40A3" w:rsidRDefault="00E86C16">
      <w:pPr>
        <w:spacing w:before="203" w:line="256" w:lineRule="auto"/>
        <w:ind w:firstLine="459"/>
        <w:jc w:val="both"/>
        <w:rPr>
          <w:rFonts w:ascii="宋体" w:eastAsia="宋体" w:hAnsi="宋体" w:cs="宋体"/>
        </w:rPr>
      </w:pPr>
      <w:r>
        <w:rPr>
          <w:rFonts w:ascii="宋体" w:eastAsia="宋体" w:hAnsi="宋体" w:cs="宋体"/>
          <w:spacing w:val="-3"/>
        </w:rPr>
        <w:t>食品强化用的营养素应尽量选取那些易于吸收、利用的强化剂。例如可作为</w:t>
      </w:r>
      <w:r>
        <w:rPr>
          <w:rFonts w:ascii="宋体" w:eastAsia="宋体" w:hAnsi="宋体" w:cs="宋体"/>
          <w:spacing w:val="18"/>
        </w:rPr>
        <w:t xml:space="preserve"> </w:t>
      </w:r>
      <w:r>
        <w:rPr>
          <w:rFonts w:ascii="宋体" w:eastAsia="宋体" w:hAnsi="宋体" w:cs="宋体"/>
          <w:spacing w:val="-2"/>
        </w:rPr>
        <w:t>钙强化用的强化剂很多，有氯化钙、碳酸钙、硫酸钙、磷</w:t>
      </w:r>
      <w:r>
        <w:rPr>
          <w:rFonts w:ascii="宋体" w:eastAsia="宋体" w:hAnsi="宋体" w:cs="宋体"/>
          <w:spacing w:val="-3"/>
        </w:rPr>
        <w:t>酸钙、磷酸二氢钙、柠</w:t>
      </w:r>
      <w:r>
        <w:rPr>
          <w:rFonts w:ascii="宋体" w:eastAsia="宋体" w:hAnsi="宋体" w:cs="宋体"/>
        </w:rPr>
        <w:t xml:space="preserve"> </w:t>
      </w:r>
      <w:r>
        <w:rPr>
          <w:rFonts w:ascii="宋体" w:eastAsia="宋体" w:hAnsi="宋体" w:cs="宋体"/>
          <w:spacing w:val="-2"/>
        </w:rPr>
        <w:t>檬酸钙、葡萄糖酸钙和乳酸钙等，其中人体对乳酸钙的吸收最</w:t>
      </w:r>
      <w:r>
        <w:rPr>
          <w:rFonts w:ascii="宋体" w:eastAsia="宋体" w:hAnsi="宋体" w:cs="宋体"/>
          <w:spacing w:val="-3"/>
        </w:rPr>
        <w:t>好。在强化时，尽</w:t>
      </w:r>
      <w:r>
        <w:rPr>
          <w:rFonts w:ascii="宋体" w:eastAsia="宋体" w:hAnsi="宋体" w:cs="宋体"/>
        </w:rPr>
        <w:t xml:space="preserve"> </w:t>
      </w:r>
      <w:r>
        <w:rPr>
          <w:rFonts w:ascii="宋体" w:eastAsia="宋体" w:hAnsi="宋体" w:cs="宋体"/>
          <w:spacing w:val="-3"/>
        </w:rPr>
        <w:t>量避免使用那些难溶、也难吸收的物质，如植酸钙、草酸钙等。钙强化剂的颗粒</w:t>
      </w:r>
      <w:r>
        <w:rPr>
          <w:rFonts w:ascii="宋体" w:eastAsia="宋体" w:hAnsi="宋体" w:cs="宋体"/>
        </w:rPr>
        <w:t xml:space="preserve">  </w:t>
      </w:r>
      <w:r>
        <w:rPr>
          <w:rFonts w:ascii="宋体" w:eastAsia="宋体" w:hAnsi="宋体" w:cs="宋体"/>
          <w:spacing w:val="21"/>
        </w:rPr>
        <w:t>大小与机体的吸收、利用性能密切有关。胶体碳酸钙颗粒小(粒径0.03~</w:t>
      </w:r>
      <w:r>
        <w:rPr>
          <w:rFonts w:ascii="宋体" w:eastAsia="宋体" w:hAnsi="宋体" w:cs="宋体"/>
          <w:spacing w:val="7"/>
        </w:rPr>
        <w:t xml:space="preserve">  </w:t>
      </w:r>
      <w:r>
        <w:rPr>
          <w:rFonts w:ascii="宋体" w:eastAsia="宋体" w:hAnsi="宋体" w:cs="宋体"/>
          <w:spacing w:val="-2"/>
        </w:rPr>
        <w:t>0.05μm),</w:t>
      </w:r>
      <w:r>
        <w:rPr>
          <w:rFonts w:ascii="宋体" w:eastAsia="宋体" w:hAnsi="宋体" w:cs="宋体"/>
          <w:spacing w:val="-25"/>
        </w:rPr>
        <w:t xml:space="preserve"> </w:t>
      </w:r>
      <w:r>
        <w:rPr>
          <w:rFonts w:ascii="宋体" w:eastAsia="宋体" w:hAnsi="宋体" w:cs="宋体"/>
          <w:spacing w:val="-2"/>
        </w:rPr>
        <w:t>可与水组成均匀的乳浊液，其吸收利用比轻质碳酸钙(粒径5μm)</w:t>
      </w:r>
      <w:r>
        <w:rPr>
          <w:rFonts w:ascii="宋体" w:eastAsia="宋体" w:hAnsi="宋体" w:cs="宋体"/>
          <w:spacing w:val="11"/>
        </w:rPr>
        <w:t xml:space="preserve">  </w:t>
      </w:r>
      <w:r>
        <w:rPr>
          <w:rFonts w:ascii="宋体" w:eastAsia="宋体" w:hAnsi="宋体" w:cs="宋体"/>
          <w:spacing w:val="-2"/>
        </w:rPr>
        <w:t>和</w:t>
      </w:r>
      <w:r>
        <w:rPr>
          <w:rFonts w:ascii="宋体" w:eastAsia="宋体" w:hAnsi="宋体" w:cs="宋体"/>
        </w:rPr>
        <w:t xml:space="preserve"> </w:t>
      </w:r>
      <w:r>
        <w:rPr>
          <w:rFonts w:ascii="宋体" w:eastAsia="宋体" w:hAnsi="宋体" w:cs="宋体"/>
          <w:spacing w:val="7"/>
        </w:rPr>
        <w:t>重质碳酸钙(粒径30～50</w:t>
      </w:r>
      <w:r>
        <w:rPr>
          <w:rFonts w:ascii="宋体" w:eastAsia="宋体" w:hAnsi="宋体" w:cs="宋体"/>
        </w:rPr>
        <w:t>gm</w:t>
      </w:r>
      <w:r>
        <w:rPr>
          <w:rFonts w:ascii="宋体" w:eastAsia="宋体" w:hAnsi="宋体" w:cs="宋体"/>
          <w:spacing w:val="7"/>
        </w:rPr>
        <w:t>)</w:t>
      </w:r>
      <w:r>
        <w:rPr>
          <w:rFonts w:ascii="宋体" w:eastAsia="宋体" w:hAnsi="宋体" w:cs="宋体"/>
          <w:spacing w:val="71"/>
        </w:rPr>
        <w:t xml:space="preserve"> </w:t>
      </w:r>
      <w:r>
        <w:rPr>
          <w:rFonts w:ascii="宋体" w:eastAsia="宋体" w:hAnsi="宋体" w:cs="宋体"/>
          <w:spacing w:val="7"/>
        </w:rPr>
        <w:t>好。另外，在强化某些矿物质和</w:t>
      </w:r>
      <w:r>
        <w:rPr>
          <w:rFonts w:ascii="宋体" w:eastAsia="宋体" w:hAnsi="宋体" w:cs="宋体"/>
          <w:spacing w:val="6"/>
        </w:rPr>
        <w:t>维生素的同时，</w:t>
      </w:r>
    </w:p>
    <w:p w:rsidR="00EA40A3" w:rsidRDefault="00EA40A3">
      <w:pPr>
        <w:sectPr w:rsidR="00EA40A3">
          <w:footerReference w:type="default" r:id="rId216"/>
          <w:pgSz w:w="9220" w:h="13360"/>
          <w:pgMar w:top="400" w:right="965" w:bottom="1224" w:left="910" w:header="0" w:footer="991" w:gutter="0"/>
          <w:cols w:space="720"/>
        </w:sectPr>
      </w:pPr>
    </w:p>
    <w:p w:rsidR="00EA40A3" w:rsidRDefault="00EA40A3">
      <w:pPr>
        <w:spacing w:line="282" w:lineRule="auto"/>
      </w:pPr>
    </w:p>
    <w:p w:rsidR="00EA40A3" w:rsidRDefault="00EA40A3">
      <w:pPr>
        <w:spacing w:line="28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4"/>
          <w:sz w:val="22"/>
          <w:szCs w:val="22"/>
        </w:rPr>
        <w:t>注意相互间的协同或拮抗作用，以提高营养素的利用率。</w:t>
      </w:r>
    </w:p>
    <w:p w:rsidR="00EA40A3" w:rsidRDefault="00E86C16">
      <w:pPr>
        <w:spacing w:before="203" w:line="221" w:lineRule="auto"/>
        <w:ind w:left="3"/>
        <w:outlineLvl w:val="6"/>
        <w:rPr>
          <w:rFonts w:ascii="黑体" w:eastAsia="黑体" w:hAnsi="黑体" w:cs="黑体"/>
          <w:sz w:val="22"/>
          <w:szCs w:val="22"/>
        </w:rPr>
      </w:pPr>
      <w:r>
        <w:rPr>
          <w:rFonts w:ascii="黑体" w:eastAsia="黑体" w:hAnsi="黑体" w:cs="黑体"/>
          <w:b/>
          <w:bCs/>
          <w:spacing w:val="10"/>
          <w:sz w:val="22"/>
          <w:szCs w:val="22"/>
        </w:rPr>
        <w:t>8.2.5</w:t>
      </w:r>
      <w:r>
        <w:rPr>
          <w:rFonts w:ascii="黑体" w:eastAsia="黑体" w:hAnsi="黑体" w:cs="黑体"/>
          <w:spacing w:val="58"/>
          <w:sz w:val="22"/>
          <w:szCs w:val="22"/>
        </w:rPr>
        <w:t xml:space="preserve">  </w:t>
      </w:r>
      <w:r>
        <w:rPr>
          <w:rFonts w:ascii="黑体" w:eastAsia="黑体" w:hAnsi="黑体" w:cs="黑体"/>
          <w:b/>
          <w:bCs/>
          <w:spacing w:val="10"/>
          <w:sz w:val="22"/>
          <w:szCs w:val="22"/>
        </w:rPr>
        <w:t>尽量减少营养强化剂的损失</w:t>
      </w:r>
    </w:p>
    <w:p w:rsidR="00EA40A3" w:rsidRDefault="00E86C16">
      <w:pPr>
        <w:spacing w:before="191" w:line="245" w:lineRule="auto"/>
        <w:ind w:right="39" w:firstLine="430"/>
        <w:jc w:val="both"/>
        <w:rPr>
          <w:rFonts w:ascii="宋体" w:eastAsia="宋体" w:hAnsi="宋体" w:cs="宋体"/>
          <w:sz w:val="22"/>
          <w:szCs w:val="22"/>
        </w:rPr>
      </w:pPr>
      <w:r>
        <w:rPr>
          <w:rFonts w:ascii="宋体" w:eastAsia="宋体" w:hAnsi="宋体" w:cs="宋体"/>
          <w:spacing w:val="-11"/>
          <w:sz w:val="22"/>
          <w:szCs w:val="22"/>
        </w:rPr>
        <w:t>许多食品营养强化剂遇光、热和氧等会引起分解、转化而遭</w:t>
      </w:r>
      <w:r>
        <w:rPr>
          <w:rFonts w:ascii="宋体" w:eastAsia="宋体" w:hAnsi="宋体" w:cs="宋体"/>
          <w:spacing w:val="-12"/>
          <w:sz w:val="22"/>
          <w:szCs w:val="22"/>
        </w:rPr>
        <w:t>到破坏。因此，</w:t>
      </w:r>
      <w:r>
        <w:rPr>
          <w:rFonts w:ascii="宋体" w:eastAsia="宋体" w:hAnsi="宋体" w:cs="宋体"/>
          <w:sz w:val="22"/>
          <w:szCs w:val="22"/>
        </w:rPr>
        <w:t xml:space="preserve"> </w:t>
      </w:r>
      <w:r>
        <w:rPr>
          <w:rFonts w:ascii="宋体" w:eastAsia="宋体" w:hAnsi="宋体" w:cs="宋体"/>
          <w:spacing w:val="-13"/>
          <w:sz w:val="22"/>
          <w:szCs w:val="22"/>
        </w:rPr>
        <w:t>在食品的加工及储藏等过程中会发生部分损失。为减少这类损失，可通过改善强</w:t>
      </w:r>
      <w:r>
        <w:rPr>
          <w:rFonts w:ascii="宋体" w:eastAsia="宋体" w:hAnsi="宋体" w:cs="宋体"/>
          <w:spacing w:val="14"/>
          <w:sz w:val="22"/>
          <w:szCs w:val="22"/>
        </w:rPr>
        <w:t xml:space="preserve"> </w:t>
      </w:r>
      <w:r>
        <w:rPr>
          <w:rFonts w:ascii="宋体" w:eastAsia="宋体" w:hAnsi="宋体" w:cs="宋体"/>
          <w:spacing w:val="-14"/>
          <w:sz w:val="22"/>
          <w:szCs w:val="22"/>
        </w:rPr>
        <w:t>化工艺条件和储藏方法，也可以通过添加强化剂的稳定剂或提高强化剂的稳定性</w:t>
      </w:r>
      <w:r>
        <w:rPr>
          <w:rFonts w:ascii="宋体" w:eastAsia="宋体" w:hAnsi="宋体" w:cs="宋体"/>
          <w:spacing w:val="3"/>
          <w:sz w:val="22"/>
          <w:szCs w:val="22"/>
        </w:rPr>
        <w:t xml:space="preserve">  </w:t>
      </w:r>
      <w:r>
        <w:rPr>
          <w:rFonts w:ascii="宋体" w:eastAsia="宋体" w:hAnsi="宋体" w:cs="宋体"/>
          <w:spacing w:val="-14"/>
          <w:sz w:val="22"/>
          <w:szCs w:val="22"/>
        </w:rPr>
        <w:t>来实现。同时，考虑到营养强化食品在加工、储藏等过程中的损失，进行营养强</w:t>
      </w:r>
      <w:r>
        <w:rPr>
          <w:rFonts w:ascii="宋体" w:eastAsia="宋体" w:hAnsi="宋体" w:cs="宋体"/>
          <w:spacing w:val="4"/>
          <w:sz w:val="22"/>
          <w:szCs w:val="22"/>
        </w:rPr>
        <w:t xml:space="preserve">  </w:t>
      </w:r>
      <w:r>
        <w:rPr>
          <w:rFonts w:ascii="宋体" w:eastAsia="宋体" w:hAnsi="宋体" w:cs="宋体"/>
          <w:spacing w:val="-14"/>
          <w:sz w:val="22"/>
          <w:szCs w:val="22"/>
        </w:rPr>
        <w:t>化食品生产时需适当提高营养强化剂的使用剂量。</w:t>
      </w:r>
    </w:p>
    <w:p w:rsidR="00EA40A3" w:rsidRDefault="00E86C16">
      <w:pPr>
        <w:spacing w:before="237" w:line="222" w:lineRule="auto"/>
        <w:ind w:left="3"/>
        <w:outlineLvl w:val="6"/>
        <w:rPr>
          <w:rFonts w:ascii="黑体" w:eastAsia="黑体" w:hAnsi="黑体" w:cs="黑体"/>
          <w:sz w:val="22"/>
          <w:szCs w:val="22"/>
        </w:rPr>
      </w:pPr>
      <w:r>
        <w:rPr>
          <w:rFonts w:ascii="黑体" w:eastAsia="黑体" w:hAnsi="黑体" w:cs="黑体"/>
          <w:b/>
          <w:bCs/>
          <w:spacing w:val="10"/>
          <w:sz w:val="22"/>
          <w:szCs w:val="22"/>
        </w:rPr>
        <w:t>8.2.6</w:t>
      </w:r>
      <w:r>
        <w:rPr>
          <w:rFonts w:ascii="黑体" w:eastAsia="黑体" w:hAnsi="黑体" w:cs="黑体"/>
          <w:spacing w:val="60"/>
          <w:sz w:val="22"/>
          <w:szCs w:val="22"/>
        </w:rPr>
        <w:t xml:space="preserve">  </w:t>
      </w:r>
      <w:r>
        <w:rPr>
          <w:rFonts w:ascii="黑体" w:eastAsia="黑体" w:hAnsi="黑体" w:cs="黑体"/>
          <w:b/>
          <w:bCs/>
          <w:spacing w:val="10"/>
          <w:sz w:val="22"/>
          <w:szCs w:val="22"/>
        </w:rPr>
        <w:t>保持食品原有的色、香、味等感官性状</w:t>
      </w:r>
    </w:p>
    <w:p w:rsidR="00EA40A3" w:rsidRDefault="00E86C16">
      <w:pPr>
        <w:spacing w:before="191" w:line="247" w:lineRule="auto"/>
        <w:ind w:right="40" w:firstLine="430"/>
        <w:jc w:val="both"/>
        <w:rPr>
          <w:rFonts w:ascii="宋体" w:eastAsia="宋体" w:hAnsi="宋体" w:cs="宋体"/>
          <w:sz w:val="22"/>
          <w:szCs w:val="22"/>
        </w:rPr>
      </w:pPr>
      <w:r>
        <w:rPr>
          <w:rFonts w:ascii="宋体" w:eastAsia="宋体" w:hAnsi="宋体" w:cs="宋体"/>
          <w:spacing w:val="-13"/>
          <w:sz w:val="22"/>
          <w:szCs w:val="22"/>
        </w:rPr>
        <w:t>食品大多有其美好的色、香、味等感官性状。而食品营养强化剂也多具</w:t>
      </w:r>
      <w:r>
        <w:rPr>
          <w:rFonts w:ascii="宋体" w:eastAsia="宋体" w:hAnsi="宋体" w:cs="宋体"/>
          <w:spacing w:val="-14"/>
          <w:sz w:val="22"/>
          <w:szCs w:val="22"/>
        </w:rPr>
        <w:t>有本</w:t>
      </w:r>
      <w:r>
        <w:rPr>
          <w:rFonts w:ascii="宋体" w:eastAsia="宋体" w:hAnsi="宋体" w:cs="宋体"/>
          <w:sz w:val="22"/>
          <w:szCs w:val="22"/>
        </w:rPr>
        <w:t xml:space="preserve"> </w:t>
      </w:r>
      <w:r>
        <w:rPr>
          <w:rFonts w:ascii="宋体" w:eastAsia="宋体" w:hAnsi="宋体" w:cs="宋体"/>
          <w:spacing w:val="-13"/>
          <w:sz w:val="22"/>
          <w:szCs w:val="22"/>
        </w:rPr>
        <w:t>身特有的色、香、味。在强化食品时不应损害食品的原有感官性状而致使消费者</w:t>
      </w:r>
      <w:r>
        <w:rPr>
          <w:rFonts w:ascii="宋体" w:eastAsia="宋体" w:hAnsi="宋体" w:cs="宋体"/>
          <w:spacing w:val="13"/>
          <w:sz w:val="22"/>
          <w:szCs w:val="22"/>
        </w:rPr>
        <w:t xml:space="preserve"> </w:t>
      </w:r>
      <w:r>
        <w:rPr>
          <w:rFonts w:ascii="宋体" w:eastAsia="宋体" w:hAnsi="宋体" w:cs="宋体"/>
          <w:spacing w:val="-12"/>
          <w:sz w:val="22"/>
          <w:szCs w:val="22"/>
        </w:rPr>
        <w:t>不能接受。例如，用蛋氨酸强化食品时很容易产生异味</w:t>
      </w:r>
      <w:r>
        <w:rPr>
          <w:rFonts w:ascii="宋体" w:eastAsia="宋体" w:hAnsi="宋体" w:cs="宋体"/>
          <w:spacing w:val="-13"/>
          <w:sz w:val="22"/>
          <w:szCs w:val="22"/>
        </w:rPr>
        <w:t>，各国实际应用甚少。当</w:t>
      </w:r>
      <w:r>
        <w:rPr>
          <w:rFonts w:ascii="宋体" w:eastAsia="宋体" w:hAnsi="宋体" w:cs="宋体"/>
          <w:sz w:val="22"/>
          <w:szCs w:val="22"/>
        </w:rPr>
        <w:t xml:space="preserve"> </w:t>
      </w:r>
      <w:r>
        <w:rPr>
          <w:rFonts w:ascii="宋体" w:eastAsia="宋体" w:hAnsi="宋体" w:cs="宋体"/>
          <w:spacing w:val="-11"/>
          <w:sz w:val="22"/>
          <w:szCs w:val="22"/>
        </w:rPr>
        <w:t>用大豆粉强化食品时易产生豆腥味，故多采用大豆浓缩蛋白或分离蛋白。此外，</w:t>
      </w:r>
      <w:r>
        <w:rPr>
          <w:rFonts w:ascii="宋体" w:eastAsia="宋体" w:hAnsi="宋体" w:cs="宋体"/>
          <w:spacing w:val="4"/>
          <w:sz w:val="22"/>
          <w:szCs w:val="22"/>
        </w:rPr>
        <w:t xml:space="preserve"> </w:t>
      </w:r>
      <w:r>
        <w:rPr>
          <w:rFonts w:ascii="宋体" w:eastAsia="宋体" w:hAnsi="宋体" w:cs="宋体"/>
          <w:spacing w:val="-6"/>
          <w:sz w:val="22"/>
          <w:szCs w:val="22"/>
        </w:rPr>
        <w:t>维生素B</w:t>
      </w:r>
      <w:r>
        <w:rPr>
          <w:rFonts w:ascii="Calibri" w:eastAsia="Calibri" w:hAnsi="Calibri" w:cs="Calibri"/>
          <w:spacing w:val="-6"/>
          <w:sz w:val="22"/>
          <w:szCs w:val="22"/>
        </w:rPr>
        <w:t>₂</w:t>
      </w:r>
      <w:r>
        <w:rPr>
          <w:rFonts w:ascii="Calibri" w:eastAsia="Calibri" w:hAnsi="Calibri" w:cs="Calibri"/>
          <w:spacing w:val="46"/>
          <w:sz w:val="22"/>
          <w:szCs w:val="22"/>
        </w:rPr>
        <w:t xml:space="preserve"> </w:t>
      </w:r>
      <w:r>
        <w:rPr>
          <w:rFonts w:ascii="宋体" w:eastAsia="宋体" w:hAnsi="宋体" w:cs="宋体"/>
          <w:spacing w:val="-6"/>
          <w:sz w:val="22"/>
          <w:szCs w:val="22"/>
        </w:rPr>
        <w:t>和β-胡萝卜素呈黄色、铁剂呈黑色、维生素C</w:t>
      </w:r>
      <w:r>
        <w:rPr>
          <w:rFonts w:ascii="宋体" w:eastAsia="宋体" w:hAnsi="宋体" w:cs="宋体"/>
          <w:spacing w:val="-13"/>
          <w:sz w:val="22"/>
          <w:szCs w:val="22"/>
        </w:rPr>
        <w:t xml:space="preserve"> </w:t>
      </w:r>
      <w:r>
        <w:rPr>
          <w:rFonts w:ascii="宋体" w:eastAsia="宋体" w:hAnsi="宋体" w:cs="宋体"/>
          <w:spacing w:val="-6"/>
          <w:sz w:val="22"/>
          <w:szCs w:val="22"/>
        </w:rPr>
        <w:t>味酸、维生素B</w:t>
      </w:r>
      <w:r>
        <w:rPr>
          <w:rFonts w:ascii="Calibri" w:eastAsia="Calibri" w:hAnsi="Calibri" w:cs="Calibri"/>
          <w:spacing w:val="-6"/>
          <w:sz w:val="22"/>
          <w:szCs w:val="22"/>
        </w:rPr>
        <w:t>₁</w:t>
      </w:r>
      <w:r>
        <w:rPr>
          <w:rFonts w:ascii="Calibri" w:eastAsia="Calibri" w:hAnsi="Calibri" w:cs="Calibri"/>
          <w:spacing w:val="14"/>
          <w:w w:val="101"/>
          <w:sz w:val="22"/>
          <w:szCs w:val="22"/>
        </w:rPr>
        <w:t xml:space="preserve">  </w:t>
      </w:r>
      <w:r>
        <w:rPr>
          <w:rFonts w:ascii="宋体" w:eastAsia="宋体" w:hAnsi="宋体" w:cs="宋体"/>
          <w:spacing w:val="-6"/>
          <w:sz w:val="22"/>
          <w:szCs w:val="22"/>
        </w:rPr>
        <w:t>即使</w:t>
      </w:r>
      <w:r>
        <w:rPr>
          <w:rFonts w:ascii="宋体" w:eastAsia="宋体" w:hAnsi="宋体" w:cs="宋体"/>
          <w:sz w:val="22"/>
          <w:szCs w:val="22"/>
        </w:rPr>
        <w:t xml:space="preserve"> </w:t>
      </w:r>
      <w:r>
        <w:rPr>
          <w:rFonts w:ascii="宋体" w:eastAsia="宋体" w:hAnsi="宋体" w:cs="宋体"/>
          <w:spacing w:val="-13"/>
          <w:sz w:val="22"/>
          <w:szCs w:val="22"/>
        </w:rPr>
        <w:t>有少量破坏也可产生异味，至于鱼肝油则更有一股令人难以耐受的腥臭味。上述</w:t>
      </w:r>
      <w:r>
        <w:rPr>
          <w:rFonts w:ascii="宋体" w:eastAsia="宋体" w:hAnsi="宋体" w:cs="宋体"/>
          <w:spacing w:val="12"/>
          <w:sz w:val="22"/>
          <w:szCs w:val="22"/>
        </w:rPr>
        <w:t xml:space="preserve"> </w:t>
      </w:r>
      <w:r>
        <w:rPr>
          <w:rFonts w:ascii="宋体" w:eastAsia="宋体" w:hAnsi="宋体" w:cs="宋体"/>
          <w:spacing w:val="-15"/>
          <w:sz w:val="22"/>
          <w:szCs w:val="22"/>
        </w:rPr>
        <w:t>这些物质如果强化不当则可引起人们不悦。</w:t>
      </w:r>
    </w:p>
    <w:p w:rsidR="00EA40A3" w:rsidRDefault="00E86C16">
      <w:pPr>
        <w:spacing w:before="66" w:line="248" w:lineRule="auto"/>
        <w:ind w:firstLine="430"/>
        <w:jc w:val="both"/>
        <w:rPr>
          <w:rFonts w:ascii="宋体" w:eastAsia="宋体" w:hAnsi="宋体" w:cs="宋体"/>
          <w:sz w:val="22"/>
          <w:szCs w:val="22"/>
        </w:rPr>
      </w:pPr>
      <w:r>
        <w:rPr>
          <w:rFonts w:ascii="宋体" w:eastAsia="宋体" w:hAnsi="宋体" w:cs="宋体"/>
          <w:sz w:val="22"/>
          <w:szCs w:val="22"/>
        </w:rPr>
        <w:t>然而，如果根据不同强化剂的特点，选择好强化对</w:t>
      </w:r>
      <w:r>
        <w:rPr>
          <w:rFonts w:ascii="宋体" w:eastAsia="宋体" w:hAnsi="宋体" w:cs="宋体"/>
          <w:spacing w:val="-1"/>
          <w:sz w:val="22"/>
          <w:szCs w:val="22"/>
        </w:rPr>
        <w:t>象(载体食品)与之配</w:t>
      </w:r>
      <w:r>
        <w:rPr>
          <w:rFonts w:ascii="宋体" w:eastAsia="宋体" w:hAnsi="宋体" w:cs="宋体"/>
          <w:sz w:val="22"/>
          <w:szCs w:val="22"/>
        </w:rPr>
        <w:t xml:space="preserve">  </w:t>
      </w:r>
      <w:r>
        <w:rPr>
          <w:rFonts w:ascii="宋体" w:eastAsia="宋体" w:hAnsi="宋体" w:cs="宋体"/>
          <w:spacing w:val="-12"/>
          <w:sz w:val="22"/>
          <w:szCs w:val="22"/>
        </w:rPr>
        <w:t>合，则不但无不良影响，而且还可提高食品的</w:t>
      </w:r>
      <w:r>
        <w:rPr>
          <w:rFonts w:ascii="宋体" w:eastAsia="宋体" w:hAnsi="宋体" w:cs="宋体"/>
          <w:spacing w:val="-13"/>
          <w:sz w:val="22"/>
          <w:szCs w:val="22"/>
        </w:rPr>
        <w:t>感官质量和商品价值。例如，人们</w:t>
      </w:r>
      <w:r>
        <w:rPr>
          <w:rFonts w:ascii="宋体" w:eastAsia="宋体" w:hAnsi="宋体" w:cs="宋体"/>
          <w:sz w:val="22"/>
          <w:szCs w:val="22"/>
        </w:rPr>
        <w:t xml:space="preserve">  </w:t>
      </w:r>
      <w:r>
        <w:rPr>
          <w:rFonts w:ascii="宋体" w:eastAsia="宋体" w:hAnsi="宋体" w:cs="宋体"/>
          <w:spacing w:val="-7"/>
          <w:sz w:val="22"/>
          <w:szCs w:val="22"/>
        </w:rPr>
        <w:t>可用β-胡萝卜素对奶油、人造奶油、干酪、冰淇淋、糖果、饮料等进行着色。</w:t>
      </w:r>
      <w:r>
        <w:rPr>
          <w:rFonts w:ascii="宋体" w:eastAsia="宋体" w:hAnsi="宋体" w:cs="宋体"/>
          <w:spacing w:val="14"/>
          <w:sz w:val="22"/>
          <w:szCs w:val="22"/>
        </w:rPr>
        <w:t xml:space="preserve"> </w:t>
      </w:r>
      <w:r>
        <w:rPr>
          <w:rFonts w:ascii="宋体" w:eastAsia="宋体" w:hAnsi="宋体" w:cs="宋体"/>
          <w:spacing w:val="-13"/>
          <w:sz w:val="22"/>
          <w:szCs w:val="22"/>
        </w:rPr>
        <w:t>这既有营养强化作用，又可改善食品色泽，提高感官质量。铁盐呈黑色，若用于</w:t>
      </w:r>
      <w:r>
        <w:rPr>
          <w:rFonts w:ascii="宋体" w:eastAsia="宋体" w:hAnsi="宋体" w:cs="宋体"/>
          <w:spacing w:val="8"/>
          <w:sz w:val="22"/>
          <w:szCs w:val="22"/>
        </w:rPr>
        <w:t xml:space="preserve">  </w:t>
      </w:r>
      <w:r>
        <w:rPr>
          <w:rFonts w:ascii="宋体" w:eastAsia="宋体" w:hAnsi="宋体" w:cs="宋体"/>
          <w:spacing w:val="-13"/>
          <w:sz w:val="22"/>
          <w:szCs w:val="22"/>
        </w:rPr>
        <w:t>酱或酱油的强化时，因这些食品本身就有一定的颜色和味道，在一定的强化剂量</w:t>
      </w:r>
      <w:r>
        <w:rPr>
          <w:rFonts w:ascii="宋体" w:eastAsia="宋体" w:hAnsi="宋体" w:cs="宋体"/>
          <w:spacing w:val="6"/>
          <w:sz w:val="22"/>
          <w:szCs w:val="22"/>
        </w:rPr>
        <w:t xml:space="preserve">  </w:t>
      </w:r>
      <w:r>
        <w:rPr>
          <w:rFonts w:ascii="宋体" w:eastAsia="宋体" w:hAnsi="宋体" w:cs="宋体"/>
          <w:spacing w:val="-7"/>
          <w:sz w:val="22"/>
          <w:szCs w:val="22"/>
        </w:rPr>
        <w:t>范围内，可以完全不致使人们产生不快的感觉。至于用维生素</w:t>
      </w:r>
      <w:r>
        <w:rPr>
          <w:rFonts w:ascii="宋体" w:eastAsia="宋体" w:hAnsi="宋体" w:cs="宋体"/>
          <w:spacing w:val="-60"/>
          <w:sz w:val="22"/>
          <w:szCs w:val="22"/>
        </w:rPr>
        <w:t xml:space="preserve"> </w:t>
      </w:r>
      <w:r>
        <w:rPr>
          <w:rFonts w:ascii="宋体" w:eastAsia="宋体" w:hAnsi="宋体" w:cs="宋体"/>
          <w:spacing w:val="-7"/>
          <w:sz w:val="22"/>
          <w:szCs w:val="22"/>
        </w:rPr>
        <w:t>C</w:t>
      </w:r>
      <w:r>
        <w:rPr>
          <w:rFonts w:ascii="宋体" w:eastAsia="宋体" w:hAnsi="宋体" w:cs="宋体"/>
          <w:spacing w:val="-14"/>
          <w:sz w:val="22"/>
          <w:szCs w:val="22"/>
        </w:rPr>
        <w:t xml:space="preserve"> </w:t>
      </w:r>
      <w:r>
        <w:rPr>
          <w:rFonts w:ascii="宋体" w:eastAsia="宋体" w:hAnsi="宋体" w:cs="宋体"/>
          <w:spacing w:val="-7"/>
          <w:sz w:val="22"/>
          <w:szCs w:val="22"/>
        </w:rPr>
        <w:t>强化果</w:t>
      </w:r>
      <w:r>
        <w:rPr>
          <w:rFonts w:ascii="宋体" w:eastAsia="宋体" w:hAnsi="宋体" w:cs="宋体"/>
          <w:spacing w:val="-8"/>
          <w:sz w:val="22"/>
          <w:szCs w:val="22"/>
        </w:rPr>
        <w:t>汁饮料</w:t>
      </w:r>
      <w:r>
        <w:rPr>
          <w:rFonts w:ascii="宋体" w:eastAsia="宋体" w:hAnsi="宋体" w:cs="宋体"/>
          <w:sz w:val="22"/>
          <w:szCs w:val="22"/>
        </w:rPr>
        <w:t xml:space="preserve"> </w:t>
      </w:r>
      <w:r>
        <w:rPr>
          <w:rFonts w:ascii="宋体" w:eastAsia="宋体" w:hAnsi="宋体" w:cs="宋体"/>
          <w:spacing w:val="-13"/>
          <w:sz w:val="22"/>
          <w:szCs w:val="22"/>
        </w:rPr>
        <w:t>则无不良影响，而将其用于肉制品的生产，还可起到发色助剂，即帮助肉制品发</w:t>
      </w:r>
      <w:r>
        <w:rPr>
          <w:rFonts w:ascii="宋体" w:eastAsia="宋体" w:hAnsi="宋体" w:cs="宋体"/>
          <w:spacing w:val="6"/>
          <w:sz w:val="22"/>
          <w:szCs w:val="22"/>
        </w:rPr>
        <w:t xml:space="preserve">  </w:t>
      </w:r>
      <w:r>
        <w:rPr>
          <w:rFonts w:ascii="宋体" w:eastAsia="宋体" w:hAnsi="宋体" w:cs="宋体"/>
          <w:spacing w:val="-20"/>
          <w:sz w:val="22"/>
          <w:szCs w:val="22"/>
        </w:rPr>
        <w:t>色的作用。</w:t>
      </w:r>
    </w:p>
    <w:p w:rsidR="00EA40A3" w:rsidRDefault="00E86C16">
      <w:pPr>
        <w:spacing w:before="193" w:line="222" w:lineRule="auto"/>
        <w:ind w:left="3"/>
        <w:outlineLvl w:val="6"/>
        <w:rPr>
          <w:rFonts w:ascii="黑体" w:eastAsia="黑体" w:hAnsi="黑体" w:cs="黑体"/>
          <w:sz w:val="25"/>
          <w:szCs w:val="25"/>
        </w:rPr>
      </w:pPr>
      <w:r>
        <w:rPr>
          <w:rFonts w:ascii="黑体" w:eastAsia="黑体" w:hAnsi="黑体" w:cs="黑体"/>
          <w:b/>
          <w:bCs/>
          <w:spacing w:val="-11"/>
          <w:sz w:val="25"/>
          <w:szCs w:val="25"/>
        </w:rPr>
        <w:t>8.2.7</w:t>
      </w:r>
      <w:r>
        <w:rPr>
          <w:rFonts w:ascii="黑体" w:eastAsia="黑体" w:hAnsi="黑体" w:cs="黑体"/>
          <w:spacing w:val="5"/>
          <w:sz w:val="25"/>
          <w:szCs w:val="25"/>
        </w:rPr>
        <w:t xml:space="preserve">  </w:t>
      </w:r>
      <w:r>
        <w:rPr>
          <w:rFonts w:ascii="黑体" w:eastAsia="黑体" w:hAnsi="黑体" w:cs="黑体"/>
          <w:b/>
          <w:bCs/>
          <w:spacing w:val="-11"/>
          <w:sz w:val="25"/>
          <w:szCs w:val="25"/>
        </w:rPr>
        <w:t>经济合理、有利推广</w:t>
      </w:r>
    </w:p>
    <w:p w:rsidR="00EA40A3" w:rsidRDefault="00E86C16">
      <w:pPr>
        <w:spacing w:before="203" w:line="244" w:lineRule="auto"/>
        <w:ind w:right="96" w:firstLine="430"/>
        <w:jc w:val="both"/>
        <w:rPr>
          <w:rFonts w:ascii="宋体" w:eastAsia="宋体" w:hAnsi="宋体" w:cs="宋体"/>
          <w:sz w:val="22"/>
          <w:szCs w:val="22"/>
        </w:rPr>
      </w:pPr>
      <w:r>
        <w:rPr>
          <w:rFonts w:ascii="宋体" w:eastAsia="宋体" w:hAnsi="宋体" w:cs="宋体"/>
          <w:spacing w:val="-13"/>
          <w:sz w:val="22"/>
          <w:szCs w:val="22"/>
        </w:rPr>
        <w:t>食品营养强化的目的主要是提高人民的营养和健康水平。通常，食品进行营</w:t>
      </w:r>
      <w:r>
        <w:rPr>
          <w:rFonts w:ascii="宋体" w:eastAsia="宋体" w:hAnsi="宋体" w:cs="宋体"/>
          <w:spacing w:val="1"/>
          <w:sz w:val="22"/>
          <w:szCs w:val="22"/>
        </w:rPr>
        <w:t xml:space="preserve"> </w:t>
      </w:r>
      <w:r>
        <w:rPr>
          <w:rFonts w:ascii="宋体" w:eastAsia="宋体" w:hAnsi="宋体" w:cs="宋体"/>
          <w:spacing w:val="-13"/>
          <w:sz w:val="22"/>
          <w:szCs w:val="22"/>
        </w:rPr>
        <w:t>养强化时会增加一定的生产成本，为了尽量降低营养强化食品的价格，在确定营</w:t>
      </w:r>
      <w:r>
        <w:rPr>
          <w:rFonts w:ascii="宋体" w:eastAsia="宋体" w:hAnsi="宋体" w:cs="宋体"/>
          <w:spacing w:val="17"/>
          <w:sz w:val="22"/>
          <w:szCs w:val="22"/>
        </w:rPr>
        <w:t xml:space="preserve"> </w:t>
      </w:r>
      <w:r>
        <w:rPr>
          <w:rFonts w:ascii="宋体" w:eastAsia="宋体" w:hAnsi="宋体" w:cs="宋体"/>
          <w:spacing w:val="-13"/>
          <w:sz w:val="22"/>
          <w:szCs w:val="22"/>
        </w:rPr>
        <w:t>养强化剂种类和强化工艺时，应该考虑低成本和技术简便。否则不易推广，起不</w:t>
      </w:r>
      <w:r>
        <w:rPr>
          <w:rFonts w:ascii="宋体" w:eastAsia="宋体" w:hAnsi="宋体" w:cs="宋体"/>
          <w:spacing w:val="15"/>
          <w:sz w:val="22"/>
          <w:szCs w:val="22"/>
        </w:rPr>
        <w:t xml:space="preserve"> </w:t>
      </w:r>
      <w:r>
        <w:rPr>
          <w:rFonts w:ascii="宋体" w:eastAsia="宋体" w:hAnsi="宋体" w:cs="宋体"/>
          <w:spacing w:val="-18"/>
          <w:sz w:val="22"/>
          <w:szCs w:val="22"/>
        </w:rPr>
        <w:t>到应有的作用。</w:t>
      </w:r>
    </w:p>
    <w:p w:rsidR="00EA40A3" w:rsidRDefault="00EA40A3">
      <w:pPr>
        <w:spacing w:line="247" w:lineRule="auto"/>
      </w:pPr>
    </w:p>
    <w:p w:rsidR="00EA40A3" w:rsidRDefault="00E86C16">
      <w:pPr>
        <w:spacing w:before="91" w:line="219" w:lineRule="auto"/>
        <w:ind w:left="2200"/>
        <w:rPr>
          <w:rFonts w:ascii="宋体" w:eastAsia="宋体" w:hAnsi="宋体" w:cs="宋体"/>
          <w:sz w:val="28"/>
          <w:szCs w:val="28"/>
        </w:rPr>
      </w:pPr>
      <w:r>
        <w:rPr>
          <w:rFonts w:ascii="宋体" w:eastAsia="宋体" w:hAnsi="宋体" w:cs="宋体"/>
          <w:spacing w:val="-2"/>
          <w:sz w:val="28"/>
          <w:szCs w:val="28"/>
        </w:rPr>
        <w:t>8.3</w:t>
      </w:r>
      <w:r>
        <w:rPr>
          <w:rFonts w:ascii="宋体" w:eastAsia="宋体" w:hAnsi="宋体" w:cs="宋体"/>
          <w:sz w:val="28"/>
          <w:szCs w:val="28"/>
        </w:rPr>
        <w:t xml:space="preserve">  </w:t>
      </w:r>
      <w:r>
        <w:rPr>
          <w:rFonts w:ascii="宋体" w:eastAsia="宋体" w:hAnsi="宋体" w:cs="宋体"/>
          <w:spacing w:val="-2"/>
          <w:sz w:val="28"/>
          <w:szCs w:val="28"/>
        </w:rPr>
        <w:t>食品营养强化技术</w:t>
      </w:r>
    </w:p>
    <w:p w:rsidR="00EA40A3" w:rsidRDefault="00EA40A3"/>
    <w:p w:rsidR="00EA40A3" w:rsidRDefault="00E86C16">
      <w:pPr>
        <w:spacing w:before="72" w:line="244" w:lineRule="auto"/>
        <w:ind w:right="99" w:firstLine="430"/>
        <w:rPr>
          <w:rFonts w:ascii="宋体" w:eastAsia="宋体" w:hAnsi="宋体" w:cs="宋体"/>
          <w:sz w:val="22"/>
          <w:szCs w:val="22"/>
        </w:rPr>
      </w:pPr>
      <w:r>
        <w:rPr>
          <w:rFonts w:ascii="宋体" w:eastAsia="宋体" w:hAnsi="宋体" w:cs="宋体"/>
          <w:spacing w:val="-13"/>
          <w:sz w:val="22"/>
          <w:szCs w:val="22"/>
        </w:rPr>
        <w:t>根据食品营养强化的目的和基本原则，把营养强化剂添加到食品中，不仅</w:t>
      </w:r>
      <w:r>
        <w:rPr>
          <w:rFonts w:ascii="宋体" w:eastAsia="宋体" w:hAnsi="宋体" w:cs="宋体"/>
          <w:spacing w:val="-14"/>
          <w:sz w:val="22"/>
          <w:szCs w:val="22"/>
        </w:rPr>
        <w:t>要</w:t>
      </w:r>
      <w:r>
        <w:rPr>
          <w:rFonts w:ascii="宋体" w:eastAsia="宋体" w:hAnsi="宋体" w:cs="宋体"/>
          <w:sz w:val="22"/>
          <w:szCs w:val="22"/>
        </w:rPr>
        <w:t xml:space="preserve"> </w:t>
      </w:r>
      <w:r>
        <w:rPr>
          <w:rFonts w:ascii="宋体" w:eastAsia="宋体" w:hAnsi="宋体" w:cs="宋体"/>
          <w:spacing w:val="-12"/>
          <w:sz w:val="22"/>
          <w:szCs w:val="22"/>
        </w:rPr>
        <w:t>选择适宜的强化方法，而且必须尽量提高营养强化剂在</w:t>
      </w:r>
      <w:r>
        <w:rPr>
          <w:rFonts w:ascii="宋体" w:eastAsia="宋体" w:hAnsi="宋体" w:cs="宋体"/>
          <w:spacing w:val="-13"/>
          <w:sz w:val="22"/>
          <w:szCs w:val="22"/>
        </w:rPr>
        <w:t>强化食品中的保存率。</w:t>
      </w:r>
    </w:p>
    <w:p w:rsidR="00EA40A3" w:rsidRDefault="00E86C16">
      <w:pPr>
        <w:spacing w:before="26"/>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260</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footerReference w:type="default" r:id="rId217"/>
          <w:pgSz w:w="9220" w:h="13360"/>
          <w:pgMar w:top="400" w:right="1090" w:bottom="400" w:left="769" w:header="0" w:footer="0" w:gutter="0"/>
          <w:cols w:space="720"/>
        </w:sectPr>
      </w:pPr>
    </w:p>
    <w:p w:rsidR="00EA40A3" w:rsidRDefault="00EA40A3">
      <w:pPr>
        <w:spacing w:line="347" w:lineRule="auto"/>
      </w:pPr>
    </w:p>
    <w:p w:rsidR="00EA40A3" w:rsidRDefault="00EA40A3">
      <w:pPr>
        <w:spacing w:line="348" w:lineRule="auto"/>
      </w:pPr>
    </w:p>
    <w:p w:rsidR="00EA40A3" w:rsidRDefault="00E86C16">
      <w:pPr>
        <w:spacing w:before="85" w:line="221" w:lineRule="auto"/>
        <w:ind w:left="3"/>
        <w:outlineLvl w:val="6"/>
        <w:rPr>
          <w:rFonts w:ascii="黑体" w:eastAsia="黑体" w:hAnsi="黑体" w:cs="黑体"/>
          <w:sz w:val="26"/>
          <w:szCs w:val="26"/>
        </w:rPr>
      </w:pPr>
      <w:r>
        <w:rPr>
          <w:rFonts w:ascii="黑体" w:eastAsia="黑体" w:hAnsi="黑体" w:cs="黑体"/>
          <w:b/>
          <w:bCs/>
          <w:spacing w:val="-11"/>
          <w:sz w:val="26"/>
          <w:szCs w:val="26"/>
        </w:rPr>
        <w:t>8.3.1</w:t>
      </w:r>
      <w:r>
        <w:rPr>
          <w:rFonts w:ascii="黑体" w:eastAsia="黑体" w:hAnsi="黑体" w:cs="黑体"/>
          <w:spacing w:val="49"/>
          <w:sz w:val="26"/>
          <w:szCs w:val="26"/>
        </w:rPr>
        <w:t xml:space="preserve"> </w:t>
      </w:r>
      <w:r>
        <w:rPr>
          <w:rFonts w:ascii="黑体" w:eastAsia="黑体" w:hAnsi="黑体" w:cs="黑体"/>
          <w:b/>
          <w:bCs/>
          <w:spacing w:val="-11"/>
          <w:sz w:val="26"/>
          <w:szCs w:val="26"/>
        </w:rPr>
        <w:t>强化方法</w:t>
      </w:r>
    </w:p>
    <w:p w:rsidR="00EA40A3" w:rsidRDefault="00E86C16">
      <w:pPr>
        <w:spacing w:before="183" w:line="246" w:lineRule="auto"/>
        <w:ind w:right="81" w:firstLine="449"/>
        <w:jc w:val="both"/>
        <w:rPr>
          <w:rFonts w:ascii="宋体" w:eastAsia="宋体" w:hAnsi="宋体" w:cs="宋体"/>
          <w:sz w:val="22"/>
          <w:szCs w:val="22"/>
        </w:rPr>
      </w:pPr>
      <w:r>
        <w:rPr>
          <w:rFonts w:ascii="宋体" w:eastAsia="宋体" w:hAnsi="宋体" w:cs="宋体"/>
          <w:spacing w:val="-13"/>
          <w:sz w:val="22"/>
          <w:szCs w:val="22"/>
        </w:rPr>
        <w:t>食品营养强化技术随着科学技术的发展而日臻完善。食品强化剂的添加方式</w:t>
      </w:r>
      <w:r>
        <w:rPr>
          <w:rFonts w:ascii="宋体" w:eastAsia="宋体" w:hAnsi="宋体" w:cs="宋体"/>
          <w:spacing w:val="6"/>
          <w:sz w:val="22"/>
          <w:szCs w:val="22"/>
        </w:rPr>
        <w:t xml:space="preserve"> </w:t>
      </w:r>
      <w:r>
        <w:rPr>
          <w:rFonts w:ascii="宋体" w:eastAsia="宋体" w:hAnsi="宋体" w:cs="宋体"/>
          <w:spacing w:val="-10"/>
          <w:sz w:val="22"/>
          <w:szCs w:val="22"/>
        </w:rPr>
        <w:t>有4种：添加纯化合物，直接添加片剂、微胶囊、薄膜或块剂，添加配制成的溶</w:t>
      </w:r>
      <w:r>
        <w:rPr>
          <w:rFonts w:ascii="宋体" w:eastAsia="宋体" w:hAnsi="宋体" w:cs="宋体"/>
          <w:spacing w:val="8"/>
          <w:sz w:val="22"/>
          <w:szCs w:val="22"/>
        </w:rPr>
        <w:t xml:space="preserve"> </w:t>
      </w:r>
      <w:r>
        <w:rPr>
          <w:rFonts w:ascii="宋体" w:eastAsia="宋体" w:hAnsi="宋体" w:cs="宋体"/>
          <w:spacing w:val="-13"/>
          <w:sz w:val="22"/>
          <w:szCs w:val="22"/>
        </w:rPr>
        <w:t>液、乳浊液或分散悬浊液，添加经预先干式混合的强化剂。采取何种添加方式应</w:t>
      </w:r>
      <w:r>
        <w:rPr>
          <w:rFonts w:ascii="宋体" w:eastAsia="宋体" w:hAnsi="宋体" w:cs="宋体"/>
          <w:spacing w:val="2"/>
          <w:sz w:val="22"/>
          <w:szCs w:val="22"/>
        </w:rPr>
        <w:t xml:space="preserve"> </w:t>
      </w:r>
      <w:r>
        <w:rPr>
          <w:rFonts w:ascii="宋体" w:eastAsia="宋体" w:hAnsi="宋体" w:cs="宋体"/>
          <w:spacing w:val="-13"/>
          <w:sz w:val="22"/>
          <w:szCs w:val="22"/>
        </w:rPr>
        <w:t>以能使营养素在制品中均匀分布并保持最大限度的稳定为准。此外，还应考虑营</w:t>
      </w:r>
      <w:r>
        <w:rPr>
          <w:rFonts w:ascii="宋体" w:eastAsia="宋体" w:hAnsi="宋体" w:cs="宋体"/>
          <w:spacing w:val="7"/>
          <w:sz w:val="22"/>
          <w:szCs w:val="22"/>
        </w:rPr>
        <w:t xml:space="preserve"> </w:t>
      </w:r>
      <w:r>
        <w:rPr>
          <w:rFonts w:ascii="宋体" w:eastAsia="宋体" w:hAnsi="宋体" w:cs="宋体"/>
          <w:spacing w:val="-13"/>
          <w:sz w:val="22"/>
          <w:szCs w:val="22"/>
        </w:rPr>
        <w:t>养素及食品的化学和物理性能，以及添加后对食品如何处理等因素；应掌握好添</w:t>
      </w:r>
      <w:r>
        <w:rPr>
          <w:rFonts w:ascii="宋体" w:eastAsia="宋体" w:hAnsi="宋体" w:cs="宋体"/>
          <w:spacing w:val="2"/>
          <w:sz w:val="22"/>
          <w:szCs w:val="22"/>
        </w:rPr>
        <w:t xml:space="preserve"> </w:t>
      </w:r>
      <w:r>
        <w:rPr>
          <w:rFonts w:ascii="宋体" w:eastAsia="宋体" w:hAnsi="宋体" w:cs="宋体"/>
          <w:spacing w:val="-13"/>
          <w:sz w:val="22"/>
          <w:szCs w:val="22"/>
        </w:rPr>
        <w:t>加时间，尽量避免营养强化剂长时间受热，在空气中暴露的时间愈短愈好。</w:t>
      </w:r>
    </w:p>
    <w:p w:rsidR="00EA40A3" w:rsidRDefault="00E86C16">
      <w:pPr>
        <w:spacing w:before="80" w:line="245" w:lineRule="auto"/>
        <w:ind w:firstLine="449"/>
        <w:jc w:val="both"/>
        <w:rPr>
          <w:rFonts w:ascii="宋体" w:eastAsia="宋体" w:hAnsi="宋体" w:cs="宋体"/>
          <w:sz w:val="22"/>
          <w:szCs w:val="22"/>
        </w:rPr>
      </w:pPr>
      <w:r>
        <w:rPr>
          <w:rFonts w:ascii="宋体" w:eastAsia="宋体" w:hAnsi="宋体" w:cs="宋体"/>
          <w:spacing w:val="-10"/>
          <w:sz w:val="22"/>
          <w:szCs w:val="22"/>
        </w:rPr>
        <w:t>食品营养强化因目的、内容及食品本身性质等的不同</w:t>
      </w:r>
      <w:r>
        <w:rPr>
          <w:rFonts w:ascii="宋体" w:eastAsia="宋体" w:hAnsi="宋体" w:cs="宋体"/>
          <w:spacing w:val="-11"/>
          <w:sz w:val="22"/>
          <w:szCs w:val="22"/>
        </w:rPr>
        <w:t>，其强化方法也不同。</w:t>
      </w:r>
      <w:r>
        <w:rPr>
          <w:rFonts w:ascii="宋体" w:eastAsia="宋体" w:hAnsi="宋体" w:cs="宋体"/>
          <w:sz w:val="22"/>
          <w:szCs w:val="22"/>
        </w:rPr>
        <w:t xml:space="preserve"> </w:t>
      </w:r>
      <w:r>
        <w:rPr>
          <w:rFonts w:ascii="宋体" w:eastAsia="宋体" w:hAnsi="宋体" w:cs="宋体"/>
          <w:spacing w:val="-12"/>
          <w:sz w:val="22"/>
          <w:szCs w:val="22"/>
        </w:rPr>
        <w:t>对于国家法令规定的强化项目，大多是人们普遍缺少的</w:t>
      </w:r>
      <w:r>
        <w:rPr>
          <w:rFonts w:ascii="宋体" w:eastAsia="宋体" w:hAnsi="宋体" w:cs="宋体"/>
          <w:spacing w:val="-13"/>
          <w:sz w:val="22"/>
          <w:szCs w:val="22"/>
        </w:rPr>
        <w:t>必需营养成分，对这类食</w:t>
      </w:r>
      <w:r>
        <w:rPr>
          <w:rFonts w:ascii="宋体" w:eastAsia="宋体" w:hAnsi="宋体" w:cs="宋体"/>
          <w:sz w:val="22"/>
          <w:szCs w:val="22"/>
        </w:rPr>
        <w:t xml:space="preserve">  </w:t>
      </w:r>
      <w:r>
        <w:rPr>
          <w:rFonts w:ascii="宋体" w:eastAsia="宋体" w:hAnsi="宋体" w:cs="宋体"/>
          <w:spacing w:val="-13"/>
          <w:sz w:val="22"/>
          <w:szCs w:val="22"/>
        </w:rPr>
        <w:t>品一般在日常必需食物或原料中预先加入。对于国家法令未做规定的营养强化食</w:t>
      </w:r>
      <w:r>
        <w:rPr>
          <w:rFonts w:ascii="宋体" w:eastAsia="宋体" w:hAnsi="宋体" w:cs="宋体"/>
          <w:spacing w:val="1"/>
          <w:sz w:val="22"/>
          <w:szCs w:val="22"/>
        </w:rPr>
        <w:t xml:space="preserve">  </w:t>
      </w:r>
      <w:r>
        <w:rPr>
          <w:rFonts w:ascii="宋体" w:eastAsia="宋体" w:hAnsi="宋体" w:cs="宋体"/>
          <w:spacing w:val="-11"/>
          <w:sz w:val="22"/>
          <w:szCs w:val="22"/>
        </w:rPr>
        <w:t>品，可根据商品性质，在食品加工过程中添加。总之，食品强化的方法有多种，</w:t>
      </w:r>
      <w:r>
        <w:rPr>
          <w:rFonts w:ascii="宋体" w:eastAsia="宋体" w:hAnsi="宋体" w:cs="宋体"/>
          <w:spacing w:val="13"/>
          <w:sz w:val="22"/>
          <w:szCs w:val="22"/>
        </w:rPr>
        <w:t xml:space="preserve"> </w:t>
      </w:r>
      <w:r>
        <w:rPr>
          <w:rFonts w:ascii="宋体" w:eastAsia="宋体" w:hAnsi="宋体" w:cs="宋体"/>
          <w:spacing w:val="-16"/>
          <w:sz w:val="22"/>
          <w:szCs w:val="22"/>
        </w:rPr>
        <w:t>综合起来有以下几类。</w:t>
      </w:r>
    </w:p>
    <w:p w:rsidR="00EA40A3" w:rsidRDefault="00E86C16">
      <w:pPr>
        <w:spacing w:before="225" w:line="219"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19"/>
          <w:sz w:val="22"/>
          <w:szCs w:val="22"/>
        </w:rPr>
        <w:t xml:space="preserve"> </w:t>
      </w:r>
      <w:r>
        <w:rPr>
          <w:rFonts w:ascii="仿宋" w:eastAsia="仿宋" w:hAnsi="仿宋" w:cs="仿宋"/>
          <w:spacing w:val="10"/>
          <w:sz w:val="22"/>
          <w:szCs w:val="22"/>
        </w:rPr>
        <w:t>在加工过程中添加</w:t>
      </w:r>
    </w:p>
    <w:p w:rsidR="00EA40A3" w:rsidRDefault="00E86C16">
      <w:pPr>
        <w:spacing w:before="203" w:line="248" w:lineRule="auto"/>
        <w:ind w:right="81" w:firstLine="449"/>
        <w:jc w:val="both"/>
        <w:rPr>
          <w:rFonts w:ascii="宋体" w:eastAsia="宋体" w:hAnsi="宋体" w:cs="宋体"/>
          <w:sz w:val="22"/>
          <w:szCs w:val="22"/>
        </w:rPr>
      </w:pPr>
      <w:r>
        <w:rPr>
          <w:rFonts w:ascii="宋体" w:eastAsia="宋体" w:hAnsi="宋体" w:cs="宋体"/>
          <w:spacing w:val="-13"/>
          <w:sz w:val="22"/>
          <w:szCs w:val="22"/>
        </w:rPr>
        <w:t>在食品加工过程中添加营养强化剂是强化食品采用的最普遍的方法。此法适</w:t>
      </w:r>
      <w:r>
        <w:rPr>
          <w:rFonts w:ascii="宋体" w:eastAsia="宋体" w:hAnsi="宋体" w:cs="宋体"/>
          <w:spacing w:val="6"/>
          <w:sz w:val="22"/>
          <w:szCs w:val="22"/>
        </w:rPr>
        <w:t xml:space="preserve"> </w:t>
      </w:r>
      <w:r>
        <w:rPr>
          <w:rFonts w:ascii="宋体" w:eastAsia="宋体" w:hAnsi="宋体" w:cs="宋体"/>
          <w:spacing w:val="-12"/>
          <w:sz w:val="22"/>
          <w:szCs w:val="22"/>
        </w:rPr>
        <w:t>用于罐装食品，如罐头、罐装婴儿食品、罐装果汁和果</w:t>
      </w:r>
      <w:r>
        <w:rPr>
          <w:rFonts w:ascii="宋体" w:eastAsia="宋体" w:hAnsi="宋体" w:cs="宋体"/>
          <w:spacing w:val="-13"/>
          <w:sz w:val="22"/>
          <w:szCs w:val="22"/>
        </w:rPr>
        <w:t>汁粉等，也适用于人造奶</w:t>
      </w:r>
      <w:r>
        <w:rPr>
          <w:rFonts w:ascii="宋体" w:eastAsia="宋体" w:hAnsi="宋体" w:cs="宋体"/>
          <w:sz w:val="22"/>
          <w:szCs w:val="22"/>
        </w:rPr>
        <w:t xml:space="preserve"> </w:t>
      </w:r>
      <w:r>
        <w:rPr>
          <w:rFonts w:ascii="宋体" w:eastAsia="宋体" w:hAnsi="宋体" w:cs="宋体"/>
          <w:spacing w:val="-13"/>
          <w:sz w:val="22"/>
          <w:szCs w:val="22"/>
        </w:rPr>
        <w:t>油、各类糖果糕点等。强化剂加入后，经过若干道加工工序，可使强化剂与食品</w:t>
      </w:r>
      <w:r>
        <w:rPr>
          <w:rFonts w:ascii="宋体" w:eastAsia="宋体" w:hAnsi="宋体" w:cs="宋体"/>
          <w:spacing w:val="15"/>
          <w:sz w:val="22"/>
          <w:szCs w:val="22"/>
        </w:rPr>
        <w:t xml:space="preserve"> </w:t>
      </w:r>
      <w:r>
        <w:rPr>
          <w:rFonts w:ascii="宋体" w:eastAsia="宋体" w:hAnsi="宋体" w:cs="宋体"/>
          <w:spacing w:val="-12"/>
          <w:sz w:val="22"/>
          <w:szCs w:val="22"/>
        </w:rPr>
        <w:t>的其他成分充分混合均匀，并使由于强化剂的加入对食品</w:t>
      </w:r>
      <w:r>
        <w:rPr>
          <w:rFonts w:ascii="宋体" w:eastAsia="宋体" w:hAnsi="宋体" w:cs="宋体"/>
          <w:spacing w:val="-13"/>
          <w:sz w:val="22"/>
          <w:szCs w:val="22"/>
        </w:rPr>
        <w:t>色、香、味等感官性能</w:t>
      </w:r>
      <w:r>
        <w:rPr>
          <w:rFonts w:ascii="宋体" w:eastAsia="宋体" w:hAnsi="宋体" w:cs="宋体"/>
          <w:sz w:val="22"/>
          <w:szCs w:val="22"/>
        </w:rPr>
        <w:t xml:space="preserve"> </w:t>
      </w:r>
      <w:r>
        <w:rPr>
          <w:rFonts w:ascii="宋体" w:eastAsia="宋体" w:hAnsi="宋体" w:cs="宋体"/>
          <w:spacing w:val="-13"/>
          <w:sz w:val="22"/>
          <w:szCs w:val="22"/>
        </w:rPr>
        <w:t>造成的影响尽可能地小。当然，在罐头食品加工过程中往往有巴氏杀菌、抽真空</w:t>
      </w:r>
      <w:r>
        <w:rPr>
          <w:rFonts w:ascii="宋体" w:eastAsia="宋体" w:hAnsi="宋体" w:cs="宋体"/>
          <w:spacing w:val="5"/>
          <w:sz w:val="22"/>
          <w:szCs w:val="22"/>
        </w:rPr>
        <w:t xml:space="preserve"> </w:t>
      </w:r>
      <w:r>
        <w:rPr>
          <w:rFonts w:ascii="宋体" w:eastAsia="宋体" w:hAnsi="宋体" w:cs="宋体"/>
          <w:spacing w:val="-13"/>
          <w:sz w:val="22"/>
          <w:szCs w:val="22"/>
        </w:rPr>
        <w:t>等处理，这就不可避免地使食品受热、光、金</w:t>
      </w:r>
      <w:r>
        <w:rPr>
          <w:rFonts w:ascii="宋体" w:eastAsia="宋体" w:hAnsi="宋体" w:cs="宋体"/>
          <w:spacing w:val="-14"/>
          <w:sz w:val="22"/>
          <w:szCs w:val="22"/>
        </w:rPr>
        <w:t>属等的影响而导致强化剂及其他有</w:t>
      </w:r>
      <w:r>
        <w:rPr>
          <w:rFonts w:ascii="宋体" w:eastAsia="宋体" w:hAnsi="宋体" w:cs="宋体"/>
          <w:sz w:val="22"/>
          <w:szCs w:val="22"/>
        </w:rPr>
        <w:t xml:space="preserve"> </w:t>
      </w:r>
      <w:r>
        <w:rPr>
          <w:rFonts w:ascii="宋体" w:eastAsia="宋体" w:hAnsi="宋体" w:cs="宋体"/>
          <w:spacing w:val="-3"/>
          <w:sz w:val="22"/>
          <w:szCs w:val="22"/>
        </w:rPr>
        <w:t>效成分的损失，如面包焙烤时，赖氨酸可损失9%～24</w:t>
      </w:r>
      <w:r>
        <w:rPr>
          <w:rFonts w:ascii="宋体" w:eastAsia="宋体" w:hAnsi="宋体" w:cs="宋体"/>
          <w:spacing w:val="-4"/>
          <w:sz w:val="22"/>
          <w:szCs w:val="22"/>
        </w:rPr>
        <w:t>%。因此，在采取这种强</w:t>
      </w:r>
      <w:r>
        <w:rPr>
          <w:rFonts w:ascii="宋体" w:eastAsia="宋体" w:hAnsi="宋体" w:cs="宋体"/>
          <w:sz w:val="22"/>
          <w:szCs w:val="22"/>
        </w:rPr>
        <w:t xml:space="preserve"> </w:t>
      </w:r>
      <w:r>
        <w:rPr>
          <w:rFonts w:ascii="宋体" w:eastAsia="宋体" w:hAnsi="宋体" w:cs="宋体"/>
          <w:spacing w:val="-12"/>
          <w:sz w:val="22"/>
          <w:szCs w:val="22"/>
        </w:rPr>
        <w:t>化方法时，应注意工艺条件和强化条件的控制，在最</w:t>
      </w:r>
      <w:r>
        <w:rPr>
          <w:rFonts w:ascii="宋体" w:eastAsia="宋体" w:hAnsi="宋体" w:cs="宋体"/>
          <w:spacing w:val="-13"/>
          <w:sz w:val="22"/>
          <w:szCs w:val="22"/>
        </w:rPr>
        <w:t>适宜的时间和工序添加强化</w:t>
      </w:r>
      <w:r>
        <w:rPr>
          <w:rFonts w:ascii="宋体" w:eastAsia="宋体" w:hAnsi="宋体" w:cs="宋体"/>
          <w:sz w:val="22"/>
          <w:szCs w:val="22"/>
        </w:rPr>
        <w:t xml:space="preserve"> </w:t>
      </w:r>
      <w:r>
        <w:rPr>
          <w:rFonts w:ascii="宋体" w:eastAsia="宋体" w:hAnsi="宋体" w:cs="宋体"/>
          <w:spacing w:val="-14"/>
          <w:sz w:val="22"/>
          <w:szCs w:val="22"/>
        </w:rPr>
        <w:t>剂，以尽可能减少食品的有效成分的损失。</w:t>
      </w:r>
    </w:p>
    <w:p w:rsidR="00EA40A3" w:rsidRDefault="00E86C16">
      <w:pPr>
        <w:spacing w:before="236" w:line="219" w:lineRule="auto"/>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30"/>
          <w:sz w:val="22"/>
          <w:szCs w:val="22"/>
        </w:rPr>
        <w:t xml:space="preserve"> </w:t>
      </w:r>
      <w:r>
        <w:rPr>
          <w:rFonts w:ascii="仿宋" w:eastAsia="仿宋" w:hAnsi="仿宋" w:cs="仿宋"/>
          <w:spacing w:val="14"/>
          <w:sz w:val="22"/>
          <w:szCs w:val="22"/>
        </w:rPr>
        <w:t>在原料或必需食物中添加</w:t>
      </w:r>
    </w:p>
    <w:p w:rsidR="00EA40A3" w:rsidRDefault="00E86C16">
      <w:pPr>
        <w:spacing w:before="202" w:line="244" w:lineRule="auto"/>
        <w:ind w:right="99" w:firstLine="449"/>
        <w:jc w:val="both"/>
        <w:rPr>
          <w:rFonts w:ascii="宋体" w:eastAsia="宋体" w:hAnsi="宋体" w:cs="宋体"/>
          <w:sz w:val="22"/>
          <w:szCs w:val="22"/>
        </w:rPr>
      </w:pPr>
      <w:r>
        <w:rPr>
          <w:rFonts w:ascii="宋体" w:eastAsia="宋体" w:hAnsi="宋体" w:cs="宋体"/>
          <w:spacing w:val="-13"/>
          <w:sz w:val="22"/>
          <w:szCs w:val="22"/>
        </w:rPr>
        <w:t>此法适用于由国家法令强制规定添加的强化食品，</w:t>
      </w:r>
      <w:r>
        <w:rPr>
          <w:rFonts w:ascii="宋体" w:eastAsia="宋体" w:hAnsi="宋体" w:cs="宋体"/>
          <w:spacing w:val="-14"/>
          <w:sz w:val="22"/>
          <w:szCs w:val="22"/>
        </w:rPr>
        <w:t>对具有公共卫生意义的物</w:t>
      </w:r>
      <w:r>
        <w:rPr>
          <w:rFonts w:ascii="宋体" w:eastAsia="宋体" w:hAnsi="宋体" w:cs="宋体"/>
          <w:sz w:val="22"/>
          <w:szCs w:val="22"/>
        </w:rPr>
        <w:t xml:space="preserve"> </w:t>
      </w:r>
      <w:r>
        <w:rPr>
          <w:rFonts w:ascii="宋体" w:eastAsia="宋体" w:hAnsi="宋体" w:cs="宋体"/>
          <w:spacing w:val="-12"/>
          <w:sz w:val="22"/>
          <w:szCs w:val="22"/>
        </w:rPr>
        <w:t>质亦适用。例如，有些地方为了预防甲状腺肿大，</w:t>
      </w:r>
      <w:r>
        <w:rPr>
          <w:rFonts w:ascii="宋体" w:eastAsia="宋体" w:hAnsi="宋体" w:cs="宋体"/>
          <w:spacing w:val="-13"/>
          <w:sz w:val="22"/>
          <w:szCs w:val="22"/>
        </w:rPr>
        <w:t>食盐中添加碘；有些国家为了</w:t>
      </w:r>
      <w:r>
        <w:rPr>
          <w:rFonts w:ascii="宋体" w:eastAsia="宋体" w:hAnsi="宋体" w:cs="宋体"/>
          <w:sz w:val="22"/>
          <w:szCs w:val="22"/>
        </w:rPr>
        <w:t xml:space="preserve"> </w:t>
      </w:r>
      <w:r>
        <w:rPr>
          <w:rFonts w:ascii="宋体" w:eastAsia="宋体" w:hAnsi="宋体" w:cs="宋体"/>
          <w:spacing w:val="-7"/>
          <w:sz w:val="22"/>
          <w:szCs w:val="22"/>
        </w:rPr>
        <w:t>防止脚气病，规定粮食中添加维生素B</w:t>
      </w:r>
      <w:r>
        <w:rPr>
          <w:rFonts w:ascii="Calibri" w:eastAsia="Calibri" w:hAnsi="Calibri" w:cs="Calibri"/>
          <w:spacing w:val="-7"/>
          <w:sz w:val="22"/>
          <w:szCs w:val="22"/>
        </w:rPr>
        <w:t>₁</w:t>
      </w:r>
      <w:r>
        <w:rPr>
          <w:rFonts w:ascii="Calibri" w:eastAsia="Calibri" w:hAnsi="Calibri" w:cs="Calibri"/>
          <w:spacing w:val="10"/>
          <w:sz w:val="22"/>
          <w:szCs w:val="22"/>
        </w:rPr>
        <w:t xml:space="preserve"> </w:t>
      </w:r>
      <w:r>
        <w:rPr>
          <w:rFonts w:ascii="宋体" w:eastAsia="宋体" w:hAnsi="宋体" w:cs="宋体"/>
          <w:spacing w:val="-7"/>
          <w:sz w:val="22"/>
          <w:szCs w:val="22"/>
        </w:rPr>
        <w:t>;</w:t>
      </w:r>
      <w:r>
        <w:rPr>
          <w:rFonts w:ascii="宋体" w:eastAsia="宋体" w:hAnsi="宋体" w:cs="宋体"/>
          <w:spacing w:val="40"/>
          <w:sz w:val="22"/>
          <w:szCs w:val="22"/>
        </w:rPr>
        <w:t xml:space="preserve"> </w:t>
      </w:r>
      <w:r>
        <w:rPr>
          <w:rFonts w:ascii="宋体" w:eastAsia="宋体" w:hAnsi="宋体" w:cs="宋体"/>
          <w:spacing w:val="-7"/>
          <w:sz w:val="22"/>
          <w:szCs w:val="22"/>
        </w:rPr>
        <w:t>在面粉、大米中添加维生素A、</w:t>
      </w:r>
      <w:r>
        <w:rPr>
          <w:rFonts w:ascii="宋体" w:eastAsia="宋体" w:hAnsi="宋体" w:cs="宋体"/>
          <w:spacing w:val="-13"/>
          <w:sz w:val="22"/>
          <w:szCs w:val="22"/>
        </w:rPr>
        <w:t xml:space="preserve"> </w:t>
      </w:r>
      <w:r>
        <w:rPr>
          <w:rFonts w:ascii="宋体" w:eastAsia="宋体" w:hAnsi="宋体" w:cs="宋体"/>
          <w:spacing w:val="-7"/>
          <w:sz w:val="22"/>
          <w:szCs w:val="22"/>
        </w:rPr>
        <w:t>维生</w:t>
      </w:r>
      <w:r>
        <w:rPr>
          <w:rFonts w:ascii="宋体" w:eastAsia="宋体" w:hAnsi="宋体" w:cs="宋体"/>
          <w:sz w:val="22"/>
          <w:szCs w:val="22"/>
        </w:rPr>
        <w:t xml:space="preserve"> </w:t>
      </w:r>
      <w:r>
        <w:rPr>
          <w:rFonts w:ascii="宋体" w:eastAsia="宋体" w:hAnsi="宋体" w:cs="宋体"/>
          <w:spacing w:val="-13"/>
          <w:sz w:val="22"/>
          <w:szCs w:val="22"/>
        </w:rPr>
        <w:t>素D</w:t>
      </w:r>
      <w:r>
        <w:rPr>
          <w:rFonts w:ascii="宋体" w:eastAsia="宋体" w:hAnsi="宋体" w:cs="宋体"/>
          <w:spacing w:val="-23"/>
          <w:sz w:val="22"/>
          <w:szCs w:val="22"/>
        </w:rPr>
        <w:t xml:space="preserve"> </w:t>
      </w:r>
      <w:r>
        <w:rPr>
          <w:rFonts w:ascii="宋体" w:eastAsia="宋体" w:hAnsi="宋体" w:cs="宋体"/>
          <w:spacing w:val="-13"/>
          <w:sz w:val="22"/>
          <w:szCs w:val="22"/>
        </w:rPr>
        <w:t>及铁质、钙质等。</w:t>
      </w:r>
    </w:p>
    <w:p w:rsidR="00EA40A3" w:rsidRDefault="00E86C16">
      <w:pPr>
        <w:spacing w:before="70" w:line="243" w:lineRule="auto"/>
        <w:ind w:right="19" w:firstLine="449"/>
        <w:jc w:val="both"/>
        <w:rPr>
          <w:rFonts w:ascii="宋体" w:eastAsia="宋体" w:hAnsi="宋体" w:cs="宋体"/>
          <w:sz w:val="22"/>
          <w:szCs w:val="22"/>
        </w:rPr>
      </w:pPr>
      <w:r>
        <w:rPr>
          <w:rFonts w:ascii="宋体" w:eastAsia="宋体" w:hAnsi="宋体" w:cs="宋体"/>
          <w:spacing w:val="-11"/>
          <w:sz w:val="22"/>
          <w:szCs w:val="22"/>
        </w:rPr>
        <w:t>这种强化方法简单，易操作，但存在的问题是：添加后，由于面粉、大米，</w:t>
      </w:r>
      <w:r>
        <w:rPr>
          <w:rFonts w:ascii="宋体" w:eastAsia="宋体" w:hAnsi="宋体" w:cs="宋体"/>
          <w:spacing w:val="2"/>
          <w:sz w:val="22"/>
          <w:szCs w:val="22"/>
        </w:rPr>
        <w:t xml:space="preserve"> </w:t>
      </w:r>
      <w:r>
        <w:rPr>
          <w:rFonts w:ascii="宋体" w:eastAsia="宋体" w:hAnsi="宋体" w:cs="宋体"/>
          <w:spacing w:val="-13"/>
          <w:sz w:val="22"/>
          <w:szCs w:val="22"/>
        </w:rPr>
        <w:t>食盐等在供给居民食用以前必然要经过储藏和运输，在储运这段时间内易造成强</w:t>
      </w:r>
      <w:r>
        <w:rPr>
          <w:rFonts w:ascii="宋体" w:eastAsia="宋体" w:hAnsi="宋体" w:cs="宋体"/>
          <w:spacing w:val="2"/>
          <w:sz w:val="22"/>
          <w:szCs w:val="22"/>
        </w:rPr>
        <w:t xml:space="preserve">  </w:t>
      </w:r>
      <w:r>
        <w:rPr>
          <w:rFonts w:ascii="宋体" w:eastAsia="宋体" w:hAnsi="宋体" w:cs="宋体"/>
          <w:spacing w:val="-13"/>
          <w:sz w:val="22"/>
          <w:szCs w:val="22"/>
        </w:rPr>
        <w:t>化成分损失。因此，在储运过程中，其保存条件及包装状况</w:t>
      </w:r>
      <w:r>
        <w:rPr>
          <w:rFonts w:ascii="宋体" w:eastAsia="宋体" w:hAnsi="宋体" w:cs="宋体"/>
          <w:spacing w:val="-14"/>
          <w:sz w:val="22"/>
          <w:szCs w:val="22"/>
        </w:rPr>
        <w:t>将对营养强化剂的损</w:t>
      </w:r>
      <w:r>
        <w:rPr>
          <w:rFonts w:ascii="宋体" w:eastAsia="宋体" w:hAnsi="宋体" w:cs="宋体"/>
          <w:sz w:val="22"/>
          <w:szCs w:val="22"/>
        </w:rPr>
        <w:t xml:space="preserve">  </w:t>
      </w:r>
      <w:r>
        <w:rPr>
          <w:rFonts w:ascii="宋体" w:eastAsia="宋体" w:hAnsi="宋体" w:cs="宋体"/>
          <w:spacing w:val="-14"/>
          <w:sz w:val="22"/>
          <w:szCs w:val="22"/>
        </w:rPr>
        <w:t>失有很大影响。目前，各国对此都有较深入的研究。</w:t>
      </w:r>
    </w:p>
    <w:p w:rsidR="00EA40A3" w:rsidRDefault="00EA40A3">
      <w:pPr>
        <w:sectPr w:rsidR="00EA40A3">
          <w:footerReference w:type="default" r:id="rId218"/>
          <w:pgSz w:w="9220" w:h="13360"/>
          <w:pgMar w:top="400" w:right="919" w:bottom="1224" w:left="930" w:header="0" w:footer="991" w:gutter="0"/>
          <w:cols w:space="720"/>
        </w:sectPr>
      </w:pPr>
    </w:p>
    <w:p w:rsidR="00EA40A3" w:rsidRDefault="00EA40A3">
      <w:pPr>
        <w:spacing w:line="352" w:lineRule="auto"/>
      </w:pPr>
    </w:p>
    <w:p w:rsidR="00EA40A3" w:rsidRDefault="00EA40A3">
      <w:pPr>
        <w:spacing w:line="353" w:lineRule="auto"/>
      </w:pPr>
    </w:p>
    <w:p w:rsidR="00EA40A3" w:rsidRDefault="00E86C16">
      <w:pPr>
        <w:spacing w:before="75" w:line="219" w:lineRule="auto"/>
        <w:rPr>
          <w:rFonts w:ascii="仿宋" w:eastAsia="仿宋" w:hAnsi="仿宋" w:cs="仿宋"/>
          <w:sz w:val="23"/>
          <w:szCs w:val="23"/>
        </w:rPr>
      </w:pPr>
      <w:r>
        <w:rPr>
          <w:rFonts w:ascii="仿宋" w:eastAsia="仿宋" w:hAnsi="仿宋" w:cs="仿宋"/>
          <w:spacing w:val="5"/>
          <w:sz w:val="23"/>
          <w:szCs w:val="23"/>
        </w:rPr>
        <w:t>3.</w:t>
      </w:r>
      <w:r>
        <w:rPr>
          <w:rFonts w:ascii="仿宋" w:eastAsia="仿宋" w:hAnsi="仿宋" w:cs="仿宋"/>
          <w:spacing w:val="-42"/>
          <w:sz w:val="23"/>
          <w:szCs w:val="23"/>
        </w:rPr>
        <w:t xml:space="preserve"> </w:t>
      </w:r>
      <w:r>
        <w:rPr>
          <w:rFonts w:ascii="仿宋" w:eastAsia="仿宋" w:hAnsi="仿宋" w:cs="仿宋"/>
          <w:spacing w:val="5"/>
          <w:sz w:val="23"/>
          <w:szCs w:val="23"/>
        </w:rPr>
        <w:t>在成品中混入</w:t>
      </w:r>
    </w:p>
    <w:p w:rsidR="00EA40A3" w:rsidRDefault="00E86C16">
      <w:pPr>
        <w:spacing w:before="162" w:line="235" w:lineRule="auto"/>
        <w:ind w:right="105" w:firstLine="399"/>
        <w:jc w:val="both"/>
        <w:rPr>
          <w:rFonts w:ascii="宋体" w:eastAsia="宋体" w:hAnsi="宋体" w:cs="宋体"/>
          <w:sz w:val="23"/>
          <w:szCs w:val="23"/>
        </w:rPr>
      </w:pPr>
      <w:r>
        <w:rPr>
          <w:rFonts w:ascii="宋体" w:eastAsia="宋体" w:hAnsi="宋体" w:cs="宋体"/>
          <w:spacing w:val="-22"/>
          <w:w w:val="99"/>
          <w:sz w:val="23"/>
          <w:szCs w:val="23"/>
        </w:rPr>
        <w:t>采用前两种方法强化食品时，在加工和储藏过程中会使营养强化剂造成一定</w:t>
      </w:r>
      <w:r>
        <w:rPr>
          <w:rFonts w:ascii="宋体" w:eastAsia="宋体" w:hAnsi="宋体" w:cs="宋体"/>
          <w:spacing w:val="34"/>
          <w:sz w:val="23"/>
          <w:szCs w:val="23"/>
        </w:rPr>
        <w:t xml:space="preserve"> </w:t>
      </w:r>
      <w:r>
        <w:rPr>
          <w:rFonts w:ascii="宋体" w:eastAsia="宋体" w:hAnsi="宋体" w:cs="宋体"/>
          <w:spacing w:val="-23"/>
          <w:sz w:val="23"/>
          <w:szCs w:val="23"/>
        </w:rPr>
        <w:t>程度的损失。为了避免这种损失，可采取在成品中混入的方法进行</w:t>
      </w:r>
      <w:r>
        <w:rPr>
          <w:rFonts w:ascii="宋体" w:eastAsia="宋体" w:hAnsi="宋体" w:cs="宋体"/>
          <w:spacing w:val="-24"/>
          <w:sz w:val="23"/>
          <w:szCs w:val="23"/>
        </w:rPr>
        <w:t>强化，即在成</w:t>
      </w:r>
      <w:r>
        <w:rPr>
          <w:rFonts w:ascii="宋体" w:eastAsia="宋体" w:hAnsi="宋体" w:cs="宋体"/>
          <w:sz w:val="23"/>
          <w:szCs w:val="23"/>
        </w:rPr>
        <w:t xml:space="preserve"> </w:t>
      </w:r>
      <w:r>
        <w:rPr>
          <w:rFonts w:ascii="宋体" w:eastAsia="宋体" w:hAnsi="宋体" w:cs="宋体"/>
          <w:spacing w:val="-23"/>
          <w:sz w:val="23"/>
          <w:szCs w:val="23"/>
        </w:rPr>
        <w:t>品的最后工序中混入营养强化剂。例如，婴幼儿食品中的母乳化</w:t>
      </w:r>
      <w:r>
        <w:rPr>
          <w:rFonts w:ascii="宋体" w:eastAsia="宋体" w:hAnsi="宋体" w:cs="宋体"/>
          <w:spacing w:val="-24"/>
          <w:sz w:val="23"/>
          <w:szCs w:val="23"/>
        </w:rPr>
        <w:t>奶粉、军队用粮</w:t>
      </w:r>
      <w:r>
        <w:rPr>
          <w:rFonts w:ascii="宋体" w:eastAsia="宋体" w:hAnsi="宋体" w:cs="宋体"/>
          <w:sz w:val="23"/>
          <w:szCs w:val="23"/>
        </w:rPr>
        <w:t xml:space="preserve"> </w:t>
      </w:r>
      <w:r>
        <w:rPr>
          <w:rFonts w:ascii="宋体" w:eastAsia="宋体" w:hAnsi="宋体" w:cs="宋体"/>
          <w:spacing w:val="-25"/>
          <w:sz w:val="23"/>
          <w:szCs w:val="23"/>
        </w:rPr>
        <w:t>中的压缩食品等，均在制成品中混入。</w:t>
      </w:r>
    </w:p>
    <w:p w:rsidR="00EA40A3" w:rsidRDefault="00E86C16">
      <w:pPr>
        <w:spacing w:before="204" w:line="221" w:lineRule="auto"/>
        <w:rPr>
          <w:rFonts w:ascii="仿宋" w:eastAsia="仿宋" w:hAnsi="仿宋" w:cs="仿宋"/>
          <w:sz w:val="23"/>
          <w:szCs w:val="23"/>
        </w:rPr>
      </w:pPr>
      <w:r>
        <w:rPr>
          <w:rFonts w:ascii="仿宋" w:eastAsia="仿宋" w:hAnsi="仿宋" w:cs="仿宋"/>
          <w:spacing w:val="4"/>
          <w:sz w:val="23"/>
          <w:szCs w:val="23"/>
        </w:rPr>
        <w:t>4.</w:t>
      </w:r>
      <w:r>
        <w:rPr>
          <w:rFonts w:ascii="仿宋" w:eastAsia="仿宋" w:hAnsi="仿宋" w:cs="仿宋"/>
          <w:spacing w:val="-37"/>
          <w:sz w:val="23"/>
          <w:szCs w:val="23"/>
        </w:rPr>
        <w:t xml:space="preserve"> </w:t>
      </w:r>
      <w:r>
        <w:rPr>
          <w:rFonts w:ascii="仿宋" w:eastAsia="仿宋" w:hAnsi="仿宋" w:cs="仿宋"/>
          <w:spacing w:val="4"/>
          <w:sz w:val="23"/>
          <w:szCs w:val="23"/>
        </w:rPr>
        <w:t>生物化学强化法</w:t>
      </w:r>
    </w:p>
    <w:p w:rsidR="00EA40A3" w:rsidRDefault="00E86C16">
      <w:pPr>
        <w:spacing w:before="198" w:line="239" w:lineRule="auto"/>
        <w:ind w:firstLine="399"/>
        <w:jc w:val="both"/>
        <w:rPr>
          <w:rFonts w:ascii="宋体" w:eastAsia="宋体" w:hAnsi="宋体" w:cs="宋体"/>
          <w:sz w:val="23"/>
          <w:szCs w:val="23"/>
        </w:rPr>
      </w:pPr>
      <w:r>
        <w:rPr>
          <w:rFonts w:ascii="宋体" w:eastAsia="宋体" w:hAnsi="宋体" w:cs="宋体"/>
          <w:spacing w:val="-21"/>
          <w:w w:val="99"/>
          <w:sz w:val="23"/>
          <w:szCs w:val="23"/>
        </w:rPr>
        <w:t>利用生物化学方法使食物中原来含有的某些成分转变为人体需要的营养成分</w:t>
      </w:r>
      <w:r>
        <w:rPr>
          <w:rFonts w:ascii="宋体" w:eastAsia="宋体" w:hAnsi="宋体" w:cs="宋体"/>
          <w:spacing w:val="8"/>
          <w:sz w:val="23"/>
          <w:szCs w:val="23"/>
        </w:rPr>
        <w:t xml:space="preserve">  </w:t>
      </w:r>
      <w:r>
        <w:rPr>
          <w:rFonts w:ascii="宋体" w:eastAsia="宋体" w:hAnsi="宋体" w:cs="宋体"/>
          <w:spacing w:val="-23"/>
          <w:sz w:val="23"/>
          <w:szCs w:val="23"/>
        </w:rPr>
        <w:t>的强化方法，称为生物化学强化法。例如，在谷类食品中植酸能与</w:t>
      </w:r>
      <w:r>
        <w:rPr>
          <w:rFonts w:ascii="宋体" w:eastAsia="宋体" w:hAnsi="宋体" w:cs="宋体"/>
          <w:spacing w:val="-24"/>
          <w:sz w:val="23"/>
          <w:szCs w:val="23"/>
        </w:rPr>
        <w:t>锌结合而形成</w:t>
      </w:r>
      <w:r>
        <w:rPr>
          <w:rFonts w:ascii="宋体" w:eastAsia="宋体" w:hAnsi="宋体" w:cs="宋体"/>
          <w:sz w:val="23"/>
          <w:szCs w:val="23"/>
        </w:rPr>
        <w:t xml:space="preserve">  </w:t>
      </w:r>
      <w:r>
        <w:rPr>
          <w:rFonts w:ascii="宋体" w:eastAsia="宋体" w:hAnsi="宋体" w:cs="宋体"/>
          <w:spacing w:val="-23"/>
          <w:sz w:val="23"/>
          <w:szCs w:val="23"/>
        </w:rPr>
        <w:t>不溶性盐类，使锌的利用率下降。若利用酵母菌能产生活性植酸酶的特点，将面</w:t>
      </w:r>
      <w:r>
        <w:rPr>
          <w:rFonts w:ascii="宋体" w:eastAsia="宋体" w:hAnsi="宋体" w:cs="宋体"/>
          <w:spacing w:val="12"/>
          <w:sz w:val="23"/>
          <w:szCs w:val="23"/>
        </w:rPr>
        <w:t xml:space="preserve"> </w:t>
      </w:r>
      <w:r>
        <w:rPr>
          <w:rFonts w:ascii="宋体" w:eastAsia="宋体" w:hAnsi="宋体" w:cs="宋体"/>
          <w:spacing w:val="-6"/>
          <w:sz w:val="23"/>
          <w:szCs w:val="23"/>
        </w:rPr>
        <w:t>粉经过酵母发酵后，植酸可以减少13%～20%,锌的溶解度增加2～3倍，锌的</w:t>
      </w:r>
      <w:r>
        <w:rPr>
          <w:rFonts w:ascii="宋体" w:eastAsia="宋体" w:hAnsi="宋体" w:cs="宋体"/>
          <w:spacing w:val="13"/>
          <w:sz w:val="23"/>
          <w:szCs w:val="23"/>
        </w:rPr>
        <w:t xml:space="preserve"> </w:t>
      </w:r>
      <w:r>
        <w:rPr>
          <w:rFonts w:ascii="宋体" w:eastAsia="宋体" w:hAnsi="宋体" w:cs="宋体"/>
          <w:spacing w:val="-9"/>
          <w:sz w:val="23"/>
          <w:szCs w:val="23"/>
        </w:rPr>
        <w:t>利用率增加30%～50%。再如在豆类发芽过程中</w:t>
      </w:r>
      <w:r>
        <w:rPr>
          <w:rFonts w:ascii="宋体" w:eastAsia="宋体" w:hAnsi="宋体" w:cs="宋体"/>
          <w:spacing w:val="-10"/>
          <w:sz w:val="23"/>
          <w:szCs w:val="23"/>
        </w:rPr>
        <w:t>植物凝血素会很快消失，其中</w:t>
      </w:r>
      <w:r>
        <w:rPr>
          <w:rFonts w:ascii="宋体" w:eastAsia="宋体" w:hAnsi="宋体" w:cs="宋体"/>
          <w:sz w:val="23"/>
          <w:szCs w:val="23"/>
        </w:rPr>
        <w:t xml:space="preserve"> </w:t>
      </w:r>
      <w:r>
        <w:rPr>
          <w:rFonts w:ascii="宋体" w:eastAsia="宋体" w:hAnsi="宋体" w:cs="宋体"/>
          <w:spacing w:val="-17"/>
          <w:sz w:val="23"/>
          <w:szCs w:val="23"/>
        </w:rPr>
        <w:t>的植酸也发生分解，更多的锌、磷被释放出来，使食物中的矿物质得到充分利</w:t>
      </w:r>
      <w:r>
        <w:rPr>
          <w:rFonts w:ascii="宋体" w:eastAsia="宋体" w:hAnsi="宋体" w:cs="宋体"/>
          <w:spacing w:val="1"/>
          <w:sz w:val="23"/>
          <w:szCs w:val="23"/>
        </w:rPr>
        <w:t xml:space="preserve">  </w:t>
      </w:r>
      <w:r>
        <w:rPr>
          <w:rFonts w:ascii="宋体" w:eastAsia="宋体" w:hAnsi="宋体" w:cs="宋体"/>
          <w:spacing w:val="-17"/>
          <w:sz w:val="23"/>
          <w:szCs w:val="23"/>
        </w:rPr>
        <w:t>用，并能使其中的维生素C</w:t>
      </w:r>
      <w:r>
        <w:rPr>
          <w:rFonts w:ascii="宋体" w:eastAsia="宋体" w:hAnsi="宋体" w:cs="宋体"/>
          <w:spacing w:val="-4"/>
          <w:sz w:val="23"/>
          <w:szCs w:val="23"/>
        </w:rPr>
        <w:t xml:space="preserve"> </w:t>
      </w:r>
      <w:r>
        <w:rPr>
          <w:rFonts w:ascii="宋体" w:eastAsia="宋体" w:hAnsi="宋体" w:cs="宋体"/>
          <w:spacing w:val="-17"/>
          <w:sz w:val="23"/>
          <w:szCs w:val="23"/>
        </w:rPr>
        <w:t>明显提高。根据日本特许公报报道，在制造母乳化</w:t>
      </w:r>
      <w:r>
        <w:rPr>
          <w:rFonts w:ascii="宋体" w:eastAsia="宋体" w:hAnsi="宋体" w:cs="宋体"/>
          <w:sz w:val="23"/>
          <w:szCs w:val="23"/>
        </w:rPr>
        <w:t xml:space="preserve">  </w:t>
      </w:r>
      <w:r>
        <w:rPr>
          <w:rFonts w:ascii="宋体" w:eastAsia="宋体" w:hAnsi="宋体" w:cs="宋体"/>
          <w:spacing w:val="-22"/>
          <w:sz w:val="23"/>
          <w:szCs w:val="23"/>
        </w:rPr>
        <w:t>奶粉及新生儿的食品时采用胃蛋白酶或胰蛋白酶</w:t>
      </w:r>
      <w:r>
        <w:rPr>
          <w:rFonts w:ascii="宋体" w:eastAsia="宋体" w:hAnsi="宋体" w:cs="宋体"/>
          <w:spacing w:val="-23"/>
          <w:sz w:val="23"/>
          <w:szCs w:val="23"/>
        </w:rPr>
        <w:t>分解牛乳蛋白质生成肽链较短的</w:t>
      </w:r>
      <w:r>
        <w:rPr>
          <w:rFonts w:ascii="宋体" w:eastAsia="宋体" w:hAnsi="宋体" w:cs="宋体"/>
          <w:sz w:val="23"/>
          <w:szCs w:val="23"/>
        </w:rPr>
        <w:t xml:space="preserve"> </w:t>
      </w:r>
      <w:r>
        <w:rPr>
          <w:rFonts w:ascii="宋体" w:eastAsia="宋体" w:hAnsi="宋体" w:cs="宋体"/>
          <w:spacing w:val="-23"/>
          <w:sz w:val="23"/>
          <w:szCs w:val="23"/>
        </w:rPr>
        <w:t>多肽物质，以利于新生儿的消化吸收。除了上述生物化学强化法外，</w:t>
      </w:r>
      <w:r>
        <w:rPr>
          <w:rFonts w:ascii="宋体" w:eastAsia="宋体" w:hAnsi="宋体" w:cs="宋体"/>
          <w:spacing w:val="-24"/>
          <w:sz w:val="23"/>
          <w:szCs w:val="23"/>
        </w:rPr>
        <w:t>也有采用物</w:t>
      </w:r>
      <w:r>
        <w:rPr>
          <w:rFonts w:ascii="宋体" w:eastAsia="宋体" w:hAnsi="宋体" w:cs="宋体"/>
          <w:sz w:val="23"/>
          <w:szCs w:val="23"/>
        </w:rPr>
        <w:t xml:space="preserve">  </w:t>
      </w:r>
      <w:r>
        <w:rPr>
          <w:rFonts w:ascii="宋体" w:eastAsia="宋体" w:hAnsi="宋体" w:cs="宋体"/>
          <w:spacing w:val="-23"/>
          <w:sz w:val="23"/>
          <w:szCs w:val="23"/>
        </w:rPr>
        <w:t>理化学法进行强化的，最典型的例子是将牛乳中的麦角甾醇用紫外线照射后转变</w:t>
      </w:r>
      <w:r>
        <w:rPr>
          <w:rFonts w:ascii="宋体" w:eastAsia="宋体" w:hAnsi="宋体" w:cs="宋体"/>
          <w:spacing w:val="12"/>
          <w:sz w:val="23"/>
          <w:szCs w:val="23"/>
        </w:rPr>
        <w:t xml:space="preserve"> </w:t>
      </w:r>
      <w:r>
        <w:rPr>
          <w:rFonts w:ascii="宋体" w:eastAsia="宋体" w:hAnsi="宋体" w:cs="宋体"/>
          <w:spacing w:val="-19"/>
          <w:sz w:val="23"/>
          <w:szCs w:val="23"/>
        </w:rPr>
        <w:t>成维生素D</w:t>
      </w:r>
      <w:r>
        <w:rPr>
          <w:rFonts w:ascii="Calibri" w:eastAsia="Calibri" w:hAnsi="Calibri" w:cs="Calibri"/>
          <w:spacing w:val="-19"/>
          <w:sz w:val="23"/>
          <w:szCs w:val="23"/>
        </w:rPr>
        <w:t>₂</w:t>
      </w:r>
      <w:r>
        <w:rPr>
          <w:rFonts w:ascii="宋体" w:eastAsia="宋体" w:hAnsi="宋体" w:cs="宋体"/>
          <w:spacing w:val="-19"/>
          <w:sz w:val="23"/>
          <w:szCs w:val="23"/>
        </w:rPr>
        <w:t>,</w:t>
      </w:r>
      <w:r>
        <w:rPr>
          <w:rFonts w:ascii="宋体" w:eastAsia="宋体" w:hAnsi="宋体" w:cs="宋体"/>
          <w:spacing w:val="32"/>
          <w:sz w:val="23"/>
          <w:szCs w:val="23"/>
        </w:rPr>
        <w:t xml:space="preserve"> </w:t>
      </w:r>
      <w:r>
        <w:rPr>
          <w:rFonts w:ascii="宋体" w:eastAsia="宋体" w:hAnsi="宋体" w:cs="宋体"/>
          <w:spacing w:val="-19"/>
          <w:sz w:val="23"/>
          <w:szCs w:val="23"/>
        </w:rPr>
        <w:t>以此方法可增加牛乳中维生素D</w:t>
      </w:r>
      <w:r>
        <w:rPr>
          <w:rFonts w:ascii="宋体" w:eastAsia="宋体" w:hAnsi="宋体" w:cs="宋体"/>
          <w:spacing w:val="-16"/>
          <w:sz w:val="23"/>
          <w:szCs w:val="23"/>
        </w:rPr>
        <w:t xml:space="preserve"> </w:t>
      </w:r>
      <w:r>
        <w:rPr>
          <w:rFonts w:ascii="宋体" w:eastAsia="宋体" w:hAnsi="宋体" w:cs="宋体"/>
          <w:spacing w:val="-19"/>
          <w:sz w:val="23"/>
          <w:szCs w:val="23"/>
        </w:rPr>
        <w:t>的含量。此外，常用酸水解方法</w:t>
      </w:r>
      <w:r>
        <w:rPr>
          <w:rFonts w:ascii="宋体" w:eastAsia="宋体" w:hAnsi="宋体" w:cs="宋体"/>
          <w:spacing w:val="-20"/>
          <w:sz w:val="23"/>
          <w:szCs w:val="23"/>
        </w:rPr>
        <w:t>，</w:t>
      </w:r>
      <w:r>
        <w:rPr>
          <w:rFonts w:ascii="宋体" w:eastAsia="宋体" w:hAnsi="宋体" w:cs="宋体"/>
          <w:sz w:val="23"/>
          <w:szCs w:val="23"/>
        </w:rPr>
        <w:t xml:space="preserve"> </w:t>
      </w:r>
      <w:r>
        <w:rPr>
          <w:rFonts w:ascii="宋体" w:eastAsia="宋体" w:hAnsi="宋体" w:cs="宋体"/>
          <w:spacing w:val="-23"/>
          <w:sz w:val="23"/>
          <w:szCs w:val="23"/>
        </w:rPr>
        <w:t>将长链的大分子水解成较短链的小分子物质，以利于消化吸收。</w:t>
      </w:r>
    </w:p>
    <w:p w:rsidR="00EA40A3" w:rsidRDefault="00E86C16">
      <w:pPr>
        <w:spacing w:before="251" w:line="221" w:lineRule="auto"/>
        <w:ind w:left="3"/>
        <w:outlineLvl w:val="6"/>
        <w:rPr>
          <w:rFonts w:ascii="黑体" w:eastAsia="黑体" w:hAnsi="黑体" w:cs="黑体"/>
          <w:sz w:val="23"/>
          <w:szCs w:val="23"/>
        </w:rPr>
      </w:pPr>
      <w:r>
        <w:rPr>
          <w:rFonts w:ascii="黑体" w:eastAsia="黑体" w:hAnsi="黑体" w:cs="黑体"/>
          <w:b/>
          <w:bCs/>
          <w:spacing w:val="2"/>
          <w:sz w:val="23"/>
          <w:szCs w:val="23"/>
        </w:rPr>
        <w:t>8.3.2</w:t>
      </w:r>
      <w:r>
        <w:rPr>
          <w:rFonts w:ascii="黑体" w:eastAsia="黑体" w:hAnsi="黑体" w:cs="黑体"/>
          <w:spacing w:val="13"/>
          <w:sz w:val="23"/>
          <w:szCs w:val="23"/>
        </w:rPr>
        <w:t xml:space="preserve">  </w:t>
      </w:r>
      <w:r>
        <w:rPr>
          <w:rFonts w:ascii="黑体" w:eastAsia="黑体" w:hAnsi="黑体" w:cs="黑体"/>
          <w:b/>
          <w:bCs/>
          <w:spacing w:val="2"/>
          <w:sz w:val="23"/>
          <w:szCs w:val="23"/>
        </w:rPr>
        <w:t>营养强化剂的保护</w:t>
      </w:r>
    </w:p>
    <w:p w:rsidR="00EA40A3" w:rsidRDefault="00E86C16">
      <w:pPr>
        <w:spacing w:before="176" w:line="238" w:lineRule="auto"/>
        <w:ind w:firstLine="399"/>
        <w:jc w:val="both"/>
        <w:rPr>
          <w:rFonts w:ascii="宋体" w:eastAsia="宋体" w:hAnsi="宋体" w:cs="宋体"/>
          <w:sz w:val="23"/>
          <w:szCs w:val="23"/>
        </w:rPr>
      </w:pPr>
      <w:r>
        <w:rPr>
          <w:rFonts w:ascii="宋体" w:eastAsia="宋体" w:hAnsi="宋体" w:cs="宋体"/>
          <w:spacing w:val="-23"/>
          <w:sz w:val="23"/>
          <w:szCs w:val="23"/>
        </w:rPr>
        <w:t>食品营养强化加工中，除需选择适当的强化方法外，还需确保营养强化剂在</w:t>
      </w:r>
      <w:r>
        <w:rPr>
          <w:rFonts w:ascii="宋体" w:eastAsia="宋体" w:hAnsi="宋体" w:cs="宋体"/>
          <w:spacing w:val="4"/>
          <w:sz w:val="23"/>
          <w:szCs w:val="23"/>
        </w:rPr>
        <w:t xml:space="preserve">  </w:t>
      </w:r>
      <w:r>
        <w:rPr>
          <w:rFonts w:ascii="宋体" w:eastAsia="宋体" w:hAnsi="宋体" w:cs="宋体"/>
          <w:spacing w:val="-16"/>
          <w:sz w:val="23"/>
          <w:szCs w:val="23"/>
        </w:rPr>
        <w:t>食品中稳定，因此，营养强化成分的保护成为食品营养强化加工的一个关键</w:t>
      </w:r>
      <w:r>
        <w:rPr>
          <w:rFonts w:ascii="宋体" w:eastAsia="宋体" w:hAnsi="宋体" w:cs="宋体"/>
          <w:spacing w:val="-17"/>
          <w:sz w:val="23"/>
          <w:szCs w:val="23"/>
        </w:rPr>
        <w:t>问</w:t>
      </w:r>
      <w:r>
        <w:rPr>
          <w:rFonts w:ascii="宋体" w:eastAsia="宋体" w:hAnsi="宋体" w:cs="宋体"/>
          <w:sz w:val="23"/>
          <w:szCs w:val="23"/>
        </w:rPr>
        <w:t xml:space="preserve"> </w:t>
      </w:r>
      <w:r>
        <w:rPr>
          <w:rFonts w:ascii="宋体" w:eastAsia="宋体" w:hAnsi="宋体" w:cs="宋体"/>
          <w:spacing w:val="-20"/>
          <w:sz w:val="23"/>
          <w:szCs w:val="23"/>
        </w:rPr>
        <w:t>题。食品经营养强化后，其营养强化成分遇热、光或氧等极易遭受</w:t>
      </w:r>
      <w:r>
        <w:rPr>
          <w:rFonts w:ascii="宋体" w:eastAsia="宋体" w:hAnsi="宋体" w:cs="宋体"/>
          <w:spacing w:val="-21"/>
          <w:sz w:val="23"/>
          <w:szCs w:val="23"/>
        </w:rPr>
        <w:t>破坏。此外，</w:t>
      </w:r>
      <w:r>
        <w:rPr>
          <w:rFonts w:ascii="宋体" w:eastAsia="宋体" w:hAnsi="宋体" w:cs="宋体"/>
          <w:sz w:val="23"/>
          <w:szCs w:val="23"/>
        </w:rPr>
        <w:t xml:space="preserve"> </w:t>
      </w:r>
      <w:r>
        <w:rPr>
          <w:rFonts w:ascii="宋体" w:eastAsia="宋体" w:hAnsi="宋体" w:cs="宋体"/>
          <w:spacing w:val="-23"/>
          <w:sz w:val="23"/>
          <w:szCs w:val="23"/>
        </w:rPr>
        <w:t>食用前烹调方式的不同也会造成营养强化剂的损失。强化食品中营养强</w:t>
      </w:r>
      <w:r>
        <w:rPr>
          <w:rFonts w:ascii="宋体" w:eastAsia="宋体" w:hAnsi="宋体" w:cs="宋体"/>
          <w:spacing w:val="-24"/>
          <w:sz w:val="23"/>
          <w:szCs w:val="23"/>
        </w:rPr>
        <w:t>化剂的稳</w:t>
      </w:r>
      <w:r>
        <w:rPr>
          <w:rFonts w:ascii="宋体" w:eastAsia="宋体" w:hAnsi="宋体" w:cs="宋体"/>
          <w:sz w:val="23"/>
          <w:szCs w:val="23"/>
        </w:rPr>
        <w:t xml:space="preserve">  </w:t>
      </w:r>
      <w:r>
        <w:rPr>
          <w:rFonts w:ascii="宋体" w:eastAsia="宋体" w:hAnsi="宋体" w:cs="宋体"/>
          <w:spacing w:val="-20"/>
          <w:sz w:val="23"/>
          <w:szCs w:val="23"/>
        </w:rPr>
        <w:t>定性主要受以下4种因素影响，即食品的成分、营养强化剂添加的方法、食品加</w:t>
      </w:r>
      <w:r>
        <w:rPr>
          <w:rFonts w:ascii="宋体" w:eastAsia="宋体" w:hAnsi="宋体" w:cs="宋体"/>
          <w:spacing w:val="5"/>
          <w:sz w:val="23"/>
          <w:szCs w:val="23"/>
        </w:rPr>
        <w:t xml:space="preserve">  </w:t>
      </w:r>
      <w:r>
        <w:rPr>
          <w:rFonts w:ascii="宋体" w:eastAsia="宋体" w:hAnsi="宋体" w:cs="宋体"/>
          <w:spacing w:val="-14"/>
          <w:sz w:val="23"/>
          <w:szCs w:val="23"/>
        </w:rPr>
        <w:t>工工艺、食品消费前的储藏条件。在实际中，必须对上述4种因素进行综合考</w:t>
      </w:r>
      <w:r>
        <w:rPr>
          <w:rFonts w:ascii="宋体" w:eastAsia="宋体" w:hAnsi="宋体" w:cs="宋体"/>
          <w:spacing w:val="4"/>
          <w:sz w:val="23"/>
          <w:szCs w:val="23"/>
        </w:rPr>
        <w:t xml:space="preserve">  </w:t>
      </w:r>
      <w:r>
        <w:rPr>
          <w:rFonts w:ascii="宋体" w:eastAsia="宋体" w:hAnsi="宋体" w:cs="宋体"/>
          <w:spacing w:val="-23"/>
          <w:sz w:val="23"/>
          <w:szCs w:val="23"/>
        </w:rPr>
        <w:t>虑，采取适当措施，提高其稳定性。</w:t>
      </w:r>
    </w:p>
    <w:p w:rsidR="00EA40A3" w:rsidRDefault="00E86C16">
      <w:pPr>
        <w:spacing w:before="86" w:line="229" w:lineRule="auto"/>
        <w:ind w:right="93" w:firstLine="399"/>
        <w:jc w:val="both"/>
        <w:rPr>
          <w:rFonts w:ascii="宋体" w:eastAsia="宋体" w:hAnsi="宋体" w:cs="宋体"/>
          <w:sz w:val="23"/>
          <w:szCs w:val="23"/>
        </w:rPr>
      </w:pPr>
      <w:r>
        <w:rPr>
          <w:rFonts w:ascii="宋体" w:eastAsia="宋体" w:hAnsi="宋体" w:cs="宋体"/>
          <w:spacing w:val="-23"/>
          <w:sz w:val="23"/>
          <w:szCs w:val="23"/>
        </w:rPr>
        <w:t>目前，营养强化剂的保护手段和措施有多种，最常</w:t>
      </w:r>
      <w:r>
        <w:rPr>
          <w:rFonts w:ascii="宋体" w:eastAsia="宋体" w:hAnsi="宋体" w:cs="宋体"/>
          <w:spacing w:val="-24"/>
          <w:sz w:val="23"/>
          <w:szCs w:val="23"/>
        </w:rPr>
        <w:t>见的有：在食品中添加强</w:t>
      </w:r>
      <w:r>
        <w:rPr>
          <w:rFonts w:ascii="宋体" w:eastAsia="宋体" w:hAnsi="宋体" w:cs="宋体"/>
          <w:sz w:val="23"/>
          <w:szCs w:val="23"/>
        </w:rPr>
        <w:t xml:space="preserve"> </w:t>
      </w:r>
      <w:r>
        <w:rPr>
          <w:rFonts w:ascii="宋体" w:eastAsia="宋体" w:hAnsi="宋体" w:cs="宋体"/>
          <w:spacing w:val="-23"/>
          <w:sz w:val="23"/>
          <w:szCs w:val="23"/>
        </w:rPr>
        <w:t>化剂稳定剂；改变强化剂本身的结构；采取低温加热杀菌等新工艺，以改进食品</w:t>
      </w:r>
      <w:r>
        <w:rPr>
          <w:rFonts w:ascii="宋体" w:eastAsia="宋体" w:hAnsi="宋体" w:cs="宋体"/>
          <w:spacing w:val="5"/>
          <w:sz w:val="23"/>
          <w:szCs w:val="23"/>
        </w:rPr>
        <w:t xml:space="preserve"> </w:t>
      </w:r>
      <w:r>
        <w:rPr>
          <w:rFonts w:ascii="宋体" w:eastAsia="宋体" w:hAnsi="宋体" w:cs="宋体"/>
          <w:spacing w:val="-23"/>
          <w:sz w:val="23"/>
          <w:szCs w:val="23"/>
        </w:rPr>
        <w:t>加工工艺；改善储藏条件及包装方式等。</w:t>
      </w:r>
    </w:p>
    <w:p w:rsidR="00EA40A3" w:rsidRDefault="00E86C16">
      <w:pPr>
        <w:spacing w:before="211" w:line="219"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22"/>
          <w:sz w:val="23"/>
          <w:szCs w:val="23"/>
        </w:rPr>
        <w:t xml:space="preserve"> </w:t>
      </w:r>
      <w:r>
        <w:rPr>
          <w:rFonts w:ascii="仿宋" w:eastAsia="仿宋" w:hAnsi="仿宋" w:cs="仿宋"/>
          <w:spacing w:val="3"/>
          <w:sz w:val="23"/>
          <w:szCs w:val="23"/>
        </w:rPr>
        <w:t>添加营养强化剂稳定剂</w:t>
      </w:r>
    </w:p>
    <w:p w:rsidR="00EA40A3" w:rsidRDefault="00E86C16">
      <w:pPr>
        <w:spacing w:before="181" w:line="234" w:lineRule="auto"/>
        <w:ind w:firstLine="399"/>
        <w:rPr>
          <w:rFonts w:ascii="宋体" w:eastAsia="宋体" w:hAnsi="宋体" w:cs="宋体"/>
          <w:sz w:val="23"/>
          <w:szCs w:val="23"/>
        </w:rPr>
      </w:pPr>
      <w:r>
        <w:rPr>
          <w:rFonts w:ascii="宋体" w:eastAsia="宋体" w:hAnsi="宋体" w:cs="宋体"/>
          <w:spacing w:val="-15"/>
          <w:sz w:val="23"/>
          <w:szCs w:val="23"/>
        </w:rPr>
        <w:t>某些维生素对氧化非常敏感。如维生素</w:t>
      </w:r>
      <w:r>
        <w:rPr>
          <w:rFonts w:ascii="宋体" w:eastAsia="宋体" w:hAnsi="宋体" w:cs="宋体"/>
          <w:spacing w:val="-40"/>
          <w:sz w:val="23"/>
          <w:szCs w:val="23"/>
        </w:rPr>
        <w:t xml:space="preserve"> </w:t>
      </w:r>
      <w:r>
        <w:rPr>
          <w:rFonts w:ascii="宋体" w:eastAsia="宋体" w:hAnsi="宋体" w:cs="宋体"/>
          <w:spacing w:val="-15"/>
          <w:sz w:val="23"/>
          <w:szCs w:val="23"/>
        </w:rPr>
        <w:t>A</w:t>
      </w:r>
      <w:r>
        <w:rPr>
          <w:rFonts w:ascii="宋体" w:eastAsia="宋体" w:hAnsi="宋体" w:cs="宋体"/>
          <w:spacing w:val="1"/>
          <w:sz w:val="23"/>
          <w:szCs w:val="23"/>
        </w:rPr>
        <w:t xml:space="preserve"> </w:t>
      </w:r>
      <w:r>
        <w:rPr>
          <w:rFonts w:ascii="宋体" w:eastAsia="宋体" w:hAnsi="宋体" w:cs="宋体"/>
          <w:spacing w:val="-15"/>
          <w:sz w:val="23"/>
          <w:szCs w:val="23"/>
        </w:rPr>
        <w:t>和维生素C</w:t>
      </w:r>
      <w:r>
        <w:rPr>
          <w:rFonts w:ascii="宋体" w:eastAsia="宋体" w:hAnsi="宋体" w:cs="宋体"/>
          <w:spacing w:val="-13"/>
          <w:sz w:val="23"/>
          <w:szCs w:val="23"/>
        </w:rPr>
        <w:t xml:space="preserve"> </w:t>
      </w:r>
      <w:r>
        <w:rPr>
          <w:rFonts w:ascii="宋体" w:eastAsia="宋体" w:hAnsi="宋体" w:cs="宋体"/>
          <w:spacing w:val="-15"/>
          <w:sz w:val="23"/>
          <w:szCs w:val="23"/>
        </w:rPr>
        <w:t>遇氧时极易被破坏。</w:t>
      </w:r>
      <w:r>
        <w:rPr>
          <w:rFonts w:ascii="宋体" w:eastAsia="宋体" w:hAnsi="宋体" w:cs="宋体"/>
          <w:sz w:val="23"/>
          <w:szCs w:val="23"/>
        </w:rPr>
        <w:t xml:space="preserve"> </w:t>
      </w:r>
      <w:r>
        <w:rPr>
          <w:rFonts w:ascii="宋体" w:eastAsia="宋体" w:hAnsi="宋体" w:cs="宋体"/>
          <w:spacing w:val="-23"/>
          <w:sz w:val="23"/>
          <w:szCs w:val="23"/>
        </w:rPr>
        <w:t>目前，对于易氧化破坏的维生素强化剂在实践中可适当添加抗氧化剂和螯合剂等</w:t>
      </w:r>
    </w:p>
    <w:p w:rsidR="00EA40A3" w:rsidRDefault="00E86C16">
      <w:pPr>
        <w:spacing w:before="53"/>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
          <w:sz w:val="17"/>
          <w:szCs w:val="17"/>
        </w:rPr>
        <w:t xml:space="preserve"> </w:t>
      </w:r>
      <w:r>
        <w:rPr>
          <w:rFonts w:ascii="宋体" w:eastAsia="宋体" w:hAnsi="宋体" w:cs="宋体"/>
          <w:spacing w:val="-22"/>
          <w:sz w:val="17"/>
          <w:szCs w:val="17"/>
        </w:rPr>
        <w:t>262</w:t>
      </w:r>
      <w:r>
        <w:rPr>
          <w:rFonts w:ascii="宋体" w:eastAsia="宋体" w:hAnsi="宋体" w:cs="宋体"/>
          <w:spacing w:val="49"/>
          <w:sz w:val="17"/>
          <w:szCs w:val="17"/>
        </w:rPr>
        <w:t xml:space="preserve"> </w:t>
      </w:r>
      <w:r>
        <w:rPr>
          <w:rFonts w:ascii="宋体" w:eastAsia="宋体" w:hAnsi="宋体" w:cs="宋体"/>
          <w:spacing w:val="-22"/>
          <w:sz w:val="17"/>
          <w:szCs w:val="17"/>
        </w:rPr>
        <w:t>·</w:t>
      </w:r>
    </w:p>
    <w:p w:rsidR="00EA40A3" w:rsidRDefault="00EA40A3">
      <w:pPr>
        <w:sectPr w:rsidR="00EA40A3">
          <w:footerReference w:type="default" r:id="rId219"/>
          <w:pgSz w:w="9220" w:h="13360"/>
          <w:pgMar w:top="400" w:right="1055" w:bottom="400" w:left="820" w:header="0" w:footer="0" w:gutter="0"/>
          <w:cols w:space="720"/>
        </w:sectPr>
      </w:pPr>
    </w:p>
    <w:p w:rsidR="00EA40A3" w:rsidRDefault="00EA40A3">
      <w:pPr>
        <w:spacing w:line="281" w:lineRule="auto"/>
      </w:pPr>
    </w:p>
    <w:p w:rsidR="00EA40A3" w:rsidRDefault="00EA40A3">
      <w:pPr>
        <w:spacing w:line="282" w:lineRule="auto"/>
      </w:pPr>
    </w:p>
    <w:p w:rsidR="00EA40A3" w:rsidRDefault="00E86C16">
      <w:pPr>
        <w:spacing w:before="72" w:line="252" w:lineRule="auto"/>
        <w:ind w:right="94"/>
        <w:jc w:val="both"/>
        <w:rPr>
          <w:rFonts w:ascii="宋体" w:eastAsia="宋体" w:hAnsi="宋体" w:cs="宋体"/>
          <w:sz w:val="22"/>
          <w:szCs w:val="22"/>
        </w:rPr>
      </w:pPr>
      <w:r>
        <w:rPr>
          <w:rFonts w:ascii="宋体" w:eastAsia="宋体" w:hAnsi="宋体" w:cs="宋体"/>
          <w:spacing w:val="-12"/>
          <w:sz w:val="22"/>
          <w:szCs w:val="22"/>
        </w:rPr>
        <w:t>作为其稳定剂。常用的抗氧化剂和螯合剂有去甲二氢愈创木酸</w:t>
      </w:r>
      <w:r>
        <w:rPr>
          <w:rFonts w:ascii="宋体" w:eastAsia="宋体" w:hAnsi="宋体" w:cs="宋体"/>
          <w:spacing w:val="7"/>
          <w:sz w:val="22"/>
          <w:szCs w:val="22"/>
        </w:rPr>
        <w:t xml:space="preserve"> </w:t>
      </w:r>
      <w:r>
        <w:rPr>
          <w:rFonts w:ascii="宋体" w:eastAsia="宋体" w:hAnsi="宋体" w:cs="宋体"/>
          <w:spacing w:val="-12"/>
          <w:sz w:val="22"/>
          <w:szCs w:val="22"/>
        </w:rPr>
        <w:t>(NDGA)、</w:t>
      </w:r>
      <w:r>
        <w:rPr>
          <w:rFonts w:ascii="宋体" w:eastAsia="宋体" w:hAnsi="宋体" w:cs="宋体"/>
          <w:spacing w:val="45"/>
          <w:sz w:val="22"/>
          <w:szCs w:val="22"/>
        </w:rPr>
        <w:t xml:space="preserve">  </w:t>
      </w:r>
      <w:r>
        <w:rPr>
          <w:rFonts w:ascii="宋体" w:eastAsia="宋体" w:hAnsi="宋体" w:cs="宋体"/>
          <w:spacing w:val="-12"/>
          <w:sz w:val="22"/>
          <w:szCs w:val="22"/>
        </w:rPr>
        <w:t>丁基</w:t>
      </w:r>
      <w:r>
        <w:rPr>
          <w:rFonts w:ascii="宋体" w:eastAsia="宋体" w:hAnsi="宋体" w:cs="宋体"/>
          <w:spacing w:val="1"/>
          <w:sz w:val="22"/>
          <w:szCs w:val="22"/>
        </w:rPr>
        <w:t xml:space="preserve"> </w:t>
      </w:r>
      <w:r>
        <w:rPr>
          <w:rFonts w:ascii="宋体" w:eastAsia="宋体" w:hAnsi="宋体" w:cs="宋体"/>
          <w:spacing w:val="-13"/>
          <w:sz w:val="22"/>
          <w:szCs w:val="22"/>
        </w:rPr>
        <w:t>羟茴香醚</w:t>
      </w:r>
      <w:r>
        <w:rPr>
          <w:rFonts w:ascii="宋体" w:eastAsia="宋体" w:hAnsi="宋体" w:cs="宋体"/>
          <w:spacing w:val="10"/>
          <w:sz w:val="22"/>
          <w:szCs w:val="22"/>
        </w:rPr>
        <w:t xml:space="preserve"> </w:t>
      </w:r>
      <w:r>
        <w:rPr>
          <w:rFonts w:ascii="宋体" w:eastAsia="宋体" w:hAnsi="宋体" w:cs="宋体"/>
          <w:spacing w:val="-13"/>
          <w:sz w:val="22"/>
          <w:szCs w:val="22"/>
        </w:rPr>
        <w:t>(BHA)、2-</w:t>
      </w:r>
      <w:r>
        <w:rPr>
          <w:rFonts w:ascii="宋体" w:eastAsia="宋体" w:hAnsi="宋体" w:cs="宋体"/>
          <w:spacing w:val="7"/>
          <w:sz w:val="22"/>
          <w:szCs w:val="22"/>
        </w:rPr>
        <w:t xml:space="preserve"> </w:t>
      </w:r>
      <w:r>
        <w:rPr>
          <w:rFonts w:ascii="宋体" w:eastAsia="宋体" w:hAnsi="宋体" w:cs="宋体"/>
          <w:spacing w:val="-13"/>
          <w:sz w:val="22"/>
          <w:szCs w:val="22"/>
        </w:rPr>
        <w:t>叔丁基-4-甲氧基苯酚</w:t>
      </w:r>
      <w:r>
        <w:rPr>
          <w:rFonts w:ascii="宋体" w:eastAsia="宋体" w:hAnsi="宋体" w:cs="宋体"/>
          <w:spacing w:val="-8"/>
          <w:sz w:val="22"/>
          <w:szCs w:val="22"/>
        </w:rPr>
        <w:t xml:space="preserve"> </w:t>
      </w:r>
      <w:r>
        <w:rPr>
          <w:rFonts w:ascii="宋体" w:eastAsia="宋体" w:hAnsi="宋体" w:cs="宋体"/>
          <w:spacing w:val="-13"/>
          <w:sz w:val="22"/>
          <w:szCs w:val="22"/>
        </w:rPr>
        <w:t>(NDA)、</w:t>
      </w:r>
      <w:r>
        <w:rPr>
          <w:rFonts w:ascii="宋体" w:eastAsia="宋体" w:hAnsi="宋体" w:cs="宋体"/>
          <w:spacing w:val="18"/>
          <w:sz w:val="22"/>
          <w:szCs w:val="22"/>
        </w:rPr>
        <w:t xml:space="preserve">  </w:t>
      </w:r>
      <w:r>
        <w:rPr>
          <w:rFonts w:ascii="宋体" w:eastAsia="宋体" w:hAnsi="宋体" w:cs="宋体"/>
          <w:spacing w:val="-13"/>
          <w:sz w:val="22"/>
          <w:szCs w:val="22"/>
        </w:rPr>
        <w:t>没食子酸丙酯</w:t>
      </w:r>
      <w:r>
        <w:rPr>
          <w:rFonts w:ascii="宋体" w:eastAsia="宋体" w:hAnsi="宋体" w:cs="宋体"/>
          <w:spacing w:val="-14"/>
          <w:sz w:val="22"/>
          <w:szCs w:val="22"/>
        </w:rPr>
        <w:t xml:space="preserve"> </w:t>
      </w:r>
      <w:r>
        <w:rPr>
          <w:rFonts w:ascii="宋体" w:eastAsia="宋体" w:hAnsi="宋体" w:cs="宋体"/>
          <w:spacing w:val="-13"/>
          <w:sz w:val="22"/>
          <w:szCs w:val="22"/>
        </w:rPr>
        <w:t>(PG)、</w:t>
      </w:r>
      <w:r>
        <w:rPr>
          <w:rFonts w:ascii="宋体" w:eastAsia="宋体" w:hAnsi="宋体" w:cs="宋体"/>
          <w:spacing w:val="66"/>
          <w:sz w:val="22"/>
          <w:szCs w:val="22"/>
        </w:rPr>
        <w:t xml:space="preserve"> </w:t>
      </w:r>
      <w:r>
        <w:rPr>
          <w:rFonts w:ascii="宋体" w:eastAsia="宋体" w:hAnsi="宋体" w:cs="宋体"/>
          <w:spacing w:val="-13"/>
          <w:sz w:val="22"/>
          <w:szCs w:val="22"/>
        </w:rPr>
        <w:t>卵</w:t>
      </w:r>
      <w:r>
        <w:rPr>
          <w:rFonts w:ascii="宋体" w:eastAsia="宋体" w:hAnsi="宋体" w:cs="宋体"/>
          <w:sz w:val="22"/>
          <w:szCs w:val="22"/>
        </w:rPr>
        <w:t xml:space="preserve"> </w:t>
      </w:r>
      <w:r>
        <w:rPr>
          <w:rFonts w:ascii="宋体" w:eastAsia="宋体" w:hAnsi="宋体" w:cs="宋体"/>
          <w:spacing w:val="-9"/>
          <w:sz w:val="22"/>
          <w:szCs w:val="22"/>
        </w:rPr>
        <w:t>磷脂及乙二胺四乙酸</w:t>
      </w:r>
      <w:r>
        <w:rPr>
          <w:rFonts w:ascii="宋体" w:eastAsia="宋体" w:hAnsi="宋体" w:cs="宋体"/>
          <w:spacing w:val="-19"/>
          <w:sz w:val="22"/>
          <w:szCs w:val="22"/>
        </w:rPr>
        <w:t xml:space="preserve"> </w:t>
      </w:r>
      <w:r>
        <w:rPr>
          <w:rFonts w:ascii="宋体" w:eastAsia="宋体" w:hAnsi="宋体" w:cs="宋体"/>
          <w:spacing w:val="-9"/>
          <w:sz w:val="22"/>
          <w:szCs w:val="22"/>
        </w:rPr>
        <w:t>(EDTA)</w:t>
      </w:r>
      <w:r>
        <w:rPr>
          <w:rFonts w:ascii="宋体" w:eastAsia="宋体" w:hAnsi="宋体" w:cs="宋体"/>
          <w:spacing w:val="28"/>
          <w:sz w:val="22"/>
          <w:szCs w:val="22"/>
        </w:rPr>
        <w:t xml:space="preserve">  </w:t>
      </w:r>
      <w:r>
        <w:rPr>
          <w:rFonts w:ascii="宋体" w:eastAsia="宋体" w:hAnsi="宋体" w:cs="宋体"/>
          <w:spacing w:val="-9"/>
          <w:sz w:val="22"/>
          <w:szCs w:val="22"/>
        </w:rPr>
        <w:t>等。此外，有些天然食物对维</w:t>
      </w:r>
      <w:r>
        <w:rPr>
          <w:rFonts w:ascii="宋体" w:eastAsia="宋体" w:hAnsi="宋体" w:cs="宋体"/>
          <w:spacing w:val="-10"/>
          <w:sz w:val="22"/>
          <w:szCs w:val="22"/>
        </w:rPr>
        <w:t>生素C</w:t>
      </w:r>
      <w:r>
        <w:rPr>
          <w:rFonts w:ascii="宋体" w:eastAsia="宋体" w:hAnsi="宋体" w:cs="宋体"/>
          <w:spacing w:val="-32"/>
          <w:sz w:val="22"/>
          <w:szCs w:val="22"/>
        </w:rPr>
        <w:t xml:space="preserve"> </w:t>
      </w:r>
      <w:r>
        <w:rPr>
          <w:rFonts w:ascii="宋体" w:eastAsia="宋体" w:hAnsi="宋体" w:cs="宋体"/>
          <w:spacing w:val="-10"/>
          <w:sz w:val="22"/>
          <w:szCs w:val="22"/>
        </w:rPr>
        <w:t>也有保护作</w:t>
      </w:r>
      <w:r>
        <w:rPr>
          <w:rFonts w:ascii="宋体" w:eastAsia="宋体" w:hAnsi="宋体" w:cs="宋体"/>
          <w:sz w:val="22"/>
          <w:szCs w:val="22"/>
        </w:rPr>
        <w:t xml:space="preserve"> </w:t>
      </w:r>
      <w:r>
        <w:rPr>
          <w:rFonts w:ascii="宋体" w:eastAsia="宋体" w:hAnsi="宋体" w:cs="宋体"/>
          <w:spacing w:val="-6"/>
          <w:sz w:val="22"/>
          <w:szCs w:val="22"/>
        </w:rPr>
        <w:t>用。据Meribaym</w:t>
      </w:r>
      <w:r>
        <w:rPr>
          <w:rFonts w:ascii="宋体" w:eastAsia="宋体" w:hAnsi="宋体" w:cs="宋体"/>
          <w:spacing w:val="-39"/>
          <w:sz w:val="22"/>
          <w:szCs w:val="22"/>
        </w:rPr>
        <w:t xml:space="preserve"> </w:t>
      </w:r>
      <w:r>
        <w:rPr>
          <w:rFonts w:ascii="宋体" w:eastAsia="宋体" w:hAnsi="宋体" w:cs="宋体"/>
          <w:spacing w:val="-6"/>
          <w:sz w:val="22"/>
          <w:szCs w:val="22"/>
        </w:rPr>
        <w:t>报道，黄豆、豌豆、扁豆、荞麦、燕麦粉等及牛肝对维生素</w:t>
      </w:r>
      <w:r>
        <w:rPr>
          <w:rFonts w:ascii="宋体" w:eastAsia="宋体" w:hAnsi="宋体" w:cs="宋体"/>
          <w:spacing w:val="-7"/>
          <w:sz w:val="22"/>
          <w:szCs w:val="22"/>
        </w:rPr>
        <w:t>C</w:t>
      </w:r>
      <w:r>
        <w:rPr>
          <w:rFonts w:ascii="宋体" w:eastAsia="宋体" w:hAnsi="宋体" w:cs="宋体"/>
          <w:sz w:val="22"/>
          <w:szCs w:val="22"/>
        </w:rPr>
        <w:t xml:space="preserve"> </w:t>
      </w:r>
      <w:r>
        <w:rPr>
          <w:rFonts w:ascii="宋体" w:eastAsia="宋体" w:hAnsi="宋体" w:cs="宋体"/>
          <w:spacing w:val="-15"/>
          <w:sz w:val="22"/>
          <w:szCs w:val="22"/>
        </w:rPr>
        <w:t>具有稳定保护作用。</w:t>
      </w:r>
    </w:p>
    <w:p w:rsidR="00EA40A3" w:rsidRDefault="00E86C16">
      <w:pPr>
        <w:spacing w:before="237" w:line="222"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2"/>
          <w:sz w:val="22"/>
          <w:szCs w:val="22"/>
        </w:rPr>
        <w:t xml:space="preserve"> </w:t>
      </w:r>
      <w:r>
        <w:rPr>
          <w:rFonts w:ascii="仿宋" w:eastAsia="仿宋" w:hAnsi="仿宋" w:cs="仿宋"/>
          <w:spacing w:val="12"/>
          <w:sz w:val="22"/>
          <w:szCs w:val="22"/>
        </w:rPr>
        <w:t>改变强化剂的结构</w:t>
      </w:r>
    </w:p>
    <w:p w:rsidR="00EA40A3" w:rsidRDefault="00E86C16">
      <w:pPr>
        <w:spacing w:before="187" w:line="263" w:lineRule="auto"/>
        <w:ind w:firstLine="439"/>
        <w:rPr>
          <w:rFonts w:ascii="宋体" w:eastAsia="宋体" w:hAnsi="宋体" w:cs="宋体"/>
          <w:sz w:val="22"/>
          <w:szCs w:val="22"/>
        </w:rPr>
      </w:pPr>
      <w:r>
        <w:rPr>
          <w:rFonts w:ascii="宋体" w:eastAsia="宋体" w:hAnsi="宋体" w:cs="宋体"/>
          <w:spacing w:val="-12"/>
          <w:sz w:val="22"/>
          <w:szCs w:val="22"/>
        </w:rPr>
        <w:t>维生素类强化剂最易被破坏损失。在提高它们的稳定性时，很</w:t>
      </w:r>
      <w:r>
        <w:rPr>
          <w:rFonts w:ascii="宋体" w:eastAsia="宋体" w:hAnsi="宋体" w:cs="宋体"/>
          <w:spacing w:val="-13"/>
          <w:sz w:val="22"/>
          <w:szCs w:val="22"/>
        </w:rPr>
        <w:t>重要的一个方</w:t>
      </w:r>
      <w:r>
        <w:rPr>
          <w:rFonts w:ascii="宋体" w:eastAsia="宋体" w:hAnsi="宋体" w:cs="宋体"/>
          <w:sz w:val="22"/>
          <w:szCs w:val="22"/>
        </w:rPr>
        <w:t xml:space="preserve"> </w:t>
      </w:r>
      <w:r>
        <w:rPr>
          <w:rFonts w:ascii="宋体" w:eastAsia="宋体" w:hAnsi="宋体" w:cs="宋体"/>
          <w:spacing w:val="-6"/>
          <w:sz w:val="22"/>
          <w:szCs w:val="22"/>
        </w:rPr>
        <w:t>法就是在不影响其生理活性的情况下改变其化学结构。例</w:t>
      </w:r>
      <w:r>
        <w:rPr>
          <w:rFonts w:ascii="宋体" w:eastAsia="宋体" w:hAnsi="宋体" w:cs="宋体"/>
          <w:spacing w:val="-7"/>
          <w:sz w:val="22"/>
          <w:szCs w:val="22"/>
        </w:rPr>
        <w:t>如维生素B</w:t>
      </w:r>
      <w:r>
        <w:rPr>
          <w:rFonts w:ascii="Calibri" w:eastAsia="Calibri" w:hAnsi="Calibri" w:cs="Calibri"/>
          <w:spacing w:val="-7"/>
          <w:sz w:val="22"/>
          <w:szCs w:val="22"/>
        </w:rPr>
        <w:t>₁</w:t>
      </w:r>
      <w:r>
        <w:rPr>
          <w:rFonts w:ascii="宋体" w:eastAsia="宋体" w:hAnsi="宋体" w:cs="宋体"/>
          <w:spacing w:val="-7"/>
          <w:sz w:val="22"/>
          <w:szCs w:val="22"/>
        </w:rPr>
        <w:t>,</w:t>
      </w:r>
      <w:r>
        <w:rPr>
          <w:rFonts w:ascii="宋体" w:eastAsia="宋体" w:hAnsi="宋体" w:cs="宋体"/>
          <w:spacing w:val="39"/>
          <w:sz w:val="22"/>
          <w:szCs w:val="22"/>
        </w:rPr>
        <w:t xml:space="preserve"> </w:t>
      </w:r>
      <w:r>
        <w:rPr>
          <w:rFonts w:ascii="宋体" w:eastAsia="宋体" w:hAnsi="宋体" w:cs="宋体"/>
          <w:spacing w:val="-7"/>
          <w:sz w:val="22"/>
          <w:szCs w:val="22"/>
        </w:rPr>
        <w:t>过去均</w:t>
      </w:r>
      <w:r>
        <w:rPr>
          <w:rFonts w:ascii="宋体" w:eastAsia="宋体" w:hAnsi="宋体" w:cs="宋体"/>
          <w:sz w:val="22"/>
          <w:szCs w:val="22"/>
        </w:rPr>
        <w:t xml:space="preserve">  </w:t>
      </w:r>
      <w:r>
        <w:rPr>
          <w:rFonts w:ascii="宋体" w:eastAsia="宋体" w:hAnsi="宋体" w:cs="宋体"/>
          <w:spacing w:val="-13"/>
          <w:sz w:val="22"/>
          <w:szCs w:val="22"/>
        </w:rPr>
        <w:t>用其盐酸盐进行强化。尽管它易溶于水，但是易因加热而破坏，而且对碱也不稳</w:t>
      </w:r>
      <w:r>
        <w:rPr>
          <w:rFonts w:ascii="宋体" w:eastAsia="宋体" w:hAnsi="宋体" w:cs="宋体"/>
          <w:spacing w:val="7"/>
          <w:sz w:val="22"/>
          <w:szCs w:val="22"/>
        </w:rPr>
        <w:t xml:space="preserve">  </w:t>
      </w:r>
      <w:r>
        <w:rPr>
          <w:rFonts w:ascii="宋体" w:eastAsia="宋体" w:hAnsi="宋体" w:cs="宋体"/>
          <w:spacing w:val="-12"/>
          <w:sz w:val="22"/>
          <w:szCs w:val="22"/>
        </w:rPr>
        <w:t>定。为了克服这些缺点，人们现已合成十多种具</w:t>
      </w:r>
      <w:r>
        <w:rPr>
          <w:rFonts w:ascii="宋体" w:eastAsia="宋体" w:hAnsi="宋体" w:cs="宋体"/>
          <w:spacing w:val="-13"/>
          <w:sz w:val="22"/>
          <w:szCs w:val="22"/>
        </w:rPr>
        <w:t>有一定生理活性而又各具特点的</w:t>
      </w:r>
      <w:r>
        <w:rPr>
          <w:rFonts w:ascii="宋体" w:eastAsia="宋体" w:hAnsi="宋体" w:cs="宋体"/>
          <w:sz w:val="22"/>
          <w:szCs w:val="22"/>
        </w:rPr>
        <w:t xml:space="preserve">  </w:t>
      </w:r>
      <w:r>
        <w:rPr>
          <w:rFonts w:ascii="宋体" w:eastAsia="宋体" w:hAnsi="宋体" w:cs="宋体"/>
          <w:spacing w:val="-5"/>
          <w:sz w:val="22"/>
          <w:szCs w:val="22"/>
        </w:rPr>
        <w:t>维生素B</w:t>
      </w:r>
      <w:r>
        <w:rPr>
          <w:rFonts w:ascii="Calibri" w:eastAsia="Calibri" w:hAnsi="Calibri" w:cs="Calibri"/>
          <w:spacing w:val="-5"/>
          <w:sz w:val="22"/>
          <w:szCs w:val="22"/>
        </w:rPr>
        <w:t>₁</w:t>
      </w:r>
      <w:r>
        <w:rPr>
          <w:rFonts w:ascii="Calibri" w:eastAsia="Calibri" w:hAnsi="Calibri" w:cs="Calibri"/>
          <w:spacing w:val="9"/>
          <w:sz w:val="22"/>
          <w:szCs w:val="22"/>
        </w:rPr>
        <w:t xml:space="preserve">  </w:t>
      </w:r>
      <w:r>
        <w:rPr>
          <w:rFonts w:ascii="宋体" w:eastAsia="宋体" w:hAnsi="宋体" w:cs="宋体"/>
          <w:spacing w:val="-5"/>
          <w:sz w:val="22"/>
          <w:szCs w:val="22"/>
        </w:rPr>
        <w:t>的衍生物，诸如硫胺素硝酸盐、硫胺素硫代氰酸</w:t>
      </w:r>
      <w:r>
        <w:rPr>
          <w:rFonts w:ascii="宋体" w:eastAsia="宋体" w:hAnsi="宋体" w:cs="宋体"/>
          <w:spacing w:val="-6"/>
          <w:sz w:val="22"/>
          <w:szCs w:val="22"/>
        </w:rPr>
        <w:t>盐、二苯酰硫胺素、</w:t>
      </w:r>
      <w:r>
        <w:rPr>
          <w:rFonts w:ascii="宋体" w:eastAsia="宋体" w:hAnsi="宋体" w:cs="宋体"/>
          <w:spacing w:val="1"/>
          <w:sz w:val="22"/>
          <w:szCs w:val="22"/>
        </w:rPr>
        <w:t xml:space="preserve"> </w:t>
      </w:r>
      <w:r>
        <w:rPr>
          <w:rFonts w:ascii="宋体" w:eastAsia="宋体" w:hAnsi="宋体" w:cs="宋体"/>
          <w:spacing w:val="-13"/>
          <w:sz w:val="22"/>
          <w:szCs w:val="22"/>
        </w:rPr>
        <w:t>硫胺素三十二烷酸盐、硫胺素二月桂基硫酸盐及二苯基硫胺素等。目前用于面粉</w:t>
      </w:r>
      <w:r>
        <w:rPr>
          <w:rFonts w:ascii="宋体" w:eastAsia="宋体" w:hAnsi="宋体" w:cs="宋体"/>
          <w:spacing w:val="6"/>
          <w:sz w:val="22"/>
          <w:szCs w:val="22"/>
        </w:rPr>
        <w:t xml:space="preserve">  </w:t>
      </w:r>
      <w:r>
        <w:rPr>
          <w:rFonts w:ascii="宋体" w:eastAsia="宋体" w:hAnsi="宋体" w:cs="宋体"/>
          <w:spacing w:val="-8"/>
          <w:sz w:val="22"/>
          <w:szCs w:val="22"/>
        </w:rPr>
        <w:t>强化的维生素B</w:t>
      </w:r>
      <w:r>
        <w:rPr>
          <w:rFonts w:ascii="Calibri" w:eastAsia="Calibri" w:hAnsi="Calibri" w:cs="Calibri"/>
          <w:spacing w:val="-8"/>
          <w:sz w:val="22"/>
          <w:szCs w:val="22"/>
        </w:rPr>
        <w:t>₁</w:t>
      </w:r>
      <w:r>
        <w:rPr>
          <w:rFonts w:ascii="Calibri" w:eastAsia="Calibri" w:hAnsi="Calibri" w:cs="Calibri"/>
          <w:spacing w:val="7"/>
          <w:sz w:val="22"/>
          <w:szCs w:val="22"/>
        </w:rPr>
        <w:t xml:space="preserve">  </w:t>
      </w:r>
      <w:r>
        <w:rPr>
          <w:rFonts w:ascii="宋体" w:eastAsia="宋体" w:hAnsi="宋体" w:cs="宋体"/>
          <w:spacing w:val="-8"/>
          <w:sz w:val="22"/>
          <w:szCs w:val="22"/>
        </w:rPr>
        <w:t>多已改用这些新的衍生物。其中用二苄基硫胺素强化的面粉经</w:t>
      </w:r>
      <w:r>
        <w:rPr>
          <w:rFonts w:ascii="宋体" w:eastAsia="宋体" w:hAnsi="宋体" w:cs="宋体"/>
          <w:sz w:val="22"/>
          <w:szCs w:val="22"/>
        </w:rPr>
        <w:t xml:space="preserve">  储存11个月后的保存率为97%。用其烤制面包后尚保存80%</w:t>
      </w:r>
      <w:r>
        <w:rPr>
          <w:rFonts w:ascii="宋体" w:eastAsia="宋体" w:hAnsi="宋体" w:cs="宋体"/>
          <w:spacing w:val="-1"/>
          <w:sz w:val="22"/>
          <w:szCs w:val="22"/>
        </w:rPr>
        <w:t>左右。若用硫胺素</w:t>
      </w:r>
      <w:r>
        <w:rPr>
          <w:rFonts w:ascii="宋体" w:eastAsia="宋体" w:hAnsi="宋体" w:cs="宋体"/>
          <w:sz w:val="22"/>
          <w:szCs w:val="22"/>
        </w:rPr>
        <w:t xml:space="preserve">  </w:t>
      </w:r>
      <w:r>
        <w:rPr>
          <w:rFonts w:ascii="宋体" w:eastAsia="宋体" w:hAnsi="宋体" w:cs="宋体"/>
          <w:spacing w:val="-3"/>
          <w:sz w:val="22"/>
          <w:szCs w:val="22"/>
        </w:rPr>
        <w:t>盐酸盐，储存两个月后即降至原来的60%以下，烤</w:t>
      </w:r>
      <w:r>
        <w:rPr>
          <w:rFonts w:ascii="宋体" w:eastAsia="宋体" w:hAnsi="宋体" w:cs="宋体"/>
          <w:spacing w:val="-4"/>
          <w:sz w:val="22"/>
          <w:szCs w:val="22"/>
        </w:rPr>
        <w:t>制面包后也仅存留75%。</w:t>
      </w:r>
    </w:p>
    <w:p w:rsidR="00EA40A3" w:rsidRDefault="00E86C16">
      <w:pPr>
        <w:spacing w:before="54" w:line="254" w:lineRule="auto"/>
        <w:ind w:right="50" w:firstLine="439"/>
        <w:rPr>
          <w:rFonts w:ascii="宋体" w:eastAsia="宋体" w:hAnsi="宋体" w:cs="宋体"/>
          <w:sz w:val="22"/>
          <w:szCs w:val="22"/>
        </w:rPr>
      </w:pPr>
      <w:r>
        <w:rPr>
          <w:rFonts w:ascii="宋体" w:eastAsia="宋体" w:hAnsi="宋体" w:cs="宋体"/>
          <w:spacing w:val="-3"/>
          <w:sz w:val="22"/>
          <w:szCs w:val="22"/>
        </w:rPr>
        <w:t>维生素C</w:t>
      </w:r>
      <w:r>
        <w:rPr>
          <w:rFonts w:ascii="宋体" w:eastAsia="宋体" w:hAnsi="宋体" w:cs="宋体"/>
          <w:spacing w:val="-12"/>
          <w:sz w:val="22"/>
          <w:szCs w:val="22"/>
        </w:rPr>
        <w:t xml:space="preserve"> </w:t>
      </w:r>
      <w:r>
        <w:rPr>
          <w:rFonts w:ascii="宋体" w:eastAsia="宋体" w:hAnsi="宋体" w:cs="宋体"/>
          <w:spacing w:val="-3"/>
          <w:sz w:val="22"/>
          <w:szCs w:val="22"/>
        </w:rPr>
        <w:t>是热敏性最强、最易破坏的维生素。近年来研制成功的维生素C</w:t>
      </w:r>
      <w:r>
        <w:rPr>
          <w:rFonts w:ascii="宋体" w:eastAsia="宋体" w:hAnsi="宋体" w:cs="宋体"/>
          <w:sz w:val="22"/>
          <w:szCs w:val="22"/>
        </w:rPr>
        <w:t xml:space="preserve"> </w:t>
      </w:r>
      <w:r>
        <w:rPr>
          <w:rFonts w:ascii="宋体" w:eastAsia="宋体" w:hAnsi="宋体" w:cs="宋体"/>
          <w:spacing w:val="-8"/>
          <w:sz w:val="22"/>
          <w:szCs w:val="22"/>
        </w:rPr>
        <w:t>磷酸酯镁或维生素C</w:t>
      </w:r>
      <w:r>
        <w:rPr>
          <w:rFonts w:ascii="宋体" w:eastAsia="宋体" w:hAnsi="宋体" w:cs="宋体"/>
          <w:spacing w:val="-12"/>
          <w:sz w:val="22"/>
          <w:szCs w:val="22"/>
        </w:rPr>
        <w:t xml:space="preserve"> </w:t>
      </w:r>
      <w:r>
        <w:rPr>
          <w:rFonts w:ascii="宋体" w:eastAsia="宋体" w:hAnsi="宋体" w:cs="宋体"/>
          <w:spacing w:val="-8"/>
          <w:sz w:val="22"/>
          <w:szCs w:val="22"/>
        </w:rPr>
        <w:t>磷酸酯钙具有与维生素C</w:t>
      </w:r>
      <w:r>
        <w:rPr>
          <w:rFonts w:ascii="宋体" w:eastAsia="宋体" w:hAnsi="宋体" w:cs="宋体"/>
          <w:spacing w:val="-13"/>
          <w:sz w:val="22"/>
          <w:szCs w:val="22"/>
        </w:rPr>
        <w:t xml:space="preserve"> </w:t>
      </w:r>
      <w:r>
        <w:rPr>
          <w:rFonts w:ascii="宋体" w:eastAsia="宋体" w:hAnsi="宋体" w:cs="宋体"/>
          <w:spacing w:val="-8"/>
          <w:sz w:val="22"/>
          <w:szCs w:val="22"/>
        </w:rPr>
        <w:t>同样的生理功能，并且比较稳定</w:t>
      </w:r>
      <w:r>
        <w:rPr>
          <w:rFonts w:ascii="宋体" w:eastAsia="宋体" w:hAnsi="宋体" w:cs="宋体"/>
          <w:sz w:val="22"/>
          <w:szCs w:val="22"/>
        </w:rPr>
        <w:t xml:space="preserve">  </w:t>
      </w:r>
      <w:r>
        <w:rPr>
          <w:rFonts w:ascii="宋体" w:eastAsia="宋体" w:hAnsi="宋体" w:cs="宋体"/>
          <w:spacing w:val="-8"/>
          <w:sz w:val="22"/>
          <w:szCs w:val="22"/>
        </w:rPr>
        <w:t>即使在金属离子</w:t>
      </w:r>
      <w:r>
        <w:rPr>
          <w:rFonts w:ascii="宋体" w:eastAsia="宋体" w:hAnsi="宋体" w:cs="宋体"/>
          <w:spacing w:val="-30"/>
          <w:sz w:val="22"/>
          <w:szCs w:val="22"/>
        </w:rPr>
        <w:t xml:space="preserve"> </w:t>
      </w:r>
      <w:r>
        <w:rPr>
          <w:rFonts w:ascii="宋体" w:eastAsia="宋体" w:hAnsi="宋体" w:cs="宋体"/>
          <w:spacing w:val="-8"/>
          <w:sz w:val="22"/>
          <w:szCs w:val="22"/>
        </w:rPr>
        <w:t>(Cu²+,Fe²+)</w:t>
      </w:r>
      <w:r>
        <w:rPr>
          <w:rFonts w:ascii="宋体" w:eastAsia="宋体" w:hAnsi="宋体" w:cs="宋体"/>
          <w:spacing w:val="107"/>
          <w:sz w:val="22"/>
          <w:szCs w:val="22"/>
        </w:rPr>
        <w:t xml:space="preserve"> </w:t>
      </w:r>
      <w:r>
        <w:rPr>
          <w:rFonts w:ascii="宋体" w:eastAsia="宋体" w:hAnsi="宋体" w:cs="宋体"/>
          <w:spacing w:val="-8"/>
          <w:sz w:val="22"/>
          <w:szCs w:val="22"/>
        </w:rPr>
        <w:t>存在下煮沸30min,</w:t>
      </w:r>
      <w:r>
        <w:rPr>
          <w:rFonts w:ascii="宋体" w:eastAsia="宋体" w:hAnsi="宋体" w:cs="宋体"/>
          <w:spacing w:val="-18"/>
          <w:sz w:val="22"/>
          <w:szCs w:val="22"/>
        </w:rPr>
        <w:t xml:space="preserve"> </w:t>
      </w:r>
      <w:r>
        <w:rPr>
          <w:rFonts w:ascii="宋体" w:eastAsia="宋体" w:hAnsi="宋体" w:cs="宋体"/>
          <w:spacing w:val="-8"/>
          <w:sz w:val="22"/>
          <w:szCs w:val="22"/>
        </w:rPr>
        <w:t>也基本无变化，而普</w:t>
      </w:r>
      <w:r>
        <w:rPr>
          <w:rFonts w:ascii="宋体" w:eastAsia="宋体" w:hAnsi="宋体" w:cs="宋体"/>
          <w:spacing w:val="-9"/>
          <w:sz w:val="22"/>
          <w:szCs w:val="22"/>
        </w:rPr>
        <w:t>通维生</w:t>
      </w:r>
      <w:r>
        <w:rPr>
          <w:rFonts w:ascii="宋体" w:eastAsia="宋体" w:hAnsi="宋体" w:cs="宋体"/>
          <w:sz w:val="22"/>
          <w:szCs w:val="22"/>
        </w:rPr>
        <w:t xml:space="preserve">  素C</w:t>
      </w:r>
      <w:r>
        <w:rPr>
          <w:rFonts w:ascii="宋体" w:eastAsia="宋体" w:hAnsi="宋体" w:cs="宋体"/>
          <w:spacing w:val="-24"/>
          <w:sz w:val="22"/>
          <w:szCs w:val="22"/>
        </w:rPr>
        <w:t xml:space="preserve"> </w:t>
      </w:r>
      <w:r>
        <w:rPr>
          <w:rFonts w:ascii="宋体" w:eastAsia="宋体" w:hAnsi="宋体" w:cs="宋体"/>
          <w:sz w:val="22"/>
          <w:szCs w:val="22"/>
        </w:rPr>
        <w:t>在同样条件下可损失约70%～80%。此外，用它们强化食品，</w:t>
      </w:r>
      <w:r>
        <w:rPr>
          <w:rFonts w:ascii="宋体" w:eastAsia="宋体" w:hAnsi="宋体" w:cs="宋体"/>
          <w:spacing w:val="-1"/>
          <w:sz w:val="22"/>
          <w:szCs w:val="22"/>
        </w:rPr>
        <w:t>无论是在加</w:t>
      </w:r>
      <w:r>
        <w:rPr>
          <w:rFonts w:ascii="宋体" w:eastAsia="宋体" w:hAnsi="宋体" w:cs="宋体"/>
          <w:sz w:val="22"/>
          <w:szCs w:val="22"/>
        </w:rPr>
        <w:t xml:space="preserve"> </w:t>
      </w:r>
      <w:r>
        <w:rPr>
          <w:rFonts w:ascii="宋体" w:eastAsia="宋体" w:hAnsi="宋体" w:cs="宋体"/>
          <w:spacing w:val="-6"/>
          <w:sz w:val="22"/>
          <w:szCs w:val="22"/>
        </w:rPr>
        <w:t>工还是在保藏过程中都很少损失。如用维生素</w:t>
      </w:r>
      <w:r>
        <w:rPr>
          <w:rFonts w:ascii="宋体" w:eastAsia="宋体" w:hAnsi="宋体" w:cs="宋体"/>
          <w:spacing w:val="-61"/>
          <w:sz w:val="22"/>
          <w:szCs w:val="22"/>
        </w:rPr>
        <w:t xml:space="preserve"> </w:t>
      </w:r>
      <w:r>
        <w:rPr>
          <w:rFonts w:ascii="宋体" w:eastAsia="宋体" w:hAnsi="宋体" w:cs="宋体"/>
          <w:spacing w:val="-6"/>
          <w:sz w:val="22"/>
          <w:szCs w:val="22"/>
        </w:rPr>
        <w:t>C</w:t>
      </w:r>
      <w:r>
        <w:rPr>
          <w:rFonts w:ascii="宋体" w:eastAsia="宋体" w:hAnsi="宋体" w:cs="宋体"/>
          <w:spacing w:val="-14"/>
          <w:sz w:val="22"/>
          <w:szCs w:val="22"/>
        </w:rPr>
        <w:t xml:space="preserve"> </w:t>
      </w:r>
      <w:r>
        <w:rPr>
          <w:rFonts w:ascii="宋体" w:eastAsia="宋体" w:hAnsi="宋体" w:cs="宋体"/>
          <w:spacing w:val="-6"/>
          <w:sz w:val="22"/>
          <w:szCs w:val="22"/>
        </w:rPr>
        <w:t>磷酸醋镁或钙强化压缩</w:t>
      </w:r>
      <w:r>
        <w:rPr>
          <w:rFonts w:ascii="宋体" w:eastAsia="宋体" w:hAnsi="宋体" w:cs="宋体"/>
          <w:spacing w:val="-7"/>
          <w:sz w:val="22"/>
          <w:szCs w:val="22"/>
        </w:rPr>
        <w:t>饼干、</w:t>
      </w:r>
      <w:r>
        <w:rPr>
          <w:rFonts w:ascii="宋体" w:eastAsia="宋体" w:hAnsi="宋体" w:cs="宋体"/>
          <w:sz w:val="22"/>
          <w:szCs w:val="22"/>
        </w:rPr>
        <w:t xml:space="preserve"> </w:t>
      </w:r>
      <w:r>
        <w:rPr>
          <w:rFonts w:ascii="宋体" w:eastAsia="宋体" w:hAnsi="宋体" w:cs="宋体"/>
          <w:spacing w:val="3"/>
          <w:sz w:val="22"/>
          <w:szCs w:val="22"/>
        </w:rPr>
        <w:t>置于马口铁罐内(充氮),在40℃、相对湿度85%条件下储存6个月，其保存</w:t>
      </w:r>
      <w:r>
        <w:rPr>
          <w:rFonts w:ascii="宋体" w:eastAsia="宋体" w:hAnsi="宋体" w:cs="宋体"/>
          <w:spacing w:val="2"/>
          <w:sz w:val="22"/>
          <w:szCs w:val="22"/>
        </w:rPr>
        <w:t>率</w:t>
      </w:r>
      <w:r>
        <w:rPr>
          <w:rFonts w:ascii="宋体" w:eastAsia="宋体" w:hAnsi="宋体" w:cs="宋体"/>
          <w:sz w:val="22"/>
          <w:szCs w:val="22"/>
        </w:rPr>
        <w:t xml:space="preserve"> </w:t>
      </w:r>
      <w:r>
        <w:rPr>
          <w:rFonts w:ascii="宋体" w:eastAsia="宋体" w:hAnsi="宋体" w:cs="宋体"/>
          <w:spacing w:val="6"/>
          <w:sz w:val="22"/>
          <w:szCs w:val="22"/>
        </w:rPr>
        <w:t>为80%～100%,而普通维生素C</w:t>
      </w:r>
      <w:r>
        <w:rPr>
          <w:rFonts w:ascii="宋体" w:eastAsia="宋体" w:hAnsi="宋体" w:cs="宋体"/>
          <w:spacing w:val="-14"/>
          <w:sz w:val="22"/>
          <w:szCs w:val="22"/>
        </w:rPr>
        <w:t xml:space="preserve"> </w:t>
      </w:r>
      <w:r>
        <w:rPr>
          <w:rFonts w:ascii="宋体" w:eastAsia="宋体" w:hAnsi="宋体" w:cs="宋体"/>
          <w:spacing w:val="6"/>
          <w:sz w:val="22"/>
          <w:szCs w:val="22"/>
        </w:rPr>
        <w:t>在同样条件下的保存率仅4%。</w:t>
      </w:r>
    </w:p>
    <w:p w:rsidR="00EA40A3" w:rsidRDefault="00E86C16">
      <w:pPr>
        <w:spacing w:before="106" w:line="231" w:lineRule="auto"/>
        <w:ind w:right="80" w:firstLine="439"/>
        <w:rPr>
          <w:rFonts w:ascii="宋体" w:eastAsia="宋体" w:hAnsi="宋体" w:cs="宋体"/>
          <w:sz w:val="22"/>
          <w:szCs w:val="22"/>
        </w:rPr>
      </w:pPr>
      <w:r>
        <w:rPr>
          <w:rFonts w:ascii="宋体" w:eastAsia="宋体" w:hAnsi="宋体" w:cs="宋体"/>
          <w:spacing w:val="-7"/>
          <w:sz w:val="22"/>
          <w:szCs w:val="22"/>
        </w:rPr>
        <w:t>在用维生素A</w:t>
      </w:r>
      <w:r>
        <w:rPr>
          <w:rFonts w:ascii="宋体" w:eastAsia="宋体" w:hAnsi="宋体" w:cs="宋体"/>
          <w:spacing w:val="10"/>
          <w:sz w:val="22"/>
          <w:szCs w:val="22"/>
        </w:rPr>
        <w:t xml:space="preserve"> </w:t>
      </w:r>
      <w:r>
        <w:rPr>
          <w:rFonts w:ascii="宋体" w:eastAsia="宋体" w:hAnsi="宋体" w:cs="宋体"/>
          <w:spacing w:val="-7"/>
          <w:sz w:val="22"/>
          <w:szCs w:val="22"/>
        </w:rPr>
        <w:t>强化食品时，以前多用维生素A</w:t>
      </w:r>
      <w:r>
        <w:rPr>
          <w:rFonts w:ascii="宋体" w:eastAsia="宋体" w:hAnsi="宋体" w:cs="宋体"/>
          <w:spacing w:val="12"/>
          <w:sz w:val="22"/>
          <w:szCs w:val="22"/>
        </w:rPr>
        <w:t xml:space="preserve"> </w:t>
      </w:r>
      <w:r>
        <w:rPr>
          <w:rFonts w:ascii="宋体" w:eastAsia="宋体" w:hAnsi="宋体" w:cs="宋体"/>
          <w:spacing w:val="-7"/>
          <w:sz w:val="22"/>
          <w:szCs w:val="22"/>
        </w:rPr>
        <w:t>乙酸酯，现在则大多改用维</w:t>
      </w:r>
      <w:r>
        <w:rPr>
          <w:rFonts w:ascii="宋体" w:eastAsia="宋体" w:hAnsi="宋体" w:cs="宋体"/>
          <w:sz w:val="22"/>
          <w:szCs w:val="22"/>
        </w:rPr>
        <w:t xml:space="preserve"> </w:t>
      </w:r>
      <w:r>
        <w:rPr>
          <w:rFonts w:ascii="宋体" w:eastAsia="宋体" w:hAnsi="宋体" w:cs="宋体"/>
          <w:spacing w:val="-10"/>
          <w:sz w:val="22"/>
          <w:szCs w:val="22"/>
        </w:rPr>
        <w:t>生素A</w:t>
      </w:r>
      <w:r>
        <w:rPr>
          <w:rFonts w:ascii="宋体" w:eastAsia="宋体" w:hAnsi="宋体" w:cs="宋体"/>
          <w:spacing w:val="2"/>
          <w:sz w:val="22"/>
          <w:szCs w:val="22"/>
        </w:rPr>
        <w:t xml:space="preserve"> </w:t>
      </w:r>
      <w:r>
        <w:rPr>
          <w:rFonts w:ascii="宋体" w:eastAsia="宋体" w:hAnsi="宋体" w:cs="宋体"/>
          <w:spacing w:val="-10"/>
          <w:sz w:val="22"/>
          <w:szCs w:val="22"/>
        </w:rPr>
        <w:t>棕榈酸酯，因为后者稳定性较高。</w:t>
      </w:r>
    </w:p>
    <w:p w:rsidR="00EA40A3" w:rsidRDefault="00E86C16">
      <w:pPr>
        <w:spacing w:before="208" w:line="223"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18"/>
          <w:sz w:val="22"/>
          <w:szCs w:val="22"/>
        </w:rPr>
        <w:t xml:space="preserve"> </w:t>
      </w:r>
      <w:r>
        <w:rPr>
          <w:rFonts w:ascii="仿宋" w:eastAsia="仿宋" w:hAnsi="仿宋" w:cs="仿宋"/>
          <w:spacing w:val="11"/>
          <w:sz w:val="22"/>
          <w:szCs w:val="22"/>
        </w:rPr>
        <w:t>改进加工工艺</w:t>
      </w:r>
    </w:p>
    <w:p w:rsidR="00EA40A3" w:rsidRDefault="00E86C16">
      <w:pPr>
        <w:spacing w:before="215" w:line="255" w:lineRule="auto"/>
        <w:ind w:firstLine="439"/>
        <w:jc w:val="both"/>
        <w:rPr>
          <w:rFonts w:ascii="宋体" w:eastAsia="宋体" w:hAnsi="宋体" w:cs="宋体"/>
          <w:sz w:val="22"/>
          <w:szCs w:val="22"/>
        </w:rPr>
      </w:pPr>
      <w:r>
        <w:rPr>
          <w:rFonts w:ascii="宋体" w:eastAsia="宋体" w:hAnsi="宋体" w:cs="宋体"/>
          <w:spacing w:val="-13"/>
          <w:sz w:val="22"/>
          <w:szCs w:val="22"/>
        </w:rPr>
        <w:t>要提高强化剂在食品中的稳定性，以改进食品加工工艺为最好。前述改变强</w:t>
      </w:r>
      <w:r>
        <w:rPr>
          <w:rFonts w:ascii="宋体" w:eastAsia="宋体" w:hAnsi="宋体" w:cs="宋体"/>
          <w:spacing w:val="8"/>
          <w:sz w:val="22"/>
          <w:szCs w:val="22"/>
        </w:rPr>
        <w:t xml:space="preserve"> </w:t>
      </w:r>
      <w:r>
        <w:rPr>
          <w:rFonts w:ascii="宋体" w:eastAsia="宋体" w:hAnsi="宋体" w:cs="宋体"/>
          <w:spacing w:val="-13"/>
          <w:sz w:val="22"/>
          <w:szCs w:val="22"/>
        </w:rPr>
        <w:t>化剂本身的结构，除了要考虑其生物活性外，尚需考虑的一个很重要的问题就是</w:t>
      </w:r>
      <w:r>
        <w:rPr>
          <w:rFonts w:ascii="宋体" w:eastAsia="宋体" w:hAnsi="宋体" w:cs="宋体"/>
          <w:spacing w:val="7"/>
          <w:sz w:val="22"/>
          <w:szCs w:val="22"/>
        </w:rPr>
        <w:t xml:space="preserve">  </w:t>
      </w:r>
      <w:r>
        <w:rPr>
          <w:rFonts w:ascii="宋体" w:eastAsia="宋体" w:hAnsi="宋体" w:cs="宋体"/>
          <w:spacing w:val="-13"/>
          <w:sz w:val="22"/>
          <w:szCs w:val="22"/>
        </w:rPr>
        <w:t>安全性。实际上，当人们充分认识了营养强化剂的特性以后，便可在食品加工过</w:t>
      </w:r>
      <w:r>
        <w:rPr>
          <w:rFonts w:ascii="宋体" w:eastAsia="宋体" w:hAnsi="宋体" w:cs="宋体"/>
          <w:spacing w:val="6"/>
          <w:sz w:val="22"/>
          <w:szCs w:val="22"/>
        </w:rPr>
        <w:t xml:space="preserve">  </w:t>
      </w:r>
      <w:r>
        <w:rPr>
          <w:rFonts w:ascii="宋体" w:eastAsia="宋体" w:hAnsi="宋体" w:cs="宋体"/>
          <w:spacing w:val="-12"/>
          <w:sz w:val="22"/>
          <w:szCs w:val="22"/>
        </w:rPr>
        <w:t>程中采用适当的工艺技术避免那些不利因素，</w:t>
      </w:r>
      <w:r>
        <w:rPr>
          <w:rFonts w:ascii="宋体" w:eastAsia="宋体" w:hAnsi="宋体" w:cs="宋体"/>
          <w:spacing w:val="-13"/>
          <w:sz w:val="22"/>
          <w:szCs w:val="22"/>
        </w:rPr>
        <w:t>从而达到提高其稳定性的目的。如</w:t>
      </w:r>
      <w:r>
        <w:rPr>
          <w:rFonts w:ascii="宋体" w:eastAsia="宋体" w:hAnsi="宋体" w:cs="宋体"/>
          <w:sz w:val="22"/>
          <w:szCs w:val="22"/>
        </w:rPr>
        <w:t xml:space="preserve">  </w:t>
      </w:r>
      <w:r>
        <w:rPr>
          <w:rFonts w:ascii="宋体" w:eastAsia="宋体" w:hAnsi="宋体" w:cs="宋体"/>
          <w:spacing w:val="-13"/>
          <w:sz w:val="22"/>
          <w:szCs w:val="22"/>
        </w:rPr>
        <w:t>采用微胶囊技术，既可控制食品营养强化剂的溶解时效，抑制氧化，防止物料在</w:t>
      </w:r>
      <w:r>
        <w:rPr>
          <w:rFonts w:ascii="宋体" w:eastAsia="宋体" w:hAnsi="宋体" w:cs="宋体"/>
          <w:spacing w:val="7"/>
          <w:sz w:val="22"/>
          <w:szCs w:val="22"/>
        </w:rPr>
        <w:t xml:space="preserve">  </w:t>
      </w:r>
      <w:r>
        <w:rPr>
          <w:rFonts w:ascii="宋体" w:eastAsia="宋体" w:hAnsi="宋体" w:cs="宋体"/>
          <w:spacing w:val="-12"/>
          <w:sz w:val="22"/>
          <w:szCs w:val="22"/>
        </w:rPr>
        <w:t>加工过程中相互反应，提高食品营养强化剂的稳定性，又</w:t>
      </w:r>
      <w:r>
        <w:rPr>
          <w:rFonts w:ascii="宋体" w:eastAsia="宋体" w:hAnsi="宋体" w:cs="宋体"/>
          <w:spacing w:val="-13"/>
          <w:sz w:val="22"/>
          <w:szCs w:val="22"/>
        </w:rPr>
        <w:t>能使不相溶的体系均匀</w:t>
      </w:r>
      <w:r>
        <w:rPr>
          <w:rFonts w:ascii="宋体" w:eastAsia="宋体" w:hAnsi="宋体" w:cs="宋体"/>
          <w:sz w:val="22"/>
          <w:szCs w:val="22"/>
        </w:rPr>
        <w:t xml:space="preserve"> </w:t>
      </w:r>
      <w:r>
        <w:rPr>
          <w:rFonts w:ascii="宋体" w:eastAsia="宋体" w:hAnsi="宋体" w:cs="宋体"/>
          <w:spacing w:val="-10"/>
          <w:sz w:val="22"/>
          <w:szCs w:val="22"/>
        </w:rPr>
        <w:t>分散，并且使用方便。因此，微胶囊技术是食品营养强化中一项极有效的技术。</w:t>
      </w:r>
      <w:r>
        <w:rPr>
          <w:rFonts w:ascii="宋体" w:eastAsia="宋体" w:hAnsi="宋体" w:cs="宋体"/>
          <w:spacing w:val="8"/>
          <w:sz w:val="22"/>
          <w:szCs w:val="22"/>
        </w:rPr>
        <w:t xml:space="preserve"> </w:t>
      </w:r>
      <w:r>
        <w:rPr>
          <w:rFonts w:ascii="宋体" w:eastAsia="宋体" w:hAnsi="宋体" w:cs="宋体"/>
          <w:spacing w:val="-16"/>
          <w:sz w:val="22"/>
          <w:szCs w:val="22"/>
        </w:rPr>
        <w:t>它适用于维生素、氨基酸及矿物质等的强化。</w:t>
      </w:r>
    </w:p>
    <w:p w:rsidR="00EA40A3" w:rsidRDefault="00EA40A3">
      <w:pPr>
        <w:sectPr w:rsidR="00EA40A3">
          <w:footerReference w:type="default" r:id="rId220"/>
          <w:pgSz w:w="9220" w:h="13360"/>
          <w:pgMar w:top="400" w:right="970" w:bottom="1217" w:left="890" w:header="0" w:footer="1009" w:gutter="0"/>
          <w:cols w:space="720"/>
        </w:sectPr>
      </w:pPr>
    </w:p>
    <w:p w:rsidR="00EA40A3" w:rsidRDefault="00EA40A3">
      <w:pPr>
        <w:spacing w:line="251" w:lineRule="auto"/>
      </w:pPr>
    </w:p>
    <w:p w:rsidR="00EA40A3" w:rsidRDefault="00EA40A3">
      <w:pPr>
        <w:spacing w:line="252" w:lineRule="auto"/>
      </w:pPr>
    </w:p>
    <w:p w:rsidR="00EA40A3" w:rsidRDefault="00EA40A3">
      <w:pPr>
        <w:spacing w:line="252" w:lineRule="auto"/>
      </w:pPr>
    </w:p>
    <w:p w:rsidR="00EA40A3" w:rsidRDefault="00E86C16">
      <w:pPr>
        <w:spacing w:before="74" w:line="219" w:lineRule="auto"/>
        <w:rPr>
          <w:rFonts w:ascii="仿宋" w:eastAsia="仿宋" w:hAnsi="仿宋" w:cs="仿宋"/>
          <w:sz w:val="23"/>
          <w:szCs w:val="23"/>
        </w:rPr>
      </w:pPr>
      <w:r>
        <w:rPr>
          <w:rFonts w:ascii="仿宋" w:eastAsia="仿宋" w:hAnsi="仿宋" w:cs="仿宋"/>
          <w:spacing w:val="2"/>
          <w:sz w:val="23"/>
          <w:szCs w:val="23"/>
        </w:rPr>
        <w:t>4.</w:t>
      </w:r>
      <w:r>
        <w:rPr>
          <w:rFonts w:ascii="仿宋" w:eastAsia="仿宋" w:hAnsi="仿宋" w:cs="仿宋"/>
          <w:spacing w:val="-13"/>
          <w:sz w:val="23"/>
          <w:szCs w:val="23"/>
        </w:rPr>
        <w:t xml:space="preserve"> </w:t>
      </w:r>
      <w:r>
        <w:rPr>
          <w:rFonts w:ascii="仿宋" w:eastAsia="仿宋" w:hAnsi="仿宋" w:cs="仿宋"/>
          <w:spacing w:val="2"/>
          <w:sz w:val="23"/>
          <w:szCs w:val="23"/>
        </w:rPr>
        <w:t>改善包装、储存条件</w:t>
      </w:r>
    </w:p>
    <w:p w:rsidR="00EA40A3" w:rsidRDefault="00E86C16">
      <w:pPr>
        <w:spacing w:before="172" w:line="233" w:lineRule="auto"/>
        <w:ind w:right="38" w:firstLine="450"/>
        <w:jc w:val="both"/>
        <w:rPr>
          <w:rFonts w:ascii="宋体" w:eastAsia="宋体" w:hAnsi="宋体" w:cs="宋体"/>
          <w:sz w:val="23"/>
          <w:szCs w:val="23"/>
        </w:rPr>
      </w:pPr>
      <w:r>
        <w:rPr>
          <w:rFonts w:ascii="宋体" w:eastAsia="宋体" w:hAnsi="宋体" w:cs="宋体"/>
          <w:spacing w:val="-24"/>
          <w:sz w:val="23"/>
          <w:szCs w:val="23"/>
        </w:rPr>
        <w:t>食品强化剂可随食品储存时间的延长而逐渐降低，其损失程度往往依食品的</w:t>
      </w:r>
      <w:r>
        <w:rPr>
          <w:rFonts w:ascii="宋体" w:eastAsia="宋体" w:hAnsi="宋体" w:cs="宋体"/>
          <w:spacing w:val="17"/>
          <w:sz w:val="23"/>
          <w:szCs w:val="23"/>
        </w:rPr>
        <w:t xml:space="preserve"> </w:t>
      </w:r>
      <w:r>
        <w:rPr>
          <w:rFonts w:ascii="宋体" w:eastAsia="宋体" w:hAnsi="宋体" w:cs="宋体"/>
          <w:spacing w:val="-21"/>
          <w:w w:val="99"/>
          <w:sz w:val="23"/>
          <w:szCs w:val="23"/>
        </w:rPr>
        <w:t>包装和储存条件而异。通常在密封包装和低温储存时营养素损失较小。这主要是</w:t>
      </w:r>
      <w:r>
        <w:rPr>
          <w:rFonts w:ascii="宋体" w:eastAsia="宋体" w:hAnsi="宋体" w:cs="宋体"/>
          <w:spacing w:val="5"/>
          <w:sz w:val="23"/>
          <w:szCs w:val="23"/>
        </w:rPr>
        <w:t xml:space="preserve"> </w:t>
      </w:r>
      <w:r>
        <w:rPr>
          <w:rFonts w:ascii="宋体" w:eastAsia="宋体" w:hAnsi="宋体" w:cs="宋体"/>
          <w:spacing w:val="-24"/>
          <w:sz w:val="23"/>
          <w:szCs w:val="23"/>
        </w:rPr>
        <w:t>防止空气中氧的作用和避免光、热等对它们的破坏作用所致。</w:t>
      </w:r>
    </w:p>
    <w:p w:rsidR="00EA40A3" w:rsidRDefault="00E86C16">
      <w:pPr>
        <w:spacing w:before="44" w:line="238" w:lineRule="auto"/>
        <w:ind w:right="41" w:firstLine="450"/>
        <w:jc w:val="both"/>
        <w:rPr>
          <w:rFonts w:ascii="宋体" w:eastAsia="宋体" w:hAnsi="宋体" w:cs="宋体"/>
          <w:sz w:val="23"/>
          <w:szCs w:val="23"/>
        </w:rPr>
      </w:pPr>
      <w:r>
        <w:rPr>
          <w:rFonts w:ascii="宋体" w:eastAsia="宋体" w:hAnsi="宋体" w:cs="宋体"/>
          <w:spacing w:val="-24"/>
          <w:sz w:val="23"/>
          <w:szCs w:val="23"/>
        </w:rPr>
        <w:t>很多强化食品都用马口铁罐包装，罐内大多抽空，以保存各营养成分和延长</w:t>
      </w:r>
      <w:r>
        <w:rPr>
          <w:rFonts w:ascii="宋体" w:eastAsia="宋体" w:hAnsi="宋体" w:cs="宋体"/>
          <w:spacing w:val="10"/>
          <w:sz w:val="23"/>
          <w:szCs w:val="23"/>
        </w:rPr>
        <w:t xml:space="preserve"> </w:t>
      </w:r>
      <w:r>
        <w:rPr>
          <w:rFonts w:ascii="宋体" w:eastAsia="宋体" w:hAnsi="宋体" w:cs="宋体"/>
          <w:spacing w:val="-23"/>
          <w:sz w:val="23"/>
          <w:szCs w:val="23"/>
        </w:rPr>
        <w:t>食品保存期。目前多采用抽空充氮包装。据报道，充氮包装的强化乳粉与普通密</w:t>
      </w:r>
      <w:r>
        <w:rPr>
          <w:rFonts w:ascii="宋体" w:eastAsia="宋体" w:hAnsi="宋体" w:cs="宋体"/>
          <w:spacing w:val="16"/>
          <w:sz w:val="23"/>
          <w:szCs w:val="23"/>
        </w:rPr>
        <w:t xml:space="preserve"> </w:t>
      </w:r>
      <w:r>
        <w:rPr>
          <w:rFonts w:ascii="宋体" w:eastAsia="宋体" w:hAnsi="宋体" w:cs="宋体"/>
          <w:spacing w:val="-18"/>
          <w:sz w:val="23"/>
          <w:szCs w:val="23"/>
        </w:rPr>
        <w:t>封包装的强化乳粉相比，在相同的实验条件下储存10d后，前者维生素A、</w:t>
      </w:r>
      <w:r>
        <w:rPr>
          <w:rFonts w:ascii="宋体" w:eastAsia="宋体" w:hAnsi="宋体" w:cs="宋体"/>
          <w:spacing w:val="-49"/>
          <w:sz w:val="23"/>
          <w:szCs w:val="23"/>
        </w:rPr>
        <w:t xml:space="preserve"> </w:t>
      </w:r>
      <w:r>
        <w:rPr>
          <w:rFonts w:ascii="宋体" w:eastAsia="宋体" w:hAnsi="宋体" w:cs="宋体"/>
          <w:spacing w:val="-18"/>
          <w:sz w:val="23"/>
          <w:szCs w:val="23"/>
        </w:rPr>
        <w:t>维生</w:t>
      </w:r>
      <w:r>
        <w:rPr>
          <w:rFonts w:ascii="宋体" w:eastAsia="宋体" w:hAnsi="宋体" w:cs="宋体"/>
          <w:sz w:val="23"/>
          <w:szCs w:val="23"/>
        </w:rPr>
        <w:t xml:space="preserve"> </w:t>
      </w:r>
      <w:r>
        <w:rPr>
          <w:rFonts w:ascii="宋体" w:eastAsia="宋体" w:hAnsi="宋体" w:cs="宋体"/>
          <w:spacing w:val="-11"/>
          <w:sz w:val="23"/>
          <w:szCs w:val="23"/>
        </w:rPr>
        <w:t>素B</w:t>
      </w:r>
      <w:r>
        <w:rPr>
          <w:rFonts w:ascii="宋体" w:eastAsia="宋体" w:hAnsi="宋体" w:cs="宋体"/>
          <w:spacing w:val="-27"/>
          <w:sz w:val="23"/>
          <w:szCs w:val="23"/>
        </w:rPr>
        <w:t xml:space="preserve"> </w:t>
      </w:r>
      <w:r>
        <w:rPr>
          <w:rFonts w:ascii="宋体" w:eastAsia="宋体" w:hAnsi="宋体" w:cs="宋体"/>
          <w:spacing w:val="-11"/>
          <w:sz w:val="23"/>
          <w:szCs w:val="23"/>
        </w:rPr>
        <w:t>和维生素C</w:t>
      </w:r>
      <w:r>
        <w:rPr>
          <w:rFonts w:ascii="宋体" w:eastAsia="宋体" w:hAnsi="宋体" w:cs="宋体"/>
          <w:spacing w:val="-23"/>
          <w:sz w:val="23"/>
          <w:szCs w:val="23"/>
        </w:rPr>
        <w:t xml:space="preserve"> </w:t>
      </w:r>
      <w:r>
        <w:rPr>
          <w:rFonts w:ascii="宋体" w:eastAsia="宋体" w:hAnsi="宋体" w:cs="宋体"/>
          <w:spacing w:val="-11"/>
          <w:sz w:val="23"/>
          <w:szCs w:val="23"/>
        </w:rPr>
        <w:t>的损失都比后者少10%以上。无疑</w:t>
      </w:r>
      <w:r>
        <w:rPr>
          <w:rFonts w:ascii="宋体" w:eastAsia="宋体" w:hAnsi="宋体" w:cs="宋体"/>
          <w:spacing w:val="-12"/>
          <w:sz w:val="23"/>
          <w:szCs w:val="23"/>
        </w:rPr>
        <w:t>，尽量降低罐内氧的含量对</w:t>
      </w:r>
      <w:r>
        <w:rPr>
          <w:rFonts w:ascii="宋体" w:eastAsia="宋体" w:hAnsi="宋体" w:cs="宋体"/>
          <w:sz w:val="23"/>
          <w:szCs w:val="23"/>
        </w:rPr>
        <w:t xml:space="preserve"> </w:t>
      </w:r>
      <w:r>
        <w:rPr>
          <w:rFonts w:ascii="宋体" w:eastAsia="宋体" w:hAnsi="宋体" w:cs="宋体"/>
          <w:spacing w:val="-16"/>
          <w:sz w:val="23"/>
          <w:szCs w:val="23"/>
        </w:rPr>
        <w:t>营养素的保存更为有利。第十六届国际乳业会议认为罐内氧含量高于4%时失去</w:t>
      </w:r>
      <w:r>
        <w:rPr>
          <w:rFonts w:ascii="宋体" w:eastAsia="宋体" w:hAnsi="宋体" w:cs="宋体"/>
          <w:spacing w:val="2"/>
          <w:sz w:val="23"/>
          <w:szCs w:val="23"/>
        </w:rPr>
        <w:t xml:space="preserve"> </w:t>
      </w:r>
      <w:r>
        <w:rPr>
          <w:rFonts w:ascii="宋体" w:eastAsia="宋体" w:hAnsi="宋体" w:cs="宋体"/>
          <w:spacing w:val="-3"/>
          <w:sz w:val="23"/>
          <w:szCs w:val="23"/>
        </w:rPr>
        <w:t>保藏内容物的意义；当罐内含氧量为1%时可认为满意；若能将氧含量降至</w:t>
      </w:r>
      <w:r>
        <w:rPr>
          <w:rFonts w:ascii="宋体" w:eastAsia="宋体" w:hAnsi="宋体" w:cs="宋体"/>
          <w:sz w:val="23"/>
          <w:szCs w:val="23"/>
        </w:rPr>
        <w:t xml:space="preserve"> </w:t>
      </w:r>
      <w:r>
        <w:rPr>
          <w:rFonts w:ascii="宋体" w:eastAsia="宋体" w:hAnsi="宋体" w:cs="宋体"/>
          <w:spacing w:val="-10"/>
          <w:sz w:val="23"/>
          <w:szCs w:val="23"/>
        </w:rPr>
        <w:t>0.1%则效果更佳。</w:t>
      </w:r>
    </w:p>
    <w:p w:rsidR="00EA40A3" w:rsidRDefault="00E86C16">
      <w:pPr>
        <w:spacing w:before="69" w:line="228" w:lineRule="auto"/>
        <w:ind w:right="26" w:firstLine="450"/>
        <w:jc w:val="both"/>
        <w:rPr>
          <w:rFonts w:ascii="宋体" w:eastAsia="宋体" w:hAnsi="宋体" w:cs="宋体"/>
          <w:sz w:val="23"/>
          <w:szCs w:val="23"/>
        </w:rPr>
      </w:pPr>
      <w:r>
        <w:rPr>
          <w:rFonts w:ascii="宋体" w:eastAsia="宋体" w:hAnsi="宋体" w:cs="宋体"/>
          <w:spacing w:val="-23"/>
          <w:sz w:val="23"/>
          <w:szCs w:val="23"/>
        </w:rPr>
        <w:t>降低储存温度有利于维生素等的保存。通常，储存温度越高，维生素</w:t>
      </w:r>
      <w:r>
        <w:rPr>
          <w:rFonts w:ascii="宋体" w:eastAsia="宋体" w:hAnsi="宋体" w:cs="宋体"/>
          <w:spacing w:val="-24"/>
          <w:sz w:val="23"/>
          <w:szCs w:val="23"/>
        </w:rPr>
        <w:t>等的分</w:t>
      </w:r>
      <w:r>
        <w:rPr>
          <w:rFonts w:ascii="宋体" w:eastAsia="宋体" w:hAnsi="宋体" w:cs="宋体"/>
          <w:sz w:val="23"/>
          <w:szCs w:val="23"/>
        </w:rPr>
        <w:t xml:space="preserve"> </w:t>
      </w:r>
      <w:r>
        <w:rPr>
          <w:rFonts w:ascii="宋体" w:eastAsia="宋体" w:hAnsi="宋体" w:cs="宋体"/>
          <w:spacing w:val="-15"/>
          <w:sz w:val="23"/>
          <w:szCs w:val="23"/>
        </w:rPr>
        <w:t>解作用越快。如维生素C</w:t>
      </w:r>
      <w:r>
        <w:rPr>
          <w:rFonts w:ascii="宋体" w:eastAsia="宋体" w:hAnsi="宋体" w:cs="宋体"/>
          <w:spacing w:val="-13"/>
          <w:sz w:val="23"/>
          <w:szCs w:val="23"/>
        </w:rPr>
        <w:t xml:space="preserve"> </w:t>
      </w:r>
      <w:r>
        <w:rPr>
          <w:rFonts w:ascii="宋体" w:eastAsia="宋体" w:hAnsi="宋体" w:cs="宋体"/>
          <w:spacing w:val="-15"/>
          <w:sz w:val="23"/>
          <w:szCs w:val="23"/>
        </w:rPr>
        <w:t>的分解速度在20℃时比6～8℃快两倍。</w:t>
      </w:r>
      <w:r>
        <w:rPr>
          <w:rFonts w:ascii="宋体" w:eastAsia="宋体" w:hAnsi="宋体" w:cs="宋体"/>
          <w:spacing w:val="-16"/>
          <w:sz w:val="23"/>
          <w:szCs w:val="23"/>
        </w:rPr>
        <w:t>强化乳粉真空</w:t>
      </w:r>
      <w:r>
        <w:rPr>
          <w:rFonts w:ascii="宋体" w:eastAsia="宋体" w:hAnsi="宋体" w:cs="宋体"/>
          <w:sz w:val="23"/>
          <w:szCs w:val="23"/>
        </w:rPr>
        <w:t xml:space="preserve"> </w:t>
      </w:r>
      <w:r>
        <w:rPr>
          <w:rFonts w:ascii="宋体" w:eastAsia="宋体" w:hAnsi="宋体" w:cs="宋体"/>
          <w:spacing w:val="-20"/>
          <w:sz w:val="23"/>
          <w:szCs w:val="23"/>
        </w:rPr>
        <w:t>包装后，在37℃储存时许多维生素的损失都比常温大。</w:t>
      </w:r>
    </w:p>
    <w:p w:rsidR="00EA40A3" w:rsidRDefault="00EA40A3">
      <w:pPr>
        <w:spacing w:line="246" w:lineRule="auto"/>
      </w:pPr>
    </w:p>
    <w:p w:rsidR="00EA40A3" w:rsidRDefault="00E86C16">
      <w:pPr>
        <w:spacing w:before="92" w:line="219" w:lineRule="auto"/>
        <w:ind w:left="1710"/>
        <w:rPr>
          <w:rFonts w:ascii="宋体" w:eastAsia="宋体" w:hAnsi="宋体" w:cs="宋体"/>
          <w:sz w:val="28"/>
          <w:szCs w:val="28"/>
        </w:rPr>
      </w:pPr>
      <w:r>
        <w:rPr>
          <w:rFonts w:ascii="宋体" w:eastAsia="宋体" w:hAnsi="宋体" w:cs="宋体"/>
          <w:spacing w:val="-5"/>
          <w:sz w:val="28"/>
          <w:szCs w:val="28"/>
        </w:rPr>
        <w:t>8.4</w:t>
      </w:r>
      <w:r>
        <w:rPr>
          <w:rFonts w:ascii="宋体" w:eastAsia="宋体" w:hAnsi="宋体" w:cs="宋体"/>
          <w:spacing w:val="12"/>
          <w:sz w:val="28"/>
          <w:szCs w:val="28"/>
        </w:rPr>
        <w:t xml:space="preserve">  </w:t>
      </w:r>
      <w:r>
        <w:rPr>
          <w:rFonts w:ascii="宋体" w:eastAsia="宋体" w:hAnsi="宋体" w:cs="宋体"/>
          <w:spacing w:val="-5"/>
          <w:sz w:val="28"/>
          <w:szCs w:val="28"/>
        </w:rPr>
        <w:t>营养强化食品的种类和生产</w:t>
      </w:r>
    </w:p>
    <w:p w:rsidR="00EA40A3" w:rsidRDefault="00E86C16">
      <w:pPr>
        <w:spacing w:before="293" w:line="238" w:lineRule="auto"/>
        <w:ind w:firstLine="450"/>
        <w:jc w:val="both"/>
        <w:rPr>
          <w:rFonts w:ascii="宋体" w:eastAsia="宋体" w:hAnsi="宋体" w:cs="宋体"/>
          <w:sz w:val="23"/>
          <w:szCs w:val="23"/>
        </w:rPr>
      </w:pPr>
      <w:r>
        <w:rPr>
          <w:rFonts w:ascii="宋体" w:eastAsia="宋体" w:hAnsi="宋体" w:cs="宋体"/>
          <w:spacing w:val="-20"/>
          <w:sz w:val="23"/>
          <w:szCs w:val="23"/>
        </w:rPr>
        <w:t>营养强化食品的种类繁多，可从不同的角度进行分类。从食用角度可分为3</w:t>
      </w:r>
      <w:r>
        <w:rPr>
          <w:rFonts w:ascii="宋体" w:eastAsia="宋体" w:hAnsi="宋体" w:cs="宋体"/>
          <w:spacing w:val="17"/>
          <w:sz w:val="23"/>
          <w:szCs w:val="23"/>
        </w:rPr>
        <w:t xml:space="preserve"> </w:t>
      </w:r>
      <w:r>
        <w:rPr>
          <w:rFonts w:ascii="宋体" w:eastAsia="宋体" w:hAnsi="宋体" w:cs="宋体"/>
          <w:spacing w:val="-21"/>
          <w:sz w:val="23"/>
          <w:szCs w:val="23"/>
        </w:rPr>
        <w:t>类：即强化主食品，如大米、面粉等；强化副食品，如鱼</w:t>
      </w:r>
      <w:r>
        <w:rPr>
          <w:rFonts w:ascii="宋体" w:eastAsia="宋体" w:hAnsi="宋体" w:cs="宋体"/>
          <w:spacing w:val="-22"/>
          <w:sz w:val="23"/>
          <w:szCs w:val="23"/>
        </w:rPr>
        <w:t>、肉、香肠及酱类等；</w:t>
      </w:r>
      <w:r>
        <w:rPr>
          <w:rFonts w:ascii="宋体" w:eastAsia="宋体" w:hAnsi="宋体" w:cs="宋体"/>
          <w:sz w:val="23"/>
          <w:szCs w:val="23"/>
        </w:rPr>
        <w:t xml:space="preserve"> </w:t>
      </w:r>
      <w:r>
        <w:rPr>
          <w:rFonts w:ascii="宋体" w:eastAsia="宋体" w:hAnsi="宋体" w:cs="宋体"/>
          <w:spacing w:val="-23"/>
          <w:sz w:val="23"/>
          <w:szCs w:val="23"/>
        </w:rPr>
        <w:t>强化公共系统的必需食品，如饮用水等。按食用对象分类有普通食</w:t>
      </w:r>
      <w:r>
        <w:rPr>
          <w:rFonts w:ascii="宋体" w:eastAsia="宋体" w:hAnsi="宋体" w:cs="宋体"/>
          <w:spacing w:val="-24"/>
          <w:sz w:val="23"/>
          <w:szCs w:val="23"/>
        </w:rPr>
        <w:t>品，婴幼儿食</w:t>
      </w:r>
      <w:r>
        <w:rPr>
          <w:rFonts w:ascii="宋体" w:eastAsia="宋体" w:hAnsi="宋体" w:cs="宋体"/>
          <w:sz w:val="23"/>
          <w:szCs w:val="23"/>
        </w:rPr>
        <w:t xml:space="preserve"> </w:t>
      </w:r>
      <w:r>
        <w:rPr>
          <w:rFonts w:ascii="宋体" w:eastAsia="宋体" w:hAnsi="宋体" w:cs="宋体"/>
          <w:spacing w:val="-23"/>
          <w:sz w:val="23"/>
          <w:szCs w:val="23"/>
        </w:rPr>
        <w:t>品，孕妇、乳母食品，老人食品，以及军用食品、职业病食品、勘探采矿等特殊</w:t>
      </w:r>
      <w:r>
        <w:rPr>
          <w:rFonts w:ascii="宋体" w:eastAsia="宋体" w:hAnsi="宋体" w:cs="宋体"/>
          <w:spacing w:val="12"/>
          <w:sz w:val="23"/>
          <w:szCs w:val="23"/>
        </w:rPr>
        <w:t xml:space="preserve"> </w:t>
      </w:r>
      <w:r>
        <w:rPr>
          <w:rFonts w:ascii="宋体" w:eastAsia="宋体" w:hAnsi="宋体" w:cs="宋体"/>
          <w:spacing w:val="-23"/>
          <w:sz w:val="23"/>
          <w:szCs w:val="23"/>
        </w:rPr>
        <w:t>需要食品。从添加营养强化剂的种类来分类，有维生素类、蛋白质氨基酸类、矿</w:t>
      </w:r>
      <w:r>
        <w:rPr>
          <w:rFonts w:ascii="宋体" w:eastAsia="宋体" w:hAnsi="宋体" w:cs="宋体"/>
          <w:spacing w:val="13"/>
          <w:sz w:val="23"/>
          <w:szCs w:val="23"/>
        </w:rPr>
        <w:t xml:space="preserve"> </w:t>
      </w:r>
      <w:r>
        <w:rPr>
          <w:rFonts w:ascii="宋体" w:eastAsia="宋体" w:hAnsi="宋体" w:cs="宋体"/>
          <w:spacing w:val="-23"/>
          <w:sz w:val="23"/>
          <w:szCs w:val="23"/>
        </w:rPr>
        <w:t>物质类及脂肪酸等强化食品，还有用若干富含营养素的天然食物作为强化剂的混</w:t>
      </w:r>
      <w:r>
        <w:rPr>
          <w:rFonts w:ascii="宋体" w:eastAsia="宋体" w:hAnsi="宋体" w:cs="宋体"/>
          <w:spacing w:val="12"/>
          <w:sz w:val="23"/>
          <w:szCs w:val="23"/>
        </w:rPr>
        <w:t xml:space="preserve"> </w:t>
      </w:r>
      <w:r>
        <w:rPr>
          <w:rFonts w:ascii="宋体" w:eastAsia="宋体" w:hAnsi="宋体" w:cs="宋体"/>
          <w:spacing w:val="-23"/>
          <w:sz w:val="23"/>
          <w:szCs w:val="23"/>
        </w:rPr>
        <w:t>合型强化食品等。目前，应用较多的是强化谷物食品和强化乳粉。</w:t>
      </w:r>
    </w:p>
    <w:p w:rsidR="00EA40A3" w:rsidRDefault="00E86C16">
      <w:pPr>
        <w:spacing w:before="213" w:line="222" w:lineRule="auto"/>
        <w:ind w:left="3"/>
        <w:outlineLvl w:val="6"/>
        <w:rPr>
          <w:rFonts w:ascii="黑体" w:eastAsia="黑体" w:hAnsi="黑体" w:cs="黑体"/>
          <w:sz w:val="23"/>
          <w:szCs w:val="23"/>
        </w:rPr>
      </w:pPr>
      <w:r>
        <w:rPr>
          <w:rFonts w:ascii="黑体" w:eastAsia="黑体" w:hAnsi="黑体" w:cs="黑体"/>
          <w:b/>
          <w:bCs/>
          <w:spacing w:val="2"/>
          <w:sz w:val="23"/>
          <w:szCs w:val="23"/>
        </w:rPr>
        <w:t>8.4.1</w:t>
      </w:r>
      <w:r>
        <w:rPr>
          <w:rFonts w:ascii="黑体" w:eastAsia="黑体" w:hAnsi="黑体" w:cs="黑体"/>
          <w:spacing w:val="14"/>
          <w:sz w:val="23"/>
          <w:szCs w:val="23"/>
        </w:rPr>
        <w:t xml:space="preserve">  </w:t>
      </w:r>
      <w:r>
        <w:rPr>
          <w:rFonts w:ascii="黑体" w:eastAsia="黑体" w:hAnsi="黑体" w:cs="黑体"/>
          <w:b/>
          <w:bCs/>
          <w:spacing w:val="2"/>
          <w:sz w:val="23"/>
          <w:szCs w:val="23"/>
        </w:rPr>
        <w:t>强化谷物食品</w:t>
      </w:r>
    </w:p>
    <w:p w:rsidR="00EA40A3" w:rsidRDefault="00E86C16">
      <w:pPr>
        <w:spacing w:before="200" w:line="238" w:lineRule="auto"/>
        <w:ind w:firstLine="450"/>
        <w:jc w:val="both"/>
        <w:rPr>
          <w:rFonts w:ascii="宋体" w:eastAsia="宋体" w:hAnsi="宋体" w:cs="宋体"/>
          <w:sz w:val="23"/>
          <w:szCs w:val="23"/>
        </w:rPr>
      </w:pPr>
      <w:r>
        <w:rPr>
          <w:rFonts w:ascii="宋体" w:eastAsia="宋体" w:hAnsi="宋体" w:cs="宋体"/>
          <w:spacing w:val="-15"/>
          <w:sz w:val="23"/>
          <w:szCs w:val="23"/>
        </w:rPr>
        <w:t>2005年，中国已启动粮食作物强化工程计划，粮食作物强化工程是国际农</w:t>
      </w:r>
      <w:r>
        <w:rPr>
          <w:rFonts w:ascii="宋体" w:eastAsia="宋体" w:hAnsi="宋体" w:cs="宋体"/>
          <w:spacing w:val="1"/>
          <w:sz w:val="23"/>
          <w:szCs w:val="23"/>
        </w:rPr>
        <w:t xml:space="preserve"> </w:t>
      </w:r>
      <w:r>
        <w:rPr>
          <w:rFonts w:ascii="宋体" w:eastAsia="宋体" w:hAnsi="宋体" w:cs="宋体"/>
          <w:spacing w:val="-23"/>
          <w:sz w:val="23"/>
          <w:szCs w:val="23"/>
        </w:rPr>
        <w:t>业研究协作组织发起的一个全球性项目，旨在通过生物强化途径提高主要粮食作</w:t>
      </w:r>
      <w:r>
        <w:rPr>
          <w:rFonts w:ascii="宋体" w:eastAsia="宋体" w:hAnsi="宋体" w:cs="宋体"/>
          <w:spacing w:val="17"/>
          <w:sz w:val="23"/>
          <w:szCs w:val="23"/>
        </w:rPr>
        <w:t xml:space="preserve"> </w:t>
      </w:r>
      <w:r>
        <w:rPr>
          <w:rFonts w:ascii="宋体" w:eastAsia="宋体" w:hAnsi="宋体" w:cs="宋体"/>
          <w:spacing w:val="-17"/>
          <w:sz w:val="23"/>
          <w:szCs w:val="23"/>
        </w:rPr>
        <w:t>物的微量营养元素含量，国际粮食作物强化工程计划第一阶段的目标作物是水</w:t>
      </w:r>
      <w:r>
        <w:rPr>
          <w:rFonts w:ascii="宋体" w:eastAsia="宋体" w:hAnsi="宋体" w:cs="宋体"/>
          <w:spacing w:val="17"/>
          <w:sz w:val="23"/>
          <w:szCs w:val="23"/>
        </w:rPr>
        <w:t xml:space="preserve"> </w:t>
      </w:r>
      <w:r>
        <w:rPr>
          <w:rFonts w:ascii="宋体" w:eastAsia="宋体" w:hAnsi="宋体" w:cs="宋体"/>
          <w:spacing w:val="-16"/>
          <w:sz w:val="23"/>
          <w:szCs w:val="23"/>
        </w:rPr>
        <w:t>稻、小麦、玉米、木薯、甘薯和大豆等，目标元素是铁、锌、</w:t>
      </w:r>
      <w:r>
        <w:rPr>
          <w:rFonts w:ascii="宋体" w:eastAsia="宋体" w:hAnsi="宋体" w:cs="宋体"/>
          <w:spacing w:val="-17"/>
          <w:sz w:val="23"/>
          <w:szCs w:val="23"/>
        </w:rPr>
        <w:t>维生素A</w:t>
      </w:r>
      <w:r>
        <w:rPr>
          <w:rFonts w:ascii="宋体" w:eastAsia="宋体" w:hAnsi="宋体" w:cs="宋体"/>
          <w:spacing w:val="-9"/>
          <w:sz w:val="23"/>
          <w:szCs w:val="23"/>
        </w:rPr>
        <w:t xml:space="preserve"> </w:t>
      </w:r>
      <w:r>
        <w:rPr>
          <w:rFonts w:ascii="宋体" w:eastAsia="宋体" w:hAnsi="宋体" w:cs="宋体"/>
          <w:spacing w:val="-17"/>
          <w:sz w:val="23"/>
          <w:szCs w:val="23"/>
        </w:rPr>
        <w:t>等。谷</w:t>
      </w:r>
      <w:r>
        <w:rPr>
          <w:rFonts w:ascii="宋体" w:eastAsia="宋体" w:hAnsi="宋体" w:cs="宋体"/>
          <w:sz w:val="23"/>
          <w:szCs w:val="23"/>
        </w:rPr>
        <w:t xml:space="preserve"> </w:t>
      </w:r>
      <w:r>
        <w:rPr>
          <w:rFonts w:ascii="宋体" w:eastAsia="宋体" w:hAnsi="宋体" w:cs="宋体"/>
          <w:spacing w:val="-23"/>
          <w:sz w:val="23"/>
          <w:szCs w:val="23"/>
        </w:rPr>
        <w:t>物类食品的品种很多，但人们食用的主要是小麦和大米。谷类籽粒中营养素的分</w:t>
      </w:r>
      <w:r>
        <w:rPr>
          <w:rFonts w:ascii="宋体" w:eastAsia="宋体" w:hAnsi="宋体" w:cs="宋体"/>
          <w:spacing w:val="12"/>
          <w:sz w:val="23"/>
          <w:szCs w:val="23"/>
        </w:rPr>
        <w:t xml:space="preserve"> </w:t>
      </w:r>
      <w:r>
        <w:rPr>
          <w:rFonts w:ascii="宋体" w:eastAsia="宋体" w:hAnsi="宋体" w:cs="宋体"/>
          <w:spacing w:val="-22"/>
          <w:sz w:val="23"/>
          <w:szCs w:val="23"/>
        </w:rPr>
        <w:t>布很不均匀，在碾磨过程中，特别是在精制时很</w:t>
      </w:r>
      <w:r>
        <w:rPr>
          <w:rFonts w:ascii="宋体" w:eastAsia="宋体" w:hAnsi="宋体" w:cs="宋体"/>
          <w:spacing w:val="-23"/>
          <w:sz w:val="23"/>
          <w:szCs w:val="23"/>
        </w:rPr>
        <w:t>多营养素易被损失。值得注意的</w:t>
      </w:r>
      <w:r>
        <w:rPr>
          <w:rFonts w:ascii="宋体" w:eastAsia="宋体" w:hAnsi="宋体" w:cs="宋体"/>
          <w:sz w:val="23"/>
          <w:szCs w:val="23"/>
        </w:rPr>
        <w:t xml:space="preserve"> </w:t>
      </w:r>
      <w:r>
        <w:rPr>
          <w:rFonts w:ascii="宋体" w:eastAsia="宋体" w:hAnsi="宋体" w:cs="宋体"/>
          <w:spacing w:val="-13"/>
          <w:sz w:val="23"/>
          <w:szCs w:val="23"/>
        </w:rPr>
        <w:t>是维生素B</w:t>
      </w:r>
      <w:r>
        <w:rPr>
          <w:rFonts w:ascii="宋体" w:eastAsia="宋体" w:hAnsi="宋体" w:cs="宋体"/>
          <w:spacing w:val="43"/>
          <w:sz w:val="23"/>
          <w:szCs w:val="23"/>
        </w:rPr>
        <w:t xml:space="preserve"> </w:t>
      </w:r>
      <w:r>
        <w:rPr>
          <w:rFonts w:ascii="宋体" w:eastAsia="宋体" w:hAnsi="宋体" w:cs="宋体"/>
          <w:spacing w:val="-13"/>
          <w:sz w:val="23"/>
          <w:szCs w:val="23"/>
        </w:rPr>
        <w:t>集中在盾片中，维生素B</w:t>
      </w:r>
      <w:r>
        <w:rPr>
          <w:rFonts w:ascii="宋体" w:eastAsia="宋体" w:hAnsi="宋体" w:cs="宋体"/>
          <w:spacing w:val="44"/>
          <w:sz w:val="23"/>
          <w:szCs w:val="23"/>
        </w:rPr>
        <w:t xml:space="preserve"> </w:t>
      </w:r>
      <w:r>
        <w:rPr>
          <w:rFonts w:ascii="宋体" w:eastAsia="宋体" w:hAnsi="宋体" w:cs="宋体"/>
          <w:spacing w:val="-13"/>
          <w:sz w:val="23"/>
          <w:szCs w:val="23"/>
        </w:rPr>
        <w:t>和烟酸则多集中在</w:t>
      </w:r>
      <w:r>
        <w:rPr>
          <w:rFonts w:ascii="宋体" w:eastAsia="宋体" w:hAnsi="宋体" w:cs="宋体"/>
          <w:spacing w:val="-14"/>
          <w:sz w:val="23"/>
          <w:szCs w:val="23"/>
        </w:rPr>
        <w:t>糊粉层，维生素B</w:t>
      </w:r>
      <w:r>
        <w:rPr>
          <w:rFonts w:ascii="Calibri" w:eastAsia="Calibri" w:hAnsi="Calibri" w:cs="Calibri"/>
          <w:spacing w:val="-14"/>
          <w:sz w:val="23"/>
          <w:szCs w:val="23"/>
        </w:rPr>
        <w:t>₂</w:t>
      </w:r>
      <w:r>
        <w:rPr>
          <w:rFonts w:ascii="Calibri" w:eastAsia="Calibri" w:hAnsi="Calibri" w:cs="Calibri"/>
          <w:spacing w:val="39"/>
          <w:w w:val="101"/>
          <w:sz w:val="23"/>
          <w:szCs w:val="23"/>
        </w:rPr>
        <w:t xml:space="preserve"> </w:t>
      </w:r>
      <w:r>
        <w:rPr>
          <w:rFonts w:ascii="宋体" w:eastAsia="宋体" w:hAnsi="宋体" w:cs="宋体"/>
          <w:spacing w:val="-14"/>
          <w:sz w:val="23"/>
          <w:szCs w:val="23"/>
        </w:rPr>
        <w:t>和</w:t>
      </w:r>
      <w:r>
        <w:rPr>
          <w:rFonts w:ascii="宋体" w:eastAsia="宋体" w:hAnsi="宋体" w:cs="宋体"/>
          <w:sz w:val="23"/>
          <w:szCs w:val="23"/>
        </w:rPr>
        <w:t xml:space="preserve"> </w:t>
      </w:r>
      <w:r>
        <w:rPr>
          <w:rFonts w:ascii="宋体" w:eastAsia="宋体" w:hAnsi="宋体" w:cs="宋体"/>
          <w:spacing w:val="-21"/>
          <w:sz w:val="23"/>
          <w:szCs w:val="23"/>
        </w:rPr>
        <w:t>泛酸则以糊粉层和胚乳中较多，矿物质也多集中在糊粉层</w:t>
      </w:r>
      <w:r>
        <w:rPr>
          <w:rFonts w:ascii="宋体" w:eastAsia="宋体" w:hAnsi="宋体" w:cs="宋体"/>
          <w:spacing w:val="-22"/>
          <w:sz w:val="23"/>
          <w:szCs w:val="23"/>
        </w:rPr>
        <w:t>中。从营养的角度看，</w:t>
      </w:r>
      <w:r>
        <w:rPr>
          <w:rFonts w:ascii="宋体" w:eastAsia="宋体" w:hAnsi="宋体" w:cs="宋体"/>
          <w:sz w:val="23"/>
          <w:szCs w:val="23"/>
        </w:rPr>
        <w:t xml:space="preserve"> </w:t>
      </w:r>
      <w:r>
        <w:rPr>
          <w:rFonts w:ascii="宋体" w:eastAsia="宋体" w:hAnsi="宋体" w:cs="宋体"/>
          <w:spacing w:val="-22"/>
          <w:sz w:val="23"/>
          <w:szCs w:val="23"/>
        </w:rPr>
        <w:t>糊粉层非常重要，但它却易在碾磨加工时受到损失。碾磨愈精、损失愈多。而谷</w:t>
      </w:r>
    </w:p>
    <w:p w:rsidR="00EA40A3" w:rsidRDefault="00E86C16">
      <w:pPr>
        <w:spacing w:before="101"/>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264</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221"/>
          <w:pgSz w:w="9220" w:h="13360"/>
          <w:pgMar w:top="400" w:right="1104" w:bottom="400" w:left="809" w:header="0" w:footer="0" w:gutter="0"/>
          <w:cols w:space="720"/>
        </w:sectPr>
      </w:pPr>
    </w:p>
    <w:p w:rsidR="00EA40A3" w:rsidRDefault="00EA40A3">
      <w:pPr>
        <w:spacing w:line="315" w:lineRule="auto"/>
      </w:pPr>
    </w:p>
    <w:p w:rsidR="00EA40A3" w:rsidRDefault="00EA40A3">
      <w:pPr>
        <w:spacing w:line="316" w:lineRule="auto"/>
      </w:pPr>
    </w:p>
    <w:p w:rsidR="00EA40A3" w:rsidRDefault="00E86C16">
      <w:pPr>
        <w:spacing w:before="62" w:line="281" w:lineRule="auto"/>
        <w:ind w:left="30" w:right="24"/>
        <w:jc w:val="both"/>
        <w:rPr>
          <w:rFonts w:ascii="宋体" w:eastAsia="宋体" w:hAnsi="宋体" w:cs="宋体"/>
          <w:sz w:val="19"/>
          <w:szCs w:val="19"/>
        </w:rPr>
      </w:pPr>
      <w:bookmarkStart w:id="65" w:name="_bookmark69"/>
      <w:bookmarkStart w:id="66" w:name="_bookmark70"/>
      <w:bookmarkEnd w:id="65"/>
      <w:bookmarkEnd w:id="66"/>
      <w:r>
        <w:rPr>
          <w:rFonts w:ascii="宋体" w:eastAsia="宋体" w:hAnsi="宋体" w:cs="宋体"/>
          <w:spacing w:val="18"/>
          <w:sz w:val="19"/>
          <w:szCs w:val="19"/>
        </w:rPr>
        <w:t>物食品是人类的主要食物，且人们倾向于食用精白米和精白面</w:t>
      </w:r>
      <w:r>
        <w:rPr>
          <w:rFonts w:ascii="宋体" w:eastAsia="宋体" w:hAnsi="宋体" w:cs="宋体"/>
          <w:spacing w:val="17"/>
          <w:sz w:val="19"/>
          <w:szCs w:val="19"/>
        </w:rPr>
        <w:t>粉，这使得某些营</w:t>
      </w:r>
      <w:r>
        <w:rPr>
          <w:rFonts w:ascii="宋体" w:eastAsia="宋体" w:hAnsi="宋体" w:cs="宋体"/>
          <w:sz w:val="19"/>
          <w:szCs w:val="19"/>
        </w:rPr>
        <w:t xml:space="preserve"> </w:t>
      </w:r>
      <w:r>
        <w:rPr>
          <w:rFonts w:ascii="宋体" w:eastAsia="宋体" w:hAnsi="宋体" w:cs="宋体"/>
          <w:spacing w:val="18"/>
          <w:sz w:val="19"/>
          <w:szCs w:val="19"/>
        </w:rPr>
        <w:t>养素的摄取减少。因此，目前许多国家对面粉、面包、大米等都进行营养强化。</w:t>
      </w:r>
      <w:r>
        <w:rPr>
          <w:rFonts w:ascii="宋体" w:eastAsia="宋体" w:hAnsi="宋体" w:cs="宋体"/>
          <w:spacing w:val="13"/>
          <w:sz w:val="19"/>
          <w:szCs w:val="19"/>
        </w:rPr>
        <w:t xml:space="preserve"> </w:t>
      </w:r>
      <w:r>
        <w:rPr>
          <w:rFonts w:ascii="宋体" w:eastAsia="宋体" w:hAnsi="宋体" w:cs="宋体"/>
          <w:spacing w:val="14"/>
          <w:sz w:val="19"/>
          <w:szCs w:val="19"/>
        </w:rPr>
        <w:t>有的国家是自由强化，有的国家则是法定强制强化。</w:t>
      </w:r>
    </w:p>
    <w:p w:rsidR="00EA40A3" w:rsidRDefault="00E86C16">
      <w:pPr>
        <w:spacing w:before="152" w:line="222" w:lineRule="auto"/>
        <w:ind w:left="30"/>
        <w:rPr>
          <w:rFonts w:ascii="仿宋" w:eastAsia="仿宋" w:hAnsi="仿宋" w:cs="仿宋"/>
          <w:sz w:val="22"/>
          <w:szCs w:val="22"/>
        </w:rPr>
      </w:pPr>
      <w:r>
        <w:rPr>
          <w:rFonts w:ascii="仿宋" w:eastAsia="仿宋" w:hAnsi="仿宋" w:cs="仿宋"/>
          <w:spacing w:val="4"/>
          <w:sz w:val="22"/>
          <w:szCs w:val="22"/>
        </w:rPr>
        <w:t>1.</w:t>
      </w:r>
      <w:r>
        <w:rPr>
          <w:rFonts w:ascii="仿宋" w:eastAsia="仿宋" w:hAnsi="仿宋" w:cs="仿宋"/>
          <w:spacing w:val="-5"/>
          <w:sz w:val="22"/>
          <w:szCs w:val="22"/>
        </w:rPr>
        <w:t xml:space="preserve"> </w:t>
      </w:r>
      <w:r>
        <w:rPr>
          <w:rFonts w:ascii="仿宋" w:eastAsia="仿宋" w:hAnsi="仿宋" w:cs="仿宋"/>
          <w:spacing w:val="4"/>
          <w:sz w:val="22"/>
          <w:szCs w:val="22"/>
        </w:rPr>
        <w:t>强化米</w:t>
      </w:r>
    </w:p>
    <w:p w:rsidR="00EA40A3" w:rsidRDefault="00E86C16">
      <w:pPr>
        <w:spacing w:before="115" w:line="292" w:lineRule="auto"/>
        <w:ind w:left="30" w:right="4" w:firstLine="329"/>
        <w:rPr>
          <w:rFonts w:ascii="宋体" w:eastAsia="宋体" w:hAnsi="宋体" w:cs="宋体"/>
          <w:sz w:val="19"/>
          <w:szCs w:val="19"/>
        </w:rPr>
      </w:pPr>
      <w:r>
        <w:rPr>
          <w:rFonts w:ascii="宋体" w:eastAsia="宋体" w:hAnsi="宋体" w:cs="宋体"/>
          <w:spacing w:val="23"/>
          <w:sz w:val="19"/>
          <w:szCs w:val="19"/>
        </w:rPr>
        <w:t>大米是我国居民及东南亚、非洲等地区居民的主食，由于其加工后营养</w:t>
      </w:r>
      <w:r>
        <w:rPr>
          <w:rFonts w:ascii="宋体" w:eastAsia="宋体" w:hAnsi="宋体" w:cs="宋体"/>
          <w:spacing w:val="22"/>
          <w:sz w:val="19"/>
          <w:szCs w:val="19"/>
        </w:rPr>
        <w:t>损</w:t>
      </w:r>
      <w:r>
        <w:rPr>
          <w:rFonts w:ascii="宋体" w:eastAsia="宋体" w:hAnsi="宋体" w:cs="宋体"/>
          <w:sz w:val="19"/>
          <w:szCs w:val="19"/>
        </w:rPr>
        <w:t xml:space="preserve">  </w:t>
      </w:r>
      <w:r>
        <w:rPr>
          <w:rFonts w:ascii="宋体" w:eastAsia="宋体" w:hAnsi="宋体" w:cs="宋体"/>
          <w:spacing w:val="19"/>
          <w:sz w:val="19"/>
          <w:szCs w:val="19"/>
        </w:rPr>
        <w:t>失，以及蛋白质中赖氨酸与蛋氨酸不足等问题，因此，进行营养强化十分必要</w:t>
      </w:r>
      <w:r>
        <w:rPr>
          <w:rFonts w:ascii="宋体" w:eastAsia="宋体" w:hAnsi="宋体" w:cs="宋体"/>
          <w:spacing w:val="18"/>
          <w:sz w:val="19"/>
          <w:szCs w:val="19"/>
        </w:rPr>
        <w:t>。</w:t>
      </w:r>
      <w:r>
        <w:rPr>
          <w:rFonts w:ascii="宋体" w:eastAsia="宋体" w:hAnsi="宋体" w:cs="宋体"/>
          <w:sz w:val="19"/>
          <w:szCs w:val="19"/>
        </w:rPr>
        <w:t xml:space="preserve"> </w:t>
      </w:r>
      <w:r>
        <w:rPr>
          <w:rFonts w:ascii="宋体" w:eastAsia="宋体" w:hAnsi="宋体" w:cs="宋体"/>
          <w:spacing w:val="21"/>
          <w:sz w:val="19"/>
          <w:szCs w:val="19"/>
        </w:rPr>
        <w:t>大米的强化首先由菲律宾于1944年实际应用，并在当地防治维生素缺乏症等方</w:t>
      </w:r>
      <w:r>
        <w:rPr>
          <w:rFonts w:ascii="宋体" w:eastAsia="宋体" w:hAnsi="宋体" w:cs="宋体"/>
          <w:spacing w:val="5"/>
          <w:sz w:val="19"/>
          <w:szCs w:val="19"/>
        </w:rPr>
        <w:t xml:space="preserve">  </w:t>
      </w:r>
      <w:r>
        <w:rPr>
          <w:rFonts w:ascii="宋体" w:eastAsia="宋体" w:hAnsi="宋体" w:cs="宋体"/>
          <w:spacing w:val="18"/>
          <w:sz w:val="19"/>
          <w:szCs w:val="19"/>
        </w:rPr>
        <w:t>面很有成效。他们经过两年普遍食用强化米，基本上消除</w:t>
      </w:r>
      <w:r>
        <w:rPr>
          <w:rFonts w:ascii="宋体" w:eastAsia="宋体" w:hAnsi="宋体" w:cs="宋体"/>
          <w:spacing w:val="17"/>
          <w:sz w:val="19"/>
          <w:szCs w:val="19"/>
        </w:rPr>
        <w:t>了脚气病，提高了居民</w:t>
      </w:r>
      <w:r>
        <w:rPr>
          <w:rFonts w:ascii="宋体" w:eastAsia="宋体" w:hAnsi="宋体" w:cs="宋体"/>
          <w:sz w:val="19"/>
          <w:szCs w:val="19"/>
        </w:rPr>
        <w:t xml:space="preserve"> </w:t>
      </w:r>
      <w:r>
        <w:rPr>
          <w:rFonts w:ascii="宋体" w:eastAsia="宋体" w:hAnsi="宋体" w:cs="宋体"/>
          <w:spacing w:val="19"/>
          <w:sz w:val="19"/>
          <w:szCs w:val="19"/>
        </w:rPr>
        <w:t>健康水平。此后，在日本等亚洲国家及拉丁美洲等一些国家也陆续食用强化米</w:t>
      </w:r>
      <w:r>
        <w:rPr>
          <w:rFonts w:ascii="宋体" w:eastAsia="宋体" w:hAnsi="宋体" w:cs="宋体"/>
          <w:spacing w:val="18"/>
          <w:sz w:val="19"/>
          <w:szCs w:val="19"/>
        </w:rPr>
        <w:t>。</w:t>
      </w:r>
      <w:r>
        <w:rPr>
          <w:rFonts w:ascii="宋体" w:eastAsia="宋体" w:hAnsi="宋体" w:cs="宋体"/>
          <w:sz w:val="19"/>
          <w:szCs w:val="19"/>
        </w:rPr>
        <w:t xml:space="preserve"> </w:t>
      </w:r>
      <w:r>
        <w:rPr>
          <w:rFonts w:ascii="宋体" w:eastAsia="宋体" w:hAnsi="宋体" w:cs="宋体"/>
          <w:spacing w:val="18"/>
          <w:sz w:val="19"/>
          <w:szCs w:val="19"/>
        </w:rPr>
        <w:t>我国目前强化米供应较少，但对谷类粉的强化已有规定</w:t>
      </w:r>
      <w:r>
        <w:rPr>
          <w:rFonts w:ascii="宋体" w:eastAsia="宋体" w:hAnsi="宋体" w:cs="宋体"/>
          <w:spacing w:val="17"/>
          <w:sz w:val="19"/>
          <w:szCs w:val="19"/>
        </w:rPr>
        <w:t>。此外还规定玉米粉可强</w:t>
      </w:r>
      <w:r>
        <w:rPr>
          <w:rFonts w:ascii="宋体" w:eastAsia="宋体" w:hAnsi="宋体" w:cs="宋体"/>
          <w:sz w:val="19"/>
          <w:szCs w:val="19"/>
        </w:rPr>
        <w:t xml:space="preserve"> </w:t>
      </w:r>
      <w:r>
        <w:rPr>
          <w:rFonts w:ascii="宋体" w:eastAsia="宋体" w:hAnsi="宋体" w:cs="宋体"/>
          <w:spacing w:val="19"/>
          <w:sz w:val="19"/>
          <w:szCs w:val="19"/>
        </w:rPr>
        <w:t>化烟酸40～50</w:t>
      </w:r>
      <w:r>
        <w:rPr>
          <w:rFonts w:ascii="宋体" w:eastAsia="宋体" w:hAnsi="宋体" w:cs="宋体"/>
          <w:sz w:val="19"/>
          <w:szCs w:val="19"/>
        </w:rPr>
        <w:t>mg</w:t>
      </w:r>
      <w:r>
        <w:rPr>
          <w:rFonts w:ascii="宋体" w:eastAsia="宋体" w:hAnsi="宋体" w:cs="宋体"/>
          <w:spacing w:val="19"/>
          <w:sz w:val="19"/>
          <w:szCs w:val="19"/>
        </w:rPr>
        <w:t>/</w:t>
      </w:r>
      <w:r>
        <w:rPr>
          <w:rFonts w:ascii="宋体" w:eastAsia="宋体" w:hAnsi="宋体" w:cs="宋体"/>
          <w:sz w:val="19"/>
          <w:szCs w:val="19"/>
        </w:rPr>
        <w:t>kg</w:t>
      </w:r>
      <w:r>
        <w:rPr>
          <w:rFonts w:ascii="宋体" w:eastAsia="宋体" w:hAnsi="宋体" w:cs="宋体"/>
          <w:spacing w:val="19"/>
          <w:sz w:val="19"/>
          <w:szCs w:val="19"/>
        </w:rPr>
        <w:t>。</w:t>
      </w:r>
      <w:r>
        <w:rPr>
          <w:rFonts w:ascii="宋体" w:eastAsia="宋体" w:hAnsi="宋体" w:cs="宋体"/>
          <w:spacing w:val="27"/>
          <w:sz w:val="19"/>
          <w:szCs w:val="19"/>
        </w:rPr>
        <w:t xml:space="preserve">  </w:t>
      </w:r>
      <w:r>
        <w:rPr>
          <w:rFonts w:ascii="宋体" w:eastAsia="宋体" w:hAnsi="宋体" w:cs="宋体"/>
          <w:spacing w:val="19"/>
          <w:sz w:val="19"/>
          <w:szCs w:val="19"/>
        </w:rPr>
        <w:t>目前文献报道的强化米制造方法很多，归纳起来有外</w:t>
      </w:r>
      <w:r>
        <w:rPr>
          <w:rFonts w:ascii="宋体" w:eastAsia="宋体" w:hAnsi="宋体" w:cs="宋体"/>
          <w:spacing w:val="18"/>
          <w:sz w:val="19"/>
          <w:szCs w:val="19"/>
        </w:rPr>
        <w:t>加</w:t>
      </w:r>
      <w:r>
        <w:rPr>
          <w:rFonts w:ascii="宋体" w:eastAsia="宋体" w:hAnsi="宋体" w:cs="宋体"/>
          <w:sz w:val="19"/>
          <w:szCs w:val="19"/>
        </w:rPr>
        <w:t xml:space="preserve"> </w:t>
      </w:r>
      <w:r>
        <w:rPr>
          <w:rFonts w:ascii="宋体" w:eastAsia="宋体" w:hAnsi="宋体" w:cs="宋体"/>
          <w:spacing w:val="18"/>
          <w:sz w:val="19"/>
          <w:szCs w:val="19"/>
        </w:rPr>
        <w:t>法和内持法两类。所谓外加法，是将各种营养强化剂由米吸收进去</w:t>
      </w:r>
      <w:r>
        <w:rPr>
          <w:rFonts w:ascii="宋体" w:eastAsia="宋体" w:hAnsi="宋体" w:cs="宋体"/>
          <w:spacing w:val="17"/>
          <w:sz w:val="19"/>
          <w:szCs w:val="19"/>
        </w:rPr>
        <w:t>或涂覆在米的</w:t>
      </w:r>
      <w:r>
        <w:rPr>
          <w:rFonts w:ascii="宋体" w:eastAsia="宋体" w:hAnsi="宋体" w:cs="宋体"/>
          <w:sz w:val="19"/>
          <w:szCs w:val="19"/>
        </w:rPr>
        <w:t xml:space="preserve"> </w:t>
      </w:r>
      <w:r>
        <w:rPr>
          <w:rFonts w:ascii="宋体" w:eastAsia="宋体" w:hAnsi="宋体" w:cs="宋体"/>
          <w:spacing w:val="17"/>
          <w:sz w:val="19"/>
          <w:szCs w:val="19"/>
        </w:rPr>
        <w:t>表面；内持法是采取一定的办法保存谷粒外层</w:t>
      </w:r>
      <w:r>
        <w:rPr>
          <w:rFonts w:ascii="宋体" w:eastAsia="宋体" w:hAnsi="宋体" w:cs="宋体"/>
          <w:spacing w:val="16"/>
          <w:sz w:val="19"/>
          <w:szCs w:val="19"/>
        </w:rPr>
        <w:t>所含的多种营养素。</w:t>
      </w:r>
    </w:p>
    <w:p w:rsidR="00EA40A3" w:rsidRDefault="00E86C16">
      <w:pPr>
        <w:spacing w:before="114" w:line="281" w:lineRule="auto"/>
        <w:ind w:left="30" w:right="51" w:firstLine="329"/>
        <w:rPr>
          <w:rFonts w:ascii="宋体" w:eastAsia="宋体" w:hAnsi="宋体" w:cs="宋体"/>
          <w:sz w:val="19"/>
          <w:szCs w:val="19"/>
        </w:rPr>
      </w:pPr>
      <w:r>
        <w:rPr>
          <w:rFonts w:ascii="宋体" w:eastAsia="宋体" w:hAnsi="宋体" w:cs="宋体"/>
          <w:spacing w:val="18"/>
          <w:sz w:val="19"/>
          <w:szCs w:val="19"/>
        </w:rPr>
        <w:t>外加法制造强化米是目前应用最广的强化方法，其原理是将各种营养</w:t>
      </w:r>
      <w:r>
        <w:rPr>
          <w:rFonts w:ascii="宋体" w:eastAsia="宋体" w:hAnsi="宋体" w:cs="宋体"/>
          <w:spacing w:val="17"/>
          <w:sz w:val="19"/>
          <w:szCs w:val="19"/>
        </w:rPr>
        <w:t>强化剂</w:t>
      </w:r>
      <w:r>
        <w:rPr>
          <w:rFonts w:ascii="宋体" w:eastAsia="宋体" w:hAnsi="宋体" w:cs="宋体"/>
          <w:sz w:val="19"/>
          <w:szCs w:val="19"/>
        </w:rPr>
        <w:t xml:space="preserve">  </w:t>
      </w:r>
      <w:r>
        <w:rPr>
          <w:rFonts w:ascii="宋体" w:eastAsia="宋体" w:hAnsi="宋体" w:cs="宋体"/>
          <w:spacing w:val="18"/>
          <w:sz w:val="19"/>
          <w:szCs w:val="19"/>
        </w:rPr>
        <w:t>配制成水溶液或脂溶性溶液，然后将米浸渍于其中，</w:t>
      </w:r>
      <w:r>
        <w:rPr>
          <w:rFonts w:ascii="宋体" w:eastAsia="宋体" w:hAnsi="宋体" w:cs="宋体"/>
          <w:spacing w:val="17"/>
          <w:sz w:val="19"/>
          <w:szCs w:val="19"/>
        </w:rPr>
        <w:t>以吸收各种营养成分。或者</w:t>
      </w:r>
      <w:r>
        <w:rPr>
          <w:rFonts w:ascii="宋体" w:eastAsia="宋体" w:hAnsi="宋体" w:cs="宋体"/>
          <w:sz w:val="19"/>
          <w:szCs w:val="19"/>
        </w:rPr>
        <w:t xml:space="preserve"> </w:t>
      </w:r>
      <w:r>
        <w:rPr>
          <w:rFonts w:ascii="宋体" w:eastAsia="宋体" w:hAnsi="宋体" w:cs="宋体"/>
          <w:spacing w:val="18"/>
          <w:sz w:val="19"/>
          <w:szCs w:val="19"/>
        </w:rPr>
        <w:t>将营养强化剂溶液喷涂于米粒上，然后经真空干燥制</w:t>
      </w:r>
      <w:r>
        <w:rPr>
          <w:rFonts w:ascii="宋体" w:eastAsia="宋体" w:hAnsi="宋体" w:cs="宋体"/>
          <w:spacing w:val="17"/>
          <w:sz w:val="19"/>
          <w:szCs w:val="19"/>
        </w:rPr>
        <w:t>成。最典型的外加法强化米</w:t>
      </w:r>
      <w:r>
        <w:rPr>
          <w:rFonts w:ascii="宋体" w:eastAsia="宋体" w:hAnsi="宋体" w:cs="宋体"/>
          <w:sz w:val="19"/>
          <w:szCs w:val="19"/>
        </w:rPr>
        <w:t xml:space="preserve"> </w:t>
      </w:r>
      <w:r>
        <w:rPr>
          <w:rFonts w:ascii="宋体" w:eastAsia="宋体" w:hAnsi="宋体" w:cs="宋体"/>
          <w:spacing w:val="10"/>
          <w:sz w:val="19"/>
          <w:szCs w:val="19"/>
        </w:rPr>
        <w:t>的加工工艺有两种，</w:t>
      </w:r>
      <w:r>
        <w:rPr>
          <w:rFonts w:ascii="宋体" w:eastAsia="宋体" w:hAnsi="宋体" w:cs="宋体"/>
          <w:spacing w:val="71"/>
          <w:sz w:val="19"/>
          <w:szCs w:val="19"/>
        </w:rPr>
        <w:t xml:space="preserve"> </w:t>
      </w:r>
      <w:r>
        <w:rPr>
          <w:rFonts w:ascii="宋体" w:eastAsia="宋体" w:hAnsi="宋体" w:cs="宋体"/>
          <w:spacing w:val="10"/>
          <w:sz w:val="19"/>
          <w:szCs w:val="19"/>
        </w:rPr>
        <w:t>一种是直接浸吸法，另一种是涂膜</w:t>
      </w:r>
      <w:r>
        <w:rPr>
          <w:rFonts w:ascii="宋体" w:eastAsia="宋体" w:hAnsi="宋体" w:cs="宋体"/>
          <w:spacing w:val="9"/>
          <w:sz w:val="19"/>
          <w:szCs w:val="19"/>
        </w:rPr>
        <w:t>法。</w:t>
      </w:r>
    </w:p>
    <w:p w:rsidR="00EA40A3" w:rsidRDefault="00E86C16">
      <w:pPr>
        <w:spacing w:before="82" w:line="281" w:lineRule="auto"/>
        <w:ind w:left="30" w:right="44" w:firstLine="329"/>
        <w:rPr>
          <w:rFonts w:ascii="宋体" w:eastAsia="宋体" w:hAnsi="宋体" w:cs="宋体"/>
          <w:sz w:val="19"/>
          <w:szCs w:val="19"/>
        </w:rPr>
      </w:pPr>
      <w:r>
        <w:rPr>
          <w:rFonts w:ascii="宋体" w:eastAsia="宋体" w:hAnsi="宋体" w:cs="宋体"/>
          <w:spacing w:val="8"/>
          <w:sz w:val="19"/>
          <w:szCs w:val="19"/>
        </w:rPr>
        <w:t>直接浸吸法强化的物质主要有维生素B</w:t>
      </w:r>
      <w:r>
        <w:rPr>
          <w:rFonts w:ascii="Calibri" w:eastAsia="Calibri" w:hAnsi="Calibri" w:cs="Calibri"/>
          <w:spacing w:val="8"/>
          <w:sz w:val="19"/>
          <w:szCs w:val="19"/>
        </w:rPr>
        <w:t>₁</w:t>
      </w:r>
      <w:r>
        <w:rPr>
          <w:rFonts w:ascii="Calibri" w:eastAsia="Calibri" w:hAnsi="Calibri" w:cs="Calibri"/>
          <w:spacing w:val="-13"/>
          <w:sz w:val="19"/>
          <w:szCs w:val="19"/>
        </w:rPr>
        <w:t xml:space="preserve"> </w:t>
      </w:r>
      <w:r>
        <w:rPr>
          <w:rFonts w:ascii="宋体" w:eastAsia="宋体" w:hAnsi="宋体" w:cs="宋体"/>
          <w:spacing w:val="8"/>
          <w:sz w:val="19"/>
          <w:szCs w:val="19"/>
        </w:rPr>
        <w:t>、</w:t>
      </w:r>
      <w:r>
        <w:rPr>
          <w:rFonts w:ascii="宋体" w:eastAsia="宋体" w:hAnsi="宋体" w:cs="宋体"/>
          <w:spacing w:val="-4"/>
          <w:sz w:val="19"/>
          <w:szCs w:val="19"/>
        </w:rPr>
        <w:t xml:space="preserve"> </w:t>
      </w:r>
      <w:r>
        <w:rPr>
          <w:rFonts w:ascii="宋体" w:eastAsia="宋体" w:hAnsi="宋体" w:cs="宋体"/>
          <w:spacing w:val="8"/>
          <w:sz w:val="19"/>
          <w:szCs w:val="19"/>
        </w:rPr>
        <w:t>维生素B</w:t>
      </w:r>
      <w:r>
        <w:rPr>
          <w:rFonts w:ascii="Calibri" w:eastAsia="Calibri" w:hAnsi="Calibri" w:cs="Calibri"/>
          <w:spacing w:val="8"/>
          <w:sz w:val="19"/>
          <w:szCs w:val="19"/>
        </w:rPr>
        <w:t>₂</w:t>
      </w:r>
      <w:r>
        <w:rPr>
          <w:rFonts w:ascii="Calibri" w:eastAsia="Calibri" w:hAnsi="Calibri" w:cs="Calibri"/>
          <w:spacing w:val="-22"/>
          <w:sz w:val="19"/>
          <w:szCs w:val="19"/>
        </w:rPr>
        <w:t xml:space="preserve"> </w:t>
      </w:r>
      <w:r>
        <w:rPr>
          <w:rFonts w:ascii="宋体" w:eastAsia="宋体" w:hAnsi="宋体" w:cs="宋体"/>
          <w:spacing w:val="8"/>
          <w:sz w:val="19"/>
          <w:szCs w:val="19"/>
        </w:rPr>
        <w:t>、</w:t>
      </w:r>
      <w:r>
        <w:rPr>
          <w:rFonts w:ascii="宋体" w:eastAsia="宋体" w:hAnsi="宋体" w:cs="宋体"/>
          <w:spacing w:val="-30"/>
          <w:sz w:val="19"/>
          <w:szCs w:val="19"/>
        </w:rPr>
        <w:t xml:space="preserve"> </w:t>
      </w:r>
      <w:r>
        <w:rPr>
          <w:rFonts w:ascii="宋体" w:eastAsia="宋体" w:hAnsi="宋体" w:cs="宋体"/>
          <w:spacing w:val="8"/>
          <w:sz w:val="19"/>
          <w:szCs w:val="19"/>
        </w:rPr>
        <w:t>维生素B</w:t>
      </w:r>
      <w:r>
        <w:rPr>
          <w:rFonts w:ascii="Calibri" w:eastAsia="Calibri" w:hAnsi="Calibri" w:cs="Calibri"/>
          <w:spacing w:val="8"/>
          <w:sz w:val="19"/>
          <w:szCs w:val="19"/>
        </w:rPr>
        <w:t>₆</w:t>
      </w:r>
      <w:r>
        <w:rPr>
          <w:rFonts w:ascii="Calibri" w:eastAsia="Calibri" w:hAnsi="Calibri" w:cs="Calibri"/>
          <w:spacing w:val="-23"/>
          <w:sz w:val="19"/>
          <w:szCs w:val="19"/>
        </w:rPr>
        <w:t xml:space="preserve"> </w:t>
      </w:r>
      <w:r>
        <w:rPr>
          <w:rFonts w:ascii="宋体" w:eastAsia="宋体" w:hAnsi="宋体" w:cs="宋体"/>
          <w:spacing w:val="8"/>
          <w:sz w:val="19"/>
          <w:szCs w:val="19"/>
        </w:rPr>
        <w:t>、</w:t>
      </w:r>
      <w:r>
        <w:rPr>
          <w:rFonts w:ascii="宋体" w:eastAsia="宋体" w:hAnsi="宋体" w:cs="宋体"/>
          <w:spacing w:val="-25"/>
          <w:sz w:val="19"/>
          <w:szCs w:val="19"/>
        </w:rPr>
        <w:t xml:space="preserve"> </w:t>
      </w:r>
      <w:r>
        <w:rPr>
          <w:rFonts w:ascii="宋体" w:eastAsia="宋体" w:hAnsi="宋体" w:cs="宋体"/>
          <w:spacing w:val="8"/>
          <w:sz w:val="19"/>
          <w:szCs w:val="19"/>
        </w:rPr>
        <w:t>维生素B</w:t>
      </w:r>
      <w:r>
        <w:rPr>
          <w:rFonts w:ascii="Calibri" w:eastAsia="Calibri" w:hAnsi="Calibri" w:cs="Calibri"/>
          <w:spacing w:val="8"/>
          <w:sz w:val="19"/>
          <w:szCs w:val="19"/>
        </w:rPr>
        <w:t>₂</w:t>
      </w:r>
      <w:r>
        <w:rPr>
          <w:rFonts w:ascii="Calibri" w:eastAsia="Calibri" w:hAnsi="Calibri" w:cs="Calibri"/>
          <w:spacing w:val="2"/>
          <w:sz w:val="19"/>
          <w:szCs w:val="19"/>
        </w:rPr>
        <w:t xml:space="preserve">   </w:t>
      </w:r>
      <w:r>
        <w:rPr>
          <w:rFonts w:ascii="宋体" w:eastAsia="宋体" w:hAnsi="宋体" w:cs="宋体"/>
          <w:spacing w:val="8"/>
          <w:sz w:val="19"/>
          <w:szCs w:val="19"/>
        </w:rPr>
        <w:t>和</w:t>
      </w:r>
      <w:r>
        <w:rPr>
          <w:rFonts w:ascii="宋体" w:eastAsia="宋体" w:hAnsi="宋体" w:cs="宋体"/>
          <w:sz w:val="19"/>
          <w:szCs w:val="19"/>
        </w:rPr>
        <w:t xml:space="preserve">  </w:t>
      </w:r>
      <w:r>
        <w:rPr>
          <w:rFonts w:ascii="宋体" w:eastAsia="宋体" w:hAnsi="宋体" w:cs="宋体"/>
          <w:spacing w:val="14"/>
          <w:sz w:val="19"/>
          <w:szCs w:val="19"/>
        </w:rPr>
        <w:t>多种氨基酸(蛋氨酸、苏氨酸、色氨酸、赖氨酸)。其工艺流程如下(工艺中使用的</w:t>
      </w:r>
      <w:r>
        <w:rPr>
          <w:rFonts w:ascii="宋体" w:eastAsia="宋体" w:hAnsi="宋体" w:cs="宋体"/>
          <w:spacing w:val="11"/>
          <w:sz w:val="19"/>
          <w:szCs w:val="19"/>
        </w:rPr>
        <w:t xml:space="preserve"> </w:t>
      </w:r>
      <w:r>
        <w:rPr>
          <w:rFonts w:ascii="宋体" w:eastAsia="宋体" w:hAnsi="宋体" w:cs="宋体"/>
          <w:spacing w:val="6"/>
          <w:sz w:val="19"/>
          <w:szCs w:val="19"/>
        </w:rPr>
        <w:t>中性重合磷酸盐溶液是用多磷酸钾、多磷酸钠、焦磷酸钠或偏磷酸钠等配制的):</w:t>
      </w:r>
    </w:p>
    <w:p w:rsidR="00EA40A3" w:rsidRDefault="00E86C16">
      <w:pPr>
        <w:spacing w:before="44" w:line="219" w:lineRule="auto"/>
        <w:ind w:left="1090"/>
        <w:rPr>
          <w:rFonts w:ascii="宋体" w:eastAsia="宋体" w:hAnsi="宋体" w:cs="宋体"/>
          <w:sz w:val="19"/>
          <w:szCs w:val="19"/>
        </w:rPr>
      </w:pPr>
      <w:r>
        <w:rPr>
          <w:noProof/>
        </w:rPr>
        <w:drawing>
          <wp:anchor distT="0" distB="0" distL="0" distR="0" simplePos="0" relativeHeight="251705344" behindDoc="1" locked="0" layoutInCell="1" allowOverlap="1">
            <wp:simplePos x="0" y="0"/>
            <wp:positionH relativeFrom="column">
              <wp:posOffset>6350</wp:posOffset>
            </wp:positionH>
            <wp:positionV relativeFrom="paragraph">
              <wp:posOffset>124460</wp:posOffset>
            </wp:positionV>
            <wp:extent cx="4635500" cy="1295400"/>
            <wp:effectExtent l="0" t="0" r="0" b="0"/>
            <wp:wrapNone/>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222"/>
                    <a:stretch>
                      <a:fillRect/>
                    </a:stretch>
                  </pic:blipFill>
                  <pic:spPr>
                    <a:xfrm>
                      <a:off x="0" y="0"/>
                      <a:ext cx="4635517" cy="1295360"/>
                    </a:xfrm>
                    <a:prstGeom prst="rect">
                      <a:avLst/>
                    </a:prstGeom>
                  </pic:spPr>
                </pic:pic>
              </a:graphicData>
            </a:graphic>
          </wp:anchor>
        </w:drawing>
      </w:r>
      <w:r>
        <w:rPr>
          <w:rFonts w:ascii="宋体" w:eastAsia="宋体" w:hAnsi="宋体" w:cs="宋体"/>
          <w:spacing w:val="-15"/>
          <w:sz w:val="19"/>
          <w:szCs w:val="19"/>
        </w:rPr>
        <w:t>0.2%重合磷酸盐溶液</w:t>
      </w:r>
    </w:p>
    <w:p w:rsidR="00EA40A3" w:rsidRDefault="00E86C16">
      <w:pPr>
        <w:spacing w:before="16" w:line="227" w:lineRule="auto"/>
        <w:ind w:left="890"/>
        <w:rPr>
          <w:rFonts w:ascii="Calibri" w:eastAsia="Calibri" w:hAnsi="Calibri" w:cs="Calibri"/>
          <w:sz w:val="19"/>
          <w:szCs w:val="19"/>
        </w:rPr>
      </w:pPr>
      <w:r>
        <w:rPr>
          <w:rFonts w:ascii="宋体" w:eastAsia="宋体" w:hAnsi="宋体" w:cs="宋体"/>
          <w:spacing w:val="-13"/>
          <w:position w:val="1"/>
          <w:sz w:val="19"/>
          <w:szCs w:val="19"/>
        </w:rPr>
        <w:t>溶解</w:t>
      </w:r>
      <w:r>
        <w:rPr>
          <w:rFonts w:ascii="宋体" w:eastAsia="宋体" w:hAnsi="宋体" w:cs="宋体"/>
          <w:spacing w:val="2"/>
          <w:position w:val="1"/>
          <w:sz w:val="19"/>
          <w:szCs w:val="19"/>
        </w:rPr>
        <w:t xml:space="preserve">             </w:t>
      </w:r>
      <w:r>
        <w:rPr>
          <w:rFonts w:ascii="宋体" w:eastAsia="宋体" w:hAnsi="宋体" w:cs="宋体"/>
          <w:spacing w:val="-13"/>
          <w:sz w:val="19"/>
          <w:szCs w:val="19"/>
        </w:rPr>
        <w:t>维生素B</w:t>
      </w:r>
      <w:r>
        <w:rPr>
          <w:rFonts w:ascii="Calibri" w:eastAsia="Calibri" w:hAnsi="Calibri" w:cs="Calibri"/>
          <w:spacing w:val="-13"/>
          <w:sz w:val="19"/>
          <w:szCs w:val="19"/>
        </w:rPr>
        <w:t>₁</w:t>
      </w:r>
      <w:r>
        <w:rPr>
          <w:rFonts w:ascii="宋体" w:eastAsia="宋体" w:hAnsi="宋体" w:cs="宋体"/>
          <w:spacing w:val="-13"/>
          <w:sz w:val="19"/>
          <w:szCs w:val="19"/>
        </w:rPr>
        <w:t>、维生素B</w:t>
      </w:r>
      <w:r>
        <w:rPr>
          <w:rFonts w:ascii="Calibri" w:eastAsia="Calibri" w:hAnsi="Calibri" w:cs="Calibri"/>
          <w:spacing w:val="-13"/>
          <w:sz w:val="19"/>
          <w:szCs w:val="19"/>
        </w:rPr>
        <w:t>₆</w:t>
      </w:r>
      <w:r>
        <w:rPr>
          <w:rFonts w:ascii="宋体" w:eastAsia="宋体" w:hAnsi="宋体" w:cs="宋体"/>
          <w:spacing w:val="-13"/>
          <w:sz w:val="19"/>
          <w:szCs w:val="19"/>
        </w:rPr>
        <w:t>、维生素Bi</w:t>
      </w:r>
      <w:r>
        <w:rPr>
          <w:rFonts w:ascii="Calibri" w:eastAsia="Calibri" w:hAnsi="Calibri" w:cs="Calibri"/>
          <w:spacing w:val="-13"/>
          <w:sz w:val="19"/>
          <w:szCs w:val="19"/>
        </w:rPr>
        <w:t>₂</w:t>
      </w:r>
    </w:p>
    <w:p w:rsidR="00EA40A3" w:rsidRDefault="00E86C16">
      <w:pPr>
        <w:spacing w:before="7" w:line="229" w:lineRule="auto"/>
        <w:ind w:right="69"/>
        <w:jc w:val="right"/>
        <w:rPr>
          <w:rFonts w:ascii="宋体" w:eastAsia="宋体" w:hAnsi="宋体" w:cs="宋体"/>
          <w:sz w:val="19"/>
          <w:szCs w:val="19"/>
        </w:rPr>
      </w:pPr>
      <w:r>
        <w:rPr>
          <w:rFonts w:ascii="宋体" w:eastAsia="宋体" w:hAnsi="宋体" w:cs="宋体"/>
          <w:spacing w:val="-15"/>
          <w:position w:val="1"/>
          <w:sz w:val="19"/>
          <w:szCs w:val="19"/>
        </w:rPr>
        <w:t>40℃热空气</w:t>
      </w:r>
      <w:r>
        <w:rPr>
          <w:rFonts w:ascii="宋体" w:eastAsia="宋体" w:hAnsi="宋体" w:cs="宋体"/>
          <w:spacing w:val="2"/>
          <w:position w:val="1"/>
          <w:sz w:val="19"/>
          <w:szCs w:val="19"/>
        </w:rPr>
        <w:t xml:space="preserve">                            </w:t>
      </w:r>
      <w:r>
        <w:rPr>
          <w:rFonts w:ascii="宋体" w:eastAsia="宋体" w:hAnsi="宋体" w:cs="宋体"/>
          <w:spacing w:val="-15"/>
          <w:sz w:val="19"/>
          <w:szCs w:val="19"/>
        </w:rPr>
        <w:t>100℃蒸汽20min</w:t>
      </w:r>
      <w:r>
        <w:rPr>
          <w:rFonts w:ascii="宋体" w:eastAsia="宋体" w:hAnsi="宋体" w:cs="宋体"/>
          <w:spacing w:val="52"/>
          <w:sz w:val="19"/>
          <w:szCs w:val="19"/>
        </w:rPr>
        <w:t xml:space="preserve"> </w:t>
      </w:r>
      <w:r>
        <w:rPr>
          <w:rFonts w:ascii="宋体" w:eastAsia="宋体" w:hAnsi="宋体" w:cs="宋体"/>
          <w:spacing w:val="-15"/>
          <w:sz w:val="19"/>
          <w:szCs w:val="19"/>
        </w:rPr>
        <w:t>5%</w:t>
      </w:r>
      <w:r>
        <w:rPr>
          <w:rFonts w:ascii="宋体" w:eastAsia="宋体" w:hAnsi="宋体" w:cs="宋体"/>
          <w:spacing w:val="-44"/>
          <w:sz w:val="19"/>
          <w:szCs w:val="19"/>
        </w:rPr>
        <w:t xml:space="preserve"> </w:t>
      </w:r>
      <w:r>
        <w:rPr>
          <w:rFonts w:ascii="宋体" w:eastAsia="宋体" w:hAnsi="宋体" w:cs="宋体"/>
          <w:spacing w:val="-15"/>
          <w:sz w:val="19"/>
          <w:szCs w:val="19"/>
        </w:rPr>
        <w:t>乙酸溶液</w:t>
      </w:r>
    </w:p>
    <w:p w:rsidR="00EA40A3" w:rsidRDefault="00E86C16">
      <w:pPr>
        <w:spacing w:before="251" w:line="219" w:lineRule="auto"/>
        <w:ind w:left="30"/>
        <w:rPr>
          <w:rFonts w:ascii="宋体" w:eastAsia="宋体" w:hAnsi="宋体" w:cs="宋体"/>
          <w:sz w:val="19"/>
          <w:szCs w:val="19"/>
        </w:rPr>
      </w:pPr>
      <w:r>
        <w:rPr>
          <w:rFonts w:ascii="宋体" w:eastAsia="宋体" w:hAnsi="宋体" w:cs="宋体"/>
          <w:spacing w:val="5"/>
          <w:sz w:val="19"/>
          <w:szCs w:val="19"/>
        </w:rPr>
        <w:t>米粒</w:t>
      </w:r>
      <w:r>
        <w:rPr>
          <w:rFonts w:ascii="宋体" w:eastAsia="宋体" w:hAnsi="宋体" w:cs="宋体"/>
          <w:spacing w:val="-49"/>
          <w:sz w:val="19"/>
          <w:szCs w:val="19"/>
        </w:rPr>
        <w:t xml:space="preserve"> </w:t>
      </w:r>
      <w:r>
        <w:rPr>
          <w:rFonts w:ascii="宋体" w:eastAsia="宋体" w:hAnsi="宋体" w:cs="宋体"/>
          <w:spacing w:val="5"/>
          <w:sz w:val="19"/>
          <w:szCs w:val="19"/>
        </w:rPr>
        <w:t>→</w:t>
      </w:r>
      <w:r>
        <w:rPr>
          <w:rFonts w:ascii="宋体" w:eastAsia="宋体" w:hAnsi="宋体" w:cs="宋体"/>
          <w:spacing w:val="-56"/>
          <w:sz w:val="19"/>
          <w:szCs w:val="19"/>
        </w:rPr>
        <w:t xml:space="preserve"> </w:t>
      </w:r>
      <w:r>
        <w:rPr>
          <w:rFonts w:ascii="宋体" w:eastAsia="宋体" w:hAnsi="宋体" w:cs="宋体"/>
          <w:spacing w:val="5"/>
          <w:sz w:val="19"/>
          <w:szCs w:val="19"/>
        </w:rPr>
        <w:t>浸吸</w:t>
      </w:r>
      <w:r>
        <w:rPr>
          <w:rFonts w:ascii="宋体" w:eastAsia="宋体" w:hAnsi="宋体" w:cs="宋体"/>
          <w:spacing w:val="-58"/>
          <w:sz w:val="19"/>
          <w:szCs w:val="19"/>
        </w:rPr>
        <w:t xml:space="preserve"> </w:t>
      </w:r>
      <w:r>
        <w:rPr>
          <w:rFonts w:ascii="宋体" w:eastAsia="宋体" w:hAnsi="宋体" w:cs="宋体"/>
          <w:spacing w:val="5"/>
          <w:sz w:val="19"/>
          <w:szCs w:val="19"/>
        </w:rPr>
        <w:t>—</w:t>
      </w:r>
      <w:r>
        <w:rPr>
          <w:rFonts w:ascii="宋体" w:eastAsia="宋体" w:hAnsi="宋体" w:cs="宋体"/>
          <w:spacing w:val="-48"/>
          <w:sz w:val="19"/>
          <w:szCs w:val="19"/>
        </w:rPr>
        <w:t xml:space="preserve"> </w:t>
      </w:r>
      <w:r>
        <w:rPr>
          <w:rFonts w:ascii="宋体" w:eastAsia="宋体" w:hAnsi="宋体" w:cs="宋体"/>
          <w:spacing w:val="5"/>
          <w:sz w:val="19"/>
          <w:szCs w:val="19"/>
        </w:rPr>
        <w:t>→</w:t>
      </w:r>
      <w:r>
        <w:rPr>
          <w:rFonts w:ascii="宋体" w:eastAsia="宋体" w:hAnsi="宋体" w:cs="宋体"/>
          <w:spacing w:val="-55"/>
          <w:sz w:val="19"/>
          <w:szCs w:val="19"/>
        </w:rPr>
        <w:t xml:space="preserve"> </w:t>
      </w:r>
      <w:r>
        <w:rPr>
          <w:rFonts w:ascii="宋体" w:eastAsia="宋体" w:hAnsi="宋体" w:cs="宋体"/>
          <w:spacing w:val="5"/>
          <w:sz w:val="19"/>
          <w:szCs w:val="19"/>
        </w:rPr>
        <w:t>预干燥</w:t>
      </w:r>
      <w:r>
        <w:rPr>
          <w:rFonts w:ascii="宋体" w:eastAsia="宋体" w:hAnsi="宋体" w:cs="宋体"/>
          <w:spacing w:val="-48"/>
          <w:sz w:val="19"/>
          <w:szCs w:val="19"/>
        </w:rPr>
        <w:t xml:space="preserve"> </w:t>
      </w:r>
      <w:r>
        <w:rPr>
          <w:rFonts w:ascii="宋体" w:eastAsia="宋体" w:hAnsi="宋体" w:cs="宋体"/>
          <w:spacing w:val="5"/>
          <w:sz w:val="19"/>
          <w:szCs w:val="19"/>
        </w:rPr>
        <w:t>→</w:t>
      </w:r>
      <w:r>
        <w:rPr>
          <w:rFonts w:ascii="宋体" w:eastAsia="宋体" w:hAnsi="宋体" w:cs="宋体"/>
          <w:spacing w:val="12"/>
          <w:sz w:val="19"/>
          <w:szCs w:val="19"/>
        </w:rPr>
        <w:t xml:space="preserve">  </w:t>
      </w:r>
      <w:r>
        <w:rPr>
          <w:rFonts w:ascii="宋体" w:eastAsia="宋体" w:hAnsi="宋体" w:cs="宋体"/>
          <w:spacing w:val="5"/>
          <w:sz w:val="19"/>
          <w:szCs w:val="19"/>
        </w:rPr>
        <w:t>喷涂</w:t>
      </w:r>
      <w:r>
        <w:rPr>
          <w:rFonts w:ascii="宋体" w:eastAsia="宋体" w:hAnsi="宋体" w:cs="宋体"/>
          <w:spacing w:val="-68"/>
          <w:sz w:val="19"/>
          <w:szCs w:val="19"/>
        </w:rPr>
        <w:t xml:space="preserve"> </w:t>
      </w:r>
      <w:r>
        <w:rPr>
          <w:rFonts w:ascii="宋体" w:eastAsia="宋体" w:hAnsi="宋体" w:cs="宋体"/>
          <w:spacing w:val="5"/>
          <w:sz w:val="19"/>
          <w:szCs w:val="19"/>
        </w:rPr>
        <w:t>—</w:t>
      </w:r>
      <w:r>
        <w:rPr>
          <w:rFonts w:ascii="宋体" w:eastAsia="宋体" w:hAnsi="宋体" w:cs="宋体"/>
          <w:spacing w:val="-68"/>
          <w:sz w:val="19"/>
          <w:szCs w:val="19"/>
        </w:rPr>
        <w:t xml:space="preserve"> </w:t>
      </w:r>
      <w:r>
        <w:rPr>
          <w:rFonts w:ascii="宋体" w:eastAsia="宋体" w:hAnsi="宋体" w:cs="宋体"/>
          <w:spacing w:val="5"/>
          <w:sz w:val="19"/>
          <w:szCs w:val="19"/>
        </w:rPr>
        <w:t>干燥</w:t>
      </w:r>
      <w:r>
        <w:rPr>
          <w:rFonts w:ascii="宋体" w:eastAsia="宋体" w:hAnsi="宋体" w:cs="宋体"/>
          <w:spacing w:val="-59"/>
          <w:sz w:val="19"/>
          <w:szCs w:val="19"/>
        </w:rPr>
        <w:t xml:space="preserve"> </w:t>
      </w:r>
      <w:r>
        <w:rPr>
          <w:rFonts w:ascii="宋体" w:eastAsia="宋体" w:hAnsi="宋体" w:cs="宋体"/>
          <w:spacing w:val="5"/>
          <w:sz w:val="19"/>
          <w:szCs w:val="19"/>
        </w:rPr>
        <w:t>→</w:t>
      </w:r>
      <w:r>
        <w:rPr>
          <w:rFonts w:ascii="宋体" w:eastAsia="宋体" w:hAnsi="宋体" w:cs="宋体"/>
          <w:spacing w:val="-59"/>
          <w:sz w:val="19"/>
          <w:szCs w:val="19"/>
        </w:rPr>
        <w:t xml:space="preserve"> </w:t>
      </w:r>
      <w:r>
        <w:rPr>
          <w:rFonts w:ascii="宋体" w:eastAsia="宋体" w:hAnsi="宋体" w:cs="宋体"/>
          <w:spacing w:val="5"/>
          <w:sz w:val="19"/>
          <w:szCs w:val="19"/>
        </w:rPr>
        <w:t>→</w:t>
      </w:r>
      <w:r>
        <w:rPr>
          <w:rFonts w:ascii="宋体" w:eastAsia="宋体" w:hAnsi="宋体" w:cs="宋体"/>
          <w:spacing w:val="-63"/>
          <w:sz w:val="19"/>
          <w:szCs w:val="19"/>
        </w:rPr>
        <w:t xml:space="preserve"> </w:t>
      </w:r>
      <w:r>
        <w:rPr>
          <w:rFonts w:ascii="宋体" w:eastAsia="宋体" w:hAnsi="宋体" w:cs="宋体"/>
          <w:spacing w:val="5"/>
          <w:sz w:val="19"/>
          <w:szCs w:val="19"/>
        </w:rPr>
        <w:t>二次浸吸</w:t>
      </w:r>
      <w:r>
        <w:rPr>
          <w:rFonts w:ascii="宋体" w:eastAsia="宋体" w:hAnsi="宋体" w:cs="宋体"/>
          <w:spacing w:val="-59"/>
          <w:sz w:val="19"/>
          <w:szCs w:val="19"/>
        </w:rPr>
        <w:t xml:space="preserve"> </w:t>
      </w:r>
      <w:r>
        <w:rPr>
          <w:rFonts w:ascii="宋体" w:eastAsia="宋体" w:hAnsi="宋体" w:cs="宋体"/>
          <w:spacing w:val="5"/>
          <w:sz w:val="19"/>
          <w:szCs w:val="19"/>
        </w:rPr>
        <w:t>→</w:t>
      </w:r>
      <w:r>
        <w:rPr>
          <w:rFonts w:ascii="宋体" w:eastAsia="宋体" w:hAnsi="宋体" w:cs="宋体"/>
          <w:spacing w:val="-67"/>
          <w:sz w:val="19"/>
          <w:szCs w:val="19"/>
        </w:rPr>
        <w:t xml:space="preserve"> </w:t>
      </w:r>
      <w:r>
        <w:rPr>
          <w:rFonts w:ascii="宋体" w:eastAsia="宋体" w:hAnsi="宋体" w:cs="宋体"/>
          <w:spacing w:val="5"/>
          <w:sz w:val="19"/>
          <w:szCs w:val="19"/>
        </w:rPr>
        <w:t>汽蒸</w:t>
      </w:r>
      <w:r>
        <w:rPr>
          <w:rFonts w:ascii="宋体" w:eastAsia="宋体" w:hAnsi="宋体" w:cs="宋体"/>
          <w:spacing w:val="4"/>
          <w:sz w:val="19"/>
          <w:szCs w:val="19"/>
        </w:rPr>
        <w:t>糊化</w:t>
      </w:r>
      <w:r>
        <w:rPr>
          <w:rFonts w:ascii="宋体" w:eastAsia="宋体" w:hAnsi="宋体" w:cs="宋体"/>
          <w:spacing w:val="-59"/>
          <w:sz w:val="19"/>
          <w:szCs w:val="19"/>
        </w:rPr>
        <w:t xml:space="preserve"> </w:t>
      </w:r>
      <w:r>
        <w:rPr>
          <w:rFonts w:ascii="宋体" w:eastAsia="宋体" w:hAnsi="宋体" w:cs="宋体"/>
          <w:spacing w:val="4"/>
          <w:sz w:val="19"/>
          <w:szCs w:val="19"/>
        </w:rPr>
        <w:t>→</w:t>
      </w:r>
      <w:r>
        <w:rPr>
          <w:rFonts w:ascii="宋体" w:eastAsia="宋体" w:hAnsi="宋体" w:cs="宋体"/>
          <w:spacing w:val="-60"/>
          <w:sz w:val="19"/>
          <w:szCs w:val="19"/>
        </w:rPr>
        <w:t xml:space="preserve"> </w:t>
      </w:r>
      <w:r>
        <w:rPr>
          <w:rFonts w:ascii="宋体" w:eastAsia="宋体" w:hAnsi="宋体" w:cs="宋体"/>
          <w:spacing w:val="4"/>
          <w:sz w:val="19"/>
          <w:szCs w:val="19"/>
        </w:rPr>
        <w:t>喷涂酸液</w:t>
      </w:r>
    </w:p>
    <w:p w:rsidR="00EA40A3" w:rsidRDefault="00E86C16">
      <w:pPr>
        <w:spacing w:before="24" w:line="216" w:lineRule="auto"/>
        <w:ind w:left="360"/>
        <w:rPr>
          <w:rFonts w:ascii="宋体" w:eastAsia="宋体" w:hAnsi="宋体" w:cs="宋体"/>
          <w:sz w:val="19"/>
          <w:szCs w:val="19"/>
        </w:rPr>
      </w:pPr>
      <w:r>
        <w:rPr>
          <w:rFonts w:ascii="宋体" w:eastAsia="宋体" w:hAnsi="宋体" w:cs="宋体"/>
          <w:spacing w:val="-11"/>
          <w:sz w:val="19"/>
          <w:szCs w:val="19"/>
        </w:rPr>
        <w:t>(30~40℃,2~4d)</w:t>
      </w:r>
      <w:r>
        <w:rPr>
          <w:rFonts w:ascii="宋体" w:eastAsia="宋体" w:hAnsi="宋体" w:cs="宋体"/>
          <w:spacing w:val="18"/>
          <w:sz w:val="19"/>
          <w:szCs w:val="19"/>
        </w:rPr>
        <w:t xml:space="preserve"> </w:t>
      </w:r>
      <w:r>
        <w:rPr>
          <w:rFonts w:ascii="宋体" w:eastAsia="宋体" w:hAnsi="宋体" w:cs="宋体"/>
          <w:spacing w:val="-11"/>
          <w:sz w:val="19"/>
          <w:szCs w:val="19"/>
        </w:rPr>
        <w:t>维生素B</w:t>
      </w:r>
      <w:r>
        <w:rPr>
          <w:rFonts w:ascii="Calibri" w:eastAsia="Calibri" w:hAnsi="Calibri" w:cs="Calibri"/>
          <w:spacing w:val="-11"/>
          <w:sz w:val="19"/>
          <w:szCs w:val="19"/>
        </w:rPr>
        <w:t>₂</w:t>
      </w:r>
      <w:r>
        <w:rPr>
          <w:rFonts w:ascii="Calibri" w:eastAsia="Calibri" w:hAnsi="Calibri" w:cs="Calibri"/>
          <w:spacing w:val="1"/>
          <w:sz w:val="19"/>
          <w:szCs w:val="19"/>
        </w:rPr>
        <w:t xml:space="preserve">          </w:t>
      </w:r>
      <w:r>
        <w:rPr>
          <w:rFonts w:ascii="宋体" w:eastAsia="宋体" w:hAnsi="宋体" w:cs="宋体"/>
          <w:spacing w:val="-11"/>
          <w:sz w:val="19"/>
          <w:szCs w:val="19"/>
        </w:rPr>
        <w:t>中性2%重合磷酸盐溶液</w:t>
      </w:r>
    </w:p>
    <w:p w:rsidR="00EA40A3" w:rsidRDefault="00E86C16">
      <w:pPr>
        <w:spacing w:before="19" w:line="219" w:lineRule="auto"/>
        <w:ind w:right="348"/>
        <w:jc w:val="right"/>
        <w:rPr>
          <w:rFonts w:ascii="宋体" w:eastAsia="宋体" w:hAnsi="宋体" w:cs="宋体"/>
          <w:sz w:val="19"/>
          <w:szCs w:val="19"/>
        </w:rPr>
      </w:pPr>
      <w:r>
        <w:rPr>
          <w:rFonts w:ascii="宋体" w:eastAsia="宋体" w:hAnsi="宋体" w:cs="宋体"/>
          <w:spacing w:val="-11"/>
          <w:sz w:val="19"/>
          <w:szCs w:val="19"/>
        </w:rPr>
        <w:t>溶解</w:t>
      </w:r>
      <w:r>
        <w:rPr>
          <w:rFonts w:ascii="宋体" w:eastAsia="宋体" w:hAnsi="宋体" w:cs="宋体"/>
          <w:spacing w:val="3"/>
          <w:sz w:val="19"/>
          <w:szCs w:val="19"/>
        </w:rPr>
        <w:t xml:space="preserve">     </w:t>
      </w:r>
      <w:r>
        <w:rPr>
          <w:rFonts w:ascii="宋体" w:eastAsia="宋体" w:hAnsi="宋体" w:cs="宋体"/>
          <w:spacing w:val="-11"/>
          <w:sz w:val="19"/>
          <w:szCs w:val="19"/>
        </w:rPr>
        <w:t>强化米成品～—干燥</w:t>
      </w:r>
    </w:p>
    <w:p w:rsidR="00EA40A3" w:rsidRDefault="00E86C16">
      <w:pPr>
        <w:spacing w:before="6" w:line="220" w:lineRule="auto"/>
        <w:ind w:left="1590"/>
        <w:rPr>
          <w:rFonts w:ascii="宋体" w:eastAsia="宋体" w:hAnsi="宋体" w:cs="宋体"/>
          <w:sz w:val="19"/>
          <w:szCs w:val="19"/>
        </w:rPr>
      </w:pPr>
      <w:r>
        <w:rPr>
          <w:rFonts w:ascii="宋体" w:eastAsia="宋体" w:hAnsi="宋体" w:cs="宋体"/>
          <w:spacing w:val="-30"/>
          <w:sz w:val="19"/>
          <w:szCs w:val="19"/>
        </w:rPr>
        <w:t>各种氨基酸</w:t>
      </w:r>
      <w:r>
        <w:rPr>
          <w:rFonts w:ascii="宋体" w:eastAsia="宋体" w:hAnsi="宋体" w:cs="宋体"/>
          <w:spacing w:val="-33"/>
          <w:sz w:val="19"/>
          <w:szCs w:val="19"/>
        </w:rPr>
        <w:t xml:space="preserve"> </w:t>
      </w:r>
      <w:r>
        <w:rPr>
          <w:rFonts w:ascii="宋体" w:eastAsia="宋体" w:hAnsi="宋体" w:cs="宋体"/>
          <w:spacing w:val="-30"/>
          <w:sz w:val="19"/>
          <w:szCs w:val="19"/>
        </w:rPr>
        <w:t>·</w:t>
      </w:r>
    </w:p>
    <w:p w:rsidR="00EA40A3" w:rsidRDefault="00E86C16">
      <w:pPr>
        <w:spacing w:before="34" w:line="221" w:lineRule="auto"/>
        <w:ind w:right="217"/>
        <w:jc w:val="right"/>
        <w:rPr>
          <w:rFonts w:ascii="宋体" w:eastAsia="宋体" w:hAnsi="宋体" w:cs="宋体"/>
          <w:sz w:val="19"/>
          <w:szCs w:val="19"/>
        </w:rPr>
      </w:pPr>
      <w:r>
        <w:rPr>
          <w:rFonts w:ascii="宋体" w:eastAsia="宋体" w:hAnsi="宋体" w:cs="宋体"/>
          <w:spacing w:val="-15"/>
          <w:sz w:val="19"/>
          <w:szCs w:val="19"/>
        </w:rPr>
        <w:t>40℃热空气</w:t>
      </w:r>
    </w:p>
    <w:p w:rsidR="00EA40A3" w:rsidRDefault="00E86C16">
      <w:pPr>
        <w:spacing w:before="42" w:line="206" w:lineRule="auto"/>
        <w:ind w:left="360"/>
        <w:rPr>
          <w:rFonts w:ascii="宋体" w:eastAsia="宋体" w:hAnsi="宋体" w:cs="宋体"/>
          <w:sz w:val="19"/>
          <w:szCs w:val="19"/>
        </w:rPr>
      </w:pPr>
      <w:r>
        <w:rPr>
          <w:rFonts w:ascii="宋体" w:eastAsia="宋体" w:hAnsi="宋体" w:cs="宋体"/>
          <w:spacing w:val="23"/>
          <w:sz w:val="19"/>
          <w:szCs w:val="19"/>
        </w:rPr>
        <w:t>涂膜法工艺流程如下</w:t>
      </w:r>
    </w:p>
    <w:p w:rsidR="00EA40A3" w:rsidRDefault="00825D12">
      <w:pPr>
        <w:spacing w:line="2150" w:lineRule="exact"/>
        <w:textAlignment w:val="center"/>
      </w:pPr>
      <w:r>
        <w:rPr>
          <w:noProof/>
        </w:rPr>
        <mc:AlternateContent>
          <mc:Choice Requires="wpg">
            <w:drawing>
              <wp:inline distT="0" distB="0" distL="0" distR="0">
                <wp:extent cx="4667250" cy="1365885"/>
                <wp:effectExtent l="15240" t="15240" r="13335" b="38100"/>
                <wp:docPr id="12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0" cy="1365885"/>
                          <a:chOff x="0" y="0"/>
                          <a:chExt cx="7350" cy="2151"/>
                        </a:xfrm>
                      </wpg:grpSpPr>
                      <pic:pic xmlns:pic="http://schemas.openxmlformats.org/drawingml/2006/picture">
                        <pic:nvPicPr>
                          <pic:cNvPr id="128" name="Picture 3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350" cy="2151"/>
                          </a:xfrm>
                          <a:prstGeom prst="rect">
                            <a:avLst/>
                          </a:prstGeom>
                          <a:noFill/>
                          <a:extLst>
                            <a:ext uri="{909E8E84-426E-40DD-AFC4-6F175D3DCCD1}">
                              <a14:hiddenFill xmlns:a14="http://schemas.microsoft.com/office/drawing/2010/main">
                                <a:solidFill>
                                  <a:srgbClr val="FFFFFF"/>
                                </a:solidFill>
                              </a14:hiddenFill>
                            </a:ext>
                          </a:extLst>
                        </pic:spPr>
                      </pic:pic>
                      <wps:wsp>
                        <wps:cNvPr id="129" name="Text Box 36"/>
                        <wps:cNvSpPr txBox="1">
                          <a:spLocks noChangeArrowheads="1"/>
                        </wps:cNvSpPr>
                        <wps:spPr bwMode="auto">
                          <a:xfrm>
                            <a:off x="-20" y="-20"/>
                            <a:ext cx="7390" cy="2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96" w:line="228" w:lineRule="auto"/>
                                <w:ind w:right="113"/>
                                <w:jc w:val="right"/>
                                <w:rPr>
                                  <w:rFonts w:ascii="宋体" w:eastAsia="宋体" w:hAnsi="宋体" w:cs="宋体"/>
                                  <w:sz w:val="16"/>
                                  <w:szCs w:val="16"/>
                                </w:rPr>
                              </w:pPr>
                              <w:r>
                                <w:rPr>
                                  <w:rFonts w:ascii="宋体" w:eastAsia="宋体" w:hAnsi="宋体" w:cs="宋体"/>
                                  <w:spacing w:val="3"/>
                                  <w:sz w:val="19"/>
                                  <w:szCs w:val="19"/>
                                </w:rPr>
                                <w:t xml:space="preserve">强化剂—→溶解                          </w:t>
                              </w:r>
                              <w:r>
                                <w:rPr>
                                  <w:rFonts w:ascii="宋体" w:eastAsia="宋体" w:hAnsi="宋体" w:cs="宋体"/>
                                  <w:spacing w:val="3"/>
                                  <w:sz w:val="16"/>
                                  <w:szCs w:val="16"/>
                                </w:rPr>
                                <w:t>果胶与马铃薯淀粉</w:t>
                              </w:r>
                              <w:r>
                                <w:rPr>
                                  <w:rFonts w:ascii="宋体" w:eastAsia="宋体" w:hAnsi="宋体" w:cs="宋体"/>
                                  <w:spacing w:val="-40"/>
                                  <w:sz w:val="16"/>
                                  <w:szCs w:val="16"/>
                                </w:rPr>
                                <w:t xml:space="preserve"> </w:t>
                              </w:r>
                              <w:r>
                                <w:rPr>
                                  <w:rFonts w:ascii="宋体" w:eastAsia="宋体" w:hAnsi="宋体" w:cs="宋体"/>
                                  <w:spacing w:val="3"/>
                                  <w:sz w:val="16"/>
                                  <w:szCs w:val="16"/>
                                </w:rPr>
                                <w:t>→</w:t>
                              </w:r>
                              <w:r>
                                <w:rPr>
                                  <w:rFonts w:ascii="宋体" w:eastAsia="宋体" w:hAnsi="宋体" w:cs="宋体"/>
                                  <w:spacing w:val="-53"/>
                                  <w:sz w:val="16"/>
                                  <w:szCs w:val="16"/>
                                </w:rPr>
                                <w:t xml:space="preserve"> </w:t>
                              </w:r>
                              <w:r>
                                <w:rPr>
                                  <w:rFonts w:ascii="宋体" w:eastAsia="宋体" w:hAnsi="宋体" w:cs="宋体"/>
                                  <w:spacing w:val="3"/>
                                  <w:sz w:val="16"/>
                                  <w:szCs w:val="16"/>
                                </w:rPr>
                                <w:t>一次涂液</w:t>
                              </w:r>
                            </w:p>
                            <w:p w:rsidR="00E86C16" w:rsidRDefault="00E86C16">
                              <w:pPr>
                                <w:spacing w:before="235" w:line="219" w:lineRule="auto"/>
                                <w:ind w:left="380"/>
                                <w:rPr>
                                  <w:rFonts w:ascii="宋体" w:eastAsia="宋体" w:hAnsi="宋体" w:cs="宋体"/>
                                  <w:sz w:val="19"/>
                                  <w:szCs w:val="19"/>
                                </w:rPr>
                              </w:pPr>
                              <w:r>
                                <w:rPr>
                                  <w:rFonts w:ascii="宋体" w:eastAsia="宋体" w:hAnsi="宋体" w:cs="宋体"/>
                                  <w:spacing w:val="4"/>
                                  <w:sz w:val="19"/>
                                  <w:szCs w:val="19"/>
                                </w:rPr>
                                <w:t>米粒</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5"/>
                                  <w:sz w:val="19"/>
                                  <w:szCs w:val="19"/>
                                </w:rPr>
                                <w:t xml:space="preserve"> </w:t>
                              </w:r>
                              <w:r>
                                <w:rPr>
                                  <w:rFonts w:ascii="宋体" w:eastAsia="宋体" w:hAnsi="宋体" w:cs="宋体"/>
                                  <w:spacing w:val="4"/>
                                  <w:sz w:val="19"/>
                                  <w:szCs w:val="19"/>
                                </w:rPr>
                                <w:t>干燥</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2"/>
                                  <w:sz w:val="19"/>
                                  <w:szCs w:val="19"/>
                                </w:rPr>
                                <w:t xml:space="preserve"> </w:t>
                              </w:r>
                              <w:r>
                                <w:rPr>
                                  <w:rFonts w:ascii="宋体" w:eastAsia="宋体" w:hAnsi="宋体" w:cs="宋体"/>
                                  <w:spacing w:val="4"/>
                                  <w:sz w:val="19"/>
                                  <w:szCs w:val="19"/>
                                </w:rPr>
                                <w:t>真空浸吸</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3"/>
                                  <w:sz w:val="19"/>
                                  <w:szCs w:val="19"/>
                                </w:rPr>
                                <w:t xml:space="preserve"> </w:t>
                              </w:r>
                              <w:r>
                                <w:rPr>
                                  <w:rFonts w:ascii="宋体" w:eastAsia="宋体" w:hAnsi="宋体" w:cs="宋体"/>
                                  <w:spacing w:val="4"/>
                                  <w:sz w:val="19"/>
                                  <w:szCs w:val="19"/>
                                </w:rPr>
                                <w:t>冷却</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4"/>
                                  <w:sz w:val="19"/>
                                  <w:szCs w:val="19"/>
                                </w:rPr>
                                <w:t xml:space="preserve"> </w:t>
                              </w:r>
                              <w:r>
                                <w:rPr>
                                  <w:rFonts w:ascii="宋体" w:eastAsia="宋体" w:hAnsi="宋体" w:cs="宋体"/>
                                  <w:spacing w:val="4"/>
                                  <w:sz w:val="19"/>
                                  <w:szCs w:val="19"/>
                                </w:rPr>
                                <w:t>汽蒸糊化</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2"/>
                                  <w:sz w:val="19"/>
                                  <w:szCs w:val="19"/>
                                </w:rPr>
                                <w:t xml:space="preserve"> </w:t>
                              </w:r>
                              <w:r>
                                <w:rPr>
                                  <w:rFonts w:ascii="宋体" w:eastAsia="宋体" w:hAnsi="宋体" w:cs="宋体"/>
                                  <w:spacing w:val="4"/>
                                  <w:sz w:val="19"/>
                                  <w:szCs w:val="19"/>
                                </w:rPr>
                                <w:t>冷却</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1"/>
                                  <w:sz w:val="19"/>
                                  <w:szCs w:val="19"/>
                                </w:rPr>
                                <w:t xml:space="preserve"> </w:t>
                              </w:r>
                              <w:r>
                                <w:rPr>
                                  <w:rFonts w:ascii="宋体" w:eastAsia="宋体" w:hAnsi="宋体" w:cs="宋体"/>
                                  <w:spacing w:val="4"/>
                                  <w:sz w:val="19"/>
                                  <w:szCs w:val="19"/>
                                </w:rPr>
                                <w:t>分粒</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5"/>
                                  <w:sz w:val="19"/>
                                  <w:szCs w:val="19"/>
                                </w:rPr>
                                <w:t xml:space="preserve"> </w:t>
                              </w:r>
                              <w:r>
                                <w:rPr>
                                  <w:rFonts w:ascii="宋体" w:eastAsia="宋体" w:hAnsi="宋体" w:cs="宋体"/>
                                  <w:spacing w:val="4"/>
                                  <w:sz w:val="19"/>
                                  <w:szCs w:val="19"/>
                                </w:rPr>
                                <w:t>干燥</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6"/>
                                  <w:sz w:val="19"/>
                                  <w:szCs w:val="19"/>
                                </w:rPr>
                                <w:t xml:space="preserve"> </w:t>
                              </w:r>
                              <w:r>
                                <w:rPr>
                                  <w:rFonts w:ascii="宋体" w:eastAsia="宋体" w:hAnsi="宋体" w:cs="宋体"/>
                                  <w:spacing w:val="3"/>
                                  <w:sz w:val="19"/>
                                  <w:szCs w:val="19"/>
                                </w:rPr>
                                <w:t>—</w:t>
                              </w:r>
                              <w:r>
                                <w:rPr>
                                  <w:rFonts w:ascii="宋体" w:eastAsia="宋体" w:hAnsi="宋体" w:cs="宋体"/>
                                  <w:spacing w:val="-58"/>
                                  <w:sz w:val="19"/>
                                  <w:szCs w:val="19"/>
                                </w:rPr>
                                <w:t xml:space="preserve"> </w:t>
                              </w:r>
                              <w:r>
                                <w:rPr>
                                  <w:rFonts w:ascii="宋体" w:eastAsia="宋体" w:hAnsi="宋体" w:cs="宋体"/>
                                  <w:spacing w:val="3"/>
                                  <w:sz w:val="19"/>
                                  <w:szCs w:val="19"/>
                                </w:rPr>
                                <w:t>次涂膜</w:t>
                              </w:r>
                            </w:p>
                            <w:p w:rsidR="00E86C16" w:rsidRDefault="00E86C16">
                              <w:pPr>
                                <w:spacing w:before="234" w:line="219" w:lineRule="auto"/>
                                <w:ind w:left="50"/>
                                <w:rPr>
                                  <w:rFonts w:ascii="宋体" w:eastAsia="宋体" w:hAnsi="宋体" w:cs="宋体"/>
                                  <w:sz w:val="19"/>
                                  <w:szCs w:val="19"/>
                                </w:rPr>
                              </w:pPr>
                              <w:r>
                                <w:rPr>
                                  <w:rFonts w:ascii="宋体" w:eastAsia="宋体" w:hAnsi="宋体" w:cs="宋体"/>
                                  <w:spacing w:val="7"/>
                                  <w:sz w:val="19"/>
                                  <w:szCs w:val="19"/>
                                </w:rPr>
                                <w:t>三次涂膜——干燥～</w:t>
                              </w:r>
                              <w:r>
                                <w:rPr>
                                  <w:rFonts w:ascii="宋体" w:eastAsia="宋体" w:hAnsi="宋体" w:cs="宋体"/>
                                  <w:spacing w:val="-47"/>
                                  <w:sz w:val="19"/>
                                  <w:szCs w:val="19"/>
                                </w:rPr>
                                <w:t xml:space="preserve"> </w:t>
                              </w:r>
                              <w:r>
                                <w:rPr>
                                  <w:rFonts w:ascii="宋体" w:eastAsia="宋体" w:hAnsi="宋体" w:cs="宋体"/>
                                  <w:spacing w:val="7"/>
                                  <w:sz w:val="19"/>
                                  <w:szCs w:val="19"/>
                                </w:rPr>
                                <w:t>—分粒—冷却——汽蒸—二次涂膜—通风干燥一冷却——汽蒸</w:t>
                              </w:r>
                            </w:p>
                            <w:p w:rsidR="00E86C16" w:rsidRDefault="00E86C16">
                              <w:pPr>
                                <w:spacing w:before="234" w:line="219" w:lineRule="auto"/>
                                <w:ind w:left="380"/>
                                <w:rPr>
                                  <w:rFonts w:ascii="宋体" w:eastAsia="宋体" w:hAnsi="宋体" w:cs="宋体"/>
                                  <w:sz w:val="19"/>
                                  <w:szCs w:val="19"/>
                                </w:rPr>
                              </w:pPr>
                              <w:r>
                                <w:rPr>
                                  <w:rFonts w:ascii="宋体" w:eastAsia="宋体" w:hAnsi="宋体" w:cs="宋体"/>
                                  <w:spacing w:val="-16"/>
                                  <w:w w:val="92"/>
                                  <w:sz w:val="19"/>
                                  <w:szCs w:val="19"/>
                                </w:rPr>
                                <w:t>火棉胶～—三次涂液</w:t>
                              </w:r>
                              <w:r>
                                <w:rPr>
                                  <w:rFonts w:ascii="宋体" w:eastAsia="宋体" w:hAnsi="宋体" w:cs="宋体"/>
                                  <w:spacing w:val="2"/>
                                  <w:sz w:val="19"/>
                                  <w:szCs w:val="19"/>
                                </w:rPr>
                                <w:t xml:space="preserve">                   </w:t>
                              </w:r>
                              <w:r>
                                <w:rPr>
                                  <w:rFonts w:ascii="宋体" w:eastAsia="宋体" w:hAnsi="宋体" w:cs="宋体"/>
                                  <w:spacing w:val="-16"/>
                                  <w:w w:val="92"/>
                                  <w:sz w:val="19"/>
                                  <w:szCs w:val="19"/>
                                </w:rPr>
                                <w:t>二次涂液——阿拉伯胶、蔗糖脂肪酸酯、马铃薯淀粉</w:t>
                              </w:r>
                            </w:p>
                            <w:p w:rsidR="00E86C16" w:rsidRDefault="00E86C16">
                              <w:pPr>
                                <w:spacing w:before="214" w:line="219" w:lineRule="auto"/>
                                <w:ind w:left="50"/>
                                <w:rPr>
                                  <w:rFonts w:ascii="宋体" w:eastAsia="宋体" w:hAnsi="宋体" w:cs="宋体"/>
                                  <w:sz w:val="19"/>
                                  <w:szCs w:val="19"/>
                                </w:rPr>
                              </w:pPr>
                              <w:r>
                                <w:rPr>
                                  <w:rFonts w:ascii="宋体" w:eastAsia="宋体" w:hAnsi="宋体" w:cs="宋体"/>
                                  <w:spacing w:val="-13"/>
                                  <w:sz w:val="19"/>
                                  <w:szCs w:val="19"/>
                                </w:rPr>
                                <w:t>干燥</w:t>
                              </w:r>
                              <w:r>
                                <w:rPr>
                                  <w:rFonts w:ascii="宋体" w:eastAsia="宋体" w:hAnsi="宋体" w:cs="宋体"/>
                                  <w:spacing w:val="-64"/>
                                  <w:sz w:val="19"/>
                                  <w:szCs w:val="19"/>
                                </w:rPr>
                                <w:t xml:space="preserve"> </w:t>
                              </w:r>
                              <w:r>
                                <w:rPr>
                                  <w:rFonts w:ascii="宋体" w:eastAsia="宋体" w:hAnsi="宋体" w:cs="宋体"/>
                                  <w:spacing w:val="-13"/>
                                  <w:sz w:val="19"/>
                                  <w:szCs w:val="19"/>
                                </w:rPr>
                                <w:t>—</w:t>
                              </w:r>
                              <w:r>
                                <w:rPr>
                                  <w:rFonts w:ascii="宋体" w:eastAsia="宋体" w:hAnsi="宋体" w:cs="宋体"/>
                                  <w:spacing w:val="10"/>
                                  <w:sz w:val="19"/>
                                  <w:szCs w:val="19"/>
                                </w:rPr>
                                <w:t xml:space="preserve">   </w:t>
                              </w:r>
                              <w:r>
                                <w:rPr>
                                  <w:rFonts w:ascii="宋体" w:eastAsia="宋体" w:hAnsi="宋体" w:cs="宋体"/>
                                  <w:spacing w:val="-13"/>
                                  <w:sz w:val="19"/>
                                  <w:szCs w:val="19"/>
                                </w:rPr>
                                <w:t>强化米成品</w:t>
                              </w:r>
                            </w:p>
                          </w:txbxContent>
                        </wps:txbx>
                        <wps:bodyPr rot="0" vert="horz" wrap="square" lIns="0" tIns="0" rIns="0" bIns="0" anchor="t" anchorCtr="0" upright="1">
                          <a:noAutofit/>
                        </wps:bodyPr>
                      </wps:wsp>
                    </wpg:wgp>
                  </a:graphicData>
                </a:graphic>
              </wp:inline>
            </w:drawing>
          </mc:Choice>
          <mc:Fallback>
            <w:pict>
              <v:group id="Group 34" o:spid="_x0000_s1049" style="width:367.5pt;height:107.55pt;mso-position-horizontal-relative:char;mso-position-vertical-relative:line" coordsize="7350,2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">
                <v:shape id="Picture 35" o:spid="_x0000_s1050" type="#_x0000_t75" style="position:absolute;width:7350;height: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">
                  <v:imagedata r:id="rId224" o:title=""/>
                </v:shape>
                <v:shape id="Text Box 36" o:spid="_x0000_s1051" type="#_x0000_t202" style="position:absolute;left:-20;top:-20;width:7390;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E86C16" w:rsidRDefault="00E86C16">
                        <w:pPr>
                          <w:spacing w:before="96" w:line="228" w:lineRule="auto"/>
                          <w:ind w:right="113"/>
                          <w:jc w:val="right"/>
                          <w:rPr>
                            <w:rFonts w:ascii="宋体" w:eastAsia="宋体" w:hAnsi="宋体" w:cs="宋体"/>
                            <w:sz w:val="16"/>
                            <w:szCs w:val="16"/>
                          </w:rPr>
                        </w:pPr>
                        <w:r>
                          <w:rPr>
                            <w:rFonts w:ascii="宋体" w:eastAsia="宋体" w:hAnsi="宋体" w:cs="宋体"/>
                            <w:spacing w:val="3"/>
                            <w:sz w:val="19"/>
                            <w:szCs w:val="19"/>
                          </w:rPr>
                          <w:t xml:space="preserve">强化剂—→溶解                          </w:t>
                        </w:r>
                        <w:r>
                          <w:rPr>
                            <w:rFonts w:ascii="宋体" w:eastAsia="宋体" w:hAnsi="宋体" w:cs="宋体"/>
                            <w:spacing w:val="3"/>
                            <w:sz w:val="16"/>
                            <w:szCs w:val="16"/>
                          </w:rPr>
                          <w:t>果胶与马铃薯淀粉</w:t>
                        </w:r>
                        <w:r>
                          <w:rPr>
                            <w:rFonts w:ascii="宋体" w:eastAsia="宋体" w:hAnsi="宋体" w:cs="宋体"/>
                            <w:spacing w:val="-40"/>
                            <w:sz w:val="16"/>
                            <w:szCs w:val="16"/>
                          </w:rPr>
                          <w:t xml:space="preserve"> </w:t>
                        </w:r>
                        <w:r>
                          <w:rPr>
                            <w:rFonts w:ascii="宋体" w:eastAsia="宋体" w:hAnsi="宋体" w:cs="宋体"/>
                            <w:spacing w:val="3"/>
                            <w:sz w:val="16"/>
                            <w:szCs w:val="16"/>
                          </w:rPr>
                          <w:t>→</w:t>
                        </w:r>
                        <w:r>
                          <w:rPr>
                            <w:rFonts w:ascii="宋体" w:eastAsia="宋体" w:hAnsi="宋体" w:cs="宋体"/>
                            <w:spacing w:val="-53"/>
                            <w:sz w:val="16"/>
                            <w:szCs w:val="16"/>
                          </w:rPr>
                          <w:t xml:space="preserve"> </w:t>
                        </w:r>
                        <w:r>
                          <w:rPr>
                            <w:rFonts w:ascii="宋体" w:eastAsia="宋体" w:hAnsi="宋体" w:cs="宋体"/>
                            <w:spacing w:val="3"/>
                            <w:sz w:val="16"/>
                            <w:szCs w:val="16"/>
                          </w:rPr>
                          <w:t>一次涂液</w:t>
                        </w:r>
                      </w:p>
                      <w:p w:rsidR="00E86C16" w:rsidRDefault="00E86C16">
                        <w:pPr>
                          <w:spacing w:before="235" w:line="219" w:lineRule="auto"/>
                          <w:ind w:left="380"/>
                          <w:rPr>
                            <w:rFonts w:ascii="宋体" w:eastAsia="宋体" w:hAnsi="宋体" w:cs="宋体"/>
                            <w:sz w:val="19"/>
                            <w:szCs w:val="19"/>
                          </w:rPr>
                        </w:pPr>
                        <w:r>
                          <w:rPr>
                            <w:rFonts w:ascii="宋体" w:eastAsia="宋体" w:hAnsi="宋体" w:cs="宋体"/>
                            <w:spacing w:val="4"/>
                            <w:sz w:val="19"/>
                            <w:szCs w:val="19"/>
                          </w:rPr>
                          <w:t>米粒</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5"/>
                            <w:sz w:val="19"/>
                            <w:szCs w:val="19"/>
                          </w:rPr>
                          <w:t xml:space="preserve"> </w:t>
                        </w:r>
                        <w:r>
                          <w:rPr>
                            <w:rFonts w:ascii="宋体" w:eastAsia="宋体" w:hAnsi="宋体" w:cs="宋体"/>
                            <w:spacing w:val="4"/>
                            <w:sz w:val="19"/>
                            <w:szCs w:val="19"/>
                          </w:rPr>
                          <w:t>干燥</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2"/>
                            <w:sz w:val="19"/>
                            <w:szCs w:val="19"/>
                          </w:rPr>
                          <w:t xml:space="preserve"> </w:t>
                        </w:r>
                        <w:r>
                          <w:rPr>
                            <w:rFonts w:ascii="宋体" w:eastAsia="宋体" w:hAnsi="宋体" w:cs="宋体"/>
                            <w:spacing w:val="4"/>
                            <w:sz w:val="19"/>
                            <w:szCs w:val="19"/>
                          </w:rPr>
                          <w:t>真空浸吸</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3"/>
                            <w:sz w:val="19"/>
                            <w:szCs w:val="19"/>
                          </w:rPr>
                          <w:t xml:space="preserve"> </w:t>
                        </w:r>
                        <w:r>
                          <w:rPr>
                            <w:rFonts w:ascii="宋体" w:eastAsia="宋体" w:hAnsi="宋体" w:cs="宋体"/>
                            <w:spacing w:val="4"/>
                            <w:sz w:val="19"/>
                            <w:szCs w:val="19"/>
                          </w:rPr>
                          <w:t>冷却</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4"/>
                            <w:sz w:val="19"/>
                            <w:szCs w:val="19"/>
                          </w:rPr>
                          <w:t xml:space="preserve"> </w:t>
                        </w:r>
                        <w:r>
                          <w:rPr>
                            <w:rFonts w:ascii="宋体" w:eastAsia="宋体" w:hAnsi="宋体" w:cs="宋体"/>
                            <w:spacing w:val="4"/>
                            <w:sz w:val="19"/>
                            <w:szCs w:val="19"/>
                          </w:rPr>
                          <w:t>汽蒸糊化</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2"/>
                            <w:sz w:val="19"/>
                            <w:szCs w:val="19"/>
                          </w:rPr>
                          <w:t xml:space="preserve"> </w:t>
                        </w:r>
                        <w:r>
                          <w:rPr>
                            <w:rFonts w:ascii="宋体" w:eastAsia="宋体" w:hAnsi="宋体" w:cs="宋体"/>
                            <w:spacing w:val="4"/>
                            <w:sz w:val="19"/>
                            <w:szCs w:val="19"/>
                          </w:rPr>
                          <w:t>冷却</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1"/>
                            <w:sz w:val="19"/>
                            <w:szCs w:val="19"/>
                          </w:rPr>
                          <w:t xml:space="preserve"> </w:t>
                        </w:r>
                        <w:r>
                          <w:rPr>
                            <w:rFonts w:ascii="宋体" w:eastAsia="宋体" w:hAnsi="宋体" w:cs="宋体"/>
                            <w:spacing w:val="4"/>
                            <w:sz w:val="19"/>
                            <w:szCs w:val="19"/>
                          </w:rPr>
                          <w:t>分粒</w:t>
                        </w:r>
                        <w:r>
                          <w:rPr>
                            <w:rFonts w:ascii="宋体" w:eastAsia="宋体" w:hAnsi="宋体" w:cs="宋体"/>
                            <w:spacing w:val="-56"/>
                            <w:sz w:val="19"/>
                            <w:szCs w:val="19"/>
                          </w:rPr>
                          <w:t xml:space="preserve"> </w:t>
                        </w:r>
                        <w:r>
                          <w:rPr>
                            <w:rFonts w:ascii="宋体" w:eastAsia="宋体" w:hAnsi="宋体" w:cs="宋体"/>
                            <w:spacing w:val="4"/>
                            <w:sz w:val="19"/>
                            <w:szCs w:val="19"/>
                          </w:rPr>
                          <w:t>→</w:t>
                        </w:r>
                        <w:r>
                          <w:rPr>
                            <w:rFonts w:ascii="宋体" w:eastAsia="宋体" w:hAnsi="宋体" w:cs="宋体"/>
                            <w:spacing w:val="-65"/>
                            <w:sz w:val="19"/>
                            <w:szCs w:val="19"/>
                          </w:rPr>
                          <w:t xml:space="preserve"> </w:t>
                        </w:r>
                        <w:r>
                          <w:rPr>
                            <w:rFonts w:ascii="宋体" w:eastAsia="宋体" w:hAnsi="宋体" w:cs="宋体"/>
                            <w:spacing w:val="4"/>
                            <w:sz w:val="19"/>
                            <w:szCs w:val="19"/>
                          </w:rPr>
                          <w:t>干燥</w:t>
                        </w:r>
                        <w:r>
                          <w:rPr>
                            <w:rFonts w:ascii="宋体" w:eastAsia="宋体" w:hAnsi="宋体" w:cs="宋体"/>
                            <w:spacing w:val="-55"/>
                            <w:sz w:val="19"/>
                            <w:szCs w:val="19"/>
                          </w:rPr>
                          <w:t xml:space="preserve"> </w:t>
                        </w:r>
                        <w:r>
                          <w:rPr>
                            <w:rFonts w:ascii="宋体" w:eastAsia="宋体" w:hAnsi="宋体" w:cs="宋体"/>
                            <w:spacing w:val="4"/>
                            <w:sz w:val="19"/>
                            <w:szCs w:val="19"/>
                          </w:rPr>
                          <w:t>→</w:t>
                        </w:r>
                        <w:r>
                          <w:rPr>
                            <w:rFonts w:ascii="宋体" w:eastAsia="宋体" w:hAnsi="宋体" w:cs="宋体"/>
                            <w:spacing w:val="-66"/>
                            <w:sz w:val="19"/>
                            <w:szCs w:val="19"/>
                          </w:rPr>
                          <w:t xml:space="preserve"> </w:t>
                        </w:r>
                        <w:r>
                          <w:rPr>
                            <w:rFonts w:ascii="宋体" w:eastAsia="宋体" w:hAnsi="宋体" w:cs="宋体"/>
                            <w:spacing w:val="3"/>
                            <w:sz w:val="19"/>
                            <w:szCs w:val="19"/>
                          </w:rPr>
                          <w:t>—</w:t>
                        </w:r>
                        <w:r>
                          <w:rPr>
                            <w:rFonts w:ascii="宋体" w:eastAsia="宋体" w:hAnsi="宋体" w:cs="宋体"/>
                            <w:spacing w:val="-58"/>
                            <w:sz w:val="19"/>
                            <w:szCs w:val="19"/>
                          </w:rPr>
                          <w:t xml:space="preserve"> </w:t>
                        </w:r>
                        <w:r>
                          <w:rPr>
                            <w:rFonts w:ascii="宋体" w:eastAsia="宋体" w:hAnsi="宋体" w:cs="宋体"/>
                            <w:spacing w:val="3"/>
                            <w:sz w:val="19"/>
                            <w:szCs w:val="19"/>
                          </w:rPr>
                          <w:t>次涂膜</w:t>
                        </w:r>
                      </w:p>
                      <w:p w:rsidR="00E86C16" w:rsidRDefault="00E86C16">
                        <w:pPr>
                          <w:spacing w:before="234" w:line="219" w:lineRule="auto"/>
                          <w:ind w:left="50"/>
                          <w:rPr>
                            <w:rFonts w:ascii="宋体" w:eastAsia="宋体" w:hAnsi="宋体" w:cs="宋体"/>
                            <w:sz w:val="19"/>
                            <w:szCs w:val="19"/>
                          </w:rPr>
                        </w:pPr>
                        <w:r>
                          <w:rPr>
                            <w:rFonts w:ascii="宋体" w:eastAsia="宋体" w:hAnsi="宋体" w:cs="宋体"/>
                            <w:spacing w:val="7"/>
                            <w:sz w:val="19"/>
                            <w:szCs w:val="19"/>
                          </w:rPr>
                          <w:t>三次涂膜——干燥～</w:t>
                        </w:r>
                        <w:r>
                          <w:rPr>
                            <w:rFonts w:ascii="宋体" w:eastAsia="宋体" w:hAnsi="宋体" w:cs="宋体"/>
                            <w:spacing w:val="-47"/>
                            <w:sz w:val="19"/>
                            <w:szCs w:val="19"/>
                          </w:rPr>
                          <w:t xml:space="preserve"> </w:t>
                        </w:r>
                        <w:r>
                          <w:rPr>
                            <w:rFonts w:ascii="宋体" w:eastAsia="宋体" w:hAnsi="宋体" w:cs="宋体"/>
                            <w:spacing w:val="7"/>
                            <w:sz w:val="19"/>
                            <w:szCs w:val="19"/>
                          </w:rPr>
                          <w:t>—分粒—冷却——汽蒸—二次涂膜—通风干燥一冷却——汽蒸</w:t>
                        </w:r>
                      </w:p>
                      <w:p w:rsidR="00E86C16" w:rsidRDefault="00E86C16">
                        <w:pPr>
                          <w:spacing w:before="234" w:line="219" w:lineRule="auto"/>
                          <w:ind w:left="380"/>
                          <w:rPr>
                            <w:rFonts w:ascii="宋体" w:eastAsia="宋体" w:hAnsi="宋体" w:cs="宋体"/>
                            <w:sz w:val="19"/>
                            <w:szCs w:val="19"/>
                          </w:rPr>
                        </w:pPr>
                        <w:r>
                          <w:rPr>
                            <w:rFonts w:ascii="宋体" w:eastAsia="宋体" w:hAnsi="宋体" w:cs="宋体"/>
                            <w:spacing w:val="-16"/>
                            <w:w w:val="92"/>
                            <w:sz w:val="19"/>
                            <w:szCs w:val="19"/>
                          </w:rPr>
                          <w:t>火棉胶～—三次涂液</w:t>
                        </w:r>
                        <w:r>
                          <w:rPr>
                            <w:rFonts w:ascii="宋体" w:eastAsia="宋体" w:hAnsi="宋体" w:cs="宋体"/>
                            <w:spacing w:val="2"/>
                            <w:sz w:val="19"/>
                            <w:szCs w:val="19"/>
                          </w:rPr>
                          <w:t xml:space="preserve">                   </w:t>
                        </w:r>
                        <w:r>
                          <w:rPr>
                            <w:rFonts w:ascii="宋体" w:eastAsia="宋体" w:hAnsi="宋体" w:cs="宋体"/>
                            <w:spacing w:val="-16"/>
                            <w:w w:val="92"/>
                            <w:sz w:val="19"/>
                            <w:szCs w:val="19"/>
                          </w:rPr>
                          <w:t>二次涂液——阿拉伯胶、蔗糖脂肪酸酯、马铃薯淀粉</w:t>
                        </w:r>
                      </w:p>
                      <w:p w:rsidR="00E86C16" w:rsidRDefault="00E86C16">
                        <w:pPr>
                          <w:spacing w:before="214" w:line="219" w:lineRule="auto"/>
                          <w:ind w:left="50"/>
                          <w:rPr>
                            <w:rFonts w:ascii="宋体" w:eastAsia="宋体" w:hAnsi="宋体" w:cs="宋体"/>
                            <w:sz w:val="19"/>
                            <w:szCs w:val="19"/>
                          </w:rPr>
                        </w:pPr>
                        <w:r>
                          <w:rPr>
                            <w:rFonts w:ascii="宋体" w:eastAsia="宋体" w:hAnsi="宋体" w:cs="宋体"/>
                            <w:spacing w:val="-13"/>
                            <w:sz w:val="19"/>
                            <w:szCs w:val="19"/>
                          </w:rPr>
                          <w:t>干燥</w:t>
                        </w:r>
                        <w:r>
                          <w:rPr>
                            <w:rFonts w:ascii="宋体" w:eastAsia="宋体" w:hAnsi="宋体" w:cs="宋体"/>
                            <w:spacing w:val="-64"/>
                            <w:sz w:val="19"/>
                            <w:szCs w:val="19"/>
                          </w:rPr>
                          <w:t xml:space="preserve"> </w:t>
                        </w:r>
                        <w:r>
                          <w:rPr>
                            <w:rFonts w:ascii="宋体" w:eastAsia="宋体" w:hAnsi="宋体" w:cs="宋体"/>
                            <w:spacing w:val="-13"/>
                            <w:sz w:val="19"/>
                            <w:szCs w:val="19"/>
                          </w:rPr>
                          <w:t>—</w:t>
                        </w:r>
                        <w:r>
                          <w:rPr>
                            <w:rFonts w:ascii="宋体" w:eastAsia="宋体" w:hAnsi="宋体" w:cs="宋体"/>
                            <w:spacing w:val="10"/>
                            <w:sz w:val="19"/>
                            <w:szCs w:val="19"/>
                          </w:rPr>
                          <w:t xml:space="preserve">   </w:t>
                        </w:r>
                        <w:r>
                          <w:rPr>
                            <w:rFonts w:ascii="宋体" w:eastAsia="宋体" w:hAnsi="宋体" w:cs="宋体"/>
                            <w:spacing w:val="-13"/>
                            <w:sz w:val="19"/>
                            <w:szCs w:val="19"/>
                          </w:rPr>
                          <w:t>强化米成品</w:t>
                        </w:r>
                      </w:p>
                    </w:txbxContent>
                  </v:textbox>
                </v:shape>
                <w10:anchorlock/>
              </v:group>
            </w:pict>
          </mc:Fallback>
        </mc:AlternateContent>
      </w:r>
    </w:p>
    <w:p w:rsidR="00EA40A3" w:rsidRDefault="00E86C16">
      <w:pPr>
        <w:spacing w:before="76"/>
        <w:ind w:right="36"/>
        <w:jc w:val="right"/>
        <w:rPr>
          <w:rFonts w:ascii="宋体" w:eastAsia="宋体" w:hAnsi="宋体" w:cs="宋体"/>
          <w:sz w:val="19"/>
          <w:szCs w:val="19"/>
        </w:rPr>
      </w:pPr>
      <w:r>
        <w:rPr>
          <w:rFonts w:ascii="宋体" w:eastAsia="宋体" w:hAnsi="宋体" w:cs="宋体"/>
          <w:spacing w:val="-31"/>
          <w:sz w:val="19"/>
          <w:szCs w:val="19"/>
        </w:rPr>
        <w:t>·</w:t>
      </w:r>
      <w:r>
        <w:rPr>
          <w:rFonts w:ascii="宋体" w:eastAsia="宋体" w:hAnsi="宋体" w:cs="宋体"/>
          <w:spacing w:val="-10"/>
          <w:sz w:val="19"/>
          <w:szCs w:val="19"/>
        </w:rPr>
        <w:t xml:space="preserve"> </w:t>
      </w:r>
      <w:r>
        <w:rPr>
          <w:rFonts w:ascii="宋体" w:eastAsia="宋体" w:hAnsi="宋体" w:cs="宋体"/>
          <w:spacing w:val="-31"/>
          <w:sz w:val="19"/>
          <w:szCs w:val="19"/>
        </w:rPr>
        <w:t>265</w:t>
      </w:r>
      <w:r>
        <w:rPr>
          <w:rFonts w:ascii="宋体" w:eastAsia="宋体" w:hAnsi="宋体" w:cs="宋体"/>
          <w:spacing w:val="42"/>
          <w:sz w:val="19"/>
          <w:szCs w:val="19"/>
        </w:rPr>
        <w:t xml:space="preserve"> </w:t>
      </w:r>
      <w:r>
        <w:rPr>
          <w:rFonts w:ascii="宋体" w:eastAsia="宋体" w:hAnsi="宋体" w:cs="宋体"/>
          <w:spacing w:val="-31"/>
          <w:sz w:val="19"/>
          <w:szCs w:val="19"/>
        </w:rPr>
        <w:t>·</w:t>
      </w:r>
    </w:p>
    <w:p w:rsidR="00EA40A3" w:rsidRDefault="00EA40A3">
      <w:pPr>
        <w:sectPr w:rsidR="00EA40A3">
          <w:pgSz w:w="9220" w:h="13360"/>
          <w:pgMar w:top="400" w:right="990" w:bottom="400" w:left="879" w:header="0" w:footer="0" w:gutter="0"/>
          <w:cols w:space="720"/>
        </w:sectPr>
      </w:pPr>
    </w:p>
    <w:p w:rsidR="00EA40A3" w:rsidRDefault="00EA40A3">
      <w:pPr>
        <w:spacing w:line="284" w:lineRule="auto"/>
      </w:pPr>
    </w:p>
    <w:p w:rsidR="00EA40A3" w:rsidRDefault="00EA40A3">
      <w:pPr>
        <w:spacing w:line="284" w:lineRule="auto"/>
      </w:pPr>
    </w:p>
    <w:p w:rsidR="00EA40A3" w:rsidRDefault="00E86C16">
      <w:pPr>
        <w:spacing w:before="65" w:line="219" w:lineRule="auto"/>
        <w:ind w:left="420"/>
        <w:rPr>
          <w:rFonts w:ascii="宋体" w:eastAsia="宋体" w:hAnsi="宋体" w:cs="宋体"/>
          <w:sz w:val="20"/>
          <w:szCs w:val="20"/>
        </w:rPr>
      </w:pPr>
      <w:r>
        <w:rPr>
          <w:rFonts w:ascii="宋体" w:eastAsia="宋体" w:hAnsi="宋体" w:cs="宋体"/>
          <w:spacing w:val="5"/>
          <w:sz w:val="20"/>
          <w:szCs w:val="20"/>
        </w:rPr>
        <w:t>下面介绍几种典型的强化米产品</w:t>
      </w:r>
    </w:p>
    <w:p w:rsidR="00EA40A3" w:rsidRDefault="00E86C16">
      <w:pPr>
        <w:spacing w:before="64" w:line="273" w:lineRule="auto"/>
        <w:ind w:right="47" w:firstLine="420"/>
        <w:rPr>
          <w:rFonts w:ascii="宋体" w:eastAsia="宋体" w:hAnsi="宋体" w:cs="宋体"/>
          <w:sz w:val="20"/>
          <w:szCs w:val="20"/>
        </w:rPr>
      </w:pPr>
      <w:r>
        <w:rPr>
          <w:rFonts w:ascii="宋体" w:eastAsia="宋体" w:hAnsi="宋体" w:cs="宋体"/>
          <w:spacing w:val="16"/>
          <w:sz w:val="20"/>
          <w:szCs w:val="20"/>
        </w:rPr>
        <w:t xml:space="preserve">(1)强化α米的制造将淀粉与水混合并慢慢加热，会使淀粉的胶束结构崩 </w:t>
      </w:r>
      <w:r>
        <w:rPr>
          <w:rFonts w:ascii="宋体" w:eastAsia="宋体" w:hAnsi="宋体" w:cs="宋体"/>
          <w:spacing w:val="8"/>
          <w:sz w:val="20"/>
          <w:szCs w:val="20"/>
        </w:rPr>
        <w:t>溃，淀粉分子形成单分子，并为水包围，而成为黏性的糊</w:t>
      </w:r>
      <w:r>
        <w:rPr>
          <w:rFonts w:ascii="宋体" w:eastAsia="宋体" w:hAnsi="宋体" w:cs="宋体"/>
          <w:spacing w:val="7"/>
          <w:sz w:val="20"/>
          <w:szCs w:val="20"/>
        </w:rPr>
        <w:t>状溶液。这种状态的淀</w:t>
      </w:r>
      <w:r>
        <w:rPr>
          <w:rFonts w:ascii="宋体" w:eastAsia="宋体" w:hAnsi="宋体" w:cs="宋体"/>
          <w:sz w:val="20"/>
          <w:szCs w:val="20"/>
        </w:rPr>
        <w:t xml:space="preserve"> </w:t>
      </w:r>
      <w:r>
        <w:rPr>
          <w:rFonts w:ascii="宋体" w:eastAsia="宋体" w:hAnsi="宋体" w:cs="宋体"/>
          <w:spacing w:val="4"/>
          <w:sz w:val="20"/>
          <w:szCs w:val="20"/>
        </w:rPr>
        <w:t>粉称为α-淀粉。强化α米就是将米粒进行热处理，使米粒中的淀粉α化，然后焙</w:t>
      </w:r>
      <w:r>
        <w:rPr>
          <w:rFonts w:ascii="宋体" w:eastAsia="宋体" w:hAnsi="宋体" w:cs="宋体"/>
          <w:spacing w:val="1"/>
          <w:sz w:val="20"/>
          <w:szCs w:val="20"/>
        </w:rPr>
        <w:t xml:space="preserve"> </w:t>
      </w:r>
      <w:r>
        <w:rPr>
          <w:rFonts w:ascii="宋体" w:eastAsia="宋体" w:hAnsi="宋体" w:cs="宋体"/>
          <w:spacing w:val="8"/>
          <w:sz w:val="20"/>
          <w:szCs w:val="20"/>
        </w:rPr>
        <w:t>炒使米粒膨胀，再采用浸吸法使米粒吸附营养强化成分而制成。</w:t>
      </w:r>
      <w:r>
        <w:rPr>
          <w:rFonts w:ascii="宋体" w:eastAsia="宋体" w:hAnsi="宋体" w:cs="宋体"/>
          <w:spacing w:val="7"/>
          <w:sz w:val="20"/>
          <w:szCs w:val="20"/>
        </w:rPr>
        <w:t>强化α米的制作</w:t>
      </w:r>
      <w:r>
        <w:rPr>
          <w:rFonts w:ascii="宋体" w:eastAsia="宋体" w:hAnsi="宋体" w:cs="宋体"/>
          <w:sz w:val="20"/>
          <w:szCs w:val="20"/>
        </w:rPr>
        <w:t xml:space="preserve"> 工艺流程如下：</w:t>
      </w:r>
    </w:p>
    <w:p w:rsidR="00EA40A3" w:rsidRDefault="00825D12">
      <w:pPr>
        <w:spacing w:before="82" w:line="1280" w:lineRule="exact"/>
        <w:textAlignment w:val="center"/>
      </w:pPr>
      <w:r>
        <w:rPr>
          <w:noProof/>
        </w:rPr>
        <mc:AlternateContent>
          <mc:Choice Requires="wpg">
            <w:drawing>
              <wp:inline distT="0" distB="0" distL="0" distR="0">
                <wp:extent cx="4623435" cy="812800"/>
                <wp:effectExtent l="8890" t="15240" r="15875" b="38735"/>
                <wp:docPr id="12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3435" cy="812800"/>
                          <a:chOff x="0" y="0"/>
                          <a:chExt cx="7280" cy="1280"/>
                        </a:xfrm>
                      </wpg:grpSpPr>
                      <pic:pic xmlns:pic="http://schemas.openxmlformats.org/drawingml/2006/picture">
                        <pic:nvPicPr>
                          <pic:cNvPr id="125" name="Picture 3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70" y="0"/>
                            <a:ext cx="7210" cy="1280"/>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39"/>
                        <wps:cNvSpPr txBox="1">
                          <a:spLocks noChangeArrowheads="1"/>
                        </wps:cNvSpPr>
                        <wps:spPr bwMode="auto">
                          <a:xfrm>
                            <a:off x="-20" y="-20"/>
                            <a:ext cx="7320" cy="1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58" w:line="227" w:lineRule="auto"/>
                                <w:ind w:left="20"/>
                                <w:rPr>
                                  <w:rFonts w:ascii="宋体" w:eastAsia="宋体" w:hAnsi="宋体" w:cs="宋体"/>
                                  <w:sz w:val="20"/>
                                  <w:szCs w:val="20"/>
                                </w:rPr>
                              </w:pPr>
                              <w:r>
                                <w:rPr>
                                  <w:rFonts w:ascii="宋体" w:eastAsia="宋体" w:hAnsi="宋体" w:cs="宋体"/>
                                  <w:spacing w:val="-11"/>
                                  <w:position w:val="1"/>
                                  <w:sz w:val="20"/>
                                  <w:szCs w:val="20"/>
                                </w:rPr>
                                <w:t>米粒</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清</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洗</w:t>
                              </w:r>
                              <w:r>
                                <w:rPr>
                                  <w:rFonts w:ascii="宋体" w:eastAsia="宋体" w:hAnsi="宋体" w:cs="宋体"/>
                                  <w:spacing w:val="-8"/>
                                  <w:position w:val="1"/>
                                  <w:sz w:val="20"/>
                                  <w:szCs w:val="20"/>
                                </w:rPr>
                                <w:t xml:space="preserve"> </w:t>
                              </w:r>
                              <w:r>
                                <w:rPr>
                                  <w:rFonts w:ascii="宋体" w:eastAsia="宋体" w:hAnsi="宋体" w:cs="宋体"/>
                                  <w:spacing w:val="-11"/>
                                  <w:position w:val="1"/>
                                  <w:sz w:val="20"/>
                                  <w:szCs w:val="20"/>
                                </w:rPr>
                                <w:t>→</w:t>
                              </w:r>
                              <w:r>
                                <w:rPr>
                                  <w:rFonts w:ascii="宋体" w:eastAsia="宋体" w:hAnsi="宋体" w:cs="宋体"/>
                                  <w:spacing w:val="-16"/>
                                  <w:position w:val="1"/>
                                  <w:sz w:val="20"/>
                                  <w:szCs w:val="20"/>
                                </w:rPr>
                                <w:t xml:space="preserve"> </w:t>
                              </w:r>
                              <w:r>
                                <w:rPr>
                                  <w:rFonts w:ascii="宋体" w:eastAsia="宋体" w:hAnsi="宋体" w:cs="宋体"/>
                                  <w:spacing w:val="-11"/>
                                  <w:position w:val="1"/>
                                  <w:sz w:val="20"/>
                                  <w:szCs w:val="20"/>
                                </w:rPr>
                                <w:t>浸</w:t>
                              </w:r>
                              <w:r>
                                <w:rPr>
                                  <w:rFonts w:ascii="宋体" w:eastAsia="宋体" w:hAnsi="宋体" w:cs="宋体"/>
                                  <w:spacing w:val="-16"/>
                                  <w:position w:val="1"/>
                                  <w:sz w:val="20"/>
                                  <w:szCs w:val="20"/>
                                </w:rPr>
                                <w:t xml:space="preserve"> </w:t>
                              </w:r>
                              <w:r>
                                <w:rPr>
                                  <w:rFonts w:ascii="宋体" w:eastAsia="宋体" w:hAnsi="宋体" w:cs="宋体"/>
                                  <w:spacing w:val="-11"/>
                                  <w:position w:val="1"/>
                                  <w:sz w:val="20"/>
                                  <w:szCs w:val="20"/>
                                </w:rPr>
                                <w:t>渍</w:t>
                              </w:r>
                              <w:r>
                                <w:rPr>
                                  <w:rFonts w:ascii="宋体" w:eastAsia="宋体" w:hAnsi="宋体" w:cs="宋体"/>
                                  <w:spacing w:val="-8"/>
                                  <w:position w:val="1"/>
                                  <w:sz w:val="20"/>
                                  <w:szCs w:val="20"/>
                                </w:rPr>
                                <w:t xml:space="preserve"> </w:t>
                              </w:r>
                              <w:r>
                                <w:rPr>
                                  <w:rFonts w:ascii="宋体" w:eastAsia="宋体" w:hAnsi="宋体" w:cs="宋体"/>
                                  <w:spacing w:val="-11"/>
                                  <w:position w:val="1"/>
                                  <w:sz w:val="20"/>
                                  <w:szCs w:val="20"/>
                                </w:rPr>
                                <w:t>→</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汽</w:t>
                              </w:r>
                              <w:r>
                                <w:rPr>
                                  <w:rFonts w:ascii="宋体" w:eastAsia="宋体" w:hAnsi="宋体" w:cs="宋体"/>
                                  <w:spacing w:val="-14"/>
                                  <w:position w:val="1"/>
                                  <w:sz w:val="20"/>
                                  <w:szCs w:val="20"/>
                                </w:rPr>
                                <w:t xml:space="preserve"> </w:t>
                              </w:r>
                              <w:r>
                                <w:rPr>
                                  <w:rFonts w:ascii="宋体" w:eastAsia="宋体" w:hAnsi="宋体" w:cs="宋体"/>
                                  <w:spacing w:val="-11"/>
                                  <w:position w:val="1"/>
                                  <w:sz w:val="20"/>
                                  <w:szCs w:val="20"/>
                                </w:rPr>
                                <w:t>蒸</w:t>
                              </w:r>
                              <w:r>
                                <w:rPr>
                                  <w:rFonts w:ascii="宋体" w:eastAsia="宋体" w:hAnsi="宋体" w:cs="宋体"/>
                                  <w:spacing w:val="-72"/>
                                  <w:position w:val="1"/>
                                  <w:sz w:val="20"/>
                                  <w:szCs w:val="20"/>
                                </w:rPr>
                                <w:t xml:space="preserve"> </w:t>
                              </w:r>
                              <w:r>
                                <w:rPr>
                                  <w:rFonts w:ascii="宋体" w:eastAsia="宋体" w:hAnsi="宋体" w:cs="宋体"/>
                                  <w:spacing w:val="-11"/>
                                  <w:sz w:val="20"/>
                                  <w:szCs w:val="20"/>
                                </w:rPr>
                                <w:t>→</w:t>
                              </w:r>
                              <w:r>
                                <w:rPr>
                                  <w:rFonts w:ascii="宋体" w:eastAsia="宋体" w:hAnsi="宋体" w:cs="宋体"/>
                                  <w:spacing w:val="-9"/>
                                  <w:sz w:val="20"/>
                                  <w:szCs w:val="20"/>
                                </w:rPr>
                                <w:t xml:space="preserve"> </w:t>
                              </w:r>
                              <w:r>
                                <w:rPr>
                                  <w:rFonts w:ascii="宋体" w:eastAsia="宋体" w:hAnsi="宋体" w:cs="宋体"/>
                                  <w:spacing w:val="-11"/>
                                  <w:sz w:val="20"/>
                                  <w:szCs w:val="20"/>
                                </w:rPr>
                                <w:t>急</w:t>
                              </w:r>
                              <w:r>
                                <w:rPr>
                                  <w:rFonts w:ascii="宋体" w:eastAsia="宋体" w:hAnsi="宋体" w:cs="宋体"/>
                                  <w:spacing w:val="-16"/>
                                  <w:sz w:val="20"/>
                                  <w:szCs w:val="20"/>
                                </w:rPr>
                                <w:t xml:space="preserve"> </w:t>
                              </w:r>
                              <w:r>
                                <w:rPr>
                                  <w:rFonts w:ascii="宋体" w:eastAsia="宋体" w:hAnsi="宋体" w:cs="宋体"/>
                                  <w:spacing w:val="-11"/>
                                  <w:sz w:val="20"/>
                                  <w:szCs w:val="20"/>
                                </w:rPr>
                                <w:t>速</w:t>
                              </w:r>
                              <w:r>
                                <w:rPr>
                                  <w:rFonts w:ascii="宋体" w:eastAsia="宋体" w:hAnsi="宋体" w:cs="宋体"/>
                                  <w:spacing w:val="-16"/>
                                  <w:sz w:val="20"/>
                                  <w:szCs w:val="20"/>
                                </w:rPr>
                                <w:t xml:space="preserve"> </w:t>
                              </w:r>
                              <w:r>
                                <w:rPr>
                                  <w:rFonts w:ascii="宋体" w:eastAsia="宋体" w:hAnsi="宋体" w:cs="宋体"/>
                                  <w:spacing w:val="-11"/>
                                  <w:sz w:val="20"/>
                                  <w:szCs w:val="20"/>
                                </w:rPr>
                                <w:t>干</w:t>
                              </w:r>
                              <w:r>
                                <w:rPr>
                                  <w:rFonts w:ascii="宋体" w:eastAsia="宋体" w:hAnsi="宋体" w:cs="宋体"/>
                                  <w:spacing w:val="-14"/>
                                  <w:sz w:val="20"/>
                                  <w:szCs w:val="20"/>
                                </w:rPr>
                                <w:t xml:space="preserve"> </w:t>
                              </w:r>
                              <w:r>
                                <w:rPr>
                                  <w:rFonts w:ascii="宋体" w:eastAsia="宋体" w:hAnsi="宋体" w:cs="宋体"/>
                                  <w:spacing w:val="-11"/>
                                  <w:sz w:val="20"/>
                                  <w:szCs w:val="20"/>
                                </w:rPr>
                                <w:t>燥</w:t>
                              </w:r>
                              <w:r>
                                <w:rPr>
                                  <w:rFonts w:ascii="宋体" w:eastAsia="宋体" w:hAnsi="宋体" w:cs="宋体"/>
                                  <w:spacing w:val="-7"/>
                                  <w:sz w:val="20"/>
                                  <w:szCs w:val="20"/>
                                </w:rPr>
                                <w:t xml:space="preserve"> </w:t>
                              </w:r>
                              <w:r>
                                <w:rPr>
                                  <w:rFonts w:ascii="宋体" w:eastAsia="宋体" w:hAnsi="宋体" w:cs="宋体"/>
                                  <w:spacing w:val="-11"/>
                                  <w:sz w:val="20"/>
                                  <w:szCs w:val="20"/>
                                </w:rPr>
                                <w:t>→</w:t>
                              </w:r>
                              <w:r>
                                <w:rPr>
                                  <w:rFonts w:ascii="宋体" w:eastAsia="宋体" w:hAnsi="宋体" w:cs="宋体"/>
                                  <w:spacing w:val="-15"/>
                                  <w:sz w:val="20"/>
                                  <w:szCs w:val="20"/>
                                </w:rPr>
                                <w:t xml:space="preserve"> </w:t>
                              </w:r>
                              <w:r>
                                <w:rPr>
                                  <w:rFonts w:ascii="宋体" w:eastAsia="宋体" w:hAnsi="宋体" w:cs="宋体"/>
                                  <w:spacing w:val="-11"/>
                                  <w:sz w:val="20"/>
                                  <w:szCs w:val="20"/>
                                </w:rPr>
                                <w:t>焙</w:t>
                              </w:r>
                              <w:r>
                                <w:rPr>
                                  <w:rFonts w:ascii="宋体" w:eastAsia="宋体" w:hAnsi="宋体" w:cs="宋体"/>
                                  <w:spacing w:val="-16"/>
                                  <w:sz w:val="20"/>
                                  <w:szCs w:val="20"/>
                                </w:rPr>
                                <w:t xml:space="preserve"> </w:t>
                              </w:r>
                              <w:r>
                                <w:rPr>
                                  <w:rFonts w:ascii="宋体" w:eastAsia="宋体" w:hAnsi="宋体" w:cs="宋体"/>
                                  <w:spacing w:val="-11"/>
                                  <w:sz w:val="20"/>
                                  <w:szCs w:val="20"/>
                                </w:rPr>
                                <w:t>炒</w:t>
                              </w:r>
                              <w:r>
                                <w:rPr>
                                  <w:rFonts w:ascii="宋体" w:eastAsia="宋体" w:hAnsi="宋体" w:cs="宋体"/>
                                  <w:spacing w:val="24"/>
                                  <w:sz w:val="20"/>
                                  <w:szCs w:val="20"/>
                                </w:rPr>
                                <w:t xml:space="preserve">  </w:t>
                              </w:r>
                              <w:r>
                                <w:rPr>
                                  <w:rFonts w:ascii="宋体" w:eastAsia="宋体" w:hAnsi="宋体" w:cs="宋体"/>
                                  <w:spacing w:val="-11"/>
                                  <w:sz w:val="20"/>
                                  <w:szCs w:val="20"/>
                                </w:rPr>
                                <w:t>→</w:t>
                              </w:r>
                              <w:r>
                                <w:rPr>
                                  <w:rFonts w:ascii="宋体" w:eastAsia="宋体" w:hAnsi="宋体" w:cs="宋体"/>
                                  <w:spacing w:val="-65"/>
                                  <w:sz w:val="20"/>
                                  <w:szCs w:val="20"/>
                                </w:rPr>
                                <w:t xml:space="preserve"> </w:t>
                              </w:r>
                              <w:r>
                                <w:rPr>
                                  <w:rFonts w:ascii="宋体" w:eastAsia="宋体" w:hAnsi="宋体" w:cs="宋体"/>
                                  <w:spacing w:val="-11"/>
                                  <w:sz w:val="20"/>
                                  <w:szCs w:val="20"/>
                                </w:rPr>
                                <w:t>→</w:t>
                              </w:r>
                              <w:r>
                                <w:rPr>
                                  <w:rFonts w:ascii="宋体" w:eastAsia="宋体" w:hAnsi="宋体" w:cs="宋体"/>
                                  <w:spacing w:val="-74"/>
                                  <w:sz w:val="20"/>
                                  <w:szCs w:val="20"/>
                                </w:rPr>
                                <w:t xml:space="preserve"> </w:t>
                              </w:r>
                              <w:r>
                                <w:rPr>
                                  <w:rFonts w:ascii="宋体" w:eastAsia="宋体" w:hAnsi="宋体" w:cs="宋体"/>
                                  <w:spacing w:val="-12"/>
                                  <w:sz w:val="20"/>
                                  <w:szCs w:val="20"/>
                                </w:rPr>
                                <w:t>浸吸</w:t>
                              </w:r>
                              <w:r>
                                <w:rPr>
                                  <w:rFonts w:ascii="宋体" w:eastAsia="宋体" w:hAnsi="宋体" w:cs="宋体"/>
                                  <w:spacing w:val="10"/>
                                  <w:sz w:val="20"/>
                                  <w:szCs w:val="20"/>
                                </w:rPr>
                                <w:t xml:space="preserve">   </w:t>
                              </w:r>
                              <w:r>
                                <w:rPr>
                                  <w:rFonts w:ascii="宋体" w:eastAsia="宋体" w:hAnsi="宋体" w:cs="宋体"/>
                                  <w:spacing w:val="-12"/>
                                  <w:sz w:val="20"/>
                                  <w:szCs w:val="20"/>
                                </w:rPr>
                                <w:t>→</w:t>
                              </w:r>
                              <w:r>
                                <w:rPr>
                                  <w:rFonts w:ascii="宋体" w:eastAsia="宋体" w:hAnsi="宋体" w:cs="宋体"/>
                                  <w:spacing w:val="40"/>
                                  <w:sz w:val="20"/>
                                  <w:szCs w:val="20"/>
                                </w:rPr>
                                <w:t xml:space="preserve"> </w:t>
                              </w:r>
                              <w:r>
                                <w:rPr>
                                  <w:rFonts w:ascii="宋体" w:eastAsia="宋体" w:hAnsi="宋体" w:cs="宋体"/>
                                  <w:spacing w:val="-12"/>
                                  <w:sz w:val="20"/>
                                  <w:szCs w:val="20"/>
                                </w:rPr>
                                <w:t>成</w:t>
                              </w:r>
                              <w:r>
                                <w:rPr>
                                  <w:rFonts w:ascii="宋体" w:eastAsia="宋体" w:hAnsi="宋体" w:cs="宋体"/>
                                  <w:spacing w:val="52"/>
                                  <w:sz w:val="20"/>
                                  <w:szCs w:val="20"/>
                                </w:rPr>
                                <w:t xml:space="preserve"> </w:t>
                              </w:r>
                              <w:r>
                                <w:rPr>
                                  <w:rFonts w:ascii="宋体" w:eastAsia="宋体" w:hAnsi="宋体" w:cs="宋体"/>
                                  <w:spacing w:val="-12"/>
                                  <w:sz w:val="20"/>
                                  <w:szCs w:val="20"/>
                                </w:rPr>
                                <w:t>品</w:t>
                              </w:r>
                            </w:p>
                            <w:p w:rsidR="00E86C16" w:rsidRDefault="00E86C16">
                              <w:pPr>
                                <w:spacing w:before="244" w:line="229" w:lineRule="auto"/>
                                <w:ind w:left="440"/>
                                <w:rPr>
                                  <w:rFonts w:ascii="宋体" w:eastAsia="宋体" w:hAnsi="宋体" w:cs="宋体"/>
                                  <w:sz w:val="20"/>
                                  <w:szCs w:val="20"/>
                                </w:rPr>
                              </w:pPr>
                              <w:r>
                                <w:rPr>
                                  <w:rFonts w:ascii="仿宋" w:eastAsia="仿宋" w:hAnsi="仿宋" w:cs="仿宋"/>
                                  <w:spacing w:val="-13"/>
                                  <w:sz w:val="17"/>
                                  <w:szCs w:val="17"/>
                                </w:rPr>
                                <w:t>水</w:t>
                              </w:r>
                              <w:r>
                                <w:rPr>
                                  <w:rFonts w:ascii="仿宋" w:eastAsia="仿宋" w:hAnsi="仿宋" w:cs="仿宋"/>
                                  <w:spacing w:val="2"/>
                                  <w:sz w:val="17"/>
                                  <w:szCs w:val="17"/>
                                </w:rPr>
                                <w:t xml:space="preserve">       </w:t>
                              </w:r>
                              <w:r>
                                <w:rPr>
                                  <w:rFonts w:ascii="宋体" w:eastAsia="宋体" w:hAnsi="宋体" w:cs="宋体"/>
                                  <w:spacing w:val="-13"/>
                                  <w:position w:val="1"/>
                                  <w:sz w:val="17"/>
                                  <w:szCs w:val="17"/>
                                </w:rPr>
                                <w:t>温水3~8h</w:t>
                              </w:r>
                              <w:r>
                                <w:rPr>
                                  <w:rFonts w:ascii="宋体" w:eastAsia="宋体" w:hAnsi="宋体" w:cs="宋体"/>
                                  <w:spacing w:val="30"/>
                                  <w:position w:val="1"/>
                                  <w:sz w:val="17"/>
                                  <w:szCs w:val="17"/>
                                </w:rPr>
                                <w:t xml:space="preserve">  </w:t>
                              </w:r>
                              <w:r>
                                <w:rPr>
                                  <w:rFonts w:ascii="宋体" w:eastAsia="宋体" w:hAnsi="宋体" w:cs="宋体"/>
                                  <w:spacing w:val="-13"/>
                                  <w:sz w:val="20"/>
                                  <w:szCs w:val="20"/>
                                </w:rPr>
                                <w:t>30min</w:t>
                              </w:r>
                              <w:r>
                                <w:rPr>
                                  <w:rFonts w:ascii="宋体" w:eastAsia="宋体" w:hAnsi="宋体" w:cs="宋体"/>
                                  <w:spacing w:val="-8"/>
                                  <w:sz w:val="20"/>
                                  <w:szCs w:val="20"/>
                                </w:rPr>
                                <w:t xml:space="preserve"> </w:t>
                              </w:r>
                              <w:r>
                                <w:rPr>
                                  <w:rFonts w:ascii="宋体" w:eastAsia="宋体" w:hAnsi="宋体" w:cs="宋体"/>
                                  <w:spacing w:val="-13"/>
                                  <w:sz w:val="20"/>
                                  <w:szCs w:val="20"/>
                                </w:rPr>
                                <w:t>80℃热风</w:t>
                              </w:r>
                              <w:r>
                                <w:rPr>
                                  <w:rFonts w:ascii="宋体" w:eastAsia="宋体" w:hAnsi="宋体" w:cs="宋体"/>
                                  <w:spacing w:val="18"/>
                                  <w:sz w:val="20"/>
                                  <w:szCs w:val="20"/>
                                </w:rPr>
                                <w:t xml:space="preserve">     </w:t>
                              </w:r>
                              <w:r>
                                <w:rPr>
                                  <w:rFonts w:ascii="宋体" w:eastAsia="宋体" w:hAnsi="宋体" w:cs="宋体"/>
                                  <w:spacing w:val="-13"/>
                                  <w:sz w:val="20"/>
                                  <w:szCs w:val="20"/>
                                </w:rPr>
                                <w:t>温度稍低于1</w:t>
                              </w:r>
                              <w:r>
                                <w:rPr>
                                  <w:rFonts w:ascii="宋体" w:eastAsia="宋体" w:hAnsi="宋体" w:cs="宋体"/>
                                  <w:spacing w:val="-14"/>
                                  <w:sz w:val="20"/>
                                  <w:szCs w:val="20"/>
                                </w:rPr>
                                <w:t>80℃</w:t>
                              </w:r>
                              <w:r>
                                <w:rPr>
                                  <w:rFonts w:ascii="宋体" w:eastAsia="宋体" w:hAnsi="宋体" w:cs="宋体"/>
                                  <w:spacing w:val="47"/>
                                  <w:sz w:val="20"/>
                                  <w:szCs w:val="20"/>
                                </w:rPr>
                                <w:t xml:space="preserve"> </w:t>
                              </w:r>
                              <w:r>
                                <w:rPr>
                                  <w:rFonts w:ascii="宋体" w:eastAsia="宋体" w:hAnsi="宋体" w:cs="宋体"/>
                                  <w:spacing w:val="-14"/>
                                  <w:sz w:val="20"/>
                                  <w:szCs w:val="20"/>
                                </w:rPr>
                                <w:t>均质</w:t>
                              </w:r>
                            </w:p>
                            <w:p w:rsidR="00E86C16" w:rsidRDefault="00E86C16">
                              <w:pPr>
                                <w:spacing w:before="239" w:line="219" w:lineRule="auto"/>
                                <w:ind w:right="12"/>
                                <w:jc w:val="right"/>
                                <w:rPr>
                                  <w:rFonts w:ascii="宋体" w:eastAsia="宋体" w:hAnsi="宋体" w:cs="宋体"/>
                                  <w:sz w:val="20"/>
                                  <w:szCs w:val="20"/>
                                </w:rPr>
                              </w:pPr>
                              <w:r>
                                <w:rPr>
                                  <w:rFonts w:ascii="宋体" w:eastAsia="宋体" w:hAnsi="宋体" w:cs="宋体"/>
                                  <w:spacing w:val="-19"/>
                                  <w:w w:val="96"/>
                                  <w:sz w:val="20"/>
                                  <w:szCs w:val="20"/>
                                </w:rPr>
                                <w:t>溶解混合▼—强化剂、植物油</w:t>
                              </w:r>
                            </w:p>
                          </w:txbxContent>
                        </wps:txbx>
                        <wps:bodyPr rot="0" vert="horz" wrap="square" lIns="0" tIns="0" rIns="0" bIns="0" anchor="t" anchorCtr="0" upright="1">
                          <a:noAutofit/>
                        </wps:bodyPr>
                      </wps:wsp>
                    </wpg:wgp>
                  </a:graphicData>
                </a:graphic>
              </wp:inline>
            </w:drawing>
          </mc:Choice>
          <mc:Fallback>
            <w:pict>
              <v:group id="Group 37" o:spid="_x0000_s1052" style="width:364.05pt;height:64pt;mso-position-horizontal-relative:char;mso-position-vertical-relative:line" coordsize="7280,1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">
                <v:shape id="Picture 38" o:spid="_x0000_s1053" type="#_x0000_t75" style="position:absolute;left:70;width:7210;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">
                  <v:imagedata r:id="rId226" o:title=""/>
                </v:shape>
                <v:shape id="Text Box 39" o:spid="_x0000_s1054" type="#_x0000_t202" style="position:absolute;left:-20;top:-20;width:732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E86C16" w:rsidRDefault="00E86C16">
                        <w:pPr>
                          <w:spacing w:before="58" w:line="227" w:lineRule="auto"/>
                          <w:ind w:left="20"/>
                          <w:rPr>
                            <w:rFonts w:ascii="宋体" w:eastAsia="宋体" w:hAnsi="宋体" w:cs="宋体"/>
                            <w:sz w:val="20"/>
                            <w:szCs w:val="20"/>
                          </w:rPr>
                        </w:pPr>
                        <w:r>
                          <w:rPr>
                            <w:rFonts w:ascii="宋体" w:eastAsia="宋体" w:hAnsi="宋体" w:cs="宋体"/>
                            <w:spacing w:val="-11"/>
                            <w:position w:val="1"/>
                            <w:sz w:val="20"/>
                            <w:szCs w:val="20"/>
                          </w:rPr>
                          <w:t>米粒</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清</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洗</w:t>
                        </w:r>
                        <w:r>
                          <w:rPr>
                            <w:rFonts w:ascii="宋体" w:eastAsia="宋体" w:hAnsi="宋体" w:cs="宋体"/>
                            <w:spacing w:val="-8"/>
                            <w:position w:val="1"/>
                            <w:sz w:val="20"/>
                            <w:szCs w:val="20"/>
                          </w:rPr>
                          <w:t xml:space="preserve"> </w:t>
                        </w:r>
                        <w:r>
                          <w:rPr>
                            <w:rFonts w:ascii="宋体" w:eastAsia="宋体" w:hAnsi="宋体" w:cs="宋体"/>
                            <w:spacing w:val="-11"/>
                            <w:position w:val="1"/>
                            <w:sz w:val="20"/>
                            <w:szCs w:val="20"/>
                          </w:rPr>
                          <w:t>→</w:t>
                        </w:r>
                        <w:r>
                          <w:rPr>
                            <w:rFonts w:ascii="宋体" w:eastAsia="宋体" w:hAnsi="宋体" w:cs="宋体"/>
                            <w:spacing w:val="-16"/>
                            <w:position w:val="1"/>
                            <w:sz w:val="20"/>
                            <w:szCs w:val="20"/>
                          </w:rPr>
                          <w:t xml:space="preserve"> </w:t>
                        </w:r>
                        <w:r>
                          <w:rPr>
                            <w:rFonts w:ascii="宋体" w:eastAsia="宋体" w:hAnsi="宋体" w:cs="宋体"/>
                            <w:spacing w:val="-11"/>
                            <w:position w:val="1"/>
                            <w:sz w:val="20"/>
                            <w:szCs w:val="20"/>
                          </w:rPr>
                          <w:t>浸</w:t>
                        </w:r>
                        <w:r>
                          <w:rPr>
                            <w:rFonts w:ascii="宋体" w:eastAsia="宋体" w:hAnsi="宋体" w:cs="宋体"/>
                            <w:spacing w:val="-16"/>
                            <w:position w:val="1"/>
                            <w:sz w:val="20"/>
                            <w:szCs w:val="20"/>
                          </w:rPr>
                          <w:t xml:space="preserve"> </w:t>
                        </w:r>
                        <w:r>
                          <w:rPr>
                            <w:rFonts w:ascii="宋体" w:eastAsia="宋体" w:hAnsi="宋体" w:cs="宋体"/>
                            <w:spacing w:val="-11"/>
                            <w:position w:val="1"/>
                            <w:sz w:val="20"/>
                            <w:szCs w:val="20"/>
                          </w:rPr>
                          <w:t>渍</w:t>
                        </w:r>
                        <w:r>
                          <w:rPr>
                            <w:rFonts w:ascii="宋体" w:eastAsia="宋体" w:hAnsi="宋体" w:cs="宋体"/>
                            <w:spacing w:val="-8"/>
                            <w:position w:val="1"/>
                            <w:sz w:val="20"/>
                            <w:szCs w:val="20"/>
                          </w:rPr>
                          <w:t xml:space="preserve"> </w:t>
                        </w:r>
                        <w:r>
                          <w:rPr>
                            <w:rFonts w:ascii="宋体" w:eastAsia="宋体" w:hAnsi="宋体" w:cs="宋体"/>
                            <w:spacing w:val="-11"/>
                            <w:position w:val="1"/>
                            <w:sz w:val="20"/>
                            <w:szCs w:val="20"/>
                          </w:rPr>
                          <w:t>→</w:t>
                        </w:r>
                        <w:r>
                          <w:rPr>
                            <w:rFonts w:ascii="宋体" w:eastAsia="宋体" w:hAnsi="宋体" w:cs="宋体"/>
                            <w:spacing w:val="-17"/>
                            <w:position w:val="1"/>
                            <w:sz w:val="20"/>
                            <w:szCs w:val="20"/>
                          </w:rPr>
                          <w:t xml:space="preserve"> </w:t>
                        </w:r>
                        <w:r>
                          <w:rPr>
                            <w:rFonts w:ascii="宋体" w:eastAsia="宋体" w:hAnsi="宋体" w:cs="宋体"/>
                            <w:spacing w:val="-11"/>
                            <w:position w:val="1"/>
                            <w:sz w:val="20"/>
                            <w:szCs w:val="20"/>
                          </w:rPr>
                          <w:t>汽</w:t>
                        </w:r>
                        <w:r>
                          <w:rPr>
                            <w:rFonts w:ascii="宋体" w:eastAsia="宋体" w:hAnsi="宋体" w:cs="宋体"/>
                            <w:spacing w:val="-14"/>
                            <w:position w:val="1"/>
                            <w:sz w:val="20"/>
                            <w:szCs w:val="20"/>
                          </w:rPr>
                          <w:t xml:space="preserve"> </w:t>
                        </w:r>
                        <w:r>
                          <w:rPr>
                            <w:rFonts w:ascii="宋体" w:eastAsia="宋体" w:hAnsi="宋体" w:cs="宋体"/>
                            <w:spacing w:val="-11"/>
                            <w:position w:val="1"/>
                            <w:sz w:val="20"/>
                            <w:szCs w:val="20"/>
                          </w:rPr>
                          <w:t>蒸</w:t>
                        </w:r>
                        <w:r>
                          <w:rPr>
                            <w:rFonts w:ascii="宋体" w:eastAsia="宋体" w:hAnsi="宋体" w:cs="宋体"/>
                            <w:spacing w:val="-72"/>
                            <w:position w:val="1"/>
                            <w:sz w:val="20"/>
                            <w:szCs w:val="20"/>
                          </w:rPr>
                          <w:t xml:space="preserve"> </w:t>
                        </w:r>
                        <w:r>
                          <w:rPr>
                            <w:rFonts w:ascii="宋体" w:eastAsia="宋体" w:hAnsi="宋体" w:cs="宋体"/>
                            <w:spacing w:val="-11"/>
                            <w:sz w:val="20"/>
                            <w:szCs w:val="20"/>
                          </w:rPr>
                          <w:t>→</w:t>
                        </w:r>
                        <w:r>
                          <w:rPr>
                            <w:rFonts w:ascii="宋体" w:eastAsia="宋体" w:hAnsi="宋体" w:cs="宋体"/>
                            <w:spacing w:val="-9"/>
                            <w:sz w:val="20"/>
                            <w:szCs w:val="20"/>
                          </w:rPr>
                          <w:t xml:space="preserve"> </w:t>
                        </w:r>
                        <w:r>
                          <w:rPr>
                            <w:rFonts w:ascii="宋体" w:eastAsia="宋体" w:hAnsi="宋体" w:cs="宋体"/>
                            <w:spacing w:val="-11"/>
                            <w:sz w:val="20"/>
                            <w:szCs w:val="20"/>
                          </w:rPr>
                          <w:t>急</w:t>
                        </w:r>
                        <w:r>
                          <w:rPr>
                            <w:rFonts w:ascii="宋体" w:eastAsia="宋体" w:hAnsi="宋体" w:cs="宋体"/>
                            <w:spacing w:val="-16"/>
                            <w:sz w:val="20"/>
                            <w:szCs w:val="20"/>
                          </w:rPr>
                          <w:t xml:space="preserve"> </w:t>
                        </w:r>
                        <w:r>
                          <w:rPr>
                            <w:rFonts w:ascii="宋体" w:eastAsia="宋体" w:hAnsi="宋体" w:cs="宋体"/>
                            <w:spacing w:val="-11"/>
                            <w:sz w:val="20"/>
                            <w:szCs w:val="20"/>
                          </w:rPr>
                          <w:t>速</w:t>
                        </w:r>
                        <w:r>
                          <w:rPr>
                            <w:rFonts w:ascii="宋体" w:eastAsia="宋体" w:hAnsi="宋体" w:cs="宋体"/>
                            <w:spacing w:val="-16"/>
                            <w:sz w:val="20"/>
                            <w:szCs w:val="20"/>
                          </w:rPr>
                          <w:t xml:space="preserve"> </w:t>
                        </w:r>
                        <w:r>
                          <w:rPr>
                            <w:rFonts w:ascii="宋体" w:eastAsia="宋体" w:hAnsi="宋体" w:cs="宋体"/>
                            <w:spacing w:val="-11"/>
                            <w:sz w:val="20"/>
                            <w:szCs w:val="20"/>
                          </w:rPr>
                          <w:t>干</w:t>
                        </w:r>
                        <w:r>
                          <w:rPr>
                            <w:rFonts w:ascii="宋体" w:eastAsia="宋体" w:hAnsi="宋体" w:cs="宋体"/>
                            <w:spacing w:val="-14"/>
                            <w:sz w:val="20"/>
                            <w:szCs w:val="20"/>
                          </w:rPr>
                          <w:t xml:space="preserve"> </w:t>
                        </w:r>
                        <w:r>
                          <w:rPr>
                            <w:rFonts w:ascii="宋体" w:eastAsia="宋体" w:hAnsi="宋体" w:cs="宋体"/>
                            <w:spacing w:val="-11"/>
                            <w:sz w:val="20"/>
                            <w:szCs w:val="20"/>
                          </w:rPr>
                          <w:t>燥</w:t>
                        </w:r>
                        <w:r>
                          <w:rPr>
                            <w:rFonts w:ascii="宋体" w:eastAsia="宋体" w:hAnsi="宋体" w:cs="宋体"/>
                            <w:spacing w:val="-7"/>
                            <w:sz w:val="20"/>
                            <w:szCs w:val="20"/>
                          </w:rPr>
                          <w:t xml:space="preserve"> </w:t>
                        </w:r>
                        <w:r>
                          <w:rPr>
                            <w:rFonts w:ascii="宋体" w:eastAsia="宋体" w:hAnsi="宋体" w:cs="宋体"/>
                            <w:spacing w:val="-11"/>
                            <w:sz w:val="20"/>
                            <w:szCs w:val="20"/>
                          </w:rPr>
                          <w:t>→</w:t>
                        </w:r>
                        <w:r>
                          <w:rPr>
                            <w:rFonts w:ascii="宋体" w:eastAsia="宋体" w:hAnsi="宋体" w:cs="宋体"/>
                            <w:spacing w:val="-15"/>
                            <w:sz w:val="20"/>
                            <w:szCs w:val="20"/>
                          </w:rPr>
                          <w:t xml:space="preserve"> </w:t>
                        </w:r>
                        <w:r>
                          <w:rPr>
                            <w:rFonts w:ascii="宋体" w:eastAsia="宋体" w:hAnsi="宋体" w:cs="宋体"/>
                            <w:spacing w:val="-11"/>
                            <w:sz w:val="20"/>
                            <w:szCs w:val="20"/>
                          </w:rPr>
                          <w:t>焙</w:t>
                        </w:r>
                        <w:r>
                          <w:rPr>
                            <w:rFonts w:ascii="宋体" w:eastAsia="宋体" w:hAnsi="宋体" w:cs="宋体"/>
                            <w:spacing w:val="-16"/>
                            <w:sz w:val="20"/>
                            <w:szCs w:val="20"/>
                          </w:rPr>
                          <w:t xml:space="preserve"> </w:t>
                        </w:r>
                        <w:r>
                          <w:rPr>
                            <w:rFonts w:ascii="宋体" w:eastAsia="宋体" w:hAnsi="宋体" w:cs="宋体"/>
                            <w:spacing w:val="-11"/>
                            <w:sz w:val="20"/>
                            <w:szCs w:val="20"/>
                          </w:rPr>
                          <w:t>炒</w:t>
                        </w:r>
                        <w:r>
                          <w:rPr>
                            <w:rFonts w:ascii="宋体" w:eastAsia="宋体" w:hAnsi="宋体" w:cs="宋体"/>
                            <w:spacing w:val="24"/>
                            <w:sz w:val="20"/>
                            <w:szCs w:val="20"/>
                          </w:rPr>
                          <w:t xml:space="preserve">  </w:t>
                        </w:r>
                        <w:r>
                          <w:rPr>
                            <w:rFonts w:ascii="宋体" w:eastAsia="宋体" w:hAnsi="宋体" w:cs="宋体"/>
                            <w:spacing w:val="-11"/>
                            <w:sz w:val="20"/>
                            <w:szCs w:val="20"/>
                          </w:rPr>
                          <w:t>→</w:t>
                        </w:r>
                        <w:r>
                          <w:rPr>
                            <w:rFonts w:ascii="宋体" w:eastAsia="宋体" w:hAnsi="宋体" w:cs="宋体"/>
                            <w:spacing w:val="-65"/>
                            <w:sz w:val="20"/>
                            <w:szCs w:val="20"/>
                          </w:rPr>
                          <w:t xml:space="preserve"> </w:t>
                        </w:r>
                        <w:r>
                          <w:rPr>
                            <w:rFonts w:ascii="宋体" w:eastAsia="宋体" w:hAnsi="宋体" w:cs="宋体"/>
                            <w:spacing w:val="-11"/>
                            <w:sz w:val="20"/>
                            <w:szCs w:val="20"/>
                          </w:rPr>
                          <w:t>→</w:t>
                        </w:r>
                        <w:r>
                          <w:rPr>
                            <w:rFonts w:ascii="宋体" w:eastAsia="宋体" w:hAnsi="宋体" w:cs="宋体"/>
                            <w:spacing w:val="-74"/>
                            <w:sz w:val="20"/>
                            <w:szCs w:val="20"/>
                          </w:rPr>
                          <w:t xml:space="preserve"> </w:t>
                        </w:r>
                        <w:r>
                          <w:rPr>
                            <w:rFonts w:ascii="宋体" w:eastAsia="宋体" w:hAnsi="宋体" w:cs="宋体"/>
                            <w:spacing w:val="-12"/>
                            <w:sz w:val="20"/>
                            <w:szCs w:val="20"/>
                          </w:rPr>
                          <w:t>浸吸</w:t>
                        </w:r>
                        <w:r>
                          <w:rPr>
                            <w:rFonts w:ascii="宋体" w:eastAsia="宋体" w:hAnsi="宋体" w:cs="宋体"/>
                            <w:spacing w:val="10"/>
                            <w:sz w:val="20"/>
                            <w:szCs w:val="20"/>
                          </w:rPr>
                          <w:t xml:space="preserve">   </w:t>
                        </w:r>
                        <w:r>
                          <w:rPr>
                            <w:rFonts w:ascii="宋体" w:eastAsia="宋体" w:hAnsi="宋体" w:cs="宋体"/>
                            <w:spacing w:val="-12"/>
                            <w:sz w:val="20"/>
                            <w:szCs w:val="20"/>
                          </w:rPr>
                          <w:t>→</w:t>
                        </w:r>
                        <w:r>
                          <w:rPr>
                            <w:rFonts w:ascii="宋体" w:eastAsia="宋体" w:hAnsi="宋体" w:cs="宋体"/>
                            <w:spacing w:val="40"/>
                            <w:sz w:val="20"/>
                            <w:szCs w:val="20"/>
                          </w:rPr>
                          <w:t xml:space="preserve"> </w:t>
                        </w:r>
                        <w:r>
                          <w:rPr>
                            <w:rFonts w:ascii="宋体" w:eastAsia="宋体" w:hAnsi="宋体" w:cs="宋体"/>
                            <w:spacing w:val="-12"/>
                            <w:sz w:val="20"/>
                            <w:szCs w:val="20"/>
                          </w:rPr>
                          <w:t>成</w:t>
                        </w:r>
                        <w:r>
                          <w:rPr>
                            <w:rFonts w:ascii="宋体" w:eastAsia="宋体" w:hAnsi="宋体" w:cs="宋体"/>
                            <w:spacing w:val="52"/>
                            <w:sz w:val="20"/>
                            <w:szCs w:val="20"/>
                          </w:rPr>
                          <w:t xml:space="preserve"> </w:t>
                        </w:r>
                        <w:r>
                          <w:rPr>
                            <w:rFonts w:ascii="宋体" w:eastAsia="宋体" w:hAnsi="宋体" w:cs="宋体"/>
                            <w:spacing w:val="-12"/>
                            <w:sz w:val="20"/>
                            <w:szCs w:val="20"/>
                          </w:rPr>
                          <w:t>品</w:t>
                        </w:r>
                      </w:p>
                      <w:p w:rsidR="00E86C16" w:rsidRDefault="00E86C16">
                        <w:pPr>
                          <w:spacing w:before="244" w:line="229" w:lineRule="auto"/>
                          <w:ind w:left="440"/>
                          <w:rPr>
                            <w:rFonts w:ascii="宋体" w:eastAsia="宋体" w:hAnsi="宋体" w:cs="宋体"/>
                            <w:sz w:val="20"/>
                            <w:szCs w:val="20"/>
                          </w:rPr>
                        </w:pPr>
                        <w:r>
                          <w:rPr>
                            <w:rFonts w:ascii="仿宋" w:eastAsia="仿宋" w:hAnsi="仿宋" w:cs="仿宋"/>
                            <w:spacing w:val="-13"/>
                            <w:sz w:val="17"/>
                            <w:szCs w:val="17"/>
                          </w:rPr>
                          <w:t>水</w:t>
                        </w:r>
                        <w:r>
                          <w:rPr>
                            <w:rFonts w:ascii="仿宋" w:eastAsia="仿宋" w:hAnsi="仿宋" w:cs="仿宋"/>
                            <w:spacing w:val="2"/>
                            <w:sz w:val="17"/>
                            <w:szCs w:val="17"/>
                          </w:rPr>
                          <w:t xml:space="preserve">       </w:t>
                        </w:r>
                        <w:r>
                          <w:rPr>
                            <w:rFonts w:ascii="宋体" w:eastAsia="宋体" w:hAnsi="宋体" w:cs="宋体"/>
                            <w:spacing w:val="-13"/>
                            <w:position w:val="1"/>
                            <w:sz w:val="17"/>
                            <w:szCs w:val="17"/>
                          </w:rPr>
                          <w:t>温水3~8h</w:t>
                        </w:r>
                        <w:r>
                          <w:rPr>
                            <w:rFonts w:ascii="宋体" w:eastAsia="宋体" w:hAnsi="宋体" w:cs="宋体"/>
                            <w:spacing w:val="30"/>
                            <w:position w:val="1"/>
                            <w:sz w:val="17"/>
                            <w:szCs w:val="17"/>
                          </w:rPr>
                          <w:t xml:space="preserve">  </w:t>
                        </w:r>
                        <w:r>
                          <w:rPr>
                            <w:rFonts w:ascii="宋体" w:eastAsia="宋体" w:hAnsi="宋体" w:cs="宋体"/>
                            <w:spacing w:val="-13"/>
                            <w:sz w:val="20"/>
                            <w:szCs w:val="20"/>
                          </w:rPr>
                          <w:t>30min</w:t>
                        </w:r>
                        <w:r>
                          <w:rPr>
                            <w:rFonts w:ascii="宋体" w:eastAsia="宋体" w:hAnsi="宋体" w:cs="宋体"/>
                            <w:spacing w:val="-8"/>
                            <w:sz w:val="20"/>
                            <w:szCs w:val="20"/>
                          </w:rPr>
                          <w:t xml:space="preserve"> </w:t>
                        </w:r>
                        <w:r>
                          <w:rPr>
                            <w:rFonts w:ascii="宋体" w:eastAsia="宋体" w:hAnsi="宋体" w:cs="宋体"/>
                            <w:spacing w:val="-13"/>
                            <w:sz w:val="20"/>
                            <w:szCs w:val="20"/>
                          </w:rPr>
                          <w:t>80℃热风</w:t>
                        </w:r>
                        <w:r>
                          <w:rPr>
                            <w:rFonts w:ascii="宋体" w:eastAsia="宋体" w:hAnsi="宋体" w:cs="宋体"/>
                            <w:spacing w:val="18"/>
                            <w:sz w:val="20"/>
                            <w:szCs w:val="20"/>
                          </w:rPr>
                          <w:t xml:space="preserve">     </w:t>
                        </w:r>
                        <w:r>
                          <w:rPr>
                            <w:rFonts w:ascii="宋体" w:eastAsia="宋体" w:hAnsi="宋体" w:cs="宋体"/>
                            <w:spacing w:val="-13"/>
                            <w:sz w:val="20"/>
                            <w:szCs w:val="20"/>
                          </w:rPr>
                          <w:t>温度稍低于1</w:t>
                        </w:r>
                        <w:r>
                          <w:rPr>
                            <w:rFonts w:ascii="宋体" w:eastAsia="宋体" w:hAnsi="宋体" w:cs="宋体"/>
                            <w:spacing w:val="-14"/>
                            <w:sz w:val="20"/>
                            <w:szCs w:val="20"/>
                          </w:rPr>
                          <w:t>80℃</w:t>
                        </w:r>
                        <w:r>
                          <w:rPr>
                            <w:rFonts w:ascii="宋体" w:eastAsia="宋体" w:hAnsi="宋体" w:cs="宋体"/>
                            <w:spacing w:val="47"/>
                            <w:sz w:val="20"/>
                            <w:szCs w:val="20"/>
                          </w:rPr>
                          <w:t xml:space="preserve"> </w:t>
                        </w:r>
                        <w:r>
                          <w:rPr>
                            <w:rFonts w:ascii="宋体" w:eastAsia="宋体" w:hAnsi="宋体" w:cs="宋体"/>
                            <w:spacing w:val="-14"/>
                            <w:sz w:val="20"/>
                            <w:szCs w:val="20"/>
                          </w:rPr>
                          <w:t>均质</w:t>
                        </w:r>
                      </w:p>
                      <w:p w:rsidR="00E86C16" w:rsidRDefault="00E86C16">
                        <w:pPr>
                          <w:spacing w:before="239" w:line="219" w:lineRule="auto"/>
                          <w:ind w:right="12"/>
                          <w:jc w:val="right"/>
                          <w:rPr>
                            <w:rFonts w:ascii="宋体" w:eastAsia="宋体" w:hAnsi="宋体" w:cs="宋体"/>
                            <w:sz w:val="20"/>
                            <w:szCs w:val="20"/>
                          </w:rPr>
                        </w:pPr>
                        <w:r>
                          <w:rPr>
                            <w:rFonts w:ascii="宋体" w:eastAsia="宋体" w:hAnsi="宋体" w:cs="宋体"/>
                            <w:spacing w:val="-19"/>
                            <w:w w:val="96"/>
                            <w:sz w:val="20"/>
                            <w:szCs w:val="20"/>
                          </w:rPr>
                          <w:t>溶解混合▼—强化剂、植物油</w:t>
                        </w:r>
                      </w:p>
                    </w:txbxContent>
                  </v:textbox>
                </v:shape>
                <w10:anchorlock/>
              </v:group>
            </w:pict>
          </mc:Fallback>
        </mc:AlternateContent>
      </w:r>
    </w:p>
    <w:p w:rsidR="00EA40A3" w:rsidRDefault="00E86C16">
      <w:pPr>
        <w:spacing w:before="135" w:line="270" w:lineRule="auto"/>
        <w:ind w:right="42" w:firstLine="420"/>
        <w:jc w:val="both"/>
        <w:rPr>
          <w:rFonts w:ascii="宋体" w:eastAsia="宋体" w:hAnsi="宋体" w:cs="宋体"/>
          <w:sz w:val="20"/>
          <w:szCs w:val="20"/>
        </w:rPr>
      </w:pPr>
      <w:r>
        <w:rPr>
          <w:rFonts w:ascii="宋体" w:eastAsia="宋体" w:hAnsi="宋体" w:cs="宋体"/>
          <w:spacing w:val="22"/>
          <w:sz w:val="20"/>
          <w:szCs w:val="20"/>
        </w:rPr>
        <w:t>(2)富维营养米粉的制造我国广东地区缺铁性贫血发病率达73%,针对这</w:t>
      </w:r>
      <w:r>
        <w:rPr>
          <w:rFonts w:ascii="宋体" w:eastAsia="宋体" w:hAnsi="宋体" w:cs="宋体"/>
          <w:sz w:val="20"/>
          <w:szCs w:val="20"/>
        </w:rPr>
        <w:t xml:space="preserve"> </w:t>
      </w:r>
      <w:r>
        <w:rPr>
          <w:rFonts w:ascii="宋体" w:eastAsia="宋体" w:hAnsi="宋体" w:cs="宋体"/>
          <w:spacing w:val="14"/>
          <w:sz w:val="20"/>
          <w:szCs w:val="20"/>
        </w:rPr>
        <w:t>种情况，广州市医药卫生研究所开发出富维营养米粉供应市场</w:t>
      </w:r>
      <w:r>
        <w:rPr>
          <w:rFonts w:ascii="宋体" w:eastAsia="宋体" w:hAnsi="宋体" w:cs="宋体"/>
          <w:spacing w:val="13"/>
          <w:sz w:val="20"/>
          <w:szCs w:val="20"/>
        </w:rPr>
        <w:t>，受到消费者欢</w:t>
      </w:r>
      <w:r>
        <w:rPr>
          <w:rFonts w:ascii="宋体" w:eastAsia="宋体" w:hAnsi="宋体" w:cs="宋体"/>
          <w:sz w:val="20"/>
          <w:szCs w:val="20"/>
        </w:rPr>
        <w:t xml:space="preserve"> </w:t>
      </w:r>
      <w:r>
        <w:rPr>
          <w:rFonts w:ascii="宋体" w:eastAsia="宋体" w:hAnsi="宋体" w:cs="宋体"/>
          <w:spacing w:val="8"/>
          <w:sz w:val="20"/>
          <w:szCs w:val="20"/>
        </w:rPr>
        <w:t>迎。该产品是在广东人爱吃的排米粉中强化维生素</w:t>
      </w:r>
      <w:r>
        <w:rPr>
          <w:rFonts w:ascii="宋体" w:eastAsia="宋体" w:hAnsi="宋体" w:cs="宋体"/>
          <w:spacing w:val="-60"/>
          <w:sz w:val="20"/>
          <w:szCs w:val="20"/>
        </w:rPr>
        <w:t xml:space="preserve"> </w:t>
      </w:r>
      <w:r>
        <w:rPr>
          <w:rFonts w:ascii="宋体" w:eastAsia="宋体" w:hAnsi="宋体" w:cs="宋体"/>
          <w:spacing w:val="8"/>
          <w:sz w:val="20"/>
          <w:szCs w:val="20"/>
        </w:rPr>
        <w:t>B</w:t>
      </w:r>
      <w:r>
        <w:rPr>
          <w:rFonts w:ascii="Calibri" w:eastAsia="Calibri" w:hAnsi="Calibri" w:cs="Calibri"/>
          <w:spacing w:val="8"/>
          <w:sz w:val="20"/>
          <w:szCs w:val="20"/>
        </w:rPr>
        <w:t>₁</w:t>
      </w:r>
      <w:r>
        <w:rPr>
          <w:rFonts w:ascii="Calibri" w:eastAsia="Calibri" w:hAnsi="Calibri" w:cs="Calibri"/>
          <w:spacing w:val="-24"/>
          <w:sz w:val="20"/>
          <w:szCs w:val="20"/>
        </w:rPr>
        <w:t xml:space="preserve"> </w:t>
      </w:r>
      <w:r>
        <w:rPr>
          <w:rFonts w:ascii="宋体" w:eastAsia="宋体" w:hAnsi="宋体" w:cs="宋体"/>
          <w:spacing w:val="8"/>
          <w:sz w:val="20"/>
          <w:szCs w:val="20"/>
        </w:rPr>
        <w:t>、</w:t>
      </w:r>
      <w:r>
        <w:rPr>
          <w:rFonts w:ascii="宋体" w:eastAsia="宋体" w:hAnsi="宋体" w:cs="宋体"/>
          <w:spacing w:val="-26"/>
          <w:sz w:val="20"/>
          <w:szCs w:val="20"/>
        </w:rPr>
        <w:t xml:space="preserve"> </w:t>
      </w:r>
      <w:r>
        <w:rPr>
          <w:rFonts w:ascii="宋体" w:eastAsia="宋体" w:hAnsi="宋体" w:cs="宋体"/>
          <w:spacing w:val="8"/>
          <w:sz w:val="20"/>
          <w:szCs w:val="20"/>
        </w:rPr>
        <w:t>维</w:t>
      </w:r>
      <w:r>
        <w:rPr>
          <w:rFonts w:ascii="宋体" w:eastAsia="宋体" w:hAnsi="宋体" w:cs="宋体"/>
          <w:spacing w:val="7"/>
          <w:sz w:val="20"/>
          <w:szCs w:val="20"/>
        </w:rPr>
        <w:t>生素</w:t>
      </w:r>
      <w:r>
        <w:rPr>
          <w:rFonts w:ascii="宋体" w:eastAsia="宋体" w:hAnsi="宋体" w:cs="宋体"/>
          <w:spacing w:val="-59"/>
          <w:sz w:val="20"/>
          <w:szCs w:val="20"/>
        </w:rPr>
        <w:t xml:space="preserve"> </w:t>
      </w:r>
      <w:r>
        <w:rPr>
          <w:rFonts w:ascii="宋体" w:eastAsia="宋体" w:hAnsi="宋体" w:cs="宋体"/>
          <w:spacing w:val="7"/>
          <w:sz w:val="20"/>
          <w:szCs w:val="20"/>
        </w:rPr>
        <w:t>B2</w:t>
      </w:r>
      <w:r>
        <w:rPr>
          <w:rFonts w:ascii="宋体" w:eastAsia="宋体" w:hAnsi="宋体" w:cs="宋体"/>
          <w:spacing w:val="-27"/>
          <w:sz w:val="20"/>
          <w:szCs w:val="20"/>
        </w:rPr>
        <w:t xml:space="preserve"> </w:t>
      </w:r>
      <w:r>
        <w:rPr>
          <w:rFonts w:ascii="宋体" w:eastAsia="宋体" w:hAnsi="宋体" w:cs="宋体"/>
          <w:spacing w:val="7"/>
          <w:sz w:val="20"/>
          <w:szCs w:val="20"/>
        </w:rPr>
        <w:t>及二价铁，以</w:t>
      </w:r>
      <w:r>
        <w:rPr>
          <w:rFonts w:ascii="宋体" w:eastAsia="宋体" w:hAnsi="宋体" w:cs="宋体"/>
          <w:sz w:val="20"/>
          <w:szCs w:val="20"/>
        </w:rPr>
        <w:t xml:space="preserve"> </w:t>
      </w:r>
      <w:r>
        <w:rPr>
          <w:rFonts w:ascii="宋体" w:eastAsia="宋体" w:hAnsi="宋体" w:cs="宋体"/>
          <w:spacing w:val="5"/>
          <w:sz w:val="20"/>
          <w:szCs w:val="20"/>
        </w:rPr>
        <w:t>达到防治贫血的目的。其生产工艺流程如下：</w:t>
      </w:r>
    </w:p>
    <w:p w:rsidR="00EA40A3" w:rsidRDefault="00E86C16">
      <w:pPr>
        <w:spacing w:before="132" w:line="212" w:lineRule="auto"/>
        <w:rPr>
          <w:rFonts w:ascii="宋体" w:eastAsia="宋体" w:hAnsi="宋体" w:cs="宋体"/>
          <w:sz w:val="20"/>
          <w:szCs w:val="20"/>
        </w:rPr>
      </w:pPr>
      <w:r>
        <w:rPr>
          <w:noProof/>
        </w:rPr>
        <w:drawing>
          <wp:anchor distT="0" distB="0" distL="0" distR="0" simplePos="0" relativeHeight="251706368" behindDoc="1" locked="0" layoutInCell="1" allowOverlap="1">
            <wp:simplePos x="0" y="0"/>
            <wp:positionH relativeFrom="column">
              <wp:posOffset>107950</wp:posOffset>
            </wp:positionH>
            <wp:positionV relativeFrom="paragraph">
              <wp:posOffset>53340</wp:posOffset>
            </wp:positionV>
            <wp:extent cx="4533900" cy="342900"/>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27"/>
                    <a:stretch>
                      <a:fillRect/>
                    </a:stretch>
                  </pic:blipFill>
                  <pic:spPr>
                    <a:xfrm>
                      <a:off x="0" y="0"/>
                      <a:ext cx="4533937" cy="342906"/>
                    </a:xfrm>
                    <a:prstGeom prst="rect">
                      <a:avLst/>
                    </a:prstGeom>
                  </pic:spPr>
                </pic:pic>
              </a:graphicData>
            </a:graphic>
          </wp:anchor>
        </w:drawing>
      </w:r>
      <w:r>
        <w:rPr>
          <w:rFonts w:ascii="宋体" w:eastAsia="宋体" w:hAnsi="宋体" w:cs="宋体"/>
          <w:spacing w:val="1"/>
          <w:position w:val="1"/>
          <w:sz w:val="20"/>
          <w:szCs w:val="20"/>
        </w:rPr>
        <w:t>大米</w:t>
      </w:r>
      <w:r>
        <w:rPr>
          <w:rFonts w:ascii="宋体" w:eastAsia="宋体" w:hAnsi="宋体" w:cs="宋体"/>
          <w:spacing w:val="-58"/>
          <w:position w:val="1"/>
          <w:sz w:val="20"/>
          <w:szCs w:val="20"/>
        </w:rPr>
        <w:t xml:space="preserve"> </w:t>
      </w:r>
      <w:r>
        <w:rPr>
          <w:rFonts w:ascii="宋体" w:eastAsia="宋体" w:hAnsi="宋体" w:cs="宋体"/>
          <w:spacing w:val="1"/>
          <w:position w:val="1"/>
          <w:sz w:val="20"/>
          <w:szCs w:val="20"/>
        </w:rPr>
        <w:t>→</w:t>
      </w:r>
      <w:r>
        <w:rPr>
          <w:rFonts w:ascii="宋体" w:eastAsia="宋体" w:hAnsi="宋体" w:cs="宋体"/>
          <w:spacing w:val="-65"/>
          <w:position w:val="1"/>
          <w:sz w:val="20"/>
          <w:szCs w:val="20"/>
        </w:rPr>
        <w:t xml:space="preserve"> </w:t>
      </w:r>
      <w:r>
        <w:rPr>
          <w:rFonts w:ascii="宋体" w:eastAsia="宋体" w:hAnsi="宋体" w:cs="宋体"/>
          <w:spacing w:val="1"/>
          <w:position w:val="1"/>
          <w:sz w:val="20"/>
          <w:szCs w:val="20"/>
        </w:rPr>
        <w:t>淘洗</w:t>
      </w:r>
      <w:r>
        <w:rPr>
          <w:rFonts w:ascii="宋体" w:eastAsia="宋体" w:hAnsi="宋体" w:cs="宋体"/>
          <w:spacing w:val="-57"/>
          <w:position w:val="1"/>
          <w:sz w:val="20"/>
          <w:szCs w:val="20"/>
        </w:rPr>
        <w:t xml:space="preserve"> </w:t>
      </w:r>
      <w:r>
        <w:rPr>
          <w:rFonts w:ascii="宋体" w:eastAsia="宋体" w:hAnsi="宋体" w:cs="宋体"/>
          <w:spacing w:val="1"/>
          <w:position w:val="1"/>
          <w:sz w:val="20"/>
          <w:szCs w:val="20"/>
        </w:rPr>
        <w:t>→</w:t>
      </w:r>
      <w:r>
        <w:rPr>
          <w:rFonts w:ascii="宋体" w:eastAsia="宋体" w:hAnsi="宋体" w:cs="宋体"/>
          <w:spacing w:val="-64"/>
          <w:position w:val="1"/>
          <w:sz w:val="20"/>
          <w:szCs w:val="20"/>
        </w:rPr>
        <w:t xml:space="preserve"> </w:t>
      </w:r>
      <w:r>
        <w:rPr>
          <w:rFonts w:ascii="宋体" w:eastAsia="宋体" w:hAnsi="宋体" w:cs="宋体"/>
          <w:spacing w:val="1"/>
          <w:position w:val="1"/>
          <w:sz w:val="20"/>
          <w:szCs w:val="20"/>
        </w:rPr>
        <w:t>磨浆</w:t>
      </w:r>
      <w:r>
        <w:rPr>
          <w:rFonts w:ascii="宋体" w:eastAsia="宋体" w:hAnsi="宋体" w:cs="宋体"/>
          <w:spacing w:val="-57"/>
          <w:position w:val="1"/>
          <w:sz w:val="20"/>
          <w:szCs w:val="20"/>
        </w:rPr>
        <w:t xml:space="preserve"> </w:t>
      </w:r>
      <w:r>
        <w:rPr>
          <w:rFonts w:ascii="宋体" w:eastAsia="宋体" w:hAnsi="宋体" w:cs="宋体"/>
          <w:spacing w:val="1"/>
          <w:position w:val="1"/>
          <w:sz w:val="20"/>
          <w:szCs w:val="20"/>
        </w:rPr>
        <w:t>→</w:t>
      </w:r>
      <w:r>
        <w:rPr>
          <w:rFonts w:ascii="宋体" w:eastAsia="宋体" w:hAnsi="宋体" w:cs="宋体"/>
          <w:spacing w:val="-66"/>
          <w:position w:val="1"/>
          <w:sz w:val="20"/>
          <w:szCs w:val="20"/>
        </w:rPr>
        <w:t xml:space="preserve"> </w:t>
      </w:r>
      <w:r>
        <w:rPr>
          <w:rFonts w:ascii="宋体" w:eastAsia="宋体" w:hAnsi="宋体" w:cs="宋体"/>
          <w:spacing w:val="1"/>
          <w:position w:val="1"/>
          <w:sz w:val="20"/>
          <w:szCs w:val="20"/>
        </w:rPr>
        <w:t>压滤</w:t>
      </w:r>
      <w:r>
        <w:rPr>
          <w:rFonts w:ascii="宋体" w:eastAsia="宋体" w:hAnsi="宋体" w:cs="宋体"/>
          <w:spacing w:val="19"/>
          <w:position w:val="1"/>
          <w:sz w:val="20"/>
          <w:szCs w:val="20"/>
        </w:rPr>
        <w:t xml:space="preserve">    </w:t>
      </w:r>
      <w:r>
        <w:rPr>
          <w:rFonts w:ascii="宋体" w:eastAsia="宋体" w:hAnsi="宋体" w:cs="宋体"/>
          <w:spacing w:val="1"/>
          <w:sz w:val="20"/>
          <w:szCs w:val="20"/>
        </w:rPr>
        <w:t>→</w:t>
      </w:r>
      <w:r>
        <w:rPr>
          <w:rFonts w:ascii="宋体" w:eastAsia="宋体" w:hAnsi="宋体" w:cs="宋体"/>
          <w:spacing w:val="-59"/>
          <w:sz w:val="20"/>
          <w:szCs w:val="20"/>
        </w:rPr>
        <w:t xml:space="preserve"> </w:t>
      </w:r>
      <w:r>
        <w:rPr>
          <w:rFonts w:ascii="宋体" w:eastAsia="宋体" w:hAnsi="宋体" w:cs="宋体"/>
          <w:spacing w:val="1"/>
          <w:sz w:val="20"/>
          <w:szCs w:val="20"/>
        </w:rPr>
        <w:t>混合</w:t>
      </w:r>
      <w:r>
        <w:rPr>
          <w:rFonts w:ascii="宋体" w:eastAsia="宋体" w:hAnsi="宋体" w:cs="宋体"/>
          <w:spacing w:val="-55"/>
          <w:sz w:val="20"/>
          <w:szCs w:val="20"/>
        </w:rPr>
        <w:t xml:space="preserve"> </w:t>
      </w:r>
      <w:r>
        <w:rPr>
          <w:rFonts w:ascii="宋体" w:eastAsia="宋体" w:hAnsi="宋体" w:cs="宋体"/>
          <w:spacing w:val="1"/>
          <w:sz w:val="20"/>
          <w:szCs w:val="20"/>
        </w:rPr>
        <w:t>→</w:t>
      </w:r>
      <w:r>
        <w:rPr>
          <w:rFonts w:ascii="宋体" w:eastAsia="宋体" w:hAnsi="宋体" w:cs="宋体"/>
          <w:spacing w:val="-61"/>
          <w:sz w:val="20"/>
          <w:szCs w:val="20"/>
        </w:rPr>
        <w:t xml:space="preserve"> </w:t>
      </w:r>
      <w:r>
        <w:rPr>
          <w:rFonts w:ascii="宋体" w:eastAsia="宋体" w:hAnsi="宋体" w:cs="宋体"/>
          <w:spacing w:val="1"/>
          <w:sz w:val="20"/>
          <w:szCs w:val="20"/>
        </w:rPr>
        <w:t>打糍</w:t>
      </w:r>
      <w:r>
        <w:rPr>
          <w:rFonts w:ascii="宋体" w:eastAsia="宋体" w:hAnsi="宋体" w:cs="宋体"/>
          <w:spacing w:val="-56"/>
          <w:sz w:val="20"/>
          <w:szCs w:val="20"/>
        </w:rPr>
        <w:t xml:space="preserve"> </w:t>
      </w:r>
      <w:r>
        <w:rPr>
          <w:rFonts w:ascii="宋体" w:eastAsia="宋体" w:hAnsi="宋体" w:cs="宋体"/>
          <w:spacing w:val="1"/>
          <w:sz w:val="20"/>
          <w:szCs w:val="20"/>
        </w:rPr>
        <w:t>→</w:t>
      </w:r>
      <w:r>
        <w:rPr>
          <w:rFonts w:ascii="宋体" w:eastAsia="宋体" w:hAnsi="宋体" w:cs="宋体"/>
          <w:spacing w:val="-63"/>
          <w:sz w:val="20"/>
          <w:szCs w:val="20"/>
        </w:rPr>
        <w:t xml:space="preserve"> </w:t>
      </w:r>
      <w:r>
        <w:rPr>
          <w:rFonts w:ascii="宋体" w:eastAsia="宋体" w:hAnsi="宋体" w:cs="宋体"/>
          <w:spacing w:val="1"/>
          <w:sz w:val="20"/>
          <w:szCs w:val="20"/>
        </w:rPr>
        <w:t>拉丝</w:t>
      </w:r>
      <w:r>
        <w:rPr>
          <w:rFonts w:ascii="宋体" w:eastAsia="宋体" w:hAnsi="宋体" w:cs="宋体"/>
          <w:spacing w:val="-55"/>
          <w:sz w:val="20"/>
          <w:szCs w:val="20"/>
        </w:rPr>
        <w:t xml:space="preserve"> </w:t>
      </w:r>
      <w:r>
        <w:rPr>
          <w:rFonts w:ascii="宋体" w:eastAsia="宋体" w:hAnsi="宋体" w:cs="宋体"/>
          <w:spacing w:val="1"/>
          <w:sz w:val="20"/>
          <w:szCs w:val="20"/>
        </w:rPr>
        <w:t>→</w:t>
      </w:r>
      <w:r>
        <w:rPr>
          <w:rFonts w:ascii="宋体" w:eastAsia="宋体" w:hAnsi="宋体" w:cs="宋体"/>
          <w:spacing w:val="-62"/>
          <w:sz w:val="20"/>
          <w:szCs w:val="20"/>
        </w:rPr>
        <w:t xml:space="preserve"> </w:t>
      </w:r>
      <w:r>
        <w:rPr>
          <w:rFonts w:ascii="宋体" w:eastAsia="宋体" w:hAnsi="宋体" w:cs="宋体"/>
          <w:spacing w:val="1"/>
          <w:sz w:val="20"/>
          <w:szCs w:val="20"/>
        </w:rPr>
        <w:t>蒸煮</w:t>
      </w:r>
      <w:r>
        <w:rPr>
          <w:rFonts w:ascii="宋体" w:eastAsia="宋体" w:hAnsi="宋体" w:cs="宋体"/>
          <w:spacing w:val="-56"/>
          <w:sz w:val="20"/>
          <w:szCs w:val="20"/>
        </w:rPr>
        <w:t xml:space="preserve"> </w:t>
      </w:r>
      <w:r>
        <w:rPr>
          <w:rFonts w:ascii="宋体" w:eastAsia="宋体" w:hAnsi="宋体" w:cs="宋体"/>
          <w:spacing w:val="1"/>
          <w:sz w:val="20"/>
          <w:szCs w:val="20"/>
        </w:rPr>
        <w:t>→</w:t>
      </w:r>
      <w:r>
        <w:rPr>
          <w:rFonts w:ascii="宋体" w:eastAsia="宋体" w:hAnsi="宋体" w:cs="宋体"/>
          <w:spacing w:val="-64"/>
          <w:sz w:val="20"/>
          <w:szCs w:val="20"/>
        </w:rPr>
        <w:t xml:space="preserve"> </w:t>
      </w:r>
      <w:r>
        <w:rPr>
          <w:rFonts w:ascii="宋体" w:eastAsia="宋体" w:hAnsi="宋体" w:cs="宋体"/>
          <w:spacing w:val="1"/>
          <w:sz w:val="20"/>
          <w:szCs w:val="20"/>
        </w:rPr>
        <w:t>整理</w:t>
      </w:r>
      <w:r>
        <w:rPr>
          <w:rFonts w:ascii="宋体" w:eastAsia="宋体" w:hAnsi="宋体" w:cs="宋体"/>
          <w:spacing w:val="-55"/>
          <w:sz w:val="20"/>
          <w:szCs w:val="20"/>
        </w:rPr>
        <w:t xml:space="preserve"> </w:t>
      </w:r>
      <w:r>
        <w:rPr>
          <w:rFonts w:ascii="宋体" w:eastAsia="宋体" w:hAnsi="宋体" w:cs="宋体"/>
          <w:spacing w:val="1"/>
          <w:sz w:val="20"/>
          <w:szCs w:val="20"/>
        </w:rPr>
        <w:t>→</w:t>
      </w:r>
      <w:r>
        <w:rPr>
          <w:rFonts w:ascii="宋体" w:eastAsia="宋体" w:hAnsi="宋体" w:cs="宋体"/>
          <w:spacing w:val="-65"/>
          <w:sz w:val="20"/>
          <w:szCs w:val="20"/>
        </w:rPr>
        <w:t xml:space="preserve"> </w:t>
      </w:r>
      <w:r>
        <w:rPr>
          <w:rFonts w:ascii="宋体" w:eastAsia="宋体" w:hAnsi="宋体" w:cs="宋体"/>
          <w:spacing w:val="1"/>
          <w:sz w:val="20"/>
          <w:szCs w:val="20"/>
        </w:rPr>
        <w:t>烘</w:t>
      </w:r>
      <w:r>
        <w:rPr>
          <w:rFonts w:ascii="宋体" w:eastAsia="宋体" w:hAnsi="宋体" w:cs="宋体"/>
          <w:sz w:val="20"/>
          <w:szCs w:val="20"/>
        </w:rPr>
        <w:t>干</w:t>
      </w:r>
    </w:p>
    <w:p w:rsidR="00EA40A3" w:rsidRDefault="00E86C16">
      <w:pPr>
        <w:spacing w:line="221" w:lineRule="auto"/>
        <w:ind w:left="420"/>
        <w:rPr>
          <w:rFonts w:ascii="宋体" w:eastAsia="宋体" w:hAnsi="宋体" w:cs="宋体"/>
          <w:sz w:val="20"/>
          <w:szCs w:val="20"/>
        </w:rPr>
      </w:pPr>
      <w:r>
        <w:rPr>
          <w:rFonts w:ascii="宋体" w:eastAsia="宋体" w:hAnsi="宋体" w:cs="宋体"/>
          <w:spacing w:val="-8"/>
          <w:position w:val="1"/>
          <w:sz w:val="20"/>
          <w:szCs w:val="20"/>
        </w:rPr>
        <w:t>强化剂配料→研磨→过筛一</w:t>
      </w:r>
      <w:r>
        <w:rPr>
          <w:rFonts w:ascii="宋体" w:eastAsia="宋体" w:hAnsi="宋体" w:cs="宋体"/>
          <w:position w:val="1"/>
          <w:sz w:val="20"/>
          <w:szCs w:val="20"/>
        </w:rPr>
        <w:t xml:space="preserve">                               </w:t>
      </w:r>
      <w:r>
        <w:rPr>
          <w:rFonts w:ascii="宋体" w:eastAsia="宋体" w:hAnsi="宋体" w:cs="宋体"/>
          <w:spacing w:val="-8"/>
          <w:position w:val="-2"/>
          <w:sz w:val="20"/>
          <w:szCs w:val="20"/>
        </w:rPr>
        <w:t>成品～—包装</w:t>
      </w:r>
    </w:p>
    <w:p w:rsidR="00EA40A3" w:rsidRDefault="00E86C16">
      <w:pPr>
        <w:spacing w:before="129" w:line="265" w:lineRule="auto"/>
        <w:ind w:right="48" w:firstLine="420"/>
        <w:jc w:val="both"/>
        <w:rPr>
          <w:rFonts w:ascii="宋体" w:eastAsia="宋体" w:hAnsi="宋体" w:cs="宋体"/>
          <w:sz w:val="20"/>
          <w:szCs w:val="20"/>
        </w:rPr>
      </w:pPr>
      <w:r>
        <w:rPr>
          <w:rFonts w:ascii="宋体" w:eastAsia="宋体" w:hAnsi="宋体" w:cs="宋体"/>
          <w:spacing w:val="7"/>
          <w:sz w:val="20"/>
          <w:szCs w:val="20"/>
        </w:rPr>
        <w:t>富维营养排米粉中添加的二价铁为富马酸亚铁，该亚铁盐为红棕色粉末，无</w:t>
      </w:r>
      <w:r>
        <w:rPr>
          <w:rFonts w:ascii="宋体" w:eastAsia="宋体" w:hAnsi="宋体" w:cs="宋体"/>
          <w:spacing w:val="16"/>
          <w:sz w:val="20"/>
          <w:szCs w:val="20"/>
        </w:rPr>
        <w:t xml:space="preserve"> </w:t>
      </w:r>
      <w:r>
        <w:rPr>
          <w:rFonts w:ascii="宋体" w:eastAsia="宋体" w:hAnsi="宋体" w:cs="宋体"/>
          <w:spacing w:val="8"/>
          <w:sz w:val="20"/>
          <w:szCs w:val="20"/>
        </w:rPr>
        <w:t>臭无味，微溶于水，与硫酸亚铁相比，含铁量较高，食用后</w:t>
      </w:r>
      <w:r>
        <w:rPr>
          <w:rFonts w:ascii="宋体" w:eastAsia="宋体" w:hAnsi="宋体" w:cs="宋体"/>
          <w:spacing w:val="7"/>
          <w:sz w:val="20"/>
          <w:szCs w:val="20"/>
        </w:rPr>
        <w:t>无不良反应，可用于</w:t>
      </w:r>
      <w:r>
        <w:rPr>
          <w:rFonts w:ascii="宋体" w:eastAsia="宋体" w:hAnsi="宋体" w:cs="宋体"/>
          <w:sz w:val="20"/>
          <w:szCs w:val="20"/>
        </w:rPr>
        <w:t xml:space="preserve"> 食品。</w:t>
      </w:r>
    </w:p>
    <w:p w:rsidR="00EA40A3" w:rsidRDefault="00E86C16">
      <w:pPr>
        <w:spacing w:before="80" w:line="273" w:lineRule="auto"/>
        <w:ind w:firstLine="420"/>
        <w:jc w:val="both"/>
        <w:rPr>
          <w:rFonts w:ascii="宋体" w:eastAsia="宋体" w:hAnsi="宋体" w:cs="宋体"/>
          <w:sz w:val="20"/>
          <w:szCs w:val="20"/>
        </w:rPr>
      </w:pPr>
      <w:r>
        <w:rPr>
          <w:rFonts w:ascii="宋体" w:eastAsia="宋体" w:hAnsi="宋体" w:cs="宋体"/>
          <w:spacing w:val="15"/>
          <w:sz w:val="20"/>
          <w:szCs w:val="20"/>
        </w:rPr>
        <w:t>排米粉生产过程中，磨浆、压滤使水分流失，不宜添加强化剂(维生素</w:t>
      </w:r>
      <w:r>
        <w:rPr>
          <w:rFonts w:ascii="宋体" w:eastAsia="宋体" w:hAnsi="宋体" w:cs="宋体"/>
          <w:spacing w:val="-60"/>
          <w:sz w:val="20"/>
          <w:szCs w:val="20"/>
        </w:rPr>
        <w:t xml:space="preserve"> </w:t>
      </w:r>
      <w:r>
        <w:rPr>
          <w:rFonts w:ascii="宋体" w:eastAsia="宋体" w:hAnsi="宋体" w:cs="宋体"/>
          <w:spacing w:val="15"/>
          <w:sz w:val="20"/>
          <w:szCs w:val="20"/>
        </w:rPr>
        <w:t>B</w:t>
      </w:r>
      <w:r>
        <w:rPr>
          <w:rFonts w:ascii="Calibri" w:eastAsia="Calibri" w:hAnsi="Calibri" w:cs="Calibri"/>
          <w:spacing w:val="15"/>
          <w:sz w:val="20"/>
          <w:szCs w:val="20"/>
        </w:rPr>
        <w:t>₁</w:t>
      </w:r>
      <w:r>
        <w:rPr>
          <w:rFonts w:ascii="Calibri" w:eastAsia="Calibri" w:hAnsi="Calibri" w:cs="Calibri"/>
          <w:sz w:val="20"/>
          <w:szCs w:val="20"/>
        </w:rPr>
        <w:t xml:space="preserve">   </w:t>
      </w:r>
      <w:r>
        <w:rPr>
          <w:rFonts w:ascii="宋体" w:eastAsia="宋体" w:hAnsi="宋体" w:cs="宋体"/>
          <w:spacing w:val="11"/>
          <w:sz w:val="20"/>
          <w:szCs w:val="20"/>
        </w:rPr>
        <w:t>和维生素B</w:t>
      </w:r>
      <w:r>
        <w:rPr>
          <w:rFonts w:ascii="Calibri" w:eastAsia="Calibri" w:hAnsi="Calibri" w:cs="Calibri"/>
          <w:spacing w:val="11"/>
          <w:sz w:val="20"/>
          <w:szCs w:val="20"/>
        </w:rPr>
        <w:t>₂</w:t>
      </w:r>
      <w:r>
        <w:rPr>
          <w:rFonts w:ascii="Calibri" w:eastAsia="Calibri" w:hAnsi="Calibri" w:cs="Calibri"/>
          <w:spacing w:val="6"/>
          <w:sz w:val="20"/>
          <w:szCs w:val="20"/>
        </w:rPr>
        <w:t xml:space="preserve">  </w:t>
      </w:r>
      <w:r>
        <w:rPr>
          <w:rFonts w:ascii="宋体" w:eastAsia="宋体" w:hAnsi="宋体" w:cs="宋体"/>
          <w:spacing w:val="11"/>
          <w:sz w:val="20"/>
          <w:szCs w:val="20"/>
        </w:rPr>
        <w:t>溶于水、富马酸亚铁微溶于水);拉丝、蒸煮过程中，强化剂不能渗</w:t>
      </w:r>
      <w:r>
        <w:rPr>
          <w:rFonts w:ascii="宋体" w:eastAsia="宋体" w:hAnsi="宋体" w:cs="宋体"/>
          <w:spacing w:val="1"/>
          <w:sz w:val="20"/>
          <w:szCs w:val="20"/>
        </w:rPr>
        <w:t xml:space="preserve"> </w:t>
      </w:r>
      <w:r>
        <w:rPr>
          <w:rFonts w:ascii="宋体" w:eastAsia="宋体" w:hAnsi="宋体" w:cs="宋体"/>
          <w:spacing w:val="9"/>
          <w:sz w:val="20"/>
          <w:szCs w:val="20"/>
        </w:rPr>
        <w:t>入排粉内。为使生产过程中营养强化剂损失最少，产品质量最好，经研究发现，</w:t>
      </w:r>
      <w:r>
        <w:rPr>
          <w:rFonts w:ascii="宋体" w:eastAsia="宋体" w:hAnsi="宋体" w:cs="宋体"/>
          <w:spacing w:val="4"/>
          <w:sz w:val="20"/>
          <w:szCs w:val="20"/>
        </w:rPr>
        <w:t xml:space="preserve"> </w:t>
      </w:r>
      <w:r>
        <w:rPr>
          <w:rFonts w:ascii="宋体" w:eastAsia="宋体" w:hAnsi="宋体" w:cs="宋体"/>
          <w:spacing w:val="14"/>
          <w:sz w:val="20"/>
          <w:szCs w:val="20"/>
        </w:rPr>
        <w:t>在打糍前添加营养强化剂，并用逐步扩增法使添加的营养强化剂与米浆</w:t>
      </w:r>
      <w:r>
        <w:rPr>
          <w:rFonts w:ascii="宋体" w:eastAsia="宋体" w:hAnsi="宋体" w:cs="宋体"/>
          <w:spacing w:val="13"/>
          <w:sz w:val="20"/>
          <w:szCs w:val="20"/>
        </w:rPr>
        <w:t>混合均</w:t>
      </w:r>
      <w:r>
        <w:rPr>
          <w:rFonts w:ascii="宋体" w:eastAsia="宋体" w:hAnsi="宋体" w:cs="宋体"/>
          <w:sz w:val="20"/>
          <w:szCs w:val="20"/>
        </w:rPr>
        <w:t xml:space="preserve"> 匀，效果最好。</w:t>
      </w:r>
    </w:p>
    <w:p w:rsidR="00EA40A3" w:rsidRDefault="00E86C16">
      <w:pPr>
        <w:spacing w:before="70" w:line="266" w:lineRule="auto"/>
        <w:ind w:right="47" w:firstLine="420"/>
        <w:jc w:val="both"/>
        <w:rPr>
          <w:rFonts w:ascii="宋体" w:eastAsia="宋体" w:hAnsi="宋体" w:cs="宋体"/>
          <w:sz w:val="20"/>
          <w:szCs w:val="20"/>
        </w:rPr>
      </w:pPr>
      <w:r>
        <w:rPr>
          <w:rFonts w:ascii="宋体" w:eastAsia="宋体" w:hAnsi="宋体" w:cs="宋体"/>
          <w:spacing w:val="17"/>
          <w:sz w:val="20"/>
          <w:szCs w:val="20"/>
        </w:rPr>
        <w:t>(3)强化即食米粉丝的生产米粉丝是以纯大米为</w:t>
      </w:r>
      <w:r>
        <w:rPr>
          <w:rFonts w:ascii="宋体" w:eastAsia="宋体" w:hAnsi="宋体" w:cs="宋体"/>
          <w:spacing w:val="16"/>
          <w:sz w:val="20"/>
          <w:szCs w:val="20"/>
        </w:rPr>
        <w:t>原料，经过一系列加工工</w:t>
      </w:r>
      <w:r>
        <w:rPr>
          <w:rFonts w:ascii="宋体" w:eastAsia="宋体" w:hAnsi="宋体" w:cs="宋体"/>
          <w:sz w:val="20"/>
          <w:szCs w:val="20"/>
        </w:rPr>
        <w:t xml:space="preserve"> </w:t>
      </w:r>
      <w:r>
        <w:rPr>
          <w:rFonts w:ascii="宋体" w:eastAsia="宋体" w:hAnsi="宋体" w:cs="宋体"/>
          <w:spacing w:val="8"/>
          <w:sz w:val="20"/>
          <w:szCs w:val="20"/>
        </w:rPr>
        <w:t>序制造而成。吃了米粉丝不产生湿热，所以我国广东、广</w:t>
      </w:r>
      <w:r>
        <w:rPr>
          <w:rFonts w:ascii="宋体" w:eastAsia="宋体" w:hAnsi="宋体" w:cs="宋体"/>
          <w:spacing w:val="7"/>
          <w:sz w:val="20"/>
          <w:szCs w:val="20"/>
        </w:rPr>
        <w:t>西、福建等省以及东南</w:t>
      </w:r>
      <w:r>
        <w:rPr>
          <w:rFonts w:ascii="宋体" w:eastAsia="宋体" w:hAnsi="宋体" w:cs="宋体"/>
          <w:sz w:val="20"/>
          <w:szCs w:val="20"/>
        </w:rPr>
        <w:t xml:space="preserve"> </w:t>
      </w:r>
      <w:r>
        <w:rPr>
          <w:rFonts w:ascii="宋体" w:eastAsia="宋体" w:hAnsi="宋体" w:cs="宋体"/>
          <w:spacing w:val="12"/>
          <w:sz w:val="20"/>
          <w:szCs w:val="20"/>
        </w:rPr>
        <w:t>亚各国都以米粉丝为主食之一</w:t>
      </w:r>
      <w:r>
        <w:rPr>
          <w:rFonts w:ascii="宋体" w:eastAsia="宋体" w:hAnsi="宋体" w:cs="宋体"/>
          <w:spacing w:val="-50"/>
          <w:sz w:val="20"/>
          <w:szCs w:val="20"/>
        </w:rPr>
        <w:t xml:space="preserve"> </w:t>
      </w:r>
      <w:r>
        <w:rPr>
          <w:rFonts w:ascii="宋体" w:eastAsia="宋体" w:hAnsi="宋体" w:cs="宋体"/>
          <w:spacing w:val="12"/>
          <w:sz w:val="20"/>
          <w:szCs w:val="20"/>
        </w:rPr>
        <w:t>。它常作为快餐米粉装入小塑料袋，食用时拆开</w:t>
      </w:r>
      <w:r>
        <w:rPr>
          <w:rFonts w:ascii="宋体" w:eastAsia="宋体" w:hAnsi="宋体" w:cs="宋体"/>
          <w:sz w:val="20"/>
          <w:szCs w:val="20"/>
        </w:rPr>
        <w:t xml:space="preserve"> </w:t>
      </w:r>
      <w:r>
        <w:rPr>
          <w:rFonts w:ascii="宋体" w:eastAsia="宋体" w:hAnsi="宋体" w:cs="宋体"/>
          <w:spacing w:val="8"/>
          <w:sz w:val="20"/>
          <w:szCs w:val="20"/>
        </w:rPr>
        <w:t>袋，倒入碗内用开水冲泡，配入调料即可食用，是一种很好的</w:t>
      </w:r>
      <w:r>
        <w:rPr>
          <w:rFonts w:ascii="宋体" w:eastAsia="宋体" w:hAnsi="宋体" w:cs="宋体"/>
          <w:spacing w:val="7"/>
          <w:sz w:val="20"/>
          <w:szCs w:val="20"/>
        </w:rPr>
        <w:t>旅游食品。其生产</w:t>
      </w:r>
      <w:r>
        <w:rPr>
          <w:rFonts w:ascii="宋体" w:eastAsia="宋体" w:hAnsi="宋体" w:cs="宋体"/>
          <w:sz w:val="20"/>
          <w:szCs w:val="20"/>
        </w:rPr>
        <w:t xml:space="preserve"> 工艺流程如下：</w:t>
      </w:r>
    </w:p>
    <w:p w:rsidR="00EA40A3" w:rsidRDefault="00E86C16">
      <w:pPr>
        <w:spacing w:before="180" w:line="271" w:lineRule="auto"/>
        <w:ind w:right="93"/>
        <w:rPr>
          <w:rFonts w:ascii="宋体" w:eastAsia="宋体" w:hAnsi="宋体" w:cs="宋体"/>
          <w:sz w:val="20"/>
          <w:szCs w:val="20"/>
        </w:rPr>
      </w:pPr>
      <w:r>
        <w:rPr>
          <w:rFonts w:ascii="宋体" w:eastAsia="宋体" w:hAnsi="宋体" w:cs="宋体"/>
          <w:spacing w:val="1"/>
          <w:sz w:val="20"/>
          <w:szCs w:val="20"/>
        </w:rPr>
        <w:t>大米→称量→淘洗→一次磨浆→二次磨浆→过筛→真空过滤</w:t>
      </w:r>
      <w:r>
        <w:rPr>
          <w:rFonts w:ascii="宋体" w:eastAsia="宋体" w:hAnsi="宋体" w:cs="宋体"/>
          <w:sz w:val="20"/>
          <w:szCs w:val="20"/>
        </w:rPr>
        <w:t xml:space="preserve">→蒸料→喷涂→初干燥 </w:t>
      </w:r>
      <w:r>
        <w:rPr>
          <w:rFonts w:ascii="宋体" w:eastAsia="宋体" w:hAnsi="宋体" w:cs="宋体"/>
          <w:spacing w:val="-8"/>
          <w:sz w:val="20"/>
          <w:szCs w:val="20"/>
        </w:rPr>
        <w:t>→</w:t>
      </w:r>
      <w:r>
        <w:rPr>
          <w:rFonts w:ascii="宋体" w:eastAsia="宋体" w:hAnsi="宋体" w:cs="宋体"/>
          <w:spacing w:val="-62"/>
          <w:sz w:val="20"/>
          <w:szCs w:val="20"/>
        </w:rPr>
        <w:t xml:space="preserve"> </w:t>
      </w:r>
      <w:r>
        <w:rPr>
          <w:rFonts w:ascii="宋体" w:eastAsia="宋体" w:hAnsi="宋体" w:cs="宋体"/>
          <w:spacing w:val="-8"/>
          <w:sz w:val="20"/>
          <w:szCs w:val="20"/>
        </w:rPr>
        <w:t>榨片</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4"/>
          <w:sz w:val="20"/>
          <w:szCs w:val="20"/>
        </w:rPr>
        <w:t xml:space="preserve"> </w:t>
      </w:r>
      <w:r>
        <w:rPr>
          <w:rFonts w:ascii="宋体" w:eastAsia="宋体" w:hAnsi="宋体" w:cs="宋体"/>
          <w:spacing w:val="-8"/>
          <w:sz w:val="20"/>
          <w:szCs w:val="20"/>
        </w:rPr>
        <w:t>成丝</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0"/>
          <w:sz w:val="20"/>
          <w:szCs w:val="20"/>
        </w:rPr>
        <w:t xml:space="preserve"> </w:t>
      </w:r>
      <w:r>
        <w:rPr>
          <w:rFonts w:ascii="宋体" w:eastAsia="宋体" w:hAnsi="宋体" w:cs="宋体"/>
          <w:spacing w:val="-8"/>
          <w:sz w:val="20"/>
          <w:szCs w:val="20"/>
        </w:rPr>
        <w:t>复蒸</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6"/>
          <w:sz w:val="20"/>
          <w:szCs w:val="20"/>
        </w:rPr>
        <w:t xml:space="preserve"> </w:t>
      </w:r>
      <w:r>
        <w:rPr>
          <w:rFonts w:ascii="宋体" w:eastAsia="宋体" w:hAnsi="宋体" w:cs="宋体"/>
          <w:spacing w:val="-8"/>
          <w:sz w:val="20"/>
          <w:szCs w:val="20"/>
        </w:rPr>
        <w:t>切丝</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6"/>
          <w:sz w:val="20"/>
          <w:szCs w:val="20"/>
        </w:rPr>
        <w:t xml:space="preserve"> </w:t>
      </w:r>
      <w:r>
        <w:rPr>
          <w:rFonts w:ascii="宋体" w:eastAsia="宋体" w:hAnsi="宋体" w:cs="宋体"/>
          <w:spacing w:val="-8"/>
          <w:sz w:val="20"/>
          <w:szCs w:val="20"/>
        </w:rPr>
        <w:t>干燥</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3"/>
          <w:sz w:val="20"/>
          <w:szCs w:val="20"/>
        </w:rPr>
        <w:t xml:space="preserve"> </w:t>
      </w:r>
      <w:r>
        <w:rPr>
          <w:rFonts w:ascii="宋体" w:eastAsia="宋体" w:hAnsi="宋体" w:cs="宋体"/>
          <w:spacing w:val="-8"/>
          <w:sz w:val="20"/>
          <w:szCs w:val="20"/>
        </w:rPr>
        <w:t>冷却</w:t>
      </w:r>
      <w:r>
        <w:rPr>
          <w:rFonts w:ascii="宋体" w:eastAsia="宋体" w:hAnsi="宋体" w:cs="宋体"/>
          <w:spacing w:val="-67"/>
          <w:sz w:val="20"/>
          <w:szCs w:val="20"/>
        </w:rPr>
        <w:t xml:space="preserve"> </w:t>
      </w:r>
      <w:r>
        <w:rPr>
          <w:rFonts w:ascii="宋体" w:eastAsia="宋体" w:hAnsi="宋体" w:cs="宋体"/>
          <w:spacing w:val="-8"/>
          <w:sz w:val="20"/>
          <w:szCs w:val="20"/>
        </w:rPr>
        <w:t>→</w:t>
      </w:r>
      <w:r>
        <w:rPr>
          <w:rFonts w:ascii="宋体" w:eastAsia="宋体" w:hAnsi="宋体" w:cs="宋体"/>
          <w:spacing w:val="-75"/>
          <w:sz w:val="20"/>
          <w:szCs w:val="20"/>
        </w:rPr>
        <w:t xml:space="preserve"> </w:t>
      </w:r>
      <w:r>
        <w:rPr>
          <w:rFonts w:ascii="宋体" w:eastAsia="宋体" w:hAnsi="宋体" w:cs="宋体"/>
          <w:spacing w:val="-8"/>
          <w:sz w:val="20"/>
          <w:szCs w:val="20"/>
        </w:rPr>
        <w:t>包装</w:t>
      </w:r>
      <w:r>
        <w:rPr>
          <w:rFonts w:ascii="宋体" w:eastAsia="宋体" w:hAnsi="宋体" w:cs="宋体"/>
          <w:spacing w:val="-66"/>
          <w:sz w:val="20"/>
          <w:szCs w:val="20"/>
        </w:rPr>
        <w:t xml:space="preserve"> </w:t>
      </w:r>
      <w:r>
        <w:rPr>
          <w:rFonts w:ascii="宋体" w:eastAsia="宋体" w:hAnsi="宋体" w:cs="宋体"/>
          <w:spacing w:val="-8"/>
          <w:sz w:val="20"/>
          <w:szCs w:val="20"/>
        </w:rPr>
        <w:t>→</w:t>
      </w:r>
      <w:r>
        <w:rPr>
          <w:rFonts w:ascii="宋体" w:eastAsia="宋体" w:hAnsi="宋体" w:cs="宋体"/>
          <w:spacing w:val="-73"/>
          <w:sz w:val="20"/>
          <w:szCs w:val="20"/>
        </w:rPr>
        <w:t xml:space="preserve"> </w:t>
      </w:r>
      <w:r>
        <w:rPr>
          <w:rFonts w:ascii="宋体" w:eastAsia="宋体" w:hAnsi="宋体" w:cs="宋体"/>
          <w:spacing w:val="-8"/>
          <w:sz w:val="20"/>
          <w:szCs w:val="20"/>
        </w:rPr>
        <w:t>成品</w:t>
      </w:r>
      <w:r>
        <w:rPr>
          <w:rFonts w:ascii="宋体" w:eastAsia="宋体" w:hAnsi="宋体" w:cs="宋体"/>
          <w:spacing w:val="23"/>
          <w:sz w:val="20"/>
          <w:szCs w:val="20"/>
        </w:rPr>
        <w:t xml:space="preserve">   </w:t>
      </w:r>
      <w:r>
        <w:rPr>
          <w:rFonts w:ascii="宋体" w:eastAsia="宋体" w:hAnsi="宋体" w:cs="宋体"/>
          <w:spacing w:val="-8"/>
          <w:sz w:val="20"/>
          <w:szCs w:val="20"/>
        </w:rPr>
        <w:t>强化剂</w:t>
      </w:r>
      <w:r>
        <w:rPr>
          <w:rFonts w:ascii="宋体" w:eastAsia="宋体" w:hAnsi="宋体" w:cs="宋体"/>
          <w:spacing w:val="-41"/>
          <w:sz w:val="20"/>
          <w:szCs w:val="20"/>
        </w:rPr>
        <w:t xml:space="preserve"> </w:t>
      </w:r>
      <w:r>
        <w:rPr>
          <w:rFonts w:ascii="宋体" w:eastAsia="宋体" w:hAnsi="宋体" w:cs="宋体"/>
          <w:spacing w:val="-8"/>
          <w:sz w:val="20"/>
          <w:szCs w:val="20"/>
        </w:rPr>
        <w:t>·</w:t>
      </w:r>
    </w:p>
    <w:p w:rsidR="00EA40A3" w:rsidRDefault="00E86C16">
      <w:pPr>
        <w:spacing w:before="185" w:line="257" w:lineRule="auto"/>
        <w:ind w:right="53" w:firstLine="420"/>
        <w:jc w:val="both"/>
        <w:rPr>
          <w:rFonts w:ascii="宋体" w:eastAsia="宋体" w:hAnsi="宋体" w:cs="宋体"/>
          <w:sz w:val="20"/>
          <w:szCs w:val="20"/>
        </w:rPr>
      </w:pPr>
      <w:r>
        <w:rPr>
          <w:rFonts w:ascii="宋体" w:eastAsia="宋体" w:hAnsi="宋体" w:cs="宋体"/>
          <w:spacing w:val="8"/>
          <w:sz w:val="20"/>
          <w:szCs w:val="20"/>
        </w:rPr>
        <w:t>强化即食米粉丝的强化剂选用维生素B</w:t>
      </w:r>
      <w:r>
        <w:rPr>
          <w:rFonts w:ascii="Calibri" w:eastAsia="Calibri" w:hAnsi="Calibri" w:cs="Calibri"/>
          <w:spacing w:val="8"/>
          <w:sz w:val="20"/>
          <w:szCs w:val="20"/>
        </w:rPr>
        <w:t>₁</w:t>
      </w:r>
      <w:r>
        <w:rPr>
          <w:rFonts w:ascii="Calibri" w:eastAsia="Calibri" w:hAnsi="Calibri" w:cs="Calibri"/>
          <w:spacing w:val="-24"/>
          <w:sz w:val="20"/>
          <w:szCs w:val="20"/>
        </w:rPr>
        <w:t xml:space="preserve"> </w:t>
      </w:r>
      <w:r>
        <w:rPr>
          <w:rFonts w:ascii="宋体" w:eastAsia="宋体" w:hAnsi="宋体" w:cs="宋体"/>
          <w:spacing w:val="8"/>
          <w:sz w:val="20"/>
          <w:szCs w:val="20"/>
        </w:rPr>
        <w:t>、</w:t>
      </w:r>
      <w:r>
        <w:rPr>
          <w:rFonts w:ascii="宋体" w:eastAsia="宋体" w:hAnsi="宋体" w:cs="宋体"/>
          <w:spacing w:val="-16"/>
          <w:sz w:val="20"/>
          <w:szCs w:val="20"/>
        </w:rPr>
        <w:t xml:space="preserve"> </w:t>
      </w:r>
      <w:r>
        <w:rPr>
          <w:rFonts w:ascii="宋体" w:eastAsia="宋体" w:hAnsi="宋体" w:cs="宋体"/>
          <w:spacing w:val="8"/>
          <w:sz w:val="20"/>
          <w:szCs w:val="20"/>
        </w:rPr>
        <w:t>维生素</w:t>
      </w:r>
      <w:r>
        <w:rPr>
          <w:rFonts w:ascii="宋体" w:eastAsia="宋体" w:hAnsi="宋体" w:cs="宋体"/>
          <w:spacing w:val="-60"/>
          <w:sz w:val="20"/>
          <w:szCs w:val="20"/>
        </w:rPr>
        <w:t xml:space="preserve"> </w:t>
      </w:r>
      <w:r>
        <w:rPr>
          <w:rFonts w:ascii="宋体" w:eastAsia="宋体" w:hAnsi="宋体" w:cs="宋体"/>
          <w:spacing w:val="8"/>
          <w:sz w:val="20"/>
          <w:szCs w:val="20"/>
        </w:rPr>
        <w:t>B</w:t>
      </w:r>
      <w:r>
        <w:rPr>
          <w:rFonts w:ascii="Calibri" w:eastAsia="Calibri" w:hAnsi="Calibri" w:cs="Calibri"/>
          <w:spacing w:val="8"/>
          <w:sz w:val="20"/>
          <w:szCs w:val="20"/>
        </w:rPr>
        <w:t xml:space="preserve">₂  </w:t>
      </w:r>
      <w:r>
        <w:rPr>
          <w:rFonts w:ascii="宋体" w:eastAsia="宋体" w:hAnsi="宋体" w:cs="宋体"/>
          <w:spacing w:val="7"/>
          <w:sz w:val="20"/>
          <w:szCs w:val="20"/>
        </w:rPr>
        <w:t>和维生素C。</w:t>
      </w:r>
      <w:r>
        <w:rPr>
          <w:rFonts w:ascii="宋体" w:eastAsia="宋体" w:hAnsi="宋体" w:cs="宋体"/>
          <w:spacing w:val="15"/>
          <w:sz w:val="20"/>
          <w:szCs w:val="20"/>
        </w:rPr>
        <w:t xml:space="preserve"> </w:t>
      </w:r>
      <w:r>
        <w:rPr>
          <w:rFonts w:ascii="宋体" w:eastAsia="宋体" w:hAnsi="宋体" w:cs="宋体"/>
          <w:spacing w:val="7"/>
          <w:sz w:val="20"/>
          <w:szCs w:val="20"/>
        </w:rPr>
        <w:t>由于蒸料</w:t>
      </w:r>
      <w:r>
        <w:rPr>
          <w:rFonts w:ascii="宋体" w:eastAsia="宋体" w:hAnsi="宋体" w:cs="宋体"/>
          <w:sz w:val="20"/>
          <w:szCs w:val="20"/>
        </w:rPr>
        <w:t xml:space="preserve"> </w:t>
      </w:r>
      <w:r>
        <w:rPr>
          <w:rFonts w:ascii="宋体" w:eastAsia="宋体" w:hAnsi="宋体" w:cs="宋体"/>
          <w:spacing w:val="7"/>
          <w:sz w:val="20"/>
          <w:szCs w:val="20"/>
        </w:rPr>
        <w:t>工序温度较高，此时添加维生素易损失，故选择于蒸料后喷涂，后阶段的干燥及</w:t>
      </w:r>
      <w:r>
        <w:rPr>
          <w:rFonts w:ascii="宋体" w:eastAsia="宋体" w:hAnsi="宋体" w:cs="宋体"/>
          <w:spacing w:val="4"/>
          <w:sz w:val="20"/>
          <w:szCs w:val="20"/>
        </w:rPr>
        <w:t xml:space="preserve"> 复蒸温度不高，对强化剂的影响不大。</w:t>
      </w:r>
    </w:p>
    <w:p w:rsidR="00EA40A3" w:rsidRDefault="00E86C16">
      <w:pPr>
        <w:spacing w:before="53"/>
        <w:rPr>
          <w:rFonts w:ascii="宋体" w:eastAsia="宋体" w:hAnsi="宋体" w:cs="宋体"/>
          <w:sz w:val="20"/>
          <w:szCs w:val="20"/>
        </w:rPr>
      </w:pPr>
      <w:r>
        <w:rPr>
          <w:rFonts w:ascii="宋体" w:eastAsia="宋体" w:hAnsi="宋体" w:cs="宋体"/>
          <w:spacing w:val="-36"/>
          <w:sz w:val="20"/>
          <w:szCs w:val="20"/>
        </w:rPr>
        <w:t>·</w:t>
      </w:r>
      <w:r>
        <w:rPr>
          <w:rFonts w:ascii="宋体" w:eastAsia="宋体" w:hAnsi="宋体" w:cs="宋体"/>
          <w:spacing w:val="-15"/>
          <w:sz w:val="20"/>
          <w:szCs w:val="20"/>
        </w:rPr>
        <w:t xml:space="preserve"> </w:t>
      </w:r>
      <w:r>
        <w:rPr>
          <w:rFonts w:ascii="宋体" w:eastAsia="宋体" w:hAnsi="宋体" w:cs="宋体"/>
          <w:spacing w:val="-36"/>
          <w:sz w:val="20"/>
          <w:szCs w:val="20"/>
        </w:rPr>
        <w:t>266</w:t>
      </w:r>
      <w:r>
        <w:rPr>
          <w:rFonts w:ascii="宋体" w:eastAsia="宋体" w:hAnsi="宋体" w:cs="宋体"/>
          <w:spacing w:val="37"/>
          <w:sz w:val="20"/>
          <w:szCs w:val="20"/>
        </w:rPr>
        <w:t xml:space="preserve"> </w:t>
      </w:r>
      <w:r>
        <w:rPr>
          <w:rFonts w:ascii="宋体" w:eastAsia="宋体" w:hAnsi="宋体" w:cs="宋体"/>
          <w:spacing w:val="-36"/>
          <w:sz w:val="20"/>
          <w:szCs w:val="20"/>
        </w:rPr>
        <w:t>·</w:t>
      </w:r>
    </w:p>
    <w:p w:rsidR="00EA40A3" w:rsidRDefault="00EA40A3">
      <w:pPr>
        <w:sectPr w:rsidR="00EA40A3">
          <w:pgSz w:w="9220" w:h="13360"/>
          <w:pgMar w:top="400" w:right="1149" w:bottom="400" w:left="749" w:header="0" w:footer="0" w:gutter="0"/>
          <w:cols w:space="720"/>
        </w:sectPr>
      </w:pPr>
    </w:p>
    <w:p w:rsidR="00EA40A3" w:rsidRDefault="00EA40A3">
      <w:pPr>
        <w:spacing w:line="344" w:lineRule="auto"/>
      </w:pPr>
    </w:p>
    <w:p w:rsidR="00EA40A3" w:rsidRDefault="00EA40A3">
      <w:pPr>
        <w:spacing w:line="344" w:lineRule="auto"/>
      </w:pPr>
    </w:p>
    <w:p w:rsidR="00EA40A3" w:rsidRDefault="00E86C16">
      <w:pPr>
        <w:spacing w:before="75" w:line="222" w:lineRule="auto"/>
        <w:ind w:left="49"/>
        <w:rPr>
          <w:rFonts w:ascii="仿宋" w:eastAsia="仿宋" w:hAnsi="仿宋" w:cs="仿宋"/>
          <w:sz w:val="23"/>
          <w:szCs w:val="23"/>
        </w:rPr>
      </w:pPr>
      <w:bookmarkStart w:id="67" w:name="_bookmark71"/>
      <w:bookmarkStart w:id="68" w:name="_bookmark72"/>
      <w:bookmarkEnd w:id="67"/>
      <w:bookmarkEnd w:id="68"/>
      <w:r>
        <w:rPr>
          <w:rFonts w:ascii="仿宋" w:eastAsia="仿宋" w:hAnsi="仿宋" w:cs="仿宋"/>
          <w:spacing w:val="3"/>
          <w:sz w:val="23"/>
          <w:szCs w:val="23"/>
        </w:rPr>
        <w:t>2.</w:t>
      </w:r>
      <w:r>
        <w:rPr>
          <w:rFonts w:ascii="仿宋" w:eastAsia="仿宋" w:hAnsi="仿宋" w:cs="仿宋"/>
          <w:spacing w:val="-15"/>
          <w:sz w:val="23"/>
          <w:szCs w:val="23"/>
        </w:rPr>
        <w:t xml:space="preserve"> </w:t>
      </w:r>
      <w:r>
        <w:rPr>
          <w:rFonts w:ascii="仿宋" w:eastAsia="仿宋" w:hAnsi="仿宋" w:cs="仿宋"/>
          <w:spacing w:val="3"/>
          <w:sz w:val="23"/>
          <w:szCs w:val="23"/>
        </w:rPr>
        <w:t>强化面粉和面包</w:t>
      </w:r>
    </w:p>
    <w:p w:rsidR="00EA40A3" w:rsidRDefault="00E86C16">
      <w:pPr>
        <w:spacing w:before="174" w:line="269" w:lineRule="auto"/>
        <w:ind w:left="49" w:firstLine="270"/>
        <w:rPr>
          <w:rFonts w:ascii="宋体" w:eastAsia="宋体" w:hAnsi="宋体" w:cs="宋体"/>
          <w:sz w:val="20"/>
          <w:szCs w:val="20"/>
        </w:rPr>
      </w:pPr>
      <w:r>
        <w:rPr>
          <w:rFonts w:ascii="宋体" w:eastAsia="宋体" w:hAnsi="宋体" w:cs="宋体"/>
          <w:spacing w:val="6"/>
          <w:sz w:val="20"/>
          <w:szCs w:val="20"/>
        </w:rPr>
        <w:t>面粉和面包的营养强化是最早的强化食品之一，目前有许多国家已通过法令</w:t>
      </w:r>
      <w:r>
        <w:rPr>
          <w:rFonts w:ascii="宋体" w:eastAsia="宋体" w:hAnsi="宋体" w:cs="宋体"/>
          <w:spacing w:val="3"/>
          <w:sz w:val="20"/>
          <w:szCs w:val="20"/>
        </w:rPr>
        <w:t xml:space="preserve">   </w:t>
      </w:r>
      <w:r>
        <w:rPr>
          <w:rFonts w:ascii="宋体" w:eastAsia="宋体" w:hAnsi="宋体" w:cs="宋体"/>
          <w:spacing w:val="5"/>
          <w:sz w:val="20"/>
          <w:szCs w:val="20"/>
        </w:rPr>
        <w:t>或法规强制执行。通常在面粉中强化维生素B</w:t>
      </w:r>
      <w:r>
        <w:rPr>
          <w:rFonts w:ascii="Calibri" w:eastAsia="Calibri" w:hAnsi="Calibri" w:cs="Calibri"/>
          <w:spacing w:val="5"/>
          <w:sz w:val="20"/>
          <w:szCs w:val="20"/>
        </w:rPr>
        <w:t>₁</w:t>
      </w:r>
      <w:r>
        <w:rPr>
          <w:rFonts w:ascii="Calibri" w:eastAsia="Calibri" w:hAnsi="Calibri" w:cs="Calibri"/>
          <w:spacing w:val="-11"/>
          <w:sz w:val="20"/>
          <w:szCs w:val="20"/>
        </w:rPr>
        <w:t xml:space="preserve"> </w:t>
      </w:r>
      <w:r>
        <w:rPr>
          <w:rFonts w:ascii="宋体" w:eastAsia="宋体" w:hAnsi="宋体" w:cs="宋体"/>
          <w:spacing w:val="5"/>
          <w:sz w:val="20"/>
          <w:szCs w:val="20"/>
        </w:rPr>
        <w:t>、</w:t>
      </w:r>
      <w:r>
        <w:rPr>
          <w:rFonts w:ascii="宋体" w:eastAsia="宋体" w:hAnsi="宋体" w:cs="宋体"/>
          <w:spacing w:val="-26"/>
          <w:sz w:val="20"/>
          <w:szCs w:val="20"/>
        </w:rPr>
        <w:t xml:space="preserve"> </w:t>
      </w:r>
      <w:r>
        <w:rPr>
          <w:rFonts w:ascii="宋体" w:eastAsia="宋体" w:hAnsi="宋体" w:cs="宋体"/>
          <w:spacing w:val="5"/>
          <w:sz w:val="20"/>
          <w:szCs w:val="20"/>
        </w:rPr>
        <w:t>维生素B2、</w:t>
      </w:r>
      <w:r>
        <w:rPr>
          <w:rFonts w:ascii="宋体" w:eastAsia="宋体" w:hAnsi="宋体" w:cs="宋体"/>
          <w:spacing w:val="-14"/>
          <w:sz w:val="20"/>
          <w:szCs w:val="20"/>
        </w:rPr>
        <w:t xml:space="preserve"> </w:t>
      </w:r>
      <w:r>
        <w:rPr>
          <w:rFonts w:ascii="宋体" w:eastAsia="宋体" w:hAnsi="宋体" w:cs="宋体"/>
          <w:spacing w:val="5"/>
          <w:sz w:val="20"/>
          <w:szCs w:val="20"/>
        </w:rPr>
        <w:t>尼克酸、钙、铁等。</w:t>
      </w:r>
      <w:r>
        <w:rPr>
          <w:rFonts w:ascii="宋体" w:eastAsia="宋体" w:hAnsi="宋体" w:cs="宋体"/>
          <w:sz w:val="20"/>
          <w:szCs w:val="20"/>
        </w:rPr>
        <w:t xml:space="preserve"> </w:t>
      </w:r>
      <w:r>
        <w:rPr>
          <w:rFonts w:ascii="宋体" w:eastAsia="宋体" w:hAnsi="宋体" w:cs="宋体"/>
          <w:spacing w:val="7"/>
          <w:sz w:val="20"/>
          <w:szCs w:val="20"/>
        </w:rPr>
        <w:t>近年来有些国家和地区还增补赖氨酸和蛋氨酸。除了增补以上这些</w:t>
      </w:r>
      <w:r>
        <w:rPr>
          <w:rFonts w:ascii="宋体" w:eastAsia="宋体" w:hAnsi="宋体" w:cs="宋体"/>
          <w:spacing w:val="6"/>
          <w:sz w:val="20"/>
          <w:szCs w:val="20"/>
        </w:rPr>
        <w:t>单纯的营养素</w:t>
      </w:r>
      <w:r>
        <w:rPr>
          <w:rFonts w:ascii="宋体" w:eastAsia="宋体" w:hAnsi="宋体" w:cs="宋体"/>
          <w:sz w:val="20"/>
          <w:szCs w:val="20"/>
        </w:rPr>
        <w:t xml:space="preserve">  </w:t>
      </w:r>
      <w:r>
        <w:rPr>
          <w:rFonts w:ascii="宋体" w:eastAsia="宋体" w:hAnsi="宋体" w:cs="宋体"/>
          <w:spacing w:val="6"/>
          <w:sz w:val="20"/>
          <w:szCs w:val="20"/>
        </w:rPr>
        <w:t>外，还有的在面粉中加入干酵母、脱脂奶粉、大豆粉和谷物胚芽等天</w:t>
      </w:r>
      <w:r>
        <w:rPr>
          <w:rFonts w:ascii="宋体" w:eastAsia="宋体" w:hAnsi="宋体" w:cs="宋体"/>
          <w:spacing w:val="5"/>
          <w:sz w:val="20"/>
          <w:szCs w:val="20"/>
        </w:rPr>
        <w:t>然食物。</w:t>
      </w:r>
    </w:p>
    <w:p w:rsidR="00EA40A3" w:rsidRDefault="00E86C16">
      <w:pPr>
        <w:spacing w:before="63" w:line="264" w:lineRule="auto"/>
        <w:ind w:left="49" w:right="92" w:firstLine="270"/>
        <w:rPr>
          <w:rFonts w:ascii="宋体" w:eastAsia="宋体" w:hAnsi="宋体" w:cs="宋体"/>
          <w:sz w:val="20"/>
          <w:szCs w:val="20"/>
        </w:rPr>
      </w:pPr>
      <w:r>
        <w:rPr>
          <w:rFonts w:ascii="宋体" w:eastAsia="宋体" w:hAnsi="宋体" w:cs="宋体"/>
          <w:spacing w:val="7"/>
          <w:sz w:val="20"/>
          <w:szCs w:val="20"/>
        </w:rPr>
        <w:t>强化面粉生产一般是先制成含量高的基料，再</w:t>
      </w:r>
      <w:r>
        <w:rPr>
          <w:rFonts w:ascii="宋体" w:eastAsia="宋体" w:hAnsi="宋体" w:cs="宋体"/>
          <w:spacing w:val="6"/>
          <w:sz w:val="20"/>
          <w:szCs w:val="20"/>
        </w:rPr>
        <w:t>将其与普通面粉混合制成供人</w:t>
      </w:r>
      <w:r>
        <w:rPr>
          <w:rFonts w:ascii="宋体" w:eastAsia="宋体" w:hAnsi="宋体" w:cs="宋体"/>
          <w:sz w:val="20"/>
          <w:szCs w:val="20"/>
        </w:rPr>
        <w:t xml:space="preserve">  </w:t>
      </w:r>
      <w:r>
        <w:rPr>
          <w:rFonts w:ascii="宋体" w:eastAsia="宋体" w:hAnsi="宋体" w:cs="宋体"/>
          <w:spacing w:val="17"/>
          <w:sz w:val="20"/>
          <w:szCs w:val="20"/>
        </w:rPr>
        <w:t>食用的成品。喷雾强化法流程如下，其中，面粉的用量为维生素</w:t>
      </w:r>
      <w:r>
        <w:rPr>
          <w:rFonts w:ascii="宋体" w:eastAsia="宋体" w:hAnsi="宋体" w:cs="宋体"/>
          <w:spacing w:val="-50"/>
          <w:sz w:val="20"/>
          <w:szCs w:val="20"/>
        </w:rPr>
        <w:t xml:space="preserve"> </w:t>
      </w:r>
      <w:r>
        <w:rPr>
          <w:rFonts w:ascii="宋体" w:eastAsia="宋体" w:hAnsi="宋体" w:cs="宋体"/>
          <w:spacing w:val="17"/>
          <w:sz w:val="20"/>
          <w:szCs w:val="20"/>
        </w:rPr>
        <w:t>B</w:t>
      </w:r>
      <w:r>
        <w:rPr>
          <w:rFonts w:ascii="Calibri" w:eastAsia="Calibri" w:hAnsi="Calibri" w:cs="Calibri"/>
          <w:spacing w:val="17"/>
          <w:sz w:val="20"/>
          <w:szCs w:val="20"/>
        </w:rPr>
        <w:t>₁</w:t>
      </w:r>
      <w:r>
        <w:rPr>
          <w:rFonts w:ascii="Calibri" w:eastAsia="Calibri" w:hAnsi="Calibri" w:cs="Calibri"/>
          <w:spacing w:val="3"/>
          <w:sz w:val="20"/>
          <w:szCs w:val="20"/>
        </w:rPr>
        <w:t xml:space="preserve">   </w:t>
      </w:r>
      <w:r>
        <w:rPr>
          <w:rFonts w:ascii="宋体" w:eastAsia="宋体" w:hAnsi="宋体" w:cs="宋体"/>
          <w:spacing w:val="17"/>
          <w:sz w:val="20"/>
          <w:szCs w:val="20"/>
        </w:rPr>
        <w:t>的14</w:t>
      </w:r>
      <w:r>
        <w:rPr>
          <w:rFonts w:ascii="宋体" w:eastAsia="宋体" w:hAnsi="宋体" w:cs="宋体"/>
          <w:spacing w:val="16"/>
          <w:sz w:val="20"/>
          <w:szCs w:val="20"/>
        </w:rPr>
        <w:t>0倍</w:t>
      </w:r>
      <w:r>
        <w:rPr>
          <w:rFonts w:ascii="宋体" w:eastAsia="宋体" w:hAnsi="宋体" w:cs="宋体"/>
          <w:sz w:val="20"/>
          <w:szCs w:val="20"/>
        </w:rPr>
        <w:t xml:space="preserve"> (按质量计)。</w:t>
      </w:r>
    </w:p>
    <w:p w:rsidR="00EA40A3" w:rsidRDefault="00E86C16">
      <w:pPr>
        <w:spacing w:before="32" w:line="219" w:lineRule="auto"/>
        <w:ind w:left="1459"/>
        <w:rPr>
          <w:rFonts w:ascii="宋体" w:eastAsia="宋体" w:hAnsi="宋体" w:cs="宋体"/>
          <w:sz w:val="20"/>
          <w:szCs w:val="20"/>
        </w:rPr>
      </w:pPr>
      <w:r>
        <w:rPr>
          <w:noProof/>
        </w:rPr>
        <w:drawing>
          <wp:anchor distT="0" distB="0" distL="0" distR="0" simplePos="0" relativeHeight="251707392" behindDoc="1" locked="0" layoutInCell="1" allowOverlap="1">
            <wp:simplePos x="0" y="0"/>
            <wp:positionH relativeFrom="column">
              <wp:posOffset>355600</wp:posOffset>
            </wp:positionH>
            <wp:positionV relativeFrom="paragraph">
              <wp:posOffset>-3175</wp:posOffset>
            </wp:positionV>
            <wp:extent cx="4000500" cy="596900"/>
            <wp:effectExtent l="0" t="0" r="0" b="0"/>
            <wp:wrapNone/>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228"/>
                    <a:stretch>
                      <a:fillRect/>
                    </a:stretch>
                  </pic:blipFill>
                  <pic:spPr>
                    <a:xfrm>
                      <a:off x="0" y="0"/>
                      <a:ext cx="4000458" cy="596906"/>
                    </a:xfrm>
                    <a:prstGeom prst="rect">
                      <a:avLst/>
                    </a:prstGeom>
                  </pic:spPr>
                </pic:pic>
              </a:graphicData>
            </a:graphic>
          </wp:anchor>
        </w:drawing>
      </w:r>
      <w:r>
        <w:rPr>
          <w:rFonts w:ascii="宋体" w:eastAsia="宋体" w:hAnsi="宋体" w:cs="宋体"/>
          <w:spacing w:val="-15"/>
          <w:w w:val="93"/>
          <w:sz w:val="20"/>
          <w:szCs w:val="20"/>
        </w:rPr>
        <w:t>水溶解</w:t>
      </w:r>
      <w:r>
        <w:rPr>
          <w:rFonts w:ascii="宋体" w:eastAsia="宋体" w:hAnsi="宋体" w:cs="宋体"/>
          <w:spacing w:val="20"/>
          <w:sz w:val="20"/>
          <w:szCs w:val="20"/>
        </w:rPr>
        <w:t xml:space="preserve">     </w:t>
      </w:r>
      <w:r>
        <w:rPr>
          <w:rFonts w:ascii="宋体" w:eastAsia="宋体" w:hAnsi="宋体" w:cs="宋体"/>
          <w:spacing w:val="-15"/>
          <w:w w:val="93"/>
          <w:sz w:val="20"/>
          <w:szCs w:val="20"/>
        </w:rPr>
        <w:t>面粉</w:t>
      </w:r>
    </w:p>
    <w:p w:rsidR="00EA40A3" w:rsidRDefault="00E86C16">
      <w:pPr>
        <w:spacing w:before="62" w:line="194" w:lineRule="auto"/>
        <w:ind w:left="320"/>
        <w:rPr>
          <w:rFonts w:ascii="宋体" w:eastAsia="宋体" w:hAnsi="宋体" w:cs="宋体"/>
          <w:sz w:val="20"/>
          <w:szCs w:val="20"/>
        </w:rPr>
      </w:pPr>
      <w:r>
        <w:rPr>
          <w:rFonts w:ascii="宋体" w:eastAsia="宋体" w:hAnsi="宋体" w:cs="宋体"/>
          <w:spacing w:val="-12"/>
          <w:position w:val="1"/>
          <w:sz w:val="20"/>
          <w:szCs w:val="20"/>
        </w:rPr>
        <w:t>维生素B</w:t>
      </w:r>
      <w:r>
        <w:rPr>
          <w:rFonts w:ascii="Calibri" w:eastAsia="Calibri" w:hAnsi="Calibri" w:cs="Calibri"/>
          <w:spacing w:val="-12"/>
          <w:position w:val="1"/>
          <w:sz w:val="20"/>
          <w:szCs w:val="20"/>
        </w:rPr>
        <w:t>₁</w:t>
      </w:r>
      <w:r>
        <w:rPr>
          <w:rFonts w:ascii="Calibri" w:eastAsia="Calibri" w:hAnsi="Calibri" w:cs="Calibri"/>
          <w:position w:val="1"/>
          <w:sz w:val="20"/>
          <w:szCs w:val="20"/>
        </w:rPr>
        <w:t xml:space="preserve">                      </w:t>
      </w:r>
      <w:r>
        <w:rPr>
          <w:rFonts w:ascii="宋体" w:eastAsia="宋体" w:hAnsi="宋体" w:cs="宋体"/>
          <w:spacing w:val="-12"/>
          <w:position w:val="1"/>
          <w:sz w:val="20"/>
          <w:szCs w:val="20"/>
        </w:rPr>
        <w:t>溶液</w:t>
      </w:r>
      <w:r>
        <w:rPr>
          <w:rFonts w:ascii="宋体" w:eastAsia="宋体" w:hAnsi="宋体" w:cs="宋体"/>
          <w:spacing w:val="11"/>
          <w:position w:val="1"/>
          <w:sz w:val="20"/>
          <w:szCs w:val="20"/>
        </w:rPr>
        <w:t xml:space="preserve">      </w:t>
      </w:r>
      <w:r>
        <w:rPr>
          <w:rFonts w:ascii="宋体" w:eastAsia="宋体" w:hAnsi="宋体" w:cs="宋体"/>
          <w:spacing w:val="-12"/>
          <w:sz w:val="20"/>
          <w:szCs w:val="20"/>
        </w:rPr>
        <w:t>喷雾干燥—→基料(每千克面粉7.14g维</w:t>
      </w:r>
      <w:r>
        <w:rPr>
          <w:rFonts w:ascii="宋体" w:eastAsia="宋体" w:hAnsi="宋体" w:cs="宋体"/>
          <w:spacing w:val="-13"/>
          <w:sz w:val="20"/>
          <w:szCs w:val="20"/>
        </w:rPr>
        <w:t>生素B</w:t>
      </w:r>
      <w:r>
        <w:rPr>
          <w:rFonts w:ascii="Calibri" w:eastAsia="Calibri" w:hAnsi="Calibri" w:cs="Calibri"/>
          <w:spacing w:val="-13"/>
          <w:sz w:val="20"/>
          <w:szCs w:val="20"/>
        </w:rPr>
        <w:t>₁</w:t>
      </w:r>
      <w:r>
        <w:rPr>
          <w:rFonts w:ascii="宋体" w:eastAsia="宋体" w:hAnsi="宋体" w:cs="宋体"/>
          <w:spacing w:val="-13"/>
          <w:sz w:val="20"/>
          <w:szCs w:val="20"/>
        </w:rPr>
        <w:t>)</w:t>
      </w:r>
    </w:p>
    <w:p w:rsidR="00EA40A3" w:rsidRDefault="00E86C16">
      <w:pPr>
        <w:spacing w:before="1" w:line="227" w:lineRule="auto"/>
        <w:ind w:left="320"/>
        <w:rPr>
          <w:rFonts w:ascii="宋体" w:eastAsia="宋体" w:hAnsi="宋体" w:cs="宋体"/>
          <w:sz w:val="20"/>
          <w:szCs w:val="20"/>
        </w:rPr>
      </w:pPr>
      <w:r>
        <w:rPr>
          <w:rFonts w:ascii="宋体" w:eastAsia="宋体" w:hAnsi="宋体" w:cs="宋体"/>
          <w:spacing w:val="-14"/>
          <w:position w:val="9"/>
          <w:sz w:val="20"/>
          <w:szCs w:val="20"/>
        </w:rPr>
        <w:t>(质量M)</w:t>
      </w:r>
      <w:r>
        <w:rPr>
          <w:rFonts w:ascii="宋体" w:eastAsia="宋体" w:hAnsi="宋体" w:cs="宋体"/>
          <w:spacing w:val="1"/>
          <w:position w:val="9"/>
          <w:sz w:val="20"/>
          <w:szCs w:val="20"/>
        </w:rPr>
        <w:t xml:space="preserve">              </w:t>
      </w:r>
      <w:r>
        <w:rPr>
          <w:rFonts w:ascii="宋体" w:eastAsia="宋体" w:hAnsi="宋体" w:cs="宋体"/>
          <w:spacing w:val="-14"/>
          <w:position w:val="-2"/>
          <w:sz w:val="20"/>
          <w:szCs w:val="20"/>
        </w:rPr>
        <w:t>面粉(基料的2000倍)</w:t>
      </w:r>
      <w:r>
        <w:rPr>
          <w:rFonts w:ascii="宋体" w:eastAsia="宋体" w:hAnsi="宋体" w:cs="宋体"/>
          <w:spacing w:val="4"/>
          <w:position w:val="-2"/>
          <w:sz w:val="20"/>
          <w:szCs w:val="20"/>
        </w:rPr>
        <w:t xml:space="preserve">        </w:t>
      </w:r>
      <w:r>
        <w:rPr>
          <w:rFonts w:ascii="宋体" w:eastAsia="宋体" w:hAnsi="宋体" w:cs="宋体"/>
          <w:spacing w:val="-14"/>
          <w:position w:val="-2"/>
          <w:sz w:val="20"/>
          <w:szCs w:val="20"/>
        </w:rPr>
        <w:t>强化面粉</w:t>
      </w:r>
    </w:p>
    <w:p w:rsidR="00EA40A3" w:rsidRDefault="00E86C16">
      <w:pPr>
        <w:spacing w:before="53" w:line="262" w:lineRule="auto"/>
        <w:ind w:left="49" w:right="233" w:firstLine="270"/>
        <w:rPr>
          <w:rFonts w:ascii="宋体" w:eastAsia="宋体" w:hAnsi="宋体" w:cs="宋体"/>
          <w:sz w:val="20"/>
          <w:szCs w:val="20"/>
        </w:rPr>
      </w:pPr>
      <w:r>
        <w:rPr>
          <w:rFonts w:ascii="宋体" w:eastAsia="宋体" w:hAnsi="宋体" w:cs="宋体"/>
          <w:spacing w:val="7"/>
          <w:sz w:val="20"/>
          <w:szCs w:val="20"/>
        </w:rPr>
        <w:t>另外，直接混合法是将多种强化剂先与淀粉混合配成基料，然后</w:t>
      </w:r>
      <w:r>
        <w:rPr>
          <w:rFonts w:ascii="宋体" w:eastAsia="宋体" w:hAnsi="宋体" w:cs="宋体"/>
          <w:spacing w:val="6"/>
          <w:sz w:val="20"/>
          <w:szCs w:val="20"/>
        </w:rPr>
        <w:t>将此基料与</w:t>
      </w:r>
      <w:r>
        <w:rPr>
          <w:rFonts w:ascii="宋体" w:eastAsia="宋体" w:hAnsi="宋体" w:cs="宋体"/>
          <w:sz w:val="20"/>
          <w:szCs w:val="20"/>
        </w:rPr>
        <w:t xml:space="preserve"> </w:t>
      </w:r>
      <w:r>
        <w:rPr>
          <w:rFonts w:ascii="宋体" w:eastAsia="宋体" w:hAnsi="宋体" w:cs="宋体"/>
          <w:spacing w:val="7"/>
          <w:sz w:val="20"/>
          <w:szCs w:val="20"/>
        </w:rPr>
        <w:t>800～6400倍量的普通面粉混合均匀即成需要的强</w:t>
      </w:r>
      <w:r>
        <w:rPr>
          <w:rFonts w:ascii="宋体" w:eastAsia="宋体" w:hAnsi="宋体" w:cs="宋体"/>
          <w:spacing w:val="6"/>
          <w:sz w:val="20"/>
          <w:szCs w:val="20"/>
        </w:rPr>
        <w:t>化面粉。</w:t>
      </w:r>
    </w:p>
    <w:p w:rsidR="00EA40A3" w:rsidRDefault="00E86C16">
      <w:pPr>
        <w:spacing w:before="40" w:line="270" w:lineRule="auto"/>
        <w:ind w:left="49" w:right="75" w:firstLine="270"/>
        <w:rPr>
          <w:rFonts w:ascii="宋体" w:eastAsia="宋体" w:hAnsi="宋体" w:cs="宋体"/>
          <w:sz w:val="20"/>
          <w:szCs w:val="20"/>
        </w:rPr>
      </w:pPr>
      <w:r>
        <w:rPr>
          <w:rFonts w:ascii="宋体" w:eastAsia="宋体" w:hAnsi="宋体" w:cs="宋体"/>
          <w:spacing w:val="7"/>
          <w:sz w:val="20"/>
          <w:szCs w:val="20"/>
        </w:rPr>
        <w:t>面包的强化在西方国家、亚洲地区都很普遍，如第二次世界大战后日本学校</w:t>
      </w:r>
      <w:r>
        <w:rPr>
          <w:rFonts w:ascii="宋体" w:eastAsia="宋体" w:hAnsi="宋体" w:cs="宋体"/>
          <w:spacing w:val="8"/>
          <w:sz w:val="20"/>
          <w:szCs w:val="20"/>
        </w:rPr>
        <w:t xml:space="preserve">  </w:t>
      </w:r>
      <w:r>
        <w:rPr>
          <w:rFonts w:ascii="宋体" w:eastAsia="宋体" w:hAnsi="宋体" w:cs="宋体"/>
          <w:spacing w:val="1"/>
          <w:sz w:val="20"/>
          <w:szCs w:val="20"/>
        </w:rPr>
        <w:t>的供食制成效突出，当时日本政府免费给学生提供午餐，其中午餐强化面包的食用</w:t>
      </w:r>
      <w:r>
        <w:rPr>
          <w:rFonts w:ascii="宋体" w:eastAsia="宋体" w:hAnsi="宋体" w:cs="宋体"/>
          <w:spacing w:val="17"/>
          <w:sz w:val="20"/>
          <w:szCs w:val="20"/>
        </w:rPr>
        <w:t xml:space="preserve"> </w:t>
      </w:r>
      <w:r>
        <w:rPr>
          <w:rFonts w:ascii="宋体" w:eastAsia="宋体" w:hAnsi="宋体" w:cs="宋体"/>
          <w:spacing w:val="9"/>
          <w:sz w:val="20"/>
          <w:szCs w:val="20"/>
        </w:rPr>
        <w:t>量为总产量的12.4%。实行结果表明，与第二次世界大战前比较，日本中小学生</w:t>
      </w:r>
      <w:r>
        <w:rPr>
          <w:rFonts w:ascii="宋体" w:eastAsia="宋体" w:hAnsi="宋体" w:cs="宋体"/>
          <w:spacing w:val="5"/>
          <w:sz w:val="20"/>
          <w:szCs w:val="20"/>
        </w:rPr>
        <w:t xml:space="preserve"> </w:t>
      </w:r>
      <w:r>
        <w:rPr>
          <w:rFonts w:ascii="宋体" w:eastAsia="宋体" w:hAnsi="宋体" w:cs="宋体"/>
          <w:sz w:val="20"/>
          <w:szCs w:val="20"/>
        </w:rPr>
        <w:t>身高增加了12～15cm。</w:t>
      </w:r>
    </w:p>
    <w:p w:rsidR="00EA40A3" w:rsidRDefault="00E86C16">
      <w:pPr>
        <w:spacing w:before="61" w:line="276" w:lineRule="auto"/>
        <w:ind w:left="49" w:firstLine="270"/>
        <w:rPr>
          <w:rFonts w:ascii="宋体" w:eastAsia="宋体" w:hAnsi="宋体" w:cs="宋体"/>
          <w:sz w:val="20"/>
          <w:szCs w:val="20"/>
        </w:rPr>
      </w:pPr>
      <w:r>
        <w:rPr>
          <w:rFonts w:ascii="宋体" w:eastAsia="宋体" w:hAnsi="宋体" w:cs="宋体"/>
          <w:spacing w:val="7"/>
          <w:sz w:val="20"/>
          <w:szCs w:val="20"/>
        </w:rPr>
        <w:t>面包中强化营养素的标准各国有所不同。例如，美国政府</w:t>
      </w:r>
      <w:r>
        <w:rPr>
          <w:rFonts w:ascii="宋体" w:eastAsia="宋体" w:hAnsi="宋体" w:cs="宋体"/>
          <w:spacing w:val="6"/>
          <w:sz w:val="20"/>
          <w:szCs w:val="20"/>
        </w:rPr>
        <w:t>规定，强化面包营</w:t>
      </w:r>
      <w:r>
        <w:rPr>
          <w:rFonts w:ascii="宋体" w:eastAsia="宋体" w:hAnsi="宋体" w:cs="宋体"/>
          <w:sz w:val="20"/>
          <w:szCs w:val="20"/>
        </w:rPr>
        <w:t xml:space="preserve">   </w:t>
      </w:r>
      <w:r>
        <w:rPr>
          <w:rFonts w:ascii="宋体" w:eastAsia="宋体" w:hAnsi="宋体" w:cs="宋体"/>
          <w:spacing w:val="9"/>
          <w:sz w:val="20"/>
          <w:szCs w:val="20"/>
        </w:rPr>
        <w:t>养强化剂添加量如表8-1所示。日本政府规定，除了添加维生素、矿物质外，还</w:t>
      </w:r>
      <w:r>
        <w:rPr>
          <w:rFonts w:ascii="宋体" w:eastAsia="宋体" w:hAnsi="宋体" w:cs="宋体"/>
          <w:spacing w:val="6"/>
          <w:sz w:val="20"/>
          <w:szCs w:val="20"/>
        </w:rPr>
        <w:t xml:space="preserve">  </w:t>
      </w:r>
      <w:r>
        <w:rPr>
          <w:rFonts w:ascii="宋体" w:eastAsia="宋体" w:hAnsi="宋体" w:cs="宋体"/>
          <w:spacing w:val="9"/>
          <w:sz w:val="20"/>
          <w:szCs w:val="20"/>
        </w:rPr>
        <w:t>需添加赖氨酸或其他物质(包括大豆蛋白、血粉、乳制品、小麦胚芽等)。目前，</w:t>
      </w:r>
      <w:r>
        <w:rPr>
          <w:rFonts w:ascii="宋体" w:eastAsia="宋体" w:hAnsi="宋体" w:cs="宋体"/>
          <w:spacing w:val="5"/>
          <w:sz w:val="20"/>
          <w:szCs w:val="20"/>
        </w:rPr>
        <w:t xml:space="preserve"> </w:t>
      </w:r>
      <w:r>
        <w:rPr>
          <w:rFonts w:ascii="宋体" w:eastAsia="宋体" w:hAnsi="宋体" w:cs="宋体"/>
          <w:spacing w:val="10"/>
          <w:sz w:val="20"/>
          <w:szCs w:val="20"/>
        </w:rPr>
        <w:t>市场上除了普通强化面包外，出现了一些具有保健功</w:t>
      </w:r>
      <w:r>
        <w:rPr>
          <w:rFonts w:ascii="宋体" w:eastAsia="宋体" w:hAnsi="宋体" w:cs="宋体"/>
          <w:spacing w:val="9"/>
          <w:sz w:val="20"/>
          <w:szCs w:val="20"/>
        </w:rPr>
        <w:t>能的面包，如麦麸面包(又</w:t>
      </w:r>
      <w:r>
        <w:rPr>
          <w:rFonts w:ascii="宋体" w:eastAsia="宋体" w:hAnsi="宋体" w:cs="宋体"/>
          <w:sz w:val="20"/>
          <w:szCs w:val="20"/>
        </w:rPr>
        <w:t xml:space="preserve">  </w:t>
      </w:r>
      <w:r>
        <w:rPr>
          <w:rFonts w:ascii="宋体" w:eastAsia="宋体" w:hAnsi="宋体" w:cs="宋体"/>
          <w:spacing w:val="30"/>
          <w:sz w:val="20"/>
          <w:szCs w:val="20"/>
        </w:rPr>
        <w:t>称减肥面包，主要成分为麦麸50%～90%、小麦粉8%～48%、精盐2%),纤</w:t>
      </w:r>
      <w:r>
        <w:rPr>
          <w:rFonts w:ascii="宋体" w:eastAsia="宋体" w:hAnsi="宋体" w:cs="宋体"/>
          <w:spacing w:val="17"/>
          <w:sz w:val="20"/>
          <w:szCs w:val="20"/>
        </w:rPr>
        <w:t xml:space="preserve"> </w:t>
      </w:r>
      <w:r>
        <w:rPr>
          <w:rFonts w:ascii="宋体" w:eastAsia="宋体" w:hAnsi="宋体" w:cs="宋体"/>
          <w:spacing w:val="16"/>
          <w:sz w:val="20"/>
          <w:szCs w:val="20"/>
        </w:rPr>
        <w:t>维面包(在小麦粉中添加麦麸、玉米皮、米糠、麦胚、大豆皮等),防蛀牙面</w:t>
      </w:r>
      <w:r>
        <w:rPr>
          <w:rFonts w:ascii="宋体" w:eastAsia="宋体" w:hAnsi="宋体" w:cs="宋体"/>
          <w:spacing w:val="15"/>
          <w:sz w:val="20"/>
          <w:szCs w:val="20"/>
        </w:rPr>
        <w:t>包</w:t>
      </w:r>
      <w:r>
        <w:rPr>
          <w:rFonts w:ascii="宋体" w:eastAsia="宋体" w:hAnsi="宋体" w:cs="宋体"/>
          <w:sz w:val="20"/>
          <w:szCs w:val="20"/>
        </w:rPr>
        <w:t xml:space="preserve"> </w:t>
      </w:r>
      <w:r>
        <w:rPr>
          <w:rFonts w:ascii="宋体" w:eastAsia="宋体" w:hAnsi="宋体" w:cs="宋体"/>
          <w:spacing w:val="15"/>
          <w:sz w:val="20"/>
          <w:szCs w:val="20"/>
        </w:rPr>
        <w:t>(用添加有磷酸氢钙的小麦面粉制成的面包，具有防治蛀牙的功效),绿色面包</w:t>
      </w:r>
    </w:p>
    <w:p w:rsidR="00EA40A3" w:rsidRDefault="00E86C16">
      <w:pPr>
        <w:spacing w:before="77" w:line="219" w:lineRule="auto"/>
        <w:ind w:left="49"/>
        <w:rPr>
          <w:rFonts w:ascii="宋体" w:eastAsia="宋体" w:hAnsi="宋体" w:cs="宋体"/>
          <w:sz w:val="20"/>
          <w:szCs w:val="20"/>
        </w:rPr>
      </w:pPr>
      <w:r>
        <w:rPr>
          <w:rFonts w:ascii="宋体" w:eastAsia="宋体" w:hAnsi="宋体" w:cs="宋体"/>
          <w:spacing w:val="14"/>
          <w:sz w:val="20"/>
          <w:szCs w:val="20"/>
        </w:rPr>
        <w:t>(在小麦粉中掺人3%～5%的海带粉、小球藻</w:t>
      </w:r>
      <w:r>
        <w:rPr>
          <w:rFonts w:ascii="宋体" w:eastAsia="宋体" w:hAnsi="宋体" w:cs="宋体"/>
          <w:spacing w:val="13"/>
          <w:sz w:val="20"/>
          <w:szCs w:val="20"/>
        </w:rPr>
        <w:t>粉等藻类食物的粉末，制成的面包</w:t>
      </w:r>
    </w:p>
    <w:p w:rsidR="00EA40A3" w:rsidRDefault="00EA40A3">
      <w:pPr>
        <w:spacing w:line="292" w:lineRule="auto"/>
      </w:pPr>
    </w:p>
    <w:p w:rsidR="00EA40A3" w:rsidRDefault="00E86C16">
      <w:pPr>
        <w:spacing w:before="65" w:line="220" w:lineRule="auto"/>
        <w:ind w:left="1432"/>
        <w:rPr>
          <w:rFonts w:ascii="黑体" w:eastAsia="黑体" w:hAnsi="黑体" w:cs="黑体"/>
          <w:sz w:val="20"/>
          <w:szCs w:val="20"/>
        </w:rPr>
      </w:pPr>
      <w:r>
        <w:rPr>
          <w:rFonts w:ascii="黑体" w:eastAsia="黑体" w:hAnsi="黑体" w:cs="黑体"/>
          <w:b/>
          <w:bCs/>
          <w:spacing w:val="-18"/>
          <w:sz w:val="20"/>
          <w:szCs w:val="20"/>
        </w:rPr>
        <w:t>表8-1</w:t>
      </w:r>
      <w:r>
        <w:rPr>
          <w:rFonts w:ascii="黑体" w:eastAsia="黑体" w:hAnsi="黑体" w:cs="黑体"/>
          <w:spacing w:val="58"/>
          <w:sz w:val="20"/>
          <w:szCs w:val="20"/>
        </w:rPr>
        <w:t xml:space="preserve"> </w:t>
      </w:r>
      <w:r>
        <w:rPr>
          <w:rFonts w:ascii="黑体" w:eastAsia="黑体" w:hAnsi="黑体" w:cs="黑体"/>
          <w:b/>
          <w:bCs/>
          <w:spacing w:val="-18"/>
          <w:sz w:val="20"/>
          <w:szCs w:val="20"/>
        </w:rPr>
        <w:t>美国强化面粉与面包的营养强化剂添加量</w:t>
      </w:r>
      <w:r>
        <w:rPr>
          <w:rFonts w:ascii="黑体" w:eastAsia="黑体" w:hAnsi="黑体" w:cs="黑体"/>
          <w:spacing w:val="-18"/>
          <w:sz w:val="20"/>
          <w:szCs w:val="20"/>
        </w:rPr>
        <w:t xml:space="preserve"> (每磅)</w:t>
      </w:r>
    </w:p>
    <w:p w:rsidR="00EA40A3" w:rsidRDefault="00EA40A3">
      <w:pPr>
        <w:spacing w:line="14" w:lineRule="exact"/>
      </w:pPr>
    </w:p>
    <w:tbl>
      <w:tblPr>
        <w:tblStyle w:val="TableNormal"/>
        <w:tblW w:w="730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453"/>
        <w:gridCol w:w="2383"/>
        <w:gridCol w:w="2473"/>
      </w:tblGrid>
      <w:tr w:rsidR="00EA40A3">
        <w:trPr>
          <w:trHeight w:val="243"/>
        </w:trPr>
        <w:tc>
          <w:tcPr>
            <w:tcW w:w="2453" w:type="dxa"/>
            <w:tcBorders>
              <w:top w:val="single" w:sz="4" w:space="0" w:color="000000"/>
              <w:bottom w:val="single" w:sz="4" w:space="0" w:color="000000"/>
            </w:tcBorders>
          </w:tcPr>
          <w:p w:rsidR="00EA40A3" w:rsidRDefault="00E86C16">
            <w:pPr>
              <w:spacing w:before="81" w:line="186" w:lineRule="auto"/>
              <w:ind w:left="1060"/>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2383" w:type="dxa"/>
            <w:tcBorders>
              <w:top w:val="single" w:sz="4" w:space="0" w:color="000000"/>
              <w:bottom w:val="single" w:sz="4" w:space="0" w:color="000000"/>
            </w:tcBorders>
          </w:tcPr>
          <w:p w:rsidR="00EA40A3" w:rsidRDefault="00E86C16">
            <w:pPr>
              <w:spacing w:before="81" w:line="186" w:lineRule="auto"/>
              <w:ind w:left="856"/>
              <w:rPr>
                <w:rFonts w:ascii="宋体" w:eastAsia="宋体" w:hAnsi="宋体" w:cs="宋体"/>
                <w:sz w:val="16"/>
                <w:szCs w:val="16"/>
              </w:rPr>
            </w:pPr>
            <w:r>
              <w:rPr>
                <w:rFonts w:ascii="宋体" w:eastAsia="宋体" w:hAnsi="宋体" w:cs="宋体"/>
                <w:spacing w:val="-2"/>
                <w:sz w:val="16"/>
                <w:szCs w:val="16"/>
              </w:rPr>
              <w:t>强化面粉</w:t>
            </w:r>
          </w:p>
        </w:tc>
        <w:tc>
          <w:tcPr>
            <w:tcW w:w="2473" w:type="dxa"/>
            <w:tcBorders>
              <w:top w:val="single" w:sz="4" w:space="0" w:color="000000"/>
              <w:bottom w:val="single" w:sz="4" w:space="0" w:color="000000"/>
            </w:tcBorders>
          </w:tcPr>
          <w:p w:rsidR="00EA40A3" w:rsidRDefault="00E86C16">
            <w:pPr>
              <w:spacing w:before="82" w:line="185" w:lineRule="auto"/>
              <w:ind w:left="904"/>
              <w:rPr>
                <w:rFonts w:ascii="宋体" w:eastAsia="宋体" w:hAnsi="宋体" w:cs="宋体"/>
                <w:sz w:val="16"/>
                <w:szCs w:val="16"/>
              </w:rPr>
            </w:pPr>
            <w:r>
              <w:rPr>
                <w:rFonts w:ascii="宋体" w:eastAsia="宋体" w:hAnsi="宋体" w:cs="宋体"/>
                <w:spacing w:val="-2"/>
                <w:sz w:val="16"/>
                <w:szCs w:val="16"/>
              </w:rPr>
              <w:t>强化面包</w:t>
            </w:r>
          </w:p>
        </w:tc>
      </w:tr>
      <w:tr w:rsidR="00EA40A3">
        <w:trPr>
          <w:trHeight w:val="221"/>
        </w:trPr>
        <w:tc>
          <w:tcPr>
            <w:tcW w:w="2453" w:type="dxa"/>
            <w:tcBorders>
              <w:top w:val="single" w:sz="4" w:space="0" w:color="000000"/>
            </w:tcBorders>
          </w:tcPr>
          <w:p w:rsidR="00EA40A3" w:rsidRDefault="00E86C16">
            <w:pPr>
              <w:spacing w:before="33" w:line="214" w:lineRule="auto"/>
              <w:ind w:left="670"/>
              <w:rPr>
                <w:rFonts w:ascii="宋体" w:eastAsia="宋体" w:hAnsi="宋体" w:cs="宋体"/>
                <w:sz w:val="16"/>
                <w:szCs w:val="16"/>
              </w:rPr>
            </w:pPr>
            <w:r>
              <w:rPr>
                <w:rFonts w:ascii="宋体" w:eastAsia="宋体" w:hAnsi="宋体" w:cs="宋体"/>
                <w:spacing w:val="14"/>
                <w:sz w:val="16"/>
                <w:szCs w:val="16"/>
              </w:rPr>
              <w:t>维生素B</w:t>
            </w:r>
            <w:r>
              <w:rPr>
                <w:rFonts w:ascii="Calibri" w:eastAsia="Calibri" w:hAnsi="Calibri" w:cs="Calibri"/>
                <w:spacing w:val="14"/>
                <w:sz w:val="16"/>
                <w:szCs w:val="16"/>
              </w:rPr>
              <w:t>₁</w:t>
            </w:r>
            <w:r>
              <w:rPr>
                <w:rFonts w:ascii="宋体" w:eastAsia="宋体" w:hAnsi="宋体" w:cs="宋体"/>
                <w:spacing w:val="14"/>
                <w:sz w:val="16"/>
                <w:szCs w:val="16"/>
              </w:rPr>
              <w:t>/</w:t>
            </w:r>
            <w:r>
              <w:rPr>
                <w:rFonts w:ascii="宋体" w:eastAsia="宋体" w:hAnsi="宋体" w:cs="宋体"/>
                <w:sz w:val="16"/>
                <w:szCs w:val="16"/>
              </w:rPr>
              <w:t>mg</w:t>
            </w:r>
          </w:p>
        </w:tc>
        <w:tc>
          <w:tcPr>
            <w:tcW w:w="2383" w:type="dxa"/>
            <w:tcBorders>
              <w:top w:val="single" w:sz="4" w:space="0" w:color="000000"/>
            </w:tcBorders>
          </w:tcPr>
          <w:p w:rsidR="00EA40A3" w:rsidRDefault="00E86C16">
            <w:pPr>
              <w:spacing w:before="89" w:line="132" w:lineRule="exact"/>
              <w:ind w:left="1136"/>
              <w:rPr>
                <w:rFonts w:ascii="宋体" w:eastAsia="宋体" w:hAnsi="宋体" w:cs="宋体"/>
                <w:sz w:val="16"/>
                <w:szCs w:val="16"/>
              </w:rPr>
            </w:pPr>
            <w:r>
              <w:rPr>
                <w:rFonts w:ascii="宋体" w:eastAsia="宋体" w:hAnsi="宋体" w:cs="宋体"/>
                <w:position w:val="-2"/>
                <w:sz w:val="16"/>
                <w:szCs w:val="16"/>
              </w:rPr>
              <w:t>2</w:t>
            </w:r>
          </w:p>
        </w:tc>
        <w:tc>
          <w:tcPr>
            <w:tcW w:w="2473" w:type="dxa"/>
            <w:tcBorders>
              <w:top w:val="single" w:sz="4" w:space="0" w:color="000000"/>
            </w:tcBorders>
          </w:tcPr>
          <w:p w:rsidR="00EA40A3" w:rsidRDefault="00E86C16">
            <w:pPr>
              <w:spacing w:before="89" w:line="132" w:lineRule="exact"/>
              <w:ind w:left="1103"/>
              <w:rPr>
                <w:rFonts w:ascii="宋体" w:eastAsia="宋体" w:hAnsi="宋体" w:cs="宋体"/>
                <w:sz w:val="16"/>
                <w:szCs w:val="16"/>
              </w:rPr>
            </w:pPr>
            <w:r>
              <w:rPr>
                <w:rFonts w:ascii="宋体" w:eastAsia="宋体" w:hAnsi="宋体" w:cs="宋体"/>
                <w:spacing w:val="-5"/>
                <w:position w:val="-2"/>
                <w:sz w:val="16"/>
                <w:szCs w:val="16"/>
              </w:rPr>
              <w:t>1.1</w:t>
            </w:r>
          </w:p>
        </w:tc>
      </w:tr>
      <w:tr w:rsidR="00EA40A3">
        <w:trPr>
          <w:trHeight w:val="221"/>
        </w:trPr>
        <w:tc>
          <w:tcPr>
            <w:tcW w:w="2453" w:type="dxa"/>
          </w:tcPr>
          <w:p w:rsidR="00EA40A3" w:rsidRDefault="00E86C16">
            <w:pPr>
              <w:spacing w:before="22" w:line="214" w:lineRule="auto"/>
              <w:ind w:left="670"/>
              <w:rPr>
                <w:rFonts w:ascii="宋体" w:eastAsia="宋体" w:hAnsi="宋体" w:cs="宋体"/>
                <w:sz w:val="16"/>
                <w:szCs w:val="16"/>
              </w:rPr>
            </w:pPr>
            <w:r>
              <w:rPr>
                <w:rFonts w:ascii="宋体" w:eastAsia="宋体" w:hAnsi="宋体" w:cs="宋体"/>
                <w:spacing w:val="12"/>
                <w:sz w:val="16"/>
                <w:szCs w:val="16"/>
              </w:rPr>
              <w:t>维生素B</w:t>
            </w:r>
            <w:r>
              <w:rPr>
                <w:rFonts w:ascii="Calibri" w:eastAsia="Calibri" w:hAnsi="Calibri" w:cs="Calibri"/>
                <w:spacing w:val="12"/>
                <w:sz w:val="16"/>
                <w:szCs w:val="16"/>
              </w:rPr>
              <w:t>₂</w:t>
            </w:r>
            <w:r>
              <w:rPr>
                <w:rFonts w:ascii="宋体" w:eastAsia="宋体" w:hAnsi="宋体" w:cs="宋体"/>
                <w:spacing w:val="12"/>
                <w:sz w:val="16"/>
                <w:szCs w:val="16"/>
              </w:rPr>
              <w:t>/</w:t>
            </w:r>
            <w:r>
              <w:rPr>
                <w:rFonts w:ascii="宋体" w:eastAsia="宋体" w:hAnsi="宋体" w:cs="宋体"/>
                <w:sz w:val="16"/>
                <w:szCs w:val="16"/>
              </w:rPr>
              <w:t>mg</w:t>
            </w:r>
          </w:p>
        </w:tc>
        <w:tc>
          <w:tcPr>
            <w:tcW w:w="2383" w:type="dxa"/>
          </w:tcPr>
          <w:p w:rsidR="00EA40A3" w:rsidRDefault="00E86C16">
            <w:pPr>
              <w:spacing w:before="78" w:line="165" w:lineRule="auto"/>
              <w:ind w:left="1197"/>
              <w:rPr>
                <w:rFonts w:ascii="宋体" w:eastAsia="宋体" w:hAnsi="宋体" w:cs="宋体"/>
                <w:sz w:val="16"/>
                <w:szCs w:val="16"/>
              </w:rPr>
            </w:pPr>
            <w:r>
              <w:rPr>
                <w:rFonts w:ascii="宋体" w:eastAsia="宋体" w:hAnsi="宋体" w:cs="宋体"/>
                <w:spacing w:val="-5"/>
                <w:sz w:val="16"/>
                <w:szCs w:val="16"/>
              </w:rPr>
              <w:t>1.2</w:t>
            </w:r>
          </w:p>
        </w:tc>
        <w:tc>
          <w:tcPr>
            <w:tcW w:w="2473" w:type="dxa"/>
          </w:tcPr>
          <w:p w:rsidR="00EA40A3" w:rsidRDefault="00E86C16">
            <w:pPr>
              <w:spacing w:before="88" w:line="133" w:lineRule="exact"/>
              <w:ind w:left="1103"/>
              <w:rPr>
                <w:rFonts w:ascii="宋体" w:eastAsia="宋体" w:hAnsi="宋体" w:cs="宋体"/>
                <w:sz w:val="16"/>
                <w:szCs w:val="16"/>
              </w:rPr>
            </w:pPr>
            <w:r>
              <w:rPr>
                <w:rFonts w:ascii="宋体" w:eastAsia="宋体" w:hAnsi="宋体" w:cs="宋体"/>
                <w:spacing w:val="-2"/>
                <w:position w:val="-2"/>
                <w:sz w:val="16"/>
                <w:szCs w:val="16"/>
              </w:rPr>
              <w:t>0.7</w:t>
            </w:r>
          </w:p>
        </w:tc>
      </w:tr>
      <w:tr w:rsidR="00EA40A3">
        <w:trPr>
          <w:trHeight w:val="226"/>
        </w:trPr>
        <w:tc>
          <w:tcPr>
            <w:tcW w:w="2453" w:type="dxa"/>
          </w:tcPr>
          <w:p w:rsidR="00EA40A3" w:rsidRDefault="00E86C16">
            <w:pPr>
              <w:spacing w:before="26" w:line="219" w:lineRule="auto"/>
              <w:ind w:left="670"/>
              <w:rPr>
                <w:rFonts w:ascii="宋体" w:eastAsia="宋体" w:hAnsi="宋体" w:cs="宋体"/>
                <w:sz w:val="16"/>
                <w:szCs w:val="16"/>
              </w:rPr>
            </w:pPr>
            <w:r>
              <w:rPr>
                <w:rFonts w:ascii="宋体" w:eastAsia="宋体" w:hAnsi="宋体" w:cs="宋体"/>
                <w:spacing w:val="-2"/>
                <w:sz w:val="16"/>
                <w:szCs w:val="16"/>
              </w:rPr>
              <w:t>维生素D/1U</w:t>
            </w:r>
          </w:p>
        </w:tc>
        <w:tc>
          <w:tcPr>
            <w:tcW w:w="2383" w:type="dxa"/>
          </w:tcPr>
          <w:p w:rsidR="00EA40A3" w:rsidRDefault="00E86C16">
            <w:pPr>
              <w:spacing w:before="77" w:line="171" w:lineRule="auto"/>
              <w:ind w:left="1056"/>
              <w:rPr>
                <w:rFonts w:ascii="宋体" w:eastAsia="宋体" w:hAnsi="宋体" w:cs="宋体"/>
                <w:sz w:val="16"/>
                <w:szCs w:val="16"/>
              </w:rPr>
            </w:pPr>
            <w:r>
              <w:rPr>
                <w:rFonts w:ascii="宋体" w:eastAsia="宋体" w:hAnsi="宋体" w:cs="宋体"/>
                <w:spacing w:val="-2"/>
                <w:sz w:val="16"/>
                <w:szCs w:val="16"/>
              </w:rPr>
              <w:t>250</w:t>
            </w:r>
          </w:p>
        </w:tc>
        <w:tc>
          <w:tcPr>
            <w:tcW w:w="2473" w:type="dxa"/>
          </w:tcPr>
          <w:p w:rsidR="00EA40A3" w:rsidRDefault="00E86C16">
            <w:pPr>
              <w:spacing w:before="97" w:line="129" w:lineRule="exact"/>
              <w:ind w:left="1003"/>
              <w:rPr>
                <w:rFonts w:ascii="宋体" w:eastAsia="宋体" w:hAnsi="宋体" w:cs="宋体"/>
                <w:sz w:val="16"/>
                <w:szCs w:val="16"/>
              </w:rPr>
            </w:pPr>
            <w:r>
              <w:rPr>
                <w:rFonts w:ascii="宋体" w:eastAsia="宋体" w:hAnsi="宋体" w:cs="宋体"/>
                <w:spacing w:val="-5"/>
                <w:position w:val="-2"/>
                <w:sz w:val="16"/>
                <w:szCs w:val="16"/>
              </w:rPr>
              <w:t>150</w:t>
            </w:r>
          </w:p>
        </w:tc>
      </w:tr>
      <w:tr w:rsidR="00EA40A3">
        <w:trPr>
          <w:trHeight w:val="215"/>
        </w:trPr>
        <w:tc>
          <w:tcPr>
            <w:tcW w:w="2453" w:type="dxa"/>
          </w:tcPr>
          <w:p w:rsidR="00EA40A3" w:rsidRDefault="00E86C16">
            <w:pPr>
              <w:spacing w:before="25" w:line="214" w:lineRule="auto"/>
              <w:ind w:left="670"/>
              <w:rPr>
                <w:rFonts w:ascii="宋体" w:eastAsia="宋体" w:hAnsi="宋体" w:cs="宋体"/>
                <w:sz w:val="16"/>
                <w:szCs w:val="16"/>
              </w:rPr>
            </w:pPr>
            <w:r>
              <w:rPr>
                <w:rFonts w:ascii="宋体" w:eastAsia="宋体" w:hAnsi="宋体" w:cs="宋体"/>
                <w:spacing w:val="-2"/>
                <w:sz w:val="16"/>
                <w:szCs w:val="16"/>
              </w:rPr>
              <w:t>尼克酸/mg</w:t>
            </w:r>
          </w:p>
        </w:tc>
        <w:tc>
          <w:tcPr>
            <w:tcW w:w="2383" w:type="dxa"/>
          </w:tcPr>
          <w:p w:rsidR="00EA40A3" w:rsidRDefault="00E86C16">
            <w:pPr>
              <w:spacing w:before="91" w:line="123" w:lineRule="exact"/>
              <w:ind w:left="1096"/>
              <w:rPr>
                <w:rFonts w:ascii="宋体" w:eastAsia="宋体" w:hAnsi="宋体" w:cs="宋体"/>
                <w:sz w:val="16"/>
                <w:szCs w:val="16"/>
              </w:rPr>
            </w:pPr>
            <w:r>
              <w:rPr>
                <w:rFonts w:ascii="宋体" w:eastAsia="宋体" w:hAnsi="宋体" w:cs="宋体"/>
                <w:spacing w:val="-5"/>
                <w:position w:val="-2"/>
                <w:sz w:val="16"/>
                <w:szCs w:val="16"/>
              </w:rPr>
              <w:t>16</w:t>
            </w:r>
          </w:p>
        </w:tc>
        <w:tc>
          <w:tcPr>
            <w:tcW w:w="2473" w:type="dxa"/>
          </w:tcPr>
          <w:p w:rsidR="00EA40A3" w:rsidRDefault="00E86C16">
            <w:pPr>
              <w:spacing w:before="81" w:line="133" w:lineRule="exact"/>
              <w:ind w:left="1063"/>
              <w:rPr>
                <w:rFonts w:ascii="宋体" w:eastAsia="宋体" w:hAnsi="宋体" w:cs="宋体"/>
                <w:sz w:val="16"/>
                <w:szCs w:val="16"/>
              </w:rPr>
            </w:pPr>
            <w:r>
              <w:rPr>
                <w:rFonts w:ascii="宋体" w:eastAsia="宋体" w:hAnsi="宋体" w:cs="宋体"/>
                <w:spacing w:val="-5"/>
                <w:position w:val="-2"/>
                <w:sz w:val="16"/>
                <w:szCs w:val="16"/>
              </w:rPr>
              <w:t>10</w:t>
            </w:r>
          </w:p>
        </w:tc>
      </w:tr>
      <w:tr w:rsidR="00EA40A3">
        <w:trPr>
          <w:trHeight w:val="223"/>
        </w:trPr>
        <w:tc>
          <w:tcPr>
            <w:tcW w:w="2453" w:type="dxa"/>
          </w:tcPr>
          <w:p w:rsidR="00EA40A3" w:rsidRDefault="00E86C16">
            <w:pPr>
              <w:spacing w:before="20" w:line="214" w:lineRule="auto"/>
              <w:ind w:left="670"/>
              <w:rPr>
                <w:rFonts w:ascii="宋体" w:eastAsia="宋体" w:hAnsi="宋体" w:cs="宋体"/>
                <w:sz w:val="16"/>
                <w:szCs w:val="16"/>
              </w:rPr>
            </w:pPr>
            <w:r>
              <w:rPr>
                <w:rFonts w:ascii="宋体" w:eastAsia="宋体" w:hAnsi="宋体" w:cs="宋体"/>
                <w:spacing w:val="-2"/>
                <w:sz w:val="16"/>
                <w:szCs w:val="16"/>
              </w:rPr>
              <w:t>钙/mg</w:t>
            </w:r>
          </w:p>
        </w:tc>
        <w:tc>
          <w:tcPr>
            <w:tcW w:w="2383" w:type="dxa"/>
          </w:tcPr>
          <w:p w:rsidR="00EA40A3" w:rsidRDefault="00E86C16">
            <w:pPr>
              <w:spacing w:before="86" w:line="158" w:lineRule="auto"/>
              <w:ind w:left="1096"/>
              <w:rPr>
                <w:rFonts w:ascii="宋体" w:eastAsia="宋体" w:hAnsi="宋体" w:cs="宋体"/>
                <w:sz w:val="16"/>
                <w:szCs w:val="16"/>
              </w:rPr>
            </w:pPr>
            <w:r>
              <w:rPr>
                <w:rFonts w:ascii="宋体" w:eastAsia="宋体" w:hAnsi="宋体" w:cs="宋体"/>
                <w:spacing w:val="-5"/>
                <w:sz w:val="16"/>
                <w:szCs w:val="16"/>
              </w:rPr>
              <w:t>13</w:t>
            </w:r>
          </w:p>
        </w:tc>
        <w:tc>
          <w:tcPr>
            <w:tcW w:w="2473" w:type="dxa"/>
          </w:tcPr>
          <w:p w:rsidR="00EA40A3" w:rsidRDefault="00E86C16">
            <w:pPr>
              <w:spacing w:before="86" w:line="157" w:lineRule="auto"/>
              <w:ind w:left="1184"/>
              <w:rPr>
                <w:rFonts w:ascii="宋体" w:eastAsia="宋体" w:hAnsi="宋体" w:cs="宋体"/>
                <w:sz w:val="16"/>
                <w:szCs w:val="16"/>
              </w:rPr>
            </w:pPr>
            <w:r>
              <w:rPr>
                <w:rFonts w:ascii="宋体" w:eastAsia="宋体" w:hAnsi="宋体" w:cs="宋体"/>
                <w:sz w:val="16"/>
                <w:szCs w:val="16"/>
              </w:rPr>
              <w:t>8</w:t>
            </w:r>
          </w:p>
        </w:tc>
      </w:tr>
      <w:tr w:rsidR="00EA40A3">
        <w:trPr>
          <w:trHeight w:val="201"/>
        </w:trPr>
        <w:tc>
          <w:tcPr>
            <w:tcW w:w="2453" w:type="dxa"/>
            <w:tcBorders>
              <w:bottom w:val="single" w:sz="4" w:space="0" w:color="000000"/>
            </w:tcBorders>
          </w:tcPr>
          <w:p w:rsidR="00EA40A3" w:rsidRDefault="00E86C16">
            <w:pPr>
              <w:spacing w:before="37" w:line="189" w:lineRule="auto"/>
              <w:ind w:left="670"/>
              <w:rPr>
                <w:rFonts w:ascii="宋体" w:eastAsia="宋体" w:hAnsi="宋体" w:cs="宋体"/>
                <w:sz w:val="16"/>
                <w:szCs w:val="16"/>
              </w:rPr>
            </w:pPr>
            <w:r>
              <w:rPr>
                <w:rFonts w:ascii="宋体" w:eastAsia="宋体" w:hAnsi="宋体" w:cs="宋体"/>
                <w:spacing w:val="-2"/>
                <w:sz w:val="16"/>
                <w:szCs w:val="16"/>
              </w:rPr>
              <w:t>磷/mg</w:t>
            </w:r>
          </w:p>
        </w:tc>
        <w:tc>
          <w:tcPr>
            <w:tcW w:w="2383" w:type="dxa"/>
            <w:tcBorders>
              <w:bottom w:val="single" w:sz="4" w:space="0" w:color="000000"/>
            </w:tcBorders>
          </w:tcPr>
          <w:p w:rsidR="00EA40A3" w:rsidRDefault="00E86C16">
            <w:pPr>
              <w:spacing w:before="73" w:line="128" w:lineRule="exact"/>
              <w:ind w:left="1056"/>
              <w:rPr>
                <w:rFonts w:ascii="宋体" w:eastAsia="宋体" w:hAnsi="宋体" w:cs="宋体"/>
                <w:sz w:val="16"/>
                <w:szCs w:val="16"/>
              </w:rPr>
            </w:pPr>
            <w:r>
              <w:rPr>
                <w:rFonts w:ascii="宋体" w:eastAsia="宋体" w:hAnsi="宋体" w:cs="宋体"/>
                <w:spacing w:val="-3"/>
                <w:position w:val="-2"/>
                <w:sz w:val="16"/>
                <w:szCs w:val="16"/>
              </w:rPr>
              <w:t>500</w:t>
            </w:r>
          </w:p>
        </w:tc>
        <w:tc>
          <w:tcPr>
            <w:tcW w:w="2473" w:type="dxa"/>
            <w:tcBorders>
              <w:bottom w:val="single" w:sz="4" w:space="0" w:color="000000"/>
            </w:tcBorders>
          </w:tcPr>
          <w:p w:rsidR="00EA40A3" w:rsidRDefault="00E86C16">
            <w:pPr>
              <w:spacing w:before="83" w:line="118" w:lineRule="exact"/>
              <w:ind w:left="984"/>
              <w:rPr>
                <w:rFonts w:ascii="宋体" w:eastAsia="宋体" w:hAnsi="宋体" w:cs="宋体"/>
                <w:sz w:val="16"/>
                <w:szCs w:val="16"/>
              </w:rPr>
            </w:pPr>
            <w:r>
              <w:rPr>
                <w:rFonts w:ascii="宋体" w:eastAsia="宋体" w:hAnsi="宋体" w:cs="宋体"/>
                <w:spacing w:val="-3"/>
                <w:position w:val="-2"/>
                <w:sz w:val="16"/>
                <w:szCs w:val="16"/>
              </w:rPr>
              <w:t>300</w:t>
            </w:r>
          </w:p>
        </w:tc>
      </w:tr>
    </w:tbl>
    <w:p w:rsidR="00EA40A3" w:rsidRDefault="00E86C16">
      <w:pPr>
        <w:spacing w:before="86" w:line="214" w:lineRule="auto"/>
        <w:ind w:left="329"/>
        <w:rPr>
          <w:rFonts w:ascii="宋体" w:eastAsia="宋体" w:hAnsi="宋体" w:cs="宋体"/>
          <w:sz w:val="16"/>
          <w:szCs w:val="16"/>
        </w:rPr>
      </w:pPr>
      <w:r>
        <w:rPr>
          <w:rFonts w:ascii="宋体" w:eastAsia="宋体" w:hAnsi="宋体" w:cs="宋体"/>
          <w:spacing w:val="-1"/>
          <w:sz w:val="16"/>
          <w:szCs w:val="16"/>
        </w:rPr>
        <w:t>注：11b=0.4536kg</w:t>
      </w:r>
    </w:p>
    <w:p w:rsidR="00EA40A3" w:rsidRDefault="00E86C16">
      <w:pPr>
        <w:spacing w:before="90" w:line="219" w:lineRule="auto"/>
        <w:ind w:left="320"/>
        <w:rPr>
          <w:rFonts w:ascii="宋体" w:eastAsia="宋体" w:hAnsi="宋体" w:cs="宋体"/>
          <w:sz w:val="17"/>
          <w:szCs w:val="17"/>
        </w:rPr>
      </w:pPr>
      <w:r>
        <w:rPr>
          <w:rFonts w:ascii="宋体" w:eastAsia="宋体" w:hAnsi="宋体" w:cs="宋体"/>
          <w:spacing w:val="-6"/>
          <w:sz w:val="17"/>
          <w:szCs w:val="17"/>
        </w:rPr>
        <w:t>资料来源：刘程，江小梅.1994.当代新型食品.北京：北京工业大学出版社</w:t>
      </w:r>
    </w:p>
    <w:p w:rsidR="00EA40A3" w:rsidRDefault="00EA40A3">
      <w:pPr>
        <w:sectPr w:rsidR="00EA40A3">
          <w:footerReference w:type="default" r:id="rId229"/>
          <w:pgSz w:w="9220" w:h="13360"/>
          <w:pgMar w:top="400" w:right="949" w:bottom="1281" w:left="890" w:header="0" w:footer="1022" w:gutter="0"/>
          <w:cols w:space="720"/>
        </w:sectPr>
      </w:pPr>
    </w:p>
    <w:p w:rsidR="00EA40A3" w:rsidRDefault="00EA40A3">
      <w:pPr>
        <w:spacing w:line="281" w:lineRule="auto"/>
      </w:pPr>
    </w:p>
    <w:p w:rsidR="00EA40A3" w:rsidRDefault="00EA40A3">
      <w:pPr>
        <w:spacing w:line="281" w:lineRule="auto"/>
      </w:pPr>
    </w:p>
    <w:p w:rsidR="00EA40A3" w:rsidRDefault="00E86C16">
      <w:pPr>
        <w:spacing w:before="71" w:line="247" w:lineRule="auto"/>
        <w:ind w:right="97"/>
        <w:jc w:val="both"/>
        <w:rPr>
          <w:rFonts w:ascii="宋体" w:eastAsia="宋体" w:hAnsi="宋体" w:cs="宋体"/>
          <w:sz w:val="22"/>
          <w:szCs w:val="22"/>
        </w:rPr>
      </w:pPr>
      <w:r>
        <w:rPr>
          <w:rFonts w:ascii="宋体" w:eastAsia="宋体" w:hAnsi="宋体" w:cs="宋体"/>
          <w:spacing w:val="-13"/>
          <w:sz w:val="22"/>
          <w:szCs w:val="22"/>
        </w:rPr>
        <w:t>含有丰富的碘和维生素，不但味道好，口感柔软，而且还具有预防和治疗甲状腺</w:t>
      </w:r>
      <w:r>
        <w:rPr>
          <w:rFonts w:ascii="宋体" w:eastAsia="宋体" w:hAnsi="宋体" w:cs="宋体"/>
          <w:spacing w:val="2"/>
          <w:sz w:val="22"/>
          <w:szCs w:val="22"/>
        </w:rPr>
        <w:t xml:space="preserve"> </w:t>
      </w:r>
      <w:r>
        <w:rPr>
          <w:rFonts w:ascii="宋体" w:eastAsia="宋体" w:hAnsi="宋体" w:cs="宋体"/>
          <w:sz w:val="22"/>
          <w:szCs w:val="22"/>
        </w:rPr>
        <w:t>肿大，舒张血管，降低血压，预防动脉硬化以及补血润肺的</w:t>
      </w:r>
      <w:r>
        <w:rPr>
          <w:rFonts w:ascii="宋体" w:eastAsia="宋体" w:hAnsi="宋体" w:cs="宋体"/>
          <w:spacing w:val="-1"/>
          <w:sz w:val="22"/>
          <w:szCs w:val="22"/>
        </w:rPr>
        <w:t>功能),富钙面包</w:t>
      </w:r>
      <w:r>
        <w:rPr>
          <w:rFonts w:ascii="宋体" w:eastAsia="宋体" w:hAnsi="宋体" w:cs="宋体"/>
          <w:sz w:val="22"/>
          <w:szCs w:val="22"/>
        </w:rPr>
        <w:t xml:space="preserve"> </w:t>
      </w:r>
      <w:r>
        <w:rPr>
          <w:rFonts w:ascii="宋体" w:eastAsia="宋体" w:hAnsi="宋体" w:cs="宋体"/>
          <w:spacing w:val="-16"/>
          <w:sz w:val="22"/>
          <w:szCs w:val="22"/>
        </w:rPr>
        <w:t>(在面包中添加畜骨的骨泥)。</w:t>
      </w:r>
    </w:p>
    <w:p w:rsidR="00EA40A3" w:rsidRDefault="00E86C16">
      <w:pPr>
        <w:spacing w:before="31" w:line="237" w:lineRule="auto"/>
        <w:ind w:right="100" w:firstLine="430"/>
        <w:rPr>
          <w:rFonts w:ascii="宋体" w:eastAsia="宋体" w:hAnsi="宋体" w:cs="宋体"/>
          <w:sz w:val="22"/>
          <w:szCs w:val="22"/>
        </w:rPr>
      </w:pPr>
      <w:r>
        <w:rPr>
          <w:rFonts w:ascii="宋体" w:eastAsia="宋体" w:hAnsi="宋体" w:cs="宋体"/>
          <w:spacing w:val="-12"/>
          <w:sz w:val="22"/>
          <w:szCs w:val="22"/>
        </w:rPr>
        <w:t>干面条多由精白面粉制成，因而也须营养强化</w:t>
      </w:r>
      <w:r>
        <w:rPr>
          <w:rFonts w:ascii="宋体" w:eastAsia="宋体" w:hAnsi="宋体" w:cs="宋体"/>
          <w:spacing w:val="-13"/>
          <w:sz w:val="22"/>
          <w:szCs w:val="22"/>
        </w:rPr>
        <w:t>。</w:t>
      </w:r>
      <w:r>
        <w:rPr>
          <w:rFonts w:ascii="宋体" w:eastAsia="宋体" w:hAnsi="宋体" w:cs="宋体"/>
          <w:spacing w:val="38"/>
          <w:sz w:val="22"/>
          <w:szCs w:val="22"/>
        </w:rPr>
        <w:t xml:space="preserve"> </w:t>
      </w:r>
      <w:r>
        <w:rPr>
          <w:rFonts w:ascii="宋体" w:eastAsia="宋体" w:hAnsi="宋体" w:cs="宋体"/>
          <w:spacing w:val="-13"/>
          <w:sz w:val="22"/>
          <w:szCs w:val="22"/>
        </w:rPr>
        <w:t>一般每100g</w:t>
      </w:r>
      <w:r>
        <w:rPr>
          <w:rFonts w:ascii="宋体" w:eastAsia="宋体" w:hAnsi="宋体" w:cs="宋体"/>
          <w:spacing w:val="-58"/>
          <w:sz w:val="22"/>
          <w:szCs w:val="22"/>
        </w:rPr>
        <w:t xml:space="preserve"> </w:t>
      </w:r>
      <w:r>
        <w:rPr>
          <w:rFonts w:ascii="宋体" w:eastAsia="宋体" w:hAnsi="宋体" w:cs="宋体"/>
          <w:spacing w:val="-13"/>
          <w:sz w:val="22"/>
          <w:szCs w:val="22"/>
        </w:rPr>
        <w:t>干面条强化维</w:t>
      </w:r>
      <w:r>
        <w:rPr>
          <w:rFonts w:ascii="宋体" w:eastAsia="宋体" w:hAnsi="宋体" w:cs="宋体"/>
          <w:sz w:val="22"/>
          <w:szCs w:val="22"/>
        </w:rPr>
        <w:t xml:space="preserve"> </w:t>
      </w:r>
      <w:r>
        <w:rPr>
          <w:rFonts w:ascii="宋体" w:eastAsia="宋体" w:hAnsi="宋体" w:cs="宋体"/>
          <w:spacing w:val="-8"/>
          <w:sz w:val="22"/>
          <w:szCs w:val="22"/>
        </w:rPr>
        <w:t>生素B</w:t>
      </w:r>
      <w:r>
        <w:rPr>
          <w:rFonts w:ascii="Calibri" w:eastAsia="Calibri" w:hAnsi="Calibri" w:cs="Calibri"/>
          <w:spacing w:val="-8"/>
          <w:sz w:val="22"/>
          <w:szCs w:val="22"/>
        </w:rPr>
        <w:t>₁</w:t>
      </w:r>
      <w:r>
        <w:rPr>
          <w:rFonts w:ascii="宋体" w:eastAsia="宋体" w:hAnsi="宋体" w:cs="宋体"/>
          <w:spacing w:val="-8"/>
          <w:sz w:val="22"/>
          <w:szCs w:val="22"/>
        </w:rPr>
        <w:t>0.5mg。</w:t>
      </w:r>
      <w:r>
        <w:rPr>
          <w:rFonts w:ascii="宋体" w:eastAsia="宋体" w:hAnsi="宋体" w:cs="宋体"/>
          <w:spacing w:val="89"/>
          <w:sz w:val="22"/>
          <w:szCs w:val="22"/>
        </w:rPr>
        <w:t xml:space="preserve"> </w:t>
      </w:r>
      <w:r>
        <w:rPr>
          <w:rFonts w:ascii="宋体" w:eastAsia="宋体" w:hAnsi="宋体" w:cs="宋体"/>
          <w:spacing w:val="-8"/>
          <w:sz w:val="22"/>
          <w:szCs w:val="22"/>
        </w:rPr>
        <w:t>也可在通心粉中强化维生</w:t>
      </w:r>
      <w:r>
        <w:rPr>
          <w:rFonts w:ascii="宋体" w:eastAsia="宋体" w:hAnsi="宋体" w:cs="宋体"/>
          <w:spacing w:val="-9"/>
          <w:sz w:val="22"/>
          <w:szCs w:val="22"/>
        </w:rPr>
        <w:t>素B</w:t>
      </w:r>
      <w:r>
        <w:rPr>
          <w:rFonts w:ascii="Calibri" w:eastAsia="Calibri" w:hAnsi="Calibri" w:cs="Calibri"/>
          <w:spacing w:val="-9"/>
          <w:sz w:val="22"/>
          <w:szCs w:val="22"/>
        </w:rPr>
        <w:t>₁</w:t>
      </w:r>
      <w:r>
        <w:rPr>
          <w:rFonts w:ascii="Calibri" w:eastAsia="Calibri" w:hAnsi="Calibri" w:cs="Calibri"/>
          <w:spacing w:val="-26"/>
          <w:sz w:val="22"/>
          <w:szCs w:val="22"/>
        </w:rPr>
        <w:t xml:space="preserve"> </w:t>
      </w:r>
      <w:r>
        <w:rPr>
          <w:rFonts w:ascii="宋体" w:eastAsia="宋体" w:hAnsi="宋体" w:cs="宋体"/>
          <w:spacing w:val="-9"/>
          <w:sz w:val="22"/>
          <w:szCs w:val="22"/>
        </w:rPr>
        <w:t>、维生素B2、</w:t>
      </w:r>
      <w:r>
        <w:rPr>
          <w:rFonts w:ascii="宋体" w:eastAsia="宋体" w:hAnsi="宋体" w:cs="宋体"/>
          <w:spacing w:val="-57"/>
          <w:sz w:val="22"/>
          <w:szCs w:val="22"/>
        </w:rPr>
        <w:t xml:space="preserve"> </w:t>
      </w:r>
      <w:r>
        <w:rPr>
          <w:rFonts w:ascii="宋体" w:eastAsia="宋体" w:hAnsi="宋体" w:cs="宋体"/>
          <w:spacing w:val="-9"/>
          <w:sz w:val="22"/>
          <w:szCs w:val="22"/>
        </w:rPr>
        <w:t>尼克酸和酵母等。</w:t>
      </w:r>
    </w:p>
    <w:p w:rsidR="00EA40A3" w:rsidRDefault="00E86C16">
      <w:pPr>
        <w:spacing w:before="180" w:line="222" w:lineRule="auto"/>
        <w:ind w:left="3"/>
        <w:outlineLvl w:val="6"/>
        <w:rPr>
          <w:rFonts w:ascii="黑体" w:eastAsia="黑体" w:hAnsi="黑体" w:cs="黑体"/>
          <w:sz w:val="25"/>
          <w:szCs w:val="25"/>
        </w:rPr>
      </w:pPr>
      <w:r>
        <w:rPr>
          <w:rFonts w:ascii="黑体" w:eastAsia="黑体" w:hAnsi="黑体" w:cs="黑体"/>
          <w:b/>
          <w:bCs/>
          <w:spacing w:val="-10"/>
          <w:sz w:val="25"/>
          <w:szCs w:val="25"/>
        </w:rPr>
        <w:t>8.4.2</w:t>
      </w:r>
      <w:r>
        <w:rPr>
          <w:rFonts w:ascii="黑体" w:eastAsia="黑体" w:hAnsi="黑体" w:cs="黑体"/>
          <w:spacing w:val="41"/>
          <w:sz w:val="25"/>
          <w:szCs w:val="25"/>
        </w:rPr>
        <w:t xml:space="preserve">  </w:t>
      </w:r>
      <w:r>
        <w:rPr>
          <w:rFonts w:ascii="黑体" w:eastAsia="黑体" w:hAnsi="黑体" w:cs="黑体"/>
          <w:b/>
          <w:bCs/>
          <w:spacing w:val="-10"/>
          <w:sz w:val="25"/>
          <w:szCs w:val="25"/>
        </w:rPr>
        <w:t>强化副食品</w:t>
      </w:r>
    </w:p>
    <w:p w:rsidR="00EA40A3" w:rsidRDefault="00E86C16">
      <w:pPr>
        <w:spacing w:before="240"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
          <w:sz w:val="22"/>
          <w:szCs w:val="22"/>
        </w:rPr>
        <w:t xml:space="preserve"> </w:t>
      </w:r>
      <w:r>
        <w:rPr>
          <w:rFonts w:ascii="仿宋" w:eastAsia="仿宋" w:hAnsi="仿宋" w:cs="仿宋"/>
          <w:spacing w:val="8"/>
          <w:sz w:val="22"/>
          <w:szCs w:val="22"/>
        </w:rPr>
        <w:t>强化人造奶油</w:t>
      </w:r>
    </w:p>
    <w:p w:rsidR="00EA40A3" w:rsidRDefault="00E86C16">
      <w:pPr>
        <w:spacing w:before="196" w:line="245" w:lineRule="auto"/>
        <w:ind w:firstLine="430"/>
        <w:jc w:val="both"/>
        <w:rPr>
          <w:rFonts w:ascii="宋体" w:eastAsia="宋体" w:hAnsi="宋体" w:cs="宋体"/>
          <w:sz w:val="22"/>
          <w:szCs w:val="22"/>
        </w:rPr>
      </w:pPr>
      <w:r>
        <w:rPr>
          <w:rFonts w:ascii="宋体" w:eastAsia="宋体" w:hAnsi="宋体" w:cs="宋体"/>
          <w:spacing w:val="-10"/>
          <w:sz w:val="22"/>
          <w:szCs w:val="22"/>
        </w:rPr>
        <w:t>在欧美国家，食用面包时常佐以人造奶油，因而人造</w:t>
      </w:r>
      <w:r>
        <w:rPr>
          <w:rFonts w:ascii="宋体" w:eastAsia="宋体" w:hAnsi="宋体" w:cs="宋体"/>
          <w:spacing w:val="-11"/>
          <w:sz w:val="22"/>
          <w:szCs w:val="22"/>
        </w:rPr>
        <w:t>奶油的消费量比较大，</w:t>
      </w:r>
      <w:r>
        <w:rPr>
          <w:rFonts w:ascii="宋体" w:eastAsia="宋体" w:hAnsi="宋体" w:cs="宋体"/>
          <w:sz w:val="22"/>
          <w:szCs w:val="22"/>
        </w:rPr>
        <w:t xml:space="preserve"> </w:t>
      </w:r>
      <w:r>
        <w:rPr>
          <w:rFonts w:ascii="宋体" w:eastAsia="宋体" w:hAnsi="宋体" w:cs="宋体"/>
          <w:spacing w:val="-3"/>
          <w:sz w:val="22"/>
          <w:szCs w:val="22"/>
        </w:rPr>
        <w:t>是每天必需食用的主要副食品。目前，全世界大约有80%的人造奶油都进行了</w:t>
      </w:r>
      <w:r>
        <w:rPr>
          <w:rFonts w:ascii="宋体" w:eastAsia="宋体" w:hAnsi="宋体" w:cs="宋体"/>
          <w:spacing w:val="2"/>
          <w:sz w:val="22"/>
          <w:szCs w:val="22"/>
        </w:rPr>
        <w:t xml:space="preserve"> </w:t>
      </w:r>
      <w:r>
        <w:rPr>
          <w:rFonts w:ascii="宋体" w:eastAsia="宋体" w:hAnsi="宋体" w:cs="宋体"/>
          <w:spacing w:val="-8"/>
          <w:sz w:val="22"/>
          <w:szCs w:val="22"/>
        </w:rPr>
        <w:t>营养强化。人造奶油主要强化维生素A</w:t>
      </w:r>
      <w:r>
        <w:rPr>
          <w:rFonts w:ascii="宋体" w:eastAsia="宋体" w:hAnsi="宋体" w:cs="宋体"/>
          <w:spacing w:val="16"/>
          <w:sz w:val="22"/>
          <w:szCs w:val="22"/>
        </w:rPr>
        <w:t xml:space="preserve"> </w:t>
      </w:r>
      <w:r>
        <w:rPr>
          <w:rFonts w:ascii="宋体" w:eastAsia="宋体" w:hAnsi="宋体" w:cs="宋体"/>
          <w:spacing w:val="-8"/>
          <w:sz w:val="22"/>
          <w:szCs w:val="22"/>
        </w:rPr>
        <w:t>和维生素D,</w:t>
      </w:r>
      <w:r>
        <w:rPr>
          <w:rFonts w:ascii="宋体" w:eastAsia="宋体" w:hAnsi="宋体" w:cs="宋体"/>
          <w:spacing w:val="34"/>
          <w:sz w:val="22"/>
          <w:szCs w:val="22"/>
        </w:rPr>
        <w:t xml:space="preserve"> </w:t>
      </w:r>
      <w:r>
        <w:rPr>
          <w:rFonts w:ascii="宋体" w:eastAsia="宋体" w:hAnsi="宋体" w:cs="宋体"/>
          <w:spacing w:val="-8"/>
          <w:sz w:val="22"/>
          <w:szCs w:val="22"/>
        </w:rPr>
        <w:t>也可用β-胡萝卜素代替部</w:t>
      </w:r>
      <w:r>
        <w:rPr>
          <w:rFonts w:ascii="宋体" w:eastAsia="宋体" w:hAnsi="宋体" w:cs="宋体"/>
          <w:sz w:val="22"/>
          <w:szCs w:val="22"/>
        </w:rPr>
        <w:t xml:space="preserve">  </w:t>
      </w:r>
      <w:r>
        <w:rPr>
          <w:rFonts w:ascii="宋体" w:eastAsia="宋体" w:hAnsi="宋体" w:cs="宋体"/>
          <w:spacing w:val="-13"/>
          <w:sz w:val="22"/>
          <w:szCs w:val="22"/>
        </w:rPr>
        <w:t>分维生素A。</w:t>
      </w:r>
      <w:r>
        <w:rPr>
          <w:rFonts w:ascii="宋体" w:eastAsia="宋体" w:hAnsi="宋体" w:cs="宋体"/>
          <w:spacing w:val="3"/>
          <w:sz w:val="22"/>
          <w:szCs w:val="22"/>
        </w:rPr>
        <w:t xml:space="preserve"> </w:t>
      </w:r>
      <w:r>
        <w:rPr>
          <w:rFonts w:ascii="宋体" w:eastAsia="宋体" w:hAnsi="宋体" w:cs="宋体"/>
          <w:spacing w:val="-13"/>
          <w:sz w:val="22"/>
          <w:szCs w:val="22"/>
        </w:rPr>
        <w:t>其强化方法是将维生素直接混入人造奶油中，经搅拌均匀后即可食</w:t>
      </w:r>
      <w:r>
        <w:rPr>
          <w:rFonts w:ascii="宋体" w:eastAsia="宋体" w:hAnsi="宋体" w:cs="宋体"/>
          <w:sz w:val="22"/>
          <w:szCs w:val="22"/>
        </w:rPr>
        <w:t xml:space="preserve">  </w:t>
      </w:r>
      <w:r>
        <w:rPr>
          <w:rFonts w:ascii="宋体" w:eastAsia="宋体" w:hAnsi="宋体" w:cs="宋体"/>
          <w:spacing w:val="-9"/>
          <w:sz w:val="22"/>
          <w:szCs w:val="22"/>
        </w:rPr>
        <w:t>用。几个国家人造奶油中维生素A</w:t>
      </w:r>
      <w:r>
        <w:rPr>
          <w:rFonts w:ascii="宋体" w:eastAsia="宋体" w:hAnsi="宋体" w:cs="宋体"/>
          <w:spacing w:val="-2"/>
          <w:sz w:val="22"/>
          <w:szCs w:val="22"/>
        </w:rPr>
        <w:t xml:space="preserve"> </w:t>
      </w:r>
      <w:r>
        <w:rPr>
          <w:rFonts w:ascii="宋体" w:eastAsia="宋体" w:hAnsi="宋体" w:cs="宋体"/>
          <w:spacing w:val="-9"/>
          <w:sz w:val="22"/>
          <w:szCs w:val="22"/>
        </w:rPr>
        <w:t>和维生素D</w:t>
      </w:r>
      <w:r>
        <w:rPr>
          <w:rFonts w:ascii="宋体" w:eastAsia="宋体" w:hAnsi="宋体" w:cs="宋体"/>
          <w:spacing w:val="4"/>
          <w:sz w:val="22"/>
          <w:szCs w:val="22"/>
        </w:rPr>
        <w:t xml:space="preserve"> </w:t>
      </w:r>
      <w:r>
        <w:rPr>
          <w:rFonts w:ascii="宋体" w:eastAsia="宋体" w:hAnsi="宋体" w:cs="宋体"/>
          <w:spacing w:val="-9"/>
          <w:sz w:val="22"/>
          <w:szCs w:val="22"/>
        </w:rPr>
        <w:t>的强化剂量见表8-2。</w:t>
      </w:r>
    </w:p>
    <w:p w:rsidR="00EA40A3" w:rsidRDefault="00EA40A3">
      <w:pPr>
        <w:spacing w:line="310" w:lineRule="auto"/>
      </w:pPr>
    </w:p>
    <w:p w:rsidR="00EA40A3" w:rsidRDefault="00E86C16">
      <w:pPr>
        <w:spacing w:before="72" w:line="195" w:lineRule="auto"/>
        <w:ind w:left="982"/>
        <w:rPr>
          <w:rFonts w:ascii="宋体" w:eastAsia="宋体" w:hAnsi="宋体" w:cs="宋体"/>
          <w:sz w:val="22"/>
          <w:szCs w:val="22"/>
        </w:rPr>
      </w:pPr>
      <w:r>
        <w:rPr>
          <w:rFonts w:ascii="黑体" w:eastAsia="黑体" w:hAnsi="黑体" w:cs="黑体"/>
          <w:b/>
          <w:bCs/>
          <w:spacing w:val="-7"/>
          <w:position w:val="1"/>
          <w:sz w:val="18"/>
          <w:szCs w:val="18"/>
        </w:rPr>
        <w:t>表8-2</w:t>
      </w:r>
      <w:r>
        <w:rPr>
          <w:rFonts w:ascii="黑体" w:eastAsia="黑体" w:hAnsi="黑体" w:cs="黑体"/>
          <w:spacing w:val="64"/>
          <w:position w:val="1"/>
          <w:sz w:val="18"/>
          <w:szCs w:val="18"/>
        </w:rPr>
        <w:t xml:space="preserve"> </w:t>
      </w:r>
      <w:r>
        <w:rPr>
          <w:rFonts w:ascii="黑体" w:eastAsia="黑体" w:hAnsi="黑体" w:cs="黑体"/>
          <w:b/>
          <w:bCs/>
          <w:spacing w:val="-7"/>
          <w:position w:val="1"/>
          <w:sz w:val="18"/>
          <w:szCs w:val="18"/>
        </w:rPr>
        <w:t>国外人造奶油中维生素</w:t>
      </w:r>
      <w:r>
        <w:rPr>
          <w:rFonts w:ascii="黑体" w:eastAsia="黑体" w:hAnsi="黑体" w:cs="黑体"/>
          <w:spacing w:val="-53"/>
          <w:position w:val="1"/>
          <w:sz w:val="18"/>
          <w:szCs w:val="18"/>
        </w:rPr>
        <w:t xml:space="preserve"> </w:t>
      </w:r>
      <w:r>
        <w:rPr>
          <w:rFonts w:ascii="黑体" w:eastAsia="黑体" w:hAnsi="黑体" w:cs="黑体"/>
          <w:b/>
          <w:bCs/>
          <w:spacing w:val="-7"/>
          <w:position w:val="1"/>
          <w:sz w:val="18"/>
          <w:szCs w:val="18"/>
        </w:rPr>
        <w:t>A</w:t>
      </w:r>
      <w:r>
        <w:rPr>
          <w:rFonts w:ascii="黑体" w:eastAsia="黑体" w:hAnsi="黑体" w:cs="黑体"/>
          <w:spacing w:val="-18"/>
          <w:position w:val="1"/>
          <w:sz w:val="18"/>
          <w:szCs w:val="18"/>
        </w:rPr>
        <w:t xml:space="preserve"> </w:t>
      </w:r>
      <w:r>
        <w:rPr>
          <w:rFonts w:ascii="黑体" w:eastAsia="黑体" w:hAnsi="黑体" w:cs="黑体"/>
          <w:b/>
          <w:bCs/>
          <w:spacing w:val="-7"/>
          <w:position w:val="1"/>
          <w:sz w:val="18"/>
          <w:szCs w:val="18"/>
        </w:rPr>
        <w:t>和维生素D</w:t>
      </w:r>
      <w:r>
        <w:rPr>
          <w:rFonts w:ascii="黑体" w:eastAsia="黑体" w:hAnsi="黑体" w:cs="黑体"/>
          <w:spacing w:val="-2"/>
          <w:position w:val="1"/>
          <w:sz w:val="18"/>
          <w:szCs w:val="18"/>
        </w:rPr>
        <w:t xml:space="preserve"> </w:t>
      </w:r>
      <w:r>
        <w:rPr>
          <w:rFonts w:ascii="黑体" w:eastAsia="黑体" w:hAnsi="黑体" w:cs="黑体"/>
          <w:b/>
          <w:bCs/>
          <w:spacing w:val="-7"/>
          <w:position w:val="1"/>
          <w:sz w:val="18"/>
          <w:szCs w:val="18"/>
        </w:rPr>
        <w:t>的强化剂量</w:t>
      </w:r>
      <w:r>
        <w:rPr>
          <w:rFonts w:ascii="黑体" w:eastAsia="黑体" w:hAnsi="黑体" w:cs="黑体"/>
          <w:spacing w:val="8"/>
          <w:position w:val="1"/>
          <w:sz w:val="18"/>
          <w:szCs w:val="18"/>
        </w:rPr>
        <w:t xml:space="preserve">    </w:t>
      </w:r>
      <w:r>
        <w:rPr>
          <w:rFonts w:ascii="宋体" w:eastAsia="宋体" w:hAnsi="宋体" w:cs="宋体"/>
          <w:spacing w:val="-7"/>
          <w:position w:val="-1"/>
          <w:sz w:val="22"/>
          <w:szCs w:val="22"/>
        </w:rPr>
        <w:t>(</w:t>
      </w:r>
      <w:r>
        <w:rPr>
          <w:rFonts w:ascii="宋体" w:eastAsia="宋体" w:hAnsi="宋体" w:cs="宋体"/>
          <w:spacing w:val="-8"/>
          <w:position w:val="-1"/>
          <w:sz w:val="22"/>
          <w:szCs w:val="22"/>
        </w:rPr>
        <w:t>单位：</w:t>
      </w:r>
      <w:r>
        <w:rPr>
          <w:rFonts w:ascii="宋体" w:eastAsia="宋体" w:hAnsi="宋体" w:cs="宋体"/>
          <w:spacing w:val="-7"/>
          <w:position w:val="-1"/>
          <w:sz w:val="22"/>
          <w:szCs w:val="22"/>
        </w:rPr>
        <w:t>IU</w:t>
      </w:r>
      <w:r>
        <w:rPr>
          <w:rFonts w:ascii="宋体" w:eastAsia="宋体" w:hAnsi="宋体" w:cs="宋体"/>
          <w:spacing w:val="-8"/>
          <w:position w:val="-1"/>
          <w:sz w:val="22"/>
          <w:szCs w:val="22"/>
        </w:rPr>
        <w:t>/</w:t>
      </w:r>
      <w:r>
        <w:rPr>
          <w:rFonts w:ascii="宋体" w:eastAsia="宋体" w:hAnsi="宋体" w:cs="宋体"/>
          <w:spacing w:val="-7"/>
          <w:position w:val="-1"/>
          <w:sz w:val="22"/>
          <w:szCs w:val="22"/>
        </w:rPr>
        <w:t>kg</w:t>
      </w:r>
      <w:r>
        <w:rPr>
          <w:rFonts w:ascii="宋体" w:eastAsia="宋体" w:hAnsi="宋体" w:cs="宋体"/>
          <w:spacing w:val="-8"/>
          <w:position w:val="-1"/>
          <w:sz w:val="22"/>
          <w:szCs w:val="22"/>
        </w:rPr>
        <w:t>)</w:t>
      </w:r>
    </w:p>
    <w:tbl>
      <w:tblPr>
        <w:tblStyle w:val="TableNormal"/>
        <w:tblW w:w="732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145"/>
        <w:gridCol w:w="2601"/>
        <w:gridCol w:w="2583"/>
      </w:tblGrid>
      <w:tr w:rsidR="00EA40A3">
        <w:trPr>
          <w:trHeight w:val="304"/>
        </w:trPr>
        <w:tc>
          <w:tcPr>
            <w:tcW w:w="2145" w:type="dxa"/>
            <w:tcBorders>
              <w:top w:val="single" w:sz="4" w:space="0" w:color="000000"/>
              <w:bottom w:val="single" w:sz="4" w:space="0" w:color="000000"/>
            </w:tcBorders>
          </w:tcPr>
          <w:p w:rsidR="00EA40A3" w:rsidRDefault="00E86C16">
            <w:pPr>
              <w:spacing w:before="122" w:line="197" w:lineRule="auto"/>
              <w:ind w:left="1060"/>
              <w:rPr>
                <w:rFonts w:ascii="宋体" w:eastAsia="宋体" w:hAnsi="宋体" w:cs="宋体"/>
                <w:sz w:val="17"/>
                <w:szCs w:val="17"/>
              </w:rPr>
            </w:pPr>
            <w:r>
              <w:rPr>
                <w:rFonts w:ascii="宋体" w:eastAsia="宋体" w:hAnsi="宋体" w:cs="宋体"/>
                <w:spacing w:val="5"/>
                <w:sz w:val="17"/>
                <w:szCs w:val="17"/>
              </w:rPr>
              <w:t>国家</w:t>
            </w:r>
          </w:p>
        </w:tc>
        <w:tc>
          <w:tcPr>
            <w:tcW w:w="2601" w:type="dxa"/>
            <w:tcBorders>
              <w:top w:val="single" w:sz="4" w:space="0" w:color="000000"/>
              <w:bottom w:val="single" w:sz="4" w:space="0" w:color="000000"/>
            </w:tcBorders>
          </w:tcPr>
          <w:p w:rsidR="00EA40A3" w:rsidRDefault="00E86C16">
            <w:pPr>
              <w:spacing w:before="121" w:line="198" w:lineRule="auto"/>
              <w:ind w:left="924"/>
              <w:rPr>
                <w:rFonts w:ascii="宋体" w:eastAsia="宋体" w:hAnsi="宋体" w:cs="宋体"/>
                <w:sz w:val="17"/>
                <w:szCs w:val="17"/>
              </w:rPr>
            </w:pPr>
            <w:r>
              <w:rPr>
                <w:rFonts w:ascii="宋体" w:eastAsia="宋体" w:hAnsi="宋体" w:cs="宋体"/>
                <w:spacing w:val="-3"/>
                <w:sz w:val="17"/>
                <w:szCs w:val="17"/>
              </w:rPr>
              <w:t>维生素A</w:t>
            </w:r>
          </w:p>
        </w:tc>
        <w:tc>
          <w:tcPr>
            <w:tcW w:w="2583" w:type="dxa"/>
            <w:tcBorders>
              <w:top w:val="single" w:sz="4" w:space="0" w:color="000000"/>
              <w:bottom w:val="single" w:sz="4" w:space="0" w:color="000000"/>
            </w:tcBorders>
          </w:tcPr>
          <w:p w:rsidR="00EA40A3" w:rsidRDefault="00E86C16">
            <w:pPr>
              <w:spacing w:before="131" w:line="187" w:lineRule="auto"/>
              <w:ind w:left="834"/>
              <w:rPr>
                <w:rFonts w:ascii="宋体" w:eastAsia="宋体" w:hAnsi="宋体" w:cs="宋体"/>
                <w:sz w:val="17"/>
                <w:szCs w:val="17"/>
              </w:rPr>
            </w:pPr>
            <w:r>
              <w:rPr>
                <w:rFonts w:ascii="宋体" w:eastAsia="宋体" w:hAnsi="宋体" w:cs="宋体"/>
                <w:spacing w:val="-3"/>
                <w:sz w:val="17"/>
                <w:szCs w:val="17"/>
              </w:rPr>
              <w:t>维生素D</w:t>
            </w:r>
          </w:p>
        </w:tc>
      </w:tr>
      <w:tr w:rsidR="00EA40A3">
        <w:trPr>
          <w:trHeight w:val="288"/>
        </w:trPr>
        <w:tc>
          <w:tcPr>
            <w:tcW w:w="2145" w:type="dxa"/>
            <w:tcBorders>
              <w:top w:val="single" w:sz="4" w:space="0" w:color="000000"/>
            </w:tcBorders>
          </w:tcPr>
          <w:p w:rsidR="00EA40A3" w:rsidRDefault="00E86C16">
            <w:pPr>
              <w:spacing w:before="81" w:line="223" w:lineRule="auto"/>
              <w:ind w:left="1060"/>
              <w:rPr>
                <w:rFonts w:ascii="宋体" w:eastAsia="宋体" w:hAnsi="宋体" w:cs="宋体"/>
                <w:sz w:val="17"/>
                <w:szCs w:val="17"/>
              </w:rPr>
            </w:pPr>
            <w:r>
              <w:rPr>
                <w:rFonts w:ascii="宋体" w:eastAsia="宋体" w:hAnsi="宋体" w:cs="宋体"/>
                <w:spacing w:val="6"/>
                <w:sz w:val="17"/>
                <w:szCs w:val="17"/>
              </w:rPr>
              <w:t>巴西</w:t>
            </w:r>
          </w:p>
        </w:tc>
        <w:tc>
          <w:tcPr>
            <w:tcW w:w="2601" w:type="dxa"/>
            <w:tcBorders>
              <w:top w:val="single" w:sz="4" w:space="0" w:color="000000"/>
            </w:tcBorders>
          </w:tcPr>
          <w:p w:rsidR="00EA40A3" w:rsidRDefault="00E86C16">
            <w:pPr>
              <w:spacing w:before="131" w:line="170" w:lineRule="auto"/>
              <w:ind w:left="774"/>
              <w:rPr>
                <w:rFonts w:ascii="宋体" w:eastAsia="宋体" w:hAnsi="宋体" w:cs="宋体"/>
                <w:sz w:val="17"/>
                <w:szCs w:val="17"/>
              </w:rPr>
            </w:pPr>
            <w:r>
              <w:rPr>
                <w:rFonts w:ascii="宋体" w:eastAsia="宋体" w:hAnsi="宋体" w:cs="宋体"/>
                <w:spacing w:val="-2"/>
                <w:sz w:val="17"/>
                <w:szCs w:val="17"/>
              </w:rPr>
              <w:t>15000～50000</w:t>
            </w:r>
          </w:p>
        </w:tc>
        <w:tc>
          <w:tcPr>
            <w:tcW w:w="2583" w:type="dxa"/>
            <w:tcBorders>
              <w:top w:val="single" w:sz="4" w:space="0" w:color="000000"/>
            </w:tcBorders>
          </w:tcPr>
          <w:p w:rsidR="00EA40A3" w:rsidRDefault="00E86C16">
            <w:pPr>
              <w:spacing w:before="131" w:line="170" w:lineRule="auto"/>
              <w:ind w:left="834"/>
              <w:rPr>
                <w:rFonts w:ascii="宋体" w:eastAsia="宋体" w:hAnsi="宋体" w:cs="宋体"/>
                <w:sz w:val="17"/>
                <w:szCs w:val="17"/>
              </w:rPr>
            </w:pPr>
            <w:r>
              <w:rPr>
                <w:rFonts w:ascii="宋体" w:eastAsia="宋体" w:hAnsi="宋体" w:cs="宋体"/>
                <w:spacing w:val="-2"/>
                <w:sz w:val="17"/>
                <w:szCs w:val="17"/>
              </w:rPr>
              <w:t>500～2000</w:t>
            </w:r>
          </w:p>
        </w:tc>
      </w:tr>
      <w:tr w:rsidR="00EA40A3">
        <w:trPr>
          <w:trHeight w:val="291"/>
        </w:trPr>
        <w:tc>
          <w:tcPr>
            <w:tcW w:w="2145" w:type="dxa"/>
          </w:tcPr>
          <w:p w:rsidR="00EA40A3" w:rsidRDefault="00E86C16">
            <w:pPr>
              <w:spacing w:before="38" w:line="219" w:lineRule="auto"/>
              <w:ind w:left="1060"/>
              <w:rPr>
                <w:rFonts w:ascii="宋体" w:eastAsia="宋体" w:hAnsi="宋体" w:cs="宋体"/>
                <w:sz w:val="17"/>
                <w:szCs w:val="17"/>
              </w:rPr>
            </w:pPr>
            <w:r>
              <w:rPr>
                <w:rFonts w:ascii="宋体" w:eastAsia="宋体" w:hAnsi="宋体" w:cs="宋体"/>
                <w:spacing w:val="-2"/>
                <w:sz w:val="17"/>
                <w:szCs w:val="17"/>
              </w:rPr>
              <w:t>丹麦</w:t>
            </w:r>
          </w:p>
        </w:tc>
        <w:tc>
          <w:tcPr>
            <w:tcW w:w="2601" w:type="dxa"/>
          </w:tcPr>
          <w:p w:rsidR="00EA40A3" w:rsidRDefault="00E86C16">
            <w:pPr>
              <w:spacing w:before="113" w:line="183" w:lineRule="auto"/>
              <w:ind w:left="745"/>
              <w:rPr>
                <w:rFonts w:ascii="宋体" w:eastAsia="宋体" w:hAnsi="宋体" w:cs="宋体"/>
                <w:sz w:val="17"/>
                <w:szCs w:val="17"/>
              </w:rPr>
            </w:pPr>
            <w:r>
              <w:rPr>
                <w:rFonts w:ascii="宋体" w:eastAsia="宋体" w:hAnsi="宋体" w:cs="宋体"/>
                <w:spacing w:val="-2"/>
                <w:sz w:val="17"/>
                <w:szCs w:val="17"/>
              </w:rPr>
              <w:t>20000</w:t>
            </w:r>
          </w:p>
        </w:tc>
        <w:tc>
          <w:tcPr>
            <w:tcW w:w="2583" w:type="dxa"/>
          </w:tcPr>
          <w:p w:rsidR="00EA40A3" w:rsidRDefault="00E86C16">
            <w:pPr>
              <w:spacing w:before="124" w:line="181" w:lineRule="auto"/>
              <w:ind w:left="834"/>
              <w:rPr>
                <w:rFonts w:ascii="宋体" w:eastAsia="宋体" w:hAnsi="宋体" w:cs="宋体"/>
                <w:sz w:val="17"/>
                <w:szCs w:val="17"/>
              </w:rPr>
            </w:pPr>
            <w:r>
              <w:rPr>
                <w:rFonts w:ascii="宋体" w:eastAsia="宋体" w:hAnsi="宋体" w:cs="宋体"/>
                <w:spacing w:val="-2"/>
                <w:sz w:val="17"/>
                <w:szCs w:val="17"/>
              </w:rPr>
              <w:t>625</w:t>
            </w:r>
          </w:p>
        </w:tc>
      </w:tr>
      <w:tr w:rsidR="00EA40A3">
        <w:trPr>
          <w:trHeight w:val="275"/>
        </w:trPr>
        <w:tc>
          <w:tcPr>
            <w:tcW w:w="2145" w:type="dxa"/>
          </w:tcPr>
          <w:p w:rsidR="00EA40A3" w:rsidRDefault="00E86C16">
            <w:pPr>
              <w:spacing w:before="49" w:line="220" w:lineRule="auto"/>
              <w:ind w:left="1060"/>
              <w:rPr>
                <w:rFonts w:ascii="宋体" w:eastAsia="宋体" w:hAnsi="宋体" w:cs="宋体"/>
                <w:sz w:val="17"/>
                <w:szCs w:val="17"/>
              </w:rPr>
            </w:pPr>
            <w:r>
              <w:rPr>
                <w:rFonts w:ascii="宋体" w:eastAsia="宋体" w:hAnsi="宋体" w:cs="宋体"/>
                <w:spacing w:val="8"/>
                <w:sz w:val="17"/>
                <w:szCs w:val="17"/>
              </w:rPr>
              <w:t>英国</w:t>
            </w:r>
          </w:p>
        </w:tc>
        <w:tc>
          <w:tcPr>
            <w:tcW w:w="2601" w:type="dxa"/>
          </w:tcPr>
          <w:p w:rsidR="00EA40A3" w:rsidRDefault="00E86C16">
            <w:pPr>
              <w:spacing w:before="112" w:line="176" w:lineRule="auto"/>
              <w:ind w:left="755"/>
              <w:rPr>
                <w:rFonts w:ascii="宋体" w:eastAsia="宋体" w:hAnsi="宋体" w:cs="宋体"/>
                <w:sz w:val="17"/>
                <w:szCs w:val="17"/>
              </w:rPr>
            </w:pPr>
            <w:r>
              <w:rPr>
                <w:rFonts w:ascii="宋体" w:eastAsia="宋体" w:hAnsi="宋体" w:cs="宋体"/>
                <w:spacing w:val="-1"/>
                <w:sz w:val="17"/>
                <w:szCs w:val="17"/>
              </w:rPr>
              <w:t>27000～23000</w:t>
            </w:r>
          </w:p>
        </w:tc>
        <w:tc>
          <w:tcPr>
            <w:tcW w:w="2583" w:type="dxa"/>
          </w:tcPr>
          <w:p w:rsidR="00EA40A3" w:rsidRDefault="00E86C16">
            <w:pPr>
              <w:spacing w:before="102" w:line="183" w:lineRule="auto"/>
              <w:ind w:left="834"/>
              <w:rPr>
                <w:rFonts w:ascii="宋体" w:eastAsia="宋体" w:hAnsi="宋体" w:cs="宋体"/>
                <w:sz w:val="17"/>
                <w:szCs w:val="17"/>
              </w:rPr>
            </w:pPr>
            <w:r>
              <w:rPr>
                <w:rFonts w:ascii="宋体" w:eastAsia="宋体" w:hAnsi="宋体" w:cs="宋体"/>
                <w:spacing w:val="-1"/>
                <w:sz w:val="17"/>
                <w:szCs w:val="17"/>
              </w:rPr>
              <w:t>2900～3500</w:t>
            </w:r>
          </w:p>
        </w:tc>
      </w:tr>
      <w:tr w:rsidR="00EA40A3">
        <w:trPr>
          <w:trHeight w:val="278"/>
        </w:trPr>
        <w:tc>
          <w:tcPr>
            <w:tcW w:w="2145" w:type="dxa"/>
          </w:tcPr>
          <w:p w:rsidR="00EA40A3" w:rsidRDefault="00E86C16">
            <w:pPr>
              <w:spacing w:before="46" w:line="222" w:lineRule="auto"/>
              <w:ind w:left="1060"/>
              <w:rPr>
                <w:rFonts w:ascii="宋体" w:eastAsia="宋体" w:hAnsi="宋体" w:cs="宋体"/>
                <w:sz w:val="17"/>
                <w:szCs w:val="17"/>
              </w:rPr>
            </w:pPr>
            <w:r>
              <w:rPr>
                <w:rFonts w:ascii="宋体" w:eastAsia="宋体" w:hAnsi="宋体" w:cs="宋体"/>
                <w:spacing w:val="8"/>
                <w:sz w:val="17"/>
                <w:szCs w:val="17"/>
              </w:rPr>
              <w:t>德国</w:t>
            </w:r>
          </w:p>
        </w:tc>
        <w:tc>
          <w:tcPr>
            <w:tcW w:w="2601" w:type="dxa"/>
          </w:tcPr>
          <w:p w:rsidR="00EA40A3" w:rsidRDefault="00E86C16">
            <w:pPr>
              <w:spacing w:before="97" w:line="183" w:lineRule="auto"/>
              <w:ind w:left="745"/>
              <w:rPr>
                <w:rFonts w:ascii="宋体" w:eastAsia="宋体" w:hAnsi="宋体" w:cs="宋体"/>
                <w:sz w:val="17"/>
                <w:szCs w:val="17"/>
              </w:rPr>
            </w:pPr>
            <w:r>
              <w:rPr>
                <w:rFonts w:ascii="宋体" w:eastAsia="宋体" w:hAnsi="宋体" w:cs="宋体"/>
                <w:spacing w:val="-2"/>
                <w:sz w:val="17"/>
                <w:szCs w:val="17"/>
              </w:rPr>
              <w:t>20000</w:t>
            </w:r>
          </w:p>
        </w:tc>
        <w:tc>
          <w:tcPr>
            <w:tcW w:w="2583" w:type="dxa"/>
          </w:tcPr>
          <w:p w:rsidR="00EA40A3" w:rsidRDefault="00E86C16">
            <w:pPr>
              <w:spacing w:before="107" w:line="183" w:lineRule="auto"/>
              <w:ind w:left="834"/>
              <w:rPr>
                <w:rFonts w:ascii="宋体" w:eastAsia="宋体" w:hAnsi="宋体" w:cs="宋体"/>
                <w:sz w:val="17"/>
                <w:szCs w:val="17"/>
              </w:rPr>
            </w:pPr>
            <w:r>
              <w:rPr>
                <w:rFonts w:ascii="宋体" w:eastAsia="宋体" w:hAnsi="宋体" w:cs="宋体"/>
                <w:spacing w:val="-3"/>
                <w:sz w:val="17"/>
                <w:szCs w:val="17"/>
              </w:rPr>
              <w:t>300</w:t>
            </w:r>
          </w:p>
        </w:tc>
      </w:tr>
      <w:tr w:rsidR="00EA40A3">
        <w:trPr>
          <w:trHeight w:val="263"/>
        </w:trPr>
        <w:tc>
          <w:tcPr>
            <w:tcW w:w="2145" w:type="dxa"/>
          </w:tcPr>
          <w:p w:rsidR="00EA40A3" w:rsidRDefault="00E86C16">
            <w:pPr>
              <w:spacing w:before="56" w:line="219" w:lineRule="auto"/>
              <w:ind w:left="1060"/>
              <w:rPr>
                <w:rFonts w:ascii="宋体" w:eastAsia="宋体" w:hAnsi="宋体" w:cs="宋体"/>
                <w:sz w:val="17"/>
                <w:szCs w:val="17"/>
              </w:rPr>
            </w:pPr>
            <w:r>
              <w:rPr>
                <w:rFonts w:ascii="宋体" w:eastAsia="宋体" w:hAnsi="宋体" w:cs="宋体"/>
                <w:spacing w:val="-2"/>
                <w:sz w:val="17"/>
                <w:szCs w:val="17"/>
              </w:rPr>
              <w:t>荷兰</w:t>
            </w:r>
          </w:p>
        </w:tc>
        <w:tc>
          <w:tcPr>
            <w:tcW w:w="2601" w:type="dxa"/>
          </w:tcPr>
          <w:p w:rsidR="00EA40A3" w:rsidRDefault="00E86C16">
            <w:pPr>
              <w:spacing w:before="100" w:line="177" w:lineRule="auto"/>
              <w:ind w:left="745"/>
              <w:rPr>
                <w:rFonts w:ascii="宋体" w:eastAsia="宋体" w:hAnsi="宋体" w:cs="宋体"/>
                <w:sz w:val="17"/>
                <w:szCs w:val="17"/>
              </w:rPr>
            </w:pPr>
            <w:r>
              <w:rPr>
                <w:rFonts w:ascii="宋体" w:eastAsia="宋体" w:hAnsi="宋体" w:cs="宋体"/>
                <w:spacing w:val="-2"/>
                <w:sz w:val="17"/>
                <w:szCs w:val="17"/>
              </w:rPr>
              <w:t>22000</w:t>
            </w:r>
          </w:p>
        </w:tc>
        <w:tc>
          <w:tcPr>
            <w:tcW w:w="2583" w:type="dxa"/>
          </w:tcPr>
          <w:p w:rsidR="00EA40A3" w:rsidRDefault="00E86C16">
            <w:pPr>
              <w:spacing w:before="109" w:line="167" w:lineRule="auto"/>
              <w:ind w:left="834"/>
              <w:rPr>
                <w:rFonts w:ascii="宋体" w:eastAsia="宋体" w:hAnsi="宋体" w:cs="宋体"/>
                <w:sz w:val="17"/>
                <w:szCs w:val="17"/>
              </w:rPr>
            </w:pPr>
            <w:r>
              <w:rPr>
                <w:rFonts w:ascii="宋体" w:eastAsia="宋体" w:hAnsi="宋体" w:cs="宋体"/>
                <w:spacing w:val="-4"/>
                <w:sz w:val="17"/>
                <w:szCs w:val="17"/>
              </w:rPr>
              <w:t>1000</w:t>
            </w:r>
          </w:p>
        </w:tc>
      </w:tr>
      <w:tr w:rsidR="00EA40A3">
        <w:trPr>
          <w:trHeight w:val="270"/>
        </w:trPr>
        <w:tc>
          <w:tcPr>
            <w:tcW w:w="2145" w:type="dxa"/>
          </w:tcPr>
          <w:p w:rsidR="00EA40A3" w:rsidRDefault="00E86C16">
            <w:pPr>
              <w:spacing w:before="43" w:line="219" w:lineRule="auto"/>
              <w:ind w:left="1060"/>
              <w:rPr>
                <w:rFonts w:ascii="宋体" w:eastAsia="宋体" w:hAnsi="宋体" w:cs="宋体"/>
                <w:sz w:val="17"/>
                <w:szCs w:val="17"/>
              </w:rPr>
            </w:pPr>
            <w:r>
              <w:rPr>
                <w:rFonts w:ascii="宋体" w:eastAsia="宋体" w:hAnsi="宋体" w:cs="宋体"/>
                <w:spacing w:val="5"/>
                <w:sz w:val="17"/>
                <w:szCs w:val="17"/>
              </w:rPr>
              <w:t>印度</w:t>
            </w:r>
          </w:p>
        </w:tc>
        <w:tc>
          <w:tcPr>
            <w:tcW w:w="2601" w:type="dxa"/>
          </w:tcPr>
          <w:p w:rsidR="00EA40A3" w:rsidRDefault="00E86C16">
            <w:pPr>
              <w:spacing w:before="107" w:line="177" w:lineRule="auto"/>
              <w:ind w:left="745"/>
              <w:rPr>
                <w:rFonts w:ascii="宋体" w:eastAsia="宋体" w:hAnsi="宋体" w:cs="宋体"/>
                <w:sz w:val="17"/>
                <w:szCs w:val="17"/>
              </w:rPr>
            </w:pPr>
            <w:r>
              <w:rPr>
                <w:rFonts w:ascii="宋体" w:eastAsia="宋体" w:hAnsi="宋体" w:cs="宋体"/>
                <w:spacing w:val="-2"/>
                <w:sz w:val="17"/>
                <w:szCs w:val="17"/>
              </w:rPr>
              <w:t>24640</w:t>
            </w:r>
          </w:p>
        </w:tc>
        <w:tc>
          <w:tcPr>
            <w:tcW w:w="2583" w:type="dxa"/>
          </w:tcPr>
          <w:p w:rsidR="00EA40A3" w:rsidRDefault="00EA40A3"/>
        </w:tc>
      </w:tr>
      <w:tr w:rsidR="00EA40A3">
        <w:trPr>
          <w:trHeight w:val="289"/>
        </w:trPr>
        <w:tc>
          <w:tcPr>
            <w:tcW w:w="2145" w:type="dxa"/>
          </w:tcPr>
          <w:p w:rsidR="00EA40A3" w:rsidRDefault="00E86C16">
            <w:pPr>
              <w:spacing w:before="54" w:line="221" w:lineRule="auto"/>
              <w:ind w:left="1060"/>
              <w:rPr>
                <w:rFonts w:ascii="宋体" w:eastAsia="宋体" w:hAnsi="宋体" w:cs="宋体"/>
                <w:sz w:val="17"/>
                <w:szCs w:val="17"/>
              </w:rPr>
            </w:pPr>
            <w:r>
              <w:rPr>
                <w:rFonts w:ascii="宋体" w:eastAsia="宋体" w:hAnsi="宋体" w:cs="宋体"/>
                <w:spacing w:val="-2"/>
                <w:sz w:val="17"/>
                <w:szCs w:val="17"/>
              </w:rPr>
              <w:t>挪威</w:t>
            </w:r>
          </w:p>
        </w:tc>
        <w:tc>
          <w:tcPr>
            <w:tcW w:w="2601" w:type="dxa"/>
          </w:tcPr>
          <w:p w:rsidR="00EA40A3" w:rsidRDefault="00E86C16">
            <w:pPr>
              <w:spacing w:before="106" w:line="183" w:lineRule="auto"/>
              <w:ind w:left="745"/>
              <w:rPr>
                <w:rFonts w:ascii="宋体" w:eastAsia="宋体" w:hAnsi="宋体" w:cs="宋体"/>
                <w:sz w:val="17"/>
                <w:szCs w:val="17"/>
              </w:rPr>
            </w:pPr>
            <w:r>
              <w:rPr>
                <w:rFonts w:ascii="宋体" w:eastAsia="宋体" w:hAnsi="宋体" w:cs="宋体"/>
                <w:spacing w:val="-2"/>
                <w:sz w:val="17"/>
                <w:szCs w:val="17"/>
              </w:rPr>
              <w:t>20000</w:t>
            </w:r>
          </w:p>
        </w:tc>
        <w:tc>
          <w:tcPr>
            <w:tcW w:w="2583" w:type="dxa"/>
          </w:tcPr>
          <w:p w:rsidR="00EA40A3" w:rsidRDefault="00E86C16">
            <w:pPr>
              <w:spacing w:before="126" w:line="176" w:lineRule="auto"/>
              <w:ind w:left="834"/>
              <w:rPr>
                <w:rFonts w:ascii="宋体" w:eastAsia="宋体" w:hAnsi="宋体" w:cs="宋体"/>
                <w:sz w:val="17"/>
                <w:szCs w:val="17"/>
              </w:rPr>
            </w:pPr>
            <w:r>
              <w:rPr>
                <w:rFonts w:ascii="宋体" w:eastAsia="宋体" w:hAnsi="宋体" w:cs="宋体"/>
                <w:spacing w:val="-2"/>
                <w:sz w:val="17"/>
                <w:szCs w:val="17"/>
              </w:rPr>
              <w:t>2500</w:t>
            </w:r>
          </w:p>
        </w:tc>
      </w:tr>
      <w:tr w:rsidR="00EA40A3">
        <w:trPr>
          <w:trHeight w:val="271"/>
        </w:trPr>
        <w:tc>
          <w:tcPr>
            <w:tcW w:w="2145" w:type="dxa"/>
          </w:tcPr>
          <w:p w:rsidR="00EA40A3" w:rsidRDefault="00E86C16">
            <w:pPr>
              <w:spacing w:before="54" w:line="219" w:lineRule="auto"/>
              <w:ind w:left="1060"/>
              <w:rPr>
                <w:rFonts w:ascii="宋体" w:eastAsia="宋体" w:hAnsi="宋体" w:cs="宋体"/>
                <w:sz w:val="17"/>
                <w:szCs w:val="17"/>
              </w:rPr>
            </w:pPr>
            <w:r>
              <w:rPr>
                <w:rFonts w:ascii="宋体" w:eastAsia="宋体" w:hAnsi="宋体" w:cs="宋体"/>
                <w:spacing w:val="-2"/>
                <w:sz w:val="17"/>
                <w:szCs w:val="17"/>
              </w:rPr>
              <w:t>瑞典</w:t>
            </w:r>
          </w:p>
        </w:tc>
        <w:tc>
          <w:tcPr>
            <w:tcW w:w="2601" w:type="dxa"/>
          </w:tcPr>
          <w:p w:rsidR="00EA40A3" w:rsidRDefault="00E86C16">
            <w:pPr>
              <w:spacing w:before="97" w:line="183" w:lineRule="auto"/>
              <w:ind w:left="745"/>
              <w:rPr>
                <w:rFonts w:ascii="宋体" w:eastAsia="宋体" w:hAnsi="宋体" w:cs="宋体"/>
                <w:sz w:val="17"/>
                <w:szCs w:val="17"/>
              </w:rPr>
            </w:pPr>
            <w:r>
              <w:rPr>
                <w:rFonts w:ascii="宋体" w:eastAsia="宋体" w:hAnsi="宋体" w:cs="宋体"/>
                <w:spacing w:val="-2"/>
                <w:sz w:val="17"/>
                <w:szCs w:val="17"/>
              </w:rPr>
              <w:t>30000</w:t>
            </w:r>
          </w:p>
        </w:tc>
        <w:tc>
          <w:tcPr>
            <w:tcW w:w="2583" w:type="dxa"/>
          </w:tcPr>
          <w:p w:rsidR="00EA40A3" w:rsidRDefault="00E86C16">
            <w:pPr>
              <w:spacing w:before="117" w:line="167" w:lineRule="auto"/>
              <w:ind w:left="834"/>
              <w:rPr>
                <w:rFonts w:ascii="宋体" w:eastAsia="宋体" w:hAnsi="宋体" w:cs="宋体"/>
                <w:sz w:val="17"/>
                <w:szCs w:val="17"/>
              </w:rPr>
            </w:pPr>
            <w:r>
              <w:rPr>
                <w:rFonts w:ascii="宋体" w:eastAsia="宋体" w:hAnsi="宋体" w:cs="宋体"/>
                <w:spacing w:val="-4"/>
                <w:sz w:val="17"/>
                <w:szCs w:val="17"/>
              </w:rPr>
              <w:t>1500</w:t>
            </w:r>
          </w:p>
        </w:tc>
      </w:tr>
      <w:tr w:rsidR="00EA40A3">
        <w:trPr>
          <w:trHeight w:val="268"/>
        </w:trPr>
        <w:tc>
          <w:tcPr>
            <w:tcW w:w="2145" w:type="dxa"/>
          </w:tcPr>
          <w:p w:rsidR="00EA40A3" w:rsidRDefault="00E86C16">
            <w:pPr>
              <w:spacing w:before="45" w:line="221" w:lineRule="auto"/>
              <w:ind w:left="1060"/>
              <w:rPr>
                <w:rFonts w:ascii="宋体" w:eastAsia="宋体" w:hAnsi="宋体" w:cs="宋体"/>
                <w:sz w:val="17"/>
                <w:szCs w:val="17"/>
              </w:rPr>
            </w:pPr>
            <w:r>
              <w:rPr>
                <w:rFonts w:ascii="宋体" w:eastAsia="宋体" w:hAnsi="宋体" w:cs="宋体"/>
                <w:spacing w:val="-2"/>
                <w:sz w:val="17"/>
                <w:szCs w:val="17"/>
              </w:rPr>
              <w:t>瑞士</w:t>
            </w:r>
          </w:p>
        </w:tc>
        <w:tc>
          <w:tcPr>
            <w:tcW w:w="2601" w:type="dxa"/>
          </w:tcPr>
          <w:p w:rsidR="00EA40A3" w:rsidRDefault="00E86C16">
            <w:pPr>
              <w:spacing w:before="106" w:line="175" w:lineRule="auto"/>
              <w:ind w:left="745"/>
              <w:rPr>
                <w:rFonts w:ascii="宋体" w:eastAsia="宋体" w:hAnsi="宋体" w:cs="宋体"/>
                <w:sz w:val="17"/>
                <w:szCs w:val="17"/>
              </w:rPr>
            </w:pPr>
            <w:r>
              <w:rPr>
                <w:rFonts w:ascii="宋体" w:eastAsia="宋体" w:hAnsi="宋体" w:cs="宋体"/>
                <w:spacing w:val="-2"/>
                <w:sz w:val="17"/>
                <w:szCs w:val="17"/>
              </w:rPr>
              <w:t>34000</w:t>
            </w:r>
          </w:p>
        </w:tc>
        <w:tc>
          <w:tcPr>
            <w:tcW w:w="2583" w:type="dxa"/>
          </w:tcPr>
          <w:p w:rsidR="00EA40A3" w:rsidRDefault="00E86C16">
            <w:pPr>
              <w:spacing w:before="75" w:line="209" w:lineRule="auto"/>
              <w:ind w:left="834"/>
              <w:rPr>
                <w:rFonts w:ascii="宋体" w:eastAsia="宋体" w:hAnsi="宋体" w:cs="宋体"/>
                <w:sz w:val="17"/>
                <w:szCs w:val="17"/>
              </w:rPr>
            </w:pPr>
            <w:r>
              <w:rPr>
                <w:rFonts w:ascii="宋体" w:eastAsia="宋体" w:hAnsi="宋体" w:cs="宋体"/>
                <w:spacing w:val="-2"/>
                <w:sz w:val="17"/>
                <w:szCs w:val="17"/>
              </w:rPr>
              <w:t>3000以上</w:t>
            </w:r>
          </w:p>
        </w:tc>
      </w:tr>
      <w:tr w:rsidR="00EA40A3">
        <w:trPr>
          <w:trHeight w:val="273"/>
        </w:trPr>
        <w:tc>
          <w:tcPr>
            <w:tcW w:w="2145" w:type="dxa"/>
            <w:tcBorders>
              <w:bottom w:val="single" w:sz="4" w:space="0" w:color="000000"/>
            </w:tcBorders>
          </w:tcPr>
          <w:p w:rsidR="00EA40A3" w:rsidRDefault="00E86C16">
            <w:pPr>
              <w:spacing w:before="45" w:line="220" w:lineRule="auto"/>
              <w:ind w:left="1060"/>
              <w:rPr>
                <w:rFonts w:ascii="宋体" w:eastAsia="宋体" w:hAnsi="宋体" w:cs="宋体"/>
                <w:sz w:val="17"/>
                <w:szCs w:val="17"/>
              </w:rPr>
            </w:pPr>
            <w:r>
              <w:rPr>
                <w:rFonts w:ascii="宋体" w:eastAsia="宋体" w:hAnsi="宋体" w:cs="宋体"/>
                <w:spacing w:val="8"/>
                <w:sz w:val="17"/>
                <w:szCs w:val="17"/>
              </w:rPr>
              <w:t>美国</w:t>
            </w:r>
          </w:p>
        </w:tc>
        <w:tc>
          <w:tcPr>
            <w:tcW w:w="2601" w:type="dxa"/>
            <w:tcBorders>
              <w:bottom w:val="single" w:sz="4" w:space="0" w:color="000000"/>
            </w:tcBorders>
          </w:tcPr>
          <w:p w:rsidR="00EA40A3" w:rsidRDefault="00E86C16">
            <w:pPr>
              <w:spacing w:before="109" w:line="178" w:lineRule="auto"/>
              <w:ind w:left="745"/>
              <w:rPr>
                <w:rFonts w:ascii="宋体" w:eastAsia="宋体" w:hAnsi="宋体" w:cs="宋体"/>
                <w:sz w:val="17"/>
                <w:szCs w:val="17"/>
              </w:rPr>
            </w:pPr>
            <w:r>
              <w:rPr>
                <w:rFonts w:ascii="宋体" w:eastAsia="宋体" w:hAnsi="宋体" w:cs="宋体"/>
                <w:spacing w:val="-2"/>
                <w:sz w:val="17"/>
                <w:szCs w:val="17"/>
              </w:rPr>
              <w:t>33000</w:t>
            </w:r>
          </w:p>
        </w:tc>
        <w:tc>
          <w:tcPr>
            <w:tcW w:w="2583" w:type="dxa"/>
            <w:tcBorders>
              <w:bottom w:val="single" w:sz="4" w:space="0" w:color="000000"/>
            </w:tcBorders>
          </w:tcPr>
          <w:p w:rsidR="00EA40A3" w:rsidRDefault="00EA40A3"/>
        </w:tc>
      </w:tr>
    </w:tbl>
    <w:p w:rsidR="00EA40A3" w:rsidRDefault="00EA40A3">
      <w:pPr>
        <w:spacing w:line="458"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9"/>
          <w:sz w:val="22"/>
          <w:szCs w:val="22"/>
        </w:rPr>
        <w:t>2.</w:t>
      </w:r>
      <w:r>
        <w:rPr>
          <w:rFonts w:ascii="仿宋" w:eastAsia="仿宋" w:hAnsi="仿宋" w:cs="仿宋"/>
          <w:spacing w:val="21"/>
          <w:sz w:val="22"/>
          <w:szCs w:val="22"/>
        </w:rPr>
        <w:t xml:space="preserve"> </w:t>
      </w:r>
      <w:r>
        <w:rPr>
          <w:rFonts w:ascii="仿宋" w:eastAsia="仿宋" w:hAnsi="仿宋" w:cs="仿宋"/>
          <w:spacing w:val="9"/>
          <w:sz w:val="22"/>
          <w:szCs w:val="22"/>
        </w:rPr>
        <w:t>强化食盐和酱油</w:t>
      </w:r>
    </w:p>
    <w:p w:rsidR="00EA40A3" w:rsidRDefault="00E86C16">
      <w:pPr>
        <w:spacing w:before="225" w:line="238" w:lineRule="auto"/>
        <w:ind w:right="97" w:firstLine="430"/>
        <w:jc w:val="both"/>
        <w:rPr>
          <w:rFonts w:ascii="宋体" w:eastAsia="宋体" w:hAnsi="宋体" w:cs="宋体"/>
          <w:sz w:val="22"/>
          <w:szCs w:val="22"/>
        </w:rPr>
      </w:pPr>
      <w:r>
        <w:rPr>
          <w:rFonts w:ascii="宋体" w:eastAsia="宋体" w:hAnsi="宋体" w:cs="宋体"/>
          <w:spacing w:val="-13"/>
          <w:sz w:val="22"/>
          <w:szCs w:val="22"/>
        </w:rPr>
        <w:t>食盐是人们每天的必需品，也是主要的调味品。在</w:t>
      </w:r>
      <w:r>
        <w:rPr>
          <w:rFonts w:ascii="宋体" w:eastAsia="宋体" w:hAnsi="宋体" w:cs="宋体"/>
          <w:spacing w:val="-14"/>
          <w:sz w:val="22"/>
          <w:szCs w:val="22"/>
        </w:rPr>
        <w:t>内陆地区往往因缺乏腆而</w:t>
      </w:r>
      <w:r>
        <w:rPr>
          <w:rFonts w:ascii="宋体" w:eastAsia="宋体" w:hAnsi="宋体" w:cs="宋体"/>
          <w:sz w:val="22"/>
          <w:szCs w:val="22"/>
        </w:rPr>
        <w:t xml:space="preserve"> </w:t>
      </w:r>
      <w:r>
        <w:rPr>
          <w:rFonts w:ascii="宋体" w:eastAsia="宋体" w:hAnsi="宋体" w:cs="宋体"/>
          <w:spacing w:val="-13"/>
          <w:sz w:val="22"/>
          <w:szCs w:val="22"/>
        </w:rPr>
        <w:t>发生甲状腺肿大等疾病，在食盐中强化腆是防止此类疾病最好的方法。目前，世</w:t>
      </w:r>
      <w:r>
        <w:rPr>
          <w:rFonts w:ascii="宋体" w:eastAsia="宋体" w:hAnsi="宋体" w:cs="宋体"/>
          <w:spacing w:val="2"/>
          <w:sz w:val="22"/>
          <w:szCs w:val="22"/>
        </w:rPr>
        <w:t xml:space="preserve"> </w:t>
      </w:r>
      <w:r>
        <w:rPr>
          <w:rFonts w:ascii="宋体" w:eastAsia="宋体" w:hAnsi="宋体" w:cs="宋体"/>
          <w:spacing w:val="1"/>
          <w:sz w:val="22"/>
          <w:szCs w:val="22"/>
        </w:rPr>
        <w:t>界各国都对食盐进行了强化，强化方法是在每千克食盐中添加0.1～0.2g</w:t>
      </w:r>
      <w:r>
        <w:rPr>
          <w:rFonts w:ascii="宋体" w:eastAsia="宋体" w:hAnsi="宋体" w:cs="宋体"/>
          <w:spacing w:val="-45"/>
          <w:sz w:val="22"/>
          <w:szCs w:val="22"/>
        </w:rPr>
        <w:t xml:space="preserve"> </w:t>
      </w:r>
      <w:r>
        <w:rPr>
          <w:rFonts w:ascii="宋体" w:eastAsia="宋体" w:hAnsi="宋体" w:cs="宋体"/>
          <w:spacing w:val="1"/>
          <w:sz w:val="22"/>
          <w:szCs w:val="22"/>
        </w:rPr>
        <w:t>碘</w:t>
      </w:r>
      <w:r>
        <w:rPr>
          <w:rFonts w:ascii="宋体" w:eastAsia="宋体" w:hAnsi="宋体" w:cs="宋体"/>
          <w:sz w:val="22"/>
          <w:szCs w:val="22"/>
        </w:rPr>
        <w:t xml:space="preserve"> </w:t>
      </w:r>
      <w:r>
        <w:rPr>
          <w:rFonts w:ascii="宋体" w:eastAsia="宋体" w:hAnsi="宋体" w:cs="宋体"/>
          <w:spacing w:val="-18"/>
          <w:sz w:val="22"/>
          <w:szCs w:val="22"/>
        </w:rPr>
        <w:t>化钾，</w:t>
      </w:r>
    </w:p>
    <w:p w:rsidR="00EA40A3" w:rsidRDefault="00E86C16">
      <w:pPr>
        <w:spacing w:before="95" w:line="232" w:lineRule="auto"/>
        <w:ind w:right="79" w:firstLine="430"/>
        <w:jc w:val="both"/>
        <w:rPr>
          <w:rFonts w:ascii="宋体" w:eastAsia="宋体" w:hAnsi="宋体" w:cs="宋体"/>
          <w:sz w:val="22"/>
          <w:szCs w:val="22"/>
        </w:rPr>
      </w:pPr>
      <w:r>
        <w:rPr>
          <w:rFonts w:ascii="宋体" w:eastAsia="宋体" w:hAnsi="宋体" w:cs="宋体"/>
          <w:spacing w:val="-13"/>
          <w:sz w:val="22"/>
          <w:szCs w:val="22"/>
        </w:rPr>
        <w:t>酱油也是日常生活中常用的调味品，特别是在中国及东南亚国家和地区，有</w:t>
      </w:r>
      <w:r>
        <w:rPr>
          <w:rFonts w:ascii="宋体" w:eastAsia="宋体" w:hAnsi="宋体" w:cs="宋体"/>
          <w:spacing w:val="8"/>
          <w:sz w:val="22"/>
          <w:szCs w:val="22"/>
        </w:rPr>
        <w:t xml:space="preserve"> </w:t>
      </w:r>
      <w:r>
        <w:rPr>
          <w:rFonts w:ascii="宋体" w:eastAsia="宋体" w:hAnsi="宋体" w:cs="宋体"/>
          <w:spacing w:val="-7"/>
          <w:sz w:val="22"/>
          <w:szCs w:val="22"/>
        </w:rPr>
        <w:t>些国家也对其进行了强化，主要添加维生素B</w:t>
      </w:r>
      <w:r>
        <w:rPr>
          <w:rFonts w:ascii="Calibri" w:eastAsia="Calibri" w:hAnsi="Calibri" w:cs="Calibri"/>
          <w:spacing w:val="-7"/>
          <w:sz w:val="22"/>
          <w:szCs w:val="22"/>
        </w:rPr>
        <w:t>₁</w:t>
      </w:r>
      <w:r>
        <w:rPr>
          <w:rFonts w:ascii="Calibri" w:eastAsia="Calibri" w:hAnsi="Calibri" w:cs="Calibri"/>
          <w:spacing w:val="-13"/>
          <w:sz w:val="22"/>
          <w:szCs w:val="22"/>
        </w:rPr>
        <w:t xml:space="preserve"> </w:t>
      </w:r>
      <w:r>
        <w:rPr>
          <w:rFonts w:ascii="宋体" w:eastAsia="宋体" w:hAnsi="宋体" w:cs="宋体"/>
          <w:spacing w:val="-7"/>
          <w:sz w:val="22"/>
          <w:szCs w:val="22"/>
        </w:rPr>
        <w:t>、维生素</w:t>
      </w:r>
      <w:r>
        <w:rPr>
          <w:rFonts w:ascii="宋体" w:eastAsia="宋体" w:hAnsi="宋体" w:cs="宋体"/>
          <w:spacing w:val="-58"/>
          <w:sz w:val="22"/>
          <w:szCs w:val="22"/>
        </w:rPr>
        <w:t xml:space="preserve"> </w:t>
      </w:r>
      <w:r>
        <w:rPr>
          <w:rFonts w:ascii="宋体" w:eastAsia="宋体" w:hAnsi="宋体" w:cs="宋体"/>
          <w:spacing w:val="-7"/>
          <w:sz w:val="22"/>
          <w:szCs w:val="22"/>
        </w:rPr>
        <w:t>B</w:t>
      </w:r>
      <w:r>
        <w:rPr>
          <w:rFonts w:ascii="Calibri" w:eastAsia="Calibri" w:hAnsi="Calibri" w:cs="Calibri"/>
          <w:spacing w:val="-7"/>
          <w:sz w:val="22"/>
          <w:szCs w:val="22"/>
        </w:rPr>
        <w:t>₂</w:t>
      </w:r>
      <w:r>
        <w:rPr>
          <w:rFonts w:ascii="Calibri" w:eastAsia="Calibri" w:hAnsi="Calibri" w:cs="Calibri"/>
          <w:spacing w:val="-26"/>
          <w:sz w:val="22"/>
          <w:szCs w:val="22"/>
        </w:rPr>
        <w:t xml:space="preserve"> </w:t>
      </w:r>
      <w:r>
        <w:rPr>
          <w:rFonts w:ascii="宋体" w:eastAsia="宋体" w:hAnsi="宋体" w:cs="宋体"/>
          <w:spacing w:val="-7"/>
          <w:sz w:val="22"/>
          <w:szCs w:val="22"/>
        </w:rPr>
        <w:t>、铁和钙等。维生素</w:t>
      </w:r>
      <w:r>
        <w:rPr>
          <w:rFonts w:ascii="宋体" w:eastAsia="宋体" w:hAnsi="宋体" w:cs="宋体"/>
          <w:sz w:val="22"/>
          <w:szCs w:val="22"/>
        </w:rPr>
        <w:t xml:space="preserve"> </w:t>
      </w:r>
      <w:r>
        <w:rPr>
          <w:rFonts w:ascii="宋体" w:eastAsia="宋体" w:hAnsi="宋体" w:cs="宋体"/>
          <w:spacing w:val="-6"/>
          <w:sz w:val="22"/>
          <w:szCs w:val="22"/>
        </w:rPr>
        <w:t>B</w:t>
      </w:r>
      <w:r>
        <w:rPr>
          <w:rFonts w:ascii="Calibri" w:eastAsia="Calibri" w:hAnsi="Calibri" w:cs="Calibri"/>
          <w:spacing w:val="-6"/>
          <w:sz w:val="22"/>
          <w:szCs w:val="22"/>
        </w:rPr>
        <w:t>₁</w:t>
      </w:r>
      <w:r>
        <w:rPr>
          <w:rFonts w:ascii="Calibri" w:eastAsia="Calibri" w:hAnsi="Calibri" w:cs="Calibri"/>
          <w:spacing w:val="10"/>
          <w:sz w:val="22"/>
          <w:szCs w:val="22"/>
        </w:rPr>
        <w:t xml:space="preserve">  </w:t>
      </w:r>
      <w:r>
        <w:rPr>
          <w:rFonts w:ascii="宋体" w:eastAsia="宋体" w:hAnsi="宋体" w:cs="宋体"/>
          <w:spacing w:val="-6"/>
          <w:sz w:val="22"/>
          <w:szCs w:val="22"/>
        </w:rPr>
        <w:t>的强化剂量一般为17.5mg/L</w:t>
      </w:r>
      <w:r>
        <w:rPr>
          <w:rFonts w:ascii="宋体" w:eastAsia="宋体" w:hAnsi="宋体" w:cs="宋体"/>
          <w:spacing w:val="12"/>
          <w:sz w:val="22"/>
          <w:szCs w:val="22"/>
        </w:rPr>
        <w:t xml:space="preserve"> </w:t>
      </w:r>
      <w:r>
        <w:rPr>
          <w:rFonts w:ascii="宋体" w:eastAsia="宋体" w:hAnsi="宋体" w:cs="宋体"/>
          <w:spacing w:val="-6"/>
          <w:sz w:val="22"/>
          <w:szCs w:val="22"/>
        </w:rPr>
        <w:t>酱油。</w:t>
      </w:r>
    </w:p>
    <w:p w:rsidR="00EA40A3" w:rsidRDefault="00E86C16">
      <w:pPr>
        <w:spacing w:before="89"/>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6"/>
          <w:sz w:val="18"/>
          <w:szCs w:val="18"/>
        </w:rPr>
        <w:t xml:space="preserve"> </w:t>
      </w:r>
      <w:r>
        <w:rPr>
          <w:rFonts w:ascii="宋体" w:eastAsia="宋体" w:hAnsi="宋体" w:cs="宋体"/>
          <w:spacing w:val="-27"/>
          <w:sz w:val="18"/>
          <w:szCs w:val="18"/>
        </w:rPr>
        <w:t>268</w:t>
      </w:r>
      <w:r>
        <w:rPr>
          <w:rFonts w:ascii="宋体" w:eastAsia="宋体" w:hAnsi="宋体" w:cs="宋体"/>
          <w:spacing w:val="44"/>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230"/>
          <w:pgSz w:w="9220" w:h="13360"/>
          <w:pgMar w:top="400" w:right="1059" w:bottom="400" w:left="809" w:header="0" w:footer="0" w:gutter="0"/>
          <w:cols w:space="720"/>
        </w:sectPr>
      </w:pPr>
    </w:p>
    <w:p w:rsidR="00EA40A3" w:rsidRDefault="00EA40A3">
      <w:pPr>
        <w:spacing w:line="269" w:lineRule="auto"/>
      </w:pPr>
    </w:p>
    <w:p w:rsidR="00EA40A3" w:rsidRDefault="00EA40A3">
      <w:pPr>
        <w:spacing w:line="270" w:lineRule="auto"/>
      </w:pPr>
    </w:p>
    <w:p w:rsidR="00EA40A3" w:rsidRDefault="00E86C16">
      <w:pPr>
        <w:spacing w:before="75" w:line="236" w:lineRule="auto"/>
        <w:ind w:right="30" w:firstLine="419"/>
        <w:jc w:val="both"/>
        <w:rPr>
          <w:rFonts w:ascii="宋体" w:eastAsia="宋体" w:hAnsi="宋体" w:cs="宋体"/>
          <w:sz w:val="23"/>
          <w:szCs w:val="23"/>
        </w:rPr>
      </w:pPr>
      <w:r>
        <w:rPr>
          <w:rFonts w:ascii="宋体" w:eastAsia="宋体" w:hAnsi="宋体" w:cs="宋体"/>
          <w:spacing w:val="-24"/>
          <w:sz w:val="23"/>
          <w:szCs w:val="23"/>
        </w:rPr>
        <w:t>高钙低盐酱油是强化酱油的典型例子。据日本特许公报报道，利用牡蛎壳中</w:t>
      </w:r>
      <w:r>
        <w:rPr>
          <w:rFonts w:ascii="宋体" w:eastAsia="宋体" w:hAnsi="宋体" w:cs="宋体"/>
          <w:spacing w:val="1"/>
          <w:sz w:val="23"/>
          <w:szCs w:val="23"/>
        </w:rPr>
        <w:t xml:space="preserve">  </w:t>
      </w:r>
      <w:r>
        <w:rPr>
          <w:rFonts w:ascii="宋体" w:eastAsia="宋体" w:hAnsi="宋体" w:cs="宋体"/>
          <w:spacing w:val="-7"/>
          <w:sz w:val="23"/>
          <w:szCs w:val="23"/>
        </w:rPr>
        <w:t>提取的天然水溶性活性钙，制造高钙</w:t>
      </w:r>
      <w:r>
        <w:rPr>
          <w:rFonts w:ascii="宋体" w:eastAsia="宋体" w:hAnsi="宋体" w:cs="宋体"/>
          <w:spacing w:val="-8"/>
          <w:sz w:val="23"/>
          <w:szCs w:val="23"/>
        </w:rPr>
        <w:t>低盐酱油，其含氮1.5%、</w:t>
      </w:r>
      <w:r>
        <w:rPr>
          <w:rFonts w:ascii="宋体" w:eastAsia="宋体" w:hAnsi="宋体" w:cs="宋体"/>
          <w:spacing w:val="-7"/>
          <w:sz w:val="23"/>
          <w:szCs w:val="23"/>
        </w:rPr>
        <w:t>NaCl</w:t>
      </w:r>
      <w:r>
        <w:rPr>
          <w:rFonts w:ascii="宋体" w:eastAsia="宋体" w:hAnsi="宋体" w:cs="宋体"/>
          <w:spacing w:val="25"/>
          <w:sz w:val="23"/>
          <w:szCs w:val="23"/>
        </w:rPr>
        <w:t xml:space="preserve"> </w:t>
      </w:r>
      <w:r>
        <w:rPr>
          <w:rFonts w:ascii="宋体" w:eastAsia="宋体" w:hAnsi="宋体" w:cs="宋体"/>
          <w:spacing w:val="-8"/>
          <w:sz w:val="23"/>
          <w:szCs w:val="23"/>
        </w:rPr>
        <w:t>12.5%、</w:t>
      </w:r>
      <w:r>
        <w:rPr>
          <w:rFonts w:ascii="宋体" w:eastAsia="宋体" w:hAnsi="宋体" w:cs="宋体"/>
          <w:sz w:val="23"/>
          <w:szCs w:val="23"/>
        </w:rPr>
        <w:t xml:space="preserve"> Ca</w:t>
      </w:r>
      <w:r>
        <w:rPr>
          <w:rFonts w:ascii="宋体" w:eastAsia="宋体" w:hAnsi="宋体" w:cs="宋体"/>
          <w:spacing w:val="52"/>
          <w:sz w:val="23"/>
          <w:szCs w:val="23"/>
        </w:rPr>
        <w:t xml:space="preserve"> </w:t>
      </w:r>
      <w:r>
        <w:rPr>
          <w:rFonts w:ascii="宋体" w:eastAsia="宋体" w:hAnsi="宋体" w:cs="宋体"/>
          <w:sz w:val="23"/>
          <w:szCs w:val="23"/>
        </w:rPr>
        <w:t>0.09%、pH为4.8。</w:t>
      </w:r>
    </w:p>
    <w:p w:rsidR="00EA40A3" w:rsidRDefault="00E86C16">
      <w:pPr>
        <w:spacing w:before="59" w:line="243" w:lineRule="auto"/>
        <w:ind w:firstLine="419"/>
        <w:jc w:val="both"/>
        <w:rPr>
          <w:rFonts w:ascii="宋体" w:eastAsia="宋体" w:hAnsi="宋体" w:cs="宋体"/>
          <w:sz w:val="23"/>
          <w:szCs w:val="23"/>
        </w:rPr>
      </w:pPr>
      <w:r>
        <w:rPr>
          <w:rFonts w:ascii="宋体" w:eastAsia="宋体" w:hAnsi="宋体" w:cs="宋体"/>
          <w:spacing w:val="5"/>
          <w:sz w:val="23"/>
          <w:szCs w:val="23"/>
        </w:rPr>
        <w:t>制造方法：将大豆原料浸在天然水溶性活性钙的水溶液中，以压力</w:t>
      </w:r>
      <w:r>
        <w:rPr>
          <w:rFonts w:ascii="宋体" w:eastAsia="宋体" w:hAnsi="宋体" w:cs="宋体"/>
          <w:spacing w:val="1"/>
          <w:sz w:val="23"/>
          <w:szCs w:val="23"/>
        </w:rPr>
        <w:t xml:space="preserve">  </w:t>
      </w:r>
      <w:r>
        <w:rPr>
          <w:rFonts w:ascii="宋体" w:eastAsia="宋体" w:hAnsi="宋体" w:cs="宋体"/>
          <w:spacing w:val="-4"/>
          <w:sz w:val="23"/>
          <w:szCs w:val="23"/>
        </w:rPr>
        <w:t>0.196MPa</w:t>
      </w:r>
      <w:r>
        <w:rPr>
          <w:rFonts w:ascii="宋体" w:eastAsia="宋体" w:hAnsi="宋体" w:cs="宋体"/>
          <w:spacing w:val="-35"/>
          <w:sz w:val="23"/>
          <w:szCs w:val="23"/>
        </w:rPr>
        <w:t xml:space="preserve"> </w:t>
      </w:r>
      <w:r>
        <w:rPr>
          <w:rFonts w:ascii="宋体" w:eastAsia="宋体" w:hAnsi="宋体" w:cs="宋体"/>
          <w:spacing w:val="-4"/>
          <w:sz w:val="23"/>
          <w:szCs w:val="23"/>
        </w:rPr>
        <w:t>的125℃蒸汽蒸煮6min后，急速冷却到30</w:t>
      </w:r>
      <w:r>
        <w:rPr>
          <w:rFonts w:ascii="宋体" w:eastAsia="宋体" w:hAnsi="宋体" w:cs="宋体"/>
          <w:spacing w:val="-5"/>
          <w:sz w:val="23"/>
          <w:szCs w:val="23"/>
        </w:rPr>
        <w:t>℃,与小麦混合制曲，3d</w:t>
      </w:r>
      <w:r>
        <w:rPr>
          <w:rFonts w:ascii="宋体" w:eastAsia="宋体" w:hAnsi="宋体" w:cs="宋体"/>
          <w:sz w:val="23"/>
          <w:szCs w:val="23"/>
        </w:rPr>
        <w:t xml:space="preserve"> </w:t>
      </w:r>
      <w:r>
        <w:rPr>
          <w:rFonts w:ascii="宋体" w:eastAsia="宋体" w:hAnsi="宋体" w:cs="宋体"/>
          <w:spacing w:val="-8"/>
          <w:sz w:val="23"/>
          <w:szCs w:val="23"/>
        </w:rPr>
        <w:t>后得成曲，含水量为30.5%。将溶有天然水溶性活性钙盐</w:t>
      </w:r>
      <w:r>
        <w:rPr>
          <w:rFonts w:ascii="宋体" w:eastAsia="宋体" w:hAnsi="宋体" w:cs="宋体"/>
          <w:spacing w:val="-9"/>
          <w:sz w:val="23"/>
          <w:szCs w:val="23"/>
        </w:rPr>
        <w:t>22%、浓度19</w:t>
      </w:r>
      <w:r>
        <w:rPr>
          <w:rFonts w:ascii="宋体" w:eastAsia="宋体" w:hAnsi="宋体" w:cs="宋体"/>
          <w:spacing w:val="-8"/>
          <w:sz w:val="23"/>
          <w:szCs w:val="23"/>
        </w:rPr>
        <w:t>Be</w:t>
      </w:r>
      <w:r>
        <w:rPr>
          <w:rFonts w:ascii="宋体" w:eastAsia="宋体" w:hAnsi="宋体" w:cs="宋体"/>
          <w:spacing w:val="-9"/>
          <w:sz w:val="23"/>
          <w:szCs w:val="23"/>
        </w:rPr>
        <w:t>的盐</w:t>
      </w:r>
      <w:r>
        <w:rPr>
          <w:rFonts w:ascii="宋体" w:eastAsia="宋体" w:hAnsi="宋体" w:cs="宋体"/>
          <w:sz w:val="23"/>
          <w:szCs w:val="23"/>
        </w:rPr>
        <w:t xml:space="preserve"> </w:t>
      </w:r>
      <w:r>
        <w:rPr>
          <w:rFonts w:ascii="宋体" w:eastAsia="宋体" w:hAnsi="宋体" w:cs="宋体"/>
          <w:spacing w:val="-17"/>
          <w:sz w:val="23"/>
          <w:szCs w:val="23"/>
        </w:rPr>
        <w:t>水与成曲搅拌均匀，发酵5个月。发酵过程中，加含水溶性钙的水</w:t>
      </w:r>
      <w:r>
        <w:rPr>
          <w:rFonts w:ascii="宋体" w:eastAsia="宋体" w:hAnsi="宋体" w:cs="宋体"/>
          <w:spacing w:val="-18"/>
          <w:sz w:val="23"/>
          <w:szCs w:val="23"/>
        </w:rPr>
        <w:t>一次或数次，</w:t>
      </w:r>
      <w:r>
        <w:rPr>
          <w:rFonts w:ascii="宋体" w:eastAsia="宋体" w:hAnsi="宋体" w:cs="宋体"/>
          <w:sz w:val="23"/>
          <w:szCs w:val="23"/>
        </w:rPr>
        <w:t xml:space="preserve"> </w:t>
      </w:r>
      <w:r>
        <w:rPr>
          <w:rFonts w:ascii="宋体" w:eastAsia="宋体" w:hAnsi="宋体" w:cs="宋体"/>
          <w:spacing w:val="-12"/>
          <w:sz w:val="23"/>
          <w:szCs w:val="23"/>
        </w:rPr>
        <w:t>把pH</w:t>
      </w:r>
      <w:r>
        <w:rPr>
          <w:rFonts w:ascii="宋体" w:eastAsia="宋体" w:hAnsi="宋体" w:cs="宋体"/>
          <w:spacing w:val="3"/>
          <w:sz w:val="23"/>
          <w:szCs w:val="23"/>
        </w:rPr>
        <w:t xml:space="preserve"> </w:t>
      </w:r>
      <w:r>
        <w:rPr>
          <w:rFonts w:ascii="宋体" w:eastAsia="宋体" w:hAnsi="宋体" w:cs="宋体"/>
          <w:spacing w:val="-12"/>
          <w:sz w:val="23"/>
          <w:szCs w:val="23"/>
        </w:rPr>
        <w:t>值调节到5.5～6.0,不能大于6.5。酿造后期，经自然发酵熟成，</w:t>
      </w:r>
      <w:r>
        <w:rPr>
          <w:rFonts w:ascii="宋体" w:eastAsia="宋体" w:hAnsi="宋体" w:cs="宋体"/>
          <w:spacing w:val="15"/>
          <w:sz w:val="23"/>
          <w:szCs w:val="23"/>
        </w:rPr>
        <w:t xml:space="preserve"> </w:t>
      </w:r>
      <w:r>
        <w:rPr>
          <w:rFonts w:ascii="宋体" w:eastAsia="宋体" w:hAnsi="宋体" w:cs="宋体"/>
          <w:spacing w:val="-12"/>
          <w:sz w:val="23"/>
          <w:szCs w:val="23"/>
        </w:rPr>
        <w:t>pH</w:t>
      </w:r>
      <w:r>
        <w:rPr>
          <w:rFonts w:ascii="宋体" w:eastAsia="宋体" w:hAnsi="宋体" w:cs="宋体"/>
          <w:spacing w:val="-8"/>
          <w:sz w:val="23"/>
          <w:szCs w:val="23"/>
        </w:rPr>
        <w:t xml:space="preserve"> </w:t>
      </w:r>
      <w:r>
        <w:rPr>
          <w:rFonts w:ascii="宋体" w:eastAsia="宋体" w:hAnsi="宋体" w:cs="宋体"/>
          <w:spacing w:val="-12"/>
          <w:sz w:val="23"/>
          <w:szCs w:val="23"/>
        </w:rPr>
        <w:t>值</w:t>
      </w:r>
      <w:r>
        <w:rPr>
          <w:rFonts w:ascii="宋体" w:eastAsia="宋体" w:hAnsi="宋体" w:cs="宋体"/>
          <w:sz w:val="23"/>
          <w:szCs w:val="23"/>
        </w:rPr>
        <w:t xml:space="preserve">  </w:t>
      </w:r>
      <w:r>
        <w:rPr>
          <w:rFonts w:ascii="宋体" w:eastAsia="宋体" w:hAnsi="宋体" w:cs="宋体"/>
          <w:spacing w:val="-5"/>
          <w:sz w:val="23"/>
          <w:szCs w:val="23"/>
        </w:rPr>
        <w:t>自然回落到4.7,分离糟粕得到生酱油，其含总氮2.1%、NaCl17.6%、</w:t>
      </w:r>
      <w:r>
        <w:rPr>
          <w:rFonts w:ascii="宋体" w:eastAsia="宋体" w:hAnsi="宋体" w:cs="宋体"/>
          <w:spacing w:val="87"/>
          <w:sz w:val="23"/>
          <w:szCs w:val="23"/>
        </w:rPr>
        <w:t xml:space="preserve"> </w:t>
      </w:r>
      <w:r>
        <w:rPr>
          <w:rFonts w:ascii="宋体" w:eastAsia="宋体" w:hAnsi="宋体" w:cs="宋体"/>
          <w:spacing w:val="-5"/>
          <w:sz w:val="23"/>
          <w:szCs w:val="23"/>
        </w:rPr>
        <w:t>乙醇</w:t>
      </w:r>
      <w:r>
        <w:rPr>
          <w:rFonts w:ascii="宋体" w:eastAsia="宋体" w:hAnsi="宋体" w:cs="宋体"/>
          <w:sz w:val="23"/>
          <w:szCs w:val="23"/>
        </w:rPr>
        <w:t xml:space="preserve">  </w:t>
      </w:r>
      <w:r>
        <w:rPr>
          <w:rFonts w:ascii="宋体" w:eastAsia="宋体" w:hAnsi="宋体" w:cs="宋体"/>
          <w:spacing w:val="-12"/>
          <w:sz w:val="23"/>
          <w:szCs w:val="23"/>
        </w:rPr>
        <w:t>4.5%、Ca</w:t>
      </w:r>
      <w:r>
        <w:rPr>
          <w:rFonts w:ascii="宋体" w:eastAsia="宋体" w:hAnsi="宋体" w:cs="宋体"/>
          <w:spacing w:val="47"/>
          <w:sz w:val="23"/>
          <w:szCs w:val="23"/>
        </w:rPr>
        <w:t xml:space="preserve"> </w:t>
      </w:r>
      <w:r>
        <w:rPr>
          <w:rFonts w:ascii="宋体" w:eastAsia="宋体" w:hAnsi="宋体" w:cs="宋体"/>
          <w:spacing w:val="-12"/>
          <w:sz w:val="23"/>
          <w:szCs w:val="23"/>
        </w:rPr>
        <w:t>1200mg/L。</w:t>
      </w:r>
      <w:r>
        <w:rPr>
          <w:rFonts w:ascii="宋体" w:eastAsia="宋体" w:hAnsi="宋体" w:cs="宋体"/>
          <w:spacing w:val="-50"/>
          <w:sz w:val="23"/>
          <w:szCs w:val="23"/>
        </w:rPr>
        <w:t xml:space="preserve"> </w:t>
      </w:r>
      <w:r>
        <w:rPr>
          <w:rFonts w:ascii="宋体" w:eastAsia="宋体" w:hAnsi="宋体" w:cs="宋体"/>
          <w:spacing w:val="-12"/>
          <w:sz w:val="23"/>
          <w:szCs w:val="23"/>
        </w:rPr>
        <w:t>在80℃下杀菌15min,</w:t>
      </w:r>
      <w:r>
        <w:rPr>
          <w:rFonts w:ascii="宋体" w:eastAsia="宋体" w:hAnsi="宋体" w:cs="宋体"/>
          <w:spacing w:val="-42"/>
          <w:sz w:val="23"/>
          <w:szCs w:val="23"/>
        </w:rPr>
        <w:t xml:space="preserve"> </w:t>
      </w:r>
      <w:r>
        <w:rPr>
          <w:rFonts w:ascii="宋体" w:eastAsia="宋体" w:hAnsi="宋体" w:cs="宋体"/>
          <w:spacing w:val="-12"/>
          <w:sz w:val="23"/>
          <w:szCs w:val="23"/>
        </w:rPr>
        <w:t>即得到营养丰富</w:t>
      </w:r>
      <w:r>
        <w:rPr>
          <w:rFonts w:ascii="宋体" w:eastAsia="宋体" w:hAnsi="宋体" w:cs="宋体"/>
          <w:spacing w:val="-13"/>
          <w:sz w:val="23"/>
          <w:szCs w:val="23"/>
        </w:rPr>
        <w:t>的高钙低盐酱油。</w:t>
      </w:r>
    </w:p>
    <w:p w:rsidR="00EA40A3" w:rsidRDefault="00E86C16">
      <w:pPr>
        <w:spacing w:before="189" w:line="222" w:lineRule="auto"/>
        <w:rPr>
          <w:rFonts w:ascii="仿宋" w:eastAsia="仿宋" w:hAnsi="仿宋" w:cs="仿宋"/>
          <w:sz w:val="23"/>
          <w:szCs w:val="23"/>
        </w:rPr>
      </w:pPr>
      <w:r>
        <w:rPr>
          <w:rFonts w:ascii="仿宋" w:eastAsia="仿宋" w:hAnsi="仿宋" w:cs="仿宋"/>
          <w:spacing w:val="4"/>
          <w:sz w:val="23"/>
          <w:szCs w:val="23"/>
        </w:rPr>
        <w:t>3.</w:t>
      </w:r>
      <w:r>
        <w:rPr>
          <w:rFonts w:ascii="仿宋" w:eastAsia="仿宋" w:hAnsi="仿宋" w:cs="仿宋"/>
          <w:spacing w:val="-28"/>
          <w:sz w:val="23"/>
          <w:szCs w:val="23"/>
        </w:rPr>
        <w:t xml:space="preserve"> </w:t>
      </w:r>
      <w:r>
        <w:rPr>
          <w:rFonts w:ascii="仿宋" w:eastAsia="仿宋" w:hAnsi="仿宋" w:cs="仿宋"/>
          <w:spacing w:val="4"/>
          <w:sz w:val="23"/>
          <w:szCs w:val="23"/>
        </w:rPr>
        <w:t>酱类的强化</w:t>
      </w:r>
    </w:p>
    <w:p w:rsidR="00EA40A3" w:rsidRDefault="00E86C16">
      <w:pPr>
        <w:spacing w:before="182" w:line="245" w:lineRule="auto"/>
        <w:ind w:firstLine="419"/>
        <w:rPr>
          <w:rFonts w:ascii="宋体" w:eastAsia="宋体" w:hAnsi="宋体" w:cs="宋体"/>
          <w:sz w:val="23"/>
          <w:szCs w:val="23"/>
        </w:rPr>
      </w:pPr>
      <w:r>
        <w:rPr>
          <w:rFonts w:ascii="宋体" w:eastAsia="宋体" w:hAnsi="宋体" w:cs="宋体"/>
          <w:spacing w:val="-20"/>
          <w:sz w:val="23"/>
          <w:szCs w:val="23"/>
        </w:rPr>
        <w:t>酱类是亚洲国家人民常用的调味品。在酱类中强化的营养素主要有钙、磷、</w:t>
      </w:r>
      <w:r>
        <w:rPr>
          <w:rFonts w:ascii="宋体" w:eastAsia="宋体" w:hAnsi="宋体" w:cs="宋体"/>
          <w:spacing w:val="3"/>
          <w:sz w:val="23"/>
          <w:szCs w:val="23"/>
        </w:rPr>
        <w:t xml:space="preserve"> </w:t>
      </w:r>
      <w:r>
        <w:rPr>
          <w:rFonts w:ascii="宋体" w:eastAsia="宋体" w:hAnsi="宋体" w:cs="宋体"/>
          <w:spacing w:val="-6"/>
          <w:sz w:val="23"/>
          <w:szCs w:val="23"/>
        </w:rPr>
        <w:t>维生素A、</w:t>
      </w:r>
      <w:r>
        <w:rPr>
          <w:rFonts w:ascii="宋体" w:eastAsia="宋体" w:hAnsi="宋体" w:cs="宋体"/>
          <w:spacing w:val="-60"/>
          <w:sz w:val="23"/>
          <w:szCs w:val="23"/>
        </w:rPr>
        <w:t xml:space="preserve"> </w:t>
      </w:r>
      <w:r>
        <w:rPr>
          <w:rFonts w:ascii="宋体" w:eastAsia="宋体" w:hAnsi="宋体" w:cs="宋体"/>
          <w:spacing w:val="-6"/>
          <w:sz w:val="23"/>
          <w:szCs w:val="23"/>
        </w:rPr>
        <w:t>维生素B</w:t>
      </w:r>
      <w:r>
        <w:rPr>
          <w:rFonts w:ascii="Calibri" w:eastAsia="Calibri" w:hAnsi="Calibri" w:cs="Calibri"/>
          <w:spacing w:val="-6"/>
          <w:sz w:val="23"/>
          <w:szCs w:val="23"/>
        </w:rPr>
        <w:t>₁</w:t>
      </w:r>
      <w:r>
        <w:rPr>
          <w:rFonts w:ascii="Calibri" w:eastAsia="Calibri" w:hAnsi="Calibri" w:cs="Calibri"/>
          <w:spacing w:val="-27"/>
          <w:sz w:val="23"/>
          <w:szCs w:val="23"/>
        </w:rPr>
        <w:t xml:space="preserve"> </w:t>
      </w:r>
      <w:r>
        <w:rPr>
          <w:rFonts w:ascii="宋体" w:eastAsia="宋体" w:hAnsi="宋体" w:cs="宋体"/>
          <w:spacing w:val="-6"/>
          <w:sz w:val="23"/>
          <w:szCs w:val="23"/>
        </w:rPr>
        <w:t>、维生素B</w:t>
      </w:r>
      <w:r>
        <w:rPr>
          <w:rFonts w:ascii="Calibri" w:eastAsia="Calibri" w:hAnsi="Calibri" w:cs="Calibri"/>
          <w:spacing w:val="-6"/>
          <w:sz w:val="23"/>
          <w:szCs w:val="23"/>
        </w:rPr>
        <w:t>₂</w:t>
      </w:r>
      <w:r>
        <w:rPr>
          <w:rFonts w:ascii="Calibri" w:eastAsia="Calibri" w:hAnsi="Calibri" w:cs="Calibri"/>
          <w:spacing w:val="-27"/>
          <w:sz w:val="23"/>
          <w:szCs w:val="23"/>
        </w:rPr>
        <w:t xml:space="preserve"> </w:t>
      </w:r>
      <w:r>
        <w:rPr>
          <w:rFonts w:ascii="宋体" w:eastAsia="宋体" w:hAnsi="宋体" w:cs="宋体"/>
          <w:spacing w:val="-6"/>
          <w:sz w:val="23"/>
          <w:szCs w:val="23"/>
        </w:rPr>
        <w:t>、蛋白质等。钙的强化量一般是增补1%的碳</w:t>
      </w:r>
      <w:r>
        <w:rPr>
          <w:rFonts w:ascii="宋体" w:eastAsia="宋体" w:hAnsi="宋体" w:cs="宋体"/>
          <w:sz w:val="23"/>
          <w:szCs w:val="23"/>
        </w:rPr>
        <w:t xml:space="preserve"> </w:t>
      </w:r>
      <w:r>
        <w:rPr>
          <w:rFonts w:ascii="宋体" w:eastAsia="宋体" w:hAnsi="宋体" w:cs="宋体"/>
          <w:spacing w:val="-5"/>
          <w:sz w:val="23"/>
          <w:szCs w:val="23"/>
        </w:rPr>
        <w:t>酸钙，维生素B</w:t>
      </w:r>
      <w:r>
        <w:rPr>
          <w:rFonts w:ascii="Calibri" w:eastAsia="Calibri" w:hAnsi="Calibri" w:cs="Calibri"/>
          <w:spacing w:val="-5"/>
          <w:sz w:val="23"/>
          <w:szCs w:val="23"/>
        </w:rPr>
        <w:t>₂</w:t>
      </w:r>
      <w:r>
        <w:rPr>
          <w:rFonts w:ascii="Calibri" w:eastAsia="Calibri" w:hAnsi="Calibri" w:cs="Calibri"/>
          <w:spacing w:val="20"/>
          <w:sz w:val="23"/>
          <w:szCs w:val="23"/>
        </w:rPr>
        <w:t xml:space="preserve"> </w:t>
      </w:r>
      <w:r>
        <w:rPr>
          <w:rFonts w:ascii="宋体" w:eastAsia="宋体" w:hAnsi="宋体" w:cs="宋体"/>
          <w:spacing w:val="-5"/>
          <w:sz w:val="23"/>
          <w:szCs w:val="23"/>
        </w:rPr>
        <w:t>的强化量为1.5mg/100g,</w:t>
      </w:r>
      <w:r>
        <w:rPr>
          <w:rFonts w:ascii="宋体" w:eastAsia="宋体" w:hAnsi="宋体" w:cs="宋体"/>
          <w:spacing w:val="-32"/>
          <w:sz w:val="23"/>
          <w:szCs w:val="23"/>
        </w:rPr>
        <w:t xml:space="preserve"> </w:t>
      </w:r>
      <w:r>
        <w:rPr>
          <w:rFonts w:ascii="宋体" w:eastAsia="宋体" w:hAnsi="宋体" w:cs="宋体"/>
          <w:spacing w:val="-5"/>
          <w:sz w:val="23"/>
          <w:szCs w:val="23"/>
        </w:rPr>
        <w:t>维生素B</w:t>
      </w:r>
      <w:r>
        <w:rPr>
          <w:rFonts w:ascii="Calibri" w:eastAsia="Calibri" w:hAnsi="Calibri" w:cs="Calibri"/>
          <w:spacing w:val="-5"/>
          <w:sz w:val="23"/>
          <w:szCs w:val="23"/>
        </w:rPr>
        <w:t>₁</w:t>
      </w:r>
      <w:r>
        <w:rPr>
          <w:rFonts w:ascii="Calibri" w:eastAsia="Calibri" w:hAnsi="Calibri" w:cs="Calibri"/>
          <w:spacing w:val="50"/>
          <w:sz w:val="23"/>
          <w:szCs w:val="23"/>
        </w:rPr>
        <w:t xml:space="preserve"> </w:t>
      </w:r>
      <w:r>
        <w:rPr>
          <w:rFonts w:ascii="宋体" w:eastAsia="宋体" w:hAnsi="宋体" w:cs="宋体"/>
          <w:spacing w:val="-5"/>
          <w:sz w:val="23"/>
          <w:szCs w:val="23"/>
        </w:rPr>
        <w:t>的强化量为1.2mg/100g,</w:t>
      </w:r>
      <w:r>
        <w:rPr>
          <w:rFonts w:ascii="宋体" w:eastAsia="宋体" w:hAnsi="宋体" w:cs="宋体"/>
          <w:sz w:val="23"/>
          <w:szCs w:val="23"/>
        </w:rPr>
        <w:t xml:space="preserve"> </w:t>
      </w:r>
      <w:r>
        <w:rPr>
          <w:rFonts w:ascii="宋体" w:eastAsia="宋体" w:hAnsi="宋体" w:cs="宋体"/>
          <w:spacing w:val="-10"/>
          <w:sz w:val="23"/>
          <w:szCs w:val="23"/>
        </w:rPr>
        <w:t>维生素A</w:t>
      </w:r>
      <w:r>
        <w:rPr>
          <w:rFonts w:ascii="宋体" w:eastAsia="宋体" w:hAnsi="宋体" w:cs="宋体"/>
          <w:spacing w:val="-2"/>
          <w:sz w:val="23"/>
          <w:szCs w:val="23"/>
        </w:rPr>
        <w:t xml:space="preserve"> </w:t>
      </w:r>
      <w:r>
        <w:rPr>
          <w:rFonts w:ascii="宋体" w:eastAsia="宋体" w:hAnsi="宋体" w:cs="宋体"/>
          <w:spacing w:val="-10"/>
          <w:sz w:val="23"/>
          <w:szCs w:val="23"/>
        </w:rPr>
        <w:t>的强化量为15001U/100g。</w:t>
      </w:r>
    </w:p>
    <w:p w:rsidR="00EA40A3" w:rsidRDefault="00E86C16">
      <w:pPr>
        <w:spacing w:before="71" w:line="230" w:lineRule="auto"/>
        <w:ind w:right="98" w:firstLine="419"/>
        <w:rPr>
          <w:rFonts w:ascii="宋体" w:eastAsia="宋体" w:hAnsi="宋体" w:cs="宋体"/>
          <w:sz w:val="23"/>
          <w:szCs w:val="23"/>
        </w:rPr>
      </w:pPr>
      <w:r>
        <w:rPr>
          <w:rFonts w:ascii="宋体" w:eastAsia="宋体" w:hAnsi="宋体" w:cs="宋体"/>
          <w:spacing w:val="-23"/>
          <w:sz w:val="23"/>
          <w:szCs w:val="23"/>
        </w:rPr>
        <w:t>高蛋白质花生酱是采用添加花生粕、大豆粕的方法，在单纯以花生为原料的</w:t>
      </w:r>
      <w:r>
        <w:rPr>
          <w:rFonts w:ascii="宋体" w:eastAsia="宋体" w:hAnsi="宋体" w:cs="宋体"/>
          <w:spacing w:val="4"/>
          <w:sz w:val="23"/>
          <w:szCs w:val="23"/>
        </w:rPr>
        <w:t xml:space="preserve"> </w:t>
      </w:r>
      <w:r>
        <w:rPr>
          <w:rFonts w:ascii="宋体" w:eastAsia="宋体" w:hAnsi="宋体" w:cs="宋体"/>
          <w:spacing w:val="-23"/>
          <w:sz w:val="23"/>
          <w:szCs w:val="23"/>
        </w:rPr>
        <w:t>花生酱中，提高蛋白质等营养成分的含量。其工艺流程如下：</w:t>
      </w:r>
    </w:p>
    <w:p w:rsidR="00EA40A3" w:rsidRDefault="00E86C16">
      <w:pPr>
        <w:spacing w:before="53" w:line="219" w:lineRule="auto"/>
        <w:ind w:left="419"/>
        <w:rPr>
          <w:rFonts w:ascii="宋体" w:eastAsia="宋体" w:hAnsi="宋体" w:cs="宋体"/>
          <w:sz w:val="17"/>
          <w:szCs w:val="17"/>
        </w:rPr>
      </w:pPr>
      <w:r>
        <w:rPr>
          <w:noProof/>
        </w:rPr>
        <w:drawing>
          <wp:anchor distT="0" distB="0" distL="0" distR="0" simplePos="0" relativeHeight="251708416" behindDoc="1" locked="0" layoutInCell="1" allowOverlap="1">
            <wp:simplePos x="0" y="0"/>
            <wp:positionH relativeFrom="column">
              <wp:posOffset>273050</wp:posOffset>
            </wp:positionH>
            <wp:positionV relativeFrom="paragraph">
              <wp:posOffset>-13970</wp:posOffset>
            </wp:positionV>
            <wp:extent cx="4292600" cy="46355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31"/>
                    <a:stretch>
                      <a:fillRect/>
                    </a:stretch>
                  </pic:blipFill>
                  <pic:spPr>
                    <a:xfrm>
                      <a:off x="0" y="0"/>
                      <a:ext cx="4292607" cy="463544"/>
                    </a:xfrm>
                    <a:prstGeom prst="rect">
                      <a:avLst/>
                    </a:prstGeom>
                  </pic:spPr>
                </pic:pic>
              </a:graphicData>
            </a:graphic>
          </wp:anchor>
        </w:drawing>
      </w:r>
      <w:r>
        <w:rPr>
          <w:rFonts w:ascii="宋体" w:eastAsia="宋体" w:hAnsi="宋体" w:cs="宋体"/>
          <w:spacing w:val="-9"/>
          <w:sz w:val="17"/>
          <w:szCs w:val="17"/>
        </w:rPr>
        <w:t>花</w:t>
      </w:r>
      <w:r>
        <w:rPr>
          <w:rFonts w:ascii="宋体" w:eastAsia="宋体" w:hAnsi="宋体" w:cs="宋体"/>
          <w:spacing w:val="-20"/>
          <w:sz w:val="17"/>
          <w:szCs w:val="17"/>
        </w:rPr>
        <w:t xml:space="preserve"> </w:t>
      </w:r>
      <w:r>
        <w:rPr>
          <w:rFonts w:ascii="宋体" w:eastAsia="宋体" w:hAnsi="宋体" w:cs="宋体"/>
          <w:spacing w:val="-9"/>
          <w:sz w:val="17"/>
          <w:szCs w:val="17"/>
        </w:rPr>
        <w:t>生</w:t>
      </w:r>
      <w:r>
        <w:rPr>
          <w:rFonts w:ascii="宋体" w:eastAsia="宋体" w:hAnsi="宋体" w:cs="宋体"/>
          <w:spacing w:val="-21"/>
          <w:sz w:val="17"/>
          <w:szCs w:val="17"/>
        </w:rPr>
        <w:t xml:space="preserve"> </w:t>
      </w:r>
      <w:r>
        <w:rPr>
          <w:rFonts w:ascii="宋体" w:eastAsia="宋体" w:hAnsi="宋体" w:cs="宋体"/>
          <w:spacing w:val="-9"/>
          <w:sz w:val="17"/>
          <w:szCs w:val="17"/>
        </w:rPr>
        <w:t>仁</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0"/>
          <w:sz w:val="17"/>
          <w:szCs w:val="17"/>
        </w:rPr>
        <w:t xml:space="preserve"> </w:t>
      </w:r>
      <w:r>
        <w:rPr>
          <w:rFonts w:ascii="宋体" w:eastAsia="宋体" w:hAnsi="宋体" w:cs="宋体"/>
          <w:spacing w:val="-9"/>
          <w:sz w:val="17"/>
          <w:szCs w:val="17"/>
        </w:rPr>
        <w:t>筛</w:t>
      </w:r>
      <w:r>
        <w:rPr>
          <w:rFonts w:ascii="宋体" w:eastAsia="宋体" w:hAnsi="宋体" w:cs="宋体"/>
          <w:spacing w:val="-22"/>
          <w:sz w:val="17"/>
          <w:szCs w:val="17"/>
        </w:rPr>
        <w:t xml:space="preserve"> </w:t>
      </w:r>
      <w:r>
        <w:rPr>
          <w:rFonts w:ascii="宋体" w:eastAsia="宋体" w:hAnsi="宋体" w:cs="宋体"/>
          <w:spacing w:val="-9"/>
          <w:sz w:val="17"/>
          <w:szCs w:val="17"/>
        </w:rPr>
        <w:t>选</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3"/>
          <w:sz w:val="17"/>
          <w:szCs w:val="17"/>
        </w:rPr>
        <w:t xml:space="preserve"> </w:t>
      </w:r>
      <w:r>
        <w:rPr>
          <w:rFonts w:ascii="宋体" w:eastAsia="宋体" w:hAnsi="宋体" w:cs="宋体"/>
          <w:spacing w:val="-9"/>
          <w:sz w:val="17"/>
          <w:szCs w:val="17"/>
        </w:rPr>
        <w:t>烧</w:t>
      </w:r>
      <w:r>
        <w:rPr>
          <w:rFonts w:ascii="宋体" w:eastAsia="宋体" w:hAnsi="宋体" w:cs="宋体"/>
          <w:spacing w:val="-22"/>
          <w:sz w:val="17"/>
          <w:szCs w:val="17"/>
        </w:rPr>
        <w:t xml:space="preserve"> </w:t>
      </w:r>
      <w:r>
        <w:rPr>
          <w:rFonts w:ascii="宋体" w:eastAsia="宋体" w:hAnsi="宋体" w:cs="宋体"/>
          <w:spacing w:val="-9"/>
          <w:sz w:val="17"/>
          <w:szCs w:val="17"/>
        </w:rPr>
        <w:t>烤</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1"/>
          <w:sz w:val="17"/>
          <w:szCs w:val="17"/>
        </w:rPr>
        <w:t xml:space="preserve"> </w:t>
      </w:r>
      <w:r>
        <w:rPr>
          <w:rFonts w:ascii="宋体" w:eastAsia="宋体" w:hAnsi="宋体" w:cs="宋体"/>
          <w:spacing w:val="-9"/>
          <w:sz w:val="17"/>
          <w:szCs w:val="17"/>
        </w:rPr>
        <w:t>脱</w:t>
      </w:r>
      <w:r>
        <w:rPr>
          <w:rFonts w:ascii="宋体" w:eastAsia="宋体" w:hAnsi="宋体" w:cs="宋体"/>
          <w:spacing w:val="-17"/>
          <w:sz w:val="17"/>
          <w:szCs w:val="17"/>
        </w:rPr>
        <w:t xml:space="preserve"> </w:t>
      </w:r>
      <w:r>
        <w:rPr>
          <w:rFonts w:ascii="宋体" w:eastAsia="宋体" w:hAnsi="宋体" w:cs="宋体"/>
          <w:spacing w:val="-9"/>
          <w:sz w:val="17"/>
          <w:szCs w:val="17"/>
        </w:rPr>
        <w:t>红</w:t>
      </w:r>
      <w:r>
        <w:rPr>
          <w:rFonts w:ascii="宋体" w:eastAsia="宋体" w:hAnsi="宋体" w:cs="宋体"/>
          <w:spacing w:val="-22"/>
          <w:sz w:val="17"/>
          <w:szCs w:val="17"/>
        </w:rPr>
        <w:t xml:space="preserve"> </w:t>
      </w:r>
      <w:r>
        <w:rPr>
          <w:rFonts w:ascii="宋体" w:eastAsia="宋体" w:hAnsi="宋体" w:cs="宋体"/>
          <w:spacing w:val="-9"/>
          <w:sz w:val="17"/>
          <w:szCs w:val="17"/>
        </w:rPr>
        <w:t>衣</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2"/>
          <w:sz w:val="17"/>
          <w:szCs w:val="17"/>
        </w:rPr>
        <w:t xml:space="preserve"> </w:t>
      </w:r>
      <w:r>
        <w:rPr>
          <w:rFonts w:ascii="宋体" w:eastAsia="宋体" w:hAnsi="宋体" w:cs="宋体"/>
          <w:spacing w:val="-9"/>
          <w:sz w:val="17"/>
          <w:szCs w:val="17"/>
        </w:rPr>
        <w:t>粗</w:t>
      </w:r>
      <w:r>
        <w:rPr>
          <w:rFonts w:ascii="宋体" w:eastAsia="宋体" w:hAnsi="宋体" w:cs="宋体"/>
          <w:spacing w:val="-22"/>
          <w:sz w:val="17"/>
          <w:szCs w:val="17"/>
        </w:rPr>
        <w:t xml:space="preserve"> </w:t>
      </w:r>
      <w:r>
        <w:rPr>
          <w:rFonts w:ascii="宋体" w:eastAsia="宋体" w:hAnsi="宋体" w:cs="宋体"/>
          <w:spacing w:val="-9"/>
          <w:sz w:val="17"/>
          <w:szCs w:val="17"/>
        </w:rPr>
        <w:t>碎</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2"/>
          <w:sz w:val="17"/>
          <w:szCs w:val="17"/>
        </w:rPr>
        <w:t xml:space="preserve"> </w:t>
      </w:r>
      <w:r>
        <w:rPr>
          <w:rFonts w:ascii="宋体" w:eastAsia="宋体" w:hAnsi="宋体" w:cs="宋体"/>
          <w:spacing w:val="-9"/>
          <w:sz w:val="17"/>
          <w:szCs w:val="17"/>
        </w:rPr>
        <w:t>配</w:t>
      </w:r>
      <w:r>
        <w:rPr>
          <w:rFonts w:ascii="宋体" w:eastAsia="宋体" w:hAnsi="宋体" w:cs="宋体"/>
          <w:spacing w:val="-21"/>
          <w:sz w:val="17"/>
          <w:szCs w:val="17"/>
        </w:rPr>
        <w:t xml:space="preserve"> </w:t>
      </w:r>
      <w:r>
        <w:rPr>
          <w:rFonts w:ascii="宋体" w:eastAsia="宋体" w:hAnsi="宋体" w:cs="宋体"/>
          <w:spacing w:val="-9"/>
          <w:sz w:val="17"/>
          <w:szCs w:val="17"/>
        </w:rPr>
        <w:t>料</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22"/>
          <w:sz w:val="17"/>
          <w:szCs w:val="17"/>
        </w:rPr>
        <w:t xml:space="preserve"> </w:t>
      </w:r>
      <w:r>
        <w:rPr>
          <w:rFonts w:ascii="宋体" w:eastAsia="宋体" w:hAnsi="宋体" w:cs="宋体"/>
          <w:spacing w:val="-9"/>
          <w:sz w:val="17"/>
          <w:szCs w:val="17"/>
        </w:rPr>
        <w:t>碾</w:t>
      </w:r>
      <w:r>
        <w:rPr>
          <w:rFonts w:ascii="宋体" w:eastAsia="宋体" w:hAnsi="宋体" w:cs="宋体"/>
          <w:spacing w:val="-19"/>
          <w:sz w:val="17"/>
          <w:szCs w:val="17"/>
        </w:rPr>
        <w:t xml:space="preserve"> </w:t>
      </w:r>
      <w:r>
        <w:rPr>
          <w:rFonts w:ascii="宋体" w:eastAsia="宋体" w:hAnsi="宋体" w:cs="宋体"/>
          <w:spacing w:val="-9"/>
          <w:sz w:val="17"/>
          <w:szCs w:val="17"/>
        </w:rPr>
        <w:t>磨</w:t>
      </w:r>
      <w:r>
        <w:rPr>
          <w:rFonts w:ascii="宋体" w:eastAsia="宋体" w:hAnsi="宋体" w:cs="宋体"/>
          <w:spacing w:val="-15"/>
          <w:sz w:val="17"/>
          <w:szCs w:val="17"/>
        </w:rPr>
        <w:t xml:space="preserve"> </w:t>
      </w:r>
      <w:r>
        <w:rPr>
          <w:rFonts w:ascii="宋体" w:eastAsia="宋体" w:hAnsi="宋体" w:cs="宋体"/>
          <w:spacing w:val="-9"/>
          <w:sz w:val="17"/>
          <w:szCs w:val="17"/>
        </w:rPr>
        <w:t>→</w:t>
      </w:r>
      <w:r>
        <w:rPr>
          <w:rFonts w:ascii="宋体" w:eastAsia="宋体" w:hAnsi="宋体" w:cs="宋体"/>
          <w:spacing w:val="-22"/>
          <w:sz w:val="17"/>
          <w:szCs w:val="17"/>
        </w:rPr>
        <w:t xml:space="preserve"> </w:t>
      </w:r>
      <w:r>
        <w:rPr>
          <w:rFonts w:ascii="宋体" w:eastAsia="宋体" w:hAnsi="宋体" w:cs="宋体"/>
          <w:spacing w:val="-9"/>
          <w:sz w:val="17"/>
          <w:szCs w:val="17"/>
        </w:rPr>
        <w:t>搅</w:t>
      </w:r>
      <w:r>
        <w:rPr>
          <w:rFonts w:ascii="宋体" w:eastAsia="宋体" w:hAnsi="宋体" w:cs="宋体"/>
          <w:spacing w:val="-18"/>
          <w:sz w:val="17"/>
          <w:szCs w:val="17"/>
        </w:rPr>
        <w:t xml:space="preserve"> </w:t>
      </w:r>
      <w:r>
        <w:rPr>
          <w:rFonts w:ascii="宋体" w:eastAsia="宋体" w:hAnsi="宋体" w:cs="宋体"/>
          <w:spacing w:val="-9"/>
          <w:sz w:val="17"/>
          <w:szCs w:val="17"/>
        </w:rPr>
        <w:t>匀</w:t>
      </w:r>
      <w:r>
        <w:rPr>
          <w:rFonts w:ascii="宋体" w:eastAsia="宋体" w:hAnsi="宋体" w:cs="宋体"/>
          <w:spacing w:val="-14"/>
          <w:sz w:val="17"/>
          <w:szCs w:val="17"/>
        </w:rPr>
        <w:t xml:space="preserve"> </w:t>
      </w:r>
      <w:r>
        <w:rPr>
          <w:rFonts w:ascii="宋体" w:eastAsia="宋体" w:hAnsi="宋体" w:cs="宋体"/>
          <w:spacing w:val="-9"/>
          <w:sz w:val="17"/>
          <w:szCs w:val="17"/>
        </w:rPr>
        <w:t>→</w:t>
      </w:r>
      <w:r>
        <w:rPr>
          <w:rFonts w:ascii="宋体" w:eastAsia="宋体" w:hAnsi="宋体" w:cs="宋体"/>
          <w:spacing w:val="-18"/>
          <w:sz w:val="17"/>
          <w:szCs w:val="17"/>
        </w:rPr>
        <w:t xml:space="preserve"> </w:t>
      </w:r>
      <w:r>
        <w:rPr>
          <w:rFonts w:ascii="宋体" w:eastAsia="宋体" w:hAnsi="宋体" w:cs="宋体"/>
          <w:spacing w:val="-9"/>
          <w:sz w:val="17"/>
          <w:szCs w:val="17"/>
        </w:rPr>
        <w:t>熟</w:t>
      </w:r>
      <w:r>
        <w:rPr>
          <w:rFonts w:ascii="宋体" w:eastAsia="宋体" w:hAnsi="宋体" w:cs="宋体"/>
          <w:spacing w:val="-21"/>
          <w:sz w:val="17"/>
          <w:szCs w:val="17"/>
        </w:rPr>
        <w:t xml:space="preserve"> </w:t>
      </w:r>
      <w:r>
        <w:rPr>
          <w:rFonts w:ascii="宋体" w:eastAsia="宋体" w:hAnsi="宋体" w:cs="宋体"/>
          <w:spacing w:val="-9"/>
          <w:sz w:val="17"/>
          <w:szCs w:val="17"/>
        </w:rPr>
        <w:t>化</w:t>
      </w:r>
      <w:r>
        <w:rPr>
          <w:rFonts w:ascii="宋体" w:eastAsia="宋体" w:hAnsi="宋体" w:cs="宋体"/>
          <w:spacing w:val="-28"/>
          <w:sz w:val="17"/>
          <w:szCs w:val="17"/>
        </w:rPr>
        <w:t xml:space="preserve"> </w:t>
      </w:r>
      <w:r>
        <w:rPr>
          <w:rFonts w:ascii="宋体" w:eastAsia="宋体" w:hAnsi="宋体" w:cs="宋体"/>
          <w:spacing w:val="-9"/>
          <w:sz w:val="17"/>
          <w:szCs w:val="17"/>
        </w:rPr>
        <w:t>：</w:t>
      </w:r>
    </w:p>
    <w:p w:rsidR="00EA40A3" w:rsidRDefault="00E86C16">
      <w:pPr>
        <w:spacing w:before="280"/>
        <w:ind w:left="419" w:right="98" w:firstLine="2920"/>
        <w:rPr>
          <w:rFonts w:ascii="宋体" w:eastAsia="宋体" w:hAnsi="宋体" w:cs="宋体"/>
          <w:sz w:val="23"/>
          <w:szCs w:val="23"/>
        </w:rPr>
      </w:pPr>
      <w:r>
        <w:rPr>
          <w:rFonts w:ascii="宋体" w:eastAsia="宋体" w:hAnsi="宋体" w:cs="宋体"/>
          <w:spacing w:val="-5"/>
          <w:sz w:val="17"/>
          <w:szCs w:val="17"/>
        </w:rPr>
        <w:t>经处理的花生粕、大豆粕及辅料</w:t>
      </w:r>
      <w:r>
        <w:rPr>
          <w:rFonts w:ascii="宋体" w:eastAsia="宋体" w:hAnsi="宋体" w:cs="宋体"/>
          <w:spacing w:val="28"/>
          <w:sz w:val="17"/>
          <w:szCs w:val="17"/>
        </w:rPr>
        <w:t xml:space="preserve">  </w:t>
      </w:r>
      <w:r>
        <w:rPr>
          <w:rFonts w:ascii="宋体" w:eastAsia="宋体" w:hAnsi="宋体" w:cs="宋体"/>
          <w:spacing w:val="-5"/>
          <w:sz w:val="17"/>
          <w:szCs w:val="17"/>
        </w:rPr>
        <w:t>成品</w:t>
      </w:r>
      <w:r>
        <w:rPr>
          <w:rFonts w:ascii="宋体" w:eastAsia="宋体" w:hAnsi="宋体" w:cs="宋体"/>
          <w:spacing w:val="84"/>
          <w:sz w:val="17"/>
          <w:szCs w:val="17"/>
        </w:rPr>
        <w:t xml:space="preserve"> </w:t>
      </w:r>
      <w:r>
        <w:rPr>
          <w:rFonts w:ascii="宋体" w:eastAsia="宋体" w:hAnsi="宋体" w:cs="宋体"/>
          <w:spacing w:val="-5"/>
          <w:sz w:val="17"/>
          <w:szCs w:val="17"/>
        </w:rPr>
        <w:t>—</w:t>
      </w:r>
      <w:r>
        <w:rPr>
          <w:rFonts w:ascii="宋体" w:eastAsia="宋体" w:hAnsi="宋体" w:cs="宋体"/>
          <w:spacing w:val="33"/>
          <w:sz w:val="17"/>
          <w:szCs w:val="17"/>
        </w:rPr>
        <w:t xml:space="preserve"> </w:t>
      </w:r>
      <w:r>
        <w:rPr>
          <w:rFonts w:ascii="宋体" w:eastAsia="宋体" w:hAnsi="宋体" w:cs="宋体"/>
          <w:spacing w:val="-5"/>
          <w:sz w:val="17"/>
          <w:szCs w:val="17"/>
        </w:rPr>
        <w:t>装</w:t>
      </w:r>
      <w:r>
        <w:rPr>
          <w:rFonts w:ascii="宋体" w:eastAsia="宋体" w:hAnsi="宋体" w:cs="宋体"/>
          <w:spacing w:val="32"/>
          <w:sz w:val="17"/>
          <w:szCs w:val="17"/>
        </w:rPr>
        <w:t xml:space="preserve"> </w:t>
      </w:r>
      <w:r>
        <w:rPr>
          <w:rFonts w:ascii="宋体" w:eastAsia="宋体" w:hAnsi="宋体" w:cs="宋体"/>
          <w:spacing w:val="-5"/>
          <w:sz w:val="17"/>
          <w:szCs w:val="17"/>
        </w:rPr>
        <w:t>瓶</w:t>
      </w:r>
      <w:r>
        <w:rPr>
          <w:rFonts w:ascii="宋体" w:eastAsia="宋体" w:hAnsi="宋体" w:cs="宋体"/>
          <w:sz w:val="17"/>
          <w:szCs w:val="17"/>
        </w:rPr>
        <w:t xml:space="preserve">  </w:t>
      </w:r>
      <w:r>
        <w:rPr>
          <w:rFonts w:ascii="宋体" w:eastAsia="宋体" w:hAnsi="宋体" w:cs="宋体"/>
          <w:spacing w:val="-23"/>
          <w:sz w:val="23"/>
          <w:szCs w:val="23"/>
        </w:rPr>
        <w:t>工艺说明：①由于在加工储存中，油脂的析出、聚集而分层，故需添加改良</w:t>
      </w:r>
    </w:p>
    <w:p w:rsidR="00EA40A3" w:rsidRDefault="00E86C16">
      <w:pPr>
        <w:spacing w:before="29" w:line="229" w:lineRule="auto"/>
        <w:ind w:right="106"/>
        <w:rPr>
          <w:rFonts w:ascii="宋体" w:eastAsia="宋体" w:hAnsi="宋体" w:cs="宋体"/>
          <w:sz w:val="23"/>
          <w:szCs w:val="23"/>
        </w:rPr>
      </w:pPr>
      <w:r>
        <w:rPr>
          <w:rFonts w:ascii="宋体" w:eastAsia="宋体" w:hAnsi="宋体" w:cs="宋体"/>
          <w:spacing w:val="-23"/>
          <w:sz w:val="23"/>
          <w:szCs w:val="23"/>
        </w:rPr>
        <w:t>剂如氢化油、甘油单酸酯。②花生粕、大豆粕需经粉碎、提取等处理，否则将影</w:t>
      </w:r>
      <w:r>
        <w:rPr>
          <w:rFonts w:ascii="宋体" w:eastAsia="宋体" w:hAnsi="宋体" w:cs="宋体"/>
          <w:spacing w:val="2"/>
          <w:sz w:val="23"/>
          <w:szCs w:val="23"/>
        </w:rPr>
        <w:t xml:space="preserve"> </w:t>
      </w:r>
      <w:r>
        <w:rPr>
          <w:rFonts w:ascii="宋体" w:eastAsia="宋体" w:hAnsi="宋体" w:cs="宋体"/>
          <w:spacing w:val="-23"/>
          <w:sz w:val="23"/>
          <w:szCs w:val="23"/>
        </w:rPr>
        <w:t>响产品口感和蛋白质的利用。③大豆粕不宜过量添加，否则会加重豆腥味。</w:t>
      </w:r>
    </w:p>
    <w:p w:rsidR="00EA40A3" w:rsidRDefault="00E86C16">
      <w:pPr>
        <w:spacing w:before="221" w:line="222" w:lineRule="auto"/>
        <w:rPr>
          <w:rFonts w:ascii="仿宋" w:eastAsia="仿宋" w:hAnsi="仿宋" w:cs="仿宋"/>
          <w:sz w:val="23"/>
          <w:szCs w:val="23"/>
        </w:rPr>
      </w:pPr>
      <w:r>
        <w:rPr>
          <w:rFonts w:ascii="仿宋" w:eastAsia="仿宋" w:hAnsi="仿宋" w:cs="仿宋"/>
          <w:spacing w:val="5"/>
          <w:sz w:val="23"/>
          <w:szCs w:val="23"/>
        </w:rPr>
        <w:t>4.</w:t>
      </w:r>
      <w:r>
        <w:rPr>
          <w:rFonts w:ascii="仿宋" w:eastAsia="仿宋" w:hAnsi="仿宋" w:cs="仿宋"/>
          <w:spacing w:val="-35"/>
          <w:sz w:val="23"/>
          <w:szCs w:val="23"/>
        </w:rPr>
        <w:t xml:space="preserve"> </w:t>
      </w:r>
      <w:r>
        <w:rPr>
          <w:rFonts w:ascii="仿宋" w:eastAsia="仿宋" w:hAnsi="仿宋" w:cs="仿宋"/>
          <w:spacing w:val="5"/>
          <w:sz w:val="23"/>
          <w:szCs w:val="23"/>
        </w:rPr>
        <w:t>果蔬汁与水果罐头的强化</w:t>
      </w:r>
    </w:p>
    <w:p w:rsidR="00EA40A3" w:rsidRDefault="00E86C16">
      <w:pPr>
        <w:spacing w:before="173" w:line="239" w:lineRule="auto"/>
        <w:ind w:right="80" w:firstLine="419"/>
        <w:jc w:val="both"/>
        <w:rPr>
          <w:rFonts w:ascii="宋体" w:eastAsia="宋体" w:hAnsi="宋体" w:cs="宋体"/>
          <w:sz w:val="23"/>
          <w:szCs w:val="23"/>
        </w:rPr>
      </w:pPr>
      <w:r>
        <w:rPr>
          <w:rFonts w:ascii="宋体" w:eastAsia="宋体" w:hAnsi="宋体" w:cs="宋体"/>
          <w:spacing w:val="-12"/>
          <w:sz w:val="23"/>
          <w:szCs w:val="23"/>
        </w:rPr>
        <w:t>这类食品主要是为人体提供维生素C,</w:t>
      </w:r>
      <w:r>
        <w:rPr>
          <w:rFonts w:ascii="宋体" w:eastAsia="宋体" w:hAnsi="宋体" w:cs="宋体"/>
          <w:spacing w:val="12"/>
          <w:sz w:val="23"/>
          <w:szCs w:val="23"/>
        </w:rPr>
        <w:t xml:space="preserve"> </w:t>
      </w:r>
      <w:r>
        <w:rPr>
          <w:rFonts w:ascii="宋体" w:eastAsia="宋体" w:hAnsi="宋体" w:cs="宋体"/>
          <w:spacing w:val="-12"/>
          <w:sz w:val="23"/>
          <w:szCs w:val="23"/>
        </w:rPr>
        <w:t>但在其加工过程中维生素C</w:t>
      </w:r>
      <w:r>
        <w:rPr>
          <w:rFonts w:ascii="宋体" w:eastAsia="宋体" w:hAnsi="宋体" w:cs="宋体"/>
          <w:spacing w:val="-23"/>
          <w:sz w:val="23"/>
          <w:szCs w:val="23"/>
        </w:rPr>
        <w:t xml:space="preserve"> </w:t>
      </w:r>
      <w:r>
        <w:rPr>
          <w:rFonts w:ascii="宋体" w:eastAsia="宋体" w:hAnsi="宋体" w:cs="宋体"/>
          <w:spacing w:val="-12"/>
          <w:sz w:val="23"/>
          <w:szCs w:val="23"/>
        </w:rPr>
        <w:t>极易</w:t>
      </w:r>
      <w:r>
        <w:rPr>
          <w:rFonts w:ascii="宋体" w:eastAsia="宋体" w:hAnsi="宋体" w:cs="宋体"/>
          <w:spacing w:val="-13"/>
          <w:sz w:val="23"/>
          <w:szCs w:val="23"/>
        </w:rPr>
        <w:t>破</w:t>
      </w:r>
      <w:r>
        <w:rPr>
          <w:rFonts w:ascii="宋体" w:eastAsia="宋体" w:hAnsi="宋体" w:cs="宋体"/>
          <w:sz w:val="23"/>
          <w:szCs w:val="23"/>
        </w:rPr>
        <w:t xml:space="preserve"> </w:t>
      </w:r>
      <w:r>
        <w:rPr>
          <w:rFonts w:ascii="宋体" w:eastAsia="宋体" w:hAnsi="宋体" w:cs="宋体"/>
          <w:spacing w:val="-12"/>
          <w:sz w:val="23"/>
          <w:szCs w:val="23"/>
        </w:rPr>
        <w:t>坏，可进行强化。柑橘汁中维生素</w:t>
      </w:r>
      <w:r>
        <w:rPr>
          <w:rFonts w:ascii="宋体" w:eastAsia="宋体" w:hAnsi="宋体" w:cs="宋体"/>
          <w:spacing w:val="-47"/>
          <w:sz w:val="23"/>
          <w:szCs w:val="23"/>
        </w:rPr>
        <w:t xml:space="preserve"> </w:t>
      </w:r>
      <w:r>
        <w:rPr>
          <w:rFonts w:ascii="宋体" w:eastAsia="宋体" w:hAnsi="宋体" w:cs="宋体"/>
          <w:spacing w:val="-12"/>
          <w:sz w:val="23"/>
          <w:szCs w:val="23"/>
        </w:rPr>
        <w:t>C</w:t>
      </w:r>
      <w:r>
        <w:rPr>
          <w:rFonts w:ascii="宋体" w:eastAsia="宋体" w:hAnsi="宋体" w:cs="宋体"/>
          <w:spacing w:val="-23"/>
          <w:sz w:val="23"/>
          <w:szCs w:val="23"/>
        </w:rPr>
        <w:t xml:space="preserve"> </w:t>
      </w:r>
      <w:r>
        <w:rPr>
          <w:rFonts w:ascii="宋体" w:eastAsia="宋体" w:hAnsi="宋体" w:cs="宋体"/>
          <w:spacing w:val="-12"/>
          <w:sz w:val="23"/>
          <w:szCs w:val="23"/>
        </w:rPr>
        <w:t>的强化量一般为20～50mg/100g,</w:t>
      </w:r>
      <w:r>
        <w:rPr>
          <w:rFonts w:ascii="宋体" w:eastAsia="宋体" w:hAnsi="宋体" w:cs="宋体"/>
          <w:spacing w:val="-33"/>
          <w:sz w:val="23"/>
          <w:szCs w:val="23"/>
        </w:rPr>
        <w:t xml:space="preserve"> </w:t>
      </w:r>
      <w:r>
        <w:rPr>
          <w:rFonts w:ascii="宋体" w:eastAsia="宋体" w:hAnsi="宋体" w:cs="宋体"/>
          <w:spacing w:val="-12"/>
          <w:sz w:val="23"/>
          <w:szCs w:val="23"/>
        </w:rPr>
        <w:t>番茄汁</w:t>
      </w:r>
      <w:r>
        <w:rPr>
          <w:rFonts w:ascii="宋体" w:eastAsia="宋体" w:hAnsi="宋体" w:cs="宋体"/>
          <w:sz w:val="23"/>
          <w:szCs w:val="23"/>
        </w:rPr>
        <w:t xml:space="preserve"> </w:t>
      </w:r>
      <w:r>
        <w:rPr>
          <w:rFonts w:ascii="宋体" w:eastAsia="宋体" w:hAnsi="宋体" w:cs="宋体"/>
          <w:spacing w:val="-9"/>
          <w:sz w:val="23"/>
          <w:szCs w:val="23"/>
        </w:rPr>
        <w:t>中维生素C</w:t>
      </w:r>
      <w:r>
        <w:rPr>
          <w:rFonts w:ascii="宋体" w:eastAsia="宋体" w:hAnsi="宋体" w:cs="宋体"/>
          <w:spacing w:val="-43"/>
          <w:sz w:val="23"/>
          <w:szCs w:val="23"/>
        </w:rPr>
        <w:t xml:space="preserve"> </w:t>
      </w:r>
      <w:r>
        <w:rPr>
          <w:rFonts w:ascii="宋体" w:eastAsia="宋体" w:hAnsi="宋体" w:cs="宋体"/>
          <w:spacing w:val="-9"/>
          <w:sz w:val="23"/>
          <w:szCs w:val="23"/>
        </w:rPr>
        <w:t>的强化量一般为30～50mg/100g,</w:t>
      </w:r>
      <w:r>
        <w:rPr>
          <w:rFonts w:ascii="宋体" w:eastAsia="宋体" w:hAnsi="宋体" w:cs="宋体"/>
          <w:spacing w:val="-43"/>
          <w:sz w:val="23"/>
          <w:szCs w:val="23"/>
        </w:rPr>
        <w:t xml:space="preserve"> </w:t>
      </w:r>
      <w:r>
        <w:rPr>
          <w:rFonts w:ascii="宋体" w:eastAsia="宋体" w:hAnsi="宋体" w:cs="宋体"/>
          <w:spacing w:val="-9"/>
          <w:sz w:val="23"/>
          <w:szCs w:val="23"/>
        </w:rPr>
        <w:t>果汁粉中维生素</w:t>
      </w:r>
      <w:r>
        <w:rPr>
          <w:rFonts w:ascii="宋体" w:eastAsia="宋体" w:hAnsi="宋体" w:cs="宋体"/>
          <w:spacing w:val="-10"/>
          <w:sz w:val="23"/>
          <w:szCs w:val="23"/>
        </w:rPr>
        <w:t>C</w:t>
      </w:r>
      <w:r>
        <w:rPr>
          <w:rFonts w:ascii="宋体" w:eastAsia="宋体" w:hAnsi="宋体" w:cs="宋体"/>
          <w:spacing w:val="-13"/>
          <w:sz w:val="23"/>
          <w:szCs w:val="23"/>
        </w:rPr>
        <w:t xml:space="preserve"> </w:t>
      </w:r>
      <w:r>
        <w:rPr>
          <w:rFonts w:ascii="宋体" w:eastAsia="宋体" w:hAnsi="宋体" w:cs="宋体"/>
          <w:spacing w:val="-10"/>
          <w:sz w:val="23"/>
          <w:szCs w:val="23"/>
        </w:rPr>
        <w:t>的强化量一般</w:t>
      </w:r>
      <w:r>
        <w:rPr>
          <w:rFonts w:ascii="宋体" w:eastAsia="宋体" w:hAnsi="宋体" w:cs="宋体"/>
          <w:sz w:val="23"/>
          <w:szCs w:val="23"/>
        </w:rPr>
        <w:t xml:space="preserve"> </w:t>
      </w:r>
      <w:r>
        <w:rPr>
          <w:rFonts w:ascii="宋体" w:eastAsia="宋体" w:hAnsi="宋体" w:cs="宋体"/>
          <w:spacing w:val="-16"/>
          <w:sz w:val="23"/>
          <w:szCs w:val="23"/>
        </w:rPr>
        <w:t>为70mg/100g,</w:t>
      </w:r>
      <w:r>
        <w:rPr>
          <w:rFonts w:ascii="宋体" w:eastAsia="宋体" w:hAnsi="宋体" w:cs="宋体"/>
          <w:spacing w:val="-25"/>
          <w:sz w:val="23"/>
          <w:szCs w:val="23"/>
        </w:rPr>
        <w:t xml:space="preserve"> </w:t>
      </w:r>
      <w:r>
        <w:rPr>
          <w:rFonts w:ascii="宋体" w:eastAsia="宋体" w:hAnsi="宋体" w:cs="宋体"/>
          <w:spacing w:val="-16"/>
          <w:sz w:val="23"/>
          <w:szCs w:val="23"/>
        </w:rPr>
        <w:t>水果罐头中维生素C</w:t>
      </w:r>
      <w:r>
        <w:rPr>
          <w:rFonts w:ascii="宋体" w:eastAsia="宋体" w:hAnsi="宋体" w:cs="宋体"/>
          <w:spacing w:val="-13"/>
          <w:sz w:val="23"/>
          <w:szCs w:val="23"/>
        </w:rPr>
        <w:t xml:space="preserve"> </w:t>
      </w:r>
      <w:r>
        <w:rPr>
          <w:rFonts w:ascii="宋体" w:eastAsia="宋体" w:hAnsi="宋体" w:cs="宋体"/>
          <w:spacing w:val="-16"/>
          <w:sz w:val="23"/>
          <w:szCs w:val="23"/>
        </w:rPr>
        <w:t>的强化量可根据不同品种和需要进行强化。</w:t>
      </w:r>
    </w:p>
    <w:p w:rsidR="00EA40A3" w:rsidRDefault="00E86C16">
      <w:pPr>
        <w:spacing w:before="216" w:line="222" w:lineRule="auto"/>
        <w:ind w:left="3"/>
        <w:outlineLvl w:val="6"/>
        <w:rPr>
          <w:rFonts w:ascii="黑体" w:eastAsia="黑体" w:hAnsi="黑体" w:cs="黑体"/>
          <w:sz w:val="23"/>
          <w:szCs w:val="23"/>
        </w:rPr>
      </w:pPr>
      <w:r>
        <w:rPr>
          <w:rFonts w:ascii="黑体" w:eastAsia="黑体" w:hAnsi="黑体" w:cs="黑体"/>
          <w:b/>
          <w:bCs/>
          <w:spacing w:val="2"/>
          <w:sz w:val="23"/>
          <w:szCs w:val="23"/>
        </w:rPr>
        <w:t>8.4.3</w:t>
      </w:r>
      <w:r>
        <w:rPr>
          <w:rFonts w:ascii="黑体" w:eastAsia="黑体" w:hAnsi="黑体" w:cs="黑体"/>
          <w:spacing w:val="21"/>
          <w:sz w:val="23"/>
          <w:szCs w:val="23"/>
        </w:rPr>
        <w:t xml:space="preserve">  </w:t>
      </w:r>
      <w:r>
        <w:rPr>
          <w:rFonts w:ascii="黑体" w:eastAsia="黑体" w:hAnsi="黑体" w:cs="黑体"/>
          <w:b/>
          <w:bCs/>
          <w:spacing w:val="2"/>
          <w:sz w:val="23"/>
          <w:szCs w:val="23"/>
        </w:rPr>
        <w:t>强化婴幼儿食品和儿童食品</w:t>
      </w:r>
    </w:p>
    <w:p w:rsidR="00EA40A3" w:rsidRDefault="00E86C16">
      <w:pPr>
        <w:spacing w:before="199" w:line="241" w:lineRule="auto"/>
        <w:ind w:right="99" w:firstLine="419"/>
        <w:jc w:val="both"/>
        <w:rPr>
          <w:rFonts w:ascii="宋体" w:eastAsia="宋体" w:hAnsi="宋体" w:cs="宋体"/>
          <w:sz w:val="23"/>
          <w:szCs w:val="23"/>
        </w:rPr>
      </w:pPr>
      <w:r>
        <w:rPr>
          <w:rFonts w:ascii="宋体" w:eastAsia="宋体" w:hAnsi="宋体" w:cs="宋体"/>
          <w:spacing w:val="-23"/>
          <w:sz w:val="23"/>
          <w:szCs w:val="23"/>
        </w:rPr>
        <w:t>婴儿每单位体重所需要的热量、蛋白质及各种维生素、矿物质的数量</w:t>
      </w:r>
      <w:r>
        <w:rPr>
          <w:rFonts w:ascii="宋体" w:eastAsia="宋体" w:hAnsi="宋体" w:cs="宋体"/>
          <w:spacing w:val="-24"/>
          <w:sz w:val="23"/>
          <w:szCs w:val="23"/>
        </w:rPr>
        <w:t>比成年</w:t>
      </w:r>
      <w:r>
        <w:rPr>
          <w:rFonts w:ascii="宋体" w:eastAsia="宋体" w:hAnsi="宋体" w:cs="宋体"/>
          <w:sz w:val="23"/>
          <w:szCs w:val="23"/>
        </w:rPr>
        <w:t xml:space="preserve"> </w:t>
      </w:r>
      <w:r>
        <w:rPr>
          <w:rFonts w:ascii="宋体" w:eastAsia="宋体" w:hAnsi="宋体" w:cs="宋体"/>
          <w:spacing w:val="-16"/>
          <w:sz w:val="23"/>
          <w:szCs w:val="23"/>
        </w:rPr>
        <w:t>人高出2～3倍。由于婴儿牙齿尚未长成，只能靠食用流质及半流</w:t>
      </w:r>
      <w:r>
        <w:rPr>
          <w:rFonts w:ascii="宋体" w:eastAsia="宋体" w:hAnsi="宋体" w:cs="宋体"/>
          <w:spacing w:val="-17"/>
          <w:sz w:val="23"/>
          <w:szCs w:val="23"/>
        </w:rPr>
        <w:t>质食品获取营</w:t>
      </w:r>
      <w:r>
        <w:rPr>
          <w:rFonts w:ascii="宋体" w:eastAsia="宋体" w:hAnsi="宋体" w:cs="宋体"/>
          <w:sz w:val="23"/>
          <w:szCs w:val="23"/>
        </w:rPr>
        <w:t xml:space="preserve"> </w:t>
      </w:r>
      <w:r>
        <w:rPr>
          <w:rFonts w:ascii="宋体" w:eastAsia="宋体" w:hAnsi="宋体" w:cs="宋体"/>
          <w:spacing w:val="-23"/>
          <w:sz w:val="23"/>
          <w:szCs w:val="23"/>
        </w:rPr>
        <w:t>养。过去，婴儿的喂养除了食用母乳或牛乳外，还需补充一些其他辅助食品，如</w:t>
      </w:r>
      <w:r>
        <w:rPr>
          <w:rFonts w:ascii="宋体" w:eastAsia="宋体" w:hAnsi="宋体" w:cs="宋体"/>
          <w:spacing w:val="9"/>
          <w:sz w:val="23"/>
          <w:szCs w:val="23"/>
        </w:rPr>
        <w:t xml:space="preserve"> </w:t>
      </w:r>
      <w:r>
        <w:rPr>
          <w:rFonts w:ascii="宋体" w:eastAsia="宋体" w:hAnsi="宋体" w:cs="宋体"/>
          <w:spacing w:val="-23"/>
          <w:sz w:val="23"/>
          <w:szCs w:val="23"/>
        </w:rPr>
        <w:t>鱼肝油、果蔬汁、蛋黄等，以满足婴儿机体正常生长的需要。近年来，出现了强</w:t>
      </w:r>
    </w:p>
    <w:p w:rsidR="00EA40A3" w:rsidRDefault="00E86C16">
      <w:pPr>
        <w:spacing w:before="103"/>
        <w:ind w:right="121"/>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269</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994" w:bottom="400" w:left="869" w:header="0" w:footer="0" w:gutter="0"/>
          <w:cols w:space="720"/>
        </w:sectPr>
      </w:pPr>
    </w:p>
    <w:p w:rsidR="00EA40A3" w:rsidRDefault="00EA40A3">
      <w:pPr>
        <w:spacing w:line="277" w:lineRule="auto"/>
      </w:pPr>
    </w:p>
    <w:p w:rsidR="00EA40A3" w:rsidRDefault="00EA40A3">
      <w:pPr>
        <w:spacing w:line="277" w:lineRule="auto"/>
      </w:pPr>
    </w:p>
    <w:p w:rsidR="00EA40A3" w:rsidRDefault="00E86C16">
      <w:pPr>
        <w:spacing w:before="71" w:line="246" w:lineRule="auto"/>
        <w:ind w:right="120"/>
        <w:jc w:val="both"/>
        <w:rPr>
          <w:rFonts w:ascii="宋体" w:eastAsia="宋体" w:hAnsi="宋体" w:cs="宋体"/>
          <w:sz w:val="22"/>
          <w:szCs w:val="22"/>
        </w:rPr>
      </w:pPr>
      <w:r>
        <w:rPr>
          <w:rFonts w:ascii="宋体" w:eastAsia="宋体" w:hAnsi="宋体" w:cs="宋体"/>
          <w:spacing w:val="-14"/>
          <w:sz w:val="22"/>
          <w:szCs w:val="22"/>
        </w:rPr>
        <w:t>化婴儿食品，简化了繁杂的喂养方式，并确保了婴儿的营养需求。目前</w:t>
      </w:r>
      <w:r>
        <w:rPr>
          <w:rFonts w:ascii="宋体" w:eastAsia="宋体" w:hAnsi="宋体" w:cs="宋体"/>
          <w:spacing w:val="-15"/>
          <w:sz w:val="22"/>
          <w:szCs w:val="22"/>
        </w:rPr>
        <w:t>，常用的</w:t>
      </w:r>
      <w:r>
        <w:rPr>
          <w:rFonts w:ascii="宋体" w:eastAsia="宋体" w:hAnsi="宋体" w:cs="宋体"/>
          <w:sz w:val="22"/>
          <w:szCs w:val="22"/>
        </w:rPr>
        <w:t xml:space="preserve"> </w:t>
      </w:r>
      <w:r>
        <w:rPr>
          <w:rFonts w:ascii="宋体" w:eastAsia="宋体" w:hAnsi="宋体" w:cs="宋体"/>
          <w:spacing w:val="-13"/>
          <w:sz w:val="22"/>
          <w:szCs w:val="22"/>
        </w:rPr>
        <w:t>方法是将婴儿时期需要的营养素经过详细计算后，全部添加于一种</w:t>
      </w:r>
      <w:r>
        <w:rPr>
          <w:rFonts w:ascii="宋体" w:eastAsia="宋体" w:hAnsi="宋体" w:cs="宋体"/>
          <w:spacing w:val="-14"/>
          <w:sz w:val="22"/>
          <w:szCs w:val="22"/>
        </w:rPr>
        <w:t>主食品中制成</w:t>
      </w:r>
      <w:r>
        <w:rPr>
          <w:rFonts w:ascii="宋体" w:eastAsia="宋体" w:hAnsi="宋体" w:cs="宋体"/>
          <w:sz w:val="22"/>
          <w:szCs w:val="22"/>
        </w:rPr>
        <w:t xml:space="preserve"> </w:t>
      </w:r>
      <w:r>
        <w:rPr>
          <w:rFonts w:ascii="宋体" w:eastAsia="宋体" w:hAnsi="宋体" w:cs="宋体"/>
          <w:spacing w:val="-13"/>
          <w:sz w:val="22"/>
          <w:szCs w:val="22"/>
        </w:rPr>
        <w:t>婴儿食品。纵观目前市场上常见的强化婴儿食品，可以分为以</w:t>
      </w:r>
      <w:r>
        <w:rPr>
          <w:rFonts w:ascii="宋体" w:eastAsia="宋体" w:hAnsi="宋体" w:cs="宋体"/>
          <w:spacing w:val="-14"/>
          <w:sz w:val="22"/>
          <w:szCs w:val="22"/>
        </w:rPr>
        <w:t>下几类。</w:t>
      </w:r>
    </w:p>
    <w:p w:rsidR="00EA40A3" w:rsidRDefault="00E86C16">
      <w:pPr>
        <w:spacing w:before="198"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3"/>
          <w:sz w:val="22"/>
          <w:szCs w:val="22"/>
        </w:rPr>
        <w:t xml:space="preserve"> </w:t>
      </w:r>
      <w:r>
        <w:rPr>
          <w:rFonts w:ascii="仿宋" w:eastAsia="仿宋" w:hAnsi="仿宋" w:cs="仿宋"/>
          <w:spacing w:val="8"/>
          <w:sz w:val="22"/>
          <w:szCs w:val="22"/>
        </w:rPr>
        <w:t>母乳化奶粉</w:t>
      </w:r>
    </w:p>
    <w:p w:rsidR="00EA40A3" w:rsidRDefault="00E86C16">
      <w:pPr>
        <w:spacing w:before="176" w:line="252" w:lineRule="auto"/>
        <w:ind w:right="80" w:firstLine="450"/>
        <w:jc w:val="both"/>
        <w:rPr>
          <w:rFonts w:ascii="宋体" w:eastAsia="宋体" w:hAnsi="宋体" w:cs="宋体"/>
          <w:sz w:val="22"/>
          <w:szCs w:val="22"/>
        </w:rPr>
      </w:pPr>
      <w:r>
        <w:rPr>
          <w:rFonts w:ascii="宋体" w:eastAsia="宋体" w:hAnsi="宋体" w:cs="宋体"/>
          <w:spacing w:val="-13"/>
          <w:sz w:val="22"/>
          <w:szCs w:val="22"/>
        </w:rPr>
        <w:t>牛奶代替人奶喂养婴儿由来已久，随着工业化的发展，妇女走向社会进</w:t>
      </w:r>
      <w:r>
        <w:rPr>
          <w:rFonts w:ascii="宋体" w:eastAsia="宋体" w:hAnsi="宋体" w:cs="宋体"/>
          <w:spacing w:val="-14"/>
          <w:sz w:val="22"/>
          <w:szCs w:val="22"/>
        </w:rPr>
        <w:t>入生</w:t>
      </w:r>
      <w:r>
        <w:rPr>
          <w:rFonts w:ascii="宋体" w:eastAsia="宋体" w:hAnsi="宋体" w:cs="宋体"/>
          <w:sz w:val="22"/>
          <w:szCs w:val="22"/>
        </w:rPr>
        <w:t xml:space="preserve"> </w:t>
      </w:r>
      <w:r>
        <w:rPr>
          <w:rFonts w:ascii="宋体" w:eastAsia="宋体" w:hAnsi="宋体" w:cs="宋体"/>
          <w:spacing w:val="-13"/>
          <w:sz w:val="22"/>
          <w:szCs w:val="22"/>
        </w:rPr>
        <w:t>产岗位的数量与日俱增，母乳喂养婴儿的比率近年来愈来愈低。但牛奶</w:t>
      </w:r>
      <w:r>
        <w:rPr>
          <w:rFonts w:ascii="宋体" w:eastAsia="宋体" w:hAnsi="宋体" w:cs="宋体"/>
          <w:spacing w:val="-14"/>
          <w:sz w:val="22"/>
          <w:szCs w:val="22"/>
        </w:rPr>
        <w:t>与人奶在</w:t>
      </w:r>
      <w:r>
        <w:rPr>
          <w:rFonts w:ascii="宋体" w:eastAsia="宋体" w:hAnsi="宋体" w:cs="宋体"/>
          <w:sz w:val="22"/>
          <w:szCs w:val="22"/>
        </w:rPr>
        <w:t xml:space="preserve"> </w:t>
      </w:r>
      <w:r>
        <w:rPr>
          <w:rFonts w:ascii="宋体" w:eastAsia="宋体" w:hAnsi="宋体" w:cs="宋体"/>
          <w:spacing w:val="-13"/>
          <w:sz w:val="22"/>
          <w:szCs w:val="22"/>
        </w:rPr>
        <w:t>质量上存在不少差异，仅仅靠普通的牛奶喂养婴儿并非理想的选择，为此，我国</w:t>
      </w:r>
      <w:r>
        <w:rPr>
          <w:rFonts w:ascii="宋体" w:eastAsia="宋体" w:hAnsi="宋体" w:cs="宋体"/>
          <w:spacing w:val="5"/>
          <w:sz w:val="22"/>
          <w:szCs w:val="22"/>
        </w:rPr>
        <w:t xml:space="preserve"> </w:t>
      </w:r>
      <w:r>
        <w:rPr>
          <w:rFonts w:ascii="宋体" w:eastAsia="宋体" w:hAnsi="宋体" w:cs="宋体"/>
          <w:spacing w:val="-13"/>
          <w:sz w:val="22"/>
          <w:szCs w:val="22"/>
        </w:rPr>
        <w:t>极力提倡母乳喂养婴儿。如用牛奶为主料加工母乳化奶粉，则需对牛奶进行适当</w:t>
      </w:r>
      <w:r>
        <w:rPr>
          <w:rFonts w:ascii="宋体" w:eastAsia="宋体" w:hAnsi="宋体" w:cs="宋体"/>
          <w:spacing w:val="3"/>
          <w:sz w:val="22"/>
          <w:szCs w:val="22"/>
        </w:rPr>
        <w:t xml:space="preserve"> </w:t>
      </w:r>
      <w:r>
        <w:rPr>
          <w:rFonts w:ascii="宋体" w:eastAsia="宋体" w:hAnsi="宋体" w:cs="宋体"/>
          <w:spacing w:val="-15"/>
          <w:sz w:val="22"/>
          <w:szCs w:val="22"/>
        </w:rPr>
        <w:t>的强化处理，使之更加适合于婴儿生长发育的需要。</w:t>
      </w:r>
    </w:p>
    <w:p w:rsidR="00EA40A3" w:rsidRDefault="00E86C16">
      <w:pPr>
        <w:spacing w:before="34" w:line="246" w:lineRule="auto"/>
        <w:ind w:right="113" w:firstLine="450"/>
        <w:jc w:val="both"/>
        <w:rPr>
          <w:rFonts w:ascii="宋体" w:eastAsia="宋体" w:hAnsi="宋体" w:cs="宋体"/>
          <w:sz w:val="22"/>
          <w:szCs w:val="22"/>
        </w:rPr>
      </w:pPr>
      <w:r>
        <w:rPr>
          <w:rFonts w:ascii="宋体" w:eastAsia="宋体" w:hAnsi="宋体" w:cs="宋体"/>
          <w:spacing w:val="-8"/>
          <w:sz w:val="22"/>
          <w:szCs w:val="22"/>
        </w:rPr>
        <w:t>以鲜牛奶为原料，脱盐乳清粉为主要配料，适量添加糖类和脂肪，减少</w:t>
      </w:r>
      <w:r>
        <w:rPr>
          <w:rFonts w:ascii="宋体" w:eastAsia="宋体" w:hAnsi="宋体" w:cs="宋体"/>
          <w:spacing w:val="-9"/>
          <w:sz w:val="22"/>
          <w:szCs w:val="22"/>
        </w:rPr>
        <w:t>K,</w:t>
      </w:r>
      <w:r>
        <w:rPr>
          <w:rFonts w:ascii="宋体" w:eastAsia="宋体" w:hAnsi="宋体" w:cs="宋体"/>
          <w:sz w:val="22"/>
          <w:szCs w:val="22"/>
        </w:rPr>
        <w:t xml:space="preserve"> </w:t>
      </w:r>
      <w:r>
        <w:rPr>
          <w:rFonts w:ascii="宋体" w:eastAsia="宋体" w:hAnsi="宋体" w:cs="宋体"/>
          <w:spacing w:val="-9"/>
          <w:sz w:val="22"/>
          <w:szCs w:val="22"/>
        </w:rPr>
        <w:t>Ca、Na</w:t>
      </w:r>
      <w:r>
        <w:rPr>
          <w:rFonts w:ascii="宋体" w:eastAsia="宋体" w:hAnsi="宋体" w:cs="宋体"/>
          <w:spacing w:val="-21"/>
          <w:sz w:val="22"/>
          <w:szCs w:val="22"/>
        </w:rPr>
        <w:t xml:space="preserve"> </w:t>
      </w:r>
      <w:r>
        <w:rPr>
          <w:rFonts w:ascii="宋体" w:eastAsia="宋体" w:hAnsi="宋体" w:cs="宋体"/>
          <w:spacing w:val="-9"/>
          <w:sz w:val="22"/>
          <w:szCs w:val="22"/>
        </w:rPr>
        <w:t>等无机盐的含量，使其各种营养素接近或相当于母乳成分。这样加工的</w:t>
      </w:r>
      <w:r>
        <w:rPr>
          <w:rFonts w:ascii="宋体" w:eastAsia="宋体" w:hAnsi="宋体" w:cs="宋体"/>
          <w:sz w:val="22"/>
          <w:szCs w:val="22"/>
        </w:rPr>
        <w:t xml:space="preserve"> </w:t>
      </w:r>
      <w:r>
        <w:rPr>
          <w:rFonts w:ascii="宋体" w:eastAsia="宋体" w:hAnsi="宋体" w:cs="宋体"/>
          <w:spacing w:val="-9"/>
          <w:sz w:val="22"/>
          <w:szCs w:val="22"/>
        </w:rPr>
        <w:t>奶粉，在我国称为婴儿配方乳粉</w:t>
      </w:r>
      <w:r>
        <w:rPr>
          <w:rFonts w:ascii="宋体" w:eastAsia="宋体" w:hAnsi="宋体" w:cs="宋体"/>
          <w:spacing w:val="-19"/>
          <w:sz w:val="22"/>
          <w:szCs w:val="22"/>
        </w:rPr>
        <w:t xml:space="preserve"> </w:t>
      </w:r>
      <w:r>
        <w:rPr>
          <w:rFonts w:ascii="宋体" w:eastAsia="宋体" w:hAnsi="宋体" w:cs="宋体"/>
          <w:spacing w:val="-9"/>
          <w:sz w:val="22"/>
          <w:szCs w:val="22"/>
        </w:rPr>
        <w:t>(GB10766—</w:t>
      </w:r>
      <w:r>
        <w:rPr>
          <w:rFonts w:ascii="宋体" w:eastAsia="宋体" w:hAnsi="宋体" w:cs="宋体"/>
          <w:spacing w:val="-85"/>
          <w:sz w:val="22"/>
          <w:szCs w:val="22"/>
        </w:rPr>
        <w:t xml:space="preserve"> </w:t>
      </w:r>
      <w:r>
        <w:rPr>
          <w:rFonts w:ascii="宋体" w:eastAsia="宋体" w:hAnsi="宋体" w:cs="宋体"/>
          <w:spacing w:val="-9"/>
          <w:sz w:val="22"/>
          <w:szCs w:val="22"/>
        </w:rPr>
        <w:t>1989)。</w:t>
      </w:r>
      <w:r>
        <w:rPr>
          <w:rFonts w:ascii="宋体" w:eastAsia="宋体" w:hAnsi="宋体" w:cs="宋体"/>
          <w:spacing w:val="2"/>
          <w:sz w:val="22"/>
          <w:szCs w:val="22"/>
        </w:rPr>
        <w:t xml:space="preserve"> </w:t>
      </w:r>
      <w:r>
        <w:rPr>
          <w:rFonts w:ascii="宋体" w:eastAsia="宋体" w:hAnsi="宋体" w:cs="宋体"/>
          <w:spacing w:val="-9"/>
          <w:sz w:val="22"/>
          <w:szCs w:val="22"/>
        </w:rPr>
        <w:t>婴儿配方乳粉及其他种类</w:t>
      </w:r>
      <w:r>
        <w:rPr>
          <w:rFonts w:ascii="宋体" w:eastAsia="宋体" w:hAnsi="宋体" w:cs="宋体"/>
          <w:sz w:val="22"/>
          <w:szCs w:val="22"/>
        </w:rPr>
        <w:t xml:space="preserve"> </w:t>
      </w:r>
      <w:r>
        <w:rPr>
          <w:rFonts w:ascii="宋体" w:eastAsia="宋体" w:hAnsi="宋体" w:cs="宋体"/>
          <w:spacing w:val="-14"/>
          <w:sz w:val="22"/>
          <w:szCs w:val="22"/>
        </w:rPr>
        <w:t>的婴儿配方食品，国际上统称为</w:t>
      </w:r>
      <w:r>
        <w:rPr>
          <w:rFonts w:ascii="宋体" w:eastAsia="宋体" w:hAnsi="宋体" w:cs="宋体"/>
          <w:spacing w:val="-82"/>
          <w:sz w:val="22"/>
          <w:szCs w:val="22"/>
        </w:rPr>
        <w:t xml:space="preserve"> </w:t>
      </w:r>
      <w:r>
        <w:rPr>
          <w:rFonts w:ascii="宋体" w:eastAsia="宋体" w:hAnsi="宋体" w:cs="宋体"/>
          <w:spacing w:val="-14"/>
          <w:sz w:val="22"/>
          <w:szCs w:val="22"/>
        </w:rPr>
        <w:t>“infant</w:t>
      </w:r>
      <w:r>
        <w:rPr>
          <w:rFonts w:ascii="宋体" w:eastAsia="宋体" w:hAnsi="宋体" w:cs="宋体"/>
          <w:spacing w:val="-11"/>
          <w:sz w:val="22"/>
          <w:szCs w:val="22"/>
        </w:rPr>
        <w:t xml:space="preserve"> </w:t>
      </w:r>
      <w:r>
        <w:rPr>
          <w:rFonts w:ascii="宋体" w:eastAsia="宋体" w:hAnsi="宋体" w:cs="宋体"/>
          <w:spacing w:val="-14"/>
          <w:sz w:val="22"/>
          <w:szCs w:val="22"/>
        </w:rPr>
        <w:t>formula”。婴儿配方乳粉主要用作6</w:t>
      </w:r>
      <w:r>
        <w:rPr>
          <w:rFonts w:ascii="宋体" w:eastAsia="宋体" w:hAnsi="宋体" w:cs="宋体"/>
          <w:spacing w:val="-15"/>
          <w:sz w:val="22"/>
          <w:szCs w:val="22"/>
        </w:rPr>
        <w:t>个</w:t>
      </w:r>
      <w:r>
        <w:rPr>
          <w:rFonts w:ascii="宋体" w:eastAsia="宋体" w:hAnsi="宋体" w:cs="宋体"/>
          <w:sz w:val="22"/>
          <w:szCs w:val="22"/>
        </w:rPr>
        <w:t xml:space="preserve"> </w:t>
      </w:r>
      <w:r>
        <w:rPr>
          <w:rFonts w:ascii="宋体" w:eastAsia="宋体" w:hAnsi="宋体" w:cs="宋体"/>
          <w:spacing w:val="-18"/>
          <w:sz w:val="22"/>
          <w:szCs w:val="22"/>
        </w:rPr>
        <w:t>月以下婴儿母乳代用品。</w:t>
      </w:r>
    </w:p>
    <w:p w:rsidR="00EA40A3" w:rsidRDefault="00E86C16">
      <w:pPr>
        <w:spacing w:before="70" w:line="248" w:lineRule="auto"/>
        <w:ind w:right="59" w:firstLine="450"/>
        <w:jc w:val="both"/>
        <w:rPr>
          <w:rFonts w:ascii="宋体" w:eastAsia="宋体" w:hAnsi="宋体" w:cs="宋体"/>
          <w:sz w:val="22"/>
          <w:szCs w:val="22"/>
        </w:rPr>
      </w:pPr>
      <w:r>
        <w:rPr>
          <w:rFonts w:ascii="宋体" w:eastAsia="宋体" w:hAnsi="宋体" w:cs="宋体"/>
          <w:spacing w:val="5"/>
          <w:sz w:val="22"/>
          <w:szCs w:val="22"/>
        </w:rPr>
        <w:t>母乳化奶粉最早是由德国</w:t>
      </w:r>
      <w:r>
        <w:rPr>
          <w:rFonts w:ascii="宋体" w:eastAsia="宋体" w:hAnsi="宋体" w:cs="宋体"/>
          <w:spacing w:val="-33"/>
          <w:sz w:val="22"/>
          <w:szCs w:val="22"/>
        </w:rPr>
        <w:t xml:space="preserve"> </w:t>
      </w:r>
      <w:r>
        <w:rPr>
          <w:rFonts w:ascii="宋体" w:eastAsia="宋体" w:hAnsi="宋体" w:cs="宋体"/>
          <w:sz w:val="22"/>
          <w:szCs w:val="22"/>
        </w:rPr>
        <w:t>Lemke</w:t>
      </w:r>
      <w:r>
        <w:rPr>
          <w:rFonts w:ascii="宋体" w:eastAsia="宋体" w:hAnsi="宋体" w:cs="宋体"/>
          <w:spacing w:val="-13"/>
          <w:sz w:val="22"/>
          <w:szCs w:val="22"/>
        </w:rPr>
        <w:t xml:space="preserve"> </w:t>
      </w:r>
      <w:r>
        <w:rPr>
          <w:rFonts w:ascii="宋体" w:eastAsia="宋体" w:hAnsi="宋体" w:cs="宋体"/>
          <w:spacing w:val="5"/>
          <w:sz w:val="22"/>
          <w:szCs w:val="22"/>
        </w:rPr>
        <w:t>博士在1949年提出来的，当时只是将</w:t>
      </w:r>
      <w:r>
        <w:rPr>
          <w:rFonts w:ascii="宋体" w:eastAsia="宋体" w:hAnsi="宋体" w:cs="宋体"/>
          <w:sz w:val="22"/>
          <w:szCs w:val="22"/>
        </w:rPr>
        <w:t xml:space="preserve"> </w:t>
      </w:r>
      <w:r>
        <w:rPr>
          <w:rFonts w:ascii="宋体" w:eastAsia="宋体" w:hAnsi="宋体" w:cs="宋体"/>
          <w:spacing w:val="9"/>
          <w:sz w:val="22"/>
          <w:szCs w:val="22"/>
        </w:rPr>
        <w:t>脱盐乳清粉加入牛乳中，调整乳中酪蛋白和乳清蛋白的比例</w:t>
      </w:r>
      <w:r>
        <w:rPr>
          <w:rFonts w:ascii="宋体" w:eastAsia="宋体" w:hAnsi="宋体" w:cs="宋体"/>
          <w:spacing w:val="8"/>
          <w:sz w:val="22"/>
          <w:szCs w:val="22"/>
        </w:rPr>
        <w:t>为40:60。增</w:t>
      </w:r>
      <w:r>
        <w:rPr>
          <w:rFonts w:ascii="宋体" w:eastAsia="宋体" w:hAnsi="宋体" w:cs="宋体"/>
          <w:sz w:val="22"/>
          <w:szCs w:val="22"/>
        </w:rPr>
        <w:t xml:space="preserve"> </w:t>
      </w:r>
      <w:r>
        <w:rPr>
          <w:rFonts w:ascii="宋体" w:eastAsia="宋体" w:hAnsi="宋体" w:cs="宋体"/>
          <w:spacing w:val="6"/>
          <w:sz w:val="22"/>
          <w:szCs w:val="22"/>
        </w:rPr>
        <w:t>加乳糖含量至7%左右，添加植物油以增加不饱和脂肪酸的含量，制成了与</w:t>
      </w:r>
      <w:r>
        <w:rPr>
          <w:rFonts w:ascii="宋体" w:eastAsia="宋体" w:hAnsi="宋体" w:cs="宋体"/>
          <w:spacing w:val="9"/>
          <w:sz w:val="22"/>
          <w:szCs w:val="22"/>
        </w:rPr>
        <w:t xml:space="preserve"> </w:t>
      </w:r>
      <w:r>
        <w:rPr>
          <w:rFonts w:ascii="宋体" w:eastAsia="宋体" w:hAnsi="宋体" w:cs="宋体"/>
          <w:spacing w:val="1"/>
          <w:sz w:val="22"/>
          <w:szCs w:val="22"/>
        </w:rPr>
        <w:t>人乳成分颇为相近的模拟人乳，从根本上解决了婴儿喂养中的消化、吸收、</w:t>
      </w:r>
      <w:r>
        <w:rPr>
          <w:rFonts w:ascii="宋体" w:eastAsia="宋体" w:hAnsi="宋体" w:cs="宋体"/>
          <w:spacing w:val="6"/>
          <w:sz w:val="22"/>
          <w:szCs w:val="22"/>
        </w:rPr>
        <w:t xml:space="preserve"> </w:t>
      </w:r>
      <w:r>
        <w:rPr>
          <w:rFonts w:ascii="宋体" w:eastAsia="宋体" w:hAnsi="宋体" w:cs="宋体"/>
          <w:spacing w:val="-1"/>
          <w:sz w:val="22"/>
          <w:szCs w:val="22"/>
        </w:rPr>
        <w:t>通便等问题。后来，人们在这一创举基础上加入维生素和矿物质，生产出育</w:t>
      </w:r>
      <w:r>
        <w:rPr>
          <w:rFonts w:ascii="宋体" w:eastAsia="宋体" w:hAnsi="宋体" w:cs="宋体"/>
          <w:sz w:val="22"/>
          <w:szCs w:val="22"/>
        </w:rPr>
        <w:t xml:space="preserve"> </w:t>
      </w:r>
      <w:r>
        <w:rPr>
          <w:rFonts w:ascii="宋体" w:eastAsia="宋体" w:hAnsi="宋体" w:cs="宋体"/>
          <w:spacing w:val="-1"/>
          <w:sz w:val="22"/>
          <w:szCs w:val="22"/>
        </w:rPr>
        <w:t>婴更加理想的模拟人乳的母乳化奶粉。母乳化奶粉的强化原理</w:t>
      </w:r>
      <w:r>
        <w:rPr>
          <w:rFonts w:ascii="宋体" w:eastAsia="宋体" w:hAnsi="宋体" w:cs="宋体"/>
          <w:spacing w:val="-2"/>
          <w:sz w:val="22"/>
          <w:szCs w:val="22"/>
        </w:rPr>
        <w:t>是：改变牛乳</w:t>
      </w:r>
      <w:r>
        <w:rPr>
          <w:rFonts w:ascii="宋体" w:eastAsia="宋体" w:hAnsi="宋体" w:cs="宋体"/>
          <w:sz w:val="22"/>
          <w:szCs w:val="22"/>
        </w:rPr>
        <w:t xml:space="preserve"> </w:t>
      </w:r>
      <w:r>
        <w:rPr>
          <w:rFonts w:ascii="宋体" w:eastAsia="宋体" w:hAnsi="宋体" w:cs="宋体"/>
          <w:spacing w:val="6"/>
          <w:sz w:val="22"/>
          <w:szCs w:val="22"/>
        </w:rPr>
        <w:t>中乳清蛋白与酪蛋白比例，使之近似于母乳，添加亚油酸及其他必需脂肪</w:t>
      </w:r>
      <w:r>
        <w:rPr>
          <w:rFonts w:ascii="宋体" w:eastAsia="宋体" w:hAnsi="宋体" w:cs="宋体"/>
          <w:spacing w:val="8"/>
          <w:sz w:val="22"/>
          <w:szCs w:val="22"/>
        </w:rPr>
        <w:t xml:space="preserve"> </w:t>
      </w:r>
      <w:r>
        <w:rPr>
          <w:rFonts w:ascii="宋体" w:eastAsia="宋体" w:hAnsi="宋体" w:cs="宋体"/>
          <w:sz w:val="22"/>
          <w:szCs w:val="22"/>
        </w:rPr>
        <w:t>酸，添加微量营养成分，减少无机盐的含量，添加乳</w:t>
      </w:r>
      <w:r>
        <w:rPr>
          <w:rFonts w:ascii="宋体" w:eastAsia="宋体" w:hAnsi="宋体" w:cs="宋体"/>
          <w:spacing w:val="-1"/>
          <w:sz w:val="22"/>
          <w:szCs w:val="22"/>
        </w:rPr>
        <w:t>糖或可溶性多糖。母乳</w:t>
      </w:r>
      <w:r>
        <w:rPr>
          <w:rFonts w:ascii="宋体" w:eastAsia="宋体" w:hAnsi="宋体" w:cs="宋体"/>
          <w:sz w:val="22"/>
          <w:szCs w:val="22"/>
        </w:rPr>
        <w:t xml:space="preserve"> </w:t>
      </w:r>
      <w:r>
        <w:rPr>
          <w:rFonts w:ascii="宋体" w:eastAsia="宋体" w:hAnsi="宋体" w:cs="宋体"/>
          <w:spacing w:val="-6"/>
          <w:sz w:val="22"/>
          <w:szCs w:val="22"/>
        </w:rPr>
        <w:t>化奶粉的加工包括：</w:t>
      </w:r>
    </w:p>
    <w:p w:rsidR="00EA40A3" w:rsidRDefault="00E86C16">
      <w:pPr>
        <w:spacing w:before="99" w:line="244" w:lineRule="auto"/>
        <w:ind w:firstLine="450"/>
        <w:jc w:val="both"/>
        <w:rPr>
          <w:rFonts w:ascii="宋体" w:eastAsia="宋体" w:hAnsi="宋体" w:cs="宋体"/>
          <w:sz w:val="22"/>
          <w:szCs w:val="22"/>
        </w:rPr>
      </w:pPr>
      <w:r>
        <w:rPr>
          <w:rFonts w:ascii="宋体" w:eastAsia="宋体" w:hAnsi="宋体" w:cs="宋体"/>
          <w:spacing w:val="-7"/>
          <w:sz w:val="22"/>
          <w:szCs w:val="22"/>
        </w:rPr>
        <w:t>(1)蛋白质的母乳化，牛乳中酪蛋白与乳清蛋白比例跟母乳相比相差甚</w:t>
      </w:r>
      <w:r>
        <w:rPr>
          <w:rFonts w:ascii="宋体" w:eastAsia="宋体" w:hAnsi="宋体" w:cs="宋体"/>
          <w:spacing w:val="-8"/>
          <w:sz w:val="22"/>
          <w:szCs w:val="22"/>
        </w:rPr>
        <w:t>远，</w:t>
      </w:r>
      <w:r>
        <w:rPr>
          <w:rFonts w:ascii="宋体" w:eastAsia="宋体" w:hAnsi="宋体" w:cs="宋体"/>
          <w:sz w:val="22"/>
          <w:szCs w:val="22"/>
        </w:rPr>
        <w:t xml:space="preserve"> </w:t>
      </w:r>
      <w:r>
        <w:rPr>
          <w:rFonts w:ascii="宋体" w:eastAsia="宋体" w:hAnsi="宋体" w:cs="宋体"/>
          <w:spacing w:val="-2"/>
          <w:sz w:val="22"/>
          <w:szCs w:val="22"/>
        </w:rPr>
        <w:t>在工艺上，常采用物理方法(高温瞬时，140</w:t>
      </w:r>
      <w:r>
        <w:rPr>
          <w:rFonts w:ascii="宋体" w:eastAsia="宋体" w:hAnsi="宋体" w:cs="宋体"/>
          <w:spacing w:val="-3"/>
          <w:sz w:val="22"/>
          <w:szCs w:val="22"/>
        </w:rPr>
        <w:t>℃,3s)</w:t>
      </w:r>
      <w:r>
        <w:rPr>
          <w:rFonts w:ascii="宋体" w:eastAsia="宋体" w:hAnsi="宋体" w:cs="宋体"/>
          <w:spacing w:val="-22"/>
          <w:sz w:val="22"/>
          <w:szCs w:val="22"/>
        </w:rPr>
        <w:t xml:space="preserve"> </w:t>
      </w:r>
      <w:r>
        <w:rPr>
          <w:rFonts w:ascii="宋体" w:eastAsia="宋体" w:hAnsi="宋体" w:cs="宋体"/>
          <w:spacing w:val="-3"/>
          <w:sz w:val="22"/>
          <w:szCs w:val="22"/>
        </w:rPr>
        <w:t>处理使其软凝块化，使之</w:t>
      </w:r>
      <w:r>
        <w:rPr>
          <w:rFonts w:ascii="宋体" w:eastAsia="宋体" w:hAnsi="宋体" w:cs="宋体"/>
          <w:sz w:val="22"/>
          <w:szCs w:val="22"/>
        </w:rPr>
        <w:t xml:space="preserve">  </w:t>
      </w:r>
      <w:r>
        <w:rPr>
          <w:rFonts w:ascii="宋体" w:eastAsia="宋体" w:hAnsi="宋体" w:cs="宋体"/>
          <w:spacing w:val="-13"/>
          <w:sz w:val="22"/>
          <w:szCs w:val="22"/>
        </w:rPr>
        <w:t>有利于婴儿消化吸收；添加脱盐乳清蛋白，以增加乳清蛋白的含量，使酪蛋白与</w:t>
      </w:r>
      <w:r>
        <w:rPr>
          <w:rFonts w:ascii="宋体" w:eastAsia="宋体" w:hAnsi="宋体" w:cs="宋体"/>
          <w:sz w:val="22"/>
          <w:szCs w:val="22"/>
        </w:rPr>
        <w:t xml:space="preserve">  </w:t>
      </w:r>
      <w:r>
        <w:rPr>
          <w:rFonts w:ascii="宋体" w:eastAsia="宋体" w:hAnsi="宋体" w:cs="宋体"/>
          <w:spacing w:val="-14"/>
          <w:sz w:val="22"/>
          <w:szCs w:val="22"/>
        </w:rPr>
        <w:t>乳清蛋白比例与母乳相似。</w:t>
      </w:r>
    </w:p>
    <w:p w:rsidR="00EA40A3" w:rsidRDefault="00E86C16">
      <w:pPr>
        <w:spacing w:before="37" w:line="244" w:lineRule="auto"/>
        <w:ind w:right="63" w:firstLine="450"/>
        <w:jc w:val="both"/>
        <w:rPr>
          <w:rFonts w:ascii="宋体" w:eastAsia="宋体" w:hAnsi="宋体" w:cs="宋体"/>
          <w:sz w:val="22"/>
          <w:szCs w:val="22"/>
        </w:rPr>
      </w:pPr>
      <w:r>
        <w:rPr>
          <w:rFonts w:ascii="宋体" w:eastAsia="宋体" w:hAnsi="宋体" w:cs="宋体"/>
          <w:spacing w:val="-9"/>
          <w:sz w:val="22"/>
          <w:szCs w:val="22"/>
        </w:rPr>
        <w:t>(2)脂肪的母乳化，由于牛乳中构成脂肪成</w:t>
      </w:r>
      <w:r>
        <w:rPr>
          <w:rFonts w:ascii="宋体" w:eastAsia="宋体" w:hAnsi="宋体" w:cs="宋体"/>
          <w:spacing w:val="-10"/>
          <w:sz w:val="22"/>
          <w:szCs w:val="22"/>
        </w:rPr>
        <w:t>分的脂肪酸含量与母乳不同，使</w:t>
      </w:r>
      <w:r>
        <w:rPr>
          <w:rFonts w:ascii="宋体" w:eastAsia="宋体" w:hAnsi="宋体" w:cs="宋体"/>
          <w:sz w:val="22"/>
          <w:szCs w:val="22"/>
        </w:rPr>
        <w:t xml:space="preserve"> </w:t>
      </w:r>
      <w:r>
        <w:rPr>
          <w:rFonts w:ascii="宋体" w:eastAsia="宋体" w:hAnsi="宋体" w:cs="宋体"/>
          <w:spacing w:val="-5"/>
          <w:sz w:val="22"/>
          <w:szCs w:val="22"/>
        </w:rPr>
        <w:t>得它的消化吸收较母乳差。据研究表明，婴儿只能消化吸收牛乳中脂肪的</w:t>
      </w:r>
      <w:r>
        <w:rPr>
          <w:rFonts w:ascii="宋体" w:eastAsia="宋体" w:hAnsi="宋体" w:cs="宋体"/>
          <w:spacing w:val="-6"/>
          <w:sz w:val="22"/>
          <w:szCs w:val="22"/>
        </w:rPr>
        <w:t>66%,</w:t>
      </w:r>
      <w:r>
        <w:rPr>
          <w:rFonts w:ascii="宋体" w:eastAsia="宋体" w:hAnsi="宋体" w:cs="宋体"/>
          <w:sz w:val="22"/>
          <w:szCs w:val="22"/>
        </w:rPr>
        <w:t xml:space="preserve"> </w:t>
      </w:r>
      <w:r>
        <w:rPr>
          <w:rFonts w:ascii="宋体" w:eastAsia="宋体" w:hAnsi="宋体" w:cs="宋体"/>
          <w:spacing w:val="2"/>
          <w:sz w:val="22"/>
          <w:szCs w:val="22"/>
        </w:rPr>
        <w:t>另外34%的脂肪及其中所含脂溶性维生素、矿物质则不能被吸收利用而</w:t>
      </w:r>
      <w:r>
        <w:rPr>
          <w:rFonts w:ascii="宋体" w:eastAsia="宋体" w:hAnsi="宋体" w:cs="宋体"/>
          <w:spacing w:val="1"/>
          <w:sz w:val="22"/>
          <w:szCs w:val="22"/>
        </w:rPr>
        <w:t>排出</w:t>
      </w:r>
      <w:r>
        <w:rPr>
          <w:rFonts w:ascii="宋体" w:eastAsia="宋体" w:hAnsi="宋体" w:cs="宋体"/>
          <w:sz w:val="22"/>
          <w:szCs w:val="22"/>
        </w:rPr>
        <w:t xml:space="preserve"> </w:t>
      </w:r>
      <w:r>
        <w:rPr>
          <w:rFonts w:ascii="宋体" w:eastAsia="宋体" w:hAnsi="宋体" w:cs="宋体"/>
          <w:spacing w:val="-18"/>
          <w:sz w:val="22"/>
          <w:szCs w:val="22"/>
        </w:rPr>
        <w:t>体外。</w:t>
      </w:r>
    </w:p>
    <w:p w:rsidR="00EA40A3" w:rsidRDefault="00E86C16">
      <w:pPr>
        <w:spacing w:before="94" w:line="238" w:lineRule="auto"/>
        <w:ind w:right="101" w:firstLine="450"/>
        <w:jc w:val="both"/>
        <w:rPr>
          <w:rFonts w:ascii="宋体" w:eastAsia="宋体" w:hAnsi="宋体" w:cs="宋体"/>
          <w:sz w:val="22"/>
          <w:szCs w:val="22"/>
        </w:rPr>
      </w:pPr>
      <w:r>
        <w:rPr>
          <w:rFonts w:ascii="宋体" w:eastAsia="宋体" w:hAnsi="宋体" w:cs="宋体"/>
          <w:spacing w:val="-14"/>
          <w:sz w:val="22"/>
          <w:szCs w:val="22"/>
        </w:rPr>
        <w:t>脂肪的消化吸收及营养价值的高低与构成脂肪的脂肪酸有密切</w:t>
      </w:r>
      <w:r>
        <w:rPr>
          <w:rFonts w:ascii="宋体" w:eastAsia="宋体" w:hAnsi="宋体" w:cs="宋体"/>
          <w:spacing w:val="-15"/>
          <w:sz w:val="22"/>
          <w:szCs w:val="22"/>
        </w:rPr>
        <w:t>的关系。低级</w:t>
      </w:r>
      <w:r>
        <w:rPr>
          <w:rFonts w:ascii="宋体" w:eastAsia="宋体" w:hAnsi="宋体" w:cs="宋体"/>
          <w:sz w:val="22"/>
          <w:szCs w:val="22"/>
        </w:rPr>
        <w:t xml:space="preserve"> </w:t>
      </w:r>
      <w:r>
        <w:rPr>
          <w:rFonts w:ascii="宋体" w:eastAsia="宋体" w:hAnsi="宋体" w:cs="宋体"/>
          <w:spacing w:val="-13"/>
          <w:sz w:val="22"/>
          <w:szCs w:val="22"/>
        </w:rPr>
        <w:t>脂肪酸比高级脂肪酸易消化吸收，不饱和脂肪酸比饱和脂肪酸易消化吸收</w:t>
      </w:r>
      <w:r>
        <w:rPr>
          <w:rFonts w:ascii="宋体" w:eastAsia="宋体" w:hAnsi="宋体" w:cs="宋体"/>
          <w:spacing w:val="-14"/>
          <w:sz w:val="22"/>
          <w:szCs w:val="22"/>
        </w:rPr>
        <w:t>。必需</w:t>
      </w:r>
      <w:r>
        <w:rPr>
          <w:rFonts w:ascii="宋体" w:eastAsia="宋体" w:hAnsi="宋体" w:cs="宋体"/>
          <w:sz w:val="22"/>
          <w:szCs w:val="22"/>
        </w:rPr>
        <w:t xml:space="preserve"> </w:t>
      </w:r>
      <w:r>
        <w:rPr>
          <w:rFonts w:ascii="宋体" w:eastAsia="宋体" w:hAnsi="宋体" w:cs="宋体"/>
          <w:spacing w:val="-13"/>
          <w:sz w:val="22"/>
          <w:szCs w:val="22"/>
        </w:rPr>
        <w:t>不饱和脂肪酸含量高，则脂肪营养价值高。母乳中不饱和脂肪酸含量多，婴儿对</w:t>
      </w:r>
      <w:r>
        <w:rPr>
          <w:rFonts w:ascii="宋体" w:eastAsia="宋体" w:hAnsi="宋体" w:cs="宋体"/>
          <w:spacing w:val="12"/>
          <w:sz w:val="22"/>
          <w:szCs w:val="22"/>
        </w:rPr>
        <w:t xml:space="preserve"> </w:t>
      </w:r>
      <w:r>
        <w:rPr>
          <w:rFonts w:ascii="宋体" w:eastAsia="宋体" w:hAnsi="宋体" w:cs="宋体"/>
          <w:spacing w:val="-6"/>
          <w:sz w:val="22"/>
          <w:szCs w:val="22"/>
        </w:rPr>
        <w:t>母乳脂肪酸的消化率比牛乳高20%以上。</w:t>
      </w:r>
    </w:p>
    <w:p w:rsidR="00EA40A3" w:rsidRDefault="00E86C16">
      <w:pPr>
        <w:spacing w:before="66"/>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8"/>
          <w:sz w:val="19"/>
          <w:szCs w:val="19"/>
        </w:rPr>
        <w:t xml:space="preserve"> </w:t>
      </w:r>
      <w:r>
        <w:rPr>
          <w:rFonts w:ascii="宋体" w:eastAsia="宋体" w:hAnsi="宋体" w:cs="宋体"/>
          <w:spacing w:val="-30"/>
          <w:sz w:val="19"/>
          <w:szCs w:val="19"/>
        </w:rPr>
        <w:t>270</w:t>
      </w:r>
      <w:r>
        <w:rPr>
          <w:rFonts w:ascii="宋体" w:eastAsia="宋体" w:hAnsi="宋体" w:cs="宋体"/>
          <w:spacing w:val="45"/>
          <w:sz w:val="19"/>
          <w:szCs w:val="19"/>
        </w:rPr>
        <w:t xml:space="preserve"> </w:t>
      </w:r>
      <w:r>
        <w:rPr>
          <w:rFonts w:ascii="宋体" w:eastAsia="宋体" w:hAnsi="宋体" w:cs="宋体"/>
          <w:spacing w:val="-30"/>
          <w:sz w:val="19"/>
          <w:szCs w:val="19"/>
        </w:rPr>
        <w:t>·</w:t>
      </w:r>
    </w:p>
    <w:p w:rsidR="00EA40A3" w:rsidRDefault="00EA40A3">
      <w:pPr>
        <w:sectPr w:rsidR="00EA40A3">
          <w:pgSz w:w="9220" w:h="13360"/>
          <w:pgMar w:top="400" w:right="1049" w:bottom="400" w:left="809" w:header="0" w:footer="0" w:gutter="0"/>
          <w:cols w:space="720"/>
        </w:sectPr>
      </w:pPr>
    </w:p>
    <w:p w:rsidR="00EA40A3" w:rsidRDefault="00EA40A3">
      <w:pPr>
        <w:spacing w:line="276" w:lineRule="auto"/>
      </w:pPr>
    </w:p>
    <w:p w:rsidR="00EA40A3" w:rsidRDefault="00EA40A3">
      <w:pPr>
        <w:spacing w:line="276" w:lineRule="auto"/>
      </w:pPr>
    </w:p>
    <w:p w:rsidR="00EA40A3" w:rsidRDefault="00E86C16">
      <w:pPr>
        <w:spacing w:before="71" w:line="244" w:lineRule="auto"/>
        <w:ind w:right="99" w:firstLine="459"/>
        <w:jc w:val="both"/>
        <w:rPr>
          <w:rFonts w:ascii="宋体" w:eastAsia="宋体" w:hAnsi="宋体" w:cs="宋体"/>
          <w:sz w:val="22"/>
          <w:szCs w:val="22"/>
        </w:rPr>
      </w:pPr>
      <w:r>
        <w:rPr>
          <w:rFonts w:ascii="宋体" w:eastAsia="宋体" w:hAnsi="宋体" w:cs="宋体"/>
          <w:spacing w:val="-12"/>
          <w:sz w:val="22"/>
          <w:szCs w:val="22"/>
        </w:rPr>
        <w:t>在牛乳母乳化处理时，</w:t>
      </w:r>
      <w:r>
        <w:rPr>
          <w:rFonts w:ascii="宋体" w:eastAsia="宋体" w:hAnsi="宋体" w:cs="宋体"/>
          <w:spacing w:val="65"/>
          <w:sz w:val="22"/>
          <w:szCs w:val="22"/>
        </w:rPr>
        <w:t xml:space="preserve"> </w:t>
      </w:r>
      <w:r>
        <w:rPr>
          <w:rFonts w:ascii="宋体" w:eastAsia="宋体" w:hAnsi="宋体" w:cs="宋体"/>
          <w:spacing w:val="-12"/>
          <w:sz w:val="22"/>
          <w:szCs w:val="22"/>
        </w:rPr>
        <w:t>一般添加活性顺式亚油酸(与母乳中亚油酸同型)使</w:t>
      </w:r>
      <w:r>
        <w:rPr>
          <w:rFonts w:ascii="宋体" w:eastAsia="宋体" w:hAnsi="宋体" w:cs="宋体"/>
          <w:sz w:val="22"/>
          <w:szCs w:val="22"/>
        </w:rPr>
        <w:t xml:space="preserve"> 其含量达到脂肪酸总量的13%,以增加牛乳的消化吸收</w:t>
      </w:r>
      <w:r>
        <w:rPr>
          <w:rFonts w:ascii="宋体" w:eastAsia="宋体" w:hAnsi="宋体" w:cs="宋体"/>
          <w:spacing w:val="-1"/>
          <w:sz w:val="22"/>
          <w:szCs w:val="22"/>
        </w:rPr>
        <w:t>，并加强婴儿对皮肤发</w:t>
      </w:r>
      <w:r>
        <w:rPr>
          <w:rFonts w:ascii="宋体" w:eastAsia="宋体" w:hAnsi="宋体" w:cs="宋体"/>
          <w:sz w:val="22"/>
          <w:szCs w:val="22"/>
        </w:rPr>
        <w:t xml:space="preserve"> </w:t>
      </w:r>
      <w:r>
        <w:rPr>
          <w:rFonts w:ascii="宋体" w:eastAsia="宋体" w:hAnsi="宋体" w:cs="宋体"/>
          <w:spacing w:val="-13"/>
          <w:sz w:val="22"/>
          <w:szCs w:val="22"/>
        </w:rPr>
        <w:t>炎及其他感染症的抵抗力。活性顺式亚油酸一般来自于椰子油、</w:t>
      </w:r>
      <w:r>
        <w:rPr>
          <w:rFonts w:ascii="宋体" w:eastAsia="宋体" w:hAnsi="宋体" w:cs="宋体"/>
          <w:spacing w:val="-14"/>
          <w:sz w:val="22"/>
          <w:szCs w:val="22"/>
        </w:rPr>
        <w:t>向日葵油、玉米</w:t>
      </w:r>
      <w:r>
        <w:rPr>
          <w:rFonts w:ascii="宋体" w:eastAsia="宋体" w:hAnsi="宋体" w:cs="宋体"/>
          <w:sz w:val="22"/>
          <w:szCs w:val="22"/>
        </w:rPr>
        <w:t xml:space="preserve"> </w:t>
      </w:r>
      <w:r>
        <w:rPr>
          <w:rFonts w:ascii="宋体" w:eastAsia="宋体" w:hAnsi="宋体" w:cs="宋体"/>
          <w:spacing w:val="-13"/>
          <w:sz w:val="22"/>
          <w:szCs w:val="22"/>
        </w:rPr>
        <w:t>胚芽油等。</w:t>
      </w:r>
    </w:p>
    <w:p w:rsidR="00EA40A3" w:rsidRDefault="00E86C16">
      <w:pPr>
        <w:spacing w:before="58" w:line="250" w:lineRule="auto"/>
        <w:ind w:firstLine="459"/>
        <w:jc w:val="both"/>
        <w:rPr>
          <w:rFonts w:ascii="宋体" w:eastAsia="宋体" w:hAnsi="宋体" w:cs="宋体"/>
          <w:sz w:val="22"/>
          <w:szCs w:val="22"/>
        </w:rPr>
      </w:pPr>
      <w:r>
        <w:rPr>
          <w:rFonts w:ascii="宋体" w:eastAsia="宋体" w:hAnsi="宋体" w:cs="宋体"/>
          <w:spacing w:val="-10"/>
          <w:sz w:val="22"/>
          <w:szCs w:val="22"/>
        </w:rPr>
        <w:t>牛乳脂肪中甘油三饱和酸酯的含量较母乳高得多，</w:t>
      </w:r>
      <w:r>
        <w:rPr>
          <w:rFonts w:ascii="宋体" w:eastAsia="宋体" w:hAnsi="宋体" w:cs="宋体"/>
          <w:spacing w:val="-11"/>
          <w:sz w:val="22"/>
          <w:szCs w:val="22"/>
        </w:rPr>
        <w:t>而这种酯不易消化吸收，</w:t>
      </w:r>
      <w:r>
        <w:rPr>
          <w:rFonts w:ascii="宋体" w:eastAsia="宋体" w:hAnsi="宋体" w:cs="宋体"/>
          <w:sz w:val="22"/>
          <w:szCs w:val="22"/>
        </w:rPr>
        <w:t xml:space="preserve"> </w:t>
      </w:r>
      <w:r>
        <w:rPr>
          <w:rFonts w:ascii="宋体" w:eastAsia="宋体" w:hAnsi="宋体" w:cs="宋体"/>
          <w:spacing w:val="-13"/>
          <w:sz w:val="22"/>
          <w:szCs w:val="22"/>
        </w:rPr>
        <w:t>因而，母乳化奶粉工艺中还包括减少甘油三饱和酸酯的含量。除</w:t>
      </w:r>
      <w:r>
        <w:rPr>
          <w:rFonts w:ascii="宋体" w:eastAsia="宋体" w:hAnsi="宋体" w:cs="宋体"/>
          <w:spacing w:val="-14"/>
          <w:sz w:val="22"/>
          <w:szCs w:val="22"/>
        </w:rPr>
        <w:t>了减少甘油三饱</w:t>
      </w:r>
      <w:r>
        <w:rPr>
          <w:rFonts w:ascii="宋体" w:eastAsia="宋体" w:hAnsi="宋体" w:cs="宋体"/>
          <w:sz w:val="22"/>
          <w:szCs w:val="22"/>
        </w:rPr>
        <w:t xml:space="preserve">  </w:t>
      </w:r>
      <w:r>
        <w:rPr>
          <w:rFonts w:ascii="宋体" w:eastAsia="宋体" w:hAnsi="宋体" w:cs="宋体"/>
          <w:spacing w:val="-13"/>
          <w:sz w:val="22"/>
          <w:szCs w:val="22"/>
        </w:rPr>
        <w:t>和酸酯的含量以提高脂肪酸消化吸收外，还可通过增加牛乳中甘油三棕</w:t>
      </w:r>
      <w:r>
        <w:rPr>
          <w:rFonts w:ascii="宋体" w:eastAsia="宋体" w:hAnsi="宋体" w:cs="宋体"/>
          <w:spacing w:val="-14"/>
          <w:sz w:val="22"/>
          <w:szCs w:val="22"/>
        </w:rPr>
        <w:t>榈酸酯在</w:t>
      </w:r>
      <w:r>
        <w:rPr>
          <w:rFonts w:ascii="宋体" w:eastAsia="宋体" w:hAnsi="宋体" w:cs="宋体"/>
          <w:sz w:val="22"/>
          <w:szCs w:val="22"/>
        </w:rPr>
        <w:t xml:space="preserve">  </w:t>
      </w:r>
      <w:r>
        <w:rPr>
          <w:rFonts w:ascii="宋体" w:eastAsia="宋体" w:hAnsi="宋体" w:cs="宋体"/>
          <w:spacing w:val="-15"/>
          <w:sz w:val="22"/>
          <w:szCs w:val="22"/>
        </w:rPr>
        <w:t>甘油三酸酯分子β位置上的结合量，使之更接近母乳。</w:t>
      </w:r>
    </w:p>
    <w:p w:rsidR="00EA40A3" w:rsidRDefault="00E86C16">
      <w:pPr>
        <w:spacing w:before="42" w:line="248" w:lineRule="auto"/>
        <w:ind w:right="98" w:firstLine="459"/>
        <w:jc w:val="both"/>
        <w:rPr>
          <w:rFonts w:ascii="宋体" w:eastAsia="宋体" w:hAnsi="宋体" w:cs="宋体"/>
          <w:sz w:val="22"/>
          <w:szCs w:val="22"/>
        </w:rPr>
      </w:pPr>
      <w:r>
        <w:rPr>
          <w:rFonts w:ascii="宋体" w:eastAsia="宋体" w:hAnsi="宋体" w:cs="宋体"/>
          <w:spacing w:val="-10"/>
          <w:sz w:val="22"/>
          <w:szCs w:val="22"/>
        </w:rPr>
        <w:t>(3)糖类及矿物质的母乳化，在母乳和牛乳中的碳水化合物主要是乳糖，在</w:t>
      </w:r>
      <w:r>
        <w:rPr>
          <w:rFonts w:ascii="宋体" w:eastAsia="宋体" w:hAnsi="宋体" w:cs="宋体"/>
          <w:spacing w:val="10"/>
          <w:sz w:val="22"/>
          <w:szCs w:val="22"/>
        </w:rPr>
        <w:t xml:space="preserve"> </w:t>
      </w:r>
      <w:r>
        <w:rPr>
          <w:rFonts w:ascii="宋体" w:eastAsia="宋体" w:hAnsi="宋体" w:cs="宋体"/>
          <w:sz w:val="22"/>
          <w:szCs w:val="22"/>
        </w:rPr>
        <w:t>母乳中乳糖含量为7.4%左右，而牛乳中仅4.5%左右，显</w:t>
      </w:r>
      <w:r>
        <w:rPr>
          <w:rFonts w:ascii="宋体" w:eastAsia="宋体" w:hAnsi="宋体" w:cs="宋体"/>
          <w:spacing w:val="-1"/>
          <w:sz w:val="22"/>
          <w:szCs w:val="22"/>
        </w:rPr>
        <w:t>然牛乳中的乳糖不能</w:t>
      </w:r>
      <w:r>
        <w:rPr>
          <w:rFonts w:ascii="宋体" w:eastAsia="宋体" w:hAnsi="宋体" w:cs="宋体"/>
          <w:sz w:val="22"/>
          <w:szCs w:val="22"/>
        </w:rPr>
        <w:t xml:space="preserve"> </w:t>
      </w:r>
      <w:r>
        <w:rPr>
          <w:rFonts w:ascii="宋体" w:eastAsia="宋体" w:hAnsi="宋体" w:cs="宋体"/>
          <w:spacing w:val="-13"/>
          <w:sz w:val="22"/>
          <w:szCs w:val="22"/>
        </w:rPr>
        <w:t>满足婴幼儿机体需要。由于乳糖在肠道中停留时间较长，容易发生</w:t>
      </w:r>
      <w:r>
        <w:rPr>
          <w:rFonts w:ascii="宋体" w:eastAsia="宋体" w:hAnsi="宋体" w:cs="宋体"/>
          <w:spacing w:val="-14"/>
          <w:sz w:val="22"/>
          <w:szCs w:val="22"/>
        </w:rPr>
        <w:t>酸性发酵，形</w:t>
      </w:r>
      <w:r>
        <w:rPr>
          <w:rFonts w:ascii="宋体" w:eastAsia="宋体" w:hAnsi="宋体" w:cs="宋体"/>
          <w:sz w:val="22"/>
          <w:szCs w:val="22"/>
        </w:rPr>
        <w:t xml:space="preserve"> </w:t>
      </w:r>
      <w:r>
        <w:rPr>
          <w:rFonts w:ascii="宋体" w:eastAsia="宋体" w:hAnsi="宋体" w:cs="宋体"/>
          <w:spacing w:val="-13"/>
          <w:sz w:val="22"/>
          <w:szCs w:val="22"/>
        </w:rPr>
        <w:t>成的乳酸有利于钙、磷的吸收，促进骨骼和牙齿的生长，同时乳</w:t>
      </w:r>
      <w:r>
        <w:rPr>
          <w:rFonts w:ascii="宋体" w:eastAsia="宋体" w:hAnsi="宋体" w:cs="宋体"/>
          <w:spacing w:val="-14"/>
          <w:sz w:val="22"/>
          <w:szCs w:val="22"/>
        </w:rPr>
        <w:t>糖所产生的有机</w:t>
      </w:r>
      <w:r>
        <w:rPr>
          <w:rFonts w:ascii="宋体" w:eastAsia="宋体" w:hAnsi="宋体" w:cs="宋体"/>
          <w:sz w:val="22"/>
          <w:szCs w:val="22"/>
        </w:rPr>
        <w:t xml:space="preserve"> </w:t>
      </w:r>
      <w:r>
        <w:rPr>
          <w:rFonts w:ascii="宋体" w:eastAsia="宋体" w:hAnsi="宋体" w:cs="宋体"/>
          <w:spacing w:val="-7"/>
          <w:sz w:val="22"/>
          <w:szCs w:val="22"/>
        </w:rPr>
        <w:t>酸对牙齿无腐蚀作用。特别是由于乳酸发酵，乳酸菌的生长能抑制腐败</w:t>
      </w:r>
      <w:r>
        <w:rPr>
          <w:rFonts w:ascii="宋体" w:eastAsia="宋体" w:hAnsi="宋体" w:cs="宋体"/>
          <w:spacing w:val="-8"/>
          <w:sz w:val="22"/>
          <w:szCs w:val="22"/>
        </w:rPr>
        <w:t>菌的发</w:t>
      </w:r>
      <w:r>
        <w:rPr>
          <w:rFonts w:ascii="宋体" w:eastAsia="宋体" w:hAnsi="宋体" w:cs="宋体"/>
          <w:sz w:val="22"/>
          <w:szCs w:val="22"/>
        </w:rPr>
        <w:t xml:space="preserve"> </w:t>
      </w:r>
      <w:r>
        <w:rPr>
          <w:rFonts w:ascii="宋体" w:eastAsia="宋体" w:hAnsi="宋体" w:cs="宋体"/>
          <w:spacing w:val="-13"/>
          <w:sz w:val="22"/>
          <w:szCs w:val="22"/>
        </w:rPr>
        <w:t>育，有助于肠道的健康。为了保证产品中的碳水化合物含量，而又</w:t>
      </w:r>
      <w:r>
        <w:rPr>
          <w:rFonts w:ascii="宋体" w:eastAsia="宋体" w:hAnsi="宋体" w:cs="宋体"/>
          <w:spacing w:val="-14"/>
          <w:sz w:val="22"/>
          <w:szCs w:val="22"/>
        </w:rPr>
        <w:t>限制蔗糖的含</w:t>
      </w:r>
      <w:r>
        <w:rPr>
          <w:rFonts w:ascii="宋体" w:eastAsia="宋体" w:hAnsi="宋体" w:cs="宋体"/>
          <w:sz w:val="22"/>
          <w:szCs w:val="22"/>
        </w:rPr>
        <w:t xml:space="preserve"> </w:t>
      </w:r>
      <w:r>
        <w:rPr>
          <w:rFonts w:ascii="宋体" w:eastAsia="宋体" w:hAnsi="宋体" w:cs="宋体"/>
          <w:spacing w:val="-4"/>
          <w:sz w:val="22"/>
          <w:szCs w:val="22"/>
        </w:rPr>
        <w:t>量，可增加有利于婴幼儿吸收利用的乳糖和饴糖，并确保乳糖占总糖量的73%</w:t>
      </w:r>
      <w:r>
        <w:rPr>
          <w:rFonts w:ascii="宋体" w:eastAsia="宋体" w:hAnsi="宋体" w:cs="宋体"/>
          <w:spacing w:val="3"/>
          <w:sz w:val="22"/>
          <w:szCs w:val="22"/>
        </w:rPr>
        <w:t xml:space="preserve"> </w:t>
      </w:r>
      <w:r>
        <w:rPr>
          <w:rFonts w:ascii="宋体" w:eastAsia="宋体" w:hAnsi="宋体" w:cs="宋体"/>
          <w:spacing w:val="-21"/>
          <w:sz w:val="22"/>
          <w:szCs w:val="22"/>
        </w:rPr>
        <w:t>以上。</w:t>
      </w:r>
    </w:p>
    <w:p w:rsidR="00EA40A3" w:rsidRDefault="00E86C16">
      <w:pPr>
        <w:spacing w:before="83" w:line="245" w:lineRule="auto"/>
        <w:ind w:right="100" w:firstLine="459"/>
        <w:jc w:val="both"/>
        <w:rPr>
          <w:rFonts w:ascii="宋体" w:eastAsia="宋体" w:hAnsi="宋体" w:cs="宋体"/>
          <w:sz w:val="22"/>
          <w:szCs w:val="22"/>
        </w:rPr>
      </w:pPr>
      <w:r>
        <w:rPr>
          <w:rFonts w:ascii="宋体" w:eastAsia="宋体" w:hAnsi="宋体" w:cs="宋体"/>
          <w:spacing w:val="-10"/>
          <w:sz w:val="22"/>
          <w:szCs w:val="22"/>
        </w:rPr>
        <w:t>牛乳中矿物质含量比母乳高得多，如无机盐比母乳高3倍。但是，由于婴</w:t>
      </w:r>
      <w:r>
        <w:rPr>
          <w:rFonts w:ascii="宋体" w:eastAsia="宋体" w:hAnsi="宋体" w:cs="宋体"/>
          <w:spacing w:val="-11"/>
          <w:sz w:val="22"/>
          <w:szCs w:val="22"/>
        </w:rPr>
        <w:t>儿</w:t>
      </w:r>
      <w:r>
        <w:rPr>
          <w:rFonts w:ascii="宋体" w:eastAsia="宋体" w:hAnsi="宋体" w:cs="宋体"/>
          <w:sz w:val="22"/>
          <w:szCs w:val="22"/>
        </w:rPr>
        <w:t xml:space="preserve"> </w:t>
      </w:r>
      <w:r>
        <w:rPr>
          <w:rFonts w:ascii="宋体" w:eastAsia="宋体" w:hAnsi="宋体" w:cs="宋体"/>
          <w:spacing w:val="-13"/>
          <w:sz w:val="22"/>
          <w:szCs w:val="22"/>
        </w:rPr>
        <w:t>的肾脏机能尚未发育完全，过量的矿物质的摄入可造成肾脏负担</w:t>
      </w:r>
      <w:r>
        <w:rPr>
          <w:rFonts w:ascii="宋体" w:eastAsia="宋体" w:hAnsi="宋体" w:cs="宋体"/>
          <w:spacing w:val="-14"/>
          <w:sz w:val="22"/>
          <w:szCs w:val="22"/>
        </w:rPr>
        <w:t>过重，易引起发</w:t>
      </w:r>
      <w:r>
        <w:rPr>
          <w:rFonts w:ascii="宋体" w:eastAsia="宋体" w:hAnsi="宋体" w:cs="宋体"/>
          <w:sz w:val="22"/>
          <w:szCs w:val="22"/>
        </w:rPr>
        <w:t xml:space="preserve"> </w:t>
      </w:r>
      <w:r>
        <w:rPr>
          <w:rFonts w:ascii="宋体" w:eastAsia="宋体" w:hAnsi="宋体" w:cs="宋体"/>
          <w:spacing w:val="-8"/>
          <w:sz w:val="22"/>
          <w:szCs w:val="22"/>
        </w:rPr>
        <w:t>烧、浮肿等病症。牛乳中矿物质的母乳化处理是除去一部分Na、K、Ca</w:t>
      </w:r>
      <w:r>
        <w:rPr>
          <w:rFonts w:ascii="宋体" w:eastAsia="宋体" w:hAnsi="宋体" w:cs="宋体"/>
          <w:spacing w:val="44"/>
          <w:sz w:val="22"/>
          <w:szCs w:val="22"/>
        </w:rPr>
        <w:t xml:space="preserve"> </w:t>
      </w:r>
      <w:r>
        <w:rPr>
          <w:rFonts w:ascii="宋体" w:eastAsia="宋体" w:hAnsi="宋体" w:cs="宋体"/>
          <w:spacing w:val="-8"/>
          <w:sz w:val="22"/>
          <w:szCs w:val="22"/>
        </w:rPr>
        <w:t>等无机</w:t>
      </w:r>
      <w:r>
        <w:rPr>
          <w:rFonts w:ascii="宋体" w:eastAsia="宋体" w:hAnsi="宋体" w:cs="宋体"/>
          <w:sz w:val="22"/>
          <w:szCs w:val="22"/>
        </w:rPr>
        <w:t xml:space="preserve"> </w:t>
      </w:r>
      <w:r>
        <w:rPr>
          <w:rFonts w:ascii="宋体" w:eastAsia="宋体" w:hAnsi="宋体" w:cs="宋体"/>
          <w:spacing w:val="3"/>
          <w:sz w:val="22"/>
          <w:szCs w:val="22"/>
        </w:rPr>
        <w:t>盐，使其K/</w:t>
      </w:r>
      <w:r>
        <w:rPr>
          <w:rFonts w:ascii="宋体" w:eastAsia="宋体" w:hAnsi="宋体" w:cs="宋体"/>
          <w:sz w:val="22"/>
          <w:szCs w:val="22"/>
        </w:rPr>
        <w:t>Na</w:t>
      </w:r>
      <w:r>
        <w:rPr>
          <w:rFonts w:ascii="宋体" w:eastAsia="宋体" w:hAnsi="宋体" w:cs="宋体"/>
          <w:spacing w:val="15"/>
          <w:sz w:val="22"/>
          <w:szCs w:val="22"/>
        </w:rPr>
        <w:t xml:space="preserve"> </w:t>
      </w:r>
      <w:r>
        <w:rPr>
          <w:rFonts w:ascii="宋体" w:eastAsia="宋体" w:hAnsi="宋体" w:cs="宋体"/>
          <w:spacing w:val="3"/>
          <w:sz w:val="22"/>
          <w:szCs w:val="22"/>
        </w:rPr>
        <w:t>值为2.88,</w:t>
      </w:r>
      <w:r>
        <w:rPr>
          <w:rFonts w:ascii="宋体" w:eastAsia="宋体" w:hAnsi="宋体" w:cs="宋体"/>
          <w:sz w:val="22"/>
          <w:szCs w:val="22"/>
        </w:rPr>
        <w:t>Ca</w:t>
      </w:r>
      <w:r>
        <w:rPr>
          <w:rFonts w:ascii="宋体" w:eastAsia="宋体" w:hAnsi="宋体" w:cs="宋体"/>
          <w:spacing w:val="3"/>
          <w:sz w:val="22"/>
          <w:szCs w:val="22"/>
        </w:rPr>
        <w:t>/P</w:t>
      </w:r>
      <w:r>
        <w:rPr>
          <w:rFonts w:ascii="宋体" w:eastAsia="宋体" w:hAnsi="宋体" w:cs="宋体"/>
          <w:spacing w:val="-24"/>
          <w:sz w:val="22"/>
          <w:szCs w:val="22"/>
        </w:rPr>
        <w:t xml:space="preserve"> </w:t>
      </w:r>
      <w:r>
        <w:rPr>
          <w:rFonts w:ascii="宋体" w:eastAsia="宋体" w:hAnsi="宋体" w:cs="宋体"/>
          <w:spacing w:val="3"/>
          <w:sz w:val="22"/>
          <w:szCs w:val="22"/>
        </w:rPr>
        <w:t>值为1.22。对于其他的</w:t>
      </w:r>
      <w:r>
        <w:rPr>
          <w:rFonts w:ascii="宋体" w:eastAsia="宋体" w:hAnsi="宋体" w:cs="宋体"/>
          <w:sz w:val="22"/>
          <w:szCs w:val="22"/>
        </w:rPr>
        <w:t>Cu</w:t>
      </w:r>
      <w:r>
        <w:rPr>
          <w:rFonts w:ascii="宋体" w:eastAsia="宋体" w:hAnsi="宋体" w:cs="宋体"/>
          <w:spacing w:val="3"/>
          <w:sz w:val="22"/>
          <w:szCs w:val="22"/>
        </w:rPr>
        <w:t>、</w:t>
      </w:r>
      <w:r>
        <w:rPr>
          <w:rFonts w:ascii="宋体" w:eastAsia="宋体" w:hAnsi="宋体" w:cs="宋体"/>
          <w:sz w:val="22"/>
          <w:szCs w:val="22"/>
        </w:rPr>
        <w:t>Mg</w:t>
      </w:r>
      <w:r>
        <w:rPr>
          <w:rFonts w:ascii="宋体" w:eastAsia="宋体" w:hAnsi="宋体" w:cs="宋体"/>
          <w:spacing w:val="2"/>
          <w:sz w:val="22"/>
          <w:szCs w:val="22"/>
        </w:rPr>
        <w:t>、</w:t>
      </w:r>
      <w:r>
        <w:rPr>
          <w:rFonts w:ascii="宋体" w:eastAsia="宋体" w:hAnsi="宋体" w:cs="宋体"/>
          <w:sz w:val="22"/>
          <w:szCs w:val="22"/>
        </w:rPr>
        <w:t>Fe</w:t>
      </w:r>
      <w:r>
        <w:rPr>
          <w:rFonts w:ascii="宋体" w:eastAsia="宋体" w:hAnsi="宋体" w:cs="宋体"/>
          <w:spacing w:val="2"/>
          <w:sz w:val="22"/>
          <w:szCs w:val="22"/>
        </w:rPr>
        <w:t>、</w:t>
      </w:r>
      <w:r>
        <w:rPr>
          <w:rFonts w:ascii="宋体" w:eastAsia="宋体" w:hAnsi="宋体" w:cs="宋体"/>
          <w:sz w:val="22"/>
          <w:szCs w:val="22"/>
        </w:rPr>
        <w:t>Mn</w:t>
      </w:r>
      <w:r>
        <w:rPr>
          <w:rFonts w:ascii="宋体" w:eastAsia="宋体" w:hAnsi="宋体" w:cs="宋体"/>
          <w:spacing w:val="13"/>
          <w:sz w:val="22"/>
          <w:szCs w:val="22"/>
        </w:rPr>
        <w:t xml:space="preserve">  </w:t>
      </w:r>
      <w:r>
        <w:rPr>
          <w:rFonts w:ascii="宋体" w:eastAsia="宋体" w:hAnsi="宋体" w:cs="宋体"/>
          <w:spacing w:val="2"/>
          <w:sz w:val="22"/>
          <w:szCs w:val="22"/>
        </w:rPr>
        <w:t>等</w:t>
      </w:r>
      <w:r>
        <w:rPr>
          <w:rFonts w:ascii="宋体" w:eastAsia="宋体" w:hAnsi="宋体" w:cs="宋体"/>
          <w:spacing w:val="1"/>
          <w:sz w:val="22"/>
          <w:szCs w:val="22"/>
        </w:rPr>
        <w:t xml:space="preserve"> </w:t>
      </w:r>
      <w:r>
        <w:rPr>
          <w:rFonts w:ascii="宋体" w:eastAsia="宋体" w:hAnsi="宋体" w:cs="宋体"/>
          <w:spacing w:val="-14"/>
          <w:sz w:val="22"/>
          <w:szCs w:val="22"/>
        </w:rPr>
        <w:t>微量元素，也应使其有适当的含量和比例。</w:t>
      </w:r>
    </w:p>
    <w:p w:rsidR="00EA40A3" w:rsidRDefault="00E86C16">
      <w:pPr>
        <w:spacing w:before="67" w:line="236" w:lineRule="auto"/>
        <w:ind w:right="78" w:firstLine="459"/>
        <w:jc w:val="both"/>
        <w:rPr>
          <w:rFonts w:ascii="宋体" w:eastAsia="宋体" w:hAnsi="宋体" w:cs="宋体"/>
          <w:sz w:val="22"/>
          <w:szCs w:val="22"/>
        </w:rPr>
      </w:pPr>
      <w:r>
        <w:rPr>
          <w:rFonts w:ascii="宋体" w:eastAsia="宋体" w:hAnsi="宋体" w:cs="宋体"/>
          <w:spacing w:val="-18"/>
          <w:sz w:val="22"/>
          <w:szCs w:val="22"/>
        </w:rPr>
        <w:t>此外，牛乳母乳化时应添加一些维生素，以保证婴儿维生素的充分供应，</w:t>
      </w:r>
      <w:r>
        <w:rPr>
          <w:rFonts w:ascii="宋体" w:eastAsia="宋体" w:hAnsi="宋体" w:cs="宋体"/>
          <w:spacing w:val="64"/>
          <w:sz w:val="22"/>
          <w:szCs w:val="22"/>
        </w:rPr>
        <w:t xml:space="preserve"> </w:t>
      </w:r>
      <w:r>
        <w:rPr>
          <w:rFonts w:ascii="宋体" w:eastAsia="宋体" w:hAnsi="宋体" w:cs="宋体"/>
          <w:spacing w:val="-18"/>
          <w:sz w:val="22"/>
          <w:szCs w:val="22"/>
        </w:rPr>
        <w:t>一</w:t>
      </w:r>
      <w:r>
        <w:rPr>
          <w:rFonts w:ascii="宋体" w:eastAsia="宋体" w:hAnsi="宋体" w:cs="宋体"/>
          <w:sz w:val="22"/>
          <w:szCs w:val="22"/>
        </w:rPr>
        <w:t xml:space="preserve"> </w:t>
      </w:r>
      <w:r>
        <w:rPr>
          <w:rFonts w:ascii="宋体" w:eastAsia="宋体" w:hAnsi="宋体" w:cs="宋体"/>
          <w:spacing w:val="-6"/>
          <w:sz w:val="22"/>
          <w:szCs w:val="22"/>
        </w:rPr>
        <w:t>般需添加维生素A、</w:t>
      </w:r>
      <w:r>
        <w:rPr>
          <w:rFonts w:ascii="宋体" w:eastAsia="宋体" w:hAnsi="宋体" w:cs="宋体"/>
          <w:spacing w:val="-20"/>
          <w:sz w:val="22"/>
          <w:szCs w:val="22"/>
        </w:rPr>
        <w:t xml:space="preserve"> </w:t>
      </w:r>
      <w:r>
        <w:rPr>
          <w:rFonts w:ascii="宋体" w:eastAsia="宋体" w:hAnsi="宋体" w:cs="宋体"/>
          <w:spacing w:val="-6"/>
          <w:sz w:val="22"/>
          <w:szCs w:val="22"/>
        </w:rPr>
        <w:t>维生素D、</w:t>
      </w:r>
      <w:r>
        <w:rPr>
          <w:rFonts w:ascii="宋体" w:eastAsia="宋体" w:hAnsi="宋体" w:cs="宋体"/>
          <w:spacing w:val="-51"/>
          <w:sz w:val="22"/>
          <w:szCs w:val="22"/>
        </w:rPr>
        <w:t xml:space="preserve"> </w:t>
      </w:r>
      <w:r>
        <w:rPr>
          <w:rFonts w:ascii="宋体" w:eastAsia="宋体" w:hAnsi="宋体" w:cs="宋体"/>
          <w:spacing w:val="-6"/>
          <w:sz w:val="22"/>
          <w:szCs w:val="22"/>
        </w:rPr>
        <w:t>维生素B</w:t>
      </w:r>
      <w:r>
        <w:rPr>
          <w:rFonts w:ascii="Calibri" w:eastAsia="Calibri" w:hAnsi="Calibri" w:cs="Calibri"/>
          <w:spacing w:val="-6"/>
          <w:sz w:val="22"/>
          <w:szCs w:val="22"/>
        </w:rPr>
        <w:t>₁</w:t>
      </w:r>
      <w:r>
        <w:rPr>
          <w:rFonts w:ascii="Calibri" w:eastAsia="Calibri" w:hAnsi="Calibri" w:cs="Calibri"/>
          <w:spacing w:val="-26"/>
          <w:sz w:val="22"/>
          <w:szCs w:val="22"/>
        </w:rPr>
        <w:t xml:space="preserve"> </w:t>
      </w:r>
      <w:r>
        <w:rPr>
          <w:rFonts w:ascii="宋体" w:eastAsia="宋体" w:hAnsi="宋体" w:cs="宋体"/>
          <w:spacing w:val="-6"/>
          <w:sz w:val="22"/>
          <w:szCs w:val="22"/>
        </w:rPr>
        <w:t>、维生素Bs、</w:t>
      </w:r>
      <w:r>
        <w:rPr>
          <w:rFonts w:ascii="宋体" w:eastAsia="宋体" w:hAnsi="宋体" w:cs="宋体"/>
          <w:spacing w:val="-47"/>
          <w:sz w:val="22"/>
          <w:szCs w:val="22"/>
        </w:rPr>
        <w:t xml:space="preserve"> </w:t>
      </w:r>
      <w:r>
        <w:rPr>
          <w:rFonts w:ascii="宋体" w:eastAsia="宋体" w:hAnsi="宋体" w:cs="宋体"/>
          <w:spacing w:val="-6"/>
          <w:sz w:val="22"/>
          <w:szCs w:val="22"/>
        </w:rPr>
        <w:t>叶酸、维生素C。</w:t>
      </w:r>
    </w:p>
    <w:p w:rsidR="00EA40A3" w:rsidRDefault="00E86C16">
      <w:pPr>
        <w:spacing w:before="208" w:line="222"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7"/>
          <w:sz w:val="22"/>
          <w:szCs w:val="22"/>
        </w:rPr>
        <w:t xml:space="preserve"> </w:t>
      </w:r>
      <w:r>
        <w:rPr>
          <w:rFonts w:ascii="仿宋" w:eastAsia="仿宋" w:hAnsi="仿宋" w:cs="仿宋"/>
          <w:spacing w:val="10"/>
          <w:sz w:val="22"/>
          <w:szCs w:val="22"/>
        </w:rPr>
        <w:t>育儿奶粉</w:t>
      </w:r>
    </w:p>
    <w:p w:rsidR="00EA40A3" w:rsidRDefault="00E86C16">
      <w:pPr>
        <w:spacing w:before="194" w:line="244" w:lineRule="auto"/>
        <w:ind w:right="80" w:firstLine="459"/>
        <w:jc w:val="both"/>
        <w:rPr>
          <w:rFonts w:ascii="宋体" w:eastAsia="宋体" w:hAnsi="宋体" w:cs="宋体"/>
          <w:sz w:val="22"/>
          <w:szCs w:val="22"/>
        </w:rPr>
      </w:pPr>
      <w:r>
        <w:rPr>
          <w:rFonts w:ascii="宋体" w:eastAsia="宋体" w:hAnsi="宋体" w:cs="宋体"/>
          <w:spacing w:val="-13"/>
          <w:sz w:val="22"/>
          <w:szCs w:val="22"/>
        </w:rPr>
        <w:t>育儿奶粉也是根据婴幼儿的生理特点，将牛乳进行一定的处理和强化所制成</w:t>
      </w:r>
      <w:r>
        <w:rPr>
          <w:rFonts w:ascii="宋体" w:eastAsia="宋体" w:hAnsi="宋体" w:cs="宋体"/>
          <w:spacing w:val="7"/>
          <w:sz w:val="22"/>
          <w:szCs w:val="22"/>
        </w:rPr>
        <w:t xml:space="preserve"> </w:t>
      </w:r>
      <w:r>
        <w:rPr>
          <w:rFonts w:ascii="宋体" w:eastAsia="宋体" w:hAnsi="宋体" w:cs="宋体"/>
          <w:spacing w:val="-13"/>
          <w:sz w:val="22"/>
          <w:szCs w:val="22"/>
        </w:rPr>
        <w:t>的婴幼儿食品，在强化中添加了适量的脱盐乳清粉、植物油、糖</w:t>
      </w:r>
      <w:r>
        <w:rPr>
          <w:rFonts w:ascii="宋体" w:eastAsia="宋体" w:hAnsi="宋体" w:cs="宋体"/>
          <w:spacing w:val="-14"/>
          <w:sz w:val="22"/>
          <w:szCs w:val="22"/>
        </w:rPr>
        <w:t>类，以及婴幼儿</w:t>
      </w:r>
      <w:r>
        <w:rPr>
          <w:rFonts w:ascii="宋体" w:eastAsia="宋体" w:hAnsi="宋体" w:cs="宋体"/>
          <w:sz w:val="22"/>
          <w:szCs w:val="22"/>
        </w:rPr>
        <w:t xml:space="preserve"> </w:t>
      </w:r>
      <w:r>
        <w:rPr>
          <w:rFonts w:ascii="宋体" w:eastAsia="宋体" w:hAnsi="宋体" w:cs="宋体"/>
          <w:spacing w:val="-12"/>
          <w:sz w:val="22"/>
          <w:szCs w:val="22"/>
        </w:rPr>
        <w:t>生长发育所必需的维生素、微量元素，尤其是牛磺酸和异构化乳糖，使育儿</w:t>
      </w:r>
      <w:r>
        <w:rPr>
          <w:rFonts w:ascii="宋体" w:eastAsia="宋体" w:hAnsi="宋体" w:cs="宋体"/>
          <w:spacing w:val="-13"/>
          <w:sz w:val="22"/>
          <w:szCs w:val="22"/>
        </w:rPr>
        <w:t>奶粉</w:t>
      </w:r>
      <w:r>
        <w:rPr>
          <w:rFonts w:ascii="宋体" w:eastAsia="宋体" w:hAnsi="宋体" w:cs="宋体"/>
          <w:sz w:val="22"/>
          <w:szCs w:val="22"/>
        </w:rPr>
        <w:t xml:space="preserve"> </w:t>
      </w:r>
      <w:r>
        <w:rPr>
          <w:rFonts w:ascii="宋体" w:eastAsia="宋体" w:hAnsi="宋体" w:cs="宋体"/>
          <w:spacing w:val="-15"/>
          <w:sz w:val="22"/>
          <w:szCs w:val="22"/>
        </w:rPr>
        <w:t>在营养成分组成上接近或超过婴儿配方乳粉。</w:t>
      </w:r>
    </w:p>
    <w:p w:rsidR="00EA40A3" w:rsidRDefault="00E86C16">
      <w:pPr>
        <w:spacing w:before="52" w:line="248" w:lineRule="auto"/>
        <w:ind w:right="20" w:firstLine="459"/>
        <w:jc w:val="both"/>
        <w:rPr>
          <w:rFonts w:ascii="宋体" w:eastAsia="宋体" w:hAnsi="宋体" w:cs="宋体"/>
          <w:sz w:val="22"/>
          <w:szCs w:val="22"/>
        </w:rPr>
      </w:pPr>
      <w:r>
        <w:rPr>
          <w:rFonts w:ascii="宋体" w:eastAsia="宋体" w:hAnsi="宋体" w:cs="宋体"/>
          <w:spacing w:val="-6"/>
          <w:sz w:val="22"/>
          <w:szCs w:val="22"/>
        </w:rPr>
        <w:t>牛磺酸的添加量为20mg/100g。</w:t>
      </w:r>
      <w:r>
        <w:rPr>
          <w:rFonts w:ascii="宋体" w:eastAsia="宋体" w:hAnsi="宋体" w:cs="宋体"/>
          <w:spacing w:val="9"/>
          <w:sz w:val="22"/>
          <w:szCs w:val="22"/>
        </w:rPr>
        <w:t xml:space="preserve"> </w:t>
      </w:r>
      <w:r>
        <w:rPr>
          <w:rFonts w:ascii="宋体" w:eastAsia="宋体" w:hAnsi="宋体" w:cs="宋体"/>
          <w:spacing w:val="-6"/>
          <w:sz w:val="22"/>
          <w:szCs w:val="22"/>
        </w:rPr>
        <w:t>异构化乳糖</w:t>
      </w:r>
      <w:r>
        <w:rPr>
          <w:rFonts w:ascii="宋体" w:eastAsia="宋体" w:hAnsi="宋体" w:cs="宋体"/>
          <w:spacing w:val="-7"/>
          <w:sz w:val="22"/>
          <w:szCs w:val="22"/>
        </w:rPr>
        <w:t>是以乳酮糖为主要成分，其主</w:t>
      </w:r>
      <w:r>
        <w:rPr>
          <w:rFonts w:ascii="宋体" w:eastAsia="宋体" w:hAnsi="宋体" w:cs="宋体"/>
          <w:sz w:val="22"/>
          <w:szCs w:val="22"/>
        </w:rPr>
        <w:t xml:space="preserve"> </w:t>
      </w:r>
      <w:r>
        <w:rPr>
          <w:rFonts w:ascii="宋体" w:eastAsia="宋体" w:hAnsi="宋体" w:cs="宋体"/>
          <w:spacing w:val="-6"/>
          <w:sz w:val="22"/>
          <w:szCs w:val="22"/>
        </w:rPr>
        <w:t>要生理功效是作为双歧乳酸杆菌生长的强力促进因子，与母乳中的N-乙酸氨基</w:t>
      </w:r>
      <w:r>
        <w:rPr>
          <w:rFonts w:ascii="宋体" w:eastAsia="宋体" w:hAnsi="宋体" w:cs="宋体"/>
          <w:spacing w:val="8"/>
          <w:sz w:val="22"/>
          <w:szCs w:val="22"/>
        </w:rPr>
        <w:t xml:space="preserve"> </w:t>
      </w:r>
      <w:r>
        <w:rPr>
          <w:rFonts w:ascii="宋体" w:eastAsia="宋体" w:hAnsi="宋体" w:cs="宋体"/>
          <w:spacing w:val="-10"/>
          <w:sz w:val="22"/>
          <w:szCs w:val="22"/>
        </w:rPr>
        <w:t>葡萄糖作用相同，具有保健和治疗的双重作用。食用含有异构化乳糖的食品后，</w:t>
      </w:r>
      <w:r>
        <w:rPr>
          <w:rFonts w:ascii="宋体" w:eastAsia="宋体" w:hAnsi="宋体" w:cs="宋体"/>
          <w:spacing w:val="8"/>
          <w:sz w:val="22"/>
          <w:szCs w:val="22"/>
        </w:rPr>
        <w:t xml:space="preserve"> </w:t>
      </w:r>
      <w:r>
        <w:rPr>
          <w:rFonts w:ascii="宋体" w:eastAsia="宋体" w:hAnsi="宋体" w:cs="宋体"/>
          <w:spacing w:val="-2"/>
          <w:sz w:val="22"/>
          <w:szCs w:val="22"/>
        </w:rPr>
        <w:t>可使肠道中原有的占总菌数7.5%左右的双</w:t>
      </w:r>
      <w:r>
        <w:rPr>
          <w:rFonts w:ascii="宋体" w:eastAsia="宋体" w:hAnsi="宋体" w:cs="宋体"/>
          <w:spacing w:val="-3"/>
          <w:sz w:val="22"/>
          <w:szCs w:val="22"/>
        </w:rPr>
        <w:t>歧乳酸杆菌迅速增殖到57%左右，对</w:t>
      </w:r>
      <w:r>
        <w:rPr>
          <w:rFonts w:ascii="宋体" w:eastAsia="宋体" w:hAnsi="宋体" w:cs="宋体"/>
          <w:sz w:val="22"/>
          <w:szCs w:val="22"/>
        </w:rPr>
        <w:t xml:space="preserve"> </w:t>
      </w:r>
      <w:r>
        <w:rPr>
          <w:rFonts w:ascii="宋体" w:eastAsia="宋体" w:hAnsi="宋体" w:cs="宋体"/>
          <w:spacing w:val="-6"/>
          <w:sz w:val="22"/>
          <w:szCs w:val="22"/>
        </w:rPr>
        <w:t>婴幼儿机体有益处。异构化乳糖的最适宜用量，婴幼儿每人每天为0.5～1.</w:t>
      </w:r>
      <w:r>
        <w:rPr>
          <w:rFonts w:ascii="宋体" w:eastAsia="宋体" w:hAnsi="宋体" w:cs="宋体"/>
          <w:spacing w:val="-7"/>
          <w:sz w:val="22"/>
          <w:szCs w:val="22"/>
        </w:rPr>
        <w:t>5g。</w:t>
      </w:r>
      <w:r>
        <w:rPr>
          <w:rFonts w:ascii="宋体" w:eastAsia="宋体" w:hAnsi="宋体" w:cs="宋体"/>
          <w:sz w:val="22"/>
          <w:szCs w:val="22"/>
        </w:rPr>
        <w:t xml:space="preserve"> 在配方设计中异构化乳糖的添加量为0.7%～1.2%(以乳酮糖</w:t>
      </w:r>
      <w:r>
        <w:rPr>
          <w:rFonts w:ascii="宋体" w:eastAsia="宋体" w:hAnsi="宋体" w:cs="宋体"/>
          <w:spacing w:val="-1"/>
          <w:sz w:val="22"/>
          <w:szCs w:val="22"/>
        </w:rPr>
        <w:t>计)。育儿奶粉主</w:t>
      </w:r>
      <w:r>
        <w:rPr>
          <w:rFonts w:ascii="宋体" w:eastAsia="宋体" w:hAnsi="宋体" w:cs="宋体"/>
          <w:sz w:val="22"/>
          <w:szCs w:val="22"/>
        </w:rPr>
        <w:t xml:space="preserve">  </w:t>
      </w:r>
      <w:r>
        <w:rPr>
          <w:rFonts w:ascii="宋体" w:eastAsia="宋体" w:hAnsi="宋体" w:cs="宋体"/>
          <w:spacing w:val="-9"/>
          <w:sz w:val="22"/>
          <w:szCs w:val="22"/>
        </w:rPr>
        <w:t>要营养成分设计见表8-3。</w:t>
      </w:r>
    </w:p>
    <w:p w:rsidR="00EA40A3" w:rsidRDefault="00EA40A3">
      <w:pPr>
        <w:sectPr w:rsidR="00EA40A3">
          <w:footerReference w:type="default" r:id="rId232"/>
          <w:pgSz w:w="9220" w:h="13360"/>
          <w:pgMar w:top="400" w:right="979" w:bottom="1246" w:left="860" w:header="0" w:footer="1025" w:gutter="0"/>
          <w:cols w:space="720"/>
        </w:sectPr>
      </w:pPr>
    </w:p>
    <w:p w:rsidR="00EA40A3" w:rsidRDefault="00EA40A3">
      <w:pPr>
        <w:spacing w:line="291" w:lineRule="auto"/>
      </w:pPr>
    </w:p>
    <w:p w:rsidR="00EA40A3" w:rsidRDefault="00EA40A3">
      <w:pPr>
        <w:spacing w:line="292" w:lineRule="auto"/>
      </w:pPr>
    </w:p>
    <w:p w:rsidR="00EA40A3" w:rsidRDefault="00E86C16">
      <w:pPr>
        <w:spacing w:before="56" w:line="220" w:lineRule="auto"/>
        <w:ind w:left="2292"/>
        <w:rPr>
          <w:rFonts w:ascii="黑体" w:eastAsia="黑体" w:hAnsi="黑体" w:cs="黑体"/>
          <w:sz w:val="17"/>
          <w:szCs w:val="17"/>
        </w:rPr>
      </w:pPr>
      <w:r>
        <w:rPr>
          <w:rFonts w:ascii="黑体" w:eastAsia="黑体" w:hAnsi="黑体" w:cs="黑体"/>
          <w:b/>
          <w:bCs/>
          <w:spacing w:val="7"/>
          <w:sz w:val="17"/>
          <w:szCs w:val="17"/>
        </w:rPr>
        <w:t>表8-3</w:t>
      </w:r>
      <w:r>
        <w:rPr>
          <w:rFonts w:ascii="黑体" w:eastAsia="黑体" w:hAnsi="黑体" w:cs="黑体"/>
          <w:spacing w:val="73"/>
          <w:sz w:val="17"/>
          <w:szCs w:val="17"/>
        </w:rPr>
        <w:t xml:space="preserve"> </w:t>
      </w:r>
      <w:r>
        <w:rPr>
          <w:rFonts w:ascii="黑体" w:eastAsia="黑体" w:hAnsi="黑体" w:cs="黑体"/>
          <w:b/>
          <w:bCs/>
          <w:spacing w:val="7"/>
          <w:sz w:val="17"/>
          <w:szCs w:val="17"/>
        </w:rPr>
        <w:t>育儿奶粉主要营养成分的设计</w:t>
      </w:r>
    </w:p>
    <w:p w:rsidR="00EA40A3" w:rsidRDefault="00EA40A3">
      <w:pPr>
        <w:spacing w:line="69" w:lineRule="exact"/>
      </w:pPr>
    </w:p>
    <w:tbl>
      <w:tblPr>
        <w:tblStyle w:val="TableNormal"/>
        <w:tblW w:w="7250" w:type="dxa"/>
        <w:tblInd w:w="11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593"/>
        <w:gridCol w:w="2327"/>
        <w:gridCol w:w="1600"/>
        <w:gridCol w:w="1730"/>
      </w:tblGrid>
      <w:tr w:rsidR="00EA40A3">
        <w:trPr>
          <w:trHeight w:val="254"/>
        </w:trPr>
        <w:tc>
          <w:tcPr>
            <w:tcW w:w="1593" w:type="dxa"/>
            <w:tcBorders>
              <w:top w:val="single" w:sz="4" w:space="0" w:color="000000"/>
              <w:bottom w:val="single" w:sz="4" w:space="0" w:color="000000"/>
            </w:tcBorders>
          </w:tcPr>
          <w:p w:rsidR="00EA40A3" w:rsidRDefault="00E86C16">
            <w:pPr>
              <w:spacing w:before="51" w:line="219" w:lineRule="auto"/>
              <w:ind w:left="450"/>
              <w:rPr>
                <w:rFonts w:ascii="宋体" w:eastAsia="宋体" w:hAnsi="宋体" w:cs="宋体"/>
                <w:sz w:val="16"/>
                <w:szCs w:val="16"/>
              </w:rPr>
            </w:pPr>
            <w:r>
              <w:rPr>
                <w:rFonts w:ascii="宋体" w:eastAsia="宋体" w:hAnsi="宋体" w:cs="宋体"/>
                <w:spacing w:val="-3"/>
                <w:sz w:val="16"/>
                <w:szCs w:val="16"/>
              </w:rPr>
              <w:t>营养成分</w:t>
            </w:r>
          </w:p>
        </w:tc>
        <w:tc>
          <w:tcPr>
            <w:tcW w:w="2327" w:type="dxa"/>
            <w:tcBorders>
              <w:top w:val="single" w:sz="4" w:space="0" w:color="000000"/>
              <w:bottom w:val="single" w:sz="4" w:space="0" w:color="000000"/>
              <w:right w:val="single" w:sz="4" w:space="0" w:color="000000"/>
            </w:tcBorders>
          </w:tcPr>
          <w:p w:rsidR="00EA40A3" w:rsidRDefault="00E86C16">
            <w:pPr>
              <w:spacing w:before="56" w:line="214" w:lineRule="auto"/>
              <w:ind w:left="577"/>
              <w:rPr>
                <w:rFonts w:ascii="宋体" w:eastAsia="宋体" w:hAnsi="宋体" w:cs="宋体"/>
                <w:sz w:val="16"/>
                <w:szCs w:val="16"/>
              </w:rPr>
            </w:pPr>
            <w:r>
              <w:rPr>
                <w:rFonts w:ascii="宋体" w:eastAsia="宋体" w:hAnsi="宋体" w:cs="宋体"/>
                <w:spacing w:val="3"/>
                <w:sz w:val="16"/>
                <w:szCs w:val="16"/>
              </w:rPr>
              <w:t>含量/(</w:t>
            </w:r>
            <w:r>
              <w:rPr>
                <w:rFonts w:ascii="宋体" w:eastAsia="宋体" w:hAnsi="宋体" w:cs="宋体"/>
                <w:sz w:val="16"/>
                <w:szCs w:val="16"/>
              </w:rPr>
              <w:t>mg</w:t>
            </w:r>
            <w:r>
              <w:rPr>
                <w:rFonts w:ascii="宋体" w:eastAsia="宋体" w:hAnsi="宋体" w:cs="宋体"/>
                <w:spacing w:val="3"/>
                <w:sz w:val="16"/>
                <w:szCs w:val="16"/>
              </w:rPr>
              <w:t>/100g)</w:t>
            </w:r>
          </w:p>
        </w:tc>
        <w:tc>
          <w:tcPr>
            <w:tcW w:w="1600" w:type="dxa"/>
            <w:tcBorders>
              <w:top w:val="single" w:sz="4" w:space="0" w:color="000000"/>
              <w:left w:val="single" w:sz="4" w:space="0" w:color="000000"/>
              <w:bottom w:val="single" w:sz="4" w:space="0" w:color="000000"/>
            </w:tcBorders>
          </w:tcPr>
          <w:p w:rsidR="00EA40A3" w:rsidRDefault="00E86C16">
            <w:pPr>
              <w:spacing w:before="41" w:line="219" w:lineRule="auto"/>
              <w:ind w:left="485"/>
              <w:rPr>
                <w:rFonts w:ascii="宋体" w:eastAsia="宋体" w:hAnsi="宋体" w:cs="宋体"/>
                <w:sz w:val="16"/>
                <w:szCs w:val="16"/>
              </w:rPr>
            </w:pPr>
            <w:r>
              <w:rPr>
                <w:rFonts w:ascii="宋体" w:eastAsia="宋体" w:hAnsi="宋体" w:cs="宋体"/>
                <w:spacing w:val="-3"/>
                <w:sz w:val="16"/>
                <w:szCs w:val="16"/>
              </w:rPr>
              <w:t>营养成分</w:t>
            </w:r>
          </w:p>
        </w:tc>
        <w:tc>
          <w:tcPr>
            <w:tcW w:w="1730" w:type="dxa"/>
            <w:tcBorders>
              <w:top w:val="single" w:sz="4" w:space="0" w:color="000000"/>
              <w:bottom w:val="single" w:sz="4" w:space="0" w:color="000000"/>
            </w:tcBorders>
          </w:tcPr>
          <w:p w:rsidR="00EA40A3" w:rsidRDefault="00E86C16">
            <w:pPr>
              <w:spacing w:before="26" w:line="214" w:lineRule="auto"/>
              <w:ind w:left="309"/>
              <w:rPr>
                <w:rFonts w:ascii="宋体" w:eastAsia="宋体" w:hAnsi="宋体" w:cs="宋体"/>
                <w:sz w:val="16"/>
                <w:szCs w:val="16"/>
              </w:rPr>
            </w:pPr>
            <w:r>
              <w:rPr>
                <w:rFonts w:ascii="宋体" w:eastAsia="宋体" w:hAnsi="宋体" w:cs="宋体"/>
                <w:spacing w:val="3"/>
                <w:sz w:val="16"/>
                <w:szCs w:val="16"/>
              </w:rPr>
              <w:t>含量/(</w:t>
            </w:r>
            <w:r>
              <w:rPr>
                <w:rFonts w:ascii="宋体" w:eastAsia="宋体" w:hAnsi="宋体" w:cs="宋体"/>
                <w:sz w:val="16"/>
                <w:szCs w:val="16"/>
              </w:rPr>
              <w:t>mg</w:t>
            </w:r>
            <w:r>
              <w:rPr>
                <w:rFonts w:ascii="宋体" w:eastAsia="宋体" w:hAnsi="宋体" w:cs="宋体"/>
                <w:spacing w:val="3"/>
                <w:sz w:val="16"/>
                <w:szCs w:val="16"/>
              </w:rPr>
              <w:t>/100g)</w:t>
            </w:r>
          </w:p>
        </w:tc>
      </w:tr>
      <w:tr w:rsidR="00EA40A3">
        <w:trPr>
          <w:trHeight w:val="251"/>
        </w:trPr>
        <w:tc>
          <w:tcPr>
            <w:tcW w:w="1593" w:type="dxa"/>
            <w:tcBorders>
              <w:top w:val="single" w:sz="4" w:space="0" w:color="000000"/>
            </w:tcBorders>
          </w:tcPr>
          <w:p w:rsidR="00EA40A3" w:rsidRDefault="00E86C16">
            <w:pPr>
              <w:spacing w:before="58" w:line="220" w:lineRule="auto"/>
              <w:ind w:left="540"/>
              <w:rPr>
                <w:rFonts w:ascii="宋体" w:eastAsia="宋体" w:hAnsi="宋体" w:cs="宋体"/>
                <w:sz w:val="16"/>
                <w:szCs w:val="16"/>
              </w:rPr>
            </w:pPr>
            <w:r>
              <w:rPr>
                <w:rFonts w:ascii="宋体" w:eastAsia="宋体" w:hAnsi="宋体" w:cs="宋体"/>
                <w:spacing w:val="6"/>
                <w:sz w:val="16"/>
                <w:szCs w:val="16"/>
              </w:rPr>
              <w:t>蛋白质</w:t>
            </w:r>
          </w:p>
        </w:tc>
        <w:tc>
          <w:tcPr>
            <w:tcW w:w="2327" w:type="dxa"/>
            <w:tcBorders>
              <w:top w:val="single" w:sz="4" w:space="0" w:color="000000"/>
              <w:right w:val="single" w:sz="4" w:space="0" w:color="000000"/>
            </w:tcBorders>
          </w:tcPr>
          <w:p w:rsidR="00EA40A3" w:rsidRDefault="00E86C16">
            <w:pPr>
              <w:spacing w:before="98" w:line="176" w:lineRule="auto"/>
              <w:ind w:left="626"/>
              <w:rPr>
                <w:rFonts w:ascii="宋体" w:eastAsia="宋体" w:hAnsi="宋体" w:cs="宋体"/>
                <w:sz w:val="16"/>
                <w:szCs w:val="16"/>
              </w:rPr>
            </w:pPr>
            <w:r>
              <w:rPr>
                <w:rFonts w:ascii="宋体" w:eastAsia="宋体" w:hAnsi="宋体" w:cs="宋体"/>
                <w:spacing w:val="-2"/>
                <w:sz w:val="16"/>
                <w:szCs w:val="16"/>
              </w:rPr>
              <w:t>15000～20000</w:t>
            </w:r>
          </w:p>
        </w:tc>
        <w:tc>
          <w:tcPr>
            <w:tcW w:w="1600" w:type="dxa"/>
            <w:tcBorders>
              <w:top w:val="single" w:sz="4" w:space="0" w:color="000000"/>
              <w:left w:val="single" w:sz="4" w:space="0" w:color="000000"/>
            </w:tcBorders>
          </w:tcPr>
          <w:p w:rsidR="00EA40A3" w:rsidRDefault="00E86C16">
            <w:pPr>
              <w:spacing w:before="38" w:line="221" w:lineRule="auto"/>
              <w:ind w:left="565"/>
              <w:rPr>
                <w:rFonts w:ascii="宋体" w:eastAsia="宋体" w:hAnsi="宋体" w:cs="宋体"/>
                <w:sz w:val="16"/>
                <w:szCs w:val="16"/>
              </w:rPr>
            </w:pPr>
            <w:r>
              <w:rPr>
                <w:rFonts w:ascii="宋体" w:eastAsia="宋体" w:hAnsi="宋体" w:cs="宋体"/>
                <w:spacing w:val="-3"/>
                <w:sz w:val="16"/>
                <w:szCs w:val="16"/>
              </w:rPr>
              <w:t>牛磺酸</w:t>
            </w:r>
          </w:p>
        </w:tc>
        <w:tc>
          <w:tcPr>
            <w:tcW w:w="1730" w:type="dxa"/>
            <w:tcBorders>
              <w:top w:val="single" w:sz="4" w:space="0" w:color="000000"/>
            </w:tcBorders>
          </w:tcPr>
          <w:p w:rsidR="00EA40A3" w:rsidRDefault="00E86C16">
            <w:pPr>
              <w:spacing w:before="68" w:line="183" w:lineRule="auto"/>
              <w:ind w:left="610"/>
              <w:rPr>
                <w:rFonts w:ascii="宋体" w:eastAsia="宋体" w:hAnsi="宋体" w:cs="宋体"/>
                <w:sz w:val="16"/>
                <w:szCs w:val="16"/>
              </w:rPr>
            </w:pPr>
            <w:r>
              <w:rPr>
                <w:rFonts w:ascii="宋体" w:eastAsia="宋体" w:hAnsi="宋体" w:cs="宋体"/>
                <w:spacing w:val="-2"/>
                <w:sz w:val="16"/>
                <w:szCs w:val="16"/>
              </w:rPr>
              <w:t>20～40</w:t>
            </w:r>
          </w:p>
        </w:tc>
      </w:tr>
      <w:tr w:rsidR="00EA40A3">
        <w:trPr>
          <w:trHeight w:val="248"/>
        </w:trPr>
        <w:tc>
          <w:tcPr>
            <w:tcW w:w="1593" w:type="dxa"/>
          </w:tcPr>
          <w:p w:rsidR="00EA40A3" w:rsidRDefault="00E86C16">
            <w:pPr>
              <w:spacing w:before="37" w:line="220" w:lineRule="auto"/>
              <w:ind w:left="620"/>
              <w:rPr>
                <w:rFonts w:ascii="宋体" w:eastAsia="宋体" w:hAnsi="宋体" w:cs="宋体"/>
                <w:sz w:val="16"/>
                <w:szCs w:val="16"/>
              </w:rPr>
            </w:pPr>
            <w:r>
              <w:rPr>
                <w:rFonts w:ascii="宋体" w:eastAsia="宋体" w:hAnsi="宋体" w:cs="宋体"/>
                <w:spacing w:val="-2"/>
                <w:sz w:val="16"/>
                <w:szCs w:val="16"/>
              </w:rPr>
              <w:t>脂肪</w:t>
            </w:r>
          </w:p>
        </w:tc>
        <w:tc>
          <w:tcPr>
            <w:tcW w:w="2327" w:type="dxa"/>
            <w:tcBorders>
              <w:right w:val="single" w:sz="4" w:space="0" w:color="000000"/>
            </w:tcBorders>
          </w:tcPr>
          <w:p w:rsidR="00EA40A3" w:rsidRDefault="00E86C16">
            <w:pPr>
              <w:spacing w:before="98" w:line="173" w:lineRule="auto"/>
              <w:ind w:left="637"/>
              <w:rPr>
                <w:rFonts w:ascii="宋体" w:eastAsia="宋体" w:hAnsi="宋体" w:cs="宋体"/>
                <w:sz w:val="16"/>
                <w:szCs w:val="16"/>
              </w:rPr>
            </w:pPr>
            <w:r>
              <w:rPr>
                <w:rFonts w:ascii="宋体" w:eastAsia="宋体" w:hAnsi="宋体" w:cs="宋体"/>
                <w:spacing w:val="-1"/>
                <w:sz w:val="16"/>
                <w:szCs w:val="16"/>
              </w:rPr>
              <w:t>20000～30000</w:t>
            </w:r>
          </w:p>
        </w:tc>
        <w:tc>
          <w:tcPr>
            <w:tcW w:w="1600" w:type="dxa"/>
            <w:tcBorders>
              <w:left w:val="single" w:sz="4" w:space="0" w:color="000000"/>
            </w:tcBorders>
          </w:tcPr>
          <w:p w:rsidR="00EA40A3" w:rsidRDefault="00E86C16">
            <w:pPr>
              <w:spacing w:before="46" w:line="219" w:lineRule="auto"/>
              <w:ind w:left="404"/>
              <w:rPr>
                <w:rFonts w:ascii="宋体" w:eastAsia="宋体" w:hAnsi="宋体" w:cs="宋体"/>
                <w:sz w:val="16"/>
                <w:szCs w:val="16"/>
              </w:rPr>
            </w:pPr>
            <w:r>
              <w:rPr>
                <w:rFonts w:ascii="宋体" w:eastAsia="宋体" w:hAnsi="宋体" w:cs="宋体"/>
                <w:spacing w:val="-2"/>
                <w:sz w:val="16"/>
                <w:szCs w:val="16"/>
              </w:rPr>
              <w:t>异权化乳糖</w:t>
            </w:r>
          </w:p>
        </w:tc>
        <w:tc>
          <w:tcPr>
            <w:tcW w:w="1730" w:type="dxa"/>
          </w:tcPr>
          <w:p w:rsidR="00EA40A3" w:rsidRDefault="00E86C16">
            <w:pPr>
              <w:spacing w:before="77" w:line="184" w:lineRule="auto"/>
              <w:ind w:left="520"/>
              <w:rPr>
                <w:rFonts w:ascii="宋体" w:eastAsia="宋体" w:hAnsi="宋体" w:cs="宋体"/>
                <w:sz w:val="16"/>
                <w:szCs w:val="16"/>
              </w:rPr>
            </w:pPr>
            <w:r>
              <w:rPr>
                <w:rFonts w:ascii="宋体" w:eastAsia="宋体" w:hAnsi="宋体" w:cs="宋体"/>
                <w:spacing w:val="-2"/>
                <w:sz w:val="16"/>
                <w:szCs w:val="16"/>
              </w:rPr>
              <w:t>700～1200</w:t>
            </w:r>
          </w:p>
        </w:tc>
      </w:tr>
      <w:tr w:rsidR="00EA40A3">
        <w:trPr>
          <w:trHeight w:val="244"/>
        </w:trPr>
        <w:tc>
          <w:tcPr>
            <w:tcW w:w="1593" w:type="dxa"/>
          </w:tcPr>
          <w:p w:rsidR="00EA40A3" w:rsidRDefault="00E86C16">
            <w:pPr>
              <w:spacing w:before="48" w:line="219" w:lineRule="auto"/>
              <w:ind w:left="450"/>
              <w:rPr>
                <w:rFonts w:ascii="宋体" w:eastAsia="宋体" w:hAnsi="宋体" w:cs="宋体"/>
                <w:sz w:val="16"/>
                <w:szCs w:val="16"/>
              </w:rPr>
            </w:pPr>
            <w:r>
              <w:rPr>
                <w:rFonts w:ascii="宋体" w:eastAsia="宋体" w:hAnsi="宋体" w:cs="宋体"/>
                <w:spacing w:val="-1"/>
                <w:sz w:val="16"/>
                <w:szCs w:val="16"/>
              </w:rPr>
              <w:t>碳水化合物</w:t>
            </w:r>
          </w:p>
        </w:tc>
        <w:tc>
          <w:tcPr>
            <w:tcW w:w="2327" w:type="dxa"/>
            <w:tcBorders>
              <w:right w:val="single" w:sz="4" w:space="0" w:color="000000"/>
            </w:tcBorders>
          </w:tcPr>
          <w:p w:rsidR="00EA40A3" w:rsidRDefault="00E86C16">
            <w:pPr>
              <w:spacing w:before="100" w:line="166" w:lineRule="auto"/>
              <w:ind w:left="586"/>
              <w:rPr>
                <w:rFonts w:ascii="宋体" w:eastAsia="宋体" w:hAnsi="宋体" w:cs="宋体"/>
                <w:sz w:val="16"/>
                <w:szCs w:val="16"/>
              </w:rPr>
            </w:pPr>
            <w:r>
              <w:rPr>
                <w:rFonts w:ascii="宋体" w:eastAsia="宋体" w:hAnsi="宋体" w:cs="宋体"/>
                <w:spacing w:val="-1"/>
                <w:sz w:val="16"/>
                <w:szCs w:val="16"/>
              </w:rPr>
              <w:t>45000～255000</w:t>
            </w:r>
          </w:p>
        </w:tc>
        <w:tc>
          <w:tcPr>
            <w:tcW w:w="1600" w:type="dxa"/>
            <w:tcBorders>
              <w:left w:val="single" w:sz="4" w:space="0" w:color="000000"/>
            </w:tcBorders>
          </w:tcPr>
          <w:p w:rsidR="00EA40A3" w:rsidRDefault="00E86C16">
            <w:pPr>
              <w:spacing w:before="39" w:line="220" w:lineRule="auto"/>
              <w:ind w:left="325"/>
              <w:rPr>
                <w:rFonts w:ascii="宋体" w:eastAsia="宋体" w:hAnsi="宋体" w:cs="宋体"/>
                <w:sz w:val="16"/>
                <w:szCs w:val="16"/>
              </w:rPr>
            </w:pPr>
            <w:r>
              <w:rPr>
                <w:rFonts w:ascii="宋体" w:eastAsia="宋体" w:hAnsi="宋体" w:cs="宋体"/>
                <w:spacing w:val="5"/>
                <w:sz w:val="16"/>
                <w:szCs w:val="16"/>
              </w:rPr>
              <w:t>(以乳酮糖计)</w:t>
            </w:r>
          </w:p>
        </w:tc>
        <w:tc>
          <w:tcPr>
            <w:tcW w:w="1730" w:type="dxa"/>
          </w:tcPr>
          <w:p w:rsidR="00EA40A3" w:rsidRDefault="00EA40A3"/>
        </w:tc>
      </w:tr>
      <w:tr w:rsidR="00EA40A3">
        <w:trPr>
          <w:trHeight w:val="245"/>
        </w:trPr>
        <w:tc>
          <w:tcPr>
            <w:tcW w:w="1593" w:type="dxa"/>
          </w:tcPr>
          <w:p w:rsidR="00EA40A3" w:rsidRDefault="00E86C16">
            <w:pPr>
              <w:spacing w:before="34" w:line="219" w:lineRule="auto"/>
              <w:ind w:left="620"/>
              <w:rPr>
                <w:rFonts w:ascii="宋体" w:eastAsia="宋体" w:hAnsi="宋体" w:cs="宋体"/>
                <w:sz w:val="16"/>
                <w:szCs w:val="16"/>
              </w:rPr>
            </w:pPr>
            <w:r>
              <w:rPr>
                <w:rFonts w:ascii="宋体" w:eastAsia="宋体" w:hAnsi="宋体" w:cs="宋体"/>
                <w:spacing w:val="-2"/>
                <w:sz w:val="16"/>
                <w:szCs w:val="16"/>
              </w:rPr>
              <w:t>灰分</w:t>
            </w:r>
          </w:p>
        </w:tc>
        <w:tc>
          <w:tcPr>
            <w:tcW w:w="2327" w:type="dxa"/>
            <w:tcBorders>
              <w:right w:val="single" w:sz="4" w:space="0" w:color="000000"/>
            </w:tcBorders>
          </w:tcPr>
          <w:p w:rsidR="00EA40A3" w:rsidRDefault="00E86C16">
            <w:pPr>
              <w:spacing w:before="95" w:line="172" w:lineRule="auto"/>
              <w:ind w:left="767"/>
              <w:rPr>
                <w:rFonts w:ascii="宋体" w:eastAsia="宋体" w:hAnsi="宋体" w:cs="宋体"/>
                <w:sz w:val="16"/>
                <w:szCs w:val="16"/>
              </w:rPr>
            </w:pPr>
            <w:r>
              <w:rPr>
                <w:rFonts w:ascii="宋体" w:eastAsia="宋体" w:hAnsi="宋体" w:cs="宋体"/>
                <w:spacing w:val="-1"/>
                <w:sz w:val="16"/>
                <w:szCs w:val="16"/>
              </w:rPr>
              <w:t>2500～3500</w:t>
            </w:r>
          </w:p>
        </w:tc>
        <w:tc>
          <w:tcPr>
            <w:tcW w:w="1600" w:type="dxa"/>
            <w:tcBorders>
              <w:left w:val="single" w:sz="4" w:space="0" w:color="000000"/>
            </w:tcBorders>
          </w:tcPr>
          <w:p w:rsidR="00EA40A3" w:rsidRDefault="00E86C16">
            <w:pPr>
              <w:spacing w:before="55" w:line="219" w:lineRule="auto"/>
              <w:ind w:left="684"/>
              <w:rPr>
                <w:rFonts w:ascii="宋体" w:eastAsia="宋体" w:hAnsi="宋体" w:cs="宋体"/>
                <w:sz w:val="16"/>
                <w:szCs w:val="16"/>
              </w:rPr>
            </w:pPr>
            <w:r>
              <w:rPr>
                <w:rFonts w:ascii="宋体" w:eastAsia="宋体" w:hAnsi="宋体" w:cs="宋体"/>
                <w:sz w:val="16"/>
                <w:szCs w:val="16"/>
              </w:rPr>
              <w:t>钾</w:t>
            </w:r>
          </w:p>
        </w:tc>
        <w:tc>
          <w:tcPr>
            <w:tcW w:w="1730" w:type="dxa"/>
          </w:tcPr>
          <w:p w:rsidR="00EA40A3" w:rsidRDefault="00E86C16">
            <w:pPr>
              <w:spacing w:before="74" w:line="184" w:lineRule="auto"/>
              <w:ind w:left="520"/>
              <w:rPr>
                <w:rFonts w:ascii="宋体" w:eastAsia="宋体" w:hAnsi="宋体" w:cs="宋体"/>
                <w:sz w:val="16"/>
                <w:szCs w:val="16"/>
              </w:rPr>
            </w:pPr>
            <w:r>
              <w:rPr>
                <w:rFonts w:ascii="宋体" w:eastAsia="宋体" w:hAnsi="宋体" w:cs="宋体"/>
                <w:spacing w:val="-1"/>
                <w:sz w:val="16"/>
                <w:szCs w:val="16"/>
              </w:rPr>
              <w:t>400～1000</w:t>
            </w:r>
          </w:p>
        </w:tc>
      </w:tr>
      <w:tr w:rsidR="00EA40A3">
        <w:trPr>
          <w:trHeight w:val="247"/>
        </w:trPr>
        <w:tc>
          <w:tcPr>
            <w:tcW w:w="1593" w:type="dxa"/>
          </w:tcPr>
          <w:p w:rsidR="00EA40A3" w:rsidRDefault="00E86C16">
            <w:pPr>
              <w:spacing w:before="39" w:line="219" w:lineRule="auto"/>
              <w:ind w:left="630"/>
              <w:rPr>
                <w:rFonts w:ascii="宋体" w:eastAsia="宋体" w:hAnsi="宋体" w:cs="宋体"/>
                <w:sz w:val="16"/>
                <w:szCs w:val="16"/>
              </w:rPr>
            </w:pPr>
            <w:r>
              <w:rPr>
                <w:rFonts w:ascii="宋体" w:eastAsia="宋体" w:hAnsi="宋体" w:cs="宋体"/>
                <w:spacing w:val="-3"/>
                <w:sz w:val="16"/>
                <w:szCs w:val="16"/>
              </w:rPr>
              <w:t>水分</w:t>
            </w:r>
          </w:p>
        </w:tc>
        <w:tc>
          <w:tcPr>
            <w:tcW w:w="2327" w:type="dxa"/>
            <w:tcBorders>
              <w:right w:val="single" w:sz="4" w:space="0" w:color="000000"/>
            </w:tcBorders>
          </w:tcPr>
          <w:p w:rsidR="00EA40A3" w:rsidRDefault="00E86C16">
            <w:pPr>
              <w:spacing w:before="100" w:line="169" w:lineRule="auto"/>
              <w:ind w:left="756"/>
              <w:rPr>
                <w:rFonts w:ascii="宋体" w:eastAsia="宋体" w:hAnsi="宋体" w:cs="宋体"/>
                <w:sz w:val="16"/>
                <w:szCs w:val="16"/>
              </w:rPr>
            </w:pPr>
            <w:r>
              <w:rPr>
                <w:rFonts w:ascii="宋体" w:eastAsia="宋体" w:hAnsi="宋体" w:cs="宋体"/>
                <w:spacing w:val="-1"/>
                <w:sz w:val="16"/>
                <w:szCs w:val="16"/>
              </w:rPr>
              <w:t>2000～3000</w:t>
            </w:r>
          </w:p>
        </w:tc>
        <w:tc>
          <w:tcPr>
            <w:tcW w:w="1600" w:type="dxa"/>
            <w:tcBorders>
              <w:left w:val="single" w:sz="4" w:space="0" w:color="000000"/>
            </w:tcBorders>
          </w:tcPr>
          <w:p w:rsidR="00EA40A3" w:rsidRDefault="00E86C16">
            <w:pPr>
              <w:spacing w:before="50" w:line="221" w:lineRule="auto"/>
              <w:ind w:left="684"/>
              <w:rPr>
                <w:rFonts w:ascii="宋体" w:eastAsia="宋体" w:hAnsi="宋体" w:cs="宋体"/>
                <w:sz w:val="16"/>
                <w:szCs w:val="16"/>
              </w:rPr>
            </w:pPr>
            <w:r>
              <w:rPr>
                <w:rFonts w:ascii="宋体" w:eastAsia="宋体" w:hAnsi="宋体" w:cs="宋体"/>
                <w:sz w:val="16"/>
                <w:szCs w:val="16"/>
              </w:rPr>
              <w:t>钠</w:t>
            </w:r>
          </w:p>
        </w:tc>
        <w:tc>
          <w:tcPr>
            <w:tcW w:w="1730" w:type="dxa"/>
          </w:tcPr>
          <w:p w:rsidR="00EA40A3" w:rsidRDefault="00E86C16">
            <w:pPr>
              <w:spacing w:before="100" w:line="169" w:lineRule="auto"/>
              <w:ind w:left="580"/>
              <w:rPr>
                <w:rFonts w:ascii="宋体" w:eastAsia="宋体" w:hAnsi="宋体" w:cs="宋体"/>
                <w:sz w:val="16"/>
                <w:szCs w:val="16"/>
              </w:rPr>
            </w:pPr>
            <w:r>
              <w:rPr>
                <w:rFonts w:ascii="宋体" w:eastAsia="宋体" w:hAnsi="宋体" w:cs="宋体"/>
                <w:spacing w:val="-3"/>
                <w:sz w:val="16"/>
                <w:szCs w:val="16"/>
              </w:rPr>
              <w:t>100～300</w:t>
            </w:r>
          </w:p>
        </w:tc>
      </w:tr>
      <w:tr w:rsidR="00EA40A3">
        <w:trPr>
          <w:trHeight w:val="246"/>
        </w:trPr>
        <w:tc>
          <w:tcPr>
            <w:tcW w:w="1593" w:type="dxa"/>
          </w:tcPr>
          <w:p w:rsidR="00EA40A3" w:rsidRDefault="00E86C16">
            <w:pPr>
              <w:spacing w:before="52" w:line="219" w:lineRule="auto"/>
              <w:ind w:left="450"/>
              <w:rPr>
                <w:rFonts w:ascii="宋体" w:eastAsia="宋体" w:hAnsi="宋体" w:cs="宋体"/>
                <w:sz w:val="16"/>
                <w:szCs w:val="16"/>
              </w:rPr>
            </w:pPr>
            <w:r>
              <w:rPr>
                <w:rFonts w:ascii="宋体" w:eastAsia="宋体" w:hAnsi="宋体" w:cs="宋体"/>
                <w:spacing w:val="-2"/>
                <w:sz w:val="16"/>
                <w:szCs w:val="16"/>
              </w:rPr>
              <w:t>维生素A</w:t>
            </w:r>
          </w:p>
        </w:tc>
        <w:tc>
          <w:tcPr>
            <w:tcW w:w="2327" w:type="dxa"/>
            <w:tcBorders>
              <w:right w:val="single" w:sz="4" w:space="0" w:color="000000"/>
            </w:tcBorders>
          </w:tcPr>
          <w:p w:rsidR="00EA40A3" w:rsidRDefault="00E86C16">
            <w:pPr>
              <w:spacing w:before="37" w:line="214" w:lineRule="auto"/>
              <w:ind w:left="357"/>
              <w:rPr>
                <w:rFonts w:ascii="宋体" w:eastAsia="宋体" w:hAnsi="宋体" w:cs="宋体"/>
                <w:sz w:val="16"/>
                <w:szCs w:val="16"/>
              </w:rPr>
            </w:pPr>
            <w:r>
              <w:rPr>
                <w:rFonts w:ascii="宋体" w:eastAsia="宋体" w:hAnsi="宋体" w:cs="宋体"/>
                <w:spacing w:val="-2"/>
                <w:sz w:val="16"/>
                <w:szCs w:val="16"/>
              </w:rPr>
              <w:t>1700～2000(IU/100g</w:t>
            </w:r>
          </w:p>
        </w:tc>
        <w:tc>
          <w:tcPr>
            <w:tcW w:w="1600" w:type="dxa"/>
            <w:tcBorders>
              <w:left w:val="single" w:sz="4" w:space="0" w:color="000000"/>
            </w:tcBorders>
          </w:tcPr>
          <w:p w:rsidR="00EA40A3" w:rsidRDefault="00E86C16">
            <w:pPr>
              <w:spacing w:before="53" w:line="221" w:lineRule="auto"/>
              <w:ind w:left="684"/>
              <w:rPr>
                <w:rFonts w:ascii="宋体" w:eastAsia="宋体" w:hAnsi="宋体" w:cs="宋体"/>
                <w:sz w:val="16"/>
                <w:szCs w:val="16"/>
              </w:rPr>
            </w:pPr>
            <w:r>
              <w:rPr>
                <w:rFonts w:ascii="宋体" w:eastAsia="宋体" w:hAnsi="宋体" w:cs="宋体"/>
                <w:sz w:val="16"/>
                <w:szCs w:val="16"/>
              </w:rPr>
              <w:t>氯</w:t>
            </w:r>
          </w:p>
        </w:tc>
        <w:tc>
          <w:tcPr>
            <w:tcW w:w="1730" w:type="dxa"/>
          </w:tcPr>
          <w:p w:rsidR="00EA40A3" w:rsidRDefault="00E86C16">
            <w:pPr>
              <w:spacing w:before="94" w:line="175" w:lineRule="auto"/>
              <w:ind w:left="540"/>
              <w:rPr>
                <w:rFonts w:ascii="宋体" w:eastAsia="宋体" w:hAnsi="宋体" w:cs="宋体"/>
                <w:sz w:val="16"/>
                <w:szCs w:val="16"/>
              </w:rPr>
            </w:pPr>
            <w:r>
              <w:rPr>
                <w:rFonts w:ascii="宋体" w:eastAsia="宋体" w:hAnsi="宋体" w:cs="宋体"/>
                <w:spacing w:val="-2"/>
                <w:sz w:val="16"/>
                <w:szCs w:val="16"/>
              </w:rPr>
              <w:t>275～750</w:t>
            </w:r>
          </w:p>
        </w:tc>
      </w:tr>
      <w:tr w:rsidR="00EA40A3">
        <w:trPr>
          <w:trHeight w:val="259"/>
        </w:trPr>
        <w:tc>
          <w:tcPr>
            <w:tcW w:w="1593" w:type="dxa"/>
          </w:tcPr>
          <w:p w:rsidR="00EA40A3" w:rsidRDefault="00E86C16">
            <w:pPr>
              <w:spacing w:before="46" w:line="219" w:lineRule="auto"/>
              <w:ind w:left="450"/>
              <w:rPr>
                <w:rFonts w:ascii="Calibri" w:eastAsia="Calibri" w:hAnsi="Calibri" w:cs="Calibri"/>
                <w:sz w:val="16"/>
                <w:szCs w:val="16"/>
              </w:rPr>
            </w:pPr>
            <w:r>
              <w:rPr>
                <w:rFonts w:ascii="宋体" w:eastAsia="宋体" w:hAnsi="宋体" w:cs="宋体"/>
                <w:spacing w:val="19"/>
                <w:sz w:val="16"/>
                <w:szCs w:val="16"/>
              </w:rPr>
              <w:t>维生素B</w:t>
            </w:r>
            <w:r>
              <w:rPr>
                <w:rFonts w:ascii="Calibri" w:eastAsia="Calibri" w:hAnsi="Calibri" w:cs="Calibri"/>
                <w:spacing w:val="19"/>
                <w:sz w:val="16"/>
                <w:szCs w:val="16"/>
              </w:rPr>
              <w:t>₁</w:t>
            </w:r>
          </w:p>
        </w:tc>
        <w:tc>
          <w:tcPr>
            <w:tcW w:w="2327" w:type="dxa"/>
            <w:tcBorders>
              <w:right w:val="single" w:sz="4" w:space="0" w:color="000000"/>
            </w:tcBorders>
          </w:tcPr>
          <w:p w:rsidR="00EA40A3" w:rsidRDefault="00E86C16">
            <w:pPr>
              <w:spacing w:before="108" w:line="174" w:lineRule="auto"/>
              <w:ind w:left="827"/>
              <w:rPr>
                <w:rFonts w:ascii="宋体" w:eastAsia="宋体" w:hAnsi="宋体" w:cs="宋体"/>
                <w:sz w:val="16"/>
                <w:szCs w:val="16"/>
              </w:rPr>
            </w:pPr>
            <w:r>
              <w:rPr>
                <w:rFonts w:ascii="宋体" w:eastAsia="宋体" w:hAnsi="宋体" w:cs="宋体"/>
                <w:spacing w:val="-2"/>
                <w:sz w:val="16"/>
                <w:szCs w:val="16"/>
              </w:rPr>
              <w:t>0.4～0.8</w:t>
            </w:r>
          </w:p>
        </w:tc>
        <w:tc>
          <w:tcPr>
            <w:tcW w:w="1600" w:type="dxa"/>
            <w:tcBorders>
              <w:left w:val="single" w:sz="4" w:space="0" w:color="000000"/>
            </w:tcBorders>
          </w:tcPr>
          <w:p w:rsidR="00EA40A3" w:rsidRDefault="00E86C16">
            <w:pPr>
              <w:spacing w:before="48" w:line="221" w:lineRule="auto"/>
              <w:ind w:left="684"/>
              <w:rPr>
                <w:rFonts w:ascii="宋体" w:eastAsia="宋体" w:hAnsi="宋体" w:cs="宋体"/>
                <w:sz w:val="16"/>
                <w:szCs w:val="16"/>
              </w:rPr>
            </w:pPr>
            <w:r>
              <w:rPr>
                <w:rFonts w:ascii="宋体" w:eastAsia="宋体" w:hAnsi="宋体" w:cs="宋体"/>
                <w:sz w:val="16"/>
                <w:szCs w:val="16"/>
              </w:rPr>
              <w:t>钙</w:t>
            </w:r>
          </w:p>
        </w:tc>
        <w:tc>
          <w:tcPr>
            <w:tcW w:w="1730" w:type="dxa"/>
          </w:tcPr>
          <w:p w:rsidR="00EA40A3" w:rsidRDefault="00E86C16">
            <w:pPr>
              <w:spacing w:before="87" w:line="183" w:lineRule="auto"/>
              <w:ind w:left="540"/>
              <w:rPr>
                <w:rFonts w:ascii="宋体" w:eastAsia="宋体" w:hAnsi="宋体" w:cs="宋体"/>
                <w:sz w:val="16"/>
                <w:szCs w:val="16"/>
              </w:rPr>
            </w:pPr>
            <w:r>
              <w:rPr>
                <w:rFonts w:ascii="宋体" w:eastAsia="宋体" w:hAnsi="宋体" w:cs="宋体"/>
                <w:spacing w:val="-2"/>
                <w:sz w:val="16"/>
                <w:szCs w:val="16"/>
              </w:rPr>
              <w:t>250～600</w:t>
            </w:r>
          </w:p>
        </w:tc>
      </w:tr>
      <w:tr w:rsidR="00EA40A3">
        <w:trPr>
          <w:trHeight w:val="245"/>
        </w:trPr>
        <w:tc>
          <w:tcPr>
            <w:tcW w:w="1593" w:type="dxa"/>
          </w:tcPr>
          <w:p w:rsidR="00EA40A3" w:rsidRDefault="00E86C16">
            <w:pPr>
              <w:spacing w:before="47" w:line="219" w:lineRule="auto"/>
              <w:ind w:left="450"/>
              <w:rPr>
                <w:rFonts w:ascii="Calibri" w:eastAsia="Calibri" w:hAnsi="Calibri" w:cs="Calibri"/>
                <w:sz w:val="16"/>
                <w:szCs w:val="16"/>
              </w:rPr>
            </w:pPr>
            <w:r>
              <w:rPr>
                <w:rFonts w:ascii="宋体" w:eastAsia="宋体" w:hAnsi="宋体" w:cs="宋体"/>
                <w:spacing w:val="16"/>
                <w:sz w:val="16"/>
                <w:szCs w:val="16"/>
              </w:rPr>
              <w:t>维生素B</w:t>
            </w:r>
            <w:r>
              <w:rPr>
                <w:rFonts w:ascii="Calibri" w:eastAsia="Calibri" w:hAnsi="Calibri" w:cs="Calibri"/>
                <w:spacing w:val="16"/>
                <w:sz w:val="16"/>
                <w:szCs w:val="16"/>
              </w:rPr>
              <w:t>₂</w:t>
            </w:r>
          </w:p>
        </w:tc>
        <w:tc>
          <w:tcPr>
            <w:tcW w:w="2327" w:type="dxa"/>
            <w:tcBorders>
              <w:right w:val="single" w:sz="4" w:space="0" w:color="000000"/>
            </w:tcBorders>
          </w:tcPr>
          <w:p w:rsidR="00EA40A3" w:rsidRDefault="00E86C16">
            <w:pPr>
              <w:spacing w:before="98" w:line="169" w:lineRule="auto"/>
              <w:ind w:left="827"/>
              <w:rPr>
                <w:rFonts w:ascii="宋体" w:eastAsia="宋体" w:hAnsi="宋体" w:cs="宋体"/>
                <w:sz w:val="16"/>
                <w:szCs w:val="16"/>
              </w:rPr>
            </w:pPr>
            <w:r>
              <w:rPr>
                <w:rFonts w:ascii="宋体" w:eastAsia="宋体" w:hAnsi="宋体" w:cs="宋体"/>
                <w:spacing w:val="-2"/>
                <w:sz w:val="16"/>
                <w:szCs w:val="16"/>
              </w:rPr>
              <w:t>0.8～1.2</w:t>
            </w:r>
          </w:p>
        </w:tc>
        <w:tc>
          <w:tcPr>
            <w:tcW w:w="1600" w:type="dxa"/>
            <w:tcBorders>
              <w:left w:val="single" w:sz="4" w:space="0" w:color="000000"/>
            </w:tcBorders>
          </w:tcPr>
          <w:p w:rsidR="00EA40A3" w:rsidRDefault="00E86C16">
            <w:pPr>
              <w:spacing w:before="57" w:line="216" w:lineRule="auto"/>
              <w:ind w:left="684"/>
              <w:rPr>
                <w:rFonts w:ascii="宋体" w:eastAsia="宋体" w:hAnsi="宋体" w:cs="宋体"/>
                <w:sz w:val="16"/>
                <w:szCs w:val="16"/>
              </w:rPr>
            </w:pPr>
            <w:r>
              <w:rPr>
                <w:rFonts w:ascii="宋体" w:eastAsia="宋体" w:hAnsi="宋体" w:cs="宋体"/>
                <w:sz w:val="16"/>
                <w:szCs w:val="16"/>
              </w:rPr>
              <w:t>磷</w:t>
            </w:r>
          </w:p>
        </w:tc>
        <w:tc>
          <w:tcPr>
            <w:tcW w:w="1730" w:type="dxa"/>
          </w:tcPr>
          <w:p w:rsidR="00EA40A3" w:rsidRDefault="00E86C16">
            <w:pPr>
              <w:spacing w:before="77" w:line="184" w:lineRule="auto"/>
              <w:ind w:left="560"/>
              <w:rPr>
                <w:rFonts w:ascii="宋体" w:eastAsia="宋体" w:hAnsi="宋体" w:cs="宋体"/>
                <w:sz w:val="16"/>
                <w:szCs w:val="16"/>
              </w:rPr>
            </w:pPr>
            <w:r>
              <w:rPr>
                <w:rFonts w:ascii="宋体" w:eastAsia="宋体" w:hAnsi="宋体" w:cs="宋体"/>
                <w:spacing w:val="-3"/>
                <w:sz w:val="16"/>
                <w:szCs w:val="16"/>
              </w:rPr>
              <w:t>125～500</w:t>
            </w:r>
          </w:p>
        </w:tc>
      </w:tr>
      <w:tr w:rsidR="00EA40A3">
        <w:trPr>
          <w:trHeight w:val="249"/>
        </w:trPr>
        <w:tc>
          <w:tcPr>
            <w:tcW w:w="1593" w:type="dxa"/>
          </w:tcPr>
          <w:p w:rsidR="00EA40A3" w:rsidRDefault="00E86C16">
            <w:pPr>
              <w:spacing w:before="42" w:line="219" w:lineRule="auto"/>
              <w:ind w:left="450"/>
              <w:rPr>
                <w:rFonts w:ascii="宋体" w:eastAsia="宋体" w:hAnsi="宋体" w:cs="宋体"/>
                <w:sz w:val="16"/>
                <w:szCs w:val="16"/>
              </w:rPr>
            </w:pPr>
            <w:r>
              <w:rPr>
                <w:rFonts w:ascii="宋体" w:eastAsia="宋体" w:hAnsi="宋体" w:cs="宋体"/>
                <w:spacing w:val="3"/>
                <w:sz w:val="16"/>
                <w:szCs w:val="16"/>
              </w:rPr>
              <w:t>维生素</w:t>
            </w:r>
            <w:r>
              <w:rPr>
                <w:rFonts w:ascii="宋体" w:eastAsia="宋体" w:hAnsi="宋体" w:cs="宋体"/>
                <w:sz w:val="16"/>
                <w:szCs w:val="16"/>
              </w:rPr>
              <w:t>Bs</w:t>
            </w:r>
          </w:p>
        </w:tc>
        <w:tc>
          <w:tcPr>
            <w:tcW w:w="2327" w:type="dxa"/>
            <w:tcBorders>
              <w:right w:val="single" w:sz="4" w:space="0" w:color="000000"/>
            </w:tcBorders>
          </w:tcPr>
          <w:p w:rsidR="00EA40A3" w:rsidRDefault="00E86C16">
            <w:pPr>
              <w:spacing w:before="93" w:line="179" w:lineRule="auto"/>
              <w:ind w:left="837"/>
              <w:rPr>
                <w:rFonts w:ascii="宋体" w:eastAsia="宋体" w:hAnsi="宋体" w:cs="宋体"/>
                <w:sz w:val="16"/>
                <w:szCs w:val="16"/>
              </w:rPr>
            </w:pPr>
            <w:r>
              <w:rPr>
                <w:rFonts w:ascii="宋体" w:eastAsia="宋体" w:hAnsi="宋体" w:cs="宋体"/>
                <w:spacing w:val="-2"/>
                <w:sz w:val="16"/>
                <w:szCs w:val="16"/>
              </w:rPr>
              <w:t>0.3～0.8</w:t>
            </w:r>
          </w:p>
        </w:tc>
        <w:tc>
          <w:tcPr>
            <w:tcW w:w="1600" w:type="dxa"/>
            <w:tcBorders>
              <w:left w:val="single" w:sz="4" w:space="0" w:color="000000"/>
            </w:tcBorders>
          </w:tcPr>
          <w:p w:rsidR="00EA40A3" w:rsidRDefault="00E86C16">
            <w:pPr>
              <w:spacing w:before="64" w:line="213" w:lineRule="auto"/>
              <w:ind w:left="684"/>
              <w:rPr>
                <w:rFonts w:ascii="宋体" w:eastAsia="宋体" w:hAnsi="宋体" w:cs="宋体"/>
                <w:sz w:val="16"/>
                <w:szCs w:val="16"/>
              </w:rPr>
            </w:pPr>
            <w:r>
              <w:rPr>
                <w:rFonts w:ascii="宋体" w:eastAsia="宋体" w:hAnsi="宋体" w:cs="宋体"/>
                <w:sz w:val="16"/>
                <w:szCs w:val="16"/>
              </w:rPr>
              <w:t>镁</w:t>
            </w:r>
          </w:p>
        </w:tc>
        <w:tc>
          <w:tcPr>
            <w:tcW w:w="1730" w:type="dxa"/>
          </w:tcPr>
          <w:p w:rsidR="00EA40A3" w:rsidRDefault="00E86C16">
            <w:pPr>
              <w:spacing w:before="93" w:line="179" w:lineRule="auto"/>
              <w:ind w:left="620"/>
              <w:rPr>
                <w:rFonts w:ascii="宋体" w:eastAsia="宋体" w:hAnsi="宋体" w:cs="宋体"/>
                <w:sz w:val="16"/>
                <w:szCs w:val="16"/>
              </w:rPr>
            </w:pPr>
            <w:r>
              <w:rPr>
                <w:rFonts w:ascii="宋体" w:eastAsia="宋体" w:hAnsi="宋体" w:cs="宋体"/>
                <w:spacing w:val="-2"/>
                <w:sz w:val="16"/>
                <w:szCs w:val="16"/>
              </w:rPr>
              <w:t>30～50</w:t>
            </w:r>
          </w:p>
        </w:tc>
      </w:tr>
      <w:tr w:rsidR="00EA40A3">
        <w:trPr>
          <w:trHeight w:val="244"/>
        </w:trPr>
        <w:tc>
          <w:tcPr>
            <w:tcW w:w="1593" w:type="dxa"/>
          </w:tcPr>
          <w:p w:rsidR="00EA40A3" w:rsidRDefault="00E86C16">
            <w:pPr>
              <w:spacing w:before="43" w:line="219" w:lineRule="auto"/>
              <w:ind w:left="450"/>
              <w:rPr>
                <w:rFonts w:ascii="宋体" w:eastAsia="宋体" w:hAnsi="宋体" w:cs="宋体"/>
                <w:sz w:val="16"/>
                <w:szCs w:val="16"/>
              </w:rPr>
            </w:pPr>
            <w:r>
              <w:rPr>
                <w:rFonts w:ascii="宋体" w:eastAsia="宋体" w:hAnsi="宋体" w:cs="宋体"/>
                <w:spacing w:val="-2"/>
                <w:sz w:val="16"/>
                <w:szCs w:val="16"/>
              </w:rPr>
              <w:t>维生素C</w:t>
            </w:r>
          </w:p>
        </w:tc>
        <w:tc>
          <w:tcPr>
            <w:tcW w:w="2327" w:type="dxa"/>
            <w:tcBorders>
              <w:right w:val="single" w:sz="4" w:space="0" w:color="000000"/>
            </w:tcBorders>
          </w:tcPr>
          <w:p w:rsidR="00EA40A3" w:rsidRDefault="00E86C16">
            <w:pPr>
              <w:spacing w:before="94" w:line="172" w:lineRule="auto"/>
              <w:ind w:left="917"/>
              <w:rPr>
                <w:rFonts w:ascii="宋体" w:eastAsia="宋体" w:hAnsi="宋体" w:cs="宋体"/>
                <w:sz w:val="16"/>
                <w:szCs w:val="16"/>
              </w:rPr>
            </w:pPr>
            <w:r>
              <w:rPr>
                <w:rFonts w:ascii="宋体" w:eastAsia="宋体" w:hAnsi="宋体" w:cs="宋体"/>
                <w:spacing w:val="-1"/>
                <w:sz w:val="16"/>
                <w:szCs w:val="16"/>
              </w:rPr>
              <w:t>40～60</w:t>
            </w:r>
          </w:p>
        </w:tc>
        <w:tc>
          <w:tcPr>
            <w:tcW w:w="1600" w:type="dxa"/>
            <w:tcBorders>
              <w:left w:val="single" w:sz="4" w:space="0" w:color="000000"/>
            </w:tcBorders>
          </w:tcPr>
          <w:p w:rsidR="00EA40A3" w:rsidRDefault="00E86C16">
            <w:pPr>
              <w:spacing w:before="55" w:line="218" w:lineRule="auto"/>
              <w:ind w:left="684"/>
              <w:rPr>
                <w:rFonts w:ascii="宋体" w:eastAsia="宋体" w:hAnsi="宋体" w:cs="宋体"/>
                <w:sz w:val="16"/>
                <w:szCs w:val="16"/>
              </w:rPr>
            </w:pPr>
            <w:r>
              <w:rPr>
                <w:rFonts w:ascii="宋体" w:eastAsia="宋体" w:hAnsi="宋体" w:cs="宋体"/>
                <w:sz w:val="16"/>
                <w:szCs w:val="16"/>
              </w:rPr>
              <w:t>铁</w:t>
            </w:r>
          </w:p>
        </w:tc>
        <w:tc>
          <w:tcPr>
            <w:tcW w:w="1730" w:type="dxa"/>
          </w:tcPr>
          <w:p w:rsidR="00EA40A3" w:rsidRDefault="00E86C16">
            <w:pPr>
              <w:spacing w:before="74" w:line="184" w:lineRule="auto"/>
              <w:ind w:left="650"/>
              <w:rPr>
                <w:rFonts w:ascii="宋体" w:eastAsia="宋体" w:hAnsi="宋体" w:cs="宋体"/>
                <w:sz w:val="16"/>
                <w:szCs w:val="16"/>
              </w:rPr>
            </w:pPr>
            <w:r>
              <w:rPr>
                <w:rFonts w:ascii="宋体" w:eastAsia="宋体" w:hAnsi="宋体" w:cs="宋体"/>
                <w:spacing w:val="-2"/>
                <w:sz w:val="16"/>
                <w:szCs w:val="16"/>
              </w:rPr>
              <w:t>6～10</w:t>
            </w:r>
          </w:p>
        </w:tc>
      </w:tr>
      <w:tr w:rsidR="00EA40A3">
        <w:trPr>
          <w:trHeight w:val="249"/>
        </w:trPr>
        <w:tc>
          <w:tcPr>
            <w:tcW w:w="1593" w:type="dxa"/>
          </w:tcPr>
          <w:p w:rsidR="00EA40A3" w:rsidRDefault="00E86C16">
            <w:pPr>
              <w:spacing w:before="49" w:line="219" w:lineRule="auto"/>
              <w:ind w:left="450"/>
              <w:rPr>
                <w:rFonts w:ascii="宋体" w:eastAsia="宋体" w:hAnsi="宋体" w:cs="宋体"/>
                <w:sz w:val="16"/>
                <w:szCs w:val="16"/>
              </w:rPr>
            </w:pPr>
            <w:r>
              <w:rPr>
                <w:rFonts w:ascii="宋体" w:eastAsia="宋体" w:hAnsi="宋体" w:cs="宋体"/>
                <w:spacing w:val="-2"/>
                <w:sz w:val="16"/>
                <w:szCs w:val="16"/>
              </w:rPr>
              <w:t>维生素D</w:t>
            </w:r>
          </w:p>
        </w:tc>
        <w:tc>
          <w:tcPr>
            <w:tcW w:w="2327" w:type="dxa"/>
            <w:tcBorders>
              <w:right w:val="single" w:sz="4" w:space="0" w:color="000000"/>
            </w:tcBorders>
          </w:tcPr>
          <w:p w:rsidR="00EA40A3" w:rsidRDefault="00E86C16">
            <w:pPr>
              <w:spacing w:before="111" w:line="159" w:lineRule="auto"/>
              <w:ind w:left="846"/>
              <w:rPr>
                <w:rFonts w:ascii="宋体" w:eastAsia="宋体" w:hAnsi="宋体" w:cs="宋体"/>
                <w:sz w:val="16"/>
                <w:szCs w:val="16"/>
              </w:rPr>
            </w:pPr>
            <w:r>
              <w:rPr>
                <w:rFonts w:ascii="宋体" w:eastAsia="宋体" w:hAnsi="宋体" w:cs="宋体"/>
                <w:spacing w:val="-2"/>
                <w:sz w:val="16"/>
                <w:szCs w:val="16"/>
              </w:rPr>
              <w:t>200～400</w:t>
            </w:r>
          </w:p>
        </w:tc>
        <w:tc>
          <w:tcPr>
            <w:tcW w:w="1600" w:type="dxa"/>
            <w:tcBorders>
              <w:left w:val="single" w:sz="4" w:space="0" w:color="000000"/>
            </w:tcBorders>
          </w:tcPr>
          <w:p w:rsidR="00EA40A3" w:rsidRDefault="00E86C16">
            <w:pPr>
              <w:spacing w:before="50" w:line="220" w:lineRule="auto"/>
              <w:ind w:left="684"/>
              <w:rPr>
                <w:rFonts w:ascii="宋体" w:eastAsia="宋体" w:hAnsi="宋体" w:cs="宋体"/>
                <w:sz w:val="16"/>
                <w:szCs w:val="16"/>
              </w:rPr>
            </w:pPr>
            <w:r>
              <w:rPr>
                <w:rFonts w:ascii="宋体" w:eastAsia="宋体" w:hAnsi="宋体" w:cs="宋体"/>
                <w:sz w:val="16"/>
                <w:szCs w:val="16"/>
              </w:rPr>
              <w:t>锌</w:t>
            </w:r>
          </w:p>
        </w:tc>
        <w:tc>
          <w:tcPr>
            <w:tcW w:w="1730" w:type="dxa"/>
          </w:tcPr>
          <w:p w:rsidR="00EA40A3" w:rsidRDefault="00E86C16">
            <w:pPr>
              <w:spacing w:before="90" w:line="183" w:lineRule="auto"/>
              <w:ind w:left="650"/>
              <w:rPr>
                <w:rFonts w:ascii="宋体" w:eastAsia="宋体" w:hAnsi="宋体" w:cs="宋体"/>
                <w:sz w:val="16"/>
                <w:szCs w:val="16"/>
              </w:rPr>
            </w:pPr>
            <w:r>
              <w:rPr>
                <w:rFonts w:ascii="宋体" w:eastAsia="宋体" w:hAnsi="宋体" w:cs="宋体"/>
                <w:spacing w:val="-2"/>
                <w:sz w:val="16"/>
                <w:szCs w:val="16"/>
              </w:rPr>
              <w:t>4～10</w:t>
            </w:r>
          </w:p>
        </w:tc>
      </w:tr>
      <w:tr w:rsidR="00EA40A3">
        <w:trPr>
          <w:trHeight w:val="235"/>
        </w:trPr>
        <w:tc>
          <w:tcPr>
            <w:tcW w:w="1593" w:type="dxa"/>
          </w:tcPr>
          <w:p w:rsidR="00EA40A3" w:rsidRDefault="00E86C16">
            <w:pPr>
              <w:spacing w:before="40" w:line="219" w:lineRule="auto"/>
              <w:ind w:left="450"/>
              <w:rPr>
                <w:rFonts w:ascii="宋体" w:eastAsia="宋体" w:hAnsi="宋体" w:cs="宋体"/>
                <w:sz w:val="16"/>
                <w:szCs w:val="16"/>
              </w:rPr>
            </w:pPr>
            <w:r>
              <w:rPr>
                <w:rFonts w:ascii="宋体" w:eastAsia="宋体" w:hAnsi="宋体" w:cs="宋体"/>
                <w:spacing w:val="-2"/>
                <w:sz w:val="16"/>
                <w:szCs w:val="16"/>
              </w:rPr>
              <w:t>维生素E</w:t>
            </w:r>
          </w:p>
        </w:tc>
        <w:tc>
          <w:tcPr>
            <w:tcW w:w="2327" w:type="dxa"/>
            <w:tcBorders>
              <w:right w:val="single" w:sz="4" w:space="0" w:color="000000"/>
            </w:tcBorders>
          </w:tcPr>
          <w:p w:rsidR="00EA40A3" w:rsidRDefault="00E86C16">
            <w:pPr>
              <w:spacing w:before="101" w:line="133" w:lineRule="exact"/>
              <w:ind w:left="996"/>
              <w:rPr>
                <w:rFonts w:ascii="宋体" w:eastAsia="宋体" w:hAnsi="宋体" w:cs="宋体"/>
                <w:sz w:val="16"/>
                <w:szCs w:val="16"/>
              </w:rPr>
            </w:pPr>
            <w:r>
              <w:rPr>
                <w:rFonts w:ascii="宋体" w:eastAsia="宋体" w:hAnsi="宋体" w:cs="宋体"/>
                <w:spacing w:val="-3"/>
                <w:position w:val="-2"/>
                <w:sz w:val="16"/>
                <w:szCs w:val="16"/>
              </w:rPr>
              <w:t>5～8</w:t>
            </w:r>
          </w:p>
        </w:tc>
        <w:tc>
          <w:tcPr>
            <w:tcW w:w="1600" w:type="dxa"/>
            <w:tcBorders>
              <w:left w:val="single" w:sz="4" w:space="0" w:color="000000"/>
            </w:tcBorders>
          </w:tcPr>
          <w:p w:rsidR="00EA40A3" w:rsidRDefault="00E86C16">
            <w:pPr>
              <w:spacing w:before="46" w:line="218" w:lineRule="auto"/>
              <w:ind w:left="684"/>
              <w:rPr>
                <w:rFonts w:ascii="宋体" w:eastAsia="宋体" w:hAnsi="宋体" w:cs="宋体"/>
                <w:sz w:val="16"/>
                <w:szCs w:val="16"/>
              </w:rPr>
            </w:pPr>
            <w:r>
              <w:rPr>
                <w:rFonts w:ascii="宋体" w:eastAsia="宋体" w:hAnsi="宋体" w:cs="宋体"/>
                <w:sz w:val="16"/>
                <w:szCs w:val="16"/>
              </w:rPr>
              <w:t>锰</w:t>
            </w:r>
          </w:p>
        </w:tc>
        <w:tc>
          <w:tcPr>
            <w:tcW w:w="1730" w:type="dxa"/>
          </w:tcPr>
          <w:p w:rsidR="00EA40A3" w:rsidRDefault="00E86C16">
            <w:pPr>
              <w:spacing w:before="92" w:line="165" w:lineRule="auto"/>
              <w:ind w:left="620"/>
              <w:rPr>
                <w:rFonts w:ascii="宋体" w:eastAsia="宋体" w:hAnsi="宋体" w:cs="宋体"/>
                <w:sz w:val="16"/>
                <w:szCs w:val="16"/>
              </w:rPr>
            </w:pPr>
            <w:r>
              <w:rPr>
                <w:rFonts w:ascii="宋体" w:eastAsia="宋体" w:hAnsi="宋体" w:cs="宋体"/>
                <w:spacing w:val="-2"/>
                <w:sz w:val="16"/>
                <w:szCs w:val="16"/>
              </w:rPr>
              <w:t>25～60</w:t>
            </w:r>
          </w:p>
        </w:tc>
      </w:tr>
      <w:tr w:rsidR="00EA40A3">
        <w:trPr>
          <w:trHeight w:val="254"/>
        </w:trPr>
        <w:tc>
          <w:tcPr>
            <w:tcW w:w="1593" w:type="dxa"/>
            <w:tcBorders>
              <w:bottom w:val="single" w:sz="4" w:space="0" w:color="000000"/>
            </w:tcBorders>
          </w:tcPr>
          <w:p w:rsidR="00EA40A3" w:rsidRDefault="00E86C16">
            <w:pPr>
              <w:spacing w:before="36" w:line="221" w:lineRule="auto"/>
              <w:ind w:left="600"/>
              <w:rPr>
                <w:rFonts w:ascii="宋体" w:eastAsia="宋体" w:hAnsi="宋体" w:cs="宋体"/>
                <w:sz w:val="16"/>
                <w:szCs w:val="16"/>
              </w:rPr>
            </w:pPr>
            <w:r>
              <w:rPr>
                <w:rFonts w:ascii="宋体" w:eastAsia="宋体" w:hAnsi="宋体" w:cs="宋体"/>
                <w:spacing w:val="-2"/>
                <w:sz w:val="16"/>
                <w:szCs w:val="16"/>
              </w:rPr>
              <w:t>烟酸</w:t>
            </w:r>
          </w:p>
        </w:tc>
        <w:tc>
          <w:tcPr>
            <w:tcW w:w="2327" w:type="dxa"/>
            <w:tcBorders>
              <w:bottom w:val="single" w:sz="4" w:space="0" w:color="000000"/>
              <w:right w:val="single" w:sz="4" w:space="0" w:color="000000"/>
            </w:tcBorders>
          </w:tcPr>
          <w:p w:rsidR="00EA40A3" w:rsidRDefault="00E86C16">
            <w:pPr>
              <w:spacing w:before="117" w:line="158" w:lineRule="auto"/>
              <w:ind w:left="1007"/>
              <w:rPr>
                <w:rFonts w:ascii="宋体" w:eastAsia="宋体" w:hAnsi="宋体" w:cs="宋体"/>
                <w:sz w:val="16"/>
                <w:szCs w:val="16"/>
              </w:rPr>
            </w:pPr>
            <w:r>
              <w:rPr>
                <w:rFonts w:ascii="宋体" w:eastAsia="宋体" w:hAnsi="宋体" w:cs="宋体"/>
                <w:spacing w:val="-2"/>
                <w:sz w:val="16"/>
                <w:szCs w:val="16"/>
              </w:rPr>
              <w:t>4～8</w:t>
            </w:r>
          </w:p>
        </w:tc>
        <w:tc>
          <w:tcPr>
            <w:tcW w:w="1600" w:type="dxa"/>
            <w:tcBorders>
              <w:left w:val="single" w:sz="4" w:space="0" w:color="000000"/>
              <w:bottom w:val="single" w:sz="4" w:space="0" w:color="000000"/>
            </w:tcBorders>
          </w:tcPr>
          <w:p w:rsidR="00EA40A3" w:rsidRDefault="00E86C16">
            <w:pPr>
              <w:spacing w:before="46" w:line="221" w:lineRule="auto"/>
              <w:ind w:left="684"/>
              <w:rPr>
                <w:rFonts w:ascii="宋体" w:eastAsia="宋体" w:hAnsi="宋体" w:cs="宋体"/>
                <w:sz w:val="16"/>
                <w:szCs w:val="16"/>
              </w:rPr>
            </w:pPr>
            <w:r>
              <w:rPr>
                <w:rFonts w:ascii="宋体" w:eastAsia="宋体" w:hAnsi="宋体" w:cs="宋体"/>
                <w:sz w:val="16"/>
                <w:szCs w:val="16"/>
              </w:rPr>
              <w:t>碘</w:t>
            </w:r>
          </w:p>
        </w:tc>
        <w:tc>
          <w:tcPr>
            <w:tcW w:w="1730" w:type="dxa"/>
            <w:tcBorders>
              <w:bottom w:val="single" w:sz="4" w:space="0" w:color="000000"/>
            </w:tcBorders>
          </w:tcPr>
          <w:p w:rsidR="00EA40A3" w:rsidRDefault="00E86C16">
            <w:pPr>
              <w:spacing w:before="97" w:line="181" w:lineRule="auto"/>
              <w:ind w:left="620"/>
              <w:rPr>
                <w:rFonts w:ascii="宋体" w:eastAsia="宋体" w:hAnsi="宋体" w:cs="宋体"/>
                <w:sz w:val="16"/>
                <w:szCs w:val="16"/>
              </w:rPr>
            </w:pPr>
            <w:r>
              <w:rPr>
                <w:rFonts w:ascii="宋体" w:eastAsia="宋体" w:hAnsi="宋体" w:cs="宋体"/>
                <w:spacing w:val="-2"/>
                <w:sz w:val="16"/>
                <w:szCs w:val="16"/>
              </w:rPr>
              <w:t>25～40</w:t>
            </w:r>
          </w:p>
        </w:tc>
      </w:tr>
    </w:tbl>
    <w:p w:rsidR="00EA40A3" w:rsidRDefault="00E86C16">
      <w:pPr>
        <w:spacing w:before="71" w:line="219" w:lineRule="auto"/>
        <w:ind w:left="410"/>
        <w:rPr>
          <w:rFonts w:ascii="宋体" w:eastAsia="宋体" w:hAnsi="宋体" w:cs="宋体"/>
          <w:sz w:val="16"/>
          <w:szCs w:val="16"/>
        </w:rPr>
      </w:pPr>
      <w:r>
        <w:rPr>
          <w:rFonts w:ascii="宋体" w:eastAsia="宋体" w:hAnsi="宋体" w:cs="宋体"/>
          <w:sz w:val="16"/>
          <w:szCs w:val="16"/>
        </w:rPr>
        <w:t>资料来源：刘程、江小梅.1994.当代新型食品</w:t>
      </w:r>
      <w:r>
        <w:rPr>
          <w:rFonts w:ascii="宋体" w:eastAsia="宋体" w:hAnsi="宋体" w:cs="宋体"/>
          <w:spacing w:val="-1"/>
          <w:sz w:val="16"/>
          <w:szCs w:val="16"/>
        </w:rPr>
        <w:t>.北京：北京工业大学出版社</w:t>
      </w:r>
    </w:p>
    <w:p w:rsidR="00EA40A3" w:rsidRDefault="00EA40A3">
      <w:pPr>
        <w:spacing w:line="320" w:lineRule="auto"/>
      </w:pPr>
    </w:p>
    <w:p w:rsidR="00EA40A3" w:rsidRDefault="00E86C16">
      <w:pPr>
        <w:spacing w:before="68" w:line="253" w:lineRule="auto"/>
        <w:ind w:right="20" w:firstLine="500"/>
        <w:jc w:val="both"/>
        <w:rPr>
          <w:rFonts w:ascii="宋体" w:eastAsia="宋体" w:hAnsi="宋体" w:cs="宋体"/>
        </w:rPr>
      </w:pPr>
      <w:r>
        <w:rPr>
          <w:rFonts w:ascii="宋体" w:eastAsia="宋体" w:hAnsi="宋体" w:cs="宋体"/>
          <w:spacing w:val="1"/>
        </w:rPr>
        <w:t>表8-4列出了我国育儿奶粉、婴儿配方奶粉的重要成</w:t>
      </w:r>
      <w:r>
        <w:rPr>
          <w:rFonts w:ascii="宋体" w:eastAsia="宋体" w:hAnsi="宋体" w:cs="宋体"/>
        </w:rPr>
        <w:t xml:space="preserve">分含量及与国外婴儿奶 </w:t>
      </w:r>
      <w:r>
        <w:rPr>
          <w:rFonts w:ascii="宋体" w:eastAsia="宋体" w:hAnsi="宋体" w:cs="宋体"/>
          <w:spacing w:val="-3"/>
        </w:rPr>
        <w:t>粉、母乳化奶粉的比较。从表中可看出，我国育儿奶粉中的蛋白质含量高于国外</w:t>
      </w:r>
      <w:r>
        <w:rPr>
          <w:rFonts w:ascii="宋体" w:eastAsia="宋体" w:hAnsi="宋体" w:cs="宋体"/>
          <w:spacing w:val="8"/>
        </w:rPr>
        <w:t xml:space="preserve">  </w:t>
      </w:r>
      <w:r>
        <w:rPr>
          <w:rFonts w:ascii="宋体" w:eastAsia="宋体" w:hAnsi="宋体" w:cs="宋体"/>
          <w:spacing w:val="-2"/>
        </w:rPr>
        <w:t>的婴儿奶粉和母乳化奶粉，脂肪含量相当，总糖稍</w:t>
      </w:r>
      <w:r>
        <w:rPr>
          <w:rFonts w:ascii="宋体" w:eastAsia="宋体" w:hAnsi="宋体" w:cs="宋体"/>
          <w:spacing w:val="-3"/>
        </w:rPr>
        <w:t>低，灰分略高。总的来看，育</w:t>
      </w:r>
      <w:r>
        <w:rPr>
          <w:rFonts w:ascii="宋体" w:eastAsia="宋体" w:hAnsi="宋体" w:cs="宋体"/>
        </w:rPr>
        <w:t xml:space="preserve"> </w:t>
      </w:r>
      <w:r>
        <w:rPr>
          <w:rFonts w:ascii="宋体" w:eastAsia="宋体" w:hAnsi="宋体" w:cs="宋体"/>
          <w:spacing w:val="-5"/>
        </w:rPr>
        <w:t>儿奶粉主要营养成分配比是合理的，符合婴幼儿的</w:t>
      </w:r>
      <w:r>
        <w:rPr>
          <w:rFonts w:ascii="宋体" w:eastAsia="宋体" w:hAnsi="宋体" w:cs="宋体"/>
          <w:spacing w:val="-6"/>
        </w:rPr>
        <w:t>营养要求。</w:t>
      </w:r>
    </w:p>
    <w:p w:rsidR="00EA40A3" w:rsidRDefault="00EA40A3">
      <w:pPr>
        <w:spacing w:line="275" w:lineRule="auto"/>
      </w:pPr>
    </w:p>
    <w:p w:rsidR="00EA40A3" w:rsidRDefault="00E86C16">
      <w:pPr>
        <w:spacing w:before="69" w:line="225" w:lineRule="auto"/>
        <w:ind w:left="1682"/>
        <w:rPr>
          <w:rFonts w:ascii="宋体" w:eastAsia="宋体" w:hAnsi="宋体" w:cs="宋体"/>
          <w:sz w:val="16"/>
          <w:szCs w:val="16"/>
        </w:rPr>
      </w:pPr>
      <w:r>
        <w:rPr>
          <w:rFonts w:ascii="黑体" w:eastAsia="黑体" w:hAnsi="黑体" w:cs="黑体"/>
          <w:b/>
          <w:bCs/>
          <w:spacing w:val="-18"/>
          <w:w w:val="97"/>
        </w:rPr>
        <w:t>表8-4</w:t>
      </w:r>
      <w:r>
        <w:rPr>
          <w:rFonts w:ascii="黑体" w:eastAsia="黑体" w:hAnsi="黑体" w:cs="黑体"/>
          <w:spacing w:val="52"/>
        </w:rPr>
        <w:t xml:space="preserve"> </w:t>
      </w:r>
      <w:r>
        <w:rPr>
          <w:rFonts w:ascii="黑体" w:eastAsia="黑体" w:hAnsi="黑体" w:cs="黑体"/>
          <w:b/>
          <w:bCs/>
          <w:spacing w:val="-18"/>
          <w:w w:val="97"/>
        </w:rPr>
        <w:t>育儿奶粉、婴儿配方奶粉与国外产品的比较</w:t>
      </w:r>
      <w:r>
        <w:rPr>
          <w:rFonts w:ascii="黑体" w:eastAsia="黑体" w:hAnsi="黑体" w:cs="黑体"/>
          <w:spacing w:val="10"/>
        </w:rPr>
        <w:t xml:space="preserve">     </w:t>
      </w:r>
      <w:r>
        <w:rPr>
          <w:rFonts w:ascii="宋体" w:eastAsia="宋体" w:hAnsi="宋体" w:cs="宋体"/>
          <w:spacing w:val="-18"/>
          <w:w w:val="97"/>
          <w:position w:val="-3"/>
          <w:sz w:val="16"/>
          <w:szCs w:val="16"/>
        </w:rPr>
        <w:t>(单位：%)</w:t>
      </w:r>
    </w:p>
    <w:tbl>
      <w:tblPr>
        <w:tblStyle w:val="TableNormal"/>
        <w:tblW w:w="732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08"/>
        <w:gridCol w:w="819"/>
        <w:gridCol w:w="1007"/>
        <w:gridCol w:w="916"/>
        <w:gridCol w:w="961"/>
        <w:gridCol w:w="911"/>
        <w:gridCol w:w="1007"/>
      </w:tblGrid>
      <w:tr w:rsidR="00EA40A3">
        <w:trPr>
          <w:trHeight w:val="273"/>
        </w:trPr>
        <w:tc>
          <w:tcPr>
            <w:tcW w:w="1708" w:type="dxa"/>
            <w:tcBorders>
              <w:top w:val="single" w:sz="4" w:space="0" w:color="000000"/>
              <w:bottom w:val="single" w:sz="4" w:space="0" w:color="000000"/>
            </w:tcBorders>
          </w:tcPr>
          <w:p w:rsidR="00EA40A3" w:rsidRDefault="00E86C16">
            <w:pPr>
              <w:spacing w:before="91" w:line="209" w:lineRule="auto"/>
              <w:ind w:left="599"/>
              <w:rPr>
                <w:rFonts w:ascii="宋体" w:eastAsia="宋体" w:hAnsi="宋体" w:cs="宋体"/>
                <w:sz w:val="16"/>
                <w:szCs w:val="16"/>
              </w:rPr>
            </w:pPr>
            <w:r>
              <w:rPr>
                <w:rFonts w:ascii="宋体" w:eastAsia="宋体" w:hAnsi="宋体" w:cs="宋体"/>
                <w:spacing w:val="-4"/>
                <w:sz w:val="16"/>
                <w:szCs w:val="16"/>
              </w:rPr>
              <w:t>成</w:t>
            </w:r>
            <w:r>
              <w:rPr>
                <w:rFonts w:ascii="宋体" w:eastAsia="宋体" w:hAnsi="宋体" w:cs="宋体"/>
                <w:spacing w:val="4"/>
                <w:sz w:val="16"/>
                <w:szCs w:val="16"/>
              </w:rPr>
              <w:t xml:space="preserve">  </w:t>
            </w:r>
            <w:r>
              <w:rPr>
                <w:rFonts w:ascii="宋体" w:eastAsia="宋体" w:hAnsi="宋体" w:cs="宋体"/>
                <w:spacing w:val="-4"/>
                <w:sz w:val="16"/>
                <w:szCs w:val="16"/>
              </w:rPr>
              <w:t>分</w:t>
            </w:r>
          </w:p>
        </w:tc>
        <w:tc>
          <w:tcPr>
            <w:tcW w:w="819" w:type="dxa"/>
            <w:tcBorders>
              <w:top w:val="single" w:sz="4" w:space="0" w:color="000000"/>
              <w:bottom w:val="single" w:sz="4" w:space="0" w:color="000000"/>
            </w:tcBorders>
          </w:tcPr>
          <w:p w:rsidR="00EA40A3" w:rsidRDefault="00E86C16">
            <w:pPr>
              <w:spacing w:before="90" w:line="210" w:lineRule="auto"/>
              <w:ind w:left="241"/>
              <w:rPr>
                <w:rFonts w:ascii="宋体" w:eastAsia="宋体" w:hAnsi="宋体" w:cs="宋体"/>
                <w:sz w:val="16"/>
                <w:szCs w:val="16"/>
              </w:rPr>
            </w:pPr>
            <w:r>
              <w:rPr>
                <w:rFonts w:ascii="宋体" w:eastAsia="宋体" w:hAnsi="宋体" w:cs="宋体"/>
                <w:spacing w:val="-3"/>
                <w:sz w:val="16"/>
                <w:szCs w:val="16"/>
              </w:rPr>
              <w:t>水分</w:t>
            </w:r>
          </w:p>
        </w:tc>
        <w:tc>
          <w:tcPr>
            <w:tcW w:w="1007" w:type="dxa"/>
            <w:tcBorders>
              <w:top w:val="single" w:sz="4" w:space="0" w:color="000000"/>
              <w:bottom w:val="single" w:sz="4" w:space="0" w:color="000000"/>
            </w:tcBorders>
          </w:tcPr>
          <w:p w:rsidR="00EA40A3" w:rsidRDefault="00E86C16">
            <w:pPr>
              <w:spacing w:before="91" w:line="209" w:lineRule="auto"/>
              <w:ind w:left="272"/>
              <w:rPr>
                <w:rFonts w:ascii="宋体" w:eastAsia="宋体" w:hAnsi="宋体" w:cs="宋体"/>
                <w:sz w:val="16"/>
                <w:szCs w:val="16"/>
              </w:rPr>
            </w:pPr>
            <w:r>
              <w:rPr>
                <w:rFonts w:ascii="宋体" w:eastAsia="宋体" w:hAnsi="宋体" w:cs="宋体"/>
                <w:spacing w:val="6"/>
                <w:sz w:val="16"/>
                <w:szCs w:val="16"/>
              </w:rPr>
              <w:t>蛋白质</w:t>
            </w:r>
          </w:p>
        </w:tc>
        <w:tc>
          <w:tcPr>
            <w:tcW w:w="916" w:type="dxa"/>
            <w:tcBorders>
              <w:top w:val="single" w:sz="4" w:space="0" w:color="000000"/>
              <w:bottom w:val="single" w:sz="4" w:space="0" w:color="000000"/>
            </w:tcBorders>
          </w:tcPr>
          <w:p w:rsidR="00EA40A3" w:rsidRDefault="00E86C16">
            <w:pPr>
              <w:spacing w:before="91" w:line="209" w:lineRule="auto"/>
              <w:ind w:left="295"/>
              <w:rPr>
                <w:rFonts w:ascii="宋体" w:eastAsia="宋体" w:hAnsi="宋体" w:cs="宋体"/>
                <w:sz w:val="16"/>
                <w:szCs w:val="16"/>
              </w:rPr>
            </w:pPr>
            <w:r>
              <w:rPr>
                <w:rFonts w:ascii="宋体" w:eastAsia="宋体" w:hAnsi="宋体" w:cs="宋体"/>
                <w:spacing w:val="-2"/>
                <w:sz w:val="16"/>
                <w:szCs w:val="16"/>
              </w:rPr>
              <w:t>脂肪</w:t>
            </w:r>
          </w:p>
        </w:tc>
        <w:tc>
          <w:tcPr>
            <w:tcW w:w="961" w:type="dxa"/>
            <w:tcBorders>
              <w:top w:val="single" w:sz="4" w:space="0" w:color="000000"/>
              <w:bottom w:val="single" w:sz="4" w:space="0" w:color="000000"/>
            </w:tcBorders>
          </w:tcPr>
          <w:p w:rsidR="00EA40A3" w:rsidRDefault="00E86C16">
            <w:pPr>
              <w:spacing w:before="91" w:line="209" w:lineRule="auto"/>
              <w:ind w:left="319"/>
              <w:rPr>
                <w:rFonts w:ascii="宋体" w:eastAsia="宋体" w:hAnsi="宋体" w:cs="宋体"/>
                <w:sz w:val="16"/>
                <w:szCs w:val="16"/>
              </w:rPr>
            </w:pPr>
            <w:r>
              <w:rPr>
                <w:rFonts w:ascii="宋体" w:eastAsia="宋体" w:hAnsi="宋体" w:cs="宋体"/>
                <w:spacing w:val="-3"/>
                <w:sz w:val="16"/>
                <w:szCs w:val="16"/>
              </w:rPr>
              <w:t>总糖</w:t>
            </w:r>
          </w:p>
        </w:tc>
        <w:tc>
          <w:tcPr>
            <w:tcW w:w="911" w:type="dxa"/>
            <w:tcBorders>
              <w:top w:val="single" w:sz="4" w:space="0" w:color="000000"/>
              <w:bottom w:val="single" w:sz="4" w:space="0" w:color="000000"/>
            </w:tcBorders>
          </w:tcPr>
          <w:p w:rsidR="00EA40A3" w:rsidRDefault="00E86C16">
            <w:pPr>
              <w:spacing w:before="91" w:line="209" w:lineRule="auto"/>
              <w:ind w:left="298"/>
              <w:rPr>
                <w:rFonts w:ascii="宋体" w:eastAsia="宋体" w:hAnsi="宋体" w:cs="宋体"/>
                <w:sz w:val="16"/>
                <w:szCs w:val="16"/>
              </w:rPr>
            </w:pPr>
            <w:r>
              <w:rPr>
                <w:rFonts w:ascii="宋体" w:eastAsia="宋体" w:hAnsi="宋体" w:cs="宋体"/>
                <w:spacing w:val="-2"/>
                <w:sz w:val="16"/>
                <w:szCs w:val="16"/>
              </w:rPr>
              <w:t>蔗糖</w:t>
            </w:r>
          </w:p>
        </w:tc>
        <w:tc>
          <w:tcPr>
            <w:tcW w:w="1007" w:type="dxa"/>
            <w:tcBorders>
              <w:top w:val="single" w:sz="4" w:space="0" w:color="000000"/>
              <w:bottom w:val="single" w:sz="4" w:space="0" w:color="000000"/>
            </w:tcBorders>
          </w:tcPr>
          <w:p w:rsidR="00EA40A3" w:rsidRDefault="00E86C16">
            <w:pPr>
              <w:spacing w:before="81" w:line="219" w:lineRule="auto"/>
              <w:ind w:left="347"/>
              <w:rPr>
                <w:rFonts w:ascii="宋体" w:eastAsia="宋体" w:hAnsi="宋体" w:cs="宋体"/>
                <w:sz w:val="16"/>
                <w:szCs w:val="16"/>
              </w:rPr>
            </w:pPr>
            <w:r>
              <w:rPr>
                <w:rFonts w:ascii="宋体" w:eastAsia="宋体" w:hAnsi="宋体" w:cs="宋体"/>
                <w:spacing w:val="-2"/>
                <w:sz w:val="16"/>
                <w:szCs w:val="16"/>
              </w:rPr>
              <w:t>灰分</w:t>
            </w:r>
          </w:p>
        </w:tc>
      </w:tr>
      <w:tr w:rsidR="00EA40A3">
        <w:trPr>
          <w:trHeight w:val="307"/>
        </w:trPr>
        <w:tc>
          <w:tcPr>
            <w:tcW w:w="1708" w:type="dxa"/>
            <w:tcBorders>
              <w:top w:val="single" w:sz="4" w:space="0" w:color="000000"/>
            </w:tcBorders>
          </w:tcPr>
          <w:p w:rsidR="00EA40A3" w:rsidRDefault="00E86C16">
            <w:pPr>
              <w:spacing w:before="88" w:line="219" w:lineRule="auto"/>
              <w:ind w:left="520"/>
              <w:rPr>
                <w:rFonts w:ascii="宋体" w:eastAsia="宋体" w:hAnsi="宋体" w:cs="宋体"/>
                <w:sz w:val="16"/>
                <w:szCs w:val="16"/>
              </w:rPr>
            </w:pPr>
            <w:r>
              <w:rPr>
                <w:rFonts w:ascii="宋体" w:eastAsia="宋体" w:hAnsi="宋体" w:cs="宋体"/>
                <w:spacing w:val="-3"/>
                <w:sz w:val="16"/>
                <w:szCs w:val="16"/>
              </w:rPr>
              <w:t>育儿奶粉</w:t>
            </w:r>
          </w:p>
        </w:tc>
        <w:tc>
          <w:tcPr>
            <w:tcW w:w="819" w:type="dxa"/>
            <w:tcBorders>
              <w:top w:val="single" w:sz="4" w:space="0" w:color="000000"/>
            </w:tcBorders>
          </w:tcPr>
          <w:p w:rsidR="00EA40A3" w:rsidRDefault="00E86C16">
            <w:pPr>
              <w:spacing w:before="139" w:line="183" w:lineRule="auto"/>
              <w:ind w:left="241"/>
              <w:rPr>
                <w:rFonts w:ascii="宋体" w:eastAsia="宋体" w:hAnsi="宋体" w:cs="宋体"/>
                <w:sz w:val="16"/>
                <w:szCs w:val="16"/>
              </w:rPr>
            </w:pPr>
            <w:r>
              <w:rPr>
                <w:rFonts w:ascii="宋体" w:eastAsia="宋体" w:hAnsi="宋体" w:cs="宋体"/>
                <w:spacing w:val="-2"/>
                <w:sz w:val="16"/>
                <w:szCs w:val="16"/>
              </w:rPr>
              <w:t>2.27</w:t>
            </w:r>
          </w:p>
        </w:tc>
        <w:tc>
          <w:tcPr>
            <w:tcW w:w="1007" w:type="dxa"/>
            <w:tcBorders>
              <w:top w:val="single" w:sz="4" w:space="0" w:color="000000"/>
            </w:tcBorders>
          </w:tcPr>
          <w:p w:rsidR="00EA40A3" w:rsidRDefault="00E86C16">
            <w:pPr>
              <w:spacing w:before="139" w:line="184" w:lineRule="auto"/>
              <w:ind w:left="312"/>
              <w:rPr>
                <w:rFonts w:ascii="宋体" w:eastAsia="宋体" w:hAnsi="宋体" w:cs="宋体"/>
                <w:sz w:val="16"/>
                <w:szCs w:val="16"/>
              </w:rPr>
            </w:pPr>
            <w:r>
              <w:rPr>
                <w:rFonts w:ascii="宋体" w:eastAsia="宋体" w:hAnsi="宋体" w:cs="宋体"/>
                <w:spacing w:val="-3"/>
                <w:sz w:val="16"/>
                <w:szCs w:val="16"/>
              </w:rPr>
              <w:t>16.35</w:t>
            </w:r>
          </w:p>
        </w:tc>
        <w:tc>
          <w:tcPr>
            <w:tcW w:w="916" w:type="dxa"/>
            <w:tcBorders>
              <w:top w:val="single" w:sz="4" w:space="0" w:color="000000"/>
            </w:tcBorders>
          </w:tcPr>
          <w:p w:rsidR="00EA40A3" w:rsidRDefault="00E86C16">
            <w:pPr>
              <w:spacing w:before="159" w:line="170" w:lineRule="auto"/>
              <w:ind w:left="255"/>
              <w:rPr>
                <w:rFonts w:ascii="宋体" w:eastAsia="宋体" w:hAnsi="宋体" w:cs="宋体"/>
                <w:sz w:val="16"/>
                <w:szCs w:val="16"/>
              </w:rPr>
            </w:pPr>
            <w:r>
              <w:rPr>
                <w:rFonts w:ascii="宋体" w:eastAsia="宋体" w:hAnsi="宋体" w:cs="宋体"/>
                <w:spacing w:val="-2"/>
                <w:sz w:val="16"/>
                <w:szCs w:val="16"/>
              </w:rPr>
              <w:t>28.57</w:t>
            </w:r>
          </w:p>
        </w:tc>
        <w:tc>
          <w:tcPr>
            <w:tcW w:w="961" w:type="dxa"/>
            <w:tcBorders>
              <w:top w:val="single" w:sz="4" w:space="0" w:color="000000"/>
            </w:tcBorders>
          </w:tcPr>
          <w:p w:rsidR="00EA40A3" w:rsidRDefault="00E86C16">
            <w:pPr>
              <w:spacing w:before="129" w:line="183" w:lineRule="auto"/>
              <w:ind w:left="279"/>
              <w:rPr>
                <w:rFonts w:ascii="宋体" w:eastAsia="宋体" w:hAnsi="宋体" w:cs="宋体"/>
                <w:sz w:val="16"/>
                <w:szCs w:val="16"/>
              </w:rPr>
            </w:pPr>
            <w:r>
              <w:rPr>
                <w:rFonts w:ascii="宋体" w:eastAsia="宋体" w:hAnsi="宋体" w:cs="宋体"/>
                <w:spacing w:val="-1"/>
                <w:sz w:val="16"/>
                <w:szCs w:val="16"/>
              </w:rPr>
              <w:t>49.67</w:t>
            </w:r>
          </w:p>
        </w:tc>
        <w:tc>
          <w:tcPr>
            <w:tcW w:w="911" w:type="dxa"/>
            <w:tcBorders>
              <w:top w:val="single" w:sz="4" w:space="0" w:color="000000"/>
            </w:tcBorders>
          </w:tcPr>
          <w:p w:rsidR="00EA40A3" w:rsidRDefault="00E86C16">
            <w:pPr>
              <w:spacing w:before="130" w:line="182" w:lineRule="auto"/>
              <w:ind w:left="338"/>
              <w:rPr>
                <w:rFonts w:ascii="宋体" w:eastAsia="宋体" w:hAnsi="宋体" w:cs="宋体"/>
                <w:sz w:val="16"/>
                <w:szCs w:val="16"/>
              </w:rPr>
            </w:pPr>
            <w:r>
              <w:rPr>
                <w:rFonts w:ascii="宋体" w:eastAsia="宋体" w:hAnsi="宋体" w:cs="宋体"/>
                <w:spacing w:val="-3"/>
                <w:sz w:val="16"/>
                <w:szCs w:val="16"/>
              </w:rPr>
              <w:t>7.5</w:t>
            </w:r>
          </w:p>
        </w:tc>
        <w:tc>
          <w:tcPr>
            <w:tcW w:w="1007" w:type="dxa"/>
            <w:tcBorders>
              <w:top w:val="single" w:sz="4" w:space="0" w:color="000000"/>
            </w:tcBorders>
          </w:tcPr>
          <w:p w:rsidR="00EA40A3" w:rsidRDefault="00E86C16">
            <w:pPr>
              <w:spacing w:before="121" w:line="183" w:lineRule="auto"/>
              <w:ind w:left="308"/>
              <w:rPr>
                <w:rFonts w:ascii="宋体" w:eastAsia="宋体" w:hAnsi="宋体" w:cs="宋体"/>
                <w:sz w:val="16"/>
                <w:szCs w:val="16"/>
              </w:rPr>
            </w:pPr>
            <w:r>
              <w:rPr>
                <w:rFonts w:ascii="宋体" w:eastAsia="宋体" w:hAnsi="宋体" w:cs="宋体"/>
                <w:spacing w:val="-2"/>
                <w:sz w:val="16"/>
                <w:szCs w:val="16"/>
              </w:rPr>
              <w:t>,3.73</w:t>
            </w:r>
          </w:p>
        </w:tc>
      </w:tr>
      <w:tr w:rsidR="00EA40A3">
        <w:trPr>
          <w:trHeight w:val="268"/>
        </w:trPr>
        <w:tc>
          <w:tcPr>
            <w:tcW w:w="1708" w:type="dxa"/>
          </w:tcPr>
          <w:p w:rsidR="00EA40A3" w:rsidRDefault="00E86C16">
            <w:pPr>
              <w:spacing w:before="41" w:line="219" w:lineRule="auto"/>
              <w:ind w:left="359"/>
              <w:rPr>
                <w:rFonts w:ascii="宋体" w:eastAsia="宋体" w:hAnsi="宋体" w:cs="宋体"/>
                <w:sz w:val="16"/>
                <w:szCs w:val="16"/>
              </w:rPr>
            </w:pPr>
            <w:r>
              <w:rPr>
                <w:rFonts w:ascii="宋体" w:eastAsia="宋体" w:hAnsi="宋体" w:cs="宋体"/>
                <w:spacing w:val="-2"/>
                <w:sz w:val="16"/>
                <w:szCs w:val="16"/>
              </w:rPr>
              <w:t>婴儿配方奶粉</w:t>
            </w:r>
          </w:p>
        </w:tc>
        <w:tc>
          <w:tcPr>
            <w:tcW w:w="819" w:type="dxa"/>
          </w:tcPr>
          <w:p w:rsidR="00EA40A3" w:rsidRDefault="00E86C16">
            <w:pPr>
              <w:spacing w:before="102" w:line="183" w:lineRule="auto"/>
              <w:ind w:left="281"/>
              <w:rPr>
                <w:rFonts w:ascii="宋体" w:eastAsia="宋体" w:hAnsi="宋体" w:cs="宋体"/>
                <w:sz w:val="16"/>
                <w:szCs w:val="16"/>
              </w:rPr>
            </w:pPr>
            <w:r>
              <w:rPr>
                <w:rFonts w:ascii="宋体" w:eastAsia="宋体" w:hAnsi="宋体" w:cs="宋体"/>
                <w:spacing w:val="-2"/>
                <w:sz w:val="16"/>
                <w:szCs w:val="16"/>
              </w:rPr>
              <w:t>2.0</w:t>
            </w:r>
          </w:p>
        </w:tc>
        <w:tc>
          <w:tcPr>
            <w:tcW w:w="1007" w:type="dxa"/>
          </w:tcPr>
          <w:p w:rsidR="00EA40A3" w:rsidRDefault="00E86C16">
            <w:pPr>
              <w:spacing w:before="101" w:line="184" w:lineRule="auto"/>
              <w:ind w:left="312"/>
              <w:rPr>
                <w:rFonts w:ascii="宋体" w:eastAsia="宋体" w:hAnsi="宋体" w:cs="宋体"/>
                <w:sz w:val="16"/>
                <w:szCs w:val="16"/>
              </w:rPr>
            </w:pPr>
            <w:r>
              <w:rPr>
                <w:rFonts w:ascii="宋体" w:eastAsia="宋体" w:hAnsi="宋体" w:cs="宋体"/>
                <w:spacing w:val="-3"/>
                <w:sz w:val="16"/>
                <w:szCs w:val="16"/>
              </w:rPr>
              <w:t>18.67</w:t>
            </w:r>
          </w:p>
        </w:tc>
        <w:tc>
          <w:tcPr>
            <w:tcW w:w="916" w:type="dxa"/>
          </w:tcPr>
          <w:p w:rsidR="00EA40A3" w:rsidRDefault="00E86C16">
            <w:pPr>
              <w:spacing w:before="112" w:line="179" w:lineRule="auto"/>
              <w:ind w:left="295"/>
              <w:rPr>
                <w:rFonts w:ascii="宋体" w:eastAsia="宋体" w:hAnsi="宋体" w:cs="宋体"/>
                <w:sz w:val="16"/>
                <w:szCs w:val="16"/>
              </w:rPr>
            </w:pPr>
            <w:r>
              <w:rPr>
                <w:rFonts w:ascii="宋体" w:eastAsia="宋体" w:hAnsi="宋体" w:cs="宋体"/>
                <w:spacing w:val="-2"/>
                <w:sz w:val="16"/>
                <w:szCs w:val="16"/>
              </w:rPr>
              <w:t>26.8</w:t>
            </w:r>
          </w:p>
        </w:tc>
        <w:tc>
          <w:tcPr>
            <w:tcW w:w="961" w:type="dxa"/>
          </w:tcPr>
          <w:p w:rsidR="00EA40A3" w:rsidRDefault="00E86C16">
            <w:pPr>
              <w:spacing w:before="103" w:line="182" w:lineRule="auto"/>
              <w:ind w:left="279"/>
              <w:rPr>
                <w:rFonts w:ascii="宋体" w:eastAsia="宋体" w:hAnsi="宋体" w:cs="宋体"/>
                <w:sz w:val="16"/>
                <w:szCs w:val="16"/>
              </w:rPr>
            </w:pPr>
            <w:r>
              <w:rPr>
                <w:rFonts w:ascii="宋体" w:eastAsia="宋体" w:hAnsi="宋体" w:cs="宋体"/>
                <w:spacing w:val="-2"/>
                <w:sz w:val="16"/>
                <w:szCs w:val="16"/>
              </w:rPr>
              <w:t>55.75</w:t>
            </w:r>
          </w:p>
        </w:tc>
        <w:tc>
          <w:tcPr>
            <w:tcW w:w="911" w:type="dxa"/>
          </w:tcPr>
          <w:p w:rsidR="00EA40A3" w:rsidRDefault="00E86C16">
            <w:pPr>
              <w:spacing w:before="102" w:line="183" w:lineRule="auto"/>
              <w:ind w:left="338"/>
              <w:rPr>
                <w:rFonts w:ascii="宋体" w:eastAsia="宋体" w:hAnsi="宋体" w:cs="宋体"/>
                <w:sz w:val="16"/>
                <w:szCs w:val="16"/>
              </w:rPr>
            </w:pPr>
            <w:r>
              <w:rPr>
                <w:rFonts w:ascii="宋体" w:eastAsia="宋体" w:hAnsi="宋体" w:cs="宋体"/>
                <w:spacing w:val="-3"/>
                <w:sz w:val="16"/>
                <w:szCs w:val="16"/>
              </w:rPr>
              <w:t>5.0</w:t>
            </w:r>
          </w:p>
        </w:tc>
        <w:tc>
          <w:tcPr>
            <w:tcW w:w="1007" w:type="dxa"/>
          </w:tcPr>
          <w:p w:rsidR="00EA40A3" w:rsidRDefault="00E86C16">
            <w:pPr>
              <w:spacing w:before="112" w:line="179" w:lineRule="auto"/>
              <w:ind w:left="387"/>
              <w:rPr>
                <w:rFonts w:ascii="宋体" w:eastAsia="宋体" w:hAnsi="宋体" w:cs="宋体"/>
                <w:sz w:val="16"/>
                <w:szCs w:val="16"/>
              </w:rPr>
            </w:pPr>
            <w:r>
              <w:rPr>
                <w:rFonts w:ascii="宋体" w:eastAsia="宋体" w:hAnsi="宋体" w:cs="宋体"/>
                <w:spacing w:val="-2"/>
                <w:sz w:val="16"/>
                <w:szCs w:val="16"/>
              </w:rPr>
              <w:t>2.0</w:t>
            </w:r>
          </w:p>
        </w:tc>
      </w:tr>
      <w:tr w:rsidR="00EA40A3">
        <w:trPr>
          <w:trHeight w:val="268"/>
        </w:trPr>
        <w:tc>
          <w:tcPr>
            <w:tcW w:w="1708" w:type="dxa"/>
          </w:tcPr>
          <w:p w:rsidR="00EA40A3" w:rsidRDefault="00E86C16">
            <w:pPr>
              <w:spacing w:before="53" w:line="219" w:lineRule="auto"/>
              <w:ind w:left="199"/>
              <w:rPr>
                <w:rFonts w:ascii="宋体" w:eastAsia="宋体" w:hAnsi="宋体" w:cs="宋体"/>
                <w:sz w:val="16"/>
                <w:szCs w:val="16"/>
              </w:rPr>
            </w:pPr>
            <w:r>
              <w:rPr>
                <w:rFonts w:ascii="宋体" w:eastAsia="宋体" w:hAnsi="宋体" w:cs="宋体"/>
                <w:spacing w:val="-1"/>
                <w:sz w:val="16"/>
                <w:szCs w:val="16"/>
              </w:rPr>
              <w:t>美国S-26婴儿奶粉</w:t>
            </w:r>
          </w:p>
        </w:tc>
        <w:tc>
          <w:tcPr>
            <w:tcW w:w="819" w:type="dxa"/>
          </w:tcPr>
          <w:p w:rsidR="00EA40A3" w:rsidRDefault="00E86C16">
            <w:pPr>
              <w:spacing w:before="94" w:line="183" w:lineRule="auto"/>
              <w:ind w:left="281"/>
              <w:rPr>
                <w:rFonts w:ascii="宋体" w:eastAsia="宋体" w:hAnsi="宋体" w:cs="宋体"/>
                <w:sz w:val="16"/>
                <w:szCs w:val="16"/>
              </w:rPr>
            </w:pPr>
            <w:r>
              <w:rPr>
                <w:rFonts w:ascii="宋体" w:eastAsia="宋体" w:hAnsi="宋体" w:cs="宋体"/>
                <w:spacing w:val="-2"/>
                <w:sz w:val="16"/>
                <w:szCs w:val="16"/>
              </w:rPr>
              <w:t>2.0</w:t>
            </w:r>
          </w:p>
        </w:tc>
        <w:tc>
          <w:tcPr>
            <w:tcW w:w="1007" w:type="dxa"/>
          </w:tcPr>
          <w:p w:rsidR="00EA40A3" w:rsidRDefault="00E86C16">
            <w:pPr>
              <w:spacing w:before="94" w:line="184" w:lineRule="auto"/>
              <w:ind w:left="352"/>
              <w:rPr>
                <w:rFonts w:ascii="宋体" w:eastAsia="宋体" w:hAnsi="宋体" w:cs="宋体"/>
                <w:sz w:val="16"/>
                <w:szCs w:val="16"/>
              </w:rPr>
            </w:pPr>
            <w:r>
              <w:rPr>
                <w:rFonts w:ascii="宋体" w:eastAsia="宋体" w:hAnsi="宋体" w:cs="宋体"/>
                <w:spacing w:val="-4"/>
                <w:sz w:val="16"/>
                <w:szCs w:val="16"/>
              </w:rPr>
              <w:t>12.0</w:t>
            </w:r>
          </w:p>
        </w:tc>
        <w:tc>
          <w:tcPr>
            <w:tcW w:w="916" w:type="dxa"/>
          </w:tcPr>
          <w:p w:rsidR="00EA40A3" w:rsidRDefault="00E86C16">
            <w:pPr>
              <w:spacing w:before="94" w:line="183" w:lineRule="auto"/>
              <w:ind w:left="295"/>
              <w:rPr>
                <w:rFonts w:ascii="宋体" w:eastAsia="宋体" w:hAnsi="宋体" w:cs="宋体"/>
                <w:sz w:val="16"/>
                <w:szCs w:val="16"/>
              </w:rPr>
            </w:pPr>
            <w:r>
              <w:rPr>
                <w:rFonts w:ascii="宋体" w:eastAsia="宋体" w:hAnsi="宋体" w:cs="宋体"/>
                <w:spacing w:val="-2"/>
                <w:sz w:val="16"/>
                <w:szCs w:val="16"/>
              </w:rPr>
              <w:t>28.0</w:t>
            </w:r>
          </w:p>
        </w:tc>
        <w:tc>
          <w:tcPr>
            <w:tcW w:w="961" w:type="dxa"/>
          </w:tcPr>
          <w:p w:rsidR="00EA40A3" w:rsidRDefault="00E86C16">
            <w:pPr>
              <w:spacing w:before="94" w:line="183" w:lineRule="auto"/>
              <w:ind w:left="310"/>
              <w:rPr>
                <w:rFonts w:ascii="宋体" w:eastAsia="宋体" w:hAnsi="宋体" w:cs="宋体"/>
                <w:sz w:val="16"/>
                <w:szCs w:val="16"/>
              </w:rPr>
            </w:pPr>
            <w:r>
              <w:rPr>
                <w:rFonts w:ascii="宋体" w:eastAsia="宋体" w:hAnsi="宋体" w:cs="宋体"/>
                <w:spacing w:val="-2"/>
                <w:sz w:val="16"/>
                <w:szCs w:val="16"/>
              </w:rPr>
              <w:t>58.0</w:t>
            </w:r>
          </w:p>
        </w:tc>
        <w:tc>
          <w:tcPr>
            <w:tcW w:w="911" w:type="dxa"/>
          </w:tcPr>
          <w:p w:rsidR="00EA40A3" w:rsidRDefault="00EA40A3"/>
        </w:tc>
        <w:tc>
          <w:tcPr>
            <w:tcW w:w="1007" w:type="dxa"/>
          </w:tcPr>
          <w:p w:rsidR="00EA40A3" w:rsidRDefault="00E86C16">
            <w:pPr>
              <w:spacing w:before="94" w:line="183" w:lineRule="auto"/>
              <w:ind w:left="387"/>
              <w:rPr>
                <w:rFonts w:ascii="宋体" w:eastAsia="宋体" w:hAnsi="宋体" w:cs="宋体"/>
                <w:sz w:val="16"/>
                <w:szCs w:val="16"/>
              </w:rPr>
            </w:pPr>
            <w:r>
              <w:rPr>
                <w:rFonts w:ascii="宋体" w:eastAsia="宋体" w:hAnsi="宋体" w:cs="宋体"/>
                <w:spacing w:val="-2"/>
                <w:sz w:val="16"/>
                <w:szCs w:val="16"/>
              </w:rPr>
              <w:t>2.0</w:t>
            </w:r>
          </w:p>
        </w:tc>
      </w:tr>
      <w:tr w:rsidR="00EA40A3">
        <w:trPr>
          <w:trHeight w:val="253"/>
        </w:trPr>
        <w:tc>
          <w:tcPr>
            <w:tcW w:w="1708" w:type="dxa"/>
            <w:tcBorders>
              <w:bottom w:val="single" w:sz="4" w:space="0" w:color="000000"/>
            </w:tcBorders>
          </w:tcPr>
          <w:p w:rsidR="00EA40A3" w:rsidRDefault="00E86C16">
            <w:pPr>
              <w:spacing w:before="75" w:line="205" w:lineRule="auto"/>
              <w:ind w:left="199"/>
              <w:rPr>
                <w:rFonts w:ascii="宋体" w:eastAsia="宋体" w:hAnsi="宋体" w:cs="宋体"/>
                <w:sz w:val="16"/>
                <w:szCs w:val="16"/>
              </w:rPr>
            </w:pPr>
            <w:r>
              <w:rPr>
                <w:rFonts w:ascii="宋体" w:eastAsia="宋体" w:hAnsi="宋体" w:cs="宋体"/>
                <w:spacing w:val="-1"/>
                <w:sz w:val="16"/>
                <w:szCs w:val="16"/>
              </w:rPr>
              <w:t>新西兰母乳化奶粉</w:t>
            </w:r>
          </w:p>
        </w:tc>
        <w:tc>
          <w:tcPr>
            <w:tcW w:w="819" w:type="dxa"/>
            <w:tcBorders>
              <w:bottom w:val="single" w:sz="4" w:space="0" w:color="000000"/>
            </w:tcBorders>
          </w:tcPr>
          <w:p w:rsidR="00EA40A3" w:rsidRDefault="00E86C16">
            <w:pPr>
              <w:spacing w:before="96" w:line="180" w:lineRule="auto"/>
              <w:ind w:left="281"/>
              <w:rPr>
                <w:rFonts w:ascii="宋体" w:eastAsia="宋体" w:hAnsi="宋体" w:cs="宋体"/>
                <w:sz w:val="16"/>
                <w:szCs w:val="16"/>
              </w:rPr>
            </w:pPr>
            <w:r>
              <w:rPr>
                <w:rFonts w:ascii="宋体" w:eastAsia="宋体" w:hAnsi="宋体" w:cs="宋体"/>
                <w:spacing w:val="-2"/>
                <w:sz w:val="16"/>
                <w:szCs w:val="16"/>
              </w:rPr>
              <w:t>2.8</w:t>
            </w:r>
          </w:p>
        </w:tc>
        <w:tc>
          <w:tcPr>
            <w:tcW w:w="1007" w:type="dxa"/>
            <w:tcBorders>
              <w:bottom w:val="single" w:sz="4" w:space="0" w:color="000000"/>
            </w:tcBorders>
          </w:tcPr>
          <w:p w:rsidR="00EA40A3" w:rsidRDefault="00E86C16">
            <w:pPr>
              <w:spacing w:before="96" w:line="181" w:lineRule="auto"/>
              <w:ind w:left="352"/>
              <w:rPr>
                <w:rFonts w:ascii="宋体" w:eastAsia="宋体" w:hAnsi="宋体" w:cs="宋体"/>
                <w:sz w:val="16"/>
                <w:szCs w:val="16"/>
              </w:rPr>
            </w:pPr>
            <w:r>
              <w:rPr>
                <w:rFonts w:ascii="宋体" w:eastAsia="宋体" w:hAnsi="宋体" w:cs="宋体"/>
                <w:spacing w:val="-4"/>
                <w:sz w:val="16"/>
                <w:szCs w:val="16"/>
              </w:rPr>
              <w:t>15.0</w:t>
            </w:r>
          </w:p>
        </w:tc>
        <w:tc>
          <w:tcPr>
            <w:tcW w:w="916" w:type="dxa"/>
            <w:tcBorders>
              <w:bottom w:val="single" w:sz="4" w:space="0" w:color="000000"/>
            </w:tcBorders>
          </w:tcPr>
          <w:p w:rsidR="00EA40A3" w:rsidRDefault="00E86C16">
            <w:pPr>
              <w:spacing w:before="96" w:line="180" w:lineRule="auto"/>
              <w:ind w:left="295"/>
              <w:rPr>
                <w:rFonts w:ascii="宋体" w:eastAsia="宋体" w:hAnsi="宋体" w:cs="宋体"/>
                <w:sz w:val="16"/>
                <w:szCs w:val="16"/>
              </w:rPr>
            </w:pPr>
            <w:r>
              <w:rPr>
                <w:rFonts w:ascii="宋体" w:eastAsia="宋体" w:hAnsi="宋体" w:cs="宋体"/>
                <w:spacing w:val="-2"/>
                <w:sz w:val="16"/>
                <w:szCs w:val="16"/>
              </w:rPr>
              <w:t>27.0</w:t>
            </w:r>
          </w:p>
        </w:tc>
        <w:tc>
          <w:tcPr>
            <w:tcW w:w="961" w:type="dxa"/>
            <w:tcBorders>
              <w:bottom w:val="single" w:sz="4" w:space="0" w:color="000000"/>
            </w:tcBorders>
          </w:tcPr>
          <w:p w:rsidR="00EA40A3" w:rsidRDefault="00E86C16">
            <w:pPr>
              <w:spacing w:before="96" w:line="180" w:lineRule="auto"/>
              <w:ind w:left="310"/>
              <w:rPr>
                <w:rFonts w:ascii="宋体" w:eastAsia="宋体" w:hAnsi="宋体" w:cs="宋体"/>
                <w:sz w:val="16"/>
                <w:szCs w:val="16"/>
              </w:rPr>
            </w:pPr>
            <w:r>
              <w:rPr>
                <w:rFonts w:ascii="宋体" w:eastAsia="宋体" w:hAnsi="宋体" w:cs="宋体"/>
                <w:spacing w:val="-2"/>
                <w:sz w:val="16"/>
                <w:szCs w:val="16"/>
              </w:rPr>
              <w:t>52.5</w:t>
            </w:r>
          </w:p>
        </w:tc>
        <w:tc>
          <w:tcPr>
            <w:tcW w:w="911" w:type="dxa"/>
            <w:tcBorders>
              <w:bottom w:val="single" w:sz="4" w:space="0" w:color="000000"/>
            </w:tcBorders>
          </w:tcPr>
          <w:p w:rsidR="00EA40A3" w:rsidRDefault="00EA40A3"/>
        </w:tc>
        <w:tc>
          <w:tcPr>
            <w:tcW w:w="1007" w:type="dxa"/>
            <w:tcBorders>
              <w:bottom w:val="single" w:sz="4" w:space="0" w:color="000000"/>
            </w:tcBorders>
          </w:tcPr>
          <w:p w:rsidR="00EA40A3" w:rsidRDefault="00E86C16">
            <w:pPr>
              <w:spacing w:before="126" w:line="126" w:lineRule="exact"/>
              <w:ind w:left="387"/>
              <w:rPr>
                <w:rFonts w:ascii="宋体" w:eastAsia="宋体" w:hAnsi="宋体" w:cs="宋体"/>
                <w:sz w:val="16"/>
                <w:szCs w:val="16"/>
              </w:rPr>
            </w:pPr>
            <w:r>
              <w:rPr>
                <w:rFonts w:ascii="宋体" w:eastAsia="宋体" w:hAnsi="宋体" w:cs="宋体"/>
                <w:spacing w:val="-2"/>
                <w:position w:val="-2"/>
                <w:sz w:val="16"/>
                <w:szCs w:val="16"/>
              </w:rPr>
              <w:t>2.7</w:t>
            </w:r>
          </w:p>
        </w:tc>
      </w:tr>
    </w:tbl>
    <w:p w:rsidR="00EA40A3" w:rsidRDefault="00E86C16">
      <w:pPr>
        <w:spacing w:before="81" w:line="219" w:lineRule="auto"/>
        <w:ind w:left="349"/>
        <w:rPr>
          <w:rFonts w:ascii="宋体" w:eastAsia="宋体" w:hAnsi="宋体" w:cs="宋体"/>
          <w:sz w:val="16"/>
          <w:szCs w:val="16"/>
        </w:rPr>
      </w:pPr>
      <w:r>
        <w:rPr>
          <w:rFonts w:ascii="宋体" w:eastAsia="宋体" w:hAnsi="宋体" w:cs="宋体"/>
          <w:sz w:val="16"/>
          <w:szCs w:val="16"/>
        </w:rPr>
        <w:t>资料来源：刘程、江小梅.1994.当代新型食品</w:t>
      </w:r>
      <w:r>
        <w:rPr>
          <w:rFonts w:ascii="宋体" w:eastAsia="宋体" w:hAnsi="宋体" w:cs="宋体"/>
          <w:spacing w:val="-1"/>
          <w:sz w:val="16"/>
          <w:szCs w:val="16"/>
        </w:rPr>
        <w:t>.北京：北京工业大学出版社</w:t>
      </w:r>
    </w:p>
    <w:p w:rsidR="00EA40A3" w:rsidRDefault="00E86C16">
      <w:pPr>
        <w:spacing w:before="231" w:line="222" w:lineRule="auto"/>
        <w:rPr>
          <w:rFonts w:ascii="仿宋" w:eastAsia="仿宋" w:hAnsi="仿宋" w:cs="仿宋"/>
        </w:rPr>
      </w:pPr>
      <w:r>
        <w:rPr>
          <w:rFonts w:ascii="仿宋" w:eastAsia="仿宋" w:hAnsi="仿宋" w:cs="仿宋"/>
          <w:spacing w:val="18"/>
        </w:rPr>
        <w:t>3.</w:t>
      </w:r>
      <w:r>
        <w:rPr>
          <w:rFonts w:ascii="仿宋" w:eastAsia="仿宋" w:hAnsi="仿宋" w:cs="仿宋"/>
          <w:spacing w:val="38"/>
        </w:rPr>
        <w:t xml:space="preserve"> </w:t>
      </w:r>
      <w:r>
        <w:rPr>
          <w:rFonts w:ascii="仿宋" w:eastAsia="仿宋" w:hAnsi="仿宋" w:cs="仿宋"/>
          <w:spacing w:val="18"/>
        </w:rPr>
        <w:t>强化大豆儿童食品</w:t>
      </w:r>
    </w:p>
    <w:p w:rsidR="00EA40A3" w:rsidRDefault="00E86C16">
      <w:pPr>
        <w:spacing w:before="220" w:line="258" w:lineRule="auto"/>
        <w:ind w:right="35" w:firstLine="449"/>
        <w:jc w:val="both"/>
        <w:rPr>
          <w:rFonts w:ascii="宋体" w:eastAsia="宋体" w:hAnsi="宋体" w:cs="宋体"/>
        </w:rPr>
      </w:pPr>
      <w:r>
        <w:rPr>
          <w:rFonts w:ascii="宋体" w:eastAsia="宋体" w:hAnsi="宋体" w:cs="宋体"/>
          <w:spacing w:val="7"/>
        </w:rPr>
        <w:t>大豆类包括黄豆、青豆和黑豆。大豆中含蛋白质40%左右，虽然是植物性</w:t>
      </w:r>
      <w:r>
        <w:rPr>
          <w:rFonts w:ascii="宋体" w:eastAsia="宋体" w:hAnsi="宋体" w:cs="宋体"/>
          <w:spacing w:val="1"/>
        </w:rPr>
        <w:t xml:space="preserve"> </w:t>
      </w:r>
      <w:r>
        <w:rPr>
          <w:rFonts w:ascii="宋体" w:eastAsia="宋体" w:hAnsi="宋体" w:cs="宋体"/>
          <w:spacing w:val="-3"/>
        </w:rPr>
        <w:t>蛋白质，但其氨基酸组成跟动物蛋白质很接近，生理价值接近肉类，却比肉类所</w:t>
      </w:r>
      <w:r>
        <w:rPr>
          <w:rFonts w:ascii="宋体" w:eastAsia="宋体" w:hAnsi="宋体" w:cs="宋体"/>
          <w:spacing w:val="11"/>
        </w:rPr>
        <w:t xml:space="preserve"> </w:t>
      </w:r>
      <w:r>
        <w:rPr>
          <w:rFonts w:ascii="宋体" w:eastAsia="宋体" w:hAnsi="宋体" w:cs="宋体"/>
          <w:spacing w:val="6"/>
        </w:rPr>
        <w:t>含的脂肪低。其所含必需氨基酸中，只有蛋氨酸稍不足。大豆含脂肪约18%左</w:t>
      </w:r>
      <w:r>
        <w:rPr>
          <w:rFonts w:ascii="宋体" w:eastAsia="宋体" w:hAnsi="宋体" w:cs="宋体"/>
        </w:rPr>
        <w:t xml:space="preserve">  </w:t>
      </w:r>
      <w:r>
        <w:rPr>
          <w:rFonts w:ascii="宋体" w:eastAsia="宋体" w:hAnsi="宋体" w:cs="宋体"/>
          <w:spacing w:val="-1"/>
        </w:rPr>
        <w:t>右，其脂肪中含有较多的不饱和脂肪酸，熔点低，易消化，是儿童的良好食品。</w:t>
      </w:r>
      <w:r>
        <w:rPr>
          <w:rFonts w:ascii="宋体" w:eastAsia="宋体" w:hAnsi="宋体" w:cs="宋体"/>
          <w:spacing w:val="18"/>
        </w:rPr>
        <w:t xml:space="preserve"> </w:t>
      </w:r>
      <w:r>
        <w:rPr>
          <w:rFonts w:ascii="宋体" w:eastAsia="宋体" w:hAnsi="宋体" w:cs="宋体"/>
        </w:rPr>
        <w:t>大豆中所含的不饱和脂肪酸可使血胆固醇和低密度脂蛋白(可导致动脉粥样硬化</w:t>
      </w:r>
      <w:r>
        <w:rPr>
          <w:rFonts w:ascii="宋体" w:eastAsia="宋体" w:hAnsi="宋体" w:cs="宋体"/>
          <w:spacing w:val="12"/>
        </w:rPr>
        <w:t xml:space="preserve"> </w:t>
      </w:r>
      <w:r>
        <w:rPr>
          <w:rFonts w:ascii="宋体" w:eastAsia="宋体" w:hAnsi="宋体" w:cs="宋体"/>
          <w:spacing w:val="1"/>
        </w:rPr>
        <w:t>的脂蛋白)降低，所以食用大豆制品有利于防治动脉粥样硬化</w:t>
      </w:r>
      <w:r>
        <w:rPr>
          <w:rFonts w:ascii="宋体" w:eastAsia="宋体" w:hAnsi="宋体" w:cs="宋体"/>
        </w:rPr>
        <w:t xml:space="preserve">和冠心病。大豆中 </w:t>
      </w:r>
      <w:r>
        <w:rPr>
          <w:rFonts w:ascii="宋体" w:eastAsia="宋体" w:hAnsi="宋体" w:cs="宋体"/>
          <w:spacing w:val="4"/>
        </w:rPr>
        <w:t>还富含磷脂，这种物质对于生长发育、神经活动</w:t>
      </w:r>
      <w:r>
        <w:rPr>
          <w:rFonts w:ascii="宋体" w:eastAsia="宋体" w:hAnsi="宋体" w:cs="宋体"/>
          <w:spacing w:val="3"/>
        </w:rPr>
        <w:t>及延缓脑细胞衰老具有重要作</w:t>
      </w:r>
      <w:r>
        <w:rPr>
          <w:rFonts w:ascii="宋体" w:eastAsia="宋体" w:hAnsi="宋体" w:cs="宋体"/>
        </w:rPr>
        <w:t xml:space="preserve"> </w:t>
      </w:r>
      <w:r>
        <w:rPr>
          <w:rFonts w:ascii="宋体" w:eastAsia="宋体" w:hAnsi="宋体" w:cs="宋体"/>
          <w:spacing w:val="-2"/>
        </w:rPr>
        <w:t>用，而且磷脂在血液中可防止胆固醇在血管壁上沉积，</w:t>
      </w:r>
      <w:r>
        <w:rPr>
          <w:rFonts w:ascii="宋体" w:eastAsia="宋体" w:hAnsi="宋体" w:cs="宋体"/>
          <w:spacing w:val="-3"/>
        </w:rPr>
        <w:t>所以也是其他人群，特别</w:t>
      </w:r>
    </w:p>
    <w:p w:rsidR="00EA40A3" w:rsidRDefault="00E86C16">
      <w:pPr>
        <w:spacing w:before="86"/>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272</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footerReference w:type="default" r:id="rId233"/>
          <w:pgSz w:w="9220" w:h="13360"/>
          <w:pgMar w:top="400" w:right="1029" w:bottom="400" w:left="820" w:header="0" w:footer="0" w:gutter="0"/>
          <w:cols w:space="720"/>
        </w:sectPr>
      </w:pPr>
    </w:p>
    <w:p w:rsidR="00EA40A3" w:rsidRDefault="00EA40A3">
      <w:pPr>
        <w:spacing w:line="315" w:lineRule="auto"/>
      </w:pPr>
    </w:p>
    <w:p w:rsidR="00EA40A3" w:rsidRDefault="00EA40A3">
      <w:pPr>
        <w:spacing w:line="316" w:lineRule="auto"/>
      </w:pPr>
    </w:p>
    <w:p w:rsidR="00EA40A3" w:rsidRDefault="00E86C16">
      <w:pPr>
        <w:spacing w:before="62" w:line="281" w:lineRule="auto"/>
        <w:ind w:right="53"/>
        <w:jc w:val="both"/>
        <w:rPr>
          <w:rFonts w:ascii="宋体" w:eastAsia="宋体" w:hAnsi="宋体" w:cs="宋体"/>
          <w:sz w:val="19"/>
          <w:szCs w:val="19"/>
        </w:rPr>
      </w:pPr>
      <w:r>
        <w:rPr>
          <w:rFonts w:ascii="宋体" w:eastAsia="宋体" w:hAnsi="宋体" w:cs="宋体"/>
          <w:spacing w:val="17"/>
          <w:sz w:val="19"/>
          <w:szCs w:val="19"/>
        </w:rPr>
        <w:t>是中老年人的良好食品。但大豆中也存在一些有害物质，如皂角素、胰蛋</w:t>
      </w:r>
      <w:r>
        <w:rPr>
          <w:rFonts w:ascii="宋体" w:eastAsia="宋体" w:hAnsi="宋体" w:cs="宋体"/>
          <w:spacing w:val="16"/>
          <w:sz w:val="19"/>
          <w:szCs w:val="19"/>
        </w:rPr>
        <w:t>白酶抑</w:t>
      </w:r>
      <w:r>
        <w:rPr>
          <w:rFonts w:ascii="宋体" w:eastAsia="宋体" w:hAnsi="宋体" w:cs="宋体"/>
          <w:sz w:val="19"/>
          <w:szCs w:val="19"/>
        </w:rPr>
        <w:t xml:space="preserve"> </w:t>
      </w:r>
      <w:r>
        <w:rPr>
          <w:rFonts w:ascii="宋体" w:eastAsia="宋体" w:hAnsi="宋体" w:cs="宋体"/>
          <w:spacing w:val="17"/>
          <w:sz w:val="19"/>
          <w:szCs w:val="19"/>
        </w:rPr>
        <w:t>制素、植物红细胞凝血素、豆腥味等，影响大豆的食用性和营养</w:t>
      </w:r>
      <w:r>
        <w:rPr>
          <w:rFonts w:ascii="宋体" w:eastAsia="宋体" w:hAnsi="宋体" w:cs="宋体"/>
          <w:spacing w:val="16"/>
          <w:sz w:val="19"/>
          <w:szCs w:val="19"/>
        </w:rPr>
        <w:t>价值，加工中应</w:t>
      </w:r>
      <w:r>
        <w:rPr>
          <w:rFonts w:ascii="宋体" w:eastAsia="宋体" w:hAnsi="宋体" w:cs="宋体"/>
          <w:sz w:val="19"/>
          <w:szCs w:val="19"/>
        </w:rPr>
        <w:t xml:space="preserve"> </w:t>
      </w:r>
      <w:r>
        <w:rPr>
          <w:rFonts w:ascii="宋体" w:eastAsia="宋体" w:hAnsi="宋体" w:cs="宋体"/>
          <w:spacing w:val="6"/>
          <w:sz w:val="19"/>
          <w:szCs w:val="19"/>
        </w:rPr>
        <w:t>引起注意。</w:t>
      </w:r>
    </w:p>
    <w:p w:rsidR="00EA40A3" w:rsidRDefault="00E86C16">
      <w:pPr>
        <w:spacing w:before="37" w:line="290" w:lineRule="auto"/>
        <w:ind w:right="21" w:firstLine="469"/>
        <w:jc w:val="both"/>
        <w:rPr>
          <w:rFonts w:ascii="宋体" w:eastAsia="宋体" w:hAnsi="宋体" w:cs="宋体"/>
          <w:sz w:val="19"/>
          <w:szCs w:val="19"/>
        </w:rPr>
      </w:pPr>
      <w:r>
        <w:rPr>
          <w:rFonts w:ascii="宋体" w:eastAsia="宋体" w:hAnsi="宋体" w:cs="宋体"/>
          <w:spacing w:val="17"/>
          <w:sz w:val="19"/>
          <w:szCs w:val="19"/>
        </w:rPr>
        <w:t>大豆食品中强化的营养成分各国有所不同，例如，美国产品</w:t>
      </w:r>
      <w:r>
        <w:rPr>
          <w:rFonts w:ascii="宋体" w:eastAsia="宋体" w:hAnsi="宋体" w:cs="宋体"/>
          <w:spacing w:val="5"/>
          <w:sz w:val="19"/>
          <w:szCs w:val="19"/>
        </w:rPr>
        <w:t xml:space="preserve"> </w:t>
      </w:r>
      <w:r>
        <w:rPr>
          <w:rFonts w:ascii="宋体" w:eastAsia="宋体" w:hAnsi="宋体" w:cs="宋体"/>
          <w:spacing w:val="17"/>
          <w:sz w:val="19"/>
          <w:szCs w:val="19"/>
        </w:rPr>
        <w:t>“</w:t>
      </w:r>
      <w:r>
        <w:rPr>
          <w:rFonts w:ascii="宋体" w:eastAsia="宋体" w:hAnsi="宋体" w:cs="宋体"/>
          <w:sz w:val="19"/>
          <w:szCs w:val="19"/>
        </w:rPr>
        <w:t>Soyalac</w:t>
      </w:r>
      <w:r>
        <w:rPr>
          <w:rFonts w:ascii="宋体" w:eastAsia="宋体" w:hAnsi="宋体" w:cs="宋体"/>
          <w:spacing w:val="17"/>
          <w:sz w:val="19"/>
          <w:szCs w:val="19"/>
        </w:rPr>
        <w:t>”</w:t>
      </w:r>
      <w:r>
        <w:rPr>
          <w:rFonts w:ascii="宋体" w:eastAsia="宋体" w:hAnsi="宋体" w:cs="宋体"/>
          <w:spacing w:val="-61"/>
          <w:sz w:val="19"/>
          <w:szCs w:val="19"/>
        </w:rPr>
        <w:t xml:space="preserve"> </w:t>
      </w:r>
      <w:r>
        <w:rPr>
          <w:rFonts w:ascii="宋体" w:eastAsia="宋体" w:hAnsi="宋体" w:cs="宋体"/>
          <w:spacing w:val="17"/>
          <w:sz w:val="19"/>
          <w:szCs w:val="19"/>
        </w:rPr>
        <w:t>在</w:t>
      </w:r>
      <w:r>
        <w:rPr>
          <w:rFonts w:ascii="宋体" w:eastAsia="宋体" w:hAnsi="宋体" w:cs="宋体"/>
          <w:sz w:val="19"/>
          <w:szCs w:val="19"/>
        </w:rPr>
        <w:t xml:space="preserve"> </w:t>
      </w:r>
      <w:r>
        <w:rPr>
          <w:rFonts w:ascii="宋体" w:eastAsia="宋体" w:hAnsi="宋体" w:cs="宋体"/>
          <w:spacing w:val="13"/>
          <w:sz w:val="19"/>
          <w:szCs w:val="19"/>
        </w:rPr>
        <w:t>大豆中添加的物质有糖类、矿物质、维生素、植物脂肪；</w:t>
      </w:r>
      <w:r>
        <w:rPr>
          <w:rFonts w:ascii="宋体" w:eastAsia="宋体" w:hAnsi="宋体" w:cs="宋体"/>
          <w:spacing w:val="21"/>
          <w:sz w:val="19"/>
          <w:szCs w:val="19"/>
        </w:rPr>
        <w:t xml:space="preserve"> </w:t>
      </w:r>
      <w:r>
        <w:rPr>
          <w:rFonts w:ascii="宋体" w:eastAsia="宋体" w:hAnsi="宋体" w:cs="宋体"/>
          <w:spacing w:val="13"/>
          <w:sz w:val="19"/>
          <w:szCs w:val="19"/>
        </w:rPr>
        <w:t>“</w:t>
      </w:r>
      <w:r>
        <w:rPr>
          <w:rFonts w:ascii="宋体" w:eastAsia="宋体" w:hAnsi="宋体" w:cs="宋体"/>
          <w:sz w:val="19"/>
          <w:szCs w:val="19"/>
        </w:rPr>
        <w:t>Soybee</w:t>
      </w:r>
      <w:r>
        <w:rPr>
          <w:rFonts w:ascii="宋体" w:eastAsia="宋体" w:hAnsi="宋体" w:cs="宋体"/>
          <w:spacing w:val="13"/>
          <w:sz w:val="19"/>
          <w:szCs w:val="19"/>
        </w:rPr>
        <w:t>”</w:t>
      </w:r>
      <w:r>
        <w:rPr>
          <w:rFonts w:ascii="宋体" w:eastAsia="宋体" w:hAnsi="宋体" w:cs="宋体"/>
          <w:spacing w:val="-16"/>
          <w:sz w:val="19"/>
          <w:szCs w:val="19"/>
        </w:rPr>
        <w:t xml:space="preserve"> </w:t>
      </w:r>
      <w:r>
        <w:rPr>
          <w:rFonts w:ascii="宋体" w:eastAsia="宋体" w:hAnsi="宋体" w:cs="宋体"/>
          <w:spacing w:val="13"/>
          <w:sz w:val="19"/>
          <w:szCs w:val="19"/>
        </w:rPr>
        <w:t>添加的有砂</w:t>
      </w:r>
      <w:r>
        <w:rPr>
          <w:rFonts w:ascii="宋体" w:eastAsia="宋体" w:hAnsi="宋体" w:cs="宋体"/>
          <w:sz w:val="19"/>
          <w:szCs w:val="19"/>
        </w:rPr>
        <w:t xml:space="preserve"> </w:t>
      </w:r>
      <w:r>
        <w:rPr>
          <w:rFonts w:ascii="宋体" w:eastAsia="宋体" w:hAnsi="宋体" w:cs="宋体"/>
          <w:spacing w:val="11"/>
          <w:sz w:val="19"/>
          <w:szCs w:val="19"/>
        </w:rPr>
        <w:t>糖、豆油、糊精、可可油、矿物质、维生素；此外</w:t>
      </w:r>
      <w:r>
        <w:rPr>
          <w:rFonts w:ascii="宋体" w:eastAsia="宋体" w:hAnsi="宋体" w:cs="宋体"/>
          <w:spacing w:val="10"/>
          <w:sz w:val="19"/>
          <w:szCs w:val="19"/>
        </w:rPr>
        <w:t>美国还有</w:t>
      </w:r>
      <w:r>
        <w:rPr>
          <w:rFonts w:ascii="宋体" w:eastAsia="宋体" w:hAnsi="宋体" w:cs="宋体"/>
          <w:spacing w:val="-41"/>
          <w:sz w:val="19"/>
          <w:szCs w:val="19"/>
        </w:rPr>
        <w:t xml:space="preserve"> </w:t>
      </w:r>
      <w:r>
        <w:rPr>
          <w:rFonts w:ascii="宋体" w:eastAsia="宋体" w:hAnsi="宋体" w:cs="宋体"/>
          <w:spacing w:val="10"/>
          <w:sz w:val="19"/>
          <w:szCs w:val="19"/>
        </w:rPr>
        <w:t>“</w:t>
      </w:r>
      <w:r>
        <w:rPr>
          <w:rFonts w:ascii="宋体" w:eastAsia="宋体" w:hAnsi="宋体" w:cs="宋体"/>
          <w:sz w:val="19"/>
          <w:szCs w:val="19"/>
        </w:rPr>
        <w:t>Mull</w:t>
      </w:r>
      <w:r>
        <w:rPr>
          <w:rFonts w:ascii="宋体" w:eastAsia="宋体" w:hAnsi="宋体" w:cs="宋体"/>
          <w:spacing w:val="10"/>
          <w:sz w:val="19"/>
          <w:szCs w:val="19"/>
        </w:rPr>
        <w:t>-</w:t>
      </w:r>
      <w:r>
        <w:rPr>
          <w:rFonts w:ascii="宋体" w:eastAsia="宋体" w:hAnsi="宋体" w:cs="宋体"/>
          <w:sz w:val="19"/>
          <w:szCs w:val="19"/>
        </w:rPr>
        <w:t>Soy</w:t>
      </w:r>
      <w:r>
        <w:rPr>
          <w:rFonts w:ascii="宋体" w:eastAsia="宋体" w:hAnsi="宋体" w:cs="宋体"/>
          <w:spacing w:val="10"/>
          <w:sz w:val="19"/>
          <w:szCs w:val="19"/>
        </w:rPr>
        <w:t>”、“</w:t>
      </w:r>
      <w:r>
        <w:rPr>
          <w:rFonts w:ascii="宋体" w:eastAsia="宋体" w:hAnsi="宋体" w:cs="宋体"/>
          <w:sz w:val="19"/>
          <w:szCs w:val="19"/>
        </w:rPr>
        <w:t>Val</w:t>
      </w:r>
      <w:r>
        <w:rPr>
          <w:rFonts w:ascii="宋体" w:eastAsia="宋体" w:hAnsi="宋体" w:cs="宋体"/>
          <w:spacing w:val="10"/>
          <w:sz w:val="19"/>
          <w:szCs w:val="19"/>
        </w:rPr>
        <w:t>-</w:t>
      </w:r>
      <w:r>
        <w:rPr>
          <w:rFonts w:ascii="宋体" w:eastAsia="宋体" w:hAnsi="宋体" w:cs="宋体"/>
          <w:sz w:val="19"/>
          <w:szCs w:val="19"/>
        </w:rPr>
        <w:t xml:space="preserve"> actin</w:t>
      </w:r>
      <w:r>
        <w:rPr>
          <w:rFonts w:ascii="宋体" w:eastAsia="宋体" w:hAnsi="宋体" w:cs="宋体"/>
          <w:spacing w:val="10"/>
          <w:sz w:val="19"/>
          <w:szCs w:val="19"/>
        </w:rPr>
        <w:t>”,</w:t>
      </w:r>
      <w:r>
        <w:rPr>
          <w:rFonts w:ascii="宋体" w:eastAsia="宋体" w:hAnsi="宋体" w:cs="宋体"/>
          <w:spacing w:val="-36"/>
          <w:sz w:val="19"/>
          <w:szCs w:val="19"/>
        </w:rPr>
        <w:t xml:space="preserve"> </w:t>
      </w:r>
      <w:r>
        <w:rPr>
          <w:rFonts w:ascii="宋体" w:eastAsia="宋体" w:hAnsi="宋体" w:cs="宋体"/>
          <w:spacing w:val="10"/>
          <w:sz w:val="19"/>
          <w:szCs w:val="19"/>
        </w:rPr>
        <w:t>这些产品均适用于婴幼儿作为主食用。日本产品有</w:t>
      </w:r>
      <w:r>
        <w:rPr>
          <w:rFonts w:ascii="宋体" w:eastAsia="宋体" w:hAnsi="宋体" w:cs="宋体"/>
          <w:spacing w:val="-40"/>
          <w:sz w:val="19"/>
          <w:szCs w:val="19"/>
        </w:rPr>
        <w:t xml:space="preserve"> </w:t>
      </w:r>
      <w:r>
        <w:rPr>
          <w:rFonts w:ascii="宋体" w:eastAsia="宋体" w:hAnsi="宋体" w:cs="宋体"/>
          <w:spacing w:val="10"/>
          <w:sz w:val="19"/>
          <w:szCs w:val="19"/>
        </w:rPr>
        <w:t>“</w:t>
      </w:r>
      <w:r>
        <w:rPr>
          <w:rFonts w:ascii="宋体" w:eastAsia="宋体" w:hAnsi="宋体" w:cs="宋体"/>
          <w:sz w:val="19"/>
          <w:szCs w:val="19"/>
        </w:rPr>
        <w:t>Bon</w:t>
      </w:r>
      <w:r>
        <w:rPr>
          <w:rFonts w:ascii="宋体" w:eastAsia="宋体" w:hAnsi="宋体" w:cs="宋体"/>
          <w:spacing w:val="10"/>
          <w:sz w:val="19"/>
          <w:szCs w:val="19"/>
        </w:rPr>
        <w:t>-</w:t>
      </w:r>
      <w:r>
        <w:rPr>
          <w:rFonts w:ascii="宋体" w:eastAsia="宋体" w:hAnsi="宋体" w:cs="宋体"/>
          <w:sz w:val="19"/>
          <w:szCs w:val="19"/>
        </w:rPr>
        <w:t>Lact</w:t>
      </w:r>
      <w:r>
        <w:rPr>
          <w:rFonts w:ascii="宋体" w:eastAsia="宋体" w:hAnsi="宋体" w:cs="宋体"/>
          <w:spacing w:val="10"/>
          <w:sz w:val="19"/>
          <w:szCs w:val="19"/>
        </w:rPr>
        <w:t>”,</w:t>
      </w:r>
      <w:r>
        <w:rPr>
          <w:rFonts w:ascii="宋体" w:eastAsia="宋体" w:hAnsi="宋体" w:cs="宋体"/>
          <w:spacing w:val="-21"/>
          <w:sz w:val="19"/>
          <w:szCs w:val="19"/>
        </w:rPr>
        <w:t xml:space="preserve"> </w:t>
      </w:r>
      <w:r>
        <w:rPr>
          <w:rFonts w:ascii="宋体" w:eastAsia="宋体" w:hAnsi="宋体" w:cs="宋体"/>
          <w:spacing w:val="10"/>
          <w:sz w:val="19"/>
          <w:szCs w:val="19"/>
        </w:rPr>
        <w:t>其添加</w:t>
      </w:r>
      <w:r>
        <w:rPr>
          <w:rFonts w:ascii="宋体" w:eastAsia="宋体" w:hAnsi="宋体" w:cs="宋体"/>
          <w:sz w:val="19"/>
          <w:szCs w:val="19"/>
        </w:rPr>
        <w:t xml:space="preserve"> </w:t>
      </w:r>
      <w:r>
        <w:rPr>
          <w:rFonts w:ascii="宋体" w:eastAsia="宋体" w:hAnsi="宋体" w:cs="宋体"/>
          <w:spacing w:val="18"/>
          <w:sz w:val="19"/>
          <w:szCs w:val="19"/>
        </w:rPr>
        <w:t>物</w:t>
      </w:r>
      <w:r>
        <w:rPr>
          <w:rFonts w:ascii="宋体" w:eastAsia="宋体" w:hAnsi="宋体" w:cs="宋体"/>
          <w:spacing w:val="-21"/>
          <w:sz w:val="19"/>
          <w:szCs w:val="19"/>
        </w:rPr>
        <w:t xml:space="preserve"> </w:t>
      </w:r>
      <w:r>
        <w:rPr>
          <w:rFonts w:ascii="宋体" w:eastAsia="宋体" w:hAnsi="宋体" w:cs="宋体"/>
          <w:spacing w:val="18"/>
          <w:sz w:val="19"/>
          <w:szCs w:val="19"/>
        </w:rPr>
        <w:t>与</w:t>
      </w:r>
      <w:r>
        <w:rPr>
          <w:rFonts w:ascii="宋体" w:eastAsia="宋体" w:hAnsi="宋体" w:cs="宋体"/>
          <w:spacing w:val="-11"/>
          <w:sz w:val="19"/>
          <w:szCs w:val="19"/>
        </w:rPr>
        <w:t xml:space="preserve"> </w:t>
      </w:r>
      <w:r>
        <w:rPr>
          <w:rFonts w:ascii="宋体" w:eastAsia="宋体" w:hAnsi="宋体" w:cs="宋体"/>
          <w:spacing w:val="18"/>
          <w:sz w:val="19"/>
          <w:szCs w:val="19"/>
        </w:rPr>
        <w:t>“</w:t>
      </w:r>
      <w:r>
        <w:rPr>
          <w:rFonts w:ascii="宋体" w:eastAsia="宋体" w:hAnsi="宋体" w:cs="宋体"/>
          <w:sz w:val="19"/>
          <w:szCs w:val="19"/>
        </w:rPr>
        <w:t>Soyalac</w:t>
      </w:r>
      <w:r>
        <w:rPr>
          <w:rFonts w:ascii="宋体" w:eastAsia="宋体" w:hAnsi="宋体" w:cs="宋体"/>
          <w:spacing w:val="18"/>
          <w:sz w:val="19"/>
          <w:szCs w:val="19"/>
        </w:rPr>
        <w:t>”基本相同，只是添加量稍有差别，也</w:t>
      </w:r>
      <w:r>
        <w:rPr>
          <w:rFonts w:ascii="宋体" w:eastAsia="宋体" w:hAnsi="宋体" w:cs="宋体"/>
          <w:spacing w:val="17"/>
          <w:sz w:val="19"/>
          <w:szCs w:val="19"/>
        </w:rPr>
        <w:t>适用于婴幼儿食用。此外</w:t>
      </w:r>
      <w:r>
        <w:rPr>
          <w:rFonts w:ascii="宋体" w:eastAsia="宋体" w:hAnsi="宋体" w:cs="宋体"/>
          <w:sz w:val="19"/>
          <w:szCs w:val="19"/>
        </w:rPr>
        <w:t xml:space="preserve"> </w:t>
      </w:r>
      <w:r>
        <w:rPr>
          <w:rFonts w:ascii="宋体" w:eastAsia="宋体" w:hAnsi="宋体" w:cs="宋体"/>
          <w:spacing w:val="14"/>
          <w:sz w:val="19"/>
          <w:szCs w:val="19"/>
        </w:rPr>
        <w:t>还有英国产品</w:t>
      </w:r>
      <w:r>
        <w:rPr>
          <w:rFonts w:ascii="宋体" w:eastAsia="宋体" w:hAnsi="宋体" w:cs="宋体"/>
          <w:spacing w:val="-35"/>
          <w:sz w:val="19"/>
          <w:szCs w:val="19"/>
        </w:rPr>
        <w:t xml:space="preserve"> </w:t>
      </w:r>
      <w:r>
        <w:rPr>
          <w:rFonts w:ascii="宋体" w:eastAsia="宋体" w:hAnsi="宋体" w:cs="宋体"/>
          <w:spacing w:val="14"/>
          <w:sz w:val="19"/>
          <w:szCs w:val="19"/>
        </w:rPr>
        <w:t>“</w:t>
      </w:r>
      <w:r>
        <w:rPr>
          <w:rFonts w:ascii="宋体" w:eastAsia="宋体" w:hAnsi="宋体" w:cs="宋体"/>
          <w:sz w:val="19"/>
          <w:szCs w:val="19"/>
        </w:rPr>
        <w:t>Grenogen</w:t>
      </w:r>
      <w:r>
        <w:rPr>
          <w:rFonts w:ascii="宋体" w:eastAsia="宋体" w:hAnsi="宋体" w:cs="宋体"/>
          <w:spacing w:val="14"/>
          <w:sz w:val="19"/>
          <w:szCs w:val="19"/>
        </w:rPr>
        <w:t>”。</w:t>
      </w:r>
      <w:r>
        <w:rPr>
          <w:rFonts w:ascii="宋体" w:eastAsia="宋体" w:hAnsi="宋体" w:cs="宋体"/>
          <w:spacing w:val="-4"/>
          <w:sz w:val="19"/>
          <w:szCs w:val="19"/>
        </w:rPr>
        <w:t xml:space="preserve"> </w:t>
      </w:r>
      <w:r>
        <w:rPr>
          <w:rFonts w:ascii="宋体" w:eastAsia="宋体" w:hAnsi="宋体" w:cs="宋体"/>
          <w:spacing w:val="14"/>
          <w:sz w:val="19"/>
          <w:szCs w:val="19"/>
        </w:rPr>
        <w:t>强化大豆食品的生产工艺有水抽提法和直接处理法</w:t>
      </w:r>
      <w:r>
        <w:rPr>
          <w:rFonts w:ascii="宋体" w:eastAsia="宋体" w:hAnsi="宋体" w:cs="宋体"/>
          <w:sz w:val="19"/>
          <w:szCs w:val="19"/>
        </w:rPr>
        <w:t xml:space="preserve"> </w:t>
      </w:r>
      <w:r>
        <w:rPr>
          <w:rFonts w:ascii="宋体" w:eastAsia="宋体" w:hAnsi="宋体" w:cs="宋体"/>
          <w:spacing w:val="8"/>
          <w:sz w:val="19"/>
          <w:szCs w:val="19"/>
        </w:rPr>
        <w:t>两种，简述如下：</w:t>
      </w:r>
    </w:p>
    <w:p w:rsidR="00EA40A3" w:rsidRDefault="00E86C16">
      <w:pPr>
        <w:spacing w:before="75" w:line="219" w:lineRule="auto"/>
        <w:ind w:left="469"/>
        <w:rPr>
          <w:rFonts w:ascii="宋体" w:eastAsia="宋体" w:hAnsi="宋体" w:cs="宋体"/>
          <w:sz w:val="19"/>
          <w:szCs w:val="19"/>
        </w:rPr>
      </w:pPr>
      <w:r>
        <w:rPr>
          <w:rFonts w:ascii="宋体" w:eastAsia="宋体" w:hAnsi="宋体" w:cs="宋体"/>
          <w:spacing w:val="21"/>
          <w:sz w:val="19"/>
          <w:szCs w:val="19"/>
        </w:rPr>
        <w:t>(1)水抽提法</w:t>
      </w:r>
    </w:p>
    <w:p w:rsidR="00EA40A3" w:rsidRDefault="00825D12">
      <w:pPr>
        <w:spacing w:before="136" w:line="840" w:lineRule="exact"/>
        <w:ind w:firstLine="890"/>
        <w:textAlignment w:val="center"/>
      </w:pPr>
      <w:r>
        <w:rPr>
          <w:noProof/>
        </w:rPr>
        <mc:AlternateContent>
          <mc:Choice Requires="wpg">
            <w:drawing>
              <wp:inline distT="0" distB="0" distL="0" distR="0">
                <wp:extent cx="3511550" cy="534035"/>
                <wp:effectExtent l="3175" t="2540" r="0" b="0"/>
                <wp:docPr id="11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0" cy="534035"/>
                          <a:chOff x="0" y="0"/>
                          <a:chExt cx="5530" cy="840"/>
                        </a:xfrm>
                      </wpg:grpSpPr>
                      <pic:pic xmlns:pic="http://schemas.openxmlformats.org/drawingml/2006/picture">
                        <pic:nvPicPr>
                          <pic:cNvPr id="120" name="Picture 4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30" cy="840"/>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42"/>
                        <wps:cNvSpPr txBox="1">
                          <a:spLocks noChangeArrowheads="1"/>
                        </wps:cNvSpPr>
                        <wps:spPr bwMode="auto">
                          <a:xfrm>
                            <a:off x="2249" y="87"/>
                            <a:ext cx="258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4" w:lineRule="auto"/>
                                <w:ind w:left="20"/>
                                <w:rPr>
                                  <w:rFonts w:ascii="宋体" w:eastAsia="宋体" w:hAnsi="宋体" w:cs="宋体"/>
                                  <w:sz w:val="19"/>
                                  <w:szCs w:val="19"/>
                                </w:rPr>
                              </w:pPr>
                              <w:r>
                                <w:rPr>
                                  <w:rFonts w:ascii="宋体" w:eastAsia="宋体" w:hAnsi="宋体" w:cs="宋体"/>
                                  <w:spacing w:val="-2"/>
                                  <w:sz w:val="19"/>
                                  <w:szCs w:val="19"/>
                                </w:rPr>
                                <w:t>残渣(干燥)</w:t>
                              </w:r>
                            </w:p>
                            <w:p w:rsidR="00E86C16" w:rsidRDefault="00E86C16">
                              <w:pPr>
                                <w:spacing w:line="231" w:lineRule="auto"/>
                                <w:ind w:left="30" w:right="20" w:firstLine="419"/>
                                <w:rPr>
                                  <w:rFonts w:ascii="宋体" w:eastAsia="宋体" w:hAnsi="宋体" w:cs="宋体"/>
                                  <w:sz w:val="19"/>
                                  <w:szCs w:val="19"/>
                                </w:rPr>
                              </w:pPr>
                              <w:r>
                                <w:rPr>
                                  <w:rFonts w:ascii="宋体" w:eastAsia="宋体" w:hAnsi="宋体" w:cs="宋体"/>
                                  <w:spacing w:val="-19"/>
                                  <w:w w:val="95"/>
                                  <w:sz w:val="19"/>
                                  <w:szCs w:val="19"/>
                                </w:rPr>
                                <w:t>浓缩，添加强化剂，喷雾干燥</w:t>
                              </w:r>
                              <w:r>
                                <w:rPr>
                                  <w:rFonts w:ascii="宋体" w:eastAsia="宋体" w:hAnsi="宋体" w:cs="宋体"/>
                                  <w:spacing w:val="15"/>
                                  <w:sz w:val="19"/>
                                  <w:szCs w:val="19"/>
                                </w:rPr>
                                <w:t xml:space="preserve"> </w:t>
                              </w:r>
                              <w:r>
                                <w:rPr>
                                  <w:rFonts w:ascii="宋体" w:eastAsia="宋体" w:hAnsi="宋体" w:cs="宋体"/>
                                  <w:spacing w:val="-11"/>
                                  <w:sz w:val="19"/>
                                  <w:szCs w:val="19"/>
                                </w:rPr>
                                <w:t>豆浆</w:t>
                              </w:r>
                            </w:p>
                          </w:txbxContent>
                        </wps:txbx>
                        <wps:bodyPr rot="0" vert="horz" wrap="square" lIns="0" tIns="0" rIns="0" bIns="0" anchor="t" anchorCtr="0" upright="1">
                          <a:noAutofit/>
                        </wps:bodyPr>
                      </wps:wsp>
                      <wps:wsp>
                        <wps:cNvPr id="122" name="Text Box 43"/>
                        <wps:cNvSpPr txBox="1">
                          <a:spLocks noChangeArrowheads="1"/>
                        </wps:cNvSpPr>
                        <wps:spPr bwMode="auto">
                          <a:xfrm>
                            <a:off x="69" y="27"/>
                            <a:ext cx="1750"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51" w:lineRule="auto"/>
                                <w:ind w:left="20" w:right="20" w:firstLine="399"/>
                                <w:rPr>
                                  <w:rFonts w:ascii="宋体" w:eastAsia="宋体" w:hAnsi="宋体" w:cs="宋体"/>
                                  <w:sz w:val="19"/>
                                  <w:szCs w:val="19"/>
                                </w:rPr>
                              </w:pPr>
                              <w:r>
                                <w:rPr>
                                  <w:rFonts w:ascii="宋体" w:eastAsia="宋体" w:hAnsi="宋体" w:cs="宋体"/>
                                  <w:spacing w:val="-23"/>
                                  <w:w w:val="98"/>
                                  <w:sz w:val="19"/>
                                  <w:szCs w:val="19"/>
                                </w:rPr>
                                <w:t>浸泡，磨细，过滤</w:t>
                              </w:r>
                              <w:r>
                                <w:rPr>
                                  <w:rFonts w:ascii="宋体" w:eastAsia="宋体" w:hAnsi="宋体" w:cs="宋体"/>
                                  <w:spacing w:val="2"/>
                                  <w:sz w:val="19"/>
                                  <w:szCs w:val="19"/>
                                </w:rPr>
                                <w:t xml:space="preserve"> </w:t>
                              </w:r>
                              <w:r>
                                <w:rPr>
                                  <w:rFonts w:ascii="宋体" w:eastAsia="宋体" w:hAnsi="宋体" w:cs="宋体"/>
                                  <w:spacing w:val="-16"/>
                                  <w:sz w:val="19"/>
                                  <w:szCs w:val="19"/>
                                </w:rPr>
                                <w:t>大豆</w:t>
                              </w:r>
                            </w:p>
                          </w:txbxContent>
                        </wps:txbx>
                        <wps:bodyPr rot="0" vert="horz" wrap="square" lIns="0" tIns="0" rIns="0" bIns="0" anchor="t" anchorCtr="0" upright="1">
                          <a:noAutofit/>
                        </wps:bodyPr>
                      </wps:wsp>
                      <wps:wsp>
                        <wps:cNvPr id="123" name="Text Box 44"/>
                        <wps:cNvSpPr txBox="1">
                          <a:spLocks noChangeArrowheads="1"/>
                        </wps:cNvSpPr>
                        <wps:spPr bwMode="auto">
                          <a:xfrm>
                            <a:off x="5119" y="559"/>
                            <a:ext cx="389"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21" w:lineRule="auto"/>
                                <w:ind w:left="20"/>
                                <w:rPr>
                                  <w:rFonts w:ascii="宋体" w:eastAsia="宋体" w:hAnsi="宋体" w:cs="宋体"/>
                                  <w:sz w:val="19"/>
                                  <w:szCs w:val="19"/>
                                </w:rPr>
                              </w:pPr>
                              <w:r>
                                <w:rPr>
                                  <w:rFonts w:ascii="宋体" w:eastAsia="宋体" w:hAnsi="宋体" w:cs="宋体"/>
                                  <w:spacing w:val="-8"/>
                                  <w:sz w:val="19"/>
                                  <w:szCs w:val="19"/>
                                </w:rPr>
                                <w:t>成品</w:t>
                              </w:r>
                            </w:p>
                          </w:txbxContent>
                        </wps:txbx>
                        <wps:bodyPr rot="0" vert="horz" wrap="square" lIns="0" tIns="0" rIns="0" bIns="0" anchor="t" anchorCtr="0" upright="1">
                          <a:noAutofit/>
                        </wps:bodyPr>
                      </wps:wsp>
                    </wpg:wgp>
                  </a:graphicData>
                </a:graphic>
              </wp:inline>
            </w:drawing>
          </mc:Choice>
          <mc:Fallback>
            <w:pict>
              <v:group id="Group 40" o:spid="_x0000_s1055" style="width:276.5pt;height:42.05pt;mso-position-horizontal-relative:char;mso-position-vertical-relative:line" coordsize="5530,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">
                <v:shape id="Picture 41" o:spid="_x0000_s1056" type="#_x0000_t75" style="position:absolute;width:553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">
                  <v:imagedata r:id="rId235" o:title=""/>
                </v:shape>
                <v:shape id="Text Box 42" o:spid="_x0000_s1057" type="#_x0000_t202" style="position:absolute;left:2249;top:87;width:258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rsidR="00E86C16" w:rsidRDefault="00E86C16">
                        <w:pPr>
                          <w:spacing w:before="19" w:line="214" w:lineRule="auto"/>
                          <w:ind w:left="20"/>
                          <w:rPr>
                            <w:rFonts w:ascii="宋体" w:eastAsia="宋体" w:hAnsi="宋体" w:cs="宋体"/>
                            <w:sz w:val="19"/>
                            <w:szCs w:val="19"/>
                          </w:rPr>
                        </w:pPr>
                        <w:r>
                          <w:rPr>
                            <w:rFonts w:ascii="宋体" w:eastAsia="宋体" w:hAnsi="宋体" w:cs="宋体"/>
                            <w:spacing w:val="-2"/>
                            <w:sz w:val="19"/>
                            <w:szCs w:val="19"/>
                          </w:rPr>
                          <w:t>残渣(干燥)</w:t>
                        </w:r>
                      </w:p>
                      <w:p w:rsidR="00E86C16" w:rsidRDefault="00E86C16">
                        <w:pPr>
                          <w:spacing w:line="231" w:lineRule="auto"/>
                          <w:ind w:left="30" w:right="20" w:firstLine="419"/>
                          <w:rPr>
                            <w:rFonts w:ascii="宋体" w:eastAsia="宋体" w:hAnsi="宋体" w:cs="宋体"/>
                            <w:sz w:val="19"/>
                            <w:szCs w:val="19"/>
                          </w:rPr>
                        </w:pPr>
                        <w:r>
                          <w:rPr>
                            <w:rFonts w:ascii="宋体" w:eastAsia="宋体" w:hAnsi="宋体" w:cs="宋体"/>
                            <w:spacing w:val="-19"/>
                            <w:w w:val="95"/>
                            <w:sz w:val="19"/>
                            <w:szCs w:val="19"/>
                          </w:rPr>
                          <w:t>浓缩，添加强化剂，喷雾干燥</w:t>
                        </w:r>
                        <w:r>
                          <w:rPr>
                            <w:rFonts w:ascii="宋体" w:eastAsia="宋体" w:hAnsi="宋体" w:cs="宋体"/>
                            <w:spacing w:val="15"/>
                            <w:sz w:val="19"/>
                            <w:szCs w:val="19"/>
                          </w:rPr>
                          <w:t xml:space="preserve"> </w:t>
                        </w:r>
                        <w:r>
                          <w:rPr>
                            <w:rFonts w:ascii="宋体" w:eastAsia="宋体" w:hAnsi="宋体" w:cs="宋体"/>
                            <w:spacing w:val="-11"/>
                            <w:sz w:val="19"/>
                            <w:szCs w:val="19"/>
                          </w:rPr>
                          <w:t>豆浆</w:t>
                        </w:r>
                      </w:p>
                    </w:txbxContent>
                  </v:textbox>
                </v:shape>
                <v:shape id="Text Box 43" o:spid="_x0000_s1058" type="#_x0000_t202" style="position:absolute;left:69;top:27;width:175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E86C16" w:rsidRDefault="00E86C16">
                        <w:pPr>
                          <w:spacing w:before="20" w:line="251" w:lineRule="auto"/>
                          <w:ind w:left="20" w:right="20" w:firstLine="399"/>
                          <w:rPr>
                            <w:rFonts w:ascii="宋体" w:eastAsia="宋体" w:hAnsi="宋体" w:cs="宋体"/>
                            <w:sz w:val="19"/>
                            <w:szCs w:val="19"/>
                          </w:rPr>
                        </w:pPr>
                        <w:r>
                          <w:rPr>
                            <w:rFonts w:ascii="宋体" w:eastAsia="宋体" w:hAnsi="宋体" w:cs="宋体"/>
                            <w:spacing w:val="-23"/>
                            <w:w w:val="98"/>
                            <w:sz w:val="19"/>
                            <w:szCs w:val="19"/>
                          </w:rPr>
                          <w:t>浸泡，磨细，过滤</w:t>
                        </w:r>
                        <w:r>
                          <w:rPr>
                            <w:rFonts w:ascii="宋体" w:eastAsia="宋体" w:hAnsi="宋体" w:cs="宋体"/>
                            <w:spacing w:val="2"/>
                            <w:sz w:val="19"/>
                            <w:szCs w:val="19"/>
                          </w:rPr>
                          <w:t xml:space="preserve"> </w:t>
                        </w:r>
                        <w:r>
                          <w:rPr>
                            <w:rFonts w:ascii="宋体" w:eastAsia="宋体" w:hAnsi="宋体" w:cs="宋体"/>
                            <w:spacing w:val="-16"/>
                            <w:sz w:val="19"/>
                            <w:szCs w:val="19"/>
                          </w:rPr>
                          <w:t>大豆</w:t>
                        </w:r>
                      </w:p>
                    </w:txbxContent>
                  </v:textbox>
                </v:shape>
                <v:shape id="Text Box 44" o:spid="_x0000_s1059" type="#_x0000_t202" style="position:absolute;left:5119;top:559;width:38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E86C16" w:rsidRDefault="00E86C16">
                        <w:pPr>
                          <w:spacing w:before="19" w:line="221" w:lineRule="auto"/>
                          <w:ind w:left="20"/>
                          <w:rPr>
                            <w:rFonts w:ascii="宋体" w:eastAsia="宋体" w:hAnsi="宋体" w:cs="宋体"/>
                            <w:sz w:val="19"/>
                            <w:szCs w:val="19"/>
                          </w:rPr>
                        </w:pPr>
                        <w:r>
                          <w:rPr>
                            <w:rFonts w:ascii="宋体" w:eastAsia="宋体" w:hAnsi="宋体" w:cs="宋体"/>
                            <w:spacing w:val="-8"/>
                            <w:sz w:val="19"/>
                            <w:szCs w:val="19"/>
                          </w:rPr>
                          <w:t>成品</w:t>
                        </w:r>
                      </w:p>
                    </w:txbxContent>
                  </v:textbox>
                </v:shape>
                <w10:anchorlock/>
              </v:group>
            </w:pict>
          </mc:Fallback>
        </mc:AlternateContent>
      </w:r>
    </w:p>
    <w:p w:rsidR="00EA40A3" w:rsidRDefault="00E86C16">
      <w:pPr>
        <w:spacing w:before="149" w:line="221" w:lineRule="auto"/>
        <w:ind w:left="469"/>
        <w:rPr>
          <w:rFonts w:ascii="宋体" w:eastAsia="宋体" w:hAnsi="宋体" w:cs="宋体"/>
          <w:sz w:val="19"/>
          <w:szCs w:val="19"/>
        </w:rPr>
      </w:pPr>
      <w:r>
        <w:rPr>
          <w:rFonts w:ascii="宋体" w:eastAsia="宋体" w:hAnsi="宋体" w:cs="宋体"/>
          <w:spacing w:val="22"/>
          <w:sz w:val="19"/>
          <w:szCs w:val="19"/>
        </w:rPr>
        <w:t>(2)直接处理法</w:t>
      </w:r>
    </w:p>
    <w:p w:rsidR="00EA40A3" w:rsidRDefault="00E86C16">
      <w:pPr>
        <w:spacing w:before="211" w:line="219" w:lineRule="auto"/>
        <w:ind w:left="1560"/>
        <w:rPr>
          <w:rFonts w:ascii="宋体" w:eastAsia="宋体" w:hAnsi="宋体" w:cs="宋体"/>
          <w:sz w:val="19"/>
          <w:szCs w:val="19"/>
        </w:rPr>
      </w:pPr>
      <w:r>
        <w:rPr>
          <w:noProof/>
        </w:rPr>
        <w:drawing>
          <wp:anchor distT="0" distB="0" distL="0" distR="0" simplePos="0" relativeHeight="251709440" behindDoc="1" locked="0" layoutInCell="1" allowOverlap="1">
            <wp:simplePos x="0" y="0"/>
            <wp:positionH relativeFrom="column">
              <wp:posOffset>608965</wp:posOffset>
            </wp:positionH>
            <wp:positionV relativeFrom="paragraph">
              <wp:posOffset>78105</wp:posOffset>
            </wp:positionV>
            <wp:extent cx="3441700" cy="558800"/>
            <wp:effectExtent l="0" t="0" r="0" b="0"/>
            <wp:wrapNone/>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236"/>
                    <a:stretch>
                      <a:fillRect/>
                    </a:stretch>
                  </pic:blipFill>
                  <pic:spPr>
                    <a:xfrm>
                      <a:off x="0" y="0"/>
                      <a:ext cx="3441685" cy="558814"/>
                    </a:xfrm>
                    <a:prstGeom prst="rect">
                      <a:avLst/>
                    </a:prstGeom>
                  </pic:spPr>
                </pic:pic>
              </a:graphicData>
            </a:graphic>
          </wp:anchor>
        </w:drawing>
      </w:r>
      <w:r>
        <w:rPr>
          <w:rFonts w:ascii="宋体" w:eastAsia="宋体" w:hAnsi="宋体" w:cs="宋体"/>
          <w:spacing w:val="-21"/>
          <w:w w:val="98"/>
          <w:sz w:val="19"/>
          <w:szCs w:val="19"/>
        </w:rPr>
        <w:t>140℃热风</w:t>
      </w:r>
      <w:r>
        <w:rPr>
          <w:rFonts w:ascii="宋体" w:eastAsia="宋体" w:hAnsi="宋体" w:cs="宋体"/>
          <w:spacing w:val="8"/>
          <w:sz w:val="19"/>
          <w:szCs w:val="19"/>
        </w:rPr>
        <w:t xml:space="preserve">         </w:t>
      </w:r>
      <w:r>
        <w:rPr>
          <w:rFonts w:ascii="宋体" w:eastAsia="宋体" w:hAnsi="宋体" w:cs="宋体"/>
          <w:spacing w:val="-21"/>
          <w:w w:val="98"/>
          <w:sz w:val="19"/>
          <w:szCs w:val="19"/>
        </w:rPr>
        <w:t>去皮，磨细</w:t>
      </w:r>
      <w:r>
        <w:rPr>
          <w:rFonts w:ascii="宋体" w:eastAsia="宋体" w:hAnsi="宋体" w:cs="宋体"/>
          <w:spacing w:val="5"/>
          <w:sz w:val="19"/>
          <w:szCs w:val="19"/>
        </w:rPr>
        <w:t xml:space="preserve">         </w:t>
      </w:r>
      <w:r>
        <w:rPr>
          <w:rFonts w:ascii="宋体" w:eastAsia="宋体" w:hAnsi="宋体" w:cs="宋体"/>
          <w:spacing w:val="-21"/>
          <w:w w:val="98"/>
          <w:sz w:val="19"/>
          <w:szCs w:val="19"/>
        </w:rPr>
        <w:t>添加强化剂</w:t>
      </w:r>
    </w:p>
    <w:p w:rsidR="00EA40A3" w:rsidRDefault="00E86C16">
      <w:pPr>
        <w:spacing w:before="56" w:line="219" w:lineRule="auto"/>
        <w:ind w:left="1060"/>
        <w:rPr>
          <w:rFonts w:ascii="宋体" w:eastAsia="宋体" w:hAnsi="宋体" w:cs="宋体"/>
          <w:sz w:val="19"/>
          <w:szCs w:val="19"/>
        </w:rPr>
      </w:pPr>
      <w:r>
        <w:rPr>
          <w:rFonts w:ascii="宋体" w:eastAsia="宋体" w:hAnsi="宋体" w:cs="宋体"/>
          <w:spacing w:val="-18"/>
          <w:w w:val="96"/>
          <w:sz w:val="19"/>
          <w:szCs w:val="19"/>
        </w:rPr>
        <w:t>大豆</w:t>
      </w:r>
      <w:r>
        <w:rPr>
          <w:rFonts w:ascii="宋体" w:eastAsia="宋体" w:hAnsi="宋体" w:cs="宋体"/>
          <w:spacing w:val="8"/>
          <w:sz w:val="19"/>
          <w:szCs w:val="19"/>
        </w:rPr>
        <w:t xml:space="preserve">            </w:t>
      </w:r>
      <w:r>
        <w:rPr>
          <w:rFonts w:ascii="宋体" w:eastAsia="宋体" w:hAnsi="宋体" w:cs="宋体"/>
          <w:spacing w:val="-18"/>
          <w:w w:val="96"/>
          <w:sz w:val="19"/>
          <w:szCs w:val="19"/>
        </w:rPr>
        <w:t>熟大豆</w:t>
      </w:r>
      <w:r>
        <w:rPr>
          <w:rFonts w:ascii="宋体" w:eastAsia="宋体" w:hAnsi="宋体" w:cs="宋体"/>
          <w:spacing w:val="7"/>
          <w:sz w:val="19"/>
          <w:szCs w:val="19"/>
        </w:rPr>
        <w:t xml:space="preserve">            </w:t>
      </w:r>
      <w:r>
        <w:rPr>
          <w:rFonts w:ascii="宋体" w:eastAsia="宋体" w:hAnsi="宋体" w:cs="宋体"/>
          <w:spacing w:val="-18"/>
          <w:w w:val="96"/>
          <w:sz w:val="19"/>
          <w:szCs w:val="19"/>
        </w:rPr>
        <w:t>大豆粉</w:t>
      </w:r>
      <w:r>
        <w:rPr>
          <w:rFonts w:ascii="宋体" w:eastAsia="宋体" w:hAnsi="宋体" w:cs="宋体"/>
          <w:spacing w:val="8"/>
          <w:sz w:val="19"/>
          <w:szCs w:val="19"/>
        </w:rPr>
        <w:t xml:space="preserve">           </w:t>
      </w:r>
      <w:r>
        <w:rPr>
          <w:rFonts w:ascii="宋体" w:eastAsia="宋体" w:hAnsi="宋体" w:cs="宋体"/>
          <w:spacing w:val="-18"/>
          <w:w w:val="96"/>
          <w:sz w:val="19"/>
          <w:szCs w:val="19"/>
        </w:rPr>
        <w:t>成品</w:t>
      </w:r>
    </w:p>
    <w:p w:rsidR="00EA40A3" w:rsidRDefault="00E86C16">
      <w:pPr>
        <w:spacing w:before="54" w:line="219" w:lineRule="auto"/>
        <w:ind w:left="1479"/>
        <w:rPr>
          <w:rFonts w:ascii="宋体" w:eastAsia="宋体" w:hAnsi="宋体" w:cs="宋体"/>
          <w:sz w:val="19"/>
          <w:szCs w:val="19"/>
        </w:rPr>
      </w:pPr>
      <w:r>
        <w:rPr>
          <w:rFonts w:ascii="宋体" w:eastAsia="宋体" w:hAnsi="宋体" w:cs="宋体"/>
          <w:spacing w:val="-17"/>
          <w:w w:val="97"/>
          <w:sz w:val="19"/>
          <w:szCs w:val="19"/>
        </w:rPr>
        <w:t>除去有害物质</w:t>
      </w:r>
    </w:p>
    <w:p w:rsidR="00EA40A3" w:rsidRDefault="00EA40A3">
      <w:pPr>
        <w:spacing w:line="251"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6"/>
          <w:sz w:val="22"/>
          <w:szCs w:val="22"/>
        </w:rPr>
        <w:t>4.</w:t>
      </w:r>
      <w:r>
        <w:rPr>
          <w:rFonts w:ascii="仿宋" w:eastAsia="仿宋" w:hAnsi="仿宋" w:cs="仿宋"/>
          <w:spacing w:val="-11"/>
          <w:sz w:val="22"/>
          <w:szCs w:val="22"/>
        </w:rPr>
        <w:t xml:space="preserve"> </w:t>
      </w:r>
      <w:r>
        <w:rPr>
          <w:rFonts w:ascii="仿宋" w:eastAsia="仿宋" w:hAnsi="仿宋" w:cs="仿宋"/>
          <w:spacing w:val="6"/>
          <w:sz w:val="22"/>
          <w:szCs w:val="22"/>
        </w:rPr>
        <w:t>强化豆奶</w:t>
      </w:r>
    </w:p>
    <w:p w:rsidR="00EA40A3" w:rsidRDefault="00E86C16">
      <w:pPr>
        <w:spacing w:before="216" w:line="281" w:lineRule="auto"/>
        <w:ind w:firstLine="469"/>
        <w:jc w:val="both"/>
        <w:rPr>
          <w:rFonts w:ascii="宋体" w:eastAsia="宋体" w:hAnsi="宋体" w:cs="宋体"/>
          <w:sz w:val="19"/>
          <w:szCs w:val="19"/>
        </w:rPr>
      </w:pPr>
      <w:r>
        <w:rPr>
          <w:rFonts w:ascii="宋体" w:eastAsia="宋体" w:hAnsi="宋体" w:cs="宋体"/>
          <w:spacing w:val="17"/>
          <w:sz w:val="19"/>
          <w:szCs w:val="19"/>
        </w:rPr>
        <w:t>豆奶是一种含有易被人体吸收的优质植物蛋白、</w:t>
      </w:r>
      <w:r>
        <w:rPr>
          <w:rFonts w:ascii="宋体" w:eastAsia="宋体" w:hAnsi="宋体" w:cs="宋体"/>
          <w:spacing w:val="16"/>
          <w:sz w:val="19"/>
          <w:szCs w:val="19"/>
        </w:rPr>
        <w:t>植物脂肪以及维生素、矿物</w:t>
      </w:r>
      <w:r>
        <w:rPr>
          <w:rFonts w:ascii="宋体" w:eastAsia="宋体" w:hAnsi="宋体" w:cs="宋体"/>
          <w:sz w:val="19"/>
          <w:szCs w:val="19"/>
        </w:rPr>
        <w:t xml:space="preserve"> </w:t>
      </w:r>
      <w:r>
        <w:rPr>
          <w:rFonts w:ascii="宋体" w:eastAsia="宋体" w:hAnsi="宋体" w:cs="宋体"/>
          <w:spacing w:val="17"/>
          <w:sz w:val="19"/>
          <w:szCs w:val="19"/>
        </w:rPr>
        <w:t>质的植物蛋白饮料，价格低廉，饮用方便，营养价值可与牛奶媲美，甚至在某些</w:t>
      </w:r>
      <w:r>
        <w:rPr>
          <w:rFonts w:ascii="宋体" w:eastAsia="宋体" w:hAnsi="宋体" w:cs="宋体"/>
          <w:spacing w:val="13"/>
          <w:sz w:val="19"/>
          <w:szCs w:val="19"/>
        </w:rPr>
        <w:t xml:space="preserve"> </w:t>
      </w:r>
      <w:r>
        <w:rPr>
          <w:rFonts w:ascii="宋体" w:eastAsia="宋体" w:hAnsi="宋体" w:cs="宋体"/>
          <w:spacing w:val="16"/>
          <w:sz w:val="19"/>
          <w:szCs w:val="19"/>
        </w:rPr>
        <w:t>方面优于牛奶。经常饮用豆奶对人体能产生很好的生理效果，也是一种良好</w:t>
      </w:r>
      <w:r>
        <w:rPr>
          <w:rFonts w:ascii="宋体" w:eastAsia="宋体" w:hAnsi="宋体" w:cs="宋体"/>
          <w:spacing w:val="15"/>
          <w:sz w:val="19"/>
          <w:szCs w:val="19"/>
        </w:rPr>
        <w:t>的儿</w:t>
      </w:r>
      <w:r>
        <w:rPr>
          <w:rFonts w:ascii="宋体" w:eastAsia="宋体" w:hAnsi="宋体" w:cs="宋体"/>
          <w:sz w:val="19"/>
          <w:szCs w:val="19"/>
        </w:rPr>
        <w:t xml:space="preserve">  </w:t>
      </w:r>
      <w:r>
        <w:rPr>
          <w:rFonts w:ascii="宋体" w:eastAsia="宋体" w:hAnsi="宋体" w:cs="宋体"/>
          <w:spacing w:val="24"/>
          <w:sz w:val="19"/>
          <w:szCs w:val="19"/>
        </w:rPr>
        <w:t>童食品。强化豆奶有锌强化豆奶(每100</w:t>
      </w:r>
      <w:r>
        <w:rPr>
          <w:rFonts w:ascii="宋体" w:eastAsia="宋体" w:hAnsi="宋体" w:cs="宋体"/>
          <w:sz w:val="19"/>
          <w:szCs w:val="19"/>
        </w:rPr>
        <w:t>mL</w:t>
      </w:r>
      <w:r>
        <w:rPr>
          <w:rFonts w:ascii="宋体" w:eastAsia="宋体" w:hAnsi="宋体" w:cs="宋体"/>
          <w:spacing w:val="85"/>
          <w:sz w:val="19"/>
          <w:szCs w:val="19"/>
        </w:rPr>
        <w:t xml:space="preserve"> </w:t>
      </w:r>
      <w:r>
        <w:rPr>
          <w:rFonts w:ascii="宋体" w:eastAsia="宋体" w:hAnsi="宋体" w:cs="宋体"/>
          <w:spacing w:val="24"/>
          <w:sz w:val="19"/>
          <w:szCs w:val="19"/>
        </w:rPr>
        <w:t>豆奶中强化锌5</w:t>
      </w:r>
      <w:r>
        <w:rPr>
          <w:rFonts w:ascii="宋体" w:eastAsia="宋体" w:hAnsi="宋体" w:cs="宋体"/>
          <w:sz w:val="19"/>
          <w:szCs w:val="19"/>
        </w:rPr>
        <w:t>mg</w:t>
      </w:r>
      <w:r>
        <w:rPr>
          <w:rFonts w:ascii="宋体" w:eastAsia="宋体" w:hAnsi="宋体" w:cs="宋体"/>
          <w:spacing w:val="24"/>
          <w:sz w:val="19"/>
          <w:szCs w:val="19"/>
        </w:rPr>
        <w:t>,</w:t>
      </w:r>
      <w:r>
        <w:rPr>
          <w:rFonts w:ascii="宋体" w:eastAsia="宋体" w:hAnsi="宋体" w:cs="宋体"/>
          <w:spacing w:val="92"/>
          <w:sz w:val="19"/>
          <w:szCs w:val="19"/>
        </w:rPr>
        <w:t xml:space="preserve"> </w:t>
      </w:r>
      <w:r>
        <w:rPr>
          <w:rFonts w:ascii="宋体" w:eastAsia="宋体" w:hAnsi="宋体" w:cs="宋体"/>
          <w:spacing w:val="24"/>
          <w:sz w:val="19"/>
          <w:szCs w:val="19"/>
        </w:rPr>
        <w:t>折算成乳酸锌</w:t>
      </w:r>
      <w:r>
        <w:rPr>
          <w:rFonts w:ascii="宋体" w:eastAsia="宋体" w:hAnsi="宋体" w:cs="宋体"/>
          <w:sz w:val="19"/>
          <w:szCs w:val="19"/>
        </w:rPr>
        <w:t xml:space="preserve"> </w:t>
      </w:r>
      <w:r>
        <w:rPr>
          <w:rFonts w:ascii="宋体" w:eastAsia="宋体" w:hAnsi="宋体" w:cs="宋体"/>
          <w:spacing w:val="18"/>
          <w:sz w:val="19"/>
          <w:szCs w:val="19"/>
        </w:rPr>
        <w:t>为18</w:t>
      </w:r>
      <w:r>
        <w:rPr>
          <w:rFonts w:ascii="宋体" w:eastAsia="宋体" w:hAnsi="宋体" w:cs="宋体"/>
          <w:spacing w:val="-55"/>
          <w:sz w:val="19"/>
          <w:szCs w:val="19"/>
        </w:rPr>
        <w:t xml:space="preserve"> </w:t>
      </w:r>
      <w:r>
        <w:rPr>
          <w:rFonts w:ascii="宋体" w:eastAsia="宋体" w:hAnsi="宋体" w:cs="宋体"/>
          <w:spacing w:val="18"/>
          <w:sz w:val="19"/>
          <w:szCs w:val="19"/>
        </w:rPr>
        <w:t>.</w:t>
      </w:r>
      <w:r>
        <w:rPr>
          <w:rFonts w:ascii="宋体" w:eastAsia="宋体" w:hAnsi="宋体" w:cs="宋体"/>
          <w:spacing w:val="-56"/>
          <w:sz w:val="19"/>
          <w:szCs w:val="19"/>
        </w:rPr>
        <w:t xml:space="preserve"> </w:t>
      </w:r>
      <w:r>
        <w:rPr>
          <w:rFonts w:ascii="宋体" w:eastAsia="宋体" w:hAnsi="宋体" w:cs="宋体"/>
          <w:spacing w:val="18"/>
          <w:sz w:val="19"/>
          <w:szCs w:val="19"/>
        </w:rPr>
        <w:t>7</w:t>
      </w:r>
      <w:r>
        <w:rPr>
          <w:rFonts w:ascii="宋体" w:eastAsia="宋体" w:hAnsi="宋体" w:cs="宋体"/>
          <w:sz w:val="19"/>
          <w:szCs w:val="19"/>
        </w:rPr>
        <w:t>mg</w:t>
      </w:r>
      <w:r>
        <w:rPr>
          <w:rFonts w:ascii="宋体" w:eastAsia="宋体" w:hAnsi="宋体" w:cs="宋体"/>
          <w:spacing w:val="18"/>
          <w:sz w:val="19"/>
          <w:szCs w:val="19"/>
        </w:rPr>
        <w:t>)、</w:t>
      </w:r>
      <w:r>
        <w:rPr>
          <w:rFonts w:ascii="宋体" w:eastAsia="宋体" w:hAnsi="宋体" w:cs="宋体"/>
          <w:spacing w:val="81"/>
          <w:sz w:val="19"/>
          <w:szCs w:val="19"/>
        </w:rPr>
        <w:t xml:space="preserve"> </w:t>
      </w:r>
      <w:r>
        <w:rPr>
          <w:rFonts w:ascii="宋体" w:eastAsia="宋体" w:hAnsi="宋体" w:cs="宋体"/>
          <w:spacing w:val="18"/>
          <w:sz w:val="19"/>
          <w:szCs w:val="19"/>
        </w:rPr>
        <w:t>钙强化豆奶(豆奶中钙含量为27</w:t>
      </w:r>
      <w:r>
        <w:rPr>
          <w:rFonts w:ascii="宋体" w:eastAsia="宋体" w:hAnsi="宋体" w:cs="宋体"/>
          <w:sz w:val="19"/>
          <w:szCs w:val="19"/>
        </w:rPr>
        <w:t>mg</w:t>
      </w:r>
      <w:r>
        <w:rPr>
          <w:rFonts w:ascii="宋体" w:eastAsia="宋体" w:hAnsi="宋体" w:cs="宋体"/>
          <w:spacing w:val="18"/>
          <w:sz w:val="19"/>
          <w:szCs w:val="19"/>
        </w:rPr>
        <w:t>/100g,</w:t>
      </w:r>
      <w:r>
        <w:rPr>
          <w:rFonts w:ascii="宋体" w:eastAsia="宋体" w:hAnsi="宋体" w:cs="宋体"/>
          <w:spacing w:val="26"/>
          <w:sz w:val="19"/>
          <w:szCs w:val="19"/>
        </w:rPr>
        <w:t xml:space="preserve">  </w:t>
      </w:r>
      <w:r>
        <w:rPr>
          <w:rFonts w:ascii="宋体" w:eastAsia="宋体" w:hAnsi="宋体" w:cs="宋体"/>
          <w:spacing w:val="18"/>
          <w:sz w:val="19"/>
          <w:szCs w:val="19"/>
        </w:rPr>
        <w:t>不能满</w:t>
      </w:r>
      <w:r>
        <w:rPr>
          <w:rFonts w:ascii="宋体" w:eastAsia="宋体" w:hAnsi="宋体" w:cs="宋体"/>
          <w:spacing w:val="17"/>
          <w:sz w:val="19"/>
          <w:szCs w:val="19"/>
        </w:rPr>
        <w:t>足婴幼儿、发</w:t>
      </w:r>
      <w:r>
        <w:rPr>
          <w:rFonts w:ascii="宋体" w:eastAsia="宋体" w:hAnsi="宋体" w:cs="宋体"/>
          <w:sz w:val="19"/>
          <w:szCs w:val="19"/>
        </w:rPr>
        <w:t xml:space="preserve"> </w:t>
      </w:r>
      <w:r>
        <w:rPr>
          <w:rFonts w:ascii="宋体" w:eastAsia="宋体" w:hAnsi="宋体" w:cs="宋体"/>
          <w:spacing w:val="20"/>
          <w:sz w:val="19"/>
          <w:szCs w:val="19"/>
        </w:rPr>
        <w:t>育期儿童、孕产妇及老年人的正常生理需要，</w:t>
      </w:r>
      <w:r>
        <w:rPr>
          <w:rFonts w:ascii="宋体" w:eastAsia="宋体" w:hAnsi="宋体" w:cs="宋体"/>
          <w:spacing w:val="19"/>
          <w:sz w:val="19"/>
          <w:szCs w:val="19"/>
        </w:rPr>
        <w:t>因此需强化钙)和果汁豆奶等。在</w:t>
      </w:r>
      <w:r>
        <w:rPr>
          <w:rFonts w:ascii="宋体" w:eastAsia="宋体" w:hAnsi="宋体" w:cs="宋体"/>
          <w:sz w:val="19"/>
          <w:szCs w:val="19"/>
        </w:rPr>
        <w:t xml:space="preserve"> </w:t>
      </w:r>
      <w:r>
        <w:rPr>
          <w:rFonts w:ascii="宋体" w:eastAsia="宋体" w:hAnsi="宋体" w:cs="宋体"/>
          <w:spacing w:val="17"/>
          <w:sz w:val="19"/>
          <w:szCs w:val="19"/>
        </w:rPr>
        <w:t>豆奶中直接添加钙盐会发生蛋白质沉淀，研究表明，适当地改变</w:t>
      </w:r>
      <w:r>
        <w:rPr>
          <w:rFonts w:ascii="宋体" w:eastAsia="宋体" w:hAnsi="宋体" w:cs="宋体"/>
          <w:spacing w:val="16"/>
          <w:sz w:val="19"/>
          <w:szCs w:val="19"/>
        </w:rPr>
        <w:t>加钙方式及加入</w:t>
      </w:r>
      <w:r>
        <w:rPr>
          <w:rFonts w:ascii="宋体" w:eastAsia="宋体" w:hAnsi="宋体" w:cs="宋体"/>
          <w:sz w:val="19"/>
          <w:szCs w:val="19"/>
        </w:rPr>
        <w:t xml:space="preserve"> </w:t>
      </w:r>
      <w:r>
        <w:rPr>
          <w:rFonts w:ascii="宋体" w:eastAsia="宋体" w:hAnsi="宋体" w:cs="宋体"/>
          <w:spacing w:val="22"/>
          <w:sz w:val="19"/>
          <w:szCs w:val="19"/>
        </w:rPr>
        <w:t>量，在较窄的范围内即20</w:t>
      </w:r>
      <w:r>
        <w:rPr>
          <w:rFonts w:ascii="宋体" w:eastAsia="宋体" w:hAnsi="宋体" w:cs="宋体"/>
          <w:sz w:val="19"/>
          <w:szCs w:val="19"/>
        </w:rPr>
        <w:t>mg</w:t>
      </w:r>
      <w:r>
        <w:rPr>
          <w:rFonts w:ascii="宋体" w:eastAsia="宋体" w:hAnsi="宋体" w:cs="宋体"/>
          <w:spacing w:val="22"/>
          <w:sz w:val="19"/>
          <w:szCs w:val="19"/>
        </w:rPr>
        <w:t>/100</w:t>
      </w:r>
      <w:r>
        <w:rPr>
          <w:rFonts w:ascii="宋体" w:eastAsia="宋体" w:hAnsi="宋体" w:cs="宋体"/>
          <w:sz w:val="19"/>
          <w:szCs w:val="19"/>
        </w:rPr>
        <w:t>mL</w:t>
      </w:r>
      <w:r>
        <w:rPr>
          <w:rFonts w:ascii="宋体" w:eastAsia="宋体" w:hAnsi="宋体" w:cs="宋体"/>
          <w:spacing w:val="42"/>
          <w:sz w:val="19"/>
          <w:szCs w:val="19"/>
        </w:rPr>
        <w:t xml:space="preserve">  </w:t>
      </w:r>
      <w:r>
        <w:rPr>
          <w:rFonts w:ascii="宋体" w:eastAsia="宋体" w:hAnsi="宋体" w:cs="宋体"/>
          <w:spacing w:val="22"/>
          <w:sz w:val="19"/>
          <w:szCs w:val="19"/>
        </w:rPr>
        <w:t>对饮料的稳定性无影响。具体工艺如下：</w:t>
      </w:r>
    </w:p>
    <w:p w:rsidR="00EA40A3" w:rsidRDefault="00E86C16">
      <w:pPr>
        <w:spacing w:before="85" w:line="219" w:lineRule="auto"/>
        <w:rPr>
          <w:rFonts w:ascii="宋体" w:eastAsia="宋体" w:hAnsi="宋体" w:cs="宋体"/>
          <w:sz w:val="19"/>
          <w:szCs w:val="19"/>
        </w:rPr>
      </w:pPr>
      <w:r>
        <w:rPr>
          <w:rFonts w:ascii="宋体" w:eastAsia="宋体" w:hAnsi="宋体" w:cs="宋体"/>
          <w:spacing w:val="24"/>
          <w:sz w:val="19"/>
          <w:szCs w:val="19"/>
        </w:rPr>
        <w:t>在冷却的豆奶中加入0</w:t>
      </w:r>
      <w:r>
        <w:rPr>
          <w:rFonts w:ascii="宋体" w:eastAsia="宋体" w:hAnsi="宋体" w:cs="宋体"/>
          <w:spacing w:val="-50"/>
          <w:sz w:val="19"/>
          <w:szCs w:val="19"/>
        </w:rPr>
        <w:t xml:space="preserve"> </w:t>
      </w:r>
      <w:r>
        <w:rPr>
          <w:rFonts w:ascii="宋体" w:eastAsia="宋体" w:hAnsi="宋体" w:cs="宋体"/>
          <w:spacing w:val="24"/>
          <w:sz w:val="19"/>
          <w:szCs w:val="19"/>
        </w:rPr>
        <w:t>.</w:t>
      </w:r>
      <w:r>
        <w:rPr>
          <w:rFonts w:ascii="宋体" w:eastAsia="宋体" w:hAnsi="宋体" w:cs="宋体"/>
          <w:spacing w:val="-55"/>
          <w:sz w:val="19"/>
          <w:szCs w:val="19"/>
        </w:rPr>
        <w:t xml:space="preserve"> </w:t>
      </w:r>
      <w:r>
        <w:rPr>
          <w:rFonts w:ascii="宋体" w:eastAsia="宋体" w:hAnsi="宋体" w:cs="宋体"/>
          <w:spacing w:val="24"/>
          <w:sz w:val="19"/>
          <w:szCs w:val="19"/>
        </w:rPr>
        <w:t>2%～1</w:t>
      </w:r>
      <w:r>
        <w:rPr>
          <w:rFonts w:ascii="宋体" w:eastAsia="宋体" w:hAnsi="宋体" w:cs="宋体"/>
          <w:spacing w:val="-51"/>
          <w:sz w:val="19"/>
          <w:szCs w:val="19"/>
        </w:rPr>
        <w:t xml:space="preserve"> </w:t>
      </w:r>
      <w:r>
        <w:rPr>
          <w:rFonts w:ascii="宋体" w:eastAsia="宋体" w:hAnsi="宋体" w:cs="宋体"/>
          <w:spacing w:val="24"/>
          <w:sz w:val="19"/>
          <w:szCs w:val="19"/>
        </w:rPr>
        <w:t>.</w:t>
      </w:r>
      <w:r>
        <w:rPr>
          <w:rFonts w:ascii="宋体" w:eastAsia="宋体" w:hAnsi="宋体" w:cs="宋体"/>
          <w:spacing w:val="-55"/>
          <w:sz w:val="19"/>
          <w:szCs w:val="19"/>
        </w:rPr>
        <w:t xml:space="preserve"> </w:t>
      </w:r>
      <w:r>
        <w:rPr>
          <w:rFonts w:ascii="宋体" w:eastAsia="宋体" w:hAnsi="宋体" w:cs="宋体"/>
          <w:spacing w:val="24"/>
          <w:sz w:val="19"/>
          <w:szCs w:val="19"/>
        </w:rPr>
        <w:t>0%的</w:t>
      </w:r>
      <w:r>
        <w:rPr>
          <w:rFonts w:ascii="宋体" w:eastAsia="宋体" w:hAnsi="宋体" w:cs="宋体"/>
          <w:spacing w:val="-40"/>
          <w:sz w:val="19"/>
          <w:szCs w:val="19"/>
        </w:rPr>
        <w:t xml:space="preserve"> </w:t>
      </w:r>
      <w:r>
        <w:rPr>
          <w:rFonts w:ascii="宋体" w:eastAsia="宋体" w:hAnsi="宋体" w:cs="宋体"/>
          <w:sz w:val="19"/>
          <w:szCs w:val="19"/>
        </w:rPr>
        <w:t>NaHCO</w:t>
      </w:r>
      <w:r>
        <w:rPr>
          <w:rFonts w:ascii="Calibri" w:eastAsia="Calibri" w:hAnsi="Calibri" w:cs="Calibri"/>
          <w:spacing w:val="24"/>
          <w:sz w:val="19"/>
          <w:szCs w:val="19"/>
        </w:rPr>
        <w:t>₃</w:t>
      </w:r>
      <w:r>
        <w:rPr>
          <w:rFonts w:ascii="Calibri" w:eastAsia="Calibri" w:hAnsi="Calibri" w:cs="Calibri"/>
          <w:spacing w:val="1"/>
          <w:sz w:val="19"/>
          <w:szCs w:val="19"/>
        </w:rPr>
        <w:t xml:space="preserve">       </w:t>
      </w:r>
      <w:r>
        <w:rPr>
          <w:rFonts w:ascii="宋体" w:eastAsia="宋体" w:hAnsi="宋体" w:cs="宋体"/>
          <w:spacing w:val="24"/>
          <w:sz w:val="19"/>
          <w:szCs w:val="19"/>
        </w:rPr>
        <w:t>并搅拌，溶解后再加入0</w:t>
      </w:r>
      <w:r>
        <w:rPr>
          <w:rFonts w:ascii="宋体" w:eastAsia="宋体" w:hAnsi="宋体" w:cs="宋体"/>
          <w:spacing w:val="-43"/>
          <w:sz w:val="19"/>
          <w:szCs w:val="19"/>
        </w:rPr>
        <w:t xml:space="preserve"> </w:t>
      </w:r>
      <w:r>
        <w:rPr>
          <w:rFonts w:ascii="宋体" w:eastAsia="宋体" w:hAnsi="宋体" w:cs="宋体"/>
          <w:spacing w:val="24"/>
          <w:sz w:val="19"/>
          <w:szCs w:val="19"/>
        </w:rPr>
        <w:t>.</w:t>
      </w:r>
      <w:r>
        <w:rPr>
          <w:rFonts w:ascii="宋体" w:eastAsia="宋体" w:hAnsi="宋体" w:cs="宋体"/>
          <w:spacing w:val="-54"/>
          <w:sz w:val="19"/>
          <w:szCs w:val="19"/>
        </w:rPr>
        <w:t xml:space="preserve"> </w:t>
      </w:r>
      <w:r>
        <w:rPr>
          <w:rFonts w:ascii="宋体" w:eastAsia="宋体" w:hAnsi="宋体" w:cs="宋体"/>
          <w:spacing w:val="24"/>
          <w:sz w:val="19"/>
          <w:szCs w:val="19"/>
        </w:rPr>
        <w:t>4%~</w:t>
      </w:r>
    </w:p>
    <w:p w:rsidR="00EA40A3" w:rsidRDefault="00E86C16">
      <w:pPr>
        <w:spacing w:before="76" w:line="219" w:lineRule="auto"/>
        <w:rPr>
          <w:rFonts w:ascii="宋体" w:eastAsia="宋体" w:hAnsi="宋体" w:cs="宋体"/>
          <w:sz w:val="19"/>
          <w:szCs w:val="19"/>
        </w:rPr>
      </w:pPr>
      <w:r>
        <w:rPr>
          <w:rFonts w:ascii="宋体" w:eastAsia="宋体" w:hAnsi="宋体" w:cs="宋体"/>
          <w:spacing w:val="16"/>
          <w:sz w:val="19"/>
          <w:szCs w:val="19"/>
        </w:rPr>
        <w:t>1.2%的乳酸钙，再搅拌，高压杀菌后即可)。</w:t>
      </w:r>
    </w:p>
    <w:p w:rsidR="00EA40A3" w:rsidRDefault="00E86C16">
      <w:pPr>
        <w:spacing w:before="251" w:line="222" w:lineRule="auto"/>
        <w:ind w:left="3"/>
        <w:outlineLvl w:val="6"/>
        <w:rPr>
          <w:rFonts w:ascii="黑体" w:eastAsia="黑体" w:hAnsi="黑体" w:cs="黑体"/>
          <w:sz w:val="22"/>
          <w:szCs w:val="22"/>
        </w:rPr>
      </w:pPr>
      <w:r>
        <w:rPr>
          <w:rFonts w:ascii="黑体" w:eastAsia="黑体" w:hAnsi="黑体" w:cs="黑体"/>
          <w:b/>
          <w:bCs/>
          <w:spacing w:val="1"/>
          <w:sz w:val="22"/>
          <w:szCs w:val="22"/>
        </w:rPr>
        <w:t>8.4.4</w:t>
      </w:r>
      <w:r>
        <w:rPr>
          <w:rFonts w:ascii="黑体" w:eastAsia="黑体" w:hAnsi="黑体" w:cs="黑体"/>
          <w:spacing w:val="29"/>
          <w:sz w:val="22"/>
          <w:szCs w:val="22"/>
        </w:rPr>
        <w:t xml:space="preserve">  </w:t>
      </w:r>
      <w:r>
        <w:rPr>
          <w:rFonts w:ascii="黑体" w:eastAsia="黑体" w:hAnsi="黑体" w:cs="黑体"/>
          <w:b/>
          <w:bCs/>
          <w:spacing w:val="1"/>
          <w:sz w:val="22"/>
          <w:szCs w:val="22"/>
        </w:rPr>
        <w:t>强化军粮</w:t>
      </w:r>
    </w:p>
    <w:p w:rsidR="00EA40A3" w:rsidRDefault="00E86C16">
      <w:pPr>
        <w:spacing w:before="207" w:line="274" w:lineRule="auto"/>
        <w:ind w:firstLine="419"/>
        <w:jc w:val="both"/>
        <w:rPr>
          <w:rFonts w:ascii="宋体" w:eastAsia="宋体" w:hAnsi="宋体" w:cs="宋体"/>
          <w:sz w:val="19"/>
          <w:szCs w:val="19"/>
        </w:rPr>
      </w:pPr>
      <w:r>
        <w:rPr>
          <w:rFonts w:ascii="宋体" w:eastAsia="宋体" w:hAnsi="宋体" w:cs="宋体"/>
          <w:spacing w:val="17"/>
          <w:sz w:val="19"/>
          <w:szCs w:val="19"/>
        </w:rPr>
        <w:t>战时，军队行动是不规律的，现代战争要求在任何气候条件下作战，军粮必</w:t>
      </w:r>
      <w:r>
        <w:rPr>
          <w:rFonts w:ascii="宋体" w:eastAsia="宋体" w:hAnsi="宋体" w:cs="宋体"/>
          <w:spacing w:val="13"/>
          <w:sz w:val="19"/>
          <w:szCs w:val="19"/>
        </w:rPr>
        <w:t xml:space="preserve"> </w:t>
      </w:r>
      <w:r>
        <w:rPr>
          <w:rFonts w:ascii="宋体" w:eastAsia="宋体" w:hAnsi="宋体" w:cs="宋体"/>
          <w:spacing w:val="17"/>
          <w:sz w:val="19"/>
          <w:szCs w:val="19"/>
        </w:rPr>
        <w:t>须考虑营养是否全面、是否便于携带、是否易于烹煮等，因此，对军用口粮提出</w:t>
      </w:r>
      <w:r>
        <w:rPr>
          <w:rFonts w:ascii="宋体" w:eastAsia="宋体" w:hAnsi="宋体" w:cs="宋体"/>
          <w:spacing w:val="6"/>
          <w:sz w:val="19"/>
          <w:szCs w:val="19"/>
        </w:rPr>
        <w:t xml:space="preserve"> </w:t>
      </w:r>
      <w:r>
        <w:rPr>
          <w:rFonts w:ascii="宋体" w:eastAsia="宋体" w:hAnsi="宋体" w:cs="宋体"/>
          <w:spacing w:val="18"/>
          <w:sz w:val="19"/>
          <w:szCs w:val="19"/>
        </w:rPr>
        <w:t>了较高要求。由于军粮是集体膳食，容易强化处理，所以强化军粮出现得最早，</w:t>
      </w:r>
    </w:p>
    <w:p w:rsidR="00EA40A3" w:rsidRDefault="00E86C16">
      <w:pPr>
        <w:spacing w:before="84"/>
        <w:ind w:right="41"/>
        <w:jc w:val="right"/>
        <w:rPr>
          <w:rFonts w:ascii="宋体" w:eastAsia="宋体" w:hAnsi="宋体" w:cs="宋体"/>
          <w:sz w:val="19"/>
          <w:szCs w:val="19"/>
        </w:rPr>
      </w:pPr>
      <w:r>
        <w:rPr>
          <w:rFonts w:ascii="宋体" w:eastAsia="宋体" w:hAnsi="宋体" w:cs="宋体"/>
          <w:spacing w:val="-31"/>
          <w:sz w:val="19"/>
          <w:szCs w:val="19"/>
        </w:rPr>
        <w:t>·</w:t>
      </w:r>
      <w:r>
        <w:rPr>
          <w:rFonts w:ascii="宋体" w:eastAsia="宋体" w:hAnsi="宋体" w:cs="宋体"/>
          <w:spacing w:val="-10"/>
          <w:sz w:val="19"/>
          <w:szCs w:val="19"/>
        </w:rPr>
        <w:t xml:space="preserve"> </w:t>
      </w:r>
      <w:r>
        <w:rPr>
          <w:rFonts w:ascii="宋体" w:eastAsia="宋体" w:hAnsi="宋体" w:cs="宋体"/>
          <w:spacing w:val="-31"/>
          <w:sz w:val="19"/>
          <w:szCs w:val="19"/>
        </w:rPr>
        <w:t>273</w:t>
      </w:r>
      <w:r>
        <w:rPr>
          <w:rFonts w:ascii="宋体" w:eastAsia="宋体" w:hAnsi="宋体" w:cs="宋体"/>
          <w:spacing w:val="42"/>
          <w:sz w:val="19"/>
          <w:szCs w:val="19"/>
        </w:rPr>
        <w:t xml:space="preserve"> </w:t>
      </w:r>
      <w:r>
        <w:rPr>
          <w:rFonts w:ascii="宋体" w:eastAsia="宋体" w:hAnsi="宋体" w:cs="宋体"/>
          <w:spacing w:val="-31"/>
          <w:sz w:val="19"/>
          <w:szCs w:val="19"/>
        </w:rPr>
        <w:t>·</w:t>
      </w:r>
    </w:p>
    <w:p w:rsidR="00EA40A3" w:rsidRDefault="00EA40A3">
      <w:pPr>
        <w:sectPr w:rsidR="00EA40A3">
          <w:pgSz w:w="9220" w:h="13360"/>
          <w:pgMar w:top="400" w:right="994" w:bottom="400" w:left="930" w:header="0" w:footer="0" w:gutter="0"/>
          <w:cols w:space="720"/>
        </w:sectPr>
      </w:pPr>
    </w:p>
    <w:p w:rsidR="00EA40A3" w:rsidRDefault="00EA40A3">
      <w:pPr>
        <w:spacing w:line="315" w:lineRule="auto"/>
      </w:pPr>
    </w:p>
    <w:p w:rsidR="00EA40A3" w:rsidRDefault="00EA40A3">
      <w:pPr>
        <w:spacing w:line="315" w:lineRule="auto"/>
      </w:pPr>
    </w:p>
    <w:p w:rsidR="00EA40A3" w:rsidRDefault="00E86C16">
      <w:pPr>
        <w:spacing w:before="75" w:line="219" w:lineRule="auto"/>
        <w:rPr>
          <w:rFonts w:ascii="宋体" w:eastAsia="宋体" w:hAnsi="宋体" w:cs="宋体"/>
          <w:sz w:val="23"/>
          <w:szCs w:val="23"/>
        </w:rPr>
      </w:pPr>
      <w:r>
        <w:rPr>
          <w:rFonts w:ascii="宋体" w:eastAsia="宋体" w:hAnsi="宋体" w:cs="宋体"/>
          <w:spacing w:val="-22"/>
          <w:sz w:val="23"/>
          <w:szCs w:val="23"/>
        </w:rPr>
        <w:t>也最普遍。</w:t>
      </w:r>
    </w:p>
    <w:p w:rsidR="00EA40A3" w:rsidRDefault="00E86C16">
      <w:pPr>
        <w:spacing w:before="36" w:line="237" w:lineRule="auto"/>
        <w:ind w:firstLine="419"/>
        <w:jc w:val="both"/>
        <w:rPr>
          <w:rFonts w:ascii="宋体" w:eastAsia="宋体" w:hAnsi="宋体" w:cs="宋体"/>
          <w:sz w:val="23"/>
          <w:szCs w:val="23"/>
        </w:rPr>
      </w:pPr>
      <w:r>
        <w:rPr>
          <w:rFonts w:ascii="宋体" w:eastAsia="宋体" w:hAnsi="宋体" w:cs="宋体"/>
          <w:spacing w:val="-17"/>
          <w:sz w:val="23"/>
          <w:szCs w:val="23"/>
        </w:rPr>
        <w:t>平时的军粮，如欧美各国大多在面粉及罐头等主要食品中增</w:t>
      </w:r>
      <w:r>
        <w:rPr>
          <w:rFonts w:ascii="宋体" w:eastAsia="宋体" w:hAnsi="宋体" w:cs="宋体"/>
          <w:spacing w:val="-18"/>
          <w:sz w:val="23"/>
          <w:szCs w:val="23"/>
        </w:rPr>
        <w:t>补必要的营养</w:t>
      </w:r>
      <w:r>
        <w:rPr>
          <w:rFonts w:ascii="宋体" w:eastAsia="宋体" w:hAnsi="宋体" w:cs="宋体"/>
          <w:sz w:val="23"/>
          <w:szCs w:val="23"/>
        </w:rPr>
        <w:t xml:space="preserve">  </w:t>
      </w:r>
      <w:r>
        <w:rPr>
          <w:rFonts w:ascii="宋体" w:eastAsia="宋体" w:hAnsi="宋体" w:cs="宋体"/>
          <w:spacing w:val="-20"/>
          <w:sz w:val="23"/>
          <w:szCs w:val="23"/>
        </w:rPr>
        <w:t>素，其他一般与民用相仿。到了战时，为了携</w:t>
      </w:r>
      <w:r>
        <w:rPr>
          <w:rFonts w:ascii="宋体" w:eastAsia="宋体" w:hAnsi="宋体" w:cs="宋体"/>
          <w:spacing w:val="-21"/>
          <w:sz w:val="23"/>
          <w:szCs w:val="23"/>
        </w:rPr>
        <w:t>带方便则多以高能压缩食品为主，</w:t>
      </w:r>
      <w:r>
        <w:rPr>
          <w:rFonts w:ascii="宋体" w:eastAsia="宋体" w:hAnsi="宋体" w:cs="宋体"/>
          <w:sz w:val="23"/>
          <w:szCs w:val="23"/>
        </w:rPr>
        <w:t xml:space="preserve"> </w:t>
      </w:r>
      <w:r>
        <w:rPr>
          <w:rFonts w:ascii="宋体" w:eastAsia="宋体" w:hAnsi="宋体" w:cs="宋体"/>
          <w:spacing w:val="-23"/>
          <w:sz w:val="23"/>
          <w:szCs w:val="23"/>
        </w:rPr>
        <w:t>且大部分为配套的食盒。即将几种不同的食品混合置于一个包装盒内。</w:t>
      </w:r>
      <w:r>
        <w:rPr>
          <w:rFonts w:ascii="宋体" w:eastAsia="宋体" w:hAnsi="宋体" w:cs="宋体"/>
          <w:spacing w:val="-24"/>
          <w:sz w:val="23"/>
          <w:szCs w:val="23"/>
        </w:rPr>
        <w:t>这些食品</w:t>
      </w:r>
      <w:r>
        <w:rPr>
          <w:rFonts w:ascii="宋体" w:eastAsia="宋体" w:hAnsi="宋体" w:cs="宋体"/>
          <w:sz w:val="23"/>
          <w:szCs w:val="23"/>
        </w:rPr>
        <w:t xml:space="preserve"> </w:t>
      </w:r>
      <w:r>
        <w:rPr>
          <w:rFonts w:ascii="宋体" w:eastAsia="宋体" w:hAnsi="宋体" w:cs="宋体"/>
          <w:spacing w:val="-23"/>
          <w:sz w:val="23"/>
          <w:szCs w:val="23"/>
        </w:rPr>
        <w:t>是按照有关的能量及营养素含量计算而定，并配成一餐的供</w:t>
      </w:r>
      <w:r>
        <w:rPr>
          <w:rFonts w:ascii="宋体" w:eastAsia="宋体" w:hAnsi="宋体" w:cs="宋体"/>
          <w:spacing w:val="-24"/>
          <w:sz w:val="23"/>
          <w:szCs w:val="23"/>
        </w:rPr>
        <w:t>应量。普通食盒内的</w:t>
      </w:r>
      <w:r>
        <w:rPr>
          <w:rFonts w:ascii="宋体" w:eastAsia="宋体" w:hAnsi="宋体" w:cs="宋体"/>
          <w:sz w:val="23"/>
          <w:szCs w:val="23"/>
        </w:rPr>
        <w:t xml:space="preserve">  </w:t>
      </w:r>
      <w:r>
        <w:rPr>
          <w:rFonts w:ascii="宋体" w:eastAsia="宋体" w:hAnsi="宋体" w:cs="宋体"/>
          <w:spacing w:val="-21"/>
          <w:sz w:val="23"/>
          <w:szCs w:val="23"/>
        </w:rPr>
        <w:t>主食大多由压缩饼干、压缩米糕、高油脂酥糖等组成，副食大多包括压缩肉松、</w:t>
      </w:r>
      <w:r>
        <w:rPr>
          <w:rFonts w:ascii="宋体" w:eastAsia="宋体" w:hAnsi="宋体" w:cs="宋体"/>
          <w:spacing w:val="18"/>
          <w:sz w:val="23"/>
          <w:szCs w:val="23"/>
        </w:rPr>
        <w:t xml:space="preserve"> </w:t>
      </w:r>
      <w:r>
        <w:rPr>
          <w:rFonts w:ascii="宋体" w:eastAsia="宋体" w:hAnsi="宋体" w:cs="宋体"/>
          <w:spacing w:val="-23"/>
          <w:sz w:val="23"/>
          <w:szCs w:val="23"/>
        </w:rPr>
        <w:t>肉干、调味菜干粉，各种汤料等。此外还有乳粉、炼乳、人造奶油和巧克力等。</w:t>
      </w:r>
    </w:p>
    <w:p w:rsidR="00EA40A3" w:rsidRDefault="00E86C16">
      <w:pPr>
        <w:spacing w:before="89" w:line="228" w:lineRule="auto"/>
        <w:ind w:right="86" w:firstLine="419"/>
        <w:jc w:val="both"/>
        <w:rPr>
          <w:rFonts w:ascii="宋体" w:eastAsia="宋体" w:hAnsi="宋体" w:cs="宋体"/>
          <w:sz w:val="23"/>
          <w:szCs w:val="23"/>
        </w:rPr>
      </w:pPr>
      <w:r>
        <w:rPr>
          <w:rFonts w:ascii="宋体" w:eastAsia="宋体" w:hAnsi="宋体" w:cs="宋体"/>
          <w:spacing w:val="-23"/>
          <w:sz w:val="23"/>
          <w:szCs w:val="23"/>
        </w:rPr>
        <w:t>军粮中还可有不同的罐头食品、软罐头等，并可与食盒搭配食用。它</w:t>
      </w:r>
      <w:r>
        <w:rPr>
          <w:rFonts w:ascii="宋体" w:eastAsia="宋体" w:hAnsi="宋体" w:cs="宋体"/>
          <w:spacing w:val="-24"/>
          <w:sz w:val="23"/>
          <w:szCs w:val="23"/>
        </w:rPr>
        <w:t>们也都</w:t>
      </w:r>
      <w:r>
        <w:rPr>
          <w:rFonts w:ascii="宋体" w:eastAsia="宋体" w:hAnsi="宋体" w:cs="宋体"/>
          <w:sz w:val="23"/>
          <w:szCs w:val="23"/>
        </w:rPr>
        <w:t xml:space="preserve"> </w:t>
      </w:r>
      <w:r>
        <w:rPr>
          <w:rFonts w:ascii="宋体" w:eastAsia="宋体" w:hAnsi="宋体" w:cs="宋体"/>
          <w:spacing w:val="-23"/>
          <w:sz w:val="23"/>
          <w:szCs w:val="23"/>
        </w:rPr>
        <w:t>根据各自的特点，增补适当的营养强化剂。至于营养强化剂的品种及用量还可根</w:t>
      </w:r>
      <w:r>
        <w:rPr>
          <w:rFonts w:ascii="宋体" w:eastAsia="宋体" w:hAnsi="宋体" w:cs="宋体"/>
          <w:spacing w:val="2"/>
          <w:sz w:val="23"/>
          <w:szCs w:val="23"/>
        </w:rPr>
        <w:t xml:space="preserve"> </w:t>
      </w:r>
      <w:r>
        <w:rPr>
          <w:rFonts w:ascii="宋体" w:eastAsia="宋体" w:hAnsi="宋体" w:cs="宋体"/>
          <w:spacing w:val="-22"/>
          <w:sz w:val="23"/>
          <w:szCs w:val="23"/>
        </w:rPr>
        <w:t>据兵种的不同而异。</w:t>
      </w:r>
    </w:p>
    <w:p w:rsidR="00EA40A3" w:rsidRDefault="00E86C16">
      <w:pPr>
        <w:spacing w:before="65" w:line="219" w:lineRule="auto"/>
        <w:ind w:left="419"/>
        <w:rPr>
          <w:rFonts w:ascii="宋体" w:eastAsia="宋体" w:hAnsi="宋体" w:cs="宋体"/>
          <w:sz w:val="23"/>
          <w:szCs w:val="23"/>
        </w:rPr>
      </w:pPr>
      <w:r>
        <w:rPr>
          <w:rFonts w:ascii="宋体" w:eastAsia="宋体" w:hAnsi="宋体" w:cs="宋体"/>
          <w:spacing w:val="-23"/>
          <w:sz w:val="23"/>
          <w:szCs w:val="23"/>
        </w:rPr>
        <w:t>强化军粮除应有携带、开启和食用方便外，尚应有一定的保存期。</w:t>
      </w:r>
    </w:p>
    <w:p w:rsidR="00EA40A3" w:rsidRDefault="00E86C16">
      <w:pPr>
        <w:spacing w:before="193" w:line="221" w:lineRule="auto"/>
        <w:ind w:left="3"/>
        <w:outlineLvl w:val="6"/>
        <w:rPr>
          <w:rFonts w:ascii="黑体" w:eastAsia="黑体" w:hAnsi="黑体" w:cs="黑体"/>
          <w:sz w:val="23"/>
          <w:szCs w:val="23"/>
        </w:rPr>
      </w:pPr>
      <w:r>
        <w:rPr>
          <w:rFonts w:ascii="黑体" w:eastAsia="黑体" w:hAnsi="黑体" w:cs="黑体"/>
          <w:b/>
          <w:bCs/>
          <w:spacing w:val="1"/>
          <w:sz w:val="23"/>
          <w:szCs w:val="23"/>
        </w:rPr>
        <w:t>8.4.5</w:t>
      </w:r>
      <w:r>
        <w:rPr>
          <w:rFonts w:ascii="黑体" w:eastAsia="黑体" w:hAnsi="黑体" w:cs="黑体"/>
          <w:spacing w:val="14"/>
          <w:sz w:val="23"/>
          <w:szCs w:val="23"/>
        </w:rPr>
        <w:t xml:space="preserve">  </w:t>
      </w:r>
      <w:r>
        <w:rPr>
          <w:rFonts w:ascii="黑体" w:eastAsia="黑体" w:hAnsi="黑体" w:cs="黑体"/>
          <w:b/>
          <w:bCs/>
          <w:spacing w:val="1"/>
          <w:sz w:val="23"/>
          <w:szCs w:val="23"/>
        </w:rPr>
        <w:t>混合型营养强化食品</w:t>
      </w:r>
    </w:p>
    <w:p w:rsidR="00EA40A3" w:rsidRDefault="00E86C16">
      <w:pPr>
        <w:spacing w:before="177" w:line="237" w:lineRule="auto"/>
        <w:ind w:right="54" w:firstLine="419"/>
        <w:jc w:val="both"/>
        <w:rPr>
          <w:rFonts w:ascii="宋体" w:eastAsia="宋体" w:hAnsi="宋体" w:cs="宋体"/>
          <w:sz w:val="23"/>
          <w:szCs w:val="23"/>
        </w:rPr>
      </w:pPr>
      <w:r>
        <w:rPr>
          <w:rFonts w:ascii="宋体" w:eastAsia="宋体" w:hAnsi="宋体" w:cs="宋体"/>
          <w:spacing w:val="-22"/>
          <w:sz w:val="23"/>
          <w:szCs w:val="23"/>
        </w:rPr>
        <w:t>将各种不同营养特点的天然食物互相混合，取长补短，以提高</w:t>
      </w:r>
      <w:r>
        <w:rPr>
          <w:rFonts w:ascii="宋体" w:eastAsia="宋体" w:hAnsi="宋体" w:cs="宋体"/>
          <w:spacing w:val="-23"/>
          <w:sz w:val="23"/>
          <w:szCs w:val="23"/>
        </w:rPr>
        <w:t>食物营养价值</w:t>
      </w:r>
      <w:r>
        <w:rPr>
          <w:rFonts w:ascii="宋体" w:eastAsia="宋体" w:hAnsi="宋体" w:cs="宋体"/>
          <w:sz w:val="23"/>
          <w:szCs w:val="23"/>
        </w:rPr>
        <w:t xml:space="preserve"> </w:t>
      </w:r>
      <w:r>
        <w:rPr>
          <w:rFonts w:ascii="宋体" w:eastAsia="宋体" w:hAnsi="宋体" w:cs="宋体"/>
          <w:spacing w:val="-24"/>
          <w:sz w:val="23"/>
          <w:szCs w:val="23"/>
        </w:rPr>
        <w:t>的强化食品称为混合型营养强化食品。混合型营养强化食品的营养学意义在于发</w:t>
      </w:r>
      <w:r>
        <w:rPr>
          <w:rFonts w:ascii="宋体" w:eastAsia="宋体" w:hAnsi="宋体" w:cs="宋体"/>
          <w:spacing w:val="17"/>
          <w:sz w:val="23"/>
          <w:szCs w:val="23"/>
        </w:rPr>
        <w:t xml:space="preserve"> </w:t>
      </w:r>
      <w:r>
        <w:rPr>
          <w:rFonts w:ascii="宋体" w:eastAsia="宋体" w:hAnsi="宋体" w:cs="宋体"/>
          <w:spacing w:val="-22"/>
          <w:sz w:val="23"/>
          <w:szCs w:val="23"/>
        </w:rPr>
        <w:t>挥各种食物中营养素的互补作用，大多是在主食品中混入一定量的其他食品以弥</w:t>
      </w:r>
      <w:r>
        <w:rPr>
          <w:rFonts w:ascii="宋体" w:eastAsia="宋体" w:hAnsi="宋体" w:cs="宋体"/>
          <w:sz w:val="23"/>
          <w:szCs w:val="23"/>
        </w:rPr>
        <w:t xml:space="preserve"> </w:t>
      </w:r>
      <w:r>
        <w:rPr>
          <w:rFonts w:ascii="宋体" w:eastAsia="宋体" w:hAnsi="宋体" w:cs="宋体"/>
          <w:spacing w:val="-23"/>
          <w:sz w:val="23"/>
          <w:szCs w:val="23"/>
        </w:rPr>
        <w:t>补主食品中营养素的不足。其中主要的是补充蛋白质的不足</w:t>
      </w:r>
      <w:r>
        <w:rPr>
          <w:rFonts w:ascii="宋体" w:eastAsia="宋体" w:hAnsi="宋体" w:cs="宋体"/>
          <w:spacing w:val="-24"/>
          <w:sz w:val="23"/>
          <w:szCs w:val="23"/>
        </w:rPr>
        <w:t>，或增补主食品中的</w:t>
      </w:r>
      <w:r>
        <w:rPr>
          <w:rFonts w:ascii="宋体" w:eastAsia="宋体" w:hAnsi="宋体" w:cs="宋体"/>
          <w:sz w:val="23"/>
          <w:szCs w:val="23"/>
        </w:rPr>
        <w:t xml:space="preserve"> </w:t>
      </w:r>
      <w:r>
        <w:rPr>
          <w:rFonts w:ascii="宋体" w:eastAsia="宋体" w:hAnsi="宋体" w:cs="宋体"/>
          <w:spacing w:val="-23"/>
          <w:sz w:val="23"/>
          <w:szCs w:val="23"/>
        </w:rPr>
        <w:t>某种限制氨基酸，其他则有维生素、矿物质等。</w:t>
      </w:r>
    </w:p>
    <w:p w:rsidR="00EA40A3" w:rsidRDefault="00E86C16">
      <w:pPr>
        <w:spacing w:before="87"/>
        <w:ind w:firstLine="419"/>
        <w:jc w:val="both"/>
        <w:rPr>
          <w:rFonts w:ascii="宋体" w:eastAsia="宋体" w:hAnsi="宋体" w:cs="宋体"/>
          <w:sz w:val="23"/>
          <w:szCs w:val="23"/>
        </w:rPr>
      </w:pPr>
      <w:r>
        <w:rPr>
          <w:rFonts w:ascii="宋体" w:eastAsia="宋体" w:hAnsi="宋体" w:cs="宋体"/>
          <w:spacing w:val="-21"/>
          <w:sz w:val="23"/>
          <w:szCs w:val="23"/>
        </w:rPr>
        <w:t>主要作为增补蛋白质、氨基酸用的天然食物有乳粉、鱼粉、大豆浓缩蛋白、</w:t>
      </w:r>
      <w:r>
        <w:rPr>
          <w:rFonts w:ascii="宋体" w:eastAsia="宋体" w:hAnsi="宋体" w:cs="宋体"/>
          <w:spacing w:val="17"/>
          <w:sz w:val="23"/>
          <w:szCs w:val="23"/>
        </w:rPr>
        <w:t xml:space="preserve"> </w:t>
      </w:r>
      <w:r>
        <w:rPr>
          <w:rFonts w:ascii="宋体" w:eastAsia="宋体" w:hAnsi="宋体" w:cs="宋体"/>
          <w:spacing w:val="-23"/>
          <w:sz w:val="23"/>
          <w:szCs w:val="23"/>
        </w:rPr>
        <w:t>大豆分离蛋白、各种豆类，以及可可、芝麻、花生、向日葵等榨油后富含蛋</w:t>
      </w:r>
      <w:r>
        <w:rPr>
          <w:rFonts w:ascii="宋体" w:eastAsia="宋体" w:hAnsi="宋体" w:cs="宋体"/>
          <w:spacing w:val="-24"/>
          <w:sz w:val="23"/>
          <w:szCs w:val="23"/>
        </w:rPr>
        <w:t>白质</w:t>
      </w:r>
      <w:r>
        <w:rPr>
          <w:rFonts w:ascii="宋体" w:eastAsia="宋体" w:hAnsi="宋体" w:cs="宋体"/>
          <w:sz w:val="23"/>
          <w:szCs w:val="23"/>
        </w:rPr>
        <w:t xml:space="preserve"> </w:t>
      </w:r>
      <w:r>
        <w:rPr>
          <w:rFonts w:ascii="宋体" w:eastAsia="宋体" w:hAnsi="宋体" w:cs="宋体"/>
          <w:spacing w:val="-23"/>
          <w:sz w:val="23"/>
          <w:szCs w:val="23"/>
        </w:rPr>
        <w:t>的副产品等。我国在利用天然食物及其制品进行食品强化方面</w:t>
      </w:r>
      <w:r>
        <w:rPr>
          <w:rFonts w:ascii="宋体" w:eastAsia="宋体" w:hAnsi="宋体" w:cs="宋体"/>
          <w:spacing w:val="-24"/>
          <w:sz w:val="23"/>
          <w:szCs w:val="23"/>
        </w:rPr>
        <w:t>有悠久的历史。例</w:t>
      </w:r>
      <w:r>
        <w:rPr>
          <w:rFonts w:ascii="宋体" w:eastAsia="宋体" w:hAnsi="宋体" w:cs="宋体"/>
          <w:sz w:val="23"/>
          <w:szCs w:val="23"/>
        </w:rPr>
        <w:t xml:space="preserve">  </w:t>
      </w:r>
      <w:r>
        <w:rPr>
          <w:rFonts w:ascii="宋体" w:eastAsia="宋体" w:hAnsi="宋体" w:cs="宋体"/>
          <w:spacing w:val="-22"/>
          <w:sz w:val="23"/>
          <w:szCs w:val="23"/>
        </w:rPr>
        <w:t>如我国北方某些地区的“杂合面”,以及各地的谷豆混食等</w:t>
      </w:r>
      <w:r>
        <w:rPr>
          <w:rFonts w:ascii="宋体" w:eastAsia="宋体" w:hAnsi="宋体" w:cs="宋体"/>
          <w:spacing w:val="-23"/>
          <w:sz w:val="23"/>
          <w:szCs w:val="23"/>
        </w:rPr>
        <w:t>早已应用。</w:t>
      </w:r>
    </w:p>
    <w:p w:rsidR="00EA40A3" w:rsidRDefault="00E86C16">
      <w:pPr>
        <w:spacing w:before="34" w:line="230" w:lineRule="auto"/>
        <w:ind w:right="102" w:firstLine="419"/>
        <w:jc w:val="both"/>
        <w:rPr>
          <w:rFonts w:ascii="宋体" w:eastAsia="宋体" w:hAnsi="宋体" w:cs="宋体"/>
          <w:sz w:val="23"/>
          <w:szCs w:val="23"/>
        </w:rPr>
      </w:pPr>
      <w:r>
        <w:rPr>
          <w:rFonts w:ascii="宋体" w:eastAsia="宋体" w:hAnsi="宋体" w:cs="宋体"/>
          <w:spacing w:val="-24"/>
          <w:sz w:val="23"/>
          <w:szCs w:val="23"/>
        </w:rPr>
        <w:t>主要作为维生素增补用的有酵母、谷胚、胡萝卜干以及各种富含维生素的果</w:t>
      </w:r>
      <w:r>
        <w:rPr>
          <w:rFonts w:ascii="宋体" w:eastAsia="宋体" w:hAnsi="宋体" w:cs="宋体"/>
          <w:spacing w:val="13"/>
          <w:sz w:val="23"/>
          <w:szCs w:val="23"/>
        </w:rPr>
        <w:t xml:space="preserve"> </w:t>
      </w:r>
      <w:r>
        <w:rPr>
          <w:rFonts w:ascii="宋体" w:eastAsia="宋体" w:hAnsi="宋体" w:cs="宋体"/>
          <w:spacing w:val="-24"/>
          <w:sz w:val="23"/>
          <w:szCs w:val="23"/>
        </w:rPr>
        <w:t>蔬和山区野果等。海带、骨粉等则可作为矿物质增补用。</w:t>
      </w:r>
    </w:p>
    <w:p w:rsidR="00EA40A3" w:rsidRDefault="00E86C16">
      <w:pPr>
        <w:spacing w:before="194" w:line="222" w:lineRule="auto"/>
        <w:ind w:left="3"/>
        <w:outlineLvl w:val="6"/>
        <w:rPr>
          <w:rFonts w:ascii="黑体" w:eastAsia="黑体" w:hAnsi="黑体" w:cs="黑体"/>
          <w:sz w:val="23"/>
          <w:szCs w:val="23"/>
        </w:rPr>
      </w:pPr>
      <w:r>
        <w:rPr>
          <w:rFonts w:ascii="黑体" w:eastAsia="黑体" w:hAnsi="黑体" w:cs="黑体"/>
          <w:b/>
          <w:bCs/>
          <w:sz w:val="23"/>
          <w:szCs w:val="23"/>
        </w:rPr>
        <w:t>8.4.6</w:t>
      </w:r>
      <w:r>
        <w:rPr>
          <w:rFonts w:ascii="黑体" w:eastAsia="黑体" w:hAnsi="黑体" w:cs="黑体"/>
          <w:spacing w:val="30"/>
          <w:sz w:val="23"/>
          <w:szCs w:val="23"/>
        </w:rPr>
        <w:t xml:space="preserve">  </w:t>
      </w:r>
      <w:r>
        <w:rPr>
          <w:rFonts w:ascii="黑体" w:eastAsia="黑体" w:hAnsi="黑体" w:cs="黑体"/>
          <w:b/>
          <w:bCs/>
          <w:sz w:val="23"/>
          <w:szCs w:val="23"/>
        </w:rPr>
        <w:t>其他强化食品</w:t>
      </w:r>
    </w:p>
    <w:p w:rsidR="00EA40A3" w:rsidRDefault="00E86C16">
      <w:pPr>
        <w:spacing w:before="245" w:line="222"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22"/>
          <w:sz w:val="23"/>
          <w:szCs w:val="23"/>
        </w:rPr>
        <w:t xml:space="preserve"> </w:t>
      </w:r>
      <w:r>
        <w:rPr>
          <w:rFonts w:ascii="仿宋" w:eastAsia="仿宋" w:hAnsi="仿宋" w:cs="仿宋"/>
          <w:spacing w:val="3"/>
          <w:sz w:val="23"/>
          <w:szCs w:val="23"/>
        </w:rPr>
        <w:t>公共系统的强化食品</w:t>
      </w:r>
    </w:p>
    <w:p w:rsidR="00EA40A3" w:rsidRDefault="00E86C16">
      <w:pPr>
        <w:spacing w:before="191" w:line="237" w:lineRule="auto"/>
        <w:ind w:right="85" w:firstLine="419"/>
        <w:jc w:val="both"/>
        <w:rPr>
          <w:rFonts w:ascii="宋体" w:eastAsia="宋体" w:hAnsi="宋体" w:cs="宋体"/>
          <w:sz w:val="23"/>
          <w:szCs w:val="23"/>
        </w:rPr>
      </w:pPr>
      <w:r>
        <w:rPr>
          <w:rFonts w:ascii="宋体" w:eastAsia="宋体" w:hAnsi="宋体" w:cs="宋体"/>
          <w:spacing w:val="-23"/>
          <w:sz w:val="23"/>
          <w:szCs w:val="23"/>
        </w:rPr>
        <w:t>有一些普遍存在或地区性的营养缺乏问题，为了保证人民均能获得该种</w:t>
      </w:r>
      <w:r>
        <w:rPr>
          <w:rFonts w:ascii="宋体" w:eastAsia="宋体" w:hAnsi="宋体" w:cs="宋体"/>
          <w:spacing w:val="-24"/>
          <w:sz w:val="23"/>
          <w:szCs w:val="23"/>
        </w:rPr>
        <w:t>营养</w:t>
      </w:r>
      <w:r>
        <w:rPr>
          <w:rFonts w:ascii="宋体" w:eastAsia="宋体" w:hAnsi="宋体" w:cs="宋体"/>
          <w:sz w:val="23"/>
          <w:szCs w:val="23"/>
        </w:rPr>
        <w:t xml:space="preserve"> </w:t>
      </w:r>
      <w:r>
        <w:rPr>
          <w:rFonts w:ascii="宋体" w:eastAsia="宋体" w:hAnsi="宋体" w:cs="宋体"/>
          <w:spacing w:val="-16"/>
          <w:sz w:val="23"/>
          <w:szCs w:val="23"/>
        </w:rPr>
        <w:t>素的有效补充，规定在公共系统中强化该种营养素。</w:t>
      </w:r>
      <w:r>
        <w:rPr>
          <w:rFonts w:ascii="宋体" w:eastAsia="宋体" w:hAnsi="宋体" w:cs="宋体"/>
          <w:spacing w:val="-17"/>
          <w:sz w:val="23"/>
          <w:szCs w:val="23"/>
        </w:rPr>
        <w:t>如1950年美国有几个州在</w:t>
      </w:r>
      <w:r>
        <w:rPr>
          <w:rFonts w:ascii="宋体" w:eastAsia="宋体" w:hAnsi="宋体" w:cs="宋体"/>
          <w:sz w:val="23"/>
          <w:szCs w:val="23"/>
        </w:rPr>
        <w:t xml:space="preserve"> </w:t>
      </w:r>
      <w:r>
        <w:rPr>
          <w:rFonts w:ascii="宋体" w:eastAsia="宋体" w:hAnsi="宋体" w:cs="宋体"/>
          <w:spacing w:val="-11"/>
          <w:sz w:val="23"/>
          <w:szCs w:val="23"/>
        </w:rPr>
        <w:t>饮用水中强化氟，以保护牙齿，强化剂采用氟化钠或氟硅化钠，强化剂量为</w:t>
      </w:r>
      <w:r>
        <w:rPr>
          <w:rFonts w:ascii="宋体" w:eastAsia="宋体" w:hAnsi="宋体" w:cs="宋体"/>
          <w:spacing w:val="3"/>
          <w:sz w:val="23"/>
          <w:szCs w:val="23"/>
        </w:rPr>
        <w:t xml:space="preserve"> </w:t>
      </w:r>
      <w:r>
        <w:rPr>
          <w:rFonts w:ascii="宋体" w:eastAsia="宋体" w:hAnsi="宋体" w:cs="宋体"/>
          <w:spacing w:val="-25"/>
          <w:sz w:val="23"/>
          <w:szCs w:val="23"/>
        </w:rPr>
        <w:t>1mg/L。</w:t>
      </w:r>
      <w:r>
        <w:rPr>
          <w:rFonts w:ascii="宋体" w:eastAsia="宋体" w:hAnsi="宋体" w:cs="宋体"/>
          <w:spacing w:val="-5"/>
          <w:sz w:val="23"/>
          <w:szCs w:val="23"/>
        </w:rPr>
        <w:t xml:space="preserve"> </w:t>
      </w:r>
      <w:r>
        <w:rPr>
          <w:rFonts w:ascii="宋体" w:eastAsia="宋体" w:hAnsi="宋体" w:cs="宋体"/>
          <w:spacing w:val="-25"/>
          <w:sz w:val="23"/>
          <w:szCs w:val="23"/>
        </w:rPr>
        <w:t>对于内地地区，</w:t>
      </w:r>
      <w:r>
        <w:rPr>
          <w:rFonts w:ascii="宋体" w:eastAsia="宋体" w:hAnsi="宋体" w:cs="宋体"/>
          <w:spacing w:val="2"/>
          <w:sz w:val="23"/>
          <w:szCs w:val="23"/>
        </w:rPr>
        <w:t xml:space="preserve"> </w:t>
      </w:r>
      <w:r>
        <w:rPr>
          <w:rFonts w:ascii="宋体" w:eastAsia="宋体" w:hAnsi="宋体" w:cs="宋体"/>
          <w:spacing w:val="-25"/>
          <w:sz w:val="23"/>
          <w:szCs w:val="23"/>
        </w:rPr>
        <w:t>一些国家包括我国，在人民生活必需品食盐中强化碘以</w:t>
      </w:r>
      <w:r>
        <w:rPr>
          <w:rFonts w:ascii="宋体" w:eastAsia="宋体" w:hAnsi="宋体" w:cs="宋体"/>
          <w:sz w:val="23"/>
          <w:szCs w:val="23"/>
        </w:rPr>
        <w:t xml:space="preserve"> </w:t>
      </w:r>
      <w:r>
        <w:rPr>
          <w:rFonts w:ascii="宋体" w:eastAsia="宋体" w:hAnsi="宋体" w:cs="宋体"/>
          <w:spacing w:val="-24"/>
          <w:sz w:val="23"/>
          <w:szCs w:val="23"/>
        </w:rPr>
        <w:t>防治甲状腺肿大。</w:t>
      </w:r>
    </w:p>
    <w:p w:rsidR="00EA40A3" w:rsidRDefault="00E86C16">
      <w:pPr>
        <w:spacing w:before="204" w:line="222" w:lineRule="auto"/>
        <w:rPr>
          <w:rFonts w:ascii="仿宋" w:eastAsia="仿宋" w:hAnsi="仿宋" w:cs="仿宋"/>
          <w:sz w:val="23"/>
          <w:szCs w:val="23"/>
        </w:rPr>
      </w:pPr>
      <w:r>
        <w:rPr>
          <w:rFonts w:ascii="仿宋" w:eastAsia="仿宋" w:hAnsi="仿宋" w:cs="仿宋"/>
          <w:spacing w:val="5"/>
          <w:sz w:val="23"/>
          <w:szCs w:val="23"/>
        </w:rPr>
        <w:t>2.</w:t>
      </w:r>
      <w:r>
        <w:rPr>
          <w:rFonts w:ascii="仿宋" w:eastAsia="仿宋" w:hAnsi="仿宋" w:cs="仿宋"/>
          <w:spacing w:val="-24"/>
          <w:sz w:val="23"/>
          <w:szCs w:val="23"/>
        </w:rPr>
        <w:t xml:space="preserve"> </w:t>
      </w:r>
      <w:r>
        <w:rPr>
          <w:rFonts w:ascii="仿宋" w:eastAsia="仿宋" w:hAnsi="仿宋" w:cs="仿宋"/>
          <w:spacing w:val="5"/>
          <w:sz w:val="23"/>
          <w:szCs w:val="23"/>
        </w:rPr>
        <w:t>特殊需要的强化食品</w:t>
      </w:r>
    </w:p>
    <w:p w:rsidR="00EA40A3" w:rsidRDefault="00E86C16">
      <w:pPr>
        <w:spacing w:before="207" w:line="211" w:lineRule="auto"/>
        <w:ind w:left="419"/>
        <w:rPr>
          <w:rFonts w:ascii="宋体" w:eastAsia="宋体" w:hAnsi="宋体" w:cs="宋体"/>
          <w:sz w:val="23"/>
          <w:szCs w:val="23"/>
        </w:rPr>
      </w:pPr>
      <w:r>
        <w:rPr>
          <w:rFonts w:ascii="宋体" w:eastAsia="宋体" w:hAnsi="宋体" w:cs="宋体"/>
          <w:spacing w:val="-22"/>
          <w:sz w:val="23"/>
          <w:szCs w:val="23"/>
        </w:rPr>
        <w:t>为了适应各种特殊人群和不同职业的营养需要</w:t>
      </w:r>
      <w:r>
        <w:rPr>
          <w:rFonts w:ascii="宋体" w:eastAsia="宋体" w:hAnsi="宋体" w:cs="宋体"/>
          <w:spacing w:val="-23"/>
          <w:sz w:val="23"/>
          <w:szCs w:val="23"/>
        </w:rPr>
        <w:t>，防治各种职业病，可根据其</w:t>
      </w:r>
    </w:p>
    <w:p w:rsidR="00EA40A3" w:rsidRDefault="00E86C16">
      <w:pPr>
        <w:spacing w:before="1" w:line="239" w:lineRule="auto"/>
        <w:rPr>
          <w:rFonts w:ascii="宋体" w:eastAsia="宋体" w:hAnsi="宋体" w:cs="宋体"/>
          <w:sz w:val="23"/>
          <w:szCs w:val="23"/>
        </w:rPr>
      </w:pPr>
      <w:r>
        <w:rPr>
          <w:rFonts w:ascii="宋体" w:eastAsia="宋体" w:hAnsi="宋体" w:cs="宋体"/>
          <w:spacing w:val="-50"/>
          <w:sz w:val="23"/>
          <w:szCs w:val="23"/>
        </w:rPr>
        <w:t>·</w:t>
      </w:r>
      <w:r>
        <w:rPr>
          <w:rFonts w:ascii="宋体" w:eastAsia="宋体" w:hAnsi="宋体" w:cs="宋体"/>
          <w:spacing w:val="-28"/>
          <w:sz w:val="23"/>
          <w:szCs w:val="23"/>
        </w:rPr>
        <w:t xml:space="preserve"> </w:t>
      </w:r>
      <w:r>
        <w:rPr>
          <w:rFonts w:ascii="宋体" w:eastAsia="宋体" w:hAnsi="宋体" w:cs="宋体"/>
          <w:spacing w:val="-50"/>
          <w:sz w:val="23"/>
          <w:szCs w:val="23"/>
        </w:rPr>
        <w:t>274</w:t>
      </w:r>
      <w:r>
        <w:rPr>
          <w:rFonts w:ascii="宋体" w:eastAsia="宋体" w:hAnsi="宋体" w:cs="宋体"/>
          <w:spacing w:val="25"/>
          <w:sz w:val="23"/>
          <w:szCs w:val="23"/>
        </w:rPr>
        <w:t xml:space="preserve"> </w:t>
      </w:r>
      <w:r>
        <w:rPr>
          <w:rFonts w:ascii="宋体" w:eastAsia="宋体" w:hAnsi="宋体" w:cs="宋体"/>
          <w:spacing w:val="-50"/>
          <w:sz w:val="23"/>
          <w:szCs w:val="23"/>
        </w:rPr>
        <w:t>·</w:t>
      </w:r>
    </w:p>
    <w:p w:rsidR="00EA40A3" w:rsidRDefault="00EA40A3">
      <w:pPr>
        <w:sectPr w:rsidR="00EA40A3">
          <w:pgSz w:w="9220" w:h="13360"/>
          <w:pgMar w:top="400" w:right="1024" w:bottom="400" w:left="860" w:header="0" w:footer="0" w:gutter="0"/>
          <w:cols w:space="720"/>
        </w:sectPr>
      </w:pPr>
    </w:p>
    <w:p w:rsidR="00EA40A3" w:rsidRDefault="00EA40A3">
      <w:pPr>
        <w:spacing w:line="325" w:lineRule="auto"/>
      </w:pPr>
    </w:p>
    <w:p w:rsidR="00EA40A3" w:rsidRDefault="00EA40A3">
      <w:pPr>
        <w:spacing w:line="326" w:lineRule="auto"/>
      </w:pPr>
    </w:p>
    <w:p w:rsidR="00EA40A3" w:rsidRDefault="00E86C16">
      <w:pPr>
        <w:spacing w:before="62" w:line="270" w:lineRule="auto"/>
        <w:ind w:left="95" w:right="4"/>
        <w:rPr>
          <w:rFonts w:ascii="宋体" w:eastAsia="宋体" w:hAnsi="宋体" w:cs="宋体"/>
          <w:sz w:val="19"/>
          <w:szCs w:val="19"/>
        </w:rPr>
      </w:pPr>
      <w:r>
        <w:rPr>
          <w:rFonts w:ascii="宋体" w:eastAsia="宋体" w:hAnsi="宋体" w:cs="宋体"/>
          <w:spacing w:val="17"/>
          <w:sz w:val="19"/>
          <w:szCs w:val="19"/>
        </w:rPr>
        <w:t>特点配制成各种各样的强化食品。随着科学水平的日益发展和提高，适应各种特</w:t>
      </w:r>
      <w:r>
        <w:rPr>
          <w:rFonts w:ascii="宋体" w:eastAsia="宋体" w:hAnsi="宋体" w:cs="宋体"/>
          <w:spacing w:val="10"/>
          <w:sz w:val="19"/>
          <w:szCs w:val="19"/>
        </w:rPr>
        <w:t xml:space="preserve"> </w:t>
      </w:r>
      <w:r>
        <w:rPr>
          <w:rFonts w:ascii="宋体" w:eastAsia="宋体" w:hAnsi="宋体" w:cs="宋体"/>
          <w:spacing w:val="13"/>
          <w:sz w:val="19"/>
          <w:szCs w:val="19"/>
        </w:rPr>
        <w:t>殊需要的强化食品也将日益发展。</w:t>
      </w:r>
    </w:p>
    <w:p w:rsidR="00EA40A3" w:rsidRDefault="00E86C16">
      <w:pPr>
        <w:spacing w:before="63" w:line="286" w:lineRule="auto"/>
        <w:ind w:firstLine="505"/>
        <w:jc w:val="both"/>
        <w:rPr>
          <w:rFonts w:ascii="宋体" w:eastAsia="宋体" w:hAnsi="宋体" w:cs="宋体"/>
          <w:sz w:val="19"/>
          <w:szCs w:val="19"/>
        </w:rPr>
      </w:pPr>
      <w:r>
        <w:rPr>
          <w:rFonts w:ascii="宋体" w:eastAsia="宋体" w:hAnsi="宋体" w:cs="宋体"/>
          <w:spacing w:val="16"/>
          <w:sz w:val="19"/>
          <w:szCs w:val="19"/>
        </w:rPr>
        <w:t>食品营养强化是增进人体健康的重要措施，也是人类文明、社会发展的必然</w:t>
      </w:r>
      <w:r>
        <w:rPr>
          <w:rFonts w:ascii="宋体" w:eastAsia="宋体" w:hAnsi="宋体" w:cs="宋体"/>
          <w:spacing w:val="10"/>
          <w:sz w:val="19"/>
          <w:szCs w:val="19"/>
        </w:rPr>
        <w:t xml:space="preserve"> </w:t>
      </w:r>
      <w:r>
        <w:rPr>
          <w:rFonts w:ascii="宋体" w:eastAsia="宋体" w:hAnsi="宋体" w:cs="宋体"/>
          <w:spacing w:val="20"/>
          <w:sz w:val="19"/>
          <w:szCs w:val="19"/>
        </w:rPr>
        <w:t>产物。我国由于历史的原因，以及经济、文化等条件所限，食品营养强化的发展</w:t>
      </w:r>
      <w:r>
        <w:rPr>
          <w:rFonts w:ascii="宋体" w:eastAsia="宋体" w:hAnsi="宋体" w:cs="宋体"/>
          <w:spacing w:val="4"/>
          <w:sz w:val="19"/>
          <w:szCs w:val="19"/>
        </w:rPr>
        <w:t xml:space="preserve"> </w:t>
      </w:r>
      <w:r>
        <w:rPr>
          <w:rFonts w:ascii="宋体" w:eastAsia="宋体" w:hAnsi="宋体" w:cs="宋体"/>
          <w:spacing w:val="20"/>
          <w:sz w:val="19"/>
          <w:szCs w:val="19"/>
        </w:rPr>
        <w:t>可以说仅仅是开始。人们对食品营养强化的基本原则和要</w:t>
      </w:r>
      <w:r>
        <w:rPr>
          <w:rFonts w:ascii="宋体" w:eastAsia="宋体" w:hAnsi="宋体" w:cs="宋体"/>
          <w:spacing w:val="19"/>
          <w:sz w:val="19"/>
          <w:szCs w:val="19"/>
        </w:rPr>
        <w:t>求等尚不很清楚。特别</w:t>
      </w:r>
      <w:r>
        <w:rPr>
          <w:rFonts w:ascii="宋体" w:eastAsia="宋体" w:hAnsi="宋体" w:cs="宋体"/>
          <w:sz w:val="19"/>
          <w:szCs w:val="19"/>
        </w:rPr>
        <w:t xml:space="preserve"> </w:t>
      </w:r>
      <w:r>
        <w:rPr>
          <w:rFonts w:ascii="宋体" w:eastAsia="宋体" w:hAnsi="宋体" w:cs="宋体"/>
          <w:spacing w:val="20"/>
          <w:sz w:val="19"/>
          <w:szCs w:val="19"/>
        </w:rPr>
        <w:t>是在目前商品经济的推动下，尽管许多强化食品相</w:t>
      </w:r>
      <w:r>
        <w:rPr>
          <w:rFonts w:ascii="宋体" w:eastAsia="宋体" w:hAnsi="宋体" w:cs="宋体"/>
          <w:spacing w:val="19"/>
          <w:sz w:val="19"/>
          <w:szCs w:val="19"/>
        </w:rPr>
        <w:t>继问世、发展很快，但尚未纳</w:t>
      </w:r>
      <w:r>
        <w:rPr>
          <w:rFonts w:ascii="宋体" w:eastAsia="宋体" w:hAnsi="宋体" w:cs="宋体"/>
          <w:sz w:val="19"/>
          <w:szCs w:val="19"/>
        </w:rPr>
        <w:t xml:space="preserve"> </w:t>
      </w:r>
      <w:r>
        <w:rPr>
          <w:rFonts w:ascii="宋体" w:eastAsia="宋体" w:hAnsi="宋体" w:cs="宋体"/>
          <w:spacing w:val="26"/>
          <w:sz w:val="19"/>
          <w:szCs w:val="19"/>
        </w:rPr>
        <w:t>入科学化轨道，存在一些问题，如：①强化目的意义不明</w:t>
      </w:r>
      <w:r>
        <w:rPr>
          <w:rFonts w:ascii="宋体" w:eastAsia="宋体" w:hAnsi="宋体" w:cs="宋体"/>
          <w:spacing w:val="25"/>
          <w:sz w:val="19"/>
          <w:szCs w:val="19"/>
        </w:rPr>
        <w:t>；②载体食品选择不</w:t>
      </w:r>
      <w:r>
        <w:rPr>
          <w:rFonts w:ascii="宋体" w:eastAsia="宋体" w:hAnsi="宋体" w:cs="宋体"/>
          <w:sz w:val="19"/>
          <w:szCs w:val="19"/>
        </w:rPr>
        <w:t xml:space="preserve"> </w:t>
      </w:r>
      <w:r>
        <w:rPr>
          <w:rFonts w:ascii="宋体" w:eastAsia="宋体" w:hAnsi="宋体" w:cs="宋体"/>
          <w:spacing w:val="19"/>
          <w:sz w:val="19"/>
          <w:szCs w:val="19"/>
        </w:rPr>
        <w:t>当；③强化工艺不合理；④强化剂量不当；⑤夸大功能宣传；⑥审批与市场管理</w:t>
      </w:r>
      <w:r>
        <w:rPr>
          <w:rFonts w:ascii="宋体" w:eastAsia="宋体" w:hAnsi="宋体" w:cs="宋体"/>
          <w:spacing w:val="15"/>
          <w:sz w:val="19"/>
          <w:szCs w:val="19"/>
        </w:rPr>
        <w:t xml:space="preserve"> </w:t>
      </w:r>
      <w:r>
        <w:rPr>
          <w:rFonts w:ascii="宋体" w:eastAsia="宋体" w:hAnsi="宋体" w:cs="宋体"/>
          <w:spacing w:val="26"/>
          <w:sz w:val="19"/>
          <w:szCs w:val="19"/>
        </w:rPr>
        <w:t>不严等。这些都无疑会影响营养强化食品的健康发展，为此，我国除已颁发了</w:t>
      </w:r>
      <w:r>
        <w:rPr>
          <w:rFonts w:ascii="宋体" w:eastAsia="宋体" w:hAnsi="宋体" w:cs="宋体"/>
          <w:spacing w:val="5"/>
          <w:sz w:val="19"/>
          <w:szCs w:val="19"/>
        </w:rPr>
        <w:t xml:space="preserve"> </w:t>
      </w:r>
      <w:r>
        <w:rPr>
          <w:rFonts w:ascii="宋体" w:eastAsia="宋体" w:hAnsi="宋体" w:cs="宋体"/>
          <w:spacing w:val="13"/>
          <w:sz w:val="19"/>
          <w:szCs w:val="19"/>
        </w:rPr>
        <w:t>《食品卫生法》、《食品添加剂使用卫生标准》和《食品添加剂卫生管理办法》以</w:t>
      </w:r>
      <w:r>
        <w:rPr>
          <w:rFonts w:ascii="宋体" w:eastAsia="宋体" w:hAnsi="宋体" w:cs="宋体"/>
          <w:spacing w:val="16"/>
          <w:sz w:val="19"/>
          <w:szCs w:val="19"/>
        </w:rPr>
        <w:t xml:space="preserve"> </w:t>
      </w:r>
      <w:r>
        <w:rPr>
          <w:rFonts w:ascii="宋体" w:eastAsia="宋体" w:hAnsi="宋体" w:cs="宋体"/>
          <w:spacing w:val="20"/>
          <w:sz w:val="19"/>
          <w:szCs w:val="19"/>
        </w:rPr>
        <w:t>外，新近又颁发了《食品营养强化剂使用卫生</w:t>
      </w:r>
      <w:r>
        <w:rPr>
          <w:rFonts w:ascii="宋体" w:eastAsia="宋体" w:hAnsi="宋体" w:cs="宋体"/>
          <w:spacing w:val="19"/>
          <w:sz w:val="19"/>
          <w:szCs w:val="19"/>
        </w:rPr>
        <w:t>标准》和《食品营养强化剂卫生管</w:t>
      </w:r>
      <w:r>
        <w:rPr>
          <w:rFonts w:ascii="宋体" w:eastAsia="宋体" w:hAnsi="宋体" w:cs="宋体"/>
          <w:sz w:val="19"/>
          <w:szCs w:val="19"/>
        </w:rPr>
        <w:t xml:space="preserve"> </w:t>
      </w:r>
      <w:r>
        <w:rPr>
          <w:rFonts w:ascii="宋体" w:eastAsia="宋体" w:hAnsi="宋体" w:cs="宋体"/>
          <w:spacing w:val="20"/>
          <w:sz w:val="19"/>
          <w:szCs w:val="19"/>
        </w:rPr>
        <w:t>理办法》。它们对食品、食品添加剂和食品营</w:t>
      </w:r>
      <w:r>
        <w:rPr>
          <w:rFonts w:ascii="宋体" w:eastAsia="宋体" w:hAnsi="宋体" w:cs="宋体"/>
          <w:spacing w:val="19"/>
          <w:sz w:val="19"/>
          <w:szCs w:val="19"/>
        </w:rPr>
        <w:t>养强化剂的生产、经营等都做了一</w:t>
      </w:r>
      <w:r>
        <w:rPr>
          <w:rFonts w:ascii="宋体" w:eastAsia="宋体" w:hAnsi="宋体" w:cs="宋体"/>
          <w:sz w:val="19"/>
          <w:szCs w:val="19"/>
        </w:rPr>
        <w:t xml:space="preserve"> </w:t>
      </w:r>
      <w:r>
        <w:rPr>
          <w:rFonts w:ascii="宋体" w:eastAsia="宋体" w:hAnsi="宋体" w:cs="宋体"/>
          <w:spacing w:val="19"/>
          <w:sz w:val="19"/>
          <w:szCs w:val="19"/>
        </w:rPr>
        <w:t>系列的规定，尤其是婴儿食品的强化尚需按卫生部颁布的或许可的婴儿食品营养</w:t>
      </w:r>
      <w:r>
        <w:rPr>
          <w:rFonts w:ascii="宋体" w:eastAsia="宋体" w:hAnsi="宋体" w:cs="宋体"/>
          <w:spacing w:val="17"/>
          <w:sz w:val="19"/>
          <w:szCs w:val="19"/>
        </w:rPr>
        <w:t xml:space="preserve"> </w:t>
      </w:r>
      <w:r>
        <w:rPr>
          <w:rFonts w:ascii="宋体" w:eastAsia="宋体" w:hAnsi="宋体" w:cs="宋体"/>
          <w:spacing w:val="19"/>
          <w:sz w:val="19"/>
          <w:szCs w:val="19"/>
        </w:rPr>
        <w:t>及卫生标准规定执行。严格执行上述有关规定，借此将食品营养强化逐步纳入科</w:t>
      </w:r>
      <w:r>
        <w:rPr>
          <w:rFonts w:ascii="宋体" w:eastAsia="宋体" w:hAnsi="宋体" w:cs="宋体"/>
          <w:spacing w:val="15"/>
          <w:sz w:val="19"/>
          <w:szCs w:val="19"/>
        </w:rPr>
        <w:t xml:space="preserve"> </w:t>
      </w:r>
      <w:r>
        <w:rPr>
          <w:rFonts w:ascii="宋体" w:eastAsia="宋体" w:hAnsi="宋体" w:cs="宋体"/>
          <w:spacing w:val="18"/>
          <w:sz w:val="19"/>
          <w:szCs w:val="19"/>
        </w:rPr>
        <w:t>学化与法制化轨道，从而保证人民的身体健康，</w:t>
      </w:r>
    </w:p>
    <w:p w:rsidR="00EA40A3" w:rsidRDefault="00E86C16">
      <w:pPr>
        <w:spacing w:before="292" w:line="222" w:lineRule="auto"/>
        <w:ind w:left="3297"/>
        <w:rPr>
          <w:rFonts w:ascii="黑体" w:eastAsia="黑体" w:hAnsi="黑体" w:cs="黑体"/>
          <w:sz w:val="22"/>
          <w:szCs w:val="22"/>
        </w:rPr>
      </w:pPr>
      <w:r>
        <w:rPr>
          <w:rFonts w:ascii="黑体" w:eastAsia="黑体" w:hAnsi="黑体" w:cs="黑体"/>
          <w:b/>
          <w:bCs/>
          <w:spacing w:val="-18"/>
          <w:sz w:val="22"/>
          <w:szCs w:val="22"/>
        </w:rPr>
        <w:t>思</w:t>
      </w:r>
      <w:r>
        <w:rPr>
          <w:rFonts w:ascii="黑体" w:eastAsia="黑体" w:hAnsi="黑体" w:cs="黑体"/>
          <w:spacing w:val="98"/>
          <w:sz w:val="22"/>
          <w:szCs w:val="22"/>
        </w:rPr>
        <w:t xml:space="preserve"> </w:t>
      </w:r>
      <w:r>
        <w:rPr>
          <w:rFonts w:ascii="黑体" w:eastAsia="黑体" w:hAnsi="黑体" w:cs="黑体"/>
          <w:b/>
          <w:bCs/>
          <w:spacing w:val="-18"/>
          <w:sz w:val="22"/>
          <w:szCs w:val="22"/>
        </w:rPr>
        <w:t>考</w:t>
      </w:r>
      <w:r>
        <w:rPr>
          <w:rFonts w:ascii="黑体" w:eastAsia="黑体" w:hAnsi="黑体" w:cs="黑体"/>
          <w:spacing w:val="88"/>
          <w:sz w:val="22"/>
          <w:szCs w:val="22"/>
        </w:rPr>
        <w:t xml:space="preserve"> </w:t>
      </w:r>
      <w:r>
        <w:rPr>
          <w:rFonts w:ascii="黑体" w:eastAsia="黑体" w:hAnsi="黑体" w:cs="黑体"/>
          <w:b/>
          <w:bCs/>
          <w:spacing w:val="-18"/>
          <w:sz w:val="22"/>
          <w:szCs w:val="22"/>
        </w:rPr>
        <w:t>题</w:t>
      </w:r>
    </w:p>
    <w:p w:rsidR="00EA40A3" w:rsidRDefault="00E86C16">
      <w:pPr>
        <w:spacing w:before="206" w:line="219" w:lineRule="auto"/>
        <w:ind w:left="505"/>
        <w:rPr>
          <w:rFonts w:ascii="宋体" w:eastAsia="宋体" w:hAnsi="宋体" w:cs="宋体"/>
          <w:sz w:val="19"/>
          <w:szCs w:val="19"/>
        </w:rPr>
      </w:pPr>
      <w:r>
        <w:rPr>
          <w:rFonts w:ascii="宋体" w:eastAsia="宋体" w:hAnsi="宋体" w:cs="宋体"/>
          <w:spacing w:val="-11"/>
          <w:sz w:val="19"/>
          <w:szCs w:val="19"/>
        </w:rPr>
        <w:t>1.食品营养素强化和食品营养强化剂的概念是什么?</w:t>
      </w:r>
    </w:p>
    <w:p w:rsidR="00EA40A3" w:rsidRDefault="00E86C16">
      <w:pPr>
        <w:spacing w:before="54" w:line="219" w:lineRule="auto"/>
        <w:ind w:left="505"/>
        <w:rPr>
          <w:rFonts w:ascii="宋体" w:eastAsia="宋体" w:hAnsi="宋体" w:cs="宋体"/>
          <w:sz w:val="19"/>
          <w:szCs w:val="19"/>
        </w:rPr>
      </w:pPr>
      <w:r>
        <w:rPr>
          <w:rFonts w:ascii="宋体" w:eastAsia="宋体" w:hAnsi="宋体" w:cs="宋体"/>
          <w:spacing w:val="-12"/>
          <w:sz w:val="19"/>
          <w:szCs w:val="19"/>
        </w:rPr>
        <w:t>2.</w:t>
      </w:r>
      <w:r>
        <w:rPr>
          <w:rFonts w:ascii="宋体" w:eastAsia="宋体" w:hAnsi="宋体" w:cs="宋体"/>
          <w:spacing w:val="-42"/>
          <w:sz w:val="19"/>
          <w:szCs w:val="19"/>
        </w:rPr>
        <w:t xml:space="preserve"> </w:t>
      </w:r>
      <w:r>
        <w:rPr>
          <w:rFonts w:ascii="宋体" w:eastAsia="宋体" w:hAnsi="宋体" w:cs="宋体"/>
          <w:spacing w:val="-12"/>
          <w:sz w:val="19"/>
          <w:szCs w:val="19"/>
        </w:rPr>
        <w:t>我国许可使用的食品营养强化剂有哪些种类?</w:t>
      </w:r>
    </w:p>
    <w:p w:rsidR="00EA40A3" w:rsidRDefault="00E86C16">
      <w:pPr>
        <w:spacing w:before="55" w:line="246" w:lineRule="auto"/>
        <w:ind w:left="505" w:right="3815"/>
        <w:rPr>
          <w:rFonts w:ascii="宋体" w:eastAsia="宋体" w:hAnsi="宋体" w:cs="宋体"/>
          <w:sz w:val="19"/>
          <w:szCs w:val="19"/>
        </w:rPr>
      </w:pPr>
      <w:r>
        <w:rPr>
          <w:rFonts w:ascii="宋体" w:eastAsia="宋体" w:hAnsi="宋体" w:cs="宋体"/>
          <w:spacing w:val="-14"/>
          <w:sz w:val="19"/>
          <w:szCs w:val="19"/>
        </w:rPr>
        <w:t>3.</w:t>
      </w:r>
      <w:r>
        <w:rPr>
          <w:rFonts w:ascii="宋体" w:eastAsia="宋体" w:hAnsi="宋体" w:cs="宋体"/>
          <w:spacing w:val="-40"/>
          <w:sz w:val="19"/>
          <w:szCs w:val="19"/>
        </w:rPr>
        <w:t xml:space="preserve"> </w:t>
      </w:r>
      <w:r>
        <w:rPr>
          <w:rFonts w:ascii="宋体" w:eastAsia="宋体" w:hAnsi="宋体" w:cs="宋体"/>
          <w:spacing w:val="-14"/>
          <w:sz w:val="19"/>
          <w:szCs w:val="19"/>
        </w:rPr>
        <w:t>试述国内外食品营养强化发展简况。</w:t>
      </w:r>
      <w:r>
        <w:rPr>
          <w:rFonts w:ascii="宋体" w:eastAsia="宋体" w:hAnsi="宋体" w:cs="宋体"/>
          <w:sz w:val="19"/>
          <w:szCs w:val="19"/>
        </w:rPr>
        <w:t xml:space="preserve"> </w:t>
      </w:r>
      <w:r>
        <w:rPr>
          <w:rFonts w:ascii="宋体" w:eastAsia="宋体" w:hAnsi="宋体" w:cs="宋体"/>
          <w:spacing w:val="-9"/>
          <w:sz w:val="19"/>
          <w:szCs w:val="19"/>
        </w:rPr>
        <w:t>4.食品营养素强化有哪些意义和作用?</w:t>
      </w:r>
    </w:p>
    <w:p w:rsidR="00EA40A3" w:rsidRDefault="00E86C16">
      <w:pPr>
        <w:spacing w:before="54" w:line="246" w:lineRule="auto"/>
        <w:ind w:left="505" w:right="3965"/>
        <w:rPr>
          <w:rFonts w:ascii="宋体" w:eastAsia="宋体" w:hAnsi="宋体" w:cs="宋体"/>
          <w:sz w:val="19"/>
          <w:szCs w:val="19"/>
        </w:rPr>
      </w:pPr>
      <w:r>
        <w:rPr>
          <w:rFonts w:ascii="宋体" w:eastAsia="宋体" w:hAnsi="宋体" w:cs="宋体"/>
          <w:spacing w:val="-11"/>
          <w:sz w:val="19"/>
          <w:szCs w:val="19"/>
        </w:rPr>
        <w:t>5.试述食品营养素强化的基本原则。</w:t>
      </w:r>
      <w:r>
        <w:rPr>
          <w:rFonts w:ascii="宋体" w:eastAsia="宋体" w:hAnsi="宋体" w:cs="宋体"/>
          <w:spacing w:val="1"/>
          <w:sz w:val="19"/>
          <w:szCs w:val="19"/>
        </w:rPr>
        <w:t xml:space="preserve"> </w:t>
      </w:r>
      <w:r>
        <w:rPr>
          <w:rFonts w:ascii="宋体" w:eastAsia="宋体" w:hAnsi="宋体" w:cs="宋体"/>
          <w:spacing w:val="-10"/>
          <w:sz w:val="19"/>
          <w:szCs w:val="19"/>
        </w:rPr>
        <w:t>6.试述食品营养素强化的主要技术。</w:t>
      </w:r>
    </w:p>
    <w:p w:rsidR="00EA40A3" w:rsidRDefault="00E86C16">
      <w:pPr>
        <w:spacing w:before="54" w:line="219" w:lineRule="auto"/>
        <w:ind w:left="505"/>
        <w:rPr>
          <w:rFonts w:ascii="宋体" w:eastAsia="宋体" w:hAnsi="宋体" w:cs="宋体"/>
          <w:sz w:val="19"/>
          <w:szCs w:val="19"/>
        </w:rPr>
      </w:pPr>
      <w:r>
        <w:rPr>
          <w:rFonts w:ascii="宋体" w:eastAsia="宋体" w:hAnsi="宋体" w:cs="宋体"/>
          <w:spacing w:val="-7"/>
          <w:sz w:val="19"/>
          <w:szCs w:val="19"/>
        </w:rPr>
        <w:t>7.营养强化食品有哪些主要种类?试述其生产方法。</w:t>
      </w:r>
    </w:p>
    <w:p w:rsidR="00EA40A3" w:rsidRDefault="00EA40A3">
      <w:pPr>
        <w:spacing w:line="338" w:lineRule="auto"/>
      </w:pPr>
    </w:p>
    <w:p w:rsidR="00EA40A3" w:rsidRDefault="00E86C16">
      <w:pPr>
        <w:spacing w:before="62" w:line="225" w:lineRule="auto"/>
        <w:ind w:left="4924"/>
        <w:rPr>
          <w:rFonts w:ascii="楷体" w:eastAsia="楷体" w:hAnsi="楷体" w:cs="楷体"/>
          <w:sz w:val="19"/>
          <w:szCs w:val="19"/>
        </w:rPr>
      </w:pPr>
      <w:r>
        <w:rPr>
          <w:rFonts w:ascii="楷体" w:eastAsia="楷体" w:hAnsi="楷体" w:cs="楷体"/>
          <w:spacing w:val="13"/>
          <w:sz w:val="19"/>
          <w:szCs w:val="19"/>
        </w:rPr>
        <w:t>(本章编写人：邓放明)</w:t>
      </w:r>
    </w:p>
    <w:p w:rsidR="00EA40A3" w:rsidRDefault="00E86C16">
      <w:pPr>
        <w:spacing w:before="227" w:line="222" w:lineRule="auto"/>
        <w:ind w:left="3157"/>
        <w:rPr>
          <w:rFonts w:ascii="黑体" w:eastAsia="黑体" w:hAnsi="黑体" w:cs="黑体"/>
          <w:sz w:val="19"/>
          <w:szCs w:val="19"/>
        </w:rPr>
      </w:pPr>
      <w:r>
        <w:rPr>
          <w:rFonts w:ascii="黑体" w:eastAsia="黑体" w:hAnsi="黑体" w:cs="黑体"/>
          <w:b/>
          <w:bCs/>
          <w:spacing w:val="8"/>
          <w:sz w:val="19"/>
          <w:szCs w:val="19"/>
        </w:rPr>
        <w:t>主要参考文献</w:t>
      </w:r>
    </w:p>
    <w:p w:rsidR="00EA40A3" w:rsidRDefault="00E86C16">
      <w:pPr>
        <w:spacing w:before="194" w:line="219" w:lineRule="auto"/>
        <w:ind w:left="94"/>
        <w:rPr>
          <w:rFonts w:ascii="宋体" w:eastAsia="宋体" w:hAnsi="宋体" w:cs="宋体"/>
          <w:sz w:val="19"/>
          <w:szCs w:val="19"/>
        </w:rPr>
      </w:pPr>
      <w:r>
        <w:rPr>
          <w:rFonts w:ascii="宋体" w:eastAsia="宋体" w:hAnsi="宋体" w:cs="宋体"/>
          <w:spacing w:val="-17"/>
          <w:sz w:val="19"/>
          <w:szCs w:val="19"/>
        </w:rPr>
        <w:t>陈洪嘉.2001.改进钙吸收的强化菊粉.</w:t>
      </w:r>
      <w:r>
        <w:rPr>
          <w:rFonts w:ascii="宋体" w:eastAsia="宋体" w:hAnsi="宋体" w:cs="宋体"/>
          <w:spacing w:val="-18"/>
          <w:sz w:val="19"/>
          <w:szCs w:val="19"/>
        </w:rPr>
        <w:t>中国食品工业，(2):28</w:t>
      </w:r>
    </w:p>
    <w:p w:rsidR="00EA40A3" w:rsidRDefault="00E86C16">
      <w:pPr>
        <w:spacing w:before="26" w:line="219" w:lineRule="auto"/>
        <w:ind w:left="94"/>
        <w:rPr>
          <w:rFonts w:ascii="宋体" w:eastAsia="宋体" w:hAnsi="宋体" w:cs="宋体"/>
          <w:sz w:val="19"/>
          <w:szCs w:val="19"/>
        </w:rPr>
      </w:pPr>
      <w:r>
        <w:rPr>
          <w:rFonts w:ascii="宋体" w:eastAsia="宋体" w:hAnsi="宋体" w:cs="宋体"/>
          <w:spacing w:val="-19"/>
          <w:w w:val="98"/>
          <w:sz w:val="19"/>
          <w:szCs w:val="19"/>
        </w:rPr>
        <w:t>赫格斯特德DM1983.</w:t>
      </w:r>
      <w:r>
        <w:rPr>
          <w:rFonts w:ascii="宋体" w:eastAsia="宋体" w:hAnsi="宋体" w:cs="宋体"/>
          <w:spacing w:val="53"/>
          <w:sz w:val="19"/>
          <w:szCs w:val="19"/>
        </w:rPr>
        <w:t xml:space="preserve"> </w:t>
      </w:r>
      <w:r>
        <w:rPr>
          <w:rFonts w:ascii="宋体" w:eastAsia="宋体" w:hAnsi="宋体" w:cs="宋体"/>
          <w:spacing w:val="-19"/>
          <w:w w:val="98"/>
          <w:sz w:val="19"/>
          <w:szCs w:val="19"/>
        </w:rPr>
        <w:t>现代营养知识.候祥川等译，北京：人民卫生出版社</w:t>
      </w:r>
    </w:p>
    <w:p w:rsidR="00EA40A3" w:rsidRDefault="00E86C16">
      <w:pPr>
        <w:spacing w:before="22" w:line="252" w:lineRule="exact"/>
        <w:ind w:left="95"/>
        <w:rPr>
          <w:rFonts w:ascii="宋体" w:eastAsia="宋体" w:hAnsi="宋体" w:cs="宋体"/>
          <w:sz w:val="19"/>
          <w:szCs w:val="19"/>
        </w:rPr>
      </w:pPr>
      <w:r>
        <w:rPr>
          <w:rFonts w:ascii="宋体" w:eastAsia="宋体" w:hAnsi="宋体" w:cs="宋体"/>
          <w:spacing w:val="-13"/>
          <w:position w:val="4"/>
          <w:sz w:val="19"/>
          <w:szCs w:val="19"/>
        </w:rPr>
        <w:t>金丰秋，金其荣.2000.高硒酵母与富硒酵母.木薯精细化工</w:t>
      </w:r>
      <w:r>
        <w:rPr>
          <w:rFonts w:ascii="宋体" w:eastAsia="宋体" w:hAnsi="宋体" w:cs="宋体"/>
          <w:spacing w:val="-14"/>
          <w:position w:val="4"/>
          <w:sz w:val="19"/>
          <w:szCs w:val="19"/>
        </w:rPr>
        <w:t>，7(2):27~28,40</w:t>
      </w:r>
    </w:p>
    <w:p w:rsidR="00EA40A3" w:rsidRDefault="00E86C16">
      <w:pPr>
        <w:spacing w:before="1" w:line="218" w:lineRule="auto"/>
        <w:ind w:left="94"/>
        <w:rPr>
          <w:rFonts w:ascii="宋体" w:eastAsia="宋体" w:hAnsi="宋体" w:cs="宋体"/>
          <w:sz w:val="19"/>
          <w:szCs w:val="19"/>
        </w:rPr>
      </w:pPr>
      <w:r>
        <w:rPr>
          <w:rFonts w:ascii="宋体" w:eastAsia="宋体" w:hAnsi="宋体" w:cs="宋体"/>
          <w:spacing w:val="-20"/>
          <w:w w:val="99"/>
          <w:sz w:val="19"/>
          <w:szCs w:val="19"/>
        </w:rPr>
        <w:t>金增辉.2004.营养强化米及其加工方法，粮食与油脂，(12):40～43</w:t>
      </w:r>
    </w:p>
    <w:p w:rsidR="00EA40A3" w:rsidRDefault="00E86C16">
      <w:pPr>
        <w:spacing w:before="25" w:line="250" w:lineRule="exact"/>
        <w:ind w:left="95"/>
        <w:rPr>
          <w:rFonts w:ascii="宋体" w:eastAsia="宋体" w:hAnsi="宋体" w:cs="宋体"/>
          <w:sz w:val="19"/>
          <w:szCs w:val="19"/>
        </w:rPr>
      </w:pPr>
      <w:r>
        <w:rPr>
          <w:rFonts w:ascii="宋体" w:eastAsia="宋体" w:hAnsi="宋体" w:cs="宋体"/>
          <w:spacing w:val="-20"/>
          <w:position w:val="4"/>
          <w:sz w:val="19"/>
          <w:szCs w:val="19"/>
        </w:rPr>
        <w:t>孔繁修.2003.面粉强化——改善人类健康的良机.粮油食品科技，(3):41～42</w:t>
      </w:r>
    </w:p>
    <w:p w:rsidR="00EA40A3" w:rsidRDefault="00E86C16">
      <w:pPr>
        <w:spacing w:line="218" w:lineRule="auto"/>
        <w:ind w:left="94"/>
        <w:rPr>
          <w:rFonts w:ascii="宋体" w:eastAsia="宋体" w:hAnsi="宋体" w:cs="宋体"/>
          <w:sz w:val="19"/>
          <w:szCs w:val="19"/>
        </w:rPr>
      </w:pPr>
      <w:r>
        <w:rPr>
          <w:rFonts w:ascii="宋体" w:eastAsia="宋体" w:hAnsi="宋体" w:cs="宋体"/>
          <w:spacing w:val="-21"/>
          <w:w w:val="99"/>
          <w:sz w:val="19"/>
          <w:szCs w:val="19"/>
        </w:rPr>
        <w:t>李全宏.1995.食物、营养与卫生.青岛：青岛海洋大学出</w:t>
      </w:r>
      <w:r>
        <w:rPr>
          <w:rFonts w:ascii="宋体" w:eastAsia="宋体" w:hAnsi="宋体" w:cs="宋体"/>
          <w:spacing w:val="-22"/>
          <w:w w:val="99"/>
          <w:sz w:val="19"/>
          <w:szCs w:val="19"/>
        </w:rPr>
        <w:t>版社</w:t>
      </w:r>
    </w:p>
    <w:p w:rsidR="00EA40A3" w:rsidRDefault="00E86C16">
      <w:pPr>
        <w:spacing w:before="25" w:line="219" w:lineRule="auto"/>
        <w:ind w:left="94"/>
        <w:rPr>
          <w:rFonts w:ascii="宋体" w:eastAsia="宋体" w:hAnsi="宋体" w:cs="宋体"/>
          <w:sz w:val="19"/>
          <w:szCs w:val="19"/>
        </w:rPr>
      </w:pPr>
      <w:r>
        <w:rPr>
          <w:rFonts w:ascii="宋体" w:eastAsia="宋体" w:hAnsi="宋体" w:cs="宋体"/>
          <w:spacing w:val="-18"/>
          <w:sz w:val="19"/>
          <w:szCs w:val="19"/>
        </w:rPr>
        <w:t>李晓瑜.2004.食品营养强化剂管理的几点建议.中国公共卫生管理，20(4):37</w:t>
      </w:r>
      <w:r>
        <w:rPr>
          <w:rFonts w:ascii="宋体" w:eastAsia="宋体" w:hAnsi="宋体" w:cs="宋体"/>
          <w:spacing w:val="-19"/>
          <w:sz w:val="19"/>
          <w:szCs w:val="19"/>
        </w:rPr>
        <w:t>3～375</w:t>
      </w:r>
    </w:p>
    <w:p w:rsidR="00EA40A3" w:rsidRDefault="00E86C16">
      <w:pPr>
        <w:spacing w:before="25" w:line="219" w:lineRule="auto"/>
        <w:ind w:left="95"/>
        <w:rPr>
          <w:rFonts w:ascii="宋体" w:eastAsia="宋体" w:hAnsi="宋体" w:cs="宋体"/>
          <w:sz w:val="19"/>
          <w:szCs w:val="19"/>
        </w:rPr>
      </w:pPr>
      <w:r>
        <w:rPr>
          <w:rFonts w:ascii="宋体" w:eastAsia="宋体" w:hAnsi="宋体" w:cs="宋体"/>
          <w:spacing w:val="-21"/>
          <w:sz w:val="19"/>
          <w:szCs w:val="19"/>
        </w:rPr>
        <w:t>林燕文，黄君红，黄建杏等.2001.泡菜营养强化食品的研</w:t>
      </w:r>
      <w:r>
        <w:rPr>
          <w:rFonts w:ascii="宋体" w:eastAsia="宋体" w:hAnsi="宋体" w:cs="宋体"/>
          <w:spacing w:val="-22"/>
          <w:sz w:val="19"/>
          <w:szCs w:val="19"/>
        </w:rPr>
        <w:t>制初探.食品科技，(2):28～29</w:t>
      </w:r>
    </w:p>
    <w:p w:rsidR="00EA40A3" w:rsidRDefault="00E86C16">
      <w:pPr>
        <w:spacing w:before="25" w:line="219" w:lineRule="auto"/>
        <w:ind w:left="95"/>
        <w:rPr>
          <w:rFonts w:ascii="宋体" w:eastAsia="宋体" w:hAnsi="宋体" w:cs="宋体"/>
          <w:sz w:val="19"/>
          <w:szCs w:val="19"/>
        </w:rPr>
      </w:pPr>
      <w:r>
        <w:rPr>
          <w:rFonts w:ascii="宋体" w:eastAsia="宋体" w:hAnsi="宋体" w:cs="宋体"/>
          <w:spacing w:val="-21"/>
          <w:w w:val="98"/>
          <w:sz w:val="19"/>
          <w:szCs w:val="19"/>
        </w:rPr>
        <w:t>刘程，江小梅.1994.当代新型食品.北京：北京工业大学出版社</w:t>
      </w:r>
    </w:p>
    <w:p w:rsidR="00EA40A3" w:rsidRDefault="00E86C16">
      <w:pPr>
        <w:spacing w:before="24" w:line="219" w:lineRule="auto"/>
        <w:ind w:left="95"/>
        <w:rPr>
          <w:rFonts w:ascii="宋体" w:eastAsia="宋体" w:hAnsi="宋体" w:cs="宋体"/>
          <w:sz w:val="19"/>
          <w:szCs w:val="19"/>
        </w:rPr>
      </w:pPr>
      <w:r>
        <w:rPr>
          <w:rFonts w:ascii="宋体" w:eastAsia="宋体" w:hAnsi="宋体" w:cs="宋体"/>
          <w:spacing w:val="-19"/>
          <w:w w:val="97"/>
          <w:sz w:val="19"/>
          <w:szCs w:val="19"/>
        </w:rPr>
        <w:t>刘程，周汝忠.1994.食品添加剂实用大全.北京：北京工业大学出版社</w:t>
      </w:r>
    </w:p>
    <w:p w:rsidR="00EA40A3" w:rsidRDefault="00EA40A3">
      <w:pPr>
        <w:sectPr w:rsidR="00EA40A3">
          <w:footerReference w:type="default" r:id="rId237"/>
          <w:pgSz w:w="9220" w:h="13360"/>
          <w:pgMar w:top="400" w:right="1089" w:bottom="1173" w:left="774" w:header="0" w:footer="926" w:gutter="0"/>
          <w:cols w:space="720"/>
        </w:sectPr>
      </w:pPr>
    </w:p>
    <w:p w:rsidR="00EA40A3" w:rsidRDefault="00EA40A3">
      <w:pPr>
        <w:spacing w:line="324" w:lineRule="auto"/>
      </w:pPr>
    </w:p>
    <w:p w:rsidR="00EA40A3" w:rsidRDefault="00EA40A3">
      <w:pPr>
        <w:spacing w:line="325" w:lineRule="auto"/>
      </w:pPr>
    </w:p>
    <w:p w:rsidR="00EA40A3" w:rsidRDefault="00E86C16">
      <w:pPr>
        <w:spacing w:before="52" w:line="219" w:lineRule="auto"/>
        <w:rPr>
          <w:rFonts w:ascii="宋体" w:eastAsia="宋体" w:hAnsi="宋体" w:cs="宋体"/>
          <w:sz w:val="16"/>
          <w:szCs w:val="16"/>
        </w:rPr>
      </w:pPr>
      <w:r>
        <w:rPr>
          <w:rFonts w:ascii="宋体" w:eastAsia="宋体" w:hAnsi="宋体" w:cs="宋体"/>
          <w:spacing w:val="4"/>
          <w:sz w:val="16"/>
          <w:szCs w:val="16"/>
        </w:rPr>
        <w:t>刘志皋.1991.食品营养学.北京：中国轻工业出版社</w:t>
      </w:r>
    </w:p>
    <w:p w:rsidR="00EA40A3" w:rsidRDefault="00E86C16">
      <w:pPr>
        <w:spacing w:before="60" w:line="250" w:lineRule="exact"/>
        <w:rPr>
          <w:rFonts w:ascii="宋体" w:eastAsia="宋体" w:hAnsi="宋体" w:cs="宋体"/>
          <w:sz w:val="16"/>
          <w:szCs w:val="16"/>
        </w:rPr>
      </w:pPr>
      <w:r>
        <w:rPr>
          <w:rFonts w:ascii="宋体" w:eastAsia="宋体" w:hAnsi="宋体" w:cs="宋体"/>
          <w:spacing w:val="4"/>
          <w:position w:val="6"/>
          <w:sz w:val="16"/>
          <w:szCs w:val="16"/>
        </w:rPr>
        <w:t>刘志皋.2002.我国食品营养强化发展概况.中国食品添加</w:t>
      </w:r>
      <w:r>
        <w:rPr>
          <w:rFonts w:ascii="宋体" w:eastAsia="宋体" w:hAnsi="宋体" w:cs="宋体"/>
          <w:spacing w:val="3"/>
          <w:position w:val="6"/>
          <w:sz w:val="16"/>
          <w:szCs w:val="16"/>
        </w:rPr>
        <w:t>剂，(2):3～8</w:t>
      </w:r>
    </w:p>
    <w:p w:rsidR="00EA40A3" w:rsidRDefault="00E86C16">
      <w:pPr>
        <w:spacing w:line="218" w:lineRule="auto"/>
        <w:rPr>
          <w:rFonts w:ascii="宋体" w:eastAsia="宋体" w:hAnsi="宋体" w:cs="宋体"/>
          <w:sz w:val="16"/>
          <w:szCs w:val="16"/>
        </w:rPr>
      </w:pPr>
      <w:r>
        <w:rPr>
          <w:rFonts w:ascii="宋体" w:eastAsia="宋体" w:hAnsi="宋体" w:cs="宋体"/>
          <w:spacing w:val="7"/>
          <w:sz w:val="16"/>
          <w:szCs w:val="16"/>
        </w:rPr>
        <w:t>刘志皋.2003.食品营养强化与营养增补.中国食品添加剂，(1)</w:t>
      </w:r>
      <w:r>
        <w:rPr>
          <w:rFonts w:ascii="宋体" w:eastAsia="宋体" w:hAnsi="宋体" w:cs="宋体"/>
          <w:spacing w:val="6"/>
          <w:sz w:val="16"/>
          <w:szCs w:val="16"/>
        </w:rPr>
        <w:t>:6~9</w:t>
      </w:r>
    </w:p>
    <w:p w:rsidR="00EA40A3" w:rsidRDefault="00E86C16">
      <w:pPr>
        <w:spacing w:before="57" w:line="255" w:lineRule="auto"/>
        <w:ind w:right="1350"/>
        <w:rPr>
          <w:rFonts w:ascii="宋体" w:eastAsia="宋体" w:hAnsi="宋体" w:cs="宋体"/>
          <w:sz w:val="16"/>
          <w:szCs w:val="16"/>
        </w:rPr>
      </w:pPr>
      <w:r>
        <w:rPr>
          <w:rFonts w:ascii="宋体" w:eastAsia="宋体" w:hAnsi="宋体" w:cs="宋体"/>
          <w:spacing w:val="6"/>
          <w:sz w:val="16"/>
          <w:szCs w:val="16"/>
        </w:rPr>
        <w:t>吕艳燕.2004.国内外面粉营养强化现状</w:t>
      </w:r>
      <w:r>
        <w:rPr>
          <w:rFonts w:ascii="宋体" w:eastAsia="宋体" w:hAnsi="宋体" w:cs="宋体"/>
          <w:spacing w:val="5"/>
          <w:sz w:val="16"/>
          <w:szCs w:val="16"/>
        </w:rPr>
        <w:t>的分析.粮食与食品工业，11(1):9～10,14</w:t>
      </w:r>
      <w:r>
        <w:rPr>
          <w:rFonts w:ascii="宋体" w:eastAsia="宋体" w:hAnsi="宋体" w:cs="宋体"/>
          <w:sz w:val="16"/>
          <w:szCs w:val="16"/>
        </w:rPr>
        <w:t xml:space="preserve"> </w:t>
      </w:r>
      <w:r>
        <w:rPr>
          <w:rFonts w:ascii="宋体" w:eastAsia="宋体" w:hAnsi="宋体" w:cs="宋体"/>
          <w:spacing w:val="5"/>
          <w:sz w:val="16"/>
          <w:szCs w:val="16"/>
        </w:rPr>
        <w:t>荣玉珊，刘爱国.2001.乳粉强化剂添加量的初探.食品</w:t>
      </w:r>
      <w:r>
        <w:rPr>
          <w:rFonts w:ascii="宋体" w:eastAsia="宋体" w:hAnsi="宋体" w:cs="宋体"/>
          <w:spacing w:val="4"/>
          <w:sz w:val="16"/>
          <w:szCs w:val="16"/>
        </w:rPr>
        <w:t>科学，(2)97～98</w:t>
      </w:r>
    </w:p>
    <w:p w:rsidR="00EA40A3" w:rsidRDefault="00E86C16">
      <w:pPr>
        <w:spacing w:before="60" w:line="219" w:lineRule="auto"/>
        <w:rPr>
          <w:rFonts w:ascii="宋体" w:eastAsia="宋体" w:hAnsi="宋体" w:cs="宋体"/>
          <w:sz w:val="16"/>
          <w:szCs w:val="16"/>
        </w:rPr>
      </w:pPr>
      <w:r>
        <w:rPr>
          <w:rFonts w:ascii="宋体" w:eastAsia="宋体" w:hAnsi="宋体" w:cs="宋体"/>
          <w:spacing w:val="4"/>
          <w:sz w:val="16"/>
          <w:szCs w:val="16"/>
        </w:rPr>
        <w:t>虚谷.2003.科学选择“营养强化食品”.质量跟踪，14(7):16～1</w:t>
      </w:r>
      <w:r>
        <w:rPr>
          <w:rFonts w:ascii="宋体" w:eastAsia="宋体" w:hAnsi="宋体" w:cs="宋体"/>
          <w:spacing w:val="3"/>
          <w:sz w:val="16"/>
          <w:szCs w:val="16"/>
        </w:rPr>
        <w:t>6</w:t>
      </w:r>
    </w:p>
    <w:p w:rsidR="00EA40A3" w:rsidRDefault="00E86C16">
      <w:pPr>
        <w:spacing w:before="61" w:line="250" w:lineRule="exact"/>
        <w:rPr>
          <w:rFonts w:ascii="宋体" w:eastAsia="宋体" w:hAnsi="宋体" w:cs="宋体"/>
          <w:sz w:val="16"/>
          <w:szCs w:val="16"/>
        </w:rPr>
      </w:pPr>
      <w:r>
        <w:rPr>
          <w:rFonts w:ascii="宋体" w:eastAsia="宋体" w:hAnsi="宋体" w:cs="宋体"/>
          <w:spacing w:val="5"/>
          <w:position w:val="6"/>
          <w:sz w:val="16"/>
          <w:szCs w:val="16"/>
        </w:rPr>
        <w:t>杨希苗.2001.钙强化醋酸饮料的研究.食品工业科技，(3):74</w:t>
      </w:r>
    </w:p>
    <w:p w:rsidR="00EA40A3" w:rsidRDefault="00E86C16">
      <w:pPr>
        <w:spacing w:line="218" w:lineRule="auto"/>
        <w:rPr>
          <w:rFonts w:ascii="宋体" w:eastAsia="宋体" w:hAnsi="宋体" w:cs="宋体"/>
          <w:sz w:val="16"/>
          <w:szCs w:val="16"/>
        </w:rPr>
      </w:pPr>
      <w:r>
        <w:rPr>
          <w:rFonts w:ascii="宋体" w:eastAsia="宋体" w:hAnsi="宋体" w:cs="宋体"/>
          <w:spacing w:val="8"/>
          <w:sz w:val="16"/>
          <w:szCs w:val="16"/>
        </w:rPr>
        <w:t>殷泰安.2000.食品的营养强化.粮食知识，14</w:t>
      </w:r>
      <w:r>
        <w:rPr>
          <w:rFonts w:ascii="宋体" w:eastAsia="宋体" w:hAnsi="宋体" w:cs="宋体"/>
          <w:spacing w:val="7"/>
          <w:sz w:val="16"/>
          <w:szCs w:val="16"/>
        </w:rPr>
        <w:t>(2):74～74</w:t>
      </w:r>
    </w:p>
    <w:p w:rsidR="00EA40A3" w:rsidRDefault="00E86C16">
      <w:pPr>
        <w:spacing w:before="61" w:line="250" w:lineRule="exact"/>
        <w:rPr>
          <w:rFonts w:ascii="宋体" w:eastAsia="宋体" w:hAnsi="宋体" w:cs="宋体"/>
          <w:sz w:val="16"/>
          <w:szCs w:val="16"/>
        </w:rPr>
      </w:pPr>
      <w:r>
        <w:rPr>
          <w:rFonts w:ascii="宋体" w:eastAsia="宋体" w:hAnsi="宋体" w:cs="宋体"/>
          <w:spacing w:val="6"/>
          <w:position w:val="6"/>
          <w:sz w:val="16"/>
          <w:szCs w:val="16"/>
        </w:rPr>
        <w:t>于炜.2002.营养强化剂的选择和使用.</w:t>
      </w:r>
      <w:r>
        <w:rPr>
          <w:rFonts w:ascii="宋体" w:eastAsia="宋体" w:hAnsi="宋体" w:cs="宋体"/>
          <w:spacing w:val="5"/>
          <w:position w:val="6"/>
          <w:sz w:val="16"/>
          <w:szCs w:val="16"/>
        </w:rPr>
        <w:t>食品工业科技，23(3):83～85</w:t>
      </w:r>
    </w:p>
    <w:p w:rsidR="00EA40A3" w:rsidRDefault="00E86C16">
      <w:pPr>
        <w:spacing w:before="1" w:line="219" w:lineRule="auto"/>
        <w:rPr>
          <w:rFonts w:ascii="宋体" w:eastAsia="宋体" w:hAnsi="宋体" w:cs="宋体"/>
          <w:sz w:val="16"/>
          <w:szCs w:val="16"/>
        </w:rPr>
      </w:pPr>
      <w:r>
        <w:rPr>
          <w:rFonts w:ascii="宋体" w:eastAsia="宋体" w:hAnsi="宋体" w:cs="宋体"/>
          <w:spacing w:val="4"/>
          <w:sz w:val="16"/>
          <w:szCs w:val="16"/>
        </w:rPr>
        <w:t>张锦同.1983.强化食品.北京：轻工业出版社</w:t>
      </w:r>
    </w:p>
    <w:p w:rsidR="00EA40A3" w:rsidRDefault="00E86C16">
      <w:pPr>
        <w:spacing w:before="59" w:line="219" w:lineRule="auto"/>
        <w:rPr>
          <w:rFonts w:ascii="宋体" w:eastAsia="宋体" w:hAnsi="宋体" w:cs="宋体"/>
          <w:sz w:val="16"/>
          <w:szCs w:val="16"/>
        </w:rPr>
      </w:pPr>
      <w:r>
        <w:rPr>
          <w:rFonts w:ascii="宋体" w:eastAsia="宋体" w:hAnsi="宋体" w:cs="宋体"/>
          <w:spacing w:val="4"/>
          <w:sz w:val="16"/>
          <w:szCs w:val="16"/>
        </w:rPr>
        <w:t>张坤生，任云霞，张巧玲等.2001.强化钙营养米工艺的研究.食品科学，5:44～45</w:t>
      </w:r>
    </w:p>
    <w:p w:rsidR="00EA40A3" w:rsidRDefault="00E86C16">
      <w:pPr>
        <w:spacing w:before="60" w:line="260" w:lineRule="auto"/>
        <w:ind w:left="170" w:hanging="170"/>
        <w:rPr>
          <w:rFonts w:ascii="宋体" w:eastAsia="宋体" w:hAnsi="宋体" w:cs="宋体"/>
          <w:sz w:val="16"/>
          <w:szCs w:val="16"/>
        </w:rPr>
      </w:pPr>
      <w:r>
        <w:rPr>
          <w:rFonts w:ascii="宋体" w:eastAsia="宋体" w:hAnsi="宋体" w:cs="宋体"/>
          <w:spacing w:val="5"/>
          <w:sz w:val="16"/>
          <w:szCs w:val="16"/>
        </w:rPr>
        <w:t>赵文华，翟风英，张丁等.2001.强化赖氨酸面粉对人群营养及免疫功能的影响.中</w:t>
      </w:r>
      <w:r>
        <w:rPr>
          <w:rFonts w:ascii="宋体" w:eastAsia="宋体" w:hAnsi="宋体" w:cs="宋体"/>
          <w:spacing w:val="4"/>
          <w:sz w:val="16"/>
          <w:szCs w:val="16"/>
        </w:rPr>
        <w:t>国食物与营养，(3)</w:t>
      </w:r>
      <w:r>
        <w:rPr>
          <w:rFonts w:ascii="宋体" w:eastAsia="宋体" w:hAnsi="宋体" w:cs="宋体"/>
          <w:sz w:val="16"/>
          <w:szCs w:val="16"/>
        </w:rPr>
        <w:t xml:space="preserve"> </w:t>
      </w:r>
      <w:r>
        <w:rPr>
          <w:rFonts w:ascii="宋体" w:eastAsia="宋体" w:hAnsi="宋体" w:cs="宋体"/>
          <w:spacing w:val="-4"/>
          <w:sz w:val="16"/>
          <w:szCs w:val="16"/>
        </w:rPr>
        <w:t>11～17</w:t>
      </w:r>
    </w:p>
    <w:p w:rsidR="00EA40A3" w:rsidRDefault="00E86C16">
      <w:pPr>
        <w:spacing w:before="129" w:line="219" w:lineRule="auto"/>
        <w:rPr>
          <w:rFonts w:ascii="宋体" w:eastAsia="宋体" w:hAnsi="宋体" w:cs="宋体"/>
          <w:sz w:val="16"/>
          <w:szCs w:val="16"/>
        </w:rPr>
      </w:pPr>
      <w:r>
        <w:rPr>
          <w:rFonts w:ascii="宋体" w:eastAsia="宋体" w:hAnsi="宋体" w:cs="宋体"/>
          <w:spacing w:val="6"/>
          <w:sz w:val="16"/>
          <w:szCs w:val="16"/>
        </w:rPr>
        <w:t>朱轶凡，郑沫利.2005.浅谈营养强化面粉.粮食科技与经济，30(1):42～43</w:t>
      </w:r>
    </w:p>
    <w:p w:rsidR="00EA40A3" w:rsidRDefault="00EA40A3">
      <w:pPr>
        <w:sectPr w:rsidR="00EA40A3">
          <w:footerReference w:type="default" r:id="rId238"/>
          <w:pgSz w:w="9220" w:h="13360"/>
          <w:pgMar w:top="400" w:right="994" w:bottom="1227" w:left="950" w:header="0" w:footer="1019" w:gutter="0"/>
          <w:cols w:space="720"/>
        </w:sectPr>
      </w:pPr>
    </w:p>
    <w:p w:rsidR="00EA40A3" w:rsidRDefault="00EA40A3">
      <w:pPr>
        <w:spacing w:line="274" w:lineRule="auto"/>
      </w:pPr>
    </w:p>
    <w:p w:rsidR="00EA40A3" w:rsidRDefault="00EA40A3">
      <w:pPr>
        <w:spacing w:line="274" w:lineRule="auto"/>
      </w:pPr>
    </w:p>
    <w:p w:rsidR="00EA40A3" w:rsidRDefault="00EA40A3">
      <w:pPr>
        <w:spacing w:line="274" w:lineRule="auto"/>
      </w:pPr>
    </w:p>
    <w:p w:rsidR="00EA40A3" w:rsidRDefault="00EA40A3">
      <w:pPr>
        <w:spacing w:line="274" w:lineRule="auto"/>
      </w:pPr>
    </w:p>
    <w:p w:rsidR="00EA40A3" w:rsidRDefault="00EA40A3">
      <w:pPr>
        <w:spacing w:line="274" w:lineRule="auto"/>
      </w:pPr>
    </w:p>
    <w:p w:rsidR="00EA40A3" w:rsidRDefault="00E86C16">
      <w:pPr>
        <w:spacing w:before="97" w:line="219" w:lineRule="auto"/>
        <w:ind w:left="2344"/>
        <w:rPr>
          <w:rFonts w:ascii="宋体" w:eastAsia="宋体" w:hAnsi="宋体" w:cs="宋体"/>
          <w:sz w:val="30"/>
          <w:szCs w:val="30"/>
        </w:rPr>
      </w:pPr>
      <w:r>
        <w:rPr>
          <w:rFonts w:ascii="宋体" w:eastAsia="宋体" w:hAnsi="宋体" w:cs="宋体"/>
          <w:b/>
          <w:bCs/>
          <w:spacing w:val="-16"/>
          <w:sz w:val="30"/>
          <w:szCs w:val="30"/>
        </w:rPr>
        <w:t>第</w:t>
      </w:r>
      <w:r>
        <w:rPr>
          <w:rFonts w:ascii="宋体" w:eastAsia="宋体" w:hAnsi="宋体" w:cs="宋体"/>
          <w:spacing w:val="-49"/>
          <w:sz w:val="30"/>
          <w:szCs w:val="30"/>
        </w:rPr>
        <w:t xml:space="preserve"> </w:t>
      </w:r>
      <w:r>
        <w:rPr>
          <w:rFonts w:ascii="宋体" w:eastAsia="宋体" w:hAnsi="宋体" w:cs="宋体"/>
          <w:b/>
          <w:bCs/>
          <w:spacing w:val="-16"/>
          <w:sz w:val="30"/>
          <w:szCs w:val="30"/>
        </w:rPr>
        <w:t>9</w:t>
      </w:r>
      <w:r>
        <w:rPr>
          <w:rFonts w:ascii="宋体" w:eastAsia="宋体" w:hAnsi="宋体" w:cs="宋体"/>
          <w:spacing w:val="-45"/>
          <w:sz w:val="30"/>
          <w:szCs w:val="30"/>
        </w:rPr>
        <w:t xml:space="preserve"> </w:t>
      </w:r>
      <w:r>
        <w:rPr>
          <w:rFonts w:ascii="宋体" w:eastAsia="宋体" w:hAnsi="宋体" w:cs="宋体"/>
          <w:b/>
          <w:bCs/>
          <w:spacing w:val="-16"/>
          <w:sz w:val="30"/>
          <w:szCs w:val="30"/>
        </w:rPr>
        <w:t>章</w:t>
      </w:r>
      <w:r>
        <w:rPr>
          <w:rFonts w:ascii="宋体" w:eastAsia="宋体" w:hAnsi="宋体" w:cs="宋体"/>
          <w:spacing w:val="146"/>
          <w:sz w:val="30"/>
          <w:szCs w:val="30"/>
        </w:rPr>
        <w:t xml:space="preserve"> </w:t>
      </w:r>
      <w:r>
        <w:rPr>
          <w:rFonts w:ascii="宋体" w:eastAsia="宋体" w:hAnsi="宋体" w:cs="宋体"/>
          <w:b/>
          <w:bCs/>
          <w:spacing w:val="-16"/>
          <w:sz w:val="30"/>
          <w:szCs w:val="30"/>
        </w:rPr>
        <w:t>保</w:t>
      </w:r>
      <w:r>
        <w:rPr>
          <w:rFonts w:ascii="宋体" w:eastAsia="宋体" w:hAnsi="宋体" w:cs="宋体"/>
          <w:spacing w:val="-13"/>
          <w:sz w:val="30"/>
          <w:szCs w:val="30"/>
        </w:rPr>
        <w:t xml:space="preserve"> </w:t>
      </w:r>
      <w:r>
        <w:rPr>
          <w:rFonts w:ascii="宋体" w:eastAsia="宋体" w:hAnsi="宋体" w:cs="宋体"/>
          <w:b/>
          <w:bCs/>
          <w:spacing w:val="-16"/>
          <w:sz w:val="30"/>
          <w:szCs w:val="30"/>
        </w:rPr>
        <w:t>健</w:t>
      </w:r>
      <w:r>
        <w:rPr>
          <w:rFonts w:ascii="宋体" w:eastAsia="宋体" w:hAnsi="宋体" w:cs="宋体"/>
          <w:spacing w:val="-13"/>
          <w:sz w:val="30"/>
          <w:szCs w:val="30"/>
        </w:rPr>
        <w:t xml:space="preserve"> </w:t>
      </w:r>
      <w:r>
        <w:rPr>
          <w:rFonts w:ascii="宋体" w:eastAsia="宋体" w:hAnsi="宋体" w:cs="宋体"/>
          <w:b/>
          <w:bCs/>
          <w:spacing w:val="-16"/>
          <w:sz w:val="30"/>
          <w:szCs w:val="30"/>
        </w:rPr>
        <w:t>食</w:t>
      </w:r>
      <w:r>
        <w:rPr>
          <w:rFonts w:ascii="宋体" w:eastAsia="宋体" w:hAnsi="宋体" w:cs="宋体"/>
          <w:spacing w:val="11"/>
          <w:sz w:val="30"/>
          <w:szCs w:val="30"/>
        </w:rPr>
        <w:t xml:space="preserve"> </w:t>
      </w:r>
      <w:r>
        <w:rPr>
          <w:rFonts w:ascii="宋体" w:eastAsia="宋体" w:hAnsi="宋体" w:cs="宋体"/>
          <w:b/>
          <w:bCs/>
          <w:spacing w:val="-16"/>
          <w:sz w:val="30"/>
          <w:szCs w:val="30"/>
        </w:rPr>
        <w:t>品</w:t>
      </w:r>
    </w:p>
    <w:p w:rsidR="00EA40A3" w:rsidRDefault="00EA40A3">
      <w:pPr>
        <w:spacing w:line="381" w:lineRule="auto"/>
      </w:pPr>
    </w:p>
    <w:p w:rsidR="00EA40A3" w:rsidRDefault="00E86C16">
      <w:pPr>
        <w:spacing w:before="68" w:line="221" w:lineRule="auto"/>
        <w:ind w:left="3212"/>
        <w:rPr>
          <w:rFonts w:ascii="黑体" w:eastAsia="黑体" w:hAnsi="黑体" w:cs="黑体"/>
        </w:rPr>
      </w:pPr>
      <w:r>
        <w:rPr>
          <w:rFonts w:ascii="黑体" w:eastAsia="黑体" w:hAnsi="黑体" w:cs="黑体"/>
          <w:b/>
          <w:bCs/>
          <w:spacing w:val="-17"/>
        </w:rPr>
        <w:t>教</w:t>
      </w:r>
      <w:r>
        <w:rPr>
          <w:rFonts w:ascii="黑体" w:eastAsia="黑体" w:hAnsi="黑体" w:cs="黑体"/>
          <w:spacing w:val="-33"/>
        </w:rPr>
        <w:t xml:space="preserve"> </w:t>
      </w:r>
      <w:r>
        <w:rPr>
          <w:rFonts w:ascii="黑体" w:eastAsia="黑体" w:hAnsi="黑体" w:cs="黑体"/>
          <w:b/>
          <w:bCs/>
          <w:spacing w:val="-17"/>
        </w:rPr>
        <w:t>学</w:t>
      </w:r>
      <w:r>
        <w:rPr>
          <w:rFonts w:ascii="黑体" w:eastAsia="黑体" w:hAnsi="黑体" w:cs="黑体"/>
          <w:spacing w:val="-14"/>
        </w:rPr>
        <w:t xml:space="preserve"> </w:t>
      </w:r>
      <w:r>
        <w:rPr>
          <w:rFonts w:ascii="黑体" w:eastAsia="黑体" w:hAnsi="黑体" w:cs="黑体"/>
          <w:b/>
          <w:bCs/>
          <w:spacing w:val="-17"/>
        </w:rPr>
        <w:t>目</w:t>
      </w:r>
      <w:r>
        <w:rPr>
          <w:rFonts w:ascii="黑体" w:eastAsia="黑体" w:hAnsi="黑体" w:cs="黑体"/>
          <w:spacing w:val="-46"/>
        </w:rPr>
        <w:t xml:space="preserve"> </w:t>
      </w:r>
      <w:r>
        <w:rPr>
          <w:rFonts w:ascii="黑体" w:eastAsia="黑体" w:hAnsi="黑体" w:cs="黑体"/>
          <w:b/>
          <w:bCs/>
          <w:spacing w:val="-17"/>
        </w:rPr>
        <w:t>标</w:t>
      </w:r>
    </w:p>
    <w:p w:rsidR="00EA40A3" w:rsidRDefault="00E86C16">
      <w:pPr>
        <w:spacing w:before="198" w:line="224" w:lineRule="auto"/>
        <w:ind w:left="439"/>
        <w:rPr>
          <w:rFonts w:ascii="楷体" w:eastAsia="楷体" w:hAnsi="楷体" w:cs="楷体"/>
        </w:rPr>
      </w:pPr>
      <w:r>
        <w:rPr>
          <w:rFonts w:ascii="楷体" w:eastAsia="楷体" w:hAnsi="楷体" w:cs="楷体"/>
          <w:spacing w:val="-6"/>
        </w:rPr>
        <w:t>·</w:t>
      </w:r>
      <w:r>
        <w:rPr>
          <w:rFonts w:ascii="楷体" w:eastAsia="楷体" w:hAnsi="楷体" w:cs="楷体"/>
          <w:spacing w:val="-81"/>
        </w:rPr>
        <w:t xml:space="preserve"> </w:t>
      </w:r>
      <w:r>
        <w:rPr>
          <w:rFonts w:ascii="楷体" w:eastAsia="楷体" w:hAnsi="楷体" w:cs="楷体"/>
          <w:spacing w:val="-6"/>
        </w:rPr>
        <w:t>掌握保健食品的基本概念及基本特征。</w:t>
      </w:r>
    </w:p>
    <w:p w:rsidR="00EA40A3" w:rsidRDefault="00E86C16">
      <w:pPr>
        <w:spacing w:before="54" w:line="223" w:lineRule="auto"/>
        <w:ind w:left="439"/>
        <w:rPr>
          <w:rFonts w:ascii="楷体" w:eastAsia="楷体" w:hAnsi="楷体" w:cs="楷体"/>
        </w:rPr>
      </w:pPr>
      <w:r>
        <w:rPr>
          <w:rFonts w:ascii="楷体" w:eastAsia="楷体" w:hAnsi="楷体" w:cs="楷体"/>
          <w:spacing w:val="-7"/>
        </w:rPr>
        <w:t>·</w:t>
      </w:r>
      <w:r>
        <w:rPr>
          <w:rFonts w:ascii="楷体" w:eastAsia="楷体" w:hAnsi="楷体" w:cs="楷体"/>
          <w:spacing w:val="-49"/>
        </w:rPr>
        <w:t xml:space="preserve"> </w:t>
      </w:r>
      <w:r>
        <w:rPr>
          <w:rFonts w:ascii="楷体" w:eastAsia="楷体" w:hAnsi="楷体" w:cs="楷体"/>
          <w:spacing w:val="-7"/>
        </w:rPr>
        <w:t>了解保健食品功能性评价程序及评价方法。</w:t>
      </w:r>
    </w:p>
    <w:p w:rsidR="00EA40A3" w:rsidRDefault="00E86C16">
      <w:pPr>
        <w:spacing w:before="59" w:line="225" w:lineRule="auto"/>
        <w:ind w:left="439"/>
        <w:rPr>
          <w:rFonts w:ascii="楷体" w:eastAsia="楷体" w:hAnsi="楷体" w:cs="楷体"/>
        </w:rPr>
      </w:pPr>
      <w:r>
        <w:rPr>
          <w:rFonts w:ascii="楷体" w:eastAsia="楷体" w:hAnsi="楷体" w:cs="楷体"/>
          <w:spacing w:val="-4"/>
        </w:rPr>
        <w:t>·</w:t>
      </w:r>
      <w:r>
        <w:rPr>
          <w:rFonts w:ascii="楷体" w:eastAsia="楷体" w:hAnsi="楷体" w:cs="楷体"/>
          <w:spacing w:val="-69"/>
        </w:rPr>
        <w:t xml:space="preserve"> </w:t>
      </w:r>
      <w:r>
        <w:rPr>
          <w:rFonts w:ascii="楷体" w:eastAsia="楷体" w:hAnsi="楷体" w:cs="楷体"/>
          <w:spacing w:val="-4"/>
        </w:rPr>
        <w:t>了解低脂低热食品、仿生食品和广东凉茶的特点及</w:t>
      </w:r>
      <w:r>
        <w:rPr>
          <w:rFonts w:ascii="楷体" w:eastAsia="楷体" w:hAnsi="楷体" w:cs="楷体"/>
          <w:spacing w:val="-5"/>
        </w:rPr>
        <w:t>其对人体的保健意义。</w:t>
      </w:r>
    </w:p>
    <w:p w:rsidR="00EA40A3" w:rsidRDefault="00EA40A3">
      <w:pPr>
        <w:spacing w:line="284" w:lineRule="auto"/>
      </w:pPr>
    </w:p>
    <w:p w:rsidR="00EA40A3" w:rsidRDefault="00E86C16">
      <w:pPr>
        <w:spacing w:before="69" w:line="257" w:lineRule="auto"/>
        <w:ind w:firstLine="439"/>
        <w:jc w:val="both"/>
        <w:rPr>
          <w:rFonts w:ascii="宋体" w:eastAsia="宋体" w:hAnsi="宋体" w:cs="宋体"/>
        </w:rPr>
      </w:pPr>
      <w:r>
        <w:rPr>
          <w:rFonts w:ascii="宋体" w:eastAsia="宋体" w:hAnsi="宋体" w:cs="宋体"/>
          <w:spacing w:val="-2"/>
        </w:rPr>
        <w:t>随着食品科学和食品营养学的发展，当代营养</w:t>
      </w:r>
      <w:r>
        <w:rPr>
          <w:rFonts w:ascii="宋体" w:eastAsia="宋体" w:hAnsi="宋体" w:cs="宋体"/>
          <w:spacing w:val="-3"/>
        </w:rPr>
        <w:t>学研究的重点内容已不再局限</w:t>
      </w:r>
      <w:r>
        <w:rPr>
          <w:rFonts w:ascii="宋体" w:eastAsia="宋体" w:hAnsi="宋体" w:cs="宋体"/>
        </w:rPr>
        <w:t xml:space="preserve">  </w:t>
      </w:r>
      <w:r>
        <w:rPr>
          <w:rFonts w:ascii="宋体" w:eastAsia="宋体" w:hAnsi="宋体" w:cs="宋体"/>
          <w:spacing w:val="-3"/>
        </w:rPr>
        <w:t>于食品解决人类的温饱问题及一些特定症状与营养素缺乏之间的关系等基本的营</w:t>
      </w:r>
      <w:r>
        <w:rPr>
          <w:rFonts w:ascii="宋体" w:eastAsia="宋体" w:hAnsi="宋体" w:cs="宋体"/>
          <w:spacing w:val="5"/>
        </w:rPr>
        <w:t xml:space="preserve">   </w:t>
      </w:r>
      <w:r>
        <w:rPr>
          <w:rFonts w:ascii="宋体" w:eastAsia="宋体" w:hAnsi="宋体" w:cs="宋体"/>
          <w:spacing w:val="-3"/>
        </w:rPr>
        <w:t>养学问题，而开始转向如何通过摄取食品维持机体的健康或减少患诸多疾病的风</w:t>
      </w:r>
      <w:r>
        <w:rPr>
          <w:rFonts w:ascii="宋体" w:eastAsia="宋体" w:hAnsi="宋体" w:cs="宋体"/>
          <w:spacing w:val="4"/>
        </w:rPr>
        <w:t xml:space="preserve">   </w:t>
      </w:r>
      <w:r>
        <w:rPr>
          <w:rFonts w:ascii="宋体" w:eastAsia="宋体" w:hAnsi="宋体" w:cs="宋体"/>
          <w:spacing w:val="3"/>
        </w:rPr>
        <w:t>险，并由此出现保健食品以及具有一定保健作用的相关食品。可以说，“营养”</w:t>
      </w:r>
      <w:r>
        <w:rPr>
          <w:rFonts w:ascii="宋体" w:eastAsia="宋体" w:hAnsi="宋体" w:cs="宋体"/>
        </w:rPr>
        <w:t xml:space="preserve"> </w:t>
      </w:r>
      <w:r>
        <w:rPr>
          <w:rFonts w:ascii="宋体" w:eastAsia="宋体" w:hAnsi="宋体" w:cs="宋体"/>
          <w:spacing w:val="10"/>
        </w:rPr>
        <w:t>和“保健”这两个概念在一定程度上反映了不同时期营养研究对食品提出的</w:t>
      </w:r>
      <w:r>
        <w:rPr>
          <w:rFonts w:ascii="宋体" w:eastAsia="宋体" w:hAnsi="宋体" w:cs="宋体"/>
          <w:spacing w:val="2"/>
        </w:rPr>
        <w:t xml:space="preserve">  </w:t>
      </w:r>
      <w:r>
        <w:rPr>
          <w:rFonts w:ascii="宋体" w:eastAsia="宋体" w:hAnsi="宋体" w:cs="宋体"/>
          <w:spacing w:val="-9"/>
        </w:rPr>
        <w:t>要求。</w:t>
      </w:r>
    </w:p>
    <w:p w:rsidR="00EA40A3" w:rsidRDefault="00EA40A3">
      <w:pPr>
        <w:spacing w:line="253" w:lineRule="auto"/>
      </w:pPr>
    </w:p>
    <w:p w:rsidR="00EA40A3" w:rsidRDefault="00E86C16">
      <w:pPr>
        <w:spacing w:before="98" w:line="220" w:lineRule="auto"/>
        <w:ind w:left="2659"/>
        <w:rPr>
          <w:rFonts w:ascii="宋体" w:eastAsia="宋体" w:hAnsi="宋体" w:cs="宋体"/>
          <w:sz w:val="30"/>
          <w:szCs w:val="30"/>
        </w:rPr>
      </w:pPr>
      <w:r>
        <w:rPr>
          <w:rFonts w:ascii="宋体" w:eastAsia="宋体" w:hAnsi="宋体" w:cs="宋体"/>
          <w:spacing w:val="-8"/>
          <w:sz w:val="30"/>
          <w:szCs w:val="30"/>
        </w:rPr>
        <w:t>9.1</w:t>
      </w:r>
      <w:r>
        <w:rPr>
          <w:rFonts w:ascii="宋体" w:eastAsia="宋体" w:hAnsi="宋体" w:cs="宋体"/>
          <w:spacing w:val="68"/>
          <w:sz w:val="30"/>
          <w:szCs w:val="30"/>
        </w:rPr>
        <w:t xml:space="preserve"> </w:t>
      </w:r>
      <w:r>
        <w:rPr>
          <w:rFonts w:ascii="宋体" w:eastAsia="宋体" w:hAnsi="宋体" w:cs="宋体"/>
          <w:spacing w:val="-8"/>
          <w:sz w:val="30"/>
          <w:szCs w:val="30"/>
        </w:rPr>
        <w:t>保</w:t>
      </w:r>
      <w:r>
        <w:rPr>
          <w:rFonts w:ascii="宋体" w:eastAsia="宋体" w:hAnsi="宋体" w:cs="宋体"/>
          <w:spacing w:val="-60"/>
          <w:sz w:val="30"/>
          <w:szCs w:val="30"/>
        </w:rPr>
        <w:t xml:space="preserve"> </w:t>
      </w:r>
      <w:r>
        <w:rPr>
          <w:rFonts w:ascii="宋体" w:eastAsia="宋体" w:hAnsi="宋体" w:cs="宋体"/>
          <w:spacing w:val="-8"/>
          <w:sz w:val="30"/>
          <w:szCs w:val="30"/>
        </w:rPr>
        <w:t>健</w:t>
      </w:r>
      <w:r>
        <w:rPr>
          <w:rFonts w:ascii="宋体" w:eastAsia="宋体" w:hAnsi="宋体" w:cs="宋体"/>
          <w:spacing w:val="-61"/>
          <w:sz w:val="30"/>
          <w:szCs w:val="30"/>
        </w:rPr>
        <w:t xml:space="preserve"> </w:t>
      </w:r>
      <w:r>
        <w:rPr>
          <w:rFonts w:ascii="宋体" w:eastAsia="宋体" w:hAnsi="宋体" w:cs="宋体"/>
          <w:spacing w:val="-8"/>
          <w:sz w:val="30"/>
          <w:szCs w:val="30"/>
        </w:rPr>
        <w:t>食</w:t>
      </w:r>
      <w:r>
        <w:rPr>
          <w:rFonts w:ascii="宋体" w:eastAsia="宋体" w:hAnsi="宋体" w:cs="宋体"/>
          <w:spacing w:val="-36"/>
          <w:sz w:val="30"/>
          <w:szCs w:val="30"/>
        </w:rPr>
        <w:t xml:space="preserve"> </w:t>
      </w:r>
      <w:r>
        <w:rPr>
          <w:rFonts w:ascii="宋体" w:eastAsia="宋体" w:hAnsi="宋体" w:cs="宋体"/>
          <w:spacing w:val="-8"/>
          <w:sz w:val="30"/>
          <w:szCs w:val="30"/>
        </w:rPr>
        <w:t>品</w:t>
      </w:r>
    </w:p>
    <w:p w:rsidR="00EA40A3" w:rsidRDefault="00E86C16">
      <w:pPr>
        <w:spacing w:before="84" w:line="221" w:lineRule="auto"/>
        <w:ind w:left="3"/>
        <w:outlineLvl w:val="6"/>
        <w:rPr>
          <w:rFonts w:ascii="黑体" w:eastAsia="黑体" w:hAnsi="黑体" w:cs="黑体"/>
          <w:sz w:val="26"/>
          <w:szCs w:val="26"/>
        </w:rPr>
      </w:pPr>
      <w:r>
        <w:rPr>
          <w:rFonts w:ascii="黑体" w:eastAsia="黑体" w:hAnsi="黑体" w:cs="黑体"/>
          <w:b/>
          <w:bCs/>
          <w:spacing w:val="-7"/>
          <w:sz w:val="26"/>
          <w:szCs w:val="26"/>
        </w:rPr>
        <w:t>9.1.1</w:t>
      </w:r>
      <w:r>
        <w:rPr>
          <w:rFonts w:ascii="黑体" w:eastAsia="黑体" w:hAnsi="黑体" w:cs="黑体"/>
          <w:spacing w:val="94"/>
          <w:sz w:val="26"/>
          <w:szCs w:val="26"/>
        </w:rPr>
        <w:t xml:space="preserve"> </w:t>
      </w:r>
      <w:r>
        <w:rPr>
          <w:rFonts w:ascii="黑体" w:eastAsia="黑体" w:hAnsi="黑体" w:cs="黑体"/>
          <w:b/>
          <w:bCs/>
          <w:spacing w:val="-7"/>
          <w:sz w:val="26"/>
          <w:szCs w:val="26"/>
        </w:rPr>
        <w:t>概述</w:t>
      </w:r>
    </w:p>
    <w:p w:rsidR="00EA40A3" w:rsidRDefault="00E86C16">
      <w:pPr>
        <w:spacing w:before="209" w:line="258" w:lineRule="auto"/>
        <w:ind w:right="151" w:firstLine="439"/>
        <w:jc w:val="both"/>
        <w:rPr>
          <w:rFonts w:ascii="宋体" w:eastAsia="宋体" w:hAnsi="宋体" w:cs="宋体"/>
        </w:rPr>
      </w:pPr>
      <w:r>
        <w:rPr>
          <w:rFonts w:ascii="宋体" w:eastAsia="宋体" w:hAnsi="宋体" w:cs="宋体"/>
          <w:spacing w:val="-4"/>
        </w:rPr>
        <w:t>保健食品在不同的国家和地区称谓不完全相同，其定义并不完全统一。在日</w:t>
      </w:r>
      <w:r>
        <w:rPr>
          <w:rFonts w:ascii="宋体" w:eastAsia="宋体" w:hAnsi="宋体" w:cs="宋体"/>
          <w:spacing w:val="11"/>
        </w:rPr>
        <w:t xml:space="preserve"> </w:t>
      </w:r>
      <w:r>
        <w:rPr>
          <w:rFonts w:ascii="宋体" w:eastAsia="宋体" w:hAnsi="宋体" w:cs="宋体"/>
          <w:spacing w:val="-3"/>
        </w:rPr>
        <w:t>本，保健食品被称为“功能性</w:t>
      </w:r>
      <w:r>
        <w:rPr>
          <w:rFonts w:ascii="宋体" w:eastAsia="宋体" w:hAnsi="宋体" w:cs="宋体"/>
          <w:spacing w:val="-4"/>
        </w:rPr>
        <w:t>食品”(</w:t>
      </w:r>
      <w:r>
        <w:rPr>
          <w:rFonts w:ascii="宋体" w:eastAsia="宋体" w:hAnsi="宋体" w:cs="宋体"/>
          <w:spacing w:val="-3"/>
        </w:rPr>
        <w:t>functional</w:t>
      </w:r>
      <w:r>
        <w:rPr>
          <w:rFonts w:ascii="宋体" w:eastAsia="宋体" w:hAnsi="宋体" w:cs="宋体"/>
          <w:spacing w:val="1"/>
        </w:rPr>
        <w:t xml:space="preserve"> </w:t>
      </w:r>
      <w:r>
        <w:rPr>
          <w:rFonts w:ascii="宋体" w:eastAsia="宋体" w:hAnsi="宋体" w:cs="宋体"/>
          <w:spacing w:val="-3"/>
        </w:rPr>
        <w:t>food</w:t>
      </w:r>
      <w:r>
        <w:rPr>
          <w:rFonts w:ascii="宋体" w:eastAsia="宋体" w:hAnsi="宋体" w:cs="宋体"/>
          <w:spacing w:val="-4"/>
        </w:rPr>
        <w:t>),</w:t>
      </w:r>
      <w:r>
        <w:rPr>
          <w:rFonts w:ascii="宋体" w:eastAsia="宋体" w:hAnsi="宋体" w:cs="宋体"/>
          <w:spacing w:val="-45"/>
        </w:rPr>
        <w:t xml:space="preserve"> </w:t>
      </w:r>
      <w:r>
        <w:rPr>
          <w:rFonts w:ascii="宋体" w:eastAsia="宋体" w:hAnsi="宋体" w:cs="宋体"/>
          <w:spacing w:val="-4"/>
        </w:rPr>
        <w:t>最早提出于1982年，但</w:t>
      </w:r>
      <w:r>
        <w:rPr>
          <w:rFonts w:ascii="宋体" w:eastAsia="宋体" w:hAnsi="宋体" w:cs="宋体"/>
        </w:rPr>
        <w:t xml:space="preserve"> </w:t>
      </w:r>
      <w:r>
        <w:rPr>
          <w:rFonts w:ascii="宋体" w:eastAsia="宋体" w:hAnsi="宋体" w:cs="宋体"/>
          <w:spacing w:val="3"/>
        </w:rPr>
        <w:t>直到1987年，在日本文部省《食品功能的系统性解释与展开》的报告中才被正</w:t>
      </w:r>
      <w:r>
        <w:rPr>
          <w:rFonts w:ascii="宋体" w:eastAsia="宋体" w:hAnsi="宋体" w:cs="宋体"/>
          <w:spacing w:val="13"/>
        </w:rPr>
        <w:t xml:space="preserve"> </w:t>
      </w:r>
      <w:r>
        <w:rPr>
          <w:rFonts w:ascii="宋体" w:eastAsia="宋体" w:hAnsi="宋体" w:cs="宋体"/>
          <w:spacing w:val="7"/>
        </w:rPr>
        <w:t>式使用；1989年4月厚生省进一步定义为：具有与生物防御、生物节律调整、</w:t>
      </w:r>
      <w:r>
        <w:rPr>
          <w:rFonts w:ascii="宋体" w:eastAsia="宋体" w:hAnsi="宋体" w:cs="宋体"/>
          <w:spacing w:val="17"/>
        </w:rPr>
        <w:t xml:space="preserve"> </w:t>
      </w:r>
      <w:r>
        <w:rPr>
          <w:rFonts w:ascii="宋体" w:eastAsia="宋体" w:hAnsi="宋体" w:cs="宋体"/>
          <w:spacing w:val="1"/>
        </w:rPr>
        <w:t>预防疾病、恢复健康等有关功能，经过设计加工，有明显调整生物功能</w:t>
      </w:r>
      <w:r>
        <w:rPr>
          <w:rFonts w:ascii="宋体" w:eastAsia="宋体" w:hAnsi="宋体" w:cs="宋体"/>
        </w:rPr>
        <w:t xml:space="preserve">的食品  </w:t>
      </w:r>
      <w:r>
        <w:rPr>
          <w:rFonts w:ascii="宋体" w:eastAsia="宋体" w:hAnsi="宋体" w:cs="宋体"/>
          <w:spacing w:val="-3"/>
        </w:rPr>
        <w:t>同时对这类食品提出几项要求：①作为食品，应该由通常使用的原材料或成</w:t>
      </w:r>
      <w:r>
        <w:rPr>
          <w:rFonts w:ascii="宋体" w:eastAsia="宋体" w:hAnsi="宋体" w:cs="宋体"/>
          <w:spacing w:val="-4"/>
        </w:rPr>
        <w:t>分构</w:t>
      </w:r>
      <w:r>
        <w:rPr>
          <w:rFonts w:ascii="宋体" w:eastAsia="宋体" w:hAnsi="宋体" w:cs="宋体"/>
        </w:rPr>
        <w:t xml:space="preserve"> </w:t>
      </w:r>
      <w:r>
        <w:rPr>
          <w:rFonts w:ascii="宋体" w:eastAsia="宋体" w:hAnsi="宋体" w:cs="宋体"/>
          <w:spacing w:val="-4"/>
        </w:rPr>
        <w:t>成，并以常规的形态与方法摄取；②属于日常摄取的食品；③应明确标记相关的</w:t>
      </w:r>
      <w:r>
        <w:rPr>
          <w:rFonts w:ascii="宋体" w:eastAsia="宋体" w:hAnsi="宋体" w:cs="宋体"/>
          <w:spacing w:val="2"/>
        </w:rPr>
        <w:t xml:space="preserve">  </w:t>
      </w:r>
      <w:r>
        <w:rPr>
          <w:rFonts w:ascii="宋体" w:eastAsia="宋体" w:hAnsi="宋体" w:cs="宋体"/>
          <w:spacing w:val="3"/>
        </w:rPr>
        <w:t xml:space="preserve">调节功能；1990年11月日本厚生省提出将“功能性食品”改名为“特定保健用 </w:t>
      </w:r>
      <w:r>
        <w:rPr>
          <w:rFonts w:ascii="宋体" w:eastAsia="宋体" w:hAnsi="宋体" w:cs="宋体"/>
          <w:spacing w:val="-17"/>
        </w:rPr>
        <w:t>食</w:t>
      </w:r>
      <w:r>
        <w:rPr>
          <w:rFonts w:ascii="宋体" w:eastAsia="宋体" w:hAnsi="宋体" w:cs="宋体"/>
          <w:spacing w:val="-18"/>
        </w:rPr>
        <w:t>品”(</w:t>
      </w:r>
      <w:r>
        <w:rPr>
          <w:rFonts w:ascii="宋体" w:eastAsia="宋体" w:hAnsi="宋体" w:cs="宋体"/>
          <w:spacing w:val="-17"/>
        </w:rPr>
        <w:t>food</w:t>
      </w:r>
      <w:r>
        <w:rPr>
          <w:rFonts w:ascii="宋体" w:eastAsia="宋体" w:hAnsi="宋体" w:cs="宋体"/>
          <w:spacing w:val="-7"/>
        </w:rPr>
        <w:t xml:space="preserve"> </w:t>
      </w:r>
      <w:r>
        <w:rPr>
          <w:rFonts w:ascii="宋体" w:eastAsia="宋体" w:hAnsi="宋体" w:cs="宋体"/>
          <w:spacing w:val="-17"/>
        </w:rPr>
        <w:t>for</w:t>
      </w:r>
      <w:r>
        <w:rPr>
          <w:rFonts w:ascii="宋体" w:eastAsia="宋体" w:hAnsi="宋体" w:cs="宋体"/>
          <w:spacing w:val="-2"/>
        </w:rPr>
        <w:t xml:space="preserve"> </w:t>
      </w:r>
      <w:r>
        <w:rPr>
          <w:rFonts w:ascii="宋体" w:eastAsia="宋体" w:hAnsi="宋体" w:cs="宋体"/>
          <w:spacing w:val="-17"/>
        </w:rPr>
        <w:t>specified</w:t>
      </w:r>
      <w:r>
        <w:rPr>
          <w:rFonts w:ascii="宋体" w:eastAsia="宋体" w:hAnsi="宋体" w:cs="宋体"/>
          <w:spacing w:val="-12"/>
        </w:rPr>
        <w:t xml:space="preserve"> </w:t>
      </w:r>
      <w:r>
        <w:rPr>
          <w:rFonts w:ascii="宋体" w:eastAsia="宋体" w:hAnsi="宋体" w:cs="宋体"/>
          <w:spacing w:val="-17"/>
        </w:rPr>
        <w:t>health</w:t>
      </w:r>
      <w:r>
        <w:rPr>
          <w:rFonts w:ascii="宋体" w:eastAsia="宋体" w:hAnsi="宋体" w:cs="宋体"/>
          <w:spacing w:val="-12"/>
        </w:rPr>
        <w:t xml:space="preserve"> </w:t>
      </w:r>
      <w:r>
        <w:rPr>
          <w:rFonts w:ascii="宋体" w:eastAsia="宋体" w:hAnsi="宋体" w:cs="宋体"/>
          <w:spacing w:val="-17"/>
        </w:rPr>
        <w:t>use</w:t>
      </w:r>
      <w:r>
        <w:rPr>
          <w:rFonts w:ascii="宋体" w:eastAsia="宋体" w:hAnsi="宋体" w:cs="宋体"/>
          <w:spacing w:val="-18"/>
        </w:rPr>
        <w:t>)。</w:t>
      </w:r>
    </w:p>
    <w:p w:rsidR="00EA40A3" w:rsidRDefault="00E86C16">
      <w:pPr>
        <w:spacing w:before="112" w:line="263" w:lineRule="auto"/>
        <w:ind w:right="121" w:firstLine="439"/>
        <w:jc w:val="both"/>
        <w:rPr>
          <w:rFonts w:ascii="宋体" w:eastAsia="宋体" w:hAnsi="宋体" w:cs="宋体"/>
        </w:rPr>
      </w:pPr>
      <w:r>
        <w:rPr>
          <w:rFonts w:ascii="宋体" w:eastAsia="宋体" w:hAnsi="宋体" w:cs="宋体"/>
          <w:spacing w:val="-8"/>
        </w:rPr>
        <w:t>欧美许多国家和地区将保健食品称为“健康食品”</w:t>
      </w:r>
      <w:r>
        <w:rPr>
          <w:rFonts w:ascii="宋体" w:eastAsia="宋体" w:hAnsi="宋体" w:cs="宋体"/>
          <w:spacing w:val="-80"/>
        </w:rPr>
        <w:t xml:space="preserve"> </w:t>
      </w:r>
      <w:r>
        <w:rPr>
          <w:rFonts w:ascii="宋体" w:eastAsia="宋体" w:hAnsi="宋体" w:cs="宋体"/>
          <w:spacing w:val="-8"/>
        </w:rPr>
        <w:t>(health</w:t>
      </w:r>
      <w:r>
        <w:rPr>
          <w:rFonts w:ascii="宋体" w:eastAsia="宋体" w:hAnsi="宋体" w:cs="宋体"/>
          <w:spacing w:val="6"/>
        </w:rPr>
        <w:t xml:space="preserve"> </w:t>
      </w:r>
      <w:r>
        <w:rPr>
          <w:rFonts w:ascii="宋体" w:eastAsia="宋体" w:hAnsi="宋体" w:cs="宋体"/>
          <w:spacing w:val="-8"/>
        </w:rPr>
        <w:t>food)、</w:t>
      </w:r>
      <w:r>
        <w:rPr>
          <w:rFonts w:ascii="宋体" w:eastAsia="宋体" w:hAnsi="宋体" w:cs="宋体"/>
          <w:spacing w:val="-25"/>
        </w:rPr>
        <w:t xml:space="preserve"> </w:t>
      </w:r>
      <w:r>
        <w:rPr>
          <w:rFonts w:ascii="宋体" w:eastAsia="宋体" w:hAnsi="宋体" w:cs="宋体"/>
          <w:spacing w:val="-9"/>
        </w:rPr>
        <w:t>“设计食</w:t>
      </w:r>
      <w:r>
        <w:rPr>
          <w:rFonts w:ascii="宋体" w:eastAsia="宋体" w:hAnsi="宋体" w:cs="宋体"/>
        </w:rPr>
        <w:t xml:space="preserve"> </w:t>
      </w:r>
      <w:r>
        <w:rPr>
          <w:rFonts w:ascii="宋体" w:eastAsia="宋体" w:hAnsi="宋体" w:cs="宋体"/>
          <w:spacing w:val="-10"/>
        </w:rPr>
        <w:t>品”(designed</w:t>
      </w:r>
      <w:r>
        <w:rPr>
          <w:rFonts w:ascii="宋体" w:eastAsia="宋体" w:hAnsi="宋体" w:cs="宋体"/>
          <w:spacing w:val="14"/>
        </w:rPr>
        <w:t xml:space="preserve"> </w:t>
      </w:r>
      <w:r>
        <w:rPr>
          <w:rFonts w:ascii="宋体" w:eastAsia="宋体" w:hAnsi="宋体" w:cs="宋体"/>
          <w:spacing w:val="-10"/>
        </w:rPr>
        <w:t>food)、</w:t>
      </w:r>
      <w:r>
        <w:rPr>
          <w:rFonts w:ascii="宋体" w:eastAsia="宋体" w:hAnsi="宋体" w:cs="宋体"/>
          <w:spacing w:val="-16"/>
        </w:rPr>
        <w:t xml:space="preserve"> </w:t>
      </w:r>
      <w:r>
        <w:rPr>
          <w:rFonts w:ascii="宋体" w:eastAsia="宋体" w:hAnsi="宋体" w:cs="宋体"/>
          <w:spacing w:val="-10"/>
        </w:rPr>
        <w:t>“营养食品”</w:t>
      </w:r>
      <w:r>
        <w:rPr>
          <w:rFonts w:ascii="宋体" w:eastAsia="宋体" w:hAnsi="宋体" w:cs="宋体"/>
          <w:spacing w:val="-67"/>
        </w:rPr>
        <w:t xml:space="preserve"> </w:t>
      </w:r>
      <w:r>
        <w:rPr>
          <w:rFonts w:ascii="宋体" w:eastAsia="宋体" w:hAnsi="宋体" w:cs="宋体"/>
          <w:spacing w:val="-10"/>
        </w:rPr>
        <w:t>(nutritional</w:t>
      </w:r>
      <w:r>
        <w:rPr>
          <w:rFonts w:ascii="宋体" w:eastAsia="宋体" w:hAnsi="宋体" w:cs="宋体"/>
        </w:rPr>
        <w:t xml:space="preserve"> </w:t>
      </w:r>
      <w:r>
        <w:rPr>
          <w:rFonts w:ascii="宋体" w:eastAsia="宋体" w:hAnsi="宋体" w:cs="宋体"/>
          <w:spacing w:val="-10"/>
        </w:rPr>
        <w:t>food)</w:t>
      </w:r>
      <w:r>
        <w:rPr>
          <w:rFonts w:ascii="宋体" w:eastAsia="宋体" w:hAnsi="宋体" w:cs="宋体"/>
          <w:spacing w:val="-46"/>
        </w:rPr>
        <w:t xml:space="preserve"> </w:t>
      </w:r>
      <w:r>
        <w:rPr>
          <w:rFonts w:ascii="宋体" w:eastAsia="宋体" w:hAnsi="宋体" w:cs="宋体"/>
          <w:spacing w:val="-10"/>
        </w:rPr>
        <w:t>或“改良食品”</w:t>
      </w:r>
      <w:r>
        <w:rPr>
          <w:rFonts w:ascii="宋体" w:eastAsia="宋体" w:hAnsi="宋体" w:cs="宋体"/>
          <w:spacing w:val="-77"/>
        </w:rPr>
        <w:t xml:space="preserve"> </w:t>
      </w:r>
      <w:r>
        <w:rPr>
          <w:rFonts w:ascii="宋体" w:eastAsia="宋体" w:hAnsi="宋体" w:cs="宋体"/>
          <w:spacing w:val="-10"/>
        </w:rPr>
        <w:t>(reform</w:t>
      </w:r>
      <w:r>
        <w:rPr>
          <w:rFonts w:ascii="宋体" w:eastAsia="宋体" w:hAnsi="宋体" w:cs="宋体"/>
        </w:rPr>
        <w:t xml:space="preserve">  food)。1982年欧洲健康食品制造商联合会(EHPM)</w:t>
      </w:r>
      <w:r>
        <w:rPr>
          <w:rFonts w:ascii="宋体" w:eastAsia="宋体" w:hAnsi="宋体" w:cs="宋体"/>
          <w:spacing w:val="38"/>
        </w:rPr>
        <w:t xml:space="preserve">   </w:t>
      </w:r>
      <w:r>
        <w:rPr>
          <w:rFonts w:ascii="宋体" w:eastAsia="宋体" w:hAnsi="宋体" w:cs="宋体"/>
        </w:rPr>
        <w:t>指出，健康食品必须以保</w:t>
      </w:r>
      <w:r>
        <w:rPr>
          <w:rFonts w:ascii="宋体" w:eastAsia="宋体" w:hAnsi="宋体" w:cs="宋体"/>
          <w:spacing w:val="2"/>
        </w:rPr>
        <w:t xml:space="preserve"> </w:t>
      </w:r>
      <w:r>
        <w:rPr>
          <w:rFonts w:ascii="宋体" w:eastAsia="宋体" w:hAnsi="宋体" w:cs="宋体"/>
          <w:spacing w:val="-2"/>
        </w:rPr>
        <w:t>证和增进健康为宗旨，应尽可能地以天然物为原料，</w:t>
      </w:r>
      <w:r>
        <w:rPr>
          <w:rFonts w:ascii="宋体" w:eastAsia="宋体" w:hAnsi="宋体" w:cs="宋体"/>
          <w:spacing w:val="-3"/>
        </w:rPr>
        <w:t>必须在坚持健康食品的原则</w:t>
      </w:r>
      <w:r>
        <w:rPr>
          <w:rFonts w:ascii="宋体" w:eastAsia="宋体" w:hAnsi="宋体" w:cs="宋体"/>
        </w:rPr>
        <w:t xml:space="preserve"> </w:t>
      </w:r>
      <w:r>
        <w:rPr>
          <w:rFonts w:ascii="宋体" w:eastAsia="宋体" w:hAnsi="宋体" w:cs="宋体"/>
          <w:spacing w:val="-3"/>
        </w:rPr>
        <w:t>和保证食品质量的前提下进行生产。规定健康食品的范围为：①含有充分营养素</w:t>
      </w:r>
      <w:r>
        <w:rPr>
          <w:rFonts w:ascii="宋体" w:eastAsia="宋体" w:hAnsi="宋体" w:cs="宋体"/>
          <w:spacing w:val="13"/>
        </w:rPr>
        <w:t xml:space="preserve"> </w:t>
      </w:r>
      <w:r>
        <w:rPr>
          <w:rFonts w:ascii="宋体" w:eastAsia="宋体" w:hAnsi="宋体" w:cs="宋体"/>
          <w:spacing w:val="-1"/>
        </w:rPr>
        <w:t>的食品；②补充膳食中易缺少的营养素的食品；③特定需要的食品或滋补食品，</w:t>
      </w:r>
    </w:p>
    <w:p w:rsidR="00EA40A3" w:rsidRDefault="00E86C16">
      <w:pPr>
        <w:spacing w:before="100"/>
        <w:ind w:right="232"/>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277</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footerReference w:type="default" r:id="rId239"/>
          <w:pgSz w:w="9220" w:h="13360"/>
          <w:pgMar w:top="400" w:right="833" w:bottom="400" w:left="930" w:header="0" w:footer="0" w:gutter="0"/>
          <w:cols w:space="720"/>
        </w:sectPr>
      </w:pPr>
    </w:p>
    <w:p w:rsidR="00EA40A3" w:rsidRDefault="00EA40A3">
      <w:pPr>
        <w:spacing w:line="251" w:lineRule="auto"/>
      </w:pPr>
    </w:p>
    <w:p w:rsidR="00EA40A3" w:rsidRDefault="00EA40A3">
      <w:pPr>
        <w:spacing w:line="251" w:lineRule="auto"/>
      </w:pPr>
    </w:p>
    <w:p w:rsidR="00EA40A3" w:rsidRDefault="00E86C16">
      <w:pPr>
        <w:spacing w:before="72" w:line="244" w:lineRule="auto"/>
        <w:ind w:right="102"/>
        <w:jc w:val="both"/>
        <w:rPr>
          <w:rFonts w:ascii="宋体" w:eastAsia="宋体" w:hAnsi="宋体" w:cs="宋体"/>
          <w:sz w:val="22"/>
          <w:szCs w:val="22"/>
        </w:rPr>
      </w:pPr>
      <w:bookmarkStart w:id="69" w:name="_bookmark73"/>
      <w:bookmarkEnd w:id="69"/>
      <w:r>
        <w:rPr>
          <w:rFonts w:ascii="宋体" w:eastAsia="宋体" w:hAnsi="宋体" w:cs="宋体"/>
          <w:spacing w:val="-13"/>
          <w:sz w:val="22"/>
          <w:szCs w:val="22"/>
        </w:rPr>
        <w:t>最好含有特殊的营养物质；④以增强体质或美容为目标的食品；</w:t>
      </w:r>
      <w:r>
        <w:rPr>
          <w:rFonts w:ascii="宋体" w:eastAsia="宋体" w:hAnsi="宋体" w:cs="宋体"/>
          <w:spacing w:val="-14"/>
          <w:sz w:val="22"/>
          <w:szCs w:val="22"/>
        </w:rPr>
        <w:t>⑤以维持和增进</w:t>
      </w:r>
      <w:r>
        <w:rPr>
          <w:rFonts w:ascii="宋体" w:eastAsia="宋体" w:hAnsi="宋体" w:cs="宋体"/>
          <w:sz w:val="22"/>
          <w:szCs w:val="22"/>
        </w:rPr>
        <w:t xml:space="preserve"> </w:t>
      </w:r>
      <w:r>
        <w:rPr>
          <w:rFonts w:ascii="宋体" w:eastAsia="宋体" w:hAnsi="宋体" w:cs="宋体"/>
          <w:spacing w:val="-13"/>
          <w:sz w:val="22"/>
          <w:szCs w:val="22"/>
        </w:rPr>
        <w:t>健康为目的，以天然原料为基础的食品。欧美地区对健康食品还有一种定义：除</w:t>
      </w:r>
      <w:r>
        <w:rPr>
          <w:rFonts w:ascii="宋体" w:eastAsia="宋体" w:hAnsi="宋体" w:cs="宋体"/>
          <w:spacing w:val="14"/>
          <w:sz w:val="22"/>
          <w:szCs w:val="22"/>
        </w:rPr>
        <w:t xml:space="preserve"> </w:t>
      </w:r>
      <w:r>
        <w:rPr>
          <w:rFonts w:ascii="宋体" w:eastAsia="宋体" w:hAnsi="宋体" w:cs="宋体"/>
          <w:sz w:val="22"/>
          <w:szCs w:val="22"/>
        </w:rPr>
        <w:t>有适宜的营养作用外，能对人的一种或几种目标功能(</w:t>
      </w:r>
      <w:r>
        <w:rPr>
          <w:rFonts w:ascii="宋体" w:eastAsia="宋体" w:hAnsi="宋体" w:cs="宋体"/>
          <w:spacing w:val="-1"/>
          <w:sz w:val="22"/>
          <w:szCs w:val="22"/>
        </w:rPr>
        <w:t>或称靶功能)有较好效</w:t>
      </w:r>
      <w:r>
        <w:rPr>
          <w:rFonts w:ascii="宋体" w:eastAsia="宋体" w:hAnsi="宋体" w:cs="宋体"/>
          <w:sz w:val="22"/>
          <w:szCs w:val="22"/>
        </w:rPr>
        <w:t xml:space="preserve"> </w:t>
      </w:r>
      <w:r>
        <w:rPr>
          <w:rFonts w:ascii="宋体" w:eastAsia="宋体" w:hAnsi="宋体" w:cs="宋体"/>
          <w:spacing w:val="-6"/>
          <w:sz w:val="22"/>
          <w:szCs w:val="22"/>
        </w:rPr>
        <w:t>果，能够改善健康状态和(或)降低疾病危险性的食品。</w:t>
      </w:r>
    </w:p>
    <w:p w:rsidR="00EA40A3" w:rsidRDefault="00E86C16">
      <w:pPr>
        <w:spacing w:before="57" w:line="249" w:lineRule="auto"/>
        <w:ind w:firstLine="449"/>
        <w:rPr>
          <w:rFonts w:ascii="宋体" w:eastAsia="宋体" w:hAnsi="宋体" w:cs="宋体"/>
          <w:sz w:val="22"/>
          <w:szCs w:val="22"/>
        </w:rPr>
      </w:pPr>
      <w:r>
        <w:rPr>
          <w:rFonts w:ascii="宋体" w:eastAsia="宋体" w:hAnsi="宋体" w:cs="宋体"/>
          <w:spacing w:val="-10"/>
          <w:sz w:val="22"/>
          <w:szCs w:val="22"/>
        </w:rPr>
        <w:t>在美国，还有“营养增补剂”</w:t>
      </w:r>
      <w:r>
        <w:rPr>
          <w:rFonts w:ascii="宋体" w:eastAsia="宋体" w:hAnsi="宋体" w:cs="宋体"/>
          <w:spacing w:val="111"/>
          <w:sz w:val="22"/>
          <w:szCs w:val="22"/>
        </w:rPr>
        <w:t xml:space="preserve"> </w:t>
      </w:r>
      <w:r>
        <w:rPr>
          <w:rFonts w:ascii="宋体" w:eastAsia="宋体" w:hAnsi="宋体" w:cs="宋体"/>
          <w:spacing w:val="-10"/>
          <w:sz w:val="22"/>
          <w:szCs w:val="22"/>
        </w:rPr>
        <w:t>(nutritional</w:t>
      </w:r>
      <w:r>
        <w:rPr>
          <w:rFonts w:ascii="宋体" w:eastAsia="宋体" w:hAnsi="宋体" w:cs="宋体"/>
          <w:spacing w:val="4"/>
          <w:sz w:val="22"/>
          <w:szCs w:val="22"/>
        </w:rPr>
        <w:t xml:space="preserve"> </w:t>
      </w:r>
      <w:r>
        <w:rPr>
          <w:rFonts w:ascii="宋体" w:eastAsia="宋体" w:hAnsi="宋体" w:cs="宋体"/>
          <w:spacing w:val="-10"/>
          <w:sz w:val="22"/>
          <w:szCs w:val="22"/>
        </w:rPr>
        <w:t>supplement)</w:t>
      </w:r>
      <w:r>
        <w:rPr>
          <w:rFonts w:ascii="宋体" w:eastAsia="宋体" w:hAnsi="宋体" w:cs="宋体"/>
          <w:spacing w:val="-33"/>
          <w:sz w:val="22"/>
          <w:szCs w:val="22"/>
        </w:rPr>
        <w:t xml:space="preserve"> </w:t>
      </w:r>
      <w:r>
        <w:rPr>
          <w:rFonts w:ascii="宋体" w:eastAsia="宋体" w:hAnsi="宋体" w:cs="宋体"/>
          <w:spacing w:val="-10"/>
          <w:sz w:val="22"/>
          <w:szCs w:val="22"/>
        </w:rPr>
        <w:t>的称谓。美国于</w:t>
      </w:r>
      <w:r>
        <w:rPr>
          <w:rFonts w:ascii="宋体" w:eastAsia="宋体" w:hAnsi="宋体" w:cs="宋体"/>
          <w:sz w:val="22"/>
          <w:szCs w:val="22"/>
        </w:rPr>
        <w:t xml:space="preserve"> </w:t>
      </w:r>
      <w:r>
        <w:rPr>
          <w:rFonts w:ascii="宋体" w:eastAsia="宋体" w:hAnsi="宋体" w:cs="宋体"/>
          <w:spacing w:val="-4"/>
          <w:sz w:val="22"/>
          <w:szCs w:val="22"/>
        </w:rPr>
        <w:t>1994年10月在国会参、众两院通过了《营养增补剂、健康与教育法案》,以取</w:t>
      </w:r>
      <w:r>
        <w:rPr>
          <w:rFonts w:ascii="宋体" w:eastAsia="宋体" w:hAnsi="宋体" w:cs="宋体"/>
          <w:spacing w:val="8"/>
          <w:sz w:val="22"/>
          <w:szCs w:val="22"/>
        </w:rPr>
        <w:t xml:space="preserve">  </w:t>
      </w:r>
      <w:r>
        <w:rPr>
          <w:rFonts w:ascii="宋体" w:eastAsia="宋体" w:hAnsi="宋体" w:cs="宋体"/>
          <w:spacing w:val="-13"/>
          <w:sz w:val="22"/>
          <w:szCs w:val="22"/>
        </w:rPr>
        <w:t>代先前的《健康食品法案》。其要点包括：①将草药、植物性物质与维生素、矿</w:t>
      </w:r>
      <w:r>
        <w:rPr>
          <w:rFonts w:ascii="宋体" w:eastAsia="宋体" w:hAnsi="宋体" w:cs="宋体"/>
          <w:spacing w:val="6"/>
          <w:sz w:val="22"/>
          <w:szCs w:val="22"/>
        </w:rPr>
        <w:t xml:space="preserve">  </w:t>
      </w:r>
      <w:r>
        <w:rPr>
          <w:rFonts w:ascii="宋体" w:eastAsia="宋体" w:hAnsi="宋体" w:cs="宋体"/>
          <w:spacing w:val="-13"/>
          <w:sz w:val="22"/>
          <w:szCs w:val="22"/>
        </w:rPr>
        <w:t>物质、氨基酸等同视为营养增补剂，可以补充到</w:t>
      </w:r>
      <w:r>
        <w:rPr>
          <w:rFonts w:ascii="宋体" w:eastAsia="宋体" w:hAnsi="宋体" w:cs="宋体"/>
          <w:spacing w:val="-14"/>
          <w:sz w:val="22"/>
          <w:szCs w:val="22"/>
        </w:rPr>
        <w:t>食品中；②须保证如果按照产品</w:t>
      </w:r>
      <w:r>
        <w:rPr>
          <w:rFonts w:ascii="宋体" w:eastAsia="宋体" w:hAnsi="宋体" w:cs="宋体"/>
          <w:sz w:val="22"/>
          <w:szCs w:val="22"/>
        </w:rPr>
        <w:t xml:space="preserve">  </w:t>
      </w:r>
      <w:r>
        <w:rPr>
          <w:rFonts w:ascii="宋体" w:eastAsia="宋体" w:hAnsi="宋体" w:cs="宋体"/>
          <w:spacing w:val="-13"/>
          <w:sz w:val="22"/>
          <w:szCs w:val="22"/>
        </w:rPr>
        <w:t>使用说明服用，对人体安全、无害；③产品可以制成片剂、粉剂、</w:t>
      </w:r>
      <w:r>
        <w:rPr>
          <w:rFonts w:ascii="宋体" w:eastAsia="宋体" w:hAnsi="宋体" w:cs="宋体"/>
          <w:spacing w:val="-14"/>
          <w:sz w:val="22"/>
          <w:szCs w:val="22"/>
        </w:rPr>
        <w:t>胶囊、软胶囊</w:t>
      </w:r>
      <w:r>
        <w:rPr>
          <w:rFonts w:ascii="宋体" w:eastAsia="宋体" w:hAnsi="宋体" w:cs="宋体"/>
          <w:sz w:val="22"/>
          <w:szCs w:val="22"/>
        </w:rPr>
        <w:t xml:space="preserve">  </w:t>
      </w:r>
      <w:r>
        <w:rPr>
          <w:rFonts w:ascii="宋体" w:eastAsia="宋体" w:hAnsi="宋体" w:cs="宋体"/>
          <w:spacing w:val="-13"/>
          <w:sz w:val="22"/>
          <w:szCs w:val="22"/>
        </w:rPr>
        <w:t>等各种不同形式；④可以在产品中附加功能性说明，但这种说明不能针对疾病的</w:t>
      </w:r>
      <w:r>
        <w:rPr>
          <w:rFonts w:ascii="宋体" w:eastAsia="宋体" w:hAnsi="宋体" w:cs="宋体"/>
          <w:sz w:val="22"/>
          <w:szCs w:val="22"/>
        </w:rPr>
        <w:t xml:space="preserve">  </w:t>
      </w:r>
      <w:r>
        <w:rPr>
          <w:rFonts w:ascii="宋体" w:eastAsia="宋体" w:hAnsi="宋体" w:cs="宋体"/>
          <w:spacing w:val="-13"/>
          <w:sz w:val="22"/>
          <w:szCs w:val="22"/>
        </w:rPr>
        <w:t>预防、诊断与治疗；⑤产品上市前要提供包括文献资料在内的证据</w:t>
      </w:r>
      <w:r>
        <w:rPr>
          <w:rFonts w:ascii="宋体" w:eastAsia="宋体" w:hAnsi="宋体" w:cs="宋体"/>
          <w:spacing w:val="-14"/>
          <w:sz w:val="22"/>
          <w:szCs w:val="22"/>
        </w:rPr>
        <w:t>，须经美国食</w:t>
      </w:r>
      <w:r>
        <w:rPr>
          <w:rFonts w:ascii="宋体" w:eastAsia="宋体" w:hAnsi="宋体" w:cs="宋体"/>
          <w:sz w:val="22"/>
          <w:szCs w:val="22"/>
        </w:rPr>
        <w:t xml:space="preserve">  品与药物管理局</w:t>
      </w:r>
      <w:r>
        <w:rPr>
          <w:rFonts w:ascii="宋体" w:eastAsia="宋体" w:hAnsi="宋体" w:cs="宋体"/>
          <w:spacing w:val="-30"/>
          <w:sz w:val="22"/>
          <w:szCs w:val="22"/>
        </w:rPr>
        <w:t xml:space="preserve"> </w:t>
      </w:r>
      <w:r>
        <w:rPr>
          <w:rFonts w:ascii="宋体" w:eastAsia="宋体" w:hAnsi="宋体" w:cs="宋体"/>
          <w:sz w:val="22"/>
          <w:szCs w:val="22"/>
        </w:rPr>
        <w:t>(FDA)</w:t>
      </w:r>
      <w:r>
        <w:rPr>
          <w:rFonts w:ascii="宋体" w:eastAsia="宋体" w:hAnsi="宋体" w:cs="宋体"/>
          <w:spacing w:val="8"/>
          <w:sz w:val="22"/>
          <w:szCs w:val="22"/>
        </w:rPr>
        <w:t xml:space="preserve">  </w:t>
      </w:r>
      <w:r>
        <w:rPr>
          <w:rFonts w:ascii="宋体" w:eastAsia="宋体" w:hAnsi="宋体" w:cs="宋体"/>
          <w:sz w:val="22"/>
          <w:szCs w:val="22"/>
        </w:rPr>
        <w:t>认可。目前，美国将保健(功能)食品称为“膳</w:t>
      </w:r>
      <w:r>
        <w:rPr>
          <w:rFonts w:ascii="宋体" w:eastAsia="宋体" w:hAnsi="宋体" w:cs="宋体"/>
          <w:spacing w:val="-1"/>
          <w:sz w:val="22"/>
          <w:szCs w:val="22"/>
        </w:rPr>
        <w:t>食补</w:t>
      </w:r>
      <w:r>
        <w:rPr>
          <w:rFonts w:ascii="宋体" w:eastAsia="宋体" w:hAnsi="宋体" w:cs="宋体"/>
          <w:sz w:val="22"/>
          <w:szCs w:val="22"/>
        </w:rPr>
        <w:t xml:space="preserve">  </w:t>
      </w:r>
      <w:r>
        <w:rPr>
          <w:rFonts w:ascii="宋体" w:eastAsia="宋体" w:hAnsi="宋体" w:cs="宋体"/>
          <w:spacing w:val="-15"/>
          <w:sz w:val="22"/>
          <w:szCs w:val="22"/>
        </w:rPr>
        <w:t>充剂”。1997年，又对该法令中标签管理的内容进行了修改和补充。</w:t>
      </w:r>
    </w:p>
    <w:p w:rsidR="00EA40A3" w:rsidRDefault="00E86C16">
      <w:pPr>
        <w:spacing w:before="91" w:line="247" w:lineRule="auto"/>
        <w:ind w:right="103" w:firstLine="449"/>
        <w:jc w:val="both"/>
        <w:rPr>
          <w:rFonts w:ascii="宋体" w:eastAsia="宋体" w:hAnsi="宋体" w:cs="宋体"/>
          <w:sz w:val="22"/>
          <w:szCs w:val="22"/>
        </w:rPr>
      </w:pPr>
      <w:r>
        <w:rPr>
          <w:rFonts w:ascii="宋体" w:eastAsia="宋体" w:hAnsi="宋体" w:cs="宋体"/>
          <w:spacing w:val="3"/>
          <w:sz w:val="22"/>
          <w:szCs w:val="22"/>
        </w:rPr>
        <w:t>在我国保健食品的定义于1996年正式提出。1996年3月</w:t>
      </w:r>
      <w:r>
        <w:rPr>
          <w:rFonts w:ascii="宋体" w:eastAsia="宋体" w:hAnsi="宋体" w:cs="宋体"/>
          <w:spacing w:val="2"/>
          <w:sz w:val="22"/>
          <w:szCs w:val="22"/>
        </w:rPr>
        <w:t>15日，中国卫生</w:t>
      </w:r>
      <w:r>
        <w:rPr>
          <w:rFonts w:ascii="宋体" w:eastAsia="宋体" w:hAnsi="宋体" w:cs="宋体"/>
          <w:sz w:val="22"/>
          <w:szCs w:val="22"/>
        </w:rPr>
        <w:t xml:space="preserve"> </w:t>
      </w:r>
      <w:r>
        <w:rPr>
          <w:rFonts w:ascii="宋体" w:eastAsia="宋体" w:hAnsi="宋体" w:cs="宋体"/>
          <w:spacing w:val="-10"/>
          <w:sz w:val="22"/>
          <w:szCs w:val="22"/>
        </w:rPr>
        <w:t>部发布的《保健食品管理方法》,指出保健食品是具有特定保健功能的食品</w:t>
      </w:r>
      <w:r>
        <w:rPr>
          <w:rFonts w:ascii="宋体" w:eastAsia="宋体" w:hAnsi="宋体" w:cs="宋体"/>
          <w:spacing w:val="-11"/>
          <w:sz w:val="22"/>
          <w:szCs w:val="22"/>
        </w:rPr>
        <w:t>，适</w:t>
      </w:r>
      <w:r>
        <w:rPr>
          <w:rFonts w:ascii="宋体" w:eastAsia="宋体" w:hAnsi="宋体" w:cs="宋体"/>
          <w:sz w:val="22"/>
          <w:szCs w:val="22"/>
        </w:rPr>
        <w:t xml:space="preserve"> </w:t>
      </w:r>
      <w:r>
        <w:rPr>
          <w:rFonts w:ascii="宋体" w:eastAsia="宋体" w:hAnsi="宋体" w:cs="宋体"/>
          <w:spacing w:val="-3"/>
          <w:sz w:val="22"/>
          <w:szCs w:val="22"/>
        </w:rPr>
        <w:t>宜于特定人群食用，具有调节机体功能，不以治疗为目的。2005</w:t>
      </w:r>
      <w:r>
        <w:rPr>
          <w:rFonts w:ascii="宋体" w:eastAsia="宋体" w:hAnsi="宋体" w:cs="宋体"/>
          <w:spacing w:val="-4"/>
          <w:sz w:val="22"/>
          <w:szCs w:val="22"/>
        </w:rPr>
        <w:t>年4月30日国</w:t>
      </w:r>
      <w:r>
        <w:rPr>
          <w:rFonts w:ascii="宋体" w:eastAsia="宋体" w:hAnsi="宋体" w:cs="宋体"/>
          <w:sz w:val="22"/>
          <w:szCs w:val="22"/>
        </w:rPr>
        <w:t xml:space="preserve"> </w:t>
      </w:r>
      <w:r>
        <w:rPr>
          <w:rFonts w:ascii="宋体" w:eastAsia="宋体" w:hAnsi="宋体" w:cs="宋体"/>
          <w:spacing w:val="10"/>
          <w:sz w:val="22"/>
          <w:szCs w:val="22"/>
        </w:rPr>
        <w:t>家食品药品监督管理局(局令第19号)公布了《</w:t>
      </w:r>
      <w:r>
        <w:rPr>
          <w:rFonts w:ascii="宋体" w:eastAsia="宋体" w:hAnsi="宋体" w:cs="宋体"/>
          <w:spacing w:val="9"/>
          <w:sz w:val="22"/>
          <w:szCs w:val="22"/>
        </w:rPr>
        <w:t>保健食品注册管理办法(试</w:t>
      </w:r>
      <w:r>
        <w:rPr>
          <w:rFonts w:ascii="宋体" w:eastAsia="宋体" w:hAnsi="宋体" w:cs="宋体"/>
          <w:sz w:val="22"/>
          <w:szCs w:val="22"/>
        </w:rPr>
        <w:t xml:space="preserve"> </w:t>
      </w:r>
      <w:r>
        <w:rPr>
          <w:rFonts w:ascii="宋体" w:eastAsia="宋体" w:hAnsi="宋体" w:cs="宋体"/>
          <w:spacing w:val="-16"/>
          <w:sz w:val="22"/>
          <w:szCs w:val="22"/>
        </w:rPr>
        <w:t>行)》。明确指出保健食品是指声称具有特定保健功能或者以补充维生素、矿物质</w:t>
      </w:r>
      <w:r>
        <w:rPr>
          <w:rFonts w:ascii="宋体" w:eastAsia="宋体" w:hAnsi="宋体" w:cs="宋体"/>
          <w:spacing w:val="18"/>
          <w:sz w:val="22"/>
          <w:szCs w:val="22"/>
        </w:rPr>
        <w:t xml:space="preserve"> </w:t>
      </w:r>
      <w:r>
        <w:rPr>
          <w:rFonts w:ascii="宋体" w:eastAsia="宋体" w:hAnsi="宋体" w:cs="宋体"/>
          <w:spacing w:val="-13"/>
          <w:sz w:val="22"/>
          <w:szCs w:val="22"/>
        </w:rPr>
        <w:t>为目的的食品，即适宜于特定人群食用，具有调节机体功能，不以治疗疾病为目</w:t>
      </w:r>
      <w:r>
        <w:rPr>
          <w:rFonts w:ascii="宋体" w:eastAsia="宋体" w:hAnsi="宋体" w:cs="宋体"/>
          <w:spacing w:val="3"/>
          <w:sz w:val="22"/>
          <w:szCs w:val="22"/>
        </w:rPr>
        <w:t xml:space="preserve"> </w:t>
      </w:r>
      <w:r>
        <w:rPr>
          <w:rFonts w:ascii="宋体" w:eastAsia="宋体" w:hAnsi="宋体" w:cs="宋体"/>
          <w:spacing w:val="-14"/>
          <w:sz w:val="22"/>
          <w:szCs w:val="22"/>
        </w:rPr>
        <w:t>的，并且对人体不产生任何急性、亚急性或者慢性危害的食品。</w:t>
      </w:r>
    </w:p>
    <w:p w:rsidR="00EA40A3" w:rsidRDefault="00E86C16">
      <w:pPr>
        <w:spacing w:before="88" w:line="244" w:lineRule="auto"/>
        <w:ind w:right="102" w:firstLine="449"/>
        <w:jc w:val="both"/>
        <w:rPr>
          <w:rFonts w:ascii="宋体" w:eastAsia="宋体" w:hAnsi="宋体" w:cs="宋体"/>
          <w:sz w:val="22"/>
          <w:szCs w:val="22"/>
        </w:rPr>
      </w:pPr>
      <w:r>
        <w:rPr>
          <w:rFonts w:ascii="宋体" w:eastAsia="宋体" w:hAnsi="宋体" w:cs="宋体"/>
          <w:spacing w:val="-14"/>
          <w:sz w:val="22"/>
          <w:szCs w:val="22"/>
        </w:rPr>
        <w:t>虽然世界各国对保健食品的定义、称谓或划分范围略有区别，但其基本含义</w:t>
      </w:r>
      <w:r>
        <w:rPr>
          <w:rFonts w:ascii="宋体" w:eastAsia="宋体" w:hAnsi="宋体" w:cs="宋体"/>
          <w:spacing w:val="11"/>
          <w:sz w:val="22"/>
          <w:szCs w:val="22"/>
        </w:rPr>
        <w:t xml:space="preserve"> </w:t>
      </w:r>
      <w:r>
        <w:rPr>
          <w:rFonts w:ascii="宋体" w:eastAsia="宋体" w:hAnsi="宋体" w:cs="宋体"/>
          <w:spacing w:val="-13"/>
          <w:sz w:val="22"/>
          <w:szCs w:val="22"/>
        </w:rPr>
        <w:t>是一致的，即这类食品是医学上或营养学上为满足特殊要求的具有</w:t>
      </w:r>
      <w:r>
        <w:rPr>
          <w:rFonts w:ascii="宋体" w:eastAsia="宋体" w:hAnsi="宋体" w:cs="宋体"/>
          <w:spacing w:val="-14"/>
          <w:sz w:val="22"/>
          <w:szCs w:val="22"/>
        </w:rPr>
        <w:t>特定功能的食</w:t>
      </w:r>
      <w:r>
        <w:rPr>
          <w:rFonts w:ascii="宋体" w:eastAsia="宋体" w:hAnsi="宋体" w:cs="宋体"/>
          <w:sz w:val="22"/>
          <w:szCs w:val="22"/>
        </w:rPr>
        <w:t xml:space="preserve"> </w:t>
      </w:r>
      <w:r>
        <w:rPr>
          <w:rFonts w:ascii="宋体" w:eastAsia="宋体" w:hAnsi="宋体" w:cs="宋体"/>
          <w:spacing w:val="-7"/>
          <w:sz w:val="22"/>
          <w:szCs w:val="22"/>
        </w:rPr>
        <w:t>品，即除了具备一般食品的营养功能和感观功能(色、香、味、形)外，还具有</w:t>
      </w:r>
      <w:r>
        <w:rPr>
          <w:rFonts w:ascii="宋体" w:eastAsia="宋体" w:hAnsi="宋体" w:cs="宋体"/>
          <w:spacing w:val="4"/>
          <w:sz w:val="22"/>
          <w:szCs w:val="22"/>
        </w:rPr>
        <w:t xml:space="preserve"> </w:t>
      </w:r>
      <w:r>
        <w:rPr>
          <w:rFonts w:ascii="宋体" w:eastAsia="宋体" w:hAnsi="宋体" w:cs="宋体"/>
          <w:spacing w:val="-14"/>
          <w:sz w:val="22"/>
          <w:szCs w:val="22"/>
        </w:rPr>
        <w:t>一般食品所没有的或不强调的调节人体生理活动的功能。</w:t>
      </w:r>
    </w:p>
    <w:p w:rsidR="00EA40A3" w:rsidRDefault="00E86C16">
      <w:pPr>
        <w:spacing w:before="56" w:line="235" w:lineRule="auto"/>
        <w:ind w:right="76" w:firstLine="449"/>
        <w:jc w:val="both"/>
        <w:rPr>
          <w:rFonts w:ascii="宋体" w:eastAsia="宋体" w:hAnsi="宋体" w:cs="宋体"/>
          <w:sz w:val="22"/>
          <w:szCs w:val="22"/>
        </w:rPr>
      </w:pPr>
      <w:r>
        <w:rPr>
          <w:rFonts w:ascii="宋体" w:eastAsia="宋体" w:hAnsi="宋体" w:cs="宋体"/>
          <w:spacing w:val="-13"/>
          <w:sz w:val="22"/>
          <w:szCs w:val="22"/>
        </w:rPr>
        <w:t>保健食品与药品的最大区别在于：保健食品的摄取不需要医生的处方，强调</w:t>
      </w:r>
      <w:r>
        <w:rPr>
          <w:rFonts w:ascii="宋体" w:eastAsia="宋体" w:hAnsi="宋体" w:cs="宋体"/>
          <w:spacing w:val="5"/>
          <w:sz w:val="22"/>
          <w:szCs w:val="22"/>
        </w:rPr>
        <w:t xml:space="preserve"> </w:t>
      </w:r>
      <w:r>
        <w:rPr>
          <w:rFonts w:ascii="宋体" w:eastAsia="宋体" w:hAnsi="宋体" w:cs="宋体"/>
          <w:spacing w:val="-13"/>
          <w:sz w:val="22"/>
          <w:szCs w:val="22"/>
        </w:rPr>
        <w:t>防患于未然，对特定的机体功能失调体现出预防作用，但不能将其</w:t>
      </w:r>
      <w:r>
        <w:rPr>
          <w:rFonts w:ascii="宋体" w:eastAsia="宋体" w:hAnsi="宋体" w:cs="宋体"/>
          <w:spacing w:val="-14"/>
          <w:sz w:val="22"/>
          <w:szCs w:val="22"/>
        </w:rPr>
        <w:t>用于治疗。</w:t>
      </w:r>
    </w:p>
    <w:p w:rsidR="00EA40A3" w:rsidRDefault="00E86C16">
      <w:pPr>
        <w:spacing w:before="185" w:line="221" w:lineRule="auto"/>
        <w:ind w:left="3"/>
        <w:outlineLvl w:val="6"/>
        <w:rPr>
          <w:rFonts w:ascii="黑体" w:eastAsia="黑体" w:hAnsi="黑体" w:cs="黑体"/>
          <w:sz w:val="22"/>
          <w:szCs w:val="22"/>
        </w:rPr>
      </w:pPr>
      <w:r>
        <w:rPr>
          <w:rFonts w:ascii="黑体" w:eastAsia="黑体" w:hAnsi="黑体" w:cs="黑体"/>
          <w:b/>
          <w:bCs/>
          <w:spacing w:val="8"/>
          <w:sz w:val="22"/>
          <w:szCs w:val="22"/>
        </w:rPr>
        <w:t>9.1.2</w:t>
      </w:r>
      <w:r>
        <w:rPr>
          <w:rFonts w:ascii="黑体" w:eastAsia="黑体" w:hAnsi="黑体" w:cs="黑体"/>
          <w:spacing w:val="43"/>
          <w:sz w:val="22"/>
          <w:szCs w:val="22"/>
        </w:rPr>
        <w:t xml:space="preserve">  </w:t>
      </w:r>
      <w:r>
        <w:rPr>
          <w:rFonts w:ascii="黑体" w:eastAsia="黑体" w:hAnsi="黑体" w:cs="黑体"/>
          <w:b/>
          <w:bCs/>
          <w:spacing w:val="8"/>
          <w:sz w:val="22"/>
          <w:szCs w:val="22"/>
        </w:rPr>
        <w:t>保健食品的主要特征</w:t>
      </w:r>
    </w:p>
    <w:p w:rsidR="00EA40A3" w:rsidRDefault="00E86C16">
      <w:pPr>
        <w:spacing w:before="213" w:line="247" w:lineRule="auto"/>
        <w:ind w:right="84" w:firstLine="449"/>
        <w:jc w:val="both"/>
        <w:rPr>
          <w:rFonts w:ascii="宋体" w:eastAsia="宋体" w:hAnsi="宋体" w:cs="宋体"/>
          <w:sz w:val="22"/>
          <w:szCs w:val="22"/>
        </w:rPr>
      </w:pPr>
      <w:r>
        <w:rPr>
          <w:rFonts w:ascii="宋体" w:eastAsia="宋体" w:hAnsi="宋体" w:cs="宋体"/>
          <w:spacing w:val="-10"/>
          <w:sz w:val="22"/>
          <w:szCs w:val="22"/>
        </w:rPr>
        <w:t>由保健食品的概念可知，它们大多在具有普通食品的属性</w:t>
      </w:r>
      <w:r>
        <w:rPr>
          <w:rFonts w:ascii="宋体" w:eastAsia="宋体" w:hAnsi="宋体" w:cs="宋体"/>
          <w:spacing w:val="-11"/>
          <w:sz w:val="22"/>
          <w:szCs w:val="22"/>
        </w:rPr>
        <w:t>(营养、感官、安</w:t>
      </w:r>
      <w:r>
        <w:rPr>
          <w:rFonts w:ascii="宋体" w:eastAsia="宋体" w:hAnsi="宋体" w:cs="宋体"/>
          <w:sz w:val="22"/>
          <w:szCs w:val="22"/>
        </w:rPr>
        <w:t xml:space="preserve"> </w:t>
      </w:r>
      <w:r>
        <w:rPr>
          <w:rFonts w:ascii="宋体" w:eastAsia="宋体" w:hAnsi="宋体" w:cs="宋体"/>
          <w:spacing w:val="-4"/>
          <w:sz w:val="22"/>
          <w:szCs w:val="22"/>
        </w:rPr>
        <w:t>全)的同时，还具有调节机体功能的保健作用。同药品相比，保健食品既不宣</w:t>
      </w:r>
      <w:r>
        <w:rPr>
          <w:rFonts w:ascii="宋体" w:eastAsia="宋体" w:hAnsi="宋体" w:cs="宋体"/>
          <w:spacing w:val="6"/>
          <w:sz w:val="22"/>
          <w:szCs w:val="22"/>
        </w:rPr>
        <w:t xml:space="preserve"> </w:t>
      </w:r>
      <w:r>
        <w:rPr>
          <w:rFonts w:ascii="宋体" w:eastAsia="宋体" w:hAnsi="宋体" w:cs="宋体"/>
          <w:spacing w:val="-7"/>
          <w:sz w:val="22"/>
          <w:szCs w:val="22"/>
        </w:rPr>
        <w:t>传、也不追求临床疗效，对人体不产生不良反应。前苏联学者Breckman</w:t>
      </w:r>
      <w:r>
        <w:rPr>
          <w:rFonts w:ascii="宋体" w:eastAsia="宋体" w:hAnsi="宋体" w:cs="宋体"/>
          <w:spacing w:val="-47"/>
          <w:sz w:val="22"/>
          <w:szCs w:val="22"/>
        </w:rPr>
        <w:t xml:space="preserve"> </w:t>
      </w:r>
      <w:r>
        <w:rPr>
          <w:rFonts w:ascii="宋体" w:eastAsia="宋体" w:hAnsi="宋体" w:cs="宋体"/>
          <w:spacing w:val="-7"/>
          <w:sz w:val="22"/>
          <w:szCs w:val="22"/>
        </w:rPr>
        <w:t>教授提</w:t>
      </w:r>
      <w:r>
        <w:rPr>
          <w:rFonts w:ascii="宋体" w:eastAsia="宋体" w:hAnsi="宋体" w:cs="宋体"/>
          <w:sz w:val="22"/>
          <w:szCs w:val="22"/>
        </w:rPr>
        <w:t xml:space="preserve"> </w:t>
      </w:r>
      <w:r>
        <w:rPr>
          <w:rFonts w:ascii="宋体" w:eastAsia="宋体" w:hAnsi="宋体" w:cs="宋体"/>
          <w:spacing w:val="-10"/>
          <w:sz w:val="22"/>
          <w:szCs w:val="22"/>
        </w:rPr>
        <w:t>出，在人类健康与疾病状态之间存在着第三状态(所谓“亚健康状态”),当该状</w:t>
      </w:r>
      <w:r>
        <w:rPr>
          <w:rFonts w:ascii="宋体" w:eastAsia="宋体" w:hAnsi="宋体" w:cs="宋体"/>
          <w:spacing w:val="7"/>
          <w:sz w:val="22"/>
          <w:szCs w:val="22"/>
        </w:rPr>
        <w:t xml:space="preserve"> </w:t>
      </w:r>
      <w:r>
        <w:rPr>
          <w:rFonts w:ascii="宋体" w:eastAsia="宋体" w:hAnsi="宋体" w:cs="宋体"/>
          <w:spacing w:val="-13"/>
          <w:sz w:val="22"/>
          <w:szCs w:val="22"/>
        </w:rPr>
        <w:t>态积累到一定程度时便会转为病态。保健食品作用于人体的第三状态</w:t>
      </w:r>
      <w:r>
        <w:rPr>
          <w:rFonts w:ascii="宋体" w:eastAsia="宋体" w:hAnsi="宋体" w:cs="宋体"/>
          <w:spacing w:val="-14"/>
          <w:sz w:val="22"/>
          <w:szCs w:val="22"/>
        </w:rPr>
        <w:t>时，将促使</w:t>
      </w:r>
      <w:r>
        <w:rPr>
          <w:rFonts w:ascii="宋体" w:eastAsia="宋体" w:hAnsi="宋体" w:cs="宋体"/>
          <w:sz w:val="22"/>
          <w:szCs w:val="22"/>
        </w:rPr>
        <w:t xml:space="preserve"> </w:t>
      </w:r>
      <w:r>
        <w:rPr>
          <w:rFonts w:ascii="宋体" w:eastAsia="宋体" w:hAnsi="宋体" w:cs="宋体"/>
          <w:spacing w:val="-13"/>
          <w:sz w:val="22"/>
          <w:szCs w:val="22"/>
        </w:rPr>
        <w:t>机体向健康状态转化，这正是“保健”的含义，它决定了保健食品与通常所说的</w:t>
      </w:r>
      <w:r>
        <w:rPr>
          <w:rFonts w:ascii="宋体" w:eastAsia="宋体" w:hAnsi="宋体" w:cs="宋体"/>
          <w:sz w:val="22"/>
          <w:szCs w:val="22"/>
        </w:rPr>
        <w:t xml:space="preserve"> </w:t>
      </w:r>
      <w:r>
        <w:rPr>
          <w:rFonts w:ascii="宋体" w:eastAsia="宋体" w:hAnsi="宋体" w:cs="宋体"/>
          <w:spacing w:val="-15"/>
          <w:sz w:val="22"/>
          <w:szCs w:val="22"/>
        </w:rPr>
        <w:t>营养食品之间是具有明显差别的。其主要特征在于：</w:t>
      </w:r>
    </w:p>
    <w:p w:rsidR="00EA40A3" w:rsidRDefault="00EA40A3">
      <w:pPr>
        <w:spacing w:line="334" w:lineRule="auto"/>
      </w:pPr>
    </w:p>
    <w:p w:rsidR="00EA40A3" w:rsidRDefault="00E86C16">
      <w:pPr>
        <w:spacing w:before="58"/>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278</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pgSz w:w="9220" w:h="13360"/>
          <w:pgMar w:top="400" w:right="1056" w:bottom="400" w:left="800" w:header="0" w:footer="0" w:gutter="0"/>
          <w:cols w:space="720"/>
        </w:sectPr>
      </w:pPr>
    </w:p>
    <w:p w:rsidR="00EA40A3" w:rsidRDefault="00EA40A3">
      <w:pPr>
        <w:spacing w:line="339" w:lineRule="auto"/>
      </w:pPr>
    </w:p>
    <w:p w:rsidR="00EA40A3" w:rsidRDefault="00EA40A3">
      <w:pPr>
        <w:spacing w:line="340" w:lineRule="auto"/>
      </w:pPr>
    </w:p>
    <w:p w:rsidR="00EA40A3" w:rsidRDefault="00E86C16">
      <w:pPr>
        <w:spacing w:before="71" w:line="220"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30"/>
          <w:sz w:val="22"/>
          <w:szCs w:val="22"/>
        </w:rPr>
        <w:t xml:space="preserve"> </w:t>
      </w:r>
      <w:r>
        <w:rPr>
          <w:rFonts w:ascii="仿宋" w:eastAsia="仿宋" w:hAnsi="仿宋" w:cs="仿宋"/>
          <w:spacing w:val="8"/>
          <w:sz w:val="22"/>
          <w:szCs w:val="22"/>
        </w:rPr>
        <w:t>功能的特殊性</w:t>
      </w:r>
    </w:p>
    <w:p w:rsidR="00EA40A3" w:rsidRDefault="00E86C16">
      <w:pPr>
        <w:spacing w:before="176" w:line="248" w:lineRule="auto"/>
        <w:ind w:right="6" w:firstLine="439"/>
        <w:jc w:val="both"/>
        <w:rPr>
          <w:rFonts w:ascii="宋体" w:eastAsia="宋体" w:hAnsi="宋体" w:cs="宋体"/>
          <w:sz w:val="22"/>
          <w:szCs w:val="22"/>
        </w:rPr>
      </w:pPr>
      <w:r>
        <w:rPr>
          <w:rFonts w:ascii="宋体" w:eastAsia="宋体" w:hAnsi="宋体" w:cs="宋体"/>
          <w:spacing w:val="-16"/>
          <w:sz w:val="22"/>
          <w:szCs w:val="22"/>
        </w:rPr>
        <w:t>传统的食品科学认为，食品具有两大基本功能</w:t>
      </w:r>
      <w:r>
        <w:rPr>
          <w:rFonts w:ascii="宋体" w:eastAsia="宋体" w:hAnsi="宋体" w:cs="宋体"/>
          <w:spacing w:val="-17"/>
          <w:sz w:val="22"/>
          <w:szCs w:val="22"/>
        </w:rPr>
        <w:t>：</w:t>
      </w:r>
      <w:r>
        <w:rPr>
          <w:rFonts w:ascii="宋体" w:eastAsia="宋体" w:hAnsi="宋体" w:cs="宋体"/>
          <w:spacing w:val="53"/>
          <w:sz w:val="22"/>
          <w:szCs w:val="22"/>
        </w:rPr>
        <w:t xml:space="preserve"> </w:t>
      </w:r>
      <w:r>
        <w:rPr>
          <w:rFonts w:ascii="宋体" w:eastAsia="宋体" w:hAnsi="宋体" w:cs="宋体"/>
          <w:spacing w:val="-17"/>
          <w:sz w:val="22"/>
          <w:szCs w:val="22"/>
        </w:rPr>
        <w:t>一是营养功能；二是感官功</w:t>
      </w:r>
      <w:r>
        <w:rPr>
          <w:rFonts w:ascii="宋体" w:eastAsia="宋体" w:hAnsi="宋体" w:cs="宋体"/>
          <w:sz w:val="22"/>
          <w:szCs w:val="22"/>
        </w:rPr>
        <w:t xml:space="preserve"> </w:t>
      </w:r>
      <w:r>
        <w:rPr>
          <w:rFonts w:ascii="宋体" w:eastAsia="宋体" w:hAnsi="宋体" w:cs="宋体"/>
          <w:spacing w:val="-9"/>
          <w:sz w:val="22"/>
          <w:szCs w:val="22"/>
        </w:rPr>
        <w:t>能(有人简称“饱腹功能”),即通过感官接受食品色、香、味、形和质构的刺激</w:t>
      </w:r>
      <w:r>
        <w:rPr>
          <w:rFonts w:ascii="宋体" w:eastAsia="宋体" w:hAnsi="宋体" w:cs="宋体"/>
          <w:spacing w:val="1"/>
          <w:sz w:val="22"/>
          <w:szCs w:val="22"/>
        </w:rPr>
        <w:t xml:space="preserve"> </w:t>
      </w:r>
      <w:r>
        <w:rPr>
          <w:rFonts w:ascii="宋体" w:eastAsia="宋体" w:hAnsi="宋体" w:cs="宋体"/>
          <w:spacing w:val="-13"/>
          <w:sz w:val="22"/>
          <w:szCs w:val="22"/>
        </w:rPr>
        <w:t>而获得享受，从而满足食欲或心理学需求。然而，随着生活水平的提高，社会文</w:t>
      </w:r>
      <w:r>
        <w:rPr>
          <w:rFonts w:ascii="宋体" w:eastAsia="宋体" w:hAnsi="宋体" w:cs="宋体"/>
          <w:spacing w:val="5"/>
          <w:sz w:val="22"/>
          <w:szCs w:val="22"/>
        </w:rPr>
        <w:t xml:space="preserve"> </w:t>
      </w:r>
      <w:r>
        <w:rPr>
          <w:rFonts w:ascii="宋体" w:eastAsia="宋体" w:hAnsi="宋体" w:cs="宋体"/>
          <w:spacing w:val="-12"/>
          <w:sz w:val="22"/>
          <w:szCs w:val="22"/>
        </w:rPr>
        <w:t>明的发展，由于环境污染，工作节奏加快，生活习惯改变而</w:t>
      </w:r>
      <w:r>
        <w:rPr>
          <w:rFonts w:ascii="宋体" w:eastAsia="宋体" w:hAnsi="宋体" w:cs="宋体"/>
          <w:spacing w:val="-13"/>
          <w:sz w:val="22"/>
          <w:szCs w:val="22"/>
        </w:rPr>
        <w:t>导致的各种“现代文</w:t>
      </w:r>
      <w:r>
        <w:rPr>
          <w:rFonts w:ascii="宋体" w:eastAsia="宋体" w:hAnsi="宋体" w:cs="宋体"/>
          <w:sz w:val="22"/>
          <w:szCs w:val="22"/>
        </w:rPr>
        <w:t xml:space="preserve"> </w:t>
      </w:r>
      <w:r>
        <w:rPr>
          <w:rFonts w:ascii="宋体" w:eastAsia="宋体" w:hAnsi="宋体" w:cs="宋体"/>
          <w:spacing w:val="-13"/>
          <w:sz w:val="22"/>
          <w:szCs w:val="22"/>
        </w:rPr>
        <w:t>明病”越来越多，越来越严重，人们对食品的要求除需满足上述两种功能外，还</w:t>
      </w:r>
      <w:r>
        <w:rPr>
          <w:rFonts w:ascii="宋体" w:eastAsia="宋体" w:hAnsi="宋体" w:cs="宋体"/>
          <w:spacing w:val="2"/>
          <w:sz w:val="22"/>
          <w:szCs w:val="22"/>
        </w:rPr>
        <w:t xml:space="preserve"> </w:t>
      </w:r>
      <w:r>
        <w:rPr>
          <w:rFonts w:ascii="宋体" w:eastAsia="宋体" w:hAnsi="宋体" w:cs="宋体"/>
          <w:spacing w:val="-13"/>
          <w:sz w:val="22"/>
          <w:szCs w:val="22"/>
        </w:rPr>
        <w:t>希望它能够对自身机体的有关功能进行调节，从而使身体处于健康状态，即食品</w:t>
      </w:r>
      <w:r>
        <w:rPr>
          <w:rFonts w:ascii="宋体" w:eastAsia="宋体" w:hAnsi="宋体" w:cs="宋体"/>
          <w:spacing w:val="15"/>
          <w:sz w:val="22"/>
          <w:szCs w:val="22"/>
        </w:rPr>
        <w:t xml:space="preserve"> </w:t>
      </w:r>
      <w:r>
        <w:rPr>
          <w:rFonts w:ascii="宋体" w:eastAsia="宋体" w:hAnsi="宋体" w:cs="宋体"/>
          <w:spacing w:val="-20"/>
          <w:sz w:val="22"/>
          <w:szCs w:val="22"/>
        </w:rPr>
        <w:t>所谓的“第三功能”。</w:t>
      </w:r>
      <w:r>
        <w:rPr>
          <w:rFonts w:ascii="宋体" w:eastAsia="宋体" w:hAnsi="宋体" w:cs="宋体"/>
          <w:spacing w:val="50"/>
          <w:sz w:val="22"/>
          <w:szCs w:val="22"/>
        </w:rPr>
        <w:t xml:space="preserve"> </w:t>
      </w:r>
      <w:r>
        <w:rPr>
          <w:rFonts w:ascii="宋体" w:eastAsia="宋体" w:hAnsi="宋体" w:cs="宋体"/>
          <w:spacing w:val="-20"/>
          <w:sz w:val="22"/>
          <w:szCs w:val="22"/>
        </w:rPr>
        <w:t>一种普通的营养食品尽管可能“营养丰富”,营养素种类繁</w:t>
      </w:r>
      <w:r>
        <w:rPr>
          <w:rFonts w:ascii="宋体" w:eastAsia="宋体" w:hAnsi="宋体" w:cs="宋体"/>
          <w:sz w:val="22"/>
          <w:szCs w:val="22"/>
        </w:rPr>
        <w:t xml:space="preserve"> </w:t>
      </w:r>
      <w:r>
        <w:rPr>
          <w:rFonts w:ascii="宋体" w:eastAsia="宋体" w:hAnsi="宋体" w:cs="宋体"/>
          <w:spacing w:val="-13"/>
          <w:sz w:val="22"/>
          <w:szCs w:val="22"/>
        </w:rPr>
        <w:t>多，为人体维持健康所必需，然而它不能使人体从已存在的亚健康状态转向健康</w:t>
      </w:r>
      <w:r>
        <w:rPr>
          <w:rFonts w:ascii="宋体" w:eastAsia="宋体" w:hAnsi="宋体" w:cs="宋体"/>
          <w:spacing w:val="3"/>
          <w:sz w:val="22"/>
          <w:szCs w:val="22"/>
        </w:rPr>
        <w:t xml:space="preserve"> </w:t>
      </w:r>
      <w:r>
        <w:rPr>
          <w:rFonts w:ascii="宋体" w:eastAsia="宋体" w:hAnsi="宋体" w:cs="宋体"/>
          <w:spacing w:val="-13"/>
          <w:sz w:val="22"/>
          <w:szCs w:val="22"/>
        </w:rPr>
        <w:t>状态，而功能性食品或保健食品则具备这种功能。因此，保健食品的首要特征就</w:t>
      </w:r>
      <w:r>
        <w:rPr>
          <w:rFonts w:ascii="宋体" w:eastAsia="宋体" w:hAnsi="宋体" w:cs="宋体"/>
          <w:spacing w:val="3"/>
          <w:sz w:val="22"/>
          <w:szCs w:val="22"/>
        </w:rPr>
        <w:t xml:space="preserve"> </w:t>
      </w:r>
      <w:r>
        <w:rPr>
          <w:rFonts w:ascii="宋体" w:eastAsia="宋体" w:hAnsi="宋体" w:cs="宋体"/>
          <w:spacing w:val="-17"/>
          <w:sz w:val="22"/>
          <w:szCs w:val="22"/>
        </w:rPr>
        <w:t>是具有特殊的机体调节功能。</w:t>
      </w:r>
    </w:p>
    <w:p w:rsidR="00EA40A3" w:rsidRDefault="00E86C16">
      <w:pPr>
        <w:spacing w:before="284" w:line="223" w:lineRule="auto"/>
        <w:rPr>
          <w:rFonts w:ascii="楷体" w:eastAsia="楷体" w:hAnsi="楷体" w:cs="楷体"/>
          <w:sz w:val="22"/>
          <w:szCs w:val="22"/>
        </w:rPr>
      </w:pPr>
      <w:r>
        <w:rPr>
          <w:rFonts w:ascii="楷体" w:eastAsia="楷体" w:hAnsi="楷体" w:cs="楷体"/>
          <w:spacing w:val="12"/>
          <w:sz w:val="22"/>
          <w:szCs w:val="22"/>
        </w:rPr>
        <w:t>2.</w:t>
      </w:r>
      <w:r>
        <w:rPr>
          <w:rFonts w:ascii="楷体" w:eastAsia="楷体" w:hAnsi="楷体" w:cs="楷体"/>
          <w:spacing w:val="-30"/>
          <w:sz w:val="22"/>
          <w:szCs w:val="22"/>
        </w:rPr>
        <w:t xml:space="preserve"> </w:t>
      </w:r>
      <w:r>
        <w:rPr>
          <w:rFonts w:ascii="楷体" w:eastAsia="楷体" w:hAnsi="楷体" w:cs="楷体"/>
          <w:spacing w:val="12"/>
          <w:sz w:val="22"/>
          <w:szCs w:val="22"/>
        </w:rPr>
        <w:t>成分及作用模式的特殊性</w:t>
      </w:r>
    </w:p>
    <w:p w:rsidR="00EA40A3" w:rsidRDefault="00E86C16">
      <w:pPr>
        <w:spacing w:before="99" w:line="227" w:lineRule="auto"/>
        <w:rPr>
          <w:rFonts w:ascii="楷体" w:eastAsia="楷体" w:hAnsi="楷体" w:cs="楷体"/>
          <w:sz w:val="22"/>
          <w:szCs w:val="22"/>
        </w:rPr>
      </w:pPr>
      <w:r>
        <w:rPr>
          <w:rFonts w:ascii="楷体" w:eastAsia="楷体" w:hAnsi="楷体" w:cs="楷体"/>
          <w:spacing w:val="-8"/>
          <w:sz w:val="22"/>
          <w:szCs w:val="22"/>
        </w:rPr>
        <w:t>1)功能性成分是保健食品的物质基础</w:t>
      </w:r>
    </w:p>
    <w:p w:rsidR="00EA40A3" w:rsidRDefault="00E86C16">
      <w:pPr>
        <w:spacing w:before="44" w:line="249" w:lineRule="auto"/>
        <w:ind w:firstLine="439"/>
        <w:jc w:val="both"/>
        <w:rPr>
          <w:rFonts w:ascii="宋体" w:eastAsia="宋体" w:hAnsi="宋体" w:cs="宋体"/>
          <w:sz w:val="22"/>
          <w:szCs w:val="22"/>
        </w:rPr>
      </w:pPr>
      <w:r>
        <w:rPr>
          <w:rFonts w:ascii="宋体" w:eastAsia="宋体" w:hAnsi="宋体" w:cs="宋体"/>
          <w:spacing w:val="-10"/>
          <w:sz w:val="22"/>
          <w:szCs w:val="22"/>
        </w:rPr>
        <w:t>保健食品的功能均是有物质基础的，即含有功能活性成分(个别保健康食品</w:t>
      </w:r>
      <w:r>
        <w:rPr>
          <w:rFonts w:ascii="宋体" w:eastAsia="宋体" w:hAnsi="宋体" w:cs="宋体"/>
          <w:sz w:val="22"/>
          <w:szCs w:val="22"/>
        </w:rPr>
        <w:t xml:space="preserve"> </w:t>
      </w:r>
      <w:r>
        <w:rPr>
          <w:rFonts w:ascii="宋体" w:eastAsia="宋体" w:hAnsi="宋体" w:cs="宋体"/>
          <w:spacing w:val="-9"/>
          <w:sz w:val="22"/>
          <w:szCs w:val="22"/>
        </w:rPr>
        <w:t>含有益生菌)。1994年，</w:t>
      </w:r>
      <w:r>
        <w:rPr>
          <w:rFonts w:ascii="宋体" w:eastAsia="宋体" w:hAnsi="宋体" w:cs="宋体"/>
          <w:spacing w:val="19"/>
          <w:sz w:val="22"/>
          <w:szCs w:val="22"/>
        </w:rPr>
        <w:t xml:space="preserve"> </w:t>
      </w:r>
      <w:r>
        <w:rPr>
          <w:rFonts w:ascii="宋体" w:eastAsia="宋体" w:hAnsi="宋体" w:cs="宋体"/>
          <w:spacing w:val="-9"/>
          <w:sz w:val="22"/>
          <w:szCs w:val="22"/>
        </w:rPr>
        <w:t>Stark最初在《功能性食品》中</w:t>
      </w:r>
      <w:r>
        <w:rPr>
          <w:rFonts w:ascii="宋体" w:eastAsia="宋体" w:hAnsi="宋体" w:cs="宋体"/>
          <w:spacing w:val="-10"/>
          <w:sz w:val="22"/>
          <w:szCs w:val="22"/>
        </w:rPr>
        <w:t>提出的食品功能性成分</w:t>
      </w:r>
      <w:r>
        <w:rPr>
          <w:rFonts w:ascii="宋体" w:eastAsia="宋体" w:hAnsi="宋体" w:cs="宋体"/>
          <w:sz w:val="22"/>
          <w:szCs w:val="22"/>
        </w:rPr>
        <w:t xml:space="preserve"> </w:t>
      </w:r>
      <w:r>
        <w:rPr>
          <w:rFonts w:ascii="宋体" w:eastAsia="宋体" w:hAnsi="宋体" w:cs="宋体"/>
          <w:spacing w:val="-14"/>
          <w:sz w:val="22"/>
          <w:szCs w:val="22"/>
        </w:rPr>
        <w:t>或因子主要包括膳食纤维、低聚糖、糖醇、多肽及蛋白质、益生</w:t>
      </w:r>
      <w:r>
        <w:rPr>
          <w:rFonts w:ascii="宋体" w:eastAsia="宋体" w:hAnsi="宋体" w:cs="宋体"/>
          <w:spacing w:val="-15"/>
          <w:sz w:val="22"/>
          <w:szCs w:val="22"/>
        </w:rPr>
        <w:t>菌</w:t>
      </w:r>
      <w:r>
        <w:rPr>
          <w:rFonts w:ascii="宋体" w:eastAsia="宋体" w:hAnsi="宋体" w:cs="宋体"/>
          <w:spacing w:val="-13"/>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probiotic</w:t>
      </w:r>
      <w:r>
        <w:rPr>
          <w:rFonts w:ascii="宋体" w:eastAsia="宋体" w:hAnsi="宋体" w:cs="宋体"/>
          <w:spacing w:val="-15"/>
          <w:sz w:val="22"/>
          <w:szCs w:val="22"/>
        </w:rPr>
        <w:t>)、</w:t>
      </w:r>
      <w:r>
        <w:rPr>
          <w:rFonts w:ascii="宋体" w:eastAsia="宋体" w:hAnsi="宋体" w:cs="宋体"/>
          <w:sz w:val="22"/>
          <w:szCs w:val="22"/>
        </w:rPr>
        <w:t xml:space="preserve"> </w:t>
      </w:r>
      <w:r>
        <w:rPr>
          <w:rFonts w:ascii="宋体" w:eastAsia="宋体" w:hAnsi="宋体" w:cs="宋体"/>
          <w:spacing w:val="-13"/>
          <w:sz w:val="22"/>
          <w:szCs w:val="22"/>
        </w:rPr>
        <w:t>植物化学物质及抗氧化剂、多不饱和脂肪酸等，均为非常规的营养素，力图区分</w:t>
      </w:r>
      <w:r>
        <w:rPr>
          <w:rFonts w:ascii="宋体" w:eastAsia="宋体" w:hAnsi="宋体" w:cs="宋体"/>
          <w:spacing w:val="2"/>
          <w:sz w:val="22"/>
          <w:szCs w:val="22"/>
        </w:rPr>
        <w:t xml:space="preserve"> </w:t>
      </w:r>
      <w:r>
        <w:rPr>
          <w:rFonts w:ascii="宋体" w:eastAsia="宋体" w:hAnsi="宋体" w:cs="宋体"/>
          <w:spacing w:val="-8"/>
          <w:sz w:val="22"/>
          <w:szCs w:val="22"/>
        </w:rPr>
        <w:t>功能性食品成分与常规营养素。1997年，</w:t>
      </w:r>
      <w:r>
        <w:rPr>
          <w:rFonts w:ascii="宋体" w:eastAsia="宋体" w:hAnsi="宋体" w:cs="宋体"/>
          <w:spacing w:val="-10"/>
          <w:sz w:val="22"/>
          <w:szCs w:val="22"/>
        </w:rPr>
        <w:t xml:space="preserve"> </w:t>
      </w:r>
      <w:r>
        <w:rPr>
          <w:rFonts w:ascii="宋体" w:eastAsia="宋体" w:hAnsi="宋体" w:cs="宋体"/>
          <w:spacing w:val="-8"/>
          <w:sz w:val="22"/>
          <w:szCs w:val="22"/>
        </w:rPr>
        <w:t>Roberfroid把功能性食品组</w:t>
      </w:r>
      <w:r>
        <w:rPr>
          <w:rFonts w:ascii="宋体" w:eastAsia="宋体" w:hAnsi="宋体" w:cs="宋体"/>
          <w:spacing w:val="-9"/>
          <w:sz w:val="22"/>
          <w:szCs w:val="22"/>
        </w:rPr>
        <w:t>分归为三</w:t>
      </w:r>
      <w:r>
        <w:rPr>
          <w:rFonts w:ascii="宋体" w:eastAsia="宋体" w:hAnsi="宋体" w:cs="宋体"/>
          <w:sz w:val="22"/>
          <w:szCs w:val="22"/>
        </w:rPr>
        <w:t xml:space="preserve"> </w:t>
      </w:r>
      <w:r>
        <w:rPr>
          <w:rFonts w:ascii="宋体" w:eastAsia="宋体" w:hAnsi="宋体" w:cs="宋体"/>
          <w:spacing w:val="-14"/>
          <w:sz w:val="22"/>
          <w:szCs w:val="22"/>
        </w:rPr>
        <w:t>大类：</w:t>
      </w:r>
      <w:r>
        <w:rPr>
          <w:rFonts w:ascii="宋体" w:eastAsia="宋体" w:hAnsi="宋体" w:cs="宋体"/>
          <w:spacing w:val="-8"/>
          <w:sz w:val="22"/>
          <w:szCs w:val="22"/>
        </w:rPr>
        <w:t xml:space="preserve"> </w:t>
      </w:r>
      <w:r>
        <w:rPr>
          <w:rFonts w:ascii="宋体" w:eastAsia="宋体" w:hAnsi="宋体" w:cs="宋体"/>
          <w:spacing w:val="-14"/>
          <w:sz w:val="22"/>
          <w:szCs w:val="22"/>
        </w:rPr>
        <w:t>一是抗性淀粉、</w:t>
      </w:r>
      <w:r>
        <w:rPr>
          <w:rFonts w:ascii="宋体" w:eastAsia="宋体" w:hAnsi="宋体" w:cs="宋体"/>
          <w:spacing w:val="-20"/>
          <w:sz w:val="22"/>
          <w:szCs w:val="22"/>
        </w:rPr>
        <w:t xml:space="preserve"> </w:t>
      </w:r>
      <w:r>
        <w:rPr>
          <w:rFonts w:ascii="宋体" w:eastAsia="宋体" w:hAnsi="宋体" w:cs="宋体"/>
          <w:spacing w:val="-14"/>
          <w:sz w:val="22"/>
          <w:szCs w:val="22"/>
        </w:rPr>
        <w:t>w-3脂肪酸等特定生理功效的必需常</w:t>
      </w:r>
      <w:r>
        <w:rPr>
          <w:rFonts w:ascii="宋体" w:eastAsia="宋体" w:hAnsi="宋体" w:cs="宋体"/>
          <w:spacing w:val="-15"/>
          <w:sz w:val="22"/>
          <w:szCs w:val="22"/>
        </w:rPr>
        <w:t>量营养素；二是那些</w:t>
      </w:r>
      <w:r>
        <w:rPr>
          <w:rFonts w:ascii="宋体" w:eastAsia="宋体" w:hAnsi="宋体" w:cs="宋体"/>
          <w:sz w:val="22"/>
          <w:szCs w:val="22"/>
        </w:rPr>
        <w:t xml:space="preserve"> </w:t>
      </w:r>
      <w:r>
        <w:rPr>
          <w:rFonts w:ascii="宋体" w:eastAsia="宋体" w:hAnsi="宋体" w:cs="宋体"/>
          <w:spacing w:val="-10"/>
          <w:sz w:val="22"/>
          <w:szCs w:val="22"/>
        </w:rPr>
        <w:t>在高于每日推荐摄入量</w:t>
      </w:r>
      <w:r>
        <w:rPr>
          <w:rFonts w:ascii="宋体" w:eastAsia="宋体" w:hAnsi="宋体" w:cs="宋体"/>
          <w:spacing w:val="-19"/>
          <w:sz w:val="22"/>
          <w:szCs w:val="22"/>
        </w:rPr>
        <w:t xml:space="preserve"> </w:t>
      </w:r>
      <w:r>
        <w:rPr>
          <w:rFonts w:ascii="宋体" w:eastAsia="宋体" w:hAnsi="宋体" w:cs="宋体"/>
          <w:spacing w:val="-10"/>
          <w:sz w:val="22"/>
          <w:szCs w:val="22"/>
        </w:rPr>
        <w:t>(RDI)</w:t>
      </w:r>
      <w:r>
        <w:rPr>
          <w:rFonts w:ascii="宋体" w:eastAsia="宋体" w:hAnsi="宋体" w:cs="宋体"/>
          <w:spacing w:val="47"/>
          <w:sz w:val="22"/>
          <w:szCs w:val="22"/>
        </w:rPr>
        <w:t xml:space="preserve"> </w:t>
      </w:r>
      <w:r>
        <w:rPr>
          <w:rFonts w:ascii="宋体" w:eastAsia="宋体" w:hAnsi="宋体" w:cs="宋体"/>
          <w:spacing w:val="-10"/>
          <w:sz w:val="22"/>
          <w:szCs w:val="22"/>
        </w:rPr>
        <w:t>之上可能提供某种生理效果</w:t>
      </w:r>
      <w:r>
        <w:rPr>
          <w:rFonts w:ascii="宋体" w:eastAsia="宋体" w:hAnsi="宋体" w:cs="宋体"/>
          <w:spacing w:val="-11"/>
          <w:sz w:val="22"/>
          <w:szCs w:val="22"/>
        </w:rPr>
        <w:t>的微量营养素，可能</w:t>
      </w:r>
      <w:r>
        <w:rPr>
          <w:rFonts w:ascii="宋体" w:eastAsia="宋体" w:hAnsi="宋体" w:cs="宋体"/>
          <w:sz w:val="22"/>
          <w:szCs w:val="22"/>
        </w:rPr>
        <w:t xml:space="preserve"> </w:t>
      </w:r>
      <w:r>
        <w:rPr>
          <w:rFonts w:ascii="宋体" w:eastAsia="宋体" w:hAnsi="宋体" w:cs="宋体"/>
          <w:spacing w:val="-13"/>
          <w:sz w:val="22"/>
          <w:szCs w:val="22"/>
        </w:rPr>
        <w:t>是某种矿物质或维生素；三是低聚糖、植物甾醇等具有某种特定生理效果的非必</w:t>
      </w:r>
      <w:r>
        <w:rPr>
          <w:rFonts w:ascii="宋体" w:eastAsia="宋体" w:hAnsi="宋体" w:cs="宋体"/>
          <w:spacing w:val="11"/>
          <w:sz w:val="22"/>
          <w:szCs w:val="22"/>
        </w:rPr>
        <w:t xml:space="preserve"> </w:t>
      </w:r>
      <w:r>
        <w:rPr>
          <w:rFonts w:ascii="宋体" w:eastAsia="宋体" w:hAnsi="宋体" w:cs="宋体"/>
          <w:spacing w:val="-13"/>
          <w:sz w:val="22"/>
          <w:szCs w:val="22"/>
        </w:rPr>
        <w:t>需营养素成分。这种分类方法最大的特征在于其囊括了矿物质、维生素等基本营</w:t>
      </w:r>
      <w:r>
        <w:rPr>
          <w:rFonts w:ascii="宋体" w:eastAsia="宋体" w:hAnsi="宋体" w:cs="宋体"/>
          <w:spacing w:val="7"/>
          <w:sz w:val="22"/>
          <w:szCs w:val="22"/>
        </w:rPr>
        <w:t xml:space="preserve"> </w:t>
      </w:r>
      <w:r>
        <w:rPr>
          <w:rFonts w:ascii="宋体" w:eastAsia="宋体" w:hAnsi="宋体" w:cs="宋体"/>
          <w:spacing w:val="-14"/>
          <w:sz w:val="22"/>
          <w:szCs w:val="22"/>
        </w:rPr>
        <w:t>养素，大大拓宽了保健食品的范畴。</w:t>
      </w:r>
    </w:p>
    <w:p w:rsidR="00EA40A3" w:rsidRDefault="00E86C16">
      <w:pPr>
        <w:spacing w:before="127"/>
        <w:ind w:right="77" w:firstLine="439"/>
        <w:rPr>
          <w:rFonts w:ascii="宋体" w:eastAsia="宋体" w:hAnsi="宋体" w:cs="宋体"/>
          <w:sz w:val="22"/>
          <w:szCs w:val="22"/>
        </w:rPr>
      </w:pPr>
      <w:r>
        <w:rPr>
          <w:rFonts w:ascii="宋体" w:eastAsia="宋体" w:hAnsi="宋体" w:cs="宋体"/>
          <w:spacing w:val="-14"/>
          <w:sz w:val="22"/>
          <w:szCs w:val="22"/>
        </w:rPr>
        <w:t>由上可知，保健食品的功能性成分多种多样，既包括了非常规营养成分，也</w:t>
      </w:r>
      <w:r>
        <w:rPr>
          <w:rFonts w:ascii="宋体" w:eastAsia="宋体" w:hAnsi="宋体" w:cs="宋体"/>
          <w:spacing w:val="13"/>
          <w:sz w:val="22"/>
          <w:szCs w:val="22"/>
        </w:rPr>
        <w:t xml:space="preserve"> </w:t>
      </w:r>
      <w:r>
        <w:rPr>
          <w:rFonts w:ascii="宋体" w:eastAsia="宋体" w:hAnsi="宋体" w:cs="宋体"/>
          <w:spacing w:val="-14"/>
          <w:sz w:val="22"/>
          <w:szCs w:val="22"/>
        </w:rPr>
        <w:t>包括一些常规的营养素，尤其是矿物质，维生素。</w:t>
      </w:r>
    </w:p>
    <w:p w:rsidR="00EA40A3" w:rsidRDefault="00E86C16">
      <w:pPr>
        <w:spacing w:before="44" w:line="223" w:lineRule="auto"/>
        <w:rPr>
          <w:rFonts w:ascii="楷体" w:eastAsia="楷体" w:hAnsi="楷体" w:cs="楷体"/>
          <w:sz w:val="22"/>
          <w:szCs w:val="22"/>
        </w:rPr>
      </w:pPr>
      <w:r>
        <w:rPr>
          <w:rFonts w:ascii="楷体" w:eastAsia="楷体" w:hAnsi="楷体" w:cs="楷体"/>
          <w:spacing w:val="-7"/>
          <w:sz w:val="22"/>
          <w:szCs w:val="22"/>
        </w:rPr>
        <w:t>2)保健食品中功能性成分的作用模式具有特</w:t>
      </w:r>
      <w:r>
        <w:rPr>
          <w:rFonts w:ascii="楷体" w:eastAsia="楷体" w:hAnsi="楷体" w:cs="楷体"/>
          <w:spacing w:val="-8"/>
          <w:sz w:val="22"/>
          <w:szCs w:val="22"/>
        </w:rPr>
        <w:t>殊性</w:t>
      </w:r>
    </w:p>
    <w:p w:rsidR="00EA40A3" w:rsidRDefault="00E86C16">
      <w:pPr>
        <w:spacing w:before="45" w:line="248" w:lineRule="auto"/>
        <w:ind w:right="55" w:firstLine="439"/>
        <w:rPr>
          <w:rFonts w:ascii="宋体" w:eastAsia="宋体" w:hAnsi="宋体" w:cs="宋体"/>
          <w:sz w:val="22"/>
          <w:szCs w:val="22"/>
        </w:rPr>
      </w:pPr>
      <w:r>
        <w:rPr>
          <w:rFonts w:ascii="宋体" w:eastAsia="宋体" w:hAnsi="宋体" w:cs="宋体"/>
          <w:spacing w:val="-13"/>
          <w:sz w:val="22"/>
          <w:szCs w:val="22"/>
        </w:rPr>
        <w:t>尽管很多天然食品内存在具有机体调节功能或保健作用的成分，例如</w:t>
      </w:r>
      <w:r>
        <w:rPr>
          <w:rFonts w:ascii="宋体" w:eastAsia="宋体" w:hAnsi="宋体" w:cs="宋体"/>
          <w:spacing w:val="-14"/>
          <w:sz w:val="22"/>
          <w:szCs w:val="22"/>
        </w:rPr>
        <w:t>各种维</w:t>
      </w:r>
      <w:r>
        <w:rPr>
          <w:rFonts w:ascii="宋体" w:eastAsia="宋体" w:hAnsi="宋体" w:cs="宋体"/>
          <w:sz w:val="22"/>
          <w:szCs w:val="22"/>
        </w:rPr>
        <w:t xml:space="preserve"> </w:t>
      </w:r>
      <w:r>
        <w:rPr>
          <w:rFonts w:ascii="宋体" w:eastAsia="宋体" w:hAnsi="宋体" w:cs="宋体"/>
          <w:spacing w:val="-13"/>
          <w:sz w:val="22"/>
          <w:szCs w:val="22"/>
        </w:rPr>
        <w:t>生素、矿物质等。但是，必须借助特殊的制造工艺技术或者通过分离、浓缩、剂</w:t>
      </w:r>
      <w:r>
        <w:rPr>
          <w:rFonts w:ascii="宋体" w:eastAsia="宋体" w:hAnsi="宋体" w:cs="宋体"/>
          <w:spacing w:val="6"/>
          <w:sz w:val="22"/>
          <w:szCs w:val="22"/>
        </w:rPr>
        <w:t xml:space="preserve"> </w:t>
      </w:r>
      <w:r>
        <w:rPr>
          <w:rFonts w:ascii="宋体" w:eastAsia="宋体" w:hAnsi="宋体" w:cs="宋体"/>
          <w:spacing w:val="-13"/>
          <w:sz w:val="22"/>
          <w:szCs w:val="22"/>
        </w:rPr>
        <w:t>量强化或标准化方能体现出这种价值，使之具有功能性食品的特征，起到预防慢</w:t>
      </w:r>
      <w:r>
        <w:rPr>
          <w:rFonts w:ascii="宋体" w:eastAsia="宋体" w:hAnsi="宋体" w:cs="宋体"/>
          <w:spacing w:val="2"/>
          <w:sz w:val="22"/>
          <w:szCs w:val="22"/>
        </w:rPr>
        <w:t xml:space="preserve"> </w:t>
      </w:r>
      <w:r>
        <w:rPr>
          <w:rFonts w:ascii="宋体" w:eastAsia="宋体" w:hAnsi="宋体" w:cs="宋体"/>
          <w:spacing w:val="-13"/>
          <w:sz w:val="22"/>
          <w:szCs w:val="22"/>
        </w:rPr>
        <w:t>性疾病、促使人体从亚健康状态向健康状态转变的效果，所</w:t>
      </w:r>
      <w:r>
        <w:rPr>
          <w:rFonts w:ascii="宋体" w:eastAsia="宋体" w:hAnsi="宋体" w:cs="宋体"/>
          <w:spacing w:val="-14"/>
          <w:sz w:val="22"/>
          <w:szCs w:val="22"/>
        </w:rPr>
        <w:t>以，在功能性食品的</w:t>
      </w:r>
      <w:r>
        <w:rPr>
          <w:rFonts w:ascii="宋体" w:eastAsia="宋体" w:hAnsi="宋体" w:cs="宋体"/>
          <w:sz w:val="22"/>
          <w:szCs w:val="22"/>
        </w:rPr>
        <w:t xml:space="preserve"> </w:t>
      </w:r>
      <w:r>
        <w:rPr>
          <w:rFonts w:ascii="宋体" w:eastAsia="宋体" w:hAnsi="宋体" w:cs="宋体"/>
          <w:spacing w:val="-6"/>
          <w:sz w:val="22"/>
          <w:szCs w:val="22"/>
        </w:rPr>
        <w:t>定义中强调要能够“充分显示”其对于身体防御功能的增强、生理节律调</w:t>
      </w:r>
      <w:r>
        <w:rPr>
          <w:rFonts w:ascii="宋体" w:eastAsia="宋体" w:hAnsi="宋体" w:cs="宋体"/>
          <w:spacing w:val="-7"/>
          <w:sz w:val="22"/>
          <w:szCs w:val="22"/>
        </w:rPr>
        <w:t>节作</w:t>
      </w:r>
      <w:r>
        <w:rPr>
          <w:rFonts w:ascii="宋体" w:eastAsia="宋体" w:hAnsi="宋体" w:cs="宋体"/>
          <w:sz w:val="22"/>
          <w:szCs w:val="22"/>
        </w:rPr>
        <w:t xml:space="preserve"> </w:t>
      </w:r>
      <w:r>
        <w:rPr>
          <w:rFonts w:ascii="宋体" w:eastAsia="宋体" w:hAnsi="宋体" w:cs="宋体"/>
          <w:spacing w:val="-6"/>
          <w:sz w:val="22"/>
          <w:szCs w:val="22"/>
        </w:rPr>
        <w:t>用，以及预防疾病、促进康复等功能性。例如，维生素E</w:t>
      </w:r>
      <w:r>
        <w:rPr>
          <w:rFonts w:ascii="宋体" w:eastAsia="宋体" w:hAnsi="宋体" w:cs="宋体"/>
          <w:spacing w:val="-20"/>
          <w:sz w:val="22"/>
          <w:szCs w:val="22"/>
        </w:rPr>
        <w:t xml:space="preserve"> </w:t>
      </w:r>
      <w:r>
        <w:rPr>
          <w:rFonts w:ascii="宋体" w:eastAsia="宋体" w:hAnsi="宋体" w:cs="宋体"/>
          <w:spacing w:val="-6"/>
          <w:sz w:val="22"/>
          <w:szCs w:val="22"/>
        </w:rPr>
        <w:t>除了作为一种人体必</w:t>
      </w:r>
      <w:r>
        <w:rPr>
          <w:rFonts w:ascii="宋体" w:eastAsia="宋体" w:hAnsi="宋体" w:cs="宋体"/>
          <w:sz w:val="22"/>
          <w:szCs w:val="22"/>
        </w:rPr>
        <w:t xml:space="preserve"> </w:t>
      </w:r>
      <w:r>
        <w:rPr>
          <w:rFonts w:ascii="宋体" w:eastAsia="宋体" w:hAnsi="宋体" w:cs="宋体"/>
          <w:spacing w:val="-5"/>
          <w:sz w:val="22"/>
          <w:szCs w:val="22"/>
        </w:rPr>
        <w:t>需营养素外(成年人每天</w:t>
      </w:r>
      <w:r>
        <w:rPr>
          <w:rFonts w:ascii="宋体" w:eastAsia="宋体" w:hAnsi="宋体" w:cs="宋体"/>
          <w:spacing w:val="-49"/>
          <w:sz w:val="22"/>
          <w:szCs w:val="22"/>
        </w:rPr>
        <w:t xml:space="preserve"> </w:t>
      </w:r>
      <w:r>
        <w:rPr>
          <w:rFonts w:ascii="宋体" w:eastAsia="宋体" w:hAnsi="宋体" w:cs="宋体"/>
          <w:spacing w:val="-5"/>
          <w:sz w:val="22"/>
          <w:szCs w:val="22"/>
        </w:rPr>
        <w:t>RNI14mgαTE),</w:t>
      </w:r>
      <w:r>
        <w:rPr>
          <w:rFonts w:ascii="宋体" w:eastAsia="宋体" w:hAnsi="宋体" w:cs="宋体"/>
          <w:spacing w:val="2"/>
          <w:sz w:val="22"/>
          <w:szCs w:val="22"/>
        </w:rPr>
        <w:t xml:space="preserve">   </w:t>
      </w:r>
      <w:r>
        <w:rPr>
          <w:rFonts w:ascii="宋体" w:eastAsia="宋体" w:hAnsi="宋体" w:cs="宋体"/>
          <w:spacing w:val="-5"/>
          <w:sz w:val="22"/>
          <w:szCs w:val="22"/>
        </w:rPr>
        <w:t>也是一种潜在的肌体抗氧化剂，可</w:t>
      </w:r>
      <w:r>
        <w:rPr>
          <w:rFonts w:ascii="宋体" w:eastAsia="宋体" w:hAnsi="宋体" w:cs="宋体"/>
          <w:spacing w:val="1"/>
          <w:sz w:val="22"/>
          <w:szCs w:val="22"/>
        </w:rPr>
        <w:t xml:space="preserve"> </w:t>
      </w:r>
      <w:r>
        <w:rPr>
          <w:rFonts w:ascii="宋体" w:eastAsia="宋体" w:hAnsi="宋体" w:cs="宋体"/>
          <w:spacing w:val="-13"/>
          <w:sz w:val="22"/>
          <w:szCs w:val="22"/>
        </w:rPr>
        <w:t>通过清除体内自由基和活泼氧离子发挥其预防细胞氧化性损伤的作用，临床实验</w:t>
      </w:r>
    </w:p>
    <w:p w:rsidR="00EA40A3" w:rsidRDefault="00EA40A3">
      <w:pPr>
        <w:sectPr w:rsidR="00EA40A3">
          <w:footerReference w:type="default" r:id="rId240"/>
          <w:pgSz w:w="9220" w:h="13360"/>
          <w:pgMar w:top="400" w:right="999" w:bottom="1297" w:left="890" w:header="0" w:footer="1089" w:gutter="0"/>
          <w:cols w:space="720"/>
        </w:sectPr>
      </w:pPr>
    </w:p>
    <w:p w:rsidR="00EA40A3" w:rsidRDefault="00EA40A3">
      <w:pPr>
        <w:spacing w:line="267" w:lineRule="auto"/>
      </w:pPr>
    </w:p>
    <w:p w:rsidR="00EA40A3" w:rsidRDefault="00EA40A3">
      <w:pPr>
        <w:spacing w:line="267" w:lineRule="auto"/>
      </w:pPr>
    </w:p>
    <w:p w:rsidR="00EA40A3" w:rsidRDefault="00E86C16">
      <w:pPr>
        <w:spacing w:before="71" w:line="246" w:lineRule="auto"/>
        <w:ind w:right="40"/>
        <w:rPr>
          <w:rFonts w:ascii="宋体" w:eastAsia="宋体" w:hAnsi="宋体" w:cs="宋体"/>
          <w:sz w:val="22"/>
          <w:szCs w:val="22"/>
        </w:rPr>
      </w:pPr>
      <w:r>
        <w:rPr>
          <w:rFonts w:ascii="宋体" w:eastAsia="宋体" w:hAnsi="宋体" w:cs="宋体"/>
          <w:spacing w:val="-10"/>
          <w:sz w:val="22"/>
          <w:szCs w:val="22"/>
        </w:rPr>
        <w:t>证实它具有降低癌症和心血管疾病发生率、提高机体免</w:t>
      </w:r>
      <w:r>
        <w:rPr>
          <w:rFonts w:ascii="宋体" w:eastAsia="宋体" w:hAnsi="宋体" w:cs="宋体"/>
          <w:spacing w:val="-11"/>
          <w:sz w:val="22"/>
          <w:szCs w:val="22"/>
        </w:rPr>
        <w:t>疫力等生理功能。但是，</w:t>
      </w:r>
      <w:r>
        <w:rPr>
          <w:rFonts w:ascii="宋体" w:eastAsia="宋体" w:hAnsi="宋体" w:cs="宋体"/>
          <w:sz w:val="22"/>
          <w:szCs w:val="22"/>
        </w:rPr>
        <w:t xml:space="preserve"> </w:t>
      </w:r>
      <w:r>
        <w:rPr>
          <w:rFonts w:ascii="宋体" w:eastAsia="宋体" w:hAnsi="宋体" w:cs="宋体"/>
          <w:spacing w:val="-2"/>
          <w:sz w:val="22"/>
          <w:szCs w:val="22"/>
        </w:rPr>
        <w:t>要发挥维生素E</w:t>
      </w:r>
      <w:r>
        <w:rPr>
          <w:rFonts w:ascii="宋体" w:eastAsia="宋体" w:hAnsi="宋体" w:cs="宋体"/>
          <w:spacing w:val="10"/>
          <w:sz w:val="22"/>
          <w:szCs w:val="22"/>
        </w:rPr>
        <w:t xml:space="preserve"> </w:t>
      </w:r>
      <w:r>
        <w:rPr>
          <w:rFonts w:ascii="宋体" w:eastAsia="宋体" w:hAnsi="宋体" w:cs="宋体"/>
          <w:spacing w:val="-2"/>
          <w:sz w:val="22"/>
          <w:szCs w:val="22"/>
        </w:rPr>
        <w:t>的这种生理抗氧化功能，则每日需要摄入200～800mgαTE。</w:t>
      </w:r>
      <w:r>
        <w:rPr>
          <w:rFonts w:ascii="宋体" w:eastAsia="宋体" w:hAnsi="宋体" w:cs="宋体"/>
          <w:sz w:val="22"/>
          <w:szCs w:val="22"/>
        </w:rPr>
        <w:t xml:space="preserve">  </w:t>
      </w:r>
      <w:r>
        <w:rPr>
          <w:rFonts w:ascii="宋体" w:eastAsia="宋体" w:hAnsi="宋体" w:cs="宋体"/>
          <w:spacing w:val="-13"/>
          <w:sz w:val="22"/>
          <w:szCs w:val="22"/>
        </w:rPr>
        <w:t>显然，只有经过特殊配方的营养强化补剂或保健食品才能满足这种摄入量要</w:t>
      </w:r>
      <w:r>
        <w:rPr>
          <w:rFonts w:ascii="宋体" w:eastAsia="宋体" w:hAnsi="宋体" w:cs="宋体"/>
          <w:spacing w:val="-14"/>
          <w:sz w:val="22"/>
          <w:szCs w:val="22"/>
        </w:rPr>
        <w:t>求。</w:t>
      </w:r>
    </w:p>
    <w:p w:rsidR="00EA40A3" w:rsidRDefault="00E86C16">
      <w:pPr>
        <w:spacing w:before="44" w:line="249" w:lineRule="auto"/>
        <w:ind w:right="82" w:firstLine="459"/>
        <w:jc w:val="both"/>
        <w:rPr>
          <w:rFonts w:ascii="宋体" w:eastAsia="宋体" w:hAnsi="宋体" w:cs="宋体"/>
          <w:sz w:val="22"/>
          <w:szCs w:val="22"/>
        </w:rPr>
      </w:pPr>
      <w:r>
        <w:rPr>
          <w:rFonts w:ascii="宋体" w:eastAsia="宋体" w:hAnsi="宋体" w:cs="宋体"/>
          <w:spacing w:val="-17"/>
          <w:sz w:val="22"/>
          <w:szCs w:val="22"/>
        </w:rPr>
        <w:t>非营养性成分的保健功能更为引人注目。</w:t>
      </w:r>
      <w:r>
        <w:rPr>
          <w:rFonts w:ascii="宋体" w:eastAsia="宋体" w:hAnsi="宋体" w:cs="宋体"/>
          <w:spacing w:val="35"/>
          <w:sz w:val="22"/>
          <w:szCs w:val="22"/>
        </w:rPr>
        <w:t xml:space="preserve"> </w:t>
      </w:r>
      <w:r>
        <w:rPr>
          <w:rFonts w:ascii="宋体" w:eastAsia="宋体" w:hAnsi="宋体" w:cs="宋体"/>
          <w:spacing w:val="-17"/>
          <w:sz w:val="22"/>
          <w:szCs w:val="22"/>
        </w:rPr>
        <w:t>一些成分随食品摄</w:t>
      </w:r>
      <w:r>
        <w:rPr>
          <w:rFonts w:ascii="宋体" w:eastAsia="宋体" w:hAnsi="宋体" w:cs="宋体"/>
          <w:spacing w:val="-18"/>
          <w:sz w:val="22"/>
          <w:szCs w:val="22"/>
        </w:rPr>
        <w:t>入后，无需经过</w:t>
      </w:r>
      <w:r>
        <w:rPr>
          <w:rFonts w:ascii="宋体" w:eastAsia="宋体" w:hAnsi="宋体" w:cs="宋体"/>
          <w:sz w:val="22"/>
          <w:szCs w:val="22"/>
        </w:rPr>
        <w:t xml:space="preserve"> </w:t>
      </w:r>
      <w:r>
        <w:rPr>
          <w:rFonts w:ascii="宋体" w:eastAsia="宋体" w:hAnsi="宋体" w:cs="宋体"/>
          <w:spacing w:val="-13"/>
          <w:sz w:val="22"/>
          <w:szCs w:val="22"/>
        </w:rPr>
        <w:t>消化、吸收、代谢的常规过程就能够充分体现它们的保健功能，</w:t>
      </w:r>
      <w:r>
        <w:rPr>
          <w:rFonts w:ascii="宋体" w:eastAsia="宋体" w:hAnsi="宋体" w:cs="宋体"/>
          <w:spacing w:val="-14"/>
          <w:sz w:val="22"/>
          <w:szCs w:val="22"/>
        </w:rPr>
        <w:t>这与矿物质、维</w:t>
      </w:r>
      <w:r>
        <w:rPr>
          <w:rFonts w:ascii="宋体" w:eastAsia="宋体" w:hAnsi="宋体" w:cs="宋体"/>
          <w:sz w:val="22"/>
          <w:szCs w:val="22"/>
        </w:rPr>
        <w:t xml:space="preserve"> </w:t>
      </w:r>
      <w:r>
        <w:rPr>
          <w:rFonts w:ascii="宋体" w:eastAsia="宋体" w:hAnsi="宋体" w:cs="宋体"/>
          <w:spacing w:val="-12"/>
          <w:sz w:val="22"/>
          <w:szCs w:val="22"/>
        </w:rPr>
        <w:t>生素等普通食品营养素的保健作用模式明显不同。例如，</w:t>
      </w:r>
      <w:r>
        <w:rPr>
          <w:rFonts w:ascii="宋体" w:eastAsia="宋体" w:hAnsi="宋体" w:cs="宋体"/>
          <w:spacing w:val="-13"/>
          <w:sz w:val="22"/>
          <w:szCs w:val="22"/>
        </w:rPr>
        <w:t>膳食纤维并不被人体消</w:t>
      </w:r>
      <w:r>
        <w:rPr>
          <w:rFonts w:ascii="宋体" w:eastAsia="宋体" w:hAnsi="宋体" w:cs="宋体"/>
          <w:sz w:val="22"/>
          <w:szCs w:val="22"/>
        </w:rPr>
        <w:t xml:space="preserve"> </w:t>
      </w:r>
      <w:r>
        <w:rPr>
          <w:rFonts w:ascii="宋体" w:eastAsia="宋体" w:hAnsi="宋体" w:cs="宋体"/>
          <w:spacing w:val="-12"/>
          <w:sz w:val="22"/>
          <w:szCs w:val="22"/>
        </w:rPr>
        <w:t>化、吸收，不进入血液、在体内代谢，但是现代</w:t>
      </w:r>
      <w:r>
        <w:rPr>
          <w:rFonts w:ascii="宋体" w:eastAsia="宋体" w:hAnsi="宋体" w:cs="宋体"/>
          <w:spacing w:val="-13"/>
          <w:sz w:val="22"/>
          <w:szCs w:val="22"/>
        </w:rPr>
        <w:t>科学研究却证实其具有一系列的</w:t>
      </w:r>
      <w:r>
        <w:rPr>
          <w:rFonts w:ascii="宋体" w:eastAsia="宋体" w:hAnsi="宋体" w:cs="宋体"/>
          <w:sz w:val="22"/>
          <w:szCs w:val="22"/>
        </w:rPr>
        <w:t xml:space="preserve"> </w:t>
      </w:r>
      <w:r>
        <w:rPr>
          <w:rFonts w:ascii="宋体" w:eastAsia="宋体" w:hAnsi="宋体" w:cs="宋体"/>
          <w:spacing w:val="-3"/>
          <w:sz w:val="22"/>
          <w:szCs w:val="22"/>
        </w:rPr>
        <w:t>机体调节功能或健康益处(参阅第5章)。再如免疫球蛋白，从卵黄</w:t>
      </w:r>
      <w:r>
        <w:rPr>
          <w:rFonts w:ascii="宋体" w:eastAsia="宋体" w:hAnsi="宋体" w:cs="宋体"/>
          <w:spacing w:val="-4"/>
          <w:sz w:val="22"/>
          <w:szCs w:val="22"/>
        </w:rPr>
        <w:t>、哺乳动物</w:t>
      </w:r>
      <w:r>
        <w:rPr>
          <w:rFonts w:ascii="宋体" w:eastAsia="宋体" w:hAnsi="宋体" w:cs="宋体"/>
          <w:sz w:val="22"/>
          <w:szCs w:val="22"/>
        </w:rPr>
        <w:t xml:space="preserve"> </w:t>
      </w:r>
      <w:r>
        <w:rPr>
          <w:rFonts w:ascii="宋体" w:eastAsia="宋体" w:hAnsi="宋体" w:cs="宋体"/>
          <w:spacing w:val="-13"/>
          <w:sz w:val="22"/>
          <w:szCs w:val="22"/>
        </w:rPr>
        <w:t>初乳中提取的免疫球蛋白可能含有种类丰富的抗体，合理配方后可能增强人体抵</w:t>
      </w:r>
      <w:r>
        <w:rPr>
          <w:rFonts w:ascii="宋体" w:eastAsia="宋体" w:hAnsi="宋体" w:cs="宋体"/>
          <w:spacing w:val="12"/>
          <w:sz w:val="22"/>
          <w:szCs w:val="22"/>
        </w:rPr>
        <w:t xml:space="preserve"> </w:t>
      </w:r>
      <w:r>
        <w:rPr>
          <w:rFonts w:ascii="宋体" w:eastAsia="宋体" w:hAnsi="宋体" w:cs="宋体"/>
          <w:spacing w:val="-13"/>
          <w:sz w:val="22"/>
          <w:szCs w:val="22"/>
        </w:rPr>
        <w:t>抗胃肠道内食源性致病微生物的所谓“被动免疫力”。随奶粉等食品摄入的免疫</w:t>
      </w:r>
      <w:r>
        <w:rPr>
          <w:rFonts w:ascii="宋体" w:eastAsia="宋体" w:hAnsi="宋体" w:cs="宋体"/>
          <w:spacing w:val="14"/>
          <w:sz w:val="22"/>
          <w:szCs w:val="22"/>
        </w:rPr>
        <w:t xml:space="preserve"> </w:t>
      </w:r>
      <w:r>
        <w:rPr>
          <w:rFonts w:ascii="宋体" w:eastAsia="宋体" w:hAnsi="宋体" w:cs="宋体"/>
          <w:spacing w:val="3"/>
          <w:sz w:val="22"/>
          <w:szCs w:val="22"/>
        </w:rPr>
        <w:t>球蛋白到达肠道，视个体差异，大约能够保留原有免疫活力的17%～25%,这</w:t>
      </w:r>
      <w:r>
        <w:rPr>
          <w:rFonts w:ascii="宋体" w:eastAsia="宋体" w:hAnsi="宋体" w:cs="宋体"/>
          <w:sz w:val="22"/>
          <w:szCs w:val="22"/>
        </w:rPr>
        <w:t xml:space="preserve"> </w:t>
      </w:r>
      <w:r>
        <w:rPr>
          <w:rFonts w:ascii="宋体" w:eastAsia="宋体" w:hAnsi="宋体" w:cs="宋体"/>
          <w:spacing w:val="-13"/>
          <w:sz w:val="22"/>
          <w:szCs w:val="22"/>
        </w:rPr>
        <w:t>些抗体覆盖于胃肠道黏膜表面，可降低相关致病微生物感染人体致病的风险。对</w:t>
      </w:r>
      <w:r>
        <w:rPr>
          <w:rFonts w:ascii="宋体" w:eastAsia="宋体" w:hAnsi="宋体" w:cs="宋体"/>
          <w:spacing w:val="12"/>
          <w:sz w:val="22"/>
          <w:szCs w:val="22"/>
        </w:rPr>
        <w:t xml:space="preserve"> </w:t>
      </w:r>
      <w:r>
        <w:rPr>
          <w:rFonts w:ascii="宋体" w:eastAsia="宋体" w:hAnsi="宋体" w:cs="宋体"/>
          <w:spacing w:val="-14"/>
          <w:sz w:val="22"/>
          <w:szCs w:val="22"/>
        </w:rPr>
        <w:t>于这种组分来说，显然其作为蛋白质营养的功能也并非大家关注的重点。</w:t>
      </w:r>
    </w:p>
    <w:p w:rsidR="00EA40A3" w:rsidRDefault="00E86C16">
      <w:pPr>
        <w:spacing w:before="245" w:line="222" w:lineRule="auto"/>
        <w:ind w:left="3"/>
        <w:outlineLvl w:val="6"/>
        <w:rPr>
          <w:rFonts w:ascii="黑体" w:eastAsia="黑体" w:hAnsi="黑体" w:cs="黑体"/>
          <w:sz w:val="22"/>
          <w:szCs w:val="22"/>
        </w:rPr>
      </w:pPr>
      <w:r>
        <w:rPr>
          <w:rFonts w:ascii="黑体" w:eastAsia="黑体" w:hAnsi="黑体" w:cs="黑体"/>
          <w:b/>
          <w:bCs/>
          <w:spacing w:val="8"/>
          <w:sz w:val="22"/>
          <w:szCs w:val="22"/>
        </w:rPr>
        <w:t>9.1.3</w:t>
      </w:r>
      <w:r>
        <w:rPr>
          <w:rFonts w:ascii="黑体" w:eastAsia="黑体" w:hAnsi="黑体" w:cs="黑体"/>
          <w:spacing w:val="5"/>
          <w:sz w:val="22"/>
          <w:szCs w:val="22"/>
        </w:rPr>
        <w:t xml:space="preserve">   </w:t>
      </w:r>
      <w:r>
        <w:rPr>
          <w:rFonts w:ascii="黑体" w:eastAsia="黑体" w:hAnsi="黑体" w:cs="黑体"/>
          <w:b/>
          <w:bCs/>
          <w:spacing w:val="8"/>
          <w:sz w:val="22"/>
          <w:szCs w:val="22"/>
        </w:rPr>
        <w:t>保健食品的原料</w:t>
      </w:r>
    </w:p>
    <w:p w:rsidR="00EA40A3" w:rsidRDefault="00E86C16">
      <w:pPr>
        <w:spacing w:before="186" w:line="217" w:lineRule="auto"/>
        <w:ind w:left="459"/>
        <w:rPr>
          <w:rFonts w:ascii="宋体" w:eastAsia="宋体" w:hAnsi="宋体" w:cs="宋体"/>
          <w:sz w:val="22"/>
          <w:szCs w:val="22"/>
        </w:rPr>
      </w:pPr>
      <w:r>
        <w:rPr>
          <w:rFonts w:ascii="宋体" w:eastAsia="宋体" w:hAnsi="宋体" w:cs="宋体"/>
          <w:sz w:val="22"/>
          <w:szCs w:val="22"/>
        </w:rPr>
        <w:t>我国的保健食品原料大致可分3类：①我国传统食</w:t>
      </w:r>
      <w:r>
        <w:rPr>
          <w:rFonts w:ascii="宋体" w:eastAsia="宋体" w:hAnsi="宋体" w:cs="宋体"/>
          <w:spacing w:val="-1"/>
          <w:sz w:val="22"/>
          <w:szCs w:val="22"/>
        </w:rPr>
        <w:t>物及药食同源的原料；</w:t>
      </w:r>
    </w:p>
    <w:p w:rsidR="00EA40A3" w:rsidRDefault="00E86C16">
      <w:pPr>
        <w:spacing w:before="41" w:line="217" w:lineRule="auto"/>
        <w:rPr>
          <w:rFonts w:ascii="宋体" w:eastAsia="宋体" w:hAnsi="宋体" w:cs="宋体"/>
          <w:sz w:val="22"/>
          <w:szCs w:val="22"/>
        </w:rPr>
      </w:pPr>
      <w:r>
        <w:rPr>
          <w:rFonts w:ascii="宋体" w:eastAsia="宋体" w:hAnsi="宋体" w:cs="宋体"/>
          <w:spacing w:val="-14"/>
          <w:sz w:val="22"/>
          <w:szCs w:val="22"/>
        </w:rPr>
        <w:t>②中草药类原料；③提取物、化合物及其他。</w:t>
      </w:r>
    </w:p>
    <w:p w:rsidR="00EA40A3" w:rsidRDefault="00E86C16">
      <w:pPr>
        <w:spacing w:before="200" w:line="221"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21"/>
          <w:sz w:val="22"/>
          <w:szCs w:val="22"/>
        </w:rPr>
        <w:t xml:space="preserve"> </w:t>
      </w:r>
      <w:r>
        <w:rPr>
          <w:rFonts w:ascii="仿宋" w:eastAsia="仿宋" w:hAnsi="仿宋" w:cs="仿宋"/>
          <w:spacing w:val="11"/>
          <w:sz w:val="22"/>
          <w:szCs w:val="22"/>
        </w:rPr>
        <w:t>我国传统食物及药食同源类</w:t>
      </w:r>
    </w:p>
    <w:p w:rsidR="00EA40A3" w:rsidRDefault="00E86C16">
      <w:pPr>
        <w:spacing w:before="207" w:line="247" w:lineRule="auto"/>
        <w:ind w:right="74" w:firstLine="459"/>
        <w:jc w:val="both"/>
        <w:rPr>
          <w:rFonts w:ascii="宋体" w:eastAsia="宋体" w:hAnsi="宋体" w:cs="宋体"/>
          <w:sz w:val="22"/>
          <w:szCs w:val="22"/>
        </w:rPr>
      </w:pPr>
      <w:r>
        <w:rPr>
          <w:rFonts w:ascii="宋体" w:eastAsia="宋体" w:hAnsi="宋体" w:cs="宋体"/>
          <w:spacing w:val="-13"/>
          <w:sz w:val="22"/>
          <w:szCs w:val="22"/>
        </w:rPr>
        <w:t>我国传统饮食习惯中的一些食物也是中草药药材，这类食物称为药食同源的</w:t>
      </w:r>
      <w:r>
        <w:rPr>
          <w:rFonts w:ascii="宋体" w:eastAsia="宋体" w:hAnsi="宋体" w:cs="宋体"/>
          <w:spacing w:val="14"/>
          <w:sz w:val="22"/>
          <w:szCs w:val="22"/>
        </w:rPr>
        <w:t xml:space="preserve"> </w:t>
      </w:r>
      <w:r>
        <w:rPr>
          <w:rFonts w:ascii="宋体" w:eastAsia="宋体" w:hAnsi="宋体" w:cs="宋体"/>
          <w:spacing w:val="-6"/>
          <w:sz w:val="22"/>
          <w:szCs w:val="22"/>
        </w:rPr>
        <w:t>食物或药物，我国卫生部称其既是食品又是药品</w:t>
      </w:r>
      <w:r>
        <w:rPr>
          <w:rFonts w:ascii="宋体" w:eastAsia="宋体" w:hAnsi="宋体" w:cs="宋体"/>
          <w:spacing w:val="-7"/>
          <w:sz w:val="22"/>
          <w:szCs w:val="22"/>
        </w:rPr>
        <w:t>。根据卫生部卫法监发[2002]</w:t>
      </w:r>
      <w:r>
        <w:rPr>
          <w:rFonts w:ascii="宋体" w:eastAsia="宋体" w:hAnsi="宋体" w:cs="宋体"/>
          <w:sz w:val="22"/>
          <w:szCs w:val="22"/>
        </w:rPr>
        <w:t xml:space="preserve"> </w:t>
      </w:r>
      <w:r>
        <w:rPr>
          <w:rFonts w:ascii="宋体" w:eastAsia="宋体" w:hAnsi="宋体" w:cs="宋体"/>
          <w:spacing w:val="-6"/>
          <w:sz w:val="22"/>
          <w:szCs w:val="22"/>
        </w:rPr>
        <w:t>51号文，既是食品又是药品的共87种，其中大多数是中国人的传统</w:t>
      </w:r>
      <w:r>
        <w:rPr>
          <w:rFonts w:ascii="宋体" w:eastAsia="宋体" w:hAnsi="宋体" w:cs="宋体"/>
          <w:spacing w:val="-7"/>
          <w:sz w:val="22"/>
          <w:szCs w:val="22"/>
        </w:rPr>
        <w:t>食物，少数</w:t>
      </w:r>
      <w:r>
        <w:rPr>
          <w:rFonts w:ascii="宋体" w:eastAsia="宋体" w:hAnsi="宋体" w:cs="宋体"/>
          <w:sz w:val="22"/>
          <w:szCs w:val="22"/>
        </w:rPr>
        <w:t xml:space="preserve"> </w:t>
      </w:r>
      <w:r>
        <w:rPr>
          <w:rFonts w:ascii="宋体" w:eastAsia="宋体" w:hAnsi="宋体" w:cs="宋体"/>
          <w:spacing w:val="-13"/>
          <w:sz w:val="22"/>
          <w:szCs w:val="22"/>
        </w:rPr>
        <w:t>是部分地区有食用习惯的食物，但它们也都是中国的传统中药材。近十余年来其</w:t>
      </w:r>
      <w:r>
        <w:rPr>
          <w:rFonts w:ascii="宋体" w:eastAsia="宋体" w:hAnsi="宋体" w:cs="宋体"/>
          <w:spacing w:val="12"/>
          <w:sz w:val="22"/>
          <w:szCs w:val="22"/>
        </w:rPr>
        <w:t xml:space="preserve"> </w:t>
      </w:r>
      <w:r>
        <w:rPr>
          <w:rFonts w:ascii="宋体" w:eastAsia="宋体" w:hAnsi="宋体" w:cs="宋体"/>
          <w:spacing w:val="-14"/>
          <w:sz w:val="22"/>
          <w:szCs w:val="22"/>
        </w:rPr>
        <w:t>中的大部分品种已被应用为保健食品的原料，并已研究出其所含的具有生理</w:t>
      </w:r>
      <w:r>
        <w:rPr>
          <w:rFonts w:ascii="宋体" w:eastAsia="宋体" w:hAnsi="宋体" w:cs="宋体"/>
          <w:spacing w:val="-15"/>
          <w:sz w:val="22"/>
          <w:szCs w:val="22"/>
        </w:rPr>
        <w:t>活性</w:t>
      </w:r>
      <w:r>
        <w:rPr>
          <w:rFonts w:ascii="宋体" w:eastAsia="宋体" w:hAnsi="宋体" w:cs="宋体"/>
          <w:sz w:val="22"/>
          <w:szCs w:val="22"/>
        </w:rPr>
        <w:t xml:space="preserve">  </w:t>
      </w:r>
      <w:r>
        <w:rPr>
          <w:rFonts w:ascii="宋体" w:eastAsia="宋体" w:hAnsi="宋体" w:cs="宋体"/>
          <w:spacing w:val="-17"/>
          <w:sz w:val="22"/>
          <w:szCs w:val="22"/>
        </w:rPr>
        <w:t>的功效成分及相应的生理功能。</w:t>
      </w:r>
    </w:p>
    <w:p w:rsidR="00EA40A3" w:rsidRDefault="00E86C16">
      <w:pPr>
        <w:spacing w:before="71" w:line="249" w:lineRule="auto"/>
        <w:ind w:right="70" w:firstLine="459"/>
        <w:jc w:val="both"/>
        <w:rPr>
          <w:rFonts w:ascii="宋体" w:eastAsia="宋体" w:hAnsi="宋体" w:cs="宋体"/>
          <w:sz w:val="22"/>
          <w:szCs w:val="22"/>
        </w:rPr>
      </w:pPr>
      <w:r>
        <w:rPr>
          <w:rFonts w:ascii="宋体" w:eastAsia="宋体" w:hAnsi="宋体" w:cs="宋体"/>
          <w:spacing w:val="-14"/>
          <w:sz w:val="22"/>
          <w:szCs w:val="22"/>
        </w:rPr>
        <w:t>既是食品又是药品的物品名单：丁香、八角茴香、刀豆、小茴香、小蓟、山</w:t>
      </w:r>
      <w:r>
        <w:rPr>
          <w:rFonts w:ascii="宋体" w:eastAsia="宋体" w:hAnsi="宋体" w:cs="宋体"/>
          <w:spacing w:val="17"/>
          <w:sz w:val="22"/>
          <w:szCs w:val="22"/>
        </w:rPr>
        <w:t xml:space="preserve"> </w:t>
      </w:r>
      <w:r>
        <w:rPr>
          <w:rFonts w:ascii="宋体" w:eastAsia="宋体" w:hAnsi="宋体" w:cs="宋体"/>
          <w:spacing w:val="-7"/>
          <w:sz w:val="22"/>
          <w:szCs w:val="22"/>
        </w:rPr>
        <w:t>药、山楂、马齿苋、乌梢蛇、乌梅、木瓜、火麻仁、代代花、玉竹、甘草、白</w:t>
      </w:r>
      <w:r>
        <w:rPr>
          <w:rFonts w:ascii="宋体" w:eastAsia="宋体" w:hAnsi="宋体" w:cs="宋体"/>
          <w:spacing w:val="14"/>
          <w:sz w:val="22"/>
          <w:szCs w:val="22"/>
        </w:rPr>
        <w:t xml:space="preserve"> </w:t>
      </w:r>
      <w:r>
        <w:rPr>
          <w:rFonts w:ascii="宋体" w:eastAsia="宋体" w:hAnsi="宋体" w:cs="宋体"/>
          <w:spacing w:val="-11"/>
          <w:sz w:val="22"/>
          <w:szCs w:val="22"/>
        </w:rPr>
        <w:t>芷、白果、白扁豆、白扁豆花、龙眼肉(桂圆)、决明子、百合、肉豆蔻、肉桂、</w:t>
      </w:r>
      <w:r>
        <w:rPr>
          <w:rFonts w:ascii="宋体" w:eastAsia="宋体" w:hAnsi="宋体" w:cs="宋体"/>
          <w:spacing w:val="4"/>
          <w:sz w:val="22"/>
          <w:szCs w:val="22"/>
        </w:rPr>
        <w:t xml:space="preserve"> </w:t>
      </w:r>
      <w:r>
        <w:rPr>
          <w:rFonts w:ascii="宋体" w:eastAsia="宋体" w:hAnsi="宋体" w:cs="宋体"/>
          <w:spacing w:val="-6"/>
          <w:sz w:val="22"/>
          <w:szCs w:val="22"/>
        </w:rPr>
        <w:t>余甘子、佛手、杏仁(甜、苦)、沙棘、牡蛎、芡实、花椒、</w:t>
      </w:r>
      <w:r>
        <w:rPr>
          <w:rFonts w:ascii="宋体" w:eastAsia="宋体" w:hAnsi="宋体" w:cs="宋体"/>
          <w:spacing w:val="-7"/>
          <w:sz w:val="22"/>
          <w:szCs w:val="22"/>
        </w:rPr>
        <w:t>赤小豆、阿胶、鸡</w:t>
      </w:r>
      <w:r>
        <w:rPr>
          <w:rFonts w:ascii="宋体" w:eastAsia="宋体" w:hAnsi="宋体" w:cs="宋体"/>
          <w:sz w:val="22"/>
          <w:szCs w:val="22"/>
        </w:rPr>
        <w:t xml:space="preserve"> </w:t>
      </w:r>
      <w:r>
        <w:rPr>
          <w:rFonts w:ascii="宋体" w:eastAsia="宋体" w:hAnsi="宋体" w:cs="宋体"/>
          <w:spacing w:val="-11"/>
          <w:sz w:val="22"/>
          <w:szCs w:val="22"/>
        </w:rPr>
        <w:t>内金、麦芽、昆布、枣(大枣、酸枣、黑枣)、罗汉果、郁李仁、金银花、青果、</w:t>
      </w:r>
      <w:r>
        <w:rPr>
          <w:rFonts w:ascii="宋体" w:eastAsia="宋体" w:hAnsi="宋体" w:cs="宋体"/>
          <w:spacing w:val="5"/>
          <w:sz w:val="22"/>
          <w:szCs w:val="22"/>
        </w:rPr>
        <w:t xml:space="preserve"> </w:t>
      </w:r>
      <w:r>
        <w:rPr>
          <w:rFonts w:ascii="宋体" w:eastAsia="宋体" w:hAnsi="宋体" w:cs="宋体"/>
          <w:spacing w:val="-6"/>
          <w:sz w:val="22"/>
          <w:szCs w:val="22"/>
        </w:rPr>
        <w:t>鱼腥草、姜(生姜、干姜)、枳棋子、枸杞子、栀子、</w:t>
      </w:r>
      <w:r>
        <w:rPr>
          <w:rFonts w:ascii="宋体" w:eastAsia="宋体" w:hAnsi="宋体" w:cs="宋体"/>
          <w:spacing w:val="-7"/>
          <w:sz w:val="22"/>
          <w:szCs w:val="22"/>
        </w:rPr>
        <w:t>砂仁、胖大海、茯苓、香</w:t>
      </w:r>
      <w:r>
        <w:rPr>
          <w:rFonts w:ascii="宋体" w:eastAsia="宋体" w:hAnsi="宋体" w:cs="宋体"/>
          <w:sz w:val="22"/>
          <w:szCs w:val="22"/>
        </w:rPr>
        <w:t xml:space="preserve"> </w:t>
      </w:r>
      <w:r>
        <w:rPr>
          <w:rFonts w:ascii="宋体" w:eastAsia="宋体" w:hAnsi="宋体" w:cs="宋体"/>
          <w:spacing w:val="-13"/>
          <w:sz w:val="22"/>
          <w:szCs w:val="22"/>
        </w:rPr>
        <w:t>椽、香薷、桃仁、桑叶、桑椹、桔红、桔梗、益智仁、荷叶、莱菔子、莲子、高</w:t>
      </w:r>
      <w:r>
        <w:rPr>
          <w:rFonts w:ascii="宋体" w:eastAsia="宋体" w:hAnsi="宋体" w:cs="宋体"/>
          <w:spacing w:val="12"/>
          <w:sz w:val="22"/>
          <w:szCs w:val="22"/>
        </w:rPr>
        <w:t xml:space="preserve"> </w:t>
      </w:r>
      <w:r>
        <w:rPr>
          <w:rFonts w:ascii="宋体" w:eastAsia="宋体" w:hAnsi="宋体" w:cs="宋体"/>
          <w:spacing w:val="-13"/>
          <w:sz w:val="22"/>
          <w:szCs w:val="22"/>
        </w:rPr>
        <w:t>良姜、淡竹叶、淡豆豉、菊花、菊苣、黄芥子、黄精、紫苏、紫苏籽、葛根</w:t>
      </w:r>
      <w:r>
        <w:rPr>
          <w:rFonts w:ascii="宋体" w:eastAsia="宋体" w:hAnsi="宋体" w:cs="宋体"/>
          <w:spacing w:val="-14"/>
          <w:sz w:val="22"/>
          <w:szCs w:val="22"/>
        </w:rPr>
        <w:t>、黑</w:t>
      </w:r>
      <w:r>
        <w:rPr>
          <w:rFonts w:ascii="宋体" w:eastAsia="宋体" w:hAnsi="宋体" w:cs="宋体"/>
          <w:sz w:val="22"/>
          <w:szCs w:val="22"/>
        </w:rPr>
        <w:t xml:space="preserve"> </w:t>
      </w:r>
      <w:r>
        <w:rPr>
          <w:rFonts w:ascii="宋体" w:eastAsia="宋体" w:hAnsi="宋体" w:cs="宋体"/>
          <w:spacing w:val="-7"/>
          <w:sz w:val="22"/>
          <w:szCs w:val="22"/>
        </w:rPr>
        <w:t>芝麻、黑胡椒、槐米、槐花、蒲公英、蜂蜜、榧子、酸枣仁、鲜白茅根、鲜芦</w:t>
      </w:r>
      <w:r>
        <w:rPr>
          <w:rFonts w:ascii="宋体" w:eastAsia="宋体" w:hAnsi="宋体" w:cs="宋体"/>
          <w:spacing w:val="18"/>
          <w:sz w:val="22"/>
          <w:szCs w:val="22"/>
        </w:rPr>
        <w:t xml:space="preserve"> </w:t>
      </w:r>
      <w:r>
        <w:rPr>
          <w:rFonts w:ascii="宋体" w:eastAsia="宋体" w:hAnsi="宋体" w:cs="宋体"/>
          <w:spacing w:val="-14"/>
          <w:sz w:val="22"/>
          <w:szCs w:val="22"/>
        </w:rPr>
        <w:t>根、蝮蛇、橘皮、薄荷、薏苡仁、薤白、覆盆子、藿香。</w:t>
      </w:r>
    </w:p>
    <w:p w:rsidR="00EA40A3" w:rsidRDefault="00EA40A3">
      <w:pPr>
        <w:spacing w:line="345" w:lineRule="auto"/>
      </w:pPr>
    </w:p>
    <w:p w:rsidR="00EA40A3" w:rsidRDefault="00E86C16">
      <w:pPr>
        <w:spacing w:before="57"/>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280</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footerReference w:type="default" r:id="rId241"/>
          <w:pgSz w:w="9220" w:h="13360"/>
          <w:pgMar w:top="400" w:right="1019" w:bottom="400" w:left="820" w:header="0" w:footer="0" w:gutter="0"/>
          <w:cols w:space="720"/>
        </w:sectPr>
      </w:pPr>
    </w:p>
    <w:p w:rsidR="00EA40A3" w:rsidRDefault="00EA40A3">
      <w:pPr>
        <w:spacing w:line="263" w:lineRule="auto"/>
      </w:pPr>
    </w:p>
    <w:p w:rsidR="00EA40A3" w:rsidRDefault="00EA40A3">
      <w:pPr>
        <w:spacing w:line="264" w:lineRule="auto"/>
      </w:pPr>
    </w:p>
    <w:p w:rsidR="00EA40A3" w:rsidRDefault="00EA40A3">
      <w:pPr>
        <w:spacing w:line="264" w:lineRule="auto"/>
      </w:pPr>
    </w:p>
    <w:p w:rsidR="00EA40A3" w:rsidRDefault="00E86C16">
      <w:pPr>
        <w:spacing w:before="71" w:line="222" w:lineRule="auto"/>
        <w:rPr>
          <w:rFonts w:ascii="仿宋" w:eastAsia="仿宋" w:hAnsi="仿宋" w:cs="仿宋"/>
          <w:sz w:val="22"/>
          <w:szCs w:val="22"/>
        </w:rPr>
      </w:pPr>
      <w:r>
        <w:rPr>
          <w:rFonts w:ascii="仿宋" w:eastAsia="仿宋" w:hAnsi="仿宋" w:cs="仿宋"/>
          <w:spacing w:val="5"/>
          <w:sz w:val="22"/>
          <w:szCs w:val="22"/>
        </w:rPr>
        <w:t>2.</w:t>
      </w:r>
      <w:r>
        <w:rPr>
          <w:rFonts w:ascii="仿宋" w:eastAsia="仿宋" w:hAnsi="仿宋" w:cs="仿宋"/>
          <w:spacing w:val="25"/>
          <w:sz w:val="22"/>
          <w:szCs w:val="22"/>
        </w:rPr>
        <w:t xml:space="preserve"> </w:t>
      </w:r>
      <w:r>
        <w:rPr>
          <w:rFonts w:ascii="仿宋" w:eastAsia="仿宋" w:hAnsi="仿宋" w:cs="仿宋"/>
          <w:spacing w:val="5"/>
          <w:sz w:val="22"/>
          <w:szCs w:val="22"/>
        </w:rPr>
        <w:t>中草药类</w:t>
      </w:r>
    </w:p>
    <w:p w:rsidR="00EA40A3" w:rsidRDefault="00E86C16">
      <w:pPr>
        <w:spacing w:before="146" w:line="252" w:lineRule="auto"/>
        <w:ind w:firstLine="429"/>
        <w:jc w:val="both"/>
        <w:rPr>
          <w:rFonts w:ascii="宋体" w:eastAsia="宋体" w:hAnsi="宋体" w:cs="宋体"/>
          <w:sz w:val="22"/>
          <w:szCs w:val="22"/>
        </w:rPr>
      </w:pPr>
      <w:r>
        <w:rPr>
          <w:rFonts w:ascii="宋体" w:eastAsia="宋体" w:hAnsi="宋体" w:cs="宋体"/>
          <w:spacing w:val="7"/>
          <w:sz w:val="22"/>
          <w:szCs w:val="22"/>
        </w:rPr>
        <w:t>根据卫生部卫法监发[2002]51号文，可用于</w:t>
      </w:r>
      <w:r>
        <w:rPr>
          <w:rFonts w:ascii="宋体" w:eastAsia="宋体" w:hAnsi="宋体" w:cs="宋体"/>
          <w:spacing w:val="6"/>
          <w:sz w:val="22"/>
          <w:szCs w:val="22"/>
        </w:rPr>
        <w:t>保健食品的物品共114种，</w:t>
      </w:r>
      <w:r>
        <w:rPr>
          <w:rFonts w:ascii="宋体" w:eastAsia="宋体" w:hAnsi="宋体" w:cs="宋体"/>
          <w:sz w:val="22"/>
          <w:szCs w:val="22"/>
        </w:rPr>
        <w:t xml:space="preserve"> </w:t>
      </w:r>
      <w:r>
        <w:rPr>
          <w:rFonts w:ascii="宋体" w:eastAsia="宋体" w:hAnsi="宋体" w:cs="宋体"/>
          <w:spacing w:val="-13"/>
          <w:sz w:val="22"/>
          <w:szCs w:val="22"/>
        </w:rPr>
        <w:t>其中多数为中草药，少数是动物来源的中药。同时，卫生部还规定在保健</w:t>
      </w:r>
      <w:r>
        <w:rPr>
          <w:rFonts w:ascii="宋体" w:eastAsia="宋体" w:hAnsi="宋体" w:cs="宋体"/>
          <w:spacing w:val="-14"/>
          <w:sz w:val="22"/>
          <w:szCs w:val="22"/>
        </w:rPr>
        <w:t>食品中</w:t>
      </w:r>
      <w:r>
        <w:rPr>
          <w:rFonts w:ascii="宋体" w:eastAsia="宋体" w:hAnsi="宋体" w:cs="宋体"/>
          <w:sz w:val="22"/>
          <w:szCs w:val="22"/>
        </w:rPr>
        <w:t xml:space="preserve">  </w:t>
      </w:r>
      <w:r>
        <w:rPr>
          <w:rFonts w:ascii="宋体" w:eastAsia="宋体" w:hAnsi="宋体" w:cs="宋体"/>
          <w:spacing w:val="-5"/>
          <w:sz w:val="22"/>
          <w:szCs w:val="22"/>
        </w:rPr>
        <w:t>禁用的药物名单，共60种。</w:t>
      </w:r>
    </w:p>
    <w:p w:rsidR="00EA40A3" w:rsidRDefault="00E86C16">
      <w:pPr>
        <w:spacing w:before="21" w:line="249" w:lineRule="auto"/>
        <w:ind w:right="19" w:firstLine="429"/>
        <w:jc w:val="both"/>
        <w:rPr>
          <w:rFonts w:ascii="宋体" w:eastAsia="宋体" w:hAnsi="宋体" w:cs="宋体"/>
          <w:sz w:val="22"/>
          <w:szCs w:val="22"/>
        </w:rPr>
      </w:pPr>
      <w:r>
        <w:rPr>
          <w:rFonts w:ascii="宋体" w:eastAsia="宋体" w:hAnsi="宋体" w:cs="宋体"/>
          <w:spacing w:val="-7"/>
          <w:sz w:val="22"/>
          <w:szCs w:val="22"/>
        </w:rPr>
        <w:t>(1)可用于保健食品的物品名单：人参、人参叶、人参果、三七、土茯苓、</w:t>
      </w:r>
      <w:r>
        <w:rPr>
          <w:rFonts w:ascii="宋体" w:eastAsia="宋体" w:hAnsi="宋体" w:cs="宋体"/>
          <w:spacing w:val="17"/>
          <w:sz w:val="22"/>
          <w:szCs w:val="22"/>
        </w:rPr>
        <w:t xml:space="preserve"> </w:t>
      </w:r>
      <w:r>
        <w:rPr>
          <w:rFonts w:ascii="宋体" w:eastAsia="宋体" w:hAnsi="宋体" w:cs="宋体"/>
          <w:spacing w:val="-14"/>
          <w:sz w:val="22"/>
          <w:szCs w:val="22"/>
        </w:rPr>
        <w:t>大蓟、女贞子、山茱萸、川牛膝、川贝母、川芎、马鹿胎、马鹿茸、马鹿骨、丹</w:t>
      </w:r>
      <w:r>
        <w:rPr>
          <w:rFonts w:ascii="宋体" w:eastAsia="宋体" w:hAnsi="宋体" w:cs="宋体"/>
          <w:spacing w:val="8"/>
          <w:sz w:val="22"/>
          <w:szCs w:val="22"/>
        </w:rPr>
        <w:t xml:space="preserve">  </w:t>
      </w:r>
      <w:r>
        <w:rPr>
          <w:rFonts w:ascii="宋体" w:eastAsia="宋体" w:hAnsi="宋体" w:cs="宋体"/>
          <w:spacing w:val="-13"/>
          <w:sz w:val="22"/>
          <w:szCs w:val="22"/>
        </w:rPr>
        <w:t>参、五加皮、五味子、升麻、天门冬、天麻、太子参、巴戟天、木香、木贼、牛</w:t>
      </w:r>
      <w:r>
        <w:rPr>
          <w:rFonts w:ascii="宋体" w:eastAsia="宋体" w:hAnsi="宋体" w:cs="宋体"/>
          <w:spacing w:val="8"/>
          <w:sz w:val="22"/>
          <w:szCs w:val="22"/>
        </w:rPr>
        <w:t xml:space="preserve">  </w:t>
      </w:r>
      <w:r>
        <w:rPr>
          <w:rFonts w:ascii="宋体" w:eastAsia="宋体" w:hAnsi="宋体" w:cs="宋体"/>
          <w:spacing w:val="-10"/>
          <w:sz w:val="22"/>
          <w:szCs w:val="22"/>
        </w:rPr>
        <w:t>劳子、牛劳根、车前子、车前草、北沙参、平贝母、玄参、生地黄、生何首乌、</w:t>
      </w:r>
      <w:r>
        <w:rPr>
          <w:rFonts w:ascii="宋体" w:eastAsia="宋体" w:hAnsi="宋体" w:cs="宋体"/>
          <w:spacing w:val="9"/>
          <w:sz w:val="22"/>
          <w:szCs w:val="22"/>
        </w:rPr>
        <w:t xml:space="preserve"> </w:t>
      </w:r>
      <w:r>
        <w:rPr>
          <w:rFonts w:ascii="宋体" w:eastAsia="宋体" w:hAnsi="宋体" w:cs="宋体"/>
          <w:spacing w:val="-7"/>
          <w:sz w:val="22"/>
          <w:szCs w:val="22"/>
        </w:rPr>
        <w:t>白芨、白术、白芍、白豆蔻、石决明、石斛(需提供可使用证明)、地骨皮、当</w:t>
      </w:r>
      <w:r>
        <w:rPr>
          <w:rFonts w:ascii="宋体" w:eastAsia="宋体" w:hAnsi="宋体" w:cs="宋体"/>
          <w:spacing w:val="2"/>
          <w:sz w:val="22"/>
          <w:szCs w:val="22"/>
        </w:rPr>
        <w:t xml:space="preserve">  </w:t>
      </w:r>
      <w:r>
        <w:rPr>
          <w:rFonts w:ascii="宋体" w:eastAsia="宋体" w:hAnsi="宋体" w:cs="宋体"/>
          <w:spacing w:val="-11"/>
          <w:sz w:val="22"/>
          <w:szCs w:val="22"/>
        </w:rPr>
        <w:t>归、竹茹、红花、红景天、西洋参、吴茱萸、怀牛膝、杜仲、杜仲叶、沙苑子、</w:t>
      </w:r>
      <w:r>
        <w:rPr>
          <w:rFonts w:ascii="宋体" w:eastAsia="宋体" w:hAnsi="宋体" w:cs="宋体"/>
          <w:spacing w:val="13"/>
          <w:sz w:val="22"/>
          <w:szCs w:val="22"/>
        </w:rPr>
        <w:t xml:space="preserve"> </w:t>
      </w:r>
      <w:r>
        <w:rPr>
          <w:rFonts w:ascii="宋体" w:eastAsia="宋体" w:hAnsi="宋体" w:cs="宋体"/>
          <w:spacing w:val="-12"/>
          <w:sz w:val="22"/>
          <w:szCs w:val="22"/>
        </w:rPr>
        <w:t>牡丹皮、芦荟、苍术、补骨脂、诃子、赤芍、远志</w:t>
      </w:r>
      <w:r>
        <w:rPr>
          <w:rFonts w:ascii="宋体" w:eastAsia="宋体" w:hAnsi="宋体" w:cs="宋体"/>
          <w:spacing w:val="-13"/>
          <w:sz w:val="22"/>
          <w:szCs w:val="22"/>
        </w:rPr>
        <w:t>、麦门冬、龟甲、佩兰、侧柏</w:t>
      </w:r>
      <w:r>
        <w:rPr>
          <w:rFonts w:ascii="宋体" w:eastAsia="宋体" w:hAnsi="宋体" w:cs="宋体"/>
          <w:sz w:val="22"/>
          <w:szCs w:val="22"/>
        </w:rPr>
        <w:t xml:space="preserve">  </w:t>
      </w:r>
      <w:r>
        <w:rPr>
          <w:rFonts w:ascii="宋体" w:eastAsia="宋体" w:hAnsi="宋体" w:cs="宋体"/>
          <w:spacing w:val="-7"/>
          <w:sz w:val="22"/>
          <w:szCs w:val="22"/>
        </w:rPr>
        <w:t>叶、制大黄、制何首乌、刺五加、刺玫果、泽兰、泽泻、玫瑰花</w:t>
      </w:r>
      <w:r>
        <w:rPr>
          <w:rFonts w:ascii="宋体" w:eastAsia="宋体" w:hAnsi="宋体" w:cs="宋体"/>
          <w:spacing w:val="-8"/>
          <w:sz w:val="22"/>
          <w:szCs w:val="22"/>
        </w:rPr>
        <w:t>、玫瑰茄、知</w:t>
      </w:r>
      <w:r>
        <w:rPr>
          <w:rFonts w:ascii="宋体" w:eastAsia="宋体" w:hAnsi="宋体" w:cs="宋体"/>
          <w:sz w:val="22"/>
          <w:szCs w:val="22"/>
        </w:rPr>
        <w:t xml:space="preserve">  </w:t>
      </w:r>
      <w:r>
        <w:rPr>
          <w:rFonts w:ascii="宋体" w:eastAsia="宋体" w:hAnsi="宋体" w:cs="宋体"/>
          <w:spacing w:val="-13"/>
          <w:sz w:val="22"/>
          <w:szCs w:val="22"/>
        </w:rPr>
        <w:t>母、罗布麻、苦丁茶、金荞麦、金樱子、青皮、厚朴、厚朴花、姜黄、枳壳、枳</w:t>
      </w:r>
      <w:r>
        <w:rPr>
          <w:rFonts w:ascii="宋体" w:eastAsia="宋体" w:hAnsi="宋体" w:cs="宋体"/>
          <w:spacing w:val="7"/>
          <w:sz w:val="22"/>
          <w:szCs w:val="22"/>
        </w:rPr>
        <w:t xml:space="preserve">  </w:t>
      </w:r>
      <w:r>
        <w:rPr>
          <w:rFonts w:ascii="宋体" w:eastAsia="宋体" w:hAnsi="宋体" w:cs="宋体"/>
          <w:spacing w:val="-13"/>
          <w:sz w:val="22"/>
          <w:szCs w:val="22"/>
        </w:rPr>
        <w:t>实、柏子仁、珍珠、绞股蓝、胡芦巴、茜草、荜</w:t>
      </w:r>
      <w:r>
        <w:rPr>
          <w:rFonts w:ascii="宋体" w:eastAsia="宋体" w:hAnsi="宋体" w:cs="宋体"/>
          <w:spacing w:val="-14"/>
          <w:sz w:val="22"/>
          <w:szCs w:val="22"/>
        </w:rPr>
        <w:t>菱、韭菜子、首乌藤、香附、骨</w:t>
      </w:r>
      <w:r>
        <w:rPr>
          <w:rFonts w:ascii="宋体" w:eastAsia="宋体" w:hAnsi="宋体" w:cs="宋体"/>
          <w:sz w:val="22"/>
          <w:szCs w:val="22"/>
        </w:rPr>
        <w:t xml:space="preserve">  </w:t>
      </w:r>
      <w:r>
        <w:rPr>
          <w:rFonts w:ascii="宋体" w:eastAsia="宋体" w:hAnsi="宋体" w:cs="宋体"/>
          <w:spacing w:val="-13"/>
          <w:sz w:val="22"/>
          <w:szCs w:val="22"/>
        </w:rPr>
        <w:t>碎补、党参、桑白皮、桑枝、浙贝母、益母草、积雪草、淫羊藿、菟丝子、野菊</w:t>
      </w:r>
      <w:r>
        <w:rPr>
          <w:rFonts w:ascii="宋体" w:eastAsia="宋体" w:hAnsi="宋体" w:cs="宋体"/>
          <w:spacing w:val="6"/>
          <w:sz w:val="22"/>
          <w:szCs w:val="22"/>
        </w:rPr>
        <w:t xml:space="preserve">  </w:t>
      </w:r>
      <w:r>
        <w:rPr>
          <w:rFonts w:ascii="宋体" w:eastAsia="宋体" w:hAnsi="宋体" w:cs="宋体"/>
          <w:spacing w:val="-7"/>
          <w:sz w:val="22"/>
          <w:szCs w:val="22"/>
        </w:rPr>
        <w:t>花、银杏叶、黄芪、湖北贝母、番泻叶、蛤蚧、越橘、槐实、蒲黄、蒺藜、蜂</w:t>
      </w:r>
      <w:r>
        <w:rPr>
          <w:rFonts w:ascii="宋体" w:eastAsia="宋体" w:hAnsi="宋体" w:cs="宋体"/>
          <w:spacing w:val="7"/>
          <w:sz w:val="22"/>
          <w:szCs w:val="22"/>
        </w:rPr>
        <w:t xml:space="preserve">  </w:t>
      </w:r>
      <w:r>
        <w:rPr>
          <w:rFonts w:ascii="宋体" w:eastAsia="宋体" w:hAnsi="宋体" w:cs="宋体"/>
          <w:spacing w:val="-13"/>
          <w:sz w:val="22"/>
          <w:szCs w:val="22"/>
        </w:rPr>
        <w:t>胶、酸角、墨早莲、熟大黄、熟地黄、鳖甲。</w:t>
      </w:r>
    </w:p>
    <w:p w:rsidR="00EA40A3" w:rsidRDefault="00E86C16">
      <w:pPr>
        <w:spacing w:before="41" w:line="246" w:lineRule="auto"/>
        <w:ind w:right="19" w:firstLine="429"/>
        <w:jc w:val="both"/>
        <w:rPr>
          <w:rFonts w:ascii="宋体" w:eastAsia="宋体" w:hAnsi="宋体" w:cs="宋体"/>
          <w:sz w:val="22"/>
          <w:szCs w:val="22"/>
        </w:rPr>
      </w:pPr>
      <w:r>
        <w:rPr>
          <w:rFonts w:ascii="宋体" w:eastAsia="宋体" w:hAnsi="宋体" w:cs="宋体"/>
          <w:spacing w:val="-4"/>
          <w:sz w:val="22"/>
          <w:szCs w:val="22"/>
        </w:rPr>
        <w:t>(2)保健食品禁用物品名单：八角莲、八里麻、千金子、土青木香、山莨</w:t>
      </w:r>
      <w:r>
        <w:rPr>
          <w:rFonts w:ascii="宋体" w:eastAsia="宋体" w:hAnsi="宋体" w:cs="宋体"/>
          <w:sz w:val="22"/>
          <w:szCs w:val="22"/>
        </w:rPr>
        <w:t xml:space="preserve">  </w:t>
      </w:r>
      <w:r>
        <w:rPr>
          <w:rFonts w:ascii="宋体" w:eastAsia="宋体" w:hAnsi="宋体" w:cs="宋体"/>
          <w:spacing w:val="-10"/>
          <w:sz w:val="22"/>
          <w:szCs w:val="22"/>
        </w:rPr>
        <w:t>菪、川乌、广防己、马桑叶、马钱子、六角莲、天仙子、巴豆、水银、长春花、</w:t>
      </w:r>
      <w:r>
        <w:rPr>
          <w:rFonts w:ascii="宋体" w:eastAsia="宋体" w:hAnsi="宋体" w:cs="宋体"/>
          <w:spacing w:val="9"/>
          <w:sz w:val="22"/>
          <w:szCs w:val="22"/>
        </w:rPr>
        <w:t xml:space="preserve"> </w:t>
      </w:r>
      <w:r>
        <w:rPr>
          <w:rFonts w:ascii="宋体" w:eastAsia="宋体" w:hAnsi="宋体" w:cs="宋体"/>
          <w:spacing w:val="-6"/>
          <w:sz w:val="22"/>
          <w:szCs w:val="22"/>
        </w:rPr>
        <w:t>甘遂、生天南星、生半夏、生白附子、生狼毒、白</w:t>
      </w:r>
      <w:r>
        <w:rPr>
          <w:rFonts w:ascii="宋体" w:eastAsia="宋体" w:hAnsi="宋体" w:cs="宋体"/>
          <w:spacing w:val="-7"/>
          <w:sz w:val="22"/>
          <w:szCs w:val="22"/>
        </w:rPr>
        <w:t>降丹、石蒜、关木通、农吉</w:t>
      </w:r>
      <w:r>
        <w:rPr>
          <w:rFonts w:ascii="宋体" w:eastAsia="宋体" w:hAnsi="宋体" w:cs="宋体"/>
          <w:sz w:val="22"/>
          <w:szCs w:val="22"/>
        </w:rPr>
        <w:t xml:space="preserve">  </w:t>
      </w:r>
      <w:r>
        <w:rPr>
          <w:rFonts w:ascii="宋体" w:eastAsia="宋体" w:hAnsi="宋体" w:cs="宋体"/>
          <w:spacing w:val="-11"/>
          <w:sz w:val="22"/>
          <w:szCs w:val="22"/>
        </w:rPr>
        <w:t>痢、夹竹桃、朱砂、米壳(罂粟壳)、红升丹、红豆杉、红茴香、红粉、</w:t>
      </w:r>
      <w:r>
        <w:rPr>
          <w:rFonts w:ascii="宋体" w:eastAsia="宋体" w:hAnsi="宋体" w:cs="宋体"/>
          <w:spacing w:val="-12"/>
          <w:sz w:val="22"/>
          <w:szCs w:val="22"/>
        </w:rPr>
        <w:t>羊角拗、</w:t>
      </w:r>
      <w:r>
        <w:rPr>
          <w:rFonts w:ascii="宋体" w:eastAsia="宋体" w:hAnsi="宋体" w:cs="宋体"/>
          <w:sz w:val="22"/>
          <w:szCs w:val="22"/>
        </w:rPr>
        <w:t xml:space="preserve"> </w:t>
      </w:r>
      <w:r>
        <w:rPr>
          <w:rFonts w:ascii="宋体" w:eastAsia="宋体" w:hAnsi="宋体" w:cs="宋体"/>
          <w:spacing w:val="-13"/>
          <w:sz w:val="22"/>
          <w:szCs w:val="22"/>
        </w:rPr>
        <w:t>羊踯躅、丽江山慈姑、京大戟、昆明山海棠、河豚、闹羊花、青娘虫、鱼藤、洋</w:t>
      </w:r>
      <w:r>
        <w:rPr>
          <w:rFonts w:ascii="宋体" w:eastAsia="宋体" w:hAnsi="宋体" w:cs="宋体"/>
          <w:spacing w:val="7"/>
          <w:sz w:val="22"/>
          <w:szCs w:val="22"/>
        </w:rPr>
        <w:t xml:space="preserve">  </w:t>
      </w:r>
      <w:r>
        <w:rPr>
          <w:rFonts w:ascii="宋体" w:eastAsia="宋体" w:hAnsi="宋体" w:cs="宋体"/>
          <w:spacing w:val="-1"/>
          <w:sz w:val="22"/>
          <w:szCs w:val="22"/>
        </w:rPr>
        <w:t>地黄、洋金花、牵牛子、砒石(白砒、红砒、砒霜)、草乌、香</w:t>
      </w:r>
      <w:r>
        <w:rPr>
          <w:rFonts w:ascii="宋体" w:eastAsia="宋体" w:hAnsi="宋体" w:cs="宋体"/>
          <w:spacing w:val="-2"/>
          <w:sz w:val="22"/>
          <w:szCs w:val="22"/>
        </w:rPr>
        <w:t>加皮(杠柳皮)</w:t>
      </w:r>
    </w:p>
    <w:p w:rsidR="00EA40A3" w:rsidRDefault="00E86C16">
      <w:pPr>
        <w:spacing w:before="40" w:line="429" w:lineRule="exact"/>
        <w:rPr>
          <w:rFonts w:ascii="宋体" w:eastAsia="宋体" w:hAnsi="宋体" w:cs="宋体"/>
          <w:sz w:val="22"/>
          <w:szCs w:val="22"/>
        </w:rPr>
      </w:pPr>
      <w:r>
        <w:rPr>
          <w:rFonts w:ascii="宋体" w:eastAsia="宋体" w:hAnsi="宋体" w:cs="宋体"/>
          <w:spacing w:val="-10"/>
          <w:position w:val="15"/>
          <w:sz w:val="22"/>
          <w:szCs w:val="22"/>
        </w:rPr>
        <w:t>骆驼蓬、鬼臼、舞草、铁棒槌、铃兰、雪上一枝蒿、黄花夹竹</w:t>
      </w:r>
      <w:r>
        <w:rPr>
          <w:rFonts w:ascii="宋体" w:eastAsia="宋体" w:hAnsi="宋体" w:cs="宋体"/>
          <w:spacing w:val="-11"/>
          <w:position w:val="15"/>
          <w:sz w:val="22"/>
          <w:szCs w:val="22"/>
        </w:rPr>
        <w:t>桃、斑蝥、硫磺、</w:t>
      </w:r>
    </w:p>
    <w:p w:rsidR="00EA40A3" w:rsidRDefault="00E86C16">
      <w:pPr>
        <w:spacing w:before="1" w:line="218" w:lineRule="auto"/>
        <w:rPr>
          <w:rFonts w:ascii="宋体" w:eastAsia="宋体" w:hAnsi="宋体" w:cs="宋体"/>
          <w:sz w:val="22"/>
          <w:szCs w:val="22"/>
        </w:rPr>
      </w:pPr>
      <w:r>
        <w:rPr>
          <w:rFonts w:ascii="宋体" w:eastAsia="宋体" w:hAnsi="宋体" w:cs="宋体"/>
          <w:spacing w:val="-15"/>
          <w:sz w:val="22"/>
          <w:szCs w:val="22"/>
        </w:rPr>
        <w:t>雄黄、雷公藤、颠茄、藜芦、蟾酥。</w:t>
      </w:r>
    </w:p>
    <w:p w:rsidR="00EA40A3" w:rsidRDefault="00E86C16">
      <w:pPr>
        <w:spacing w:before="216" w:line="221"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17"/>
          <w:sz w:val="22"/>
          <w:szCs w:val="22"/>
        </w:rPr>
        <w:t xml:space="preserve"> </w:t>
      </w:r>
      <w:r>
        <w:rPr>
          <w:rFonts w:ascii="仿宋" w:eastAsia="仿宋" w:hAnsi="仿宋" w:cs="仿宋"/>
          <w:spacing w:val="14"/>
          <w:sz w:val="22"/>
          <w:szCs w:val="22"/>
        </w:rPr>
        <w:t>动植物提取物及具保健功能化合物</w:t>
      </w:r>
    </w:p>
    <w:p w:rsidR="00EA40A3" w:rsidRDefault="00E86C16">
      <w:pPr>
        <w:spacing w:before="190" w:line="247" w:lineRule="auto"/>
        <w:ind w:right="49" w:firstLine="429"/>
        <w:jc w:val="both"/>
        <w:rPr>
          <w:rFonts w:ascii="宋体" w:eastAsia="宋体" w:hAnsi="宋体" w:cs="宋体"/>
          <w:sz w:val="22"/>
          <w:szCs w:val="22"/>
        </w:rPr>
      </w:pPr>
      <w:r>
        <w:rPr>
          <w:rFonts w:ascii="宋体" w:eastAsia="宋体" w:hAnsi="宋体" w:cs="宋体"/>
          <w:spacing w:val="-13"/>
          <w:sz w:val="22"/>
          <w:szCs w:val="22"/>
        </w:rPr>
        <w:t>这类原料是保健食品配方中作为原料并具有特定的生物活性成分和相应</w:t>
      </w:r>
      <w:r>
        <w:rPr>
          <w:rFonts w:ascii="宋体" w:eastAsia="宋体" w:hAnsi="宋体" w:cs="宋体"/>
          <w:spacing w:val="-14"/>
          <w:sz w:val="22"/>
          <w:szCs w:val="22"/>
        </w:rPr>
        <w:t>的生</w:t>
      </w:r>
      <w:r>
        <w:rPr>
          <w:rFonts w:ascii="宋体" w:eastAsia="宋体" w:hAnsi="宋体" w:cs="宋体"/>
          <w:sz w:val="22"/>
          <w:szCs w:val="22"/>
        </w:rPr>
        <w:t xml:space="preserve"> </w:t>
      </w:r>
      <w:r>
        <w:rPr>
          <w:rFonts w:ascii="宋体" w:eastAsia="宋体" w:hAnsi="宋体" w:cs="宋体"/>
          <w:spacing w:val="-13"/>
          <w:sz w:val="22"/>
          <w:szCs w:val="22"/>
        </w:rPr>
        <w:t>理作用的品种。常用于保健食品中的提取物有：葡萄籽提取物、桑叶提取物、苦</w:t>
      </w:r>
      <w:r>
        <w:rPr>
          <w:rFonts w:ascii="宋体" w:eastAsia="宋体" w:hAnsi="宋体" w:cs="宋体"/>
          <w:spacing w:val="13"/>
          <w:sz w:val="22"/>
          <w:szCs w:val="22"/>
        </w:rPr>
        <w:t xml:space="preserve"> </w:t>
      </w:r>
      <w:r>
        <w:rPr>
          <w:rFonts w:ascii="宋体" w:eastAsia="宋体" w:hAnsi="宋体" w:cs="宋体"/>
          <w:spacing w:val="-7"/>
          <w:sz w:val="22"/>
          <w:szCs w:val="22"/>
        </w:rPr>
        <w:t>瓜提取物、小麦胚芽油、沙棘油、紫苏油、亚麻</w:t>
      </w:r>
      <w:r>
        <w:rPr>
          <w:rFonts w:ascii="宋体" w:eastAsia="宋体" w:hAnsi="宋体" w:cs="宋体"/>
          <w:spacing w:val="-8"/>
          <w:sz w:val="22"/>
          <w:szCs w:val="22"/>
        </w:rPr>
        <w:t>籽油、月见草油、鱼油、蛤蟆</w:t>
      </w:r>
      <w:r>
        <w:rPr>
          <w:rFonts w:ascii="宋体" w:eastAsia="宋体" w:hAnsi="宋体" w:cs="宋体"/>
          <w:sz w:val="22"/>
          <w:szCs w:val="22"/>
        </w:rPr>
        <w:t xml:space="preserve">  </w:t>
      </w:r>
      <w:r>
        <w:rPr>
          <w:rFonts w:ascii="宋体" w:eastAsia="宋体" w:hAnsi="宋体" w:cs="宋体"/>
          <w:spacing w:val="-5"/>
          <w:sz w:val="22"/>
          <w:szCs w:val="22"/>
        </w:rPr>
        <w:t>油、大豆磷脂等。常用于保健食品的化合物有：牛磺酸、谷胱酰胺、精氨酸、</w:t>
      </w:r>
      <w:r>
        <w:rPr>
          <w:rFonts w:ascii="宋体" w:eastAsia="宋体" w:hAnsi="宋体" w:cs="宋体"/>
          <w:spacing w:val="18"/>
          <w:sz w:val="22"/>
          <w:szCs w:val="22"/>
        </w:rPr>
        <w:t xml:space="preserve"> </w:t>
      </w:r>
      <w:r>
        <w:rPr>
          <w:rFonts w:ascii="宋体" w:eastAsia="宋体" w:hAnsi="宋体" w:cs="宋体"/>
          <w:spacing w:val="-6"/>
          <w:sz w:val="22"/>
          <w:szCs w:val="22"/>
        </w:rPr>
        <w:t>L-肉碱、硒化合物、共轭亚油酸、二十二碳五烯酸、二十二碳六烯酸、植物甾</w:t>
      </w:r>
      <w:r>
        <w:rPr>
          <w:rFonts w:ascii="宋体" w:eastAsia="宋体" w:hAnsi="宋体" w:cs="宋体"/>
          <w:spacing w:val="8"/>
          <w:sz w:val="22"/>
          <w:szCs w:val="22"/>
        </w:rPr>
        <w:t xml:space="preserve"> </w:t>
      </w:r>
      <w:r>
        <w:rPr>
          <w:rFonts w:ascii="宋体" w:eastAsia="宋体" w:hAnsi="宋体" w:cs="宋体"/>
          <w:spacing w:val="-13"/>
          <w:sz w:val="22"/>
          <w:szCs w:val="22"/>
        </w:rPr>
        <w:t>醇、褪黑素、茶多酚、酪蛋白磷酸肽、有机硫化合物、膳食纤维、低聚糖、活性</w:t>
      </w:r>
      <w:r>
        <w:rPr>
          <w:rFonts w:ascii="宋体" w:eastAsia="宋体" w:hAnsi="宋体" w:cs="宋体"/>
          <w:spacing w:val="12"/>
          <w:sz w:val="22"/>
          <w:szCs w:val="22"/>
        </w:rPr>
        <w:t xml:space="preserve"> </w:t>
      </w:r>
      <w:r>
        <w:rPr>
          <w:rFonts w:ascii="宋体" w:eastAsia="宋体" w:hAnsi="宋体" w:cs="宋体"/>
          <w:spacing w:val="-9"/>
          <w:sz w:val="22"/>
          <w:szCs w:val="22"/>
        </w:rPr>
        <w:t>多糖等。参阅第5章食物中的其他功能成分。</w:t>
      </w:r>
    </w:p>
    <w:p w:rsidR="00EA40A3" w:rsidRDefault="00E86C16">
      <w:pPr>
        <w:spacing w:before="91" w:line="219" w:lineRule="auto"/>
        <w:ind w:left="429"/>
        <w:rPr>
          <w:rFonts w:ascii="宋体" w:eastAsia="宋体" w:hAnsi="宋体" w:cs="宋体"/>
          <w:sz w:val="22"/>
          <w:szCs w:val="22"/>
        </w:rPr>
      </w:pPr>
      <w:r>
        <w:rPr>
          <w:rFonts w:ascii="宋体" w:eastAsia="宋体" w:hAnsi="宋体" w:cs="宋体"/>
          <w:spacing w:val="-12"/>
          <w:sz w:val="22"/>
          <w:szCs w:val="22"/>
        </w:rPr>
        <w:t>保健食品制造过程中还常常需要添加其他的辅料，主要包括生产保健食品时</w:t>
      </w:r>
    </w:p>
    <w:p w:rsidR="00EA40A3" w:rsidRDefault="00E86C16">
      <w:pPr>
        <w:spacing w:before="50"/>
        <w:ind w:right="52"/>
        <w:jc w:val="right"/>
        <w:rPr>
          <w:rFonts w:ascii="宋体" w:eastAsia="宋体" w:hAnsi="宋体" w:cs="宋体"/>
          <w:sz w:val="22"/>
          <w:szCs w:val="22"/>
        </w:rPr>
      </w:pPr>
      <w:r>
        <w:rPr>
          <w:rFonts w:ascii="宋体" w:eastAsia="宋体" w:hAnsi="宋体" w:cs="宋体"/>
          <w:spacing w:val="-33"/>
          <w:sz w:val="22"/>
          <w:szCs w:val="22"/>
        </w:rPr>
        <w:t>·281</w:t>
      </w:r>
      <w:r>
        <w:rPr>
          <w:rFonts w:ascii="宋体" w:eastAsia="宋体" w:hAnsi="宋体" w:cs="宋体"/>
          <w:spacing w:val="51"/>
          <w:sz w:val="22"/>
          <w:szCs w:val="22"/>
        </w:rPr>
        <w:t xml:space="preserve"> </w:t>
      </w:r>
      <w:r>
        <w:rPr>
          <w:rFonts w:ascii="宋体" w:eastAsia="宋体" w:hAnsi="宋体" w:cs="宋体"/>
          <w:spacing w:val="-33"/>
          <w:sz w:val="22"/>
          <w:szCs w:val="22"/>
        </w:rPr>
        <w:t>·</w:t>
      </w:r>
    </w:p>
    <w:p w:rsidR="00EA40A3" w:rsidRDefault="00EA40A3">
      <w:pPr>
        <w:sectPr w:rsidR="00EA40A3">
          <w:pgSz w:w="9360" w:h="13450"/>
          <w:pgMar w:top="400" w:right="960" w:bottom="400" w:left="1019" w:header="0" w:footer="0" w:gutter="0"/>
          <w:cols w:space="720"/>
        </w:sectPr>
      </w:pPr>
    </w:p>
    <w:p w:rsidR="00EA40A3" w:rsidRDefault="00EA40A3">
      <w:pPr>
        <w:spacing w:line="260" w:lineRule="auto"/>
      </w:pPr>
    </w:p>
    <w:p w:rsidR="00EA40A3" w:rsidRDefault="00EA40A3">
      <w:pPr>
        <w:spacing w:line="260" w:lineRule="auto"/>
      </w:pPr>
    </w:p>
    <w:p w:rsidR="00EA40A3" w:rsidRDefault="00E86C16">
      <w:pPr>
        <w:spacing w:before="75" w:line="229" w:lineRule="auto"/>
        <w:ind w:right="85"/>
        <w:rPr>
          <w:rFonts w:ascii="宋体" w:eastAsia="宋体" w:hAnsi="宋体" w:cs="宋体"/>
          <w:sz w:val="23"/>
          <w:szCs w:val="23"/>
        </w:rPr>
      </w:pPr>
      <w:r>
        <w:rPr>
          <w:rFonts w:ascii="宋体" w:eastAsia="宋体" w:hAnsi="宋体" w:cs="宋体"/>
          <w:spacing w:val="-23"/>
          <w:sz w:val="23"/>
          <w:szCs w:val="23"/>
        </w:rPr>
        <w:t>所用的赋形剂及其他附加物料。辅料一般应为《食品添加剂使用卫生标准》或卫</w:t>
      </w:r>
      <w:r>
        <w:rPr>
          <w:rFonts w:ascii="宋体" w:eastAsia="宋体" w:hAnsi="宋体" w:cs="宋体"/>
          <w:spacing w:val="13"/>
          <w:sz w:val="23"/>
          <w:szCs w:val="23"/>
        </w:rPr>
        <w:t xml:space="preserve"> </w:t>
      </w:r>
      <w:r>
        <w:rPr>
          <w:rFonts w:ascii="宋体" w:eastAsia="宋体" w:hAnsi="宋体" w:cs="宋体"/>
          <w:spacing w:val="-24"/>
          <w:sz w:val="23"/>
          <w:szCs w:val="23"/>
        </w:rPr>
        <w:t>生部公告的食品添加剂新品种名单中的品种。</w:t>
      </w:r>
    </w:p>
    <w:p w:rsidR="00EA40A3" w:rsidRDefault="00E86C16">
      <w:pPr>
        <w:spacing w:before="267" w:line="222" w:lineRule="auto"/>
        <w:ind w:left="3"/>
        <w:outlineLvl w:val="6"/>
        <w:rPr>
          <w:rFonts w:ascii="黑体" w:eastAsia="黑体" w:hAnsi="黑体" w:cs="黑体"/>
          <w:sz w:val="23"/>
          <w:szCs w:val="23"/>
        </w:rPr>
      </w:pPr>
      <w:r>
        <w:rPr>
          <w:rFonts w:ascii="黑体" w:eastAsia="黑体" w:hAnsi="黑体" w:cs="黑体"/>
          <w:b/>
          <w:bCs/>
          <w:spacing w:val="1"/>
          <w:sz w:val="23"/>
          <w:szCs w:val="23"/>
        </w:rPr>
        <w:t>9.1.4</w:t>
      </w:r>
      <w:r>
        <w:rPr>
          <w:rFonts w:ascii="黑体" w:eastAsia="黑体" w:hAnsi="黑体" w:cs="黑体"/>
          <w:spacing w:val="13"/>
          <w:sz w:val="23"/>
          <w:szCs w:val="23"/>
        </w:rPr>
        <w:t xml:space="preserve">   </w:t>
      </w:r>
      <w:r>
        <w:rPr>
          <w:rFonts w:ascii="黑体" w:eastAsia="黑体" w:hAnsi="黑体" w:cs="黑体"/>
          <w:b/>
          <w:bCs/>
          <w:spacing w:val="1"/>
          <w:sz w:val="23"/>
          <w:szCs w:val="23"/>
        </w:rPr>
        <w:t>保健食品的加工</w:t>
      </w:r>
    </w:p>
    <w:p w:rsidR="00EA40A3" w:rsidRDefault="00E86C16">
      <w:pPr>
        <w:spacing w:before="215" w:line="234" w:lineRule="auto"/>
        <w:ind w:right="85" w:firstLine="420"/>
        <w:jc w:val="both"/>
        <w:rPr>
          <w:rFonts w:ascii="宋体" w:eastAsia="宋体" w:hAnsi="宋体" w:cs="宋体"/>
          <w:sz w:val="23"/>
          <w:szCs w:val="23"/>
        </w:rPr>
      </w:pPr>
      <w:r>
        <w:rPr>
          <w:rFonts w:ascii="宋体" w:eastAsia="宋体" w:hAnsi="宋体" w:cs="宋体"/>
          <w:spacing w:val="-23"/>
          <w:sz w:val="23"/>
          <w:szCs w:val="23"/>
        </w:rPr>
        <w:t>一般而言，保健食品的加工比普通食品加工要求</w:t>
      </w:r>
      <w:r>
        <w:rPr>
          <w:rFonts w:ascii="宋体" w:eastAsia="宋体" w:hAnsi="宋体" w:cs="宋体"/>
          <w:spacing w:val="-24"/>
          <w:sz w:val="23"/>
          <w:szCs w:val="23"/>
        </w:rPr>
        <w:t>更高，需要从原材料中提取</w:t>
      </w:r>
      <w:r>
        <w:rPr>
          <w:rFonts w:ascii="宋体" w:eastAsia="宋体" w:hAnsi="宋体" w:cs="宋体"/>
          <w:sz w:val="23"/>
          <w:szCs w:val="23"/>
        </w:rPr>
        <w:t xml:space="preserve"> </w:t>
      </w:r>
      <w:r>
        <w:rPr>
          <w:rFonts w:ascii="宋体" w:eastAsia="宋体" w:hAnsi="宋体" w:cs="宋体"/>
          <w:spacing w:val="-16"/>
          <w:sz w:val="23"/>
          <w:szCs w:val="23"/>
        </w:rPr>
        <w:t>功能成分(必要时需要合成)、稳定和保护功能性成分、制备成一定的剂型、</w:t>
      </w:r>
      <w:r>
        <w:rPr>
          <w:rFonts w:ascii="宋体" w:eastAsia="宋体" w:hAnsi="宋体" w:cs="宋体"/>
          <w:spacing w:val="-17"/>
          <w:sz w:val="23"/>
          <w:szCs w:val="23"/>
        </w:rPr>
        <w:t>监</w:t>
      </w:r>
      <w:r>
        <w:rPr>
          <w:rFonts w:ascii="宋体" w:eastAsia="宋体" w:hAnsi="宋体" w:cs="宋体"/>
          <w:sz w:val="23"/>
          <w:szCs w:val="23"/>
        </w:rPr>
        <w:t xml:space="preserve"> </w:t>
      </w:r>
      <w:r>
        <w:rPr>
          <w:rFonts w:ascii="宋体" w:eastAsia="宋体" w:hAnsi="宋体" w:cs="宋体"/>
          <w:spacing w:val="-24"/>
          <w:sz w:val="23"/>
          <w:szCs w:val="23"/>
        </w:rPr>
        <w:t>测功能性成分的含量及有效性等。</w:t>
      </w:r>
    </w:p>
    <w:p w:rsidR="00EA40A3" w:rsidRDefault="00E86C16">
      <w:pPr>
        <w:spacing w:before="272" w:line="220" w:lineRule="auto"/>
        <w:rPr>
          <w:rFonts w:ascii="仿宋" w:eastAsia="仿宋" w:hAnsi="仿宋" w:cs="仿宋"/>
          <w:sz w:val="23"/>
          <w:szCs w:val="23"/>
        </w:rPr>
      </w:pPr>
      <w:r>
        <w:rPr>
          <w:rFonts w:ascii="仿宋" w:eastAsia="仿宋" w:hAnsi="仿宋" w:cs="仿宋"/>
          <w:spacing w:val="5"/>
          <w:sz w:val="23"/>
          <w:szCs w:val="23"/>
        </w:rPr>
        <w:t>1.</w:t>
      </w:r>
      <w:r>
        <w:rPr>
          <w:rFonts w:ascii="仿宋" w:eastAsia="仿宋" w:hAnsi="仿宋" w:cs="仿宋"/>
          <w:spacing w:val="-30"/>
          <w:sz w:val="23"/>
          <w:szCs w:val="23"/>
        </w:rPr>
        <w:t xml:space="preserve"> </w:t>
      </w:r>
      <w:r>
        <w:rPr>
          <w:rFonts w:ascii="仿宋" w:eastAsia="仿宋" w:hAnsi="仿宋" w:cs="仿宋"/>
          <w:spacing w:val="5"/>
          <w:sz w:val="23"/>
          <w:szCs w:val="23"/>
        </w:rPr>
        <w:t>功能性成分的提取、分离与纯化</w:t>
      </w:r>
    </w:p>
    <w:p w:rsidR="00EA40A3" w:rsidRDefault="00E86C16">
      <w:pPr>
        <w:spacing w:before="240" w:line="235" w:lineRule="auto"/>
        <w:ind w:firstLine="420"/>
        <w:jc w:val="both"/>
        <w:rPr>
          <w:rFonts w:ascii="宋体" w:eastAsia="宋体" w:hAnsi="宋体" w:cs="宋体"/>
          <w:sz w:val="23"/>
          <w:szCs w:val="23"/>
        </w:rPr>
      </w:pPr>
      <w:r>
        <w:rPr>
          <w:rFonts w:ascii="宋体" w:eastAsia="宋体" w:hAnsi="宋体" w:cs="宋体"/>
          <w:spacing w:val="-23"/>
          <w:sz w:val="23"/>
          <w:szCs w:val="23"/>
        </w:rPr>
        <w:t>从基料中提取、分离和纯化功能活性成分的程序大致为：基料→提取功能活</w:t>
      </w:r>
      <w:r>
        <w:rPr>
          <w:rFonts w:ascii="宋体" w:eastAsia="宋体" w:hAnsi="宋体" w:cs="宋体"/>
          <w:spacing w:val="6"/>
          <w:sz w:val="23"/>
          <w:szCs w:val="23"/>
        </w:rPr>
        <w:t xml:space="preserve"> </w:t>
      </w:r>
      <w:r>
        <w:rPr>
          <w:rFonts w:ascii="宋体" w:eastAsia="宋体" w:hAnsi="宋体" w:cs="宋体"/>
          <w:spacing w:val="-23"/>
          <w:sz w:val="23"/>
          <w:szCs w:val="23"/>
        </w:rPr>
        <w:t>性成分→</w:t>
      </w:r>
      <w:r>
        <w:rPr>
          <w:rFonts w:ascii="宋体" w:eastAsia="宋体" w:hAnsi="宋体" w:cs="宋体"/>
          <w:spacing w:val="-90"/>
          <w:sz w:val="23"/>
          <w:szCs w:val="23"/>
        </w:rPr>
        <w:t xml:space="preserve"> </w:t>
      </w:r>
      <w:r>
        <w:rPr>
          <w:rFonts w:ascii="宋体" w:eastAsia="宋体" w:hAnsi="宋体" w:cs="宋体"/>
          <w:spacing w:val="-23"/>
          <w:sz w:val="23"/>
          <w:szCs w:val="23"/>
        </w:rPr>
        <w:t>固液分离→初步分离纯化→高度分离纯化</w:t>
      </w:r>
      <w:r>
        <w:rPr>
          <w:rFonts w:ascii="宋体" w:eastAsia="宋体" w:hAnsi="宋体" w:cs="宋体"/>
          <w:spacing w:val="-24"/>
          <w:sz w:val="23"/>
          <w:szCs w:val="23"/>
        </w:rPr>
        <w:t>→纯化后产品的制备→纯度检</w:t>
      </w:r>
      <w:r>
        <w:rPr>
          <w:rFonts w:ascii="宋体" w:eastAsia="宋体" w:hAnsi="宋体" w:cs="宋体"/>
          <w:sz w:val="23"/>
          <w:szCs w:val="23"/>
        </w:rPr>
        <w:t xml:space="preserve"> </w:t>
      </w:r>
      <w:r>
        <w:rPr>
          <w:rFonts w:ascii="宋体" w:eastAsia="宋体" w:hAnsi="宋体" w:cs="宋体"/>
          <w:spacing w:val="-20"/>
          <w:sz w:val="23"/>
          <w:szCs w:val="23"/>
        </w:rPr>
        <w:t>验。在食品加工过程中除了考虑工艺合理性以外，还必须注意其安全</w:t>
      </w:r>
      <w:r>
        <w:rPr>
          <w:rFonts w:ascii="宋体" w:eastAsia="宋体" w:hAnsi="宋体" w:cs="宋体"/>
          <w:spacing w:val="-21"/>
          <w:sz w:val="23"/>
          <w:szCs w:val="23"/>
        </w:rPr>
        <w:t>性。例如，</w:t>
      </w:r>
      <w:r>
        <w:rPr>
          <w:rFonts w:ascii="宋体" w:eastAsia="宋体" w:hAnsi="宋体" w:cs="宋体"/>
          <w:sz w:val="23"/>
          <w:szCs w:val="23"/>
        </w:rPr>
        <w:t xml:space="preserve"> </w:t>
      </w:r>
      <w:r>
        <w:rPr>
          <w:rFonts w:ascii="宋体" w:eastAsia="宋体" w:hAnsi="宋体" w:cs="宋体"/>
          <w:spacing w:val="-23"/>
          <w:sz w:val="23"/>
          <w:szCs w:val="23"/>
        </w:rPr>
        <w:t>使用的溶剂、树脂及器具等，都应该是无毒无害</w:t>
      </w:r>
      <w:r>
        <w:rPr>
          <w:rFonts w:ascii="宋体" w:eastAsia="宋体" w:hAnsi="宋体" w:cs="宋体"/>
          <w:spacing w:val="-24"/>
          <w:sz w:val="23"/>
          <w:szCs w:val="23"/>
        </w:rPr>
        <w:t>的。</w:t>
      </w:r>
    </w:p>
    <w:p w:rsidR="00EA40A3" w:rsidRDefault="00E86C16">
      <w:pPr>
        <w:spacing w:before="54" w:line="238" w:lineRule="auto"/>
        <w:ind w:right="72" w:firstLine="420"/>
        <w:jc w:val="both"/>
        <w:rPr>
          <w:rFonts w:ascii="宋体" w:eastAsia="宋体" w:hAnsi="宋体" w:cs="宋体"/>
          <w:sz w:val="23"/>
          <w:szCs w:val="23"/>
        </w:rPr>
      </w:pPr>
      <w:r>
        <w:rPr>
          <w:rFonts w:ascii="宋体" w:eastAsia="宋体" w:hAnsi="宋体" w:cs="宋体"/>
          <w:spacing w:val="-23"/>
          <w:sz w:val="23"/>
          <w:szCs w:val="23"/>
        </w:rPr>
        <w:t>常用的提取技术包括溶剂浸提法、水蒸气蒸馏法、压榨法、超临界二氧化碳</w:t>
      </w:r>
      <w:r>
        <w:rPr>
          <w:rFonts w:ascii="宋体" w:eastAsia="宋体" w:hAnsi="宋体" w:cs="宋体"/>
          <w:spacing w:val="6"/>
          <w:sz w:val="23"/>
          <w:szCs w:val="23"/>
        </w:rPr>
        <w:t xml:space="preserve"> </w:t>
      </w:r>
      <w:r>
        <w:rPr>
          <w:rFonts w:ascii="宋体" w:eastAsia="宋体" w:hAnsi="宋体" w:cs="宋体"/>
          <w:spacing w:val="-22"/>
          <w:sz w:val="23"/>
          <w:szCs w:val="23"/>
        </w:rPr>
        <w:t>萃取法等。溶剂浸提法是目前最常用的方法，利用水或其他适</w:t>
      </w:r>
      <w:r>
        <w:rPr>
          <w:rFonts w:ascii="宋体" w:eastAsia="宋体" w:hAnsi="宋体" w:cs="宋体"/>
          <w:spacing w:val="-23"/>
          <w:sz w:val="23"/>
          <w:szCs w:val="23"/>
        </w:rPr>
        <w:t>当的溶剂从原料中</w:t>
      </w:r>
      <w:r>
        <w:rPr>
          <w:rFonts w:ascii="宋体" w:eastAsia="宋体" w:hAnsi="宋体" w:cs="宋体"/>
          <w:sz w:val="23"/>
          <w:szCs w:val="23"/>
        </w:rPr>
        <w:t xml:space="preserve"> </w:t>
      </w:r>
      <w:r>
        <w:rPr>
          <w:rFonts w:ascii="宋体" w:eastAsia="宋体" w:hAnsi="宋体" w:cs="宋体"/>
          <w:spacing w:val="-16"/>
          <w:sz w:val="23"/>
          <w:szCs w:val="23"/>
        </w:rPr>
        <w:t>将可溶性有效成分浸出。水蒸气蒸馏法适用于</w:t>
      </w:r>
      <w:r>
        <w:rPr>
          <w:rFonts w:ascii="宋体" w:eastAsia="宋体" w:hAnsi="宋体" w:cs="宋体"/>
          <w:spacing w:val="-17"/>
          <w:sz w:val="23"/>
          <w:szCs w:val="23"/>
        </w:rPr>
        <w:t>具有挥发性、不溶于水或难溶于</w:t>
      </w:r>
      <w:r>
        <w:rPr>
          <w:rFonts w:ascii="宋体" w:eastAsia="宋体" w:hAnsi="宋体" w:cs="宋体"/>
          <w:sz w:val="23"/>
          <w:szCs w:val="23"/>
        </w:rPr>
        <w:t xml:space="preserve"> </w:t>
      </w:r>
      <w:r>
        <w:rPr>
          <w:rFonts w:ascii="宋体" w:eastAsia="宋体" w:hAnsi="宋体" w:cs="宋体"/>
          <w:spacing w:val="-17"/>
          <w:sz w:val="23"/>
          <w:szCs w:val="23"/>
        </w:rPr>
        <w:t>水，又不会与水发生反应的物质的提取，如某些芳香油、某些小分子酸性化合</w:t>
      </w:r>
      <w:r>
        <w:rPr>
          <w:rFonts w:ascii="宋体" w:eastAsia="宋体" w:hAnsi="宋体" w:cs="宋体"/>
          <w:spacing w:val="16"/>
          <w:sz w:val="23"/>
          <w:szCs w:val="23"/>
        </w:rPr>
        <w:t xml:space="preserve"> </w:t>
      </w:r>
      <w:r>
        <w:rPr>
          <w:rFonts w:ascii="宋体" w:eastAsia="宋体" w:hAnsi="宋体" w:cs="宋体"/>
          <w:spacing w:val="-22"/>
          <w:sz w:val="23"/>
          <w:szCs w:val="23"/>
        </w:rPr>
        <w:t>物、大蒜素等。压榨法适用于功能活性成分能溶于汁液的植</w:t>
      </w:r>
      <w:r>
        <w:rPr>
          <w:rFonts w:ascii="宋体" w:eastAsia="宋体" w:hAnsi="宋体" w:cs="宋体"/>
          <w:spacing w:val="-23"/>
          <w:sz w:val="23"/>
          <w:szCs w:val="23"/>
        </w:rPr>
        <w:t>物、果实、蔬菜或油</w:t>
      </w:r>
      <w:r>
        <w:rPr>
          <w:rFonts w:ascii="宋体" w:eastAsia="宋体" w:hAnsi="宋体" w:cs="宋体"/>
          <w:sz w:val="23"/>
          <w:szCs w:val="23"/>
        </w:rPr>
        <w:t xml:space="preserve"> </w:t>
      </w:r>
      <w:r>
        <w:rPr>
          <w:rFonts w:ascii="宋体" w:eastAsia="宋体" w:hAnsi="宋体" w:cs="宋体"/>
          <w:spacing w:val="-23"/>
          <w:sz w:val="23"/>
          <w:szCs w:val="23"/>
        </w:rPr>
        <w:t>料作物的提取。超临界二氧化碳萃取法能够萃取一些重要功能成分，具有提取率</w:t>
      </w:r>
      <w:r>
        <w:rPr>
          <w:rFonts w:ascii="宋体" w:eastAsia="宋体" w:hAnsi="宋体" w:cs="宋体"/>
          <w:spacing w:val="13"/>
          <w:sz w:val="23"/>
          <w:szCs w:val="23"/>
        </w:rPr>
        <w:t xml:space="preserve"> </w:t>
      </w:r>
      <w:r>
        <w:rPr>
          <w:rFonts w:ascii="宋体" w:eastAsia="宋体" w:hAnsi="宋体" w:cs="宋体"/>
          <w:spacing w:val="-24"/>
          <w:sz w:val="23"/>
          <w:szCs w:val="23"/>
        </w:rPr>
        <w:t>高、产品纯度好、能耗低、后处理简单、无毒等优点。</w:t>
      </w:r>
    </w:p>
    <w:p w:rsidR="00EA40A3" w:rsidRDefault="00E86C16">
      <w:pPr>
        <w:spacing w:before="113" w:line="238" w:lineRule="auto"/>
        <w:ind w:firstLine="420"/>
        <w:jc w:val="both"/>
        <w:rPr>
          <w:rFonts w:ascii="宋体" w:eastAsia="宋体" w:hAnsi="宋体" w:cs="宋体"/>
          <w:sz w:val="23"/>
          <w:szCs w:val="23"/>
        </w:rPr>
      </w:pPr>
      <w:r>
        <w:rPr>
          <w:rFonts w:ascii="宋体" w:eastAsia="宋体" w:hAnsi="宋体" w:cs="宋体"/>
          <w:spacing w:val="-23"/>
          <w:sz w:val="23"/>
          <w:szCs w:val="23"/>
        </w:rPr>
        <w:t>经浸提后的混合物多为固液混悬液，则采取沉降固液分离、过滤、压滤及离</w:t>
      </w:r>
      <w:r>
        <w:rPr>
          <w:rFonts w:ascii="宋体" w:eastAsia="宋体" w:hAnsi="宋体" w:cs="宋体"/>
          <w:spacing w:val="10"/>
          <w:sz w:val="23"/>
          <w:szCs w:val="23"/>
        </w:rPr>
        <w:t xml:space="preserve"> </w:t>
      </w:r>
      <w:r>
        <w:rPr>
          <w:rFonts w:ascii="宋体" w:eastAsia="宋体" w:hAnsi="宋体" w:cs="宋体"/>
          <w:spacing w:val="-23"/>
          <w:sz w:val="23"/>
          <w:szCs w:val="23"/>
        </w:rPr>
        <w:t>心等方法进行分离。经固液分离出来的提取液可采用萃取分离、树脂分离、沉淀</w:t>
      </w:r>
      <w:r>
        <w:rPr>
          <w:rFonts w:ascii="宋体" w:eastAsia="宋体" w:hAnsi="宋体" w:cs="宋体"/>
          <w:spacing w:val="15"/>
          <w:sz w:val="23"/>
          <w:szCs w:val="23"/>
        </w:rPr>
        <w:t xml:space="preserve"> </w:t>
      </w:r>
      <w:r>
        <w:rPr>
          <w:rFonts w:ascii="宋体" w:eastAsia="宋体" w:hAnsi="宋体" w:cs="宋体"/>
          <w:spacing w:val="-20"/>
          <w:sz w:val="23"/>
          <w:szCs w:val="23"/>
        </w:rPr>
        <w:t>分离进行初步分离纯化。萃取分离方法常有水-有机溶剂萃取、双水相萃取、反</w:t>
      </w:r>
      <w:r>
        <w:rPr>
          <w:rFonts w:ascii="宋体" w:eastAsia="宋体" w:hAnsi="宋体" w:cs="宋体"/>
          <w:sz w:val="23"/>
          <w:szCs w:val="23"/>
        </w:rPr>
        <w:t xml:space="preserve">  </w:t>
      </w:r>
      <w:r>
        <w:rPr>
          <w:rFonts w:ascii="宋体" w:eastAsia="宋体" w:hAnsi="宋体" w:cs="宋体"/>
          <w:spacing w:val="-23"/>
          <w:sz w:val="23"/>
          <w:szCs w:val="23"/>
        </w:rPr>
        <w:t>胶束萃取、凝胶萃取和超临界流体萃取等，这类方法具有分离速度快、效率高等</w:t>
      </w:r>
      <w:r>
        <w:rPr>
          <w:rFonts w:ascii="宋体" w:eastAsia="宋体" w:hAnsi="宋体" w:cs="宋体"/>
          <w:spacing w:val="13"/>
          <w:sz w:val="23"/>
          <w:szCs w:val="23"/>
        </w:rPr>
        <w:t xml:space="preserve"> </w:t>
      </w:r>
      <w:r>
        <w:rPr>
          <w:rFonts w:ascii="宋体" w:eastAsia="宋体" w:hAnsi="宋体" w:cs="宋体"/>
          <w:spacing w:val="-17"/>
          <w:sz w:val="23"/>
          <w:szCs w:val="23"/>
        </w:rPr>
        <w:t>优点。树脂分离方法是利用功能成分与树脂结合，将杂质去后，再洗脱功能成</w:t>
      </w:r>
      <w:r>
        <w:rPr>
          <w:rFonts w:ascii="宋体" w:eastAsia="宋体" w:hAnsi="宋体" w:cs="宋体"/>
          <w:spacing w:val="17"/>
          <w:sz w:val="23"/>
          <w:szCs w:val="23"/>
        </w:rPr>
        <w:t xml:space="preserve"> </w:t>
      </w:r>
      <w:r>
        <w:rPr>
          <w:rFonts w:ascii="宋体" w:eastAsia="宋体" w:hAnsi="宋体" w:cs="宋体"/>
          <w:spacing w:val="-23"/>
          <w:sz w:val="23"/>
          <w:szCs w:val="23"/>
        </w:rPr>
        <w:t>分；或利用杂质与树脂结合，功能成分被分离纯化。树脂分离法具有产品纯度高</w:t>
      </w:r>
      <w:r>
        <w:rPr>
          <w:rFonts w:ascii="宋体" w:eastAsia="宋体" w:hAnsi="宋体" w:cs="宋体"/>
          <w:spacing w:val="12"/>
          <w:sz w:val="23"/>
          <w:szCs w:val="23"/>
        </w:rPr>
        <w:t xml:space="preserve"> </w:t>
      </w:r>
      <w:r>
        <w:rPr>
          <w:rFonts w:ascii="宋体" w:eastAsia="宋体" w:hAnsi="宋体" w:cs="宋体"/>
          <w:spacing w:val="-22"/>
          <w:sz w:val="23"/>
          <w:szCs w:val="23"/>
        </w:rPr>
        <w:t>的优点。沉淀分离法常有等电点法、盐析法、</w:t>
      </w:r>
      <w:r>
        <w:rPr>
          <w:rFonts w:ascii="宋体" w:eastAsia="宋体" w:hAnsi="宋体" w:cs="宋体"/>
          <w:spacing w:val="-23"/>
          <w:sz w:val="23"/>
          <w:szCs w:val="23"/>
        </w:rPr>
        <w:t>有机溶剂沉淀法等，设备及操作简</w:t>
      </w:r>
      <w:r>
        <w:rPr>
          <w:rFonts w:ascii="宋体" w:eastAsia="宋体" w:hAnsi="宋体" w:cs="宋体"/>
          <w:sz w:val="23"/>
          <w:szCs w:val="23"/>
        </w:rPr>
        <w:t xml:space="preserve"> </w:t>
      </w:r>
      <w:r>
        <w:rPr>
          <w:rFonts w:ascii="宋体" w:eastAsia="宋体" w:hAnsi="宋体" w:cs="宋体"/>
          <w:spacing w:val="-20"/>
          <w:sz w:val="23"/>
          <w:szCs w:val="23"/>
        </w:rPr>
        <w:t>单，但过滤困难，纯度较低。膜分离法是一种新技术，分为透析、微</w:t>
      </w:r>
      <w:r>
        <w:rPr>
          <w:rFonts w:ascii="宋体" w:eastAsia="宋体" w:hAnsi="宋体" w:cs="宋体"/>
          <w:spacing w:val="-21"/>
          <w:sz w:val="23"/>
          <w:szCs w:val="23"/>
        </w:rPr>
        <w:t>滤、纳滤、</w:t>
      </w:r>
      <w:r>
        <w:rPr>
          <w:rFonts w:ascii="宋体" w:eastAsia="宋体" w:hAnsi="宋体" w:cs="宋体"/>
          <w:sz w:val="23"/>
          <w:szCs w:val="23"/>
        </w:rPr>
        <w:t xml:space="preserve"> </w:t>
      </w:r>
      <w:r>
        <w:rPr>
          <w:rFonts w:ascii="宋体" w:eastAsia="宋体" w:hAnsi="宋体" w:cs="宋体"/>
          <w:spacing w:val="-22"/>
          <w:sz w:val="23"/>
          <w:szCs w:val="23"/>
        </w:rPr>
        <w:t>超滤、反渗透和电渗析等，具有高效、节能、无污染等优点。</w:t>
      </w:r>
    </w:p>
    <w:p w:rsidR="00EA40A3" w:rsidRDefault="00E86C16">
      <w:pPr>
        <w:spacing w:before="107" w:line="230" w:lineRule="auto"/>
        <w:ind w:right="64" w:firstLine="420"/>
        <w:jc w:val="both"/>
        <w:rPr>
          <w:rFonts w:ascii="宋体" w:eastAsia="宋体" w:hAnsi="宋体" w:cs="宋体"/>
          <w:sz w:val="23"/>
          <w:szCs w:val="23"/>
        </w:rPr>
      </w:pPr>
      <w:r>
        <w:rPr>
          <w:rFonts w:ascii="宋体" w:eastAsia="宋体" w:hAnsi="宋体" w:cs="宋体"/>
          <w:spacing w:val="-16"/>
          <w:sz w:val="23"/>
          <w:szCs w:val="23"/>
        </w:rPr>
        <w:t>经初步分离纯化若产品达不到要求，可采用色谱法和沉淀结晶法进一步纯</w:t>
      </w:r>
      <w:r>
        <w:rPr>
          <w:rFonts w:ascii="宋体" w:eastAsia="宋体" w:hAnsi="宋体" w:cs="宋体"/>
          <w:spacing w:val="11"/>
          <w:sz w:val="23"/>
          <w:szCs w:val="23"/>
        </w:rPr>
        <w:t xml:space="preserve"> </w:t>
      </w:r>
      <w:r>
        <w:rPr>
          <w:rFonts w:ascii="宋体" w:eastAsia="宋体" w:hAnsi="宋体" w:cs="宋体"/>
          <w:spacing w:val="-23"/>
          <w:sz w:val="23"/>
          <w:szCs w:val="23"/>
        </w:rPr>
        <w:t>化。色谱法常有气相色谱、液相色谱、纸色谱和薄层色谱，具有分离效率高、操</w:t>
      </w:r>
      <w:r>
        <w:rPr>
          <w:rFonts w:ascii="宋体" w:eastAsia="宋体" w:hAnsi="宋体" w:cs="宋体"/>
          <w:spacing w:val="14"/>
          <w:sz w:val="23"/>
          <w:szCs w:val="23"/>
        </w:rPr>
        <w:t xml:space="preserve"> </w:t>
      </w:r>
      <w:r>
        <w:rPr>
          <w:rFonts w:ascii="宋体" w:eastAsia="宋体" w:hAnsi="宋体" w:cs="宋体"/>
          <w:spacing w:val="-16"/>
          <w:sz w:val="23"/>
          <w:szCs w:val="23"/>
        </w:rPr>
        <w:t>作条件温和、产品纯度高等优点。为提高产品纯度，可</w:t>
      </w:r>
      <w:r>
        <w:rPr>
          <w:rFonts w:ascii="宋体" w:eastAsia="宋体" w:hAnsi="宋体" w:cs="宋体"/>
          <w:spacing w:val="-17"/>
          <w:sz w:val="23"/>
          <w:szCs w:val="23"/>
        </w:rPr>
        <w:t>重复多次沉淀或结晶的</w:t>
      </w:r>
      <w:r>
        <w:rPr>
          <w:rFonts w:ascii="宋体" w:eastAsia="宋体" w:hAnsi="宋体" w:cs="宋体"/>
          <w:sz w:val="23"/>
          <w:szCs w:val="23"/>
        </w:rPr>
        <w:t xml:space="preserve"> </w:t>
      </w:r>
      <w:r>
        <w:rPr>
          <w:rFonts w:ascii="宋体" w:eastAsia="宋体" w:hAnsi="宋体" w:cs="宋体"/>
          <w:spacing w:val="-22"/>
          <w:sz w:val="23"/>
          <w:szCs w:val="23"/>
        </w:rPr>
        <w:t>方法。</w:t>
      </w:r>
    </w:p>
    <w:p w:rsidR="00EA40A3" w:rsidRDefault="00E86C16">
      <w:pPr>
        <w:spacing w:before="72" w:line="230" w:lineRule="auto"/>
        <w:ind w:right="66" w:firstLine="420"/>
        <w:jc w:val="both"/>
        <w:rPr>
          <w:rFonts w:ascii="宋体" w:eastAsia="宋体" w:hAnsi="宋体" w:cs="宋体"/>
          <w:sz w:val="23"/>
          <w:szCs w:val="23"/>
        </w:rPr>
      </w:pPr>
      <w:r>
        <w:rPr>
          <w:rFonts w:ascii="宋体" w:eastAsia="宋体" w:hAnsi="宋体" w:cs="宋体"/>
          <w:spacing w:val="-22"/>
          <w:sz w:val="23"/>
          <w:szCs w:val="23"/>
        </w:rPr>
        <w:t>若分离纯化后为液体，不易久存，需采用常压或真空蒸发浓缩</w:t>
      </w:r>
      <w:r>
        <w:rPr>
          <w:rFonts w:ascii="宋体" w:eastAsia="宋体" w:hAnsi="宋体" w:cs="宋体"/>
          <w:spacing w:val="-23"/>
          <w:sz w:val="23"/>
          <w:szCs w:val="23"/>
        </w:rPr>
        <w:t>干燥、喷雾干</w:t>
      </w:r>
      <w:r>
        <w:rPr>
          <w:rFonts w:ascii="宋体" w:eastAsia="宋体" w:hAnsi="宋体" w:cs="宋体"/>
          <w:sz w:val="23"/>
          <w:szCs w:val="23"/>
        </w:rPr>
        <w:t xml:space="preserve"> </w:t>
      </w:r>
      <w:r>
        <w:rPr>
          <w:rFonts w:ascii="宋体" w:eastAsia="宋体" w:hAnsi="宋体" w:cs="宋体"/>
          <w:spacing w:val="-23"/>
          <w:sz w:val="23"/>
          <w:szCs w:val="23"/>
        </w:rPr>
        <w:t>燥、升华浓缩干燥等方法，制成浓缩或干燥的产</w:t>
      </w:r>
      <w:r>
        <w:rPr>
          <w:rFonts w:ascii="宋体" w:eastAsia="宋体" w:hAnsi="宋体" w:cs="宋体"/>
          <w:spacing w:val="-24"/>
          <w:sz w:val="23"/>
          <w:szCs w:val="23"/>
        </w:rPr>
        <w:t>品。</w:t>
      </w:r>
    </w:p>
    <w:p w:rsidR="00EA40A3" w:rsidRDefault="00E86C16">
      <w:pPr>
        <w:spacing w:before="71"/>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282</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1124" w:bottom="400" w:left="749" w:header="0" w:footer="0" w:gutter="0"/>
          <w:cols w:space="720"/>
        </w:sectPr>
      </w:pPr>
    </w:p>
    <w:p w:rsidR="00EA40A3" w:rsidRDefault="00EA40A3">
      <w:pPr>
        <w:spacing w:line="344" w:lineRule="auto"/>
      </w:pPr>
    </w:p>
    <w:p w:rsidR="00EA40A3" w:rsidRDefault="00EA40A3">
      <w:pPr>
        <w:spacing w:line="345"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17"/>
          <w:sz w:val="22"/>
          <w:szCs w:val="22"/>
        </w:rPr>
        <w:t xml:space="preserve"> </w:t>
      </w:r>
      <w:r>
        <w:rPr>
          <w:rFonts w:ascii="仿宋" w:eastAsia="仿宋" w:hAnsi="仿宋" w:cs="仿宋"/>
          <w:spacing w:val="14"/>
          <w:sz w:val="22"/>
          <w:szCs w:val="22"/>
        </w:rPr>
        <w:t>不同剂型保健食品的加工方法</w:t>
      </w:r>
    </w:p>
    <w:p w:rsidR="00EA40A3" w:rsidRDefault="00E86C16">
      <w:pPr>
        <w:spacing w:before="232" w:line="250" w:lineRule="auto"/>
        <w:ind w:firstLine="440"/>
        <w:jc w:val="both"/>
        <w:rPr>
          <w:rFonts w:ascii="宋体" w:eastAsia="宋体" w:hAnsi="宋体" w:cs="宋体"/>
          <w:sz w:val="22"/>
          <w:szCs w:val="22"/>
        </w:rPr>
      </w:pPr>
      <w:r>
        <w:rPr>
          <w:rFonts w:ascii="宋体" w:eastAsia="宋体" w:hAnsi="宋体" w:cs="宋体"/>
          <w:spacing w:val="-4"/>
          <w:sz w:val="22"/>
          <w:szCs w:val="22"/>
        </w:rPr>
        <w:t>保健食品常做成真溶液、胶体溶液、混悬液、胶囊、片剂、冲剂等</w:t>
      </w:r>
      <w:r>
        <w:rPr>
          <w:rFonts w:ascii="宋体" w:eastAsia="宋体" w:hAnsi="宋体" w:cs="宋体"/>
          <w:spacing w:val="-5"/>
          <w:sz w:val="22"/>
          <w:szCs w:val="22"/>
        </w:rPr>
        <w:t>剂型，</w:t>
      </w:r>
      <w:r>
        <w:rPr>
          <w:rFonts w:ascii="宋体" w:eastAsia="宋体" w:hAnsi="宋体" w:cs="宋体"/>
          <w:sz w:val="22"/>
          <w:szCs w:val="22"/>
        </w:rPr>
        <w:t xml:space="preserve"> </w:t>
      </w:r>
      <w:r>
        <w:rPr>
          <w:rFonts w:ascii="宋体" w:eastAsia="宋体" w:hAnsi="宋体" w:cs="宋体"/>
          <w:spacing w:val="-7"/>
          <w:sz w:val="22"/>
          <w:szCs w:val="22"/>
        </w:rPr>
        <w:t>剂型不同其加工方法也有所不同。①真溶液型和胶体溶液制剂是食物成分溶解</w:t>
      </w:r>
      <w:r>
        <w:rPr>
          <w:rFonts w:ascii="宋体" w:eastAsia="宋体" w:hAnsi="宋体" w:cs="宋体"/>
          <w:spacing w:val="2"/>
          <w:sz w:val="22"/>
          <w:szCs w:val="22"/>
        </w:rPr>
        <w:t xml:space="preserve">  </w:t>
      </w:r>
      <w:r>
        <w:rPr>
          <w:rFonts w:ascii="宋体" w:eastAsia="宋体" w:hAnsi="宋体" w:cs="宋体"/>
          <w:spacing w:val="-7"/>
          <w:sz w:val="22"/>
          <w:szCs w:val="22"/>
        </w:rPr>
        <w:t>或分散于溶剂中，主要采用溶解法制备，即将功能成分及其他食物成分溶于水</w:t>
      </w:r>
      <w:r>
        <w:rPr>
          <w:rFonts w:ascii="宋体" w:eastAsia="宋体" w:hAnsi="宋体" w:cs="宋体"/>
          <w:spacing w:val="3"/>
          <w:sz w:val="22"/>
          <w:szCs w:val="22"/>
        </w:rPr>
        <w:t xml:space="preserve">  中，再经过滤、灌装、灭菌等步骤处理。如果使用的蔗糖较多(近饱和),则  </w:t>
      </w:r>
      <w:r>
        <w:rPr>
          <w:rFonts w:ascii="宋体" w:eastAsia="宋体" w:hAnsi="宋体" w:cs="宋体"/>
          <w:spacing w:val="-7"/>
          <w:sz w:val="22"/>
          <w:szCs w:val="22"/>
        </w:rPr>
        <w:t>称为糖浆剂。②混悬型液体制剂是指不溶性食物成分颗粒分散在液体中所形成</w:t>
      </w:r>
      <w:r>
        <w:rPr>
          <w:rFonts w:ascii="宋体" w:eastAsia="宋体" w:hAnsi="宋体" w:cs="宋体"/>
          <w:spacing w:val="3"/>
          <w:sz w:val="22"/>
          <w:szCs w:val="22"/>
        </w:rPr>
        <w:t xml:space="preserve">  </w:t>
      </w:r>
      <w:r>
        <w:rPr>
          <w:rFonts w:ascii="宋体" w:eastAsia="宋体" w:hAnsi="宋体" w:cs="宋体"/>
          <w:spacing w:val="-7"/>
          <w:sz w:val="22"/>
          <w:szCs w:val="22"/>
        </w:rPr>
        <w:t>的不均匀的、多相分散的液体剂。若食物成分不溶或食物成分的溶解度达不到</w:t>
      </w:r>
      <w:r>
        <w:rPr>
          <w:rFonts w:ascii="宋体" w:eastAsia="宋体" w:hAnsi="宋体" w:cs="宋体"/>
          <w:spacing w:val="5"/>
          <w:sz w:val="22"/>
          <w:szCs w:val="22"/>
        </w:rPr>
        <w:t xml:space="preserve">  </w:t>
      </w:r>
      <w:r>
        <w:rPr>
          <w:rFonts w:ascii="宋体" w:eastAsia="宋体" w:hAnsi="宋体" w:cs="宋体"/>
          <w:spacing w:val="-6"/>
          <w:sz w:val="22"/>
          <w:szCs w:val="22"/>
        </w:rPr>
        <w:t>功能要求的浓度而不能制成溶液剂，或制成水溶液不稳定或为了</w:t>
      </w:r>
      <w:r>
        <w:rPr>
          <w:rFonts w:ascii="宋体" w:eastAsia="宋体" w:hAnsi="宋体" w:cs="宋体"/>
          <w:spacing w:val="-7"/>
          <w:sz w:val="22"/>
          <w:szCs w:val="22"/>
        </w:rPr>
        <w:t>长效的目的等</w:t>
      </w:r>
      <w:r>
        <w:rPr>
          <w:rFonts w:ascii="宋体" w:eastAsia="宋体" w:hAnsi="宋体" w:cs="宋体"/>
          <w:sz w:val="22"/>
          <w:szCs w:val="22"/>
        </w:rPr>
        <w:t xml:space="preserve"> </w:t>
      </w:r>
      <w:r>
        <w:rPr>
          <w:rFonts w:ascii="宋体" w:eastAsia="宋体" w:hAnsi="宋体" w:cs="宋体"/>
          <w:spacing w:val="-7"/>
          <w:sz w:val="22"/>
          <w:szCs w:val="22"/>
        </w:rPr>
        <w:t>可考虑制成混悬液。③胶囊剂分硬胶囊剂和软胶囊剂。硬胶囊剂是将一定量的</w:t>
      </w:r>
      <w:r>
        <w:rPr>
          <w:rFonts w:ascii="宋体" w:eastAsia="宋体" w:hAnsi="宋体" w:cs="宋体"/>
          <w:spacing w:val="6"/>
          <w:sz w:val="22"/>
          <w:szCs w:val="22"/>
        </w:rPr>
        <w:t xml:space="preserve">  </w:t>
      </w:r>
      <w:r>
        <w:rPr>
          <w:rFonts w:ascii="宋体" w:eastAsia="宋体" w:hAnsi="宋体" w:cs="宋体"/>
          <w:spacing w:val="-7"/>
          <w:sz w:val="22"/>
          <w:szCs w:val="22"/>
        </w:rPr>
        <w:t>食物成分填充于空心胶囊中制成。软胶囊剂是将一定量的食物成分或营养液密</w:t>
      </w:r>
      <w:r>
        <w:rPr>
          <w:rFonts w:ascii="宋体" w:eastAsia="宋体" w:hAnsi="宋体" w:cs="宋体"/>
          <w:spacing w:val="5"/>
          <w:sz w:val="22"/>
          <w:szCs w:val="22"/>
        </w:rPr>
        <w:t xml:space="preserve">  </w:t>
      </w:r>
      <w:r>
        <w:rPr>
          <w:rFonts w:ascii="宋体" w:eastAsia="宋体" w:hAnsi="宋体" w:cs="宋体"/>
          <w:sz w:val="22"/>
          <w:szCs w:val="22"/>
        </w:rPr>
        <w:t>封于球形或椭圆形的软质囊材中，可用滴制法或压制法制</w:t>
      </w:r>
      <w:r>
        <w:rPr>
          <w:rFonts w:ascii="宋体" w:eastAsia="宋体" w:hAnsi="宋体" w:cs="宋体"/>
          <w:spacing w:val="-1"/>
          <w:sz w:val="22"/>
          <w:szCs w:val="22"/>
        </w:rPr>
        <w:t>备。软质囊是由明</w:t>
      </w:r>
      <w:r>
        <w:rPr>
          <w:rFonts w:ascii="宋体" w:eastAsia="宋体" w:hAnsi="宋体" w:cs="宋体"/>
          <w:sz w:val="22"/>
          <w:szCs w:val="22"/>
        </w:rPr>
        <w:t xml:space="preserve">  </w:t>
      </w:r>
      <w:r>
        <w:rPr>
          <w:rFonts w:ascii="宋体" w:eastAsia="宋体" w:hAnsi="宋体" w:cs="宋体"/>
          <w:spacing w:val="-7"/>
          <w:sz w:val="22"/>
          <w:szCs w:val="22"/>
        </w:rPr>
        <w:t>胶、甘油或其他适宜的可食用材料制成。④片剂的制备可采用直接压片法和造</w:t>
      </w:r>
      <w:r>
        <w:rPr>
          <w:rFonts w:ascii="宋体" w:eastAsia="宋体" w:hAnsi="宋体" w:cs="宋体"/>
          <w:spacing w:val="2"/>
          <w:sz w:val="22"/>
          <w:szCs w:val="22"/>
        </w:rPr>
        <w:t xml:space="preserve">  </w:t>
      </w:r>
      <w:r>
        <w:rPr>
          <w:rFonts w:ascii="宋体" w:eastAsia="宋体" w:hAnsi="宋体" w:cs="宋体"/>
          <w:spacing w:val="-7"/>
          <w:sz w:val="22"/>
          <w:szCs w:val="22"/>
        </w:rPr>
        <w:t>粒后压片法。造粒后压片又分为湿法造粒压片和干法造粒压片，视原辅料情况</w:t>
      </w:r>
      <w:r>
        <w:rPr>
          <w:rFonts w:ascii="宋体" w:eastAsia="宋体" w:hAnsi="宋体" w:cs="宋体"/>
          <w:spacing w:val="3"/>
          <w:sz w:val="22"/>
          <w:szCs w:val="22"/>
        </w:rPr>
        <w:t xml:space="preserve">  </w:t>
      </w:r>
      <w:r>
        <w:rPr>
          <w:rFonts w:ascii="宋体" w:eastAsia="宋体" w:hAnsi="宋体" w:cs="宋体"/>
          <w:spacing w:val="-7"/>
          <w:sz w:val="22"/>
          <w:szCs w:val="22"/>
        </w:rPr>
        <w:t>而定。⑤冲剂是将食物成分细粉或食物提取物加适宜的赋形剂制成的可溶性或</w:t>
      </w:r>
      <w:r>
        <w:rPr>
          <w:rFonts w:ascii="宋体" w:eastAsia="宋体" w:hAnsi="宋体" w:cs="宋体"/>
          <w:spacing w:val="3"/>
          <w:sz w:val="22"/>
          <w:szCs w:val="22"/>
        </w:rPr>
        <w:t xml:space="preserve">  </w:t>
      </w:r>
      <w:r>
        <w:rPr>
          <w:rFonts w:ascii="宋体" w:eastAsia="宋体" w:hAnsi="宋体" w:cs="宋体"/>
          <w:spacing w:val="-6"/>
          <w:sz w:val="22"/>
          <w:szCs w:val="22"/>
        </w:rPr>
        <w:t>混悬性的内服制剂，其制法基本上与片剂颗粒的制法相同，只</w:t>
      </w:r>
      <w:r>
        <w:rPr>
          <w:rFonts w:ascii="宋体" w:eastAsia="宋体" w:hAnsi="宋体" w:cs="宋体"/>
          <w:spacing w:val="-7"/>
          <w:sz w:val="22"/>
          <w:szCs w:val="22"/>
        </w:rPr>
        <w:t>是颗粒的硬度较</w:t>
      </w:r>
      <w:r>
        <w:rPr>
          <w:rFonts w:ascii="宋体" w:eastAsia="宋体" w:hAnsi="宋体" w:cs="宋体"/>
          <w:sz w:val="22"/>
          <w:szCs w:val="22"/>
        </w:rPr>
        <w:t xml:space="preserve"> </w:t>
      </w:r>
      <w:r>
        <w:rPr>
          <w:rFonts w:ascii="宋体" w:eastAsia="宋体" w:hAnsi="宋体" w:cs="宋体"/>
          <w:spacing w:val="-4"/>
          <w:sz w:val="22"/>
          <w:szCs w:val="22"/>
        </w:rPr>
        <w:t>大，以免破碎.</w:t>
      </w:r>
    </w:p>
    <w:p w:rsidR="00EA40A3" w:rsidRDefault="00E86C16">
      <w:pPr>
        <w:spacing w:before="244" w:line="222" w:lineRule="auto"/>
        <w:ind w:left="3"/>
        <w:outlineLvl w:val="6"/>
        <w:rPr>
          <w:rFonts w:ascii="黑体" w:eastAsia="黑体" w:hAnsi="黑体" w:cs="黑体"/>
          <w:sz w:val="25"/>
          <w:szCs w:val="25"/>
        </w:rPr>
      </w:pPr>
      <w:r>
        <w:rPr>
          <w:rFonts w:ascii="黑体" w:eastAsia="黑体" w:hAnsi="黑体" w:cs="黑体"/>
          <w:b/>
          <w:bCs/>
          <w:spacing w:val="-11"/>
          <w:sz w:val="25"/>
          <w:szCs w:val="25"/>
        </w:rPr>
        <w:t>9.1.5</w:t>
      </w:r>
      <w:r>
        <w:rPr>
          <w:rFonts w:ascii="黑体" w:eastAsia="黑体" w:hAnsi="黑体" w:cs="黑体"/>
          <w:spacing w:val="12"/>
          <w:sz w:val="25"/>
          <w:szCs w:val="25"/>
        </w:rPr>
        <w:t xml:space="preserve">  </w:t>
      </w:r>
      <w:r>
        <w:rPr>
          <w:rFonts w:ascii="黑体" w:eastAsia="黑体" w:hAnsi="黑体" w:cs="黑体"/>
          <w:b/>
          <w:bCs/>
          <w:spacing w:val="-11"/>
          <w:sz w:val="25"/>
          <w:szCs w:val="25"/>
        </w:rPr>
        <w:t>保健食品的功能与评价</w:t>
      </w:r>
    </w:p>
    <w:p w:rsidR="00EA40A3" w:rsidRDefault="00E86C16">
      <w:pPr>
        <w:spacing w:before="309" w:line="221"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7"/>
          <w:sz w:val="22"/>
          <w:szCs w:val="22"/>
        </w:rPr>
        <w:t xml:space="preserve"> </w:t>
      </w:r>
      <w:r>
        <w:rPr>
          <w:rFonts w:ascii="仿宋" w:eastAsia="仿宋" w:hAnsi="仿宋" w:cs="仿宋"/>
          <w:spacing w:val="11"/>
          <w:sz w:val="22"/>
          <w:szCs w:val="22"/>
        </w:rPr>
        <w:t>保健食品的目标功能</w:t>
      </w:r>
    </w:p>
    <w:p w:rsidR="00EA40A3" w:rsidRDefault="00E86C16">
      <w:pPr>
        <w:spacing w:before="199"/>
        <w:ind w:right="57" w:firstLine="440"/>
        <w:jc w:val="both"/>
        <w:rPr>
          <w:rFonts w:ascii="宋体" w:eastAsia="宋体" w:hAnsi="宋体" w:cs="宋体"/>
          <w:sz w:val="22"/>
          <w:szCs w:val="22"/>
        </w:rPr>
      </w:pPr>
      <w:r>
        <w:rPr>
          <w:rFonts w:ascii="宋体" w:eastAsia="宋体" w:hAnsi="宋体" w:cs="宋体"/>
          <w:spacing w:val="-12"/>
          <w:sz w:val="22"/>
          <w:szCs w:val="22"/>
        </w:rPr>
        <w:t>不同国家和地区对于保健食品的目标功能的分类</w:t>
      </w:r>
      <w:r>
        <w:rPr>
          <w:rFonts w:ascii="宋体" w:eastAsia="宋体" w:hAnsi="宋体" w:cs="宋体"/>
          <w:spacing w:val="-13"/>
          <w:sz w:val="22"/>
          <w:szCs w:val="22"/>
        </w:rPr>
        <w:t>并不相同。国际生命科学院</w:t>
      </w:r>
      <w:r>
        <w:rPr>
          <w:rFonts w:ascii="宋体" w:eastAsia="宋体" w:hAnsi="宋体" w:cs="宋体"/>
          <w:sz w:val="22"/>
          <w:szCs w:val="22"/>
        </w:rPr>
        <w:t xml:space="preserve"> </w:t>
      </w:r>
      <w:r>
        <w:rPr>
          <w:rFonts w:ascii="宋体" w:eastAsia="宋体" w:hAnsi="宋体" w:cs="宋体"/>
          <w:spacing w:val="-15"/>
          <w:sz w:val="22"/>
          <w:szCs w:val="22"/>
        </w:rPr>
        <w:t>(International</w:t>
      </w:r>
      <w:r>
        <w:rPr>
          <w:rFonts w:ascii="宋体" w:eastAsia="宋体" w:hAnsi="宋体" w:cs="宋体"/>
          <w:spacing w:val="-12"/>
          <w:sz w:val="22"/>
          <w:szCs w:val="22"/>
        </w:rPr>
        <w:t xml:space="preserve"> </w:t>
      </w:r>
      <w:r>
        <w:rPr>
          <w:rFonts w:ascii="宋体" w:eastAsia="宋体" w:hAnsi="宋体" w:cs="宋体"/>
          <w:spacing w:val="-15"/>
          <w:sz w:val="22"/>
          <w:szCs w:val="22"/>
        </w:rPr>
        <w:t>Life</w:t>
      </w:r>
      <w:r>
        <w:rPr>
          <w:rFonts w:ascii="宋体" w:eastAsia="宋体" w:hAnsi="宋体" w:cs="宋体"/>
          <w:spacing w:val="-10"/>
          <w:sz w:val="22"/>
          <w:szCs w:val="22"/>
        </w:rPr>
        <w:t xml:space="preserve"> </w:t>
      </w:r>
      <w:r>
        <w:rPr>
          <w:rFonts w:ascii="宋体" w:eastAsia="宋体" w:hAnsi="宋体" w:cs="宋体"/>
          <w:spacing w:val="-15"/>
          <w:sz w:val="22"/>
          <w:szCs w:val="22"/>
        </w:rPr>
        <w:t>Science</w:t>
      </w:r>
      <w:r>
        <w:rPr>
          <w:rFonts w:ascii="宋体" w:eastAsia="宋体" w:hAnsi="宋体" w:cs="宋体"/>
          <w:sz w:val="22"/>
          <w:szCs w:val="22"/>
        </w:rPr>
        <w:t xml:space="preserve"> </w:t>
      </w:r>
      <w:r>
        <w:rPr>
          <w:rFonts w:ascii="宋体" w:eastAsia="宋体" w:hAnsi="宋体" w:cs="宋体"/>
          <w:spacing w:val="-15"/>
          <w:sz w:val="22"/>
          <w:szCs w:val="22"/>
        </w:rPr>
        <w:t>Institute</w:t>
      </w:r>
      <w:r>
        <w:rPr>
          <w:rFonts w:ascii="宋体" w:eastAsia="宋体" w:hAnsi="宋体" w:cs="宋体"/>
          <w:spacing w:val="-16"/>
          <w:sz w:val="22"/>
          <w:szCs w:val="22"/>
        </w:rPr>
        <w:t>,Ⅱ</w:t>
      </w:r>
      <w:r>
        <w:rPr>
          <w:rFonts w:ascii="宋体" w:eastAsia="宋体" w:hAnsi="宋体" w:cs="宋体"/>
          <w:spacing w:val="-15"/>
          <w:sz w:val="22"/>
          <w:szCs w:val="22"/>
        </w:rPr>
        <w:t>SI</w:t>
      </w:r>
      <w:r>
        <w:rPr>
          <w:rFonts w:ascii="宋体" w:eastAsia="宋体" w:hAnsi="宋体" w:cs="宋体"/>
          <w:spacing w:val="-16"/>
          <w:sz w:val="22"/>
          <w:szCs w:val="22"/>
        </w:rPr>
        <w:t>)</w:t>
      </w:r>
      <w:r>
        <w:rPr>
          <w:rFonts w:ascii="宋体" w:eastAsia="宋体" w:hAnsi="宋体" w:cs="宋体"/>
          <w:spacing w:val="-40"/>
          <w:sz w:val="22"/>
          <w:szCs w:val="22"/>
        </w:rPr>
        <w:t xml:space="preserve"> </w:t>
      </w:r>
      <w:r>
        <w:rPr>
          <w:rFonts w:ascii="宋体" w:eastAsia="宋体" w:hAnsi="宋体" w:cs="宋体"/>
          <w:spacing w:val="-16"/>
          <w:sz w:val="22"/>
          <w:szCs w:val="22"/>
        </w:rPr>
        <w:t>欧洲分会把功能性食品的目标功能</w:t>
      </w:r>
      <w:r>
        <w:rPr>
          <w:rFonts w:ascii="宋体" w:eastAsia="宋体" w:hAnsi="宋体" w:cs="宋体"/>
          <w:sz w:val="22"/>
          <w:szCs w:val="22"/>
        </w:rPr>
        <w:t xml:space="preserve"> </w:t>
      </w:r>
      <w:r>
        <w:rPr>
          <w:rFonts w:ascii="宋体" w:eastAsia="宋体" w:hAnsi="宋体" w:cs="宋体"/>
          <w:spacing w:val="-9"/>
          <w:sz w:val="22"/>
          <w:szCs w:val="22"/>
        </w:rPr>
        <w:t>大致概括为以下6个方面：①促进生长、发育以及分化，例如孕妇</w:t>
      </w:r>
      <w:r>
        <w:rPr>
          <w:rFonts w:ascii="宋体" w:eastAsia="宋体" w:hAnsi="宋体" w:cs="宋体"/>
          <w:spacing w:val="-10"/>
          <w:sz w:val="22"/>
          <w:szCs w:val="22"/>
        </w:rPr>
        <w:t>或乳母的机体</w:t>
      </w:r>
      <w:r>
        <w:rPr>
          <w:rFonts w:ascii="宋体" w:eastAsia="宋体" w:hAnsi="宋体" w:cs="宋体"/>
          <w:sz w:val="22"/>
          <w:szCs w:val="22"/>
        </w:rPr>
        <w:t xml:space="preserve"> </w:t>
      </w:r>
      <w:r>
        <w:rPr>
          <w:rFonts w:ascii="宋体" w:eastAsia="宋体" w:hAnsi="宋体" w:cs="宋体"/>
          <w:spacing w:val="-13"/>
          <w:sz w:val="22"/>
          <w:szCs w:val="22"/>
        </w:rPr>
        <w:t>代谢的适应性增强；②代谢调节效应，例如维持合适体重；</w:t>
      </w:r>
      <w:r>
        <w:rPr>
          <w:rFonts w:ascii="宋体" w:eastAsia="宋体" w:hAnsi="宋体" w:cs="宋体"/>
          <w:spacing w:val="-14"/>
          <w:sz w:val="22"/>
          <w:szCs w:val="22"/>
        </w:rPr>
        <w:t>③防御活性氧化物的</w:t>
      </w:r>
      <w:r>
        <w:rPr>
          <w:rFonts w:ascii="宋体" w:eastAsia="宋体" w:hAnsi="宋体" w:cs="宋体"/>
          <w:sz w:val="22"/>
          <w:szCs w:val="22"/>
        </w:rPr>
        <w:t xml:space="preserve"> </w:t>
      </w:r>
      <w:r>
        <w:rPr>
          <w:rFonts w:ascii="宋体" w:eastAsia="宋体" w:hAnsi="宋体" w:cs="宋体"/>
          <w:spacing w:val="-8"/>
          <w:sz w:val="22"/>
          <w:szCs w:val="22"/>
        </w:rPr>
        <w:t>危害，例如DNA</w:t>
      </w:r>
      <w:r>
        <w:rPr>
          <w:rFonts w:ascii="宋体" w:eastAsia="宋体" w:hAnsi="宋体" w:cs="宋体"/>
          <w:spacing w:val="84"/>
          <w:sz w:val="22"/>
          <w:szCs w:val="22"/>
        </w:rPr>
        <w:t xml:space="preserve"> </w:t>
      </w:r>
      <w:r>
        <w:rPr>
          <w:rFonts w:ascii="宋体" w:eastAsia="宋体" w:hAnsi="宋体" w:cs="宋体"/>
          <w:spacing w:val="-8"/>
          <w:sz w:val="22"/>
          <w:szCs w:val="22"/>
        </w:rPr>
        <w:t>结构及其功能活性的保护；④心血管系统维</w:t>
      </w:r>
      <w:r>
        <w:rPr>
          <w:rFonts w:ascii="宋体" w:eastAsia="宋体" w:hAnsi="宋体" w:cs="宋体"/>
          <w:spacing w:val="-9"/>
          <w:sz w:val="22"/>
          <w:szCs w:val="22"/>
        </w:rPr>
        <w:t>护，例如脂蛋白的</w:t>
      </w:r>
      <w:r>
        <w:rPr>
          <w:rFonts w:ascii="宋体" w:eastAsia="宋体" w:hAnsi="宋体" w:cs="宋体"/>
          <w:sz w:val="22"/>
          <w:szCs w:val="22"/>
        </w:rPr>
        <w:t xml:space="preserve"> </w:t>
      </w:r>
      <w:r>
        <w:rPr>
          <w:rFonts w:ascii="宋体" w:eastAsia="宋体" w:hAnsi="宋体" w:cs="宋体"/>
          <w:spacing w:val="-12"/>
          <w:sz w:val="22"/>
          <w:szCs w:val="22"/>
        </w:rPr>
        <w:t>动态平衡；⑤肠道功能调节，例如最佳的肠道功能以及粪便形成</w:t>
      </w:r>
      <w:r>
        <w:rPr>
          <w:rFonts w:ascii="宋体" w:eastAsia="宋体" w:hAnsi="宋体" w:cs="宋体"/>
          <w:spacing w:val="-13"/>
          <w:sz w:val="22"/>
          <w:szCs w:val="22"/>
        </w:rPr>
        <w:t>；⑥行为以及心</w:t>
      </w:r>
      <w:r>
        <w:rPr>
          <w:rFonts w:ascii="宋体" w:eastAsia="宋体" w:hAnsi="宋体" w:cs="宋体"/>
          <w:sz w:val="22"/>
          <w:szCs w:val="22"/>
        </w:rPr>
        <w:t xml:space="preserve"> </w:t>
      </w:r>
      <w:r>
        <w:rPr>
          <w:rFonts w:ascii="宋体" w:eastAsia="宋体" w:hAnsi="宋体" w:cs="宋体"/>
          <w:spacing w:val="-14"/>
          <w:sz w:val="22"/>
          <w:szCs w:val="22"/>
        </w:rPr>
        <w:t>理功能调节，例如认知能力和反应能力。</w:t>
      </w:r>
    </w:p>
    <w:p w:rsidR="00EA40A3" w:rsidRDefault="00E86C16">
      <w:pPr>
        <w:spacing w:before="111" w:line="247" w:lineRule="auto"/>
        <w:ind w:firstLine="440"/>
        <w:jc w:val="both"/>
        <w:rPr>
          <w:rFonts w:ascii="宋体" w:eastAsia="宋体" w:hAnsi="宋体" w:cs="宋体"/>
          <w:sz w:val="22"/>
          <w:szCs w:val="22"/>
        </w:rPr>
      </w:pPr>
      <w:r>
        <w:rPr>
          <w:rFonts w:ascii="宋体" w:eastAsia="宋体" w:hAnsi="宋体" w:cs="宋体"/>
          <w:spacing w:val="-6"/>
          <w:sz w:val="22"/>
          <w:szCs w:val="22"/>
        </w:rPr>
        <w:t>我国卫生部1996年开始提出保健食品的功能声称范围，当时允许申报的功</w:t>
      </w:r>
      <w:r>
        <w:rPr>
          <w:rFonts w:ascii="宋体" w:eastAsia="宋体" w:hAnsi="宋体" w:cs="宋体"/>
          <w:spacing w:val="17"/>
          <w:sz w:val="22"/>
          <w:szCs w:val="22"/>
        </w:rPr>
        <w:t xml:space="preserve"> </w:t>
      </w:r>
      <w:r>
        <w:rPr>
          <w:rFonts w:ascii="宋体" w:eastAsia="宋体" w:hAnsi="宋体" w:cs="宋体"/>
          <w:spacing w:val="2"/>
          <w:sz w:val="22"/>
          <w:szCs w:val="22"/>
        </w:rPr>
        <w:t>能有12项，1997年又新增12项，2000年上半年又减少其中2项，共22项，直</w:t>
      </w:r>
      <w:r>
        <w:rPr>
          <w:rFonts w:ascii="宋体" w:eastAsia="宋体" w:hAnsi="宋体" w:cs="宋体"/>
          <w:sz w:val="22"/>
          <w:szCs w:val="22"/>
        </w:rPr>
        <w:t xml:space="preserve">  </w:t>
      </w:r>
      <w:r>
        <w:rPr>
          <w:rFonts w:ascii="宋体" w:eastAsia="宋体" w:hAnsi="宋体" w:cs="宋体"/>
          <w:spacing w:val="-6"/>
          <w:sz w:val="22"/>
          <w:szCs w:val="22"/>
        </w:rPr>
        <w:t>到2003年初重新调整和增加，确定为27项功能，即：①增强免疫力；②辅助降</w:t>
      </w:r>
      <w:r>
        <w:rPr>
          <w:rFonts w:ascii="宋体" w:eastAsia="宋体" w:hAnsi="宋体" w:cs="宋体"/>
          <w:spacing w:val="11"/>
          <w:sz w:val="22"/>
          <w:szCs w:val="22"/>
        </w:rPr>
        <w:t xml:space="preserve"> </w:t>
      </w:r>
      <w:r>
        <w:rPr>
          <w:rFonts w:ascii="宋体" w:eastAsia="宋体" w:hAnsi="宋体" w:cs="宋体"/>
          <w:spacing w:val="-10"/>
          <w:sz w:val="22"/>
          <w:szCs w:val="22"/>
        </w:rPr>
        <w:t>血脂；③辅助降血糖；④抗氧化；⑤辅助改善记忆力；⑥缓解视疲劳；⑦清咽；</w:t>
      </w:r>
      <w:r>
        <w:rPr>
          <w:rFonts w:ascii="宋体" w:eastAsia="宋体" w:hAnsi="宋体" w:cs="宋体"/>
          <w:sz w:val="22"/>
          <w:szCs w:val="22"/>
        </w:rPr>
        <w:t xml:space="preserve"> </w:t>
      </w:r>
      <w:r>
        <w:rPr>
          <w:rFonts w:ascii="宋体" w:eastAsia="宋体" w:hAnsi="宋体" w:cs="宋体"/>
          <w:spacing w:val="-23"/>
          <w:w w:val="99"/>
          <w:sz w:val="22"/>
          <w:szCs w:val="22"/>
        </w:rPr>
        <w:t>⑧</w:t>
      </w:r>
      <w:r>
        <w:rPr>
          <w:rFonts w:ascii="宋体" w:eastAsia="宋体" w:hAnsi="宋体" w:cs="宋体"/>
          <w:spacing w:val="-83"/>
          <w:sz w:val="22"/>
          <w:szCs w:val="22"/>
        </w:rPr>
        <w:t xml:space="preserve"> </w:t>
      </w:r>
      <w:r>
        <w:rPr>
          <w:rFonts w:ascii="宋体" w:eastAsia="宋体" w:hAnsi="宋体" w:cs="宋体"/>
          <w:spacing w:val="-23"/>
          <w:w w:val="99"/>
          <w:sz w:val="22"/>
          <w:szCs w:val="22"/>
        </w:rPr>
        <w:t>辅助降血压；⑨促进排铅；⑩改善睡眠；①促进泌乳；</w:t>
      </w:r>
      <w:r>
        <w:rPr>
          <w:rFonts w:ascii="宋体" w:eastAsia="宋体" w:hAnsi="宋体" w:cs="宋体"/>
          <w:spacing w:val="59"/>
          <w:sz w:val="22"/>
          <w:szCs w:val="22"/>
        </w:rPr>
        <w:t xml:space="preserve"> </w:t>
      </w:r>
      <w:r>
        <w:rPr>
          <w:rFonts w:ascii="Calibri" w:eastAsia="Calibri" w:hAnsi="Calibri" w:cs="Calibri"/>
          <w:spacing w:val="-23"/>
          <w:w w:val="99"/>
          <w:sz w:val="22"/>
          <w:szCs w:val="22"/>
        </w:rPr>
        <w:t>⑫</w:t>
      </w:r>
      <w:r>
        <w:rPr>
          <w:rFonts w:ascii="宋体" w:eastAsia="宋体" w:hAnsi="宋体" w:cs="宋体"/>
          <w:spacing w:val="-23"/>
          <w:w w:val="99"/>
          <w:sz w:val="22"/>
          <w:szCs w:val="22"/>
        </w:rPr>
        <w:t>缓解体力疲劳；</w:t>
      </w:r>
      <w:r>
        <w:rPr>
          <w:rFonts w:ascii="宋体" w:eastAsia="宋体" w:hAnsi="宋体" w:cs="宋体"/>
          <w:spacing w:val="20"/>
          <w:sz w:val="22"/>
          <w:szCs w:val="22"/>
        </w:rPr>
        <w:t xml:space="preserve"> </w:t>
      </w:r>
      <w:r>
        <w:rPr>
          <w:rFonts w:ascii="Calibri" w:eastAsia="Calibri" w:hAnsi="Calibri" w:cs="Calibri"/>
          <w:spacing w:val="-23"/>
          <w:w w:val="99"/>
          <w:sz w:val="22"/>
          <w:szCs w:val="22"/>
        </w:rPr>
        <w:t>⑬</w:t>
      </w:r>
      <w:r>
        <w:rPr>
          <w:rFonts w:ascii="宋体" w:eastAsia="宋体" w:hAnsi="宋体" w:cs="宋体"/>
          <w:spacing w:val="-23"/>
          <w:w w:val="99"/>
          <w:sz w:val="22"/>
          <w:szCs w:val="22"/>
        </w:rPr>
        <w:t>提</w:t>
      </w:r>
      <w:r>
        <w:rPr>
          <w:rFonts w:ascii="宋体" w:eastAsia="宋体" w:hAnsi="宋体" w:cs="宋体"/>
          <w:sz w:val="22"/>
          <w:szCs w:val="22"/>
        </w:rPr>
        <w:t xml:space="preserve"> </w:t>
      </w:r>
      <w:r>
        <w:rPr>
          <w:rFonts w:ascii="宋体" w:eastAsia="宋体" w:hAnsi="宋体" w:cs="宋体"/>
          <w:spacing w:val="-20"/>
          <w:sz w:val="22"/>
          <w:szCs w:val="22"/>
        </w:rPr>
        <w:t>高缺氧耐受力；④对辐射危害有辅助保护；</w:t>
      </w:r>
      <w:r>
        <w:rPr>
          <w:rFonts w:ascii="宋体" w:eastAsia="宋体" w:hAnsi="宋体" w:cs="宋体"/>
          <w:spacing w:val="68"/>
          <w:sz w:val="22"/>
          <w:szCs w:val="22"/>
        </w:rPr>
        <w:t xml:space="preserve"> </w:t>
      </w:r>
      <w:r>
        <w:rPr>
          <w:rFonts w:ascii="Calibri" w:eastAsia="Calibri" w:hAnsi="Calibri" w:cs="Calibri"/>
          <w:spacing w:val="-20"/>
          <w:sz w:val="22"/>
          <w:szCs w:val="22"/>
        </w:rPr>
        <w:t>⑮</w:t>
      </w:r>
      <w:r>
        <w:rPr>
          <w:rFonts w:ascii="宋体" w:eastAsia="宋体" w:hAnsi="宋体" w:cs="宋体"/>
          <w:spacing w:val="-20"/>
          <w:sz w:val="22"/>
          <w:szCs w:val="22"/>
        </w:rPr>
        <w:t>减肥；⑥改善生长发育；⑩增加骨</w:t>
      </w:r>
      <w:r>
        <w:rPr>
          <w:rFonts w:ascii="宋体" w:eastAsia="宋体" w:hAnsi="宋体" w:cs="宋体"/>
          <w:sz w:val="22"/>
          <w:szCs w:val="22"/>
        </w:rPr>
        <w:t xml:space="preserve">  </w:t>
      </w:r>
      <w:r>
        <w:rPr>
          <w:rFonts w:ascii="宋体" w:eastAsia="宋体" w:hAnsi="宋体" w:cs="宋体"/>
          <w:spacing w:val="-21"/>
          <w:sz w:val="22"/>
          <w:szCs w:val="22"/>
        </w:rPr>
        <w:t>密度；</w:t>
      </w:r>
      <w:r>
        <w:rPr>
          <w:rFonts w:ascii="宋体" w:eastAsia="宋体" w:hAnsi="宋体" w:cs="宋体"/>
          <w:spacing w:val="5"/>
          <w:sz w:val="22"/>
          <w:szCs w:val="22"/>
        </w:rPr>
        <w:t xml:space="preserve"> </w:t>
      </w:r>
      <w:r>
        <w:rPr>
          <w:rFonts w:ascii="Calibri" w:eastAsia="Calibri" w:hAnsi="Calibri" w:cs="Calibri"/>
          <w:spacing w:val="-21"/>
          <w:sz w:val="22"/>
          <w:szCs w:val="22"/>
        </w:rPr>
        <w:t>⑬</w:t>
      </w:r>
      <w:r>
        <w:rPr>
          <w:rFonts w:ascii="宋体" w:eastAsia="宋体" w:hAnsi="宋体" w:cs="宋体"/>
          <w:spacing w:val="-21"/>
          <w:sz w:val="22"/>
          <w:szCs w:val="22"/>
        </w:rPr>
        <w:t>改善营养性贫血；</w:t>
      </w:r>
      <w:r>
        <w:rPr>
          <w:rFonts w:ascii="宋体" w:eastAsia="宋体" w:hAnsi="宋体" w:cs="宋体"/>
          <w:spacing w:val="67"/>
          <w:sz w:val="22"/>
          <w:szCs w:val="22"/>
        </w:rPr>
        <w:t xml:space="preserve"> </w:t>
      </w:r>
      <w:r>
        <w:rPr>
          <w:rFonts w:ascii="Calibri" w:eastAsia="Calibri" w:hAnsi="Calibri" w:cs="Calibri"/>
          <w:spacing w:val="-21"/>
          <w:sz w:val="22"/>
          <w:szCs w:val="22"/>
        </w:rPr>
        <w:t>⑲</w:t>
      </w:r>
      <w:r>
        <w:rPr>
          <w:rFonts w:ascii="宋体" w:eastAsia="宋体" w:hAnsi="宋体" w:cs="宋体"/>
          <w:spacing w:val="-21"/>
          <w:sz w:val="22"/>
          <w:szCs w:val="22"/>
        </w:rPr>
        <w:t>化学性肝损伤有辅助</w:t>
      </w:r>
      <w:r>
        <w:rPr>
          <w:rFonts w:ascii="宋体" w:eastAsia="宋体" w:hAnsi="宋体" w:cs="宋体"/>
          <w:spacing w:val="-22"/>
          <w:sz w:val="22"/>
          <w:szCs w:val="22"/>
        </w:rPr>
        <w:t>保护；</w:t>
      </w:r>
      <w:r>
        <w:rPr>
          <w:rFonts w:ascii="宋体" w:eastAsia="宋体" w:hAnsi="宋体" w:cs="宋体"/>
          <w:spacing w:val="30"/>
          <w:sz w:val="22"/>
          <w:szCs w:val="22"/>
        </w:rPr>
        <w:t xml:space="preserve">  </w:t>
      </w:r>
      <w:r>
        <w:rPr>
          <w:rFonts w:ascii="宋体" w:eastAsia="宋体" w:hAnsi="宋体" w:cs="宋体"/>
          <w:spacing w:val="-22"/>
          <w:sz w:val="22"/>
          <w:szCs w:val="22"/>
        </w:rPr>
        <w:t>祛痤疮；①祛黄褐</w:t>
      </w:r>
      <w:r>
        <w:rPr>
          <w:rFonts w:ascii="宋体" w:eastAsia="宋体" w:hAnsi="宋体" w:cs="宋体"/>
          <w:sz w:val="22"/>
          <w:szCs w:val="22"/>
        </w:rPr>
        <w:t xml:space="preserve"> </w:t>
      </w:r>
      <w:r>
        <w:rPr>
          <w:rFonts w:ascii="宋体" w:eastAsia="宋体" w:hAnsi="宋体" w:cs="宋体"/>
          <w:spacing w:val="-14"/>
          <w:sz w:val="22"/>
          <w:szCs w:val="22"/>
        </w:rPr>
        <w:t>斑；②改善皮肤水分；③改善皮肤油分；②调节肠道菌群；</w:t>
      </w:r>
      <w:r>
        <w:rPr>
          <w:rFonts w:ascii="宋体" w:eastAsia="宋体" w:hAnsi="宋体" w:cs="宋体"/>
          <w:spacing w:val="5"/>
          <w:sz w:val="22"/>
          <w:szCs w:val="22"/>
        </w:rPr>
        <w:t xml:space="preserve">   </w:t>
      </w:r>
      <w:r>
        <w:rPr>
          <w:rFonts w:ascii="宋体" w:eastAsia="宋体" w:hAnsi="宋体" w:cs="宋体"/>
          <w:spacing w:val="-14"/>
          <w:sz w:val="22"/>
          <w:szCs w:val="22"/>
        </w:rPr>
        <w:t>促进消化；</w:t>
      </w:r>
      <w:r>
        <w:rPr>
          <w:rFonts w:ascii="宋体" w:eastAsia="宋体" w:hAnsi="宋体" w:cs="宋体"/>
          <w:spacing w:val="4"/>
          <w:sz w:val="22"/>
          <w:szCs w:val="22"/>
        </w:rPr>
        <w:t xml:space="preserve">   </w:t>
      </w:r>
      <w:r>
        <w:rPr>
          <w:rFonts w:ascii="宋体" w:eastAsia="宋体" w:hAnsi="宋体" w:cs="宋体"/>
          <w:spacing w:val="-14"/>
          <w:sz w:val="22"/>
          <w:szCs w:val="22"/>
        </w:rPr>
        <w:t>通</w:t>
      </w:r>
    </w:p>
    <w:p w:rsidR="00EA40A3" w:rsidRDefault="00EA40A3">
      <w:pPr>
        <w:sectPr w:rsidR="00EA40A3">
          <w:footerReference w:type="default" r:id="rId242"/>
          <w:pgSz w:w="9220" w:h="13360"/>
          <w:pgMar w:top="400" w:right="970" w:bottom="1307" w:left="899" w:header="0" w:footer="1099" w:gutter="0"/>
          <w:cols w:space="720"/>
        </w:sectPr>
      </w:pPr>
    </w:p>
    <w:p w:rsidR="00EA40A3" w:rsidRDefault="00EA40A3">
      <w:pPr>
        <w:spacing w:line="255" w:lineRule="auto"/>
      </w:pPr>
    </w:p>
    <w:p w:rsidR="00EA40A3" w:rsidRDefault="00EA40A3">
      <w:pPr>
        <w:spacing w:line="256" w:lineRule="auto"/>
      </w:pPr>
    </w:p>
    <w:p w:rsidR="00EA40A3" w:rsidRDefault="00E86C16">
      <w:pPr>
        <w:spacing w:before="71" w:line="245" w:lineRule="auto"/>
        <w:ind w:right="93"/>
        <w:jc w:val="both"/>
        <w:rPr>
          <w:rFonts w:ascii="宋体" w:eastAsia="宋体" w:hAnsi="宋体" w:cs="宋体"/>
          <w:sz w:val="22"/>
          <w:szCs w:val="22"/>
        </w:rPr>
      </w:pPr>
      <w:r>
        <w:rPr>
          <w:rFonts w:ascii="宋体" w:eastAsia="宋体" w:hAnsi="宋体" w:cs="宋体"/>
          <w:spacing w:val="-7"/>
          <w:sz w:val="22"/>
          <w:szCs w:val="22"/>
        </w:rPr>
        <w:t>便；⑦对胃黏膜损伤有辅助保护。实际上，需要改善的健康问题远不止上述27</w:t>
      </w:r>
      <w:r>
        <w:rPr>
          <w:rFonts w:ascii="宋体" w:eastAsia="宋体" w:hAnsi="宋体" w:cs="宋体"/>
          <w:spacing w:val="6"/>
          <w:sz w:val="22"/>
          <w:szCs w:val="22"/>
        </w:rPr>
        <w:t xml:space="preserve"> </w:t>
      </w:r>
      <w:r>
        <w:rPr>
          <w:rFonts w:ascii="宋体" w:eastAsia="宋体" w:hAnsi="宋体" w:cs="宋体"/>
          <w:spacing w:val="-7"/>
          <w:sz w:val="22"/>
          <w:szCs w:val="22"/>
        </w:rPr>
        <w:t>项。例如衰老(延缓衰老功能试验不足以确切证明)、更年期综合征、性功能障</w:t>
      </w:r>
      <w:r>
        <w:rPr>
          <w:rFonts w:ascii="宋体" w:eastAsia="宋体" w:hAnsi="宋体" w:cs="宋体"/>
          <w:spacing w:val="3"/>
          <w:sz w:val="22"/>
          <w:szCs w:val="22"/>
        </w:rPr>
        <w:t xml:space="preserve"> </w:t>
      </w:r>
      <w:r>
        <w:rPr>
          <w:rFonts w:ascii="宋体" w:eastAsia="宋体" w:hAnsi="宋体" w:cs="宋体"/>
          <w:spacing w:val="-7"/>
          <w:sz w:val="22"/>
          <w:szCs w:val="22"/>
        </w:rPr>
        <w:t>碍等健康问题也需要解决，尚有待于今后深入研究，开发新的保健食品和新的</w:t>
      </w:r>
      <w:r>
        <w:rPr>
          <w:rFonts w:ascii="宋体" w:eastAsia="宋体" w:hAnsi="宋体" w:cs="宋体"/>
          <w:spacing w:val="3"/>
          <w:sz w:val="22"/>
          <w:szCs w:val="22"/>
        </w:rPr>
        <w:t xml:space="preserve"> </w:t>
      </w:r>
      <w:r>
        <w:rPr>
          <w:rFonts w:ascii="宋体" w:eastAsia="宋体" w:hAnsi="宋体" w:cs="宋体"/>
          <w:spacing w:val="-10"/>
          <w:sz w:val="22"/>
          <w:szCs w:val="22"/>
        </w:rPr>
        <w:t>功能。</w:t>
      </w:r>
    </w:p>
    <w:p w:rsidR="00EA40A3" w:rsidRDefault="00E86C16">
      <w:pPr>
        <w:spacing w:before="251" w:line="220"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11"/>
          <w:sz w:val="22"/>
          <w:szCs w:val="22"/>
        </w:rPr>
        <w:t xml:space="preserve"> </w:t>
      </w:r>
      <w:r>
        <w:rPr>
          <w:rFonts w:ascii="仿宋" w:eastAsia="仿宋" w:hAnsi="仿宋" w:cs="仿宋"/>
          <w:spacing w:val="12"/>
          <w:sz w:val="22"/>
          <w:szCs w:val="22"/>
        </w:rPr>
        <w:t>保健功能的功能性评价</w:t>
      </w:r>
    </w:p>
    <w:p w:rsidR="00EA40A3" w:rsidRDefault="00E86C16">
      <w:pPr>
        <w:spacing w:before="241" w:line="235" w:lineRule="auto"/>
        <w:ind w:right="73" w:firstLine="430"/>
        <w:rPr>
          <w:rFonts w:ascii="宋体" w:eastAsia="宋体" w:hAnsi="宋体" w:cs="宋体"/>
          <w:sz w:val="22"/>
          <w:szCs w:val="22"/>
        </w:rPr>
      </w:pPr>
      <w:r>
        <w:rPr>
          <w:rFonts w:ascii="宋体" w:eastAsia="宋体" w:hAnsi="宋体" w:cs="宋体"/>
          <w:spacing w:val="-6"/>
          <w:sz w:val="22"/>
          <w:szCs w:val="22"/>
        </w:rPr>
        <w:t>功能评价，就是对功能性食品所宣称的保健功</w:t>
      </w:r>
      <w:r>
        <w:rPr>
          <w:rFonts w:ascii="宋体" w:eastAsia="宋体" w:hAnsi="宋体" w:cs="宋体"/>
          <w:spacing w:val="-7"/>
          <w:sz w:val="22"/>
          <w:szCs w:val="22"/>
        </w:rPr>
        <w:t>能进行动物和(或)人体试验</w:t>
      </w:r>
      <w:r>
        <w:rPr>
          <w:rFonts w:ascii="宋体" w:eastAsia="宋体" w:hAnsi="宋体" w:cs="宋体"/>
          <w:sz w:val="22"/>
          <w:szCs w:val="22"/>
        </w:rPr>
        <w:t xml:space="preserve"> </w:t>
      </w:r>
      <w:r>
        <w:rPr>
          <w:rFonts w:ascii="宋体" w:eastAsia="宋体" w:hAnsi="宋体" w:cs="宋体"/>
          <w:spacing w:val="-6"/>
          <w:sz w:val="22"/>
          <w:szCs w:val="22"/>
        </w:rPr>
        <w:t>加以评价确认。这是功能性食品与其他一切食品(包括绿色食品、药膳</w:t>
      </w:r>
      <w:r>
        <w:rPr>
          <w:rFonts w:ascii="宋体" w:eastAsia="宋体" w:hAnsi="宋体" w:cs="宋体"/>
          <w:spacing w:val="-7"/>
          <w:sz w:val="22"/>
          <w:szCs w:val="22"/>
        </w:rPr>
        <w:t>食品)的</w:t>
      </w:r>
      <w:r>
        <w:rPr>
          <w:rFonts w:ascii="宋体" w:eastAsia="宋体" w:hAnsi="宋体" w:cs="宋体"/>
          <w:sz w:val="22"/>
          <w:szCs w:val="22"/>
        </w:rPr>
        <w:t xml:space="preserve"> </w:t>
      </w:r>
      <w:r>
        <w:rPr>
          <w:rFonts w:ascii="宋体" w:eastAsia="宋体" w:hAnsi="宋体" w:cs="宋体"/>
          <w:spacing w:val="-9"/>
          <w:sz w:val="22"/>
          <w:szCs w:val="22"/>
        </w:rPr>
        <w:t>根本区别，也是1996年以来，国家对功能性食品进行统一管理的核心问</w:t>
      </w:r>
      <w:r>
        <w:rPr>
          <w:rFonts w:ascii="宋体" w:eastAsia="宋体" w:hAnsi="宋体" w:cs="宋体"/>
          <w:spacing w:val="-10"/>
          <w:sz w:val="22"/>
          <w:szCs w:val="22"/>
        </w:rPr>
        <w:t>题。</w:t>
      </w:r>
    </w:p>
    <w:p w:rsidR="00EA40A3" w:rsidRDefault="00E86C16">
      <w:pPr>
        <w:spacing w:before="28" w:line="218" w:lineRule="auto"/>
        <w:rPr>
          <w:rFonts w:ascii="宋体" w:eastAsia="宋体" w:hAnsi="宋体" w:cs="宋体"/>
          <w:sz w:val="22"/>
          <w:szCs w:val="22"/>
        </w:rPr>
      </w:pPr>
      <w:r>
        <w:rPr>
          <w:rFonts w:ascii="宋体" w:eastAsia="宋体" w:hAnsi="宋体" w:cs="宋体"/>
          <w:spacing w:val="-9"/>
          <w:sz w:val="22"/>
          <w:szCs w:val="22"/>
        </w:rPr>
        <w:t>1)保健食品功能性评价程序</w:t>
      </w:r>
    </w:p>
    <w:p w:rsidR="00EA40A3" w:rsidRDefault="00E86C16">
      <w:pPr>
        <w:spacing w:before="85" w:line="247" w:lineRule="auto"/>
        <w:ind w:firstLine="430"/>
        <w:rPr>
          <w:rFonts w:ascii="宋体" w:eastAsia="宋体" w:hAnsi="宋体" w:cs="宋体"/>
          <w:sz w:val="22"/>
          <w:szCs w:val="22"/>
        </w:rPr>
      </w:pPr>
      <w:r>
        <w:rPr>
          <w:rFonts w:ascii="宋体" w:eastAsia="宋体" w:hAnsi="宋体" w:cs="宋体"/>
          <w:spacing w:val="-9"/>
          <w:sz w:val="22"/>
          <w:szCs w:val="22"/>
        </w:rPr>
        <w:t>研究或开发一种功能性食品的第一步就是鉴定出特定功能性因子</w:t>
      </w:r>
      <w:r>
        <w:rPr>
          <w:rFonts w:ascii="宋体" w:eastAsia="宋体" w:hAnsi="宋体" w:cs="宋体"/>
          <w:spacing w:val="-10"/>
          <w:sz w:val="22"/>
          <w:szCs w:val="22"/>
        </w:rPr>
        <w:t>(对机体健</w:t>
      </w:r>
      <w:r>
        <w:rPr>
          <w:rFonts w:ascii="宋体" w:eastAsia="宋体" w:hAnsi="宋体" w:cs="宋体"/>
          <w:sz w:val="22"/>
          <w:szCs w:val="22"/>
        </w:rPr>
        <w:t xml:space="preserve"> </w:t>
      </w:r>
      <w:r>
        <w:rPr>
          <w:rFonts w:ascii="宋体" w:eastAsia="宋体" w:hAnsi="宋体" w:cs="宋体"/>
          <w:spacing w:val="-7"/>
          <w:sz w:val="22"/>
          <w:szCs w:val="22"/>
        </w:rPr>
        <w:t>康有益或者具有潜在的健康效果的食品组分)对机体的一种或多种功</w:t>
      </w:r>
      <w:r>
        <w:rPr>
          <w:rFonts w:ascii="宋体" w:eastAsia="宋体" w:hAnsi="宋体" w:cs="宋体"/>
          <w:spacing w:val="-8"/>
          <w:sz w:val="22"/>
          <w:szCs w:val="22"/>
        </w:rPr>
        <w:t>能的影响。</w:t>
      </w:r>
      <w:r>
        <w:rPr>
          <w:rFonts w:ascii="宋体" w:eastAsia="宋体" w:hAnsi="宋体" w:cs="宋体"/>
          <w:sz w:val="22"/>
          <w:szCs w:val="22"/>
        </w:rPr>
        <w:t xml:space="preserve"> </w:t>
      </w:r>
      <w:r>
        <w:rPr>
          <w:rFonts w:ascii="宋体" w:eastAsia="宋体" w:hAnsi="宋体" w:cs="宋体"/>
          <w:spacing w:val="-13"/>
          <w:sz w:val="22"/>
          <w:szCs w:val="22"/>
        </w:rPr>
        <w:t>这一步属于基础研究，对所鉴定出的组分与功能的相互作用关系必须要提出一种</w:t>
      </w:r>
      <w:r>
        <w:rPr>
          <w:rFonts w:ascii="宋体" w:eastAsia="宋体" w:hAnsi="宋体" w:cs="宋体"/>
          <w:sz w:val="22"/>
          <w:szCs w:val="22"/>
        </w:rPr>
        <w:t xml:space="preserve">  </w:t>
      </w:r>
      <w:r>
        <w:rPr>
          <w:rFonts w:ascii="宋体" w:eastAsia="宋体" w:hAnsi="宋体" w:cs="宋体"/>
          <w:spacing w:val="-6"/>
          <w:sz w:val="22"/>
          <w:szCs w:val="22"/>
        </w:rPr>
        <w:t>或几种假设机制，根据一定的试验原则设计并进行动物实验</w:t>
      </w:r>
      <w:r>
        <w:rPr>
          <w:rFonts w:ascii="宋体" w:eastAsia="宋体" w:hAnsi="宋体" w:cs="宋体"/>
          <w:spacing w:val="-7"/>
          <w:sz w:val="22"/>
          <w:szCs w:val="22"/>
        </w:rPr>
        <w:t>和(或)人体试食实</w:t>
      </w:r>
      <w:r>
        <w:rPr>
          <w:rFonts w:ascii="宋体" w:eastAsia="宋体" w:hAnsi="宋体" w:cs="宋体"/>
          <w:sz w:val="22"/>
          <w:szCs w:val="22"/>
        </w:rPr>
        <w:t xml:space="preserve"> </w:t>
      </w:r>
      <w:r>
        <w:rPr>
          <w:rFonts w:ascii="宋体" w:eastAsia="宋体" w:hAnsi="宋体" w:cs="宋体"/>
          <w:spacing w:val="-10"/>
          <w:sz w:val="22"/>
          <w:szCs w:val="22"/>
        </w:rPr>
        <w:t>验进行功能性的确证，进行结果判定。在此基础上，定义</w:t>
      </w:r>
      <w:r>
        <w:rPr>
          <w:rFonts w:ascii="宋体" w:eastAsia="宋体" w:hAnsi="宋体" w:cs="宋体"/>
          <w:spacing w:val="-11"/>
          <w:sz w:val="22"/>
          <w:szCs w:val="22"/>
        </w:rPr>
        <w:t>出一种或几种功能性，</w:t>
      </w:r>
      <w:r>
        <w:rPr>
          <w:rFonts w:ascii="宋体" w:eastAsia="宋体" w:hAnsi="宋体" w:cs="宋体"/>
          <w:sz w:val="22"/>
          <w:szCs w:val="22"/>
        </w:rPr>
        <w:t xml:space="preserve"> </w:t>
      </w:r>
      <w:r>
        <w:rPr>
          <w:rFonts w:ascii="宋体" w:eastAsia="宋体" w:hAnsi="宋体" w:cs="宋体"/>
          <w:spacing w:val="-7"/>
          <w:sz w:val="22"/>
          <w:szCs w:val="22"/>
        </w:rPr>
        <w:t>初步形成某种健康声称。需要说明的是，在对保健食品进行功能性评价的前提</w:t>
      </w:r>
      <w:r>
        <w:rPr>
          <w:rFonts w:ascii="宋体" w:eastAsia="宋体" w:hAnsi="宋体" w:cs="宋体"/>
          <w:spacing w:val="16"/>
          <w:sz w:val="22"/>
          <w:szCs w:val="22"/>
        </w:rPr>
        <w:t xml:space="preserve"> </w:t>
      </w:r>
      <w:r>
        <w:rPr>
          <w:rFonts w:ascii="宋体" w:eastAsia="宋体" w:hAnsi="宋体" w:cs="宋体"/>
          <w:spacing w:val="-13"/>
          <w:sz w:val="22"/>
          <w:szCs w:val="22"/>
        </w:rPr>
        <w:t>是，被评价对象的物理、化学性质应已知，并且保证该功能性物</w:t>
      </w:r>
      <w:r>
        <w:rPr>
          <w:rFonts w:ascii="宋体" w:eastAsia="宋体" w:hAnsi="宋体" w:cs="宋体"/>
          <w:spacing w:val="-14"/>
          <w:sz w:val="22"/>
          <w:szCs w:val="22"/>
        </w:rPr>
        <w:t>质是经过安全性</w:t>
      </w:r>
      <w:r>
        <w:rPr>
          <w:rFonts w:ascii="宋体" w:eastAsia="宋体" w:hAnsi="宋体" w:cs="宋体"/>
          <w:sz w:val="22"/>
          <w:szCs w:val="22"/>
        </w:rPr>
        <w:t xml:space="preserve">  </w:t>
      </w:r>
      <w:r>
        <w:rPr>
          <w:rFonts w:ascii="宋体" w:eastAsia="宋体" w:hAnsi="宋体" w:cs="宋体"/>
          <w:spacing w:val="-19"/>
          <w:sz w:val="22"/>
          <w:szCs w:val="22"/>
        </w:rPr>
        <w:t>毒性学评价。</w:t>
      </w:r>
    </w:p>
    <w:p w:rsidR="00EA40A3" w:rsidRDefault="00E86C16">
      <w:pPr>
        <w:spacing w:before="26" w:line="223" w:lineRule="auto"/>
        <w:rPr>
          <w:rFonts w:ascii="楷体" w:eastAsia="楷体" w:hAnsi="楷体" w:cs="楷体"/>
          <w:sz w:val="22"/>
          <w:szCs w:val="22"/>
        </w:rPr>
      </w:pPr>
      <w:r>
        <w:rPr>
          <w:rFonts w:ascii="楷体" w:eastAsia="楷体" w:hAnsi="楷体" w:cs="楷体"/>
          <w:spacing w:val="-5"/>
          <w:sz w:val="22"/>
          <w:szCs w:val="22"/>
        </w:rPr>
        <w:t>2)保健食品功能性评价方法</w:t>
      </w:r>
    </w:p>
    <w:p w:rsidR="00EA40A3" w:rsidRDefault="00E86C16">
      <w:pPr>
        <w:spacing w:before="80" w:line="238" w:lineRule="auto"/>
        <w:ind w:right="79" w:firstLine="430"/>
        <w:jc w:val="both"/>
        <w:rPr>
          <w:rFonts w:ascii="宋体" w:eastAsia="宋体" w:hAnsi="宋体" w:cs="宋体"/>
          <w:sz w:val="22"/>
          <w:szCs w:val="22"/>
        </w:rPr>
      </w:pPr>
      <w:r>
        <w:rPr>
          <w:rFonts w:ascii="宋体" w:eastAsia="宋体" w:hAnsi="宋体" w:cs="宋体"/>
          <w:spacing w:val="-13"/>
          <w:sz w:val="22"/>
          <w:szCs w:val="22"/>
        </w:rPr>
        <w:t>对保健食品或其中功能性成分的功能性或健康效果的评价或验证需</w:t>
      </w:r>
      <w:r>
        <w:rPr>
          <w:rFonts w:ascii="宋体" w:eastAsia="宋体" w:hAnsi="宋体" w:cs="宋体"/>
          <w:spacing w:val="-14"/>
          <w:sz w:val="22"/>
          <w:szCs w:val="22"/>
        </w:rPr>
        <w:t>要采用科</w:t>
      </w:r>
      <w:r>
        <w:rPr>
          <w:rFonts w:ascii="宋体" w:eastAsia="宋体" w:hAnsi="宋体" w:cs="宋体"/>
          <w:sz w:val="22"/>
          <w:szCs w:val="22"/>
        </w:rPr>
        <w:t xml:space="preserve"> </w:t>
      </w:r>
      <w:r>
        <w:rPr>
          <w:rFonts w:ascii="宋体" w:eastAsia="宋体" w:hAnsi="宋体" w:cs="宋体"/>
          <w:spacing w:val="-6"/>
          <w:sz w:val="22"/>
          <w:szCs w:val="22"/>
        </w:rPr>
        <w:t>学、规范的方法。通常需要采用动物试验和(或)人体试</w:t>
      </w:r>
      <w:r>
        <w:rPr>
          <w:rFonts w:ascii="宋体" w:eastAsia="宋体" w:hAnsi="宋体" w:cs="宋体"/>
          <w:spacing w:val="-7"/>
          <w:sz w:val="22"/>
          <w:szCs w:val="22"/>
        </w:rPr>
        <w:t>食实验技术评价保健食</w:t>
      </w:r>
      <w:r>
        <w:rPr>
          <w:rFonts w:ascii="宋体" w:eastAsia="宋体" w:hAnsi="宋体" w:cs="宋体"/>
          <w:sz w:val="22"/>
          <w:szCs w:val="22"/>
        </w:rPr>
        <w:t xml:space="preserve"> </w:t>
      </w:r>
      <w:r>
        <w:rPr>
          <w:rFonts w:ascii="宋体" w:eastAsia="宋体" w:hAnsi="宋体" w:cs="宋体"/>
          <w:spacing w:val="-13"/>
          <w:sz w:val="22"/>
          <w:szCs w:val="22"/>
        </w:rPr>
        <w:t>品的某种功能。当然具体某种功能的评价的实验项目有所不同，主要的有免疫调</w:t>
      </w:r>
      <w:r>
        <w:rPr>
          <w:rFonts w:ascii="宋体" w:eastAsia="宋体" w:hAnsi="宋体" w:cs="宋体"/>
          <w:spacing w:val="1"/>
          <w:sz w:val="22"/>
          <w:szCs w:val="22"/>
        </w:rPr>
        <w:t xml:space="preserve"> </w:t>
      </w:r>
      <w:r>
        <w:rPr>
          <w:rFonts w:ascii="宋体" w:eastAsia="宋体" w:hAnsi="宋体" w:cs="宋体"/>
          <w:spacing w:val="-13"/>
          <w:sz w:val="22"/>
          <w:szCs w:val="22"/>
        </w:rPr>
        <w:t>节功能、促进生长发育功能、抗疲劳功能、减肥功能、调节血脂功能、</w:t>
      </w:r>
      <w:r>
        <w:rPr>
          <w:rFonts w:ascii="宋体" w:eastAsia="宋体" w:hAnsi="宋体" w:cs="宋体"/>
          <w:spacing w:val="-14"/>
          <w:sz w:val="22"/>
          <w:szCs w:val="22"/>
        </w:rPr>
        <w:t>抗突变及</w:t>
      </w:r>
      <w:r>
        <w:rPr>
          <w:rFonts w:ascii="宋体" w:eastAsia="宋体" w:hAnsi="宋体" w:cs="宋体"/>
          <w:sz w:val="22"/>
          <w:szCs w:val="22"/>
        </w:rPr>
        <w:t xml:space="preserve"> </w:t>
      </w:r>
      <w:r>
        <w:rPr>
          <w:rFonts w:ascii="宋体" w:eastAsia="宋体" w:hAnsi="宋体" w:cs="宋体"/>
          <w:spacing w:val="-9"/>
          <w:sz w:val="22"/>
          <w:szCs w:val="22"/>
        </w:rPr>
        <w:t>抗肿瘤功能等评价方法如表9-1所示。</w:t>
      </w:r>
    </w:p>
    <w:p w:rsidR="00EA40A3" w:rsidRDefault="00EA40A3">
      <w:pPr>
        <w:spacing w:line="265" w:lineRule="auto"/>
      </w:pPr>
    </w:p>
    <w:p w:rsidR="00EA40A3" w:rsidRDefault="00E86C16">
      <w:pPr>
        <w:spacing w:before="72" w:line="222" w:lineRule="auto"/>
        <w:ind w:left="3"/>
        <w:outlineLvl w:val="6"/>
        <w:rPr>
          <w:rFonts w:ascii="黑体" w:eastAsia="黑体" w:hAnsi="黑体" w:cs="黑体"/>
          <w:sz w:val="22"/>
          <w:szCs w:val="22"/>
        </w:rPr>
      </w:pPr>
      <w:r>
        <w:rPr>
          <w:rFonts w:ascii="黑体" w:eastAsia="黑体" w:hAnsi="黑体" w:cs="黑体"/>
          <w:b/>
          <w:bCs/>
          <w:spacing w:val="7"/>
          <w:sz w:val="22"/>
          <w:szCs w:val="22"/>
        </w:rPr>
        <w:t>9.1.6</w:t>
      </w:r>
      <w:r>
        <w:rPr>
          <w:rFonts w:ascii="黑体" w:eastAsia="黑体" w:hAnsi="黑体" w:cs="黑体"/>
          <w:spacing w:val="44"/>
          <w:sz w:val="22"/>
          <w:szCs w:val="22"/>
        </w:rPr>
        <w:t xml:space="preserve">  </w:t>
      </w:r>
      <w:r>
        <w:rPr>
          <w:rFonts w:ascii="黑体" w:eastAsia="黑体" w:hAnsi="黑体" w:cs="黑体"/>
          <w:b/>
          <w:bCs/>
          <w:spacing w:val="7"/>
          <w:sz w:val="22"/>
          <w:szCs w:val="22"/>
        </w:rPr>
        <w:t>保健食品的管理</w:t>
      </w:r>
    </w:p>
    <w:p w:rsidR="00EA40A3" w:rsidRDefault="00E86C16">
      <w:pPr>
        <w:spacing w:before="227" w:line="222"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2"/>
          <w:sz w:val="22"/>
          <w:szCs w:val="22"/>
        </w:rPr>
        <w:t xml:space="preserve"> </w:t>
      </w:r>
      <w:r>
        <w:rPr>
          <w:rFonts w:ascii="仿宋" w:eastAsia="仿宋" w:hAnsi="仿宋" w:cs="仿宋"/>
          <w:spacing w:val="6"/>
          <w:sz w:val="22"/>
          <w:szCs w:val="22"/>
        </w:rPr>
        <w:t>法律与规章</w:t>
      </w:r>
    </w:p>
    <w:p w:rsidR="00EA40A3" w:rsidRDefault="00E86C16">
      <w:pPr>
        <w:spacing w:before="213" w:line="248" w:lineRule="auto"/>
        <w:ind w:firstLine="430"/>
        <w:jc w:val="both"/>
        <w:rPr>
          <w:rFonts w:ascii="宋体" w:eastAsia="宋体" w:hAnsi="宋体" w:cs="宋体"/>
          <w:sz w:val="22"/>
          <w:szCs w:val="22"/>
        </w:rPr>
      </w:pPr>
      <w:r>
        <w:rPr>
          <w:rFonts w:ascii="宋体" w:eastAsia="宋体" w:hAnsi="宋体" w:cs="宋体"/>
          <w:sz w:val="22"/>
          <w:szCs w:val="22"/>
        </w:rPr>
        <w:t>1995年10月30日公布的《中华人民共和国食品卫生法》第22条、23条和</w:t>
      </w:r>
      <w:r>
        <w:rPr>
          <w:rFonts w:ascii="宋体" w:eastAsia="宋体" w:hAnsi="宋体" w:cs="宋体"/>
          <w:spacing w:val="17"/>
          <w:sz w:val="22"/>
          <w:szCs w:val="22"/>
        </w:rPr>
        <w:t xml:space="preserve"> </w:t>
      </w:r>
      <w:r>
        <w:rPr>
          <w:rFonts w:ascii="宋体" w:eastAsia="宋体" w:hAnsi="宋体" w:cs="宋体"/>
          <w:spacing w:val="-10"/>
          <w:sz w:val="22"/>
          <w:szCs w:val="22"/>
        </w:rPr>
        <w:t>45条对保健食品审批和监管做出了明确规定，首次确立了保健食品的法律地位。</w:t>
      </w:r>
      <w:r>
        <w:rPr>
          <w:rFonts w:ascii="宋体" w:eastAsia="宋体" w:hAnsi="宋体" w:cs="宋体"/>
          <w:sz w:val="22"/>
          <w:szCs w:val="22"/>
        </w:rPr>
        <w:t xml:space="preserve"> </w:t>
      </w:r>
      <w:r>
        <w:rPr>
          <w:rFonts w:ascii="宋体" w:eastAsia="宋体" w:hAnsi="宋体" w:cs="宋体"/>
          <w:spacing w:val="-1"/>
          <w:sz w:val="22"/>
          <w:szCs w:val="22"/>
        </w:rPr>
        <w:t>1996年3月15日，中国卫生部发布的《保健食品管理方法》,对保健食品的定</w:t>
      </w:r>
      <w:r>
        <w:rPr>
          <w:rFonts w:ascii="宋体" w:eastAsia="宋体" w:hAnsi="宋体" w:cs="宋体"/>
          <w:spacing w:val="5"/>
          <w:sz w:val="22"/>
          <w:szCs w:val="22"/>
        </w:rPr>
        <w:t xml:space="preserve">  </w:t>
      </w:r>
      <w:r>
        <w:rPr>
          <w:rFonts w:ascii="宋体" w:eastAsia="宋体" w:hAnsi="宋体" w:cs="宋体"/>
          <w:spacing w:val="-11"/>
          <w:sz w:val="22"/>
          <w:szCs w:val="22"/>
        </w:rPr>
        <w:t>义、审批、生产经营、标签、说明书及广告宣</w:t>
      </w:r>
      <w:r>
        <w:rPr>
          <w:rFonts w:ascii="宋体" w:eastAsia="宋体" w:hAnsi="宋体" w:cs="宋体"/>
          <w:spacing w:val="-12"/>
          <w:sz w:val="22"/>
          <w:szCs w:val="22"/>
        </w:rPr>
        <w:t>传、监督管理等做出了具体规定；</w:t>
      </w:r>
      <w:r>
        <w:rPr>
          <w:rFonts w:ascii="宋体" w:eastAsia="宋体" w:hAnsi="宋体" w:cs="宋体"/>
          <w:sz w:val="22"/>
          <w:szCs w:val="22"/>
        </w:rPr>
        <w:t xml:space="preserve"> </w:t>
      </w:r>
      <w:r>
        <w:rPr>
          <w:rFonts w:ascii="宋体" w:eastAsia="宋体" w:hAnsi="宋体" w:cs="宋体"/>
          <w:spacing w:val="9"/>
          <w:sz w:val="22"/>
          <w:szCs w:val="22"/>
        </w:rPr>
        <w:t>2005年4月30日国家食品药品监督管理局(局令第1</w:t>
      </w:r>
      <w:r>
        <w:rPr>
          <w:rFonts w:ascii="宋体" w:eastAsia="宋体" w:hAnsi="宋体" w:cs="宋体"/>
          <w:spacing w:val="8"/>
          <w:sz w:val="22"/>
          <w:szCs w:val="22"/>
        </w:rPr>
        <w:t>9号)颁布了《保健食品</w:t>
      </w:r>
      <w:r>
        <w:rPr>
          <w:rFonts w:ascii="宋体" w:eastAsia="宋体" w:hAnsi="宋体" w:cs="宋体"/>
          <w:sz w:val="22"/>
          <w:szCs w:val="22"/>
        </w:rPr>
        <w:t xml:space="preserve"> </w:t>
      </w:r>
      <w:r>
        <w:rPr>
          <w:rFonts w:ascii="宋体" w:eastAsia="宋体" w:hAnsi="宋体" w:cs="宋体"/>
          <w:spacing w:val="2"/>
          <w:sz w:val="22"/>
          <w:szCs w:val="22"/>
        </w:rPr>
        <w:t>注册管理办法(试行)》,2005年7月1日之后在中国境内申请国产和进口保健</w:t>
      </w:r>
      <w:r>
        <w:rPr>
          <w:rFonts w:ascii="宋体" w:eastAsia="宋体" w:hAnsi="宋体" w:cs="宋体"/>
          <w:spacing w:val="6"/>
          <w:sz w:val="22"/>
          <w:szCs w:val="22"/>
        </w:rPr>
        <w:t xml:space="preserve">  </w:t>
      </w:r>
      <w:r>
        <w:rPr>
          <w:rFonts w:ascii="宋体" w:eastAsia="宋体" w:hAnsi="宋体" w:cs="宋体"/>
          <w:spacing w:val="-13"/>
          <w:sz w:val="22"/>
          <w:szCs w:val="22"/>
        </w:rPr>
        <w:t>食品注册将正式由食品药品监督管理局归口、管理，该规章对保健食品的申请与</w:t>
      </w:r>
      <w:r>
        <w:rPr>
          <w:rFonts w:ascii="宋体" w:eastAsia="宋体" w:hAnsi="宋体" w:cs="宋体"/>
          <w:sz w:val="22"/>
          <w:szCs w:val="22"/>
        </w:rPr>
        <w:t xml:space="preserve">  </w:t>
      </w:r>
      <w:r>
        <w:rPr>
          <w:rFonts w:ascii="宋体" w:eastAsia="宋体" w:hAnsi="宋体" w:cs="宋体"/>
          <w:spacing w:val="-12"/>
          <w:sz w:val="22"/>
          <w:szCs w:val="22"/>
        </w:rPr>
        <w:t>审批、原料与辅料、标签与说明书、试验与检验、再注册、复审</w:t>
      </w:r>
      <w:r>
        <w:rPr>
          <w:rFonts w:ascii="宋体" w:eastAsia="宋体" w:hAnsi="宋体" w:cs="宋体"/>
          <w:spacing w:val="-13"/>
          <w:sz w:val="22"/>
          <w:szCs w:val="22"/>
        </w:rPr>
        <w:t>、法律责任等做</w:t>
      </w:r>
    </w:p>
    <w:p w:rsidR="00EA40A3" w:rsidRDefault="00E86C16">
      <w:pPr>
        <w:spacing w:before="54"/>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284</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footerReference w:type="default" r:id="rId243"/>
          <w:pgSz w:w="9220" w:h="13360"/>
          <w:pgMar w:top="400" w:right="1069" w:bottom="400" w:left="809" w:header="0" w:footer="0" w:gutter="0"/>
          <w:cols w:space="720"/>
        </w:sectPr>
      </w:pPr>
    </w:p>
    <w:p w:rsidR="00EA40A3" w:rsidRDefault="00E86C16">
      <w:pPr>
        <w:spacing w:before="81" w:line="208" w:lineRule="auto"/>
        <w:ind w:left="340"/>
        <w:rPr>
          <w:rFonts w:ascii="宋体" w:eastAsia="宋体" w:hAnsi="宋体" w:cs="宋体"/>
          <w:sz w:val="15"/>
          <w:szCs w:val="15"/>
        </w:rPr>
      </w:pPr>
      <w:r>
        <w:rPr>
          <w:rFonts w:ascii="宋体" w:eastAsia="宋体" w:hAnsi="宋体" w:cs="宋体"/>
          <w:spacing w:val="13"/>
          <w:position w:val="1"/>
          <w:sz w:val="15"/>
          <w:szCs w:val="15"/>
        </w:rPr>
        <w:lastRenderedPageBreak/>
        <w:t>功能性</w:t>
      </w:r>
      <w:r>
        <w:rPr>
          <w:rFonts w:ascii="宋体" w:eastAsia="宋体" w:hAnsi="宋体" w:cs="宋体"/>
          <w:spacing w:val="3"/>
          <w:position w:val="1"/>
          <w:sz w:val="15"/>
          <w:szCs w:val="15"/>
        </w:rPr>
        <w:t xml:space="preserve">             </w:t>
      </w:r>
      <w:r>
        <w:rPr>
          <w:rFonts w:ascii="宋体" w:eastAsia="宋体" w:hAnsi="宋体" w:cs="宋体"/>
          <w:spacing w:val="13"/>
          <w:sz w:val="15"/>
          <w:szCs w:val="15"/>
        </w:rPr>
        <w:t>试验项目</w:t>
      </w:r>
      <w:r>
        <w:rPr>
          <w:rFonts w:ascii="宋体" w:eastAsia="宋体" w:hAnsi="宋体" w:cs="宋体"/>
          <w:spacing w:val="2"/>
          <w:sz w:val="15"/>
          <w:szCs w:val="15"/>
        </w:rPr>
        <w:t xml:space="preserve">                    </w:t>
      </w:r>
      <w:r>
        <w:rPr>
          <w:rFonts w:ascii="宋体" w:eastAsia="宋体" w:hAnsi="宋体" w:cs="宋体"/>
          <w:spacing w:val="13"/>
          <w:sz w:val="15"/>
          <w:szCs w:val="15"/>
        </w:rPr>
        <w:t>试验原则</w:t>
      </w:r>
      <w:r>
        <w:rPr>
          <w:rFonts w:ascii="宋体" w:eastAsia="宋体" w:hAnsi="宋体" w:cs="宋体"/>
          <w:spacing w:val="2"/>
          <w:sz w:val="15"/>
          <w:szCs w:val="15"/>
        </w:rPr>
        <w:t xml:space="preserve">                  </w:t>
      </w:r>
      <w:r>
        <w:rPr>
          <w:rFonts w:ascii="宋体" w:eastAsia="宋体" w:hAnsi="宋体" w:cs="宋体"/>
          <w:spacing w:val="13"/>
          <w:position w:val="1"/>
          <w:sz w:val="15"/>
          <w:szCs w:val="15"/>
        </w:rPr>
        <w:t>结果判定</w:t>
      </w:r>
    </w:p>
    <w:tbl>
      <w:tblPr>
        <w:tblStyle w:val="TableNormal"/>
        <w:tblW w:w="737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25"/>
        <w:gridCol w:w="2421"/>
        <w:gridCol w:w="2269"/>
        <w:gridCol w:w="1955"/>
      </w:tblGrid>
      <w:tr w:rsidR="00EA40A3">
        <w:trPr>
          <w:trHeight w:val="4897"/>
        </w:trPr>
        <w:tc>
          <w:tcPr>
            <w:tcW w:w="725" w:type="dxa"/>
            <w:tcBorders>
              <w:top w:val="single" w:sz="4" w:space="0" w:color="000000"/>
              <w:bottom w:val="single" w:sz="4" w:space="0" w:color="000000"/>
            </w:tcBorders>
          </w:tcPr>
          <w:p w:rsidR="00EA40A3" w:rsidRDefault="00EA40A3">
            <w:pPr>
              <w:spacing w:line="243"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86C16">
            <w:pPr>
              <w:spacing w:before="52" w:line="266" w:lineRule="auto"/>
              <w:ind w:left="170" w:right="55"/>
              <w:rPr>
                <w:rFonts w:ascii="宋体" w:eastAsia="宋体" w:hAnsi="宋体" w:cs="宋体"/>
                <w:sz w:val="16"/>
                <w:szCs w:val="16"/>
              </w:rPr>
            </w:pPr>
            <w:r>
              <w:rPr>
                <w:rFonts w:ascii="宋体" w:eastAsia="宋体" w:hAnsi="宋体" w:cs="宋体"/>
                <w:spacing w:val="4"/>
                <w:sz w:val="16"/>
                <w:szCs w:val="16"/>
              </w:rPr>
              <w:t>免疫调</w:t>
            </w:r>
            <w:r>
              <w:rPr>
                <w:rFonts w:ascii="宋体" w:eastAsia="宋体" w:hAnsi="宋体" w:cs="宋体"/>
                <w:sz w:val="16"/>
                <w:szCs w:val="16"/>
              </w:rPr>
              <w:t xml:space="preserve"> </w:t>
            </w:r>
            <w:r>
              <w:rPr>
                <w:rFonts w:ascii="宋体" w:eastAsia="宋体" w:hAnsi="宋体" w:cs="宋体"/>
                <w:spacing w:val="6"/>
                <w:sz w:val="16"/>
                <w:szCs w:val="16"/>
              </w:rPr>
              <w:t>节作用</w:t>
            </w:r>
          </w:p>
        </w:tc>
        <w:tc>
          <w:tcPr>
            <w:tcW w:w="2421" w:type="dxa"/>
            <w:tcBorders>
              <w:top w:val="single" w:sz="4" w:space="0" w:color="000000"/>
              <w:bottom w:val="single" w:sz="4" w:space="0" w:color="000000"/>
            </w:tcBorders>
          </w:tcPr>
          <w:p w:rsidR="00EA40A3" w:rsidRDefault="00E86C16">
            <w:pPr>
              <w:spacing w:before="101" w:line="218" w:lineRule="auto"/>
              <w:ind w:left="115"/>
              <w:rPr>
                <w:rFonts w:ascii="宋体" w:eastAsia="宋体" w:hAnsi="宋体" w:cs="宋体"/>
                <w:sz w:val="16"/>
                <w:szCs w:val="16"/>
              </w:rPr>
            </w:pPr>
            <w:r>
              <w:rPr>
                <w:rFonts w:ascii="宋体" w:eastAsia="宋体" w:hAnsi="宋体" w:cs="宋体"/>
                <w:spacing w:val="1"/>
                <w:sz w:val="16"/>
                <w:szCs w:val="16"/>
              </w:rPr>
              <w:t>1.动物试验</w:t>
            </w:r>
          </w:p>
          <w:p w:rsidR="00EA40A3" w:rsidRDefault="00E86C16">
            <w:pPr>
              <w:spacing w:line="219" w:lineRule="auto"/>
              <w:ind w:left="304"/>
              <w:rPr>
                <w:rFonts w:ascii="宋体" w:eastAsia="宋体" w:hAnsi="宋体" w:cs="宋体"/>
                <w:sz w:val="16"/>
                <w:szCs w:val="16"/>
              </w:rPr>
            </w:pPr>
            <w:r>
              <w:rPr>
                <w:rFonts w:ascii="宋体" w:eastAsia="宋体" w:hAnsi="宋体" w:cs="宋体"/>
                <w:sz w:val="16"/>
                <w:szCs w:val="16"/>
              </w:rPr>
              <w:t>1)脏器/体重比值</w:t>
            </w:r>
          </w:p>
          <w:p w:rsidR="00EA40A3" w:rsidRDefault="00E86C16">
            <w:pPr>
              <w:spacing w:line="219" w:lineRule="auto"/>
              <w:ind w:left="714"/>
              <w:rPr>
                <w:rFonts w:ascii="宋体" w:eastAsia="宋体" w:hAnsi="宋体" w:cs="宋体"/>
                <w:sz w:val="16"/>
                <w:szCs w:val="16"/>
              </w:rPr>
            </w:pPr>
            <w:r>
              <w:rPr>
                <w:rFonts w:ascii="宋体" w:eastAsia="宋体" w:hAnsi="宋体" w:cs="宋体"/>
                <w:spacing w:val="-1"/>
                <w:sz w:val="16"/>
                <w:szCs w:val="16"/>
              </w:rPr>
              <w:t>胸腺/体重比值</w:t>
            </w:r>
          </w:p>
          <w:p w:rsidR="00EA40A3" w:rsidRDefault="00E86C16">
            <w:pPr>
              <w:spacing w:line="219" w:lineRule="auto"/>
              <w:ind w:left="714"/>
              <w:rPr>
                <w:rFonts w:ascii="宋体" w:eastAsia="宋体" w:hAnsi="宋体" w:cs="宋体"/>
                <w:sz w:val="16"/>
                <w:szCs w:val="16"/>
              </w:rPr>
            </w:pPr>
            <w:r>
              <w:rPr>
                <w:rFonts w:ascii="宋体" w:eastAsia="宋体" w:hAnsi="宋体" w:cs="宋体"/>
                <w:spacing w:val="-1"/>
                <w:sz w:val="16"/>
                <w:szCs w:val="16"/>
              </w:rPr>
              <w:t>脾脏/体重比值</w:t>
            </w:r>
          </w:p>
          <w:p w:rsidR="00EA40A3" w:rsidRDefault="00E86C16">
            <w:pPr>
              <w:spacing w:line="217" w:lineRule="auto"/>
              <w:ind w:left="304"/>
              <w:rPr>
                <w:rFonts w:ascii="宋体" w:eastAsia="宋体" w:hAnsi="宋体" w:cs="宋体"/>
                <w:sz w:val="16"/>
                <w:szCs w:val="16"/>
              </w:rPr>
            </w:pPr>
            <w:r>
              <w:rPr>
                <w:rFonts w:ascii="宋体" w:eastAsia="宋体" w:hAnsi="宋体" w:cs="宋体"/>
                <w:spacing w:val="-1"/>
                <w:sz w:val="16"/>
                <w:szCs w:val="16"/>
              </w:rPr>
              <w:t>2)细胞免疫功能测定</w:t>
            </w:r>
          </w:p>
          <w:p w:rsidR="00EA40A3" w:rsidRDefault="00E86C16">
            <w:pPr>
              <w:spacing w:line="221" w:lineRule="auto"/>
              <w:ind w:left="893" w:right="276" w:hanging="179"/>
              <w:rPr>
                <w:rFonts w:ascii="宋体" w:eastAsia="宋体" w:hAnsi="宋体" w:cs="宋体"/>
                <w:sz w:val="16"/>
                <w:szCs w:val="16"/>
              </w:rPr>
            </w:pPr>
            <w:r>
              <w:rPr>
                <w:rFonts w:ascii="宋体" w:eastAsia="宋体" w:hAnsi="宋体" w:cs="宋体"/>
                <w:spacing w:val="-2"/>
                <w:sz w:val="16"/>
                <w:szCs w:val="16"/>
              </w:rPr>
              <w:t>小鼠脾淋巴细胞转化</w:t>
            </w:r>
            <w:r>
              <w:rPr>
                <w:rFonts w:ascii="宋体" w:eastAsia="宋体" w:hAnsi="宋体" w:cs="宋体"/>
                <w:spacing w:val="6"/>
                <w:sz w:val="16"/>
                <w:szCs w:val="16"/>
              </w:rPr>
              <w:t xml:space="preserve"> </w:t>
            </w:r>
            <w:r>
              <w:rPr>
                <w:rFonts w:ascii="宋体" w:eastAsia="宋体" w:hAnsi="宋体" w:cs="宋体"/>
                <w:spacing w:val="-2"/>
                <w:sz w:val="16"/>
                <w:szCs w:val="16"/>
              </w:rPr>
              <w:t>试验</w:t>
            </w:r>
          </w:p>
          <w:p w:rsidR="00EA40A3" w:rsidRDefault="00E86C16">
            <w:pPr>
              <w:spacing w:before="8" w:line="219" w:lineRule="auto"/>
              <w:ind w:left="694"/>
              <w:rPr>
                <w:rFonts w:ascii="宋体" w:eastAsia="宋体" w:hAnsi="宋体" w:cs="宋体"/>
                <w:sz w:val="16"/>
                <w:szCs w:val="16"/>
              </w:rPr>
            </w:pPr>
            <w:r>
              <w:rPr>
                <w:rFonts w:ascii="宋体" w:eastAsia="宋体" w:hAnsi="宋体" w:cs="宋体"/>
                <w:spacing w:val="-1"/>
                <w:sz w:val="16"/>
                <w:szCs w:val="16"/>
              </w:rPr>
              <w:t>迟发型变态反应</w:t>
            </w:r>
          </w:p>
          <w:p w:rsidR="00EA40A3" w:rsidRDefault="00E86C16">
            <w:pPr>
              <w:spacing w:before="1" w:line="218" w:lineRule="auto"/>
              <w:ind w:left="304"/>
              <w:rPr>
                <w:rFonts w:ascii="宋体" w:eastAsia="宋体" w:hAnsi="宋体" w:cs="宋体"/>
                <w:sz w:val="16"/>
                <w:szCs w:val="16"/>
              </w:rPr>
            </w:pPr>
            <w:r>
              <w:rPr>
                <w:rFonts w:ascii="宋体" w:eastAsia="宋体" w:hAnsi="宋体" w:cs="宋体"/>
                <w:spacing w:val="1"/>
                <w:sz w:val="16"/>
                <w:szCs w:val="16"/>
              </w:rPr>
              <w:t>3)体液免疫功能测定</w:t>
            </w:r>
          </w:p>
          <w:p w:rsidR="00EA40A3" w:rsidRDefault="00E86C16">
            <w:pPr>
              <w:spacing w:before="1" w:line="230" w:lineRule="auto"/>
              <w:ind w:left="714" w:right="442" w:hanging="9"/>
              <w:rPr>
                <w:rFonts w:ascii="宋体" w:eastAsia="宋体" w:hAnsi="宋体" w:cs="宋体"/>
                <w:sz w:val="16"/>
                <w:szCs w:val="16"/>
              </w:rPr>
            </w:pPr>
            <w:r>
              <w:rPr>
                <w:rFonts w:ascii="宋体" w:eastAsia="宋体" w:hAnsi="宋体" w:cs="宋体"/>
                <w:spacing w:val="-1"/>
                <w:sz w:val="16"/>
                <w:szCs w:val="16"/>
              </w:rPr>
              <w:t>抗体生成细胞检测</w:t>
            </w:r>
            <w:r>
              <w:rPr>
                <w:rFonts w:ascii="宋体" w:eastAsia="宋体" w:hAnsi="宋体" w:cs="宋体"/>
                <w:sz w:val="16"/>
                <w:szCs w:val="16"/>
              </w:rPr>
              <w:t xml:space="preserve"> </w:t>
            </w:r>
            <w:r>
              <w:rPr>
                <w:rFonts w:ascii="宋体" w:eastAsia="宋体" w:hAnsi="宋体" w:cs="宋体"/>
                <w:spacing w:val="1"/>
                <w:sz w:val="16"/>
                <w:szCs w:val="16"/>
              </w:rPr>
              <w:t>血清溶血素检测</w:t>
            </w:r>
          </w:p>
          <w:p w:rsidR="00EA40A3" w:rsidRDefault="00E86C16">
            <w:pPr>
              <w:spacing w:line="219" w:lineRule="auto"/>
              <w:ind w:left="704" w:right="281" w:hanging="400"/>
              <w:rPr>
                <w:rFonts w:ascii="宋体" w:eastAsia="宋体" w:hAnsi="宋体" w:cs="宋体"/>
                <w:sz w:val="16"/>
                <w:szCs w:val="16"/>
              </w:rPr>
            </w:pPr>
            <w:r>
              <w:rPr>
                <w:rFonts w:ascii="宋体" w:eastAsia="宋体" w:hAnsi="宋体" w:cs="宋体"/>
                <w:spacing w:val="-1"/>
                <w:sz w:val="16"/>
                <w:szCs w:val="16"/>
              </w:rPr>
              <w:t>4)单核-巨噬细胞功能测定</w:t>
            </w:r>
            <w:r>
              <w:rPr>
                <w:rFonts w:ascii="宋体" w:eastAsia="宋体" w:hAnsi="宋体" w:cs="宋体"/>
                <w:spacing w:val="6"/>
                <w:sz w:val="16"/>
                <w:szCs w:val="16"/>
              </w:rPr>
              <w:t xml:space="preserve"> </w:t>
            </w:r>
            <w:r>
              <w:rPr>
                <w:rFonts w:ascii="宋体" w:eastAsia="宋体" w:hAnsi="宋体" w:cs="宋体"/>
                <w:spacing w:val="-2"/>
                <w:sz w:val="16"/>
                <w:szCs w:val="16"/>
              </w:rPr>
              <w:t>小鼠碳廓清试验</w:t>
            </w:r>
          </w:p>
          <w:p w:rsidR="00EA40A3" w:rsidRDefault="00E86C16">
            <w:pPr>
              <w:spacing w:before="1" w:line="208" w:lineRule="auto"/>
              <w:ind w:left="855" w:right="126" w:hanging="150"/>
              <w:rPr>
                <w:rFonts w:ascii="宋体" w:eastAsia="宋体" w:hAnsi="宋体" w:cs="宋体"/>
                <w:sz w:val="16"/>
                <w:szCs w:val="16"/>
              </w:rPr>
            </w:pPr>
            <w:r>
              <w:rPr>
                <w:rFonts w:ascii="宋体" w:eastAsia="宋体" w:hAnsi="宋体" w:cs="宋体"/>
                <w:spacing w:val="-2"/>
                <w:sz w:val="16"/>
                <w:szCs w:val="16"/>
              </w:rPr>
              <w:t>小鼠腹腔巨噬细胞吞食</w:t>
            </w:r>
            <w:r>
              <w:rPr>
                <w:rFonts w:ascii="宋体" w:eastAsia="宋体" w:hAnsi="宋体" w:cs="宋体"/>
                <w:spacing w:val="8"/>
                <w:sz w:val="16"/>
                <w:szCs w:val="16"/>
              </w:rPr>
              <w:t xml:space="preserve"> </w:t>
            </w:r>
            <w:r>
              <w:rPr>
                <w:rFonts w:ascii="宋体" w:eastAsia="宋体" w:hAnsi="宋体" w:cs="宋体"/>
                <w:spacing w:val="-1"/>
                <w:sz w:val="16"/>
                <w:szCs w:val="16"/>
              </w:rPr>
              <w:t>鸡红细胞试验</w:t>
            </w:r>
          </w:p>
          <w:p w:rsidR="00EA40A3" w:rsidRDefault="00E86C16">
            <w:pPr>
              <w:spacing w:line="196" w:lineRule="auto"/>
              <w:ind w:left="304"/>
              <w:rPr>
                <w:rFonts w:ascii="宋体" w:eastAsia="宋体" w:hAnsi="宋体" w:cs="宋体"/>
                <w:sz w:val="16"/>
                <w:szCs w:val="16"/>
              </w:rPr>
            </w:pPr>
            <w:r>
              <w:rPr>
                <w:rFonts w:ascii="宋体" w:eastAsia="宋体" w:hAnsi="宋体" w:cs="宋体"/>
                <w:spacing w:val="1"/>
                <w:sz w:val="16"/>
                <w:szCs w:val="16"/>
              </w:rPr>
              <w:t>5)</w:t>
            </w:r>
            <w:r>
              <w:rPr>
                <w:rFonts w:ascii="宋体" w:eastAsia="宋体" w:hAnsi="宋体" w:cs="宋体"/>
                <w:sz w:val="16"/>
                <w:szCs w:val="16"/>
              </w:rPr>
              <w:t>NK</w:t>
            </w:r>
            <w:r>
              <w:rPr>
                <w:rFonts w:ascii="宋体" w:eastAsia="宋体" w:hAnsi="宋体" w:cs="宋体"/>
                <w:spacing w:val="1"/>
                <w:sz w:val="16"/>
                <w:szCs w:val="16"/>
              </w:rPr>
              <w:t>细胞活性测定</w:t>
            </w:r>
          </w:p>
          <w:p w:rsidR="00EA40A3" w:rsidRDefault="00E86C16">
            <w:pPr>
              <w:spacing w:line="220" w:lineRule="auto"/>
              <w:ind w:left="75"/>
              <w:rPr>
                <w:rFonts w:ascii="宋体" w:eastAsia="宋体" w:hAnsi="宋体" w:cs="宋体"/>
                <w:sz w:val="16"/>
                <w:szCs w:val="16"/>
              </w:rPr>
            </w:pPr>
            <w:r>
              <w:rPr>
                <w:rFonts w:ascii="宋体" w:eastAsia="宋体" w:hAnsi="宋体" w:cs="宋体"/>
                <w:spacing w:val="-1"/>
                <w:sz w:val="16"/>
                <w:szCs w:val="16"/>
              </w:rPr>
              <w:t>2.人体试食实验</w:t>
            </w:r>
          </w:p>
          <w:p w:rsidR="00EA40A3" w:rsidRDefault="00E86C16">
            <w:pPr>
              <w:spacing w:before="49" w:line="217" w:lineRule="auto"/>
              <w:ind w:left="304"/>
              <w:rPr>
                <w:rFonts w:ascii="宋体" w:eastAsia="宋体" w:hAnsi="宋体" w:cs="宋体"/>
                <w:sz w:val="16"/>
                <w:szCs w:val="16"/>
              </w:rPr>
            </w:pPr>
            <w:r>
              <w:rPr>
                <w:rFonts w:ascii="宋体" w:eastAsia="宋体" w:hAnsi="宋体" w:cs="宋体"/>
                <w:spacing w:val="1"/>
                <w:sz w:val="16"/>
                <w:szCs w:val="16"/>
              </w:rPr>
              <w:t>1)细胞免疫功能测定</w:t>
            </w:r>
          </w:p>
          <w:p w:rsidR="00EA40A3" w:rsidRDefault="00E86C16">
            <w:pPr>
              <w:spacing w:before="1" w:line="215" w:lineRule="auto"/>
              <w:ind w:left="884" w:right="295" w:hanging="190"/>
              <w:rPr>
                <w:rFonts w:ascii="宋体" w:eastAsia="宋体" w:hAnsi="宋体" w:cs="宋体"/>
                <w:sz w:val="16"/>
                <w:szCs w:val="16"/>
              </w:rPr>
            </w:pPr>
            <w:r>
              <w:rPr>
                <w:rFonts w:ascii="宋体" w:eastAsia="宋体" w:hAnsi="宋体" w:cs="宋体"/>
                <w:spacing w:val="-2"/>
                <w:sz w:val="16"/>
                <w:szCs w:val="16"/>
              </w:rPr>
              <w:t>外周血淋巴细胞转化</w:t>
            </w:r>
            <w:r>
              <w:rPr>
                <w:rFonts w:ascii="宋体" w:eastAsia="宋体" w:hAnsi="宋体" w:cs="宋体"/>
                <w:spacing w:val="7"/>
                <w:sz w:val="16"/>
                <w:szCs w:val="16"/>
              </w:rPr>
              <w:t xml:space="preserve"> </w:t>
            </w:r>
            <w:r>
              <w:rPr>
                <w:rFonts w:ascii="宋体" w:eastAsia="宋体" w:hAnsi="宋体" w:cs="宋体"/>
                <w:spacing w:val="-2"/>
                <w:sz w:val="16"/>
                <w:szCs w:val="16"/>
              </w:rPr>
              <w:t>试验</w:t>
            </w:r>
          </w:p>
          <w:p w:rsidR="00EA40A3" w:rsidRDefault="00E86C16">
            <w:pPr>
              <w:spacing w:before="8" w:line="220" w:lineRule="auto"/>
              <w:ind w:left="304"/>
              <w:rPr>
                <w:rFonts w:ascii="宋体" w:eastAsia="宋体" w:hAnsi="宋体" w:cs="宋体"/>
                <w:sz w:val="16"/>
                <w:szCs w:val="16"/>
              </w:rPr>
            </w:pPr>
            <w:r>
              <w:rPr>
                <w:rFonts w:ascii="宋体" w:eastAsia="宋体" w:hAnsi="宋体" w:cs="宋体"/>
                <w:spacing w:val="-1"/>
                <w:sz w:val="16"/>
                <w:szCs w:val="16"/>
              </w:rPr>
              <w:t>2)体液免疫功能试验</w:t>
            </w:r>
          </w:p>
          <w:p w:rsidR="00EA40A3" w:rsidRDefault="00E86C16">
            <w:pPr>
              <w:spacing w:before="9" w:line="213" w:lineRule="auto"/>
              <w:ind w:left="893" w:right="293" w:hanging="199"/>
              <w:rPr>
                <w:rFonts w:ascii="宋体" w:eastAsia="宋体" w:hAnsi="宋体" w:cs="宋体"/>
                <w:sz w:val="16"/>
                <w:szCs w:val="16"/>
              </w:rPr>
            </w:pPr>
            <w:r>
              <w:rPr>
                <w:rFonts w:ascii="宋体" w:eastAsia="宋体" w:hAnsi="宋体" w:cs="宋体"/>
                <w:spacing w:val="-1"/>
                <w:sz w:val="16"/>
                <w:szCs w:val="16"/>
              </w:rPr>
              <w:t>单向免疫扩散法测定</w:t>
            </w:r>
            <w:r>
              <w:rPr>
                <w:rFonts w:ascii="宋体" w:eastAsia="宋体" w:hAnsi="宋体" w:cs="宋体"/>
                <w:sz w:val="16"/>
                <w:szCs w:val="16"/>
              </w:rPr>
              <w:t xml:space="preserve"> </w:t>
            </w:r>
            <w:r>
              <w:rPr>
                <w:rFonts w:ascii="宋体" w:eastAsia="宋体" w:hAnsi="宋体" w:cs="宋体"/>
                <w:spacing w:val="-2"/>
                <w:sz w:val="16"/>
                <w:szCs w:val="16"/>
              </w:rPr>
              <w:t>IgG、IgA、IgM</w:t>
            </w:r>
          </w:p>
          <w:p w:rsidR="00EA40A3" w:rsidRDefault="00E86C16">
            <w:pPr>
              <w:spacing w:before="20" w:line="212" w:lineRule="auto"/>
              <w:ind w:left="704" w:right="345" w:hanging="400"/>
              <w:rPr>
                <w:rFonts w:ascii="宋体" w:eastAsia="宋体" w:hAnsi="宋体" w:cs="宋体"/>
                <w:sz w:val="16"/>
                <w:szCs w:val="16"/>
              </w:rPr>
            </w:pPr>
            <w:r>
              <w:rPr>
                <w:rFonts w:ascii="宋体" w:eastAsia="宋体" w:hAnsi="宋体" w:cs="宋体"/>
                <w:sz w:val="16"/>
                <w:szCs w:val="16"/>
              </w:rPr>
              <w:t>3)非特异性免疫功能测定</w:t>
            </w:r>
            <w:r>
              <w:rPr>
                <w:rFonts w:ascii="宋体" w:eastAsia="宋体" w:hAnsi="宋体" w:cs="宋体"/>
                <w:spacing w:val="9"/>
                <w:sz w:val="16"/>
                <w:szCs w:val="16"/>
              </w:rPr>
              <w:t xml:space="preserve"> </w:t>
            </w:r>
            <w:r>
              <w:rPr>
                <w:rFonts w:ascii="宋体" w:eastAsia="宋体" w:hAnsi="宋体" w:cs="宋体"/>
                <w:spacing w:val="-1"/>
                <w:sz w:val="16"/>
                <w:szCs w:val="16"/>
              </w:rPr>
              <w:t>吞噬与杀菌试验</w:t>
            </w:r>
          </w:p>
        </w:tc>
        <w:tc>
          <w:tcPr>
            <w:tcW w:w="2269" w:type="dxa"/>
            <w:tcBorders>
              <w:top w:val="single" w:sz="4" w:space="0" w:color="000000"/>
              <w:bottom w:val="single" w:sz="4" w:space="0" w:color="000000"/>
            </w:tcBorders>
          </w:tcPr>
          <w:p w:rsidR="00EA40A3" w:rsidRDefault="00EA40A3">
            <w:pPr>
              <w:spacing w:line="252" w:lineRule="auto"/>
            </w:pPr>
          </w:p>
          <w:p w:rsidR="00EA40A3" w:rsidRDefault="00EA40A3">
            <w:pPr>
              <w:spacing w:line="252" w:lineRule="auto"/>
            </w:pPr>
          </w:p>
          <w:p w:rsidR="00EA40A3" w:rsidRDefault="00EA40A3">
            <w:pPr>
              <w:spacing w:line="252" w:lineRule="auto"/>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86C16">
            <w:pPr>
              <w:spacing w:before="52" w:line="225" w:lineRule="auto"/>
              <w:ind w:left="414" w:right="78" w:hanging="150"/>
              <w:rPr>
                <w:rFonts w:ascii="宋体" w:eastAsia="宋体" w:hAnsi="宋体" w:cs="宋体"/>
                <w:sz w:val="16"/>
                <w:szCs w:val="16"/>
              </w:rPr>
            </w:pPr>
            <w:r>
              <w:rPr>
                <w:rFonts w:ascii="宋体" w:eastAsia="宋体" w:hAnsi="宋体" w:cs="宋体"/>
                <w:sz w:val="16"/>
                <w:szCs w:val="16"/>
              </w:rPr>
              <w:t>1.选择一组能够全面反映免</w:t>
            </w:r>
            <w:r>
              <w:rPr>
                <w:rFonts w:ascii="宋体" w:eastAsia="宋体" w:hAnsi="宋体" w:cs="宋体"/>
                <w:spacing w:val="5"/>
                <w:sz w:val="16"/>
                <w:szCs w:val="16"/>
              </w:rPr>
              <w:t xml:space="preserve"> </w:t>
            </w:r>
            <w:r>
              <w:rPr>
                <w:rFonts w:ascii="宋体" w:eastAsia="宋体" w:hAnsi="宋体" w:cs="宋体"/>
                <w:spacing w:val="-1"/>
                <w:sz w:val="16"/>
                <w:szCs w:val="16"/>
              </w:rPr>
              <w:t>疫系统各方面功能的试</w:t>
            </w:r>
          </w:p>
          <w:p w:rsidR="00EA40A3" w:rsidRDefault="00E86C16">
            <w:pPr>
              <w:spacing w:line="219" w:lineRule="auto"/>
              <w:ind w:left="414" w:right="90" w:firstLine="9"/>
              <w:rPr>
                <w:rFonts w:ascii="宋体" w:eastAsia="宋体" w:hAnsi="宋体" w:cs="宋体"/>
                <w:sz w:val="16"/>
                <w:szCs w:val="16"/>
              </w:rPr>
            </w:pPr>
            <w:r>
              <w:rPr>
                <w:rFonts w:ascii="宋体" w:eastAsia="宋体" w:hAnsi="宋体" w:cs="宋体"/>
                <w:spacing w:val="-1"/>
                <w:sz w:val="16"/>
                <w:szCs w:val="16"/>
              </w:rPr>
              <w:t>验，其中细胞免疫、体液</w:t>
            </w:r>
            <w:r>
              <w:rPr>
                <w:rFonts w:ascii="宋体" w:eastAsia="宋体" w:hAnsi="宋体" w:cs="宋体"/>
                <w:spacing w:val="4"/>
                <w:sz w:val="16"/>
                <w:szCs w:val="16"/>
              </w:rPr>
              <w:t xml:space="preserve"> </w:t>
            </w:r>
            <w:r>
              <w:rPr>
                <w:rFonts w:ascii="宋体" w:eastAsia="宋体" w:hAnsi="宋体" w:cs="宋体"/>
                <w:sz w:val="16"/>
                <w:szCs w:val="16"/>
              </w:rPr>
              <w:t>免疫和单核-巨噬细胞功</w:t>
            </w:r>
            <w:r>
              <w:rPr>
                <w:rFonts w:ascii="宋体" w:eastAsia="宋体" w:hAnsi="宋体" w:cs="宋体"/>
                <w:spacing w:val="4"/>
                <w:sz w:val="16"/>
                <w:szCs w:val="16"/>
              </w:rPr>
              <w:t xml:space="preserve">  </w:t>
            </w:r>
            <w:r>
              <w:rPr>
                <w:rFonts w:ascii="宋体" w:eastAsia="宋体" w:hAnsi="宋体" w:cs="宋体"/>
                <w:spacing w:val="-2"/>
                <w:sz w:val="16"/>
                <w:szCs w:val="16"/>
              </w:rPr>
              <w:t>能三方面至少选1种试验</w:t>
            </w:r>
          </w:p>
          <w:p w:rsidR="00EA40A3" w:rsidRDefault="00E86C16">
            <w:pPr>
              <w:spacing w:line="225" w:lineRule="auto"/>
              <w:ind w:left="403" w:right="93" w:hanging="139"/>
              <w:rPr>
                <w:rFonts w:ascii="宋体" w:eastAsia="宋体" w:hAnsi="宋体" w:cs="宋体"/>
                <w:sz w:val="16"/>
                <w:szCs w:val="16"/>
              </w:rPr>
            </w:pPr>
            <w:r>
              <w:rPr>
                <w:rFonts w:ascii="宋体" w:eastAsia="宋体" w:hAnsi="宋体" w:cs="宋体"/>
                <w:spacing w:val="-1"/>
                <w:sz w:val="16"/>
                <w:szCs w:val="16"/>
              </w:rPr>
              <w:t>2.确保安全的前提下尽可能</w:t>
            </w:r>
            <w:r>
              <w:rPr>
                <w:rFonts w:ascii="宋体" w:eastAsia="宋体" w:hAnsi="宋体" w:cs="宋体"/>
                <w:spacing w:val="3"/>
                <w:sz w:val="16"/>
                <w:szCs w:val="16"/>
              </w:rPr>
              <w:t xml:space="preserve"> </w:t>
            </w:r>
            <w:r>
              <w:rPr>
                <w:rFonts w:ascii="宋体" w:eastAsia="宋体" w:hAnsi="宋体" w:cs="宋体"/>
                <w:spacing w:val="-1"/>
                <w:sz w:val="16"/>
                <w:szCs w:val="16"/>
              </w:rPr>
              <w:t>进行人体试食试验</w:t>
            </w:r>
          </w:p>
        </w:tc>
        <w:tc>
          <w:tcPr>
            <w:tcW w:w="1955" w:type="dxa"/>
            <w:tcBorders>
              <w:top w:val="single" w:sz="4" w:space="0" w:color="000000"/>
              <w:bottom w:val="single" w:sz="4" w:space="0" w:color="000000"/>
            </w:tcBorders>
          </w:tcPr>
          <w:p w:rsidR="00EA40A3" w:rsidRDefault="00EA40A3">
            <w:pPr>
              <w:spacing w:line="278" w:lineRule="auto"/>
            </w:pPr>
          </w:p>
          <w:p w:rsidR="00EA40A3" w:rsidRDefault="00EA40A3">
            <w:pPr>
              <w:spacing w:line="278" w:lineRule="auto"/>
            </w:pPr>
          </w:p>
          <w:p w:rsidR="00EA40A3" w:rsidRDefault="00EA40A3">
            <w:pPr>
              <w:spacing w:line="278" w:lineRule="auto"/>
            </w:pPr>
          </w:p>
          <w:p w:rsidR="00EA40A3" w:rsidRDefault="00EA40A3">
            <w:pPr>
              <w:spacing w:line="278" w:lineRule="auto"/>
            </w:pPr>
          </w:p>
          <w:p w:rsidR="00EA40A3" w:rsidRDefault="00E86C16">
            <w:pPr>
              <w:spacing w:before="52" w:line="218" w:lineRule="auto"/>
              <w:ind w:left="154"/>
              <w:rPr>
                <w:rFonts w:ascii="宋体" w:eastAsia="宋体" w:hAnsi="宋体" w:cs="宋体"/>
                <w:sz w:val="16"/>
                <w:szCs w:val="16"/>
              </w:rPr>
            </w:pPr>
            <w:r>
              <w:rPr>
                <w:rFonts w:ascii="宋体" w:eastAsia="宋体" w:hAnsi="宋体" w:cs="宋体"/>
                <w:spacing w:val="7"/>
                <w:sz w:val="16"/>
                <w:szCs w:val="16"/>
              </w:rPr>
              <w:t>1.在动物实验的2)~</w:t>
            </w:r>
          </w:p>
          <w:p w:rsidR="00EA40A3" w:rsidRDefault="00E86C16">
            <w:pPr>
              <w:spacing w:line="219" w:lineRule="auto"/>
              <w:ind w:left="354"/>
              <w:rPr>
                <w:rFonts w:ascii="宋体" w:eastAsia="宋体" w:hAnsi="宋体" w:cs="宋体"/>
                <w:sz w:val="16"/>
                <w:szCs w:val="16"/>
              </w:rPr>
            </w:pPr>
            <w:r>
              <w:rPr>
                <w:rFonts w:ascii="宋体" w:eastAsia="宋体" w:hAnsi="宋体" w:cs="宋体"/>
                <w:spacing w:val="-1"/>
                <w:sz w:val="16"/>
                <w:szCs w:val="16"/>
              </w:rPr>
              <w:t>4)中，有两个或两</w:t>
            </w:r>
          </w:p>
          <w:p w:rsidR="00EA40A3" w:rsidRDefault="00E86C16">
            <w:pPr>
              <w:spacing w:before="1" w:line="223" w:lineRule="auto"/>
              <w:ind w:left="345" w:right="29" w:firstLine="60"/>
              <w:rPr>
                <w:rFonts w:ascii="宋体" w:eastAsia="宋体" w:hAnsi="宋体" w:cs="宋体"/>
                <w:sz w:val="16"/>
                <w:szCs w:val="16"/>
              </w:rPr>
            </w:pPr>
            <w:r>
              <w:rPr>
                <w:rFonts w:ascii="宋体" w:eastAsia="宋体" w:hAnsi="宋体" w:cs="宋体"/>
                <w:spacing w:val="8"/>
                <w:sz w:val="16"/>
                <w:szCs w:val="16"/>
              </w:rPr>
              <w:t>个以上结果呈阳性，</w:t>
            </w:r>
            <w:r>
              <w:rPr>
                <w:rFonts w:ascii="宋体" w:eastAsia="宋体" w:hAnsi="宋体" w:cs="宋体"/>
                <w:spacing w:val="6"/>
                <w:sz w:val="16"/>
                <w:szCs w:val="16"/>
              </w:rPr>
              <w:t xml:space="preserve"> </w:t>
            </w:r>
            <w:r>
              <w:rPr>
                <w:rFonts w:ascii="宋体" w:eastAsia="宋体" w:hAnsi="宋体" w:cs="宋体"/>
                <w:spacing w:val="7"/>
                <w:sz w:val="16"/>
                <w:szCs w:val="16"/>
              </w:rPr>
              <w:t>即可判定受试物具有</w:t>
            </w:r>
            <w:r>
              <w:rPr>
                <w:rFonts w:ascii="宋体" w:eastAsia="宋体" w:hAnsi="宋体" w:cs="宋体"/>
                <w:spacing w:val="2"/>
                <w:sz w:val="16"/>
                <w:szCs w:val="16"/>
              </w:rPr>
              <w:t xml:space="preserve">  </w:t>
            </w:r>
            <w:r>
              <w:rPr>
                <w:rFonts w:ascii="宋体" w:eastAsia="宋体" w:hAnsi="宋体" w:cs="宋体"/>
                <w:spacing w:val="3"/>
                <w:sz w:val="16"/>
                <w:szCs w:val="16"/>
              </w:rPr>
              <w:t>免疫调节作用</w:t>
            </w:r>
          </w:p>
          <w:p w:rsidR="00EA40A3" w:rsidRDefault="00E86C16">
            <w:pPr>
              <w:spacing w:before="9" w:line="217" w:lineRule="auto"/>
              <w:ind w:left="344" w:right="116" w:hanging="199"/>
              <w:rPr>
                <w:rFonts w:ascii="宋体" w:eastAsia="宋体" w:hAnsi="宋体" w:cs="宋体"/>
                <w:sz w:val="16"/>
                <w:szCs w:val="16"/>
              </w:rPr>
            </w:pPr>
            <w:r>
              <w:rPr>
                <w:rFonts w:ascii="宋体" w:eastAsia="宋体" w:hAnsi="宋体" w:cs="宋体"/>
                <w:spacing w:val="-1"/>
                <w:sz w:val="16"/>
                <w:szCs w:val="16"/>
              </w:rPr>
              <w:t>2.在一组试验中，免疫</w:t>
            </w:r>
            <w:r>
              <w:rPr>
                <w:rFonts w:ascii="宋体" w:eastAsia="宋体" w:hAnsi="宋体" w:cs="宋体"/>
                <w:sz w:val="16"/>
                <w:szCs w:val="16"/>
              </w:rPr>
              <w:t xml:space="preserve">  </w:t>
            </w:r>
            <w:r>
              <w:rPr>
                <w:rFonts w:ascii="宋体" w:eastAsia="宋体" w:hAnsi="宋体" w:cs="宋体"/>
                <w:spacing w:val="5"/>
                <w:sz w:val="16"/>
                <w:szCs w:val="16"/>
              </w:rPr>
              <w:t>系统某一方面的试验</w:t>
            </w:r>
            <w:r>
              <w:rPr>
                <w:rFonts w:ascii="宋体" w:eastAsia="宋体" w:hAnsi="宋体" w:cs="宋体"/>
                <w:spacing w:val="4"/>
                <w:sz w:val="16"/>
                <w:szCs w:val="16"/>
              </w:rPr>
              <w:t xml:space="preserve"> </w:t>
            </w:r>
            <w:r>
              <w:rPr>
                <w:rFonts w:ascii="宋体" w:eastAsia="宋体" w:hAnsi="宋体" w:cs="宋体"/>
                <w:spacing w:val="5"/>
                <w:sz w:val="16"/>
                <w:szCs w:val="16"/>
              </w:rPr>
              <w:t>呈阳性，可判定受试</w:t>
            </w:r>
            <w:r>
              <w:rPr>
                <w:rFonts w:ascii="宋体" w:eastAsia="宋体" w:hAnsi="宋体" w:cs="宋体"/>
                <w:spacing w:val="6"/>
                <w:sz w:val="16"/>
                <w:szCs w:val="16"/>
              </w:rPr>
              <w:t xml:space="preserve"> </w:t>
            </w:r>
            <w:r>
              <w:rPr>
                <w:rFonts w:ascii="宋体" w:eastAsia="宋体" w:hAnsi="宋体" w:cs="宋体"/>
                <w:spacing w:val="5"/>
                <w:sz w:val="16"/>
                <w:szCs w:val="16"/>
              </w:rPr>
              <w:t>物具有该方面的免疫</w:t>
            </w:r>
            <w:r>
              <w:rPr>
                <w:rFonts w:ascii="宋体" w:eastAsia="宋体" w:hAnsi="宋体" w:cs="宋体"/>
                <w:spacing w:val="7"/>
                <w:sz w:val="16"/>
                <w:szCs w:val="16"/>
              </w:rPr>
              <w:t xml:space="preserve"> </w:t>
            </w:r>
            <w:r>
              <w:rPr>
                <w:rFonts w:ascii="宋体" w:eastAsia="宋体" w:hAnsi="宋体" w:cs="宋体"/>
                <w:spacing w:val="4"/>
                <w:sz w:val="16"/>
                <w:szCs w:val="16"/>
              </w:rPr>
              <w:t>调节作用</w:t>
            </w:r>
          </w:p>
          <w:p w:rsidR="00EA40A3" w:rsidRDefault="00E86C16">
            <w:pPr>
              <w:spacing w:before="10" w:line="222" w:lineRule="auto"/>
              <w:ind w:left="344" w:right="116" w:hanging="199"/>
              <w:rPr>
                <w:rFonts w:ascii="宋体" w:eastAsia="宋体" w:hAnsi="宋体" w:cs="宋体"/>
                <w:sz w:val="16"/>
                <w:szCs w:val="16"/>
              </w:rPr>
            </w:pPr>
            <w:r>
              <w:rPr>
                <w:rFonts w:ascii="宋体" w:eastAsia="宋体" w:hAnsi="宋体" w:cs="宋体"/>
                <w:spacing w:val="-1"/>
                <w:sz w:val="16"/>
                <w:szCs w:val="16"/>
              </w:rPr>
              <w:t>3.在一组试验中，若任</w:t>
            </w:r>
            <w:r>
              <w:rPr>
                <w:rFonts w:ascii="宋体" w:eastAsia="宋体" w:hAnsi="宋体" w:cs="宋体"/>
                <w:sz w:val="16"/>
                <w:szCs w:val="16"/>
              </w:rPr>
              <w:t xml:space="preserve">  </w:t>
            </w:r>
            <w:r>
              <w:rPr>
                <w:rFonts w:ascii="宋体" w:eastAsia="宋体" w:hAnsi="宋体" w:cs="宋体"/>
                <w:spacing w:val="5"/>
                <w:sz w:val="16"/>
                <w:szCs w:val="16"/>
              </w:rPr>
              <w:t>何一项免疫试验被抑 制，则判定受试物具</w:t>
            </w:r>
            <w:r>
              <w:rPr>
                <w:rFonts w:ascii="宋体" w:eastAsia="宋体" w:hAnsi="宋体" w:cs="宋体"/>
                <w:spacing w:val="7"/>
                <w:sz w:val="16"/>
                <w:szCs w:val="16"/>
              </w:rPr>
              <w:t xml:space="preserve"> </w:t>
            </w:r>
            <w:r>
              <w:rPr>
                <w:rFonts w:ascii="宋体" w:eastAsia="宋体" w:hAnsi="宋体" w:cs="宋体"/>
                <w:spacing w:val="-1"/>
                <w:sz w:val="16"/>
                <w:szCs w:val="16"/>
              </w:rPr>
              <w:t>有免疫抑制反应</w:t>
            </w:r>
          </w:p>
        </w:tc>
      </w:tr>
      <w:tr w:rsidR="00EA40A3">
        <w:trPr>
          <w:trHeight w:val="2041"/>
        </w:trPr>
        <w:tc>
          <w:tcPr>
            <w:tcW w:w="725" w:type="dxa"/>
            <w:tcBorders>
              <w:top w:val="single" w:sz="4" w:space="0" w:color="000000"/>
              <w:bottom w:val="single" w:sz="4" w:space="0" w:color="000000"/>
            </w:tcBorders>
          </w:tcPr>
          <w:p w:rsidR="00EA40A3" w:rsidRDefault="00EA40A3">
            <w:pPr>
              <w:spacing w:line="275" w:lineRule="auto"/>
            </w:pPr>
          </w:p>
          <w:p w:rsidR="00EA40A3" w:rsidRDefault="00EA40A3">
            <w:pPr>
              <w:spacing w:line="275" w:lineRule="auto"/>
            </w:pPr>
          </w:p>
          <w:p w:rsidR="00EA40A3" w:rsidRDefault="00EA40A3">
            <w:pPr>
              <w:spacing w:line="275" w:lineRule="auto"/>
            </w:pPr>
          </w:p>
          <w:p w:rsidR="00EA40A3" w:rsidRDefault="00E86C16">
            <w:pPr>
              <w:spacing w:before="52" w:line="232" w:lineRule="auto"/>
              <w:ind w:left="89"/>
              <w:rPr>
                <w:rFonts w:ascii="宋体" w:eastAsia="宋体" w:hAnsi="宋体" w:cs="宋体"/>
                <w:sz w:val="16"/>
                <w:szCs w:val="16"/>
              </w:rPr>
            </w:pPr>
            <w:r>
              <w:rPr>
                <w:rFonts w:ascii="宋体" w:eastAsia="宋体" w:hAnsi="宋体" w:cs="宋体"/>
                <w:spacing w:val="-3"/>
                <w:sz w:val="16"/>
                <w:szCs w:val="16"/>
              </w:rPr>
              <w:t>改善记</w:t>
            </w:r>
          </w:p>
          <w:p w:rsidR="00EA40A3" w:rsidRDefault="00E86C16">
            <w:pPr>
              <w:spacing w:line="220" w:lineRule="auto"/>
              <w:ind w:left="89"/>
              <w:rPr>
                <w:rFonts w:ascii="宋体" w:eastAsia="宋体" w:hAnsi="宋体" w:cs="宋体"/>
                <w:sz w:val="16"/>
                <w:szCs w:val="16"/>
              </w:rPr>
            </w:pPr>
            <w:r>
              <w:rPr>
                <w:rFonts w:ascii="宋体" w:eastAsia="宋体" w:hAnsi="宋体" w:cs="宋体"/>
                <w:spacing w:val="-2"/>
                <w:sz w:val="16"/>
                <w:szCs w:val="16"/>
              </w:rPr>
              <w:t>忆作用</w:t>
            </w:r>
          </w:p>
        </w:tc>
        <w:tc>
          <w:tcPr>
            <w:tcW w:w="2421" w:type="dxa"/>
            <w:tcBorders>
              <w:top w:val="single" w:sz="4" w:space="0" w:color="000000"/>
              <w:bottom w:val="single" w:sz="4" w:space="0" w:color="000000"/>
            </w:tcBorders>
          </w:tcPr>
          <w:p w:rsidR="00EA40A3" w:rsidRDefault="00EA40A3">
            <w:pPr>
              <w:spacing w:line="260" w:lineRule="auto"/>
            </w:pPr>
          </w:p>
          <w:p w:rsidR="00EA40A3" w:rsidRDefault="00E86C16">
            <w:pPr>
              <w:spacing w:before="52" w:line="219" w:lineRule="auto"/>
              <w:ind w:left="84"/>
              <w:rPr>
                <w:rFonts w:ascii="宋体" w:eastAsia="宋体" w:hAnsi="宋体" w:cs="宋体"/>
                <w:sz w:val="16"/>
                <w:szCs w:val="16"/>
              </w:rPr>
            </w:pPr>
            <w:r>
              <w:rPr>
                <w:rFonts w:ascii="宋体" w:eastAsia="宋体" w:hAnsi="宋体" w:cs="宋体"/>
                <w:spacing w:val="1"/>
                <w:sz w:val="16"/>
                <w:szCs w:val="16"/>
              </w:rPr>
              <w:t>1.动物试验</w:t>
            </w:r>
          </w:p>
          <w:p w:rsidR="00EA40A3" w:rsidRDefault="00E86C16">
            <w:pPr>
              <w:spacing w:line="219" w:lineRule="auto"/>
              <w:ind w:left="304"/>
              <w:rPr>
                <w:rFonts w:ascii="宋体" w:eastAsia="宋体" w:hAnsi="宋体" w:cs="宋体"/>
                <w:sz w:val="16"/>
                <w:szCs w:val="16"/>
              </w:rPr>
            </w:pPr>
            <w:r>
              <w:rPr>
                <w:rFonts w:ascii="宋体" w:eastAsia="宋体" w:hAnsi="宋体" w:cs="宋体"/>
                <w:spacing w:val="1"/>
                <w:sz w:val="16"/>
                <w:szCs w:val="16"/>
              </w:rPr>
              <w:t>1)跳台试验</w:t>
            </w:r>
          </w:p>
          <w:p w:rsidR="00EA40A3" w:rsidRDefault="00E86C16">
            <w:pPr>
              <w:spacing w:line="217" w:lineRule="auto"/>
              <w:ind w:left="304"/>
              <w:rPr>
                <w:rFonts w:ascii="宋体" w:eastAsia="宋体" w:hAnsi="宋体" w:cs="宋体"/>
                <w:sz w:val="16"/>
                <w:szCs w:val="16"/>
              </w:rPr>
            </w:pPr>
            <w:r>
              <w:rPr>
                <w:rFonts w:ascii="宋体" w:eastAsia="宋体" w:hAnsi="宋体" w:cs="宋体"/>
                <w:spacing w:val="-2"/>
                <w:sz w:val="16"/>
                <w:szCs w:val="16"/>
              </w:rPr>
              <w:t>2)避暗试验</w:t>
            </w:r>
          </w:p>
          <w:p w:rsidR="00EA40A3" w:rsidRDefault="00E86C16">
            <w:pPr>
              <w:spacing w:line="219" w:lineRule="auto"/>
              <w:ind w:left="264"/>
              <w:rPr>
                <w:rFonts w:ascii="宋体" w:eastAsia="宋体" w:hAnsi="宋体" w:cs="宋体"/>
                <w:sz w:val="16"/>
                <w:szCs w:val="16"/>
              </w:rPr>
            </w:pPr>
            <w:r>
              <w:rPr>
                <w:rFonts w:ascii="宋体" w:eastAsia="宋体" w:hAnsi="宋体" w:cs="宋体"/>
                <w:spacing w:val="-2"/>
                <w:sz w:val="16"/>
                <w:szCs w:val="16"/>
              </w:rPr>
              <w:t>3)穿梭箱试验</w:t>
            </w:r>
          </w:p>
          <w:p w:rsidR="00EA40A3" w:rsidRDefault="00E86C16">
            <w:pPr>
              <w:spacing w:before="10" w:line="219" w:lineRule="auto"/>
              <w:ind w:left="260"/>
              <w:rPr>
                <w:rFonts w:ascii="宋体" w:eastAsia="宋体" w:hAnsi="宋体" w:cs="宋体"/>
                <w:sz w:val="16"/>
                <w:szCs w:val="16"/>
              </w:rPr>
            </w:pPr>
            <w:r>
              <w:rPr>
                <w:rFonts w:ascii="宋体" w:eastAsia="宋体" w:hAnsi="宋体" w:cs="宋体"/>
                <w:spacing w:val="-1"/>
                <w:sz w:val="16"/>
                <w:szCs w:val="16"/>
              </w:rPr>
              <w:t>4)水迷宫试验</w:t>
            </w:r>
          </w:p>
          <w:p w:rsidR="00EA40A3" w:rsidRDefault="00E86C16">
            <w:pPr>
              <w:spacing w:before="11" w:line="218" w:lineRule="auto"/>
              <w:ind w:left="75"/>
              <w:rPr>
                <w:rFonts w:ascii="宋体" w:eastAsia="宋体" w:hAnsi="宋体" w:cs="宋体"/>
                <w:sz w:val="16"/>
                <w:szCs w:val="16"/>
              </w:rPr>
            </w:pPr>
            <w:r>
              <w:rPr>
                <w:rFonts w:ascii="宋体" w:eastAsia="宋体" w:hAnsi="宋体" w:cs="宋体"/>
                <w:spacing w:val="-1"/>
                <w:sz w:val="16"/>
                <w:szCs w:val="16"/>
              </w:rPr>
              <w:t>2.人体试食实验</w:t>
            </w:r>
          </w:p>
          <w:p w:rsidR="00EA40A3" w:rsidRDefault="00E86C16">
            <w:pPr>
              <w:spacing w:line="219" w:lineRule="auto"/>
              <w:ind w:left="304"/>
              <w:rPr>
                <w:rFonts w:ascii="宋体" w:eastAsia="宋体" w:hAnsi="宋体" w:cs="宋体"/>
                <w:sz w:val="16"/>
                <w:szCs w:val="16"/>
              </w:rPr>
            </w:pPr>
            <w:r>
              <w:rPr>
                <w:rFonts w:ascii="宋体" w:eastAsia="宋体" w:hAnsi="宋体" w:cs="宋体"/>
                <w:sz w:val="16"/>
                <w:szCs w:val="16"/>
              </w:rPr>
              <w:t>1)韦氏记忆量表</w:t>
            </w:r>
          </w:p>
          <w:p w:rsidR="00EA40A3" w:rsidRDefault="00E86C16">
            <w:pPr>
              <w:spacing w:before="1" w:line="219" w:lineRule="auto"/>
              <w:ind w:left="304"/>
              <w:rPr>
                <w:rFonts w:ascii="宋体" w:eastAsia="宋体" w:hAnsi="宋体" w:cs="宋体"/>
                <w:sz w:val="16"/>
                <w:szCs w:val="16"/>
              </w:rPr>
            </w:pPr>
            <w:r>
              <w:rPr>
                <w:rFonts w:ascii="宋体" w:eastAsia="宋体" w:hAnsi="宋体" w:cs="宋体"/>
                <w:spacing w:val="-1"/>
                <w:sz w:val="16"/>
                <w:szCs w:val="16"/>
              </w:rPr>
              <w:t>2)临床记忆量表</w:t>
            </w:r>
          </w:p>
        </w:tc>
        <w:tc>
          <w:tcPr>
            <w:tcW w:w="2269" w:type="dxa"/>
            <w:tcBorders>
              <w:top w:val="single" w:sz="4" w:space="0" w:color="000000"/>
              <w:bottom w:val="single" w:sz="4" w:space="0" w:color="000000"/>
            </w:tcBorders>
          </w:tcPr>
          <w:p w:rsidR="00EA40A3" w:rsidRDefault="00EA40A3">
            <w:pPr>
              <w:spacing w:line="249" w:lineRule="auto"/>
            </w:pPr>
          </w:p>
          <w:p w:rsidR="00EA40A3" w:rsidRDefault="00E86C16">
            <w:pPr>
              <w:spacing w:before="52" w:line="222" w:lineRule="auto"/>
              <w:ind w:left="394" w:right="77" w:hanging="130"/>
              <w:rPr>
                <w:rFonts w:ascii="宋体" w:eastAsia="宋体" w:hAnsi="宋体" w:cs="宋体"/>
                <w:sz w:val="16"/>
                <w:szCs w:val="16"/>
              </w:rPr>
            </w:pPr>
            <w:r>
              <w:rPr>
                <w:rFonts w:ascii="宋体" w:eastAsia="宋体" w:hAnsi="宋体" w:cs="宋体"/>
                <w:sz w:val="16"/>
                <w:szCs w:val="16"/>
              </w:rPr>
              <w:t>1.试验应通过训练前、训练</w:t>
            </w:r>
            <w:r>
              <w:rPr>
                <w:rFonts w:ascii="宋体" w:eastAsia="宋体" w:hAnsi="宋体" w:cs="宋体"/>
                <w:spacing w:val="6"/>
                <w:sz w:val="16"/>
                <w:szCs w:val="16"/>
              </w:rPr>
              <w:t xml:space="preserve"> </w:t>
            </w:r>
            <w:r>
              <w:rPr>
                <w:rFonts w:ascii="宋体" w:eastAsia="宋体" w:hAnsi="宋体" w:cs="宋体"/>
                <w:sz w:val="16"/>
                <w:szCs w:val="16"/>
              </w:rPr>
              <w:t xml:space="preserve">后及重测验前3种不同的  </w:t>
            </w:r>
            <w:r>
              <w:rPr>
                <w:rFonts w:ascii="宋体" w:eastAsia="宋体" w:hAnsi="宋体" w:cs="宋体"/>
                <w:spacing w:val="2"/>
                <w:sz w:val="16"/>
                <w:szCs w:val="16"/>
              </w:rPr>
              <w:t>给予受试物方法观察其对</w:t>
            </w:r>
            <w:r>
              <w:rPr>
                <w:rFonts w:ascii="宋体" w:eastAsia="宋体" w:hAnsi="宋体" w:cs="宋体"/>
                <w:sz w:val="16"/>
                <w:szCs w:val="16"/>
              </w:rPr>
              <w:t xml:space="preserve"> </w:t>
            </w:r>
            <w:r>
              <w:rPr>
                <w:rFonts w:ascii="宋体" w:eastAsia="宋体" w:hAnsi="宋体" w:cs="宋体"/>
                <w:spacing w:val="-1"/>
                <w:sz w:val="16"/>
                <w:szCs w:val="16"/>
              </w:rPr>
              <w:t>记忆全过程的影响</w:t>
            </w:r>
          </w:p>
          <w:p w:rsidR="00EA40A3" w:rsidRDefault="00E86C16">
            <w:pPr>
              <w:spacing w:line="218" w:lineRule="auto"/>
              <w:ind w:left="183"/>
              <w:rPr>
                <w:rFonts w:ascii="宋体" w:eastAsia="宋体" w:hAnsi="宋体" w:cs="宋体"/>
                <w:sz w:val="16"/>
                <w:szCs w:val="16"/>
              </w:rPr>
            </w:pPr>
            <w:r>
              <w:rPr>
                <w:rFonts w:ascii="宋体" w:eastAsia="宋体" w:hAnsi="宋体" w:cs="宋体"/>
                <w:spacing w:val="-1"/>
                <w:sz w:val="16"/>
                <w:szCs w:val="16"/>
              </w:rPr>
              <w:t>2.采用一组(2个以上)行</w:t>
            </w:r>
          </w:p>
          <w:p w:rsidR="00EA40A3" w:rsidRDefault="00E86C16">
            <w:pPr>
              <w:spacing w:before="22" w:line="207" w:lineRule="auto"/>
              <w:ind w:left="394"/>
              <w:rPr>
                <w:rFonts w:ascii="宋体" w:eastAsia="宋体" w:hAnsi="宋体" w:cs="宋体"/>
                <w:sz w:val="16"/>
                <w:szCs w:val="16"/>
              </w:rPr>
            </w:pPr>
            <w:r>
              <w:rPr>
                <w:rFonts w:ascii="宋体" w:eastAsia="宋体" w:hAnsi="宋体" w:cs="宋体"/>
                <w:spacing w:val="-2"/>
                <w:sz w:val="16"/>
                <w:szCs w:val="16"/>
              </w:rPr>
              <w:t>为学试验方法</w:t>
            </w:r>
          </w:p>
          <w:p w:rsidR="00EA40A3" w:rsidRDefault="00E86C16">
            <w:pPr>
              <w:spacing w:before="1" w:line="224" w:lineRule="auto"/>
              <w:ind w:left="383" w:right="94" w:hanging="119"/>
              <w:rPr>
                <w:rFonts w:ascii="宋体" w:eastAsia="宋体" w:hAnsi="宋体" w:cs="宋体"/>
                <w:sz w:val="16"/>
                <w:szCs w:val="16"/>
              </w:rPr>
            </w:pPr>
            <w:r>
              <w:rPr>
                <w:rFonts w:ascii="宋体" w:eastAsia="宋体" w:hAnsi="宋体" w:cs="宋体"/>
                <w:spacing w:val="-1"/>
                <w:sz w:val="16"/>
                <w:szCs w:val="16"/>
              </w:rPr>
              <w:t>3.人体试食试验为动物试验</w:t>
            </w:r>
            <w:r>
              <w:rPr>
                <w:rFonts w:ascii="宋体" w:eastAsia="宋体" w:hAnsi="宋体" w:cs="宋体"/>
                <w:spacing w:val="2"/>
                <w:sz w:val="16"/>
                <w:szCs w:val="16"/>
              </w:rPr>
              <w:t xml:space="preserve"> </w:t>
            </w:r>
            <w:r>
              <w:rPr>
                <w:rFonts w:ascii="宋体" w:eastAsia="宋体" w:hAnsi="宋体" w:cs="宋体"/>
                <w:spacing w:val="5"/>
                <w:sz w:val="16"/>
                <w:szCs w:val="16"/>
              </w:rPr>
              <w:t>后的必做项目</w:t>
            </w:r>
          </w:p>
        </w:tc>
        <w:tc>
          <w:tcPr>
            <w:tcW w:w="1955" w:type="dxa"/>
            <w:tcBorders>
              <w:top w:val="single" w:sz="4" w:space="0" w:color="000000"/>
              <w:bottom w:val="single" w:sz="4" w:space="0" w:color="000000"/>
            </w:tcBorders>
          </w:tcPr>
          <w:p w:rsidR="00EA40A3" w:rsidRDefault="00E86C16">
            <w:pPr>
              <w:spacing w:before="112" w:line="222" w:lineRule="auto"/>
              <w:ind w:left="405" w:right="29" w:hanging="260"/>
              <w:rPr>
                <w:rFonts w:ascii="宋体" w:eastAsia="宋体" w:hAnsi="宋体" w:cs="宋体"/>
                <w:sz w:val="16"/>
                <w:szCs w:val="16"/>
              </w:rPr>
            </w:pPr>
            <w:r>
              <w:rPr>
                <w:rFonts w:ascii="宋体" w:eastAsia="宋体" w:hAnsi="宋体" w:cs="宋体"/>
                <w:sz w:val="16"/>
                <w:szCs w:val="16"/>
              </w:rPr>
              <w:t>1.动物试验两项或两项</w:t>
            </w:r>
            <w:r>
              <w:rPr>
                <w:rFonts w:ascii="宋体" w:eastAsia="宋体" w:hAnsi="宋体" w:cs="宋体"/>
                <w:spacing w:val="2"/>
                <w:sz w:val="16"/>
                <w:szCs w:val="16"/>
              </w:rPr>
              <w:t xml:space="preserve">   </w:t>
            </w:r>
            <w:r>
              <w:rPr>
                <w:rFonts w:ascii="宋体" w:eastAsia="宋体" w:hAnsi="宋体" w:cs="宋体"/>
                <w:spacing w:val="8"/>
                <w:sz w:val="16"/>
                <w:szCs w:val="16"/>
              </w:rPr>
              <w:t>以上的指标为阳性，</w:t>
            </w:r>
            <w:r>
              <w:rPr>
                <w:rFonts w:ascii="宋体" w:eastAsia="宋体" w:hAnsi="宋体" w:cs="宋体"/>
                <w:spacing w:val="7"/>
                <w:sz w:val="16"/>
                <w:szCs w:val="16"/>
              </w:rPr>
              <w:t xml:space="preserve"> </w:t>
            </w:r>
            <w:r>
              <w:rPr>
                <w:rFonts w:ascii="宋体" w:eastAsia="宋体" w:hAnsi="宋体" w:cs="宋体"/>
                <w:spacing w:val="-1"/>
                <w:sz w:val="16"/>
                <w:szCs w:val="16"/>
              </w:rPr>
              <w:t>且两次或两次以上的</w:t>
            </w:r>
            <w:r>
              <w:rPr>
                <w:rFonts w:ascii="宋体" w:eastAsia="宋体" w:hAnsi="宋体" w:cs="宋体"/>
                <w:sz w:val="16"/>
                <w:szCs w:val="16"/>
              </w:rPr>
              <w:t xml:space="preserve">  </w:t>
            </w:r>
            <w:r>
              <w:rPr>
                <w:rFonts w:ascii="宋体" w:eastAsia="宋体" w:hAnsi="宋体" w:cs="宋体"/>
                <w:spacing w:val="-1"/>
                <w:sz w:val="16"/>
                <w:szCs w:val="16"/>
              </w:rPr>
              <w:t>重复测试为阳性，可</w:t>
            </w:r>
            <w:r>
              <w:rPr>
                <w:rFonts w:ascii="宋体" w:eastAsia="宋体" w:hAnsi="宋体" w:cs="宋体"/>
                <w:sz w:val="16"/>
                <w:szCs w:val="16"/>
              </w:rPr>
              <w:t xml:space="preserve">  以认为该受试物具有</w:t>
            </w:r>
          </w:p>
          <w:p w:rsidR="00EA40A3" w:rsidRDefault="00E86C16">
            <w:pPr>
              <w:spacing w:before="9" w:line="214" w:lineRule="auto"/>
              <w:ind w:left="314" w:right="361" w:firstLine="10"/>
              <w:rPr>
                <w:rFonts w:ascii="宋体" w:eastAsia="宋体" w:hAnsi="宋体" w:cs="宋体"/>
                <w:sz w:val="16"/>
                <w:szCs w:val="16"/>
              </w:rPr>
            </w:pPr>
            <w:r>
              <w:rPr>
                <w:rFonts w:ascii="宋体" w:eastAsia="宋体" w:hAnsi="宋体" w:cs="宋体"/>
                <w:spacing w:val="-2"/>
                <w:sz w:val="16"/>
                <w:szCs w:val="16"/>
              </w:rPr>
              <w:t>改善该类动物记忆</w:t>
            </w:r>
            <w:r>
              <w:rPr>
                <w:rFonts w:ascii="宋体" w:eastAsia="宋体" w:hAnsi="宋体" w:cs="宋体"/>
                <w:spacing w:val="3"/>
                <w:sz w:val="16"/>
                <w:szCs w:val="16"/>
              </w:rPr>
              <w:t xml:space="preserve"> </w:t>
            </w:r>
            <w:r>
              <w:rPr>
                <w:rFonts w:ascii="宋体" w:eastAsia="宋体" w:hAnsi="宋体" w:cs="宋体"/>
                <w:spacing w:val="9"/>
                <w:sz w:val="16"/>
                <w:szCs w:val="16"/>
              </w:rPr>
              <w:t>作用</w:t>
            </w:r>
          </w:p>
          <w:p w:rsidR="00EA40A3" w:rsidRDefault="00E86C16">
            <w:pPr>
              <w:spacing w:before="8" w:line="225" w:lineRule="auto"/>
              <w:ind w:left="405" w:right="29" w:hanging="320"/>
              <w:rPr>
                <w:rFonts w:ascii="宋体" w:eastAsia="宋体" w:hAnsi="宋体" w:cs="宋体"/>
                <w:sz w:val="16"/>
                <w:szCs w:val="16"/>
              </w:rPr>
            </w:pPr>
            <w:r>
              <w:rPr>
                <w:rFonts w:ascii="宋体" w:eastAsia="宋体" w:hAnsi="宋体" w:cs="宋体"/>
                <w:spacing w:val="6"/>
                <w:sz w:val="16"/>
                <w:szCs w:val="16"/>
              </w:rPr>
              <w:t>2.人体试食结果为阳性，</w:t>
            </w:r>
            <w:r>
              <w:rPr>
                <w:rFonts w:ascii="宋体" w:eastAsia="宋体" w:hAnsi="宋体" w:cs="宋体"/>
                <w:spacing w:val="7"/>
                <w:sz w:val="16"/>
                <w:szCs w:val="16"/>
              </w:rPr>
              <w:t xml:space="preserve"> </w:t>
            </w:r>
            <w:r>
              <w:rPr>
                <w:rFonts w:ascii="宋体" w:eastAsia="宋体" w:hAnsi="宋体" w:cs="宋体"/>
                <w:spacing w:val="-1"/>
                <w:sz w:val="16"/>
                <w:szCs w:val="16"/>
              </w:rPr>
              <w:t>则认为该受试物具有</w:t>
            </w:r>
          </w:p>
          <w:p w:rsidR="00EA40A3" w:rsidRDefault="00E86C16">
            <w:pPr>
              <w:spacing w:line="216" w:lineRule="auto"/>
              <w:ind w:left="325"/>
              <w:rPr>
                <w:rFonts w:ascii="宋体" w:eastAsia="宋体" w:hAnsi="宋体" w:cs="宋体"/>
                <w:sz w:val="16"/>
                <w:szCs w:val="16"/>
              </w:rPr>
            </w:pPr>
            <w:r>
              <w:rPr>
                <w:rFonts w:ascii="宋体" w:eastAsia="宋体" w:hAnsi="宋体" w:cs="宋体"/>
                <w:spacing w:val="2"/>
                <w:sz w:val="16"/>
                <w:szCs w:val="16"/>
              </w:rPr>
              <w:t>改善人体记忆作用</w:t>
            </w:r>
          </w:p>
        </w:tc>
      </w:tr>
    </w:tbl>
    <w:p w:rsidR="00EA40A3" w:rsidRDefault="00EA40A3">
      <w:pPr>
        <w:spacing w:line="90" w:lineRule="exact"/>
        <w:rPr>
          <w:sz w:val="7"/>
        </w:rPr>
      </w:pPr>
    </w:p>
    <w:p w:rsidR="00EA40A3" w:rsidRDefault="00EA40A3">
      <w:pPr>
        <w:sectPr w:rsidR="00EA40A3">
          <w:headerReference w:type="default" r:id="rId244"/>
          <w:footerReference w:type="default" r:id="rId245"/>
          <w:pgSz w:w="9220" w:h="13360"/>
          <w:pgMar w:top="1365" w:right="959" w:bottom="1324" w:left="890" w:header="1113" w:footer="961" w:gutter="0"/>
          <w:cols w:space="720" w:equalWidth="0">
            <w:col w:w="7371"/>
          </w:cols>
        </w:sectPr>
      </w:pPr>
    </w:p>
    <w:p w:rsidR="00EA40A3" w:rsidRDefault="00E86C16">
      <w:pPr>
        <w:spacing w:before="32" w:line="218" w:lineRule="auto"/>
        <w:ind w:left="800"/>
        <w:rPr>
          <w:rFonts w:ascii="宋体" w:eastAsia="宋体" w:hAnsi="宋体" w:cs="宋体"/>
          <w:sz w:val="16"/>
          <w:szCs w:val="16"/>
        </w:rPr>
      </w:pPr>
      <w:r>
        <w:rPr>
          <w:rFonts w:ascii="宋体" w:eastAsia="宋体" w:hAnsi="宋体" w:cs="宋体"/>
          <w:spacing w:val="-2"/>
          <w:sz w:val="16"/>
          <w:szCs w:val="16"/>
        </w:rPr>
        <w:t>动物试验</w:t>
      </w:r>
    </w:p>
    <w:p w:rsidR="00EA40A3" w:rsidRDefault="00E86C16">
      <w:pPr>
        <w:spacing w:line="219" w:lineRule="auto"/>
        <w:ind w:left="800"/>
        <w:rPr>
          <w:rFonts w:ascii="宋体" w:eastAsia="宋体" w:hAnsi="宋体" w:cs="宋体"/>
          <w:sz w:val="16"/>
          <w:szCs w:val="16"/>
        </w:rPr>
      </w:pPr>
      <w:r>
        <w:rPr>
          <w:rFonts w:ascii="宋体" w:eastAsia="宋体" w:hAnsi="宋体" w:cs="宋体"/>
          <w:spacing w:val="1"/>
          <w:sz w:val="16"/>
          <w:szCs w:val="16"/>
        </w:rPr>
        <w:t>1)胎仔情况</w:t>
      </w:r>
    </w:p>
    <w:p w:rsidR="00EA40A3" w:rsidRDefault="00E86C16">
      <w:pPr>
        <w:spacing w:line="219" w:lineRule="auto"/>
        <w:ind w:right="9"/>
        <w:jc w:val="right"/>
        <w:rPr>
          <w:rFonts w:ascii="宋体" w:eastAsia="宋体" w:hAnsi="宋体" w:cs="宋体"/>
          <w:sz w:val="16"/>
          <w:szCs w:val="16"/>
        </w:rPr>
      </w:pPr>
      <w:r>
        <w:rPr>
          <w:rFonts w:ascii="宋体" w:eastAsia="宋体" w:hAnsi="宋体" w:cs="宋体"/>
          <w:spacing w:val="6"/>
          <w:sz w:val="16"/>
          <w:szCs w:val="16"/>
        </w:rPr>
        <w:t>活胎数、雌雄比例、死胎数、</w:t>
      </w:r>
    </w:p>
    <w:p w:rsidR="00EA40A3" w:rsidRDefault="00E86C16">
      <w:pPr>
        <w:spacing w:before="10" w:line="219" w:lineRule="auto"/>
        <w:ind w:left="1199"/>
        <w:rPr>
          <w:rFonts w:ascii="宋体" w:eastAsia="宋体" w:hAnsi="宋体" w:cs="宋体"/>
          <w:sz w:val="16"/>
          <w:szCs w:val="16"/>
        </w:rPr>
      </w:pPr>
      <w:r>
        <w:rPr>
          <w:rFonts w:ascii="宋体" w:eastAsia="宋体" w:hAnsi="宋体" w:cs="宋体"/>
          <w:spacing w:val="-2"/>
          <w:sz w:val="16"/>
          <w:szCs w:val="16"/>
        </w:rPr>
        <w:t>分娩胎仔数</w:t>
      </w:r>
    </w:p>
    <w:p w:rsidR="00EA40A3" w:rsidRDefault="00E86C16">
      <w:pPr>
        <w:spacing w:before="10" w:line="219" w:lineRule="auto"/>
        <w:ind w:left="800"/>
        <w:rPr>
          <w:rFonts w:ascii="宋体" w:eastAsia="宋体" w:hAnsi="宋体" w:cs="宋体"/>
          <w:sz w:val="16"/>
          <w:szCs w:val="16"/>
        </w:rPr>
      </w:pPr>
      <w:r>
        <w:rPr>
          <w:rFonts w:ascii="宋体" w:eastAsia="宋体" w:hAnsi="宋体" w:cs="宋体"/>
          <w:spacing w:val="-1"/>
          <w:sz w:val="16"/>
          <w:szCs w:val="16"/>
        </w:rPr>
        <w:t>2)体重及食物利用率</w:t>
      </w:r>
    </w:p>
    <w:p w:rsidR="00EA40A3" w:rsidRDefault="00E86C16">
      <w:pPr>
        <w:spacing w:before="1" w:line="218" w:lineRule="auto"/>
        <w:ind w:left="1268" w:right="98" w:hanging="219"/>
        <w:rPr>
          <w:rFonts w:ascii="宋体" w:eastAsia="宋体" w:hAnsi="宋体" w:cs="宋体"/>
          <w:sz w:val="16"/>
          <w:szCs w:val="16"/>
        </w:rPr>
      </w:pPr>
      <w:r>
        <w:rPr>
          <w:rFonts w:ascii="宋体" w:eastAsia="宋体" w:hAnsi="宋体" w:cs="宋体"/>
          <w:spacing w:val="5"/>
          <w:sz w:val="16"/>
          <w:szCs w:val="16"/>
        </w:rPr>
        <w:t>出生时及出生后4、7、14、</w:t>
      </w:r>
      <w:r>
        <w:rPr>
          <w:rFonts w:ascii="宋体" w:eastAsia="宋体" w:hAnsi="宋体" w:cs="宋体"/>
          <w:spacing w:val="9"/>
          <w:sz w:val="16"/>
          <w:szCs w:val="16"/>
        </w:rPr>
        <w:t xml:space="preserve"> </w:t>
      </w:r>
      <w:r>
        <w:rPr>
          <w:rFonts w:ascii="宋体" w:eastAsia="宋体" w:hAnsi="宋体" w:cs="宋体"/>
          <w:spacing w:val="-1"/>
          <w:sz w:val="16"/>
          <w:szCs w:val="16"/>
        </w:rPr>
        <w:t>21、30、60d幼鼠体重，计</w:t>
      </w:r>
    </w:p>
    <w:p w:rsidR="00EA40A3" w:rsidRDefault="00E86C16">
      <w:pPr>
        <w:spacing w:before="1" w:line="196" w:lineRule="auto"/>
        <w:ind w:left="119"/>
        <w:rPr>
          <w:rFonts w:ascii="宋体" w:eastAsia="宋体" w:hAnsi="宋体" w:cs="宋体"/>
          <w:sz w:val="16"/>
          <w:szCs w:val="16"/>
        </w:rPr>
      </w:pPr>
      <w:r>
        <w:rPr>
          <w:rFonts w:ascii="宋体" w:eastAsia="宋体" w:hAnsi="宋体" w:cs="宋体"/>
          <w:spacing w:val="-1"/>
          <w:sz w:val="16"/>
          <w:szCs w:val="16"/>
        </w:rPr>
        <w:t>促进生</w:t>
      </w:r>
      <w:r>
        <w:rPr>
          <w:rFonts w:ascii="宋体" w:eastAsia="宋体" w:hAnsi="宋体" w:cs="宋体"/>
          <w:spacing w:val="5"/>
          <w:sz w:val="16"/>
          <w:szCs w:val="16"/>
        </w:rPr>
        <w:t xml:space="preserve">       </w:t>
      </w:r>
      <w:r>
        <w:rPr>
          <w:rFonts w:ascii="宋体" w:eastAsia="宋体" w:hAnsi="宋体" w:cs="宋体"/>
          <w:spacing w:val="-1"/>
          <w:sz w:val="16"/>
          <w:szCs w:val="16"/>
        </w:rPr>
        <w:t>算断乳后幼鼠的食物利用率</w:t>
      </w:r>
    </w:p>
    <w:p w:rsidR="00EA40A3" w:rsidRDefault="00E86C16">
      <w:pPr>
        <w:spacing w:line="219" w:lineRule="auto"/>
        <w:ind w:left="150"/>
        <w:rPr>
          <w:rFonts w:ascii="宋体" w:eastAsia="宋体" w:hAnsi="宋体" w:cs="宋体"/>
          <w:sz w:val="16"/>
          <w:szCs w:val="16"/>
        </w:rPr>
      </w:pPr>
      <w:r>
        <w:rPr>
          <w:rFonts w:ascii="宋体" w:eastAsia="宋体" w:hAnsi="宋体" w:cs="宋体"/>
          <w:spacing w:val="-2"/>
          <w:sz w:val="16"/>
          <w:szCs w:val="16"/>
        </w:rPr>
        <w:t>长发育</w:t>
      </w:r>
      <w:r>
        <w:rPr>
          <w:rFonts w:ascii="宋体" w:eastAsia="宋体" w:hAnsi="宋体" w:cs="宋体"/>
          <w:spacing w:val="7"/>
          <w:sz w:val="16"/>
          <w:szCs w:val="16"/>
        </w:rPr>
        <w:t xml:space="preserve">  </w:t>
      </w:r>
      <w:r>
        <w:rPr>
          <w:rFonts w:ascii="宋体" w:eastAsia="宋体" w:hAnsi="宋体" w:cs="宋体"/>
          <w:spacing w:val="-2"/>
          <w:sz w:val="16"/>
          <w:szCs w:val="16"/>
        </w:rPr>
        <w:t>3)生理发育指标</w:t>
      </w:r>
    </w:p>
    <w:p w:rsidR="00EA40A3" w:rsidRDefault="00E86C16">
      <w:pPr>
        <w:spacing w:before="11" w:line="230" w:lineRule="auto"/>
        <w:ind w:left="199"/>
        <w:rPr>
          <w:rFonts w:ascii="宋体" w:eastAsia="宋体" w:hAnsi="宋体" w:cs="宋体"/>
          <w:sz w:val="16"/>
          <w:szCs w:val="16"/>
        </w:rPr>
      </w:pPr>
      <w:r>
        <w:rPr>
          <w:rFonts w:ascii="宋体" w:eastAsia="宋体" w:hAnsi="宋体" w:cs="宋体"/>
          <w:position w:val="1"/>
          <w:sz w:val="16"/>
          <w:szCs w:val="16"/>
        </w:rPr>
        <w:t>作用</w:t>
      </w:r>
      <w:r>
        <w:rPr>
          <w:rFonts w:ascii="宋体" w:eastAsia="宋体" w:hAnsi="宋体" w:cs="宋体"/>
          <w:spacing w:val="33"/>
          <w:w w:val="101"/>
          <w:position w:val="1"/>
          <w:sz w:val="16"/>
          <w:szCs w:val="16"/>
        </w:rPr>
        <w:t xml:space="preserve"> </w:t>
      </w:r>
      <w:r>
        <w:rPr>
          <w:rFonts w:ascii="宋体" w:eastAsia="宋体" w:hAnsi="宋体" w:cs="宋体"/>
          <w:sz w:val="16"/>
          <w:szCs w:val="16"/>
        </w:rPr>
        <w:t>记录耳郭分离、门齿萌出、开</w:t>
      </w:r>
    </w:p>
    <w:p w:rsidR="00EA40A3" w:rsidRDefault="00E86C16">
      <w:pPr>
        <w:spacing w:line="219" w:lineRule="auto"/>
        <w:ind w:right="83"/>
        <w:jc w:val="right"/>
        <w:rPr>
          <w:rFonts w:ascii="宋体" w:eastAsia="宋体" w:hAnsi="宋体" w:cs="宋体"/>
          <w:sz w:val="16"/>
          <w:szCs w:val="16"/>
        </w:rPr>
      </w:pPr>
      <w:r>
        <w:rPr>
          <w:rFonts w:ascii="宋体" w:eastAsia="宋体" w:hAnsi="宋体" w:cs="宋体"/>
          <w:sz w:val="16"/>
          <w:szCs w:val="16"/>
        </w:rPr>
        <w:t>眼、长毛、阴道开方、睾丸</w:t>
      </w:r>
    </w:p>
    <w:p w:rsidR="00EA40A3" w:rsidRDefault="00E86C16">
      <w:pPr>
        <w:spacing w:line="219" w:lineRule="auto"/>
        <w:ind w:left="1199"/>
        <w:rPr>
          <w:rFonts w:ascii="宋体" w:eastAsia="宋体" w:hAnsi="宋体" w:cs="宋体"/>
          <w:sz w:val="16"/>
          <w:szCs w:val="16"/>
        </w:rPr>
      </w:pPr>
      <w:r>
        <w:rPr>
          <w:rFonts w:ascii="宋体" w:eastAsia="宋体" w:hAnsi="宋体" w:cs="宋体"/>
          <w:spacing w:val="3"/>
          <w:sz w:val="16"/>
          <w:szCs w:val="16"/>
        </w:rPr>
        <w:t>下降时间</w:t>
      </w:r>
    </w:p>
    <w:p w:rsidR="00EA40A3" w:rsidRDefault="00E86C16">
      <w:pPr>
        <w:spacing w:before="1" w:line="219" w:lineRule="auto"/>
        <w:ind w:left="789"/>
        <w:rPr>
          <w:rFonts w:ascii="宋体" w:eastAsia="宋体" w:hAnsi="宋体" w:cs="宋体"/>
          <w:sz w:val="16"/>
          <w:szCs w:val="16"/>
        </w:rPr>
      </w:pPr>
      <w:r>
        <w:rPr>
          <w:rFonts w:ascii="宋体" w:eastAsia="宋体" w:hAnsi="宋体" w:cs="宋体"/>
          <w:spacing w:val="-1"/>
          <w:sz w:val="16"/>
          <w:szCs w:val="16"/>
        </w:rPr>
        <w:t>4)神经反射指标</w:t>
      </w:r>
    </w:p>
    <w:p w:rsidR="00EA40A3" w:rsidRDefault="00E86C16">
      <w:pPr>
        <w:spacing w:before="1" w:line="216" w:lineRule="auto"/>
        <w:ind w:left="1189" w:right="9" w:hanging="160"/>
        <w:rPr>
          <w:rFonts w:ascii="宋体" w:eastAsia="宋体" w:hAnsi="宋体" w:cs="宋体"/>
          <w:sz w:val="16"/>
          <w:szCs w:val="16"/>
        </w:rPr>
      </w:pPr>
      <w:r>
        <w:rPr>
          <w:rFonts w:ascii="宋体" w:eastAsia="宋体" w:hAnsi="宋体" w:cs="宋体"/>
          <w:spacing w:val="1"/>
          <w:sz w:val="16"/>
          <w:szCs w:val="16"/>
        </w:rPr>
        <w:t xml:space="preserve">平面翻正、前肢抓力、悬崖回  </w:t>
      </w:r>
      <w:r>
        <w:rPr>
          <w:rFonts w:ascii="宋体" w:eastAsia="宋体" w:hAnsi="宋体" w:cs="宋体"/>
          <w:spacing w:val="6"/>
          <w:sz w:val="16"/>
          <w:szCs w:val="16"/>
        </w:rPr>
        <w:t>避、嗅觉定位、听觉警戒、</w:t>
      </w:r>
      <w:r>
        <w:rPr>
          <w:rFonts w:ascii="宋体" w:eastAsia="宋体" w:hAnsi="宋体" w:cs="宋体"/>
          <w:spacing w:val="7"/>
          <w:sz w:val="16"/>
          <w:szCs w:val="16"/>
        </w:rPr>
        <w:t xml:space="preserve"> </w:t>
      </w:r>
      <w:r>
        <w:rPr>
          <w:rFonts w:ascii="宋体" w:eastAsia="宋体" w:hAnsi="宋体" w:cs="宋体"/>
          <w:sz w:val="16"/>
          <w:szCs w:val="16"/>
        </w:rPr>
        <w:t>负趋地性、回旋运动、视觉</w:t>
      </w:r>
      <w:r>
        <w:rPr>
          <w:rFonts w:ascii="宋体" w:eastAsia="宋体" w:hAnsi="宋体" w:cs="宋体"/>
          <w:spacing w:val="3"/>
          <w:sz w:val="16"/>
          <w:szCs w:val="16"/>
        </w:rPr>
        <w:t xml:space="preserve">  </w:t>
      </w:r>
      <w:r>
        <w:rPr>
          <w:rFonts w:ascii="宋体" w:eastAsia="宋体" w:hAnsi="宋体" w:cs="宋体"/>
          <w:spacing w:val="1"/>
          <w:sz w:val="16"/>
          <w:szCs w:val="16"/>
        </w:rPr>
        <w:t>发育、空中翻正、游泳发育</w:t>
      </w:r>
    </w:p>
    <w:p w:rsidR="00EA40A3" w:rsidRDefault="00E86C16">
      <w:pPr>
        <w:spacing w:line="14" w:lineRule="auto"/>
        <w:rPr>
          <w:sz w:val="2"/>
        </w:rPr>
      </w:pPr>
      <w:r>
        <w:rPr>
          <w:sz w:val="2"/>
          <w:szCs w:val="2"/>
        </w:rPr>
        <w:br w:type="column"/>
      </w:r>
    </w:p>
    <w:p w:rsidR="00EA40A3" w:rsidRDefault="00EA40A3">
      <w:pPr>
        <w:spacing w:line="257" w:lineRule="auto"/>
      </w:pPr>
    </w:p>
    <w:p w:rsidR="00EA40A3" w:rsidRDefault="00EA40A3">
      <w:pPr>
        <w:spacing w:line="257" w:lineRule="auto"/>
      </w:pPr>
    </w:p>
    <w:p w:rsidR="00EA40A3" w:rsidRDefault="00EA40A3">
      <w:pPr>
        <w:spacing w:line="258" w:lineRule="auto"/>
      </w:pPr>
    </w:p>
    <w:p w:rsidR="00EA40A3" w:rsidRDefault="00EA40A3">
      <w:pPr>
        <w:spacing w:line="258" w:lineRule="auto"/>
      </w:pPr>
    </w:p>
    <w:p w:rsidR="00EA40A3" w:rsidRDefault="00E86C16">
      <w:pPr>
        <w:spacing w:before="52" w:line="212" w:lineRule="auto"/>
        <w:ind w:left="239" w:right="81" w:hanging="130"/>
        <w:rPr>
          <w:rFonts w:ascii="宋体" w:eastAsia="宋体" w:hAnsi="宋体" w:cs="宋体"/>
          <w:sz w:val="16"/>
          <w:szCs w:val="16"/>
        </w:rPr>
      </w:pPr>
      <w:r>
        <w:rPr>
          <w:rFonts w:ascii="宋体" w:eastAsia="宋体" w:hAnsi="宋体" w:cs="宋体"/>
          <w:sz w:val="16"/>
          <w:szCs w:val="16"/>
        </w:rPr>
        <w:t>1.给受试物的时间可根据具</w:t>
      </w:r>
      <w:r>
        <w:rPr>
          <w:rFonts w:ascii="宋体" w:eastAsia="宋体" w:hAnsi="宋体" w:cs="宋体"/>
          <w:spacing w:val="7"/>
          <w:sz w:val="16"/>
          <w:szCs w:val="16"/>
        </w:rPr>
        <w:t xml:space="preserve"> </w:t>
      </w:r>
      <w:r>
        <w:rPr>
          <w:rFonts w:ascii="宋体" w:eastAsia="宋体" w:hAnsi="宋体" w:cs="宋体"/>
          <w:spacing w:val="2"/>
          <w:sz w:val="16"/>
          <w:szCs w:val="16"/>
        </w:rPr>
        <w:t>体情况选择仔母鼠孕期或</w:t>
      </w:r>
      <w:r>
        <w:rPr>
          <w:rFonts w:ascii="宋体" w:eastAsia="宋体" w:hAnsi="宋体" w:cs="宋体"/>
          <w:sz w:val="16"/>
          <w:szCs w:val="16"/>
        </w:rPr>
        <w:t xml:space="preserve"> </w:t>
      </w:r>
      <w:r>
        <w:rPr>
          <w:rFonts w:ascii="宋体" w:eastAsia="宋体" w:hAnsi="宋体" w:cs="宋体"/>
          <w:spacing w:val="1"/>
          <w:sz w:val="16"/>
          <w:szCs w:val="16"/>
        </w:rPr>
        <w:t>哺乳期至成年期</w:t>
      </w:r>
    </w:p>
    <w:p w:rsidR="00EA40A3" w:rsidRDefault="00E86C16">
      <w:pPr>
        <w:spacing w:before="1" w:line="236" w:lineRule="auto"/>
        <w:ind w:left="228" w:right="208" w:hanging="229"/>
        <w:rPr>
          <w:rFonts w:ascii="宋体" w:eastAsia="宋体" w:hAnsi="宋体" w:cs="宋体"/>
          <w:sz w:val="16"/>
          <w:szCs w:val="16"/>
        </w:rPr>
      </w:pPr>
      <w:r>
        <w:rPr>
          <w:rFonts w:ascii="宋体" w:eastAsia="宋体" w:hAnsi="宋体" w:cs="宋体"/>
          <w:spacing w:val="-1"/>
          <w:sz w:val="16"/>
          <w:szCs w:val="16"/>
        </w:rPr>
        <w:t>2.在神经反射指标中应选择</w:t>
      </w:r>
      <w:r>
        <w:rPr>
          <w:rFonts w:ascii="宋体" w:eastAsia="宋体" w:hAnsi="宋体" w:cs="宋体"/>
          <w:spacing w:val="3"/>
          <w:sz w:val="16"/>
          <w:szCs w:val="16"/>
        </w:rPr>
        <w:t xml:space="preserve"> </w:t>
      </w:r>
      <w:r>
        <w:rPr>
          <w:rFonts w:ascii="宋体" w:eastAsia="宋体" w:hAnsi="宋体" w:cs="宋体"/>
          <w:spacing w:val="-1"/>
          <w:sz w:val="16"/>
          <w:szCs w:val="16"/>
        </w:rPr>
        <w:t>一组(5个以上)行为学</w:t>
      </w:r>
    </w:p>
    <w:p w:rsidR="00EA40A3" w:rsidRDefault="00E86C16">
      <w:pPr>
        <w:spacing w:before="10" w:line="221" w:lineRule="auto"/>
        <w:ind w:left="229"/>
        <w:rPr>
          <w:rFonts w:ascii="宋体" w:eastAsia="宋体" w:hAnsi="宋体" w:cs="宋体"/>
          <w:sz w:val="16"/>
          <w:szCs w:val="16"/>
        </w:rPr>
      </w:pPr>
      <w:r>
        <w:rPr>
          <w:rFonts w:ascii="宋体" w:eastAsia="宋体" w:hAnsi="宋体" w:cs="宋体"/>
          <w:spacing w:val="-2"/>
          <w:sz w:val="16"/>
          <w:szCs w:val="16"/>
        </w:rPr>
        <w:t>试验方法</w:t>
      </w:r>
    </w:p>
    <w:p w:rsidR="00EA40A3" w:rsidRDefault="00E86C16">
      <w:pPr>
        <w:spacing w:line="14" w:lineRule="auto"/>
        <w:rPr>
          <w:sz w:val="2"/>
        </w:rPr>
      </w:pPr>
      <w:r>
        <w:rPr>
          <w:sz w:val="2"/>
          <w:szCs w:val="2"/>
        </w:rPr>
        <w:br w:type="column"/>
      </w:r>
    </w:p>
    <w:p w:rsidR="00EA40A3" w:rsidRDefault="00EA40A3">
      <w:pPr>
        <w:spacing w:line="283" w:lineRule="auto"/>
      </w:pPr>
    </w:p>
    <w:p w:rsidR="00EA40A3" w:rsidRDefault="00EA40A3">
      <w:pPr>
        <w:spacing w:line="283" w:lineRule="auto"/>
      </w:pPr>
    </w:p>
    <w:p w:rsidR="00EA40A3" w:rsidRDefault="00EA40A3">
      <w:pPr>
        <w:spacing w:line="283" w:lineRule="auto"/>
      </w:pPr>
    </w:p>
    <w:p w:rsidR="00EA40A3" w:rsidRDefault="00EA40A3">
      <w:pPr>
        <w:spacing w:line="283" w:lineRule="auto"/>
      </w:pPr>
    </w:p>
    <w:p w:rsidR="00EA40A3" w:rsidRDefault="00E86C16">
      <w:pPr>
        <w:spacing w:before="52" w:line="219" w:lineRule="auto"/>
        <w:ind w:left="20" w:right="238"/>
        <w:rPr>
          <w:rFonts w:ascii="宋体" w:eastAsia="宋体" w:hAnsi="宋体" w:cs="宋体"/>
          <w:sz w:val="16"/>
          <w:szCs w:val="16"/>
        </w:rPr>
      </w:pPr>
      <w:r>
        <w:rPr>
          <w:rFonts w:ascii="宋体" w:eastAsia="宋体" w:hAnsi="宋体" w:cs="宋体"/>
          <w:spacing w:val="1"/>
          <w:sz w:val="16"/>
          <w:szCs w:val="16"/>
        </w:rPr>
        <w:t>在1)～4)四类指标中</w:t>
      </w:r>
      <w:r>
        <w:rPr>
          <w:rFonts w:ascii="宋体" w:eastAsia="宋体" w:hAnsi="宋体" w:cs="宋体"/>
          <w:spacing w:val="2"/>
          <w:sz w:val="16"/>
          <w:szCs w:val="16"/>
        </w:rPr>
        <w:t xml:space="preserve">  </w:t>
      </w:r>
      <w:r>
        <w:rPr>
          <w:rFonts w:ascii="宋体" w:eastAsia="宋体" w:hAnsi="宋体" w:cs="宋体"/>
          <w:spacing w:val="3"/>
          <w:sz w:val="16"/>
          <w:szCs w:val="16"/>
        </w:rPr>
        <w:t>有三类以上(含三类)</w:t>
      </w:r>
      <w:r>
        <w:rPr>
          <w:rFonts w:ascii="宋体" w:eastAsia="宋体" w:hAnsi="宋体" w:cs="宋体"/>
          <w:spacing w:val="2"/>
          <w:sz w:val="16"/>
          <w:szCs w:val="16"/>
        </w:rPr>
        <w:t xml:space="preserve">  </w:t>
      </w:r>
      <w:r>
        <w:rPr>
          <w:rFonts w:ascii="宋体" w:eastAsia="宋体" w:hAnsi="宋体" w:cs="宋体"/>
          <w:spacing w:val="-1"/>
          <w:sz w:val="16"/>
          <w:szCs w:val="16"/>
        </w:rPr>
        <w:t>指标为阳性，可认为受</w:t>
      </w:r>
      <w:r>
        <w:rPr>
          <w:rFonts w:ascii="宋体" w:eastAsia="宋体" w:hAnsi="宋体" w:cs="宋体"/>
          <w:sz w:val="16"/>
          <w:szCs w:val="16"/>
        </w:rPr>
        <w:t xml:space="preserve"> </w:t>
      </w:r>
      <w:r>
        <w:rPr>
          <w:rFonts w:ascii="宋体" w:eastAsia="宋体" w:hAnsi="宋体" w:cs="宋体"/>
          <w:spacing w:val="-1"/>
          <w:sz w:val="16"/>
          <w:szCs w:val="16"/>
        </w:rPr>
        <w:t>试物有促进生长发育</w:t>
      </w:r>
    </w:p>
    <w:p w:rsidR="00EA40A3" w:rsidRDefault="00E86C16">
      <w:pPr>
        <w:spacing w:line="220" w:lineRule="auto"/>
        <w:rPr>
          <w:rFonts w:ascii="宋体" w:eastAsia="宋体" w:hAnsi="宋体" w:cs="宋体"/>
          <w:sz w:val="16"/>
          <w:szCs w:val="16"/>
        </w:rPr>
      </w:pPr>
      <w:r>
        <w:rPr>
          <w:rFonts w:ascii="宋体" w:eastAsia="宋体" w:hAnsi="宋体" w:cs="宋体"/>
          <w:spacing w:val="9"/>
          <w:sz w:val="16"/>
          <w:szCs w:val="16"/>
        </w:rPr>
        <w:t>作用</w:t>
      </w:r>
    </w:p>
    <w:p w:rsidR="00EA40A3" w:rsidRDefault="00EA40A3">
      <w:pPr>
        <w:sectPr w:rsidR="00EA40A3">
          <w:type w:val="continuous"/>
          <w:pgSz w:w="9220" w:h="13360"/>
          <w:pgMar w:top="1365" w:right="959" w:bottom="1324" w:left="890" w:header="1113" w:footer="961" w:gutter="0"/>
          <w:cols w:num="3" w:space="720" w:equalWidth="0">
            <w:col w:w="3201" w:space="100"/>
            <w:col w:w="2120" w:space="100"/>
            <w:col w:w="1850"/>
          </w:cols>
        </w:sectPr>
      </w:pPr>
    </w:p>
    <w:p w:rsidR="00EA40A3" w:rsidRDefault="00EA40A3">
      <w:pPr>
        <w:spacing w:line="330" w:lineRule="auto"/>
      </w:pPr>
    </w:p>
    <w:p w:rsidR="00EA40A3" w:rsidRDefault="00EA40A3">
      <w:pPr>
        <w:spacing w:line="331" w:lineRule="auto"/>
      </w:pPr>
    </w:p>
    <w:p w:rsidR="00EA40A3" w:rsidRDefault="00E86C16">
      <w:pPr>
        <w:spacing w:before="52" w:line="205" w:lineRule="auto"/>
        <w:ind w:right="354"/>
        <w:jc w:val="right"/>
        <w:rPr>
          <w:rFonts w:ascii="宋体" w:eastAsia="宋体" w:hAnsi="宋体" w:cs="宋体"/>
          <w:sz w:val="16"/>
          <w:szCs w:val="16"/>
        </w:rPr>
      </w:pPr>
      <w:bookmarkStart w:id="72" w:name="_bookmark77"/>
      <w:bookmarkStart w:id="73" w:name="_bookmark76"/>
      <w:bookmarkEnd w:id="72"/>
      <w:bookmarkEnd w:id="73"/>
      <w:r>
        <w:rPr>
          <w:rFonts w:ascii="宋体" w:eastAsia="宋体" w:hAnsi="宋体" w:cs="宋体"/>
          <w:spacing w:val="-3"/>
          <w:sz w:val="16"/>
          <w:szCs w:val="16"/>
        </w:rPr>
        <w:t>续表</w:t>
      </w:r>
    </w:p>
    <w:tbl>
      <w:tblPr>
        <w:tblStyle w:val="TableNormal"/>
        <w:tblW w:w="7390"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67"/>
        <w:gridCol w:w="2415"/>
        <w:gridCol w:w="2238"/>
        <w:gridCol w:w="1970"/>
      </w:tblGrid>
      <w:tr w:rsidR="00EA40A3">
        <w:trPr>
          <w:trHeight w:val="245"/>
        </w:trPr>
        <w:tc>
          <w:tcPr>
            <w:tcW w:w="7390" w:type="dxa"/>
            <w:gridSpan w:val="4"/>
            <w:tcBorders>
              <w:top w:val="single" w:sz="4" w:space="0" w:color="000000"/>
              <w:bottom w:val="single" w:sz="4" w:space="0" w:color="000000"/>
            </w:tcBorders>
          </w:tcPr>
          <w:p w:rsidR="00EA40A3" w:rsidRDefault="00E86C16">
            <w:pPr>
              <w:spacing w:before="82" w:line="188" w:lineRule="auto"/>
              <w:ind w:left="349"/>
              <w:rPr>
                <w:rFonts w:ascii="宋体" w:eastAsia="宋体" w:hAnsi="宋体" w:cs="宋体"/>
                <w:sz w:val="16"/>
                <w:szCs w:val="16"/>
              </w:rPr>
            </w:pPr>
            <w:r>
              <w:rPr>
                <w:rFonts w:ascii="宋体" w:eastAsia="宋体" w:hAnsi="宋体" w:cs="宋体"/>
                <w:spacing w:val="3"/>
                <w:sz w:val="16"/>
                <w:szCs w:val="16"/>
              </w:rPr>
              <w:t>功能性</w:t>
            </w:r>
            <w:r>
              <w:rPr>
                <w:rFonts w:ascii="宋体" w:eastAsia="宋体" w:hAnsi="宋体" w:cs="宋体"/>
                <w:spacing w:val="5"/>
                <w:sz w:val="16"/>
                <w:szCs w:val="16"/>
              </w:rPr>
              <w:t xml:space="preserve">            </w:t>
            </w:r>
            <w:r>
              <w:rPr>
                <w:rFonts w:ascii="宋体" w:eastAsia="宋体" w:hAnsi="宋体" w:cs="宋体"/>
                <w:spacing w:val="3"/>
                <w:sz w:val="16"/>
                <w:szCs w:val="16"/>
              </w:rPr>
              <w:t>试验项目</w:t>
            </w:r>
            <w:r>
              <w:rPr>
                <w:rFonts w:ascii="宋体" w:eastAsia="宋体" w:hAnsi="宋体" w:cs="宋体"/>
                <w:spacing w:val="1"/>
                <w:sz w:val="16"/>
                <w:szCs w:val="16"/>
              </w:rPr>
              <w:t xml:space="preserve">                   </w:t>
            </w:r>
            <w:r>
              <w:rPr>
                <w:rFonts w:ascii="宋体" w:eastAsia="宋体" w:hAnsi="宋体" w:cs="宋体"/>
                <w:spacing w:val="3"/>
                <w:sz w:val="16"/>
                <w:szCs w:val="16"/>
              </w:rPr>
              <w:t>试验原则                 结果判定</w:t>
            </w:r>
          </w:p>
        </w:tc>
      </w:tr>
      <w:tr w:rsidR="00EA40A3">
        <w:trPr>
          <w:trHeight w:val="1418"/>
        </w:trPr>
        <w:tc>
          <w:tcPr>
            <w:tcW w:w="767" w:type="dxa"/>
            <w:tcBorders>
              <w:top w:val="single" w:sz="4" w:space="0" w:color="000000"/>
              <w:bottom w:val="single" w:sz="4" w:space="0" w:color="000000"/>
              <w:right w:val="nil"/>
            </w:tcBorders>
          </w:tcPr>
          <w:p w:rsidR="00EA40A3" w:rsidRDefault="00EA40A3">
            <w:pPr>
              <w:spacing w:line="255" w:lineRule="auto"/>
            </w:pPr>
          </w:p>
          <w:p w:rsidR="00EA40A3" w:rsidRDefault="00EA40A3">
            <w:pPr>
              <w:spacing w:line="256" w:lineRule="auto"/>
            </w:pPr>
          </w:p>
          <w:p w:rsidR="00EA40A3" w:rsidRDefault="00E86C16">
            <w:pPr>
              <w:spacing w:before="52" w:line="220" w:lineRule="auto"/>
              <w:ind w:left="269" w:right="93" w:hanging="70"/>
              <w:rPr>
                <w:rFonts w:ascii="宋体" w:eastAsia="宋体" w:hAnsi="宋体" w:cs="宋体"/>
                <w:sz w:val="16"/>
                <w:szCs w:val="16"/>
              </w:rPr>
            </w:pPr>
            <w:r>
              <w:rPr>
                <w:rFonts w:ascii="宋体" w:eastAsia="宋体" w:hAnsi="宋体" w:cs="宋体"/>
                <w:spacing w:val="-3"/>
                <w:sz w:val="16"/>
                <w:szCs w:val="16"/>
              </w:rPr>
              <w:t>抗疲劳</w:t>
            </w:r>
            <w:r>
              <w:rPr>
                <w:rFonts w:ascii="宋体" w:eastAsia="宋体" w:hAnsi="宋体" w:cs="宋体"/>
                <w:spacing w:val="1"/>
                <w:sz w:val="16"/>
                <w:szCs w:val="16"/>
              </w:rPr>
              <w:t xml:space="preserve"> </w:t>
            </w:r>
            <w:r>
              <w:rPr>
                <w:rFonts w:ascii="宋体" w:eastAsia="宋体" w:hAnsi="宋体" w:cs="宋体"/>
                <w:spacing w:val="9"/>
                <w:sz w:val="16"/>
                <w:szCs w:val="16"/>
              </w:rPr>
              <w:t>作用</w:t>
            </w:r>
          </w:p>
        </w:tc>
        <w:tc>
          <w:tcPr>
            <w:tcW w:w="2415" w:type="dxa"/>
            <w:tcBorders>
              <w:top w:val="single" w:sz="4" w:space="0" w:color="000000"/>
              <w:left w:val="nil"/>
              <w:bottom w:val="single" w:sz="4" w:space="0" w:color="000000"/>
            </w:tcBorders>
          </w:tcPr>
          <w:p w:rsidR="00EA40A3" w:rsidRDefault="00E86C16">
            <w:pPr>
              <w:spacing w:before="187" w:line="218" w:lineRule="auto"/>
              <w:ind w:left="93"/>
              <w:rPr>
                <w:rFonts w:ascii="宋体" w:eastAsia="宋体" w:hAnsi="宋体" w:cs="宋体"/>
                <w:sz w:val="16"/>
                <w:szCs w:val="16"/>
              </w:rPr>
            </w:pPr>
            <w:r>
              <w:rPr>
                <w:rFonts w:ascii="宋体" w:eastAsia="宋体" w:hAnsi="宋体" w:cs="宋体"/>
                <w:spacing w:val="-2"/>
                <w:sz w:val="16"/>
                <w:szCs w:val="16"/>
              </w:rPr>
              <w:t>动物试验</w:t>
            </w:r>
          </w:p>
          <w:p w:rsidR="00EA40A3" w:rsidRDefault="00E86C16">
            <w:pPr>
              <w:spacing w:line="230" w:lineRule="auto"/>
              <w:ind w:left="223"/>
              <w:rPr>
                <w:rFonts w:ascii="宋体" w:eastAsia="宋体" w:hAnsi="宋体" w:cs="宋体"/>
                <w:sz w:val="16"/>
                <w:szCs w:val="16"/>
              </w:rPr>
            </w:pPr>
            <w:r>
              <w:rPr>
                <w:rFonts w:ascii="宋体" w:eastAsia="宋体" w:hAnsi="宋体" w:cs="宋体"/>
                <w:sz w:val="16"/>
                <w:szCs w:val="16"/>
              </w:rPr>
              <w:t>1)负重游泳试验</w:t>
            </w:r>
          </w:p>
          <w:p w:rsidR="00EA40A3" w:rsidRDefault="00E86C16">
            <w:pPr>
              <w:spacing w:line="219" w:lineRule="auto"/>
              <w:ind w:left="223"/>
              <w:rPr>
                <w:rFonts w:ascii="宋体" w:eastAsia="宋体" w:hAnsi="宋体" w:cs="宋体"/>
                <w:sz w:val="16"/>
                <w:szCs w:val="16"/>
              </w:rPr>
            </w:pPr>
            <w:r>
              <w:rPr>
                <w:rFonts w:ascii="宋体" w:eastAsia="宋体" w:hAnsi="宋体" w:cs="宋体"/>
                <w:spacing w:val="-2"/>
                <w:sz w:val="16"/>
                <w:szCs w:val="16"/>
              </w:rPr>
              <w:t>2)爬杆试验</w:t>
            </w:r>
          </w:p>
          <w:p w:rsidR="00EA40A3" w:rsidRDefault="00E86C16">
            <w:pPr>
              <w:spacing w:before="1" w:line="217" w:lineRule="auto"/>
              <w:ind w:left="223"/>
              <w:rPr>
                <w:rFonts w:ascii="宋体" w:eastAsia="宋体" w:hAnsi="宋体" w:cs="宋体"/>
                <w:sz w:val="16"/>
                <w:szCs w:val="16"/>
              </w:rPr>
            </w:pPr>
            <w:r>
              <w:rPr>
                <w:rFonts w:ascii="宋体" w:eastAsia="宋体" w:hAnsi="宋体" w:cs="宋体"/>
                <w:spacing w:val="-2"/>
                <w:sz w:val="16"/>
                <w:szCs w:val="16"/>
              </w:rPr>
              <w:t>3)血乳酸</w:t>
            </w:r>
          </w:p>
          <w:p w:rsidR="00EA40A3" w:rsidRDefault="00E86C16">
            <w:pPr>
              <w:spacing w:line="218" w:lineRule="auto"/>
              <w:ind w:left="223"/>
              <w:rPr>
                <w:rFonts w:ascii="宋体" w:eastAsia="宋体" w:hAnsi="宋体" w:cs="宋体"/>
                <w:sz w:val="16"/>
                <w:szCs w:val="16"/>
              </w:rPr>
            </w:pPr>
            <w:r>
              <w:rPr>
                <w:rFonts w:ascii="宋体" w:eastAsia="宋体" w:hAnsi="宋体" w:cs="宋体"/>
                <w:spacing w:val="-1"/>
                <w:sz w:val="16"/>
                <w:szCs w:val="16"/>
              </w:rPr>
              <w:t>4)血清尿素氮</w:t>
            </w:r>
          </w:p>
          <w:p w:rsidR="00EA40A3" w:rsidRDefault="00E86C16">
            <w:pPr>
              <w:spacing w:before="1" w:line="220" w:lineRule="auto"/>
              <w:ind w:left="223"/>
              <w:rPr>
                <w:rFonts w:ascii="宋体" w:eastAsia="宋体" w:hAnsi="宋体" w:cs="宋体"/>
                <w:sz w:val="16"/>
                <w:szCs w:val="16"/>
              </w:rPr>
            </w:pPr>
            <w:r>
              <w:rPr>
                <w:rFonts w:ascii="宋体" w:eastAsia="宋体" w:hAnsi="宋体" w:cs="宋体"/>
                <w:spacing w:val="-1"/>
                <w:sz w:val="16"/>
                <w:szCs w:val="16"/>
              </w:rPr>
              <w:t>5)肝/肌糖原测定</w:t>
            </w:r>
          </w:p>
        </w:tc>
        <w:tc>
          <w:tcPr>
            <w:tcW w:w="2238" w:type="dxa"/>
            <w:tcBorders>
              <w:top w:val="single" w:sz="4" w:space="0" w:color="000000"/>
              <w:bottom w:val="single" w:sz="4" w:space="0" w:color="000000"/>
            </w:tcBorders>
          </w:tcPr>
          <w:p w:rsidR="00EA40A3" w:rsidRDefault="00E86C16">
            <w:pPr>
              <w:spacing w:before="85" w:line="220" w:lineRule="auto"/>
              <w:ind w:left="347" w:right="106" w:hanging="149"/>
              <w:rPr>
                <w:rFonts w:ascii="宋体" w:eastAsia="宋体" w:hAnsi="宋体" w:cs="宋体"/>
                <w:sz w:val="16"/>
                <w:szCs w:val="16"/>
              </w:rPr>
            </w:pPr>
            <w:r>
              <w:rPr>
                <w:rFonts w:ascii="宋体" w:eastAsia="宋体" w:hAnsi="宋体" w:cs="宋体"/>
                <w:spacing w:val="1"/>
                <w:sz w:val="16"/>
                <w:szCs w:val="16"/>
              </w:rPr>
              <w:t>1.运动试验和生化指标检测</w:t>
            </w:r>
            <w:r>
              <w:rPr>
                <w:rFonts w:ascii="宋体" w:eastAsia="宋体" w:hAnsi="宋体" w:cs="宋体"/>
                <w:sz w:val="16"/>
                <w:szCs w:val="16"/>
              </w:rPr>
              <w:t xml:space="preserve"> </w:t>
            </w:r>
            <w:r>
              <w:rPr>
                <w:rFonts w:ascii="宋体" w:eastAsia="宋体" w:hAnsi="宋体" w:cs="宋体"/>
                <w:spacing w:val="-2"/>
                <w:sz w:val="16"/>
                <w:szCs w:val="16"/>
              </w:rPr>
              <w:t>相结合</w:t>
            </w:r>
          </w:p>
          <w:p w:rsidR="00EA40A3" w:rsidRDefault="00E86C16">
            <w:pPr>
              <w:spacing w:before="1" w:line="224" w:lineRule="auto"/>
              <w:ind w:left="347" w:right="138" w:hanging="159"/>
              <w:rPr>
                <w:rFonts w:ascii="宋体" w:eastAsia="宋体" w:hAnsi="宋体" w:cs="宋体"/>
                <w:sz w:val="16"/>
                <w:szCs w:val="16"/>
              </w:rPr>
            </w:pPr>
            <w:r>
              <w:rPr>
                <w:rFonts w:ascii="宋体" w:eastAsia="宋体" w:hAnsi="宋体" w:cs="宋体"/>
                <w:spacing w:val="-1"/>
                <w:sz w:val="16"/>
                <w:szCs w:val="16"/>
              </w:rPr>
              <w:t>2.在运动试验前，动物需经</w:t>
            </w:r>
            <w:r>
              <w:rPr>
                <w:rFonts w:ascii="宋体" w:eastAsia="宋体" w:hAnsi="宋体" w:cs="宋体"/>
                <w:spacing w:val="3"/>
                <w:sz w:val="16"/>
                <w:szCs w:val="16"/>
              </w:rPr>
              <w:t xml:space="preserve"> </w:t>
            </w:r>
            <w:r>
              <w:rPr>
                <w:rFonts w:ascii="宋体" w:eastAsia="宋体" w:hAnsi="宋体" w:cs="宋体"/>
                <w:spacing w:val="-2"/>
                <w:sz w:val="16"/>
                <w:szCs w:val="16"/>
              </w:rPr>
              <w:t>过初筛</w:t>
            </w:r>
          </w:p>
          <w:p w:rsidR="00EA40A3" w:rsidRDefault="00E86C16">
            <w:pPr>
              <w:spacing w:line="216" w:lineRule="auto"/>
              <w:ind w:left="347" w:right="97" w:hanging="159"/>
              <w:rPr>
                <w:rFonts w:ascii="宋体" w:eastAsia="宋体" w:hAnsi="宋体" w:cs="宋体"/>
                <w:sz w:val="16"/>
                <w:szCs w:val="16"/>
              </w:rPr>
            </w:pPr>
            <w:r>
              <w:rPr>
                <w:rFonts w:ascii="宋体" w:eastAsia="宋体" w:hAnsi="宋体" w:cs="宋体"/>
                <w:sz w:val="16"/>
                <w:szCs w:val="16"/>
              </w:rPr>
              <w:t>3.还可结合其他生化指标如</w:t>
            </w:r>
            <w:r>
              <w:rPr>
                <w:rFonts w:ascii="宋体" w:eastAsia="宋体" w:hAnsi="宋体" w:cs="宋体"/>
                <w:spacing w:val="10"/>
                <w:sz w:val="16"/>
                <w:szCs w:val="16"/>
              </w:rPr>
              <w:t xml:space="preserve"> </w:t>
            </w:r>
            <w:r>
              <w:rPr>
                <w:rFonts w:ascii="宋体" w:eastAsia="宋体" w:hAnsi="宋体" w:cs="宋体"/>
                <w:spacing w:val="2"/>
                <w:sz w:val="16"/>
                <w:szCs w:val="16"/>
              </w:rPr>
              <w:t>血糖、乳酸脱氢酶、血红</w:t>
            </w:r>
            <w:r>
              <w:rPr>
                <w:rFonts w:ascii="宋体" w:eastAsia="宋体" w:hAnsi="宋体" w:cs="宋体"/>
                <w:spacing w:val="9"/>
                <w:sz w:val="16"/>
                <w:szCs w:val="16"/>
              </w:rPr>
              <w:t xml:space="preserve"> </w:t>
            </w:r>
            <w:r>
              <w:rPr>
                <w:rFonts w:ascii="宋体" w:eastAsia="宋体" w:hAnsi="宋体" w:cs="宋体"/>
                <w:spacing w:val="-2"/>
                <w:sz w:val="16"/>
                <w:szCs w:val="16"/>
              </w:rPr>
              <w:t>蛋白以及磷酸肌酸等</w:t>
            </w:r>
          </w:p>
        </w:tc>
        <w:tc>
          <w:tcPr>
            <w:tcW w:w="1970" w:type="dxa"/>
            <w:tcBorders>
              <w:top w:val="single" w:sz="4" w:space="0" w:color="000000"/>
              <w:bottom w:val="single" w:sz="4" w:space="0" w:color="000000"/>
            </w:tcBorders>
          </w:tcPr>
          <w:p w:rsidR="00EA40A3" w:rsidRDefault="00E86C16">
            <w:pPr>
              <w:spacing w:before="275" w:line="232" w:lineRule="auto"/>
              <w:ind w:left="100"/>
              <w:rPr>
                <w:rFonts w:ascii="宋体" w:eastAsia="宋体" w:hAnsi="宋体" w:cs="宋体"/>
                <w:sz w:val="16"/>
                <w:szCs w:val="16"/>
              </w:rPr>
            </w:pPr>
            <w:r>
              <w:rPr>
                <w:rFonts w:ascii="宋体" w:eastAsia="宋体" w:hAnsi="宋体" w:cs="宋体"/>
                <w:spacing w:val="3"/>
                <w:sz w:val="16"/>
                <w:szCs w:val="16"/>
              </w:rPr>
              <w:t>若一项以上(含一项)</w:t>
            </w:r>
          </w:p>
          <w:p w:rsidR="00EA40A3" w:rsidRDefault="00E86C16">
            <w:pPr>
              <w:spacing w:line="207" w:lineRule="auto"/>
              <w:ind w:left="100"/>
              <w:rPr>
                <w:rFonts w:ascii="宋体" w:eastAsia="宋体" w:hAnsi="宋体" w:cs="宋体"/>
                <w:sz w:val="16"/>
                <w:szCs w:val="16"/>
              </w:rPr>
            </w:pPr>
            <w:r>
              <w:rPr>
                <w:rFonts w:ascii="宋体" w:eastAsia="宋体" w:hAnsi="宋体" w:cs="宋体"/>
                <w:spacing w:val="-1"/>
                <w:sz w:val="16"/>
                <w:szCs w:val="16"/>
              </w:rPr>
              <w:t>运动试验和两项以上</w:t>
            </w:r>
          </w:p>
          <w:p w:rsidR="00EA40A3" w:rsidRDefault="00E86C16">
            <w:pPr>
              <w:spacing w:line="223" w:lineRule="auto"/>
              <w:ind w:left="100" w:right="252"/>
              <w:rPr>
                <w:rFonts w:ascii="宋体" w:eastAsia="宋体" w:hAnsi="宋体" w:cs="宋体"/>
                <w:sz w:val="16"/>
                <w:szCs w:val="16"/>
              </w:rPr>
            </w:pPr>
            <w:r>
              <w:rPr>
                <w:rFonts w:ascii="宋体" w:eastAsia="宋体" w:hAnsi="宋体" w:cs="宋体"/>
                <w:spacing w:val="1"/>
                <w:sz w:val="16"/>
                <w:szCs w:val="16"/>
              </w:rPr>
              <w:t>(含两项)生化指标为阳</w:t>
            </w:r>
            <w:r>
              <w:rPr>
                <w:rFonts w:ascii="宋体" w:eastAsia="宋体" w:hAnsi="宋体" w:cs="宋体"/>
                <w:spacing w:val="5"/>
                <w:sz w:val="16"/>
                <w:szCs w:val="16"/>
              </w:rPr>
              <w:t xml:space="preserve"> </w:t>
            </w:r>
            <w:r>
              <w:rPr>
                <w:rFonts w:ascii="宋体" w:eastAsia="宋体" w:hAnsi="宋体" w:cs="宋体"/>
                <w:spacing w:val="-1"/>
                <w:sz w:val="16"/>
                <w:szCs w:val="16"/>
              </w:rPr>
              <w:t>性，即可判断该受试物</w:t>
            </w:r>
            <w:r>
              <w:rPr>
                <w:rFonts w:ascii="宋体" w:eastAsia="宋体" w:hAnsi="宋体" w:cs="宋体"/>
                <w:sz w:val="16"/>
                <w:szCs w:val="16"/>
              </w:rPr>
              <w:t xml:space="preserve"> </w:t>
            </w:r>
            <w:r>
              <w:rPr>
                <w:rFonts w:ascii="宋体" w:eastAsia="宋体" w:hAnsi="宋体" w:cs="宋体"/>
                <w:spacing w:val="2"/>
                <w:sz w:val="16"/>
                <w:szCs w:val="16"/>
              </w:rPr>
              <w:t>具有抗疲劳作用</w:t>
            </w:r>
          </w:p>
        </w:tc>
      </w:tr>
      <w:tr w:rsidR="00EA40A3">
        <w:trPr>
          <w:trHeight w:val="280"/>
        </w:trPr>
        <w:tc>
          <w:tcPr>
            <w:tcW w:w="3182" w:type="dxa"/>
            <w:gridSpan w:val="2"/>
            <w:tcBorders>
              <w:top w:val="single" w:sz="4" w:space="0" w:color="000000"/>
            </w:tcBorders>
          </w:tcPr>
          <w:p w:rsidR="00EA40A3" w:rsidRDefault="00EA40A3"/>
        </w:tc>
        <w:tc>
          <w:tcPr>
            <w:tcW w:w="2238" w:type="dxa"/>
            <w:tcBorders>
              <w:top w:val="single" w:sz="4" w:space="0" w:color="000000"/>
            </w:tcBorders>
          </w:tcPr>
          <w:p w:rsidR="00EA40A3" w:rsidRDefault="00EA40A3"/>
        </w:tc>
        <w:tc>
          <w:tcPr>
            <w:tcW w:w="1970" w:type="dxa"/>
            <w:tcBorders>
              <w:top w:val="single" w:sz="4" w:space="0" w:color="000000"/>
            </w:tcBorders>
          </w:tcPr>
          <w:p w:rsidR="00EA40A3" w:rsidRDefault="00E86C16">
            <w:pPr>
              <w:spacing w:before="109" w:line="197" w:lineRule="auto"/>
              <w:ind w:left="100"/>
              <w:rPr>
                <w:rFonts w:ascii="宋体" w:eastAsia="宋体" w:hAnsi="宋体" w:cs="宋体"/>
                <w:sz w:val="16"/>
                <w:szCs w:val="16"/>
              </w:rPr>
            </w:pPr>
            <w:r>
              <w:rPr>
                <w:rFonts w:ascii="宋体" w:eastAsia="宋体" w:hAnsi="宋体" w:cs="宋体"/>
                <w:sz w:val="16"/>
                <w:szCs w:val="16"/>
              </w:rPr>
              <w:t>1.动物试验中体重和体</w:t>
            </w:r>
          </w:p>
        </w:tc>
      </w:tr>
      <w:tr w:rsidR="00EA40A3">
        <w:trPr>
          <w:trHeight w:val="1543"/>
        </w:trPr>
        <w:tc>
          <w:tcPr>
            <w:tcW w:w="767" w:type="dxa"/>
            <w:tcBorders>
              <w:right w:val="nil"/>
            </w:tcBorders>
          </w:tcPr>
          <w:p w:rsidR="00EA40A3" w:rsidRDefault="00EA40A3">
            <w:pPr>
              <w:spacing w:line="271" w:lineRule="auto"/>
            </w:pPr>
          </w:p>
          <w:p w:rsidR="00EA40A3" w:rsidRDefault="00EA40A3">
            <w:pPr>
              <w:spacing w:line="271" w:lineRule="auto"/>
            </w:pPr>
          </w:p>
          <w:p w:rsidR="00EA40A3" w:rsidRDefault="00E86C16">
            <w:pPr>
              <w:spacing w:before="52" w:line="232" w:lineRule="auto"/>
              <w:ind w:left="270"/>
              <w:rPr>
                <w:rFonts w:ascii="宋体" w:eastAsia="宋体" w:hAnsi="宋体" w:cs="宋体"/>
                <w:sz w:val="16"/>
                <w:szCs w:val="16"/>
              </w:rPr>
            </w:pPr>
            <w:r>
              <w:rPr>
                <w:rFonts w:ascii="宋体" w:eastAsia="宋体" w:hAnsi="宋体" w:cs="宋体"/>
                <w:spacing w:val="-2"/>
                <w:sz w:val="16"/>
                <w:szCs w:val="16"/>
              </w:rPr>
              <w:t>减肥</w:t>
            </w:r>
          </w:p>
          <w:p w:rsidR="00EA40A3" w:rsidRDefault="00E86C16">
            <w:pPr>
              <w:spacing w:line="220" w:lineRule="auto"/>
              <w:ind w:left="270"/>
              <w:rPr>
                <w:rFonts w:ascii="宋体" w:eastAsia="宋体" w:hAnsi="宋体" w:cs="宋体"/>
                <w:sz w:val="16"/>
                <w:szCs w:val="16"/>
              </w:rPr>
            </w:pPr>
            <w:r>
              <w:rPr>
                <w:rFonts w:ascii="宋体" w:eastAsia="宋体" w:hAnsi="宋体" w:cs="宋体"/>
                <w:spacing w:val="9"/>
                <w:sz w:val="16"/>
                <w:szCs w:val="16"/>
              </w:rPr>
              <w:t>作用</w:t>
            </w:r>
          </w:p>
        </w:tc>
        <w:tc>
          <w:tcPr>
            <w:tcW w:w="2415" w:type="dxa"/>
            <w:tcBorders>
              <w:left w:val="nil"/>
            </w:tcBorders>
          </w:tcPr>
          <w:p w:rsidR="00EA40A3" w:rsidRDefault="00E86C16">
            <w:pPr>
              <w:spacing w:before="119" w:line="220" w:lineRule="auto"/>
              <w:ind w:left="73"/>
              <w:rPr>
                <w:rFonts w:ascii="宋体" w:eastAsia="宋体" w:hAnsi="宋体" w:cs="宋体"/>
                <w:sz w:val="16"/>
                <w:szCs w:val="16"/>
              </w:rPr>
            </w:pPr>
            <w:r>
              <w:rPr>
                <w:rFonts w:ascii="宋体" w:eastAsia="宋体" w:hAnsi="宋体" w:cs="宋体"/>
                <w:spacing w:val="1"/>
                <w:sz w:val="16"/>
                <w:szCs w:val="16"/>
              </w:rPr>
              <w:t>1.动物试验</w:t>
            </w:r>
          </w:p>
          <w:p w:rsidR="00EA40A3" w:rsidRDefault="00E86C16">
            <w:pPr>
              <w:spacing w:before="9" w:line="218" w:lineRule="auto"/>
              <w:ind w:left="223"/>
              <w:rPr>
                <w:rFonts w:ascii="宋体" w:eastAsia="宋体" w:hAnsi="宋体" w:cs="宋体"/>
                <w:sz w:val="16"/>
                <w:szCs w:val="16"/>
              </w:rPr>
            </w:pPr>
            <w:r>
              <w:rPr>
                <w:rFonts w:ascii="宋体" w:eastAsia="宋体" w:hAnsi="宋体" w:cs="宋体"/>
                <w:spacing w:val="1"/>
                <w:sz w:val="16"/>
                <w:szCs w:val="16"/>
              </w:rPr>
              <w:t>1)体重测定</w:t>
            </w:r>
          </w:p>
          <w:p w:rsidR="00EA40A3" w:rsidRDefault="00E86C16">
            <w:pPr>
              <w:spacing w:line="219" w:lineRule="auto"/>
              <w:ind w:left="223"/>
              <w:rPr>
                <w:rFonts w:ascii="宋体" w:eastAsia="宋体" w:hAnsi="宋体" w:cs="宋体"/>
                <w:sz w:val="16"/>
                <w:szCs w:val="16"/>
              </w:rPr>
            </w:pPr>
            <w:r>
              <w:rPr>
                <w:rFonts w:ascii="宋体" w:eastAsia="宋体" w:hAnsi="宋体" w:cs="宋体"/>
                <w:spacing w:val="-1"/>
                <w:sz w:val="16"/>
                <w:szCs w:val="16"/>
              </w:rPr>
              <w:t>2)体内脂肪质量测定</w:t>
            </w:r>
          </w:p>
          <w:p w:rsidR="00EA40A3" w:rsidRDefault="00E86C16">
            <w:pPr>
              <w:spacing w:before="10" w:line="218" w:lineRule="auto"/>
              <w:ind w:left="53"/>
              <w:rPr>
                <w:rFonts w:ascii="宋体" w:eastAsia="宋体" w:hAnsi="宋体" w:cs="宋体"/>
                <w:sz w:val="16"/>
                <w:szCs w:val="16"/>
              </w:rPr>
            </w:pPr>
            <w:r>
              <w:rPr>
                <w:rFonts w:ascii="宋体" w:eastAsia="宋体" w:hAnsi="宋体" w:cs="宋体"/>
                <w:spacing w:val="-1"/>
                <w:sz w:val="16"/>
                <w:szCs w:val="16"/>
              </w:rPr>
              <w:t>2.人体试食实验</w:t>
            </w:r>
          </w:p>
          <w:p w:rsidR="00EA40A3" w:rsidRDefault="00E86C16">
            <w:pPr>
              <w:spacing w:line="219" w:lineRule="auto"/>
              <w:ind w:left="273"/>
              <w:rPr>
                <w:rFonts w:ascii="宋体" w:eastAsia="宋体" w:hAnsi="宋体" w:cs="宋体"/>
                <w:sz w:val="16"/>
                <w:szCs w:val="16"/>
              </w:rPr>
            </w:pPr>
            <w:r>
              <w:rPr>
                <w:rFonts w:ascii="宋体" w:eastAsia="宋体" w:hAnsi="宋体" w:cs="宋体"/>
                <w:spacing w:val="6"/>
                <w:sz w:val="16"/>
                <w:szCs w:val="16"/>
              </w:rPr>
              <w:t>1)体重、体重指数、腰围、</w:t>
            </w:r>
          </w:p>
          <w:p w:rsidR="00EA40A3" w:rsidRDefault="00E86C16">
            <w:pPr>
              <w:spacing w:line="230" w:lineRule="auto"/>
              <w:ind w:left="522"/>
              <w:rPr>
                <w:rFonts w:ascii="宋体" w:eastAsia="宋体" w:hAnsi="宋体" w:cs="宋体"/>
                <w:sz w:val="16"/>
                <w:szCs w:val="16"/>
              </w:rPr>
            </w:pPr>
            <w:r>
              <w:rPr>
                <w:rFonts w:ascii="宋体" w:eastAsia="宋体" w:hAnsi="宋体" w:cs="宋体"/>
                <w:spacing w:val="3"/>
                <w:sz w:val="16"/>
                <w:szCs w:val="16"/>
              </w:rPr>
              <w:t>腹围、臀围</w:t>
            </w:r>
          </w:p>
          <w:p w:rsidR="00EA40A3" w:rsidRDefault="00E86C16">
            <w:pPr>
              <w:spacing w:before="1" w:line="219" w:lineRule="auto"/>
              <w:ind w:left="223"/>
              <w:rPr>
                <w:rFonts w:ascii="宋体" w:eastAsia="宋体" w:hAnsi="宋体" w:cs="宋体"/>
                <w:sz w:val="16"/>
                <w:szCs w:val="16"/>
              </w:rPr>
            </w:pPr>
            <w:r>
              <w:rPr>
                <w:rFonts w:ascii="宋体" w:eastAsia="宋体" w:hAnsi="宋体" w:cs="宋体"/>
                <w:spacing w:val="-1"/>
                <w:sz w:val="16"/>
                <w:szCs w:val="16"/>
              </w:rPr>
              <w:t>2)体内脂肪含量</w:t>
            </w:r>
          </w:p>
        </w:tc>
        <w:tc>
          <w:tcPr>
            <w:tcW w:w="2238" w:type="dxa"/>
          </w:tcPr>
          <w:p w:rsidR="00EA40A3" w:rsidRDefault="00E86C16">
            <w:pPr>
              <w:spacing w:before="216" w:line="222" w:lineRule="auto"/>
              <w:ind w:left="347" w:right="86" w:hanging="159"/>
              <w:rPr>
                <w:rFonts w:ascii="宋体" w:eastAsia="宋体" w:hAnsi="宋体" w:cs="宋体"/>
                <w:sz w:val="16"/>
                <w:szCs w:val="16"/>
              </w:rPr>
            </w:pPr>
            <w:r>
              <w:rPr>
                <w:rFonts w:ascii="宋体" w:eastAsia="宋体" w:hAnsi="宋体" w:cs="宋体"/>
                <w:sz w:val="16"/>
                <w:szCs w:val="16"/>
              </w:rPr>
              <w:t>1.进行减肥试验时，除了上</w:t>
            </w:r>
            <w:r>
              <w:rPr>
                <w:rFonts w:ascii="宋体" w:eastAsia="宋体" w:hAnsi="宋体" w:cs="宋体"/>
                <w:spacing w:val="5"/>
                <w:sz w:val="16"/>
                <w:szCs w:val="16"/>
              </w:rPr>
              <w:t xml:space="preserve"> </w:t>
            </w:r>
            <w:r>
              <w:rPr>
                <w:rFonts w:ascii="宋体" w:eastAsia="宋体" w:hAnsi="宋体" w:cs="宋体"/>
                <w:spacing w:val="2"/>
                <w:sz w:val="16"/>
                <w:szCs w:val="16"/>
              </w:rPr>
              <w:t>述指标外还要进行机体营</w:t>
            </w:r>
            <w:r>
              <w:rPr>
                <w:rFonts w:ascii="宋体" w:eastAsia="宋体" w:hAnsi="宋体" w:cs="宋体"/>
                <w:sz w:val="16"/>
                <w:szCs w:val="16"/>
              </w:rPr>
              <w:t xml:space="preserve"> </w:t>
            </w:r>
            <w:r>
              <w:rPr>
                <w:rFonts w:ascii="宋体" w:eastAsia="宋体" w:hAnsi="宋体" w:cs="宋体"/>
                <w:spacing w:val="3"/>
                <w:sz w:val="16"/>
                <w:szCs w:val="16"/>
              </w:rPr>
              <w:t>养状况检测、运动耐力测</w:t>
            </w:r>
            <w:r>
              <w:rPr>
                <w:rFonts w:ascii="宋体" w:eastAsia="宋体" w:hAnsi="宋体" w:cs="宋体"/>
                <w:spacing w:val="9"/>
                <w:sz w:val="16"/>
                <w:szCs w:val="16"/>
              </w:rPr>
              <w:t xml:space="preserve"> </w:t>
            </w:r>
            <w:r>
              <w:rPr>
                <w:rFonts w:ascii="宋体" w:eastAsia="宋体" w:hAnsi="宋体" w:cs="宋体"/>
                <w:spacing w:val="2"/>
                <w:sz w:val="16"/>
                <w:szCs w:val="16"/>
              </w:rPr>
              <w:t>试以及与健康有关的其他</w:t>
            </w:r>
            <w:r>
              <w:rPr>
                <w:rFonts w:ascii="宋体" w:eastAsia="宋体" w:hAnsi="宋体" w:cs="宋体"/>
                <w:sz w:val="16"/>
                <w:szCs w:val="16"/>
              </w:rPr>
              <w:t xml:space="preserve"> </w:t>
            </w:r>
            <w:r>
              <w:rPr>
                <w:rFonts w:ascii="宋体" w:eastAsia="宋体" w:hAnsi="宋体" w:cs="宋体"/>
                <w:spacing w:val="-2"/>
                <w:sz w:val="16"/>
                <w:szCs w:val="16"/>
              </w:rPr>
              <w:t>指标的观察</w:t>
            </w:r>
          </w:p>
          <w:p w:rsidR="00EA40A3" w:rsidRDefault="00E86C16">
            <w:pPr>
              <w:spacing w:line="219" w:lineRule="auto"/>
              <w:ind w:left="158"/>
              <w:rPr>
                <w:rFonts w:ascii="宋体" w:eastAsia="宋体" w:hAnsi="宋体" w:cs="宋体"/>
                <w:sz w:val="16"/>
                <w:szCs w:val="16"/>
              </w:rPr>
            </w:pPr>
            <w:r>
              <w:rPr>
                <w:rFonts w:ascii="宋体" w:eastAsia="宋体" w:hAnsi="宋体" w:cs="宋体"/>
                <w:spacing w:val="2"/>
                <w:sz w:val="16"/>
                <w:szCs w:val="16"/>
              </w:rPr>
              <w:t>2.人体试食试验为必做项目</w:t>
            </w:r>
          </w:p>
        </w:tc>
        <w:tc>
          <w:tcPr>
            <w:tcW w:w="1970" w:type="dxa"/>
          </w:tcPr>
          <w:p w:rsidR="00EA40A3" w:rsidRDefault="00E86C16">
            <w:pPr>
              <w:spacing w:before="17" w:line="222" w:lineRule="auto"/>
              <w:ind w:left="349" w:right="156" w:firstLine="10"/>
              <w:jc w:val="both"/>
              <w:rPr>
                <w:rFonts w:ascii="宋体" w:eastAsia="宋体" w:hAnsi="宋体" w:cs="宋体"/>
                <w:sz w:val="16"/>
                <w:szCs w:val="16"/>
              </w:rPr>
            </w:pPr>
            <w:r>
              <w:rPr>
                <w:rFonts w:ascii="宋体" w:eastAsia="宋体" w:hAnsi="宋体" w:cs="宋体"/>
                <w:sz w:val="16"/>
                <w:szCs w:val="16"/>
              </w:rPr>
              <w:t>内脂肪检测结果均为</w:t>
            </w:r>
            <w:r>
              <w:rPr>
                <w:rFonts w:ascii="宋体" w:eastAsia="宋体" w:hAnsi="宋体" w:cs="宋体"/>
                <w:spacing w:val="7"/>
                <w:sz w:val="16"/>
                <w:szCs w:val="16"/>
              </w:rPr>
              <w:t xml:space="preserve"> </w:t>
            </w:r>
            <w:r>
              <w:rPr>
                <w:rFonts w:ascii="宋体" w:eastAsia="宋体" w:hAnsi="宋体" w:cs="宋体"/>
                <w:spacing w:val="2"/>
                <w:sz w:val="16"/>
                <w:szCs w:val="16"/>
              </w:rPr>
              <w:t>阳性，且对健康无损</w:t>
            </w:r>
            <w:r>
              <w:rPr>
                <w:rFonts w:ascii="宋体" w:eastAsia="宋体" w:hAnsi="宋体" w:cs="宋体"/>
                <w:spacing w:val="4"/>
                <w:sz w:val="16"/>
                <w:szCs w:val="16"/>
              </w:rPr>
              <w:t xml:space="preserve"> </w:t>
            </w:r>
            <w:r>
              <w:rPr>
                <w:rFonts w:ascii="宋体" w:eastAsia="宋体" w:hAnsi="宋体" w:cs="宋体"/>
                <w:sz w:val="16"/>
                <w:szCs w:val="16"/>
              </w:rPr>
              <w:t xml:space="preserve">害，即可初步判定该 </w:t>
            </w:r>
            <w:r>
              <w:rPr>
                <w:rFonts w:ascii="宋体" w:eastAsia="宋体" w:hAnsi="宋体" w:cs="宋体"/>
                <w:spacing w:val="2"/>
                <w:sz w:val="16"/>
                <w:szCs w:val="16"/>
              </w:rPr>
              <w:t>受试物具有减肥作用</w:t>
            </w:r>
          </w:p>
          <w:p w:rsidR="00EA40A3" w:rsidRDefault="00E86C16">
            <w:pPr>
              <w:spacing w:before="3" w:line="217" w:lineRule="auto"/>
              <w:ind w:left="330" w:right="183" w:hanging="230"/>
              <w:rPr>
                <w:rFonts w:ascii="宋体" w:eastAsia="宋体" w:hAnsi="宋体" w:cs="宋体"/>
                <w:sz w:val="16"/>
                <w:szCs w:val="16"/>
              </w:rPr>
            </w:pPr>
            <w:r>
              <w:rPr>
                <w:rFonts w:ascii="宋体" w:eastAsia="宋体" w:hAnsi="宋体" w:cs="宋体"/>
                <w:spacing w:val="-1"/>
                <w:sz w:val="16"/>
                <w:szCs w:val="16"/>
              </w:rPr>
              <w:t>2.人体试食试验中，体</w:t>
            </w:r>
            <w:r>
              <w:rPr>
                <w:rFonts w:ascii="宋体" w:eastAsia="宋体" w:hAnsi="宋体" w:cs="宋体"/>
                <w:sz w:val="16"/>
                <w:szCs w:val="16"/>
              </w:rPr>
              <w:t xml:space="preserve">  </w:t>
            </w:r>
            <w:r>
              <w:rPr>
                <w:rFonts w:ascii="宋体" w:eastAsia="宋体" w:hAnsi="宋体" w:cs="宋体"/>
                <w:spacing w:val="1"/>
                <w:sz w:val="16"/>
                <w:szCs w:val="16"/>
              </w:rPr>
              <w:t>内脂肪明显减少且对</w:t>
            </w:r>
            <w:r>
              <w:rPr>
                <w:rFonts w:ascii="宋体" w:eastAsia="宋体" w:hAnsi="宋体" w:cs="宋体"/>
                <w:spacing w:val="6"/>
                <w:sz w:val="16"/>
                <w:szCs w:val="16"/>
              </w:rPr>
              <w:t xml:space="preserve"> </w:t>
            </w:r>
            <w:r>
              <w:rPr>
                <w:rFonts w:ascii="宋体" w:eastAsia="宋体" w:hAnsi="宋体" w:cs="宋体"/>
                <w:sz w:val="16"/>
                <w:szCs w:val="16"/>
              </w:rPr>
              <w:t>健康无损害，即可判</w:t>
            </w:r>
            <w:r>
              <w:rPr>
                <w:rFonts w:ascii="宋体" w:eastAsia="宋体" w:hAnsi="宋体" w:cs="宋体"/>
                <w:spacing w:val="2"/>
                <w:sz w:val="16"/>
                <w:szCs w:val="16"/>
              </w:rPr>
              <w:t xml:space="preserve"> </w:t>
            </w:r>
            <w:r>
              <w:rPr>
                <w:rFonts w:ascii="宋体" w:eastAsia="宋体" w:hAnsi="宋体" w:cs="宋体"/>
                <w:spacing w:val="-1"/>
                <w:sz w:val="16"/>
                <w:szCs w:val="16"/>
              </w:rPr>
              <w:t>定该受试物具有减肥</w:t>
            </w:r>
          </w:p>
        </w:tc>
      </w:tr>
      <w:tr w:rsidR="00EA40A3">
        <w:trPr>
          <w:trHeight w:val="214"/>
        </w:trPr>
        <w:tc>
          <w:tcPr>
            <w:tcW w:w="3182" w:type="dxa"/>
            <w:gridSpan w:val="2"/>
            <w:tcBorders>
              <w:bottom w:val="single" w:sz="4" w:space="0" w:color="000000"/>
            </w:tcBorders>
          </w:tcPr>
          <w:p w:rsidR="00EA40A3" w:rsidRDefault="00EA40A3">
            <w:pPr>
              <w:spacing w:line="214" w:lineRule="exact"/>
              <w:rPr>
                <w:sz w:val="18"/>
              </w:rPr>
            </w:pPr>
          </w:p>
        </w:tc>
        <w:tc>
          <w:tcPr>
            <w:tcW w:w="2238" w:type="dxa"/>
            <w:tcBorders>
              <w:bottom w:val="single" w:sz="4" w:space="0" w:color="000000"/>
            </w:tcBorders>
          </w:tcPr>
          <w:p w:rsidR="00EA40A3" w:rsidRDefault="00EA40A3">
            <w:pPr>
              <w:spacing w:line="214" w:lineRule="exact"/>
              <w:rPr>
                <w:sz w:val="18"/>
              </w:rPr>
            </w:pPr>
          </w:p>
        </w:tc>
        <w:tc>
          <w:tcPr>
            <w:tcW w:w="1970" w:type="dxa"/>
            <w:tcBorders>
              <w:bottom w:val="single" w:sz="4" w:space="0" w:color="000000"/>
            </w:tcBorders>
          </w:tcPr>
          <w:p w:rsidR="00EA40A3" w:rsidRDefault="00E86C16">
            <w:pPr>
              <w:spacing w:before="15" w:line="220" w:lineRule="auto"/>
              <w:ind w:left="310"/>
              <w:rPr>
                <w:rFonts w:ascii="宋体" w:eastAsia="宋体" w:hAnsi="宋体" w:cs="宋体"/>
                <w:sz w:val="16"/>
                <w:szCs w:val="16"/>
              </w:rPr>
            </w:pPr>
            <w:r>
              <w:rPr>
                <w:rFonts w:ascii="宋体" w:eastAsia="宋体" w:hAnsi="宋体" w:cs="宋体"/>
                <w:spacing w:val="9"/>
                <w:sz w:val="16"/>
                <w:szCs w:val="16"/>
              </w:rPr>
              <w:t>作用</w:t>
            </w:r>
          </w:p>
        </w:tc>
      </w:tr>
      <w:tr w:rsidR="00EA40A3">
        <w:trPr>
          <w:trHeight w:val="250"/>
        </w:trPr>
        <w:tc>
          <w:tcPr>
            <w:tcW w:w="3182" w:type="dxa"/>
            <w:gridSpan w:val="2"/>
            <w:tcBorders>
              <w:top w:val="single" w:sz="4" w:space="0" w:color="000000"/>
            </w:tcBorders>
          </w:tcPr>
          <w:p w:rsidR="00EA40A3" w:rsidRDefault="00E86C16">
            <w:pPr>
              <w:spacing w:before="81" w:line="195" w:lineRule="auto"/>
              <w:ind w:left="800"/>
              <w:rPr>
                <w:rFonts w:ascii="宋体" w:eastAsia="宋体" w:hAnsi="宋体" w:cs="宋体"/>
                <w:sz w:val="16"/>
                <w:szCs w:val="16"/>
              </w:rPr>
            </w:pPr>
            <w:r>
              <w:rPr>
                <w:rFonts w:ascii="宋体" w:eastAsia="宋体" w:hAnsi="宋体" w:cs="宋体"/>
                <w:spacing w:val="1"/>
                <w:sz w:val="16"/>
                <w:szCs w:val="16"/>
              </w:rPr>
              <w:t>1.体内试验</w:t>
            </w:r>
          </w:p>
        </w:tc>
        <w:tc>
          <w:tcPr>
            <w:tcW w:w="2238" w:type="dxa"/>
            <w:tcBorders>
              <w:top w:val="single" w:sz="4" w:space="0" w:color="000000"/>
            </w:tcBorders>
          </w:tcPr>
          <w:p w:rsidR="00EA40A3" w:rsidRDefault="00EA40A3"/>
        </w:tc>
        <w:tc>
          <w:tcPr>
            <w:tcW w:w="1970" w:type="dxa"/>
            <w:tcBorders>
              <w:top w:val="single" w:sz="4" w:space="0" w:color="000000"/>
            </w:tcBorders>
          </w:tcPr>
          <w:p w:rsidR="00EA40A3" w:rsidRDefault="00EA40A3"/>
        </w:tc>
      </w:tr>
      <w:tr w:rsidR="00EA40A3">
        <w:trPr>
          <w:trHeight w:val="770"/>
        </w:trPr>
        <w:tc>
          <w:tcPr>
            <w:tcW w:w="767" w:type="dxa"/>
            <w:tcBorders>
              <w:right w:val="nil"/>
            </w:tcBorders>
          </w:tcPr>
          <w:p w:rsidR="00EA40A3" w:rsidRDefault="00E86C16">
            <w:pPr>
              <w:spacing w:before="220" w:line="232" w:lineRule="auto"/>
              <w:ind w:left="130"/>
              <w:rPr>
                <w:rFonts w:ascii="宋体" w:eastAsia="宋体" w:hAnsi="宋体" w:cs="宋体"/>
                <w:sz w:val="16"/>
                <w:szCs w:val="16"/>
              </w:rPr>
            </w:pPr>
            <w:r>
              <w:rPr>
                <w:rFonts w:ascii="宋体" w:eastAsia="宋体" w:hAnsi="宋体" w:cs="宋体"/>
                <w:spacing w:val="-2"/>
                <w:sz w:val="16"/>
                <w:szCs w:val="16"/>
              </w:rPr>
              <w:t>抗突变</w:t>
            </w:r>
          </w:p>
          <w:p w:rsidR="00EA40A3" w:rsidRDefault="00E86C16">
            <w:pPr>
              <w:spacing w:line="220" w:lineRule="auto"/>
              <w:ind w:left="219"/>
              <w:rPr>
                <w:rFonts w:ascii="宋体" w:eastAsia="宋体" w:hAnsi="宋体" w:cs="宋体"/>
                <w:sz w:val="16"/>
                <w:szCs w:val="16"/>
              </w:rPr>
            </w:pPr>
            <w:r>
              <w:rPr>
                <w:rFonts w:ascii="宋体" w:eastAsia="宋体" w:hAnsi="宋体" w:cs="宋体"/>
                <w:spacing w:val="-2"/>
                <w:sz w:val="16"/>
                <w:szCs w:val="16"/>
              </w:rPr>
              <w:t>作用</w:t>
            </w:r>
          </w:p>
        </w:tc>
        <w:tc>
          <w:tcPr>
            <w:tcW w:w="2415" w:type="dxa"/>
            <w:tcBorders>
              <w:left w:val="nil"/>
            </w:tcBorders>
          </w:tcPr>
          <w:p w:rsidR="00EA40A3" w:rsidRDefault="00E86C16">
            <w:pPr>
              <w:spacing w:before="31" w:line="208" w:lineRule="auto"/>
              <w:ind w:left="223"/>
              <w:rPr>
                <w:rFonts w:ascii="宋体" w:eastAsia="宋体" w:hAnsi="宋体" w:cs="宋体"/>
                <w:sz w:val="16"/>
                <w:szCs w:val="16"/>
              </w:rPr>
            </w:pPr>
            <w:r>
              <w:rPr>
                <w:rFonts w:ascii="宋体" w:eastAsia="宋体" w:hAnsi="宋体" w:cs="宋体"/>
                <w:sz w:val="16"/>
                <w:szCs w:val="16"/>
              </w:rPr>
              <w:t>1)小鼠骨髓细胞微核试验</w:t>
            </w:r>
          </w:p>
          <w:p w:rsidR="00EA40A3" w:rsidRDefault="00E86C16">
            <w:pPr>
              <w:spacing w:line="216" w:lineRule="auto"/>
              <w:ind w:left="31" w:right="231" w:firstLine="240"/>
              <w:rPr>
                <w:rFonts w:ascii="宋体" w:eastAsia="宋体" w:hAnsi="宋体" w:cs="宋体"/>
                <w:sz w:val="16"/>
                <w:szCs w:val="16"/>
              </w:rPr>
            </w:pPr>
            <w:r>
              <w:rPr>
                <w:rFonts w:ascii="宋体" w:eastAsia="宋体" w:hAnsi="宋体" w:cs="宋体"/>
                <w:spacing w:val="-1"/>
                <w:sz w:val="16"/>
                <w:szCs w:val="16"/>
              </w:rPr>
              <w:t>2)小鼠睾丸染色体畸变试验</w:t>
            </w:r>
            <w:r>
              <w:rPr>
                <w:rFonts w:ascii="宋体" w:eastAsia="宋体" w:hAnsi="宋体" w:cs="宋体"/>
                <w:spacing w:val="3"/>
                <w:sz w:val="16"/>
                <w:szCs w:val="16"/>
              </w:rPr>
              <w:t xml:space="preserve"> </w:t>
            </w:r>
            <w:r>
              <w:rPr>
                <w:rFonts w:ascii="宋体" w:eastAsia="宋体" w:hAnsi="宋体" w:cs="宋体"/>
                <w:spacing w:val="-2"/>
                <w:sz w:val="16"/>
                <w:szCs w:val="16"/>
              </w:rPr>
              <w:t>2.体外试验</w:t>
            </w:r>
          </w:p>
          <w:p w:rsidR="00EA40A3" w:rsidRDefault="00E86C16">
            <w:pPr>
              <w:spacing w:line="211" w:lineRule="auto"/>
              <w:ind w:left="243"/>
              <w:rPr>
                <w:rFonts w:ascii="宋体" w:eastAsia="宋体" w:hAnsi="宋体" w:cs="宋体"/>
                <w:sz w:val="16"/>
                <w:szCs w:val="16"/>
              </w:rPr>
            </w:pPr>
            <w:r>
              <w:rPr>
                <w:rFonts w:ascii="宋体" w:eastAsia="宋体" w:hAnsi="宋体" w:cs="宋体"/>
                <w:sz w:val="16"/>
                <w:szCs w:val="16"/>
              </w:rPr>
              <w:t>Ames</w:t>
            </w:r>
            <w:r>
              <w:rPr>
                <w:rFonts w:ascii="宋体" w:eastAsia="宋体" w:hAnsi="宋体" w:cs="宋体"/>
                <w:spacing w:val="8"/>
                <w:sz w:val="16"/>
                <w:szCs w:val="16"/>
              </w:rPr>
              <w:t>试验或V</w:t>
            </w:r>
            <w:r>
              <w:rPr>
                <w:rFonts w:ascii="Calibri" w:eastAsia="Calibri" w:hAnsi="Calibri" w:cs="Calibri"/>
                <w:spacing w:val="8"/>
                <w:sz w:val="16"/>
                <w:szCs w:val="16"/>
              </w:rPr>
              <w:t>₇</w:t>
            </w:r>
            <w:r>
              <w:rPr>
                <w:rFonts w:ascii="宋体" w:eastAsia="宋体" w:hAnsi="宋体" w:cs="宋体"/>
                <w:spacing w:val="8"/>
                <w:sz w:val="16"/>
                <w:szCs w:val="16"/>
              </w:rPr>
              <w:t>g细胞基因突变</w:t>
            </w:r>
          </w:p>
        </w:tc>
        <w:tc>
          <w:tcPr>
            <w:tcW w:w="2238" w:type="dxa"/>
          </w:tcPr>
          <w:p w:rsidR="00EA40A3" w:rsidRDefault="00E86C16">
            <w:pPr>
              <w:spacing w:before="21" w:line="215" w:lineRule="auto"/>
              <w:ind w:left="346" w:right="316" w:hanging="199"/>
              <w:rPr>
                <w:rFonts w:ascii="宋体" w:eastAsia="宋体" w:hAnsi="宋体" w:cs="宋体"/>
                <w:sz w:val="16"/>
                <w:szCs w:val="16"/>
              </w:rPr>
            </w:pPr>
            <w:r>
              <w:rPr>
                <w:rFonts w:ascii="宋体" w:eastAsia="宋体" w:hAnsi="宋体" w:cs="宋体"/>
                <w:spacing w:val="1"/>
                <w:sz w:val="16"/>
                <w:szCs w:val="16"/>
              </w:rPr>
              <w:t>1.体内试验和体外试验相</w:t>
            </w:r>
            <w:r>
              <w:rPr>
                <w:rFonts w:ascii="宋体" w:eastAsia="宋体" w:hAnsi="宋体" w:cs="宋体"/>
                <w:sz w:val="16"/>
                <w:szCs w:val="16"/>
              </w:rPr>
              <w:t xml:space="preserve"> </w:t>
            </w:r>
            <w:r>
              <w:rPr>
                <w:rFonts w:ascii="宋体" w:eastAsia="宋体" w:hAnsi="宋体" w:cs="宋体"/>
                <w:spacing w:val="-3"/>
                <w:sz w:val="16"/>
                <w:szCs w:val="16"/>
              </w:rPr>
              <w:t>结合</w:t>
            </w:r>
          </w:p>
          <w:p w:rsidR="00EA40A3" w:rsidRDefault="00E86C16">
            <w:pPr>
              <w:spacing w:before="1" w:line="216" w:lineRule="auto"/>
              <w:ind w:left="347" w:right="100" w:hanging="209"/>
              <w:rPr>
                <w:rFonts w:ascii="宋体" w:eastAsia="宋体" w:hAnsi="宋体" w:cs="宋体"/>
                <w:sz w:val="16"/>
                <w:szCs w:val="16"/>
              </w:rPr>
            </w:pPr>
            <w:r>
              <w:rPr>
                <w:rFonts w:ascii="宋体" w:eastAsia="宋体" w:hAnsi="宋体" w:cs="宋体"/>
                <w:spacing w:val="7"/>
                <w:sz w:val="16"/>
                <w:szCs w:val="16"/>
              </w:rPr>
              <w:t>2.</w:t>
            </w:r>
            <w:r>
              <w:rPr>
                <w:rFonts w:ascii="宋体" w:eastAsia="宋体" w:hAnsi="宋体" w:cs="宋体"/>
                <w:spacing w:val="23"/>
                <w:sz w:val="16"/>
                <w:szCs w:val="16"/>
              </w:rPr>
              <w:t xml:space="preserve"> </w:t>
            </w:r>
            <w:r>
              <w:rPr>
                <w:rFonts w:ascii="宋体" w:eastAsia="宋体" w:hAnsi="宋体" w:cs="宋体"/>
                <w:sz w:val="16"/>
                <w:szCs w:val="16"/>
              </w:rPr>
              <w:t>Ames</w:t>
            </w:r>
            <w:r>
              <w:rPr>
                <w:rFonts w:ascii="宋体" w:eastAsia="宋体" w:hAnsi="宋体" w:cs="宋体"/>
                <w:spacing w:val="7"/>
                <w:sz w:val="16"/>
                <w:szCs w:val="16"/>
              </w:rPr>
              <w:t>试验和V</w:t>
            </w:r>
            <w:r>
              <w:rPr>
                <w:rFonts w:ascii="Calibri" w:eastAsia="Calibri" w:hAnsi="Calibri" w:cs="Calibri"/>
                <w:spacing w:val="7"/>
                <w:sz w:val="16"/>
                <w:szCs w:val="16"/>
              </w:rPr>
              <w:t>₇</w:t>
            </w:r>
            <w:r>
              <w:rPr>
                <w:rFonts w:ascii="宋体" w:eastAsia="宋体" w:hAnsi="宋体" w:cs="宋体"/>
                <w:spacing w:val="7"/>
                <w:sz w:val="16"/>
                <w:szCs w:val="16"/>
              </w:rPr>
              <w:t>g细胞基因</w:t>
            </w:r>
            <w:r>
              <w:rPr>
                <w:rFonts w:ascii="宋体" w:eastAsia="宋体" w:hAnsi="宋体" w:cs="宋体"/>
                <w:sz w:val="16"/>
                <w:szCs w:val="16"/>
              </w:rPr>
              <w:t xml:space="preserve"> </w:t>
            </w:r>
            <w:r>
              <w:rPr>
                <w:rFonts w:ascii="宋体" w:eastAsia="宋体" w:hAnsi="宋体" w:cs="宋体"/>
                <w:spacing w:val="2"/>
                <w:sz w:val="16"/>
                <w:szCs w:val="16"/>
              </w:rPr>
              <w:t>突变试验任选一项</w:t>
            </w:r>
          </w:p>
        </w:tc>
        <w:tc>
          <w:tcPr>
            <w:tcW w:w="1970" w:type="dxa"/>
          </w:tcPr>
          <w:p w:rsidR="00EA40A3" w:rsidRDefault="00E86C16">
            <w:pPr>
              <w:spacing w:before="122" w:line="215" w:lineRule="auto"/>
              <w:ind w:left="100" w:right="250"/>
              <w:jc w:val="both"/>
              <w:rPr>
                <w:rFonts w:ascii="宋体" w:eastAsia="宋体" w:hAnsi="宋体" w:cs="宋体"/>
                <w:sz w:val="16"/>
                <w:szCs w:val="16"/>
              </w:rPr>
            </w:pPr>
            <w:r>
              <w:rPr>
                <w:rFonts w:ascii="宋体" w:eastAsia="宋体" w:hAnsi="宋体" w:cs="宋体"/>
                <w:spacing w:val="-1"/>
                <w:sz w:val="16"/>
                <w:szCs w:val="16"/>
              </w:rPr>
              <w:t>抗突变试验三项中有两</w:t>
            </w:r>
            <w:r>
              <w:rPr>
                <w:rFonts w:ascii="宋体" w:eastAsia="宋体" w:hAnsi="宋体" w:cs="宋体"/>
                <w:spacing w:val="2"/>
                <w:sz w:val="16"/>
                <w:szCs w:val="16"/>
              </w:rPr>
              <w:t xml:space="preserve"> </w:t>
            </w:r>
            <w:r>
              <w:rPr>
                <w:rFonts w:ascii="宋体" w:eastAsia="宋体" w:hAnsi="宋体" w:cs="宋体"/>
                <w:spacing w:val="-1"/>
                <w:sz w:val="16"/>
                <w:szCs w:val="16"/>
              </w:rPr>
              <w:t>项为阳性，即可判定该</w:t>
            </w:r>
            <w:r>
              <w:rPr>
                <w:rFonts w:ascii="宋体" w:eastAsia="宋体" w:hAnsi="宋体" w:cs="宋体"/>
                <w:sz w:val="16"/>
                <w:szCs w:val="16"/>
              </w:rPr>
              <w:t xml:space="preserve"> </w:t>
            </w:r>
            <w:r>
              <w:rPr>
                <w:rFonts w:ascii="宋体" w:eastAsia="宋体" w:hAnsi="宋体" w:cs="宋体"/>
                <w:spacing w:val="1"/>
                <w:sz w:val="16"/>
                <w:szCs w:val="16"/>
              </w:rPr>
              <w:t>受试物具有抗突变作用</w:t>
            </w:r>
          </w:p>
        </w:tc>
      </w:tr>
      <w:tr w:rsidR="00EA40A3">
        <w:trPr>
          <w:trHeight w:val="188"/>
        </w:trPr>
        <w:tc>
          <w:tcPr>
            <w:tcW w:w="3182" w:type="dxa"/>
            <w:gridSpan w:val="2"/>
            <w:tcBorders>
              <w:bottom w:val="single" w:sz="4" w:space="0" w:color="000000"/>
            </w:tcBorders>
          </w:tcPr>
          <w:p w:rsidR="00EA40A3" w:rsidRDefault="00E86C16">
            <w:pPr>
              <w:spacing w:before="22" w:line="191" w:lineRule="auto"/>
              <w:ind w:left="990"/>
              <w:rPr>
                <w:rFonts w:ascii="宋体" w:eastAsia="宋体" w:hAnsi="宋体" w:cs="宋体"/>
                <w:sz w:val="16"/>
                <w:szCs w:val="16"/>
              </w:rPr>
            </w:pPr>
            <w:r>
              <w:rPr>
                <w:rFonts w:ascii="宋体" w:eastAsia="宋体" w:hAnsi="宋体" w:cs="宋体"/>
                <w:spacing w:val="-2"/>
                <w:sz w:val="16"/>
                <w:szCs w:val="16"/>
              </w:rPr>
              <w:t>试验</w:t>
            </w:r>
          </w:p>
        </w:tc>
        <w:tc>
          <w:tcPr>
            <w:tcW w:w="2238" w:type="dxa"/>
            <w:tcBorders>
              <w:bottom w:val="single" w:sz="4" w:space="0" w:color="000000"/>
            </w:tcBorders>
          </w:tcPr>
          <w:p w:rsidR="00EA40A3" w:rsidRDefault="00EA40A3">
            <w:pPr>
              <w:spacing w:line="187" w:lineRule="exact"/>
              <w:rPr>
                <w:sz w:val="16"/>
              </w:rPr>
            </w:pPr>
          </w:p>
        </w:tc>
        <w:tc>
          <w:tcPr>
            <w:tcW w:w="1970" w:type="dxa"/>
            <w:tcBorders>
              <w:bottom w:val="single" w:sz="4" w:space="0" w:color="000000"/>
            </w:tcBorders>
          </w:tcPr>
          <w:p w:rsidR="00EA40A3" w:rsidRDefault="00EA40A3">
            <w:pPr>
              <w:spacing w:line="187" w:lineRule="exact"/>
              <w:rPr>
                <w:sz w:val="16"/>
              </w:rPr>
            </w:pPr>
          </w:p>
        </w:tc>
      </w:tr>
      <w:tr w:rsidR="00EA40A3">
        <w:trPr>
          <w:trHeight w:val="1198"/>
        </w:trPr>
        <w:tc>
          <w:tcPr>
            <w:tcW w:w="767" w:type="dxa"/>
            <w:tcBorders>
              <w:top w:val="single" w:sz="4" w:space="0" w:color="000000"/>
              <w:bottom w:val="single" w:sz="4" w:space="0" w:color="000000"/>
              <w:right w:val="nil"/>
            </w:tcBorders>
          </w:tcPr>
          <w:p w:rsidR="00EA40A3" w:rsidRDefault="00EA40A3">
            <w:pPr>
              <w:spacing w:line="379" w:lineRule="auto"/>
            </w:pPr>
          </w:p>
          <w:p w:rsidR="00EA40A3" w:rsidRDefault="00E86C16">
            <w:pPr>
              <w:spacing w:before="52" w:line="220" w:lineRule="exact"/>
              <w:ind w:left="109"/>
              <w:rPr>
                <w:rFonts w:ascii="宋体" w:eastAsia="宋体" w:hAnsi="宋体" w:cs="宋体"/>
                <w:sz w:val="16"/>
                <w:szCs w:val="16"/>
              </w:rPr>
            </w:pPr>
            <w:r>
              <w:rPr>
                <w:rFonts w:ascii="宋体" w:eastAsia="宋体" w:hAnsi="宋体" w:cs="宋体"/>
                <w:spacing w:val="4"/>
                <w:position w:val="4"/>
                <w:sz w:val="16"/>
                <w:szCs w:val="16"/>
              </w:rPr>
              <w:t>抛制肿</w:t>
            </w:r>
          </w:p>
          <w:p w:rsidR="00EA40A3" w:rsidRDefault="00E86C16">
            <w:pPr>
              <w:spacing w:line="220" w:lineRule="auto"/>
              <w:ind w:left="109"/>
              <w:rPr>
                <w:rFonts w:ascii="宋体" w:eastAsia="宋体" w:hAnsi="宋体" w:cs="宋体"/>
                <w:sz w:val="16"/>
                <w:szCs w:val="16"/>
              </w:rPr>
            </w:pPr>
            <w:r>
              <w:rPr>
                <w:rFonts w:ascii="宋体" w:eastAsia="宋体" w:hAnsi="宋体" w:cs="宋体"/>
                <w:spacing w:val="6"/>
                <w:sz w:val="16"/>
                <w:szCs w:val="16"/>
              </w:rPr>
              <w:t>瘤作用</w:t>
            </w:r>
          </w:p>
        </w:tc>
        <w:tc>
          <w:tcPr>
            <w:tcW w:w="2415" w:type="dxa"/>
            <w:tcBorders>
              <w:top w:val="single" w:sz="4" w:space="0" w:color="000000"/>
              <w:left w:val="nil"/>
              <w:bottom w:val="single" w:sz="4" w:space="0" w:color="000000"/>
            </w:tcBorders>
          </w:tcPr>
          <w:p w:rsidR="00EA40A3" w:rsidRDefault="00E86C16">
            <w:pPr>
              <w:spacing w:before="184" w:line="195" w:lineRule="auto"/>
              <w:ind w:left="22"/>
              <w:rPr>
                <w:rFonts w:ascii="宋体" w:eastAsia="宋体" w:hAnsi="宋体" w:cs="宋体"/>
                <w:sz w:val="16"/>
                <w:szCs w:val="16"/>
              </w:rPr>
            </w:pPr>
            <w:r>
              <w:rPr>
                <w:rFonts w:ascii="宋体" w:eastAsia="宋体" w:hAnsi="宋体" w:cs="宋体"/>
                <w:sz w:val="16"/>
                <w:szCs w:val="16"/>
              </w:rPr>
              <w:t>1.动物诱发性肿瘤试验</w:t>
            </w:r>
          </w:p>
          <w:p w:rsidR="00EA40A3" w:rsidRDefault="00E86C16">
            <w:pPr>
              <w:spacing w:line="196" w:lineRule="auto"/>
              <w:ind w:left="13"/>
              <w:rPr>
                <w:rFonts w:ascii="宋体" w:eastAsia="宋体" w:hAnsi="宋体" w:cs="宋体"/>
                <w:sz w:val="16"/>
                <w:szCs w:val="16"/>
              </w:rPr>
            </w:pPr>
            <w:r>
              <w:rPr>
                <w:rFonts w:ascii="宋体" w:eastAsia="宋体" w:hAnsi="宋体" w:cs="宋体"/>
                <w:spacing w:val="-1"/>
                <w:sz w:val="16"/>
                <w:szCs w:val="16"/>
              </w:rPr>
              <w:t>2.动物移植性肿瘤试验</w:t>
            </w:r>
          </w:p>
          <w:p w:rsidR="00EA40A3" w:rsidRDefault="00E86C16">
            <w:pPr>
              <w:spacing w:line="220" w:lineRule="auto"/>
              <w:ind w:left="2"/>
              <w:rPr>
                <w:rFonts w:ascii="宋体" w:eastAsia="宋体" w:hAnsi="宋体" w:cs="宋体"/>
                <w:sz w:val="16"/>
                <w:szCs w:val="16"/>
              </w:rPr>
            </w:pPr>
            <w:r>
              <w:rPr>
                <w:rFonts w:ascii="宋体" w:eastAsia="宋体" w:hAnsi="宋体" w:cs="宋体"/>
                <w:spacing w:val="-1"/>
                <w:sz w:val="16"/>
                <w:szCs w:val="16"/>
              </w:rPr>
              <w:t>3.免疫功能试验</w:t>
            </w:r>
          </w:p>
          <w:p w:rsidR="00EA40A3" w:rsidRDefault="00E86C16">
            <w:pPr>
              <w:spacing w:before="29" w:line="196" w:lineRule="auto"/>
              <w:ind w:left="223"/>
              <w:rPr>
                <w:rFonts w:ascii="宋体" w:eastAsia="宋体" w:hAnsi="宋体" w:cs="宋体"/>
                <w:sz w:val="16"/>
                <w:szCs w:val="16"/>
              </w:rPr>
            </w:pPr>
            <w:r>
              <w:rPr>
                <w:rFonts w:ascii="宋体" w:eastAsia="宋体" w:hAnsi="宋体" w:cs="宋体"/>
                <w:spacing w:val="1"/>
                <w:sz w:val="16"/>
                <w:szCs w:val="16"/>
              </w:rPr>
              <w:t>1)K细胞活性测定</w:t>
            </w:r>
          </w:p>
          <w:p w:rsidR="00EA40A3" w:rsidRDefault="00E86C16">
            <w:pPr>
              <w:spacing w:line="220" w:lineRule="auto"/>
              <w:ind w:left="223"/>
              <w:rPr>
                <w:rFonts w:ascii="宋体" w:eastAsia="宋体" w:hAnsi="宋体" w:cs="宋体"/>
                <w:sz w:val="16"/>
                <w:szCs w:val="16"/>
              </w:rPr>
            </w:pPr>
            <w:r>
              <w:rPr>
                <w:rFonts w:ascii="宋体" w:eastAsia="宋体" w:hAnsi="宋体" w:cs="宋体"/>
                <w:spacing w:val="-1"/>
                <w:sz w:val="16"/>
                <w:szCs w:val="16"/>
              </w:rPr>
              <w:t>2)单核-巨噬细胞功能测定</w:t>
            </w:r>
          </w:p>
        </w:tc>
        <w:tc>
          <w:tcPr>
            <w:tcW w:w="2238" w:type="dxa"/>
            <w:tcBorders>
              <w:top w:val="single" w:sz="4" w:space="0" w:color="000000"/>
              <w:bottom w:val="single" w:sz="4" w:space="0" w:color="000000"/>
            </w:tcBorders>
          </w:tcPr>
          <w:p w:rsidR="00EA40A3" w:rsidRDefault="00EA40A3">
            <w:pPr>
              <w:spacing w:line="308" w:lineRule="auto"/>
            </w:pPr>
          </w:p>
          <w:p w:rsidR="00EA40A3" w:rsidRDefault="00E86C16">
            <w:pPr>
              <w:spacing w:before="52" w:line="208" w:lineRule="auto"/>
              <w:ind w:left="127" w:right="358" w:firstLine="20"/>
              <w:rPr>
                <w:rFonts w:ascii="宋体" w:eastAsia="宋体" w:hAnsi="宋体" w:cs="宋体"/>
                <w:sz w:val="16"/>
                <w:szCs w:val="16"/>
              </w:rPr>
            </w:pPr>
            <w:r>
              <w:rPr>
                <w:rFonts w:ascii="宋体" w:eastAsia="宋体" w:hAnsi="宋体" w:cs="宋体"/>
                <w:sz w:val="16"/>
                <w:szCs w:val="16"/>
              </w:rPr>
              <w:t>1.1和2试验中任选一项</w:t>
            </w:r>
            <w:r>
              <w:rPr>
                <w:rFonts w:ascii="宋体" w:eastAsia="宋体" w:hAnsi="宋体" w:cs="宋体"/>
                <w:spacing w:val="4"/>
                <w:sz w:val="16"/>
                <w:szCs w:val="16"/>
              </w:rPr>
              <w:t xml:space="preserve">  </w:t>
            </w:r>
            <w:r>
              <w:rPr>
                <w:rFonts w:ascii="宋体" w:eastAsia="宋体" w:hAnsi="宋体" w:cs="宋体"/>
                <w:spacing w:val="-1"/>
                <w:sz w:val="16"/>
                <w:szCs w:val="16"/>
              </w:rPr>
              <w:t>2.同时必做两项免疫功能</w:t>
            </w:r>
          </w:p>
          <w:p w:rsidR="00EA40A3" w:rsidRDefault="00E86C16">
            <w:pPr>
              <w:spacing w:before="21" w:line="221" w:lineRule="auto"/>
              <w:ind w:left="347"/>
              <w:rPr>
                <w:rFonts w:ascii="宋体" w:eastAsia="宋体" w:hAnsi="宋体" w:cs="宋体"/>
                <w:sz w:val="16"/>
                <w:szCs w:val="16"/>
              </w:rPr>
            </w:pPr>
            <w:r>
              <w:rPr>
                <w:rFonts w:ascii="宋体" w:eastAsia="宋体" w:hAnsi="宋体" w:cs="宋体"/>
                <w:spacing w:val="-2"/>
                <w:sz w:val="16"/>
                <w:szCs w:val="16"/>
              </w:rPr>
              <w:t>试验</w:t>
            </w:r>
          </w:p>
        </w:tc>
        <w:tc>
          <w:tcPr>
            <w:tcW w:w="1970" w:type="dxa"/>
            <w:tcBorders>
              <w:top w:val="single" w:sz="4" w:space="0" w:color="000000"/>
              <w:bottom w:val="single" w:sz="4" w:space="0" w:color="000000"/>
            </w:tcBorders>
          </w:tcPr>
          <w:p w:rsidR="00EA40A3" w:rsidRDefault="00E86C16">
            <w:pPr>
              <w:spacing w:before="174" w:line="219" w:lineRule="auto"/>
              <w:ind w:left="100" w:right="252"/>
              <w:rPr>
                <w:rFonts w:ascii="宋体" w:eastAsia="宋体" w:hAnsi="宋体" w:cs="宋体"/>
                <w:sz w:val="16"/>
                <w:szCs w:val="16"/>
              </w:rPr>
            </w:pPr>
            <w:r>
              <w:rPr>
                <w:rFonts w:ascii="宋体" w:eastAsia="宋体" w:hAnsi="宋体" w:cs="宋体"/>
                <w:spacing w:val="1"/>
                <w:sz w:val="16"/>
                <w:szCs w:val="16"/>
              </w:rPr>
              <w:t>1和2试验中有一项为阳</w:t>
            </w:r>
            <w:r>
              <w:rPr>
                <w:rFonts w:ascii="宋体" w:eastAsia="宋体" w:hAnsi="宋体" w:cs="宋体"/>
                <w:spacing w:val="5"/>
                <w:sz w:val="16"/>
                <w:szCs w:val="16"/>
              </w:rPr>
              <w:t xml:space="preserve"> </w:t>
            </w:r>
            <w:r>
              <w:rPr>
                <w:rFonts w:ascii="宋体" w:eastAsia="宋体" w:hAnsi="宋体" w:cs="宋体"/>
                <w:spacing w:val="-1"/>
                <w:sz w:val="16"/>
                <w:szCs w:val="16"/>
              </w:rPr>
              <w:t>性，并且对免疫功能无</w:t>
            </w:r>
            <w:r>
              <w:rPr>
                <w:rFonts w:ascii="宋体" w:eastAsia="宋体" w:hAnsi="宋体" w:cs="宋体"/>
                <w:sz w:val="16"/>
                <w:szCs w:val="16"/>
              </w:rPr>
              <w:t xml:space="preserve"> </w:t>
            </w:r>
            <w:r>
              <w:rPr>
                <w:rFonts w:ascii="宋体" w:eastAsia="宋体" w:hAnsi="宋体" w:cs="宋体"/>
                <w:spacing w:val="-1"/>
                <w:sz w:val="16"/>
                <w:szCs w:val="16"/>
              </w:rPr>
              <w:t>抑制作用，则可判断该</w:t>
            </w:r>
            <w:r>
              <w:rPr>
                <w:rFonts w:ascii="宋体" w:eastAsia="宋体" w:hAnsi="宋体" w:cs="宋体"/>
                <w:spacing w:val="2"/>
                <w:sz w:val="16"/>
                <w:szCs w:val="16"/>
              </w:rPr>
              <w:t xml:space="preserve"> </w:t>
            </w:r>
            <w:r>
              <w:rPr>
                <w:rFonts w:ascii="宋体" w:eastAsia="宋体" w:hAnsi="宋体" w:cs="宋体"/>
                <w:spacing w:val="-1"/>
                <w:sz w:val="16"/>
                <w:szCs w:val="16"/>
              </w:rPr>
              <w:t>受试物具有抑制肿瘤</w:t>
            </w:r>
          </w:p>
          <w:p w:rsidR="00EA40A3" w:rsidRDefault="00E86C16">
            <w:pPr>
              <w:spacing w:line="220" w:lineRule="auto"/>
              <w:ind w:left="100"/>
              <w:rPr>
                <w:rFonts w:ascii="宋体" w:eastAsia="宋体" w:hAnsi="宋体" w:cs="宋体"/>
                <w:sz w:val="16"/>
                <w:szCs w:val="16"/>
              </w:rPr>
            </w:pPr>
            <w:r>
              <w:rPr>
                <w:rFonts w:ascii="宋体" w:eastAsia="宋体" w:hAnsi="宋体" w:cs="宋体"/>
                <w:spacing w:val="9"/>
                <w:sz w:val="16"/>
                <w:szCs w:val="16"/>
              </w:rPr>
              <w:t>作用</w:t>
            </w:r>
          </w:p>
        </w:tc>
      </w:tr>
      <w:tr w:rsidR="00EA40A3">
        <w:trPr>
          <w:trHeight w:val="340"/>
        </w:trPr>
        <w:tc>
          <w:tcPr>
            <w:tcW w:w="3182" w:type="dxa"/>
            <w:gridSpan w:val="2"/>
            <w:tcBorders>
              <w:top w:val="single" w:sz="4" w:space="0" w:color="000000"/>
            </w:tcBorders>
          </w:tcPr>
          <w:p w:rsidR="00EA40A3" w:rsidRDefault="00EA40A3"/>
        </w:tc>
        <w:tc>
          <w:tcPr>
            <w:tcW w:w="2238" w:type="dxa"/>
            <w:tcBorders>
              <w:top w:val="single" w:sz="4" w:space="0" w:color="000000"/>
            </w:tcBorders>
          </w:tcPr>
          <w:p w:rsidR="00EA40A3" w:rsidRDefault="00EA40A3"/>
        </w:tc>
        <w:tc>
          <w:tcPr>
            <w:tcW w:w="1970" w:type="dxa"/>
            <w:tcBorders>
              <w:top w:val="single" w:sz="4" w:space="0" w:color="000000"/>
            </w:tcBorders>
          </w:tcPr>
          <w:p w:rsidR="00EA40A3" w:rsidRDefault="00E86C16">
            <w:pPr>
              <w:spacing w:before="176" w:line="189" w:lineRule="auto"/>
              <w:ind w:left="100"/>
              <w:rPr>
                <w:rFonts w:ascii="宋体" w:eastAsia="宋体" w:hAnsi="宋体" w:cs="宋体"/>
                <w:sz w:val="16"/>
                <w:szCs w:val="16"/>
              </w:rPr>
            </w:pPr>
            <w:r>
              <w:rPr>
                <w:rFonts w:ascii="宋体" w:eastAsia="宋体" w:hAnsi="宋体" w:cs="宋体"/>
                <w:spacing w:val="6"/>
                <w:sz w:val="16"/>
                <w:szCs w:val="16"/>
              </w:rPr>
              <w:t>1.动物试验结果为阳性，</w:t>
            </w:r>
          </w:p>
        </w:tc>
      </w:tr>
      <w:tr w:rsidR="00EA40A3">
        <w:trPr>
          <w:trHeight w:val="579"/>
        </w:trPr>
        <w:tc>
          <w:tcPr>
            <w:tcW w:w="3182" w:type="dxa"/>
            <w:gridSpan w:val="2"/>
          </w:tcPr>
          <w:p w:rsidR="00EA40A3" w:rsidRDefault="00E86C16">
            <w:pPr>
              <w:spacing w:before="105" w:line="220" w:lineRule="auto"/>
              <w:ind w:left="100"/>
              <w:rPr>
                <w:rFonts w:ascii="宋体" w:eastAsia="宋体" w:hAnsi="宋体" w:cs="宋体"/>
                <w:sz w:val="16"/>
                <w:szCs w:val="16"/>
              </w:rPr>
            </w:pPr>
            <w:r>
              <w:rPr>
                <w:rFonts w:ascii="宋体" w:eastAsia="宋体" w:hAnsi="宋体" w:cs="宋体"/>
                <w:spacing w:val="-2"/>
                <w:sz w:val="16"/>
                <w:szCs w:val="16"/>
              </w:rPr>
              <w:t>调节血</w:t>
            </w:r>
            <w:r>
              <w:rPr>
                <w:rFonts w:ascii="宋体" w:eastAsia="宋体" w:hAnsi="宋体" w:cs="宋体"/>
                <w:spacing w:val="11"/>
                <w:sz w:val="16"/>
                <w:szCs w:val="16"/>
              </w:rPr>
              <w:t xml:space="preserve">  </w:t>
            </w:r>
            <w:r>
              <w:rPr>
                <w:rFonts w:ascii="宋体" w:eastAsia="宋体" w:hAnsi="宋体" w:cs="宋体"/>
                <w:spacing w:val="-2"/>
                <w:sz w:val="16"/>
                <w:szCs w:val="16"/>
              </w:rPr>
              <w:t>1.大鼠脂代谢紊乱模型法</w:t>
            </w:r>
          </w:p>
          <w:p w:rsidR="00EA40A3" w:rsidRDefault="00E86C16">
            <w:pPr>
              <w:spacing w:line="220" w:lineRule="auto"/>
              <w:ind w:left="100"/>
              <w:rPr>
                <w:rFonts w:ascii="宋体" w:eastAsia="宋体" w:hAnsi="宋体" w:cs="宋体"/>
                <w:sz w:val="16"/>
                <w:szCs w:val="16"/>
              </w:rPr>
            </w:pPr>
            <w:r>
              <w:rPr>
                <w:rFonts w:ascii="宋体" w:eastAsia="宋体" w:hAnsi="宋体" w:cs="宋体"/>
                <w:spacing w:val="-1"/>
                <w:sz w:val="16"/>
                <w:szCs w:val="16"/>
              </w:rPr>
              <w:t>脂作用2.人体试食试验</w:t>
            </w:r>
          </w:p>
        </w:tc>
        <w:tc>
          <w:tcPr>
            <w:tcW w:w="2238" w:type="dxa"/>
          </w:tcPr>
          <w:p w:rsidR="00EA40A3" w:rsidRDefault="00E86C16">
            <w:pPr>
              <w:spacing w:before="105" w:line="235" w:lineRule="auto"/>
              <w:ind w:left="117" w:right="206" w:hanging="10"/>
              <w:rPr>
                <w:rFonts w:ascii="宋体" w:eastAsia="宋体" w:hAnsi="宋体" w:cs="宋体"/>
                <w:sz w:val="16"/>
                <w:szCs w:val="16"/>
              </w:rPr>
            </w:pPr>
            <w:r>
              <w:rPr>
                <w:rFonts w:ascii="宋体" w:eastAsia="宋体" w:hAnsi="宋体" w:cs="宋体"/>
                <w:spacing w:val="-1"/>
                <w:sz w:val="16"/>
                <w:szCs w:val="16"/>
              </w:rPr>
              <w:t>尽可能动物实验和人体试食</w:t>
            </w:r>
            <w:r>
              <w:rPr>
                <w:rFonts w:ascii="宋体" w:eastAsia="宋体" w:hAnsi="宋体" w:cs="宋体"/>
                <w:spacing w:val="4"/>
                <w:sz w:val="16"/>
                <w:szCs w:val="16"/>
              </w:rPr>
              <w:t xml:space="preserve"> </w:t>
            </w:r>
            <w:r>
              <w:rPr>
                <w:rFonts w:ascii="宋体" w:eastAsia="宋体" w:hAnsi="宋体" w:cs="宋体"/>
                <w:spacing w:val="-1"/>
                <w:sz w:val="16"/>
                <w:szCs w:val="16"/>
              </w:rPr>
              <w:t>试验相结合，进行综合评价</w:t>
            </w:r>
          </w:p>
        </w:tc>
        <w:tc>
          <w:tcPr>
            <w:tcW w:w="1970" w:type="dxa"/>
          </w:tcPr>
          <w:p w:rsidR="00EA40A3" w:rsidRDefault="00E86C16">
            <w:pPr>
              <w:spacing w:before="25" w:line="208" w:lineRule="auto"/>
              <w:ind w:left="279"/>
              <w:rPr>
                <w:rFonts w:ascii="宋体" w:eastAsia="宋体" w:hAnsi="宋体" w:cs="宋体"/>
                <w:sz w:val="16"/>
                <w:szCs w:val="16"/>
              </w:rPr>
            </w:pPr>
            <w:r>
              <w:rPr>
                <w:rFonts w:ascii="宋体" w:eastAsia="宋体" w:hAnsi="宋体" w:cs="宋体"/>
                <w:spacing w:val="-1"/>
                <w:sz w:val="16"/>
                <w:szCs w:val="16"/>
              </w:rPr>
              <w:t>初步判定有效</w:t>
            </w:r>
          </w:p>
          <w:p w:rsidR="00EA40A3" w:rsidRDefault="00E86C16">
            <w:pPr>
              <w:spacing w:line="215" w:lineRule="auto"/>
              <w:ind w:left="279" w:right="29" w:hanging="179"/>
              <w:rPr>
                <w:rFonts w:ascii="宋体" w:eastAsia="宋体" w:hAnsi="宋体" w:cs="宋体"/>
                <w:sz w:val="16"/>
                <w:szCs w:val="16"/>
              </w:rPr>
            </w:pPr>
            <w:r>
              <w:rPr>
                <w:rFonts w:ascii="宋体" w:eastAsia="宋体" w:hAnsi="宋体" w:cs="宋体"/>
                <w:spacing w:val="6"/>
                <w:sz w:val="16"/>
                <w:szCs w:val="16"/>
              </w:rPr>
              <w:t>2.人体试食试验为阳性，</w:t>
            </w:r>
            <w:r>
              <w:rPr>
                <w:rFonts w:ascii="宋体" w:eastAsia="宋体" w:hAnsi="宋体" w:cs="宋体"/>
                <w:spacing w:val="7"/>
                <w:sz w:val="16"/>
                <w:szCs w:val="16"/>
              </w:rPr>
              <w:t xml:space="preserve"> </w:t>
            </w:r>
            <w:r>
              <w:rPr>
                <w:rFonts w:ascii="宋体" w:eastAsia="宋体" w:hAnsi="宋体" w:cs="宋体"/>
                <w:spacing w:val="1"/>
                <w:sz w:val="16"/>
                <w:szCs w:val="16"/>
              </w:rPr>
              <w:t>可判定受试物具有调</w:t>
            </w:r>
          </w:p>
        </w:tc>
      </w:tr>
      <w:tr w:rsidR="00EA40A3">
        <w:trPr>
          <w:trHeight w:val="284"/>
        </w:trPr>
        <w:tc>
          <w:tcPr>
            <w:tcW w:w="7390" w:type="dxa"/>
            <w:gridSpan w:val="4"/>
            <w:tcBorders>
              <w:bottom w:val="single" w:sz="4" w:space="0" w:color="000000"/>
            </w:tcBorders>
          </w:tcPr>
          <w:p w:rsidR="00EA40A3" w:rsidRDefault="00E86C16">
            <w:pPr>
              <w:spacing w:before="27" w:line="220" w:lineRule="auto"/>
              <w:ind w:left="5699"/>
              <w:rPr>
                <w:rFonts w:ascii="宋体" w:eastAsia="宋体" w:hAnsi="宋体" w:cs="宋体"/>
                <w:sz w:val="16"/>
                <w:szCs w:val="16"/>
              </w:rPr>
            </w:pPr>
            <w:r>
              <w:rPr>
                <w:rFonts w:ascii="宋体" w:eastAsia="宋体" w:hAnsi="宋体" w:cs="宋体"/>
                <w:spacing w:val="3"/>
                <w:sz w:val="16"/>
                <w:szCs w:val="16"/>
              </w:rPr>
              <w:t>节血脂作用</w:t>
            </w:r>
          </w:p>
        </w:tc>
      </w:tr>
    </w:tbl>
    <w:p w:rsidR="00EA40A3" w:rsidRDefault="00E86C16">
      <w:pPr>
        <w:spacing w:before="80" w:line="219" w:lineRule="auto"/>
        <w:ind w:left="360"/>
        <w:rPr>
          <w:rFonts w:ascii="宋体" w:eastAsia="宋体" w:hAnsi="宋体" w:cs="宋体"/>
          <w:sz w:val="16"/>
          <w:szCs w:val="16"/>
        </w:rPr>
      </w:pPr>
      <w:r>
        <w:rPr>
          <w:rFonts w:ascii="宋体" w:eastAsia="宋体" w:hAnsi="宋体" w:cs="宋体"/>
          <w:sz w:val="16"/>
          <w:szCs w:val="16"/>
        </w:rPr>
        <w:t>资料来源：陈仁惇.2001.营养保健食品.北京：中国轻工业出版社</w:t>
      </w:r>
    </w:p>
    <w:p w:rsidR="00EA40A3" w:rsidRDefault="00E86C16">
      <w:pPr>
        <w:spacing w:before="159" w:line="221" w:lineRule="auto"/>
        <w:rPr>
          <w:rFonts w:ascii="仿宋" w:eastAsia="仿宋" w:hAnsi="仿宋" w:cs="仿宋"/>
          <w:sz w:val="22"/>
          <w:szCs w:val="22"/>
        </w:rPr>
      </w:pPr>
      <w:r>
        <w:rPr>
          <w:rFonts w:ascii="仿宋" w:eastAsia="仿宋" w:hAnsi="仿宋" w:cs="仿宋"/>
          <w:spacing w:val="-13"/>
          <w:sz w:val="22"/>
          <w:szCs w:val="22"/>
        </w:rPr>
        <w:t>出了具体规定，成立了全国保健食品审评委员会，以整顿、规范保健食品工</w:t>
      </w:r>
      <w:r>
        <w:rPr>
          <w:rFonts w:ascii="仿宋" w:eastAsia="仿宋" w:hAnsi="仿宋" w:cs="仿宋"/>
          <w:spacing w:val="-14"/>
          <w:sz w:val="22"/>
          <w:szCs w:val="22"/>
        </w:rPr>
        <w:t>业。</w:t>
      </w:r>
    </w:p>
    <w:p w:rsidR="00EA40A3" w:rsidRDefault="00E86C16">
      <w:pPr>
        <w:spacing w:before="176" w:line="220" w:lineRule="auto"/>
        <w:rPr>
          <w:rFonts w:ascii="仿宋" w:eastAsia="仿宋" w:hAnsi="仿宋" w:cs="仿宋"/>
          <w:sz w:val="22"/>
          <w:szCs w:val="22"/>
        </w:rPr>
      </w:pPr>
      <w:r>
        <w:rPr>
          <w:rFonts w:ascii="仿宋" w:eastAsia="仿宋" w:hAnsi="仿宋" w:cs="仿宋"/>
          <w:spacing w:val="-4"/>
          <w:sz w:val="22"/>
          <w:szCs w:val="22"/>
        </w:rPr>
        <w:t>2.</w:t>
      </w:r>
      <w:r>
        <w:rPr>
          <w:rFonts w:ascii="仿宋" w:eastAsia="仿宋" w:hAnsi="仿宋" w:cs="仿宋"/>
          <w:spacing w:val="65"/>
          <w:sz w:val="22"/>
          <w:szCs w:val="22"/>
        </w:rPr>
        <w:t xml:space="preserve"> </w:t>
      </w:r>
      <w:r>
        <w:rPr>
          <w:rFonts w:ascii="仿宋" w:eastAsia="仿宋" w:hAnsi="仿宋" w:cs="仿宋"/>
          <w:spacing w:val="-4"/>
          <w:sz w:val="22"/>
          <w:szCs w:val="22"/>
        </w:rPr>
        <w:t>规范性文件</w:t>
      </w:r>
    </w:p>
    <w:p w:rsidR="00EA40A3" w:rsidRDefault="00E86C16">
      <w:pPr>
        <w:spacing w:before="200" w:line="219" w:lineRule="auto"/>
        <w:ind w:left="439"/>
        <w:rPr>
          <w:rFonts w:ascii="宋体" w:eastAsia="宋体" w:hAnsi="宋体" w:cs="宋体"/>
          <w:sz w:val="22"/>
          <w:szCs w:val="22"/>
        </w:rPr>
      </w:pPr>
      <w:r>
        <w:rPr>
          <w:rFonts w:ascii="宋体" w:eastAsia="宋体" w:hAnsi="宋体" w:cs="宋体"/>
          <w:spacing w:val="-15"/>
          <w:sz w:val="22"/>
          <w:szCs w:val="22"/>
        </w:rPr>
        <w:t>国家食品药品监督管理局发布的主要文件包括：</w:t>
      </w:r>
    </w:p>
    <w:p w:rsidR="00EA40A3" w:rsidRDefault="00E86C16">
      <w:pPr>
        <w:spacing w:before="62" w:line="245" w:lineRule="auto"/>
        <w:ind w:right="173" w:firstLine="439"/>
        <w:rPr>
          <w:rFonts w:ascii="宋体" w:eastAsia="宋体" w:hAnsi="宋体" w:cs="宋体"/>
          <w:sz w:val="22"/>
          <w:szCs w:val="22"/>
        </w:rPr>
      </w:pPr>
      <w:r>
        <w:rPr>
          <w:rFonts w:ascii="宋体" w:eastAsia="宋体" w:hAnsi="宋体" w:cs="宋体"/>
          <w:sz w:val="22"/>
          <w:szCs w:val="22"/>
        </w:rPr>
        <w:t>(1)关于印发《营养素补充剂申报与审评规定(试行)》等8个相</w:t>
      </w:r>
      <w:r>
        <w:rPr>
          <w:rFonts w:ascii="宋体" w:eastAsia="宋体" w:hAnsi="宋体" w:cs="宋体"/>
          <w:spacing w:val="-1"/>
          <w:sz w:val="22"/>
          <w:szCs w:val="22"/>
        </w:rPr>
        <w:t>关规定的</w:t>
      </w:r>
      <w:r>
        <w:rPr>
          <w:rFonts w:ascii="宋体" w:eastAsia="宋体" w:hAnsi="宋体" w:cs="宋体"/>
          <w:sz w:val="22"/>
          <w:szCs w:val="22"/>
        </w:rPr>
        <w:t xml:space="preserve"> </w:t>
      </w:r>
      <w:r>
        <w:rPr>
          <w:rFonts w:ascii="宋体" w:eastAsia="宋体" w:hAnsi="宋体" w:cs="宋体"/>
          <w:spacing w:val="9"/>
          <w:sz w:val="22"/>
          <w:szCs w:val="22"/>
        </w:rPr>
        <w:t>通告(国食药监注[2005]第202号，2005年7月1</w:t>
      </w:r>
      <w:r>
        <w:rPr>
          <w:rFonts w:ascii="宋体" w:eastAsia="宋体" w:hAnsi="宋体" w:cs="宋体"/>
          <w:spacing w:val="-41"/>
          <w:sz w:val="22"/>
          <w:szCs w:val="22"/>
        </w:rPr>
        <w:t xml:space="preserve"> </w:t>
      </w:r>
      <w:r>
        <w:rPr>
          <w:rFonts w:ascii="宋体" w:eastAsia="宋体" w:hAnsi="宋体" w:cs="宋体"/>
          <w:spacing w:val="9"/>
          <w:sz w:val="22"/>
          <w:szCs w:val="22"/>
        </w:rPr>
        <w:t>日实施),其中包括：营养</w:t>
      </w:r>
      <w:r>
        <w:rPr>
          <w:rFonts w:ascii="宋体" w:eastAsia="宋体" w:hAnsi="宋体" w:cs="宋体"/>
          <w:sz w:val="22"/>
          <w:szCs w:val="22"/>
        </w:rPr>
        <w:t xml:space="preserve"> </w:t>
      </w:r>
      <w:r>
        <w:rPr>
          <w:rFonts w:ascii="宋体" w:eastAsia="宋体" w:hAnsi="宋体" w:cs="宋体"/>
          <w:spacing w:val="-13"/>
          <w:sz w:val="22"/>
          <w:szCs w:val="22"/>
        </w:rPr>
        <w:t>素补充剂、真菌类保健食品、益生菌类保健食品、核酸类保健食品、野生动植物</w:t>
      </w:r>
      <w:r>
        <w:rPr>
          <w:rFonts w:ascii="宋体" w:eastAsia="宋体" w:hAnsi="宋体" w:cs="宋体"/>
          <w:spacing w:val="4"/>
          <w:sz w:val="22"/>
          <w:szCs w:val="22"/>
        </w:rPr>
        <w:t xml:space="preserve"> </w:t>
      </w:r>
      <w:r>
        <w:rPr>
          <w:rFonts w:ascii="宋体" w:eastAsia="宋体" w:hAnsi="宋体" w:cs="宋体"/>
          <w:spacing w:val="-13"/>
          <w:sz w:val="22"/>
          <w:szCs w:val="22"/>
        </w:rPr>
        <w:t>类保健食品、氨基酸螯合物等保健食品、应用大孔吸附树脂分离纯化工艺生产的</w:t>
      </w:r>
      <w:r>
        <w:rPr>
          <w:rFonts w:ascii="宋体" w:eastAsia="宋体" w:hAnsi="宋体" w:cs="宋体"/>
          <w:spacing w:val="10"/>
          <w:sz w:val="22"/>
          <w:szCs w:val="22"/>
        </w:rPr>
        <w:t xml:space="preserve"> </w:t>
      </w:r>
      <w:r>
        <w:rPr>
          <w:rFonts w:ascii="宋体" w:eastAsia="宋体" w:hAnsi="宋体" w:cs="宋体"/>
          <w:spacing w:val="-13"/>
          <w:sz w:val="22"/>
          <w:szCs w:val="22"/>
        </w:rPr>
        <w:t>保健食品的申报与审评的规定。</w:t>
      </w:r>
    </w:p>
    <w:p w:rsidR="00EA40A3" w:rsidRDefault="00E86C16">
      <w:pPr>
        <w:spacing w:before="37" w:line="218" w:lineRule="auto"/>
        <w:ind w:left="439"/>
        <w:rPr>
          <w:rFonts w:ascii="宋体" w:eastAsia="宋体" w:hAnsi="宋体" w:cs="宋体"/>
          <w:sz w:val="22"/>
          <w:szCs w:val="22"/>
        </w:rPr>
      </w:pPr>
      <w:r>
        <w:rPr>
          <w:rFonts w:ascii="宋体" w:eastAsia="宋体" w:hAnsi="宋体" w:cs="宋体"/>
          <w:spacing w:val="-1"/>
          <w:sz w:val="22"/>
          <w:szCs w:val="22"/>
        </w:rPr>
        <w:t>(2)《保健食品广告审查暂行规定》(国食药监注[2005]第11号)等。</w:t>
      </w:r>
    </w:p>
    <w:p w:rsidR="00EA40A3" w:rsidRDefault="00E86C16">
      <w:pPr>
        <w:spacing w:before="55"/>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286</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headerReference w:type="default" r:id="rId246"/>
          <w:footerReference w:type="default" r:id="rId247"/>
          <w:pgSz w:w="9220" w:h="13360"/>
          <w:pgMar w:top="400" w:right="979" w:bottom="400" w:left="809" w:header="0" w:footer="0" w:gutter="0"/>
          <w:cols w:space="720"/>
        </w:sectPr>
      </w:pPr>
    </w:p>
    <w:p w:rsidR="00EA40A3" w:rsidRDefault="00EA40A3">
      <w:pPr>
        <w:spacing w:line="316" w:lineRule="auto"/>
      </w:pPr>
    </w:p>
    <w:p w:rsidR="00EA40A3" w:rsidRDefault="00EA40A3">
      <w:pPr>
        <w:spacing w:line="316" w:lineRule="auto"/>
      </w:pPr>
    </w:p>
    <w:p w:rsidR="00EA40A3" w:rsidRDefault="00E86C16">
      <w:pPr>
        <w:spacing w:before="71" w:line="219" w:lineRule="auto"/>
        <w:ind w:left="110"/>
        <w:rPr>
          <w:rFonts w:ascii="宋体" w:eastAsia="宋体" w:hAnsi="宋体" w:cs="宋体"/>
          <w:sz w:val="22"/>
          <w:szCs w:val="22"/>
        </w:rPr>
      </w:pPr>
      <w:r>
        <w:rPr>
          <w:rFonts w:ascii="宋体" w:eastAsia="宋体" w:hAnsi="宋体" w:cs="宋体"/>
          <w:spacing w:val="-14"/>
          <w:sz w:val="22"/>
          <w:szCs w:val="22"/>
        </w:rPr>
        <w:t>由中华人民共和国卫生部发布的相关文件主要包括：</w:t>
      </w:r>
    </w:p>
    <w:p w:rsidR="00EA40A3" w:rsidRDefault="00E86C16">
      <w:pPr>
        <w:spacing w:before="60" w:line="219" w:lineRule="auto"/>
        <w:ind w:left="109"/>
        <w:rPr>
          <w:rFonts w:ascii="宋体" w:eastAsia="宋体" w:hAnsi="宋体" w:cs="宋体"/>
          <w:sz w:val="22"/>
          <w:szCs w:val="22"/>
        </w:rPr>
      </w:pPr>
      <w:r>
        <w:rPr>
          <w:rFonts w:ascii="宋体" w:eastAsia="宋体" w:hAnsi="宋体" w:cs="宋体"/>
          <w:spacing w:val="7"/>
          <w:sz w:val="22"/>
          <w:szCs w:val="22"/>
        </w:rPr>
        <w:t>(1)保健食品标识规定(卫法监发[1996]</w:t>
      </w:r>
      <w:r>
        <w:rPr>
          <w:rFonts w:ascii="宋体" w:eastAsia="宋体" w:hAnsi="宋体" w:cs="宋体"/>
          <w:spacing w:val="6"/>
          <w:sz w:val="22"/>
          <w:szCs w:val="22"/>
        </w:rPr>
        <w:t>第38号)。</w:t>
      </w:r>
    </w:p>
    <w:p w:rsidR="00EA40A3" w:rsidRDefault="00E86C16">
      <w:pPr>
        <w:spacing w:before="39" w:line="219" w:lineRule="auto"/>
        <w:ind w:left="109"/>
        <w:rPr>
          <w:rFonts w:ascii="宋体" w:eastAsia="宋体" w:hAnsi="宋体" w:cs="宋体"/>
          <w:sz w:val="22"/>
          <w:szCs w:val="22"/>
        </w:rPr>
      </w:pPr>
      <w:r>
        <w:rPr>
          <w:rFonts w:ascii="宋体" w:eastAsia="宋体" w:hAnsi="宋体" w:cs="宋体"/>
          <w:spacing w:val="5"/>
          <w:sz w:val="22"/>
          <w:szCs w:val="22"/>
        </w:rPr>
        <w:t>(2)健康相关产品命名规定(卫法监发[2001]第109号)。</w:t>
      </w:r>
    </w:p>
    <w:p w:rsidR="00EA40A3" w:rsidRDefault="00E86C16">
      <w:pPr>
        <w:spacing w:before="37" w:line="219" w:lineRule="auto"/>
        <w:ind w:left="110"/>
        <w:rPr>
          <w:rFonts w:ascii="宋体" w:eastAsia="宋体" w:hAnsi="宋体" w:cs="宋体"/>
          <w:sz w:val="22"/>
          <w:szCs w:val="22"/>
        </w:rPr>
      </w:pPr>
      <w:r>
        <w:rPr>
          <w:rFonts w:ascii="宋体" w:eastAsia="宋体" w:hAnsi="宋体" w:cs="宋体"/>
          <w:spacing w:val="-9"/>
          <w:sz w:val="22"/>
          <w:szCs w:val="22"/>
        </w:rPr>
        <w:t>(3)中华人民共和国食品添加剂卫生管理办法(卫生部1993年3月15日发布)。</w:t>
      </w:r>
    </w:p>
    <w:p w:rsidR="00EA40A3" w:rsidRDefault="00E86C16">
      <w:pPr>
        <w:spacing w:before="40" w:line="219" w:lineRule="auto"/>
        <w:ind w:left="109"/>
        <w:rPr>
          <w:rFonts w:ascii="宋体" w:eastAsia="宋体" w:hAnsi="宋体" w:cs="宋体"/>
          <w:sz w:val="22"/>
          <w:szCs w:val="22"/>
        </w:rPr>
      </w:pPr>
      <w:r>
        <w:rPr>
          <w:rFonts w:ascii="宋体" w:eastAsia="宋体" w:hAnsi="宋体" w:cs="宋体"/>
          <w:spacing w:val="6"/>
          <w:sz w:val="22"/>
          <w:szCs w:val="22"/>
        </w:rPr>
        <w:t>(4)保健食品通用卫生要求(卫法监发[1</w:t>
      </w:r>
      <w:r>
        <w:rPr>
          <w:rFonts w:ascii="宋体" w:eastAsia="宋体" w:hAnsi="宋体" w:cs="宋体"/>
          <w:spacing w:val="5"/>
          <w:sz w:val="22"/>
          <w:szCs w:val="22"/>
        </w:rPr>
        <w:t>996]第38号)。</w:t>
      </w:r>
    </w:p>
    <w:p w:rsidR="00EA40A3" w:rsidRDefault="00E86C16">
      <w:pPr>
        <w:spacing w:before="37" w:line="236" w:lineRule="auto"/>
        <w:ind w:left="109" w:right="430"/>
        <w:rPr>
          <w:rFonts w:ascii="宋体" w:eastAsia="宋体" w:hAnsi="宋体" w:cs="宋体"/>
          <w:sz w:val="22"/>
          <w:szCs w:val="22"/>
        </w:rPr>
      </w:pPr>
      <w:r>
        <w:rPr>
          <w:rFonts w:ascii="宋体" w:eastAsia="宋体" w:hAnsi="宋体" w:cs="宋体"/>
          <w:spacing w:val="7"/>
          <w:sz w:val="22"/>
          <w:szCs w:val="22"/>
        </w:rPr>
        <w:t>(5)保健食品良好生产规范审查方法与评价准则(卫法监发[2003]第77</w:t>
      </w:r>
      <w:r>
        <w:rPr>
          <w:rFonts w:ascii="宋体" w:eastAsia="宋体" w:hAnsi="宋体" w:cs="宋体"/>
          <w:sz w:val="22"/>
          <w:szCs w:val="22"/>
        </w:rPr>
        <w:t xml:space="preserve"> </w:t>
      </w:r>
      <w:r>
        <w:rPr>
          <w:rFonts w:ascii="宋体" w:eastAsia="宋体" w:hAnsi="宋体" w:cs="宋体"/>
          <w:spacing w:val="5"/>
          <w:sz w:val="22"/>
          <w:szCs w:val="22"/>
        </w:rPr>
        <w:t>号)等。</w:t>
      </w:r>
    </w:p>
    <w:p w:rsidR="00EA40A3" w:rsidRDefault="00E86C16">
      <w:pPr>
        <w:spacing w:before="238" w:line="222" w:lineRule="auto"/>
        <w:ind w:left="109"/>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pacing w:val="-31"/>
          <w:sz w:val="22"/>
          <w:szCs w:val="22"/>
        </w:rPr>
        <w:t xml:space="preserve"> </w:t>
      </w:r>
      <w:r>
        <w:rPr>
          <w:rFonts w:ascii="仿宋" w:eastAsia="仿宋" w:hAnsi="仿宋" w:cs="仿宋"/>
          <w:spacing w:val="13"/>
          <w:sz w:val="22"/>
          <w:szCs w:val="22"/>
        </w:rPr>
        <w:t>技术规范与技术标准</w:t>
      </w:r>
    </w:p>
    <w:p w:rsidR="00EA40A3" w:rsidRDefault="00E86C16">
      <w:pPr>
        <w:spacing w:before="187" w:line="219" w:lineRule="auto"/>
        <w:ind w:left="110"/>
        <w:rPr>
          <w:rFonts w:ascii="宋体" w:eastAsia="宋体" w:hAnsi="宋体" w:cs="宋体"/>
          <w:sz w:val="22"/>
          <w:szCs w:val="22"/>
        </w:rPr>
      </w:pPr>
      <w:r>
        <w:rPr>
          <w:rFonts w:ascii="宋体" w:eastAsia="宋体" w:hAnsi="宋体" w:cs="宋体"/>
          <w:spacing w:val="-15"/>
          <w:sz w:val="22"/>
          <w:szCs w:val="22"/>
        </w:rPr>
        <w:t>与保健食品相关的技术规范与技术标准主要包括：</w:t>
      </w:r>
    </w:p>
    <w:p w:rsidR="00EA40A3" w:rsidRDefault="00E86C16">
      <w:pPr>
        <w:spacing w:before="46" w:line="216" w:lineRule="auto"/>
        <w:ind w:left="109"/>
        <w:rPr>
          <w:rFonts w:ascii="宋体" w:eastAsia="宋体" w:hAnsi="宋体" w:cs="宋体"/>
          <w:sz w:val="22"/>
          <w:szCs w:val="22"/>
        </w:rPr>
      </w:pPr>
      <w:r>
        <w:rPr>
          <w:rFonts w:ascii="宋体" w:eastAsia="宋体" w:hAnsi="宋体" w:cs="宋体"/>
          <w:sz w:val="22"/>
          <w:szCs w:val="22"/>
        </w:rPr>
        <w:t>(1)保健食品检验与评价技术规范(2003年版),其中含保健食品功能学评</w:t>
      </w:r>
    </w:p>
    <w:p w:rsidR="00EA40A3" w:rsidRDefault="00E86C16">
      <w:pPr>
        <w:spacing w:before="44" w:line="236" w:lineRule="auto"/>
        <w:ind w:left="110" w:right="15"/>
        <w:rPr>
          <w:rFonts w:ascii="宋体" w:eastAsia="宋体" w:hAnsi="宋体" w:cs="宋体"/>
          <w:sz w:val="22"/>
          <w:szCs w:val="22"/>
        </w:rPr>
      </w:pPr>
      <w:r>
        <w:rPr>
          <w:rFonts w:ascii="宋体" w:eastAsia="宋体" w:hAnsi="宋体" w:cs="宋体"/>
          <w:spacing w:val="-12"/>
          <w:sz w:val="22"/>
          <w:szCs w:val="22"/>
        </w:rPr>
        <w:t>价程序与检验方法规范、保健食品安全性毒理学评价</w:t>
      </w:r>
      <w:r>
        <w:rPr>
          <w:rFonts w:ascii="宋体" w:eastAsia="宋体" w:hAnsi="宋体" w:cs="宋体"/>
          <w:spacing w:val="-13"/>
          <w:sz w:val="22"/>
          <w:szCs w:val="22"/>
        </w:rPr>
        <w:t>程序与检验方法规范、保健</w:t>
      </w:r>
      <w:r>
        <w:rPr>
          <w:rFonts w:ascii="宋体" w:eastAsia="宋体" w:hAnsi="宋体" w:cs="宋体"/>
          <w:sz w:val="22"/>
          <w:szCs w:val="22"/>
        </w:rPr>
        <w:t xml:space="preserve"> </w:t>
      </w:r>
      <w:r>
        <w:rPr>
          <w:rFonts w:ascii="宋体" w:eastAsia="宋体" w:hAnsi="宋体" w:cs="宋体"/>
          <w:spacing w:val="-14"/>
          <w:sz w:val="22"/>
          <w:szCs w:val="22"/>
        </w:rPr>
        <w:t>食品功效成分与卫生指标检验规范等内容。</w:t>
      </w:r>
    </w:p>
    <w:p w:rsidR="00EA40A3" w:rsidRDefault="00E86C16">
      <w:pPr>
        <w:spacing w:before="40" w:line="220" w:lineRule="auto"/>
        <w:ind w:left="109"/>
        <w:rPr>
          <w:rFonts w:ascii="宋体" w:eastAsia="宋体" w:hAnsi="宋体" w:cs="宋体"/>
          <w:sz w:val="22"/>
          <w:szCs w:val="22"/>
        </w:rPr>
      </w:pPr>
      <w:r>
        <w:rPr>
          <w:rFonts w:ascii="宋体" w:eastAsia="宋体" w:hAnsi="宋体" w:cs="宋体"/>
          <w:spacing w:val="4"/>
          <w:sz w:val="22"/>
          <w:szCs w:val="22"/>
        </w:rPr>
        <w:t>(2)保健(功能)食品通用标准</w:t>
      </w:r>
      <w:r>
        <w:rPr>
          <w:rFonts w:ascii="宋体" w:eastAsia="宋体" w:hAnsi="宋体" w:cs="宋体"/>
          <w:spacing w:val="-11"/>
          <w:sz w:val="22"/>
          <w:szCs w:val="22"/>
        </w:rPr>
        <w:t xml:space="preserve"> </w:t>
      </w:r>
      <w:r>
        <w:rPr>
          <w:rFonts w:ascii="宋体" w:eastAsia="宋体" w:hAnsi="宋体" w:cs="宋体"/>
          <w:spacing w:val="4"/>
          <w:sz w:val="22"/>
          <w:szCs w:val="22"/>
        </w:rPr>
        <w:t>(</w:t>
      </w:r>
      <w:r>
        <w:rPr>
          <w:rFonts w:ascii="宋体" w:eastAsia="宋体" w:hAnsi="宋体" w:cs="宋体"/>
          <w:sz w:val="22"/>
          <w:szCs w:val="22"/>
        </w:rPr>
        <w:t>GB</w:t>
      </w:r>
      <w:r>
        <w:rPr>
          <w:rFonts w:ascii="宋体" w:eastAsia="宋体" w:hAnsi="宋体" w:cs="宋体"/>
          <w:spacing w:val="4"/>
          <w:sz w:val="22"/>
          <w:szCs w:val="22"/>
        </w:rPr>
        <w:t>16740—1</w:t>
      </w:r>
      <w:r>
        <w:rPr>
          <w:rFonts w:ascii="宋体" w:eastAsia="宋体" w:hAnsi="宋体" w:cs="宋体"/>
          <w:spacing w:val="3"/>
          <w:sz w:val="22"/>
          <w:szCs w:val="22"/>
        </w:rPr>
        <w:t>997)。</w:t>
      </w:r>
    </w:p>
    <w:p w:rsidR="00EA40A3" w:rsidRDefault="00E86C16">
      <w:pPr>
        <w:spacing w:before="37" w:line="219" w:lineRule="auto"/>
        <w:ind w:left="109"/>
        <w:rPr>
          <w:rFonts w:ascii="宋体" w:eastAsia="宋体" w:hAnsi="宋体" w:cs="宋体"/>
          <w:sz w:val="22"/>
          <w:szCs w:val="22"/>
        </w:rPr>
      </w:pPr>
      <w:r>
        <w:rPr>
          <w:rFonts w:ascii="宋体" w:eastAsia="宋体" w:hAnsi="宋体" w:cs="宋体"/>
          <w:spacing w:val="-3"/>
          <w:sz w:val="22"/>
          <w:szCs w:val="22"/>
        </w:rPr>
        <w:t>(3)保健食品良好生产规范</w:t>
      </w:r>
      <w:r>
        <w:rPr>
          <w:rFonts w:ascii="宋体" w:eastAsia="宋体" w:hAnsi="宋体" w:cs="宋体"/>
          <w:spacing w:val="-14"/>
          <w:sz w:val="22"/>
          <w:szCs w:val="22"/>
        </w:rPr>
        <w:t xml:space="preserve"> </w:t>
      </w:r>
      <w:r>
        <w:rPr>
          <w:rFonts w:ascii="宋体" w:eastAsia="宋体" w:hAnsi="宋体" w:cs="宋体"/>
          <w:spacing w:val="-3"/>
          <w:sz w:val="22"/>
          <w:szCs w:val="22"/>
        </w:rPr>
        <w:t>(GB17405—</w:t>
      </w:r>
      <w:r>
        <w:rPr>
          <w:rFonts w:ascii="宋体" w:eastAsia="宋体" w:hAnsi="宋体" w:cs="宋体"/>
          <w:spacing w:val="-4"/>
          <w:sz w:val="22"/>
          <w:szCs w:val="22"/>
        </w:rPr>
        <w:t>1998)。</w:t>
      </w:r>
    </w:p>
    <w:p w:rsidR="00EA40A3" w:rsidRDefault="00E86C16">
      <w:pPr>
        <w:spacing w:before="37" w:line="219" w:lineRule="auto"/>
        <w:ind w:left="109"/>
        <w:rPr>
          <w:rFonts w:ascii="宋体" w:eastAsia="宋体" w:hAnsi="宋体" w:cs="宋体"/>
          <w:sz w:val="22"/>
          <w:szCs w:val="22"/>
        </w:rPr>
      </w:pPr>
      <w:r>
        <w:rPr>
          <w:rFonts w:ascii="宋体" w:eastAsia="宋体" w:hAnsi="宋体" w:cs="宋体"/>
          <w:spacing w:val="-6"/>
          <w:sz w:val="22"/>
          <w:szCs w:val="22"/>
        </w:rPr>
        <w:t>(4)食品添加剂使用卫生标准</w:t>
      </w:r>
      <w:r>
        <w:rPr>
          <w:rFonts w:ascii="宋体" w:eastAsia="宋体" w:hAnsi="宋体" w:cs="宋体"/>
          <w:spacing w:val="-7"/>
          <w:sz w:val="22"/>
          <w:szCs w:val="22"/>
        </w:rPr>
        <w:t xml:space="preserve"> </w:t>
      </w:r>
      <w:r>
        <w:rPr>
          <w:rFonts w:ascii="宋体" w:eastAsia="宋体" w:hAnsi="宋体" w:cs="宋体"/>
          <w:spacing w:val="-6"/>
          <w:sz w:val="22"/>
          <w:szCs w:val="22"/>
        </w:rPr>
        <w:t>(GB2760)。</w:t>
      </w:r>
    </w:p>
    <w:p w:rsidR="00EA40A3" w:rsidRDefault="00E86C16">
      <w:pPr>
        <w:spacing w:before="39" w:line="219" w:lineRule="auto"/>
        <w:ind w:left="109"/>
        <w:rPr>
          <w:rFonts w:ascii="宋体" w:eastAsia="宋体" w:hAnsi="宋体" w:cs="宋体"/>
          <w:sz w:val="22"/>
          <w:szCs w:val="22"/>
        </w:rPr>
      </w:pPr>
      <w:r>
        <w:rPr>
          <w:rFonts w:ascii="宋体" w:eastAsia="宋体" w:hAnsi="宋体" w:cs="宋体"/>
          <w:spacing w:val="-12"/>
          <w:sz w:val="22"/>
          <w:szCs w:val="22"/>
        </w:rPr>
        <w:t>(5)中国居民膳食营养素参考推荐摄入量(中</w:t>
      </w:r>
      <w:r>
        <w:rPr>
          <w:rFonts w:ascii="宋体" w:eastAsia="宋体" w:hAnsi="宋体" w:cs="宋体"/>
          <w:spacing w:val="-13"/>
          <w:sz w:val="22"/>
          <w:szCs w:val="22"/>
        </w:rPr>
        <w:t>国营养学会，2000年10月发布)。</w:t>
      </w:r>
    </w:p>
    <w:p w:rsidR="00EA40A3" w:rsidRDefault="00E86C16">
      <w:pPr>
        <w:spacing w:before="42" w:line="220" w:lineRule="auto"/>
        <w:ind w:left="109"/>
        <w:rPr>
          <w:rFonts w:ascii="宋体" w:eastAsia="宋体" w:hAnsi="宋体" w:cs="宋体"/>
          <w:sz w:val="22"/>
          <w:szCs w:val="22"/>
        </w:rPr>
      </w:pPr>
      <w:r>
        <w:rPr>
          <w:rFonts w:ascii="宋体" w:eastAsia="宋体" w:hAnsi="宋体" w:cs="宋体"/>
          <w:spacing w:val="-3"/>
          <w:sz w:val="22"/>
          <w:szCs w:val="22"/>
        </w:rPr>
        <w:t>(6)标准化工作导则</w:t>
      </w:r>
      <w:r>
        <w:rPr>
          <w:rFonts w:ascii="宋体" w:eastAsia="宋体" w:hAnsi="宋体" w:cs="宋体"/>
          <w:spacing w:val="-13"/>
          <w:sz w:val="22"/>
          <w:szCs w:val="22"/>
        </w:rPr>
        <w:t xml:space="preserve"> </w:t>
      </w:r>
      <w:r>
        <w:rPr>
          <w:rFonts w:ascii="宋体" w:eastAsia="宋体" w:hAnsi="宋体" w:cs="宋体"/>
          <w:spacing w:val="-3"/>
          <w:sz w:val="22"/>
          <w:szCs w:val="22"/>
        </w:rPr>
        <w:t>(GB/T1.1—2000)。</w:t>
      </w:r>
    </w:p>
    <w:p w:rsidR="00EA40A3" w:rsidRDefault="00E86C16">
      <w:pPr>
        <w:spacing w:before="233" w:line="221" w:lineRule="auto"/>
        <w:ind w:left="109"/>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37"/>
          <w:sz w:val="22"/>
          <w:szCs w:val="22"/>
        </w:rPr>
        <w:t xml:space="preserve"> </w:t>
      </w:r>
      <w:r>
        <w:rPr>
          <w:rFonts w:ascii="仿宋" w:eastAsia="仿宋" w:hAnsi="仿宋" w:cs="仿宋"/>
          <w:spacing w:val="15"/>
          <w:sz w:val="22"/>
          <w:szCs w:val="22"/>
        </w:rPr>
        <w:t>保健食品管理机构及职责</w:t>
      </w:r>
    </w:p>
    <w:p w:rsidR="00EA40A3" w:rsidRDefault="00E86C16">
      <w:pPr>
        <w:spacing w:before="198" w:line="232" w:lineRule="auto"/>
        <w:ind w:left="109" w:right="432"/>
        <w:rPr>
          <w:rFonts w:ascii="宋体" w:eastAsia="宋体" w:hAnsi="宋体" w:cs="宋体"/>
          <w:sz w:val="22"/>
          <w:szCs w:val="22"/>
        </w:rPr>
      </w:pPr>
      <w:r>
        <w:rPr>
          <w:rFonts w:ascii="宋体" w:eastAsia="宋体" w:hAnsi="宋体" w:cs="宋体"/>
          <w:spacing w:val="-12"/>
          <w:sz w:val="22"/>
          <w:szCs w:val="22"/>
        </w:rPr>
        <w:t>中国保健食品管理机构主要包括食品药品监督</w:t>
      </w:r>
      <w:r>
        <w:rPr>
          <w:rFonts w:ascii="宋体" w:eastAsia="宋体" w:hAnsi="宋体" w:cs="宋体"/>
          <w:spacing w:val="-13"/>
          <w:sz w:val="22"/>
          <w:szCs w:val="22"/>
        </w:rPr>
        <w:t>管理局、质监局、工商行政部</w:t>
      </w:r>
      <w:r>
        <w:rPr>
          <w:rFonts w:ascii="宋体" w:eastAsia="宋体" w:hAnsi="宋体" w:cs="宋体"/>
          <w:sz w:val="22"/>
          <w:szCs w:val="22"/>
        </w:rPr>
        <w:t xml:space="preserve"> </w:t>
      </w:r>
      <w:r>
        <w:rPr>
          <w:rFonts w:ascii="宋体" w:eastAsia="宋体" w:hAnsi="宋体" w:cs="宋体"/>
          <w:spacing w:val="-16"/>
          <w:sz w:val="22"/>
          <w:szCs w:val="22"/>
        </w:rPr>
        <w:t>门、卫生行政部门。</w:t>
      </w:r>
    </w:p>
    <w:p w:rsidR="00EA40A3" w:rsidRDefault="00E86C16">
      <w:pPr>
        <w:spacing w:before="68" w:line="219" w:lineRule="auto"/>
        <w:ind w:left="109"/>
        <w:rPr>
          <w:rFonts w:ascii="宋体" w:eastAsia="宋体" w:hAnsi="宋体" w:cs="宋体"/>
          <w:sz w:val="22"/>
          <w:szCs w:val="22"/>
        </w:rPr>
      </w:pPr>
      <w:r>
        <w:rPr>
          <w:rFonts w:ascii="宋体" w:eastAsia="宋体" w:hAnsi="宋体" w:cs="宋体"/>
          <w:spacing w:val="-12"/>
          <w:sz w:val="22"/>
          <w:szCs w:val="22"/>
        </w:rPr>
        <w:t>食品药品监督管理局拟订保健品市场准入标准，负责保健品的审</w:t>
      </w:r>
      <w:r>
        <w:rPr>
          <w:rFonts w:ascii="宋体" w:eastAsia="宋体" w:hAnsi="宋体" w:cs="宋体"/>
          <w:spacing w:val="-13"/>
          <w:sz w:val="22"/>
          <w:szCs w:val="22"/>
        </w:rPr>
        <w:t>批，审查保</w:t>
      </w:r>
    </w:p>
    <w:p w:rsidR="00EA40A3" w:rsidRDefault="00E86C16">
      <w:pPr>
        <w:spacing w:before="27" w:line="238" w:lineRule="auto"/>
        <w:ind w:left="110" w:right="13"/>
        <w:rPr>
          <w:rFonts w:ascii="宋体" w:eastAsia="宋体" w:hAnsi="宋体" w:cs="宋体"/>
          <w:sz w:val="22"/>
          <w:szCs w:val="22"/>
        </w:rPr>
      </w:pPr>
      <w:r>
        <w:rPr>
          <w:rFonts w:ascii="宋体" w:eastAsia="宋体" w:hAnsi="宋体" w:cs="宋体"/>
          <w:spacing w:val="-6"/>
          <w:sz w:val="22"/>
          <w:szCs w:val="22"/>
        </w:rPr>
        <w:t>健品广告，并负责保健食品安全的综合监管、组织协调，依法组</w:t>
      </w:r>
      <w:r>
        <w:rPr>
          <w:rFonts w:ascii="宋体" w:eastAsia="宋体" w:hAnsi="宋体" w:cs="宋体"/>
          <w:spacing w:val="-7"/>
          <w:sz w:val="22"/>
          <w:szCs w:val="22"/>
        </w:rPr>
        <w:t>织查处重大事</w:t>
      </w:r>
      <w:r>
        <w:rPr>
          <w:rFonts w:ascii="宋体" w:eastAsia="宋体" w:hAnsi="宋体" w:cs="宋体"/>
          <w:sz w:val="22"/>
          <w:szCs w:val="22"/>
        </w:rPr>
        <w:t xml:space="preserve"> </w:t>
      </w:r>
      <w:r>
        <w:rPr>
          <w:rFonts w:ascii="宋体" w:eastAsia="宋体" w:hAnsi="宋体" w:cs="宋体"/>
          <w:spacing w:val="-13"/>
          <w:sz w:val="22"/>
          <w:szCs w:val="22"/>
        </w:rPr>
        <w:t>故。质监局负责保健食品生产加工环节的监管。工商行政部门负</w:t>
      </w:r>
      <w:r>
        <w:rPr>
          <w:rFonts w:ascii="宋体" w:eastAsia="宋体" w:hAnsi="宋体" w:cs="宋体"/>
          <w:spacing w:val="-14"/>
          <w:sz w:val="22"/>
          <w:szCs w:val="22"/>
        </w:rPr>
        <w:t>责保健食品流通</w:t>
      </w:r>
      <w:r>
        <w:rPr>
          <w:rFonts w:ascii="宋体" w:eastAsia="宋体" w:hAnsi="宋体" w:cs="宋体"/>
          <w:sz w:val="22"/>
          <w:szCs w:val="22"/>
        </w:rPr>
        <w:t xml:space="preserve"> </w:t>
      </w:r>
      <w:r>
        <w:rPr>
          <w:rFonts w:ascii="宋体" w:eastAsia="宋体" w:hAnsi="宋体" w:cs="宋体"/>
          <w:spacing w:val="-12"/>
          <w:sz w:val="22"/>
          <w:szCs w:val="22"/>
        </w:rPr>
        <w:t>环节的监管和生产经营营业执照的发放。卫生行政</w:t>
      </w:r>
      <w:r>
        <w:rPr>
          <w:rFonts w:ascii="宋体" w:eastAsia="宋体" w:hAnsi="宋体" w:cs="宋体"/>
          <w:spacing w:val="-13"/>
          <w:sz w:val="22"/>
          <w:szCs w:val="22"/>
        </w:rPr>
        <w:t>部门负责消费环节的监管和保</w:t>
      </w:r>
      <w:r>
        <w:rPr>
          <w:rFonts w:ascii="宋体" w:eastAsia="宋体" w:hAnsi="宋体" w:cs="宋体"/>
          <w:sz w:val="22"/>
          <w:szCs w:val="22"/>
        </w:rPr>
        <w:t xml:space="preserve"> </w:t>
      </w:r>
      <w:r>
        <w:rPr>
          <w:rFonts w:ascii="宋体" w:eastAsia="宋体" w:hAnsi="宋体" w:cs="宋体"/>
          <w:spacing w:val="-13"/>
          <w:sz w:val="22"/>
          <w:szCs w:val="22"/>
        </w:rPr>
        <w:t>健食品生产经营卫生许可证的发放。</w:t>
      </w:r>
    </w:p>
    <w:p w:rsidR="00EA40A3" w:rsidRDefault="00E86C16">
      <w:pPr>
        <w:spacing w:before="245" w:line="221" w:lineRule="auto"/>
        <w:ind w:left="109"/>
        <w:rPr>
          <w:rFonts w:ascii="仿宋" w:eastAsia="仿宋" w:hAnsi="仿宋" w:cs="仿宋"/>
          <w:sz w:val="22"/>
          <w:szCs w:val="22"/>
        </w:rPr>
      </w:pPr>
      <w:r>
        <w:rPr>
          <w:rFonts w:ascii="仿宋" w:eastAsia="仿宋" w:hAnsi="仿宋" w:cs="仿宋"/>
          <w:spacing w:val="11"/>
          <w:sz w:val="22"/>
          <w:szCs w:val="22"/>
        </w:rPr>
        <w:t>5. 保健食品的注册管理</w:t>
      </w:r>
    </w:p>
    <w:p w:rsidR="00EA40A3" w:rsidRDefault="00E86C16">
      <w:pPr>
        <w:spacing w:before="191" w:line="219" w:lineRule="auto"/>
        <w:rPr>
          <w:rFonts w:ascii="宋体" w:eastAsia="宋体" w:hAnsi="宋体" w:cs="宋体"/>
          <w:sz w:val="22"/>
          <w:szCs w:val="22"/>
        </w:rPr>
      </w:pPr>
      <w:r>
        <w:rPr>
          <w:rFonts w:ascii="宋体" w:eastAsia="宋体" w:hAnsi="宋体" w:cs="宋体"/>
          <w:spacing w:val="3"/>
          <w:sz w:val="22"/>
          <w:szCs w:val="22"/>
        </w:rPr>
        <w:t>《中华人民共和国食品卫生法》(1995年10月30日)第22条规定：“表明</w:t>
      </w:r>
    </w:p>
    <w:p w:rsidR="00EA40A3" w:rsidRDefault="00E86C16">
      <w:pPr>
        <w:spacing w:before="38" w:line="233" w:lineRule="auto"/>
        <w:ind w:left="110" w:right="15"/>
        <w:rPr>
          <w:rFonts w:ascii="宋体" w:eastAsia="宋体" w:hAnsi="宋体" w:cs="宋体"/>
          <w:sz w:val="22"/>
          <w:szCs w:val="22"/>
        </w:rPr>
      </w:pPr>
      <w:r>
        <w:rPr>
          <w:rFonts w:ascii="宋体" w:eastAsia="宋体" w:hAnsi="宋体" w:cs="宋体"/>
          <w:spacing w:val="-6"/>
          <w:sz w:val="22"/>
          <w:szCs w:val="22"/>
        </w:rPr>
        <w:t>具有特定保健功能的食品，其产品及说明书必须报国务院卫</w:t>
      </w:r>
      <w:r>
        <w:rPr>
          <w:rFonts w:ascii="宋体" w:eastAsia="宋体" w:hAnsi="宋体" w:cs="宋体"/>
          <w:spacing w:val="-7"/>
          <w:sz w:val="22"/>
          <w:szCs w:val="22"/>
        </w:rPr>
        <w:t>生行政部门审查批</w:t>
      </w:r>
      <w:r>
        <w:rPr>
          <w:rFonts w:ascii="宋体" w:eastAsia="宋体" w:hAnsi="宋体" w:cs="宋体"/>
          <w:sz w:val="22"/>
          <w:szCs w:val="22"/>
        </w:rPr>
        <w:t xml:space="preserve"> </w:t>
      </w:r>
      <w:r>
        <w:rPr>
          <w:rFonts w:ascii="宋体" w:eastAsia="宋体" w:hAnsi="宋体" w:cs="宋体"/>
          <w:spacing w:val="-14"/>
          <w:sz w:val="22"/>
          <w:szCs w:val="22"/>
        </w:rPr>
        <w:t>准”,这是一切保健食品审批的依据。</w:t>
      </w:r>
    </w:p>
    <w:p w:rsidR="00EA40A3" w:rsidRDefault="00E86C16">
      <w:pPr>
        <w:spacing w:before="85" w:line="219" w:lineRule="auto"/>
        <w:ind w:left="109"/>
        <w:rPr>
          <w:rFonts w:ascii="宋体" w:eastAsia="宋体" w:hAnsi="宋体" w:cs="宋体"/>
          <w:sz w:val="22"/>
          <w:szCs w:val="22"/>
        </w:rPr>
      </w:pPr>
      <w:r>
        <w:rPr>
          <w:rFonts w:ascii="宋体" w:eastAsia="宋体" w:hAnsi="宋体" w:cs="宋体"/>
          <w:spacing w:val="-6"/>
          <w:sz w:val="22"/>
          <w:szCs w:val="22"/>
        </w:rPr>
        <w:t>所谓保健食品注册，是指国家食品药品监督管理局注册司根据申请人的申</w:t>
      </w:r>
    </w:p>
    <w:p w:rsidR="00EA40A3" w:rsidRDefault="00E86C16">
      <w:pPr>
        <w:spacing w:before="39" w:line="241" w:lineRule="auto"/>
        <w:ind w:left="110"/>
        <w:rPr>
          <w:rFonts w:ascii="宋体" w:eastAsia="宋体" w:hAnsi="宋体" w:cs="宋体"/>
          <w:sz w:val="22"/>
          <w:szCs w:val="22"/>
        </w:rPr>
      </w:pPr>
      <w:r>
        <w:rPr>
          <w:rFonts w:ascii="宋体" w:eastAsia="宋体" w:hAnsi="宋体" w:cs="宋体"/>
          <w:spacing w:val="-12"/>
          <w:sz w:val="22"/>
          <w:szCs w:val="22"/>
        </w:rPr>
        <w:t>请，依照法定程序、条件和要求，对申请注册的保健食品的安全性、有效性、质</w:t>
      </w:r>
      <w:r>
        <w:rPr>
          <w:rFonts w:ascii="宋体" w:eastAsia="宋体" w:hAnsi="宋体" w:cs="宋体"/>
          <w:spacing w:val="2"/>
          <w:sz w:val="22"/>
          <w:szCs w:val="22"/>
        </w:rPr>
        <w:t xml:space="preserve"> </w:t>
      </w:r>
      <w:r>
        <w:rPr>
          <w:rFonts w:ascii="宋体" w:eastAsia="宋体" w:hAnsi="宋体" w:cs="宋体"/>
          <w:spacing w:val="-12"/>
          <w:sz w:val="22"/>
          <w:szCs w:val="22"/>
        </w:rPr>
        <w:t>量可控性以及标签说明书内容等进行系统评价和审查，并决定是否准予</w:t>
      </w:r>
      <w:r>
        <w:rPr>
          <w:rFonts w:ascii="宋体" w:eastAsia="宋体" w:hAnsi="宋体" w:cs="宋体"/>
          <w:spacing w:val="-13"/>
          <w:sz w:val="22"/>
          <w:szCs w:val="22"/>
        </w:rPr>
        <w:t>其注册的</w:t>
      </w:r>
      <w:r>
        <w:rPr>
          <w:rFonts w:ascii="宋体" w:eastAsia="宋体" w:hAnsi="宋体" w:cs="宋体"/>
          <w:sz w:val="22"/>
          <w:szCs w:val="22"/>
        </w:rPr>
        <w:t xml:space="preserve"> </w:t>
      </w:r>
      <w:r>
        <w:rPr>
          <w:rFonts w:ascii="宋体" w:eastAsia="宋体" w:hAnsi="宋体" w:cs="宋体"/>
          <w:spacing w:val="-16"/>
          <w:sz w:val="22"/>
          <w:szCs w:val="22"/>
        </w:rPr>
        <w:t>审批过程；包括对产品注册申请、变更申请和</w:t>
      </w:r>
      <w:r>
        <w:rPr>
          <w:rFonts w:ascii="宋体" w:eastAsia="宋体" w:hAnsi="宋体" w:cs="宋体"/>
          <w:spacing w:val="-17"/>
          <w:sz w:val="22"/>
          <w:szCs w:val="22"/>
        </w:rPr>
        <w:t>技术转让产品注册申请的审批。</w:t>
      </w:r>
      <w:r>
        <w:rPr>
          <w:rFonts w:ascii="宋体" w:eastAsia="宋体" w:hAnsi="宋体" w:cs="宋体"/>
          <w:spacing w:val="35"/>
          <w:sz w:val="22"/>
          <w:szCs w:val="22"/>
        </w:rPr>
        <w:t xml:space="preserve"> </w:t>
      </w:r>
      <w:r>
        <w:rPr>
          <w:rFonts w:ascii="宋体" w:eastAsia="宋体" w:hAnsi="宋体" w:cs="宋体"/>
          <w:spacing w:val="-17"/>
          <w:sz w:val="22"/>
          <w:szCs w:val="22"/>
        </w:rPr>
        <w:t>一</w:t>
      </w:r>
    </w:p>
    <w:p w:rsidR="00EA40A3" w:rsidRDefault="00EA40A3">
      <w:pPr>
        <w:sectPr w:rsidR="00EA40A3">
          <w:footerReference w:type="default" r:id="rId248"/>
          <w:pgSz w:w="9220" w:h="13360"/>
          <w:pgMar w:top="400" w:right="1056" w:bottom="1166" w:left="769" w:header="0" w:footer="945" w:gutter="0"/>
          <w:cols w:space="720"/>
        </w:sectPr>
      </w:pPr>
    </w:p>
    <w:p w:rsidR="00EA40A3" w:rsidRDefault="00EA40A3">
      <w:pPr>
        <w:spacing w:line="295" w:lineRule="auto"/>
      </w:pPr>
    </w:p>
    <w:p w:rsidR="00EA40A3" w:rsidRDefault="00EA40A3">
      <w:pPr>
        <w:spacing w:line="296" w:lineRule="auto"/>
      </w:pPr>
    </w:p>
    <w:p w:rsidR="00EA40A3" w:rsidRDefault="00E86C16">
      <w:pPr>
        <w:spacing w:before="72" w:line="244" w:lineRule="auto"/>
        <w:ind w:right="79"/>
        <w:jc w:val="both"/>
        <w:rPr>
          <w:rFonts w:ascii="宋体" w:eastAsia="宋体" w:hAnsi="宋体" w:cs="宋体"/>
          <w:sz w:val="22"/>
          <w:szCs w:val="22"/>
        </w:rPr>
      </w:pPr>
      <w:r>
        <w:rPr>
          <w:rFonts w:ascii="宋体" w:eastAsia="宋体" w:hAnsi="宋体" w:cs="宋体"/>
          <w:spacing w:val="-13"/>
          <w:sz w:val="22"/>
          <w:szCs w:val="22"/>
        </w:rPr>
        <w:t>般需要通过省级食品药品监督管理局所属的保健食品认证中心的初审，方可报送</w:t>
      </w:r>
      <w:r>
        <w:rPr>
          <w:rFonts w:ascii="宋体" w:eastAsia="宋体" w:hAnsi="宋体" w:cs="宋体"/>
          <w:spacing w:val="12"/>
          <w:sz w:val="22"/>
          <w:szCs w:val="22"/>
        </w:rPr>
        <w:t xml:space="preserve"> </w:t>
      </w:r>
      <w:r>
        <w:rPr>
          <w:rFonts w:ascii="宋体" w:eastAsia="宋体" w:hAnsi="宋体" w:cs="宋体"/>
          <w:spacing w:val="-13"/>
          <w:sz w:val="22"/>
          <w:szCs w:val="22"/>
        </w:rPr>
        <w:t>国家局终审，即省、自治区、直辖市食品药品监督管理部门受国家食品药</w:t>
      </w:r>
      <w:r>
        <w:rPr>
          <w:rFonts w:ascii="宋体" w:eastAsia="宋体" w:hAnsi="宋体" w:cs="宋体"/>
          <w:spacing w:val="-14"/>
          <w:sz w:val="22"/>
          <w:szCs w:val="22"/>
        </w:rPr>
        <w:t>品监督</w:t>
      </w:r>
      <w:r>
        <w:rPr>
          <w:rFonts w:ascii="宋体" w:eastAsia="宋体" w:hAnsi="宋体" w:cs="宋体"/>
          <w:sz w:val="22"/>
          <w:szCs w:val="22"/>
        </w:rPr>
        <w:t xml:space="preserve"> </w:t>
      </w:r>
      <w:r>
        <w:rPr>
          <w:rFonts w:ascii="宋体" w:eastAsia="宋体" w:hAnsi="宋体" w:cs="宋体"/>
          <w:spacing w:val="-13"/>
          <w:sz w:val="22"/>
          <w:szCs w:val="22"/>
        </w:rPr>
        <w:t>管理局委托，负责对国产保健食品注册申请资料的受理和形式审查，对申请注册</w:t>
      </w:r>
      <w:r>
        <w:rPr>
          <w:rFonts w:ascii="宋体" w:eastAsia="宋体" w:hAnsi="宋体" w:cs="宋体"/>
          <w:spacing w:val="14"/>
          <w:sz w:val="22"/>
          <w:szCs w:val="22"/>
        </w:rPr>
        <w:t xml:space="preserve"> </w:t>
      </w:r>
      <w:r>
        <w:rPr>
          <w:rFonts w:ascii="宋体" w:eastAsia="宋体" w:hAnsi="宋体" w:cs="宋体"/>
          <w:spacing w:val="-13"/>
          <w:sz w:val="22"/>
          <w:szCs w:val="22"/>
        </w:rPr>
        <w:t>的保健食品试验和样品试制的现场进行核查，组织对</w:t>
      </w:r>
      <w:r>
        <w:rPr>
          <w:rFonts w:ascii="宋体" w:eastAsia="宋体" w:hAnsi="宋体" w:cs="宋体"/>
          <w:spacing w:val="-14"/>
          <w:sz w:val="22"/>
          <w:szCs w:val="22"/>
        </w:rPr>
        <w:t>样品进行检验。</w:t>
      </w:r>
    </w:p>
    <w:p w:rsidR="00EA40A3" w:rsidRDefault="00E86C16">
      <w:pPr>
        <w:spacing w:before="67" w:line="247" w:lineRule="auto"/>
        <w:ind w:right="58" w:firstLine="430"/>
        <w:jc w:val="both"/>
        <w:rPr>
          <w:rFonts w:ascii="宋体" w:eastAsia="宋体" w:hAnsi="宋体" w:cs="宋体"/>
          <w:sz w:val="22"/>
          <w:szCs w:val="22"/>
        </w:rPr>
      </w:pPr>
      <w:r>
        <w:rPr>
          <w:rFonts w:ascii="宋体" w:eastAsia="宋体" w:hAnsi="宋体" w:cs="宋体"/>
          <w:spacing w:val="-19"/>
          <w:sz w:val="22"/>
          <w:szCs w:val="22"/>
        </w:rPr>
        <w:t>国家食品药品监督管理局确定的检验机构负责申请注册的保健食品的安全性毒</w:t>
      </w:r>
      <w:r>
        <w:rPr>
          <w:rFonts w:ascii="宋体" w:eastAsia="宋体" w:hAnsi="宋体" w:cs="宋体"/>
          <w:spacing w:val="16"/>
          <w:sz w:val="22"/>
          <w:szCs w:val="22"/>
        </w:rPr>
        <w:t xml:space="preserve"> </w:t>
      </w:r>
      <w:r>
        <w:rPr>
          <w:rFonts w:ascii="宋体" w:eastAsia="宋体" w:hAnsi="宋体" w:cs="宋体"/>
          <w:spacing w:val="-12"/>
          <w:sz w:val="22"/>
          <w:szCs w:val="22"/>
        </w:rPr>
        <w:t>理学试验、功能学试验[包括动物试验和(或)人体试食试验]、功效成分或标志性</w:t>
      </w:r>
      <w:r>
        <w:rPr>
          <w:rFonts w:ascii="宋体" w:eastAsia="宋体" w:hAnsi="宋体" w:cs="宋体"/>
          <w:spacing w:val="1"/>
          <w:sz w:val="22"/>
          <w:szCs w:val="22"/>
        </w:rPr>
        <w:t xml:space="preserve"> </w:t>
      </w:r>
      <w:r>
        <w:rPr>
          <w:rFonts w:ascii="宋体" w:eastAsia="宋体" w:hAnsi="宋体" w:cs="宋体"/>
          <w:spacing w:val="-22"/>
          <w:w w:val="99"/>
          <w:sz w:val="22"/>
          <w:szCs w:val="22"/>
        </w:rPr>
        <w:t>成分检测、卫生学试验、稳定性试验等，承担样品检验和复核检验等具体工作。</w:t>
      </w:r>
    </w:p>
    <w:p w:rsidR="00EA40A3" w:rsidRDefault="00E86C16">
      <w:pPr>
        <w:spacing w:before="28" w:line="245" w:lineRule="auto"/>
        <w:ind w:right="57" w:firstLine="430"/>
        <w:jc w:val="both"/>
        <w:rPr>
          <w:rFonts w:ascii="宋体" w:eastAsia="宋体" w:hAnsi="宋体" w:cs="宋体"/>
          <w:sz w:val="22"/>
          <w:szCs w:val="22"/>
        </w:rPr>
      </w:pPr>
      <w:r>
        <w:rPr>
          <w:rFonts w:ascii="宋体" w:eastAsia="宋体" w:hAnsi="宋体" w:cs="宋体"/>
          <w:spacing w:val="-12"/>
          <w:sz w:val="22"/>
          <w:szCs w:val="22"/>
        </w:rPr>
        <w:t>任何关于已有保健食品的变更申请，包括：缩小</w:t>
      </w:r>
      <w:r>
        <w:rPr>
          <w:rFonts w:ascii="宋体" w:eastAsia="宋体" w:hAnsi="宋体" w:cs="宋体"/>
          <w:spacing w:val="-13"/>
          <w:sz w:val="22"/>
          <w:szCs w:val="22"/>
        </w:rPr>
        <w:t>适宜人群范围，扩大不适宜</w:t>
      </w:r>
      <w:r>
        <w:rPr>
          <w:rFonts w:ascii="宋体" w:eastAsia="宋体" w:hAnsi="宋体" w:cs="宋体"/>
          <w:sz w:val="22"/>
          <w:szCs w:val="22"/>
        </w:rPr>
        <w:t xml:space="preserve"> </w:t>
      </w:r>
      <w:r>
        <w:rPr>
          <w:rFonts w:ascii="宋体" w:eastAsia="宋体" w:hAnsi="宋体" w:cs="宋体"/>
          <w:spacing w:val="-13"/>
          <w:sz w:val="22"/>
          <w:szCs w:val="22"/>
        </w:rPr>
        <w:t>人群范围，注意事项的变更申请，改变食用量的变更</w:t>
      </w:r>
      <w:r>
        <w:rPr>
          <w:rFonts w:ascii="宋体" w:eastAsia="宋体" w:hAnsi="宋体" w:cs="宋体"/>
          <w:spacing w:val="-14"/>
          <w:sz w:val="22"/>
          <w:szCs w:val="22"/>
        </w:rPr>
        <w:t>申请，改变产品规格、保质</w:t>
      </w:r>
      <w:r>
        <w:rPr>
          <w:rFonts w:ascii="宋体" w:eastAsia="宋体" w:hAnsi="宋体" w:cs="宋体"/>
          <w:sz w:val="22"/>
          <w:szCs w:val="22"/>
        </w:rPr>
        <w:t xml:space="preserve"> </w:t>
      </w:r>
      <w:r>
        <w:rPr>
          <w:rFonts w:ascii="宋体" w:eastAsia="宋体" w:hAnsi="宋体" w:cs="宋体"/>
          <w:spacing w:val="-13"/>
          <w:sz w:val="22"/>
          <w:szCs w:val="22"/>
        </w:rPr>
        <w:t>期以及质量标准的变更申请，增加保健食品功能项目的变更申请，改变产品名称</w:t>
      </w:r>
      <w:r>
        <w:rPr>
          <w:rFonts w:ascii="宋体" w:eastAsia="宋体" w:hAnsi="宋体" w:cs="宋体"/>
          <w:spacing w:val="14"/>
          <w:sz w:val="22"/>
          <w:szCs w:val="22"/>
        </w:rPr>
        <w:t xml:space="preserve"> </w:t>
      </w:r>
      <w:r>
        <w:rPr>
          <w:rFonts w:ascii="宋体" w:eastAsia="宋体" w:hAnsi="宋体" w:cs="宋体"/>
          <w:sz w:val="22"/>
          <w:szCs w:val="22"/>
        </w:rPr>
        <w:t>的变更申请，申请人自身名称和(或)地址改变的备案事项，除提供基</w:t>
      </w:r>
      <w:r>
        <w:rPr>
          <w:rFonts w:ascii="宋体" w:eastAsia="宋体" w:hAnsi="宋体" w:cs="宋体"/>
          <w:spacing w:val="-1"/>
          <w:sz w:val="22"/>
          <w:szCs w:val="22"/>
        </w:rPr>
        <w:t>本资料</w:t>
      </w:r>
      <w:r>
        <w:rPr>
          <w:rFonts w:ascii="宋体" w:eastAsia="宋体" w:hAnsi="宋体" w:cs="宋体"/>
          <w:sz w:val="22"/>
          <w:szCs w:val="22"/>
        </w:rPr>
        <w:t xml:space="preserve"> </w:t>
      </w:r>
      <w:r>
        <w:rPr>
          <w:rFonts w:ascii="宋体" w:eastAsia="宋体" w:hAnsi="宋体" w:cs="宋体"/>
          <w:spacing w:val="-13"/>
          <w:sz w:val="22"/>
          <w:szCs w:val="22"/>
        </w:rPr>
        <w:t>外，尚需要提供食品药品监督管理局规定的相关资料。</w:t>
      </w:r>
    </w:p>
    <w:p w:rsidR="00EA40A3" w:rsidRDefault="00E86C16">
      <w:pPr>
        <w:spacing w:before="77" w:line="247" w:lineRule="auto"/>
        <w:ind w:right="57" w:firstLine="430"/>
        <w:jc w:val="both"/>
        <w:rPr>
          <w:rFonts w:ascii="宋体" w:eastAsia="宋体" w:hAnsi="宋体" w:cs="宋体"/>
          <w:sz w:val="22"/>
          <w:szCs w:val="22"/>
        </w:rPr>
      </w:pPr>
      <w:r>
        <w:rPr>
          <w:rFonts w:ascii="宋体" w:eastAsia="宋体" w:hAnsi="宋体" w:cs="宋体"/>
          <w:spacing w:val="1"/>
          <w:sz w:val="22"/>
          <w:szCs w:val="22"/>
        </w:rPr>
        <w:t>2005年7月，又颁布了《保健食品申报与审评补充规定(试行)》,</w:t>
      </w:r>
      <w:r>
        <w:rPr>
          <w:rFonts w:ascii="宋体" w:eastAsia="宋体" w:hAnsi="宋体" w:cs="宋体"/>
          <w:sz w:val="22"/>
          <w:szCs w:val="22"/>
        </w:rPr>
        <w:t xml:space="preserve">对同一 </w:t>
      </w:r>
      <w:r>
        <w:rPr>
          <w:rFonts w:ascii="宋体" w:eastAsia="宋体" w:hAnsi="宋体" w:cs="宋体"/>
          <w:spacing w:val="-7"/>
          <w:sz w:val="22"/>
          <w:szCs w:val="22"/>
        </w:rPr>
        <w:t>产品制成两种剂型或分别成型条件、缓释制剂保健食品审评、增补保健食品剂</w:t>
      </w:r>
      <w:r>
        <w:rPr>
          <w:rFonts w:ascii="宋体" w:eastAsia="宋体" w:hAnsi="宋体" w:cs="宋体"/>
          <w:sz w:val="22"/>
          <w:szCs w:val="22"/>
        </w:rPr>
        <w:t xml:space="preserve"> </w:t>
      </w:r>
      <w:r>
        <w:rPr>
          <w:rFonts w:ascii="宋体" w:eastAsia="宋体" w:hAnsi="宋体" w:cs="宋体"/>
          <w:spacing w:val="-13"/>
          <w:sz w:val="22"/>
          <w:szCs w:val="22"/>
        </w:rPr>
        <w:t>型、保健食品的适宜人群或不适宜人群或注意事项的确定等相关问题做了补充说</w:t>
      </w:r>
      <w:r>
        <w:rPr>
          <w:rFonts w:ascii="宋体" w:eastAsia="宋体" w:hAnsi="宋体" w:cs="宋体"/>
          <w:spacing w:val="12"/>
          <w:sz w:val="22"/>
          <w:szCs w:val="22"/>
        </w:rPr>
        <w:t xml:space="preserve"> </w:t>
      </w:r>
      <w:r>
        <w:rPr>
          <w:rFonts w:ascii="宋体" w:eastAsia="宋体" w:hAnsi="宋体" w:cs="宋体"/>
          <w:spacing w:val="-13"/>
          <w:sz w:val="22"/>
          <w:szCs w:val="22"/>
        </w:rPr>
        <w:t>明和规定。并确认以舌下吸收的剂型、喷雾剂等不得作为保健食品剂型，不得以</w:t>
      </w:r>
      <w:r>
        <w:rPr>
          <w:rFonts w:ascii="宋体" w:eastAsia="宋体" w:hAnsi="宋体" w:cs="宋体"/>
          <w:spacing w:val="2"/>
          <w:sz w:val="22"/>
          <w:szCs w:val="22"/>
        </w:rPr>
        <w:t xml:space="preserve"> </w:t>
      </w:r>
      <w:r>
        <w:rPr>
          <w:rFonts w:ascii="宋体" w:eastAsia="宋体" w:hAnsi="宋体" w:cs="宋体"/>
          <w:spacing w:val="-13"/>
          <w:sz w:val="22"/>
          <w:szCs w:val="22"/>
        </w:rPr>
        <w:t>肌酸和熊胆粉作为原料申请保健食品，暂不受理和审批以金属硫蛋白为原料申请</w:t>
      </w:r>
      <w:r>
        <w:rPr>
          <w:rFonts w:ascii="宋体" w:eastAsia="宋体" w:hAnsi="宋体" w:cs="宋体"/>
          <w:spacing w:val="13"/>
          <w:sz w:val="22"/>
          <w:szCs w:val="22"/>
        </w:rPr>
        <w:t xml:space="preserve"> </w:t>
      </w:r>
      <w:r>
        <w:rPr>
          <w:rFonts w:ascii="宋体" w:eastAsia="宋体" w:hAnsi="宋体" w:cs="宋体"/>
          <w:spacing w:val="-17"/>
          <w:sz w:val="22"/>
          <w:szCs w:val="22"/>
        </w:rPr>
        <w:t>的保健食品。</w:t>
      </w:r>
    </w:p>
    <w:p w:rsidR="00EA40A3" w:rsidRDefault="00E86C16">
      <w:pPr>
        <w:spacing w:before="86" w:line="241" w:lineRule="auto"/>
        <w:ind w:right="80" w:firstLine="430"/>
        <w:jc w:val="both"/>
        <w:rPr>
          <w:rFonts w:ascii="宋体" w:eastAsia="宋体" w:hAnsi="宋体" w:cs="宋体"/>
          <w:sz w:val="22"/>
          <w:szCs w:val="22"/>
        </w:rPr>
      </w:pPr>
      <w:r>
        <w:rPr>
          <w:rFonts w:ascii="宋体" w:eastAsia="宋体" w:hAnsi="宋体" w:cs="宋体"/>
          <w:spacing w:val="-13"/>
          <w:sz w:val="22"/>
          <w:szCs w:val="22"/>
        </w:rPr>
        <w:t>产品技术审评的重点包括：产品配方，产品的功能、安全性、功效成分</w:t>
      </w:r>
      <w:r>
        <w:rPr>
          <w:rFonts w:ascii="宋体" w:eastAsia="宋体" w:hAnsi="宋体" w:cs="宋体"/>
          <w:spacing w:val="-14"/>
          <w:sz w:val="22"/>
          <w:szCs w:val="22"/>
        </w:rPr>
        <w:t>、卫</w:t>
      </w:r>
      <w:r>
        <w:rPr>
          <w:rFonts w:ascii="宋体" w:eastAsia="宋体" w:hAnsi="宋体" w:cs="宋体"/>
          <w:sz w:val="22"/>
          <w:szCs w:val="22"/>
        </w:rPr>
        <w:t xml:space="preserve"> </w:t>
      </w:r>
      <w:r>
        <w:rPr>
          <w:rFonts w:ascii="宋体" w:eastAsia="宋体" w:hAnsi="宋体" w:cs="宋体"/>
          <w:spacing w:val="-13"/>
          <w:sz w:val="22"/>
          <w:szCs w:val="22"/>
        </w:rPr>
        <w:t>生学、稳定性，质量标准，生产工艺等内容。评审依据是保健食品检验与评价技</w:t>
      </w:r>
      <w:r>
        <w:rPr>
          <w:rFonts w:ascii="宋体" w:eastAsia="宋体" w:hAnsi="宋体" w:cs="宋体"/>
          <w:spacing w:val="12"/>
          <w:sz w:val="22"/>
          <w:szCs w:val="22"/>
        </w:rPr>
        <w:t xml:space="preserve"> </w:t>
      </w:r>
      <w:r>
        <w:rPr>
          <w:rFonts w:ascii="宋体" w:eastAsia="宋体" w:hAnsi="宋体" w:cs="宋体"/>
          <w:spacing w:val="-1"/>
          <w:sz w:val="22"/>
          <w:szCs w:val="22"/>
        </w:rPr>
        <w:t>术规范(2003年版)以及相关国家标准。</w:t>
      </w:r>
    </w:p>
    <w:p w:rsidR="00EA40A3" w:rsidRDefault="00E86C16">
      <w:pPr>
        <w:spacing w:before="282" w:line="220" w:lineRule="auto"/>
        <w:ind w:left="1540"/>
        <w:rPr>
          <w:rFonts w:ascii="宋体" w:eastAsia="宋体" w:hAnsi="宋体" w:cs="宋体"/>
          <w:sz w:val="28"/>
          <w:szCs w:val="28"/>
        </w:rPr>
      </w:pPr>
      <w:r>
        <w:rPr>
          <w:rFonts w:ascii="宋体" w:eastAsia="宋体" w:hAnsi="宋体" w:cs="宋体"/>
          <w:spacing w:val="-4"/>
          <w:sz w:val="28"/>
          <w:szCs w:val="28"/>
        </w:rPr>
        <w:t>9.2</w:t>
      </w:r>
      <w:r>
        <w:rPr>
          <w:rFonts w:ascii="宋体" w:eastAsia="宋体" w:hAnsi="宋体" w:cs="宋体"/>
          <w:spacing w:val="135"/>
          <w:sz w:val="28"/>
          <w:szCs w:val="28"/>
        </w:rPr>
        <w:t xml:space="preserve"> </w:t>
      </w:r>
      <w:r>
        <w:rPr>
          <w:rFonts w:ascii="宋体" w:eastAsia="宋体" w:hAnsi="宋体" w:cs="宋体"/>
          <w:spacing w:val="-4"/>
          <w:sz w:val="28"/>
          <w:szCs w:val="28"/>
        </w:rPr>
        <w:t>其他具有一定保健作用的食品</w:t>
      </w:r>
    </w:p>
    <w:p w:rsidR="00EA40A3" w:rsidRDefault="00E86C16">
      <w:pPr>
        <w:spacing w:before="231" w:line="244" w:lineRule="auto"/>
        <w:ind w:right="19" w:firstLine="430"/>
        <w:jc w:val="both"/>
        <w:rPr>
          <w:rFonts w:ascii="宋体" w:eastAsia="宋体" w:hAnsi="宋体" w:cs="宋体"/>
          <w:sz w:val="22"/>
          <w:szCs w:val="22"/>
        </w:rPr>
      </w:pPr>
      <w:r>
        <w:rPr>
          <w:rFonts w:ascii="宋体" w:eastAsia="宋体" w:hAnsi="宋体" w:cs="宋体"/>
          <w:spacing w:val="-11"/>
          <w:sz w:val="22"/>
          <w:szCs w:val="22"/>
        </w:rPr>
        <w:t>由前可知，“保健食品”有其特定的含义，需经过特定的评</w:t>
      </w:r>
      <w:r>
        <w:rPr>
          <w:rFonts w:ascii="宋体" w:eastAsia="宋体" w:hAnsi="宋体" w:cs="宋体"/>
          <w:spacing w:val="-12"/>
          <w:sz w:val="22"/>
          <w:szCs w:val="22"/>
        </w:rPr>
        <w:t>价程序来确定。</w:t>
      </w:r>
      <w:r>
        <w:rPr>
          <w:rFonts w:ascii="宋体" w:eastAsia="宋体" w:hAnsi="宋体" w:cs="宋体"/>
          <w:sz w:val="22"/>
          <w:szCs w:val="22"/>
        </w:rPr>
        <w:t xml:space="preserve"> </w:t>
      </w:r>
      <w:r>
        <w:rPr>
          <w:rFonts w:ascii="宋体" w:eastAsia="宋体" w:hAnsi="宋体" w:cs="宋体"/>
          <w:spacing w:val="-13"/>
          <w:sz w:val="22"/>
          <w:szCs w:val="22"/>
        </w:rPr>
        <w:t>而有些食品，严格意义上，不是保健食品，但是同样在人体预防相关疾病或调节</w:t>
      </w:r>
      <w:r>
        <w:rPr>
          <w:rFonts w:ascii="宋体" w:eastAsia="宋体" w:hAnsi="宋体" w:cs="宋体"/>
          <w:spacing w:val="14"/>
          <w:sz w:val="22"/>
          <w:szCs w:val="22"/>
        </w:rPr>
        <w:t xml:space="preserve"> </w:t>
      </w:r>
      <w:r>
        <w:rPr>
          <w:rFonts w:ascii="宋体" w:eastAsia="宋体" w:hAnsi="宋体" w:cs="宋体"/>
          <w:spacing w:val="-13"/>
          <w:sz w:val="22"/>
          <w:szCs w:val="22"/>
        </w:rPr>
        <w:t>机体方面具有积极作用，如低脂、低热食品，某些仿生食品以及一些特殊的传统</w:t>
      </w:r>
      <w:r>
        <w:rPr>
          <w:rFonts w:ascii="宋体" w:eastAsia="宋体" w:hAnsi="宋体" w:cs="宋体"/>
          <w:spacing w:val="13"/>
          <w:sz w:val="22"/>
          <w:szCs w:val="22"/>
        </w:rPr>
        <w:t xml:space="preserve"> </w:t>
      </w:r>
      <w:r>
        <w:rPr>
          <w:rFonts w:ascii="宋体" w:eastAsia="宋体" w:hAnsi="宋体" w:cs="宋体"/>
          <w:spacing w:val="-18"/>
          <w:sz w:val="22"/>
          <w:szCs w:val="22"/>
        </w:rPr>
        <w:t>文化食品，如广东凉茶等。</w:t>
      </w:r>
    </w:p>
    <w:p w:rsidR="00EA40A3" w:rsidRDefault="00E86C16">
      <w:pPr>
        <w:spacing w:before="196" w:line="222" w:lineRule="auto"/>
        <w:ind w:left="3"/>
        <w:outlineLvl w:val="6"/>
        <w:rPr>
          <w:rFonts w:ascii="黑体" w:eastAsia="黑体" w:hAnsi="黑体" w:cs="黑体"/>
          <w:sz w:val="22"/>
          <w:szCs w:val="22"/>
        </w:rPr>
      </w:pPr>
      <w:r>
        <w:rPr>
          <w:rFonts w:ascii="黑体" w:eastAsia="黑体" w:hAnsi="黑体" w:cs="黑体"/>
          <w:b/>
          <w:bCs/>
          <w:spacing w:val="-6"/>
          <w:sz w:val="22"/>
          <w:szCs w:val="22"/>
        </w:rPr>
        <w:t>9.2.1</w:t>
      </w:r>
      <w:r>
        <w:rPr>
          <w:rFonts w:ascii="黑体" w:eastAsia="黑体" w:hAnsi="黑体" w:cs="黑体"/>
          <w:spacing w:val="30"/>
          <w:sz w:val="22"/>
          <w:szCs w:val="22"/>
        </w:rPr>
        <w:t xml:space="preserve">   </w:t>
      </w:r>
      <w:r>
        <w:rPr>
          <w:rFonts w:ascii="黑体" w:eastAsia="黑体" w:hAnsi="黑体" w:cs="黑体"/>
          <w:b/>
          <w:bCs/>
          <w:spacing w:val="-6"/>
          <w:sz w:val="22"/>
          <w:szCs w:val="22"/>
        </w:rPr>
        <w:t>低脂、低热食品</w:t>
      </w:r>
    </w:p>
    <w:p w:rsidR="00EA40A3" w:rsidRDefault="00E86C16">
      <w:pPr>
        <w:spacing w:before="219" w:line="237" w:lineRule="auto"/>
        <w:ind w:firstLine="430"/>
        <w:rPr>
          <w:rFonts w:ascii="宋体" w:eastAsia="宋体" w:hAnsi="宋体" w:cs="宋体"/>
          <w:sz w:val="22"/>
          <w:szCs w:val="22"/>
        </w:rPr>
      </w:pPr>
      <w:r>
        <w:rPr>
          <w:rFonts w:ascii="宋体" w:eastAsia="宋体" w:hAnsi="宋体" w:cs="宋体"/>
          <w:spacing w:val="-6"/>
          <w:sz w:val="22"/>
          <w:szCs w:val="22"/>
        </w:rPr>
        <w:t>这里所指的低脂、低热食品是广义上的低脂、低热食品，是脂肪和(或)热</w:t>
      </w:r>
      <w:r>
        <w:rPr>
          <w:rFonts w:ascii="宋体" w:eastAsia="宋体" w:hAnsi="宋体" w:cs="宋体"/>
          <w:spacing w:val="9"/>
          <w:sz w:val="22"/>
          <w:szCs w:val="22"/>
        </w:rPr>
        <w:t xml:space="preserve"> </w:t>
      </w:r>
      <w:r>
        <w:rPr>
          <w:rFonts w:ascii="宋体" w:eastAsia="宋体" w:hAnsi="宋体" w:cs="宋体"/>
          <w:spacing w:val="-11"/>
          <w:sz w:val="22"/>
          <w:szCs w:val="22"/>
        </w:rPr>
        <w:t>量含量明显低于同类常规产品的食品。它包括了美国FDA</w:t>
      </w:r>
      <w:r>
        <w:rPr>
          <w:rFonts w:ascii="宋体" w:eastAsia="宋体" w:hAnsi="宋体" w:cs="宋体"/>
          <w:spacing w:val="45"/>
          <w:sz w:val="22"/>
          <w:szCs w:val="22"/>
        </w:rPr>
        <w:t xml:space="preserve"> </w:t>
      </w:r>
      <w:r>
        <w:rPr>
          <w:rFonts w:ascii="宋体" w:eastAsia="宋体" w:hAnsi="宋体" w:cs="宋体"/>
          <w:spacing w:val="-12"/>
          <w:sz w:val="22"/>
          <w:szCs w:val="22"/>
        </w:rPr>
        <w:t>定义①的减脂肪食品、</w:t>
      </w:r>
    </w:p>
    <w:p w:rsidR="00EA40A3" w:rsidRDefault="00EA40A3">
      <w:pPr>
        <w:spacing w:line="395" w:lineRule="auto"/>
      </w:pPr>
    </w:p>
    <w:p w:rsidR="00EA40A3" w:rsidRDefault="00E86C16">
      <w:pPr>
        <w:spacing w:before="53" w:line="217" w:lineRule="auto"/>
        <w:rPr>
          <w:rFonts w:ascii="宋体" w:eastAsia="宋体" w:hAnsi="宋体" w:cs="宋体"/>
          <w:sz w:val="16"/>
          <w:szCs w:val="16"/>
        </w:rPr>
      </w:pPr>
      <w:r>
        <w:rPr>
          <w:rFonts w:ascii="宋体" w:eastAsia="宋体" w:hAnsi="宋体" w:cs="宋体"/>
          <w:spacing w:val="2"/>
          <w:sz w:val="16"/>
          <w:szCs w:val="16"/>
        </w:rPr>
        <w:t>①</w:t>
      </w:r>
      <w:r>
        <w:rPr>
          <w:rFonts w:ascii="宋体" w:eastAsia="宋体" w:hAnsi="宋体" w:cs="宋体"/>
          <w:spacing w:val="16"/>
          <w:sz w:val="16"/>
          <w:szCs w:val="16"/>
        </w:rPr>
        <w:t xml:space="preserve">  </w:t>
      </w:r>
      <w:r>
        <w:rPr>
          <w:rFonts w:ascii="宋体" w:eastAsia="宋体" w:hAnsi="宋体" w:cs="宋体"/>
          <w:spacing w:val="2"/>
          <w:sz w:val="16"/>
          <w:szCs w:val="16"/>
        </w:rPr>
        <w:t>1991年美国</w:t>
      </w:r>
      <w:r>
        <w:rPr>
          <w:rFonts w:ascii="宋体" w:eastAsia="宋体" w:hAnsi="宋体" w:cs="宋体"/>
          <w:spacing w:val="-46"/>
          <w:sz w:val="16"/>
          <w:szCs w:val="16"/>
        </w:rPr>
        <w:t xml:space="preserve"> </w:t>
      </w:r>
      <w:r>
        <w:rPr>
          <w:rFonts w:ascii="Times New Roman" w:eastAsia="Times New Roman" w:hAnsi="Times New Roman" w:cs="Times New Roman"/>
          <w:sz w:val="16"/>
          <w:szCs w:val="16"/>
        </w:rPr>
        <w:t>FDA</w:t>
      </w:r>
      <w:r>
        <w:rPr>
          <w:rFonts w:ascii="Times New Roman" w:eastAsia="Times New Roman" w:hAnsi="Times New Roman" w:cs="Times New Roman"/>
          <w:spacing w:val="2"/>
          <w:sz w:val="16"/>
          <w:szCs w:val="16"/>
        </w:rPr>
        <w:t xml:space="preserve"> </w:t>
      </w:r>
      <w:r>
        <w:rPr>
          <w:rFonts w:ascii="宋体" w:eastAsia="宋体" w:hAnsi="宋体" w:cs="宋体"/>
          <w:spacing w:val="2"/>
          <w:sz w:val="16"/>
          <w:szCs w:val="16"/>
        </w:rPr>
        <w:t>定义：比同类常规食品减少50%以上脂肪的食品称为减脂</w:t>
      </w:r>
      <w:r>
        <w:rPr>
          <w:rFonts w:ascii="宋体" w:eastAsia="宋体" w:hAnsi="宋体" w:cs="宋体"/>
          <w:spacing w:val="1"/>
          <w:sz w:val="16"/>
          <w:szCs w:val="16"/>
        </w:rPr>
        <w:t>肪食品；比同类常规</w:t>
      </w:r>
    </w:p>
    <w:p w:rsidR="00EA40A3" w:rsidRDefault="00E86C16">
      <w:pPr>
        <w:spacing w:before="28" w:line="214" w:lineRule="auto"/>
        <w:rPr>
          <w:rFonts w:ascii="宋体" w:eastAsia="宋体" w:hAnsi="宋体" w:cs="宋体"/>
          <w:sz w:val="16"/>
          <w:szCs w:val="16"/>
        </w:rPr>
      </w:pPr>
      <w:r>
        <w:rPr>
          <w:rFonts w:ascii="宋体" w:eastAsia="宋体" w:hAnsi="宋体" w:cs="宋体"/>
          <w:spacing w:val="2"/>
          <w:sz w:val="16"/>
          <w:szCs w:val="16"/>
        </w:rPr>
        <w:t>食品减少1/3以上热量的食品，其他营养素相同的为减热量食品；每份含脂肪2g</w:t>
      </w:r>
      <w:r>
        <w:rPr>
          <w:rFonts w:ascii="宋体" w:eastAsia="宋体" w:hAnsi="宋体" w:cs="宋体"/>
          <w:spacing w:val="-32"/>
          <w:sz w:val="16"/>
          <w:szCs w:val="16"/>
        </w:rPr>
        <w:t xml:space="preserve"> </w:t>
      </w:r>
      <w:r>
        <w:rPr>
          <w:rFonts w:ascii="宋体" w:eastAsia="宋体" w:hAnsi="宋体" w:cs="宋体"/>
          <w:spacing w:val="2"/>
          <w:sz w:val="16"/>
          <w:szCs w:val="16"/>
        </w:rPr>
        <w:t>以下，</w:t>
      </w:r>
      <w:r>
        <w:rPr>
          <w:rFonts w:ascii="宋体" w:eastAsia="宋体" w:hAnsi="宋体" w:cs="宋体"/>
          <w:spacing w:val="1"/>
          <w:sz w:val="16"/>
          <w:szCs w:val="16"/>
        </w:rPr>
        <w:t>且按无水质量计</w:t>
      </w:r>
    </w:p>
    <w:p w:rsidR="00EA40A3" w:rsidRDefault="00E86C16">
      <w:pPr>
        <w:spacing w:before="40" w:line="237" w:lineRule="auto"/>
        <w:ind w:right="80"/>
        <w:rPr>
          <w:rFonts w:ascii="宋体" w:eastAsia="宋体" w:hAnsi="宋体" w:cs="宋体"/>
          <w:sz w:val="16"/>
          <w:szCs w:val="16"/>
        </w:rPr>
      </w:pPr>
      <w:r>
        <w:rPr>
          <w:rFonts w:ascii="宋体" w:eastAsia="宋体" w:hAnsi="宋体" w:cs="宋体"/>
          <w:spacing w:val="1"/>
          <w:sz w:val="16"/>
          <w:szCs w:val="16"/>
        </w:rPr>
        <w:t>的脂肪含量在10%以下的食品称为低脂肪食品</w:t>
      </w:r>
      <w:r>
        <w:rPr>
          <w:rFonts w:ascii="宋体" w:eastAsia="宋体" w:hAnsi="宋体" w:cs="宋体"/>
          <w:spacing w:val="-17"/>
          <w:sz w:val="16"/>
          <w:szCs w:val="16"/>
        </w:rPr>
        <w:t xml:space="preserve"> </w:t>
      </w:r>
      <w:r>
        <w:rPr>
          <w:rFonts w:ascii="宋体" w:eastAsia="宋体" w:hAnsi="宋体" w:cs="宋体"/>
          <w:spacing w:val="1"/>
          <w:sz w:val="16"/>
          <w:szCs w:val="16"/>
        </w:rPr>
        <w:t>(</w:t>
      </w:r>
      <w:r>
        <w:rPr>
          <w:rFonts w:ascii="宋体" w:eastAsia="宋体" w:hAnsi="宋体" w:cs="宋体"/>
          <w:sz w:val="16"/>
          <w:szCs w:val="16"/>
        </w:rPr>
        <w:t>low</w:t>
      </w:r>
      <w:r>
        <w:rPr>
          <w:rFonts w:ascii="宋体" w:eastAsia="宋体" w:hAnsi="宋体" w:cs="宋体"/>
          <w:spacing w:val="2"/>
          <w:sz w:val="16"/>
          <w:szCs w:val="16"/>
        </w:rPr>
        <w:t xml:space="preserve"> </w:t>
      </w:r>
      <w:r>
        <w:rPr>
          <w:rFonts w:ascii="宋体" w:eastAsia="宋体" w:hAnsi="宋体" w:cs="宋体"/>
          <w:sz w:val="16"/>
          <w:szCs w:val="16"/>
        </w:rPr>
        <w:t>fat</w:t>
      </w:r>
      <w:r>
        <w:rPr>
          <w:rFonts w:ascii="宋体" w:eastAsia="宋体" w:hAnsi="宋体" w:cs="宋体"/>
          <w:spacing w:val="2"/>
          <w:sz w:val="16"/>
          <w:szCs w:val="16"/>
        </w:rPr>
        <w:t xml:space="preserve"> </w:t>
      </w:r>
      <w:r>
        <w:rPr>
          <w:rFonts w:ascii="宋体" w:eastAsia="宋体" w:hAnsi="宋体" w:cs="宋体"/>
          <w:sz w:val="16"/>
          <w:szCs w:val="16"/>
        </w:rPr>
        <w:t>food</w:t>
      </w:r>
      <w:r>
        <w:rPr>
          <w:rFonts w:ascii="宋体" w:eastAsia="宋体" w:hAnsi="宋体" w:cs="宋体"/>
          <w:spacing w:val="1"/>
          <w:sz w:val="16"/>
          <w:szCs w:val="16"/>
        </w:rPr>
        <w:t>);</w:t>
      </w:r>
      <w:r>
        <w:rPr>
          <w:rFonts w:ascii="宋体" w:eastAsia="宋体" w:hAnsi="宋体" w:cs="宋体"/>
          <w:spacing w:val="-41"/>
          <w:sz w:val="16"/>
          <w:szCs w:val="16"/>
        </w:rPr>
        <w:t xml:space="preserve"> </w:t>
      </w:r>
      <w:r>
        <w:rPr>
          <w:rFonts w:ascii="宋体" w:eastAsia="宋体" w:hAnsi="宋体" w:cs="宋体"/>
          <w:spacing w:val="1"/>
          <w:sz w:val="16"/>
          <w:szCs w:val="16"/>
        </w:rPr>
        <w:t>每克热量0.4</w:t>
      </w:r>
      <w:r>
        <w:rPr>
          <w:rFonts w:ascii="宋体" w:eastAsia="宋体" w:hAnsi="宋体" w:cs="宋体"/>
          <w:sz w:val="16"/>
          <w:szCs w:val="16"/>
        </w:rPr>
        <w:t>kcal</w:t>
      </w:r>
      <w:r>
        <w:rPr>
          <w:rFonts w:ascii="宋体" w:eastAsia="宋体" w:hAnsi="宋体" w:cs="宋体"/>
          <w:spacing w:val="1"/>
          <w:sz w:val="16"/>
          <w:szCs w:val="16"/>
        </w:rPr>
        <w:t>以</w:t>
      </w:r>
      <w:r>
        <w:rPr>
          <w:rFonts w:ascii="宋体" w:eastAsia="宋体" w:hAnsi="宋体" w:cs="宋体"/>
          <w:sz w:val="16"/>
          <w:szCs w:val="16"/>
        </w:rPr>
        <w:t xml:space="preserve">下的食品，且每份热 </w:t>
      </w:r>
      <w:r>
        <w:rPr>
          <w:rFonts w:ascii="宋体" w:eastAsia="宋体" w:hAnsi="宋体" w:cs="宋体"/>
          <w:spacing w:val="-1"/>
          <w:sz w:val="16"/>
          <w:szCs w:val="16"/>
        </w:rPr>
        <w:t>量40kcal以下的食品称为低热量食品；同</w:t>
      </w:r>
      <w:r>
        <w:rPr>
          <w:rFonts w:ascii="宋体" w:eastAsia="宋体" w:hAnsi="宋体" w:cs="宋体"/>
          <w:spacing w:val="-2"/>
          <w:sz w:val="16"/>
          <w:szCs w:val="16"/>
        </w:rPr>
        <w:t>为减食品和减热量食品的食品为</w:t>
      </w:r>
      <w:r>
        <w:rPr>
          <w:rFonts w:ascii="宋体" w:eastAsia="宋体" w:hAnsi="宋体" w:cs="宋体"/>
          <w:spacing w:val="-1"/>
          <w:sz w:val="16"/>
          <w:szCs w:val="16"/>
        </w:rPr>
        <w:t>Lite</w:t>
      </w:r>
      <w:r>
        <w:rPr>
          <w:rFonts w:ascii="宋体" w:eastAsia="宋体" w:hAnsi="宋体" w:cs="宋体"/>
          <w:spacing w:val="-2"/>
          <w:sz w:val="16"/>
          <w:szCs w:val="16"/>
        </w:rPr>
        <w:t>食品。</w:t>
      </w:r>
    </w:p>
    <w:p w:rsidR="00EA40A3" w:rsidRDefault="00E86C16">
      <w:pPr>
        <w:spacing w:before="105"/>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288</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249"/>
          <w:pgSz w:w="9220" w:h="13360"/>
          <w:pgMar w:top="400" w:right="1010" w:bottom="400" w:left="869" w:header="0" w:footer="0" w:gutter="0"/>
          <w:cols w:space="720"/>
        </w:sectPr>
      </w:pPr>
    </w:p>
    <w:p w:rsidR="00EA40A3" w:rsidRDefault="00EA40A3">
      <w:pPr>
        <w:spacing w:line="278" w:lineRule="auto"/>
      </w:pPr>
    </w:p>
    <w:p w:rsidR="00EA40A3" w:rsidRDefault="00EA40A3">
      <w:pPr>
        <w:spacing w:line="279" w:lineRule="auto"/>
      </w:pPr>
    </w:p>
    <w:p w:rsidR="00EA40A3" w:rsidRDefault="00E86C16">
      <w:pPr>
        <w:spacing w:before="68" w:line="220" w:lineRule="auto"/>
        <w:rPr>
          <w:rFonts w:ascii="宋体" w:eastAsia="宋体" w:hAnsi="宋体" w:cs="宋体"/>
        </w:rPr>
      </w:pPr>
      <w:r>
        <w:rPr>
          <w:rFonts w:ascii="宋体" w:eastAsia="宋体" w:hAnsi="宋体" w:cs="宋体"/>
          <w:spacing w:val="-2"/>
        </w:rPr>
        <w:t>低脂肪食品、减热量食品、低热量食品以</w:t>
      </w:r>
      <w:r>
        <w:rPr>
          <w:rFonts w:ascii="宋体" w:eastAsia="宋体" w:hAnsi="宋体" w:cs="宋体"/>
          <w:spacing w:val="-3"/>
        </w:rPr>
        <w:t>及</w:t>
      </w:r>
      <w:r>
        <w:rPr>
          <w:rFonts w:ascii="宋体" w:eastAsia="宋体" w:hAnsi="宋体" w:cs="宋体"/>
          <w:spacing w:val="-2"/>
        </w:rPr>
        <w:t>Lite</w:t>
      </w:r>
      <w:r>
        <w:rPr>
          <w:rFonts w:ascii="宋体" w:eastAsia="宋体" w:hAnsi="宋体" w:cs="宋体"/>
          <w:spacing w:val="-3"/>
        </w:rPr>
        <w:t>食品。</w:t>
      </w:r>
    </w:p>
    <w:p w:rsidR="00EA40A3" w:rsidRDefault="00E86C16">
      <w:pPr>
        <w:spacing w:before="59" w:line="258" w:lineRule="auto"/>
        <w:ind w:firstLine="430"/>
        <w:jc w:val="both"/>
        <w:rPr>
          <w:rFonts w:ascii="宋体" w:eastAsia="宋体" w:hAnsi="宋体" w:cs="宋体"/>
        </w:rPr>
      </w:pPr>
      <w:r>
        <w:rPr>
          <w:rFonts w:ascii="宋体" w:eastAsia="宋体" w:hAnsi="宋体" w:cs="宋体"/>
          <w:spacing w:val="-1"/>
        </w:rPr>
        <w:t>人体所摄入的脂肪能够为人体提供必需脂肪酸。但在诸如美国的发达国家，</w:t>
      </w:r>
      <w:r>
        <w:rPr>
          <w:rFonts w:ascii="宋体" w:eastAsia="宋体" w:hAnsi="宋体" w:cs="宋体"/>
          <w:spacing w:val="16"/>
        </w:rPr>
        <w:t xml:space="preserve"> </w:t>
      </w:r>
      <w:r>
        <w:rPr>
          <w:rFonts w:ascii="宋体" w:eastAsia="宋体" w:hAnsi="宋体" w:cs="宋体"/>
          <w:spacing w:val="9"/>
        </w:rPr>
        <w:t>普通居民的脂肪摄入量通常占总能量的36%～37%。因此，美国心</w:t>
      </w:r>
      <w:r>
        <w:rPr>
          <w:rFonts w:ascii="宋体" w:eastAsia="宋体" w:hAnsi="宋体" w:cs="宋体"/>
          <w:spacing w:val="8"/>
        </w:rPr>
        <w:t>脏学会发表</w:t>
      </w:r>
      <w:r>
        <w:rPr>
          <w:rFonts w:ascii="宋体" w:eastAsia="宋体" w:hAnsi="宋体" w:cs="宋体"/>
        </w:rPr>
        <w:t xml:space="preserve">  </w:t>
      </w:r>
      <w:r>
        <w:rPr>
          <w:rFonts w:ascii="宋体" w:eastAsia="宋体" w:hAnsi="宋体" w:cs="宋体"/>
          <w:spacing w:val="6"/>
        </w:rPr>
        <w:t>的饮食指南建议，将脂肪占总摄入热量比例限制在30%以下，其中饱和脂肪酸</w:t>
      </w:r>
      <w:r>
        <w:rPr>
          <w:rFonts w:ascii="宋体" w:eastAsia="宋体" w:hAnsi="宋体" w:cs="宋体"/>
          <w:spacing w:val="1"/>
        </w:rPr>
        <w:t xml:space="preserve">  </w:t>
      </w:r>
      <w:r>
        <w:rPr>
          <w:rFonts w:ascii="宋体" w:eastAsia="宋体" w:hAnsi="宋体" w:cs="宋体"/>
          <w:spacing w:val="6"/>
        </w:rPr>
        <w:t>和顺式脂肪酸占总摄入热量比例不得超过10%。据统计，1995年美国低</w:t>
      </w:r>
      <w:r>
        <w:rPr>
          <w:rFonts w:ascii="宋体" w:eastAsia="宋体" w:hAnsi="宋体" w:cs="宋体"/>
          <w:spacing w:val="5"/>
        </w:rPr>
        <w:t>脂、低</w:t>
      </w:r>
      <w:r>
        <w:rPr>
          <w:rFonts w:ascii="宋体" w:eastAsia="宋体" w:hAnsi="宋体" w:cs="宋体"/>
        </w:rPr>
        <w:t xml:space="preserve">  </w:t>
      </w:r>
      <w:r>
        <w:rPr>
          <w:rFonts w:ascii="宋体" w:eastAsia="宋体" w:hAnsi="宋体" w:cs="宋体"/>
          <w:spacing w:val="5"/>
        </w:rPr>
        <w:t>胆固醇食品销售额近180亿美元，2000年迅速增至400亿美元，目前至少有1.5</w:t>
      </w:r>
      <w:r>
        <w:rPr>
          <w:rFonts w:ascii="宋体" w:eastAsia="宋体" w:hAnsi="宋体" w:cs="宋体"/>
          <w:spacing w:val="8"/>
        </w:rPr>
        <w:t xml:space="preserve">  </w:t>
      </w:r>
      <w:r>
        <w:rPr>
          <w:rFonts w:ascii="宋体" w:eastAsia="宋体" w:hAnsi="宋体" w:cs="宋体"/>
          <w:spacing w:val="-3"/>
        </w:rPr>
        <w:t>亿人食用低脂食品。同样，在我国，近年的调查研究表明，居民尤其是城市居民</w:t>
      </w:r>
      <w:r>
        <w:rPr>
          <w:rFonts w:ascii="宋体" w:eastAsia="宋体" w:hAnsi="宋体" w:cs="宋体"/>
          <w:spacing w:val="2"/>
        </w:rPr>
        <w:t xml:space="preserve">  </w:t>
      </w:r>
      <w:r>
        <w:rPr>
          <w:rFonts w:ascii="宋体" w:eastAsia="宋体" w:hAnsi="宋体" w:cs="宋体"/>
          <w:spacing w:val="-3"/>
        </w:rPr>
        <w:t>脂肪的摄入量整体呈上升趋势。为了预防或控制脂肪过量摄入可能导致的营养性</w:t>
      </w:r>
      <w:r>
        <w:rPr>
          <w:rFonts w:ascii="宋体" w:eastAsia="宋体" w:hAnsi="宋体" w:cs="宋体"/>
          <w:spacing w:val="1"/>
        </w:rPr>
        <w:t xml:space="preserve">  </w:t>
      </w:r>
      <w:r>
        <w:rPr>
          <w:rFonts w:ascii="宋体" w:eastAsia="宋体" w:hAnsi="宋体" w:cs="宋体"/>
          <w:spacing w:val="-4"/>
        </w:rPr>
        <w:t>疾病，低脂、低热食品开始被推荐给相关人群。</w:t>
      </w:r>
    </w:p>
    <w:p w:rsidR="00EA40A3" w:rsidRDefault="00E86C16">
      <w:pPr>
        <w:spacing w:before="96" w:line="261" w:lineRule="auto"/>
        <w:ind w:right="67" w:firstLine="430"/>
        <w:jc w:val="both"/>
        <w:rPr>
          <w:rFonts w:ascii="宋体" w:eastAsia="宋体" w:hAnsi="宋体" w:cs="宋体"/>
        </w:rPr>
      </w:pPr>
      <w:r>
        <w:rPr>
          <w:rFonts w:ascii="宋体" w:eastAsia="宋体" w:hAnsi="宋体" w:cs="宋体"/>
          <w:spacing w:val="-3"/>
        </w:rPr>
        <w:t>需要说明的是，各种低脂、低热食品的选择或摄入应针对适宜的人群。要考</w:t>
      </w:r>
      <w:r>
        <w:rPr>
          <w:rFonts w:ascii="宋体" w:eastAsia="宋体" w:hAnsi="宋体" w:cs="宋体"/>
          <w:spacing w:val="6"/>
        </w:rPr>
        <w:t xml:space="preserve"> </w:t>
      </w:r>
      <w:r>
        <w:rPr>
          <w:rFonts w:ascii="宋体" w:eastAsia="宋体" w:hAnsi="宋体" w:cs="宋体"/>
          <w:spacing w:val="-3"/>
        </w:rPr>
        <w:t>虑各年龄段人群机体对脂肪有不同营养需求。通常来讲，对于如需控制体重或减</w:t>
      </w:r>
      <w:r>
        <w:rPr>
          <w:rFonts w:ascii="宋体" w:eastAsia="宋体" w:hAnsi="宋体" w:cs="宋体"/>
          <w:spacing w:val="4"/>
        </w:rPr>
        <w:t xml:space="preserve"> </w:t>
      </w:r>
      <w:r>
        <w:rPr>
          <w:rFonts w:ascii="宋体" w:eastAsia="宋体" w:hAnsi="宋体" w:cs="宋体"/>
          <w:spacing w:val="6"/>
        </w:rPr>
        <w:t>肥的人、需降低血脂或预防血脂升高的人(包括成人、青少年、儿童等),所摄</w:t>
      </w:r>
      <w:r>
        <w:rPr>
          <w:rFonts w:ascii="宋体" w:eastAsia="宋体" w:hAnsi="宋体" w:cs="宋体"/>
          <w:spacing w:val="3"/>
        </w:rPr>
        <w:t xml:space="preserve"> </w:t>
      </w:r>
      <w:r>
        <w:rPr>
          <w:rFonts w:ascii="宋体" w:eastAsia="宋体" w:hAnsi="宋体" w:cs="宋体"/>
          <w:spacing w:val="-3"/>
        </w:rPr>
        <w:t>入的低脂低热食品通常要兼顾两方面特性，即脂肪含量和热量值都低的食品，也</w:t>
      </w:r>
      <w:r>
        <w:rPr>
          <w:rFonts w:ascii="宋体" w:eastAsia="宋体" w:hAnsi="宋体" w:cs="宋体"/>
          <w:spacing w:val="6"/>
        </w:rPr>
        <w:t xml:space="preserve"> </w:t>
      </w:r>
      <w:r>
        <w:rPr>
          <w:rFonts w:ascii="宋体" w:eastAsia="宋体" w:hAnsi="宋体" w:cs="宋体"/>
          <w:spacing w:val="4"/>
        </w:rPr>
        <w:t>就是常说的</w:t>
      </w:r>
      <w:r>
        <w:rPr>
          <w:rFonts w:ascii="宋体" w:eastAsia="宋体" w:hAnsi="宋体" w:cs="宋体"/>
        </w:rPr>
        <w:t>Lite</w:t>
      </w:r>
      <w:r>
        <w:rPr>
          <w:rFonts w:ascii="宋体" w:eastAsia="宋体" w:hAnsi="宋体" w:cs="宋体"/>
          <w:spacing w:val="4"/>
        </w:rPr>
        <w:t>食品。仅仅脂肪含量低，而其他供能营养素如碳水化合物含量</w:t>
      </w:r>
      <w:r>
        <w:rPr>
          <w:rFonts w:ascii="宋体" w:eastAsia="宋体" w:hAnsi="宋体" w:cs="宋体"/>
        </w:rPr>
        <w:t xml:space="preserve"> </w:t>
      </w:r>
      <w:r>
        <w:rPr>
          <w:rFonts w:ascii="宋体" w:eastAsia="宋体" w:hAnsi="宋体" w:cs="宋体"/>
          <w:spacing w:val="-3"/>
        </w:rPr>
        <w:t>高从而导致食品的总能值仍旧维持在较高水平的食品并不适于该类人群。研究证</w:t>
      </w:r>
      <w:r>
        <w:rPr>
          <w:rFonts w:ascii="宋体" w:eastAsia="宋体" w:hAnsi="宋体" w:cs="宋体"/>
          <w:spacing w:val="2"/>
        </w:rPr>
        <w:t xml:space="preserve"> </w:t>
      </w:r>
      <w:r>
        <w:rPr>
          <w:rFonts w:ascii="宋体" w:eastAsia="宋体" w:hAnsi="宋体" w:cs="宋体"/>
          <w:spacing w:val="-3"/>
        </w:rPr>
        <w:t>实：期望食用降脂食品或根本不含脂肪的食品以达到减肥的目的是不现实的。如</w:t>
      </w:r>
      <w:r>
        <w:rPr>
          <w:rFonts w:ascii="宋体" w:eastAsia="宋体" w:hAnsi="宋体" w:cs="宋体"/>
          <w:spacing w:val="9"/>
        </w:rPr>
        <w:t xml:space="preserve"> </w:t>
      </w:r>
      <w:r>
        <w:rPr>
          <w:rFonts w:ascii="宋体" w:eastAsia="宋体" w:hAnsi="宋体" w:cs="宋体"/>
          <w:spacing w:val="-7"/>
        </w:rPr>
        <w:t>作为预防性质的摄入，</w:t>
      </w:r>
      <w:r>
        <w:rPr>
          <w:rFonts w:ascii="宋体" w:eastAsia="宋体" w:hAnsi="宋体" w:cs="宋体"/>
          <w:spacing w:val="66"/>
        </w:rPr>
        <w:t xml:space="preserve"> </w:t>
      </w:r>
      <w:r>
        <w:rPr>
          <w:rFonts w:ascii="宋体" w:eastAsia="宋体" w:hAnsi="宋体" w:cs="宋体"/>
          <w:spacing w:val="-7"/>
        </w:rPr>
        <w:t>一般建议向正常成人推荐低脂低热食品；而对于正常青少</w:t>
      </w:r>
      <w:r>
        <w:rPr>
          <w:rFonts w:ascii="宋体" w:eastAsia="宋体" w:hAnsi="宋体" w:cs="宋体"/>
        </w:rPr>
        <w:t xml:space="preserve"> </w:t>
      </w:r>
      <w:r>
        <w:rPr>
          <w:rFonts w:ascii="宋体" w:eastAsia="宋体" w:hAnsi="宋体" w:cs="宋体"/>
          <w:spacing w:val="-2"/>
        </w:rPr>
        <w:t>年、儿童及婴儿等，由于其生长发育特点，这些人群</w:t>
      </w:r>
      <w:r>
        <w:rPr>
          <w:rFonts w:ascii="宋体" w:eastAsia="宋体" w:hAnsi="宋体" w:cs="宋体"/>
          <w:spacing w:val="-3"/>
        </w:rPr>
        <w:t>对膳食脂肪的需要量相对较</w:t>
      </w:r>
      <w:r>
        <w:rPr>
          <w:rFonts w:ascii="宋体" w:eastAsia="宋体" w:hAnsi="宋体" w:cs="宋体"/>
        </w:rPr>
        <w:t xml:space="preserve"> 高，因而低脂低热食品的适用性尚存在争议；特别是婴儿，研究发现，给7～22</w:t>
      </w:r>
      <w:r>
        <w:rPr>
          <w:rFonts w:ascii="宋体" w:eastAsia="宋体" w:hAnsi="宋体" w:cs="宋体"/>
          <w:spacing w:val="6"/>
        </w:rPr>
        <w:t xml:space="preserve"> </w:t>
      </w:r>
      <w:r>
        <w:rPr>
          <w:rFonts w:ascii="宋体" w:eastAsia="宋体" w:hAnsi="宋体" w:cs="宋体"/>
          <w:spacing w:val="-3"/>
        </w:rPr>
        <w:t>个月的婴儿喂以低脂食品可能出现所谓“非正常生长综合征”。选择低脂低热食</w:t>
      </w:r>
      <w:r>
        <w:rPr>
          <w:rFonts w:ascii="宋体" w:eastAsia="宋体" w:hAnsi="宋体" w:cs="宋体"/>
          <w:spacing w:val="3"/>
        </w:rPr>
        <w:t xml:space="preserve"> </w:t>
      </w:r>
      <w:r>
        <w:rPr>
          <w:rFonts w:ascii="宋体" w:eastAsia="宋体" w:hAnsi="宋体" w:cs="宋体"/>
          <w:spacing w:val="-2"/>
        </w:rPr>
        <w:t>品的人群还包括一些有特殊食品嗜好的人群，如素</w:t>
      </w:r>
      <w:r>
        <w:rPr>
          <w:rFonts w:ascii="宋体" w:eastAsia="宋体" w:hAnsi="宋体" w:cs="宋体"/>
          <w:spacing w:val="-3"/>
        </w:rPr>
        <w:t>食者。但如果该类人群处于特</w:t>
      </w:r>
      <w:r>
        <w:rPr>
          <w:rFonts w:ascii="宋体" w:eastAsia="宋体" w:hAnsi="宋体" w:cs="宋体"/>
        </w:rPr>
        <w:t xml:space="preserve"> </w:t>
      </w:r>
      <w:r>
        <w:rPr>
          <w:rFonts w:ascii="宋体" w:eastAsia="宋体" w:hAnsi="宋体" w:cs="宋体"/>
          <w:spacing w:val="-3"/>
        </w:rPr>
        <w:t>殊生理时期，如女性妊娠时，需要考虑该阶段人体的具体生理及营养特点，防止</w:t>
      </w:r>
      <w:r>
        <w:rPr>
          <w:rFonts w:ascii="宋体" w:eastAsia="宋体" w:hAnsi="宋体" w:cs="宋体"/>
          <w:spacing w:val="3"/>
        </w:rPr>
        <w:t xml:space="preserve"> </w:t>
      </w:r>
      <w:r>
        <w:rPr>
          <w:rFonts w:ascii="宋体" w:eastAsia="宋体" w:hAnsi="宋体" w:cs="宋体"/>
          <w:spacing w:val="-5"/>
        </w:rPr>
        <w:t>低脂低热食品导致的总热量摄入不足的问题。</w:t>
      </w:r>
    </w:p>
    <w:p w:rsidR="00EA40A3" w:rsidRDefault="00E86C16">
      <w:pPr>
        <w:spacing w:before="141" w:line="256" w:lineRule="auto"/>
        <w:ind w:right="83" w:firstLine="430"/>
        <w:jc w:val="both"/>
        <w:rPr>
          <w:rFonts w:ascii="宋体" w:eastAsia="宋体" w:hAnsi="宋体" w:cs="宋体"/>
        </w:rPr>
      </w:pPr>
      <w:r>
        <w:rPr>
          <w:rFonts w:ascii="宋体" w:eastAsia="宋体" w:hAnsi="宋体" w:cs="宋体"/>
          <w:spacing w:val="-3"/>
        </w:rPr>
        <w:t>此外，要避免低脂食品摄入可能引起的人体有关营养素的缺乏。在低脂食品</w:t>
      </w:r>
      <w:r>
        <w:rPr>
          <w:rFonts w:ascii="宋体" w:eastAsia="宋体" w:hAnsi="宋体" w:cs="宋体"/>
        </w:rPr>
        <w:t xml:space="preserve"> </w:t>
      </w:r>
      <w:r>
        <w:rPr>
          <w:rFonts w:ascii="宋体" w:eastAsia="宋体" w:hAnsi="宋体" w:cs="宋体"/>
          <w:spacing w:val="1"/>
        </w:rPr>
        <w:t>中采用脂肪替代物之后，人体是否摄入足够诸如n-3和</w:t>
      </w:r>
      <w:r>
        <w:rPr>
          <w:rFonts w:ascii="宋体" w:eastAsia="宋体" w:hAnsi="宋体" w:cs="宋体"/>
          <w:spacing w:val="-33"/>
        </w:rPr>
        <w:t xml:space="preserve"> </w:t>
      </w:r>
      <w:r>
        <w:rPr>
          <w:rFonts w:ascii="宋体" w:eastAsia="宋体" w:hAnsi="宋体" w:cs="宋体"/>
          <w:spacing w:val="1"/>
        </w:rPr>
        <w:t>n-6有益于人体健康的脂</w:t>
      </w:r>
      <w:r>
        <w:rPr>
          <w:rFonts w:ascii="宋体" w:eastAsia="宋体" w:hAnsi="宋体" w:cs="宋体"/>
        </w:rPr>
        <w:t xml:space="preserve"> 肪酸也成为问题。同时，需考虑脂肪替代物使用可能导致</w:t>
      </w:r>
      <w:r>
        <w:rPr>
          <w:rFonts w:ascii="宋体" w:eastAsia="宋体" w:hAnsi="宋体" w:cs="宋体"/>
          <w:spacing w:val="-1"/>
        </w:rPr>
        <w:t>的食品中脂溶性(例如</w:t>
      </w:r>
      <w:r>
        <w:rPr>
          <w:rFonts w:ascii="宋体" w:eastAsia="宋体" w:hAnsi="宋体" w:cs="宋体"/>
        </w:rPr>
        <w:t xml:space="preserve"> </w:t>
      </w:r>
      <w:r>
        <w:rPr>
          <w:rFonts w:ascii="宋体" w:eastAsia="宋体" w:hAnsi="宋体" w:cs="宋体"/>
          <w:spacing w:val="1"/>
        </w:rPr>
        <w:t>胡萝卜素)和脂溶性维生素A、D、E、K</w:t>
      </w:r>
      <w:r>
        <w:rPr>
          <w:rFonts w:ascii="宋体" w:eastAsia="宋体" w:hAnsi="宋体" w:cs="宋体"/>
          <w:spacing w:val="19"/>
        </w:rPr>
        <w:t xml:space="preserve">  </w:t>
      </w:r>
      <w:r>
        <w:rPr>
          <w:rFonts w:ascii="宋体" w:eastAsia="宋体" w:hAnsi="宋体" w:cs="宋体"/>
          <w:spacing w:val="1"/>
        </w:rPr>
        <w:t>的吸收减少。如研究发现</w:t>
      </w:r>
      <w:r>
        <w:rPr>
          <w:rFonts w:ascii="宋体" w:eastAsia="宋体" w:hAnsi="宋体" w:cs="宋体"/>
          <w:spacing w:val="-59"/>
        </w:rPr>
        <w:t xml:space="preserve"> </w:t>
      </w:r>
      <w:r>
        <w:rPr>
          <w:rFonts w:ascii="宋体" w:eastAsia="宋体" w:hAnsi="宋体" w:cs="宋体"/>
        </w:rPr>
        <w:t>Olestra</w:t>
      </w:r>
      <w:r>
        <w:rPr>
          <w:rFonts w:ascii="宋体" w:eastAsia="宋体" w:hAnsi="宋体" w:cs="宋体"/>
          <w:spacing w:val="1"/>
        </w:rPr>
        <w:t>与药</w:t>
      </w:r>
      <w:r>
        <w:rPr>
          <w:rFonts w:ascii="宋体" w:eastAsia="宋体" w:hAnsi="宋体" w:cs="宋体"/>
        </w:rPr>
        <w:t xml:space="preserve"> </w:t>
      </w:r>
      <w:r>
        <w:rPr>
          <w:rFonts w:ascii="宋体" w:eastAsia="宋体" w:hAnsi="宋体" w:cs="宋体"/>
          <w:spacing w:val="-3"/>
        </w:rPr>
        <w:t>物、食品成分之间存在的这种潜在交互作用可能影响肠胃系统中脂溶性营养的运</w:t>
      </w:r>
      <w:r>
        <w:rPr>
          <w:rFonts w:ascii="宋体" w:eastAsia="宋体" w:hAnsi="宋体" w:cs="宋体"/>
          <w:spacing w:val="2"/>
        </w:rPr>
        <w:t xml:space="preserve"> </w:t>
      </w:r>
      <w:r>
        <w:rPr>
          <w:rFonts w:ascii="宋体" w:eastAsia="宋体" w:hAnsi="宋体" w:cs="宋体"/>
          <w:spacing w:val="-4"/>
        </w:rPr>
        <w:t>动和吸收率。因此，生产商必须在含有此类产品的食品中强化这些维生素。</w:t>
      </w:r>
    </w:p>
    <w:p w:rsidR="00EA40A3" w:rsidRDefault="00E86C16">
      <w:pPr>
        <w:spacing w:before="179" w:line="222" w:lineRule="auto"/>
        <w:ind w:left="3"/>
        <w:outlineLvl w:val="6"/>
        <w:rPr>
          <w:rFonts w:ascii="黑体" w:eastAsia="黑体" w:hAnsi="黑体" w:cs="黑体"/>
          <w:sz w:val="26"/>
          <w:szCs w:val="26"/>
        </w:rPr>
      </w:pPr>
      <w:r>
        <w:rPr>
          <w:rFonts w:ascii="黑体" w:eastAsia="黑体" w:hAnsi="黑体" w:cs="黑体"/>
          <w:b/>
          <w:bCs/>
          <w:spacing w:val="-16"/>
          <w:sz w:val="26"/>
          <w:szCs w:val="26"/>
        </w:rPr>
        <w:t>9.2.2</w:t>
      </w:r>
      <w:r>
        <w:rPr>
          <w:rFonts w:ascii="黑体" w:eastAsia="黑体" w:hAnsi="黑体" w:cs="黑体"/>
          <w:spacing w:val="104"/>
          <w:sz w:val="26"/>
          <w:szCs w:val="26"/>
        </w:rPr>
        <w:t xml:space="preserve"> </w:t>
      </w:r>
      <w:r>
        <w:rPr>
          <w:rFonts w:ascii="黑体" w:eastAsia="黑体" w:hAnsi="黑体" w:cs="黑体"/>
          <w:b/>
          <w:bCs/>
          <w:spacing w:val="-16"/>
          <w:sz w:val="26"/>
          <w:szCs w:val="26"/>
        </w:rPr>
        <w:t>脂肪替代品</w:t>
      </w:r>
    </w:p>
    <w:p w:rsidR="00EA40A3" w:rsidRDefault="00E86C16">
      <w:pPr>
        <w:spacing w:before="198" w:line="262" w:lineRule="auto"/>
        <w:ind w:right="74" w:firstLine="430"/>
        <w:jc w:val="both"/>
        <w:rPr>
          <w:rFonts w:ascii="宋体" w:eastAsia="宋体" w:hAnsi="宋体" w:cs="宋体"/>
        </w:rPr>
      </w:pPr>
      <w:r>
        <w:rPr>
          <w:rFonts w:ascii="宋体" w:eastAsia="宋体" w:hAnsi="宋体" w:cs="宋体"/>
          <w:spacing w:val="-3"/>
        </w:rPr>
        <w:t>脂肪在赋予食品营养价值的同时，影响着食品的</w:t>
      </w:r>
      <w:r>
        <w:rPr>
          <w:rFonts w:ascii="宋体" w:eastAsia="宋体" w:hAnsi="宋体" w:cs="宋体"/>
          <w:spacing w:val="-4"/>
        </w:rPr>
        <w:t>品质和风味。如脂肪可掩盖</w:t>
      </w:r>
      <w:r>
        <w:rPr>
          <w:rFonts w:ascii="宋体" w:eastAsia="宋体" w:hAnsi="宋体" w:cs="宋体"/>
        </w:rPr>
        <w:t xml:space="preserve"> </w:t>
      </w:r>
      <w:r>
        <w:rPr>
          <w:rFonts w:ascii="宋体" w:eastAsia="宋体" w:hAnsi="宋体" w:cs="宋体"/>
          <w:spacing w:val="4"/>
        </w:rPr>
        <w:t>食品中的某些异味；脂肪具有乳化效果；脂肪能够充当很多风味</w:t>
      </w:r>
      <w:r>
        <w:rPr>
          <w:rFonts w:ascii="宋体" w:eastAsia="宋体" w:hAnsi="宋体" w:cs="宋体"/>
          <w:spacing w:val="3"/>
        </w:rPr>
        <w:t>物质如：脂肪</w:t>
      </w:r>
      <w:r>
        <w:rPr>
          <w:rFonts w:ascii="宋体" w:eastAsia="宋体" w:hAnsi="宋体" w:cs="宋体"/>
        </w:rPr>
        <w:t xml:space="preserve"> </w:t>
      </w:r>
      <w:r>
        <w:rPr>
          <w:rFonts w:ascii="宋体" w:eastAsia="宋体" w:hAnsi="宋体" w:cs="宋体"/>
          <w:spacing w:val="-3"/>
        </w:rPr>
        <w:t>酸、脂肪酸酯、内酯、羟基化合物等的载体，在缓慢释放过程中赋予食品愉快的</w:t>
      </w:r>
      <w:r>
        <w:rPr>
          <w:rFonts w:ascii="宋体" w:eastAsia="宋体" w:hAnsi="宋体" w:cs="宋体"/>
          <w:spacing w:val="10"/>
        </w:rPr>
        <w:t xml:space="preserve"> </w:t>
      </w:r>
      <w:r>
        <w:rPr>
          <w:rFonts w:ascii="宋体" w:eastAsia="宋体" w:hAnsi="宋体" w:cs="宋体"/>
          <w:spacing w:val="3"/>
        </w:rPr>
        <w:t>后味。而低脂食品可能因为脂肪含量的降低导致</w:t>
      </w:r>
      <w:r>
        <w:rPr>
          <w:rFonts w:ascii="宋体" w:eastAsia="宋体" w:hAnsi="宋体" w:cs="宋体"/>
          <w:spacing w:val="2"/>
        </w:rPr>
        <w:t>食品失去原有的感官性质及风</w:t>
      </w:r>
      <w:r>
        <w:rPr>
          <w:rFonts w:ascii="宋体" w:eastAsia="宋体" w:hAnsi="宋体" w:cs="宋体"/>
        </w:rPr>
        <w:t xml:space="preserve"> </w:t>
      </w:r>
      <w:r>
        <w:rPr>
          <w:rFonts w:ascii="宋体" w:eastAsia="宋体" w:hAnsi="宋体" w:cs="宋体"/>
          <w:spacing w:val="-3"/>
        </w:rPr>
        <w:t>味。根据不同食品体系的特点，选用合适的脂肪替代品，并运用蛋白质、碳水化</w:t>
      </w:r>
    </w:p>
    <w:p w:rsidR="00EA40A3" w:rsidRDefault="00E86C16">
      <w:pPr>
        <w:spacing w:before="67"/>
        <w:ind w:right="91"/>
        <w:jc w:val="right"/>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289</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pgSz w:w="9220" w:h="13360"/>
          <w:pgMar w:top="400" w:right="1005" w:bottom="400" w:left="869" w:header="0" w:footer="0" w:gutter="0"/>
          <w:cols w:space="720"/>
        </w:sectPr>
      </w:pPr>
    </w:p>
    <w:p w:rsidR="00EA40A3" w:rsidRDefault="00EA40A3">
      <w:pPr>
        <w:spacing w:line="278" w:lineRule="auto"/>
      </w:pPr>
    </w:p>
    <w:p w:rsidR="00EA40A3" w:rsidRDefault="00EA40A3">
      <w:pPr>
        <w:spacing w:line="278" w:lineRule="auto"/>
      </w:pPr>
    </w:p>
    <w:p w:rsidR="00EA40A3" w:rsidRDefault="00E86C16">
      <w:pPr>
        <w:spacing w:before="68" w:line="246" w:lineRule="auto"/>
        <w:ind w:left="89" w:right="92"/>
        <w:rPr>
          <w:rFonts w:ascii="宋体" w:eastAsia="宋体" w:hAnsi="宋体" w:cs="宋体"/>
        </w:rPr>
      </w:pPr>
      <w:r>
        <w:rPr>
          <w:rFonts w:ascii="宋体" w:eastAsia="宋体" w:hAnsi="宋体" w:cs="宋体"/>
          <w:spacing w:val="-3"/>
        </w:rPr>
        <w:t>合物、乳化剂、稳定剂以及其他食品添加剂组合，生产出与传统全脂产品</w:t>
      </w:r>
      <w:r>
        <w:rPr>
          <w:rFonts w:ascii="宋体" w:eastAsia="宋体" w:hAnsi="宋体" w:cs="宋体"/>
          <w:spacing w:val="-4"/>
        </w:rPr>
        <w:t>口味尽</w:t>
      </w:r>
      <w:r>
        <w:rPr>
          <w:rFonts w:ascii="宋体" w:eastAsia="宋体" w:hAnsi="宋体" w:cs="宋体"/>
        </w:rPr>
        <w:t xml:space="preserve"> </w:t>
      </w:r>
      <w:r>
        <w:rPr>
          <w:rFonts w:ascii="宋体" w:eastAsia="宋体" w:hAnsi="宋体" w:cs="宋体"/>
          <w:spacing w:val="-5"/>
        </w:rPr>
        <w:t>量一致的低脂产品，是目前解决问题的有效手段。</w:t>
      </w:r>
    </w:p>
    <w:p w:rsidR="00EA40A3" w:rsidRDefault="00E86C16">
      <w:pPr>
        <w:spacing w:before="180" w:line="219" w:lineRule="auto"/>
        <w:ind w:left="89"/>
        <w:rPr>
          <w:rFonts w:ascii="宋体" w:eastAsia="宋体" w:hAnsi="宋体" w:cs="宋体"/>
        </w:rPr>
      </w:pPr>
      <w:r>
        <w:rPr>
          <w:rFonts w:ascii="宋体" w:eastAsia="宋体" w:hAnsi="宋体" w:cs="宋体"/>
          <w:spacing w:val="15"/>
        </w:rPr>
        <w:t>1.</w:t>
      </w:r>
      <w:r>
        <w:rPr>
          <w:rFonts w:ascii="宋体" w:eastAsia="宋体" w:hAnsi="宋体" w:cs="宋体"/>
          <w:spacing w:val="-7"/>
        </w:rPr>
        <w:t xml:space="preserve"> </w:t>
      </w:r>
      <w:r>
        <w:rPr>
          <w:rFonts w:ascii="宋体" w:eastAsia="宋体" w:hAnsi="宋体" w:cs="宋体"/>
          <w:spacing w:val="15"/>
        </w:rPr>
        <w:t>脂肪替代品的分类</w:t>
      </w:r>
    </w:p>
    <w:p w:rsidR="00EA40A3" w:rsidRDefault="00E86C16">
      <w:pPr>
        <w:spacing w:before="140" w:line="259" w:lineRule="auto"/>
        <w:ind w:left="89" w:right="21" w:firstLine="479"/>
        <w:rPr>
          <w:rFonts w:ascii="宋体" w:eastAsia="宋体" w:hAnsi="宋体" w:cs="宋体"/>
        </w:rPr>
      </w:pPr>
      <w:r>
        <w:rPr>
          <w:rFonts w:ascii="宋体" w:eastAsia="宋体" w:hAnsi="宋体" w:cs="宋体"/>
          <w:spacing w:val="-10"/>
        </w:rPr>
        <w:t>根据所采用的原料，</w:t>
      </w:r>
      <w:r>
        <w:rPr>
          <w:rFonts w:ascii="宋体" w:eastAsia="宋体" w:hAnsi="宋体" w:cs="宋体"/>
          <w:spacing w:val="90"/>
        </w:rPr>
        <w:t xml:space="preserve"> </w:t>
      </w:r>
      <w:r>
        <w:rPr>
          <w:rFonts w:ascii="宋体" w:eastAsia="宋体" w:hAnsi="宋体" w:cs="宋体"/>
          <w:spacing w:val="-10"/>
        </w:rPr>
        <w:t>“油脂替代品”大致可以分为油脂代替品</w:t>
      </w:r>
      <w:r>
        <w:rPr>
          <w:rFonts w:ascii="宋体" w:eastAsia="宋体" w:hAnsi="宋体" w:cs="宋体"/>
          <w:spacing w:val="-16"/>
        </w:rPr>
        <w:t xml:space="preserve"> </w:t>
      </w:r>
      <w:r>
        <w:rPr>
          <w:rFonts w:ascii="宋体" w:eastAsia="宋体" w:hAnsi="宋体" w:cs="宋体"/>
          <w:spacing w:val="-10"/>
        </w:rPr>
        <w:t>(oil</w:t>
      </w:r>
      <w:r>
        <w:rPr>
          <w:rFonts w:ascii="宋体" w:eastAsia="宋体" w:hAnsi="宋体" w:cs="宋体"/>
          <w:spacing w:val="-7"/>
        </w:rPr>
        <w:t xml:space="preserve"> </w:t>
      </w:r>
      <w:r>
        <w:rPr>
          <w:rFonts w:ascii="宋体" w:eastAsia="宋体" w:hAnsi="宋体" w:cs="宋体"/>
          <w:spacing w:val="-10"/>
        </w:rPr>
        <w:t>and</w:t>
      </w:r>
      <w:r>
        <w:rPr>
          <w:rFonts w:ascii="宋体" w:eastAsia="宋体" w:hAnsi="宋体" w:cs="宋体"/>
          <w:spacing w:val="-5"/>
        </w:rPr>
        <w:t xml:space="preserve"> </w:t>
      </w:r>
      <w:r>
        <w:rPr>
          <w:rFonts w:ascii="宋体" w:eastAsia="宋体" w:hAnsi="宋体" w:cs="宋体"/>
          <w:spacing w:val="-10"/>
        </w:rPr>
        <w:t>fat</w:t>
      </w:r>
      <w:r>
        <w:rPr>
          <w:rFonts w:ascii="宋体" w:eastAsia="宋体" w:hAnsi="宋体" w:cs="宋体"/>
        </w:rPr>
        <w:t xml:space="preserve"> </w:t>
      </w:r>
      <w:r>
        <w:rPr>
          <w:rFonts w:ascii="宋体" w:eastAsia="宋体" w:hAnsi="宋体" w:cs="宋体"/>
          <w:spacing w:val="-9"/>
        </w:rPr>
        <w:t>substitute</w:t>
      </w:r>
      <w:r>
        <w:rPr>
          <w:rFonts w:ascii="宋体" w:eastAsia="宋体" w:hAnsi="宋体" w:cs="宋体"/>
          <w:spacing w:val="-10"/>
        </w:rPr>
        <w:t>)</w:t>
      </w:r>
      <w:r>
        <w:rPr>
          <w:rFonts w:ascii="宋体" w:eastAsia="宋体" w:hAnsi="宋体" w:cs="宋体"/>
          <w:spacing w:val="-36"/>
        </w:rPr>
        <w:t xml:space="preserve"> </w:t>
      </w:r>
      <w:r>
        <w:rPr>
          <w:rFonts w:ascii="宋体" w:eastAsia="宋体" w:hAnsi="宋体" w:cs="宋体"/>
          <w:spacing w:val="-10"/>
        </w:rPr>
        <w:t>和油脂模拟品</w:t>
      </w:r>
      <w:r>
        <w:rPr>
          <w:rFonts w:ascii="宋体" w:eastAsia="宋体" w:hAnsi="宋体" w:cs="宋体"/>
          <w:spacing w:val="-27"/>
        </w:rPr>
        <w:t xml:space="preserve"> </w:t>
      </w:r>
      <w:r>
        <w:rPr>
          <w:rFonts w:ascii="宋体" w:eastAsia="宋体" w:hAnsi="宋体" w:cs="宋体"/>
          <w:spacing w:val="-10"/>
        </w:rPr>
        <w:t>(</w:t>
      </w:r>
      <w:r>
        <w:rPr>
          <w:rFonts w:ascii="宋体" w:eastAsia="宋体" w:hAnsi="宋体" w:cs="宋体"/>
          <w:spacing w:val="-9"/>
        </w:rPr>
        <w:t>oil</w:t>
      </w:r>
      <w:r>
        <w:rPr>
          <w:rFonts w:ascii="宋体" w:eastAsia="宋体" w:hAnsi="宋体" w:cs="宋体"/>
          <w:spacing w:val="-3"/>
        </w:rPr>
        <w:t xml:space="preserve"> </w:t>
      </w:r>
      <w:r>
        <w:rPr>
          <w:rFonts w:ascii="宋体" w:eastAsia="宋体" w:hAnsi="宋体" w:cs="宋体"/>
          <w:spacing w:val="-9"/>
        </w:rPr>
        <w:t>and</w:t>
      </w:r>
      <w:r>
        <w:rPr>
          <w:rFonts w:ascii="宋体" w:eastAsia="宋体" w:hAnsi="宋体" w:cs="宋体"/>
          <w:spacing w:val="-1"/>
        </w:rPr>
        <w:t xml:space="preserve"> </w:t>
      </w:r>
      <w:r>
        <w:rPr>
          <w:rFonts w:ascii="宋体" w:eastAsia="宋体" w:hAnsi="宋体" w:cs="宋体"/>
          <w:spacing w:val="-9"/>
        </w:rPr>
        <w:t>fat mimi</w:t>
      </w:r>
      <w:r>
        <w:rPr>
          <w:rFonts w:ascii="宋体" w:eastAsia="宋体" w:hAnsi="宋体" w:cs="宋体"/>
          <w:spacing w:val="-10"/>
        </w:rPr>
        <w:t>c)。脂肪替代品主要是以长链脂肪酸</w:t>
      </w:r>
      <w:r>
        <w:rPr>
          <w:rFonts w:ascii="宋体" w:eastAsia="宋体" w:hAnsi="宋体" w:cs="宋体"/>
        </w:rPr>
        <w:t xml:space="preserve"> </w:t>
      </w:r>
      <w:r>
        <w:rPr>
          <w:rFonts w:ascii="宋体" w:eastAsia="宋体" w:hAnsi="宋体" w:cs="宋体"/>
          <w:spacing w:val="-3"/>
        </w:rPr>
        <w:t>为基础成分的酯化产品，其酯键可抵抗人体肠道内天然脂酶的水解作</w:t>
      </w:r>
      <w:r>
        <w:rPr>
          <w:rFonts w:ascii="宋体" w:eastAsia="宋体" w:hAnsi="宋体" w:cs="宋体"/>
          <w:spacing w:val="-4"/>
        </w:rPr>
        <w:t>用，因此能</w:t>
      </w:r>
      <w:r>
        <w:rPr>
          <w:rFonts w:ascii="宋体" w:eastAsia="宋体" w:hAnsi="宋体" w:cs="宋体"/>
        </w:rPr>
        <w:t xml:space="preserve"> </w:t>
      </w:r>
      <w:r>
        <w:rPr>
          <w:rFonts w:ascii="宋体" w:eastAsia="宋体" w:hAnsi="宋体" w:cs="宋体"/>
          <w:spacing w:val="-3"/>
        </w:rPr>
        <w:t>量较低甚至完全不提供能量，如蔗糖聚酯。该类物质最大优点在于具</w:t>
      </w:r>
      <w:r>
        <w:rPr>
          <w:rFonts w:ascii="宋体" w:eastAsia="宋体" w:hAnsi="宋体" w:cs="宋体"/>
          <w:spacing w:val="-4"/>
        </w:rPr>
        <w:t>备类似油脂</w:t>
      </w:r>
      <w:r>
        <w:rPr>
          <w:rFonts w:ascii="宋体" w:eastAsia="宋体" w:hAnsi="宋体" w:cs="宋体"/>
        </w:rPr>
        <w:t xml:space="preserve"> </w:t>
      </w:r>
      <w:r>
        <w:rPr>
          <w:rFonts w:ascii="宋体" w:eastAsia="宋体" w:hAnsi="宋体" w:cs="宋体"/>
          <w:spacing w:val="-3"/>
        </w:rPr>
        <w:t>的物理特性。油脂模拟品又称为拟脂肪物质，是以经过物理或化学</w:t>
      </w:r>
      <w:r>
        <w:rPr>
          <w:rFonts w:ascii="宋体" w:eastAsia="宋体" w:hAnsi="宋体" w:cs="宋体"/>
          <w:spacing w:val="-4"/>
        </w:rPr>
        <w:t>处理后的碳水</w:t>
      </w:r>
      <w:r>
        <w:rPr>
          <w:rFonts w:ascii="宋体" w:eastAsia="宋体" w:hAnsi="宋体" w:cs="宋体"/>
        </w:rPr>
        <w:t xml:space="preserve"> </w:t>
      </w:r>
      <w:r>
        <w:rPr>
          <w:rFonts w:ascii="宋体" w:eastAsia="宋体" w:hAnsi="宋体" w:cs="宋体"/>
          <w:spacing w:val="-3"/>
        </w:rPr>
        <w:t>化合物或蛋白质为基础成分的产品，它们能够以水状液体系的物理特性模拟出油</w:t>
      </w:r>
      <w:r>
        <w:rPr>
          <w:rFonts w:ascii="宋体" w:eastAsia="宋体" w:hAnsi="宋体" w:cs="宋体"/>
          <w:spacing w:val="5"/>
        </w:rPr>
        <w:t xml:space="preserve"> </w:t>
      </w:r>
      <w:r>
        <w:rPr>
          <w:rFonts w:ascii="宋体" w:eastAsia="宋体" w:hAnsi="宋体" w:cs="宋体"/>
          <w:spacing w:val="2"/>
        </w:rPr>
        <w:t>脂润滑细腻的口感特性，其中部分品种已经作为公认安全物质</w:t>
      </w:r>
      <w:r>
        <w:rPr>
          <w:rFonts w:ascii="宋体" w:eastAsia="宋体" w:hAnsi="宋体" w:cs="宋体"/>
          <w:spacing w:val="-26"/>
        </w:rPr>
        <w:t xml:space="preserve"> </w:t>
      </w:r>
      <w:r>
        <w:rPr>
          <w:rFonts w:ascii="宋体" w:eastAsia="宋体" w:hAnsi="宋体" w:cs="宋体"/>
          <w:spacing w:val="2"/>
        </w:rPr>
        <w:t>(</w:t>
      </w:r>
      <w:r>
        <w:rPr>
          <w:rFonts w:ascii="宋体" w:eastAsia="宋体" w:hAnsi="宋体" w:cs="宋体"/>
        </w:rPr>
        <w:t>GRAS</w:t>
      </w:r>
      <w:r>
        <w:rPr>
          <w:rFonts w:ascii="宋体" w:eastAsia="宋体" w:hAnsi="宋体" w:cs="宋体"/>
          <w:spacing w:val="2"/>
        </w:rPr>
        <w:t>),</w:t>
      </w:r>
      <w:r>
        <w:rPr>
          <w:rFonts w:ascii="宋体" w:eastAsia="宋体" w:hAnsi="宋体" w:cs="宋体"/>
          <w:spacing w:val="45"/>
        </w:rPr>
        <w:t xml:space="preserve">  </w:t>
      </w:r>
      <w:r>
        <w:rPr>
          <w:rFonts w:ascii="宋体" w:eastAsia="宋体" w:hAnsi="宋体" w:cs="宋体"/>
          <w:spacing w:val="2"/>
        </w:rPr>
        <w:t>批准</w:t>
      </w:r>
      <w:r>
        <w:rPr>
          <w:rFonts w:ascii="宋体" w:eastAsia="宋体" w:hAnsi="宋体" w:cs="宋体"/>
        </w:rPr>
        <w:t xml:space="preserve"> </w:t>
      </w:r>
      <w:r>
        <w:rPr>
          <w:rFonts w:ascii="宋体" w:eastAsia="宋体" w:hAnsi="宋体" w:cs="宋体"/>
          <w:spacing w:val="3"/>
        </w:rPr>
        <w:t>应用于低脂食品生产。脂肪模拟物中采用的蛋白质和碳水化合物，其热量</w:t>
      </w:r>
      <w:r>
        <w:rPr>
          <w:rFonts w:ascii="宋体" w:eastAsia="宋体" w:hAnsi="宋体" w:cs="宋体"/>
          <w:spacing w:val="2"/>
        </w:rPr>
        <w:t>较脂</w:t>
      </w:r>
      <w:r>
        <w:rPr>
          <w:rFonts w:ascii="宋体" w:eastAsia="宋体" w:hAnsi="宋体" w:cs="宋体"/>
        </w:rPr>
        <w:t xml:space="preserve"> </w:t>
      </w:r>
      <w:r>
        <w:rPr>
          <w:rFonts w:ascii="宋体" w:eastAsia="宋体" w:hAnsi="宋体" w:cs="宋体"/>
          <w:spacing w:val="-9"/>
        </w:rPr>
        <w:t>肪低。</w:t>
      </w:r>
    </w:p>
    <w:p w:rsidR="00EA40A3" w:rsidRDefault="00E86C16">
      <w:pPr>
        <w:spacing w:before="71" w:line="257" w:lineRule="auto"/>
        <w:ind w:left="89" w:firstLine="439"/>
        <w:rPr>
          <w:rFonts w:ascii="宋体" w:eastAsia="宋体" w:hAnsi="宋体" w:cs="宋体"/>
        </w:rPr>
      </w:pPr>
      <w:r>
        <w:rPr>
          <w:rFonts w:ascii="宋体" w:eastAsia="宋体" w:hAnsi="宋体" w:cs="宋体"/>
          <w:spacing w:val="-3"/>
        </w:rPr>
        <w:t>根据来源，油脂替代品又可分天然油脂替代品和合成油脂替代品。其中魔芋</w:t>
      </w:r>
      <w:r>
        <w:rPr>
          <w:rFonts w:ascii="宋体" w:eastAsia="宋体" w:hAnsi="宋体" w:cs="宋体"/>
          <w:spacing w:val="1"/>
        </w:rPr>
        <w:t xml:space="preserve"> </w:t>
      </w:r>
      <w:r>
        <w:rPr>
          <w:rFonts w:ascii="宋体" w:eastAsia="宋体" w:hAnsi="宋体" w:cs="宋体"/>
          <w:spacing w:val="-6"/>
        </w:rPr>
        <w:t>葡甘聚糖、菊粉、木薯淀粉</w:t>
      </w:r>
      <w:r>
        <w:rPr>
          <w:rFonts w:ascii="宋体" w:eastAsia="宋体" w:hAnsi="宋体" w:cs="宋体"/>
          <w:spacing w:val="-19"/>
        </w:rPr>
        <w:t xml:space="preserve"> </w:t>
      </w:r>
      <w:r>
        <w:rPr>
          <w:rFonts w:ascii="宋体" w:eastAsia="宋体" w:hAnsi="宋体" w:cs="宋体"/>
          <w:spacing w:val="-6"/>
        </w:rPr>
        <w:t>(DE&lt;5)、</w:t>
      </w:r>
      <w:r>
        <w:rPr>
          <w:rFonts w:ascii="宋体" w:eastAsia="宋体" w:hAnsi="宋体" w:cs="宋体"/>
          <w:spacing w:val="3"/>
        </w:rPr>
        <w:t xml:space="preserve">   </w:t>
      </w:r>
      <w:r>
        <w:rPr>
          <w:rFonts w:ascii="宋体" w:eastAsia="宋体" w:hAnsi="宋体" w:cs="宋体"/>
          <w:spacing w:val="-6"/>
        </w:rPr>
        <w:t>玉米麦芽糊精</w:t>
      </w:r>
      <w:r>
        <w:rPr>
          <w:rFonts w:ascii="宋体" w:eastAsia="宋体" w:hAnsi="宋体" w:cs="宋体"/>
          <w:spacing w:val="-4"/>
        </w:rPr>
        <w:t xml:space="preserve"> </w:t>
      </w:r>
      <w:r>
        <w:rPr>
          <w:rFonts w:ascii="宋体" w:eastAsia="宋体" w:hAnsi="宋体" w:cs="宋体"/>
          <w:spacing w:val="-6"/>
        </w:rPr>
        <w:t>(DE4～7)、</w:t>
      </w:r>
      <w:r>
        <w:rPr>
          <w:rFonts w:ascii="宋体" w:eastAsia="宋体" w:hAnsi="宋体" w:cs="宋体"/>
          <w:spacing w:val="12"/>
        </w:rPr>
        <w:t xml:space="preserve">  </w:t>
      </w:r>
      <w:r>
        <w:rPr>
          <w:rFonts w:ascii="宋体" w:eastAsia="宋体" w:hAnsi="宋体" w:cs="宋体"/>
          <w:spacing w:val="-6"/>
        </w:rPr>
        <w:t>马铃薯淀粉</w:t>
      </w:r>
      <w:r>
        <w:rPr>
          <w:rFonts w:ascii="宋体" w:eastAsia="宋体" w:hAnsi="宋体" w:cs="宋体"/>
        </w:rPr>
        <w:t xml:space="preserve">  </w:t>
      </w:r>
      <w:r>
        <w:rPr>
          <w:rFonts w:ascii="宋体" w:eastAsia="宋体" w:hAnsi="宋体" w:cs="宋体"/>
          <w:spacing w:val="-6"/>
        </w:rPr>
        <w:t>(DE&lt;3)、</w:t>
      </w:r>
      <w:r>
        <w:rPr>
          <w:rFonts w:ascii="宋体" w:eastAsia="宋体" w:hAnsi="宋体" w:cs="宋体"/>
          <w:spacing w:val="36"/>
        </w:rPr>
        <w:t xml:space="preserve">  </w:t>
      </w:r>
      <w:r>
        <w:rPr>
          <w:rFonts w:ascii="宋体" w:eastAsia="宋体" w:hAnsi="宋体" w:cs="宋体"/>
          <w:spacing w:val="-6"/>
        </w:rPr>
        <w:t>豌豆纤维、变性牛乳或鸡蛋蛋白、玉米醇溶蛋白等天然油脂替代品因</w:t>
      </w:r>
      <w:r>
        <w:rPr>
          <w:rFonts w:ascii="宋体" w:eastAsia="宋体" w:hAnsi="宋体" w:cs="宋体"/>
        </w:rPr>
        <w:t xml:space="preserve">  </w:t>
      </w:r>
      <w:r>
        <w:rPr>
          <w:rFonts w:ascii="宋体" w:eastAsia="宋体" w:hAnsi="宋体" w:cs="宋体"/>
          <w:spacing w:val="3"/>
        </w:rPr>
        <w:t>为没有安全性方面的顾虑而受到格外关注。例如，菊粉溶解在水中可形成奶油</w:t>
      </w:r>
      <w:r>
        <w:rPr>
          <w:rFonts w:ascii="宋体" w:eastAsia="宋体" w:hAnsi="宋体" w:cs="宋体"/>
          <w:spacing w:val="9"/>
        </w:rPr>
        <w:t xml:space="preserve"> </w:t>
      </w:r>
      <w:r>
        <w:rPr>
          <w:rFonts w:ascii="宋体" w:eastAsia="宋体" w:hAnsi="宋体" w:cs="宋体"/>
        </w:rPr>
        <w:t>状、类似脂肪的凝胶结构，且抗脱水收缩能力</w:t>
      </w:r>
      <w:r>
        <w:rPr>
          <w:rFonts w:ascii="宋体" w:eastAsia="宋体" w:hAnsi="宋体" w:cs="宋体"/>
          <w:spacing w:val="-1"/>
        </w:rPr>
        <w:t>非常强。在低脂的饮料、涂抹料、</w:t>
      </w:r>
      <w:r>
        <w:rPr>
          <w:rFonts w:ascii="宋体" w:eastAsia="宋体" w:hAnsi="宋体" w:cs="宋体"/>
        </w:rPr>
        <w:t xml:space="preserve"> </w:t>
      </w:r>
      <w:r>
        <w:rPr>
          <w:rFonts w:ascii="宋体" w:eastAsia="宋体" w:hAnsi="宋体" w:cs="宋体"/>
          <w:spacing w:val="-3"/>
        </w:rPr>
        <w:t>酸奶、冰淇淋、奶油冻、巧克力、色拉调料、奶酪、肉制品等产品中达</w:t>
      </w:r>
      <w:r>
        <w:rPr>
          <w:rFonts w:ascii="宋体" w:eastAsia="宋体" w:hAnsi="宋体" w:cs="宋体"/>
          <w:spacing w:val="-4"/>
        </w:rPr>
        <w:t>到赋形及</w:t>
      </w:r>
      <w:r>
        <w:rPr>
          <w:rFonts w:ascii="宋体" w:eastAsia="宋体" w:hAnsi="宋体" w:cs="宋体"/>
        </w:rPr>
        <w:t xml:space="preserve">  改良质构的目的。前面提及的蔗糖聚酯等为合成油脂替代品(表9-2)。</w:t>
      </w:r>
    </w:p>
    <w:p w:rsidR="00EA40A3" w:rsidRDefault="00E86C16">
      <w:pPr>
        <w:spacing w:before="168" w:line="219" w:lineRule="auto"/>
        <w:ind w:left="1442"/>
        <w:rPr>
          <w:rFonts w:ascii="宋体" w:eastAsia="宋体" w:hAnsi="宋体" w:cs="宋体"/>
        </w:rPr>
      </w:pPr>
      <w:r>
        <w:rPr>
          <w:rFonts w:ascii="宋体" w:eastAsia="宋体" w:hAnsi="宋体" w:cs="宋体"/>
          <w:b/>
          <w:bCs/>
          <w:spacing w:val="-18"/>
          <w:w w:val="94"/>
        </w:rPr>
        <w:t>表9-2</w:t>
      </w:r>
      <w:r>
        <w:rPr>
          <w:rFonts w:ascii="宋体" w:eastAsia="宋体" w:hAnsi="宋体" w:cs="宋体"/>
          <w:spacing w:val="51"/>
        </w:rPr>
        <w:t xml:space="preserve"> </w:t>
      </w:r>
      <w:r>
        <w:rPr>
          <w:rFonts w:ascii="宋体" w:eastAsia="宋体" w:hAnsi="宋体" w:cs="宋体"/>
          <w:b/>
          <w:bCs/>
          <w:spacing w:val="-18"/>
          <w:w w:val="94"/>
        </w:rPr>
        <w:t>一些合成油脂替代品的化学组成及其潜在应用体系</w:t>
      </w:r>
    </w:p>
    <w:p w:rsidR="00EA40A3" w:rsidRDefault="00EA40A3">
      <w:pPr>
        <w:spacing w:line="113" w:lineRule="auto"/>
        <w:rPr>
          <w:sz w:val="2"/>
        </w:rPr>
      </w:pPr>
    </w:p>
    <w:tbl>
      <w:tblPr>
        <w:tblStyle w:val="TableNormal"/>
        <w:tblW w:w="7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983"/>
        <w:gridCol w:w="1013"/>
        <w:gridCol w:w="2198"/>
        <w:gridCol w:w="1270"/>
      </w:tblGrid>
      <w:tr w:rsidR="00EA40A3">
        <w:trPr>
          <w:trHeight w:val="294"/>
        </w:trPr>
        <w:tc>
          <w:tcPr>
            <w:tcW w:w="895" w:type="dxa"/>
            <w:tcBorders>
              <w:left w:val="nil"/>
              <w:right w:val="nil"/>
            </w:tcBorders>
          </w:tcPr>
          <w:p w:rsidR="00EA40A3" w:rsidRDefault="00E86C16">
            <w:pPr>
              <w:spacing w:before="111" w:line="211" w:lineRule="auto"/>
              <w:ind w:left="390"/>
              <w:rPr>
                <w:rFonts w:ascii="宋体" w:eastAsia="宋体" w:hAnsi="宋体" w:cs="宋体"/>
                <w:sz w:val="16"/>
                <w:szCs w:val="16"/>
              </w:rPr>
            </w:pPr>
            <w:r>
              <w:rPr>
                <w:rFonts w:ascii="宋体" w:eastAsia="宋体" w:hAnsi="宋体" w:cs="宋体"/>
                <w:spacing w:val="8"/>
                <w:sz w:val="16"/>
                <w:szCs w:val="16"/>
              </w:rPr>
              <w:t>产品</w:t>
            </w:r>
          </w:p>
        </w:tc>
        <w:tc>
          <w:tcPr>
            <w:tcW w:w="2996" w:type="dxa"/>
            <w:gridSpan w:val="2"/>
            <w:tcBorders>
              <w:left w:val="nil"/>
              <w:right w:val="nil"/>
            </w:tcBorders>
          </w:tcPr>
          <w:p w:rsidR="00EA40A3" w:rsidRDefault="00E86C16">
            <w:pPr>
              <w:spacing w:before="102" w:line="221" w:lineRule="auto"/>
              <w:ind w:left="704"/>
              <w:rPr>
                <w:rFonts w:ascii="宋体" w:eastAsia="宋体" w:hAnsi="宋体" w:cs="宋体"/>
                <w:sz w:val="16"/>
                <w:szCs w:val="16"/>
              </w:rPr>
            </w:pPr>
            <w:r>
              <w:rPr>
                <w:rFonts w:ascii="宋体" w:eastAsia="宋体" w:hAnsi="宋体" w:cs="宋体"/>
                <w:spacing w:val="-2"/>
                <w:sz w:val="16"/>
                <w:szCs w:val="16"/>
              </w:rPr>
              <w:t>化学组成</w:t>
            </w:r>
            <w:r>
              <w:rPr>
                <w:rFonts w:ascii="宋体" w:eastAsia="宋体" w:hAnsi="宋体" w:cs="宋体"/>
                <w:spacing w:val="1"/>
                <w:sz w:val="16"/>
                <w:szCs w:val="16"/>
              </w:rPr>
              <w:t xml:space="preserve">              </w:t>
            </w:r>
            <w:r>
              <w:rPr>
                <w:rFonts w:ascii="宋体" w:eastAsia="宋体" w:hAnsi="宋体" w:cs="宋体"/>
                <w:spacing w:val="-2"/>
                <w:sz w:val="16"/>
                <w:szCs w:val="16"/>
              </w:rPr>
              <w:t>热量</w:t>
            </w:r>
          </w:p>
        </w:tc>
        <w:tc>
          <w:tcPr>
            <w:tcW w:w="3468" w:type="dxa"/>
            <w:gridSpan w:val="2"/>
            <w:tcBorders>
              <w:left w:val="nil"/>
              <w:right w:val="nil"/>
            </w:tcBorders>
          </w:tcPr>
          <w:p w:rsidR="00EA40A3" w:rsidRDefault="00E86C16">
            <w:pPr>
              <w:spacing w:before="101" w:line="222" w:lineRule="auto"/>
              <w:ind w:left="688"/>
              <w:rPr>
                <w:rFonts w:ascii="宋体" w:eastAsia="宋体" w:hAnsi="宋体" w:cs="宋体"/>
                <w:sz w:val="16"/>
                <w:szCs w:val="16"/>
              </w:rPr>
            </w:pPr>
            <w:r>
              <w:rPr>
                <w:rFonts w:ascii="宋体" w:eastAsia="宋体" w:hAnsi="宋体" w:cs="宋体"/>
                <w:sz w:val="16"/>
                <w:szCs w:val="16"/>
              </w:rPr>
              <w:t>应用食品体系</w:t>
            </w:r>
            <w:r>
              <w:rPr>
                <w:rFonts w:ascii="宋体" w:eastAsia="宋体" w:hAnsi="宋体" w:cs="宋体"/>
                <w:spacing w:val="8"/>
                <w:sz w:val="16"/>
                <w:szCs w:val="16"/>
              </w:rPr>
              <w:t xml:space="preserve">        </w:t>
            </w:r>
            <w:r>
              <w:rPr>
                <w:rFonts w:ascii="宋体" w:eastAsia="宋体" w:hAnsi="宋体" w:cs="宋体"/>
                <w:sz w:val="16"/>
                <w:szCs w:val="16"/>
              </w:rPr>
              <w:t>潜在营养问题</w:t>
            </w:r>
          </w:p>
        </w:tc>
      </w:tr>
      <w:tr w:rsidR="00EA40A3">
        <w:trPr>
          <w:trHeight w:val="1466"/>
        </w:trPr>
        <w:tc>
          <w:tcPr>
            <w:tcW w:w="895" w:type="dxa"/>
            <w:tcBorders>
              <w:left w:val="nil"/>
              <w:right w:val="nil"/>
            </w:tcBorders>
          </w:tcPr>
          <w:p w:rsidR="00EA40A3" w:rsidRDefault="00EA40A3">
            <w:pPr>
              <w:spacing w:line="270" w:lineRule="auto"/>
            </w:pPr>
          </w:p>
          <w:p w:rsidR="00EA40A3" w:rsidRDefault="00EA40A3">
            <w:pPr>
              <w:spacing w:line="271" w:lineRule="auto"/>
            </w:pPr>
          </w:p>
          <w:p w:rsidR="00EA40A3" w:rsidRDefault="00E86C16">
            <w:pPr>
              <w:spacing w:before="52" w:line="228" w:lineRule="auto"/>
              <w:ind w:left="188" w:right="19" w:hanging="9"/>
              <w:rPr>
                <w:rFonts w:ascii="宋体" w:eastAsia="宋体" w:hAnsi="宋体" w:cs="宋体"/>
                <w:sz w:val="16"/>
                <w:szCs w:val="16"/>
              </w:rPr>
            </w:pPr>
            <w:r>
              <w:rPr>
                <w:rFonts w:ascii="宋体" w:eastAsia="宋体" w:hAnsi="宋体" w:cs="宋体"/>
                <w:spacing w:val="-2"/>
                <w:sz w:val="16"/>
                <w:szCs w:val="16"/>
              </w:rPr>
              <w:t>蔗糖聚酯</w:t>
            </w:r>
            <w:r>
              <w:rPr>
                <w:rFonts w:ascii="宋体" w:eastAsia="宋体" w:hAnsi="宋体" w:cs="宋体"/>
                <w:sz w:val="16"/>
                <w:szCs w:val="16"/>
              </w:rPr>
              <w:t xml:space="preserve">  </w:t>
            </w:r>
            <w:r>
              <w:rPr>
                <w:rFonts w:ascii="宋体" w:eastAsia="宋体" w:hAnsi="宋体" w:cs="宋体"/>
                <w:spacing w:val="-4"/>
                <w:sz w:val="16"/>
                <w:szCs w:val="16"/>
              </w:rPr>
              <w:t>(olestra)</w:t>
            </w:r>
          </w:p>
        </w:tc>
        <w:tc>
          <w:tcPr>
            <w:tcW w:w="2996" w:type="dxa"/>
            <w:gridSpan w:val="2"/>
            <w:tcBorders>
              <w:left w:val="nil"/>
              <w:right w:val="nil"/>
            </w:tcBorders>
          </w:tcPr>
          <w:p w:rsidR="00EA40A3" w:rsidRDefault="00EA40A3">
            <w:pPr>
              <w:spacing w:line="433" w:lineRule="auto"/>
            </w:pPr>
          </w:p>
          <w:p w:rsidR="00EA40A3" w:rsidRDefault="00E86C16">
            <w:pPr>
              <w:spacing w:before="52" w:line="220" w:lineRule="auto"/>
              <w:ind w:left="94"/>
              <w:rPr>
                <w:rFonts w:ascii="宋体" w:eastAsia="宋体" w:hAnsi="宋体" w:cs="宋体"/>
                <w:sz w:val="16"/>
                <w:szCs w:val="16"/>
              </w:rPr>
            </w:pPr>
            <w:r>
              <w:rPr>
                <w:rFonts w:ascii="宋体" w:eastAsia="宋体" w:hAnsi="宋体" w:cs="宋体"/>
                <w:spacing w:val="-1"/>
                <w:sz w:val="16"/>
                <w:szCs w:val="16"/>
              </w:rPr>
              <w:t>蔗糖与C8～C22脂肪酸的</w:t>
            </w:r>
          </w:p>
          <w:p w:rsidR="00EA40A3" w:rsidRDefault="00E86C16">
            <w:pPr>
              <w:spacing w:before="18" w:line="220" w:lineRule="auto"/>
              <w:ind w:left="94"/>
              <w:rPr>
                <w:rFonts w:ascii="宋体" w:eastAsia="宋体" w:hAnsi="宋体" w:cs="宋体"/>
                <w:sz w:val="16"/>
                <w:szCs w:val="16"/>
              </w:rPr>
            </w:pPr>
            <w:r>
              <w:rPr>
                <w:rFonts w:ascii="宋体" w:eastAsia="宋体" w:hAnsi="宋体" w:cs="宋体"/>
                <w:spacing w:val="-1"/>
                <w:sz w:val="16"/>
                <w:szCs w:val="16"/>
              </w:rPr>
              <w:t>酯化产物，即脂肪酸蔗糖不消化</w:t>
            </w:r>
          </w:p>
          <w:p w:rsidR="00EA40A3" w:rsidRDefault="00E86C16">
            <w:pPr>
              <w:spacing w:line="220" w:lineRule="auto"/>
              <w:ind w:left="94"/>
              <w:rPr>
                <w:rFonts w:ascii="宋体" w:eastAsia="宋体" w:hAnsi="宋体" w:cs="宋体"/>
                <w:sz w:val="16"/>
                <w:szCs w:val="16"/>
              </w:rPr>
            </w:pPr>
            <w:r>
              <w:rPr>
                <w:rFonts w:ascii="宋体" w:eastAsia="宋体" w:hAnsi="宋体" w:cs="宋体"/>
                <w:spacing w:val="8"/>
                <w:sz w:val="16"/>
                <w:szCs w:val="16"/>
              </w:rPr>
              <w:t>聚酯(</w:t>
            </w:r>
            <w:r>
              <w:rPr>
                <w:rFonts w:ascii="宋体" w:eastAsia="宋体" w:hAnsi="宋体" w:cs="宋体"/>
                <w:sz w:val="16"/>
                <w:szCs w:val="16"/>
              </w:rPr>
              <w:t>SPE</w:t>
            </w:r>
            <w:r>
              <w:rPr>
                <w:rFonts w:ascii="宋体" w:eastAsia="宋体" w:hAnsi="宋体" w:cs="宋体"/>
                <w:spacing w:val="8"/>
                <w:sz w:val="16"/>
                <w:szCs w:val="16"/>
              </w:rPr>
              <w:t>)</w:t>
            </w:r>
          </w:p>
        </w:tc>
        <w:tc>
          <w:tcPr>
            <w:tcW w:w="3468" w:type="dxa"/>
            <w:gridSpan w:val="2"/>
            <w:tcBorders>
              <w:left w:val="nil"/>
              <w:right w:val="nil"/>
            </w:tcBorders>
          </w:tcPr>
          <w:p w:rsidR="00EA40A3" w:rsidRDefault="00E86C16">
            <w:pPr>
              <w:spacing w:before="107" w:line="231" w:lineRule="auto"/>
              <w:ind w:left="248"/>
              <w:rPr>
                <w:rFonts w:ascii="宋体" w:eastAsia="宋体" w:hAnsi="宋体" w:cs="宋体"/>
                <w:sz w:val="16"/>
                <w:szCs w:val="16"/>
              </w:rPr>
            </w:pPr>
            <w:r>
              <w:rPr>
                <w:rFonts w:ascii="宋体" w:eastAsia="宋体" w:hAnsi="宋体" w:cs="宋体"/>
                <w:spacing w:val="-1"/>
                <w:sz w:val="16"/>
                <w:szCs w:val="16"/>
              </w:rPr>
              <w:t>烹调油、起酥油、咸味零</w:t>
            </w:r>
          </w:p>
          <w:p w:rsidR="00EA40A3" w:rsidRDefault="00E86C16">
            <w:pPr>
              <w:spacing w:line="208" w:lineRule="auto"/>
              <w:ind w:left="248"/>
              <w:rPr>
                <w:rFonts w:ascii="宋体" w:eastAsia="宋体" w:hAnsi="宋体" w:cs="宋体"/>
                <w:sz w:val="16"/>
                <w:szCs w:val="16"/>
              </w:rPr>
            </w:pPr>
            <w:r>
              <w:rPr>
                <w:rFonts w:ascii="宋体" w:eastAsia="宋体" w:hAnsi="宋体" w:cs="宋体"/>
                <w:spacing w:val="-1"/>
                <w:sz w:val="16"/>
                <w:szCs w:val="16"/>
              </w:rPr>
              <w:t>食、色拉油、蛋黄酱、人</w:t>
            </w:r>
          </w:p>
          <w:p w:rsidR="00EA40A3" w:rsidRDefault="00E86C16">
            <w:pPr>
              <w:spacing w:before="1" w:line="211" w:lineRule="auto"/>
              <w:ind w:left="248" w:right="225"/>
              <w:rPr>
                <w:rFonts w:ascii="宋体" w:eastAsia="宋体" w:hAnsi="宋体" w:cs="宋体"/>
                <w:sz w:val="16"/>
                <w:szCs w:val="16"/>
              </w:rPr>
            </w:pPr>
            <w:r>
              <w:rPr>
                <w:rFonts w:ascii="宋体" w:eastAsia="宋体" w:hAnsi="宋体" w:cs="宋体"/>
                <w:spacing w:val="-1"/>
                <w:sz w:val="16"/>
                <w:szCs w:val="16"/>
              </w:rPr>
              <w:t>造奶油、色拉调味料、冰</w:t>
            </w:r>
            <w:r>
              <w:rPr>
                <w:rFonts w:ascii="宋体" w:eastAsia="宋体" w:hAnsi="宋体" w:cs="宋体"/>
                <w:spacing w:val="16"/>
                <w:sz w:val="16"/>
                <w:szCs w:val="16"/>
              </w:rPr>
              <w:t xml:space="preserve">   </w:t>
            </w:r>
            <w:r>
              <w:rPr>
                <w:rFonts w:ascii="宋体" w:eastAsia="宋体" w:hAnsi="宋体" w:cs="宋体"/>
                <w:spacing w:val="-1"/>
                <w:sz w:val="16"/>
                <w:szCs w:val="16"/>
              </w:rPr>
              <w:t>影响脂溶性维</w:t>
            </w:r>
            <w:r>
              <w:rPr>
                <w:rFonts w:ascii="宋体" w:eastAsia="宋体" w:hAnsi="宋体" w:cs="宋体"/>
                <w:spacing w:val="1"/>
                <w:sz w:val="16"/>
                <w:szCs w:val="16"/>
              </w:rPr>
              <w:t xml:space="preserve"> </w:t>
            </w:r>
            <w:r>
              <w:rPr>
                <w:rFonts w:ascii="宋体" w:eastAsia="宋体" w:hAnsi="宋体" w:cs="宋体"/>
                <w:spacing w:val="-1"/>
                <w:sz w:val="16"/>
                <w:szCs w:val="16"/>
              </w:rPr>
              <w:t>淇淋、花生酱、干酪、含</w:t>
            </w:r>
            <w:r>
              <w:rPr>
                <w:rFonts w:ascii="宋体" w:eastAsia="宋体" w:hAnsi="宋体" w:cs="宋体"/>
                <w:spacing w:val="4"/>
                <w:sz w:val="16"/>
                <w:szCs w:val="16"/>
              </w:rPr>
              <w:t xml:space="preserve">  </w:t>
            </w:r>
            <w:r>
              <w:rPr>
                <w:rFonts w:ascii="宋体" w:eastAsia="宋体" w:hAnsi="宋体" w:cs="宋体"/>
                <w:spacing w:val="-1"/>
                <w:sz w:val="16"/>
                <w:szCs w:val="16"/>
              </w:rPr>
              <w:t>生素E、维生</w:t>
            </w:r>
          </w:p>
          <w:p w:rsidR="00EA40A3" w:rsidRDefault="00E86C16">
            <w:pPr>
              <w:spacing w:before="2" w:line="219" w:lineRule="auto"/>
              <w:ind w:left="248"/>
              <w:rPr>
                <w:rFonts w:ascii="宋体" w:eastAsia="宋体" w:hAnsi="宋体" w:cs="宋体"/>
                <w:sz w:val="16"/>
                <w:szCs w:val="16"/>
              </w:rPr>
            </w:pPr>
            <w:r>
              <w:rPr>
                <w:rFonts w:ascii="宋体" w:eastAsia="宋体" w:hAnsi="宋体" w:cs="宋体"/>
                <w:spacing w:val="-1"/>
                <w:sz w:val="16"/>
                <w:szCs w:val="16"/>
              </w:rPr>
              <w:t>乳饮料、低能量焙烤食品、素D等的吸收</w:t>
            </w:r>
          </w:p>
          <w:p w:rsidR="00EA40A3" w:rsidRDefault="00E86C16">
            <w:pPr>
              <w:spacing w:before="20" w:line="207" w:lineRule="auto"/>
              <w:ind w:left="248"/>
              <w:rPr>
                <w:rFonts w:ascii="宋体" w:eastAsia="宋体" w:hAnsi="宋体" w:cs="宋体"/>
                <w:sz w:val="16"/>
                <w:szCs w:val="16"/>
              </w:rPr>
            </w:pPr>
            <w:r>
              <w:rPr>
                <w:rFonts w:ascii="宋体" w:eastAsia="宋体" w:hAnsi="宋体" w:cs="宋体"/>
                <w:sz w:val="16"/>
                <w:szCs w:val="16"/>
              </w:rPr>
              <w:t>蛋糕糖霜混合物、面包涂</w:t>
            </w:r>
          </w:p>
          <w:p w:rsidR="00EA40A3" w:rsidRDefault="00E86C16">
            <w:pPr>
              <w:spacing w:line="219" w:lineRule="auto"/>
              <w:ind w:left="248"/>
              <w:rPr>
                <w:rFonts w:ascii="宋体" w:eastAsia="宋体" w:hAnsi="宋体" w:cs="宋体"/>
                <w:sz w:val="16"/>
                <w:szCs w:val="16"/>
              </w:rPr>
            </w:pPr>
            <w:r>
              <w:rPr>
                <w:rFonts w:ascii="宋体" w:eastAsia="宋体" w:hAnsi="宋体" w:cs="宋体"/>
                <w:spacing w:val="-1"/>
                <w:sz w:val="16"/>
                <w:szCs w:val="16"/>
              </w:rPr>
              <w:t>抹物、巧克力及糖果等</w:t>
            </w:r>
          </w:p>
        </w:tc>
      </w:tr>
      <w:tr w:rsidR="00EA40A3">
        <w:trPr>
          <w:trHeight w:val="878"/>
        </w:trPr>
        <w:tc>
          <w:tcPr>
            <w:tcW w:w="895" w:type="dxa"/>
            <w:tcBorders>
              <w:left w:val="nil"/>
              <w:right w:val="nil"/>
            </w:tcBorders>
          </w:tcPr>
          <w:p w:rsidR="00EA40A3" w:rsidRDefault="00EA40A3">
            <w:pPr>
              <w:spacing w:line="308" w:lineRule="auto"/>
            </w:pPr>
          </w:p>
          <w:p w:rsidR="00EA40A3" w:rsidRDefault="00E86C16">
            <w:pPr>
              <w:spacing w:before="52" w:line="220" w:lineRule="auto"/>
              <w:ind w:left="229"/>
              <w:rPr>
                <w:rFonts w:ascii="宋体" w:eastAsia="宋体" w:hAnsi="宋体" w:cs="宋体"/>
                <w:sz w:val="16"/>
                <w:szCs w:val="16"/>
              </w:rPr>
            </w:pPr>
            <w:r>
              <w:rPr>
                <w:rFonts w:ascii="宋体" w:eastAsia="宋体" w:hAnsi="宋体" w:cs="宋体"/>
                <w:spacing w:val="-2"/>
                <w:sz w:val="16"/>
                <w:szCs w:val="16"/>
              </w:rPr>
              <w:t>羧酸酯</w:t>
            </w:r>
          </w:p>
        </w:tc>
        <w:tc>
          <w:tcPr>
            <w:tcW w:w="1983" w:type="dxa"/>
            <w:tcBorders>
              <w:left w:val="nil"/>
              <w:right w:val="nil"/>
            </w:tcBorders>
          </w:tcPr>
          <w:p w:rsidR="00EA40A3" w:rsidRDefault="00E86C16">
            <w:pPr>
              <w:spacing w:before="111" w:line="221" w:lineRule="auto"/>
              <w:ind w:left="84" w:right="49"/>
              <w:jc w:val="both"/>
              <w:rPr>
                <w:rFonts w:ascii="宋体" w:eastAsia="宋体" w:hAnsi="宋体" w:cs="宋体"/>
                <w:sz w:val="16"/>
                <w:szCs w:val="16"/>
              </w:rPr>
            </w:pPr>
            <w:r>
              <w:rPr>
                <w:rFonts w:ascii="宋体" w:eastAsia="宋体" w:hAnsi="宋体" w:cs="宋体"/>
                <w:spacing w:val="15"/>
                <w:sz w:val="16"/>
                <w:szCs w:val="16"/>
              </w:rPr>
              <w:t>由两种不同类型的酸(脂</w:t>
            </w:r>
            <w:r>
              <w:rPr>
                <w:rFonts w:ascii="宋体" w:eastAsia="宋体" w:hAnsi="宋体" w:cs="宋体"/>
                <w:spacing w:val="2"/>
                <w:sz w:val="16"/>
                <w:szCs w:val="16"/>
              </w:rPr>
              <w:t xml:space="preserve"> </w:t>
            </w:r>
            <w:r>
              <w:rPr>
                <w:rFonts w:ascii="宋体" w:eastAsia="宋体" w:hAnsi="宋体" w:cs="宋体"/>
                <w:spacing w:val="6"/>
                <w:sz w:val="16"/>
                <w:szCs w:val="16"/>
              </w:rPr>
              <w:t>肪酸及具有酸功能的酯或</w:t>
            </w:r>
            <w:r>
              <w:rPr>
                <w:rFonts w:ascii="宋体" w:eastAsia="宋体" w:hAnsi="宋体" w:cs="宋体"/>
                <w:sz w:val="16"/>
                <w:szCs w:val="16"/>
              </w:rPr>
              <w:t xml:space="preserve"> </w:t>
            </w:r>
            <w:r>
              <w:rPr>
                <w:rFonts w:ascii="宋体" w:eastAsia="宋体" w:hAnsi="宋体" w:cs="宋体"/>
                <w:spacing w:val="13"/>
                <w:sz w:val="16"/>
                <w:szCs w:val="16"/>
              </w:rPr>
              <w:t>醚)与多元醇组成的复合</w:t>
            </w:r>
            <w:r>
              <w:rPr>
                <w:rFonts w:ascii="宋体" w:eastAsia="宋体" w:hAnsi="宋体" w:cs="宋体"/>
                <w:spacing w:val="2"/>
                <w:sz w:val="16"/>
                <w:szCs w:val="16"/>
              </w:rPr>
              <w:t xml:space="preserve"> </w:t>
            </w:r>
            <w:r>
              <w:rPr>
                <w:rFonts w:ascii="宋体" w:eastAsia="宋体" w:hAnsi="宋体" w:cs="宋体"/>
                <w:spacing w:val="-2"/>
                <w:sz w:val="16"/>
                <w:szCs w:val="16"/>
              </w:rPr>
              <w:t>酯化产物</w:t>
            </w:r>
          </w:p>
        </w:tc>
        <w:tc>
          <w:tcPr>
            <w:tcW w:w="1013" w:type="dxa"/>
            <w:tcBorders>
              <w:left w:val="nil"/>
              <w:right w:val="nil"/>
            </w:tcBorders>
          </w:tcPr>
          <w:p w:rsidR="00EA40A3" w:rsidRDefault="00EA40A3">
            <w:pPr>
              <w:spacing w:line="307" w:lineRule="auto"/>
            </w:pPr>
          </w:p>
          <w:p w:rsidR="00EA40A3" w:rsidRDefault="00E86C16">
            <w:pPr>
              <w:spacing w:before="52" w:line="219" w:lineRule="auto"/>
              <w:ind w:left="51"/>
              <w:rPr>
                <w:rFonts w:ascii="宋体" w:eastAsia="宋体" w:hAnsi="宋体" w:cs="宋体"/>
                <w:sz w:val="16"/>
                <w:szCs w:val="16"/>
              </w:rPr>
            </w:pPr>
            <w:r>
              <w:rPr>
                <w:rFonts w:ascii="宋体" w:eastAsia="宋体" w:hAnsi="宋体" w:cs="宋体"/>
                <w:spacing w:val="-2"/>
                <w:sz w:val="16"/>
                <w:szCs w:val="16"/>
              </w:rPr>
              <w:t>部分消化</w:t>
            </w:r>
          </w:p>
        </w:tc>
        <w:tc>
          <w:tcPr>
            <w:tcW w:w="2198" w:type="dxa"/>
            <w:tcBorders>
              <w:left w:val="nil"/>
              <w:right w:val="nil"/>
            </w:tcBorders>
          </w:tcPr>
          <w:p w:rsidR="00EA40A3" w:rsidRDefault="00E86C16">
            <w:pPr>
              <w:spacing w:before="212" w:line="220" w:lineRule="auto"/>
              <w:ind w:left="228" w:firstLine="9"/>
              <w:rPr>
                <w:rFonts w:ascii="宋体" w:eastAsia="宋体" w:hAnsi="宋体" w:cs="宋体"/>
                <w:sz w:val="15"/>
                <w:szCs w:val="15"/>
              </w:rPr>
            </w:pPr>
            <w:r>
              <w:rPr>
                <w:rFonts w:ascii="宋体" w:eastAsia="宋体" w:hAnsi="宋体" w:cs="宋体"/>
                <w:spacing w:val="12"/>
                <w:sz w:val="15"/>
                <w:szCs w:val="15"/>
              </w:rPr>
              <w:t>低温食品用油、油炸用油、</w:t>
            </w:r>
            <w:r>
              <w:rPr>
                <w:rFonts w:ascii="宋体" w:eastAsia="宋体" w:hAnsi="宋体" w:cs="宋体"/>
                <w:spacing w:val="9"/>
                <w:sz w:val="15"/>
                <w:szCs w:val="15"/>
              </w:rPr>
              <w:t xml:space="preserve"> </w:t>
            </w:r>
            <w:r>
              <w:rPr>
                <w:rFonts w:ascii="宋体" w:eastAsia="宋体" w:hAnsi="宋体" w:cs="宋体"/>
                <w:spacing w:val="8"/>
                <w:sz w:val="15"/>
                <w:szCs w:val="15"/>
              </w:rPr>
              <w:t>组织化肉制品、焙烤食</w:t>
            </w:r>
          </w:p>
          <w:p w:rsidR="00EA40A3" w:rsidRDefault="00E86C16">
            <w:pPr>
              <w:spacing w:before="12" w:line="219" w:lineRule="auto"/>
              <w:ind w:left="218"/>
              <w:rPr>
                <w:rFonts w:ascii="宋体" w:eastAsia="宋体" w:hAnsi="宋体" w:cs="宋体"/>
                <w:sz w:val="16"/>
                <w:szCs w:val="16"/>
              </w:rPr>
            </w:pPr>
            <w:r>
              <w:rPr>
                <w:rFonts w:ascii="宋体" w:eastAsia="宋体" w:hAnsi="宋体" w:cs="宋体"/>
                <w:spacing w:val="3"/>
                <w:sz w:val="16"/>
                <w:szCs w:val="16"/>
              </w:rPr>
              <w:t>品等</w:t>
            </w:r>
          </w:p>
        </w:tc>
        <w:tc>
          <w:tcPr>
            <w:tcW w:w="1270" w:type="dxa"/>
            <w:tcBorders>
              <w:left w:val="nil"/>
              <w:right w:val="nil"/>
            </w:tcBorders>
          </w:tcPr>
          <w:p w:rsidR="00EA40A3" w:rsidRDefault="00E86C16">
            <w:pPr>
              <w:spacing w:before="101" w:line="224" w:lineRule="auto"/>
              <w:ind w:left="70" w:right="195" w:firstLine="49"/>
              <w:jc w:val="both"/>
              <w:rPr>
                <w:rFonts w:ascii="宋体" w:eastAsia="宋体" w:hAnsi="宋体" w:cs="宋体"/>
                <w:sz w:val="16"/>
                <w:szCs w:val="16"/>
              </w:rPr>
            </w:pPr>
            <w:r>
              <w:rPr>
                <w:rFonts w:ascii="宋体" w:eastAsia="宋体" w:hAnsi="宋体" w:cs="宋体"/>
                <w:spacing w:val="-2"/>
                <w:sz w:val="16"/>
                <w:szCs w:val="16"/>
              </w:rPr>
              <w:t>致泻阈值大于</w:t>
            </w:r>
            <w:r>
              <w:rPr>
                <w:rFonts w:ascii="宋体" w:eastAsia="宋体" w:hAnsi="宋体" w:cs="宋体"/>
                <w:spacing w:val="4"/>
                <w:sz w:val="16"/>
                <w:szCs w:val="16"/>
              </w:rPr>
              <w:t xml:space="preserve"> </w:t>
            </w:r>
            <w:r>
              <w:rPr>
                <w:rFonts w:ascii="宋体" w:eastAsia="宋体" w:hAnsi="宋体" w:cs="宋体"/>
                <w:spacing w:val="7"/>
                <w:sz w:val="16"/>
                <w:szCs w:val="16"/>
              </w:rPr>
              <w:t>蔗糖聚酯，脂</w:t>
            </w:r>
            <w:r>
              <w:rPr>
                <w:rFonts w:ascii="宋体" w:eastAsia="宋体" w:hAnsi="宋体" w:cs="宋体"/>
                <w:sz w:val="16"/>
                <w:szCs w:val="16"/>
              </w:rPr>
              <w:t xml:space="preserve"> </w:t>
            </w:r>
            <w:r>
              <w:rPr>
                <w:rFonts w:ascii="宋体" w:eastAsia="宋体" w:hAnsi="宋体" w:cs="宋体"/>
                <w:spacing w:val="6"/>
                <w:sz w:val="16"/>
                <w:szCs w:val="16"/>
              </w:rPr>
              <w:t>溶性维生素吸</w:t>
            </w:r>
            <w:r>
              <w:rPr>
                <w:rFonts w:ascii="宋体" w:eastAsia="宋体" w:hAnsi="宋体" w:cs="宋体"/>
                <w:spacing w:val="4"/>
                <w:sz w:val="16"/>
                <w:szCs w:val="16"/>
              </w:rPr>
              <w:t xml:space="preserve"> </w:t>
            </w:r>
            <w:r>
              <w:rPr>
                <w:rFonts w:ascii="宋体" w:eastAsia="宋体" w:hAnsi="宋体" w:cs="宋体"/>
                <w:spacing w:val="3"/>
                <w:sz w:val="16"/>
                <w:szCs w:val="16"/>
              </w:rPr>
              <w:t>收受影响</w:t>
            </w:r>
          </w:p>
        </w:tc>
      </w:tr>
      <w:tr w:rsidR="00EA40A3">
        <w:trPr>
          <w:trHeight w:val="748"/>
        </w:trPr>
        <w:tc>
          <w:tcPr>
            <w:tcW w:w="895" w:type="dxa"/>
            <w:tcBorders>
              <w:left w:val="nil"/>
              <w:right w:val="nil"/>
            </w:tcBorders>
          </w:tcPr>
          <w:p w:rsidR="00EA40A3" w:rsidRDefault="00E86C16">
            <w:pPr>
              <w:spacing w:before="233" w:line="221" w:lineRule="auto"/>
              <w:ind w:left="299" w:right="114" w:hanging="149"/>
              <w:rPr>
                <w:rFonts w:ascii="宋体" w:eastAsia="宋体" w:hAnsi="宋体" w:cs="宋体"/>
                <w:sz w:val="16"/>
                <w:szCs w:val="16"/>
              </w:rPr>
            </w:pPr>
            <w:r>
              <w:rPr>
                <w:rFonts w:ascii="宋体" w:eastAsia="宋体" w:hAnsi="宋体" w:cs="宋体"/>
                <w:spacing w:val="-3"/>
                <w:sz w:val="16"/>
                <w:szCs w:val="16"/>
              </w:rPr>
              <w:t>丙氧基甘</w:t>
            </w:r>
            <w:r>
              <w:rPr>
                <w:rFonts w:ascii="宋体" w:eastAsia="宋体" w:hAnsi="宋体" w:cs="宋体"/>
                <w:spacing w:val="1"/>
                <w:sz w:val="16"/>
                <w:szCs w:val="16"/>
              </w:rPr>
              <w:t xml:space="preserve"> </w:t>
            </w:r>
            <w:r>
              <w:rPr>
                <w:rFonts w:ascii="宋体" w:eastAsia="宋体" w:hAnsi="宋体" w:cs="宋体"/>
                <w:spacing w:val="-3"/>
                <w:sz w:val="16"/>
                <w:szCs w:val="16"/>
              </w:rPr>
              <w:t>油酯</w:t>
            </w:r>
          </w:p>
        </w:tc>
        <w:tc>
          <w:tcPr>
            <w:tcW w:w="1983" w:type="dxa"/>
            <w:tcBorders>
              <w:left w:val="nil"/>
              <w:right w:val="nil"/>
            </w:tcBorders>
          </w:tcPr>
          <w:p w:rsidR="00EA40A3" w:rsidRDefault="00E86C16">
            <w:pPr>
              <w:spacing w:before="232" w:line="221" w:lineRule="auto"/>
              <w:ind w:left="55" w:right="177" w:firstLine="12"/>
              <w:rPr>
                <w:rFonts w:ascii="宋体" w:eastAsia="宋体" w:hAnsi="宋体" w:cs="宋体"/>
                <w:sz w:val="16"/>
                <w:szCs w:val="16"/>
              </w:rPr>
            </w:pPr>
            <w:r>
              <w:rPr>
                <w:rFonts w:ascii="宋体" w:eastAsia="宋体" w:hAnsi="宋体" w:cs="宋体"/>
                <w:spacing w:val="-2"/>
                <w:sz w:val="16"/>
                <w:szCs w:val="16"/>
              </w:rPr>
              <w:t>乙酰化环氧化物与多元醇</w:t>
            </w:r>
            <w:r>
              <w:rPr>
                <w:rFonts w:ascii="宋体" w:eastAsia="宋体" w:hAnsi="宋体" w:cs="宋体"/>
                <w:sz w:val="16"/>
                <w:szCs w:val="16"/>
              </w:rPr>
              <w:t xml:space="preserve"> </w:t>
            </w:r>
            <w:r>
              <w:rPr>
                <w:rFonts w:ascii="宋体" w:eastAsia="宋体" w:hAnsi="宋体" w:cs="宋体"/>
                <w:spacing w:val="-4"/>
                <w:sz w:val="16"/>
                <w:szCs w:val="16"/>
              </w:rPr>
              <w:t>的结合物</w:t>
            </w:r>
          </w:p>
        </w:tc>
        <w:tc>
          <w:tcPr>
            <w:tcW w:w="1013" w:type="dxa"/>
            <w:tcBorders>
              <w:left w:val="nil"/>
              <w:right w:val="nil"/>
            </w:tcBorders>
          </w:tcPr>
          <w:p w:rsidR="00EA40A3" w:rsidRDefault="00EA40A3">
            <w:pPr>
              <w:spacing w:line="250" w:lineRule="auto"/>
            </w:pPr>
          </w:p>
          <w:p w:rsidR="00EA40A3" w:rsidRDefault="00E86C16">
            <w:pPr>
              <w:spacing w:before="52" w:line="221" w:lineRule="auto"/>
              <w:ind w:left="51"/>
              <w:rPr>
                <w:rFonts w:ascii="宋体" w:eastAsia="宋体" w:hAnsi="宋体" w:cs="宋体"/>
                <w:sz w:val="16"/>
                <w:szCs w:val="16"/>
              </w:rPr>
            </w:pPr>
            <w:r>
              <w:rPr>
                <w:rFonts w:ascii="宋体" w:eastAsia="宋体" w:hAnsi="宋体" w:cs="宋体"/>
                <w:spacing w:val="-2"/>
                <w:sz w:val="16"/>
                <w:szCs w:val="16"/>
              </w:rPr>
              <w:t>不消化</w:t>
            </w:r>
          </w:p>
        </w:tc>
        <w:tc>
          <w:tcPr>
            <w:tcW w:w="3468" w:type="dxa"/>
            <w:gridSpan w:val="2"/>
            <w:tcBorders>
              <w:left w:val="nil"/>
              <w:right w:val="nil"/>
            </w:tcBorders>
          </w:tcPr>
          <w:p w:rsidR="00EA40A3" w:rsidRDefault="00E86C16">
            <w:pPr>
              <w:spacing w:before="132" w:line="219" w:lineRule="auto"/>
              <w:ind w:left="248"/>
              <w:rPr>
                <w:rFonts w:ascii="宋体" w:eastAsia="宋体" w:hAnsi="宋体" w:cs="宋体"/>
                <w:sz w:val="16"/>
                <w:szCs w:val="16"/>
              </w:rPr>
            </w:pPr>
            <w:r>
              <w:rPr>
                <w:rFonts w:ascii="宋体" w:eastAsia="宋体" w:hAnsi="宋体" w:cs="宋体"/>
                <w:spacing w:val="6"/>
                <w:sz w:val="16"/>
                <w:szCs w:val="16"/>
              </w:rPr>
              <w:t>传统食用油、色拉调味料、</w:t>
            </w:r>
          </w:p>
          <w:p w:rsidR="00EA40A3" w:rsidRDefault="00E86C16">
            <w:pPr>
              <w:spacing w:before="10" w:line="218" w:lineRule="auto"/>
              <w:ind w:left="248"/>
              <w:rPr>
                <w:rFonts w:ascii="宋体" w:eastAsia="宋体" w:hAnsi="宋体" w:cs="宋体"/>
                <w:sz w:val="16"/>
                <w:szCs w:val="16"/>
              </w:rPr>
            </w:pPr>
            <w:r>
              <w:rPr>
                <w:rFonts w:ascii="宋体" w:eastAsia="宋体" w:hAnsi="宋体" w:cs="宋体"/>
                <w:spacing w:val="-1"/>
                <w:sz w:val="16"/>
                <w:szCs w:val="16"/>
              </w:rPr>
              <w:t>焙烤食品、涂抹食品和冰</w:t>
            </w:r>
            <w:r>
              <w:rPr>
                <w:rFonts w:ascii="宋体" w:eastAsia="宋体" w:hAnsi="宋体" w:cs="宋体"/>
                <w:spacing w:val="4"/>
                <w:sz w:val="16"/>
                <w:szCs w:val="16"/>
              </w:rPr>
              <w:t xml:space="preserve">  </w:t>
            </w:r>
            <w:r>
              <w:rPr>
                <w:rFonts w:ascii="宋体" w:eastAsia="宋体" w:hAnsi="宋体" w:cs="宋体"/>
                <w:spacing w:val="-1"/>
                <w:sz w:val="16"/>
                <w:szCs w:val="16"/>
              </w:rPr>
              <w:t>无毒</w:t>
            </w:r>
          </w:p>
          <w:p w:rsidR="00EA40A3" w:rsidRDefault="00E86C16">
            <w:pPr>
              <w:spacing w:line="217" w:lineRule="auto"/>
              <w:ind w:left="248"/>
              <w:rPr>
                <w:rFonts w:ascii="宋体" w:eastAsia="宋体" w:hAnsi="宋体" w:cs="宋体"/>
                <w:sz w:val="16"/>
                <w:szCs w:val="16"/>
              </w:rPr>
            </w:pPr>
            <w:r>
              <w:rPr>
                <w:rFonts w:ascii="宋体" w:eastAsia="宋体" w:hAnsi="宋体" w:cs="宋体"/>
                <w:spacing w:val="-2"/>
                <w:sz w:val="16"/>
                <w:szCs w:val="16"/>
              </w:rPr>
              <w:t>淇淋等</w:t>
            </w:r>
          </w:p>
        </w:tc>
      </w:tr>
      <w:tr w:rsidR="00EA40A3">
        <w:trPr>
          <w:trHeight w:val="953"/>
        </w:trPr>
        <w:tc>
          <w:tcPr>
            <w:tcW w:w="895" w:type="dxa"/>
            <w:tcBorders>
              <w:left w:val="nil"/>
              <w:right w:val="nil"/>
            </w:tcBorders>
          </w:tcPr>
          <w:p w:rsidR="00EA40A3" w:rsidRDefault="00E86C16">
            <w:pPr>
              <w:spacing w:before="234" w:line="219" w:lineRule="auto"/>
              <w:ind w:left="119"/>
              <w:rPr>
                <w:rFonts w:ascii="宋体" w:eastAsia="宋体" w:hAnsi="宋体" w:cs="宋体"/>
                <w:sz w:val="16"/>
                <w:szCs w:val="16"/>
              </w:rPr>
            </w:pPr>
            <w:r>
              <w:rPr>
                <w:rFonts w:ascii="宋体" w:eastAsia="宋体" w:hAnsi="宋体" w:cs="宋体"/>
                <w:spacing w:val="-2"/>
                <w:sz w:val="16"/>
                <w:szCs w:val="16"/>
              </w:rPr>
              <w:t>三烷氧基</w:t>
            </w:r>
          </w:p>
          <w:p w:rsidR="00EA40A3" w:rsidRDefault="00E86C16">
            <w:pPr>
              <w:spacing w:before="1" w:line="220" w:lineRule="auto"/>
              <w:ind w:left="119"/>
              <w:rPr>
                <w:rFonts w:ascii="宋体" w:eastAsia="宋体" w:hAnsi="宋体" w:cs="宋体"/>
                <w:sz w:val="16"/>
                <w:szCs w:val="16"/>
              </w:rPr>
            </w:pPr>
            <w:r>
              <w:rPr>
                <w:rFonts w:ascii="宋体" w:eastAsia="宋体" w:hAnsi="宋体" w:cs="宋体"/>
                <w:spacing w:val="-2"/>
                <w:sz w:val="16"/>
                <w:szCs w:val="16"/>
              </w:rPr>
              <w:t>丙三羧酸</w:t>
            </w:r>
          </w:p>
          <w:p w:rsidR="00EA40A3" w:rsidRDefault="00E86C16">
            <w:pPr>
              <w:spacing w:before="10" w:line="221" w:lineRule="auto"/>
              <w:ind w:left="359"/>
              <w:rPr>
                <w:rFonts w:ascii="宋体" w:eastAsia="宋体" w:hAnsi="宋体" w:cs="宋体"/>
                <w:sz w:val="16"/>
                <w:szCs w:val="16"/>
              </w:rPr>
            </w:pPr>
            <w:r>
              <w:rPr>
                <w:rFonts w:ascii="宋体" w:eastAsia="宋体" w:hAnsi="宋体" w:cs="宋体"/>
                <w:sz w:val="16"/>
                <w:szCs w:val="16"/>
              </w:rPr>
              <w:t>酯</w:t>
            </w:r>
          </w:p>
        </w:tc>
        <w:tc>
          <w:tcPr>
            <w:tcW w:w="1983" w:type="dxa"/>
            <w:tcBorders>
              <w:left w:val="nil"/>
              <w:right w:val="nil"/>
            </w:tcBorders>
          </w:tcPr>
          <w:p w:rsidR="00EA40A3" w:rsidRDefault="00E86C16">
            <w:pPr>
              <w:spacing w:before="114" w:line="231" w:lineRule="auto"/>
              <w:ind w:left="64" w:right="69" w:hanging="10"/>
              <w:jc w:val="both"/>
              <w:rPr>
                <w:rFonts w:ascii="宋体" w:eastAsia="宋体" w:hAnsi="宋体" w:cs="宋体"/>
                <w:sz w:val="16"/>
                <w:szCs w:val="16"/>
              </w:rPr>
            </w:pPr>
            <w:r>
              <w:rPr>
                <w:rFonts w:ascii="宋体" w:eastAsia="宋体" w:hAnsi="宋体" w:cs="宋体"/>
                <w:spacing w:val="13"/>
                <w:sz w:val="16"/>
                <w:szCs w:val="16"/>
              </w:rPr>
              <w:t>热稳定性多羧酸(带2～4</w:t>
            </w:r>
            <w:r>
              <w:rPr>
                <w:rFonts w:ascii="宋体" w:eastAsia="宋体" w:hAnsi="宋体" w:cs="宋体"/>
                <w:spacing w:val="8"/>
                <w:sz w:val="16"/>
                <w:szCs w:val="16"/>
              </w:rPr>
              <w:t xml:space="preserve"> </w:t>
            </w:r>
            <w:r>
              <w:rPr>
                <w:rFonts w:ascii="宋体" w:eastAsia="宋体" w:hAnsi="宋体" w:cs="宋体"/>
                <w:spacing w:val="25"/>
                <w:sz w:val="16"/>
                <w:szCs w:val="16"/>
              </w:rPr>
              <w:t>个羧基)与醇(C8～C30</w:t>
            </w:r>
            <w:r>
              <w:rPr>
                <w:rFonts w:ascii="宋体" w:eastAsia="宋体" w:hAnsi="宋体" w:cs="宋体"/>
                <w:spacing w:val="2"/>
                <w:sz w:val="16"/>
                <w:szCs w:val="16"/>
              </w:rPr>
              <w:t xml:space="preserve"> </w:t>
            </w:r>
            <w:r>
              <w:rPr>
                <w:rFonts w:ascii="宋体" w:eastAsia="宋体" w:hAnsi="宋体" w:cs="宋体"/>
                <w:spacing w:val="8"/>
                <w:sz w:val="16"/>
                <w:szCs w:val="16"/>
              </w:rPr>
              <w:t>的线性或分支的饱和或不</w:t>
            </w:r>
            <w:r>
              <w:rPr>
                <w:rFonts w:ascii="宋体" w:eastAsia="宋体" w:hAnsi="宋体" w:cs="宋体"/>
                <w:sz w:val="16"/>
                <w:szCs w:val="16"/>
              </w:rPr>
              <w:t xml:space="preserve"> </w:t>
            </w:r>
            <w:r>
              <w:rPr>
                <w:rFonts w:ascii="宋体" w:eastAsia="宋体" w:hAnsi="宋体" w:cs="宋体"/>
                <w:spacing w:val="5"/>
                <w:sz w:val="16"/>
                <w:szCs w:val="16"/>
              </w:rPr>
              <w:t>饱和醇)的酯化产物</w:t>
            </w:r>
          </w:p>
        </w:tc>
        <w:tc>
          <w:tcPr>
            <w:tcW w:w="1013" w:type="dxa"/>
            <w:tcBorders>
              <w:left w:val="nil"/>
              <w:right w:val="nil"/>
            </w:tcBorders>
          </w:tcPr>
          <w:p w:rsidR="00EA40A3" w:rsidRDefault="00EA40A3">
            <w:pPr>
              <w:spacing w:line="351" w:lineRule="auto"/>
            </w:pPr>
          </w:p>
          <w:p w:rsidR="00EA40A3" w:rsidRDefault="00E86C16">
            <w:pPr>
              <w:spacing w:before="52" w:line="219" w:lineRule="auto"/>
              <w:ind w:left="51"/>
              <w:rPr>
                <w:rFonts w:ascii="宋体" w:eastAsia="宋体" w:hAnsi="宋体" w:cs="宋体"/>
                <w:sz w:val="16"/>
                <w:szCs w:val="16"/>
              </w:rPr>
            </w:pPr>
            <w:r>
              <w:rPr>
                <w:rFonts w:ascii="宋体" w:eastAsia="宋体" w:hAnsi="宋体" w:cs="宋体"/>
                <w:spacing w:val="-2"/>
                <w:sz w:val="16"/>
                <w:szCs w:val="16"/>
              </w:rPr>
              <w:t>低消化率</w:t>
            </w:r>
          </w:p>
        </w:tc>
        <w:tc>
          <w:tcPr>
            <w:tcW w:w="2198" w:type="dxa"/>
            <w:tcBorders>
              <w:left w:val="nil"/>
              <w:right w:val="nil"/>
            </w:tcBorders>
          </w:tcPr>
          <w:p w:rsidR="00EA40A3" w:rsidRDefault="00E86C16">
            <w:pPr>
              <w:spacing w:before="225" w:line="219" w:lineRule="auto"/>
              <w:ind w:left="268"/>
              <w:rPr>
                <w:rFonts w:ascii="宋体" w:eastAsia="宋体" w:hAnsi="宋体" w:cs="宋体"/>
                <w:sz w:val="16"/>
                <w:szCs w:val="16"/>
              </w:rPr>
            </w:pPr>
            <w:r>
              <w:rPr>
                <w:rFonts w:ascii="宋体" w:eastAsia="宋体" w:hAnsi="宋体" w:cs="宋体"/>
                <w:spacing w:val="-1"/>
                <w:sz w:val="16"/>
                <w:szCs w:val="16"/>
              </w:rPr>
              <w:t>油炸用油、起酥油、焙烤</w:t>
            </w:r>
          </w:p>
          <w:p w:rsidR="00EA40A3" w:rsidRDefault="00E86C16">
            <w:pPr>
              <w:spacing w:before="10" w:line="219" w:lineRule="auto"/>
              <w:ind w:left="178" w:right="175" w:firstLine="89"/>
              <w:rPr>
                <w:rFonts w:ascii="宋体" w:eastAsia="宋体" w:hAnsi="宋体" w:cs="宋体"/>
                <w:sz w:val="16"/>
                <w:szCs w:val="16"/>
              </w:rPr>
            </w:pPr>
            <w:r>
              <w:rPr>
                <w:rFonts w:ascii="宋体" w:eastAsia="宋体" w:hAnsi="宋体" w:cs="宋体"/>
                <w:spacing w:val="-1"/>
                <w:sz w:val="16"/>
                <w:szCs w:val="16"/>
              </w:rPr>
              <w:t>食品、色拉调味料、人造</w:t>
            </w:r>
            <w:r>
              <w:rPr>
                <w:rFonts w:ascii="宋体" w:eastAsia="宋体" w:hAnsi="宋体" w:cs="宋体"/>
                <w:spacing w:val="3"/>
                <w:sz w:val="16"/>
                <w:szCs w:val="16"/>
              </w:rPr>
              <w:t xml:space="preserve"> </w:t>
            </w:r>
            <w:r>
              <w:rPr>
                <w:rFonts w:ascii="宋体" w:eastAsia="宋体" w:hAnsi="宋体" w:cs="宋体"/>
                <w:spacing w:val="-1"/>
                <w:sz w:val="16"/>
                <w:szCs w:val="16"/>
              </w:rPr>
              <w:t>奶油和蛋黄酱等</w:t>
            </w:r>
          </w:p>
        </w:tc>
        <w:tc>
          <w:tcPr>
            <w:tcW w:w="1270" w:type="dxa"/>
            <w:tcBorders>
              <w:left w:val="nil"/>
              <w:right w:val="nil"/>
            </w:tcBorders>
          </w:tcPr>
          <w:p w:rsidR="00EA40A3" w:rsidRDefault="00E86C16">
            <w:pPr>
              <w:spacing w:before="115" w:line="228" w:lineRule="auto"/>
              <w:ind w:left="60" w:right="238"/>
              <w:jc w:val="both"/>
              <w:rPr>
                <w:rFonts w:ascii="宋体" w:eastAsia="宋体" w:hAnsi="宋体" w:cs="宋体"/>
                <w:sz w:val="16"/>
                <w:szCs w:val="16"/>
              </w:rPr>
            </w:pPr>
            <w:r>
              <w:rPr>
                <w:rFonts w:ascii="宋体" w:eastAsia="宋体" w:hAnsi="宋体" w:cs="宋体"/>
                <w:spacing w:val="1"/>
                <w:sz w:val="16"/>
                <w:szCs w:val="16"/>
              </w:rPr>
              <w:t>高剂量有一定</w:t>
            </w:r>
            <w:r>
              <w:rPr>
                <w:rFonts w:ascii="宋体" w:eastAsia="宋体" w:hAnsi="宋体" w:cs="宋体"/>
                <w:spacing w:val="3"/>
                <w:sz w:val="16"/>
                <w:szCs w:val="16"/>
              </w:rPr>
              <w:t xml:space="preserve"> </w:t>
            </w:r>
            <w:r>
              <w:rPr>
                <w:rFonts w:ascii="宋体" w:eastAsia="宋体" w:hAnsi="宋体" w:cs="宋体"/>
                <w:spacing w:val="-2"/>
                <w:sz w:val="16"/>
                <w:szCs w:val="16"/>
              </w:rPr>
              <w:t>毒性，小鼠实</w:t>
            </w:r>
            <w:r>
              <w:rPr>
                <w:rFonts w:ascii="宋体" w:eastAsia="宋体" w:hAnsi="宋体" w:cs="宋体"/>
                <w:spacing w:val="3"/>
                <w:sz w:val="16"/>
                <w:szCs w:val="16"/>
              </w:rPr>
              <w:t xml:space="preserve"> </w:t>
            </w:r>
            <w:r>
              <w:rPr>
                <w:rFonts w:ascii="宋体" w:eastAsia="宋体" w:hAnsi="宋体" w:cs="宋体"/>
                <w:spacing w:val="-1"/>
                <w:sz w:val="16"/>
                <w:szCs w:val="16"/>
              </w:rPr>
              <w:t>验中致泻阈值</w:t>
            </w:r>
            <w:r>
              <w:rPr>
                <w:rFonts w:ascii="宋体" w:eastAsia="宋体" w:hAnsi="宋体" w:cs="宋体"/>
                <w:sz w:val="16"/>
                <w:szCs w:val="16"/>
              </w:rPr>
              <w:t xml:space="preserve"> </w:t>
            </w:r>
            <w:r>
              <w:rPr>
                <w:rFonts w:ascii="宋体" w:eastAsia="宋体" w:hAnsi="宋体" w:cs="宋体"/>
                <w:spacing w:val="-1"/>
                <w:sz w:val="16"/>
                <w:szCs w:val="16"/>
              </w:rPr>
              <w:t>小于0.5g</w:t>
            </w:r>
          </w:p>
        </w:tc>
      </w:tr>
    </w:tbl>
    <w:p w:rsidR="00EA40A3" w:rsidRDefault="00EA40A3">
      <w:pPr>
        <w:spacing w:line="243" w:lineRule="auto"/>
      </w:pPr>
    </w:p>
    <w:p w:rsidR="00EA40A3" w:rsidRDefault="00E86C16">
      <w:pPr>
        <w:spacing w:before="52"/>
        <w:ind w:left="89"/>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290</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954" w:bottom="400" w:left="840" w:header="0" w:footer="0" w:gutter="0"/>
          <w:cols w:space="720"/>
        </w:sectPr>
      </w:pPr>
    </w:p>
    <w:p w:rsidR="00EA40A3" w:rsidRDefault="00EA40A3">
      <w:pPr>
        <w:spacing w:line="275" w:lineRule="auto"/>
      </w:pPr>
    </w:p>
    <w:p w:rsidR="00EA40A3" w:rsidRDefault="00EA40A3">
      <w:pPr>
        <w:spacing w:line="276" w:lineRule="auto"/>
      </w:pPr>
    </w:p>
    <w:p w:rsidR="00EA40A3" w:rsidRDefault="00E86C16">
      <w:pPr>
        <w:spacing w:before="52" w:line="217" w:lineRule="auto"/>
        <w:ind w:right="134"/>
        <w:jc w:val="right"/>
        <w:rPr>
          <w:rFonts w:ascii="宋体" w:eastAsia="宋体" w:hAnsi="宋体" w:cs="宋体"/>
          <w:sz w:val="16"/>
          <w:szCs w:val="16"/>
        </w:rPr>
      </w:pPr>
      <w:r>
        <w:rPr>
          <w:rFonts w:ascii="宋体" w:eastAsia="宋体" w:hAnsi="宋体" w:cs="宋体"/>
          <w:spacing w:val="-3"/>
          <w:sz w:val="16"/>
          <w:szCs w:val="16"/>
        </w:rPr>
        <w:t>续表</w:t>
      </w:r>
    </w:p>
    <w:tbl>
      <w:tblPr>
        <w:tblStyle w:val="TableNormal"/>
        <w:tblW w:w="737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89"/>
        <w:gridCol w:w="3073"/>
        <w:gridCol w:w="2158"/>
        <w:gridCol w:w="55"/>
        <w:gridCol w:w="1295"/>
      </w:tblGrid>
      <w:tr w:rsidR="00EA40A3">
        <w:trPr>
          <w:trHeight w:val="254"/>
        </w:trPr>
        <w:tc>
          <w:tcPr>
            <w:tcW w:w="3862" w:type="dxa"/>
            <w:gridSpan w:val="2"/>
            <w:tcBorders>
              <w:top w:val="single" w:sz="4" w:space="0" w:color="000000"/>
              <w:bottom w:val="single" w:sz="4" w:space="0" w:color="000000"/>
            </w:tcBorders>
          </w:tcPr>
          <w:p w:rsidR="00EA40A3" w:rsidRDefault="00E86C16">
            <w:pPr>
              <w:spacing w:before="71" w:line="211" w:lineRule="auto"/>
              <w:ind w:left="299"/>
              <w:rPr>
                <w:rFonts w:ascii="宋体" w:eastAsia="宋体" w:hAnsi="宋体" w:cs="宋体"/>
                <w:sz w:val="16"/>
                <w:szCs w:val="16"/>
              </w:rPr>
            </w:pPr>
            <w:r>
              <w:rPr>
                <w:rFonts w:ascii="宋体" w:eastAsia="宋体" w:hAnsi="宋体" w:cs="宋体"/>
                <w:sz w:val="16"/>
                <w:szCs w:val="16"/>
              </w:rPr>
              <w:t>产品</w:t>
            </w:r>
            <w:r>
              <w:rPr>
                <w:rFonts w:ascii="宋体" w:eastAsia="宋体" w:hAnsi="宋体" w:cs="宋体"/>
                <w:spacing w:val="5"/>
                <w:sz w:val="16"/>
                <w:szCs w:val="16"/>
              </w:rPr>
              <w:t xml:space="preserve">           </w:t>
            </w:r>
            <w:r>
              <w:rPr>
                <w:rFonts w:ascii="宋体" w:eastAsia="宋体" w:hAnsi="宋体" w:cs="宋体"/>
                <w:sz w:val="16"/>
                <w:szCs w:val="16"/>
              </w:rPr>
              <w:t>化学组成</w:t>
            </w:r>
            <w:r>
              <w:rPr>
                <w:rFonts w:ascii="宋体" w:eastAsia="宋体" w:hAnsi="宋体" w:cs="宋体"/>
                <w:spacing w:val="4"/>
                <w:sz w:val="16"/>
                <w:szCs w:val="16"/>
              </w:rPr>
              <w:t xml:space="preserve">             </w:t>
            </w:r>
            <w:r>
              <w:rPr>
                <w:rFonts w:ascii="宋体" w:eastAsia="宋体" w:hAnsi="宋体" w:cs="宋体"/>
                <w:sz w:val="16"/>
                <w:szCs w:val="16"/>
              </w:rPr>
              <w:t>热量</w:t>
            </w:r>
          </w:p>
        </w:tc>
        <w:tc>
          <w:tcPr>
            <w:tcW w:w="2213" w:type="dxa"/>
            <w:gridSpan w:val="2"/>
            <w:tcBorders>
              <w:top w:val="single" w:sz="4" w:space="0" w:color="000000"/>
              <w:bottom w:val="single" w:sz="4" w:space="0" w:color="000000"/>
            </w:tcBorders>
          </w:tcPr>
          <w:p w:rsidR="00EA40A3" w:rsidRDefault="00E86C16">
            <w:pPr>
              <w:spacing w:before="82" w:line="198" w:lineRule="auto"/>
              <w:ind w:left="737"/>
              <w:rPr>
                <w:rFonts w:ascii="宋体" w:eastAsia="宋体" w:hAnsi="宋体" w:cs="宋体"/>
                <w:sz w:val="16"/>
                <w:szCs w:val="16"/>
              </w:rPr>
            </w:pPr>
            <w:r>
              <w:rPr>
                <w:rFonts w:ascii="宋体" w:eastAsia="宋体" w:hAnsi="宋体" w:cs="宋体"/>
                <w:spacing w:val="2"/>
                <w:sz w:val="16"/>
                <w:szCs w:val="16"/>
              </w:rPr>
              <w:t>应用食品体系</w:t>
            </w:r>
          </w:p>
        </w:tc>
        <w:tc>
          <w:tcPr>
            <w:tcW w:w="1295" w:type="dxa"/>
            <w:tcBorders>
              <w:top w:val="single" w:sz="4" w:space="0" w:color="000000"/>
              <w:bottom w:val="single" w:sz="4" w:space="0" w:color="000000"/>
            </w:tcBorders>
          </w:tcPr>
          <w:p w:rsidR="00EA40A3" w:rsidRDefault="00E86C16">
            <w:pPr>
              <w:spacing w:before="81" w:line="199" w:lineRule="auto"/>
              <w:ind w:left="204"/>
              <w:rPr>
                <w:rFonts w:ascii="宋体" w:eastAsia="宋体" w:hAnsi="宋体" w:cs="宋体"/>
                <w:sz w:val="16"/>
                <w:szCs w:val="16"/>
              </w:rPr>
            </w:pPr>
            <w:r>
              <w:rPr>
                <w:rFonts w:ascii="宋体" w:eastAsia="宋体" w:hAnsi="宋体" w:cs="宋体"/>
                <w:spacing w:val="-1"/>
                <w:sz w:val="16"/>
                <w:szCs w:val="16"/>
              </w:rPr>
              <w:t>潜在营养问题</w:t>
            </w:r>
          </w:p>
        </w:tc>
      </w:tr>
      <w:tr w:rsidR="00EA40A3">
        <w:trPr>
          <w:trHeight w:val="658"/>
        </w:trPr>
        <w:tc>
          <w:tcPr>
            <w:tcW w:w="3862" w:type="dxa"/>
            <w:gridSpan w:val="2"/>
            <w:tcBorders>
              <w:top w:val="single" w:sz="4" w:space="0" w:color="000000"/>
              <w:bottom w:val="single" w:sz="4" w:space="0" w:color="000000"/>
            </w:tcBorders>
          </w:tcPr>
          <w:p w:rsidR="00EA40A3" w:rsidRDefault="00E86C16">
            <w:pPr>
              <w:spacing w:before="107" w:line="207" w:lineRule="auto"/>
              <w:ind w:left="939"/>
              <w:rPr>
                <w:rFonts w:ascii="宋体" w:eastAsia="宋体" w:hAnsi="宋体" w:cs="宋体"/>
                <w:sz w:val="16"/>
                <w:szCs w:val="16"/>
              </w:rPr>
            </w:pPr>
            <w:r>
              <w:rPr>
                <w:rFonts w:ascii="宋体" w:eastAsia="宋体" w:hAnsi="宋体" w:cs="宋体"/>
                <w:spacing w:val="-1"/>
                <w:sz w:val="16"/>
                <w:szCs w:val="16"/>
              </w:rPr>
              <w:t>丙二酸酯，酯基部分由12</w:t>
            </w:r>
          </w:p>
          <w:p w:rsidR="00EA40A3" w:rsidRDefault="00E86C16">
            <w:pPr>
              <w:spacing w:line="214" w:lineRule="auto"/>
              <w:ind w:left="939" w:right="360" w:hanging="789"/>
              <w:rPr>
                <w:rFonts w:ascii="宋体" w:eastAsia="宋体" w:hAnsi="宋体" w:cs="宋体"/>
                <w:sz w:val="16"/>
                <w:szCs w:val="16"/>
              </w:rPr>
            </w:pPr>
            <w:r>
              <w:rPr>
                <w:rFonts w:ascii="宋体" w:eastAsia="宋体" w:hAnsi="宋体" w:cs="宋体"/>
                <w:spacing w:val="-1"/>
                <w:sz w:val="16"/>
                <w:szCs w:val="16"/>
              </w:rPr>
              <w:t>二元酸酯～18碳原子组成，烷基由几乎不能消化</w:t>
            </w:r>
            <w:r>
              <w:rPr>
                <w:rFonts w:ascii="宋体" w:eastAsia="宋体" w:hAnsi="宋体" w:cs="宋体"/>
                <w:spacing w:val="12"/>
                <w:sz w:val="16"/>
                <w:szCs w:val="16"/>
              </w:rPr>
              <w:t xml:space="preserve"> </w:t>
            </w:r>
            <w:r>
              <w:rPr>
                <w:rFonts w:ascii="宋体" w:eastAsia="宋体" w:hAnsi="宋体" w:cs="宋体"/>
                <w:sz w:val="16"/>
                <w:szCs w:val="16"/>
              </w:rPr>
              <w:t>1～20碳原子组成</w:t>
            </w:r>
          </w:p>
        </w:tc>
        <w:tc>
          <w:tcPr>
            <w:tcW w:w="2213" w:type="dxa"/>
            <w:gridSpan w:val="2"/>
            <w:tcBorders>
              <w:top w:val="single" w:sz="4" w:space="0" w:color="000000"/>
              <w:bottom w:val="single" w:sz="4" w:space="0" w:color="000000"/>
            </w:tcBorders>
          </w:tcPr>
          <w:p w:rsidR="00EA40A3" w:rsidRDefault="00E86C16">
            <w:pPr>
              <w:spacing w:before="198" w:line="213" w:lineRule="auto"/>
              <w:ind w:left="268" w:right="86" w:firstLine="9"/>
              <w:rPr>
                <w:rFonts w:ascii="宋体" w:eastAsia="宋体" w:hAnsi="宋体" w:cs="宋体"/>
                <w:sz w:val="16"/>
                <w:szCs w:val="16"/>
              </w:rPr>
            </w:pPr>
            <w:r>
              <w:rPr>
                <w:rFonts w:ascii="宋体" w:eastAsia="宋体" w:hAnsi="宋体" w:cs="宋体"/>
                <w:spacing w:val="8"/>
                <w:sz w:val="16"/>
                <w:szCs w:val="16"/>
              </w:rPr>
              <w:t>人造奶油、蛋黄酱、油炸</w:t>
            </w:r>
            <w:r>
              <w:rPr>
                <w:rFonts w:ascii="宋体" w:eastAsia="宋体" w:hAnsi="宋体" w:cs="宋体"/>
                <w:sz w:val="16"/>
                <w:szCs w:val="16"/>
              </w:rPr>
              <w:t xml:space="preserve"> </w:t>
            </w:r>
            <w:r>
              <w:rPr>
                <w:rFonts w:ascii="宋体" w:eastAsia="宋体" w:hAnsi="宋体" w:cs="宋体"/>
                <w:spacing w:val="-2"/>
                <w:sz w:val="16"/>
                <w:szCs w:val="16"/>
              </w:rPr>
              <w:t>用油等</w:t>
            </w:r>
          </w:p>
        </w:tc>
        <w:tc>
          <w:tcPr>
            <w:tcW w:w="1295" w:type="dxa"/>
            <w:tcBorders>
              <w:top w:val="single" w:sz="4" w:space="0" w:color="000000"/>
              <w:bottom w:val="single" w:sz="4" w:space="0" w:color="000000"/>
            </w:tcBorders>
          </w:tcPr>
          <w:p w:rsidR="00EA40A3" w:rsidRDefault="00E86C16">
            <w:pPr>
              <w:spacing w:before="247" w:line="219" w:lineRule="auto"/>
              <w:ind w:left="104"/>
              <w:rPr>
                <w:rFonts w:ascii="宋体" w:eastAsia="宋体" w:hAnsi="宋体" w:cs="宋体"/>
                <w:sz w:val="16"/>
                <w:szCs w:val="16"/>
              </w:rPr>
            </w:pPr>
            <w:r>
              <w:rPr>
                <w:rFonts w:ascii="宋体" w:eastAsia="宋体" w:hAnsi="宋体" w:cs="宋体"/>
                <w:spacing w:val="-2"/>
                <w:sz w:val="16"/>
                <w:szCs w:val="16"/>
              </w:rPr>
              <w:t>无毒</w:t>
            </w:r>
          </w:p>
        </w:tc>
      </w:tr>
      <w:tr w:rsidR="00EA40A3">
        <w:trPr>
          <w:trHeight w:val="290"/>
        </w:trPr>
        <w:tc>
          <w:tcPr>
            <w:tcW w:w="3862" w:type="dxa"/>
            <w:gridSpan w:val="2"/>
            <w:tcBorders>
              <w:top w:val="single" w:sz="4" w:space="0" w:color="000000"/>
            </w:tcBorders>
          </w:tcPr>
          <w:p w:rsidR="00EA40A3" w:rsidRDefault="00E86C16">
            <w:pPr>
              <w:spacing w:before="120" w:line="196" w:lineRule="auto"/>
              <w:ind w:left="939"/>
              <w:rPr>
                <w:rFonts w:ascii="宋体" w:eastAsia="宋体" w:hAnsi="宋体" w:cs="宋体"/>
                <w:sz w:val="16"/>
                <w:szCs w:val="16"/>
              </w:rPr>
            </w:pPr>
            <w:r>
              <w:rPr>
                <w:rFonts w:ascii="宋体" w:eastAsia="宋体" w:hAnsi="宋体" w:cs="宋体"/>
                <w:spacing w:val="1"/>
                <w:sz w:val="16"/>
                <w:szCs w:val="16"/>
              </w:rPr>
              <w:t>由长链单不饱和脂肪酸和</w:t>
            </w:r>
          </w:p>
        </w:tc>
        <w:tc>
          <w:tcPr>
            <w:tcW w:w="2213" w:type="dxa"/>
            <w:gridSpan w:val="2"/>
            <w:tcBorders>
              <w:top w:val="single" w:sz="4" w:space="0" w:color="000000"/>
            </w:tcBorders>
          </w:tcPr>
          <w:p w:rsidR="00EA40A3" w:rsidRDefault="00EA40A3"/>
        </w:tc>
        <w:tc>
          <w:tcPr>
            <w:tcW w:w="1295" w:type="dxa"/>
            <w:tcBorders>
              <w:top w:val="single" w:sz="4" w:space="0" w:color="000000"/>
            </w:tcBorders>
          </w:tcPr>
          <w:p w:rsidR="00EA40A3" w:rsidRDefault="00E86C16">
            <w:pPr>
              <w:spacing w:before="109" w:line="208" w:lineRule="auto"/>
              <w:ind w:left="114"/>
              <w:rPr>
                <w:rFonts w:ascii="宋体" w:eastAsia="宋体" w:hAnsi="宋体" w:cs="宋体"/>
                <w:sz w:val="16"/>
                <w:szCs w:val="16"/>
              </w:rPr>
            </w:pPr>
            <w:r>
              <w:rPr>
                <w:rFonts w:ascii="宋体" w:eastAsia="宋体" w:hAnsi="宋体" w:cs="宋体"/>
                <w:spacing w:val="-1"/>
                <w:sz w:val="16"/>
                <w:szCs w:val="16"/>
              </w:rPr>
              <w:t>影响脂溶性维</w:t>
            </w:r>
          </w:p>
        </w:tc>
      </w:tr>
      <w:tr w:rsidR="00EA40A3">
        <w:trPr>
          <w:trHeight w:val="574"/>
        </w:trPr>
        <w:tc>
          <w:tcPr>
            <w:tcW w:w="3862" w:type="dxa"/>
            <w:gridSpan w:val="2"/>
          </w:tcPr>
          <w:p w:rsidR="00EA40A3" w:rsidRDefault="00E86C16">
            <w:pPr>
              <w:spacing w:before="20" w:line="220" w:lineRule="auto"/>
              <w:ind w:left="939"/>
              <w:rPr>
                <w:rFonts w:ascii="宋体" w:eastAsia="宋体" w:hAnsi="宋体" w:cs="宋体"/>
                <w:sz w:val="16"/>
                <w:szCs w:val="16"/>
              </w:rPr>
            </w:pPr>
            <w:r>
              <w:rPr>
                <w:rFonts w:ascii="宋体" w:eastAsia="宋体" w:hAnsi="宋体" w:cs="宋体"/>
                <w:spacing w:val="-1"/>
                <w:sz w:val="16"/>
                <w:szCs w:val="16"/>
              </w:rPr>
              <w:t>脂肪醇组成的线性酯混合</w:t>
            </w:r>
          </w:p>
          <w:p w:rsidR="00EA40A3" w:rsidRDefault="00E86C16">
            <w:pPr>
              <w:spacing w:before="8" w:line="208" w:lineRule="auto"/>
              <w:ind w:left="130"/>
              <w:rPr>
                <w:rFonts w:ascii="宋体" w:eastAsia="宋体" w:hAnsi="宋体" w:cs="宋体"/>
                <w:sz w:val="16"/>
                <w:szCs w:val="16"/>
              </w:rPr>
            </w:pPr>
            <w:r>
              <w:rPr>
                <w:rFonts w:ascii="宋体" w:eastAsia="宋体" w:hAnsi="宋体" w:cs="宋体"/>
                <w:spacing w:val="-1"/>
                <w:sz w:val="16"/>
                <w:szCs w:val="16"/>
              </w:rPr>
              <w:t>霍霍巴油</w:t>
            </w:r>
            <w:r>
              <w:rPr>
                <w:rFonts w:ascii="宋体" w:eastAsia="宋体" w:hAnsi="宋体" w:cs="宋体"/>
                <w:spacing w:val="7"/>
                <w:sz w:val="16"/>
                <w:szCs w:val="16"/>
              </w:rPr>
              <w:t xml:space="preserve">  </w:t>
            </w:r>
            <w:r>
              <w:rPr>
                <w:rFonts w:ascii="宋体" w:eastAsia="宋体" w:hAnsi="宋体" w:cs="宋体"/>
                <w:spacing w:val="-1"/>
                <w:sz w:val="16"/>
                <w:szCs w:val="16"/>
              </w:rPr>
              <w:t>物，酸和醇部分含有20～消化率约20%</w:t>
            </w:r>
          </w:p>
          <w:p w:rsidR="00EA40A3" w:rsidRDefault="00E86C16">
            <w:pPr>
              <w:spacing w:line="201" w:lineRule="auto"/>
              <w:ind w:left="939"/>
              <w:rPr>
                <w:rFonts w:ascii="宋体" w:eastAsia="宋体" w:hAnsi="宋体" w:cs="宋体"/>
                <w:sz w:val="16"/>
                <w:szCs w:val="16"/>
              </w:rPr>
            </w:pPr>
            <w:r>
              <w:rPr>
                <w:rFonts w:ascii="宋体" w:eastAsia="宋体" w:hAnsi="宋体" w:cs="宋体"/>
                <w:spacing w:val="1"/>
                <w:sz w:val="16"/>
                <w:szCs w:val="16"/>
              </w:rPr>
              <w:t>22碳原子和一个不饱和</w:t>
            </w:r>
          </w:p>
        </w:tc>
        <w:tc>
          <w:tcPr>
            <w:tcW w:w="2213" w:type="dxa"/>
            <w:gridSpan w:val="2"/>
          </w:tcPr>
          <w:p w:rsidR="00EA40A3" w:rsidRDefault="00E86C16">
            <w:pPr>
              <w:spacing w:before="120" w:line="213" w:lineRule="auto"/>
              <w:ind w:left="267" w:right="107" w:hanging="10"/>
              <w:rPr>
                <w:rFonts w:ascii="宋体" w:eastAsia="宋体" w:hAnsi="宋体" w:cs="宋体"/>
                <w:sz w:val="16"/>
                <w:szCs w:val="16"/>
              </w:rPr>
            </w:pPr>
            <w:r>
              <w:rPr>
                <w:rFonts w:ascii="宋体" w:eastAsia="宋体" w:hAnsi="宋体" w:cs="宋体"/>
                <w:spacing w:val="7"/>
                <w:sz w:val="16"/>
                <w:szCs w:val="16"/>
              </w:rPr>
              <w:t>人造奶油、油炸食品、蛋</w:t>
            </w:r>
            <w:r>
              <w:rPr>
                <w:rFonts w:ascii="宋体" w:eastAsia="宋体" w:hAnsi="宋体" w:cs="宋体"/>
                <w:spacing w:val="9"/>
                <w:sz w:val="16"/>
                <w:szCs w:val="16"/>
              </w:rPr>
              <w:t xml:space="preserve"> </w:t>
            </w:r>
            <w:r>
              <w:rPr>
                <w:rFonts w:ascii="宋体" w:eastAsia="宋体" w:hAnsi="宋体" w:cs="宋体"/>
                <w:spacing w:val="-3"/>
                <w:sz w:val="16"/>
                <w:szCs w:val="16"/>
              </w:rPr>
              <w:t>糕</w:t>
            </w:r>
            <w:r>
              <w:rPr>
                <w:rFonts w:ascii="宋体" w:eastAsia="宋体" w:hAnsi="宋体" w:cs="宋体"/>
                <w:spacing w:val="-20"/>
                <w:sz w:val="16"/>
                <w:szCs w:val="16"/>
              </w:rPr>
              <w:t xml:space="preserve"> </w:t>
            </w:r>
            <w:r>
              <w:rPr>
                <w:rFonts w:ascii="宋体" w:eastAsia="宋体" w:hAnsi="宋体" w:cs="宋体"/>
                <w:spacing w:val="-3"/>
                <w:sz w:val="16"/>
                <w:szCs w:val="16"/>
              </w:rPr>
              <w:t>等</w:t>
            </w:r>
          </w:p>
        </w:tc>
        <w:tc>
          <w:tcPr>
            <w:tcW w:w="1295" w:type="dxa"/>
          </w:tcPr>
          <w:p w:rsidR="00EA40A3" w:rsidRDefault="00E86C16">
            <w:pPr>
              <w:spacing w:before="30" w:line="209" w:lineRule="auto"/>
              <w:ind w:left="104" w:right="140" w:firstLine="9"/>
              <w:jc w:val="both"/>
              <w:rPr>
                <w:rFonts w:ascii="宋体" w:eastAsia="宋体" w:hAnsi="宋体" w:cs="宋体"/>
                <w:sz w:val="16"/>
                <w:szCs w:val="16"/>
              </w:rPr>
            </w:pPr>
            <w:r>
              <w:rPr>
                <w:rFonts w:ascii="宋体" w:eastAsia="宋体" w:hAnsi="宋体" w:cs="宋体"/>
                <w:spacing w:val="13"/>
                <w:sz w:val="16"/>
                <w:szCs w:val="16"/>
              </w:rPr>
              <w:t>生素的吸收，</w:t>
            </w:r>
            <w:r>
              <w:rPr>
                <w:rFonts w:ascii="宋体" w:eastAsia="宋体" w:hAnsi="宋体" w:cs="宋体"/>
                <w:spacing w:val="1"/>
                <w:sz w:val="16"/>
                <w:szCs w:val="16"/>
              </w:rPr>
              <w:t xml:space="preserve"> </w:t>
            </w:r>
            <w:r>
              <w:rPr>
                <w:rFonts w:ascii="宋体" w:eastAsia="宋体" w:hAnsi="宋体" w:cs="宋体"/>
                <w:spacing w:val="-1"/>
                <w:sz w:val="16"/>
                <w:szCs w:val="16"/>
              </w:rPr>
              <w:t>饲料添加量达</w:t>
            </w:r>
            <w:r>
              <w:rPr>
                <w:rFonts w:ascii="宋体" w:eastAsia="宋体" w:hAnsi="宋体" w:cs="宋体"/>
                <w:sz w:val="16"/>
                <w:szCs w:val="16"/>
              </w:rPr>
              <w:t xml:space="preserve">  </w:t>
            </w:r>
            <w:r>
              <w:rPr>
                <w:rFonts w:ascii="宋体" w:eastAsia="宋体" w:hAnsi="宋体" w:cs="宋体"/>
                <w:spacing w:val="-2"/>
                <w:sz w:val="16"/>
                <w:szCs w:val="16"/>
              </w:rPr>
              <w:t>到24%时导致</w:t>
            </w:r>
          </w:p>
        </w:tc>
      </w:tr>
      <w:tr w:rsidR="00EA40A3">
        <w:trPr>
          <w:trHeight w:val="223"/>
        </w:trPr>
        <w:tc>
          <w:tcPr>
            <w:tcW w:w="3862" w:type="dxa"/>
            <w:gridSpan w:val="2"/>
            <w:tcBorders>
              <w:bottom w:val="single" w:sz="4" w:space="0" w:color="000000"/>
            </w:tcBorders>
          </w:tcPr>
          <w:p w:rsidR="00EA40A3" w:rsidRDefault="00E86C16">
            <w:pPr>
              <w:spacing w:before="16" w:line="221" w:lineRule="auto"/>
              <w:ind w:left="939"/>
              <w:rPr>
                <w:rFonts w:ascii="宋体" w:eastAsia="宋体" w:hAnsi="宋体" w:cs="宋体"/>
                <w:sz w:val="16"/>
                <w:szCs w:val="16"/>
              </w:rPr>
            </w:pPr>
            <w:r>
              <w:rPr>
                <w:rFonts w:ascii="宋体" w:eastAsia="宋体" w:hAnsi="宋体" w:cs="宋体"/>
                <w:spacing w:val="-2"/>
                <w:sz w:val="16"/>
                <w:szCs w:val="16"/>
              </w:rPr>
              <w:t>双键</w:t>
            </w:r>
          </w:p>
        </w:tc>
        <w:tc>
          <w:tcPr>
            <w:tcW w:w="2213" w:type="dxa"/>
            <w:gridSpan w:val="2"/>
            <w:tcBorders>
              <w:bottom w:val="single" w:sz="4" w:space="0" w:color="000000"/>
            </w:tcBorders>
          </w:tcPr>
          <w:p w:rsidR="00EA40A3" w:rsidRDefault="00EA40A3">
            <w:pPr>
              <w:spacing w:line="222" w:lineRule="exact"/>
              <w:rPr>
                <w:sz w:val="19"/>
              </w:rPr>
            </w:pPr>
          </w:p>
        </w:tc>
        <w:tc>
          <w:tcPr>
            <w:tcW w:w="1295" w:type="dxa"/>
            <w:tcBorders>
              <w:bottom w:val="single" w:sz="4" w:space="0" w:color="000000"/>
            </w:tcBorders>
          </w:tcPr>
          <w:p w:rsidR="00EA40A3" w:rsidRDefault="00E86C16">
            <w:pPr>
              <w:spacing w:before="35" w:line="216" w:lineRule="auto"/>
              <w:ind w:left="104"/>
              <w:rPr>
                <w:rFonts w:ascii="宋体" w:eastAsia="宋体" w:hAnsi="宋体" w:cs="宋体"/>
                <w:sz w:val="16"/>
                <w:szCs w:val="16"/>
              </w:rPr>
            </w:pPr>
            <w:r>
              <w:rPr>
                <w:rFonts w:ascii="宋体" w:eastAsia="宋体" w:hAnsi="宋体" w:cs="宋体"/>
                <w:spacing w:val="2"/>
                <w:sz w:val="16"/>
                <w:szCs w:val="16"/>
              </w:rPr>
              <w:t>实验动物腹泻</w:t>
            </w:r>
          </w:p>
        </w:tc>
      </w:tr>
      <w:tr w:rsidR="00EA40A3">
        <w:trPr>
          <w:trHeight w:val="888"/>
        </w:trPr>
        <w:tc>
          <w:tcPr>
            <w:tcW w:w="3862" w:type="dxa"/>
            <w:gridSpan w:val="2"/>
            <w:tcBorders>
              <w:top w:val="single" w:sz="4" w:space="0" w:color="000000"/>
              <w:bottom w:val="single" w:sz="4" w:space="0" w:color="000000"/>
            </w:tcBorders>
          </w:tcPr>
          <w:p w:rsidR="00EA40A3" w:rsidRDefault="00EA40A3">
            <w:pPr>
              <w:spacing w:line="317" w:lineRule="auto"/>
            </w:pPr>
          </w:p>
          <w:p w:rsidR="00EA40A3" w:rsidRDefault="00E86C16">
            <w:pPr>
              <w:spacing w:before="52" w:line="221" w:lineRule="auto"/>
              <w:ind w:left="159"/>
              <w:rPr>
                <w:rFonts w:ascii="宋体" w:eastAsia="宋体" w:hAnsi="宋体" w:cs="宋体"/>
                <w:sz w:val="16"/>
                <w:szCs w:val="16"/>
              </w:rPr>
            </w:pPr>
            <w:r>
              <w:rPr>
                <w:rFonts w:ascii="宋体" w:eastAsia="宋体" w:hAnsi="宋体" w:cs="宋体"/>
                <w:spacing w:val="-1"/>
                <w:sz w:val="16"/>
                <w:szCs w:val="16"/>
              </w:rPr>
              <w:t>聚硅氧烷</w:t>
            </w:r>
            <w:r>
              <w:rPr>
                <w:rFonts w:ascii="宋体" w:eastAsia="宋体" w:hAnsi="宋体" w:cs="宋体"/>
                <w:spacing w:val="9"/>
                <w:sz w:val="16"/>
                <w:szCs w:val="16"/>
              </w:rPr>
              <w:t xml:space="preserve">  </w:t>
            </w:r>
            <w:r>
              <w:rPr>
                <w:rFonts w:ascii="宋体" w:eastAsia="宋体" w:hAnsi="宋体" w:cs="宋体"/>
                <w:spacing w:val="-1"/>
                <w:sz w:val="16"/>
                <w:szCs w:val="16"/>
              </w:rPr>
              <w:t>二氧化硅的有机衍生物</w:t>
            </w:r>
            <w:r>
              <w:rPr>
                <w:rFonts w:ascii="宋体" w:eastAsia="宋体" w:hAnsi="宋体" w:cs="宋体"/>
                <w:spacing w:val="5"/>
                <w:sz w:val="16"/>
                <w:szCs w:val="16"/>
              </w:rPr>
              <w:t xml:space="preserve">    </w:t>
            </w:r>
            <w:r>
              <w:rPr>
                <w:rFonts w:ascii="宋体" w:eastAsia="宋体" w:hAnsi="宋体" w:cs="宋体"/>
                <w:spacing w:val="-1"/>
                <w:sz w:val="16"/>
                <w:szCs w:val="16"/>
              </w:rPr>
              <w:t>不消化</w:t>
            </w:r>
          </w:p>
        </w:tc>
        <w:tc>
          <w:tcPr>
            <w:tcW w:w="2213" w:type="dxa"/>
            <w:gridSpan w:val="2"/>
            <w:tcBorders>
              <w:top w:val="single" w:sz="4" w:space="0" w:color="000000"/>
              <w:bottom w:val="single" w:sz="4" w:space="0" w:color="000000"/>
            </w:tcBorders>
          </w:tcPr>
          <w:p w:rsidR="00EA40A3" w:rsidRDefault="00E86C16">
            <w:pPr>
              <w:spacing w:before="111" w:line="222" w:lineRule="auto"/>
              <w:ind w:left="267" w:right="4" w:hanging="10"/>
              <w:jc w:val="both"/>
              <w:rPr>
                <w:rFonts w:ascii="宋体" w:eastAsia="宋体" w:hAnsi="宋体" w:cs="宋体"/>
                <w:sz w:val="16"/>
                <w:szCs w:val="16"/>
              </w:rPr>
            </w:pPr>
            <w:r>
              <w:rPr>
                <w:rFonts w:ascii="宋体" w:eastAsia="宋体" w:hAnsi="宋体" w:cs="宋体"/>
                <w:spacing w:val="9"/>
                <w:sz w:val="16"/>
                <w:szCs w:val="16"/>
              </w:rPr>
              <w:t>色拉油、起酥油、油炸用</w:t>
            </w:r>
            <w:r>
              <w:rPr>
                <w:rFonts w:ascii="宋体" w:eastAsia="宋体" w:hAnsi="宋体" w:cs="宋体"/>
                <w:sz w:val="16"/>
                <w:szCs w:val="16"/>
              </w:rPr>
              <w:t xml:space="preserve">  </w:t>
            </w:r>
            <w:r>
              <w:rPr>
                <w:rFonts w:ascii="宋体" w:eastAsia="宋体" w:hAnsi="宋体" w:cs="宋体"/>
                <w:spacing w:val="8"/>
                <w:sz w:val="16"/>
                <w:szCs w:val="16"/>
              </w:rPr>
              <w:t>油，花生酱、蛋黄酱、玉</w:t>
            </w:r>
            <w:r>
              <w:rPr>
                <w:rFonts w:ascii="宋体" w:eastAsia="宋体" w:hAnsi="宋体" w:cs="宋体"/>
                <w:sz w:val="16"/>
                <w:szCs w:val="16"/>
              </w:rPr>
              <w:t xml:space="preserve">  </w:t>
            </w:r>
            <w:r>
              <w:rPr>
                <w:rFonts w:ascii="宋体" w:eastAsia="宋体" w:hAnsi="宋体" w:cs="宋体"/>
                <w:spacing w:val="1"/>
                <w:sz w:val="16"/>
                <w:szCs w:val="16"/>
              </w:rPr>
              <w:t>米粒、色拉调味料、蛋糕、</w:t>
            </w:r>
            <w:r>
              <w:rPr>
                <w:rFonts w:ascii="宋体" w:eastAsia="宋体" w:hAnsi="宋体" w:cs="宋体"/>
                <w:spacing w:val="7"/>
                <w:sz w:val="16"/>
                <w:szCs w:val="16"/>
              </w:rPr>
              <w:t xml:space="preserve"> </w:t>
            </w:r>
            <w:r>
              <w:rPr>
                <w:rFonts w:ascii="宋体" w:eastAsia="宋体" w:hAnsi="宋体" w:cs="宋体"/>
                <w:spacing w:val="-1"/>
                <w:sz w:val="16"/>
                <w:szCs w:val="16"/>
              </w:rPr>
              <w:t>饼干和松饼等</w:t>
            </w:r>
          </w:p>
        </w:tc>
        <w:tc>
          <w:tcPr>
            <w:tcW w:w="1295" w:type="dxa"/>
            <w:tcBorders>
              <w:top w:val="single" w:sz="4" w:space="0" w:color="000000"/>
              <w:bottom w:val="single" w:sz="4" w:space="0" w:color="000000"/>
            </w:tcBorders>
          </w:tcPr>
          <w:p w:rsidR="00EA40A3" w:rsidRDefault="00EA40A3">
            <w:pPr>
              <w:spacing w:line="318" w:lineRule="auto"/>
            </w:pPr>
          </w:p>
          <w:p w:rsidR="00EA40A3" w:rsidRDefault="00E86C16">
            <w:pPr>
              <w:spacing w:before="52" w:line="219" w:lineRule="auto"/>
              <w:ind w:left="84"/>
              <w:rPr>
                <w:rFonts w:ascii="宋体" w:eastAsia="宋体" w:hAnsi="宋体" w:cs="宋体"/>
                <w:sz w:val="16"/>
                <w:szCs w:val="16"/>
              </w:rPr>
            </w:pPr>
            <w:r>
              <w:rPr>
                <w:rFonts w:ascii="宋体" w:eastAsia="宋体" w:hAnsi="宋体" w:cs="宋体"/>
                <w:spacing w:val="-2"/>
                <w:sz w:val="16"/>
                <w:szCs w:val="16"/>
              </w:rPr>
              <w:t>无毒</w:t>
            </w:r>
          </w:p>
        </w:tc>
      </w:tr>
      <w:tr w:rsidR="00EA40A3">
        <w:trPr>
          <w:trHeight w:val="1112"/>
        </w:trPr>
        <w:tc>
          <w:tcPr>
            <w:tcW w:w="789" w:type="dxa"/>
            <w:tcBorders>
              <w:top w:val="single" w:sz="4" w:space="0" w:color="000000"/>
              <w:bottom w:val="single" w:sz="4" w:space="0" w:color="000000"/>
              <w:right w:val="nil"/>
            </w:tcBorders>
          </w:tcPr>
          <w:p w:rsidR="00EA40A3" w:rsidRDefault="00EA40A3">
            <w:pPr>
              <w:spacing w:line="430" w:lineRule="auto"/>
            </w:pPr>
          </w:p>
          <w:p w:rsidR="00EA40A3" w:rsidRDefault="00E86C16">
            <w:pPr>
              <w:spacing w:before="52" w:line="220" w:lineRule="auto"/>
              <w:ind w:left="9"/>
              <w:rPr>
                <w:rFonts w:ascii="宋体" w:eastAsia="宋体" w:hAnsi="宋体" w:cs="宋体"/>
                <w:sz w:val="16"/>
                <w:szCs w:val="16"/>
              </w:rPr>
            </w:pPr>
            <w:r>
              <w:rPr>
                <w:rFonts w:ascii="宋体" w:eastAsia="宋体" w:hAnsi="宋体" w:cs="宋体"/>
                <w:spacing w:val="-3"/>
                <w:sz w:val="16"/>
                <w:szCs w:val="16"/>
              </w:rPr>
              <w:t>聚葡萄糖</w:t>
            </w:r>
          </w:p>
        </w:tc>
        <w:tc>
          <w:tcPr>
            <w:tcW w:w="5231" w:type="dxa"/>
            <w:gridSpan w:val="2"/>
            <w:tcBorders>
              <w:top w:val="single" w:sz="4" w:space="0" w:color="000000"/>
              <w:left w:val="nil"/>
              <w:bottom w:val="single" w:sz="4" w:space="0" w:color="000000"/>
              <w:right w:val="nil"/>
            </w:tcBorders>
          </w:tcPr>
          <w:p w:rsidR="00EA40A3" w:rsidRDefault="00E86C16">
            <w:pPr>
              <w:spacing w:before="213" w:line="215" w:lineRule="auto"/>
              <w:ind w:left="150" w:firstLine="3087"/>
              <w:rPr>
                <w:rFonts w:ascii="宋体" w:eastAsia="宋体" w:hAnsi="宋体" w:cs="宋体"/>
                <w:sz w:val="15"/>
                <w:szCs w:val="15"/>
              </w:rPr>
            </w:pPr>
            <w:r>
              <w:rPr>
                <w:rFonts w:ascii="宋体" w:eastAsia="宋体" w:hAnsi="宋体" w:cs="宋体"/>
                <w:spacing w:val="15"/>
                <w:sz w:val="15"/>
                <w:szCs w:val="15"/>
              </w:rPr>
              <w:t>冰淇淋等冷冻甜点、糖果、</w:t>
            </w:r>
            <w:r>
              <w:rPr>
                <w:rFonts w:ascii="宋体" w:eastAsia="宋体" w:hAnsi="宋体" w:cs="宋体"/>
                <w:spacing w:val="6"/>
                <w:sz w:val="15"/>
                <w:szCs w:val="15"/>
              </w:rPr>
              <w:t xml:space="preserve"> </w:t>
            </w:r>
            <w:r>
              <w:rPr>
                <w:rFonts w:ascii="宋体" w:eastAsia="宋体" w:hAnsi="宋体" w:cs="宋体"/>
                <w:spacing w:val="12"/>
                <w:sz w:val="15"/>
                <w:szCs w:val="15"/>
              </w:rPr>
              <w:t>葡萄糖聚合物(相对分子不消化，热值低蛋糕或面包</w:t>
            </w:r>
            <w:r>
              <w:rPr>
                <w:rFonts w:ascii="宋体" w:eastAsia="宋体" w:hAnsi="宋体" w:cs="宋体"/>
                <w:spacing w:val="11"/>
                <w:sz w:val="15"/>
                <w:szCs w:val="15"/>
              </w:rPr>
              <w:t>类焙烤食品、</w:t>
            </w:r>
          </w:p>
          <w:p w:rsidR="00EA40A3" w:rsidRDefault="00E86C16">
            <w:pPr>
              <w:spacing w:before="37" w:line="219" w:lineRule="auto"/>
              <w:ind w:left="150"/>
              <w:rPr>
                <w:rFonts w:ascii="宋体" w:eastAsia="宋体" w:hAnsi="宋体" w:cs="宋体"/>
                <w:sz w:val="16"/>
                <w:szCs w:val="16"/>
              </w:rPr>
            </w:pPr>
            <w:r>
              <w:rPr>
                <w:rFonts w:ascii="宋体" w:eastAsia="宋体" w:hAnsi="宋体" w:cs="宋体"/>
                <w:spacing w:val="-1"/>
                <w:sz w:val="16"/>
                <w:szCs w:val="16"/>
              </w:rPr>
              <w:t>质量为1500～2500左右)</w:t>
            </w:r>
            <w:r>
              <w:rPr>
                <w:rFonts w:ascii="宋体" w:eastAsia="宋体" w:hAnsi="宋体" w:cs="宋体"/>
                <w:spacing w:val="18"/>
                <w:sz w:val="16"/>
                <w:szCs w:val="16"/>
              </w:rPr>
              <w:t xml:space="preserve">   </w:t>
            </w:r>
            <w:r>
              <w:rPr>
                <w:rFonts w:ascii="宋体" w:eastAsia="宋体" w:hAnsi="宋体" w:cs="宋体"/>
                <w:spacing w:val="-1"/>
                <w:sz w:val="16"/>
                <w:szCs w:val="16"/>
              </w:rPr>
              <w:t>(4.18kJ</w:t>
            </w:r>
            <w:r>
              <w:rPr>
                <w:rFonts w:ascii="宋体" w:eastAsia="宋体" w:hAnsi="宋体" w:cs="宋体"/>
                <w:spacing w:val="10"/>
                <w:sz w:val="16"/>
                <w:szCs w:val="16"/>
              </w:rPr>
              <w:t xml:space="preserve"> </w:t>
            </w:r>
            <w:r>
              <w:rPr>
                <w:rFonts w:ascii="宋体" w:eastAsia="宋体" w:hAnsi="宋体" w:cs="宋体"/>
                <w:spacing w:val="-1"/>
                <w:sz w:val="16"/>
                <w:szCs w:val="16"/>
              </w:rPr>
              <w:t>/g)</w:t>
            </w:r>
            <w:r>
              <w:rPr>
                <w:rFonts w:ascii="宋体" w:eastAsia="宋体" w:hAnsi="宋体" w:cs="宋体"/>
                <w:spacing w:val="1"/>
                <w:sz w:val="16"/>
                <w:szCs w:val="16"/>
              </w:rPr>
              <w:t xml:space="preserve">    </w:t>
            </w:r>
            <w:r>
              <w:rPr>
                <w:rFonts w:ascii="宋体" w:eastAsia="宋体" w:hAnsi="宋体" w:cs="宋体"/>
                <w:spacing w:val="-1"/>
                <w:sz w:val="16"/>
                <w:szCs w:val="16"/>
              </w:rPr>
              <w:t>饮料、果酱、胶姆糖和巧</w:t>
            </w:r>
          </w:p>
          <w:p w:rsidR="00EA40A3" w:rsidRDefault="00E86C16">
            <w:pPr>
              <w:spacing w:before="5" w:line="219" w:lineRule="auto"/>
              <w:ind w:left="3320"/>
              <w:rPr>
                <w:rFonts w:ascii="宋体" w:eastAsia="宋体" w:hAnsi="宋体" w:cs="宋体"/>
                <w:sz w:val="16"/>
                <w:szCs w:val="16"/>
              </w:rPr>
            </w:pPr>
            <w:r>
              <w:rPr>
                <w:rFonts w:ascii="宋体" w:eastAsia="宋体" w:hAnsi="宋体" w:cs="宋体"/>
                <w:spacing w:val="3"/>
                <w:sz w:val="16"/>
                <w:szCs w:val="16"/>
              </w:rPr>
              <w:t>克力等食品</w:t>
            </w:r>
          </w:p>
        </w:tc>
        <w:tc>
          <w:tcPr>
            <w:tcW w:w="1350" w:type="dxa"/>
            <w:gridSpan w:val="2"/>
            <w:tcBorders>
              <w:top w:val="single" w:sz="4" w:space="0" w:color="000000"/>
              <w:left w:val="nil"/>
              <w:bottom w:val="single" w:sz="4" w:space="0" w:color="000000"/>
            </w:tcBorders>
          </w:tcPr>
          <w:p w:rsidR="00EA40A3" w:rsidRDefault="00E86C16">
            <w:pPr>
              <w:spacing w:before="114" w:line="226" w:lineRule="auto"/>
              <w:ind w:left="130" w:right="243" w:firstLine="29"/>
              <w:rPr>
                <w:rFonts w:ascii="宋体" w:eastAsia="宋体" w:hAnsi="宋体" w:cs="宋体"/>
                <w:sz w:val="16"/>
                <w:szCs w:val="16"/>
              </w:rPr>
            </w:pPr>
            <w:r>
              <w:rPr>
                <w:rFonts w:ascii="宋体" w:eastAsia="宋体" w:hAnsi="宋体" w:cs="宋体"/>
                <w:sz w:val="16"/>
                <w:szCs w:val="16"/>
              </w:rPr>
              <w:t>1981年，FDA</w:t>
            </w:r>
            <w:r>
              <w:rPr>
                <w:rFonts w:ascii="宋体" w:eastAsia="宋体" w:hAnsi="宋体" w:cs="宋体"/>
                <w:spacing w:val="1"/>
                <w:sz w:val="16"/>
                <w:szCs w:val="16"/>
              </w:rPr>
              <w:t xml:space="preserve">  </w:t>
            </w:r>
            <w:r>
              <w:rPr>
                <w:rFonts w:ascii="宋体" w:eastAsia="宋体" w:hAnsi="宋体" w:cs="宋体"/>
                <w:spacing w:val="2"/>
                <w:sz w:val="16"/>
                <w:szCs w:val="16"/>
              </w:rPr>
              <w:t>批准作为食品</w:t>
            </w:r>
          </w:p>
          <w:p w:rsidR="00EA40A3" w:rsidRDefault="00E86C16">
            <w:pPr>
              <w:spacing w:before="7" w:line="220" w:lineRule="auto"/>
              <w:ind w:left="148" w:right="231" w:hanging="119"/>
              <w:rPr>
                <w:rFonts w:ascii="宋体" w:eastAsia="宋体" w:hAnsi="宋体" w:cs="宋体"/>
                <w:sz w:val="16"/>
                <w:szCs w:val="16"/>
              </w:rPr>
            </w:pPr>
            <w:r>
              <w:rPr>
                <w:rFonts w:ascii="宋体" w:eastAsia="宋体" w:hAnsi="宋体" w:cs="宋体"/>
                <w:spacing w:val="-2"/>
                <w:sz w:val="16"/>
                <w:szCs w:val="16"/>
              </w:rPr>
              <w:t>添加剂。致泻</w:t>
            </w:r>
            <w:r>
              <w:rPr>
                <w:rFonts w:ascii="宋体" w:eastAsia="宋体" w:hAnsi="宋体" w:cs="宋体"/>
                <w:spacing w:val="1"/>
                <w:sz w:val="16"/>
                <w:szCs w:val="16"/>
              </w:rPr>
              <w:t xml:space="preserve">  阈值大于一些 </w:t>
            </w:r>
            <w:r>
              <w:rPr>
                <w:rFonts w:ascii="宋体" w:eastAsia="宋体" w:hAnsi="宋体" w:cs="宋体"/>
                <w:spacing w:val="-1"/>
                <w:sz w:val="16"/>
                <w:szCs w:val="16"/>
              </w:rPr>
              <w:t>低热量糖醇</w:t>
            </w:r>
          </w:p>
        </w:tc>
      </w:tr>
    </w:tbl>
    <w:p w:rsidR="00EA40A3" w:rsidRDefault="00E86C16">
      <w:pPr>
        <w:spacing w:before="102" w:line="219" w:lineRule="auto"/>
        <w:ind w:left="379"/>
        <w:rPr>
          <w:rFonts w:ascii="宋体" w:eastAsia="宋体" w:hAnsi="宋体" w:cs="宋体"/>
          <w:sz w:val="17"/>
          <w:szCs w:val="17"/>
        </w:rPr>
      </w:pPr>
      <w:r>
        <w:rPr>
          <w:rFonts w:ascii="宋体" w:eastAsia="宋体" w:hAnsi="宋体" w:cs="宋体"/>
          <w:spacing w:val="-5"/>
          <w:sz w:val="17"/>
          <w:szCs w:val="17"/>
        </w:rPr>
        <w:t>资料来源：郑建仙.1998.功能性食品.北京：中国轻工业出版社</w:t>
      </w:r>
    </w:p>
    <w:p w:rsidR="00EA40A3" w:rsidRDefault="00EA40A3">
      <w:pPr>
        <w:spacing w:line="442" w:lineRule="auto"/>
      </w:pPr>
    </w:p>
    <w:p w:rsidR="00EA40A3" w:rsidRDefault="00E86C16">
      <w:pPr>
        <w:spacing w:before="71" w:line="221"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2"/>
          <w:sz w:val="22"/>
          <w:szCs w:val="22"/>
        </w:rPr>
        <w:t xml:space="preserve"> </w:t>
      </w:r>
      <w:r>
        <w:rPr>
          <w:rFonts w:ascii="仿宋" w:eastAsia="仿宋" w:hAnsi="仿宋" w:cs="仿宋"/>
          <w:spacing w:val="11"/>
          <w:sz w:val="22"/>
          <w:szCs w:val="22"/>
        </w:rPr>
        <w:t>油脂替代物的应用</w:t>
      </w:r>
    </w:p>
    <w:p w:rsidR="00EA40A3" w:rsidRDefault="00E86C16">
      <w:pPr>
        <w:spacing w:before="210" w:line="250" w:lineRule="auto"/>
        <w:ind w:right="56" w:firstLine="439"/>
        <w:jc w:val="both"/>
        <w:rPr>
          <w:rFonts w:ascii="宋体" w:eastAsia="宋体" w:hAnsi="宋体" w:cs="宋体"/>
          <w:sz w:val="22"/>
          <w:szCs w:val="22"/>
        </w:rPr>
      </w:pPr>
      <w:r>
        <w:rPr>
          <w:rFonts w:ascii="宋体" w:eastAsia="宋体" w:hAnsi="宋体" w:cs="宋体"/>
          <w:spacing w:val="-12"/>
          <w:sz w:val="22"/>
          <w:szCs w:val="22"/>
        </w:rPr>
        <w:t>低脂冰淇淋是冷冻甜食业中发展最快的产品。通过控制原料质量、使用含焦</w:t>
      </w:r>
      <w:r>
        <w:rPr>
          <w:rFonts w:ascii="宋体" w:eastAsia="宋体" w:hAnsi="宋体" w:cs="宋体"/>
          <w:spacing w:val="17"/>
          <w:sz w:val="22"/>
          <w:szCs w:val="22"/>
        </w:rPr>
        <w:t xml:space="preserve"> </w:t>
      </w:r>
      <w:r>
        <w:rPr>
          <w:rFonts w:ascii="宋体" w:eastAsia="宋体" w:hAnsi="宋体" w:cs="宋体"/>
          <w:spacing w:val="-12"/>
          <w:sz w:val="22"/>
          <w:szCs w:val="22"/>
        </w:rPr>
        <w:t>糖的乳品基料或脂肪替代物等多种方法可改善脂肪含量降低对产品感官、货架期</w:t>
      </w:r>
      <w:r>
        <w:rPr>
          <w:rFonts w:ascii="宋体" w:eastAsia="宋体" w:hAnsi="宋体" w:cs="宋体"/>
          <w:spacing w:val="2"/>
          <w:sz w:val="22"/>
          <w:szCs w:val="22"/>
        </w:rPr>
        <w:t xml:space="preserve"> </w:t>
      </w:r>
      <w:r>
        <w:rPr>
          <w:rFonts w:ascii="宋体" w:eastAsia="宋体" w:hAnsi="宋体" w:cs="宋体"/>
          <w:spacing w:val="-12"/>
          <w:sz w:val="22"/>
          <w:szCs w:val="22"/>
        </w:rPr>
        <w:t>的影响。例如，部分变性的乳清蛋白乃一种具有纯正乳风味的基料，其中蛋白质</w:t>
      </w:r>
      <w:r>
        <w:rPr>
          <w:rFonts w:ascii="宋体" w:eastAsia="宋体" w:hAnsi="宋体" w:cs="宋体"/>
          <w:spacing w:val="12"/>
          <w:sz w:val="22"/>
          <w:szCs w:val="22"/>
        </w:rPr>
        <w:t xml:space="preserve"> </w:t>
      </w:r>
      <w:r>
        <w:rPr>
          <w:rFonts w:ascii="宋体" w:eastAsia="宋体" w:hAnsi="宋体" w:cs="宋体"/>
          <w:spacing w:val="17"/>
          <w:sz w:val="22"/>
          <w:szCs w:val="22"/>
        </w:rPr>
        <w:t>34%～37%,脂肪小于5%,10%水溶液</w:t>
      </w:r>
      <w:r>
        <w:rPr>
          <w:rFonts w:ascii="宋体" w:eastAsia="宋体" w:hAnsi="宋体" w:cs="宋体"/>
          <w:sz w:val="22"/>
          <w:szCs w:val="22"/>
        </w:rPr>
        <w:t>pH</w:t>
      </w:r>
      <w:r>
        <w:rPr>
          <w:rFonts w:ascii="宋体" w:eastAsia="宋体" w:hAnsi="宋体" w:cs="宋体"/>
          <w:spacing w:val="35"/>
          <w:sz w:val="22"/>
          <w:szCs w:val="22"/>
        </w:rPr>
        <w:t xml:space="preserve"> </w:t>
      </w:r>
      <w:r>
        <w:rPr>
          <w:rFonts w:ascii="宋体" w:eastAsia="宋体" w:hAnsi="宋体" w:cs="宋体"/>
          <w:spacing w:val="17"/>
          <w:sz w:val="22"/>
          <w:szCs w:val="22"/>
        </w:rPr>
        <w:t>值为6.0～6.6,热值为16.8</w:t>
      </w:r>
      <w:r>
        <w:rPr>
          <w:rFonts w:ascii="宋体" w:eastAsia="宋体" w:hAnsi="宋体" w:cs="宋体"/>
          <w:sz w:val="22"/>
          <w:szCs w:val="22"/>
        </w:rPr>
        <w:t>kJ</w:t>
      </w:r>
      <w:r>
        <w:rPr>
          <w:rFonts w:ascii="宋体" w:eastAsia="宋体" w:hAnsi="宋体" w:cs="宋体"/>
          <w:spacing w:val="17"/>
          <w:sz w:val="22"/>
          <w:szCs w:val="22"/>
        </w:rPr>
        <w:t>/g,</w:t>
      </w:r>
      <w:r>
        <w:rPr>
          <w:rFonts w:ascii="宋体" w:eastAsia="宋体" w:hAnsi="宋体" w:cs="宋体"/>
          <w:sz w:val="22"/>
          <w:szCs w:val="22"/>
        </w:rPr>
        <w:t xml:space="preserve"> </w:t>
      </w:r>
      <w:r>
        <w:rPr>
          <w:rFonts w:ascii="宋体" w:eastAsia="宋体" w:hAnsi="宋体" w:cs="宋体"/>
          <w:spacing w:val="-2"/>
          <w:sz w:val="22"/>
          <w:szCs w:val="22"/>
        </w:rPr>
        <w:t>不到脂肪的1/2。其滋味爽口，后味舒畅顺口，能够在一定程度上模拟乳脂口</w:t>
      </w:r>
      <w:r>
        <w:rPr>
          <w:rFonts w:ascii="宋体" w:eastAsia="宋体" w:hAnsi="宋体" w:cs="宋体"/>
          <w:spacing w:val="1"/>
          <w:sz w:val="22"/>
          <w:szCs w:val="22"/>
        </w:rPr>
        <w:t xml:space="preserve"> </w:t>
      </w:r>
      <w:r>
        <w:rPr>
          <w:rFonts w:ascii="宋体" w:eastAsia="宋体" w:hAnsi="宋体" w:cs="宋体"/>
          <w:spacing w:val="-12"/>
          <w:sz w:val="22"/>
          <w:szCs w:val="22"/>
        </w:rPr>
        <w:t>感，并且与水的结合能力也比较强，具有稳定剂的功能，能够防止冰淇淋形成</w:t>
      </w:r>
      <w:r>
        <w:rPr>
          <w:rFonts w:ascii="宋体" w:eastAsia="宋体" w:hAnsi="宋体" w:cs="宋体"/>
          <w:spacing w:val="-13"/>
          <w:sz w:val="22"/>
          <w:szCs w:val="22"/>
        </w:rPr>
        <w:t>冰</w:t>
      </w:r>
      <w:r>
        <w:rPr>
          <w:rFonts w:ascii="宋体" w:eastAsia="宋体" w:hAnsi="宋体" w:cs="宋体"/>
          <w:sz w:val="22"/>
          <w:szCs w:val="22"/>
        </w:rPr>
        <w:t xml:space="preserve"> </w:t>
      </w:r>
      <w:r>
        <w:rPr>
          <w:rFonts w:ascii="宋体" w:eastAsia="宋体" w:hAnsi="宋体" w:cs="宋体"/>
          <w:spacing w:val="-12"/>
          <w:sz w:val="22"/>
          <w:szCs w:val="22"/>
        </w:rPr>
        <w:t>的味觉，制成更显奶油感官性状的冰淇淋。另外</w:t>
      </w:r>
      <w:r>
        <w:rPr>
          <w:rFonts w:ascii="宋体" w:eastAsia="宋体" w:hAnsi="宋体" w:cs="宋体"/>
          <w:spacing w:val="-13"/>
          <w:sz w:val="22"/>
          <w:szCs w:val="22"/>
        </w:rPr>
        <w:t>一种在低脂冰淇淋中使用较多的</w:t>
      </w:r>
      <w:r>
        <w:rPr>
          <w:rFonts w:ascii="宋体" w:eastAsia="宋体" w:hAnsi="宋体" w:cs="宋体"/>
          <w:sz w:val="22"/>
          <w:szCs w:val="22"/>
        </w:rPr>
        <w:t xml:space="preserve"> </w:t>
      </w:r>
      <w:r>
        <w:rPr>
          <w:rFonts w:ascii="宋体" w:eastAsia="宋体" w:hAnsi="宋体" w:cs="宋体"/>
          <w:spacing w:val="-6"/>
          <w:sz w:val="22"/>
          <w:szCs w:val="22"/>
        </w:rPr>
        <w:t>脂肪替代物是全天然果胶型脂肪代用品，它添加到含钙溶液中可发生胶凝化作</w:t>
      </w:r>
      <w:r>
        <w:rPr>
          <w:rFonts w:ascii="宋体" w:eastAsia="宋体" w:hAnsi="宋体" w:cs="宋体"/>
          <w:spacing w:val="7"/>
          <w:sz w:val="22"/>
          <w:szCs w:val="22"/>
        </w:rPr>
        <w:t xml:space="preserve"> </w:t>
      </w:r>
      <w:r>
        <w:rPr>
          <w:rFonts w:ascii="宋体" w:eastAsia="宋体" w:hAnsi="宋体" w:cs="宋体"/>
          <w:spacing w:val="-9"/>
          <w:sz w:val="22"/>
          <w:szCs w:val="22"/>
        </w:rPr>
        <w:t>用，在冰淇淋中形成良好的质构和类似脂肪的口感。低DE</w:t>
      </w:r>
      <w:r>
        <w:rPr>
          <w:rFonts w:ascii="宋体" w:eastAsia="宋体" w:hAnsi="宋体" w:cs="宋体"/>
          <w:spacing w:val="14"/>
          <w:sz w:val="22"/>
          <w:szCs w:val="22"/>
        </w:rPr>
        <w:t xml:space="preserve"> </w:t>
      </w:r>
      <w:r>
        <w:rPr>
          <w:rFonts w:ascii="宋体" w:eastAsia="宋体" w:hAnsi="宋体" w:cs="宋体"/>
          <w:spacing w:val="-10"/>
          <w:sz w:val="22"/>
          <w:szCs w:val="22"/>
        </w:rPr>
        <w:t>值的淀粉化合物具有</w:t>
      </w:r>
      <w:r>
        <w:rPr>
          <w:rFonts w:ascii="宋体" w:eastAsia="宋体" w:hAnsi="宋体" w:cs="宋体"/>
          <w:sz w:val="22"/>
          <w:szCs w:val="22"/>
        </w:rPr>
        <w:t xml:space="preserve"> </w:t>
      </w:r>
      <w:r>
        <w:rPr>
          <w:rFonts w:ascii="宋体" w:eastAsia="宋体" w:hAnsi="宋体" w:cs="宋体"/>
          <w:spacing w:val="-12"/>
          <w:sz w:val="22"/>
          <w:szCs w:val="22"/>
        </w:rPr>
        <w:t>模拟脂肪的性质，也可应用于低脂冰淇淋中。冰淇淋复配型稳定剂也可以视为专</w:t>
      </w:r>
      <w:r>
        <w:rPr>
          <w:rFonts w:ascii="宋体" w:eastAsia="宋体" w:hAnsi="宋体" w:cs="宋体"/>
          <w:sz w:val="22"/>
          <w:szCs w:val="22"/>
        </w:rPr>
        <w:t xml:space="preserve"> </w:t>
      </w:r>
      <w:r>
        <w:rPr>
          <w:rFonts w:ascii="宋体" w:eastAsia="宋体" w:hAnsi="宋体" w:cs="宋体"/>
          <w:spacing w:val="-12"/>
          <w:sz w:val="22"/>
          <w:szCs w:val="22"/>
        </w:rPr>
        <w:t>为低脂冰淇淋设计的脂肪替代物，可能具有类似脂肪的作</w:t>
      </w:r>
      <w:r>
        <w:rPr>
          <w:rFonts w:ascii="宋体" w:eastAsia="宋体" w:hAnsi="宋体" w:cs="宋体"/>
          <w:spacing w:val="-13"/>
          <w:sz w:val="22"/>
          <w:szCs w:val="22"/>
        </w:rPr>
        <w:t>用。再如，传统上的肉</w:t>
      </w:r>
      <w:r>
        <w:rPr>
          <w:rFonts w:ascii="宋体" w:eastAsia="宋体" w:hAnsi="宋体" w:cs="宋体"/>
          <w:sz w:val="22"/>
          <w:szCs w:val="22"/>
        </w:rPr>
        <w:t xml:space="preserve"> </w:t>
      </w:r>
      <w:r>
        <w:rPr>
          <w:rFonts w:ascii="宋体" w:eastAsia="宋体" w:hAnsi="宋体" w:cs="宋体"/>
          <w:spacing w:val="-12"/>
          <w:sz w:val="22"/>
          <w:szCs w:val="22"/>
        </w:rPr>
        <w:t>制品是属于高脂、高胆固醇类食品。利用天然魔芋淀粉加水糊化后膨胀系数大和</w:t>
      </w:r>
      <w:r>
        <w:rPr>
          <w:rFonts w:ascii="宋体" w:eastAsia="宋体" w:hAnsi="宋体" w:cs="宋体"/>
          <w:spacing w:val="6"/>
          <w:sz w:val="22"/>
          <w:szCs w:val="22"/>
        </w:rPr>
        <w:t xml:space="preserve"> </w:t>
      </w:r>
      <w:r>
        <w:rPr>
          <w:rFonts w:ascii="宋体" w:eastAsia="宋体" w:hAnsi="宋体" w:cs="宋体"/>
          <w:spacing w:val="-12"/>
          <w:sz w:val="22"/>
          <w:szCs w:val="22"/>
        </w:rPr>
        <w:t>黏性强、稳定、润滑的特点，将其应用于低脂重组火腿中，可以使肉制品在脂肪</w:t>
      </w:r>
      <w:r>
        <w:rPr>
          <w:rFonts w:ascii="宋体" w:eastAsia="宋体" w:hAnsi="宋体" w:cs="宋体"/>
          <w:sz w:val="22"/>
          <w:szCs w:val="22"/>
        </w:rPr>
        <w:t xml:space="preserve"> </w:t>
      </w:r>
      <w:r>
        <w:rPr>
          <w:rFonts w:ascii="宋体" w:eastAsia="宋体" w:hAnsi="宋体" w:cs="宋体"/>
          <w:spacing w:val="-13"/>
          <w:sz w:val="22"/>
          <w:szCs w:val="22"/>
        </w:rPr>
        <w:t>降低后仍能保持良好的口感，保持肉制品多汁、鲜嫩、滑润等许多感官特性。</w:t>
      </w:r>
    </w:p>
    <w:p w:rsidR="00EA40A3" w:rsidRDefault="00E86C16">
      <w:pPr>
        <w:spacing w:before="207" w:line="222" w:lineRule="auto"/>
        <w:ind w:left="3"/>
        <w:outlineLvl w:val="6"/>
        <w:rPr>
          <w:rFonts w:ascii="黑体" w:eastAsia="黑体" w:hAnsi="黑体" w:cs="黑体"/>
          <w:sz w:val="26"/>
          <w:szCs w:val="26"/>
        </w:rPr>
      </w:pPr>
      <w:r>
        <w:rPr>
          <w:rFonts w:ascii="黑体" w:eastAsia="黑体" w:hAnsi="黑体" w:cs="黑体"/>
          <w:b/>
          <w:bCs/>
          <w:spacing w:val="-15"/>
          <w:sz w:val="26"/>
          <w:szCs w:val="26"/>
        </w:rPr>
        <w:t>9.2.3</w:t>
      </w:r>
      <w:r>
        <w:rPr>
          <w:rFonts w:ascii="黑体" w:eastAsia="黑体" w:hAnsi="黑体" w:cs="黑体"/>
          <w:spacing w:val="102"/>
          <w:sz w:val="26"/>
          <w:szCs w:val="26"/>
        </w:rPr>
        <w:t xml:space="preserve"> </w:t>
      </w:r>
      <w:r>
        <w:rPr>
          <w:rFonts w:ascii="黑体" w:eastAsia="黑体" w:hAnsi="黑体" w:cs="黑体"/>
          <w:b/>
          <w:bCs/>
          <w:spacing w:val="-15"/>
          <w:sz w:val="26"/>
          <w:szCs w:val="26"/>
        </w:rPr>
        <w:t>仿生食品</w:t>
      </w:r>
    </w:p>
    <w:p w:rsidR="00EA40A3" w:rsidRDefault="00E86C16">
      <w:pPr>
        <w:spacing w:before="166" w:line="231" w:lineRule="auto"/>
        <w:ind w:right="110" w:firstLine="430"/>
        <w:rPr>
          <w:rFonts w:ascii="宋体" w:eastAsia="宋体" w:hAnsi="宋体" w:cs="宋体"/>
          <w:sz w:val="22"/>
          <w:szCs w:val="22"/>
        </w:rPr>
      </w:pPr>
      <w:r>
        <w:rPr>
          <w:rFonts w:ascii="宋体" w:eastAsia="宋体" w:hAnsi="宋体" w:cs="宋体"/>
          <w:spacing w:val="-13"/>
          <w:sz w:val="22"/>
          <w:szCs w:val="22"/>
        </w:rPr>
        <w:t>为满足现代社会需求，各国均生产出许多不同种类的具有一定营养价值、食</w:t>
      </w:r>
      <w:r>
        <w:rPr>
          <w:rFonts w:ascii="宋体" w:eastAsia="宋体" w:hAnsi="宋体" w:cs="宋体"/>
          <w:spacing w:val="17"/>
          <w:sz w:val="22"/>
          <w:szCs w:val="22"/>
        </w:rPr>
        <w:t xml:space="preserve"> </w:t>
      </w:r>
      <w:r>
        <w:rPr>
          <w:rFonts w:ascii="宋体" w:eastAsia="宋体" w:hAnsi="宋体" w:cs="宋体"/>
          <w:spacing w:val="-18"/>
          <w:sz w:val="22"/>
          <w:szCs w:val="22"/>
        </w:rPr>
        <w:t>用方便、物美价廉的“人造食品”。这类或从营养、或从风味、或从感官性状、或</w:t>
      </w:r>
    </w:p>
    <w:p w:rsidR="00EA40A3" w:rsidRDefault="00EA40A3">
      <w:pPr>
        <w:sectPr w:rsidR="00EA40A3">
          <w:footerReference w:type="default" r:id="rId250"/>
          <w:pgSz w:w="9220" w:h="13360"/>
          <w:pgMar w:top="400" w:right="899" w:bottom="1306" w:left="930" w:header="0" w:footer="1085" w:gutter="0"/>
          <w:cols w:space="720"/>
        </w:sectPr>
      </w:pPr>
    </w:p>
    <w:p w:rsidR="00EA40A3" w:rsidRDefault="00EA40A3">
      <w:pPr>
        <w:spacing w:line="257" w:lineRule="auto"/>
      </w:pPr>
    </w:p>
    <w:p w:rsidR="00EA40A3" w:rsidRDefault="00EA40A3">
      <w:pPr>
        <w:spacing w:line="257" w:lineRule="auto"/>
      </w:pPr>
    </w:p>
    <w:p w:rsidR="00EA40A3" w:rsidRDefault="00E86C16">
      <w:pPr>
        <w:spacing w:before="72" w:line="219" w:lineRule="auto"/>
        <w:rPr>
          <w:rFonts w:ascii="宋体" w:eastAsia="宋体" w:hAnsi="宋体" w:cs="宋体"/>
          <w:sz w:val="22"/>
          <w:szCs w:val="22"/>
        </w:rPr>
      </w:pPr>
      <w:r>
        <w:rPr>
          <w:rFonts w:ascii="宋体" w:eastAsia="宋体" w:hAnsi="宋体" w:cs="宋体"/>
          <w:spacing w:val="-20"/>
          <w:sz w:val="22"/>
          <w:szCs w:val="22"/>
        </w:rPr>
        <w:t>从生理调节功能上模仿天然食品的人造食品被称为“仿生食品”(bionic</w:t>
      </w:r>
      <w:r>
        <w:rPr>
          <w:rFonts w:ascii="宋体" w:eastAsia="宋体" w:hAnsi="宋体" w:cs="宋体"/>
          <w:spacing w:val="5"/>
          <w:sz w:val="22"/>
          <w:szCs w:val="22"/>
        </w:rPr>
        <w:t xml:space="preserve"> </w:t>
      </w:r>
      <w:r>
        <w:rPr>
          <w:rFonts w:ascii="宋体" w:eastAsia="宋体" w:hAnsi="宋体" w:cs="宋体"/>
          <w:spacing w:val="-20"/>
          <w:sz w:val="22"/>
          <w:szCs w:val="22"/>
        </w:rPr>
        <w:t>food)。</w:t>
      </w:r>
    </w:p>
    <w:p w:rsidR="00EA40A3" w:rsidRDefault="00E86C16">
      <w:pPr>
        <w:spacing w:before="168" w:line="223"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0"/>
          <w:sz w:val="22"/>
          <w:szCs w:val="22"/>
        </w:rPr>
        <w:t xml:space="preserve"> </w:t>
      </w:r>
      <w:r>
        <w:rPr>
          <w:rFonts w:ascii="仿宋" w:eastAsia="仿宋" w:hAnsi="仿宋" w:cs="仿宋"/>
          <w:spacing w:val="8"/>
          <w:sz w:val="22"/>
          <w:szCs w:val="22"/>
        </w:rPr>
        <w:t>仿生食品的特征</w:t>
      </w:r>
    </w:p>
    <w:p w:rsidR="00EA40A3" w:rsidRDefault="00E86C16">
      <w:pPr>
        <w:spacing w:before="118" w:line="249" w:lineRule="auto"/>
        <w:ind w:right="83" w:firstLine="420"/>
        <w:jc w:val="both"/>
        <w:rPr>
          <w:rFonts w:ascii="宋体" w:eastAsia="宋体" w:hAnsi="宋体" w:cs="宋体"/>
          <w:sz w:val="22"/>
          <w:szCs w:val="22"/>
        </w:rPr>
      </w:pPr>
      <w:r>
        <w:rPr>
          <w:rFonts w:ascii="宋体" w:eastAsia="宋体" w:hAnsi="宋体" w:cs="宋体"/>
          <w:spacing w:val="-12"/>
          <w:sz w:val="22"/>
          <w:szCs w:val="22"/>
        </w:rPr>
        <w:t>仿生食品的基本特征在于其营养、感官或保健功能标准化的主</w:t>
      </w:r>
      <w:r>
        <w:rPr>
          <w:rFonts w:ascii="宋体" w:eastAsia="宋体" w:hAnsi="宋体" w:cs="宋体"/>
          <w:spacing w:val="-13"/>
          <w:sz w:val="22"/>
          <w:szCs w:val="22"/>
        </w:rPr>
        <w:t>要依据是相应</w:t>
      </w:r>
      <w:r>
        <w:rPr>
          <w:rFonts w:ascii="宋体" w:eastAsia="宋体" w:hAnsi="宋体" w:cs="宋体"/>
          <w:sz w:val="22"/>
          <w:szCs w:val="22"/>
        </w:rPr>
        <w:t xml:space="preserve"> </w:t>
      </w:r>
      <w:r>
        <w:rPr>
          <w:rFonts w:ascii="宋体" w:eastAsia="宋体" w:hAnsi="宋体" w:cs="宋体"/>
          <w:spacing w:val="-12"/>
          <w:sz w:val="22"/>
          <w:szCs w:val="22"/>
        </w:rPr>
        <w:t>的天然食品。另外，从工程化的角度，仿生食品可以采用各种来源的食品基料如</w:t>
      </w:r>
      <w:r>
        <w:rPr>
          <w:rFonts w:ascii="宋体" w:eastAsia="宋体" w:hAnsi="宋体" w:cs="宋体"/>
          <w:spacing w:val="4"/>
          <w:sz w:val="22"/>
          <w:szCs w:val="22"/>
        </w:rPr>
        <w:t xml:space="preserve"> </w:t>
      </w:r>
      <w:r>
        <w:rPr>
          <w:rFonts w:ascii="宋体" w:eastAsia="宋体" w:hAnsi="宋体" w:cs="宋体"/>
          <w:spacing w:val="-12"/>
          <w:sz w:val="22"/>
          <w:szCs w:val="22"/>
        </w:rPr>
        <w:t>美国宇航员吃的人造菠萝是用水草、藻类、果胶、香料、食用色素制成；从风</w:t>
      </w:r>
      <w:r>
        <w:rPr>
          <w:rFonts w:ascii="宋体" w:eastAsia="宋体" w:hAnsi="宋体" w:cs="宋体"/>
          <w:spacing w:val="-13"/>
          <w:sz w:val="22"/>
          <w:szCs w:val="22"/>
        </w:rPr>
        <w:t>味</w:t>
      </w:r>
      <w:r>
        <w:rPr>
          <w:rFonts w:ascii="宋体" w:eastAsia="宋体" w:hAnsi="宋体" w:cs="宋体"/>
          <w:sz w:val="22"/>
          <w:szCs w:val="22"/>
        </w:rPr>
        <w:t xml:space="preserve"> </w:t>
      </w:r>
      <w:r>
        <w:rPr>
          <w:rFonts w:ascii="宋体" w:eastAsia="宋体" w:hAnsi="宋体" w:cs="宋体"/>
          <w:spacing w:val="-12"/>
          <w:sz w:val="22"/>
          <w:szCs w:val="22"/>
        </w:rPr>
        <w:t>及口感等感官功能上看，有些仿生食品几乎可以乱真，而成本却远远低于天然</w:t>
      </w:r>
      <w:r>
        <w:rPr>
          <w:rFonts w:ascii="宋体" w:eastAsia="宋体" w:hAnsi="宋体" w:cs="宋体"/>
          <w:spacing w:val="-13"/>
          <w:sz w:val="22"/>
          <w:szCs w:val="22"/>
        </w:rPr>
        <w:t>食</w:t>
      </w:r>
      <w:r>
        <w:rPr>
          <w:rFonts w:ascii="宋体" w:eastAsia="宋体" w:hAnsi="宋体" w:cs="宋体"/>
          <w:sz w:val="22"/>
          <w:szCs w:val="22"/>
        </w:rPr>
        <w:t xml:space="preserve"> </w:t>
      </w:r>
      <w:r>
        <w:rPr>
          <w:rFonts w:ascii="宋体" w:eastAsia="宋体" w:hAnsi="宋体" w:cs="宋体"/>
          <w:spacing w:val="-12"/>
          <w:sz w:val="22"/>
          <w:szCs w:val="22"/>
        </w:rPr>
        <w:t>品，如仿生海鲜制品。同时，在营养、感官、生理调节等功能上，仿生食品虽然</w:t>
      </w:r>
      <w:r>
        <w:rPr>
          <w:rFonts w:ascii="宋体" w:eastAsia="宋体" w:hAnsi="宋体" w:cs="宋体"/>
          <w:sz w:val="22"/>
          <w:szCs w:val="22"/>
        </w:rPr>
        <w:t xml:space="preserve"> </w:t>
      </w:r>
      <w:r>
        <w:rPr>
          <w:rFonts w:ascii="宋体" w:eastAsia="宋体" w:hAnsi="宋体" w:cs="宋体"/>
          <w:spacing w:val="-12"/>
          <w:sz w:val="22"/>
          <w:szCs w:val="22"/>
        </w:rPr>
        <w:t>一般以天然食品的特性为依据进行模拟或标准化，但是并不排斥仿生食品对天然</w:t>
      </w:r>
      <w:r>
        <w:rPr>
          <w:rFonts w:ascii="宋体" w:eastAsia="宋体" w:hAnsi="宋体" w:cs="宋体"/>
          <w:sz w:val="22"/>
          <w:szCs w:val="22"/>
        </w:rPr>
        <w:t xml:space="preserve"> </w:t>
      </w:r>
      <w:r>
        <w:rPr>
          <w:rFonts w:ascii="宋体" w:eastAsia="宋体" w:hAnsi="宋体" w:cs="宋体"/>
          <w:spacing w:val="-12"/>
          <w:sz w:val="22"/>
          <w:szCs w:val="22"/>
        </w:rPr>
        <w:t>食品功能特性的改良，如我国首创的“人造水果”仿生葡萄，此种产品采用了白</w:t>
      </w:r>
      <w:r>
        <w:rPr>
          <w:rFonts w:ascii="宋体" w:eastAsia="宋体" w:hAnsi="宋体" w:cs="宋体"/>
          <w:spacing w:val="16"/>
          <w:sz w:val="22"/>
          <w:szCs w:val="22"/>
        </w:rPr>
        <w:t xml:space="preserve"> </w:t>
      </w:r>
      <w:r>
        <w:rPr>
          <w:rFonts w:ascii="宋体" w:eastAsia="宋体" w:hAnsi="宋体" w:cs="宋体"/>
          <w:spacing w:val="-12"/>
          <w:sz w:val="22"/>
          <w:szCs w:val="22"/>
        </w:rPr>
        <w:t>糖、蜂蜜、海藻胶、山楂汁、乳钙、柠檬酸、食用色素、苯甲酸钠等食品基料</w:t>
      </w:r>
      <w:r>
        <w:rPr>
          <w:rFonts w:ascii="宋体" w:eastAsia="宋体" w:hAnsi="宋体" w:cs="宋体"/>
          <w:spacing w:val="-13"/>
          <w:sz w:val="22"/>
          <w:szCs w:val="22"/>
        </w:rPr>
        <w:t>或</w:t>
      </w:r>
      <w:r>
        <w:rPr>
          <w:rFonts w:ascii="宋体" w:eastAsia="宋体" w:hAnsi="宋体" w:cs="宋体"/>
          <w:sz w:val="22"/>
          <w:szCs w:val="22"/>
        </w:rPr>
        <w:t xml:space="preserve"> </w:t>
      </w:r>
      <w:r>
        <w:rPr>
          <w:rFonts w:ascii="宋体" w:eastAsia="宋体" w:hAnsi="宋体" w:cs="宋体"/>
          <w:spacing w:val="-12"/>
          <w:sz w:val="22"/>
          <w:szCs w:val="22"/>
        </w:rPr>
        <w:t>组分，不仅色、香、味、形酷似天然葡萄，而且营养价值大大超过天然葡萄，</w:t>
      </w:r>
      <w:r>
        <w:rPr>
          <w:rFonts w:ascii="宋体" w:eastAsia="宋体" w:hAnsi="宋体" w:cs="宋体"/>
          <w:spacing w:val="-13"/>
          <w:sz w:val="22"/>
          <w:szCs w:val="22"/>
        </w:rPr>
        <w:t>可</w:t>
      </w:r>
      <w:r>
        <w:rPr>
          <w:rFonts w:ascii="宋体" w:eastAsia="宋体" w:hAnsi="宋体" w:cs="宋体"/>
          <w:sz w:val="22"/>
          <w:szCs w:val="22"/>
        </w:rPr>
        <w:t xml:space="preserve"> </w:t>
      </w:r>
      <w:r>
        <w:rPr>
          <w:rFonts w:ascii="宋体" w:eastAsia="宋体" w:hAnsi="宋体" w:cs="宋体"/>
          <w:spacing w:val="-14"/>
          <w:sz w:val="22"/>
          <w:szCs w:val="22"/>
        </w:rPr>
        <w:t>能具有降脂、健脾、消滞、提神等保健功能。</w:t>
      </w:r>
    </w:p>
    <w:p w:rsidR="00EA40A3" w:rsidRDefault="00E86C16">
      <w:pPr>
        <w:spacing w:before="168" w:line="224" w:lineRule="auto"/>
        <w:rPr>
          <w:rFonts w:ascii="仿宋" w:eastAsia="仿宋" w:hAnsi="仿宋" w:cs="仿宋"/>
          <w:sz w:val="22"/>
          <w:szCs w:val="22"/>
        </w:rPr>
      </w:pPr>
      <w:r>
        <w:rPr>
          <w:rFonts w:ascii="仿宋" w:eastAsia="仿宋" w:hAnsi="仿宋" w:cs="仿宋"/>
          <w:spacing w:val="9"/>
          <w:sz w:val="22"/>
          <w:szCs w:val="22"/>
        </w:rPr>
        <w:t>2.</w:t>
      </w:r>
      <w:r>
        <w:rPr>
          <w:rFonts w:ascii="仿宋" w:eastAsia="仿宋" w:hAnsi="仿宋" w:cs="仿宋"/>
          <w:spacing w:val="-26"/>
          <w:sz w:val="22"/>
          <w:szCs w:val="22"/>
        </w:rPr>
        <w:t xml:space="preserve"> </w:t>
      </w:r>
      <w:r>
        <w:rPr>
          <w:rFonts w:ascii="仿宋" w:eastAsia="仿宋" w:hAnsi="仿宋" w:cs="仿宋"/>
          <w:spacing w:val="9"/>
          <w:sz w:val="22"/>
          <w:szCs w:val="22"/>
        </w:rPr>
        <w:t>仿生食品的分类</w:t>
      </w:r>
    </w:p>
    <w:p w:rsidR="00EA40A3" w:rsidRDefault="00E86C16">
      <w:pPr>
        <w:spacing w:before="134" w:line="231" w:lineRule="auto"/>
        <w:ind w:right="99" w:firstLine="420"/>
        <w:rPr>
          <w:rFonts w:ascii="宋体" w:eastAsia="宋体" w:hAnsi="宋体" w:cs="宋体"/>
          <w:sz w:val="22"/>
          <w:szCs w:val="22"/>
        </w:rPr>
      </w:pPr>
      <w:r>
        <w:rPr>
          <w:rFonts w:ascii="宋体" w:eastAsia="宋体" w:hAnsi="宋体" w:cs="宋体"/>
          <w:spacing w:val="-12"/>
          <w:sz w:val="22"/>
          <w:szCs w:val="22"/>
        </w:rPr>
        <w:t>根据各种仿生食品配方、设计过程中所特别关注的天然食品功能，</w:t>
      </w:r>
      <w:r>
        <w:rPr>
          <w:rFonts w:ascii="宋体" w:eastAsia="宋体" w:hAnsi="宋体" w:cs="宋体"/>
          <w:spacing w:val="-13"/>
          <w:sz w:val="22"/>
          <w:szCs w:val="22"/>
        </w:rPr>
        <w:t>可以对仿</w:t>
      </w:r>
      <w:r>
        <w:rPr>
          <w:rFonts w:ascii="宋体" w:eastAsia="宋体" w:hAnsi="宋体" w:cs="宋体"/>
          <w:sz w:val="22"/>
          <w:szCs w:val="22"/>
        </w:rPr>
        <w:t xml:space="preserve"> </w:t>
      </w:r>
      <w:r>
        <w:rPr>
          <w:rFonts w:ascii="宋体" w:eastAsia="宋体" w:hAnsi="宋体" w:cs="宋体"/>
          <w:spacing w:val="-17"/>
          <w:sz w:val="22"/>
          <w:szCs w:val="22"/>
        </w:rPr>
        <w:t>生食品作大致的分类。</w:t>
      </w:r>
    </w:p>
    <w:p w:rsidR="00EA40A3" w:rsidRDefault="00E86C16">
      <w:pPr>
        <w:spacing w:before="33" w:line="223" w:lineRule="auto"/>
        <w:rPr>
          <w:rFonts w:ascii="楷体" w:eastAsia="楷体" w:hAnsi="楷体" w:cs="楷体"/>
          <w:sz w:val="22"/>
          <w:szCs w:val="22"/>
        </w:rPr>
      </w:pPr>
      <w:r>
        <w:rPr>
          <w:rFonts w:ascii="楷体" w:eastAsia="楷体" w:hAnsi="楷体" w:cs="楷体"/>
          <w:spacing w:val="-7"/>
          <w:sz w:val="22"/>
          <w:szCs w:val="22"/>
        </w:rPr>
        <w:t>1)模仿天然食品感官功能特性的产品</w:t>
      </w:r>
    </w:p>
    <w:p w:rsidR="00EA40A3" w:rsidRDefault="00E86C16">
      <w:pPr>
        <w:spacing w:before="71" w:line="239" w:lineRule="auto"/>
        <w:ind w:right="62" w:firstLine="420"/>
        <w:jc w:val="both"/>
        <w:rPr>
          <w:rFonts w:ascii="宋体" w:eastAsia="宋体" w:hAnsi="宋体" w:cs="宋体"/>
          <w:sz w:val="22"/>
          <w:szCs w:val="22"/>
        </w:rPr>
      </w:pPr>
      <w:r>
        <w:rPr>
          <w:rFonts w:ascii="宋体" w:eastAsia="宋体" w:hAnsi="宋体" w:cs="宋体"/>
          <w:spacing w:val="-12"/>
          <w:sz w:val="22"/>
          <w:szCs w:val="22"/>
        </w:rPr>
        <w:t>以仿肉制品为代表的仿生食品主要模拟肉的咀嚼感和风味，但兼顾肉制品的</w:t>
      </w:r>
      <w:r>
        <w:rPr>
          <w:rFonts w:ascii="宋体" w:eastAsia="宋体" w:hAnsi="宋体" w:cs="宋体"/>
          <w:spacing w:val="1"/>
          <w:sz w:val="22"/>
          <w:szCs w:val="22"/>
        </w:rPr>
        <w:t xml:space="preserve"> </w:t>
      </w:r>
      <w:r>
        <w:rPr>
          <w:rFonts w:ascii="宋体" w:eastAsia="宋体" w:hAnsi="宋体" w:cs="宋体"/>
          <w:spacing w:val="-5"/>
          <w:sz w:val="22"/>
          <w:szCs w:val="22"/>
        </w:rPr>
        <w:t>营养功能特性。采用分离大豆蛋白制造的“人造肉”已经商品化。组织状(化)</w:t>
      </w:r>
      <w:r>
        <w:rPr>
          <w:rFonts w:ascii="宋体" w:eastAsia="宋体" w:hAnsi="宋体" w:cs="宋体"/>
          <w:spacing w:val="11"/>
          <w:sz w:val="22"/>
          <w:szCs w:val="22"/>
        </w:rPr>
        <w:t xml:space="preserve"> </w:t>
      </w:r>
      <w:r>
        <w:rPr>
          <w:rFonts w:ascii="宋体" w:eastAsia="宋体" w:hAnsi="宋体" w:cs="宋体"/>
          <w:spacing w:val="-12"/>
          <w:sz w:val="22"/>
          <w:szCs w:val="22"/>
        </w:rPr>
        <w:t>蛋白制品又称仿肉状大豆蛋白，是利用脱脂豆粕加工而成的标准化蛋白制品，有</w:t>
      </w:r>
      <w:r>
        <w:rPr>
          <w:rFonts w:ascii="宋体" w:eastAsia="宋体" w:hAnsi="宋体" w:cs="宋体"/>
          <w:sz w:val="22"/>
          <w:szCs w:val="22"/>
        </w:rPr>
        <w:t xml:space="preserve"> </w:t>
      </w:r>
      <w:r>
        <w:rPr>
          <w:rFonts w:ascii="宋体" w:eastAsia="宋体" w:hAnsi="宋体" w:cs="宋体"/>
          <w:spacing w:val="-12"/>
          <w:sz w:val="22"/>
          <w:szCs w:val="22"/>
        </w:rPr>
        <w:t>类似瘦肉一样的纤维结构，富有咀嚼感，保证了模拟食品的感官功能，且价格低</w:t>
      </w:r>
      <w:r>
        <w:rPr>
          <w:rFonts w:ascii="宋体" w:eastAsia="宋体" w:hAnsi="宋体" w:cs="宋体"/>
          <w:spacing w:val="2"/>
          <w:sz w:val="22"/>
          <w:szCs w:val="22"/>
        </w:rPr>
        <w:t xml:space="preserve"> </w:t>
      </w:r>
      <w:r>
        <w:rPr>
          <w:rFonts w:ascii="宋体" w:eastAsia="宋体" w:hAnsi="宋体" w:cs="宋体"/>
          <w:spacing w:val="-12"/>
          <w:sz w:val="22"/>
          <w:szCs w:val="22"/>
        </w:rPr>
        <w:t>廉。根据加工方法的不同，大豆蛋白仿肉制品可分为纤维状仿肉制品、挤压型仿</w:t>
      </w:r>
      <w:r>
        <w:rPr>
          <w:rFonts w:ascii="宋体" w:eastAsia="宋体" w:hAnsi="宋体" w:cs="宋体"/>
          <w:sz w:val="22"/>
          <w:szCs w:val="22"/>
        </w:rPr>
        <w:t xml:space="preserve"> </w:t>
      </w:r>
      <w:r>
        <w:rPr>
          <w:rFonts w:ascii="宋体" w:eastAsia="宋体" w:hAnsi="宋体" w:cs="宋体"/>
          <w:spacing w:val="-15"/>
          <w:sz w:val="22"/>
          <w:szCs w:val="22"/>
        </w:rPr>
        <w:t>肉制品和热胶凝型仿肉制品。</w:t>
      </w:r>
    </w:p>
    <w:p w:rsidR="00EA40A3" w:rsidRDefault="00E86C16">
      <w:pPr>
        <w:spacing w:before="104" w:line="238" w:lineRule="auto"/>
        <w:ind w:firstLine="420"/>
        <w:rPr>
          <w:rFonts w:ascii="宋体" w:eastAsia="宋体" w:hAnsi="宋体" w:cs="宋体"/>
          <w:sz w:val="22"/>
          <w:szCs w:val="22"/>
        </w:rPr>
      </w:pPr>
      <w:r>
        <w:rPr>
          <w:rFonts w:ascii="宋体" w:eastAsia="宋体" w:hAnsi="宋体" w:cs="宋体"/>
          <w:spacing w:val="1"/>
          <w:sz w:val="22"/>
          <w:szCs w:val="22"/>
        </w:rPr>
        <w:t>采用魔芋粉(葡甘聚糖),经溶胀、凝胶化等工艺过程，可制作在色</w:t>
      </w:r>
      <w:r>
        <w:rPr>
          <w:rFonts w:ascii="宋体" w:eastAsia="宋体" w:hAnsi="宋体" w:cs="宋体"/>
          <w:sz w:val="22"/>
          <w:szCs w:val="22"/>
        </w:rPr>
        <w:t xml:space="preserve">、形、 </w:t>
      </w:r>
      <w:r>
        <w:rPr>
          <w:rFonts w:ascii="宋体" w:eastAsia="宋体" w:hAnsi="宋体" w:cs="宋体"/>
          <w:spacing w:val="-12"/>
          <w:sz w:val="22"/>
          <w:szCs w:val="22"/>
        </w:rPr>
        <w:t>味、口感等方面与原生物食品相同或相似的仿生食品，常见的魔芋仿生食品有</w:t>
      </w:r>
      <w:r>
        <w:rPr>
          <w:rFonts w:ascii="宋体" w:eastAsia="宋体" w:hAnsi="宋体" w:cs="宋体"/>
          <w:spacing w:val="-13"/>
          <w:sz w:val="22"/>
          <w:szCs w:val="22"/>
        </w:rPr>
        <w:t>素</w:t>
      </w:r>
      <w:r>
        <w:rPr>
          <w:rFonts w:ascii="宋体" w:eastAsia="宋体" w:hAnsi="宋体" w:cs="宋体"/>
          <w:sz w:val="22"/>
          <w:szCs w:val="22"/>
        </w:rPr>
        <w:t xml:space="preserve">  </w:t>
      </w:r>
      <w:r>
        <w:rPr>
          <w:rFonts w:ascii="宋体" w:eastAsia="宋体" w:hAnsi="宋体" w:cs="宋体"/>
          <w:spacing w:val="-6"/>
          <w:sz w:val="22"/>
          <w:szCs w:val="22"/>
        </w:rPr>
        <w:t>鱿鱼、素虾仁、素肚片、素腰花、素蹄筋、素海参、墨鱼丁、海蜇皮、素牛肉</w:t>
      </w:r>
      <w:r>
        <w:rPr>
          <w:rFonts w:ascii="宋体" w:eastAsia="宋体" w:hAnsi="宋体" w:cs="宋体"/>
          <w:spacing w:val="14"/>
          <w:sz w:val="22"/>
          <w:szCs w:val="22"/>
        </w:rPr>
        <w:t xml:space="preserve"> </w:t>
      </w:r>
      <w:r>
        <w:rPr>
          <w:rFonts w:ascii="宋体" w:eastAsia="宋体" w:hAnsi="宋体" w:cs="宋体"/>
          <w:spacing w:val="-13"/>
          <w:sz w:val="22"/>
          <w:szCs w:val="22"/>
        </w:rPr>
        <w:t>干、贡丸、松丝等，该仿生食品富含膳食纤维，具有相应的保</w:t>
      </w:r>
      <w:r>
        <w:rPr>
          <w:rFonts w:ascii="宋体" w:eastAsia="宋体" w:hAnsi="宋体" w:cs="宋体"/>
          <w:spacing w:val="-14"/>
          <w:sz w:val="22"/>
          <w:szCs w:val="22"/>
        </w:rPr>
        <w:t>健功能。</w:t>
      </w:r>
    </w:p>
    <w:p w:rsidR="00EA40A3" w:rsidRDefault="00E86C16">
      <w:pPr>
        <w:spacing w:before="35" w:line="223" w:lineRule="auto"/>
        <w:rPr>
          <w:rFonts w:ascii="楷体" w:eastAsia="楷体" w:hAnsi="楷体" w:cs="楷体"/>
          <w:sz w:val="22"/>
          <w:szCs w:val="22"/>
        </w:rPr>
      </w:pPr>
      <w:r>
        <w:rPr>
          <w:rFonts w:ascii="楷体" w:eastAsia="楷体" w:hAnsi="楷体" w:cs="楷体"/>
          <w:spacing w:val="-7"/>
          <w:sz w:val="22"/>
          <w:szCs w:val="22"/>
        </w:rPr>
        <w:t>2)模仿天然食品营养功能特性的产品</w:t>
      </w:r>
    </w:p>
    <w:p w:rsidR="00EA40A3" w:rsidRDefault="00E86C16">
      <w:pPr>
        <w:spacing w:before="82" w:line="246" w:lineRule="auto"/>
        <w:ind w:right="81" w:firstLine="420"/>
        <w:rPr>
          <w:rFonts w:ascii="宋体" w:eastAsia="宋体" w:hAnsi="宋体" w:cs="宋体"/>
          <w:sz w:val="22"/>
          <w:szCs w:val="22"/>
        </w:rPr>
      </w:pPr>
      <w:r>
        <w:rPr>
          <w:rFonts w:ascii="宋体" w:eastAsia="宋体" w:hAnsi="宋体" w:cs="宋体"/>
          <w:spacing w:val="-12"/>
          <w:sz w:val="22"/>
          <w:szCs w:val="22"/>
        </w:rPr>
        <w:t>以仿生海洋食品为代表的仿生食品主要模拟和改良海洋天然食物的</w:t>
      </w:r>
      <w:r>
        <w:rPr>
          <w:rFonts w:ascii="宋体" w:eastAsia="宋体" w:hAnsi="宋体" w:cs="宋体"/>
          <w:spacing w:val="-13"/>
          <w:sz w:val="22"/>
          <w:szCs w:val="22"/>
        </w:rPr>
        <w:t>营养功能</w:t>
      </w:r>
      <w:r>
        <w:rPr>
          <w:rFonts w:ascii="宋体" w:eastAsia="宋体" w:hAnsi="宋体" w:cs="宋体"/>
          <w:sz w:val="22"/>
          <w:szCs w:val="22"/>
        </w:rPr>
        <w:t xml:space="preserve"> </w:t>
      </w:r>
      <w:r>
        <w:rPr>
          <w:rFonts w:ascii="宋体" w:eastAsia="宋体" w:hAnsi="宋体" w:cs="宋体"/>
          <w:spacing w:val="-12"/>
          <w:sz w:val="22"/>
          <w:szCs w:val="22"/>
        </w:rPr>
        <w:t>特性。它是以海洋资源为主要原料，通过原料之间的混合搭配使用以及特殊风味</w:t>
      </w:r>
      <w:r>
        <w:rPr>
          <w:rFonts w:ascii="宋体" w:eastAsia="宋体" w:hAnsi="宋体" w:cs="宋体"/>
          <w:spacing w:val="18"/>
          <w:sz w:val="22"/>
          <w:szCs w:val="22"/>
        </w:rPr>
        <w:t xml:space="preserve"> </w:t>
      </w:r>
      <w:r>
        <w:rPr>
          <w:rFonts w:ascii="宋体" w:eastAsia="宋体" w:hAnsi="宋体" w:cs="宋体"/>
          <w:spacing w:val="-12"/>
          <w:sz w:val="22"/>
          <w:szCs w:val="22"/>
        </w:rPr>
        <w:t>物质的添加和脱除，可弥补天然海洋食品的某些营养或风味缺陷，使之营养更加</w:t>
      </w:r>
      <w:r>
        <w:rPr>
          <w:rFonts w:ascii="宋体" w:eastAsia="宋体" w:hAnsi="宋体" w:cs="宋体"/>
          <w:spacing w:val="5"/>
          <w:sz w:val="22"/>
          <w:szCs w:val="22"/>
        </w:rPr>
        <w:t xml:space="preserve"> </w:t>
      </w:r>
      <w:r>
        <w:rPr>
          <w:rFonts w:ascii="宋体" w:eastAsia="宋体" w:hAnsi="宋体" w:cs="宋体"/>
          <w:spacing w:val="-12"/>
          <w:sz w:val="22"/>
          <w:szCs w:val="22"/>
        </w:rPr>
        <w:t>合理、风味更佳。由于其成本远低于天然海鲜，适合大众消费，已经有仿生蟹</w:t>
      </w:r>
      <w:r>
        <w:rPr>
          <w:rFonts w:ascii="宋体" w:eastAsia="宋体" w:hAnsi="宋体" w:cs="宋体"/>
          <w:spacing w:val="-13"/>
          <w:sz w:val="22"/>
          <w:szCs w:val="22"/>
        </w:rPr>
        <w:t>腿</w:t>
      </w:r>
      <w:r>
        <w:rPr>
          <w:rFonts w:ascii="宋体" w:eastAsia="宋体" w:hAnsi="宋体" w:cs="宋体"/>
          <w:sz w:val="22"/>
          <w:szCs w:val="22"/>
        </w:rPr>
        <w:t xml:space="preserve"> </w:t>
      </w:r>
      <w:r>
        <w:rPr>
          <w:rFonts w:ascii="宋体" w:eastAsia="宋体" w:hAnsi="宋体" w:cs="宋体"/>
          <w:spacing w:val="-12"/>
          <w:sz w:val="22"/>
          <w:szCs w:val="22"/>
        </w:rPr>
        <w:t>肉食品、仿生鱼翅食品、仿生虾样食品、仿生墨鱼食品、仿生海蜇食品、仿生</w:t>
      </w:r>
      <w:r>
        <w:rPr>
          <w:rFonts w:ascii="宋体" w:eastAsia="宋体" w:hAnsi="宋体" w:cs="宋体"/>
          <w:spacing w:val="-13"/>
          <w:sz w:val="22"/>
          <w:szCs w:val="22"/>
        </w:rPr>
        <w:t>鱼</w:t>
      </w:r>
      <w:r>
        <w:rPr>
          <w:rFonts w:ascii="宋体" w:eastAsia="宋体" w:hAnsi="宋体" w:cs="宋体"/>
          <w:sz w:val="22"/>
          <w:szCs w:val="22"/>
        </w:rPr>
        <w:t xml:space="preserve"> </w:t>
      </w:r>
      <w:r>
        <w:rPr>
          <w:rFonts w:ascii="宋体" w:eastAsia="宋体" w:hAnsi="宋体" w:cs="宋体"/>
          <w:spacing w:val="-13"/>
          <w:sz w:val="22"/>
          <w:szCs w:val="22"/>
        </w:rPr>
        <w:t>籽食品、仿生蟹籽食品、仿生海胆食品等各式仿生海洋食品。</w:t>
      </w:r>
    </w:p>
    <w:p w:rsidR="00EA40A3" w:rsidRDefault="00E86C16">
      <w:pPr>
        <w:spacing w:before="29" w:line="219" w:lineRule="auto"/>
        <w:rPr>
          <w:rFonts w:ascii="宋体" w:eastAsia="宋体" w:hAnsi="宋体" w:cs="宋体"/>
          <w:sz w:val="22"/>
          <w:szCs w:val="22"/>
        </w:rPr>
      </w:pPr>
      <w:r>
        <w:rPr>
          <w:rFonts w:ascii="宋体" w:eastAsia="宋体" w:hAnsi="宋体" w:cs="宋体"/>
          <w:spacing w:val="-6"/>
          <w:sz w:val="22"/>
          <w:szCs w:val="22"/>
        </w:rPr>
        <w:t>3)模仿天然食品生理调节功能特性的产品</w:t>
      </w:r>
    </w:p>
    <w:p w:rsidR="00EA40A3" w:rsidRDefault="00E86C16">
      <w:pPr>
        <w:spacing w:before="68" w:line="219" w:lineRule="auto"/>
        <w:ind w:left="420"/>
        <w:rPr>
          <w:rFonts w:ascii="宋体" w:eastAsia="宋体" w:hAnsi="宋体" w:cs="宋体"/>
          <w:sz w:val="22"/>
          <w:szCs w:val="22"/>
        </w:rPr>
      </w:pPr>
      <w:r>
        <w:rPr>
          <w:rFonts w:ascii="宋体" w:eastAsia="宋体" w:hAnsi="宋体" w:cs="宋体"/>
          <w:spacing w:val="-12"/>
          <w:sz w:val="22"/>
          <w:szCs w:val="22"/>
        </w:rPr>
        <w:t>以仿生发酵制品为代表的仿生食品主要模拟常规发酵食物的生理调节功能特</w:t>
      </w:r>
    </w:p>
    <w:p w:rsidR="00EA40A3" w:rsidRDefault="00E86C16">
      <w:pPr>
        <w:spacing w:before="53"/>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292</w:t>
      </w:r>
      <w:r>
        <w:rPr>
          <w:rFonts w:ascii="宋体" w:eastAsia="宋体" w:hAnsi="宋体" w:cs="宋体"/>
          <w:spacing w:val="61"/>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251"/>
          <w:pgSz w:w="9220" w:h="13360"/>
          <w:pgMar w:top="400" w:right="1049" w:bottom="400" w:left="789" w:header="0" w:footer="0" w:gutter="0"/>
          <w:cols w:space="720"/>
        </w:sectPr>
      </w:pPr>
    </w:p>
    <w:p w:rsidR="00EA40A3" w:rsidRDefault="00EA40A3">
      <w:pPr>
        <w:spacing w:line="311" w:lineRule="auto"/>
      </w:pPr>
    </w:p>
    <w:p w:rsidR="00EA40A3" w:rsidRDefault="00EA40A3">
      <w:pPr>
        <w:spacing w:line="311" w:lineRule="auto"/>
      </w:pPr>
    </w:p>
    <w:p w:rsidR="00EA40A3" w:rsidRDefault="00E86C16">
      <w:pPr>
        <w:spacing w:before="71" w:line="248" w:lineRule="auto"/>
        <w:ind w:right="96" w:firstLine="109"/>
        <w:jc w:val="both"/>
        <w:rPr>
          <w:rFonts w:ascii="宋体" w:eastAsia="宋体" w:hAnsi="宋体" w:cs="宋体"/>
          <w:sz w:val="22"/>
          <w:szCs w:val="22"/>
        </w:rPr>
      </w:pPr>
      <w:r>
        <w:rPr>
          <w:rFonts w:ascii="宋体" w:eastAsia="宋体" w:hAnsi="宋体" w:cs="宋体"/>
          <w:spacing w:val="-12"/>
          <w:sz w:val="22"/>
          <w:szCs w:val="22"/>
        </w:rPr>
        <w:t>性。例如，发酵型酸奶就是一种典型的仿生发酵食品，它模仿了</w:t>
      </w:r>
      <w:r>
        <w:rPr>
          <w:rFonts w:ascii="宋体" w:eastAsia="宋体" w:hAnsi="宋体" w:cs="宋体"/>
          <w:spacing w:val="-13"/>
          <w:sz w:val="22"/>
          <w:szCs w:val="22"/>
        </w:rPr>
        <w:t>人体在某一特定</w:t>
      </w:r>
      <w:r>
        <w:rPr>
          <w:rFonts w:ascii="宋体" w:eastAsia="宋体" w:hAnsi="宋体" w:cs="宋体"/>
          <w:sz w:val="22"/>
          <w:szCs w:val="22"/>
        </w:rPr>
        <w:t xml:space="preserve"> </w:t>
      </w:r>
      <w:r>
        <w:rPr>
          <w:rFonts w:ascii="宋体" w:eastAsia="宋体" w:hAnsi="宋体" w:cs="宋体"/>
          <w:spacing w:val="-3"/>
          <w:sz w:val="22"/>
          <w:szCs w:val="22"/>
        </w:rPr>
        <w:t>时期(例如婴幼儿时期)肠道内正常的微生物区系作用过程，采用乳酸菌分解乳</w:t>
      </w:r>
      <w:r>
        <w:rPr>
          <w:rFonts w:ascii="宋体" w:eastAsia="宋体" w:hAnsi="宋体" w:cs="宋体"/>
          <w:spacing w:val="4"/>
          <w:sz w:val="22"/>
          <w:szCs w:val="22"/>
        </w:rPr>
        <w:t xml:space="preserve"> </w:t>
      </w:r>
      <w:r>
        <w:rPr>
          <w:rFonts w:ascii="宋体" w:eastAsia="宋体" w:hAnsi="宋体" w:cs="宋体"/>
          <w:spacing w:val="-4"/>
          <w:sz w:val="22"/>
          <w:szCs w:val="22"/>
        </w:rPr>
        <w:t>糖，模拟正常人体肠道内牛乳乳糖的消化作用，在体外对牛乳的营养成分进行</w:t>
      </w:r>
      <w:r>
        <w:rPr>
          <w:rFonts w:ascii="宋体" w:eastAsia="宋体" w:hAnsi="宋体" w:cs="宋体"/>
          <w:spacing w:val="15"/>
          <w:sz w:val="22"/>
          <w:szCs w:val="22"/>
        </w:rPr>
        <w:t xml:space="preserve"> </w:t>
      </w:r>
      <w:r>
        <w:rPr>
          <w:rFonts w:ascii="宋体" w:eastAsia="宋体" w:hAnsi="宋体" w:cs="宋体"/>
          <w:spacing w:val="-6"/>
          <w:sz w:val="22"/>
          <w:szCs w:val="22"/>
        </w:rPr>
        <w:t>“预消化”,提高其在人体肠道中的消化吸收性能和营养价值。再如仿生花粉食</w:t>
      </w:r>
      <w:r>
        <w:rPr>
          <w:rFonts w:ascii="宋体" w:eastAsia="宋体" w:hAnsi="宋体" w:cs="宋体"/>
          <w:sz w:val="22"/>
          <w:szCs w:val="22"/>
        </w:rPr>
        <w:t xml:space="preserve"> </w:t>
      </w:r>
      <w:r>
        <w:rPr>
          <w:rFonts w:ascii="宋体" w:eastAsia="宋体" w:hAnsi="宋体" w:cs="宋体"/>
          <w:spacing w:val="-4"/>
          <w:sz w:val="22"/>
          <w:szCs w:val="22"/>
        </w:rPr>
        <w:t>品，在人工控制条件下，利用从蜂房中分离筛选出的乳酸菌，模拟蜂房中的温</w:t>
      </w:r>
      <w:r>
        <w:rPr>
          <w:rFonts w:ascii="宋体" w:eastAsia="宋体" w:hAnsi="宋体" w:cs="宋体"/>
          <w:spacing w:val="12"/>
          <w:sz w:val="22"/>
          <w:szCs w:val="22"/>
        </w:rPr>
        <w:t xml:space="preserve"> </w:t>
      </w:r>
      <w:r>
        <w:rPr>
          <w:rFonts w:ascii="宋体" w:eastAsia="宋体" w:hAnsi="宋体" w:cs="宋体"/>
          <w:spacing w:val="-9"/>
          <w:sz w:val="22"/>
          <w:szCs w:val="22"/>
        </w:rPr>
        <w:t>度、湿度进行发酵破壁，制取人工蜂粮。模拟自然条件发酵制造的人</w:t>
      </w:r>
      <w:r>
        <w:rPr>
          <w:rFonts w:ascii="宋体" w:eastAsia="宋体" w:hAnsi="宋体" w:cs="宋体"/>
          <w:spacing w:val="-10"/>
          <w:sz w:val="22"/>
          <w:szCs w:val="22"/>
        </w:rPr>
        <w:t>工蜂粮，有</w:t>
      </w:r>
      <w:r>
        <w:rPr>
          <w:rFonts w:ascii="宋体" w:eastAsia="宋体" w:hAnsi="宋体" w:cs="宋体"/>
          <w:sz w:val="22"/>
          <w:szCs w:val="22"/>
        </w:rPr>
        <w:t xml:space="preserve"> </w:t>
      </w:r>
      <w:r>
        <w:rPr>
          <w:rFonts w:ascii="宋体" w:eastAsia="宋体" w:hAnsi="宋体" w:cs="宋体"/>
          <w:spacing w:val="-6"/>
          <w:sz w:val="22"/>
          <w:szCs w:val="22"/>
        </w:rPr>
        <w:t>利于花粉食品生理调节功能组分的利用或“标准化”,对于解决养蜂业春繁夏</w:t>
      </w:r>
      <w:r>
        <w:rPr>
          <w:rFonts w:ascii="宋体" w:eastAsia="宋体" w:hAnsi="宋体" w:cs="宋体"/>
          <w:spacing w:val="-7"/>
          <w:sz w:val="22"/>
          <w:szCs w:val="22"/>
        </w:rPr>
        <w:t>忙</w:t>
      </w:r>
      <w:r>
        <w:rPr>
          <w:rFonts w:ascii="宋体" w:eastAsia="宋体" w:hAnsi="宋体" w:cs="宋体"/>
          <w:sz w:val="22"/>
          <w:szCs w:val="22"/>
        </w:rPr>
        <w:t xml:space="preserve"> </w:t>
      </w:r>
      <w:r>
        <w:rPr>
          <w:rFonts w:ascii="宋体" w:eastAsia="宋体" w:hAnsi="宋体" w:cs="宋体"/>
          <w:spacing w:val="-7"/>
          <w:sz w:val="22"/>
          <w:szCs w:val="22"/>
        </w:rPr>
        <w:t>的困难问题也有重要的作用。</w:t>
      </w:r>
    </w:p>
    <w:p w:rsidR="00EA40A3" w:rsidRDefault="00E86C16">
      <w:pPr>
        <w:spacing w:before="225" w:line="223" w:lineRule="auto"/>
        <w:ind w:left="113"/>
        <w:outlineLvl w:val="6"/>
        <w:rPr>
          <w:rFonts w:ascii="黑体" w:eastAsia="黑体" w:hAnsi="黑体" w:cs="黑体"/>
          <w:sz w:val="26"/>
          <w:szCs w:val="26"/>
        </w:rPr>
      </w:pPr>
      <w:r>
        <w:rPr>
          <w:rFonts w:ascii="黑体" w:eastAsia="黑体" w:hAnsi="黑体" w:cs="黑体"/>
          <w:b/>
          <w:bCs/>
          <w:spacing w:val="-15"/>
          <w:sz w:val="26"/>
          <w:szCs w:val="26"/>
        </w:rPr>
        <w:t>9.2.4</w:t>
      </w:r>
      <w:r>
        <w:rPr>
          <w:rFonts w:ascii="黑体" w:eastAsia="黑体" w:hAnsi="黑体" w:cs="黑体"/>
          <w:spacing w:val="24"/>
          <w:sz w:val="26"/>
          <w:szCs w:val="26"/>
        </w:rPr>
        <w:t xml:space="preserve">  </w:t>
      </w:r>
      <w:r>
        <w:rPr>
          <w:rFonts w:ascii="黑体" w:eastAsia="黑体" w:hAnsi="黑体" w:cs="黑体"/>
          <w:b/>
          <w:bCs/>
          <w:spacing w:val="-15"/>
          <w:sz w:val="26"/>
          <w:szCs w:val="26"/>
        </w:rPr>
        <w:t>广东凉茶</w:t>
      </w:r>
    </w:p>
    <w:p w:rsidR="00EA40A3" w:rsidRDefault="00E86C16">
      <w:pPr>
        <w:spacing w:before="225" w:line="222" w:lineRule="auto"/>
        <w:ind w:left="109"/>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44"/>
          <w:sz w:val="22"/>
          <w:szCs w:val="22"/>
        </w:rPr>
        <w:t xml:space="preserve"> </w:t>
      </w:r>
      <w:r>
        <w:rPr>
          <w:rFonts w:ascii="仿宋" w:eastAsia="仿宋" w:hAnsi="仿宋" w:cs="仿宋"/>
          <w:spacing w:val="-8"/>
          <w:sz w:val="22"/>
          <w:szCs w:val="22"/>
        </w:rPr>
        <w:t>概述</w:t>
      </w:r>
    </w:p>
    <w:p w:rsidR="00EA40A3" w:rsidRDefault="00E86C16">
      <w:pPr>
        <w:spacing w:before="199" w:line="246" w:lineRule="auto"/>
        <w:ind w:left="109" w:right="84" w:firstLine="420"/>
        <w:jc w:val="both"/>
        <w:rPr>
          <w:rFonts w:ascii="宋体" w:eastAsia="宋体" w:hAnsi="宋体" w:cs="宋体"/>
          <w:sz w:val="22"/>
          <w:szCs w:val="22"/>
        </w:rPr>
      </w:pPr>
      <w:r>
        <w:rPr>
          <w:rFonts w:ascii="宋体" w:eastAsia="宋体" w:hAnsi="宋体" w:cs="宋体"/>
          <w:spacing w:val="-13"/>
          <w:sz w:val="22"/>
          <w:szCs w:val="22"/>
        </w:rPr>
        <w:t>凉茶是一类特殊的传统饮料食品。广东凉茶是岭南人民根据本地的气候、水</w:t>
      </w:r>
      <w:r>
        <w:rPr>
          <w:rFonts w:ascii="宋体" w:eastAsia="宋体" w:hAnsi="宋体" w:cs="宋体"/>
          <w:spacing w:val="17"/>
          <w:sz w:val="22"/>
          <w:szCs w:val="22"/>
        </w:rPr>
        <w:t xml:space="preserve"> </w:t>
      </w:r>
      <w:r>
        <w:rPr>
          <w:rFonts w:ascii="宋体" w:eastAsia="宋体" w:hAnsi="宋体" w:cs="宋体"/>
          <w:spacing w:val="-12"/>
          <w:sz w:val="22"/>
          <w:szCs w:val="22"/>
        </w:rPr>
        <w:t>土特性，在长期预防疾病与保健的过程中以中医养生</w:t>
      </w:r>
      <w:r>
        <w:rPr>
          <w:rFonts w:ascii="宋体" w:eastAsia="宋体" w:hAnsi="宋体" w:cs="宋体"/>
          <w:spacing w:val="-13"/>
          <w:sz w:val="22"/>
          <w:szCs w:val="22"/>
        </w:rPr>
        <w:t>理论为指导，以中草药为基</w:t>
      </w:r>
      <w:r>
        <w:rPr>
          <w:rFonts w:ascii="宋体" w:eastAsia="宋体" w:hAnsi="宋体" w:cs="宋体"/>
          <w:sz w:val="22"/>
          <w:szCs w:val="22"/>
        </w:rPr>
        <w:t xml:space="preserve"> </w:t>
      </w:r>
      <w:r>
        <w:rPr>
          <w:rFonts w:ascii="宋体" w:eastAsia="宋体" w:hAnsi="宋体" w:cs="宋体"/>
          <w:spacing w:val="-12"/>
          <w:sz w:val="22"/>
          <w:szCs w:val="22"/>
        </w:rPr>
        <w:t>础，研制、总结出的一类具有清热解毒、生津止渴等功效的</w:t>
      </w:r>
      <w:r>
        <w:rPr>
          <w:rFonts w:ascii="宋体" w:eastAsia="宋体" w:hAnsi="宋体" w:cs="宋体"/>
          <w:spacing w:val="-13"/>
          <w:sz w:val="22"/>
          <w:szCs w:val="22"/>
        </w:rPr>
        <w:t>饮料总称。它综合民</w:t>
      </w:r>
      <w:r>
        <w:rPr>
          <w:rFonts w:ascii="宋体" w:eastAsia="宋体" w:hAnsi="宋体" w:cs="宋体"/>
          <w:sz w:val="22"/>
          <w:szCs w:val="22"/>
        </w:rPr>
        <w:t xml:space="preserve"> </w:t>
      </w:r>
      <w:r>
        <w:rPr>
          <w:rFonts w:ascii="宋体" w:eastAsia="宋体" w:hAnsi="宋体" w:cs="宋体"/>
          <w:spacing w:val="-12"/>
          <w:sz w:val="22"/>
          <w:szCs w:val="22"/>
        </w:rPr>
        <w:t>间验方发展而来，有特定的术语指导人们日常饮用，但又不同于其他中药，服用</w:t>
      </w:r>
      <w:r>
        <w:rPr>
          <w:rFonts w:ascii="宋体" w:eastAsia="宋体" w:hAnsi="宋体" w:cs="宋体"/>
          <w:spacing w:val="4"/>
          <w:sz w:val="22"/>
          <w:szCs w:val="22"/>
        </w:rPr>
        <w:t xml:space="preserve"> </w:t>
      </w:r>
      <w:r>
        <w:rPr>
          <w:rFonts w:ascii="宋体" w:eastAsia="宋体" w:hAnsi="宋体" w:cs="宋体"/>
          <w:spacing w:val="-2"/>
          <w:sz w:val="22"/>
          <w:szCs w:val="22"/>
        </w:rPr>
        <w:t>无剂量限制，且无需医生指导。2006年5月25</w:t>
      </w:r>
      <w:r>
        <w:rPr>
          <w:rFonts w:ascii="宋体" w:eastAsia="宋体" w:hAnsi="宋体" w:cs="宋体"/>
          <w:spacing w:val="-3"/>
          <w:sz w:val="22"/>
          <w:szCs w:val="22"/>
        </w:rPr>
        <w:t>日国务院批准广东凉茶为首批国</w:t>
      </w:r>
      <w:r>
        <w:rPr>
          <w:rFonts w:ascii="宋体" w:eastAsia="宋体" w:hAnsi="宋体" w:cs="宋体"/>
          <w:sz w:val="22"/>
          <w:szCs w:val="22"/>
        </w:rPr>
        <w:t xml:space="preserve"> </w:t>
      </w:r>
      <w:r>
        <w:rPr>
          <w:rFonts w:ascii="宋体" w:eastAsia="宋体" w:hAnsi="宋体" w:cs="宋体"/>
          <w:spacing w:val="-15"/>
          <w:sz w:val="22"/>
          <w:szCs w:val="22"/>
        </w:rPr>
        <w:t>家级非物质文化遗产，</w:t>
      </w:r>
    </w:p>
    <w:p w:rsidR="00EA40A3" w:rsidRDefault="00E86C16">
      <w:pPr>
        <w:spacing w:before="96" w:line="249" w:lineRule="auto"/>
        <w:ind w:left="109" w:firstLine="420"/>
        <w:jc w:val="both"/>
        <w:rPr>
          <w:rFonts w:ascii="宋体" w:eastAsia="宋体" w:hAnsi="宋体" w:cs="宋体"/>
          <w:sz w:val="22"/>
          <w:szCs w:val="22"/>
        </w:rPr>
      </w:pPr>
      <w:r>
        <w:rPr>
          <w:rFonts w:ascii="宋体" w:eastAsia="宋体" w:hAnsi="宋体" w:cs="宋体"/>
          <w:spacing w:val="-12"/>
          <w:sz w:val="22"/>
          <w:szCs w:val="22"/>
        </w:rPr>
        <w:t>南方属热带和亚热带季风气候区，形成了温暖潮湿的气</w:t>
      </w:r>
      <w:r>
        <w:rPr>
          <w:rFonts w:ascii="宋体" w:eastAsia="宋体" w:hAnsi="宋体" w:cs="宋体"/>
          <w:spacing w:val="-13"/>
          <w:sz w:val="22"/>
          <w:szCs w:val="22"/>
        </w:rPr>
        <w:t>候特征，长期在这种</w:t>
      </w:r>
      <w:r>
        <w:rPr>
          <w:rFonts w:ascii="宋体" w:eastAsia="宋体" w:hAnsi="宋体" w:cs="宋体"/>
          <w:sz w:val="22"/>
          <w:szCs w:val="22"/>
        </w:rPr>
        <w:t xml:space="preserve">  </w:t>
      </w:r>
      <w:r>
        <w:rPr>
          <w:rFonts w:ascii="宋体" w:eastAsia="宋体" w:hAnsi="宋体" w:cs="宋体"/>
          <w:spacing w:val="-3"/>
          <w:sz w:val="22"/>
          <w:szCs w:val="22"/>
        </w:rPr>
        <w:t>环境下生活的人容易产生一种亚健康状态</w:t>
      </w:r>
      <w:r>
        <w:rPr>
          <w:rFonts w:ascii="宋体" w:eastAsia="宋体" w:hAnsi="宋体" w:cs="宋体"/>
          <w:spacing w:val="2"/>
          <w:sz w:val="22"/>
          <w:szCs w:val="22"/>
          <w:u w:val="single"/>
        </w:rPr>
        <w:t xml:space="preserve">    </w:t>
      </w:r>
      <w:r>
        <w:rPr>
          <w:rFonts w:ascii="宋体" w:eastAsia="宋体" w:hAnsi="宋体" w:cs="宋体"/>
          <w:spacing w:val="-50"/>
          <w:sz w:val="22"/>
          <w:szCs w:val="22"/>
        </w:rPr>
        <w:t xml:space="preserve"> </w:t>
      </w:r>
      <w:r>
        <w:rPr>
          <w:rFonts w:ascii="宋体" w:eastAsia="宋体" w:hAnsi="宋体" w:cs="宋体"/>
          <w:spacing w:val="-3"/>
          <w:sz w:val="22"/>
          <w:szCs w:val="22"/>
        </w:rPr>
        <w:t>热气(上火)</w:t>
      </w:r>
      <w:r>
        <w:rPr>
          <w:rFonts w:ascii="宋体" w:eastAsia="宋体" w:hAnsi="宋体" w:cs="宋体"/>
          <w:spacing w:val="-4"/>
          <w:sz w:val="22"/>
          <w:szCs w:val="22"/>
        </w:rPr>
        <w:t>,热气得不到及时消</w:t>
      </w:r>
      <w:r>
        <w:rPr>
          <w:rFonts w:ascii="宋体" w:eastAsia="宋体" w:hAnsi="宋体" w:cs="宋体"/>
          <w:sz w:val="22"/>
          <w:szCs w:val="22"/>
        </w:rPr>
        <w:t xml:space="preserve"> </w:t>
      </w:r>
      <w:r>
        <w:rPr>
          <w:rFonts w:ascii="宋体" w:eastAsia="宋体" w:hAnsi="宋体" w:cs="宋体"/>
          <w:spacing w:val="-9"/>
          <w:sz w:val="22"/>
          <w:szCs w:val="22"/>
        </w:rPr>
        <w:t>除，会引起身体不适，还会引发其他疾病。按</w:t>
      </w:r>
      <w:r>
        <w:rPr>
          <w:rFonts w:ascii="宋体" w:eastAsia="宋体" w:hAnsi="宋体" w:cs="宋体"/>
          <w:spacing w:val="-10"/>
          <w:sz w:val="22"/>
          <w:szCs w:val="22"/>
        </w:rPr>
        <w:t>照中医的理论，风、寒、暑、湿、</w:t>
      </w:r>
      <w:r>
        <w:rPr>
          <w:rFonts w:ascii="宋体" w:eastAsia="宋体" w:hAnsi="宋体" w:cs="宋体"/>
          <w:sz w:val="22"/>
          <w:szCs w:val="22"/>
        </w:rPr>
        <w:t xml:space="preserve"> </w:t>
      </w:r>
      <w:r>
        <w:rPr>
          <w:rFonts w:ascii="宋体" w:eastAsia="宋体" w:hAnsi="宋体" w:cs="宋体"/>
          <w:spacing w:val="-6"/>
          <w:sz w:val="22"/>
          <w:szCs w:val="22"/>
        </w:rPr>
        <w:t>火、燥6种邪气侵人，是人致病的原因。这6种邪气当中，除了寒邪外，其余</w:t>
      </w:r>
      <w:r>
        <w:rPr>
          <w:rFonts w:ascii="宋体" w:eastAsia="宋体" w:hAnsi="宋体" w:cs="宋体"/>
          <w:spacing w:val="-7"/>
          <w:sz w:val="22"/>
          <w:szCs w:val="22"/>
        </w:rPr>
        <w:t>都</w:t>
      </w:r>
      <w:r>
        <w:rPr>
          <w:rFonts w:ascii="宋体" w:eastAsia="宋体" w:hAnsi="宋体" w:cs="宋体"/>
          <w:sz w:val="22"/>
          <w:szCs w:val="22"/>
        </w:rPr>
        <w:t xml:space="preserve">  </w:t>
      </w:r>
      <w:r>
        <w:rPr>
          <w:rFonts w:ascii="宋体" w:eastAsia="宋体" w:hAnsi="宋体" w:cs="宋体"/>
          <w:spacing w:val="-12"/>
          <w:sz w:val="22"/>
          <w:szCs w:val="22"/>
        </w:rPr>
        <w:t>是温热的，而被寒邪伤害的人又一定患有热病，可见</w:t>
      </w:r>
      <w:r>
        <w:rPr>
          <w:rFonts w:ascii="宋体" w:eastAsia="宋体" w:hAnsi="宋体" w:cs="宋体"/>
          <w:spacing w:val="-13"/>
          <w:sz w:val="22"/>
          <w:szCs w:val="22"/>
        </w:rPr>
        <w:t>清热是治病的关键。岭南人</w:t>
      </w:r>
      <w:r>
        <w:rPr>
          <w:rFonts w:ascii="宋体" w:eastAsia="宋体" w:hAnsi="宋体" w:cs="宋体"/>
          <w:sz w:val="22"/>
          <w:szCs w:val="22"/>
        </w:rPr>
        <w:t xml:space="preserve">  </w:t>
      </w:r>
      <w:r>
        <w:rPr>
          <w:rFonts w:ascii="宋体" w:eastAsia="宋体" w:hAnsi="宋体" w:cs="宋体"/>
          <w:spacing w:val="-12"/>
          <w:sz w:val="22"/>
          <w:szCs w:val="22"/>
        </w:rPr>
        <w:t>通过长期实践，积累了调理保健、防病治病的宝贵经</w:t>
      </w:r>
      <w:r>
        <w:rPr>
          <w:rFonts w:ascii="宋体" w:eastAsia="宋体" w:hAnsi="宋体" w:cs="宋体"/>
          <w:spacing w:val="-13"/>
          <w:sz w:val="22"/>
          <w:szCs w:val="22"/>
        </w:rPr>
        <w:t>验，在植被丰富的山川谷地</w:t>
      </w:r>
      <w:r>
        <w:rPr>
          <w:rFonts w:ascii="宋体" w:eastAsia="宋体" w:hAnsi="宋体" w:cs="宋体"/>
          <w:sz w:val="22"/>
          <w:szCs w:val="22"/>
        </w:rPr>
        <w:t xml:space="preserve">  </w:t>
      </w:r>
      <w:r>
        <w:rPr>
          <w:rFonts w:ascii="宋体" w:eastAsia="宋体" w:hAnsi="宋体" w:cs="宋体"/>
          <w:spacing w:val="-12"/>
          <w:sz w:val="22"/>
          <w:szCs w:val="22"/>
        </w:rPr>
        <w:t>采集各种中草药，以备身体不适时熬制饮用。后来，随着商</w:t>
      </w:r>
      <w:r>
        <w:rPr>
          <w:rFonts w:ascii="宋体" w:eastAsia="宋体" w:hAnsi="宋体" w:cs="宋体"/>
          <w:spacing w:val="-13"/>
          <w:sz w:val="22"/>
          <w:szCs w:val="22"/>
        </w:rPr>
        <w:t>业的发展，有人在繁</w:t>
      </w:r>
      <w:r>
        <w:rPr>
          <w:rFonts w:ascii="宋体" w:eastAsia="宋体" w:hAnsi="宋体" w:cs="宋体"/>
          <w:sz w:val="22"/>
          <w:szCs w:val="22"/>
        </w:rPr>
        <w:t xml:space="preserve">  </w:t>
      </w:r>
      <w:r>
        <w:rPr>
          <w:rFonts w:ascii="宋体" w:eastAsia="宋体" w:hAnsi="宋体" w:cs="宋体"/>
          <w:spacing w:val="-6"/>
          <w:sz w:val="22"/>
          <w:szCs w:val="22"/>
        </w:rPr>
        <w:t>华集市的道路旁出售熬制好的各种保健、防病的草药煎剂，这</w:t>
      </w:r>
      <w:r>
        <w:rPr>
          <w:rFonts w:ascii="宋体" w:eastAsia="宋体" w:hAnsi="宋体" w:cs="宋体"/>
          <w:spacing w:val="-7"/>
          <w:sz w:val="22"/>
          <w:szCs w:val="22"/>
        </w:rPr>
        <w:t>就是岭南民间凉</w:t>
      </w:r>
      <w:r>
        <w:rPr>
          <w:rFonts w:ascii="宋体" w:eastAsia="宋体" w:hAnsi="宋体" w:cs="宋体"/>
          <w:sz w:val="22"/>
          <w:szCs w:val="22"/>
        </w:rPr>
        <w:t xml:space="preserve">  </w:t>
      </w:r>
      <w:r>
        <w:rPr>
          <w:rFonts w:ascii="宋体" w:eastAsia="宋体" w:hAnsi="宋体" w:cs="宋体"/>
          <w:spacing w:val="-12"/>
          <w:sz w:val="22"/>
          <w:szCs w:val="22"/>
        </w:rPr>
        <w:t>茶。由于服用方便，效果明显，深受民众喜爱。岭南人饮</w:t>
      </w:r>
      <w:r>
        <w:rPr>
          <w:rFonts w:ascii="宋体" w:eastAsia="宋体" w:hAnsi="宋体" w:cs="宋体"/>
          <w:spacing w:val="-13"/>
          <w:sz w:val="22"/>
          <w:szCs w:val="22"/>
        </w:rPr>
        <w:t>用凉茶历史悠久，代代</w:t>
      </w:r>
      <w:r>
        <w:rPr>
          <w:rFonts w:ascii="宋体" w:eastAsia="宋体" w:hAnsi="宋体" w:cs="宋体"/>
          <w:sz w:val="22"/>
          <w:szCs w:val="22"/>
        </w:rPr>
        <w:t xml:space="preserve">  </w:t>
      </w:r>
      <w:r>
        <w:rPr>
          <w:rFonts w:ascii="宋体" w:eastAsia="宋体" w:hAnsi="宋体" w:cs="宋体"/>
          <w:spacing w:val="-12"/>
          <w:sz w:val="22"/>
          <w:szCs w:val="22"/>
        </w:rPr>
        <w:t>流传，相习成俗，时至今天，仍然盛行于两广、港澳</w:t>
      </w:r>
      <w:r>
        <w:rPr>
          <w:rFonts w:ascii="宋体" w:eastAsia="宋体" w:hAnsi="宋体" w:cs="宋体"/>
          <w:spacing w:val="-13"/>
          <w:sz w:val="22"/>
          <w:szCs w:val="22"/>
        </w:rPr>
        <w:t>地区，享誉海外，形成了颇</w:t>
      </w:r>
      <w:r>
        <w:rPr>
          <w:rFonts w:ascii="宋体" w:eastAsia="宋体" w:hAnsi="宋体" w:cs="宋体"/>
          <w:sz w:val="22"/>
          <w:szCs w:val="22"/>
        </w:rPr>
        <w:t xml:space="preserve">  </w:t>
      </w:r>
      <w:r>
        <w:rPr>
          <w:rFonts w:ascii="宋体" w:eastAsia="宋体" w:hAnsi="宋体" w:cs="宋体"/>
          <w:spacing w:val="-12"/>
          <w:sz w:val="22"/>
          <w:szCs w:val="22"/>
        </w:rPr>
        <w:t>具特色的凉茶文化，成为岭南地区独具特色的食品。目前生产销售凉茶的企业多</w:t>
      </w:r>
      <w:r>
        <w:rPr>
          <w:rFonts w:ascii="宋体" w:eastAsia="宋体" w:hAnsi="宋体" w:cs="宋体"/>
          <w:spacing w:val="18"/>
          <w:sz w:val="22"/>
          <w:szCs w:val="22"/>
        </w:rPr>
        <w:t xml:space="preserve"> </w:t>
      </w:r>
      <w:r>
        <w:rPr>
          <w:rFonts w:ascii="宋体" w:eastAsia="宋体" w:hAnsi="宋体" w:cs="宋体"/>
          <w:spacing w:val="-12"/>
          <w:sz w:val="22"/>
          <w:szCs w:val="22"/>
        </w:rPr>
        <w:t>达几百家，涌现出王老吉、黄振龙、金葫芦、徐其修、健生堂、夏桑菊等一批著</w:t>
      </w:r>
      <w:r>
        <w:rPr>
          <w:rFonts w:ascii="宋体" w:eastAsia="宋体" w:hAnsi="宋体" w:cs="宋体"/>
          <w:spacing w:val="12"/>
          <w:sz w:val="22"/>
          <w:szCs w:val="22"/>
        </w:rPr>
        <w:t xml:space="preserve"> </w:t>
      </w:r>
      <w:r>
        <w:rPr>
          <w:rFonts w:ascii="宋体" w:eastAsia="宋体" w:hAnsi="宋体" w:cs="宋体"/>
          <w:spacing w:val="-5"/>
          <w:sz w:val="22"/>
          <w:szCs w:val="22"/>
        </w:rPr>
        <w:t>名凉茶品牌，凉茶年销量达200万t,</w:t>
      </w:r>
      <w:r>
        <w:rPr>
          <w:rFonts w:ascii="宋体" w:eastAsia="宋体" w:hAnsi="宋体" w:cs="宋体"/>
          <w:spacing w:val="-27"/>
          <w:sz w:val="22"/>
          <w:szCs w:val="22"/>
        </w:rPr>
        <w:t xml:space="preserve"> </w:t>
      </w:r>
      <w:r>
        <w:rPr>
          <w:rFonts w:ascii="宋体" w:eastAsia="宋体" w:hAnsi="宋体" w:cs="宋体"/>
          <w:spacing w:val="-5"/>
          <w:sz w:val="22"/>
          <w:szCs w:val="22"/>
        </w:rPr>
        <w:t>还将大幅增</w:t>
      </w:r>
      <w:r>
        <w:rPr>
          <w:rFonts w:ascii="宋体" w:eastAsia="宋体" w:hAnsi="宋体" w:cs="宋体"/>
          <w:spacing w:val="-6"/>
          <w:sz w:val="22"/>
          <w:szCs w:val="22"/>
        </w:rPr>
        <w:t>长。</w:t>
      </w:r>
    </w:p>
    <w:p w:rsidR="00EA40A3" w:rsidRDefault="00E86C16">
      <w:pPr>
        <w:spacing w:before="312" w:line="221" w:lineRule="auto"/>
        <w:ind w:left="109"/>
        <w:rPr>
          <w:rFonts w:ascii="仿宋" w:eastAsia="仿宋" w:hAnsi="仿宋" w:cs="仿宋"/>
          <w:sz w:val="22"/>
          <w:szCs w:val="22"/>
        </w:rPr>
      </w:pPr>
      <w:r>
        <w:rPr>
          <w:rFonts w:ascii="仿宋" w:eastAsia="仿宋" w:hAnsi="仿宋" w:cs="仿宋"/>
          <w:spacing w:val="4"/>
          <w:sz w:val="22"/>
          <w:szCs w:val="22"/>
        </w:rPr>
        <w:t>2.</w:t>
      </w:r>
      <w:r>
        <w:rPr>
          <w:rFonts w:ascii="仿宋" w:eastAsia="仿宋" w:hAnsi="仿宋" w:cs="仿宋"/>
          <w:spacing w:val="94"/>
          <w:sz w:val="22"/>
          <w:szCs w:val="22"/>
        </w:rPr>
        <w:t xml:space="preserve"> </w:t>
      </w:r>
      <w:r>
        <w:rPr>
          <w:rFonts w:ascii="仿宋" w:eastAsia="仿宋" w:hAnsi="仿宋" w:cs="仿宋"/>
          <w:spacing w:val="4"/>
          <w:sz w:val="22"/>
          <w:szCs w:val="22"/>
        </w:rPr>
        <w:t>广东凉茶的种类及功效</w:t>
      </w:r>
    </w:p>
    <w:p w:rsidR="00EA40A3" w:rsidRDefault="00E86C16">
      <w:pPr>
        <w:spacing w:before="190" w:line="219" w:lineRule="auto"/>
        <w:ind w:left="530"/>
        <w:rPr>
          <w:rFonts w:ascii="宋体" w:eastAsia="宋体" w:hAnsi="宋体" w:cs="宋体"/>
          <w:sz w:val="22"/>
          <w:szCs w:val="22"/>
        </w:rPr>
      </w:pPr>
      <w:r>
        <w:rPr>
          <w:rFonts w:ascii="宋体" w:eastAsia="宋体" w:hAnsi="宋体" w:cs="宋体"/>
          <w:spacing w:val="-8"/>
          <w:sz w:val="22"/>
          <w:szCs w:val="22"/>
        </w:rPr>
        <w:t>凉茶发展至今，大致可分为下述3种类型。</w:t>
      </w:r>
    </w:p>
    <w:p w:rsidR="00EA40A3" w:rsidRDefault="00E86C16">
      <w:pPr>
        <w:spacing w:before="56" w:line="244" w:lineRule="auto"/>
        <w:ind w:left="109" w:right="69" w:firstLine="420"/>
        <w:rPr>
          <w:rFonts w:ascii="仿宋" w:eastAsia="仿宋" w:hAnsi="仿宋" w:cs="仿宋"/>
          <w:sz w:val="22"/>
          <w:szCs w:val="22"/>
        </w:rPr>
      </w:pPr>
      <w:r>
        <w:rPr>
          <w:rFonts w:ascii="仿宋" w:eastAsia="仿宋" w:hAnsi="仿宋" w:cs="仿宋"/>
          <w:spacing w:val="-8"/>
          <w:sz w:val="22"/>
          <w:szCs w:val="22"/>
        </w:rPr>
        <w:t>(1)传统凉茶：传统凉茶是指历史比较悠久、配方多来自民间或祖传古方的</w:t>
      </w:r>
      <w:r>
        <w:rPr>
          <w:rFonts w:ascii="仿宋" w:eastAsia="仿宋" w:hAnsi="仿宋" w:cs="仿宋"/>
          <w:spacing w:val="1"/>
          <w:sz w:val="22"/>
          <w:szCs w:val="22"/>
        </w:rPr>
        <w:t xml:space="preserve"> </w:t>
      </w:r>
      <w:r>
        <w:rPr>
          <w:rFonts w:ascii="仿宋" w:eastAsia="仿宋" w:hAnsi="仿宋" w:cs="仿宋"/>
          <w:spacing w:val="-12"/>
          <w:sz w:val="22"/>
          <w:szCs w:val="22"/>
        </w:rPr>
        <w:t>一类凉茶。该类凉茶多呈深褐色，口感苦涩，多带有药用性质。例如，广州王老</w:t>
      </w:r>
    </w:p>
    <w:p w:rsidR="00EA40A3" w:rsidRDefault="00E86C16">
      <w:pPr>
        <w:spacing w:before="96"/>
        <w:ind w:right="116"/>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293</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950" w:bottom="400" w:left="789" w:header="0" w:footer="0" w:gutter="0"/>
          <w:cols w:space="720"/>
        </w:sectPr>
      </w:pPr>
    </w:p>
    <w:p w:rsidR="00EA40A3" w:rsidRDefault="00EA40A3">
      <w:pPr>
        <w:spacing w:line="312" w:lineRule="auto"/>
      </w:pPr>
    </w:p>
    <w:p w:rsidR="00EA40A3" w:rsidRDefault="00EA40A3">
      <w:pPr>
        <w:spacing w:line="312" w:lineRule="auto"/>
      </w:pPr>
    </w:p>
    <w:p w:rsidR="00EA40A3" w:rsidRDefault="00E86C16">
      <w:pPr>
        <w:spacing w:before="72" w:line="245" w:lineRule="auto"/>
        <w:ind w:right="60"/>
        <w:jc w:val="both"/>
        <w:rPr>
          <w:rFonts w:ascii="宋体" w:eastAsia="宋体" w:hAnsi="宋体" w:cs="宋体"/>
          <w:sz w:val="22"/>
          <w:szCs w:val="22"/>
        </w:rPr>
      </w:pPr>
      <w:r>
        <w:rPr>
          <w:rFonts w:ascii="宋体" w:eastAsia="宋体" w:hAnsi="宋体" w:cs="宋体"/>
          <w:spacing w:val="-11"/>
          <w:sz w:val="22"/>
          <w:szCs w:val="22"/>
        </w:rPr>
        <w:t>吉凉茶，它是由岗梅根、木蝴蝶、火炭母、金钱草、布渣叶、淡竹叶、金沙藤、</w:t>
      </w:r>
      <w:r>
        <w:rPr>
          <w:rFonts w:ascii="宋体" w:eastAsia="宋体" w:hAnsi="宋体" w:cs="宋体"/>
          <w:spacing w:val="3"/>
          <w:sz w:val="22"/>
          <w:szCs w:val="22"/>
        </w:rPr>
        <w:t xml:space="preserve"> </w:t>
      </w:r>
      <w:r>
        <w:rPr>
          <w:rFonts w:ascii="宋体" w:eastAsia="宋体" w:hAnsi="宋体" w:cs="宋体"/>
          <w:spacing w:val="-7"/>
          <w:sz w:val="22"/>
          <w:szCs w:val="22"/>
        </w:rPr>
        <w:t>五指柑、山芝麻、金樱根10味药组成，这些</w:t>
      </w:r>
      <w:r>
        <w:rPr>
          <w:rFonts w:ascii="宋体" w:eastAsia="宋体" w:hAnsi="宋体" w:cs="宋体"/>
          <w:spacing w:val="-8"/>
          <w:sz w:val="22"/>
          <w:szCs w:val="22"/>
        </w:rPr>
        <w:t>药大多数是广东民间草药，具有清</w:t>
      </w:r>
      <w:r>
        <w:rPr>
          <w:rFonts w:ascii="宋体" w:eastAsia="宋体" w:hAnsi="宋体" w:cs="宋体"/>
          <w:sz w:val="22"/>
          <w:szCs w:val="22"/>
        </w:rPr>
        <w:t xml:space="preserve">  </w:t>
      </w:r>
      <w:r>
        <w:rPr>
          <w:rFonts w:ascii="宋体" w:eastAsia="宋体" w:hAnsi="宋体" w:cs="宋体"/>
          <w:spacing w:val="-13"/>
          <w:sz w:val="22"/>
          <w:szCs w:val="22"/>
        </w:rPr>
        <w:t>热解暑、去湿消滞、生津止渴的功效，主治外感风热而见发热、喉痛、声沙、口</w:t>
      </w:r>
      <w:r>
        <w:rPr>
          <w:rFonts w:ascii="宋体" w:eastAsia="宋体" w:hAnsi="宋体" w:cs="宋体"/>
          <w:spacing w:val="14"/>
          <w:sz w:val="22"/>
          <w:szCs w:val="22"/>
        </w:rPr>
        <w:t xml:space="preserve"> </w:t>
      </w:r>
      <w:r>
        <w:rPr>
          <w:rFonts w:ascii="宋体" w:eastAsia="宋体" w:hAnsi="宋体" w:cs="宋体"/>
          <w:spacing w:val="-11"/>
          <w:sz w:val="22"/>
          <w:szCs w:val="22"/>
        </w:rPr>
        <w:t>苦尿黄，兼有泄泻、腹痛、食少体倦等胃肠湿热症状。还有香港二十四味凉茶、</w:t>
      </w:r>
      <w:r>
        <w:rPr>
          <w:rFonts w:ascii="宋体" w:eastAsia="宋体" w:hAnsi="宋体" w:cs="宋体"/>
          <w:spacing w:val="3"/>
          <w:sz w:val="22"/>
          <w:szCs w:val="22"/>
        </w:rPr>
        <w:t xml:space="preserve"> </w:t>
      </w:r>
      <w:r>
        <w:rPr>
          <w:rFonts w:ascii="宋体" w:eastAsia="宋体" w:hAnsi="宋体" w:cs="宋体"/>
          <w:spacing w:val="-18"/>
          <w:sz w:val="22"/>
          <w:szCs w:val="22"/>
        </w:rPr>
        <w:t>黄振龙斑痧凉茶等。</w:t>
      </w:r>
    </w:p>
    <w:p w:rsidR="00EA40A3" w:rsidRDefault="00E86C16">
      <w:pPr>
        <w:spacing w:before="71" w:line="246" w:lineRule="auto"/>
        <w:ind w:right="60" w:firstLine="410"/>
        <w:jc w:val="both"/>
        <w:rPr>
          <w:rFonts w:ascii="宋体" w:eastAsia="宋体" w:hAnsi="宋体" w:cs="宋体"/>
          <w:sz w:val="22"/>
          <w:szCs w:val="22"/>
        </w:rPr>
      </w:pPr>
      <w:r>
        <w:rPr>
          <w:rFonts w:ascii="宋体" w:eastAsia="宋体" w:hAnsi="宋体" w:cs="宋体"/>
          <w:spacing w:val="-3"/>
          <w:sz w:val="22"/>
          <w:szCs w:val="22"/>
        </w:rPr>
        <w:t>(2)保健凉茶：这类凉茶与传统凉茶有所不同，它并不是专门针对某</w:t>
      </w:r>
      <w:r>
        <w:rPr>
          <w:rFonts w:ascii="宋体" w:eastAsia="宋体" w:hAnsi="宋体" w:cs="宋体"/>
          <w:spacing w:val="-4"/>
          <w:sz w:val="22"/>
          <w:szCs w:val="22"/>
        </w:rPr>
        <w:t>一疾</w:t>
      </w:r>
      <w:r>
        <w:rPr>
          <w:rFonts w:ascii="宋体" w:eastAsia="宋体" w:hAnsi="宋体" w:cs="宋体"/>
          <w:sz w:val="22"/>
          <w:szCs w:val="22"/>
        </w:rPr>
        <w:t xml:space="preserve"> </w:t>
      </w:r>
      <w:r>
        <w:rPr>
          <w:rFonts w:ascii="宋体" w:eastAsia="宋体" w:hAnsi="宋体" w:cs="宋体"/>
          <w:spacing w:val="-13"/>
          <w:sz w:val="22"/>
          <w:szCs w:val="22"/>
        </w:rPr>
        <w:t>病，而是适合于健康人群，起到清热消暑等保健作用。所用原料除具有清热消暑</w:t>
      </w:r>
      <w:r>
        <w:rPr>
          <w:rFonts w:ascii="宋体" w:eastAsia="宋体" w:hAnsi="宋体" w:cs="宋体"/>
          <w:spacing w:val="15"/>
          <w:sz w:val="22"/>
          <w:szCs w:val="22"/>
        </w:rPr>
        <w:t xml:space="preserve"> </w:t>
      </w:r>
      <w:r>
        <w:rPr>
          <w:rFonts w:ascii="宋体" w:eastAsia="宋体" w:hAnsi="宋体" w:cs="宋体"/>
          <w:spacing w:val="-13"/>
          <w:sz w:val="22"/>
          <w:szCs w:val="22"/>
        </w:rPr>
        <w:t>作用的中草药外，还有一些药食两用的食物原料。这类凉茶颜色偏淡，味道不觉</w:t>
      </w:r>
      <w:r>
        <w:rPr>
          <w:rFonts w:ascii="宋体" w:eastAsia="宋体" w:hAnsi="宋体" w:cs="宋体"/>
          <w:spacing w:val="15"/>
          <w:sz w:val="22"/>
          <w:szCs w:val="22"/>
        </w:rPr>
        <w:t xml:space="preserve"> </w:t>
      </w:r>
      <w:r>
        <w:rPr>
          <w:rFonts w:ascii="宋体" w:eastAsia="宋体" w:hAnsi="宋体" w:cs="宋体"/>
          <w:spacing w:val="-13"/>
          <w:sz w:val="22"/>
          <w:szCs w:val="22"/>
        </w:rPr>
        <w:t>苦涩，且略有甘甜之昧，因而很受欢迎。例如：罗汉果凉茶、金银菊五花茶、菊</w:t>
      </w:r>
      <w:r>
        <w:rPr>
          <w:rFonts w:ascii="宋体" w:eastAsia="宋体" w:hAnsi="宋体" w:cs="宋体"/>
          <w:spacing w:val="13"/>
          <w:sz w:val="22"/>
          <w:szCs w:val="22"/>
        </w:rPr>
        <w:t xml:space="preserve"> </w:t>
      </w:r>
      <w:r>
        <w:rPr>
          <w:rFonts w:ascii="宋体" w:eastAsia="宋体" w:hAnsi="宋体" w:cs="宋体"/>
          <w:spacing w:val="-11"/>
          <w:sz w:val="22"/>
          <w:szCs w:val="22"/>
        </w:rPr>
        <w:t>花雪梨茶等，具有清热明目、解暑之功效，适当饮用，可防止中暑及肺燥咳嗽、</w:t>
      </w:r>
      <w:r>
        <w:rPr>
          <w:rFonts w:ascii="宋体" w:eastAsia="宋体" w:hAnsi="宋体" w:cs="宋体"/>
          <w:spacing w:val="3"/>
          <w:sz w:val="22"/>
          <w:szCs w:val="22"/>
        </w:rPr>
        <w:t xml:space="preserve"> </w:t>
      </w:r>
      <w:r>
        <w:rPr>
          <w:rFonts w:ascii="宋体" w:eastAsia="宋体" w:hAnsi="宋体" w:cs="宋体"/>
          <w:spacing w:val="-15"/>
          <w:sz w:val="22"/>
          <w:szCs w:val="22"/>
        </w:rPr>
        <w:t>肝火眼痛等症，从而起到保健预防作用。</w:t>
      </w:r>
    </w:p>
    <w:p w:rsidR="00EA40A3" w:rsidRDefault="00E86C16">
      <w:pPr>
        <w:spacing w:before="38" w:line="245" w:lineRule="auto"/>
        <w:ind w:right="20" w:firstLine="410"/>
        <w:jc w:val="both"/>
        <w:rPr>
          <w:rFonts w:ascii="宋体" w:eastAsia="宋体" w:hAnsi="宋体" w:cs="宋体"/>
          <w:sz w:val="22"/>
          <w:szCs w:val="22"/>
        </w:rPr>
      </w:pPr>
      <w:r>
        <w:rPr>
          <w:rFonts w:ascii="宋体" w:eastAsia="宋体" w:hAnsi="宋体" w:cs="宋体"/>
          <w:spacing w:val="-3"/>
          <w:sz w:val="22"/>
          <w:szCs w:val="22"/>
        </w:rPr>
        <w:t>(3)果蔬凉茶：这类凉茶是指鲜榨果蔬汁，由于所用原料为一些水果和蔬</w:t>
      </w:r>
      <w:r>
        <w:rPr>
          <w:rFonts w:ascii="宋体" w:eastAsia="宋体" w:hAnsi="宋体" w:cs="宋体"/>
          <w:spacing w:val="8"/>
          <w:sz w:val="22"/>
          <w:szCs w:val="22"/>
        </w:rPr>
        <w:t xml:space="preserve">  </w:t>
      </w:r>
      <w:r>
        <w:rPr>
          <w:rFonts w:ascii="宋体" w:eastAsia="宋体" w:hAnsi="宋体" w:cs="宋体"/>
          <w:spacing w:val="-13"/>
          <w:sz w:val="22"/>
          <w:szCs w:val="22"/>
        </w:rPr>
        <w:t>菜，实属于普通食品类。由于果蔬内含有丰富的人体所需的矿物质、维生素和一</w:t>
      </w:r>
      <w:r>
        <w:rPr>
          <w:rFonts w:ascii="宋体" w:eastAsia="宋体" w:hAnsi="宋体" w:cs="宋体"/>
          <w:spacing w:val="7"/>
          <w:sz w:val="22"/>
          <w:szCs w:val="22"/>
        </w:rPr>
        <w:t xml:space="preserve">  </w:t>
      </w:r>
      <w:r>
        <w:rPr>
          <w:rFonts w:ascii="宋体" w:eastAsia="宋体" w:hAnsi="宋体" w:cs="宋体"/>
          <w:spacing w:val="-13"/>
          <w:sz w:val="22"/>
          <w:szCs w:val="22"/>
        </w:rPr>
        <w:t>些生理活性物质，经常饮用能起到促进体内循环、调节新陈代谢等作用，有益健</w:t>
      </w:r>
      <w:r>
        <w:rPr>
          <w:rFonts w:ascii="宋体" w:eastAsia="宋体" w:hAnsi="宋体" w:cs="宋体"/>
          <w:spacing w:val="6"/>
          <w:sz w:val="22"/>
          <w:szCs w:val="22"/>
        </w:rPr>
        <w:t xml:space="preserve">  </w:t>
      </w:r>
      <w:r>
        <w:rPr>
          <w:rFonts w:ascii="宋体" w:eastAsia="宋体" w:hAnsi="宋体" w:cs="宋体"/>
          <w:spacing w:val="-10"/>
          <w:sz w:val="22"/>
          <w:szCs w:val="22"/>
        </w:rPr>
        <w:t>康。例如：西芹汁可降血压、调节内分泌的功效；凉瓜汁、甘笋汁有清热解毒、</w:t>
      </w:r>
      <w:r>
        <w:rPr>
          <w:rFonts w:ascii="宋体" w:eastAsia="宋体" w:hAnsi="宋体" w:cs="宋体"/>
          <w:spacing w:val="8"/>
          <w:sz w:val="22"/>
          <w:szCs w:val="22"/>
        </w:rPr>
        <w:t xml:space="preserve"> </w:t>
      </w:r>
      <w:r>
        <w:rPr>
          <w:rFonts w:ascii="宋体" w:eastAsia="宋体" w:hAnsi="宋体" w:cs="宋体"/>
          <w:spacing w:val="-13"/>
          <w:sz w:val="22"/>
          <w:szCs w:val="22"/>
        </w:rPr>
        <w:t>治疗暗疮的功效；苹果汁和鲜橙汁则有润肺、健胃的功效。</w:t>
      </w:r>
    </w:p>
    <w:p w:rsidR="00EA40A3" w:rsidRDefault="00E86C16">
      <w:pPr>
        <w:spacing w:before="101" w:line="243" w:lineRule="auto"/>
        <w:ind w:right="120" w:firstLine="410"/>
        <w:jc w:val="both"/>
        <w:rPr>
          <w:rFonts w:ascii="宋体" w:eastAsia="宋体" w:hAnsi="宋体" w:cs="宋体"/>
          <w:sz w:val="22"/>
          <w:szCs w:val="22"/>
        </w:rPr>
      </w:pPr>
      <w:r>
        <w:rPr>
          <w:rFonts w:ascii="宋体" w:eastAsia="宋体" w:hAnsi="宋体" w:cs="宋体"/>
          <w:spacing w:val="-13"/>
          <w:sz w:val="22"/>
          <w:szCs w:val="22"/>
        </w:rPr>
        <w:t>凉茶的剂型多种多样，最早只有凉茶剂型，即由药物磨粉与黏合剂混合制成</w:t>
      </w:r>
      <w:r>
        <w:rPr>
          <w:rFonts w:ascii="宋体" w:eastAsia="宋体" w:hAnsi="宋体" w:cs="宋体"/>
          <w:spacing w:val="17"/>
          <w:sz w:val="22"/>
          <w:szCs w:val="22"/>
        </w:rPr>
        <w:t xml:space="preserve"> </w:t>
      </w:r>
      <w:r>
        <w:rPr>
          <w:rFonts w:ascii="宋体" w:eastAsia="宋体" w:hAnsi="宋体" w:cs="宋体"/>
          <w:spacing w:val="-13"/>
          <w:sz w:val="22"/>
          <w:szCs w:val="22"/>
        </w:rPr>
        <w:t>的一种固体制剂，饮用时以沸水泡汁代茶服用，也称茶剂，形状多制成小方形或</w:t>
      </w:r>
      <w:r>
        <w:rPr>
          <w:rFonts w:ascii="宋体" w:eastAsia="宋体" w:hAnsi="宋体" w:cs="宋体"/>
          <w:spacing w:val="13"/>
          <w:sz w:val="22"/>
          <w:szCs w:val="22"/>
        </w:rPr>
        <w:t xml:space="preserve"> </w:t>
      </w:r>
      <w:r>
        <w:rPr>
          <w:rFonts w:ascii="宋体" w:eastAsia="宋体" w:hAnsi="宋体" w:cs="宋体"/>
          <w:spacing w:val="-13"/>
          <w:sz w:val="22"/>
          <w:szCs w:val="22"/>
        </w:rPr>
        <w:t>长形，如甘和茶、合仔茶和午时茶等。随后制成汤剂，即买即饮，这种剂型较普</w:t>
      </w:r>
      <w:r>
        <w:rPr>
          <w:rFonts w:ascii="宋体" w:eastAsia="宋体" w:hAnsi="宋体" w:cs="宋体"/>
          <w:spacing w:val="12"/>
          <w:sz w:val="22"/>
          <w:szCs w:val="22"/>
        </w:rPr>
        <w:t xml:space="preserve"> </w:t>
      </w:r>
      <w:r>
        <w:rPr>
          <w:rFonts w:ascii="宋体" w:eastAsia="宋体" w:hAnsi="宋体" w:cs="宋体"/>
          <w:spacing w:val="-14"/>
          <w:sz w:val="22"/>
          <w:szCs w:val="22"/>
        </w:rPr>
        <w:t>遍，近来更发展到冲剂型、易拉罐型、茶包型等。</w:t>
      </w:r>
    </w:p>
    <w:p w:rsidR="00EA40A3" w:rsidRDefault="00E86C16">
      <w:pPr>
        <w:spacing w:before="67" w:line="236" w:lineRule="auto"/>
        <w:ind w:right="118" w:firstLine="410"/>
        <w:jc w:val="both"/>
        <w:rPr>
          <w:rFonts w:ascii="宋体" w:eastAsia="宋体" w:hAnsi="宋体" w:cs="宋体"/>
          <w:sz w:val="22"/>
          <w:szCs w:val="22"/>
        </w:rPr>
      </w:pPr>
      <w:r>
        <w:rPr>
          <w:rFonts w:ascii="宋体" w:eastAsia="宋体" w:hAnsi="宋体" w:cs="宋体"/>
          <w:spacing w:val="-12"/>
          <w:sz w:val="22"/>
          <w:szCs w:val="22"/>
        </w:rPr>
        <w:t>广东凉茶功效的物质基础较为复杂，尚缺乏系统</w:t>
      </w:r>
      <w:r>
        <w:rPr>
          <w:rFonts w:ascii="宋体" w:eastAsia="宋体" w:hAnsi="宋体" w:cs="宋体"/>
          <w:spacing w:val="-13"/>
          <w:sz w:val="22"/>
          <w:szCs w:val="22"/>
        </w:rPr>
        <w:t>研究，急需加强。不过，据</w:t>
      </w:r>
      <w:r>
        <w:rPr>
          <w:rFonts w:ascii="宋体" w:eastAsia="宋体" w:hAnsi="宋体" w:cs="宋体"/>
          <w:sz w:val="22"/>
          <w:szCs w:val="22"/>
        </w:rPr>
        <w:t xml:space="preserve"> </w:t>
      </w:r>
      <w:r>
        <w:rPr>
          <w:rFonts w:ascii="宋体" w:eastAsia="宋体" w:hAnsi="宋体" w:cs="宋体"/>
          <w:spacing w:val="-3"/>
          <w:sz w:val="22"/>
          <w:szCs w:val="22"/>
        </w:rPr>
        <w:t>广东省《凉茶(植物饮料)标准》(审定稿),其主要的特征物质之一是黄</w:t>
      </w:r>
      <w:r>
        <w:rPr>
          <w:rFonts w:ascii="宋体" w:eastAsia="宋体" w:hAnsi="宋体" w:cs="宋体"/>
          <w:spacing w:val="-4"/>
          <w:sz w:val="22"/>
          <w:szCs w:val="22"/>
        </w:rPr>
        <w:t>酮类化</w:t>
      </w:r>
      <w:r>
        <w:rPr>
          <w:rFonts w:ascii="宋体" w:eastAsia="宋体" w:hAnsi="宋体" w:cs="宋体"/>
          <w:sz w:val="22"/>
          <w:szCs w:val="22"/>
        </w:rPr>
        <w:t xml:space="preserve"> </w:t>
      </w:r>
      <w:r>
        <w:rPr>
          <w:rFonts w:ascii="宋体" w:eastAsia="宋体" w:hAnsi="宋体" w:cs="宋体"/>
          <w:spacing w:val="-14"/>
          <w:sz w:val="22"/>
          <w:szCs w:val="22"/>
        </w:rPr>
        <w:t>合物，总黄酮含量已列入标准检测项目。</w:t>
      </w:r>
    </w:p>
    <w:p w:rsidR="00EA40A3" w:rsidRDefault="00E86C16">
      <w:pPr>
        <w:spacing w:before="228" w:line="223" w:lineRule="auto"/>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pacing w:val="-35"/>
          <w:sz w:val="22"/>
          <w:szCs w:val="22"/>
        </w:rPr>
        <w:t xml:space="preserve"> </w:t>
      </w:r>
      <w:r>
        <w:rPr>
          <w:rFonts w:ascii="仿宋" w:eastAsia="仿宋" w:hAnsi="仿宋" w:cs="仿宋"/>
          <w:spacing w:val="13"/>
          <w:sz w:val="22"/>
          <w:szCs w:val="22"/>
        </w:rPr>
        <w:t>广东凉茶的管理</w:t>
      </w:r>
    </w:p>
    <w:p w:rsidR="00EA40A3" w:rsidRDefault="00E86C16">
      <w:pPr>
        <w:spacing w:before="194" w:line="248" w:lineRule="auto"/>
        <w:ind w:right="20" w:firstLine="410"/>
        <w:jc w:val="both"/>
        <w:rPr>
          <w:rFonts w:ascii="宋体" w:eastAsia="宋体" w:hAnsi="宋体" w:cs="宋体"/>
          <w:sz w:val="22"/>
          <w:szCs w:val="22"/>
        </w:rPr>
      </w:pPr>
      <w:r>
        <w:rPr>
          <w:rFonts w:ascii="宋体" w:eastAsia="宋体" w:hAnsi="宋体" w:cs="宋体"/>
          <w:spacing w:val="-13"/>
          <w:sz w:val="22"/>
          <w:szCs w:val="22"/>
        </w:rPr>
        <w:t>由于广东凉茶是一类有别于保健食品和普通食品的特殊食品，过去游离于食</w:t>
      </w:r>
      <w:r>
        <w:rPr>
          <w:rFonts w:ascii="宋体" w:eastAsia="宋体" w:hAnsi="宋体" w:cs="宋体"/>
          <w:spacing w:val="8"/>
          <w:sz w:val="22"/>
          <w:szCs w:val="22"/>
        </w:rPr>
        <w:t xml:space="preserve">  </w:t>
      </w:r>
      <w:r>
        <w:rPr>
          <w:rFonts w:ascii="宋体" w:eastAsia="宋体" w:hAnsi="宋体" w:cs="宋体"/>
          <w:spacing w:val="-13"/>
          <w:sz w:val="22"/>
          <w:szCs w:val="22"/>
        </w:rPr>
        <w:t>品和药品之间，缺乏相关标准，生产与管理遇到诸多问题，甚至给一些不法经营</w:t>
      </w:r>
      <w:r>
        <w:rPr>
          <w:rFonts w:ascii="宋体" w:eastAsia="宋体" w:hAnsi="宋体" w:cs="宋体"/>
          <w:spacing w:val="8"/>
          <w:sz w:val="22"/>
          <w:szCs w:val="22"/>
        </w:rPr>
        <w:t xml:space="preserve">  </w:t>
      </w:r>
      <w:r>
        <w:rPr>
          <w:rFonts w:ascii="宋体" w:eastAsia="宋体" w:hAnsi="宋体" w:cs="宋体"/>
          <w:spacing w:val="-10"/>
          <w:sz w:val="22"/>
          <w:szCs w:val="22"/>
        </w:rPr>
        <w:t>者带来可乘之机，如有凉茶店变相出售自制的中药复方汤剂；违规加入防腐剂，</w:t>
      </w:r>
      <w:r>
        <w:rPr>
          <w:rFonts w:ascii="宋体" w:eastAsia="宋体" w:hAnsi="宋体" w:cs="宋体"/>
          <w:spacing w:val="8"/>
          <w:sz w:val="22"/>
          <w:szCs w:val="22"/>
        </w:rPr>
        <w:t xml:space="preserve"> </w:t>
      </w:r>
      <w:r>
        <w:rPr>
          <w:rFonts w:ascii="宋体" w:eastAsia="宋体" w:hAnsi="宋体" w:cs="宋体"/>
          <w:spacing w:val="-12"/>
          <w:sz w:val="22"/>
          <w:szCs w:val="22"/>
        </w:rPr>
        <w:t>防止凉茶变质；违规加入退烧、止咳，甚至激素等西药成分以提高疗效，赢得</w:t>
      </w:r>
      <w:r>
        <w:rPr>
          <w:rFonts w:ascii="宋体" w:eastAsia="宋体" w:hAnsi="宋体" w:cs="宋体"/>
          <w:spacing w:val="-13"/>
          <w:sz w:val="22"/>
          <w:szCs w:val="22"/>
        </w:rPr>
        <w:t>更</w:t>
      </w:r>
      <w:r>
        <w:rPr>
          <w:rFonts w:ascii="宋体" w:eastAsia="宋体" w:hAnsi="宋体" w:cs="宋体"/>
          <w:sz w:val="22"/>
          <w:szCs w:val="22"/>
        </w:rPr>
        <w:t xml:space="preserve"> </w:t>
      </w:r>
      <w:r>
        <w:rPr>
          <w:rFonts w:ascii="宋体" w:eastAsia="宋体" w:hAnsi="宋体" w:cs="宋体"/>
          <w:spacing w:val="-7"/>
          <w:sz w:val="22"/>
          <w:szCs w:val="22"/>
        </w:rPr>
        <w:t>多顾客，不仅对消费者的健康构成威胁，而且也影响了整个凉茶行业的正常发</w:t>
      </w:r>
      <w:r>
        <w:rPr>
          <w:rFonts w:ascii="宋体" w:eastAsia="宋体" w:hAnsi="宋体" w:cs="宋体"/>
          <w:spacing w:val="8"/>
          <w:sz w:val="22"/>
          <w:szCs w:val="22"/>
        </w:rPr>
        <w:t xml:space="preserve">  </w:t>
      </w:r>
      <w:r>
        <w:rPr>
          <w:rFonts w:ascii="宋体" w:eastAsia="宋体" w:hAnsi="宋体" w:cs="宋体"/>
          <w:spacing w:val="-6"/>
          <w:sz w:val="22"/>
          <w:szCs w:val="22"/>
        </w:rPr>
        <w:t>展。针对这种状况，广东省食品(饮食)文化遗产认定委员会依据《广东省食品</w:t>
      </w:r>
      <w:r>
        <w:rPr>
          <w:rFonts w:ascii="宋体" w:eastAsia="宋体" w:hAnsi="宋体" w:cs="宋体"/>
          <w:sz w:val="22"/>
          <w:szCs w:val="22"/>
        </w:rPr>
        <w:t xml:space="preserve"> </w:t>
      </w:r>
      <w:r>
        <w:rPr>
          <w:rFonts w:ascii="宋体" w:eastAsia="宋体" w:hAnsi="宋体" w:cs="宋体"/>
          <w:spacing w:val="-3"/>
          <w:sz w:val="22"/>
          <w:szCs w:val="22"/>
        </w:rPr>
        <w:t>(饮食)文化遗产论证和认定标准》,认定广东凉茶主要包括18个凉茶品牌及其</w:t>
      </w:r>
      <w:r>
        <w:rPr>
          <w:rFonts w:ascii="宋体" w:eastAsia="宋体" w:hAnsi="宋体" w:cs="宋体"/>
          <w:spacing w:val="16"/>
          <w:sz w:val="22"/>
          <w:szCs w:val="22"/>
        </w:rPr>
        <w:t xml:space="preserve"> </w:t>
      </w:r>
      <w:r>
        <w:rPr>
          <w:rFonts w:ascii="宋体" w:eastAsia="宋体" w:hAnsi="宋体" w:cs="宋体"/>
          <w:spacing w:val="1"/>
          <w:sz w:val="22"/>
          <w:szCs w:val="22"/>
        </w:rPr>
        <w:t>支撑的54个配方和专用术语为广东省食品(</w:t>
      </w:r>
      <w:r>
        <w:rPr>
          <w:rFonts w:ascii="宋体" w:eastAsia="宋体" w:hAnsi="宋体" w:cs="宋体"/>
          <w:sz w:val="22"/>
          <w:szCs w:val="22"/>
        </w:rPr>
        <w:t xml:space="preserve">饮食)文化遗产。同时由广东省食 </w:t>
      </w:r>
      <w:r>
        <w:rPr>
          <w:rFonts w:ascii="宋体" w:eastAsia="宋体" w:hAnsi="宋体" w:cs="宋体"/>
          <w:spacing w:val="-10"/>
          <w:sz w:val="22"/>
          <w:szCs w:val="22"/>
        </w:rPr>
        <w:t>品行业协会、广东省食品工业标准化技术委员会组织有关力量，起草《凉茶(植</w:t>
      </w:r>
      <w:r>
        <w:rPr>
          <w:rFonts w:ascii="宋体" w:eastAsia="宋体" w:hAnsi="宋体" w:cs="宋体"/>
          <w:spacing w:val="9"/>
          <w:sz w:val="22"/>
          <w:szCs w:val="22"/>
        </w:rPr>
        <w:t xml:space="preserve">  </w:t>
      </w:r>
      <w:r>
        <w:rPr>
          <w:rFonts w:ascii="宋体" w:eastAsia="宋体" w:hAnsi="宋体" w:cs="宋体"/>
          <w:spacing w:val="-8"/>
          <w:sz w:val="22"/>
          <w:szCs w:val="22"/>
        </w:rPr>
        <w:t>物饮料)标准》,现已进入审定阶段。</w:t>
      </w:r>
    </w:p>
    <w:p w:rsidR="00EA40A3" w:rsidRDefault="00E86C16">
      <w:pPr>
        <w:spacing w:before="96" w:line="219" w:lineRule="auto"/>
        <w:ind w:left="300"/>
        <w:rPr>
          <w:rFonts w:ascii="宋体" w:eastAsia="宋体" w:hAnsi="宋体" w:cs="宋体"/>
          <w:sz w:val="22"/>
          <w:szCs w:val="22"/>
        </w:rPr>
      </w:pPr>
      <w:r>
        <w:rPr>
          <w:rFonts w:ascii="宋体" w:eastAsia="宋体" w:hAnsi="宋体" w:cs="宋体"/>
          <w:spacing w:val="8"/>
          <w:sz w:val="22"/>
          <w:szCs w:val="22"/>
        </w:rPr>
        <w:t>《凉茶(植物饮料)标准》(审定稿)规定了凉茶</w:t>
      </w:r>
      <w:r>
        <w:rPr>
          <w:rFonts w:ascii="宋体" w:eastAsia="宋体" w:hAnsi="宋体" w:cs="宋体"/>
          <w:spacing w:val="7"/>
          <w:sz w:val="22"/>
          <w:szCs w:val="22"/>
        </w:rPr>
        <w:t>(植物饮料)的技术要求、</w:t>
      </w:r>
    </w:p>
    <w:p w:rsidR="00EA40A3" w:rsidRDefault="00E86C16">
      <w:pPr>
        <w:spacing w:before="54"/>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
          <w:sz w:val="17"/>
          <w:szCs w:val="17"/>
        </w:rPr>
        <w:t xml:space="preserve"> </w:t>
      </w:r>
      <w:r>
        <w:rPr>
          <w:rFonts w:ascii="宋体" w:eastAsia="宋体" w:hAnsi="宋体" w:cs="宋体"/>
          <w:spacing w:val="-22"/>
          <w:sz w:val="17"/>
          <w:szCs w:val="17"/>
        </w:rPr>
        <w:t>294</w:t>
      </w:r>
      <w:r>
        <w:rPr>
          <w:rFonts w:ascii="宋体" w:eastAsia="宋体" w:hAnsi="宋体" w:cs="宋体"/>
          <w:spacing w:val="49"/>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039" w:bottom="400" w:left="800" w:header="0" w:footer="0" w:gutter="0"/>
          <w:cols w:space="720"/>
        </w:sectPr>
      </w:pPr>
    </w:p>
    <w:p w:rsidR="00EA40A3" w:rsidRDefault="00EA40A3">
      <w:pPr>
        <w:spacing w:line="304" w:lineRule="auto"/>
      </w:pPr>
    </w:p>
    <w:p w:rsidR="00EA40A3" w:rsidRDefault="00EA40A3">
      <w:pPr>
        <w:spacing w:line="304" w:lineRule="auto"/>
      </w:pPr>
    </w:p>
    <w:p w:rsidR="00EA40A3" w:rsidRDefault="00E86C16">
      <w:pPr>
        <w:spacing w:before="62" w:line="290" w:lineRule="auto"/>
        <w:jc w:val="both"/>
        <w:rPr>
          <w:rFonts w:ascii="宋体" w:eastAsia="宋体" w:hAnsi="宋体" w:cs="宋体"/>
          <w:sz w:val="19"/>
          <w:szCs w:val="19"/>
        </w:rPr>
      </w:pPr>
      <w:r>
        <w:rPr>
          <w:rFonts w:ascii="宋体" w:eastAsia="宋体" w:hAnsi="宋体" w:cs="宋体"/>
          <w:spacing w:val="17"/>
          <w:sz w:val="19"/>
          <w:szCs w:val="19"/>
        </w:rPr>
        <w:t>试验方法、检验规则、标志、包装、运输及储存等内容，限定所用原料为</w:t>
      </w:r>
      <w:r>
        <w:rPr>
          <w:rFonts w:ascii="宋体" w:eastAsia="宋体" w:hAnsi="宋体" w:cs="宋体"/>
          <w:spacing w:val="16"/>
          <w:sz w:val="19"/>
          <w:szCs w:val="19"/>
        </w:rPr>
        <w:t>经认定</w:t>
      </w:r>
      <w:r>
        <w:rPr>
          <w:rFonts w:ascii="宋体" w:eastAsia="宋体" w:hAnsi="宋体" w:cs="宋体"/>
          <w:sz w:val="19"/>
          <w:szCs w:val="19"/>
        </w:rPr>
        <w:t xml:space="preserve"> </w:t>
      </w:r>
      <w:r>
        <w:rPr>
          <w:rFonts w:ascii="宋体" w:eastAsia="宋体" w:hAnsi="宋体" w:cs="宋体"/>
          <w:spacing w:val="19"/>
          <w:sz w:val="19"/>
          <w:szCs w:val="19"/>
        </w:rPr>
        <w:t>的凉茶食品文化遗产配方中的180多种，规定各生产企业应严格按经广东省食品</w:t>
      </w:r>
      <w:r>
        <w:rPr>
          <w:rFonts w:ascii="宋体" w:eastAsia="宋体" w:hAnsi="宋体" w:cs="宋体"/>
          <w:spacing w:val="9"/>
          <w:sz w:val="19"/>
          <w:szCs w:val="19"/>
        </w:rPr>
        <w:t xml:space="preserve"> </w:t>
      </w:r>
      <w:r>
        <w:rPr>
          <w:rFonts w:ascii="宋体" w:eastAsia="宋体" w:hAnsi="宋体" w:cs="宋体"/>
          <w:spacing w:val="29"/>
          <w:sz w:val="19"/>
          <w:szCs w:val="19"/>
        </w:rPr>
        <w:t>文化遗产认定委员会认定的凉茶配方组织生产，各配方产品都需按国家标准</w:t>
      </w:r>
      <w:r>
        <w:rPr>
          <w:rFonts w:ascii="宋体" w:eastAsia="宋体" w:hAnsi="宋体" w:cs="宋体"/>
          <w:spacing w:val="10"/>
          <w:sz w:val="19"/>
          <w:szCs w:val="19"/>
        </w:rPr>
        <w:t xml:space="preserve"> </w:t>
      </w:r>
      <w:r>
        <w:rPr>
          <w:rFonts w:ascii="宋体" w:eastAsia="宋体" w:hAnsi="宋体" w:cs="宋体"/>
          <w:spacing w:val="13"/>
          <w:sz w:val="19"/>
          <w:szCs w:val="19"/>
        </w:rPr>
        <w:t>(</w:t>
      </w:r>
      <w:r>
        <w:rPr>
          <w:rFonts w:ascii="宋体" w:eastAsia="宋体" w:hAnsi="宋体" w:cs="宋体"/>
          <w:sz w:val="19"/>
          <w:szCs w:val="19"/>
        </w:rPr>
        <w:t>GB</w:t>
      </w:r>
      <w:r>
        <w:rPr>
          <w:rFonts w:ascii="宋体" w:eastAsia="宋体" w:hAnsi="宋体" w:cs="宋体"/>
          <w:spacing w:val="13"/>
          <w:sz w:val="19"/>
          <w:szCs w:val="19"/>
        </w:rPr>
        <w:t>/T15193)</w:t>
      </w:r>
      <w:r>
        <w:rPr>
          <w:rFonts w:ascii="宋体" w:eastAsia="宋体" w:hAnsi="宋体" w:cs="宋体"/>
          <w:spacing w:val="3"/>
          <w:sz w:val="19"/>
          <w:szCs w:val="19"/>
        </w:rPr>
        <w:t xml:space="preserve">    </w:t>
      </w:r>
      <w:r>
        <w:rPr>
          <w:rFonts w:ascii="宋体" w:eastAsia="宋体" w:hAnsi="宋体" w:cs="宋体"/>
          <w:spacing w:val="13"/>
          <w:sz w:val="19"/>
          <w:szCs w:val="19"/>
        </w:rPr>
        <w:t>规定的方法进行食品安全性毒理学评价并达到合格，还</w:t>
      </w:r>
      <w:r>
        <w:rPr>
          <w:rFonts w:ascii="宋体" w:eastAsia="宋体" w:hAnsi="宋体" w:cs="宋体"/>
          <w:spacing w:val="12"/>
          <w:sz w:val="19"/>
          <w:szCs w:val="19"/>
        </w:rPr>
        <w:t>规定了凉</w:t>
      </w:r>
      <w:r>
        <w:rPr>
          <w:rFonts w:ascii="宋体" w:eastAsia="宋体" w:hAnsi="宋体" w:cs="宋体"/>
          <w:spacing w:val="3"/>
          <w:sz w:val="19"/>
          <w:szCs w:val="19"/>
        </w:rPr>
        <w:t xml:space="preserve"> </w:t>
      </w:r>
      <w:r>
        <w:rPr>
          <w:rFonts w:ascii="宋体" w:eastAsia="宋体" w:hAnsi="宋体" w:cs="宋体"/>
          <w:spacing w:val="17"/>
          <w:sz w:val="19"/>
          <w:szCs w:val="19"/>
        </w:rPr>
        <w:t>茶的感官性状、理化指标和微生物指标等。其标准的制定与实施对</w:t>
      </w:r>
      <w:r>
        <w:rPr>
          <w:rFonts w:ascii="宋体" w:eastAsia="宋体" w:hAnsi="宋体" w:cs="宋体"/>
          <w:spacing w:val="16"/>
          <w:sz w:val="19"/>
          <w:szCs w:val="19"/>
        </w:rPr>
        <w:t>于规范凉茶行</w:t>
      </w:r>
      <w:r>
        <w:rPr>
          <w:rFonts w:ascii="宋体" w:eastAsia="宋体" w:hAnsi="宋体" w:cs="宋体"/>
          <w:sz w:val="19"/>
          <w:szCs w:val="19"/>
        </w:rPr>
        <w:t xml:space="preserve"> </w:t>
      </w:r>
      <w:r>
        <w:rPr>
          <w:rFonts w:ascii="宋体" w:eastAsia="宋体" w:hAnsi="宋体" w:cs="宋体"/>
          <w:spacing w:val="17"/>
          <w:sz w:val="19"/>
          <w:szCs w:val="19"/>
        </w:rPr>
        <w:t>业的生产经营，提升凉茶的产品质量，确保其安全性，促进消费者身体健康，增</w:t>
      </w:r>
      <w:r>
        <w:rPr>
          <w:rFonts w:ascii="宋体" w:eastAsia="宋体" w:hAnsi="宋体" w:cs="宋体"/>
          <w:sz w:val="19"/>
          <w:szCs w:val="19"/>
        </w:rPr>
        <w:t xml:space="preserve"> </w:t>
      </w:r>
      <w:r>
        <w:rPr>
          <w:rFonts w:ascii="宋体" w:eastAsia="宋体" w:hAnsi="宋体" w:cs="宋体"/>
          <w:spacing w:val="15"/>
          <w:sz w:val="19"/>
          <w:szCs w:val="19"/>
        </w:rPr>
        <w:t>强产品在国内外市场中的竞争力等均有重要意义。</w:t>
      </w:r>
    </w:p>
    <w:p w:rsidR="00EA40A3" w:rsidRDefault="00E86C16">
      <w:pPr>
        <w:spacing w:before="212" w:line="222" w:lineRule="auto"/>
        <w:ind w:left="3202"/>
        <w:rPr>
          <w:rFonts w:ascii="黑体" w:eastAsia="黑体" w:hAnsi="黑体" w:cs="黑体"/>
          <w:sz w:val="22"/>
          <w:szCs w:val="22"/>
        </w:rPr>
      </w:pPr>
      <w:r>
        <w:rPr>
          <w:rFonts w:ascii="黑体" w:eastAsia="黑体" w:hAnsi="黑体" w:cs="黑体"/>
          <w:b/>
          <w:bCs/>
          <w:spacing w:val="-18"/>
          <w:sz w:val="22"/>
          <w:szCs w:val="22"/>
        </w:rPr>
        <w:t>思</w:t>
      </w:r>
      <w:r>
        <w:rPr>
          <w:rFonts w:ascii="黑体" w:eastAsia="黑体" w:hAnsi="黑体" w:cs="黑体"/>
          <w:spacing w:val="88"/>
          <w:sz w:val="22"/>
          <w:szCs w:val="22"/>
        </w:rPr>
        <w:t xml:space="preserve"> </w:t>
      </w:r>
      <w:r>
        <w:rPr>
          <w:rFonts w:ascii="黑体" w:eastAsia="黑体" w:hAnsi="黑体" w:cs="黑体"/>
          <w:b/>
          <w:bCs/>
          <w:spacing w:val="-18"/>
          <w:sz w:val="22"/>
          <w:szCs w:val="22"/>
        </w:rPr>
        <w:t>考</w:t>
      </w:r>
      <w:r>
        <w:rPr>
          <w:rFonts w:ascii="黑体" w:eastAsia="黑体" w:hAnsi="黑体" w:cs="黑体"/>
          <w:spacing w:val="88"/>
          <w:sz w:val="22"/>
          <w:szCs w:val="22"/>
        </w:rPr>
        <w:t xml:space="preserve"> </w:t>
      </w:r>
      <w:r>
        <w:rPr>
          <w:rFonts w:ascii="黑体" w:eastAsia="黑体" w:hAnsi="黑体" w:cs="黑体"/>
          <w:b/>
          <w:bCs/>
          <w:spacing w:val="-18"/>
          <w:sz w:val="22"/>
          <w:szCs w:val="22"/>
        </w:rPr>
        <w:t>题</w:t>
      </w:r>
    </w:p>
    <w:p w:rsidR="00EA40A3" w:rsidRDefault="00E86C16">
      <w:pPr>
        <w:spacing w:before="177" w:line="219" w:lineRule="auto"/>
        <w:ind w:left="399"/>
        <w:rPr>
          <w:rFonts w:ascii="宋体" w:eastAsia="宋体" w:hAnsi="宋体" w:cs="宋体"/>
          <w:sz w:val="19"/>
          <w:szCs w:val="19"/>
        </w:rPr>
      </w:pPr>
      <w:r>
        <w:rPr>
          <w:rFonts w:ascii="宋体" w:eastAsia="宋体" w:hAnsi="宋体" w:cs="宋体"/>
          <w:spacing w:val="-9"/>
          <w:sz w:val="19"/>
          <w:szCs w:val="19"/>
        </w:rPr>
        <w:t>1.保健食品的主要特征是什么?</w:t>
      </w:r>
    </w:p>
    <w:p w:rsidR="00EA40A3" w:rsidRDefault="00E86C16">
      <w:pPr>
        <w:spacing w:before="44" w:line="219" w:lineRule="auto"/>
        <w:ind w:left="399"/>
        <w:rPr>
          <w:rFonts w:ascii="宋体" w:eastAsia="宋体" w:hAnsi="宋体" w:cs="宋体"/>
          <w:sz w:val="19"/>
          <w:szCs w:val="19"/>
        </w:rPr>
      </w:pPr>
      <w:r>
        <w:rPr>
          <w:rFonts w:ascii="宋体" w:eastAsia="宋体" w:hAnsi="宋体" w:cs="宋体"/>
          <w:spacing w:val="-9"/>
          <w:sz w:val="19"/>
          <w:szCs w:val="19"/>
        </w:rPr>
        <w:t>2.保健食品与营养食品的主要区别是什么?</w:t>
      </w:r>
    </w:p>
    <w:p w:rsidR="00EA40A3" w:rsidRDefault="00E86C16">
      <w:pPr>
        <w:spacing w:before="43" w:line="241" w:lineRule="auto"/>
        <w:ind w:left="399" w:right="630"/>
        <w:rPr>
          <w:rFonts w:ascii="宋体" w:eastAsia="宋体" w:hAnsi="宋体" w:cs="宋体"/>
          <w:sz w:val="19"/>
          <w:szCs w:val="19"/>
        </w:rPr>
      </w:pPr>
      <w:r>
        <w:rPr>
          <w:rFonts w:ascii="宋体" w:eastAsia="宋体" w:hAnsi="宋体" w:cs="宋体"/>
          <w:spacing w:val="-11"/>
          <w:sz w:val="19"/>
          <w:szCs w:val="19"/>
        </w:rPr>
        <w:t>3.</w:t>
      </w:r>
      <w:r>
        <w:rPr>
          <w:rFonts w:ascii="宋体" w:eastAsia="宋体" w:hAnsi="宋体" w:cs="宋体"/>
          <w:spacing w:val="-34"/>
          <w:sz w:val="19"/>
          <w:szCs w:val="19"/>
        </w:rPr>
        <w:t xml:space="preserve"> </w:t>
      </w:r>
      <w:r>
        <w:rPr>
          <w:rFonts w:ascii="宋体" w:eastAsia="宋体" w:hAnsi="宋体" w:cs="宋体"/>
          <w:spacing w:val="-11"/>
          <w:sz w:val="19"/>
          <w:szCs w:val="19"/>
        </w:rPr>
        <w:t>根据我国现行保健食品管理体系，在保健食品开发过程中应该注意哪些问</w:t>
      </w:r>
      <w:r>
        <w:rPr>
          <w:rFonts w:ascii="宋体" w:eastAsia="宋体" w:hAnsi="宋体" w:cs="宋体"/>
          <w:spacing w:val="-12"/>
          <w:sz w:val="19"/>
          <w:szCs w:val="19"/>
        </w:rPr>
        <w:t>题?</w:t>
      </w:r>
      <w:r>
        <w:rPr>
          <w:rFonts w:ascii="宋体" w:eastAsia="宋体" w:hAnsi="宋体" w:cs="宋体"/>
          <w:sz w:val="19"/>
          <w:szCs w:val="19"/>
        </w:rPr>
        <w:t xml:space="preserve"> </w:t>
      </w:r>
      <w:r>
        <w:rPr>
          <w:rFonts w:ascii="宋体" w:eastAsia="宋体" w:hAnsi="宋体" w:cs="宋体"/>
          <w:spacing w:val="-5"/>
          <w:sz w:val="19"/>
          <w:szCs w:val="19"/>
        </w:rPr>
        <w:t>4.何谓低脂低热食品?它对人体健康有什么意义?</w:t>
      </w:r>
    </w:p>
    <w:p w:rsidR="00EA40A3" w:rsidRDefault="00E86C16">
      <w:pPr>
        <w:spacing w:before="45" w:line="219" w:lineRule="auto"/>
        <w:ind w:left="399"/>
        <w:rPr>
          <w:rFonts w:ascii="宋体" w:eastAsia="宋体" w:hAnsi="宋体" w:cs="宋体"/>
          <w:sz w:val="19"/>
          <w:szCs w:val="19"/>
        </w:rPr>
      </w:pPr>
      <w:r>
        <w:rPr>
          <w:rFonts w:ascii="宋体" w:eastAsia="宋体" w:hAnsi="宋体" w:cs="宋体"/>
          <w:spacing w:val="-4"/>
          <w:sz w:val="19"/>
          <w:szCs w:val="19"/>
        </w:rPr>
        <w:t>5.仿生食品主要有哪些种类?各有何特点?</w:t>
      </w:r>
    </w:p>
    <w:p w:rsidR="00EA40A3" w:rsidRDefault="00E86C16">
      <w:pPr>
        <w:spacing w:before="45" w:line="219" w:lineRule="auto"/>
        <w:ind w:left="399"/>
        <w:rPr>
          <w:rFonts w:ascii="宋体" w:eastAsia="宋体" w:hAnsi="宋体" w:cs="宋体"/>
          <w:sz w:val="19"/>
          <w:szCs w:val="19"/>
        </w:rPr>
      </w:pPr>
      <w:r>
        <w:rPr>
          <w:rFonts w:ascii="宋体" w:eastAsia="宋体" w:hAnsi="宋体" w:cs="宋体"/>
          <w:spacing w:val="-10"/>
          <w:sz w:val="19"/>
          <w:szCs w:val="19"/>
        </w:rPr>
        <w:t>6.</w:t>
      </w:r>
      <w:r>
        <w:rPr>
          <w:rFonts w:ascii="宋体" w:eastAsia="宋体" w:hAnsi="宋体" w:cs="宋体"/>
          <w:spacing w:val="-57"/>
          <w:sz w:val="19"/>
          <w:szCs w:val="19"/>
        </w:rPr>
        <w:t xml:space="preserve"> </w:t>
      </w:r>
      <w:r>
        <w:rPr>
          <w:rFonts w:ascii="宋体" w:eastAsia="宋体" w:hAnsi="宋体" w:cs="宋体"/>
          <w:spacing w:val="-10"/>
          <w:sz w:val="19"/>
          <w:szCs w:val="19"/>
        </w:rPr>
        <w:t>广东凉茶的主要特点与功效是什么?</w:t>
      </w:r>
    </w:p>
    <w:p w:rsidR="00EA40A3" w:rsidRDefault="00EA40A3">
      <w:pPr>
        <w:spacing w:line="307" w:lineRule="auto"/>
      </w:pPr>
    </w:p>
    <w:p w:rsidR="00EA40A3" w:rsidRDefault="00E86C16">
      <w:pPr>
        <w:spacing w:before="72" w:line="224" w:lineRule="auto"/>
        <w:ind w:right="271"/>
        <w:jc w:val="right"/>
        <w:rPr>
          <w:rFonts w:ascii="楷体" w:eastAsia="楷体" w:hAnsi="楷体" w:cs="楷体"/>
          <w:sz w:val="22"/>
          <w:szCs w:val="22"/>
        </w:rPr>
      </w:pPr>
      <w:r>
        <w:rPr>
          <w:rFonts w:ascii="楷体" w:eastAsia="楷体" w:hAnsi="楷体" w:cs="楷体"/>
          <w:spacing w:val="-10"/>
          <w:sz w:val="22"/>
          <w:szCs w:val="22"/>
        </w:rPr>
        <w:t>(本章编写人：曹劲松</w:t>
      </w:r>
      <w:r>
        <w:rPr>
          <w:rFonts w:ascii="楷体" w:eastAsia="楷体" w:hAnsi="楷体" w:cs="楷体"/>
          <w:spacing w:val="76"/>
          <w:sz w:val="22"/>
          <w:szCs w:val="22"/>
        </w:rPr>
        <w:t xml:space="preserve"> </w:t>
      </w:r>
      <w:r>
        <w:rPr>
          <w:rFonts w:ascii="楷体" w:eastAsia="楷体" w:hAnsi="楷体" w:cs="楷体"/>
          <w:spacing w:val="-10"/>
          <w:sz w:val="22"/>
          <w:szCs w:val="22"/>
        </w:rPr>
        <w:t>庞杰)</w:t>
      </w:r>
    </w:p>
    <w:p w:rsidR="00EA40A3" w:rsidRDefault="00E86C16">
      <w:pPr>
        <w:spacing w:before="212" w:line="222" w:lineRule="auto"/>
        <w:ind w:left="3072"/>
        <w:rPr>
          <w:rFonts w:ascii="黑体" w:eastAsia="黑体" w:hAnsi="黑体" w:cs="黑体"/>
          <w:sz w:val="19"/>
          <w:szCs w:val="19"/>
        </w:rPr>
      </w:pPr>
      <w:r>
        <w:rPr>
          <w:rFonts w:ascii="黑体" w:eastAsia="黑体" w:hAnsi="黑体" w:cs="黑体"/>
          <w:b/>
          <w:bCs/>
          <w:spacing w:val="9"/>
          <w:sz w:val="19"/>
          <w:szCs w:val="19"/>
        </w:rPr>
        <w:t>主要参考文献</w:t>
      </w:r>
    </w:p>
    <w:p w:rsidR="00EA40A3" w:rsidRDefault="00E86C16">
      <w:pPr>
        <w:spacing w:before="195" w:line="251" w:lineRule="exact"/>
        <w:rPr>
          <w:rFonts w:ascii="宋体" w:eastAsia="宋体" w:hAnsi="宋体" w:cs="宋体"/>
          <w:sz w:val="19"/>
          <w:szCs w:val="19"/>
        </w:rPr>
      </w:pPr>
      <w:r>
        <w:rPr>
          <w:rFonts w:ascii="宋体" w:eastAsia="宋体" w:hAnsi="宋体" w:cs="宋体"/>
          <w:spacing w:val="-23"/>
          <w:position w:val="4"/>
          <w:sz w:val="19"/>
          <w:szCs w:val="19"/>
        </w:rPr>
        <w:t>曹劲松，王晓琴.2002.食品营养强化剂.北京：中国轻工业出版社</w:t>
      </w:r>
    </w:p>
    <w:p w:rsidR="00EA40A3" w:rsidRDefault="00E86C16">
      <w:pPr>
        <w:spacing w:line="219" w:lineRule="auto"/>
        <w:rPr>
          <w:rFonts w:ascii="宋体" w:eastAsia="宋体" w:hAnsi="宋体" w:cs="宋体"/>
          <w:sz w:val="19"/>
          <w:szCs w:val="19"/>
        </w:rPr>
      </w:pPr>
      <w:r>
        <w:rPr>
          <w:rFonts w:ascii="宋体" w:eastAsia="宋体" w:hAnsi="宋体" w:cs="宋体"/>
          <w:spacing w:val="-21"/>
          <w:w w:val="97"/>
          <w:sz w:val="19"/>
          <w:szCs w:val="19"/>
        </w:rPr>
        <w:t>高福成。2000.食品分离与重组技术.北京：中国轻工业出版社</w:t>
      </w:r>
    </w:p>
    <w:p w:rsidR="00EA40A3" w:rsidRDefault="00E86C16">
      <w:pPr>
        <w:spacing w:before="23" w:line="219" w:lineRule="auto"/>
        <w:rPr>
          <w:rFonts w:ascii="宋体" w:eastAsia="宋体" w:hAnsi="宋体" w:cs="宋体"/>
          <w:sz w:val="19"/>
          <w:szCs w:val="19"/>
        </w:rPr>
      </w:pPr>
      <w:r>
        <w:rPr>
          <w:rFonts w:ascii="宋体" w:eastAsia="宋体" w:hAnsi="宋体" w:cs="宋体"/>
          <w:spacing w:val="-20"/>
          <w:sz w:val="19"/>
          <w:szCs w:val="19"/>
        </w:rPr>
        <w:t>李清春，张锦强.2001.仿生食品的研究概况.食品科技，(1):20～21</w:t>
      </w:r>
    </w:p>
    <w:p w:rsidR="00EA40A3" w:rsidRDefault="00E86C16">
      <w:pPr>
        <w:spacing w:before="27" w:line="230" w:lineRule="auto"/>
        <w:ind w:right="841"/>
        <w:rPr>
          <w:rFonts w:ascii="宋体" w:eastAsia="宋体" w:hAnsi="宋体" w:cs="宋体"/>
          <w:sz w:val="19"/>
          <w:szCs w:val="19"/>
        </w:rPr>
      </w:pPr>
      <w:r>
        <w:rPr>
          <w:rFonts w:ascii="宋体" w:eastAsia="宋体" w:hAnsi="宋体" w:cs="宋体"/>
          <w:spacing w:val="-19"/>
          <w:sz w:val="19"/>
          <w:szCs w:val="19"/>
        </w:rPr>
        <w:t>李璇，郑建仙.2001.低脂食品影响人体健康的最新进展.食品与发酵</w:t>
      </w:r>
      <w:r>
        <w:rPr>
          <w:rFonts w:ascii="宋体" w:eastAsia="宋体" w:hAnsi="宋体" w:cs="宋体"/>
          <w:spacing w:val="-20"/>
          <w:sz w:val="19"/>
          <w:szCs w:val="19"/>
        </w:rPr>
        <w:t>工业，25(1):55～60</w:t>
      </w:r>
      <w:r>
        <w:rPr>
          <w:rFonts w:ascii="宋体" w:eastAsia="宋体" w:hAnsi="宋体" w:cs="宋体"/>
          <w:sz w:val="19"/>
          <w:szCs w:val="19"/>
        </w:rPr>
        <w:t xml:space="preserve"> </w:t>
      </w:r>
      <w:r>
        <w:rPr>
          <w:rFonts w:ascii="宋体" w:eastAsia="宋体" w:hAnsi="宋体" w:cs="宋体"/>
          <w:spacing w:val="-21"/>
          <w:sz w:val="19"/>
          <w:szCs w:val="19"/>
        </w:rPr>
        <w:t>刘志皋.1991.食品营养学.北京：中国轻工业出版社</w:t>
      </w:r>
    </w:p>
    <w:p w:rsidR="00EA40A3" w:rsidRDefault="00E86C16">
      <w:pPr>
        <w:spacing w:before="25" w:line="250" w:lineRule="exact"/>
        <w:rPr>
          <w:rFonts w:ascii="宋体" w:eastAsia="宋体" w:hAnsi="宋体" w:cs="宋体"/>
          <w:sz w:val="19"/>
          <w:szCs w:val="19"/>
        </w:rPr>
      </w:pPr>
      <w:r>
        <w:rPr>
          <w:rFonts w:ascii="宋体" w:eastAsia="宋体" w:hAnsi="宋体" w:cs="宋体"/>
          <w:spacing w:val="-19"/>
          <w:position w:val="4"/>
          <w:sz w:val="19"/>
          <w:szCs w:val="19"/>
        </w:rPr>
        <w:t>马海乐.1994.仿生食品工程学发展中的若干问题.大自然探索，50(4):74～78</w:t>
      </w:r>
    </w:p>
    <w:p w:rsidR="00EA40A3" w:rsidRDefault="00E86C16">
      <w:pPr>
        <w:spacing w:before="1" w:line="218" w:lineRule="auto"/>
        <w:rPr>
          <w:rFonts w:ascii="宋体" w:eastAsia="宋体" w:hAnsi="宋体" w:cs="宋体"/>
          <w:sz w:val="19"/>
          <w:szCs w:val="19"/>
        </w:rPr>
      </w:pPr>
      <w:r>
        <w:rPr>
          <w:rFonts w:ascii="宋体" w:eastAsia="宋体" w:hAnsi="宋体" w:cs="宋体"/>
          <w:spacing w:val="-21"/>
          <w:sz w:val="19"/>
          <w:szCs w:val="19"/>
        </w:rPr>
        <w:t>唐传核.2004.植物功能性食品.北京：化学工业出版社</w:t>
      </w:r>
    </w:p>
    <w:p w:rsidR="00EA40A3" w:rsidRDefault="00E86C16">
      <w:pPr>
        <w:spacing w:before="25" w:line="250" w:lineRule="exact"/>
        <w:rPr>
          <w:rFonts w:ascii="宋体" w:eastAsia="宋体" w:hAnsi="宋体" w:cs="宋体"/>
          <w:sz w:val="19"/>
          <w:szCs w:val="19"/>
        </w:rPr>
      </w:pPr>
      <w:r>
        <w:rPr>
          <w:rFonts w:ascii="宋体" w:eastAsia="宋体" w:hAnsi="宋体" w:cs="宋体"/>
          <w:spacing w:val="-19"/>
          <w:position w:val="4"/>
          <w:sz w:val="19"/>
          <w:szCs w:val="19"/>
        </w:rPr>
        <w:t>王利方.1998.低脂食品的风味改善.食品工业科技，(3):10～13</w:t>
      </w:r>
    </w:p>
    <w:p w:rsidR="00EA40A3" w:rsidRDefault="00E86C16">
      <w:pPr>
        <w:spacing w:line="218" w:lineRule="auto"/>
        <w:rPr>
          <w:rFonts w:ascii="宋体" w:eastAsia="宋体" w:hAnsi="宋体" w:cs="宋体"/>
          <w:sz w:val="19"/>
          <w:szCs w:val="19"/>
        </w:rPr>
      </w:pPr>
      <w:r>
        <w:rPr>
          <w:rFonts w:ascii="宋体" w:eastAsia="宋体" w:hAnsi="宋体" w:cs="宋体"/>
          <w:spacing w:val="-18"/>
          <w:sz w:val="19"/>
          <w:szCs w:val="19"/>
        </w:rPr>
        <w:t>章淑萍.2005.广州凉茶利弊杂谈.河南中医，(9):78</w:t>
      </w:r>
    </w:p>
    <w:p w:rsidR="00EA40A3" w:rsidRDefault="00E86C16">
      <w:pPr>
        <w:spacing w:before="26" w:line="219" w:lineRule="auto"/>
        <w:rPr>
          <w:rFonts w:ascii="宋体" w:eastAsia="宋体" w:hAnsi="宋体" w:cs="宋体"/>
          <w:sz w:val="19"/>
          <w:szCs w:val="19"/>
        </w:rPr>
      </w:pPr>
      <w:r>
        <w:rPr>
          <w:rFonts w:ascii="宋体" w:eastAsia="宋体" w:hAnsi="宋体" w:cs="宋体"/>
          <w:spacing w:val="-21"/>
          <w:sz w:val="19"/>
          <w:szCs w:val="19"/>
        </w:rPr>
        <w:t>郑建仙.1998.功能性食品.北京：中国轻工业出版社</w:t>
      </w:r>
    </w:p>
    <w:p w:rsidR="00EA40A3" w:rsidRDefault="00EA40A3">
      <w:pPr>
        <w:sectPr w:rsidR="00EA40A3">
          <w:footerReference w:type="default" r:id="rId252"/>
          <w:pgSz w:w="9220" w:h="13360"/>
          <w:pgMar w:top="400" w:right="1060" w:bottom="1233" w:left="910" w:header="0" w:footer="986" w:gutter="0"/>
          <w:cols w:space="720"/>
        </w:sectPr>
      </w:pPr>
    </w:p>
    <w:p w:rsidR="00EA40A3" w:rsidRDefault="00EA40A3"/>
    <w:p w:rsidR="00EA40A3" w:rsidRDefault="00EA40A3"/>
    <w:p w:rsidR="00EA40A3" w:rsidRDefault="00EA40A3"/>
    <w:p w:rsidR="00EA40A3" w:rsidRDefault="00EA40A3"/>
    <w:p w:rsidR="00EA40A3" w:rsidRDefault="00EA40A3">
      <w:pPr>
        <w:spacing w:line="241" w:lineRule="auto"/>
      </w:pPr>
    </w:p>
    <w:p w:rsidR="00EA40A3" w:rsidRDefault="00EA40A3">
      <w:pPr>
        <w:spacing w:line="241" w:lineRule="auto"/>
      </w:pPr>
    </w:p>
    <w:p w:rsidR="00EA40A3" w:rsidRDefault="00E86C16">
      <w:pPr>
        <w:spacing w:before="95" w:line="219" w:lineRule="auto"/>
        <w:ind w:left="1924"/>
        <w:rPr>
          <w:rFonts w:ascii="宋体" w:eastAsia="宋体" w:hAnsi="宋体" w:cs="宋体"/>
          <w:sz w:val="29"/>
          <w:szCs w:val="29"/>
        </w:rPr>
      </w:pPr>
      <w:r>
        <w:rPr>
          <w:rFonts w:ascii="宋体" w:eastAsia="宋体" w:hAnsi="宋体" w:cs="宋体"/>
          <w:b/>
          <w:bCs/>
          <w:spacing w:val="1"/>
          <w:sz w:val="29"/>
          <w:szCs w:val="29"/>
        </w:rPr>
        <w:t>第</w:t>
      </w:r>
      <w:r>
        <w:rPr>
          <w:rFonts w:ascii="宋体" w:eastAsia="宋体" w:hAnsi="宋体" w:cs="宋体"/>
          <w:spacing w:val="-41"/>
          <w:sz w:val="29"/>
          <w:szCs w:val="29"/>
        </w:rPr>
        <w:t xml:space="preserve"> </w:t>
      </w:r>
      <w:r>
        <w:rPr>
          <w:rFonts w:ascii="宋体" w:eastAsia="宋体" w:hAnsi="宋体" w:cs="宋体"/>
          <w:b/>
          <w:bCs/>
          <w:spacing w:val="1"/>
          <w:sz w:val="29"/>
          <w:szCs w:val="29"/>
        </w:rPr>
        <w:t>1</w:t>
      </w:r>
      <w:r>
        <w:rPr>
          <w:rFonts w:ascii="宋体" w:eastAsia="宋体" w:hAnsi="宋体" w:cs="宋体"/>
          <w:spacing w:val="-59"/>
          <w:sz w:val="29"/>
          <w:szCs w:val="29"/>
        </w:rPr>
        <w:t xml:space="preserve"> </w:t>
      </w:r>
      <w:r>
        <w:rPr>
          <w:rFonts w:ascii="宋体" w:eastAsia="宋体" w:hAnsi="宋体" w:cs="宋体"/>
          <w:b/>
          <w:bCs/>
          <w:spacing w:val="1"/>
          <w:sz w:val="29"/>
          <w:szCs w:val="29"/>
        </w:rPr>
        <w:t>0</w:t>
      </w:r>
      <w:r>
        <w:rPr>
          <w:rFonts w:ascii="宋体" w:eastAsia="宋体" w:hAnsi="宋体" w:cs="宋体"/>
          <w:spacing w:val="-52"/>
          <w:sz w:val="29"/>
          <w:szCs w:val="29"/>
        </w:rPr>
        <w:t xml:space="preserve"> </w:t>
      </w:r>
      <w:r>
        <w:rPr>
          <w:rFonts w:ascii="宋体" w:eastAsia="宋体" w:hAnsi="宋体" w:cs="宋体"/>
          <w:b/>
          <w:bCs/>
          <w:spacing w:val="1"/>
          <w:sz w:val="29"/>
          <w:szCs w:val="29"/>
        </w:rPr>
        <w:t>章</w:t>
      </w:r>
      <w:r>
        <w:rPr>
          <w:rFonts w:ascii="宋体" w:eastAsia="宋体" w:hAnsi="宋体" w:cs="宋体"/>
          <w:spacing w:val="141"/>
          <w:sz w:val="29"/>
          <w:szCs w:val="29"/>
        </w:rPr>
        <w:t xml:space="preserve"> </w:t>
      </w:r>
      <w:r>
        <w:rPr>
          <w:rFonts w:ascii="宋体" w:eastAsia="宋体" w:hAnsi="宋体" w:cs="宋体"/>
          <w:b/>
          <w:bCs/>
          <w:spacing w:val="1"/>
          <w:sz w:val="29"/>
          <w:szCs w:val="29"/>
        </w:rPr>
        <w:t>特殊人群的营养</w:t>
      </w:r>
    </w:p>
    <w:p w:rsidR="00EA40A3" w:rsidRDefault="00EA40A3">
      <w:pPr>
        <w:spacing w:line="370" w:lineRule="auto"/>
      </w:pPr>
    </w:p>
    <w:p w:rsidR="00EA40A3" w:rsidRDefault="00E86C16">
      <w:pPr>
        <w:spacing w:before="71" w:line="221" w:lineRule="auto"/>
        <w:ind w:left="3173"/>
        <w:rPr>
          <w:rFonts w:ascii="黑体" w:eastAsia="黑体" w:hAnsi="黑体" w:cs="黑体"/>
          <w:sz w:val="22"/>
          <w:szCs w:val="22"/>
        </w:rPr>
      </w:pPr>
      <w:r>
        <w:rPr>
          <w:rFonts w:ascii="黑体" w:eastAsia="黑体" w:hAnsi="黑体" w:cs="黑体"/>
          <w:b/>
          <w:bCs/>
          <w:spacing w:val="32"/>
          <w:sz w:val="22"/>
          <w:szCs w:val="22"/>
        </w:rPr>
        <w:t>教学目标</w:t>
      </w:r>
    </w:p>
    <w:p w:rsidR="00EA40A3" w:rsidRDefault="00E86C16">
      <w:pPr>
        <w:spacing w:before="216" w:line="223" w:lineRule="auto"/>
        <w:ind w:left="540"/>
        <w:rPr>
          <w:rFonts w:ascii="楷体" w:eastAsia="楷体" w:hAnsi="楷体" w:cs="楷体"/>
          <w:sz w:val="22"/>
          <w:szCs w:val="22"/>
        </w:rPr>
      </w:pPr>
      <w:r>
        <w:rPr>
          <w:rFonts w:ascii="楷体" w:eastAsia="楷体" w:hAnsi="楷体" w:cs="楷体"/>
          <w:spacing w:val="-18"/>
          <w:sz w:val="22"/>
          <w:szCs w:val="22"/>
        </w:rPr>
        <w:t>·</w:t>
      </w:r>
      <w:r>
        <w:rPr>
          <w:rFonts w:ascii="楷体" w:eastAsia="楷体" w:hAnsi="楷体" w:cs="楷体"/>
          <w:spacing w:val="-65"/>
          <w:sz w:val="22"/>
          <w:szCs w:val="22"/>
        </w:rPr>
        <w:t xml:space="preserve"> </w:t>
      </w:r>
      <w:r>
        <w:rPr>
          <w:rFonts w:ascii="楷体" w:eastAsia="楷体" w:hAnsi="楷体" w:cs="楷体"/>
          <w:spacing w:val="-18"/>
          <w:sz w:val="22"/>
          <w:szCs w:val="22"/>
        </w:rPr>
        <w:t>了解不同人群的生理状况。</w:t>
      </w:r>
    </w:p>
    <w:p w:rsidR="00EA40A3" w:rsidRDefault="00E86C16">
      <w:pPr>
        <w:spacing w:before="34" w:line="223" w:lineRule="auto"/>
        <w:ind w:left="540"/>
        <w:rPr>
          <w:rFonts w:ascii="楷体" w:eastAsia="楷体" w:hAnsi="楷体" w:cs="楷体"/>
          <w:sz w:val="22"/>
          <w:szCs w:val="22"/>
        </w:rPr>
      </w:pPr>
      <w:r>
        <w:rPr>
          <w:rFonts w:ascii="楷体" w:eastAsia="楷体" w:hAnsi="楷体" w:cs="楷体"/>
          <w:spacing w:val="-17"/>
          <w:sz w:val="22"/>
          <w:szCs w:val="22"/>
        </w:rPr>
        <w:t>·</w:t>
      </w:r>
      <w:r>
        <w:rPr>
          <w:rFonts w:ascii="楷体" w:eastAsia="楷体" w:hAnsi="楷体" w:cs="楷体"/>
          <w:spacing w:val="-75"/>
          <w:sz w:val="22"/>
          <w:szCs w:val="22"/>
        </w:rPr>
        <w:t xml:space="preserve"> </w:t>
      </w:r>
      <w:r>
        <w:rPr>
          <w:rFonts w:ascii="楷体" w:eastAsia="楷体" w:hAnsi="楷体" w:cs="楷体"/>
          <w:spacing w:val="-17"/>
          <w:sz w:val="22"/>
          <w:szCs w:val="22"/>
        </w:rPr>
        <w:t>掌握不同人群的营养需求特点。</w:t>
      </w:r>
    </w:p>
    <w:p w:rsidR="00EA40A3" w:rsidRDefault="00E86C16">
      <w:pPr>
        <w:spacing w:before="34" w:line="223" w:lineRule="auto"/>
        <w:ind w:left="540"/>
        <w:rPr>
          <w:rFonts w:ascii="楷体" w:eastAsia="楷体" w:hAnsi="楷体" w:cs="楷体"/>
          <w:sz w:val="22"/>
          <w:szCs w:val="22"/>
        </w:rPr>
      </w:pPr>
      <w:r>
        <w:rPr>
          <w:rFonts w:ascii="楷体" w:eastAsia="楷体" w:hAnsi="楷体" w:cs="楷体"/>
          <w:spacing w:val="-14"/>
          <w:sz w:val="22"/>
          <w:szCs w:val="22"/>
        </w:rPr>
        <w:t>·理解不同人群的主要营养缺乏症特点及原因。</w:t>
      </w:r>
    </w:p>
    <w:p w:rsidR="00EA40A3" w:rsidRDefault="00E86C16">
      <w:pPr>
        <w:spacing w:before="34" w:line="248" w:lineRule="auto"/>
        <w:ind w:right="34" w:firstLine="540"/>
        <w:rPr>
          <w:rFonts w:ascii="楷体" w:eastAsia="楷体" w:hAnsi="楷体" w:cs="楷体"/>
          <w:sz w:val="22"/>
          <w:szCs w:val="22"/>
        </w:rPr>
      </w:pPr>
      <w:r>
        <w:rPr>
          <w:rFonts w:ascii="楷体" w:eastAsia="楷体" w:hAnsi="楷体" w:cs="楷体"/>
          <w:spacing w:val="-3"/>
          <w:sz w:val="22"/>
          <w:szCs w:val="22"/>
        </w:rPr>
        <w:t>·根据不同人群的生理状况及营养需求特点能够提出合理的饮食计划及</w:t>
      </w:r>
      <w:r>
        <w:rPr>
          <w:rFonts w:ascii="楷体" w:eastAsia="楷体" w:hAnsi="楷体" w:cs="楷体"/>
          <w:spacing w:val="7"/>
          <w:sz w:val="22"/>
          <w:szCs w:val="22"/>
        </w:rPr>
        <w:t xml:space="preserve"> </w:t>
      </w:r>
      <w:r>
        <w:rPr>
          <w:rFonts w:ascii="楷体" w:eastAsia="楷体" w:hAnsi="楷体" w:cs="楷体"/>
          <w:spacing w:val="-19"/>
          <w:w w:val="99"/>
          <w:sz w:val="22"/>
          <w:szCs w:val="22"/>
        </w:rPr>
        <w:t>建议。</w:t>
      </w:r>
    </w:p>
    <w:p w:rsidR="00EA40A3" w:rsidRDefault="00E86C16">
      <w:pPr>
        <w:spacing w:before="307" w:line="219" w:lineRule="auto"/>
        <w:ind w:left="2600"/>
        <w:rPr>
          <w:rFonts w:ascii="宋体" w:eastAsia="宋体" w:hAnsi="宋体" w:cs="宋体"/>
          <w:sz w:val="29"/>
          <w:szCs w:val="29"/>
        </w:rPr>
      </w:pPr>
      <w:r>
        <w:rPr>
          <w:rFonts w:ascii="宋体" w:eastAsia="宋体" w:hAnsi="宋体" w:cs="宋体"/>
          <w:spacing w:val="-11"/>
          <w:sz w:val="29"/>
          <w:szCs w:val="29"/>
        </w:rPr>
        <w:t>10.1</w:t>
      </w:r>
      <w:r>
        <w:rPr>
          <w:rFonts w:ascii="宋体" w:eastAsia="宋体" w:hAnsi="宋体" w:cs="宋体"/>
          <w:spacing w:val="94"/>
          <w:sz w:val="29"/>
          <w:szCs w:val="29"/>
        </w:rPr>
        <w:t xml:space="preserve"> </w:t>
      </w:r>
      <w:r>
        <w:rPr>
          <w:rFonts w:ascii="宋体" w:eastAsia="宋体" w:hAnsi="宋体" w:cs="宋体"/>
          <w:spacing w:val="-11"/>
          <w:sz w:val="29"/>
          <w:szCs w:val="29"/>
        </w:rPr>
        <w:t>孕</w:t>
      </w:r>
      <w:r>
        <w:rPr>
          <w:rFonts w:ascii="宋体" w:eastAsia="宋体" w:hAnsi="宋体" w:cs="宋体"/>
          <w:spacing w:val="-50"/>
          <w:sz w:val="29"/>
          <w:szCs w:val="29"/>
        </w:rPr>
        <w:t xml:space="preserve"> </w:t>
      </w:r>
      <w:r>
        <w:rPr>
          <w:rFonts w:ascii="宋体" w:eastAsia="宋体" w:hAnsi="宋体" w:cs="宋体"/>
          <w:spacing w:val="-11"/>
          <w:sz w:val="29"/>
          <w:szCs w:val="29"/>
        </w:rPr>
        <w:t>妇</w:t>
      </w:r>
      <w:r>
        <w:rPr>
          <w:rFonts w:ascii="宋体" w:eastAsia="宋体" w:hAnsi="宋体" w:cs="宋体"/>
          <w:spacing w:val="-42"/>
          <w:sz w:val="29"/>
          <w:szCs w:val="29"/>
        </w:rPr>
        <w:t xml:space="preserve"> </w:t>
      </w:r>
      <w:r>
        <w:rPr>
          <w:rFonts w:ascii="宋体" w:eastAsia="宋体" w:hAnsi="宋体" w:cs="宋体"/>
          <w:spacing w:val="-11"/>
          <w:sz w:val="29"/>
          <w:szCs w:val="29"/>
        </w:rPr>
        <w:t>营</w:t>
      </w:r>
      <w:r>
        <w:rPr>
          <w:rFonts w:ascii="宋体" w:eastAsia="宋体" w:hAnsi="宋体" w:cs="宋体"/>
          <w:spacing w:val="-49"/>
          <w:sz w:val="29"/>
          <w:szCs w:val="29"/>
        </w:rPr>
        <w:t xml:space="preserve"> </w:t>
      </w:r>
      <w:r>
        <w:rPr>
          <w:rFonts w:ascii="宋体" w:eastAsia="宋体" w:hAnsi="宋体" w:cs="宋体"/>
          <w:spacing w:val="-11"/>
          <w:sz w:val="29"/>
          <w:szCs w:val="29"/>
        </w:rPr>
        <w:t>养</w:t>
      </w:r>
    </w:p>
    <w:p w:rsidR="00EA40A3" w:rsidRDefault="00E86C16">
      <w:pPr>
        <w:spacing w:before="138" w:line="222" w:lineRule="auto"/>
        <w:ind w:left="3"/>
        <w:outlineLvl w:val="6"/>
        <w:rPr>
          <w:rFonts w:ascii="黑体" w:eastAsia="黑体" w:hAnsi="黑体" w:cs="黑体"/>
          <w:sz w:val="22"/>
          <w:szCs w:val="22"/>
        </w:rPr>
      </w:pPr>
      <w:r>
        <w:rPr>
          <w:rFonts w:ascii="黑体" w:eastAsia="黑体" w:hAnsi="黑体" w:cs="黑体"/>
          <w:b/>
          <w:bCs/>
          <w:spacing w:val="3"/>
          <w:sz w:val="22"/>
          <w:szCs w:val="22"/>
        </w:rPr>
        <w:t>10.1.1</w:t>
      </w:r>
      <w:r>
        <w:rPr>
          <w:rFonts w:ascii="黑体" w:eastAsia="黑体" w:hAnsi="黑体" w:cs="黑体"/>
          <w:spacing w:val="27"/>
          <w:sz w:val="22"/>
          <w:szCs w:val="22"/>
        </w:rPr>
        <w:t xml:space="preserve">  </w:t>
      </w:r>
      <w:r>
        <w:rPr>
          <w:rFonts w:ascii="黑体" w:eastAsia="黑体" w:hAnsi="黑体" w:cs="黑体"/>
          <w:b/>
          <w:bCs/>
          <w:spacing w:val="3"/>
          <w:sz w:val="22"/>
          <w:szCs w:val="22"/>
        </w:rPr>
        <w:t>妊娠期生理特点</w:t>
      </w:r>
    </w:p>
    <w:p w:rsidR="00EA40A3" w:rsidRDefault="00E86C16">
      <w:pPr>
        <w:spacing w:before="196" w:line="246" w:lineRule="auto"/>
        <w:ind w:right="30" w:firstLine="450"/>
        <w:jc w:val="both"/>
        <w:rPr>
          <w:rFonts w:ascii="宋体" w:eastAsia="宋体" w:hAnsi="宋体" w:cs="宋体"/>
          <w:sz w:val="22"/>
          <w:szCs w:val="22"/>
        </w:rPr>
      </w:pPr>
      <w:r>
        <w:rPr>
          <w:rFonts w:ascii="宋体" w:eastAsia="宋体" w:hAnsi="宋体" w:cs="宋体"/>
          <w:spacing w:val="-11"/>
          <w:sz w:val="22"/>
          <w:szCs w:val="22"/>
        </w:rPr>
        <w:t>妊娠</w:t>
      </w:r>
      <w:r>
        <w:rPr>
          <w:rFonts w:ascii="宋体" w:eastAsia="宋体" w:hAnsi="宋体" w:cs="宋体"/>
          <w:spacing w:val="-19"/>
          <w:sz w:val="22"/>
          <w:szCs w:val="22"/>
        </w:rPr>
        <w:t xml:space="preserve"> </w:t>
      </w:r>
      <w:r>
        <w:rPr>
          <w:rFonts w:ascii="宋体" w:eastAsia="宋体" w:hAnsi="宋体" w:cs="宋体"/>
          <w:spacing w:val="-11"/>
          <w:sz w:val="22"/>
          <w:szCs w:val="22"/>
        </w:rPr>
        <w:t>(pregnancy)</w:t>
      </w:r>
      <w:r>
        <w:rPr>
          <w:rFonts w:ascii="宋体" w:eastAsia="宋体" w:hAnsi="宋体" w:cs="宋体"/>
          <w:spacing w:val="-62"/>
          <w:sz w:val="22"/>
          <w:szCs w:val="22"/>
        </w:rPr>
        <w:t xml:space="preserve"> </w:t>
      </w:r>
      <w:r>
        <w:rPr>
          <w:rFonts w:ascii="宋体" w:eastAsia="宋体" w:hAnsi="宋体" w:cs="宋体"/>
          <w:spacing w:val="-11"/>
          <w:sz w:val="22"/>
          <w:szCs w:val="22"/>
        </w:rPr>
        <w:t>是指在母体内胚胎的形成及胎儿的生长发育过程，</w:t>
      </w:r>
      <w:r>
        <w:rPr>
          <w:rFonts w:ascii="宋体" w:eastAsia="宋体" w:hAnsi="宋体" w:cs="宋体"/>
          <w:spacing w:val="56"/>
          <w:sz w:val="22"/>
          <w:szCs w:val="22"/>
        </w:rPr>
        <w:t xml:space="preserve"> </w:t>
      </w:r>
      <w:r>
        <w:rPr>
          <w:rFonts w:ascii="宋体" w:eastAsia="宋体" w:hAnsi="宋体" w:cs="宋体"/>
          <w:spacing w:val="-11"/>
          <w:sz w:val="22"/>
          <w:szCs w:val="22"/>
        </w:rPr>
        <w:t>一般</w:t>
      </w:r>
      <w:r>
        <w:rPr>
          <w:rFonts w:ascii="宋体" w:eastAsia="宋体" w:hAnsi="宋体" w:cs="宋体"/>
          <w:sz w:val="22"/>
          <w:szCs w:val="22"/>
        </w:rPr>
        <w:t xml:space="preserve"> </w:t>
      </w:r>
      <w:r>
        <w:rPr>
          <w:rFonts w:ascii="宋体" w:eastAsia="宋体" w:hAnsi="宋体" w:cs="宋体"/>
          <w:spacing w:val="7"/>
          <w:sz w:val="22"/>
          <w:szCs w:val="22"/>
        </w:rPr>
        <w:t>分为妊娠早期(1～12周)、妊娠中期(13～27周)、妊娠晚期(28～40周)三</w:t>
      </w:r>
      <w:r>
        <w:rPr>
          <w:rFonts w:ascii="宋体" w:eastAsia="宋体" w:hAnsi="宋体" w:cs="宋体"/>
          <w:spacing w:val="17"/>
          <w:sz w:val="22"/>
          <w:szCs w:val="22"/>
        </w:rPr>
        <w:t xml:space="preserve"> </w:t>
      </w:r>
      <w:r>
        <w:rPr>
          <w:rFonts w:ascii="宋体" w:eastAsia="宋体" w:hAnsi="宋体" w:cs="宋体"/>
          <w:spacing w:val="-14"/>
          <w:sz w:val="22"/>
          <w:szCs w:val="22"/>
        </w:rPr>
        <w:t>个阶段。从妊娠开始、妊娠维持到最终分娩，母体的生理状态相对正常妇女发生</w:t>
      </w:r>
      <w:r>
        <w:rPr>
          <w:rFonts w:ascii="宋体" w:eastAsia="宋体" w:hAnsi="宋体" w:cs="宋体"/>
          <w:spacing w:val="18"/>
          <w:sz w:val="22"/>
          <w:szCs w:val="22"/>
        </w:rPr>
        <w:t xml:space="preserve"> </w:t>
      </w:r>
      <w:r>
        <w:rPr>
          <w:rFonts w:ascii="宋体" w:eastAsia="宋体" w:hAnsi="宋体" w:cs="宋体"/>
          <w:spacing w:val="-14"/>
          <w:sz w:val="22"/>
          <w:szCs w:val="22"/>
        </w:rPr>
        <w:t>了很大的改变，其目的是为胎儿提供一个最佳的生长环境；同时，也是为维持母</w:t>
      </w:r>
      <w:r>
        <w:rPr>
          <w:rFonts w:ascii="宋体" w:eastAsia="宋体" w:hAnsi="宋体" w:cs="宋体"/>
          <w:spacing w:val="18"/>
          <w:sz w:val="22"/>
          <w:szCs w:val="22"/>
        </w:rPr>
        <w:t xml:space="preserve"> </w:t>
      </w:r>
      <w:r>
        <w:rPr>
          <w:rFonts w:ascii="宋体" w:eastAsia="宋体" w:hAnsi="宋体" w:cs="宋体"/>
          <w:spacing w:val="-16"/>
          <w:sz w:val="22"/>
          <w:szCs w:val="22"/>
        </w:rPr>
        <w:t>亲的身体健康。</w:t>
      </w:r>
    </w:p>
    <w:p w:rsidR="00EA40A3" w:rsidRDefault="00E86C16">
      <w:pPr>
        <w:spacing w:before="239" w:line="219" w:lineRule="auto"/>
        <w:rPr>
          <w:rFonts w:ascii="宋体" w:eastAsia="宋体" w:hAnsi="宋体" w:cs="宋体"/>
          <w:sz w:val="22"/>
          <w:szCs w:val="22"/>
        </w:rPr>
      </w:pPr>
      <w:r>
        <w:rPr>
          <w:rFonts w:ascii="宋体" w:eastAsia="宋体" w:hAnsi="宋体" w:cs="宋体"/>
          <w:spacing w:val="5"/>
          <w:sz w:val="22"/>
          <w:szCs w:val="22"/>
        </w:rPr>
        <w:t>1.</w:t>
      </w:r>
      <w:r>
        <w:rPr>
          <w:rFonts w:ascii="宋体" w:eastAsia="宋体" w:hAnsi="宋体" w:cs="宋体"/>
          <w:spacing w:val="-12"/>
          <w:sz w:val="22"/>
          <w:szCs w:val="22"/>
        </w:rPr>
        <w:t xml:space="preserve"> </w:t>
      </w:r>
      <w:r>
        <w:rPr>
          <w:rFonts w:ascii="宋体" w:eastAsia="宋体" w:hAnsi="宋体" w:cs="宋体"/>
          <w:spacing w:val="5"/>
          <w:sz w:val="22"/>
          <w:szCs w:val="22"/>
        </w:rPr>
        <w:t>内分泌的改变</w:t>
      </w:r>
    </w:p>
    <w:p w:rsidR="00EA40A3" w:rsidRDefault="00E86C16">
      <w:pPr>
        <w:spacing w:before="188" w:line="245" w:lineRule="auto"/>
        <w:ind w:firstLine="450"/>
        <w:rPr>
          <w:rFonts w:ascii="宋体" w:eastAsia="宋体" w:hAnsi="宋体" w:cs="宋体"/>
          <w:sz w:val="22"/>
          <w:szCs w:val="22"/>
        </w:rPr>
      </w:pPr>
      <w:r>
        <w:rPr>
          <w:rFonts w:ascii="宋体" w:eastAsia="宋体" w:hAnsi="宋体" w:cs="宋体"/>
          <w:spacing w:val="-13"/>
          <w:sz w:val="22"/>
          <w:szCs w:val="22"/>
        </w:rPr>
        <w:t>内分泌系统是体内重要的信息传递系统，参与人体各种生理过程的调</w:t>
      </w:r>
      <w:r>
        <w:rPr>
          <w:rFonts w:ascii="宋体" w:eastAsia="宋体" w:hAnsi="宋体" w:cs="宋体"/>
          <w:spacing w:val="-14"/>
          <w:sz w:val="22"/>
          <w:szCs w:val="22"/>
        </w:rPr>
        <w:t>节。激</w:t>
      </w:r>
      <w:r>
        <w:rPr>
          <w:rFonts w:ascii="宋体" w:eastAsia="宋体" w:hAnsi="宋体" w:cs="宋体"/>
          <w:sz w:val="22"/>
          <w:szCs w:val="22"/>
        </w:rPr>
        <w:t xml:space="preserve"> </w:t>
      </w:r>
      <w:r>
        <w:rPr>
          <w:rFonts w:ascii="宋体" w:eastAsia="宋体" w:hAnsi="宋体" w:cs="宋体"/>
          <w:spacing w:val="-10"/>
          <w:sz w:val="22"/>
          <w:szCs w:val="22"/>
        </w:rPr>
        <w:t>素</w:t>
      </w:r>
      <w:r>
        <w:rPr>
          <w:rFonts w:ascii="宋体" w:eastAsia="宋体" w:hAnsi="宋体" w:cs="宋体"/>
          <w:spacing w:val="-11"/>
          <w:sz w:val="22"/>
          <w:szCs w:val="22"/>
        </w:rPr>
        <w:t xml:space="preserve"> </w:t>
      </w:r>
      <w:r>
        <w:rPr>
          <w:rFonts w:ascii="宋体" w:eastAsia="宋体" w:hAnsi="宋体" w:cs="宋体"/>
          <w:spacing w:val="-10"/>
          <w:sz w:val="22"/>
          <w:szCs w:val="22"/>
        </w:rPr>
        <w:t>(hormone)</w:t>
      </w:r>
      <w:r>
        <w:rPr>
          <w:rFonts w:ascii="宋体" w:eastAsia="宋体" w:hAnsi="宋体" w:cs="宋体"/>
          <w:spacing w:val="28"/>
          <w:sz w:val="22"/>
          <w:szCs w:val="22"/>
        </w:rPr>
        <w:t xml:space="preserve"> </w:t>
      </w:r>
      <w:r>
        <w:rPr>
          <w:rFonts w:ascii="宋体" w:eastAsia="宋体" w:hAnsi="宋体" w:cs="宋体"/>
          <w:spacing w:val="-10"/>
          <w:sz w:val="22"/>
          <w:szCs w:val="22"/>
        </w:rPr>
        <w:t>是由内分泌细胞产生的具有生物活性的物质，是内分泌系统实现</w:t>
      </w:r>
      <w:r>
        <w:rPr>
          <w:rFonts w:ascii="宋体" w:eastAsia="宋体" w:hAnsi="宋体" w:cs="宋体"/>
          <w:sz w:val="22"/>
          <w:szCs w:val="22"/>
        </w:rPr>
        <w:t xml:space="preserve"> </w:t>
      </w:r>
      <w:r>
        <w:rPr>
          <w:rFonts w:ascii="宋体" w:eastAsia="宋体" w:hAnsi="宋体" w:cs="宋体"/>
          <w:spacing w:val="-13"/>
          <w:sz w:val="22"/>
          <w:szCs w:val="22"/>
        </w:rPr>
        <w:t>调节功能的信息传递者。妊娠期妇女内分泌系统多种激素</w:t>
      </w:r>
      <w:r>
        <w:rPr>
          <w:rFonts w:ascii="宋体" w:eastAsia="宋体" w:hAnsi="宋体" w:cs="宋体"/>
          <w:spacing w:val="-14"/>
          <w:sz w:val="22"/>
          <w:szCs w:val="22"/>
        </w:rPr>
        <w:t>水平的改变是导致其身</w:t>
      </w:r>
      <w:r>
        <w:rPr>
          <w:rFonts w:ascii="宋体" w:eastAsia="宋体" w:hAnsi="宋体" w:cs="宋体"/>
          <w:sz w:val="22"/>
          <w:szCs w:val="22"/>
        </w:rPr>
        <w:t xml:space="preserve"> </w:t>
      </w:r>
      <w:r>
        <w:rPr>
          <w:rFonts w:ascii="宋体" w:eastAsia="宋体" w:hAnsi="宋体" w:cs="宋体"/>
          <w:spacing w:val="-11"/>
          <w:sz w:val="22"/>
          <w:szCs w:val="22"/>
        </w:rPr>
        <w:t>体发生生理变化的主要原因。除母体原有的内分泌腺体及细胞分泌</w:t>
      </w:r>
      <w:r>
        <w:rPr>
          <w:rFonts w:ascii="宋体" w:eastAsia="宋体" w:hAnsi="宋体" w:cs="宋体"/>
          <w:spacing w:val="-12"/>
          <w:sz w:val="22"/>
          <w:szCs w:val="22"/>
        </w:rPr>
        <w:t>相关激素外，</w:t>
      </w:r>
      <w:r>
        <w:rPr>
          <w:rFonts w:ascii="宋体" w:eastAsia="宋体" w:hAnsi="宋体" w:cs="宋体"/>
          <w:sz w:val="22"/>
          <w:szCs w:val="22"/>
        </w:rPr>
        <w:t xml:space="preserve"> </w:t>
      </w:r>
      <w:r>
        <w:rPr>
          <w:rFonts w:ascii="宋体" w:eastAsia="宋体" w:hAnsi="宋体" w:cs="宋体"/>
          <w:spacing w:val="-14"/>
          <w:sz w:val="22"/>
          <w:szCs w:val="22"/>
        </w:rPr>
        <w:t>孕后形成的胎盘也可以提供维持妊娠所必需的一些激素。</w:t>
      </w:r>
    </w:p>
    <w:p w:rsidR="00EA40A3" w:rsidRDefault="00E86C16">
      <w:pPr>
        <w:spacing w:before="48" w:line="225" w:lineRule="auto"/>
        <w:rPr>
          <w:rFonts w:ascii="楷体" w:eastAsia="楷体" w:hAnsi="楷体" w:cs="楷体"/>
          <w:sz w:val="22"/>
          <w:szCs w:val="22"/>
        </w:rPr>
      </w:pPr>
      <w:r>
        <w:rPr>
          <w:rFonts w:ascii="楷体" w:eastAsia="楷体" w:hAnsi="楷体" w:cs="楷体"/>
          <w:spacing w:val="-10"/>
          <w:sz w:val="22"/>
          <w:szCs w:val="22"/>
        </w:rPr>
        <w:t>1)人绒毛膜促性腺激素</w:t>
      </w:r>
    </w:p>
    <w:p w:rsidR="00EA40A3" w:rsidRDefault="00E86C16">
      <w:pPr>
        <w:spacing w:before="50" w:line="247" w:lineRule="auto"/>
        <w:ind w:firstLine="450"/>
        <w:rPr>
          <w:rFonts w:ascii="宋体" w:eastAsia="宋体" w:hAnsi="宋体" w:cs="宋体"/>
          <w:sz w:val="22"/>
          <w:szCs w:val="22"/>
        </w:rPr>
      </w:pPr>
      <w:r>
        <w:rPr>
          <w:rFonts w:ascii="宋体" w:eastAsia="宋体" w:hAnsi="宋体" w:cs="宋体"/>
          <w:spacing w:val="-5"/>
          <w:sz w:val="22"/>
          <w:szCs w:val="22"/>
        </w:rPr>
        <w:t>人绒毛膜</w:t>
      </w:r>
      <w:r>
        <w:rPr>
          <w:rFonts w:ascii="宋体" w:eastAsia="宋体" w:hAnsi="宋体" w:cs="宋体"/>
          <w:spacing w:val="-6"/>
          <w:sz w:val="22"/>
          <w:szCs w:val="22"/>
        </w:rPr>
        <w:t>促性腺激素</w:t>
      </w:r>
      <w:r>
        <w:rPr>
          <w:rFonts w:ascii="宋体" w:eastAsia="宋体" w:hAnsi="宋体" w:cs="宋体"/>
          <w:spacing w:val="-10"/>
          <w:sz w:val="22"/>
          <w:szCs w:val="22"/>
        </w:rPr>
        <w:t xml:space="preserve"> </w:t>
      </w:r>
      <w:r>
        <w:rPr>
          <w:rFonts w:ascii="宋体" w:eastAsia="宋体" w:hAnsi="宋体" w:cs="宋体"/>
          <w:spacing w:val="-6"/>
          <w:sz w:val="22"/>
          <w:szCs w:val="22"/>
        </w:rPr>
        <w:t>(</w:t>
      </w:r>
      <w:r>
        <w:rPr>
          <w:rFonts w:ascii="宋体" w:eastAsia="宋体" w:hAnsi="宋体" w:cs="宋体"/>
          <w:spacing w:val="-5"/>
          <w:sz w:val="22"/>
          <w:szCs w:val="22"/>
        </w:rPr>
        <w:t>human</w:t>
      </w:r>
      <w:r>
        <w:rPr>
          <w:rFonts w:ascii="宋体" w:eastAsia="宋体" w:hAnsi="宋体" w:cs="宋体"/>
          <w:spacing w:val="10"/>
          <w:sz w:val="22"/>
          <w:szCs w:val="22"/>
        </w:rPr>
        <w:t xml:space="preserve"> </w:t>
      </w:r>
      <w:r>
        <w:rPr>
          <w:rFonts w:ascii="宋体" w:eastAsia="宋体" w:hAnsi="宋体" w:cs="宋体"/>
          <w:spacing w:val="-5"/>
          <w:sz w:val="22"/>
          <w:szCs w:val="22"/>
        </w:rPr>
        <w:t>chorionic</w:t>
      </w:r>
      <w:r>
        <w:rPr>
          <w:rFonts w:ascii="宋体" w:eastAsia="宋体" w:hAnsi="宋体" w:cs="宋体"/>
          <w:spacing w:val="10"/>
          <w:sz w:val="22"/>
          <w:szCs w:val="22"/>
        </w:rPr>
        <w:t xml:space="preserve"> </w:t>
      </w:r>
      <w:r>
        <w:rPr>
          <w:rFonts w:ascii="宋体" w:eastAsia="宋体" w:hAnsi="宋体" w:cs="宋体"/>
          <w:spacing w:val="-5"/>
          <w:sz w:val="22"/>
          <w:szCs w:val="22"/>
        </w:rPr>
        <w:t>gonadotrophin</w:t>
      </w:r>
      <w:r>
        <w:rPr>
          <w:rFonts w:ascii="宋体" w:eastAsia="宋体" w:hAnsi="宋体" w:cs="宋体"/>
          <w:spacing w:val="-6"/>
          <w:sz w:val="22"/>
          <w:szCs w:val="22"/>
        </w:rPr>
        <w:t>,</w:t>
      </w:r>
      <w:r>
        <w:rPr>
          <w:rFonts w:ascii="宋体" w:eastAsia="宋体" w:hAnsi="宋体" w:cs="宋体"/>
          <w:spacing w:val="-5"/>
          <w:sz w:val="22"/>
          <w:szCs w:val="22"/>
        </w:rPr>
        <w:t>HCG</w:t>
      </w:r>
      <w:r>
        <w:rPr>
          <w:rFonts w:ascii="宋体" w:eastAsia="宋体" w:hAnsi="宋体" w:cs="宋体"/>
          <w:spacing w:val="-6"/>
          <w:sz w:val="22"/>
          <w:szCs w:val="22"/>
        </w:rPr>
        <w:t>)是由胎盘产</w:t>
      </w:r>
      <w:r>
        <w:rPr>
          <w:rFonts w:ascii="宋体" w:eastAsia="宋体" w:hAnsi="宋体" w:cs="宋体"/>
          <w:sz w:val="22"/>
          <w:szCs w:val="22"/>
        </w:rPr>
        <w:t xml:space="preserve"> </w:t>
      </w:r>
      <w:r>
        <w:rPr>
          <w:rFonts w:ascii="宋体" w:eastAsia="宋体" w:hAnsi="宋体" w:cs="宋体"/>
          <w:spacing w:val="-6"/>
          <w:sz w:val="22"/>
          <w:szCs w:val="22"/>
        </w:rPr>
        <w:t>生的一种糖蛋白，在受精后第8～10d</w:t>
      </w:r>
      <w:r>
        <w:rPr>
          <w:rFonts w:ascii="宋体" w:eastAsia="宋体" w:hAnsi="宋体" w:cs="宋体"/>
          <w:spacing w:val="-58"/>
          <w:sz w:val="22"/>
          <w:szCs w:val="22"/>
        </w:rPr>
        <w:t xml:space="preserve"> </w:t>
      </w:r>
      <w:r>
        <w:rPr>
          <w:rFonts w:ascii="宋体" w:eastAsia="宋体" w:hAnsi="宋体" w:cs="宋体"/>
          <w:spacing w:val="-6"/>
          <w:sz w:val="22"/>
          <w:szCs w:val="22"/>
        </w:rPr>
        <w:t>就出现在母体血中，随后</w:t>
      </w:r>
      <w:r>
        <w:rPr>
          <w:rFonts w:ascii="宋体" w:eastAsia="宋体" w:hAnsi="宋体" w:cs="宋体"/>
          <w:spacing w:val="-7"/>
          <w:sz w:val="22"/>
          <w:szCs w:val="22"/>
        </w:rPr>
        <w:t>浓度迅速升高，</w:t>
      </w:r>
      <w:r>
        <w:rPr>
          <w:rFonts w:ascii="宋体" w:eastAsia="宋体" w:hAnsi="宋体" w:cs="宋体"/>
          <w:sz w:val="22"/>
          <w:szCs w:val="22"/>
        </w:rPr>
        <w:t xml:space="preserve"> </w:t>
      </w:r>
      <w:r>
        <w:rPr>
          <w:rFonts w:ascii="宋体" w:eastAsia="宋体" w:hAnsi="宋体" w:cs="宋体"/>
          <w:spacing w:val="-7"/>
          <w:sz w:val="22"/>
          <w:szCs w:val="22"/>
        </w:rPr>
        <w:t>至妊娠8～9周达到顶峰，随后又迅速下降，到20周左右降至较低水平，并一直</w:t>
      </w:r>
      <w:r>
        <w:rPr>
          <w:rFonts w:ascii="宋体" w:eastAsia="宋体" w:hAnsi="宋体" w:cs="宋体"/>
          <w:spacing w:val="1"/>
          <w:sz w:val="22"/>
          <w:szCs w:val="22"/>
        </w:rPr>
        <w:t xml:space="preserve"> </w:t>
      </w:r>
      <w:r>
        <w:rPr>
          <w:rFonts w:ascii="宋体" w:eastAsia="宋体" w:hAnsi="宋体" w:cs="宋体"/>
          <w:spacing w:val="-13"/>
          <w:sz w:val="22"/>
          <w:szCs w:val="22"/>
        </w:rPr>
        <w:t>维持至分娩。其主要的生理作用一是在妊娠早期刺激母体黄体分泌雌激素和孕激</w:t>
      </w:r>
      <w:r>
        <w:rPr>
          <w:rFonts w:ascii="宋体" w:eastAsia="宋体" w:hAnsi="宋体" w:cs="宋体"/>
          <w:spacing w:val="2"/>
          <w:sz w:val="22"/>
          <w:szCs w:val="22"/>
        </w:rPr>
        <w:t xml:space="preserve"> </w:t>
      </w:r>
      <w:r>
        <w:rPr>
          <w:rFonts w:ascii="宋体" w:eastAsia="宋体" w:hAnsi="宋体" w:cs="宋体"/>
          <w:spacing w:val="-14"/>
          <w:sz w:val="22"/>
          <w:szCs w:val="22"/>
        </w:rPr>
        <w:t>素，以维持妊娠过程的顺利进行；二是可以抑制淋巴细胞的活力，防止母体产生</w:t>
      </w:r>
      <w:r>
        <w:rPr>
          <w:rFonts w:ascii="宋体" w:eastAsia="宋体" w:hAnsi="宋体" w:cs="宋体"/>
          <w:spacing w:val="18"/>
          <w:sz w:val="22"/>
          <w:szCs w:val="22"/>
        </w:rPr>
        <w:t xml:space="preserve"> </w:t>
      </w:r>
      <w:r>
        <w:rPr>
          <w:rFonts w:ascii="宋体" w:eastAsia="宋体" w:hAnsi="宋体" w:cs="宋体"/>
          <w:spacing w:val="-15"/>
          <w:sz w:val="22"/>
          <w:szCs w:val="22"/>
        </w:rPr>
        <w:t>对胎儿的排斥反应，具有“安胎”作用。</w:t>
      </w:r>
    </w:p>
    <w:p w:rsidR="00EA40A3" w:rsidRDefault="00EA40A3">
      <w:pPr>
        <w:spacing w:line="345" w:lineRule="auto"/>
      </w:pPr>
    </w:p>
    <w:p w:rsidR="00EA40A3" w:rsidRDefault="00E86C16">
      <w:pPr>
        <w:spacing w:before="56"/>
        <w:ind w:left="140"/>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296</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253"/>
          <w:pgSz w:w="9220" w:h="13360"/>
          <w:pgMar w:top="400" w:right="1060" w:bottom="400" w:left="849" w:header="0" w:footer="0" w:gutter="0"/>
          <w:cols w:space="720"/>
        </w:sectPr>
      </w:pPr>
    </w:p>
    <w:p w:rsidR="00EA40A3" w:rsidRDefault="00EA40A3">
      <w:pPr>
        <w:spacing w:line="317" w:lineRule="auto"/>
      </w:pPr>
    </w:p>
    <w:p w:rsidR="00EA40A3" w:rsidRDefault="00EA40A3">
      <w:pPr>
        <w:spacing w:line="317" w:lineRule="auto"/>
      </w:pPr>
    </w:p>
    <w:p w:rsidR="00EA40A3" w:rsidRDefault="00E86C16">
      <w:pPr>
        <w:spacing w:before="68" w:line="225" w:lineRule="auto"/>
        <w:rPr>
          <w:rFonts w:ascii="楷体" w:eastAsia="楷体" w:hAnsi="楷体" w:cs="楷体"/>
        </w:rPr>
      </w:pPr>
      <w:bookmarkStart w:id="74" w:name="_bookmark78"/>
      <w:bookmarkEnd w:id="74"/>
      <w:r>
        <w:rPr>
          <w:rFonts w:ascii="楷体" w:eastAsia="楷体" w:hAnsi="楷体" w:cs="楷体"/>
          <w:spacing w:val="2"/>
        </w:rPr>
        <w:t>2)人绒毛膜生长素</w:t>
      </w:r>
    </w:p>
    <w:p w:rsidR="00EA40A3" w:rsidRDefault="00E86C16">
      <w:pPr>
        <w:spacing w:before="48" w:line="256" w:lineRule="auto"/>
        <w:ind w:right="91" w:firstLine="420"/>
        <w:jc w:val="both"/>
        <w:rPr>
          <w:rFonts w:ascii="宋体" w:eastAsia="宋体" w:hAnsi="宋体" w:cs="宋体"/>
        </w:rPr>
      </w:pPr>
      <w:r>
        <w:rPr>
          <w:rFonts w:ascii="宋体" w:eastAsia="宋体" w:hAnsi="宋体" w:cs="宋体"/>
          <w:spacing w:val="-2"/>
        </w:rPr>
        <w:t>人绒毛膜生长素</w:t>
      </w:r>
      <w:r>
        <w:rPr>
          <w:rFonts w:ascii="宋体" w:eastAsia="宋体" w:hAnsi="宋体" w:cs="宋体"/>
          <w:spacing w:val="4"/>
        </w:rPr>
        <w:t xml:space="preserve"> </w:t>
      </w:r>
      <w:r>
        <w:rPr>
          <w:rFonts w:ascii="宋体" w:eastAsia="宋体" w:hAnsi="宋体" w:cs="宋体"/>
          <w:spacing w:val="-2"/>
        </w:rPr>
        <w:t>(human</w:t>
      </w:r>
      <w:r>
        <w:rPr>
          <w:rFonts w:ascii="宋体" w:eastAsia="宋体" w:hAnsi="宋体" w:cs="宋体"/>
          <w:spacing w:val="100"/>
        </w:rPr>
        <w:t xml:space="preserve"> </w:t>
      </w:r>
      <w:r>
        <w:rPr>
          <w:rFonts w:ascii="宋体" w:eastAsia="宋体" w:hAnsi="宋体" w:cs="宋体"/>
          <w:spacing w:val="-2"/>
        </w:rPr>
        <w:t>chorionic</w:t>
      </w:r>
      <w:r>
        <w:rPr>
          <w:rFonts w:ascii="宋体" w:eastAsia="宋体" w:hAnsi="宋体" w:cs="宋体"/>
        </w:rPr>
        <w:t xml:space="preserve">  </w:t>
      </w:r>
      <w:r>
        <w:rPr>
          <w:rFonts w:ascii="宋体" w:eastAsia="宋体" w:hAnsi="宋体" w:cs="宋体"/>
          <w:spacing w:val="-2"/>
        </w:rPr>
        <w:t>somatomammotropin,HCS)也是胎盘产</w:t>
      </w:r>
      <w:r>
        <w:rPr>
          <w:rFonts w:ascii="宋体" w:eastAsia="宋体" w:hAnsi="宋体" w:cs="宋体"/>
        </w:rPr>
        <w:t xml:space="preserve"> </w:t>
      </w:r>
      <w:r>
        <w:rPr>
          <w:rFonts w:ascii="宋体" w:eastAsia="宋体" w:hAnsi="宋体" w:cs="宋体"/>
          <w:spacing w:val="-3"/>
        </w:rPr>
        <w:t>生的一种糖蛋白。因其化学结构、生理作用、生物活性等均与生长素相似，故被</w:t>
      </w:r>
      <w:r>
        <w:rPr>
          <w:rFonts w:ascii="宋体" w:eastAsia="宋体" w:hAnsi="宋体" w:cs="宋体"/>
          <w:spacing w:val="2"/>
        </w:rPr>
        <w:t xml:space="preserve"> </w:t>
      </w:r>
      <w:r>
        <w:rPr>
          <w:rFonts w:ascii="宋体" w:eastAsia="宋体" w:hAnsi="宋体" w:cs="宋体"/>
          <w:spacing w:val="-2"/>
        </w:rPr>
        <w:t>定名为人线毛膜生长素</w:t>
      </w:r>
      <w:r>
        <w:rPr>
          <w:rFonts w:ascii="宋体" w:eastAsia="宋体" w:hAnsi="宋体" w:cs="宋体"/>
          <w:spacing w:val="-18"/>
        </w:rPr>
        <w:t xml:space="preserve"> </w:t>
      </w:r>
      <w:r>
        <w:rPr>
          <w:rFonts w:ascii="宋体" w:eastAsia="宋体" w:hAnsi="宋体" w:cs="宋体"/>
          <w:spacing w:val="-2"/>
        </w:rPr>
        <w:t>(HCS)。HCS</w:t>
      </w:r>
      <w:r>
        <w:rPr>
          <w:rFonts w:ascii="宋体" w:eastAsia="宋体" w:hAnsi="宋体" w:cs="宋体"/>
          <w:spacing w:val="47"/>
        </w:rPr>
        <w:t xml:space="preserve">  </w:t>
      </w:r>
      <w:r>
        <w:rPr>
          <w:rFonts w:ascii="宋体" w:eastAsia="宋体" w:hAnsi="宋体" w:cs="宋体"/>
          <w:spacing w:val="-2"/>
        </w:rPr>
        <w:t>分泌水平与胎盘的生长发育相平行，在妊</w:t>
      </w:r>
      <w:r>
        <w:rPr>
          <w:rFonts w:ascii="宋体" w:eastAsia="宋体" w:hAnsi="宋体" w:cs="宋体"/>
          <w:spacing w:val="1"/>
        </w:rPr>
        <w:t xml:space="preserve"> </w:t>
      </w:r>
      <w:r>
        <w:rPr>
          <w:rFonts w:ascii="宋体" w:eastAsia="宋体" w:hAnsi="宋体" w:cs="宋体"/>
          <w:spacing w:val="-2"/>
        </w:rPr>
        <w:t>娠末期达到顶峰。</w:t>
      </w:r>
      <w:r>
        <w:rPr>
          <w:rFonts w:ascii="宋体" w:eastAsia="宋体" w:hAnsi="宋体" w:cs="宋体"/>
          <w:spacing w:val="19"/>
        </w:rPr>
        <w:t xml:space="preserve"> </w:t>
      </w:r>
      <w:r>
        <w:rPr>
          <w:rFonts w:ascii="宋体" w:eastAsia="宋体" w:hAnsi="宋体" w:cs="宋体"/>
          <w:spacing w:val="-2"/>
        </w:rPr>
        <w:t>HCS</w:t>
      </w:r>
      <w:r>
        <w:rPr>
          <w:rFonts w:ascii="宋体" w:eastAsia="宋体" w:hAnsi="宋体" w:cs="宋体"/>
          <w:spacing w:val="63"/>
        </w:rPr>
        <w:t xml:space="preserve"> </w:t>
      </w:r>
      <w:r>
        <w:rPr>
          <w:rFonts w:ascii="宋体" w:eastAsia="宋体" w:hAnsi="宋体" w:cs="宋体"/>
          <w:spacing w:val="-2"/>
        </w:rPr>
        <w:t>的主要生理作用是调节母体与胎儿</w:t>
      </w:r>
      <w:r>
        <w:rPr>
          <w:rFonts w:ascii="宋体" w:eastAsia="宋体" w:hAnsi="宋体" w:cs="宋体"/>
          <w:spacing w:val="-3"/>
        </w:rPr>
        <w:t>的物质代谢过程，包</w:t>
      </w:r>
      <w:r>
        <w:rPr>
          <w:rFonts w:ascii="宋体" w:eastAsia="宋体" w:hAnsi="宋体" w:cs="宋体"/>
        </w:rPr>
        <w:t xml:space="preserve"> </w:t>
      </w:r>
      <w:r>
        <w:rPr>
          <w:rFonts w:ascii="宋体" w:eastAsia="宋体" w:hAnsi="宋体" w:cs="宋体"/>
          <w:spacing w:val="-5"/>
        </w:rPr>
        <w:t>括糖、脂肪和蛋白质的代谢，从而促进胎儿的生长。</w:t>
      </w:r>
    </w:p>
    <w:p w:rsidR="00EA40A3" w:rsidRDefault="00E86C16">
      <w:pPr>
        <w:spacing w:before="59" w:line="225" w:lineRule="auto"/>
        <w:rPr>
          <w:rFonts w:ascii="楷体" w:eastAsia="楷体" w:hAnsi="楷体" w:cs="楷体"/>
        </w:rPr>
      </w:pPr>
      <w:r>
        <w:rPr>
          <w:rFonts w:ascii="楷体" w:eastAsia="楷体" w:hAnsi="楷体" w:cs="楷体"/>
          <w:spacing w:val="5"/>
        </w:rPr>
        <w:t>3)雌激素</w:t>
      </w:r>
    </w:p>
    <w:p w:rsidR="00EA40A3" w:rsidRDefault="00E86C16">
      <w:pPr>
        <w:spacing w:before="68" w:line="256" w:lineRule="auto"/>
        <w:ind w:firstLine="420"/>
        <w:jc w:val="both"/>
        <w:rPr>
          <w:rFonts w:ascii="宋体" w:eastAsia="宋体" w:hAnsi="宋体" w:cs="宋体"/>
        </w:rPr>
      </w:pPr>
      <w:r>
        <w:rPr>
          <w:rFonts w:ascii="宋体" w:eastAsia="宋体" w:hAnsi="宋体" w:cs="宋体"/>
        </w:rPr>
        <w:t>雌激素</w:t>
      </w:r>
      <w:r>
        <w:rPr>
          <w:rFonts w:ascii="宋体" w:eastAsia="宋体" w:hAnsi="宋体" w:cs="宋体"/>
          <w:spacing w:val="-6"/>
        </w:rPr>
        <w:t xml:space="preserve"> </w:t>
      </w:r>
      <w:r>
        <w:rPr>
          <w:rFonts w:ascii="宋体" w:eastAsia="宋体" w:hAnsi="宋体" w:cs="宋体"/>
        </w:rPr>
        <w:t>(estrogen)有3种：雌二醇、雌酮和雌三醇，均属于类固醇类激素</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3"/>
        </w:rPr>
        <w:t>在妊娠期，胎盘和卵巢一样，能够分泌雌激素。妊娠8～9周后。此时，胎盘所</w:t>
      </w:r>
      <w:r>
        <w:rPr>
          <w:rFonts w:ascii="宋体" w:eastAsia="宋体" w:hAnsi="宋体" w:cs="宋体"/>
        </w:rPr>
        <w:t xml:space="preserve">  </w:t>
      </w:r>
      <w:r>
        <w:rPr>
          <w:rFonts w:ascii="宋体" w:eastAsia="宋体" w:hAnsi="宋体" w:cs="宋体"/>
          <w:spacing w:val="-3"/>
        </w:rPr>
        <w:t>分泌的雌激素逐渐增加，可接替黄体的功能以维持妊娠，直到分娩。胎盘所分泌</w:t>
      </w:r>
      <w:r>
        <w:rPr>
          <w:rFonts w:ascii="宋体" w:eastAsia="宋体" w:hAnsi="宋体" w:cs="宋体"/>
          <w:spacing w:val="3"/>
        </w:rPr>
        <w:t xml:space="preserve">  </w:t>
      </w:r>
      <w:r>
        <w:rPr>
          <w:rFonts w:ascii="宋体" w:eastAsia="宋体" w:hAnsi="宋体" w:cs="宋体"/>
          <w:spacing w:val="-3"/>
        </w:rPr>
        <w:t>的雌激素中，主要成分为雌三醇，其主要生理作用是通过前列腺素的产生而增加</w:t>
      </w:r>
      <w:r>
        <w:rPr>
          <w:rFonts w:ascii="宋体" w:eastAsia="宋体" w:hAnsi="宋体" w:cs="宋体"/>
          <w:spacing w:val="5"/>
        </w:rPr>
        <w:t xml:space="preserve">  </w:t>
      </w:r>
      <w:r>
        <w:rPr>
          <w:rFonts w:ascii="宋体" w:eastAsia="宋体" w:hAnsi="宋体" w:cs="宋体"/>
          <w:spacing w:val="-6"/>
        </w:rPr>
        <w:t>子宫和胎盘之间的血流量，并可促进母体乳房发育。</w:t>
      </w:r>
    </w:p>
    <w:p w:rsidR="00EA40A3" w:rsidRDefault="00E86C16">
      <w:pPr>
        <w:spacing w:before="49" w:line="224" w:lineRule="auto"/>
        <w:rPr>
          <w:rFonts w:ascii="楷体" w:eastAsia="楷体" w:hAnsi="楷体" w:cs="楷体"/>
        </w:rPr>
      </w:pPr>
      <w:r>
        <w:rPr>
          <w:rFonts w:ascii="楷体" w:eastAsia="楷体" w:hAnsi="楷体" w:cs="楷体"/>
          <w:spacing w:val="9"/>
        </w:rPr>
        <w:t>4)孕激素</w:t>
      </w:r>
    </w:p>
    <w:p w:rsidR="00EA40A3" w:rsidRDefault="00E86C16">
      <w:pPr>
        <w:spacing w:before="69" w:line="256" w:lineRule="auto"/>
        <w:ind w:right="65" w:firstLine="420"/>
        <w:rPr>
          <w:rFonts w:ascii="宋体" w:eastAsia="宋体" w:hAnsi="宋体" w:cs="宋体"/>
        </w:rPr>
      </w:pPr>
      <w:r>
        <w:rPr>
          <w:rFonts w:ascii="宋体" w:eastAsia="宋体" w:hAnsi="宋体" w:cs="宋体"/>
          <w:spacing w:val="-1"/>
        </w:rPr>
        <w:t>孕激素</w:t>
      </w:r>
      <w:r>
        <w:rPr>
          <w:rFonts w:ascii="宋体" w:eastAsia="宋体" w:hAnsi="宋体" w:cs="宋体"/>
          <w:spacing w:val="-15"/>
        </w:rPr>
        <w:t xml:space="preserve"> </w:t>
      </w:r>
      <w:r>
        <w:rPr>
          <w:rFonts w:ascii="宋体" w:eastAsia="宋体" w:hAnsi="宋体" w:cs="宋体"/>
          <w:spacing w:val="-1"/>
        </w:rPr>
        <w:t>(progestogen)主要是孕酮</w:t>
      </w:r>
      <w:r>
        <w:rPr>
          <w:rFonts w:ascii="宋体" w:eastAsia="宋体" w:hAnsi="宋体" w:cs="宋体"/>
          <w:spacing w:val="-9"/>
        </w:rPr>
        <w:t xml:space="preserve"> </w:t>
      </w:r>
      <w:r>
        <w:rPr>
          <w:rFonts w:ascii="宋体" w:eastAsia="宋体" w:hAnsi="宋体" w:cs="宋体"/>
          <w:spacing w:val="-1"/>
        </w:rPr>
        <w:t>(progesterone),为类固醇类激素，</w:t>
      </w:r>
      <w:r>
        <w:rPr>
          <w:rFonts w:ascii="宋体" w:eastAsia="宋体" w:hAnsi="宋体" w:cs="宋体"/>
          <w:spacing w:val="-2"/>
        </w:rPr>
        <w:t>源自</w:t>
      </w:r>
      <w:r>
        <w:rPr>
          <w:rFonts w:ascii="宋体" w:eastAsia="宋体" w:hAnsi="宋体" w:cs="宋体"/>
        </w:rPr>
        <w:t xml:space="preserve"> </w:t>
      </w:r>
      <w:r>
        <w:rPr>
          <w:rFonts w:ascii="宋体" w:eastAsia="宋体" w:hAnsi="宋体" w:cs="宋体"/>
          <w:spacing w:val="-2"/>
        </w:rPr>
        <w:t>母体血液中的胆固醇。在妊娠期间，孕酮的分泌量维持在较</w:t>
      </w:r>
      <w:r>
        <w:rPr>
          <w:rFonts w:ascii="宋体" w:eastAsia="宋体" w:hAnsi="宋体" w:cs="宋体"/>
          <w:spacing w:val="-3"/>
        </w:rPr>
        <w:t>高水平。其中胎盘孕</w:t>
      </w:r>
      <w:r>
        <w:rPr>
          <w:rFonts w:ascii="宋体" w:eastAsia="宋体" w:hAnsi="宋体" w:cs="宋体"/>
        </w:rPr>
        <w:t xml:space="preserve"> </w:t>
      </w:r>
      <w:r>
        <w:rPr>
          <w:rFonts w:ascii="宋体" w:eastAsia="宋体" w:hAnsi="宋体" w:cs="宋体"/>
          <w:spacing w:val="-4"/>
        </w:rPr>
        <w:t>酮的分泌变化规律同雌激素类似。孕酮一方面能够维持子宫内膜、蜕膜发育，同</w:t>
      </w:r>
      <w:r>
        <w:rPr>
          <w:rFonts w:ascii="宋体" w:eastAsia="宋体" w:hAnsi="宋体" w:cs="宋体"/>
          <w:spacing w:val="7"/>
        </w:rPr>
        <w:t xml:space="preserve"> </w:t>
      </w:r>
      <w:r>
        <w:rPr>
          <w:rFonts w:ascii="宋体" w:eastAsia="宋体" w:hAnsi="宋体" w:cs="宋体"/>
          <w:spacing w:val="-3"/>
        </w:rPr>
        <w:t>时促进乳腺腺泡和导管的发育；另一方面能够抑制淋巴细胞活力以及乳腺在孕期</w:t>
      </w:r>
      <w:r>
        <w:rPr>
          <w:rFonts w:ascii="宋体" w:eastAsia="宋体" w:hAnsi="宋体" w:cs="宋体"/>
          <w:spacing w:val="7"/>
        </w:rPr>
        <w:t xml:space="preserve"> </w:t>
      </w:r>
      <w:r>
        <w:rPr>
          <w:rFonts w:ascii="宋体" w:eastAsia="宋体" w:hAnsi="宋体" w:cs="宋体"/>
          <w:spacing w:val="-3"/>
        </w:rPr>
        <w:t>的分泌。需要说明的是，孕酮通常要在雌激素</w:t>
      </w:r>
      <w:r>
        <w:rPr>
          <w:rFonts w:ascii="宋体" w:eastAsia="宋体" w:hAnsi="宋体" w:cs="宋体"/>
          <w:spacing w:val="-4"/>
        </w:rPr>
        <w:t>作用的基础上才能发挥作用。</w:t>
      </w:r>
    </w:p>
    <w:p w:rsidR="00EA40A3" w:rsidRDefault="00E86C16">
      <w:pPr>
        <w:spacing w:before="60" w:line="225" w:lineRule="auto"/>
        <w:rPr>
          <w:rFonts w:ascii="楷体" w:eastAsia="楷体" w:hAnsi="楷体" w:cs="楷体"/>
        </w:rPr>
      </w:pPr>
      <w:r>
        <w:rPr>
          <w:rFonts w:ascii="楷体" w:eastAsia="楷体" w:hAnsi="楷体" w:cs="楷体"/>
          <w:spacing w:val="5"/>
        </w:rPr>
        <w:t>5)其他激素</w:t>
      </w:r>
    </w:p>
    <w:p w:rsidR="00EA40A3" w:rsidRDefault="00E86C16">
      <w:pPr>
        <w:spacing w:before="76" w:line="249" w:lineRule="auto"/>
        <w:ind w:right="95" w:firstLine="420"/>
        <w:rPr>
          <w:rFonts w:ascii="宋体" w:eastAsia="宋体" w:hAnsi="宋体" w:cs="宋体"/>
        </w:rPr>
      </w:pPr>
      <w:r>
        <w:rPr>
          <w:rFonts w:ascii="宋体" w:eastAsia="宋体" w:hAnsi="宋体" w:cs="宋体"/>
          <w:spacing w:val="-2"/>
        </w:rPr>
        <w:t>在妊娠期间，母体血浆中皮质醇</w:t>
      </w:r>
      <w:r>
        <w:rPr>
          <w:rFonts w:ascii="宋体" w:eastAsia="宋体" w:hAnsi="宋体" w:cs="宋体"/>
          <w:spacing w:val="7"/>
        </w:rPr>
        <w:t xml:space="preserve"> </w:t>
      </w:r>
      <w:r>
        <w:rPr>
          <w:rFonts w:ascii="宋体" w:eastAsia="宋体" w:hAnsi="宋体" w:cs="宋体"/>
          <w:spacing w:val="-2"/>
        </w:rPr>
        <w:t>(cortisol)</w:t>
      </w:r>
      <w:r>
        <w:rPr>
          <w:rFonts w:ascii="宋体" w:eastAsia="宋体" w:hAnsi="宋体" w:cs="宋体"/>
          <w:spacing w:val="-36"/>
        </w:rPr>
        <w:t xml:space="preserve"> </w:t>
      </w:r>
      <w:r>
        <w:rPr>
          <w:rFonts w:ascii="宋体" w:eastAsia="宋体" w:hAnsi="宋体" w:cs="宋体"/>
          <w:spacing w:val="-2"/>
        </w:rPr>
        <w:t>浓度也增加。皮质醇由肾上腺</w:t>
      </w:r>
      <w:r>
        <w:rPr>
          <w:rFonts w:ascii="宋体" w:eastAsia="宋体" w:hAnsi="宋体" w:cs="宋体"/>
        </w:rPr>
        <w:t xml:space="preserve"> </w:t>
      </w:r>
      <w:r>
        <w:rPr>
          <w:rFonts w:ascii="宋体" w:eastAsia="宋体" w:hAnsi="宋体" w:cs="宋体"/>
          <w:spacing w:val="-3"/>
        </w:rPr>
        <w:t>皮质分泌，可加速氨基酸进入肝脏成为糖异生的原料。另外，孕期母体甲状腺素</w:t>
      </w:r>
      <w:r>
        <w:rPr>
          <w:rFonts w:ascii="宋体" w:eastAsia="宋体" w:hAnsi="宋体" w:cs="宋体"/>
          <w:spacing w:val="3"/>
        </w:rPr>
        <w:t xml:space="preserve"> </w:t>
      </w:r>
      <w:r>
        <w:rPr>
          <w:rFonts w:ascii="宋体" w:eastAsia="宋体" w:hAnsi="宋体" w:cs="宋体"/>
          <w:spacing w:val="-5"/>
        </w:rPr>
        <w:t>水平也有升高，并可能引起孕妇妊娠期轻微甲状腺肿。</w:t>
      </w:r>
    </w:p>
    <w:p w:rsidR="00EA40A3" w:rsidRDefault="00E86C16">
      <w:pPr>
        <w:spacing w:before="210" w:line="223" w:lineRule="auto"/>
        <w:rPr>
          <w:rFonts w:ascii="仿宋" w:eastAsia="仿宋" w:hAnsi="仿宋" w:cs="仿宋"/>
        </w:rPr>
      </w:pPr>
      <w:r>
        <w:rPr>
          <w:rFonts w:ascii="仿宋" w:eastAsia="仿宋" w:hAnsi="仿宋" w:cs="仿宋"/>
          <w:spacing w:val="19"/>
        </w:rPr>
        <w:t>2.</w:t>
      </w:r>
      <w:r>
        <w:rPr>
          <w:rFonts w:ascii="仿宋" w:eastAsia="仿宋" w:hAnsi="仿宋" w:cs="仿宋"/>
          <w:spacing w:val="8"/>
        </w:rPr>
        <w:t xml:space="preserve"> </w:t>
      </w:r>
      <w:r>
        <w:rPr>
          <w:rFonts w:ascii="仿宋" w:eastAsia="仿宋" w:hAnsi="仿宋" w:cs="仿宋"/>
          <w:spacing w:val="19"/>
        </w:rPr>
        <w:t>基础代谢率的改变</w:t>
      </w:r>
    </w:p>
    <w:p w:rsidR="00EA40A3" w:rsidRDefault="00E86C16">
      <w:pPr>
        <w:spacing w:before="217" w:line="243" w:lineRule="auto"/>
        <w:ind w:right="58" w:firstLine="420"/>
        <w:rPr>
          <w:rFonts w:ascii="宋体" w:eastAsia="宋体" w:hAnsi="宋体" w:cs="宋体"/>
        </w:rPr>
      </w:pPr>
      <w:r>
        <w:rPr>
          <w:rFonts w:ascii="宋体" w:eastAsia="宋体" w:hAnsi="宋体" w:cs="宋体"/>
          <w:spacing w:val="-2"/>
        </w:rPr>
        <w:t>由于妊娠期内分泌的改变，使母体的合成代谢增加，基础代谢率发生变化。</w:t>
      </w:r>
      <w:r>
        <w:rPr>
          <w:rFonts w:ascii="宋体" w:eastAsia="宋体" w:hAnsi="宋体" w:cs="宋体"/>
        </w:rPr>
        <w:t xml:space="preserve"> </w:t>
      </w:r>
      <w:r>
        <w:rPr>
          <w:rFonts w:ascii="宋体" w:eastAsia="宋体" w:hAnsi="宋体" w:cs="宋体"/>
          <w:spacing w:val="-1"/>
        </w:rPr>
        <w:t>在妊娠早期，基础代谢率</w:t>
      </w:r>
      <w:r>
        <w:rPr>
          <w:rFonts w:ascii="宋体" w:eastAsia="宋体" w:hAnsi="宋体" w:cs="宋体"/>
          <w:spacing w:val="-28"/>
        </w:rPr>
        <w:t xml:space="preserve"> </w:t>
      </w:r>
      <w:r>
        <w:rPr>
          <w:rFonts w:ascii="宋体" w:eastAsia="宋体" w:hAnsi="宋体" w:cs="宋体"/>
          <w:spacing w:val="-1"/>
        </w:rPr>
        <w:t>(BMR)</w:t>
      </w:r>
      <w:r>
        <w:rPr>
          <w:rFonts w:ascii="宋体" w:eastAsia="宋体" w:hAnsi="宋体" w:cs="宋体"/>
          <w:spacing w:val="40"/>
        </w:rPr>
        <w:t xml:space="preserve">  </w:t>
      </w:r>
      <w:r>
        <w:rPr>
          <w:rFonts w:ascii="宋体" w:eastAsia="宋体" w:hAnsi="宋体" w:cs="宋体"/>
          <w:spacing w:val="-1"/>
        </w:rPr>
        <w:t>略有下降；妊娠中</w:t>
      </w:r>
      <w:r>
        <w:rPr>
          <w:rFonts w:ascii="宋体" w:eastAsia="宋体" w:hAnsi="宋体" w:cs="宋体"/>
          <w:spacing w:val="-2"/>
        </w:rPr>
        <w:t>期</w:t>
      </w:r>
      <w:r>
        <w:rPr>
          <w:rFonts w:ascii="宋体" w:eastAsia="宋体" w:hAnsi="宋体" w:cs="宋体"/>
          <w:spacing w:val="-1"/>
        </w:rPr>
        <w:t>BMR</w:t>
      </w:r>
      <w:r>
        <w:rPr>
          <w:rFonts w:ascii="宋体" w:eastAsia="宋体" w:hAnsi="宋体" w:cs="宋体"/>
          <w:spacing w:val="103"/>
        </w:rPr>
        <w:t xml:space="preserve"> </w:t>
      </w:r>
      <w:r>
        <w:rPr>
          <w:rFonts w:ascii="宋体" w:eastAsia="宋体" w:hAnsi="宋体" w:cs="宋体"/>
          <w:spacing w:val="-2"/>
        </w:rPr>
        <w:t>逐渐升高；妊娠晚</w:t>
      </w:r>
      <w:r>
        <w:rPr>
          <w:rFonts w:ascii="宋体" w:eastAsia="宋体" w:hAnsi="宋体" w:cs="宋体"/>
        </w:rPr>
        <w:t xml:space="preserve"> </w:t>
      </w:r>
      <w:r>
        <w:rPr>
          <w:rFonts w:ascii="宋体" w:eastAsia="宋体" w:hAnsi="宋体" w:cs="宋体"/>
          <w:spacing w:val="3"/>
        </w:rPr>
        <w:t>期增高约15%～20%。对碳水化合物、脂肪和蛋白质的利用也有所改变。</w:t>
      </w:r>
    </w:p>
    <w:p w:rsidR="00EA40A3" w:rsidRDefault="00E86C16">
      <w:pPr>
        <w:spacing w:before="60" w:line="227" w:lineRule="auto"/>
        <w:rPr>
          <w:rFonts w:ascii="楷体" w:eastAsia="楷体" w:hAnsi="楷体" w:cs="楷体"/>
        </w:rPr>
      </w:pPr>
      <w:r>
        <w:rPr>
          <w:rFonts w:ascii="楷体" w:eastAsia="楷体" w:hAnsi="楷体" w:cs="楷体"/>
          <w:spacing w:val="1"/>
        </w:rPr>
        <w:t>1)葡萄糖代谢</w:t>
      </w:r>
    </w:p>
    <w:p w:rsidR="00EA40A3" w:rsidRDefault="00E86C16">
      <w:pPr>
        <w:spacing w:before="71" w:line="253" w:lineRule="auto"/>
        <w:ind w:right="96" w:firstLine="420"/>
        <w:rPr>
          <w:rFonts w:ascii="宋体" w:eastAsia="宋体" w:hAnsi="宋体" w:cs="宋体"/>
        </w:rPr>
      </w:pPr>
      <w:r>
        <w:rPr>
          <w:rFonts w:ascii="宋体" w:eastAsia="宋体" w:hAnsi="宋体" w:cs="宋体"/>
          <w:spacing w:val="-4"/>
        </w:rPr>
        <w:t>正常妊娠时空腹血糖较非妊娠期低，进食碳水化合物后</w:t>
      </w:r>
      <w:r>
        <w:rPr>
          <w:rFonts w:ascii="宋体" w:eastAsia="宋体" w:hAnsi="宋体" w:cs="宋体"/>
          <w:spacing w:val="-5"/>
        </w:rPr>
        <w:t>，内源性葡萄糖产生</w:t>
      </w:r>
      <w:r>
        <w:rPr>
          <w:rFonts w:ascii="宋体" w:eastAsia="宋体" w:hAnsi="宋体" w:cs="宋体"/>
        </w:rPr>
        <w:t xml:space="preserve"> </w:t>
      </w:r>
      <w:r>
        <w:rPr>
          <w:rFonts w:ascii="宋体" w:eastAsia="宋体" w:hAnsi="宋体" w:cs="宋体"/>
          <w:spacing w:val="-3"/>
        </w:rPr>
        <w:t>受到抑制，糖利用率增加。糖负荷实验表明，妊娠妇女在给予糖负荷后，血糖达</w:t>
      </w:r>
      <w:r>
        <w:rPr>
          <w:rFonts w:ascii="宋体" w:eastAsia="宋体" w:hAnsi="宋体" w:cs="宋体"/>
          <w:spacing w:val="2"/>
        </w:rPr>
        <w:t xml:space="preserve"> 峰值及回复正常水平的时间都较非妊娠妇女长；同时，胰岛素</w:t>
      </w:r>
      <w:r>
        <w:rPr>
          <w:rFonts w:ascii="宋体" w:eastAsia="宋体" w:hAnsi="宋体" w:cs="宋体"/>
          <w:spacing w:val="-2"/>
        </w:rPr>
        <w:t xml:space="preserve"> </w:t>
      </w:r>
      <w:r>
        <w:rPr>
          <w:rFonts w:ascii="宋体" w:eastAsia="宋体" w:hAnsi="宋体" w:cs="宋体"/>
          <w:spacing w:val="2"/>
        </w:rPr>
        <w:t>(</w:t>
      </w:r>
      <w:r>
        <w:rPr>
          <w:rFonts w:ascii="宋体" w:eastAsia="宋体" w:hAnsi="宋体" w:cs="宋体"/>
        </w:rPr>
        <w:t>insulin</w:t>
      </w:r>
      <w:r>
        <w:rPr>
          <w:rFonts w:ascii="宋体" w:eastAsia="宋体" w:hAnsi="宋体" w:cs="宋体"/>
          <w:spacing w:val="2"/>
        </w:rPr>
        <w:t>,</w:t>
      </w:r>
      <w:r>
        <w:rPr>
          <w:rFonts w:ascii="宋体" w:eastAsia="宋体" w:hAnsi="宋体" w:cs="宋体"/>
        </w:rPr>
        <w:t>INS</w:t>
      </w:r>
      <w:r>
        <w:rPr>
          <w:rFonts w:ascii="宋体" w:eastAsia="宋体" w:hAnsi="宋体" w:cs="宋体"/>
          <w:spacing w:val="2"/>
        </w:rPr>
        <w:t>)</w:t>
      </w:r>
      <w:r>
        <w:rPr>
          <w:rFonts w:ascii="宋体" w:eastAsia="宋体" w:hAnsi="宋体" w:cs="宋体"/>
        </w:rPr>
        <w:t xml:space="preserve"> </w:t>
      </w:r>
      <w:r>
        <w:rPr>
          <w:rFonts w:ascii="宋体" w:eastAsia="宋体" w:hAnsi="宋体" w:cs="宋体"/>
          <w:spacing w:val="-8"/>
        </w:rPr>
        <w:t>反应也呈类似变化。</w:t>
      </w:r>
    </w:p>
    <w:p w:rsidR="00EA40A3" w:rsidRDefault="00E86C16">
      <w:pPr>
        <w:spacing w:before="51" w:line="219" w:lineRule="auto"/>
        <w:rPr>
          <w:rFonts w:ascii="宋体" w:eastAsia="宋体" w:hAnsi="宋体" w:cs="宋体"/>
        </w:rPr>
      </w:pPr>
      <w:r>
        <w:rPr>
          <w:rFonts w:ascii="宋体" w:eastAsia="宋体" w:hAnsi="宋体" w:cs="宋体"/>
          <w:spacing w:val="4"/>
        </w:rPr>
        <w:t>2)脂肪代谢</w:t>
      </w:r>
    </w:p>
    <w:p w:rsidR="00EA40A3" w:rsidRDefault="00E86C16">
      <w:pPr>
        <w:spacing w:before="90" w:line="249" w:lineRule="auto"/>
        <w:ind w:right="83" w:firstLine="420"/>
        <w:jc w:val="both"/>
        <w:rPr>
          <w:rFonts w:ascii="宋体" w:eastAsia="宋体" w:hAnsi="宋体" w:cs="宋体"/>
        </w:rPr>
      </w:pPr>
      <w:r>
        <w:rPr>
          <w:rFonts w:ascii="宋体" w:eastAsia="宋体" w:hAnsi="宋体" w:cs="宋体"/>
          <w:spacing w:val="4"/>
        </w:rPr>
        <w:t>妊娠期间，孕妇体内需要积累一定量的脂肪用于分娩和</w:t>
      </w:r>
      <w:r>
        <w:rPr>
          <w:rFonts w:ascii="宋体" w:eastAsia="宋体" w:hAnsi="宋体" w:cs="宋体"/>
          <w:spacing w:val="3"/>
        </w:rPr>
        <w:t>泌乳过程的能量消</w:t>
      </w:r>
      <w:r>
        <w:rPr>
          <w:rFonts w:ascii="宋体" w:eastAsia="宋体" w:hAnsi="宋体" w:cs="宋体"/>
        </w:rPr>
        <w:t xml:space="preserve"> 耗。妊娠早期，母体内的甘油三酯的量会降低，从妊娠8</w:t>
      </w:r>
      <w:r>
        <w:rPr>
          <w:rFonts w:ascii="宋体" w:eastAsia="宋体" w:hAnsi="宋体" w:cs="宋体"/>
          <w:spacing w:val="-1"/>
        </w:rPr>
        <w:t>周起上升，妊娠晚期脂</w:t>
      </w:r>
      <w:r>
        <w:rPr>
          <w:rFonts w:ascii="宋体" w:eastAsia="宋体" w:hAnsi="宋体" w:cs="宋体"/>
        </w:rPr>
        <w:t xml:space="preserve"> </w:t>
      </w:r>
      <w:r>
        <w:rPr>
          <w:rFonts w:ascii="宋体" w:eastAsia="宋体" w:hAnsi="宋体" w:cs="宋体"/>
          <w:spacing w:val="3"/>
        </w:rPr>
        <w:t>肪量较非妊娠期增加1.5～2.0倍，妊娠期总磷脂水平增加，软脂酸与油酸量增</w:t>
      </w:r>
    </w:p>
    <w:p w:rsidR="00EA40A3" w:rsidRDefault="00E86C16">
      <w:pPr>
        <w:spacing w:before="97"/>
        <w:ind w:right="111"/>
        <w:jc w:val="right"/>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297</w:t>
      </w:r>
      <w:r>
        <w:rPr>
          <w:rFonts w:ascii="宋体" w:eastAsia="宋体" w:hAnsi="宋体" w:cs="宋体"/>
          <w:spacing w:val="47"/>
          <w:sz w:val="18"/>
          <w:szCs w:val="18"/>
        </w:rPr>
        <w:t xml:space="preserve"> </w:t>
      </w:r>
      <w:r>
        <w:rPr>
          <w:rFonts w:ascii="宋体" w:eastAsia="宋体" w:hAnsi="宋体" w:cs="宋体"/>
          <w:spacing w:val="-26"/>
          <w:sz w:val="18"/>
          <w:szCs w:val="18"/>
        </w:rPr>
        <w:t>·</w:t>
      </w:r>
    </w:p>
    <w:p w:rsidR="00EA40A3" w:rsidRDefault="00EA40A3">
      <w:pPr>
        <w:sectPr w:rsidR="00EA40A3">
          <w:pgSz w:w="9220" w:h="13360"/>
          <w:pgMar w:top="400" w:right="935" w:bottom="400" w:left="939" w:header="0" w:footer="0" w:gutter="0"/>
          <w:cols w:space="720"/>
        </w:sectPr>
      </w:pPr>
    </w:p>
    <w:p w:rsidR="00EA40A3" w:rsidRDefault="00EA40A3">
      <w:pPr>
        <w:spacing w:line="312" w:lineRule="auto"/>
      </w:pPr>
    </w:p>
    <w:p w:rsidR="00EA40A3" w:rsidRDefault="00EA40A3">
      <w:pPr>
        <w:spacing w:line="312" w:lineRule="auto"/>
      </w:pPr>
    </w:p>
    <w:p w:rsidR="00EA40A3" w:rsidRDefault="00E86C16">
      <w:pPr>
        <w:spacing w:before="71" w:line="231" w:lineRule="auto"/>
        <w:ind w:right="101"/>
        <w:rPr>
          <w:rFonts w:ascii="宋体" w:eastAsia="宋体" w:hAnsi="宋体" w:cs="宋体"/>
          <w:sz w:val="22"/>
          <w:szCs w:val="22"/>
        </w:rPr>
      </w:pPr>
      <w:r>
        <w:rPr>
          <w:rFonts w:ascii="宋体" w:eastAsia="宋体" w:hAnsi="宋体" w:cs="宋体"/>
          <w:spacing w:val="-14"/>
          <w:sz w:val="22"/>
          <w:szCs w:val="22"/>
        </w:rPr>
        <w:t>加，亚麻酸与花生四烯酸量下降；正常妊娠期吸收胆固醇的有效度增加可能导致</w:t>
      </w:r>
      <w:r>
        <w:rPr>
          <w:rFonts w:ascii="宋体" w:eastAsia="宋体" w:hAnsi="宋体" w:cs="宋体"/>
          <w:spacing w:val="17"/>
          <w:sz w:val="22"/>
          <w:szCs w:val="22"/>
        </w:rPr>
        <w:t xml:space="preserve"> </w:t>
      </w:r>
      <w:r>
        <w:rPr>
          <w:rFonts w:ascii="宋体" w:eastAsia="宋体" w:hAnsi="宋体" w:cs="宋体"/>
          <w:spacing w:val="-12"/>
          <w:sz w:val="22"/>
          <w:szCs w:val="22"/>
        </w:rPr>
        <w:t>高脂血症。另外，妊娠中期禁食12h</w:t>
      </w:r>
      <w:r>
        <w:rPr>
          <w:rFonts w:ascii="宋体" w:eastAsia="宋体" w:hAnsi="宋体" w:cs="宋体"/>
          <w:spacing w:val="-48"/>
          <w:sz w:val="22"/>
          <w:szCs w:val="22"/>
        </w:rPr>
        <w:t xml:space="preserve"> </w:t>
      </w:r>
      <w:r>
        <w:rPr>
          <w:rFonts w:ascii="宋体" w:eastAsia="宋体" w:hAnsi="宋体" w:cs="宋体"/>
          <w:spacing w:val="-12"/>
          <w:sz w:val="22"/>
          <w:szCs w:val="22"/>
        </w:rPr>
        <w:t>后，酮体量高于非妊娠期。</w:t>
      </w:r>
    </w:p>
    <w:p w:rsidR="00EA40A3" w:rsidRDefault="00E86C16">
      <w:pPr>
        <w:spacing w:before="46" w:line="226" w:lineRule="auto"/>
        <w:rPr>
          <w:rFonts w:ascii="楷体" w:eastAsia="楷体" w:hAnsi="楷体" w:cs="楷体"/>
          <w:sz w:val="22"/>
          <w:szCs w:val="22"/>
        </w:rPr>
      </w:pPr>
      <w:r>
        <w:rPr>
          <w:rFonts w:ascii="楷体" w:eastAsia="楷体" w:hAnsi="楷体" w:cs="楷体"/>
          <w:spacing w:val="-5"/>
          <w:sz w:val="22"/>
          <w:szCs w:val="22"/>
        </w:rPr>
        <w:t>3)蛋白质代谢</w:t>
      </w:r>
    </w:p>
    <w:p w:rsidR="00EA40A3" w:rsidRDefault="00E86C16">
      <w:pPr>
        <w:spacing w:before="51" w:line="238" w:lineRule="auto"/>
        <w:ind w:right="81" w:firstLine="410"/>
        <w:jc w:val="both"/>
        <w:rPr>
          <w:rFonts w:ascii="宋体" w:eastAsia="宋体" w:hAnsi="宋体" w:cs="宋体"/>
          <w:sz w:val="22"/>
          <w:szCs w:val="22"/>
        </w:rPr>
      </w:pPr>
      <w:r>
        <w:rPr>
          <w:rFonts w:ascii="宋体" w:eastAsia="宋体" w:hAnsi="宋体" w:cs="宋体"/>
          <w:spacing w:val="-13"/>
          <w:sz w:val="22"/>
          <w:szCs w:val="22"/>
        </w:rPr>
        <w:t>妊娠期蛋白质代谢呈正氮平衡，以储备较多的蛋白</w:t>
      </w:r>
      <w:r>
        <w:rPr>
          <w:rFonts w:ascii="宋体" w:eastAsia="宋体" w:hAnsi="宋体" w:cs="宋体"/>
          <w:spacing w:val="-14"/>
          <w:sz w:val="22"/>
          <w:szCs w:val="22"/>
        </w:rPr>
        <w:t>质，作为子宫、胎儿、乳</w:t>
      </w:r>
      <w:r>
        <w:rPr>
          <w:rFonts w:ascii="宋体" w:eastAsia="宋体" w:hAnsi="宋体" w:cs="宋体"/>
          <w:sz w:val="22"/>
          <w:szCs w:val="22"/>
        </w:rPr>
        <w:t xml:space="preserve"> </w:t>
      </w:r>
      <w:r>
        <w:rPr>
          <w:rFonts w:ascii="宋体" w:eastAsia="宋体" w:hAnsi="宋体" w:cs="宋体"/>
          <w:spacing w:val="-13"/>
          <w:sz w:val="22"/>
          <w:szCs w:val="22"/>
        </w:rPr>
        <w:t>腺发育所需。但与产后相比，妊娠期孕妇血浆</w:t>
      </w:r>
      <w:r>
        <w:rPr>
          <w:rFonts w:ascii="宋体" w:eastAsia="宋体" w:hAnsi="宋体" w:cs="宋体"/>
          <w:spacing w:val="-14"/>
          <w:sz w:val="22"/>
          <w:szCs w:val="22"/>
        </w:rPr>
        <w:t>中大多数氨基酸浓度较低。动物实</w:t>
      </w:r>
      <w:r>
        <w:rPr>
          <w:rFonts w:ascii="宋体" w:eastAsia="宋体" w:hAnsi="宋体" w:cs="宋体"/>
          <w:sz w:val="22"/>
          <w:szCs w:val="22"/>
        </w:rPr>
        <w:t xml:space="preserve"> </w:t>
      </w:r>
      <w:r>
        <w:rPr>
          <w:rFonts w:ascii="宋体" w:eastAsia="宋体" w:hAnsi="宋体" w:cs="宋体"/>
          <w:spacing w:val="-13"/>
          <w:sz w:val="22"/>
          <w:szCs w:val="22"/>
        </w:rPr>
        <w:t>验显示，妊娠期空腹时，糖原性氨基酸，如丙氨酸、丝氨酸、谷酰胺酸及谷氨酸</w:t>
      </w:r>
      <w:r>
        <w:rPr>
          <w:rFonts w:ascii="宋体" w:eastAsia="宋体" w:hAnsi="宋体" w:cs="宋体"/>
          <w:spacing w:val="2"/>
          <w:sz w:val="22"/>
          <w:szCs w:val="22"/>
        </w:rPr>
        <w:t xml:space="preserve"> </w:t>
      </w:r>
      <w:r>
        <w:rPr>
          <w:rFonts w:ascii="宋体" w:eastAsia="宋体" w:hAnsi="宋体" w:cs="宋体"/>
          <w:spacing w:val="-20"/>
          <w:sz w:val="22"/>
          <w:szCs w:val="22"/>
        </w:rPr>
        <w:t>量均减少。</w:t>
      </w:r>
    </w:p>
    <w:p w:rsidR="00EA40A3" w:rsidRDefault="00E86C16">
      <w:pPr>
        <w:spacing w:before="54" w:line="225" w:lineRule="auto"/>
        <w:rPr>
          <w:rFonts w:ascii="楷体" w:eastAsia="楷体" w:hAnsi="楷体" w:cs="楷体"/>
          <w:sz w:val="22"/>
          <w:szCs w:val="22"/>
        </w:rPr>
      </w:pPr>
      <w:r>
        <w:rPr>
          <w:rFonts w:ascii="楷体" w:eastAsia="楷体" w:hAnsi="楷体" w:cs="楷体"/>
          <w:spacing w:val="-1"/>
          <w:sz w:val="22"/>
          <w:szCs w:val="22"/>
        </w:rPr>
        <w:t>4)其他</w:t>
      </w:r>
    </w:p>
    <w:p w:rsidR="00EA40A3" w:rsidRDefault="00E86C16">
      <w:pPr>
        <w:spacing w:before="64" w:line="248" w:lineRule="auto"/>
        <w:ind w:right="77" w:firstLine="410"/>
        <w:jc w:val="both"/>
        <w:rPr>
          <w:rFonts w:ascii="宋体" w:eastAsia="宋体" w:hAnsi="宋体" w:cs="宋体"/>
          <w:sz w:val="22"/>
          <w:szCs w:val="22"/>
        </w:rPr>
      </w:pPr>
      <w:r>
        <w:rPr>
          <w:rFonts w:ascii="宋体" w:eastAsia="宋体" w:hAnsi="宋体" w:cs="宋体"/>
          <w:spacing w:val="-13"/>
          <w:sz w:val="22"/>
          <w:szCs w:val="22"/>
        </w:rPr>
        <w:t>妊娠期间，母体对其他成分如水、电解质、维生素的代谢均发生</w:t>
      </w:r>
      <w:r>
        <w:rPr>
          <w:rFonts w:ascii="宋体" w:eastAsia="宋体" w:hAnsi="宋体" w:cs="宋体"/>
          <w:spacing w:val="-14"/>
          <w:sz w:val="22"/>
          <w:szCs w:val="22"/>
        </w:rPr>
        <w:t>不同程度的</w:t>
      </w:r>
      <w:r>
        <w:rPr>
          <w:rFonts w:ascii="宋体" w:eastAsia="宋体" w:hAnsi="宋体" w:cs="宋体"/>
          <w:sz w:val="22"/>
          <w:szCs w:val="22"/>
        </w:rPr>
        <w:t xml:space="preserve"> </w:t>
      </w:r>
      <w:r>
        <w:rPr>
          <w:rFonts w:ascii="宋体" w:eastAsia="宋体" w:hAnsi="宋体" w:cs="宋体"/>
          <w:spacing w:val="-7"/>
          <w:sz w:val="22"/>
          <w:szCs w:val="22"/>
        </w:rPr>
        <w:t>变化。如：由于雌激素等作用，至妊娠末期包括胎儿及其附属物在内至少有</w:t>
      </w:r>
      <w:r>
        <w:rPr>
          <w:rFonts w:ascii="宋体" w:eastAsia="宋体" w:hAnsi="宋体" w:cs="宋体"/>
          <w:spacing w:val="-8"/>
          <w:sz w:val="22"/>
          <w:szCs w:val="22"/>
        </w:rPr>
        <w:t>9L</w:t>
      </w:r>
      <w:r>
        <w:rPr>
          <w:rFonts w:ascii="宋体" w:eastAsia="宋体" w:hAnsi="宋体" w:cs="宋体"/>
          <w:sz w:val="22"/>
          <w:szCs w:val="22"/>
        </w:rPr>
        <w:t xml:space="preserve"> </w:t>
      </w:r>
      <w:r>
        <w:rPr>
          <w:rFonts w:ascii="宋体" w:eastAsia="宋体" w:hAnsi="宋体" w:cs="宋体"/>
          <w:spacing w:val="-14"/>
          <w:sz w:val="22"/>
          <w:szCs w:val="22"/>
        </w:rPr>
        <w:t>水分潴留。妊娠期水分潴留使血清晶体渗透压下降。血总钙含量在整个妊娠过程</w:t>
      </w:r>
      <w:r>
        <w:rPr>
          <w:rFonts w:ascii="宋体" w:eastAsia="宋体" w:hAnsi="宋体" w:cs="宋体"/>
          <w:spacing w:val="16"/>
          <w:sz w:val="22"/>
          <w:szCs w:val="22"/>
        </w:rPr>
        <w:t xml:space="preserve"> </w:t>
      </w:r>
      <w:r>
        <w:rPr>
          <w:rFonts w:ascii="宋体" w:eastAsia="宋体" w:hAnsi="宋体" w:cs="宋体"/>
          <w:spacing w:val="-13"/>
          <w:sz w:val="22"/>
          <w:szCs w:val="22"/>
        </w:rPr>
        <w:t>中不断下降，至妊娠末期降至最低点。在妊娠的中、晚期母体钙经主动转运给胎</w:t>
      </w:r>
      <w:r>
        <w:rPr>
          <w:rFonts w:ascii="宋体" w:eastAsia="宋体" w:hAnsi="宋体" w:cs="宋体"/>
          <w:spacing w:val="6"/>
          <w:sz w:val="22"/>
          <w:szCs w:val="22"/>
        </w:rPr>
        <w:t xml:space="preserve"> </w:t>
      </w:r>
      <w:r>
        <w:rPr>
          <w:rFonts w:ascii="宋体" w:eastAsia="宋体" w:hAnsi="宋体" w:cs="宋体"/>
          <w:sz w:val="22"/>
          <w:szCs w:val="22"/>
        </w:rPr>
        <w:t>儿，20孕周时每日通过胎盘的钙量为50mg,</w:t>
      </w:r>
      <w:r>
        <w:rPr>
          <w:rFonts w:ascii="宋体" w:eastAsia="宋体" w:hAnsi="宋体" w:cs="宋体"/>
          <w:spacing w:val="32"/>
          <w:sz w:val="22"/>
          <w:szCs w:val="22"/>
        </w:rPr>
        <w:t xml:space="preserve"> </w:t>
      </w:r>
      <w:r>
        <w:rPr>
          <w:rFonts w:ascii="宋体" w:eastAsia="宋体" w:hAnsi="宋体" w:cs="宋体"/>
          <w:sz w:val="22"/>
          <w:szCs w:val="22"/>
        </w:rPr>
        <w:t>至35孕周时增加到</w:t>
      </w:r>
      <w:r>
        <w:rPr>
          <w:rFonts w:ascii="宋体" w:eastAsia="宋体" w:hAnsi="宋体" w:cs="宋体"/>
          <w:spacing w:val="-1"/>
          <w:sz w:val="22"/>
          <w:szCs w:val="22"/>
        </w:rPr>
        <w:t>350</w:t>
      </w:r>
      <w:r>
        <w:rPr>
          <w:rFonts w:ascii="宋体" w:eastAsia="宋体" w:hAnsi="宋体" w:cs="宋体"/>
          <w:sz w:val="22"/>
          <w:szCs w:val="22"/>
        </w:rPr>
        <w:t>mg</w:t>
      </w:r>
      <w:r>
        <w:rPr>
          <w:rFonts w:ascii="宋体" w:eastAsia="宋体" w:hAnsi="宋体" w:cs="宋体"/>
          <w:spacing w:val="-1"/>
          <w:sz w:val="22"/>
          <w:szCs w:val="22"/>
        </w:rPr>
        <w:t>,</w:t>
      </w:r>
      <w:r>
        <w:rPr>
          <w:rFonts w:ascii="宋体" w:eastAsia="宋体" w:hAnsi="宋体" w:cs="宋体"/>
          <w:spacing w:val="42"/>
          <w:sz w:val="22"/>
          <w:szCs w:val="22"/>
        </w:rPr>
        <w:t xml:space="preserve"> </w:t>
      </w:r>
      <w:r>
        <w:rPr>
          <w:rFonts w:ascii="宋体" w:eastAsia="宋体" w:hAnsi="宋体" w:cs="宋体"/>
          <w:spacing w:val="-1"/>
          <w:sz w:val="22"/>
          <w:szCs w:val="22"/>
        </w:rPr>
        <w:t>同时</w:t>
      </w:r>
      <w:r>
        <w:rPr>
          <w:rFonts w:ascii="宋体" w:eastAsia="宋体" w:hAnsi="宋体" w:cs="宋体"/>
          <w:sz w:val="22"/>
          <w:szCs w:val="22"/>
        </w:rPr>
        <w:t xml:space="preserve"> </w:t>
      </w:r>
      <w:r>
        <w:rPr>
          <w:rFonts w:ascii="宋体" w:eastAsia="宋体" w:hAnsi="宋体" w:cs="宋体"/>
          <w:spacing w:val="-14"/>
          <w:sz w:val="22"/>
          <w:szCs w:val="22"/>
        </w:rPr>
        <w:t>雌激素抑制母体对骨钙的重吸收也导致了妊娠期间血钙和磷的降低。另外，妊娠</w:t>
      </w:r>
      <w:r>
        <w:rPr>
          <w:rFonts w:ascii="宋体" w:eastAsia="宋体" w:hAnsi="宋体" w:cs="宋体"/>
          <w:spacing w:val="17"/>
          <w:sz w:val="22"/>
          <w:szCs w:val="22"/>
        </w:rPr>
        <w:t xml:space="preserve"> </w:t>
      </w:r>
      <w:r>
        <w:rPr>
          <w:rFonts w:ascii="宋体" w:eastAsia="宋体" w:hAnsi="宋体" w:cs="宋体"/>
          <w:spacing w:val="-7"/>
          <w:sz w:val="22"/>
          <w:szCs w:val="22"/>
        </w:rPr>
        <w:t>期妇女血浆维生素A</w:t>
      </w:r>
      <w:r>
        <w:rPr>
          <w:rFonts w:ascii="宋体" w:eastAsia="宋体" w:hAnsi="宋体" w:cs="宋体"/>
          <w:spacing w:val="-15"/>
          <w:sz w:val="22"/>
          <w:szCs w:val="22"/>
        </w:rPr>
        <w:t xml:space="preserve"> </w:t>
      </w:r>
      <w:r>
        <w:rPr>
          <w:rFonts w:ascii="宋体" w:eastAsia="宋体" w:hAnsi="宋体" w:cs="宋体"/>
          <w:spacing w:val="-7"/>
          <w:sz w:val="22"/>
          <w:szCs w:val="22"/>
        </w:rPr>
        <w:t>水平在充足的情况下，由于雌激素水平的不断增高，导致</w:t>
      </w:r>
      <w:r>
        <w:rPr>
          <w:rFonts w:ascii="宋体" w:eastAsia="宋体" w:hAnsi="宋体" w:cs="宋体"/>
          <w:sz w:val="22"/>
          <w:szCs w:val="22"/>
        </w:rPr>
        <w:t xml:space="preserve"> </w:t>
      </w:r>
      <w:r>
        <w:rPr>
          <w:rFonts w:ascii="宋体" w:eastAsia="宋体" w:hAnsi="宋体" w:cs="宋体"/>
          <w:spacing w:val="-8"/>
          <w:sz w:val="22"/>
          <w:szCs w:val="22"/>
        </w:rPr>
        <w:t>肝脏及脂肪组织中维生素A</w:t>
      </w:r>
      <w:r>
        <w:rPr>
          <w:rFonts w:ascii="宋体" w:eastAsia="宋体" w:hAnsi="宋体" w:cs="宋体"/>
          <w:spacing w:val="21"/>
          <w:sz w:val="22"/>
          <w:szCs w:val="22"/>
        </w:rPr>
        <w:t xml:space="preserve"> </w:t>
      </w:r>
      <w:r>
        <w:rPr>
          <w:rFonts w:ascii="宋体" w:eastAsia="宋体" w:hAnsi="宋体" w:cs="宋体"/>
          <w:spacing w:val="-8"/>
          <w:sz w:val="22"/>
          <w:szCs w:val="22"/>
        </w:rPr>
        <w:t>的释出，随妊娠期进展呈逐渐增高趋势。这种维生</w:t>
      </w:r>
      <w:r>
        <w:rPr>
          <w:rFonts w:ascii="宋体" w:eastAsia="宋体" w:hAnsi="宋体" w:cs="宋体"/>
          <w:sz w:val="22"/>
          <w:szCs w:val="22"/>
        </w:rPr>
        <w:t xml:space="preserve"> </w:t>
      </w:r>
      <w:r>
        <w:rPr>
          <w:rFonts w:ascii="宋体" w:eastAsia="宋体" w:hAnsi="宋体" w:cs="宋体"/>
          <w:spacing w:val="-13"/>
          <w:sz w:val="22"/>
          <w:szCs w:val="22"/>
        </w:rPr>
        <w:t>素</w:t>
      </w:r>
      <w:r>
        <w:rPr>
          <w:rFonts w:ascii="宋体" w:eastAsia="宋体" w:hAnsi="宋体" w:cs="宋体"/>
          <w:spacing w:val="-59"/>
          <w:sz w:val="22"/>
          <w:szCs w:val="22"/>
        </w:rPr>
        <w:t xml:space="preserve"> </w:t>
      </w:r>
      <w:r>
        <w:rPr>
          <w:rFonts w:ascii="宋体" w:eastAsia="宋体" w:hAnsi="宋体" w:cs="宋体"/>
          <w:spacing w:val="-13"/>
          <w:sz w:val="22"/>
          <w:szCs w:val="22"/>
        </w:rPr>
        <w:t>A</w:t>
      </w:r>
      <w:r>
        <w:rPr>
          <w:rFonts w:ascii="宋体" w:eastAsia="宋体" w:hAnsi="宋体" w:cs="宋体"/>
          <w:spacing w:val="-9"/>
          <w:sz w:val="22"/>
          <w:szCs w:val="22"/>
        </w:rPr>
        <w:t xml:space="preserve"> </w:t>
      </w:r>
      <w:r>
        <w:rPr>
          <w:rFonts w:ascii="宋体" w:eastAsia="宋体" w:hAnsi="宋体" w:cs="宋体"/>
          <w:spacing w:val="-13"/>
          <w:sz w:val="22"/>
          <w:szCs w:val="22"/>
        </w:rPr>
        <w:t>高含量的状态会加速铁的利用，使体内铁储</w:t>
      </w:r>
      <w:r>
        <w:rPr>
          <w:rFonts w:ascii="宋体" w:eastAsia="宋体" w:hAnsi="宋体" w:cs="宋体"/>
          <w:spacing w:val="-14"/>
          <w:sz w:val="22"/>
          <w:szCs w:val="22"/>
        </w:rPr>
        <w:t>存减少。</w:t>
      </w:r>
    </w:p>
    <w:p w:rsidR="00EA40A3" w:rsidRDefault="00E86C16">
      <w:pPr>
        <w:spacing w:before="257"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7"/>
          <w:sz w:val="22"/>
          <w:szCs w:val="22"/>
        </w:rPr>
        <w:t xml:space="preserve"> </w:t>
      </w:r>
      <w:r>
        <w:rPr>
          <w:rFonts w:ascii="仿宋" w:eastAsia="仿宋" w:hAnsi="仿宋" w:cs="仿宋"/>
          <w:spacing w:val="11"/>
          <w:sz w:val="22"/>
          <w:szCs w:val="22"/>
        </w:rPr>
        <w:t>消化系统功能的改变</w:t>
      </w:r>
    </w:p>
    <w:p w:rsidR="00EA40A3" w:rsidRDefault="00E86C16">
      <w:pPr>
        <w:spacing w:before="190" w:line="247" w:lineRule="auto"/>
        <w:ind w:firstLine="410"/>
        <w:jc w:val="both"/>
        <w:rPr>
          <w:rFonts w:ascii="宋体" w:eastAsia="宋体" w:hAnsi="宋体" w:cs="宋体"/>
          <w:sz w:val="22"/>
          <w:szCs w:val="22"/>
        </w:rPr>
      </w:pPr>
      <w:r>
        <w:rPr>
          <w:rFonts w:ascii="宋体" w:eastAsia="宋体" w:hAnsi="宋体" w:cs="宋体"/>
          <w:spacing w:val="-13"/>
          <w:sz w:val="22"/>
          <w:szCs w:val="22"/>
        </w:rPr>
        <w:t>妊娠期妇女常伴有消化功能的改变。牙龈肥厚，易</w:t>
      </w:r>
      <w:r>
        <w:rPr>
          <w:rFonts w:ascii="宋体" w:eastAsia="宋体" w:hAnsi="宋体" w:cs="宋体"/>
          <w:spacing w:val="-14"/>
          <w:sz w:val="22"/>
          <w:szCs w:val="22"/>
        </w:rPr>
        <w:t>患牙龈炎和牙龈出血；妊</w:t>
      </w:r>
      <w:r>
        <w:rPr>
          <w:rFonts w:ascii="宋体" w:eastAsia="宋体" w:hAnsi="宋体" w:cs="宋体"/>
          <w:sz w:val="22"/>
          <w:szCs w:val="22"/>
        </w:rPr>
        <w:t xml:space="preserve">  </w:t>
      </w:r>
      <w:r>
        <w:rPr>
          <w:rFonts w:ascii="宋体" w:eastAsia="宋体" w:hAnsi="宋体" w:cs="宋体"/>
          <w:spacing w:val="-13"/>
          <w:sz w:val="22"/>
          <w:szCs w:val="22"/>
        </w:rPr>
        <w:t>娠期产生的激素会改变母体肌肉的弹力如引起胃肠平滑肌松</w:t>
      </w:r>
      <w:r>
        <w:rPr>
          <w:rFonts w:ascii="宋体" w:eastAsia="宋体" w:hAnsi="宋体" w:cs="宋体"/>
          <w:spacing w:val="-14"/>
          <w:sz w:val="22"/>
          <w:szCs w:val="22"/>
        </w:rPr>
        <w:t>弛，同时快速生长的</w:t>
      </w:r>
      <w:r>
        <w:rPr>
          <w:rFonts w:ascii="宋体" w:eastAsia="宋体" w:hAnsi="宋体" w:cs="宋体"/>
          <w:sz w:val="22"/>
          <w:szCs w:val="22"/>
        </w:rPr>
        <w:t xml:space="preserve">  </w:t>
      </w:r>
      <w:r>
        <w:rPr>
          <w:rFonts w:ascii="宋体" w:eastAsia="宋体" w:hAnsi="宋体" w:cs="宋体"/>
          <w:spacing w:val="-11"/>
          <w:sz w:val="22"/>
          <w:szCs w:val="22"/>
        </w:rPr>
        <w:t>胎儿也会推挤母体的消化道，从而导致胃肠蠕动减慢，胃排空时间延长；此外，</w:t>
      </w:r>
      <w:r>
        <w:rPr>
          <w:rFonts w:ascii="宋体" w:eastAsia="宋体" w:hAnsi="宋体" w:cs="宋体"/>
          <w:spacing w:val="13"/>
          <w:sz w:val="22"/>
          <w:szCs w:val="22"/>
        </w:rPr>
        <w:t xml:space="preserve"> </w:t>
      </w:r>
      <w:r>
        <w:rPr>
          <w:rFonts w:ascii="宋体" w:eastAsia="宋体" w:hAnsi="宋体" w:cs="宋体"/>
          <w:spacing w:val="-13"/>
          <w:sz w:val="22"/>
          <w:szCs w:val="22"/>
        </w:rPr>
        <w:t>妊娠期间胃酸及消化液的分泌减少。这些都影响了食物消化，因此孕妇常出现胃</w:t>
      </w:r>
      <w:r>
        <w:rPr>
          <w:rFonts w:ascii="宋体" w:eastAsia="宋体" w:hAnsi="宋体" w:cs="宋体"/>
          <w:spacing w:val="6"/>
          <w:sz w:val="22"/>
          <w:szCs w:val="22"/>
        </w:rPr>
        <w:t xml:space="preserve"> </w:t>
      </w:r>
      <w:r>
        <w:rPr>
          <w:rFonts w:ascii="宋体" w:eastAsia="宋体" w:hAnsi="宋体" w:cs="宋体"/>
          <w:spacing w:val="-2"/>
          <w:sz w:val="22"/>
          <w:szCs w:val="22"/>
        </w:rPr>
        <w:t>肠胀气及便秘。在妊娠早期，约有50%以上的孕妇有恶心、呕吐、消化不良、</w:t>
      </w:r>
      <w:r>
        <w:rPr>
          <w:rFonts w:ascii="宋体" w:eastAsia="宋体" w:hAnsi="宋体" w:cs="宋体"/>
          <w:sz w:val="22"/>
          <w:szCs w:val="22"/>
        </w:rPr>
        <w:t xml:space="preserve"> </w:t>
      </w:r>
      <w:r>
        <w:rPr>
          <w:rFonts w:ascii="宋体" w:eastAsia="宋体" w:hAnsi="宋体" w:cs="宋体"/>
          <w:spacing w:val="-10"/>
          <w:sz w:val="22"/>
          <w:szCs w:val="22"/>
        </w:rPr>
        <w:t>胃反酸等妊娠反应。同时，某些营养素如钙、铁、维生素B</w:t>
      </w:r>
      <w:r>
        <w:rPr>
          <w:rFonts w:ascii="Calibri" w:eastAsia="Calibri" w:hAnsi="Calibri" w:cs="Calibri"/>
          <w:spacing w:val="-10"/>
          <w:sz w:val="22"/>
          <w:szCs w:val="22"/>
        </w:rPr>
        <w:t>₂</w:t>
      </w:r>
      <w:r>
        <w:rPr>
          <w:rFonts w:ascii="Calibri" w:eastAsia="Calibri" w:hAnsi="Calibri" w:cs="Calibri"/>
          <w:spacing w:val="-15"/>
          <w:sz w:val="22"/>
          <w:szCs w:val="22"/>
        </w:rPr>
        <w:t xml:space="preserve"> </w:t>
      </w:r>
      <w:r>
        <w:rPr>
          <w:rFonts w:ascii="宋体" w:eastAsia="宋体" w:hAnsi="宋体" w:cs="宋体"/>
          <w:spacing w:val="-10"/>
          <w:sz w:val="22"/>
          <w:szCs w:val="22"/>
        </w:rPr>
        <w:t>、 叶酸等也因为食</w:t>
      </w:r>
      <w:r>
        <w:rPr>
          <w:rFonts w:ascii="宋体" w:eastAsia="宋体" w:hAnsi="宋体" w:cs="宋体"/>
          <w:sz w:val="22"/>
          <w:szCs w:val="22"/>
        </w:rPr>
        <w:t xml:space="preserve">  </w:t>
      </w:r>
      <w:r>
        <w:rPr>
          <w:rFonts w:ascii="宋体" w:eastAsia="宋体" w:hAnsi="宋体" w:cs="宋体"/>
          <w:spacing w:val="-13"/>
          <w:sz w:val="22"/>
          <w:szCs w:val="22"/>
        </w:rPr>
        <w:t>物在消化道内停留时间加长，使其吸收增加，尤其在妊娠的后半期。</w:t>
      </w:r>
    </w:p>
    <w:p w:rsidR="00EA40A3" w:rsidRDefault="00E86C16">
      <w:pPr>
        <w:spacing w:before="225" w:line="222" w:lineRule="auto"/>
        <w:rPr>
          <w:rFonts w:ascii="仿宋" w:eastAsia="仿宋" w:hAnsi="仿宋" w:cs="仿宋"/>
          <w:sz w:val="22"/>
          <w:szCs w:val="22"/>
        </w:rPr>
      </w:pPr>
      <w:r>
        <w:rPr>
          <w:rFonts w:ascii="仿宋" w:eastAsia="仿宋" w:hAnsi="仿宋" w:cs="仿宋"/>
          <w:spacing w:val="-2"/>
          <w:sz w:val="22"/>
          <w:szCs w:val="22"/>
        </w:rPr>
        <w:t>4.</w:t>
      </w:r>
      <w:r>
        <w:rPr>
          <w:rFonts w:ascii="仿宋" w:eastAsia="仿宋" w:hAnsi="仿宋" w:cs="仿宋"/>
          <w:spacing w:val="71"/>
          <w:sz w:val="22"/>
          <w:szCs w:val="22"/>
        </w:rPr>
        <w:t xml:space="preserve"> </w:t>
      </w:r>
      <w:r>
        <w:rPr>
          <w:rFonts w:ascii="仿宋" w:eastAsia="仿宋" w:hAnsi="仿宋" w:cs="仿宋"/>
          <w:spacing w:val="-2"/>
          <w:sz w:val="22"/>
          <w:szCs w:val="22"/>
        </w:rPr>
        <w:t>肾功能的改变</w:t>
      </w:r>
    </w:p>
    <w:p w:rsidR="00EA40A3" w:rsidRDefault="00E86C16">
      <w:pPr>
        <w:spacing w:before="210" w:line="245" w:lineRule="auto"/>
        <w:ind w:right="96" w:firstLine="410"/>
        <w:jc w:val="both"/>
        <w:rPr>
          <w:rFonts w:ascii="宋体" w:eastAsia="宋体" w:hAnsi="宋体" w:cs="宋体"/>
          <w:sz w:val="22"/>
          <w:szCs w:val="22"/>
        </w:rPr>
      </w:pPr>
      <w:r>
        <w:rPr>
          <w:rFonts w:ascii="宋体" w:eastAsia="宋体" w:hAnsi="宋体" w:cs="宋体"/>
          <w:spacing w:val="-13"/>
          <w:sz w:val="22"/>
          <w:szCs w:val="22"/>
        </w:rPr>
        <w:t>妊娠期间，为利于清除母体和胎体代谢所产生的废物，母</w:t>
      </w:r>
      <w:r>
        <w:rPr>
          <w:rFonts w:ascii="宋体" w:eastAsia="宋体" w:hAnsi="宋体" w:cs="宋体"/>
          <w:spacing w:val="-14"/>
          <w:sz w:val="22"/>
          <w:szCs w:val="22"/>
        </w:rPr>
        <w:t>体肾功能出现明显</w:t>
      </w:r>
      <w:r>
        <w:rPr>
          <w:rFonts w:ascii="宋体" w:eastAsia="宋体" w:hAnsi="宋体" w:cs="宋体"/>
          <w:sz w:val="22"/>
          <w:szCs w:val="22"/>
        </w:rPr>
        <w:t xml:space="preserve"> </w:t>
      </w:r>
      <w:r>
        <w:rPr>
          <w:rFonts w:ascii="宋体" w:eastAsia="宋体" w:hAnsi="宋体" w:cs="宋体"/>
          <w:spacing w:val="-1"/>
          <w:sz w:val="22"/>
          <w:szCs w:val="22"/>
        </w:rPr>
        <w:t>的生理性调节。表现为肾小球滤过能力增强，可增加约50%;肾血浆流量也增</w:t>
      </w:r>
      <w:r>
        <w:rPr>
          <w:rFonts w:ascii="宋体" w:eastAsia="宋体" w:hAnsi="宋体" w:cs="宋体"/>
          <w:spacing w:val="7"/>
          <w:sz w:val="22"/>
          <w:szCs w:val="22"/>
        </w:rPr>
        <w:t xml:space="preserve"> </w:t>
      </w:r>
      <w:r>
        <w:rPr>
          <w:rFonts w:ascii="宋体" w:eastAsia="宋体" w:hAnsi="宋体" w:cs="宋体"/>
          <w:spacing w:val="-4"/>
          <w:sz w:val="22"/>
          <w:szCs w:val="22"/>
        </w:rPr>
        <w:t>加了约75%。尿中蛋白质代谢产物尿酸、尿素、肌酐排出量增多。另外，由于</w:t>
      </w:r>
      <w:r>
        <w:rPr>
          <w:rFonts w:ascii="宋体" w:eastAsia="宋体" w:hAnsi="宋体" w:cs="宋体"/>
          <w:spacing w:val="1"/>
          <w:sz w:val="22"/>
          <w:szCs w:val="22"/>
        </w:rPr>
        <w:t xml:space="preserve"> </w:t>
      </w:r>
      <w:r>
        <w:rPr>
          <w:rFonts w:ascii="宋体" w:eastAsia="宋体" w:hAnsi="宋体" w:cs="宋体"/>
          <w:spacing w:val="-13"/>
          <w:sz w:val="22"/>
          <w:szCs w:val="22"/>
        </w:rPr>
        <w:t>肾小球滤过量超过了肾曲管的再吸收能力，有时</w:t>
      </w:r>
      <w:r>
        <w:rPr>
          <w:rFonts w:ascii="宋体" w:eastAsia="宋体" w:hAnsi="宋体" w:cs="宋体"/>
          <w:spacing w:val="-14"/>
          <w:sz w:val="22"/>
          <w:szCs w:val="22"/>
        </w:rPr>
        <w:t>会出现孕期妇女尿中葡萄糖、氨</w:t>
      </w:r>
      <w:r>
        <w:rPr>
          <w:rFonts w:ascii="宋体" w:eastAsia="宋体" w:hAnsi="宋体" w:cs="宋体"/>
          <w:sz w:val="22"/>
          <w:szCs w:val="22"/>
        </w:rPr>
        <w:t xml:space="preserve"> </w:t>
      </w:r>
      <w:r>
        <w:rPr>
          <w:rFonts w:ascii="宋体" w:eastAsia="宋体" w:hAnsi="宋体" w:cs="宋体"/>
          <w:spacing w:val="-15"/>
          <w:sz w:val="22"/>
          <w:szCs w:val="22"/>
        </w:rPr>
        <w:t>基酸、水溶性维生素的排出量明显增加。</w:t>
      </w:r>
    </w:p>
    <w:p w:rsidR="00EA40A3" w:rsidRDefault="00E86C16">
      <w:pPr>
        <w:spacing w:before="208" w:line="223" w:lineRule="auto"/>
        <w:rPr>
          <w:rFonts w:ascii="仿宋" w:eastAsia="仿宋" w:hAnsi="仿宋" w:cs="仿宋"/>
          <w:sz w:val="22"/>
          <w:szCs w:val="22"/>
        </w:rPr>
      </w:pPr>
      <w:r>
        <w:rPr>
          <w:rFonts w:ascii="仿宋" w:eastAsia="仿宋" w:hAnsi="仿宋" w:cs="仿宋"/>
          <w:spacing w:val="12"/>
          <w:sz w:val="22"/>
          <w:szCs w:val="22"/>
        </w:rPr>
        <w:t>5.</w:t>
      </w:r>
      <w:r>
        <w:rPr>
          <w:rFonts w:ascii="仿宋" w:eastAsia="仿宋" w:hAnsi="仿宋" w:cs="仿宋"/>
          <w:spacing w:val="8"/>
          <w:sz w:val="22"/>
          <w:szCs w:val="22"/>
        </w:rPr>
        <w:t xml:space="preserve"> </w:t>
      </w:r>
      <w:r>
        <w:rPr>
          <w:rFonts w:ascii="仿宋" w:eastAsia="仿宋" w:hAnsi="仿宋" w:cs="仿宋"/>
          <w:spacing w:val="12"/>
          <w:sz w:val="22"/>
          <w:szCs w:val="22"/>
        </w:rPr>
        <w:t>血容量及血液成分的改变</w:t>
      </w:r>
    </w:p>
    <w:p w:rsidR="00EA40A3" w:rsidRDefault="00E86C16">
      <w:pPr>
        <w:spacing w:before="216" w:line="219" w:lineRule="auto"/>
        <w:ind w:left="410"/>
        <w:rPr>
          <w:rFonts w:ascii="宋体" w:eastAsia="宋体" w:hAnsi="宋体" w:cs="宋体"/>
          <w:sz w:val="22"/>
          <w:szCs w:val="22"/>
        </w:rPr>
      </w:pPr>
      <w:r>
        <w:rPr>
          <w:rFonts w:ascii="宋体" w:eastAsia="宋体" w:hAnsi="宋体" w:cs="宋体"/>
          <w:spacing w:val="-12"/>
          <w:sz w:val="22"/>
          <w:szCs w:val="22"/>
        </w:rPr>
        <w:t>母体在妊娠期血容量增多及组成成分的改变是为了更便</w:t>
      </w:r>
      <w:r>
        <w:rPr>
          <w:rFonts w:ascii="宋体" w:eastAsia="宋体" w:hAnsi="宋体" w:cs="宋体"/>
          <w:spacing w:val="-13"/>
          <w:sz w:val="22"/>
          <w:szCs w:val="22"/>
        </w:rPr>
        <w:t>于将营养素输送给胎</w:t>
      </w:r>
    </w:p>
    <w:p w:rsidR="00EA40A3" w:rsidRDefault="00E86C16">
      <w:pPr>
        <w:spacing w:before="33"/>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298</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pgSz w:w="9220" w:h="13360"/>
          <w:pgMar w:top="400" w:right="1100" w:bottom="400" w:left="789" w:header="0" w:footer="0" w:gutter="0"/>
          <w:cols w:space="720"/>
        </w:sectPr>
      </w:pPr>
    </w:p>
    <w:p w:rsidR="00EA40A3" w:rsidRDefault="00825D12">
      <w:pPr>
        <w:spacing w:line="313" w:lineRule="auto"/>
      </w:pPr>
      <w:r>
        <w:rPr>
          <w:noProof/>
        </w:rPr>
        <w:lastRenderedPageBreak/>
        <mc:AlternateContent>
          <mc:Choice Requires="wps">
            <w:drawing>
              <wp:anchor distT="0" distB="0" distL="114300" distR="114300" simplePos="0" relativeHeight="251711488" behindDoc="0" locked="0" layoutInCell="0" allowOverlap="1">
                <wp:simplePos x="0" y="0"/>
                <wp:positionH relativeFrom="page">
                  <wp:posOffset>565150</wp:posOffset>
                </wp:positionH>
                <wp:positionV relativeFrom="page">
                  <wp:posOffset>6085840</wp:posOffset>
                </wp:positionV>
                <wp:extent cx="4660900" cy="6350"/>
                <wp:effectExtent l="12700" t="8890" r="12700" b="3810"/>
                <wp:wrapNone/>
                <wp:docPr id="11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6350"/>
                        </a:xfrm>
                        <a:custGeom>
                          <a:avLst/>
                          <a:gdLst>
                            <a:gd name="T0" fmla="*/ 0 w 7340"/>
                            <a:gd name="T1" fmla="*/ 5 h 10"/>
                            <a:gd name="T2" fmla="*/ 2489 w 7340"/>
                            <a:gd name="T3" fmla="*/ 5 h 10"/>
                            <a:gd name="T4" fmla="*/ 2489 w 7340"/>
                            <a:gd name="T5" fmla="*/ 5 h 10"/>
                            <a:gd name="T6" fmla="*/ 4639 w 7340"/>
                            <a:gd name="T7" fmla="*/ 5 h 10"/>
                            <a:gd name="T8" fmla="*/ 4639 w 7340"/>
                            <a:gd name="T9" fmla="*/ 5 h 10"/>
                            <a:gd name="T10" fmla="*/ 7339 w 7340"/>
                            <a:gd name="T11" fmla="*/ 5 h 10"/>
                          </a:gdLst>
                          <a:ahLst/>
                          <a:cxnLst>
                            <a:cxn ang="0">
                              <a:pos x="T0" y="T1"/>
                            </a:cxn>
                            <a:cxn ang="0">
                              <a:pos x="T2" y="T3"/>
                            </a:cxn>
                            <a:cxn ang="0">
                              <a:pos x="T4" y="T5"/>
                            </a:cxn>
                            <a:cxn ang="0">
                              <a:pos x="T6" y="T7"/>
                            </a:cxn>
                            <a:cxn ang="0">
                              <a:pos x="T8" y="T9"/>
                            </a:cxn>
                            <a:cxn ang="0">
                              <a:pos x="T10" y="T11"/>
                            </a:cxn>
                          </a:cxnLst>
                          <a:rect l="0" t="0" r="r" b="b"/>
                          <a:pathLst>
                            <a:path w="7340" h="10">
                              <a:moveTo>
                                <a:pt x="0" y="5"/>
                              </a:moveTo>
                              <a:lnTo>
                                <a:pt x="2489" y="5"/>
                              </a:lnTo>
                              <a:moveTo>
                                <a:pt x="2489" y="5"/>
                              </a:moveTo>
                              <a:lnTo>
                                <a:pt x="4639" y="5"/>
                              </a:lnTo>
                              <a:moveTo>
                                <a:pt x="4639" y="5"/>
                              </a:moveTo>
                              <a:lnTo>
                                <a:pt x="733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7AF0B" id="AutoShape 45" o:spid="_x0000_s1026" style="position:absolute;left:0;text-align:left;margin-left:44.5pt;margin-top:479.2pt;width:367pt;height:.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" o:allowincell="f" path="m,5r2489,m2489,5r2150,m4639,5r2700,e" filled="f" strokeweight=".5pt">
                <v:stroke miterlimit="10" joinstyle="miter"/>
                <v:path o:connecttype="custom" o:connectlocs="0,3175;1580515,3175;1580515,3175;2945765,3175;2945765,3175;4660265,3175" o:connectangles="0,0,0,0,0,0"/>
                <w10:wrap anchorx="page" anchory="page"/>
              </v:shape>
            </w:pict>
          </mc:Fallback>
        </mc:AlternateContent>
      </w:r>
      <w:r>
        <w:rPr>
          <w:noProof/>
        </w:rPr>
        <mc:AlternateContent>
          <mc:Choice Requires="wps">
            <w:drawing>
              <wp:anchor distT="0" distB="0" distL="114300" distR="114300" simplePos="0" relativeHeight="251710464" behindDoc="0" locked="0" layoutInCell="0" allowOverlap="1">
                <wp:simplePos x="0" y="0"/>
                <wp:positionH relativeFrom="page">
                  <wp:posOffset>565150</wp:posOffset>
                </wp:positionH>
                <wp:positionV relativeFrom="page">
                  <wp:posOffset>6295390</wp:posOffset>
                </wp:positionV>
                <wp:extent cx="4660900" cy="6350"/>
                <wp:effectExtent l="12700" t="8890" r="12700" b="3810"/>
                <wp:wrapNone/>
                <wp:docPr id="117"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6350"/>
                        </a:xfrm>
                        <a:custGeom>
                          <a:avLst/>
                          <a:gdLst>
                            <a:gd name="T0" fmla="*/ 0 w 7340"/>
                            <a:gd name="T1" fmla="*/ 5 h 10"/>
                            <a:gd name="T2" fmla="*/ 2489 w 7340"/>
                            <a:gd name="T3" fmla="*/ 5 h 10"/>
                            <a:gd name="T4" fmla="*/ 2489 w 7340"/>
                            <a:gd name="T5" fmla="*/ 5 h 10"/>
                            <a:gd name="T6" fmla="*/ 4639 w 7340"/>
                            <a:gd name="T7" fmla="*/ 5 h 10"/>
                            <a:gd name="T8" fmla="*/ 4639 w 7340"/>
                            <a:gd name="T9" fmla="*/ 5 h 10"/>
                            <a:gd name="T10" fmla="*/ 7339 w 7340"/>
                            <a:gd name="T11" fmla="*/ 5 h 10"/>
                            <a:gd name="T12" fmla="*/ 0 w 7340"/>
                            <a:gd name="T13" fmla="*/ 5 h 10"/>
                            <a:gd name="T14" fmla="*/ 2489 w 7340"/>
                            <a:gd name="T15" fmla="*/ 5 h 10"/>
                            <a:gd name="T16" fmla="*/ 2489 w 7340"/>
                            <a:gd name="T17" fmla="*/ 5 h 10"/>
                            <a:gd name="T18" fmla="*/ 4639 w 7340"/>
                            <a:gd name="T19" fmla="*/ 5 h 10"/>
                            <a:gd name="T20" fmla="*/ 4639 w 7340"/>
                            <a:gd name="T21" fmla="*/ 5 h 10"/>
                            <a:gd name="T22" fmla="*/ 7339 w 7340"/>
                            <a:gd name="T23"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340" h="10">
                              <a:moveTo>
                                <a:pt x="0" y="5"/>
                              </a:moveTo>
                              <a:lnTo>
                                <a:pt x="2489" y="5"/>
                              </a:lnTo>
                              <a:moveTo>
                                <a:pt x="2489" y="5"/>
                              </a:moveTo>
                              <a:lnTo>
                                <a:pt x="4639" y="5"/>
                              </a:lnTo>
                              <a:moveTo>
                                <a:pt x="4639" y="5"/>
                              </a:moveTo>
                              <a:lnTo>
                                <a:pt x="7339" y="5"/>
                              </a:lnTo>
                              <a:moveTo>
                                <a:pt x="0" y="5"/>
                              </a:moveTo>
                              <a:lnTo>
                                <a:pt x="2489" y="5"/>
                              </a:lnTo>
                              <a:moveTo>
                                <a:pt x="2489" y="5"/>
                              </a:moveTo>
                              <a:lnTo>
                                <a:pt x="4639" y="5"/>
                              </a:lnTo>
                              <a:moveTo>
                                <a:pt x="4639" y="5"/>
                              </a:moveTo>
                              <a:lnTo>
                                <a:pt x="733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60B44" id="AutoShape 46" o:spid="_x0000_s1026" style="position:absolute;left:0;text-align:left;margin-left:44.5pt;margin-top:495.7pt;width:367pt;height:.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" o:allowincell="f" path="m,5r2489,m2489,5r2150,m4639,5r2700,m,5r2489,m2489,5r2150,m4639,5r2700,e" filled="f" strokeweight=".5pt">
                <v:stroke miterlimit="10" joinstyle="miter"/>
                <v:path o:connecttype="custom" o:connectlocs="0,3175;1580515,3175;1580515,3175;2945765,3175;2945765,3175;4660265,3175;0,3175;1580515,3175;1580515,3175;2945765,3175;2945765,3175;4660265,3175" o:connectangles="0,0,0,0,0,0,0,0,0,0,0,0"/>
                <w10:wrap anchorx="page" anchory="page"/>
              </v:shape>
            </w:pict>
          </mc:Fallback>
        </mc:AlternateContent>
      </w:r>
    </w:p>
    <w:p w:rsidR="00EA40A3" w:rsidRDefault="00EA40A3">
      <w:pPr>
        <w:spacing w:line="313" w:lineRule="auto"/>
      </w:pPr>
    </w:p>
    <w:p w:rsidR="00EA40A3" w:rsidRDefault="00E86C16">
      <w:pPr>
        <w:spacing w:before="68" w:line="306" w:lineRule="exact"/>
        <w:ind w:left="69"/>
        <w:rPr>
          <w:rFonts w:ascii="宋体" w:eastAsia="宋体" w:hAnsi="宋体" w:cs="宋体"/>
        </w:rPr>
      </w:pPr>
      <w:r>
        <w:rPr>
          <w:rFonts w:ascii="宋体" w:eastAsia="宋体" w:hAnsi="宋体" w:cs="宋体"/>
          <w:spacing w:val="-7"/>
          <w:position w:val="6"/>
        </w:rPr>
        <w:t>儿，并将胎儿排泄物输出体外。</w:t>
      </w:r>
    </w:p>
    <w:p w:rsidR="00EA40A3" w:rsidRDefault="00E86C16">
      <w:pPr>
        <w:spacing w:line="232" w:lineRule="auto"/>
        <w:ind w:left="69"/>
        <w:rPr>
          <w:rFonts w:ascii="楷体" w:eastAsia="楷体" w:hAnsi="楷体" w:cs="楷体"/>
        </w:rPr>
      </w:pPr>
      <w:r>
        <w:rPr>
          <w:rFonts w:ascii="楷体" w:eastAsia="楷体" w:hAnsi="楷体" w:cs="楷体"/>
          <w:spacing w:val="4"/>
        </w:rPr>
        <w:t>1)血容量</w:t>
      </w:r>
    </w:p>
    <w:p w:rsidR="00EA40A3" w:rsidRDefault="00E86C16">
      <w:pPr>
        <w:spacing w:before="31" w:line="254" w:lineRule="auto"/>
        <w:ind w:left="69" w:right="31" w:firstLine="430"/>
        <w:jc w:val="both"/>
        <w:rPr>
          <w:rFonts w:ascii="宋体" w:eastAsia="宋体" w:hAnsi="宋体" w:cs="宋体"/>
        </w:rPr>
      </w:pPr>
      <w:r>
        <w:rPr>
          <w:rFonts w:ascii="宋体" w:eastAsia="宋体" w:hAnsi="宋体" w:cs="宋体"/>
          <w:spacing w:val="-3"/>
        </w:rPr>
        <w:t>血容量的变化包括血浆容积和红细胞数量的改变。与非妊娠妇女相比</w:t>
      </w:r>
      <w:r>
        <w:rPr>
          <w:rFonts w:ascii="宋体" w:eastAsia="宋体" w:hAnsi="宋体" w:cs="宋体"/>
          <w:spacing w:val="-4"/>
        </w:rPr>
        <w:t>，妊娠</w:t>
      </w:r>
      <w:r>
        <w:rPr>
          <w:rFonts w:ascii="宋体" w:eastAsia="宋体" w:hAnsi="宋体" w:cs="宋体"/>
        </w:rPr>
        <w:t xml:space="preserve"> </w:t>
      </w:r>
      <w:r>
        <w:rPr>
          <w:rFonts w:ascii="宋体" w:eastAsia="宋体" w:hAnsi="宋体" w:cs="宋体"/>
          <w:spacing w:val="17"/>
        </w:rPr>
        <w:t>期妇女血容量可增加35%～45%,自妊娠6～8周开始，至妊娠28～33</w:t>
      </w:r>
      <w:r>
        <w:rPr>
          <w:rFonts w:ascii="宋体" w:eastAsia="宋体" w:hAnsi="宋体" w:cs="宋体"/>
          <w:spacing w:val="16"/>
        </w:rPr>
        <w:t>周时达</w:t>
      </w:r>
      <w:r>
        <w:rPr>
          <w:rFonts w:ascii="宋体" w:eastAsia="宋体" w:hAnsi="宋体" w:cs="宋体"/>
        </w:rPr>
        <w:t xml:space="preserve"> </w:t>
      </w:r>
      <w:r>
        <w:rPr>
          <w:rFonts w:ascii="宋体" w:eastAsia="宋体" w:hAnsi="宋体" w:cs="宋体"/>
          <w:spacing w:val="10"/>
        </w:rPr>
        <w:t>高峰，并维持至分娩。其中血浆容积最大增加量</w:t>
      </w:r>
      <w:r>
        <w:rPr>
          <w:rFonts w:ascii="宋体" w:eastAsia="宋体" w:hAnsi="宋体" w:cs="宋体"/>
          <w:spacing w:val="9"/>
        </w:rPr>
        <w:t>约为50%(正常非妊娠妇女的</w:t>
      </w:r>
      <w:r>
        <w:rPr>
          <w:rFonts w:ascii="宋体" w:eastAsia="宋体" w:hAnsi="宋体" w:cs="宋体"/>
        </w:rPr>
        <w:t xml:space="preserve"> </w:t>
      </w:r>
      <w:r>
        <w:rPr>
          <w:rFonts w:ascii="宋体" w:eastAsia="宋体" w:hAnsi="宋体" w:cs="宋体"/>
          <w:spacing w:val="8"/>
        </w:rPr>
        <w:t>血浆容积为2.6L),</w:t>
      </w:r>
      <w:r>
        <w:rPr>
          <w:rFonts w:ascii="宋体" w:eastAsia="宋体" w:hAnsi="宋体" w:cs="宋体"/>
          <w:spacing w:val="19"/>
        </w:rPr>
        <w:t xml:space="preserve"> </w:t>
      </w:r>
      <w:r>
        <w:rPr>
          <w:rFonts w:ascii="宋体" w:eastAsia="宋体" w:hAnsi="宋体" w:cs="宋体"/>
          <w:spacing w:val="8"/>
        </w:rPr>
        <w:t>红细胞数量的增加至分娩时约可达20%。由于血容量增加</w:t>
      </w:r>
      <w:r>
        <w:rPr>
          <w:rFonts w:ascii="宋体" w:eastAsia="宋体" w:hAnsi="宋体" w:cs="宋体"/>
        </w:rPr>
        <w:t xml:space="preserve"> </w:t>
      </w:r>
      <w:r>
        <w:rPr>
          <w:rFonts w:ascii="宋体" w:eastAsia="宋体" w:hAnsi="宋体" w:cs="宋体"/>
          <w:spacing w:val="-5"/>
        </w:rPr>
        <w:t>的幅度较红细胞增加的幅度大，致使血液相对稀释。</w:t>
      </w:r>
    </w:p>
    <w:p w:rsidR="00EA40A3" w:rsidRDefault="00E86C16">
      <w:pPr>
        <w:spacing w:before="76" w:line="229" w:lineRule="auto"/>
        <w:ind w:left="69"/>
        <w:rPr>
          <w:rFonts w:ascii="楷体" w:eastAsia="楷体" w:hAnsi="楷体" w:cs="楷体"/>
        </w:rPr>
      </w:pPr>
      <w:r>
        <w:rPr>
          <w:rFonts w:ascii="楷体" w:eastAsia="楷体" w:hAnsi="楷体" w:cs="楷体"/>
          <w:spacing w:val="5"/>
        </w:rPr>
        <w:t>2)血液成分</w:t>
      </w:r>
    </w:p>
    <w:p w:rsidR="00EA40A3" w:rsidRDefault="00E86C16">
      <w:pPr>
        <w:spacing w:before="58" w:line="256" w:lineRule="auto"/>
        <w:ind w:left="69" w:firstLine="430"/>
        <w:jc w:val="both"/>
        <w:rPr>
          <w:rFonts w:ascii="宋体" w:eastAsia="宋体" w:hAnsi="宋体" w:cs="宋体"/>
        </w:rPr>
      </w:pPr>
      <w:r>
        <w:rPr>
          <w:rFonts w:ascii="宋体" w:eastAsia="宋体" w:hAnsi="宋体" w:cs="宋体"/>
          <w:spacing w:val="11"/>
        </w:rPr>
        <w:t>由于血液稀释，相比非妊娠妇女，妊娠期妇女的</w:t>
      </w:r>
      <w:r>
        <w:rPr>
          <w:rFonts w:ascii="宋体" w:eastAsia="宋体" w:hAnsi="宋体" w:cs="宋体"/>
          <w:spacing w:val="10"/>
        </w:rPr>
        <w:t>红细胞计数(约为3.6×</w:t>
      </w:r>
      <w:r>
        <w:rPr>
          <w:rFonts w:ascii="宋体" w:eastAsia="宋体" w:hAnsi="宋体" w:cs="宋体"/>
        </w:rPr>
        <w:t xml:space="preserve"> </w:t>
      </w:r>
      <w:r>
        <w:rPr>
          <w:rFonts w:ascii="宋体" w:eastAsia="宋体" w:hAnsi="宋体" w:cs="宋体"/>
          <w:spacing w:val="7"/>
        </w:rPr>
        <w:t>1012个/L)</w:t>
      </w:r>
      <w:r>
        <w:rPr>
          <w:rFonts w:ascii="宋体" w:eastAsia="宋体" w:hAnsi="宋体" w:cs="宋体"/>
          <w:spacing w:val="31"/>
        </w:rPr>
        <w:t xml:space="preserve"> </w:t>
      </w:r>
      <w:r>
        <w:rPr>
          <w:rFonts w:ascii="宋体" w:eastAsia="宋体" w:hAnsi="宋体" w:cs="宋体"/>
          <w:spacing w:val="7"/>
        </w:rPr>
        <w:t>和血红蛋白值(约为110g/L)</w:t>
      </w:r>
      <w:r>
        <w:rPr>
          <w:rFonts w:ascii="宋体" w:eastAsia="宋体" w:hAnsi="宋体" w:cs="宋体"/>
          <w:spacing w:val="26"/>
        </w:rPr>
        <w:t xml:space="preserve"> </w:t>
      </w:r>
      <w:r>
        <w:rPr>
          <w:rFonts w:ascii="宋体" w:eastAsia="宋体" w:hAnsi="宋体" w:cs="宋体"/>
          <w:spacing w:val="7"/>
        </w:rPr>
        <w:t>均有所降低(非</w:t>
      </w:r>
      <w:r>
        <w:rPr>
          <w:rFonts w:ascii="宋体" w:eastAsia="宋体" w:hAnsi="宋体" w:cs="宋体"/>
          <w:spacing w:val="6"/>
        </w:rPr>
        <w:t>妊娠妇女红细胞计数</w:t>
      </w:r>
      <w:r>
        <w:rPr>
          <w:rFonts w:ascii="宋体" w:eastAsia="宋体" w:hAnsi="宋体" w:cs="宋体"/>
        </w:rPr>
        <w:t xml:space="preserve"> </w:t>
      </w:r>
      <w:r>
        <w:rPr>
          <w:rFonts w:ascii="宋体" w:eastAsia="宋体" w:hAnsi="宋体" w:cs="宋体"/>
          <w:spacing w:val="-2"/>
        </w:rPr>
        <w:t>和血红蛋白值分别约为4.2×10¹2/L、130g/L),</w:t>
      </w:r>
      <w:r>
        <w:rPr>
          <w:rFonts w:ascii="宋体" w:eastAsia="宋体" w:hAnsi="宋体" w:cs="宋体"/>
          <w:spacing w:val="46"/>
        </w:rPr>
        <w:t xml:space="preserve"> </w:t>
      </w:r>
      <w:r>
        <w:rPr>
          <w:rFonts w:ascii="宋体" w:eastAsia="宋体" w:hAnsi="宋体" w:cs="宋体"/>
          <w:spacing w:val="-2"/>
        </w:rPr>
        <w:t>故</w:t>
      </w:r>
      <w:r>
        <w:rPr>
          <w:rFonts w:ascii="宋体" w:eastAsia="宋体" w:hAnsi="宋体" w:cs="宋体"/>
          <w:spacing w:val="-3"/>
        </w:rPr>
        <w:t>妊娠妇女易出现生理性贫血。</w:t>
      </w:r>
      <w:r>
        <w:rPr>
          <w:rFonts w:ascii="宋体" w:eastAsia="宋体" w:hAnsi="宋体" w:cs="宋体"/>
        </w:rPr>
        <w:t xml:space="preserve"> </w:t>
      </w:r>
      <w:r>
        <w:rPr>
          <w:rFonts w:ascii="宋体" w:eastAsia="宋体" w:hAnsi="宋体" w:cs="宋体"/>
          <w:spacing w:val="10"/>
        </w:rPr>
        <w:t>同样，孕妇的血浆总蛋白浓度也从妊娠早期就开始下降，至妊娠晚期时由约</w:t>
      </w:r>
      <w:r>
        <w:rPr>
          <w:rFonts w:ascii="宋体" w:eastAsia="宋体" w:hAnsi="宋体" w:cs="宋体"/>
          <w:spacing w:val="8"/>
        </w:rPr>
        <w:t xml:space="preserve"> </w:t>
      </w:r>
      <w:r>
        <w:rPr>
          <w:rFonts w:ascii="宋体" w:eastAsia="宋体" w:hAnsi="宋体" w:cs="宋体"/>
          <w:spacing w:val="7"/>
        </w:rPr>
        <w:t>70g/L</w:t>
      </w:r>
      <w:r>
        <w:rPr>
          <w:rFonts w:ascii="宋体" w:eastAsia="宋体" w:hAnsi="宋体" w:cs="宋体"/>
          <w:spacing w:val="-17"/>
        </w:rPr>
        <w:t xml:space="preserve"> </w:t>
      </w:r>
      <w:r>
        <w:rPr>
          <w:rFonts w:ascii="宋体" w:eastAsia="宋体" w:hAnsi="宋体" w:cs="宋体"/>
          <w:spacing w:val="7"/>
        </w:rPr>
        <w:t>降至60g/L。</w:t>
      </w:r>
      <w:r>
        <w:rPr>
          <w:rFonts w:ascii="宋体" w:eastAsia="宋体" w:hAnsi="宋体" w:cs="宋体"/>
          <w:spacing w:val="-13"/>
        </w:rPr>
        <w:t xml:space="preserve"> </w:t>
      </w:r>
      <w:r>
        <w:rPr>
          <w:rFonts w:ascii="宋体" w:eastAsia="宋体" w:hAnsi="宋体" w:cs="宋体"/>
          <w:spacing w:val="7"/>
        </w:rPr>
        <w:t>但血液中白细胞数量却从</w:t>
      </w:r>
      <w:r>
        <w:rPr>
          <w:rFonts w:ascii="宋体" w:eastAsia="宋体" w:hAnsi="宋体" w:cs="宋体"/>
          <w:spacing w:val="6"/>
        </w:rPr>
        <w:t>妊娠7周开始升高，到30周达到</w:t>
      </w:r>
      <w:r>
        <w:rPr>
          <w:rFonts w:ascii="宋体" w:eastAsia="宋体" w:hAnsi="宋体" w:cs="宋体"/>
        </w:rPr>
        <w:t xml:space="preserve"> </w:t>
      </w:r>
      <w:r>
        <w:rPr>
          <w:rFonts w:ascii="宋体" w:eastAsia="宋体" w:hAnsi="宋体" w:cs="宋体"/>
          <w:spacing w:val="-9"/>
        </w:rPr>
        <w:t>顶峰。</w:t>
      </w:r>
    </w:p>
    <w:p w:rsidR="00EA40A3" w:rsidRDefault="00E86C16">
      <w:pPr>
        <w:spacing w:before="240" w:line="222" w:lineRule="auto"/>
        <w:ind w:left="69"/>
        <w:rPr>
          <w:rFonts w:ascii="仿宋" w:eastAsia="仿宋" w:hAnsi="仿宋" w:cs="仿宋"/>
        </w:rPr>
      </w:pPr>
      <w:r>
        <w:rPr>
          <w:rFonts w:ascii="仿宋" w:eastAsia="仿宋" w:hAnsi="仿宋" w:cs="仿宋"/>
          <w:spacing w:val="19"/>
        </w:rPr>
        <w:t>6.</w:t>
      </w:r>
      <w:r>
        <w:rPr>
          <w:rFonts w:ascii="仿宋" w:eastAsia="仿宋" w:hAnsi="仿宋" w:cs="仿宋"/>
          <w:spacing w:val="-4"/>
        </w:rPr>
        <w:t xml:space="preserve"> </w:t>
      </w:r>
      <w:r>
        <w:rPr>
          <w:rFonts w:ascii="仿宋" w:eastAsia="仿宋" w:hAnsi="仿宋" w:cs="仿宋"/>
          <w:spacing w:val="19"/>
        </w:rPr>
        <w:t>体重的变化</w:t>
      </w:r>
    </w:p>
    <w:p w:rsidR="00EA40A3" w:rsidRDefault="00E86C16">
      <w:pPr>
        <w:spacing w:before="207" w:line="253" w:lineRule="auto"/>
        <w:ind w:left="69" w:right="18" w:firstLine="430"/>
        <w:jc w:val="both"/>
        <w:rPr>
          <w:rFonts w:ascii="宋体" w:eastAsia="宋体" w:hAnsi="宋体" w:cs="宋体"/>
        </w:rPr>
      </w:pPr>
      <w:r>
        <w:rPr>
          <w:rFonts w:ascii="宋体" w:eastAsia="宋体" w:hAnsi="宋体" w:cs="宋体"/>
          <w:spacing w:val="-3"/>
        </w:rPr>
        <w:t>为保证胎儿及母体的健康，体重的增加对妊娠妇女来说是十分必要的。体重</w:t>
      </w:r>
      <w:r>
        <w:rPr>
          <w:rFonts w:ascii="宋体" w:eastAsia="宋体" w:hAnsi="宋体" w:cs="宋体"/>
          <w:spacing w:val="17"/>
        </w:rPr>
        <w:t xml:space="preserve"> </w:t>
      </w:r>
      <w:r>
        <w:rPr>
          <w:rFonts w:ascii="宋体" w:eastAsia="宋体" w:hAnsi="宋体" w:cs="宋体"/>
          <w:spacing w:val="-8"/>
        </w:rPr>
        <w:t>的增长包括两大部分，</w:t>
      </w:r>
      <w:r>
        <w:rPr>
          <w:rFonts w:ascii="宋体" w:eastAsia="宋体" w:hAnsi="宋体" w:cs="宋体"/>
          <w:spacing w:val="70"/>
        </w:rPr>
        <w:t xml:space="preserve"> </w:t>
      </w:r>
      <w:r>
        <w:rPr>
          <w:rFonts w:ascii="宋体" w:eastAsia="宋体" w:hAnsi="宋体" w:cs="宋体"/>
          <w:spacing w:val="-8"/>
        </w:rPr>
        <w:t>一是妊娠产物，包括胎儿、胎盘和羊水；二是母体组织的</w:t>
      </w:r>
      <w:r>
        <w:rPr>
          <w:rFonts w:ascii="宋体" w:eastAsia="宋体" w:hAnsi="宋体" w:cs="宋体"/>
        </w:rPr>
        <w:t xml:space="preserve"> </w:t>
      </w:r>
      <w:r>
        <w:rPr>
          <w:rFonts w:ascii="宋体" w:eastAsia="宋体" w:hAnsi="宋体" w:cs="宋体"/>
          <w:spacing w:val="-3"/>
        </w:rPr>
        <w:t>增长，包括血液和细胞外液的增加、子宫和乳腺的发育及母体为泌乳而储备的脂</w:t>
      </w:r>
      <w:r>
        <w:rPr>
          <w:rFonts w:ascii="宋体" w:eastAsia="宋体" w:hAnsi="宋体" w:cs="宋体"/>
          <w:spacing w:val="14"/>
        </w:rPr>
        <w:t xml:space="preserve"> </w:t>
      </w:r>
      <w:r>
        <w:rPr>
          <w:rFonts w:ascii="宋体" w:eastAsia="宋体" w:hAnsi="宋体" w:cs="宋体"/>
          <w:spacing w:val="-7"/>
        </w:rPr>
        <w:t>肪组织和其他营养物质。</w:t>
      </w:r>
    </w:p>
    <w:p w:rsidR="00EA40A3" w:rsidRDefault="00E86C16">
      <w:pPr>
        <w:spacing w:before="79" w:line="257" w:lineRule="auto"/>
        <w:ind w:left="69" w:right="20" w:firstLine="430"/>
        <w:jc w:val="both"/>
        <w:rPr>
          <w:rFonts w:ascii="宋体" w:eastAsia="宋体" w:hAnsi="宋体" w:cs="宋体"/>
        </w:rPr>
      </w:pPr>
      <w:r>
        <w:rPr>
          <w:rFonts w:ascii="宋体" w:eastAsia="宋体" w:hAnsi="宋体" w:cs="宋体"/>
          <w:spacing w:val="-3"/>
        </w:rPr>
        <w:t>不同妊娠妇女在妊娠期的适宜增重量应有所不同，可根据妊娠期前的身体特</w:t>
      </w:r>
      <w:r>
        <w:rPr>
          <w:rFonts w:ascii="宋体" w:eastAsia="宋体" w:hAnsi="宋体" w:cs="宋体"/>
          <w:spacing w:val="15"/>
        </w:rPr>
        <w:t xml:space="preserve"> </w:t>
      </w:r>
      <w:r>
        <w:rPr>
          <w:rFonts w:ascii="宋体" w:eastAsia="宋体" w:hAnsi="宋体" w:cs="宋体"/>
          <w:spacing w:val="-7"/>
        </w:rPr>
        <w:t>征指数、自身的营养状态及育有胎儿的数量确定适宜的体重增长值。</w:t>
      </w:r>
      <w:r>
        <w:rPr>
          <w:rFonts w:ascii="宋体" w:eastAsia="宋体" w:hAnsi="宋体" w:cs="宋体"/>
          <w:spacing w:val="49"/>
        </w:rPr>
        <w:t xml:space="preserve"> </w:t>
      </w:r>
      <w:r>
        <w:rPr>
          <w:rFonts w:ascii="宋体" w:eastAsia="宋体" w:hAnsi="宋体" w:cs="宋体"/>
          <w:spacing w:val="-7"/>
        </w:rPr>
        <w:t>一般妊娠前</w:t>
      </w:r>
      <w:r>
        <w:rPr>
          <w:rFonts w:ascii="宋体" w:eastAsia="宋体" w:hAnsi="宋体" w:cs="宋体"/>
        </w:rPr>
        <w:t xml:space="preserve"> </w:t>
      </w:r>
      <w:r>
        <w:rPr>
          <w:rFonts w:ascii="宋体" w:eastAsia="宋体" w:hAnsi="宋体" w:cs="宋体"/>
          <w:spacing w:val="-3"/>
        </w:rPr>
        <w:t>消瘦者妊娠期体重增长值应高于正常体重的妇女，而矮小并超重或肥胖的妇女则</w:t>
      </w:r>
      <w:r>
        <w:rPr>
          <w:rFonts w:ascii="宋体" w:eastAsia="宋体" w:hAnsi="宋体" w:cs="宋体"/>
          <w:spacing w:val="2"/>
        </w:rPr>
        <w:t xml:space="preserve"> </w:t>
      </w:r>
      <w:r>
        <w:rPr>
          <w:rFonts w:ascii="宋体" w:eastAsia="宋体" w:hAnsi="宋体" w:cs="宋体"/>
          <w:spacing w:val="3"/>
        </w:rPr>
        <w:t>较低。对于妊娠前处于健康状态的妇女，若怀有双胞胎，其体重应增加15.7</w:t>
      </w:r>
      <w:r>
        <w:rPr>
          <w:rFonts w:ascii="宋体" w:eastAsia="宋体" w:hAnsi="宋体" w:cs="宋体"/>
          <w:spacing w:val="2"/>
        </w:rPr>
        <w:t>5~</w:t>
      </w:r>
      <w:r>
        <w:rPr>
          <w:rFonts w:ascii="宋体" w:eastAsia="宋体" w:hAnsi="宋体" w:cs="宋体"/>
        </w:rPr>
        <w:t xml:space="preserve"> </w:t>
      </w:r>
      <w:r>
        <w:rPr>
          <w:rFonts w:ascii="宋体" w:eastAsia="宋体" w:hAnsi="宋体" w:cs="宋体"/>
          <w:spacing w:val="-2"/>
        </w:rPr>
        <w:t>20.25kg。</w:t>
      </w:r>
      <w:r>
        <w:rPr>
          <w:rFonts w:ascii="宋体" w:eastAsia="宋体" w:hAnsi="宋体" w:cs="宋体"/>
          <w:spacing w:val="-13"/>
        </w:rPr>
        <w:t xml:space="preserve"> </w:t>
      </w:r>
      <w:r>
        <w:rPr>
          <w:rFonts w:ascii="宋体" w:eastAsia="宋体" w:hAnsi="宋体" w:cs="宋体"/>
          <w:spacing w:val="-2"/>
        </w:rPr>
        <w:t>以体质指数</w:t>
      </w:r>
      <w:r>
        <w:rPr>
          <w:rFonts w:ascii="宋体" w:eastAsia="宋体" w:hAnsi="宋体" w:cs="宋体"/>
          <w:spacing w:val="-25"/>
        </w:rPr>
        <w:t xml:space="preserve"> </w:t>
      </w:r>
      <w:r>
        <w:rPr>
          <w:rFonts w:ascii="宋体" w:eastAsia="宋体" w:hAnsi="宋体" w:cs="宋体"/>
          <w:spacing w:val="-2"/>
        </w:rPr>
        <w:t>(BMI)</w:t>
      </w:r>
      <w:r>
        <w:rPr>
          <w:rFonts w:ascii="宋体" w:eastAsia="宋体" w:hAnsi="宋体" w:cs="宋体"/>
        </w:rPr>
        <w:t xml:space="preserve">  </w:t>
      </w:r>
      <w:r>
        <w:rPr>
          <w:rFonts w:ascii="宋体" w:eastAsia="宋体" w:hAnsi="宋体" w:cs="宋体"/>
          <w:spacing w:val="-2"/>
        </w:rPr>
        <w:t>作为指</w:t>
      </w:r>
      <w:r>
        <w:rPr>
          <w:rFonts w:ascii="宋体" w:eastAsia="宋体" w:hAnsi="宋体" w:cs="宋体"/>
          <w:spacing w:val="-3"/>
        </w:rPr>
        <w:t>标，则不同</w:t>
      </w:r>
      <w:r>
        <w:rPr>
          <w:rFonts w:ascii="宋体" w:eastAsia="宋体" w:hAnsi="宋体" w:cs="宋体"/>
          <w:spacing w:val="-2"/>
        </w:rPr>
        <w:t>BMI</w:t>
      </w:r>
      <w:r>
        <w:rPr>
          <w:rFonts w:ascii="宋体" w:eastAsia="宋体" w:hAnsi="宋体" w:cs="宋体"/>
          <w:spacing w:val="23"/>
        </w:rPr>
        <w:t xml:space="preserve"> </w:t>
      </w:r>
      <w:r>
        <w:rPr>
          <w:rFonts w:ascii="宋体" w:eastAsia="宋体" w:hAnsi="宋体" w:cs="宋体"/>
          <w:spacing w:val="-3"/>
        </w:rPr>
        <w:t>妇女孕期增重的推荐值见</w:t>
      </w:r>
      <w:r>
        <w:rPr>
          <w:rFonts w:ascii="宋体" w:eastAsia="宋体" w:hAnsi="宋体" w:cs="宋体"/>
        </w:rPr>
        <w:t xml:space="preserve"> </w:t>
      </w:r>
      <w:r>
        <w:rPr>
          <w:rFonts w:ascii="宋体" w:eastAsia="宋体" w:hAnsi="宋体" w:cs="宋体"/>
          <w:spacing w:val="-1"/>
        </w:rPr>
        <w:t>表10-1。</w:t>
      </w:r>
    </w:p>
    <w:p w:rsidR="00EA40A3" w:rsidRDefault="00EA40A3">
      <w:pPr>
        <w:spacing w:line="293" w:lineRule="auto"/>
      </w:pPr>
    </w:p>
    <w:p w:rsidR="00EA40A3" w:rsidRDefault="00E86C16">
      <w:pPr>
        <w:spacing w:before="68" w:line="219" w:lineRule="auto"/>
        <w:ind w:left="1422"/>
        <w:rPr>
          <w:rFonts w:ascii="宋体" w:eastAsia="宋体" w:hAnsi="宋体" w:cs="宋体"/>
        </w:rPr>
      </w:pPr>
      <w:r>
        <w:rPr>
          <w:rFonts w:ascii="宋体" w:eastAsia="宋体" w:hAnsi="宋体" w:cs="宋体"/>
          <w:b/>
          <w:bCs/>
          <w:spacing w:val="-19"/>
          <w:w w:val="97"/>
        </w:rPr>
        <w:t>表10-1</w:t>
      </w:r>
      <w:r>
        <w:rPr>
          <w:rFonts w:ascii="宋体" w:eastAsia="宋体" w:hAnsi="宋体" w:cs="宋体"/>
          <w:spacing w:val="61"/>
        </w:rPr>
        <w:t xml:space="preserve"> </w:t>
      </w:r>
      <w:r>
        <w:rPr>
          <w:rFonts w:ascii="宋体" w:eastAsia="宋体" w:hAnsi="宋体" w:cs="宋体"/>
          <w:b/>
          <w:bCs/>
          <w:spacing w:val="-19"/>
          <w:w w:val="97"/>
        </w:rPr>
        <w:t>按妊娠前BMI</w:t>
      </w:r>
      <w:r>
        <w:rPr>
          <w:rFonts w:ascii="宋体" w:eastAsia="宋体" w:hAnsi="宋体" w:cs="宋体"/>
          <w:spacing w:val="-38"/>
        </w:rPr>
        <w:t xml:space="preserve"> </w:t>
      </w:r>
      <w:r>
        <w:rPr>
          <w:rFonts w:ascii="宋体" w:eastAsia="宋体" w:hAnsi="宋体" w:cs="宋体"/>
          <w:b/>
          <w:bCs/>
          <w:spacing w:val="-19"/>
          <w:w w:val="97"/>
        </w:rPr>
        <w:t>推荐的妊娠妇女体重适</w:t>
      </w:r>
      <w:r>
        <w:rPr>
          <w:rFonts w:ascii="宋体" w:eastAsia="宋体" w:hAnsi="宋体" w:cs="宋体"/>
          <w:b/>
          <w:bCs/>
          <w:spacing w:val="-20"/>
          <w:w w:val="97"/>
        </w:rPr>
        <w:t>宜增长范围</w:t>
      </w:r>
    </w:p>
    <w:p w:rsidR="00EA40A3" w:rsidRDefault="00EA40A3">
      <w:pPr>
        <w:spacing w:line="104" w:lineRule="exact"/>
      </w:pPr>
    </w:p>
    <w:p w:rsidR="00EA40A3" w:rsidRDefault="00EA40A3">
      <w:pPr>
        <w:sectPr w:rsidR="00EA40A3">
          <w:footerReference w:type="default" r:id="rId254"/>
          <w:pgSz w:w="9220" w:h="13360"/>
          <w:pgMar w:top="400" w:right="962" w:bottom="1185" w:left="890" w:header="0" w:footer="965" w:gutter="0"/>
          <w:cols w:space="720" w:equalWidth="0">
            <w:col w:w="7368"/>
          </w:cols>
        </w:sectPr>
      </w:pPr>
    </w:p>
    <w:p w:rsidR="00EA40A3" w:rsidRDefault="00E86C16">
      <w:pPr>
        <w:spacing w:before="40" w:line="184" w:lineRule="auto"/>
        <w:ind w:left="919"/>
        <w:rPr>
          <w:rFonts w:ascii="宋体" w:eastAsia="宋体" w:hAnsi="宋体" w:cs="宋体"/>
          <w:sz w:val="16"/>
          <w:szCs w:val="16"/>
        </w:rPr>
      </w:pPr>
      <w:r>
        <w:rPr>
          <w:rFonts w:ascii="宋体" w:eastAsia="宋体" w:hAnsi="宋体" w:cs="宋体"/>
          <w:spacing w:val="-2"/>
          <w:sz w:val="16"/>
          <w:szCs w:val="16"/>
        </w:rPr>
        <w:t>不同妇女</w:t>
      </w:r>
    </w:p>
    <w:p w:rsidR="00EA40A3" w:rsidRDefault="00E86C16">
      <w:pPr>
        <w:spacing w:line="14" w:lineRule="auto"/>
        <w:rPr>
          <w:sz w:val="2"/>
        </w:rPr>
      </w:pPr>
      <w:r>
        <w:rPr>
          <w:sz w:val="2"/>
          <w:szCs w:val="2"/>
        </w:rPr>
        <w:br w:type="column"/>
      </w:r>
    </w:p>
    <w:p w:rsidR="00EA40A3" w:rsidRDefault="00E86C16">
      <w:pPr>
        <w:spacing w:before="30" w:line="182" w:lineRule="auto"/>
        <w:rPr>
          <w:rFonts w:ascii="宋体" w:eastAsia="宋体" w:hAnsi="宋体" w:cs="宋体"/>
          <w:sz w:val="16"/>
          <w:szCs w:val="16"/>
        </w:rPr>
      </w:pPr>
      <w:r>
        <w:rPr>
          <w:rFonts w:ascii="宋体" w:eastAsia="宋体" w:hAnsi="宋体" w:cs="宋体"/>
          <w:spacing w:val="-1"/>
          <w:sz w:val="16"/>
          <w:szCs w:val="16"/>
        </w:rPr>
        <w:t>BMI</w:t>
      </w:r>
    </w:p>
    <w:p w:rsidR="00EA40A3" w:rsidRDefault="00E86C16">
      <w:pPr>
        <w:spacing w:line="14" w:lineRule="auto"/>
        <w:rPr>
          <w:sz w:val="2"/>
        </w:rPr>
      </w:pPr>
      <w:r>
        <w:rPr>
          <w:sz w:val="2"/>
          <w:szCs w:val="2"/>
        </w:rPr>
        <w:br w:type="column"/>
      </w:r>
    </w:p>
    <w:p w:rsidR="00EA40A3" w:rsidRDefault="00E86C16">
      <w:pPr>
        <w:spacing w:before="33" w:line="190" w:lineRule="auto"/>
        <w:rPr>
          <w:rFonts w:ascii="宋体" w:eastAsia="宋体" w:hAnsi="宋体" w:cs="宋体"/>
          <w:sz w:val="16"/>
          <w:szCs w:val="16"/>
        </w:rPr>
      </w:pPr>
      <w:r>
        <w:rPr>
          <w:rFonts w:ascii="宋体" w:eastAsia="宋体" w:hAnsi="宋体" w:cs="宋体"/>
          <w:spacing w:val="-1"/>
          <w:sz w:val="16"/>
          <w:szCs w:val="16"/>
        </w:rPr>
        <w:t>建议增加体重/kg</w:t>
      </w:r>
    </w:p>
    <w:p w:rsidR="00EA40A3" w:rsidRDefault="00EA40A3">
      <w:pPr>
        <w:sectPr w:rsidR="00EA40A3">
          <w:type w:val="continuous"/>
          <w:pgSz w:w="9220" w:h="13360"/>
          <w:pgMar w:top="400" w:right="962" w:bottom="1185" w:left="890" w:header="0" w:footer="965" w:gutter="0"/>
          <w:cols w:num="3" w:space="720" w:equalWidth="0">
            <w:col w:w="3340" w:space="100"/>
            <w:col w:w="1941" w:space="100"/>
            <w:col w:w="1888"/>
          </w:cols>
        </w:sectPr>
      </w:pPr>
    </w:p>
    <w:p w:rsidR="00EA40A3" w:rsidRDefault="00EA40A3">
      <w:pPr>
        <w:spacing w:line="108" w:lineRule="exact"/>
      </w:pPr>
    </w:p>
    <w:p w:rsidR="00EA40A3" w:rsidRDefault="00EA40A3">
      <w:pPr>
        <w:sectPr w:rsidR="00EA40A3">
          <w:type w:val="continuous"/>
          <w:pgSz w:w="9220" w:h="13360"/>
          <w:pgMar w:top="400" w:right="962" w:bottom="1185" w:left="890" w:header="0" w:footer="965" w:gutter="0"/>
          <w:cols w:space="720" w:equalWidth="0">
            <w:col w:w="7368"/>
          </w:cols>
        </w:sectPr>
      </w:pPr>
    </w:p>
    <w:p w:rsidR="00EA40A3" w:rsidRDefault="00E86C16">
      <w:pPr>
        <w:spacing w:before="32" w:line="219" w:lineRule="auto"/>
        <w:ind w:left="840"/>
        <w:rPr>
          <w:rFonts w:ascii="宋体" w:eastAsia="宋体" w:hAnsi="宋体" w:cs="宋体"/>
          <w:sz w:val="16"/>
          <w:szCs w:val="16"/>
        </w:rPr>
      </w:pPr>
      <w:r>
        <w:rPr>
          <w:rFonts w:ascii="宋体" w:eastAsia="宋体" w:hAnsi="宋体" w:cs="宋体"/>
          <w:spacing w:val="-1"/>
          <w:sz w:val="16"/>
          <w:szCs w:val="16"/>
        </w:rPr>
        <w:t>低体重妇女</w:t>
      </w:r>
    </w:p>
    <w:p w:rsidR="00EA40A3" w:rsidRDefault="00E86C16">
      <w:pPr>
        <w:spacing w:before="130" w:line="219" w:lineRule="auto"/>
        <w:ind w:left="780"/>
        <w:rPr>
          <w:rFonts w:ascii="宋体" w:eastAsia="宋体" w:hAnsi="宋体" w:cs="宋体"/>
          <w:sz w:val="16"/>
          <w:szCs w:val="16"/>
        </w:rPr>
      </w:pPr>
      <w:r>
        <w:rPr>
          <w:rFonts w:ascii="宋体" w:eastAsia="宋体" w:hAnsi="宋体" w:cs="宋体"/>
          <w:spacing w:val="-2"/>
          <w:sz w:val="16"/>
          <w:szCs w:val="16"/>
        </w:rPr>
        <w:t>正常体重妇女</w:t>
      </w:r>
    </w:p>
    <w:p w:rsidR="00EA40A3" w:rsidRDefault="00E86C16">
      <w:pPr>
        <w:spacing w:before="120" w:line="219" w:lineRule="auto"/>
        <w:ind w:left="919"/>
        <w:rPr>
          <w:rFonts w:ascii="宋体" w:eastAsia="宋体" w:hAnsi="宋体" w:cs="宋体"/>
          <w:sz w:val="16"/>
          <w:szCs w:val="16"/>
        </w:rPr>
      </w:pPr>
      <w:r>
        <w:rPr>
          <w:rFonts w:ascii="宋体" w:eastAsia="宋体" w:hAnsi="宋体" w:cs="宋体"/>
          <w:spacing w:val="-2"/>
          <w:sz w:val="16"/>
          <w:szCs w:val="16"/>
        </w:rPr>
        <w:t>超重妇女</w:t>
      </w:r>
    </w:p>
    <w:p w:rsidR="00EA40A3" w:rsidRDefault="00E86C16">
      <w:pPr>
        <w:spacing w:before="120" w:line="215" w:lineRule="auto"/>
        <w:ind w:left="919"/>
        <w:rPr>
          <w:rFonts w:ascii="宋体" w:eastAsia="宋体" w:hAnsi="宋体" w:cs="宋体"/>
          <w:sz w:val="16"/>
          <w:szCs w:val="16"/>
        </w:rPr>
      </w:pPr>
      <w:r>
        <w:rPr>
          <w:rFonts w:ascii="宋体" w:eastAsia="宋体" w:hAnsi="宋体" w:cs="宋体"/>
          <w:spacing w:val="-2"/>
          <w:sz w:val="16"/>
          <w:szCs w:val="16"/>
        </w:rPr>
        <w:t>肥胖妇女</w:t>
      </w:r>
    </w:p>
    <w:p w:rsidR="00EA40A3" w:rsidRDefault="00E86C16">
      <w:pPr>
        <w:spacing w:line="14" w:lineRule="auto"/>
        <w:rPr>
          <w:sz w:val="2"/>
        </w:rPr>
      </w:pPr>
      <w:r>
        <w:rPr>
          <w:sz w:val="2"/>
          <w:szCs w:val="2"/>
        </w:rPr>
        <w:br w:type="column"/>
      </w:r>
    </w:p>
    <w:p w:rsidR="00EA40A3" w:rsidRDefault="00E86C16">
      <w:pPr>
        <w:spacing w:before="46" w:line="239" w:lineRule="auto"/>
        <w:ind w:left="149"/>
        <w:rPr>
          <w:rFonts w:ascii="宋体" w:eastAsia="宋体" w:hAnsi="宋体" w:cs="宋体"/>
          <w:sz w:val="16"/>
          <w:szCs w:val="16"/>
        </w:rPr>
      </w:pPr>
      <w:r>
        <w:rPr>
          <w:rFonts w:ascii="宋体" w:eastAsia="宋体" w:hAnsi="宋体" w:cs="宋体"/>
          <w:spacing w:val="-3"/>
          <w:sz w:val="16"/>
          <w:szCs w:val="16"/>
        </w:rPr>
        <w:t>&lt;19.8</w:t>
      </w:r>
    </w:p>
    <w:p w:rsidR="00EA40A3" w:rsidRDefault="00E86C16">
      <w:pPr>
        <w:spacing w:before="148" w:line="311" w:lineRule="exact"/>
        <w:ind w:left="19"/>
        <w:rPr>
          <w:rFonts w:ascii="宋体" w:eastAsia="宋体" w:hAnsi="宋体" w:cs="宋体"/>
          <w:sz w:val="16"/>
          <w:szCs w:val="16"/>
        </w:rPr>
      </w:pPr>
      <w:r>
        <w:rPr>
          <w:rFonts w:ascii="宋体" w:eastAsia="宋体" w:hAnsi="宋体" w:cs="宋体"/>
          <w:spacing w:val="-3"/>
          <w:position w:val="14"/>
          <w:sz w:val="16"/>
          <w:szCs w:val="16"/>
        </w:rPr>
        <w:t>19.8～26.0</w:t>
      </w:r>
    </w:p>
    <w:p w:rsidR="00EA40A3" w:rsidRDefault="00E86C16">
      <w:pPr>
        <w:spacing w:line="183" w:lineRule="auto"/>
        <w:rPr>
          <w:rFonts w:ascii="宋体" w:eastAsia="宋体" w:hAnsi="宋体" w:cs="宋体"/>
          <w:sz w:val="16"/>
          <w:szCs w:val="16"/>
        </w:rPr>
      </w:pPr>
      <w:r>
        <w:rPr>
          <w:rFonts w:ascii="宋体" w:eastAsia="宋体" w:hAnsi="宋体" w:cs="宋体"/>
          <w:spacing w:val="-1"/>
          <w:sz w:val="16"/>
          <w:szCs w:val="16"/>
        </w:rPr>
        <w:t>26.0～29.0</w:t>
      </w:r>
    </w:p>
    <w:p w:rsidR="00EA40A3" w:rsidRDefault="00E86C16">
      <w:pPr>
        <w:spacing w:before="126" w:line="184" w:lineRule="auto"/>
        <w:ind w:left="139"/>
        <w:rPr>
          <w:rFonts w:ascii="宋体" w:eastAsia="宋体" w:hAnsi="宋体" w:cs="宋体"/>
          <w:sz w:val="16"/>
          <w:szCs w:val="16"/>
        </w:rPr>
      </w:pPr>
      <w:r>
        <w:rPr>
          <w:rFonts w:ascii="宋体" w:eastAsia="宋体" w:hAnsi="宋体" w:cs="宋体"/>
          <w:spacing w:val="-3"/>
          <w:sz w:val="16"/>
          <w:szCs w:val="16"/>
        </w:rPr>
        <w:t>&gt;29.0</w:t>
      </w:r>
    </w:p>
    <w:p w:rsidR="00EA40A3" w:rsidRDefault="00E86C16">
      <w:pPr>
        <w:spacing w:line="14" w:lineRule="auto"/>
        <w:rPr>
          <w:sz w:val="2"/>
        </w:rPr>
      </w:pPr>
      <w:r>
        <w:rPr>
          <w:sz w:val="2"/>
          <w:szCs w:val="2"/>
        </w:rPr>
        <w:br w:type="column"/>
      </w:r>
    </w:p>
    <w:p w:rsidR="00EA40A3" w:rsidRDefault="00E86C16">
      <w:pPr>
        <w:spacing w:before="71" w:line="184" w:lineRule="auto"/>
        <w:ind w:left="80"/>
        <w:rPr>
          <w:rFonts w:ascii="宋体" w:eastAsia="宋体" w:hAnsi="宋体" w:cs="宋体"/>
          <w:sz w:val="16"/>
          <w:szCs w:val="16"/>
        </w:rPr>
      </w:pPr>
      <w:r>
        <w:rPr>
          <w:rFonts w:ascii="宋体" w:eastAsia="宋体" w:hAnsi="宋体" w:cs="宋体"/>
          <w:spacing w:val="-3"/>
          <w:sz w:val="16"/>
          <w:szCs w:val="16"/>
        </w:rPr>
        <w:t>12.6～18</w:t>
      </w:r>
    </w:p>
    <w:p w:rsidR="00EA40A3" w:rsidRDefault="00E86C16">
      <w:pPr>
        <w:spacing w:before="171" w:line="310" w:lineRule="exact"/>
        <w:rPr>
          <w:rFonts w:ascii="宋体" w:eastAsia="宋体" w:hAnsi="宋体" w:cs="宋体"/>
          <w:sz w:val="16"/>
          <w:szCs w:val="16"/>
        </w:rPr>
      </w:pPr>
      <w:r>
        <w:rPr>
          <w:rFonts w:ascii="宋体" w:eastAsia="宋体" w:hAnsi="宋体" w:cs="宋体"/>
          <w:spacing w:val="-2"/>
          <w:position w:val="14"/>
          <w:sz w:val="16"/>
          <w:szCs w:val="16"/>
        </w:rPr>
        <w:t>11.25～15.75</w:t>
      </w:r>
    </w:p>
    <w:p w:rsidR="00EA40A3" w:rsidRDefault="00E86C16">
      <w:pPr>
        <w:spacing w:line="183" w:lineRule="auto"/>
        <w:ind w:left="29"/>
        <w:rPr>
          <w:rFonts w:ascii="宋体" w:eastAsia="宋体" w:hAnsi="宋体" w:cs="宋体"/>
          <w:sz w:val="16"/>
          <w:szCs w:val="16"/>
        </w:rPr>
      </w:pPr>
      <w:r>
        <w:rPr>
          <w:rFonts w:ascii="宋体" w:eastAsia="宋体" w:hAnsi="宋体" w:cs="宋体"/>
          <w:spacing w:val="-1"/>
          <w:sz w:val="16"/>
          <w:szCs w:val="16"/>
        </w:rPr>
        <w:t>6.75～11.25</w:t>
      </w:r>
    </w:p>
    <w:p w:rsidR="00EA40A3" w:rsidRDefault="00E86C16">
      <w:pPr>
        <w:spacing w:before="126" w:line="185" w:lineRule="auto"/>
        <w:ind w:left="210"/>
        <w:rPr>
          <w:rFonts w:ascii="宋体" w:eastAsia="宋体" w:hAnsi="宋体" w:cs="宋体"/>
          <w:sz w:val="16"/>
          <w:szCs w:val="16"/>
        </w:rPr>
      </w:pPr>
      <w:r>
        <w:rPr>
          <w:rFonts w:ascii="宋体" w:eastAsia="宋体" w:hAnsi="宋体" w:cs="宋体"/>
          <w:spacing w:val="-5"/>
          <w:sz w:val="16"/>
          <w:szCs w:val="16"/>
        </w:rPr>
        <w:t>≥5.85</w:t>
      </w:r>
    </w:p>
    <w:p w:rsidR="00EA40A3" w:rsidRDefault="00EA40A3">
      <w:pPr>
        <w:sectPr w:rsidR="00EA40A3">
          <w:type w:val="continuous"/>
          <w:pgSz w:w="9220" w:h="13360"/>
          <w:pgMar w:top="400" w:right="962" w:bottom="1185" w:left="890" w:header="0" w:footer="965" w:gutter="0"/>
          <w:cols w:num="3" w:space="720" w:equalWidth="0">
            <w:col w:w="3111" w:space="100"/>
            <w:col w:w="2280" w:space="100"/>
            <w:col w:w="1778"/>
          </w:cols>
        </w:sectPr>
      </w:pPr>
    </w:p>
    <w:p w:rsidR="00EA40A3" w:rsidRDefault="00E86C16">
      <w:pPr>
        <w:spacing w:before="121" w:line="231" w:lineRule="auto"/>
        <w:ind w:left="340" w:right="450" w:firstLine="9"/>
        <w:rPr>
          <w:rFonts w:ascii="宋体" w:eastAsia="宋体" w:hAnsi="宋体" w:cs="宋体"/>
          <w:sz w:val="17"/>
          <w:szCs w:val="17"/>
        </w:rPr>
      </w:pPr>
      <w:r>
        <w:rPr>
          <w:rFonts w:ascii="宋体" w:eastAsia="宋体" w:hAnsi="宋体" w:cs="宋体"/>
          <w:sz w:val="16"/>
          <w:szCs w:val="16"/>
        </w:rPr>
        <w:t>资料来源：塞泽尔FS,惠特尼EN.2004.营养学——概念与争论.王希成译.第八版.北京：清华大</w:t>
      </w:r>
      <w:r>
        <w:rPr>
          <w:rFonts w:ascii="宋体" w:eastAsia="宋体" w:hAnsi="宋体" w:cs="宋体"/>
          <w:spacing w:val="6"/>
          <w:sz w:val="16"/>
          <w:szCs w:val="16"/>
        </w:rPr>
        <w:t xml:space="preserve"> </w:t>
      </w:r>
      <w:r>
        <w:rPr>
          <w:rFonts w:ascii="宋体" w:eastAsia="宋体" w:hAnsi="宋体" w:cs="宋体"/>
          <w:spacing w:val="-10"/>
          <w:sz w:val="17"/>
          <w:szCs w:val="17"/>
        </w:rPr>
        <w:t>学出版社</w:t>
      </w:r>
    </w:p>
    <w:p w:rsidR="00EA40A3" w:rsidRDefault="00EA40A3">
      <w:pPr>
        <w:sectPr w:rsidR="00EA40A3">
          <w:type w:val="continuous"/>
          <w:pgSz w:w="9220" w:h="13360"/>
          <w:pgMar w:top="400" w:right="962" w:bottom="1185" w:left="890" w:header="0" w:footer="965" w:gutter="0"/>
          <w:cols w:space="720" w:equalWidth="0">
            <w:col w:w="7368"/>
          </w:cols>
        </w:sectPr>
      </w:pPr>
    </w:p>
    <w:p w:rsidR="00EA40A3" w:rsidRDefault="00EA40A3">
      <w:pPr>
        <w:spacing w:line="312" w:lineRule="auto"/>
      </w:pPr>
    </w:p>
    <w:p w:rsidR="00EA40A3" w:rsidRDefault="00EA40A3">
      <w:pPr>
        <w:spacing w:line="312" w:lineRule="auto"/>
      </w:pPr>
    </w:p>
    <w:p w:rsidR="00EA40A3" w:rsidRDefault="00E86C16">
      <w:pPr>
        <w:spacing w:before="72" w:line="245" w:lineRule="auto"/>
        <w:ind w:right="78" w:firstLine="440"/>
        <w:jc w:val="both"/>
        <w:rPr>
          <w:rFonts w:ascii="宋体" w:eastAsia="宋体" w:hAnsi="宋体" w:cs="宋体"/>
          <w:sz w:val="22"/>
          <w:szCs w:val="22"/>
        </w:rPr>
      </w:pPr>
      <w:r>
        <w:rPr>
          <w:rFonts w:ascii="宋体" w:eastAsia="宋体" w:hAnsi="宋体" w:cs="宋体"/>
          <w:spacing w:val="-7"/>
          <w:sz w:val="22"/>
          <w:szCs w:val="22"/>
        </w:rPr>
        <w:t>许多流行病学资料显示，孕期体重的增长过多或过少均不利。若体重增长</w:t>
      </w:r>
      <w:r>
        <w:rPr>
          <w:rFonts w:ascii="宋体" w:eastAsia="宋体" w:hAnsi="宋体" w:cs="宋体"/>
          <w:spacing w:val="3"/>
          <w:sz w:val="22"/>
          <w:szCs w:val="22"/>
        </w:rPr>
        <w:t xml:space="preserve"> </w:t>
      </w:r>
      <w:r>
        <w:rPr>
          <w:rFonts w:ascii="宋体" w:eastAsia="宋体" w:hAnsi="宋体" w:cs="宋体"/>
          <w:spacing w:val="-13"/>
          <w:sz w:val="22"/>
          <w:szCs w:val="22"/>
        </w:rPr>
        <w:t>少，可能导致低体重儿，而体重增长过多可能导致巨大儿。体质量增长的速度随</w:t>
      </w:r>
      <w:r>
        <w:rPr>
          <w:rFonts w:ascii="宋体" w:eastAsia="宋体" w:hAnsi="宋体" w:cs="宋体"/>
          <w:spacing w:val="15"/>
          <w:sz w:val="22"/>
          <w:szCs w:val="22"/>
        </w:rPr>
        <w:t xml:space="preserve"> </w:t>
      </w:r>
      <w:r>
        <w:rPr>
          <w:rFonts w:ascii="宋体" w:eastAsia="宋体" w:hAnsi="宋体" w:cs="宋体"/>
          <w:spacing w:val="-9"/>
          <w:sz w:val="22"/>
          <w:szCs w:val="22"/>
        </w:rPr>
        <w:t>妊娠期的进展而不同。妊娠早期体重增加较少，不到2kg,</w:t>
      </w:r>
      <w:r>
        <w:rPr>
          <w:rFonts w:ascii="宋体" w:eastAsia="宋体" w:hAnsi="宋体" w:cs="宋体"/>
          <w:spacing w:val="-4"/>
          <w:sz w:val="22"/>
          <w:szCs w:val="22"/>
        </w:rPr>
        <w:t xml:space="preserve"> </w:t>
      </w:r>
      <w:r>
        <w:rPr>
          <w:rFonts w:ascii="宋体" w:eastAsia="宋体" w:hAnsi="宋体" w:cs="宋体"/>
          <w:spacing w:val="-9"/>
          <w:sz w:val="22"/>
          <w:szCs w:val="22"/>
        </w:rPr>
        <w:t>至妊娠中晚期</w:t>
      </w:r>
      <w:r>
        <w:rPr>
          <w:rFonts w:ascii="宋体" w:eastAsia="宋体" w:hAnsi="宋体" w:cs="宋体"/>
          <w:spacing w:val="-10"/>
          <w:sz w:val="22"/>
          <w:szCs w:val="22"/>
        </w:rPr>
        <w:t>，体重</w:t>
      </w:r>
      <w:r>
        <w:rPr>
          <w:rFonts w:ascii="宋体" w:eastAsia="宋体" w:hAnsi="宋体" w:cs="宋体"/>
          <w:sz w:val="22"/>
          <w:szCs w:val="22"/>
        </w:rPr>
        <w:t xml:space="preserve"> </w:t>
      </w:r>
      <w:r>
        <w:rPr>
          <w:rFonts w:ascii="宋体" w:eastAsia="宋体" w:hAnsi="宋体" w:cs="宋体"/>
          <w:spacing w:val="-13"/>
          <w:sz w:val="22"/>
          <w:szCs w:val="22"/>
        </w:rPr>
        <w:t>呈直线趋势上升。需要注意的是，如果妊娠期间体重突然增加很多则可能是子痫</w:t>
      </w:r>
      <w:r>
        <w:rPr>
          <w:rFonts w:ascii="宋体" w:eastAsia="宋体" w:hAnsi="宋体" w:cs="宋体"/>
          <w:spacing w:val="15"/>
          <w:sz w:val="22"/>
          <w:szCs w:val="22"/>
        </w:rPr>
        <w:t xml:space="preserve"> </w:t>
      </w:r>
      <w:r>
        <w:rPr>
          <w:rFonts w:ascii="宋体" w:eastAsia="宋体" w:hAnsi="宋体" w:cs="宋体"/>
          <w:spacing w:val="-19"/>
          <w:sz w:val="22"/>
          <w:szCs w:val="22"/>
        </w:rPr>
        <w:t>前期开始的征兆。</w:t>
      </w:r>
    </w:p>
    <w:p w:rsidR="00EA40A3" w:rsidRDefault="00E86C16">
      <w:pPr>
        <w:spacing w:before="233" w:line="221" w:lineRule="auto"/>
        <w:ind w:left="3"/>
        <w:outlineLvl w:val="6"/>
        <w:rPr>
          <w:rFonts w:ascii="黑体" w:eastAsia="黑体" w:hAnsi="黑体" w:cs="黑体"/>
          <w:sz w:val="22"/>
          <w:szCs w:val="22"/>
        </w:rPr>
      </w:pPr>
      <w:r>
        <w:rPr>
          <w:rFonts w:ascii="黑体" w:eastAsia="黑体" w:hAnsi="黑体" w:cs="黑体"/>
          <w:b/>
          <w:bCs/>
          <w:spacing w:val="7"/>
          <w:sz w:val="22"/>
          <w:szCs w:val="22"/>
        </w:rPr>
        <w:t>10.1.2</w:t>
      </w:r>
      <w:r>
        <w:rPr>
          <w:rFonts w:ascii="黑体" w:eastAsia="黑体" w:hAnsi="黑体" w:cs="黑体"/>
          <w:spacing w:val="23"/>
          <w:sz w:val="22"/>
          <w:szCs w:val="22"/>
        </w:rPr>
        <w:t xml:space="preserve">   </w:t>
      </w:r>
      <w:r>
        <w:rPr>
          <w:rFonts w:ascii="黑体" w:eastAsia="黑体" w:hAnsi="黑体" w:cs="黑体"/>
          <w:b/>
          <w:bCs/>
          <w:spacing w:val="7"/>
          <w:sz w:val="22"/>
          <w:szCs w:val="22"/>
        </w:rPr>
        <w:t>妊娠期的营养需要</w:t>
      </w:r>
    </w:p>
    <w:p w:rsidR="00EA40A3" w:rsidRDefault="00E86C16">
      <w:pPr>
        <w:spacing w:before="188" w:line="248" w:lineRule="auto"/>
        <w:ind w:firstLine="440"/>
        <w:jc w:val="both"/>
        <w:rPr>
          <w:rFonts w:ascii="宋体" w:eastAsia="宋体" w:hAnsi="宋体" w:cs="宋体"/>
          <w:sz w:val="22"/>
          <w:szCs w:val="22"/>
        </w:rPr>
      </w:pPr>
      <w:r>
        <w:rPr>
          <w:rFonts w:ascii="宋体" w:eastAsia="宋体" w:hAnsi="宋体" w:cs="宋体"/>
          <w:spacing w:val="-13"/>
          <w:sz w:val="22"/>
          <w:szCs w:val="22"/>
        </w:rPr>
        <w:t>妊娠期妇女的营养需要同正常妇女的有着极大的不同，主要由于三方面的原</w:t>
      </w:r>
      <w:r>
        <w:rPr>
          <w:rFonts w:ascii="宋体" w:eastAsia="宋体" w:hAnsi="宋体" w:cs="宋体"/>
          <w:spacing w:val="15"/>
          <w:sz w:val="22"/>
          <w:szCs w:val="22"/>
        </w:rPr>
        <w:t xml:space="preserve"> </w:t>
      </w:r>
      <w:r>
        <w:rPr>
          <w:rFonts w:ascii="宋体" w:eastAsia="宋体" w:hAnsi="宋体" w:cs="宋体"/>
          <w:spacing w:val="-14"/>
          <w:sz w:val="22"/>
          <w:szCs w:val="22"/>
        </w:rPr>
        <w:t>因。</w:t>
      </w:r>
      <w:r>
        <w:rPr>
          <w:rFonts w:ascii="宋体" w:eastAsia="宋体" w:hAnsi="宋体" w:cs="宋体"/>
          <w:spacing w:val="-56"/>
          <w:sz w:val="22"/>
          <w:szCs w:val="22"/>
        </w:rPr>
        <w:t xml:space="preserve"> </w:t>
      </w:r>
      <w:r>
        <w:rPr>
          <w:rFonts w:ascii="宋体" w:eastAsia="宋体" w:hAnsi="宋体" w:cs="宋体"/>
          <w:spacing w:val="-14"/>
          <w:sz w:val="22"/>
          <w:szCs w:val="22"/>
        </w:rPr>
        <w:t>一是妇女自受孕后，体内的正常代谢过程发生了一系列变化，自身对各种</w:t>
      </w:r>
      <w:r>
        <w:rPr>
          <w:rFonts w:ascii="宋体" w:eastAsia="宋体" w:hAnsi="宋体" w:cs="宋体"/>
          <w:spacing w:val="-15"/>
          <w:sz w:val="22"/>
          <w:szCs w:val="22"/>
        </w:rPr>
        <w:t>营</w:t>
      </w:r>
      <w:r>
        <w:rPr>
          <w:rFonts w:ascii="宋体" w:eastAsia="宋体" w:hAnsi="宋体" w:cs="宋体"/>
          <w:sz w:val="22"/>
          <w:szCs w:val="22"/>
        </w:rPr>
        <w:t xml:space="preserve"> </w:t>
      </w:r>
      <w:r>
        <w:rPr>
          <w:rFonts w:ascii="宋体" w:eastAsia="宋体" w:hAnsi="宋体" w:cs="宋体"/>
          <w:spacing w:val="-13"/>
          <w:sz w:val="22"/>
          <w:szCs w:val="22"/>
        </w:rPr>
        <w:t>养素的需要量随之变化；二是由于母体必须为胎儿生长发育提供所需的各种营养</w:t>
      </w:r>
      <w:r>
        <w:rPr>
          <w:rFonts w:ascii="宋体" w:eastAsia="宋体" w:hAnsi="宋体" w:cs="宋体"/>
          <w:spacing w:val="13"/>
          <w:sz w:val="22"/>
          <w:szCs w:val="22"/>
        </w:rPr>
        <w:t xml:space="preserve"> </w:t>
      </w:r>
      <w:r>
        <w:rPr>
          <w:rFonts w:ascii="宋体" w:eastAsia="宋体" w:hAnsi="宋体" w:cs="宋体"/>
          <w:spacing w:val="-13"/>
          <w:sz w:val="22"/>
          <w:szCs w:val="22"/>
        </w:rPr>
        <w:t>物质；三是孕妇还需要为分娩和泌乳在营养物质上进行一定的储备。因此，妊娠</w:t>
      </w:r>
      <w:r>
        <w:rPr>
          <w:rFonts w:ascii="宋体" w:eastAsia="宋体" w:hAnsi="宋体" w:cs="宋体"/>
          <w:spacing w:val="12"/>
          <w:sz w:val="22"/>
          <w:szCs w:val="22"/>
        </w:rPr>
        <w:t xml:space="preserve"> </w:t>
      </w:r>
      <w:r>
        <w:rPr>
          <w:rFonts w:ascii="宋体" w:eastAsia="宋体" w:hAnsi="宋体" w:cs="宋体"/>
          <w:spacing w:val="-13"/>
          <w:sz w:val="22"/>
          <w:szCs w:val="22"/>
        </w:rPr>
        <w:t>期妇女需要比平时更多的营养素。孕期营养不良或营养失调会直接导致胎儿及妊</w:t>
      </w:r>
      <w:r>
        <w:rPr>
          <w:rFonts w:ascii="宋体" w:eastAsia="宋体" w:hAnsi="宋体" w:cs="宋体"/>
          <w:spacing w:val="14"/>
          <w:sz w:val="22"/>
          <w:szCs w:val="22"/>
        </w:rPr>
        <w:t xml:space="preserve"> </w:t>
      </w:r>
      <w:r>
        <w:rPr>
          <w:rFonts w:ascii="宋体" w:eastAsia="宋体" w:hAnsi="宋体" w:cs="宋体"/>
          <w:spacing w:val="-13"/>
          <w:sz w:val="22"/>
          <w:szCs w:val="22"/>
        </w:rPr>
        <w:t>娠妇女的身体健康受到影响，必须调整妊娠妇女的营养与膳食，以适应妊娠期母</w:t>
      </w:r>
      <w:r>
        <w:rPr>
          <w:rFonts w:ascii="宋体" w:eastAsia="宋体" w:hAnsi="宋体" w:cs="宋体"/>
          <w:spacing w:val="13"/>
          <w:sz w:val="22"/>
          <w:szCs w:val="22"/>
        </w:rPr>
        <w:t xml:space="preserve"> </w:t>
      </w:r>
      <w:r>
        <w:rPr>
          <w:rFonts w:ascii="宋体" w:eastAsia="宋体" w:hAnsi="宋体" w:cs="宋体"/>
          <w:spacing w:val="-10"/>
          <w:sz w:val="22"/>
          <w:szCs w:val="22"/>
        </w:rPr>
        <w:t>体的特殊生理和充分满足胎儿生长发育的各种营养素需要</w:t>
      </w:r>
      <w:r>
        <w:rPr>
          <w:rFonts w:ascii="宋体" w:eastAsia="宋体" w:hAnsi="宋体" w:cs="宋体"/>
          <w:spacing w:val="-11"/>
          <w:sz w:val="22"/>
          <w:szCs w:val="22"/>
        </w:rPr>
        <w:t>。在妊娠的不同时期，</w:t>
      </w:r>
      <w:r>
        <w:rPr>
          <w:rFonts w:ascii="宋体" w:eastAsia="宋体" w:hAnsi="宋体" w:cs="宋体"/>
          <w:sz w:val="22"/>
          <w:szCs w:val="22"/>
        </w:rPr>
        <w:t xml:space="preserve"> </w:t>
      </w:r>
      <w:r>
        <w:rPr>
          <w:rFonts w:ascii="宋体" w:eastAsia="宋体" w:hAnsi="宋体" w:cs="宋体"/>
          <w:spacing w:val="-13"/>
          <w:sz w:val="22"/>
          <w:szCs w:val="22"/>
        </w:rPr>
        <w:t>由于胎儿的生长速度及母体对营养的储备不同，对营养的需求</w:t>
      </w:r>
      <w:r>
        <w:rPr>
          <w:rFonts w:ascii="宋体" w:eastAsia="宋体" w:hAnsi="宋体" w:cs="宋体"/>
          <w:spacing w:val="-14"/>
          <w:sz w:val="22"/>
          <w:szCs w:val="22"/>
        </w:rPr>
        <w:t>也不同。</w:t>
      </w:r>
    </w:p>
    <w:p w:rsidR="00EA40A3" w:rsidRDefault="00E86C16">
      <w:pPr>
        <w:spacing w:before="215" w:line="222"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4"/>
          <w:sz w:val="22"/>
          <w:szCs w:val="22"/>
        </w:rPr>
        <w:t xml:space="preserve"> </w:t>
      </w:r>
      <w:r>
        <w:rPr>
          <w:rFonts w:ascii="仿宋" w:eastAsia="仿宋" w:hAnsi="仿宋" w:cs="仿宋"/>
          <w:spacing w:val="-13"/>
          <w:sz w:val="22"/>
          <w:szCs w:val="22"/>
        </w:rPr>
        <w:t>能</w:t>
      </w:r>
      <w:r>
        <w:rPr>
          <w:rFonts w:ascii="仿宋" w:eastAsia="仿宋" w:hAnsi="仿宋" w:cs="仿宋"/>
          <w:spacing w:val="-25"/>
          <w:sz w:val="22"/>
          <w:szCs w:val="22"/>
        </w:rPr>
        <w:t xml:space="preserve"> </w:t>
      </w:r>
      <w:r>
        <w:rPr>
          <w:rFonts w:ascii="仿宋" w:eastAsia="仿宋" w:hAnsi="仿宋" w:cs="仿宋"/>
          <w:spacing w:val="-13"/>
          <w:sz w:val="22"/>
          <w:szCs w:val="22"/>
        </w:rPr>
        <w:t>量</w:t>
      </w:r>
    </w:p>
    <w:p w:rsidR="00EA40A3" w:rsidRDefault="00E86C16">
      <w:pPr>
        <w:spacing w:before="220" w:line="242" w:lineRule="auto"/>
        <w:ind w:right="82" w:firstLine="440"/>
        <w:jc w:val="both"/>
        <w:rPr>
          <w:rFonts w:ascii="宋体" w:eastAsia="宋体" w:hAnsi="宋体" w:cs="宋体"/>
          <w:sz w:val="22"/>
          <w:szCs w:val="22"/>
        </w:rPr>
      </w:pPr>
      <w:r>
        <w:rPr>
          <w:rFonts w:ascii="宋体" w:eastAsia="宋体" w:hAnsi="宋体" w:cs="宋体"/>
          <w:spacing w:val="-14"/>
          <w:sz w:val="22"/>
          <w:szCs w:val="22"/>
        </w:rPr>
        <w:t>妊娠期妇女需要额外的食物能量，主要是用于胎儿生长发育、胎盘和母体组</w:t>
      </w:r>
      <w:r>
        <w:rPr>
          <w:rFonts w:ascii="宋体" w:eastAsia="宋体" w:hAnsi="宋体" w:cs="宋体"/>
          <w:spacing w:val="18"/>
          <w:sz w:val="22"/>
          <w:szCs w:val="22"/>
        </w:rPr>
        <w:t xml:space="preserve"> </w:t>
      </w:r>
      <w:r>
        <w:rPr>
          <w:rFonts w:ascii="宋体" w:eastAsia="宋体" w:hAnsi="宋体" w:cs="宋体"/>
          <w:spacing w:val="-3"/>
          <w:sz w:val="22"/>
          <w:szCs w:val="22"/>
        </w:rPr>
        <w:t>织增长所需。20世纪70年代，根据</w:t>
      </w:r>
      <w:r>
        <w:rPr>
          <w:rFonts w:ascii="宋体" w:eastAsia="宋体" w:hAnsi="宋体" w:cs="宋体"/>
          <w:spacing w:val="-60"/>
          <w:sz w:val="22"/>
          <w:szCs w:val="22"/>
        </w:rPr>
        <w:t xml:space="preserve"> </w:t>
      </w:r>
      <w:r>
        <w:rPr>
          <w:rFonts w:ascii="宋体" w:eastAsia="宋体" w:hAnsi="宋体" w:cs="宋体"/>
          <w:spacing w:val="-3"/>
          <w:sz w:val="22"/>
          <w:szCs w:val="22"/>
        </w:rPr>
        <w:t>Hytten和</w:t>
      </w:r>
      <w:r>
        <w:rPr>
          <w:rFonts w:ascii="宋体" w:eastAsia="宋体" w:hAnsi="宋体" w:cs="宋体"/>
          <w:spacing w:val="-61"/>
          <w:sz w:val="22"/>
          <w:szCs w:val="22"/>
        </w:rPr>
        <w:t xml:space="preserve"> </w:t>
      </w:r>
      <w:r>
        <w:rPr>
          <w:rFonts w:ascii="宋体" w:eastAsia="宋体" w:hAnsi="宋体" w:cs="宋体"/>
          <w:spacing w:val="-3"/>
          <w:sz w:val="22"/>
          <w:szCs w:val="22"/>
        </w:rPr>
        <w:t>Leitch的推算，</w:t>
      </w:r>
      <w:r>
        <w:rPr>
          <w:rFonts w:ascii="宋体" w:eastAsia="宋体" w:hAnsi="宋体" w:cs="宋体"/>
          <w:spacing w:val="-37"/>
          <w:sz w:val="22"/>
          <w:szCs w:val="22"/>
        </w:rPr>
        <w:t xml:space="preserve"> </w:t>
      </w:r>
      <w:r>
        <w:rPr>
          <w:rFonts w:ascii="宋体" w:eastAsia="宋体" w:hAnsi="宋体" w:cs="宋体"/>
          <w:spacing w:val="-3"/>
          <w:sz w:val="22"/>
          <w:szCs w:val="22"/>
        </w:rPr>
        <w:t>WHO</w:t>
      </w:r>
      <w:r>
        <w:rPr>
          <w:rFonts w:ascii="宋体" w:eastAsia="宋体" w:hAnsi="宋体" w:cs="宋体"/>
          <w:spacing w:val="26"/>
          <w:sz w:val="22"/>
          <w:szCs w:val="22"/>
        </w:rPr>
        <w:t xml:space="preserve">  </w:t>
      </w:r>
      <w:r>
        <w:rPr>
          <w:rFonts w:ascii="宋体" w:eastAsia="宋体" w:hAnsi="宋体" w:cs="宋体"/>
          <w:spacing w:val="-3"/>
          <w:sz w:val="22"/>
          <w:szCs w:val="22"/>
        </w:rPr>
        <w:t>曾建议正</w:t>
      </w:r>
      <w:r>
        <w:rPr>
          <w:rFonts w:ascii="宋体" w:eastAsia="宋体" w:hAnsi="宋体" w:cs="宋体"/>
          <w:sz w:val="22"/>
          <w:szCs w:val="22"/>
        </w:rPr>
        <w:t xml:space="preserve"> </w:t>
      </w:r>
      <w:r>
        <w:rPr>
          <w:rFonts w:ascii="宋体" w:eastAsia="宋体" w:hAnsi="宋体" w:cs="宋体"/>
          <w:spacing w:val="-6"/>
          <w:sz w:val="22"/>
          <w:szCs w:val="22"/>
        </w:rPr>
        <w:t>常妇女妊娠期应额外增加能量摄入约3</w:t>
      </w:r>
      <w:r>
        <w:rPr>
          <w:rFonts w:ascii="宋体" w:eastAsia="宋体" w:hAnsi="宋体" w:cs="宋体"/>
          <w:spacing w:val="-7"/>
          <w:sz w:val="22"/>
          <w:szCs w:val="22"/>
        </w:rPr>
        <w:t>3.5</w:t>
      </w:r>
      <w:r>
        <w:rPr>
          <w:rFonts w:ascii="宋体" w:eastAsia="宋体" w:hAnsi="宋体" w:cs="宋体"/>
          <w:spacing w:val="-6"/>
          <w:sz w:val="22"/>
          <w:szCs w:val="22"/>
        </w:rPr>
        <w:t>MJ</w:t>
      </w:r>
      <w:r>
        <w:rPr>
          <w:rFonts w:ascii="宋体" w:eastAsia="宋体" w:hAnsi="宋体" w:cs="宋体"/>
          <w:spacing w:val="-7"/>
          <w:sz w:val="22"/>
          <w:szCs w:val="22"/>
        </w:rPr>
        <w:t>(8000</w:t>
      </w:r>
      <w:r>
        <w:rPr>
          <w:rFonts w:ascii="宋体" w:eastAsia="宋体" w:hAnsi="宋体" w:cs="宋体"/>
          <w:spacing w:val="-6"/>
          <w:sz w:val="22"/>
          <w:szCs w:val="22"/>
        </w:rPr>
        <w:t>kcal</w:t>
      </w:r>
      <w:r>
        <w:rPr>
          <w:rFonts w:ascii="宋体" w:eastAsia="宋体" w:hAnsi="宋体" w:cs="宋体"/>
          <w:spacing w:val="-7"/>
          <w:sz w:val="22"/>
          <w:szCs w:val="22"/>
        </w:rPr>
        <w:t>),</w:t>
      </w:r>
      <w:r>
        <w:rPr>
          <w:rFonts w:ascii="宋体" w:eastAsia="宋体" w:hAnsi="宋体" w:cs="宋体"/>
          <w:spacing w:val="31"/>
          <w:sz w:val="22"/>
          <w:szCs w:val="22"/>
        </w:rPr>
        <w:t xml:space="preserve"> </w:t>
      </w:r>
      <w:r>
        <w:rPr>
          <w:rFonts w:ascii="宋体" w:eastAsia="宋体" w:hAnsi="宋体" w:cs="宋体"/>
          <w:spacing w:val="-7"/>
          <w:sz w:val="22"/>
          <w:szCs w:val="22"/>
        </w:rPr>
        <w:t>且整个妊娠期都需要</w:t>
      </w:r>
      <w:r>
        <w:rPr>
          <w:rFonts w:ascii="宋体" w:eastAsia="宋体" w:hAnsi="宋体" w:cs="宋体"/>
          <w:sz w:val="22"/>
          <w:szCs w:val="22"/>
        </w:rPr>
        <w:t xml:space="preserve"> </w:t>
      </w:r>
      <w:r>
        <w:rPr>
          <w:rFonts w:ascii="宋体" w:eastAsia="宋体" w:hAnsi="宋体" w:cs="宋体"/>
          <w:spacing w:val="2"/>
          <w:sz w:val="22"/>
          <w:szCs w:val="22"/>
        </w:rPr>
        <w:t>增加能量，其中妊娠早期3个月膳食能量供给量增加0.63</w:t>
      </w:r>
      <w:r>
        <w:rPr>
          <w:rFonts w:ascii="宋体" w:eastAsia="宋体" w:hAnsi="宋体" w:cs="宋体"/>
          <w:sz w:val="22"/>
          <w:szCs w:val="22"/>
        </w:rPr>
        <w:t>MJ</w:t>
      </w:r>
      <w:r>
        <w:rPr>
          <w:rFonts w:ascii="宋体" w:eastAsia="宋体" w:hAnsi="宋体" w:cs="宋体"/>
          <w:spacing w:val="2"/>
          <w:sz w:val="22"/>
          <w:szCs w:val="22"/>
        </w:rPr>
        <w:t>/d(150</w:t>
      </w:r>
      <w:r>
        <w:rPr>
          <w:rFonts w:ascii="宋体" w:eastAsia="宋体" w:hAnsi="宋体" w:cs="宋体"/>
          <w:sz w:val="22"/>
          <w:szCs w:val="22"/>
        </w:rPr>
        <w:t>kcal</w:t>
      </w:r>
      <w:r>
        <w:rPr>
          <w:rFonts w:ascii="宋体" w:eastAsia="宋体" w:hAnsi="宋体" w:cs="宋体"/>
          <w:spacing w:val="2"/>
          <w:sz w:val="22"/>
          <w:szCs w:val="22"/>
        </w:rPr>
        <w:t>/d),</w:t>
      </w:r>
    </w:p>
    <w:p w:rsidR="00EA40A3" w:rsidRDefault="00E86C16">
      <w:pPr>
        <w:spacing w:before="43" w:line="218" w:lineRule="auto"/>
        <w:rPr>
          <w:rFonts w:ascii="宋体" w:eastAsia="宋体" w:hAnsi="宋体" w:cs="宋体"/>
          <w:sz w:val="22"/>
          <w:szCs w:val="22"/>
        </w:rPr>
      </w:pPr>
      <w:r>
        <w:rPr>
          <w:rFonts w:ascii="宋体" w:eastAsia="宋体" w:hAnsi="宋体" w:cs="宋体"/>
          <w:sz w:val="22"/>
          <w:szCs w:val="22"/>
        </w:rPr>
        <w:t>4～9月增加1.46MJ/d(350kcal/d)。1985年</w:t>
      </w:r>
      <w:r>
        <w:rPr>
          <w:rFonts w:ascii="宋体" w:eastAsia="宋体" w:hAnsi="宋体" w:cs="宋体"/>
          <w:spacing w:val="-33"/>
          <w:sz w:val="22"/>
          <w:szCs w:val="22"/>
        </w:rPr>
        <w:t xml:space="preserve"> </w:t>
      </w:r>
      <w:r>
        <w:rPr>
          <w:rFonts w:ascii="宋体" w:eastAsia="宋体" w:hAnsi="宋体" w:cs="宋体"/>
          <w:sz w:val="22"/>
          <w:szCs w:val="22"/>
        </w:rPr>
        <w:t>FAO/WHO</w:t>
      </w:r>
      <w:r>
        <w:rPr>
          <w:rFonts w:ascii="宋体" w:eastAsia="宋体" w:hAnsi="宋体" w:cs="宋体"/>
          <w:spacing w:val="11"/>
          <w:sz w:val="22"/>
          <w:szCs w:val="22"/>
        </w:rPr>
        <w:t xml:space="preserve">   </w:t>
      </w:r>
      <w:r>
        <w:rPr>
          <w:rFonts w:ascii="宋体" w:eastAsia="宋体" w:hAnsi="宋体" w:cs="宋体"/>
          <w:sz w:val="22"/>
          <w:szCs w:val="22"/>
        </w:rPr>
        <w:t>联合专家委员会对上</w:t>
      </w:r>
    </w:p>
    <w:p w:rsidR="00EA40A3" w:rsidRDefault="00E86C16">
      <w:pPr>
        <w:spacing w:before="42" w:line="247" w:lineRule="auto"/>
        <w:ind w:right="71"/>
        <w:jc w:val="both"/>
        <w:rPr>
          <w:rFonts w:ascii="宋体" w:eastAsia="宋体" w:hAnsi="宋体" w:cs="宋体"/>
          <w:sz w:val="22"/>
          <w:szCs w:val="22"/>
        </w:rPr>
      </w:pPr>
      <w:r>
        <w:rPr>
          <w:rFonts w:ascii="宋体" w:eastAsia="宋体" w:hAnsi="宋体" w:cs="宋体"/>
          <w:spacing w:val="-1"/>
          <w:sz w:val="22"/>
          <w:szCs w:val="22"/>
        </w:rPr>
        <w:t>述建议值进行了修改，建议妊娠期膳食能量供</w:t>
      </w:r>
      <w:r>
        <w:rPr>
          <w:rFonts w:ascii="宋体" w:eastAsia="宋体" w:hAnsi="宋体" w:cs="宋体"/>
          <w:spacing w:val="-2"/>
          <w:sz w:val="22"/>
          <w:szCs w:val="22"/>
        </w:rPr>
        <w:t>给量比非妊娠期增加1.05</w:t>
      </w:r>
      <w:r>
        <w:rPr>
          <w:rFonts w:ascii="宋体" w:eastAsia="宋体" w:hAnsi="宋体" w:cs="宋体"/>
          <w:spacing w:val="-1"/>
          <w:sz w:val="22"/>
          <w:szCs w:val="22"/>
        </w:rPr>
        <w:t>MJ</w:t>
      </w:r>
      <w:r>
        <w:rPr>
          <w:rFonts w:ascii="宋体" w:eastAsia="宋体" w:hAnsi="宋体" w:cs="宋体"/>
          <w:spacing w:val="-2"/>
          <w:sz w:val="22"/>
          <w:szCs w:val="22"/>
        </w:rPr>
        <w:t>/d</w:t>
      </w:r>
      <w:r>
        <w:rPr>
          <w:rFonts w:ascii="宋体" w:eastAsia="宋体" w:hAnsi="宋体" w:cs="宋体"/>
          <w:sz w:val="22"/>
          <w:szCs w:val="22"/>
        </w:rPr>
        <w:t xml:space="preserve"> </w:t>
      </w:r>
      <w:r>
        <w:rPr>
          <w:rFonts w:ascii="宋体" w:eastAsia="宋体" w:hAnsi="宋体" w:cs="宋体"/>
          <w:spacing w:val="2"/>
          <w:sz w:val="22"/>
          <w:szCs w:val="22"/>
        </w:rPr>
        <w:t>(250</w:t>
      </w:r>
      <w:r>
        <w:rPr>
          <w:rFonts w:ascii="宋体" w:eastAsia="宋体" w:hAnsi="宋体" w:cs="宋体"/>
          <w:sz w:val="22"/>
          <w:szCs w:val="22"/>
        </w:rPr>
        <w:t>kcal</w:t>
      </w:r>
      <w:r>
        <w:rPr>
          <w:rFonts w:ascii="宋体" w:eastAsia="宋体" w:hAnsi="宋体" w:cs="宋体"/>
          <w:spacing w:val="2"/>
          <w:sz w:val="22"/>
          <w:szCs w:val="22"/>
        </w:rPr>
        <w:t>/d),体力活动量少者为0.84</w:t>
      </w:r>
      <w:r>
        <w:rPr>
          <w:rFonts w:ascii="宋体" w:eastAsia="宋体" w:hAnsi="宋体" w:cs="宋体"/>
          <w:sz w:val="22"/>
          <w:szCs w:val="22"/>
        </w:rPr>
        <w:t>MJ</w:t>
      </w:r>
      <w:r>
        <w:rPr>
          <w:rFonts w:ascii="宋体" w:eastAsia="宋体" w:hAnsi="宋体" w:cs="宋体"/>
          <w:spacing w:val="2"/>
          <w:sz w:val="22"/>
          <w:szCs w:val="22"/>
        </w:rPr>
        <w:t>/d(200</w:t>
      </w:r>
      <w:r>
        <w:rPr>
          <w:rFonts w:ascii="宋体" w:eastAsia="宋体" w:hAnsi="宋体" w:cs="宋体"/>
          <w:sz w:val="22"/>
          <w:szCs w:val="22"/>
        </w:rPr>
        <w:t>kcal</w:t>
      </w:r>
      <w:r>
        <w:rPr>
          <w:rFonts w:ascii="宋体" w:eastAsia="宋体" w:hAnsi="宋体" w:cs="宋体"/>
          <w:spacing w:val="2"/>
          <w:sz w:val="22"/>
          <w:szCs w:val="22"/>
        </w:rPr>
        <w:t>/</w:t>
      </w:r>
      <w:r>
        <w:rPr>
          <w:rFonts w:ascii="宋体" w:eastAsia="宋体" w:hAnsi="宋体" w:cs="宋体"/>
          <w:spacing w:val="1"/>
          <w:sz w:val="22"/>
          <w:szCs w:val="22"/>
        </w:rPr>
        <w:t>d),</w:t>
      </w:r>
      <w:r>
        <w:rPr>
          <w:rFonts w:ascii="宋体" w:eastAsia="宋体" w:hAnsi="宋体" w:cs="宋体"/>
          <w:spacing w:val="51"/>
          <w:sz w:val="22"/>
          <w:szCs w:val="22"/>
        </w:rPr>
        <w:t xml:space="preserve"> </w:t>
      </w:r>
      <w:r>
        <w:rPr>
          <w:rFonts w:ascii="宋体" w:eastAsia="宋体" w:hAnsi="宋体" w:cs="宋体"/>
          <w:spacing w:val="1"/>
          <w:sz w:val="22"/>
          <w:szCs w:val="22"/>
        </w:rPr>
        <w:t>并且仅从妊娠期的</w:t>
      </w:r>
      <w:r>
        <w:rPr>
          <w:rFonts w:ascii="宋体" w:eastAsia="宋体" w:hAnsi="宋体" w:cs="宋体"/>
          <w:sz w:val="22"/>
          <w:szCs w:val="22"/>
        </w:rPr>
        <w:t xml:space="preserve"> </w:t>
      </w:r>
      <w:r>
        <w:rPr>
          <w:rFonts w:ascii="宋体" w:eastAsia="宋体" w:hAnsi="宋体" w:cs="宋体"/>
          <w:spacing w:val="-6"/>
          <w:sz w:val="22"/>
          <w:szCs w:val="22"/>
        </w:rPr>
        <w:t>中、晚期开始，即妊娠早期无需额外能量的增加。中国营养学会2000年修订的</w:t>
      </w:r>
      <w:r>
        <w:rPr>
          <w:rFonts w:ascii="宋体" w:eastAsia="宋体" w:hAnsi="宋体" w:cs="宋体"/>
          <w:spacing w:val="1"/>
          <w:sz w:val="22"/>
          <w:szCs w:val="22"/>
        </w:rPr>
        <w:t xml:space="preserve"> </w:t>
      </w:r>
      <w:r>
        <w:rPr>
          <w:rFonts w:ascii="宋体" w:eastAsia="宋体" w:hAnsi="宋体" w:cs="宋体"/>
          <w:spacing w:val="-10"/>
          <w:sz w:val="22"/>
          <w:szCs w:val="22"/>
        </w:rPr>
        <w:t>膳食参考摄入量</w:t>
      </w:r>
      <w:r>
        <w:rPr>
          <w:rFonts w:ascii="宋体" w:eastAsia="宋体" w:hAnsi="宋体" w:cs="宋体"/>
          <w:spacing w:val="-25"/>
          <w:sz w:val="22"/>
          <w:szCs w:val="22"/>
        </w:rPr>
        <w:t xml:space="preserve"> </w:t>
      </w:r>
      <w:r>
        <w:rPr>
          <w:rFonts w:ascii="宋体" w:eastAsia="宋体" w:hAnsi="宋体" w:cs="宋体"/>
          <w:spacing w:val="-10"/>
          <w:sz w:val="22"/>
          <w:szCs w:val="22"/>
        </w:rPr>
        <w:t>(DRI)</w:t>
      </w:r>
      <w:r>
        <w:rPr>
          <w:rFonts w:ascii="宋体" w:eastAsia="宋体" w:hAnsi="宋体" w:cs="宋体"/>
          <w:spacing w:val="58"/>
          <w:sz w:val="22"/>
          <w:szCs w:val="22"/>
        </w:rPr>
        <w:t xml:space="preserve"> </w:t>
      </w:r>
      <w:r>
        <w:rPr>
          <w:rFonts w:ascii="宋体" w:eastAsia="宋体" w:hAnsi="宋体" w:cs="宋体"/>
          <w:spacing w:val="-10"/>
          <w:sz w:val="22"/>
          <w:szCs w:val="22"/>
        </w:rPr>
        <w:t>建议中国妇女在正常情况下，膳食能量的摄入自孕中期</w:t>
      </w:r>
      <w:r>
        <w:rPr>
          <w:rFonts w:ascii="宋体" w:eastAsia="宋体" w:hAnsi="宋体" w:cs="宋体"/>
          <w:sz w:val="22"/>
          <w:szCs w:val="22"/>
        </w:rPr>
        <w:t xml:space="preserve"> </w:t>
      </w:r>
      <w:r>
        <w:rPr>
          <w:rFonts w:ascii="宋体" w:eastAsia="宋体" w:hAnsi="宋体" w:cs="宋体"/>
          <w:spacing w:val="-4"/>
          <w:sz w:val="22"/>
          <w:szCs w:val="22"/>
        </w:rPr>
        <w:t>(妊娠4个月)开始较非孕期增加83</w:t>
      </w:r>
      <w:r>
        <w:rPr>
          <w:rFonts w:ascii="宋体" w:eastAsia="宋体" w:hAnsi="宋体" w:cs="宋体"/>
          <w:spacing w:val="-5"/>
          <w:sz w:val="22"/>
          <w:szCs w:val="22"/>
        </w:rPr>
        <w:t>6.8</w:t>
      </w:r>
      <w:r>
        <w:rPr>
          <w:rFonts w:ascii="宋体" w:eastAsia="宋体" w:hAnsi="宋体" w:cs="宋体"/>
          <w:spacing w:val="-4"/>
          <w:sz w:val="22"/>
          <w:szCs w:val="22"/>
        </w:rPr>
        <w:t>kJ</w:t>
      </w:r>
      <w:r>
        <w:rPr>
          <w:rFonts w:ascii="宋体" w:eastAsia="宋体" w:hAnsi="宋体" w:cs="宋体"/>
          <w:spacing w:val="-5"/>
          <w:sz w:val="22"/>
          <w:szCs w:val="22"/>
        </w:rPr>
        <w:t>/d(200</w:t>
      </w:r>
      <w:r>
        <w:rPr>
          <w:rFonts w:ascii="宋体" w:eastAsia="宋体" w:hAnsi="宋体" w:cs="宋体"/>
          <w:spacing w:val="-4"/>
          <w:sz w:val="22"/>
          <w:szCs w:val="22"/>
        </w:rPr>
        <w:t>kcal</w:t>
      </w:r>
      <w:r>
        <w:rPr>
          <w:rFonts w:ascii="宋体" w:eastAsia="宋体" w:hAnsi="宋体" w:cs="宋体"/>
          <w:spacing w:val="-5"/>
          <w:sz w:val="22"/>
          <w:szCs w:val="22"/>
        </w:rPr>
        <w:t>/d)。</w:t>
      </w:r>
      <w:r>
        <w:rPr>
          <w:rFonts w:ascii="宋体" w:eastAsia="宋体" w:hAnsi="宋体" w:cs="宋体"/>
          <w:spacing w:val="-10"/>
          <w:sz w:val="22"/>
          <w:szCs w:val="22"/>
        </w:rPr>
        <w:t xml:space="preserve"> </w:t>
      </w:r>
      <w:r>
        <w:rPr>
          <w:rFonts w:ascii="宋体" w:eastAsia="宋体" w:hAnsi="宋体" w:cs="宋体"/>
          <w:spacing w:val="-5"/>
          <w:sz w:val="22"/>
          <w:szCs w:val="22"/>
        </w:rPr>
        <w:t>如果妊娠妇女为青少</w:t>
      </w:r>
      <w:r>
        <w:rPr>
          <w:rFonts w:ascii="宋体" w:eastAsia="宋体" w:hAnsi="宋体" w:cs="宋体"/>
          <w:sz w:val="22"/>
          <w:szCs w:val="22"/>
        </w:rPr>
        <w:t xml:space="preserve"> </w:t>
      </w:r>
      <w:r>
        <w:rPr>
          <w:rFonts w:ascii="宋体" w:eastAsia="宋体" w:hAnsi="宋体" w:cs="宋体"/>
          <w:spacing w:val="-13"/>
          <w:sz w:val="22"/>
          <w:szCs w:val="22"/>
        </w:rPr>
        <w:t>年女性、低体重妇女及体力劳动者，因自身组织构建过程中蛋白质合成所需及额</w:t>
      </w:r>
      <w:r>
        <w:rPr>
          <w:rFonts w:ascii="宋体" w:eastAsia="宋体" w:hAnsi="宋体" w:cs="宋体"/>
          <w:spacing w:val="12"/>
          <w:sz w:val="22"/>
          <w:szCs w:val="22"/>
        </w:rPr>
        <w:t xml:space="preserve"> </w:t>
      </w:r>
      <w:r>
        <w:rPr>
          <w:rFonts w:ascii="宋体" w:eastAsia="宋体" w:hAnsi="宋体" w:cs="宋体"/>
          <w:spacing w:val="-14"/>
          <w:sz w:val="22"/>
          <w:szCs w:val="22"/>
        </w:rPr>
        <w:t>外的体力消耗，其妊娠期膳食能量供给量较正常孕妇需适当增加。</w:t>
      </w:r>
    </w:p>
    <w:p w:rsidR="00EA40A3" w:rsidRDefault="00E86C16">
      <w:pPr>
        <w:spacing w:before="241" w:line="224"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39"/>
          <w:sz w:val="22"/>
          <w:szCs w:val="22"/>
        </w:rPr>
        <w:t xml:space="preserve"> </w:t>
      </w:r>
      <w:r>
        <w:rPr>
          <w:rFonts w:ascii="仿宋" w:eastAsia="仿宋" w:hAnsi="仿宋" w:cs="仿宋"/>
          <w:spacing w:val="10"/>
          <w:sz w:val="22"/>
          <w:szCs w:val="22"/>
        </w:rPr>
        <w:t>蛋白质</w:t>
      </w:r>
    </w:p>
    <w:p w:rsidR="00EA40A3" w:rsidRDefault="00E86C16">
      <w:pPr>
        <w:spacing w:before="202" w:line="243" w:lineRule="auto"/>
        <w:ind w:right="73" w:firstLine="440"/>
        <w:jc w:val="both"/>
        <w:rPr>
          <w:rFonts w:ascii="宋体" w:eastAsia="宋体" w:hAnsi="宋体" w:cs="宋体"/>
          <w:sz w:val="22"/>
          <w:szCs w:val="22"/>
        </w:rPr>
      </w:pPr>
      <w:r>
        <w:rPr>
          <w:rFonts w:ascii="宋体" w:eastAsia="宋体" w:hAnsi="宋体" w:cs="宋体"/>
          <w:spacing w:val="-13"/>
          <w:sz w:val="22"/>
          <w:szCs w:val="22"/>
        </w:rPr>
        <w:t>从妊娠早期开始，母体氮代谢就开始发生适应</w:t>
      </w:r>
      <w:r>
        <w:rPr>
          <w:rFonts w:ascii="宋体" w:eastAsia="宋体" w:hAnsi="宋体" w:cs="宋体"/>
          <w:spacing w:val="-14"/>
          <w:sz w:val="22"/>
          <w:szCs w:val="22"/>
        </w:rPr>
        <w:t>性的改变，如尿素的产生和排</w:t>
      </w:r>
      <w:r>
        <w:rPr>
          <w:rFonts w:ascii="宋体" w:eastAsia="宋体" w:hAnsi="宋体" w:cs="宋体"/>
          <w:sz w:val="22"/>
          <w:szCs w:val="22"/>
        </w:rPr>
        <w:t xml:space="preserve"> </w:t>
      </w:r>
      <w:r>
        <w:rPr>
          <w:rFonts w:ascii="宋体" w:eastAsia="宋体" w:hAnsi="宋体" w:cs="宋体"/>
          <w:spacing w:val="-9"/>
          <w:sz w:val="22"/>
          <w:szCs w:val="22"/>
        </w:rPr>
        <w:t>泄降低、血浆α-氨基氮含量降低、体内支链氨基酸的转氨</w:t>
      </w:r>
      <w:r>
        <w:rPr>
          <w:rFonts w:ascii="宋体" w:eastAsia="宋体" w:hAnsi="宋体" w:cs="宋体"/>
          <w:spacing w:val="-10"/>
          <w:sz w:val="22"/>
          <w:szCs w:val="22"/>
        </w:rPr>
        <w:t>基作用减缓等，目的</w:t>
      </w:r>
      <w:r>
        <w:rPr>
          <w:rFonts w:ascii="宋体" w:eastAsia="宋体" w:hAnsi="宋体" w:cs="宋体"/>
          <w:sz w:val="22"/>
          <w:szCs w:val="22"/>
        </w:rPr>
        <w:t xml:space="preserve"> </w:t>
      </w:r>
      <w:r>
        <w:rPr>
          <w:rFonts w:ascii="宋体" w:eastAsia="宋体" w:hAnsi="宋体" w:cs="宋体"/>
          <w:spacing w:val="-13"/>
          <w:sz w:val="22"/>
          <w:szCs w:val="22"/>
        </w:rPr>
        <w:t>是储留更多的氮。妊娠期间，为了满足母体子宫、胎盘和乳房等发育的需要以及</w:t>
      </w:r>
      <w:r>
        <w:rPr>
          <w:rFonts w:ascii="宋体" w:eastAsia="宋体" w:hAnsi="宋体" w:cs="宋体"/>
          <w:spacing w:val="15"/>
          <w:sz w:val="22"/>
          <w:szCs w:val="22"/>
        </w:rPr>
        <w:t xml:space="preserve"> </w:t>
      </w:r>
      <w:r>
        <w:rPr>
          <w:rFonts w:ascii="宋体" w:eastAsia="宋体" w:hAnsi="宋体" w:cs="宋体"/>
          <w:sz w:val="22"/>
          <w:szCs w:val="22"/>
        </w:rPr>
        <w:t>胎儿生长发育的需要，蛋白质的需要额外增加总量约925g,</w:t>
      </w:r>
      <w:r>
        <w:rPr>
          <w:rFonts w:ascii="宋体" w:eastAsia="宋体" w:hAnsi="宋体" w:cs="宋体"/>
          <w:spacing w:val="-8"/>
          <w:sz w:val="22"/>
          <w:szCs w:val="22"/>
        </w:rPr>
        <w:t xml:space="preserve"> </w:t>
      </w:r>
      <w:r>
        <w:rPr>
          <w:rFonts w:ascii="宋体" w:eastAsia="宋体" w:hAnsi="宋体" w:cs="宋体"/>
          <w:sz w:val="22"/>
          <w:szCs w:val="22"/>
        </w:rPr>
        <w:t>其中胎儿体</w:t>
      </w:r>
      <w:r>
        <w:rPr>
          <w:rFonts w:ascii="宋体" w:eastAsia="宋体" w:hAnsi="宋体" w:cs="宋体"/>
          <w:spacing w:val="-1"/>
          <w:sz w:val="22"/>
          <w:szCs w:val="22"/>
        </w:rPr>
        <w:t>内约</w:t>
      </w:r>
      <w:r>
        <w:rPr>
          <w:rFonts w:ascii="宋体" w:eastAsia="宋体" w:hAnsi="宋体" w:cs="宋体"/>
          <w:sz w:val="22"/>
          <w:szCs w:val="22"/>
        </w:rPr>
        <w:t xml:space="preserve"> </w:t>
      </w:r>
      <w:r>
        <w:rPr>
          <w:rFonts w:ascii="宋体" w:eastAsia="宋体" w:hAnsi="宋体" w:cs="宋体"/>
          <w:spacing w:val="2"/>
          <w:sz w:val="22"/>
          <w:szCs w:val="22"/>
        </w:rPr>
        <w:t>440g,</w:t>
      </w:r>
      <w:r>
        <w:rPr>
          <w:rFonts w:ascii="宋体" w:eastAsia="宋体" w:hAnsi="宋体" w:cs="宋体"/>
          <w:spacing w:val="-26"/>
          <w:sz w:val="22"/>
          <w:szCs w:val="22"/>
        </w:rPr>
        <w:t xml:space="preserve"> </w:t>
      </w:r>
      <w:r>
        <w:rPr>
          <w:rFonts w:ascii="宋体" w:eastAsia="宋体" w:hAnsi="宋体" w:cs="宋体"/>
          <w:spacing w:val="2"/>
          <w:sz w:val="22"/>
          <w:szCs w:val="22"/>
        </w:rPr>
        <w:t>胎盘100g,</w:t>
      </w:r>
      <w:r>
        <w:rPr>
          <w:rFonts w:ascii="宋体" w:eastAsia="宋体" w:hAnsi="宋体" w:cs="宋体"/>
          <w:spacing w:val="-18"/>
          <w:sz w:val="22"/>
          <w:szCs w:val="22"/>
        </w:rPr>
        <w:t xml:space="preserve"> </w:t>
      </w:r>
      <w:r>
        <w:rPr>
          <w:rFonts w:ascii="宋体" w:eastAsia="宋体" w:hAnsi="宋体" w:cs="宋体"/>
          <w:spacing w:val="2"/>
          <w:sz w:val="22"/>
          <w:szCs w:val="22"/>
        </w:rPr>
        <w:t>羊水3g,</w:t>
      </w:r>
      <w:r>
        <w:rPr>
          <w:rFonts w:ascii="宋体" w:eastAsia="宋体" w:hAnsi="宋体" w:cs="宋体"/>
          <w:spacing w:val="-28"/>
          <w:sz w:val="22"/>
          <w:szCs w:val="22"/>
        </w:rPr>
        <w:t xml:space="preserve"> </w:t>
      </w:r>
      <w:r>
        <w:rPr>
          <w:rFonts w:ascii="宋体" w:eastAsia="宋体" w:hAnsi="宋体" w:cs="宋体"/>
          <w:spacing w:val="2"/>
          <w:sz w:val="22"/>
          <w:szCs w:val="22"/>
        </w:rPr>
        <w:t>子宫166g,</w:t>
      </w:r>
      <w:r>
        <w:rPr>
          <w:rFonts w:ascii="宋体" w:eastAsia="宋体" w:hAnsi="宋体" w:cs="宋体"/>
          <w:spacing w:val="-28"/>
          <w:sz w:val="22"/>
          <w:szCs w:val="22"/>
        </w:rPr>
        <w:t xml:space="preserve"> </w:t>
      </w:r>
      <w:r>
        <w:rPr>
          <w:rFonts w:ascii="宋体" w:eastAsia="宋体" w:hAnsi="宋体" w:cs="宋体"/>
          <w:spacing w:val="2"/>
          <w:sz w:val="22"/>
          <w:szCs w:val="22"/>
        </w:rPr>
        <w:t>乳腺81g,</w:t>
      </w:r>
      <w:r>
        <w:rPr>
          <w:rFonts w:ascii="宋体" w:eastAsia="宋体" w:hAnsi="宋体" w:cs="宋体"/>
          <w:spacing w:val="-8"/>
          <w:sz w:val="22"/>
          <w:szCs w:val="22"/>
        </w:rPr>
        <w:t xml:space="preserve"> </w:t>
      </w:r>
      <w:r>
        <w:rPr>
          <w:rFonts w:ascii="宋体" w:eastAsia="宋体" w:hAnsi="宋体" w:cs="宋体"/>
          <w:spacing w:val="2"/>
          <w:sz w:val="22"/>
          <w:szCs w:val="22"/>
        </w:rPr>
        <w:t>血液135g。</w:t>
      </w:r>
    </w:p>
    <w:p w:rsidR="00EA40A3" w:rsidRDefault="00E86C16">
      <w:pPr>
        <w:spacing w:before="68"/>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300</w:t>
      </w:r>
      <w:r>
        <w:rPr>
          <w:rFonts w:ascii="宋体" w:eastAsia="宋体" w:hAnsi="宋体" w:cs="宋体"/>
          <w:spacing w:val="47"/>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255"/>
          <w:pgSz w:w="9220" w:h="13360"/>
          <w:pgMar w:top="400" w:right="1090" w:bottom="400" w:left="789" w:header="0" w:footer="0" w:gutter="0"/>
          <w:cols w:space="720"/>
        </w:sectPr>
      </w:pPr>
    </w:p>
    <w:p w:rsidR="00EA40A3" w:rsidRDefault="00EA40A3">
      <w:pPr>
        <w:spacing w:line="257" w:lineRule="auto"/>
      </w:pPr>
    </w:p>
    <w:p w:rsidR="00EA40A3" w:rsidRDefault="00EA40A3">
      <w:pPr>
        <w:spacing w:line="257" w:lineRule="auto"/>
      </w:pPr>
    </w:p>
    <w:p w:rsidR="00EA40A3" w:rsidRDefault="00E86C16">
      <w:pPr>
        <w:spacing w:before="72" w:line="238" w:lineRule="auto"/>
        <w:ind w:right="59" w:firstLine="439"/>
        <w:rPr>
          <w:rFonts w:ascii="宋体" w:eastAsia="宋体" w:hAnsi="宋体" w:cs="宋体"/>
          <w:sz w:val="22"/>
          <w:szCs w:val="22"/>
        </w:rPr>
      </w:pPr>
      <w:bookmarkStart w:id="75" w:name="_bookmark79"/>
      <w:bookmarkEnd w:id="75"/>
      <w:r>
        <w:rPr>
          <w:rFonts w:ascii="宋体" w:eastAsia="宋体" w:hAnsi="宋体" w:cs="宋体"/>
          <w:spacing w:val="-5"/>
          <w:sz w:val="22"/>
          <w:szCs w:val="22"/>
        </w:rPr>
        <w:t>2000年中国营养学会在《中国居民膳食营养素参考</w:t>
      </w:r>
      <w:r>
        <w:rPr>
          <w:rFonts w:ascii="宋体" w:eastAsia="宋体" w:hAnsi="宋体" w:cs="宋体"/>
          <w:spacing w:val="-6"/>
          <w:sz w:val="22"/>
          <w:szCs w:val="22"/>
        </w:rPr>
        <w:t>摄入量》中建议和推荐</w:t>
      </w:r>
      <w:r>
        <w:rPr>
          <w:rFonts w:ascii="宋体" w:eastAsia="宋体" w:hAnsi="宋体" w:cs="宋体"/>
          <w:sz w:val="22"/>
          <w:szCs w:val="22"/>
        </w:rPr>
        <w:t xml:space="preserve"> </w:t>
      </w:r>
      <w:r>
        <w:rPr>
          <w:rFonts w:ascii="宋体" w:eastAsia="宋体" w:hAnsi="宋体" w:cs="宋体"/>
          <w:spacing w:val="-9"/>
          <w:sz w:val="22"/>
          <w:szCs w:val="22"/>
        </w:rPr>
        <w:t>的膳食蛋白质增加量是：妊娠早期5g/d、</w:t>
      </w:r>
      <w:r>
        <w:rPr>
          <w:rFonts w:ascii="宋体" w:eastAsia="宋体" w:hAnsi="宋体" w:cs="宋体"/>
          <w:spacing w:val="-43"/>
          <w:sz w:val="22"/>
          <w:szCs w:val="22"/>
        </w:rPr>
        <w:t xml:space="preserve"> </w:t>
      </w:r>
      <w:r>
        <w:rPr>
          <w:rFonts w:ascii="宋体" w:eastAsia="宋体" w:hAnsi="宋体" w:cs="宋体"/>
          <w:spacing w:val="-9"/>
          <w:sz w:val="22"/>
          <w:szCs w:val="22"/>
        </w:rPr>
        <w:t>妊娠中期15g/d、</w:t>
      </w:r>
      <w:r>
        <w:rPr>
          <w:rFonts w:ascii="宋体" w:eastAsia="宋体" w:hAnsi="宋体" w:cs="宋体"/>
          <w:spacing w:val="-55"/>
          <w:sz w:val="22"/>
          <w:szCs w:val="22"/>
        </w:rPr>
        <w:t xml:space="preserve"> </w:t>
      </w:r>
      <w:r>
        <w:rPr>
          <w:rFonts w:ascii="宋体" w:eastAsia="宋体" w:hAnsi="宋体" w:cs="宋体"/>
          <w:spacing w:val="-9"/>
          <w:sz w:val="22"/>
          <w:szCs w:val="22"/>
        </w:rPr>
        <w:t>妊娠晚期2</w:t>
      </w:r>
      <w:r>
        <w:rPr>
          <w:rFonts w:ascii="宋体" w:eastAsia="宋体" w:hAnsi="宋体" w:cs="宋体"/>
          <w:spacing w:val="-10"/>
          <w:sz w:val="22"/>
          <w:szCs w:val="22"/>
        </w:rPr>
        <w:t>0g/d。</w:t>
      </w:r>
    </w:p>
    <w:p w:rsidR="00EA40A3" w:rsidRDefault="00E86C16">
      <w:pPr>
        <w:spacing w:before="198" w:line="221"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28"/>
          <w:sz w:val="22"/>
          <w:szCs w:val="22"/>
        </w:rPr>
        <w:t xml:space="preserve"> </w:t>
      </w:r>
      <w:r>
        <w:rPr>
          <w:rFonts w:ascii="仿宋" w:eastAsia="仿宋" w:hAnsi="仿宋" w:cs="仿宋"/>
          <w:spacing w:val="10"/>
          <w:sz w:val="22"/>
          <w:szCs w:val="22"/>
        </w:rPr>
        <w:t>矿物质</w:t>
      </w:r>
    </w:p>
    <w:p w:rsidR="00EA40A3" w:rsidRDefault="00E86C16">
      <w:pPr>
        <w:spacing w:before="189"/>
        <w:ind w:firstLine="439"/>
        <w:rPr>
          <w:rFonts w:ascii="宋体" w:eastAsia="宋体" w:hAnsi="宋体" w:cs="宋体"/>
          <w:sz w:val="22"/>
          <w:szCs w:val="22"/>
        </w:rPr>
      </w:pPr>
      <w:r>
        <w:rPr>
          <w:rFonts w:ascii="宋体" w:eastAsia="宋体" w:hAnsi="宋体" w:cs="宋体"/>
          <w:spacing w:val="-4"/>
          <w:sz w:val="22"/>
          <w:szCs w:val="22"/>
        </w:rPr>
        <w:t>妊娠期对矿物质的需要量较高，妊娠期妇女易于缺乏的矿物质主要是钙、</w:t>
      </w:r>
      <w:r>
        <w:rPr>
          <w:rFonts w:ascii="宋体" w:eastAsia="宋体" w:hAnsi="宋体" w:cs="宋体"/>
          <w:spacing w:val="7"/>
          <w:sz w:val="22"/>
          <w:szCs w:val="22"/>
        </w:rPr>
        <w:t xml:space="preserve"> </w:t>
      </w:r>
      <w:r>
        <w:rPr>
          <w:rFonts w:ascii="宋体" w:eastAsia="宋体" w:hAnsi="宋体" w:cs="宋体"/>
          <w:spacing w:val="-14"/>
          <w:sz w:val="22"/>
          <w:szCs w:val="22"/>
        </w:rPr>
        <w:t>铁、锌、碘等。</w:t>
      </w:r>
    </w:p>
    <w:p w:rsidR="00EA40A3" w:rsidRDefault="00E86C16">
      <w:pPr>
        <w:spacing w:before="27" w:line="224" w:lineRule="auto"/>
        <w:rPr>
          <w:rFonts w:ascii="仿宋" w:eastAsia="仿宋" w:hAnsi="仿宋" w:cs="仿宋"/>
          <w:sz w:val="19"/>
          <w:szCs w:val="19"/>
        </w:rPr>
      </w:pPr>
      <w:r>
        <w:rPr>
          <w:rFonts w:ascii="仿宋" w:eastAsia="仿宋" w:hAnsi="仿宋" w:cs="仿宋"/>
          <w:spacing w:val="-10"/>
          <w:sz w:val="19"/>
          <w:szCs w:val="19"/>
        </w:rPr>
        <w:t>1</w:t>
      </w:r>
      <w:r>
        <w:rPr>
          <w:rFonts w:ascii="仿宋" w:eastAsia="仿宋" w:hAnsi="仿宋" w:cs="仿宋"/>
          <w:spacing w:val="-34"/>
          <w:sz w:val="19"/>
          <w:szCs w:val="19"/>
        </w:rPr>
        <w:t xml:space="preserve"> </w:t>
      </w:r>
      <w:r>
        <w:rPr>
          <w:rFonts w:ascii="仿宋" w:eastAsia="仿宋" w:hAnsi="仿宋" w:cs="仿宋"/>
          <w:spacing w:val="-10"/>
          <w:sz w:val="19"/>
          <w:szCs w:val="19"/>
        </w:rPr>
        <w:t>)</w:t>
      </w:r>
      <w:r>
        <w:rPr>
          <w:rFonts w:ascii="仿宋" w:eastAsia="仿宋" w:hAnsi="仿宋" w:cs="仿宋"/>
          <w:spacing w:val="-29"/>
          <w:sz w:val="19"/>
          <w:szCs w:val="19"/>
        </w:rPr>
        <w:t xml:space="preserve"> </w:t>
      </w:r>
      <w:r>
        <w:rPr>
          <w:rFonts w:ascii="仿宋" w:eastAsia="仿宋" w:hAnsi="仿宋" w:cs="仿宋"/>
          <w:spacing w:val="-10"/>
          <w:sz w:val="19"/>
          <w:szCs w:val="19"/>
        </w:rPr>
        <w:t>钙</w:t>
      </w:r>
    </w:p>
    <w:p w:rsidR="00EA40A3" w:rsidRDefault="00E86C16">
      <w:pPr>
        <w:spacing w:before="86" w:line="247" w:lineRule="auto"/>
        <w:ind w:firstLine="439"/>
        <w:jc w:val="both"/>
        <w:rPr>
          <w:rFonts w:ascii="宋体" w:eastAsia="宋体" w:hAnsi="宋体" w:cs="宋体"/>
          <w:sz w:val="22"/>
          <w:szCs w:val="22"/>
        </w:rPr>
      </w:pPr>
      <w:r>
        <w:rPr>
          <w:rFonts w:ascii="宋体" w:eastAsia="宋体" w:hAnsi="宋体" w:cs="宋体"/>
          <w:spacing w:val="-7"/>
          <w:sz w:val="22"/>
          <w:szCs w:val="22"/>
        </w:rPr>
        <w:t>正常的成年妇女体内含钙量约为</w:t>
      </w:r>
      <w:r>
        <w:rPr>
          <w:rFonts w:ascii="宋体" w:eastAsia="宋体" w:hAnsi="宋体" w:cs="宋体"/>
          <w:spacing w:val="-47"/>
          <w:sz w:val="22"/>
          <w:szCs w:val="22"/>
        </w:rPr>
        <w:t xml:space="preserve"> </w:t>
      </w:r>
      <w:r>
        <w:rPr>
          <w:rFonts w:ascii="宋体" w:eastAsia="宋体" w:hAnsi="宋体" w:cs="宋体"/>
          <w:spacing w:val="-7"/>
          <w:sz w:val="22"/>
          <w:szCs w:val="22"/>
        </w:rPr>
        <w:t>lkg,</w:t>
      </w:r>
      <w:r>
        <w:rPr>
          <w:rFonts w:ascii="宋体" w:eastAsia="宋体" w:hAnsi="宋体" w:cs="宋体"/>
          <w:spacing w:val="-8"/>
          <w:sz w:val="22"/>
          <w:szCs w:val="22"/>
        </w:rPr>
        <w:t xml:space="preserve"> </w:t>
      </w:r>
      <w:r>
        <w:rPr>
          <w:rFonts w:ascii="宋体" w:eastAsia="宋体" w:hAnsi="宋体" w:cs="宋体"/>
          <w:spacing w:val="-7"/>
          <w:sz w:val="22"/>
          <w:szCs w:val="22"/>
        </w:rPr>
        <w:t>妊娠期需增加30g,</w:t>
      </w:r>
      <w:r>
        <w:rPr>
          <w:rFonts w:ascii="宋体" w:eastAsia="宋体" w:hAnsi="宋体" w:cs="宋体"/>
          <w:spacing w:val="-8"/>
          <w:sz w:val="22"/>
          <w:szCs w:val="22"/>
        </w:rPr>
        <w:t xml:space="preserve"> </w:t>
      </w:r>
      <w:r>
        <w:rPr>
          <w:rFonts w:ascii="宋体" w:eastAsia="宋体" w:hAnsi="宋体" w:cs="宋体"/>
          <w:spacing w:val="-7"/>
          <w:sz w:val="22"/>
          <w:szCs w:val="22"/>
        </w:rPr>
        <w:t>主要用于满足胎</w:t>
      </w:r>
      <w:r>
        <w:rPr>
          <w:rFonts w:ascii="宋体" w:eastAsia="宋体" w:hAnsi="宋体" w:cs="宋体"/>
          <w:sz w:val="22"/>
          <w:szCs w:val="22"/>
        </w:rPr>
        <w:t xml:space="preserve"> </w:t>
      </w:r>
      <w:r>
        <w:rPr>
          <w:rFonts w:ascii="宋体" w:eastAsia="宋体" w:hAnsi="宋体" w:cs="宋体"/>
          <w:spacing w:val="-13"/>
          <w:sz w:val="22"/>
          <w:szCs w:val="22"/>
        </w:rPr>
        <w:t>儿在成长发育过程中，构造骨骼和牙齿对钙的需求。同时，母体自身也</w:t>
      </w:r>
      <w:r>
        <w:rPr>
          <w:rFonts w:ascii="宋体" w:eastAsia="宋体" w:hAnsi="宋体" w:cs="宋体"/>
          <w:spacing w:val="-14"/>
          <w:sz w:val="22"/>
          <w:szCs w:val="22"/>
        </w:rPr>
        <w:t>要储留部</w:t>
      </w:r>
      <w:r>
        <w:rPr>
          <w:rFonts w:ascii="宋体" w:eastAsia="宋体" w:hAnsi="宋体" w:cs="宋体"/>
          <w:sz w:val="22"/>
          <w:szCs w:val="22"/>
        </w:rPr>
        <w:t xml:space="preserve">  </w:t>
      </w:r>
      <w:r>
        <w:rPr>
          <w:rFonts w:ascii="宋体" w:eastAsia="宋体" w:hAnsi="宋体" w:cs="宋体"/>
          <w:spacing w:val="-12"/>
          <w:sz w:val="22"/>
          <w:szCs w:val="22"/>
        </w:rPr>
        <w:t>分钙以维持各项生理功能及产后哺乳期使用。胎儿钙的储留量与其在妊娠不同时</w:t>
      </w:r>
      <w:r>
        <w:rPr>
          <w:rFonts w:ascii="宋体" w:eastAsia="宋体" w:hAnsi="宋体" w:cs="宋体"/>
          <w:spacing w:val="1"/>
          <w:sz w:val="22"/>
          <w:szCs w:val="22"/>
        </w:rPr>
        <w:t xml:space="preserve"> </w:t>
      </w:r>
      <w:r>
        <w:rPr>
          <w:rFonts w:ascii="宋体" w:eastAsia="宋体" w:hAnsi="宋体" w:cs="宋体"/>
          <w:spacing w:val="-3"/>
          <w:sz w:val="22"/>
          <w:szCs w:val="22"/>
        </w:rPr>
        <w:t>期的发育有关。妊娠早期胎儿钙储留量较少，平均仅为7mg/d,</w:t>
      </w:r>
      <w:r>
        <w:rPr>
          <w:rFonts w:ascii="宋体" w:eastAsia="宋体" w:hAnsi="宋体" w:cs="宋体"/>
          <w:spacing w:val="28"/>
          <w:sz w:val="22"/>
          <w:szCs w:val="22"/>
        </w:rPr>
        <w:t xml:space="preserve"> </w:t>
      </w:r>
      <w:r>
        <w:rPr>
          <w:rFonts w:ascii="宋体" w:eastAsia="宋体" w:hAnsi="宋体" w:cs="宋体"/>
          <w:spacing w:val="-3"/>
          <w:sz w:val="22"/>
          <w:szCs w:val="22"/>
        </w:rPr>
        <w:t>妊娠中期开始</w:t>
      </w:r>
      <w:r>
        <w:rPr>
          <w:rFonts w:ascii="宋体" w:eastAsia="宋体" w:hAnsi="宋体" w:cs="宋体"/>
          <w:sz w:val="22"/>
          <w:szCs w:val="22"/>
        </w:rPr>
        <w:t xml:space="preserve"> </w:t>
      </w:r>
      <w:r>
        <w:rPr>
          <w:rFonts w:ascii="宋体" w:eastAsia="宋体" w:hAnsi="宋体" w:cs="宋体"/>
          <w:spacing w:val="-1"/>
          <w:sz w:val="22"/>
          <w:szCs w:val="22"/>
        </w:rPr>
        <w:t>增加至110mg/d,</w:t>
      </w:r>
      <w:r>
        <w:rPr>
          <w:rFonts w:ascii="宋体" w:eastAsia="宋体" w:hAnsi="宋体" w:cs="宋体"/>
          <w:spacing w:val="32"/>
          <w:sz w:val="22"/>
          <w:szCs w:val="22"/>
        </w:rPr>
        <w:t xml:space="preserve"> </w:t>
      </w:r>
      <w:r>
        <w:rPr>
          <w:rFonts w:ascii="宋体" w:eastAsia="宋体" w:hAnsi="宋体" w:cs="宋体"/>
          <w:spacing w:val="-1"/>
          <w:sz w:val="22"/>
          <w:szCs w:val="22"/>
        </w:rPr>
        <w:t>妊娠后期钙储留量</w:t>
      </w:r>
      <w:r>
        <w:rPr>
          <w:rFonts w:ascii="宋体" w:eastAsia="宋体" w:hAnsi="宋体" w:cs="宋体"/>
          <w:spacing w:val="-2"/>
          <w:sz w:val="22"/>
          <w:szCs w:val="22"/>
        </w:rPr>
        <w:t>大大增加，平均可储留350</w:t>
      </w:r>
      <w:r>
        <w:rPr>
          <w:rFonts w:ascii="宋体" w:eastAsia="宋体" w:hAnsi="宋体" w:cs="宋体"/>
          <w:spacing w:val="-1"/>
          <w:sz w:val="22"/>
          <w:szCs w:val="22"/>
        </w:rPr>
        <w:t>mg</w:t>
      </w:r>
      <w:r>
        <w:rPr>
          <w:rFonts w:ascii="宋体" w:eastAsia="宋体" w:hAnsi="宋体" w:cs="宋体"/>
          <w:spacing w:val="-2"/>
          <w:sz w:val="22"/>
          <w:szCs w:val="22"/>
        </w:rPr>
        <w:t>/d。</w:t>
      </w:r>
      <w:r>
        <w:rPr>
          <w:rFonts w:ascii="宋体" w:eastAsia="宋体" w:hAnsi="宋体" w:cs="宋体"/>
          <w:spacing w:val="15"/>
          <w:sz w:val="22"/>
          <w:szCs w:val="22"/>
        </w:rPr>
        <w:t xml:space="preserve"> </w:t>
      </w:r>
      <w:r>
        <w:rPr>
          <w:rFonts w:ascii="宋体" w:eastAsia="宋体" w:hAnsi="宋体" w:cs="宋体"/>
          <w:spacing w:val="-2"/>
          <w:sz w:val="22"/>
          <w:szCs w:val="22"/>
        </w:rPr>
        <w:t>因此，</w:t>
      </w:r>
      <w:r>
        <w:rPr>
          <w:rFonts w:ascii="宋体" w:eastAsia="宋体" w:hAnsi="宋体" w:cs="宋体"/>
          <w:sz w:val="22"/>
          <w:szCs w:val="22"/>
        </w:rPr>
        <w:t xml:space="preserve"> </w:t>
      </w:r>
      <w:r>
        <w:rPr>
          <w:rFonts w:ascii="宋体" w:eastAsia="宋体" w:hAnsi="宋体" w:cs="宋体"/>
          <w:spacing w:val="-13"/>
          <w:sz w:val="22"/>
          <w:szCs w:val="22"/>
        </w:rPr>
        <w:t>妊娠妇女相应的膳食钙摄入量也随妊娠期不断增加。</w:t>
      </w:r>
    </w:p>
    <w:p w:rsidR="00EA40A3" w:rsidRDefault="00E86C16">
      <w:pPr>
        <w:spacing w:before="59" w:line="238" w:lineRule="auto"/>
        <w:ind w:right="75" w:firstLine="439"/>
        <w:jc w:val="both"/>
        <w:rPr>
          <w:rFonts w:ascii="宋体" w:eastAsia="宋体" w:hAnsi="宋体" w:cs="宋体"/>
          <w:sz w:val="22"/>
          <w:szCs w:val="22"/>
        </w:rPr>
      </w:pPr>
      <w:r>
        <w:rPr>
          <w:rFonts w:ascii="宋体" w:eastAsia="宋体" w:hAnsi="宋体" w:cs="宋体"/>
          <w:spacing w:val="6"/>
          <w:sz w:val="22"/>
          <w:szCs w:val="22"/>
        </w:rPr>
        <w:t>根据中国营养学会建议，妊娠期间钙的适宜摄</w:t>
      </w:r>
      <w:r>
        <w:rPr>
          <w:rFonts w:ascii="宋体" w:eastAsia="宋体" w:hAnsi="宋体" w:cs="宋体"/>
          <w:spacing w:val="5"/>
          <w:sz w:val="22"/>
          <w:szCs w:val="22"/>
        </w:rPr>
        <w:t>入量</w:t>
      </w:r>
      <w:r>
        <w:rPr>
          <w:rFonts w:ascii="宋体" w:eastAsia="宋体" w:hAnsi="宋体" w:cs="宋体"/>
          <w:spacing w:val="-9"/>
          <w:sz w:val="22"/>
          <w:szCs w:val="22"/>
        </w:rPr>
        <w:t xml:space="preserve"> </w:t>
      </w:r>
      <w:r>
        <w:rPr>
          <w:rFonts w:ascii="宋体" w:eastAsia="宋体" w:hAnsi="宋体" w:cs="宋体"/>
          <w:spacing w:val="5"/>
          <w:sz w:val="22"/>
          <w:szCs w:val="22"/>
        </w:rPr>
        <w:t>(</w:t>
      </w:r>
      <w:r>
        <w:rPr>
          <w:rFonts w:ascii="宋体" w:eastAsia="宋体" w:hAnsi="宋体" w:cs="宋体"/>
          <w:sz w:val="22"/>
          <w:szCs w:val="22"/>
        </w:rPr>
        <w:t>AI</w:t>
      </w:r>
      <w:r>
        <w:rPr>
          <w:rFonts w:ascii="宋体" w:eastAsia="宋体" w:hAnsi="宋体" w:cs="宋体"/>
          <w:spacing w:val="5"/>
          <w:sz w:val="22"/>
          <w:szCs w:val="22"/>
        </w:rPr>
        <w:t>)</w:t>
      </w:r>
      <w:r>
        <w:rPr>
          <w:rFonts w:ascii="宋体" w:eastAsia="宋体" w:hAnsi="宋体" w:cs="宋体"/>
          <w:spacing w:val="87"/>
          <w:sz w:val="22"/>
          <w:szCs w:val="22"/>
        </w:rPr>
        <w:t xml:space="preserve"> </w:t>
      </w:r>
      <w:r>
        <w:rPr>
          <w:rFonts w:ascii="宋体" w:eastAsia="宋体" w:hAnsi="宋体" w:cs="宋体"/>
          <w:spacing w:val="5"/>
          <w:sz w:val="22"/>
          <w:szCs w:val="22"/>
        </w:rPr>
        <w:t>为妊娠早期</w:t>
      </w:r>
      <w:r>
        <w:rPr>
          <w:rFonts w:ascii="宋体" w:eastAsia="宋体" w:hAnsi="宋体" w:cs="宋体"/>
          <w:sz w:val="22"/>
          <w:szCs w:val="22"/>
        </w:rPr>
        <w:t xml:space="preserve"> </w:t>
      </w:r>
      <w:r>
        <w:rPr>
          <w:rFonts w:ascii="宋体" w:eastAsia="宋体" w:hAnsi="宋体" w:cs="宋体"/>
          <w:spacing w:val="-8"/>
          <w:sz w:val="22"/>
          <w:szCs w:val="22"/>
        </w:rPr>
        <w:t>800mg/d、</w:t>
      </w:r>
      <w:r>
        <w:rPr>
          <w:rFonts w:ascii="宋体" w:eastAsia="宋体" w:hAnsi="宋体" w:cs="宋体"/>
          <w:spacing w:val="42"/>
          <w:sz w:val="22"/>
          <w:szCs w:val="22"/>
        </w:rPr>
        <w:t xml:space="preserve"> </w:t>
      </w:r>
      <w:r>
        <w:rPr>
          <w:rFonts w:ascii="宋体" w:eastAsia="宋体" w:hAnsi="宋体" w:cs="宋体"/>
          <w:spacing w:val="-8"/>
          <w:sz w:val="22"/>
          <w:szCs w:val="22"/>
        </w:rPr>
        <w:t>妊娠中期1000mg/d、</w:t>
      </w:r>
      <w:r>
        <w:rPr>
          <w:rFonts w:ascii="宋体" w:eastAsia="宋体" w:hAnsi="宋体" w:cs="宋体"/>
          <w:spacing w:val="3"/>
          <w:sz w:val="22"/>
          <w:szCs w:val="22"/>
        </w:rPr>
        <w:t xml:space="preserve"> </w:t>
      </w:r>
      <w:r>
        <w:rPr>
          <w:rFonts w:ascii="宋体" w:eastAsia="宋体" w:hAnsi="宋体" w:cs="宋体"/>
          <w:spacing w:val="-8"/>
          <w:sz w:val="22"/>
          <w:szCs w:val="22"/>
        </w:rPr>
        <w:t>妊娠晚期1200mg/d。</w:t>
      </w:r>
    </w:p>
    <w:p w:rsidR="00EA40A3" w:rsidRDefault="00E86C16">
      <w:pPr>
        <w:spacing w:before="50" w:line="224" w:lineRule="auto"/>
        <w:rPr>
          <w:rFonts w:ascii="仿宋" w:eastAsia="仿宋" w:hAnsi="仿宋" w:cs="仿宋"/>
          <w:sz w:val="19"/>
          <w:szCs w:val="19"/>
        </w:rPr>
      </w:pPr>
      <w:r>
        <w:rPr>
          <w:rFonts w:ascii="仿宋" w:eastAsia="仿宋" w:hAnsi="仿宋" w:cs="仿宋"/>
          <w:spacing w:val="-6"/>
          <w:sz w:val="19"/>
          <w:szCs w:val="19"/>
        </w:rPr>
        <w:t>2</w:t>
      </w:r>
      <w:r>
        <w:rPr>
          <w:rFonts w:ascii="仿宋" w:eastAsia="仿宋" w:hAnsi="仿宋" w:cs="仿宋"/>
          <w:spacing w:val="-41"/>
          <w:sz w:val="19"/>
          <w:szCs w:val="19"/>
        </w:rPr>
        <w:t xml:space="preserve"> </w:t>
      </w:r>
      <w:r>
        <w:rPr>
          <w:rFonts w:ascii="仿宋" w:eastAsia="仿宋" w:hAnsi="仿宋" w:cs="仿宋"/>
          <w:spacing w:val="-6"/>
          <w:sz w:val="19"/>
          <w:szCs w:val="19"/>
        </w:rPr>
        <w:t>)</w:t>
      </w:r>
      <w:r>
        <w:rPr>
          <w:rFonts w:ascii="仿宋" w:eastAsia="仿宋" w:hAnsi="仿宋" w:cs="仿宋"/>
          <w:spacing w:val="-33"/>
          <w:sz w:val="19"/>
          <w:szCs w:val="19"/>
        </w:rPr>
        <w:t xml:space="preserve"> </w:t>
      </w:r>
      <w:r>
        <w:rPr>
          <w:rFonts w:ascii="仿宋" w:eastAsia="仿宋" w:hAnsi="仿宋" w:cs="仿宋"/>
          <w:spacing w:val="-6"/>
          <w:sz w:val="19"/>
          <w:szCs w:val="19"/>
        </w:rPr>
        <w:t>铁</w:t>
      </w:r>
    </w:p>
    <w:p w:rsidR="00EA40A3" w:rsidRDefault="00E86C16">
      <w:pPr>
        <w:spacing w:before="73" w:line="244" w:lineRule="auto"/>
        <w:ind w:right="68" w:firstLine="439"/>
        <w:jc w:val="both"/>
        <w:rPr>
          <w:rFonts w:ascii="宋体" w:eastAsia="宋体" w:hAnsi="宋体" w:cs="宋体"/>
          <w:sz w:val="22"/>
          <w:szCs w:val="22"/>
        </w:rPr>
      </w:pPr>
      <w:r>
        <w:rPr>
          <w:rFonts w:ascii="宋体" w:eastAsia="宋体" w:hAnsi="宋体" w:cs="宋体"/>
          <w:spacing w:val="-4"/>
          <w:sz w:val="22"/>
          <w:szCs w:val="22"/>
        </w:rPr>
        <w:t>整个妊娠期间孕妇对铁的需要约为1000mg,</w:t>
      </w:r>
      <w:r>
        <w:rPr>
          <w:rFonts w:ascii="宋体" w:eastAsia="宋体" w:hAnsi="宋体" w:cs="宋体"/>
          <w:spacing w:val="32"/>
          <w:sz w:val="22"/>
          <w:szCs w:val="22"/>
        </w:rPr>
        <w:t xml:space="preserve"> </w:t>
      </w:r>
      <w:r>
        <w:rPr>
          <w:rFonts w:ascii="宋体" w:eastAsia="宋体" w:hAnsi="宋体" w:cs="宋体"/>
          <w:spacing w:val="-4"/>
          <w:sz w:val="22"/>
          <w:szCs w:val="22"/>
        </w:rPr>
        <w:t>胎儿</w:t>
      </w:r>
      <w:r>
        <w:rPr>
          <w:rFonts w:ascii="宋体" w:eastAsia="宋体" w:hAnsi="宋体" w:cs="宋体"/>
          <w:spacing w:val="-5"/>
          <w:sz w:val="22"/>
          <w:szCs w:val="22"/>
        </w:rPr>
        <w:t>体内300</w:t>
      </w:r>
      <w:r>
        <w:rPr>
          <w:rFonts w:ascii="宋体" w:eastAsia="宋体" w:hAnsi="宋体" w:cs="宋体"/>
          <w:spacing w:val="-4"/>
          <w:sz w:val="22"/>
          <w:szCs w:val="22"/>
        </w:rPr>
        <w:t>mg</w:t>
      </w:r>
      <w:r>
        <w:rPr>
          <w:rFonts w:ascii="宋体" w:eastAsia="宋体" w:hAnsi="宋体" w:cs="宋体"/>
          <w:spacing w:val="-5"/>
          <w:sz w:val="22"/>
          <w:szCs w:val="22"/>
        </w:rPr>
        <w:t>,</w:t>
      </w:r>
      <w:r>
        <w:rPr>
          <w:rFonts w:ascii="宋体" w:eastAsia="宋体" w:hAnsi="宋体" w:cs="宋体"/>
          <w:spacing w:val="42"/>
          <w:sz w:val="22"/>
          <w:szCs w:val="22"/>
        </w:rPr>
        <w:t xml:space="preserve"> </w:t>
      </w:r>
      <w:r>
        <w:rPr>
          <w:rFonts w:ascii="宋体" w:eastAsia="宋体" w:hAnsi="宋体" w:cs="宋体"/>
          <w:spacing w:val="-5"/>
          <w:sz w:val="22"/>
          <w:szCs w:val="22"/>
        </w:rPr>
        <w:t>红细胞增加</w:t>
      </w:r>
      <w:r>
        <w:rPr>
          <w:rFonts w:ascii="宋体" w:eastAsia="宋体" w:hAnsi="宋体" w:cs="宋体"/>
          <w:sz w:val="22"/>
          <w:szCs w:val="22"/>
        </w:rPr>
        <w:t xml:space="preserve"> </w:t>
      </w:r>
      <w:r>
        <w:rPr>
          <w:rFonts w:ascii="宋体" w:eastAsia="宋体" w:hAnsi="宋体" w:cs="宋体"/>
          <w:spacing w:val="-3"/>
          <w:sz w:val="22"/>
          <w:szCs w:val="22"/>
        </w:rPr>
        <w:t>约需450mg,</w:t>
      </w:r>
      <w:r>
        <w:rPr>
          <w:rFonts w:ascii="宋体" w:eastAsia="宋体" w:hAnsi="宋体" w:cs="宋体"/>
          <w:spacing w:val="22"/>
          <w:sz w:val="22"/>
          <w:szCs w:val="22"/>
        </w:rPr>
        <w:t xml:space="preserve"> </w:t>
      </w:r>
      <w:r>
        <w:rPr>
          <w:rFonts w:ascii="宋体" w:eastAsia="宋体" w:hAnsi="宋体" w:cs="宋体"/>
          <w:spacing w:val="-3"/>
          <w:sz w:val="22"/>
          <w:szCs w:val="22"/>
        </w:rPr>
        <w:t>其余储留在胎盘中。随着胎儿的娩出，胎盘娩出及出血，妊娠</w:t>
      </w:r>
      <w:r>
        <w:rPr>
          <w:rFonts w:ascii="宋体" w:eastAsia="宋体" w:hAnsi="宋体" w:cs="宋体"/>
          <w:spacing w:val="-4"/>
          <w:sz w:val="22"/>
          <w:szCs w:val="22"/>
        </w:rPr>
        <w:t>期</w:t>
      </w:r>
      <w:r>
        <w:rPr>
          <w:rFonts w:ascii="宋体" w:eastAsia="宋体" w:hAnsi="宋体" w:cs="宋体"/>
          <w:sz w:val="22"/>
          <w:szCs w:val="22"/>
        </w:rPr>
        <w:t xml:space="preserve"> </w:t>
      </w:r>
      <w:r>
        <w:rPr>
          <w:rFonts w:ascii="宋体" w:eastAsia="宋体" w:hAnsi="宋体" w:cs="宋体"/>
          <w:spacing w:val="-2"/>
          <w:sz w:val="22"/>
          <w:szCs w:val="22"/>
        </w:rPr>
        <w:t>储留的铁80%永久性丢失，仅200mg</w:t>
      </w:r>
      <w:r>
        <w:rPr>
          <w:rFonts w:ascii="宋体" w:eastAsia="宋体" w:hAnsi="宋体" w:cs="宋体"/>
          <w:spacing w:val="-11"/>
          <w:sz w:val="22"/>
          <w:szCs w:val="22"/>
        </w:rPr>
        <w:t xml:space="preserve"> </w:t>
      </w:r>
      <w:r>
        <w:rPr>
          <w:rFonts w:ascii="宋体" w:eastAsia="宋体" w:hAnsi="宋体" w:cs="宋体"/>
          <w:spacing w:val="-2"/>
          <w:sz w:val="22"/>
          <w:szCs w:val="22"/>
        </w:rPr>
        <w:t>被保留在母体内。妊娠期妇女机体对铁的</w:t>
      </w:r>
      <w:r>
        <w:rPr>
          <w:rFonts w:ascii="宋体" w:eastAsia="宋体" w:hAnsi="宋体" w:cs="宋体"/>
          <w:sz w:val="22"/>
          <w:szCs w:val="22"/>
        </w:rPr>
        <w:t xml:space="preserve"> </w:t>
      </w:r>
      <w:r>
        <w:rPr>
          <w:rFonts w:ascii="宋体" w:eastAsia="宋体" w:hAnsi="宋体" w:cs="宋体"/>
          <w:spacing w:val="-9"/>
          <w:sz w:val="22"/>
          <w:szCs w:val="22"/>
        </w:rPr>
        <w:t>吸收增强，可到达原来的3倍。但由于妊娠期间孕妇储存的铁被动用以满足胎体</w:t>
      </w:r>
      <w:r>
        <w:rPr>
          <w:rFonts w:ascii="宋体" w:eastAsia="宋体" w:hAnsi="宋体" w:cs="宋体"/>
          <w:spacing w:val="3"/>
          <w:sz w:val="22"/>
          <w:szCs w:val="22"/>
        </w:rPr>
        <w:t xml:space="preserve"> </w:t>
      </w:r>
      <w:r>
        <w:rPr>
          <w:rFonts w:ascii="宋体" w:eastAsia="宋体" w:hAnsi="宋体" w:cs="宋体"/>
          <w:spacing w:val="-12"/>
          <w:sz w:val="22"/>
          <w:szCs w:val="22"/>
        </w:rPr>
        <w:t>对铁的需要，为维持母体铁储存及预防铁缺乏的发生，妊娠期铁的摄入量应适当</w:t>
      </w:r>
      <w:r>
        <w:rPr>
          <w:rFonts w:ascii="宋体" w:eastAsia="宋体" w:hAnsi="宋体" w:cs="宋体"/>
          <w:spacing w:val="8"/>
          <w:sz w:val="22"/>
          <w:szCs w:val="22"/>
        </w:rPr>
        <w:t xml:space="preserve"> </w:t>
      </w:r>
      <w:r>
        <w:rPr>
          <w:rFonts w:ascii="宋体" w:eastAsia="宋体" w:hAnsi="宋体" w:cs="宋体"/>
          <w:spacing w:val="-6"/>
          <w:sz w:val="22"/>
          <w:szCs w:val="22"/>
        </w:rPr>
        <w:t>增加。适宜的摄入量</w:t>
      </w:r>
      <w:r>
        <w:rPr>
          <w:rFonts w:ascii="宋体" w:eastAsia="宋体" w:hAnsi="宋体" w:cs="宋体"/>
          <w:spacing w:val="-9"/>
          <w:sz w:val="22"/>
          <w:szCs w:val="22"/>
        </w:rPr>
        <w:t xml:space="preserve"> </w:t>
      </w:r>
      <w:r>
        <w:rPr>
          <w:rFonts w:ascii="宋体" w:eastAsia="宋体" w:hAnsi="宋体" w:cs="宋体"/>
          <w:spacing w:val="-6"/>
          <w:sz w:val="22"/>
          <w:szCs w:val="22"/>
        </w:rPr>
        <w:t>(AI)</w:t>
      </w:r>
      <w:r>
        <w:rPr>
          <w:rFonts w:ascii="宋体" w:eastAsia="宋体" w:hAnsi="宋体" w:cs="宋体"/>
          <w:spacing w:val="47"/>
          <w:sz w:val="22"/>
          <w:szCs w:val="22"/>
        </w:rPr>
        <w:t xml:space="preserve"> </w:t>
      </w:r>
      <w:r>
        <w:rPr>
          <w:rFonts w:ascii="宋体" w:eastAsia="宋体" w:hAnsi="宋体" w:cs="宋体"/>
          <w:spacing w:val="-6"/>
          <w:sz w:val="22"/>
          <w:szCs w:val="22"/>
        </w:rPr>
        <w:t>为妊娠早期15mg/d、</w:t>
      </w:r>
      <w:r>
        <w:rPr>
          <w:rFonts w:ascii="宋体" w:eastAsia="宋体" w:hAnsi="宋体" w:cs="宋体"/>
          <w:spacing w:val="12"/>
          <w:sz w:val="22"/>
          <w:szCs w:val="22"/>
        </w:rPr>
        <w:t xml:space="preserve"> </w:t>
      </w:r>
      <w:r>
        <w:rPr>
          <w:rFonts w:ascii="宋体" w:eastAsia="宋体" w:hAnsi="宋体" w:cs="宋体"/>
          <w:spacing w:val="-6"/>
          <w:sz w:val="22"/>
          <w:szCs w:val="22"/>
        </w:rPr>
        <w:t>妊娠中期25mg/d</w:t>
      </w:r>
      <w:r>
        <w:rPr>
          <w:rFonts w:ascii="宋体" w:eastAsia="宋体" w:hAnsi="宋体" w:cs="宋体"/>
          <w:spacing w:val="-7"/>
          <w:sz w:val="22"/>
          <w:szCs w:val="22"/>
        </w:rPr>
        <w:t>、</w:t>
      </w:r>
      <w:r>
        <w:rPr>
          <w:rFonts w:ascii="宋体" w:eastAsia="宋体" w:hAnsi="宋体" w:cs="宋体"/>
          <w:spacing w:val="5"/>
          <w:sz w:val="22"/>
          <w:szCs w:val="22"/>
        </w:rPr>
        <w:t xml:space="preserve"> </w:t>
      </w:r>
      <w:r>
        <w:rPr>
          <w:rFonts w:ascii="宋体" w:eastAsia="宋体" w:hAnsi="宋体" w:cs="宋体"/>
          <w:spacing w:val="-7"/>
          <w:sz w:val="22"/>
          <w:szCs w:val="22"/>
        </w:rPr>
        <w:t>妊娠后期</w:t>
      </w:r>
      <w:r>
        <w:rPr>
          <w:rFonts w:ascii="宋体" w:eastAsia="宋体" w:hAnsi="宋体" w:cs="宋体"/>
          <w:sz w:val="22"/>
          <w:szCs w:val="22"/>
        </w:rPr>
        <w:t xml:space="preserve"> </w:t>
      </w:r>
      <w:r>
        <w:rPr>
          <w:rFonts w:ascii="Times New Roman" w:eastAsia="Times New Roman" w:hAnsi="Times New Roman" w:cs="Times New Roman"/>
          <w:spacing w:val="-2"/>
          <w:sz w:val="22"/>
          <w:szCs w:val="22"/>
        </w:rPr>
        <w:t>35mg/d</w:t>
      </w:r>
      <w:r>
        <w:rPr>
          <w:rFonts w:ascii="宋体" w:eastAsia="宋体" w:hAnsi="宋体" w:cs="宋体"/>
          <w:spacing w:val="-2"/>
          <w:sz w:val="22"/>
          <w:szCs w:val="22"/>
        </w:rPr>
        <w:t>。</w:t>
      </w:r>
    </w:p>
    <w:p w:rsidR="00EA40A3" w:rsidRDefault="00E86C16">
      <w:pPr>
        <w:spacing w:before="94" w:line="220" w:lineRule="auto"/>
        <w:rPr>
          <w:rFonts w:ascii="宋体" w:eastAsia="宋体" w:hAnsi="宋体" w:cs="宋体"/>
          <w:sz w:val="22"/>
          <w:szCs w:val="22"/>
        </w:rPr>
      </w:pPr>
      <w:r>
        <w:rPr>
          <w:rFonts w:ascii="宋体" w:eastAsia="宋体" w:hAnsi="宋体" w:cs="宋体"/>
          <w:spacing w:val="7"/>
          <w:sz w:val="22"/>
          <w:szCs w:val="22"/>
        </w:rPr>
        <w:t>3)锌</w:t>
      </w:r>
    </w:p>
    <w:p w:rsidR="00EA40A3" w:rsidRDefault="00E86C16">
      <w:pPr>
        <w:spacing w:before="59" w:line="248" w:lineRule="auto"/>
        <w:ind w:right="78" w:firstLine="439"/>
        <w:jc w:val="both"/>
        <w:rPr>
          <w:rFonts w:ascii="宋体" w:eastAsia="宋体" w:hAnsi="宋体" w:cs="宋体"/>
          <w:sz w:val="22"/>
          <w:szCs w:val="22"/>
        </w:rPr>
      </w:pPr>
      <w:r>
        <w:rPr>
          <w:rFonts w:ascii="宋体" w:eastAsia="宋体" w:hAnsi="宋体" w:cs="宋体"/>
          <w:spacing w:val="-5"/>
          <w:sz w:val="22"/>
          <w:szCs w:val="22"/>
        </w:rPr>
        <w:t>妊娠期间储留在母体和胎儿组织中锌的总</w:t>
      </w:r>
      <w:r>
        <w:rPr>
          <w:rFonts w:ascii="宋体" w:eastAsia="宋体" w:hAnsi="宋体" w:cs="宋体"/>
          <w:spacing w:val="-6"/>
          <w:sz w:val="22"/>
          <w:szCs w:val="22"/>
        </w:rPr>
        <w:t>量为100</w:t>
      </w:r>
      <w:r>
        <w:rPr>
          <w:rFonts w:ascii="宋体" w:eastAsia="宋体" w:hAnsi="宋体" w:cs="宋体"/>
          <w:spacing w:val="-5"/>
          <w:sz w:val="22"/>
          <w:szCs w:val="22"/>
        </w:rPr>
        <w:t>mg</w:t>
      </w:r>
      <w:r>
        <w:rPr>
          <w:rFonts w:ascii="宋体" w:eastAsia="宋体" w:hAnsi="宋体" w:cs="宋体"/>
          <w:spacing w:val="-6"/>
          <w:sz w:val="22"/>
          <w:szCs w:val="22"/>
        </w:rPr>
        <w:t>,</w:t>
      </w:r>
      <w:r>
        <w:rPr>
          <w:rFonts w:ascii="宋体" w:eastAsia="宋体" w:hAnsi="宋体" w:cs="宋体"/>
          <w:spacing w:val="22"/>
          <w:sz w:val="22"/>
          <w:szCs w:val="22"/>
        </w:rPr>
        <w:t xml:space="preserve"> </w:t>
      </w:r>
      <w:r>
        <w:rPr>
          <w:rFonts w:ascii="宋体" w:eastAsia="宋体" w:hAnsi="宋体" w:cs="宋体"/>
          <w:spacing w:val="-6"/>
          <w:sz w:val="22"/>
          <w:szCs w:val="22"/>
        </w:rPr>
        <w:t>其中约53</w:t>
      </w:r>
      <w:r>
        <w:rPr>
          <w:rFonts w:ascii="宋体" w:eastAsia="宋体" w:hAnsi="宋体" w:cs="宋体"/>
          <w:spacing w:val="-5"/>
          <w:sz w:val="22"/>
          <w:szCs w:val="22"/>
        </w:rPr>
        <w:t>mg</w:t>
      </w:r>
      <w:r>
        <w:rPr>
          <w:rFonts w:ascii="宋体" w:eastAsia="宋体" w:hAnsi="宋体" w:cs="宋体"/>
          <w:spacing w:val="-28"/>
          <w:sz w:val="22"/>
          <w:szCs w:val="22"/>
        </w:rPr>
        <w:t xml:space="preserve"> </w:t>
      </w:r>
      <w:r>
        <w:rPr>
          <w:rFonts w:ascii="宋体" w:eastAsia="宋体" w:hAnsi="宋体" w:cs="宋体"/>
          <w:spacing w:val="-6"/>
          <w:sz w:val="22"/>
          <w:szCs w:val="22"/>
        </w:rPr>
        <w:t>储存在</w:t>
      </w:r>
      <w:r>
        <w:rPr>
          <w:rFonts w:ascii="宋体" w:eastAsia="宋体" w:hAnsi="宋体" w:cs="宋体"/>
          <w:sz w:val="22"/>
          <w:szCs w:val="22"/>
        </w:rPr>
        <w:t xml:space="preserve"> </w:t>
      </w:r>
      <w:r>
        <w:rPr>
          <w:rFonts w:ascii="宋体" w:eastAsia="宋体" w:hAnsi="宋体" w:cs="宋体"/>
          <w:spacing w:val="-17"/>
          <w:sz w:val="22"/>
          <w:szCs w:val="22"/>
        </w:rPr>
        <w:t>胎儿体内。妊娠期间，血浆或血清锌浓度是随着妊娠期的进展逐渐下降，</w:t>
      </w:r>
      <w:r>
        <w:rPr>
          <w:rFonts w:ascii="宋体" w:eastAsia="宋体" w:hAnsi="宋体" w:cs="宋体"/>
          <w:spacing w:val="62"/>
          <w:sz w:val="22"/>
          <w:szCs w:val="22"/>
        </w:rPr>
        <w:t xml:space="preserve"> </w:t>
      </w:r>
      <w:r>
        <w:rPr>
          <w:rFonts w:ascii="宋体" w:eastAsia="宋体" w:hAnsi="宋体" w:cs="宋体"/>
          <w:spacing w:val="-17"/>
          <w:sz w:val="22"/>
          <w:szCs w:val="22"/>
        </w:rPr>
        <w:t>一般发</w:t>
      </w:r>
      <w:r>
        <w:rPr>
          <w:rFonts w:ascii="宋体" w:eastAsia="宋体" w:hAnsi="宋体" w:cs="宋体"/>
          <w:sz w:val="22"/>
          <w:szCs w:val="22"/>
        </w:rPr>
        <w:t xml:space="preserve"> </w:t>
      </w:r>
      <w:r>
        <w:rPr>
          <w:rFonts w:ascii="宋体" w:eastAsia="宋体" w:hAnsi="宋体" w:cs="宋体"/>
          <w:spacing w:val="-12"/>
          <w:sz w:val="22"/>
          <w:szCs w:val="22"/>
        </w:rPr>
        <w:t>生于妊娠早期，妊娠中期较稳，妊娠晚期又逐渐下降。母体锌营养与胎儿体内锌</w:t>
      </w:r>
      <w:r>
        <w:rPr>
          <w:rFonts w:ascii="宋体" w:eastAsia="宋体" w:hAnsi="宋体" w:cs="宋体"/>
          <w:sz w:val="22"/>
          <w:szCs w:val="22"/>
        </w:rPr>
        <w:t xml:space="preserve"> </w:t>
      </w:r>
      <w:r>
        <w:rPr>
          <w:rFonts w:ascii="宋体" w:eastAsia="宋体" w:hAnsi="宋体" w:cs="宋体"/>
          <w:spacing w:val="-12"/>
          <w:sz w:val="22"/>
          <w:szCs w:val="22"/>
        </w:rPr>
        <w:t>水平关系密切，而胎儿体内锌水平直接影响新生儿的生长发育。妊娠期锌摄</w:t>
      </w:r>
      <w:r>
        <w:rPr>
          <w:rFonts w:ascii="宋体" w:eastAsia="宋体" w:hAnsi="宋体" w:cs="宋体"/>
          <w:spacing w:val="-13"/>
          <w:sz w:val="22"/>
          <w:szCs w:val="22"/>
        </w:rPr>
        <w:t>人量</w:t>
      </w:r>
      <w:r>
        <w:rPr>
          <w:rFonts w:ascii="宋体" w:eastAsia="宋体" w:hAnsi="宋体" w:cs="宋体"/>
          <w:sz w:val="22"/>
          <w:szCs w:val="22"/>
        </w:rPr>
        <w:t xml:space="preserve"> </w:t>
      </w:r>
      <w:r>
        <w:rPr>
          <w:rFonts w:ascii="宋体" w:eastAsia="宋体" w:hAnsi="宋体" w:cs="宋体"/>
          <w:spacing w:val="-1"/>
          <w:sz w:val="22"/>
          <w:szCs w:val="22"/>
        </w:rPr>
        <w:t>与新生儿出生体重呈正相关。有报道指出低锌摄入的孕妇(小于6mg/d)</w:t>
      </w:r>
      <w:r>
        <w:rPr>
          <w:rFonts w:ascii="宋体" w:eastAsia="宋体" w:hAnsi="宋体" w:cs="宋体"/>
          <w:spacing w:val="52"/>
          <w:sz w:val="22"/>
          <w:szCs w:val="22"/>
        </w:rPr>
        <w:t xml:space="preserve"> </w:t>
      </w:r>
      <w:r>
        <w:rPr>
          <w:rFonts w:ascii="宋体" w:eastAsia="宋体" w:hAnsi="宋体" w:cs="宋体"/>
          <w:spacing w:val="-1"/>
          <w:sz w:val="22"/>
          <w:szCs w:val="22"/>
        </w:rPr>
        <w:t>一般</w:t>
      </w:r>
      <w:r>
        <w:rPr>
          <w:rFonts w:ascii="宋体" w:eastAsia="宋体" w:hAnsi="宋体" w:cs="宋体"/>
          <w:sz w:val="22"/>
          <w:szCs w:val="22"/>
        </w:rPr>
        <w:t xml:space="preserve"> </w:t>
      </w:r>
      <w:r>
        <w:rPr>
          <w:rFonts w:ascii="宋体" w:eastAsia="宋体" w:hAnsi="宋体" w:cs="宋体"/>
          <w:spacing w:val="-12"/>
          <w:sz w:val="22"/>
          <w:szCs w:val="22"/>
        </w:rPr>
        <w:t>能量及维生素摄入量也低，并且常伴有妊娠期体重增加不足和缺铁性</w:t>
      </w:r>
      <w:r>
        <w:rPr>
          <w:rFonts w:ascii="宋体" w:eastAsia="宋体" w:hAnsi="宋体" w:cs="宋体"/>
          <w:spacing w:val="-13"/>
          <w:sz w:val="22"/>
          <w:szCs w:val="22"/>
        </w:rPr>
        <w:t>贫血，其出</w:t>
      </w:r>
      <w:r>
        <w:rPr>
          <w:rFonts w:ascii="宋体" w:eastAsia="宋体" w:hAnsi="宋体" w:cs="宋体"/>
          <w:sz w:val="22"/>
          <w:szCs w:val="22"/>
        </w:rPr>
        <w:t xml:space="preserve"> </w:t>
      </w:r>
      <w:r>
        <w:rPr>
          <w:rFonts w:ascii="宋体" w:eastAsia="宋体" w:hAnsi="宋体" w:cs="宋体"/>
          <w:spacing w:val="-14"/>
          <w:sz w:val="22"/>
          <w:szCs w:val="22"/>
        </w:rPr>
        <w:t>生低体重儿的危险性上升两倍，早产的危险性也升高。</w:t>
      </w:r>
    </w:p>
    <w:p w:rsidR="00EA40A3" w:rsidRDefault="00E86C16">
      <w:pPr>
        <w:spacing w:before="64" w:line="248" w:lineRule="auto"/>
        <w:ind w:right="68" w:firstLine="439"/>
        <w:jc w:val="both"/>
        <w:rPr>
          <w:rFonts w:ascii="宋体" w:eastAsia="宋体" w:hAnsi="宋体" w:cs="宋体"/>
          <w:sz w:val="22"/>
          <w:szCs w:val="22"/>
        </w:rPr>
      </w:pPr>
      <w:r>
        <w:rPr>
          <w:rFonts w:ascii="宋体" w:eastAsia="宋体" w:hAnsi="宋体" w:cs="宋体"/>
          <w:spacing w:val="-5"/>
          <w:sz w:val="22"/>
          <w:szCs w:val="22"/>
        </w:rPr>
        <w:t>中国营养学会建议，锌的推荐摄入量</w:t>
      </w:r>
      <w:r>
        <w:rPr>
          <w:rFonts w:ascii="宋体" w:eastAsia="宋体" w:hAnsi="宋体" w:cs="宋体"/>
          <w:spacing w:val="-9"/>
          <w:sz w:val="22"/>
          <w:szCs w:val="22"/>
        </w:rPr>
        <w:t xml:space="preserve"> </w:t>
      </w:r>
      <w:r>
        <w:rPr>
          <w:rFonts w:ascii="宋体" w:eastAsia="宋体" w:hAnsi="宋体" w:cs="宋体"/>
          <w:spacing w:val="-5"/>
          <w:sz w:val="22"/>
          <w:szCs w:val="22"/>
        </w:rPr>
        <w:t>(RNI)</w:t>
      </w:r>
      <w:r>
        <w:rPr>
          <w:rFonts w:ascii="宋体" w:eastAsia="宋体" w:hAnsi="宋体" w:cs="宋体"/>
          <w:spacing w:val="87"/>
          <w:sz w:val="22"/>
          <w:szCs w:val="22"/>
        </w:rPr>
        <w:t xml:space="preserve"> </w:t>
      </w:r>
      <w:r>
        <w:rPr>
          <w:rFonts w:ascii="宋体" w:eastAsia="宋体" w:hAnsi="宋体" w:cs="宋体"/>
          <w:spacing w:val="-5"/>
          <w:sz w:val="22"/>
          <w:szCs w:val="22"/>
        </w:rPr>
        <w:t>在妊娠早期为11</w:t>
      </w:r>
      <w:r>
        <w:rPr>
          <w:rFonts w:ascii="宋体" w:eastAsia="宋体" w:hAnsi="宋体" w:cs="宋体"/>
          <w:spacing w:val="-6"/>
          <w:sz w:val="22"/>
          <w:szCs w:val="22"/>
        </w:rPr>
        <w:t>.5</w:t>
      </w:r>
      <w:r>
        <w:rPr>
          <w:rFonts w:ascii="宋体" w:eastAsia="宋体" w:hAnsi="宋体" w:cs="宋体"/>
          <w:spacing w:val="-5"/>
          <w:sz w:val="22"/>
          <w:szCs w:val="22"/>
        </w:rPr>
        <w:t>mg</w:t>
      </w:r>
      <w:r>
        <w:rPr>
          <w:rFonts w:ascii="宋体" w:eastAsia="宋体" w:hAnsi="宋体" w:cs="宋体"/>
          <w:spacing w:val="-6"/>
          <w:sz w:val="22"/>
          <w:szCs w:val="22"/>
        </w:rPr>
        <w:t>/d,</w:t>
      </w:r>
      <w:r>
        <w:rPr>
          <w:rFonts w:ascii="宋体" w:eastAsia="宋体" w:hAnsi="宋体" w:cs="宋体"/>
          <w:spacing w:val="33"/>
          <w:sz w:val="22"/>
          <w:szCs w:val="22"/>
        </w:rPr>
        <w:t xml:space="preserve"> </w:t>
      </w:r>
      <w:r>
        <w:rPr>
          <w:rFonts w:ascii="宋体" w:eastAsia="宋体" w:hAnsi="宋体" w:cs="宋体"/>
          <w:spacing w:val="-6"/>
          <w:sz w:val="22"/>
          <w:szCs w:val="22"/>
        </w:rPr>
        <w:t>妊</w:t>
      </w:r>
      <w:r>
        <w:rPr>
          <w:rFonts w:ascii="宋体" w:eastAsia="宋体" w:hAnsi="宋体" w:cs="宋体"/>
          <w:sz w:val="22"/>
          <w:szCs w:val="22"/>
        </w:rPr>
        <w:t xml:space="preserve"> </w:t>
      </w:r>
      <w:r>
        <w:rPr>
          <w:rFonts w:ascii="宋体" w:eastAsia="宋体" w:hAnsi="宋体" w:cs="宋体"/>
          <w:spacing w:val="-8"/>
          <w:sz w:val="22"/>
          <w:szCs w:val="22"/>
        </w:rPr>
        <w:t>娠中、晚期为16.5mg/d。</w:t>
      </w:r>
      <w:r>
        <w:rPr>
          <w:rFonts w:ascii="宋体" w:eastAsia="宋体" w:hAnsi="宋体" w:cs="宋体"/>
          <w:spacing w:val="2"/>
          <w:sz w:val="22"/>
          <w:szCs w:val="22"/>
        </w:rPr>
        <w:t xml:space="preserve"> </w:t>
      </w:r>
      <w:r>
        <w:rPr>
          <w:rFonts w:ascii="宋体" w:eastAsia="宋体" w:hAnsi="宋体" w:cs="宋体"/>
          <w:spacing w:val="-8"/>
          <w:sz w:val="22"/>
          <w:szCs w:val="22"/>
        </w:rPr>
        <w:t>有专家建议对素食人群、大量吸烟者、滥用药物及多</w:t>
      </w:r>
      <w:r>
        <w:rPr>
          <w:rFonts w:ascii="宋体" w:eastAsia="宋体" w:hAnsi="宋体" w:cs="宋体"/>
          <w:sz w:val="22"/>
          <w:szCs w:val="22"/>
        </w:rPr>
        <w:t xml:space="preserve"> </w:t>
      </w:r>
      <w:r>
        <w:rPr>
          <w:rFonts w:ascii="宋体" w:eastAsia="宋体" w:hAnsi="宋体" w:cs="宋体"/>
          <w:spacing w:val="-3"/>
          <w:sz w:val="22"/>
          <w:szCs w:val="22"/>
        </w:rPr>
        <w:t>次妊娠者，应额外补充锌15mg/d。</w:t>
      </w:r>
      <w:r>
        <w:rPr>
          <w:rFonts w:ascii="宋体" w:eastAsia="宋体" w:hAnsi="宋体" w:cs="宋体"/>
          <w:spacing w:val="5"/>
          <w:sz w:val="22"/>
          <w:szCs w:val="22"/>
        </w:rPr>
        <w:t xml:space="preserve"> </w:t>
      </w:r>
      <w:r>
        <w:rPr>
          <w:rFonts w:ascii="宋体" w:eastAsia="宋体" w:hAnsi="宋体" w:cs="宋体"/>
          <w:spacing w:val="-3"/>
          <w:sz w:val="22"/>
          <w:szCs w:val="22"/>
        </w:rPr>
        <w:t>此外，由于治疗量的铁(&gt;30mg/d)</w:t>
      </w:r>
      <w:r>
        <w:rPr>
          <w:rFonts w:ascii="宋体" w:eastAsia="宋体" w:hAnsi="宋体" w:cs="宋体"/>
          <w:spacing w:val="22"/>
          <w:sz w:val="22"/>
          <w:szCs w:val="22"/>
        </w:rPr>
        <w:t xml:space="preserve"> </w:t>
      </w:r>
      <w:r>
        <w:rPr>
          <w:rFonts w:ascii="宋体" w:eastAsia="宋体" w:hAnsi="宋体" w:cs="宋体"/>
          <w:spacing w:val="-3"/>
          <w:sz w:val="22"/>
          <w:szCs w:val="22"/>
        </w:rPr>
        <w:t>可能干</w:t>
      </w:r>
      <w:r>
        <w:rPr>
          <w:rFonts w:ascii="宋体" w:eastAsia="宋体" w:hAnsi="宋体" w:cs="宋体"/>
          <w:sz w:val="22"/>
          <w:szCs w:val="22"/>
        </w:rPr>
        <w:t xml:space="preserve"> </w:t>
      </w:r>
      <w:r>
        <w:rPr>
          <w:rFonts w:ascii="宋体" w:eastAsia="宋体" w:hAnsi="宋体" w:cs="宋体"/>
          <w:spacing w:val="-9"/>
          <w:sz w:val="22"/>
          <w:szCs w:val="22"/>
        </w:rPr>
        <w:t>扰锌的吸收，故建议妊娠期间治疗缺铁性贫血的妊娠妇女每日补充锌15mg/d。</w:t>
      </w:r>
    </w:p>
    <w:p w:rsidR="00EA40A3" w:rsidRDefault="00EA40A3">
      <w:pPr>
        <w:sectPr w:rsidR="00EA40A3">
          <w:footerReference w:type="default" r:id="rId256"/>
          <w:pgSz w:w="9220" w:h="13360"/>
          <w:pgMar w:top="400" w:right="990" w:bottom="1313" w:left="869" w:header="0" w:footer="1066" w:gutter="0"/>
          <w:cols w:space="720"/>
        </w:sectPr>
      </w:pPr>
    </w:p>
    <w:p w:rsidR="00EA40A3" w:rsidRDefault="00EA40A3">
      <w:pPr>
        <w:spacing w:line="247" w:lineRule="auto"/>
      </w:pPr>
    </w:p>
    <w:p w:rsidR="00EA40A3" w:rsidRDefault="00EA40A3">
      <w:pPr>
        <w:spacing w:line="248" w:lineRule="auto"/>
      </w:pPr>
    </w:p>
    <w:p w:rsidR="00EA40A3" w:rsidRDefault="00E86C16">
      <w:pPr>
        <w:spacing w:before="72" w:line="221" w:lineRule="auto"/>
        <w:rPr>
          <w:rFonts w:ascii="宋体" w:eastAsia="宋体" w:hAnsi="宋体" w:cs="宋体"/>
          <w:sz w:val="22"/>
          <w:szCs w:val="22"/>
        </w:rPr>
      </w:pPr>
      <w:r>
        <w:rPr>
          <w:rFonts w:ascii="宋体" w:eastAsia="宋体" w:hAnsi="宋体" w:cs="宋体"/>
          <w:spacing w:val="9"/>
          <w:sz w:val="22"/>
          <w:szCs w:val="22"/>
        </w:rPr>
        <w:t>4)碘</w:t>
      </w:r>
    </w:p>
    <w:p w:rsidR="00EA40A3" w:rsidRDefault="00E86C16">
      <w:pPr>
        <w:spacing w:before="56" w:line="247" w:lineRule="auto"/>
        <w:ind w:right="72" w:firstLine="429"/>
        <w:jc w:val="both"/>
        <w:rPr>
          <w:rFonts w:ascii="宋体" w:eastAsia="宋体" w:hAnsi="宋体" w:cs="宋体"/>
          <w:sz w:val="22"/>
          <w:szCs w:val="22"/>
        </w:rPr>
      </w:pPr>
      <w:r>
        <w:rPr>
          <w:rFonts w:ascii="宋体" w:eastAsia="宋体" w:hAnsi="宋体" w:cs="宋体"/>
          <w:spacing w:val="-13"/>
          <w:sz w:val="22"/>
          <w:szCs w:val="22"/>
        </w:rPr>
        <w:t>妊娠妇女对碘的需求量除了包括胎儿生长发育和母体自身的需要外，还</w:t>
      </w:r>
      <w:r>
        <w:rPr>
          <w:rFonts w:ascii="宋体" w:eastAsia="宋体" w:hAnsi="宋体" w:cs="宋体"/>
          <w:spacing w:val="-14"/>
          <w:sz w:val="22"/>
          <w:szCs w:val="22"/>
        </w:rPr>
        <w:t>应包</w:t>
      </w:r>
      <w:r>
        <w:rPr>
          <w:rFonts w:ascii="宋体" w:eastAsia="宋体" w:hAnsi="宋体" w:cs="宋体"/>
          <w:sz w:val="22"/>
          <w:szCs w:val="22"/>
        </w:rPr>
        <w:t xml:space="preserve"> </w:t>
      </w:r>
      <w:r>
        <w:rPr>
          <w:rFonts w:ascii="宋体" w:eastAsia="宋体" w:hAnsi="宋体" w:cs="宋体"/>
          <w:spacing w:val="-12"/>
          <w:sz w:val="22"/>
          <w:szCs w:val="22"/>
        </w:rPr>
        <w:t>括孕妇本身血容量增加和尿排泄量增加的量。另外</w:t>
      </w:r>
      <w:r>
        <w:rPr>
          <w:rFonts w:ascii="宋体" w:eastAsia="宋体" w:hAnsi="宋体" w:cs="宋体"/>
          <w:spacing w:val="-13"/>
          <w:sz w:val="22"/>
          <w:szCs w:val="22"/>
        </w:rPr>
        <w:t>，妊娠期间由于雌激素变化和</w:t>
      </w:r>
      <w:r>
        <w:rPr>
          <w:rFonts w:ascii="宋体" w:eastAsia="宋体" w:hAnsi="宋体" w:cs="宋体"/>
          <w:sz w:val="22"/>
          <w:szCs w:val="22"/>
        </w:rPr>
        <w:t xml:space="preserve"> </w:t>
      </w:r>
      <w:r>
        <w:rPr>
          <w:rFonts w:ascii="宋体" w:eastAsia="宋体" w:hAnsi="宋体" w:cs="宋体"/>
          <w:spacing w:val="-13"/>
          <w:sz w:val="22"/>
          <w:szCs w:val="22"/>
        </w:rPr>
        <w:t>代谢增高需要母体增加甲状腺激素的产出量，因此对碘的需要量</w:t>
      </w:r>
      <w:r>
        <w:rPr>
          <w:rFonts w:ascii="宋体" w:eastAsia="宋体" w:hAnsi="宋体" w:cs="宋体"/>
          <w:spacing w:val="-14"/>
          <w:sz w:val="22"/>
          <w:szCs w:val="22"/>
        </w:rPr>
        <w:t>增加。碘不足可</w:t>
      </w:r>
      <w:r>
        <w:rPr>
          <w:rFonts w:ascii="宋体" w:eastAsia="宋体" w:hAnsi="宋体" w:cs="宋体"/>
          <w:sz w:val="22"/>
          <w:szCs w:val="22"/>
        </w:rPr>
        <w:t xml:space="preserve"> </w:t>
      </w:r>
      <w:r>
        <w:rPr>
          <w:rFonts w:ascii="宋体" w:eastAsia="宋体" w:hAnsi="宋体" w:cs="宋体"/>
          <w:spacing w:val="-14"/>
          <w:sz w:val="22"/>
          <w:szCs w:val="22"/>
        </w:rPr>
        <w:t>导致孕妇的甲状腺发生病理性改变，出现甲状腺肿大或甲状腺激素水平下降，可</w:t>
      </w:r>
      <w:r>
        <w:rPr>
          <w:rFonts w:ascii="宋体" w:eastAsia="宋体" w:hAnsi="宋体" w:cs="宋体"/>
          <w:spacing w:val="7"/>
          <w:sz w:val="22"/>
          <w:szCs w:val="22"/>
        </w:rPr>
        <w:t xml:space="preserve"> </w:t>
      </w:r>
      <w:r>
        <w:rPr>
          <w:rFonts w:ascii="宋体" w:eastAsia="宋体" w:hAnsi="宋体" w:cs="宋体"/>
          <w:spacing w:val="-7"/>
          <w:sz w:val="22"/>
          <w:szCs w:val="22"/>
        </w:rPr>
        <w:t>致胎儿(特别是在妊娠早期缺碘)甲状腺功能低下，其主要病理损害为可导致胚</w:t>
      </w:r>
      <w:r>
        <w:rPr>
          <w:rFonts w:ascii="宋体" w:eastAsia="宋体" w:hAnsi="宋体" w:cs="宋体"/>
          <w:spacing w:val="3"/>
          <w:sz w:val="22"/>
          <w:szCs w:val="22"/>
        </w:rPr>
        <w:t xml:space="preserve"> </w:t>
      </w:r>
      <w:r>
        <w:rPr>
          <w:rFonts w:ascii="宋体" w:eastAsia="宋体" w:hAnsi="宋体" w:cs="宋体"/>
          <w:spacing w:val="-3"/>
          <w:sz w:val="22"/>
          <w:szCs w:val="22"/>
        </w:rPr>
        <w:t>胎和胎儿期的脑发育障碍，即克汀病。通过妊娠期补碘特</w:t>
      </w:r>
      <w:r>
        <w:rPr>
          <w:rFonts w:ascii="宋体" w:eastAsia="宋体" w:hAnsi="宋体" w:cs="宋体"/>
          <w:spacing w:val="-4"/>
          <w:sz w:val="22"/>
          <w:szCs w:val="22"/>
        </w:rPr>
        <w:t>别是在妊娠的头3个</w:t>
      </w:r>
      <w:r>
        <w:rPr>
          <w:rFonts w:ascii="宋体" w:eastAsia="宋体" w:hAnsi="宋体" w:cs="宋体"/>
          <w:sz w:val="22"/>
          <w:szCs w:val="22"/>
        </w:rPr>
        <w:t xml:space="preserve"> </w:t>
      </w:r>
      <w:r>
        <w:rPr>
          <w:rFonts w:ascii="宋体" w:eastAsia="宋体" w:hAnsi="宋体" w:cs="宋体"/>
          <w:spacing w:val="-15"/>
          <w:sz w:val="22"/>
          <w:szCs w:val="22"/>
        </w:rPr>
        <w:t>月，纠正母亲碘缺乏可有效地预防克汀病。</w:t>
      </w:r>
    </w:p>
    <w:p w:rsidR="00EA40A3" w:rsidRDefault="00E86C16">
      <w:pPr>
        <w:spacing w:before="71" w:line="245" w:lineRule="auto"/>
        <w:ind w:right="63" w:firstLine="429"/>
        <w:jc w:val="both"/>
        <w:rPr>
          <w:rFonts w:ascii="宋体" w:eastAsia="宋体" w:hAnsi="宋体" w:cs="宋体"/>
          <w:sz w:val="22"/>
          <w:szCs w:val="22"/>
        </w:rPr>
      </w:pPr>
      <w:r>
        <w:rPr>
          <w:rFonts w:ascii="宋体" w:eastAsia="宋体" w:hAnsi="宋体" w:cs="宋体"/>
          <w:spacing w:val="-13"/>
          <w:sz w:val="22"/>
          <w:szCs w:val="22"/>
        </w:rPr>
        <w:t>世界卫生组织</w:t>
      </w:r>
      <w:r>
        <w:rPr>
          <w:rFonts w:ascii="宋体" w:eastAsia="宋体" w:hAnsi="宋体" w:cs="宋体"/>
          <w:spacing w:val="-11"/>
          <w:sz w:val="22"/>
          <w:szCs w:val="22"/>
        </w:rPr>
        <w:t xml:space="preserve"> </w:t>
      </w:r>
      <w:r>
        <w:rPr>
          <w:rFonts w:ascii="宋体" w:eastAsia="宋体" w:hAnsi="宋体" w:cs="宋体"/>
          <w:spacing w:val="-13"/>
          <w:sz w:val="22"/>
          <w:szCs w:val="22"/>
        </w:rPr>
        <w:t>(WHO)、</w:t>
      </w:r>
      <w:r>
        <w:rPr>
          <w:rFonts w:ascii="宋体" w:eastAsia="宋体" w:hAnsi="宋体" w:cs="宋体"/>
          <w:spacing w:val="48"/>
          <w:sz w:val="22"/>
          <w:szCs w:val="22"/>
        </w:rPr>
        <w:t xml:space="preserve">  </w:t>
      </w:r>
      <w:r>
        <w:rPr>
          <w:rFonts w:ascii="宋体" w:eastAsia="宋体" w:hAnsi="宋体" w:cs="宋体"/>
          <w:spacing w:val="-13"/>
          <w:sz w:val="22"/>
          <w:szCs w:val="22"/>
        </w:rPr>
        <w:t>联合国儿童基金会</w:t>
      </w:r>
      <w:r>
        <w:rPr>
          <w:rFonts w:ascii="宋体" w:eastAsia="宋体" w:hAnsi="宋体" w:cs="宋体"/>
          <w:spacing w:val="-20"/>
          <w:sz w:val="22"/>
          <w:szCs w:val="22"/>
        </w:rPr>
        <w:t xml:space="preserve"> </w:t>
      </w:r>
      <w:r>
        <w:rPr>
          <w:rFonts w:ascii="宋体" w:eastAsia="宋体" w:hAnsi="宋体" w:cs="宋体"/>
          <w:spacing w:val="-13"/>
          <w:sz w:val="22"/>
          <w:szCs w:val="22"/>
        </w:rPr>
        <w:t>(UNICEF)、</w:t>
      </w:r>
      <w:r>
        <w:rPr>
          <w:rFonts w:ascii="宋体" w:eastAsia="宋体" w:hAnsi="宋体" w:cs="宋体"/>
          <w:spacing w:val="41"/>
          <w:sz w:val="22"/>
          <w:szCs w:val="22"/>
        </w:rPr>
        <w:t xml:space="preserve">  </w:t>
      </w:r>
      <w:r>
        <w:rPr>
          <w:rFonts w:ascii="宋体" w:eastAsia="宋体" w:hAnsi="宋体" w:cs="宋体"/>
          <w:spacing w:val="-13"/>
          <w:sz w:val="22"/>
          <w:szCs w:val="22"/>
        </w:rPr>
        <w:t>国际控制碘缺乏</w:t>
      </w:r>
      <w:r>
        <w:rPr>
          <w:rFonts w:ascii="宋体" w:eastAsia="宋体" w:hAnsi="宋体" w:cs="宋体"/>
          <w:sz w:val="22"/>
          <w:szCs w:val="22"/>
        </w:rPr>
        <w:t xml:space="preserve"> </w:t>
      </w:r>
      <w:r>
        <w:rPr>
          <w:rFonts w:ascii="宋体" w:eastAsia="宋体" w:hAnsi="宋体" w:cs="宋体"/>
          <w:spacing w:val="-6"/>
          <w:sz w:val="22"/>
          <w:szCs w:val="22"/>
        </w:rPr>
        <w:t>病理事会</w:t>
      </w:r>
      <w:r>
        <w:rPr>
          <w:rFonts w:ascii="宋体" w:eastAsia="宋体" w:hAnsi="宋体" w:cs="宋体"/>
          <w:spacing w:val="-20"/>
          <w:sz w:val="22"/>
          <w:szCs w:val="22"/>
        </w:rPr>
        <w:t xml:space="preserve"> </w:t>
      </w:r>
      <w:r>
        <w:rPr>
          <w:rFonts w:ascii="宋体" w:eastAsia="宋体" w:hAnsi="宋体" w:cs="宋体"/>
          <w:spacing w:val="-6"/>
          <w:sz w:val="22"/>
          <w:szCs w:val="22"/>
        </w:rPr>
        <w:t>(ICCIDD)</w:t>
      </w:r>
      <w:r>
        <w:rPr>
          <w:rFonts w:ascii="宋体" w:eastAsia="宋体" w:hAnsi="宋体" w:cs="宋体"/>
          <w:spacing w:val="57"/>
          <w:sz w:val="22"/>
          <w:szCs w:val="22"/>
        </w:rPr>
        <w:t xml:space="preserve"> </w:t>
      </w:r>
      <w:r>
        <w:rPr>
          <w:rFonts w:ascii="宋体" w:eastAsia="宋体" w:hAnsi="宋体" w:cs="宋体"/>
          <w:spacing w:val="-6"/>
          <w:sz w:val="22"/>
          <w:szCs w:val="22"/>
        </w:rPr>
        <w:t>建议，孕妇尿碘应维持在200</w:t>
      </w:r>
      <w:r>
        <w:rPr>
          <w:rFonts w:ascii="宋体" w:eastAsia="宋体" w:hAnsi="宋体" w:cs="宋体"/>
          <w:spacing w:val="-7"/>
          <w:sz w:val="22"/>
          <w:szCs w:val="22"/>
        </w:rPr>
        <w:t>～300μg/L</w:t>
      </w:r>
      <w:r>
        <w:rPr>
          <w:rFonts w:ascii="宋体" w:eastAsia="宋体" w:hAnsi="宋体" w:cs="宋体"/>
          <w:spacing w:val="3"/>
          <w:sz w:val="22"/>
          <w:szCs w:val="22"/>
        </w:rPr>
        <w:t xml:space="preserve"> </w:t>
      </w:r>
      <w:r>
        <w:rPr>
          <w:rFonts w:ascii="宋体" w:eastAsia="宋体" w:hAnsi="宋体" w:cs="宋体"/>
          <w:spacing w:val="-7"/>
          <w:sz w:val="22"/>
          <w:szCs w:val="22"/>
        </w:rPr>
        <w:t>为宜。美国推荐</w:t>
      </w:r>
      <w:r>
        <w:rPr>
          <w:rFonts w:ascii="宋体" w:eastAsia="宋体" w:hAnsi="宋体" w:cs="宋体"/>
          <w:sz w:val="22"/>
          <w:szCs w:val="22"/>
        </w:rPr>
        <w:t xml:space="preserve"> </w:t>
      </w:r>
      <w:r>
        <w:rPr>
          <w:rFonts w:ascii="宋体" w:eastAsia="宋体" w:hAnsi="宋体" w:cs="宋体"/>
          <w:spacing w:val="-9"/>
          <w:sz w:val="22"/>
          <w:szCs w:val="22"/>
        </w:rPr>
        <w:t>的孕期碘摄入量为175μg/d,</w:t>
      </w:r>
      <w:r>
        <w:rPr>
          <w:rFonts w:ascii="宋体" w:eastAsia="宋体" w:hAnsi="宋体" w:cs="宋体"/>
          <w:spacing w:val="-16"/>
          <w:sz w:val="22"/>
          <w:szCs w:val="22"/>
        </w:rPr>
        <w:t xml:space="preserve"> </w:t>
      </w:r>
      <w:r>
        <w:rPr>
          <w:rFonts w:ascii="宋体" w:eastAsia="宋体" w:hAnsi="宋体" w:cs="宋体"/>
          <w:spacing w:val="-9"/>
          <w:sz w:val="22"/>
          <w:szCs w:val="22"/>
        </w:rPr>
        <w:t>我国的推荐摄入量</w:t>
      </w:r>
      <w:r>
        <w:rPr>
          <w:rFonts w:ascii="宋体" w:eastAsia="宋体" w:hAnsi="宋体" w:cs="宋体"/>
          <w:spacing w:val="-19"/>
          <w:sz w:val="22"/>
          <w:szCs w:val="22"/>
        </w:rPr>
        <w:t xml:space="preserve"> </w:t>
      </w:r>
      <w:r>
        <w:rPr>
          <w:rFonts w:ascii="宋体" w:eastAsia="宋体" w:hAnsi="宋体" w:cs="宋体"/>
          <w:spacing w:val="-9"/>
          <w:sz w:val="22"/>
          <w:szCs w:val="22"/>
        </w:rPr>
        <w:t>(RNI)</w:t>
      </w:r>
      <w:r>
        <w:rPr>
          <w:rFonts w:ascii="宋体" w:eastAsia="宋体" w:hAnsi="宋体" w:cs="宋体"/>
          <w:spacing w:val="98"/>
          <w:sz w:val="22"/>
          <w:szCs w:val="22"/>
        </w:rPr>
        <w:t xml:space="preserve"> </w:t>
      </w:r>
      <w:r>
        <w:rPr>
          <w:rFonts w:ascii="宋体" w:eastAsia="宋体" w:hAnsi="宋体" w:cs="宋体"/>
          <w:spacing w:val="-9"/>
          <w:sz w:val="22"/>
          <w:szCs w:val="22"/>
        </w:rPr>
        <w:t>为200μg/d。另外，很</w:t>
      </w:r>
      <w:r>
        <w:rPr>
          <w:rFonts w:ascii="宋体" w:eastAsia="宋体" w:hAnsi="宋体" w:cs="宋体"/>
          <w:sz w:val="22"/>
          <w:szCs w:val="22"/>
        </w:rPr>
        <w:t xml:space="preserve"> </w:t>
      </w:r>
      <w:r>
        <w:rPr>
          <w:rFonts w:ascii="宋体" w:eastAsia="宋体" w:hAnsi="宋体" w:cs="宋体"/>
          <w:spacing w:val="-6"/>
          <w:sz w:val="22"/>
          <w:szCs w:val="22"/>
        </w:rPr>
        <w:t>多国家还规定了安全摄入量的上限水平。2001年美国和加拿大设</w:t>
      </w:r>
      <w:r>
        <w:rPr>
          <w:rFonts w:ascii="宋体" w:eastAsia="宋体" w:hAnsi="宋体" w:cs="宋体"/>
          <w:spacing w:val="-7"/>
          <w:sz w:val="22"/>
          <w:szCs w:val="22"/>
        </w:rPr>
        <w:t>立了碘的可耐</w:t>
      </w:r>
      <w:r>
        <w:rPr>
          <w:rFonts w:ascii="宋体" w:eastAsia="宋体" w:hAnsi="宋体" w:cs="宋体"/>
          <w:sz w:val="22"/>
          <w:szCs w:val="22"/>
        </w:rPr>
        <w:t xml:space="preserve"> </w:t>
      </w:r>
      <w:r>
        <w:rPr>
          <w:rFonts w:ascii="宋体" w:eastAsia="宋体" w:hAnsi="宋体" w:cs="宋体"/>
          <w:spacing w:val="-1"/>
          <w:sz w:val="22"/>
          <w:szCs w:val="22"/>
        </w:rPr>
        <w:t>受最高量</w:t>
      </w:r>
      <w:r>
        <w:rPr>
          <w:rFonts w:ascii="宋体" w:eastAsia="宋体" w:hAnsi="宋体" w:cs="宋体"/>
          <w:spacing w:val="-48"/>
          <w:sz w:val="22"/>
          <w:szCs w:val="22"/>
        </w:rPr>
        <w:t xml:space="preserve"> </w:t>
      </w:r>
      <w:r>
        <w:rPr>
          <w:rFonts w:ascii="宋体" w:eastAsia="宋体" w:hAnsi="宋体" w:cs="宋体"/>
          <w:spacing w:val="-1"/>
          <w:sz w:val="22"/>
          <w:szCs w:val="22"/>
        </w:rPr>
        <w:t>(UL)1100μg/d,</w:t>
      </w:r>
      <w:r>
        <w:rPr>
          <w:rFonts w:ascii="宋体" w:eastAsia="宋体" w:hAnsi="宋体" w:cs="宋体"/>
          <w:spacing w:val="77"/>
          <w:sz w:val="22"/>
          <w:szCs w:val="22"/>
        </w:rPr>
        <w:t xml:space="preserve"> </w:t>
      </w:r>
      <w:r>
        <w:rPr>
          <w:rFonts w:ascii="宋体" w:eastAsia="宋体" w:hAnsi="宋体" w:cs="宋体"/>
          <w:spacing w:val="-1"/>
          <w:sz w:val="22"/>
          <w:szCs w:val="22"/>
        </w:rPr>
        <w:t>中国</w:t>
      </w:r>
      <w:r>
        <w:rPr>
          <w:rFonts w:ascii="宋体" w:eastAsia="宋体" w:hAnsi="宋体" w:cs="宋体"/>
          <w:spacing w:val="-2"/>
          <w:sz w:val="22"/>
          <w:szCs w:val="22"/>
        </w:rPr>
        <w:t>采纳了</w:t>
      </w:r>
      <w:r>
        <w:rPr>
          <w:rFonts w:ascii="宋体" w:eastAsia="宋体" w:hAnsi="宋体" w:cs="宋体"/>
          <w:spacing w:val="-1"/>
          <w:sz w:val="22"/>
          <w:szCs w:val="22"/>
        </w:rPr>
        <w:t>WHO</w:t>
      </w:r>
      <w:r>
        <w:rPr>
          <w:rFonts w:ascii="宋体" w:eastAsia="宋体" w:hAnsi="宋体" w:cs="宋体"/>
          <w:spacing w:val="21"/>
          <w:sz w:val="22"/>
          <w:szCs w:val="22"/>
        </w:rPr>
        <w:t xml:space="preserve">  </w:t>
      </w:r>
      <w:r>
        <w:rPr>
          <w:rFonts w:ascii="宋体" w:eastAsia="宋体" w:hAnsi="宋体" w:cs="宋体"/>
          <w:spacing w:val="-2"/>
          <w:sz w:val="22"/>
          <w:szCs w:val="22"/>
        </w:rPr>
        <w:t>提议的1000μg/d作为成人、孕</w:t>
      </w:r>
      <w:r>
        <w:rPr>
          <w:rFonts w:ascii="宋体" w:eastAsia="宋体" w:hAnsi="宋体" w:cs="宋体"/>
          <w:sz w:val="22"/>
          <w:szCs w:val="22"/>
        </w:rPr>
        <w:t xml:space="preserve"> </w:t>
      </w:r>
      <w:r>
        <w:rPr>
          <w:rFonts w:ascii="宋体" w:eastAsia="宋体" w:hAnsi="宋体" w:cs="宋体"/>
          <w:spacing w:val="-1"/>
          <w:sz w:val="22"/>
          <w:szCs w:val="22"/>
        </w:rPr>
        <w:t>妇和哺乳妇女的UL,</w:t>
      </w:r>
    </w:p>
    <w:p w:rsidR="00EA40A3" w:rsidRDefault="00E86C16">
      <w:pPr>
        <w:spacing w:before="232" w:line="222"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13"/>
          <w:sz w:val="22"/>
          <w:szCs w:val="22"/>
        </w:rPr>
        <w:t xml:space="preserve"> </w:t>
      </w:r>
      <w:r>
        <w:rPr>
          <w:rFonts w:ascii="仿宋" w:eastAsia="仿宋" w:hAnsi="仿宋" w:cs="仿宋"/>
          <w:spacing w:val="9"/>
          <w:sz w:val="22"/>
          <w:szCs w:val="22"/>
        </w:rPr>
        <w:t>维生素</w:t>
      </w:r>
    </w:p>
    <w:p w:rsidR="00EA40A3" w:rsidRDefault="00E86C16">
      <w:pPr>
        <w:spacing w:before="208" w:line="241" w:lineRule="auto"/>
        <w:ind w:right="75" w:firstLine="429"/>
        <w:jc w:val="both"/>
        <w:rPr>
          <w:rFonts w:ascii="宋体" w:eastAsia="宋体" w:hAnsi="宋体" w:cs="宋体"/>
          <w:sz w:val="22"/>
          <w:szCs w:val="22"/>
        </w:rPr>
      </w:pPr>
      <w:r>
        <w:rPr>
          <w:rFonts w:ascii="宋体" w:eastAsia="宋体" w:hAnsi="宋体" w:cs="宋体"/>
          <w:spacing w:val="-13"/>
          <w:sz w:val="22"/>
          <w:szCs w:val="22"/>
        </w:rPr>
        <w:t>尽管有关人体的维生素干预实验和观察性研究的资料尚不完整，但是大量动</w:t>
      </w:r>
      <w:r>
        <w:rPr>
          <w:rFonts w:ascii="宋体" w:eastAsia="宋体" w:hAnsi="宋体" w:cs="宋体"/>
          <w:spacing w:val="2"/>
          <w:sz w:val="22"/>
          <w:szCs w:val="22"/>
        </w:rPr>
        <w:t xml:space="preserve"> </w:t>
      </w:r>
      <w:r>
        <w:rPr>
          <w:rFonts w:ascii="宋体" w:eastAsia="宋体" w:hAnsi="宋体" w:cs="宋体"/>
          <w:spacing w:val="-13"/>
          <w:sz w:val="22"/>
          <w:szCs w:val="22"/>
        </w:rPr>
        <w:t>物试验已表明，母体维生素缺乏可导致胎儿生长发育迟缓及先天性畸形。提示适</w:t>
      </w:r>
      <w:r>
        <w:rPr>
          <w:rFonts w:ascii="宋体" w:eastAsia="宋体" w:hAnsi="宋体" w:cs="宋体"/>
          <w:spacing w:val="12"/>
          <w:sz w:val="22"/>
          <w:szCs w:val="22"/>
        </w:rPr>
        <w:t xml:space="preserve"> </w:t>
      </w:r>
      <w:r>
        <w:rPr>
          <w:rFonts w:ascii="宋体" w:eastAsia="宋体" w:hAnsi="宋体" w:cs="宋体"/>
          <w:spacing w:val="-14"/>
          <w:sz w:val="22"/>
          <w:szCs w:val="22"/>
        </w:rPr>
        <w:t>量的维生素对于妊娠期妇女及母体内的胎儿特别重要。</w:t>
      </w:r>
    </w:p>
    <w:p w:rsidR="00EA40A3" w:rsidRDefault="00E86C16">
      <w:pPr>
        <w:spacing w:before="36" w:line="225" w:lineRule="auto"/>
        <w:rPr>
          <w:rFonts w:ascii="楷体" w:eastAsia="楷体" w:hAnsi="楷体" w:cs="楷体"/>
          <w:sz w:val="22"/>
          <w:szCs w:val="22"/>
        </w:rPr>
      </w:pPr>
      <w:r>
        <w:rPr>
          <w:rFonts w:ascii="楷体" w:eastAsia="楷体" w:hAnsi="楷体" w:cs="楷体"/>
          <w:spacing w:val="6"/>
          <w:sz w:val="22"/>
          <w:szCs w:val="22"/>
        </w:rPr>
        <w:t>1)维生素A</w:t>
      </w:r>
    </w:p>
    <w:p w:rsidR="00EA40A3" w:rsidRDefault="00E86C16">
      <w:pPr>
        <w:spacing w:before="56" w:line="246" w:lineRule="auto"/>
        <w:ind w:right="58" w:firstLine="429"/>
        <w:jc w:val="both"/>
        <w:rPr>
          <w:rFonts w:ascii="宋体" w:eastAsia="宋体" w:hAnsi="宋体" w:cs="宋体"/>
          <w:sz w:val="22"/>
          <w:szCs w:val="22"/>
        </w:rPr>
      </w:pPr>
      <w:r>
        <w:rPr>
          <w:rFonts w:ascii="宋体" w:eastAsia="宋体" w:hAnsi="宋体" w:cs="宋体"/>
          <w:spacing w:val="-6"/>
          <w:sz w:val="22"/>
          <w:szCs w:val="22"/>
        </w:rPr>
        <w:t>维生素A</w:t>
      </w:r>
      <w:r>
        <w:rPr>
          <w:rFonts w:ascii="宋体" w:eastAsia="宋体" w:hAnsi="宋体" w:cs="宋体"/>
          <w:spacing w:val="-9"/>
          <w:sz w:val="22"/>
          <w:szCs w:val="22"/>
        </w:rPr>
        <w:t xml:space="preserve"> </w:t>
      </w:r>
      <w:r>
        <w:rPr>
          <w:rFonts w:ascii="宋体" w:eastAsia="宋体" w:hAnsi="宋体" w:cs="宋体"/>
          <w:spacing w:val="-6"/>
          <w:sz w:val="22"/>
          <w:szCs w:val="22"/>
        </w:rPr>
        <w:t>具有促进生长与骨骼发育、维持视觉、维持皮</w:t>
      </w:r>
      <w:r>
        <w:rPr>
          <w:rFonts w:ascii="宋体" w:eastAsia="宋体" w:hAnsi="宋体" w:cs="宋体"/>
          <w:spacing w:val="-7"/>
          <w:sz w:val="22"/>
          <w:szCs w:val="22"/>
        </w:rPr>
        <w:t>肤及黏膜细胞的正</w:t>
      </w:r>
      <w:r>
        <w:rPr>
          <w:rFonts w:ascii="宋体" w:eastAsia="宋体" w:hAnsi="宋体" w:cs="宋体"/>
          <w:sz w:val="22"/>
          <w:szCs w:val="22"/>
        </w:rPr>
        <w:t xml:space="preserve"> </w:t>
      </w:r>
      <w:r>
        <w:rPr>
          <w:rFonts w:ascii="宋体" w:eastAsia="宋体" w:hAnsi="宋体" w:cs="宋体"/>
          <w:spacing w:val="-13"/>
          <w:sz w:val="22"/>
          <w:szCs w:val="22"/>
        </w:rPr>
        <w:t>常分化、影响生殖系统机能等功能。这对于孕育下一代的妊娠期妇</w:t>
      </w:r>
      <w:r>
        <w:rPr>
          <w:rFonts w:ascii="宋体" w:eastAsia="宋体" w:hAnsi="宋体" w:cs="宋体"/>
          <w:spacing w:val="-14"/>
          <w:sz w:val="22"/>
          <w:szCs w:val="22"/>
        </w:rPr>
        <w:t>女及其体内生</w:t>
      </w:r>
      <w:r>
        <w:rPr>
          <w:rFonts w:ascii="宋体" w:eastAsia="宋体" w:hAnsi="宋体" w:cs="宋体"/>
          <w:sz w:val="22"/>
          <w:szCs w:val="22"/>
        </w:rPr>
        <w:t xml:space="preserve"> </w:t>
      </w:r>
      <w:r>
        <w:rPr>
          <w:rFonts w:ascii="宋体" w:eastAsia="宋体" w:hAnsi="宋体" w:cs="宋体"/>
          <w:spacing w:val="-8"/>
          <w:sz w:val="22"/>
          <w:szCs w:val="22"/>
        </w:rPr>
        <w:t>长发育的胎儿显得尤其重要。有文献报道，母亲的维生素</w:t>
      </w:r>
      <w:r>
        <w:rPr>
          <w:rFonts w:ascii="宋体" w:eastAsia="宋体" w:hAnsi="宋体" w:cs="宋体"/>
          <w:spacing w:val="-60"/>
          <w:sz w:val="22"/>
          <w:szCs w:val="22"/>
        </w:rPr>
        <w:t xml:space="preserve"> </w:t>
      </w:r>
      <w:r>
        <w:rPr>
          <w:rFonts w:ascii="宋体" w:eastAsia="宋体" w:hAnsi="宋体" w:cs="宋体"/>
          <w:spacing w:val="-8"/>
          <w:sz w:val="22"/>
          <w:szCs w:val="22"/>
        </w:rPr>
        <w:t>A</w:t>
      </w:r>
      <w:r>
        <w:rPr>
          <w:rFonts w:ascii="宋体" w:eastAsia="宋体" w:hAnsi="宋体" w:cs="宋体"/>
          <w:spacing w:val="1"/>
          <w:sz w:val="22"/>
          <w:szCs w:val="22"/>
        </w:rPr>
        <w:t xml:space="preserve"> </w:t>
      </w:r>
      <w:r>
        <w:rPr>
          <w:rFonts w:ascii="宋体" w:eastAsia="宋体" w:hAnsi="宋体" w:cs="宋体"/>
          <w:spacing w:val="-8"/>
          <w:sz w:val="22"/>
          <w:szCs w:val="22"/>
        </w:rPr>
        <w:t>营养状况低下与早</w:t>
      </w:r>
      <w:r>
        <w:rPr>
          <w:rFonts w:ascii="宋体" w:eastAsia="宋体" w:hAnsi="宋体" w:cs="宋体"/>
          <w:sz w:val="22"/>
          <w:szCs w:val="22"/>
        </w:rPr>
        <w:t xml:space="preserve"> </w:t>
      </w:r>
      <w:r>
        <w:rPr>
          <w:rFonts w:ascii="宋体" w:eastAsia="宋体" w:hAnsi="宋体" w:cs="宋体"/>
          <w:spacing w:val="-8"/>
          <w:sz w:val="22"/>
          <w:szCs w:val="22"/>
        </w:rPr>
        <w:t>产、宫内发育迟缓及婴儿低出生体重有关。近来也有研究指出，维生素</w:t>
      </w:r>
      <w:r>
        <w:rPr>
          <w:rFonts w:ascii="宋体" w:eastAsia="宋体" w:hAnsi="宋体" w:cs="宋体"/>
          <w:spacing w:val="-49"/>
          <w:sz w:val="22"/>
          <w:szCs w:val="22"/>
        </w:rPr>
        <w:t xml:space="preserve"> </w:t>
      </w:r>
      <w:r>
        <w:rPr>
          <w:rFonts w:ascii="宋体" w:eastAsia="宋体" w:hAnsi="宋体" w:cs="宋体"/>
          <w:spacing w:val="-8"/>
          <w:sz w:val="22"/>
          <w:szCs w:val="22"/>
        </w:rPr>
        <w:t>A</w:t>
      </w:r>
      <w:r>
        <w:rPr>
          <w:rFonts w:ascii="宋体" w:eastAsia="宋体" w:hAnsi="宋体" w:cs="宋体"/>
          <w:spacing w:val="2"/>
          <w:sz w:val="22"/>
          <w:szCs w:val="22"/>
        </w:rPr>
        <w:t xml:space="preserve"> </w:t>
      </w:r>
      <w:r>
        <w:rPr>
          <w:rFonts w:ascii="宋体" w:eastAsia="宋体" w:hAnsi="宋体" w:cs="宋体"/>
          <w:spacing w:val="-8"/>
          <w:sz w:val="22"/>
          <w:szCs w:val="22"/>
        </w:rPr>
        <w:t>对孕</w:t>
      </w:r>
      <w:r>
        <w:rPr>
          <w:rFonts w:ascii="宋体" w:eastAsia="宋体" w:hAnsi="宋体" w:cs="宋体"/>
          <w:sz w:val="22"/>
          <w:szCs w:val="22"/>
        </w:rPr>
        <w:t xml:space="preserve"> </w:t>
      </w:r>
      <w:r>
        <w:rPr>
          <w:rFonts w:ascii="宋体" w:eastAsia="宋体" w:hAnsi="宋体" w:cs="宋体"/>
          <w:spacing w:val="-6"/>
          <w:sz w:val="22"/>
          <w:szCs w:val="22"/>
        </w:rPr>
        <w:t>妇的缺铁性贫血的预防具有积极意义。但妊娠期过量的维生素A</w:t>
      </w:r>
      <w:r>
        <w:rPr>
          <w:rFonts w:ascii="宋体" w:eastAsia="宋体" w:hAnsi="宋体" w:cs="宋体"/>
          <w:spacing w:val="4"/>
          <w:sz w:val="22"/>
          <w:szCs w:val="22"/>
        </w:rPr>
        <w:t xml:space="preserve"> </w:t>
      </w:r>
      <w:r>
        <w:rPr>
          <w:rFonts w:ascii="宋体" w:eastAsia="宋体" w:hAnsi="宋体" w:cs="宋体"/>
          <w:spacing w:val="-6"/>
          <w:sz w:val="22"/>
          <w:szCs w:val="22"/>
        </w:rPr>
        <w:t>摄入可能诱导</w:t>
      </w:r>
      <w:r>
        <w:rPr>
          <w:rFonts w:ascii="宋体" w:eastAsia="宋体" w:hAnsi="宋体" w:cs="宋体"/>
          <w:sz w:val="22"/>
          <w:szCs w:val="22"/>
        </w:rPr>
        <w:t xml:space="preserve"> </w:t>
      </w:r>
      <w:r>
        <w:rPr>
          <w:rFonts w:ascii="宋体" w:eastAsia="宋体" w:hAnsi="宋体" w:cs="宋体"/>
          <w:spacing w:val="-13"/>
          <w:sz w:val="22"/>
          <w:szCs w:val="22"/>
        </w:rPr>
        <w:t>细胞，尤其是神经外胚细胞在分化过程中发生改变，从而导致胎儿畸形</w:t>
      </w:r>
      <w:r>
        <w:rPr>
          <w:rFonts w:ascii="宋体" w:eastAsia="宋体" w:hAnsi="宋体" w:cs="宋体"/>
          <w:spacing w:val="-14"/>
          <w:sz w:val="22"/>
          <w:szCs w:val="22"/>
        </w:rPr>
        <w:t>。</w:t>
      </w:r>
    </w:p>
    <w:p w:rsidR="00EA40A3" w:rsidRDefault="00E86C16">
      <w:pPr>
        <w:spacing w:before="69" w:line="238" w:lineRule="auto"/>
        <w:ind w:right="79" w:firstLine="429"/>
        <w:jc w:val="both"/>
        <w:rPr>
          <w:rFonts w:ascii="宋体" w:eastAsia="宋体" w:hAnsi="宋体" w:cs="宋体"/>
          <w:sz w:val="22"/>
          <w:szCs w:val="22"/>
        </w:rPr>
      </w:pPr>
      <w:r>
        <w:rPr>
          <w:rFonts w:ascii="宋体" w:eastAsia="宋体" w:hAnsi="宋体" w:cs="宋体"/>
          <w:spacing w:val="-6"/>
          <w:sz w:val="22"/>
          <w:szCs w:val="22"/>
        </w:rPr>
        <w:t>中国营养学会于2000年《中国居民膳食营养素参考摄入量》</w:t>
      </w:r>
      <w:r>
        <w:rPr>
          <w:rFonts w:ascii="宋体" w:eastAsia="宋体" w:hAnsi="宋体" w:cs="宋体"/>
          <w:spacing w:val="-7"/>
          <w:sz w:val="22"/>
          <w:szCs w:val="22"/>
        </w:rPr>
        <w:t>中提出维生素</w:t>
      </w:r>
      <w:r>
        <w:rPr>
          <w:rFonts w:ascii="宋体" w:eastAsia="宋体" w:hAnsi="宋体" w:cs="宋体"/>
          <w:sz w:val="22"/>
          <w:szCs w:val="22"/>
        </w:rPr>
        <w:t xml:space="preserve"> </w:t>
      </w:r>
      <w:r>
        <w:rPr>
          <w:rFonts w:ascii="宋体" w:eastAsia="宋体" w:hAnsi="宋体" w:cs="宋体"/>
          <w:spacing w:val="-10"/>
          <w:sz w:val="22"/>
          <w:szCs w:val="22"/>
        </w:rPr>
        <w:t>A</w:t>
      </w:r>
      <w:r>
        <w:rPr>
          <w:rFonts w:ascii="宋体" w:eastAsia="宋体" w:hAnsi="宋体" w:cs="宋体"/>
          <w:spacing w:val="3"/>
          <w:sz w:val="22"/>
          <w:szCs w:val="22"/>
        </w:rPr>
        <w:t xml:space="preserve"> </w:t>
      </w:r>
      <w:r>
        <w:rPr>
          <w:rFonts w:ascii="宋体" w:eastAsia="宋体" w:hAnsi="宋体" w:cs="宋体"/>
          <w:spacing w:val="-10"/>
          <w:sz w:val="22"/>
          <w:szCs w:val="22"/>
        </w:rPr>
        <w:t>的推荐摄入量为妊娠早期800μg/d,</w:t>
      </w:r>
      <w:r>
        <w:rPr>
          <w:rFonts w:ascii="宋体" w:eastAsia="宋体" w:hAnsi="宋体" w:cs="宋体"/>
          <w:spacing w:val="-7"/>
          <w:sz w:val="22"/>
          <w:szCs w:val="22"/>
        </w:rPr>
        <w:t xml:space="preserve"> </w:t>
      </w:r>
      <w:r>
        <w:rPr>
          <w:rFonts w:ascii="宋体" w:eastAsia="宋体" w:hAnsi="宋体" w:cs="宋体"/>
          <w:spacing w:val="-10"/>
          <w:sz w:val="22"/>
          <w:szCs w:val="22"/>
        </w:rPr>
        <w:t>妊娠中、晚期900μg/d;</w:t>
      </w:r>
      <w:r>
        <w:rPr>
          <w:rFonts w:ascii="宋体" w:eastAsia="宋体" w:hAnsi="宋体" w:cs="宋体"/>
          <w:spacing w:val="-28"/>
          <w:sz w:val="22"/>
          <w:szCs w:val="22"/>
        </w:rPr>
        <w:t xml:space="preserve"> </w:t>
      </w:r>
      <w:r>
        <w:rPr>
          <w:rFonts w:ascii="宋体" w:eastAsia="宋体" w:hAnsi="宋体" w:cs="宋体"/>
          <w:spacing w:val="-10"/>
          <w:sz w:val="22"/>
          <w:szCs w:val="22"/>
        </w:rPr>
        <w:t>可耐受的最高摄</w:t>
      </w:r>
    </w:p>
    <w:p w:rsidR="00EA40A3" w:rsidRDefault="00E86C16">
      <w:pPr>
        <w:spacing w:before="66" w:line="215" w:lineRule="auto"/>
        <w:rPr>
          <w:rFonts w:ascii="宋体" w:eastAsia="宋体" w:hAnsi="宋体" w:cs="宋体"/>
          <w:sz w:val="22"/>
          <w:szCs w:val="22"/>
        </w:rPr>
      </w:pPr>
      <w:r>
        <w:rPr>
          <w:rFonts w:ascii="宋体" w:eastAsia="宋体" w:hAnsi="宋体" w:cs="宋体"/>
          <w:spacing w:val="-10"/>
          <w:sz w:val="22"/>
          <w:szCs w:val="22"/>
        </w:rPr>
        <w:t>人量</w:t>
      </w:r>
      <w:r>
        <w:rPr>
          <w:rFonts w:ascii="宋体" w:eastAsia="宋体" w:hAnsi="宋体" w:cs="宋体"/>
          <w:spacing w:val="-59"/>
          <w:sz w:val="22"/>
          <w:szCs w:val="22"/>
        </w:rPr>
        <w:t xml:space="preserve"> </w:t>
      </w:r>
      <w:r>
        <w:rPr>
          <w:rFonts w:ascii="宋体" w:eastAsia="宋体" w:hAnsi="宋体" w:cs="宋体"/>
          <w:spacing w:val="-10"/>
          <w:sz w:val="22"/>
          <w:szCs w:val="22"/>
        </w:rPr>
        <w:t>UL</w:t>
      </w:r>
      <w:r>
        <w:rPr>
          <w:rFonts w:ascii="宋体" w:eastAsia="宋体" w:hAnsi="宋体" w:cs="宋体"/>
          <w:spacing w:val="13"/>
          <w:sz w:val="22"/>
          <w:szCs w:val="22"/>
        </w:rPr>
        <w:t xml:space="preserve"> </w:t>
      </w:r>
      <w:r>
        <w:rPr>
          <w:rFonts w:ascii="宋体" w:eastAsia="宋体" w:hAnsi="宋体" w:cs="宋体"/>
          <w:spacing w:val="-10"/>
          <w:sz w:val="22"/>
          <w:szCs w:val="22"/>
        </w:rPr>
        <w:t>值为2400μg/d。</w:t>
      </w:r>
    </w:p>
    <w:p w:rsidR="00EA40A3" w:rsidRDefault="00E86C16">
      <w:pPr>
        <w:spacing w:before="1" w:line="219" w:lineRule="auto"/>
        <w:rPr>
          <w:rFonts w:ascii="宋体" w:eastAsia="宋体" w:hAnsi="宋体" w:cs="宋体"/>
          <w:sz w:val="22"/>
          <w:szCs w:val="22"/>
        </w:rPr>
      </w:pPr>
      <w:r>
        <w:rPr>
          <w:rFonts w:ascii="宋体" w:eastAsia="宋体" w:hAnsi="宋体" w:cs="宋体"/>
          <w:spacing w:val="14"/>
          <w:sz w:val="22"/>
          <w:szCs w:val="22"/>
        </w:rPr>
        <w:t>2)维生素D</w:t>
      </w:r>
    </w:p>
    <w:p w:rsidR="00EA40A3" w:rsidRDefault="00E86C16">
      <w:pPr>
        <w:spacing w:before="78" w:line="245" w:lineRule="auto"/>
        <w:ind w:firstLine="429"/>
        <w:jc w:val="both"/>
        <w:rPr>
          <w:rFonts w:ascii="宋体" w:eastAsia="宋体" w:hAnsi="宋体" w:cs="宋体"/>
          <w:sz w:val="22"/>
          <w:szCs w:val="22"/>
        </w:rPr>
      </w:pPr>
      <w:r>
        <w:rPr>
          <w:rFonts w:ascii="宋体" w:eastAsia="宋体" w:hAnsi="宋体" w:cs="宋体"/>
          <w:spacing w:val="-6"/>
          <w:sz w:val="22"/>
          <w:szCs w:val="22"/>
        </w:rPr>
        <w:t>维生素D</w:t>
      </w:r>
      <w:r>
        <w:rPr>
          <w:rFonts w:ascii="宋体" w:eastAsia="宋体" w:hAnsi="宋体" w:cs="宋体"/>
          <w:spacing w:val="-8"/>
          <w:sz w:val="22"/>
          <w:szCs w:val="22"/>
        </w:rPr>
        <w:t xml:space="preserve"> </w:t>
      </w:r>
      <w:r>
        <w:rPr>
          <w:rFonts w:ascii="宋体" w:eastAsia="宋体" w:hAnsi="宋体" w:cs="宋体"/>
          <w:spacing w:val="-6"/>
          <w:sz w:val="22"/>
          <w:szCs w:val="22"/>
        </w:rPr>
        <w:t>均可通过简单扩散经胎盘进入胎儿体内，并在其体内被活化，因</w:t>
      </w:r>
      <w:r>
        <w:rPr>
          <w:rFonts w:ascii="宋体" w:eastAsia="宋体" w:hAnsi="宋体" w:cs="宋体"/>
          <w:sz w:val="22"/>
          <w:szCs w:val="22"/>
        </w:rPr>
        <w:t xml:space="preserve"> </w:t>
      </w:r>
      <w:r>
        <w:rPr>
          <w:rFonts w:ascii="宋体" w:eastAsia="宋体" w:hAnsi="宋体" w:cs="宋体"/>
          <w:spacing w:val="-10"/>
          <w:sz w:val="22"/>
          <w:szCs w:val="22"/>
        </w:rPr>
        <w:t>而在维持妊娠期钙平衡、调节孕妇及胎儿机体的免疫反</w:t>
      </w:r>
      <w:r>
        <w:rPr>
          <w:rFonts w:ascii="宋体" w:eastAsia="宋体" w:hAnsi="宋体" w:cs="宋体"/>
          <w:spacing w:val="-11"/>
          <w:sz w:val="22"/>
          <w:szCs w:val="22"/>
        </w:rPr>
        <w:t>应方面均具有重要功能。</w:t>
      </w:r>
      <w:r>
        <w:rPr>
          <w:rFonts w:ascii="宋体" w:eastAsia="宋体" w:hAnsi="宋体" w:cs="宋体"/>
          <w:sz w:val="22"/>
          <w:szCs w:val="22"/>
        </w:rPr>
        <w:t xml:space="preserve"> </w:t>
      </w:r>
      <w:r>
        <w:rPr>
          <w:rFonts w:ascii="宋体" w:eastAsia="宋体" w:hAnsi="宋体" w:cs="宋体"/>
          <w:spacing w:val="-6"/>
          <w:sz w:val="22"/>
          <w:szCs w:val="22"/>
        </w:rPr>
        <w:t>妊娠期间维生素D</w:t>
      </w:r>
      <w:r>
        <w:rPr>
          <w:rFonts w:ascii="宋体" w:eastAsia="宋体" w:hAnsi="宋体" w:cs="宋体"/>
          <w:spacing w:val="-16"/>
          <w:sz w:val="22"/>
          <w:szCs w:val="22"/>
        </w:rPr>
        <w:t xml:space="preserve"> </w:t>
      </w:r>
      <w:r>
        <w:rPr>
          <w:rFonts w:ascii="宋体" w:eastAsia="宋体" w:hAnsi="宋体" w:cs="宋体"/>
          <w:spacing w:val="-6"/>
          <w:sz w:val="22"/>
          <w:szCs w:val="22"/>
        </w:rPr>
        <w:t>缺乏可能导致母亲和婴儿钙代谢紊乱，并引起各种病症</w:t>
      </w:r>
      <w:r>
        <w:rPr>
          <w:rFonts w:ascii="宋体" w:eastAsia="宋体" w:hAnsi="宋体" w:cs="宋体"/>
          <w:spacing w:val="-7"/>
          <w:sz w:val="22"/>
          <w:szCs w:val="22"/>
        </w:rPr>
        <w:t>如新</w:t>
      </w:r>
      <w:r>
        <w:rPr>
          <w:rFonts w:ascii="宋体" w:eastAsia="宋体" w:hAnsi="宋体" w:cs="宋体"/>
          <w:sz w:val="22"/>
          <w:szCs w:val="22"/>
        </w:rPr>
        <w:t xml:space="preserve"> </w:t>
      </w:r>
      <w:r>
        <w:rPr>
          <w:rFonts w:ascii="宋体" w:eastAsia="宋体" w:hAnsi="宋体" w:cs="宋体"/>
          <w:spacing w:val="-12"/>
          <w:sz w:val="22"/>
          <w:szCs w:val="22"/>
        </w:rPr>
        <w:t>生儿低钙血症、手足抽搐以及母体骨质软化症。紫外光的照射可以促进孕妇</w:t>
      </w:r>
      <w:r>
        <w:rPr>
          <w:rFonts w:ascii="宋体" w:eastAsia="宋体" w:hAnsi="宋体" w:cs="宋体"/>
          <w:spacing w:val="-13"/>
          <w:sz w:val="22"/>
          <w:szCs w:val="22"/>
        </w:rPr>
        <w:t>体内</w:t>
      </w:r>
      <w:r>
        <w:rPr>
          <w:rFonts w:ascii="宋体" w:eastAsia="宋体" w:hAnsi="宋体" w:cs="宋体"/>
          <w:sz w:val="22"/>
          <w:szCs w:val="22"/>
        </w:rPr>
        <w:t xml:space="preserve"> </w:t>
      </w:r>
      <w:r>
        <w:rPr>
          <w:rFonts w:ascii="宋体" w:eastAsia="宋体" w:hAnsi="宋体" w:cs="宋体"/>
          <w:spacing w:val="-9"/>
          <w:sz w:val="22"/>
          <w:szCs w:val="22"/>
        </w:rPr>
        <w:t>维生素D</w:t>
      </w:r>
      <w:r>
        <w:rPr>
          <w:rFonts w:ascii="宋体" w:eastAsia="宋体" w:hAnsi="宋体" w:cs="宋体"/>
          <w:spacing w:val="-6"/>
          <w:sz w:val="22"/>
          <w:szCs w:val="22"/>
        </w:rPr>
        <w:t xml:space="preserve"> </w:t>
      </w:r>
      <w:r>
        <w:rPr>
          <w:rFonts w:ascii="宋体" w:eastAsia="宋体" w:hAnsi="宋体" w:cs="宋体"/>
          <w:spacing w:val="-9"/>
          <w:sz w:val="22"/>
          <w:szCs w:val="22"/>
        </w:rPr>
        <w:t>的合成，但对于缺乏日光照射的地区，则主要依赖食源性的维生素</w:t>
      </w:r>
      <w:r>
        <w:rPr>
          <w:rFonts w:ascii="宋体" w:eastAsia="宋体" w:hAnsi="宋体" w:cs="宋体"/>
          <w:spacing w:val="-10"/>
          <w:sz w:val="22"/>
          <w:szCs w:val="22"/>
        </w:rPr>
        <w:t>D。</w:t>
      </w:r>
    </w:p>
    <w:p w:rsidR="00EA40A3" w:rsidRDefault="00E86C16">
      <w:pPr>
        <w:spacing w:before="89" w:line="219" w:lineRule="auto"/>
        <w:ind w:left="429"/>
        <w:rPr>
          <w:rFonts w:ascii="宋体" w:eastAsia="宋体" w:hAnsi="宋体" w:cs="宋体"/>
          <w:sz w:val="22"/>
          <w:szCs w:val="22"/>
        </w:rPr>
      </w:pPr>
      <w:r>
        <w:rPr>
          <w:rFonts w:ascii="宋体" w:eastAsia="宋体" w:hAnsi="宋体" w:cs="宋体"/>
          <w:spacing w:val="-6"/>
          <w:sz w:val="22"/>
          <w:szCs w:val="22"/>
        </w:rPr>
        <w:t>中国营养学会于2000年《中国居民膳食营养素参考摄入量》中推荐妊娠期</w:t>
      </w:r>
    </w:p>
    <w:p w:rsidR="00EA40A3" w:rsidRDefault="00E86C16">
      <w:pPr>
        <w:spacing w:before="44"/>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302</w:t>
      </w:r>
      <w:r>
        <w:rPr>
          <w:rFonts w:ascii="宋体" w:eastAsia="宋体" w:hAnsi="宋体" w:cs="宋体"/>
          <w:spacing w:val="61"/>
          <w:w w:val="101"/>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257"/>
          <w:pgSz w:w="9220" w:h="13360"/>
          <w:pgMar w:top="400" w:right="1040" w:bottom="400" w:left="840" w:header="0" w:footer="0" w:gutter="0"/>
          <w:cols w:space="720"/>
        </w:sectPr>
      </w:pPr>
    </w:p>
    <w:p w:rsidR="00EA40A3" w:rsidRDefault="00EA40A3">
      <w:pPr>
        <w:spacing w:line="278" w:lineRule="auto"/>
      </w:pPr>
    </w:p>
    <w:p w:rsidR="00EA40A3" w:rsidRDefault="00EA40A3">
      <w:pPr>
        <w:spacing w:line="279" w:lineRule="auto"/>
      </w:pPr>
    </w:p>
    <w:p w:rsidR="00EA40A3" w:rsidRDefault="00E86C16">
      <w:pPr>
        <w:spacing w:before="71" w:line="241" w:lineRule="auto"/>
        <w:ind w:right="105"/>
        <w:rPr>
          <w:rFonts w:ascii="宋体" w:eastAsia="宋体" w:hAnsi="宋体" w:cs="宋体"/>
          <w:sz w:val="22"/>
          <w:szCs w:val="22"/>
        </w:rPr>
      </w:pPr>
      <w:r>
        <w:rPr>
          <w:rFonts w:ascii="宋体" w:eastAsia="宋体" w:hAnsi="宋体" w:cs="宋体"/>
          <w:spacing w:val="-9"/>
          <w:sz w:val="22"/>
          <w:szCs w:val="22"/>
        </w:rPr>
        <w:t>妇女维生素D</w:t>
      </w:r>
      <w:r>
        <w:rPr>
          <w:rFonts w:ascii="宋体" w:eastAsia="宋体" w:hAnsi="宋体" w:cs="宋体"/>
          <w:spacing w:val="-17"/>
          <w:sz w:val="22"/>
          <w:szCs w:val="22"/>
        </w:rPr>
        <w:t xml:space="preserve"> </w:t>
      </w:r>
      <w:r>
        <w:rPr>
          <w:rFonts w:ascii="宋体" w:eastAsia="宋体" w:hAnsi="宋体" w:cs="宋体"/>
          <w:spacing w:val="-9"/>
          <w:sz w:val="22"/>
          <w:szCs w:val="22"/>
        </w:rPr>
        <w:t>参考摄入量为10μg/d。鉴于过量摄入可能导致的婴儿高血钙症及</w:t>
      </w:r>
      <w:r>
        <w:rPr>
          <w:rFonts w:ascii="宋体" w:eastAsia="宋体" w:hAnsi="宋体" w:cs="宋体"/>
          <w:sz w:val="22"/>
          <w:szCs w:val="22"/>
        </w:rPr>
        <w:t xml:space="preserve"> </w:t>
      </w:r>
      <w:r>
        <w:rPr>
          <w:rFonts w:ascii="宋体" w:eastAsia="宋体" w:hAnsi="宋体" w:cs="宋体"/>
          <w:spacing w:val="-9"/>
          <w:sz w:val="22"/>
          <w:szCs w:val="22"/>
        </w:rPr>
        <w:t>其他可能的不利影响，设定UL</w:t>
      </w:r>
      <w:r>
        <w:rPr>
          <w:rFonts w:ascii="宋体" w:eastAsia="宋体" w:hAnsi="宋体" w:cs="宋体"/>
          <w:spacing w:val="24"/>
          <w:sz w:val="22"/>
          <w:szCs w:val="22"/>
        </w:rPr>
        <w:t xml:space="preserve"> </w:t>
      </w:r>
      <w:r>
        <w:rPr>
          <w:rFonts w:ascii="宋体" w:eastAsia="宋体" w:hAnsi="宋体" w:cs="宋体"/>
          <w:spacing w:val="-9"/>
          <w:sz w:val="22"/>
          <w:szCs w:val="22"/>
        </w:rPr>
        <w:t>值为20μg/d。</w:t>
      </w:r>
    </w:p>
    <w:p w:rsidR="00EA40A3" w:rsidRDefault="00E86C16">
      <w:pPr>
        <w:spacing w:before="47" w:line="232" w:lineRule="auto"/>
        <w:rPr>
          <w:rFonts w:ascii="楷体" w:eastAsia="楷体" w:hAnsi="楷体" w:cs="楷体"/>
          <w:sz w:val="22"/>
          <w:szCs w:val="22"/>
        </w:rPr>
      </w:pPr>
      <w:r>
        <w:rPr>
          <w:rFonts w:ascii="楷体" w:eastAsia="楷体" w:hAnsi="楷体" w:cs="楷体"/>
          <w:spacing w:val="-2"/>
          <w:sz w:val="22"/>
          <w:szCs w:val="22"/>
        </w:rPr>
        <w:t>3)叶酸</w:t>
      </w:r>
    </w:p>
    <w:p w:rsidR="00EA40A3" w:rsidRDefault="00E86C16">
      <w:pPr>
        <w:spacing w:before="27" w:line="249" w:lineRule="auto"/>
        <w:ind w:firstLine="410"/>
        <w:jc w:val="both"/>
        <w:rPr>
          <w:rFonts w:ascii="宋体" w:eastAsia="宋体" w:hAnsi="宋体" w:cs="宋体"/>
          <w:sz w:val="22"/>
          <w:szCs w:val="22"/>
        </w:rPr>
      </w:pPr>
      <w:r>
        <w:rPr>
          <w:rFonts w:ascii="宋体" w:eastAsia="宋体" w:hAnsi="宋体" w:cs="宋体"/>
          <w:spacing w:val="-13"/>
          <w:sz w:val="22"/>
          <w:szCs w:val="22"/>
        </w:rPr>
        <w:t>妊娠期妇女血清叶酸水平降低，尤其在中、晚期。妊娠妇女缺乏叶酸可能导</w:t>
      </w:r>
      <w:r>
        <w:rPr>
          <w:rFonts w:ascii="宋体" w:eastAsia="宋体" w:hAnsi="宋体" w:cs="宋体"/>
          <w:sz w:val="22"/>
          <w:szCs w:val="22"/>
        </w:rPr>
        <w:t xml:space="preserve">  </w:t>
      </w:r>
      <w:r>
        <w:rPr>
          <w:rFonts w:ascii="宋体" w:eastAsia="宋体" w:hAnsi="宋体" w:cs="宋体"/>
          <w:spacing w:val="-13"/>
          <w:sz w:val="22"/>
          <w:szCs w:val="22"/>
        </w:rPr>
        <w:t>致妊娠期巨细胞性贫血、胎盘早剥、神经管畸形以及低体重出生儿等。其中，神</w:t>
      </w:r>
      <w:r>
        <w:rPr>
          <w:rFonts w:ascii="宋体" w:eastAsia="宋体" w:hAnsi="宋体" w:cs="宋体"/>
          <w:sz w:val="22"/>
          <w:szCs w:val="22"/>
        </w:rPr>
        <w:t xml:space="preserve">  </w:t>
      </w:r>
      <w:r>
        <w:rPr>
          <w:rFonts w:ascii="宋体" w:eastAsia="宋体" w:hAnsi="宋体" w:cs="宋体"/>
          <w:spacing w:val="-12"/>
          <w:sz w:val="22"/>
          <w:szCs w:val="22"/>
        </w:rPr>
        <w:t>经管畸形又称无脑儿、脊柱裂，是新生儿常见的</w:t>
      </w:r>
      <w:r>
        <w:rPr>
          <w:rFonts w:ascii="宋体" w:eastAsia="宋体" w:hAnsi="宋体" w:cs="宋体"/>
          <w:spacing w:val="-13"/>
          <w:sz w:val="22"/>
          <w:szCs w:val="22"/>
        </w:rPr>
        <w:t>一种先天畸形。现在已有多项的</w:t>
      </w:r>
      <w:r>
        <w:rPr>
          <w:rFonts w:ascii="宋体" w:eastAsia="宋体" w:hAnsi="宋体" w:cs="宋体"/>
          <w:sz w:val="22"/>
          <w:szCs w:val="22"/>
        </w:rPr>
        <w:t xml:space="preserve"> </w:t>
      </w:r>
      <w:r>
        <w:rPr>
          <w:rFonts w:ascii="宋体" w:eastAsia="宋体" w:hAnsi="宋体" w:cs="宋体"/>
          <w:spacing w:val="-13"/>
          <w:sz w:val="22"/>
          <w:szCs w:val="22"/>
        </w:rPr>
        <w:t>研究证明，妊娠期叶酸摄入量是神经管畸形危险性的重要决定因素。在怀孕前以</w:t>
      </w:r>
      <w:r>
        <w:rPr>
          <w:rFonts w:ascii="宋体" w:eastAsia="宋体" w:hAnsi="宋体" w:cs="宋体"/>
          <w:spacing w:val="1"/>
          <w:sz w:val="22"/>
          <w:szCs w:val="22"/>
        </w:rPr>
        <w:t xml:space="preserve">  </w:t>
      </w:r>
      <w:r>
        <w:rPr>
          <w:rFonts w:ascii="宋体" w:eastAsia="宋体" w:hAnsi="宋体" w:cs="宋体"/>
          <w:spacing w:val="-8"/>
          <w:sz w:val="22"/>
          <w:szCs w:val="22"/>
        </w:rPr>
        <w:t>及妊娠早期补充叶酸400μg/d</w:t>
      </w:r>
      <w:r>
        <w:rPr>
          <w:rFonts w:ascii="宋体" w:eastAsia="宋体" w:hAnsi="宋体" w:cs="宋体"/>
          <w:spacing w:val="-48"/>
          <w:sz w:val="22"/>
          <w:szCs w:val="22"/>
        </w:rPr>
        <w:t xml:space="preserve"> </w:t>
      </w:r>
      <w:r>
        <w:rPr>
          <w:rFonts w:ascii="宋体" w:eastAsia="宋体" w:hAnsi="宋体" w:cs="宋体"/>
          <w:spacing w:val="-8"/>
          <w:sz w:val="22"/>
          <w:szCs w:val="22"/>
        </w:rPr>
        <w:t>可有效预防神经管畸形的发生。因此，妊娠期妇</w:t>
      </w:r>
      <w:r>
        <w:rPr>
          <w:rFonts w:ascii="宋体" w:eastAsia="宋体" w:hAnsi="宋体" w:cs="宋体"/>
          <w:sz w:val="22"/>
          <w:szCs w:val="22"/>
        </w:rPr>
        <w:t xml:space="preserve">  </w:t>
      </w:r>
      <w:r>
        <w:rPr>
          <w:rFonts w:ascii="宋体" w:eastAsia="宋体" w:hAnsi="宋体" w:cs="宋体"/>
          <w:spacing w:val="-13"/>
          <w:sz w:val="22"/>
          <w:szCs w:val="22"/>
        </w:rPr>
        <w:t>女在怀孕前一段时期以及整个妊娠期间对叶酸的需要量都较正常妇女增加</w:t>
      </w:r>
      <w:r>
        <w:rPr>
          <w:rFonts w:ascii="宋体" w:eastAsia="宋体" w:hAnsi="宋体" w:cs="宋体"/>
          <w:spacing w:val="-14"/>
          <w:sz w:val="22"/>
          <w:szCs w:val="22"/>
        </w:rPr>
        <w:t>。但需</w:t>
      </w:r>
      <w:r>
        <w:rPr>
          <w:rFonts w:ascii="宋体" w:eastAsia="宋体" w:hAnsi="宋体" w:cs="宋体"/>
          <w:sz w:val="22"/>
          <w:szCs w:val="22"/>
        </w:rPr>
        <w:t xml:space="preserve">  </w:t>
      </w:r>
      <w:r>
        <w:rPr>
          <w:rFonts w:ascii="宋体" w:eastAsia="宋体" w:hAnsi="宋体" w:cs="宋体"/>
          <w:spacing w:val="-10"/>
          <w:sz w:val="22"/>
          <w:szCs w:val="22"/>
        </w:rPr>
        <w:t>要明确的是，叶酸摄入量过高可掩盖维生素</w:t>
      </w:r>
      <w:r>
        <w:rPr>
          <w:rFonts w:ascii="宋体" w:eastAsia="宋体" w:hAnsi="宋体" w:cs="宋体"/>
          <w:spacing w:val="-54"/>
          <w:sz w:val="22"/>
          <w:szCs w:val="22"/>
        </w:rPr>
        <w:t xml:space="preserve"> </w:t>
      </w:r>
      <w:r>
        <w:rPr>
          <w:rFonts w:ascii="宋体" w:eastAsia="宋体" w:hAnsi="宋体" w:cs="宋体"/>
          <w:spacing w:val="-10"/>
          <w:sz w:val="22"/>
          <w:szCs w:val="22"/>
        </w:rPr>
        <w:t>B</w:t>
      </w:r>
      <w:r>
        <w:rPr>
          <w:rFonts w:ascii="Calibri" w:eastAsia="Calibri" w:hAnsi="Calibri" w:cs="Calibri"/>
          <w:spacing w:val="-10"/>
          <w:sz w:val="22"/>
          <w:szCs w:val="22"/>
        </w:rPr>
        <w:t>₂</w:t>
      </w:r>
      <w:r>
        <w:rPr>
          <w:rFonts w:ascii="Calibri" w:eastAsia="Calibri" w:hAnsi="Calibri" w:cs="Calibri"/>
          <w:spacing w:val="5"/>
          <w:sz w:val="22"/>
          <w:szCs w:val="22"/>
        </w:rPr>
        <w:t xml:space="preserve">  </w:t>
      </w:r>
      <w:r>
        <w:rPr>
          <w:rFonts w:ascii="宋体" w:eastAsia="宋体" w:hAnsi="宋体" w:cs="宋体"/>
          <w:spacing w:val="-10"/>
          <w:sz w:val="22"/>
          <w:szCs w:val="22"/>
        </w:rPr>
        <w:t>缺乏的血液学指标，可能产生不</w:t>
      </w:r>
      <w:r>
        <w:rPr>
          <w:rFonts w:ascii="宋体" w:eastAsia="宋体" w:hAnsi="宋体" w:cs="宋体"/>
          <w:spacing w:val="1"/>
          <w:sz w:val="22"/>
          <w:szCs w:val="22"/>
        </w:rPr>
        <w:t xml:space="preserve"> </w:t>
      </w:r>
      <w:r>
        <w:rPr>
          <w:rFonts w:ascii="宋体" w:eastAsia="宋体" w:hAnsi="宋体" w:cs="宋体"/>
          <w:spacing w:val="-9"/>
          <w:sz w:val="22"/>
          <w:szCs w:val="22"/>
        </w:rPr>
        <w:t>可逆的神经系统损害而延误治疗，因此叶酸补充量</w:t>
      </w:r>
      <w:r>
        <w:rPr>
          <w:rFonts w:ascii="宋体" w:eastAsia="宋体" w:hAnsi="宋体" w:cs="宋体"/>
          <w:spacing w:val="-10"/>
          <w:sz w:val="22"/>
          <w:szCs w:val="22"/>
        </w:rPr>
        <w:t>应控制在1</w:t>
      </w:r>
      <w:r>
        <w:rPr>
          <w:rFonts w:ascii="宋体" w:eastAsia="宋体" w:hAnsi="宋体" w:cs="宋体"/>
          <w:spacing w:val="-9"/>
          <w:sz w:val="22"/>
          <w:szCs w:val="22"/>
        </w:rPr>
        <w:t>mg</w:t>
      </w:r>
      <w:r>
        <w:rPr>
          <w:rFonts w:ascii="宋体" w:eastAsia="宋体" w:hAnsi="宋体" w:cs="宋体"/>
          <w:spacing w:val="-10"/>
          <w:sz w:val="22"/>
          <w:szCs w:val="22"/>
        </w:rPr>
        <w:t>/d</w:t>
      </w:r>
      <w:r>
        <w:rPr>
          <w:rFonts w:ascii="宋体" w:eastAsia="宋体" w:hAnsi="宋体" w:cs="宋体"/>
          <w:spacing w:val="-8"/>
          <w:sz w:val="22"/>
          <w:szCs w:val="22"/>
        </w:rPr>
        <w:t xml:space="preserve"> </w:t>
      </w:r>
      <w:r>
        <w:rPr>
          <w:rFonts w:ascii="宋体" w:eastAsia="宋体" w:hAnsi="宋体" w:cs="宋体"/>
          <w:spacing w:val="-10"/>
          <w:sz w:val="22"/>
          <w:szCs w:val="22"/>
        </w:rPr>
        <w:t>以下。另外，</w:t>
      </w:r>
      <w:r>
        <w:rPr>
          <w:rFonts w:ascii="宋体" w:eastAsia="宋体" w:hAnsi="宋体" w:cs="宋体"/>
          <w:sz w:val="22"/>
          <w:szCs w:val="22"/>
        </w:rPr>
        <w:t xml:space="preserve"> 发表在最近出版的《英国医学会会刊》上的一份研</w:t>
      </w:r>
      <w:r>
        <w:rPr>
          <w:rFonts w:ascii="宋体" w:eastAsia="宋体" w:hAnsi="宋体" w:cs="宋体"/>
          <w:spacing w:val="-1"/>
          <w:sz w:val="22"/>
          <w:szCs w:val="22"/>
        </w:rPr>
        <w:t>究报告称，通过对3000名</w:t>
      </w:r>
      <w:r>
        <w:rPr>
          <w:rFonts w:ascii="宋体" w:eastAsia="宋体" w:hAnsi="宋体" w:cs="宋体"/>
          <w:sz w:val="22"/>
          <w:szCs w:val="22"/>
        </w:rPr>
        <w:t xml:space="preserve">  </w:t>
      </w:r>
      <w:r>
        <w:rPr>
          <w:rFonts w:ascii="宋体" w:eastAsia="宋体" w:hAnsi="宋体" w:cs="宋体"/>
          <w:spacing w:val="-3"/>
          <w:sz w:val="22"/>
          <w:szCs w:val="22"/>
        </w:rPr>
        <w:t>1960年怀孕妇女的追踪调查发现，到2002年9月</w:t>
      </w:r>
      <w:r>
        <w:rPr>
          <w:rFonts w:ascii="宋体" w:eastAsia="宋体" w:hAnsi="宋体" w:cs="宋体"/>
          <w:spacing w:val="-4"/>
          <w:sz w:val="22"/>
          <w:szCs w:val="22"/>
        </w:rPr>
        <w:t>，当年补充叶酸的孕妇乳腺癌</w:t>
      </w:r>
      <w:r>
        <w:rPr>
          <w:rFonts w:ascii="宋体" w:eastAsia="宋体" w:hAnsi="宋体" w:cs="宋体"/>
          <w:sz w:val="22"/>
          <w:szCs w:val="22"/>
        </w:rPr>
        <w:t xml:space="preserve">  </w:t>
      </w:r>
      <w:r>
        <w:rPr>
          <w:rFonts w:ascii="宋体" w:eastAsia="宋体" w:hAnsi="宋体" w:cs="宋体"/>
          <w:spacing w:val="-13"/>
          <w:sz w:val="22"/>
          <w:szCs w:val="22"/>
        </w:rPr>
        <w:t>发病率是服用安慰剂孕妇的两倍，因此研究者开始怀疑妊娠期妇女补充叶酸是否</w:t>
      </w:r>
      <w:r>
        <w:rPr>
          <w:rFonts w:ascii="宋体" w:eastAsia="宋体" w:hAnsi="宋体" w:cs="宋体"/>
          <w:sz w:val="22"/>
          <w:szCs w:val="22"/>
        </w:rPr>
        <w:t xml:space="preserve">  </w:t>
      </w:r>
      <w:r>
        <w:rPr>
          <w:rFonts w:ascii="宋体" w:eastAsia="宋体" w:hAnsi="宋体" w:cs="宋体"/>
          <w:spacing w:val="-13"/>
          <w:sz w:val="22"/>
          <w:szCs w:val="22"/>
        </w:rPr>
        <w:t>会增加患乳腺癌危险，但也提出若获得该结论尚需进一步的研究。</w:t>
      </w:r>
    </w:p>
    <w:p w:rsidR="00EA40A3" w:rsidRDefault="00E86C16">
      <w:pPr>
        <w:spacing w:before="143" w:line="232" w:lineRule="auto"/>
        <w:ind w:right="1177" w:firstLine="410"/>
        <w:rPr>
          <w:rFonts w:ascii="楷体" w:eastAsia="楷体" w:hAnsi="楷体" w:cs="楷体"/>
          <w:sz w:val="22"/>
          <w:szCs w:val="22"/>
        </w:rPr>
      </w:pPr>
      <w:r>
        <w:rPr>
          <w:rFonts w:ascii="宋体" w:eastAsia="宋体" w:hAnsi="宋体" w:cs="宋体"/>
          <w:spacing w:val="-10"/>
          <w:sz w:val="22"/>
          <w:szCs w:val="22"/>
        </w:rPr>
        <w:t>2000年中国营养学会对叶酸的推荐摄入量</w:t>
      </w:r>
      <w:r>
        <w:rPr>
          <w:rFonts w:ascii="宋体" w:eastAsia="宋体" w:hAnsi="宋体" w:cs="宋体"/>
          <w:spacing w:val="-19"/>
          <w:sz w:val="22"/>
          <w:szCs w:val="22"/>
        </w:rPr>
        <w:t xml:space="preserve"> </w:t>
      </w:r>
      <w:r>
        <w:rPr>
          <w:rFonts w:ascii="宋体" w:eastAsia="宋体" w:hAnsi="宋体" w:cs="宋体"/>
          <w:spacing w:val="-10"/>
          <w:sz w:val="22"/>
          <w:szCs w:val="22"/>
        </w:rPr>
        <w:t>(RNI)</w:t>
      </w:r>
      <w:r>
        <w:rPr>
          <w:rFonts w:ascii="宋体" w:eastAsia="宋体" w:hAnsi="宋体" w:cs="宋体"/>
          <w:spacing w:val="68"/>
          <w:sz w:val="22"/>
          <w:szCs w:val="22"/>
        </w:rPr>
        <w:t xml:space="preserve"> </w:t>
      </w:r>
      <w:r>
        <w:rPr>
          <w:rFonts w:ascii="宋体" w:eastAsia="宋体" w:hAnsi="宋体" w:cs="宋体"/>
          <w:spacing w:val="-10"/>
          <w:sz w:val="22"/>
          <w:szCs w:val="22"/>
        </w:rPr>
        <w:t>为600μg/d。</w:t>
      </w:r>
      <w:r>
        <w:rPr>
          <w:rFonts w:ascii="宋体" w:eastAsia="宋体" w:hAnsi="宋体" w:cs="宋体"/>
          <w:sz w:val="22"/>
          <w:szCs w:val="22"/>
        </w:rPr>
        <w:t xml:space="preserve"> </w:t>
      </w:r>
      <w:r>
        <w:rPr>
          <w:rFonts w:ascii="楷体" w:eastAsia="楷体" w:hAnsi="楷体" w:cs="楷体"/>
          <w:spacing w:val="-1"/>
          <w:sz w:val="22"/>
          <w:szCs w:val="22"/>
        </w:rPr>
        <w:t>4)其他维生素</w:t>
      </w:r>
    </w:p>
    <w:p w:rsidR="00EA40A3" w:rsidRDefault="00E86C16">
      <w:pPr>
        <w:spacing w:before="55" w:line="247" w:lineRule="auto"/>
        <w:ind w:right="88" w:firstLine="410"/>
        <w:rPr>
          <w:rFonts w:ascii="宋体" w:eastAsia="宋体" w:hAnsi="宋体" w:cs="宋体"/>
          <w:sz w:val="22"/>
          <w:szCs w:val="22"/>
        </w:rPr>
      </w:pPr>
      <w:r>
        <w:rPr>
          <w:rFonts w:ascii="宋体" w:eastAsia="宋体" w:hAnsi="宋体" w:cs="宋体"/>
          <w:spacing w:val="-7"/>
          <w:sz w:val="22"/>
          <w:szCs w:val="22"/>
        </w:rPr>
        <w:t>除了上述的维生素A、</w:t>
      </w:r>
      <w:r>
        <w:rPr>
          <w:rFonts w:ascii="宋体" w:eastAsia="宋体" w:hAnsi="宋体" w:cs="宋体"/>
          <w:spacing w:val="-33"/>
          <w:sz w:val="22"/>
          <w:szCs w:val="22"/>
        </w:rPr>
        <w:t xml:space="preserve"> </w:t>
      </w:r>
      <w:r>
        <w:rPr>
          <w:rFonts w:ascii="宋体" w:eastAsia="宋体" w:hAnsi="宋体" w:cs="宋体"/>
          <w:spacing w:val="-7"/>
          <w:sz w:val="22"/>
          <w:szCs w:val="22"/>
        </w:rPr>
        <w:t>维生素</w:t>
      </w:r>
      <w:r>
        <w:rPr>
          <w:rFonts w:ascii="宋体" w:eastAsia="宋体" w:hAnsi="宋体" w:cs="宋体"/>
          <w:spacing w:val="-58"/>
          <w:sz w:val="22"/>
          <w:szCs w:val="22"/>
        </w:rPr>
        <w:t xml:space="preserve"> </w:t>
      </w:r>
      <w:r>
        <w:rPr>
          <w:rFonts w:ascii="宋体" w:eastAsia="宋体" w:hAnsi="宋体" w:cs="宋体"/>
          <w:spacing w:val="-7"/>
          <w:sz w:val="22"/>
          <w:szCs w:val="22"/>
        </w:rPr>
        <w:t>D</w:t>
      </w:r>
      <w:r>
        <w:rPr>
          <w:rFonts w:ascii="宋体" w:eastAsia="宋体" w:hAnsi="宋体" w:cs="宋体"/>
          <w:spacing w:val="-5"/>
          <w:sz w:val="22"/>
          <w:szCs w:val="22"/>
        </w:rPr>
        <w:t xml:space="preserve"> </w:t>
      </w:r>
      <w:r>
        <w:rPr>
          <w:rFonts w:ascii="宋体" w:eastAsia="宋体" w:hAnsi="宋体" w:cs="宋体"/>
          <w:spacing w:val="-7"/>
          <w:sz w:val="22"/>
          <w:szCs w:val="22"/>
        </w:rPr>
        <w:t>及叶酸外，孕妇血浆的其他大多数维生</w:t>
      </w:r>
      <w:r>
        <w:rPr>
          <w:rFonts w:ascii="宋体" w:eastAsia="宋体" w:hAnsi="宋体" w:cs="宋体"/>
          <w:spacing w:val="-8"/>
          <w:sz w:val="22"/>
          <w:szCs w:val="22"/>
        </w:rPr>
        <w:t>素</w:t>
      </w:r>
      <w:r>
        <w:rPr>
          <w:rFonts w:ascii="宋体" w:eastAsia="宋体" w:hAnsi="宋体" w:cs="宋体"/>
          <w:sz w:val="22"/>
          <w:szCs w:val="22"/>
        </w:rPr>
        <w:t xml:space="preserve"> </w:t>
      </w:r>
      <w:r>
        <w:rPr>
          <w:rFonts w:ascii="宋体" w:eastAsia="宋体" w:hAnsi="宋体" w:cs="宋体"/>
          <w:spacing w:val="-7"/>
          <w:sz w:val="22"/>
          <w:szCs w:val="22"/>
        </w:rPr>
        <w:t>水平也会发生变化，因此需特别注意进行适当补充。已发现维生素E</w:t>
      </w:r>
      <w:r>
        <w:rPr>
          <w:rFonts w:ascii="宋体" w:eastAsia="宋体" w:hAnsi="宋体" w:cs="宋体"/>
          <w:spacing w:val="16"/>
          <w:sz w:val="22"/>
          <w:szCs w:val="22"/>
        </w:rPr>
        <w:t xml:space="preserve"> </w:t>
      </w:r>
      <w:r>
        <w:rPr>
          <w:rFonts w:ascii="宋体" w:eastAsia="宋体" w:hAnsi="宋体" w:cs="宋体"/>
          <w:spacing w:val="-7"/>
          <w:sz w:val="22"/>
          <w:szCs w:val="22"/>
        </w:rPr>
        <w:t>可能对新</w:t>
      </w:r>
      <w:r>
        <w:rPr>
          <w:rFonts w:ascii="宋体" w:eastAsia="宋体" w:hAnsi="宋体" w:cs="宋体"/>
          <w:sz w:val="22"/>
          <w:szCs w:val="22"/>
        </w:rPr>
        <w:t xml:space="preserve"> </w:t>
      </w:r>
      <w:r>
        <w:rPr>
          <w:rFonts w:ascii="宋体" w:eastAsia="宋体" w:hAnsi="宋体" w:cs="宋体"/>
          <w:spacing w:val="-7"/>
          <w:sz w:val="22"/>
          <w:szCs w:val="22"/>
        </w:rPr>
        <w:t>生儿溶血产生有益的影响；孕妇维生素B</w:t>
      </w:r>
      <w:r>
        <w:rPr>
          <w:rFonts w:ascii="Calibri" w:eastAsia="Calibri" w:hAnsi="Calibri" w:cs="Calibri"/>
          <w:spacing w:val="-7"/>
          <w:sz w:val="22"/>
          <w:szCs w:val="22"/>
        </w:rPr>
        <w:t>₁</w:t>
      </w:r>
      <w:r>
        <w:rPr>
          <w:rFonts w:ascii="Calibri" w:eastAsia="Calibri" w:hAnsi="Calibri" w:cs="Calibri"/>
          <w:spacing w:val="19"/>
          <w:w w:val="101"/>
          <w:sz w:val="22"/>
          <w:szCs w:val="22"/>
        </w:rPr>
        <w:t xml:space="preserve"> </w:t>
      </w:r>
      <w:r>
        <w:rPr>
          <w:rFonts w:ascii="宋体" w:eastAsia="宋体" w:hAnsi="宋体" w:cs="宋体"/>
          <w:spacing w:val="-7"/>
          <w:sz w:val="22"/>
          <w:szCs w:val="22"/>
        </w:rPr>
        <w:t>缺乏可能导致新</w:t>
      </w:r>
      <w:r>
        <w:rPr>
          <w:rFonts w:ascii="宋体" w:eastAsia="宋体" w:hAnsi="宋体" w:cs="宋体"/>
          <w:spacing w:val="-8"/>
          <w:sz w:val="22"/>
          <w:szCs w:val="22"/>
        </w:rPr>
        <w:t>生儿脚气病；维生素</w:t>
      </w:r>
      <w:r>
        <w:rPr>
          <w:rFonts w:ascii="宋体" w:eastAsia="宋体" w:hAnsi="宋体" w:cs="宋体"/>
          <w:sz w:val="22"/>
          <w:szCs w:val="22"/>
        </w:rPr>
        <w:t xml:space="preserve"> </w:t>
      </w:r>
      <w:r>
        <w:rPr>
          <w:rFonts w:ascii="宋体" w:eastAsia="宋体" w:hAnsi="宋体" w:cs="宋体"/>
          <w:spacing w:val="-7"/>
          <w:sz w:val="22"/>
          <w:szCs w:val="22"/>
        </w:rPr>
        <w:t>B</w:t>
      </w:r>
      <w:r>
        <w:rPr>
          <w:rFonts w:ascii="Calibri" w:eastAsia="Calibri" w:hAnsi="Calibri" w:cs="Calibri"/>
          <w:spacing w:val="-7"/>
          <w:sz w:val="22"/>
          <w:szCs w:val="22"/>
        </w:rPr>
        <w:t>₂</w:t>
      </w:r>
      <w:r>
        <w:rPr>
          <w:rFonts w:ascii="Calibri" w:eastAsia="Calibri" w:hAnsi="Calibri" w:cs="Calibri"/>
          <w:spacing w:val="2"/>
          <w:sz w:val="22"/>
          <w:szCs w:val="22"/>
        </w:rPr>
        <w:t xml:space="preserve"> </w:t>
      </w:r>
      <w:r>
        <w:rPr>
          <w:rFonts w:ascii="宋体" w:eastAsia="宋体" w:hAnsi="宋体" w:cs="宋体"/>
          <w:spacing w:val="-7"/>
          <w:sz w:val="22"/>
          <w:szCs w:val="22"/>
        </w:rPr>
        <w:t>的缺乏同孕妇贫血及铁缺乏相关；维生素C</w:t>
      </w:r>
      <w:r>
        <w:rPr>
          <w:rFonts w:ascii="宋体" w:eastAsia="宋体" w:hAnsi="宋体" w:cs="宋体"/>
          <w:spacing w:val="-13"/>
          <w:sz w:val="22"/>
          <w:szCs w:val="22"/>
        </w:rPr>
        <w:t xml:space="preserve"> </w:t>
      </w:r>
      <w:r>
        <w:rPr>
          <w:rFonts w:ascii="宋体" w:eastAsia="宋体" w:hAnsi="宋体" w:cs="宋体"/>
          <w:spacing w:val="-7"/>
          <w:sz w:val="22"/>
          <w:szCs w:val="22"/>
        </w:rPr>
        <w:t>则作为一种保护性的维生素，对</w:t>
      </w:r>
      <w:r>
        <w:rPr>
          <w:rFonts w:ascii="宋体" w:eastAsia="宋体" w:hAnsi="宋体" w:cs="宋体"/>
          <w:sz w:val="22"/>
          <w:szCs w:val="22"/>
        </w:rPr>
        <w:t xml:space="preserve"> </w:t>
      </w:r>
      <w:r>
        <w:rPr>
          <w:rFonts w:ascii="宋体" w:eastAsia="宋体" w:hAnsi="宋体" w:cs="宋体"/>
          <w:spacing w:val="-9"/>
          <w:sz w:val="22"/>
          <w:szCs w:val="22"/>
        </w:rPr>
        <w:t>胎儿的生长发育造血系统的健全、机体的抵抗力等有促进作用；对于维生素</w:t>
      </w:r>
      <w:r>
        <w:rPr>
          <w:rFonts w:ascii="宋体" w:eastAsia="宋体" w:hAnsi="宋体" w:cs="宋体"/>
          <w:spacing w:val="-60"/>
          <w:sz w:val="22"/>
          <w:szCs w:val="22"/>
        </w:rPr>
        <w:t xml:space="preserve"> </w:t>
      </w:r>
      <w:r>
        <w:rPr>
          <w:rFonts w:ascii="宋体" w:eastAsia="宋体" w:hAnsi="宋体" w:cs="宋体"/>
          <w:spacing w:val="-9"/>
          <w:sz w:val="22"/>
          <w:szCs w:val="22"/>
        </w:rPr>
        <w:t>K</w:t>
      </w:r>
      <w:r>
        <w:rPr>
          <w:rFonts w:ascii="宋体" w:eastAsia="宋体" w:hAnsi="宋体" w:cs="宋体"/>
          <w:spacing w:val="-10"/>
          <w:sz w:val="22"/>
          <w:szCs w:val="22"/>
        </w:rPr>
        <w:t>,</w:t>
      </w:r>
      <w:r>
        <w:rPr>
          <w:rFonts w:ascii="宋体" w:eastAsia="宋体" w:hAnsi="宋体" w:cs="宋体"/>
          <w:sz w:val="22"/>
          <w:szCs w:val="22"/>
        </w:rPr>
        <w:t xml:space="preserve"> 近年有研究者提出孕妇口服维生素</w:t>
      </w:r>
      <w:r>
        <w:rPr>
          <w:rFonts w:ascii="宋体" w:eastAsia="宋体" w:hAnsi="宋体" w:cs="宋体"/>
          <w:spacing w:val="-63"/>
          <w:sz w:val="22"/>
          <w:szCs w:val="22"/>
        </w:rPr>
        <w:t xml:space="preserve"> </w:t>
      </w:r>
      <w:r>
        <w:rPr>
          <w:rFonts w:ascii="宋体" w:eastAsia="宋体" w:hAnsi="宋体" w:cs="宋体"/>
          <w:sz w:val="22"/>
          <w:szCs w:val="22"/>
        </w:rPr>
        <w:t>K</w:t>
      </w:r>
      <w:r>
        <w:rPr>
          <w:rFonts w:ascii="Calibri" w:eastAsia="Calibri" w:hAnsi="Calibri" w:cs="Calibri"/>
          <w:sz w:val="22"/>
          <w:szCs w:val="22"/>
        </w:rPr>
        <w:t>₁</w:t>
      </w:r>
      <w:r>
        <w:rPr>
          <w:rFonts w:ascii="Calibri" w:eastAsia="Calibri" w:hAnsi="Calibri" w:cs="Calibri"/>
          <w:spacing w:val="21"/>
          <w:sz w:val="22"/>
          <w:szCs w:val="22"/>
        </w:rPr>
        <w:t xml:space="preserve">  </w:t>
      </w:r>
      <w:r>
        <w:rPr>
          <w:rFonts w:ascii="宋体" w:eastAsia="宋体" w:hAnsi="宋体" w:cs="宋体"/>
          <w:sz w:val="22"/>
          <w:szCs w:val="22"/>
        </w:rPr>
        <w:t>是早期预防维生素</w:t>
      </w:r>
      <w:r>
        <w:rPr>
          <w:rFonts w:ascii="宋体" w:eastAsia="宋体" w:hAnsi="宋体" w:cs="宋体"/>
          <w:spacing w:val="-51"/>
          <w:sz w:val="22"/>
          <w:szCs w:val="22"/>
        </w:rPr>
        <w:t xml:space="preserve"> </w:t>
      </w:r>
      <w:r>
        <w:rPr>
          <w:rFonts w:ascii="宋体" w:eastAsia="宋体" w:hAnsi="宋体" w:cs="宋体"/>
          <w:sz w:val="22"/>
          <w:szCs w:val="22"/>
        </w:rPr>
        <w:t>K</w:t>
      </w:r>
      <w:r>
        <w:rPr>
          <w:rFonts w:ascii="宋体" w:eastAsia="宋体" w:hAnsi="宋体" w:cs="宋体"/>
          <w:spacing w:val="15"/>
          <w:sz w:val="22"/>
          <w:szCs w:val="22"/>
        </w:rPr>
        <w:t xml:space="preserve"> </w:t>
      </w:r>
      <w:r>
        <w:rPr>
          <w:rFonts w:ascii="宋体" w:eastAsia="宋体" w:hAnsi="宋体" w:cs="宋体"/>
          <w:spacing w:val="-1"/>
          <w:sz w:val="22"/>
          <w:szCs w:val="22"/>
        </w:rPr>
        <w:t>缺乏性出血的新</w:t>
      </w:r>
      <w:r>
        <w:rPr>
          <w:rFonts w:ascii="宋体" w:eastAsia="宋体" w:hAnsi="宋体" w:cs="宋体"/>
          <w:sz w:val="22"/>
          <w:szCs w:val="22"/>
        </w:rPr>
        <w:t xml:space="preserve"> </w:t>
      </w:r>
      <w:r>
        <w:rPr>
          <w:rFonts w:ascii="宋体" w:eastAsia="宋体" w:hAnsi="宋体" w:cs="宋体"/>
          <w:spacing w:val="-16"/>
          <w:sz w:val="22"/>
          <w:szCs w:val="22"/>
        </w:rPr>
        <w:t>途径。</w:t>
      </w:r>
    </w:p>
    <w:p w:rsidR="00EA40A3" w:rsidRDefault="00E86C16">
      <w:pPr>
        <w:spacing w:before="129" w:line="237" w:lineRule="auto"/>
        <w:ind w:right="89" w:firstLine="410"/>
        <w:jc w:val="both"/>
        <w:rPr>
          <w:rFonts w:ascii="宋体" w:eastAsia="宋体" w:hAnsi="宋体" w:cs="宋体"/>
          <w:sz w:val="22"/>
          <w:szCs w:val="22"/>
        </w:rPr>
      </w:pPr>
      <w:r>
        <w:rPr>
          <w:rFonts w:ascii="宋体" w:eastAsia="宋体" w:hAnsi="宋体" w:cs="宋体"/>
          <w:spacing w:val="-6"/>
          <w:sz w:val="22"/>
          <w:szCs w:val="22"/>
        </w:rPr>
        <w:t>2000年，中国营养学会对妊娠期妇女维生素E、</w:t>
      </w:r>
      <w:r>
        <w:rPr>
          <w:rFonts w:ascii="宋体" w:eastAsia="宋体" w:hAnsi="宋体" w:cs="宋体"/>
          <w:spacing w:val="-48"/>
          <w:sz w:val="22"/>
          <w:szCs w:val="22"/>
        </w:rPr>
        <w:t xml:space="preserve"> </w:t>
      </w:r>
      <w:r>
        <w:rPr>
          <w:rFonts w:ascii="宋体" w:eastAsia="宋体" w:hAnsi="宋体" w:cs="宋体"/>
          <w:spacing w:val="-6"/>
          <w:sz w:val="22"/>
          <w:szCs w:val="22"/>
        </w:rPr>
        <w:t>维生素B</w:t>
      </w:r>
      <w:r>
        <w:rPr>
          <w:rFonts w:ascii="Calibri" w:eastAsia="Calibri" w:hAnsi="Calibri" w:cs="Calibri"/>
          <w:spacing w:val="-6"/>
          <w:sz w:val="22"/>
          <w:szCs w:val="22"/>
        </w:rPr>
        <w:t>₁</w:t>
      </w:r>
      <w:r>
        <w:rPr>
          <w:rFonts w:ascii="Calibri" w:eastAsia="Calibri" w:hAnsi="Calibri" w:cs="Calibri"/>
          <w:spacing w:val="-26"/>
          <w:sz w:val="22"/>
          <w:szCs w:val="22"/>
        </w:rPr>
        <w:t xml:space="preserve"> </w:t>
      </w:r>
      <w:r>
        <w:rPr>
          <w:rFonts w:ascii="宋体" w:eastAsia="宋体" w:hAnsi="宋体" w:cs="宋体"/>
          <w:spacing w:val="-6"/>
          <w:sz w:val="22"/>
          <w:szCs w:val="22"/>
        </w:rPr>
        <w:t>、</w:t>
      </w:r>
      <w:r>
        <w:rPr>
          <w:rFonts w:ascii="宋体" w:eastAsia="宋体" w:hAnsi="宋体" w:cs="宋体"/>
          <w:spacing w:val="-60"/>
          <w:sz w:val="22"/>
          <w:szCs w:val="22"/>
        </w:rPr>
        <w:t xml:space="preserve"> </w:t>
      </w:r>
      <w:r>
        <w:rPr>
          <w:rFonts w:ascii="宋体" w:eastAsia="宋体" w:hAnsi="宋体" w:cs="宋体"/>
          <w:spacing w:val="-6"/>
          <w:sz w:val="22"/>
          <w:szCs w:val="22"/>
        </w:rPr>
        <w:t>维生素B2、</w:t>
      </w:r>
      <w:r>
        <w:rPr>
          <w:rFonts w:ascii="宋体" w:eastAsia="宋体" w:hAnsi="宋体" w:cs="宋体"/>
          <w:spacing w:val="-58"/>
          <w:sz w:val="22"/>
          <w:szCs w:val="22"/>
        </w:rPr>
        <w:t xml:space="preserve"> </w:t>
      </w:r>
      <w:r>
        <w:rPr>
          <w:rFonts w:ascii="宋体" w:eastAsia="宋体" w:hAnsi="宋体" w:cs="宋体"/>
          <w:spacing w:val="-6"/>
          <w:sz w:val="22"/>
          <w:szCs w:val="22"/>
        </w:rPr>
        <w:t>维</w:t>
      </w:r>
      <w:r>
        <w:rPr>
          <w:rFonts w:ascii="宋体" w:eastAsia="宋体" w:hAnsi="宋体" w:cs="宋体"/>
          <w:sz w:val="22"/>
          <w:szCs w:val="22"/>
        </w:rPr>
        <w:t xml:space="preserve"> </w:t>
      </w:r>
      <w:r>
        <w:rPr>
          <w:rFonts w:ascii="宋体" w:eastAsia="宋体" w:hAnsi="宋体" w:cs="宋体"/>
          <w:spacing w:val="4"/>
          <w:sz w:val="22"/>
          <w:szCs w:val="22"/>
        </w:rPr>
        <w:t>生素C</w:t>
      </w:r>
      <w:r>
        <w:rPr>
          <w:rFonts w:ascii="宋体" w:eastAsia="宋体" w:hAnsi="宋体" w:cs="宋体"/>
          <w:spacing w:val="16"/>
          <w:sz w:val="22"/>
          <w:szCs w:val="22"/>
        </w:rPr>
        <w:t xml:space="preserve"> </w:t>
      </w:r>
      <w:r>
        <w:rPr>
          <w:rFonts w:ascii="宋体" w:eastAsia="宋体" w:hAnsi="宋体" w:cs="宋体"/>
          <w:spacing w:val="4"/>
          <w:sz w:val="22"/>
          <w:szCs w:val="22"/>
        </w:rPr>
        <w:t>的推荐摄入量或适宜摄入量分别为：维生素</w:t>
      </w:r>
      <w:r>
        <w:rPr>
          <w:rFonts w:ascii="宋体" w:eastAsia="宋体" w:hAnsi="宋体" w:cs="宋体"/>
          <w:spacing w:val="-51"/>
          <w:sz w:val="22"/>
          <w:szCs w:val="22"/>
        </w:rPr>
        <w:t xml:space="preserve"> </w:t>
      </w:r>
      <w:r>
        <w:rPr>
          <w:rFonts w:ascii="宋体" w:eastAsia="宋体" w:hAnsi="宋体" w:cs="宋体"/>
          <w:spacing w:val="4"/>
          <w:sz w:val="22"/>
          <w:szCs w:val="22"/>
        </w:rPr>
        <w:t>E</w:t>
      </w:r>
      <w:r>
        <w:rPr>
          <w:rFonts w:ascii="宋体" w:eastAsia="宋体" w:hAnsi="宋体" w:cs="宋体"/>
          <w:spacing w:val="103"/>
          <w:sz w:val="22"/>
          <w:szCs w:val="22"/>
        </w:rPr>
        <w:t xml:space="preserve"> </w:t>
      </w:r>
      <w:r>
        <w:rPr>
          <w:rFonts w:ascii="宋体" w:eastAsia="宋体" w:hAnsi="宋体" w:cs="宋体"/>
          <w:spacing w:val="4"/>
          <w:sz w:val="22"/>
          <w:szCs w:val="22"/>
        </w:rPr>
        <w:t>14</w:t>
      </w:r>
      <w:r>
        <w:rPr>
          <w:rFonts w:ascii="宋体" w:eastAsia="宋体" w:hAnsi="宋体" w:cs="宋体"/>
          <w:sz w:val="22"/>
          <w:szCs w:val="22"/>
        </w:rPr>
        <w:t>mg</w:t>
      </w:r>
      <w:r>
        <w:rPr>
          <w:rFonts w:ascii="宋体" w:eastAsia="宋体" w:hAnsi="宋体" w:cs="宋体"/>
          <w:spacing w:val="4"/>
          <w:sz w:val="22"/>
          <w:szCs w:val="22"/>
        </w:rPr>
        <w:t>/d、</w:t>
      </w:r>
      <w:r>
        <w:rPr>
          <w:rFonts w:ascii="宋体" w:eastAsia="宋体" w:hAnsi="宋体" w:cs="宋体"/>
          <w:spacing w:val="-42"/>
          <w:sz w:val="22"/>
          <w:szCs w:val="22"/>
        </w:rPr>
        <w:t xml:space="preserve"> </w:t>
      </w:r>
      <w:r>
        <w:rPr>
          <w:rFonts w:ascii="宋体" w:eastAsia="宋体" w:hAnsi="宋体" w:cs="宋体"/>
          <w:spacing w:val="4"/>
          <w:sz w:val="22"/>
          <w:szCs w:val="22"/>
        </w:rPr>
        <w:t>维生</w:t>
      </w:r>
      <w:r>
        <w:rPr>
          <w:rFonts w:ascii="宋体" w:eastAsia="宋体" w:hAnsi="宋体" w:cs="宋体"/>
          <w:spacing w:val="3"/>
          <w:sz w:val="22"/>
          <w:szCs w:val="22"/>
        </w:rPr>
        <w:t>素</w:t>
      </w:r>
      <w:r>
        <w:rPr>
          <w:rFonts w:ascii="宋体" w:eastAsia="宋体" w:hAnsi="宋体" w:cs="宋体"/>
          <w:spacing w:val="-50"/>
          <w:sz w:val="22"/>
          <w:szCs w:val="22"/>
        </w:rPr>
        <w:t xml:space="preserve"> </w:t>
      </w:r>
      <w:r>
        <w:rPr>
          <w:rFonts w:ascii="宋体" w:eastAsia="宋体" w:hAnsi="宋体" w:cs="宋体"/>
          <w:spacing w:val="3"/>
          <w:sz w:val="22"/>
          <w:szCs w:val="22"/>
        </w:rPr>
        <w:t>B</w:t>
      </w:r>
      <w:r>
        <w:rPr>
          <w:rFonts w:ascii="Calibri" w:eastAsia="Calibri" w:hAnsi="Calibri" w:cs="Calibri"/>
          <w:spacing w:val="3"/>
          <w:sz w:val="22"/>
          <w:szCs w:val="22"/>
        </w:rPr>
        <w:t>₁</w:t>
      </w:r>
      <w:r>
        <w:rPr>
          <w:rFonts w:ascii="Calibri" w:eastAsia="Calibri" w:hAnsi="Calibri" w:cs="Calibri"/>
          <w:sz w:val="22"/>
          <w:szCs w:val="22"/>
        </w:rPr>
        <w:t xml:space="preserve">  </w:t>
      </w:r>
      <w:r>
        <w:rPr>
          <w:rFonts w:ascii="宋体" w:eastAsia="宋体" w:hAnsi="宋体" w:cs="宋体"/>
          <w:spacing w:val="-6"/>
          <w:sz w:val="22"/>
          <w:szCs w:val="22"/>
        </w:rPr>
        <w:t>1.5mg/d、</w:t>
      </w:r>
      <w:r>
        <w:rPr>
          <w:rFonts w:ascii="宋体" w:eastAsia="宋体" w:hAnsi="宋体" w:cs="宋体"/>
          <w:spacing w:val="22"/>
          <w:sz w:val="22"/>
          <w:szCs w:val="22"/>
        </w:rPr>
        <w:t xml:space="preserve"> </w:t>
      </w:r>
      <w:r>
        <w:rPr>
          <w:rFonts w:ascii="宋体" w:eastAsia="宋体" w:hAnsi="宋体" w:cs="宋体"/>
          <w:spacing w:val="-6"/>
          <w:sz w:val="22"/>
          <w:szCs w:val="22"/>
        </w:rPr>
        <w:t>维生素B21.7mg/d</w:t>
      </w:r>
      <w:r>
        <w:rPr>
          <w:rFonts w:ascii="宋体" w:eastAsia="宋体" w:hAnsi="宋体" w:cs="宋体"/>
          <w:spacing w:val="-7"/>
          <w:sz w:val="22"/>
          <w:szCs w:val="22"/>
        </w:rPr>
        <w:t>、</w:t>
      </w:r>
      <w:r>
        <w:rPr>
          <w:rFonts w:ascii="宋体" w:eastAsia="宋体" w:hAnsi="宋体" w:cs="宋体"/>
          <w:spacing w:val="50"/>
          <w:sz w:val="22"/>
          <w:szCs w:val="22"/>
        </w:rPr>
        <w:t xml:space="preserve"> </w:t>
      </w:r>
      <w:r>
        <w:rPr>
          <w:rFonts w:ascii="宋体" w:eastAsia="宋体" w:hAnsi="宋体" w:cs="宋体"/>
          <w:spacing w:val="-7"/>
          <w:sz w:val="22"/>
          <w:szCs w:val="22"/>
        </w:rPr>
        <w:t>维生素C100～130</w:t>
      </w:r>
      <w:r>
        <w:rPr>
          <w:rFonts w:ascii="宋体" w:eastAsia="宋体" w:hAnsi="宋体" w:cs="宋体"/>
          <w:spacing w:val="-6"/>
          <w:sz w:val="22"/>
          <w:szCs w:val="22"/>
        </w:rPr>
        <w:t>mg</w:t>
      </w:r>
      <w:r>
        <w:rPr>
          <w:rFonts w:ascii="宋体" w:eastAsia="宋体" w:hAnsi="宋体" w:cs="宋体"/>
          <w:spacing w:val="-7"/>
          <w:sz w:val="22"/>
          <w:szCs w:val="22"/>
        </w:rPr>
        <w:t>/d。</w:t>
      </w:r>
    </w:p>
    <w:p w:rsidR="00EA40A3" w:rsidRDefault="00E86C16">
      <w:pPr>
        <w:spacing w:before="227" w:line="221" w:lineRule="auto"/>
        <w:ind w:left="3"/>
        <w:outlineLvl w:val="6"/>
        <w:rPr>
          <w:rFonts w:ascii="黑体" w:eastAsia="黑体" w:hAnsi="黑体" w:cs="黑体"/>
          <w:sz w:val="22"/>
          <w:szCs w:val="22"/>
        </w:rPr>
      </w:pPr>
      <w:r>
        <w:rPr>
          <w:rFonts w:ascii="黑体" w:eastAsia="黑体" w:hAnsi="黑体" w:cs="黑体"/>
          <w:b/>
          <w:bCs/>
          <w:spacing w:val="9"/>
          <w:sz w:val="22"/>
          <w:szCs w:val="22"/>
        </w:rPr>
        <w:t>10.1.3</w:t>
      </w:r>
      <w:r>
        <w:rPr>
          <w:rFonts w:ascii="黑体" w:eastAsia="黑体" w:hAnsi="黑体" w:cs="黑体"/>
          <w:spacing w:val="60"/>
          <w:sz w:val="22"/>
          <w:szCs w:val="22"/>
        </w:rPr>
        <w:t xml:space="preserve">  </w:t>
      </w:r>
      <w:r>
        <w:rPr>
          <w:rFonts w:ascii="黑体" w:eastAsia="黑体" w:hAnsi="黑体" w:cs="黑体"/>
          <w:b/>
          <w:bCs/>
          <w:spacing w:val="9"/>
          <w:sz w:val="22"/>
          <w:szCs w:val="22"/>
        </w:rPr>
        <w:t>妊娠期营养不良对母体及胎儿的影响</w:t>
      </w:r>
    </w:p>
    <w:p w:rsidR="00EA40A3" w:rsidRDefault="00E86C16">
      <w:pPr>
        <w:spacing w:before="200" w:line="236" w:lineRule="auto"/>
        <w:ind w:right="102" w:firstLine="410"/>
        <w:rPr>
          <w:rFonts w:ascii="宋体" w:eastAsia="宋体" w:hAnsi="宋体" w:cs="宋体"/>
          <w:sz w:val="22"/>
          <w:szCs w:val="22"/>
        </w:rPr>
      </w:pPr>
      <w:r>
        <w:rPr>
          <w:rFonts w:ascii="宋体" w:eastAsia="宋体" w:hAnsi="宋体" w:cs="宋体"/>
          <w:spacing w:val="-13"/>
          <w:sz w:val="22"/>
          <w:szCs w:val="22"/>
        </w:rPr>
        <w:t>妊娠期营养不良是指在妊娠期间，由于一种和一种以上营养素的缺乏或过剩</w:t>
      </w:r>
      <w:r>
        <w:rPr>
          <w:rFonts w:ascii="宋体" w:eastAsia="宋体" w:hAnsi="宋体" w:cs="宋体"/>
          <w:spacing w:val="3"/>
          <w:sz w:val="22"/>
          <w:szCs w:val="22"/>
        </w:rPr>
        <w:t xml:space="preserve"> </w:t>
      </w:r>
      <w:r>
        <w:rPr>
          <w:rFonts w:ascii="宋体" w:eastAsia="宋体" w:hAnsi="宋体" w:cs="宋体"/>
          <w:spacing w:val="-14"/>
          <w:sz w:val="22"/>
          <w:szCs w:val="22"/>
        </w:rPr>
        <w:t>所造成的母体、胎儿以及新生儿健康异常或疾病状态。</w:t>
      </w:r>
    </w:p>
    <w:p w:rsidR="00EA40A3" w:rsidRDefault="00E86C16">
      <w:pPr>
        <w:spacing w:before="194" w:line="342" w:lineRule="exact"/>
        <w:rPr>
          <w:rFonts w:ascii="楷体" w:eastAsia="楷体" w:hAnsi="楷体" w:cs="楷体"/>
          <w:sz w:val="22"/>
          <w:szCs w:val="22"/>
        </w:rPr>
      </w:pPr>
      <w:r>
        <w:rPr>
          <w:rFonts w:ascii="楷体" w:eastAsia="楷体" w:hAnsi="楷体" w:cs="楷体"/>
          <w:spacing w:val="12"/>
          <w:position w:val="8"/>
          <w:sz w:val="22"/>
          <w:szCs w:val="22"/>
        </w:rPr>
        <w:t>1.</w:t>
      </w:r>
      <w:r>
        <w:rPr>
          <w:rFonts w:ascii="楷体" w:eastAsia="楷体" w:hAnsi="楷体" w:cs="楷体"/>
          <w:spacing w:val="2"/>
          <w:position w:val="8"/>
          <w:sz w:val="22"/>
          <w:szCs w:val="22"/>
        </w:rPr>
        <w:t xml:space="preserve"> </w:t>
      </w:r>
      <w:r>
        <w:rPr>
          <w:rFonts w:ascii="楷体" w:eastAsia="楷体" w:hAnsi="楷体" w:cs="楷体"/>
          <w:spacing w:val="12"/>
          <w:position w:val="8"/>
          <w:sz w:val="22"/>
          <w:szCs w:val="22"/>
        </w:rPr>
        <w:t>妊娠期营养不良影响母体健康</w:t>
      </w:r>
    </w:p>
    <w:p w:rsidR="00EA40A3" w:rsidRDefault="00E86C16">
      <w:pPr>
        <w:spacing w:line="224" w:lineRule="auto"/>
        <w:rPr>
          <w:rFonts w:ascii="楷体" w:eastAsia="楷体" w:hAnsi="楷体" w:cs="楷体"/>
          <w:sz w:val="22"/>
          <w:szCs w:val="22"/>
        </w:rPr>
      </w:pPr>
      <w:r>
        <w:rPr>
          <w:rFonts w:ascii="楷体" w:eastAsia="楷体" w:hAnsi="楷体" w:cs="楷体"/>
          <w:spacing w:val="-8"/>
          <w:sz w:val="22"/>
          <w:szCs w:val="22"/>
        </w:rPr>
        <w:t>1)钙营养不良或缺乏</w:t>
      </w:r>
    </w:p>
    <w:p w:rsidR="00EA40A3" w:rsidRDefault="00E86C16">
      <w:pPr>
        <w:spacing w:before="76" w:line="234" w:lineRule="auto"/>
        <w:ind w:right="95" w:firstLine="410"/>
        <w:rPr>
          <w:rFonts w:ascii="宋体" w:eastAsia="宋体" w:hAnsi="宋体" w:cs="宋体"/>
          <w:sz w:val="22"/>
          <w:szCs w:val="22"/>
        </w:rPr>
      </w:pPr>
      <w:r>
        <w:rPr>
          <w:rFonts w:ascii="宋体" w:eastAsia="宋体" w:hAnsi="宋体" w:cs="宋体"/>
          <w:spacing w:val="-11"/>
          <w:sz w:val="22"/>
          <w:szCs w:val="22"/>
        </w:rPr>
        <w:t>据调查资料表明，我国妇女妊娠期膳食钙的实际摄入量</w:t>
      </w:r>
      <w:r>
        <w:rPr>
          <w:rFonts w:ascii="宋体" w:eastAsia="宋体" w:hAnsi="宋体" w:cs="宋体"/>
          <w:spacing w:val="-12"/>
          <w:sz w:val="22"/>
          <w:szCs w:val="22"/>
        </w:rPr>
        <w:t>偏低，</w:t>
      </w:r>
      <w:r>
        <w:rPr>
          <w:rFonts w:ascii="宋体" w:eastAsia="宋体" w:hAnsi="宋体" w:cs="宋体"/>
          <w:spacing w:val="53"/>
          <w:sz w:val="22"/>
          <w:szCs w:val="22"/>
        </w:rPr>
        <w:t xml:space="preserve"> </w:t>
      </w:r>
      <w:r>
        <w:rPr>
          <w:rFonts w:ascii="宋体" w:eastAsia="宋体" w:hAnsi="宋体" w:cs="宋体"/>
          <w:spacing w:val="-12"/>
          <w:sz w:val="22"/>
          <w:szCs w:val="22"/>
        </w:rPr>
        <w:t>一般为500~</w:t>
      </w:r>
      <w:r>
        <w:rPr>
          <w:rFonts w:ascii="宋体" w:eastAsia="宋体" w:hAnsi="宋体" w:cs="宋体"/>
          <w:sz w:val="22"/>
          <w:szCs w:val="22"/>
        </w:rPr>
        <w:t xml:space="preserve"> </w:t>
      </w:r>
      <w:r>
        <w:rPr>
          <w:rFonts w:ascii="宋体" w:eastAsia="宋体" w:hAnsi="宋体" w:cs="宋体"/>
          <w:spacing w:val="-12"/>
          <w:sz w:val="22"/>
          <w:szCs w:val="22"/>
        </w:rPr>
        <w:t>800mg/d。</w:t>
      </w:r>
      <w:r>
        <w:rPr>
          <w:rFonts w:ascii="宋体" w:eastAsia="宋体" w:hAnsi="宋体" w:cs="宋体"/>
          <w:spacing w:val="17"/>
          <w:sz w:val="22"/>
          <w:szCs w:val="22"/>
        </w:rPr>
        <w:t xml:space="preserve"> </w:t>
      </w:r>
      <w:r>
        <w:rPr>
          <w:rFonts w:ascii="宋体" w:eastAsia="宋体" w:hAnsi="宋体" w:cs="宋体"/>
          <w:spacing w:val="-12"/>
          <w:sz w:val="22"/>
          <w:szCs w:val="22"/>
        </w:rPr>
        <w:t>妊娠期间，特别在妊娠后期，胎儿生长加快，</w:t>
      </w:r>
      <w:r>
        <w:rPr>
          <w:rFonts w:ascii="宋体" w:eastAsia="宋体" w:hAnsi="宋体" w:cs="宋体"/>
          <w:spacing w:val="-13"/>
          <w:sz w:val="22"/>
          <w:szCs w:val="22"/>
        </w:rPr>
        <w:t>骨骼矿化达高峰，更易</w:t>
      </w:r>
    </w:p>
    <w:p w:rsidR="00EA40A3" w:rsidRDefault="00E86C16">
      <w:pPr>
        <w:spacing w:before="98"/>
        <w:ind w:right="103"/>
        <w:jc w:val="right"/>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303</w:t>
      </w:r>
      <w:r>
        <w:rPr>
          <w:rFonts w:ascii="宋体" w:eastAsia="宋体" w:hAnsi="宋体" w:cs="宋体"/>
          <w:spacing w:val="47"/>
          <w:sz w:val="18"/>
          <w:szCs w:val="18"/>
        </w:rPr>
        <w:t xml:space="preserve"> </w:t>
      </w:r>
      <w:r>
        <w:rPr>
          <w:rFonts w:ascii="宋体" w:eastAsia="宋体" w:hAnsi="宋体" w:cs="宋体"/>
          <w:spacing w:val="-27"/>
          <w:sz w:val="18"/>
          <w:szCs w:val="18"/>
        </w:rPr>
        <w:t>·</w:t>
      </w:r>
    </w:p>
    <w:p w:rsidR="00EA40A3" w:rsidRDefault="00EA40A3">
      <w:pPr>
        <w:sectPr w:rsidR="00EA40A3">
          <w:pgSz w:w="9220" w:h="13360"/>
          <w:pgMar w:top="400" w:right="1002" w:bottom="400" w:left="869" w:header="0" w:footer="0" w:gutter="0"/>
          <w:cols w:space="720"/>
        </w:sectPr>
      </w:pPr>
    </w:p>
    <w:p w:rsidR="00EA40A3" w:rsidRDefault="00EA40A3">
      <w:pPr>
        <w:spacing w:line="279" w:lineRule="auto"/>
      </w:pPr>
    </w:p>
    <w:p w:rsidR="00EA40A3" w:rsidRDefault="00EA40A3">
      <w:pPr>
        <w:spacing w:line="279" w:lineRule="auto"/>
      </w:pPr>
    </w:p>
    <w:p w:rsidR="00EA40A3" w:rsidRDefault="00E86C16">
      <w:pPr>
        <w:spacing w:before="68" w:line="258" w:lineRule="auto"/>
        <w:ind w:right="20"/>
        <w:jc w:val="both"/>
        <w:rPr>
          <w:rFonts w:ascii="宋体" w:eastAsia="宋体" w:hAnsi="宋体" w:cs="宋体"/>
        </w:rPr>
      </w:pPr>
      <w:r>
        <w:rPr>
          <w:rFonts w:ascii="宋体" w:eastAsia="宋体" w:hAnsi="宋体" w:cs="宋体"/>
          <w:spacing w:val="-3"/>
        </w:rPr>
        <w:t>造成孕妇钙营养不良或缺乏。孕期膳食钙摄入不足，可能影响胎儿发</w:t>
      </w:r>
      <w:r>
        <w:rPr>
          <w:rFonts w:ascii="宋体" w:eastAsia="宋体" w:hAnsi="宋体" w:cs="宋体"/>
          <w:spacing w:val="-4"/>
        </w:rPr>
        <w:t>育，但低钙</w:t>
      </w:r>
      <w:r>
        <w:rPr>
          <w:rFonts w:ascii="宋体" w:eastAsia="宋体" w:hAnsi="宋体" w:cs="宋体"/>
        </w:rPr>
        <w:t xml:space="preserve"> </w:t>
      </w:r>
      <w:r>
        <w:rPr>
          <w:rFonts w:ascii="宋体" w:eastAsia="宋体" w:hAnsi="宋体" w:cs="宋体"/>
          <w:spacing w:val="-3"/>
        </w:rPr>
        <w:t>对母体的影响远大于对胎儿的影响。这是因为，妊娠期间，母体</w:t>
      </w:r>
      <w:r>
        <w:rPr>
          <w:rFonts w:ascii="宋体" w:eastAsia="宋体" w:hAnsi="宋体" w:cs="宋体"/>
          <w:spacing w:val="-4"/>
        </w:rPr>
        <w:t>会动员骨钙，通</w:t>
      </w:r>
      <w:r>
        <w:rPr>
          <w:rFonts w:ascii="宋体" w:eastAsia="宋体" w:hAnsi="宋体" w:cs="宋体"/>
        </w:rPr>
        <w:t xml:space="preserve"> </w:t>
      </w:r>
      <w:r>
        <w:rPr>
          <w:rFonts w:ascii="宋体" w:eastAsia="宋体" w:hAnsi="宋体" w:cs="宋体"/>
          <w:spacing w:val="-2"/>
        </w:rPr>
        <w:t>过胎盘逆浓度转运钙离子使胎儿血钙高于母体，甚至在母体钙稳定破坏状态下，</w:t>
      </w:r>
      <w:r>
        <w:rPr>
          <w:rFonts w:ascii="宋体" w:eastAsia="宋体" w:hAnsi="宋体" w:cs="宋体"/>
          <w:spacing w:val="13"/>
        </w:rPr>
        <w:t xml:space="preserve"> </w:t>
      </w:r>
      <w:r>
        <w:rPr>
          <w:rFonts w:ascii="宋体" w:eastAsia="宋体" w:hAnsi="宋体" w:cs="宋体"/>
          <w:spacing w:val="-3"/>
        </w:rPr>
        <w:t>仍能维持这种血钙浓度。研究显示，妊娠期母体血清总钙水平逐</w:t>
      </w:r>
      <w:r>
        <w:rPr>
          <w:rFonts w:ascii="宋体" w:eastAsia="宋体" w:hAnsi="宋体" w:cs="宋体"/>
          <w:spacing w:val="-4"/>
        </w:rPr>
        <w:t>渐下降，随妊娠</w:t>
      </w:r>
      <w:r>
        <w:rPr>
          <w:rFonts w:ascii="宋体" w:eastAsia="宋体" w:hAnsi="宋体" w:cs="宋体"/>
        </w:rPr>
        <w:t xml:space="preserve"> </w:t>
      </w:r>
      <w:r>
        <w:rPr>
          <w:rFonts w:ascii="宋体" w:eastAsia="宋体" w:hAnsi="宋体" w:cs="宋体"/>
          <w:spacing w:val="-3"/>
        </w:rPr>
        <w:t>期延长而下降直到妊娠后期仍未能恢复，并低于脐血钙浓度。</w:t>
      </w:r>
      <w:r>
        <w:rPr>
          <w:rFonts w:ascii="宋体" w:eastAsia="宋体" w:hAnsi="宋体" w:cs="宋体"/>
          <w:spacing w:val="-4"/>
        </w:rPr>
        <w:t>此时母亲的钙代谢</w:t>
      </w:r>
      <w:r>
        <w:rPr>
          <w:rFonts w:ascii="宋体" w:eastAsia="宋体" w:hAnsi="宋体" w:cs="宋体"/>
        </w:rPr>
        <w:t xml:space="preserve"> </w:t>
      </w:r>
      <w:r>
        <w:rPr>
          <w:rFonts w:ascii="宋体" w:eastAsia="宋体" w:hAnsi="宋体" w:cs="宋体"/>
          <w:spacing w:val="-2"/>
        </w:rPr>
        <w:t>多为负平衡，结果使母亲骨密度降低，易患骨质软化症。另外，也有研究发现，</w:t>
      </w:r>
      <w:r>
        <w:rPr>
          <w:rFonts w:ascii="宋体" w:eastAsia="宋体" w:hAnsi="宋体" w:cs="宋体"/>
          <w:spacing w:val="4"/>
        </w:rPr>
        <w:t xml:space="preserve"> </w:t>
      </w:r>
      <w:r>
        <w:rPr>
          <w:rFonts w:ascii="宋体" w:eastAsia="宋体" w:hAnsi="宋体" w:cs="宋体"/>
          <w:spacing w:val="-3"/>
        </w:rPr>
        <w:t>难产后的体质虚弱、乳汁不足、腰腿疼以及妇女更年期的骨质疏</w:t>
      </w:r>
      <w:r>
        <w:rPr>
          <w:rFonts w:ascii="宋体" w:eastAsia="宋体" w:hAnsi="宋体" w:cs="宋体"/>
          <w:spacing w:val="-4"/>
        </w:rPr>
        <w:t>松症等都与妊娠</w:t>
      </w:r>
      <w:r>
        <w:rPr>
          <w:rFonts w:ascii="宋体" w:eastAsia="宋体" w:hAnsi="宋体" w:cs="宋体"/>
        </w:rPr>
        <w:t xml:space="preserve"> </w:t>
      </w:r>
      <w:r>
        <w:rPr>
          <w:rFonts w:ascii="宋体" w:eastAsia="宋体" w:hAnsi="宋体" w:cs="宋体"/>
          <w:spacing w:val="-6"/>
        </w:rPr>
        <w:t>期的钙营养不良密切相关。</w:t>
      </w:r>
    </w:p>
    <w:p w:rsidR="00EA40A3" w:rsidRDefault="00E86C16">
      <w:pPr>
        <w:spacing w:before="97" w:line="224" w:lineRule="auto"/>
        <w:rPr>
          <w:rFonts w:ascii="楷体" w:eastAsia="楷体" w:hAnsi="楷体" w:cs="楷体"/>
        </w:rPr>
      </w:pPr>
      <w:r>
        <w:rPr>
          <w:rFonts w:ascii="楷体" w:eastAsia="楷体" w:hAnsi="楷体" w:cs="楷体"/>
          <w:spacing w:val="-1"/>
        </w:rPr>
        <w:t>2)营养性贫血</w:t>
      </w:r>
    </w:p>
    <w:p w:rsidR="00EA40A3" w:rsidRDefault="00E86C16">
      <w:pPr>
        <w:spacing w:before="61" w:line="259" w:lineRule="auto"/>
        <w:ind w:firstLine="419"/>
        <w:jc w:val="both"/>
        <w:rPr>
          <w:rFonts w:ascii="宋体" w:eastAsia="宋体" w:hAnsi="宋体" w:cs="宋体"/>
        </w:rPr>
      </w:pPr>
      <w:r>
        <w:rPr>
          <w:rFonts w:ascii="宋体" w:eastAsia="宋体" w:hAnsi="宋体" w:cs="宋体"/>
          <w:spacing w:val="1"/>
        </w:rPr>
        <w:t>铁、叶酸、维生素B</w:t>
      </w:r>
      <w:r>
        <w:rPr>
          <w:rFonts w:ascii="Calibri" w:eastAsia="Calibri" w:hAnsi="Calibri" w:cs="Calibri"/>
          <w:spacing w:val="1"/>
        </w:rPr>
        <w:t>₂</w:t>
      </w:r>
      <w:r>
        <w:rPr>
          <w:rFonts w:ascii="Calibri" w:eastAsia="Calibri" w:hAnsi="Calibri" w:cs="Calibri"/>
          <w:spacing w:val="6"/>
        </w:rPr>
        <w:t xml:space="preserve">  </w:t>
      </w:r>
      <w:r>
        <w:rPr>
          <w:rFonts w:ascii="宋体" w:eastAsia="宋体" w:hAnsi="宋体" w:cs="宋体"/>
          <w:spacing w:val="1"/>
        </w:rPr>
        <w:t>的缺乏都可能导致妊娠期妇女发</w:t>
      </w:r>
      <w:r>
        <w:rPr>
          <w:rFonts w:ascii="宋体" w:eastAsia="宋体" w:hAnsi="宋体" w:cs="宋体"/>
        </w:rPr>
        <w:t>生贫血。其中缺铁性 贫血</w:t>
      </w:r>
      <w:r>
        <w:rPr>
          <w:rFonts w:ascii="宋体" w:eastAsia="宋体" w:hAnsi="宋体" w:cs="宋体"/>
          <w:spacing w:val="-16"/>
        </w:rPr>
        <w:t xml:space="preserve"> </w:t>
      </w:r>
      <w:r>
        <w:rPr>
          <w:rFonts w:ascii="宋体" w:eastAsia="宋体" w:hAnsi="宋体" w:cs="宋体"/>
        </w:rPr>
        <w:t>(iron</w:t>
      </w:r>
      <w:r>
        <w:rPr>
          <w:rFonts w:ascii="宋体" w:eastAsia="宋体" w:hAnsi="宋体" w:cs="宋体"/>
          <w:spacing w:val="10"/>
        </w:rPr>
        <w:t xml:space="preserve"> </w:t>
      </w:r>
      <w:r>
        <w:rPr>
          <w:rFonts w:ascii="宋体" w:eastAsia="宋体" w:hAnsi="宋体" w:cs="宋体"/>
        </w:rPr>
        <w:t>deficiency</w:t>
      </w:r>
      <w:r>
        <w:rPr>
          <w:rFonts w:ascii="宋体" w:eastAsia="宋体" w:hAnsi="宋体" w:cs="宋体"/>
          <w:spacing w:val="6"/>
        </w:rPr>
        <w:t xml:space="preserve"> </w:t>
      </w:r>
      <w:r>
        <w:rPr>
          <w:rFonts w:ascii="宋体" w:eastAsia="宋体" w:hAnsi="宋体" w:cs="宋体"/>
        </w:rPr>
        <w:t>anemia,IDA)</w:t>
      </w:r>
      <w:r>
        <w:rPr>
          <w:rFonts w:ascii="宋体" w:eastAsia="宋体" w:hAnsi="宋体" w:cs="宋体"/>
          <w:spacing w:val="-30"/>
        </w:rPr>
        <w:t xml:space="preserve"> </w:t>
      </w:r>
      <w:r>
        <w:rPr>
          <w:rFonts w:ascii="宋体" w:eastAsia="宋体" w:hAnsi="宋体" w:cs="宋体"/>
        </w:rPr>
        <w:t>是妊娠期妇女最常见的营</w:t>
      </w:r>
      <w:r>
        <w:rPr>
          <w:rFonts w:ascii="宋体" w:eastAsia="宋体" w:hAnsi="宋体" w:cs="宋体"/>
          <w:spacing w:val="-1"/>
        </w:rPr>
        <w:t>养缺乏病之一。</w:t>
      </w:r>
      <w:r>
        <w:rPr>
          <w:rFonts w:ascii="宋体" w:eastAsia="宋体" w:hAnsi="宋体" w:cs="宋体"/>
        </w:rPr>
        <w:t xml:space="preserve"> </w:t>
      </w:r>
      <w:r>
        <w:rPr>
          <w:rFonts w:ascii="宋体" w:eastAsia="宋体" w:hAnsi="宋体" w:cs="宋体"/>
          <w:spacing w:val="9"/>
        </w:rPr>
        <w:t>妊娠期贫血发生率在20%～80%不等，我</w:t>
      </w:r>
      <w:r>
        <w:rPr>
          <w:rFonts w:ascii="宋体" w:eastAsia="宋体" w:hAnsi="宋体" w:cs="宋体"/>
          <w:spacing w:val="8"/>
        </w:rPr>
        <w:t>国约有三分之一以上的孕妇会发生缺</w:t>
      </w:r>
      <w:r>
        <w:rPr>
          <w:rFonts w:ascii="宋体" w:eastAsia="宋体" w:hAnsi="宋体" w:cs="宋体"/>
        </w:rPr>
        <w:t xml:space="preserve"> </w:t>
      </w:r>
      <w:r>
        <w:rPr>
          <w:rFonts w:ascii="宋体" w:eastAsia="宋体" w:hAnsi="宋体" w:cs="宋体"/>
          <w:spacing w:val="-2"/>
        </w:rPr>
        <w:t>铁性贫血。研究证实，妊娠期早期的铁缺乏可能导致早产和新生儿低出生体重，</w:t>
      </w:r>
      <w:r>
        <w:rPr>
          <w:rFonts w:ascii="宋体" w:eastAsia="宋体" w:hAnsi="宋体" w:cs="宋体"/>
          <w:spacing w:val="14"/>
        </w:rPr>
        <w:t xml:space="preserve"> </w:t>
      </w:r>
      <w:r>
        <w:rPr>
          <w:rFonts w:ascii="宋体" w:eastAsia="宋体" w:hAnsi="宋体" w:cs="宋体"/>
          <w:spacing w:val="-4"/>
        </w:rPr>
        <w:t>同时也由于胎儿肝脏中铁储备减少，使出生后婴儿容易患贫血。缺铁性贫血还与</w:t>
      </w:r>
      <w:r>
        <w:rPr>
          <w:rFonts w:ascii="宋体" w:eastAsia="宋体" w:hAnsi="宋体" w:cs="宋体"/>
          <w:spacing w:val="8"/>
        </w:rPr>
        <w:t xml:space="preserve">  </w:t>
      </w:r>
      <w:r>
        <w:rPr>
          <w:rFonts w:ascii="宋体" w:eastAsia="宋体" w:hAnsi="宋体" w:cs="宋体"/>
          <w:spacing w:val="-3"/>
        </w:rPr>
        <w:t>妊娠期妇女体重增长不足有关，也会增加妊娠高血压综合征的发生，甚至</w:t>
      </w:r>
      <w:r>
        <w:rPr>
          <w:rFonts w:ascii="宋体" w:eastAsia="宋体" w:hAnsi="宋体" w:cs="宋体"/>
          <w:spacing w:val="-4"/>
        </w:rPr>
        <w:t>造成产</w:t>
      </w:r>
      <w:r>
        <w:rPr>
          <w:rFonts w:ascii="宋体" w:eastAsia="宋体" w:hAnsi="宋体" w:cs="宋体"/>
        </w:rPr>
        <w:t xml:space="preserve"> </w:t>
      </w:r>
      <w:r>
        <w:rPr>
          <w:rFonts w:ascii="宋体" w:eastAsia="宋体" w:hAnsi="宋体" w:cs="宋体"/>
          <w:spacing w:val="-4"/>
        </w:rPr>
        <w:t>后出血，增加孕妇的生产风险。另有研究报道，铜能影响铁的代谢，缺铜使肠道</w:t>
      </w:r>
      <w:r>
        <w:rPr>
          <w:rFonts w:ascii="宋体" w:eastAsia="宋体" w:hAnsi="宋体" w:cs="宋体"/>
          <w:spacing w:val="4"/>
        </w:rPr>
        <w:t xml:space="preserve">  </w:t>
      </w:r>
      <w:r>
        <w:rPr>
          <w:rFonts w:ascii="宋体" w:eastAsia="宋体" w:hAnsi="宋体" w:cs="宋体"/>
          <w:spacing w:val="-3"/>
        </w:rPr>
        <w:t>对铁的吸收减少，导致肝、肾以及脾内的储存铁减少，还使组织</w:t>
      </w:r>
      <w:r>
        <w:rPr>
          <w:rFonts w:ascii="宋体" w:eastAsia="宋体" w:hAnsi="宋体" w:cs="宋体"/>
          <w:spacing w:val="-4"/>
        </w:rPr>
        <w:t>中储存的铁变得</w:t>
      </w:r>
      <w:r>
        <w:rPr>
          <w:rFonts w:ascii="宋体" w:eastAsia="宋体" w:hAnsi="宋体" w:cs="宋体"/>
        </w:rPr>
        <w:t xml:space="preserve"> </w:t>
      </w:r>
      <w:r>
        <w:rPr>
          <w:rFonts w:ascii="宋体" w:eastAsia="宋体" w:hAnsi="宋体" w:cs="宋体"/>
          <w:spacing w:val="-2"/>
        </w:rPr>
        <w:t>难以利用。此外，由叶酸、维生素Br</w:t>
      </w:r>
      <w:r>
        <w:rPr>
          <w:rFonts w:ascii="Calibri" w:eastAsia="Calibri" w:hAnsi="Calibri" w:cs="Calibri"/>
          <w:spacing w:val="-2"/>
        </w:rPr>
        <w:t>₂</w:t>
      </w:r>
      <w:r>
        <w:rPr>
          <w:rFonts w:ascii="宋体" w:eastAsia="宋体" w:hAnsi="宋体" w:cs="宋体"/>
          <w:spacing w:val="-2"/>
        </w:rPr>
        <w:t>缺乏引起的巨幼红细胞贫血</w:t>
      </w:r>
      <w:r>
        <w:rPr>
          <w:rFonts w:ascii="宋体" w:eastAsia="宋体" w:hAnsi="宋体" w:cs="宋体"/>
          <w:spacing w:val="4"/>
        </w:rPr>
        <w:t xml:space="preserve"> </w:t>
      </w:r>
      <w:r>
        <w:rPr>
          <w:rFonts w:ascii="宋体" w:eastAsia="宋体" w:hAnsi="宋体" w:cs="宋体"/>
          <w:spacing w:val="-2"/>
        </w:rPr>
        <w:t>(megaloblas-</w:t>
      </w:r>
      <w:r>
        <w:rPr>
          <w:rFonts w:ascii="宋体" w:eastAsia="宋体" w:hAnsi="宋体" w:cs="宋体"/>
        </w:rPr>
        <w:t xml:space="preserve"> </w:t>
      </w:r>
      <w:r>
        <w:rPr>
          <w:rFonts w:ascii="宋体" w:eastAsia="宋体" w:hAnsi="宋体" w:cs="宋体"/>
          <w:spacing w:val="-8"/>
        </w:rPr>
        <w:t>tic</w:t>
      </w:r>
      <w:r>
        <w:rPr>
          <w:rFonts w:ascii="宋体" w:eastAsia="宋体" w:hAnsi="宋体" w:cs="宋体"/>
          <w:spacing w:val="-7"/>
        </w:rPr>
        <w:t xml:space="preserve"> </w:t>
      </w:r>
      <w:r>
        <w:rPr>
          <w:rFonts w:ascii="宋体" w:eastAsia="宋体" w:hAnsi="宋体" w:cs="宋体"/>
          <w:spacing w:val="-8"/>
        </w:rPr>
        <w:t>anemia)</w:t>
      </w:r>
      <w:r>
        <w:rPr>
          <w:rFonts w:ascii="宋体" w:eastAsia="宋体" w:hAnsi="宋体" w:cs="宋体"/>
          <w:spacing w:val="-25"/>
        </w:rPr>
        <w:t xml:space="preserve"> </w:t>
      </w:r>
      <w:r>
        <w:rPr>
          <w:rFonts w:ascii="宋体" w:eastAsia="宋体" w:hAnsi="宋体" w:cs="宋体"/>
          <w:spacing w:val="-8"/>
        </w:rPr>
        <w:t>也是妊娠期妇女不容忽视的问题。</w:t>
      </w:r>
    </w:p>
    <w:p w:rsidR="00EA40A3" w:rsidRDefault="00E86C16">
      <w:pPr>
        <w:spacing w:before="100" w:line="227" w:lineRule="auto"/>
        <w:rPr>
          <w:rFonts w:ascii="楷体" w:eastAsia="楷体" w:hAnsi="楷体" w:cs="楷体"/>
        </w:rPr>
      </w:pPr>
      <w:r>
        <w:rPr>
          <w:rFonts w:ascii="楷体" w:eastAsia="楷体" w:hAnsi="楷体" w:cs="楷体"/>
          <w:spacing w:val="2"/>
        </w:rPr>
        <w:t>3)妊娠高血压症</w:t>
      </w:r>
    </w:p>
    <w:p w:rsidR="00EA40A3" w:rsidRDefault="00E86C16">
      <w:pPr>
        <w:spacing w:before="38" w:line="261" w:lineRule="auto"/>
        <w:ind w:right="67" w:firstLine="419"/>
        <w:jc w:val="both"/>
        <w:rPr>
          <w:rFonts w:ascii="宋体" w:eastAsia="宋体" w:hAnsi="宋体" w:cs="宋体"/>
        </w:rPr>
      </w:pPr>
      <w:r>
        <w:rPr>
          <w:rFonts w:ascii="宋体" w:eastAsia="宋体" w:hAnsi="宋体" w:cs="宋体"/>
          <w:spacing w:val="-3"/>
        </w:rPr>
        <w:t>妊娠期</w:t>
      </w:r>
      <w:r>
        <w:rPr>
          <w:rFonts w:ascii="宋体" w:eastAsia="宋体" w:hAnsi="宋体" w:cs="宋体"/>
          <w:spacing w:val="-4"/>
        </w:rPr>
        <w:t>高血压症</w:t>
      </w:r>
      <w:r>
        <w:rPr>
          <w:rFonts w:ascii="宋体" w:eastAsia="宋体" w:hAnsi="宋体" w:cs="宋体"/>
          <w:spacing w:val="-17"/>
        </w:rPr>
        <w:t xml:space="preserve"> </w:t>
      </w:r>
      <w:r>
        <w:rPr>
          <w:rFonts w:ascii="宋体" w:eastAsia="宋体" w:hAnsi="宋体" w:cs="宋体"/>
          <w:spacing w:val="-4"/>
        </w:rPr>
        <w:t>(</w:t>
      </w:r>
      <w:r>
        <w:rPr>
          <w:rFonts w:ascii="宋体" w:eastAsia="宋体" w:hAnsi="宋体" w:cs="宋体"/>
          <w:spacing w:val="-3"/>
        </w:rPr>
        <w:t>pregnancy</w:t>
      </w:r>
      <w:r>
        <w:rPr>
          <w:rFonts w:ascii="宋体" w:eastAsia="宋体" w:hAnsi="宋体" w:cs="宋体"/>
          <w:spacing w:val="-4"/>
        </w:rPr>
        <w:t>-</w:t>
      </w:r>
      <w:r>
        <w:rPr>
          <w:rFonts w:ascii="宋体" w:eastAsia="宋体" w:hAnsi="宋体" w:cs="宋体"/>
          <w:spacing w:val="-3"/>
        </w:rPr>
        <w:t>induced</w:t>
      </w:r>
      <w:r>
        <w:rPr>
          <w:rFonts w:ascii="宋体" w:eastAsia="宋体" w:hAnsi="宋体" w:cs="宋体"/>
          <w:spacing w:val="3"/>
        </w:rPr>
        <w:t xml:space="preserve"> </w:t>
      </w:r>
      <w:r>
        <w:rPr>
          <w:rFonts w:ascii="宋体" w:eastAsia="宋体" w:hAnsi="宋体" w:cs="宋体"/>
          <w:spacing w:val="-3"/>
        </w:rPr>
        <w:t>hypertension</w:t>
      </w:r>
      <w:r>
        <w:rPr>
          <w:rFonts w:ascii="宋体" w:eastAsia="宋体" w:hAnsi="宋体" w:cs="宋体"/>
          <w:spacing w:val="15"/>
        </w:rPr>
        <w:t xml:space="preserve"> </w:t>
      </w:r>
      <w:r>
        <w:rPr>
          <w:rFonts w:ascii="宋体" w:eastAsia="宋体" w:hAnsi="宋体" w:cs="宋体"/>
          <w:spacing w:val="-3"/>
        </w:rPr>
        <w:t>syndrome</w:t>
      </w:r>
      <w:r>
        <w:rPr>
          <w:rFonts w:ascii="宋体" w:eastAsia="宋体" w:hAnsi="宋体" w:cs="宋体"/>
          <w:spacing w:val="-4"/>
        </w:rPr>
        <w:t>,</w:t>
      </w:r>
      <w:r>
        <w:rPr>
          <w:rFonts w:ascii="宋体" w:eastAsia="宋体" w:hAnsi="宋体" w:cs="宋体"/>
          <w:spacing w:val="-3"/>
        </w:rPr>
        <w:t>PHS</w:t>
      </w:r>
      <w:r>
        <w:rPr>
          <w:rFonts w:ascii="宋体" w:eastAsia="宋体" w:hAnsi="宋体" w:cs="宋体"/>
          <w:spacing w:val="-4"/>
        </w:rPr>
        <w:t>)</w:t>
      </w:r>
      <w:r>
        <w:rPr>
          <w:rFonts w:ascii="宋体" w:eastAsia="宋体" w:hAnsi="宋体" w:cs="宋体"/>
          <w:spacing w:val="-50"/>
        </w:rPr>
        <w:t xml:space="preserve"> </w:t>
      </w:r>
      <w:r>
        <w:rPr>
          <w:rFonts w:ascii="宋体" w:eastAsia="宋体" w:hAnsi="宋体" w:cs="宋体"/>
          <w:spacing w:val="-4"/>
        </w:rPr>
        <w:t>简称妊</w:t>
      </w:r>
      <w:r>
        <w:rPr>
          <w:rFonts w:ascii="宋体" w:eastAsia="宋体" w:hAnsi="宋体" w:cs="宋体"/>
        </w:rPr>
        <w:t xml:space="preserve"> </w:t>
      </w:r>
      <w:r>
        <w:rPr>
          <w:rFonts w:ascii="宋体" w:eastAsia="宋体" w:hAnsi="宋体" w:cs="宋体"/>
          <w:spacing w:val="3"/>
        </w:rPr>
        <w:t>高症，是妇女在妊娠期后出现的一种特有疾病，通常发生在妊娠</w:t>
      </w:r>
      <w:r>
        <w:rPr>
          <w:rFonts w:ascii="宋体" w:eastAsia="宋体" w:hAnsi="宋体" w:cs="宋体"/>
          <w:spacing w:val="2"/>
        </w:rPr>
        <w:t>20周后，表现</w:t>
      </w:r>
      <w:r>
        <w:rPr>
          <w:rFonts w:ascii="宋体" w:eastAsia="宋体" w:hAnsi="宋体" w:cs="宋体"/>
        </w:rPr>
        <w:t xml:space="preserve"> </w:t>
      </w:r>
      <w:r>
        <w:rPr>
          <w:rFonts w:ascii="宋体" w:eastAsia="宋体" w:hAnsi="宋体" w:cs="宋体"/>
          <w:spacing w:val="3"/>
        </w:rPr>
        <w:t>为孕妇血压升高，尿中可查出蛋白质，下肢或全身浮肿，病情严重时可</w:t>
      </w:r>
      <w:r>
        <w:rPr>
          <w:rFonts w:ascii="宋体" w:eastAsia="宋体" w:hAnsi="宋体" w:cs="宋体"/>
          <w:spacing w:val="2"/>
        </w:rPr>
        <w:t>出现子</w:t>
      </w:r>
      <w:r>
        <w:rPr>
          <w:rFonts w:ascii="宋体" w:eastAsia="宋体" w:hAnsi="宋体" w:cs="宋体"/>
        </w:rPr>
        <w:t xml:space="preserve"> </w:t>
      </w:r>
      <w:r>
        <w:rPr>
          <w:rFonts w:ascii="宋体" w:eastAsia="宋体" w:hAnsi="宋体" w:cs="宋体"/>
          <w:spacing w:val="3"/>
        </w:rPr>
        <w:t>痫、昏迷、各脏器功能衰竭甚至死亡。在美国约有6%的妊娠</w:t>
      </w:r>
      <w:r>
        <w:rPr>
          <w:rFonts w:ascii="宋体" w:eastAsia="宋体" w:hAnsi="宋体" w:cs="宋体"/>
          <w:spacing w:val="2"/>
        </w:rPr>
        <w:t>妇女可能出现妊娠</w:t>
      </w:r>
      <w:r>
        <w:rPr>
          <w:rFonts w:ascii="宋体" w:eastAsia="宋体" w:hAnsi="宋体" w:cs="宋体"/>
        </w:rPr>
        <w:t xml:space="preserve"> </w:t>
      </w:r>
      <w:r>
        <w:rPr>
          <w:rFonts w:ascii="宋体" w:eastAsia="宋体" w:hAnsi="宋体" w:cs="宋体"/>
          <w:spacing w:val="9"/>
        </w:rPr>
        <w:t>高血压症，我国约有9.4%的孕妇会发生妊高症。研究表明，</w:t>
      </w:r>
      <w:r>
        <w:rPr>
          <w:rFonts w:ascii="宋体" w:eastAsia="宋体" w:hAnsi="宋体" w:cs="宋体"/>
          <w:spacing w:val="8"/>
        </w:rPr>
        <w:t>营养不良，如缺</w:t>
      </w:r>
      <w:r>
        <w:rPr>
          <w:rFonts w:ascii="宋体" w:eastAsia="宋体" w:hAnsi="宋体" w:cs="宋体"/>
        </w:rPr>
        <w:t xml:space="preserve"> </w:t>
      </w:r>
      <w:r>
        <w:rPr>
          <w:rFonts w:ascii="宋体" w:eastAsia="宋体" w:hAnsi="宋体" w:cs="宋体"/>
          <w:spacing w:val="-3"/>
        </w:rPr>
        <w:t>钙、蛋白质摄入不足、高钠摄入等是引发妊高症的重要原因。妊高症对妊娠期妇</w:t>
      </w:r>
      <w:r>
        <w:rPr>
          <w:rFonts w:ascii="宋体" w:eastAsia="宋体" w:hAnsi="宋体" w:cs="宋体"/>
        </w:rPr>
        <w:t xml:space="preserve"> </w:t>
      </w:r>
      <w:r>
        <w:rPr>
          <w:rFonts w:ascii="宋体" w:eastAsia="宋体" w:hAnsi="宋体" w:cs="宋体"/>
          <w:spacing w:val="2"/>
        </w:rPr>
        <w:t>女及胎儿的影响很大。对于母体，妊高症尤其是重度妊高症，可能导致胎盘早</w:t>
      </w:r>
      <w:r>
        <w:rPr>
          <w:rFonts w:ascii="宋体" w:eastAsia="宋体" w:hAnsi="宋体" w:cs="宋体"/>
          <w:spacing w:val="10"/>
        </w:rPr>
        <w:t xml:space="preserve"> </w:t>
      </w:r>
      <w:r>
        <w:rPr>
          <w:rFonts w:ascii="宋体" w:eastAsia="宋体" w:hAnsi="宋体" w:cs="宋体"/>
          <w:spacing w:val="-3"/>
        </w:rPr>
        <w:t>剥，对孕妇的内脏器官造成伤害，出现多器官病变或衰竭如肺水</w:t>
      </w:r>
      <w:r>
        <w:rPr>
          <w:rFonts w:ascii="宋体" w:eastAsia="宋体" w:hAnsi="宋体" w:cs="宋体"/>
          <w:spacing w:val="-4"/>
        </w:rPr>
        <w:t>肿、心衰、凝血</w:t>
      </w:r>
      <w:r>
        <w:rPr>
          <w:rFonts w:ascii="宋体" w:eastAsia="宋体" w:hAnsi="宋体" w:cs="宋体"/>
        </w:rPr>
        <w:t xml:space="preserve"> </w:t>
      </w:r>
      <w:r>
        <w:rPr>
          <w:rFonts w:ascii="宋体" w:eastAsia="宋体" w:hAnsi="宋体" w:cs="宋体"/>
          <w:spacing w:val="-3"/>
        </w:rPr>
        <w:t>功能异常、急性肾衰、肝酶升高、血小板减少等。对于胎儿，可能因子宫胎盘的</w:t>
      </w:r>
      <w:r>
        <w:rPr>
          <w:rFonts w:ascii="宋体" w:eastAsia="宋体" w:hAnsi="宋体" w:cs="宋体"/>
        </w:rPr>
        <w:t xml:space="preserve"> </w:t>
      </w:r>
      <w:r>
        <w:rPr>
          <w:rFonts w:ascii="宋体" w:eastAsia="宋体" w:hAnsi="宋体" w:cs="宋体"/>
          <w:spacing w:val="-3"/>
        </w:rPr>
        <w:t>血管发生病变，影响母体对胎儿的血液供应，胎儿缺血、缺氧，从而出</w:t>
      </w:r>
      <w:r>
        <w:rPr>
          <w:rFonts w:ascii="宋体" w:eastAsia="宋体" w:hAnsi="宋体" w:cs="宋体"/>
          <w:spacing w:val="-4"/>
        </w:rPr>
        <w:t>现宫内窘</w:t>
      </w:r>
      <w:r>
        <w:rPr>
          <w:rFonts w:ascii="宋体" w:eastAsia="宋体" w:hAnsi="宋体" w:cs="宋体"/>
        </w:rPr>
        <w:t xml:space="preserve"> </w:t>
      </w:r>
      <w:r>
        <w:rPr>
          <w:rFonts w:ascii="宋体" w:eastAsia="宋体" w:hAnsi="宋体" w:cs="宋体"/>
          <w:spacing w:val="-3"/>
        </w:rPr>
        <w:t>迫、发育迟缓、死胎、死产，甚至新生儿死亡。另外，孕妇营养过剩</w:t>
      </w:r>
      <w:r>
        <w:rPr>
          <w:rFonts w:ascii="宋体" w:eastAsia="宋体" w:hAnsi="宋体" w:cs="宋体"/>
          <w:spacing w:val="-4"/>
        </w:rPr>
        <w:t>，造成脂肪</w:t>
      </w:r>
      <w:r>
        <w:rPr>
          <w:rFonts w:ascii="宋体" w:eastAsia="宋体" w:hAnsi="宋体" w:cs="宋体"/>
        </w:rPr>
        <w:t xml:space="preserve"> </w:t>
      </w:r>
      <w:r>
        <w:rPr>
          <w:rFonts w:ascii="宋体" w:eastAsia="宋体" w:hAnsi="宋体" w:cs="宋体"/>
          <w:spacing w:val="-5"/>
        </w:rPr>
        <w:t>堆积和胎儿体重过大，也容易导致妊娠合并症和分</w:t>
      </w:r>
      <w:r>
        <w:rPr>
          <w:rFonts w:ascii="宋体" w:eastAsia="宋体" w:hAnsi="宋体" w:cs="宋体"/>
          <w:spacing w:val="-6"/>
        </w:rPr>
        <w:t>娩并发症。</w:t>
      </w:r>
    </w:p>
    <w:p w:rsidR="00EA40A3" w:rsidRDefault="00E86C16">
      <w:pPr>
        <w:spacing w:before="105" w:line="222" w:lineRule="auto"/>
        <w:rPr>
          <w:rFonts w:ascii="楷体" w:eastAsia="楷体" w:hAnsi="楷体" w:cs="楷体"/>
        </w:rPr>
      </w:pPr>
      <w:r>
        <w:rPr>
          <w:rFonts w:ascii="楷体" w:eastAsia="楷体" w:hAnsi="楷体" w:cs="楷体"/>
          <w:spacing w:val="2"/>
        </w:rPr>
        <w:t>4)其他妊娠期合并症</w:t>
      </w:r>
    </w:p>
    <w:p w:rsidR="00EA40A3" w:rsidRDefault="00E86C16">
      <w:pPr>
        <w:spacing w:before="63" w:line="249" w:lineRule="auto"/>
        <w:ind w:right="71" w:firstLine="419"/>
        <w:jc w:val="both"/>
        <w:rPr>
          <w:rFonts w:ascii="宋体" w:eastAsia="宋体" w:hAnsi="宋体" w:cs="宋体"/>
        </w:rPr>
      </w:pPr>
      <w:r>
        <w:rPr>
          <w:rFonts w:ascii="宋体" w:eastAsia="宋体" w:hAnsi="宋体" w:cs="宋体"/>
        </w:rPr>
        <w:t>除上述妊娠期合并症外，妊娠期营养不良还可能导致孕妇其他病症的出现</w:t>
      </w:r>
      <w:r>
        <w:rPr>
          <w:rFonts w:ascii="宋体" w:eastAsia="宋体" w:hAnsi="宋体" w:cs="宋体"/>
          <w:spacing w:val="8"/>
        </w:rPr>
        <w:t xml:space="preserve">  </w:t>
      </w:r>
      <w:r>
        <w:rPr>
          <w:rFonts w:ascii="宋体" w:eastAsia="宋体" w:hAnsi="宋体" w:cs="宋体"/>
          <w:spacing w:val="-8"/>
        </w:rPr>
        <w:t>如妊娠期糖尿病</w:t>
      </w:r>
      <w:r>
        <w:rPr>
          <w:rFonts w:ascii="宋体" w:eastAsia="宋体" w:hAnsi="宋体" w:cs="宋体"/>
        </w:rPr>
        <w:t xml:space="preserve"> </w:t>
      </w:r>
      <w:r>
        <w:rPr>
          <w:rFonts w:ascii="宋体" w:eastAsia="宋体" w:hAnsi="宋体" w:cs="宋体"/>
          <w:spacing w:val="-8"/>
        </w:rPr>
        <w:t>(</w:t>
      </w:r>
      <w:r>
        <w:rPr>
          <w:rFonts w:ascii="宋体" w:eastAsia="宋体" w:hAnsi="宋体" w:cs="宋体"/>
          <w:spacing w:val="-7"/>
        </w:rPr>
        <w:t>gestational</w:t>
      </w:r>
      <w:r>
        <w:rPr>
          <w:rFonts w:ascii="宋体" w:eastAsia="宋体" w:hAnsi="宋体" w:cs="宋体"/>
          <w:spacing w:val="-2"/>
        </w:rPr>
        <w:t xml:space="preserve"> </w:t>
      </w:r>
      <w:r>
        <w:rPr>
          <w:rFonts w:ascii="宋体" w:eastAsia="宋体" w:hAnsi="宋体" w:cs="宋体"/>
          <w:spacing w:val="-7"/>
        </w:rPr>
        <w:t>diabetes</w:t>
      </w:r>
      <w:r>
        <w:rPr>
          <w:rFonts w:ascii="宋体" w:eastAsia="宋体" w:hAnsi="宋体" w:cs="宋体"/>
          <w:spacing w:val="-10"/>
        </w:rPr>
        <w:t xml:space="preserve"> </w:t>
      </w:r>
      <w:r>
        <w:rPr>
          <w:rFonts w:ascii="宋体" w:eastAsia="宋体" w:hAnsi="宋体" w:cs="宋体"/>
          <w:spacing w:val="-7"/>
        </w:rPr>
        <w:t>melli</w:t>
      </w:r>
      <w:r>
        <w:rPr>
          <w:rFonts w:ascii="宋体" w:eastAsia="宋体" w:hAnsi="宋体" w:cs="宋体"/>
          <w:spacing w:val="-8"/>
        </w:rPr>
        <w:t>tus)、</w:t>
      </w:r>
      <w:r>
        <w:rPr>
          <w:rFonts w:ascii="宋体" w:eastAsia="宋体" w:hAnsi="宋体" w:cs="宋体"/>
          <w:spacing w:val="-43"/>
        </w:rPr>
        <w:t xml:space="preserve"> </w:t>
      </w:r>
      <w:r>
        <w:rPr>
          <w:rFonts w:ascii="宋体" w:eastAsia="宋体" w:hAnsi="宋体" w:cs="宋体"/>
          <w:spacing w:val="-8"/>
        </w:rPr>
        <w:t>妊娠合并肾炎、妊娠合并心</w:t>
      </w:r>
      <w:r>
        <w:rPr>
          <w:rFonts w:ascii="宋体" w:eastAsia="宋体" w:hAnsi="宋体" w:cs="宋体"/>
        </w:rPr>
        <w:t xml:space="preserve"> </w:t>
      </w:r>
      <w:r>
        <w:rPr>
          <w:rFonts w:ascii="宋体" w:eastAsia="宋体" w:hAnsi="宋体" w:cs="宋体"/>
          <w:spacing w:val="-15"/>
        </w:rPr>
        <w:t>衰等。</w:t>
      </w:r>
    </w:p>
    <w:p w:rsidR="00EA40A3" w:rsidRDefault="00E86C16">
      <w:pPr>
        <w:spacing w:before="76"/>
        <w:ind w:left="150"/>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3"/>
          <w:sz w:val="17"/>
          <w:szCs w:val="17"/>
        </w:rPr>
        <w:t xml:space="preserve"> </w:t>
      </w:r>
      <w:r>
        <w:rPr>
          <w:rFonts w:ascii="宋体" w:eastAsia="宋体" w:hAnsi="宋体" w:cs="宋体"/>
          <w:spacing w:val="-23"/>
          <w:sz w:val="17"/>
          <w:szCs w:val="17"/>
        </w:rPr>
        <w:t>304</w:t>
      </w:r>
      <w:r>
        <w:rPr>
          <w:rFonts w:ascii="宋体" w:eastAsia="宋体" w:hAnsi="宋体" w:cs="宋体"/>
          <w:spacing w:val="50"/>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1035" w:bottom="400" w:left="869" w:header="0" w:footer="0" w:gutter="0"/>
          <w:cols w:space="720"/>
        </w:sectPr>
      </w:pPr>
    </w:p>
    <w:p w:rsidR="00EA40A3" w:rsidRDefault="00EA40A3">
      <w:pPr>
        <w:spacing w:line="249" w:lineRule="auto"/>
      </w:pPr>
    </w:p>
    <w:p w:rsidR="00EA40A3" w:rsidRDefault="00EA40A3">
      <w:pPr>
        <w:spacing w:line="250" w:lineRule="auto"/>
      </w:pPr>
    </w:p>
    <w:p w:rsidR="00EA40A3" w:rsidRDefault="00EA40A3">
      <w:pPr>
        <w:spacing w:line="250" w:lineRule="auto"/>
      </w:pPr>
    </w:p>
    <w:p w:rsidR="00EA40A3" w:rsidRDefault="00E86C16">
      <w:pPr>
        <w:spacing w:before="71" w:line="341" w:lineRule="exact"/>
        <w:rPr>
          <w:rFonts w:ascii="仿宋" w:eastAsia="仿宋" w:hAnsi="仿宋" w:cs="仿宋"/>
          <w:sz w:val="22"/>
          <w:szCs w:val="22"/>
        </w:rPr>
      </w:pPr>
      <w:r>
        <w:rPr>
          <w:rFonts w:ascii="仿宋" w:eastAsia="仿宋" w:hAnsi="仿宋" w:cs="仿宋"/>
          <w:spacing w:val="13"/>
          <w:position w:val="8"/>
          <w:sz w:val="22"/>
          <w:szCs w:val="22"/>
        </w:rPr>
        <w:t>2.</w:t>
      </w:r>
      <w:r>
        <w:rPr>
          <w:rFonts w:ascii="仿宋" w:eastAsia="仿宋" w:hAnsi="仿宋" w:cs="仿宋"/>
          <w:spacing w:val="20"/>
          <w:position w:val="8"/>
          <w:sz w:val="22"/>
          <w:szCs w:val="22"/>
        </w:rPr>
        <w:t xml:space="preserve"> </w:t>
      </w:r>
      <w:r>
        <w:rPr>
          <w:rFonts w:ascii="仿宋" w:eastAsia="仿宋" w:hAnsi="仿宋" w:cs="仿宋"/>
          <w:spacing w:val="13"/>
          <w:position w:val="8"/>
          <w:sz w:val="22"/>
          <w:szCs w:val="22"/>
        </w:rPr>
        <w:t>妊娠期营养不良对胎儿影响</w:t>
      </w:r>
    </w:p>
    <w:p w:rsidR="00EA40A3" w:rsidRDefault="00E86C16">
      <w:pPr>
        <w:spacing w:line="225" w:lineRule="auto"/>
        <w:rPr>
          <w:rFonts w:ascii="楷体" w:eastAsia="楷体" w:hAnsi="楷体" w:cs="楷体"/>
          <w:sz w:val="22"/>
          <w:szCs w:val="22"/>
        </w:rPr>
      </w:pPr>
      <w:r>
        <w:rPr>
          <w:rFonts w:ascii="楷体" w:eastAsia="楷体" w:hAnsi="楷体" w:cs="楷体"/>
          <w:spacing w:val="-8"/>
          <w:sz w:val="22"/>
          <w:szCs w:val="22"/>
        </w:rPr>
        <w:t>1)胎儿和新生儿死亡率增高</w:t>
      </w:r>
    </w:p>
    <w:p w:rsidR="00EA40A3" w:rsidRDefault="00E86C16">
      <w:pPr>
        <w:spacing w:before="24" w:line="252" w:lineRule="auto"/>
        <w:ind w:right="38" w:firstLine="460"/>
        <w:rPr>
          <w:rFonts w:ascii="宋体" w:eastAsia="宋体" w:hAnsi="宋体" w:cs="宋体"/>
          <w:sz w:val="22"/>
          <w:szCs w:val="22"/>
        </w:rPr>
      </w:pPr>
      <w:r>
        <w:rPr>
          <w:rFonts w:ascii="宋体" w:eastAsia="宋体" w:hAnsi="宋体" w:cs="宋体"/>
          <w:spacing w:val="-13"/>
          <w:sz w:val="22"/>
          <w:szCs w:val="22"/>
        </w:rPr>
        <w:t>母体营养不良导致胎儿和新生儿的生命力较差，不能经受外界环境中各种不</w:t>
      </w:r>
      <w:r>
        <w:rPr>
          <w:rFonts w:ascii="宋体" w:eastAsia="宋体" w:hAnsi="宋体" w:cs="宋体"/>
          <w:spacing w:val="9"/>
          <w:sz w:val="22"/>
          <w:szCs w:val="22"/>
        </w:rPr>
        <w:t xml:space="preserve"> </w:t>
      </w:r>
      <w:r>
        <w:rPr>
          <w:rFonts w:ascii="宋体" w:eastAsia="宋体" w:hAnsi="宋体" w:cs="宋体"/>
          <w:spacing w:val="-13"/>
          <w:sz w:val="22"/>
          <w:szCs w:val="22"/>
        </w:rPr>
        <w:t>利因素的冲击，因此新生儿死亡率及死产率也较高。有调查发现</w:t>
      </w:r>
      <w:r>
        <w:rPr>
          <w:rFonts w:ascii="宋体" w:eastAsia="宋体" w:hAnsi="宋体" w:cs="宋体"/>
          <w:spacing w:val="-14"/>
          <w:sz w:val="22"/>
          <w:szCs w:val="22"/>
        </w:rPr>
        <w:t>，妊娠妇女低体</w:t>
      </w:r>
      <w:r>
        <w:rPr>
          <w:rFonts w:ascii="宋体" w:eastAsia="宋体" w:hAnsi="宋体" w:cs="宋体"/>
          <w:sz w:val="22"/>
          <w:szCs w:val="22"/>
        </w:rPr>
        <w:t xml:space="preserve"> </w:t>
      </w:r>
      <w:r>
        <w:rPr>
          <w:rFonts w:ascii="宋体" w:eastAsia="宋体" w:hAnsi="宋体" w:cs="宋体"/>
          <w:spacing w:val="-13"/>
          <w:sz w:val="22"/>
          <w:szCs w:val="22"/>
        </w:rPr>
        <w:t>重或妊娠期间体重增加不足会增加体内胎儿的危险。对该类妊娠期妇女蛋白质和</w:t>
      </w:r>
      <w:r>
        <w:rPr>
          <w:rFonts w:ascii="宋体" w:eastAsia="宋体" w:hAnsi="宋体" w:cs="宋体"/>
          <w:spacing w:val="1"/>
          <w:sz w:val="22"/>
          <w:szCs w:val="22"/>
        </w:rPr>
        <w:t xml:space="preserve"> </w:t>
      </w:r>
      <w:r>
        <w:rPr>
          <w:rFonts w:ascii="宋体" w:eastAsia="宋体" w:hAnsi="宋体" w:cs="宋体"/>
          <w:spacing w:val="-14"/>
          <w:sz w:val="22"/>
          <w:szCs w:val="22"/>
        </w:rPr>
        <w:t>能量的补充能够有效降低新生儿死亡率。需要说明的是，妊娠期营养过剩导致的</w:t>
      </w:r>
      <w:r>
        <w:rPr>
          <w:rFonts w:ascii="宋体" w:eastAsia="宋体" w:hAnsi="宋体" w:cs="宋体"/>
          <w:spacing w:val="15"/>
          <w:sz w:val="22"/>
          <w:szCs w:val="22"/>
        </w:rPr>
        <w:t xml:space="preserve"> </w:t>
      </w:r>
      <w:r>
        <w:rPr>
          <w:rFonts w:ascii="宋体" w:eastAsia="宋体" w:hAnsi="宋体" w:cs="宋体"/>
          <w:spacing w:val="-10"/>
          <w:sz w:val="22"/>
          <w:szCs w:val="22"/>
        </w:rPr>
        <w:t>巨大儿，其在围生期的死亡率可能是正常胎儿或新生儿的3倍。</w:t>
      </w:r>
    </w:p>
    <w:p w:rsidR="00EA40A3" w:rsidRDefault="00E86C16">
      <w:pPr>
        <w:spacing w:before="59" w:line="219" w:lineRule="auto"/>
        <w:rPr>
          <w:rFonts w:ascii="宋体" w:eastAsia="宋体" w:hAnsi="宋体" w:cs="宋体"/>
          <w:sz w:val="22"/>
          <w:szCs w:val="22"/>
        </w:rPr>
      </w:pPr>
      <w:r>
        <w:rPr>
          <w:rFonts w:ascii="宋体" w:eastAsia="宋体" w:hAnsi="宋体" w:cs="宋体"/>
          <w:spacing w:val="-9"/>
          <w:sz w:val="22"/>
          <w:szCs w:val="22"/>
        </w:rPr>
        <w:t>2)早产、小于胎龄儿及低出生体重儿</w:t>
      </w:r>
    </w:p>
    <w:p w:rsidR="00EA40A3" w:rsidRDefault="00E86C16">
      <w:pPr>
        <w:spacing w:before="41" w:line="249" w:lineRule="auto"/>
        <w:ind w:right="60" w:firstLine="460"/>
        <w:rPr>
          <w:rFonts w:ascii="宋体" w:eastAsia="宋体" w:hAnsi="宋体" w:cs="宋体"/>
          <w:sz w:val="22"/>
          <w:szCs w:val="22"/>
        </w:rPr>
      </w:pPr>
      <w:r>
        <w:rPr>
          <w:rFonts w:ascii="宋体" w:eastAsia="宋体" w:hAnsi="宋体" w:cs="宋体"/>
          <w:spacing w:val="6"/>
          <w:sz w:val="22"/>
          <w:szCs w:val="22"/>
        </w:rPr>
        <w:t>早产儿</w:t>
      </w:r>
      <w:r>
        <w:rPr>
          <w:rFonts w:ascii="宋体" w:eastAsia="宋体" w:hAnsi="宋体" w:cs="宋体"/>
          <w:spacing w:val="-11"/>
          <w:sz w:val="22"/>
          <w:szCs w:val="22"/>
        </w:rPr>
        <w:t xml:space="preserve"> </w:t>
      </w:r>
      <w:r>
        <w:rPr>
          <w:rFonts w:ascii="宋体" w:eastAsia="宋体" w:hAnsi="宋体" w:cs="宋体"/>
          <w:spacing w:val="6"/>
          <w:sz w:val="22"/>
          <w:szCs w:val="22"/>
        </w:rPr>
        <w:t>(</w:t>
      </w:r>
      <w:r>
        <w:rPr>
          <w:rFonts w:ascii="宋体" w:eastAsia="宋体" w:hAnsi="宋体" w:cs="宋体"/>
          <w:sz w:val="22"/>
          <w:szCs w:val="22"/>
        </w:rPr>
        <w:t>premature</w:t>
      </w:r>
      <w:r>
        <w:rPr>
          <w:rFonts w:ascii="宋体" w:eastAsia="宋体" w:hAnsi="宋体" w:cs="宋体"/>
          <w:spacing w:val="6"/>
          <w:sz w:val="22"/>
          <w:szCs w:val="22"/>
        </w:rPr>
        <w:t>)</w:t>
      </w:r>
      <w:r>
        <w:rPr>
          <w:rFonts w:ascii="宋体" w:eastAsia="宋体" w:hAnsi="宋体" w:cs="宋体"/>
          <w:spacing w:val="-43"/>
          <w:sz w:val="22"/>
          <w:szCs w:val="22"/>
        </w:rPr>
        <w:t xml:space="preserve"> </w:t>
      </w:r>
      <w:r>
        <w:rPr>
          <w:rFonts w:ascii="宋体" w:eastAsia="宋体" w:hAnsi="宋体" w:cs="宋体"/>
          <w:spacing w:val="6"/>
          <w:sz w:val="22"/>
          <w:szCs w:val="22"/>
        </w:rPr>
        <w:t>是指妊娠期少于37周即出生的婴儿。小于胎龄儿</w:t>
      </w:r>
      <w:r>
        <w:rPr>
          <w:rFonts w:ascii="宋体" w:eastAsia="宋体" w:hAnsi="宋体" w:cs="宋体"/>
          <w:sz w:val="22"/>
          <w:szCs w:val="22"/>
        </w:rPr>
        <w:t xml:space="preserve"> </w:t>
      </w:r>
      <w:r>
        <w:rPr>
          <w:rFonts w:ascii="宋体" w:eastAsia="宋体" w:hAnsi="宋体" w:cs="宋体"/>
          <w:spacing w:val="-12"/>
          <w:sz w:val="22"/>
          <w:szCs w:val="22"/>
        </w:rPr>
        <w:t>(small</w:t>
      </w:r>
      <w:r>
        <w:rPr>
          <w:rFonts w:ascii="宋体" w:eastAsia="宋体" w:hAnsi="宋体" w:cs="宋体"/>
          <w:spacing w:val="-3"/>
          <w:sz w:val="22"/>
          <w:szCs w:val="22"/>
        </w:rPr>
        <w:t xml:space="preserve"> </w:t>
      </w:r>
      <w:r>
        <w:rPr>
          <w:rFonts w:ascii="宋体" w:eastAsia="宋体" w:hAnsi="宋体" w:cs="宋体"/>
          <w:spacing w:val="-12"/>
          <w:sz w:val="22"/>
          <w:szCs w:val="22"/>
        </w:rPr>
        <w:t>for</w:t>
      </w:r>
      <w:r>
        <w:rPr>
          <w:rFonts w:ascii="宋体" w:eastAsia="宋体" w:hAnsi="宋体" w:cs="宋体"/>
          <w:spacing w:val="-2"/>
          <w:sz w:val="22"/>
          <w:szCs w:val="22"/>
        </w:rPr>
        <w:t xml:space="preserve"> </w:t>
      </w:r>
      <w:r>
        <w:rPr>
          <w:rFonts w:ascii="宋体" w:eastAsia="宋体" w:hAnsi="宋体" w:cs="宋体"/>
          <w:spacing w:val="-12"/>
          <w:sz w:val="22"/>
          <w:szCs w:val="22"/>
        </w:rPr>
        <w:t>gestational</w:t>
      </w:r>
      <w:r>
        <w:rPr>
          <w:rFonts w:ascii="宋体" w:eastAsia="宋体" w:hAnsi="宋体" w:cs="宋体"/>
          <w:spacing w:val="-5"/>
          <w:sz w:val="22"/>
          <w:szCs w:val="22"/>
        </w:rPr>
        <w:t xml:space="preserve"> </w:t>
      </w:r>
      <w:r>
        <w:rPr>
          <w:rFonts w:ascii="宋体" w:eastAsia="宋体" w:hAnsi="宋体" w:cs="宋体"/>
          <w:spacing w:val="-12"/>
          <w:sz w:val="22"/>
          <w:szCs w:val="22"/>
        </w:rPr>
        <w:t>ageinfant,SGA)</w:t>
      </w:r>
      <w:r>
        <w:rPr>
          <w:rFonts w:ascii="宋体" w:eastAsia="宋体" w:hAnsi="宋体" w:cs="宋体"/>
          <w:spacing w:val="-53"/>
          <w:sz w:val="22"/>
          <w:szCs w:val="22"/>
        </w:rPr>
        <w:t xml:space="preserve"> </w:t>
      </w:r>
      <w:r>
        <w:rPr>
          <w:rFonts w:ascii="宋体" w:eastAsia="宋体" w:hAnsi="宋体" w:cs="宋体"/>
          <w:spacing w:val="-12"/>
          <w:sz w:val="22"/>
          <w:szCs w:val="22"/>
        </w:rPr>
        <w:t>是指胎儿的大小与妊娠月</w:t>
      </w:r>
      <w:r>
        <w:rPr>
          <w:rFonts w:ascii="宋体" w:eastAsia="宋体" w:hAnsi="宋体" w:cs="宋体"/>
          <w:spacing w:val="-13"/>
          <w:sz w:val="22"/>
          <w:szCs w:val="22"/>
        </w:rPr>
        <w:t>份不符，即是</w:t>
      </w:r>
      <w:r>
        <w:rPr>
          <w:rFonts w:ascii="宋体" w:eastAsia="宋体" w:hAnsi="宋体" w:cs="宋体"/>
          <w:sz w:val="22"/>
          <w:szCs w:val="22"/>
        </w:rPr>
        <w:t xml:space="preserve"> </w:t>
      </w:r>
      <w:r>
        <w:rPr>
          <w:rFonts w:ascii="宋体" w:eastAsia="宋体" w:hAnsi="宋体" w:cs="宋体"/>
          <w:spacing w:val="-14"/>
          <w:sz w:val="22"/>
          <w:szCs w:val="22"/>
        </w:rPr>
        <w:t>指新生儿体重低于该孕周应</w:t>
      </w:r>
      <w:r>
        <w:rPr>
          <w:rFonts w:ascii="宋体" w:eastAsia="宋体" w:hAnsi="宋体" w:cs="宋体"/>
          <w:spacing w:val="-15"/>
          <w:sz w:val="22"/>
          <w:szCs w:val="22"/>
        </w:rPr>
        <w:t>有平均体重的两个标准差者。低出生体重</w:t>
      </w:r>
      <w:r>
        <w:rPr>
          <w:rFonts w:ascii="宋体" w:eastAsia="宋体" w:hAnsi="宋体" w:cs="宋体"/>
          <w:sz w:val="22"/>
          <w:szCs w:val="22"/>
        </w:rPr>
        <w:t xml:space="preserve"> </w:t>
      </w:r>
      <w:r>
        <w:rPr>
          <w:rFonts w:ascii="宋体" w:eastAsia="宋体" w:hAnsi="宋体" w:cs="宋体"/>
          <w:spacing w:val="-15"/>
          <w:sz w:val="22"/>
          <w:szCs w:val="22"/>
        </w:rPr>
        <w:t>(</w:t>
      </w:r>
      <w:r>
        <w:rPr>
          <w:rFonts w:ascii="宋体" w:eastAsia="宋体" w:hAnsi="宋体" w:cs="宋体"/>
          <w:spacing w:val="-14"/>
          <w:sz w:val="22"/>
          <w:szCs w:val="22"/>
        </w:rPr>
        <w:t>low</w:t>
      </w:r>
      <w:r>
        <w:rPr>
          <w:rFonts w:ascii="宋体" w:eastAsia="宋体" w:hAnsi="宋体" w:cs="宋体"/>
          <w:spacing w:val="-10"/>
          <w:sz w:val="22"/>
          <w:szCs w:val="22"/>
        </w:rPr>
        <w:t xml:space="preserve"> </w:t>
      </w:r>
      <w:r>
        <w:rPr>
          <w:rFonts w:ascii="宋体" w:eastAsia="宋体" w:hAnsi="宋体" w:cs="宋体"/>
          <w:spacing w:val="-14"/>
          <w:sz w:val="22"/>
          <w:szCs w:val="22"/>
        </w:rPr>
        <w:t>birth</w:t>
      </w:r>
      <w:r>
        <w:rPr>
          <w:rFonts w:ascii="宋体" w:eastAsia="宋体" w:hAnsi="宋体" w:cs="宋体"/>
          <w:sz w:val="22"/>
          <w:szCs w:val="22"/>
        </w:rPr>
        <w:t xml:space="preserve"> </w:t>
      </w:r>
      <w:r>
        <w:rPr>
          <w:rFonts w:ascii="宋体" w:eastAsia="宋体" w:hAnsi="宋体" w:cs="宋体"/>
          <w:spacing w:val="-8"/>
          <w:sz w:val="22"/>
          <w:szCs w:val="22"/>
        </w:rPr>
        <w:t>weight,LBW)</w:t>
      </w:r>
      <w:r>
        <w:rPr>
          <w:rFonts w:ascii="宋体" w:eastAsia="宋体" w:hAnsi="宋体" w:cs="宋体"/>
          <w:spacing w:val="19"/>
          <w:sz w:val="22"/>
          <w:szCs w:val="22"/>
        </w:rPr>
        <w:t xml:space="preserve">  </w:t>
      </w:r>
      <w:r>
        <w:rPr>
          <w:rFonts w:ascii="宋体" w:eastAsia="宋体" w:hAnsi="宋体" w:cs="宋体"/>
          <w:spacing w:val="-8"/>
          <w:sz w:val="22"/>
          <w:szCs w:val="22"/>
        </w:rPr>
        <w:t>是指新生儿出生体重小于2.5kg。</w:t>
      </w:r>
      <w:r>
        <w:rPr>
          <w:rFonts w:ascii="宋体" w:eastAsia="宋体" w:hAnsi="宋体" w:cs="宋体"/>
          <w:spacing w:val="-62"/>
          <w:sz w:val="22"/>
          <w:szCs w:val="22"/>
        </w:rPr>
        <w:t xml:space="preserve"> </w:t>
      </w:r>
      <w:r>
        <w:rPr>
          <w:rFonts w:ascii="宋体" w:eastAsia="宋体" w:hAnsi="宋体" w:cs="宋体"/>
          <w:spacing w:val="-8"/>
          <w:sz w:val="22"/>
          <w:szCs w:val="22"/>
        </w:rPr>
        <w:t>在西方发达国家中，低出生体</w:t>
      </w:r>
      <w:r>
        <w:rPr>
          <w:rFonts w:ascii="宋体" w:eastAsia="宋体" w:hAnsi="宋体" w:cs="宋体"/>
          <w:sz w:val="22"/>
          <w:szCs w:val="22"/>
        </w:rPr>
        <w:t xml:space="preserve"> </w:t>
      </w:r>
      <w:r>
        <w:rPr>
          <w:rFonts w:ascii="宋体" w:eastAsia="宋体" w:hAnsi="宋体" w:cs="宋体"/>
          <w:spacing w:val="-10"/>
          <w:sz w:val="22"/>
          <w:szCs w:val="22"/>
        </w:rPr>
        <w:t>重新生儿中约2/3是由于早产，而发展中国家则多数低出生体重儿属于小于胎龄</w:t>
      </w:r>
      <w:r>
        <w:rPr>
          <w:rFonts w:ascii="宋体" w:eastAsia="宋体" w:hAnsi="宋体" w:cs="宋体"/>
          <w:spacing w:val="7"/>
          <w:sz w:val="22"/>
          <w:szCs w:val="22"/>
        </w:rPr>
        <w:t xml:space="preserve"> </w:t>
      </w:r>
      <w:r>
        <w:rPr>
          <w:rFonts w:ascii="宋体" w:eastAsia="宋体" w:hAnsi="宋体" w:cs="宋体"/>
          <w:spacing w:val="-13"/>
          <w:sz w:val="22"/>
          <w:szCs w:val="22"/>
        </w:rPr>
        <w:t>儿，反映出胎儿在母体内生长停滞，宫内发育迟缓。妊娠期营养不良</w:t>
      </w:r>
      <w:r>
        <w:rPr>
          <w:rFonts w:ascii="宋体" w:eastAsia="宋体" w:hAnsi="宋体" w:cs="宋体"/>
          <w:spacing w:val="-14"/>
          <w:sz w:val="22"/>
          <w:szCs w:val="22"/>
        </w:rPr>
        <w:t>，特别是能</w:t>
      </w:r>
      <w:r>
        <w:rPr>
          <w:rFonts w:ascii="宋体" w:eastAsia="宋体" w:hAnsi="宋体" w:cs="宋体"/>
          <w:sz w:val="22"/>
          <w:szCs w:val="22"/>
        </w:rPr>
        <w:t xml:space="preserve"> </w:t>
      </w:r>
      <w:r>
        <w:rPr>
          <w:rFonts w:ascii="宋体" w:eastAsia="宋体" w:hAnsi="宋体" w:cs="宋体"/>
          <w:spacing w:val="-13"/>
          <w:sz w:val="22"/>
          <w:szCs w:val="22"/>
        </w:rPr>
        <w:t>量、蛋白质摄入量不足，是造成宫内发育迟缓</w:t>
      </w:r>
      <w:r>
        <w:rPr>
          <w:rFonts w:ascii="宋体" w:eastAsia="宋体" w:hAnsi="宋体" w:cs="宋体"/>
          <w:spacing w:val="-14"/>
          <w:sz w:val="22"/>
          <w:szCs w:val="22"/>
        </w:rPr>
        <w:t>的重要原因之一。研究发现，胎儿</w:t>
      </w:r>
      <w:r>
        <w:rPr>
          <w:rFonts w:ascii="宋体" w:eastAsia="宋体" w:hAnsi="宋体" w:cs="宋体"/>
          <w:sz w:val="22"/>
          <w:szCs w:val="22"/>
        </w:rPr>
        <w:t xml:space="preserve"> </w:t>
      </w:r>
      <w:r>
        <w:rPr>
          <w:rFonts w:ascii="宋体" w:eastAsia="宋体" w:hAnsi="宋体" w:cs="宋体"/>
          <w:spacing w:val="-13"/>
          <w:sz w:val="22"/>
          <w:szCs w:val="22"/>
        </w:rPr>
        <w:t>宫内发育迟缓造成的低出生体重与糖尿病、高血压、冠心病等多种成年慢性病的</w:t>
      </w:r>
      <w:r>
        <w:rPr>
          <w:rFonts w:ascii="宋体" w:eastAsia="宋体" w:hAnsi="宋体" w:cs="宋体"/>
          <w:sz w:val="22"/>
          <w:szCs w:val="22"/>
        </w:rPr>
        <w:t xml:space="preserve"> </w:t>
      </w:r>
      <w:r>
        <w:rPr>
          <w:rFonts w:ascii="宋体" w:eastAsia="宋体" w:hAnsi="宋体" w:cs="宋体"/>
          <w:spacing w:val="-21"/>
          <w:sz w:val="22"/>
          <w:szCs w:val="22"/>
        </w:rPr>
        <w:t>发生密切相关。</w:t>
      </w:r>
    </w:p>
    <w:p w:rsidR="00EA40A3" w:rsidRDefault="00E86C16">
      <w:pPr>
        <w:spacing w:before="111" w:line="223" w:lineRule="auto"/>
        <w:rPr>
          <w:rFonts w:ascii="楷体" w:eastAsia="楷体" w:hAnsi="楷体" w:cs="楷体"/>
          <w:sz w:val="22"/>
          <w:szCs w:val="22"/>
        </w:rPr>
      </w:pPr>
      <w:r>
        <w:rPr>
          <w:rFonts w:ascii="楷体" w:eastAsia="楷体" w:hAnsi="楷体" w:cs="楷体"/>
          <w:spacing w:val="-7"/>
          <w:sz w:val="22"/>
          <w:szCs w:val="22"/>
        </w:rPr>
        <w:t>3)脑发育受损及先天畸形</w:t>
      </w:r>
    </w:p>
    <w:p w:rsidR="00EA40A3" w:rsidRDefault="00E86C16">
      <w:pPr>
        <w:spacing w:before="58" w:line="248" w:lineRule="auto"/>
        <w:ind w:right="20" w:firstLine="460"/>
        <w:jc w:val="both"/>
        <w:rPr>
          <w:rFonts w:ascii="宋体" w:eastAsia="宋体" w:hAnsi="宋体" w:cs="宋体"/>
          <w:sz w:val="22"/>
          <w:szCs w:val="22"/>
        </w:rPr>
      </w:pPr>
      <w:r>
        <w:rPr>
          <w:rFonts w:ascii="宋体" w:eastAsia="宋体" w:hAnsi="宋体" w:cs="宋体"/>
          <w:spacing w:val="-7"/>
          <w:sz w:val="22"/>
          <w:szCs w:val="22"/>
        </w:rPr>
        <w:t>妊娠最后3个月至出生后1年左右是人类脑细胞发育的最旺盛时期，因此母</w:t>
      </w:r>
      <w:r>
        <w:rPr>
          <w:rFonts w:ascii="宋体" w:eastAsia="宋体" w:hAnsi="宋体" w:cs="宋体"/>
          <w:spacing w:val="9"/>
          <w:sz w:val="22"/>
          <w:szCs w:val="22"/>
        </w:rPr>
        <w:t xml:space="preserve"> </w:t>
      </w:r>
      <w:r>
        <w:rPr>
          <w:rFonts w:ascii="宋体" w:eastAsia="宋体" w:hAnsi="宋体" w:cs="宋体"/>
          <w:spacing w:val="-13"/>
          <w:sz w:val="22"/>
          <w:szCs w:val="22"/>
        </w:rPr>
        <w:t>体营养状况将直接影响胎儿及新生儿的脑发育状况。如果妊娠期</w:t>
      </w:r>
      <w:r>
        <w:rPr>
          <w:rFonts w:ascii="宋体" w:eastAsia="宋体" w:hAnsi="宋体" w:cs="宋体"/>
          <w:spacing w:val="-14"/>
          <w:sz w:val="22"/>
          <w:szCs w:val="22"/>
        </w:rPr>
        <w:t>营养不良，胎儿</w:t>
      </w:r>
      <w:r>
        <w:rPr>
          <w:rFonts w:ascii="宋体" w:eastAsia="宋体" w:hAnsi="宋体" w:cs="宋体"/>
          <w:sz w:val="22"/>
          <w:szCs w:val="22"/>
        </w:rPr>
        <w:t xml:space="preserve"> </w:t>
      </w:r>
      <w:r>
        <w:rPr>
          <w:rFonts w:ascii="宋体" w:eastAsia="宋体" w:hAnsi="宋体" w:cs="宋体"/>
          <w:spacing w:val="-10"/>
          <w:sz w:val="22"/>
          <w:szCs w:val="22"/>
        </w:rPr>
        <w:t>脑细胞的发育迟缓，</w:t>
      </w:r>
      <w:r>
        <w:rPr>
          <w:rFonts w:ascii="宋体" w:eastAsia="宋体" w:hAnsi="宋体" w:cs="宋体"/>
          <w:sz w:val="22"/>
          <w:szCs w:val="22"/>
        </w:rPr>
        <w:t xml:space="preserve"> </w:t>
      </w:r>
      <w:r>
        <w:rPr>
          <w:rFonts w:ascii="宋体" w:eastAsia="宋体" w:hAnsi="宋体" w:cs="宋体"/>
          <w:spacing w:val="-10"/>
          <w:sz w:val="22"/>
          <w:szCs w:val="22"/>
        </w:rPr>
        <w:t>DNA</w:t>
      </w:r>
      <w:r>
        <w:rPr>
          <w:rFonts w:ascii="宋体" w:eastAsia="宋体" w:hAnsi="宋体" w:cs="宋体"/>
          <w:spacing w:val="84"/>
          <w:sz w:val="22"/>
          <w:szCs w:val="22"/>
        </w:rPr>
        <w:t xml:space="preserve"> </w:t>
      </w:r>
      <w:r>
        <w:rPr>
          <w:rFonts w:ascii="宋体" w:eastAsia="宋体" w:hAnsi="宋体" w:cs="宋体"/>
          <w:spacing w:val="-10"/>
          <w:sz w:val="22"/>
          <w:szCs w:val="22"/>
        </w:rPr>
        <w:t>合成速度减慢，可能影响到以后的智力发</w:t>
      </w:r>
      <w:r>
        <w:rPr>
          <w:rFonts w:ascii="宋体" w:eastAsia="宋体" w:hAnsi="宋体" w:cs="宋体"/>
          <w:spacing w:val="-11"/>
          <w:sz w:val="22"/>
          <w:szCs w:val="22"/>
        </w:rPr>
        <w:t>育。此外，</w:t>
      </w:r>
      <w:r>
        <w:rPr>
          <w:rFonts w:ascii="宋体" w:eastAsia="宋体" w:hAnsi="宋体" w:cs="宋体"/>
          <w:sz w:val="22"/>
          <w:szCs w:val="22"/>
        </w:rPr>
        <w:t xml:space="preserve"> </w:t>
      </w:r>
      <w:r>
        <w:rPr>
          <w:rFonts w:ascii="宋体" w:eastAsia="宋体" w:hAnsi="宋体" w:cs="宋体"/>
          <w:spacing w:val="-5"/>
          <w:sz w:val="22"/>
          <w:szCs w:val="22"/>
        </w:rPr>
        <w:t>妊娠期某些营养素摄入过多或缺乏，可能导致出生婴儿</w:t>
      </w:r>
      <w:r>
        <w:rPr>
          <w:rFonts w:ascii="宋体" w:eastAsia="宋体" w:hAnsi="宋体" w:cs="宋体"/>
          <w:spacing w:val="-6"/>
          <w:sz w:val="22"/>
          <w:szCs w:val="22"/>
        </w:rPr>
        <w:t>先天畸形</w:t>
      </w:r>
      <w:r>
        <w:rPr>
          <w:rFonts w:ascii="宋体" w:eastAsia="宋体" w:hAnsi="宋体" w:cs="宋体"/>
          <w:spacing w:val="-12"/>
          <w:sz w:val="22"/>
          <w:szCs w:val="22"/>
        </w:rPr>
        <w:t xml:space="preserve"> </w:t>
      </w:r>
      <w:r>
        <w:rPr>
          <w:rFonts w:ascii="宋体" w:eastAsia="宋体" w:hAnsi="宋体" w:cs="宋体"/>
          <w:spacing w:val="-6"/>
          <w:sz w:val="22"/>
          <w:szCs w:val="22"/>
        </w:rPr>
        <w:t>(</w:t>
      </w:r>
      <w:r>
        <w:rPr>
          <w:rFonts w:ascii="宋体" w:eastAsia="宋体" w:hAnsi="宋体" w:cs="宋体"/>
          <w:spacing w:val="-5"/>
          <w:sz w:val="22"/>
          <w:szCs w:val="22"/>
        </w:rPr>
        <w:t>congenital</w:t>
      </w:r>
      <w:r>
        <w:rPr>
          <w:rFonts w:ascii="宋体" w:eastAsia="宋体" w:hAnsi="宋体" w:cs="宋体"/>
          <w:sz w:val="22"/>
          <w:szCs w:val="22"/>
        </w:rPr>
        <w:t xml:space="preserve"> </w:t>
      </w:r>
      <w:r>
        <w:rPr>
          <w:rFonts w:ascii="宋体" w:eastAsia="宋体" w:hAnsi="宋体" w:cs="宋体"/>
          <w:spacing w:val="-12"/>
          <w:sz w:val="22"/>
          <w:szCs w:val="22"/>
        </w:rPr>
        <w:t>malformation)。</w:t>
      </w:r>
      <w:r>
        <w:rPr>
          <w:rFonts w:ascii="宋体" w:eastAsia="宋体" w:hAnsi="宋体" w:cs="宋体"/>
          <w:spacing w:val="-45"/>
          <w:sz w:val="22"/>
          <w:szCs w:val="22"/>
        </w:rPr>
        <w:t xml:space="preserve"> </w:t>
      </w:r>
      <w:r>
        <w:rPr>
          <w:rFonts w:ascii="宋体" w:eastAsia="宋体" w:hAnsi="宋体" w:cs="宋体"/>
          <w:spacing w:val="-12"/>
          <w:sz w:val="22"/>
          <w:szCs w:val="22"/>
        </w:rPr>
        <w:t>多种研究表明，妊娠期蛋白质或蛋白质-能量摄入不足将影</w:t>
      </w:r>
      <w:r>
        <w:rPr>
          <w:rFonts w:ascii="宋体" w:eastAsia="宋体" w:hAnsi="宋体" w:cs="宋体"/>
          <w:spacing w:val="-13"/>
          <w:sz w:val="22"/>
          <w:szCs w:val="22"/>
        </w:rPr>
        <w:t>响子</w:t>
      </w:r>
      <w:r>
        <w:rPr>
          <w:rFonts w:ascii="宋体" w:eastAsia="宋体" w:hAnsi="宋体" w:cs="宋体"/>
          <w:sz w:val="22"/>
          <w:szCs w:val="22"/>
        </w:rPr>
        <w:t xml:space="preserve"> </w:t>
      </w:r>
      <w:r>
        <w:rPr>
          <w:rFonts w:ascii="宋体" w:eastAsia="宋体" w:hAnsi="宋体" w:cs="宋体"/>
          <w:spacing w:val="-7"/>
          <w:sz w:val="22"/>
          <w:szCs w:val="22"/>
        </w:rPr>
        <w:t>代神经系统的发育；缺乏叶酸，可造成胎儿神经管畸形；摄入维生素</w:t>
      </w:r>
      <w:r>
        <w:rPr>
          <w:rFonts w:ascii="宋体" w:eastAsia="宋体" w:hAnsi="宋体" w:cs="宋体"/>
          <w:spacing w:val="-61"/>
          <w:sz w:val="22"/>
          <w:szCs w:val="22"/>
        </w:rPr>
        <w:t xml:space="preserve"> </w:t>
      </w:r>
      <w:r>
        <w:rPr>
          <w:rFonts w:ascii="宋体" w:eastAsia="宋体" w:hAnsi="宋体" w:cs="宋体"/>
          <w:spacing w:val="-8"/>
          <w:sz w:val="22"/>
          <w:szCs w:val="22"/>
        </w:rPr>
        <w:t>A</w:t>
      </w:r>
      <w:r>
        <w:rPr>
          <w:rFonts w:ascii="宋体" w:eastAsia="宋体" w:hAnsi="宋体" w:cs="宋体"/>
          <w:spacing w:val="2"/>
          <w:sz w:val="22"/>
          <w:szCs w:val="22"/>
        </w:rPr>
        <w:t xml:space="preserve"> </w:t>
      </w:r>
      <w:r>
        <w:rPr>
          <w:rFonts w:ascii="宋体" w:eastAsia="宋体" w:hAnsi="宋体" w:cs="宋体"/>
          <w:spacing w:val="-8"/>
          <w:sz w:val="22"/>
          <w:szCs w:val="22"/>
        </w:rPr>
        <w:t>过多，</w:t>
      </w:r>
      <w:r>
        <w:rPr>
          <w:rFonts w:ascii="宋体" w:eastAsia="宋体" w:hAnsi="宋体" w:cs="宋体"/>
          <w:sz w:val="22"/>
          <w:szCs w:val="22"/>
        </w:rPr>
        <w:t xml:space="preserve"> </w:t>
      </w:r>
      <w:r>
        <w:rPr>
          <w:rFonts w:ascii="宋体" w:eastAsia="宋体" w:hAnsi="宋体" w:cs="宋体"/>
          <w:spacing w:val="-13"/>
          <w:sz w:val="22"/>
          <w:szCs w:val="22"/>
        </w:rPr>
        <w:t>尤其是妊娠初期，也可导致先天畸形。另有报道，低锌与神经管缺陷的关系密切</w:t>
      </w:r>
      <w:r>
        <w:rPr>
          <w:rFonts w:ascii="宋体" w:eastAsia="宋体" w:hAnsi="宋体" w:cs="宋体"/>
          <w:sz w:val="22"/>
          <w:szCs w:val="22"/>
        </w:rPr>
        <w:t xml:space="preserve"> </w:t>
      </w:r>
      <w:r>
        <w:rPr>
          <w:rFonts w:ascii="宋体" w:eastAsia="宋体" w:hAnsi="宋体" w:cs="宋体"/>
          <w:spacing w:val="-16"/>
          <w:sz w:val="22"/>
          <w:szCs w:val="22"/>
        </w:rPr>
        <w:t>相关。</w:t>
      </w:r>
    </w:p>
    <w:p w:rsidR="00EA40A3" w:rsidRDefault="00E86C16">
      <w:pPr>
        <w:spacing w:before="124" w:line="224" w:lineRule="auto"/>
        <w:rPr>
          <w:rFonts w:ascii="仿宋" w:eastAsia="仿宋" w:hAnsi="仿宋" w:cs="仿宋"/>
          <w:sz w:val="17"/>
          <w:szCs w:val="17"/>
        </w:rPr>
      </w:pPr>
      <w:r>
        <w:rPr>
          <w:rFonts w:ascii="仿宋" w:eastAsia="仿宋" w:hAnsi="仿宋" w:cs="仿宋"/>
          <w:spacing w:val="-12"/>
          <w:sz w:val="17"/>
          <w:szCs w:val="17"/>
        </w:rPr>
        <w:t>4</w:t>
      </w:r>
      <w:r>
        <w:rPr>
          <w:rFonts w:ascii="仿宋" w:eastAsia="仿宋" w:hAnsi="仿宋" w:cs="仿宋"/>
          <w:spacing w:val="-23"/>
          <w:sz w:val="17"/>
          <w:szCs w:val="17"/>
        </w:rPr>
        <w:t xml:space="preserve"> </w:t>
      </w:r>
      <w:r>
        <w:rPr>
          <w:rFonts w:ascii="仿宋" w:eastAsia="仿宋" w:hAnsi="仿宋" w:cs="仿宋"/>
          <w:spacing w:val="-12"/>
          <w:sz w:val="17"/>
          <w:szCs w:val="17"/>
        </w:rPr>
        <w:t>)</w:t>
      </w:r>
      <w:r>
        <w:rPr>
          <w:rFonts w:ascii="仿宋" w:eastAsia="仿宋" w:hAnsi="仿宋" w:cs="仿宋"/>
          <w:spacing w:val="2"/>
          <w:sz w:val="17"/>
          <w:szCs w:val="17"/>
        </w:rPr>
        <w:t xml:space="preserve"> </w:t>
      </w:r>
      <w:r>
        <w:rPr>
          <w:rFonts w:ascii="仿宋" w:eastAsia="仿宋" w:hAnsi="仿宋" w:cs="仿宋"/>
          <w:spacing w:val="-12"/>
          <w:sz w:val="17"/>
          <w:szCs w:val="17"/>
        </w:rPr>
        <w:t>巨</w:t>
      </w:r>
      <w:r>
        <w:rPr>
          <w:rFonts w:ascii="仿宋" w:eastAsia="仿宋" w:hAnsi="仿宋" w:cs="仿宋"/>
          <w:spacing w:val="-18"/>
          <w:sz w:val="17"/>
          <w:szCs w:val="17"/>
        </w:rPr>
        <w:t xml:space="preserve"> </w:t>
      </w:r>
      <w:r>
        <w:rPr>
          <w:rFonts w:ascii="仿宋" w:eastAsia="仿宋" w:hAnsi="仿宋" w:cs="仿宋"/>
          <w:spacing w:val="-12"/>
          <w:sz w:val="17"/>
          <w:szCs w:val="17"/>
        </w:rPr>
        <w:t>大</w:t>
      </w:r>
      <w:r>
        <w:rPr>
          <w:rFonts w:ascii="仿宋" w:eastAsia="仿宋" w:hAnsi="仿宋" w:cs="仿宋"/>
          <w:spacing w:val="-17"/>
          <w:sz w:val="17"/>
          <w:szCs w:val="17"/>
        </w:rPr>
        <w:t xml:space="preserve"> </w:t>
      </w:r>
      <w:r>
        <w:rPr>
          <w:rFonts w:ascii="仿宋" w:eastAsia="仿宋" w:hAnsi="仿宋" w:cs="仿宋"/>
          <w:spacing w:val="-12"/>
          <w:sz w:val="17"/>
          <w:szCs w:val="17"/>
        </w:rPr>
        <w:t>儿</w:t>
      </w:r>
    </w:p>
    <w:p w:rsidR="00EA40A3" w:rsidRDefault="00E86C16">
      <w:pPr>
        <w:spacing w:before="66" w:line="256" w:lineRule="auto"/>
        <w:ind w:firstLine="420"/>
        <w:jc w:val="both"/>
        <w:rPr>
          <w:rFonts w:ascii="宋体" w:eastAsia="宋体" w:hAnsi="宋体" w:cs="宋体"/>
          <w:sz w:val="22"/>
          <w:szCs w:val="22"/>
        </w:rPr>
      </w:pPr>
      <w:r>
        <w:rPr>
          <w:rFonts w:ascii="宋体" w:eastAsia="宋体" w:hAnsi="宋体" w:cs="宋体"/>
          <w:spacing w:val="-4"/>
          <w:sz w:val="22"/>
          <w:szCs w:val="22"/>
        </w:rPr>
        <w:t>新生儿出生体重最佳范围是3.0～3.5kg,</w:t>
      </w:r>
      <w:r>
        <w:rPr>
          <w:rFonts w:ascii="宋体" w:eastAsia="宋体" w:hAnsi="宋体" w:cs="宋体"/>
          <w:spacing w:val="15"/>
          <w:sz w:val="22"/>
          <w:szCs w:val="22"/>
        </w:rPr>
        <w:t xml:space="preserve"> </w:t>
      </w:r>
      <w:r>
        <w:rPr>
          <w:rFonts w:ascii="宋体" w:eastAsia="宋体" w:hAnsi="宋体" w:cs="宋体"/>
          <w:spacing w:val="-4"/>
          <w:sz w:val="22"/>
          <w:szCs w:val="22"/>
        </w:rPr>
        <w:t>当出生体重达到或超过4.0kg</w:t>
      </w:r>
      <w:r>
        <w:rPr>
          <w:rFonts w:ascii="宋体" w:eastAsia="宋体" w:hAnsi="宋体" w:cs="宋体"/>
          <w:spacing w:val="-53"/>
          <w:sz w:val="22"/>
          <w:szCs w:val="22"/>
        </w:rPr>
        <w:t xml:space="preserve"> </w:t>
      </w:r>
      <w:r>
        <w:rPr>
          <w:rFonts w:ascii="宋体" w:eastAsia="宋体" w:hAnsi="宋体" w:cs="宋体"/>
          <w:spacing w:val="-4"/>
          <w:sz w:val="22"/>
          <w:szCs w:val="22"/>
        </w:rPr>
        <w:t>时</w:t>
      </w:r>
      <w:r>
        <w:rPr>
          <w:rFonts w:ascii="宋体" w:eastAsia="宋体" w:hAnsi="宋体" w:cs="宋体"/>
          <w:sz w:val="22"/>
          <w:szCs w:val="22"/>
        </w:rPr>
        <w:t xml:space="preserve"> </w:t>
      </w:r>
      <w:r>
        <w:rPr>
          <w:rFonts w:ascii="宋体" w:eastAsia="宋体" w:hAnsi="宋体" w:cs="宋体"/>
          <w:spacing w:val="-12"/>
          <w:sz w:val="22"/>
          <w:szCs w:val="22"/>
        </w:rPr>
        <w:t>就称为巨大儿。妊娠期妇女营养过剩尤其是能量、</w:t>
      </w:r>
      <w:r>
        <w:rPr>
          <w:rFonts w:ascii="宋体" w:eastAsia="宋体" w:hAnsi="宋体" w:cs="宋体"/>
          <w:spacing w:val="-13"/>
          <w:sz w:val="22"/>
          <w:szCs w:val="22"/>
        </w:rPr>
        <w:t>脂肪摄入过多、身体锻炼偏少</w:t>
      </w:r>
      <w:r>
        <w:rPr>
          <w:rFonts w:ascii="宋体" w:eastAsia="宋体" w:hAnsi="宋体" w:cs="宋体"/>
          <w:sz w:val="22"/>
          <w:szCs w:val="22"/>
        </w:rPr>
        <w:t xml:space="preserve"> </w:t>
      </w:r>
      <w:r>
        <w:rPr>
          <w:rFonts w:ascii="宋体" w:eastAsia="宋体" w:hAnsi="宋体" w:cs="宋体"/>
          <w:spacing w:val="-11"/>
          <w:sz w:val="22"/>
          <w:szCs w:val="22"/>
        </w:rPr>
        <w:t>等是造成巨大儿的重要原因。孕期体重增加越多，巨大儿的发生率越高。另外，</w:t>
      </w:r>
      <w:r>
        <w:rPr>
          <w:rFonts w:ascii="宋体" w:eastAsia="宋体" w:hAnsi="宋体" w:cs="宋体"/>
          <w:spacing w:val="4"/>
          <w:sz w:val="22"/>
          <w:szCs w:val="22"/>
        </w:rPr>
        <w:t xml:space="preserve"> </w:t>
      </w:r>
      <w:r>
        <w:rPr>
          <w:rFonts w:ascii="宋体" w:eastAsia="宋体" w:hAnsi="宋体" w:cs="宋体"/>
          <w:spacing w:val="-10"/>
          <w:sz w:val="22"/>
          <w:szCs w:val="22"/>
        </w:rPr>
        <w:t>孕妇本身肥胖较正常孕妇生产巨大儿的概率也高。巨大儿</w:t>
      </w:r>
      <w:r>
        <w:rPr>
          <w:rFonts w:ascii="宋体" w:eastAsia="宋体" w:hAnsi="宋体" w:cs="宋体"/>
          <w:spacing w:val="-11"/>
          <w:sz w:val="22"/>
          <w:szCs w:val="22"/>
        </w:rPr>
        <w:t>可能导致妊娠合并症、</w:t>
      </w:r>
      <w:r>
        <w:rPr>
          <w:rFonts w:ascii="宋体" w:eastAsia="宋体" w:hAnsi="宋体" w:cs="宋体"/>
          <w:sz w:val="22"/>
          <w:szCs w:val="22"/>
        </w:rPr>
        <w:t xml:space="preserve"> </w:t>
      </w:r>
      <w:r>
        <w:rPr>
          <w:rFonts w:ascii="宋体" w:eastAsia="宋体" w:hAnsi="宋体" w:cs="宋体"/>
          <w:spacing w:val="-7"/>
          <w:sz w:val="22"/>
          <w:szCs w:val="22"/>
        </w:rPr>
        <w:t>分娩并发症。反之，妊娠并发症也可能导致巨大儿。例如：孕妇如果患有糖尿</w:t>
      </w:r>
      <w:r>
        <w:rPr>
          <w:rFonts w:ascii="宋体" w:eastAsia="宋体" w:hAnsi="宋体" w:cs="宋体"/>
          <w:spacing w:val="15"/>
          <w:sz w:val="22"/>
          <w:szCs w:val="22"/>
        </w:rPr>
        <w:t xml:space="preserve"> </w:t>
      </w:r>
      <w:r>
        <w:rPr>
          <w:rFonts w:ascii="宋体" w:eastAsia="宋体" w:hAnsi="宋体" w:cs="宋体"/>
          <w:spacing w:val="-13"/>
          <w:sz w:val="22"/>
          <w:szCs w:val="22"/>
        </w:rPr>
        <w:t>病，可能使胎儿的血糖也持续增高，并刺激胎儿胰腺分泌过多的</w:t>
      </w:r>
      <w:r>
        <w:rPr>
          <w:rFonts w:ascii="宋体" w:eastAsia="宋体" w:hAnsi="宋体" w:cs="宋体"/>
          <w:spacing w:val="-14"/>
          <w:sz w:val="22"/>
          <w:szCs w:val="22"/>
        </w:rPr>
        <w:t>胰岛素，从而造</w:t>
      </w:r>
      <w:r>
        <w:rPr>
          <w:rFonts w:ascii="宋体" w:eastAsia="宋体" w:hAnsi="宋体" w:cs="宋体"/>
          <w:sz w:val="22"/>
          <w:szCs w:val="22"/>
        </w:rPr>
        <w:t xml:space="preserve">  </w:t>
      </w:r>
      <w:r>
        <w:rPr>
          <w:rFonts w:ascii="宋体" w:eastAsia="宋体" w:hAnsi="宋体" w:cs="宋体"/>
          <w:spacing w:val="-7"/>
          <w:sz w:val="22"/>
          <w:szCs w:val="22"/>
        </w:rPr>
        <w:t>成脂肪、蛋白质和糖原在胎儿体内蓄积过多，从而导致胎儿长得大而肥胖。另</w:t>
      </w:r>
      <w:r>
        <w:rPr>
          <w:rFonts w:ascii="宋体" w:eastAsia="宋体" w:hAnsi="宋体" w:cs="宋体"/>
          <w:spacing w:val="12"/>
          <w:sz w:val="22"/>
          <w:szCs w:val="22"/>
        </w:rPr>
        <w:t xml:space="preserve"> </w:t>
      </w:r>
      <w:r>
        <w:rPr>
          <w:rFonts w:ascii="宋体" w:eastAsia="宋体" w:hAnsi="宋体" w:cs="宋体"/>
          <w:spacing w:val="-13"/>
          <w:sz w:val="22"/>
          <w:szCs w:val="22"/>
        </w:rPr>
        <w:t>外，研究显示，巨大儿容易在成长过程中或到成年后患肥胖症、糖尿病以及出现</w:t>
      </w:r>
    </w:p>
    <w:p w:rsidR="00EA40A3" w:rsidRDefault="00E86C16">
      <w:pPr>
        <w:spacing w:before="94"/>
        <w:ind w:right="11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3"/>
          <w:sz w:val="17"/>
          <w:szCs w:val="17"/>
        </w:rPr>
        <w:t xml:space="preserve"> </w:t>
      </w:r>
      <w:r>
        <w:rPr>
          <w:rFonts w:ascii="宋体" w:eastAsia="宋体" w:hAnsi="宋体" w:cs="宋体"/>
          <w:spacing w:val="-23"/>
          <w:sz w:val="17"/>
          <w:szCs w:val="17"/>
        </w:rPr>
        <w:t>305</w:t>
      </w:r>
      <w:r>
        <w:rPr>
          <w:rFonts w:ascii="宋体" w:eastAsia="宋体" w:hAnsi="宋体" w:cs="宋体"/>
          <w:spacing w:val="50"/>
          <w:sz w:val="17"/>
          <w:szCs w:val="17"/>
        </w:rPr>
        <w:t xml:space="preserve"> </w:t>
      </w:r>
      <w:r>
        <w:rPr>
          <w:rFonts w:ascii="宋体" w:eastAsia="宋体" w:hAnsi="宋体" w:cs="宋体"/>
          <w:spacing w:val="-23"/>
          <w:sz w:val="17"/>
          <w:szCs w:val="17"/>
        </w:rPr>
        <w:t>·</w:t>
      </w:r>
    </w:p>
    <w:p w:rsidR="00EA40A3" w:rsidRDefault="00EA40A3">
      <w:pPr>
        <w:sectPr w:rsidR="00EA40A3">
          <w:pgSz w:w="9220" w:h="13360"/>
          <w:pgMar w:top="400" w:right="999" w:bottom="400" w:left="879"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5"/>
          <w:sz w:val="22"/>
          <w:szCs w:val="22"/>
        </w:rPr>
        <w:t>性功能障碍、智力发育落后等现象。</w:t>
      </w:r>
    </w:p>
    <w:p w:rsidR="00EA40A3" w:rsidRDefault="00E86C16">
      <w:pPr>
        <w:spacing w:before="175" w:line="222" w:lineRule="auto"/>
        <w:ind w:left="3"/>
        <w:outlineLvl w:val="6"/>
        <w:rPr>
          <w:rFonts w:ascii="黑体" w:eastAsia="黑体" w:hAnsi="黑体" w:cs="黑体"/>
          <w:sz w:val="22"/>
          <w:szCs w:val="22"/>
        </w:rPr>
      </w:pPr>
      <w:r>
        <w:rPr>
          <w:rFonts w:ascii="黑体" w:eastAsia="黑体" w:hAnsi="黑体" w:cs="黑体"/>
          <w:b/>
          <w:bCs/>
          <w:spacing w:val="7"/>
          <w:sz w:val="22"/>
          <w:szCs w:val="22"/>
        </w:rPr>
        <w:t>10.1.4</w:t>
      </w:r>
      <w:r>
        <w:rPr>
          <w:rFonts w:ascii="黑体" w:eastAsia="黑体" w:hAnsi="黑体" w:cs="黑体"/>
          <w:spacing w:val="28"/>
          <w:sz w:val="22"/>
          <w:szCs w:val="22"/>
        </w:rPr>
        <w:t xml:space="preserve">   </w:t>
      </w:r>
      <w:r>
        <w:rPr>
          <w:rFonts w:ascii="黑体" w:eastAsia="黑体" w:hAnsi="黑体" w:cs="黑体"/>
          <w:b/>
          <w:bCs/>
          <w:spacing w:val="7"/>
          <w:sz w:val="22"/>
          <w:szCs w:val="22"/>
        </w:rPr>
        <w:t>妊娠期妇女的合理膳食</w:t>
      </w:r>
    </w:p>
    <w:p w:rsidR="00EA40A3" w:rsidRDefault="00E86C16">
      <w:pPr>
        <w:spacing w:before="199" w:line="243" w:lineRule="auto"/>
        <w:ind w:right="61" w:firstLine="419"/>
        <w:jc w:val="both"/>
        <w:rPr>
          <w:rFonts w:ascii="宋体" w:eastAsia="宋体" w:hAnsi="宋体" w:cs="宋体"/>
          <w:sz w:val="22"/>
          <w:szCs w:val="22"/>
        </w:rPr>
      </w:pPr>
      <w:r>
        <w:rPr>
          <w:rFonts w:ascii="宋体" w:eastAsia="宋体" w:hAnsi="宋体" w:cs="宋体"/>
          <w:spacing w:val="-13"/>
          <w:sz w:val="22"/>
          <w:szCs w:val="22"/>
        </w:rPr>
        <w:t>妊娠期妇女合理膳食的总体来说要考虑以下几个方面：首先，在数量</w:t>
      </w:r>
      <w:r>
        <w:rPr>
          <w:rFonts w:ascii="宋体" w:eastAsia="宋体" w:hAnsi="宋体" w:cs="宋体"/>
          <w:spacing w:val="-14"/>
          <w:sz w:val="22"/>
          <w:szCs w:val="22"/>
        </w:rPr>
        <w:t>和质量</w:t>
      </w:r>
      <w:r>
        <w:rPr>
          <w:rFonts w:ascii="宋体" w:eastAsia="宋体" w:hAnsi="宋体" w:cs="宋体"/>
          <w:sz w:val="22"/>
          <w:szCs w:val="22"/>
        </w:rPr>
        <w:t xml:space="preserve"> </w:t>
      </w:r>
      <w:r>
        <w:rPr>
          <w:rFonts w:ascii="宋体" w:eastAsia="宋体" w:hAnsi="宋体" w:cs="宋体"/>
          <w:spacing w:val="-8"/>
          <w:sz w:val="22"/>
          <w:szCs w:val="22"/>
        </w:rPr>
        <w:t>上满足妊娠妇女对营养的特殊需要；其次，要达到各种营养素之间的平衡；最</w:t>
      </w:r>
      <w:r>
        <w:rPr>
          <w:rFonts w:ascii="宋体" w:eastAsia="宋体" w:hAnsi="宋体" w:cs="宋体"/>
          <w:spacing w:val="1"/>
          <w:sz w:val="22"/>
          <w:szCs w:val="22"/>
        </w:rPr>
        <w:t xml:space="preserve"> </w:t>
      </w:r>
      <w:r>
        <w:rPr>
          <w:rFonts w:ascii="宋体" w:eastAsia="宋体" w:hAnsi="宋体" w:cs="宋体"/>
          <w:spacing w:val="-13"/>
          <w:sz w:val="22"/>
          <w:szCs w:val="22"/>
        </w:rPr>
        <w:t>后，营养及膳食供给随妊娠时期的不同而不同。此外，同时要兼顾食物的感官特</w:t>
      </w:r>
      <w:r>
        <w:rPr>
          <w:rFonts w:ascii="宋体" w:eastAsia="宋体" w:hAnsi="宋体" w:cs="宋体"/>
          <w:spacing w:val="1"/>
          <w:sz w:val="22"/>
          <w:szCs w:val="22"/>
        </w:rPr>
        <w:t xml:space="preserve"> </w:t>
      </w:r>
      <w:r>
        <w:rPr>
          <w:rFonts w:ascii="宋体" w:eastAsia="宋体" w:hAnsi="宋体" w:cs="宋体"/>
          <w:spacing w:val="-14"/>
          <w:sz w:val="22"/>
          <w:szCs w:val="22"/>
        </w:rPr>
        <w:t>点及烹饪方式，使食物多样化，以促进孕妇食欲并使其易于消化吸收。</w:t>
      </w:r>
    </w:p>
    <w:p w:rsidR="00EA40A3" w:rsidRDefault="00E86C16">
      <w:pPr>
        <w:spacing w:before="197" w:line="376" w:lineRule="exact"/>
        <w:rPr>
          <w:rFonts w:ascii="仿宋" w:eastAsia="仿宋" w:hAnsi="仿宋" w:cs="仿宋"/>
          <w:sz w:val="22"/>
          <w:szCs w:val="22"/>
        </w:rPr>
      </w:pPr>
      <w:r>
        <w:rPr>
          <w:rFonts w:ascii="仿宋" w:eastAsia="仿宋" w:hAnsi="仿宋" w:cs="仿宋"/>
          <w:spacing w:val="13"/>
          <w:position w:val="11"/>
          <w:sz w:val="22"/>
          <w:szCs w:val="22"/>
        </w:rPr>
        <w:t>1.</w:t>
      </w:r>
      <w:r>
        <w:rPr>
          <w:rFonts w:ascii="仿宋" w:eastAsia="仿宋" w:hAnsi="仿宋" w:cs="仿宋"/>
          <w:spacing w:val="-47"/>
          <w:position w:val="11"/>
          <w:sz w:val="22"/>
          <w:szCs w:val="22"/>
        </w:rPr>
        <w:t xml:space="preserve"> </w:t>
      </w:r>
      <w:r>
        <w:rPr>
          <w:rFonts w:ascii="仿宋" w:eastAsia="仿宋" w:hAnsi="仿宋" w:cs="仿宋"/>
          <w:spacing w:val="13"/>
          <w:position w:val="11"/>
          <w:sz w:val="22"/>
          <w:szCs w:val="22"/>
        </w:rPr>
        <w:t>各种营养素要充足、平衡</w:t>
      </w:r>
    </w:p>
    <w:p w:rsidR="00EA40A3" w:rsidRDefault="00E86C16">
      <w:pPr>
        <w:spacing w:before="1" w:line="232" w:lineRule="auto"/>
        <w:rPr>
          <w:rFonts w:ascii="楷体" w:eastAsia="楷体" w:hAnsi="楷体" w:cs="楷体"/>
          <w:sz w:val="18"/>
          <w:szCs w:val="18"/>
        </w:rPr>
      </w:pPr>
      <w:r>
        <w:rPr>
          <w:rFonts w:ascii="楷体" w:eastAsia="楷体" w:hAnsi="楷体" w:cs="楷体"/>
          <w:spacing w:val="-11"/>
          <w:sz w:val="18"/>
          <w:szCs w:val="18"/>
        </w:rPr>
        <w:t>1</w:t>
      </w:r>
      <w:r>
        <w:rPr>
          <w:rFonts w:ascii="楷体" w:eastAsia="楷体" w:hAnsi="楷体" w:cs="楷体"/>
          <w:spacing w:val="-35"/>
          <w:sz w:val="18"/>
          <w:szCs w:val="18"/>
        </w:rPr>
        <w:t xml:space="preserve"> </w:t>
      </w:r>
      <w:r>
        <w:rPr>
          <w:rFonts w:ascii="楷体" w:eastAsia="楷体" w:hAnsi="楷体" w:cs="楷体"/>
          <w:spacing w:val="-11"/>
          <w:sz w:val="18"/>
          <w:szCs w:val="18"/>
        </w:rPr>
        <w:t>)</w:t>
      </w:r>
      <w:r>
        <w:rPr>
          <w:rFonts w:ascii="楷体" w:eastAsia="楷体" w:hAnsi="楷体" w:cs="楷体"/>
          <w:spacing w:val="-20"/>
          <w:sz w:val="18"/>
          <w:szCs w:val="18"/>
        </w:rPr>
        <w:t xml:space="preserve"> </w:t>
      </w:r>
      <w:r>
        <w:rPr>
          <w:rFonts w:ascii="楷体" w:eastAsia="楷体" w:hAnsi="楷体" w:cs="楷体"/>
          <w:spacing w:val="-11"/>
          <w:sz w:val="18"/>
          <w:szCs w:val="18"/>
        </w:rPr>
        <w:t>能</w:t>
      </w:r>
      <w:r>
        <w:rPr>
          <w:rFonts w:ascii="楷体" w:eastAsia="楷体" w:hAnsi="楷体" w:cs="楷体"/>
          <w:spacing w:val="-34"/>
          <w:sz w:val="18"/>
          <w:szCs w:val="18"/>
        </w:rPr>
        <w:t xml:space="preserve"> </w:t>
      </w:r>
      <w:r>
        <w:rPr>
          <w:rFonts w:ascii="楷体" w:eastAsia="楷体" w:hAnsi="楷体" w:cs="楷体"/>
          <w:spacing w:val="-11"/>
          <w:sz w:val="18"/>
          <w:szCs w:val="18"/>
        </w:rPr>
        <w:t>量</w:t>
      </w:r>
    </w:p>
    <w:p w:rsidR="00EA40A3" w:rsidRDefault="00E86C16">
      <w:pPr>
        <w:spacing w:before="51" w:line="245" w:lineRule="auto"/>
        <w:ind w:firstLine="419"/>
        <w:jc w:val="both"/>
        <w:rPr>
          <w:rFonts w:ascii="宋体" w:eastAsia="宋体" w:hAnsi="宋体" w:cs="宋体"/>
          <w:sz w:val="22"/>
          <w:szCs w:val="22"/>
        </w:rPr>
      </w:pPr>
      <w:r>
        <w:rPr>
          <w:rFonts w:ascii="宋体" w:eastAsia="宋体" w:hAnsi="宋体" w:cs="宋体"/>
          <w:spacing w:val="-14"/>
          <w:sz w:val="22"/>
          <w:szCs w:val="22"/>
        </w:rPr>
        <w:t>总体上讲，妊娠期妇女的能量需要比妊娠前明显增加。膳食中应含有充</w:t>
      </w:r>
      <w:r>
        <w:rPr>
          <w:rFonts w:ascii="宋体" w:eastAsia="宋体" w:hAnsi="宋体" w:cs="宋体"/>
          <w:spacing w:val="-15"/>
          <w:sz w:val="22"/>
          <w:szCs w:val="22"/>
        </w:rPr>
        <w:t>足的</w:t>
      </w:r>
      <w:r>
        <w:rPr>
          <w:rFonts w:ascii="宋体" w:eastAsia="宋体" w:hAnsi="宋体" w:cs="宋体"/>
          <w:sz w:val="22"/>
          <w:szCs w:val="22"/>
        </w:rPr>
        <w:t xml:space="preserve">  </w:t>
      </w:r>
      <w:r>
        <w:rPr>
          <w:rFonts w:ascii="宋体" w:eastAsia="宋体" w:hAnsi="宋体" w:cs="宋体"/>
          <w:spacing w:val="-13"/>
          <w:sz w:val="22"/>
          <w:szCs w:val="22"/>
        </w:rPr>
        <w:t>能量。充足的能量是通过提高主食的量以及适当地提高脂肪的摄入量和增加肉类</w:t>
      </w:r>
      <w:r>
        <w:rPr>
          <w:rFonts w:ascii="宋体" w:eastAsia="宋体" w:hAnsi="宋体" w:cs="宋体"/>
          <w:spacing w:val="2"/>
          <w:sz w:val="22"/>
          <w:szCs w:val="22"/>
        </w:rPr>
        <w:t xml:space="preserve"> </w:t>
      </w:r>
      <w:r>
        <w:rPr>
          <w:rFonts w:ascii="宋体" w:eastAsia="宋体" w:hAnsi="宋体" w:cs="宋体"/>
          <w:spacing w:val="-9"/>
          <w:sz w:val="22"/>
          <w:szCs w:val="22"/>
        </w:rPr>
        <w:t>食物实现的。妊娠中、后期，每日应摄入400～500g</w:t>
      </w:r>
      <w:r>
        <w:rPr>
          <w:rFonts w:ascii="宋体" w:eastAsia="宋体" w:hAnsi="宋体" w:cs="宋体"/>
          <w:spacing w:val="-38"/>
          <w:sz w:val="22"/>
          <w:szCs w:val="22"/>
        </w:rPr>
        <w:t xml:space="preserve"> </w:t>
      </w:r>
      <w:r>
        <w:rPr>
          <w:rFonts w:ascii="宋体" w:eastAsia="宋体" w:hAnsi="宋体" w:cs="宋体"/>
          <w:spacing w:val="-9"/>
          <w:sz w:val="22"/>
          <w:szCs w:val="22"/>
        </w:rPr>
        <w:t>以</w:t>
      </w:r>
      <w:r>
        <w:rPr>
          <w:rFonts w:ascii="宋体" w:eastAsia="宋体" w:hAnsi="宋体" w:cs="宋体"/>
          <w:spacing w:val="-10"/>
          <w:sz w:val="22"/>
          <w:szCs w:val="22"/>
        </w:rPr>
        <w:t>上的主食，以谷类为主；</w:t>
      </w:r>
      <w:r>
        <w:rPr>
          <w:rFonts w:ascii="宋体" w:eastAsia="宋体" w:hAnsi="宋体" w:cs="宋体"/>
          <w:sz w:val="22"/>
          <w:szCs w:val="22"/>
        </w:rPr>
        <w:t xml:space="preserve"> </w:t>
      </w:r>
      <w:r>
        <w:rPr>
          <w:rFonts w:ascii="宋体" w:eastAsia="宋体" w:hAnsi="宋体" w:cs="宋体"/>
          <w:spacing w:val="-8"/>
          <w:sz w:val="22"/>
          <w:szCs w:val="22"/>
        </w:rPr>
        <w:t>各种肉类食物应在200～250g;</w:t>
      </w:r>
      <w:r>
        <w:rPr>
          <w:rFonts w:ascii="宋体" w:eastAsia="宋体" w:hAnsi="宋体" w:cs="宋体"/>
          <w:spacing w:val="-18"/>
          <w:sz w:val="22"/>
          <w:szCs w:val="22"/>
        </w:rPr>
        <w:t xml:space="preserve"> </w:t>
      </w:r>
      <w:r>
        <w:rPr>
          <w:rFonts w:ascii="宋体" w:eastAsia="宋体" w:hAnsi="宋体" w:cs="宋体"/>
          <w:spacing w:val="-8"/>
          <w:sz w:val="22"/>
          <w:szCs w:val="22"/>
        </w:rPr>
        <w:t>除食物中含有的脂肪外</w:t>
      </w:r>
      <w:r>
        <w:rPr>
          <w:rFonts w:ascii="宋体" w:eastAsia="宋体" w:hAnsi="宋体" w:cs="宋体"/>
          <w:spacing w:val="-9"/>
          <w:sz w:val="22"/>
          <w:szCs w:val="22"/>
        </w:rPr>
        <w:t>，烹调油应比妊娠期前增</w:t>
      </w:r>
      <w:r>
        <w:rPr>
          <w:rFonts w:ascii="宋体" w:eastAsia="宋体" w:hAnsi="宋体" w:cs="宋体"/>
          <w:sz w:val="22"/>
          <w:szCs w:val="22"/>
        </w:rPr>
        <w:t xml:space="preserve"> </w:t>
      </w:r>
      <w:r>
        <w:rPr>
          <w:rFonts w:ascii="宋体" w:eastAsia="宋体" w:hAnsi="宋体" w:cs="宋体"/>
          <w:spacing w:val="-15"/>
          <w:sz w:val="22"/>
          <w:szCs w:val="22"/>
        </w:rPr>
        <w:t>加一些，但主要还是提高主食的摄入量。</w:t>
      </w:r>
    </w:p>
    <w:p w:rsidR="00EA40A3" w:rsidRDefault="00E86C16">
      <w:pPr>
        <w:spacing w:before="7" w:line="226" w:lineRule="auto"/>
        <w:rPr>
          <w:rFonts w:ascii="楷体" w:eastAsia="楷体" w:hAnsi="楷体" w:cs="楷体"/>
          <w:sz w:val="22"/>
          <w:szCs w:val="22"/>
        </w:rPr>
      </w:pPr>
      <w:r>
        <w:rPr>
          <w:rFonts w:ascii="楷体" w:eastAsia="楷体" w:hAnsi="楷体" w:cs="楷体"/>
          <w:spacing w:val="3"/>
          <w:sz w:val="22"/>
          <w:szCs w:val="22"/>
        </w:rPr>
        <w:t>2)蛋白质</w:t>
      </w:r>
    </w:p>
    <w:p w:rsidR="00EA40A3" w:rsidRDefault="00E86C16">
      <w:pPr>
        <w:spacing w:before="63" w:line="237" w:lineRule="auto"/>
        <w:ind w:right="70" w:firstLine="419"/>
        <w:rPr>
          <w:rFonts w:ascii="宋体" w:eastAsia="宋体" w:hAnsi="宋体" w:cs="宋体"/>
          <w:sz w:val="22"/>
          <w:szCs w:val="22"/>
        </w:rPr>
      </w:pPr>
      <w:r>
        <w:rPr>
          <w:rFonts w:ascii="宋体" w:eastAsia="宋体" w:hAnsi="宋体" w:cs="宋体"/>
          <w:spacing w:val="-14"/>
          <w:sz w:val="22"/>
          <w:szCs w:val="22"/>
        </w:rPr>
        <w:t>妊娠期妇女需要量足质优的蛋白质，可通过增加摄入鱼、肉、蛋、奶、豆</w:t>
      </w:r>
      <w:r>
        <w:rPr>
          <w:rFonts w:ascii="宋体" w:eastAsia="宋体" w:hAnsi="宋体" w:cs="宋体"/>
          <w:spacing w:val="-15"/>
          <w:sz w:val="22"/>
          <w:szCs w:val="22"/>
        </w:rPr>
        <w:t>制</w:t>
      </w:r>
      <w:r>
        <w:rPr>
          <w:rFonts w:ascii="宋体" w:eastAsia="宋体" w:hAnsi="宋体" w:cs="宋体"/>
          <w:sz w:val="22"/>
          <w:szCs w:val="22"/>
        </w:rPr>
        <w:t xml:space="preserve"> </w:t>
      </w:r>
      <w:r>
        <w:rPr>
          <w:rFonts w:ascii="宋体" w:eastAsia="宋体" w:hAnsi="宋体" w:cs="宋体"/>
          <w:spacing w:val="-10"/>
          <w:sz w:val="22"/>
          <w:szCs w:val="22"/>
        </w:rPr>
        <w:t>品等来满足需要。在妊娠中、晚期的蛋白质需要量比妊娠前增加了15～20g。可</w:t>
      </w:r>
      <w:r>
        <w:rPr>
          <w:rFonts w:ascii="宋体" w:eastAsia="宋体" w:hAnsi="宋体" w:cs="宋体"/>
          <w:spacing w:val="18"/>
          <w:sz w:val="22"/>
          <w:szCs w:val="22"/>
        </w:rPr>
        <w:t xml:space="preserve"> </w:t>
      </w:r>
      <w:r>
        <w:rPr>
          <w:rFonts w:ascii="宋体" w:eastAsia="宋体" w:hAnsi="宋体" w:cs="宋体"/>
          <w:spacing w:val="-6"/>
          <w:sz w:val="22"/>
          <w:szCs w:val="22"/>
        </w:rPr>
        <w:t>比平时多摄取100g左右的肉类食品，并保证每日喝250～50</w:t>
      </w:r>
      <w:r>
        <w:rPr>
          <w:rFonts w:ascii="宋体" w:eastAsia="宋体" w:hAnsi="宋体" w:cs="宋体"/>
          <w:spacing w:val="-7"/>
          <w:sz w:val="22"/>
          <w:szCs w:val="22"/>
        </w:rPr>
        <w:t>0</w:t>
      </w:r>
      <w:r>
        <w:rPr>
          <w:rFonts w:ascii="宋体" w:eastAsia="宋体" w:hAnsi="宋体" w:cs="宋体"/>
          <w:spacing w:val="-6"/>
          <w:sz w:val="22"/>
          <w:szCs w:val="22"/>
        </w:rPr>
        <w:t>mL</w:t>
      </w:r>
      <w:r>
        <w:rPr>
          <w:rFonts w:ascii="宋体" w:eastAsia="宋体" w:hAnsi="宋体" w:cs="宋体"/>
          <w:spacing w:val="12"/>
          <w:sz w:val="22"/>
          <w:szCs w:val="22"/>
        </w:rPr>
        <w:t xml:space="preserve"> </w:t>
      </w:r>
      <w:r>
        <w:rPr>
          <w:rFonts w:ascii="宋体" w:eastAsia="宋体" w:hAnsi="宋体" w:cs="宋体"/>
          <w:spacing w:val="-7"/>
          <w:sz w:val="22"/>
          <w:szCs w:val="22"/>
        </w:rPr>
        <w:t>牛奶。</w:t>
      </w:r>
    </w:p>
    <w:p w:rsidR="00EA40A3" w:rsidRDefault="00E86C16">
      <w:pPr>
        <w:spacing w:before="20" w:line="225" w:lineRule="auto"/>
        <w:rPr>
          <w:rFonts w:ascii="楷体" w:eastAsia="楷体" w:hAnsi="楷体" w:cs="楷体"/>
          <w:sz w:val="22"/>
          <w:szCs w:val="22"/>
        </w:rPr>
      </w:pPr>
      <w:r>
        <w:rPr>
          <w:rFonts w:ascii="楷体" w:eastAsia="楷体" w:hAnsi="楷体" w:cs="楷体"/>
          <w:spacing w:val="-8"/>
          <w:sz w:val="22"/>
          <w:szCs w:val="22"/>
        </w:rPr>
        <w:t>3)无机盐、维生素和膳食纤维</w:t>
      </w:r>
    </w:p>
    <w:p w:rsidR="00EA40A3" w:rsidRDefault="00E86C16">
      <w:pPr>
        <w:spacing w:before="66" w:line="236" w:lineRule="auto"/>
        <w:ind w:right="58" w:firstLine="419"/>
        <w:rPr>
          <w:rFonts w:ascii="宋体" w:eastAsia="宋体" w:hAnsi="宋体" w:cs="宋体"/>
          <w:sz w:val="22"/>
          <w:szCs w:val="22"/>
        </w:rPr>
      </w:pPr>
      <w:r>
        <w:rPr>
          <w:rFonts w:ascii="宋体" w:eastAsia="宋体" w:hAnsi="宋体" w:cs="宋体"/>
          <w:spacing w:val="-7"/>
          <w:sz w:val="22"/>
          <w:szCs w:val="22"/>
        </w:rPr>
        <w:t>妊娠期间应多摄入新鲜的蔬菜、水果，不仅能够提供丰富的维生素和矿物</w:t>
      </w:r>
      <w:r>
        <w:rPr>
          <w:rFonts w:ascii="宋体" w:eastAsia="宋体" w:hAnsi="宋体" w:cs="宋体"/>
          <w:spacing w:val="13"/>
          <w:sz w:val="22"/>
          <w:szCs w:val="22"/>
        </w:rPr>
        <w:t xml:space="preserve"> </w:t>
      </w:r>
      <w:r>
        <w:rPr>
          <w:rFonts w:ascii="宋体" w:eastAsia="宋体" w:hAnsi="宋体" w:cs="宋体"/>
          <w:spacing w:val="-13"/>
          <w:sz w:val="22"/>
          <w:szCs w:val="22"/>
        </w:rPr>
        <w:t>质，还具有清爽可口，增进食欲的效果；同时，其中富含的膳食纤维能够帮助孕</w:t>
      </w:r>
      <w:r>
        <w:rPr>
          <w:rFonts w:ascii="宋体" w:eastAsia="宋体" w:hAnsi="宋体" w:cs="宋体"/>
          <w:spacing w:val="5"/>
          <w:sz w:val="22"/>
          <w:szCs w:val="22"/>
        </w:rPr>
        <w:t xml:space="preserve"> </w:t>
      </w:r>
      <w:r>
        <w:rPr>
          <w:rFonts w:ascii="宋体" w:eastAsia="宋体" w:hAnsi="宋体" w:cs="宋体"/>
          <w:spacing w:val="-13"/>
          <w:sz w:val="22"/>
          <w:szCs w:val="22"/>
        </w:rPr>
        <w:t>妇对食物的消化吸收，缓解妊娠期便秘问题。另外，动物肝脏、肉类、豆类及奶</w:t>
      </w:r>
      <w:r>
        <w:rPr>
          <w:rFonts w:ascii="宋体" w:eastAsia="宋体" w:hAnsi="宋体" w:cs="宋体"/>
          <w:spacing w:val="3"/>
          <w:sz w:val="22"/>
          <w:szCs w:val="22"/>
        </w:rPr>
        <w:t xml:space="preserve"> </w:t>
      </w:r>
      <w:r>
        <w:rPr>
          <w:rFonts w:ascii="宋体" w:eastAsia="宋体" w:hAnsi="宋体" w:cs="宋体"/>
          <w:spacing w:val="-10"/>
          <w:sz w:val="22"/>
          <w:szCs w:val="22"/>
        </w:rPr>
        <w:t>类能够为妊娠期妇女提供丰富的铁或钙。妊娠中、晚期蔬菜的摄入量(以绿叶蔬</w:t>
      </w:r>
      <w:r>
        <w:rPr>
          <w:rFonts w:ascii="宋体" w:eastAsia="宋体" w:hAnsi="宋体" w:cs="宋体"/>
          <w:spacing w:val="8"/>
          <w:sz w:val="22"/>
          <w:szCs w:val="22"/>
        </w:rPr>
        <w:t xml:space="preserve"> </w:t>
      </w:r>
      <w:r>
        <w:rPr>
          <w:rFonts w:ascii="宋体" w:eastAsia="宋体" w:hAnsi="宋体" w:cs="宋体"/>
          <w:spacing w:val="-1"/>
          <w:sz w:val="22"/>
          <w:szCs w:val="22"/>
        </w:rPr>
        <w:t>菜为主)可达500～700g,</w:t>
      </w:r>
      <w:r>
        <w:rPr>
          <w:rFonts w:ascii="宋体" w:eastAsia="宋体" w:hAnsi="宋体" w:cs="宋体"/>
          <w:spacing w:val="-20"/>
          <w:sz w:val="22"/>
          <w:szCs w:val="22"/>
        </w:rPr>
        <w:t xml:space="preserve"> </w:t>
      </w:r>
      <w:r>
        <w:rPr>
          <w:rFonts w:ascii="宋体" w:eastAsia="宋体" w:hAnsi="宋体" w:cs="宋体"/>
          <w:spacing w:val="-1"/>
          <w:sz w:val="22"/>
          <w:szCs w:val="22"/>
        </w:rPr>
        <w:t>水果200g</w:t>
      </w:r>
      <w:r>
        <w:rPr>
          <w:rFonts w:ascii="宋体" w:eastAsia="宋体" w:hAnsi="宋体" w:cs="宋体"/>
          <w:spacing w:val="-58"/>
          <w:sz w:val="22"/>
          <w:szCs w:val="22"/>
        </w:rPr>
        <w:t xml:space="preserve"> </w:t>
      </w:r>
      <w:r>
        <w:rPr>
          <w:rFonts w:ascii="宋体" w:eastAsia="宋体" w:hAnsi="宋体" w:cs="宋体"/>
          <w:spacing w:val="-1"/>
          <w:sz w:val="22"/>
          <w:szCs w:val="22"/>
        </w:rPr>
        <w:t>以上。</w:t>
      </w:r>
    </w:p>
    <w:p w:rsidR="00EA40A3" w:rsidRDefault="00E86C16">
      <w:pPr>
        <w:spacing w:before="221" w:line="223"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6"/>
          <w:sz w:val="22"/>
          <w:szCs w:val="22"/>
        </w:rPr>
        <w:t xml:space="preserve"> </w:t>
      </w:r>
      <w:r>
        <w:rPr>
          <w:rFonts w:ascii="仿宋" w:eastAsia="仿宋" w:hAnsi="仿宋" w:cs="仿宋"/>
          <w:spacing w:val="13"/>
          <w:sz w:val="22"/>
          <w:szCs w:val="22"/>
        </w:rPr>
        <w:t>妊娠不同时期的膳食不同</w:t>
      </w:r>
    </w:p>
    <w:p w:rsidR="00EA40A3" w:rsidRDefault="00E86C16">
      <w:pPr>
        <w:spacing w:before="214" w:line="227" w:lineRule="auto"/>
        <w:ind w:right="41" w:firstLine="419"/>
        <w:rPr>
          <w:rFonts w:ascii="宋体" w:eastAsia="宋体" w:hAnsi="宋体" w:cs="宋体"/>
          <w:sz w:val="22"/>
          <w:szCs w:val="22"/>
        </w:rPr>
      </w:pPr>
      <w:r>
        <w:rPr>
          <w:rFonts w:ascii="宋体" w:eastAsia="宋体" w:hAnsi="宋体" w:cs="宋体"/>
          <w:spacing w:val="-13"/>
          <w:sz w:val="22"/>
          <w:szCs w:val="22"/>
        </w:rPr>
        <w:t>妊娠不同时期妊娠妇女的生理特点不同，胎儿的生长发育状况也不同，因此</w:t>
      </w:r>
      <w:r>
        <w:rPr>
          <w:rFonts w:ascii="宋体" w:eastAsia="宋体" w:hAnsi="宋体" w:cs="宋体"/>
          <w:spacing w:val="16"/>
          <w:sz w:val="22"/>
          <w:szCs w:val="22"/>
        </w:rPr>
        <w:t xml:space="preserve"> </w:t>
      </w:r>
      <w:r>
        <w:rPr>
          <w:rFonts w:ascii="宋体" w:eastAsia="宋体" w:hAnsi="宋体" w:cs="宋体"/>
          <w:spacing w:val="-15"/>
          <w:sz w:val="22"/>
          <w:szCs w:val="22"/>
        </w:rPr>
        <w:t>对营养的需求不同，相应对其提供的膳食也应随之改变。</w:t>
      </w:r>
    </w:p>
    <w:p w:rsidR="00EA40A3" w:rsidRDefault="00E86C16">
      <w:pPr>
        <w:spacing w:before="7" w:line="224" w:lineRule="auto"/>
        <w:rPr>
          <w:rFonts w:ascii="楷体" w:eastAsia="楷体" w:hAnsi="楷体" w:cs="楷体"/>
          <w:sz w:val="22"/>
          <w:szCs w:val="22"/>
        </w:rPr>
      </w:pPr>
      <w:r>
        <w:rPr>
          <w:rFonts w:ascii="楷体" w:eastAsia="楷体" w:hAnsi="楷体" w:cs="楷体"/>
          <w:spacing w:val="-3"/>
          <w:sz w:val="22"/>
          <w:szCs w:val="22"/>
        </w:rPr>
        <w:t>1)妊娠早期</w:t>
      </w:r>
    </w:p>
    <w:p w:rsidR="00EA40A3" w:rsidRDefault="00E86C16">
      <w:pPr>
        <w:spacing w:before="74" w:line="239" w:lineRule="auto"/>
        <w:ind w:right="41" w:firstLine="419"/>
        <w:jc w:val="both"/>
        <w:rPr>
          <w:rFonts w:ascii="宋体" w:eastAsia="宋体" w:hAnsi="宋体" w:cs="宋体"/>
          <w:sz w:val="22"/>
          <w:szCs w:val="22"/>
        </w:rPr>
      </w:pPr>
      <w:r>
        <w:rPr>
          <w:rFonts w:ascii="宋体" w:eastAsia="宋体" w:hAnsi="宋体" w:cs="宋体"/>
          <w:spacing w:val="-13"/>
          <w:sz w:val="22"/>
          <w:szCs w:val="22"/>
        </w:rPr>
        <w:t>在妊娠早期，胎儿生长慢，正常孕妇所需能量变化不大，因此一般不需要额</w:t>
      </w:r>
      <w:r>
        <w:rPr>
          <w:rFonts w:ascii="宋体" w:eastAsia="宋体" w:hAnsi="宋体" w:cs="宋体"/>
          <w:spacing w:val="16"/>
          <w:sz w:val="22"/>
          <w:szCs w:val="22"/>
        </w:rPr>
        <w:t xml:space="preserve"> </w:t>
      </w:r>
      <w:r>
        <w:rPr>
          <w:rFonts w:ascii="宋体" w:eastAsia="宋体" w:hAnsi="宋体" w:cs="宋体"/>
          <w:spacing w:val="-13"/>
          <w:sz w:val="22"/>
          <w:szCs w:val="22"/>
        </w:rPr>
        <w:t>外增加。主要注意选择能够促进食欲，并且容易消化的食物，减少妊娠反应中的</w:t>
      </w:r>
      <w:r>
        <w:rPr>
          <w:rFonts w:ascii="宋体" w:eastAsia="宋体" w:hAnsi="宋体" w:cs="宋体"/>
          <w:spacing w:val="10"/>
          <w:sz w:val="22"/>
          <w:szCs w:val="22"/>
        </w:rPr>
        <w:t xml:space="preserve"> </w:t>
      </w:r>
      <w:r>
        <w:rPr>
          <w:rFonts w:ascii="宋体" w:eastAsia="宋体" w:hAnsi="宋体" w:cs="宋体"/>
          <w:spacing w:val="-13"/>
          <w:sz w:val="22"/>
          <w:szCs w:val="22"/>
        </w:rPr>
        <w:t>呕吐。如若妊娠反应严重，无法进食，需注意补充碳水化合物以防体内脂肪分解</w:t>
      </w:r>
      <w:r>
        <w:rPr>
          <w:rFonts w:ascii="宋体" w:eastAsia="宋体" w:hAnsi="宋体" w:cs="宋体"/>
          <w:spacing w:val="1"/>
          <w:sz w:val="22"/>
          <w:szCs w:val="22"/>
        </w:rPr>
        <w:t xml:space="preserve"> </w:t>
      </w:r>
      <w:r>
        <w:rPr>
          <w:rFonts w:ascii="宋体" w:eastAsia="宋体" w:hAnsi="宋体" w:cs="宋体"/>
          <w:spacing w:val="-13"/>
          <w:sz w:val="22"/>
          <w:szCs w:val="22"/>
        </w:rPr>
        <w:t>产生酮体，对胎儿脑发育产生不良影响。另外，注意摄入富含叶酸的食物如动物</w:t>
      </w:r>
      <w:r>
        <w:rPr>
          <w:rFonts w:ascii="宋体" w:eastAsia="宋体" w:hAnsi="宋体" w:cs="宋体"/>
          <w:spacing w:val="4"/>
          <w:sz w:val="22"/>
          <w:szCs w:val="22"/>
        </w:rPr>
        <w:t xml:space="preserve"> </w:t>
      </w:r>
      <w:r>
        <w:rPr>
          <w:rFonts w:ascii="宋体" w:eastAsia="宋体" w:hAnsi="宋体" w:cs="宋体"/>
          <w:spacing w:val="-17"/>
          <w:sz w:val="22"/>
          <w:szCs w:val="22"/>
        </w:rPr>
        <w:t>肝脏、豆类及绿叶蔬菜等。</w:t>
      </w:r>
    </w:p>
    <w:p w:rsidR="00EA40A3" w:rsidRDefault="00E86C16">
      <w:pPr>
        <w:spacing w:before="45" w:line="224" w:lineRule="auto"/>
        <w:rPr>
          <w:rFonts w:ascii="楷体" w:eastAsia="楷体" w:hAnsi="楷体" w:cs="楷体"/>
          <w:sz w:val="22"/>
          <w:szCs w:val="22"/>
        </w:rPr>
      </w:pPr>
      <w:r>
        <w:rPr>
          <w:rFonts w:ascii="楷体" w:eastAsia="楷体" w:hAnsi="楷体" w:cs="楷体"/>
          <w:spacing w:val="-1"/>
          <w:sz w:val="22"/>
          <w:szCs w:val="22"/>
        </w:rPr>
        <w:t>2)妊娠中期</w:t>
      </w:r>
    </w:p>
    <w:p w:rsidR="00EA40A3" w:rsidRDefault="00E86C16">
      <w:pPr>
        <w:spacing w:before="67" w:line="219" w:lineRule="auto"/>
        <w:ind w:left="419"/>
        <w:rPr>
          <w:rFonts w:ascii="宋体" w:eastAsia="宋体" w:hAnsi="宋体" w:cs="宋体"/>
          <w:sz w:val="22"/>
          <w:szCs w:val="22"/>
        </w:rPr>
      </w:pPr>
      <w:r>
        <w:rPr>
          <w:rFonts w:ascii="宋体" w:eastAsia="宋体" w:hAnsi="宋体" w:cs="宋体"/>
          <w:spacing w:val="-13"/>
          <w:sz w:val="22"/>
          <w:szCs w:val="22"/>
        </w:rPr>
        <w:t>到妊娠中期，胎儿生长开始迅速加快，母体体重直线上升，因此，应注意能</w:t>
      </w:r>
    </w:p>
    <w:p w:rsidR="00EA40A3" w:rsidRDefault="00E86C16">
      <w:pPr>
        <w:spacing w:before="44"/>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306</w:t>
      </w:r>
      <w:r>
        <w:rPr>
          <w:rFonts w:ascii="宋体" w:eastAsia="宋体" w:hAnsi="宋体" w:cs="宋体"/>
          <w:spacing w:val="47"/>
          <w:sz w:val="18"/>
          <w:szCs w:val="18"/>
        </w:rPr>
        <w:t xml:space="preserve"> </w:t>
      </w:r>
      <w:r>
        <w:rPr>
          <w:rFonts w:ascii="宋体" w:eastAsia="宋体" w:hAnsi="宋体" w:cs="宋体"/>
          <w:spacing w:val="-27"/>
          <w:sz w:val="18"/>
          <w:szCs w:val="18"/>
        </w:rPr>
        <w:t>·</w:t>
      </w:r>
    </w:p>
    <w:p w:rsidR="00EA40A3" w:rsidRDefault="00EA40A3">
      <w:pPr>
        <w:sectPr w:rsidR="00EA40A3">
          <w:pgSz w:w="9220" w:h="13360"/>
          <w:pgMar w:top="400" w:right="1040" w:bottom="400" w:left="869"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72" w:line="247" w:lineRule="auto"/>
        <w:ind w:right="17"/>
        <w:jc w:val="both"/>
        <w:rPr>
          <w:rFonts w:ascii="宋体" w:eastAsia="宋体" w:hAnsi="宋体" w:cs="宋体"/>
          <w:sz w:val="22"/>
          <w:szCs w:val="22"/>
        </w:rPr>
      </w:pPr>
      <w:r>
        <w:rPr>
          <w:rFonts w:ascii="宋体" w:eastAsia="宋体" w:hAnsi="宋体" w:cs="宋体"/>
          <w:spacing w:val="-13"/>
          <w:sz w:val="22"/>
          <w:szCs w:val="22"/>
        </w:rPr>
        <w:t>量及营养素的补充，特别要多摄入动物性食物，保证优质蛋白质及其他营养素补</w:t>
      </w:r>
      <w:r>
        <w:rPr>
          <w:rFonts w:ascii="宋体" w:eastAsia="宋体" w:hAnsi="宋体" w:cs="宋体"/>
          <w:spacing w:val="9"/>
          <w:sz w:val="22"/>
          <w:szCs w:val="22"/>
        </w:rPr>
        <w:t xml:space="preserve"> </w:t>
      </w:r>
      <w:r>
        <w:rPr>
          <w:rFonts w:ascii="宋体" w:eastAsia="宋体" w:hAnsi="宋体" w:cs="宋体"/>
          <w:spacing w:val="-13"/>
          <w:sz w:val="22"/>
          <w:szCs w:val="22"/>
        </w:rPr>
        <w:t>充及储备。由于妊娠中期，孕妇开始发生明显的生理变化，尤其是血容量及红细</w:t>
      </w:r>
      <w:r>
        <w:rPr>
          <w:rFonts w:ascii="宋体" w:eastAsia="宋体" w:hAnsi="宋体" w:cs="宋体"/>
          <w:spacing w:val="6"/>
          <w:sz w:val="22"/>
          <w:szCs w:val="22"/>
        </w:rPr>
        <w:t xml:space="preserve"> </w:t>
      </w:r>
      <w:r>
        <w:rPr>
          <w:rFonts w:ascii="宋体" w:eastAsia="宋体" w:hAnsi="宋体" w:cs="宋体"/>
          <w:spacing w:val="-13"/>
          <w:sz w:val="22"/>
          <w:szCs w:val="22"/>
        </w:rPr>
        <w:t>胞增加，因此对铁的需要量增加，这样可以防止妊娠期铁缺乏对婴儿生长发育带</w:t>
      </w:r>
      <w:r>
        <w:rPr>
          <w:rFonts w:ascii="宋体" w:eastAsia="宋体" w:hAnsi="宋体" w:cs="宋体"/>
          <w:spacing w:val="4"/>
          <w:sz w:val="22"/>
          <w:szCs w:val="22"/>
        </w:rPr>
        <w:t xml:space="preserve"> </w:t>
      </w:r>
      <w:r>
        <w:rPr>
          <w:rFonts w:ascii="宋体" w:eastAsia="宋体" w:hAnsi="宋体" w:cs="宋体"/>
          <w:spacing w:val="-13"/>
          <w:sz w:val="22"/>
          <w:szCs w:val="22"/>
        </w:rPr>
        <w:t>来的损害。可以多摄人一些富含铁的食物，如动物肝脏、血、肉类等，蔬菜有苋</w:t>
      </w:r>
      <w:r>
        <w:rPr>
          <w:rFonts w:ascii="宋体" w:eastAsia="宋体" w:hAnsi="宋体" w:cs="宋体"/>
          <w:spacing w:val="5"/>
          <w:sz w:val="22"/>
          <w:szCs w:val="22"/>
        </w:rPr>
        <w:t xml:space="preserve"> </w:t>
      </w:r>
      <w:r>
        <w:rPr>
          <w:rFonts w:ascii="宋体" w:eastAsia="宋体" w:hAnsi="宋体" w:cs="宋体"/>
          <w:spacing w:val="-13"/>
          <w:sz w:val="22"/>
          <w:szCs w:val="22"/>
        </w:rPr>
        <w:t>菜、小白菜、芥菜等，但由于植物性食物当中所含为非血色素铁，因此，可以同</w:t>
      </w:r>
      <w:r>
        <w:rPr>
          <w:rFonts w:ascii="宋体" w:eastAsia="宋体" w:hAnsi="宋体" w:cs="宋体"/>
          <w:spacing w:val="12"/>
          <w:sz w:val="22"/>
          <w:szCs w:val="22"/>
        </w:rPr>
        <w:t xml:space="preserve"> </w:t>
      </w:r>
      <w:r>
        <w:rPr>
          <w:rFonts w:ascii="宋体" w:eastAsia="宋体" w:hAnsi="宋体" w:cs="宋体"/>
          <w:spacing w:val="-6"/>
          <w:sz w:val="22"/>
          <w:szCs w:val="22"/>
        </w:rPr>
        <w:t>时补充维生素C</w:t>
      </w:r>
      <w:r>
        <w:rPr>
          <w:rFonts w:ascii="宋体" w:eastAsia="宋体" w:hAnsi="宋体" w:cs="宋体"/>
          <w:spacing w:val="-14"/>
          <w:sz w:val="22"/>
          <w:szCs w:val="22"/>
        </w:rPr>
        <w:t xml:space="preserve"> </w:t>
      </w:r>
      <w:r>
        <w:rPr>
          <w:rFonts w:ascii="宋体" w:eastAsia="宋体" w:hAnsi="宋体" w:cs="宋体"/>
          <w:spacing w:val="-6"/>
          <w:sz w:val="22"/>
          <w:szCs w:val="22"/>
        </w:rPr>
        <w:t>以提高吸收率。另外，妊娠中期开始应当特别注意孕妇膳食中</w:t>
      </w:r>
      <w:r>
        <w:rPr>
          <w:rFonts w:ascii="宋体" w:eastAsia="宋体" w:hAnsi="宋体" w:cs="宋体"/>
          <w:sz w:val="22"/>
          <w:szCs w:val="22"/>
        </w:rPr>
        <w:t xml:space="preserve"> </w:t>
      </w:r>
      <w:r>
        <w:rPr>
          <w:rFonts w:ascii="宋体" w:eastAsia="宋体" w:hAnsi="宋体" w:cs="宋体"/>
          <w:spacing w:val="-14"/>
          <w:sz w:val="22"/>
          <w:szCs w:val="22"/>
        </w:rPr>
        <w:t>盐的摄入量，以免发生浮肿和其他相关并发症。</w:t>
      </w:r>
    </w:p>
    <w:p w:rsidR="00EA40A3" w:rsidRDefault="00E86C16">
      <w:pPr>
        <w:spacing w:before="69" w:line="220" w:lineRule="auto"/>
        <w:rPr>
          <w:rFonts w:ascii="宋体" w:eastAsia="宋体" w:hAnsi="宋体" w:cs="宋体"/>
          <w:sz w:val="22"/>
          <w:szCs w:val="22"/>
        </w:rPr>
      </w:pPr>
      <w:r>
        <w:rPr>
          <w:rFonts w:ascii="宋体" w:eastAsia="宋体" w:hAnsi="宋体" w:cs="宋体"/>
          <w:spacing w:val="-2"/>
          <w:sz w:val="22"/>
          <w:szCs w:val="22"/>
        </w:rPr>
        <w:t>3)妊娠后期</w:t>
      </w:r>
    </w:p>
    <w:p w:rsidR="00EA40A3" w:rsidRDefault="00E86C16">
      <w:pPr>
        <w:spacing w:before="48" w:line="248" w:lineRule="auto"/>
        <w:ind w:firstLine="439"/>
        <w:jc w:val="both"/>
        <w:rPr>
          <w:rFonts w:ascii="宋体" w:eastAsia="宋体" w:hAnsi="宋体" w:cs="宋体"/>
          <w:sz w:val="22"/>
          <w:szCs w:val="22"/>
        </w:rPr>
      </w:pPr>
      <w:r>
        <w:rPr>
          <w:rFonts w:ascii="宋体" w:eastAsia="宋体" w:hAnsi="宋体" w:cs="宋体"/>
          <w:spacing w:val="-13"/>
          <w:sz w:val="22"/>
          <w:szCs w:val="22"/>
        </w:rPr>
        <w:t>妊娠后期，胎儿的组织、器官迅速增长，孕妇子宫增大、乳腺发育增快，因</w:t>
      </w:r>
      <w:r>
        <w:rPr>
          <w:rFonts w:ascii="宋体" w:eastAsia="宋体" w:hAnsi="宋体" w:cs="宋体"/>
          <w:spacing w:val="9"/>
          <w:sz w:val="22"/>
          <w:szCs w:val="22"/>
        </w:rPr>
        <w:t xml:space="preserve"> </w:t>
      </w:r>
      <w:r>
        <w:rPr>
          <w:rFonts w:ascii="宋体" w:eastAsia="宋体" w:hAnsi="宋体" w:cs="宋体"/>
          <w:spacing w:val="-12"/>
          <w:sz w:val="22"/>
          <w:szCs w:val="22"/>
        </w:rPr>
        <w:t>此，此时对能量、蛋白质以及维生素、矿物质的需要量仍</w:t>
      </w:r>
      <w:r>
        <w:rPr>
          <w:rFonts w:ascii="宋体" w:eastAsia="宋体" w:hAnsi="宋体" w:cs="宋体"/>
          <w:spacing w:val="-13"/>
          <w:sz w:val="22"/>
          <w:szCs w:val="22"/>
        </w:rPr>
        <w:t>有明显地增加。特别是</w:t>
      </w:r>
      <w:r>
        <w:rPr>
          <w:rFonts w:ascii="宋体" w:eastAsia="宋体" w:hAnsi="宋体" w:cs="宋体"/>
          <w:sz w:val="22"/>
          <w:szCs w:val="22"/>
        </w:rPr>
        <w:t xml:space="preserve"> </w:t>
      </w:r>
      <w:r>
        <w:rPr>
          <w:rFonts w:ascii="宋体" w:eastAsia="宋体" w:hAnsi="宋体" w:cs="宋体"/>
          <w:spacing w:val="-13"/>
          <w:sz w:val="22"/>
          <w:szCs w:val="22"/>
        </w:rPr>
        <w:t>由于胎儿的脑细胞分裂增殖加快，因此在膳食上应当特别注意补充一些富含长链</w:t>
      </w:r>
      <w:r>
        <w:rPr>
          <w:rFonts w:ascii="宋体" w:eastAsia="宋体" w:hAnsi="宋体" w:cs="宋体"/>
          <w:spacing w:val="3"/>
          <w:sz w:val="22"/>
          <w:szCs w:val="22"/>
        </w:rPr>
        <w:t xml:space="preserve"> </w:t>
      </w:r>
      <w:r>
        <w:rPr>
          <w:rFonts w:ascii="宋体" w:eastAsia="宋体" w:hAnsi="宋体" w:cs="宋体"/>
          <w:spacing w:val="-10"/>
          <w:sz w:val="22"/>
          <w:szCs w:val="22"/>
        </w:rPr>
        <w:t>多不饱和脂肪酸如二十二碳六烯酸</w:t>
      </w:r>
      <w:r>
        <w:rPr>
          <w:rFonts w:ascii="宋体" w:eastAsia="宋体" w:hAnsi="宋体" w:cs="宋体"/>
          <w:spacing w:val="-20"/>
          <w:sz w:val="22"/>
          <w:szCs w:val="22"/>
        </w:rPr>
        <w:t xml:space="preserve"> </w:t>
      </w:r>
      <w:r>
        <w:rPr>
          <w:rFonts w:ascii="宋体" w:eastAsia="宋体" w:hAnsi="宋体" w:cs="宋体"/>
          <w:spacing w:val="-10"/>
          <w:sz w:val="22"/>
          <w:szCs w:val="22"/>
        </w:rPr>
        <w:t>(DHA)、</w:t>
      </w:r>
      <w:r>
        <w:rPr>
          <w:rFonts w:ascii="宋体" w:eastAsia="宋体" w:hAnsi="宋体" w:cs="宋体"/>
          <w:spacing w:val="22"/>
          <w:sz w:val="22"/>
          <w:szCs w:val="22"/>
        </w:rPr>
        <w:t xml:space="preserve">  </w:t>
      </w:r>
      <w:r>
        <w:rPr>
          <w:rFonts w:ascii="宋体" w:eastAsia="宋体" w:hAnsi="宋体" w:cs="宋体"/>
          <w:spacing w:val="-10"/>
          <w:sz w:val="22"/>
          <w:szCs w:val="22"/>
        </w:rPr>
        <w:t>花生四烯酸</w:t>
      </w:r>
      <w:r>
        <w:rPr>
          <w:rFonts w:ascii="宋体" w:eastAsia="宋体" w:hAnsi="宋体" w:cs="宋体"/>
          <w:spacing w:val="-20"/>
          <w:sz w:val="22"/>
          <w:szCs w:val="22"/>
        </w:rPr>
        <w:t xml:space="preserve"> </w:t>
      </w:r>
      <w:r>
        <w:rPr>
          <w:rFonts w:ascii="宋体" w:eastAsia="宋体" w:hAnsi="宋体" w:cs="宋体"/>
          <w:spacing w:val="-10"/>
          <w:sz w:val="22"/>
          <w:szCs w:val="22"/>
        </w:rPr>
        <w:t>(AA)</w:t>
      </w:r>
      <w:r>
        <w:rPr>
          <w:rFonts w:ascii="宋体" w:eastAsia="宋体" w:hAnsi="宋体" w:cs="宋体"/>
          <w:spacing w:val="9"/>
          <w:sz w:val="22"/>
          <w:szCs w:val="22"/>
        </w:rPr>
        <w:t xml:space="preserve">  </w:t>
      </w:r>
      <w:r>
        <w:rPr>
          <w:rFonts w:ascii="宋体" w:eastAsia="宋体" w:hAnsi="宋体" w:cs="宋体"/>
          <w:spacing w:val="-10"/>
          <w:sz w:val="22"/>
          <w:szCs w:val="22"/>
        </w:rPr>
        <w:t>等的食</w:t>
      </w:r>
      <w:r>
        <w:rPr>
          <w:rFonts w:ascii="宋体" w:eastAsia="宋体" w:hAnsi="宋体" w:cs="宋体"/>
          <w:spacing w:val="-11"/>
          <w:sz w:val="22"/>
          <w:szCs w:val="22"/>
        </w:rPr>
        <w:t>物，包</w:t>
      </w:r>
      <w:r>
        <w:rPr>
          <w:rFonts w:ascii="宋体" w:eastAsia="宋体" w:hAnsi="宋体" w:cs="宋体"/>
          <w:sz w:val="22"/>
          <w:szCs w:val="22"/>
        </w:rPr>
        <w:t xml:space="preserve"> </w:t>
      </w:r>
      <w:r>
        <w:rPr>
          <w:rFonts w:ascii="宋体" w:eastAsia="宋体" w:hAnsi="宋体" w:cs="宋体"/>
          <w:spacing w:val="-13"/>
          <w:sz w:val="22"/>
          <w:szCs w:val="22"/>
        </w:rPr>
        <w:t>括鱼类尤其是暗青色的深海鱼类。同时，妊娠后期胎儿骨骼开始钙化，此时孕妇</w:t>
      </w:r>
      <w:r>
        <w:rPr>
          <w:rFonts w:ascii="宋体" w:eastAsia="宋体" w:hAnsi="宋体" w:cs="宋体"/>
          <w:spacing w:val="11"/>
          <w:sz w:val="22"/>
          <w:szCs w:val="22"/>
        </w:rPr>
        <w:t xml:space="preserve"> </w:t>
      </w:r>
      <w:r>
        <w:rPr>
          <w:rFonts w:ascii="宋体" w:eastAsia="宋体" w:hAnsi="宋体" w:cs="宋体"/>
          <w:spacing w:val="-7"/>
          <w:sz w:val="22"/>
          <w:szCs w:val="22"/>
        </w:rPr>
        <w:t>更需要增加钙的摄入，奶及奶制品是最直接和良好的钙来源。中国营养学会建</w:t>
      </w:r>
      <w:r>
        <w:rPr>
          <w:rFonts w:ascii="宋体" w:eastAsia="宋体" w:hAnsi="宋体" w:cs="宋体"/>
          <w:spacing w:val="6"/>
          <w:sz w:val="22"/>
          <w:szCs w:val="22"/>
        </w:rPr>
        <w:t xml:space="preserve"> </w:t>
      </w:r>
      <w:r>
        <w:rPr>
          <w:rFonts w:ascii="宋体" w:eastAsia="宋体" w:hAnsi="宋体" w:cs="宋体"/>
          <w:spacing w:val="-6"/>
          <w:sz w:val="22"/>
          <w:szCs w:val="22"/>
        </w:rPr>
        <w:t>议，从妊娠中期开始，孕妇每天最好摄入500mL</w:t>
      </w:r>
      <w:r>
        <w:rPr>
          <w:rFonts w:ascii="宋体" w:eastAsia="宋体" w:hAnsi="宋体" w:cs="宋体"/>
          <w:spacing w:val="12"/>
          <w:sz w:val="22"/>
          <w:szCs w:val="22"/>
        </w:rPr>
        <w:t xml:space="preserve"> </w:t>
      </w:r>
      <w:r>
        <w:rPr>
          <w:rFonts w:ascii="宋体" w:eastAsia="宋体" w:hAnsi="宋体" w:cs="宋体"/>
          <w:spacing w:val="-7"/>
          <w:sz w:val="22"/>
          <w:szCs w:val="22"/>
        </w:rPr>
        <w:t>的牛奶来补充钙质。需要说明</w:t>
      </w:r>
      <w:r>
        <w:rPr>
          <w:rFonts w:ascii="宋体" w:eastAsia="宋体" w:hAnsi="宋体" w:cs="宋体"/>
          <w:sz w:val="22"/>
          <w:szCs w:val="22"/>
        </w:rPr>
        <w:t xml:space="preserve"> </w:t>
      </w:r>
      <w:r>
        <w:rPr>
          <w:rFonts w:ascii="宋体" w:eastAsia="宋体" w:hAnsi="宋体" w:cs="宋体"/>
          <w:spacing w:val="-13"/>
          <w:sz w:val="22"/>
          <w:szCs w:val="22"/>
        </w:rPr>
        <w:t>的是，进入妊娠后期，由于胃部受到压迫，孕妇每餐的进食量减少，可以通过增</w:t>
      </w:r>
      <w:r>
        <w:rPr>
          <w:rFonts w:ascii="宋体" w:eastAsia="宋体" w:hAnsi="宋体" w:cs="宋体"/>
          <w:spacing w:val="11"/>
          <w:sz w:val="22"/>
          <w:szCs w:val="22"/>
        </w:rPr>
        <w:t xml:space="preserve"> </w:t>
      </w:r>
      <w:r>
        <w:rPr>
          <w:rFonts w:ascii="宋体" w:eastAsia="宋体" w:hAnsi="宋体" w:cs="宋体"/>
          <w:spacing w:val="-5"/>
          <w:sz w:val="22"/>
          <w:szCs w:val="22"/>
        </w:rPr>
        <w:t>加进餐次数(4～5次/d)</w:t>
      </w:r>
      <w:r>
        <w:rPr>
          <w:rFonts w:ascii="宋体" w:eastAsia="宋体" w:hAnsi="宋体" w:cs="宋体"/>
          <w:spacing w:val="-18"/>
          <w:sz w:val="22"/>
          <w:szCs w:val="22"/>
        </w:rPr>
        <w:t xml:space="preserve"> </w:t>
      </w:r>
      <w:r>
        <w:rPr>
          <w:rFonts w:ascii="宋体" w:eastAsia="宋体" w:hAnsi="宋体" w:cs="宋体"/>
          <w:spacing w:val="-5"/>
          <w:sz w:val="22"/>
          <w:szCs w:val="22"/>
        </w:rPr>
        <w:t>来满足营养需要</w:t>
      </w:r>
      <w:r>
        <w:rPr>
          <w:rFonts w:ascii="宋体" w:eastAsia="宋体" w:hAnsi="宋体" w:cs="宋体"/>
          <w:spacing w:val="-6"/>
          <w:sz w:val="22"/>
          <w:szCs w:val="22"/>
        </w:rPr>
        <w:t>。</w:t>
      </w:r>
    </w:p>
    <w:p w:rsidR="00EA40A3" w:rsidRDefault="00E86C16">
      <w:pPr>
        <w:spacing w:before="226" w:line="222" w:lineRule="auto"/>
        <w:rPr>
          <w:rFonts w:ascii="仿宋" w:eastAsia="仿宋" w:hAnsi="仿宋" w:cs="仿宋"/>
          <w:sz w:val="25"/>
          <w:szCs w:val="25"/>
        </w:rPr>
      </w:pPr>
      <w:r>
        <w:rPr>
          <w:rFonts w:ascii="仿宋" w:eastAsia="仿宋" w:hAnsi="仿宋" w:cs="仿宋"/>
          <w:spacing w:val="-6"/>
          <w:sz w:val="25"/>
          <w:szCs w:val="25"/>
        </w:rPr>
        <w:t>3.</w:t>
      </w:r>
      <w:r>
        <w:rPr>
          <w:rFonts w:ascii="仿宋" w:eastAsia="仿宋" w:hAnsi="仿宋" w:cs="仿宋"/>
          <w:spacing w:val="-72"/>
          <w:sz w:val="25"/>
          <w:szCs w:val="25"/>
        </w:rPr>
        <w:t xml:space="preserve"> </w:t>
      </w:r>
      <w:r>
        <w:rPr>
          <w:rFonts w:ascii="仿宋" w:eastAsia="仿宋" w:hAnsi="仿宋" w:cs="仿宋"/>
          <w:spacing w:val="-6"/>
          <w:sz w:val="25"/>
          <w:szCs w:val="25"/>
        </w:rPr>
        <w:t>其他</w:t>
      </w:r>
    </w:p>
    <w:p w:rsidR="00EA40A3" w:rsidRDefault="00E86C16">
      <w:pPr>
        <w:spacing w:before="203" w:line="237" w:lineRule="auto"/>
        <w:ind w:right="3" w:firstLine="439"/>
        <w:jc w:val="both"/>
        <w:rPr>
          <w:rFonts w:ascii="宋体" w:eastAsia="宋体" w:hAnsi="宋体" w:cs="宋体"/>
          <w:sz w:val="22"/>
          <w:szCs w:val="22"/>
        </w:rPr>
      </w:pPr>
      <w:r>
        <w:rPr>
          <w:rFonts w:ascii="宋体" w:eastAsia="宋体" w:hAnsi="宋体" w:cs="宋体"/>
          <w:spacing w:val="-13"/>
          <w:sz w:val="22"/>
          <w:szCs w:val="22"/>
        </w:rPr>
        <w:t>为保证妊娠期妇女的膳食合理，还应当保证食物多样化，保证饮食卫生，少</w:t>
      </w:r>
      <w:r>
        <w:rPr>
          <w:rFonts w:ascii="宋体" w:eastAsia="宋体" w:hAnsi="宋体" w:cs="宋体"/>
          <w:spacing w:val="5"/>
          <w:sz w:val="22"/>
          <w:szCs w:val="22"/>
        </w:rPr>
        <w:t xml:space="preserve"> </w:t>
      </w:r>
      <w:r>
        <w:rPr>
          <w:rFonts w:ascii="宋体" w:eastAsia="宋体" w:hAnsi="宋体" w:cs="宋体"/>
          <w:spacing w:val="-13"/>
          <w:sz w:val="22"/>
          <w:szCs w:val="22"/>
        </w:rPr>
        <w:t>吃刺激性食物，如浓茶、酒及辛辣调味品、咖啡等。尤其是酒精的摄入，可能导</w:t>
      </w:r>
      <w:r>
        <w:rPr>
          <w:rFonts w:ascii="宋体" w:eastAsia="宋体" w:hAnsi="宋体" w:cs="宋体"/>
          <w:spacing w:val="7"/>
          <w:sz w:val="22"/>
          <w:szCs w:val="22"/>
        </w:rPr>
        <w:t xml:space="preserve"> </w:t>
      </w:r>
      <w:r>
        <w:rPr>
          <w:rFonts w:ascii="宋体" w:eastAsia="宋体" w:hAnsi="宋体" w:cs="宋体"/>
          <w:spacing w:val="-13"/>
          <w:sz w:val="22"/>
          <w:szCs w:val="22"/>
        </w:rPr>
        <w:t>致胎儿的发育不良，严重者可能导致酒精儿。此外，妊娠期妇女膳食中各餐的分</w:t>
      </w:r>
      <w:r>
        <w:rPr>
          <w:rFonts w:ascii="宋体" w:eastAsia="宋体" w:hAnsi="宋体" w:cs="宋体"/>
          <w:spacing w:val="2"/>
          <w:sz w:val="22"/>
          <w:szCs w:val="22"/>
        </w:rPr>
        <w:t xml:space="preserve"> </w:t>
      </w:r>
      <w:r>
        <w:rPr>
          <w:rFonts w:ascii="宋体" w:eastAsia="宋体" w:hAnsi="宋体" w:cs="宋体"/>
          <w:spacing w:val="3"/>
          <w:sz w:val="22"/>
          <w:szCs w:val="22"/>
        </w:rPr>
        <w:t>配应当合理，通常三餐的能量分配为早餐占25%～35%、中餐占40%、</w:t>
      </w:r>
      <w:r>
        <w:rPr>
          <w:rFonts w:ascii="宋体" w:eastAsia="宋体" w:hAnsi="宋体" w:cs="宋体"/>
          <w:spacing w:val="2"/>
          <w:sz w:val="22"/>
          <w:szCs w:val="22"/>
        </w:rPr>
        <w:t>晚餐占</w:t>
      </w:r>
      <w:r>
        <w:rPr>
          <w:rFonts w:ascii="宋体" w:eastAsia="宋体" w:hAnsi="宋体" w:cs="宋体"/>
          <w:sz w:val="22"/>
          <w:szCs w:val="22"/>
        </w:rPr>
        <w:t xml:space="preserve"> </w:t>
      </w:r>
      <w:r>
        <w:rPr>
          <w:rFonts w:ascii="宋体" w:eastAsia="宋体" w:hAnsi="宋体" w:cs="宋体"/>
          <w:spacing w:val="3"/>
          <w:sz w:val="22"/>
          <w:szCs w:val="22"/>
        </w:rPr>
        <w:t>30%～35%,根据餐次的增多进行调整。</w:t>
      </w:r>
    </w:p>
    <w:p w:rsidR="00EA40A3" w:rsidRDefault="00EA40A3">
      <w:pPr>
        <w:spacing w:line="285" w:lineRule="auto"/>
      </w:pPr>
    </w:p>
    <w:p w:rsidR="00EA40A3" w:rsidRDefault="00E86C16">
      <w:pPr>
        <w:spacing w:before="92" w:line="219" w:lineRule="auto"/>
        <w:ind w:left="2309"/>
        <w:rPr>
          <w:rFonts w:ascii="宋体" w:eastAsia="宋体" w:hAnsi="宋体" w:cs="宋体"/>
          <w:sz w:val="28"/>
          <w:szCs w:val="28"/>
        </w:rPr>
      </w:pPr>
      <w:r>
        <w:rPr>
          <w:rFonts w:ascii="宋体" w:eastAsia="宋体" w:hAnsi="宋体" w:cs="宋体"/>
          <w:spacing w:val="-4"/>
          <w:sz w:val="28"/>
          <w:szCs w:val="28"/>
        </w:rPr>
        <w:t>10.2</w:t>
      </w:r>
      <w:r>
        <w:rPr>
          <w:rFonts w:ascii="宋体" w:eastAsia="宋体" w:hAnsi="宋体" w:cs="宋体"/>
          <w:sz w:val="28"/>
          <w:szCs w:val="28"/>
        </w:rPr>
        <w:t xml:space="preserve">  </w:t>
      </w:r>
      <w:r>
        <w:rPr>
          <w:rFonts w:ascii="宋体" w:eastAsia="宋体" w:hAnsi="宋体" w:cs="宋体"/>
          <w:spacing w:val="-4"/>
          <w:sz w:val="28"/>
          <w:szCs w:val="28"/>
        </w:rPr>
        <w:t>乳母营养和膳食</w:t>
      </w:r>
    </w:p>
    <w:p w:rsidR="00EA40A3" w:rsidRDefault="00E86C16">
      <w:pPr>
        <w:spacing w:before="142" w:line="222" w:lineRule="auto"/>
        <w:ind w:left="3"/>
        <w:outlineLvl w:val="6"/>
        <w:rPr>
          <w:rFonts w:ascii="黑体" w:eastAsia="黑体" w:hAnsi="黑体" w:cs="黑体"/>
          <w:sz w:val="22"/>
          <w:szCs w:val="22"/>
        </w:rPr>
      </w:pPr>
      <w:r>
        <w:rPr>
          <w:rFonts w:ascii="黑体" w:eastAsia="黑体" w:hAnsi="黑体" w:cs="黑体"/>
          <w:b/>
          <w:bCs/>
          <w:spacing w:val="-11"/>
          <w:sz w:val="22"/>
          <w:szCs w:val="22"/>
        </w:rPr>
        <w:t>10.2.1</w:t>
      </w:r>
      <w:r>
        <w:rPr>
          <w:rFonts w:ascii="黑体" w:eastAsia="黑体" w:hAnsi="黑体" w:cs="黑体"/>
          <w:spacing w:val="29"/>
          <w:sz w:val="22"/>
          <w:szCs w:val="22"/>
        </w:rPr>
        <w:t xml:space="preserve">   </w:t>
      </w:r>
      <w:r>
        <w:rPr>
          <w:rFonts w:ascii="黑体" w:eastAsia="黑体" w:hAnsi="黑体" w:cs="黑体"/>
          <w:b/>
          <w:bCs/>
          <w:spacing w:val="-11"/>
          <w:sz w:val="22"/>
          <w:szCs w:val="22"/>
        </w:rPr>
        <w:t>泌乳生理</w:t>
      </w:r>
    </w:p>
    <w:p w:rsidR="00EA40A3" w:rsidRDefault="00E86C16">
      <w:pPr>
        <w:spacing w:before="219" w:line="235" w:lineRule="auto"/>
        <w:ind w:right="12" w:firstLine="439"/>
        <w:jc w:val="both"/>
        <w:rPr>
          <w:rFonts w:ascii="宋体" w:eastAsia="宋体" w:hAnsi="宋体" w:cs="宋体"/>
          <w:sz w:val="22"/>
          <w:szCs w:val="22"/>
        </w:rPr>
      </w:pPr>
      <w:r>
        <w:rPr>
          <w:rFonts w:ascii="宋体" w:eastAsia="宋体" w:hAnsi="宋体" w:cs="宋体"/>
          <w:spacing w:val="-6"/>
          <w:sz w:val="22"/>
          <w:szCs w:val="22"/>
        </w:rPr>
        <w:t>在正常的情况下，产妇在分娩8h后就可以开</w:t>
      </w:r>
      <w:r>
        <w:rPr>
          <w:rFonts w:ascii="宋体" w:eastAsia="宋体" w:hAnsi="宋体" w:cs="宋体"/>
          <w:spacing w:val="-7"/>
          <w:sz w:val="22"/>
          <w:szCs w:val="22"/>
        </w:rPr>
        <w:t>始对新生儿进行喂哺，即进入</w:t>
      </w:r>
      <w:r>
        <w:rPr>
          <w:rFonts w:ascii="宋体" w:eastAsia="宋体" w:hAnsi="宋体" w:cs="宋体"/>
          <w:sz w:val="22"/>
          <w:szCs w:val="22"/>
        </w:rPr>
        <w:t xml:space="preserve"> </w:t>
      </w:r>
      <w:r>
        <w:rPr>
          <w:rFonts w:ascii="宋体" w:eastAsia="宋体" w:hAnsi="宋体" w:cs="宋体"/>
          <w:spacing w:val="-13"/>
          <w:sz w:val="22"/>
          <w:szCs w:val="22"/>
        </w:rPr>
        <w:t>哺乳期。乳母的泌乳受到多种因素的影响，其中包括了精神生理因素以及营养因</w:t>
      </w:r>
      <w:r>
        <w:rPr>
          <w:rFonts w:ascii="宋体" w:eastAsia="宋体" w:hAnsi="宋体" w:cs="宋体"/>
          <w:spacing w:val="15"/>
          <w:sz w:val="22"/>
          <w:szCs w:val="22"/>
        </w:rPr>
        <w:t xml:space="preserve"> </w:t>
      </w:r>
      <w:r>
        <w:rPr>
          <w:rFonts w:ascii="宋体" w:eastAsia="宋体" w:hAnsi="宋体" w:cs="宋体"/>
          <w:spacing w:val="-10"/>
          <w:sz w:val="22"/>
          <w:szCs w:val="22"/>
        </w:rPr>
        <w:t>素等。</w:t>
      </w:r>
    </w:p>
    <w:p w:rsidR="00EA40A3" w:rsidRDefault="00E86C16">
      <w:pPr>
        <w:spacing w:before="81" w:line="245" w:lineRule="auto"/>
        <w:ind w:right="8" w:firstLine="439"/>
        <w:jc w:val="both"/>
        <w:rPr>
          <w:rFonts w:ascii="宋体" w:eastAsia="宋体" w:hAnsi="宋体" w:cs="宋体"/>
          <w:sz w:val="22"/>
          <w:szCs w:val="22"/>
        </w:rPr>
      </w:pPr>
      <w:r>
        <w:rPr>
          <w:rFonts w:ascii="宋体" w:eastAsia="宋体" w:hAnsi="宋体" w:cs="宋体"/>
          <w:spacing w:val="-13"/>
          <w:sz w:val="22"/>
          <w:szCs w:val="22"/>
        </w:rPr>
        <w:t>产妇分娩后体内激素水平的变化导致乳汁形成并分泌。随着胎盘的娩出，产</w:t>
      </w:r>
      <w:r>
        <w:rPr>
          <w:rFonts w:ascii="宋体" w:eastAsia="宋体" w:hAnsi="宋体" w:cs="宋体"/>
          <w:sz w:val="22"/>
          <w:szCs w:val="22"/>
        </w:rPr>
        <w:t xml:space="preserve"> </w:t>
      </w:r>
      <w:r>
        <w:rPr>
          <w:rFonts w:ascii="宋体" w:eastAsia="宋体" w:hAnsi="宋体" w:cs="宋体"/>
          <w:spacing w:val="-13"/>
          <w:sz w:val="22"/>
          <w:szCs w:val="22"/>
        </w:rPr>
        <w:t>妇体内雌激素和孕激素的浓度大大降低，对催乳素的抑制作用解除，于是乳腺开</w:t>
      </w:r>
      <w:r>
        <w:rPr>
          <w:rFonts w:ascii="宋体" w:eastAsia="宋体" w:hAnsi="宋体" w:cs="宋体"/>
          <w:spacing w:val="2"/>
          <w:sz w:val="22"/>
          <w:szCs w:val="22"/>
        </w:rPr>
        <w:t xml:space="preserve"> </w:t>
      </w:r>
      <w:r>
        <w:rPr>
          <w:rFonts w:ascii="宋体" w:eastAsia="宋体" w:hAnsi="宋体" w:cs="宋体"/>
          <w:spacing w:val="-12"/>
          <w:sz w:val="22"/>
          <w:szCs w:val="22"/>
        </w:rPr>
        <w:t>始泌乳。另外，婴儿吸吮乳头，反射性地促进下丘脑催乳</w:t>
      </w:r>
      <w:r>
        <w:rPr>
          <w:rFonts w:ascii="宋体" w:eastAsia="宋体" w:hAnsi="宋体" w:cs="宋体"/>
          <w:spacing w:val="-13"/>
          <w:sz w:val="22"/>
          <w:szCs w:val="22"/>
        </w:rPr>
        <w:t>素释放因子和腺垂体催</w:t>
      </w:r>
      <w:r>
        <w:rPr>
          <w:rFonts w:ascii="宋体" w:eastAsia="宋体" w:hAnsi="宋体" w:cs="宋体"/>
          <w:sz w:val="22"/>
          <w:szCs w:val="22"/>
        </w:rPr>
        <w:t xml:space="preserve"> </w:t>
      </w:r>
      <w:r>
        <w:rPr>
          <w:rFonts w:ascii="宋体" w:eastAsia="宋体" w:hAnsi="宋体" w:cs="宋体"/>
          <w:spacing w:val="-13"/>
          <w:sz w:val="22"/>
          <w:szCs w:val="22"/>
        </w:rPr>
        <w:t>乳素的分泌增加，可引起乳母的排乳反射，促使乳汁排出。排乳反射是一种典型</w:t>
      </w:r>
      <w:r>
        <w:rPr>
          <w:rFonts w:ascii="宋体" w:eastAsia="宋体" w:hAnsi="宋体" w:cs="宋体"/>
          <w:spacing w:val="7"/>
          <w:sz w:val="22"/>
          <w:szCs w:val="22"/>
        </w:rPr>
        <w:t xml:space="preserve"> </w:t>
      </w:r>
      <w:r>
        <w:rPr>
          <w:rFonts w:ascii="宋体" w:eastAsia="宋体" w:hAnsi="宋体" w:cs="宋体"/>
          <w:spacing w:val="-13"/>
          <w:sz w:val="22"/>
          <w:szCs w:val="22"/>
        </w:rPr>
        <w:t>的神经内分泌反射，在此基础上极易建立条件反射，如母亲看见婴儿或听</w:t>
      </w:r>
      <w:r>
        <w:rPr>
          <w:rFonts w:ascii="宋体" w:eastAsia="宋体" w:hAnsi="宋体" w:cs="宋体"/>
          <w:spacing w:val="-14"/>
          <w:sz w:val="22"/>
          <w:szCs w:val="22"/>
        </w:rPr>
        <w:t>见婴儿</w:t>
      </w:r>
    </w:p>
    <w:p w:rsidR="00EA40A3" w:rsidRDefault="00EA40A3">
      <w:pPr>
        <w:sectPr w:rsidR="00EA40A3">
          <w:footerReference w:type="default" r:id="rId258"/>
          <w:pgSz w:w="9220" w:h="13360"/>
          <w:pgMar w:top="400" w:right="1098" w:bottom="1216" w:left="840" w:header="0" w:footer="995" w:gutter="0"/>
          <w:cols w:space="720"/>
        </w:sectPr>
      </w:pPr>
    </w:p>
    <w:p w:rsidR="00EA40A3" w:rsidRDefault="00EA40A3">
      <w:pPr>
        <w:spacing w:line="287" w:lineRule="auto"/>
      </w:pPr>
    </w:p>
    <w:p w:rsidR="00EA40A3" w:rsidRDefault="00EA40A3">
      <w:pPr>
        <w:spacing w:line="288" w:lineRule="auto"/>
      </w:pPr>
    </w:p>
    <w:p w:rsidR="00EA40A3" w:rsidRDefault="00E86C16">
      <w:pPr>
        <w:spacing w:before="71" w:line="241" w:lineRule="auto"/>
        <w:ind w:right="101"/>
        <w:jc w:val="both"/>
        <w:rPr>
          <w:rFonts w:ascii="宋体" w:eastAsia="宋体" w:hAnsi="宋体" w:cs="宋体"/>
          <w:sz w:val="22"/>
          <w:szCs w:val="22"/>
        </w:rPr>
      </w:pPr>
      <w:r>
        <w:rPr>
          <w:rFonts w:ascii="宋体" w:eastAsia="宋体" w:hAnsi="宋体" w:cs="宋体"/>
          <w:spacing w:val="-13"/>
          <w:sz w:val="22"/>
          <w:szCs w:val="22"/>
        </w:rPr>
        <w:t>的哭声，可以引起排乳反射。垂体的生长激素、肾上腺皮质激素</w:t>
      </w:r>
      <w:r>
        <w:rPr>
          <w:rFonts w:ascii="宋体" w:eastAsia="宋体" w:hAnsi="宋体" w:cs="宋体"/>
          <w:spacing w:val="-14"/>
          <w:sz w:val="22"/>
          <w:szCs w:val="22"/>
        </w:rPr>
        <w:t>、甲状腺激素对</w:t>
      </w:r>
      <w:r>
        <w:rPr>
          <w:rFonts w:ascii="宋体" w:eastAsia="宋体" w:hAnsi="宋体" w:cs="宋体"/>
          <w:sz w:val="22"/>
          <w:szCs w:val="22"/>
        </w:rPr>
        <w:t xml:space="preserve"> </w:t>
      </w:r>
      <w:r>
        <w:rPr>
          <w:rFonts w:ascii="宋体" w:eastAsia="宋体" w:hAnsi="宋体" w:cs="宋体"/>
          <w:spacing w:val="-13"/>
          <w:sz w:val="22"/>
          <w:szCs w:val="22"/>
        </w:rPr>
        <w:t>乳汁的分泌也有一定的作用。例如，在分娩时因大出血引起垂体</w:t>
      </w:r>
      <w:r>
        <w:rPr>
          <w:rFonts w:ascii="宋体" w:eastAsia="宋体" w:hAnsi="宋体" w:cs="宋体"/>
          <w:spacing w:val="-14"/>
          <w:sz w:val="22"/>
          <w:szCs w:val="22"/>
        </w:rPr>
        <w:t>的病变，可导致</w:t>
      </w:r>
      <w:r>
        <w:rPr>
          <w:rFonts w:ascii="宋体" w:eastAsia="宋体" w:hAnsi="宋体" w:cs="宋体"/>
          <w:sz w:val="22"/>
          <w:szCs w:val="22"/>
        </w:rPr>
        <w:t xml:space="preserve"> </w:t>
      </w:r>
      <w:r>
        <w:rPr>
          <w:rFonts w:ascii="宋体" w:eastAsia="宋体" w:hAnsi="宋体" w:cs="宋体"/>
          <w:spacing w:val="-19"/>
          <w:sz w:val="22"/>
          <w:szCs w:val="22"/>
        </w:rPr>
        <w:t>全无乳汁分泌。</w:t>
      </w:r>
    </w:p>
    <w:p w:rsidR="00EA40A3" w:rsidRDefault="00E86C16">
      <w:pPr>
        <w:spacing w:before="57" w:line="249" w:lineRule="auto"/>
        <w:ind w:right="51" w:firstLine="479"/>
        <w:jc w:val="both"/>
        <w:rPr>
          <w:rFonts w:ascii="宋体" w:eastAsia="宋体" w:hAnsi="宋体" w:cs="宋体"/>
          <w:sz w:val="22"/>
          <w:szCs w:val="22"/>
        </w:rPr>
      </w:pPr>
      <w:r>
        <w:rPr>
          <w:rFonts w:ascii="宋体" w:eastAsia="宋体" w:hAnsi="宋体" w:cs="宋体"/>
          <w:spacing w:val="-2"/>
          <w:sz w:val="22"/>
          <w:szCs w:val="22"/>
        </w:rPr>
        <w:t>当乳汁分泌反射形成时，大约90%的新生儿在吸吮乳头3～5min</w:t>
      </w:r>
      <w:r>
        <w:rPr>
          <w:rFonts w:ascii="宋体" w:eastAsia="宋体" w:hAnsi="宋体" w:cs="宋体"/>
          <w:spacing w:val="-53"/>
          <w:sz w:val="22"/>
          <w:szCs w:val="22"/>
        </w:rPr>
        <w:t xml:space="preserve"> </w:t>
      </w:r>
      <w:r>
        <w:rPr>
          <w:rFonts w:ascii="宋体" w:eastAsia="宋体" w:hAnsi="宋体" w:cs="宋体"/>
          <w:spacing w:val="-2"/>
          <w:sz w:val="22"/>
          <w:szCs w:val="22"/>
        </w:rPr>
        <w:t>后可以得</w:t>
      </w:r>
      <w:r>
        <w:rPr>
          <w:rFonts w:ascii="宋体" w:eastAsia="宋体" w:hAnsi="宋体" w:cs="宋体"/>
          <w:sz w:val="22"/>
          <w:szCs w:val="22"/>
        </w:rPr>
        <w:t xml:space="preserve"> </w:t>
      </w:r>
      <w:r>
        <w:rPr>
          <w:rFonts w:ascii="宋体" w:eastAsia="宋体" w:hAnsi="宋体" w:cs="宋体"/>
          <w:spacing w:val="-6"/>
          <w:sz w:val="22"/>
          <w:szCs w:val="22"/>
        </w:rPr>
        <w:t>到母乳。若产后婴儿不吸乳，泌乳作用在3～4d后就不能</w:t>
      </w:r>
      <w:r>
        <w:rPr>
          <w:rFonts w:ascii="宋体" w:eastAsia="宋体" w:hAnsi="宋体" w:cs="宋体"/>
          <w:spacing w:val="-7"/>
          <w:sz w:val="22"/>
          <w:szCs w:val="22"/>
        </w:rPr>
        <w:t>维持。产后最初3～5d</w:t>
      </w:r>
      <w:r>
        <w:rPr>
          <w:rFonts w:ascii="宋体" w:eastAsia="宋体" w:hAnsi="宋体" w:cs="宋体"/>
          <w:sz w:val="22"/>
          <w:szCs w:val="22"/>
        </w:rPr>
        <w:t xml:space="preserve"> </w:t>
      </w:r>
      <w:r>
        <w:rPr>
          <w:rFonts w:ascii="宋体" w:eastAsia="宋体" w:hAnsi="宋体" w:cs="宋体"/>
          <w:spacing w:val="-7"/>
          <w:sz w:val="22"/>
          <w:szCs w:val="22"/>
        </w:rPr>
        <w:t>乳腺分泌的乳汁称为初乳，泌乳量平均90～270mL/d。</w:t>
      </w:r>
      <w:r>
        <w:rPr>
          <w:rFonts w:ascii="宋体" w:eastAsia="宋体" w:hAnsi="宋体" w:cs="宋体"/>
          <w:spacing w:val="26"/>
          <w:sz w:val="22"/>
          <w:szCs w:val="22"/>
        </w:rPr>
        <w:t xml:space="preserve"> </w:t>
      </w:r>
      <w:r>
        <w:rPr>
          <w:rFonts w:ascii="宋体" w:eastAsia="宋体" w:hAnsi="宋体" w:cs="宋体"/>
          <w:spacing w:val="-7"/>
          <w:sz w:val="22"/>
          <w:szCs w:val="22"/>
        </w:rPr>
        <w:t>初乳因含有β胡萝卜</w:t>
      </w:r>
      <w:r>
        <w:rPr>
          <w:rFonts w:ascii="宋体" w:eastAsia="宋体" w:hAnsi="宋体" w:cs="宋体"/>
          <w:spacing w:val="-8"/>
          <w:sz w:val="22"/>
          <w:szCs w:val="22"/>
        </w:rPr>
        <w:t>素</w:t>
      </w:r>
      <w:r>
        <w:rPr>
          <w:rFonts w:ascii="宋体" w:eastAsia="宋体" w:hAnsi="宋体" w:cs="宋体"/>
          <w:sz w:val="22"/>
          <w:szCs w:val="22"/>
        </w:rPr>
        <w:t xml:space="preserve"> </w:t>
      </w:r>
      <w:r>
        <w:rPr>
          <w:rFonts w:ascii="宋体" w:eastAsia="宋体" w:hAnsi="宋体" w:cs="宋体"/>
          <w:spacing w:val="-13"/>
          <w:sz w:val="22"/>
          <w:szCs w:val="22"/>
        </w:rPr>
        <w:t>及较多固形物，呈浅黄色并且质稠。同时，初乳富含钠、氯和免疫蛋白。随</w:t>
      </w:r>
      <w:r>
        <w:rPr>
          <w:rFonts w:ascii="宋体" w:eastAsia="宋体" w:hAnsi="宋体" w:cs="宋体"/>
          <w:spacing w:val="-14"/>
          <w:sz w:val="22"/>
          <w:szCs w:val="22"/>
        </w:rPr>
        <w:t>着泌</w:t>
      </w:r>
      <w:r>
        <w:rPr>
          <w:rFonts w:ascii="宋体" w:eastAsia="宋体" w:hAnsi="宋体" w:cs="宋体"/>
          <w:sz w:val="22"/>
          <w:szCs w:val="22"/>
        </w:rPr>
        <w:t xml:space="preserve"> </w:t>
      </w:r>
      <w:r>
        <w:rPr>
          <w:rFonts w:ascii="宋体" w:eastAsia="宋体" w:hAnsi="宋体" w:cs="宋体"/>
          <w:spacing w:val="-13"/>
          <w:sz w:val="22"/>
          <w:szCs w:val="22"/>
        </w:rPr>
        <w:t>乳活动的增加，乳汁中乳糖和脂肪含量开始升高，蛋白质含量有所下降，在产后</w:t>
      </w:r>
      <w:r>
        <w:rPr>
          <w:rFonts w:ascii="宋体" w:eastAsia="宋体" w:hAnsi="宋体" w:cs="宋体"/>
          <w:sz w:val="22"/>
          <w:szCs w:val="22"/>
        </w:rPr>
        <w:t xml:space="preserve"> </w:t>
      </w:r>
      <w:r>
        <w:rPr>
          <w:rFonts w:ascii="宋体" w:eastAsia="宋体" w:hAnsi="宋体" w:cs="宋体"/>
          <w:spacing w:val="-6"/>
          <w:sz w:val="22"/>
          <w:szCs w:val="22"/>
        </w:rPr>
        <w:t>5～10d间所分泌的乳汁称过渡乳。分娩10d后，乳汁呈</w:t>
      </w:r>
      <w:r>
        <w:rPr>
          <w:rFonts w:ascii="宋体" w:eastAsia="宋体" w:hAnsi="宋体" w:cs="宋体"/>
          <w:spacing w:val="-7"/>
          <w:sz w:val="22"/>
          <w:szCs w:val="22"/>
        </w:rPr>
        <w:t>现成熟乳的特征，到30d</w:t>
      </w:r>
      <w:r>
        <w:rPr>
          <w:rFonts w:ascii="宋体" w:eastAsia="宋体" w:hAnsi="宋体" w:cs="宋体"/>
          <w:sz w:val="22"/>
          <w:szCs w:val="22"/>
        </w:rPr>
        <w:t xml:space="preserve"> </w:t>
      </w:r>
      <w:r>
        <w:rPr>
          <w:rFonts w:ascii="宋体" w:eastAsia="宋体" w:hAnsi="宋体" w:cs="宋体"/>
          <w:spacing w:val="-5"/>
          <w:sz w:val="22"/>
          <w:szCs w:val="22"/>
        </w:rPr>
        <w:t>左右趋于稳定，泌乳量可达600mL/d,</w:t>
      </w:r>
      <w:r>
        <w:rPr>
          <w:rFonts w:ascii="宋体" w:eastAsia="宋体" w:hAnsi="宋体" w:cs="宋体"/>
          <w:spacing w:val="59"/>
          <w:sz w:val="22"/>
          <w:szCs w:val="22"/>
        </w:rPr>
        <w:t xml:space="preserve"> </w:t>
      </w:r>
      <w:r>
        <w:rPr>
          <w:rFonts w:ascii="宋体" w:eastAsia="宋体" w:hAnsi="宋体" w:cs="宋体"/>
          <w:spacing w:val="-5"/>
          <w:sz w:val="22"/>
          <w:szCs w:val="22"/>
        </w:rPr>
        <w:t>含有丰富的蛋白质、脂肪、乳糖及多种</w:t>
      </w:r>
      <w:r>
        <w:rPr>
          <w:rFonts w:ascii="宋体" w:eastAsia="宋体" w:hAnsi="宋体" w:cs="宋体"/>
          <w:sz w:val="22"/>
          <w:szCs w:val="22"/>
        </w:rPr>
        <w:t xml:space="preserve"> </w:t>
      </w:r>
      <w:r>
        <w:rPr>
          <w:rFonts w:ascii="宋体" w:eastAsia="宋体" w:hAnsi="宋体" w:cs="宋体"/>
          <w:spacing w:val="1"/>
          <w:sz w:val="22"/>
          <w:szCs w:val="22"/>
        </w:rPr>
        <w:t>维生素。在整个哺乳期间，头6个月平均泌乳量约800</w:t>
      </w:r>
      <w:r>
        <w:rPr>
          <w:rFonts w:ascii="宋体" w:eastAsia="宋体" w:hAnsi="宋体" w:cs="宋体"/>
          <w:sz w:val="22"/>
          <w:szCs w:val="22"/>
        </w:rPr>
        <w:t>mL</w:t>
      </w:r>
      <w:r>
        <w:rPr>
          <w:rFonts w:ascii="宋体" w:eastAsia="宋体" w:hAnsi="宋体" w:cs="宋体"/>
          <w:spacing w:val="1"/>
          <w:sz w:val="22"/>
          <w:szCs w:val="22"/>
        </w:rPr>
        <w:t>/d,</w:t>
      </w:r>
      <w:r>
        <w:rPr>
          <w:rFonts w:ascii="宋体" w:eastAsia="宋体" w:hAnsi="宋体" w:cs="宋体"/>
          <w:spacing w:val="55"/>
          <w:sz w:val="22"/>
          <w:szCs w:val="22"/>
        </w:rPr>
        <w:t xml:space="preserve"> </w:t>
      </w:r>
      <w:r>
        <w:rPr>
          <w:rFonts w:ascii="宋体" w:eastAsia="宋体" w:hAnsi="宋体" w:cs="宋体"/>
          <w:spacing w:val="1"/>
          <w:sz w:val="22"/>
          <w:szCs w:val="22"/>
        </w:rPr>
        <w:t>其后的6个月为</w:t>
      </w:r>
      <w:r>
        <w:rPr>
          <w:rFonts w:ascii="宋体" w:eastAsia="宋体" w:hAnsi="宋体" w:cs="宋体"/>
          <w:sz w:val="22"/>
          <w:szCs w:val="22"/>
        </w:rPr>
        <w:t xml:space="preserve"> </w:t>
      </w:r>
      <w:r>
        <w:rPr>
          <w:rFonts w:ascii="宋体" w:eastAsia="宋体" w:hAnsi="宋体" w:cs="宋体"/>
          <w:spacing w:val="-7"/>
          <w:sz w:val="22"/>
          <w:szCs w:val="22"/>
        </w:rPr>
        <w:t>600mL/d。</w:t>
      </w:r>
      <w:r>
        <w:rPr>
          <w:rFonts w:ascii="宋体" w:eastAsia="宋体" w:hAnsi="宋体" w:cs="宋体"/>
          <w:spacing w:val="38"/>
          <w:sz w:val="22"/>
          <w:szCs w:val="22"/>
        </w:rPr>
        <w:t xml:space="preserve"> </w:t>
      </w:r>
      <w:r>
        <w:rPr>
          <w:rFonts w:ascii="宋体" w:eastAsia="宋体" w:hAnsi="宋体" w:cs="宋体"/>
          <w:spacing w:val="-7"/>
          <w:sz w:val="22"/>
          <w:szCs w:val="22"/>
        </w:rPr>
        <w:t>但泌乳量在不同个体之间的变化较大，即</w:t>
      </w:r>
      <w:r>
        <w:rPr>
          <w:rFonts w:ascii="宋体" w:eastAsia="宋体" w:hAnsi="宋体" w:cs="宋体"/>
          <w:spacing w:val="-8"/>
          <w:sz w:val="22"/>
          <w:szCs w:val="22"/>
        </w:rPr>
        <w:t>使是营养良好的人群也同</w:t>
      </w:r>
      <w:r>
        <w:rPr>
          <w:rFonts w:ascii="宋体" w:eastAsia="宋体" w:hAnsi="宋体" w:cs="宋体"/>
          <w:sz w:val="22"/>
          <w:szCs w:val="22"/>
        </w:rPr>
        <w:t xml:space="preserve"> </w:t>
      </w:r>
      <w:r>
        <w:rPr>
          <w:rFonts w:ascii="宋体" w:eastAsia="宋体" w:hAnsi="宋体" w:cs="宋体"/>
          <w:spacing w:val="-13"/>
          <w:sz w:val="22"/>
          <w:szCs w:val="22"/>
        </w:rPr>
        <w:t>样。另外，乳汁的成分在每天喂哺时也有变化。每次哺乳开始时的奶称前</w:t>
      </w:r>
      <w:r>
        <w:rPr>
          <w:rFonts w:ascii="宋体" w:eastAsia="宋体" w:hAnsi="宋体" w:cs="宋体"/>
          <w:spacing w:val="-14"/>
          <w:sz w:val="22"/>
          <w:szCs w:val="22"/>
        </w:rPr>
        <w:t>奶，外</w:t>
      </w:r>
      <w:r>
        <w:rPr>
          <w:rFonts w:ascii="宋体" w:eastAsia="宋体" w:hAnsi="宋体" w:cs="宋体"/>
          <w:sz w:val="22"/>
          <w:szCs w:val="22"/>
        </w:rPr>
        <w:t xml:space="preserve"> </w:t>
      </w:r>
      <w:r>
        <w:rPr>
          <w:rFonts w:ascii="宋体" w:eastAsia="宋体" w:hAnsi="宋体" w:cs="宋体"/>
          <w:spacing w:val="-13"/>
          <w:sz w:val="22"/>
          <w:szCs w:val="22"/>
        </w:rPr>
        <w:t>观是带绿色的水样液体，内含丰富的蛋白质、乳糖、维生素、无</w:t>
      </w:r>
      <w:r>
        <w:rPr>
          <w:rFonts w:ascii="宋体" w:eastAsia="宋体" w:hAnsi="宋体" w:cs="宋体"/>
          <w:spacing w:val="-14"/>
          <w:sz w:val="22"/>
          <w:szCs w:val="22"/>
        </w:rPr>
        <w:t>机盐和水；每次</w:t>
      </w:r>
      <w:r>
        <w:rPr>
          <w:rFonts w:ascii="宋体" w:eastAsia="宋体" w:hAnsi="宋体" w:cs="宋体"/>
          <w:sz w:val="22"/>
          <w:szCs w:val="22"/>
        </w:rPr>
        <w:t xml:space="preserve"> </w:t>
      </w:r>
      <w:r>
        <w:rPr>
          <w:rFonts w:ascii="宋体" w:eastAsia="宋体" w:hAnsi="宋体" w:cs="宋体"/>
          <w:spacing w:val="-13"/>
          <w:sz w:val="22"/>
          <w:szCs w:val="22"/>
        </w:rPr>
        <w:t>哺乳结束时的奶称后奶，含较多的脂肪，外观较前奶白，脂肪使后奶能量充</w:t>
      </w:r>
      <w:r>
        <w:rPr>
          <w:rFonts w:ascii="宋体" w:eastAsia="宋体" w:hAnsi="宋体" w:cs="宋体"/>
          <w:spacing w:val="-14"/>
          <w:sz w:val="22"/>
          <w:szCs w:val="22"/>
        </w:rPr>
        <w:t>足。</w:t>
      </w:r>
    </w:p>
    <w:p w:rsidR="00EA40A3" w:rsidRDefault="00E86C16">
      <w:pPr>
        <w:spacing w:before="214" w:line="221" w:lineRule="auto"/>
        <w:ind w:left="3"/>
        <w:outlineLvl w:val="6"/>
        <w:rPr>
          <w:rFonts w:ascii="黑体" w:eastAsia="黑体" w:hAnsi="黑体" w:cs="黑体"/>
          <w:sz w:val="25"/>
          <w:szCs w:val="25"/>
        </w:rPr>
      </w:pPr>
      <w:r>
        <w:rPr>
          <w:rFonts w:ascii="黑体" w:eastAsia="黑体" w:hAnsi="黑体" w:cs="黑体"/>
          <w:b/>
          <w:bCs/>
          <w:spacing w:val="-12"/>
          <w:sz w:val="25"/>
          <w:szCs w:val="25"/>
        </w:rPr>
        <w:t>10.2.2</w:t>
      </w:r>
      <w:r>
        <w:rPr>
          <w:rFonts w:ascii="黑体" w:eastAsia="黑体" w:hAnsi="黑体" w:cs="黑体"/>
          <w:spacing w:val="32"/>
          <w:sz w:val="25"/>
          <w:szCs w:val="25"/>
        </w:rPr>
        <w:t xml:space="preserve">  </w:t>
      </w:r>
      <w:r>
        <w:rPr>
          <w:rFonts w:ascii="黑体" w:eastAsia="黑体" w:hAnsi="黑体" w:cs="黑体"/>
          <w:b/>
          <w:bCs/>
          <w:spacing w:val="-12"/>
          <w:sz w:val="25"/>
          <w:szCs w:val="25"/>
        </w:rPr>
        <w:t>乳母营养需要</w:t>
      </w:r>
    </w:p>
    <w:p w:rsidR="00EA40A3" w:rsidRDefault="00E86C16">
      <w:pPr>
        <w:spacing w:before="202" w:line="248" w:lineRule="auto"/>
        <w:ind w:right="49" w:firstLine="479"/>
        <w:jc w:val="both"/>
        <w:rPr>
          <w:rFonts w:ascii="宋体" w:eastAsia="宋体" w:hAnsi="宋体" w:cs="宋体"/>
          <w:sz w:val="22"/>
          <w:szCs w:val="22"/>
        </w:rPr>
      </w:pPr>
      <w:r>
        <w:rPr>
          <w:rFonts w:ascii="宋体" w:eastAsia="宋体" w:hAnsi="宋体" w:cs="宋体"/>
          <w:spacing w:val="-14"/>
          <w:sz w:val="22"/>
          <w:szCs w:val="22"/>
        </w:rPr>
        <w:t>母乳的合成需要充足的营养。乳汁中分泌出的营养素要从母体中汲取，当乳</w:t>
      </w:r>
      <w:r>
        <w:rPr>
          <w:rFonts w:ascii="宋体" w:eastAsia="宋体" w:hAnsi="宋体" w:cs="宋体"/>
          <w:spacing w:val="11"/>
          <w:sz w:val="22"/>
          <w:szCs w:val="22"/>
        </w:rPr>
        <w:t xml:space="preserve"> </w:t>
      </w:r>
      <w:r>
        <w:rPr>
          <w:rFonts w:ascii="宋体" w:eastAsia="宋体" w:hAnsi="宋体" w:cs="宋体"/>
          <w:spacing w:val="-13"/>
          <w:sz w:val="22"/>
          <w:szCs w:val="22"/>
        </w:rPr>
        <w:t>母膳食中营养素摄入不足时，母体会动用自身体内的营养素储备来</w:t>
      </w:r>
      <w:r>
        <w:rPr>
          <w:rFonts w:ascii="宋体" w:eastAsia="宋体" w:hAnsi="宋体" w:cs="宋体"/>
          <w:spacing w:val="-14"/>
          <w:sz w:val="22"/>
          <w:szCs w:val="22"/>
        </w:rPr>
        <w:t>维持乳汁营养</w:t>
      </w:r>
      <w:r>
        <w:rPr>
          <w:rFonts w:ascii="宋体" w:eastAsia="宋体" w:hAnsi="宋体" w:cs="宋体"/>
          <w:sz w:val="22"/>
          <w:szCs w:val="22"/>
        </w:rPr>
        <w:t xml:space="preserve"> </w:t>
      </w:r>
      <w:r>
        <w:rPr>
          <w:rFonts w:ascii="宋体" w:eastAsia="宋体" w:hAnsi="宋体" w:cs="宋体"/>
          <w:spacing w:val="-13"/>
          <w:sz w:val="22"/>
          <w:szCs w:val="22"/>
        </w:rPr>
        <w:t>成分的恒定，甚至牺牲母体组织来保证乳汁的质与量。故乳母的</w:t>
      </w:r>
      <w:r>
        <w:rPr>
          <w:rFonts w:ascii="宋体" w:eastAsia="宋体" w:hAnsi="宋体" w:cs="宋体"/>
          <w:spacing w:val="-14"/>
          <w:sz w:val="22"/>
          <w:szCs w:val="22"/>
        </w:rPr>
        <w:t>营养不仅需要适</w:t>
      </w:r>
      <w:r>
        <w:rPr>
          <w:rFonts w:ascii="宋体" w:eastAsia="宋体" w:hAnsi="宋体" w:cs="宋体"/>
          <w:sz w:val="22"/>
          <w:szCs w:val="22"/>
        </w:rPr>
        <w:t xml:space="preserve"> </w:t>
      </w:r>
      <w:r>
        <w:rPr>
          <w:rFonts w:ascii="宋体" w:eastAsia="宋体" w:hAnsi="宋体" w:cs="宋体"/>
          <w:spacing w:val="-13"/>
          <w:sz w:val="22"/>
          <w:szCs w:val="22"/>
        </w:rPr>
        <w:t>应母体本身的需要，同时也要适应母乳泌出的需要。乳母营养不足，</w:t>
      </w:r>
      <w:r>
        <w:rPr>
          <w:rFonts w:ascii="宋体" w:eastAsia="宋体" w:hAnsi="宋体" w:cs="宋体"/>
          <w:spacing w:val="-14"/>
          <w:sz w:val="22"/>
          <w:szCs w:val="22"/>
        </w:rPr>
        <w:t>是造成母乳</w:t>
      </w:r>
      <w:r>
        <w:rPr>
          <w:rFonts w:ascii="宋体" w:eastAsia="宋体" w:hAnsi="宋体" w:cs="宋体"/>
          <w:sz w:val="22"/>
          <w:szCs w:val="22"/>
        </w:rPr>
        <w:t xml:space="preserve"> </w:t>
      </w:r>
      <w:r>
        <w:rPr>
          <w:rFonts w:ascii="宋体" w:eastAsia="宋体" w:hAnsi="宋体" w:cs="宋体"/>
          <w:spacing w:val="-7"/>
          <w:sz w:val="22"/>
          <w:szCs w:val="22"/>
        </w:rPr>
        <w:t>不足的主要原因之一。另外，乳母的营养不足，也</w:t>
      </w:r>
      <w:r>
        <w:rPr>
          <w:rFonts w:ascii="宋体" w:eastAsia="宋体" w:hAnsi="宋体" w:cs="宋体"/>
          <w:spacing w:val="-8"/>
          <w:sz w:val="22"/>
          <w:szCs w:val="22"/>
        </w:rPr>
        <w:t>会影响到所哺育的婴儿的健</w:t>
      </w:r>
      <w:r>
        <w:rPr>
          <w:rFonts w:ascii="宋体" w:eastAsia="宋体" w:hAnsi="宋体" w:cs="宋体"/>
          <w:sz w:val="22"/>
          <w:szCs w:val="22"/>
        </w:rPr>
        <w:t xml:space="preserve"> </w:t>
      </w:r>
      <w:r>
        <w:rPr>
          <w:rFonts w:ascii="宋体" w:eastAsia="宋体" w:hAnsi="宋体" w:cs="宋体"/>
          <w:spacing w:val="-10"/>
          <w:sz w:val="22"/>
          <w:szCs w:val="22"/>
        </w:rPr>
        <w:t>康。在母亲营养状况极差的地区，以母乳为唯一来源的婴儿于产后6个月内</w:t>
      </w:r>
      <w:r>
        <w:rPr>
          <w:rFonts w:ascii="宋体" w:eastAsia="宋体" w:hAnsi="宋体" w:cs="宋体"/>
          <w:spacing w:val="-11"/>
          <w:sz w:val="22"/>
          <w:szCs w:val="22"/>
        </w:rPr>
        <w:t>出现</w:t>
      </w:r>
      <w:r>
        <w:rPr>
          <w:rFonts w:ascii="宋体" w:eastAsia="宋体" w:hAnsi="宋体" w:cs="宋体"/>
          <w:sz w:val="22"/>
          <w:szCs w:val="22"/>
        </w:rPr>
        <w:t xml:space="preserve"> 早期干瘦型蛋白质能量营养不良的患病率增加。所</w:t>
      </w:r>
      <w:r>
        <w:rPr>
          <w:rFonts w:ascii="宋体" w:eastAsia="宋体" w:hAnsi="宋体" w:cs="宋体"/>
          <w:spacing w:val="-1"/>
          <w:sz w:val="22"/>
          <w:szCs w:val="22"/>
        </w:rPr>
        <w:t>以，必须供给乳母充足的</w:t>
      </w:r>
      <w:r>
        <w:rPr>
          <w:rFonts w:ascii="宋体" w:eastAsia="宋体" w:hAnsi="宋体" w:cs="宋体"/>
          <w:sz w:val="22"/>
          <w:szCs w:val="22"/>
        </w:rPr>
        <w:t xml:space="preserve"> </w:t>
      </w:r>
      <w:r>
        <w:rPr>
          <w:rFonts w:ascii="宋体" w:eastAsia="宋体" w:hAnsi="宋体" w:cs="宋体"/>
          <w:spacing w:val="-18"/>
          <w:sz w:val="22"/>
          <w:szCs w:val="22"/>
        </w:rPr>
        <w:t>营养。</w:t>
      </w:r>
    </w:p>
    <w:p w:rsidR="00EA40A3" w:rsidRDefault="00E86C16">
      <w:pPr>
        <w:spacing w:before="225" w:line="222"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7"/>
          <w:sz w:val="22"/>
          <w:szCs w:val="22"/>
        </w:rPr>
        <w:t xml:space="preserve"> </w:t>
      </w:r>
      <w:r>
        <w:rPr>
          <w:rFonts w:ascii="仿宋" w:eastAsia="仿宋" w:hAnsi="仿宋" w:cs="仿宋"/>
          <w:spacing w:val="-13"/>
          <w:sz w:val="22"/>
          <w:szCs w:val="22"/>
        </w:rPr>
        <w:t>能</w:t>
      </w:r>
      <w:r>
        <w:rPr>
          <w:rFonts w:ascii="仿宋" w:eastAsia="仿宋" w:hAnsi="仿宋" w:cs="仿宋"/>
          <w:spacing w:val="-35"/>
          <w:sz w:val="22"/>
          <w:szCs w:val="22"/>
        </w:rPr>
        <w:t xml:space="preserve"> </w:t>
      </w:r>
      <w:r>
        <w:rPr>
          <w:rFonts w:ascii="仿宋" w:eastAsia="仿宋" w:hAnsi="仿宋" w:cs="仿宋"/>
          <w:spacing w:val="-13"/>
          <w:sz w:val="22"/>
          <w:szCs w:val="22"/>
        </w:rPr>
        <w:t>量</w:t>
      </w:r>
    </w:p>
    <w:p w:rsidR="00EA40A3" w:rsidRDefault="00E86C16">
      <w:pPr>
        <w:spacing w:before="207" w:line="247" w:lineRule="auto"/>
        <w:ind w:firstLine="479"/>
        <w:jc w:val="both"/>
        <w:rPr>
          <w:rFonts w:ascii="宋体" w:eastAsia="宋体" w:hAnsi="宋体" w:cs="宋体"/>
          <w:sz w:val="22"/>
          <w:szCs w:val="22"/>
        </w:rPr>
      </w:pPr>
      <w:r>
        <w:rPr>
          <w:rFonts w:ascii="宋体" w:eastAsia="宋体" w:hAnsi="宋体" w:cs="宋体"/>
          <w:spacing w:val="-12"/>
          <w:sz w:val="22"/>
          <w:szCs w:val="22"/>
        </w:rPr>
        <w:t>与非妊娠时期相比，哺乳期母体的能量需要量增加，并且与泌乳量</w:t>
      </w:r>
      <w:r>
        <w:rPr>
          <w:rFonts w:ascii="宋体" w:eastAsia="宋体" w:hAnsi="宋体" w:cs="宋体"/>
          <w:spacing w:val="-13"/>
          <w:sz w:val="22"/>
          <w:szCs w:val="22"/>
        </w:rPr>
        <w:t>成正比。</w:t>
      </w:r>
      <w:r>
        <w:rPr>
          <w:rFonts w:ascii="宋体" w:eastAsia="宋体" w:hAnsi="宋体" w:cs="宋体"/>
          <w:sz w:val="22"/>
          <w:szCs w:val="22"/>
        </w:rPr>
        <w:t xml:space="preserve"> 每100mL.母乳的平均能量为28</w:t>
      </w:r>
      <w:r>
        <w:rPr>
          <w:rFonts w:ascii="宋体" w:eastAsia="宋体" w:hAnsi="宋体" w:cs="宋体"/>
          <w:spacing w:val="-1"/>
          <w:sz w:val="22"/>
          <w:szCs w:val="22"/>
        </w:rPr>
        <w:t>5</w:t>
      </w:r>
      <w:r>
        <w:rPr>
          <w:rFonts w:ascii="宋体" w:eastAsia="宋体" w:hAnsi="宋体" w:cs="宋体"/>
          <w:sz w:val="22"/>
          <w:szCs w:val="22"/>
        </w:rPr>
        <w:t>kJ</w:t>
      </w:r>
      <w:r>
        <w:rPr>
          <w:rFonts w:ascii="宋体" w:eastAsia="宋体" w:hAnsi="宋体" w:cs="宋体"/>
          <w:spacing w:val="-1"/>
          <w:sz w:val="22"/>
          <w:szCs w:val="22"/>
        </w:rPr>
        <w:t>(70</w:t>
      </w:r>
      <w:r>
        <w:rPr>
          <w:rFonts w:ascii="宋体" w:eastAsia="宋体" w:hAnsi="宋体" w:cs="宋体"/>
          <w:sz w:val="22"/>
          <w:szCs w:val="22"/>
        </w:rPr>
        <w:t>kcal</w:t>
      </w:r>
      <w:r>
        <w:rPr>
          <w:rFonts w:ascii="宋体" w:eastAsia="宋体" w:hAnsi="宋体" w:cs="宋体"/>
          <w:spacing w:val="-1"/>
          <w:sz w:val="22"/>
          <w:szCs w:val="22"/>
        </w:rPr>
        <w:t>)。</w:t>
      </w:r>
      <w:r>
        <w:rPr>
          <w:rFonts w:ascii="宋体" w:eastAsia="宋体" w:hAnsi="宋体" w:cs="宋体"/>
          <w:spacing w:val="8"/>
          <w:sz w:val="22"/>
          <w:szCs w:val="22"/>
        </w:rPr>
        <w:t xml:space="preserve"> </w:t>
      </w:r>
      <w:r>
        <w:rPr>
          <w:rFonts w:ascii="宋体" w:eastAsia="宋体" w:hAnsi="宋体" w:cs="宋体"/>
          <w:spacing w:val="-1"/>
          <w:sz w:val="22"/>
          <w:szCs w:val="22"/>
        </w:rPr>
        <w:t>乳母生乳的能量效率约为80%,</w:t>
      </w:r>
      <w:r>
        <w:rPr>
          <w:rFonts w:ascii="宋体" w:eastAsia="宋体" w:hAnsi="宋体" w:cs="宋体"/>
          <w:sz w:val="22"/>
          <w:szCs w:val="22"/>
        </w:rPr>
        <w:t xml:space="preserve">  </w:t>
      </w:r>
      <w:r>
        <w:rPr>
          <w:rFonts w:ascii="宋体" w:eastAsia="宋体" w:hAnsi="宋体" w:cs="宋体"/>
          <w:spacing w:val="3"/>
          <w:sz w:val="22"/>
          <w:szCs w:val="22"/>
        </w:rPr>
        <w:t>故母体产生100</w:t>
      </w:r>
      <w:r>
        <w:rPr>
          <w:rFonts w:ascii="宋体" w:eastAsia="宋体" w:hAnsi="宋体" w:cs="宋体"/>
          <w:sz w:val="22"/>
          <w:szCs w:val="22"/>
        </w:rPr>
        <w:t>mL</w:t>
      </w:r>
      <w:r>
        <w:rPr>
          <w:rFonts w:ascii="宋体" w:eastAsia="宋体" w:hAnsi="宋体" w:cs="宋体"/>
          <w:spacing w:val="22"/>
          <w:sz w:val="22"/>
          <w:szCs w:val="22"/>
        </w:rPr>
        <w:t xml:space="preserve"> </w:t>
      </w:r>
      <w:r>
        <w:rPr>
          <w:rFonts w:ascii="宋体" w:eastAsia="宋体" w:hAnsi="宋体" w:cs="宋体"/>
          <w:spacing w:val="3"/>
          <w:sz w:val="22"/>
          <w:szCs w:val="22"/>
        </w:rPr>
        <w:t>乳汁实际需摄入356</w:t>
      </w:r>
      <w:r>
        <w:rPr>
          <w:rFonts w:ascii="宋体" w:eastAsia="宋体" w:hAnsi="宋体" w:cs="宋体"/>
          <w:sz w:val="22"/>
          <w:szCs w:val="22"/>
        </w:rPr>
        <w:t>kJ</w:t>
      </w:r>
      <w:r>
        <w:rPr>
          <w:rFonts w:ascii="宋体" w:eastAsia="宋体" w:hAnsi="宋体" w:cs="宋体"/>
          <w:spacing w:val="3"/>
          <w:sz w:val="22"/>
          <w:szCs w:val="22"/>
        </w:rPr>
        <w:t>(85</w:t>
      </w:r>
      <w:r>
        <w:rPr>
          <w:rFonts w:ascii="宋体" w:eastAsia="宋体" w:hAnsi="宋体" w:cs="宋体"/>
          <w:sz w:val="22"/>
          <w:szCs w:val="22"/>
        </w:rPr>
        <w:t>kcal</w:t>
      </w:r>
      <w:r>
        <w:rPr>
          <w:rFonts w:ascii="宋体" w:eastAsia="宋体" w:hAnsi="宋体" w:cs="宋体"/>
          <w:spacing w:val="3"/>
          <w:sz w:val="22"/>
          <w:szCs w:val="22"/>
        </w:rPr>
        <w:t>)</w:t>
      </w:r>
      <w:r>
        <w:rPr>
          <w:rFonts w:ascii="宋体" w:eastAsia="宋体" w:hAnsi="宋体" w:cs="宋体"/>
          <w:spacing w:val="-4"/>
          <w:sz w:val="22"/>
          <w:szCs w:val="22"/>
        </w:rPr>
        <w:t xml:space="preserve"> </w:t>
      </w:r>
      <w:r>
        <w:rPr>
          <w:rFonts w:ascii="宋体" w:eastAsia="宋体" w:hAnsi="宋体" w:cs="宋体"/>
          <w:spacing w:val="3"/>
          <w:sz w:val="22"/>
          <w:szCs w:val="22"/>
        </w:rPr>
        <w:t>的能</w:t>
      </w:r>
      <w:r>
        <w:rPr>
          <w:rFonts w:ascii="宋体" w:eastAsia="宋体" w:hAnsi="宋体" w:cs="宋体"/>
          <w:spacing w:val="2"/>
          <w:sz w:val="22"/>
          <w:szCs w:val="22"/>
        </w:rPr>
        <w:t>量。在哺乳期前6个</w:t>
      </w:r>
      <w:r>
        <w:rPr>
          <w:rFonts w:ascii="宋体" w:eastAsia="宋体" w:hAnsi="宋体" w:cs="宋体"/>
          <w:sz w:val="22"/>
          <w:szCs w:val="22"/>
        </w:rPr>
        <w:t xml:space="preserve"> </w:t>
      </w:r>
      <w:r>
        <w:rPr>
          <w:rFonts w:ascii="宋体" w:eastAsia="宋体" w:hAnsi="宋体" w:cs="宋体"/>
          <w:spacing w:val="-2"/>
          <w:sz w:val="22"/>
          <w:szCs w:val="22"/>
        </w:rPr>
        <w:t>月，平均泌乳量约800mL/d,</w:t>
      </w:r>
      <w:r>
        <w:rPr>
          <w:rFonts w:ascii="宋体" w:eastAsia="宋体" w:hAnsi="宋体" w:cs="宋体"/>
          <w:spacing w:val="58"/>
          <w:sz w:val="22"/>
          <w:szCs w:val="22"/>
        </w:rPr>
        <w:t xml:space="preserve"> </w:t>
      </w:r>
      <w:r>
        <w:rPr>
          <w:rFonts w:ascii="宋体" w:eastAsia="宋体" w:hAnsi="宋体" w:cs="宋体"/>
          <w:spacing w:val="-2"/>
          <w:sz w:val="22"/>
          <w:szCs w:val="22"/>
        </w:rPr>
        <w:t>则泌乳能量消耗为2.85MJ/d(680kcal/d);</w:t>
      </w:r>
      <w:r>
        <w:rPr>
          <w:rFonts w:ascii="宋体" w:eastAsia="宋体" w:hAnsi="宋体" w:cs="宋体"/>
          <w:spacing w:val="32"/>
          <w:sz w:val="22"/>
          <w:szCs w:val="22"/>
        </w:rPr>
        <w:t xml:space="preserve"> </w:t>
      </w:r>
      <w:r>
        <w:rPr>
          <w:rFonts w:ascii="宋体" w:eastAsia="宋体" w:hAnsi="宋体" w:cs="宋体"/>
          <w:spacing w:val="-2"/>
          <w:sz w:val="22"/>
          <w:szCs w:val="22"/>
        </w:rPr>
        <w:t>后</w:t>
      </w:r>
      <w:r>
        <w:rPr>
          <w:rFonts w:ascii="宋体" w:eastAsia="宋体" w:hAnsi="宋体" w:cs="宋体"/>
          <w:spacing w:val="-38"/>
          <w:sz w:val="22"/>
          <w:szCs w:val="22"/>
        </w:rPr>
        <w:t xml:space="preserve"> </w:t>
      </w:r>
      <w:r>
        <w:rPr>
          <w:rFonts w:ascii="宋体" w:eastAsia="宋体" w:hAnsi="宋体" w:cs="宋体"/>
          <w:spacing w:val="-2"/>
          <w:sz w:val="22"/>
          <w:szCs w:val="22"/>
        </w:rPr>
        <w:t>6</w:t>
      </w:r>
      <w:r>
        <w:rPr>
          <w:rFonts w:ascii="宋体" w:eastAsia="宋体" w:hAnsi="宋体" w:cs="宋体"/>
          <w:sz w:val="22"/>
          <w:szCs w:val="22"/>
        </w:rPr>
        <w:t xml:space="preserve">  </w:t>
      </w:r>
      <w:r>
        <w:rPr>
          <w:rFonts w:ascii="宋体" w:eastAsia="宋体" w:hAnsi="宋体" w:cs="宋体"/>
          <w:spacing w:val="-5"/>
          <w:sz w:val="22"/>
          <w:szCs w:val="22"/>
        </w:rPr>
        <w:t>个月平均泌乳量为600mL/d,</w:t>
      </w:r>
      <w:r>
        <w:rPr>
          <w:rFonts w:ascii="宋体" w:eastAsia="宋体" w:hAnsi="宋体" w:cs="宋体"/>
          <w:spacing w:val="42"/>
          <w:sz w:val="22"/>
          <w:szCs w:val="22"/>
        </w:rPr>
        <w:t xml:space="preserve"> </w:t>
      </w:r>
      <w:r>
        <w:rPr>
          <w:rFonts w:ascii="宋体" w:eastAsia="宋体" w:hAnsi="宋体" w:cs="宋体"/>
          <w:spacing w:val="-5"/>
          <w:sz w:val="22"/>
          <w:szCs w:val="22"/>
        </w:rPr>
        <w:t>则泌乳能量消耗为2.14MJ/d(</w:t>
      </w:r>
      <w:r>
        <w:rPr>
          <w:rFonts w:ascii="宋体" w:eastAsia="宋体" w:hAnsi="宋体" w:cs="宋体"/>
          <w:spacing w:val="-6"/>
          <w:sz w:val="22"/>
          <w:szCs w:val="22"/>
        </w:rPr>
        <w:t>510</w:t>
      </w:r>
      <w:r>
        <w:rPr>
          <w:rFonts w:ascii="宋体" w:eastAsia="宋体" w:hAnsi="宋体" w:cs="宋体"/>
          <w:spacing w:val="-5"/>
          <w:sz w:val="22"/>
          <w:szCs w:val="22"/>
        </w:rPr>
        <w:t>kcal</w:t>
      </w:r>
      <w:r>
        <w:rPr>
          <w:rFonts w:ascii="宋体" w:eastAsia="宋体" w:hAnsi="宋体" w:cs="宋体"/>
          <w:spacing w:val="-6"/>
          <w:sz w:val="22"/>
          <w:szCs w:val="22"/>
        </w:rPr>
        <w:t>/d)。</w:t>
      </w:r>
      <w:r>
        <w:rPr>
          <w:rFonts w:ascii="宋体" w:eastAsia="宋体" w:hAnsi="宋体" w:cs="宋体"/>
          <w:spacing w:val="64"/>
          <w:sz w:val="22"/>
          <w:szCs w:val="22"/>
        </w:rPr>
        <w:t xml:space="preserve"> </w:t>
      </w:r>
      <w:r>
        <w:rPr>
          <w:rFonts w:ascii="宋体" w:eastAsia="宋体" w:hAnsi="宋体" w:cs="宋体"/>
          <w:spacing w:val="-6"/>
          <w:sz w:val="22"/>
          <w:szCs w:val="22"/>
        </w:rPr>
        <w:t>妊娠</w:t>
      </w:r>
      <w:r>
        <w:rPr>
          <w:rFonts w:ascii="宋体" w:eastAsia="宋体" w:hAnsi="宋体" w:cs="宋体"/>
          <w:sz w:val="22"/>
          <w:szCs w:val="22"/>
        </w:rPr>
        <w:t xml:space="preserve">  </w:t>
      </w:r>
      <w:r>
        <w:rPr>
          <w:rFonts w:ascii="宋体" w:eastAsia="宋体" w:hAnsi="宋体" w:cs="宋体"/>
          <w:spacing w:val="-5"/>
          <w:sz w:val="22"/>
          <w:szCs w:val="22"/>
        </w:rPr>
        <w:t>期间体重增加在正常范围的妇女，体内储备约</w:t>
      </w:r>
      <w:r>
        <w:rPr>
          <w:rFonts w:ascii="宋体" w:eastAsia="宋体" w:hAnsi="宋体" w:cs="宋体"/>
          <w:spacing w:val="-6"/>
          <w:sz w:val="22"/>
          <w:szCs w:val="22"/>
        </w:rPr>
        <w:t>4</w:t>
      </w:r>
      <w:r>
        <w:rPr>
          <w:rFonts w:ascii="宋体" w:eastAsia="宋体" w:hAnsi="宋体" w:cs="宋体"/>
          <w:spacing w:val="-5"/>
          <w:sz w:val="22"/>
          <w:szCs w:val="22"/>
        </w:rPr>
        <w:t>kg</w:t>
      </w:r>
      <w:r>
        <w:rPr>
          <w:rFonts w:ascii="宋体" w:eastAsia="宋体" w:hAnsi="宋体" w:cs="宋体"/>
          <w:spacing w:val="-44"/>
          <w:sz w:val="22"/>
          <w:szCs w:val="22"/>
        </w:rPr>
        <w:t xml:space="preserve"> </w:t>
      </w:r>
      <w:r>
        <w:rPr>
          <w:rFonts w:ascii="宋体" w:eastAsia="宋体" w:hAnsi="宋体" w:cs="宋体"/>
          <w:spacing w:val="-6"/>
          <w:sz w:val="22"/>
          <w:szCs w:val="22"/>
        </w:rPr>
        <w:t>的脂肪，在哺乳过程中可以</w:t>
      </w:r>
      <w:r>
        <w:rPr>
          <w:rFonts w:ascii="宋体" w:eastAsia="宋体" w:hAnsi="宋体" w:cs="宋体"/>
          <w:sz w:val="22"/>
          <w:szCs w:val="22"/>
        </w:rPr>
        <w:t xml:space="preserve">  </w:t>
      </w:r>
      <w:r>
        <w:rPr>
          <w:rFonts w:ascii="宋体" w:eastAsia="宋体" w:hAnsi="宋体" w:cs="宋体"/>
          <w:spacing w:val="-7"/>
          <w:sz w:val="22"/>
          <w:szCs w:val="22"/>
        </w:rPr>
        <w:t>逐步消耗，平均可提供能量418～837kJ/d(100～200kcal/d</w:t>
      </w:r>
      <w:r>
        <w:rPr>
          <w:rFonts w:ascii="宋体" w:eastAsia="宋体" w:hAnsi="宋体" w:cs="宋体"/>
          <w:spacing w:val="-8"/>
          <w:sz w:val="22"/>
          <w:szCs w:val="22"/>
        </w:rPr>
        <w:t>)。</w:t>
      </w:r>
      <w:r>
        <w:rPr>
          <w:rFonts w:ascii="宋体" w:eastAsia="宋体" w:hAnsi="宋体" w:cs="宋体"/>
          <w:sz w:val="22"/>
          <w:szCs w:val="22"/>
        </w:rPr>
        <w:t xml:space="preserve"> </w:t>
      </w:r>
      <w:r>
        <w:rPr>
          <w:rFonts w:ascii="宋体" w:eastAsia="宋体" w:hAnsi="宋体" w:cs="宋体"/>
          <w:spacing w:val="-8"/>
          <w:sz w:val="22"/>
          <w:szCs w:val="22"/>
        </w:rPr>
        <w:t>除从体脂分解获</w:t>
      </w:r>
      <w:r>
        <w:rPr>
          <w:rFonts w:ascii="宋体" w:eastAsia="宋体" w:hAnsi="宋体" w:cs="宋体"/>
          <w:sz w:val="22"/>
          <w:szCs w:val="22"/>
        </w:rPr>
        <w:t xml:space="preserve"> </w:t>
      </w:r>
      <w:r>
        <w:rPr>
          <w:rFonts w:ascii="宋体" w:eastAsia="宋体" w:hAnsi="宋体" w:cs="宋体"/>
          <w:spacing w:val="-8"/>
          <w:sz w:val="22"/>
          <w:szCs w:val="22"/>
        </w:rPr>
        <w:t>得的能量外，每日泌乳需从食物中补充2.09MJ(500kcal)。</w:t>
      </w:r>
      <w:r>
        <w:rPr>
          <w:rFonts w:ascii="宋体" w:eastAsia="宋体" w:hAnsi="宋体" w:cs="宋体"/>
          <w:spacing w:val="85"/>
          <w:sz w:val="22"/>
          <w:szCs w:val="22"/>
        </w:rPr>
        <w:t xml:space="preserve"> </w:t>
      </w:r>
      <w:r>
        <w:rPr>
          <w:rFonts w:ascii="宋体" w:eastAsia="宋体" w:hAnsi="宋体" w:cs="宋体"/>
          <w:spacing w:val="-8"/>
          <w:sz w:val="22"/>
          <w:szCs w:val="22"/>
        </w:rPr>
        <w:t>正常哺乳的乳母通</w:t>
      </w:r>
      <w:r>
        <w:rPr>
          <w:rFonts w:ascii="宋体" w:eastAsia="宋体" w:hAnsi="宋体" w:cs="宋体"/>
          <w:sz w:val="22"/>
          <w:szCs w:val="22"/>
        </w:rPr>
        <w:t xml:space="preserve">  </w:t>
      </w:r>
      <w:r>
        <w:rPr>
          <w:rFonts w:ascii="宋体" w:eastAsia="宋体" w:hAnsi="宋体" w:cs="宋体"/>
          <w:spacing w:val="1"/>
          <w:sz w:val="22"/>
          <w:szCs w:val="22"/>
        </w:rPr>
        <w:t>常体重下降为0.5～1.0</w:t>
      </w:r>
      <w:r>
        <w:rPr>
          <w:rFonts w:ascii="宋体" w:eastAsia="宋体" w:hAnsi="宋体" w:cs="宋体"/>
          <w:sz w:val="22"/>
          <w:szCs w:val="22"/>
        </w:rPr>
        <w:t>kg</w:t>
      </w:r>
      <w:r>
        <w:rPr>
          <w:rFonts w:ascii="宋体" w:eastAsia="宋体" w:hAnsi="宋体" w:cs="宋体"/>
          <w:spacing w:val="1"/>
          <w:sz w:val="22"/>
          <w:szCs w:val="22"/>
        </w:rPr>
        <w:t>/月为宜。但对超体重的哺乳期</w:t>
      </w:r>
      <w:r>
        <w:rPr>
          <w:rFonts w:ascii="宋体" w:eastAsia="宋体" w:hAnsi="宋体" w:cs="宋体"/>
          <w:sz w:val="22"/>
          <w:szCs w:val="22"/>
        </w:rPr>
        <w:t>妇女(体质指数BMI</w:t>
      </w:r>
    </w:p>
    <w:p w:rsidR="00EA40A3" w:rsidRDefault="00E86C16">
      <w:pPr>
        <w:spacing w:before="98"/>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4"/>
          <w:sz w:val="18"/>
          <w:szCs w:val="18"/>
        </w:rPr>
        <w:t xml:space="preserve"> </w:t>
      </w:r>
      <w:r>
        <w:rPr>
          <w:rFonts w:ascii="宋体" w:eastAsia="宋体" w:hAnsi="宋体" w:cs="宋体"/>
          <w:spacing w:val="-29"/>
          <w:sz w:val="18"/>
          <w:szCs w:val="18"/>
        </w:rPr>
        <w:t>308</w:t>
      </w:r>
      <w:r>
        <w:rPr>
          <w:rFonts w:ascii="宋体" w:eastAsia="宋体" w:hAnsi="宋体" w:cs="宋体"/>
          <w:spacing w:val="42"/>
          <w:w w:val="101"/>
          <w:sz w:val="18"/>
          <w:szCs w:val="18"/>
        </w:rPr>
        <w:t xml:space="preserve"> </w:t>
      </w:r>
      <w:r>
        <w:rPr>
          <w:rFonts w:ascii="宋体" w:eastAsia="宋体" w:hAnsi="宋体" w:cs="宋体"/>
          <w:spacing w:val="-29"/>
          <w:sz w:val="18"/>
          <w:szCs w:val="18"/>
        </w:rPr>
        <w:t>·</w:t>
      </w:r>
    </w:p>
    <w:p w:rsidR="00EA40A3" w:rsidRDefault="00EA40A3">
      <w:pPr>
        <w:sectPr w:rsidR="00EA40A3">
          <w:footerReference w:type="default" r:id="rId259"/>
          <w:pgSz w:w="9220" w:h="13360"/>
          <w:pgMar w:top="400" w:right="1049" w:bottom="400" w:left="829" w:header="0" w:footer="0" w:gutter="0"/>
          <w:cols w:space="720"/>
        </w:sectPr>
      </w:pPr>
    </w:p>
    <w:p w:rsidR="00EA40A3" w:rsidRDefault="00EA40A3">
      <w:pPr>
        <w:spacing w:line="296" w:lineRule="auto"/>
      </w:pPr>
    </w:p>
    <w:p w:rsidR="00EA40A3" w:rsidRDefault="00EA40A3">
      <w:pPr>
        <w:spacing w:line="297" w:lineRule="auto"/>
      </w:pPr>
    </w:p>
    <w:p w:rsidR="00EA40A3" w:rsidRDefault="00E86C16">
      <w:pPr>
        <w:spacing w:before="72" w:line="234" w:lineRule="auto"/>
        <w:ind w:right="87"/>
        <w:rPr>
          <w:rFonts w:ascii="宋体" w:eastAsia="宋体" w:hAnsi="宋体" w:cs="宋体"/>
          <w:sz w:val="22"/>
          <w:szCs w:val="22"/>
        </w:rPr>
      </w:pPr>
      <w:r>
        <w:rPr>
          <w:rFonts w:ascii="宋体" w:eastAsia="宋体" w:hAnsi="宋体" w:cs="宋体"/>
          <w:sz w:val="22"/>
          <w:szCs w:val="22"/>
        </w:rPr>
        <w:t>在25～30)的一项研究中发现，在分娩后的4～14周中通过</w:t>
      </w:r>
      <w:r>
        <w:rPr>
          <w:rFonts w:ascii="宋体" w:eastAsia="宋体" w:hAnsi="宋体" w:cs="宋体"/>
          <w:spacing w:val="-1"/>
          <w:sz w:val="22"/>
          <w:szCs w:val="22"/>
        </w:rPr>
        <w:t>减少能量摄入，每</w:t>
      </w:r>
      <w:r>
        <w:rPr>
          <w:rFonts w:ascii="宋体" w:eastAsia="宋体" w:hAnsi="宋体" w:cs="宋体"/>
          <w:sz w:val="22"/>
          <w:szCs w:val="22"/>
        </w:rPr>
        <w:t xml:space="preserve"> </w:t>
      </w:r>
      <w:r>
        <w:rPr>
          <w:rFonts w:ascii="宋体" w:eastAsia="宋体" w:hAnsi="宋体" w:cs="宋体"/>
          <w:spacing w:val="-10"/>
          <w:sz w:val="22"/>
          <w:szCs w:val="22"/>
        </w:rPr>
        <w:t>周减轻体重0.5kg,</w:t>
      </w:r>
      <w:r>
        <w:rPr>
          <w:rFonts w:ascii="宋体" w:eastAsia="宋体" w:hAnsi="宋体" w:cs="宋体"/>
          <w:spacing w:val="2"/>
          <w:sz w:val="22"/>
          <w:szCs w:val="22"/>
        </w:rPr>
        <w:t xml:space="preserve"> </w:t>
      </w:r>
      <w:r>
        <w:rPr>
          <w:rFonts w:ascii="宋体" w:eastAsia="宋体" w:hAnsi="宋体" w:cs="宋体"/>
          <w:spacing w:val="-10"/>
          <w:sz w:val="22"/>
          <w:szCs w:val="22"/>
        </w:rPr>
        <w:t>对乳母自身以及婴儿的生长均无不良影响。</w:t>
      </w:r>
    </w:p>
    <w:p w:rsidR="00EA40A3" w:rsidRDefault="00E86C16">
      <w:pPr>
        <w:spacing w:before="62" w:line="230" w:lineRule="auto"/>
        <w:ind w:right="81" w:firstLine="419"/>
        <w:rPr>
          <w:rFonts w:ascii="宋体" w:eastAsia="宋体" w:hAnsi="宋体" w:cs="宋体"/>
          <w:sz w:val="22"/>
          <w:szCs w:val="22"/>
        </w:rPr>
      </w:pPr>
      <w:r>
        <w:rPr>
          <w:rFonts w:ascii="宋体" w:eastAsia="宋体" w:hAnsi="宋体" w:cs="宋体"/>
          <w:spacing w:val="-5"/>
          <w:sz w:val="22"/>
          <w:szCs w:val="22"/>
        </w:rPr>
        <w:t>我国营养学会2000年修订的DRI</w:t>
      </w:r>
      <w:r>
        <w:rPr>
          <w:rFonts w:ascii="宋体" w:eastAsia="宋体" w:hAnsi="宋体" w:cs="宋体"/>
          <w:spacing w:val="-26"/>
          <w:sz w:val="22"/>
          <w:szCs w:val="22"/>
        </w:rPr>
        <w:t xml:space="preserve"> </w:t>
      </w:r>
      <w:r>
        <w:rPr>
          <w:rFonts w:ascii="宋体" w:eastAsia="宋体" w:hAnsi="宋体" w:cs="宋体"/>
          <w:spacing w:val="-5"/>
          <w:sz w:val="22"/>
          <w:szCs w:val="22"/>
        </w:rPr>
        <w:t>建议乳母膳食每日的能供给量是在非</w:t>
      </w:r>
      <w:r>
        <w:rPr>
          <w:rFonts w:ascii="宋体" w:eastAsia="宋体" w:hAnsi="宋体" w:cs="宋体"/>
          <w:spacing w:val="-6"/>
          <w:sz w:val="22"/>
          <w:szCs w:val="22"/>
        </w:rPr>
        <w:t>妊娠</w:t>
      </w:r>
      <w:r>
        <w:rPr>
          <w:rFonts w:ascii="宋体" w:eastAsia="宋体" w:hAnsi="宋体" w:cs="宋体"/>
          <w:sz w:val="22"/>
          <w:szCs w:val="22"/>
        </w:rPr>
        <w:t xml:space="preserve"> </w:t>
      </w:r>
      <w:r>
        <w:rPr>
          <w:rFonts w:ascii="宋体" w:eastAsia="宋体" w:hAnsi="宋体" w:cs="宋体"/>
          <w:spacing w:val="-5"/>
          <w:sz w:val="22"/>
          <w:szCs w:val="22"/>
        </w:rPr>
        <w:t>基础上外加2.09</w:t>
      </w:r>
      <w:r>
        <w:rPr>
          <w:rFonts w:ascii="宋体" w:eastAsia="宋体" w:hAnsi="宋体" w:cs="宋体"/>
          <w:spacing w:val="-6"/>
          <w:sz w:val="22"/>
          <w:szCs w:val="22"/>
        </w:rPr>
        <w:t xml:space="preserve"> </w:t>
      </w:r>
      <w:r>
        <w:rPr>
          <w:rFonts w:ascii="宋体" w:eastAsia="宋体" w:hAnsi="宋体" w:cs="宋体"/>
          <w:spacing w:val="-5"/>
          <w:sz w:val="22"/>
          <w:szCs w:val="22"/>
        </w:rPr>
        <w:t>MJ/d(500kcal/d)。</w:t>
      </w:r>
    </w:p>
    <w:p w:rsidR="00EA40A3" w:rsidRDefault="00E86C16">
      <w:pPr>
        <w:spacing w:before="213" w:line="224" w:lineRule="auto"/>
        <w:rPr>
          <w:rFonts w:ascii="仿宋" w:eastAsia="仿宋" w:hAnsi="仿宋" w:cs="仿宋"/>
          <w:sz w:val="22"/>
          <w:szCs w:val="22"/>
        </w:rPr>
      </w:pPr>
      <w:r>
        <w:rPr>
          <w:rFonts w:ascii="仿宋" w:eastAsia="仿宋" w:hAnsi="仿宋" w:cs="仿宋"/>
          <w:spacing w:val="6"/>
          <w:sz w:val="22"/>
          <w:szCs w:val="22"/>
        </w:rPr>
        <w:t>2.</w:t>
      </w:r>
      <w:r>
        <w:rPr>
          <w:rFonts w:ascii="仿宋" w:eastAsia="仿宋" w:hAnsi="仿宋" w:cs="仿宋"/>
          <w:spacing w:val="-9"/>
          <w:sz w:val="22"/>
          <w:szCs w:val="22"/>
        </w:rPr>
        <w:t xml:space="preserve"> </w:t>
      </w:r>
      <w:r>
        <w:rPr>
          <w:rFonts w:ascii="仿宋" w:eastAsia="仿宋" w:hAnsi="仿宋" w:cs="仿宋"/>
          <w:spacing w:val="6"/>
          <w:sz w:val="22"/>
          <w:szCs w:val="22"/>
        </w:rPr>
        <w:t>蛋白质</w:t>
      </w:r>
    </w:p>
    <w:p w:rsidR="00EA40A3" w:rsidRDefault="00E86C16">
      <w:pPr>
        <w:spacing w:before="203" w:line="248" w:lineRule="auto"/>
        <w:ind w:right="19" w:firstLine="419"/>
        <w:jc w:val="both"/>
        <w:rPr>
          <w:rFonts w:ascii="宋体" w:eastAsia="宋体" w:hAnsi="宋体" w:cs="宋体"/>
          <w:sz w:val="22"/>
          <w:szCs w:val="22"/>
        </w:rPr>
      </w:pPr>
      <w:r>
        <w:rPr>
          <w:rFonts w:ascii="宋体" w:eastAsia="宋体" w:hAnsi="宋体" w:cs="宋体"/>
          <w:spacing w:val="-12"/>
          <w:sz w:val="22"/>
          <w:szCs w:val="22"/>
        </w:rPr>
        <w:t>乳母在妊娠期体内储存蛋白质很少，并且泌乳</w:t>
      </w:r>
      <w:r>
        <w:rPr>
          <w:rFonts w:ascii="宋体" w:eastAsia="宋体" w:hAnsi="宋体" w:cs="宋体"/>
          <w:spacing w:val="-13"/>
          <w:sz w:val="22"/>
          <w:szCs w:val="22"/>
        </w:rPr>
        <w:t>过程可使体内氮代谢加速，因</w:t>
      </w:r>
      <w:r>
        <w:rPr>
          <w:rFonts w:ascii="宋体" w:eastAsia="宋体" w:hAnsi="宋体" w:cs="宋体"/>
          <w:sz w:val="22"/>
          <w:szCs w:val="22"/>
        </w:rPr>
        <w:t xml:space="preserve"> </w:t>
      </w:r>
      <w:r>
        <w:rPr>
          <w:rFonts w:ascii="宋体" w:eastAsia="宋体" w:hAnsi="宋体" w:cs="宋体"/>
          <w:spacing w:val="-13"/>
          <w:sz w:val="22"/>
          <w:szCs w:val="22"/>
        </w:rPr>
        <w:t>此，在哺乳期间乳母对蛋白质的需要仍旧维持在较高水平，而且对乳汁分泌的影</w:t>
      </w:r>
      <w:r>
        <w:rPr>
          <w:rFonts w:ascii="宋体" w:eastAsia="宋体" w:hAnsi="宋体" w:cs="宋体"/>
          <w:spacing w:val="12"/>
          <w:sz w:val="22"/>
          <w:szCs w:val="22"/>
        </w:rPr>
        <w:t xml:space="preserve"> </w:t>
      </w:r>
      <w:r>
        <w:rPr>
          <w:rFonts w:ascii="宋体" w:eastAsia="宋体" w:hAnsi="宋体" w:cs="宋体"/>
          <w:spacing w:val="4"/>
          <w:sz w:val="22"/>
          <w:szCs w:val="22"/>
        </w:rPr>
        <w:t>响很大。母乳蛋白质含量平均为1.1%～1.2%</w:t>
      </w:r>
      <w:r>
        <w:rPr>
          <w:rFonts w:ascii="宋体" w:eastAsia="宋体" w:hAnsi="宋体" w:cs="宋体"/>
          <w:spacing w:val="3"/>
          <w:sz w:val="22"/>
          <w:szCs w:val="22"/>
        </w:rPr>
        <w:t>,若每日泌乳800</w:t>
      </w:r>
      <w:r>
        <w:rPr>
          <w:rFonts w:ascii="宋体" w:eastAsia="宋体" w:hAnsi="宋体" w:cs="宋体"/>
          <w:sz w:val="22"/>
          <w:szCs w:val="22"/>
        </w:rPr>
        <w:t>mL</w:t>
      </w:r>
      <w:r>
        <w:rPr>
          <w:rFonts w:ascii="宋体" w:eastAsia="宋体" w:hAnsi="宋体" w:cs="宋体"/>
          <w:spacing w:val="3"/>
          <w:sz w:val="22"/>
          <w:szCs w:val="22"/>
        </w:rPr>
        <w:t>,</w:t>
      </w:r>
      <w:r>
        <w:rPr>
          <w:rFonts w:ascii="宋体" w:eastAsia="宋体" w:hAnsi="宋体" w:cs="宋体"/>
          <w:spacing w:val="62"/>
          <w:sz w:val="22"/>
          <w:szCs w:val="22"/>
        </w:rPr>
        <w:t xml:space="preserve"> </w:t>
      </w:r>
      <w:r>
        <w:rPr>
          <w:rFonts w:ascii="宋体" w:eastAsia="宋体" w:hAnsi="宋体" w:cs="宋体"/>
          <w:spacing w:val="3"/>
          <w:sz w:val="22"/>
          <w:szCs w:val="22"/>
        </w:rPr>
        <w:t>所含蛋白</w:t>
      </w:r>
      <w:r>
        <w:rPr>
          <w:rFonts w:ascii="宋体" w:eastAsia="宋体" w:hAnsi="宋体" w:cs="宋体"/>
          <w:sz w:val="22"/>
          <w:szCs w:val="22"/>
        </w:rPr>
        <w:t xml:space="preserve"> 质约为9.2g。母体膳食蛋白质转变为乳汁蛋白质的有效率为70%,每日提供</w:t>
      </w:r>
      <w:r>
        <w:rPr>
          <w:rFonts w:ascii="宋体" w:eastAsia="宋体" w:hAnsi="宋体" w:cs="宋体"/>
          <w:spacing w:val="-1"/>
          <w:sz w:val="22"/>
          <w:szCs w:val="22"/>
        </w:rPr>
        <w:t>优</w:t>
      </w:r>
      <w:r>
        <w:rPr>
          <w:rFonts w:ascii="宋体" w:eastAsia="宋体" w:hAnsi="宋体" w:cs="宋体"/>
          <w:sz w:val="22"/>
          <w:szCs w:val="22"/>
        </w:rPr>
        <w:t xml:space="preserve"> </w:t>
      </w:r>
      <w:r>
        <w:rPr>
          <w:rFonts w:ascii="宋体" w:eastAsia="宋体" w:hAnsi="宋体" w:cs="宋体"/>
          <w:spacing w:val="-10"/>
          <w:sz w:val="22"/>
          <w:szCs w:val="22"/>
        </w:rPr>
        <w:t>质的蛋白质应在13g</w:t>
      </w:r>
      <w:r>
        <w:rPr>
          <w:rFonts w:ascii="宋体" w:eastAsia="宋体" w:hAnsi="宋体" w:cs="宋体"/>
          <w:spacing w:val="-21"/>
          <w:sz w:val="22"/>
          <w:szCs w:val="22"/>
        </w:rPr>
        <w:t xml:space="preserve"> </w:t>
      </w:r>
      <w:r>
        <w:rPr>
          <w:rFonts w:ascii="宋体" w:eastAsia="宋体" w:hAnsi="宋体" w:cs="宋体"/>
          <w:spacing w:val="-10"/>
          <w:sz w:val="22"/>
          <w:szCs w:val="22"/>
        </w:rPr>
        <w:t>以上，如果膳食蛋白质的生理价值不高，转变率可能更低，</w:t>
      </w:r>
      <w:r>
        <w:rPr>
          <w:rFonts w:ascii="宋体" w:eastAsia="宋体" w:hAnsi="宋体" w:cs="宋体"/>
          <w:sz w:val="22"/>
          <w:szCs w:val="22"/>
        </w:rPr>
        <w:t xml:space="preserve"> </w:t>
      </w:r>
      <w:r>
        <w:rPr>
          <w:rFonts w:ascii="宋体" w:eastAsia="宋体" w:hAnsi="宋体" w:cs="宋体"/>
          <w:spacing w:val="-13"/>
          <w:sz w:val="22"/>
          <w:szCs w:val="22"/>
        </w:rPr>
        <w:t>则对蛋白质的需要量更高。因此，除满足母体正常需要外，每日需额外增加一定</w:t>
      </w:r>
      <w:r>
        <w:rPr>
          <w:rFonts w:ascii="宋体" w:eastAsia="宋体" w:hAnsi="宋体" w:cs="宋体"/>
          <w:spacing w:val="17"/>
          <w:sz w:val="22"/>
          <w:szCs w:val="22"/>
        </w:rPr>
        <w:t xml:space="preserve"> </w:t>
      </w:r>
      <w:r>
        <w:rPr>
          <w:rFonts w:ascii="宋体" w:eastAsia="宋体" w:hAnsi="宋体" w:cs="宋体"/>
          <w:spacing w:val="-13"/>
          <w:sz w:val="22"/>
          <w:szCs w:val="22"/>
        </w:rPr>
        <w:t>数量的蛋白质以保证泌乳的需要。当乳母膳食中蛋白质的质与量都不足时，虽然</w:t>
      </w:r>
      <w:r>
        <w:rPr>
          <w:rFonts w:ascii="宋体" w:eastAsia="宋体" w:hAnsi="宋体" w:cs="宋体"/>
          <w:spacing w:val="14"/>
          <w:sz w:val="22"/>
          <w:szCs w:val="22"/>
        </w:rPr>
        <w:t xml:space="preserve"> </w:t>
      </w:r>
      <w:r>
        <w:rPr>
          <w:rFonts w:ascii="宋体" w:eastAsia="宋体" w:hAnsi="宋体" w:cs="宋体"/>
          <w:spacing w:val="-13"/>
          <w:sz w:val="22"/>
          <w:szCs w:val="22"/>
        </w:rPr>
        <w:t>乳汁中蛋白质组成变化不大，但乳汁分泌量却大为减少，同时还将动用</w:t>
      </w:r>
      <w:r>
        <w:rPr>
          <w:rFonts w:ascii="宋体" w:eastAsia="宋体" w:hAnsi="宋体" w:cs="宋体"/>
          <w:spacing w:val="-14"/>
          <w:sz w:val="22"/>
          <w:szCs w:val="22"/>
        </w:rPr>
        <w:t>乳母组织</w:t>
      </w:r>
      <w:r>
        <w:rPr>
          <w:rFonts w:ascii="宋体" w:eastAsia="宋体" w:hAnsi="宋体" w:cs="宋体"/>
          <w:sz w:val="22"/>
          <w:szCs w:val="22"/>
        </w:rPr>
        <w:t xml:space="preserve"> </w:t>
      </w:r>
      <w:r>
        <w:rPr>
          <w:rFonts w:ascii="宋体" w:eastAsia="宋体" w:hAnsi="宋体" w:cs="宋体"/>
          <w:spacing w:val="-15"/>
          <w:sz w:val="22"/>
          <w:szCs w:val="22"/>
        </w:rPr>
        <w:t>蛋白以维持乳汁中成分的恒定。</w:t>
      </w:r>
    </w:p>
    <w:p w:rsidR="00EA40A3" w:rsidRDefault="00E86C16">
      <w:pPr>
        <w:spacing w:before="118" w:line="230" w:lineRule="auto"/>
        <w:ind w:right="72" w:firstLine="419"/>
        <w:rPr>
          <w:rFonts w:ascii="宋体" w:eastAsia="宋体" w:hAnsi="宋体" w:cs="宋体"/>
          <w:sz w:val="22"/>
          <w:szCs w:val="22"/>
        </w:rPr>
      </w:pPr>
      <w:r>
        <w:rPr>
          <w:rFonts w:ascii="宋体" w:eastAsia="宋体" w:hAnsi="宋体" w:cs="宋体"/>
          <w:spacing w:val="-11"/>
          <w:sz w:val="22"/>
          <w:szCs w:val="22"/>
        </w:rPr>
        <w:t>我国营养学会推荐，乳母每日膳食中蛋白质摄入量</w:t>
      </w:r>
      <w:r>
        <w:rPr>
          <w:rFonts w:ascii="宋体" w:eastAsia="宋体" w:hAnsi="宋体" w:cs="宋体"/>
          <w:spacing w:val="-7"/>
          <w:sz w:val="22"/>
          <w:szCs w:val="22"/>
        </w:rPr>
        <w:t xml:space="preserve"> </w:t>
      </w:r>
      <w:r>
        <w:rPr>
          <w:rFonts w:ascii="宋体" w:eastAsia="宋体" w:hAnsi="宋体" w:cs="宋体"/>
          <w:spacing w:val="-11"/>
          <w:sz w:val="22"/>
          <w:szCs w:val="22"/>
        </w:rPr>
        <w:t>(RNI)</w:t>
      </w:r>
      <w:r>
        <w:rPr>
          <w:rFonts w:ascii="宋体" w:eastAsia="宋体" w:hAnsi="宋体" w:cs="宋体"/>
          <w:spacing w:val="77"/>
          <w:sz w:val="22"/>
          <w:szCs w:val="22"/>
        </w:rPr>
        <w:t xml:space="preserve"> </w:t>
      </w:r>
      <w:r>
        <w:rPr>
          <w:rFonts w:ascii="宋体" w:eastAsia="宋体" w:hAnsi="宋体" w:cs="宋体"/>
          <w:spacing w:val="-11"/>
          <w:sz w:val="22"/>
          <w:szCs w:val="22"/>
        </w:rPr>
        <w:t>应较正常妇女增</w:t>
      </w:r>
      <w:r>
        <w:rPr>
          <w:rFonts w:ascii="宋体" w:eastAsia="宋体" w:hAnsi="宋体" w:cs="宋体"/>
          <w:sz w:val="22"/>
          <w:szCs w:val="22"/>
        </w:rPr>
        <w:t xml:space="preserve"> </w:t>
      </w:r>
      <w:r>
        <w:rPr>
          <w:rFonts w:ascii="宋体" w:eastAsia="宋体" w:hAnsi="宋体" w:cs="宋体"/>
          <w:spacing w:val="-8"/>
          <w:sz w:val="22"/>
          <w:szCs w:val="22"/>
        </w:rPr>
        <w:t>加20g,</w:t>
      </w:r>
      <w:r>
        <w:rPr>
          <w:rFonts w:ascii="宋体" w:eastAsia="宋体" w:hAnsi="宋体" w:cs="宋体"/>
          <w:spacing w:val="-3"/>
          <w:sz w:val="22"/>
          <w:szCs w:val="22"/>
        </w:rPr>
        <w:t xml:space="preserve"> </w:t>
      </w:r>
      <w:r>
        <w:rPr>
          <w:rFonts w:ascii="宋体" w:eastAsia="宋体" w:hAnsi="宋体" w:cs="宋体"/>
          <w:spacing w:val="-8"/>
          <w:sz w:val="22"/>
          <w:szCs w:val="22"/>
        </w:rPr>
        <w:t>其中一部分应为优质蛋白质。</w:t>
      </w:r>
    </w:p>
    <w:p w:rsidR="00EA40A3" w:rsidRDefault="00E86C16">
      <w:pPr>
        <w:spacing w:before="211" w:line="223" w:lineRule="auto"/>
        <w:rPr>
          <w:rFonts w:ascii="仿宋" w:eastAsia="仿宋" w:hAnsi="仿宋" w:cs="仿宋"/>
          <w:sz w:val="22"/>
          <w:szCs w:val="22"/>
        </w:rPr>
      </w:pPr>
      <w:r>
        <w:rPr>
          <w:rFonts w:ascii="仿宋" w:eastAsia="仿宋" w:hAnsi="仿宋" w:cs="仿宋"/>
          <w:spacing w:val="6"/>
          <w:sz w:val="22"/>
          <w:szCs w:val="22"/>
        </w:rPr>
        <w:t>3.</w:t>
      </w:r>
      <w:r>
        <w:rPr>
          <w:rFonts w:ascii="仿宋" w:eastAsia="仿宋" w:hAnsi="仿宋" w:cs="仿宋"/>
          <w:spacing w:val="-18"/>
          <w:sz w:val="22"/>
          <w:szCs w:val="22"/>
        </w:rPr>
        <w:t xml:space="preserve"> </w:t>
      </w:r>
      <w:r>
        <w:rPr>
          <w:rFonts w:ascii="仿宋" w:eastAsia="仿宋" w:hAnsi="仿宋" w:cs="仿宋"/>
          <w:spacing w:val="6"/>
          <w:sz w:val="22"/>
          <w:szCs w:val="22"/>
        </w:rPr>
        <w:t>脂肪</w:t>
      </w:r>
    </w:p>
    <w:p w:rsidR="00EA40A3" w:rsidRDefault="00E86C16">
      <w:pPr>
        <w:spacing w:before="205" w:line="247" w:lineRule="auto"/>
        <w:ind w:right="66" w:firstLine="419"/>
        <w:jc w:val="both"/>
        <w:rPr>
          <w:rFonts w:ascii="宋体" w:eastAsia="宋体" w:hAnsi="宋体" w:cs="宋体"/>
          <w:sz w:val="22"/>
          <w:szCs w:val="22"/>
        </w:rPr>
      </w:pPr>
      <w:r>
        <w:rPr>
          <w:rFonts w:ascii="宋体" w:eastAsia="宋体" w:hAnsi="宋体" w:cs="宋体"/>
          <w:spacing w:val="-13"/>
          <w:sz w:val="22"/>
          <w:szCs w:val="22"/>
        </w:rPr>
        <w:t>乳母膳食当中脂肪的组成及各种脂肪酸的比例与其分泌的乳汁的成分密切相</w:t>
      </w:r>
      <w:r>
        <w:rPr>
          <w:rFonts w:ascii="宋体" w:eastAsia="宋体" w:hAnsi="宋体" w:cs="宋体"/>
          <w:spacing w:val="15"/>
          <w:sz w:val="22"/>
          <w:szCs w:val="22"/>
        </w:rPr>
        <w:t xml:space="preserve"> </w:t>
      </w:r>
      <w:r>
        <w:rPr>
          <w:rFonts w:ascii="宋体" w:eastAsia="宋体" w:hAnsi="宋体" w:cs="宋体"/>
          <w:spacing w:val="-13"/>
          <w:sz w:val="22"/>
          <w:szCs w:val="22"/>
        </w:rPr>
        <w:t>关。如较多的动物性脂肪的摄入可能使得乳汁当中的饱和脂肪酸含量增高。另有</w:t>
      </w:r>
      <w:r>
        <w:rPr>
          <w:rFonts w:ascii="宋体" w:eastAsia="宋体" w:hAnsi="宋体" w:cs="宋体"/>
          <w:spacing w:val="14"/>
          <w:sz w:val="22"/>
          <w:szCs w:val="22"/>
        </w:rPr>
        <w:t xml:space="preserve"> </w:t>
      </w:r>
      <w:r>
        <w:rPr>
          <w:rFonts w:ascii="宋体" w:eastAsia="宋体" w:hAnsi="宋体" w:cs="宋体"/>
          <w:spacing w:val="-1"/>
          <w:sz w:val="22"/>
          <w:szCs w:val="22"/>
        </w:rPr>
        <w:t>研究表明，乳母膳食中不同二十二碳六烯酸</w:t>
      </w:r>
      <w:r>
        <w:rPr>
          <w:rFonts w:ascii="宋体" w:eastAsia="宋体" w:hAnsi="宋体" w:cs="宋体"/>
          <w:spacing w:val="-12"/>
          <w:sz w:val="22"/>
          <w:szCs w:val="22"/>
        </w:rPr>
        <w:t xml:space="preserve"> </w:t>
      </w:r>
      <w:r>
        <w:rPr>
          <w:rFonts w:ascii="宋体" w:eastAsia="宋体" w:hAnsi="宋体" w:cs="宋体"/>
          <w:spacing w:val="-1"/>
          <w:sz w:val="22"/>
          <w:szCs w:val="22"/>
        </w:rPr>
        <w:t>(DHA)</w:t>
      </w:r>
      <w:r>
        <w:rPr>
          <w:rFonts w:ascii="宋体" w:eastAsia="宋体" w:hAnsi="宋体" w:cs="宋体"/>
          <w:spacing w:val="33"/>
          <w:sz w:val="22"/>
          <w:szCs w:val="22"/>
        </w:rPr>
        <w:t xml:space="preserve">  </w:t>
      </w:r>
      <w:r>
        <w:rPr>
          <w:rFonts w:ascii="宋体" w:eastAsia="宋体" w:hAnsi="宋体" w:cs="宋体"/>
          <w:spacing w:val="-1"/>
          <w:sz w:val="22"/>
          <w:szCs w:val="22"/>
        </w:rPr>
        <w:t>摄入</w:t>
      </w:r>
      <w:r>
        <w:rPr>
          <w:rFonts w:ascii="宋体" w:eastAsia="宋体" w:hAnsi="宋体" w:cs="宋体"/>
          <w:spacing w:val="-2"/>
          <w:sz w:val="22"/>
          <w:szCs w:val="22"/>
        </w:rPr>
        <w:t>水平可影响乳汁中</w:t>
      </w:r>
      <w:r>
        <w:rPr>
          <w:rFonts w:ascii="宋体" w:eastAsia="宋体" w:hAnsi="宋体" w:cs="宋体"/>
          <w:sz w:val="22"/>
          <w:szCs w:val="22"/>
        </w:rPr>
        <w:t xml:space="preserve"> </w:t>
      </w:r>
      <w:r>
        <w:rPr>
          <w:rFonts w:ascii="宋体" w:eastAsia="宋体" w:hAnsi="宋体" w:cs="宋体"/>
          <w:spacing w:val="-6"/>
          <w:sz w:val="22"/>
          <w:szCs w:val="22"/>
        </w:rPr>
        <w:t>DHA</w:t>
      </w:r>
      <w:r>
        <w:rPr>
          <w:rFonts w:ascii="宋体" w:eastAsia="宋体" w:hAnsi="宋体" w:cs="宋体"/>
          <w:spacing w:val="104"/>
          <w:sz w:val="22"/>
          <w:szCs w:val="22"/>
        </w:rPr>
        <w:t xml:space="preserve"> </w:t>
      </w:r>
      <w:r>
        <w:rPr>
          <w:rFonts w:ascii="宋体" w:eastAsia="宋体" w:hAnsi="宋体" w:cs="宋体"/>
          <w:spacing w:val="-6"/>
          <w:sz w:val="22"/>
          <w:szCs w:val="22"/>
        </w:rPr>
        <w:t>的含量，并对婴儿早期发育和视功能产生影响，当乳母摄入DHA</w:t>
      </w:r>
      <w:r>
        <w:rPr>
          <w:rFonts w:ascii="宋体" w:eastAsia="宋体" w:hAnsi="宋体" w:cs="宋体"/>
          <w:spacing w:val="2"/>
          <w:sz w:val="22"/>
          <w:szCs w:val="22"/>
        </w:rPr>
        <w:t xml:space="preserve">  </w:t>
      </w:r>
      <w:r>
        <w:rPr>
          <w:rFonts w:ascii="宋体" w:eastAsia="宋体" w:hAnsi="宋体" w:cs="宋体"/>
          <w:spacing w:val="-6"/>
          <w:sz w:val="22"/>
          <w:szCs w:val="22"/>
        </w:rPr>
        <w:t>大于</w:t>
      </w:r>
      <w:r>
        <w:rPr>
          <w:rFonts w:ascii="宋体" w:eastAsia="宋体" w:hAnsi="宋体" w:cs="宋体"/>
          <w:spacing w:val="-7"/>
          <w:sz w:val="22"/>
          <w:szCs w:val="22"/>
        </w:rPr>
        <w:t>或</w:t>
      </w:r>
      <w:r>
        <w:rPr>
          <w:rFonts w:ascii="宋体" w:eastAsia="宋体" w:hAnsi="宋体" w:cs="宋体"/>
          <w:sz w:val="22"/>
          <w:szCs w:val="22"/>
        </w:rPr>
        <w:t xml:space="preserve"> </w:t>
      </w:r>
      <w:r>
        <w:rPr>
          <w:rFonts w:ascii="宋体" w:eastAsia="宋体" w:hAnsi="宋体" w:cs="宋体"/>
          <w:spacing w:val="-6"/>
          <w:sz w:val="22"/>
          <w:szCs w:val="22"/>
        </w:rPr>
        <w:t>等于160mg/d</w:t>
      </w:r>
      <w:r>
        <w:rPr>
          <w:rFonts w:ascii="宋体" w:eastAsia="宋体" w:hAnsi="宋体" w:cs="宋体"/>
          <w:spacing w:val="-28"/>
          <w:sz w:val="22"/>
          <w:szCs w:val="22"/>
        </w:rPr>
        <w:t xml:space="preserve"> </w:t>
      </w:r>
      <w:r>
        <w:rPr>
          <w:rFonts w:ascii="宋体" w:eastAsia="宋体" w:hAnsi="宋体" w:cs="宋体"/>
          <w:spacing w:val="-6"/>
          <w:sz w:val="22"/>
          <w:szCs w:val="22"/>
        </w:rPr>
        <w:t>时可促进母乳喂养的婴儿早期发育和视网膜发育。此外</w:t>
      </w:r>
      <w:r>
        <w:rPr>
          <w:rFonts w:ascii="宋体" w:eastAsia="宋体" w:hAnsi="宋体" w:cs="宋体"/>
          <w:spacing w:val="-7"/>
          <w:sz w:val="22"/>
          <w:szCs w:val="22"/>
        </w:rPr>
        <w:t>，人乳的</w:t>
      </w:r>
      <w:r>
        <w:rPr>
          <w:rFonts w:ascii="宋体" w:eastAsia="宋体" w:hAnsi="宋体" w:cs="宋体"/>
          <w:sz w:val="22"/>
          <w:szCs w:val="22"/>
        </w:rPr>
        <w:t xml:space="preserve"> </w:t>
      </w:r>
      <w:r>
        <w:rPr>
          <w:rFonts w:ascii="宋体" w:eastAsia="宋体" w:hAnsi="宋体" w:cs="宋体"/>
          <w:spacing w:val="-13"/>
          <w:sz w:val="22"/>
          <w:szCs w:val="22"/>
        </w:rPr>
        <w:t>脂肪含量在一天之内和每次哺乳期间均有变化，当每次哺乳临近结束时，奶中脂</w:t>
      </w:r>
      <w:r>
        <w:rPr>
          <w:rFonts w:ascii="宋体" w:eastAsia="宋体" w:hAnsi="宋体" w:cs="宋体"/>
          <w:spacing w:val="14"/>
          <w:sz w:val="22"/>
          <w:szCs w:val="22"/>
        </w:rPr>
        <w:t xml:space="preserve"> </w:t>
      </w:r>
      <w:r>
        <w:rPr>
          <w:rFonts w:ascii="宋体" w:eastAsia="宋体" w:hAnsi="宋体" w:cs="宋体"/>
          <w:spacing w:val="-15"/>
          <w:sz w:val="22"/>
          <w:szCs w:val="22"/>
        </w:rPr>
        <w:t>肪含量较高，有利于控制婴儿的食欲。</w:t>
      </w:r>
    </w:p>
    <w:p w:rsidR="00EA40A3" w:rsidRDefault="00E86C16">
      <w:pPr>
        <w:spacing w:before="99" w:line="237" w:lineRule="auto"/>
        <w:ind w:right="85" w:firstLine="419"/>
        <w:rPr>
          <w:rFonts w:ascii="宋体" w:eastAsia="宋体" w:hAnsi="宋体" w:cs="宋体"/>
          <w:sz w:val="22"/>
          <w:szCs w:val="22"/>
        </w:rPr>
      </w:pPr>
      <w:r>
        <w:rPr>
          <w:rFonts w:ascii="宋体" w:eastAsia="宋体" w:hAnsi="宋体" w:cs="宋体"/>
          <w:sz w:val="22"/>
          <w:szCs w:val="22"/>
        </w:rPr>
        <w:t>我国营养学会推荐乳母膳食脂肪的摄入量以其能量占总能量的20%～30%</w:t>
      </w:r>
      <w:r>
        <w:rPr>
          <w:rFonts w:ascii="宋体" w:eastAsia="宋体" w:hAnsi="宋体" w:cs="宋体"/>
          <w:spacing w:val="13"/>
          <w:sz w:val="22"/>
          <w:szCs w:val="22"/>
        </w:rPr>
        <w:t xml:space="preserve"> </w:t>
      </w:r>
      <w:r>
        <w:rPr>
          <w:rFonts w:ascii="宋体" w:eastAsia="宋体" w:hAnsi="宋体" w:cs="宋体"/>
          <w:spacing w:val="-10"/>
          <w:sz w:val="22"/>
          <w:szCs w:val="22"/>
        </w:rPr>
        <w:t>为宜。</w:t>
      </w:r>
    </w:p>
    <w:p w:rsidR="00EA40A3" w:rsidRDefault="00E86C16">
      <w:pPr>
        <w:spacing w:before="195" w:line="342" w:lineRule="exact"/>
        <w:rPr>
          <w:rFonts w:ascii="宋体" w:eastAsia="宋体" w:hAnsi="宋体" w:cs="宋体"/>
          <w:sz w:val="22"/>
          <w:szCs w:val="22"/>
        </w:rPr>
      </w:pPr>
      <w:r>
        <w:rPr>
          <w:rFonts w:ascii="宋体" w:eastAsia="宋体" w:hAnsi="宋体" w:cs="宋体"/>
          <w:spacing w:val="-3"/>
          <w:position w:val="9"/>
          <w:sz w:val="22"/>
          <w:szCs w:val="22"/>
        </w:rPr>
        <w:t>4.</w:t>
      </w:r>
      <w:r>
        <w:rPr>
          <w:rFonts w:ascii="宋体" w:eastAsia="宋体" w:hAnsi="宋体" w:cs="宋体"/>
          <w:spacing w:val="28"/>
          <w:position w:val="9"/>
          <w:sz w:val="22"/>
          <w:szCs w:val="22"/>
        </w:rPr>
        <w:t xml:space="preserve"> </w:t>
      </w:r>
      <w:r>
        <w:rPr>
          <w:rFonts w:ascii="宋体" w:eastAsia="宋体" w:hAnsi="宋体" w:cs="宋体"/>
          <w:spacing w:val="-3"/>
          <w:position w:val="9"/>
          <w:sz w:val="22"/>
          <w:szCs w:val="22"/>
        </w:rPr>
        <w:t>矿物质</w:t>
      </w:r>
    </w:p>
    <w:p w:rsidR="00EA40A3" w:rsidRDefault="00E86C16">
      <w:pPr>
        <w:spacing w:before="1" w:line="221" w:lineRule="auto"/>
        <w:rPr>
          <w:rFonts w:ascii="宋体" w:eastAsia="宋体" w:hAnsi="宋体" w:cs="宋体"/>
          <w:sz w:val="22"/>
          <w:szCs w:val="22"/>
        </w:rPr>
      </w:pPr>
      <w:r>
        <w:rPr>
          <w:rFonts w:ascii="宋体" w:eastAsia="宋体" w:hAnsi="宋体" w:cs="宋体"/>
          <w:spacing w:val="7"/>
          <w:sz w:val="22"/>
          <w:szCs w:val="22"/>
        </w:rPr>
        <w:t>1)钙</w:t>
      </w:r>
    </w:p>
    <w:p w:rsidR="00EA40A3" w:rsidRDefault="00E86C16">
      <w:pPr>
        <w:spacing w:before="93" w:line="252" w:lineRule="auto"/>
        <w:ind w:firstLine="419"/>
        <w:jc w:val="both"/>
        <w:rPr>
          <w:rFonts w:ascii="宋体" w:eastAsia="宋体" w:hAnsi="宋体" w:cs="宋体"/>
          <w:sz w:val="22"/>
          <w:szCs w:val="22"/>
        </w:rPr>
      </w:pPr>
      <w:r>
        <w:rPr>
          <w:rFonts w:ascii="宋体" w:eastAsia="宋体" w:hAnsi="宋体" w:cs="宋体"/>
          <w:spacing w:val="-17"/>
          <w:sz w:val="22"/>
          <w:szCs w:val="22"/>
        </w:rPr>
        <w:t>哺乳期钙从骨中的动员比妊娠期更多，</w:t>
      </w:r>
      <w:r>
        <w:rPr>
          <w:rFonts w:ascii="宋体" w:eastAsia="宋体" w:hAnsi="宋体" w:cs="宋体"/>
          <w:spacing w:val="52"/>
          <w:sz w:val="22"/>
          <w:szCs w:val="22"/>
        </w:rPr>
        <w:t xml:space="preserve"> </w:t>
      </w:r>
      <w:r>
        <w:rPr>
          <w:rFonts w:ascii="宋体" w:eastAsia="宋体" w:hAnsi="宋体" w:cs="宋体"/>
          <w:spacing w:val="-17"/>
          <w:sz w:val="22"/>
          <w:szCs w:val="22"/>
        </w:rPr>
        <w:t>一是为乳母本身需要，另一方面</w:t>
      </w:r>
      <w:r>
        <w:rPr>
          <w:rFonts w:ascii="宋体" w:eastAsia="宋体" w:hAnsi="宋体" w:cs="宋体"/>
          <w:spacing w:val="-18"/>
          <w:sz w:val="22"/>
          <w:szCs w:val="22"/>
        </w:rPr>
        <w:t>为满</w:t>
      </w:r>
      <w:r>
        <w:rPr>
          <w:rFonts w:ascii="宋体" w:eastAsia="宋体" w:hAnsi="宋体" w:cs="宋体"/>
          <w:sz w:val="22"/>
          <w:szCs w:val="22"/>
        </w:rPr>
        <w:t xml:space="preserve"> </w:t>
      </w:r>
      <w:r>
        <w:rPr>
          <w:rFonts w:ascii="宋体" w:eastAsia="宋体" w:hAnsi="宋体" w:cs="宋体"/>
          <w:spacing w:val="-8"/>
          <w:sz w:val="22"/>
          <w:szCs w:val="22"/>
        </w:rPr>
        <w:t>足乳汁钙含量的需要。乳汁中钙含量较为稳定，初乳含钙量为48mg/100mL,</w:t>
      </w:r>
      <w:r>
        <w:rPr>
          <w:rFonts w:ascii="宋体" w:eastAsia="宋体" w:hAnsi="宋体" w:cs="宋体"/>
          <w:spacing w:val="82"/>
          <w:sz w:val="22"/>
          <w:szCs w:val="22"/>
        </w:rPr>
        <w:t xml:space="preserve"> </w:t>
      </w:r>
      <w:r>
        <w:rPr>
          <w:rFonts w:ascii="宋体" w:eastAsia="宋体" w:hAnsi="宋体" w:cs="宋体"/>
          <w:spacing w:val="-9"/>
          <w:sz w:val="22"/>
          <w:szCs w:val="22"/>
        </w:rPr>
        <w:t>过</w:t>
      </w:r>
      <w:r>
        <w:rPr>
          <w:rFonts w:ascii="宋体" w:eastAsia="宋体" w:hAnsi="宋体" w:cs="宋体"/>
          <w:sz w:val="22"/>
          <w:szCs w:val="22"/>
        </w:rPr>
        <w:t xml:space="preserve"> </w:t>
      </w:r>
      <w:r>
        <w:rPr>
          <w:rFonts w:ascii="宋体" w:eastAsia="宋体" w:hAnsi="宋体" w:cs="宋体"/>
          <w:spacing w:val="-4"/>
          <w:sz w:val="22"/>
          <w:szCs w:val="22"/>
        </w:rPr>
        <w:t>渡期46mg/100mL,</w:t>
      </w:r>
      <w:r>
        <w:rPr>
          <w:rFonts w:ascii="宋体" w:eastAsia="宋体" w:hAnsi="宋体" w:cs="宋体"/>
          <w:spacing w:val="98"/>
          <w:sz w:val="22"/>
          <w:szCs w:val="22"/>
        </w:rPr>
        <w:t xml:space="preserve"> </w:t>
      </w:r>
      <w:r>
        <w:rPr>
          <w:rFonts w:ascii="宋体" w:eastAsia="宋体" w:hAnsi="宋体" w:cs="宋体"/>
          <w:spacing w:val="-4"/>
          <w:sz w:val="22"/>
          <w:szCs w:val="22"/>
        </w:rPr>
        <w:t>而成熟乳为34mg/100mL,</w:t>
      </w:r>
      <w:r>
        <w:rPr>
          <w:rFonts w:ascii="宋体" w:eastAsia="宋体" w:hAnsi="宋体" w:cs="宋体"/>
          <w:spacing w:val="73"/>
          <w:sz w:val="22"/>
          <w:szCs w:val="22"/>
        </w:rPr>
        <w:t xml:space="preserve"> </w:t>
      </w:r>
      <w:r>
        <w:rPr>
          <w:rFonts w:ascii="宋体" w:eastAsia="宋体" w:hAnsi="宋体" w:cs="宋体"/>
          <w:spacing w:val="-4"/>
          <w:sz w:val="22"/>
          <w:szCs w:val="22"/>
        </w:rPr>
        <w:t>所以乳母每天从乳汁中丢失的钙</w:t>
      </w:r>
      <w:r>
        <w:rPr>
          <w:rFonts w:ascii="宋体" w:eastAsia="宋体" w:hAnsi="宋体" w:cs="宋体"/>
          <w:sz w:val="22"/>
          <w:szCs w:val="22"/>
        </w:rPr>
        <w:t xml:space="preserve"> </w:t>
      </w:r>
      <w:r>
        <w:rPr>
          <w:rFonts w:ascii="宋体" w:eastAsia="宋体" w:hAnsi="宋体" w:cs="宋体"/>
          <w:spacing w:val="-8"/>
          <w:sz w:val="22"/>
          <w:szCs w:val="22"/>
        </w:rPr>
        <w:t>量约为200～300mg。 如果乳母食物中钙不足或不能有效吸收，乳母将动用体内</w:t>
      </w:r>
      <w:r>
        <w:rPr>
          <w:rFonts w:ascii="宋体" w:eastAsia="宋体" w:hAnsi="宋体" w:cs="宋体"/>
          <w:sz w:val="22"/>
          <w:szCs w:val="22"/>
        </w:rPr>
        <w:t xml:space="preserve"> </w:t>
      </w:r>
      <w:r>
        <w:rPr>
          <w:rFonts w:ascii="宋体" w:eastAsia="宋体" w:hAnsi="宋体" w:cs="宋体"/>
          <w:spacing w:val="-10"/>
          <w:sz w:val="22"/>
          <w:szCs w:val="22"/>
        </w:rPr>
        <w:t>储备的钙作为乳汁钙的来源，此时体内易出现钙的负平</w:t>
      </w:r>
      <w:r>
        <w:rPr>
          <w:rFonts w:ascii="宋体" w:eastAsia="宋体" w:hAnsi="宋体" w:cs="宋体"/>
          <w:spacing w:val="-11"/>
          <w:sz w:val="22"/>
          <w:szCs w:val="22"/>
        </w:rPr>
        <w:t>衡，可发生骨质软化症。</w:t>
      </w:r>
    </w:p>
    <w:p w:rsidR="00EA40A3" w:rsidRDefault="00EA40A3">
      <w:pPr>
        <w:sectPr w:rsidR="00EA40A3">
          <w:footerReference w:type="default" r:id="rId260"/>
          <w:pgSz w:w="9220" w:h="13360"/>
          <w:pgMar w:top="400" w:right="1010" w:bottom="1206" w:left="869" w:header="0" w:footer="985" w:gutter="0"/>
          <w:cols w:space="720"/>
        </w:sectPr>
      </w:pPr>
    </w:p>
    <w:p w:rsidR="00EA40A3" w:rsidRDefault="00EA40A3">
      <w:pPr>
        <w:spacing w:line="302" w:lineRule="auto"/>
      </w:pPr>
    </w:p>
    <w:p w:rsidR="00EA40A3" w:rsidRDefault="00EA40A3">
      <w:pPr>
        <w:spacing w:line="303" w:lineRule="auto"/>
      </w:pPr>
    </w:p>
    <w:p w:rsidR="00EA40A3" w:rsidRDefault="00E86C16">
      <w:pPr>
        <w:spacing w:before="65" w:line="270" w:lineRule="auto"/>
        <w:jc w:val="both"/>
        <w:rPr>
          <w:rFonts w:ascii="宋体" w:eastAsia="宋体" w:hAnsi="宋体" w:cs="宋体"/>
          <w:sz w:val="20"/>
          <w:szCs w:val="20"/>
        </w:rPr>
      </w:pPr>
      <w:r>
        <w:rPr>
          <w:rFonts w:ascii="宋体" w:eastAsia="宋体" w:hAnsi="宋体" w:cs="宋体"/>
          <w:spacing w:val="7"/>
          <w:sz w:val="20"/>
          <w:szCs w:val="20"/>
        </w:rPr>
        <w:t>另外，哺乳期乳母垂体分泌大量的泌乳素会使卵巢处于抑制状态，雌</w:t>
      </w:r>
      <w:r>
        <w:rPr>
          <w:rFonts w:ascii="宋体" w:eastAsia="宋体" w:hAnsi="宋体" w:cs="宋体"/>
          <w:spacing w:val="6"/>
          <w:sz w:val="20"/>
          <w:szCs w:val="20"/>
        </w:rPr>
        <w:t>激素水平降</w:t>
      </w:r>
      <w:r>
        <w:rPr>
          <w:rFonts w:ascii="宋体" w:eastAsia="宋体" w:hAnsi="宋体" w:cs="宋体"/>
          <w:sz w:val="20"/>
          <w:szCs w:val="20"/>
        </w:rPr>
        <w:t xml:space="preserve">  </w:t>
      </w:r>
      <w:r>
        <w:rPr>
          <w:rFonts w:ascii="宋体" w:eastAsia="宋体" w:hAnsi="宋体" w:cs="宋体"/>
          <w:spacing w:val="13"/>
          <w:sz w:val="20"/>
          <w:szCs w:val="20"/>
        </w:rPr>
        <w:t>低，低雌激素水平导致乳母骨量减少，骨密度</w:t>
      </w:r>
      <w:r>
        <w:rPr>
          <w:rFonts w:ascii="宋体" w:eastAsia="宋体" w:hAnsi="宋体" w:cs="宋体"/>
          <w:spacing w:val="8"/>
          <w:sz w:val="20"/>
          <w:szCs w:val="20"/>
        </w:rPr>
        <w:t xml:space="preserve"> </w:t>
      </w:r>
      <w:r>
        <w:rPr>
          <w:rFonts w:ascii="宋体" w:eastAsia="宋体" w:hAnsi="宋体" w:cs="宋体"/>
          <w:spacing w:val="13"/>
          <w:sz w:val="20"/>
          <w:szCs w:val="20"/>
        </w:rPr>
        <w:t>(</w:t>
      </w:r>
      <w:r>
        <w:rPr>
          <w:rFonts w:ascii="宋体" w:eastAsia="宋体" w:hAnsi="宋体" w:cs="宋体"/>
          <w:sz w:val="20"/>
          <w:szCs w:val="20"/>
        </w:rPr>
        <w:t>BMD</w:t>
      </w:r>
      <w:r>
        <w:rPr>
          <w:rFonts w:ascii="宋体" w:eastAsia="宋体" w:hAnsi="宋体" w:cs="宋体"/>
          <w:spacing w:val="13"/>
          <w:sz w:val="20"/>
          <w:szCs w:val="20"/>
        </w:rPr>
        <w:t>)</w:t>
      </w:r>
      <w:r>
        <w:rPr>
          <w:rFonts w:ascii="宋体" w:eastAsia="宋体" w:hAnsi="宋体" w:cs="宋体"/>
          <w:spacing w:val="7"/>
          <w:sz w:val="20"/>
          <w:szCs w:val="20"/>
        </w:rPr>
        <w:t xml:space="preserve">   </w:t>
      </w:r>
      <w:r>
        <w:rPr>
          <w:rFonts w:ascii="宋体" w:eastAsia="宋体" w:hAnsi="宋体" w:cs="宋体"/>
          <w:spacing w:val="13"/>
          <w:sz w:val="20"/>
          <w:szCs w:val="20"/>
        </w:rPr>
        <w:t>降</w:t>
      </w:r>
      <w:r>
        <w:rPr>
          <w:rFonts w:ascii="宋体" w:eastAsia="宋体" w:hAnsi="宋体" w:cs="宋体"/>
          <w:spacing w:val="12"/>
          <w:sz w:val="20"/>
          <w:szCs w:val="20"/>
        </w:rPr>
        <w:t>低，尤其是哺乳6个</w:t>
      </w:r>
      <w:r>
        <w:rPr>
          <w:rFonts w:ascii="宋体" w:eastAsia="宋体" w:hAnsi="宋体" w:cs="宋体"/>
          <w:sz w:val="20"/>
          <w:szCs w:val="20"/>
        </w:rPr>
        <w:t xml:space="preserve">  </w:t>
      </w:r>
      <w:r>
        <w:rPr>
          <w:rFonts w:ascii="宋体" w:eastAsia="宋体" w:hAnsi="宋体" w:cs="宋体"/>
          <w:spacing w:val="12"/>
          <w:sz w:val="20"/>
          <w:szCs w:val="20"/>
        </w:rPr>
        <w:t>月</w:t>
      </w:r>
      <w:r>
        <w:rPr>
          <w:rFonts w:ascii="宋体" w:eastAsia="宋体" w:hAnsi="宋体" w:cs="宋体"/>
          <w:spacing w:val="38"/>
          <w:sz w:val="20"/>
          <w:szCs w:val="20"/>
        </w:rPr>
        <w:t xml:space="preserve"> </w:t>
      </w:r>
      <w:r>
        <w:rPr>
          <w:rFonts w:ascii="宋体" w:eastAsia="宋体" w:hAnsi="宋体" w:cs="宋体"/>
          <w:spacing w:val="12"/>
          <w:sz w:val="20"/>
          <w:szCs w:val="20"/>
        </w:rPr>
        <w:t>内</w:t>
      </w:r>
      <w:r>
        <w:rPr>
          <w:rFonts w:ascii="宋体" w:eastAsia="宋体" w:hAnsi="宋体" w:cs="宋体"/>
          <w:sz w:val="20"/>
          <w:szCs w:val="20"/>
        </w:rPr>
        <w:t>BMD</w:t>
      </w:r>
      <w:r>
        <w:rPr>
          <w:rFonts w:ascii="宋体" w:eastAsia="宋体" w:hAnsi="宋体" w:cs="宋体"/>
          <w:spacing w:val="83"/>
          <w:sz w:val="20"/>
          <w:szCs w:val="20"/>
        </w:rPr>
        <w:t xml:space="preserve"> </w:t>
      </w:r>
      <w:r>
        <w:rPr>
          <w:rFonts w:ascii="宋体" w:eastAsia="宋体" w:hAnsi="宋体" w:cs="宋体"/>
          <w:spacing w:val="12"/>
          <w:sz w:val="20"/>
          <w:szCs w:val="20"/>
        </w:rPr>
        <w:t>丢失可达5%～7%,导致哺乳期发生“特发骨质疏松”。有研究发现，</w:t>
      </w:r>
      <w:r>
        <w:rPr>
          <w:rFonts w:ascii="宋体" w:eastAsia="宋体" w:hAnsi="宋体" w:cs="宋体"/>
          <w:sz w:val="20"/>
          <w:szCs w:val="20"/>
        </w:rPr>
        <w:t xml:space="preserve"> </w:t>
      </w:r>
      <w:r>
        <w:rPr>
          <w:rFonts w:ascii="宋体" w:eastAsia="宋体" w:hAnsi="宋体" w:cs="宋体"/>
          <w:spacing w:val="7"/>
          <w:sz w:val="20"/>
          <w:szCs w:val="20"/>
        </w:rPr>
        <w:t>尽管哺乳期乳母补钙无法预防和治疗哺乳期妇女骨量丢失，但却能使骨密</w:t>
      </w:r>
      <w:r>
        <w:rPr>
          <w:rFonts w:ascii="宋体" w:eastAsia="宋体" w:hAnsi="宋体" w:cs="宋体"/>
          <w:spacing w:val="6"/>
          <w:sz w:val="20"/>
          <w:szCs w:val="20"/>
        </w:rPr>
        <w:t>度的下</w:t>
      </w:r>
      <w:r>
        <w:rPr>
          <w:rFonts w:ascii="宋体" w:eastAsia="宋体" w:hAnsi="宋体" w:cs="宋体"/>
          <w:sz w:val="20"/>
          <w:szCs w:val="20"/>
        </w:rPr>
        <w:t xml:space="preserve">  </w:t>
      </w:r>
      <w:r>
        <w:rPr>
          <w:rFonts w:ascii="宋体" w:eastAsia="宋体" w:hAnsi="宋体" w:cs="宋体"/>
          <w:spacing w:val="3"/>
          <w:sz w:val="20"/>
          <w:szCs w:val="20"/>
        </w:rPr>
        <w:t>降幅度减少。</w:t>
      </w:r>
      <w:r>
        <w:rPr>
          <w:rFonts w:ascii="宋体" w:eastAsia="宋体" w:hAnsi="宋体" w:cs="宋体"/>
          <w:spacing w:val="9"/>
          <w:sz w:val="20"/>
          <w:szCs w:val="20"/>
        </w:rPr>
        <w:t xml:space="preserve"> </w:t>
      </w:r>
      <w:r>
        <w:rPr>
          <w:rFonts w:ascii="宋体" w:eastAsia="宋体" w:hAnsi="宋体" w:cs="宋体"/>
          <w:sz w:val="20"/>
          <w:szCs w:val="20"/>
        </w:rPr>
        <w:t>FAO</w:t>
      </w:r>
      <w:r>
        <w:rPr>
          <w:rFonts w:ascii="宋体" w:eastAsia="宋体" w:hAnsi="宋体" w:cs="宋体"/>
          <w:spacing w:val="3"/>
          <w:sz w:val="20"/>
          <w:szCs w:val="20"/>
        </w:rPr>
        <w:t>/</w:t>
      </w:r>
      <w:r>
        <w:rPr>
          <w:rFonts w:ascii="宋体" w:eastAsia="宋体" w:hAnsi="宋体" w:cs="宋体"/>
          <w:sz w:val="20"/>
          <w:szCs w:val="20"/>
        </w:rPr>
        <w:t>WHO</w:t>
      </w:r>
      <w:r>
        <w:rPr>
          <w:rFonts w:ascii="宋体" w:eastAsia="宋体" w:hAnsi="宋体" w:cs="宋体"/>
          <w:spacing w:val="8"/>
          <w:sz w:val="20"/>
          <w:szCs w:val="20"/>
        </w:rPr>
        <w:t xml:space="preserve">    </w:t>
      </w:r>
      <w:r>
        <w:rPr>
          <w:rFonts w:ascii="宋体" w:eastAsia="宋体" w:hAnsi="宋体" w:cs="宋体"/>
          <w:spacing w:val="3"/>
          <w:sz w:val="20"/>
          <w:szCs w:val="20"/>
        </w:rPr>
        <w:t>建议乳母的钙供应量为每天1200</w:t>
      </w:r>
      <w:r>
        <w:rPr>
          <w:rFonts w:ascii="宋体" w:eastAsia="宋体" w:hAnsi="宋体" w:cs="宋体"/>
          <w:sz w:val="20"/>
          <w:szCs w:val="20"/>
        </w:rPr>
        <w:t>mg</w:t>
      </w:r>
      <w:r>
        <w:rPr>
          <w:rFonts w:ascii="宋体" w:eastAsia="宋体" w:hAnsi="宋体" w:cs="宋体"/>
          <w:spacing w:val="2"/>
          <w:sz w:val="20"/>
          <w:szCs w:val="20"/>
        </w:rPr>
        <w:t>。</w:t>
      </w:r>
      <w:r>
        <w:rPr>
          <w:rFonts w:ascii="宋体" w:eastAsia="宋体" w:hAnsi="宋体" w:cs="宋体"/>
          <w:spacing w:val="33"/>
          <w:sz w:val="20"/>
          <w:szCs w:val="20"/>
        </w:rPr>
        <w:t xml:space="preserve"> </w:t>
      </w:r>
      <w:r>
        <w:rPr>
          <w:rFonts w:ascii="宋体" w:eastAsia="宋体" w:hAnsi="宋体" w:cs="宋体"/>
          <w:spacing w:val="2"/>
          <w:sz w:val="20"/>
          <w:szCs w:val="20"/>
        </w:rPr>
        <w:t>考虑到食物中钙</w:t>
      </w:r>
      <w:r>
        <w:rPr>
          <w:rFonts w:ascii="宋体" w:eastAsia="宋体" w:hAnsi="宋体" w:cs="宋体"/>
          <w:sz w:val="20"/>
          <w:szCs w:val="20"/>
        </w:rPr>
        <w:t xml:space="preserve"> </w:t>
      </w:r>
      <w:r>
        <w:rPr>
          <w:rFonts w:ascii="宋体" w:eastAsia="宋体" w:hAnsi="宋体" w:cs="宋体"/>
          <w:spacing w:val="9"/>
          <w:sz w:val="20"/>
          <w:szCs w:val="20"/>
        </w:rPr>
        <w:t>的来源及吸收率的影响，我国建议标准为2000</w:t>
      </w:r>
      <w:r>
        <w:rPr>
          <w:rFonts w:ascii="宋体" w:eastAsia="宋体" w:hAnsi="宋体" w:cs="宋体"/>
          <w:sz w:val="20"/>
          <w:szCs w:val="20"/>
        </w:rPr>
        <w:t>mg</w:t>
      </w:r>
      <w:r>
        <w:rPr>
          <w:rFonts w:ascii="宋体" w:eastAsia="宋体" w:hAnsi="宋体" w:cs="宋体"/>
          <w:spacing w:val="9"/>
          <w:sz w:val="20"/>
          <w:szCs w:val="20"/>
        </w:rPr>
        <w:t>/d。</w:t>
      </w:r>
      <w:r>
        <w:rPr>
          <w:rFonts w:ascii="宋体" w:eastAsia="宋体" w:hAnsi="宋体" w:cs="宋体"/>
          <w:spacing w:val="84"/>
          <w:sz w:val="20"/>
          <w:szCs w:val="20"/>
        </w:rPr>
        <w:t xml:space="preserve"> </w:t>
      </w:r>
      <w:r>
        <w:rPr>
          <w:rFonts w:ascii="宋体" w:eastAsia="宋体" w:hAnsi="宋体" w:cs="宋体"/>
          <w:spacing w:val="9"/>
          <w:sz w:val="20"/>
          <w:szCs w:val="20"/>
        </w:rPr>
        <w:t>奶类是良好的钙质来源，</w:t>
      </w:r>
      <w:r>
        <w:rPr>
          <w:rFonts w:ascii="宋体" w:eastAsia="宋体" w:hAnsi="宋体" w:cs="宋体"/>
          <w:sz w:val="20"/>
          <w:szCs w:val="20"/>
        </w:rPr>
        <w:t xml:space="preserve"> </w:t>
      </w:r>
      <w:r>
        <w:rPr>
          <w:rFonts w:ascii="宋体" w:eastAsia="宋体" w:hAnsi="宋体" w:cs="宋体"/>
          <w:spacing w:val="7"/>
          <w:sz w:val="20"/>
          <w:szCs w:val="20"/>
        </w:rPr>
        <w:t>钙制剂也可作为钙的辅助来源。另外，</w:t>
      </w:r>
      <w:r>
        <w:rPr>
          <w:rFonts w:ascii="宋体" w:eastAsia="宋体" w:hAnsi="宋体" w:cs="宋体"/>
          <w:spacing w:val="68"/>
          <w:sz w:val="20"/>
          <w:szCs w:val="20"/>
        </w:rPr>
        <w:t xml:space="preserve"> </w:t>
      </w:r>
      <w:r>
        <w:rPr>
          <w:rFonts w:ascii="宋体" w:eastAsia="宋体" w:hAnsi="宋体" w:cs="宋体"/>
          <w:spacing w:val="7"/>
          <w:sz w:val="20"/>
          <w:szCs w:val="20"/>
        </w:rPr>
        <w:t>一定量的维生素</w:t>
      </w:r>
      <w:r>
        <w:rPr>
          <w:rFonts w:ascii="宋体" w:eastAsia="宋体" w:hAnsi="宋体" w:cs="宋体"/>
          <w:spacing w:val="-60"/>
          <w:sz w:val="20"/>
          <w:szCs w:val="20"/>
        </w:rPr>
        <w:t xml:space="preserve"> </w:t>
      </w:r>
      <w:r>
        <w:rPr>
          <w:rFonts w:ascii="宋体" w:eastAsia="宋体" w:hAnsi="宋体" w:cs="宋体"/>
          <w:spacing w:val="7"/>
          <w:sz w:val="20"/>
          <w:szCs w:val="20"/>
        </w:rPr>
        <w:t>D</w:t>
      </w:r>
      <w:r>
        <w:rPr>
          <w:rFonts w:ascii="宋体" w:eastAsia="宋体" w:hAnsi="宋体" w:cs="宋体"/>
          <w:spacing w:val="14"/>
          <w:sz w:val="20"/>
          <w:szCs w:val="20"/>
        </w:rPr>
        <w:t xml:space="preserve"> </w:t>
      </w:r>
      <w:r>
        <w:rPr>
          <w:rFonts w:ascii="宋体" w:eastAsia="宋体" w:hAnsi="宋体" w:cs="宋体"/>
          <w:spacing w:val="7"/>
          <w:sz w:val="20"/>
          <w:szCs w:val="20"/>
        </w:rPr>
        <w:t>摄入，或利</w:t>
      </w:r>
      <w:r>
        <w:rPr>
          <w:rFonts w:ascii="宋体" w:eastAsia="宋体" w:hAnsi="宋体" w:cs="宋体"/>
          <w:spacing w:val="6"/>
          <w:sz w:val="20"/>
          <w:szCs w:val="20"/>
        </w:rPr>
        <w:t>用日光浴</w:t>
      </w:r>
      <w:r>
        <w:rPr>
          <w:rFonts w:ascii="宋体" w:eastAsia="宋体" w:hAnsi="宋体" w:cs="宋体"/>
          <w:sz w:val="20"/>
          <w:szCs w:val="20"/>
        </w:rPr>
        <w:t xml:space="preserve"> </w:t>
      </w:r>
      <w:r>
        <w:rPr>
          <w:rFonts w:ascii="宋体" w:eastAsia="宋体" w:hAnsi="宋体" w:cs="宋体"/>
          <w:spacing w:val="3"/>
          <w:sz w:val="20"/>
          <w:szCs w:val="20"/>
        </w:rPr>
        <w:t>的作用，会有利于钙的吸收与利用。</w:t>
      </w:r>
    </w:p>
    <w:p w:rsidR="00EA40A3" w:rsidRDefault="00E86C16">
      <w:pPr>
        <w:spacing w:before="103" w:line="224" w:lineRule="auto"/>
        <w:rPr>
          <w:rFonts w:ascii="仿宋" w:eastAsia="仿宋" w:hAnsi="仿宋" w:cs="仿宋"/>
          <w:sz w:val="20"/>
          <w:szCs w:val="20"/>
        </w:rPr>
      </w:pPr>
      <w:r>
        <w:rPr>
          <w:rFonts w:ascii="仿宋" w:eastAsia="仿宋" w:hAnsi="仿宋" w:cs="仿宋"/>
          <w:spacing w:val="21"/>
          <w:sz w:val="20"/>
          <w:szCs w:val="20"/>
        </w:rPr>
        <w:t>2)铁</w:t>
      </w:r>
    </w:p>
    <w:p w:rsidR="00EA40A3" w:rsidRDefault="00E86C16">
      <w:pPr>
        <w:spacing w:before="70" w:line="268" w:lineRule="auto"/>
        <w:ind w:right="82" w:firstLine="399"/>
        <w:jc w:val="both"/>
        <w:rPr>
          <w:rFonts w:ascii="宋体" w:eastAsia="宋体" w:hAnsi="宋体" w:cs="宋体"/>
          <w:sz w:val="20"/>
          <w:szCs w:val="20"/>
        </w:rPr>
      </w:pPr>
      <w:r>
        <w:rPr>
          <w:rFonts w:ascii="宋体" w:eastAsia="宋体" w:hAnsi="宋体" w:cs="宋体"/>
          <w:spacing w:val="2"/>
          <w:sz w:val="20"/>
          <w:szCs w:val="20"/>
        </w:rPr>
        <w:t>人乳中铁含量很少，仅为0.06</w:t>
      </w:r>
      <w:r>
        <w:rPr>
          <w:rFonts w:ascii="宋体" w:eastAsia="宋体" w:hAnsi="宋体" w:cs="宋体"/>
          <w:sz w:val="20"/>
          <w:szCs w:val="20"/>
        </w:rPr>
        <w:t>mg</w:t>
      </w:r>
      <w:r>
        <w:rPr>
          <w:rFonts w:ascii="宋体" w:eastAsia="宋体" w:hAnsi="宋体" w:cs="宋体"/>
          <w:spacing w:val="2"/>
          <w:sz w:val="20"/>
          <w:szCs w:val="20"/>
        </w:rPr>
        <w:t>/100</w:t>
      </w:r>
      <w:r>
        <w:rPr>
          <w:rFonts w:ascii="宋体" w:eastAsia="宋体" w:hAnsi="宋体" w:cs="宋体"/>
          <w:sz w:val="20"/>
          <w:szCs w:val="20"/>
        </w:rPr>
        <w:t>mL</w:t>
      </w:r>
      <w:r>
        <w:rPr>
          <w:rFonts w:ascii="宋体" w:eastAsia="宋体" w:hAnsi="宋体" w:cs="宋体"/>
          <w:spacing w:val="2"/>
          <w:sz w:val="20"/>
          <w:szCs w:val="20"/>
        </w:rPr>
        <w:t>。</w:t>
      </w:r>
      <w:r>
        <w:rPr>
          <w:rFonts w:ascii="宋体" w:eastAsia="宋体" w:hAnsi="宋体" w:cs="宋体"/>
          <w:spacing w:val="8"/>
          <w:sz w:val="20"/>
          <w:szCs w:val="20"/>
        </w:rPr>
        <w:t xml:space="preserve">   </w:t>
      </w:r>
      <w:r>
        <w:rPr>
          <w:rFonts w:ascii="宋体" w:eastAsia="宋体" w:hAnsi="宋体" w:cs="宋体"/>
          <w:spacing w:val="2"/>
          <w:sz w:val="20"/>
          <w:szCs w:val="20"/>
        </w:rPr>
        <w:t>根据每日乳母的泌乳量可知，由</w:t>
      </w:r>
      <w:r>
        <w:rPr>
          <w:rFonts w:ascii="宋体" w:eastAsia="宋体" w:hAnsi="宋体" w:cs="宋体"/>
          <w:sz w:val="20"/>
          <w:szCs w:val="20"/>
        </w:rPr>
        <w:t xml:space="preserve"> </w:t>
      </w:r>
      <w:r>
        <w:rPr>
          <w:rFonts w:ascii="宋体" w:eastAsia="宋体" w:hAnsi="宋体" w:cs="宋体"/>
          <w:spacing w:val="10"/>
          <w:sz w:val="20"/>
          <w:szCs w:val="20"/>
        </w:rPr>
        <w:t>乳汁中损失的铁的总量约为0.3～0.4</w:t>
      </w:r>
      <w:r>
        <w:rPr>
          <w:rFonts w:ascii="宋体" w:eastAsia="宋体" w:hAnsi="宋体" w:cs="宋体"/>
          <w:sz w:val="20"/>
          <w:szCs w:val="20"/>
        </w:rPr>
        <w:t>mg</w:t>
      </w:r>
      <w:r>
        <w:rPr>
          <w:rFonts w:ascii="宋体" w:eastAsia="宋体" w:hAnsi="宋体" w:cs="宋体"/>
          <w:spacing w:val="10"/>
          <w:sz w:val="20"/>
          <w:szCs w:val="20"/>
        </w:rPr>
        <w:t>/d。</w:t>
      </w:r>
      <w:r>
        <w:rPr>
          <w:rFonts w:ascii="宋体" w:eastAsia="宋体" w:hAnsi="宋体" w:cs="宋体"/>
          <w:spacing w:val="66"/>
          <w:sz w:val="20"/>
          <w:szCs w:val="20"/>
        </w:rPr>
        <w:t xml:space="preserve"> </w:t>
      </w:r>
      <w:r>
        <w:rPr>
          <w:rFonts w:ascii="宋体" w:eastAsia="宋体" w:hAnsi="宋体" w:cs="宋体"/>
          <w:spacing w:val="10"/>
          <w:sz w:val="20"/>
          <w:szCs w:val="20"/>
        </w:rPr>
        <w:t>若膳食中铁的吸收率以10%计，则</w:t>
      </w:r>
      <w:r>
        <w:rPr>
          <w:rFonts w:ascii="宋体" w:eastAsia="宋体" w:hAnsi="宋体" w:cs="宋体"/>
          <w:sz w:val="20"/>
          <w:szCs w:val="20"/>
        </w:rPr>
        <w:t xml:space="preserve"> </w:t>
      </w:r>
      <w:r>
        <w:rPr>
          <w:rFonts w:ascii="宋体" w:eastAsia="宋体" w:hAnsi="宋体" w:cs="宋体"/>
          <w:spacing w:val="12"/>
          <w:sz w:val="20"/>
          <w:szCs w:val="20"/>
        </w:rPr>
        <w:t>每日从膳食中额外增加的量至少应在4</w:t>
      </w:r>
      <w:r>
        <w:rPr>
          <w:rFonts w:ascii="宋体" w:eastAsia="宋体" w:hAnsi="宋体" w:cs="宋体"/>
          <w:sz w:val="20"/>
          <w:szCs w:val="20"/>
        </w:rPr>
        <w:t>mg</w:t>
      </w:r>
      <w:r>
        <w:rPr>
          <w:rFonts w:ascii="宋体" w:eastAsia="宋体" w:hAnsi="宋体" w:cs="宋体"/>
          <w:spacing w:val="40"/>
          <w:sz w:val="20"/>
          <w:szCs w:val="20"/>
        </w:rPr>
        <w:t xml:space="preserve"> </w:t>
      </w:r>
      <w:r>
        <w:rPr>
          <w:rFonts w:ascii="宋体" w:eastAsia="宋体" w:hAnsi="宋体" w:cs="宋体"/>
          <w:spacing w:val="12"/>
          <w:sz w:val="20"/>
          <w:szCs w:val="20"/>
        </w:rPr>
        <w:t>以上。通常认为，乳汁中铁的排泄量</w:t>
      </w:r>
      <w:r>
        <w:rPr>
          <w:rFonts w:ascii="宋体" w:eastAsia="宋体" w:hAnsi="宋体" w:cs="宋体"/>
          <w:sz w:val="20"/>
          <w:szCs w:val="20"/>
        </w:rPr>
        <w:t xml:space="preserve"> </w:t>
      </w:r>
      <w:r>
        <w:rPr>
          <w:rFonts w:ascii="宋体" w:eastAsia="宋体" w:hAnsi="宋体" w:cs="宋体"/>
          <w:spacing w:val="7"/>
          <w:sz w:val="20"/>
          <w:szCs w:val="20"/>
        </w:rPr>
        <w:t>与母亲的铁营养状况无关，乳汁中铁的排泄量是个常量。但也有</w:t>
      </w:r>
      <w:r>
        <w:rPr>
          <w:rFonts w:ascii="宋体" w:eastAsia="宋体" w:hAnsi="宋体" w:cs="宋体"/>
          <w:spacing w:val="6"/>
          <w:sz w:val="20"/>
          <w:szCs w:val="20"/>
        </w:rPr>
        <w:t>研究者通过实验</w:t>
      </w:r>
      <w:r>
        <w:rPr>
          <w:rFonts w:ascii="宋体" w:eastAsia="宋体" w:hAnsi="宋体" w:cs="宋体"/>
          <w:sz w:val="20"/>
          <w:szCs w:val="20"/>
        </w:rPr>
        <w:t xml:space="preserve"> </w:t>
      </w:r>
      <w:r>
        <w:rPr>
          <w:rFonts w:ascii="宋体" w:eastAsia="宋体" w:hAnsi="宋体" w:cs="宋体"/>
          <w:spacing w:val="9"/>
          <w:sz w:val="20"/>
          <w:szCs w:val="20"/>
        </w:rPr>
        <w:t>发现，乳母补铁对预防4个月后婴儿患缺铁性贫血具有积极意义，其具体机制尚 有待进一步探讨。我国营养学会建议乳母铁的适宜摄入量</w:t>
      </w:r>
      <w:r>
        <w:rPr>
          <w:rFonts w:ascii="宋体" w:eastAsia="宋体" w:hAnsi="宋体" w:cs="宋体"/>
          <w:spacing w:val="14"/>
          <w:sz w:val="20"/>
          <w:szCs w:val="20"/>
        </w:rPr>
        <w:t xml:space="preserve"> </w:t>
      </w:r>
      <w:r>
        <w:rPr>
          <w:rFonts w:ascii="宋体" w:eastAsia="宋体" w:hAnsi="宋体" w:cs="宋体"/>
          <w:spacing w:val="9"/>
          <w:sz w:val="20"/>
          <w:szCs w:val="20"/>
        </w:rPr>
        <w:t>(</w:t>
      </w:r>
      <w:r>
        <w:rPr>
          <w:rFonts w:ascii="宋体" w:eastAsia="宋体" w:hAnsi="宋体" w:cs="宋体"/>
          <w:sz w:val="20"/>
          <w:szCs w:val="20"/>
        </w:rPr>
        <w:t>AI</w:t>
      </w:r>
      <w:r>
        <w:rPr>
          <w:rFonts w:ascii="宋体" w:eastAsia="宋体" w:hAnsi="宋体" w:cs="宋体"/>
          <w:spacing w:val="9"/>
          <w:sz w:val="20"/>
          <w:szCs w:val="20"/>
        </w:rPr>
        <w:t>)</w:t>
      </w:r>
      <w:r>
        <w:rPr>
          <w:rFonts w:ascii="宋体" w:eastAsia="宋体" w:hAnsi="宋体" w:cs="宋体"/>
          <w:spacing w:val="6"/>
          <w:sz w:val="20"/>
          <w:szCs w:val="20"/>
        </w:rPr>
        <w:t xml:space="preserve">  </w:t>
      </w:r>
      <w:r>
        <w:rPr>
          <w:rFonts w:ascii="宋体" w:eastAsia="宋体" w:hAnsi="宋体" w:cs="宋体"/>
          <w:spacing w:val="9"/>
          <w:sz w:val="20"/>
          <w:szCs w:val="20"/>
        </w:rPr>
        <w:t>由一般妇女的</w:t>
      </w:r>
      <w:r>
        <w:rPr>
          <w:rFonts w:ascii="宋体" w:eastAsia="宋体" w:hAnsi="宋体" w:cs="宋体"/>
          <w:spacing w:val="1"/>
          <w:sz w:val="20"/>
          <w:szCs w:val="20"/>
        </w:rPr>
        <w:t xml:space="preserve"> </w:t>
      </w:r>
      <w:r>
        <w:rPr>
          <w:rFonts w:ascii="宋体" w:eastAsia="宋体" w:hAnsi="宋体" w:cs="宋体"/>
          <w:spacing w:val="4"/>
          <w:sz w:val="20"/>
          <w:szCs w:val="20"/>
        </w:rPr>
        <w:t>20</w:t>
      </w:r>
      <w:r>
        <w:rPr>
          <w:rFonts w:ascii="宋体" w:eastAsia="宋体" w:hAnsi="宋体" w:cs="宋体"/>
          <w:sz w:val="20"/>
          <w:szCs w:val="20"/>
        </w:rPr>
        <w:t>mg</w:t>
      </w:r>
      <w:r>
        <w:rPr>
          <w:rFonts w:ascii="宋体" w:eastAsia="宋体" w:hAnsi="宋体" w:cs="宋体"/>
          <w:spacing w:val="4"/>
          <w:sz w:val="20"/>
          <w:szCs w:val="20"/>
        </w:rPr>
        <w:t>/d</w:t>
      </w:r>
      <w:r>
        <w:rPr>
          <w:rFonts w:ascii="宋体" w:eastAsia="宋体" w:hAnsi="宋体" w:cs="宋体"/>
          <w:spacing w:val="24"/>
          <w:sz w:val="20"/>
          <w:szCs w:val="20"/>
        </w:rPr>
        <w:t xml:space="preserve"> </w:t>
      </w:r>
      <w:r>
        <w:rPr>
          <w:rFonts w:ascii="宋体" w:eastAsia="宋体" w:hAnsi="宋体" w:cs="宋体"/>
          <w:spacing w:val="4"/>
          <w:sz w:val="20"/>
          <w:szCs w:val="20"/>
        </w:rPr>
        <w:t>增至25</w:t>
      </w:r>
      <w:r>
        <w:rPr>
          <w:rFonts w:ascii="宋体" w:eastAsia="宋体" w:hAnsi="宋体" w:cs="宋体"/>
          <w:sz w:val="20"/>
          <w:szCs w:val="20"/>
        </w:rPr>
        <w:t>mg</w:t>
      </w:r>
      <w:r>
        <w:rPr>
          <w:rFonts w:ascii="宋体" w:eastAsia="宋体" w:hAnsi="宋体" w:cs="宋体"/>
          <w:spacing w:val="4"/>
          <w:sz w:val="20"/>
          <w:szCs w:val="20"/>
        </w:rPr>
        <w:t>/d。</w:t>
      </w:r>
    </w:p>
    <w:p w:rsidR="00EA40A3" w:rsidRDefault="00E86C16">
      <w:pPr>
        <w:spacing w:before="138" w:line="232" w:lineRule="auto"/>
        <w:rPr>
          <w:rFonts w:ascii="楷体" w:eastAsia="楷体" w:hAnsi="楷体" w:cs="楷体"/>
          <w:sz w:val="17"/>
          <w:szCs w:val="17"/>
        </w:rPr>
      </w:pPr>
      <w:r>
        <w:rPr>
          <w:rFonts w:ascii="楷体" w:eastAsia="楷体" w:hAnsi="楷体" w:cs="楷体"/>
          <w:spacing w:val="-4"/>
          <w:sz w:val="17"/>
          <w:szCs w:val="17"/>
        </w:rPr>
        <w:t>3</w:t>
      </w:r>
      <w:r>
        <w:rPr>
          <w:rFonts w:ascii="楷体" w:eastAsia="楷体" w:hAnsi="楷体" w:cs="楷体"/>
          <w:spacing w:val="-20"/>
          <w:sz w:val="17"/>
          <w:szCs w:val="17"/>
        </w:rPr>
        <w:t xml:space="preserve"> </w:t>
      </w:r>
      <w:r>
        <w:rPr>
          <w:rFonts w:ascii="楷体" w:eastAsia="楷体" w:hAnsi="楷体" w:cs="楷体"/>
          <w:spacing w:val="-4"/>
          <w:sz w:val="17"/>
          <w:szCs w:val="17"/>
        </w:rPr>
        <w:t>)</w:t>
      </w:r>
      <w:r>
        <w:rPr>
          <w:rFonts w:ascii="楷体" w:eastAsia="楷体" w:hAnsi="楷体" w:cs="楷体"/>
          <w:spacing w:val="-27"/>
          <w:sz w:val="17"/>
          <w:szCs w:val="17"/>
        </w:rPr>
        <w:t xml:space="preserve"> </w:t>
      </w:r>
      <w:r>
        <w:rPr>
          <w:rFonts w:ascii="楷体" w:eastAsia="楷体" w:hAnsi="楷体" w:cs="楷体"/>
          <w:spacing w:val="-4"/>
          <w:sz w:val="17"/>
          <w:szCs w:val="17"/>
        </w:rPr>
        <w:t>碘</w:t>
      </w:r>
    </w:p>
    <w:p w:rsidR="00EA40A3" w:rsidRDefault="00E86C16">
      <w:pPr>
        <w:spacing w:before="93" w:line="267" w:lineRule="auto"/>
        <w:ind w:right="88" w:firstLine="399"/>
        <w:jc w:val="both"/>
        <w:rPr>
          <w:rFonts w:ascii="宋体" w:eastAsia="宋体" w:hAnsi="宋体" w:cs="宋体"/>
          <w:sz w:val="20"/>
          <w:szCs w:val="20"/>
        </w:rPr>
      </w:pPr>
      <w:r>
        <w:rPr>
          <w:rFonts w:ascii="宋体" w:eastAsia="宋体" w:hAnsi="宋体" w:cs="宋体"/>
          <w:spacing w:val="7"/>
          <w:sz w:val="20"/>
          <w:szCs w:val="20"/>
        </w:rPr>
        <w:t>哺乳妇女对碘的需求量除满足自身生理功能需要外，还应当包括碘从乳汁中</w:t>
      </w:r>
      <w:r>
        <w:rPr>
          <w:rFonts w:ascii="宋体" w:eastAsia="宋体" w:hAnsi="宋体" w:cs="宋体"/>
          <w:sz w:val="20"/>
          <w:szCs w:val="20"/>
        </w:rPr>
        <w:t xml:space="preserve"> </w:t>
      </w:r>
      <w:r>
        <w:rPr>
          <w:rFonts w:ascii="宋体" w:eastAsia="宋体" w:hAnsi="宋体" w:cs="宋体"/>
          <w:spacing w:val="7"/>
          <w:sz w:val="20"/>
          <w:szCs w:val="20"/>
        </w:rPr>
        <w:t>的流失量，即婴幼儿的需要量，这取决于每天乳汁的排泄量和乳汁</w:t>
      </w:r>
      <w:r>
        <w:rPr>
          <w:rFonts w:ascii="宋体" w:eastAsia="宋体" w:hAnsi="宋体" w:cs="宋体"/>
          <w:spacing w:val="6"/>
          <w:sz w:val="20"/>
          <w:szCs w:val="20"/>
        </w:rPr>
        <w:t>中碘的质量浓</w:t>
      </w:r>
      <w:r>
        <w:rPr>
          <w:rFonts w:ascii="宋体" w:eastAsia="宋体" w:hAnsi="宋体" w:cs="宋体"/>
          <w:sz w:val="20"/>
          <w:szCs w:val="20"/>
        </w:rPr>
        <w:t xml:space="preserve"> </w:t>
      </w:r>
      <w:r>
        <w:rPr>
          <w:rFonts w:ascii="宋体" w:eastAsia="宋体" w:hAnsi="宋体" w:cs="宋体"/>
          <w:spacing w:val="6"/>
          <w:sz w:val="20"/>
          <w:szCs w:val="20"/>
        </w:rPr>
        <w:t>度。母乳中含碘量一般为4～9μg/100</w:t>
      </w:r>
      <w:r>
        <w:rPr>
          <w:rFonts w:ascii="宋体" w:eastAsia="宋体" w:hAnsi="宋体" w:cs="宋体"/>
          <w:sz w:val="20"/>
          <w:szCs w:val="20"/>
        </w:rPr>
        <w:t>mL</w:t>
      </w:r>
      <w:r>
        <w:rPr>
          <w:rFonts w:ascii="宋体" w:eastAsia="宋体" w:hAnsi="宋体" w:cs="宋体"/>
          <w:spacing w:val="6"/>
          <w:sz w:val="20"/>
          <w:szCs w:val="20"/>
        </w:rPr>
        <w:t>,</w:t>
      </w:r>
      <w:r>
        <w:rPr>
          <w:rFonts w:ascii="宋体" w:eastAsia="宋体" w:hAnsi="宋体" w:cs="宋体"/>
          <w:spacing w:val="15"/>
          <w:sz w:val="20"/>
          <w:szCs w:val="20"/>
        </w:rPr>
        <w:t xml:space="preserve">  </w:t>
      </w:r>
      <w:r>
        <w:rPr>
          <w:rFonts w:ascii="宋体" w:eastAsia="宋体" w:hAnsi="宋体" w:cs="宋体"/>
          <w:spacing w:val="6"/>
          <w:sz w:val="20"/>
          <w:szCs w:val="20"/>
        </w:rPr>
        <w:t>高于母体</w:t>
      </w:r>
      <w:r>
        <w:rPr>
          <w:rFonts w:ascii="宋体" w:eastAsia="宋体" w:hAnsi="宋体" w:cs="宋体"/>
          <w:spacing w:val="5"/>
          <w:sz w:val="20"/>
          <w:szCs w:val="20"/>
        </w:rPr>
        <w:t>血浆的碘浓度。乳中碘浓度</w:t>
      </w:r>
      <w:r>
        <w:rPr>
          <w:rFonts w:ascii="宋体" w:eastAsia="宋体" w:hAnsi="宋体" w:cs="宋体"/>
          <w:sz w:val="20"/>
          <w:szCs w:val="20"/>
        </w:rPr>
        <w:t xml:space="preserve"> </w:t>
      </w:r>
      <w:r>
        <w:rPr>
          <w:rFonts w:ascii="宋体" w:eastAsia="宋体" w:hAnsi="宋体" w:cs="宋体"/>
          <w:spacing w:val="19"/>
          <w:sz w:val="20"/>
          <w:szCs w:val="20"/>
        </w:rPr>
        <w:t>较高，与婴儿的生理需要有关。目前我国营养学会推荐的乳母需要碘的量为</w:t>
      </w:r>
      <w:r>
        <w:rPr>
          <w:rFonts w:ascii="宋体" w:eastAsia="宋体" w:hAnsi="宋体" w:cs="宋体"/>
          <w:spacing w:val="12"/>
          <w:sz w:val="20"/>
          <w:szCs w:val="20"/>
        </w:rPr>
        <w:t xml:space="preserve"> </w:t>
      </w:r>
      <w:r>
        <w:rPr>
          <w:rFonts w:ascii="Times New Roman" w:eastAsia="Times New Roman" w:hAnsi="Times New Roman" w:cs="Times New Roman"/>
          <w:spacing w:val="-3"/>
          <w:sz w:val="20"/>
          <w:szCs w:val="20"/>
        </w:rPr>
        <w:t>150μg/d</w:t>
      </w:r>
      <w:r>
        <w:rPr>
          <w:rFonts w:ascii="宋体" w:eastAsia="宋体" w:hAnsi="宋体" w:cs="宋体"/>
          <w:spacing w:val="-3"/>
          <w:sz w:val="20"/>
          <w:szCs w:val="20"/>
        </w:rPr>
        <w:t>。</w:t>
      </w:r>
    </w:p>
    <w:p w:rsidR="00EA40A3" w:rsidRDefault="00E86C16">
      <w:pPr>
        <w:spacing w:before="260" w:line="222" w:lineRule="auto"/>
        <w:rPr>
          <w:rFonts w:ascii="仿宋" w:eastAsia="仿宋" w:hAnsi="仿宋" w:cs="仿宋"/>
          <w:sz w:val="20"/>
          <w:szCs w:val="20"/>
        </w:rPr>
      </w:pPr>
      <w:r>
        <w:rPr>
          <w:rFonts w:ascii="仿宋" w:eastAsia="仿宋" w:hAnsi="仿宋" w:cs="仿宋"/>
          <w:spacing w:val="5"/>
          <w:sz w:val="20"/>
          <w:szCs w:val="20"/>
        </w:rPr>
        <w:t>5.</w:t>
      </w:r>
      <w:r>
        <w:rPr>
          <w:rFonts w:ascii="仿宋" w:eastAsia="仿宋" w:hAnsi="仿宋" w:cs="仿宋"/>
          <w:spacing w:val="54"/>
          <w:sz w:val="20"/>
          <w:szCs w:val="20"/>
        </w:rPr>
        <w:t xml:space="preserve"> </w:t>
      </w:r>
      <w:r>
        <w:rPr>
          <w:rFonts w:ascii="仿宋" w:eastAsia="仿宋" w:hAnsi="仿宋" w:cs="仿宋"/>
          <w:spacing w:val="5"/>
          <w:sz w:val="20"/>
          <w:szCs w:val="20"/>
        </w:rPr>
        <w:t>维生素</w:t>
      </w:r>
    </w:p>
    <w:p w:rsidR="00EA40A3" w:rsidRDefault="00E86C16">
      <w:pPr>
        <w:spacing w:before="103" w:line="219" w:lineRule="auto"/>
        <w:rPr>
          <w:rFonts w:ascii="宋体" w:eastAsia="宋体" w:hAnsi="宋体" w:cs="宋体"/>
          <w:sz w:val="20"/>
          <w:szCs w:val="20"/>
        </w:rPr>
      </w:pPr>
      <w:r>
        <w:rPr>
          <w:rFonts w:ascii="宋体" w:eastAsia="宋体" w:hAnsi="宋体" w:cs="宋体"/>
          <w:spacing w:val="8"/>
          <w:sz w:val="20"/>
          <w:szCs w:val="20"/>
        </w:rPr>
        <w:t>1)脂溶性维生素</w:t>
      </w:r>
    </w:p>
    <w:p w:rsidR="00EA40A3" w:rsidRDefault="00E86C16">
      <w:pPr>
        <w:spacing w:before="103" w:line="267" w:lineRule="auto"/>
        <w:ind w:firstLine="399"/>
        <w:jc w:val="both"/>
        <w:rPr>
          <w:rFonts w:ascii="宋体" w:eastAsia="宋体" w:hAnsi="宋体" w:cs="宋体"/>
          <w:sz w:val="20"/>
          <w:szCs w:val="20"/>
        </w:rPr>
      </w:pPr>
      <w:r>
        <w:rPr>
          <w:rFonts w:ascii="宋体" w:eastAsia="宋体" w:hAnsi="宋体" w:cs="宋体"/>
          <w:spacing w:val="14"/>
          <w:sz w:val="20"/>
          <w:szCs w:val="20"/>
        </w:rPr>
        <w:t>在脂溶性维生素中，维生素</w:t>
      </w:r>
      <w:r>
        <w:rPr>
          <w:rFonts w:ascii="宋体" w:eastAsia="宋体" w:hAnsi="宋体" w:cs="宋体"/>
          <w:spacing w:val="-41"/>
          <w:sz w:val="20"/>
          <w:szCs w:val="20"/>
        </w:rPr>
        <w:t xml:space="preserve"> </w:t>
      </w:r>
      <w:r>
        <w:rPr>
          <w:rFonts w:ascii="宋体" w:eastAsia="宋体" w:hAnsi="宋体" w:cs="宋体"/>
          <w:spacing w:val="14"/>
          <w:sz w:val="20"/>
          <w:szCs w:val="20"/>
        </w:rPr>
        <w:t>A</w:t>
      </w:r>
      <w:r>
        <w:rPr>
          <w:rFonts w:ascii="宋体" w:eastAsia="宋体" w:hAnsi="宋体" w:cs="宋体"/>
          <w:spacing w:val="22"/>
          <w:sz w:val="20"/>
          <w:szCs w:val="20"/>
        </w:rPr>
        <w:t xml:space="preserve"> </w:t>
      </w:r>
      <w:r>
        <w:rPr>
          <w:rFonts w:ascii="宋体" w:eastAsia="宋体" w:hAnsi="宋体" w:cs="宋体"/>
          <w:spacing w:val="14"/>
          <w:sz w:val="20"/>
          <w:szCs w:val="20"/>
        </w:rPr>
        <w:t>能少量通过乳腺进入乳汁，供给婴儿需要。</w:t>
      </w:r>
      <w:r>
        <w:rPr>
          <w:rFonts w:ascii="宋体" w:eastAsia="宋体" w:hAnsi="宋体" w:cs="宋体"/>
          <w:sz w:val="20"/>
          <w:szCs w:val="20"/>
        </w:rPr>
        <w:t xml:space="preserve"> </w:t>
      </w:r>
      <w:r>
        <w:rPr>
          <w:rFonts w:ascii="宋体" w:eastAsia="宋体" w:hAnsi="宋体" w:cs="宋体"/>
          <w:spacing w:val="3"/>
          <w:sz w:val="20"/>
          <w:szCs w:val="20"/>
        </w:rPr>
        <w:t>正常的乳母分泌的乳汁当中，维生素A</w:t>
      </w:r>
      <w:r>
        <w:rPr>
          <w:rFonts w:ascii="宋体" w:eastAsia="宋体" w:hAnsi="宋体" w:cs="宋体"/>
          <w:spacing w:val="21"/>
          <w:sz w:val="20"/>
          <w:szCs w:val="20"/>
        </w:rPr>
        <w:t xml:space="preserve"> </w:t>
      </w:r>
      <w:r>
        <w:rPr>
          <w:rFonts w:ascii="宋体" w:eastAsia="宋体" w:hAnsi="宋体" w:cs="宋体"/>
          <w:spacing w:val="3"/>
          <w:sz w:val="20"/>
          <w:szCs w:val="20"/>
        </w:rPr>
        <w:t>的浓度约为</w:t>
      </w:r>
      <w:r>
        <w:rPr>
          <w:rFonts w:ascii="宋体" w:eastAsia="宋体" w:hAnsi="宋体" w:cs="宋体"/>
          <w:spacing w:val="2"/>
          <w:sz w:val="20"/>
          <w:szCs w:val="20"/>
        </w:rPr>
        <w:t>61μg/100</w:t>
      </w:r>
      <w:r>
        <w:rPr>
          <w:rFonts w:ascii="宋体" w:eastAsia="宋体" w:hAnsi="宋体" w:cs="宋体"/>
          <w:sz w:val="20"/>
          <w:szCs w:val="20"/>
        </w:rPr>
        <w:t>mL</w:t>
      </w:r>
      <w:r>
        <w:rPr>
          <w:rFonts w:ascii="宋体" w:eastAsia="宋体" w:hAnsi="宋体" w:cs="宋体"/>
          <w:spacing w:val="2"/>
          <w:sz w:val="20"/>
          <w:szCs w:val="20"/>
        </w:rPr>
        <w:t>。</w:t>
      </w:r>
      <w:r>
        <w:rPr>
          <w:rFonts w:ascii="宋体" w:eastAsia="宋体" w:hAnsi="宋体" w:cs="宋体"/>
          <w:spacing w:val="13"/>
          <w:sz w:val="20"/>
          <w:szCs w:val="20"/>
        </w:rPr>
        <w:t xml:space="preserve">  </w:t>
      </w:r>
      <w:r>
        <w:rPr>
          <w:rFonts w:ascii="宋体" w:eastAsia="宋体" w:hAnsi="宋体" w:cs="宋体"/>
          <w:spacing w:val="2"/>
          <w:sz w:val="20"/>
          <w:szCs w:val="20"/>
        </w:rPr>
        <w:t>哺乳期妇女的</w:t>
      </w:r>
      <w:r>
        <w:rPr>
          <w:rFonts w:ascii="宋体" w:eastAsia="宋体" w:hAnsi="宋体" w:cs="宋体"/>
          <w:sz w:val="20"/>
          <w:szCs w:val="20"/>
        </w:rPr>
        <w:t xml:space="preserve">  </w:t>
      </w:r>
      <w:r>
        <w:rPr>
          <w:rFonts w:ascii="宋体" w:eastAsia="宋体" w:hAnsi="宋体" w:cs="宋体"/>
          <w:spacing w:val="10"/>
          <w:sz w:val="20"/>
          <w:szCs w:val="20"/>
        </w:rPr>
        <w:t>膳食当中应当有充足的维生素</w:t>
      </w:r>
      <w:r>
        <w:rPr>
          <w:rFonts w:ascii="宋体" w:eastAsia="宋体" w:hAnsi="宋体" w:cs="宋体"/>
          <w:spacing w:val="-46"/>
          <w:sz w:val="20"/>
          <w:szCs w:val="20"/>
        </w:rPr>
        <w:t xml:space="preserve"> </w:t>
      </w:r>
      <w:r>
        <w:rPr>
          <w:rFonts w:ascii="宋体" w:eastAsia="宋体" w:hAnsi="宋体" w:cs="宋体"/>
          <w:spacing w:val="10"/>
          <w:sz w:val="20"/>
          <w:szCs w:val="20"/>
        </w:rPr>
        <w:t>A,</w:t>
      </w:r>
      <w:r>
        <w:rPr>
          <w:rFonts w:ascii="宋体" w:eastAsia="宋体" w:hAnsi="宋体" w:cs="宋体"/>
          <w:spacing w:val="62"/>
          <w:sz w:val="20"/>
          <w:szCs w:val="20"/>
        </w:rPr>
        <w:t xml:space="preserve"> </w:t>
      </w:r>
      <w:r>
        <w:rPr>
          <w:rFonts w:ascii="宋体" w:eastAsia="宋体" w:hAnsi="宋体" w:cs="宋体"/>
          <w:spacing w:val="10"/>
          <w:sz w:val="20"/>
          <w:szCs w:val="20"/>
        </w:rPr>
        <w:t>这不仅能够保证乳汁中维生素</w:t>
      </w:r>
      <w:r>
        <w:rPr>
          <w:rFonts w:ascii="宋体" w:eastAsia="宋体" w:hAnsi="宋体" w:cs="宋体"/>
          <w:spacing w:val="-60"/>
          <w:sz w:val="20"/>
          <w:szCs w:val="20"/>
        </w:rPr>
        <w:t xml:space="preserve"> </w:t>
      </w:r>
      <w:r>
        <w:rPr>
          <w:rFonts w:ascii="宋体" w:eastAsia="宋体" w:hAnsi="宋体" w:cs="宋体"/>
          <w:spacing w:val="10"/>
          <w:sz w:val="20"/>
          <w:szCs w:val="20"/>
        </w:rPr>
        <w:t>A</w:t>
      </w:r>
      <w:r>
        <w:rPr>
          <w:rFonts w:ascii="宋体" w:eastAsia="宋体" w:hAnsi="宋体" w:cs="宋体"/>
          <w:spacing w:val="42"/>
          <w:sz w:val="20"/>
          <w:szCs w:val="20"/>
        </w:rPr>
        <w:t xml:space="preserve"> </w:t>
      </w:r>
      <w:r>
        <w:rPr>
          <w:rFonts w:ascii="宋体" w:eastAsia="宋体" w:hAnsi="宋体" w:cs="宋体"/>
          <w:spacing w:val="10"/>
          <w:sz w:val="20"/>
          <w:szCs w:val="20"/>
        </w:rPr>
        <w:t>的浓度，满</w:t>
      </w:r>
      <w:r>
        <w:rPr>
          <w:rFonts w:ascii="宋体" w:eastAsia="宋体" w:hAnsi="宋体" w:cs="宋体"/>
          <w:sz w:val="20"/>
          <w:szCs w:val="20"/>
        </w:rPr>
        <w:t xml:space="preserve">  </w:t>
      </w:r>
      <w:r>
        <w:rPr>
          <w:rFonts w:ascii="宋体" w:eastAsia="宋体" w:hAnsi="宋体" w:cs="宋体"/>
          <w:spacing w:val="12"/>
          <w:sz w:val="20"/>
          <w:szCs w:val="20"/>
        </w:rPr>
        <w:t>足乳母自身需要，还能够改善铁的营养状态。我国推荐的乳母膳食中维生素</w:t>
      </w:r>
      <w:r>
        <w:rPr>
          <w:rFonts w:ascii="宋体" w:eastAsia="宋体" w:hAnsi="宋体" w:cs="宋体"/>
          <w:spacing w:val="-31"/>
          <w:sz w:val="20"/>
          <w:szCs w:val="20"/>
        </w:rPr>
        <w:t xml:space="preserve"> </w:t>
      </w:r>
      <w:r>
        <w:rPr>
          <w:rFonts w:ascii="宋体" w:eastAsia="宋体" w:hAnsi="宋体" w:cs="宋体"/>
          <w:spacing w:val="12"/>
          <w:sz w:val="20"/>
          <w:szCs w:val="20"/>
        </w:rPr>
        <w:t>A</w:t>
      </w:r>
      <w:r>
        <w:rPr>
          <w:rFonts w:ascii="宋体" w:eastAsia="宋体" w:hAnsi="宋体" w:cs="宋体"/>
          <w:sz w:val="20"/>
          <w:szCs w:val="20"/>
        </w:rPr>
        <w:t xml:space="preserve">  </w:t>
      </w:r>
      <w:r>
        <w:rPr>
          <w:rFonts w:ascii="宋体" w:eastAsia="宋体" w:hAnsi="宋体" w:cs="宋体"/>
          <w:spacing w:val="5"/>
          <w:sz w:val="20"/>
          <w:szCs w:val="20"/>
        </w:rPr>
        <w:t>摄入量为每日1200</w:t>
      </w:r>
      <w:r>
        <w:rPr>
          <w:rFonts w:ascii="宋体" w:eastAsia="宋体" w:hAnsi="宋体" w:cs="宋体"/>
          <w:spacing w:val="-28"/>
          <w:sz w:val="20"/>
          <w:szCs w:val="20"/>
        </w:rPr>
        <w:t xml:space="preserve"> </w:t>
      </w:r>
      <w:r>
        <w:rPr>
          <w:rFonts w:ascii="宋体" w:eastAsia="宋体" w:hAnsi="宋体" w:cs="宋体"/>
          <w:spacing w:val="5"/>
          <w:sz w:val="20"/>
          <w:szCs w:val="20"/>
        </w:rPr>
        <w:t>μg</w:t>
      </w:r>
      <w:r>
        <w:rPr>
          <w:rFonts w:ascii="宋体" w:eastAsia="宋体" w:hAnsi="宋体" w:cs="宋体"/>
          <w:spacing w:val="-29"/>
          <w:sz w:val="20"/>
          <w:szCs w:val="20"/>
        </w:rPr>
        <w:t xml:space="preserve"> </w:t>
      </w:r>
      <w:r>
        <w:rPr>
          <w:rFonts w:ascii="宋体" w:eastAsia="宋体" w:hAnsi="宋体" w:cs="宋体"/>
          <w:spacing w:val="5"/>
          <w:sz w:val="20"/>
          <w:szCs w:val="20"/>
        </w:rPr>
        <w:t>视黄醇当量，也就是3600</w:t>
      </w:r>
      <w:r>
        <w:rPr>
          <w:rFonts w:ascii="宋体" w:eastAsia="宋体" w:hAnsi="宋体" w:cs="宋体"/>
          <w:sz w:val="20"/>
          <w:szCs w:val="20"/>
        </w:rPr>
        <w:t>IU</w:t>
      </w:r>
      <w:r>
        <w:rPr>
          <w:rFonts w:ascii="宋体" w:eastAsia="宋体" w:hAnsi="宋体" w:cs="宋体"/>
          <w:spacing w:val="5"/>
          <w:sz w:val="20"/>
          <w:szCs w:val="20"/>
        </w:rPr>
        <w:t>/d。</w:t>
      </w:r>
      <w:r>
        <w:rPr>
          <w:rFonts w:ascii="宋体" w:eastAsia="宋体" w:hAnsi="宋体" w:cs="宋体"/>
          <w:spacing w:val="49"/>
          <w:sz w:val="20"/>
          <w:szCs w:val="20"/>
        </w:rPr>
        <w:t xml:space="preserve"> </w:t>
      </w:r>
      <w:r>
        <w:rPr>
          <w:rFonts w:ascii="宋体" w:eastAsia="宋体" w:hAnsi="宋体" w:cs="宋体"/>
          <w:spacing w:val="5"/>
          <w:sz w:val="20"/>
          <w:szCs w:val="20"/>
        </w:rPr>
        <w:t>维生素</w:t>
      </w:r>
      <w:r>
        <w:rPr>
          <w:rFonts w:ascii="宋体" w:eastAsia="宋体" w:hAnsi="宋体" w:cs="宋体"/>
          <w:spacing w:val="-50"/>
          <w:sz w:val="20"/>
          <w:szCs w:val="20"/>
        </w:rPr>
        <w:t xml:space="preserve"> </w:t>
      </w:r>
      <w:r>
        <w:rPr>
          <w:rFonts w:ascii="宋体" w:eastAsia="宋体" w:hAnsi="宋体" w:cs="宋体"/>
          <w:spacing w:val="5"/>
          <w:sz w:val="20"/>
          <w:szCs w:val="20"/>
        </w:rPr>
        <w:t>D</w:t>
      </w:r>
      <w:r>
        <w:rPr>
          <w:rFonts w:ascii="宋体" w:eastAsia="宋体" w:hAnsi="宋体" w:cs="宋体"/>
          <w:spacing w:val="4"/>
          <w:sz w:val="20"/>
          <w:szCs w:val="20"/>
        </w:rPr>
        <w:t xml:space="preserve"> </w:t>
      </w:r>
      <w:r>
        <w:rPr>
          <w:rFonts w:ascii="宋体" w:eastAsia="宋体" w:hAnsi="宋体" w:cs="宋体"/>
          <w:spacing w:val="5"/>
          <w:sz w:val="20"/>
          <w:szCs w:val="20"/>
        </w:rPr>
        <w:t>几乎不能通过</w:t>
      </w:r>
      <w:r>
        <w:rPr>
          <w:rFonts w:ascii="宋体" w:eastAsia="宋体" w:hAnsi="宋体" w:cs="宋体"/>
          <w:sz w:val="20"/>
          <w:szCs w:val="20"/>
        </w:rPr>
        <w:t xml:space="preserve">  </w:t>
      </w:r>
      <w:r>
        <w:rPr>
          <w:rFonts w:ascii="宋体" w:eastAsia="宋体" w:hAnsi="宋体" w:cs="宋体"/>
          <w:spacing w:val="13"/>
          <w:sz w:val="20"/>
          <w:szCs w:val="20"/>
        </w:rPr>
        <w:t>乳腺，故母乳中维生素D 的含量很低，但乳母仍</w:t>
      </w:r>
      <w:r>
        <w:rPr>
          <w:rFonts w:ascii="宋体" w:eastAsia="宋体" w:hAnsi="宋体" w:cs="宋体"/>
          <w:spacing w:val="12"/>
          <w:sz w:val="20"/>
          <w:szCs w:val="20"/>
        </w:rPr>
        <w:t>需要充足的维生素D</w:t>
      </w:r>
      <w:r>
        <w:rPr>
          <w:rFonts w:ascii="宋体" w:eastAsia="宋体" w:hAnsi="宋体" w:cs="宋体"/>
          <w:spacing w:val="14"/>
          <w:sz w:val="20"/>
          <w:szCs w:val="20"/>
        </w:rPr>
        <w:t xml:space="preserve"> </w:t>
      </w:r>
      <w:r>
        <w:rPr>
          <w:rFonts w:ascii="宋体" w:eastAsia="宋体" w:hAnsi="宋体" w:cs="宋体"/>
          <w:spacing w:val="12"/>
          <w:sz w:val="20"/>
          <w:szCs w:val="20"/>
        </w:rPr>
        <w:t>才能维持</w:t>
      </w:r>
    </w:p>
    <w:p w:rsidR="00EA40A3" w:rsidRDefault="00E86C16">
      <w:pPr>
        <w:spacing w:before="57" w:line="214" w:lineRule="auto"/>
        <w:rPr>
          <w:rFonts w:ascii="宋体" w:eastAsia="宋体" w:hAnsi="宋体" w:cs="宋体"/>
          <w:sz w:val="20"/>
          <w:szCs w:val="20"/>
        </w:rPr>
      </w:pPr>
      <w:r>
        <w:rPr>
          <w:rFonts w:ascii="宋体" w:eastAsia="宋体" w:hAnsi="宋体" w:cs="宋体"/>
          <w:spacing w:val="3"/>
          <w:sz w:val="20"/>
          <w:szCs w:val="20"/>
        </w:rPr>
        <w:t>钙平衡，推荐的摄入量为10μg/d(400</w:t>
      </w:r>
      <w:r>
        <w:rPr>
          <w:rFonts w:ascii="宋体" w:eastAsia="宋体" w:hAnsi="宋体" w:cs="宋体"/>
          <w:sz w:val="20"/>
          <w:szCs w:val="20"/>
        </w:rPr>
        <w:t>IU</w:t>
      </w:r>
      <w:r>
        <w:rPr>
          <w:rFonts w:ascii="宋体" w:eastAsia="宋体" w:hAnsi="宋体" w:cs="宋体"/>
          <w:spacing w:val="3"/>
          <w:sz w:val="20"/>
          <w:szCs w:val="20"/>
        </w:rPr>
        <w:t>/d)。</w:t>
      </w:r>
      <w:r>
        <w:rPr>
          <w:rFonts w:ascii="宋体" w:eastAsia="宋体" w:hAnsi="宋体" w:cs="宋体"/>
          <w:spacing w:val="13"/>
          <w:sz w:val="20"/>
          <w:szCs w:val="20"/>
        </w:rPr>
        <w:t xml:space="preserve">   </w:t>
      </w:r>
      <w:r>
        <w:rPr>
          <w:rFonts w:ascii="宋体" w:eastAsia="宋体" w:hAnsi="宋体" w:cs="宋体"/>
          <w:spacing w:val="3"/>
          <w:sz w:val="20"/>
          <w:szCs w:val="20"/>
        </w:rPr>
        <w:t>维生素</w:t>
      </w:r>
      <w:r>
        <w:rPr>
          <w:rFonts w:ascii="宋体" w:eastAsia="宋体" w:hAnsi="宋体" w:cs="宋体"/>
          <w:spacing w:val="-59"/>
          <w:sz w:val="20"/>
          <w:szCs w:val="20"/>
        </w:rPr>
        <w:t xml:space="preserve"> </w:t>
      </w:r>
      <w:r>
        <w:rPr>
          <w:rFonts w:ascii="宋体" w:eastAsia="宋体" w:hAnsi="宋体" w:cs="宋体"/>
          <w:spacing w:val="3"/>
          <w:sz w:val="20"/>
          <w:szCs w:val="20"/>
        </w:rPr>
        <w:t>E</w:t>
      </w:r>
      <w:r>
        <w:rPr>
          <w:rFonts w:ascii="宋体" w:eastAsia="宋体" w:hAnsi="宋体" w:cs="宋体"/>
          <w:spacing w:val="-5"/>
          <w:sz w:val="20"/>
          <w:szCs w:val="20"/>
        </w:rPr>
        <w:t xml:space="preserve"> </w:t>
      </w:r>
      <w:r>
        <w:rPr>
          <w:rFonts w:ascii="宋体" w:eastAsia="宋体" w:hAnsi="宋体" w:cs="宋体"/>
          <w:spacing w:val="3"/>
          <w:sz w:val="20"/>
          <w:szCs w:val="20"/>
        </w:rPr>
        <w:t>的推荐摄</w:t>
      </w:r>
      <w:r>
        <w:rPr>
          <w:rFonts w:ascii="宋体" w:eastAsia="宋体" w:hAnsi="宋体" w:cs="宋体"/>
          <w:spacing w:val="2"/>
          <w:sz w:val="20"/>
          <w:szCs w:val="20"/>
        </w:rPr>
        <w:t>入量为14</w:t>
      </w:r>
      <w:r>
        <w:rPr>
          <w:rFonts w:ascii="宋体" w:eastAsia="宋体" w:hAnsi="宋体" w:cs="宋体"/>
          <w:sz w:val="20"/>
          <w:szCs w:val="20"/>
        </w:rPr>
        <w:t>mg</w:t>
      </w:r>
      <w:r>
        <w:rPr>
          <w:rFonts w:ascii="宋体" w:eastAsia="宋体" w:hAnsi="宋体" w:cs="宋体"/>
          <w:spacing w:val="2"/>
          <w:sz w:val="20"/>
          <w:szCs w:val="20"/>
        </w:rPr>
        <w:t>/</w:t>
      </w:r>
    </w:p>
    <w:p w:rsidR="00EA40A3" w:rsidRDefault="00E86C16">
      <w:pPr>
        <w:spacing w:before="75" w:line="338" w:lineRule="exact"/>
        <w:rPr>
          <w:rFonts w:ascii="宋体" w:eastAsia="宋体" w:hAnsi="宋体" w:cs="宋体"/>
          <w:sz w:val="20"/>
          <w:szCs w:val="20"/>
        </w:rPr>
      </w:pPr>
      <w:r>
        <w:rPr>
          <w:rFonts w:ascii="宋体" w:eastAsia="宋体" w:hAnsi="宋体" w:cs="宋体"/>
          <w:spacing w:val="1"/>
          <w:position w:val="10"/>
          <w:sz w:val="20"/>
          <w:szCs w:val="20"/>
        </w:rPr>
        <w:t>d</w:t>
      </w:r>
      <w:r>
        <w:rPr>
          <w:rFonts w:ascii="宋体" w:eastAsia="宋体" w:hAnsi="宋体" w:cs="宋体"/>
          <w:spacing w:val="8"/>
          <w:position w:val="10"/>
          <w:sz w:val="20"/>
          <w:szCs w:val="20"/>
        </w:rPr>
        <w:t xml:space="preserve"> </w:t>
      </w:r>
      <w:r>
        <w:rPr>
          <w:rFonts w:ascii="宋体" w:eastAsia="宋体" w:hAnsi="宋体" w:cs="宋体"/>
          <w:spacing w:val="1"/>
          <w:position w:val="10"/>
          <w:sz w:val="20"/>
          <w:szCs w:val="20"/>
        </w:rPr>
        <w:t>(以α生育酚计)。</w:t>
      </w:r>
    </w:p>
    <w:p w:rsidR="00EA40A3" w:rsidRDefault="00E86C16">
      <w:pPr>
        <w:spacing w:line="225" w:lineRule="auto"/>
        <w:rPr>
          <w:rFonts w:ascii="楷体" w:eastAsia="楷体" w:hAnsi="楷体" w:cs="楷体"/>
          <w:sz w:val="20"/>
          <w:szCs w:val="20"/>
        </w:rPr>
      </w:pPr>
      <w:r>
        <w:rPr>
          <w:rFonts w:ascii="楷体" w:eastAsia="楷体" w:hAnsi="楷体" w:cs="楷体"/>
          <w:spacing w:val="11"/>
          <w:sz w:val="20"/>
          <w:szCs w:val="20"/>
        </w:rPr>
        <w:t>2)水溶性维生素</w:t>
      </w:r>
    </w:p>
    <w:p w:rsidR="00EA40A3" w:rsidRDefault="00E86C16">
      <w:pPr>
        <w:spacing w:before="98" w:line="253" w:lineRule="auto"/>
        <w:ind w:right="90" w:firstLine="399"/>
        <w:rPr>
          <w:rFonts w:ascii="宋体" w:eastAsia="宋体" w:hAnsi="宋体" w:cs="宋体"/>
          <w:sz w:val="20"/>
          <w:szCs w:val="20"/>
        </w:rPr>
      </w:pPr>
      <w:r>
        <w:rPr>
          <w:rFonts w:ascii="宋体" w:eastAsia="宋体" w:hAnsi="宋体" w:cs="宋体"/>
          <w:spacing w:val="7"/>
          <w:sz w:val="20"/>
          <w:szCs w:val="20"/>
        </w:rPr>
        <w:t xml:space="preserve">多数水溶性维生素均可通过乳腺进入乳汁，因此，乳汁中水溶性维生素的浓 </w:t>
      </w:r>
      <w:r>
        <w:rPr>
          <w:rFonts w:ascii="宋体" w:eastAsia="宋体" w:hAnsi="宋体" w:cs="宋体"/>
          <w:spacing w:val="4"/>
          <w:sz w:val="20"/>
          <w:szCs w:val="20"/>
        </w:rPr>
        <w:t>度能够反应乳母膳食的摄入状况。</w:t>
      </w:r>
      <w:r>
        <w:rPr>
          <w:rFonts w:ascii="宋体" w:eastAsia="宋体" w:hAnsi="宋体" w:cs="宋体"/>
          <w:spacing w:val="15"/>
          <w:sz w:val="20"/>
          <w:szCs w:val="20"/>
        </w:rPr>
        <w:t xml:space="preserve"> </w:t>
      </w:r>
      <w:r>
        <w:rPr>
          <w:rFonts w:ascii="宋体" w:eastAsia="宋体" w:hAnsi="宋体" w:cs="宋体"/>
          <w:spacing w:val="4"/>
          <w:sz w:val="20"/>
          <w:szCs w:val="20"/>
        </w:rPr>
        <w:t>B</w:t>
      </w:r>
      <w:r>
        <w:rPr>
          <w:rFonts w:ascii="宋体" w:eastAsia="宋体" w:hAnsi="宋体" w:cs="宋体"/>
          <w:spacing w:val="-17"/>
          <w:sz w:val="20"/>
          <w:szCs w:val="20"/>
        </w:rPr>
        <w:t xml:space="preserve"> </w:t>
      </w:r>
      <w:r>
        <w:rPr>
          <w:rFonts w:ascii="宋体" w:eastAsia="宋体" w:hAnsi="宋体" w:cs="宋体"/>
          <w:spacing w:val="4"/>
          <w:sz w:val="20"/>
          <w:szCs w:val="20"/>
        </w:rPr>
        <w:t>族维生素是乳母膳食中极为重要的一类维生</w:t>
      </w:r>
    </w:p>
    <w:p w:rsidR="00EA40A3" w:rsidRDefault="00E86C16">
      <w:pPr>
        <w:spacing w:before="47"/>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310</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261"/>
          <w:pgSz w:w="9220" w:h="13360"/>
          <w:pgMar w:top="400" w:right="1039" w:bottom="400" w:left="849" w:header="0" w:footer="0" w:gutter="0"/>
          <w:cols w:space="720"/>
        </w:sectPr>
      </w:pPr>
    </w:p>
    <w:p w:rsidR="00EA40A3" w:rsidRDefault="00EA40A3">
      <w:pPr>
        <w:spacing w:line="299" w:lineRule="auto"/>
      </w:pPr>
    </w:p>
    <w:p w:rsidR="00EA40A3" w:rsidRDefault="00EA40A3">
      <w:pPr>
        <w:spacing w:line="300" w:lineRule="auto"/>
      </w:pPr>
    </w:p>
    <w:p w:rsidR="00EA40A3" w:rsidRDefault="00E86C16">
      <w:pPr>
        <w:spacing w:before="69" w:line="265" w:lineRule="auto"/>
        <w:ind w:right="66"/>
        <w:rPr>
          <w:rFonts w:ascii="宋体" w:eastAsia="宋体" w:hAnsi="宋体" w:cs="宋体"/>
        </w:rPr>
      </w:pPr>
      <w:r>
        <w:rPr>
          <w:rFonts w:ascii="宋体" w:eastAsia="宋体" w:hAnsi="宋体" w:cs="宋体"/>
        </w:rPr>
        <w:t>素，如维生素B</w:t>
      </w:r>
      <w:r>
        <w:rPr>
          <w:rFonts w:ascii="Calibri" w:eastAsia="Calibri" w:hAnsi="Calibri" w:cs="Calibri"/>
        </w:rPr>
        <w:t>₁</w:t>
      </w:r>
      <w:r>
        <w:rPr>
          <w:rFonts w:ascii="Calibri" w:eastAsia="Calibri" w:hAnsi="Calibri" w:cs="Calibri"/>
          <w:spacing w:val="34"/>
        </w:rPr>
        <w:t xml:space="preserve"> </w:t>
      </w:r>
      <w:r>
        <w:rPr>
          <w:rFonts w:ascii="宋体" w:eastAsia="宋体" w:hAnsi="宋体" w:cs="宋体"/>
        </w:rPr>
        <w:t>能增进食欲，促进乳汁分泌，若乳母维生素</w:t>
      </w:r>
      <w:r>
        <w:rPr>
          <w:rFonts w:ascii="宋体" w:eastAsia="宋体" w:hAnsi="宋体" w:cs="宋体"/>
          <w:spacing w:val="-39"/>
        </w:rPr>
        <w:t xml:space="preserve"> </w:t>
      </w:r>
      <w:r>
        <w:rPr>
          <w:rFonts w:ascii="宋体" w:eastAsia="宋体" w:hAnsi="宋体" w:cs="宋体"/>
        </w:rPr>
        <w:t>B</w:t>
      </w:r>
      <w:r>
        <w:rPr>
          <w:rFonts w:ascii="Calibri" w:eastAsia="Calibri" w:hAnsi="Calibri" w:cs="Calibri"/>
        </w:rPr>
        <w:t>₁</w:t>
      </w:r>
      <w:r>
        <w:rPr>
          <w:rFonts w:ascii="Calibri" w:eastAsia="Calibri" w:hAnsi="Calibri" w:cs="Calibri"/>
          <w:spacing w:val="19"/>
          <w:w w:val="101"/>
        </w:rPr>
        <w:t xml:space="preserve"> </w:t>
      </w:r>
      <w:r>
        <w:rPr>
          <w:rFonts w:ascii="宋体" w:eastAsia="宋体" w:hAnsi="宋体" w:cs="宋体"/>
        </w:rPr>
        <w:t xml:space="preserve">严重摄入不足则 </w:t>
      </w:r>
      <w:r>
        <w:rPr>
          <w:rFonts w:ascii="宋体" w:eastAsia="宋体" w:hAnsi="宋体" w:cs="宋体"/>
          <w:spacing w:val="-3"/>
        </w:rPr>
        <w:t>婴儿易患脚气病；乳母增补叶酸能够有效降低婴儿</w:t>
      </w:r>
      <w:r>
        <w:rPr>
          <w:rFonts w:ascii="宋体" w:eastAsia="宋体" w:hAnsi="宋体" w:cs="宋体"/>
          <w:spacing w:val="-4"/>
        </w:rPr>
        <w:t>贫血患病率。我国乳母膳食中</w:t>
      </w:r>
      <w:r>
        <w:rPr>
          <w:rFonts w:ascii="宋体" w:eastAsia="宋体" w:hAnsi="宋体" w:cs="宋体"/>
        </w:rPr>
        <w:t xml:space="preserve"> </w:t>
      </w:r>
      <w:r>
        <w:rPr>
          <w:rFonts w:ascii="宋体" w:eastAsia="宋体" w:hAnsi="宋体" w:cs="宋体"/>
          <w:spacing w:val="1"/>
        </w:rPr>
        <w:t>维生素B</w:t>
      </w:r>
      <w:r>
        <w:rPr>
          <w:rFonts w:ascii="Calibri" w:eastAsia="Calibri" w:hAnsi="Calibri" w:cs="Calibri"/>
          <w:spacing w:val="1"/>
        </w:rPr>
        <w:t>₁</w:t>
      </w:r>
      <w:r>
        <w:rPr>
          <w:rFonts w:ascii="Calibri" w:eastAsia="Calibri" w:hAnsi="Calibri" w:cs="Calibri"/>
          <w:spacing w:val="50"/>
          <w:w w:val="101"/>
        </w:rPr>
        <w:t xml:space="preserve"> </w:t>
      </w:r>
      <w:r>
        <w:rPr>
          <w:rFonts w:ascii="宋体" w:eastAsia="宋体" w:hAnsi="宋体" w:cs="宋体"/>
          <w:spacing w:val="1"/>
        </w:rPr>
        <w:t>的推荐摄入量</w:t>
      </w:r>
      <w:r>
        <w:rPr>
          <w:rFonts w:ascii="宋体" w:eastAsia="宋体" w:hAnsi="宋体" w:cs="宋体"/>
          <w:spacing w:val="-10"/>
        </w:rPr>
        <w:t xml:space="preserve"> </w:t>
      </w:r>
      <w:r>
        <w:rPr>
          <w:rFonts w:ascii="宋体" w:eastAsia="宋体" w:hAnsi="宋体" w:cs="宋体"/>
          <w:spacing w:val="1"/>
        </w:rPr>
        <w:t>(</w:t>
      </w:r>
      <w:r>
        <w:rPr>
          <w:rFonts w:ascii="宋体" w:eastAsia="宋体" w:hAnsi="宋体" w:cs="宋体"/>
        </w:rPr>
        <w:t>RNI</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1"/>
        </w:rPr>
        <w:t>为1.8</w:t>
      </w:r>
      <w:r>
        <w:rPr>
          <w:rFonts w:ascii="宋体" w:eastAsia="宋体" w:hAnsi="宋体" w:cs="宋体"/>
        </w:rPr>
        <w:t>mg</w:t>
      </w:r>
      <w:r>
        <w:rPr>
          <w:rFonts w:ascii="宋体" w:eastAsia="宋体" w:hAnsi="宋体" w:cs="宋体"/>
          <w:spacing w:val="1"/>
        </w:rPr>
        <w:t>/d;</w:t>
      </w:r>
      <w:r>
        <w:rPr>
          <w:rFonts w:ascii="宋体" w:eastAsia="宋体" w:hAnsi="宋体" w:cs="宋体"/>
          <w:spacing w:val="53"/>
        </w:rPr>
        <w:t xml:space="preserve"> </w:t>
      </w:r>
      <w:r>
        <w:rPr>
          <w:rFonts w:ascii="宋体" w:eastAsia="宋体" w:hAnsi="宋体" w:cs="宋体"/>
          <w:spacing w:val="1"/>
        </w:rPr>
        <w:t>维生素B</w:t>
      </w:r>
      <w:r>
        <w:rPr>
          <w:rFonts w:ascii="Calibri" w:eastAsia="Calibri" w:hAnsi="Calibri" w:cs="Calibri"/>
          <w:spacing w:val="1"/>
        </w:rPr>
        <w:t>₂</w:t>
      </w:r>
      <w:r>
        <w:rPr>
          <w:rFonts w:ascii="Calibri" w:eastAsia="Calibri" w:hAnsi="Calibri" w:cs="Calibri"/>
        </w:rPr>
        <w:t xml:space="preserve"> </w:t>
      </w:r>
      <w:r>
        <w:rPr>
          <w:rFonts w:ascii="宋体" w:eastAsia="宋体" w:hAnsi="宋体" w:cs="宋体"/>
          <w:spacing w:val="1"/>
        </w:rPr>
        <w:t>的</w:t>
      </w:r>
      <w:r>
        <w:rPr>
          <w:rFonts w:ascii="宋体" w:eastAsia="宋体" w:hAnsi="宋体" w:cs="宋体"/>
          <w:spacing w:val="-29"/>
        </w:rPr>
        <w:t xml:space="preserve"> </w:t>
      </w:r>
      <w:r>
        <w:rPr>
          <w:rFonts w:ascii="宋体" w:eastAsia="宋体" w:hAnsi="宋体" w:cs="宋体"/>
        </w:rPr>
        <w:t>RNI</w:t>
      </w:r>
      <w:r>
        <w:rPr>
          <w:rFonts w:ascii="宋体" w:eastAsia="宋体" w:hAnsi="宋体" w:cs="宋体"/>
          <w:spacing w:val="26"/>
        </w:rPr>
        <w:t xml:space="preserve"> </w:t>
      </w:r>
      <w:r>
        <w:rPr>
          <w:rFonts w:ascii="宋体" w:eastAsia="宋体" w:hAnsi="宋体" w:cs="宋体"/>
          <w:spacing w:val="1"/>
        </w:rPr>
        <w:t>为1.7</w:t>
      </w:r>
      <w:r>
        <w:rPr>
          <w:rFonts w:ascii="宋体" w:eastAsia="宋体" w:hAnsi="宋体" w:cs="宋体"/>
        </w:rPr>
        <w:t>mg</w:t>
      </w:r>
      <w:r>
        <w:rPr>
          <w:rFonts w:ascii="宋体" w:eastAsia="宋体" w:hAnsi="宋体" w:cs="宋体"/>
          <w:spacing w:val="1"/>
        </w:rPr>
        <w:t>/d;</w:t>
      </w:r>
      <w:r>
        <w:rPr>
          <w:rFonts w:ascii="宋体" w:eastAsia="宋体" w:hAnsi="宋体" w:cs="宋体"/>
          <w:spacing w:val="53"/>
        </w:rPr>
        <w:t xml:space="preserve"> </w:t>
      </w:r>
      <w:r>
        <w:rPr>
          <w:rFonts w:ascii="宋体" w:eastAsia="宋体" w:hAnsi="宋体" w:cs="宋体"/>
          <w:spacing w:val="1"/>
        </w:rPr>
        <w:t>尼</w:t>
      </w:r>
      <w:r>
        <w:rPr>
          <w:rFonts w:ascii="宋体" w:eastAsia="宋体" w:hAnsi="宋体" w:cs="宋体"/>
        </w:rPr>
        <w:t xml:space="preserve"> </w:t>
      </w:r>
      <w:r>
        <w:rPr>
          <w:rFonts w:ascii="宋体" w:eastAsia="宋体" w:hAnsi="宋体" w:cs="宋体"/>
          <w:spacing w:val="-1"/>
        </w:rPr>
        <w:t>克酸的</w:t>
      </w:r>
      <w:r>
        <w:rPr>
          <w:rFonts w:ascii="宋体" w:eastAsia="宋体" w:hAnsi="宋体" w:cs="宋体"/>
          <w:spacing w:val="-52"/>
        </w:rPr>
        <w:t xml:space="preserve"> </w:t>
      </w:r>
      <w:r>
        <w:rPr>
          <w:rFonts w:ascii="宋体" w:eastAsia="宋体" w:hAnsi="宋体" w:cs="宋体"/>
          <w:spacing w:val="-1"/>
        </w:rPr>
        <w:t>RNI</w:t>
      </w:r>
      <w:r>
        <w:rPr>
          <w:rFonts w:ascii="宋体" w:eastAsia="宋体" w:hAnsi="宋体" w:cs="宋体"/>
          <w:spacing w:val="36"/>
        </w:rPr>
        <w:t xml:space="preserve"> </w:t>
      </w:r>
      <w:r>
        <w:rPr>
          <w:rFonts w:ascii="宋体" w:eastAsia="宋体" w:hAnsi="宋体" w:cs="宋体"/>
          <w:spacing w:val="-1"/>
        </w:rPr>
        <w:t>为</w:t>
      </w:r>
      <w:r>
        <w:rPr>
          <w:rFonts w:ascii="宋体" w:eastAsia="宋体" w:hAnsi="宋体" w:cs="宋体"/>
          <w:spacing w:val="-29"/>
        </w:rPr>
        <w:t xml:space="preserve"> </w:t>
      </w:r>
      <w:r>
        <w:rPr>
          <w:rFonts w:ascii="宋体" w:eastAsia="宋体" w:hAnsi="宋体" w:cs="宋体"/>
          <w:spacing w:val="-1"/>
        </w:rPr>
        <w:t>1</w:t>
      </w:r>
      <w:r>
        <w:rPr>
          <w:rFonts w:ascii="宋体" w:eastAsia="宋体" w:hAnsi="宋体" w:cs="宋体"/>
          <w:spacing w:val="-45"/>
        </w:rPr>
        <w:t xml:space="preserve"> </w:t>
      </w:r>
      <w:r>
        <w:rPr>
          <w:rFonts w:ascii="宋体" w:eastAsia="宋体" w:hAnsi="宋体" w:cs="宋体"/>
          <w:spacing w:val="-1"/>
        </w:rPr>
        <w:t>8mgNE;</w:t>
      </w:r>
      <w:r>
        <w:rPr>
          <w:rFonts w:ascii="宋体" w:eastAsia="宋体" w:hAnsi="宋体" w:cs="宋体"/>
          <w:spacing w:val="24"/>
        </w:rPr>
        <w:t xml:space="preserve">  </w:t>
      </w:r>
      <w:r>
        <w:rPr>
          <w:rFonts w:ascii="宋体" w:eastAsia="宋体" w:hAnsi="宋体" w:cs="宋体"/>
          <w:spacing w:val="-1"/>
        </w:rPr>
        <w:t>维生素</w:t>
      </w:r>
      <w:r>
        <w:rPr>
          <w:rFonts w:ascii="宋体" w:eastAsia="宋体" w:hAnsi="宋体" w:cs="宋体"/>
          <w:spacing w:val="-45"/>
        </w:rPr>
        <w:t xml:space="preserve"> </w:t>
      </w:r>
      <w:r>
        <w:rPr>
          <w:rFonts w:ascii="宋体" w:eastAsia="宋体" w:hAnsi="宋体" w:cs="宋体"/>
          <w:spacing w:val="-1"/>
        </w:rPr>
        <w:t>B</w:t>
      </w:r>
      <w:r>
        <w:rPr>
          <w:rFonts w:ascii="宋体" w:eastAsia="宋体" w:hAnsi="宋体" w:cs="宋体"/>
          <w:spacing w:val="33"/>
        </w:rPr>
        <w:t xml:space="preserve"> </w:t>
      </w:r>
      <w:r>
        <w:rPr>
          <w:rFonts w:ascii="宋体" w:eastAsia="宋体" w:hAnsi="宋体" w:cs="宋体"/>
          <w:spacing w:val="-1"/>
        </w:rPr>
        <w:t>的</w:t>
      </w:r>
      <w:r>
        <w:rPr>
          <w:rFonts w:ascii="宋体" w:eastAsia="宋体" w:hAnsi="宋体" w:cs="宋体"/>
          <w:spacing w:val="-9"/>
        </w:rPr>
        <w:t xml:space="preserve"> </w:t>
      </w:r>
      <w:r>
        <w:rPr>
          <w:rFonts w:ascii="宋体" w:eastAsia="宋体" w:hAnsi="宋体" w:cs="宋体"/>
          <w:spacing w:val="-1"/>
        </w:rPr>
        <w:t>AI</w:t>
      </w:r>
      <w:r>
        <w:rPr>
          <w:rFonts w:ascii="宋体" w:eastAsia="宋体" w:hAnsi="宋体" w:cs="宋体"/>
          <w:spacing w:val="-4"/>
        </w:rPr>
        <w:t xml:space="preserve"> </w:t>
      </w:r>
      <w:r>
        <w:rPr>
          <w:rFonts w:ascii="宋体" w:eastAsia="宋体" w:hAnsi="宋体" w:cs="宋体"/>
          <w:spacing w:val="-1"/>
        </w:rPr>
        <w:t>为1</w:t>
      </w:r>
      <w:r>
        <w:rPr>
          <w:rFonts w:ascii="宋体" w:eastAsia="宋体" w:hAnsi="宋体" w:cs="宋体"/>
          <w:spacing w:val="-58"/>
        </w:rPr>
        <w:t xml:space="preserve"> </w:t>
      </w:r>
      <w:r>
        <w:rPr>
          <w:rFonts w:ascii="宋体" w:eastAsia="宋体" w:hAnsi="宋体" w:cs="宋体"/>
          <w:spacing w:val="-1"/>
        </w:rPr>
        <w:t>.9mg/d;</w:t>
      </w:r>
      <w:r>
        <w:rPr>
          <w:rFonts w:ascii="宋体" w:eastAsia="宋体" w:hAnsi="宋体" w:cs="宋体"/>
          <w:spacing w:val="72"/>
        </w:rPr>
        <w:t xml:space="preserve"> </w:t>
      </w:r>
      <w:r>
        <w:rPr>
          <w:rFonts w:ascii="宋体" w:eastAsia="宋体" w:hAnsi="宋体" w:cs="宋体"/>
          <w:spacing w:val="-1"/>
        </w:rPr>
        <w:t>维生素</w:t>
      </w:r>
      <w:r>
        <w:rPr>
          <w:rFonts w:ascii="宋体" w:eastAsia="宋体" w:hAnsi="宋体" w:cs="宋体"/>
          <w:spacing w:val="-45"/>
        </w:rPr>
        <w:t xml:space="preserve"> </w:t>
      </w:r>
      <w:r>
        <w:rPr>
          <w:rFonts w:ascii="宋体" w:eastAsia="宋体" w:hAnsi="宋体" w:cs="宋体"/>
          <w:spacing w:val="-1"/>
        </w:rPr>
        <w:t>B</w:t>
      </w:r>
      <w:r>
        <w:rPr>
          <w:rFonts w:ascii="Calibri" w:eastAsia="Calibri" w:hAnsi="Calibri" w:cs="Calibri"/>
          <w:spacing w:val="-1"/>
        </w:rPr>
        <w:t>₂</w:t>
      </w:r>
      <w:r>
        <w:rPr>
          <w:rFonts w:ascii="Calibri" w:eastAsia="Calibri" w:hAnsi="Calibri" w:cs="Calibri"/>
          <w:spacing w:val="21"/>
          <w:w w:val="101"/>
        </w:rPr>
        <w:t xml:space="preserve">  </w:t>
      </w:r>
      <w:r>
        <w:rPr>
          <w:rFonts w:ascii="宋体" w:eastAsia="宋体" w:hAnsi="宋体" w:cs="宋体"/>
          <w:spacing w:val="-1"/>
        </w:rPr>
        <w:t>的</w:t>
      </w:r>
      <w:r>
        <w:rPr>
          <w:rFonts w:ascii="宋体" w:eastAsia="宋体" w:hAnsi="宋体" w:cs="宋体"/>
          <w:spacing w:val="-9"/>
        </w:rPr>
        <w:t xml:space="preserve"> </w:t>
      </w:r>
      <w:r>
        <w:rPr>
          <w:rFonts w:ascii="宋体" w:eastAsia="宋体" w:hAnsi="宋体" w:cs="宋体"/>
          <w:spacing w:val="-1"/>
        </w:rPr>
        <w:t>RNI</w:t>
      </w:r>
      <w:r>
        <w:rPr>
          <w:rFonts w:ascii="宋体" w:eastAsia="宋体" w:hAnsi="宋体" w:cs="宋体"/>
          <w:spacing w:val="26"/>
        </w:rPr>
        <w:t xml:space="preserve"> </w:t>
      </w:r>
      <w:r>
        <w:rPr>
          <w:rFonts w:ascii="宋体" w:eastAsia="宋体" w:hAnsi="宋体" w:cs="宋体"/>
          <w:spacing w:val="-1"/>
        </w:rPr>
        <w:t>为</w:t>
      </w:r>
      <w:r>
        <w:rPr>
          <w:rFonts w:ascii="宋体" w:eastAsia="宋体" w:hAnsi="宋体" w:cs="宋体"/>
        </w:rPr>
        <w:t xml:space="preserve"> </w:t>
      </w:r>
      <w:r>
        <w:rPr>
          <w:rFonts w:ascii="宋体" w:eastAsia="宋体" w:hAnsi="宋体" w:cs="宋体"/>
          <w:spacing w:val="-1"/>
        </w:rPr>
        <w:t>2.8μg/d;</w:t>
      </w:r>
      <w:r>
        <w:rPr>
          <w:rFonts w:ascii="宋体" w:eastAsia="宋体" w:hAnsi="宋体" w:cs="宋体"/>
          <w:spacing w:val="-48"/>
        </w:rPr>
        <w:t xml:space="preserve"> </w:t>
      </w:r>
      <w:r>
        <w:rPr>
          <w:rFonts w:ascii="宋体" w:eastAsia="宋体" w:hAnsi="宋体" w:cs="宋体"/>
          <w:spacing w:val="-1"/>
        </w:rPr>
        <w:t>泛酸的AI</w:t>
      </w:r>
      <w:r>
        <w:rPr>
          <w:rFonts w:ascii="宋体" w:eastAsia="宋体" w:hAnsi="宋体" w:cs="宋体"/>
          <w:spacing w:val="-24"/>
        </w:rPr>
        <w:t xml:space="preserve"> </w:t>
      </w:r>
      <w:r>
        <w:rPr>
          <w:rFonts w:ascii="宋体" w:eastAsia="宋体" w:hAnsi="宋体" w:cs="宋体"/>
          <w:spacing w:val="-1"/>
        </w:rPr>
        <w:t>为7</w:t>
      </w:r>
      <w:r>
        <w:rPr>
          <w:rFonts w:ascii="宋体" w:eastAsia="宋体" w:hAnsi="宋体" w:cs="宋体"/>
          <w:spacing w:val="-2"/>
        </w:rPr>
        <w:t>.0</w:t>
      </w:r>
      <w:r>
        <w:rPr>
          <w:rFonts w:ascii="宋体" w:eastAsia="宋体" w:hAnsi="宋体" w:cs="宋体"/>
          <w:spacing w:val="-1"/>
        </w:rPr>
        <w:t>mg</w:t>
      </w:r>
      <w:r>
        <w:rPr>
          <w:rFonts w:ascii="宋体" w:eastAsia="宋体" w:hAnsi="宋体" w:cs="宋体"/>
          <w:spacing w:val="-2"/>
        </w:rPr>
        <w:t>/d;</w:t>
      </w:r>
      <w:r>
        <w:rPr>
          <w:rFonts w:ascii="宋体" w:eastAsia="宋体" w:hAnsi="宋体" w:cs="宋体"/>
          <w:spacing w:val="63"/>
        </w:rPr>
        <w:t xml:space="preserve"> </w:t>
      </w:r>
      <w:r>
        <w:rPr>
          <w:rFonts w:ascii="宋体" w:eastAsia="宋体" w:hAnsi="宋体" w:cs="宋体"/>
          <w:spacing w:val="-2"/>
        </w:rPr>
        <w:t>叶酸的</w:t>
      </w:r>
      <w:r>
        <w:rPr>
          <w:rFonts w:ascii="宋体" w:eastAsia="宋体" w:hAnsi="宋体" w:cs="宋体"/>
          <w:spacing w:val="-1"/>
        </w:rPr>
        <w:t>RNI</w:t>
      </w:r>
      <w:r>
        <w:rPr>
          <w:rFonts w:ascii="宋体" w:eastAsia="宋体" w:hAnsi="宋体" w:cs="宋体"/>
          <w:spacing w:val="36"/>
        </w:rPr>
        <w:t xml:space="preserve"> </w:t>
      </w:r>
      <w:r>
        <w:rPr>
          <w:rFonts w:ascii="宋体" w:eastAsia="宋体" w:hAnsi="宋体" w:cs="宋体"/>
          <w:spacing w:val="-2"/>
        </w:rPr>
        <w:t>为500μg/d。</w:t>
      </w:r>
      <w:r>
        <w:rPr>
          <w:rFonts w:ascii="宋体" w:eastAsia="宋体" w:hAnsi="宋体" w:cs="宋体"/>
          <w:spacing w:val="18"/>
        </w:rPr>
        <w:t xml:space="preserve"> </w:t>
      </w:r>
      <w:r>
        <w:rPr>
          <w:rFonts w:ascii="宋体" w:eastAsia="宋体" w:hAnsi="宋体" w:cs="宋体"/>
          <w:spacing w:val="-2"/>
        </w:rPr>
        <w:t>据</w:t>
      </w:r>
      <w:r>
        <w:rPr>
          <w:rFonts w:ascii="宋体" w:eastAsia="宋体" w:hAnsi="宋体" w:cs="宋体"/>
          <w:spacing w:val="-38"/>
        </w:rPr>
        <w:t xml:space="preserve"> </w:t>
      </w:r>
      <w:r>
        <w:rPr>
          <w:rFonts w:ascii="宋体" w:eastAsia="宋体" w:hAnsi="宋体" w:cs="宋体"/>
          <w:spacing w:val="-1"/>
        </w:rPr>
        <w:t>WHO</w:t>
      </w:r>
      <w:r>
        <w:rPr>
          <w:rFonts w:ascii="宋体" w:eastAsia="宋体" w:hAnsi="宋体" w:cs="宋体"/>
          <w:spacing w:val="33"/>
        </w:rPr>
        <w:t xml:space="preserve">  </w:t>
      </w:r>
      <w:r>
        <w:rPr>
          <w:rFonts w:ascii="宋体" w:eastAsia="宋体" w:hAnsi="宋体" w:cs="宋体"/>
          <w:spacing w:val="-2"/>
        </w:rPr>
        <w:t>报告，全</w:t>
      </w:r>
      <w:r>
        <w:rPr>
          <w:rFonts w:ascii="宋体" w:eastAsia="宋体" w:hAnsi="宋体" w:cs="宋体"/>
          <w:spacing w:val="1"/>
        </w:rPr>
        <w:t xml:space="preserve"> </w:t>
      </w:r>
      <w:r>
        <w:rPr>
          <w:rFonts w:ascii="宋体" w:eastAsia="宋体" w:hAnsi="宋体" w:cs="宋体"/>
          <w:spacing w:val="4"/>
        </w:rPr>
        <w:t>球母乳中维生素C</w:t>
      </w:r>
      <w:r>
        <w:rPr>
          <w:rFonts w:ascii="宋体" w:eastAsia="宋体" w:hAnsi="宋体" w:cs="宋体"/>
          <w:spacing w:val="-11"/>
        </w:rPr>
        <w:t xml:space="preserve"> </w:t>
      </w:r>
      <w:r>
        <w:rPr>
          <w:rFonts w:ascii="宋体" w:eastAsia="宋体" w:hAnsi="宋体" w:cs="宋体"/>
          <w:spacing w:val="4"/>
        </w:rPr>
        <w:t>含量平均为5.2</w:t>
      </w:r>
      <w:r>
        <w:rPr>
          <w:rFonts w:ascii="宋体" w:eastAsia="宋体" w:hAnsi="宋体" w:cs="宋体"/>
        </w:rPr>
        <w:t>mg</w:t>
      </w:r>
      <w:r>
        <w:rPr>
          <w:rFonts w:ascii="宋体" w:eastAsia="宋体" w:hAnsi="宋体" w:cs="宋体"/>
          <w:spacing w:val="4"/>
        </w:rPr>
        <w:t>/100</w:t>
      </w:r>
      <w:r>
        <w:rPr>
          <w:rFonts w:ascii="宋体" w:eastAsia="宋体" w:hAnsi="宋体" w:cs="宋体"/>
        </w:rPr>
        <w:t>mL</w:t>
      </w:r>
      <w:r>
        <w:rPr>
          <w:rFonts w:ascii="宋体" w:eastAsia="宋体" w:hAnsi="宋体" w:cs="宋体"/>
          <w:spacing w:val="4"/>
        </w:rPr>
        <w:t>,</w:t>
      </w:r>
      <w:r>
        <w:rPr>
          <w:rFonts w:ascii="宋体" w:eastAsia="宋体" w:hAnsi="宋体" w:cs="宋体"/>
          <w:spacing w:val="19"/>
        </w:rPr>
        <w:t xml:space="preserve">  </w:t>
      </w:r>
      <w:r>
        <w:rPr>
          <w:rFonts w:ascii="宋体" w:eastAsia="宋体" w:hAnsi="宋体" w:cs="宋体"/>
          <w:spacing w:val="4"/>
        </w:rPr>
        <w:t>我国的平均值为4.7</w:t>
      </w:r>
      <w:r>
        <w:rPr>
          <w:rFonts w:ascii="宋体" w:eastAsia="宋体" w:hAnsi="宋体" w:cs="宋体"/>
        </w:rPr>
        <w:t>mg</w:t>
      </w:r>
      <w:r>
        <w:rPr>
          <w:rFonts w:ascii="宋体" w:eastAsia="宋体" w:hAnsi="宋体" w:cs="宋体"/>
          <w:spacing w:val="4"/>
        </w:rPr>
        <w:t>/100</w:t>
      </w:r>
      <w:r>
        <w:rPr>
          <w:rFonts w:ascii="宋体" w:eastAsia="宋体" w:hAnsi="宋体" w:cs="宋体"/>
        </w:rPr>
        <w:t>mL</w:t>
      </w:r>
      <w:r>
        <w:rPr>
          <w:rFonts w:ascii="宋体" w:eastAsia="宋体" w:hAnsi="宋体" w:cs="宋体"/>
          <w:spacing w:val="4"/>
        </w:rPr>
        <w:t>。</w:t>
      </w:r>
      <w:r>
        <w:rPr>
          <w:rFonts w:ascii="宋体" w:eastAsia="宋体" w:hAnsi="宋体" w:cs="宋体"/>
        </w:rPr>
        <w:t xml:space="preserve"> </w:t>
      </w:r>
      <w:r>
        <w:rPr>
          <w:rFonts w:ascii="宋体" w:eastAsia="宋体" w:hAnsi="宋体" w:cs="宋体"/>
          <w:spacing w:val="4"/>
        </w:rPr>
        <w:t>乳中维生素C</w:t>
      </w:r>
      <w:r>
        <w:rPr>
          <w:rFonts w:ascii="宋体" w:eastAsia="宋体" w:hAnsi="宋体" w:cs="宋体"/>
          <w:spacing w:val="-14"/>
        </w:rPr>
        <w:t xml:space="preserve"> </w:t>
      </w:r>
      <w:r>
        <w:rPr>
          <w:rFonts w:ascii="宋体" w:eastAsia="宋体" w:hAnsi="宋体" w:cs="宋体"/>
          <w:spacing w:val="4"/>
        </w:rPr>
        <w:t>含量水平，随母亲摄入的维生素C</w:t>
      </w:r>
      <w:r>
        <w:rPr>
          <w:rFonts w:ascii="宋体" w:eastAsia="宋体" w:hAnsi="宋体" w:cs="宋体"/>
          <w:spacing w:val="-14"/>
        </w:rPr>
        <w:t xml:space="preserve"> </w:t>
      </w:r>
      <w:r>
        <w:rPr>
          <w:rFonts w:ascii="宋体" w:eastAsia="宋体" w:hAnsi="宋体" w:cs="宋体"/>
          <w:spacing w:val="4"/>
        </w:rPr>
        <w:t>量多少而</w:t>
      </w:r>
      <w:r>
        <w:rPr>
          <w:rFonts w:ascii="宋体" w:eastAsia="宋体" w:hAnsi="宋体" w:cs="宋体"/>
          <w:spacing w:val="3"/>
        </w:rPr>
        <w:t>有所波动。为使母乳</w:t>
      </w:r>
      <w:r>
        <w:rPr>
          <w:rFonts w:ascii="宋体" w:eastAsia="宋体" w:hAnsi="宋体" w:cs="宋体"/>
        </w:rPr>
        <w:t xml:space="preserve"> 中含有足够量的维生素C,</w:t>
      </w:r>
      <w:r>
        <w:rPr>
          <w:rFonts w:ascii="宋体" w:eastAsia="宋体" w:hAnsi="宋体" w:cs="宋体"/>
          <w:spacing w:val="49"/>
        </w:rPr>
        <w:t xml:space="preserve"> </w:t>
      </w:r>
      <w:r>
        <w:rPr>
          <w:rFonts w:ascii="宋体" w:eastAsia="宋体" w:hAnsi="宋体" w:cs="宋体"/>
        </w:rPr>
        <w:t>母亲身体的维生素C</w:t>
      </w:r>
      <w:r>
        <w:rPr>
          <w:rFonts w:ascii="宋体" w:eastAsia="宋体" w:hAnsi="宋体" w:cs="宋体"/>
          <w:spacing w:val="-14"/>
        </w:rPr>
        <w:t xml:space="preserve"> </w:t>
      </w:r>
      <w:r>
        <w:rPr>
          <w:rFonts w:ascii="宋体" w:eastAsia="宋体" w:hAnsi="宋体" w:cs="宋体"/>
        </w:rPr>
        <w:t xml:space="preserve">含量应尽可能维持在接近饱和的 </w:t>
      </w:r>
      <w:r>
        <w:rPr>
          <w:rFonts w:ascii="宋体" w:eastAsia="宋体" w:hAnsi="宋体" w:cs="宋体"/>
          <w:spacing w:val="1"/>
        </w:rPr>
        <w:t>较高浓度。我国推荐的乳母膳食中维生素C</w:t>
      </w:r>
      <w:r>
        <w:rPr>
          <w:rFonts w:ascii="宋体" w:eastAsia="宋体" w:hAnsi="宋体" w:cs="宋体"/>
          <w:spacing w:val="-14"/>
        </w:rPr>
        <w:t xml:space="preserve"> </w:t>
      </w:r>
      <w:r>
        <w:rPr>
          <w:rFonts w:ascii="宋体" w:eastAsia="宋体" w:hAnsi="宋体" w:cs="宋体"/>
          <w:spacing w:val="1"/>
        </w:rPr>
        <w:t>的</w:t>
      </w:r>
      <w:r>
        <w:rPr>
          <w:rFonts w:ascii="宋体" w:eastAsia="宋体" w:hAnsi="宋体" w:cs="宋体"/>
        </w:rPr>
        <w:t>摄入量为130mg/d。</w:t>
      </w:r>
    </w:p>
    <w:p w:rsidR="00EA40A3" w:rsidRDefault="00E86C16">
      <w:pPr>
        <w:spacing w:before="281" w:line="222" w:lineRule="auto"/>
        <w:ind w:left="3"/>
        <w:outlineLvl w:val="6"/>
        <w:rPr>
          <w:rFonts w:ascii="黑体" w:eastAsia="黑体" w:hAnsi="黑体" w:cs="黑体"/>
          <w:sz w:val="24"/>
          <w:szCs w:val="24"/>
        </w:rPr>
      </w:pPr>
      <w:r>
        <w:rPr>
          <w:rFonts w:ascii="黑体" w:eastAsia="黑体" w:hAnsi="黑体" w:cs="黑体"/>
          <w:b/>
          <w:bCs/>
          <w:spacing w:val="-7"/>
          <w:sz w:val="24"/>
          <w:szCs w:val="24"/>
        </w:rPr>
        <w:t>10.2.3</w:t>
      </w:r>
      <w:r>
        <w:rPr>
          <w:rFonts w:ascii="黑体" w:eastAsia="黑体" w:hAnsi="黑体" w:cs="黑体"/>
          <w:spacing w:val="58"/>
          <w:sz w:val="24"/>
          <w:szCs w:val="24"/>
        </w:rPr>
        <w:t xml:space="preserve">  </w:t>
      </w:r>
      <w:r>
        <w:rPr>
          <w:rFonts w:ascii="黑体" w:eastAsia="黑体" w:hAnsi="黑体" w:cs="黑体"/>
          <w:b/>
          <w:bCs/>
          <w:spacing w:val="-7"/>
          <w:sz w:val="24"/>
          <w:szCs w:val="24"/>
        </w:rPr>
        <w:t>乳母的合理膳食</w:t>
      </w:r>
    </w:p>
    <w:p w:rsidR="00EA40A3" w:rsidRDefault="00E86C16">
      <w:pPr>
        <w:spacing w:before="190" w:line="266" w:lineRule="auto"/>
        <w:ind w:firstLine="510"/>
        <w:rPr>
          <w:rFonts w:ascii="宋体" w:eastAsia="宋体" w:hAnsi="宋体" w:cs="宋体"/>
        </w:rPr>
      </w:pPr>
      <w:r>
        <w:rPr>
          <w:rFonts w:ascii="宋体" w:eastAsia="宋体" w:hAnsi="宋体" w:cs="宋体"/>
          <w:spacing w:val="-3"/>
        </w:rPr>
        <w:t>由于乳母对各种营养素的需要量均增加，因此在哺乳期必须多选用营养价值</w:t>
      </w:r>
      <w:r>
        <w:rPr>
          <w:rFonts w:ascii="宋体" w:eastAsia="宋体" w:hAnsi="宋体" w:cs="宋体"/>
          <w:spacing w:val="6"/>
        </w:rPr>
        <w:t xml:space="preserve"> </w:t>
      </w:r>
      <w:r>
        <w:rPr>
          <w:rFonts w:ascii="宋体" w:eastAsia="宋体" w:hAnsi="宋体" w:cs="宋体"/>
          <w:spacing w:val="3"/>
        </w:rPr>
        <w:t>较高的食物，餐次也应比平时多。在满足乳母的各种营养素供给量标准的基础</w:t>
      </w:r>
      <w:r>
        <w:rPr>
          <w:rFonts w:ascii="宋体" w:eastAsia="宋体" w:hAnsi="宋体" w:cs="宋体"/>
          <w:spacing w:val="9"/>
        </w:rPr>
        <w:t xml:space="preserve">  </w:t>
      </w:r>
      <w:r>
        <w:rPr>
          <w:rFonts w:ascii="宋体" w:eastAsia="宋体" w:hAnsi="宋体" w:cs="宋体"/>
          <w:spacing w:val="2"/>
        </w:rPr>
        <w:t>上，中国居民膳食指南仍然是指导乳母膳食的纲要。能量要充足，蛋白质、脂</w:t>
      </w:r>
      <w:r>
        <w:rPr>
          <w:rFonts w:ascii="宋体" w:eastAsia="宋体" w:hAnsi="宋体" w:cs="宋体"/>
          <w:spacing w:val="5"/>
        </w:rPr>
        <w:t xml:space="preserve">  </w:t>
      </w:r>
      <w:r>
        <w:rPr>
          <w:rFonts w:ascii="宋体" w:eastAsia="宋体" w:hAnsi="宋体" w:cs="宋体"/>
          <w:spacing w:val="21"/>
        </w:rPr>
        <w:t>肪、碳水化合物的热比分别为13%～15%、20%～27%和58%～60%,保证优</w:t>
      </w:r>
      <w:r>
        <w:rPr>
          <w:rFonts w:ascii="宋体" w:eastAsia="宋体" w:hAnsi="宋体" w:cs="宋体"/>
          <w:spacing w:val="6"/>
        </w:rPr>
        <w:t xml:space="preserve">  </w:t>
      </w:r>
      <w:r>
        <w:rPr>
          <w:rFonts w:ascii="宋体" w:eastAsia="宋体" w:hAnsi="宋体" w:cs="宋体"/>
          <w:spacing w:val="-2"/>
        </w:rPr>
        <w:t>质蛋白质的足量摄入，多食用含钙丰富的食物，重视蔬</w:t>
      </w:r>
      <w:r>
        <w:rPr>
          <w:rFonts w:ascii="宋体" w:eastAsia="宋体" w:hAnsi="宋体" w:cs="宋体"/>
          <w:spacing w:val="-3"/>
        </w:rPr>
        <w:t>菜、水果的摄入，膳食多</w:t>
      </w:r>
      <w:r>
        <w:rPr>
          <w:rFonts w:ascii="宋体" w:eastAsia="宋体" w:hAnsi="宋体" w:cs="宋体"/>
        </w:rPr>
        <w:t xml:space="preserve"> </w:t>
      </w:r>
      <w:r>
        <w:rPr>
          <w:rFonts w:ascii="宋体" w:eastAsia="宋体" w:hAnsi="宋体" w:cs="宋体"/>
          <w:spacing w:val="-1"/>
        </w:rPr>
        <w:t>样化，粗细粮搭配。</w:t>
      </w:r>
      <w:r>
        <w:rPr>
          <w:rFonts w:ascii="宋体" w:eastAsia="宋体" w:hAnsi="宋体" w:cs="宋体"/>
          <w:spacing w:val="56"/>
        </w:rPr>
        <w:t xml:space="preserve"> </w:t>
      </w:r>
      <w:r>
        <w:rPr>
          <w:rFonts w:ascii="宋体" w:eastAsia="宋体" w:hAnsi="宋体" w:cs="宋体"/>
          <w:spacing w:val="-1"/>
        </w:rPr>
        <w:t>一般来说，乳母的膳食组成如表10-2所示。另外，烹饪的</w:t>
      </w:r>
      <w:r>
        <w:rPr>
          <w:rFonts w:ascii="宋体" w:eastAsia="宋体" w:hAnsi="宋体" w:cs="宋体"/>
        </w:rPr>
        <w:t xml:space="preserve"> </w:t>
      </w:r>
      <w:r>
        <w:rPr>
          <w:rFonts w:ascii="宋体" w:eastAsia="宋体" w:hAnsi="宋体" w:cs="宋体"/>
          <w:spacing w:val="-3"/>
        </w:rPr>
        <w:t>方法应多用炖、煮、蒸，少用油炸。如鱼、肉、禽类多用炖为好，食用时同时喝</w:t>
      </w:r>
      <w:r>
        <w:rPr>
          <w:rFonts w:ascii="宋体" w:eastAsia="宋体" w:hAnsi="宋体" w:cs="宋体"/>
          <w:spacing w:val="17"/>
        </w:rPr>
        <w:t xml:space="preserve"> </w:t>
      </w:r>
      <w:r>
        <w:rPr>
          <w:rFonts w:ascii="宋体" w:eastAsia="宋体" w:hAnsi="宋体" w:cs="宋体"/>
          <w:spacing w:val="-4"/>
        </w:rPr>
        <w:t>汤。汤类中的营养物质易于吸收，同时可以增强乳母食欲，促进乳汁分泌。</w:t>
      </w:r>
    </w:p>
    <w:p w:rsidR="00EA40A3" w:rsidRDefault="00EA40A3">
      <w:pPr>
        <w:spacing w:line="319" w:lineRule="auto"/>
      </w:pPr>
    </w:p>
    <w:p w:rsidR="00EA40A3" w:rsidRDefault="00E86C16">
      <w:pPr>
        <w:spacing w:before="68" w:line="222" w:lineRule="auto"/>
        <w:ind w:left="2702"/>
        <w:rPr>
          <w:rFonts w:ascii="黑体" w:eastAsia="黑体" w:hAnsi="黑体" w:cs="黑体"/>
        </w:rPr>
      </w:pPr>
      <w:r>
        <w:rPr>
          <w:rFonts w:ascii="黑体" w:eastAsia="黑体" w:hAnsi="黑体" w:cs="黑体"/>
          <w:b/>
          <w:bCs/>
          <w:spacing w:val="-17"/>
          <w:w w:val="96"/>
        </w:rPr>
        <w:t>表10-2</w:t>
      </w:r>
      <w:r>
        <w:rPr>
          <w:rFonts w:ascii="黑体" w:eastAsia="黑体" w:hAnsi="黑体" w:cs="黑体"/>
          <w:spacing w:val="51"/>
        </w:rPr>
        <w:t xml:space="preserve"> </w:t>
      </w:r>
      <w:r>
        <w:rPr>
          <w:rFonts w:ascii="黑体" w:eastAsia="黑体" w:hAnsi="黑体" w:cs="黑体"/>
          <w:b/>
          <w:bCs/>
          <w:spacing w:val="-17"/>
          <w:w w:val="96"/>
        </w:rPr>
        <w:t>乳母的膳食组成</w:t>
      </w:r>
    </w:p>
    <w:p w:rsidR="00EA40A3" w:rsidRDefault="00EA40A3">
      <w:pPr>
        <w:spacing w:line="96" w:lineRule="exact"/>
      </w:pPr>
    </w:p>
    <w:tbl>
      <w:tblPr>
        <w:tblStyle w:val="TableNormal"/>
        <w:tblW w:w="726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7"/>
        <w:gridCol w:w="1603"/>
        <w:gridCol w:w="2220"/>
        <w:gridCol w:w="1400"/>
      </w:tblGrid>
      <w:tr w:rsidR="00EA40A3">
        <w:trPr>
          <w:trHeight w:val="303"/>
        </w:trPr>
        <w:tc>
          <w:tcPr>
            <w:tcW w:w="2037" w:type="dxa"/>
            <w:tcBorders>
              <w:left w:val="nil"/>
              <w:right w:val="nil"/>
            </w:tcBorders>
          </w:tcPr>
          <w:p w:rsidR="00EA40A3" w:rsidRDefault="00E86C16">
            <w:pPr>
              <w:spacing w:before="71" w:line="219" w:lineRule="auto"/>
              <w:ind w:left="869"/>
              <w:rPr>
                <w:rFonts w:ascii="宋体" w:eastAsia="宋体" w:hAnsi="宋体" w:cs="宋体"/>
                <w:sz w:val="16"/>
                <w:szCs w:val="16"/>
              </w:rPr>
            </w:pPr>
            <w:r>
              <w:rPr>
                <w:rFonts w:ascii="宋体" w:eastAsia="宋体" w:hAnsi="宋体" w:cs="宋体"/>
                <w:spacing w:val="-2"/>
                <w:sz w:val="16"/>
                <w:szCs w:val="16"/>
              </w:rPr>
              <w:t>食物类别</w:t>
            </w:r>
          </w:p>
        </w:tc>
        <w:tc>
          <w:tcPr>
            <w:tcW w:w="1603" w:type="dxa"/>
            <w:tcBorders>
              <w:left w:val="nil"/>
            </w:tcBorders>
          </w:tcPr>
          <w:p w:rsidR="00EA40A3" w:rsidRDefault="00E86C16">
            <w:pPr>
              <w:spacing w:before="84" w:line="222" w:lineRule="auto"/>
              <w:ind w:left="572"/>
              <w:rPr>
                <w:rFonts w:ascii="宋体" w:eastAsia="宋体" w:hAnsi="宋体" w:cs="宋体"/>
                <w:sz w:val="16"/>
                <w:szCs w:val="16"/>
              </w:rPr>
            </w:pPr>
            <w:r>
              <w:rPr>
                <w:rFonts w:ascii="宋体" w:eastAsia="宋体" w:hAnsi="宋体" w:cs="宋体"/>
                <w:spacing w:val="-2"/>
                <w:sz w:val="16"/>
                <w:szCs w:val="16"/>
              </w:rPr>
              <w:t>摄入量/d</w:t>
            </w:r>
          </w:p>
        </w:tc>
        <w:tc>
          <w:tcPr>
            <w:tcW w:w="2220" w:type="dxa"/>
            <w:tcBorders>
              <w:right w:val="nil"/>
            </w:tcBorders>
          </w:tcPr>
          <w:p w:rsidR="00EA40A3" w:rsidRDefault="00E86C16">
            <w:pPr>
              <w:spacing w:before="81" w:line="219" w:lineRule="auto"/>
              <w:ind w:left="864"/>
              <w:rPr>
                <w:rFonts w:ascii="宋体" w:eastAsia="宋体" w:hAnsi="宋体" w:cs="宋体"/>
                <w:sz w:val="16"/>
                <w:szCs w:val="16"/>
              </w:rPr>
            </w:pPr>
            <w:r>
              <w:rPr>
                <w:rFonts w:ascii="宋体" w:eastAsia="宋体" w:hAnsi="宋体" w:cs="宋体"/>
                <w:spacing w:val="-2"/>
                <w:sz w:val="16"/>
                <w:szCs w:val="16"/>
              </w:rPr>
              <w:t>食物类别</w:t>
            </w:r>
          </w:p>
        </w:tc>
        <w:tc>
          <w:tcPr>
            <w:tcW w:w="1400" w:type="dxa"/>
            <w:tcBorders>
              <w:left w:val="nil"/>
              <w:right w:val="nil"/>
            </w:tcBorders>
          </w:tcPr>
          <w:p w:rsidR="00EA40A3" w:rsidRDefault="00E86C16">
            <w:pPr>
              <w:spacing w:before="72" w:line="220" w:lineRule="auto"/>
              <w:ind w:left="489"/>
              <w:rPr>
                <w:rFonts w:ascii="宋体" w:eastAsia="宋体" w:hAnsi="宋体" w:cs="宋体"/>
                <w:sz w:val="16"/>
                <w:szCs w:val="16"/>
              </w:rPr>
            </w:pPr>
            <w:r>
              <w:rPr>
                <w:rFonts w:ascii="宋体" w:eastAsia="宋体" w:hAnsi="宋体" w:cs="宋体"/>
                <w:spacing w:val="-2"/>
                <w:sz w:val="16"/>
                <w:szCs w:val="16"/>
              </w:rPr>
              <w:t>分量/d</w:t>
            </w:r>
          </w:p>
        </w:tc>
      </w:tr>
      <w:tr w:rsidR="00EA40A3">
        <w:trPr>
          <w:trHeight w:val="1147"/>
        </w:trPr>
        <w:tc>
          <w:tcPr>
            <w:tcW w:w="2037" w:type="dxa"/>
            <w:tcBorders>
              <w:left w:val="nil"/>
              <w:right w:val="nil"/>
            </w:tcBorders>
          </w:tcPr>
          <w:p w:rsidR="00EA40A3" w:rsidRDefault="00E86C16">
            <w:pPr>
              <w:spacing w:before="37" w:line="211" w:lineRule="exact"/>
              <w:ind w:left="869"/>
              <w:rPr>
                <w:rFonts w:ascii="宋体" w:eastAsia="宋体" w:hAnsi="宋体" w:cs="宋体"/>
                <w:sz w:val="16"/>
                <w:szCs w:val="16"/>
              </w:rPr>
            </w:pPr>
            <w:r>
              <w:rPr>
                <w:rFonts w:ascii="宋体" w:eastAsia="宋体" w:hAnsi="宋体" w:cs="宋体"/>
                <w:spacing w:val="-2"/>
                <w:position w:val="3"/>
                <w:sz w:val="16"/>
                <w:szCs w:val="16"/>
              </w:rPr>
              <w:t>粮谷类</w:t>
            </w:r>
          </w:p>
          <w:p w:rsidR="00EA40A3" w:rsidRDefault="00E86C16">
            <w:pPr>
              <w:spacing w:line="219" w:lineRule="auto"/>
              <w:ind w:left="869"/>
              <w:rPr>
                <w:rFonts w:ascii="宋体" w:eastAsia="宋体" w:hAnsi="宋体" w:cs="宋体"/>
                <w:sz w:val="16"/>
                <w:szCs w:val="16"/>
              </w:rPr>
            </w:pPr>
            <w:r>
              <w:rPr>
                <w:rFonts w:ascii="宋体" w:eastAsia="宋体" w:hAnsi="宋体" w:cs="宋体"/>
                <w:spacing w:val="-3"/>
                <w:sz w:val="16"/>
                <w:szCs w:val="16"/>
              </w:rPr>
              <w:t>蛋类</w:t>
            </w:r>
          </w:p>
          <w:p w:rsidR="00EA40A3" w:rsidRDefault="00E86C16">
            <w:pPr>
              <w:spacing w:before="70" w:line="220" w:lineRule="auto"/>
              <w:ind w:left="869"/>
              <w:rPr>
                <w:rFonts w:ascii="宋体" w:eastAsia="宋体" w:hAnsi="宋体" w:cs="宋体"/>
                <w:sz w:val="16"/>
                <w:szCs w:val="16"/>
              </w:rPr>
            </w:pPr>
            <w:r>
              <w:rPr>
                <w:rFonts w:ascii="宋体" w:eastAsia="宋体" w:hAnsi="宋体" w:cs="宋体"/>
                <w:spacing w:val="5"/>
                <w:sz w:val="16"/>
                <w:szCs w:val="16"/>
              </w:rPr>
              <w:t>豆制品</w:t>
            </w:r>
          </w:p>
          <w:p w:rsidR="00EA40A3" w:rsidRDefault="00E86C16">
            <w:pPr>
              <w:spacing w:before="38" w:line="221" w:lineRule="exact"/>
              <w:ind w:left="639"/>
              <w:rPr>
                <w:rFonts w:ascii="宋体" w:eastAsia="宋体" w:hAnsi="宋体" w:cs="宋体"/>
                <w:sz w:val="16"/>
                <w:szCs w:val="16"/>
              </w:rPr>
            </w:pPr>
            <w:r>
              <w:rPr>
                <w:rFonts w:ascii="宋体" w:eastAsia="宋体" w:hAnsi="宋体" w:cs="宋体"/>
                <w:spacing w:val="-2"/>
                <w:position w:val="4"/>
                <w:sz w:val="16"/>
                <w:szCs w:val="16"/>
              </w:rPr>
              <w:t>鱼、肉、禽类</w:t>
            </w:r>
          </w:p>
          <w:p w:rsidR="00EA40A3" w:rsidRDefault="00E86C16">
            <w:pPr>
              <w:spacing w:line="216" w:lineRule="auto"/>
              <w:ind w:left="869"/>
              <w:rPr>
                <w:rFonts w:ascii="宋体" w:eastAsia="宋体" w:hAnsi="宋体" w:cs="宋体"/>
                <w:sz w:val="16"/>
                <w:szCs w:val="16"/>
              </w:rPr>
            </w:pPr>
            <w:r>
              <w:rPr>
                <w:rFonts w:ascii="宋体" w:eastAsia="宋体" w:hAnsi="宋体" w:cs="宋体"/>
                <w:spacing w:val="-3"/>
                <w:sz w:val="16"/>
                <w:szCs w:val="16"/>
              </w:rPr>
              <w:t>牛乳</w:t>
            </w:r>
          </w:p>
        </w:tc>
        <w:tc>
          <w:tcPr>
            <w:tcW w:w="1603" w:type="dxa"/>
            <w:tcBorders>
              <w:left w:val="nil"/>
            </w:tcBorders>
          </w:tcPr>
          <w:p w:rsidR="00EA40A3" w:rsidRDefault="00E86C16">
            <w:pPr>
              <w:spacing w:before="68" w:line="183" w:lineRule="auto"/>
              <w:ind w:left="532"/>
              <w:rPr>
                <w:rFonts w:ascii="宋体" w:eastAsia="宋体" w:hAnsi="宋体" w:cs="宋体"/>
                <w:sz w:val="16"/>
                <w:szCs w:val="16"/>
              </w:rPr>
            </w:pPr>
            <w:r>
              <w:rPr>
                <w:rFonts w:ascii="宋体" w:eastAsia="宋体" w:hAnsi="宋体" w:cs="宋体"/>
                <w:spacing w:val="-1"/>
                <w:sz w:val="16"/>
                <w:szCs w:val="16"/>
              </w:rPr>
              <w:t>400～500g</w:t>
            </w:r>
          </w:p>
          <w:p w:rsidR="00EA40A3" w:rsidRDefault="00E86C16">
            <w:pPr>
              <w:spacing w:before="80" w:line="184" w:lineRule="auto"/>
              <w:ind w:left="543"/>
              <w:rPr>
                <w:rFonts w:ascii="宋体" w:eastAsia="宋体" w:hAnsi="宋体" w:cs="宋体"/>
                <w:sz w:val="16"/>
                <w:szCs w:val="16"/>
              </w:rPr>
            </w:pPr>
            <w:r>
              <w:rPr>
                <w:rFonts w:ascii="宋体" w:eastAsia="宋体" w:hAnsi="宋体" w:cs="宋体"/>
                <w:spacing w:val="-3"/>
                <w:sz w:val="16"/>
                <w:szCs w:val="16"/>
              </w:rPr>
              <w:t>100～150g</w:t>
            </w:r>
          </w:p>
          <w:p w:rsidR="00EA40A3" w:rsidRDefault="00E86C16">
            <w:pPr>
              <w:spacing w:before="61" w:line="183" w:lineRule="auto"/>
              <w:ind w:left="752"/>
              <w:rPr>
                <w:rFonts w:ascii="宋体" w:eastAsia="宋体" w:hAnsi="宋体" w:cs="宋体"/>
                <w:sz w:val="16"/>
                <w:szCs w:val="16"/>
              </w:rPr>
            </w:pPr>
            <w:r>
              <w:rPr>
                <w:rFonts w:ascii="宋体" w:eastAsia="宋体" w:hAnsi="宋体" w:cs="宋体"/>
                <w:spacing w:val="-3"/>
                <w:sz w:val="16"/>
                <w:szCs w:val="16"/>
              </w:rPr>
              <w:t>50g</w:t>
            </w:r>
          </w:p>
          <w:p w:rsidR="00EA40A3" w:rsidRDefault="00E86C16">
            <w:pPr>
              <w:spacing w:before="50" w:line="184" w:lineRule="auto"/>
              <w:ind w:left="523"/>
              <w:rPr>
                <w:rFonts w:ascii="宋体" w:eastAsia="宋体" w:hAnsi="宋体" w:cs="宋体"/>
                <w:sz w:val="16"/>
                <w:szCs w:val="16"/>
              </w:rPr>
            </w:pPr>
            <w:r>
              <w:rPr>
                <w:rFonts w:ascii="宋体" w:eastAsia="宋体" w:hAnsi="宋体" w:cs="宋体"/>
                <w:spacing w:val="-3"/>
                <w:sz w:val="16"/>
                <w:szCs w:val="16"/>
              </w:rPr>
              <w:t>150～200g</w:t>
            </w:r>
          </w:p>
          <w:p w:rsidR="00EA40A3" w:rsidRDefault="00E86C16">
            <w:pPr>
              <w:spacing w:before="68" w:line="209" w:lineRule="auto"/>
              <w:ind w:left="453"/>
              <w:rPr>
                <w:rFonts w:ascii="宋体" w:eastAsia="宋体" w:hAnsi="宋体" w:cs="宋体"/>
                <w:sz w:val="16"/>
                <w:szCs w:val="16"/>
              </w:rPr>
            </w:pPr>
            <w:r>
              <w:rPr>
                <w:rFonts w:ascii="宋体" w:eastAsia="宋体" w:hAnsi="宋体" w:cs="宋体"/>
                <w:spacing w:val="-1"/>
                <w:sz w:val="16"/>
                <w:szCs w:val="16"/>
              </w:rPr>
              <w:t>220～440ml,</w:t>
            </w:r>
          </w:p>
        </w:tc>
        <w:tc>
          <w:tcPr>
            <w:tcW w:w="2220" w:type="dxa"/>
            <w:tcBorders>
              <w:right w:val="nil"/>
            </w:tcBorders>
          </w:tcPr>
          <w:p w:rsidR="00EA40A3" w:rsidRDefault="00E86C16">
            <w:pPr>
              <w:spacing w:before="48" w:line="242" w:lineRule="auto"/>
              <w:ind w:left="964" w:right="195" w:hanging="820"/>
              <w:rPr>
                <w:rFonts w:ascii="宋体" w:eastAsia="宋体" w:hAnsi="宋体" w:cs="宋体"/>
                <w:sz w:val="16"/>
                <w:szCs w:val="16"/>
              </w:rPr>
            </w:pPr>
            <w:r>
              <w:rPr>
                <w:rFonts w:ascii="宋体" w:eastAsia="宋体" w:hAnsi="宋体" w:cs="宋体"/>
                <w:spacing w:val="2"/>
                <w:sz w:val="16"/>
                <w:szCs w:val="16"/>
              </w:rPr>
              <w:t>蔬菜(绿叶蔬菜占1/2以上)</w:t>
            </w:r>
            <w:r>
              <w:rPr>
                <w:rFonts w:ascii="宋体" w:eastAsia="宋体" w:hAnsi="宋体" w:cs="宋体"/>
                <w:spacing w:val="6"/>
                <w:sz w:val="16"/>
                <w:szCs w:val="16"/>
              </w:rPr>
              <w:t xml:space="preserve"> </w:t>
            </w:r>
            <w:r>
              <w:rPr>
                <w:rFonts w:ascii="宋体" w:eastAsia="宋体" w:hAnsi="宋体" w:cs="宋体"/>
                <w:spacing w:val="-3"/>
                <w:sz w:val="16"/>
                <w:szCs w:val="16"/>
              </w:rPr>
              <w:t>水果</w:t>
            </w:r>
          </w:p>
          <w:p w:rsidR="00EA40A3" w:rsidRDefault="00E86C16">
            <w:pPr>
              <w:spacing w:before="40" w:line="220" w:lineRule="auto"/>
              <w:ind w:left="974"/>
              <w:rPr>
                <w:rFonts w:ascii="宋体" w:eastAsia="宋体" w:hAnsi="宋体" w:cs="宋体"/>
                <w:sz w:val="16"/>
                <w:szCs w:val="16"/>
              </w:rPr>
            </w:pPr>
            <w:r>
              <w:rPr>
                <w:rFonts w:ascii="宋体" w:eastAsia="宋体" w:hAnsi="宋体" w:cs="宋体"/>
                <w:spacing w:val="-2"/>
                <w:sz w:val="16"/>
                <w:szCs w:val="16"/>
              </w:rPr>
              <w:t>食糖</w:t>
            </w:r>
          </w:p>
          <w:p w:rsidR="00EA40A3" w:rsidRDefault="00E86C16">
            <w:pPr>
              <w:spacing w:before="29" w:line="221" w:lineRule="auto"/>
              <w:ind w:left="864"/>
              <w:rPr>
                <w:rFonts w:ascii="宋体" w:eastAsia="宋体" w:hAnsi="宋体" w:cs="宋体"/>
                <w:sz w:val="16"/>
                <w:szCs w:val="16"/>
              </w:rPr>
            </w:pPr>
            <w:r>
              <w:rPr>
                <w:rFonts w:ascii="宋体" w:eastAsia="宋体" w:hAnsi="宋体" w:cs="宋体"/>
                <w:spacing w:val="5"/>
                <w:sz w:val="16"/>
                <w:szCs w:val="16"/>
              </w:rPr>
              <w:t>烹调油</w:t>
            </w:r>
          </w:p>
          <w:p w:rsidR="00EA40A3" w:rsidRDefault="00E86C16">
            <w:pPr>
              <w:spacing w:before="28" w:line="220" w:lineRule="auto"/>
              <w:ind w:left="525"/>
              <w:rPr>
                <w:rFonts w:ascii="宋体" w:eastAsia="宋体" w:hAnsi="宋体" w:cs="宋体"/>
                <w:sz w:val="16"/>
                <w:szCs w:val="16"/>
              </w:rPr>
            </w:pPr>
            <w:r>
              <w:rPr>
                <w:rFonts w:ascii="宋体" w:eastAsia="宋体" w:hAnsi="宋体" w:cs="宋体"/>
                <w:spacing w:val="4"/>
                <w:sz w:val="16"/>
                <w:szCs w:val="16"/>
              </w:rPr>
              <w:t>调味品(如食盐)</w:t>
            </w:r>
          </w:p>
        </w:tc>
        <w:tc>
          <w:tcPr>
            <w:tcW w:w="1400" w:type="dxa"/>
            <w:tcBorders>
              <w:left w:val="nil"/>
              <w:right w:val="nil"/>
            </w:tcBorders>
          </w:tcPr>
          <w:p w:rsidR="00EA40A3" w:rsidRDefault="00E86C16">
            <w:pPr>
              <w:spacing w:before="78" w:line="183" w:lineRule="auto"/>
              <w:ind w:left="570"/>
              <w:rPr>
                <w:rFonts w:ascii="宋体" w:eastAsia="宋体" w:hAnsi="宋体" w:cs="宋体"/>
                <w:sz w:val="16"/>
                <w:szCs w:val="16"/>
              </w:rPr>
            </w:pPr>
            <w:r>
              <w:rPr>
                <w:rFonts w:ascii="宋体" w:eastAsia="宋体" w:hAnsi="宋体" w:cs="宋体"/>
                <w:spacing w:val="-2"/>
                <w:sz w:val="16"/>
                <w:szCs w:val="16"/>
              </w:rPr>
              <w:t>500g</w:t>
            </w:r>
          </w:p>
          <w:p w:rsidR="00EA40A3" w:rsidRDefault="00E86C16">
            <w:pPr>
              <w:spacing w:before="70" w:line="184" w:lineRule="auto"/>
              <w:ind w:left="359"/>
              <w:rPr>
                <w:rFonts w:ascii="宋体" w:eastAsia="宋体" w:hAnsi="宋体" w:cs="宋体"/>
                <w:sz w:val="16"/>
                <w:szCs w:val="16"/>
              </w:rPr>
            </w:pPr>
            <w:r>
              <w:rPr>
                <w:rFonts w:ascii="宋体" w:eastAsia="宋体" w:hAnsi="宋体" w:cs="宋体"/>
                <w:spacing w:val="-3"/>
                <w:sz w:val="16"/>
                <w:szCs w:val="16"/>
              </w:rPr>
              <w:t>100～200g</w:t>
            </w:r>
          </w:p>
          <w:p w:rsidR="00EA40A3" w:rsidRDefault="00E86C16">
            <w:pPr>
              <w:spacing w:before="71" w:line="183" w:lineRule="auto"/>
              <w:ind w:left="599"/>
              <w:rPr>
                <w:rFonts w:ascii="宋体" w:eastAsia="宋体" w:hAnsi="宋体" w:cs="宋体"/>
                <w:sz w:val="16"/>
                <w:szCs w:val="16"/>
              </w:rPr>
            </w:pPr>
            <w:r>
              <w:rPr>
                <w:rFonts w:ascii="宋体" w:eastAsia="宋体" w:hAnsi="宋体" w:cs="宋体"/>
                <w:spacing w:val="-2"/>
                <w:sz w:val="16"/>
                <w:szCs w:val="16"/>
              </w:rPr>
              <w:t>20g</w:t>
            </w:r>
          </w:p>
          <w:p w:rsidR="00EA40A3" w:rsidRDefault="00E86C16">
            <w:pPr>
              <w:spacing w:before="71" w:line="183" w:lineRule="auto"/>
              <w:ind w:left="440"/>
              <w:rPr>
                <w:rFonts w:ascii="宋体" w:eastAsia="宋体" w:hAnsi="宋体" w:cs="宋体"/>
                <w:sz w:val="16"/>
                <w:szCs w:val="16"/>
              </w:rPr>
            </w:pPr>
            <w:r>
              <w:rPr>
                <w:rFonts w:ascii="宋体" w:eastAsia="宋体" w:hAnsi="宋体" w:cs="宋体"/>
                <w:spacing w:val="-2"/>
                <w:sz w:val="16"/>
                <w:szCs w:val="16"/>
              </w:rPr>
              <w:t>20～30g</w:t>
            </w:r>
          </w:p>
          <w:p w:rsidR="00EA40A3" w:rsidRDefault="00E86C16">
            <w:pPr>
              <w:spacing w:before="21" w:line="220" w:lineRule="auto"/>
              <w:ind w:left="229"/>
              <w:rPr>
                <w:rFonts w:ascii="宋体" w:eastAsia="宋体" w:hAnsi="宋体" w:cs="宋体"/>
                <w:sz w:val="16"/>
                <w:szCs w:val="16"/>
              </w:rPr>
            </w:pPr>
            <w:r>
              <w:rPr>
                <w:rFonts w:ascii="宋体" w:eastAsia="宋体" w:hAnsi="宋体" w:cs="宋体"/>
                <w:spacing w:val="-1"/>
                <w:sz w:val="16"/>
                <w:szCs w:val="16"/>
              </w:rPr>
              <w:t>适量，需限制</w:t>
            </w:r>
          </w:p>
        </w:tc>
      </w:tr>
    </w:tbl>
    <w:p w:rsidR="00EA40A3" w:rsidRDefault="00E86C16">
      <w:pPr>
        <w:spacing w:before="101" w:line="219" w:lineRule="auto"/>
        <w:ind w:left="360"/>
        <w:rPr>
          <w:rFonts w:ascii="宋体" w:eastAsia="宋体" w:hAnsi="宋体" w:cs="宋体"/>
          <w:sz w:val="16"/>
          <w:szCs w:val="16"/>
        </w:rPr>
      </w:pPr>
      <w:r>
        <w:rPr>
          <w:rFonts w:ascii="宋体" w:eastAsia="宋体" w:hAnsi="宋体" w:cs="宋体"/>
          <w:sz w:val="16"/>
          <w:szCs w:val="16"/>
        </w:rPr>
        <w:t>资料来源：葛可佑.2004.中国营养科学</w:t>
      </w:r>
      <w:r>
        <w:rPr>
          <w:rFonts w:ascii="宋体" w:eastAsia="宋体" w:hAnsi="宋体" w:cs="宋体"/>
          <w:spacing w:val="-1"/>
          <w:sz w:val="16"/>
          <w:szCs w:val="16"/>
        </w:rPr>
        <w:t>全书.北京：人民卫生出版社</w:t>
      </w:r>
    </w:p>
    <w:p w:rsidR="00EA40A3" w:rsidRDefault="00EA40A3">
      <w:pPr>
        <w:spacing w:line="300" w:lineRule="auto"/>
      </w:pPr>
    </w:p>
    <w:p w:rsidR="00EA40A3" w:rsidRDefault="00EA40A3">
      <w:pPr>
        <w:spacing w:line="301" w:lineRule="auto"/>
      </w:pPr>
    </w:p>
    <w:p w:rsidR="00EA40A3" w:rsidRDefault="00E86C16">
      <w:pPr>
        <w:spacing w:before="91" w:line="219" w:lineRule="auto"/>
        <w:ind w:left="2150"/>
        <w:rPr>
          <w:rFonts w:ascii="宋体" w:eastAsia="宋体" w:hAnsi="宋体" w:cs="宋体"/>
          <w:sz w:val="28"/>
          <w:szCs w:val="28"/>
        </w:rPr>
      </w:pPr>
      <w:r>
        <w:rPr>
          <w:rFonts w:ascii="宋体" w:eastAsia="宋体" w:hAnsi="宋体" w:cs="宋体"/>
          <w:spacing w:val="-4"/>
          <w:sz w:val="28"/>
          <w:szCs w:val="28"/>
        </w:rPr>
        <w:t>10.3</w:t>
      </w:r>
      <w:r>
        <w:rPr>
          <w:rFonts w:ascii="宋体" w:eastAsia="宋体" w:hAnsi="宋体" w:cs="宋体"/>
          <w:spacing w:val="2"/>
          <w:sz w:val="28"/>
          <w:szCs w:val="28"/>
        </w:rPr>
        <w:t xml:space="preserve">  </w:t>
      </w:r>
      <w:r>
        <w:rPr>
          <w:rFonts w:ascii="宋体" w:eastAsia="宋体" w:hAnsi="宋体" w:cs="宋体"/>
          <w:spacing w:val="-4"/>
          <w:sz w:val="28"/>
          <w:szCs w:val="28"/>
        </w:rPr>
        <w:t>婴幼儿营养和膳食</w:t>
      </w:r>
    </w:p>
    <w:p w:rsidR="00EA40A3" w:rsidRDefault="00EA40A3">
      <w:pPr>
        <w:spacing w:line="265" w:lineRule="auto"/>
      </w:pPr>
    </w:p>
    <w:p w:rsidR="00EA40A3" w:rsidRDefault="00E86C16">
      <w:pPr>
        <w:spacing w:before="69" w:line="259" w:lineRule="auto"/>
        <w:ind w:right="67" w:firstLine="430"/>
        <w:jc w:val="both"/>
        <w:rPr>
          <w:rFonts w:ascii="宋体" w:eastAsia="宋体" w:hAnsi="宋体" w:cs="宋体"/>
        </w:rPr>
      </w:pPr>
      <w:r>
        <w:rPr>
          <w:rFonts w:ascii="宋体" w:eastAsia="宋体" w:hAnsi="宋体" w:cs="宋体"/>
          <w:spacing w:val="7"/>
        </w:rPr>
        <w:t>婴幼儿时期是指从出生到3岁以前。在这一期间，人体的生长发育速度很</w:t>
      </w:r>
      <w:r>
        <w:rPr>
          <w:rFonts w:ascii="宋体" w:eastAsia="宋体" w:hAnsi="宋体" w:cs="宋体"/>
          <w:spacing w:val="11"/>
        </w:rPr>
        <w:t xml:space="preserve"> </w:t>
      </w:r>
      <w:r>
        <w:rPr>
          <w:rFonts w:ascii="宋体" w:eastAsia="宋体" w:hAnsi="宋体" w:cs="宋体"/>
          <w:spacing w:val="-2"/>
        </w:rPr>
        <w:t>快，合理的营养将不仅满足机体各组织器官增长</w:t>
      </w:r>
      <w:r>
        <w:rPr>
          <w:rFonts w:ascii="宋体" w:eastAsia="宋体" w:hAnsi="宋体" w:cs="宋体"/>
          <w:spacing w:val="-3"/>
        </w:rPr>
        <w:t>和功能成熟的需要，为人一生的</w:t>
      </w:r>
      <w:r>
        <w:rPr>
          <w:rFonts w:ascii="宋体" w:eastAsia="宋体" w:hAnsi="宋体" w:cs="宋体"/>
        </w:rPr>
        <w:t xml:space="preserve"> </w:t>
      </w:r>
      <w:r>
        <w:rPr>
          <w:rFonts w:ascii="宋体" w:eastAsia="宋体" w:hAnsi="宋体" w:cs="宋体"/>
          <w:spacing w:val="-3"/>
        </w:rPr>
        <w:t>体力和智力发展打下基础，而且对某些成年和老年时期易出现的疾病起到预防作</w:t>
      </w:r>
      <w:r>
        <w:rPr>
          <w:rFonts w:ascii="宋体" w:eastAsia="宋体" w:hAnsi="宋体" w:cs="宋体"/>
          <w:spacing w:val="17"/>
        </w:rPr>
        <w:t xml:space="preserve"> </w:t>
      </w:r>
      <w:r>
        <w:rPr>
          <w:rFonts w:ascii="宋体" w:eastAsia="宋体" w:hAnsi="宋体" w:cs="宋体"/>
          <w:spacing w:val="10"/>
        </w:rPr>
        <w:t>用。婴幼儿时期又可分为婴儿期(0～1岁)和幼儿期(1</w:t>
      </w:r>
      <w:r>
        <w:rPr>
          <w:rFonts w:ascii="宋体" w:eastAsia="宋体" w:hAnsi="宋体" w:cs="宋体"/>
          <w:spacing w:val="9"/>
        </w:rPr>
        <w:t>～3岁)。</w:t>
      </w:r>
    </w:p>
    <w:p w:rsidR="00EA40A3" w:rsidRDefault="00E86C16">
      <w:pPr>
        <w:spacing w:before="126"/>
        <w:ind w:right="95"/>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311</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1061" w:bottom="400" w:left="809" w:header="0" w:footer="0" w:gutter="0"/>
          <w:cols w:space="720"/>
        </w:sectPr>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86C16">
      <w:pPr>
        <w:spacing w:before="72" w:line="221" w:lineRule="auto"/>
        <w:ind w:left="3"/>
        <w:outlineLvl w:val="6"/>
        <w:rPr>
          <w:rFonts w:ascii="黑体" w:eastAsia="黑体" w:hAnsi="黑体" w:cs="黑体"/>
          <w:sz w:val="22"/>
          <w:szCs w:val="22"/>
        </w:rPr>
      </w:pPr>
      <w:bookmarkStart w:id="76" w:name="_bookmark80"/>
      <w:bookmarkEnd w:id="76"/>
      <w:r>
        <w:rPr>
          <w:rFonts w:ascii="黑体" w:eastAsia="黑体" w:hAnsi="黑体" w:cs="黑体"/>
          <w:b/>
          <w:bCs/>
          <w:spacing w:val="6"/>
          <w:sz w:val="22"/>
          <w:szCs w:val="22"/>
        </w:rPr>
        <w:t>10.3.1</w:t>
      </w:r>
      <w:r>
        <w:rPr>
          <w:rFonts w:ascii="黑体" w:eastAsia="黑体" w:hAnsi="黑体" w:cs="黑体"/>
          <w:spacing w:val="35"/>
          <w:sz w:val="22"/>
          <w:szCs w:val="22"/>
        </w:rPr>
        <w:t xml:space="preserve">  </w:t>
      </w:r>
      <w:r>
        <w:rPr>
          <w:rFonts w:ascii="黑体" w:eastAsia="黑体" w:hAnsi="黑体" w:cs="黑体"/>
          <w:b/>
          <w:bCs/>
          <w:spacing w:val="6"/>
          <w:sz w:val="22"/>
          <w:szCs w:val="22"/>
        </w:rPr>
        <w:t>婴儿生理特点与营养</w:t>
      </w:r>
    </w:p>
    <w:p w:rsidR="00EA40A3" w:rsidRDefault="00E86C16">
      <w:pPr>
        <w:spacing w:before="240" w:line="222"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34"/>
          <w:sz w:val="22"/>
          <w:szCs w:val="22"/>
        </w:rPr>
        <w:t xml:space="preserve"> </w:t>
      </w:r>
      <w:r>
        <w:rPr>
          <w:rFonts w:ascii="仿宋" w:eastAsia="仿宋" w:hAnsi="仿宋" w:cs="仿宋"/>
          <w:spacing w:val="11"/>
          <w:sz w:val="22"/>
          <w:szCs w:val="22"/>
        </w:rPr>
        <w:t>婴儿生长发育特点</w:t>
      </w:r>
    </w:p>
    <w:p w:rsidR="00EA40A3" w:rsidRDefault="00E86C16">
      <w:pPr>
        <w:spacing w:before="186" w:line="241" w:lineRule="auto"/>
        <w:ind w:firstLine="509"/>
        <w:rPr>
          <w:rFonts w:ascii="宋体" w:eastAsia="宋体" w:hAnsi="宋体" w:cs="宋体"/>
          <w:sz w:val="22"/>
          <w:szCs w:val="22"/>
        </w:rPr>
      </w:pPr>
      <w:r>
        <w:rPr>
          <w:rFonts w:ascii="宋体" w:eastAsia="宋体" w:hAnsi="宋体" w:cs="宋体"/>
          <w:spacing w:val="-10"/>
          <w:sz w:val="22"/>
          <w:szCs w:val="22"/>
        </w:rPr>
        <w:t>婴儿期</w:t>
      </w:r>
      <w:r>
        <w:rPr>
          <w:rFonts w:ascii="宋体" w:eastAsia="宋体" w:hAnsi="宋体" w:cs="宋体"/>
          <w:spacing w:val="-4"/>
          <w:sz w:val="22"/>
          <w:szCs w:val="22"/>
        </w:rPr>
        <w:t xml:space="preserve"> </w:t>
      </w:r>
      <w:r>
        <w:rPr>
          <w:rFonts w:ascii="宋体" w:eastAsia="宋体" w:hAnsi="宋体" w:cs="宋体"/>
          <w:spacing w:val="-10"/>
          <w:sz w:val="22"/>
          <w:szCs w:val="22"/>
        </w:rPr>
        <w:t>(infant)</w:t>
      </w:r>
      <w:r>
        <w:rPr>
          <w:rFonts w:ascii="宋体" w:eastAsia="宋体" w:hAnsi="宋体" w:cs="宋体"/>
          <w:spacing w:val="-54"/>
          <w:sz w:val="22"/>
          <w:szCs w:val="22"/>
        </w:rPr>
        <w:t xml:space="preserve"> </w:t>
      </w:r>
      <w:r>
        <w:rPr>
          <w:rFonts w:ascii="宋体" w:eastAsia="宋体" w:hAnsi="宋体" w:cs="宋体"/>
          <w:spacing w:val="-10"/>
          <w:sz w:val="22"/>
          <w:szCs w:val="22"/>
        </w:rPr>
        <w:t>是人类生命从母体内生活到母</w:t>
      </w:r>
      <w:r>
        <w:rPr>
          <w:rFonts w:ascii="宋体" w:eastAsia="宋体" w:hAnsi="宋体" w:cs="宋体"/>
          <w:spacing w:val="-11"/>
          <w:sz w:val="22"/>
          <w:szCs w:val="22"/>
        </w:rPr>
        <w:t>体外生活的过渡期。婴儿在</w:t>
      </w:r>
      <w:r>
        <w:rPr>
          <w:rFonts w:ascii="宋体" w:eastAsia="宋体" w:hAnsi="宋体" w:cs="宋体"/>
          <w:sz w:val="22"/>
          <w:szCs w:val="22"/>
        </w:rPr>
        <w:t xml:space="preserve"> </w:t>
      </w:r>
      <w:r>
        <w:rPr>
          <w:rFonts w:ascii="宋体" w:eastAsia="宋体" w:hAnsi="宋体" w:cs="宋体"/>
          <w:spacing w:val="-14"/>
          <w:sz w:val="22"/>
          <w:szCs w:val="22"/>
        </w:rPr>
        <w:t>出生后的第一年内生长的速度比以后的任何时期都快，所以婴儿期也是人类生长</w:t>
      </w:r>
      <w:r>
        <w:rPr>
          <w:rFonts w:ascii="宋体" w:eastAsia="宋体" w:hAnsi="宋体" w:cs="宋体"/>
          <w:spacing w:val="9"/>
          <w:sz w:val="22"/>
          <w:szCs w:val="22"/>
        </w:rPr>
        <w:t xml:space="preserve">  </w:t>
      </w:r>
      <w:r>
        <w:rPr>
          <w:rFonts w:ascii="宋体" w:eastAsia="宋体" w:hAnsi="宋体" w:cs="宋体"/>
          <w:spacing w:val="-16"/>
          <w:sz w:val="22"/>
          <w:szCs w:val="22"/>
        </w:rPr>
        <w:t>发育的第一高峰期。</w:t>
      </w:r>
    </w:p>
    <w:p w:rsidR="00EA40A3" w:rsidRDefault="00E86C16">
      <w:pPr>
        <w:spacing w:before="66" w:line="249" w:lineRule="auto"/>
        <w:ind w:right="78" w:firstLine="509"/>
        <w:rPr>
          <w:rFonts w:ascii="宋体" w:eastAsia="宋体" w:hAnsi="宋体" w:cs="宋体"/>
          <w:sz w:val="22"/>
          <w:szCs w:val="22"/>
        </w:rPr>
      </w:pPr>
      <w:r>
        <w:rPr>
          <w:rFonts w:ascii="宋体" w:eastAsia="宋体" w:hAnsi="宋体" w:cs="宋体"/>
          <w:sz w:val="22"/>
          <w:szCs w:val="22"/>
        </w:rPr>
        <w:t>首先，婴儿的体重增长迅速。6月前的婴儿体重平均每月增加0</w:t>
      </w:r>
      <w:r>
        <w:rPr>
          <w:rFonts w:ascii="宋体" w:eastAsia="宋体" w:hAnsi="宋体" w:cs="宋体"/>
          <w:spacing w:val="-1"/>
          <w:sz w:val="22"/>
          <w:szCs w:val="22"/>
        </w:rPr>
        <w:t>.6</w:t>
      </w:r>
      <w:r>
        <w:rPr>
          <w:rFonts w:ascii="宋体" w:eastAsia="宋体" w:hAnsi="宋体" w:cs="宋体"/>
          <w:sz w:val="22"/>
          <w:szCs w:val="22"/>
        </w:rPr>
        <w:t>kg</w:t>
      </w:r>
      <w:r>
        <w:rPr>
          <w:rFonts w:ascii="宋体" w:eastAsia="宋体" w:hAnsi="宋体" w:cs="宋体"/>
          <w:spacing w:val="-1"/>
          <w:sz w:val="22"/>
          <w:szCs w:val="22"/>
        </w:rPr>
        <w:t>,6~</w:t>
      </w:r>
      <w:r>
        <w:rPr>
          <w:rFonts w:ascii="宋体" w:eastAsia="宋体" w:hAnsi="宋体" w:cs="宋体"/>
          <w:sz w:val="22"/>
          <w:szCs w:val="22"/>
        </w:rPr>
        <w:t xml:space="preserve"> </w:t>
      </w:r>
      <w:r>
        <w:rPr>
          <w:rFonts w:ascii="宋体" w:eastAsia="宋体" w:hAnsi="宋体" w:cs="宋体"/>
          <w:spacing w:val="-4"/>
          <w:sz w:val="22"/>
          <w:szCs w:val="22"/>
        </w:rPr>
        <w:t>12个月的婴儿体重平均每月增加0.5kg。4～6个月的婴儿其体重就可达到出生</w:t>
      </w:r>
      <w:r>
        <w:rPr>
          <w:rFonts w:ascii="宋体" w:eastAsia="宋体" w:hAnsi="宋体" w:cs="宋体"/>
          <w:spacing w:val="11"/>
          <w:sz w:val="22"/>
          <w:szCs w:val="22"/>
        </w:rPr>
        <w:t xml:space="preserve"> </w:t>
      </w:r>
      <w:r>
        <w:rPr>
          <w:rFonts w:ascii="宋体" w:eastAsia="宋体" w:hAnsi="宋体" w:cs="宋体"/>
          <w:spacing w:val="-4"/>
          <w:sz w:val="22"/>
          <w:szCs w:val="22"/>
        </w:rPr>
        <w:t>时体重的两倍；12月龄时婴儿体重将增至出生时的3倍。同时，婴儿的身长迅</w:t>
      </w:r>
      <w:r>
        <w:rPr>
          <w:rFonts w:ascii="宋体" w:eastAsia="宋体" w:hAnsi="宋体" w:cs="宋体"/>
          <w:spacing w:val="17"/>
          <w:sz w:val="22"/>
          <w:szCs w:val="22"/>
        </w:rPr>
        <w:t xml:space="preserve"> </w:t>
      </w:r>
      <w:r>
        <w:rPr>
          <w:rFonts w:ascii="宋体" w:eastAsia="宋体" w:hAnsi="宋体" w:cs="宋体"/>
          <w:spacing w:val="-5"/>
          <w:sz w:val="22"/>
          <w:szCs w:val="22"/>
        </w:rPr>
        <w:t>速增长。婴儿期内身长平均增长25cm,12</w:t>
      </w:r>
      <w:r>
        <w:rPr>
          <w:rFonts w:ascii="宋体" w:eastAsia="宋体" w:hAnsi="宋体" w:cs="宋体"/>
          <w:spacing w:val="75"/>
          <w:sz w:val="22"/>
          <w:szCs w:val="22"/>
        </w:rPr>
        <w:t xml:space="preserve"> </w:t>
      </w:r>
      <w:r>
        <w:rPr>
          <w:rFonts w:ascii="宋体" w:eastAsia="宋体" w:hAnsi="宋体" w:cs="宋体"/>
          <w:spacing w:val="-5"/>
          <w:sz w:val="22"/>
          <w:szCs w:val="22"/>
        </w:rPr>
        <w:t>个月时身长可达出生时的1.5倍。胸</w:t>
      </w:r>
      <w:r>
        <w:rPr>
          <w:rFonts w:ascii="宋体" w:eastAsia="宋体" w:hAnsi="宋体" w:cs="宋体"/>
          <w:sz w:val="22"/>
          <w:szCs w:val="22"/>
        </w:rPr>
        <w:t xml:space="preserve"> </w:t>
      </w:r>
      <w:r>
        <w:rPr>
          <w:rFonts w:ascii="宋体" w:eastAsia="宋体" w:hAnsi="宋体" w:cs="宋体"/>
          <w:spacing w:val="-7"/>
          <w:sz w:val="22"/>
          <w:szCs w:val="22"/>
        </w:rPr>
        <w:t>围、上臂围在这一时期也得以迅速增加，胸围出生时小于头围，至12个月时可</w:t>
      </w:r>
      <w:r>
        <w:rPr>
          <w:rFonts w:ascii="宋体" w:eastAsia="宋体" w:hAnsi="宋体" w:cs="宋体"/>
          <w:spacing w:val="13"/>
          <w:sz w:val="22"/>
          <w:szCs w:val="22"/>
        </w:rPr>
        <w:t xml:space="preserve"> </w:t>
      </w:r>
      <w:r>
        <w:rPr>
          <w:rFonts w:ascii="宋体" w:eastAsia="宋体" w:hAnsi="宋体" w:cs="宋体"/>
          <w:spacing w:val="-5"/>
          <w:sz w:val="22"/>
          <w:szCs w:val="22"/>
        </w:rPr>
        <w:t>与头围基本相等并开始超过头围，上臂围在婴儿期由11cm</w:t>
      </w:r>
      <w:r>
        <w:rPr>
          <w:rFonts w:ascii="宋体" w:eastAsia="宋体" w:hAnsi="宋体" w:cs="宋体"/>
          <w:spacing w:val="-18"/>
          <w:sz w:val="22"/>
          <w:szCs w:val="22"/>
        </w:rPr>
        <w:t xml:space="preserve"> </w:t>
      </w:r>
      <w:r>
        <w:rPr>
          <w:rFonts w:ascii="宋体" w:eastAsia="宋体" w:hAnsi="宋体" w:cs="宋体"/>
          <w:spacing w:val="-5"/>
          <w:sz w:val="22"/>
          <w:szCs w:val="22"/>
        </w:rPr>
        <w:t>增</w:t>
      </w:r>
      <w:r>
        <w:rPr>
          <w:rFonts w:ascii="宋体" w:eastAsia="宋体" w:hAnsi="宋体" w:cs="宋体"/>
          <w:spacing w:val="-6"/>
          <w:sz w:val="22"/>
          <w:szCs w:val="22"/>
        </w:rPr>
        <w:t>长至16</w:t>
      </w:r>
      <w:r>
        <w:rPr>
          <w:rFonts w:ascii="宋体" w:eastAsia="宋体" w:hAnsi="宋体" w:cs="宋体"/>
          <w:spacing w:val="-5"/>
          <w:sz w:val="22"/>
          <w:szCs w:val="22"/>
        </w:rPr>
        <w:t>cm</w:t>
      </w:r>
      <w:r>
        <w:rPr>
          <w:rFonts w:ascii="宋体" w:eastAsia="宋体" w:hAnsi="宋体" w:cs="宋体"/>
          <w:spacing w:val="-6"/>
          <w:sz w:val="22"/>
          <w:szCs w:val="22"/>
        </w:rPr>
        <w:t>。</w:t>
      </w:r>
      <w:r>
        <w:rPr>
          <w:rFonts w:ascii="宋体" w:eastAsia="宋体" w:hAnsi="宋体" w:cs="宋体"/>
          <w:spacing w:val="-23"/>
          <w:sz w:val="22"/>
          <w:szCs w:val="22"/>
        </w:rPr>
        <w:t xml:space="preserve"> </w:t>
      </w:r>
      <w:r>
        <w:rPr>
          <w:rFonts w:ascii="宋体" w:eastAsia="宋体" w:hAnsi="宋体" w:cs="宋体"/>
          <w:spacing w:val="-6"/>
          <w:sz w:val="22"/>
          <w:szCs w:val="22"/>
        </w:rPr>
        <w:t>婴儿</w:t>
      </w:r>
      <w:r>
        <w:rPr>
          <w:rFonts w:ascii="宋体" w:eastAsia="宋体" w:hAnsi="宋体" w:cs="宋体"/>
          <w:sz w:val="22"/>
          <w:szCs w:val="22"/>
        </w:rPr>
        <w:t xml:space="preserve"> </w:t>
      </w:r>
      <w:r>
        <w:rPr>
          <w:rFonts w:ascii="宋体" w:eastAsia="宋体" w:hAnsi="宋体" w:cs="宋体"/>
          <w:spacing w:val="-9"/>
          <w:sz w:val="22"/>
          <w:szCs w:val="22"/>
        </w:rPr>
        <w:t>期也是脑细胞的增殖高峰期，不仅脑细胞的数目增</w:t>
      </w:r>
      <w:r>
        <w:rPr>
          <w:rFonts w:ascii="宋体" w:eastAsia="宋体" w:hAnsi="宋体" w:cs="宋体"/>
          <w:spacing w:val="-10"/>
          <w:sz w:val="22"/>
          <w:szCs w:val="22"/>
        </w:rPr>
        <w:t>加，细胞体积也增大，6个月</w:t>
      </w:r>
      <w:r>
        <w:rPr>
          <w:rFonts w:ascii="宋体" w:eastAsia="宋体" w:hAnsi="宋体" w:cs="宋体"/>
          <w:sz w:val="22"/>
          <w:szCs w:val="22"/>
        </w:rPr>
        <w:t xml:space="preserve"> 时脑重可比出生时增加1倍，至1岁时，脑质量达900～1000g,</w:t>
      </w:r>
      <w:r>
        <w:rPr>
          <w:rFonts w:ascii="宋体" w:eastAsia="宋体" w:hAnsi="宋体" w:cs="宋体"/>
          <w:spacing w:val="-8"/>
          <w:sz w:val="22"/>
          <w:szCs w:val="22"/>
        </w:rPr>
        <w:t xml:space="preserve"> </w:t>
      </w:r>
      <w:r>
        <w:rPr>
          <w:rFonts w:ascii="宋体" w:eastAsia="宋体" w:hAnsi="宋体" w:cs="宋体"/>
          <w:sz w:val="22"/>
          <w:szCs w:val="22"/>
        </w:rPr>
        <w:t>接近成人</w:t>
      </w:r>
      <w:r>
        <w:rPr>
          <w:rFonts w:ascii="宋体" w:eastAsia="宋体" w:hAnsi="宋体" w:cs="宋体"/>
          <w:spacing w:val="-1"/>
          <w:sz w:val="22"/>
          <w:szCs w:val="22"/>
        </w:rPr>
        <w:t>脑重</w:t>
      </w:r>
      <w:r>
        <w:rPr>
          <w:rFonts w:ascii="宋体" w:eastAsia="宋体" w:hAnsi="宋体" w:cs="宋体"/>
          <w:sz w:val="22"/>
          <w:szCs w:val="22"/>
        </w:rPr>
        <w:t xml:space="preserve"> </w:t>
      </w:r>
      <w:r>
        <w:rPr>
          <w:rFonts w:ascii="宋体" w:eastAsia="宋体" w:hAnsi="宋体" w:cs="宋体"/>
          <w:spacing w:val="-9"/>
          <w:sz w:val="22"/>
          <w:szCs w:val="22"/>
        </w:rPr>
        <w:t>的2/3。</w:t>
      </w:r>
    </w:p>
    <w:p w:rsidR="00EA40A3" w:rsidRDefault="00E86C16">
      <w:pPr>
        <w:spacing w:before="114" w:line="252" w:lineRule="auto"/>
        <w:ind w:right="60" w:firstLine="430"/>
        <w:jc w:val="both"/>
        <w:rPr>
          <w:rFonts w:ascii="宋体" w:eastAsia="宋体" w:hAnsi="宋体" w:cs="宋体"/>
          <w:sz w:val="22"/>
          <w:szCs w:val="22"/>
        </w:rPr>
      </w:pPr>
      <w:r>
        <w:rPr>
          <w:rFonts w:ascii="宋体" w:eastAsia="宋体" w:hAnsi="宋体" w:cs="宋体"/>
          <w:spacing w:val="-12"/>
          <w:sz w:val="22"/>
          <w:szCs w:val="22"/>
        </w:rPr>
        <w:t>尽管婴儿的生长发育速度很快，但是其消化道</w:t>
      </w:r>
      <w:r>
        <w:rPr>
          <w:rFonts w:ascii="宋体" w:eastAsia="宋体" w:hAnsi="宋体" w:cs="宋体"/>
          <w:spacing w:val="-13"/>
          <w:sz w:val="22"/>
          <w:szCs w:val="22"/>
        </w:rPr>
        <w:t>及泌尿系统发育尚不完全，在</w:t>
      </w:r>
      <w:r>
        <w:rPr>
          <w:rFonts w:ascii="宋体" w:eastAsia="宋体" w:hAnsi="宋体" w:cs="宋体"/>
          <w:sz w:val="22"/>
          <w:szCs w:val="22"/>
        </w:rPr>
        <w:t xml:space="preserve"> </w:t>
      </w:r>
      <w:r>
        <w:rPr>
          <w:rFonts w:ascii="宋体" w:eastAsia="宋体" w:hAnsi="宋体" w:cs="宋体"/>
          <w:spacing w:val="-13"/>
          <w:sz w:val="22"/>
          <w:szCs w:val="22"/>
        </w:rPr>
        <w:t>对食物的消耗、吸收和废物的排泄方面功能还不完善。婴儿口腔狭小，出生时涎</w:t>
      </w:r>
      <w:r>
        <w:rPr>
          <w:rFonts w:ascii="宋体" w:eastAsia="宋体" w:hAnsi="宋体" w:cs="宋体"/>
          <w:spacing w:val="2"/>
          <w:sz w:val="22"/>
          <w:szCs w:val="22"/>
        </w:rPr>
        <w:t xml:space="preserve"> </w:t>
      </w:r>
      <w:r>
        <w:rPr>
          <w:rFonts w:ascii="宋体" w:eastAsia="宋体" w:hAnsi="宋体" w:cs="宋体"/>
          <w:spacing w:val="-7"/>
          <w:sz w:val="22"/>
          <w:szCs w:val="22"/>
        </w:rPr>
        <w:t>腺细胞不发达，唾液分泌量少，到3～4月唾液腺才逐渐发育完全，唾液内淀粉</w:t>
      </w:r>
      <w:r>
        <w:rPr>
          <w:rFonts w:ascii="宋体" w:eastAsia="宋体" w:hAnsi="宋体" w:cs="宋体"/>
          <w:spacing w:val="13"/>
          <w:sz w:val="22"/>
          <w:szCs w:val="22"/>
        </w:rPr>
        <w:t xml:space="preserve"> </w:t>
      </w:r>
      <w:r>
        <w:rPr>
          <w:rFonts w:ascii="宋体" w:eastAsia="宋体" w:hAnsi="宋体" w:cs="宋体"/>
          <w:spacing w:val="-3"/>
          <w:sz w:val="22"/>
          <w:szCs w:val="22"/>
        </w:rPr>
        <w:t>酶含量开始增加。同时，婴儿期婴儿的乳牙萌生还不完全，</w:t>
      </w:r>
      <w:r>
        <w:rPr>
          <w:rFonts w:ascii="宋体" w:eastAsia="宋体" w:hAnsi="宋体" w:cs="宋体"/>
          <w:spacing w:val="-4"/>
          <w:sz w:val="22"/>
          <w:szCs w:val="22"/>
        </w:rPr>
        <w:t>到12个月有6颗左</w:t>
      </w:r>
      <w:r>
        <w:rPr>
          <w:rFonts w:ascii="宋体" w:eastAsia="宋体" w:hAnsi="宋体" w:cs="宋体"/>
          <w:sz w:val="22"/>
          <w:szCs w:val="22"/>
        </w:rPr>
        <w:t xml:space="preserve"> </w:t>
      </w:r>
      <w:r>
        <w:rPr>
          <w:rFonts w:ascii="宋体" w:eastAsia="宋体" w:hAnsi="宋体" w:cs="宋体"/>
          <w:spacing w:val="7"/>
          <w:sz w:val="22"/>
          <w:szCs w:val="22"/>
        </w:rPr>
        <w:t>右。另外，婴儿的胃容量很小，出生时仅为25～50</w:t>
      </w:r>
      <w:r>
        <w:rPr>
          <w:rFonts w:ascii="宋体" w:eastAsia="宋体" w:hAnsi="宋体" w:cs="宋体"/>
          <w:sz w:val="22"/>
          <w:szCs w:val="22"/>
        </w:rPr>
        <w:t>mL</w:t>
      </w:r>
      <w:r>
        <w:rPr>
          <w:rFonts w:ascii="宋体" w:eastAsia="宋体" w:hAnsi="宋体" w:cs="宋体"/>
          <w:spacing w:val="7"/>
          <w:sz w:val="22"/>
          <w:szCs w:val="22"/>
        </w:rPr>
        <w:t>,</w:t>
      </w:r>
      <w:r>
        <w:rPr>
          <w:rFonts w:ascii="宋体" w:eastAsia="宋体" w:hAnsi="宋体" w:cs="宋体"/>
          <w:spacing w:val="86"/>
          <w:sz w:val="22"/>
          <w:szCs w:val="22"/>
        </w:rPr>
        <w:t xml:space="preserve"> </w:t>
      </w:r>
      <w:r>
        <w:rPr>
          <w:rFonts w:ascii="宋体" w:eastAsia="宋体" w:hAnsi="宋体" w:cs="宋体"/>
          <w:spacing w:val="7"/>
          <w:sz w:val="22"/>
          <w:szCs w:val="22"/>
        </w:rPr>
        <w:t>出生6个月后可达</w:t>
      </w:r>
      <w:r>
        <w:rPr>
          <w:rFonts w:ascii="宋体" w:eastAsia="宋体" w:hAnsi="宋体" w:cs="宋体"/>
          <w:sz w:val="22"/>
          <w:szCs w:val="22"/>
        </w:rPr>
        <w:t xml:space="preserve"> </w:t>
      </w:r>
      <w:r>
        <w:rPr>
          <w:rFonts w:ascii="宋体" w:eastAsia="宋体" w:hAnsi="宋体" w:cs="宋体"/>
          <w:spacing w:val="-11"/>
          <w:sz w:val="22"/>
          <w:szCs w:val="22"/>
        </w:rPr>
        <w:t>200mL,</w:t>
      </w:r>
      <w:r>
        <w:rPr>
          <w:rFonts w:ascii="宋体" w:eastAsia="宋体" w:hAnsi="宋体" w:cs="宋体"/>
          <w:spacing w:val="61"/>
          <w:sz w:val="22"/>
          <w:szCs w:val="22"/>
        </w:rPr>
        <w:t xml:space="preserve"> </w:t>
      </w:r>
      <w:r>
        <w:rPr>
          <w:rFonts w:ascii="宋体" w:eastAsia="宋体" w:hAnsi="宋体" w:cs="宋体"/>
          <w:spacing w:val="-11"/>
          <w:sz w:val="22"/>
          <w:szCs w:val="22"/>
        </w:rPr>
        <w:t>消化功能也不完善，胃肠道的消化酶</w:t>
      </w:r>
      <w:r>
        <w:rPr>
          <w:rFonts w:ascii="宋体" w:eastAsia="宋体" w:hAnsi="宋体" w:cs="宋体"/>
          <w:spacing w:val="-12"/>
          <w:sz w:val="22"/>
          <w:szCs w:val="22"/>
        </w:rPr>
        <w:t>分泌及蠕动能力远不如成人。</w:t>
      </w:r>
    </w:p>
    <w:p w:rsidR="00EA40A3" w:rsidRDefault="00E86C16">
      <w:pPr>
        <w:spacing w:before="211"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32"/>
          <w:sz w:val="22"/>
          <w:szCs w:val="22"/>
        </w:rPr>
        <w:t xml:space="preserve"> </w:t>
      </w:r>
      <w:r>
        <w:rPr>
          <w:rFonts w:ascii="仿宋" w:eastAsia="仿宋" w:hAnsi="仿宋" w:cs="仿宋"/>
          <w:spacing w:val="12"/>
          <w:sz w:val="22"/>
          <w:szCs w:val="22"/>
        </w:rPr>
        <w:t>婴儿的营养需要</w:t>
      </w:r>
    </w:p>
    <w:p w:rsidR="00EA40A3" w:rsidRDefault="00E86C16">
      <w:pPr>
        <w:spacing w:before="199" w:line="244" w:lineRule="auto"/>
        <w:ind w:right="82" w:firstLine="430"/>
        <w:jc w:val="both"/>
        <w:rPr>
          <w:rFonts w:ascii="宋体" w:eastAsia="宋体" w:hAnsi="宋体" w:cs="宋体"/>
          <w:sz w:val="22"/>
          <w:szCs w:val="22"/>
        </w:rPr>
      </w:pPr>
      <w:r>
        <w:rPr>
          <w:rFonts w:ascii="宋体" w:eastAsia="宋体" w:hAnsi="宋体" w:cs="宋体"/>
          <w:spacing w:val="-13"/>
          <w:sz w:val="22"/>
          <w:szCs w:val="22"/>
        </w:rPr>
        <w:t>婴儿的快速生长和代谢使其对营养素的需要量增加。尽</w:t>
      </w:r>
      <w:r>
        <w:rPr>
          <w:rFonts w:ascii="宋体" w:eastAsia="宋体" w:hAnsi="宋体" w:cs="宋体"/>
          <w:spacing w:val="-14"/>
          <w:sz w:val="22"/>
          <w:szCs w:val="22"/>
        </w:rPr>
        <w:t>管婴儿对营养素的需</w:t>
      </w:r>
      <w:r>
        <w:rPr>
          <w:rFonts w:ascii="宋体" w:eastAsia="宋体" w:hAnsi="宋体" w:cs="宋体"/>
          <w:sz w:val="22"/>
          <w:szCs w:val="22"/>
        </w:rPr>
        <w:t xml:space="preserve"> </w:t>
      </w:r>
      <w:r>
        <w:rPr>
          <w:rFonts w:ascii="宋体" w:eastAsia="宋体" w:hAnsi="宋体" w:cs="宋体"/>
          <w:spacing w:val="-7"/>
          <w:sz w:val="22"/>
          <w:szCs w:val="22"/>
        </w:rPr>
        <w:t>求总量比成人少，但是从营养素所占体重比例看，婴儿是成人的两倍以上。同</w:t>
      </w:r>
      <w:r>
        <w:rPr>
          <w:rFonts w:ascii="宋体" w:eastAsia="宋体" w:hAnsi="宋体" w:cs="宋体"/>
          <w:spacing w:val="16"/>
          <w:sz w:val="22"/>
          <w:szCs w:val="22"/>
        </w:rPr>
        <w:t xml:space="preserve"> </w:t>
      </w:r>
      <w:r>
        <w:rPr>
          <w:rFonts w:ascii="宋体" w:eastAsia="宋体" w:hAnsi="宋体" w:cs="宋体"/>
          <w:spacing w:val="-13"/>
          <w:sz w:val="22"/>
          <w:szCs w:val="22"/>
        </w:rPr>
        <w:t>时，在喂养婴儿时应考虑婴儿的消化吸收能力。整体来讲，对婴儿期尤为重要的</w:t>
      </w:r>
      <w:r>
        <w:rPr>
          <w:rFonts w:ascii="宋体" w:eastAsia="宋体" w:hAnsi="宋体" w:cs="宋体"/>
          <w:spacing w:val="10"/>
          <w:sz w:val="22"/>
          <w:szCs w:val="22"/>
        </w:rPr>
        <w:t xml:space="preserve"> </w:t>
      </w:r>
      <w:r>
        <w:rPr>
          <w:rFonts w:ascii="宋体" w:eastAsia="宋体" w:hAnsi="宋体" w:cs="宋体"/>
          <w:spacing w:val="-15"/>
          <w:sz w:val="22"/>
          <w:szCs w:val="22"/>
        </w:rPr>
        <w:t>是含能量的营养素和对生长必需的维生素及矿物质。</w:t>
      </w:r>
    </w:p>
    <w:p w:rsidR="00EA40A3" w:rsidRDefault="00E86C16">
      <w:pPr>
        <w:spacing w:before="50" w:line="221" w:lineRule="auto"/>
        <w:rPr>
          <w:rFonts w:ascii="宋体" w:eastAsia="宋体" w:hAnsi="宋体" w:cs="宋体"/>
          <w:sz w:val="22"/>
          <w:szCs w:val="22"/>
        </w:rPr>
      </w:pPr>
      <w:r>
        <w:rPr>
          <w:rFonts w:ascii="宋体" w:eastAsia="宋体" w:hAnsi="宋体" w:cs="宋体"/>
          <w:spacing w:val="-5"/>
          <w:sz w:val="22"/>
          <w:szCs w:val="22"/>
        </w:rPr>
        <w:t>1)能量</w:t>
      </w:r>
    </w:p>
    <w:p w:rsidR="00EA40A3" w:rsidRDefault="00E86C16">
      <w:pPr>
        <w:spacing w:before="68" w:line="254" w:lineRule="auto"/>
        <w:ind w:right="11" w:firstLine="430"/>
        <w:jc w:val="both"/>
        <w:rPr>
          <w:rFonts w:ascii="宋体" w:eastAsia="宋体" w:hAnsi="宋体" w:cs="宋体"/>
          <w:sz w:val="22"/>
          <w:szCs w:val="22"/>
        </w:rPr>
      </w:pPr>
      <w:r>
        <w:rPr>
          <w:rFonts w:ascii="宋体" w:eastAsia="宋体" w:hAnsi="宋体" w:cs="宋体"/>
          <w:spacing w:val="-13"/>
          <w:sz w:val="22"/>
          <w:szCs w:val="22"/>
        </w:rPr>
        <w:t>婴儿的能量消耗由基础代谢、食物的热效应、体力</w:t>
      </w:r>
      <w:r>
        <w:rPr>
          <w:rFonts w:ascii="宋体" w:eastAsia="宋体" w:hAnsi="宋体" w:cs="宋体"/>
          <w:spacing w:val="-14"/>
          <w:sz w:val="22"/>
          <w:szCs w:val="22"/>
        </w:rPr>
        <w:t>活动的能量消耗、排泄能</w:t>
      </w:r>
      <w:r>
        <w:rPr>
          <w:rFonts w:ascii="宋体" w:eastAsia="宋体" w:hAnsi="宋体" w:cs="宋体"/>
          <w:sz w:val="22"/>
          <w:szCs w:val="22"/>
        </w:rPr>
        <w:t xml:space="preserve"> </w:t>
      </w:r>
      <w:r>
        <w:rPr>
          <w:rFonts w:ascii="宋体" w:eastAsia="宋体" w:hAnsi="宋体" w:cs="宋体"/>
          <w:spacing w:val="-1"/>
          <w:sz w:val="22"/>
          <w:szCs w:val="22"/>
        </w:rPr>
        <w:t>量和组织合成的能量消耗(储存能量)组成。以单位体重表示，0～0.5岁婴儿</w:t>
      </w:r>
      <w:r>
        <w:rPr>
          <w:rFonts w:ascii="宋体" w:eastAsia="宋体" w:hAnsi="宋体" w:cs="宋体"/>
          <w:spacing w:val="2"/>
          <w:sz w:val="22"/>
          <w:szCs w:val="22"/>
        </w:rPr>
        <w:t xml:space="preserve">  </w:t>
      </w:r>
      <w:r>
        <w:rPr>
          <w:rFonts w:ascii="宋体" w:eastAsia="宋体" w:hAnsi="宋体" w:cs="宋体"/>
          <w:sz w:val="22"/>
          <w:szCs w:val="22"/>
        </w:rPr>
        <w:t>每天能量的适宜摄入量</w:t>
      </w:r>
      <w:r>
        <w:rPr>
          <w:rFonts w:ascii="宋体" w:eastAsia="宋体" w:hAnsi="宋体" w:cs="宋体"/>
          <w:spacing w:val="-58"/>
          <w:sz w:val="22"/>
          <w:szCs w:val="22"/>
        </w:rPr>
        <w:t xml:space="preserve"> </w:t>
      </w:r>
      <w:r>
        <w:rPr>
          <w:rFonts w:ascii="宋体" w:eastAsia="宋体" w:hAnsi="宋体" w:cs="宋体"/>
          <w:sz w:val="22"/>
          <w:szCs w:val="22"/>
        </w:rPr>
        <w:t>AI</w:t>
      </w:r>
      <w:r>
        <w:rPr>
          <w:rFonts w:ascii="宋体" w:eastAsia="宋体" w:hAnsi="宋体" w:cs="宋体"/>
          <w:spacing w:val="-28"/>
          <w:sz w:val="22"/>
          <w:szCs w:val="22"/>
        </w:rPr>
        <w:t xml:space="preserve"> </w:t>
      </w:r>
      <w:r>
        <w:rPr>
          <w:rFonts w:ascii="宋体" w:eastAsia="宋体" w:hAnsi="宋体" w:cs="宋体"/>
          <w:sz w:val="22"/>
          <w:szCs w:val="22"/>
        </w:rPr>
        <w:t>值为0.4MJ/kg(95kcal/kg)</w:t>
      </w:r>
      <w:r>
        <w:rPr>
          <w:rFonts w:ascii="宋体" w:eastAsia="宋体" w:hAnsi="宋体" w:cs="宋体"/>
          <w:spacing w:val="41"/>
          <w:sz w:val="22"/>
          <w:szCs w:val="22"/>
        </w:rPr>
        <w:t xml:space="preserve">  </w:t>
      </w:r>
      <w:r>
        <w:rPr>
          <w:rFonts w:ascii="宋体" w:eastAsia="宋体" w:hAnsi="宋体" w:cs="宋体"/>
          <w:sz w:val="22"/>
          <w:szCs w:val="22"/>
        </w:rPr>
        <w:t xml:space="preserve">(非母乳喂养应增加 </w:t>
      </w:r>
      <w:r>
        <w:rPr>
          <w:rFonts w:ascii="宋体" w:eastAsia="宋体" w:hAnsi="宋体" w:cs="宋体"/>
          <w:spacing w:val="-1"/>
          <w:sz w:val="22"/>
          <w:szCs w:val="22"/>
        </w:rPr>
        <w:t>20%),是成人的两倍以上。相比生命的其他时期，婴儿期的基础代谢</w:t>
      </w:r>
      <w:r>
        <w:rPr>
          <w:rFonts w:ascii="宋体" w:eastAsia="宋体" w:hAnsi="宋体" w:cs="宋体"/>
          <w:spacing w:val="-2"/>
          <w:sz w:val="22"/>
          <w:szCs w:val="22"/>
        </w:rPr>
        <w:t>率最高，</w:t>
      </w:r>
      <w:r>
        <w:rPr>
          <w:rFonts w:ascii="宋体" w:eastAsia="宋体" w:hAnsi="宋体" w:cs="宋体"/>
          <w:sz w:val="22"/>
          <w:szCs w:val="22"/>
        </w:rPr>
        <w:t xml:space="preserve"> </w:t>
      </w:r>
      <w:r>
        <w:rPr>
          <w:rFonts w:ascii="宋体" w:eastAsia="宋体" w:hAnsi="宋体" w:cs="宋体"/>
          <w:spacing w:val="-2"/>
          <w:sz w:val="22"/>
          <w:szCs w:val="22"/>
        </w:rPr>
        <w:t>每千克体重每天约需230kJ(55kcal)</w:t>
      </w:r>
      <w:r>
        <w:rPr>
          <w:rFonts w:ascii="宋体" w:eastAsia="宋体" w:hAnsi="宋体" w:cs="宋体"/>
          <w:spacing w:val="-34"/>
          <w:sz w:val="22"/>
          <w:szCs w:val="22"/>
        </w:rPr>
        <w:t xml:space="preserve"> </w:t>
      </w:r>
      <w:r>
        <w:rPr>
          <w:rFonts w:ascii="宋体" w:eastAsia="宋体" w:hAnsi="宋体" w:cs="宋体"/>
          <w:spacing w:val="-2"/>
          <w:sz w:val="22"/>
          <w:szCs w:val="22"/>
        </w:rPr>
        <w:t>能量，占婴儿每日能量消耗的60%。</w:t>
      </w:r>
      <w:r>
        <w:rPr>
          <w:rFonts w:ascii="宋体" w:eastAsia="宋体" w:hAnsi="宋体" w:cs="宋体"/>
          <w:spacing w:val="-3"/>
          <w:sz w:val="22"/>
          <w:szCs w:val="22"/>
        </w:rPr>
        <w:t>由于</w:t>
      </w:r>
      <w:r>
        <w:rPr>
          <w:rFonts w:ascii="宋体" w:eastAsia="宋体" w:hAnsi="宋体" w:cs="宋体"/>
          <w:sz w:val="22"/>
          <w:szCs w:val="22"/>
        </w:rPr>
        <w:t xml:space="preserve"> </w:t>
      </w:r>
      <w:r>
        <w:rPr>
          <w:rFonts w:ascii="宋体" w:eastAsia="宋体" w:hAnsi="宋体" w:cs="宋体"/>
          <w:spacing w:val="-13"/>
          <w:sz w:val="22"/>
          <w:szCs w:val="22"/>
        </w:rPr>
        <w:t>婴儿的消化系统功能较弱，尤其是对蛋白质和脂肪吸收较差，因而其排泄的能量</w:t>
      </w:r>
      <w:r>
        <w:rPr>
          <w:rFonts w:ascii="宋体" w:eastAsia="宋体" w:hAnsi="宋体" w:cs="宋体"/>
          <w:spacing w:val="2"/>
          <w:sz w:val="22"/>
          <w:szCs w:val="22"/>
        </w:rPr>
        <w:t xml:space="preserve"> </w:t>
      </w:r>
      <w:r>
        <w:rPr>
          <w:rFonts w:ascii="宋体" w:eastAsia="宋体" w:hAnsi="宋体" w:cs="宋体"/>
          <w:spacing w:val="-3"/>
          <w:sz w:val="22"/>
          <w:szCs w:val="22"/>
        </w:rPr>
        <w:t>消耗约占基础代谢能量的10%。储存能量是婴儿</w:t>
      </w:r>
      <w:r>
        <w:rPr>
          <w:rFonts w:ascii="宋体" w:eastAsia="宋体" w:hAnsi="宋体" w:cs="宋体"/>
          <w:spacing w:val="-4"/>
          <w:sz w:val="22"/>
          <w:szCs w:val="22"/>
        </w:rPr>
        <w:t>用于组织生长发育所需的能量</w:t>
      </w:r>
    </w:p>
    <w:p w:rsidR="00EA40A3" w:rsidRDefault="00E86C16">
      <w:pPr>
        <w:spacing w:before="53"/>
        <w:ind w:left="139"/>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312</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88" w:bottom="400" w:left="890" w:header="0" w:footer="0" w:gutter="0"/>
          <w:cols w:space="720"/>
        </w:sectPr>
      </w:pPr>
    </w:p>
    <w:p w:rsidR="00EA40A3" w:rsidRDefault="00EA40A3">
      <w:pPr>
        <w:spacing w:line="297" w:lineRule="auto"/>
      </w:pPr>
    </w:p>
    <w:p w:rsidR="00EA40A3" w:rsidRDefault="00EA40A3">
      <w:pPr>
        <w:spacing w:line="297" w:lineRule="auto"/>
      </w:pPr>
    </w:p>
    <w:p w:rsidR="00EA40A3" w:rsidRDefault="00E86C16">
      <w:pPr>
        <w:spacing w:before="69" w:line="258" w:lineRule="auto"/>
        <w:ind w:right="50"/>
        <w:jc w:val="both"/>
        <w:rPr>
          <w:rFonts w:ascii="宋体" w:eastAsia="宋体" w:hAnsi="宋体" w:cs="宋体"/>
        </w:rPr>
      </w:pPr>
      <w:r>
        <w:rPr>
          <w:rFonts w:ascii="宋体" w:eastAsia="宋体" w:hAnsi="宋体" w:cs="宋体"/>
        </w:rPr>
        <w:t>消耗，消耗量与生长的速度成正比，在出生的前</w:t>
      </w:r>
      <w:r>
        <w:rPr>
          <w:rFonts w:ascii="宋体" w:eastAsia="宋体" w:hAnsi="宋体" w:cs="宋体"/>
          <w:spacing w:val="-1"/>
        </w:rPr>
        <w:t>几个月每千克体重每天需62.8~</w:t>
      </w:r>
      <w:r>
        <w:rPr>
          <w:rFonts w:ascii="宋体" w:eastAsia="宋体" w:hAnsi="宋体" w:cs="宋体"/>
        </w:rPr>
        <w:t xml:space="preserve"> </w:t>
      </w:r>
      <w:r>
        <w:rPr>
          <w:rFonts w:ascii="宋体" w:eastAsia="宋体" w:hAnsi="宋体" w:cs="宋体"/>
          <w:spacing w:val="6"/>
        </w:rPr>
        <w:t>82.7</w:t>
      </w:r>
      <w:r>
        <w:rPr>
          <w:rFonts w:ascii="宋体" w:eastAsia="宋体" w:hAnsi="宋体" w:cs="宋体"/>
        </w:rPr>
        <w:t>kJ</w:t>
      </w:r>
      <w:r>
        <w:rPr>
          <w:rFonts w:ascii="宋体" w:eastAsia="宋体" w:hAnsi="宋体" w:cs="宋体"/>
          <w:spacing w:val="6"/>
        </w:rPr>
        <w:t>(15～20</w:t>
      </w:r>
      <w:r>
        <w:rPr>
          <w:rFonts w:ascii="宋体" w:eastAsia="宋体" w:hAnsi="宋体" w:cs="宋体"/>
        </w:rPr>
        <w:t>kcal</w:t>
      </w:r>
      <w:r>
        <w:rPr>
          <w:rFonts w:ascii="宋体" w:eastAsia="宋体" w:hAnsi="宋体" w:cs="宋体"/>
          <w:spacing w:val="6"/>
        </w:rPr>
        <w:t>)</w:t>
      </w:r>
      <w:r>
        <w:rPr>
          <w:rFonts w:ascii="宋体" w:eastAsia="宋体" w:hAnsi="宋体" w:cs="宋体"/>
          <w:spacing w:val="3"/>
        </w:rPr>
        <w:t xml:space="preserve"> </w:t>
      </w:r>
      <w:r>
        <w:rPr>
          <w:rFonts w:ascii="宋体" w:eastAsia="宋体" w:hAnsi="宋体" w:cs="宋体"/>
          <w:spacing w:val="6"/>
        </w:rPr>
        <w:t>能量，以后逐渐降低，到12</w:t>
      </w:r>
      <w:r>
        <w:rPr>
          <w:rFonts w:ascii="宋体" w:eastAsia="宋体" w:hAnsi="宋体" w:cs="宋体"/>
          <w:spacing w:val="5"/>
        </w:rPr>
        <w:t>个月时每千克体重每天约需</w:t>
      </w:r>
      <w:r>
        <w:rPr>
          <w:rFonts w:ascii="宋体" w:eastAsia="宋体" w:hAnsi="宋体" w:cs="宋体"/>
        </w:rPr>
        <w:t xml:space="preserve"> </w:t>
      </w:r>
      <w:r>
        <w:rPr>
          <w:rFonts w:ascii="宋体" w:eastAsia="宋体" w:hAnsi="宋体" w:cs="宋体"/>
          <w:spacing w:val="-3"/>
        </w:rPr>
        <w:t>能量20.9～62.8kJ(5～</w:t>
      </w:r>
      <w:r>
        <w:rPr>
          <w:rFonts w:ascii="宋体" w:eastAsia="宋体" w:hAnsi="宋体" w:cs="宋体"/>
          <w:spacing w:val="-4"/>
        </w:rPr>
        <w:t>15</w:t>
      </w:r>
      <w:r>
        <w:rPr>
          <w:rFonts w:ascii="宋体" w:eastAsia="宋体" w:hAnsi="宋体" w:cs="宋体"/>
          <w:spacing w:val="-3"/>
        </w:rPr>
        <w:t>kcal</w:t>
      </w:r>
      <w:r>
        <w:rPr>
          <w:rFonts w:ascii="宋体" w:eastAsia="宋体" w:hAnsi="宋体" w:cs="宋体"/>
          <w:spacing w:val="-4"/>
        </w:rPr>
        <w:t>)。</w:t>
      </w:r>
      <w:r>
        <w:rPr>
          <w:rFonts w:ascii="宋体" w:eastAsia="宋体" w:hAnsi="宋体" w:cs="宋体"/>
          <w:spacing w:val="51"/>
        </w:rPr>
        <w:t xml:space="preserve"> </w:t>
      </w:r>
      <w:r>
        <w:rPr>
          <w:rFonts w:ascii="宋体" w:eastAsia="宋体" w:hAnsi="宋体" w:cs="宋体"/>
          <w:spacing w:val="-4"/>
        </w:rPr>
        <w:t>另外，婴儿用于食物热效应消耗及体力活动的</w:t>
      </w:r>
      <w:r>
        <w:rPr>
          <w:rFonts w:ascii="宋体" w:eastAsia="宋体" w:hAnsi="宋体" w:cs="宋体"/>
        </w:rPr>
        <w:t xml:space="preserve"> </w:t>
      </w:r>
      <w:r>
        <w:rPr>
          <w:rFonts w:ascii="宋体" w:eastAsia="宋体" w:hAnsi="宋体" w:cs="宋体"/>
          <w:spacing w:val="6"/>
        </w:rPr>
        <w:t>能量消耗每千克体重每天分别为20.9～62.8</w:t>
      </w:r>
      <w:r>
        <w:rPr>
          <w:rFonts w:ascii="宋体" w:eastAsia="宋体" w:hAnsi="宋体" w:cs="宋体"/>
        </w:rPr>
        <w:t>kJ</w:t>
      </w:r>
      <w:r>
        <w:rPr>
          <w:rFonts w:ascii="宋体" w:eastAsia="宋体" w:hAnsi="宋体" w:cs="宋体"/>
          <w:spacing w:val="6"/>
        </w:rPr>
        <w:t>(5～15</w:t>
      </w:r>
      <w:r>
        <w:rPr>
          <w:rFonts w:ascii="宋体" w:eastAsia="宋体" w:hAnsi="宋体" w:cs="宋体"/>
        </w:rPr>
        <w:t>kcal</w:t>
      </w:r>
      <w:r>
        <w:rPr>
          <w:rFonts w:ascii="宋体" w:eastAsia="宋体" w:hAnsi="宋体" w:cs="宋体"/>
          <w:spacing w:val="6"/>
        </w:rPr>
        <w:t>)</w:t>
      </w:r>
      <w:r>
        <w:rPr>
          <w:rFonts w:ascii="宋体" w:eastAsia="宋体" w:hAnsi="宋体" w:cs="宋体"/>
          <w:spacing w:val="96"/>
        </w:rPr>
        <w:t xml:space="preserve"> </w:t>
      </w:r>
      <w:r>
        <w:rPr>
          <w:rFonts w:ascii="宋体" w:eastAsia="宋体" w:hAnsi="宋体" w:cs="宋体"/>
          <w:spacing w:val="6"/>
        </w:rPr>
        <w:t>和20</w:t>
      </w:r>
      <w:r>
        <w:rPr>
          <w:rFonts w:ascii="宋体" w:eastAsia="宋体" w:hAnsi="宋体" w:cs="宋体"/>
          <w:spacing w:val="5"/>
        </w:rPr>
        <w:t>.9～62.8</w:t>
      </w:r>
      <w:r>
        <w:rPr>
          <w:rFonts w:ascii="宋体" w:eastAsia="宋体" w:hAnsi="宋体" w:cs="宋体"/>
        </w:rPr>
        <w:t>kJ (5～15kcal)。</w:t>
      </w:r>
      <w:r>
        <w:rPr>
          <w:rFonts w:ascii="宋体" w:eastAsia="宋体" w:hAnsi="宋体" w:cs="宋体"/>
          <w:spacing w:val="-9"/>
        </w:rPr>
        <w:t xml:space="preserve"> </w:t>
      </w:r>
      <w:r>
        <w:rPr>
          <w:rFonts w:ascii="宋体" w:eastAsia="宋体" w:hAnsi="宋体" w:cs="宋体"/>
        </w:rPr>
        <w:t xml:space="preserve">需要注意的是，在6个月后，随着生长速度的减慢，婴儿对能量 </w:t>
      </w:r>
      <w:r>
        <w:rPr>
          <w:rFonts w:ascii="宋体" w:eastAsia="宋体" w:hAnsi="宋体" w:cs="宋体"/>
          <w:spacing w:val="2"/>
        </w:rPr>
        <w:t>的需求减少，其自身会调整降低食量，此时为正常反应，不应强迫或哄诱婴儿</w:t>
      </w:r>
      <w:r>
        <w:rPr>
          <w:rFonts w:ascii="宋体" w:eastAsia="宋体" w:hAnsi="宋体" w:cs="宋体"/>
          <w:spacing w:val="9"/>
        </w:rPr>
        <w:t xml:space="preserve"> </w:t>
      </w:r>
      <w:r>
        <w:rPr>
          <w:rFonts w:ascii="宋体" w:eastAsia="宋体" w:hAnsi="宋体" w:cs="宋体"/>
          <w:spacing w:val="-11"/>
        </w:rPr>
        <w:t>多吃。</w:t>
      </w:r>
    </w:p>
    <w:p w:rsidR="00EA40A3" w:rsidRDefault="00E86C16">
      <w:pPr>
        <w:spacing w:before="85" w:line="226" w:lineRule="auto"/>
        <w:rPr>
          <w:rFonts w:ascii="楷体" w:eastAsia="楷体" w:hAnsi="楷体" w:cs="楷体"/>
        </w:rPr>
      </w:pPr>
      <w:r>
        <w:rPr>
          <w:rFonts w:ascii="楷体" w:eastAsia="楷体" w:hAnsi="楷体" w:cs="楷体"/>
          <w:spacing w:val="17"/>
        </w:rPr>
        <w:t>2)蛋白质</w:t>
      </w:r>
    </w:p>
    <w:p w:rsidR="00EA40A3" w:rsidRDefault="00E86C16">
      <w:pPr>
        <w:spacing w:before="49" w:line="258" w:lineRule="auto"/>
        <w:ind w:right="35" w:firstLine="429"/>
        <w:jc w:val="both"/>
        <w:rPr>
          <w:rFonts w:ascii="宋体" w:eastAsia="宋体" w:hAnsi="宋体" w:cs="宋体"/>
        </w:rPr>
      </w:pPr>
      <w:r>
        <w:rPr>
          <w:rFonts w:ascii="宋体" w:eastAsia="宋体" w:hAnsi="宋体" w:cs="宋体"/>
          <w:spacing w:val="-3"/>
        </w:rPr>
        <w:t>正常婴儿的蛋白质需要量，按每单位体重计，要大于成年人；而且婴儿</w:t>
      </w:r>
      <w:r>
        <w:rPr>
          <w:rFonts w:ascii="宋体" w:eastAsia="宋体" w:hAnsi="宋体" w:cs="宋体"/>
          <w:spacing w:val="-4"/>
        </w:rPr>
        <w:t>比成</w:t>
      </w:r>
      <w:r>
        <w:rPr>
          <w:rFonts w:ascii="宋体" w:eastAsia="宋体" w:hAnsi="宋体" w:cs="宋体"/>
        </w:rPr>
        <w:t xml:space="preserve"> 人所需的必需氨基酸的比例也大。除成人所必需的8种必</w:t>
      </w:r>
      <w:r>
        <w:rPr>
          <w:rFonts w:ascii="宋体" w:eastAsia="宋体" w:hAnsi="宋体" w:cs="宋体"/>
          <w:spacing w:val="-1"/>
        </w:rPr>
        <w:t>需氨基酸外，组氨酸也</w:t>
      </w:r>
      <w:r>
        <w:rPr>
          <w:rFonts w:ascii="宋体" w:eastAsia="宋体" w:hAnsi="宋体" w:cs="宋体"/>
        </w:rPr>
        <w:t xml:space="preserve"> </w:t>
      </w:r>
      <w:r>
        <w:rPr>
          <w:rFonts w:ascii="宋体" w:eastAsia="宋体" w:hAnsi="宋体" w:cs="宋体"/>
          <w:spacing w:val="-3"/>
        </w:rPr>
        <w:t>是婴儿所必需的。此外，婴儿还需要半胱氨酸和酪氨酸。若蛋白质长期</w:t>
      </w:r>
      <w:r>
        <w:rPr>
          <w:rFonts w:ascii="宋体" w:eastAsia="宋体" w:hAnsi="宋体" w:cs="宋体"/>
          <w:spacing w:val="-4"/>
        </w:rPr>
        <w:t>摄入量不</w:t>
      </w:r>
      <w:r>
        <w:rPr>
          <w:rFonts w:ascii="宋体" w:eastAsia="宋体" w:hAnsi="宋体" w:cs="宋体"/>
        </w:rPr>
        <w:t xml:space="preserve"> </w:t>
      </w:r>
      <w:r>
        <w:rPr>
          <w:rFonts w:ascii="宋体" w:eastAsia="宋体" w:hAnsi="宋体" w:cs="宋体"/>
          <w:spacing w:val="-3"/>
        </w:rPr>
        <w:t>足，会影响婴儿的生长发育，但供给量过多会造成肾脏负担。以</w:t>
      </w:r>
      <w:r>
        <w:rPr>
          <w:rFonts w:ascii="宋体" w:eastAsia="宋体" w:hAnsi="宋体" w:cs="宋体"/>
          <w:spacing w:val="-4"/>
        </w:rPr>
        <w:t>母乳的氨基酸模</w:t>
      </w:r>
      <w:r>
        <w:rPr>
          <w:rFonts w:ascii="宋体" w:eastAsia="宋体" w:hAnsi="宋体" w:cs="宋体"/>
        </w:rPr>
        <w:t xml:space="preserve"> </w:t>
      </w:r>
      <w:r>
        <w:rPr>
          <w:rFonts w:ascii="宋体" w:eastAsia="宋体" w:hAnsi="宋体" w:cs="宋体"/>
          <w:spacing w:val="3"/>
        </w:rPr>
        <w:t>式作为估算婴儿需要的氨基酸模式，得出婴儿的蛋白质的供给量应约为1.44g/</w:t>
      </w:r>
      <w:r>
        <w:rPr>
          <w:rFonts w:ascii="宋体" w:eastAsia="宋体" w:hAnsi="宋体" w:cs="宋体"/>
          <w:spacing w:val="16"/>
        </w:rPr>
        <w:t xml:space="preserve"> </w:t>
      </w:r>
      <w:r>
        <w:rPr>
          <w:rFonts w:ascii="宋体" w:eastAsia="宋体" w:hAnsi="宋体" w:cs="宋体"/>
          <w:spacing w:val="-4"/>
        </w:rPr>
        <w:t>(kg</w:t>
      </w:r>
      <w:r>
        <w:rPr>
          <w:rFonts w:ascii="宋体" w:eastAsia="宋体" w:hAnsi="宋体" w:cs="宋体"/>
          <w:spacing w:val="-11"/>
        </w:rPr>
        <w:t xml:space="preserve"> </w:t>
      </w:r>
      <w:r>
        <w:rPr>
          <w:rFonts w:ascii="宋体" w:eastAsia="宋体" w:hAnsi="宋体" w:cs="宋体"/>
          <w:spacing w:val="-4"/>
        </w:rPr>
        <w:t>·d),</w:t>
      </w:r>
      <w:r>
        <w:rPr>
          <w:rFonts w:ascii="宋体" w:eastAsia="宋体" w:hAnsi="宋体" w:cs="宋体"/>
          <w:spacing w:val="40"/>
        </w:rPr>
        <w:t xml:space="preserve"> </w:t>
      </w:r>
      <w:r>
        <w:rPr>
          <w:rFonts w:ascii="宋体" w:eastAsia="宋体" w:hAnsi="宋体" w:cs="宋体"/>
          <w:spacing w:val="-4"/>
        </w:rPr>
        <w:t>在新生儿期略高，而后期稍低；考虑到代母乳品在消化吸收及生物利</w:t>
      </w:r>
      <w:r>
        <w:rPr>
          <w:rFonts w:ascii="宋体" w:eastAsia="宋体" w:hAnsi="宋体" w:cs="宋体"/>
        </w:rPr>
        <w:t xml:space="preserve"> </w:t>
      </w:r>
      <w:r>
        <w:rPr>
          <w:rFonts w:ascii="宋体" w:eastAsia="宋体" w:hAnsi="宋体" w:cs="宋体"/>
          <w:spacing w:val="-3"/>
        </w:rPr>
        <w:t>用率上不及母乳，因而对于以代母乳品为婴儿蛋白质来源的适宜</w:t>
      </w:r>
      <w:r>
        <w:rPr>
          <w:rFonts w:ascii="宋体" w:eastAsia="宋体" w:hAnsi="宋体" w:cs="宋体"/>
          <w:spacing w:val="-4"/>
        </w:rPr>
        <w:t>摄入量应有所提</w:t>
      </w:r>
      <w:r>
        <w:rPr>
          <w:rFonts w:ascii="宋体" w:eastAsia="宋体" w:hAnsi="宋体" w:cs="宋体"/>
        </w:rPr>
        <w:t xml:space="preserve"> </w:t>
      </w:r>
      <w:r>
        <w:rPr>
          <w:rFonts w:ascii="宋体" w:eastAsia="宋体" w:hAnsi="宋体" w:cs="宋体"/>
          <w:spacing w:val="1"/>
        </w:rPr>
        <w:t>高，经折算为2.25g/(</w:t>
      </w:r>
      <w:r>
        <w:rPr>
          <w:rFonts w:ascii="宋体" w:eastAsia="宋体" w:hAnsi="宋体" w:cs="宋体"/>
        </w:rPr>
        <w:t>kg</w:t>
      </w:r>
      <w:r>
        <w:rPr>
          <w:rFonts w:ascii="宋体" w:eastAsia="宋体" w:hAnsi="宋体" w:cs="宋体"/>
          <w:spacing w:val="-25"/>
        </w:rPr>
        <w:t xml:space="preserve"> </w:t>
      </w:r>
      <w:r>
        <w:rPr>
          <w:rFonts w:ascii="宋体" w:eastAsia="宋体" w:hAnsi="宋体" w:cs="宋体"/>
          <w:spacing w:val="1"/>
        </w:rPr>
        <w:t>·d)。</w:t>
      </w:r>
      <w:r>
        <w:rPr>
          <w:rFonts w:ascii="宋体" w:eastAsia="宋体" w:hAnsi="宋体" w:cs="宋体"/>
          <w:spacing w:val="-1"/>
        </w:rPr>
        <w:t xml:space="preserve"> </w:t>
      </w:r>
      <w:r>
        <w:rPr>
          <w:rFonts w:ascii="宋体" w:eastAsia="宋体" w:hAnsi="宋体" w:cs="宋体"/>
          <w:spacing w:val="1"/>
        </w:rPr>
        <w:t>因此，2000年中国营养学会对婴儿蛋白质的推</w:t>
      </w:r>
      <w:r>
        <w:rPr>
          <w:rFonts w:ascii="宋体" w:eastAsia="宋体" w:hAnsi="宋体" w:cs="宋体"/>
        </w:rPr>
        <w:t xml:space="preserve"> </w:t>
      </w:r>
      <w:r>
        <w:rPr>
          <w:rFonts w:ascii="宋体" w:eastAsia="宋体" w:hAnsi="宋体" w:cs="宋体"/>
          <w:spacing w:val="-5"/>
        </w:rPr>
        <w:t>荐摄入量为1.5～3g/(kg</w:t>
      </w:r>
      <w:r>
        <w:rPr>
          <w:rFonts w:ascii="宋体" w:eastAsia="宋体" w:hAnsi="宋体" w:cs="宋体"/>
          <w:spacing w:val="-8"/>
        </w:rPr>
        <w:t xml:space="preserve"> </w:t>
      </w:r>
      <w:r>
        <w:rPr>
          <w:rFonts w:ascii="宋体" w:eastAsia="宋体" w:hAnsi="宋体" w:cs="宋体"/>
          <w:spacing w:val="-5"/>
        </w:rPr>
        <w:t>·d)。</w:t>
      </w:r>
    </w:p>
    <w:p w:rsidR="00EA40A3" w:rsidRDefault="00E86C16">
      <w:pPr>
        <w:spacing w:before="114" w:line="220" w:lineRule="auto"/>
        <w:rPr>
          <w:rFonts w:ascii="宋体" w:eastAsia="宋体" w:hAnsi="宋体" w:cs="宋体"/>
        </w:rPr>
      </w:pPr>
      <w:r>
        <w:rPr>
          <w:rFonts w:ascii="宋体" w:eastAsia="宋体" w:hAnsi="宋体" w:cs="宋体"/>
          <w:spacing w:val="13"/>
        </w:rPr>
        <w:t>3)脂质</w:t>
      </w:r>
    </w:p>
    <w:p w:rsidR="00EA40A3" w:rsidRDefault="00E86C16">
      <w:pPr>
        <w:spacing w:before="65" w:line="258" w:lineRule="auto"/>
        <w:ind w:right="42" w:firstLine="429"/>
        <w:jc w:val="both"/>
        <w:rPr>
          <w:rFonts w:ascii="宋体" w:eastAsia="宋体" w:hAnsi="宋体" w:cs="宋体"/>
        </w:rPr>
      </w:pPr>
      <w:r>
        <w:rPr>
          <w:rFonts w:ascii="宋体" w:eastAsia="宋体" w:hAnsi="宋体" w:cs="宋体"/>
          <w:spacing w:val="-3"/>
        </w:rPr>
        <w:t>相比其他生长阶段，婴儿时期的脂质摄入比例最高。原因在于脂肪不仅能够</w:t>
      </w:r>
      <w:r>
        <w:rPr>
          <w:rFonts w:ascii="宋体" w:eastAsia="宋体" w:hAnsi="宋体" w:cs="宋体"/>
        </w:rPr>
        <w:t xml:space="preserve"> </w:t>
      </w:r>
      <w:r>
        <w:rPr>
          <w:rFonts w:ascii="宋体" w:eastAsia="宋体" w:hAnsi="宋体" w:cs="宋体"/>
          <w:spacing w:val="-3"/>
        </w:rPr>
        <w:t>提供婴儿相当的能量，还可促进脂溶性维生素的吸收，并可避免</w:t>
      </w:r>
      <w:r>
        <w:rPr>
          <w:rFonts w:ascii="宋体" w:eastAsia="宋体" w:hAnsi="宋体" w:cs="宋体"/>
          <w:spacing w:val="-4"/>
        </w:rPr>
        <w:t>发生必需脂肪酸</w:t>
      </w:r>
      <w:r>
        <w:rPr>
          <w:rFonts w:ascii="宋体" w:eastAsia="宋体" w:hAnsi="宋体" w:cs="宋体"/>
        </w:rPr>
        <w:t xml:space="preserve"> </w:t>
      </w:r>
      <w:r>
        <w:rPr>
          <w:rFonts w:ascii="宋体" w:eastAsia="宋体" w:hAnsi="宋体" w:cs="宋体"/>
          <w:spacing w:val="11"/>
        </w:rPr>
        <w:t>缺乏。我国营养学会推荐，婴儿期脂质所占供热比应为35%～50%,其中0～6</w:t>
      </w:r>
      <w:r>
        <w:rPr>
          <w:rFonts w:ascii="宋体" w:eastAsia="宋体" w:hAnsi="宋体" w:cs="宋体"/>
          <w:spacing w:val="7"/>
        </w:rPr>
        <w:t xml:space="preserve"> </w:t>
      </w:r>
      <w:r>
        <w:rPr>
          <w:rFonts w:ascii="宋体" w:eastAsia="宋体" w:hAnsi="宋体" w:cs="宋体"/>
          <w:spacing w:val="8"/>
        </w:rPr>
        <w:t>个月婴儿的脂质摄入量较高，占总能量的比例为45%～50%;6个月后随着辅食</w:t>
      </w:r>
      <w:r>
        <w:rPr>
          <w:rFonts w:ascii="宋体" w:eastAsia="宋体" w:hAnsi="宋体" w:cs="宋体"/>
          <w:spacing w:val="13"/>
        </w:rPr>
        <w:t xml:space="preserve"> </w:t>
      </w:r>
      <w:r>
        <w:rPr>
          <w:rFonts w:ascii="宋体" w:eastAsia="宋体" w:hAnsi="宋体" w:cs="宋体"/>
          <w:spacing w:val="9"/>
        </w:rPr>
        <w:t>的添加，婴儿膳食中脂质比例稍有下降，为35</w:t>
      </w:r>
      <w:r>
        <w:rPr>
          <w:rFonts w:ascii="宋体" w:eastAsia="宋体" w:hAnsi="宋体" w:cs="宋体"/>
          <w:spacing w:val="8"/>
        </w:rPr>
        <w:t>%～45%。此外，对人工喂养或</w:t>
      </w:r>
      <w:r>
        <w:rPr>
          <w:rFonts w:ascii="宋体" w:eastAsia="宋体" w:hAnsi="宋体" w:cs="宋体"/>
        </w:rPr>
        <w:t xml:space="preserve"> </w:t>
      </w:r>
      <w:r>
        <w:rPr>
          <w:rFonts w:ascii="宋体" w:eastAsia="宋体" w:hAnsi="宋体" w:cs="宋体"/>
          <w:spacing w:val="2"/>
        </w:rPr>
        <w:t>混合喂养的婴儿不应喂脱脂牛奶或脱脂奶粉，同时</w:t>
      </w:r>
      <w:r>
        <w:rPr>
          <w:rFonts w:ascii="宋体" w:eastAsia="宋体" w:hAnsi="宋体" w:cs="宋体"/>
          <w:spacing w:val="1"/>
        </w:rPr>
        <w:t>n-6多不饱和脂肪酸与</w:t>
      </w:r>
      <w:r>
        <w:rPr>
          <w:rFonts w:ascii="宋体" w:eastAsia="宋体" w:hAnsi="宋体" w:cs="宋体"/>
          <w:spacing w:val="-63"/>
        </w:rPr>
        <w:t xml:space="preserve"> </w:t>
      </w:r>
      <w:r>
        <w:rPr>
          <w:rFonts w:ascii="宋体" w:eastAsia="宋体" w:hAnsi="宋体" w:cs="宋体"/>
          <w:spacing w:val="1"/>
        </w:rPr>
        <w:t>n-3多</w:t>
      </w:r>
      <w:r>
        <w:rPr>
          <w:rFonts w:ascii="宋体" w:eastAsia="宋体" w:hAnsi="宋体" w:cs="宋体"/>
        </w:rPr>
        <w:t xml:space="preserve"> </w:t>
      </w:r>
      <w:r>
        <w:rPr>
          <w:rFonts w:ascii="宋体" w:eastAsia="宋体" w:hAnsi="宋体" w:cs="宋体"/>
          <w:spacing w:val="5"/>
        </w:rPr>
        <w:t>不饱和脂肪酸的比例应控制在4:1为宜。</w:t>
      </w:r>
    </w:p>
    <w:p w:rsidR="00EA40A3" w:rsidRDefault="00E86C16">
      <w:pPr>
        <w:spacing w:before="82" w:line="229" w:lineRule="auto"/>
        <w:rPr>
          <w:rFonts w:ascii="楷体" w:eastAsia="楷体" w:hAnsi="楷体" w:cs="楷体"/>
        </w:rPr>
      </w:pPr>
      <w:r>
        <w:rPr>
          <w:rFonts w:ascii="楷体" w:eastAsia="楷体" w:hAnsi="楷体" w:cs="楷体"/>
          <w:spacing w:val="3"/>
        </w:rPr>
        <w:t>4)碳水化合物</w:t>
      </w:r>
    </w:p>
    <w:p w:rsidR="00EA40A3" w:rsidRDefault="00E86C16">
      <w:pPr>
        <w:spacing w:before="46" w:line="262" w:lineRule="auto"/>
        <w:ind w:right="43" w:firstLine="429"/>
        <w:jc w:val="both"/>
        <w:rPr>
          <w:rFonts w:ascii="宋体" w:eastAsia="宋体" w:hAnsi="宋体" w:cs="宋体"/>
        </w:rPr>
      </w:pPr>
      <w:r>
        <w:rPr>
          <w:rFonts w:ascii="宋体" w:eastAsia="宋体" w:hAnsi="宋体" w:cs="宋体"/>
          <w:spacing w:val="9"/>
        </w:rPr>
        <w:t>一般说来，正常婴儿的能量有28%～63%的能量由碳水化合物提供。需要</w:t>
      </w:r>
      <w:r>
        <w:rPr>
          <w:rFonts w:ascii="宋体" w:eastAsia="宋体" w:hAnsi="宋体" w:cs="宋体"/>
          <w:spacing w:val="13"/>
        </w:rPr>
        <w:t xml:space="preserve"> </w:t>
      </w:r>
      <w:r>
        <w:rPr>
          <w:rFonts w:ascii="宋体" w:eastAsia="宋体" w:hAnsi="宋体" w:cs="宋体"/>
          <w:spacing w:val="6"/>
        </w:rPr>
        <w:t>说明的是，婴儿要到3个月以后才有淀粉酶产生，因此0～3个月</w:t>
      </w:r>
      <w:r>
        <w:rPr>
          <w:rFonts w:ascii="宋体" w:eastAsia="宋体" w:hAnsi="宋体" w:cs="宋体"/>
          <w:spacing w:val="5"/>
        </w:rPr>
        <w:t>的婴儿的碳水</w:t>
      </w:r>
      <w:r>
        <w:rPr>
          <w:rFonts w:ascii="宋体" w:eastAsia="宋体" w:hAnsi="宋体" w:cs="宋体"/>
        </w:rPr>
        <w:t xml:space="preserve"> </w:t>
      </w:r>
      <w:r>
        <w:rPr>
          <w:rFonts w:ascii="宋体" w:eastAsia="宋体" w:hAnsi="宋体" w:cs="宋体"/>
          <w:spacing w:val="9"/>
        </w:rPr>
        <w:t>化合物的来源主要为乳糖。母乳的组成中乳糖占37%～38%的热量，而牛</w:t>
      </w:r>
      <w:r>
        <w:rPr>
          <w:rFonts w:ascii="宋体" w:eastAsia="宋体" w:hAnsi="宋体" w:cs="宋体"/>
          <w:spacing w:val="8"/>
        </w:rPr>
        <w:t>乳中</w:t>
      </w:r>
      <w:r>
        <w:rPr>
          <w:rFonts w:ascii="宋体" w:eastAsia="宋体" w:hAnsi="宋体" w:cs="宋体"/>
        </w:rPr>
        <w:t xml:space="preserve"> </w:t>
      </w:r>
      <w:r>
        <w:rPr>
          <w:rFonts w:ascii="宋体" w:eastAsia="宋体" w:hAnsi="宋体" w:cs="宋体"/>
          <w:spacing w:val="8"/>
        </w:rPr>
        <w:t>仅占26%～30%。若以牛乳代替母乳喂养婴儿，需添加乳糖。4～6个月时随着</w:t>
      </w:r>
      <w:r>
        <w:rPr>
          <w:rFonts w:ascii="宋体" w:eastAsia="宋体" w:hAnsi="宋体" w:cs="宋体"/>
          <w:spacing w:val="14"/>
        </w:rPr>
        <w:t xml:space="preserve"> </w:t>
      </w:r>
      <w:r>
        <w:rPr>
          <w:rFonts w:ascii="宋体" w:eastAsia="宋体" w:hAnsi="宋体" w:cs="宋体"/>
          <w:spacing w:val="-5"/>
        </w:rPr>
        <w:t>婴儿体内淀粉酶的产生，可以在辅食中添加多糖类食物。</w:t>
      </w:r>
    </w:p>
    <w:p w:rsidR="00EA40A3" w:rsidRDefault="00E86C16">
      <w:pPr>
        <w:spacing w:before="21" w:line="227" w:lineRule="auto"/>
        <w:rPr>
          <w:rFonts w:ascii="楷体" w:eastAsia="楷体" w:hAnsi="楷体" w:cs="楷体"/>
        </w:rPr>
      </w:pPr>
      <w:r>
        <w:rPr>
          <w:rFonts w:ascii="楷体" w:eastAsia="楷体" w:hAnsi="楷体" w:cs="楷体"/>
          <w:spacing w:val="7"/>
        </w:rPr>
        <w:t>5)矿物质</w:t>
      </w:r>
    </w:p>
    <w:p w:rsidR="00EA40A3" w:rsidRDefault="00E86C16">
      <w:pPr>
        <w:spacing w:before="72" w:line="259" w:lineRule="auto"/>
        <w:ind w:firstLine="429"/>
        <w:jc w:val="both"/>
        <w:rPr>
          <w:rFonts w:ascii="宋体" w:eastAsia="宋体" w:hAnsi="宋体" w:cs="宋体"/>
        </w:rPr>
      </w:pPr>
      <w:r>
        <w:rPr>
          <w:rFonts w:ascii="宋体" w:eastAsia="宋体" w:hAnsi="宋体" w:cs="宋体"/>
          <w:spacing w:val="5"/>
        </w:rPr>
        <w:t>对婴儿来讲，矿物元素对其生长发育具有重要作用，婴儿</w:t>
      </w:r>
      <w:r>
        <w:rPr>
          <w:rFonts w:ascii="宋体" w:eastAsia="宋体" w:hAnsi="宋体" w:cs="宋体"/>
          <w:spacing w:val="4"/>
        </w:rPr>
        <w:t>时期特别要注意</w:t>
      </w:r>
      <w:r>
        <w:rPr>
          <w:rFonts w:ascii="宋体" w:eastAsia="宋体" w:hAnsi="宋体" w:cs="宋体"/>
        </w:rPr>
        <w:t xml:space="preserve"> </w:t>
      </w:r>
      <w:r>
        <w:rPr>
          <w:rFonts w:ascii="宋体" w:eastAsia="宋体" w:hAnsi="宋体" w:cs="宋体"/>
          <w:spacing w:val="8"/>
        </w:rPr>
        <w:t>钙、铁、锌等元素的补充(表10-3)。婴儿每日钙</w:t>
      </w:r>
      <w:r>
        <w:rPr>
          <w:rFonts w:ascii="宋体" w:eastAsia="宋体" w:hAnsi="宋体" w:cs="宋体"/>
          <w:spacing w:val="7"/>
        </w:rPr>
        <w:t>的适宜摄入量</w:t>
      </w:r>
      <w:r>
        <w:rPr>
          <w:rFonts w:ascii="宋体" w:eastAsia="宋体" w:hAnsi="宋体" w:cs="宋体"/>
          <w:spacing w:val="-14"/>
        </w:rPr>
        <w:t xml:space="preserve"> </w:t>
      </w:r>
      <w:r>
        <w:rPr>
          <w:rFonts w:ascii="宋体" w:eastAsia="宋体" w:hAnsi="宋体" w:cs="宋体"/>
          <w:spacing w:val="7"/>
        </w:rPr>
        <w:t>(</w:t>
      </w:r>
      <w:r>
        <w:rPr>
          <w:rFonts w:ascii="宋体" w:eastAsia="宋体" w:hAnsi="宋体" w:cs="宋体"/>
        </w:rPr>
        <w:t>AI</w:t>
      </w:r>
      <w:r>
        <w:rPr>
          <w:rFonts w:ascii="宋体" w:eastAsia="宋体" w:hAnsi="宋体" w:cs="宋体"/>
          <w:spacing w:val="7"/>
        </w:rPr>
        <w:t>)</w:t>
      </w:r>
      <w:r>
        <w:rPr>
          <w:rFonts w:ascii="宋体" w:eastAsia="宋体" w:hAnsi="宋体" w:cs="宋体"/>
          <w:spacing w:val="70"/>
        </w:rPr>
        <w:t xml:space="preserve"> </w:t>
      </w:r>
      <w:r>
        <w:rPr>
          <w:rFonts w:ascii="宋体" w:eastAsia="宋体" w:hAnsi="宋体" w:cs="宋体"/>
          <w:spacing w:val="7"/>
        </w:rPr>
        <w:t>为300~</w:t>
      </w:r>
      <w:r>
        <w:rPr>
          <w:rFonts w:ascii="宋体" w:eastAsia="宋体" w:hAnsi="宋体" w:cs="宋体"/>
        </w:rPr>
        <w:t xml:space="preserve"> </w:t>
      </w:r>
      <w:r>
        <w:rPr>
          <w:rFonts w:ascii="宋体" w:eastAsia="宋体" w:hAnsi="宋体" w:cs="宋体"/>
          <w:spacing w:val="-1"/>
        </w:rPr>
        <w:t>400mg,</w:t>
      </w:r>
      <w:r>
        <w:rPr>
          <w:rFonts w:ascii="宋体" w:eastAsia="宋体" w:hAnsi="宋体" w:cs="宋体"/>
          <w:spacing w:val="42"/>
        </w:rPr>
        <w:t xml:space="preserve"> </w:t>
      </w:r>
      <w:r>
        <w:rPr>
          <w:rFonts w:ascii="宋体" w:eastAsia="宋体" w:hAnsi="宋体" w:cs="宋体"/>
          <w:spacing w:val="-1"/>
        </w:rPr>
        <w:t>母乳喂养的婴儿不易发生钙缺乏。但是母乳</w:t>
      </w:r>
      <w:r>
        <w:rPr>
          <w:rFonts w:ascii="宋体" w:eastAsia="宋体" w:hAnsi="宋体" w:cs="宋体"/>
          <w:spacing w:val="-2"/>
        </w:rPr>
        <w:t>中的铁含量却不高，尤其对</w:t>
      </w:r>
      <w:r>
        <w:rPr>
          <w:rFonts w:ascii="宋体" w:eastAsia="宋体" w:hAnsi="宋体" w:cs="宋体"/>
        </w:rPr>
        <w:t xml:space="preserve"> </w:t>
      </w:r>
      <w:r>
        <w:rPr>
          <w:rFonts w:ascii="宋体" w:eastAsia="宋体" w:hAnsi="宋体" w:cs="宋体"/>
          <w:spacing w:val="3"/>
        </w:rPr>
        <w:t>于4个月以后的婴儿，母乳不能满足其身体需要，1岁以内婴儿每</w:t>
      </w:r>
      <w:r>
        <w:rPr>
          <w:rFonts w:ascii="宋体" w:eastAsia="宋体" w:hAnsi="宋体" w:cs="宋体"/>
          <w:spacing w:val="2"/>
        </w:rPr>
        <w:t>日铁的适宜摄</w:t>
      </w:r>
    </w:p>
    <w:p w:rsidR="00EA40A3" w:rsidRDefault="00E86C16">
      <w:pPr>
        <w:spacing w:before="124"/>
        <w:ind w:right="63"/>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313</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966" w:bottom="400" w:left="950" w:header="0" w:footer="0" w:gutter="0"/>
          <w:cols w:space="720"/>
        </w:sectPr>
      </w:pPr>
    </w:p>
    <w:p w:rsidR="00EA40A3" w:rsidRDefault="00EA40A3">
      <w:pPr>
        <w:spacing w:line="298" w:lineRule="auto"/>
      </w:pPr>
    </w:p>
    <w:p w:rsidR="00EA40A3" w:rsidRDefault="00EA40A3">
      <w:pPr>
        <w:spacing w:line="299" w:lineRule="auto"/>
      </w:pPr>
    </w:p>
    <w:p w:rsidR="00EA40A3" w:rsidRDefault="00E86C16">
      <w:pPr>
        <w:spacing w:before="72" w:line="242" w:lineRule="auto"/>
        <w:ind w:left="9" w:right="47"/>
        <w:jc w:val="both"/>
        <w:rPr>
          <w:rFonts w:ascii="宋体" w:eastAsia="宋体" w:hAnsi="宋体" w:cs="宋体"/>
          <w:sz w:val="22"/>
          <w:szCs w:val="22"/>
        </w:rPr>
      </w:pPr>
      <w:r>
        <w:rPr>
          <w:rFonts w:ascii="宋体" w:eastAsia="宋体" w:hAnsi="宋体" w:cs="宋体"/>
          <w:spacing w:val="-5"/>
          <w:sz w:val="22"/>
          <w:szCs w:val="22"/>
        </w:rPr>
        <w:t>入量为0.3～10mg。</w:t>
      </w:r>
      <w:r>
        <w:rPr>
          <w:rFonts w:ascii="宋体" w:eastAsia="宋体" w:hAnsi="宋体" w:cs="宋体"/>
          <w:spacing w:val="1"/>
          <w:sz w:val="22"/>
          <w:szCs w:val="22"/>
        </w:rPr>
        <w:t xml:space="preserve"> </w:t>
      </w:r>
      <w:r>
        <w:rPr>
          <w:rFonts w:ascii="宋体" w:eastAsia="宋体" w:hAnsi="宋体" w:cs="宋体"/>
          <w:spacing w:val="-5"/>
          <w:sz w:val="22"/>
          <w:szCs w:val="22"/>
        </w:rPr>
        <w:t>因此，母乳喂养的婴儿在4～6个月后应添加铁辅助食品。</w:t>
      </w:r>
      <w:r>
        <w:rPr>
          <w:rFonts w:ascii="宋体" w:eastAsia="宋体" w:hAnsi="宋体" w:cs="宋体"/>
          <w:sz w:val="22"/>
          <w:szCs w:val="22"/>
        </w:rPr>
        <w:t xml:space="preserve"> </w:t>
      </w:r>
      <w:r>
        <w:rPr>
          <w:rFonts w:ascii="宋体" w:eastAsia="宋体" w:hAnsi="宋体" w:cs="宋体"/>
          <w:spacing w:val="-7"/>
          <w:sz w:val="22"/>
          <w:szCs w:val="22"/>
        </w:rPr>
        <w:t>此外，婴儿缺锌可能导致生长停滞，味觉异常以及认知行为改变等。0～6个月</w:t>
      </w:r>
      <w:r>
        <w:rPr>
          <w:rFonts w:ascii="宋体" w:eastAsia="宋体" w:hAnsi="宋体" w:cs="宋体"/>
          <w:spacing w:val="7"/>
          <w:sz w:val="22"/>
          <w:szCs w:val="22"/>
        </w:rPr>
        <w:t xml:space="preserve"> </w:t>
      </w:r>
      <w:r>
        <w:rPr>
          <w:rFonts w:ascii="宋体" w:eastAsia="宋体" w:hAnsi="宋体" w:cs="宋体"/>
          <w:spacing w:val="-7"/>
          <w:sz w:val="22"/>
          <w:szCs w:val="22"/>
        </w:rPr>
        <w:t>的婴儿锌的推荐摄入量为1.5mg/d,</w:t>
      </w:r>
      <w:r>
        <w:rPr>
          <w:rFonts w:ascii="宋体" w:eastAsia="宋体" w:hAnsi="宋体" w:cs="宋体"/>
          <w:spacing w:val="32"/>
          <w:sz w:val="22"/>
          <w:szCs w:val="22"/>
        </w:rPr>
        <w:t xml:space="preserve"> </w:t>
      </w:r>
      <w:r>
        <w:rPr>
          <w:rFonts w:ascii="宋体" w:eastAsia="宋体" w:hAnsi="宋体" w:cs="宋体"/>
          <w:spacing w:val="-7"/>
          <w:sz w:val="22"/>
          <w:szCs w:val="22"/>
        </w:rPr>
        <w:t>而在6～12个月的婴儿对锌的需要增加，</w:t>
      </w:r>
      <w:r>
        <w:rPr>
          <w:rFonts w:ascii="宋体" w:eastAsia="宋体" w:hAnsi="宋体" w:cs="宋体"/>
          <w:spacing w:val="-8"/>
          <w:sz w:val="22"/>
          <w:szCs w:val="22"/>
        </w:rPr>
        <w:t>推</w:t>
      </w:r>
      <w:r>
        <w:rPr>
          <w:rFonts w:ascii="宋体" w:eastAsia="宋体" w:hAnsi="宋体" w:cs="宋体"/>
          <w:sz w:val="22"/>
          <w:szCs w:val="22"/>
        </w:rPr>
        <w:t xml:space="preserve"> </w:t>
      </w:r>
      <w:r>
        <w:rPr>
          <w:rFonts w:ascii="宋体" w:eastAsia="宋体" w:hAnsi="宋体" w:cs="宋体"/>
          <w:spacing w:val="-6"/>
          <w:sz w:val="22"/>
          <w:szCs w:val="22"/>
        </w:rPr>
        <w:t>荐摄入量为8.0mg/d。</w:t>
      </w:r>
    </w:p>
    <w:p w:rsidR="00EA40A3" w:rsidRDefault="00EA40A3">
      <w:pPr>
        <w:spacing w:line="332" w:lineRule="auto"/>
      </w:pPr>
    </w:p>
    <w:p w:rsidR="00EA40A3" w:rsidRDefault="00E86C16">
      <w:pPr>
        <w:spacing w:before="52" w:line="221" w:lineRule="auto"/>
        <w:ind w:left="1872"/>
        <w:rPr>
          <w:rFonts w:ascii="黑体" w:eastAsia="黑体" w:hAnsi="黑体" w:cs="黑体"/>
          <w:sz w:val="16"/>
          <w:szCs w:val="16"/>
        </w:rPr>
      </w:pPr>
      <w:r>
        <w:rPr>
          <w:rFonts w:ascii="黑体" w:eastAsia="黑体" w:hAnsi="黑体" w:cs="黑体"/>
          <w:b/>
          <w:bCs/>
          <w:spacing w:val="16"/>
          <w:sz w:val="16"/>
          <w:szCs w:val="16"/>
        </w:rPr>
        <w:t>表10-3</w:t>
      </w:r>
      <w:r>
        <w:rPr>
          <w:rFonts w:ascii="黑体" w:eastAsia="黑体" w:hAnsi="黑体" w:cs="黑体"/>
          <w:spacing w:val="85"/>
          <w:sz w:val="16"/>
          <w:szCs w:val="16"/>
        </w:rPr>
        <w:t xml:space="preserve"> </w:t>
      </w:r>
      <w:r>
        <w:rPr>
          <w:rFonts w:ascii="黑体" w:eastAsia="黑体" w:hAnsi="黑体" w:cs="黑体"/>
          <w:b/>
          <w:bCs/>
          <w:spacing w:val="16"/>
          <w:sz w:val="16"/>
          <w:szCs w:val="16"/>
        </w:rPr>
        <w:t>我国婴儿矿物元素的推荐或适宜摄入量</w:t>
      </w:r>
    </w:p>
    <w:p w:rsidR="00EA40A3" w:rsidRDefault="00EA40A3">
      <w:pPr>
        <w:spacing w:line="50" w:lineRule="exact"/>
      </w:pPr>
    </w:p>
    <w:tbl>
      <w:tblPr>
        <w:tblStyle w:val="TableNormal"/>
        <w:tblW w:w="7249" w:type="dxa"/>
        <w:tblInd w:w="10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23"/>
        <w:gridCol w:w="1230"/>
        <w:gridCol w:w="1277"/>
        <w:gridCol w:w="1339"/>
        <w:gridCol w:w="611"/>
        <w:gridCol w:w="1669"/>
      </w:tblGrid>
      <w:tr w:rsidR="00EA40A3">
        <w:trPr>
          <w:trHeight w:val="314"/>
        </w:trPr>
        <w:tc>
          <w:tcPr>
            <w:tcW w:w="3630" w:type="dxa"/>
            <w:gridSpan w:val="3"/>
            <w:tcBorders>
              <w:top w:val="single" w:sz="4" w:space="0" w:color="000000"/>
              <w:bottom w:val="single" w:sz="4" w:space="0" w:color="000000"/>
              <w:right w:val="single" w:sz="4" w:space="0" w:color="000000"/>
            </w:tcBorders>
          </w:tcPr>
          <w:p w:rsidR="00EA40A3" w:rsidRDefault="00E86C16">
            <w:pPr>
              <w:spacing w:before="72" w:line="219" w:lineRule="auto"/>
              <w:ind w:left="2020"/>
              <w:rPr>
                <w:rFonts w:ascii="宋体" w:eastAsia="宋体" w:hAnsi="宋体" w:cs="宋体"/>
                <w:sz w:val="17"/>
                <w:szCs w:val="17"/>
              </w:rPr>
            </w:pPr>
            <w:r>
              <w:rPr>
                <w:rFonts w:ascii="宋体" w:eastAsia="宋体" w:hAnsi="宋体" w:cs="宋体"/>
                <w:spacing w:val="7"/>
                <w:sz w:val="17"/>
                <w:szCs w:val="17"/>
              </w:rPr>
              <w:t>年龄(岁)</w:t>
            </w:r>
          </w:p>
        </w:tc>
        <w:tc>
          <w:tcPr>
            <w:tcW w:w="1339" w:type="dxa"/>
            <w:vMerge w:val="restart"/>
            <w:tcBorders>
              <w:top w:val="single" w:sz="4" w:space="0" w:color="000000"/>
              <w:left w:val="single" w:sz="4" w:space="0" w:color="000000"/>
              <w:bottom w:val="nil"/>
            </w:tcBorders>
          </w:tcPr>
          <w:p w:rsidR="00EA40A3" w:rsidRDefault="00E86C16">
            <w:pPr>
              <w:spacing w:before="246" w:line="214" w:lineRule="auto"/>
              <w:ind w:left="125"/>
              <w:rPr>
                <w:rFonts w:ascii="宋体" w:eastAsia="宋体" w:hAnsi="宋体" w:cs="宋体"/>
                <w:sz w:val="17"/>
                <w:szCs w:val="17"/>
              </w:rPr>
            </w:pPr>
            <w:r>
              <w:rPr>
                <w:rFonts w:ascii="宋体" w:eastAsia="宋体" w:hAnsi="宋体" w:cs="宋体"/>
                <w:spacing w:val="-2"/>
                <w:sz w:val="17"/>
                <w:szCs w:val="17"/>
              </w:rPr>
              <w:t>常量元素/mg</w:t>
            </w:r>
          </w:p>
        </w:tc>
        <w:tc>
          <w:tcPr>
            <w:tcW w:w="611" w:type="dxa"/>
            <w:vMerge w:val="restart"/>
            <w:tcBorders>
              <w:top w:val="single" w:sz="4" w:space="0" w:color="000000"/>
              <w:bottom w:val="nil"/>
            </w:tcBorders>
          </w:tcPr>
          <w:p w:rsidR="00EA40A3" w:rsidRDefault="00EA40A3">
            <w:pPr>
              <w:spacing w:line="417" w:lineRule="auto"/>
            </w:pPr>
          </w:p>
          <w:p w:rsidR="00EA40A3" w:rsidRDefault="00E86C16">
            <w:pPr>
              <w:spacing w:before="55" w:line="171" w:lineRule="auto"/>
              <w:ind w:left="291"/>
              <w:rPr>
                <w:rFonts w:ascii="宋体" w:eastAsia="宋体" w:hAnsi="宋体" w:cs="宋体"/>
                <w:sz w:val="17"/>
                <w:szCs w:val="17"/>
              </w:rPr>
            </w:pPr>
            <w:r>
              <w:rPr>
                <w:rFonts w:ascii="宋体" w:eastAsia="宋体" w:hAnsi="宋体" w:cs="宋体"/>
                <w:spacing w:val="-4"/>
                <w:sz w:val="17"/>
                <w:szCs w:val="17"/>
              </w:rPr>
              <w:t>0-</w:t>
            </w:r>
          </w:p>
        </w:tc>
        <w:tc>
          <w:tcPr>
            <w:tcW w:w="1669" w:type="dxa"/>
            <w:vMerge w:val="restart"/>
            <w:tcBorders>
              <w:top w:val="single" w:sz="4" w:space="0" w:color="000000"/>
              <w:bottom w:val="nil"/>
            </w:tcBorders>
          </w:tcPr>
          <w:p w:rsidR="00EA40A3" w:rsidRDefault="00E86C16">
            <w:pPr>
              <w:spacing w:before="72" w:line="219" w:lineRule="auto"/>
              <w:ind w:left="69"/>
              <w:rPr>
                <w:rFonts w:ascii="宋体" w:eastAsia="宋体" w:hAnsi="宋体" w:cs="宋体"/>
                <w:sz w:val="17"/>
                <w:szCs w:val="17"/>
              </w:rPr>
            </w:pPr>
            <w:r>
              <w:rPr>
                <w:rFonts w:ascii="宋体" w:eastAsia="宋体" w:hAnsi="宋体" w:cs="宋体"/>
                <w:spacing w:val="-2"/>
                <w:sz w:val="17"/>
                <w:szCs w:val="17"/>
              </w:rPr>
              <w:t>年龄(发</w:t>
            </w:r>
          </w:p>
          <w:p w:rsidR="00EA40A3" w:rsidRDefault="00E86C16">
            <w:pPr>
              <w:spacing w:before="191" w:line="182" w:lineRule="auto"/>
              <w:ind w:left="819"/>
              <w:rPr>
                <w:rFonts w:ascii="宋体" w:eastAsia="宋体" w:hAnsi="宋体" w:cs="宋体"/>
                <w:sz w:val="17"/>
                <w:szCs w:val="17"/>
              </w:rPr>
            </w:pPr>
            <w:r>
              <w:rPr>
                <w:rFonts w:ascii="宋体" w:eastAsia="宋体" w:hAnsi="宋体" w:cs="宋体"/>
                <w:spacing w:val="-2"/>
                <w:sz w:val="17"/>
                <w:szCs w:val="17"/>
              </w:rPr>
              <w:t>0.5～1</w:t>
            </w:r>
          </w:p>
        </w:tc>
      </w:tr>
      <w:tr w:rsidR="00EA40A3">
        <w:trPr>
          <w:trHeight w:val="309"/>
        </w:trPr>
        <w:tc>
          <w:tcPr>
            <w:tcW w:w="1123" w:type="dxa"/>
            <w:tcBorders>
              <w:top w:val="single" w:sz="4" w:space="0" w:color="000000"/>
              <w:bottom w:val="single" w:sz="4" w:space="0" w:color="000000"/>
              <w:right w:val="nil"/>
            </w:tcBorders>
          </w:tcPr>
          <w:p w:rsidR="00EA40A3" w:rsidRDefault="00E86C16">
            <w:pPr>
              <w:spacing w:before="2" w:line="214" w:lineRule="auto"/>
              <w:ind w:left="119"/>
              <w:rPr>
                <w:rFonts w:ascii="宋体" w:eastAsia="宋体" w:hAnsi="宋体" w:cs="宋体"/>
                <w:sz w:val="17"/>
                <w:szCs w:val="17"/>
              </w:rPr>
            </w:pPr>
            <w:r>
              <w:rPr>
                <w:rFonts w:ascii="宋体" w:eastAsia="宋体" w:hAnsi="宋体" w:cs="宋体"/>
                <w:spacing w:val="-2"/>
                <w:sz w:val="17"/>
                <w:szCs w:val="17"/>
              </w:rPr>
              <w:t>常量元素/mg</w:t>
            </w:r>
          </w:p>
        </w:tc>
        <w:tc>
          <w:tcPr>
            <w:tcW w:w="2507" w:type="dxa"/>
            <w:gridSpan w:val="2"/>
            <w:tcBorders>
              <w:top w:val="single" w:sz="4" w:space="0" w:color="000000"/>
              <w:left w:val="nil"/>
              <w:bottom w:val="single" w:sz="4" w:space="0" w:color="000000"/>
              <w:right w:val="single" w:sz="4" w:space="0" w:color="000000"/>
            </w:tcBorders>
          </w:tcPr>
          <w:p w:rsidR="00EA40A3" w:rsidRDefault="00E86C16">
            <w:pPr>
              <w:spacing w:before="114" w:line="211" w:lineRule="auto"/>
              <w:ind w:left="486"/>
              <w:rPr>
                <w:rFonts w:ascii="宋体" w:eastAsia="宋体" w:hAnsi="宋体" w:cs="宋体"/>
                <w:sz w:val="17"/>
                <w:szCs w:val="17"/>
              </w:rPr>
            </w:pPr>
            <w:r>
              <w:rPr>
                <w:rFonts w:ascii="宋体" w:eastAsia="宋体" w:hAnsi="宋体" w:cs="宋体"/>
                <w:spacing w:val="-2"/>
                <w:sz w:val="17"/>
                <w:szCs w:val="17"/>
              </w:rPr>
              <w:t>0~</w:t>
            </w:r>
            <w:r>
              <w:rPr>
                <w:rFonts w:ascii="宋体" w:eastAsia="宋体" w:hAnsi="宋体" w:cs="宋体"/>
                <w:spacing w:val="6"/>
                <w:sz w:val="17"/>
                <w:szCs w:val="17"/>
              </w:rPr>
              <w:t xml:space="preserve">           </w:t>
            </w:r>
            <w:r>
              <w:rPr>
                <w:rFonts w:ascii="宋体" w:eastAsia="宋体" w:hAnsi="宋体" w:cs="宋体"/>
                <w:spacing w:val="-2"/>
                <w:sz w:val="17"/>
                <w:szCs w:val="17"/>
              </w:rPr>
              <w:t>0.5～1</w:t>
            </w:r>
          </w:p>
        </w:tc>
        <w:tc>
          <w:tcPr>
            <w:tcW w:w="1339" w:type="dxa"/>
            <w:vMerge/>
            <w:tcBorders>
              <w:top w:val="nil"/>
              <w:left w:val="single" w:sz="4" w:space="0" w:color="000000"/>
              <w:bottom w:val="single" w:sz="4" w:space="0" w:color="000000"/>
            </w:tcBorders>
          </w:tcPr>
          <w:p w:rsidR="00EA40A3" w:rsidRDefault="00EA40A3"/>
        </w:tc>
        <w:tc>
          <w:tcPr>
            <w:tcW w:w="611" w:type="dxa"/>
            <w:vMerge/>
            <w:tcBorders>
              <w:top w:val="nil"/>
              <w:bottom w:val="single" w:sz="4" w:space="0" w:color="000000"/>
            </w:tcBorders>
          </w:tcPr>
          <w:p w:rsidR="00EA40A3" w:rsidRDefault="00EA40A3"/>
        </w:tc>
        <w:tc>
          <w:tcPr>
            <w:tcW w:w="1669" w:type="dxa"/>
            <w:vMerge/>
            <w:tcBorders>
              <w:top w:val="nil"/>
              <w:bottom w:val="single" w:sz="4" w:space="0" w:color="000000"/>
            </w:tcBorders>
          </w:tcPr>
          <w:p w:rsidR="00EA40A3" w:rsidRDefault="00EA40A3"/>
        </w:tc>
      </w:tr>
      <w:tr w:rsidR="00EA40A3">
        <w:trPr>
          <w:trHeight w:val="295"/>
        </w:trPr>
        <w:tc>
          <w:tcPr>
            <w:tcW w:w="1123" w:type="dxa"/>
            <w:tcBorders>
              <w:top w:val="single" w:sz="4" w:space="0" w:color="000000"/>
            </w:tcBorders>
          </w:tcPr>
          <w:p w:rsidR="00EA40A3" w:rsidRDefault="00E86C16">
            <w:pPr>
              <w:spacing w:before="81" w:line="221" w:lineRule="auto"/>
              <w:ind w:left="479"/>
              <w:rPr>
                <w:rFonts w:ascii="宋体" w:eastAsia="宋体" w:hAnsi="宋体" w:cs="宋体"/>
                <w:sz w:val="17"/>
                <w:szCs w:val="17"/>
              </w:rPr>
            </w:pPr>
            <w:r>
              <w:rPr>
                <w:rFonts w:ascii="宋体" w:eastAsia="宋体" w:hAnsi="宋体" w:cs="宋体"/>
                <w:sz w:val="17"/>
                <w:szCs w:val="17"/>
              </w:rPr>
              <w:t>钙</w:t>
            </w:r>
          </w:p>
        </w:tc>
        <w:tc>
          <w:tcPr>
            <w:tcW w:w="1230" w:type="dxa"/>
            <w:tcBorders>
              <w:top w:val="single" w:sz="4" w:space="0" w:color="000000"/>
            </w:tcBorders>
          </w:tcPr>
          <w:p w:rsidR="00EA40A3" w:rsidRDefault="00E86C16">
            <w:pPr>
              <w:spacing w:before="122" w:line="183" w:lineRule="auto"/>
              <w:ind w:left="496"/>
              <w:rPr>
                <w:rFonts w:ascii="宋体" w:eastAsia="宋体" w:hAnsi="宋体" w:cs="宋体"/>
                <w:sz w:val="17"/>
                <w:szCs w:val="17"/>
              </w:rPr>
            </w:pPr>
            <w:r>
              <w:rPr>
                <w:rFonts w:ascii="宋体" w:eastAsia="宋体" w:hAnsi="宋体" w:cs="宋体"/>
                <w:spacing w:val="-3"/>
                <w:sz w:val="17"/>
                <w:szCs w:val="17"/>
              </w:rPr>
              <w:t>300</w:t>
            </w:r>
          </w:p>
        </w:tc>
        <w:tc>
          <w:tcPr>
            <w:tcW w:w="1277" w:type="dxa"/>
            <w:tcBorders>
              <w:top w:val="single" w:sz="4" w:space="0" w:color="000000"/>
              <w:right w:val="single" w:sz="4" w:space="0" w:color="000000"/>
            </w:tcBorders>
          </w:tcPr>
          <w:p w:rsidR="00EA40A3" w:rsidRDefault="00E86C16">
            <w:pPr>
              <w:spacing w:before="132" w:line="176" w:lineRule="auto"/>
              <w:ind w:left="496"/>
              <w:rPr>
                <w:rFonts w:ascii="宋体" w:eastAsia="宋体" w:hAnsi="宋体" w:cs="宋体"/>
                <w:sz w:val="17"/>
                <w:szCs w:val="17"/>
              </w:rPr>
            </w:pPr>
            <w:r>
              <w:rPr>
                <w:rFonts w:ascii="宋体" w:eastAsia="宋体" w:hAnsi="宋体" w:cs="宋体"/>
                <w:spacing w:val="-2"/>
                <w:sz w:val="17"/>
                <w:szCs w:val="17"/>
              </w:rPr>
              <w:t>400</w:t>
            </w:r>
          </w:p>
        </w:tc>
        <w:tc>
          <w:tcPr>
            <w:tcW w:w="1339" w:type="dxa"/>
            <w:tcBorders>
              <w:top w:val="single" w:sz="4" w:space="0" w:color="000000"/>
              <w:left w:val="single" w:sz="4" w:space="0" w:color="000000"/>
            </w:tcBorders>
          </w:tcPr>
          <w:p w:rsidR="00EA40A3" w:rsidRDefault="00E86C16">
            <w:pPr>
              <w:spacing w:before="69" w:line="221" w:lineRule="auto"/>
              <w:ind w:left="294"/>
              <w:rPr>
                <w:rFonts w:ascii="宋体" w:eastAsia="宋体" w:hAnsi="宋体" w:cs="宋体"/>
                <w:sz w:val="17"/>
                <w:szCs w:val="17"/>
              </w:rPr>
            </w:pPr>
            <w:r>
              <w:rPr>
                <w:rFonts w:ascii="宋体" w:eastAsia="宋体" w:hAnsi="宋体" w:cs="宋体"/>
                <w:spacing w:val="12"/>
                <w:sz w:val="17"/>
                <w:szCs w:val="17"/>
              </w:rPr>
              <w:t>铁(</w:t>
            </w:r>
            <w:r>
              <w:rPr>
                <w:rFonts w:ascii="宋体" w:eastAsia="宋体" w:hAnsi="宋体" w:cs="宋体"/>
                <w:sz w:val="17"/>
                <w:szCs w:val="17"/>
              </w:rPr>
              <w:t>AI</w:t>
            </w:r>
            <w:r>
              <w:rPr>
                <w:rFonts w:ascii="宋体" w:eastAsia="宋体" w:hAnsi="宋体" w:cs="宋体"/>
                <w:spacing w:val="12"/>
                <w:sz w:val="17"/>
                <w:szCs w:val="17"/>
              </w:rPr>
              <w:t>)</w:t>
            </w:r>
          </w:p>
        </w:tc>
        <w:tc>
          <w:tcPr>
            <w:tcW w:w="611" w:type="dxa"/>
            <w:tcBorders>
              <w:top w:val="single" w:sz="4" w:space="0" w:color="000000"/>
            </w:tcBorders>
          </w:tcPr>
          <w:p w:rsidR="00EA40A3" w:rsidRDefault="00E86C16">
            <w:pPr>
              <w:spacing w:before="122" w:line="183" w:lineRule="auto"/>
              <w:ind w:left="291"/>
              <w:rPr>
                <w:rFonts w:ascii="宋体" w:eastAsia="宋体" w:hAnsi="宋体" w:cs="宋体"/>
                <w:sz w:val="17"/>
                <w:szCs w:val="17"/>
              </w:rPr>
            </w:pPr>
            <w:r>
              <w:rPr>
                <w:rFonts w:ascii="宋体" w:eastAsia="宋体" w:hAnsi="宋体" w:cs="宋体"/>
                <w:spacing w:val="-2"/>
                <w:sz w:val="17"/>
                <w:szCs w:val="17"/>
              </w:rPr>
              <w:t>0.3</w:t>
            </w:r>
          </w:p>
        </w:tc>
        <w:tc>
          <w:tcPr>
            <w:tcW w:w="1669" w:type="dxa"/>
            <w:tcBorders>
              <w:top w:val="single" w:sz="4" w:space="0" w:color="000000"/>
            </w:tcBorders>
          </w:tcPr>
          <w:p w:rsidR="00EA40A3" w:rsidRDefault="00E86C16">
            <w:pPr>
              <w:spacing w:before="132" w:line="177" w:lineRule="auto"/>
              <w:ind w:left="999"/>
              <w:rPr>
                <w:rFonts w:ascii="宋体" w:eastAsia="宋体" w:hAnsi="宋体" w:cs="宋体"/>
                <w:sz w:val="17"/>
                <w:szCs w:val="17"/>
              </w:rPr>
            </w:pPr>
            <w:r>
              <w:rPr>
                <w:rFonts w:ascii="宋体" w:eastAsia="宋体" w:hAnsi="宋体" w:cs="宋体"/>
                <w:spacing w:val="-5"/>
                <w:sz w:val="17"/>
                <w:szCs w:val="17"/>
              </w:rPr>
              <w:t>10</w:t>
            </w:r>
          </w:p>
        </w:tc>
      </w:tr>
      <w:tr w:rsidR="00EA40A3">
        <w:trPr>
          <w:trHeight w:val="254"/>
        </w:trPr>
        <w:tc>
          <w:tcPr>
            <w:tcW w:w="1123" w:type="dxa"/>
          </w:tcPr>
          <w:p w:rsidR="00EA40A3" w:rsidRDefault="00E86C16">
            <w:pPr>
              <w:spacing w:before="54" w:line="217" w:lineRule="auto"/>
              <w:ind w:left="469"/>
              <w:rPr>
                <w:rFonts w:ascii="宋体" w:eastAsia="宋体" w:hAnsi="宋体" w:cs="宋体"/>
                <w:sz w:val="17"/>
                <w:szCs w:val="17"/>
              </w:rPr>
            </w:pPr>
            <w:r>
              <w:rPr>
                <w:rFonts w:ascii="宋体" w:eastAsia="宋体" w:hAnsi="宋体" w:cs="宋体"/>
                <w:sz w:val="17"/>
                <w:szCs w:val="17"/>
              </w:rPr>
              <w:t>磷</w:t>
            </w:r>
          </w:p>
        </w:tc>
        <w:tc>
          <w:tcPr>
            <w:tcW w:w="1230" w:type="dxa"/>
          </w:tcPr>
          <w:p w:rsidR="00EA40A3" w:rsidRDefault="00E86C16">
            <w:pPr>
              <w:spacing w:before="117" w:line="137" w:lineRule="exact"/>
              <w:ind w:left="496"/>
              <w:rPr>
                <w:rFonts w:ascii="宋体" w:eastAsia="宋体" w:hAnsi="宋体" w:cs="宋体"/>
                <w:sz w:val="17"/>
                <w:szCs w:val="17"/>
              </w:rPr>
            </w:pPr>
            <w:r>
              <w:rPr>
                <w:rFonts w:ascii="宋体" w:eastAsia="宋体" w:hAnsi="宋体" w:cs="宋体"/>
                <w:spacing w:val="-5"/>
                <w:position w:val="-2"/>
                <w:sz w:val="17"/>
                <w:szCs w:val="17"/>
              </w:rPr>
              <w:t>150</w:t>
            </w:r>
          </w:p>
        </w:tc>
        <w:tc>
          <w:tcPr>
            <w:tcW w:w="1277" w:type="dxa"/>
            <w:tcBorders>
              <w:right w:val="single" w:sz="4" w:space="0" w:color="000000"/>
            </w:tcBorders>
          </w:tcPr>
          <w:p w:rsidR="00EA40A3" w:rsidRDefault="00E86C16">
            <w:pPr>
              <w:spacing w:before="107" w:line="159" w:lineRule="auto"/>
              <w:ind w:left="496"/>
              <w:rPr>
                <w:rFonts w:ascii="宋体" w:eastAsia="宋体" w:hAnsi="宋体" w:cs="宋体"/>
                <w:sz w:val="17"/>
                <w:szCs w:val="17"/>
              </w:rPr>
            </w:pPr>
            <w:r>
              <w:rPr>
                <w:rFonts w:ascii="宋体" w:eastAsia="宋体" w:hAnsi="宋体" w:cs="宋体"/>
                <w:spacing w:val="-3"/>
                <w:sz w:val="17"/>
                <w:szCs w:val="17"/>
              </w:rPr>
              <w:t>300</w:t>
            </w:r>
          </w:p>
        </w:tc>
        <w:tc>
          <w:tcPr>
            <w:tcW w:w="1339" w:type="dxa"/>
            <w:tcBorders>
              <w:left w:val="single" w:sz="4" w:space="0" w:color="000000"/>
            </w:tcBorders>
          </w:tcPr>
          <w:p w:rsidR="00EA40A3" w:rsidRDefault="00E86C16">
            <w:pPr>
              <w:spacing w:before="44" w:line="221" w:lineRule="auto"/>
              <w:ind w:left="235"/>
              <w:rPr>
                <w:rFonts w:ascii="宋体" w:eastAsia="宋体" w:hAnsi="宋体" w:cs="宋体"/>
                <w:sz w:val="17"/>
                <w:szCs w:val="17"/>
              </w:rPr>
            </w:pPr>
            <w:r>
              <w:rPr>
                <w:rFonts w:ascii="宋体" w:eastAsia="宋体" w:hAnsi="宋体" w:cs="宋体"/>
                <w:spacing w:val="10"/>
                <w:sz w:val="17"/>
                <w:szCs w:val="17"/>
              </w:rPr>
              <w:t>碘(</w:t>
            </w:r>
            <w:r>
              <w:rPr>
                <w:rFonts w:ascii="宋体" w:eastAsia="宋体" w:hAnsi="宋体" w:cs="宋体"/>
                <w:sz w:val="17"/>
                <w:szCs w:val="17"/>
              </w:rPr>
              <w:t>RNI</w:t>
            </w:r>
            <w:r>
              <w:rPr>
                <w:rFonts w:ascii="宋体" w:eastAsia="宋体" w:hAnsi="宋体" w:cs="宋体"/>
                <w:spacing w:val="10"/>
                <w:sz w:val="17"/>
                <w:szCs w:val="17"/>
              </w:rPr>
              <w:t>)</w:t>
            </w:r>
          </w:p>
        </w:tc>
        <w:tc>
          <w:tcPr>
            <w:tcW w:w="611" w:type="dxa"/>
          </w:tcPr>
          <w:p w:rsidR="00EA40A3" w:rsidRDefault="00E86C16">
            <w:pPr>
              <w:spacing w:before="117" w:line="137" w:lineRule="exact"/>
              <w:ind w:left="340"/>
              <w:rPr>
                <w:rFonts w:ascii="宋体" w:eastAsia="宋体" w:hAnsi="宋体" w:cs="宋体"/>
                <w:sz w:val="17"/>
                <w:szCs w:val="17"/>
              </w:rPr>
            </w:pPr>
            <w:r>
              <w:rPr>
                <w:rFonts w:ascii="宋体" w:eastAsia="宋体" w:hAnsi="宋体" w:cs="宋体"/>
                <w:spacing w:val="-3"/>
                <w:position w:val="-2"/>
                <w:sz w:val="17"/>
                <w:szCs w:val="17"/>
              </w:rPr>
              <w:t>50</w:t>
            </w:r>
          </w:p>
        </w:tc>
        <w:tc>
          <w:tcPr>
            <w:tcW w:w="1669" w:type="dxa"/>
          </w:tcPr>
          <w:p w:rsidR="00EA40A3" w:rsidRDefault="00E86C16">
            <w:pPr>
              <w:spacing w:before="117" w:line="137" w:lineRule="exact"/>
              <w:ind w:left="999"/>
              <w:rPr>
                <w:rFonts w:ascii="宋体" w:eastAsia="宋体" w:hAnsi="宋体" w:cs="宋体"/>
                <w:sz w:val="17"/>
                <w:szCs w:val="17"/>
              </w:rPr>
            </w:pPr>
            <w:r>
              <w:rPr>
                <w:rFonts w:ascii="宋体" w:eastAsia="宋体" w:hAnsi="宋体" w:cs="宋体"/>
                <w:spacing w:val="-3"/>
                <w:position w:val="-2"/>
                <w:sz w:val="17"/>
                <w:szCs w:val="17"/>
              </w:rPr>
              <w:t>50</w:t>
            </w:r>
          </w:p>
        </w:tc>
      </w:tr>
      <w:tr w:rsidR="00EA40A3">
        <w:trPr>
          <w:trHeight w:val="224"/>
        </w:trPr>
        <w:tc>
          <w:tcPr>
            <w:tcW w:w="1123" w:type="dxa"/>
          </w:tcPr>
          <w:p w:rsidR="00EA40A3" w:rsidRDefault="00E86C16">
            <w:pPr>
              <w:spacing w:before="30" w:line="210" w:lineRule="auto"/>
              <w:ind w:left="469"/>
              <w:rPr>
                <w:rFonts w:ascii="宋体" w:eastAsia="宋体" w:hAnsi="宋体" w:cs="宋体"/>
                <w:sz w:val="17"/>
                <w:szCs w:val="17"/>
              </w:rPr>
            </w:pPr>
            <w:r>
              <w:rPr>
                <w:rFonts w:ascii="宋体" w:eastAsia="宋体" w:hAnsi="宋体" w:cs="宋体"/>
                <w:sz w:val="17"/>
                <w:szCs w:val="17"/>
              </w:rPr>
              <w:t>钾</w:t>
            </w:r>
          </w:p>
        </w:tc>
        <w:tc>
          <w:tcPr>
            <w:tcW w:w="1230" w:type="dxa"/>
          </w:tcPr>
          <w:p w:rsidR="00EA40A3" w:rsidRDefault="00E86C16">
            <w:pPr>
              <w:spacing w:before="73" w:line="163" w:lineRule="auto"/>
              <w:ind w:left="496"/>
              <w:rPr>
                <w:rFonts w:ascii="宋体" w:eastAsia="宋体" w:hAnsi="宋体" w:cs="宋体"/>
                <w:sz w:val="17"/>
                <w:szCs w:val="17"/>
              </w:rPr>
            </w:pPr>
            <w:r>
              <w:rPr>
                <w:rFonts w:ascii="宋体" w:eastAsia="宋体" w:hAnsi="宋体" w:cs="宋体"/>
                <w:spacing w:val="-3"/>
                <w:sz w:val="17"/>
                <w:szCs w:val="17"/>
              </w:rPr>
              <w:t>500</w:t>
            </w:r>
          </w:p>
        </w:tc>
        <w:tc>
          <w:tcPr>
            <w:tcW w:w="1277" w:type="dxa"/>
            <w:tcBorders>
              <w:right w:val="single" w:sz="4" w:space="0" w:color="000000"/>
            </w:tcBorders>
          </w:tcPr>
          <w:p w:rsidR="00EA40A3" w:rsidRDefault="00E86C16">
            <w:pPr>
              <w:spacing w:before="83" w:line="141" w:lineRule="exact"/>
              <w:ind w:left="496"/>
              <w:rPr>
                <w:rFonts w:ascii="宋体" w:eastAsia="宋体" w:hAnsi="宋体" w:cs="宋体"/>
                <w:sz w:val="17"/>
                <w:szCs w:val="17"/>
              </w:rPr>
            </w:pPr>
            <w:r>
              <w:rPr>
                <w:rFonts w:ascii="宋体" w:eastAsia="宋体" w:hAnsi="宋体" w:cs="宋体"/>
                <w:spacing w:val="-3"/>
                <w:position w:val="-2"/>
                <w:sz w:val="17"/>
                <w:szCs w:val="17"/>
              </w:rPr>
              <w:t>700</w:t>
            </w:r>
          </w:p>
        </w:tc>
        <w:tc>
          <w:tcPr>
            <w:tcW w:w="1339" w:type="dxa"/>
            <w:tcBorders>
              <w:left w:val="single" w:sz="4" w:space="0" w:color="000000"/>
            </w:tcBorders>
          </w:tcPr>
          <w:p w:rsidR="00EA40A3" w:rsidRDefault="00E86C16">
            <w:pPr>
              <w:spacing w:before="30" w:line="210" w:lineRule="auto"/>
              <w:ind w:left="235"/>
              <w:rPr>
                <w:rFonts w:ascii="宋体" w:eastAsia="宋体" w:hAnsi="宋体" w:cs="宋体"/>
                <w:sz w:val="17"/>
                <w:szCs w:val="17"/>
              </w:rPr>
            </w:pPr>
            <w:r>
              <w:rPr>
                <w:rFonts w:ascii="宋体" w:eastAsia="宋体" w:hAnsi="宋体" w:cs="宋体"/>
                <w:spacing w:val="10"/>
                <w:sz w:val="17"/>
                <w:szCs w:val="17"/>
              </w:rPr>
              <w:t>锌(</w:t>
            </w:r>
            <w:r>
              <w:rPr>
                <w:rFonts w:ascii="宋体" w:eastAsia="宋体" w:hAnsi="宋体" w:cs="宋体"/>
                <w:sz w:val="17"/>
                <w:szCs w:val="17"/>
              </w:rPr>
              <w:t>RNI</w:t>
            </w:r>
            <w:r>
              <w:rPr>
                <w:rFonts w:ascii="宋体" w:eastAsia="宋体" w:hAnsi="宋体" w:cs="宋体"/>
                <w:spacing w:val="10"/>
                <w:sz w:val="17"/>
                <w:szCs w:val="17"/>
              </w:rPr>
              <w:t>)</w:t>
            </w:r>
          </w:p>
        </w:tc>
        <w:tc>
          <w:tcPr>
            <w:tcW w:w="611" w:type="dxa"/>
          </w:tcPr>
          <w:p w:rsidR="00EA40A3" w:rsidRDefault="00E86C16">
            <w:pPr>
              <w:spacing w:before="72" w:line="164" w:lineRule="auto"/>
              <w:ind w:left="300"/>
              <w:rPr>
                <w:rFonts w:ascii="宋体" w:eastAsia="宋体" w:hAnsi="宋体" w:cs="宋体"/>
                <w:sz w:val="17"/>
                <w:szCs w:val="17"/>
              </w:rPr>
            </w:pPr>
            <w:r>
              <w:rPr>
                <w:rFonts w:ascii="宋体" w:eastAsia="宋体" w:hAnsi="宋体" w:cs="宋体"/>
                <w:spacing w:val="-5"/>
                <w:sz w:val="17"/>
                <w:szCs w:val="17"/>
              </w:rPr>
              <w:t>1.5</w:t>
            </w:r>
          </w:p>
        </w:tc>
        <w:tc>
          <w:tcPr>
            <w:tcW w:w="1669" w:type="dxa"/>
          </w:tcPr>
          <w:p w:rsidR="00EA40A3" w:rsidRDefault="00E86C16">
            <w:pPr>
              <w:spacing w:before="83" w:line="141" w:lineRule="exact"/>
              <w:ind w:left="909"/>
              <w:rPr>
                <w:rFonts w:ascii="宋体" w:eastAsia="宋体" w:hAnsi="宋体" w:cs="宋体"/>
                <w:sz w:val="17"/>
                <w:szCs w:val="17"/>
              </w:rPr>
            </w:pPr>
            <w:r>
              <w:rPr>
                <w:rFonts w:ascii="宋体" w:eastAsia="宋体" w:hAnsi="宋体" w:cs="宋体"/>
                <w:spacing w:val="-2"/>
                <w:position w:val="-2"/>
                <w:sz w:val="17"/>
                <w:szCs w:val="17"/>
              </w:rPr>
              <w:t>8.0</w:t>
            </w:r>
          </w:p>
        </w:tc>
      </w:tr>
      <w:tr w:rsidR="00EA40A3">
        <w:trPr>
          <w:trHeight w:val="224"/>
        </w:trPr>
        <w:tc>
          <w:tcPr>
            <w:tcW w:w="1123" w:type="dxa"/>
          </w:tcPr>
          <w:p w:rsidR="00EA40A3" w:rsidRDefault="00E86C16">
            <w:pPr>
              <w:spacing w:before="37" w:line="203" w:lineRule="auto"/>
              <w:ind w:left="479"/>
              <w:rPr>
                <w:rFonts w:ascii="宋体" w:eastAsia="宋体" w:hAnsi="宋体" w:cs="宋体"/>
                <w:sz w:val="17"/>
                <w:szCs w:val="17"/>
              </w:rPr>
            </w:pPr>
            <w:r>
              <w:rPr>
                <w:rFonts w:ascii="宋体" w:eastAsia="宋体" w:hAnsi="宋体" w:cs="宋体"/>
                <w:sz w:val="17"/>
                <w:szCs w:val="17"/>
              </w:rPr>
              <w:t>钠</w:t>
            </w:r>
          </w:p>
        </w:tc>
        <w:tc>
          <w:tcPr>
            <w:tcW w:w="1230" w:type="dxa"/>
          </w:tcPr>
          <w:p w:rsidR="00EA40A3" w:rsidRDefault="00E86C16">
            <w:pPr>
              <w:spacing w:before="99" w:line="125" w:lineRule="exact"/>
              <w:ind w:left="486"/>
              <w:rPr>
                <w:rFonts w:ascii="宋体" w:eastAsia="宋体" w:hAnsi="宋体" w:cs="宋体"/>
                <w:sz w:val="17"/>
                <w:szCs w:val="17"/>
              </w:rPr>
            </w:pPr>
            <w:r>
              <w:rPr>
                <w:rFonts w:ascii="宋体" w:eastAsia="宋体" w:hAnsi="宋体" w:cs="宋体"/>
                <w:spacing w:val="-2"/>
                <w:position w:val="-2"/>
                <w:sz w:val="17"/>
                <w:szCs w:val="17"/>
              </w:rPr>
              <w:t>200</w:t>
            </w:r>
          </w:p>
        </w:tc>
        <w:tc>
          <w:tcPr>
            <w:tcW w:w="1277" w:type="dxa"/>
            <w:tcBorders>
              <w:right w:val="single" w:sz="4" w:space="0" w:color="000000"/>
            </w:tcBorders>
          </w:tcPr>
          <w:p w:rsidR="00EA40A3" w:rsidRDefault="00E86C16">
            <w:pPr>
              <w:spacing w:before="89" w:line="135" w:lineRule="exact"/>
              <w:ind w:left="496"/>
              <w:rPr>
                <w:rFonts w:ascii="宋体" w:eastAsia="宋体" w:hAnsi="宋体" w:cs="宋体"/>
                <w:sz w:val="17"/>
                <w:szCs w:val="17"/>
              </w:rPr>
            </w:pPr>
            <w:r>
              <w:rPr>
                <w:rFonts w:ascii="宋体" w:eastAsia="宋体" w:hAnsi="宋体" w:cs="宋体"/>
                <w:spacing w:val="-3"/>
                <w:position w:val="-2"/>
                <w:sz w:val="17"/>
                <w:szCs w:val="17"/>
              </w:rPr>
              <w:t>500</w:t>
            </w:r>
          </w:p>
        </w:tc>
        <w:tc>
          <w:tcPr>
            <w:tcW w:w="1339" w:type="dxa"/>
            <w:tcBorders>
              <w:left w:val="single" w:sz="4" w:space="0" w:color="000000"/>
            </w:tcBorders>
          </w:tcPr>
          <w:p w:rsidR="00EA40A3" w:rsidRDefault="00E86C16">
            <w:pPr>
              <w:spacing w:before="38" w:line="201" w:lineRule="auto"/>
              <w:ind w:left="284"/>
              <w:rPr>
                <w:rFonts w:ascii="宋体" w:eastAsia="宋体" w:hAnsi="宋体" w:cs="宋体"/>
                <w:sz w:val="17"/>
                <w:szCs w:val="17"/>
              </w:rPr>
            </w:pPr>
            <w:r>
              <w:rPr>
                <w:rFonts w:ascii="宋体" w:eastAsia="宋体" w:hAnsi="宋体" w:cs="宋体"/>
                <w:spacing w:val="12"/>
                <w:sz w:val="17"/>
                <w:szCs w:val="17"/>
              </w:rPr>
              <w:t>硒(</w:t>
            </w:r>
            <w:r>
              <w:rPr>
                <w:rFonts w:ascii="宋体" w:eastAsia="宋体" w:hAnsi="宋体" w:cs="宋体"/>
                <w:sz w:val="17"/>
                <w:szCs w:val="17"/>
              </w:rPr>
              <w:t>AI</w:t>
            </w:r>
            <w:r>
              <w:rPr>
                <w:rFonts w:ascii="宋体" w:eastAsia="宋体" w:hAnsi="宋体" w:cs="宋体"/>
                <w:spacing w:val="12"/>
                <w:sz w:val="17"/>
                <w:szCs w:val="17"/>
              </w:rPr>
              <w:t>)</w:t>
            </w:r>
          </w:p>
        </w:tc>
        <w:tc>
          <w:tcPr>
            <w:tcW w:w="611" w:type="dxa"/>
          </w:tcPr>
          <w:p w:rsidR="00EA40A3" w:rsidRDefault="00E86C16">
            <w:pPr>
              <w:spacing w:before="79" w:line="157" w:lineRule="auto"/>
              <w:ind w:left="360"/>
              <w:rPr>
                <w:rFonts w:ascii="宋体" w:eastAsia="宋体" w:hAnsi="宋体" w:cs="宋体"/>
                <w:sz w:val="17"/>
                <w:szCs w:val="17"/>
              </w:rPr>
            </w:pPr>
            <w:r>
              <w:rPr>
                <w:rFonts w:ascii="宋体" w:eastAsia="宋体" w:hAnsi="宋体" w:cs="宋体"/>
                <w:spacing w:val="-5"/>
                <w:sz w:val="17"/>
                <w:szCs w:val="17"/>
              </w:rPr>
              <w:t>15</w:t>
            </w:r>
          </w:p>
        </w:tc>
        <w:tc>
          <w:tcPr>
            <w:tcW w:w="1669" w:type="dxa"/>
          </w:tcPr>
          <w:p w:rsidR="00EA40A3" w:rsidRDefault="00E86C16">
            <w:pPr>
              <w:spacing w:before="89" w:line="135" w:lineRule="exact"/>
              <w:ind w:left="999"/>
              <w:rPr>
                <w:rFonts w:ascii="宋体" w:eastAsia="宋体" w:hAnsi="宋体" w:cs="宋体"/>
                <w:sz w:val="17"/>
                <w:szCs w:val="17"/>
              </w:rPr>
            </w:pPr>
            <w:r>
              <w:rPr>
                <w:rFonts w:ascii="宋体" w:eastAsia="宋体" w:hAnsi="宋体" w:cs="宋体"/>
                <w:spacing w:val="-3"/>
                <w:position w:val="-2"/>
                <w:sz w:val="17"/>
                <w:szCs w:val="17"/>
              </w:rPr>
              <w:t>20</w:t>
            </w:r>
          </w:p>
        </w:tc>
      </w:tr>
      <w:tr w:rsidR="00EA40A3">
        <w:trPr>
          <w:trHeight w:val="237"/>
        </w:trPr>
        <w:tc>
          <w:tcPr>
            <w:tcW w:w="1123" w:type="dxa"/>
            <w:vMerge w:val="restart"/>
            <w:tcBorders>
              <w:bottom w:val="nil"/>
            </w:tcBorders>
          </w:tcPr>
          <w:p w:rsidR="00EA40A3" w:rsidRDefault="00E86C16">
            <w:pPr>
              <w:spacing w:before="34" w:line="221" w:lineRule="auto"/>
              <w:ind w:left="469"/>
              <w:rPr>
                <w:rFonts w:ascii="宋体" w:eastAsia="宋体" w:hAnsi="宋体" w:cs="宋体"/>
                <w:sz w:val="17"/>
                <w:szCs w:val="17"/>
              </w:rPr>
            </w:pPr>
            <w:r>
              <w:rPr>
                <w:rFonts w:ascii="宋体" w:eastAsia="宋体" w:hAnsi="宋体" w:cs="宋体"/>
                <w:sz w:val="17"/>
                <w:szCs w:val="17"/>
              </w:rPr>
              <w:t>镁</w:t>
            </w:r>
          </w:p>
        </w:tc>
        <w:tc>
          <w:tcPr>
            <w:tcW w:w="1230" w:type="dxa"/>
            <w:vMerge w:val="restart"/>
            <w:tcBorders>
              <w:bottom w:val="nil"/>
            </w:tcBorders>
          </w:tcPr>
          <w:p w:rsidR="00EA40A3" w:rsidRDefault="00E86C16">
            <w:pPr>
              <w:spacing w:before="85" w:line="183" w:lineRule="auto"/>
              <w:ind w:left="527"/>
              <w:rPr>
                <w:rFonts w:ascii="宋体" w:eastAsia="宋体" w:hAnsi="宋体" w:cs="宋体"/>
                <w:sz w:val="17"/>
                <w:szCs w:val="17"/>
              </w:rPr>
            </w:pPr>
            <w:r>
              <w:rPr>
                <w:rFonts w:ascii="宋体" w:eastAsia="宋体" w:hAnsi="宋体" w:cs="宋体"/>
                <w:spacing w:val="-3"/>
                <w:sz w:val="17"/>
                <w:szCs w:val="17"/>
              </w:rPr>
              <w:t>30</w:t>
            </w:r>
          </w:p>
        </w:tc>
        <w:tc>
          <w:tcPr>
            <w:tcW w:w="1277" w:type="dxa"/>
            <w:vMerge w:val="restart"/>
            <w:tcBorders>
              <w:bottom w:val="nil"/>
              <w:right w:val="single" w:sz="4" w:space="0" w:color="000000"/>
            </w:tcBorders>
          </w:tcPr>
          <w:p w:rsidR="00EA40A3" w:rsidRDefault="00E86C16">
            <w:pPr>
              <w:spacing w:before="85" w:line="183" w:lineRule="auto"/>
              <w:ind w:left="586"/>
              <w:rPr>
                <w:rFonts w:ascii="宋体" w:eastAsia="宋体" w:hAnsi="宋体" w:cs="宋体"/>
                <w:sz w:val="17"/>
                <w:szCs w:val="17"/>
              </w:rPr>
            </w:pPr>
            <w:r>
              <w:rPr>
                <w:rFonts w:ascii="宋体" w:eastAsia="宋体" w:hAnsi="宋体" w:cs="宋体"/>
                <w:spacing w:val="-3"/>
                <w:sz w:val="17"/>
                <w:szCs w:val="17"/>
              </w:rPr>
              <w:t>70</w:t>
            </w:r>
          </w:p>
        </w:tc>
        <w:tc>
          <w:tcPr>
            <w:tcW w:w="1339" w:type="dxa"/>
            <w:tcBorders>
              <w:left w:val="single" w:sz="4" w:space="0" w:color="000000"/>
            </w:tcBorders>
          </w:tcPr>
          <w:p w:rsidR="00EA40A3" w:rsidRDefault="00E86C16">
            <w:pPr>
              <w:spacing w:before="42" w:line="211" w:lineRule="auto"/>
              <w:ind w:left="284"/>
              <w:rPr>
                <w:rFonts w:ascii="宋体" w:eastAsia="宋体" w:hAnsi="宋体" w:cs="宋体"/>
                <w:sz w:val="17"/>
                <w:szCs w:val="17"/>
              </w:rPr>
            </w:pPr>
            <w:r>
              <w:rPr>
                <w:rFonts w:ascii="宋体" w:eastAsia="宋体" w:hAnsi="宋体" w:cs="宋体"/>
                <w:spacing w:val="12"/>
                <w:sz w:val="17"/>
                <w:szCs w:val="17"/>
              </w:rPr>
              <w:t>铜(</w:t>
            </w:r>
            <w:r>
              <w:rPr>
                <w:rFonts w:ascii="宋体" w:eastAsia="宋体" w:hAnsi="宋体" w:cs="宋体"/>
                <w:sz w:val="17"/>
                <w:szCs w:val="17"/>
              </w:rPr>
              <w:t>AI</w:t>
            </w:r>
            <w:r>
              <w:rPr>
                <w:rFonts w:ascii="宋体" w:eastAsia="宋体" w:hAnsi="宋体" w:cs="宋体"/>
                <w:spacing w:val="12"/>
                <w:sz w:val="17"/>
                <w:szCs w:val="17"/>
              </w:rPr>
              <w:t>)</w:t>
            </w:r>
          </w:p>
        </w:tc>
        <w:tc>
          <w:tcPr>
            <w:tcW w:w="611" w:type="dxa"/>
          </w:tcPr>
          <w:p w:rsidR="00EA40A3" w:rsidRDefault="00E86C16">
            <w:pPr>
              <w:spacing w:before="95" w:line="142" w:lineRule="exact"/>
              <w:ind w:left="300"/>
              <w:rPr>
                <w:rFonts w:ascii="宋体" w:eastAsia="宋体" w:hAnsi="宋体" w:cs="宋体"/>
                <w:sz w:val="17"/>
                <w:szCs w:val="17"/>
              </w:rPr>
            </w:pPr>
            <w:r>
              <w:rPr>
                <w:rFonts w:ascii="宋体" w:eastAsia="宋体" w:hAnsi="宋体" w:cs="宋体"/>
                <w:spacing w:val="-2"/>
                <w:position w:val="-2"/>
                <w:sz w:val="17"/>
                <w:szCs w:val="17"/>
              </w:rPr>
              <w:t>0.4</w:t>
            </w:r>
          </w:p>
        </w:tc>
        <w:tc>
          <w:tcPr>
            <w:tcW w:w="1669" w:type="dxa"/>
          </w:tcPr>
          <w:p w:rsidR="00EA40A3" w:rsidRDefault="00E86C16">
            <w:pPr>
              <w:spacing w:before="95" w:line="142" w:lineRule="exact"/>
              <w:ind w:left="909"/>
              <w:rPr>
                <w:rFonts w:ascii="宋体" w:eastAsia="宋体" w:hAnsi="宋体" w:cs="宋体"/>
                <w:sz w:val="17"/>
                <w:szCs w:val="17"/>
              </w:rPr>
            </w:pPr>
            <w:r>
              <w:rPr>
                <w:rFonts w:ascii="宋体" w:eastAsia="宋体" w:hAnsi="宋体" w:cs="宋体"/>
                <w:spacing w:val="-2"/>
                <w:position w:val="-2"/>
                <w:sz w:val="17"/>
                <w:szCs w:val="17"/>
              </w:rPr>
              <w:t>0.6</w:t>
            </w:r>
          </w:p>
        </w:tc>
      </w:tr>
      <w:tr w:rsidR="00EA40A3">
        <w:trPr>
          <w:trHeight w:val="245"/>
        </w:trPr>
        <w:tc>
          <w:tcPr>
            <w:tcW w:w="1123" w:type="dxa"/>
            <w:vMerge/>
            <w:tcBorders>
              <w:top w:val="nil"/>
              <w:bottom w:val="nil"/>
            </w:tcBorders>
          </w:tcPr>
          <w:p w:rsidR="00EA40A3" w:rsidRDefault="00EA40A3"/>
        </w:tc>
        <w:tc>
          <w:tcPr>
            <w:tcW w:w="1230" w:type="dxa"/>
            <w:vMerge/>
            <w:tcBorders>
              <w:top w:val="nil"/>
              <w:bottom w:val="nil"/>
            </w:tcBorders>
          </w:tcPr>
          <w:p w:rsidR="00EA40A3" w:rsidRDefault="00EA40A3"/>
        </w:tc>
        <w:tc>
          <w:tcPr>
            <w:tcW w:w="1277" w:type="dxa"/>
            <w:vMerge/>
            <w:tcBorders>
              <w:top w:val="nil"/>
              <w:bottom w:val="nil"/>
              <w:right w:val="single" w:sz="4" w:space="0" w:color="000000"/>
            </w:tcBorders>
          </w:tcPr>
          <w:p w:rsidR="00EA40A3" w:rsidRDefault="00EA40A3"/>
        </w:tc>
        <w:tc>
          <w:tcPr>
            <w:tcW w:w="1339" w:type="dxa"/>
            <w:tcBorders>
              <w:left w:val="single" w:sz="4" w:space="0" w:color="000000"/>
            </w:tcBorders>
          </w:tcPr>
          <w:p w:rsidR="00EA40A3" w:rsidRDefault="00E86C16">
            <w:pPr>
              <w:spacing w:before="35" w:line="219" w:lineRule="auto"/>
              <w:ind w:left="294"/>
              <w:rPr>
                <w:rFonts w:ascii="宋体" w:eastAsia="宋体" w:hAnsi="宋体" w:cs="宋体"/>
                <w:sz w:val="17"/>
                <w:szCs w:val="17"/>
              </w:rPr>
            </w:pPr>
            <w:r>
              <w:rPr>
                <w:rFonts w:ascii="宋体" w:eastAsia="宋体" w:hAnsi="宋体" w:cs="宋体"/>
                <w:spacing w:val="12"/>
                <w:sz w:val="17"/>
                <w:szCs w:val="17"/>
              </w:rPr>
              <w:t>氟(</w:t>
            </w:r>
            <w:r>
              <w:rPr>
                <w:rFonts w:ascii="宋体" w:eastAsia="宋体" w:hAnsi="宋体" w:cs="宋体"/>
                <w:sz w:val="17"/>
                <w:szCs w:val="17"/>
              </w:rPr>
              <w:t>AI</w:t>
            </w:r>
            <w:r>
              <w:rPr>
                <w:rFonts w:ascii="宋体" w:eastAsia="宋体" w:hAnsi="宋体" w:cs="宋体"/>
                <w:spacing w:val="12"/>
                <w:sz w:val="17"/>
                <w:szCs w:val="17"/>
              </w:rPr>
              <w:t>)</w:t>
            </w:r>
          </w:p>
        </w:tc>
        <w:tc>
          <w:tcPr>
            <w:tcW w:w="611" w:type="dxa"/>
          </w:tcPr>
          <w:p w:rsidR="00EA40A3" w:rsidRDefault="00E86C16">
            <w:pPr>
              <w:spacing w:before="78" w:line="181" w:lineRule="auto"/>
              <w:ind w:left="291"/>
              <w:rPr>
                <w:rFonts w:ascii="宋体" w:eastAsia="宋体" w:hAnsi="宋体" w:cs="宋体"/>
                <w:sz w:val="17"/>
                <w:szCs w:val="17"/>
              </w:rPr>
            </w:pPr>
            <w:r>
              <w:rPr>
                <w:rFonts w:ascii="宋体" w:eastAsia="宋体" w:hAnsi="宋体" w:cs="宋体"/>
                <w:spacing w:val="-2"/>
                <w:sz w:val="17"/>
                <w:szCs w:val="17"/>
              </w:rPr>
              <w:t>0.1</w:t>
            </w:r>
          </w:p>
        </w:tc>
        <w:tc>
          <w:tcPr>
            <w:tcW w:w="1669" w:type="dxa"/>
          </w:tcPr>
          <w:p w:rsidR="00EA40A3" w:rsidRDefault="00E86C16">
            <w:pPr>
              <w:spacing w:before="108" w:line="136" w:lineRule="exact"/>
              <w:ind w:left="909"/>
              <w:rPr>
                <w:rFonts w:ascii="宋体" w:eastAsia="宋体" w:hAnsi="宋体" w:cs="宋体"/>
                <w:sz w:val="17"/>
                <w:szCs w:val="17"/>
              </w:rPr>
            </w:pPr>
            <w:r>
              <w:rPr>
                <w:rFonts w:ascii="宋体" w:eastAsia="宋体" w:hAnsi="宋体" w:cs="宋体"/>
                <w:spacing w:val="-2"/>
                <w:position w:val="-2"/>
                <w:sz w:val="17"/>
                <w:szCs w:val="17"/>
              </w:rPr>
              <w:t>0.4</w:t>
            </w:r>
          </w:p>
        </w:tc>
      </w:tr>
      <w:tr w:rsidR="00EA40A3">
        <w:trPr>
          <w:trHeight w:val="208"/>
        </w:trPr>
        <w:tc>
          <w:tcPr>
            <w:tcW w:w="1123" w:type="dxa"/>
            <w:vMerge/>
            <w:tcBorders>
              <w:top w:val="nil"/>
              <w:bottom w:val="single" w:sz="4" w:space="0" w:color="000000"/>
            </w:tcBorders>
          </w:tcPr>
          <w:p w:rsidR="00EA40A3" w:rsidRDefault="00EA40A3"/>
        </w:tc>
        <w:tc>
          <w:tcPr>
            <w:tcW w:w="1230" w:type="dxa"/>
            <w:vMerge/>
            <w:tcBorders>
              <w:top w:val="nil"/>
              <w:bottom w:val="single" w:sz="4" w:space="0" w:color="000000"/>
            </w:tcBorders>
          </w:tcPr>
          <w:p w:rsidR="00EA40A3" w:rsidRDefault="00EA40A3"/>
        </w:tc>
        <w:tc>
          <w:tcPr>
            <w:tcW w:w="1277" w:type="dxa"/>
            <w:vMerge/>
            <w:tcBorders>
              <w:top w:val="nil"/>
              <w:bottom w:val="single" w:sz="4" w:space="0" w:color="000000"/>
              <w:right w:val="single" w:sz="4" w:space="0" w:color="000000"/>
            </w:tcBorders>
          </w:tcPr>
          <w:p w:rsidR="00EA40A3" w:rsidRDefault="00EA40A3"/>
        </w:tc>
        <w:tc>
          <w:tcPr>
            <w:tcW w:w="1339" w:type="dxa"/>
            <w:tcBorders>
              <w:left w:val="single" w:sz="4" w:space="0" w:color="000000"/>
              <w:bottom w:val="single" w:sz="4" w:space="0" w:color="000000"/>
            </w:tcBorders>
          </w:tcPr>
          <w:p w:rsidR="00EA40A3" w:rsidRDefault="00E86C16">
            <w:pPr>
              <w:spacing w:before="32" w:line="191" w:lineRule="auto"/>
              <w:ind w:left="294"/>
              <w:rPr>
                <w:rFonts w:ascii="宋体" w:eastAsia="宋体" w:hAnsi="宋体" w:cs="宋体"/>
                <w:sz w:val="17"/>
                <w:szCs w:val="17"/>
              </w:rPr>
            </w:pPr>
            <w:r>
              <w:rPr>
                <w:rFonts w:ascii="宋体" w:eastAsia="宋体" w:hAnsi="宋体" w:cs="宋体"/>
                <w:spacing w:val="12"/>
                <w:sz w:val="17"/>
                <w:szCs w:val="17"/>
              </w:rPr>
              <w:t>铬(</w:t>
            </w:r>
            <w:r>
              <w:rPr>
                <w:rFonts w:ascii="宋体" w:eastAsia="宋体" w:hAnsi="宋体" w:cs="宋体"/>
                <w:sz w:val="17"/>
                <w:szCs w:val="17"/>
              </w:rPr>
              <w:t>AI</w:t>
            </w:r>
            <w:r>
              <w:rPr>
                <w:rFonts w:ascii="宋体" w:eastAsia="宋体" w:hAnsi="宋体" w:cs="宋体"/>
                <w:spacing w:val="12"/>
                <w:sz w:val="17"/>
                <w:szCs w:val="17"/>
              </w:rPr>
              <w:t>)</w:t>
            </w:r>
          </w:p>
        </w:tc>
        <w:tc>
          <w:tcPr>
            <w:tcW w:w="611" w:type="dxa"/>
            <w:tcBorders>
              <w:bottom w:val="single" w:sz="4" w:space="0" w:color="000000"/>
            </w:tcBorders>
          </w:tcPr>
          <w:p w:rsidR="00EA40A3" w:rsidRDefault="00E86C16">
            <w:pPr>
              <w:spacing w:before="83" w:line="124" w:lineRule="exact"/>
              <w:ind w:left="340"/>
              <w:rPr>
                <w:rFonts w:ascii="宋体" w:eastAsia="宋体" w:hAnsi="宋体" w:cs="宋体"/>
                <w:sz w:val="17"/>
                <w:szCs w:val="17"/>
              </w:rPr>
            </w:pPr>
            <w:r>
              <w:rPr>
                <w:rFonts w:ascii="宋体" w:eastAsia="宋体" w:hAnsi="宋体" w:cs="宋体"/>
                <w:spacing w:val="-5"/>
                <w:position w:val="-2"/>
                <w:sz w:val="17"/>
                <w:szCs w:val="17"/>
              </w:rPr>
              <w:t>10</w:t>
            </w:r>
          </w:p>
        </w:tc>
        <w:tc>
          <w:tcPr>
            <w:tcW w:w="1669" w:type="dxa"/>
            <w:tcBorders>
              <w:bottom w:val="single" w:sz="4" w:space="0" w:color="000000"/>
            </w:tcBorders>
          </w:tcPr>
          <w:p w:rsidR="00EA40A3" w:rsidRDefault="00E86C16">
            <w:pPr>
              <w:spacing w:before="83" w:line="124" w:lineRule="exact"/>
              <w:ind w:left="999"/>
              <w:rPr>
                <w:rFonts w:ascii="宋体" w:eastAsia="宋体" w:hAnsi="宋体" w:cs="宋体"/>
                <w:sz w:val="17"/>
                <w:szCs w:val="17"/>
              </w:rPr>
            </w:pPr>
            <w:r>
              <w:rPr>
                <w:rFonts w:ascii="宋体" w:eastAsia="宋体" w:hAnsi="宋体" w:cs="宋体"/>
                <w:spacing w:val="-5"/>
                <w:position w:val="-2"/>
                <w:sz w:val="17"/>
                <w:szCs w:val="17"/>
              </w:rPr>
              <w:t>15</w:t>
            </w:r>
          </w:p>
        </w:tc>
      </w:tr>
    </w:tbl>
    <w:p w:rsidR="00EA40A3" w:rsidRDefault="00E86C16">
      <w:pPr>
        <w:spacing w:before="60" w:line="219" w:lineRule="auto"/>
        <w:ind w:left="399"/>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A40A3">
      <w:pPr>
        <w:spacing w:line="267" w:lineRule="auto"/>
      </w:pPr>
    </w:p>
    <w:p w:rsidR="00EA40A3" w:rsidRDefault="00E86C16">
      <w:pPr>
        <w:spacing w:before="72" w:line="225" w:lineRule="auto"/>
        <w:ind w:left="9"/>
        <w:rPr>
          <w:rFonts w:ascii="楷体" w:eastAsia="楷体" w:hAnsi="楷体" w:cs="楷体"/>
          <w:sz w:val="22"/>
          <w:szCs w:val="22"/>
        </w:rPr>
      </w:pPr>
      <w:r>
        <w:rPr>
          <w:rFonts w:ascii="楷体" w:eastAsia="楷体" w:hAnsi="楷体" w:cs="楷体"/>
          <w:spacing w:val="3"/>
          <w:sz w:val="22"/>
          <w:szCs w:val="22"/>
        </w:rPr>
        <w:t>6)维生素</w:t>
      </w:r>
    </w:p>
    <w:p w:rsidR="00EA40A3" w:rsidRDefault="00E86C16">
      <w:pPr>
        <w:spacing w:before="36" w:line="245" w:lineRule="auto"/>
        <w:ind w:left="9" w:right="51" w:firstLine="510"/>
        <w:jc w:val="both"/>
        <w:rPr>
          <w:rFonts w:ascii="宋体" w:eastAsia="宋体" w:hAnsi="宋体" w:cs="宋体"/>
          <w:sz w:val="22"/>
          <w:szCs w:val="22"/>
        </w:rPr>
      </w:pPr>
      <w:r>
        <w:rPr>
          <w:rFonts w:ascii="宋体" w:eastAsia="宋体" w:hAnsi="宋体" w:cs="宋体"/>
          <w:spacing w:val="-15"/>
          <w:sz w:val="22"/>
          <w:szCs w:val="22"/>
        </w:rPr>
        <w:t>几乎所有的维生素对婴儿的生长发育都有重要的影响。正常母乳中含有婴儿</w:t>
      </w:r>
      <w:r>
        <w:rPr>
          <w:rFonts w:ascii="宋体" w:eastAsia="宋体" w:hAnsi="宋体" w:cs="宋体"/>
          <w:spacing w:val="12"/>
          <w:sz w:val="22"/>
          <w:szCs w:val="22"/>
        </w:rPr>
        <w:t xml:space="preserve"> </w:t>
      </w:r>
      <w:r>
        <w:rPr>
          <w:rFonts w:ascii="宋体" w:eastAsia="宋体" w:hAnsi="宋体" w:cs="宋体"/>
          <w:spacing w:val="-6"/>
          <w:sz w:val="22"/>
          <w:szCs w:val="22"/>
        </w:rPr>
        <w:t>所需要的各种维生素，只是维生素</w:t>
      </w:r>
      <w:r>
        <w:rPr>
          <w:rFonts w:ascii="宋体" w:eastAsia="宋体" w:hAnsi="宋体" w:cs="宋体"/>
          <w:spacing w:val="-46"/>
          <w:sz w:val="22"/>
          <w:szCs w:val="22"/>
        </w:rPr>
        <w:t xml:space="preserve"> </w:t>
      </w:r>
      <w:r>
        <w:rPr>
          <w:rFonts w:ascii="宋体" w:eastAsia="宋体" w:hAnsi="宋体" w:cs="宋体"/>
          <w:spacing w:val="-6"/>
          <w:sz w:val="22"/>
          <w:szCs w:val="22"/>
        </w:rPr>
        <w:t>D</w:t>
      </w:r>
      <w:r>
        <w:rPr>
          <w:rFonts w:ascii="宋体" w:eastAsia="宋体" w:hAnsi="宋体" w:cs="宋体"/>
          <w:spacing w:val="-16"/>
          <w:sz w:val="22"/>
          <w:szCs w:val="22"/>
        </w:rPr>
        <w:t xml:space="preserve"> </w:t>
      </w:r>
      <w:r>
        <w:rPr>
          <w:rFonts w:ascii="宋体" w:eastAsia="宋体" w:hAnsi="宋体" w:cs="宋体"/>
          <w:spacing w:val="-6"/>
          <w:sz w:val="22"/>
          <w:szCs w:val="22"/>
        </w:rPr>
        <w:t>稍低，所以应注意母乳喂养婴儿维生素D</w:t>
      </w:r>
      <w:r>
        <w:rPr>
          <w:rFonts w:ascii="宋体" w:eastAsia="宋体" w:hAnsi="宋体" w:cs="宋体"/>
          <w:sz w:val="22"/>
          <w:szCs w:val="22"/>
        </w:rPr>
        <w:t xml:space="preserve"> </w:t>
      </w:r>
      <w:r>
        <w:rPr>
          <w:rFonts w:ascii="宋体" w:eastAsia="宋体" w:hAnsi="宋体" w:cs="宋体"/>
          <w:spacing w:val="-9"/>
          <w:sz w:val="22"/>
          <w:szCs w:val="22"/>
        </w:rPr>
        <w:t>的营养状况。另外，如果为代母乳品喂养婴儿，婴儿的配方奶粉</w:t>
      </w:r>
      <w:r>
        <w:rPr>
          <w:rFonts w:ascii="宋体" w:eastAsia="宋体" w:hAnsi="宋体" w:cs="宋体"/>
          <w:spacing w:val="-7"/>
          <w:sz w:val="22"/>
          <w:szCs w:val="22"/>
        </w:rPr>
        <w:t xml:space="preserve"> </w:t>
      </w:r>
      <w:r>
        <w:rPr>
          <w:rFonts w:ascii="宋体" w:eastAsia="宋体" w:hAnsi="宋体" w:cs="宋体"/>
          <w:spacing w:val="-9"/>
          <w:sz w:val="22"/>
          <w:szCs w:val="22"/>
        </w:rPr>
        <w:t>(milk</w:t>
      </w:r>
      <w:r>
        <w:rPr>
          <w:rFonts w:ascii="宋体" w:eastAsia="宋体" w:hAnsi="宋体" w:cs="宋体"/>
          <w:spacing w:val="4"/>
          <w:sz w:val="22"/>
          <w:szCs w:val="22"/>
        </w:rPr>
        <w:t xml:space="preserve"> </w:t>
      </w:r>
      <w:r>
        <w:rPr>
          <w:rFonts w:ascii="宋体" w:eastAsia="宋体" w:hAnsi="宋体" w:cs="宋体"/>
          <w:spacing w:val="-9"/>
          <w:sz w:val="22"/>
          <w:szCs w:val="22"/>
        </w:rPr>
        <w:t>formu-</w:t>
      </w:r>
      <w:r>
        <w:rPr>
          <w:rFonts w:ascii="宋体" w:eastAsia="宋体" w:hAnsi="宋体" w:cs="宋体"/>
          <w:sz w:val="22"/>
          <w:szCs w:val="22"/>
        </w:rPr>
        <w:t xml:space="preserve"> </w:t>
      </w:r>
      <w:r>
        <w:rPr>
          <w:rFonts w:ascii="宋体" w:eastAsia="宋体" w:hAnsi="宋体" w:cs="宋体"/>
          <w:spacing w:val="-10"/>
          <w:sz w:val="22"/>
          <w:szCs w:val="22"/>
        </w:rPr>
        <w:t>la)原则上应满足各种维生素的需要。中国营养学会推荐的我国婴儿各种维生素</w:t>
      </w:r>
      <w:r>
        <w:rPr>
          <w:rFonts w:ascii="宋体" w:eastAsia="宋体" w:hAnsi="宋体" w:cs="宋体"/>
          <w:spacing w:val="8"/>
          <w:sz w:val="22"/>
          <w:szCs w:val="22"/>
        </w:rPr>
        <w:t xml:space="preserve"> </w:t>
      </w:r>
      <w:r>
        <w:rPr>
          <w:rFonts w:ascii="宋体" w:eastAsia="宋体" w:hAnsi="宋体" w:cs="宋体"/>
          <w:spacing w:val="-13"/>
          <w:sz w:val="22"/>
          <w:szCs w:val="22"/>
        </w:rPr>
        <w:t>的摄入量见表10-4。</w:t>
      </w:r>
    </w:p>
    <w:p w:rsidR="00EA40A3" w:rsidRDefault="00EA40A3">
      <w:pPr>
        <w:spacing w:line="338" w:lineRule="auto"/>
      </w:pPr>
    </w:p>
    <w:p w:rsidR="00EA40A3" w:rsidRDefault="00E86C16">
      <w:pPr>
        <w:spacing w:before="52" w:line="221" w:lineRule="auto"/>
        <w:ind w:left="1982"/>
        <w:rPr>
          <w:rFonts w:ascii="黑体" w:eastAsia="黑体" w:hAnsi="黑体" w:cs="黑体"/>
          <w:sz w:val="16"/>
          <w:szCs w:val="16"/>
        </w:rPr>
      </w:pPr>
      <w:r>
        <w:rPr>
          <w:rFonts w:ascii="黑体" w:eastAsia="黑体" w:hAnsi="黑体" w:cs="黑体"/>
          <w:b/>
          <w:bCs/>
          <w:spacing w:val="16"/>
          <w:sz w:val="16"/>
          <w:szCs w:val="16"/>
        </w:rPr>
        <w:t>表10-4</w:t>
      </w:r>
      <w:r>
        <w:rPr>
          <w:rFonts w:ascii="黑体" w:eastAsia="黑体" w:hAnsi="黑体" w:cs="黑体"/>
          <w:sz w:val="16"/>
          <w:szCs w:val="16"/>
        </w:rPr>
        <w:t xml:space="preserve">  </w:t>
      </w:r>
      <w:r>
        <w:rPr>
          <w:rFonts w:ascii="黑体" w:eastAsia="黑体" w:hAnsi="黑体" w:cs="黑体"/>
          <w:b/>
          <w:bCs/>
          <w:spacing w:val="16"/>
          <w:sz w:val="16"/>
          <w:szCs w:val="16"/>
        </w:rPr>
        <w:t>我国婴儿维生素推荐或适宜摄入量</w:t>
      </w:r>
    </w:p>
    <w:p w:rsidR="00EA40A3" w:rsidRDefault="00EA40A3">
      <w:pPr>
        <w:spacing w:line="117" w:lineRule="auto"/>
        <w:rPr>
          <w:sz w:val="2"/>
        </w:rPr>
      </w:pP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75"/>
        <w:gridCol w:w="985"/>
        <w:gridCol w:w="840"/>
        <w:gridCol w:w="1077"/>
        <w:gridCol w:w="837"/>
        <w:gridCol w:w="986"/>
        <w:gridCol w:w="994"/>
        <w:gridCol w:w="935"/>
      </w:tblGrid>
      <w:tr w:rsidR="00EA40A3">
        <w:trPr>
          <w:trHeight w:val="621"/>
        </w:trPr>
        <w:tc>
          <w:tcPr>
            <w:tcW w:w="675" w:type="dxa"/>
            <w:tcBorders>
              <w:top w:val="single" w:sz="4" w:space="0" w:color="000000"/>
              <w:bottom w:val="single" w:sz="4" w:space="0" w:color="000000"/>
            </w:tcBorders>
          </w:tcPr>
          <w:p w:rsidR="00EA40A3" w:rsidRDefault="00E86C16">
            <w:pPr>
              <w:spacing w:before="151" w:line="261" w:lineRule="auto"/>
              <w:ind w:left="219" w:right="99"/>
              <w:rPr>
                <w:rFonts w:ascii="宋体" w:eastAsia="宋体" w:hAnsi="宋体" w:cs="宋体"/>
                <w:sz w:val="16"/>
                <w:szCs w:val="16"/>
              </w:rPr>
            </w:pPr>
            <w:r>
              <w:rPr>
                <w:rFonts w:ascii="宋体" w:eastAsia="宋体" w:hAnsi="宋体" w:cs="宋体"/>
                <w:spacing w:val="-4"/>
                <w:sz w:val="16"/>
                <w:szCs w:val="16"/>
              </w:rPr>
              <w:t>年龄</w:t>
            </w:r>
            <w:r>
              <w:rPr>
                <w:rFonts w:ascii="宋体" w:eastAsia="宋体" w:hAnsi="宋体" w:cs="宋体"/>
                <w:sz w:val="16"/>
                <w:szCs w:val="16"/>
              </w:rPr>
              <w:t xml:space="preserve"> </w:t>
            </w:r>
            <w:r>
              <w:rPr>
                <w:rFonts w:ascii="宋体" w:eastAsia="宋体" w:hAnsi="宋体" w:cs="宋体"/>
                <w:spacing w:val="11"/>
                <w:sz w:val="16"/>
                <w:szCs w:val="16"/>
              </w:rPr>
              <w:t>(岁)</w:t>
            </w:r>
          </w:p>
        </w:tc>
        <w:tc>
          <w:tcPr>
            <w:tcW w:w="985" w:type="dxa"/>
            <w:tcBorders>
              <w:top w:val="single" w:sz="4" w:space="0" w:color="000000"/>
              <w:bottom w:val="single" w:sz="4" w:space="0" w:color="000000"/>
            </w:tcBorders>
          </w:tcPr>
          <w:p w:rsidR="00EA40A3" w:rsidRDefault="00E86C16">
            <w:pPr>
              <w:spacing w:before="150" w:line="260" w:lineRule="auto"/>
              <w:ind w:left="174" w:right="171" w:firstLine="40"/>
              <w:rPr>
                <w:rFonts w:ascii="宋体" w:eastAsia="宋体" w:hAnsi="宋体" w:cs="宋体"/>
                <w:sz w:val="16"/>
                <w:szCs w:val="16"/>
              </w:rPr>
            </w:pPr>
            <w:r>
              <w:rPr>
                <w:rFonts w:ascii="宋体" w:eastAsia="宋体" w:hAnsi="宋体" w:cs="宋体"/>
                <w:spacing w:val="-3"/>
                <w:sz w:val="16"/>
                <w:szCs w:val="16"/>
              </w:rPr>
              <w:t>维生素A</w:t>
            </w:r>
            <w:r>
              <w:rPr>
                <w:rFonts w:ascii="宋体" w:eastAsia="宋体" w:hAnsi="宋体" w:cs="宋体"/>
                <w:spacing w:val="2"/>
                <w:sz w:val="16"/>
                <w:szCs w:val="16"/>
              </w:rPr>
              <w:t xml:space="preserve"> </w:t>
            </w:r>
            <w:r>
              <w:rPr>
                <w:rFonts w:ascii="宋体" w:eastAsia="宋体" w:hAnsi="宋体" w:cs="宋体"/>
                <w:spacing w:val="-1"/>
                <w:sz w:val="16"/>
                <w:szCs w:val="16"/>
              </w:rPr>
              <w:t>Al/pg</w:t>
            </w:r>
            <w:r>
              <w:rPr>
                <w:rFonts w:ascii="宋体" w:eastAsia="宋体" w:hAnsi="宋体" w:cs="宋体"/>
                <w:spacing w:val="4"/>
                <w:sz w:val="16"/>
                <w:szCs w:val="16"/>
              </w:rPr>
              <w:t xml:space="preserve"> </w:t>
            </w:r>
            <w:r>
              <w:rPr>
                <w:rFonts w:ascii="宋体" w:eastAsia="宋体" w:hAnsi="宋体" w:cs="宋体"/>
                <w:spacing w:val="-1"/>
                <w:sz w:val="16"/>
                <w:szCs w:val="16"/>
              </w:rPr>
              <w:t>RE</w:t>
            </w:r>
          </w:p>
        </w:tc>
        <w:tc>
          <w:tcPr>
            <w:tcW w:w="840" w:type="dxa"/>
            <w:tcBorders>
              <w:top w:val="single" w:sz="4" w:space="0" w:color="000000"/>
              <w:bottom w:val="single" w:sz="4" w:space="0" w:color="000000"/>
            </w:tcBorders>
          </w:tcPr>
          <w:p w:rsidR="00EA40A3" w:rsidRDefault="00E86C16">
            <w:pPr>
              <w:spacing w:before="140" w:line="260" w:lineRule="auto"/>
              <w:ind w:left="149" w:right="134"/>
              <w:rPr>
                <w:rFonts w:ascii="宋体" w:eastAsia="宋体" w:hAnsi="宋体" w:cs="宋体"/>
                <w:sz w:val="16"/>
                <w:szCs w:val="16"/>
              </w:rPr>
            </w:pPr>
            <w:r>
              <w:rPr>
                <w:rFonts w:ascii="宋体" w:eastAsia="宋体" w:hAnsi="宋体" w:cs="宋体"/>
                <w:spacing w:val="-3"/>
                <w:sz w:val="16"/>
                <w:szCs w:val="16"/>
              </w:rPr>
              <w:t>维生素D</w:t>
            </w:r>
            <w:r>
              <w:rPr>
                <w:rFonts w:ascii="宋体" w:eastAsia="宋体" w:hAnsi="宋体" w:cs="宋体"/>
                <w:spacing w:val="2"/>
                <w:sz w:val="16"/>
                <w:szCs w:val="16"/>
              </w:rPr>
              <w:t xml:space="preserve"> </w:t>
            </w:r>
            <w:r>
              <w:rPr>
                <w:rFonts w:ascii="宋体" w:eastAsia="宋体" w:hAnsi="宋体" w:cs="宋体"/>
                <w:spacing w:val="-1"/>
                <w:sz w:val="16"/>
                <w:szCs w:val="16"/>
              </w:rPr>
              <w:t>RNI/μg</w:t>
            </w:r>
          </w:p>
        </w:tc>
        <w:tc>
          <w:tcPr>
            <w:tcW w:w="1077" w:type="dxa"/>
            <w:tcBorders>
              <w:top w:val="single" w:sz="4" w:space="0" w:color="000000"/>
              <w:bottom w:val="single" w:sz="4" w:space="0" w:color="000000"/>
            </w:tcBorders>
          </w:tcPr>
          <w:p w:rsidR="00EA40A3" w:rsidRDefault="00E86C16">
            <w:pPr>
              <w:spacing w:before="151" w:line="254" w:lineRule="auto"/>
              <w:ind w:left="139" w:right="138" w:firstLine="120"/>
              <w:rPr>
                <w:rFonts w:ascii="宋体" w:eastAsia="宋体" w:hAnsi="宋体" w:cs="宋体"/>
                <w:sz w:val="16"/>
                <w:szCs w:val="16"/>
              </w:rPr>
            </w:pPr>
            <w:r>
              <w:rPr>
                <w:rFonts w:ascii="宋体" w:eastAsia="宋体" w:hAnsi="宋体" w:cs="宋体"/>
                <w:spacing w:val="-3"/>
                <w:sz w:val="16"/>
                <w:szCs w:val="16"/>
              </w:rPr>
              <w:t>维生素E</w:t>
            </w:r>
            <w:r>
              <w:rPr>
                <w:rFonts w:ascii="宋体" w:eastAsia="宋体" w:hAnsi="宋体" w:cs="宋体"/>
                <w:spacing w:val="1"/>
                <w:sz w:val="16"/>
                <w:szCs w:val="16"/>
              </w:rPr>
              <w:t xml:space="preserve">  </w:t>
            </w:r>
            <w:r>
              <w:rPr>
                <w:rFonts w:ascii="宋体" w:eastAsia="宋体" w:hAnsi="宋体" w:cs="宋体"/>
                <w:spacing w:val="-1"/>
                <w:sz w:val="16"/>
                <w:szCs w:val="16"/>
              </w:rPr>
              <w:t>AI/mgα</w:t>
            </w:r>
            <w:r>
              <w:rPr>
                <w:rFonts w:ascii="宋体" w:eastAsia="宋体" w:hAnsi="宋体" w:cs="宋体"/>
                <w:spacing w:val="5"/>
                <w:sz w:val="16"/>
                <w:szCs w:val="16"/>
              </w:rPr>
              <w:t xml:space="preserve"> </w:t>
            </w:r>
            <w:r>
              <w:rPr>
                <w:rFonts w:ascii="宋体" w:eastAsia="宋体" w:hAnsi="宋体" w:cs="宋体"/>
                <w:spacing w:val="-1"/>
                <w:sz w:val="16"/>
                <w:szCs w:val="16"/>
              </w:rPr>
              <w:t>TE</w:t>
            </w:r>
          </w:p>
        </w:tc>
        <w:tc>
          <w:tcPr>
            <w:tcW w:w="837" w:type="dxa"/>
            <w:tcBorders>
              <w:top w:val="single" w:sz="4" w:space="0" w:color="000000"/>
              <w:bottom w:val="single" w:sz="4" w:space="0" w:color="000000"/>
            </w:tcBorders>
          </w:tcPr>
          <w:p w:rsidR="00EA40A3" w:rsidRDefault="00E86C16">
            <w:pPr>
              <w:spacing w:before="140" w:line="260" w:lineRule="auto"/>
              <w:ind w:left="222" w:right="142" w:hanging="80"/>
              <w:rPr>
                <w:rFonts w:ascii="宋体" w:eastAsia="宋体" w:hAnsi="宋体" w:cs="宋体"/>
                <w:sz w:val="16"/>
                <w:szCs w:val="16"/>
              </w:rPr>
            </w:pPr>
            <w:r>
              <w:rPr>
                <w:rFonts w:ascii="宋体" w:eastAsia="宋体" w:hAnsi="宋体" w:cs="宋体"/>
                <w:spacing w:val="-3"/>
                <w:sz w:val="16"/>
                <w:szCs w:val="16"/>
              </w:rPr>
              <w:t>维生素B</w:t>
            </w:r>
            <w:r>
              <w:rPr>
                <w:rFonts w:ascii="宋体" w:eastAsia="宋体" w:hAnsi="宋体" w:cs="宋体"/>
                <w:spacing w:val="2"/>
                <w:sz w:val="16"/>
                <w:szCs w:val="16"/>
              </w:rPr>
              <w:t xml:space="preserve"> </w:t>
            </w:r>
            <w:r>
              <w:rPr>
                <w:rFonts w:ascii="宋体" w:eastAsia="宋体" w:hAnsi="宋体" w:cs="宋体"/>
                <w:spacing w:val="-1"/>
                <w:sz w:val="16"/>
                <w:szCs w:val="16"/>
              </w:rPr>
              <w:t>AI/mg</w:t>
            </w:r>
          </w:p>
        </w:tc>
        <w:tc>
          <w:tcPr>
            <w:tcW w:w="986" w:type="dxa"/>
            <w:tcBorders>
              <w:top w:val="single" w:sz="4" w:space="0" w:color="000000"/>
              <w:bottom w:val="single" w:sz="4" w:space="0" w:color="000000"/>
            </w:tcBorders>
          </w:tcPr>
          <w:p w:rsidR="00EA40A3" w:rsidRDefault="00E86C16">
            <w:pPr>
              <w:spacing w:before="111" w:line="277" w:lineRule="auto"/>
              <w:ind w:left="305" w:right="144" w:hanging="159"/>
              <w:rPr>
                <w:rFonts w:ascii="宋体" w:eastAsia="宋体" w:hAnsi="宋体" w:cs="宋体"/>
                <w:sz w:val="16"/>
                <w:szCs w:val="16"/>
              </w:rPr>
            </w:pPr>
            <w:r>
              <w:rPr>
                <w:rFonts w:ascii="宋体" w:eastAsia="宋体" w:hAnsi="宋体" w:cs="宋体"/>
                <w:spacing w:val="16"/>
                <w:sz w:val="16"/>
                <w:szCs w:val="16"/>
              </w:rPr>
              <w:t>维生素B</w:t>
            </w:r>
            <w:r>
              <w:rPr>
                <w:rFonts w:ascii="Calibri" w:eastAsia="Calibri" w:hAnsi="Calibri" w:cs="Calibri"/>
                <w:spacing w:val="16"/>
                <w:sz w:val="16"/>
                <w:szCs w:val="16"/>
              </w:rPr>
              <w:t>₂</w:t>
            </w:r>
            <w:r>
              <w:rPr>
                <w:rFonts w:ascii="Calibri" w:eastAsia="Calibri" w:hAnsi="Calibri" w:cs="Calibri"/>
                <w:sz w:val="16"/>
                <w:szCs w:val="16"/>
              </w:rPr>
              <w:t xml:space="preserve"> </w:t>
            </w:r>
            <w:r>
              <w:rPr>
                <w:rFonts w:ascii="宋体" w:eastAsia="宋体" w:hAnsi="宋体" w:cs="宋体"/>
                <w:spacing w:val="-1"/>
                <w:sz w:val="16"/>
                <w:szCs w:val="16"/>
              </w:rPr>
              <w:t>AI/mg</w:t>
            </w:r>
          </w:p>
        </w:tc>
        <w:tc>
          <w:tcPr>
            <w:tcW w:w="994" w:type="dxa"/>
            <w:tcBorders>
              <w:top w:val="single" w:sz="4" w:space="0" w:color="000000"/>
              <w:bottom w:val="single" w:sz="4" w:space="0" w:color="000000"/>
            </w:tcBorders>
          </w:tcPr>
          <w:p w:rsidR="00EA40A3" w:rsidRDefault="00E86C16">
            <w:pPr>
              <w:spacing w:before="150" w:line="243" w:lineRule="auto"/>
              <w:ind w:left="249" w:right="148" w:hanging="100"/>
              <w:rPr>
                <w:rFonts w:ascii="宋体" w:eastAsia="宋体" w:hAnsi="宋体" w:cs="宋体"/>
                <w:sz w:val="16"/>
                <w:szCs w:val="16"/>
              </w:rPr>
            </w:pPr>
            <w:r>
              <w:rPr>
                <w:rFonts w:ascii="宋体" w:eastAsia="宋体" w:hAnsi="宋体" w:cs="宋体"/>
                <w:spacing w:val="16"/>
                <w:sz w:val="16"/>
                <w:szCs w:val="16"/>
              </w:rPr>
              <w:t>维生素B</w:t>
            </w:r>
            <w:r>
              <w:rPr>
                <w:rFonts w:ascii="Calibri" w:eastAsia="Calibri" w:hAnsi="Calibri" w:cs="Calibri"/>
                <w:spacing w:val="16"/>
                <w:sz w:val="16"/>
                <w:szCs w:val="16"/>
              </w:rPr>
              <w:t>₅</w:t>
            </w:r>
            <w:r>
              <w:rPr>
                <w:rFonts w:ascii="Calibri" w:eastAsia="Calibri" w:hAnsi="Calibri" w:cs="Calibri"/>
                <w:spacing w:val="1"/>
                <w:sz w:val="16"/>
                <w:szCs w:val="16"/>
              </w:rPr>
              <w:t xml:space="preserve"> </w:t>
            </w:r>
            <w:r>
              <w:rPr>
                <w:rFonts w:ascii="宋体" w:eastAsia="宋体" w:hAnsi="宋体" w:cs="宋体"/>
                <w:spacing w:val="-1"/>
                <w:sz w:val="16"/>
                <w:szCs w:val="16"/>
              </w:rPr>
              <w:t>AI/mg</w:t>
            </w:r>
          </w:p>
        </w:tc>
        <w:tc>
          <w:tcPr>
            <w:tcW w:w="935" w:type="dxa"/>
            <w:tcBorders>
              <w:top w:val="single" w:sz="4" w:space="0" w:color="000000"/>
              <w:bottom w:val="single" w:sz="4" w:space="0" w:color="000000"/>
            </w:tcBorders>
          </w:tcPr>
          <w:p w:rsidR="00EA40A3" w:rsidRDefault="00EA40A3"/>
        </w:tc>
      </w:tr>
      <w:tr w:rsidR="00EA40A3">
        <w:trPr>
          <w:trHeight w:val="331"/>
        </w:trPr>
        <w:tc>
          <w:tcPr>
            <w:tcW w:w="675" w:type="dxa"/>
            <w:tcBorders>
              <w:top w:val="single" w:sz="4" w:space="0" w:color="000000"/>
            </w:tcBorders>
          </w:tcPr>
          <w:p w:rsidR="00EA40A3" w:rsidRDefault="00E86C16">
            <w:pPr>
              <w:spacing w:before="161" w:line="183" w:lineRule="auto"/>
              <w:ind w:left="300"/>
              <w:rPr>
                <w:rFonts w:ascii="宋体" w:eastAsia="宋体" w:hAnsi="宋体" w:cs="宋体"/>
                <w:sz w:val="16"/>
                <w:szCs w:val="16"/>
              </w:rPr>
            </w:pPr>
            <w:r>
              <w:rPr>
                <w:rFonts w:ascii="宋体" w:eastAsia="宋体" w:hAnsi="宋体" w:cs="宋体"/>
                <w:spacing w:val="12"/>
                <w:w w:val="122"/>
                <w:sz w:val="16"/>
                <w:szCs w:val="16"/>
              </w:rPr>
              <w:t>0~</w:t>
            </w:r>
          </w:p>
        </w:tc>
        <w:tc>
          <w:tcPr>
            <w:tcW w:w="985" w:type="dxa"/>
            <w:tcBorders>
              <w:top w:val="single" w:sz="4" w:space="0" w:color="000000"/>
            </w:tcBorders>
          </w:tcPr>
          <w:p w:rsidR="00EA40A3" w:rsidRDefault="00EA40A3"/>
        </w:tc>
        <w:tc>
          <w:tcPr>
            <w:tcW w:w="840" w:type="dxa"/>
            <w:tcBorders>
              <w:top w:val="single" w:sz="4" w:space="0" w:color="000000"/>
            </w:tcBorders>
          </w:tcPr>
          <w:p w:rsidR="00EA40A3" w:rsidRDefault="00E86C16">
            <w:pPr>
              <w:spacing w:before="131" w:line="184" w:lineRule="auto"/>
              <w:ind w:left="349"/>
              <w:rPr>
                <w:rFonts w:ascii="宋体" w:eastAsia="宋体" w:hAnsi="宋体" w:cs="宋体"/>
                <w:sz w:val="16"/>
                <w:szCs w:val="16"/>
              </w:rPr>
            </w:pPr>
            <w:r>
              <w:rPr>
                <w:rFonts w:ascii="宋体" w:eastAsia="宋体" w:hAnsi="宋体" w:cs="宋体"/>
                <w:spacing w:val="-5"/>
                <w:sz w:val="16"/>
                <w:szCs w:val="16"/>
              </w:rPr>
              <w:t>10</w:t>
            </w:r>
          </w:p>
        </w:tc>
        <w:tc>
          <w:tcPr>
            <w:tcW w:w="1077" w:type="dxa"/>
            <w:tcBorders>
              <w:top w:val="single" w:sz="4" w:space="0" w:color="000000"/>
            </w:tcBorders>
          </w:tcPr>
          <w:p w:rsidR="00EA40A3" w:rsidRDefault="00E86C16">
            <w:pPr>
              <w:spacing w:before="121" w:line="183" w:lineRule="auto"/>
              <w:ind w:left="500"/>
              <w:rPr>
                <w:rFonts w:ascii="宋体" w:eastAsia="宋体" w:hAnsi="宋体" w:cs="宋体"/>
                <w:sz w:val="16"/>
                <w:szCs w:val="16"/>
              </w:rPr>
            </w:pPr>
            <w:r>
              <w:rPr>
                <w:rFonts w:ascii="宋体" w:eastAsia="宋体" w:hAnsi="宋体" w:cs="宋体"/>
                <w:sz w:val="16"/>
                <w:szCs w:val="16"/>
              </w:rPr>
              <w:t>3</w:t>
            </w:r>
          </w:p>
        </w:tc>
        <w:tc>
          <w:tcPr>
            <w:tcW w:w="837" w:type="dxa"/>
            <w:tcBorders>
              <w:top w:val="single" w:sz="4" w:space="0" w:color="000000"/>
            </w:tcBorders>
          </w:tcPr>
          <w:p w:rsidR="00EA40A3" w:rsidRDefault="00E86C16">
            <w:pPr>
              <w:spacing w:before="141" w:line="183" w:lineRule="auto"/>
              <w:ind w:left="302"/>
              <w:rPr>
                <w:rFonts w:ascii="宋体" w:eastAsia="宋体" w:hAnsi="宋体" w:cs="宋体"/>
                <w:sz w:val="16"/>
                <w:szCs w:val="16"/>
              </w:rPr>
            </w:pPr>
            <w:r>
              <w:rPr>
                <w:rFonts w:ascii="宋体" w:eastAsia="宋体" w:hAnsi="宋体" w:cs="宋体"/>
                <w:spacing w:val="-2"/>
                <w:sz w:val="16"/>
                <w:szCs w:val="16"/>
              </w:rPr>
              <w:t>0.2</w:t>
            </w:r>
          </w:p>
        </w:tc>
        <w:tc>
          <w:tcPr>
            <w:tcW w:w="986" w:type="dxa"/>
            <w:tcBorders>
              <w:top w:val="single" w:sz="4" w:space="0" w:color="000000"/>
            </w:tcBorders>
          </w:tcPr>
          <w:p w:rsidR="00EA40A3" w:rsidRDefault="00E86C16">
            <w:pPr>
              <w:spacing w:before="141" w:line="183" w:lineRule="auto"/>
              <w:ind w:left="386"/>
              <w:rPr>
                <w:rFonts w:ascii="宋体" w:eastAsia="宋体" w:hAnsi="宋体" w:cs="宋体"/>
                <w:sz w:val="16"/>
                <w:szCs w:val="16"/>
              </w:rPr>
            </w:pPr>
            <w:r>
              <w:rPr>
                <w:rFonts w:ascii="宋体" w:eastAsia="宋体" w:hAnsi="宋体" w:cs="宋体"/>
                <w:spacing w:val="-2"/>
                <w:sz w:val="16"/>
                <w:szCs w:val="16"/>
              </w:rPr>
              <w:t>0.4</w:t>
            </w:r>
          </w:p>
        </w:tc>
        <w:tc>
          <w:tcPr>
            <w:tcW w:w="994" w:type="dxa"/>
            <w:tcBorders>
              <w:top w:val="single" w:sz="4" w:space="0" w:color="000000"/>
            </w:tcBorders>
          </w:tcPr>
          <w:p w:rsidR="00EA40A3" w:rsidRDefault="00E86C16">
            <w:pPr>
              <w:spacing w:before="131" w:line="184" w:lineRule="auto"/>
              <w:ind w:left="340"/>
              <w:rPr>
                <w:rFonts w:ascii="宋体" w:eastAsia="宋体" w:hAnsi="宋体" w:cs="宋体"/>
                <w:sz w:val="16"/>
                <w:szCs w:val="16"/>
              </w:rPr>
            </w:pPr>
            <w:r>
              <w:rPr>
                <w:rFonts w:ascii="宋体" w:eastAsia="宋体" w:hAnsi="宋体" w:cs="宋体"/>
                <w:spacing w:val="-2"/>
                <w:sz w:val="16"/>
                <w:szCs w:val="16"/>
              </w:rPr>
              <w:t>0.1</w:t>
            </w:r>
          </w:p>
        </w:tc>
        <w:tc>
          <w:tcPr>
            <w:tcW w:w="935" w:type="dxa"/>
            <w:tcBorders>
              <w:top w:val="single" w:sz="4" w:space="0" w:color="000000"/>
            </w:tcBorders>
          </w:tcPr>
          <w:p w:rsidR="00EA40A3" w:rsidRDefault="00EA40A3"/>
        </w:tc>
      </w:tr>
      <w:tr w:rsidR="00EA40A3">
        <w:trPr>
          <w:trHeight w:val="206"/>
        </w:trPr>
        <w:tc>
          <w:tcPr>
            <w:tcW w:w="675" w:type="dxa"/>
            <w:tcBorders>
              <w:bottom w:val="single" w:sz="4" w:space="0" w:color="000000"/>
            </w:tcBorders>
          </w:tcPr>
          <w:p w:rsidR="00EA40A3" w:rsidRDefault="00E86C16">
            <w:pPr>
              <w:spacing w:before="80" w:line="126" w:lineRule="exact"/>
              <w:ind w:left="60"/>
              <w:rPr>
                <w:rFonts w:ascii="宋体" w:eastAsia="宋体" w:hAnsi="宋体" w:cs="宋体"/>
                <w:sz w:val="16"/>
                <w:szCs w:val="16"/>
              </w:rPr>
            </w:pPr>
            <w:r>
              <w:rPr>
                <w:rFonts w:ascii="宋体" w:eastAsia="宋体" w:hAnsi="宋体" w:cs="宋体"/>
                <w:spacing w:val="-2"/>
                <w:position w:val="-2"/>
                <w:sz w:val="16"/>
                <w:szCs w:val="16"/>
              </w:rPr>
              <w:t>0.5～1</w:t>
            </w:r>
          </w:p>
        </w:tc>
        <w:tc>
          <w:tcPr>
            <w:tcW w:w="985" w:type="dxa"/>
            <w:tcBorders>
              <w:bottom w:val="single" w:sz="4" w:space="0" w:color="000000"/>
            </w:tcBorders>
          </w:tcPr>
          <w:p w:rsidR="00EA40A3" w:rsidRDefault="00E86C16">
            <w:pPr>
              <w:spacing w:before="80" w:line="126" w:lineRule="exact"/>
              <w:ind w:left="374"/>
              <w:rPr>
                <w:rFonts w:ascii="宋体" w:eastAsia="宋体" w:hAnsi="宋体" w:cs="宋体"/>
                <w:sz w:val="16"/>
                <w:szCs w:val="16"/>
              </w:rPr>
            </w:pPr>
            <w:r>
              <w:rPr>
                <w:rFonts w:ascii="宋体" w:eastAsia="宋体" w:hAnsi="宋体" w:cs="宋体"/>
                <w:spacing w:val="-2"/>
                <w:position w:val="-2"/>
                <w:sz w:val="16"/>
                <w:szCs w:val="16"/>
              </w:rPr>
              <w:t>400</w:t>
            </w:r>
          </w:p>
        </w:tc>
        <w:tc>
          <w:tcPr>
            <w:tcW w:w="840" w:type="dxa"/>
            <w:tcBorders>
              <w:bottom w:val="single" w:sz="4" w:space="0" w:color="000000"/>
            </w:tcBorders>
          </w:tcPr>
          <w:p w:rsidR="00EA40A3" w:rsidRDefault="00E86C16">
            <w:pPr>
              <w:spacing w:before="69" w:line="157" w:lineRule="auto"/>
              <w:ind w:left="349"/>
              <w:rPr>
                <w:rFonts w:ascii="宋体" w:eastAsia="宋体" w:hAnsi="宋体" w:cs="宋体"/>
                <w:sz w:val="16"/>
                <w:szCs w:val="16"/>
              </w:rPr>
            </w:pPr>
            <w:r>
              <w:rPr>
                <w:rFonts w:ascii="宋体" w:eastAsia="宋体" w:hAnsi="宋体" w:cs="宋体"/>
                <w:spacing w:val="-5"/>
                <w:sz w:val="16"/>
                <w:szCs w:val="16"/>
              </w:rPr>
              <w:t>10</w:t>
            </w:r>
          </w:p>
        </w:tc>
        <w:tc>
          <w:tcPr>
            <w:tcW w:w="1077" w:type="dxa"/>
            <w:tcBorders>
              <w:bottom w:val="single" w:sz="4" w:space="0" w:color="000000"/>
            </w:tcBorders>
          </w:tcPr>
          <w:p w:rsidR="00EA40A3" w:rsidRDefault="00E86C16">
            <w:pPr>
              <w:spacing w:before="80" w:line="126" w:lineRule="exact"/>
              <w:ind w:left="500"/>
              <w:rPr>
                <w:rFonts w:ascii="宋体" w:eastAsia="宋体" w:hAnsi="宋体" w:cs="宋体"/>
                <w:sz w:val="16"/>
                <w:szCs w:val="16"/>
              </w:rPr>
            </w:pPr>
            <w:r>
              <w:rPr>
                <w:rFonts w:ascii="宋体" w:eastAsia="宋体" w:hAnsi="宋体" w:cs="宋体"/>
                <w:position w:val="-2"/>
                <w:sz w:val="16"/>
                <w:szCs w:val="16"/>
              </w:rPr>
              <w:t>3</w:t>
            </w:r>
          </w:p>
        </w:tc>
        <w:tc>
          <w:tcPr>
            <w:tcW w:w="837" w:type="dxa"/>
            <w:tcBorders>
              <w:bottom w:val="single" w:sz="4" w:space="0" w:color="000000"/>
            </w:tcBorders>
          </w:tcPr>
          <w:p w:rsidR="00EA40A3" w:rsidRDefault="00E86C16">
            <w:pPr>
              <w:spacing w:before="90" w:line="116" w:lineRule="exact"/>
              <w:ind w:left="302"/>
              <w:rPr>
                <w:rFonts w:ascii="宋体" w:eastAsia="宋体" w:hAnsi="宋体" w:cs="宋体"/>
                <w:sz w:val="16"/>
                <w:szCs w:val="16"/>
              </w:rPr>
            </w:pPr>
            <w:r>
              <w:rPr>
                <w:rFonts w:ascii="宋体" w:eastAsia="宋体" w:hAnsi="宋体" w:cs="宋体"/>
                <w:spacing w:val="-2"/>
                <w:position w:val="-2"/>
                <w:sz w:val="16"/>
                <w:szCs w:val="16"/>
              </w:rPr>
              <w:t>0.3</w:t>
            </w:r>
          </w:p>
        </w:tc>
        <w:tc>
          <w:tcPr>
            <w:tcW w:w="986" w:type="dxa"/>
            <w:tcBorders>
              <w:bottom w:val="single" w:sz="4" w:space="0" w:color="000000"/>
            </w:tcBorders>
          </w:tcPr>
          <w:p w:rsidR="00EA40A3" w:rsidRDefault="00E86C16">
            <w:pPr>
              <w:spacing w:before="80" w:line="126" w:lineRule="exact"/>
              <w:ind w:left="386"/>
              <w:rPr>
                <w:rFonts w:ascii="宋体" w:eastAsia="宋体" w:hAnsi="宋体" w:cs="宋体"/>
                <w:sz w:val="16"/>
                <w:szCs w:val="16"/>
              </w:rPr>
            </w:pPr>
            <w:r>
              <w:rPr>
                <w:rFonts w:ascii="宋体" w:eastAsia="宋体" w:hAnsi="宋体" w:cs="宋体"/>
                <w:spacing w:val="-2"/>
                <w:position w:val="-2"/>
                <w:sz w:val="16"/>
                <w:szCs w:val="16"/>
              </w:rPr>
              <w:t>0.5</w:t>
            </w:r>
          </w:p>
        </w:tc>
        <w:tc>
          <w:tcPr>
            <w:tcW w:w="994" w:type="dxa"/>
            <w:tcBorders>
              <w:bottom w:val="single" w:sz="4" w:space="0" w:color="000000"/>
            </w:tcBorders>
          </w:tcPr>
          <w:p w:rsidR="00EA40A3" w:rsidRDefault="00E86C16">
            <w:pPr>
              <w:spacing w:before="90" w:line="116" w:lineRule="exact"/>
              <w:ind w:left="340"/>
              <w:rPr>
                <w:rFonts w:ascii="宋体" w:eastAsia="宋体" w:hAnsi="宋体" w:cs="宋体"/>
                <w:sz w:val="16"/>
                <w:szCs w:val="16"/>
              </w:rPr>
            </w:pPr>
            <w:r>
              <w:rPr>
                <w:rFonts w:ascii="宋体" w:eastAsia="宋体" w:hAnsi="宋体" w:cs="宋体"/>
                <w:spacing w:val="-2"/>
                <w:position w:val="-2"/>
                <w:sz w:val="16"/>
                <w:szCs w:val="16"/>
              </w:rPr>
              <w:t>0.3</w:t>
            </w:r>
          </w:p>
        </w:tc>
        <w:tc>
          <w:tcPr>
            <w:tcW w:w="935" w:type="dxa"/>
            <w:tcBorders>
              <w:bottom w:val="single" w:sz="4" w:space="0" w:color="000000"/>
            </w:tcBorders>
          </w:tcPr>
          <w:p w:rsidR="00EA40A3" w:rsidRDefault="00EA40A3">
            <w:pPr>
              <w:spacing w:line="206" w:lineRule="exact"/>
              <w:rPr>
                <w:sz w:val="17"/>
              </w:rPr>
            </w:pPr>
          </w:p>
        </w:tc>
      </w:tr>
      <w:tr w:rsidR="00EA40A3">
        <w:trPr>
          <w:trHeight w:val="334"/>
        </w:trPr>
        <w:tc>
          <w:tcPr>
            <w:tcW w:w="675" w:type="dxa"/>
            <w:tcBorders>
              <w:top w:val="single" w:sz="4" w:space="0" w:color="000000"/>
            </w:tcBorders>
          </w:tcPr>
          <w:p w:rsidR="00EA40A3" w:rsidRDefault="00E86C16">
            <w:pPr>
              <w:spacing w:before="133" w:line="219" w:lineRule="auto"/>
              <w:ind w:left="219"/>
              <w:rPr>
                <w:rFonts w:ascii="宋体" w:eastAsia="宋体" w:hAnsi="宋体" w:cs="宋体"/>
                <w:sz w:val="16"/>
                <w:szCs w:val="16"/>
              </w:rPr>
            </w:pPr>
            <w:r>
              <w:rPr>
                <w:rFonts w:ascii="宋体" w:eastAsia="宋体" w:hAnsi="宋体" w:cs="宋体"/>
                <w:spacing w:val="-2"/>
                <w:sz w:val="16"/>
                <w:szCs w:val="16"/>
              </w:rPr>
              <w:t>年龄</w:t>
            </w:r>
          </w:p>
        </w:tc>
        <w:tc>
          <w:tcPr>
            <w:tcW w:w="985" w:type="dxa"/>
            <w:tcBorders>
              <w:top w:val="single" w:sz="4" w:space="0" w:color="000000"/>
            </w:tcBorders>
          </w:tcPr>
          <w:p w:rsidR="00EA40A3" w:rsidRDefault="00E86C16">
            <w:pPr>
              <w:spacing w:before="143" w:line="219" w:lineRule="auto"/>
              <w:ind w:left="134"/>
              <w:rPr>
                <w:rFonts w:ascii="宋体" w:eastAsia="宋体" w:hAnsi="宋体" w:cs="宋体"/>
                <w:sz w:val="16"/>
                <w:szCs w:val="16"/>
              </w:rPr>
            </w:pPr>
            <w:r>
              <w:rPr>
                <w:rFonts w:ascii="宋体" w:eastAsia="宋体" w:hAnsi="宋体" w:cs="宋体"/>
                <w:spacing w:val="-2"/>
                <w:sz w:val="16"/>
                <w:szCs w:val="16"/>
              </w:rPr>
              <w:t>维生素Brz</w:t>
            </w:r>
          </w:p>
        </w:tc>
        <w:tc>
          <w:tcPr>
            <w:tcW w:w="840" w:type="dxa"/>
            <w:tcBorders>
              <w:top w:val="single" w:sz="4" w:space="0" w:color="000000"/>
            </w:tcBorders>
          </w:tcPr>
          <w:p w:rsidR="00EA40A3" w:rsidRDefault="00E86C16">
            <w:pPr>
              <w:spacing w:before="133" w:line="219" w:lineRule="auto"/>
              <w:ind w:left="149"/>
              <w:rPr>
                <w:rFonts w:ascii="宋体" w:eastAsia="宋体" w:hAnsi="宋体" w:cs="宋体"/>
                <w:sz w:val="16"/>
                <w:szCs w:val="16"/>
              </w:rPr>
            </w:pPr>
            <w:r>
              <w:rPr>
                <w:rFonts w:ascii="宋体" w:eastAsia="宋体" w:hAnsi="宋体" w:cs="宋体"/>
                <w:spacing w:val="-2"/>
                <w:sz w:val="16"/>
                <w:szCs w:val="16"/>
              </w:rPr>
              <w:t>维生素C</w:t>
            </w:r>
          </w:p>
        </w:tc>
        <w:tc>
          <w:tcPr>
            <w:tcW w:w="1077" w:type="dxa"/>
            <w:tcBorders>
              <w:top w:val="single" w:sz="4" w:space="0" w:color="000000"/>
            </w:tcBorders>
          </w:tcPr>
          <w:p w:rsidR="00EA40A3" w:rsidRDefault="00E86C16">
            <w:pPr>
              <w:spacing w:before="151" w:line="210" w:lineRule="auto"/>
              <w:ind w:left="260"/>
              <w:rPr>
                <w:rFonts w:ascii="宋体" w:eastAsia="宋体" w:hAnsi="宋体" w:cs="宋体"/>
                <w:sz w:val="16"/>
                <w:szCs w:val="16"/>
              </w:rPr>
            </w:pPr>
            <w:r>
              <w:rPr>
                <w:rFonts w:ascii="宋体" w:eastAsia="宋体" w:hAnsi="宋体" w:cs="宋体"/>
                <w:spacing w:val="2"/>
                <w:sz w:val="16"/>
                <w:szCs w:val="16"/>
              </w:rPr>
              <w:t>叶酸</w:t>
            </w:r>
            <w:r>
              <w:rPr>
                <w:rFonts w:ascii="宋体" w:eastAsia="宋体" w:hAnsi="宋体" w:cs="宋体"/>
                <w:sz w:val="16"/>
                <w:szCs w:val="16"/>
              </w:rPr>
              <w:t>AJ</w:t>
            </w:r>
            <w:r>
              <w:rPr>
                <w:rFonts w:ascii="宋体" w:eastAsia="宋体" w:hAnsi="宋体" w:cs="宋体"/>
                <w:spacing w:val="2"/>
                <w:sz w:val="16"/>
                <w:szCs w:val="16"/>
              </w:rPr>
              <w:t>/</w:t>
            </w:r>
          </w:p>
        </w:tc>
        <w:tc>
          <w:tcPr>
            <w:tcW w:w="837" w:type="dxa"/>
            <w:tcBorders>
              <w:top w:val="single" w:sz="4" w:space="0" w:color="000000"/>
            </w:tcBorders>
          </w:tcPr>
          <w:p w:rsidR="00EA40A3" w:rsidRDefault="00E86C16">
            <w:pPr>
              <w:spacing w:before="145" w:line="218" w:lineRule="auto"/>
              <w:ind w:left="142"/>
              <w:rPr>
                <w:rFonts w:ascii="宋体" w:eastAsia="宋体" w:hAnsi="宋体" w:cs="宋体"/>
                <w:sz w:val="16"/>
                <w:szCs w:val="16"/>
              </w:rPr>
            </w:pPr>
            <w:r>
              <w:rPr>
                <w:rFonts w:ascii="宋体" w:eastAsia="宋体" w:hAnsi="宋体" w:cs="宋体"/>
                <w:spacing w:val="-2"/>
                <w:sz w:val="16"/>
                <w:szCs w:val="16"/>
              </w:rPr>
              <w:t>泛酸AI/</w:t>
            </w:r>
          </w:p>
        </w:tc>
        <w:tc>
          <w:tcPr>
            <w:tcW w:w="986" w:type="dxa"/>
            <w:tcBorders>
              <w:top w:val="single" w:sz="4" w:space="0" w:color="000000"/>
            </w:tcBorders>
          </w:tcPr>
          <w:p w:rsidR="00EA40A3" w:rsidRDefault="00E86C16">
            <w:pPr>
              <w:spacing w:before="134" w:line="221" w:lineRule="auto"/>
              <w:ind w:left="225"/>
              <w:rPr>
                <w:rFonts w:ascii="宋体" w:eastAsia="宋体" w:hAnsi="宋体" w:cs="宋体"/>
                <w:sz w:val="16"/>
                <w:szCs w:val="16"/>
              </w:rPr>
            </w:pPr>
            <w:r>
              <w:rPr>
                <w:rFonts w:ascii="宋体" w:eastAsia="宋体" w:hAnsi="宋体" w:cs="宋体"/>
                <w:spacing w:val="-2"/>
                <w:sz w:val="16"/>
                <w:szCs w:val="16"/>
              </w:rPr>
              <w:t>烟酸Al/</w:t>
            </w:r>
          </w:p>
        </w:tc>
        <w:tc>
          <w:tcPr>
            <w:tcW w:w="994" w:type="dxa"/>
            <w:tcBorders>
              <w:top w:val="single" w:sz="4" w:space="0" w:color="000000"/>
            </w:tcBorders>
          </w:tcPr>
          <w:p w:rsidR="00EA40A3" w:rsidRDefault="00E86C16">
            <w:pPr>
              <w:spacing w:before="134" w:line="221" w:lineRule="auto"/>
              <w:ind w:left="189"/>
              <w:rPr>
                <w:rFonts w:ascii="宋体" w:eastAsia="宋体" w:hAnsi="宋体" w:cs="宋体"/>
                <w:sz w:val="16"/>
                <w:szCs w:val="16"/>
              </w:rPr>
            </w:pPr>
            <w:r>
              <w:rPr>
                <w:rFonts w:ascii="宋体" w:eastAsia="宋体" w:hAnsi="宋体" w:cs="宋体"/>
                <w:spacing w:val="-2"/>
                <w:sz w:val="16"/>
                <w:szCs w:val="16"/>
              </w:rPr>
              <w:t>胆碱Al/</w:t>
            </w:r>
          </w:p>
        </w:tc>
        <w:tc>
          <w:tcPr>
            <w:tcW w:w="935" w:type="dxa"/>
            <w:tcBorders>
              <w:top w:val="single" w:sz="4" w:space="0" w:color="000000"/>
            </w:tcBorders>
          </w:tcPr>
          <w:p w:rsidR="00EA40A3" w:rsidRDefault="00E86C16">
            <w:pPr>
              <w:spacing w:before="133" w:line="219" w:lineRule="auto"/>
              <w:ind w:left="155"/>
              <w:rPr>
                <w:rFonts w:ascii="宋体" w:eastAsia="宋体" w:hAnsi="宋体" w:cs="宋体"/>
                <w:sz w:val="16"/>
                <w:szCs w:val="16"/>
              </w:rPr>
            </w:pPr>
            <w:r>
              <w:rPr>
                <w:rFonts w:ascii="宋体" w:eastAsia="宋体" w:hAnsi="宋体" w:cs="宋体"/>
                <w:spacing w:val="-2"/>
                <w:sz w:val="16"/>
                <w:szCs w:val="16"/>
              </w:rPr>
              <w:t>生物素</w:t>
            </w:r>
          </w:p>
        </w:tc>
      </w:tr>
      <w:tr w:rsidR="00EA40A3">
        <w:trPr>
          <w:trHeight w:val="277"/>
        </w:trPr>
        <w:tc>
          <w:tcPr>
            <w:tcW w:w="675" w:type="dxa"/>
            <w:tcBorders>
              <w:bottom w:val="single" w:sz="4" w:space="0" w:color="000000"/>
            </w:tcBorders>
          </w:tcPr>
          <w:p w:rsidR="00EA40A3" w:rsidRDefault="00E86C16">
            <w:pPr>
              <w:spacing w:before="60" w:line="221" w:lineRule="auto"/>
              <w:ind w:left="219"/>
              <w:rPr>
                <w:rFonts w:ascii="宋体" w:eastAsia="宋体" w:hAnsi="宋体" w:cs="宋体"/>
                <w:sz w:val="16"/>
                <w:szCs w:val="16"/>
              </w:rPr>
            </w:pPr>
            <w:r>
              <w:rPr>
                <w:rFonts w:ascii="宋体" w:eastAsia="宋体" w:hAnsi="宋体" w:cs="宋体"/>
                <w:spacing w:val="11"/>
                <w:sz w:val="16"/>
                <w:szCs w:val="16"/>
              </w:rPr>
              <w:t>(岁)</w:t>
            </w:r>
          </w:p>
        </w:tc>
        <w:tc>
          <w:tcPr>
            <w:tcW w:w="985" w:type="dxa"/>
            <w:tcBorders>
              <w:bottom w:val="single" w:sz="4" w:space="0" w:color="000000"/>
            </w:tcBorders>
          </w:tcPr>
          <w:p w:rsidR="00EA40A3" w:rsidRDefault="00E86C16">
            <w:pPr>
              <w:spacing w:before="54" w:line="214" w:lineRule="auto"/>
              <w:ind w:left="255"/>
              <w:rPr>
                <w:rFonts w:ascii="宋体" w:eastAsia="宋体" w:hAnsi="宋体" w:cs="宋体"/>
                <w:sz w:val="16"/>
                <w:szCs w:val="16"/>
              </w:rPr>
            </w:pPr>
            <w:r>
              <w:rPr>
                <w:rFonts w:ascii="宋体" w:eastAsia="宋体" w:hAnsi="宋体" w:cs="宋体"/>
                <w:spacing w:val="-1"/>
                <w:sz w:val="16"/>
                <w:szCs w:val="16"/>
              </w:rPr>
              <w:t>Al/μg</w:t>
            </w:r>
          </w:p>
        </w:tc>
        <w:tc>
          <w:tcPr>
            <w:tcW w:w="840" w:type="dxa"/>
            <w:tcBorders>
              <w:bottom w:val="single" w:sz="4" w:space="0" w:color="000000"/>
            </w:tcBorders>
          </w:tcPr>
          <w:p w:rsidR="00EA40A3" w:rsidRDefault="00E86C16">
            <w:pPr>
              <w:spacing w:before="54" w:line="214" w:lineRule="auto"/>
              <w:ind w:left="189"/>
              <w:rPr>
                <w:rFonts w:ascii="宋体" w:eastAsia="宋体" w:hAnsi="宋体" w:cs="宋体"/>
                <w:sz w:val="16"/>
                <w:szCs w:val="16"/>
              </w:rPr>
            </w:pPr>
            <w:r>
              <w:rPr>
                <w:rFonts w:ascii="宋体" w:eastAsia="宋体" w:hAnsi="宋体" w:cs="宋体"/>
                <w:spacing w:val="-1"/>
                <w:sz w:val="16"/>
                <w:szCs w:val="16"/>
              </w:rPr>
              <w:t>RNI/mg</w:t>
            </w:r>
          </w:p>
        </w:tc>
        <w:tc>
          <w:tcPr>
            <w:tcW w:w="1077" w:type="dxa"/>
            <w:tcBorders>
              <w:bottom w:val="single" w:sz="4" w:space="0" w:color="000000"/>
            </w:tcBorders>
          </w:tcPr>
          <w:p w:rsidR="00EA40A3" w:rsidRDefault="00E86C16">
            <w:pPr>
              <w:spacing w:before="70" w:line="182" w:lineRule="auto"/>
              <w:ind w:left="300"/>
              <w:rPr>
                <w:rFonts w:ascii="宋体" w:eastAsia="宋体" w:hAnsi="宋体" w:cs="宋体"/>
                <w:sz w:val="16"/>
                <w:szCs w:val="16"/>
              </w:rPr>
            </w:pPr>
            <w:r>
              <w:rPr>
                <w:rFonts w:ascii="宋体" w:eastAsia="宋体" w:hAnsi="宋体" w:cs="宋体"/>
                <w:spacing w:val="-2"/>
                <w:sz w:val="16"/>
                <w:szCs w:val="16"/>
              </w:rPr>
              <w:t>pg</w:t>
            </w:r>
            <w:r>
              <w:rPr>
                <w:rFonts w:ascii="宋体" w:eastAsia="宋体" w:hAnsi="宋体" w:cs="宋体"/>
                <w:spacing w:val="5"/>
                <w:sz w:val="16"/>
                <w:szCs w:val="16"/>
              </w:rPr>
              <w:t xml:space="preserve"> </w:t>
            </w:r>
            <w:r>
              <w:rPr>
                <w:rFonts w:ascii="宋体" w:eastAsia="宋体" w:hAnsi="宋体" w:cs="宋体"/>
                <w:spacing w:val="-2"/>
                <w:sz w:val="16"/>
                <w:szCs w:val="16"/>
              </w:rPr>
              <w:t>DFE</w:t>
            </w:r>
          </w:p>
        </w:tc>
        <w:tc>
          <w:tcPr>
            <w:tcW w:w="837" w:type="dxa"/>
            <w:tcBorders>
              <w:bottom w:val="single" w:sz="4" w:space="0" w:color="000000"/>
            </w:tcBorders>
          </w:tcPr>
          <w:p w:rsidR="00EA40A3" w:rsidRDefault="00E86C16">
            <w:pPr>
              <w:spacing w:before="145" w:line="123" w:lineRule="exact"/>
              <w:ind w:left="342"/>
              <w:rPr>
                <w:rFonts w:ascii="宋体" w:eastAsia="宋体" w:hAnsi="宋体" w:cs="宋体"/>
                <w:sz w:val="16"/>
                <w:szCs w:val="16"/>
              </w:rPr>
            </w:pPr>
            <w:r>
              <w:rPr>
                <w:rFonts w:ascii="宋体" w:eastAsia="宋体" w:hAnsi="宋体" w:cs="宋体"/>
                <w:spacing w:val="-1"/>
                <w:position w:val="1"/>
                <w:sz w:val="16"/>
                <w:szCs w:val="16"/>
              </w:rPr>
              <w:t>mg</w:t>
            </w:r>
          </w:p>
        </w:tc>
        <w:tc>
          <w:tcPr>
            <w:tcW w:w="986" w:type="dxa"/>
            <w:tcBorders>
              <w:bottom w:val="single" w:sz="4" w:space="0" w:color="000000"/>
            </w:tcBorders>
          </w:tcPr>
          <w:p w:rsidR="00EA40A3" w:rsidRDefault="00E86C16">
            <w:pPr>
              <w:spacing w:before="102" w:line="157" w:lineRule="auto"/>
              <w:ind w:left="285"/>
              <w:rPr>
                <w:rFonts w:ascii="宋体" w:eastAsia="宋体" w:hAnsi="宋体" w:cs="宋体"/>
                <w:sz w:val="16"/>
                <w:szCs w:val="16"/>
              </w:rPr>
            </w:pPr>
            <w:r>
              <w:rPr>
                <w:rFonts w:ascii="宋体" w:eastAsia="宋体" w:hAnsi="宋体" w:cs="宋体"/>
                <w:spacing w:val="-1"/>
                <w:position w:val="1"/>
                <w:sz w:val="16"/>
                <w:szCs w:val="16"/>
              </w:rPr>
              <w:t>mg</w:t>
            </w:r>
            <w:r>
              <w:rPr>
                <w:rFonts w:ascii="宋体" w:eastAsia="宋体" w:hAnsi="宋体" w:cs="宋体"/>
                <w:spacing w:val="2"/>
                <w:position w:val="1"/>
                <w:sz w:val="16"/>
                <w:szCs w:val="16"/>
              </w:rPr>
              <w:t xml:space="preserve"> </w:t>
            </w:r>
            <w:r>
              <w:rPr>
                <w:rFonts w:ascii="宋体" w:eastAsia="宋体" w:hAnsi="宋体" w:cs="宋体"/>
                <w:spacing w:val="-1"/>
                <w:sz w:val="16"/>
                <w:szCs w:val="16"/>
              </w:rPr>
              <w:t>NE</w:t>
            </w:r>
          </w:p>
        </w:tc>
        <w:tc>
          <w:tcPr>
            <w:tcW w:w="994" w:type="dxa"/>
            <w:tcBorders>
              <w:bottom w:val="single" w:sz="4" w:space="0" w:color="000000"/>
            </w:tcBorders>
          </w:tcPr>
          <w:p w:rsidR="00EA40A3" w:rsidRDefault="00E86C16">
            <w:pPr>
              <w:spacing w:before="145" w:line="123" w:lineRule="exact"/>
              <w:ind w:left="389"/>
              <w:rPr>
                <w:rFonts w:ascii="宋体" w:eastAsia="宋体" w:hAnsi="宋体" w:cs="宋体"/>
                <w:sz w:val="16"/>
                <w:szCs w:val="16"/>
              </w:rPr>
            </w:pPr>
            <w:r>
              <w:rPr>
                <w:rFonts w:ascii="宋体" w:eastAsia="宋体" w:hAnsi="宋体" w:cs="宋体"/>
                <w:spacing w:val="-1"/>
                <w:position w:val="1"/>
                <w:sz w:val="16"/>
                <w:szCs w:val="16"/>
              </w:rPr>
              <w:t>mg</w:t>
            </w:r>
          </w:p>
        </w:tc>
        <w:tc>
          <w:tcPr>
            <w:tcW w:w="935" w:type="dxa"/>
            <w:tcBorders>
              <w:bottom w:val="single" w:sz="4" w:space="0" w:color="000000"/>
            </w:tcBorders>
          </w:tcPr>
          <w:p w:rsidR="00EA40A3" w:rsidRDefault="00E86C16">
            <w:pPr>
              <w:spacing w:before="34" w:line="214" w:lineRule="auto"/>
              <w:ind w:left="155"/>
              <w:rPr>
                <w:rFonts w:ascii="宋体" w:eastAsia="宋体" w:hAnsi="宋体" w:cs="宋体"/>
                <w:sz w:val="16"/>
                <w:szCs w:val="16"/>
              </w:rPr>
            </w:pPr>
            <w:r>
              <w:rPr>
                <w:rFonts w:ascii="宋体" w:eastAsia="宋体" w:hAnsi="宋体" w:cs="宋体"/>
                <w:spacing w:val="-1"/>
                <w:sz w:val="16"/>
                <w:szCs w:val="16"/>
              </w:rPr>
              <w:t>AI/</w:t>
            </w:r>
            <w:r>
              <w:rPr>
                <w:rFonts w:ascii="宋体" w:eastAsia="宋体" w:hAnsi="宋体" w:cs="宋体"/>
                <w:spacing w:val="3"/>
                <w:sz w:val="16"/>
                <w:szCs w:val="16"/>
              </w:rPr>
              <w:t xml:space="preserve"> </w:t>
            </w:r>
            <w:r>
              <w:rPr>
                <w:rFonts w:ascii="宋体" w:eastAsia="宋体" w:hAnsi="宋体" w:cs="宋体"/>
                <w:spacing w:val="-1"/>
                <w:sz w:val="16"/>
                <w:szCs w:val="16"/>
              </w:rPr>
              <w:t>mg</w:t>
            </w:r>
          </w:p>
        </w:tc>
      </w:tr>
    </w:tbl>
    <w:sdt>
      <w:sdtPr>
        <w:rPr>
          <w:rFonts w:ascii="宋体" w:eastAsia="宋体" w:hAnsi="宋体" w:cs="宋体"/>
          <w:sz w:val="16"/>
          <w:szCs w:val="16"/>
        </w:rPr>
        <w:id w:val="6"/>
        <w:docPartObj>
          <w:docPartGallery w:val="Table of Contents"/>
          <w:docPartUnique/>
        </w:docPartObj>
      </w:sdtPr>
      <w:sdtEndPr>
        <w:rPr>
          <w:sz w:val="15"/>
          <w:szCs w:val="15"/>
        </w:rPr>
      </w:sdtEndPr>
      <w:sdtContent>
        <w:p w:rsidR="00EA40A3" w:rsidRDefault="00E86C16">
          <w:pPr>
            <w:spacing w:before="120" w:line="197" w:lineRule="auto"/>
            <w:ind w:left="239"/>
            <w:rPr>
              <w:rFonts w:ascii="宋体" w:eastAsia="宋体" w:hAnsi="宋体" w:cs="宋体"/>
              <w:sz w:val="15"/>
              <w:szCs w:val="15"/>
            </w:rPr>
          </w:pPr>
          <w:r>
            <w:rPr>
              <w:rFonts w:ascii="宋体" w:eastAsia="宋体" w:hAnsi="宋体" w:cs="宋体"/>
              <w:spacing w:val="-6"/>
              <w:sz w:val="16"/>
              <w:szCs w:val="16"/>
            </w:rPr>
            <w:t>0～</w:t>
          </w:r>
          <w:r>
            <w:rPr>
              <w:rFonts w:ascii="宋体" w:eastAsia="宋体" w:hAnsi="宋体" w:cs="宋体"/>
              <w:spacing w:val="2"/>
              <w:sz w:val="16"/>
              <w:szCs w:val="16"/>
            </w:rPr>
            <w:t xml:space="preserve">       </w:t>
          </w:r>
          <w:r>
            <w:rPr>
              <w:rFonts w:ascii="宋体" w:eastAsia="宋体" w:hAnsi="宋体" w:cs="宋体"/>
              <w:spacing w:val="-6"/>
              <w:sz w:val="16"/>
              <w:szCs w:val="16"/>
            </w:rPr>
            <w:t>0.4</w:t>
          </w:r>
          <w:r>
            <w:rPr>
              <w:rFonts w:ascii="宋体" w:eastAsia="宋体" w:hAnsi="宋体" w:cs="宋体"/>
              <w:spacing w:val="3"/>
              <w:sz w:val="16"/>
              <w:szCs w:val="16"/>
            </w:rPr>
            <w:t xml:space="preserve">         </w:t>
          </w:r>
          <w:r>
            <w:rPr>
              <w:rFonts w:ascii="宋体" w:eastAsia="宋体" w:hAnsi="宋体" w:cs="宋体"/>
              <w:spacing w:val="-6"/>
              <w:sz w:val="16"/>
              <w:szCs w:val="16"/>
            </w:rPr>
            <w:t>40</w:t>
          </w:r>
          <w:r>
            <w:rPr>
              <w:rFonts w:ascii="宋体" w:eastAsia="宋体" w:hAnsi="宋体" w:cs="宋体"/>
              <w:spacing w:val="8"/>
              <w:sz w:val="16"/>
              <w:szCs w:val="16"/>
            </w:rPr>
            <w:t xml:space="preserve">         </w:t>
          </w:r>
          <w:r>
            <w:rPr>
              <w:rFonts w:ascii="宋体" w:eastAsia="宋体" w:hAnsi="宋体" w:cs="宋体"/>
              <w:spacing w:val="-6"/>
              <w:sz w:val="16"/>
              <w:szCs w:val="16"/>
            </w:rPr>
            <w:t>65</w:t>
          </w:r>
          <w:r>
            <w:rPr>
              <w:rFonts w:ascii="宋体" w:eastAsia="宋体" w:hAnsi="宋体" w:cs="宋体"/>
              <w:spacing w:val="5"/>
              <w:sz w:val="16"/>
              <w:szCs w:val="16"/>
            </w:rPr>
            <w:t xml:space="preserve">         </w:t>
          </w:r>
          <w:r>
            <w:rPr>
              <w:rFonts w:ascii="宋体" w:eastAsia="宋体" w:hAnsi="宋体" w:cs="宋体"/>
              <w:spacing w:val="-6"/>
              <w:sz w:val="16"/>
              <w:szCs w:val="16"/>
            </w:rPr>
            <w:t>1.7</w:t>
          </w:r>
          <w:r>
            <w:rPr>
              <w:rFonts w:ascii="宋体" w:eastAsia="宋体" w:hAnsi="宋体" w:cs="宋体"/>
              <w:spacing w:val="7"/>
              <w:sz w:val="16"/>
              <w:szCs w:val="16"/>
            </w:rPr>
            <w:t xml:space="preserve">         </w:t>
          </w:r>
          <w:r>
            <w:rPr>
              <w:rFonts w:ascii="宋体" w:eastAsia="宋体" w:hAnsi="宋体" w:cs="宋体"/>
              <w:spacing w:val="-6"/>
              <w:sz w:val="16"/>
              <w:szCs w:val="16"/>
            </w:rPr>
            <w:t>2</w:t>
          </w:r>
          <w:r>
            <w:rPr>
              <w:rFonts w:ascii="宋体" w:eastAsia="宋体" w:hAnsi="宋体" w:cs="宋体"/>
              <w:spacing w:val="2"/>
              <w:sz w:val="16"/>
              <w:szCs w:val="16"/>
            </w:rPr>
            <w:t xml:space="preserve">          </w:t>
          </w:r>
          <w:r>
            <w:rPr>
              <w:rFonts w:ascii="宋体" w:eastAsia="宋体" w:hAnsi="宋体" w:cs="宋体"/>
              <w:spacing w:val="-6"/>
              <w:sz w:val="16"/>
              <w:szCs w:val="16"/>
            </w:rPr>
            <w:t>100</w:t>
          </w:r>
          <w:r>
            <w:rPr>
              <w:rFonts w:ascii="宋体" w:eastAsia="宋体" w:hAnsi="宋体" w:cs="宋体"/>
              <w:spacing w:val="8"/>
              <w:sz w:val="16"/>
              <w:szCs w:val="16"/>
            </w:rPr>
            <w:t xml:space="preserve">         </w:t>
          </w:r>
          <w:hyperlink w:anchor="_bookmark119" w:history="1">
            <w:r>
              <w:rPr>
                <w:rFonts w:ascii="宋体" w:eastAsia="宋体" w:hAnsi="宋体" w:cs="宋体"/>
                <w:spacing w:val="-6"/>
                <w:position w:val="1"/>
                <w:sz w:val="15"/>
                <w:szCs w:val="15"/>
              </w:rPr>
              <w:t>5</w:t>
            </w:r>
          </w:hyperlink>
        </w:p>
        <w:p w:rsidR="00EA40A3" w:rsidRDefault="00E86C16">
          <w:pPr>
            <w:spacing w:before="89" w:line="198" w:lineRule="auto"/>
            <w:ind w:left="120"/>
            <w:rPr>
              <w:rFonts w:ascii="宋体" w:eastAsia="宋体" w:hAnsi="宋体" w:cs="宋体"/>
              <w:sz w:val="15"/>
              <w:szCs w:val="15"/>
            </w:rPr>
          </w:pPr>
          <w:r>
            <w:rPr>
              <w:rFonts w:ascii="宋体" w:eastAsia="宋体" w:hAnsi="宋体" w:cs="宋体"/>
              <w:spacing w:val="-4"/>
              <w:sz w:val="16"/>
              <w:szCs w:val="16"/>
            </w:rPr>
            <w:t>0.5～1</w:t>
          </w:r>
          <w:r>
            <w:rPr>
              <w:rFonts w:ascii="宋体" w:eastAsia="宋体" w:hAnsi="宋体" w:cs="宋体"/>
              <w:spacing w:val="5"/>
              <w:sz w:val="16"/>
              <w:szCs w:val="16"/>
            </w:rPr>
            <w:t xml:space="preserve">     </w:t>
          </w:r>
          <w:r>
            <w:rPr>
              <w:rFonts w:ascii="宋体" w:eastAsia="宋体" w:hAnsi="宋体" w:cs="宋体"/>
              <w:spacing w:val="-4"/>
              <w:sz w:val="16"/>
              <w:szCs w:val="16"/>
            </w:rPr>
            <w:t>0.5</w:t>
          </w:r>
          <w:r>
            <w:rPr>
              <w:rFonts w:ascii="宋体" w:eastAsia="宋体" w:hAnsi="宋体" w:cs="宋体"/>
              <w:spacing w:val="3"/>
              <w:sz w:val="16"/>
              <w:szCs w:val="16"/>
            </w:rPr>
            <w:t xml:space="preserve">         </w:t>
          </w:r>
          <w:r>
            <w:rPr>
              <w:rFonts w:ascii="宋体" w:eastAsia="宋体" w:hAnsi="宋体" w:cs="宋体"/>
              <w:spacing w:val="-4"/>
              <w:sz w:val="16"/>
              <w:szCs w:val="16"/>
            </w:rPr>
            <w:t>50</w:t>
          </w:r>
          <w:r>
            <w:rPr>
              <w:rFonts w:ascii="宋体" w:eastAsia="宋体" w:hAnsi="宋体" w:cs="宋体"/>
              <w:spacing w:val="8"/>
              <w:sz w:val="16"/>
              <w:szCs w:val="16"/>
            </w:rPr>
            <w:t xml:space="preserve">         </w:t>
          </w:r>
          <w:r>
            <w:rPr>
              <w:rFonts w:ascii="宋体" w:eastAsia="宋体" w:hAnsi="宋体" w:cs="宋体"/>
              <w:spacing w:val="-4"/>
              <w:sz w:val="16"/>
              <w:szCs w:val="16"/>
            </w:rPr>
            <w:t>80</w:t>
          </w:r>
          <w:r>
            <w:rPr>
              <w:rFonts w:ascii="宋体" w:eastAsia="宋体" w:hAnsi="宋体" w:cs="宋体"/>
              <w:spacing w:val="6"/>
              <w:sz w:val="16"/>
              <w:szCs w:val="16"/>
            </w:rPr>
            <w:t xml:space="preserve">         </w:t>
          </w:r>
          <w:r>
            <w:rPr>
              <w:rFonts w:ascii="宋体" w:eastAsia="宋体" w:hAnsi="宋体" w:cs="宋体"/>
              <w:spacing w:val="-4"/>
              <w:sz w:val="16"/>
              <w:szCs w:val="16"/>
            </w:rPr>
            <w:t>1.8</w:t>
          </w:r>
          <w:r>
            <w:rPr>
              <w:rFonts w:ascii="宋体" w:eastAsia="宋体" w:hAnsi="宋体" w:cs="宋体"/>
              <w:spacing w:val="7"/>
              <w:sz w:val="16"/>
              <w:szCs w:val="16"/>
            </w:rPr>
            <w:t xml:space="preserve">         </w:t>
          </w:r>
          <w:r>
            <w:rPr>
              <w:rFonts w:ascii="宋体" w:eastAsia="宋体" w:hAnsi="宋体" w:cs="宋体"/>
              <w:spacing w:val="-4"/>
              <w:sz w:val="16"/>
              <w:szCs w:val="16"/>
            </w:rPr>
            <w:t>3</w:t>
          </w:r>
          <w:r>
            <w:rPr>
              <w:rFonts w:ascii="宋体" w:eastAsia="宋体" w:hAnsi="宋体" w:cs="宋体"/>
              <w:sz w:val="16"/>
              <w:szCs w:val="16"/>
            </w:rPr>
            <w:t xml:space="preserve">          </w:t>
          </w:r>
          <w:r>
            <w:rPr>
              <w:rFonts w:ascii="宋体" w:eastAsia="宋体" w:hAnsi="宋体" w:cs="宋体"/>
              <w:spacing w:val="-4"/>
              <w:sz w:val="16"/>
              <w:szCs w:val="16"/>
            </w:rPr>
            <w:t>150</w:t>
          </w:r>
          <w:r>
            <w:rPr>
              <w:rFonts w:ascii="宋体" w:eastAsia="宋体" w:hAnsi="宋体" w:cs="宋体"/>
              <w:spacing w:val="1"/>
              <w:sz w:val="16"/>
              <w:szCs w:val="16"/>
            </w:rPr>
            <w:t xml:space="preserve">          </w:t>
          </w:r>
          <w:hyperlink w:anchor="_bookmark120" w:history="1">
            <w:r>
              <w:rPr>
                <w:rFonts w:ascii="宋体" w:eastAsia="宋体" w:hAnsi="宋体" w:cs="宋体"/>
                <w:spacing w:val="-4"/>
                <w:position w:val="1"/>
                <w:sz w:val="15"/>
                <w:szCs w:val="15"/>
              </w:rPr>
              <w:t>6</w:t>
            </w:r>
          </w:hyperlink>
        </w:p>
      </w:sdtContent>
    </w:sdt>
    <w:p w:rsidR="00EA40A3" w:rsidRDefault="00E86C16">
      <w:pPr>
        <w:spacing w:before="69" w:line="219" w:lineRule="auto"/>
        <w:ind w:left="360"/>
        <w:rPr>
          <w:rFonts w:ascii="宋体" w:eastAsia="宋体" w:hAnsi="宋体" w:cs="宋体"/>
          <w:sz w:val="16"/>
          <w:szCs w:val="16"/>
        </w:rPr>
      </w:pPr>
      <w:r>
        <w:rPr>
          <w:rFonts w:ascii="宋体" w:eastAsia="宋体" w:hAnsi="宋体" w:cs="宋体"/>
          <w:sz w:val="16"/>
          <w:szCs w:val="16"/>
        </w:rPr>
        <w:t>资料来源：中国营养学会.2000.中国居民膳食营养素参考摄入</w:t>
      </w:r>
      <w:r>
        <w:rPr>
          <w:rFonts w:ascii="宋体" w:eastAsia="宋体" w:hAnsi="宋体" w:cs="宋体"/>
          <w:spacing w:val="-1"/>
          <w:sz w:val="16"/>
          <w:szCs w:val="16"/>
        </w:rPr>
        <w:t>量.北京：中国轻工业出版社</w:t>
      </w:r>
    </w:p>
    <w:p w:rsidR="00EA40A3" w:rsidRDefault="00EA40A3">
      <w:pPr>
        <w:spacing w:line="266" w:lineRule="auto"/>
      </w:pPr>
    </w:p>
    <w:p w:rsidR="00EA40A3" w:rsidRDefault="00E86C16">
      <w:pPr>
        <w:spacing w:before="72" w:line="340" w:lineRule="exact"/>
        <w:ind w:left="9"/>
        <w:rPr>
          <w:rFonts w:ascii="仿宋" w:eastAsia="仿宋" w:hAnsi="仿宋" w:cs="仿宋"/>
          <w:sz w:val="22"/>
          <w:szCs w:val="22"/>
        </w:rPr>
      </w:pPr>
      <w:r>
        <w:rPr>
          <w:rFonts w:ascii="仿宋" w:eastAsia="仿宋" w:hAnsi="仿宋" w:cs="仿宋"/>
          <w:spacing w:val="-4"/>
          <w:position w:val="8"/>
          <w:sz w:val="22"/>
          <w:szCs w:val="22"/>
        </w:rPr>
        <w:t>3.</w:t>
      </w:r>
      <w:r>
        <w:rPr>
          <w:rFonts w:ascii="仿宋" w:eastAsia="仿宋" w:hAnsi="仿宋" w:cs="仿宋"/>
          <w:spacing w:val="68"/>
          <w:position w:val="8"/>
          <w:sz w:val="22"/>
          <w:szCs w:val="22"/>
        </w:rPr>
        <w:t xml:space="preserve"> </w:t>
      </w:r>
      <w:r>
        <w:rPr>
          <w:rFonts w:ascii="仿宋" w:eastAsia="仿宋" w:hAnsi="仿宋" w:cs="仿宋"/>
          <w:spacing w:val="-4"/>
          <w:position w:val="8"/>
          <w:sz w:val="22"/>
          <w:szCs w:val="22"/>
        </w:rPr>
        <w:t>婴儿的合理喂养</w:t>
      </w:r>
    </w:p>
    <w:p w:rsidR="00EA40A3" w:rsidRDefault="00E86C16">
      <w:pPr>
        <w:spacing w:before="1" w:line="224" w:lineRule="auto"/>
        <w:ind w:left="9"/>
        <w:rPr>
          <w:rFonts w:ascii="楷体" w:eastAsia="楷体" w:hAnsi="楷体" w:cs="楷体"/>
          <w:sz w:val="22"/>
          <w:szCs w:val="22"/>
        </w:rPr>
      </w:pPr>
      <w:r>
        <w:rPr>
          <w:rFonts w:ascii="楷体" w:eastAsia="楷体" w:hAnsi="楷体" w:cs="楷体"/>
          <w:spacing w:val="-3"/>
          <w:sz w:val="22"/>
          <w:szCs w:val="22"/>
        </w:rPr>
        <w:t>1)母乳喂养</w:t>
      </w:r>
    </w:p>
    <w:p w:rsidR="00EA40A3" w:rsidRDefault="00E86C16">
      <w:pPr>
        <w:spacing w:before="74" w:line="219" w:lineRule="auto"/>
        <w:ind w:left="430"/>
        <w:rPr>
          <w:rFonts w:ascii="宋体" w:eastAsia="宋体" w:hAnsi="宋体" w:cs="宋体"/>
          <w:sz w:val="22"/>
          <w:szCs w:val="22"/>
        </w:rPr>
      </w:pPr>
      <w:r>
        <w:rPr>
          <w:rFonts w:ascii="宋体" w:eastAsia="宋体" w:hAnsi="宋体" w:cs="宋体"/>
          <w:spacing w:val="-9"/>
          <w:sz w:val="22"/>
          <w:szCs w:val="22"/>
        </w:rPr>
        <w:t>母乳</w:t>
      </w:r>
      <w:r>
        <w:rPr>
          <w:rFonts w:ascii="宋体" w:eastAsia="宋体" w:hAnsi="宋体" w:cs="宋体"/>
          <w:spacing w:val="-22"/>
          <w:sz w:val="22"/>
          <w:szCs w:val="22"/>
        </w:rPr>
        <w:t xml:space="preserve"> </w:t>
      </w:r>
      <w:r>
        <w:rPr>
          <w:rFonts w:ascii="宋体" w:eastAsia="宋体" w:hAnsi="宋体" w:cs="宋体"/>
          <w:spacing w:val="-9"/>
          <w:sz w:val="22"/>
          <w:szCs w:val="22"/>
        </w:rPr>
        <w:t>(breast</w:t>
      </w:r>
      <w:r>
        <w:rPr>
          <w:rFonts w:ascii="宋体" w:eastAsia="宋体" w:hAnsi="宋体" w:cs="宋体"/>
          <w:spacing w:val="-8"/>
          <w:sz w:val="22"/>
          <w:szCs w:val="22"/>
        </w:rPr>
        <w:t xml:space="preserve"> </w:t>
      </w:r>
      <w:r>
        <w:rPr>
          <w:rFonts w:ascii="宋体" w:eastAsia="宋体" w:hAnsi="宋体" w:cs="宋体"/>
          <w:spacing w:val="-9"/>
          <w:sz w:val="22"/>
          <w:szCs w:val="22"/>
        </w:rPr>
        <w:t>milk)</w:t>
      </w:r>
      <w:r>
        <w:rPr>
          <w:rFonts w:ascii="宋体" w:eastAsia="宋体" w:hAnsi="宋体" w:cs="宋体"/>
          <w:spacing w:val="-64"/>
          <w:sz w:val="22"/>
          <w:szCs w:val="22"/>
        </w:rPr>
        <w:t xml:space="preserve"> </w:t>
      </w:r>
      <w:r>
        <w:rPr>
          <w:rFonts w:ascii="宋体" w:eastAsia="宋体" w:hAnsi="宋体" w:cs="宋体"/>
          <w:spacing w:val="-9"/>
          <w:sz w:val="22"/>
          <w:szCs w:val="22"/>
        </w:rPr>
        <w:t>是婴儿的最佳食品</w:t>
      </w:r>
      <w:r>
        <w:rPr>
          <w:rFonts w:ascii="宋体" w:eastAsia="宋体" w:hAnsi="宋体" w:cs="宋体"/>
          <w:spacing w:val="-10"/>
          <w:sz w:val="22"/>
          <w:szCs w:val="22"/>
        </w:rPr>
        <w:t>。通过对母乳的营养成分分析发现，</w:t>
      </w:r>
    </w:p>
    <w:p w:rsidR="00EA40A3" w:rsidRDefault="00E86C16">
      <w:pPr>
        <w:spacing w:before="64"/>
        <w:ind w:left="159"/>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314</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1129" w:bottom="400" w:left="739"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65" w:line="271" w:lineRule="auto"/>
        <w:ind w:left="89"/>
        <w:jc w:val="both"/>
        <w:rPr>
          <w:rFonts w:ascii="宋体" w:eastAsia="宋体" w:hAnsi="宋体" w:cs="宋体"/>
          <w:sz w:val="20"/>
          <w:szCs w:val="20"/>
        </w:rPr>
      </w:pPr>
      <w:r>
        <w:rPr>
          <w:rFonts w:ascii="宋体" w:eastAsia="宋体" w:hAnsi="宋体" w:cs="宋体"/>
          <w:spacing w:val="7"/>
          <w:sz w:val="20"/>
          <w:szCs w:val="20"/>
        </w:rPr>
        <w:t>母乳含优质蛋白质，尽管其蛋白质的含量低于牛乳，但其蛋白质的组成</w:t>
      </w:r>
      <w:r>
        <w:rPr>
          <w:rFonts w:ascii="宋体" w:eastAsia="宋体" w:hAnsi="宋体" w:cs="宋体"/>
          <w:spacing w:val="6"/>
          <w:sz w:val="20"/>
          <w:szCs w:val="20"/>
        </w:rPr>
        <w:t>与牛乳正</w:t>
      </w:r>
      <w:r>
        <w:rPr>
          <w:rFonts w:ascii="宋体" w:eastAsia="宋体" w:hAnsi="宋体" w:cs="宋体"/>
          <w:sz w:val="20"/>
          <w:szCs w:val="20"/>
        </w:rPr>
        <w:t xml:space="preserve"> </w:t>
      </w:r>
      <w:r>
        <w:rPr>
          <w:rFonts w:ascii="宋体" w:eastAsia="宋体" w:hAnsi="宋体" w:cs="宋体"/>
          <w:spacing w:val="5"/>
          <w:sz w:val="20"/>
          <w:szCs w:val="20"/>
        </w:rPr>
        <w:t>好相反，是以乳白蛋白</w:t>
      </w:r>
      <w:r>
        <w:rPr>
          <w:rFonts w:ascii="宋体" w:eastAsia="宋体" w:hAnsi="宋体" w:cs="宋体"/>
          <w:spacing w:val="-7"/>
          <w:sz w:val="20"/>
          <w:szCs w:val="20"/>
        </w:rPr>
        <w:t xml:space="preserve"> </w:t>
      </w:r>
      <w:r>
        <w:rPr>
          <w:rFonts w:ascii="宋体" w:eastAsia="宋体" w:hAnsi="宋体" w:cs="宋体"/>
          <w:spacing w:val="5"/>
          <w:sz w:val="20"/>
          <w:szCs w:val="20"/>
        </w:rPr>
        <w:t>(</w:t>
      </w:r>
      <w:r>
        <w:rPr>
          <w:rFonts w:ascii="宋体" w:eastAsia="宋体" w:hAnsi="宋体" w:cs="宋体"/>
          <w:sz w:val="20"/>
          <w:szCs w:val="20"/>
        </w:rPr>
        <w:t>lactoalbumin</w:t>
      </w:r>
      <w:r>
        <w:rPr>
          <w:rFonts w:ascii="宋体" w:eastAsia="宋体" w:hAnsi="宋体" w:cs="宋体"/>
          <w:spacing w:val="5"/>
          <w:sz w:val="20"/>
          <w:szCs w:val="20"/>
        </w:rPr>
        <w:t>)</w:t>
      </w:r>
      <w:r>
        <w:rPr>
          <w:rFonts w:ascii="宋体" w:eastAsia="宋体" w:hAnsi="宋体" w:cs="宋体"/>
          <w:spacing w:val="3"/>
          <w:sz w:val="20"/>
          <w:szCs w:val="20"/>
        </w:rPr>
        <w:t xml:space="preserve"> </w:t>
      </w:r>
      <w:r>
        <w:rPr>
          <w:rFonts w:ascii="宋体" w:eastAsia="宋体" w:hAnsi="宋体" w:cs="宋体"/>
          <w:spacing w:val="5"/>
          <w:sz w:val="20"/>
          <w:szCs w:val="20"/>
        </w:rPr>
        <w:t>为主，酪蛋白</w:t>
      </w:r>
      <w:r>
        <w:rPr>
          <w:rFonts w:ascii="宋体" w:eastAsia="宋体" w:hAnsi="宋体" w:cs="宋体"/>
          <w:spacing w:val="-5"/>
          <w:sz w:val="20"/>
          <w:szCs w:val="20"/>
        </w:rPr>
        <w:t xml:space="preserve"> </w:t>
      </w:r>
      <w:r>
        <w:rPr>
          <w:rFonts w:ascii="宋体" w:eastAsia="宋体" w:hAnsi="宋体" w:cs="宋体"/>
          <w:spacing w:val="5"/>
          <w:sz w:val="20"/>
          <w:szCs w:val="20"/>
        </w:rPr>
        <w:t>(</w:t>
      </w:r>
      <w:r>
        <w:rPr>
          <w:rFonts w:ascii="宋体" w:eastAsia="宋体" w:hAnsi="宋体" w:cs="宋体"/>
          <w:sz w:val="20"/>
          <w:szCs w:val="20"/>
        </w:rPr>
        <w:t>casein</w:t>
      </w:r>
      <w:r>
        <w:rPr>
          <w:rFonts w:ascii="宋体" w:eastAsia="宋体" w:hAnsi="宋体" w:cs="宋体"/>
          <w:spacing w:val="5"/>
          <w:sz w:val="20"/>
          <w:szCs w:val="20"/>
        </w:rPr>
        <w:t>)</w:t>
      </w:r>
      <w:r>
        <w:rPr>
          <w:rFonts w:ascii="宋体" w:eastAsia="宋体" w:hAnsi="宋体" w:cs="宋体"/>
          <w:spacing w:val="-17"/>
          <w:sz w:val="20"/>
          <w:szCs w:val="20"/>
        </w:rPr>
        <w:t xml:space="preserve"> </w:t>
      </w:r>
      <w:r>
        <w:rPr>
          <w:rFonts w:ascii="宋体" w:eastAsia="宋体" w:hAnsi="宋体" w:cs="宋体"/>
          <w:spacing w:val="5"/>
          <w:sz w:val="20"/>
          <w:szCs w:val="20"/>
        </w:rPr>
        <w:t>含量相对较少，</w:t>
      </w:r>
      <w:r>
        <w:rPr>
          <w:rFonts w:ascii="宋体" w:eastAsia="宋体" w:hAnsi="宋体" w:cs="宋体"/>
          <w:sz w:val="20"/>
          <w:szCs w:val="20"/>
        </w:rPr>
        <w:t xml:space="preserve"> </w:t>
      </w:r>
      <w:r>
        <w:rPr>
          <w:rFonts w:ascii="宋体" w:eastAsia="宋体" w:hAnsi="宋体" w:cs="宋体"/>
          <w:spacing w:val="7"/>
          <w:sz w:val="20"/>
          <w:szCs w:val="20"/>
        </w:rPr>
        <w:t>更适合婴儿消化吸收；母乳蛋白质中含有婴儿所需要的所有必需氨基</w:t>
      </w:r>
      <w:r>
        <w:rPr>
          <w:rFonts w:ascii="宋体" w:eastAsia="宋体" w:hAnsi="宋体" w:cs="宋体"/>
          <w:spacing w:val="6"/>
          <w:sz w:val="20"/>
          <w:szCs w:val="20"/>
        </w:rPr>
        <w:t>酸，能被婴</w:t>
      </w:r>
      <w:r>
        <w:rPr>
          <w:rFonts w:ascii="宋体" w:eastAsia="宋体" w:hAnsi="宋体" w:cs="宋体"/>
          <w:sz w:val="20"/>
          <w:szCs w:val="20"/>
        </w:rPr>
        <w:t xml:space="preserve"> </w:t>
      </w:r>
      <w:r>
        <w:rPr>
          <w:rFonts w:ascii="宋体" w:eastAsia="宋体" w:hAnsi="宋体" w:cs="宋体"/>
          <w:spacing w:val="7"/>
          <w:sz w:val="20"/>
          <w:szCs w:val="20"/>
        </w:rPr>
        <w:t>儿最大程度地利用；母乳中的牛磺酸有利于婴儿脑组织的发育。同</w:t>
      </w:r>
      <w:r>
        <w:rPr>
          <w:rFonts w:ascii="宋体" w:eastAsia="宋体" w:hAnsi="宋体" w:cs="宋体"/>
          <w:spacing w:val="6"/>
          <w:sz w:val="20"/>
          <w:szCs w:val="20"/>
        </w:rPr>
        <w:t>时，母乳中含</w:t>
      </w:r>
      <w:r>
        <w:rPr>
          <w:rFonts w:ascii="宋体" w:eastAsia="宋体" w:hAnsi="宋体" w:cs="宋体"/>
          <w:sz w:val="20"/>
          <w:szCs w:val="20"/>
        </w:rPr>
        <w:t xml:space="preserve"> </w:t>
      </w:r>
      <w:r>
        <w:rPr>
          <w:rFonts w:ascii="宋体" w:eastAsia="宋体" w:hAnsi="宋体" w:cs="宋体"/>
          <w:spacing w:val="15"/>
          <w:sz w:val="20"/>
          <w:szCs w:val="20"/>
        </w:rPr>
        <w:t>丰富的必需脂肪酸，每100</w:t>
      </w:r>
      <w:r>
        <w:rPr>
          <w:rFonts w:ascii="宋体" w:eastAsia="宋体" w:hAnsi="宋体" w:cs="宋体"/>
          <w:sz w:val="20"/>
          <w:szCs w:val="20"/>
        </w:rPr>
        <w:t>mL</w:t>
      </w:r>
      <w:r>
        <w:rPr>
          <w:rFonts w:ascii="宋体" w:eastAsia="宋体" w:hAnsi="宋体" w:cs="宋体"/>
          <w:spacing w:val="52"/>
          <w:sz w:val="20"/>
          <w:szCs w:val="20"/>
        </w:rPr>
        <w:t xml:space="preserve"> </w:t>
      </w:r>
      <w:r>
        <w:rPr>
          <w:rFonts w:ascii="宋体" w:eastAsia="宋体" w:hAnsi="宋体" w:cs="宋体"/>
          <w:spacing w:val="15"/>
          <w:sz w:val="20"/>
          <w:szCs w:val="20"/>
        </w:rPr>
        <w:t>母乳含脂肪4</w:t>
      </w:r>
      <w:r>
        <w:rPr>
          <w:rFonts w:ascii="宋体" w:eastAsia="宋体" w:hAnsi="宋体" w:cs="宋体"/>
          <w:spacing w:val="-59"/>
          <w:sz w:val="20"/>
          <w:szCs w:val="20"/>
        </w:rPr>
        <w:t xml:space="preserve"> </w:t>
      </w:r>
      <w:r>
        <w:rPr>
          <w:rFonts w:ascii="宋体" w:eastAsia="宋体" w:hAnsi="宋体" w:cs="宋体"/>
          <w:spacing w:val="15"/>
          <w:sz w:val="20"/>
          <w:szCs w:val="20"/>
        </w:rPr>
        <w:t>.5g,</w:t>
      </w:r>
      <w:r>
        <w:rPr>
          <w:rFonts w:ascii="宋体" w:eastAsia="宋体" w:hAnsi="宋体" w:cs="宋体"/>
          <w:spacing w:val="21"/>
          <w:sz w:val="20"/>
          <w:szCs w:val="20"/>
        </w:rPr>
        <w:t xml:space="preserve"> </w:t>
      </w:r>
      <w:r>
        <w:rPr>
          <w:rFonts w:ascii="宋体" w:eastAsia="宋体" w:hAnsi="宋体" w:cs="宋体"/>
          <w:spacing w:val="15"/>
          <w:sz w:val="20"/>
          <w:szCs w:val="20"/>
        </w:rPr>
        <w:t>在构成上以不饱和脂肪酸为</w:t>
      </w:r>
      <w:r>
        <w:rPr>
          <w:rFonts w:ascii="宋体" w:eastAsia="宋体" w:hAnsi="宋体" w:cs="宋体"/>
          <w:sz w:val="20"/>
          <w:szCs w:val="20"/>
        </w:rPr>
        <w:t xml:space="preserve"> </w:t>
      </w:r>
      <w:r>
        <w:rPr>
          <w:rFonts w:ascii="宋体" w:eastAsia="宋体" w:hAnsi="宋体" w:cs="宋体"/>
          <w:spacing w:val="3"/>
          <w:sz w:val="20"/>
          <w:szCs w:val="20"/>
        </w:rPr>
        <w:t>主，其中尤以亚油酸 (</w:t>
      </w:r>
      <w:r>
        <w:rPr>
          <w:rFonts w:ascii="宋体" w:eastAsia="宋体" w:hAnsi="宋体" w:cs="宋体"/>
          <w:sz w:val="20"/>
          <w:szCs w:val="20"/>
        </w:rPr>
        <w:t>linoleic</w:t>
      </w:r>
      <w:r>
        <w:rPr>
          <w:rFonts w:ascii="宋体" w:eastAsia="宋体" w:hAnsi="宋体" w:cs="宋体"/>
          <w:spacing w:val="35"/>
          <w:sz w:val="20"/>
          <w:szCs w:val="20"/>
        </w:rPr>
        <w:t xml:space="preserve"> </w:t>
      </w:r>
      <w:r>
        <w:rPr>
          <w:rFonts w:ascii="宋体" w:eastAsia="宋体" w:hAnsi="宋体" w:cs="宋体"/>
          <w:sz w:val="20"/>
          <w:szCs w:val="20"/>
        </w:rPr>
        <w:t>acid</w:t>
      </w:r>
      <w:r>
        <w:rPr>
          <w:rFonts w:ascii="宋体" w:eastAsia="宋体" w:hAnsi="宋体" w:cs="宋体"/>
          <w:spacing w:val="3"/>
          <w:sz w:val="20"/>
          <w:szCs w:val="20"/>
        </w:rPr>
        <w:t>,</w:t>
      </w:r>
      <w:r>
        <w:rPr>
          <w:rFonts w:ascii="宋体" w:eastAsia="宋体" w:hAnsi="宋体" w:cs="宋体"/>
          <w:sz w:val="20"/>
          <w:szCs w:val="20"/>
        </w:rPr>
        <w:t>LA</w:t>
      </w:r>
      <w:r>
        <w:rPr>
          <w:rFonts w:ascii="宋体" w:eastAsia="宋体" w:hAnsi="宋体" w:cs="宋体"/>
          <w:spacing w:val="3"/>
          <w:sz w:val="20"/>
          <w:szCs w:val="20"/>
        </w:rPr>
        <w:t>)</w:t>
      </w:r>
      <w:r>
        <w:rPr>
          <w:rFonts w:ascii="宋体" w:eastAsia="宋体" w:hAnsi="宋体" w:cs="宋体"/>
          <w:spacing w:val="-43"/>
          <w:sz w:val="20"/>
          <w:szCs w:val="20"/>
        </w:rPr>
        <w:t xml:space="preserve"> </w:t>
      </w:r>
      <w:r>
        <w:rPr>
          <w:rFonts w:ascii="宋体" w:eastAsia="宋体" w:hAnsi="宋体" w:cs="宋体"/>
          <w:spacing w:val="3"/>
          <w:sz w:val="20"/>
          <w:szCs w:val="20"/>
        </w:rPr>
        <w:t>含量高；母乳中花生四烯酸</w:t>
      </w:r>
      <w:r>
        <w:rPr>
          <w:rFonts w:ascii="宋体" w:eastAsia="宋体" w:hAnsi="宋体" w:cs="宋体"/>
          <w:spacing w:val="-9"/>
          <w:sz w:val="20"/>
          <w:szCs w:val="20"/>
        </w:rPr>
        <w:t xml:space="preserve"> </w:t>
      </w:r>
      <w:r>
        <w:rPr>
          <w:rFonts w:ascii="宋体" w:eastAsia="宋体" w:hAnsi="宋体" w:cs="宋体"/>
          <w:spacing w:val="3"/>
          <w:sz w:val="20"/>
          <w:szCs w:val="20"/>
        </w:rPr>
        <w:t>(</w:t>
      </w:r>
      <w:r>
        <w:rPr>
          <w:rFonts w:ascii="宋体" w:eastAsia="宋体" w:hAnsi="宋体" w:cs="宋体"/>
          <w:sz w:val="20"/>
          <w:szCs w:val="20"/>
        </w:rPr>
        <w:t>AA</w:t>
      </w:r>
      <w:r>
        <w:rPr>
          <w:rFonts w:ascii="宋体" w:eastAsia="宋体" w:hAnsi="宋体" w:cs="宋体"/>
          <w:spacing w:val="3"/>
          <w:sz w:val="20"/>
          <w:szCs w:val="20"/>
        </w:rPr>
        <w:t>)</w:t>
      </w:r>
      <w:r>
        <w:rPr>
          <w:rFonts w:ascii="宋体" w:eastAsia="宋体" w:hAnsi="宋体" w:cs="宋体"/>
          <w:spacing w:val="36"/>
          <w:sz w:val="20"/>
          <w:szCs w:val="20"/>
        </w:rPr>
        <w:t xml:space="preserve">  </w:t>
      </w:r>
      <w:r>
        <w:rPr>
          <w:rFonts w:ascii="宋体" w:eastAsia="宋体" w:hAnsi="宋体" w:cs="宋体"/>
          <w:spacing w:val="3"/>
          <w:sz w:val="20"/>
          <w:szCs w:val="20"/>
        </w:rPr>
        <w:t>和</w:t>
      </w:r>
      <w:r>
        <w:rPr>
          <w:rFonts w:ascii="宋体" w:eastAsia="宋体" w:hAnsi="宋体" w:cs="宋体"/>
          <w:spacing w:val="1"/>
          <w:sz w:val="20"/>
          <w:szCs w:val="20"/>
        </w:rPr>
        <w:t xml:space="preserve"> </w:t>
      </w:r>
      <w:r>
        <w:rPr>
          <w:rFonts w:ascii="宋体" w:eastAsia="宋体" w:hAnsi="宋体" w:cs="宋体"/>
          <w:spacing w:val="10"/>
          <w:sz w:val="20"/>
          <w:szCs w:val="20"/>
        </w:rPr>
        <w:t>二十二碳六烯酸</w:t>
      </w:r>
      <w:r>
        <w:rPr>
          <w:rFonts w:ascii="宋体" w:eastAsia="宋体" w:hAnsi="宋体" w:cs="宋体"/>
          <w:spacing w:val="-9"/>
          <w:sz w:val="20"/>
          <w:szCs w:val="20"/>
        </w:rPr>
        <w:t xml:space="preserve"> </w:t>
      </w:r>
      <w:r>
        <w:rPr>
          <w:rFonts w:ascii="宋体" w:eastAsia="宋体" w:hAnsi="宋体" w:cs="宋体"/>
          <w:spacing w:val="10"/>
          <w:sz w:val="20"/>
          <w:szCs w:val="20"/>
        </w:rPr>
        <w:t>(</w:t>
      </w:r>
      <w:r>
        <w:rPr>
          <w:rFonts w:ascii="宋体" w:eastAsia="宋体" w:hAnsi="宋体" w:cs="宋体"/>
          <w:sz w:val="20"/>
          <w:szCs w:val="20"/>
        </w:rPr>
        <w:t>DHA</w:t>
      </w:r>
      <w:r>
        <w:rPr>
          <w:rFonts w:ascii="宋体" w:eastAsia="宋体" w:hAnsi="宋体" w:cs="宋体"/>
          <w:spacing w:val="10"/>
          <w:sz w:val="20"/>
          <w:szCs w:val="20"/>
        </w:rPr>
        <w:t>)</w:t>
      </w:r>
      <w:r>
        <w:rPr>
          <w:rFonts w:ascii="宋体" w:eastAsia="宋体" w:hAnsi="宋体" w:cs="宋体"/>
          <w:spacing w:val="11"/>
          <w:sz w:val="20"/>
          <w:szCs w:val="20"/>
        </w:rPr>
        <w:t xml:space="preserve">   </w:t>
      </w:r>
      <w:r>
        <w:rPr>
          <w:rFonts w:ascii="宋体" w:eastAsia="宋体" w:hAnsi="宋体" w:cs="宋体"/>
          <w:spacing w:val="10"/>
          <w:sz w:val="20"/>
          <w:szCs w:val="20"/>
        </w:rPr>
        <w:t>的含量也很高，很可能对人脑的发育有</w:t>
      </w:r>
      <w:r>
        <w:rPr>
          <w:rFonts w:ascii="宋体" w:eastAsia="宋体" w:hAnsi="宋体" w:cs="宋体"/>
          <w:spacing w:val="9"/>
          <w:sz w:val="20"/>
          <w:szCs w:val="20"/>
        </w:rPr>
        <w:t>重要作用。人</w:t>
      </w:r>
      <w:r>
        <w:rPr>
          <w:rFonts w:ascii="宋体" w:eastAsia="宋体" w:hAnsi="宋体" w:cs="宋体"/>
          <w:sz w:val="20"/>
          <w:szCs w:val="20"/>
        </w:rPr>
        <w:t xml:space="preserve"> </w:t>
      </w:r>
      <w:r>
        <w:rPr>
          <w:rFonts w:ascii="宋体" w:eastAsia="宋体" w:hAnsi="宋体" w:cs="宋体"/>
          <w:spacing w:val="8"/>
          <w:sz w:val="20"/>
          <w:szCs w:val="20"/>
        </w:rPr>
        <w:t>乳本身含有丰富的酯酶，将母乳中脂肪乳化为细小颗粒，因此人乳脂</w:t>
      </w:r>
      <w:r>
        <w:rPr>
          <w:rFonts w:ascii="宋体" w:eastAsia="宋体" w:hAnsi="宋体" w:cs="宋体"/>
          <w:spacing w:val="7"/>
          <w:sz w:val="20"/>
          <w:szCs w:val="20"/>
        </w:rPr>
        <w:t>肪比牛乳的</w:t>
      </w:r>
      <w:r>
        <w:rPr>
          <w:rFonts w:ascii="宋体" w:eastAsia="宋体" w:hAnsi="宋体" w:cs="宋体"/>
          <w:sz w:val="20"/>
          <w:szCs w:val="20"/>
        </w:rPr>
        <w:t xml:space="preserve"> </w:t>
      </w:r>
      <w:r>
        <w:rPr>
          <w:rFonts w:ascii="宋体" w:eastAsia="宋体" w:hAnsi="宋体" w:cs="宋体"/>
          <w:spacing w:val="13"/>
          <w:sz w:val="20"/>
          <w:szCs w:val="20"/>
        </w:rPr>
        <w:t>更易消化吸收。母乳与牛乳的营养成分比较见表10-5。此外，母乳中丰富的乳</w:t>
      </w:r>
    </w:p>
    <w:p w:rsidR="00EA40A3" w:rsidRDefault="00E86C16">
      <w:pPr>
        <w:spacing w:before="61" w:line="219" w:lineRule="auto"/>
        <w:ind w:left="89"/>
        <w:rPr>
          <w:rFonts w:ascii="宋体" w:eastAsia="宋体" w:hAnsi="宋体" w:cs="宋体"/>
          <w:sz w:val="20"/>
          <w:szCs w:val="20"/>
        </w:rPr>
      </w:pPr>
      <w:r>
        <w:rPr>
          <w:rFonts w:ascii="宋体" w:eastAsia="宋体" w:hAnsi="宋体" w:cs="宋体"/>
          <w:spacing w:val="6"/>
          <w:sz w:val="20"/>
          <w:szCs w:val="20"/>
        </w:rPr>
        <w:t>糖</w:t>
      </w:r>
      <w:r>
        <w:rPr>
          <w:rFonts w:ascii="宋体" w:eastAsia="宋体" w:hAnsi="宋体" w:cs="宋体"/>
          <w:spacing w:val="37"/>
          <w:sz w:val="20"/>
          <w:szCs w:val="20"/>
        </w:rPr>
        <w:t xml:space="preserve"> </w:t>
      </w:r>
      <w:r>
        <w:rPr>
          <w:rFonts w:ascii="宋体" w:eastAsia="宋体" w:hAnsi="宋体" w:cs="宋体"/>
          <w:spacing w:val="6"/>
          <w:sz w:val="20"/>
          <w:szCs w:val="20"/>
        </w:rPr>
        <w:t>(</w:t>
      </w:r>
      <w:r>
        <w:rPr>
          <w:rFonts w:ascii="宋体" w:eastAsia="宋体" w:hAnsi="宋体" w:cs="宋体"/>
          <w:sz w:val="20"/>
          <w:szCs w:val="20"/>
        </w:rPr>
        <w:t>lactose</w:t>
      </w:r>
      <w:r>
        <w:rPr>
          <w:rFonts w:ascii="宋体" w:eastAsia="宋体" w:hAnsi="宋体" w:cs="宋体"/>
          <w:spacing w:val="6"/>
          <w:sz w:val="20"/>
          <w:szCs w:val="20"/>
        </w:rPr>
        <w:t>)</w:t>
      </w:r>
      <w:r>
        <w:rPr>
          <w:rFonts w:ascii="宋体" w:eastAsia="宋体" w:hAnsi="宋体" w:cs="宋体"/>
          <w:spacing w:val="-57"/>
          <w:sz w:val="20"/>
          <w:szCs w:val="20"/>
        </w:rPr>
        <w:t xml:space="preserve"> </w:t>
      </w:r>
      <w:r>
        <w:rPr>
          <w:rFonts w:ascii="宋体" w:eastAsia="宋体" w:hAnsi="宋体" w:cs="宋体"/>
          <w:spacing w:val="6"/>
          <w:sz w:val="20"/>
          <w:szCs w:val="20"/>
        </w:rPr>
        <w:t>在为婴儿提供碳水化合物的同时，促进钙在肠道的吸收，并能诱导</w:t>
      </w:r>
    </w:p>
    <w:p w:rsidR="00EA40A3" w:rsidRDefault="00EA40A3">
      <w:pPr>
        <w:spacing w:line="304" w:lineRule="auto"/>
      </w:pPr>
    </w:p>
    <w:p w:rsidR="00EA40A3" w:rsidRDefault="00E86C16">
      <w:pPr>
        <w:spacing w:before="65" w:line="212" w:lineRule="auto"/>
        <w:ind w:left="1872"/>
        <w:rPr>
          <w:rFonts w:ascii="Times New Roman" w:eastAsia="Times New Roman" w:hAnsi="Times New Roman" w:cs="Times New Roman"/>
          <w:sz w:val="20"/>
          <w:szCs w:val="20"/>
        </w:rPr>
      </w:pPr>
      <w:r>
        <w:rPr>
          <w:rFonts w:ascii="黑体" w:eastAsia="黑体" w:hAnsi="黑体" w:cs="黑体"/>
          <w:b/>
          <w:bCs/>
          <w:spacing w:val="-13"/>
          <w:sz w:val="20"/>
          <w:szCs w:val="20"/>
        </w:rPr>
        <w:t>表10-5</w:t>
      </w:r>
      <w:r>
        <w:rPr>
          <w:rFonts w:ascii="黑体" w:eastAsia="黑体" w:hAnsi="黑体" w:cs="黑体"/>
          <w:spacing w:val="84"/>
          <w:sz w:val="20"/>
          <w:szCs w:val="20"/>
        </w:rPr>
        <w:t xml:space="preserve"> </w:t>
      </w:r>
      <w:r>
        <w:rPr>
          <w:rFonts w:ascii="黑体" w:eastAsia="黑体" w:hAnsi="黑体" w:cs="黑体"/>
          <w:b/>
          <w:bCs/>
          <w:spacing w:val="-13"/>
          <w:sz w:val="20"/>
          <w:szCs w:val="20"/>
        </w:rPr>
        <w:t>母乳与牛乳的营养成分比较</w:t>
      </w:r>
      <w:r>
        <w:rPr>
          <w:rFonts w:ascii="黑体" w:eastAsia="黑体" w:hAnsi="黑体" w:cs="黑体"/>
          <w:spacing w:val="-44"/>
          <w:sz w:val="20"/>
          <w:szCs w:val="20"/>
        </w:rPr>
        <w:t xml:space="preserve"> </w:t>
      </w:r>
      <w:r>
        <w:rPr>
          <w:rFonts w:ascii="黑体" w:eastAsia="黑体" w:hAnsi="黑体" w:cs="黑体"/>
          <w:spacing w:val="-13"/>
          <w:sz w:val="20"/>
          <w:szCs w:val="20"/>
        </w:rPr>
        <w:t>(每100</w:t>
      </w:r>
      <w:r>
        <w:rPr>
          <w:rFonts w:ascii="Times New Roman" w:eastAsia="Times New Roman" w:hAnsi="Times New Roman" w:cs="Times New Roman"/>
          <w:spacing w:val="-14"/>
          <w:sz w:val="20"/>
          <w:szCs w:val="20"/>
        </w:rPr>
        <w:t>g)</w:t>
      </w:r>
    </w:p>
    <w:p w:rsidR="00EA40A3" w:rsidRDefault="00EA40A3">
      <w:pPr>
        <w:spacing w:line="40" w:lineRule="exact"/>
      </w:pPr>
    </w:p>
    <w:tbl>
      <w:tblPr>
        <w:tblStyle w:val="TableNormal"/>
        <w:tblW w:w="739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67"/>
        <w:gridCol w:w="2433"/>
        <w:gridCol w:w="1797"/>
        <w:gridCol w:w="1402"/>
      </w:tblGrid>
      <w:tr w:rsidR="00EA40A3">
        <w:trPr>
          <w:trHeight w:val="324"/>
        </w:trPr>
        <w:tc>
          <w:tcPr>
            <w:tcW w:w="1767" w:type="dxa"/>
            <w:tcBorders>
              <w:top w:val="single" w:sz="4" w:space="0" w:color="000000"/>
              <w:bottom w:val="single" w:sz="4" w:space="0" w:color="000000"/>
            </w:tcBorders>
          </w:tcPr>
          <w:p w:rsidR="00EA40A3" w:rsidRDefault="00EA40A3"/>
        </w:tc>
        <w:tc>
          <w:tcPr>
            <w:tcW w:w="2433" w:type="dxa"/>
            <w:tcBorders>
              <w:top w:val="single" w:sz="4" w:space="0" w:color="000000"/>
              <w:bottom w:val="single" w:sz="4" w:space="0" w:color="000000"/>
            </w:tcBorders>
          </w:tcPr>
          <w:p w:rsidR="00EA40A3" w:rsidRDefault="00E86C16">
            <w:pPr>
              <w:spacing w:before="82" w:line="220" w:lineRule="auto"/>
              <w:ind w:left="163"/>
              <w:rPr>
                <w:rFonts w:ascii="宋体" w:eastAsia="宋体" w:hAnsi="宋体" w:cs="宋体"/>
                <w:sz w:val="16"/>
                <w:szCs w:val="16"/>
              </w:rPr>
            </w:pPr>
            <w:r>
              <w:rPr>
                <w:rFonts w:ascii="宋体" w:eastAsia="宋体" w:hAnsi="宋体" w:cs="宋体"/>
                <w:spacing w:val="-2"/>
                <w:sz w:val="16"/>
                <w:szCs w:val="16"/>
              </w:rPr>
              <w:t>成分</w:t>
            </w:r>
          </w:p>
        </w:tc>
        <w:tc>
          <w:tcPr>
            <w:tcW w:w="1797" w:type="dxa"/>
            <w:tcBorders>
              <w:top w:val="single" w:sz="4" w:space="0" w:color="000000"/>
              <w:bottom w:val="single" w:sz="4" w:space="0" w:color="000000"/>
            </w:tcBorders>
          </w:tcPr>
          <w:p w:rsidR="00EA40A3" w:rsidRDefault="00E86C16">
            <w:pPr>
              <w:spacing w:before="82" w:line="221" w:lineRule="auto"/>
              <w:ind w:left="730"/>
              <w:rPr>
                <w:rFonts w:ascii="宋体" w:eastAsia="宋体" w:hAnsi="宋体" w:cs="宋体"/>
                <w:sz w:val="16"/>
                <w:szCs w:val="16"/>
              </w:rPr>
            </w:pPr>
            <w:r>
              <w:rPr>
                <w:rFonts w:ascii="宋体" w:eastAsia="宋体" w:hAnsi="宋体" w:cs="宋体"/>
                <w:spacing w:val="-2"/>
                <w:sz w:val="16"/>
                <w:szCs w:val="16"/>
              </w:rPr>
              <w:t>母乳</w:t>
            </w:r>
          </w:p>
        </w:tc>
        <w:tc>
          <w:tcPr>
            <w:tcW w:w="1402" w:type="dxa"/>
            <w:tcBorders>
              <w:top w:val="single" w:sz="4" w:space="0" w:color="000000"/>
              <w:bottom w:val="single" w:sz="4" w:space="0" w:color="000000"/>
            </w:tcBorders>
          </w:tcPr>
          <w:p w:rsidR="00EA40A3" w:rsidRDefault="00E86C16">
            <w:pPr>
              <w:spacing w:before="132" w:line="221" w:lineRule="auto"/>
              <w:ind w:left="763"/>
              <w:rPr>
                <w:rFonts w:ascii="宋体" w:eastAsia="宋体" w:hAnsi="宋体" w:cs="宋体"/>
                <w:sz w:val="16"/>
                <w:szCs w:val="16"/>
              </w:rPr>
            </w:pPr>
            <w:r>
              <w:rPr>
                <w:rFonts w:ascii="宋体" w:eastAsia="宋体" w:hAnsi="宋体" w:cs="宋体"/>
                <w:spacing w:val="-3"/>
                <w:sz w:val="16"/>
                <w:szCs w:val="16"/>
              </w:rPr>
              <w:t>牛乳</w:t>
            </w:r>
          </w:p>
        </w:tc>
      </w:tr>
      <w:tr w:rsidR="00EA40A3">
        <w:trPr>
          <w:trHeight w:val="4423"/>
        </w:trPr>
        <w:tc>
          <w:tcPr>
            <w:tcW w:w="1767" w:type="dxa"/>
            <w:tcBorders>
              <w:top w:val="single" w:sz="4" w:space="0" w:color="000000"/>
            </w:tcBorders>
          </w:tcPr>
          <w:p w:rsidR="00EA40A3" w:rsidRDefault="00E86C16">
            <w:pPr>
              <w:spacing w:before="82" w:line="314" w:lineRule="exact"/>
              <w:ind w:left="950"/>
              <w:rPr>
                <w:rFonts w:ascii="宋体" w:eastAsia="宋体" w:hAnsi="宋体" w:cs="宋体"/>
                <w:sz w:val="16"/>
                <w:szCs w:val="16"/>
              </w:rPr>
            </w:pPr>
            <w:r>
              <w:rPr>
                <w:rFonts w:ascii="宋体" w:eastAsia="宋体" w:hAnsi="宋体" w:cs="宋体"/>
                <w:spacing w:val="-3"/>
                <w:position w:val="12"/>
                <w:sz w:val="16"/>
                <w:szCs w:val="16"/>
              </w:rPr>
              <w:t>水/g</w:t>
            </w:r>
          </w:p>
          <w:p w:rsidR="00EA40A3" w:rsidRDefault="00E86C16">
            <w:pPr>
              <w:spacing w:line="217" w:lineRule="auto"/>
              <w:ind w:left="820"/>
              <w:rPr>
                <w:rFonts w:ascii="宋体" w:eastAsia="宋体" w:hAnsi="宋体" w:cs="宋体"/>
                <w:sz w:val="16"/>
                <w:szCs w:val="16"/>
              </w:rPr>
            </w:pPr>
            <w:r>
              <w:rPr>
                <w:rFonts w:ascii="宋体" w:eastAsia="宋体" w:hAnsi="宋体" w:cs="宋体"/>
                <w:spacing w:val="-3"/>
                <w:sz w:val="16"/>
                <w:szCs w:val="16"/>
              </w:rPr>
              <w:t>能量/kJ</w:t>
            </w:r>
          </w:p>
          <w:p w:rsidR="00EA40A3" w:rsidRDefault="00E86C16">
            <w:pPr>
              <w:spacing w:before="86" w:line="214" w:lineRule="auto"/>
              <w:ind w:left="760"/>
              <w:rPr>
                <w:rFonts w:ascii="宋体" w:eastAsia="宋体" w:hAnsi="宋体" w:cs="宋体"/>
                <w:sz w:val="16"/>
                <w:szCs w:val="16"/>
              </w:rPr>
            </w:pPr>
            <w:r>
              <w:rPr>
                <w:rFonts w:ascii="宋体" w:eastAsia="宋体" w:hAnsi="宋体" w:cs="宋体"/>
                <w:spacing w:val="-2"/>
                <w:sz w:val="16"/>
                <w:szCs w:val="16"/>
              </w:rPr>
              <w:t>蛋白质/g</w:t>
            </w:r>
          </w:p>
          <w:p w:rsidR="00EA40A3" w:rsidRDefault="00E86C16">
            <w:pPr>
              <w:spacing w:before="114" w:line="214" w:lineRule="auto"/>
              <w:ind w:left="829"/>
              <w:rPr>
                <w:rFonts w:ascii="宋体" w:eastAsia="宋体" w:hAnsi="宋体" w:cs="宋体"/>
                <w:sz w:val="16"/>
                <w:szCs w:val="16"/>
              </w:rPr>
            </w:pPr>
            <w:r>
              <w:rPr>
                <w:rFonts w:ascii="宋体" w:eastAsia="宋体" w:hAnsi="宋体" w:cs="宋体"/>
                <w:spacing w:val="-2"/>
                <w:sz w:val="16"/>
                <w:szCs w:val="16"/>
              </w:rPr>
              <w:t>脂肪/g</w:t>
            </w:r>
          </w:p>
          <w:p w:rsidR="00EA40A3" w:rsidRDefault="00E86C16">
            <w:pPr>
              <w:spacing w:before="104" w:line="214" w:lineRule="auto"/>
              <w:ind w:left="589"/>
              <w:rPr>
                <w:rFonts w:ascii="宋体" w:eastAsia="宋体" w:hAnsi="宋体" w:cs="宋体"/>
                <w:sz w:val="16"/>
                <w:szCs w:val="16"/>
              </w:rPr>
            </w:pPr>
            <w:r>
              <w:rPr>
                <w:rFonts w:ascii="宋体" w:eastAsia="宋体" w:hAnsi="宋体" w:cs="宋体"/>
                <w:spacing w:val="-1"/>
                <w:sz w:val="16"/>
                <w:szCs w:val="16"/>
              </w:rPr>
              <w:t>碳水化合物/g</w:t>
            </w:r>
          </w:p>
          <w:p w:rsidR="00EA40A3" w:rsidRDefault="00E86C16">
            <w:pPr>
              <w:spacing w:before="117" w:line="302" w:lineRule="auto"/>
              <w:ind w:left="659" w:right="315" w:firstLine="190"/>
              <w:rPr>
                <w:rFonts w:ascii="宋体" w:eastAsia="宋体" w:hAnsi="宋体" w:cs="宋体"/>
                <w:sz w:val="16"/>
                <w:szCs w:val="16"/>
              </w:rPr>
            </w:pPr>
            <w:r>
              <w:rPr>
                <w:rFonts w:ascii="宋体" w:eastAsia="宋体" w:hAnsi="宋体" w:cs="宋体"/>
                <w:spacing w:val="-2"/>
                <w:sz w:val="16"/>
                <w:szCs w:val="16"/>
              </w:rPr>
              <w:t>灰分/g</w:t>
            </w:r>
            <w:r>
              <w:rPr>
                <w:rFonts w:ascii="宋体" w:eastAsia="宋体" w:hAnsi="宋体" w:cs="宋体"/>
                <w:sz w:val="16"/>
                <w:szCs w:val="16"/>
              </w:rPr>
              <w:t xml:space="preserve">  </w:t>
            </w:r>
            <w:r>
              <w:rPr>
                <w:rFonts w:ascii="宋体" w:eastAsia="宋体" w:hAnsi="宋体" w:cs="宋体"/>
                <w:spacing w:val="8"/>
                <w:sz w:val="16"/>
                <w:szCs w:val="16"/>
              </w:rPr>
              <w:t>氨基酸/</w:t>
            </w:r>
            <w:r>
              <w:rPr>
                <w:rFonts w:ascii="宋体" w:eastAsia="宋体" w:hAnsi="宋体" w:cs="宋体"/>
                <w:sz w:val="16"/>
                <w:szCs w:val="16"/>
              </w:rPr>
              <w:t xml:space="preserve">mg </w:t>
            </w:r>
            <w:r>
              <w:rPr>
                <w:rFonts w:ascii="宋体" w:eastAsia="宋体" w:hAnsi="宋体" w:cs="宋体"/>
                <w:spacing w:val="-2"/>
                <w:sz w:val="16"/>
                <w:szCs w:val="16"/>
              </w:rPr>
              <w:t>必需氨基酸</w:t>
            </w:r>
          </w:p>
        </w:tc>
        <w:tc>
          <w:tcPr>
            <w:tcW w:w="2433" w:type="dxa"/>
            <w:tcBorders>
              <w:top w:val="single" w:sz="4" w:space="0" w:color="000000"/>
            </w:tcBorders>
          </w:tcPr>
          <w:p w:rsidR="00EA40A3" w:rsidRDefault="00EA40A3">
            <w:pPr>
              <w:spacing w:line="243" w:lineRule="auto"/>
            </w:pPr>
          </w:p>
          <w:p w:rsidR="00EA40A3" w:rsidRDefault="00EA40A3">
            <w:pPr>
              <w:spacing w:line="243" w:lineRule="auto"/>
            </w:pPr>
          </w:p>
          <w:p w:rsidR="00EA40A3" w:rsidRDefault="00EA40A3">
            <w:pPr>
              <w:spacing w:line="244" w:lineRule="auto"/>
            </w:pPr>
          </w:p>
          <w:p w:rsidR="00EA40A3" w:rsidRDefault="00EA40A3">
            <w:pPr>
              <w:spacing w:line="244" w:lineRule="auto"/>
            </w:pPr>
          </w:p>
          <w:p w:rsidR="00EA40A3" w:rsidRDefault="00EA40A3">
            <w:pPr>
              <w:spacing w:line="244" w:lineRule="auto"/>
            </w:pPr>
          </w:p>
          <w:p w:rsidR="00EA40A3" w:rsidRDefault="00E86C16">
            <w:pPr>
              <w:spacing w:before="52" w:line="220" w:lineRule="auto"/>
              <w:ind w:left="822"/>
              <w:rPr>
                <w:rFonts w:ascii="宋体" w:eastAsia="宋体" w:hAnsi="宋体" w:cs="宋体"/>
                <w:sz w:val="16"/>
                <w:szCs w:val="16"/>
              </w:rPr>
            </w:pPr>
            <w:r>
              <w:rPr>
                <w:rFonts w:ascii="宋体" w:eastAsia="宋体" w:hAnsi="宋体" w:cs="宋体"/>
                <w:spacing w:val="5"/>
                <w:sz w:val="16"/>
                <w:szCs w:val="16"/>
              </w:rPr>
              <w:t>(主要为乳糖)</w:t>
            </w:r>
          </w:p>
          <w:p w:rsidR="00EA40A3" w:rsidRDefault="00EA40A3">
            <w:pPr>
              <w:spacing w:line="326" w:lineRule="auto"/>
            </w:pPr>
          </w:p>
          <w:p w:rsidR="00EA40A3" w:rsidRDefault="00EA40A3">
            <w:pPr>
              <w:spacing w:line="327" w:lineRule="auto"/>
            </w:pPr>
          </w:p>
          <w:p w:rsidR="00EA40A3" w:rsidRDefault="00E86C16">
            <w:pPr>
              <w:spacing w:before="52" w:line="220" w:lineRule="auto"/>
              <w:ind w:left="1033"/>
              <w:rPr>
                <w:rFonts w:ascii="宋体" w:eastAsia="宋体" w:hAnsi="宋体" w:cs="宋体"/>
                <w:sz w:val="16"/>
                <w:szCs w:val="16"/>
              </w:rPr>
            </w:pPr>
            <w:r>
              <w:rPr>
                <w:rFonts w:ascii="宋体" w:eastAsia="宋体" w:hAnsi="宋体" w:cs="宋体"/>
                <w:spacing w:val="-2"/>
                <w:sz w:val="16"/>
                <w:szCs w:val="16"/>
              </w:rPr>
              <w:t>组氨酸</w:t>
            </w:r>
          </w:p>
          <w:p w:rsidR="00EA40A3" w:rsidRDefault="00E86C16">
            <w:pPr>
              <w:spacing w:before="58" w:line="260" w:lineRule="exact"/>
              <w:ind w:left="1033"/>
              <w:rPr>
                <w:rFonts w:ascii="宋体" w:eastAsia="宋体" w:hAnsi="宋体" w:cs="宋体"/>
                <w:sz w:val="16"/>
                <w:szCs w:val="16"/>
              </w:rPr>
            </w:pPr>
            <w:r>
              <w:rPr>
                <w:rFonts w:ascii="宋体" w:eastAsia="宋体" w:hAnsi="宋体" w:cs="宋体"/>
                <w:spacing w:val="-2"/>
                <w:position w:val="7"/>
                <w:sz w:val="16"/>
                <w:szCs w:val="16"/>
              </w:rPr>
              <w:t>异亮氨酸</w:t>
            </w:r>
          </w:p>
          <w:p w:rsidR="00EA40A3" w:rsidRDefault="00E86C16">
            <w:pPr>
              <w:spacing w:line="219" w:lineRule="auto"/>
              <w:ind w:left="1033"/>
              <w:rPr>
                <w:rFonts w:ascii="宋体" w:eastAsia="宋体" w:hAnsi="宋体" w:cs="宋体"/>
                <w:sz w:val="16"/>
                <w:szCs w:val="16"/>
              </w:rPr>
            </w:pPr>
            <w:r>
              <w:rPr>
                <w:rFonts w:ascii="宋体" w:eastAsia="宋体" w:hAnsi="宋体" w:cs="宋体"/>
                <w:spacing w:val="-2"/>
                <w:sz w:val="16"/>
                <w:szCs w:val="16"/>
              </w:rPr>
              <w:t>亮氨酸</w:t>
            </w:r>
          </w:p>
          <w:p w:rsidR="00EA40A3" w:rsidRDefault="00E86C16">
            <w:pPr>
              <w:spacing w:before="60" w:line="219" w:lineRule="auto"/>
              <w:ind w:left="1033"/>
              <w:rPr>
                <w:rFonts w:ascii="宋体" w:eastAsia="宋体" w:hAnsi="宋体" w:cs="宋体"/>
                <w:sz w:val="16"/>
                <w:szCs w:val="16"/>
              </w:rPr>
            </w:pPr>
            <w:r>
              <w:rPr>
                <w:rFonts w:ascii="宋体" w:eastAsia="宋体" w:hAnsi="宋体" w:cs="宋体"/>
                <w:spacing w:val="-2"/>
                <w:sz w:val="16"/>
                <w:szCs w:val="16"/>
              </w:rPr>
              <w:t>赖氨酸</w:t>
            </w:r>
          </w:p>
          <w:p w:rsidR="00EA40A3" w:rsidRDefault="00E86C16">
            <w:pPr>
              <w:spacing w:before="70" w:line="220" w:lineRule="auto"/>
              <w:ind w:left="1033"/>
              <w:rPr>
                <w:rFonts w:ascii="宋体" w:eastAsia="宋体" w:hAnsi="宋体" w:cs="宋体"/>
                <w:sz w:val="16"/>
                <w:szCs w:val="16"/>
              </w:rPr>
            </w:pPr>
            <w:r>
              <w:rPr>
                <w:rFonts w:ascii="宋体" w:eastAsia="宋体" w:hAnsi="宋体" w:cs="宋体"/>
                <w:spacing w:val="-3"/>
                <w:sz w:val="16"/>
                <w:szCs w:val="16"/>
              </w:rPr>
              <w:t>蛋氨酸</w:t>
            </w:r>
          </w:p>
          <w:p w:rsidR="00EA40A3" w:rsidRDefault="00E86C16">
            <w:pPr>
              <w:spacing w:before="58" w:line="261" w:lineRule="exact"/>
              <w:ind w:left="1033"/>
              <w:rPr>
                <w:rFonts w:ascii="宋体" w:eastAsia="宋体" w:hAnsi="宋体" w:cs="宋体"/>
                <w:sz w:val="16"/>
                <w:szCs w:val="16"/>
              </w:rPr>
            </w:pPr>
            <w:r>
              <w:rPr>
                <w:rFonts w:ascii="宋体" w:eastAsia="宋体" w:hAnsi="宋体" w:cs="宋体"/>
                <w:spacing w:val="-2"/>
                <w:position w:val="7"/>
                <w:sz w:val="16"/>
                <w:szCs w:val="16"/>
              </w:rPr>
              <w:t>苯丙氨酸</w:t>
            </w:r>
          </w:p>
          <w:p w:rsidR="00EA40A3" w:rsidRDefault="00E86C16">
            <w:pPr>
              <w:spacing w:line="220" w:lineRule="auto"/>
              <w:ind w:left="1033"/>
              <w:rPr>
                <w:rFonts w:ascii="宋体" w:eastAsia="宋体" w:hAnsi="宋体" w:cs="宋体"/>
                <w:sz w:val="16"/>
                <w:szCs w:val="16"/>
              </w:rPr>
            </w:pPr>
            <w:r>
              <w:rPr>
                <w:rFonts w:ascii="宋体" w:eastAsia="宋体" w:hAnsi="宋体" w:cs="宋体"/>
                <w:spacing w:val="-3"/>
                <w:sz w:val="16"/>
                <w:szCs w:val="16"/>
              </w:rPr>
              <w:t>苏氨酸</w:t>
            </w:r>
          </w:p>
          <w:p w:rsidR="00EA40A3" w:rsidRDefault="00E86C16">
            <w:pPr>
              <w:spacing w:before="60" w:line="260" w:lineRule="exact"/>
              <w:ind w:left="1033"/>
              <w:rPr>
                <w:rFonts w:ascii="宋体" w:eastAsia="宋体" w:hAnsi="宋体" w:cs="宋体"/>
                <w:sz w:val="16"/>
                <w:szCs w:val="16"/>
              </w:rPr>
            </w:pPr>
            <w:r>
              <w:rPr>
                <w:rFonts w:ascii="宋体" w:eastAsia="宋体" w:hAnsi="宋体" w:cs="宋体"/>
                <w:spacing w:val="-2"/>
                <w:position w:val="7"/>
                <w:sz w:val="16"/>
                <w:szCs w:val="16"/>
              </w:rPr>
              <w:t>色氨酸</w:t>
            </w:r>
          </w:p>
          <w:p w:rsidR="00EA40A3" w:rsidRDefault="00E86C16">
            <w:pPr>
              <w:spacing w:line="220" w:lineRule="auto"/>
              <w:ind w:left="1033"/>
              <w:rPr>
                <w:rFonts w:ascii="宋体" w:eastAsia="宋体" w:hAnsi="宋体" w:cs="宋体"/>
                <w:sz w:val="16"/>
                <w:szCs w:val="16"/>
              </w:rPr>
            </w:pPr>
            <w:r>
              <w:rPr>
                <w:rFonts w:ascii="宋体" w:eastAsia="宋体" w:hAnsi="宋体" w:cs="宋体"/>
                <w:spacing w:val="-2"/>
                <w:sz w:val="16"/>
                <w:szCs w:val="16"/>
              </w:rPr>
              <w:t>缬氨酸</w:t>
            </w:r>
          </w:p>
        </w:tc>
        <w:tc>
          <w:tcPr>
            <w:tcW w:w="1797" w:type="dxa"/>
            <w:tcBorders>
              <w:top w:val="single" w:sz="4" w:space="0" w:color="000000"/>
            </w:tcBorders>
          </w:tcPr>
          <w:p w:rsidR="00EA40A3" w:rsidRDefault="00E86C16">
            <w:pPr>
              <w:spacing w:before="158" w:line="270" w:lineRule="exact"/>
              <w:ind w:left="730"/>
              <w:rPr>
                <w:rFonts w:ascii="宋体" w:eastAsia="宋体" w:hAnsi="宋体" w:cs="宋体"/>
                <w:sz w:val="16"/>
                <w:szCs w:val="16"/>
              </w:rPr>
            </w:pPr>
            <w:r>
              <w:rPr>
                <w:rFonts w:ascii="宋体" w:eastAsia="宋体" w:hAnsi="宋体" w:cs="宋体"/>
                <w:spacing w:val="-2"/>
                <w:position w:val="10"/>
                <w:sz w:val="16"/>
                <w:szCs w:val="16"/>
              </w:rPr>
              <w:t>87.6</w:t>
            </w:r>
          </w:p>
          <w:p w:rsidR="00EA40A3" w:rsidRDefault="00E86C16">
            <w:pPr>
              <w:spacing w:line="183" w:lineRule="auto"/>
              <w:ind w:left="769"/>
              <w:rPr>
                <w:rFonts w:ascii="宋体" w:eastAsia="宋体" w:hAnsi="宋体" w:cs="宋体"/>
                <w:sz w:val="16"/>
                <w:szCs w:val="16"/>
              </w:rPr>
            </w:pPr>
            <w:r>
              <w:rPr>
                <w:rFonts w:ascii="宋体" w:eastAsia="宋体" w:hAnsi="宋体" w:cs="宋体"/>
                <w:spacing w:val="-2"/>
                <w:sz w:val="16"/>
                <w:szCs w:val="16"/>
              </w:rPr>
              <w:t>274</w:t>
            </w:r>
          </w:p>
          <w:p w:rsidR="00EA40A3" w:rsidRDefault="00E86C16">
            <w:pPr>
              <w:spacing w:before="140" w:line="184" w:lineRule="auto"/>
              <w:ind w:left="769"/>
              <w:rPr>
                <w:rFonts w:ascii="宋体" w:eastAsia="宋体" w:hAnsi="宋体" w:cs="宋体"/>
                <w:sz w:val="16"/>
                <w:szCs w:val="16"/>
              </w:rPr>
            </w:pPr>
            <w:r>
              <w:rPr>
                <w:rFonts w:ascii="宋体" w:eastAsia="宋体" w:hAnsi="宋体" w:cs="宋体"/>
                <w:spacing w:val="-5"/>
                <w:sz w:val="16"/>
                <w:szCs w:val="16"/>
              </w:rPr>
              <w:t>1.3</w:t>
            </w:r>
          </w:p>
          <w:p w:rsidR="00EA40A3" w:rsidRDefault="00E86C16">
            <w:pPr>
              <w:spacing w:before="141" w:line="183" w:lineRule="auto"/>
              <w:ind w:left="769"/>
              <w:rPr>
                <w:rFonts w:ascii="宋体" w:eastAsia="宋体" w:hAnsi="宋体" w:cs="宋体"/>
                <w:sz w:val="16"/>
                <w:szCs w:val="16"/>
              </w:rPr>
            </w:pPr>
            <w:r>
              <w:rPr>
                <w:rFonts w:ascii="宋体" w:eastAsia="宋体" w:hAnsi="宋体" w:cs="宋体"/>
                <w:spacing w:val="-3"/>
                <w:sz w:val="16"/>
                <w:szCs w:val="16"/>
              </w:rPr>
              <w:t>3.4</w:t>
            </w:r>
          </w:p>
          <w:p w:rsidR="00EA40A3" w:rsidRDefault="00E86C16">
            <w:pPr>
              <w:spacing w:before="121" w:line="183" w:lineRule="auto"/>
              <w:ind w:left="769"/>
              <w:rPr>
                <w:rFonts w:ascii="宋体" w:eastAsia="宋体" w:hAnsi="宋体" w:cs="宋体"/>
                <w:sz w:val="16"/>
                <w:szCs w:val="16"/>
              </w:rPr>
            </w:pPr>
            <w:r>
              <w:rPr>
                <w:rFonts w:ascii="宋体" w:eastAsia="宋体" w:hAnsi="宋体" w:cs="宋体"/>
                <w:spacing w:val="-3"/>
                <w:sz w:val="16"/>
                <w:szCs w:val="16"/>
              </w:rPr>
              <w:t>7.4</w:t>
            </w:r>
          </w:p>
          <w:p w:rsidR="00EA40A3" w:rsidRDefault="00E86C16">
            <w:pPr>
              <w:spacing w:before="141" w:line="183" w:lineRule="auto"/>
              <w:ind w:left="769"/>
              <w:rPr>
                <w:rFonts w:ascii="宋体" w:eastAsia="宋体" w:hAnsi="宋体" w:cs="宋体"/>
                <w:sz w:val="16"/>
                <w:szCs w:val="16"/>
              </w:rPr>
            </w:pPr>
            <w:r>
              <w:rPr>
                <w:rFonts w:ascii="宋体" w:eastAsia="宋体" w:hAnsi="宋体" w:cs="宋体"/>
                <w:spacing w:val="-2"/>
                <w:sz w:val="16"/>
                <w:szCs w:val="16"/>
              </w:rPr>
              <w:t>0.3</w:t>
            </w:r>
          </w:p>
          <w:p w:rsidR="00EA40A3" w:rsidRDefault="00EA40A3">
            <w:pPr>
              <w:spacing w:line="386" w:lineRule="auto"/>
            </w:pPr>
          </w:p>
          <w:p w:rsidR="00EA40A3" w:rsidRDefault="00E86C16">
            <w:pPr>
              <w:spacing w:before="53" w:line="183" w:lineRule="auto"/>
              <w:ind w:left="809"/>
              <w:rPr>
                <w:rFonts w:ascii="宋体" w:eastAsia="宋体" w:hAnsi="宋体" w:cs="宋体"/>
                <w:sz w:val="16"/>
                <w:szCs w:val="16"/>
              </w:rPr>
            </w:pPr>
            <w:r>
              <w:rPr>
                <w:rFonts w:ascii="宋体" w:eastAsia="宋体" w:hAnsi="宋体" w:cs="宋体"/>
                <w:spacing w:val="-3"/>
                <w:sz w:val="16"/>
                <w:szCs w:val="16"/>
              </w:rPr>
              <w:t>29</w:t>
            </w:r>
          </w:p>
          <w:p w:rsidR="00EA40A3" w:rsidRDefault="00E86C16">
            <w:pPr>
              <w:spacing w:before="101" w:line="183" w:lineRule="auto"/>
              <w:ind w:left="719"/>
              <w:rPr>
                <w:rFonts w:ascii="宋体" w:eastAsia="宋体" w:hAnsi="宋体" w:cs="宋体"/>
                <w:sz w:val="16"/>
                <w:szCs w:val="16"/>
              </w:rPr>
            </w:pPr>
            <w:r>
              <w:rPr>
                <w:rFonts w:ascii="宋体" w:eastAsia="宋体" w:hAnsi="宋体" w:cs="宋体"/>
                <w:spacing w:val="-3"/>
                <w:sz w:val="16"/>
                <w:szCs w:val="16"/>
              </w:rPr>
              <w:t>52</w:t>
            </w:r>
          </w:p>
          <w:p w:rsidR="00EA40A3" w:rsidRDefault="00E86C16">
            <w:pPr>
              <w:spacing w:before="81" w:line="184" w:lineRule="auto"/>
              <w:ind w:left="769"/>
              <w:rPr>
                <w:rFonts w:ascii="宋体" w:eastAsia="宋体" w:hAnsi="宋体" w:cs="宋体"/>
                <w:sz w:val="16"/>
                <w:szCs w:val="16"/>
              </w:rPr>
            </w:pPr>
            <w:r>
              <w:rPr>
                <w:rFonts w:ascii="宋体" w:eastAsia="宋体" w:hAnsi="宋体" w:cs="宋体"/>
                <w:spacing w:val="-5"/>
                <w:sz w:val="16"/>
                <w:szCs w:val="16"/>
              </w:rPr>
              <w:t>112</w:t>
            </w:r>
          </w:p>
          <w:p w:rsidR="00EA40A3" w:rsidRDefault="00E86C16">
            <w:pPr>
              <w:spacing w:before="101" w:line="183" w:lineRule="auto"/>
              <w:ind w:left="719"/>
              <w:rPr>
                <w:rFonts w:ascii="宋体" w:eastAsia="宋体" w:hAnsi="宋体" w:cs="宋体"/>
                <w:sz w:val="16"/>
                <w:szCs w:val="16"/>
              </w:rPr>
            </w:pPr>
            <w:r>
              <w:rPr>
                <w:rFonts w:ascii="宋体" w:eastAsia="宋体" w:hAnsi="宋体" w:cs="宋体"/>
                <w:spacing w:val="-3"/>
                <w:sz w:val="16"/>
                <w:szCs w:val="16"/>
              </w:rPr>
              <w:t>70</w:t>
            </w:r>
          </w:p>
          <w:p w:rsidR="00EA40A3" w:rsidRDefault="00E86C16">
            <w:pPr>
              <w:spacing w:before="111" w:line="184" w:lineRule="auto"/>
              <w:ind w:left="719"/>
              <w:rPr>
                <w:rFonts w:ascii="宋体" w:eastAsia="宋体" w:hAnsi="宋体" w:cs="宋体"/>
                <w:sz w:val="16"/>
                <w:szCs w:val="16"/>
              </w:rPr>
            </w:pPr>
            <w:r>
              <w:rPr>
                <w:rFonts w:ascii="宋体" w:eastAsia="宋体" w:hAnsi="宋体" w:cs="宋体"/>
                <w:spacing w:val="-5"/>
                <w:sz w:val="16"/>
                <w:szCs w:val="16"/>
              </w:rPr>
              <w:t>17</w:t>
            </w:r>
          </w:p>
          <w:p w:rsidR="00EA40A3" w:rsidRDefault="00E86C16">
            <w:pPr>
              <w:spacing w:before="101" w:line="183" w:lineRule="auto"/>
              <w:ind w:left="699"/>
              <w:rPr>
                <w:rFonts w:ascii="宋体" w:eastAsia="宋体" w:hAnsi="宋体" w:cs="宋体"/>
                <w:sz w:val="16"/>
                <w:szCs w:val="16"/>
              </w:rPr>
            </w:pPr>
            <w:r>
              <w:rPr>
                <w:rFonts w:ascii="宋体" w:eastAsia="宋体" w:hAnsi="宋体" w:cs="宋体"/>
                <w:spacing w:val="-3"/>
                <w:sz w:val="16"/>
                <w:szCs w:val="16"/>
              </w:rPr>
              <w:t>36</w:t>
            </w:r>
          </w:p>
          <w:p w:rsidR="00EA40A3" w:rsidRDefault="00E86C16">
            <w:pPr>
              <w:spacing w:before="102" w:line="183" w:lineRule="auto"/>
              <w:ind w:left="710"/>
              <w:rPr>
                <w:rFonts w:ascii="宋体" w:eastAsia="宋体" w:hAnsi="宋体" w:cs="宋体"/>
                <w:sz w:val="16"/>
                <w:szCs w:val="16"/>
              </w:rPr>
            </w:pPr>
            <w:r>
              <w:rPr>
                <w:rFonts w:ascii="宋体" w:eastAsia="宋体" w:hAnsi="宋体" w:cs="宋体"/>
                <w:spacing w:val="-2"/>
                <w:sz w:val="16"/>
                <w:szCs w:val="16"/>
              </w:rPr>
              <w:t>45</w:t>
            </w:r>
          </w:p>
          <w:p w:rsidR="00EA40A3" w:rsidRDefault="00E86C16">
            <w:pPr>
              <w:spacing w:before="80" w:line="184" w:lineRule="auto"/>
              <w:ind w:left="719"/>
              <w:rPr>
                <w:rFonts w:ascii="宋体" w:eastAsia="宋体" w:hAnsi="宋体" w:cs="宋体"/>
                <w:sz w:val="16"/>
                <w:szCs w:val="16"/>
              </w:rPr>
            </w:pPr>
            <w:r>
              <w:rPr>
                <w:rFonts w:ascii="宋体" w:eastAsia="宋体" w:hAnsi="宋体" w:cs="宋体"/>
                <w:spacing w:val="-5"/>
                <w:sz w:val="16"/>
                <w:szCs w:val="16"/>
              </w:rPr>
              <w:t>17</w:t>
            </w:r>
          </w:p>
          <w:p w:rsidR="00EA40A3" w:rsidRDefault="00E86C16">
            <w:pPr>
              <w:spacing w:before="103" w:line="182" w:lineRule="auto"/>
              <w:ind w:left="699"/>
              <w:rPr>
                <w:rFonts w:ascii="宋体" w:eastAsia="宋体" w:hAnsi="宋体" w:cs="宋体"/>
                <w:sz w:val="16"/>
                <w:szCs w:val="16"/>
              </w:rPr>
            </w:pPr>
            <w:r>
              <w:rPr>
                <w:rFonts w:ascii="宋体" w:eastAsia="宋体" w:hAnsi="宋体" w:cs="宋体"/>
                <w:spacing w:val="-3"/>
                <w:sz w:val="16"/>
                <w:szCs w:val="16"/>
              </w:rPr>
              <w:t>57</w:t>
            </w:r>
          </w:p>
        </w:tc>
        <w:tc>
          <w:tcPr>
            <w:tcW w:w="1402" w:type="dxa"/>
            <w:tcBorders>
              <w:top w:val="single" w:sz="4" w:space="0" w:color="000000"/>
            </w:tcBorders>
          </w:tcPr>
          <w:p w:rsidR="00EA40A3" w:rsidRDefault="00E86C16">
            <w:pPr>
              <w:spacing w:before="148" w:line="280" w:lineRule="exact"/>
              <w:ind w:left="763"/>
              <w:rPr>
                <w:rFonts w:ascii="宋体" w:eastAsia="宋体" w:hAnsi="宋体" w:cs="宋体"/>
                <w:sz w:val="16"/>
                <w:szCs w:val="16"/>
              </w:rPr>
            </w:pPr>
            <w:r>
              <w:rPr>
                <w:rFonts w:ascii="宋体" w:eastAsia="宋体" w:hAnsi="宋体" w:cs="宋体"/>
                <w:spacing w:val="-2"/>
                <w:position w:val="11"/>
                <w:sz w:val="16"/>
                <w:szCs w:val="16"/>
              </w:rPr>
              <w:t>89.8</w:t>
            </w:r>
          </w:p>
          <w:p w:rsidR="00EA40A3" w:rsidRDefault="00E86C16">
            <w:pPr>
              <w:spacing w:line="183" w:lineRule="auto"/>
              <w:ind w:left="842"/>
              <w:rPr>
                <w:rFonts w:ascii="宋体" w:eastAsia="宋体" w:hAnsi="宋体" w:cs="宋体"/>
                <w:sz w:val="16"/>
                <w:szCs w:val="16"/>
              </w:rPr>
            </w:pPr>
            <w:r>
              <w:rPr>
                <w:rFonts w:ascii="宋体" w:eastAsia="宋体" w:hAnsi="宋体" w:cs="宋体"/>
                <w:spacing w:val="-2"/>
                <w:sz w:val="16"/>
                <w:szCs w:val="16"/>
              </w:rPr>
              <w:t>226</w:t>
            </w:r>
          </w:p>
          <w:p w:rsidR="00EA40A3" w:rsidRDefault="00E86C16">
            <w:pPr>
              <w:spacing w:before="131" w:line="183" w:lineRule="auto"/>
              <w:ind w:left="842"/>
              <w:rPr>
                <w:rFonts w:ascii="宋体" w:eastAsia="宋体" w:hAnsi="宋体" w:cs="宋体"/>
                <w:sz w:val="16"/>
                <w:szCs w:val="16"/>
              </w:rPr>
            </w:pPr>
            <w:r>
              <w:rPr>
                <w:rFonts w:ascii="宋体" w:eastAsia="宋体" w:hAnsi="宋体" w:cs="宋体"/>
                <w:spacing w:val="-3"/>
                <w:sz w:val="16"/>
                <w:szCs w:val="16"/>
              </w:rPr>
              <w:t>3.0</w:t>
            </w:r>
          </w:p>
          <w:p w:rsidR="00EA40A3" w:rsidRDefault="00E86C16">
            <w:pPr>
              <w:spacing w:before="141" w:line="183" w:lineRule="auto"/>
              <w:ind w:left="842"/>
              <w:rPr>
                <w:rFonts w:ascii="宋体" w:eastAsia="宋体" w:hAnsi="宋体" w:cs="宋体"/>
                <w:sz w:val="16"/>
                <w:szCs w:val="16"/>
              </w:rPr>
            </w:pPr>
            <w:r>
              <w:rPr>
                <w:rFonts w:ascii="宋体" w:eastAsia="宋体" w:hAnsi="宋体" w:cs="宋体"/>
                <w:spacing w:val="-3"/>
                <w:sz w:val="16"/>
                <w:szCs w:val="16"/>
              </w:rPr>
              <w:t>3.2</w:t>
            </w:r>
          </w:p>
          <w:p w:rsidR="00EA40A3" w:rsidRDefault="00E86C16">
            <w:pPr>
              <w:spacing w:before="151" w:line="183" w:lineRule="auto"/>
              <w:ind w:left="842"/>
              <w:rPr>
                <w:rFonts w:ascii="宋体" w:eastAsia="宋体" w:hAnsi="宋体" w:cs="宋体"/>
                <w:sz w:val="16"/>
                <w:szCs w:val="16"/>
              </w:rPr>
            </w:pPr>
            <w:r>
              <w:rPr>
                <w:rFonts w:ascii="宋体" w:eastAsia="宋体" w:hAnsi="宋体" w:cs="宋体"/>
                <w:spacing w:val="-3"/>
                <w:sz w:val="16"/>
                <w:szCs w:val="16"/>
              </w:rPr>
              <w:t>3.4</w:t>
            </w:r>
          </w:p>
          <w:p w:rsidR="00EA40A3" w:rsidRDefault="00E86C16">
            <w:pPr>
              <w:spacing w:before="121" w:line="183" w:lineRule="auto"/>
              <w:ind w:left="842"/>
              <w:rPr>
                <w:rFonts w:ascii="宋体" w:eastAsia="宋体" w:hAnsi="宋体" w:cs="宋体"/>
                <w:sz w:val="16"/>
                <w:szCs w:val="16"/>
              </w:rPr>
            </w:pPr>
            <w:r>
              <w:rPr>
                <w:rFonts w:ascii="宋体" w:eastAsia="宋体" w:hAnsi="宋体" w:cs="宋体"/>
                <w:spacing w:val="-2"/>
                <w:sz w:val="16"/>
                <w:szCs w:val="16"/>
              </w:rPr>
              <w:t>0.6</w:t>
            </w:r>
          </w:p>
          <w:p w:rsidR="00EA40A3" w:rsidRDefault="00EA40A3">
            <w:pPr>
              <w:spacing w:line="386" w:lineRule="auto"/>
            </w:pPr>
          </w:p>
          <w:p w:rsidR="00EA40A3" w:rsidRDefault="00E86C16">
            <w:pPr>
              <w:spacing w:before="53" w:line="183" w:lineRule="auto"/>
              <w:ind w:left="922"/>
              <w:rPr>
                <w:rFonts w:ascii="宋体" w:eastAsia="宋体" w:hAnsi="宋体" w:cs="宋体"/>
                <w:sz w:val="16"/>
                <w:szCs w:val="16"/>
              </w:rPr>
            </w:pPr>
            <w:r>
              <w:rPr>
                <w:rFonts w:ascii="宋体" w:eastAsia="宋体" w:hAnsi="宋体" w:cs="宋体"/>
                <w:spacing w:val="-2"/>
                <w:sz w:val="16"/>
                <w:szCs w:val="16"/>
              </w:rPr>
              <w:t>62</w:t>
            </w:r>
          </w:p>
          <w:p w:rsidR="00EA40A3" w:rsidRDefault="00E86C16">
            <w:pPr>
              <w:spacing w:before="100" w:line="184" w:lineRule="auto"/>
              <w:ind w:left="842"/>
              <w:rPr>
                <w:rFonts w:ascii="宋体" w:eastAsia="宋体" w:hAnsi="宋体" w:cs="宋体"/>
                <w:sz w:val="16"/>
                <w:szCs w:val="16"/>
              </w:rPr>
            </w:pPr>
            <w:r>
              <w:rPr>
                <w:rFonts w:ascii="宋体" w:eastAsia="宋体" w:hAnsi="宋体" w:cs="宋体"/>
                <w:spacing w:val="-5"/>
                <w:sz w:val="16"/>
                <w:szCs w:val="16"/>
              </w:rPr>
              <w:t>115</w:t>
            </w:r>
          </w:p>
          <w:p w:rsidR="00EA40A3" w:rsidRDefault="00E86C16">
            <w:pPr>
              <w:spacing w:before="92" w:line="183" w:lineRule="auto"/>
              <w:ind w:left="842"/>
              <w:rPr>
                <w:rFonts w:ascii="宋体" w:eastAsia="宋体" w:hAnsi="宋体" w:cs="宋体"/>
                <w:sz w:val="16"/>
                <w:szCs w:val="16"/>
              </w:rPr>
            </w:pPr>
            <w:r>
              <w:rPr>
                <w:rFonts w:ascii="宋体" w:eastAsia="宋体" w:hAnsi="宋体" w:cs="宋体"/>
                <w:spacing w:val="-2"/>
                <w:sz w:val="16"/>
                <w:szCs w:val="16"/>
              </w:rPr>
              <w:t>245</w:t>
            </w:r>
          </w:p>
          <w:p w:rsidR="00EA40A3" w:rsidRDefault="00E86C16">
            <w:pPr>
              <w:spacing w:before="91" w:line="183" w:lineRule="auto"/>
              <w:ind w:left="842"/>
              <w:rPr>
                <w:rFonts w:ascii="宋体" w:eastAsia="宋体" w:hAnsi="宋体" w:cs="宋体"/>
                <w:sz w:val="16"/>
                <w:szCs w:val="16"/>
              </w:rPr>
            </w:pPr>
            <w:r>
              <w:rPr>
                <w:rFonts w:ascii="宋体" w:eastAsia="宋体" w:hAnsi="宋体" w:cs="宋体"/>
                <w:spacing w:val="-2"/>
                <w:sz w:val="16"/>
                <w:szCs w:val="16"/>
              </w:rPr>
              <w:t>207</w:t>
            </w:r>
          </w:p>
          <w:p w:rsidR="00EA40A3" w:rsidRDefault="00E86C16">
            <w:pPr>
              <w:spacing w:before="112" w:line="183" w:lineRule="auto"/>
              <w:ind w:left="922"/>
              <w:rPr>
                <w:rFonts w:ascii="宋体" w:eastAsia="宋体" w:hAnsi="宋体" w:cs="宋体"/>
                <w:sz w:val="16"/>
                <w:szCs w:val="16"/>
              </w:rPr>
            </w:pPr>
            <w:r>
              <w:rPr>
                <w:rFonts w:ascii="宋体" w:eastAsia="宋体" w:hAnsi="宋体" w:cs="宋体"/>
                <w:spacing w:val="-2"/>
                <w:sz w:val="16"/>
                <w:szCs w:val="16"/>
              </w:rPr>
              <w:t>65</w:t>
            </w:r>
          </w:p>
          <w:p w:rsidR="00EA40A3" w:rsidRDefault="00E86C16">
            <w:pPr>
              <w:spacing w:before="90" w:line="184" w:lineRule="auto"/>
              <w:ind w:left="842"/>
              <w:rPr>
                <w:rFonts w:ascii="宋体" w:eastAsia="宋体" w:hAnsi="宋体" w:cs="宋体"/>
                <w:sz w:val="16"/>
                <w:szCs w:val="16"/>
              </w:rPr>
            </w:pPr>
            <w:r>
              <w:rPr>
                <w:rFonts w:ascii="宋体" w:eastAsia="宋体" w:hAnsi="宋体" w:cs="宋体"/>
                <w:spacing w:val="-5"/>
                <w:sz w:val="16"/>
                <w:szCs w:val="16"/>
              </w:rPr>
              <w:t>113</w:t>
            </w:r>
          </w:p>
          <w:p w:rsidR="00EA40A3" w:rsidRDefault="00E86C16">
            <w:pPr>
              <w:spacing w:before="121" w:line="184" w:lineRule="auto"/>
              <w:ind w:left="842"/>
              <w:rPr>
                <w:rFonts w:ascii="宋体" w:eastAsia="宋体" w:hAnsi="宋体" w:cs="宋体"/>
                <w:sz w:val="16"/>
                <w:szCs w:val="16"/>
              </w:rPr>
            </w:pPr>
            <w:r>
              <w:rPr>
                <w:rFonts w:ascii="宋体" w:eastAsia="宋体" w:hAnsi="宋体" w:cs="宋体"/>
                <w:spacing w:val="-5"/>
                <w:sz w:val="16"/>
                <w:szCs w:val="16"/>
              </w:rPr>
              <w:t>101</w:t>
            </w:r>
          </w:p>
          <w:p w:rsidR="00EA40A3" w:rsidRDefault="00E86C16">
            <w:pPr>
              <w:spacing w:before="81" w:line="183" w:lineRule="auto"/>
              <w:ind w:left="922"/>
              <w:rPr>
                <w:rFonts w:ascii="宋体" w:eastAsia="宋体" w:hAnsi="宋体" w:cs="宋体"/>
                <w:sz w:val="16"/>
                <w:szCs w:val="16"/>
              </w:rPr>
            </w:pPr>
            <w:r>
              <w:rPr>
                <w:rFonts w:ascii="宋体" w:eastAsia="宋体" w:hAnsi="宋体" w:cs="宋体"/>
                <w:spacing w:val="-3"/>
                <w:sz w:val="16"/>
                <w:szCs w:val="16"/>
              </w:rPr>
              <w:t>39</w:t>
            </w:r>
          </w:p>
          <w:p w:rsidR="00EA40A3" w:rsidRDefault="00E86C16">
            <w:pPr>
              <w:spacing w:before="91" w:line="184" w:lineRule="auto"/>
              <w:ind w:left="842"/>
              <w:rPr>
                <w:rFonts w:ascii="宋体" w:eastAsia="宋体" w:hAnsi="宋体" w:cs="宋体"/>
                <w:sz w:val="16"/>
                <w:szCs w:val="16"/>
              </w:rPr>
            </w:pPr>
            <w:r>
              <w:rPr>
                <w:rFonts w:ascii="宋体" w:eastAsia="宋体" w:hAnsi="宋体" w:cs="宋体"/>
                <w:spacing w:val="-5"/>
                <w:sz w:val="16"/>
                <w:szCs w:val="16"/>
              </w:rPr>
              <w:t>134</w:t>
            </w:r>
          </w:p>
        </w:tc>
      </w:tr>
      <w:tr w:rsidR="00EA40A3">
        <w:trPr>
          <w:trHeight w:val="2282"/>
        </w:trPr>
        <w:tc>
          <w:tcPr>
            <w:tcW w:w="1767" w:type="dxa"/>
            <w:tcBorders>
              <w:bottom w:val="single" w:sz="4" w:space="0" w:color="000000"/>
            </w:tcBorders>
          </w:tcPr>
          <w:p w:rsidR="00EA40A3" w:rsidRDefault="00E86C16">
            <w:pPr>
              <w:spacing w:before="65" w:line="220" w:lineRule="auto"/>
              <w:ind w:left="659"/>
              <w:rPr>
                <w:rFonts w:ascii="宋体" w:eastAsia="宋体" w:hAnsi="宋体" w:cs="宋体"/>
                <w:sz w:val="16"/>
                <w:szCs w:val="16"/>
              </w:rPr>
            </w:pPr>
            <w:r>
              <w:rPr>
                <w:rFonts w:ascii="宋体" w:eastAsia="宋体" w:hAnsi="宋体" w:cs="宋体"/>
                <w:spacing w:val="-2"/>
                <w:sz w:val="16"/>
                <w:szCs w:val="16"/>
              </w:rPr>
              <w:t>非必需氨基酸</w:t>
            </w:r>
          </w:p>
        </w:tc>
        <w:tc>
          <w:tcPr>
            <w:tcW w:w="2433" w:type="dxa"/>
            <w:tcBorders>
              <w:bottom w:val="single" w:sz="4" w:space="0" w:color="000000"/>
            </w:tcBorders>
          </w:tcPr>
          <w:p w:rsidR="00EA40A3" w:rsidRDefault="00E86C16">
            <w:pPr>
              <w:spacing w:before="63" w:line="261" w:lineRule="exact"/>
              <w:ind w:left="1033"/>
              <w:rPr>
                <w:rFonts w:ascii="宋体" w:eastAsia="宋体" w:hAnsi="宋体" w:cs="宋体"/>
                <w:sz w:val="15"/>
                <w:szCs w:val="15"/>
              </w:rPr>
            </w:pPr>
            <w:r>
              <w:rPr>
                <w:rFonts w:ascii="宋体" w:eastAsia="宋体" w:hAnsi="宋体" w:cs="宋体"/>
                <w:spacing w:val="7"/>
                <w:position w:val="7"/>
                <w:sz w:val="15"/>
                <w:szCs w:val="15"/>
              </w:rPr>
              <w:t>精氨酸</w:t>
            </w:r>
          </w:p>
          <w:p w:rsidR="00EA40A3" w:rsidRDefault="00E86C16">
            <w:pPr>
              <w:spacing w:line="232" w:lineRule="auto"/>
              <w:ind w:left="982"/>
              <w:rPr>
                <w:rFonts w:ascii="宋体" w:eastAsia="宋体" w:hAnsi="宋体" w:cs="宋体"/>
                <w:sz w:val="15"/>
                <w:szCs w:val="15"/>
              </w:rPr>
            </w:pPr>
            <w:r>
              <w:rPr>
                <w:rFonts w:ascii="宋体" w:eastAsia="宋体" w:hAnsi="宋体" w:cs="宋体"/>
                <w:spacing w:val="6"/>
                <w:sz w:val="15"/>
                <w:szCs w:val="15"/>
              </w:rPr>
              <w:t>丙氨酸</w:t>
            </w:r>
          </w:p>
          <w:p w:rsidR="00EA40A3" w:rsidRDefault="00E86C16">
            <w:pPr>
              <w:spacing w:before="61" w:line="232" w:lineRule="auto"/>
              <w:ind w:left="923"/>
              <w:rPr>
                <w:rFonts w:ascii="宋体" w:eastAsia="宋体" w:hAnsi="宋体" w:cs="宋体"/>
                <w:sz w:val="15"/>
                <w:szCs w:val="15"/>
              </w:rPr>
            </w:pPr>
            <w:r>
              <w:rPr>
                <w:rFonts w:ascii="宋体" w:eastAsia="宋体" w:hAnsi="宋体" w:cs="宋体"/>
                <w:spacing w:val="7"/>
                <w:sz w:val="15"/>
                <w:szCs w:val="15"/>
              </w:rPr>
              <w:t>天冬氨酸</w:t>
            </w:r>
          </w:p>
          <w:p w:rsidR="00EA40A3" w:rsidRDefault="00E86C16">
            <w:pPr>
              <w:spacing w:before="71" w:line="232" w:lineRule="auto"/>
              <w:ind w:left="982"/>
              <w:rPr>
                <w:rFonts w:ascii="宋体" w:eastAsia="宋体" w:hAnsi="宋体" w:cs="宋体"/>
                <w:sz w:val="15"/>
                <w:szCs w:val="15"/>
              </w:rPr>
            </w:pPr>
            <w:r>
              <w:rPr>
                <w:rFonts w:ascii="宋体" w:eastAsia="宋体" w:hAnsi="宋体" w:cs="宋体"/>
                <w:spacing w:val="7"/>
                <w:sz w:val="15"/>
                <w:szCs w:val="15"/>
              </w:rPr>
              <w:t>胱氨酸</w:t>
            </w:r>
          </w:p>
          <w:p w:rsidR="00EA40A3" w:rsidRDefault="00E86C16">
            <w:pPr>
              <w:spacing w:before="61" w:line="232" w:lineRule="auto"/>
              <w:ind w:left="982"/>
              <w:rPr>
                <w:rFonts w:ascii="宋体" w:eastAsia="宋体" w:hAnsi="宋体" w:cs="宋体"/>
                <w:sz w:val="15"/>
                <w:szCs w:val="15"/>
              </w:rPr>
            </w:pPr>
            <w:r>
              <w:rPr>
                <w:rFonts w:ascii="宋体" w:eastAsia="宋体" w:hAnsi="宋体" w:cs="宋体"/>
                <w:spacing w:val="7"/>
                <w:sz w:val="15"/>
                <w:szCs w:val="15"/>
              </w:rPr>
              <w:t>丝氨酸</w:t>
            </w:r>
          </w:p>
          <w:p w:rsidR="00EA40A3" w:rsidRDefault="00E86C16">
            <w:pPr>
              <w:spacing w:before="71" w:line="232" w:lineRule="auto"/>
              <w:ind w:left="982"/>
              <w:rPr>
                <w:rFonts w:ascii="宋体" w:eastAsia="宋体" w:hAnsi="宋体" w:cs="宋体"/>
                <w:sz w:val="15"/>
                <w:szCs w:val="15"/>
              </w:rPr>
            </w:pPr>
            <w:r>
              <w:rPr>
                <w:rFonts w:ascii="宋体" w:eastAsia="宋体" w:hAnsi="宋体" w:cs="宋体"/>
                <w:spacing w:val="7"/>
                <w:sz w:val="15"/>
                <w:szCs w:val="15"/>
              </w:rPr>
              <w:t>酪氨酸</w:t>
            </w:r>
          </w:p>
          <w:p w:rsidR="00EA40A3" w:rsidRDefault="00E86C16">
            <w:pPr>
              <w:spacing w:before="71" w:line="232" w:lineRule="auto"/>
              <w:ind w:left="982"/>
              <w:rPr>
                <w:rFonts w:ascii="宋体" w:eastAsia="宋体" w:hAnsi="宋体" w:cs="宋体"/>
                <w:sz w:val="15"/>
                <w:szCs w:val="15"/>
              </w:rPr>
            </w:pPr>
            <w:r>
              <w:rPr>
                <w:rFonts w:ascii="宋体" w:eastAsia="宋体" w:hAnsi="宋体" w:cs="宋体"/>
                <w:spacing w:val="7"/>
                <w:sz w:val="15"/>
                <w:szCs w:val="15"/>
              </w:rPr>
              <w:t>谷氨酸</w:t>
            </w:r>
          </w:p>
          <w:p w:rsidR="00EA40A3" w:rsidRDefault="00E86C16">
            <w:pPr>
              <w:spacing w:before="61" w:line="232" w:lineRule="auto"/>
              <w:ind w:left="982"/>
              <w:rPr>
                <w:rFonts w:ascii="宋体" w:eastAsia="宋体" w:hAnsi="宋体" w:cs="宋体"/>
                <w:sz w:val="15"/>
                <w:szCs w:val="15"/>
              </w:rPr>
            </w:pPr>
            <w:r>
              <w:rPr>
                <w:rFonts w:ascii="宋体" w:eastAsia="宋体" w:hAnsi="宋体" w:cs="宋体"/>
                <w:spacing w:val="8"/>
                <w:sz w:val="15"/>
                <w:szCs w:val="15"/>
              </w:rPr>
              <w:t>甘氨酸</w:t>
            </w:r>
          </w:p>
          <w:p w:rsidR="00EA40A3" w:rsidRDefault="00E86C16">
            <w:pPr>
              <w:spacing w:before="81" w:line="196" w:lineRule="auto"/>
              <w:ind w:left="982"/>
              <w:rPr>
                <w:rFonts w:ascii="宋体" w:eastAsia="宋体" w:hAnsi="宋体" w:cs="宋体"/>
                <w:sz w:val="15"/>
                <w:szCs w:val="15"/>
              </w:rPr>
            </w:pPr>
            <w:r>
              <w:rPr>
                <w:rFonts w:ascii="宋体" w:eastAsia="宋体" w:hAnsi="宋体" w:cs="宋体"/>
                <w:spacing w:val="7"/>
                <w:sz w:val="15"/>
                <w:szCs w:val="15"/>
              </w:rPr>
              <w:t>脯氨酸</w:t>
            </w:r>
          </w:p>
        </w:tc>
        <w:tc>
          <w:tcPr>
            <w:tcW w:w="1797" w:type="dxa"/>
            <w:tcBorders>
              <w:bottom w:val="single" w:sz="4" w:space="0" w:color="000000"/>
            </w:tcBorders>
          </w:tcPr>
          <w:p w:rsidR="00EA40A3" w:rsidRDefault="00E86C16">
            <w:pPr>
              <w:spacing w:before="115" w:line="183" w:lineRule="auto"/>
              <w:ind w:left="690"/>
              <w:rPr>
                <w:rFonts w:ascii="宋体" w:eastAsia="宋体" w:hAnsi="宋体" w:cs="宋体"/>
                <w:sz w:val="16"/>
                <w:szCs w:val="16"/>
              </w:rPr>
            </w:pPr>
            <w:r>
              <w:rPr>
                <w:rFonts w:ascii="宋体" w:eastAsia="宋体" w:hAnsi="宋体" w:cs="宋体"/>
                <w:spacing w:val="-3"/>
                <w:sz w:val="16"/>
                <w:szCs w:val="16"/>
              </w:rPr>
              <w:t>38</w:t>
            </w:r>
          </w:p>
          <w:p w:rsidR="00EA40A3" w:rsidRDefault="00E86C16">
            <w:pPr>
              <w:spacing w:before="91" w:line="183" w:lineRule="auto"/>
              <w:ind w:left="690"/>
              <w:rPr>
                <w:rFonts w:ascii="宋体" w:eastAsia="宋体" w:hAnsi="宋体" w:cs="宋体"/>
                <w:sz w:val="16"/>
                <w:szCs w:val="16"/>
              </w:rPr>
            </w:pPr>
            <w:r>
              <w:rPr>
                <w:rFonts w:ascii="宋体" w:eastAsia="宋体" w:hAnsi="宋体" w:cs="宋体"/>
                <w:spacing w:val="-3"/>
                <w:sz w:val="16"/>
                <w:szCs w:val="16"/>
              </w:rPr>
              <w:t>39</w:t>
            </w:r>
          </w:p>
          <w:p w:rsidR="00EA40A3" w:rsidRDefault="00E86C16">
            <w:pPr>
              <w:spacing w:before="91" w:line="183" w:lineRule="auto"/>
              <w:ind w:left="690"/>
              <w:rPr>
                <w:rFonts w:ascii="宋体" w:eastAsia="宋体" w:hAnsi="宋体" w:cs="宋体"/>
                <w:sz w:val="16"/>
                <w:szCs w:val="16"/>
              </w:rPr>
            </w:pPr>
            <w:r>
              <w:rPr>
                <w:rFonts w:ascii="宋体" w:eastAsia="宋体" w:hAnsi="宋体" w:cs="宋体"/>
                <w:spacing w:val="-2"/>
                <w:sz w:val="16"/>
                <w:szCs w:val="16"/>
              </w:rPr>
              <w:t>89</w:t>
            </w:r>
          </w:p>
          <w:p w:rsidR="00EA40A3" w:rsidRDefault="00E86C16">
            <w:pPr>
              <w:spacing w:before="100" w:line="184" w:lineRule="auto"/>
              <w:ind w:left="679"/>
              <w:rPr>
                <w:rFonts w:ascii="宋体" w:eastAsia="宋体" w:hAnsi="宋体" w:cs="宋体"/>
                <w:sz w:val="16"/>
                <w:szCs w:val="16"/>
              </w:rPr>
            </w:pPr>
            <w:r>
              <w:rPr>
                <w:rFonts w:ascii="宋体" w:eastAsia="宋体" w:hAnsi="宋体" w:cs="宋体"/>
                <w:spacing w:val="-3"/>
                <w:sz w:val="16"/>
                <w:szCs w:val="16"/>
              </w:rPr>
              <w:t>21</w:t>
            </w:r>
          </w:p>
          <w:p w:rsidR="00EA40A3" w:rsidRDefault="00E86C16">
            <w:pPr>
              <w:spacing w:before="101" w:line="183" w:lineRule="auto"/>
              <w:ind w:left="679"/>
              <w:rPr>
                <w:rFonts w:ascii="宋体" w:eastAsia="宋体" w:hAnsi="宋体" w:cs="宋体"/>
                <w:sz w:val="16"/>
                <w:szCs w:val="16"/>
              </w:rPr>
            </w:pPr>
            <w:r>
              <w:rPr>
                <w:rFonts w:ascii="宋体" w:eastAsia="宋体" w:hAnsi="宋体" w:cs="宋体"/>
                <w:spacing w:val="-2"/>
                <w:sz w:val="16"/>
                <w:szCs w:val="16"/>
              </w:rPr>
              <w:t>46</w:t>
            </w:r>
          </w:p>
          <w:p w:rsidR="00EA40A3" w:rsidRDefault="00E86C16">
            <w:pPr>
              <w:spacing w:before="101" w:line="183" w:lineRule="auto"/>
              <w:ind w:left="679"/>
              <w:rPr>
                <w:rFonts w:ascii="宋体" w:eastAsia="宋体" w:hAnsi="宋体" w:cs="宋体"/>
                <w:sz w:val="16"/>
                <w:szCs w:val="16"/>
              </w:rPr>
            </w:pPr>
            <w:r>
              <w:rPr>
                <w:rFonts w:ascii="宋体" w:eastAsia="宋体" w:hAnsi="宋体" w:cs="宋体"/>
                <w:spacing w:val="-3"/>
                <w:sz w:val="16"/>
                <w:szCs w:val="16"/>
              </w:rPr>
              <w:t>39</w:t>
            </w:r>
          </w:p>
          <w:p w:rsidR="00EA40A3" w:rsidRDefault="00E86C16">
            <w:pPr>
              <w:spacing w:before="101" w:line="184" w:lineRule="auto"/>
              <w:ind w:left="649"/>
              <w:rPr>
                <w:rFonts w:ascii="宋体" w:eastAsia="宋体" w:hAnsi="宋体" w:cs="宋体"/>
                <w:sz w:val="16"/>
                <w:szCs w:val="16"/>
              </w:rPr>
            </w:pPr>
            <w:r>
              <w:rPr>
                <w:rFonts w:ascii="宋体" w:eastAsia="宋体" w:hAnsi="宋体" w:cs="宋体"/>
                <w:spacing w:val="-5"/>
                <w:sz w:val="16"/>
                <w:szCs w:val="16"/>
              </w:rPr>
              <w:t>189</w:t>
            </w:r>
          </w:p>
          <w:p w:rsidR="00EA40A3" w:rsidRDefault="00E86C16">
            <w:pPr>
              <w:spacing w:before="91" w:line="183" w:lineRule="auto"/>
              <w:ind w:left="670"/>
              <w:rPr>
                <w:rFonts w:ascii="宋体" w:eastAsia="宋体" w:hAnsi="宋体" w:cs="宋体"/>
                <w:sz w:val="16"/>
                <w:szCs w:val="16"/>
              </w:rPr>
            </w:pPr>
            <w:r>
              <w:rPr>
                <w:rFonts w:ascii="宋体" w:eastAsia="宋体" w:hAnsi="宋体" w:cs="宋体"/>
                <w:spacing w:val="-3"/>
                <w:sz w:val="16"/>
                <w:szCs w:val="16"/>
              </w:rPr>
              <w:t>23</w:t>
            </w:r>
          </w:p>
          <w:p w:rsidR="00EA40A3" w:rsidRDefault="00E86C16">
            <w:pPr>
              <w:spacing w:before="102" w:line="116" w:lineRule="exact"/>
              <w:ind w:left="809"/>
              <w:rPr>
                <w:rFonts w:ascii="宋体" w:eastAsia="宋体" w:hAnsi="宋体" w:cs="宋体"/>
                <w:sz w:val="16"/>
                <w:szCs w:val="16"/>
              </w:rPr>
            </w:pPr>
            <w:r>
              <w:rPr>
                <w:rFonts w:ascii="宋体" w:eastAsia="宋体" w:hAnsi="宋体" w:cs="宋体"/>
                <w:spacing w:val="-2"/>
                <w:position w:val="-2"/>
                <w:sz w:val="16"/>
                <w:szCs w:val="16"/>
              </w:rPr>
              <w:t>97</w:t>
            </w:r>
          </w:p>
        </w:tc>
        <w:tc>
          <w:tcPr>
            <w:tcW w:w="1402" w:type="dxa"/>
            <w:tcBorders>
              <w:bottom w:val="single" w:sz="4" w:space="0" w:color="000000"/>
            </w:tcBorders>
          </w:tcPr>
          <w:p w:rsidR="00EA40A3" w:rsidRDefault="00E86C16">
            <w:pPr>
              <w:spacing w:before="115" w:line="183" w:lineRule="auto"/>
              <w:ind w:left="922"/>
              <w:rPr>
                <w:rFonts w:ascii="宋体" w:eastAsia="宋体" w:hAnsi="宋体" w:cs="宋体"/>
                <w:sz w:val="16"/>
                <w:szCs w:val="16"/>
              </w:rPr>
            </w:pPr>
            <w:r>
              <w:rPr>
                <w:rFonts w:ascii="宋体" w:eastAsia="宋体" w:hAnsi="宋体" w:cs="宋体"/>
                <w:spacing w:val="-2"/>
                <w:sz w:val="16"/>
                <w:szCs w:val="16"/>
              </w:rPr>
              <w:t>84</w:t>
            </w:r>
          </w:p>
          <w:p w:rsidR="00EA40A3" w:rsidRDefault="00E86C16">
            <w:pPr>
              <w:spacing w:before="91" w:line="183" w:lineRule="auto"/>
              <w:ind w:left="922"/>
              <w:rPr>
                <w:rFonts w:ascii="宋体" w:eastAsia="宋体" w:hAnsi="宋体" w:cs="宋体"/>
                <w:sz w:val="16"/>
                <w:szCs w:val="16"/>
              </w:rPr>
            </w:pPr>
            <w:r>
              <w:rPr>
                <w:rFonts w:ascii="宋体" w:eastAsia="宋体" w:hAnsi="宋体" w:cs="宋体"/>
                <w:spacing w:val="-2"/>
                <w:sz w:val="16"/>
                <w:szCs w:val="16"/>
              </w:rPr>
              <w:t>83</w:t>
            </w:r>
          </w:p>
          <w:p w:rsidR="00EA40A3" w:rsidRDefault="00E86C16">
            <w:pPr>
              <w:spacing w:before="100" w:line="184" w:lineRule="auto"/>
              <w:ind w:left="842"/>
              <w:rPr>
                <w:rFonts w:ascii="宋体" w:eastAsia="宋体" w:hAnsi="宋体" w:cs="宋体"/>
                <w:sz w:val="16"/>
                <w:szCs w:val="16"/>
              </w:rPr>
            </w:pPr>
            <w:r>
              <w:rPr>
                <w:rFonts w:ascii="宋体" w:eastAsia="宋体" w:hAnsi="宋体" w:cs="宋体"/>
                <w:spacing w:val="-5"/>
                <w:sz w:val="16"/>
                <w:szCs w:val="16"/>
              </w:rPr>
              <w:t>179</w:t>
            </w:r>
          </w:p>
          <w:p w:rsidR="00EA40A3" w:rsidRDefault="00E86C16">
            <w:pPr>
              <w:spacing w:before="91" w:line="183" w:lineRule="auto"/>
              <w:ind w:left="922"/>
              <w:rPr>
                <w:rFonts w:ascii="宋体" w:eastAsia="宋体" w:hAnsi="宋体" w:cs="宋体"/>
                <w:sz w:val="16"/>
                <w:szCs w:val="16"/>
              </w:rPr>
            </w:pPr>
            <w:r>
              <w:rPr>
                <w:rFonts w:ascii="宋体" w:eastAsia="宋体" w:hAnsi="宋体" w:cs="宋体"/>
                <w:spacing w:val="-3"/>
                <w:sz w:val="16"/>
                <w:szCs w:val="16"/>
              </w:rPr>
              <w:t>28</w:t>
            </w:r>
          </w:p>
          <w:p w:rsidR="00EA40A3" w:rsidRDefault="00E86C16">
            <w:pPr>
              <w:spacing w:before="100" w:line="184" w:lineRule="auto"/>
              <w:ind w:left="842"/>
              <w:rPr>
                <w:rFonts w:ascii="宋体" w:eastAsia="宋体" w:hAnsi="宋体" w:cs="宋体"/>
                <w:sz w:val="16"/>
                <w:szCs w:val="16"/>
              </w:rPr>
            </w:pPr>
            <w:r>
              <w:rPr>
                <w:rFonts w:ascii="宋体" w:eastAsia="宋体" w:hAnsi="宋体" w:cs="宋体"/>
                <w:spacing w:val="-5"/>
                <w:sz w:val="16"/>
                <w:szCs w:val="16"/>
              </w:rPr>
              <w:t>143</w:t>
            </w:r>
          </w:p>
          <w:p w:rsidR="00EA40A3" w:rsidRDefault="00E86C16">
            <w:pPr>
              <w:spacing w:before="91" w:line="184" w:lineRule="auto"/>
              <w:ind w:left="842"/>
              <w:rPr>
                <w:rFonts w:ascii="宋体" w:eastAsia="宋体" w:hAnsi="宋体" w:cs="宋体"/>
                <w:sz w:val="16"/>
                <w:szCs w:val="16"/>
              </w:rPr>
            </w:pPr>
            <w:r>
              <w:rPr>
                <w:rFonts w:ascii="宋体" w:eastAsia="宋体" w:hAnsi="宋体" w:cs="宋体"/>
                <w:spacing w:val="-5"/>
                <w:sz w:val="16"/>
                <w:szCs w:val="16"/>
              </w:rPr>
              <w:t>118</w:t>
            </w:r>
          </w:p>
          <w:p w:rsidR="00EA40A3" w:rsidRDefault="00E86C16">
            <w:pPr>
              <w:spacing w:before="111" w:line="183" w:lineRule="auto"/>
              <w:ind w:left="842"/>
              <w:rPr>
                <w:rFonts w:ascii="宋体" w:eastAsia="宋体" w:hAnsi="宋体" w:cs="宋体"/>
                <w:sz w:val="16"/>
                <w:szCs w:val="16"/>
              </w:rPr>
            </w:pPr>
            <w:r>
              <w:rPr>
                <w:rFonts w:ascii="宋体" w:eastAsia="宋体" w:hAnsi="宋体" w:cs="宋体"/>
                <w:spacing w:val="-3"/>
                <w:sz w:val="16"/>
                <w:szCs w:val="16"/>
              </w:rPr>
              <w:t>528</w:t>
            </w:r>
          </w:p>
          <w:p w:rsidR="00EA40A3" w:rsidRDefault="00E86C16">
            <w:pPr>
              <w:spacing w:before="92" w:line="183" w:lineRule="auto"/>
              <w:ind w:left="832"/>
              <w:rPr>
                <w:rFonts w:ascii="宋体" w:eastAsia="宋体" w:hAnsi="宋体" w:cs="宋体"/>
                <w:sz w:val="16"/>
                <w:szCs w:val="16"/>
              </w:rPr>
            </w:pPr>
            <w:r>
              <w:rPr>
                <w:rFonts w:ascii="宋体" w:eastAsia="宋体" w:hAnsi="宋体" w:cs="宋体"/>
                <w:spacing w:val="-2"/>
                <w:sz w:val="16"/>
                <w:szCs w:val="16"/>
              </w:rPr>
              <w:t>45</w:t>
            </w:r>
          </w:p>
          <w:p w:rsidR="00EA40A3" w:rsidRDefault="00E86C16">
            <w:pPr>
              <w:spacing w:before="111" w:line="106" w:lineRule="exact"/>
              <w:ind w:left="842"/>
              <w:rPr>
                <w:rFonts w:ascii="宋体" w:eastAsia="宋体" w:hAnsi="宋体" w:cs="宋体"/>
                <w:sz w:val="15"/>
                <w:szCs w:val="15"/>
              </w:rPr>
            </w:pPr>
            <w:r>
              <w:rPr>
                <w:rFonts w:ascii="宋体" w:eastAsia="宋体" w:hAnsi="宋体" w:cs="宋体"/>
                <w:spacing w:val="2"/>
                <w:position w:val="-2"/>
                <w:sz w:val="15"/>
                <w:szCs w:val="15"/>
              </w:rPr>
              <w:t>295</w:t>
            </w:r>
          </w:p>
        </w:tc>
      </w:tr>
    </w:tbl>
    <w:p w:rsidR="00EA40A3" w:rsidRDefault="00EA40A3"/>
    <w:p w:rsidR="00EA40A3" w:rsidRDefault="00EA40A3">
      <w:pPr>
        <w:sectPr w:rsidR="00EA40A3">
          <w:footerReference w:type="default" r:id="rId262"/>
          <w:pgSz w:w="9220" w:h="13360"/>
          <w:pgMar w:top="400" w:right="909" w:bottom="1237" w:left="910" w:header="0" w:footer="1029" w:gutter="0"/>
          <w:cols w:space="720"/>
        </w:sectPr>
      </w:pPr>
    </w:p>
    <w:p w:rsidR="00EA40A3" w:rsidRDefault="00EA40A3">
      <w:pPr>
        <w:spacing w:line="76" w:lineRule="exact"/>
      </w:pPr>
    </w:p>
    <w:tbl>
      <w:tblPr>
        <w:tblStyle w:val="TableNormal"/>
        <w:tblW w:w="733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59"/>
        <w:gridCol w:w="2503"/>
        <w:gridCol w:w="1815"/>
        <w:gridCol w:w="1362"/>
      </w:tblGrid>
      <w:tr w:rsidR="00EA40A3">
        <w:trPr>
          <w:trHeight w:val="324"/>
        </w:trPr>
        <w:tc>
          <w:tcPr>
            <w:tcW w:w="1659" w:type="dxa"/>
            <w:tcBorders>
              <w:top w:val="single" w:sz="4" w:space="0" w:color="000000"/>
              <w:bottom w:val="single" w:sz="4" w:space="0" w:color="000000"/>
            </w:tcBorders>
          </w:tcPr>
          <w:p w:rsidR="00EA40A3" w:rsidRDefault="00EA40A3"/>
        </w:tc>
        <w:tc>
          <w:tcPr>
            <w:tcW w:w="2503" w:type="dxa"/>
            <w:tcBorders>
              <w:top w:val="single" w:sz="4" w:space="0" w:color="000000"/>
              <w:bottom w:val="single" w:sz="4" w:space="0" w:color="000000"/>
            </w:tcBorders>
          </w:tcPr>
          <w:p w:rsidR="00EA40A3" w:rsidRDefault="00E86C16">
            <w:pPr>
              <w:spacing w:before="121" w:line="220" w:lineRule="auto"/>
              <w:ind w:left="200"/>
              <w:rPr>
                <w:rFonts w:ascii="宋体" w:eastAsia="宋体" w:hAnsi="宋体" w:cs="宋体"/>
                <w:sz w:val="16"/>
                <w:szCs w:val="16"/>
              </w:rPr>
            </w:pPr>
            <w:r>
              <w:rPr>
                <w:rFonts w:ascii="宋体" w:eastAsia="宋体" w:hAnsi="宋体" w:cs="宋体"/>
                <w:spacing w:val="-2"/>
                <w:sz w:val="16"/>
                <w:szCs w:val="16"/>
              </w:rPr>
              <w:t>成分</w:t>
            </w:r>
          </w:p>
        </w:tc>
        <w:tc>
          <w:tcPr>
            <w:tcW w:w="1815" w:type="dxa"/>
            <w:tcBorders>
              <w:top w:val="single" w:sz="4" w:space="0" w:color="000000"/>
              <w:bottom w:val="single" w:sz="4" w:space="0" w:color="000000"/>
            </w:tcBorders>
          </w:tcPr>
          <w:p w:rsidR="00EA40A3" w:rsidRDefault="00E86C16">
            <w:pPr>
              <w:spacing w:before="122" w:line="221" w:lineRule="auto"/>
              <w:ind w:left="728"/>
              <w:rPr>
                <w:rFonts w:ascii="宋体" w:eastAsia="宋体" w:hAnsi="宋体" w:cs="宋体"/>
                <w:sz w:val="16"/>
                <w:szCs w:val="16"/>
              </w:rPr>
            </w:pPr>
            <w:r>
              <w:rPr>
                <w:rFonts w:ascii="宋体" w:eastAsia="宋体" w:hAnsi="宋体" w:cs="宋体"/>
                <w:spacing w:val="-2"/>
                <w:sz w:val="16"/>
                <w:szCs w:val="16"/>
              </w:rPr>
              <w:t>母乳</w:t>
            </w:r>
          </w:p>
        </w:tc>
        <w:tc>
          <w:tcPr>
            <w:tcW w:w="1362" w:type="dxa"/>
            <w:tcBorders>
              <w:top w:val="single" w:sz="4" w:space="0" w:color="000000"/>
              <w:bottom w:val="single" w:sz="4" w:space="0" w:color="000000"/>
            </w:tcBorders>
          </w:tcPr>
          <w:p w:rsidR="00EA40A3" w:rsidRDefault="00E86C16">
            <w:pPr>
              <w:spacing w:before="132" w:line="221" w:lineRule="auto"/>
              <w:ind w:left="783"/>
              <w:rPr>
                <w:rFonts w:ascii="宋体" w:eastAsia="宋体" w:hAnsi="宋体" w:cs="宋体"/>
                <w:sz w:val="16"/>
                <w:szCs w:val="16"/>
              </w:rPr>
            </w:pPr>
            <w:r>
              <w:rPr>
                <w:rFonts w:ascii="宋体" w:eastAsia="宋体" w:hAnsi="宋体" w:cs="宋体"/>
                <w:spacing w:val="-3"/>
                <w:sz w:val="16"/>
                <w:szCs w:val="16"/>
              </w:rPr>
              <w:t>牛乳</w:t>
            </w:r>
          </w:p>
        </w:tc>
      </w:tr>
      <w:tr w:rsidR="00EA40A3">
        <w:trPr>
          <w:trHeight w:val="1658"/>
        </w:trPr>
        <w:tc>
          <w:tcPr>
            <w:tcW w:w="1659" w:type="dxa"/>
            <w:tcBorders>
              <w:top w:val="single" w:sz="4" w:space="0" w:color="000000"/>
            </w:tcBorders>
          </w:tcPr>
          <w:p w:rsidR="00EA40A3" w:rsidRDefault="00E86C16">
            <w:pPr>
              <w:spacing w:before="92" w:line="214" w:lineRule="auto"/>
              <w:ind w:left="589"/>
              <w:rPr>
                <w:rFonts w:ascii="宋体" w:eastAsia="宋体" w:hAnsi="宋体" w:cs="宋体"/>
                <w:sz w:val="16"/>
                <w:szCs w:val="16"/>
              </w:rPr>
            </w:pPr>
            <w:r>
              <w:rPr>
                <w:rFonts w:ascii="宋体" w:eastAsia="宋体" w:hAnsi="宋体" w:cs="宋体"/>
                <w:spacing w:val="-1"/>
                <w:sz w:val="16"/>
                <w:szCs w:val="16"/>
              </w:rPr>
              <w:t>矿物元素/mg</w:t>
            </w:r>
          </w:p>
        </w:tc>
        <w:tc>
          <w:tcPr>
            <w:tcW w:w="2503" w:type="dxa"/>
            <w:tcBorders>
              <w:top w:val="single" w:sz="4" w:space="0" w:color="000000"/>
            </w:tcBorders>
            <w:textDirection w:val="tbRlV"/>
          </w:tcPr>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86C16">
            <w:pPr>
              <w:spacing w:before="54" w:line="216" w:lineRule="auto"/>
              <w:ind w:left="109"/>
              <w:rPr>
                <w:rFonts w:ascii="宋体" w:eastAsia="宋体" w:hAnsi="宋体" w:cs="宋体"/>
                <w:sz w:val="16"/>
                <w:szCs w:val="16"/>
              </w:rPr>
            </w:pPr>
            <w:r>
              <w:rPr>
                <w:rFonts w:ascii="宋体" w:eastAsia="宋体" w:hAnsi="宋体" w:cs="宋体"/>
                <w:spacing w:val="3"/>
                <w:sz w:val="16"/>
                <w:szCs w:val="16"/>
              </w:rPr>
              <w:t>钙</w:t>
            </w:r>
            <w:r>
              <w:rPr>
                <w:rFonts w:ascii="宋体" w:eastAsia="宋体" w:hAnsi="宋体" w:cs="宋体"/>
                <w:spacing w:val="-8"/>
                <w:sz w:val="16"/>
                <w:szCs w:val="16"/>
              </w:rPr>
              <w:t xml:space="preserve"> </w:t>
            </w:r>
            <w:r>
              <w:rPr>
                <w:rFonts w:ascii="宋体" w:eastAsia="宋体" w:hAnsi="宋体" w:cs="宋体"/>
                <w:spacing w:val="3"/>
                <w:sz w:val="16"/>
                <w:szCs w:val="16"/>
              </w:rPr>
              <w:t>磷</w:t>
            </w:r>
            <w:r>
              <w:rPr>
                <w:rFonts w:ascii="宋体" w:eastAsia="宋体" w:hAnsi="宋体" w:cs="宋体"/>
                <w:spacing w:val="22"/>
                <w:sz w:val="16"/>
                <w:szCs w:val="16"/>
              </w:rPr>
              <w:t xml:space="preserve"> </w:t>
            </w:r>
            <w:r>
              <w:rPr>
                <w:rFonts w:ascii="宋体" w:eastAsia="宋体" w:hAnsi="宋体" w:cs="宋体"/>
                <w:spacing w:val="3"/>
                <w:sz w:val="16"/>
                <w:szCs w:val="16"/>
              </w:rPr>
              <w:t>镁</w:t>
            </w:r>
            <w:r>
              <w:rPr>
                <w:rFonts w:ascii="宋体" w:eastAsia="宋体" w:hAnsi="宋体" w:cs="宋体"/>
                <w:spacing w:val="19"/>
                <w:sz w:val="16"/>
                <w:szCs w:val="16"/>
              </w:rPr>
              <w:t xml:space="preserve"> </w:t>
            </w:r>
            <w:r>
              <w:rPr>
                <w:rFonts w:ascii="宋体" w:eastAsia="宋体" w:hAnsi="宋体" w:cs="宋体"/>
                <w:spacing w:val="3"/>
                <w:sz w:val="16"/>
                <w:szCs w:val="16"/>
              </w:rPr>
              <w:t>铜锌</w:t>
            </w:r>
            <w:r>
              <w:rPr>
                <w:rFonts w:ascii="宋体" w:eastAsia="宋体" w:hAnsi="宋体" w:cs="宋体"/>
                <w:spacing w:val="77"/>
                <w:sz w:val="16"/>
                <w:szCs w:val="16"/>
              </w:rPr>
              <w:t xml:space="preserve"> </w:t>
            </w:r>
            <w:r>
              <w:rPr>
                <w:rFonts w:ascii="宋体" w:eastAsia="宋体" w:hAnsi="宋体" w:cs="宋体"/>
                <w:spacing w:val="3"/>
                <w:sz w:val="16"/>
                <w:szCs w:val="16"/>
              </w:rPr>
              <w:t>铁</w:t>
            </w:r>
          </w:p>
        </w:tc>
        <w:tc>
          <w:tcPr>
            <w:tcW w:w="1815" w:type="dxa"/>
            <w:tcBorders>
              <w:top w:val="single" w:sz="4" w:space="0" w:color="000000"/>
            </w:tcBorders>
          </w:tcPr>
          <w:p w:rsidR="00EA40A3" w:rsidRDefault="00E86C16">
            <w:pPr>
              <w:spacing w:before="158" w:line="183" w:lineRule="auto"/>
              <w:ind w:left="728"/>
              <w:rPr>
                <w:rFonts w:ascii="宋体" w:eastAsia="宋体" w:hAnsi="宋体" w:cs="宋体"/>
                <w:sz w:val="16"/>
                <w:szCs w:val="16"/>
              </w:rPr>
            </w:pPr>
            <w:r>
              <w:rPr>
                <w:rFonts w:ascii="宋体" w:eastAsia="宋体" w:hAnsi="宋体" w:cs="宋体"/>
                <w:spacing w:val="-3"/>
                <w:sz w:val="16"/>
                <w:szCs w:val="16"/>
              </w:rPr>
              <w:t>30</w:t>
            </w:r>
          </w:p>
          <w:p w:rsidR="00EA40A3" w:rsidRDefault="00E86C16">
            <w:pPr>
              <w:spacing w:before="90" w:line="184" w:lineRule="auto"/>
              <w:ind w:left="807"/>
              <w:rPr>
                <w:rFonts w:ascii="宋体" w:eastAsia="宋体" w:hAnsi="宋体" w:cs="宋体"/>
                <w:sz w:val="16"/>
                <w:szCs w:val="16"/>
              </w:rPr>
            </w:pPr>
            <w:r>
              <w:rPr>
                <w:rFonts w:ascii="宋体" w:eastAsia="宋体" w:hAnsi="宋体" w:cs="宋体"/>
                <w:spacing w:val="-5"/>
                <w:sz w:val="16"/>
                <w:szCs w:val="16"/>
              </w:rPr>
              <w:t>13</w:t>
            </w:r>
          </w:p>
          <w:p w:rsidR="00EA40A3" w:rsidRDefault="00E86C16">
            <w:pPr>
              <w:spacing w:before="91" w:line="250" w:lineRule="exact"/>
              <w:ind w:left="807"/>
              <w:rPr>
                <w:rFonts w:ascii="宋体" w:eastAsia="宋体" w:hAnsi="宋体" w:cs="宋体"/>
                <w:sz w:val="16"/>
                <w:szCs w:val="16"/>
              </w:rPr>
            </w:pPr>
            <w:r>
              <w:rPr>
                <w:rFonts w:ascii="宋体" w:eastAsia="宋体" w:hAnsi="宋体" w:cs="宋体"/>
                <w:spacing w:val="-3"/>
                <w:position w:val="9"/>
                <w:sz w:val="16"/>
                <w:szCs w:val="16"/>
              </w:rPr>
              <w:t>32</w:t>
            </w:r>
          </w:p>
          <w:p w:rsidR="00EA40A3" w:rsidRDefault="00E86C16">
            <w:pPr>
              <w:spacing w:line="183" w:lineRule="auto"/>
              <w:ind w:left="728"/>
              <w:rPr>
                <w:rFonts w:ascii="宋体" w:eastAsia="宋体" w:hAnsi="宋体" w:cs="宋体"/>
                <w:sz w:val="16"/>
                <w:szCs w:val="16"/>
              </w:rPr>
            </w:pPr>
            <w:r>
              <w:rPr>
                <w:rFonts w:ascii="宋体" w:eastAsia="宋体" w:hAnsi="宋体" w:cs="宋体"/>
                <w:spacing w:val="-2"/>
                <w:sz w:val="16"/>
                <w:szCs w:val="16"/>
              </w:rPr>
              <w:t>0.03</w:t>
            </w:r>
          </w:p>
          <w:p w:rsidR="00EA40A3" w:rsidRDefault="00E86C16">
            <w:pPr>
              <w:spacing w:before="101" w:line="183" w:lineRule="auto"/>
              <w:ind w:left="728"/>
              <w:rPr>
                <w:rFonts w:ascii="宋体" w:eastAsia="宋体" w:hAnsi="宋体" w:cs="宋体"/>
                <w:sz w:val="16"/>
                <w:szCs w:val="16"/>
              </w:rPr>
            </w:pPr>
            <w:r>
              <w:rPr>
                <w:rFonts w:ascii="宋体" w:eastAsia="宋体" w:hAnsi="宋体" w:cs="宋体"/>
                <w:spacing w:val="-2"/>
                <w:sz w:val="16"/>
                <w:szCs w:val="16"/>
              </w:rPr>
              <w:t>0.28</w:t>
            </w:r>
          </w:p>
          <w:p w:rsidR="00EA40A3" w:rsidRDefault="00E86C16">
            <w:pPr>
              <w:spacing w:before="100" w:line="184" w:lineRule="auto"/>
              <w:ind w:left="687"/>
              <w:rPr>
                <w:rFonts w:ascii="宋体" w:eastAsia="宋体" w:hAnsi="宋体" w:cs="宋体"/>
                <w:sz w:val="16"/>
                <w:szCs w:val="16"/>
              </w:rPr>
            </w:pPr>
            <w:r>
              <w:rPr>
                <w:rFonts w:ascii="宋体" w:eastAsia="宋体" w:hAnsi="宋体" w:cs="宋体"/>
                <w:spacing w:val="-2"/>
                <w:sz w:val="16"/>
                <w:szCs w:val="16"/>
              </w:rPr>
              <w:t>0.1</w:t>
            </w:r>
          </w:p>
        </w:tc>
        <w:tc>
          <w:tcPr>
            <w:tcW w:w="1362" w:type="dxa"/>
            <w:tcBorders>
              <w:top w:val="single" w:sz="4" w:space="0" w:color="000000"/>
            </w:tcBorders>
          </w:tcPr>
          <w:p w:rsidR="00EA40A3" w:rsidRDefault="00E86C16">
            <w:pPr>
              <w:tabs>
                <w:tab w:val="left" w:pos="941"/>
              </w:tabs>
              <w:spacing w:before="146" w:line="296" w:lineRule="auto"/>
              <w:ind w:left="783" w:right="266" w:firstLine="79"/>
              <w:jc w:val="right"/>
              <w:rPr>
                <w:rFonts w:ascii="宋体" w:eastAsia="宋体" w:hAnsi="宋体" w:cs="宋体"/>
                <w:sz w:val="16"/>
                <w:szCs w:val="16"/>
              </w:rPr>
            </w:pPr>
            <w:r>
              <w:rPr>
                <w:rFonts w:ascii="宋体" w:eastAsia="宋体" w:hAnsi="宋体" w:cs="宋体"/>
                <w:spacing w:val="-7"/>
                <w:sz w:val="16"/>
                <w:szCs w:val="16"/>
              </w:rPr>
              <w:t>104</w:t>
            </w:r>
            <w:r>
              <w:rPr>
                <w:rFonts w:ascii="宋体" w:eastAsia="宋体" w:hAnsi="宋体" w:cs="宋体"/>
                <w:spacing w:val="1"/>
                <w:sz w:val="16"/>
                <w:szCs w:val="16"/>
              </w:rPr>
              <w:t xml:space="preserve"> </w:t>
            </w:r>
            <w:r>
              <w:rPr>
                <w:rFonts w:ascii="宋体" w:eastAsia="宋体" w:hAnsi="宋体" w:cs="宋体"/>
                <w:sz w:val="16"/>
                <w:szCs w:val="16"/>
              </w:rPr>
              <w:tab/>
            </w:r>
            <w:r>
              <w:rPr>
                <w:rFonts w:ascii="宋体" w:eastAsia="宋体" w:hAnsi="宋体" w:cs="宋体"/>
                <w:spacing w:val="-5"/>
                <w:sz w:val="16"/>
                <w:szCs w:val="16"/>
              </w:rPr>
              <w:t>73</w:t>
            </w:r>
            <w:r>
              <w:rPr>
                <w:rFonts w:ascii="宋体" w:eastAsia="宋体" w:hAnsi="宋体" w:cs="宋体"/>
                <w:sz w:val="16"/>
                <w:szCs w:val="16"/>
              </w:rPr>
              <w:t xml:space="preserve"> </w:t>
            </w:r>
            <w:r>
              <w:rPr>
                <w:rFonts w:ascii="宋体" w:eastAsia="宋体" w:hAnsi="宋体" w:cs="宋体"/>
                <w:sz w:val="16"/>
                <w:szCs w:val="16"/>
              </w:rPr>
              <w:tab/>
            </w:r>
            <w:r>
              <w:rPr>
                <w:rFonts w:ascii="宋体" w:eastAsia="宋体" w:hAnsi="宋体" w:cs="宋体"/>
                <w:spacing w:val="-9"/>
                <w:sz w:val="16"/>
                <w:szCs w:val="16"/>
              </w:rPr>
              <w:t>11</w:t>
            </w:r>
            <w:r>
              <w:rPr>
                <w:rFonts w:ascii="宋体" w:eastAsia="宋体" w:hAnsi="宋体" w:cs="宋体"/>
                <w:sz w:val="16"/>
                <w:szCs w:val="16"/>
              </w:rPr>
              <w:t xml:space="preserve"> </w:t>
            </w:r>
            <w:r>
              <w:rPr>
                <w:rFonts w:ascii="宋体" w:eastAsia="宋体" w:hAnsi="宋体" w:cs="宋体"/>
                <w:spacing w:val="-2"/>
                <w:sz w:val="16"/>
                <w:szCs w:val="16"/>
              </w:rPr>
              <w:t>0.02</w:t>
            </w:r>
            <w:r>
              <w:rPr>
                <w:rFonts w:ascii="宋体" w:eastAsia="宋体" w:hAnsi="宋体" w:cs="宋体"/>
                <w:sz w:val="16"/>
                <w:szCs w:val="16"/>
              </w:rPr>
              <w:t xml:space="preserve"> </w:t>
            </w:r>
            <w:r>
              <w:rPr>
                <w:rFonts w:ascii="宋体" w:eastAsia="宋体" w:hAnsi="宋体" w:cs="宋体"/>
                <w:spacing w:val="-2"/>
                <w:sz w:val="16"/>
                <w:szCs w:val="16"/>
              </w:rPr>
              <w:t>0.42</w:t>
            </w:r>
          </w:p>
          <w:p w:rsidR="00EA40A3" w:rsidRDefault="00E86C16">
            <w:pPr>
              <w:spacing w:line="183" w:lineRule="auto"/>
              <w:ind w:left="862"/>
              <w:rPr>
                <w:rFonts w:ascii="宋体" w:eastAsia="宋体" w:hAnsi="宋体" w:cs="宋体"/>
                <w:sz w:val="16"/>
                <w:szCs w:val="16"/>
              </w:rPr>
            </w:pPr>
            <w:r>
              <w:rPr>
                <w:rFonts w:ascii="宋体" w:eastAsia="宋体" w:hAnsi="宋体" w:cs="宋体"/>
                <w:spacing w:val="-2"/>
                <w:sz w:val="16"/>
                <w:szCs w:val="16"/>
              </w:rPr>
              <w:t>0.3</w:t>
            </w:r>
          </w:p>
        </w:tc>
      </w:tr>
      <w:tr w:rsidR="00EA40A3">
        <w:trPr>
          <w:trHeight w:val="1917"/>
        </w:trPr>
        <w:tc>
          <w:tcPr>
            <w:tcW w:w="1659" w:type="dxa"/>
            <w:tcBorders>
              <w:bottom w:val="single" w:sz="4" w:space="0" w:color="000000"/>
            </w:tcBorders>
          </w:tcPr>
          <w:p w:rsidR="00EA40A3" w:rsidRDefault="00E86C16">
            <w:pPr>
              <w:spacing w:before="129" w:line="219" w:lineRule="auto"/>
              <w:ind w:left="799"/>
              <w:rPr>
                <w:rFonts w:ascii="宋体" w:eastAsia="宋体" w:hAnsi="宋体" w:cs="宋体"/>
                <w:sz w:val="16"/>
                <w:szCs w:val="16"/>
              </w:rPr>
            </w:pPr>
            <w:r>
              <w:rPr>
                <w:rFonts w:ascii="宋体" w:eastAsia="宋体" w:hAnsi="宋体" w:cs="宋体"/>
                <w:spacing w:val="-2"/>
                <w:sz w:val="16"/>
                <w:szCs w:val="16"/>
              </w:rPr>
              <w:t>维生素</w:t>
            </w:r>
          </w:p>
        </w:tc>
        <w:tc>
          <w:tcPr>
            <w:tcW w:w="2503" w:type="dxa"/>
            <w:tcBorders>
              <w:bottom w:val="single" w:sz="4" w:space="0" w:color="000000"/>
            </w:tcBorders>
          </w:tcPr>
          <w:p w:rsidR="00EA40A3" w:rsidRDefault="00E86C16">
            <w:pPr>
              <w:spacing w:before="123" w:line="214" w:lineRule="auto"/>
              <w:ind w:left="770"/>
              <w:rPr>
                <w:rFonts w:ascii="宋体" w:eastAsia="宋体" w:hAnsi="宋体" w:cs="宋体"/>
                <w:sz w:val="16"/>
                <w:szCs w:val="16"/>
              </w:rPr>
            </w:pPr>
            <w:r>
              <w:rPr>
                <w:rFonts w:ascii="宋体" w:eastAsia="宋体" w:hAnsi="宋体" w:cs="宋体"/>
                <w:spacing w:val="-2"/>
                <w:sz w:val="16"/>
                <w:szCs w:val="16"/>
              </w:rPr>
              <w:t>维生素A/μg</w:t>
            </w:r>
            <w:r>
              <w:rPr>
                <w:rFonts w:ascii="宋体" w:eastAsia="宋体" w:hAnsi="宋体" w:cs="宋体"/>
                <w:spacing w:val="10"/>
                <w:sz w:val="16"/>
                <w:szCs w:val="16"/>
              </w:rPr>
              <w:t xml:space="preserve"> </w:t>
            </w:r>
            <w:r>
              <w:rPr>
                <w:rFonts w:ascii="宋体" w:eastAsia="宋体" w:hAnsi="宋体" w:cs="宋体"/>
                <w:spacing w:val="-2"/>
                <w:sz w:val="16"/>
                <w:szCs w:val="16"/>
              </w:rPr>
              <w:t>RE</w:t>
            </w:r>
          </w:p>
          <w:p w:rsidR="00EA40A3" w:rsidRDefault="00E86C16">
            <w:pPr>
              <w:spacing w:before="84" w:line="275" w:lineRule="exact"/>
              <w:ind w:left="940"/>
              <w:rPr>
                <w:rFonts w:ascii="宋体" w:eastAsia="宋体" w:hAnsi="宋体" w:cs="宋体"/>
                <w:sz w:val="16"/>
                <w:szCs w:val="16"/>
              </w:rPr>
            </w:pPr>
            <w:r>
              <w:rPr>
                <w:rFonts w:ascii="宋体" w:eastAsia="宋体" w:hAnsi="宋体" w:cs="宋体"/>
                <w:spacing w:val="-2"/>
                <w:position w:val="9"/>
                <w:sz w:val="16"/>
                <w:szCs w:val="16"/>
              </w:rPr>
              <w:t>维生素E/mg</w:t>
            </w:r>
          </w:p>
          <w:p w:rsidR="00EA40A3" w:rsidRDefault="00E86C16">
            <w:pPr>
              <w:spacing w:line="219" w:lineRule="auto"/>
              <w:ind w:left="940"/>
              <w:rPr>
                <w:rFonts w:ascii="宋体" w:eastAsia="宋体" w:hAnsi="宋体" w:cs="宋体"/>
                <w:sz w:val="16"/>
                <w:szCs w:val="16"/>
              </w:rPr>
            </w:pPr>
            <w:r>
              <w:rPr>
                <w:rFonts w:ascii="宋体" w:eastAsia="宋体" w:hAnsi="宋体" w:cs="宋体"/>
                <w:spacing w:val="-2"/>
                <w:sz w:val="16"/>
                <w:szCs w:val="16"/>
              </w:rPr>
              <w:t>维生素D/IU</w:t>
            </w:r>
          </w:p>
          <w:p w:rsidR="00EA40A3" w:rsidRDefault="00E86C16">
            <w:pPr>
              <w:spacing w:before="64" w:line="214" w:lineRule="auto"/>
              <w:ind w:left="1020"/>
              <w:rPr>
                <w:rFonts w:ascii="宋体" w:eastAsia="宋体" w:hAnsi="宋体" w:cs="宋体"/>
                <w:sz w:val="16"/>
                <w:szCs w:val="16"/>
              </w:rPr>
            </w:pPr>
            <w:r>
              <w:rPr>
                <w:rFonts w:ascii="宋体" w:eastAsia="宋体" w:hAnsi="宋体" w:cs="宋体"/>
                <w:spacing w:val="-1"/>
                <w:sz w:val="16"/>
                <w:szCs w:val="16"/>
              </w:rPr>
              <w:t>硫胺素/mg</w:t>
            </w:r>
          </w:p>
          <w:p w:rsidR="00EA40A3" w:rsidRDefault="00E86C16">
            <w:pPr>
              <w:spacing w:before="65" w:line="214" w:lineRule="auto"/>
              <w:ind w:left="1020"/>
              <w:rPr>
                <w:rFonts w:ascii="宋体" w:eastAsia="宋体" w:hAnsi="宋体" w:cs="宋体"/>
                <w:sz w:val="16"/>
                <w:szCs w:val="16"/>
              </w:rPr>
            </w:pPr>
            <w:r>
              <w:rPr>
                <w:rFonts w:ascii="宋体" w:eastAsia="宋体" w:hAnsi="宋体" w:cs="宋体"/>
                <w:spacing w:val="-2"/>
                <w:sz w:val="16"/>
                <w:szCs w:val="16"/>
              </w:rPr>
              <w:t>核黄素/mg</w:t>
            </w:r>
          </w:p>
          <w:p w:rsidR="00EA40A3" w:rsidRDefault="00E86C16">
            <w:pPr>
              <w:spacing w:before="64" w:line="214" w:lineRule="auto"/>
              <w:ind w:left="1020"/>
              <w:rPr>
                <w:rFonts w:ascii="宋体" w:eastAsia="宋体" w:hAnsi="宋体" w:cs="宋体"/>
                <w:sz w:val="16"/>
                <w:szCs w:val="16"/>
              </w:rPr>
            </w:pPr>
            <w:r>
              <w:rPr>
                <w:rFonts w:ascii="宋体" w:eastAsia="宋体" w:hAnsi="宋体" w:cs="宋体"/>
                <w:spacing w:val="-2"/>
                <w:sz w:val="16"/>
                <w:szCs w:val="16"/>
              </w:rPr>
              <w:t>尼克酸/mg</w:t>
            </w:r>
          </w:p>
          <w:p w:rsidR="00EA40A3" w:rsidRDefault="00E86C16">
            <w:pPr>
              <w:spacing w:before="75" w:line="214" w:lineRule="auto"/>
              <w:ind w:left="940"/>
              <w:rPr>
                <w:rFonts w:ascii="宋体" w:eastAsia="宋体" w:hAnsi="宋体" w:cs="宋体"/>
                <w:sz w:val="16"/>
                <w:szCs w:val="16"/>
              </w:rPr>
            </w:pPr>
            <w:r>
              <w:rPr>
                <w:rFonts w:ascii="宋体" w:eastAsia="宋体" w:hAnsi="宋体" w:cs="宋体"/>
                <w:spacing w:val="-2"/>
                <w:sz w:val="16"/>
                <w:szCs w:val="16"/>
              </w:rPr>
              <w:t>维生素C/mg</w:t>
            </w:r>
          </w:p>
        </w:tc>
        <w:tc>
          <w:tcPr>
            <w:tcW w:w="1815" w:type="dxa"/>
            <w:tcBorders>
              <w:bottom w:val="single" w:sz="4" w:space="0" w:color="000000"/>
            </w:tcBorders>
          </w:tcPr>
          <w:p w:rsidR="00EA40A3" w:rsidRDefault="00E86C16">
            <w:pPr>
              <w:spacing w:before="189" w:line="184" w:lineRule="auto"/>
              <w:ind w:left="807"/>
              <w:rPr>
                <w:rFonts w:ascii="宋体" w:eastAsia="宋体" w:hAnsi="宋体" w:cs="宋体"/>
                <w:sz w:val="16"/>
                <w:szCs w:val="16"/>
              </w:rPr>
            </w:pPr>
            <w:r>
              <w:rPr>
                <w:rFonts w:ascii="宋体" w:eastAsia="宋体" w:hAnsi="宋体" w:cs="宋体"/>
                <w:spacing w:val="-5"/>
                <w:sz w:val="16"/>
                <w:szCs w:val="16"/>
              </w:rPr>
              <w:t>11</w:t>
            </w:r>
          </w:p>
          <w:p w:rsidR="00EA40A3" w:rsidRDefault="00E86C16">
            <w:pPr>
              <w:spacing w:before="111" w:line="183" w:lineRule="auto"/>
              <w:ind w:left="637"/>
              <w:rPr>
                <w:rFonts w:ascii="宋体" w:eastAsia="宋体" w:hAnsi="宋体" w:cs="宋体"/>
                <w:sz w:val="16"/>
                <w:szCs w:val="16"/>
              </w:rPr>
            </w:pPr>
            <w:r>
              <w:rPr>
                <w:rFonts w:ascii="宋体" w:eastAsia="宋体" w:hAnsi="宋体" w:cs="宋体"/>
                <w:spacing w:val="-2"/>
                <w:sz w:val="16"/>
                <w:szCs w:val="16"/>
              </w:rPr>
              <w:t>0.04</w:t>
            </w:r>
          </w:p>
          <w:p w:rsidR="00EA40A3" w:rsidRDefault="00E86C16">
            <w:pPr>
              <w:spacing w:before="101" w:line="183" w:lineRule="auto"/>
              <w:ind w:left="717"/>
              <w:rPr>
                <w:rFonts w:ascii="宋体" w:eastAsia="宋体" w:hAnsi="宋体" w:cs="宋体"/>
                <w:sz w:val="16"/>
                <w:szCs w:val="16"/>
              </w:rPr>
            </w:pPr>
            <w:r>
              <w:rPr>
                <w:rFonts w:ascii="宋体" w:eastAsia="宋体" w:hAnsi="宋体" w:cs="宋体"/>
                <w:spacing w:val="-3"/>
                <w:sz w:val="16"/>
                <w:szCs w:val="16"/>
              </w:rPr>
              <w:t>22</w:t>
            </w:r>
          </w:p>
          <w:p w:rsidR="00EA40A3" w:rsidRDefault="00E86C16">
            <w:pPr>
              <w:spacing w:before="100" w:line="184" w:lineRule="auto"/>
              <w:ind w:left="647"/>
              <w:rPr>
                <w:rFonts w:ascii="宋体" w:eastAsia="宋体" w:hAnsi="宋体" w:cs="宋体"/>
                <w:sz w:val="16"/>
                <w:szCs w:val="16"/>
              </w:rPr>
            </w:pPr>
            <w:r>
              <w:rPr>
                <w:rFonts w:ascii="宋体" w:eastAsia="宋体" w:hAnsi="宋体" w:cs="宋体"/>
                <w:spacing w:val="-2"/>
                <w:sz w:val="16"/>
                <w:szCs w:val="16"/>
              </w:rPr>
              <w:t>0.01</w:t>
            </w:r>
          </w:p>
          <w:p w:rsidR="00EA40A3" w:rsidRDefault="00E86C16">
            <w:pPr>
              <w:spacing w:before="81" w:line="183" w:lineRule="auto"/>
              <w:ind w:left="627"/>
              <w:rPr>
                <w:rFonts w:ascii="宋体" w:eastAsia="宋体" w:hAnsi="宋体" w:cs="宋体"/>
                <w:sz w:val="16"/>
                <w:szCs w:val="16"/>
              </w:rPr>
            </w:pPr>
            <w:r>
              <w:rPr>
                <w:rFonts w:ascii="宋体" w:eastAsia="宋体" w:hAnsi="宋体" w:cs="宋体"/>
                <w:spacing w:val="-2"/>
                <w:sz w:val="16"/>
                <w:szCs w:val="16"/>
              </w:rPr>
              <w:t>0.05</w:t>
            </w:r>
          </w:p>
          <w:p w:rsidR="00EA40A3" w:rsidRDefault="00E86C16">
            <w:pPr>
              <w:spacing w:before="112" w:line="183" w:lineRule="auto"/>
              <w:ind w:left="677"/>
              <w:rPr>
                <w:rFonts w:ascii="宋体" w:eastAsia="宋体" w:hAnsi="宋体" w:cs="宋体"/>
                <w:sz w:val="16"/>
                <w:szCs w:val="16"/>
              </w:rPr>
            </w:pPr>
            <w:r>
              <w:rPr>
                <w:rFonts w:ascii="宋体" w:eastAsia="宋体" w:hAnsi="宋体" w:cs="宋体"/>
                <w:spacing w:val="-2"/>
                <w:sz w:val="16"/>
                <w:szCs w:val="16"/>
              </w:rPr>
              <w:t>0.2</w:t>
            </w:r>
          </w:p>
          <w:p w:rsidR="00EA40A3" w:rsidRDefault="00E86C16">
            <w:pPr>
              <w:spacing w:before="102" w:line="182" w:lineRule="auto"/>
              <w:ind w:left="748"/>
              <w:rPr>
                <w:rFonts w:ascii="宋体" w:eastAsia="宋体" w:hAnsi="宋体" w:cs="宋体"/>
                <w:sz w:val="16"/>
                <w:szCs w:val="16"/>
              </w:rPr>
            </w:pPr>
            <w:r>
              <w:rPr>
                <w:rFonts w:ascii="宋体" w:eastAsia="宋体" w:hAnsi="宋体" w:cs="宋体"/>
                <w:sz w:val="16"/>
                <w:szCs w:val="16"/>
              </w:rPr>
              <w:t>5</w:t>
            </w:r>
          </w:p>
        </w:tc>
        <w:tc>
          <w:tcPr>
            <w:tcW w:w="1362" w:type="dxa"/>
            <w:tcBorders>
              <w:bottom w:val="single" w:sz="4" w:space="0" w:color="000000"/>
            </w:tcBorders>
          </w:tcPr>
          <w:p w:rsidR="00EA40A3" w:rsidRDefault="00E86C16">
            <w:pPr>
              <w:tabs>
                <w:tab w:val="left" w:pos="941"/>
              </w:tabs>
              <w:spacing w:before="190" w:line="300" w:lineRule="auto"/>
              <w:ind w:left="783" w:right="266" w:firstLine="159"/>
              <w:jc w:val="right"/>
              <w:rPr>
                <w:rFonts w:ascii="宋体" w:eastAsia="宋体" w:hAnsi="宋体" w:cs="宋体"/>
                <w:sz w:val="16"/>
                <w:szCs w:val="16"/>
              </w:rPr>
            </w:pPr>
            <w:r>
              <w:rPr>
                <w:rFonts w:ascii="宋体" w:eastAsia="宋体" w:hAnsi="宋体" w:cs="宋体"/>
                <w:spacing w:val="-5"/>
                <w:sz w:val="16"/>
                <w:szCs w:val="16"/>
              </w:rPr>
              <w:t>24</w:t>
            </w:r>
            <w:r>
              <w:rPr>
                <w:rFonts w:ascii="宋体" w:eastAsia="宋体" w:hAnsi="宋体" w:cs="宋体"/>
                <w:sz w:val="16"/>
                <w:szCs w:val="16"/>
              </w:rPr>
              <w:t xml:space="preserve"> </w:t>
            </w:r>
            <w:r>
              <w:rPr>
                <w:rFonts w:ascii="宋体" w:eastAsia="宋体" w:hAnsi="宋体" w:cs="宋体"/>
                <w:spacing w:val="-2"/>
                <w:sz w:val="16"/>
                <w:szCs w:val="16"/>
              </w:rPr>
              <w:t>0.18</w:t>
            </w:r>
            <w:r>
              <w:rPr>
                <w:rFonts w:ascii="宋体" w:eastAsia="宋体" w:hAnsi="宋体" w:cs="宋体"/>
                <w:sz w:val="16"/>
                <w:szCs w:val="16"/>
              </w:rPr>
              <w:t xml:space="preserve"> </w:t>
            </w:r>
            <w:r>
              <w:rPr>
                <w:rFonts w:ascii="宋体" w:eastAsia="宋体" w:hAnsi="宋体" w:cs="宋体"/>
                <w:sz w:val="16"/>
                <w:szCs w:val="16"/>
              </w:rPr>
              <w:tab/>
            </w:r>
            <w:r>
              <w:rPr>
                <w:rFonts w:ascii="宋体" w:eastAsia="宋体" w:hAnsi="宋体" w:cs="宋体"/>
                <w:spacing w:val="-9"/>
                <w:sz w:val="16"/>
                <w:szCs w:val="16"/>
              </w:rPr>
              <w:t>14</w:t>
            </w:r>
            <w:r>
              <w:rPr>
                <w:rFonts w:ascii="宋体" w:eastAsia="宋体" w:hAnsi="宋体" w:cs="宋体"/>
                <w:sz w:val="16"/>
                <w:szCs w:val="16"/>
              </w:rPr>
              <w:t xml:space="preserve"> </w:t>
            </w:r>
            <w:r>
              <w:rPr>
                <w:rFonts w:ascii="宋体" w:eastAsia="宋体" w:hAnsi="宋体" w:cs="宋体"/>
                <w:spacing w:val="-2"/>
                <w:sz w:val="16"/>
                <w:szCs w:val="16"/>
              </w:rPr>
              <w:t>0.03</w:t>
            </w:r>
            <w:r>
              <w:rPr>
                <w:rFonts w:ascii="宋体" w:eastAsia="宋体" w:hAnsi="宋体" w:cs="宋体"/>
                <w:sz w:val="16"/>
                <w:szCs w:val="16"/>
              </w:rPr>
              <w:t xml:space="preserve"> </w:t>
            </w:r>
            <w:r>
              <w:rPr>
                <w:rFonts w:ascii="宋体" w:eastAsia="宋体" w:hAnsi="宋体" w:cs="宋体"/>
                <w:spacing w:val="-2"/>
                <w:sz w:val="16"/>
                <w:szCs w:val="16"/>
              </w:rPr>
              <w:t>0.14</w:t>
            </w:r>
          </w:p>
          <w:p w:rsidR="00EA40A3" w:rsidRDefault="00E86C16">
            <w:pPr>
              <w:spacing w:line="183" w:lineRule="auto"/>
              <w:ind w:left="862"/>
              <w:rPr>
                <w:rFonts w:ascii="宋体" w:eastAsia="宋体" w:hAnsi="宋体" w:cs="宋体"/>
                <w:sz w:val="16"/>
                <w:szCs w:val="16"/>
              </w:rPr>
            </w:pPr>
            <w:r>
              <w:rPr>
                <w:rFonts w:ascii="宋体" w:eastAsia="宋体" w:hAnsi="宋体" w:cs="宋体"/>
                <w:spacing w:val="-2"/>
                <w:sz w:val="16"/>
                <w:szCs w:val="16"/>
              </w:rPr>
              <w:t>0.1</w:t>
            </w:r>
          </w:p>
          <w:p w:rsidR="00EA40A3" w:rsidRDefault="00E86C16">
            <w:pPr>
              <w:spacing w:before="100" w:line="184" w:lineRule="auto"/>
              <w:ind w:left="902"/>
              <w:rPr>
                <w:rFonts w:ascii="宋体" w:eastAsia="宋体" w:hAnsi="宋体" w:cs="宋体"/>
                <w:sz w:val="16"/>
                <w:szCs w:val="16"/>
              </w:rPr>
            </w:pPr>
            <w:r>
              <w:rPr>
                <w:rFonts w:ascii="宋体" w:eastAsia="宋体" w:hAnsi="宋体" w:cs="宋体"/>
                <w:sz w:val="16"/>
                <w:szCs w:val="16"/>
              </w:rPr>
              <w:t>1</w:t>
            </w:r>
          </w:p>
        </w:tc>
      </w:tr>
    </w:tbl>
    <w:p w:rsidR="00EA40A3" w:rsidRDefault="00E86C16">
      <w:pPr>
        <w:spacing w:before="82" w:line="219" w:lineRule="auto"/>
        <w:ind w:left="369"/>
        <w:rPr>
          <w:rFonts w:ascii="宋体" w:eastAsia="宋体" w:hAnsi="宋体" w:cs="宋体"/>
          <w:sz w:val="17"/>
          <w:szCs w:val="17"/>
        </w:rPr>
      </w:pPr>
      <w:r>
        <w:rPr>
          <w:rFonts w:ascii="宋体" w:eastAsia="宋体" w:hAnsi="宋体" w:cs="宋体"/>
          <w:spacing w:val="-2"/>
          <w:sz w:val="17"/>
          <w:szCs w:val="17"/>
        </w:rPr>
        <w:t>资料来源：吴坤.2003.营养与食品卫生学.第</w:t>
      </w:r>
      <w:r>
        <w:rPr>
          <w:rFonts w:ascii="宋体" w:eastAsia="宋体" w:hAnsi="宋体" w:cs="宋体"/>
          <w:spacing w:val="-3"/>
          <w:sz w:val="17"/>
          <w:szCs w:val="17"/>
        </w:rPr>
        <w:t>5版.北京：人民卫生出版社</w:t>
      </w:r>
    </w:p>
    <w:p w:rsidR="00EA40A3" w:rsidRDefault="00EA40A3">
      <w:pPr>
        <w:spacing w:line="322" w:lineRule="auto"/>
      </w:pPr>
    </w:p>
    <w:p w:rsidR="00EA40A3" w:rsidRDefault="00E86C16">
      <w:pPr>
        <w:spacing w:before="65" w:line="269" w:lineRule="auto"/>
        <w:ind w:right="129"/>
        <w:jc w:val="both"/>
        <w:rPr>
          <w:rFonts w:ascii="宋体" w:eastAsia="宋体" w:hAnsi="宋体" w:cs="宋体"/>
          <w:sz w:val="20"/>
          <w:szCs w:val="20"/>
        </w:rPr>
      </w:pPr>
      <w:r>
        <w:rPr>
          <w:rFonts w:ascii="宋体" w:eastAsia="宋体" w:hAnsi="宋体" w:cs="宋体"/>
          <w:spacing w:val="7"/>
          <w:sz w:val="20"/>
          <w:szCs w:val="20"/>
        </w:rPr>
        <w:t>肠道正常菌群的生长，从而有效地抑制致病菌或病毒在肠道生长繁殖，有利于婴</w:t>
      </w:r>
      <w:r>
        <w:rPr>
          <w:rFonts w:ascii="宋体" w:eastAsia="宋体" w:hAnsi="宋体" w:cs="宋体"/>
          <w:spacing w:val="4"/>
          <w:sz w:val="20"/>
          <w:szCs w:val="20"/>
        </w:rPr>
        <w:t xml:space="preserve"> </w:t>
      </w:r>
      <w:r>
        <w:rPr>
          <w:rFonts w:ascii="宋体" w:eastAsia="宋体" w:hAnsi="宋体" w:cs="宋体"/>
          <w:spacing w:val="7"/>
          <w:sz w:val="20"/>
          <w:szCs w:val="20"/>
        </w:rPr>
        <w:t>儿肠道健康。还有，母乳中矿物质和微量元素</w:t>
      </w:r>
      <w:r>
        <w:rPr>
          <w:rFonts w:ascii="宋体" w:eastAsia="宋体" w:hAnsi="宋体" w:cs="宋体"/>
          <w:spacing w:val="6"/>
          <w:sz w:val="20"/>
          <w:szCs w:val="20"/>
        </w:rPr>
        <w:t>齐全，钙磷比例适宜，既能满足婴</w:t>
      </w:r>
      <w:r>
        <w:rPr>
          <w:rFonts w:ascii="宋体" w:eastAsia="宋体" w:hAnsi="宋体" w:cs="宋体"/>
          <w:sz w:val="20"/>
          <w:szCs w:val="20"/>
        </w:rPr>
        <w:t xml:space="preserve"> </w:t>
      </w:r>
      <w:r>
        <w:rPr>
          <w:rFonts w:ascii="宋体" w:eastAsia="宋体" w:hAnsi="宋体" w:cs="宋体"/>
          <w:spacing w:val="6"/>
          <w:sz w:val="20"/>
          <w:szCs w:val="20"/>
        </w:rPr>
        <w:t>儿生长发育需要又不会增加婴儿肾脏负担。在乳母膳食营养供给充足时，母乳中</w:t>
      </w:r>
      <w:r>
        <w:rPr>
          <w:rFonts w:ascii="宋体" w:eastAsia="宋体" w:hAnsi="宋体" w:cs="宋体"/>
          <w:spacing w:val="11"/>
          <w:sz w:val="20"/>
          <w:szCs w:val="20"/>
        </w:rPr>
        <w:t xml:space="preserve"> </w:t>
      </w:r>
      <w:r>
        <w:rPr>
          <w:rFonts w:ascii="宋体" w:eastAsia="宋体" w:hAnsi="宋体" w:cs="宋体"/>
          <w:spacing w:val="14"/>
          <w:sz w:val="20"/>
          <w:szCs w:val="20"/>
        </w:rPr>
        <w:t>的维生素可基本满足6个月内婴儿所需(维生素</w:t>
      </w:r>
      <w:r>
        <w:rPr>
          <w:rFonts w:ascii="宋体" w:eastAsia="宋体" w:hAnsi="宋体" w:cs="宋体"/>
          <w:spacing w:val="13"/>
          <w:sz w:val="20"/>
          <w:szCs w:val="20"/>
        </w:rPr>
        <w:t>D 例外)。</w:t>
      </w:r>
    </w:p>
    <w:p w:rsidR="00EA40A3" w:rsidRDefault="00E86C16">
      <w:pPr>
        <w:spacing w:before="75" w:line="267" w:lineRule="auto"/>
        <w:ind w:right="59" w:firstLine="450"/>
        <w:jc w:val="both"/>
        <w:rPr>
          <w:rFonts w:ascii="宋体" w:eastAsia="宋体" w:hAnsi="宋体" w:cs="宋体"/>
          <w:sz w:val="20"/>
          <w:szCs w:val="20"/>
        </w:rPr>
      </w:pPr>
      <w:r>
        <w:rPr>
          <w:rFonts w:ascii="宋体" w:eastAsia="宋体" w:hAnsi="宋体" w:cs="宋体"/>
          <w:spacing w:val="7"/>
          <w:sz w:val="20"/>
          <w:szCs w:val="20"/>
        </w:rPr>
        <w:t>母乳不仅营养全面，而且对婴儿具有保护作用。</w:t>
      </w:r>
      <w:r>
        <w:rPr>
          <w:rFonts w:ascii="宋体" w:eastAsia="宋体" w:hAnsi="宋体" w:cs="宋体"/>
          <w:spacing w:val="6"/>
          <w:sz w:val="20"/>
          <w:szCs w:val="20"/>
        </w:rPr>
        <w:t>初生婴儿免疫系统处于生长</w:t>
      </w:r>
      <w:r>
        <w:rPr>
          <w:rFonts w:ascii="宋体" w:eastAsia="宋体" w:hAnsi="宋体" w:cs="宋体"/>
          <w:sz w:val="20"/>
          <w:szCs w:val="20"/>
        </w:rPr>
        <w:t xml:space="preserve"> </w:t>
      </w:r>
      <w:r>
        <w:rPr>
          <w:rFonts w:ascii="宋体" w:eastAsia="宋体" w:hAnsi="宋体" w:cs="宋体"/>
          <w:spacing w:val="10"/>
          <w:sz w:val="20"/>
          <w:szCs w:val="20"/>
        </w:rPr>
        <w:t>和发育阶段，免疫功能不完善，母乳尤其是初乳</w:t>
      </w:r>
      <w:r>
        <w:rPr>
          <w:rFonts w:ascii="宋体" w:eastAsia="宋体" w:hAnsi="宋体" w:cs="宋体"/>
          <w:spacing w:val="8"/>
          <w:sz w:val="20"/>
          <w:szCs w:val="20"/>
        </w:rPr>
        <w:t xml:space="preserve"> </w:t>
      </w:r>
      <w:r>
        <w:rPr>
          <w:rFonts w:ascii="宋体" w:eastAsia="宋体" w:hAnsi="宋体" w:cs="宋体"/>
          <w:spacing w:val="10"/>
          <w:sz w:val="20"/>
          <w:szCs w:val="20"/>
        </w:rPr>
        <w:t>(</w:t>
      </w:r>
      <w:r>
        <w:rPr>
          <w:rFonts w:ascii="宋体" w:eastAsia="宋体" w:hAnsi="宋体" w:cs="宋体"/>
          <w:sz w:val="20"/>
          <w:szCs w:val="20"/>
        </w:rPr>
        <w:t>colostrum</w:t>
      </w:r>
      <w:r>
        <w:rPr>
          <w:rFonts w:ascii="宋体" w:eastAsia="宋体" w:hAnsi="宋体" w:cs="宋体"/>
          <w:spacing w:val="10"/>
          <w:sz w:val="20"/>
          <w:szCs w:val="20"/>
        </w:rPr>
        <w:t>)</w:t>
      </w:r>
      <w:r>
        <w:rPr>
          <w:rFonts w:ascii="宋体" w:eastAsia="宋体" w:hAnsi="宋体" w:cs="宋体"/>
          <w:spacing w:val="33"/>
          <w:sz w:val="20"/>
          <w:szCs w:val="20"/>
        </w:rPr>
        <w:t xml:space="preserve"> </w:t>
      </w:r>
      <w:r>
        <w:rPr>
          <w:rFonts w:ascii="宋体" w:eastAsia="宋体" w:hAnsi="宋体" w:cs="宋体"/>
          <w:spacing w:val="10"/>
          <w:sz w:val="20"/>
          <w:szCs w:val="20"/>
        </w:rPr>
        <w:t>含多种免疫物质</w:t>
      </w:r>
      <w:r>
        <w:rPr>
          <w:rFonts w:ascii="宋体" w:eastAsia="宋体" w:hAnsi="宋体" w:cs="宋体"/>
          <w:sz w:val="20"/>
          <w:szCs w:val="20"/>
        </w:rPr>
        <w:t xml:space="preserve"> </w:t>
      </w:r>
      <w:r>
        <w:rPr>
          <w:rFonts w:ascii="宋体" w:eastAsia="宋体" w:hAnsi="宋体" w:cs="宋体"/>
          <w:spacing w:val="9"/>
          <w:sz w:val="20"/>
          <w:szCs w:val="20"/>
        </w:rPr>
        <w:t>(如淋巴细胞、抗体、巨噬细胞、乳铁蛋白、溶菌酶、乳过氧化物酶、补体因子</w:t>
      </w:r>
      <w:r>
        <w:rPr>
          <w:rFonts w:ascii="宋体" w:eastAsia="宋体" w:hAnsi="宋体" w:cs="宋体"/>
          <w:spacing w:val="6"/>
          <w:sz w:val="20"/>
          <w:szCs w:val="20"/>
        </w:rPr>
        <w:t xml:space="preserve">  </w:t>
      </w:r>
      <w:r>
        <w:rPr>
          <w:rFonts w:ascii="宋体" w:eastAsia="宋体" w:hAnsi="宋体" w:cs="宋体"/>
          <w:spacing w:val="12"/>
          <w:sz w:val="20"/>
          <w:szCs w:val="20"/>
        </w:rPr>
        <w:t>及双歧杆菌因子等),可以保护并健全消化道黏膜、诱导双歧杆菌的生长并抑制</w:t>
      </w:r>
      <w:r>
        <w:rPr>
          <w:rFonts w:ascii="宋体" w:eastAsia="宋体" w:hAnsi="宋体" w:cs="宋体"/>
          <w:spacing w:val="8"/>
          <w:sz w:val="20"/>
          <w:szCs w:val="20"/>
        </w:rPr>
        <w:t xml:space="preserve">  </w:t>
      </w:r>
      <w:r>
        <w:rPr>
          <w:rFonts w:ascii="宋体" w:eastAsia="宋体" w:hAnsi="宋体" w:cs="宋体"/>
          <w:spacing w:val="9"/>
          <w:sz w:val="20"/>
          <w:szCs w:val="20"/>
        </w:rPr>
        <w:t>致病菌的生长，破坏有害菌、保护婴儿消化道及呼吸道抵抗细菌及病毒的侵袭，</w:t>
      </w:r>
      <w:r>
        <w:rPr>
          <w:rFonts w:ascii="宋体" w:eastAsia="宋体" w:hAnsi="宋体" w:cs="宋体"/>
          <w:spacing w:val="4"/>
          <w:sz w:val="20"/>
          <w:szCs w:val="20"/>
        </w:rPr>
        <w:t xml:space="preserve"> </w:t>
      </w:r>
      <w:r>
        <w:rPr>
          <w:rFonts w:ascii="宋体" w:eastAsia="宋体" w:hAnsi="宋体" w:cs="宋体"/>
          <w:spacing w:val="3"/>
          <w:sz w:val="20"/>
          <w:szCs w:val="20"/>
        </w:rPr>
        <w:t>从而增加婴儿对疾病的抵抗能力。</w:t>
      </w:r>
    </w:p>
    <w:p w:rsidR="00EA40A3" w:rsidRDefault="00E86C16">
      <w:pPr>
        <w:spacing w:before="114" w:line="263" w:lineRule="auto"/>
        <w:ind w:right="111" w:firstLine="450"/>
        <w:rPr>
          <w:rFonts w:ascii="宋体" w:eastAsia="宋体" w:hAnsi="宋体" w:cs="宋体"/>
          <w:sz w:val="20"/>
          <w:szCs w:val="20"/>
        </w:rPr>
      </w:pPr>
      <w:r>
        <w:rPr>
          <w:rFonts w:ascii="宋体" w:eastAsia="宋体" w:hAnsi="宋体" w:cs="宋体"/>
          <w:spacing w:val="7"/>
          <w:sz w:val="20"/>
          <w:szCs w:val="20"/>
        </w:rPr>
        <w:t>此外，以母乳喂养婴儿经济、方便、温度适宜</w:t>
      </w:r>
      <w:r>
        <w:rPr>
          <w:rFonts w:ascii="宋体" w:eastAsia="宋体" w:hAnsi="宋体" w:cs="宋体"/>
          <w:spacing w:val="6"/>
          <w:sz w:val="20"/>
          <w:szCs w:val="20"/>
        </w:rPr>
        <w:t>、不易污染，而且哺乳行为可</w:t>
      </w:r>
      <w:r>
        <w:rPr>
          <w:rFonts w:ascii="宋体" w:eastAsia="宋体" w:hAnsi="宋体" w:cs="宋体"/>
          <w:sz w:val="20"/>
          <w:szCs w:val="20"/>
        </w:rPr>
        <w:t xml:space="preserve"> </w:t>
      </w:r>
      <w:r>
        <w:rPr>
          <w:rFonts w:ascii="宋体" w:eastAsia="宋体" w:hAnsi="宋体" w:cs="宋体"/>
          <w:spacing w:val="8"/>
          <w:sz w:val="20"/>
          <w:szCs w:val="20"/>
        </w:rPr>
        <w:t>增进母子间情感交流，促进婴儿的智能发育，也利于</w:t>
      </w:r>
      <w:r>
        <w:rPr>
          <w:rFonts w:ascii="宋体" w:eastAsia="宋体" w:hAnsi="宋体" w:cs="宋体"/>
          <w:spacing w:val="7"/>
          <w:sz w:val="20"/>
          <w:szCs w:val="20"/>
        </w:rPr>
        <w:t>母亲健康和产后康复。近年</w:t>
      </w:r>
      <w:r>
        <w:rPr>
          <w:rFonts w:ascii="宋体" w:eastAsia="宋体" w:hAnsi="宋体" w:cs="宋体"/>
          <w:sz w:val="20"/>
          <w:szCs w:val="20"/>
        </w:rPr>
        <w:t xml:space="preserve"> </w:t>
      </w:r>
      <w:r>
        <w:rPr>
          <w:rFonts w:ascii="宋体" w:eastAsia="宋体" w:hAnsi="宋体" w:cs="宋体"/>
          <w:spacing w:val="5"/>
          <w:sz w:val="20"/>
          <w:szCs w:val="20"/>
        </w:rPr>
        <w:t>的许多研究还表明，母乳喂养比人工喂养的孩子较少发生肥胖症。</w:t>
      </w:r>
    </w:p>
    <w:p w:rsidR="00EA40A3" w:rsidRDefault="00E86C16">
      <w:pPr>
        <w:spacing w:before="81" w:line="224" w:lineRule="auto"/>
        <w:rPr>
          <w:rFonts w:ascii="楷体" w:eastAsia="楷体" w:hAnsi="楷体" w:cs="楷体"/>
          <w:sz w:val="20"/>
          <w:szCs w:val="20"/>
        </w:rPr>
      </w:pPr>
      <w:r>
        <w:rPr>
          <w:rFonts w:ascii="楷体" w:eastAsia="楷体" w:hAnsi="楷体" w:cs="楷体"/>
          <w:spacing w:val="9"/>
          <w:sz w:val="20"/>
          <w:szCs w:val="20"/>
        </w:rPr>
        <w:t>2)人工喂养与混合喂养</w:t>
      </w:r>
    </w:p>
    <w:p w:rsidR="00EA40A3" w:rsidRDefault="00E86C16">
      <w:pPr>
        <w:spacing w:before="48" w:line="275" w:lineRule="auto"/>
        <w:ind w:right="107" w:firstLine="450"/>
        <w:rPr>
          <w:rFonts w:ascii="宋体" w:eastAsia="宋体" w:hAnsi="宋体" w:cs="宋体"/>
          <w:sz w:val="20"/>
          <w:szCs w:val="20"/>
        </w:rPr>
      </w:pPr>
      <w:r>
        <w:rPr>
          <w:rFonts w:ascii="宋体" w:eastAsia="宋体" w:hAnsi="宋体" w:cs="宋体"/>
          <w:spacing w:val="10"/>
          <w:sz w:val="20"/>
          <w:szCs w:val="20"/>
        </w:rPr>
        <w:t>由于各种原因如母亲疾病、营养不良或新生儿患有先天代</w:t>
      </w:r>
      <w:r>
        <w:rPr>
          <w:rFonts w:ascii="宋体" w:eastAsia="宋体" w:hAnsi="宋体" w:cs="宋体"/>
          <w:spacing w:val="9"/>
          <w:sz w:val="20"/>
          <w:szCs w:val="20"/>
        </w:rPr>
        <w:t>谢性疾病(苯丙酮</w:t>
      </w:r>
      <w:r>
        <w:rPr>
          <w:rFonts w:ascii="宋体" w:eastAsia="宋体" w:hAnsi="宋体" w:cs="宋体"/>
          <w:sz w:val="20"/>
          <w:szCs w:val="20"/>
        </w:rPr>
        <w:t xml:space="preserve"> </w:t>
      </w:r>
      <w:r>
        <w:rPr>
          <w:rFonts w:ascii="宋体" w:eastAsia="宋体" w:hAnsi="宋体" w:cs="宋体"/>
          <w:spacing w:val="9"/>
          <w:sz w:val="20"/>
          <w:szCs w:val="20"/>
        </w:rPr>
        <w:t>尿症等)不能用母乳喂养，而完全采用其他乳及乳制品如牛乳、羊乳，或非乳类</w:t>
      </w:r>
      <w:r>
        <w:rPr>
          <w:rFonts w:ascii="宋体" w:eastAsia="宋体" w:hAnsi="宋体" w:cs="宋体"/>
          <w:spacing w:val="12"/>
          <w:sz w:val="20"/>
          <w:szCs w:val="20"/>
        </w:rPr>
        <w:t xml:space="preserve"> </w:t>
      </w:r>
      <w:r>
        <w:rPr>
          <w:rFonts w:ascii="宋体" w:eastAsia="宋体" w:hAnsi="宋体" w:cs="宋体"/>
          <w:spacing w:val="7"/>
          <w:sz w:val="20"/>
          <w:szCs w:val="20"/>
        </w:rPr>
        <w:t>代乳品如豆浆、米粉等喂养婴儿称人工喂养。而由于母乳不足或母亲</w:t>
      </w:r>
      <w:r>
        <w:rPr>
          <w:rFonts w:ascii="宋体" w:eastAsia="宋体" w:hAnsi="宋体" w:cs="宋体"/>
          <w:spacing w:val="6"/>
          <w:sz w:val="20"/>
          <w:szCs w:val="20"/>
        </w:rPr>
        <w:t>因其他原因</w:t>
      </w:r>
      <w:r>
        <w:rPr>
          <w:rFonts w:ascii="宋体" w:eastAsia="宋体" w:hAnsi="宋体" w:cs="宋体"/>
          <w:sz w:val="20"/>
          <w:szCs w:val="20"/>
        </w:rPr>
        <w:t xml:space="preserve"> </w:t>
      </w:r>
      <w:r>
        <w:rPr>
          <w:rFonts w:ascii="宋体" w:eastAsia="宋体" w:hAnsi="宋体" w:cs="宋体"/>
          <w:spacing w:val="13"/>
          <w:sz w:val="20"/>
          <w:szCs w:val="20"/>
        </w:rPr>
        <w:t>不能按时哺乳婴儿，而采用牛乳或其他代乳品作为补充的喂养方式称为混合喂</w:t>
      </w:r>
      <w:r>
        <w:rPr>
          <w:rFonts w:ascii="宋体" w:eastAsia="宋体" w:hAnsi="宋体" w:cs="宋体"/>
          <w:spacing w:val="6"/>
          <w:sz w:val="20"/>
          <w:szCs w:val="20"/>
        </w:rPr>
        <w:t xml:space="preserve"> </w:t>
      </w:r>
      <w:r>
        <w:rPr>
          <w:rFonts w:ascii="宋体" w:eastAsia="宋体" w:hAnsi="宋体" w:cs="宋体"/>
          <w:spacing w:val="7"/>
          <w:sz w:val="20"/>
          <w:szCs w:val="20"/>
        </w:rPr>
        <w:t>养。无论是人工喂养还是混合喂养，其特点就</w:t>
      </w:r>
      <w:r>
        <w:rPr>
          <w:rFonts w:ascii="宋体" w:eastAsia="宋体" w:hAnsi="宋体" w:cs="宋体"/>
          <w:spacing w:val="6"/>
          <w:sz w:val="20"/>
          <w:szCs w:val="20"/>
        </w:rPr>
        <w:t>是对婴儿给予了非母乳食物。人工</w:t>
      </w:r>
      <w:r>
        <w:rPr>
          <w:rFonts w:ascii="宋体" w:eastAsia="宋体" w:hAnsi="宋体" w:cs="宋体"/>
          <w:sz w:val="20"/>
          <w:szCs w:val="20"/>
        </w:rPr>
        <w:t xml:space="preserve"> </w:t>
      </w:r>
      <w:r>
        <w:rPr>
          <w:rFonts w:ascii="宋体" w:eastAsia="宋体" w:hAnsi="宋体" w:cs="宋体"/>
          <w:spacing w:val="6"/>
          <w:sz w:val="20"/>
          <w:szCs w:val="20"/>
        </w:rPr>
        <w:t>喂养及混合喂养常采用的食物有牛乳、婴儿配方食品及</w:t>
      </w:r>
      <w:r>
        <w:rPr>
          <w:rFonts w:ascii="宋体" w:eastAsia="宋体" w:hAnsi="宋体" w:cs="宋体"/>
          <w:spacing w:val="5"/>
          <w:sz w:val="20"/>
          <w:szCs w:val="20"/>
        </w:rPr>
        <w:t>豆浆。</w:t>
      </w:r>
    </w:p>
    <w:p w:rsidR="00EA40A3" w:rsidRDefault="00E86C16">
      <w:pPr>
        <w:spacing w:before="54"/>
        <w:ind w:left="159"/>
        <w:rPr>
          <w:rFonts w:ascii="宋体" w:eastAsia="宋体" w:hAnsi="宋体" w:cs="宋体"/>
          <w:sz w:val="20"/>
          <w:szCs w:val="20"/>
        </w:rPr>
      </w:pPr>
      <w:r>
        <w:rPr>
          <w:rFonts w:ascii="宋体" w:eastAsia="宋体" w:hAnsi="宋体" w:cs="宋体"/>
          <w:spacing w:val="-37"/>
          <w:sz w:val="20"/>
          <w:szCs w:val="20"/>
        </w:rPr>
        <w:t>·</w:t>
      </w:r>
      <w:r>
        <w:rPr>
          <w:rFonts w:ascii="宋体" w:eastAsia="宋体" w:hAnsi="宋体" w:cs="宋体"/>
          <w:spacing w:val="-10"/>
          <w:sz w:val="20"/>
          <w:szCs w:val="20"/>
        </w:rPr>
        <w:t xml:space="preserve"> </w:t>
      </w:r>
      <w:r>
        <w:rPr>
          <w:rFonts w:ascii="宋体" w:eastAsia="宋体" w:hAnsi="宋体" w:cs="宋体"/>
          <w:spacing w:val="-37"/>
          <w:sz w:val="20"/>
          <w:szCs w:val="20"/>
        </w:rPr>
        <w:t>316</w:t>
      </w:r>
      <w:r>
        <w:rPr>
          <w:rFonts w:ascii="宋体" w:eastAsia="宋体" w:hAnsi="宋体" w:cs="宋体"/>
          <w:spacing w:val="37"/>
          <w:sz w:val="20"/>
          <w:szCs w:val="20"/>
        </w:rPr>
        <w:t xml:space="preserve"> </w:t>
      </w:r>
      <w:r>
        <w:rPr>
          <w:rFonts w:ascii="宋体" w:eastAsia="宋体" w:hAnsi="宋体" w:cs="宋体"/>
          <w:spacing w:val="-37"/>
          <w:sz w:val="20"/>
          <w:szCs w:val="20"/>
        </w:rPr>
        <w:t>·</w:t>
      </w:r>
    </w:p>
    <w:p w:rsidR="00EA40A3" w:rsidRDefault="00EA40A3">
      <w:pPr>
        <w:sectPr w:rsidR="00EA40A3">
          <w:headerReference w:type="default" r:id="rId263"/>
          <w:footerReference w:type="default" r:id="rId264"/>
          <w:pgSz w:w="9220" w:h="13360"/>
          <w:pgMar w:top="1218" w:right="1060" w:bottom="400" w:left="780" w:header="1018" w:footer="0" w:gutter="0"/>
          <w:cols w:space="720"/>
        </w:sectPr>
      </w:pPr>
    </w:p>
    <w:p w:rsidR="00EA40A3" w:rsidRDefault="00EA40A3">
      <w:pPr>
        <w:spacing w:line="279" w:lineRule="auto"/>
      </w:pPr>
    </w:p>
    <w:p w:rsidR="00EA40A3" w:rsidRDefault="00EA40A3">
      <w:pPr>
        <w:spacing w:line="279" w:lineRule="auto"/>
      </w:pPr>
    </w:p>
    <w:p w:rsidR="00EA40A3" w:rsidRDefault="00E86C16">
      <w:pPr>
        <w:spacing w:before="68" w:line="258" w:lineRule="auto"/>
        <w:ind w:right="95" w:firstLine="470"/>
        <w:rPr>
          <w:rFonts w:ascii="宋体" w:eastAsia="宋体" w:hAnsi="宋体" w:cs="宋体"/>
        </w:rPr>
      </w:pPr>
      <w:r>
        <w:rPr>
          <w:rFonts w:ascii="宋体" w:eastAsia="宋体" w:hAnsi="宋体" w:cs="宋体"/>
          <w:spacing w:val="3"/>
        </w:rPr>
        <w:t>牛乳的成分与母乳不同，其蛋白质和矿物质含量比母乳高</w:t>
      </w:r>
      <w:r>
        <w:rPr>
          <w:rFonts w:ascii="宋体" w:eastAsia="宋体" w:hAnsi="宋体" w:cs="宋体"/>
          <w:spacing w:val="2"/>
        </w:rPr>
        <w:t>，而乳糖含量较</w:t>
      </w:r>
      <w:r>
        <w:rPr>
          <w:rFonts w:ascii="宋体" w:eastAsia="宋体" w:hAnsi="宋体" w:cs="宋体"/>
        </w:rPr>
        <w:t xml:space="preserve"> </w:t>
      </w:r>
      <w:r>
        <w:rPr>
          <w:rFonts w:ascii="宋体" w:eastAsia="宋体" w:hAnsi="宋体" w:cs="宋体"/>
          <w:spacing w:val="-3"/>
        </w:rPr>
        <w:t>低，并且蛋白质的组成与母乳正好相反。因此在以牛乳进行婴儿</w:t>
      </w:r>
      <w:r>
        <w:rPr>
          <w:rFonts w:ascii="宋体" w:eastAsia="宋体" w:hAnsi="宋体" w:cs="宋体"/>
          <w:spacing w:val="-4"/>
        </w:rPr>
        <w:t>喂养时，应对其</w:t>
      </w:r>
      <w:r>
        <w:rPr>
          <w:rFonts w:ascii="宋体" w:eastAsia="宋体" w:hAnsi="宋体" w:cs="宋体"/>
        </w:rPr>
        <w:t xml:space="preserve"> </w:t>
      </w:r>
      <w:r>
        <w:rPr>
          <w:rFonts w:ascii="宋体" w:eastAsia="宋体" w:hAnsi="宋体" w:cs="宋体"/>
          <w:spacing w:val="-7"/>
        </w:rPr>
        <w:t>进行适当的调整以适应婴儿的消化功能。</w:t>
      </w:r>
      <w:r>
        <w:rPr>
          <w:rFonts w:ascii="宋体" w:eastAsia="宋体" w:hAnsi="宋体" w:cs="宋体"/>
          <w:spacing w:val="40"/>
        </w:rPr>
        <w:t xml:space="preserve"> </w:t>
      </w:r>
      <w:r>
        <w:rPr>
          <w:rFonts w:ascii="宋体" w:eastAsia="宋体" w:hAnsi="宋体" w:cs="宋体"/>
          <w:spacing w:val="-7"/>
        </w:rPr>
        <w:t>一般是通过稀释降低其中蛋白质浓</w:t>
      </w:r>
      <w:r>
        <w:rPr>
          <w:rFonts w:ascii="宋体" w:eastAsia="宋体" w:hAnsi="宋体" w:cs="宋体"/>
          <w:spacing w:val="-8"/>
        </w:rPr>
        <w:t>度以</w:t>
      </w:r>
      <w:r>
        <w:rPr>
          <w:rFonts w:ascii="宋体" w:eastAsia="宋体" w:hAnsi="宋体" w:cs="宋体"/>
        </w:rPr>
        <w:t xml:space="preserve"> </w:t>
      </w:r>
      <w:r>
        <w:rPr>
          <w:rFonts w:ascii="宋体" w:eastAsia="宋体" w:hAnsi="宋体" w:cs="宋体"/>
          <w:spacing w:val="1"/>
        </w:rPr>
        <w:t>避免高蛋白对婴儿肾脏的负担，稀释的倍数可逐渐降低，稀释的液</w:t>
      </w:r>
      <w:r>
        <w:rPr>
          <w:rFonts w:ascii="宋体" w:eastAsia="宋体" w:hAnsi="宋体" w:cs="宋体"/>
        </w:rPr>
        <w:t xml:space="preserve">体可采用水  </w:t>
      </w:r>
      <w:r>
        <w:rPr>
          <w:rFonts w:ascii="宋体" w:eastAsia="宋体" w:hAnsi="宋体" w:cs="宋体"/>
          <w:spacing w:val="-3"/>
        </w:rPr>
        <w:t>也可采用米汤。此外，为了调整牛乳总糖的浓度，可以在稀释后的牛乳</w:t>
      </w:r>
      <w:r>
        <w:rPr>
          <w:rFonts w:ascii="宋体" w:eastAsia="宋体" w:hAnsi="宋体" w:cs="宋体"/>
          <w:spacing w:val="-4"/>
        </w:rPr>
        <w:t>中添加一</w:t>
      </w:r>
      <w:r>
        <w:rPr>
          <w:rFonts w:ascii="宋体" w:eastAsia="宋体" w:hAnsi="宋体" w:cs="宋体"/>
        </w:rPr>
        <w:t xml:space="preserve"> </w:t>
      </w:r>
      <w:r>
        <w:rPr>
          <w:rFonts w:ascii="宋体" w:eastAsia="宋体" w:hAnsi="宋体" w:cs="宋体"/>
          <w:spacing w:val="-8"/>
        </w:rPr>
        <w:t>定的糖，最好是乳糖。但要注意，在加糖并稀释后，牛乳应当煮沸，</w:t>
      </w:r>
      <w:r>
        <w:rPr>
          <w:rFonts w:ascii="宋体" w:eastAsia="宋体" w:hAnsi="宋体" w:cs="宋体"/>
          <w:spacing w:val="72"/>
        </w:rPr>
        <w:t xml:space="preserve"> </w:t>
      </w:r>
      <w:r>
        <w:rPr>
          <w:rFonts w:ascii="宋体" w:eastAsia="宋体" w:hAnsi="宋体" w:cs="宋体"/>
          <w:spacing w:val="-8"/>
        </w:rPr>
        <w:t>一方面可以</w:t>
      </w:r>
      <w:r>
        <w:rPr>
          <w:rFonts w:ascii="宋体" w:eastAsia="宋体" w:hAnsi="宋体" w:cs="宋体"/>
        </w:rPr>
        <w:t xml:space="preserve"> </w:t>
      </w:r>
      <w:r>
        <w:rPr>
          <w:rFonts w:ascii="宋体" w:eastAsia="宋体" w:hAnsi="宋体" w:cs="宋体"/>
          <w:spacing w:val="-3"/>
        </w:rPr>
        <w:t>消毒，另一方面蛋白质变性有利于婴儿吸收。当没有鲜奶时可以采用乳粉，但要</w:t>
      </w:r>
      <w:r>
        <w:rPr>
          <w:rFonts w:ascii="宋体" w:eastAsia="宋体" w:hAnsi="宋体" w:cs="宋体"/>
          <w:spacing w:val="14"/>
        </w:rPr>
        <w:t xml:space="preserve"> </w:t>
      </w:r>
      <w:r>
        <w:rPr>
          <w:rFonts w:ascii="宋体" w:eastAsia="宋体" w:hAnsi="宋体" w:cs="宋体"/>
          <w:spacing w:val="-4"/>
        </w:rPr>
        <w:t>注意不宜使用脱脂乳粉，因为脱脂乳粉可能导致婴儿的能量摄入不足。</w:t>
      </w:r>
    </w:p>
    <w:p w:rsidR="00EA40A3" w:rsidRDefault="00E86C16">
      <w:pPr>
        <w:spacing w:before="103" w:line="257" w:lineRule="auto"/>
        <w:ind w:firstLine="470"/>
        <w:jc w:val="both"/>
        <w:rPr>
          <w:rFonts w:ascii="宋体" w:eastAsia="宋体" w:hAnsi="宋体" w:cs="宋体"/>
        </w:rPr>
      </w:pPr>
      <w:r>
        <w:rPr>
          <w:rFonts w:ascii="宋体" w:eastAsia="宋体" w:hAnsi="宋体" w:cs="宋体"/>
          <w:spacing w:val="5"/>
        </w:rPr>
        <w:t>婴儿配方食品(乳粉)是目前最常用的人工喂养或混合喂养的母乳代用品。</w:t>
      </w:r>
      <w:r>
        <w:rPr>
          <w:rFonts w:ascii="宋体" w:eastAsia="宋体" w:hAnsi="宋体" w:cs="宋体"/>
          <w:spacing w:val="18"/>
        </w:rPr>
        <w:t xml:space="preserve"> </w:t>
      </w:r>
      <w:r>
        <w:rPr>
          <w:rFonts w:ascii="宋体" w:eastAsia="宋体" w:hAnsi="宋体" w:cs="宋体"/>
          <w:spacing w:val="-8"/>
        </w:rPr>
        <w:t>它是根据母乳的成分进行了营养调配出的婴儿食品，</w:t>
      </w:r>
      <w:r>
        <w:rPr>
          <w:rFonts w:ascii="宋体" w:eastAsia="宋体" w:hAnsi="宋体" w:cs="宋体"/>
          <w:spacing w:val="55"/>
        </w:rPr>
        <w:t xml:space="preserve"> </w:t>
      </w:r>
      <w:r>
        <w:rPr>
          <w:rFonts w:ascii="宋体" w:eastAsia="宋体" w:hAnsi="宋体" w:cs="宋体"/>
          <w:spacing w:val="-8"/>
        </w:rPr>
        <w:t>一般是以乳粉为</w:t>
      </w:r>
      <w:r>
        <w:rPr>
          <w:rFonts w:ascii="宋体" w:eastAsia="宋体" w:hAnsi="宋体" w:cs="宋体"/>
          <w:spacing w:val="-9"/>
        </w:rPr>
        <w:t>基体进行调</w:t>
      </w:r>
      <w:r>
        <w:rPr>
          <w:rFonts w:ascii="宋体" w:eastAsia="宋体" w:hAnsi="宋体" w:cs="宋体"/>
        </w:rPr>
        <w:t xml:space="preserve">  </w:t>
      </w:r>
      <w:r>
        <w:rPr>
          <w:rFonts w:ascii="宋体" w:eastAsia="宋体" w:hAnsi="宋体" w:cs="宋体"/>
          <w:spacing w:val="-3"/>
        </w:rPr>
        <w:t>配，特殊的也有以大豆蛋白为主体。婴儿配方食品的成分接近母乳，但不完全相</w:t>
      </w:r>
      <w:r>
        <w:rPr>
          <w:rFonts w:ascii="宋体" w:eastAsia="宋体" w:hAnsi="宋体" w:cs="宋体"/>
        </w:rPr>
        <w:t xml:space="preserve">  </w:t>
      </w:r>
      <w:r>
        <w:rPr>
          <w:rFonts w:ascii="宋体" w:eastAsia="宋体" w:hAnsi="宋体" w:cs="宋体"/>
          <w:spacing w:val="-3"/>
        </w:rPr>
        <w:t>同。根据婴儿的不同状况，现推出了不同的婴儿配方食品</w:t>
      </w:r>
      <w:r>
        <w:rPr>
          <w:rFonts w:ascii="宋体" w:eastAsia="宋体" w:hAnsi="宋体" w:cs="宋体"/>
          <w:spacing w:val="-4"/>
        </w:rPr>
        <w:t>。如起始配方一般适用</w:t>
      </w:r>
      <w:r>
        <w:rPr>
          <w:rFonts w:ascii="宋体" w:eastAsia="宋体" w:hAnsi="宋体" w:cs="宋体"/>
        </w:rPr>
        <w:t xml:space="preserve">  </w:t>
      </w:r>
      <w:r>
        <w:rPr>
          <w:rFonts w:ascii="宋体" w:eastAsia="宋体" w:hAnsi="宋体" w:cs="宋体"/>
          <w:spacing w:val="6"/>
        </w:rPr>
        <w:t>于1～6个月龄婴儿；适应配方比起始配方更接近母乳，后继配方用于6个月后</w:t>
      </w:r>
      <w:r>
        <w:rPr>
          <w:rFonts w:ascii="宋体" w:eastAsia="宋体" w:hAnsi="宋体" w:cs="宋体"/>
        </w:rPr>
        <w:t xml:space="preserve">  </w:t>
      </w:r>
      <w:r>
        <w:rPr>
          <w:rFonts w:ascii="宋体" w:eastAsia="宋体" w:hAnsi="宋体" w:cs="宋体"/>
          <w:spacing w:val="3"/>
        </w:rPr>
        <w:t>的婴儿，并可作为混合食物的组成部分之一；医学</w:t>
      </w:r>
      <w:r>
        <w:rPr>
          <w:rFonts w:ascii="宋体" w:eastAsia="宋体" w:hAnsi="宋体" w:cs="宋体"/>
          <w:spacing w:val="2"/>
        </w:rPr>
        <w:t>配方是针对特殊婴儿如早产</w:t>
      </w:r>
      <w:r>
        <w:rPr>
          <w:rFonts w:ascii="宋体" w:eastAsia="宋体" w:hAnsi="宋体" w:cs="宋体"/>
        </w:rPr>
        <w:t xml:space="preserve">  </w:t>
      </w:r>
      <w:r>
        <w:rPr>
          <w:rFonts w:ascii="宋体" w:eastAsia="宋体" w:hAnsi="宋体" w:cs="宋体"/>
          <w:spacing w:val="-7"/>
        </w:rPr>
        <w:t>儿，或牛乳过敏婴儿、先天性代谢缺陷婴儿等</w:t>
      </w:r>
      <w:r>
        <w:rPr>
          <w:rFonts w:ascii="宋体" w:eastAsia="宋体" w:hAnsi="宋体" w:cs="宋体"/>
          <w:spacing w:val="-8"/>
        </w:rPr>
        <w:t>。</w:t>
      </w:r>
    </w:p>
    <w:p w:rsidR="00EA40A3" w:rsidRDefault="00E86C16">
      <w:pPr>
        <w:spacing w:before="88" w:line="247" w:lineRule="auto"/>
        <w:ind w:right="54" w:firstLine="470"/>
        <w:jc w:val="both"/>
        <w:rPr>
          <w:rFonts w:ascii="宋体" w:eastAsia="宋体" w:hAnsi="宋体" w:cs="宋体"/>
        </w:rPr>
      </w:pPr>
      <w:r>
        <w:rPr>
          <w:rFonts w:ascii="宋体" w:eastAsia="宋体" w:hAnsi="宋体" w:cs="宋体"/>
          <w:spacing w:val="-3"/>
        </w:rPr>
        <w:t>其他的代母乳食品还有豆浆等。需要说明的是，从营养价值上讲，母乳是婴</w:t>
      </w:r>
      <w:r>
        <w:rPr>
          <w:rFonts w:ascii="宋体" w:eastAsia="宋体" w:hAnsi="宋体" w:cs="宋体"/>
          <w:spacing w:val="18"/>
        </w:rPr>
        <w:t xml:space="preserve"> </w:t>
      </w:r>
      <w:r>
        <w:rPr>
          <w:rFonts w:ascii="宋体" w:eastAsia="宋体" w:hAnsi="宋体" w:cs="宋体"/>
          <w:spacing w:val="-7"/>
        </w:rPr>
        <w:t>儿首选的食物，应当大力提倡母乳喂养。</w:t>
      </w:r>
    </w:p>
    <w:p w:rsidR="00EA40A3" w:rsidRDefault="00E86C16">
      <w:pPr>
        <w:spacing w:before="51" w:line="228" w:lineRule="auto"/>
        <w:rPr>
          <w:rFonts w:ascii="楷体" w:eastAsia="楷体" w:hAnsi="楷体" w:cs="楷体"/>
        </w:rPr>
      </w:pPr>
      <w:r>
        <w:rPr>
          <w:rFonts w:ascii="楷体" w:eastAsia="楷体" w:hAnsi="楷体" w:cs="楷体"/>
          <w:spacing w:val="3"/>
        </w:rPr>
        <w:t>3)辅食添加</w:t>
      </w:r>
    </w:p>
    <w:p w:rsidR="00EA40A3" w:rsidRDefault="00E86C16">
      <w:pPr>
        <w:spacing w:before="58" w:line="255" w:lineRule="auto"/>
        <w:ind w:right="96" w:firstLine="470"/>
        <w:jc w:val="both"/>
        <w:rPr>
          <w:rFonts w:ascii="宋体" w:eastAsia="宋体" w:hAnsi="宋体" w:cs="宋体"/>
        </w:rPr>
      </w:pPr>
      <w:r>
        <w:rPr>
          <w:rFonts w:ascii="宋体" w:eastAsia="宋体" w:hAnsi="宋体" w:cs="宋体"/>
          <w:spacing w:val="3"/>
        </w:rPr>
        <w:t>母乳的分泌量并不随婴儿的长大而增加。随着婴</w:t>
      </w:r>
      <w:r>
        <w:rPr>
          <w:rFonts w:ascii="宋体" w:eastAsia="宋体" w:hAnsi="宋体" w:cs="宋体"/>
          <w:spacing w:val="2"/>
        </w:rPr>
        <w:t>儿的长大，到4～6月龄之</w:t>
      </w:r>
      <w:r>
        <w:rPr>
          <w:rFonts w:ascii="宋体" w:eastAsia="宋体" w:hAnsi="宋体" w:cs="宋体"/>
        </w:rPr>
        <w:t xml:space="preserve"> </w:t>
      </w:r>
      <w:r>
        <w:rPr>
          <w:rFonts w:ascii="宋体" w:eastAsia="宋体" w:hAnsi="宋体" w:cs="宋体"/>
          <w:spacing w:val="4"/>
        </w:rPr>
        <w:t>后，婴儿体重从出生时的3.2</w:t>
      </w:r>
      <w:r>
        <w:rPr>
          <w:rFonts w:ascii="宋体" w:eastAsia="宋体" w:hAnsi="宋体" w:cs="宋体"/>
        </w:rPr>
        <w:t>kg</w:t>
      </w:r>
      <w:r>
        <w:rPr>
          <w:rFonts w:ascii="宋体" w:eastAsia="宋体" w:hAnsi="宋体" w:cs="宋体"/>
          <w:spacing w:val="-31"/>
        </w:rPr>
        <w:t xml:space="preserve"> </w:t>
      </w:r>
      <w:r>
        <w:rPr>
          <w:rFonts w:ascii="宋体" w:eastAsia="宋体" w:hAnsi="宋体" w:cs="宋体"/>
          <w:spacing w:val="4"/>
        </w:rPr>
        <w:t>左右增加至6～7</w:t>
      </w:r>
      <w:r>
        <w:rPr>
          <w:rFonts w:ascii="宋体" w:eastAsia="宋体" w:hAnsi="宋体" w:cs="宋体"/>
        </w:rPr>
        <w:t>kg</w:t>
      </w:r>
      <w:r>
        <w:rPr>
          <w:rFonts w:ascii="宋体" w:eastAsia="宋体" w:hAnsi="宋体" w:cs="宋体"/>
          <w:spacing w:val="4"/>
        </w:rPr>
        <w:t>,</w:t>
      </w:r>
      <w:r>
        <w:rPr>
          <w:rFonts w:ascii="宋体" w:eastAsia="宋体" w:hAnsi="宋体" w:cs="宋体"/>
          <w:spacing w:val="-3"/>
        </w:rPr>
        <w:t xml:space="preserve"> </w:t>
      </w:r>
      <w:r>
        <w:rPr>
          <w:rFonts w:ascii="宋体" w:eastAsia="宋体" w:hAnsi="宋体" w:cs="宋体"/>
          <w:spacing w:val="4"/>
        </w:rPr>
        <w:t>对能量及各种营养素的需</w:t>
      </w:r>
      <w:r>
        <w:rPr>
          <w:rFonts w:ascii="宋体" w:eastAsia="宋体" w:hAnsi="宋体" w:cs="宋体"/>
        </w:rPr>
        <w:t xml:space="preserve"> </w:t>
      </w:r>
      <w:r>
        <w:rPr>
          <w:rFonts w:ascii="宋体" w:eastAsia="宋体" w:hAnsi="宋体" w:cs="宋体"/>
          <w:spacing w:val="-3"/>
        </w:rPr>
        <w:t>要量都增加，此时仅单独以母乳喂养已不能完全满足婴儿生长的需要，应逐步的</w:t>
      </w:r>
      <w:r>
        <w:rPr>
          <w:rFonts w:ascii="宋体" w:eastAsia="宋体" w:hAnsi="宋体" w:cs="宋体"/>
        </w:rPr>
        <w:t xml:space="preserve"> </w:t>
      </w:r>
      <w:r>
        <w:rPr>
          <w:rFonts w:ascii="宋体" w:eastAsia="宋体" w:hAnsi="宋体" w:cs="宋体"/>
          <w:spacing w:val="-3"/>
        </w:rPr>
        <w:t>添加婴儿辅助食品作为母乳的补充。对婴儿辅食的添加，应在坚持母乳喂养的同</w:t>
      </w:r>
      <w:r>
        <w:rPr>
          <w:rFonts w:ascii="宋体" w:eastAsia="宋体" w:hAnsi="宋体" w:cs="宋体"/>
          <w:spacing w:val="2"/>
        </w:rPr>
        <w:t xml:space="preserve"> </w:t>
      </w:r>
      <w:r>
        <w:rPr>
          <w:rFonts w:ascii="宋体" w:eastAsia="宋体" w:hAnsi="宋体" w:cs="宋体"/>
          <w:spacing w:val="-7"/>
        </w:rPr>
        <w:t>时逐步进行。</w:t>
      </w:r>
    </w:p>
    <w:p w:rsidR="00EA40A3" w:rsidRDefault="00E86C16">
      <w:pPr>
        <w:spacing w:before="77" w:line="260" w:lineRule="auto"/>
        <w:ind w:right="39" w:firstLine="470"/>
        <w:jc w:val="both"/>
        <w:rPr>
          <w:rFonts w:ascii="宋体" w:eastAsia="宋体" w:hAnsi="宋体" w:cs="宋体"/>
        </w:rPr>
      </w:pPr>
      <w:r>
        <w:rPr>
          <w:rFonts w:ascii="宋体" w:eastAsia="宋体" w:hAnsi="宋体" w:cs="宋体"/>
          <w:spacing w:val="3"/>
        </w:rPr>
        <w:t>考虑到婴儿生长发育的特点，添加辅助食品的总的原则是：保证卫生、安</w:t>
      </w:r>
      <w:r>
        <w:rPr>
          <w:rFonts w:ascii="宋体" w:eastAsia="宋体" w:hAnsi="宋体" w:cs="宋体"/>
          <w:spacing w:val="15"/>
        </w:rPr>
        <w:t xml:space="preserve"> </w:t>
      </w:r>
      <w:r>
        <w:rPr>
          <w:rFonts w:ascii="宋体" w:eastAsia="宋体" w:hAnsi="宋体" w:cs="宋体"/>
          <w:spacing w:val="6"/>
        </w:rPr>
        <w:t>全；先单纯后混合；先少后多；先液体后固体；先谷类、</w:t>
      </w:r>
      <w:r>
        <w:rPr>
          <w:rFonts w:ascii="宋体" w:eastAsia="宋体" w:hAnsi="宋体" w:cs="宋体"/>
          <w:spacing w:val="5"/>
        </w:rPr>
        <w:t>水果、蔬菜，后鱼、</w:t>
      </w:r>
      <w:r>
        <w:rPr>
          <w:rFonts w:ascii="宋体" w:eastAsia="宋体" w:hAnsi="宋体" w:cs="宋体"/>
        </w:rPr>
        <w:t xml:space="preserve"> 蛋、肉；要清淡少盐。具体添加的食物内容及</w:t>
      </w:r>
      <w:r>
        <w:rPr>
          <w:rFonts w:ascii="宋体" w:eastAsia="宋体" w:hAnsi="宋体" w:cs="宋体"/>
          <w:spacing w:val="-1"/>
        </w:rPr>
        <w:t>顺序可以是：3个月，开始添加菜</w:t>
      </w:r>
      <w:r>
        <w:rPr>
          <w:rFonts w:ascii="宋体" w:eastAsia="宋体" w:hAnsi="宋体" w:cs="宋体"/>
        </w:rPr>
        <w:t xml:space="preserve">  </w:t>
      </w:r>
      <w:r>
        <w:rPr>
          <w:rFonts w:ascii="宋体" w:eastAsia="宋体" w:hAnsi="宋体" w:cs="宋体"/>
          <w:spacing w:val="3"/>
        </w:rPr>
        <w:t>汁、果汁；4～5个月，添加米糊、粥、水果泥、菜泥、蛋黄、鱼泥、豆腐及</w:t>
      </w:r>
      <w:r>
        <w:rPr>
          <w:rFonts w:ascii="宋体" w:eastAsia="宋体" w:hAnsi="宋体" w:cs="宋体"/>
          <w:spacing w:val="2"/>
        </w:rPr>
        <w:t>动</w:t>
      </w:r>
      <w:r>
        <w:rPr>
          <w:rFonts w:ascii="宋体" w:eastAsia="宋体" w:hAnsi="宋体" w:cs="宋体"/>
        </w:rPr>
        <w:t xml:space="preserve">  </w:t>
      </w:r>
      <w:r>
        <w:rPr>
          <w:rFonts w:ascii="宋体" w:eastAsia="宋体" w:hAnsi="宋体" w:cs="宋体"/>
          <w:spacing w:val="5"/>
        </w:rPr>
        <w:t>物血等；6～9个月，添加饼干、面条、水果泥、菜泥、全蛋、肝泥、肉糜等；</w:t>
      </w:r>
      <w:r>
        <w:rPr>
          <w:rFonts w:ascii="宋体" w:eastAsia="宋体" w:hAnsi="宋体" w:cs="宋体"/>
        </w:rPr>
        <w:t xml:space="preserve"> </w:t>
      </w:r>
      <w:r>
        <w:rPr>
          <w:rFonts w:ascii="宋体" w:eastAsia="宋体" w:hAnsi="宋体" w:cs="宋体"/>
          <w:spacing w:val="3"/>
        </w:rPr>
        <w:t>10～12个月，添加稠粥、烂饭、面包、馒头、碎菜、肉末等</w:t>
      </w:r>
      <w:r>
        <w:rPr>
          <w:rFonts w:ascii="宋体" w:eastAsia="宋体" w:hAnsi="宋体" w:cs="宋体"/>
          <w:spacing w:val="2"/>
        </w:rPr>
        <w:t>。此外，婴儿对水</w:t>
      </w:r>
      <w:r>
        <w:rPr>
          <w:rFonts w:ascii="宋体" w:eastAsia="宋体" w:hAnsi="宋体" w:cs="宋体"/>
        </w:rPr>
        <w:t xml:space="preserve">  </w:t>
      </w:r>
      <w:r>
        <w:rPr>
          <w:rFonts w:ascii="宋体" w:eastAsia="宋体" w:hAnsi="宋体" w:cs="宋体"/>
          <w:spacing w:val="-3"/>
        </w:rPr>
        <w:t>分的需要量大，添加辅食后，乳汁饮用量减少，需特别补充水分。此</w:t>
      </w:r>
      <w:r>
        <w:rPr>
          <w:rFonts w:ascii="宋体" w:eastAsia="宋体" w:hAnsi="宋体" w:cs="宋体"/>
          <w:spacing w:val="-4"/>
        </w:rPr>
        <w:t>外，在给婴</w:t>
      </w:r>
      <w:r>
        <w:rPr>
          <w:rFonts w:ascii="宋体" w:eastAsia="宋体" w:hAnsi="宋体" w:cs="宋体"/>
        </w:rPr>
        <w:t xml:space="preserve">  </w:t>
      </w:r>
      <w:r>
        <w:rPr>
          <w:rFonts w:ascii="宋体" w:eastAsia="宋体" w:hAnsi="宋体" w:cs="宋体"/>
          <w:spacing w:val="-3"/>
        </w:rPr>
        <w:t>儿进行辅食添加时，要预防食物过敏。通常第一种给婴儿引入的</w:t>
      </w:r>
      <w:r>
        <w:rPr>
          <w:rFonts w:ascii="宋体" w:eastAsia="宋体" w:hAnsi="宋体" w:cs="宋体"/>
          <w:spacing w:val="-4"/>
        </w:rPr>
        <w:t>辅食应是易消化</w:t>
      </w:r>
      <w:r>
        <w:rPr>
          <w:rFonts w:ascii="宋体" w:eastAsia="宋体" w:hAnsi="宋体" w:cs="宋体"/>
        </w:rPr>
        <w:t xml:space="preserve">  </w:t>
      </w:r>
      <w:r>
        <w:rPr>
          <w:rFonts w:ascii="宋体" w:eastAsia="宋体" w:hAnsi="宋体" w:cs="宋体"/>
          <w:spacing w:val="3"/>
        </w:rPr>
        <w:t>而不易过敏的食物，最适宜的是谷类食物，避免食用含有花生、黄豆的家制米</w:t>
      </w:r>
      <w:r>
        <w:rPr>
          <w:rFonts w:ascii="宋体" w:eastAsia="宋体" w:hAnsi="宋体" w:cs="宋体"/>
          <w:spacing w:val="16"/>
        </w:rPr>
        <w:t xml:space="preserve"> </w:t>
      </w:r>
      <w:r>
        <w:rPr>
          <w:rFonts w:ascii="宋体" w:eastAsia="宋体" w:hAnsi="宋体" w:cs="宋体"/>
          <w:spacing w:val="-3"/>
        </w:rPr>
        <w:t>粉；对于牛奶过敏的婴儿，可采用水解酪蛋白或乳清蛋白奶粉，或用游离氨基酸</w:t>
      </w:r>
      <w:r>
        <w:rPr>
          <w:rFonts w:ascii="宋体" w:eastAsia="宋体" w:hAnsi="宋体" w:cs="宋体"/>
          <w:spacing w:val="12"/>
        </w:rPr>
        <w:t xml:space="preserve"> </w:t>
      </w:r>
      <w:r>
        <w:rPr>
          <w:rFonts w:ascii="宋体" w:eastAsia="宋体" w:hAnsi="宋体" w:cs="宋体"/>
          <w:spacing w:val="-4"/>
        </w:rPr>
        <w:t>作为蛋白来源的要素饮食，也可用豆蛋白的配方奶粉。</w:t>
      </w:r>
    </w:p>
    <w:p w:rsidR="00EA40A3" w:rsidRDefault="00EA40A3">
      <w:pPr>
        <w:sectPr w:rsidR="00EA40A3">
          <w:headerReference w:type="default" r:id="rId265"/>
          <w:footerReference w:type="default" r:id="rId266"/>
          <w:pgSz w:w="9220" w:h="13360"/>
          <w:pgMar w:top="400" w:right="955" w:bottom="1255" w:left="890" w:header="0" w:footer="1035" w:gutter="0"/>
          <w:cols w:space="720"/>
        </w:sectPr>
      </w:pPr>
    </w:p>
    <w:p w:rsidR="00EA40A3" w:rsidRDefault="00EA40A3">
      <w:pPr>
        <w:spacing w:line="339" w:lineRule="auto"/>
      </w:pPr>
    </w:p>
    <w:p w:rsidR="00EA40A3" w:rsidRDefault="00EA40A3">
      <w:pPr>
        <w:spacing w:line="340" w:lineRule="auto"/>
      </w:pPr>
    </w:p>
    <w:p w:rsidR="00EA40A3" w:rsidRDefault="00E86C16">
      <w:pPr>
        <w:spacing w:before="81" w:line="221" w:lineRule="auto"/>
        <w:ind w:left="3"/>
        <w:outlineLvl w:val="6"/>
        <w:rPr>
          <w:rFonts w:ascii="黑体" w:eastAsia="黑体" w:hAnsi="黑体" w:cs="黑体"/>
          <w:sz w:val="25"/>
          <w:szCs w:val="25"/>
        </w:rPr>
      </w:pPr>
      <w:r>
        <w:rPr>
          <w:rFonts w:ascii="黑体" w:eastAsia="黑体" w:hAnsi="黑体" w:cs="黑体"/>
          <w:b/>
          <w:bCs/>
          <w:spacing w:val="-12"/>
          <w:sz w:val="25"/>
          <w:szCs w:val="25"/>
        </w:rPr>
        <w:t>10.3.2</w:t>
      </w:r>
      <w:r>
        <w:rPr>
          <w:rFonts w:ascii="黑体" w:eastAsia="黑体" w:hAnsi="黑体" w:cs="黑体"/>
          <w:spacing w:val="60"/>
          <w:sz w:val="25"/>
          <w:szCs w:val="25"/>
        </w:rPr>
        <w:t xml:space="preserve">  </w:t>
      </w:r>
      <w:r>
        <w:rPr>
          <w:rFonts w:ascii="黑体" w:eastAsia="黑体" w:hAnsi="黑体" w:cs="黑体"/>
          <w:b/>
          <w:bCs/>
          <w:spacing w:val="-12"/>
          <w:sz w:val="25"/>
          <w:szCs w:val="25"/>
        </w:rPr>
        <w:t>幼儿营养</w:t>
      </w:r>
    </w:p>
    <w:p w:rsidR="00EA40A3" w:rsidRDefault="00E86C16">
      <w:pPr>
        <w:spacing w:before="273" w:line="222" w:lineRule="auto"/>
        <w:rPr>
          <w:rFonts w:ascii="仿宋" w:eastAsia="仿宋" w:hAnsi="仿宋" w:cs="仿宋"/>
        </w:rPr>
      </w:pPr>
      <w:r>
        <w:rPr>
          <w:rFonts w:ascii="仿宋" w:eastAsia="仿宋" w:hAnsi="仿宋" w:cs="仿宋"/>
          <w:spacing w:val="18"/>
        </w:rPr>
        <w:t>1.</w:t>
      </w:r>
      <w:r>
        <w:rPr>
          <w:rFonts w:ascii="仿宋" w:eastAsia="仿宋" w:hAnsi="仿宋" w:cs="仿宋"/>
          <w:spacing w:val="-8"/>
        </w:rPr>
        <w:t xml:space="preserve"> </w:t>
      </w:r>
      <w:r>
        <w:rPr>
          <w:rFonts w:ascii="仿宋" w:eastAsia="仿宋" w:hAnsi="仿宋" w:cs="仿宋"/>
          <w:spacing w:val="18"/>
        </w:rPr>
        <w:t>幼儿期生长发育特点</w:t>
      </w:r>
    </w:p>
    <w:p w:rsidR="00EA40A3" w:rsidRDefault="00E86C16">
      <w:pPr>
        <w:spacing w:before="179" w:line="260" w:lineRule="auto"/>
        <w:ind w:right="79" w:firstLine="410"/>
        <w:jc w:val="both"/>
        <w:rPr>
          <w:rFonts w:ascii="宋体" w:eastAsia="宋体" w:hAnsi="宋体" w:cs="宋体"/>
        </w:rPr>
      </w:pPr>
      <w:r>
        <w:rPr>
          <w:rFonts w:ascii="宋体" w:eastAsia="宋体" w:hAnsi="宋体" w:cs="宋体"/>
          <w:spacing w:val="6"/>
        </w:rPr>
        <w:t>从1周岁到满3周岁之前为幼儿</w:t>
      </w:r>
      <w:r>
        <w:rPr>
          <w:rFonts w:ascii="宋体" w:eastAsia="宋体" w:hAnsi="宋体" w:cs="宋体"/>
          <w:spacing w:val="-20"/>
        </w:rPr>
        <w:t xml:space="preserve"> </w:t>
      </w:r>
      <w:r>
        <w:rPr>
          <w:rFonts w:ascii="宋体" w:eastAsia="宋体" w:hAnsi="宋体" w:cs="宋体"/>
          <w:spacing w:val="6"/>
        </w:rPr>
        <w:t>(</w:t>
      </w:r>
      <w:r>
        <w:rPr>
          <w:rFonts w:ascii="宋体" w:eastAsia="宋体" w:hAnsi="宋体" w:cs="宋体"/>
        </w:rPr>
        <w:t>young</w:t>
      </w:r>
      <w:r>
        <w:rPr>
          <w:rFonts w:ascii="宋体" w:eastAsia="宋体" w:hAnsi="宋体" w:cs="宋体"/>
          <w:spacing w:val="8"/>
        </w:rPr>
        <w:t xml:space="preserve"> </w:t>
      </w:r>
      <w:r>
        <w:rPr>
          <w:rFonts w:ascii="宋体" w:eastAsia="宋体" w:hAnsi="宋体" w:cs="宋体"/>
        </w:rPr>
        <w:t>children</w:t>
      </w:r>
      <w:r>
        <w:rPr>
          <w:rFonts w:ascii="宋体" w:eastAsia="宋体" w:hAnsi="宋体" w:cs="宋体"/>
          <w:spacing w:val="6"/>
        </w:rPr>
        <w:t>)</w:t>
      </w:r>
      <w:r>
        <w:rPr>
          <w:rFonts w:ascii="宋体" w:eastAsia="宋体" w:hAnsi="宋体" w:cs="宋体"/>
          <w:spacing w:val="-39"/>
        </w:rPr>
        <w:t xml:space="preserve"> </w:t>
      </w:r>
      <w:r>
        <w:rPr>
          <w:rFonts w:ascii="宋体" w:eastAsia="宋体" w:hAnsi="宋体" w:cs="宋体"/>
          <w:spacing w:val="6"/>
        </w:rPr>
        <w:t>期。相比婴儿，幼儿的</w:t>
      </w:r>
      <w:r>
        <w:rPr>
          <w:rFonts w:ascii="宋体" w:eastAsia="宋体" w:hAnsi="宋体" w:cs="宋体"/>
        </w:rPr>
        <w:t xml:space="preserve"> </w:t>
      </w:r>
      <w:r>
        <w:rPr>
          <w:rFonts w:ascii="宋体" w:eastAsia="宋体" w:hAnsi="宋体" w:cs="宋体"/>
          <w:spacing w:val="-1"/>
        </w:rPr>
        <w:t>生长发育速度有所减缓，但仍比生命的其他时期快。体重每年增加约为2kg,</w:t>
      </w:r>
      <w:r>
        <w:rPr>
          <w:rFonts w:ascii="宋体" w:eastAsia="宋体" w:hAnsi="宋体" w:cs="宋体"/>
          <w:spacing w:val="20"/>
        </w:rPr>
        <w:t xml:space="preserve"> </w:t>
      </w:r>
      <w:r>
        <w:rPr>
          <w:rFonts w:ascii="宋体" w:eastAsia="宋体" w:hAnsi="宋体" w:cs="宋体"/>
          <w:spacing w:val="-1"/>
        </w:rPr>
        <w:t>至</w:t>
      </w:r>
      <w:r>
        <w:rPr>
          <w:rFonts w:ascii="宋体" w:eastAsia="宋体" w:hAnsi="宋体" w:cs="宋体"/>
        </w:rPr>
        <w:t xml:space="preserve"> </w:t>
      </w:r>
      <w:r>
        <w:rPr>
          <w:rFonts w:ascii="宋体" w:eastAsia="宋体" w:hAnsi="宋体" w:cs="宋体"/>
          <w:spacing w:val="6"/>
        </w:rPr>
        <w:t>两岁时体重可达约12</w:t>
      </w:r>
      <w:r>
        <w:rPr>
          <w:rFonts w:ascii="宋体" w:eastAsia="宋体" w:hAnsi="宋体" w:cs="宋体"/>
        </w:rPr>
        <w:t>kg</w:t>
      </w:r>
      <w:r>
        <w:rPr>
          <w:rFonts w:ascii="宋体" w:eastAsia="宋体" w:hAnsi="宋体" w:cs="宋体"/>
          <w:spacing w:val="6"/>
        </w:rPr>
        <w:t>,</w:t>
      </w:r>
      <w:r>
        <w:rPr>
          <w:rFonts w:ascii="宋体" w:eastAsia="宋体" w:hAnsi="宋体" w:cs="宋体"/>
          <w:spacing w:val="10"/>
        </w:rPr>
        <w:t xml:space="preserve"> </w:t>
      </w:r>
      <w:r>
        <w:rPr>
          <w:rFonts w:ascii="宋体" w:eastAsia="宋体" w:hAnsi="宋体" w:cs="宋体"/>
          <w:spacing w:val="6"/>
        </w:rPr>
        <w:t>为出生时的4倍，随后体重增长速度更慢。身长也是</w:t>
      </w:r>
      <w:r>
        <w:rPr>
          <w:rFonts w:ascii="宋体" w:eastAsia="宋体" w:hAnsi="宋体" w:cs="宋体"/>
        </w:rPr>
        <w:t xml:space="preserve"> </w:t>
      </w:r>
      <w:r>
        <w:rPr>
          <w:rFonts w:ascii="宋体" w:eastAsia="宋体" w:hAnsi="宋体" w:cs="宋体"/>
          <w:spacing w:val="17"/>
        </w:rPr>
        <w:t>随着年龄的增长而减慢，婴儿1岁时平均身长为75</w:t>
      </w:r>
      <w:r>
        <w:rPr>
          <w:rFonts w:ascii="宋体" w:eastAsia="宋体" w:hAnsi="宋体" w:cs="宋体"/>
        </w:rPr>
        <w:t>cm</w:t>
      </w:r>
      <w:r>
        <w:rPr>
          <w:rFonts w:ascii="宋体" w:eastAsia="宋体" w:hAnsi="宋体" w:cs="宋体"/>
          <w:spacing w:val="17"/>
        </w:rPr>
        <w:t>,</w:t>
      </w:r>
      <w:r>
        <w:rPr>
          <w:rFonts w:ascii="宋体" w:eastAsia="宋体" w:hAnsi="宋体" w:cs="宋体"/>
          <w:spacing w:val="32"/>
        </w:rPr>
        <w:t xml:space="preserve"> </w:t>
      </w:r>
      <w:r>
        <w:rPr>
          <w:rFonts w:ascii="宋体" w:eastAsia="宋体" w:hAnsi="宋体" w:cs="宋体"/>
          <w:spacing w:val="17"/>
        </w:rPr>
        <w:t>第2年平</w:t>
      </w:r>
      <w:r>
        <w:rPr>
          <w:rFonts w:ascii="宋体" w:eastAsia="宋体" w:hAnsi="宋体" w:cs="宋体"/>
          <w:spacing w:val="16"/>
        </w:rPr>
        <w:t>均增加11~</w:t>
      </w:r>
      <w:r>
        <w:rPr>
          <w:rFonts w:ascii="宋体" w:eastAsia="宋体" w:hAnsi="宋体" w:cs="宋体"/>
        </w:rPr>
        <w:t xml:space="preserve"> </w:t>
      </w:r>
      <w:r>
        <w:rPr>
          <w:rFonts w:ascii="宋体" w:eastAsia="宋体" w:hAnsi="宋体" w:cs="宋体"/>
          <w:spacing w:val="6"/>
        </w:rPr>
        <w:t>13</w:t>
      </w:r>
      <w:r>
        <w:rPr>
          <w:rFonts w:ascii="宋体" w:eastAsia="宋体" w:hAnsi="宋体" w:cs="宋体"/>
        </w:rPr>
        <w:t>cm</w:t>
      </w:r>
      <w:r>
        <w:rPr>
          <w:rFonts w:ascii="宋体" w:eastAsia="宋体" w:hAnsi="宋体" w:cs="宋体"/>
          <w:spacing w:val="6"/>
        </w:rPr>
        <w:t>,</w:t>
      </w:r>
      <w:r>
        <w:rPr>
          <w:rFonts w:ascii="宋体" w:eastAsia="宋体" w:hAnsi="宋体" w:cs="宋体"/>
          <w:spacing w:val="23"/>
        </w:rPr>
        <w:t xml:space="preserve"> </w:t>
      </w:r>
      <w:r>
        <w:rPr>
          <w:rFonts w:ascii="宋体" w:eastAsia="宋体" w:hAnsi="宋体" w:cs="宋体"/>
          <w:spacing w:val="6"/>
        </w:rPr>
        <w:t>第3年平均增加8～9</w:t>
      </w:r>
      <w:r>
        <w:rPr>
          <w:rFonts w:ascii="宋体" w:eastAsia="宋体" w:hAnsi="宋体" w:cs="宋体"/>
        </w:rPr>
        <w:t>cm</w:t>
      </w:r>
      <w:r>
        <w:rPr>
          <w:rFonts w:ascii="宋体" w:eastAsia="宋体" w:hAnsi="宋体" w:cs="宋体"/>
          <w:spacing w:val="6"/>
        </w:rPr>
        <w:t>,</w:t>
      </w:r>
      <w:r>
        <w:rPr>
          <w:rFonts w:ascii="宋体" w:eastAsia="宋体" w:hAnsi="宋体" w:cs="宋体"/>
          <w:spacing w:val="52"/>
        </w:rPr>
        <w:t xml:space="preserve"> </w:t>
      </w:r>
      <w:r>
        <w:rPr>
          <w:rFonts w:ascii="宋体" w:eastAsia="宋体" w:hAnsi="宋体" w:cs="宋体"/>
          <w:spacing w:val="6"/>
        </w:rPr>
        <w:t>即到3岁时，幼</w:t>
      </w:r>
      <w:r>
        <w:rPr>
          <w:rFonts w:ascii="宋体" w:eastAsia="宋体" w:hAnsi="宋体" w:cs="宋体"/>
          <w:spacing w:val="5"/>
        </w:rPr>
        <w:t>儿的身长平均可达100</w:t>
      </w:r>
      <w:r>
        <w:rPr>
          <w:rFonts w:ascii="宋体" w:eastAsia="宋体" w:hAnsi="宋体" w:cs="宋体"/>
        </w:rPr>
        <w:t>cm</w:t>
      </w:r>
      <w:r>
        <w:rPr>
          <w:rFonts w:ascii="宋体" w:eastAsia="宋体" w:hAnsi="宋体" w:cs="宋体"/>
          <w:spacing w:val="5"/>
        </w:rPr>
        <w:t>。</w:t>
      </w:r>
      <w:r>
        <w:rPr>
          <w:rFonts w:ascii="宋体" w:eastAsia="宋体" w:hAnsi="宋体" w:cs="宋体"/>
          <w:spacing w:val="14"/>
        </w:rPr>
        <w:t xml:space="preserve"> </w:t>
      </w:r>
      <w:r>
        <w:rPr>
          <w:rFonts w:ascii="宋体" w:eastAsia="宋体" w:hAnsi="宋体" w:cs="宋体"/>
          <w:spacing w:val="5"/>
        </w:rPr>
        <w:t>同</w:t>
      </w:r>
      <w:r>
        <w:rPr>
          <w:rFonts w:ascii="宋体" w:eastAsia="宋体" w:hAnsi="宋体" w:cs="宋体"/>
        </w:rPr>
        <w:t xml:space="preserve"> 时，幼儿时期骨骼及脑的发育速度很快，头围以</w:t>
      </w:r>
      <w:r>
        <w:rPr>
          <w:rFonts w:ascii="宋体" w:eastAsia="宋体" w:hAnsi="宋体" w:cs="宋体"/>
          <w:spacing w:val="-1"/>
        </w:rPr>
        <w:t>每年1</w:t>
      </w:r>
      <w:r>
        <w:rPr>
          <w:rFonts w:ascii="宋体" w:eastAsia="宋体" w:hAnsi="宋体" w:cs="宋体"/>
        </w:rPr>
        <w:t>cm</w:t>
      </w:r>
      <w:r>
        <w:rPr>
          <w:rFonts w:ascii="宋体" w:eastAsia="宋体" w:hAnsi="宋体" w:cs="宋体"/>
          <w:spacing w:val="-3"/>
        </w:rPr>
        <w:t xml:space="preserve"> </w:t>
      </w:r>
      <w:r>
        <w:rPr>
          <w:rFonts w:ascii="宋体" w:eastAsia="宋体" w:hAnsi="宋体" w:cs="宋体"/>
          <w:spacing w:val="-1"/>
        </w:rPr>
        <w:t>的速度增长，2岁时脑</w:t>
      </w:r>
      <w:r>
        <w:rPr>
          <w:rFonts w:ascii="宋体" w:eastAsia="宋体" w:hAnsi="宋体" w:cs="宋体"/>
        </w:rPr>
        <w:t xml:space="preserve"> </w:t>
      </w:r>
      <w:r>
        <w:rPr>
          <w:rFonts w:ascii="宋体" w:eastAsia="宋体" w:hAnsi="宋体" w:cs="宋体"/>
          <w:spacing w:val="14"/>
        </w:rPr>
        <w:t>重达约为成人脑重的75%,到3岁时脑重超过出生时的3倍，表现为语言思维</w:t>
      </w:r>
      <w:r>
        <w:rPr>
          <w:rFonts w:ascii="宋体" w:eastAsia="宋体" w:hAnsi="宋体" w:cs="宋体"/>
          <w:spacing w:val="18"/>
        </w:rPr>
        <w:t xml:space="preserve"> </w:t>
      </w:r>
      <w:r>
        <w:rPr>
          <w:rFonts w:ascii="宋体" w:eastAsia="宋体" w:hAnsi="宋体" w:cs="宋体"/>
          <w:spacing w:val="-4"/>
        </w:rPr>
        <w:t>能力迅速增强。此外，幼儿的咀嚼及消化能力比婴儿时期有所提高，正常幼儿的</w:t>
      </w:r>
      <w:r>
        <w:rPr>
          <w:rFonts w:ascii="宋体" w:eastAsia="宋体" w:hAnsi="宋体" w:cs="宋体"/>
          <w:spacing w:val="5"/>
        </w:rPr>
        <w:t xml:space="preserve"> </w:t>
      </w:r>
      <w:r>
        <w:rPr>
          <w:rFonts w:ascii="宋体" w:eastAsia="宋体" w:hAnsi="宋体" w:cs="宋体"/>
          <w:spacing w:val="1"/>
        </w:rPr>
        <w:t>20颗乳牙在两岁半前已全部长出，胃容量持续</w:t>
      </w:r>
      <w:r>
        <w:rPr>
          <w:rFonts w:ascii="宋体" w:eastAsia="宋体" w:hAnsi="宋体" w:cs="宋体"/>
        </w:rPr>
        <w:t>增大，可达300～500mL,</w:t>
      </w:r>
      <w:r>
        <w:rPr>
          <w:rFonts w:ascii="宋体" w:eastAsia="宋体" w:hAnsi="宋体" w:cs="宋体"/>
          <w:spacing w:val="82"/>
        </w:rPr>
        <w:t xml:space="preserve"> </w:t>
      </w:r>
      <w:r>
        <w:rPr>
          <w:rFonts w:ascii="宋体" w:eastAsia="宋体" w:hAnsi="宋体" w:cs="宋体"/>
        </w:rPr>
        <w:t xml:space="preserve">但胃肠 </w:t>
      </w:r>
      <w:r>
        <w:rPr>
          <w:rFonts w:ascii="宋体" w:eastAsia="宋体" w:hAnsi="宋体" w:cs="宋体"/>
          <w:spacing w:val="-5"/>
        </w:rPr>
        <w:t>道的弹力及消化酶的分泌及蠕动能力还远不如成人。</w:t>
      </w:r>
    </w:p>
    <w:p w:rsidR="00EA40A3" w:rsidRDefault="00E86C16">
      <w:pPr>
        <w:spacing w:before="258" w:line="333" w:lineRule="exact"/>
        <w:rPr>
          <w:rFonts w:ascii="仿宋" w:eastAsia="仿宋" w:hAnsi="仿宋" w:cs="仿宋"/>
        </w:rPr>
      </w:pPr>
      <w:r>
        <w:rPr>
          <w:rFonts w:ascii="仿宋" w:eastAsia="仿宋" w:hAnsi="仿宋" w:cs="仿宋"/>
          <w:spacing w:val="9"/>
          <w:position w:val="8"/>
        </w:rPr>
        <w:t>2.</w:t>
      </w:r>
      <w:r>
        <w:rPr>
          <w:rFonts w:ascii="仿宋" w:eastAsia="仿宋" w:hAnsi="仿宋" w:cs="仿宋"/>
          <w:spacing w:val="69"/>
          <w:position w:val="8"/>
        </w:rPr>
        <w:t xml:space="preserve"> </w:t>
      </w:r>
      <w:r>
        <w:rPr>
          <w:rFonts w:ascii="仿宋" w:eastAsia="仿宋" w:hAnsi="仿宋" w:cs="仿宋"/>
          <w:spacing w:val="9"/>
          <w:position w:val="8"/>
        </w:rPr>
        <w:t>幼儿的营养需要</w:t>
      </w:r>
    </w:p>
    <w:p w:rsidR="00EA40A3" w:rsidRDefault="00E86C16">
      <w:pPr>
        <w:spacing w:line="219" w:lineRule="auto"/>
        <w:rPr>
          <w:rFonts w:ascii="宋体" w:eastAsia="宋体" w:hAnsi="宋体" w:cs="宋体"/>
        </w:rPr>
      </w:pPr>
      <w:r>
        <w:rPr>
          <w:rFonts w:ascii="宋体" w:eastAsia="宋体" w:hAnsi="宋体" w:cs="宋体"/>
          <w:spacing w:val="2"/>
        </w:rPr>
        <w:t>1)能量及能量营养素</w:t>
      </w:r>
    </w:p>
    <w:p w:rsidR="00EA40A3" w:rsidRDefault="00E86C16">
      <w:pPr>
        <w:spacing w:before="89" w:line="255" w:lineRule="auto"/>
        <w:ind w:right="83" w:firstLine="410"/>
        <w:jc w:val="both"/>
        <w:rPr>
          <w:rFonts w:ascii="宋体" w:eastAsia="宋体" w:hAnsi="宋体" w:cs="宋体"/>
        </w:rPr>
      </w:pPr>
      <w:r>
        <w:rPr>
          <w:rFonts w:ascii="宋体" w:eastAsia="宋体" w:hAnsi="宋体" w:cs="宋体"/>
        </w:rPr>
        <w:t>幼儿时期对能量的需要按体重计仍高于成人。1岁以上的幼儿对能量及蛋白</w:t>
      </w:r>
      <w:r>
        <w:rPr>
          <w:rFonts w:ascii="宋体" w:eastAsia="宋体" w:hAnsi="宋体" w:cs="宋体"/>
          <w:spacing w:val="10"/>
        </w:rPr>
        <w:t xml:space="preserve"> </w:t>
      </w:r>
      <w:r>
        <w:rPr>
          <w:rFonts w:ascii="宋体" w:eastAsia="宋体" w:hAnsi="宋体" w:cs="宋体"/>
          <w:spacing w:val="-3"/>
        </w:rPr>
        <w:t>质的需要都约为其母亲的一半。脂肪对幼儿所提供的能量应</w:t>
      </w:r>
      <w:r>
        <w:rPr>
          <w:rFonts w:ascii="宋体" w:eastAsia="宋体" w:hAnsi="宋体" w:cs="宋体"/>
          <w:spacing w:val="-4"/>
        </w:rPr>
        <w:t>占幼儿所需总能量的</w:t>
      </w:r>
      <w:r>
        <w:rPr>
          <w:rFonts w:ascii="宋体" w:eastAsia="宋体" w:hAnsi="宋体" w:cs="宋体"/>
        </w:rPr>
        <w:t xml:space="preserve"> </w:t>
      </w:r>
      <w:r>
        <w:rPr>
          <w:rFonts w:ascii="宋体" w:eastAsia="宋体" w:hAnsi="宋体" w:cs="宋体"/>
          <w:spacing w:val="3"/>
        </w:rPr>
        <w:t>30%～35%。两岁后幼儿消化能力的进一步增</w:t>
      </w:r>
      <w:r>
        <w:rPr>
          <w:rFonts w:ascii="宋体" w:eastAsia="宋体" w:hAnsi="宋体" w:cs="宋体"/>
          <w:spacing w:val="2"/>
        </w:rPr>
        <w:t>强也使得碳水化合物成为其主要的</w:t>
      </w:r>
      <w:r>
        <w:rPr>
          <w:rFonts w:ascii="宋体" w:eastAsia="宋体" w:hAnsi="宋体" w:cs="宋体"/>
        </w:rPr>
        <w:t xml:space="preserve"> </w:t>
      </w:r>
      <w:r>
        <w:rPr>
          <w:rFonts w:ascii="宋体" w:eastAsia="宋体" w:hAnsi="宋体" w:cs="宋体"/>
          <w:spacing w:val="3"/>
        </w:rPr>
        <w:t>能量来源。中国营养学会对1～3岁幼儿的能量及能量营养素</w:t>
      </w:r>
      <w:r>
        <w:rPr>
          <w:rFonts w:ascii="宋体" w:eastAsia="宋体" w:hAnsi="宋体" w:cs="宋体"/>
          <w:spacing w:val="2"/>
        </w:rPr>
        <w:t>的每日推荐量分别</w:t>
      </w:r>
      <w:r>
        <w:rPr>
          <w:rFonts w:ascii="宋体" w:eastAsia="宋体" w:hAnsi="宋体" w:cs="宋体"/>
        </w:rPr>
        <w:t xml:space="preserve"> </w:t>
      </w:r>
      <w:r>
        <w:rPr>
          <w:rFonts w:ascii="宋体" w:eastAsia="宋体" w:hAnsi="宋体" w:cs="宋体"/>
          <w:spacing w:val="-6"/>
        </w:rPr>
        <w:t>见表10-6。</w:t>
      </w:r>
    </w:p>
    <w:p w:rsidR="00EA40A3" w:rsidRDefault="00EA40A3">
      <w:pPr>
        <w:spacing w:line="285" w:lineRule="auto"/>
      </w:pPr>
    </w:p>
    <w:p w:rsidR="00EA40A3" w:rsidRDefault="00E86C16">
      <w:pPr>
        <w:spacing w:before="69" w:line="221" w:lineRule="auto"/>
        <w:ind w:left="412"/>
        <w:rPr>
          <w:rFonts w:ascii="黑体" w:eastAsia="黑体" w:hAnsi="黑体" w:cs="黑体"/>
        </w:rPr>
      </w:pPr>
      <w:r>
        <w:rPr>
          <w:rFonts w:ascii="黑体" w:eastAsia="黑体" w:hAnsi="黑体" w:cs="黑体"/>
          <w:b/>
          <w:bCs/>
          <w:spacing w:val="-20"/>
        </w:rPr>
        <w:t>表10-6</w:t>
      </w:r>
      <w:r>
        <w:rPr>
          <w:rFonts w:ascii="黑体" w:eastAsia="黑体" w:hAnsi="黑体" w:cs="黑体"/>
          <w:spacing w:val="56"/>
        </w:rPr>
        <w:t xml:space="preserve"> </w:t>
      </w:r>
      <w:r>
        <w:rPr>
          <w:rFonts w:ascii="黑体" w:eastAsia="黑体" w:hAnsi="黑体" w:cs="黑体"/>
          <w:b/>
          <w:bCs/>
          <w:spacing w:val="-20"/>
        </w:rPr>
        <w:t>我国1~3岁幼儿能量、蛋白质的RNI及推荐脂肪、碳水化</w:t>
      </w:r>
      <w:r>
        <w:rPr>
          <w:rFonts w:ascii="黑体" w:eastAsia="黑体" w:hAnsi="黑体" w:cs="黑体"/>
          <w:b/>
          <w:bCs/>
          <w:spacing w:val="-21"/>
        </w:rPr>
        <w:t>合物供能比</w:t>
      </w:r>
    </w:p>
    <w:tbl>
      <w:tblPr>
        <w:tblStyle w:val="TableNormal"/>
        <w:tblW w:w="73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840"/>
        <w:gridCol w:w="558"/>
        <w:gridCol w:w="1553"/>
        <w:gridCol w:w="1018"/>
        <w:gridCol w:w="1155"/>
        <w:gridCol w:w="1033"/>
        <w:gridCol w:w="1172"/>
      </w:tblGrid>
      <w:tr w:rsidR="00EA40A3">
        <w:trPr>
          <w:trHeight w:val="323"/>
        </w:trPr>
        <w:tc>
          <w:tcPr>
            <w:tcW w:w="840" w:type="dxa"/>
            <w:vMerge w:val="restart"/>
            <w:tcBorders>
              <w:top w:val="single" w:sz="4" w:space="0" w:color="000000"/>
              <w:bottom w:val="nil"/>
            </w:tcBorders>
          </w:tcPr>
          <w:p w:rsidR="00EA40A3" w:rsidRDefault="00EA40A3">
            <w:pPr>
              <w:spacing w:line="337" w:lineRule="auto"/>
            </w:pPr>
          </w:p>
          <w:p w:rsidR="00EA40A3" w:rsidRDefault="00E86C16">
            <w:pPr>
              <w:spacing w:before="52" w:line="219" w:lineRule="auto"/>
              <w:ind w:left="140"/>
              <w:rPr>
                <w:rFonts w:ascii="宋体" w:eastAsia="宋体" w:hAnsi="宋体" w:cs="宋体"/>
                <w:sz w:val="16"/>
                <w:szCs w:val="16"/>
              </w:rPr>
            </w:pPr>
            <w:r>
              <w:rPr>
                <w:rFonts w:ascii="宋体" w:eastAsia="宋体" w:hAnsi="宋体" w:cs="宋体"/>
                <w:spacing w:val="5"/>
                <w:sz w:val="16"/>
                <w:szCs w:val="16"/>
              </w:rPr>
              <w:t>年龄/岁</w:t>
            </w:r>
          </w:p>
        </w:tc>
        <w:tc>
          <w:tcPr>
            <w:tcW w:w="558" w:type="dxa"/>
            <w:tcBorders>
              <w:top w:val="single" w:sz="4" w:space="0" w:color="000000"/>
              <w:bottom w:val="single" w:sz="4" w:space="0" w:color="000000"/>
            </w:tcBorders>
          </w:tcPr>
          <w:p w:rsidR="00EA40A3" w:rsidRDefault="00EA40A3"/>
        </w:tc>
        <w:tc>
          <w:tcPr>
            <w:tcW w:w="1553" w:type="dxa"/>
            <w:tcBorders>
              <w:top w:val="single" w:sz="4" w:space="0" w:color="000000"/>
              <w:bottom w:val="single" w:sz="4" w:space="0" w:color="000000"/>
            </w:tcBorders>
          </w:tcPr>
          <w:p w:rsidR="00EA40A3" w:rsidRDefault="00E86C16">
            <w:pPr>
              <w:spacing w:before="132" w:line="220" w:lineRule="auto"/>
              <w:ind w:left="612"/>
              <w:rPr>
                <w:rFonts w:ascii="宋体" w:eastAsia="宋体" w:hAnsi="宋体" w:cs="宋体"/>
                <w:sz w:val="16"/>
                <w:szCs w:val="16"/>
              </w:rPr>
            </w:pPr>
            <w:r>
              <w:rPr>
                <w:rFonts w:ascii="宋体" w:eastAsia="宋体" w:hAnsi="宋体" w:cs="宋体"/>
                <w:spacing w:val="8"/>
                <w:sz w:val="16"/>
                <w:szCs w:val="16"/>
              </w:rPr>
              <w:t>能量(</w:t>
            </w:r>
            <w:r>
              <w:rPr>
                <w:rFonts w:ascii="宋体" w:eastAsia="宋体" w:hAnsi="宋体" w:cs="宋体"/>
                <w:sz w:val="16"/>
                <w:szCs w:val="16"/>
              </w:rPr>
              <w:t>RNI</w:t>
            </w:r>
            <w:r>
              <w:rPr>
                <w:rFonts w:ascii="宋体" w:eastAsia="宋体" w:hAnsi="宋体" w:cs="宋体"/>
                <w:spacing w:val="8"/>
                <w:sz w:val="16"/>
                <w:szCs w:val="16"/>
              </w:rPr>
              <w:t>)</w:t>
            </w:r>
          </w:p>
        </w:tc>
        <w:tc>
          <w:tcPr>
            <w:tcW w:w="1018" w:type="dxa"/>
            <w:tcBorders>
              <w:top w:val="single" w:sz="4" w:space="0" w:color="000000"/>
              <w:bottom w:val="single" w:sz="4" w:space="0" w:color="000000"/>
            </w:tcBorders>
          </w:tcPr>
          <w:p w:rsidR="00EA40A3" w:rsidRDefault="00EA40A3"/>
        </w:tc>
        <w:tc>
          <w:tcPr>
            <w:tcW w:w="1155" w:type="dxa"/>
            <w:vMerge w:val="restart"/>
            <w:tcBorders>
              <w:top w:val="single" w:sz="4" w:space="0" w:color="000000"/>
              <w:bottom w:val="nil"/>
            </w:tcBorders>
          </w:tcPr>
          <w:p w:rsidR="00EA40A3" w:rsidRDefault="00EA40A3">
            <w:pPr>
              <w:spacing w:line="371" w:lineRule="auto"/>
            </w:pPr>
          </w:p>
          <w:p w:rsidR="00EA40A3" w:rsidRDefault="00E86C16">
            <w:pPr>
              <w:spacing w:before="52" w:line="214" w:lineRule="auto"/>
              <w:ind w:left="71"/>
              <w:rPr>
                <w:rFonts w:ascii="宋体" w:eastAsia="宋体" w:hAnsi="宋体" w:cs="宋体"/>
                <w:sz w:val="16"/>
                <w:szCs w:val="16"/>
              </w:rPr>
            </w:pPr>
            <w:r>
              <w:rPr>
                <w:rFonts w:ascii="宋体" w:eastAsia="宋体" w:hAnsi="宋体" w:cs="宋体"/>
                <w:spacing w:val="3"/>
                <w:sz w:val="16"/>
                <w:szCs w:val="16"/>
              </w:rPr>
              <w:t>蛋白质/(g/d)</w:t>
            </w:r>
          </w:p>
        </w:tc>
        <w:tc>
          <w:tcPr>
            <w:tcW w:w="1033" w:type="dxa"/>
            <w:vMerge w:val="restart"/>
            <w:tcBorders>
              <w:top w:val="single" w:sz="4" w:space="0" w:color="000000"/>
              <w:bottom w:val="nil"/>
            </w:tcBorders>
          </w:tcPr>
          <w:p w:rsidR="00EA40A3" w:rsidRDefault="00EA40A3">
            <w:pPr>
              <w:spacing w:line="267" w:lineRule="auto"/>
            </w:pPr>
          </w:p>
          <w:p w:rsidR="00EA40A3" w:rsidRDefault="00E86C16">
            <w:pPr>
              <w:spacing w:before="52" w:line="249" w:lineRule="auto"/>
              <w:ind w:left="285" w:right="114" w:hanging="159"/>
              <w:rPr>
                <w:rFonts w:ascii="宋体" w:eastAsia="宋体" w:hAnsi="宋体" w:cs="宋体"/>
                <w:sz w:val="16"/>
                <w:szCs w:val="16"/>
              </w:rPr>
            </w:pPr>
            <w:r>
              <w:rPr>
                <w:rFonts w:ascii="宋体" w:eastAsia="宋体" w:hAnsi="宋体" w:cs="宋体"/>
                <w:spacing w:val="-2"/>
                <w:sz w:val="16"/>
                <w:szCs w:val="16"/>
              </w:rPr>
              <w:t>脂肪占能量</w:t>
            </w:r>
            <w:r>
              <w:rPr>
                <w:rFonts w:ascii="宋体" w:eastAsia="宋体" w:hAnsi="宋体" w:cs="宋体"/>
                <w:spacing w:val="1"/>
                <w:sz w:val="16"/>
                <w:szCs w:val="16"/>
              </w:rPr>
              <w:t xml:space="preserve"> </w:t>
            </w:r>
            <w:r>
              <w:rPr>
                <w:rFonts w:ascii="宋体" w:eastAsia="宋体" w:hAnsi="宋体" w:cs="宋体"/>
                <w:spacing w:val="3"/>
                <w:sz w:val="16"/>
                <w:szCs w:val="16"/>
              </w:rPr>
              <w:t>白分比</w:t>
            </w:r>
          </w:p>
        </w:tc>
        <w:tc>
          <w:tcPr>
            <w:tcW w:w="1172" w:type="dxa"/>
            <w:vMerge w:val="restart"/>
            <w:tcBorders>
              <w:top w:val="single" w:sz="4" w:space="0" w:color="000000"/>
              <w:bottom w:val="nil"/>
            </w:tcBorders>
          </w:tcPr>
          <w:p w:rsidR="00EA40A3" w:rsidRDefault="00EA40A3">
            <w:pPr>
              <w:spacing w:line="267" w:lineRule="auto"/>
            </w:pPr>
          </w:p>
          <w:p w:rsidR="00EA40A3" w:rsidRDefault="00E86C16">
            <w:pPr>
              <w:spacing w:before="52" w:line="255" w:lineRule="auto"/>
              <w:ind w:left="203" w:right="95" w:hanging="80"/>
              <w:rPr>
                <w:rFonts w:ascii="宋体" w:eastAsia="宋体" w:hAnsi="宋体" w:cs="宋体"/>
                <w:sz w:val="16"/>
                <w:szCs w:val="16"/>
              </w:rPr>
            </w:pPr>
            <w:r>
              <w:rPr>
                <w:rFonts w:ascii="宋体" w:eastAsia="宋体" w:hAnsi="宋体" w:cs="宋体"/>
                <w:spacing w:val="-2"/>
                <w:sz w:val="16"/>
                <w:szCs w:val="16"/>
              </w:rPr>
              <w:t>碳水化合物占</w:t>
            </w:r>
            <w:r>
              <w:rPr>
                <w:rFonts w:ascii="宋体" w:eastAsia="宋体" w:hAnsi="宋体" w:cs="宋体"/>
                <w:spacing w:val="4"/>
                <w:sz w:val="16"/>
                <w:szCs w:val="16"/>
              </w:rPr>
              <w:t xml:space="preserve"> </w:t>
            </w:r>
            <w:r>
              <w:rPr>
                <w:rFonts w:ascii="宋体" w:eastAsia="宋体" w:hAnsi="宋体" w:cs="宋体"/>
                <w:spacing w:val="1"/>
                <w:sz w:val="16"/>
                <w:szCs w:val="16"/>
              </w:rPr>
              <w:t>能量百分比</w:t>
            </w:r>
          </w:p>
        </w:tc>
      </w:tr>
      <w:tr w:rsidR="00EA40A3">
        <w:trPr>
          <w:trHeight w:val="288"/>
        </w:trPr>
        <w:tc>
          <w:tcPr>
            <w:tcW w:w="840" w:type="dxa"/>
            <w:vMerge/>
            <w:tcBorders>
              <w:top w:val="nil"/>
              <w:bottom w:val="nil"/>
            </w:tcBorders>
          </w:tcPr>
          <w:p w:rsidR="00EA40A3" w:rsidRDefault="00EA40A3"/>
        </w:tc>
        <w:tc>
          <w:tcPr>
            <w:tcW w:w="558" w:type="dxa"/>
            <w:tcBorders>
              <w:top w:val="single" w:sz="4" w:space="0" w:color="000000"/>
              <w:bottom w:val="single" w:sz="4" w:space="0" w:color="000000"/>
            </w:tcBorders>
          </w:tcPr>
          <w:p w:rsidR="00EA40A3" w:rsidRDefault="00EA40A3"/>
        </w:tc>
        <w:tc>
          <w:tcPr>
            <w:tcW w:w="1553" w:type="dxa"/>
            <w:tcBorders>
              <w:top w:val="single" w:sz="4" w:space="0" w:color="000000"/>
              <w:bottom w:val="single" w:sz="4" w:space="0" w:color="000000"/>
            </w:tcBorders>
          </w:tcPr>
          <w:p w:rsidR="00EA40A3" w:rsidRDefault="00E86C16">
            <w:pPr>
              <w:spacing w:before="106" w:line="209" w:lineRule="auto"/>
              <w:ind w:left="52"/>
              <w:rPr>
                <w:rFonts w:ascii="宋体" w:eastAsia="宋体" w:hAnsi="宋体" w:cs="宋体"/>
                <w:sz w:val="16"/>
                <w:szCs w:val="16"/>
              </w:rPr>
            </w:pPr>
            <w:r>
              <w:rPr>
                <w:rFonts w:ascii="宋体" w:eastAsia="宋体" w:hAnsi="宋体" w:cs="宋体"/>
                <w:spacing w:val="-1"/>
                <w:sz w:val="16"/>
                <w:szCs w:val="16"/>
              </w:rPr>
              <w:t>MJ/d</w:t>
            </w:r>
          </w:p>
        </w:tc>
        <w:tc>
          <w:tcPr>
            <w:tcW w:w="1018" w:type="dxa"/>
            <w:tcBorders>
              <w:top w:val="single" w:sz="4" w:space="0" w:color="000000"/>
              <w:bottom w:val="single" w:sz="4" w:space="0" w:color="000000"/>
            </w:tcBorders>
          </w:tcPr>
          <w:p w:rsidR="00EA40A3" w:rsidRDefault="00E86C16">
            <w:pPr>
              <w:spacing w:before="103" w:line="213" w:lineRule="auto"/>
              <w:ind w:left="28"/>
              <w:rPr>
                <w:rFonts w:ascii="宋体" w:eastAsia="宋体" w:hAnsi="宋体" w:cs="宋体"/>
                <w:sz w:val="16"/>
                <w:szCs w:val="16"/>
              </w:rPr>
            </w:pPr>
            <w:r>
              <w:rPr>
                <w:rFonts w:ascii="宋体" w:eastAsia="宋体" w:hAnsi="宋体" w:cs="宋体"/>
                <w:spacing w:val="-1"/>
                <w:sz w:val="16"/>
                <w:szCs w:val="16"/>
              </w:rPr>
              <w:t>kcal/d</w:t>
            </w:r>
          </w:p>
        </w:tc>
        <w:tc>
          <w:tcPr>
            <w:tcW w:w="1155" w:type="dxa"/>
            <w:vMerge/>
            <w:tcBorders>
              <w:top w:val="nil"/>
              <w:bottom w:val="nil"/>
            </w:tcBorders>
          </w:tcPr>
          <w:p w:rsidR="00EA40A3" w:rsidRDefault="00EA40A3"/>
        </w:tc>
        <w:tc>
          <w:tcPr>
            <w:tcW w:w="1033" w:type="dxa"/>
            <w:vMerge/>
            <w:tcBorders>
              <w:top w:val="nil"/>
              <w:bottom w:val="nil"/>
            </w:tcBorders>
          </w:tcPr>
          <w:p w:rsidR="00EA40A3" w:rsidRDefault="00EA40A3"/>
        </w:tc>
        <w:tc>
          <w:tcPr>
            <w:tcW w:w="1172" w:type="dxa"/>
            <w:vMerge/>
            <w:tcBorders>
              <w:top w:val="nil"/>
              <w:bottom w:val="nil"/>
            </w:tcBorders>
          </w:tcPr>
          <w:p w:rsidR="00EA40A3" w:rsidRDefault="00EA40A3"/>
        </w:tc>
      </w:tr>
      <w:tr w:rsidR="00EA40A3">
        <w:trPr>
          <w:trHeight w:val="308"/>
        </w:trPr>
        <w:tc>
          <w:tcPr>
            <w:tcW w:w="840" w:type="dxa"/>
            <w:vMerge/>
            <w:tcBorders>
              <w:top w:val="nil"/>
              <w:bottom w:val="single" w:sz="4" w:space="0" w:color="000000"/>
            </w:tcBorders>
          </w:tcPr>
          <w:p w:rsidR="00EA40A3" w:rsidRDefault="00EA40A3"/>
        </w:tc>
        <w:tc>
          <w:tcPr>
            <w:tcW w:w="558" w:type="dxa"/>
            <w:tcBorders>
              <w:top w:val="single" w:sz="4" w:space="0" w:color="000000"/>
              <w:bottom w:val="single" w:sz="4" w:space="0" w:color="000000"/>
            </w:tcBorders>
          </w:tcPr>
          <w:p w:rsidR="00EA40A3" w:rsidRDefault="00E86C16">
            <w:pPr>
              <w:spacing w:before="120" w:line="216" w:lineRule="auto"/>
              <w:ind w:left="310"/>
              <w:rPr>
                <w:rFonts w:ascii="宋体" w:eastAsia="宋体" w:hAnsi="宋体" w:cs="宋体"/>
                <w:sz w:val="16"/>
                <w:szCs w:val="16"/>
              </w:rPr>
            </w:pPr>
            <w:r>
              <w:rPr>
                <w:rFonts w:ascii="宋体" w:eastAsia="宋体" w:hAnsi="宋体" w:cs="宋体"/>
                <w:sz w:val="16"/>
                <w:szCs w:val="16"/>
              </w:rPr>
              <w:t>男</w:t>
            </w:r>
          </w:p>
        </w:tc>
        <w:tc>
          <w:tcPr>
            <w:tcW w:w="1553" w:type="dxa"/>
            <w:tcBorders>
              <w:top w:val="single" w:sz="4" w:space="0" w:color="000000"/>
              <w:bottom w:val="single" w:sz="4" w:space="0" w:color="000000"/>
            </w:tcBorders>
          </w:tcPr>
          <w:p w:rsidR="00EA40A3" w:rsidRDefault="00E86C16">
            <w:pPr>
              <w:spacing w:before="120" w:line="216" w:lineRule="auto"/>
              <w:ind w:left="532"/>
              <w:rPr>
                <w:rFonts w:ascii="宋体" w:eastAsia="宋体" w:hAnsi="宋体" w:cs="宋体"/>
                <w:sz w:val="16"/>
                <w:szCs w:val="16"/>
              </w:rPr>
            </w:pPr>
            <w:r>
              <w:rPr>
                <w:rFonts w:ascii="宋体" w:eastAsia="宋体" w:hAnsi="宋体" w:cs="宋体"/>
                <w:spacing w:val="-6"/>
                <w:sz w:val="16"/>
                <w:szCs w:val="16"/>
              </w:rPr>
              <w:t>女</w:t>
            </w:r>
            <w:r>
              <w:rPr>
                <w:rFonts w:ascii="宋体" w:eastAsia="宋体" w:hAnsi="宋体" w:cs="宋体"/>
                <w:spacing w:val="1"/>
                <w:sz w:val="16"/>
                <w:szCs w:val="16"/>
              </w:rPr>
              <w:t xml:space="preserve">        </w:t>
            </w:r>
            <w:r>
              <w:rPr>
                <w:rFonts w:ascii="宋体" w:eastAsia="宋体" w:hAnsi="宋体" w:cs="宋体"/>
                <w:spacing w:val="-6"/>
                <w:sz w:val="16"/>
                <w:szCs w:val="16"/>
              </w:rPr>
              <w:t>男</w:t>
            </w:r>
          </w:p>
        </w:tc>
        <w:tc>
          <w:tcPr>
            <w:tcW w:w="1018" w:type="dxa"/>
            <w:tcBorders>
              <w:top w:val="single" w:sz="4" w:space="0" w:color="000000"/>
              <w:bottom w:val="single" w:sz="4" w:space="0" w:color="000000"/>
            </w:tcBorders>
          </w:tcPr>
          <w:p w:rsidR="00EA40A3" w:rsidRDefault="00E86C16">
            <w:pPr>
              <w:spacing w:before="130" w:line="205" w:lineRule="auto"/>
              <w:ind w:left="559"/>
              <w:rPr>
                <w:rFonts w:ascii="宋体" w:eastAsia="宋体" w:hAnsi="宋体" w:cs="宋体"/>
                <w:sz w:val="16"/>
                <w:szCs w:val="16"/>
              </w:rPr>
            </w:pPr>
            <w:r>
              <w:rPr>
                <w:rFonts w:ascii="宋体" w:eastAsia="宋体" w:hAnsi="宋体" w:cs="宋体"/>
                <w:sz w:val="16"/>
                <w:szCs w:val="16"/>
              </w:rPr>
              <w:t>女</w:t>
            </w:r>
          </w:p>
        </w:tc>
        <w:tc>
          <w:tcPr>
            <w:tcW w:w="1155" w:type="dxa"/>
            <w:vMerge/>
            <w:tcBorders>
              <w:top w:val="nil"/>
              <w:bottom w:val="single" w:sz="4" w:space="0" w:color="000000"/>
            </w:tcBorders>
          </w:tcPr>
          <w:p w:rsidR="00EA40A3" w:rsidRDefault="00EA40A3"/>
        </w:tc>
        <w:tc>
          <w:tcPr>
            <w:tcW w:w="1033" w:type="dxa"/>
            <w:vMerge/>
            <w:tcBorders>
              <w:top w:val="nil"/>
              <w:bottom w:val="single" w:sz="4" w:space="0" w:color="000000"/>
            </w:tcBorders>
          </w:tcPr>
          <w:p w:rsidR="00EA40A3" w:rsidRDefault="00EA40A3"/>
        </w:tc>
        <w:tc>
          <w:tcPr>
            <w:tcW w:w="1172" w:type="dxa"/>
            <w:vMerge/>
            <w:tcBorders>
              <w:top w:val="nil"/>
              <w:bottom w:val="single" w:sz="4" w:space="0" w:color="000000"/>
            </w:tcBorders>
          </w:tcPr>
          <w:p w:rsidR="00EA40A3" w:rsidRDefault="00EA40A3"/>
        </w:tc>
      </w:tr>
      <w:tr w:rsidR="00EA40A3">
        <w:trPr>
          <w:trHeight w:val="411"/>
        </w:trPr>
        <w:tc>
          <w:tcPr>
            <w:tcW w:w="840" w:type="dxa"/>
            <w:tcBorders>
              <w:top w:val="single" w:sz="4" w:space="0" w:color="000000"/>
            </w:tcBorders>
          </w:tcPr>
          <w:p w:rsidR="00EA40A3" w:rsidRDefault="00E86C16">
            <w:pPr>
              <w:spacing w:before="163" w:line="184" w:lineRule="auto"/>
              <w:ind w:left="300"/>
              <w:rPr>
                <w:rFonts w:ascii="宋体" w:eastAsia="宋体" w:hAnsi="宋体" w:cs="宋体"/>
                <w:sz w:val="16"/>
                <w:szCs w:val="16"/>
              </w:rPr>
            </w:pPr>
            <w:r>
              <w:rPr>
                <w:rFonts w:ascii="宋体" w:eastAsia="宋体" w:hAnsi="宋体" w:cs="宋体"/>
                <w:spacing w:val="21"/>
                <w:w w:val="104"/>
                <w:sz w:val="16"/>
                <w:szCs w:val="16"/>
              </w:rPr>
              <w:t>1~</w:t>
            </w:r>
          </w:p>
        </w:tc>
        <w:tc>
          <w:tcPr>
            <w:tcW w:w="558" w:type="dxa"/>
            <w:tcBorders>
              <w:top w:val="single" w:sz="4" w:space="0" w:color="000000"/>
            </w:tcBorders>
          </w:tcPr>
          <w:p w:rsidR="00EA40A3" w:rsidRDefault="00E86C16">
            <w:pPr>
              <w:spacing w:before="163" w:line="183" w:lineRule="auto"/>
              <w:ind w:left="280"/>
              <w:rPr>
                <w:rFonts w:ascii="宋体" w:eastAsia="宋体" w:hAnsi="宋体" w:cs="宋体"/>
                <w:sz w:val="16"/>
                <w:szCs w:val="16"/>
              </w:rPr>
            </w:pPr>
            <w:r>
              <w:rPr>
                <w:rFonts w:ascii="宋体" w:eastAsia="宋体" w:hAnsi="宋体" w:cs="宋体"/>
                <w:spacing w:val="-2"/>
                <w:sz w:val="16"/>
                <w:szCs w:val="16"/>
              </w:rPr>
              <w:t>4.6</w:t>
            </w:r>
          </w:p>
        </w:tc>
        <w:tc>
          <w:tcPr>
            <w:tcW w:w="1553" w:type="dxa"/>
            <w:tcBorders>
              <w:top w:val="single" w:sz="4" w:space="0" w:color="000000"/>
            </w:tcBorders>
          </w:tcPr>
          <w:p w:rsidR="00EA40A3" w:rsidRDefault="00E86C16">
            <w:pPr>
              <w:spacing w:before="163" w:line="184" w:lineRule="auto"/>
              <w:ind w:left="512"/>
              <w:rPr>
                <w:rFonts w:ascii="宋体" w:eastAsia="宋体" w:hAnsi="宋体" w:cs="宋体"/>
                <w:sz w:val="16"/>
                <w:szCs w:val="16"/>
              </w:rPr>
            </w:pPr>
            <w:r>
              <w:rPr>
                <w:rFonts w:ascii="宋体" w:eastAsia="宋体" w:hAnsi="宋体" w:cs="宋体"/>
                <w:spacing w:val="-3"/>
                <w:sz w:val="16"/>
                <w:szCs w:val="16"/>
              </w:rPr>
              <w:t>4.4</w:t>
            </w:r>
            <w:r>
              <w:rPr>
                <w:rFonts w:ascii="宋体" w:eastAsia="宋体" w:hAnsi="宋体" w:cs="宋体"/>
                <w:spacing w:val="1"/>
                <w:sz w:val="16"/>
                <w:szCs w:val="16"/>
              </w:rPr>
              <w:t xml:space="preserve">      </w:t>
            </w:r>
            <w:r>
              <w:rPr>
                <w:rFonts w:ascii="宋体" w:eastAsia="宋体" w:hAnsi="宋体" w:cs="宋体"/>
                <w:spacing w:val="-3"/>
                <w:sz w:val="16"/>
                <w:szCs w:val="16"/>
              </w:rPr>
              <w:t>1100</w:t>
            </w:r>
          </w:p>
        </w:tc>
        <w:tc>
          <w:tcPr>
            <w:tcW w:w="1018" w:type="dxa"/>
            <w:tcBorders>
              <w:top w:val="single" w:sz="4" w:space="0" w:color="000000"/>
            </w:tcBorders>
          </w:tcPr>
          <w:p w:rsidR="00EA40A3" w:rsidRDefault="00E86C16">
            <w:pPr>
              <w:spacing w:before="163" w:line="184" w:lineRule="auto"/>
              <w:ind w:left="479"/>
              <w:rPr>
                <w:rFonts w:ascii="宋体" w:eastAsia="宋体" w:hAnsi="宋体" w:cs="宋体"/>
                <w:sz w:val="16"/>
                <w:szCs w:val="16"/>
              </w:rPr>
            </w:pPr>
            <w:r>
              <w:rPr>
                <w:rFonts w:ascii="宋体" w:eastAsia="宋体" w:hAnsi="宋体" w:cs="宋体"/>
                <w:spacing w:val="-4"/>
                <w:sz w:val="16"/>
                <w:szCs w:val="16"/>
              </w:rPr>
              <w:t>1050</w:t>
            </w:r>
          </w:p>
        </w:tc>
        <w:tc>
          <w:tcPr>
            <w:tcW w:w="1155" w:type="dxa"/>
            <w:tcBorders>
              <w:top w:val="single" w:sz="4" w:space="0" w:color="000000"/>
            </w:tcBorders>
          </w:tcPr>
          <w:p w:rsidR="00EA40A3" w:rsidRDefault="00E86C16">
            <w:pPr>
              <w:spacing w:before="163" w:line="183" w:lineRule="auto"/>
              <w:ind w:left="501"/>
              <w:rPr>
                <w:rFonts w:ascii="宋体" w:eastAsia="宋体" w:hAnsi="宋体" w:cs="宋体"/>
                <w:sz w:val="16"/>
                <w:szCs w:val="16"/>
              </w:rPr>
            </w:pPr>
            <w:r>
              <w:rPr>
                <w:rFonts w:ascii="宋体" w:eastAsia="宋体" w:hAnsi="宋体" w:cs="宋体"/>
                <w:spacing w:val="-3"/>
                <w:sz w:val="16"/>
                <w:szCs w:val="16"/>
              </w:rPr>
              <w:t>35</w:t>
            </w:r>
          </w:p>
        </w:tc>
        <w:tc>
          <w:tcPr>
            <w:tcW w:w="1033" w:type="dxa"/>
            <w:tcBorders>
              <w:top w:val="single" w:sz="4" w:space="0" w:color="000000"/>
            </w:tcBorders>
          </w:tcPr>
          <w:p w:rsidR="00EA40A3" w:rsidRDefault="00E86C16">
            <w:pPr>
              <w:spacing w:before="163" w:line="183" w:lineRule="auto"/>
              <w:ind w:left="286"/>
              <w:rPr>
                <w:rFonts w:ascii="宋体" w:eastAsia="宋体" w:hAnsi="宋体" w:cs="宋体"/>
                <w:sz w:val="16"/>
                <w:szCs w:val="16"/>
              </w:rPr>
            </w:pPr>
            <w:r>
              <w:rPr>
                <w:rFonts w:ascii="宋体" w:eastAsia="宋体" w:hAnsi="宋体" w:cs="宋体"/>
                <w:spacing w:val="-2"/>
                <w:sz w:val="16"/>
                <w:szCs w:val="16"/>
              </w:rPr>
              <w:t>30～35</w:t>
            </w:r>
          </w:p>
        </w:tc>
        <w:tc>
          <w:tcPr>
            <w:tcW w:w="1172" w:type="dxa"/>
            <w:tcBorders>
              <w:top w:val="single" w:sz="4" w:space="0" w:color="000000"/>
            </w:tcBorders>
          </w:tcPr>
          <w:p w:rsidR="00EA40A3" w:rsidRDefault="00EA40A3"/>
        </w:tc>
      </w:tr>
      <w:tr w:rsidR="00EA40A3">
        <w:trPr>
          <w:trHeight w:val="370"/>
        </w:trPr>
        <w:tc>
          <w:tcPr>
            <w:tcW w:w="840" w:type="dxa"/>
            <w:tcBorders>
              <w:bottom w:val="single" w:sz="4" w:space="0" w:color="000000"/>
            </w:tcBorders>
          </w:tcPr>
          <w:p w:rsidR="00EA40A3" w:rsidRDefault="00E86C16">
            <w:pPr>
              <w:spacing w:before="152" w:line="183" w:lineRule="auto"/>
              <w:ind w:left="260"/>
              <w:rPr>
                <w:rFonts w:ascii="宋体" w:eastAsia="宋体" w:hAnsi="宋体" w:cs="宋体"/>
                <w:sz w:val="16"/>
                <w:szCs w:val="16"/>
              </w:rPr>
            </w:pPr>
            <w:r>
              <w:rPr>
                <w:rFonts w:ascii="宋体" w:eastAsia="宋体" w:hAnsi="宋体" w:cs="宋体"/>
                <w:spacing w:val="-3"/>
                <w:sz w:val="16"/>
                <w:szCs w:val="16"/>
              </w:rPr>
              <w:t>2～3</w:t>
            </w:r>
          </w:p>
        </w:tc>
        <w:tc>
          <w:tcPr>
            <w:tcW w:w="558" w:type="dxa"/>
            <w:tcBorders>
              <w:bottom w:val="single" w:sz="4" w:space="0" w:color="000000"/>
            </w:tcBorders>
          </w:tcPr>
          <w:p w:rsidR="00EA40A3" w:rsidRDefault="00E86C16">
            <w:pPr>
              <w:spacing w:before="152" w:line="183" w:lineRule="auto"/>
              <w:ind w:left="200"/>
              <w:rPr>
                <w:rFonts w:ascii="宋体" w:eastAsia="宋体" w:hAnsi="宋体" w:cs="宋体"/>
                <w:sz w:val="16"/>
                <w:szCs w:val="16"/>
              </w:rPr>
            </w:pPr>
            <w:r>
              <w:rPr>
                <w:rFonts w:ascii="宋体" w:eastAsia="宋体" w:hAnsi="宋体" w:cs="宋体"/>
                <w:spacing w:val="-2"/>
                <w:sz w:val="16"/>
                <w:szCs w:val="16"/>
              </w:rPr>
              <w:t>5.02</w:t>
            </w:r>
          </w:p>
        </w:tc>
        <w:tc>
          <w:tcPr>
            <w:tcW w:w="1553" w:type="dxa"/>
            <w:tcBorders>
              <w:bottom w:val="single" w:sz="4" w:space="0" w:color="000000"/>
            </w:tcBorders>
          </w:tcPr>
          <w:p w:rsidR="00EA40A3" w:rsidRDefault="00E86C16">
            <w:pPr>
              <w:spacing w:before="152" w:line="184" w:lineRule="auto"/>
              <w:ind w:left="431"/>
              <w:rPr>
                <w:rFonts w:ascii="宋体" w:eastAsia="宋体" w:hAnsi="宋体" w:cs="宋体"/>
                <w:sz w:val="16"/>
                <w:szCs w:val="16"/>
              </w:rPr>
            </w:pPr>
            <w:r>
              <w:rPr>
                <w:rFonts w:ascii="宋体" w:eastAsia="宋体" w:hAnsi="宋体" w:cs="宋体"/>
                <w:spacing w:val="-3"/>
                <w:sz w:val="16"/>
                <w:szCs w:val="16"/>
              </w:rPr>
              <w:t>4.81</w:t>
            </w:r>
            <w:r>
              <w:rPr>
                <w:rFonts w:ascii="宋体" w:eastAsia="宋体" w:hAnsi="宋体" w:cs="宋体"/>
                <w:spacing w:val="1"/>
                <w:sz w:val="16"/>
                <w:szCs w:val="16"/>
              </w:rPr>
              <w:t xml:space="preserve">      </w:t>
            </w:r>
            <w:r>
              <w:rPr>
                <w:rFonts w:ascii="宋体" w:eastAsia="宋体" w:hAnsi="宋体" w:cs="宋体"/>
                <w:spacing w:val="-3"/>
                <w:sz w:val="16"/>
                <w:szCs w:val="16"/>
              </w:rPr>
              <w:t>1200</w:t>
            </w:r>
          </w:p>
        </w:tc>
        <w:tc>
          <w:tcPr>
            <w:tcW w:w="1018" w:type="dxa"/>
            <w:tcBorders>
              <w:bottom w:val="single" w:sz="4" w:space="0" w:color="000000"/>
            </w:tcBorders>
          </w:tcPr>
          <w:p w:rsidR="00EA40A3" w:rsidRDefault="00E86C16">
            <w:pPr>
              <w:spacing w:before="152" w:line="184" w:lineRule="auto"/>
              <w:ind w:left="479"/>
              <w:rPr>
                <w:rFonts w:ascii="宋体" w:eastAsia="宋体" w:hAnsi="宋体" w:cs="宋体"/>
                <w:sz w:val="16"/>
                <w:szCs w:val="16"/>
              </w:rPr>
            </w:pPr>
            <w:r>
              <w:rPr>
                <w:rFonts w:ascii="宋体" w:eastAsia="宋体" w:hAnsi="宋体" w:cs="宋体"/>
                <w:spacing w:val="-4"/>
                <w:sz w:val="16"/>
                <w:szCs w:val="16"/>
              </w:rPr>
              <w:t>1150</w:t>
            </w:r>
          </w:p>
        </w:tc>
        <w:tc>
          <w:tcPr>
            <w:tcW w:w="1155" w:type="dxa"/>
            <w:tcBorders>
              <w:bottom w:val="single" w:sz="4" w:space="0" w:color="000000"/>
            </w:tcBorders>
          </w:tcPr>
          <w:p w:rsidR="00EA40A3" w:rsidRDefault="00E86C16">
            <w:pPr>
              <w:spacing w:before="152" w:line="183" w:lineRule="auto"/>
              <w:ind w:left="501"/>
              <w:rPr>
                <w:rFonts w:ascii="宋体" w:eastAsia="宋体" w:hAnsi="宋体" w:cs="宋体"/>
                <w:sz w:val="16"/>
                <w:szCs w:val="16"/>
              </w:rPr>
            </w:pPr>
            <w:r>
              <w:rPr>
                <w:rFonts w:ascii="宋体" w:eastAsia="宋体" w:hAnsi="宋体" w:cs="宋体"/>
                <w:spacing w:val="-2"/>
                <w:sz w:val="16"/>
                <w:szCs w:val="16"/>
              </w:rPr>
              <w:t>40</w:t>
            </w:r>
          </w:p>
        </w:tc>
        <w:tc>
          <w:tcPr>
            <w:tcW w:w="1033" w:type="dxa"/>
            <w:tcBorders>
              <w:bottom w:val="single" w:sz="4" w:space="0" w:color="000000"/>
            </w:tcBorders>
          </w:tcPr>
          <w:p w:rsidR="00EA40A3" w:rsidRDefault="00E86C16">
            <w:pPr>
              <w:spacing w:before="152" w:line="183" w:lineRule="auto"/>
              <w:ind w:left="276"/>
              <w:rPr>
                <w:rFonts w:ascii="宋体" w:eastAsia="宋体" w:hAnsi="宋体" w:cs="宋体"/>
                <w:sz w:val="16"/>
                <w:szCs w:val="16"/>
              </w:rPr>
            </w:pPr>
            <w:r>
              <w:rPr>
                <w:rFonts w:ascii="宋体" w:eastAsia="宋体" w:hAnsi="宋体" w:cs="宋体"/>
                <w:spacing w:val="-2"/>
                <w:sz w:val="16"/>
                <w:szCs w:val="16"/>
              </w:rPr>
              <w:t>30～35</w:t>
            </w:r>
          </w:p>
        </w:tc>
        <w:tc>
          <w:tcPr>
            <w:tcW w:w="1172" w:type="dxa"/>
            <w:tcBorders>
              <w:bottom w:val="single" w:sz="4" w:space="0" w:color="000000"/>
            </w:tcBorders>
          </w:tcPr>
          <w:p w:rsidR="00EA40A3" w:rsidRDefault="00E86C16">
            <w:pPr>
              <w:spacing w:before="152" w:line="183" w:lineRule="auto"/>
              <w:ind w:left="343"/>
              <w:rPr>
                <w:rFonts w:ascii="宋体" w:eastAsia="宋体" w:hAnsi="宋体" w:cs="宋体"/>
                <w:sz w:val="16"/>
                <w:szCs w:val="16"/>
              </w:rPr>
            </w:pPr>
            <w:r>
              <w:rPr>
                <w:rFonts w:ascii="宋体" w:eastAsia="宋体" w:hAnsi="宋体" w:cs="宋体"/>
                <w:spacing w:val="-2"/>
                <w:sz w:val="16"/>
                <w:szCs w:val="16"/>
              </w:rPr>
              <w:t>55～65</w:t>
            </w:r>
          </w:p>
        </w:tc>
      </w:tr>
    </w:tbl>
    <w:p w:rsidR="00EA40A3" w:rsidRDefault="00E86C16">
      <w:pPr>
        <w:spacing w:before="81" w:line="219" w:lineRule="auto"/>
        <w:ind w:left="320"/>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A40A3">
      <w:pPr>
        <w:spacing w:line="303" w:lineRule="auto"/>
      </w:pPr>
    </w:p>
    <w:p w:rsidR="00EA40A3" w:rsidRDefault="00E86C16">
      <w:pPr>
        <w:spacing w:before="69" w:line="219" w:lineRule="auto"/>
        <w:rPr>
          <w:rFonts w:ascii="宋体" w:eastAsia="宋体" w:hAnsi="宋体" w:cs="宋体"/>
        </w:rPr>
      </w:pPr>
      <w:r>
        <w:rPr>
          <w:rFonts w:ascii="宋体" w:eastAsia="宋体" w:hAnsi="宋体" w:cs="宋体"/>
          <w:spacing w:val="3"/>
        </w:rPr>
        <w:t>2)矿物质、维生素及水分</w:t>
      </w:r>
    </w:p>
    <w:p w:rsidR="00EA40A3" w:rsidRDefault="00E86C16">
      <w:pPr>
        <w:spacing w:before="91" w:line="252" w:lineRule="auto"/>
        <w:ind w:right="60" w:firstLine="410"/>
        <w:jc w:val="both"/>
        <w:rPr>
          <w:rFonts w:ascii="宋体" w:eastAsia="宋体" w:hAnsi="宋体" w:cs="宋体"/>
        </w:rPr>
      </w:pPr>
      <w:r>
        <w:rPr>
          <w:rFonts w:ascii="宋体" w:eastAsia="宋体" w:hAnsi="宋体" w:cs="宋体"/>
          <w:spacing w:val="-2"/>
        </w:rPr>
        <w:t>幼儿矿物质和维生素的需要多于成人的一半。幼儿期是骨骼和牙</w:t>
      </w:r>
      <w:r>
        <w:rPr>
          <w:rFonts w:ascii="宋体" w:eastAsia="宋体" w:hAnsi="宋体" w:cs="宋体"/>
          <w:spacing w:val="-3"/>
        </w:rPr>
        <w:t>齿发育的重</w:t>
      </w:r>
      <w:r>
        <w:rPr>
          <w:rFonts w:ascii="宋体" w:eastAsia="宋体" w:hAnsi="宋体" w:cs="宋体"/>
        </w:rPr>
        <w:t xml:space="preserve"> </w:t>
      </w:r>
      <w:r>
        <w:rPr>
          <w:rFonts w:ascii="宋体" w:eastAsia="宋体" w:hAnsi="宋体" w:cs="宋体"/>
          <w:spacing w:val="-3"/>
        </w:rPr>
        <w:t>要时期，钙、磷的摄入以及食物中钙磷的合理比值是值得注意的问题。同时，幼</w:t>
      </w:r>
      <w:r>
        <w:rPr>
          <w:rFonts w:ascii="宋体" w:eastAsia="宋体" w:hAnsi="宋体" w:cs="宋体"/>
          <w:spacing w:val="6"/>
        </w:rPr>
        <w:t xml:space="preserve"> </w:t>
      </w:r>
      <w:r>
        <w:rPr>
          <w:rFonts w:ascii="宋体" w:eastAsia="宋体" w:hAnsi="宋体" w:cs="宋体"/>
          <w:spacing w:val="-4"/>
        </w:rPr>
        <w:t>儿时期对铁的需要量较高。调查显示，缺铁和缺铁性贫血已是幼儿常见的营养缺</w:t>
      </w:r>
      <w:r>
        <w:rPr>
          <w:rFonts w:ascii="宋体" w:eastAsia="宋体" w:hAnsi="宋体" w:cs="宋体"/>
          <w:spacing w:val="17"/>
        </w:rPr>
        <w:t xml:space="preserve"> </w:t>
      </w:r>
      <w:r>
        <w:rPr>
          <w:rFonts w:ascii="宋体" w:eastAsia="宋体" w:hAnsi="宋体" w:cs="宋体"/>
          <w:spacing w:val="3"/>
        </w:rPr>
        <w:t>乏病之一。表10-7列出我国婴儿矿物元素</w:t>
      </w:r>
      <w:r>
        <w:rPr>
          <w:rFonts w:ascii="宋体" w:eastAsia="宋体" w:hAnsi="宋体" w:cs="宋体"/>
          <w:spacing w:val="2"/>
        </w:rPr>
        <w:t>的推荐或适宜摄入量。各种维生素也</w:t>
      </w:r>
    </w:p>
    <w:p w:rsidR="00EA40A3" w:rsidRDefault="00E86C16">
      <w:pPr>
        <w:spacing w:before="68"/>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318</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footerReference w:type="default" r:id="rId267"/>
          <w:pgSz w:w="9220" w:h="13360"/>
          <w:pgMar w:top="400" w:right="1080" w:bottom="400" w:left="809" w:header="0" w:footer="0" w:gutter="0"/>
          <w:cols w:space="720"/>
        </w:sectPr>
      </w:pPr>
    </w:p>
    <w:p w:rsidR="00EA40A3" w:rsidRDefault="00EA40A3">
      <w:pPr>
        <w:spacing w:line="282" w:lineRule="auto"/>
      </w:pPr>
    </w:p>
    <w:p w:rsidR="00EA40A3" w:rsidRDefault="00EA40A3">
      <w:pPr>
        <w:spacing w:line="283" w:lineRule="auto"/>
      </w:pPr>
    </w:p>
    <w:p w:rsidR="00EA40A3" w:rsidRDefault="00E86C16">
      <w:pPr>
        <w:spacing w:before="71" w:line="241" w:lineRule="auto"/>
        <w:ind w:right="9"/>
        <w:jc w:val="both"/>
        <w:rPr>
          <w:rFonts w:ascii="宋体" w:eastAsia="宋体" w:hAnsi="宋体" w:cs="宋体"/>
          <w:sz w:val="22"/>
          <w:szCs w:val="22"/>
        </w:rPr>
      </w:pPr>
      <w:r>
        <w:rPr>
          <w:rFonts w:ascii="宋体" w:eastAsia="宋体" w:hAnsi="宋体" w:cs="宋体"/>
          <w:spacing w:val="-10"/>
          <w:sz w:val="22"/>
          <w:szCs w:val="22"/>
        </w:rPr>
        <w:t>影响着幼儿的生长发育，幼儿为维生素D</w:t>
      </w:r>
      <w:r>
        <w:rPr>
          <w:rFonts w:ascii="宋体" w:eastAsia="宋体" w:hAnsi="宋体" w:cs="宋体"/>
          <w:spacing w:val="-16"/>
          <w:sz w:val="22"/>
          <w:szCs w:val="22"/>
        </w:rPr>
        <w:t xml:space="preserve"> </w:t>
      </w:r>
      <w:r>
        <w:rPr>
          <w:rFonts w:ascii="宋体" w:eastAsia="宋体" w:hAnsi="宋体" w:cs="宋体"/>
          <w:spacing w:val="-10"/>
          <w:sz w:val="22"/>
          <w:szCs w:val="22"/>
        </w:rPr>
        <w:t>缺乏的易感人群，应特别注</w:t>
      </w:r>
      <w:r>
        <w:rPr>
          <w:rFonts w:ascii="宋体" w:eastAsia="宋体" w:hAnsi="宋体" w:cs="宋体"/>
          <w:spacing w:val="-11"/>
          <w:sz w:val="22"/>
          <w:szCs w:val="22"/>
        </w:rPr>
        <w:t>意。此外，</w:t>
      </w:r>
      <w:r>
        <w:rPr>
          <w:rFonts w:ascii="宋体" w:eastAsia="宋体" w:hAnsi="宋体" w:cs="宋体"/>
          <w:sz w:val="22"/>
          <w:szCs w:val="22"/>
        </w:rPr>
        <w:t xml:space="preserve"> </w:t>
      </w:r>
      <w:r>
        <w:rPr>
          <w:rFonts w:ascii="宋体" w:eastAsia="宋体" w:hAnsi="宋体" w:cs="宋体"/>
          <w:spacing w:val="-13"/>
          <w:sz w:val="22"/>
          <w:szCs w:val="22"/>
        </w:rPr>
        <w:t>水分能够促进幼儿对食物的消化、吸收，调节</w:t>
      </w:r>
      <w:r>
        <w:rPr>
          <w:rFonts w:ascii="宋体" w:eastAsia="宋体" w:hAnsi="宋体" w:cs="宋体"/>
          <w:spacing w:val="-14"/>
          <w:sz w:val="22"/>
          <w:szCs w:val="22"/>
        </w:rPr>
        <w:t>体温，对维持各种正常的生理功能</w:t>
      </w:r>
      <w:r>
        <w:rPr>
          <w:rFonts w:ascii="宋体" w:eastAsia="宋体" w:hAnsi="宋体" w:cs="宋体"/>
          <w:sz w:val="22"/>
          <w:szCs w:val="22"/>
        </w:rPr>
        <w:t xml:space="preserve">  </w:t>
      </w:r>
      <w:r>
        <w:rPr>
          <w:rFonts w:ascii="宋体" w:eastAsia="宋体" w:hAnsi="宋体" w:cs="宋体"/>
          <w:spacing w:val="-14"/>
          <w:sz w:val="22"/>
          <w:szCs w:val="22"/>
        </w:rPr>
        <w:t>具有重要作用。</w:t>
      </w:r>
    </w:p>
    <w:p w:rsidR="00EA40A3" w:rsidRDefault="00EA40A3">
      <w:pPr>
        <w:spacing w:line="313" w:lineRule="auto"/>
      </w:pPr>
    </w:p>
    <w:p w:rsidR="00EA40A3" w:rsidRDefault="00E86C16">
      <w:pPr>
        <w:spacing w:before="56" w:line="221" w:lineRule="auto"/>
        <w:ind w:left="1842"/>
        <w:rPr>
          <w:rFonts w:ascii="黑体" w:eastAsia="黑体" w:hAnsi="黑体" w:cs="黑体"/>
          <w:sz w:val="17"/>
          <w:szCs w:val="17"/>
        </w:rPr>
      </w:pPr>
      <w:r>
        <w:rPr>
          <w:rFonts w:ascii="黑体" w:eastAsia="黑体" w:hAnsi="黑体" w:cs="黑体"/>
          <w:b/>
          <w:bCs/>
          <w:spacing w:val="7"/>
          <w:sz w:val="17"/>
          <w:szCs w:val="17"/>
        </w:rPr>
        <w:t>表10-7</w:t>
      </w:r>
      <w:r>
        <w:rPr>
          <w:rFonts w:ascii="黑体" w:eastAsia="黑体" w:hAnsi="黑体" w:cs="黑体"/>
          <w:spacing w:val="86"/>
          <w:sz w:val="17"/>
          <w:szCs w:val="17"/>
        </w:rPr>
        <w:t xml:space="preserve"> </w:t>
      </w:r>
      <w:r>
        <w:rPr>
          <w:rFonts w:ascii="黑体" w:eastAsia="黑体" w:hAnsi="黑体" w:cs="黑体"/>
          <w:b/>
          <w:bCs/>
          <w:spacing w:val="7"/>
          <w:sz w:val="17"/>
          <w:szCs w:val="17"/>
        </w:rPr>
        <w:t>我国婴儿矿物元素的推荐或适宜摄入量</w:t>
      </w:r>
    </w:p>
    <w:p w:rsidR="00EA40A3" w:rsidRDefault="00EA40A3">
      <w:pPr>
        <w:spacing w:line="68" w:lineRule="exact"/>
      </w:pPr>
    </w:p>
    <w:tbl>
      <w:tblPr>
        <w:tblStyle w:val="TableNormal"/>
        <w:tblW w:w="7249" w:type="dxa"/>
        <w:tblInd w:w="8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941"/>
        <w:gridCol w:w="1688"/>
        <w:gridCol w:w="1930"/>
        <w:gridCol w:w="1690"/>
      </w:tblGrid>
      <w:tr w:rsidR="00EA40A3">
        <w:trPr>
          <w:trHeight w:val="344"/>
        </w:trPr>
        <w:tc>
          <w:tcPr>
            <w:tcW w:w="1941" w:type="dxa"/>
            <w:tcBorders>
              <w:top w:val="single" w:sz="4" w:space="0" w:color="000000"/>
              <w:bottom w:val="single" w:sz="4" w:space="0" w:color="000000"/>
            </w:tcBorders>
          </w:tcPr>
          <w:p w:rsidR="00EA40A3" w:rsidRDefault="00E86C16">
            <w:pPr>
              <w:spacing w:before="106" w:line="214" w:lineRule="auto"/>
              <w:ind w:left="580"/>
              <w:rPr>
                <w:rFonts w:ascii="宋体" w:eastAsia="宋体" w:hAnsi="宋体" w:cs="宋体"/>
                <w:sz w:val="18"/>
                <w:szCs w:val="18"/>
              </w:rPr>
            </w:pPr>
            <w:r>
              <w:rPr>
                <w:rFonts w:ascii="宋体" w:eastAsia="宋体" w:hAnsi="宋体" w:cs="宋体"/>
                <w:spacing w:val="-2"/>
                <w:sz w:val="18"/>
                <w:szCs w:val="18"/>
              </w:rPr>
              <w:t>常量元素/mg</w:t>
            </w:r>
          </w:p>
        </w:tc>
        <w:tc>
          <w:tcPr>
            <w:tcW w:w="1688" w:type="dxa"/>
            <w:tcBorders>
              <w:top w:val="single" w:sz="4" w:space="0" w:color="000000"/>
              <w:bottom w:val="single" w:sz="4" w:space="0" w:color="000000"/>
              <w:right w:val="single" w:sz="4" w:space="0" w:color="000000"/>
            </w:tcBorders>
          </w:tcPr>
          <w:p w:rsidR="00EA40A3" w:rsidRDefault="00E86C16">
            <w:pPr>
              <w:spacing w:before="102" w:line="219" w:lineRule="auto"/>
              <w:ind w:left="388"/>
              <w:rPr>
                <w:rFonts w:ascii="宋体" w:eastAsia="宋体" w:hAnsi="宋体" w:cs="宋体"/>
                <w:sz w:val="18"/>
                <w:szCs w:val="18"/>
              </w:rPr>
            </w:pPr>
            <w:r>
              <w:rPr>
                <w:rFonts w:ascii="宋体" w:eastAsia="宋体" w:hAnsi="宋体" w:cs="宋体"/>
                <w:spacing w:val="4"/>
                <w:sz w:val="18"/>
                <w:szCs w:val="18"/>
              </w:rPr>
              <w:t>年龄(1～3岁)</w:t>
            </w:r>
          </w:p>
        </w:tc>
        <w:tc>
          <w:tcPr>
            <w:tcW w:w="1930" w:type="dxa"/>
            <w:tcBorders>
              <w:top w:val="single" w:sz="4" w:space="0" w:color="000000"/>
              <w:left w:val="single" w:sz="4" w:space="0" w:color="000000"/>
              <w:bottom w:val="single" w:sz="4" w:space="0" w:color="000000"/>
            </w:tcBorders>
          </w:tcPr>
          <w:p w:rsidR="00EA40A3" w:rsidRDefault="00E86C16">
            <w:pPr>
              <w:spacing w:before="92" w:line="219" w:lineRule="auto"/>
              <w:ind w:left="726"/>
              <w:rPr>
                <w:rFonts w:ascii="宋体" w:eastAsia="宋体" w:hAnsi="宋体" w:cs="宋体"/>
                <w:sz w:val="18"/>
                <w:szCs w:val="18"/>
              </w:rPr>
            </w:pPr>
            <w:r>
              <w:rPr>
                <w:rFonts w:ascii="宋体" w:eastAsia="宋体" w:hAnsi="宋体" w:cs="宋体"/>
                <w:spacing w:val="-2"/>
                <w:sz w:val="18"/>
                <w:szCs w:val="18"/>
              </w:rPr>
              <w:t>微量元素</w:t>
            </w:r>
          </w:p>
        </w:tc>
        <w:tc>
          <w:tcPr>
            <w:tcW w:w="1690" w:type="dxa"/>
            <w:tcBorders>
              <w:top w:val="single" w:sz="4" w:space="0" w:color="000000"/>
              <w:bottom w:val="single" w:sz="4" w:space="0" w:color="000000"/>
            </w:tcBorders>
          </w:tcPr>
          <w:p w:rsidR="00EA40A3" w:rsidRDefault="00E86C16">
            <w:pPr>
              <w:spacing w:before="102" w:line="219" w:lineRule="auto"/>
              <w:ind w:left="400"/>
              <w:rPr>
                <w:rFonts w:ascii="宋体" w:eastAsia="宋体" w:hAnsi="宋体" w:cs="宋体"/>
                <w:sz w:val="18"/>
                <w:szCs w:val="18"/>
              </w:rPr>
            </w:pPr>
            <w:r>
              <w:rPr>
                <w:rFonts w:ascii="宋体" w:eastAsia="宋体" w:hAnsi="宋体" w:cs="宋体"/>
                <w:spacing w:val="4"/>
                <w:sz w:val="18"/>
                <w:szCs w:val="18"/>
              </w:rPr>
              <w:t>年龄(1～3岁)</w:t>
            </w:r>
          </w:p>
        </w:tc>
      </w:tr>
      <w:tr w:rsidR="00EA40A3">
        <w:trPr>
          <w:trHeight w:val="357"/>
        </w:trPr>
        <w:tc>
          <w:tcPr>
            <w:tcW w:w="1941" w:type="dxa"/>
            <w:vMerge w:val="restart"/>
            <w:tcBorders>
              <w:top w:val="single" w:sz="4" w:space="0" w:color="000000"/>
              <w:bottom w:val="nil"/>
            </w:tcBorders>
            <w:textDirection w:val="tbRlV"/>
          </w:tcPr>
          <w:p w:rsidR="00EA40A3" w:rsidRDefault="00EA40A3">
            <w:pPr>
              <w:spacing w:line="247" w:lineRule="auto"/>
            </w:pPr>
          </w:p>
          <w:p w:rsidR="00EA40A3" w:rsidRDefault="00EA40A3">
            <w:pPr>
              <w:spacing w:line="248" w:lineRule="auto"/>
            </w:pPr>
          </w:p>
          <w:p w:rsidR="00EA40A3" w:rsidRDefault="00EA40A3">
            <w:pPr>
              <w:spacing w:line="248" w:lineRule="auto"/>
            </w:pPr>
          </w:p>
          <w:p w:rsidR="00EA40A3" w:rsidRDefault="00E86C16">
            <w:pPr>
              <w:spacing w:before="60" w:line="209" w:lineRule="auto"/>
              <w:ind w:left="100"/>
              <w:rPr>
                <w:rFonts w:ascii="宋体" w:eastAsia="宋体" w:hAnsi="宋体" w:cs="宋体"/>
                <w:sz w:val="18"/>
                <w:szCs w:val="18"/>
              </w:rPr>
            </w:pPr>
            <w:r>
              <w:rPr>
                <w:rFonts w:ascii="宋体" w:eastAsia="宋体" w:hAnsi="宋体" w:cs="宋体"/>
                <w:spacing w:val="-1"/>
                <w:sz w:val="18"/>
                <w:szCs w:val="18"/>
              </w:rPr>
              <w:t>钙</w:t>
            </w:r>
            <w:r>
              <w:rPr>
                <w:rFonts w:ascii="宋体" w:eastAsia="宋体" w:hAnsi="宋体" w:cs="宋体"/>
                <w:spacing w:val="81"/>
                <w:sz w:val="18"/>
                <w:szCs w:val="18"/>
              </w:rPr>
              <w:t xml:space="preserve"> </w:t>
            </w:r>
            <w:r>
              <w:rPr>
                <w:rFonts w:ascii="宋体" w:eastAsia="宋体" w:hAnsi="宋体" w:cs="宋体"/>
                <w:spacing w:val="-1"/>
                <w:sz w:val="18"/>
                <w:szCs w:val="18"/>
              </w:rPr>
              <w:t>磷</w:t>
            </w:r>
            <w:r>
              <w:rPr>
                <w:rFonts w:ascii="宋体" w:eastAsia="宋体" w:hAnsi="宋体" w:cs="宋体"/>
                <w:spacing w:val="81"/>
                <w:sz w:val="18"/>
                <w:szCs w:val="18"/>
              </w:rPr>
              <w:t xml:space="preserve"> </w:t>
            </w:r>
            <w:r>
              <w:rPr>
                <w:rFonts w:ascii="宋体" w:eastAsia="宋体" w:hAnsi="宋体" w:cs="宋体"/>
                <w:spacing w:val="-1"/>
                <w:sz w:val="18"/>
                <w:szCs w:val="18"/>
              </w:rPr>
              <w:t>钾</w:t>
            </w:r>
            <w:r>
              <w:rPr>
                <w:rFonts w:ascii="宋体" w:eastAsia="宋体" w:hAnsi="宋体" w:cs="宋体"/>
                <w:spacing w:val="81"/>
                <w:sz w:val="18"/>
                <w:szCs w:val="18"/>
              </w:rPr>
              <w:t xml:space="preserve"> </w:t>
            </w:r>
            <w:r>
              <w:rPr>
                <w:rFonts w:ascii="宋体" w:eastAsia="宋体" w:hAnsi="宋体" w:cs="宋体"/>
                <w:spacing w:val="-1"/>
                <w:sz w:val="18"/>
                <w:szCs w:val="18"/>
              </w:rPr>
              <w:t>钠</w:t>
            </w:r>
            <w:r>
              <w:rPr>
                <w:rFonts w:ascii="宋体" w:eastAsia="宋体" w:hAnsi="宋体" w:cs="宋体"/>
                <w:spacing w:val="61"/>
                <w:sz w:val="18"/>
                <w:szCs w:val="18"/>
              </w:rPr>
              <w:t xml:space="preserve"> </w:t>
            </w:r>
            <w:r>
              <w:rPr>
                <w:rFonts w:ascii="宋体" w:eastAsia="宋体" w:hAnsi="宋体" w:cs="宋体"/>
                <w:spacing w:val="-1"/>
                <w:sz w:val="18"/>
                <w:szCs w:val="18"/>
              </w:rPr>
              <w:t>镁</w:t>
            </w:r>
          </w:p>
        </w:tc>
        <w:tc>
          <w:tcPr>
            <w:tcW w:w="1688" w:type="dxa"/>
            <w:tcBorders>
              <w:top w:val="single" w:sz="4" w:space="0" w:color="000000"/>
              <w:right w:val="single" w:sz="4" w:space="0" w:color="000000"/>
            </w:tcBorders>
          </w:tcPr>
          <w:p w:rsidR="00EA40A3" w:rsidRDefault="00E86C16">
            <w:pPr>
              <w:spacing w:before="144" w:line="183" w:lineRule="auto"/>
              <w:ind w:left="789"/>
              <w:rPr>
                <w:rFonts w:ascii="宋体" w:eastAsia="宋体" w:hAnsi="宋体" w:cs="宋体"/>
                <w:sz w:val="18"/>
                <w:szCs w:val="18"/>
              </w:rPr>
            </w:pPr>
            <w:r>
              <w:rPr>
                <w:rFonts w:ascii="宋体" w:eastAsia="宋体" w:hAnsi="宋体" w:cs="宋体"/>
                <w:spacing w:val="-2"/>
                <w:sz w:val="18"/>
                <w:szCs w:val="18"/>
              </w:rPr>
              <w:t>600</w:t>
            </w:r>
          </w:p>
        </w:tc>
        <w:tc>
          <w:tcPr>
            <w:tcW w:w="1930" w:type="dxa"/>
            <w:tcBorders>
              <w:top w:val="single" w:sz="4" w:space="0" w:color="000000"/>
              <w:left w:val="single" w:sz="4" w:space="0" w:color="000000"/>
            </w:tcBorders>
          </w:tcPr>
          <w:p w:rsidR="00EA40A3" w:rsidRDefault="00E86C16">
            <w:pPr>
              <w:spacing w:before="102" w:line="214" w:lineRule="auto"/>
              <w:ind w:left="536"/>
              <w:rPr>
                <w:rFonts w:ascii="宋体" w:eastAsia="宋体" w:hAnsi="宋体" w:cs="宋体"/>
                <w:sz w:val="18"/>
                <w:szCs w:val="18"/>
              </w:rPr>
            </w:pPr>
            <w:r>
              <w:rPr>
                <w:rFonts w:ascii="宋体" w:eastAsia="宋体" w:hAnsi="宋体" w:cs="宋体"/>
                <w:spacing w:val="7"/>
                <w:sz w:val="18"/>
                <w:szCs w:val="18"/>
              </w:rPr>
              <w:t>铁(</w:t>
            </w:r>
            <w:r>
              <w:rPr>
                <w:rFonts w:ascii="宋体" w:eastAsia="宋体" w:hAnsi="宋体" w:cs="宋体"/>
                <w:sz w:val="18"/>
                <w:szCs w:val="18"/>
              </w:rPr>
              <w:t>mg</w:t>
            </w:r>
            <w:r>
              <w:rPr>
                <w:rFonts w:ascii="宋体" w:eastAsia="宋体" w:hAnsi="宋体" w:cs="宋体"/>
                <w:spacing w:val="7"/>
                <w:sz w:val="18"/>
                <w:szCs w:val="18"/>
              </w:rPr>
              <w:t>)(</w:t>
            </w:r>
            <w:r>
              <w:rPr>
                <w:rFonts w:ascii="宋体" w:eastAsia="宋体" w:hAnsi="宋体" w:cs="宋体"/>
                <w:sz w:val="18"/>
                <w:szCs w:val="18"/>
              </w:rPr>
              <w:t>AI</w:t>
            </w:r>
            <w:r>
              <w:rPr>
                <w:rFonts w:ascii="宋体" w:eastAsia="宋体" w:hAnsi="宋体" w:cs="宋体"/>
                <w:spacing w:val="7"/>
                <w:sz w:val="18"/>
                <w:szCs w:val="18"/>
              </w:rPr>
              <w:t>)</w:t>
            </w:r>
          </w:p>
        </w:tc>
        <w:tc>
          <w:tcPr>
            <w:tcW w:w="1690" w:type="dxa"/>
            <w:tcBorders>
              <w:top w:val="single" w:sz="4" w:space="0" w:color="000000"/>
            </w:tcBorders>
          </w:tcPr>
          <w:p w:rsidR="00EA40A3" w:rsidRDefault="00E86C16">
            <w:pPr>
              <w:spacing w:before="143" w:line="184" w:lineRule="auto"/>
              <w:ind w:left="860"/>
              <w:rPr>
                <w:rFonts w:ascii="宋体" w:eastAsia="宋体" w:hAnsi="宋体" w:cs="宋体"/>
                <w:sz w:val="18"/>
                <w:szCs w:val="18"/>
              </w:rPr>
            </w:pPr>
            <w:r>
              <w:rPr>
                <w:rFonts w:ascii="宋体" w:eastAsia="宋体" w:hAnsi="宋体" w:cs="宋体"/>
                <w:spacing w:val="-6"/>
                <w:sz w:val="18"/>
                <w:szCs w:val="18"/>
              </w:rPr>
              <w:t>12</w:t>
            </w:r>
          </w:p>
        </w:tc>
      </w:tr>
      <w:tr w:rsidR="00EA40A3">
        <w:trPr>
          <w:trHeight w:val="358"/>
        </w:trPr>
        <w:tc>
          <w:tcPr>
            <w:tcW w:w="1941" w:type="dxa"/>
            <w:vMerge/>
            <w:tcBorders>
              <w:top w:val="nil"/>
              <w:bottom w:val="nil"/>
            </w:tcBorders>
            <w:textDirection w:val="tbRlV"/>
          </w:tcPr>
          <w:p w:rsidR="00EA40A3" w:rsidRDefault="00EA40A3"/>
        </w:tc>
        <w:tc>
          <w:tcPr>
            <w:tcW w:w="1688" w:type="dxa"/>
            <w:tcBorders>
              <w:right w:val="single" w:sz="4" w:space="0" w:color="000000"/>
            </w:tcBorders>
          </w:tcPr>
          <w:p w:rsidR="00EA40A3" w:rsidRDefault="00E86C16">
            <w:pPr>
              <w:spacing w:before="137" w:line="183" w:lineRule="auto"/>
              <w:ind w:left="789"/>
              <w:rPr>
                <w:rFonts w:ascii="宋体" w:eastAsia="宋体" w:hAnsi="宋体" w:cs="宋体"/>
                <w:sz w:val="18"/>
                <w:szCs w:val="18"/>
              </w:rPr>
            </w:pPr>
            <w:r>
              <w:rPr>
                <w:rFonts w:ascii="宋体" w:eastAsia="宋体" w:hAnsi="宋体" w:cs="宋体"/>
                <w:spacing w:val="-2"/>
                <w:sz w:val="18"/>
                <w:szCs w:val="18"/>
              </w:rPr>
              <w:t>450</w:t>
            </w:r>
          </w:p>
        </w:tc>
        <w:tc>
          <w:tcPr>
            <w:tcW w:w="1930" w:type="dxa"/>
            <w:tcBorders>
              <w:left w:val="single" w:sz="4" w:space="0" w:color="000000"/>
            </w:tcBorders>
          </w:tcPr>
          <w:p w:rsidR="00EA40A3" w:rsidRDefault="00E86C16">
            <w:pPr>
              <w:spacing w:before="75" w:line="214" w:lineRule="auto"/>
              <w:ind w:left="536"/>
              <w:rPr>
                <w:rFonts w:ascii="宋体" w:eastAsia="宋体" w:hAnsi="宋体" w:cs="宋体"/>
                <w:sz w:val="18"/>
                <w:szCs w:val="18"/>
              </w:rPr>
            </w:pPr>
            <w:r>
              <w:rPr>
                <w:rFonts w:ascii="宋体" w:eastAsia="宋体" w:hAnsi="宋体" w:cs="宋体"/>
                <w:spacing w:val="7"/>
                <w:sz w:val="18"/>
                <w:szCs w:val="18"/>
              </w:rPr>
              <w:t>碘(</w:t>
            </w:r>
            <w:r>
              <w:rPr>
                <w:rFonts w:ascii="宋体" w:eastAsia="宋体" w:hAnsi="宋体" w:cs="宋体"/>
                <w:sz w:val="18"/>
                <w:szCs w:val="18"/>
              </w:rPr>
              <w:t>pg</w:t>
            </w:r>
            <w:r>
              <w:rPr>
                <w:rFonts w:ascii="宋体" w:eastAsia="宋体" w:hAnsi="宋体" w:cs="宋体"/>
                <w:spacing w:val="7"/>
                <w:sz w:val="18"/>
                <w:szCs w:val="18"/>
              </w:rPr>
              <w:t>)(</w:t>
            </w:r>
            <w:r>
              <w:rPr>
                <w:rFonts w:ascii="宋体" w:eastAsia="宋体" w:hAnsi="宋体" w:cs="宋体"/>
                <w:sz w:val="18"/>
                <w:szCs w:val="18"/>
              </w:rPr>
              <w:t>RNI</w:t>
            </w:r>
            <w:r>
              <w:rPr>
                <w:rFonts w:ascii="宋体" w:eastAsia="宋体" w:hAnsi="宋体" w:cs="宋体"/>
                <w:spacing w:val="7"/>
                <w:sz w:val="18"/>
                <w:szCs w:val="18"/>
              </w:rPr>
              <w:t>)</w:t>
            </w:r>
          </w:p>
        </w:tc>
        <w:tc>
          <w:tcPr>
            <w:tcW w:w="1690" w:type="dxa"/>
          </w:tcPr>
          <w:p w:rsidR="00EA40A3" w:rsidRDefault="00E86C16">
            <w:pPr>
              <w:spacing w:before="147" w:line="183" w:lineRule="auto"/>
              <w:ind w:left="831"/>
              <w:rPr>
                <w:rFonts w:ascii="宋体" w:eastAsia="宋体" w:hAnsi="宋体" w:cs="宋体"/>
                <w:sz w:val="18"/>
                <w:szCs w:val="18"/>
              </w:rPr>
            </w:pPr>
            <w:r>
              <w:rPr>
                <w:rFonts w:ascii="宋体" w:eastAsia="宋体" w:hAnsi="宋体" w:cs="宋体"/>
                <w:spacing w:val="-3"/>
                <w:sz w:val="18"/>
                <w:szCs w:val="18"/>
              </w:rPr>
              <w:t>50</w:t>
            </w:r>
          </w:p>
        </w:tc>
      </w:tr>
      <w:tr w:rsidR="00EA40A3">
        <w:trPr>
          <w:trHeight w:val="345"/>
        </w:trPr>
        <w:tc>
          <w:tcPr>
            <w:tcW w:w="1941" w:type="dxa"/>
            <w:vMerge/>
            <w:tcBorders>
              <w:top w:val="nil"/>
              <w:bottom w:val="nil"/>
            </w:tcBorders>
            <w:textDirection w:val="tbRlV"/>
          </w:tcPr>
          <w:p w:rsidR="00EA40A3" w:rsidRDefault="00EA40A3"/>
        </w:tc>
        <w:tc>
          <w:tcPr>
            <w:tcW w:w="1688" w:type="dxa"/>
            <w:tcBorders>
              <w:right w:val="single" w:sz="4" w:space="0" w:color="000000"/>
            </w:tcBorders>
          </w:tcPr>
          <w:p w:rsidR="00EA40A3" w:rsidRDefault="00E86C16">
            <w:pPr>
              <w:spacing w:before="128" w:line="184" w:lineRule="auto"/>
              <w:ind w:left="718"/>
              <w:rPr>
                <w:rFonts w:ascii="宋体" w:eastAsia="宋体" w:hAnsi="宋体" w:cs="宋体"/>
                <w:sz w:val="18"/>
                <w:szCs w:val="18"/>
              </w:rPr>
            </w:pPr>
            <w:r>
              <w:rPr>
                <w:rFonts w:ascii="宋体" w:eastAsia="宋体" w:hAnsi="宋体" w:cs="宋体"/>
                <w:spacing w:val="-4"/>
                <w:sz w:val="18"/>
                <w:szCs w:val="18"/>
              </w:rPr>
              <w:t>1000</w:t>
            </w:r>
          </w:p>
        </w:tc>
        <w:tc>
          <w:tcPr>
            <w:tcW w:w="1930" w:type="dxa"/>
            <w:tcBorders>
              <w:left w:val="single" w:sz="4" w:space="0" w:color="000000"/>
            </w:tcBorders>
          </w:tcPr>
          <w:p w:rsidR="00EA40A3" w:rsidRDefault="00E86C16">
            <w:pPr>
              <w:spacing w:before="87" w:line="214" w:lineRule="auto"/>
              <w:ind w:left="536"/>
              <w:rPr>
                <w:rFonts w:ascii="宋体" w:eastAsia="宋体" w:hAnsi="宋体" w:cs="宋体"/>
                <w:sz w:val="18"/>
                <w:szCs w:val="18"/>
              </w:rPr>
            </w:pPr>
            <w:r>
              <w:rPr>
                <w:rFonts w:ascii="宋体" w:eastAsia="宋体" w:hAnsi="宋体" w:cs="宋体"/>
                <w:spacing w:val="7"/>
                <w:sz w:val="18"/>
                <w:szCs w:val="18"/>
              </w:rPr>
              <w:t>锌(</w:t>
            </w:r>
            <w:r>
              <w:rPr>
                <w:rFonts w:ascii="宋体" w:eastAsia="宋体" w:hAnsi="宋体" w:cs="宋体"/>
                <w:sz w:val="18"/>
                <w:szCs w:val="18"/>
              </w:rPr>
              <w:t>mg</w:t>
            </w:r>
            <w:r>
              <w:rPr>
                <w:rFonts w:ascii="宋体" w:eastAsia="宋体" w:hAnsi="宋体" w:cs="宋体"/>
                <w:spacing w:val="7"/>
                <w:sz w:val="18"/>
                <w:szCs w:val="18"/>
              </w:rPr>
              <w:t>)(</w:t>
            </w:r>
            <w:r>
              <w:rPr>
                <w:rFonts w:ascii="宋体" w:eastAsia="宋体" w:hAnsi="宋体" w:cs="宋体"/>
                <w:sz w:val="18"/>
                <w:szCs w:val="18"/>
              </w:rPr>
              <w:t>RNI</w:t>
            </w:r>
            <w:r>
              <w:rPr>
                <w:rFonts w:ascii="宋体" w:eastAsia="宋体" w:hAnsi="宋体" w:cs="宋体"/>
                <w:spacing w:val="7"/>
                <w:sz w:val="18"/>
                <w:szCs w:val="18"/>
              </w:rPr>
              <w:t>)</w:t>
            </w:r>
          </w:p>
        </w:tc>
        <w:tc>
          <w:tcPr>
            <w:tcW w:w="1690" w:type="dxa"/>
          </w:tcPr>
          <w:p w:rsidR="00EA40A3" w:rsidRDefault="00E86C16">
            <w:pPr>
              <w:spacing w:before="139" w:line="183" w:lineRule="auto"/>
              <w:ind w:left="801"/>
              <w:rPr>
                <w:rFonts w:ascii="宋体" w:eastAsia="宋体" w:hAnsi="宋体" w:cs="宋体"/>
                <w:sz w:val="18"/>
                <w:szCs w:val="18"/>
              </w:rPr>
            </w:pPr>
            <w:r>
              <w:rPr>
                <w:rFonts w:ascii="宋体" w:eastAsia="宋体" w:hAnsi="宋体" w:cs="宋体"/>
                <w:spacing w:val="-2"/>
                <w:sz w:val="18"/>
                <w:szCs w:val="18"/>
              </w:rPr>
              <w:t>9.0</w:t>
            </w:r>
          </w:p>
        </w:tc>
      </w:tr>
      <w:tr w:rsidR="00EA40A3">
        <w:trPr>
          <w:trHeight w:val="342"/>
        </w:trPr>
        <w:tc>
          <w:tcPr>
            <w:tcW w:w="1941" w:type="dxa"/>
            <w:vMerge/>
            <w:tcBorders>
              <w:top w:val="nil"/>
              <w:bottom w:val="nil"/>
            </w:tcBorders>
            <w:textDirection w:val="tbRlV"/>
          </w:tcPr>
          <w:p w:rsidR="00EA40A3" w:rsidRDefault="00EA40A3"/>
        </w:tc>
        <w:tc>
          <w:tcPr>
            <w:tcW w:w="1688" w:type="dxa"/>
            <w:tcBorders>
              <w:right w:val="single" w:sz="4" w:space="0" w:color="000000"/>
            </w:tcBorders>
          </w:tcPr>
          <w:p w:rsidR="00EA40A3" w:rsidRDefault="00E86C16">
            <w:pPr>
              <w:spacing w:before="154" w:line="183" w:lineRule="auto"/>
              <w:ind w:left="778"/>
              <w:rPr>
                <w:rFonts w:ascii="宋体" w:eastAsia="宋体" w:hAnsi="宋体" w:cs="宋体"/>
                <w:sz w:val="18"/>
                <w:szCs w:val="18"/>
              </w:rPr>
            </w:pPr>
            <w:r>
              <w:rPr>
                <w:rFonts w:ascii="宋体" w:eastAsia="宋体" w:hAnsi="宋体" w:cs="宋体"/>
                <w:spacing w:val="-2"/>
                <w:sz w:val="18"/>
                <w:szCs w:val="18"/>
              </w:rPr>
              <w:t>650</w:t>
            </w:r>
          </w:p>
        </w:tc>
        <w:tc>
          <w:tcPr>
            <w:tcW w:w="1930" w:type="dxa"/>
            <w:tcBorders>
              <w:left w:val="single" w:sz="4" w:space="0" w:color="000000"/>
            </w:tcBorders>
          </w:tcPr>
          <w:p w:rsidR="00EA40A3" w:rsidRDefault="00E86C16">
            <w:pPr>
              <w:spacing w:before="82" w:line="214" w:lineRule="auto"/>
              <w:ind w:left="536"/>
              <w:rPr>
                <w:rFonts w:ascii="宋体" w:eastAsia="宋体" w:hAnsi="宋体" w:cs="宋体"/>
                <w:sz w:val="18"/>
                <w:szCs w:val="18"/>
              </w:rPr>
            </w:pPr>
            <w:r>
              <w:rPr>
                <w:rFonts w:ascii="宋体" w:eastAsia="宋体" w:hAnsi="宋体" w:cs="宋体"/>
                <w:spacing w:val="4"/>
                <w:sz w:val="18"/>
                <w:szCs w:val="18"/>
              </w:rPr>
              <w:t>硒(</w:t>
            </w:r>
            <w:r>
              <w:rPr>
                <w:rFonts w:ascii="宋体" w:eastAsia="宋体" w:hAnsi="宋体" w:cs="宋体"/>
                <w:sz w:val="18"/>
                <w:szCs w:val="18"/>
              </w:rPr>
              <w:t>gg</w:t>
            </w:r>
            <w:r>
              <w:rPr>
                <w:rFonts w:ascii="宋体" w:eastAsia="宋体" w:hAnsi="宋体" w:cs="宋体"/>
                <w:spacing w:val="4"/>
                <w:sz w:val="18"/>
                <w:szCs w:val="18"/>
              </w:rPr>
              <w:t>)(</w:t>
            </w:r>
            <w:r>
              <w:rPr>
                <w:rFonts w:ascii="宋体" w:eastAsia="宋体" w:hAnsi="宋体" w:cs="宋体"/>
                <w:sz w:val="18"/>
                <w:szCs w:val="18"/>
              </w:rPr>
              <w:t>RNI</w:t>
            </w:r>
          </w:p>
        </w:tc>
        <w:tc>
          <w:tcPr>
            <w:tcW w:w="1690" w:type="dxa"/>
          </w:tcPr>
          <w:p w:rsidR="00EA40A3" w:rsidRDefault="00E86C16">
            <w:pPr>
              <w:spacing w:before="154" w:line="183" w:lineRule="auto"/>
              <w:ind w:left="831"/>
              <w:rPr>
                <w:rFonts w:ascii="宋体" w:eastAsia="宋体" w:hAnsi="宋体" w:cs="宋体"/>
                <w:sz w:val="18"/>
                <w:szCs w:val="18"/>
              </w:rPr>
            </w:pPr>
            <w:r>
              <w:rPr>
                <w:rFonts w:ascii="宋体" w:eastAsia="宋体" w:hAnsi="宋体" w:cs="宋体"/>
                <w:spacing w:val="-3"/>
                <w:sz w:val="18"/>
                <w:szCs w:val="18"/>
              </w:rPr>
              <w:t>20</w:t>
            </w:r>
          </w:p>
        </w:tc>
      </w:tr>
      <w:tr w:rsidR="00EA40A3">
        <w:trPr>
          <w:trHeight w:val="1023"/>
        </w:trPr>
        <w:tc>
          <w:tcPr>
            <w:tcW w:w="1941" w:type="dxa"/>
            <w:vMerge/>
            <w:tcBorders>
              <w:top w:val="nil"/>
              <w:bottom w:val="single" w:sz="4" w:space="0" w:color="000000"/>
            </w:tcBorders>
            <w:textDirection w:val="tbRlV"/>
          </w:tcPr>
          <w:p w:rsidR="00EA40A3" w:rsidRDefault="00EA40A3"/>
        </w:tc>
        <w:tc>
          <w:tcPr>
            <w:tcW w:w="1688" w:type="dxa"/>
            <w:tcBorders>
              <w:bottom w:val="single" w:sz="4" w:space="0" w:color="000000"/>
              <w:right w:val="single" w:sz="4" w:space="0" w:color="000000"/>
            </w:tcBorders>
          </w:tcPr>
          <w:p w:rsidR="00EA40A3" w:rsidRDefault="00E86C16">
            <w:pPr>
              <w:spacing w:before="141" w:line="184" w:lineRule="auto"/>
              <w:ind w:left="789"/>
              <w:rPr>
                <w:rFonts w:ascii="宋体" w:eastAsia="宋体" w:hAnsi="宋体" w:cs="宋体"/>
                <w:sz w:val="18"/>
                <w:szCs w:val="18"/>
              </w:rPr>
            </w:pPr>
            <w:r>
              <w:rPr>
                <w:rFonts w:ascii="宋体" w:eastAsia="宋体" w:hAnsi="宋体" w:cs="宋体"/>
                <w:spacing w:val="-5"/>
                <w:sz w:val="18"/>
                <w:szCs w:val="18"/>
              </w:rPr>
              <w:t>100</w:t>
            </w:r>
          </w:p>
        </w:tc>
        <w:tc>
          <w:tcPr>
            <w:tcW w:w="1930" w:type="dxa"/>
            <w:tcBorders>
              <w:left w:val="single" w:sz="4" w:space="0" w:color="000000"/>
              <w:bottom w:val="single" w:sz="4" w:space="0" w:color="000000"/>
            </w:tcBorders>
          </w:tcPr>
          <w:p w:rsidR="00EA40A3" w:rsidRDefault="00E86C16">
            <w:pPr>
              <w:spacing w:before="71" w:line="369" w:lineRule="auto"/>
              <w:ind w:left="536" w:right="449"/>
              <w:rPr>
                <w:rFonts w:ascii="宋体" w:eastAsia="宋体" w:hAnsi="宋体" w:cs="宋体"/>
                <w:sz w:val="18"/>
                <w:szCs w:val="18"/>
              </w:rPr>
            </w:pPr>
            <w:r>
              <w:rPr>
                <w:rFonts w:ascii="宋体" w:eastAsia="宋体" w:hAnsi="宋体" w:cs="宋体"/>
                <w:spacing w:val="7"/>
                <w:sz w:val="18"/>
                <w:szCs w:val="18"/>
              </w:rPr>
              <w:t>铜(</w:t>
            </w:r>
            <w:r>
              <w:rPr>
                <w:rFonts w:ascii="宋体" w:eastAsia="宋体" w:hAnsi="宋体" w:cs="宋体"/>
                <w:sz w:val="18"/>
                <w:szCs w:val="18"/>
              </w:rPr>
              <w:t>mg</w:t>
            </w:r>
            <w:r>
              <w:rPr>
                <w:rFonts w:ascii="宋体" w:eastAsia="宋体" w:hAnsi="宋体" w:cs="宋体"/>
                <w:spacing w:val="7"/>
                <w:sz w:val="18"/>
                <w:szCs w:val="18"/>
              </w:rPr>
              <w:t>)(</w:t>
            </w:r>
            <w:r>
              <w:rPr>
                <w:rFonts w:ascii="宋体" w:eastAsia="宋体" w:hAnsi="宋体" w:cs="宋体"/>
                <w:sz w:val="18"/>
                <w:szCs w:val="18"/>
              </w:rPr>
              <w:t>AI</w:t>
            </w:r>
            <w:r>
              <w:rPr>
                <w:rFonts w:ascii="宋体" w:eastAsia="宋体" w:hAnsi="宋体" w:cs="宋体"/>
                <w:spacing w:val="7"/>
                <w:sz w:val="18"/>
                <w:szCs w:val="18"/>
              </w:rPr>
              <w:t>)</w:t>
            </w:r>
            <w:r>
              <w:rPr>
                <w:rFonts w:ascii="宋体" w:eastAsia="宋体" w:hAnsi="宋体" w:cs="宋体"/>
                <w:spacing w:val="3"/>
                <w:sz w:val="18"/>
                <w:szCs w:val="18"/>
              </w:rPr>
              <w:t xml:space="preserve"> </w:t>
            </w:r>
            <w:r>
              <w:rPr>
                <w:rFonts w:ascii="宋体" w:eastAsia="宋体" w:hAnsi="宋体" w:cs="宋体"/>
                <w:spacing w:val="7"/>
                <w:sz w:val="18"/>
                <w:szCs w:val="18"/>
              </w:rPr>
              <w:t>氟(</w:t>
            </w:r>
            <w:r>
              <w:rPr>
                <w:rFonts w:ascii="宋体" w:eastAsia="宋体" w:hAnsi="宋体" w:cs="宋体"/>
                <w:sz w:val="18"/>
                <w:szCs w:val="18"/>
              </w:rPr>
              <w:t>mg</w:t>
            </w:r>
            <w:r>
              <w:rPr>
                <w:rFonts w:ascii="宋体" w:eastAsia="宋体" w:hAnsi="宋体" w:cs="宋体"/>
                <w:spacing w:val="7"/>
                <w:sz w:val="18"/>
                <w:szCs w:val="18"/>
              </w:rPr>
              <w:t>)(</w:t>
            </w:r>
            <w:r>
              <w:rPr>
                <w:rFonts w:ascii="宋体" w:eastAsia="宋体" w:hAnsi="宋体" w:cs="宋体"/>
                <w:sz w:val="18"/>
                <w:szCs w:val="18"/>
              </w:rPr>
              <w:t>AI</w:t>
            </w:r>
            <w:r>
              <w:rPr>
                <w:rFonts w:ascii="宋体" w:eastAsia="宋体" w:hAnsi="宋体" w:cs="宋体"/>
                <w:spacing w:val="7"/>
                <w:sz w:val="18"/>
                <w:szCs w:val="18"/>
              </w:rPr>
              <w:t>)</w:t>
            </w:r>
          </w:p>
          <w:p w:rsidR="00EA40A3" w:rsidRDefault="00E86C16">
            <w:pPr>
              <w:spacing w:line="213" w:lineRule="auto"/>
              <w:ind w:left="536"/>
              <w:rPr>
                <w:rFonts w:ascii="宋体" w:eastAsia="宋体" w:hAnsi="宋体" w:cs="宋体"/>
                <w:sz w:val="18"/>
                <w:szCs w:val="18"/>
              </w:rPr>
            </w:pPr>
            <w:r>
              <w:rPr>
                <w:rFonts w:ascii="宋体" w:eastAsia="宋体" w:hAnsi="宋体" w:cs="宋体"/>
                <w:spacing w:val="5"/>
                <w:sz w:val="18"/>
                <w:szCs w:val="18"/>
              </w:rPr>
              <w:t>铬(μg)(</w:t>
            </w:r>
            <w:r>
              <w:rPr>
                <w:rFonts w:ascii="宋体" w:eastAsia="宋体" w:hAnsi="宋体" w:cs="宋体"/>
                <w:sz w:val="18"/>
                <w:szCs w:val="18"/>
              </w:rPr>
              <w:t>AI</w:t>
            </w:r>
            <w:r>
              <w:rPr>
                <w:rFonts w:ascii="宋体" w:eastAsia="宋体" w:hAnsi="宋体" w:cs="宋体"/>
                <w:spacing w:val="5"/>
                <w:sz w:val="18"/>
                <w:szCs w:val="18"/>
              </w:rPr>
              <w:t>)</w:t>
            </w:r>
          </w:p>
        </w:tc>
        <w:tc>
          <w:tcPr>
            <w:tcW w:w="1690" w:type="dxa"/>
            <w:tcBorders>
              <w:bottom w:val="single" w:sz="4" w:space="0" w:color="000000"/>
            </w:tcBorders>
          </w:tcPr>
          <w:p w:rsidR="00EA40A3" w:rsidRDefault="00E86C16">
            <w:pPr>
              <w:spacing w:before="162" w:line="330" w:lineRule="exact"/>
              <w:ind w:left="811"/>
              <w:rPr>
                <w:rFonts w:ascii="宋体" w:eastAsia="宋体" w:hAnsi="宋体" w:cs="宋体"/>
                <w:sz w:val="18"/>
                <w:szCs w:val="18"/>
              </w:rPr>
            </w:pPr>
            <w:r>
              <w:rPr>
                <w:rFonts w:ascii="宋体" w:eastAsia="宋体" w:hAnsi="宋体" w:cs="宋体"/>
                <w:spacing w:val="-2"/>
                <w:position w:val="14"/>
                <w:sz w:val="18"/>
                <w:szCs w:val="18"/>
              </w:rPr>
              <w:t>0.8</w:t>
            </w:r>
          </w:p>
          <w:p w:rsidR="00EA40A3" w:rsidRDefault="00E86C16">
            <w:pPr>
              <w:spacing w:line="183" w:lineRule="auto"/>
              <w:ind w:left="801"/>
              <w:rPr>
                <w:rFonts w:ascii="宋体" w:eastAsia="宋体" w:hAnsi="宋体" w:cs="宋体"/>
                <w:sz w:val="18"/>
                <w:szCs w:val="18"/>
              </w:rPr>
            </w:pPr>
            <w:r>
              <w:rPr>
                <w:rFonts w:ascii="宋体" w:eastAsia="宋体" w:hAnsi="宋体" w:cs="宋体"/>
                <w:spacing w:val="-2"/>
                <w:sz w:val="18"/>
                <w:szCs w:val="18"/>
              </w:rPr>
              <w:t>0.6</w:t>
            </w:r>
          </w:p>
          <w:p w:rsidR="00EA40A3" w:rsidRDefault="00E86C16">
            <w:pPr>
              <w:spacing w:before="171" w:line="183" w:lineRule="auto"/>
              <w:ind w:left="820"/>
              <w:rPr>
                <w:rFonts w:ascii="宋体" w:eastAsia="宋体" w:hAnsi="宋体" w:cs="宋体"/>
                <w:sz w:val="18"/>
                <w:szCs w:val="18"/>
              </w:rPr>
            </w:pPr>
            <w:r>
              <w:rPr>
                <w:rFonts w:ascii="宋体" w:eastAsia="宋体" w:hAnsi="宋体" w:cs="宋体"/>
                <w:spacing w:val="-3"/>
                <w:sz w:val="18"/>
                <w:szCs w:val="18"/>
              </w:rPr>
              <w:t>20</w:t>
            </w:r>
          </w:p>
        </w:tc>
      </w:tr>
    </w:tbl>
    <w:p w:rsidR="00EA40A3" w:rsidRDefault="00E86C16">
      <w:pPr>
        <w:spacing w:before="80" w:line="219" w:lineRule="auto"/>
        <w:ind w:left="379"/>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A40A3">
      <w:pPr>
        <w:spacing w:line="448" w:lineRule="auto"/>
      </w:pPr>
    </w:p>
    <w:p w:rsidR="00EA40A3" w:rsidRDefault="00E86C16">
      <w:pPr>
        <w:spacing w:before="72" w:line="336" w:lineRule="exact"/>
        <w:rPr>
          <w:rFonts w:ascii="仿宋" w:eastAsia="仿宋" w:hAnsi="仿宋" w:cs="仿宋"/>
          <w:sz w:val="22"/>
          <w:szCs w:val="22"/>
        </w:rPr>
      </w:pPr>
      <w:r>
        <w:rPr>
          <w:rFonts w:ascii="仿宋" w:eastAsia="仿宋" w:hAnsi="仿宋" w:cs="仿宋"/>
          <w:spacing w:val="12"/>
          <w:position w:val="8"/>
          <w:sz w:val="22"/>
          <w:szCs w:val="22"/>
        </w:rPr>
        <w:t>3.</w:t>
      </w:r>
      <w:r>
        <w:rPr>
          <w:rFonts w:ascii="仿宋" w:eastAsia="仿宋" w:hAnsi="仿宋" w:cs="仿宋"/>
          <w:spacing w:val="-26"/>
          <w:position w:val="8"/>
          <w:sz w:val="22"/>
          <w:szCs w:val="22"/>
        </w:rPr>
        <w:t xml:space="preserve"> </w:t>
      </w:r>
      <w:r>
        <w:rPr>
          <w:rFonts w:ascii="仿宋" w:eastAsia="仿宋" w:hAnsi="仿宋" w:cs="仿宋"/>
          <w:spacing w:val="12"/>
          <w:position w:val="8"/>
          <w:sz w:val="22"/>
          <w:szCs w:val="22"/>
        </w:rPr>
        <w:t>幼儿的合理膳食</w:t>
      </w:r>
    </w:p>
    <w:p w:rsidR="00EA40A3" w:rsidRDefault="00E86C16">
      <w:pPr>
        <w:spacing w:before="1" w:line="223" w:lineRule="auto"/>
        <w:rPr>
          <w:rFonts w:ascii="楷体" w:eastAsia="楷体" w:hAnsi="楷体" w:cs="楷体"/>
          <w:sz w:val="22"/>
          <w:szCs w:val="22"/>
        </w:rPr>
      </w:pPr>
      <w:r>
        <w:rPr>
          <w:rFonts w:ascii="楷体" w:eastAsia="楷体" w:hAnsi="楷体" w:cs="楷体"/>
          <w:spacing w:val="-7"/>
          <w:sz w:val="22"/>
          <w:szCs w:val="22"/>
        </w:rPr>
        <w:t>1)平衡膳食</w:t>
      </w:r>
    </w:p>
    <w:p w:rsidR="00EA40A3" w:rsidRDefault="00E86C16">
      <w:pPr>
        <w:spacing w:before="56" w:line="247" w:lineRule="auto"/>
        <w:ind w:right="30" w:firstLine="439"/>
        <w:rPr>
          <w:rFonts w:ascii="宋体" w:eastAsia="宋体" w:hAnsi="宋体" w:cs="宋体"/>
          <w:sz w:val="22"/>
          <w:szCs w:val="22"/>
        </w:rPr>
      </w:pPr>
      <w:r>
        <w:rPr>
          <w:rFonts w:ascii="宋体" w:eastAsia="宋体" w:hAnsi="宋体" w:cs="宋体"/>
          <w:spacing w:val="-12"/>
          <w:sz w:val="22"/>
          <w:szCs w:val="22"/>
        </w:rPr>
        <w:t>幼儿每日膳食当中应当包括谷类、乳类、肉、禽、鱼、蛋、新鲜的水果及蔬</w:t>
      </w:r>
      <w:r>
        <w:rPr>
          <w:rFonts w:ascii="宋体" w:eastAsia="宋体" w:hAnsi="宋体" w:cs="宋体"/>
          <w:spacing w:val="3"/>
          <w:sz w:val="22"/>
          <w:szCs w:val="22"/>
        </w:rPr>
        <w:t xml:space="preserve"> </w:t>
      </w:r>
      <w:r>
        <w:rPr>
          <w:rFonts w:ascii="宋体" w:eastAsia="宋体" w:hAnsi="宋体" w:cs="宋体"/>
          <w:spacing w:val="-13"/>
          <w:sz w:val="22"/>
          <w:szCs w:val="22"/>
        </w:rPr>
        <w:t>菜等食物，保证食物多样化，从而对幼儿提供全面的营养。其中要保证优质蛋白</w:t>
      </w:r>
      <w:r>
        <w:rPr>
          <w:rFonts w:ascii="宋体" w:eastAsia="宋体" w:hAnsi="宋体" w:cs="宋体"/>
          <w:sz w:val="22"/>
          <w:szCs w:val="22"/>
        </w:rPr>
        <w:t xml:space="preserve"> </w:t>
      </w:r>
      <w:r>
        <w:rPr>
          <w:rFonts w:ascii="宋体" w:eastAsia="宋体" w:hAnsi="宋体" w:cs="宋体"/>
          <w:spacing w:val="-8"/>
          <w:sz w:val="22"/>
          <w:szCs w:val="22"/>
        </w:rPr>
        <w:t>的摄入，动物性蛋白或大豆蛋白的数量不应少于总蛋白质量的50%。</w:t>
      </w:r>
    </w:p>
    <w:p w:rsidR="00EA40A3" w:rsidRDefault="00E86C16">
      <w:pPr>
        <w:spacing w:before="22" w:line="229" w:lineRule="auto"/>
        <w:rPr>
          <w:rFonts w:ascii="楷体" w:eastAsia="楷体" w:hAnsi="楷体" w:cs="楷体"/>
          <w:sz w:val="22"/>
          <w:szCs w:val="22"/>
        </w:rPr>
      </w:pPr>
      <w:r>
        <w:rPr>
          <w:rFonts w:ascii="楷体" w:eastAsia="楷体" w:hAnsi="楷体" w:cs="楷体"/>
          <w:spacing w:val="-1"/>
          <w:sz w:val="22"/>
          <w:szCs w:val="22"/>
        </w:rPr>
        <w:t>2)合理烹饪</w:t>
      </w:r>
    </w:p>
    <w:p w:rsidR="00EA40A3" w:rsidRDefault="00E86C16">
      <w:pPr>
        <w:spacing w:before="65" w:line="245" w:lineRule="auto"/>
        <w:ind w:right="49" w:firstLine="439"/>
        <w:rPr>
          <w:rFonts w:ascii="宋体" w:eastAsia="宋体" w:hAnsi="宋体" w:cs="宋体"/>
          <w:sz w:val="22"/>
          <w:szCs w:val="22"/>
        </w:rPr>
      </w:pPr>
      <w:r>
        <w:rPr>
          <w:rFonts w:ascii="宋体" w:eastAsia="宋体" w:hAnsi="宋体" w:cs="宋体"/>
          <w:spacing w:val="-13"/>
          <w:sz w:val="22"/>
          <w:szCs w:val="22"/>
        </w:rPr>
        <w:t>幼儿的膳食应当针对其消化吸收功能进行合理烹饪。总体来说，幼儿的食物</w:t>
      </w:r>
      <w:r>
        <w:rPr>
          <w:rFonts w:ascii="宋体" w:eastAsia="宋体" w:hAnsi="宋体" w:cs="宋体"/>
          <w:spacing w:val="18"/>
          <w:sz w:val="22"/>
          <w:szCs w:val="22"/>
        </w:rPr>
        <w:t xml:space="preserve"> </w:t>
      </w:r>
      <w:r>
        <w:rPr>
          <w:rFonts w:ascii="宋体" w:eastAsia="宋体" w:hAnsi="宋体" w:cs="宋体"/>
          <w:spacing w:val="-10"/>
          <w:sz w:val="22"/>
          <w:szCs w:val="22"/>
        </w:rPr>
        <w:t>应当细、烂、软、碎、清淡。1岁后的幼儿牙齿逐渐出齐，咀嚼能力和消化</w:t>
      </w:r>
      <w:r>
        <w:rPr>
          <w:rFonts w:ascii="宋体" w:eastAsia="宋体" w:hAnsi="宋体" w:cs="宋体"/>
          <w:spacing w:val="-11"/>
          <w:sz w:val="22"/>
          <w:szCs w:val="22"/>
        </w:rPr>
        <w:t>能力</w:t>
      </w:r>
      <w:r>
        <w:rPr>
          <w:rFonts w:ascii="宋体" w:eastAsia="宋体" w:hAnsi="宋体" w:cs="宋体"/>
          <w:sz w:val="22"/>
          <w:szCs w:val="22"/>
        </w:rPr>
        <w:t xml:space="preserve"> </w:t>
      </w:r>
      <w:r>
        <w:rPr>
          <w:rFonts w:ascii="宋体" w:eastAsia="宋体" w:hAnsi="宋体" w:cs="宋体"/>
          <w:spacing w:val="-13"/>
          <w:sz w:val="22"/>
          <w:szCs w:val="22"/>
        </w:rPr>
        <w:t>有所提高，可进食烂饭、瓜菜等食物，食物应当切碎，并且温热，不能太冷也不</w:t>
      </w:r>
      <w:r>
        <w:rPr>
          <w:rFonts w:ascii="宋体" w:eastAsia="宋体" w:hAnsi="宋体" w:cs="宋体"/>
          <w:spacing w:val="15"/>
          <w:sz w:val="22"/>
          <w:szCs w:val="22"/>
        </w:rPr>
        <w:t xml:space="preserve"> </w:t>
      </w:r>
      <w:r>
        <w:rPr>
          <w:rFonts w:ascii="宋体" w:eastAsia="宋体" w:hAnsi="宋体" w:cs="宋体"/>
          <w:spacing w:val="-9"/>
          <w:sz w:val="22"/>
          <w:szCs w:val="22"/>
        </w:rPr>
        <w:t>能太热；2岁以后幼儿食物的范围开始扩大，但烹</w:t>
      </w:r>
      <w:r>
        <w:rPr>
          <w:rFonts w:ascii="宋体" w:eastAsia="宋体" w:hAnsi="宋体" w:cs="宋体"/>
          <w:spacing w:val="-10"/>
          <w:sz w:val="22"/>
          <w:szCs w:val="22"/>
        </w:rPr>
        <w:t>饪时一定要切碎煮透，以易于</w:t>
      </w:r>
      <w:r>
        <w:rPr>
          <w:rFonts w:ascii="宋体" w:eastAsia="宋体" w:hAnsi="宋体" w:cs="宋体"/>
          <w:sz w:val="22"/>
          <w:szCs w:val="22"/>
        </w:rPr>
        <w:t xml:space="preserve"> </w:t>
      </w:r>
      <w:r>
        <w:rPr>
          <w:rFonts w:ascii="宋体" w:eastAsia="宋体" w:hAnsi="宋体" w:cs="宋体"/>
          <w:spacing w:val="-16"/>
          <w:sz w:val="22"/>
          <w:szCs w:val="22"/>
        </w:rPr>
        <w:t>消化吸收。</w:t>
      </w:r>
    </w:p>
    <w:p w:rsidR="00EA40A3" w:rsidRDefault="00E86C16">
      <w:pPr>
        <w:spacing w:before="37" w:line="226" w:lineRule="auto"/>
        <w:rPr>
          <w:rFonts w:ascii="楷体" w:eastAsia="楷体" w:hAnsi="楷体" w:cs="楷体"/>
          <w:sz w:val="22"/>
          <w:szCs w:val="22"/>
        </w:rPr>
      </w:pPr>
      <w:r>
        <w:rPr>
          <w:rFonts w:ascii="楷体" w:eastAsia="楷体" w:hAnsi="楷体" w:cs="楷体"/>
          <w:spacing w:val="-6"/>
          <w:sz w:val="22"/>
          <w:szCs w:val="22"/>
        </w:rPr>
        <w:t>3)良好的饮食习惯</w:t>
      </w:r>
    </w:p>
    <w:p w:rsidR="00EA40A3" w:rsidRDefault="00E86C16">
      <w:pPr>
        <w:spacing w:before="70" w:line="239" w:lineRule="auto"/>
        <w:ind w:right="9" w:firstLine="439"/>
        <w:jc w:val="both"/>
        <w:rPr>
          <w:rFonts w:ascii="宋体" w:eastAsia="宋体" w:hAnsi="宋体" w:cs="宋体"/>
          <w:sz w:val="22"/>
          <w:szCs w:val="22"/>
        </w:rPr>
      </w:pPr>
      <w:r>
        <w:rPr>
          <w:rFonts w:ascii="宋体" w:eastAsia="宋体" w:hAnsi="宋体" w:cs="宋体"/>
          <w:spacing w:val="-13"/>
          <w:sz w:val="22"/>
          <w:szCs w:val="22"/>
        </w:rPr>
        <w:t>良好的饮食习惯包括合理进餐，不挑食、不偏食</w:t>
      </w:r>
      <w:r>
        <w:rPr>
          <w:rFonts w:ascii="宋体" w:eastAsia="宋体" w:hAnsi="宋体" w:cs="宋体"/>
          <w:spacing w:val="-14"/>
          <w:sz w:val="22"/>
          <w:szCs w:val="22"/>
        </w:rPr>
        <w:t>、不贪食，注意饮食卫生等</w:t>
      </w:r>
      <w:r>
        <w:rPr>
          <w:rFonts w:ascii="宋体" w:eastAsia="宋体" w:hAnsi="宋体" w:cs="宋体"/>
          <w:sz w:val="22"/>
          <w:szCs w:val="22"/>
        </w:rPr>
        <w:t xml:space="preserve"> </w:t>
      </w:r>
      <w:r>
        <w:rPr>
          <w:rFonts w:ascii="宋体" w:eastAsia="宋体" w:hAnsi="宋体" w:cs="宋体"/>
          <w:spacing w:val="-4"/>
          <w:sz w:val="22"/>
          <w:szCs w:val="22"/>
        </w:rPr>
        <w:t>方面。幼儿的进餐可采取少食多餐，特别是年龄较小时，</w:t>
      </w:r>
      <w:r>
        <w:rPr>
          <w:rFonts w:ascii="宋体" w:eastAsia="宋体" w:hAnsi="宋体" w:cs="宋体"/>
          <w:spacing w:val="-5"/>
          <w:sz w:val="22"/>
          <w:szCs w:val="22"/>
        </w:rPr>
        <w:t>每日可进食5或6次，</w:t>
      </w:r>
      <w:r>
        <w:rPr>
          <w:rFonts w:ascii="宋体" w:eastAsia="宋体" w:hAnsi="宋体" w:cs="宋体"/>
          <w:sz w:val="22"/>
          <w:szCs w:val="22"/>
        </w:rPr>
        <w:t xml:space="preserve"> </w:t>
      </w:r>
      <w:r>
        <w:rPr>
          <w:rFonts w:ascii="宋体" w:eastAsia="宋体" w:hAnsi="宋体" w:cs="宋体"/>
          <w:spacing w:val="-14"/>
          <w:sz w:val="22"/>
          <w:szCs w:val="22"/>
        </w:rPr>
        <w:t>随年龄增多，适当减少，</w:t>
      </w:r>
      <w:r>
        <w:rPr>
          <w:rFonts w:ascii="宋体" w:eastAsia="宋体" w:hAnsi="宋体" w:cs="宋体"/>
          <w:spacing w:val="54"/>
          <w:sz w:val="22"/>
          <w:szCs w:val="22"/>
        </w:rPr>
        <w:t xml:space="preserve"> </w:t>
      </w:r>
      <w:r>
        <w:rPr>
          <w:rFonts w:ascii="宋体" w:eastAsia="宋体" w:hAnsi="宋体" w:cs="宋体"/>
          <w:spacing w:val="-14"/>
          <w:sz w:val="22"/>
          <w:szCs w:val="22"/>
        </w:rPr>
        <w:t>一般控制在4次为宜。同时要从小培养孩子不挑</w:t>
      </w:r>
      <w:r>
        <w:rPr>
          <w:rFonts w:ascii="宋体" w:eastAsia="宋体" w:hAnsi="宋体" w:cs="宋体"/>
          <w:spacing w:val="-15"/>
          <w:sz w:val="22"/>
          <w:szCs w:val="22"/>
        </w:rPr>
        <w:t>食、不</w:t>
      </w:r>
      <w:r>
        <w:rPr>
          <w:rFonts w:ascii="宋体" w:eastAsia="宋体" w:hAnsi="宋体" w:cs="宋体"/>
          <w:sz w:val="22"/>
          <w:szCs w:val="22"/>
        </w:rPr>
        <w:t xml:space="preserve"> </w:t>
      </w:r>
      <w:r>
        <w:rPr>
          <w:rFonts w:ascii="宋体" w:eastAsia="宋体" w:hAnsi="宋体" w:cs="宋体"/>
          <w:spacing w:val="-13"/>
          <w:sz w:val="22"/>
          <w:szCs w:val="22"/>
        </w:rPr>
        <w:t>偏食的习惯，以保证幼儿生长发育的全面营养。此外，应注意饮食卫生，保证幼</w:t>
      </w:r>
      <w:r>
        <w:rPr>
          <w:rFonts w:ascii="宋体" w:eastAsia="宋体" w:hAnsi="宋体" w:cs="宋体"/>
          <w:spacing w:val="16"/>
          <w:sz w:val="22"/>
          <w:szCs w:val="22"/>
        </w:rPr>
        <w:t xml:space="preserve"> </w:t>
      </w:r>
      <w:r>
        <w:rPr>
          <w:rFonts w:ascii="宋体" w:eastAsia="宋体" w:hAnsi="宋体" w:cs="宋体"/>
          <w:spacing w:val="-25"/>
          <w:sz w:val="22"/>
          <w:szCs w:val="22"/>
        </w:rPr>
        <w:t>儿健康。</w:t>
      </w:r>
    </w:p>
    <w:p w:rsidR="00EA40A3" w:rsidRDefault="00EA40A3">
      <w:pPr>
        <w:sectPr w:rsidR="00EA40A3">
          <w:footerReference w:type="default" r:id="rId268"/>
          <w:pgSz w:w="9220" w:h="13360"/>
          <w:pgMar w:top="400" w:right="990" w:bottom="1246" w:left="890" w:header="0" w:footer="1025" w:gutter="0"/>
          <w:cols w:space="720"/>
        </w:sectPr>
      </w:pPr>
    </w:p>
    <w:p w:rsidR="00EA40A3" w:rsidRDefault="00EA40A3">
      <w:pPr>
        <w:spacing w:line="242" w:lineRule="auto"/>
      </w:pPr>
    </w:p>
    <w:p w:rsidR="00EA40A3" w:rsidRDefault="00EA40A3">
      <w:pPr>
        <w:spacing w:line="242" w:lineRule="auto"/>
      </w:pPr>
    </w:p>
    <w:p w:rsidR="00EA40A3" w:rsidRDefault="00EA40A3">
      <w:pPr>
        <w:spacing w:line="243" w:lineRule="auto"/>
      </w:pPr>
    </w:p>
    <w:p w:rsidR="00EA40A3" w:rsidRDefault="00E86C16">
      <w:pPr>
        <w:spacing w:before="72" w:line="221" w:lineRule="auto"/>
        <w:ind w:left="3"/>
        <w:outlineLvl w:val="6"/>
        <w:rPr>
          <w:rFonts w:ascii="黑体" w:eastAsia="黑体" w:hAnsi="黑体" w:cs="黑体"/>
          <w:sz w:val="22"/>
          <w:szCs w:val="22"/>
        </w:rPr>
      </w:pPr>
      <w:bookmarkStart w:id="77" w:name="_bookmark81"/>
      <w:bookmarkEnd w:id="77"/>
      <w:r>
        <w:rPr>
          <w:rFonts w:ascii="黑体" w:eastAsia="黑体" w:hAnsi="黑体" w:cs="黑体"/>
          <w:b/>
          <w:bCs/>
          <w:spacing w:val="7"/>
          <w:sz w:val="22"/>
          <w:szCs w:val="22"/>
        </w:rPr>
        <w:t>10.3.3</w:t>
      </w:r>
      <w:r>
        <w:rPr>
          <w:rFonts w:ascii="黑体" w:eastAsia="黑体" w:hAnsi="黑体" w:cs="黑体"/>
          <w:spacing w:val="11"/>
          <w:sz w:val="22"/>
          <w:szCs w:val="22"/>
        </w:rPr>
        <w:t xml:space="preserve">   </w:t>
      </w:r>
      <w:r>
        <w:rPr>
          <w:rFonts w:ascii="黑体" w:eastAsia="黑体" w:hAnsi="黑体" w:cs="黑体"/>
          <w:b/>
          <w:bCs/>
          <w:spacing w:val="7"/>
          <w:sz w:val="22"/>
          <w:szCs w:val="22"/>
        </w:rPr>
        <w:t>婴幼儿常见营养缺乏病</w:t>
      </w:r>
    </w:p>
    <w:p w:rsidR="00EA40A3" w:rsidRDefault="00E86C16">
      <w:pPr>
        <w:spacing w:before="248" w:line="354" w:lineRule="exact"/>
        <w:rPr>
          <w:rFonts w:ascii="仿宋" w:eastAsia="仿宋" w:hAnsi="仿宋" w:cs="仿宋"/>
          <w:sz w:val="22"/>
          <w:szCs w:val="22"/>
        </w:rPr>
      </w:pPr>
      <w:r>
        <w:rPr>
          <w:rFonts w:ascii="仿宋" w:eastAsia="仿宋" w:hAnsi="仿宋" w:cs="仿宋"/>
          <w:spacing w:val="12"/>
          <w:position w:val="9"/>
          <w:sz w:val="22"/>
          <w:szCs w:val="22"/>
        </w:rPr>
        <w:t>1.</w:t>
      </w:r>
      <w:r>
        <w:rPr>
          <w:rFonts w:ascii="仿宋" w:eastAsia="仿宋" w:hAnsi="仿宋" w:cs="仿宋"/>
          <w:spacing w:val="-17"/>
          <w:position w:val="9"/>
          <w:sz w:val="22"/>
          <w:szCs w:val="22"/>
        </w:rPr>
        <w:t xml:space="preserve"> </w:t>
      </w:r>
      <w:r>
        <w:rPr>
          <w:rFonts w:ascii="仿宋" w:eastAsia="仿宋" w:hAnsi="仿宋" w:cs="仿宋"/>
          <w:spacing w:val="12"/>
          <w:position w:val="9"/>
          <w:sz w:val="22"/>
          <w:szCs w:val="22"/>
        </w:rPr>
        <w:t>食物过敏与食物不耐受</w:t>
      </w:r>
    </w:p>
    <w:p w:rsidR="00EA40A3" w:rsidRDefault="00E86C16">
      <w:pPr>
        <w:spacing w:before="1" w:line="227" w:lineRule="auto"/>
        <w:rPr>
          <w:rFonts w:ascii="楷体" w:eastAsia="楷体" w:hAnsi="楷体" w:cs="楷体"/>
          <w:sz w:val="22"/>
          <w:szCs w:val="22"/>
        </w:rPr>
      </w:pPr>
      <w:r>
        <w:rPr>
          <w:rFonts w:ascii="楷体" w:eastAsia="楷体" w:hAnsi="楷体" w:cs="楷体"/>
          <w:spacing w:val="-7"/>
          <w:sz w:val="22"/>
          <w:szCs w:val="22"/>
        </w:rPr>
        <w:t>1)食物过敏</w:t>
      </w:r>
    </w:p>
    <w:p w:rsidR="00EA40A3" w:rsidRDefault="00E86C16">
      <w:pPr>
        <w:spacing w:before="10" w:line="250" w:lineRule="auto"/>
        <w:ind w:firstLine="419"/>
        <w:rPr>
          <w:rFonts w:ascii="宋体" w:eastAsia="宋体" w:hAnsi="宋体" w:cs="宋体"/>
          <w:sz w:val="22"/>
          <w:szCs w:val="22"/>
        </w:rPr>
      </w:pPr>
      <w:r>
        <w:rPr>
          <w:rFonts w:ascii="宋体" w:eastAsia="宋体" w:hAnsi="宋体" w:cs="宋体"/>
          <w:spacing w:val="-10"/>
          <w:sz w:val="22"/>
          <w:szCs w:val="22"/>
        </w:rPr>
        <w:t>食物过敏</w:t>
      </w:r>
      <w:r>
        <w:rPr>
          <w:rFonts w:ascii="宋体" w:eastAsia="宋体" w:hAnsi="宋体" w:cs="宋体"/>
          <w:spacing w:val="-5"/>
          <w:sz w:val="22"/>
          <w:szCs w:val="22"/>
        </w:rPr>
        <w:t xml:space="preserve"> </w:t>
      </w:r>
      <w:r>
        <w:rPr>
          <w:rFonts w:ascii="宋体" w:eastAsia="宋体" w:hAnsi="宋体" w:cs="宋体"/>
          <w:spacing w:val="-10"/>
          <w:sz w:val="22"/>
          <w:szCs w:val="22"/>
        </w:rPr>
        <w:t>(food</w:t>
      </w:r>
      <w:r>
        <w:rPr>
          <w:rFonts w:ascii="宋体" w:eastAsia="宋体" w:hAnsi="宋体" w:cs="宋体"/>
          <w:spacing w:val="-6"/>
          <w:sz w:val="22"/>
          <w:szCs w:val="22"/>
        </w:rPr>
        <w:t xml:space="preserve"> </w:t>
      </w:r>
      <w:r>
        <w:rPr>
          <w:rFonts w:ascii="宋体" w:eastAsia="宋体" w:hAnsi="宋体" w:cs="宋体"/>
          <w:spacing w:val="-10"/>
          <w:sz w:val="22"/>
          <w:szCs w:val="22"/>
        </w:rPr>
        <w:t>allergy)</w:t>
      </w:r>
      <w:r>
        <w:rPr>
          <w:rFonts w:ascii="宋体" w:eastAsia="宋体" w:hAnsi="宋体" w:cs="宋体"/>
          <w:spacing w:val="-42"/>
          <w:sz w:val="22"/>
          <w:szCs w:val="22"/>
        </w:rPr>
        <w:t xml:space="preserve"> </w:t>
      </w:r>
      <w:r>
        <w:rPr>
          <w:rFonts w:ascii="宋体" w:eastAsia="宋体" w:hAnsi="宋体" w:cs="宋体"/>
          <w:spacing w:val="-10"/>
          <w:sz w:val="22"/>
          <w:szCs w:val="22"/>
        </w:rPr>
        <w:t>是人体对食物和食物成分的异常免疫反应。过敏</w:t>
      </w:r>
      <w:r>
        <w:rPr>
          <w:rFonts w:ascii="宋体" w:eastAsia="宋体" w:hAnsi="宋体" w:cs="宋体"/>
          <w:sz w:val="22"/>
          <w:szCs w:val="22"/>
        </w:rPr>
        <w:t xml:space="preserve"> </w:t>
      </w:r>
      <w:r>
        <w:rPr>
          <w:rFonts w:ascii="宋体" w:eastAsia="宋体" w:hAnsi="宋体" w:cs="宋体"/>
          <w:spacing w:val="-7"/>
          <w:sz w:val="22"/>
          <w:szCs w:val="22"/>
        </w:rPr>
        <w:t>的发生与婴儿肠道黏膜屏障和免疫功能的成熟程度</w:t>
      </w:r>
      <w:r>
        <w:rPr>
          <w:rFonts w:ascii="宋体" w:eastAsia="宋体" w:hAnsi="宋体" w:cs="宋体"/>
          <w:spacing w:val="-8"/>
          <w:sz w:val="22"/>
          <w:szCs w:val="22"/>
        </w:rPr>
        <w:t>有关。婴儿期肠道发育不完</w:t>
      </w:r>
      <w:r>
        <w:rPr>
          <w:rFonts w:ascii="宋体" w:eastAsia="宋体" w:hAnsi="宋体" w:cs="宋体"/>
          <w:sz w:val="22"/>
          <w:szCs w:val="22"/>
        </w:rPr>
        <w:t xml:space="preserve">  </w:t>
      </w:r>
      <w:r>
        <w:rPr>
          <w:rFonts w:ascii="宋体" w:eastAsia="宋体" w:hAnsi="宋体" w:cs="宋体"/>
          <w:spacing w:val="-11"/>
          <w:sz w:val="22"/>
          <w:szCs w:val="22"/>
        </w:rPr>
        <w:t>善，消化大分子物质的能力和免疫机制不成熟，大分子物质在肠道通透性较高，</w:t>
      </w:r>
      <w:r>
        <w:rPr>
          <w:rFonts w:ascii="宋体" w:eastAsia="宋体" w:hAnsi="宋体" w:cs="宋体"/>
          <w:spacing w:val="13"/>
          <w:sz w:val="22"/>
          <w:szCs w:val="22"/>
        </w:rPr>
        <w:t xml:space="preserve"> </w:t>
      </w:r>
      <w:r>
        <w:rPr>
          <w:rFonts w:ascii="宋体" w:eastAsia="宋体" w:hAnsi="宋体" w:cs="宋体"/>
          <w:spacing w:val="-11"/>
          <w:sz w:val="22"/>
          <w:szCs w:val="22"/>
        </w:rPr>
        <w:t>食物中的抗原分子容易透过肠道进入体内，从而导致过敏发生。据报道，我国1</w:t>
      </w:r>
      <w:r>
        <w:rPr>
          <w:rFonts w:ascii="宋体" w:eastAsia="宋体" w:hAnsi="宋体" w:cs="宋体"/>
          <w:spacing w:val="7"/>
          <w:sz w:val="22"/>
          <w:szCs w:val="22"/>
        </w:rPr>
        <w:t xml:space="preserve">  </w:t>
      </w:r>
      <w:r>
        <w:rPr>
          <w:rFonts w:ascii="宋体" w:eastAsia="宋体" w:hAnsi="宋体" w:cs="宋体"/>
          <w:spacing w:val="-4"/>
          <w:sz w:val="22"/>
          <w:szCs w:val="22"/>
        </w:rPr>
        <w:t>岁以内婴儿食物过敏的发生率为6.1%,并呈上升趋势。导致婴儿食物过敏的食</w:t>
      </w:r>
      <w:r>
        <w:rPr>
          <w:rFonts w:ascii="宋体" w:eastAsia="宋体" w:hAnsi="宋体" w:cs="宋体"/>
          <w:spacing w:val="1"/>
          <w:sz w:val="22"/>
          <w:szCs w:val="22"/>
        </w:rPr>
        <w:t xml:space="preserve">  </w:t>
      </w:r>
      <w:r>
        <w:rPr>
          <w:rFonts w:ascii="宋体" w:eastAsia="宋体" w:hAnsi="宋体" w:cs="宋体"/>
          <w:spacing w:val="-8"/>
          <w:sz w:val="22"/>
          <w:szCs w:val="22"/>
        </w:rPr>
        <w:t>物主要有：牛奶、鸡蛋、鱼、甲壳动物(小虾、蟹)、花生等。婴儿食物过敏常</w:t>
      </w:r>
      <w:r>
        <w:rPr>
          <w:rFonts w:ascii="宋体" w:eastAsia="宋体" w:hAnsi="宋体" w:cs="宋体"/>
          <w:spacing w:val="5"/>
          <w:sz w:val="22"/>
          <w:szCs w:val="22"/>
        </w:rPr>
        <w:t xml:space="preserve">  </w:t>
      </w:r>
      <w:r>
        <w:rPr>
          <w:rFonts w:ascii="宋体" w:eastAsia="宋体" w:hAnsi="宋体" w:cs="宋体"/>
          <w:spacing w:val="-13"/>
          <w:sz w:val="22"/>
          <w:szCs w:val="22"/>
        </w:rPr>
        <w:t>见的症状有：皮疹、荨麻疹、腹泻、哮喘和湿</w:t>
      </w:r>
      <w:r>
        <w:rPr>
          <w:rFonts w:ascii="宋体" w:eastAsia="宋体" w:hAnsi="宋体" w:cs="宋体"/>
          <w:spacing w:val="-14"/>
          <w:sz w:val="22"/>
          <w:szCs w:val="22"/>
        </w:rPr>
        <w:t>疹。预防婴儿食物过敏的措施主要</w:t>
      </w:r>
      <w:r>
        <w:rPr>
          <w:rFonts w:ascii="宋体" w:eastAsia="宋体" w:hAnsi="宋体" w:cs="宋体"/>
          <w:sz w:val="22"/>
          <w:szCs w:val="22"/>
        </w:rPr>
        <w:t xml:space="preserve">  </w:t>
      </w:r>
      <w:r>
        <w:rPr>
          <w:rFonts w:ascii="宋体" w:eastAsia="宋体" w:hAnsi="宋体" w:cs="宋体"/>
          <w:spacing w:val="-4"/>
          <w:sz w:val="22"/>
          <w:szCs w:val="22"/>
        </w:rPr>
        <w:t>在于避免过敏原。对婴儿尤其是产生后4个月以内的婴儿最好完全采</w:t>
      </w:r>
      <w:r>
        <w:rPr>
          <w:rFonts w:ascii="宋体" w:eastAsia="宋体" w:hAnsi="宋体" w:cs="宋体"/>
          <w:spacing w:val="-5"/>
          <w:sz w:val="22"/>
          <w:szCs w:val="22"/>
        </w:rPr>
        <w:t>用母乳喂</w:t>
      </w:r>
      <w:r>
        <w:rPr>
          <w:rFonts w:ascii="宋体" w:eastAsia="宋体" w:hAnsi="宋体" w:cs="宋体"/>
          <w:sz w:val="22"/>
          <w:szCs w:val="22"/>
        </w:rPr>
        <w:t xml:space="preserve">  </w:t>
      </w:r>
      <w:r>
        <w:rPr>
          <w:rFonts w:ascii="宋体" w:eastAsia="宋体" w:hAnsi="宋体" w:cs="宋体"/>
          <w:spacing w:val="-12"/>
          <w:sz w:val="22"/>
          <w:szCs w:val="22"/>
        </w:rPr>
        <w:t>养，但有研究者认为母乳喂养只能够延迟IgE</w:t>
      </w:r>
      <w:r>
        <w:rPr>
          <w:rFonts w:ascii="宋体" w:eastAsia="宋体" w:hAnsi="宋体" w:cs="宋体"/>
          <w:spacing w:val="-38"/>
          <w:sz w:val="22"/>
          <w:szCs w:val="22"/>
        </w:rPr>
        <w:t xml:space="preserve"> </w:t>
      </w:r>
      <w:r>
        <w:rPr>
          <w:rFonts w:ascii="宋体" w:eastAsia="宋体" w:hAnsi="宋体" w:cs="宋体"/>
          <w:spacing w:val="-12"/>
          <w:sz w:val="22"/>
          <w:szCs w:val="22"/>
        </w:rPr>
        <w:t>介导食物过敏的发作，并不能预防</w:t>
      </w:r>
      <w:r>
        <w:rPr>
          <w:rFonts w:ascii="宋体" w:eastAsia="宋体" w:hAnsi="宋体" w:cs="宋体"/>
          <w:sz w:val="22"/>
          <w:szCs w:val="22"/>
        </w:rPr>
        <w:t xml:space="preserve">  </w:t>
      </w:r>
      <w:r>
        <w:rPr>
          <w:rFonts w:ascii="宋体" w:eastAsia="宋体" w:hAnsi="宋体" w:cs="宋体"/>
          <w:spacing w:val="-14"/>
          <w:sz w:val="22"/>
          <w:szCs w:val="22"/>
        </w:rPr>
        <w:t>其发生，因为，婴儿可能通过母乳中的致敏原而接触致敏食物，进而发生过敏反</w:t>
      </w:r>
      <w:r>
        <w:rPr>
          <w:rFonts w:ascii="宋体" w:eastAsia="宋体" w:hAnsi="宋体" w:cs="宋体"/>
          <w:spacing w:val="8"/>
          <w:sz w:val="22"/>
          <w:szCs w:val="22"/>
        </w:rPr>
        <w:t xml:space="preserve">  </w:t>
      </w:r>
      <w:r>
        <w:rPr>
          <w:rFonts w:ascii="宋体" w:eastAsia="宋体" w:hAnsi="宋体" w:cs="宋体"/>
          <w:spacing w:val="-14"/>
          <w:sz w:val="22"/>
          <w:szCs w:val="22"/>
        </w:rPr>
        <w:t>应。如果婴儿对鸡蛋敏感，则应从食物中取消鸡蛋，而对于奶类蛋白过敏者，可</w:t>
      </w:r>
      <w:r>
        <w:rPr>
          <w:rFonts w:ascii="宋体" w:eastAsia="宋体" w:hAnsi="宋体" w:cs="宋体"/>
          <w:spacing w:val="8"/>
          <w:sz w:val="22"/>
          <w:szCs w:val="22"/>
        </w:rPr>
        <w:t xml:space="preserve">  </w:t>
      </w:r>
      <w:r>
        <w:rPr>
          <w:rFonts w:ascii="宋体" w:eastAsia="宋体" w:hAnsi="宋体" w:cs="宋体"/>
          <w:spacing w:val="-13"/>
          <w:sz w:val="22"/>
          <w:szCs w:val="22"/>
        </w:rPr>
        <w:t>采用代用品如蛋白水解物、大豆乳等。但是，</w:t>
      </w:r>
      <w:r>
        <w:rPr>
          <w:rFonts w:ascii="宋体" w:eastAsia="宋体" w:hAnsi="宋体" w:cs="宋体"/>
          <w:spacing w:val="-14"/>
          <w:sz w:val="22"/>
          <w:szCs w:val="22"/>
        </w:rPr>
        <w:t>从营养角度考虑，鸡蛋和牛奶对婴</w:t>
      </w:r>
      <w:r>
        <w:rPr>
          <w:rFonts w:ascii="宋体" w:eastAsia="宋体" w:hAnsi="宋体" w:cs="宋体"/>
          <w:sz w:val="22"/>
          <w:szCs w:val="22"/>
        </w:rPr>
        <w:t xml:space="preserve">  </w:t>
      </w:r>
      <w:r>
        <w:rPr>
          <w:rFonts w:ascii="宋体" w:eastAsia="宋体" w:hAnsi="宋体" w:cs="宋体"/>
          <w:spacing w:val="-13"/>
          <w:sz w:val="22"/>
          <w:szCs w:val="22"/>
        </w:rPr>
        <w:t>儿的营养状态非常重要，有专家建议采用微生态制剂减轻致敏原致敏的可能。另</w:t>
      </w:r>
      <w:r>
        <w:rPr>
          <w:rFonts w:ascii="宋体" w:eastAsia="宋体" w:hAnsi="宋体" w:cs="宋体"/>
          <w:sz w:val="22"/>
          <w:szCs w:val="22"/>
        </w:rPr>
        <w:t xml:space="preserve"> </w:t>
      </w:r>
      <w:r>
        <w:rPr>
          <w:rFonts w:ascii="宋体" w:eastAsia="宋体" w:hAnsi="宋体" w:cs="宋体"/>
          <w:spacing w:val="-14"/>
          <w:sz w:val="22"/>
          <w:szCs w:val="22"/>
        </w:rPr>
        <w:t>外，有研究发现，采用双歧杆菌和乳酸杆菌等益生菌制剂调节婴儿肠道免疫</w:t>
      </w:r>
      <w:r>
        <w:rPr>
          <w:rFonts w:ascii="宋体" w:eastAsia="宋体" w:hAnsi="宋体" w:cs="宋体"/>
          <w:spacing w:val="-15"/>
          <w:sz w:val="22"/>
          <w:szCs w:val="22"/>
        </w:rPr>
        <w:t>，可</w:t>
      </w:r>
      <w:r>
        <w:rPr>
          <w:rFonts w:ascii="宋体" w:eastAsia="宋体" w:hAnsi="宋体" w:cs="宋体"/>
          <w:sz w:val="22"/>
          <w:szCs w:val="22"/>
        </w:rPr>
        <w:t xml:space="preserve">  </w:t>
      </w:r>
      <w:r>
        <w:rPr>
          <w:rFonts w:ascii="宋体" w:eastAsia="宋体" w:hAnsi="宋体" w:cs="宋体"/>
          <w:spacing w:val="-14"/>
          <w:sz w:val="22"/>
          <w:szCs w:val="22"/>
        </w:rPr>
        <w:t>减轻食物过敏时肠道的炎症反应，增加肠道屏障功能，预防肠道过敏反应。</w:t>
      </w:r>
    </w:p>
    <w:p w:rsidR="00EA40A3" w:rsidRDefault="00E86C16">
      <w:pPr>
        <w:spacing w:before="39" w:line="220" w:lineRule="auto"/>
        <w:rPr>
          <w:rFonts w:ascii="宋体" w:eastAsia="宋体" w:hAnsi="宋体" w:cs="宋体"/>
          <w:sz w:val="22"/>
          <w:szCs w:val="22"/>
        </w:rPr>
      </w:pPr>
      <w:r>
        <w:rPr>
          <w:rFonts w:ascii="宋体" w:eastAsia="宋体" w:hAnsi="宋体" w:cs="宋体"/>
          <w:spacing w:val="-7"/>
          <w:sz w:val="22"/>
          <w:szCs w:val="22"/>
        </w:rPr>
        <w:t>2)食物不耐受</w:t>
      </w:r>
    </w:p>
    <w:p w:rsidR="00EA40A3" w:rsidRDefault="00E86C16">
      <w:pPr>
        <w:spacing w:before="88" w:line="248" w:lineRule="auto"/>
        <w:ind w:right="50" w:firstLine="419"/>
        <w:jc w:val="both"/>
        <w:rPr>
          <w:rFonts w:ascii="宋体" w:eastAsia="宋体" w:hAnsi="宋体" w:cs="宋体"/>
          <w:sz w:val="22"/>
          <w:szCs w:val="22"/>
        </w:rPr>
      </w:pPr>
      <w:r>
        <w:rPr>
          <w:rFonts w:ascii="宋体" w:eastAsia="宋体" w:hAnsi="宋体" w:cs="宋体"/>
          <w:spacing w:val="-14"/>
          <w:sz w:val="22"/>
          <w:szCs w:val="22"/>
        </w:rPr>
        <w:t>食物不耐受是指由于先天性缺陷或后天营养不良、疾病引起的对某些食物或</w:t>
      </w:r>
      <w:r>
        <w:rPr>
          <w:rFonts w:ascii="宋体" w:eastAsia="宋体" w:hAnsi="宋体" w:cs="宋体"/>
          <w:spacing w:val="10"/>
          <w:sz w:val="22"/>
          <w:szCs w:val="22"/>
        </w:rPr>
        <w:t xml:space="preserve"> </w:t>
      </w:r>
      <w:r>
        <w:rPr>
          <w:rFonts w:ascii="宋体" w:eastAsia="宋体" w:hAnsi="宋体" w:cs="宋体"/>
          <w:spacing w:val="-1"/>
          <w:sz w:val="22"/>
          <w:szCs w:val="22"/>
        </w:rPr>
        <w:t>食物成分耐受不良。它并不涉及免疫系统的异常反应，如婴儿的乳糖不耐症</w:t>
      </w:r>
      <w:r>
        <w:rPr>
          <w:rFonts w:ascii="宋体" w:eastAsia="宋体" w:hAnsi="宋体" w:cs="宋体"/>
          <w:spacing w:val="3"/>
          <w:sz w:val="22"/>
          <w:szCs w:val="22"/>
        </w:rPr>
        <w:t xml:space="preserve"> </w:t>
      </w:r>
      <w:r>
        <w:rPr>
          <w:rFonts w:ascii="宋体" w:eastAsia="宋体" w:hAnsi="宋体" w:cs="宋体"/>
          <w:spacing w:val="-16"/>
          <w:sz w:val="22"/>
          <w:szCs w:val="22"/>
        </w:rPr>
        <w:t>(lactose</w:t>
      </w:r>
      <w:r>
        <w:rPr>
          <w:rFonts w:ascii="宋体" w:eastAsia="宋体" w:hAnsi="宋体" w:cs="宋体"/>
          <w:spacing w:val="5"/>
          <w:sz w:val="22"/>
          <w:szCs w:val="22"/>
        </w:rPr>
        <w:t xml:space="preserve"> </w:t>
      </w:r>
      <w:r>
        <w:rPr>
          <w:rFonts w:ascii="宋体" w:eastAsia="宋体" w:hAnsi="宋体" w:cs="宋体"/>
          <w:spacing w:val="-16"/>
          <w:sz w:val="22"/>
          <w:szCs w:val="22"/>
        </w:rPr>
        <w:t>intolerance,LI)。</w:t>
      </w:r>
      <w:r>
        <w:rPr>
          <w:rFonts w:ascii="宋体" w:eastAsia="宋体" w:hAnsi="宋体" w:cs="宋体"/>
          <w:spacing w:val="-37"/>
          <w:sz w:val="22"/>
          <w:szCs w:val="22"/>
        </w:rPr>
        <w:t xml:space="preserve"> </w:t>
      </w:r>
      <w:r>
        <w:rPr>
          <w:rFonts w:ascii="宋体" w:eastAsia="宋体" w:hAnsi="宋体" w:cs="宋体"/>
          <w:spacing w:val="-16"/>
          <w:sz w:val="22"/>
          <w:szCs w:val="22"/>
        </w:rPr>
        <w:t>当体内乳糖</w:t>
      </w:r>
      <w:r>
        <w:rPr>
          <w:rFonts w:ascii="宋体" w:eastAsia="宋体" w:hAnsi="宋体" w:cs="宋体"/>
          <w:spacing w:val="-17"/>
          <w:sz w:val="22"/>
          <w:szCs w:val="22"/>
        </w:rPr>
        <w:t>酶缺乏或活性降低时，乳糖的消化吸收发</w:t>
      </w:r>
      <w:r>
        <w:rPr>
          <w:rFonts w:ascii="宋体" w:eastAsia="宋体" w:hAnsi="宋体" w:cs="宋体"/>
          <w:sz w:val="22"/>
          <w:szCs w:val="22"/>
        </w:rPr>
        <w:t xml:space="preserve"> </w:t>
      </w:r>
      <w:r>
        <w:rPr>
          <w:rFonts w:ascii="宋体" w:eastAsia="宋体" w:hAnsi="宋体" w:cs="宋体"/>
          <w:spacing w:val="-13"/>
          <w:sz w:val="22"/>
          <w:szCs w:val="22"/>
        </w:rPr>
        <w:t>生障碍，可导致腹泻、腹痛、腹胀、腹部不适及肠鸣</w:t>
      </w:r>
      <w:r>
        <w:rPr>
          <w:rFonts w:ascii="宋体" w:eastAsia="宋体" w:hAnsi="宋体" w:cs="宋体"/>
          <w:spacing w:val="-14"/>
          <w:sz w:val="22"/>
          <w:szCs w:val="22"/>
        </w:rPr>
        <w:t>等症状，即乳糖不耐症。导</w:t>
      </w:r>
      <w:r>
        <w:rPr>
          <w:rFonts w:ascii="宋体" w:eastAsia="宋体" w:hAnsi="宋体" w:cs="宋体"/>
          <w:sz w:val="22"/>
          <w:szCs w:val="22"/>
        </w:rPr>
        <w:t xml:space="preserve"> </w:t>
      </w:r>
      <w:r>
        <w:rPr>
          <w:rFonts w:ascii="宋体" w:eastAsia="宋体" w:hAnsi="宋体" w:cs="宋体"/>
          <w:spacing w:val="-13"/>
          <w:sz w:val="22"/>
          <w:szCs w:val="22"/>
        </w:rPr>
        <w:t>致婴儿乳糖不耐症的因素很多。遗传因素可引</w:t>
      </w:r>
      <w:r>
        <w:rPr>
          <w:rFonts w:ascii="宋体" w:eastAsia="宋体" w:hAnsi="宋体" w:cs="宋体"/>
          <w:spacing w:val="-14"/>
          <w:sz w:val="22"/>
          <w:szCs w:val="22"/>
        </w:rPr>
        <w:t>起婴儿先天性乳糖酶基因缺陷；婴</w:t>
      </w:r>
      <w:r>
        <w:rPr>
          <w:rFonts w:ascii="宋体" w:eastAsia="宋体" w:hAnsi="宋体" w:cs="宋体"/>
          <w:sz w:val="22"/>
          <w:szCs w:val="22"/>
        </w:rPr>
        <w:t xml:space="preserve"> </w:t>
      </w:r>
      <w:r>
        <w:rPr>
          <w:rFonts w:ascii="宋体" w:eastAsia="宋体" w:hAnsi="宋体" w:cs="宋体"/>
          <w:spacing w:val="-13"/>
          <w:sz w:val="22"/>
          <w:szCs w:val="22"/>
        </w:rPr>
        <w:t>儿营养不良或胃肠炎可造成乳糖酶活性降低或</w:t>
      </w:r>
      <w:r>
        <w:rPr>
          <w:rFonts w:ascii="宋体" w:eastAsia="宋体" w:hAnsi="宋体" w:cs="宋体"/>
          <w:spacing w:val="-14"/>
          <w:sz w:val="22"/>
          <w:szCs w:val="22"/>
        </w:rPr>
        <w:t>缺乏，引起婴儿继发性乳糖不耐症</w:t>
      </w:r>
      <w:r>
        <w:rPr>
          <w:rFonts w:ascii="宋体" w:eastAsia="宋体" w:hAnsi="宋体" w:cs="宋体"/>
          <w:sz w:val="22"/>
          <w:szCs w:val="22"/>
        </w:rPr>
        <w:t xml:space="preserve"> </w:t>
      </w:r>
      <w:r>
        <w:rPr>
          <w:rFonts w:ascii="宋体" w:eastAsia="宋体" w:hAnsi="宋体" w:cs="宋体"/>
          <w:spacing w:val="-16"/>
          <w:sz w:val="22"/>
          <w:szCs w:val="22"/>
        </w:rPr>
        <w:t>(secondary</w:t>
      </w:r>
      <w:r>
        <w:rPr>
          <w:rFonts w:ascii="宋体" w:eastAsia="宋体" w:hAnsi="宋体" w:cs="宋体"/>
          <w:spacing w:val="14"/>
          <w:sz w:val="22"/>
          <w:szCs w:val="22"/>
        </w:rPr>
        <w:t xml:space="preserve"> </w:t>
      </w:r>
      <w:r>
        <w:rPr>
          <w:rFonts w:ascii="宋体" w:eastAsia="宋体" w:hAnsi="宋体" w:cs="宋体"/>
          <w:spacing w:val="-16"/>
          <w:sz w:val="22"/>
          <w:szCs w:val="22"/>
        </w:rPr>
        <w:t>lactose</w:t>
      </w:r>
      <w:r>
        <w:rPr>
          <w:rFonts w:ascii="宋体" w:eastAsia="宋体" w:hAnsi="宋体" w:cs="宋体"/>
          <w:spacing w:val="5"/>
          <w:sz w:val="22"/>
          <w:szCs w:val="22"/>
        </w:rPr>
        <w:t xml:space="preserve"> </w:t>
      </w:r>
      <w:r>
        <w:rPr>
          <w:rFonts w:ascii="宋体" w:eastAsia="宋体" w:hAnsi="宋体" w:cs="宋体"/>
          <w:spacing w:val="-16"/>
          <w:sz w:val="22"/>
          <w:szCs w:val="22"/>
        </w:rPr>
        <w:t>intolerance,SLI)。</w:t>
      </w:r>
      <w:r>
        <w:rPr>
          <w:rFonts w:ascii="宋体" w:eastAsia="宋体" w:hAnsi="宋体" w:cs="宋体"/>
          <w:spacing w:val="-46"/>
          <w:sz w:val="22"/>
          <w:szCs w:val="22"/>
        </w:rPr>
        <w:t xml:space="preserve"> </w:t>
      </w:r>
      <w:r>
        <w:rPr>
          <w:rFonts w:ascii="宋体" w:eastAsia="宋体" w:hAnsi="宋体" w:cs="宋体"/>
          <w:spacing w:val="-16"/>
          <w:sz w:val="22"/>
          <w:szCs w:val="22"/>
        </w:rPr>
        <w:t>还有研究证明，因受轮状病毒</w:t>
      </w:r>
      <w:r>
        <w:rPr>
          <w:rFonts w:ascii="宋体" w:eastAsia="宋体" w:hAnsi="宋体" w:cs="宋体"/>
          <w:spacing w:val="8"/>
          <w:sz w:val="22"/>
          <w:szCs w:val="22"/>
        </w:rPr>
        <w:t xml:space="preserve"> </w:t>
      </w:r>
      <w:r>
        <w:rPr>
          <w:rFonts w:ascii="宋体" w:eastAsia="宋体" w:hAnsi="宋体" w:cs="宋体"/>
          <w:spacing w:val="-16"/>
          <w:sz w:val="22"/>
          <w:szCs w:val="22"/>
        </w:rPr>
        <w:t>(rotavir-</w:t>
      </w:r>
      <w:r>
        <w:rPr>
          <w:rFonts w:ascii="宋体" w:eastAsia="宋体" w:hAnsi="宋体" w:cs="宋体"/>
          <w:sz w:val="22"/>
          <w:szCs w:val="22"/>
        </w:rPr>
        <w:t xml:space="preserve"> </w:t>
      </w:r>
      <w:r>
        <w:rPr>
          <w:rFonts w:ascii="宋体" w:eastAsia="宋体" w:hAnsi="宋体" w:cs="宋体"/>
          <w:spacing w:val="-1"/>
          <w:sz w:val="22"/>
          <w:szCs w:val="22"/>
        </w:rPr>
        <w:t>us,RV)</w:t>
      </w:r>
      <w:r>
        <w:rPr>
          <w:rFonts w:ascii="宋体" w:eastAsia="宋体" w:hAnsi="宋体" w:cs="宋体"/>
          <w:spacing w:val="15"/>
          <w:sz w:val="22"/>
          <w:szCs w:val="22"/>
        </w:rPr>
        <w:t xml:space="preserve">  </w:t>
      </w:r>
      <w:r>
        <w:rPr>
          <w:rFonts w:ascii="宋体" w:eastAsia="宋体" w:hAnsi="宋体" w:cs="宋体"/>
          <w:spacing w:val="-1"/>
          <w:sz w:val="22"/>
          <w:szCs w:val="22"/>
        </w:rPr>
        <w:t>感染，患RV</w:t>
      </w:r>
      <w:r>
        <w:rPr>
          <w:rFonts w:ascii="宋体" w:eastAsia="宋体" w:hAnsi="宋体" w:cs="宋体"/>
          <w:spacing w:val="37"/>
          <w:sz w:val="22"/>
          <w:szCs w:val="22"/>
        </w:rPr>
        <w:t xml:space="preserve"> </w:t>
      </w:r>
      <w:r>
        <w:rPr>
          <w:rFonts w:ascii="宋体" w:eastAsia="宋体" w:hAnsi="宋体" w:cs="宋体"/>
          <w:spacing w:val="-1"/>
          <w:sz w:val="22"/>
          <w:szCs w:val="22"/>
        </w:rPr>
        <w:t>肠炎的6个月～1岁婴儿容易引发SLI,</w:t>
      </w:r>
      <w:r>
        <w:rPr>
          <w:rFonts w:ascii="宋体" w:eastAsia="宋体" w:hAnsi="宋体" w:cs="宋体"/>
          <w:spacing w:val="-11"/>
          <w:sz w:val="22"/>
          <w:szCs w:val="22"/>
        </w:rPr>
        <w:t xml:space="preserve"> </w:t>
      </w:r>
      <w:r>
        <w:rPr>
          <w:rFonts w:ascii="宋体" w:eastAsia="宋体" w:hAnsi="宋体" w:cs="宋体"/>
          <w:spacing w:val="-1"/>
          <w:sz w:val="22"/>
          <w:szCs w:val="22"/>
        </w:rPr>
        <w:t>并且年龄越小，</w:t>
      </w:r>
      <w:r>
        <w:rPr>
          <w:rFonts w:ascii="宋体" w:eastAsia="宋体" w:hAnsi="宋体" w:cs="宋体"/>
          <w:sz w:val="22"/>
          <w:szCs w:val="22"/>
        </w:rPr>
        <w:t xml:space="preserve"> </w:t>
      </w:r>
      <w:r>
        <w:rPr>
          <w:rFonts w:ascii="宋体" w:eastAsia="宋体" w:hAnsi="宋体" w:cs="宋体"/>
          <w:spacing w:val="-20"/>
          <w:sz w:val="22"/>
          <w:szCs w:val="22"/>
        </w:rPr>
        <w:t>患病率越高。</w:t>
      </w:r>
    </w:p>
    <w:p w:rsidR="00EA40A3" w:rsidRDefault="00E86C16">
      <w:pPr>
        <w:spacing w:before="217" w:line="222" w:lineRule="auto"/>
        <w:rPr>
          <w:rFonts w:ascii="仿宋" w:eastAsia="仿宋" w:hAnsi="仿宋" w:cs="仿宋"/>
          <w:sz w:val="22"/>
          <w:szCs w:val="22"/>
        </w:rPr>
      </w:pPr>
      <w:r>
        <w:rPr>
          <w:rFonts w:ascii="仿宋" w:eastAsia="仿宋" w:hAnsi="仿宋" w:cs="仿宋"/>
          <w:spacing w:val="8"/>
          <w:sz w:val="22"/>
          <w:szCs w:val="22"/>
        </w:rPr>
        <w:t>2.</w:t>
      </w:r>
      <w:r>
        <w:rPr>
          <w:rFonts w:ascii="仿宋" w:eastAsia="仿宋" w:hAnsi="仿宋" w:cs="仿宋"/>
          <w:spacing w:val="-20"/>
          <w:sz w:val="22"/>
          <w:szCs w:val="22"/>
        </w:rPr>
        <w:t xml:space="preserve"> </w:t>
      </w:r>
      <w:r>
        <w:rPr>
          <w:rFonts w:ascii="仿宋" w:eastAsia="仿宋" w:hAnsi="仿宋" w:cs="仿宋"/>
          <w:spacing w:val="8"/>
          <w:sz w:val="22"/>
          <w:szCs w:val="22"/>
        </w:rPr>
        <w:t>佝偻病</w:t>
      </w:r>
    </w:p>
    <w:p w:rsidR="00EA40A3" w:rsidRDefault="00E86C16">
      <w:pPr>
        <w:spacing w:before="196" w:line="243" w:lineRule="auto"/>
        <w:ind w:right="79" w:firstLine="419"/>
        <w:jc w:val="both"/>
        <w:rPr>
          <w:rFonts w:ascii="宋体" w:eastAsia="宋体" w:hAnsi="宋体" w:cs="宋体"/>
          <w:sz w:val="22"/>
          <w:szCs w:val="22"/>
        </w:rPr>
      </w:pPr>
      <w:r>
        <w:rPr>
          <w:rFonts w:ascii="宋体" w:eastAsia="宋体" w:hAnsi="宋体" w:cs="宋体"/>
          <w:spacing w:val="-10"/>
          <w:sz w:val="22"/>
          <w:szCs w:val="22"/>
        </w:rPr>
        <w:t>佝偻病</w:t>
      </w:r>
      <w:r>
        <w:rPr>
          <w:rFonts w:ascii="宋体" w:eastAsia="宋体" w:hAnsi="宋体" w:cs="宋体"/>
          <w:spacing w:val="-8"/>
          <w:sz w:val="22"/>
          <w:szCs w:val="22"/>
        </w:rPr>
        <w:t xml:space="preserve"> </w:t>
      </w:r>
      <w:r>
        <w:rPr>
          <w:rFonts w:ascii="宋体" w:eastAsia="宋体" w:hAnsi="宋体" w:cs="宋体"/>
          <w:spacing w:val="-10"/>
          <w:sz w:val="22"/>
          <w:szCs w:val="22"/>
        </w:rPr>
        <w:t>(rickets)</w:t>
      </w:r>
      <w:r>
        <w:rPr>
          <w:rFonts w:ascii="宋体" w:eastAsia="宋体" w:hAnsi="宋体" w:cs="宋体"/>
          <w:spacing w:val="-43"/>
          <w:sz w:val="22"/>
          <w:szCs w:val="22"/>
        </w:rPr>
        <w:t xml:space="preserve"> </w:t>
      </w:r>
      <w:r>
        <w:rPr>
          <w:rFonts w:ascii="宋体" w:eastAsia="宋体" w:hAnsi="宋体" w:cs="宋体"/>
          <w:spacing w:val="-10"/>
          <w:sz w:val="22"/>
          <w:szCs w:val="22"/>
        </w:rPr>
        <w:t>是婴幼儿常见的一种营养缺乏病，以3～18个月婴幼儿最</w:t>
      </w:r>
      <w:r>
        <w:rPr>
          <w:rFonts w:ascii="宋体" w:eastAsia="宋体" w:hAnsi="宋体" w:cs="宋体"/>
          <w:sz w:val="22"/>
          <w:szCs w:val="22"/>
        </w:rPr>
        <w:t xml:space="preserve"> </w:t>
      </w:r>
      <w:r>
        <w:rPr>
          <w:rFonts w:ascii="宋体" w:eastAsia="宋体" w:hAnsi="宋体" w:cs="宋体"/>
          <w:spacing w:val="-3"/>
          <w:sz w:val="22"/>
          <w:szCs w:val="22"/>
        </w:rPr>
        <w:t>多见，主要由缺乏维生素D</w:t>
      </w:r>
      <w:r>
        <w:rPr>
          <w:rFonts w:ascii="宋体" w:eastAsia="宋体" w:hAnsi="宋体" w:cs="宋体"/>
          <w:spacing w:val="-26"/>
          <w:sz w:val="22"/>
          <w:szCs w:val="22"/>
        </w:rPr>
        <w:t xml:space="preserve"> </w:t>
      </w:r>
      <w:r>
        <w:rPr>
          <w:rFonts w:ascii="宋体" w:eastAsia="宋体" w:hAnsi="宋体" w:cs="宋体"/>
          <w:spacing w:val="-3"/>
          <w:sz w:val="22"/>
          <w:szCs w:val="22"/>
        </w:rPr>
        <w:t>及钙、磷代谢紊乱所引起</w:t>
      </w:r>
      <w:r>
        <w:rPr>
          <w:rFonts w:ascii="宋体" w:eastAsia="宋体" w:hAnsi="宋体" w:cs="宋体"/>
          <w:spacing w:val="-4"/>
          <w:sz w:val="22"/>
          <w:szCs w:val="22"/>
        </w:rPr>
        <w:t>。日光照射不足(缺少户</w:t>
      </w:r>
      <w:r>
        <w:rPr>
          <w:rFonts w:ascii="宋体" w:eastAsia="宋体" w:hAnsi="宋体" w:cs="宋体"/>
          <w:sz w:val="22"/>
          <w:szCs w:val="22"/>
        </w:rPr>
        <w:t xml:space="preserve"> </w:t>
      </w:r>
      <w:r>
        <w:rPr>
          <w:rFonts w:ascii="宋体" w:eastAsia="宋体" w:hAnsi="宋体" w:cs="宋体"/>
          <w:spacing w:val="-10"/>
          <w:sz w:val="22"/>
          <w:szCs w:val="22"/>
        </w:rPr>
        <w:t>外活动)也会使佝偻病的发病率增高。佝偻病患儿体质虚弱，易合并肺炎、心肌</w:t>
      </w:r>
      <w:r>
        <w:rPr>
          <w:rFonts w:ascii="宋体" w:eastAsia="宋体" w:hAnsi="宋体" w:cs="宋体"/>
          <w:spacing w:val="6"/>
          <w:sz w:val="22"/>
          <w:szCs w:val="22"/>
        </w:rPr>
        <w:t xml:space="preserve"> </w:t>
      </w:r>
      <w:r>
        <w:rPr>
          <w:rFonts w:ascii="宋体" w:eastAsia="宋体" w:hAnsi="宋体" w:cs="宋体"/>
          <w:spacing w:val="-13"/>
          <w:sz w:val="22"/>
          <w:szCs w:val="22"/>
        </w:rPr>
        <w:t>炎、腹泻等疾病，是婴幼儿需要重点防止的疾病之一。添加鱼肝油是</w:t>
      </w:r>
      <w:r>
        <w:rPr>
          <w:rFonts w:ascii="宋体" w:eastAsia="宋体" w:hAnsi="宋体" w:cs="宋体"/>
          <w:spacing w:val="-14"/>
          <w:sz w:val="22"/>
          <w:szCs w:val="22"/>
        </w:rPr>
        <w:t>预防佝偻病</w:t>
      </w:r>
      <w:r>
        <w:rPr>
          <w:rFonts w:ascii="宋体" w:eastAsia="宋体" w:hAnsi="宋体" w:cs="宋体"/>
          <w:sz w:val="22"/>
          <w:szCs w:val="22"/>
        </w:rPr>
        <w:t xml:space="preserve"> </w:t>
      </w:r>
      <w:r>
        <w:rPr>
          <w:rFonts w:ascii="宋体" w:eastAsia="宋体" w:hAnsi="宋体" w:cs="宋体"/>
          <w:spacing w:val="-6"/>
          <w:sz w:val="22"/>
          <w:szCs w:val="22"/>
        </w:rPr>
        <w:t>的有效措施。注意每天维生素D 的摄入量以10μg(40</w:t>
      </w:r>
      <w:r>
        <w:rPr>
          <w:rFonts w:ascii="宋体" w:eastAsia="宋体" w:hAnsi="宋体" w:cs="宋体"/>
          <w:spacing w:val="-7"/>
          <w:sz w:val="22"/>
          <w:szCs w:val="22"/>
        </w:rPr>
        <w:t>0</w:t>
      </w:r>
      <w:r>
        <w:rPr>
          <w:rFonts w:ascii="宋体" w:eastAsia="宋体" w:hAnsi="宋体" w:cs="宋体"/>
          <w:spacing w:val="-6"/>
          <w:sz w:val="22"/>
          <w:szCs w:val="22"/>
        </w:rPr>
        <w:t>IU</w:t>
      </w:r>
      <w:r>
        <w:rPr>
          <w:rFonts w:ascii="宋体" w:eastAsia="宋体" w:hAnsi="宋体" w:cs="宋体"/>
          <w:spacing w:val="-7"/>
          <w:sz w:val="22"/>
          <w:szCs w:val="22"/>
        </w:rPr>
        <w:t>)</w:t>
      </w:r>
      <w:r>
        <w:rPr>
          <w:rFonts w:ascii="宋体" w:eastAsia="宋体" w:hAnsi="宋体" w:cs="宋体"/>
          <w:spacing w:val="1"/>
          <w:sz w:val="22"/>
          <w:szCs w:val="22"/>
        </w:rPr>
        <w:t xml:space="preserve">  </w:t>
      </w:r>
      <w:r>
        <w:rPr>
          <w:rFonts w:ascii="宋体" w:eastAsia="宋体" w:hAnsi="宋体" w:cs="宋体"/>
          <w:spacing w:val="-7"/>
          <w:sz w:val="22"/>
          <w:szCs w:val="22"/>
        </w:rPr>
        <w:t>为宜。同时，应注</w:t>
      </w:r>
    </w:p>
    <w:p w:rsidR="00EA40A3" w:rsidRDefault="00E86C16">
      <w:pPr>
        <w:spacing w:before="78"/>
        <w:ind w:left="139"/>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3"/>
          <w:sz w:val="17"/>
          <w:szCs w:val="17"/>
        </w:rPr>
        <w:t xml:space="preserve"> </w:t>
      </w:r>
      <w:r>
        <w:rPr>
          <w:rFonts w:ascii="宋体" w:eastAsia="宋体" w:hAnsi="宋体" w:cs="宋体"/>
          <w:spacing w:val="-23"/>
          <w:sz w:val="17"/>
          <w:szCs w:val="17"/>
        </w:rPr>
        <w:t>320</w:t>
      </w:r>
      <w:r>
        <w:rPr>
          <w:rFonts w:ascii="宋体" w:eastAsia="宋体" w:hAnsi="宋体" w:cs="宋体"/>
          <w:spacing w:val="50"/>
          <w:sz w:val="17"/>
          <w:szCs w:val="17"/>
        </w:rPr>
        <w:t xml:space="preserve"> </w:t>
      </w:r>
      <w:r>
        <w:rPr>
          <w:rFonts w:ascii="宋体" w:eastAsia="宋体" w:hAnsi="宋体" w:cs="宋体"/>
          <w:spacing w:val="-23"/>
          <w:sz w:val="17"/>
          <w:szCs w:val="17"/>
        </w:rPr>
        <w:t>·</w:t>
      </w:r>
    </w:p>
    <w:p w:rsidR="00EA40A3" w:rsidRDefault="00EA40A3">
      <w:pPr>
        <w:sectPr w:rsidR="00EA40A3">
          <w:footerReference w:type="default" r:id="rId269"/>
          <w:pgSz w:w="9220" w:h="13360"/>
          <w:pgMar w:top="400" w:right="1050" w:bottom="400" w:left="840" w:header="0" w:footer="0" w:gutter="0"/>
          <w:cols w:space="720"/>
        </w:sectPr>
      </w:pPr>
    </w:p>
    <w:p w:rsidR="00EA40A3" w:rsidRDefault="00EA40A3">
      <w:pPr>
        <w:spacing w:line="321" w:lineRule="auto"/>
      </w:pPr>
    </w:p>
    <w:p w:rsidR="00EA40A3" w:rsidRDefault="00EA40A3">
      <w:pPr>
        <w:spacing w:line="322" w:lineRule="auto"/>
      </w:pPr>
    </w:p>
    <w:p w:rsidR="00EA40A3" w:rsidRDefault="00E86C16">
      <w:pPr>
        <w:spacing w:before="72" w:line="239" w:lineRule="auto"/>
        <w:jc w:val="both"/>
        <w:rPr>
          <w:rFonts w:ascii="宋体" w:eastAsia="宋体" w:hAnsi="宋体" w:cs="宋体"/>
          <w:sz w:val="22"/>
          <w:szCs w:val="22"/>
        </w:rPr>
      </w:pPr>
      <w:r>
        <w:rPr>
          <w:rFonts w:ascii="宋体" w:eastAsia="宋体" w:hAnsi="宋体" w:cs="宋体"/>
          <w:spacing w:val="-6"/>
          <w:sz w:val="22"/>
          <w:szCs w:val="22"/>
        </w:rPr>
        <w:t>意钙质的补充，其中牛乳是最理想的食物来源，可食用强化维生素</w:t>
      </w:r>
      <w:r>
        <w:rPr>
          <w:rFonts w:ascii="宋体" w:eastAsia="宋体" w:hAnsi="宋体" w:cs="宋体"/>
          <w:spacing w:val="-60"/>
          <w:sz w:val="22"/>
          <w:szCs w:val="22"/>
        </w:rPr>
        <w:t xml:space="preserve"> </w:t>
      </w:r>
      <w:r>
        <w:rPr>
          <w:rFonts w:ascii="宋体" w:eastAsia="宋体" w:hAnsi="宋体" w:cs="宋体"/>
          <w:spacing w:val="-6"/>
          <w:sz w:val="22"/>
          <w:szCs w:val="22"/>
        </w:rPr>
        <w:t>D</w:t>
      </w:r>
      <w:r>
        <w:rPr>
          <w:rFonts w:ascii="宋体" w:eastAsia="宋体" w:hAnsi="宋体" w:cs="宋体"/>
          <w:spacing w:val="4"/>
          <w:sz w:val="22"/>
          <w:szCs w:val="22"/>
        </w:rPr>
        <w:t xml:space="preserve"> </w:t>
      </w:r>
      <w:r>
        <w:rPr>
          <w:rFonts w:ascii="宋体" w:eastAsia="宋体" w:hAnsi="宋体" w:cs="宋体"/>
          <w:spacing w:val="-6"/>
          <w:sz w:val="22"/>
          <w:szCs w:val="22"/>
        </w:rPr>
        <w:t>的牛乳。</w:t>
      </w:r>
      <w:r>
        <w:rPr>
          <w:rFonts w:ascii="宋体" w:eastAsia="宋体" w:hAnsi="宋体" w:cs="宋体"/>
          <w:sz w:val="22"/>
          <w:szCs w:val="22"/>
        </w:rPr>
        <w:t xml:space="preserve"> </w:t>
      </w:r>
      <w:r>
        <w:rPr>
          <w:rFonts w:ascii="宋体" w:eastAsia="宋体" w:hAnsi="宋体" w:cs="宋体"/>
          <w:spacing w:val="-6"/>
          <w:sz w:val="22"/>
          <w:szCs w:val="22"/>
        </w:rPr>
        <w:t>辅食添加时可多选用含维生素D 丰富的食物，如动物肝脏、鱼卵、</w:t>
      </w:r>
      <w:r>
        <w:rPr>
          <w:rFonts w:ascii="宋体" w:eastAsia="宋体" w:hAnsi="宋体" w:cs="宋体"/>
          <w:spacing w:val="-7"/>
          <w:sz w:val="22"/>
          <w:szCs w:val="22"/>
        </w:rPr>
        <w:t>蛋黄等。另</w:t>
      </w:r>
      <w:r>
        <w:rPr>
          <w:rFonts w:ascii="宋体" w:eastAsia="宋体" w:hAnsi="宋体" w:cs="宋体"/>
          <w:sz w:val="22"/>
          <w:szCs w:val="22"/>
        </w:rPr>
        <w:t xml:space="preserve"> </w:t>
      </w:r>
      <w:r>
        <w:rPr>
          <w:rFonts w:ascii="宋体" w:eastAsia="宋体" w:hAnsi="宋体" w:cs="宋体"/>
          <w:spacing w:val="-10"/>
          <w:sz w:val="22"/>
          <w:szCs w:val="22"/>
        </w:rPr>
        <w:t>外，应适当晒太阳以增加皮下产生的维生素D,</w:t>
      </w:r>
      <w:r>
        <w:rPr>
          <w:rFonts w:ascii="宋体" w:eastAsia="宋体" w:hAnsi="宋体" w:cs="宋体"/>
          <w:spacing w:val="49"/>
          <w:sz w:val="22"/>
          <w:szCs w:val="22"/>
        </w:rPr>
        <w:t xml:space="preserve"> </w:t>
      </w:r>
      <w:r>
        <w:rPr>
          <w:rFonts w:ascii="宋体" w:eastAsia="宋体" w:hAnsi="宋体" w:cs="宋体"/>
          <w:spacing w:val="-10"/>
          <w:sz w:val="22"/>
          <w:szCs w:val="22"/>
        </w:rPr>
        <w:t>每日晒1h</w:t>
      </w:r>
      <w:r>
        <w:rPr>
          <w:rFonts w:ascii="宋体" w:eastAsia="宋体" w:hAnsi="宋体" w:cs="宋体"/>
          <w:spacing w:val="-64"/>
          <w:sz w:val="22"/>
          <w:szCs w:val="22"/>
        </w:rPr>
        <w:t xml:space="preserve"> </w:t>
      </w:r>
      <w:r>
        <w:rPr>
          <w:rFonts w:ascii="宋体" w:eastAsia="宋体" w:hAnsi="宋体" w:cs="宋体"/>
          <w:spacing w:val="-10"/>
          <w:sz w:val="22"/>
          <w:szCs w:val="22"/>
        </w:rPr>
        <w:t>一般可达预防效果。</w:t>
      </w:r>
    </w:p>
    <w:p w:rsidR="00EA40A3" w:rsidRDefault="00E86C16">
      <w:pPr>
        <w:spacing w:before="221" w:line="220"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35"/>
          <w:sz w:val="22"/>
          <w:szCs w:val="22"/>
        </w:rPr>
        <w:t xml:space="preserve"> </w:t>
      </w:r>
      <w:r>
        <w:rPr>
          <w:rFonts w:ascii="仿宋" w:eastAsia="仿宋" w:hAnsi="仿宋" w:cs="仿宋"/>
          <w:spacing w:val="11"/>
          <w:sz w:val="22"/>
          <w:szCs w:val="22"/>
        </w:rPr>
        <w:t>缺铁性贫血</w:t>
      </w:r>
    </w:p>
    <w:p w:rsidR="00EA40A3" w:rsidRDefault="00E86C16">
      <w:pPr>
        <w:spacing w:before="201" w:line="248" w:lineRule="auto"/>
        <w:ind w:right="1" w:firstLine="419"/>
        <w:jc w:val="both"/>
        <w:rPr>
          <w:rFonts w:ascii="宋体" w:eastAsia="宋体" w:hAnsi="宋体" w:cs="宋体"/>
          <w:sz w:val="22"/>
          <w:szCs w:val="22"/>
        </w:rPr>
      </w:pPr>
      <w:r>
        <w:rPr>
          <w:rFonts w:ascii="宋体" w:eastAsia="宋体" w:hAnsi="宋体" w:cs="宋体"/>
          <w:spacing w:val="-9"/>
          <w:sz w:val="22"/>
          <w:szCs w:val="22"/>
        </w:rPr>
        <w:t>婴儿缺铁性贫血</w:t>
      </w:r>
      <w:r>
        <w:rPr>
          <w:rFonts w:ascii="宋体" w:eastAsia="宋体" w:hAnsi="宋体" w:cs="宋体"/>
          <w:spacing w:val="-10"/>
          <w:sz w:val="22"/>
          <w:szCs w:val="22"/>
        </w:rPr>
        <w:t xml:space="preserve"> </w:t>
      </w:r>
      <w:r>
        <w:rPr>
          <w:rFonts w:ascii="宋体" w:eastAsia="宋体" w:hAnsi="宋体" w:cs="宋体"/>
          <w:spacing w:val="-9"/>
          <w:sz w:val="22"/>
          <w:szCs w:val="22"/>
        </w:rPr>
        <w:t>(iron</w:t>
      </w:r>
      <w:r>
        <w:rPr>
          <w:rFonts w:ascii="宋体" w:eastAsia="宋体" w:hAnsi="宋体" w:cs="宋体"/>
          <w:spacing w:val="4"/>
          <w:sz w:val="22"/>
          <w:szCs w:val="22"/>
        </w:rPr>
        <w:t xml:space="preserve"> </w:t>
      </w:r>
      <w:r>
        <w:rPr>
          <w:rFonts w:ascii="宋体" w:eastAsia="宋体" w:hAnsi="宋体" w:cs="宋体"/>
          <w:spacing w:val="-9"/>
          <w:sz w:val="22"/>
          <w:szCs w:val="22"/>
        </w:rPr>
        <w:t>deficiency</w:t>
      </w:r>
      <w:r>
        <w:rPr>
          <w:rFonts w:ascii="宋体" w:eastAsia="宋体" w:hAnsi="宋体" w:cs="宋体"/>
          <w:spacing w:val="1"/>
          <w:sz w:val="22"/>
          <w:szCs w:val="22"/>
        </w:rPr>
        <w:t xml:space="preserve"> </w:t>
      </w:r>
      <w:r>
        <w:rPr>
          <w:rFonts w:ascii="宋体" w:eastAsia="宋体" w:hAnsi="宋体" w:cs="宋体"/>
          <w:spacing w:val="-9"/>
          <w:sz w:val="22"/>
          <w:szCs w:val="22"/>
        </w:rPr>
        <w:t>anemia,IDA)</w:t>
      </w:r>
      <w:r>
        <w:rPr>
          <w:rFonts w:ascii="宋体" w:eastAsia="宋体" w:hAnsi="宋体" w:cs="宋体"/>
          <w:spacing w:val="-45"/>
          <w:sz w:val="22"/>
          <w:szCs w:val="22"/>
        </w:rPr>
        <w:t xml:space="preserve"> </w:t>
      </w:r>
      <w:r>
        <w:rPr>
          <w:rFonts w:ascii="宋体" w:eastAsia="宋体" w:hAnsi="宋体" w:cs="宋体"/>
          <w:spacing w:val="-9"/>
          <w:sz w:val="22"/>
          <w:szCs w:val="22"/>
        </w:rPr>
        <w:t>是由于婴儿</w:t>
      </w:r>
      <w:r>
        <w:rPr>
          <w:rFonts w:ascii="宋体" w:eastAsia="宋体" w:hAnsi="宋体" w:cs="宋体"/>
          <w:spacing w:val="-10"/>
          <w:sz w:val="22"/>
          <w:szCs w:val="22"/>
        </w:rPr>
        <w:t>体内储铁不足</w:t>
      </w:r>
      <w:r>
        <w:rPr>
          <w:rFonts w:ascii="宋体" w:eastAsia="宋体" w:hAnsi="宋体" w:cs="宋体"/>
          <w:sz w:val="22"/>
          <w:szCs w:val="22"/>
        </w:rPr>
        <w:t xml:space="preserve">  </w:t>
      </w:r>
      <w:r>
        <w:rPr>
          <w:rFonts w:ascii="宋体" w:eastAsia="宋体" w:hAnsi="宋体" w:cs="宋体"/>
          <w:spacing w:val="-14"/>
          <w:sz w:val="22"/>
          <w:szCs w:val="22"/>
        </w:rPr>
        <w:t>或食物缺铁造成的一种营养性贫血。造成婴儿缺铁性贫血的原因主要有：①母亲</w:t>
      </w:r>
      <w:r>
        <w:rPr>
          <w:rFonts w:ascii="宋体" w:eastAsia="宋体" w:hAnsi="宋体" w:cs="宋体"/>
          <w:spacing w:val="9"/>
          <w:sz w:val="22"/>
          <w:szCs w:val="22"/>
        </w:rPr>
        <w:t xml:space="preserve">  </w:t>
      </w:r>
      <w:r>
        <w:rPr>
          <w:rFonts w:ascii="宋体" w:eastAsia="宋体" w:hAnsi="宋体" w:cs="宋体"/>
          <w:spacing w:val="-11"/>
          <w:sz w:val="22"/>
          <w:szCs w:val="22"/>
        </w:rPr>
        <w:t>在妊娠期营养不良或早产，使新生儿体内铁储备不足。②由于婴儿生长速度快，</w:t>
      </w:r>
      <w:r>
        <w:rPr>
          <w:rFonts w:ascii="宋体" w:eastAsia="宋体" w:hAnsi="宋体" w:cs="宋体"/>
          <w:spacing w:val="14"/>
          <w:sz w:val="22"/>
          <w:szCs w:val="22"/>
        </w:rPr>
        <w:t xml:space="preserve"> </w:t>
      </w:r>
      <w:r>
        <w:rPr>
          <w:rFonts w:ascii="宋体" w:eastAsia="宋体" w:hAnsi="宋体" w:cs="宋体"/>
          <w:spacing w:val="-7"/>
          <w:sz w:val="22"/>
          <w:szCs w:val="22"/>
        </w:rPr>
        <w:t>对铁的需要量较大。婴儿得自母体的铁储备仅能维持其出生后4个</w:t>
      </w:r>
      <w:r>
        <w:rPr>
          <w:rFonts w:ascii="宋体" w:eastAsia="宋体" w:hAnsi="宋体" w:cs="宋体"/>
          <w:spacing w:val="-8"/>
          <w:sz w:val="22"/>
          <w:szCs w:val="22"/>
        </w:rPr>
        <w:t>月所需，4个</w:t>
      </w:r>
      <w:r>
        <w:rPr>
          <w:rFonts w:ascii="宋体" w:eastAsia="宋体" w:hAnsi="宋体" w:cs="宋体"/>
          <w:sz w:val="22"/>
          <w:szCs w:val="22"/>
        </w:rPr>
        <w:t xml:space="preserve">  </w:t>
      </w:r>
      <w:r>
        <w:rPr>
          <w:rFonts w:ascii="宋体" w:eastAsia="宋体" w:hAnsi="宋体" w:cs="宋体"/>
          <w:spacing w:val="-14"/>
          <w:sz w:val="22"/>
          <w:szCs w:val="22"/>
        </w:rPr>
        <w:t>月后储备铁消耗完，母乳中铁含量较低，已不能满足其需要，这时如果没有其他</w:t>
      </w:r>
      <w:r>
        <w:rPr>
          <w:rFonts w:ascii="宋体" w:eastAsia="宋体" w:hAnsi="宋体" w:cs="宋体"/>
          <w:spacing w:val="8"/>
          <w:sz w:val="22"/>
          <w:szCs w:val="22"/>
        </w:rPr>
        <w:t xml:space="preserve">  </w:t>
      </w:r>
      <w:r>
        <w:rPr>
          <w:rFonts w:ascii="宋体" w:eastAsia="宋体" w:hAnsi="宋体" w:cs="宋体"/>
          <w:spacing w:val="-14"/>
          <w:sz w:val="22"/>
          <w:szCs w:val="22"/>
        </w:rPr>
        <w:t>适当食物的补充，婴儿很容易得缺铁性贫血。③人工喂养的婴儿，如果以含铁量</w:t>
      </w:r>
      <w:r>
        <w:rPr>
          <w:rFonts w:ascii="宋体" w:eastAsia="宋体" w:hAnsi="宋体" w:cs="宋体"/>
          <w:spacing w:val="8"/>
          <w:sz w:val="22"/>
          <w:szCs w:val="22"/>
        </w:rPr>
        <w:t xml:space="preserve">  </w:t>
      </w:r>
      <w:r>
        <w:rPr>
          <w:rFonts w:ascii="宋体" w:eastAsia="宋体" w:hAnsi="宋体" w:cs="宋体"/>
          <w:spacing w:val="-9"/>
          <w:sz w:val="22"/>
          <w:szCs w:val="22"/>
        </w:rPr>
        <w:t>低的牛奶、米、面等为主要饮食又不及时添加副食品(如蛋黄、青菜、肉、肝),</w:t>
      </w:r>
      <w:r>
        <w:rPr>
          <w:rFonts w:ascii="宋体" w:eastAsia="宋体" w:hAnsi="宋体" w:cs="宋体"/>
          <w:spacing w:val="18"/>
          <w:sz w:val="22"/>
          <w:szCs w:val="22"/>
        </w:rPr>
        <w:t xml:space="preserve"> </w:t>
      </w:r>
      <w:r>
        <w:rPr>
          <w:rFonts w:ascii="宋体" w:eastAsia="宋体" w:hAnsi="宋体" w:cs="宋体"/>
          <w:spacing w:val="-13"/>
          <w:sz w:val="22"/>
          <w:szCs w:val="22"/>
        </w:rPr>
        <w:t>则不能满足婴儿机体对铁的需要，也可引起缺铁。④婴儿因急慢性疾病感染，经</w:t>
      </w:r>
      <w:r>
        <w:rPr>
          <w:rFonts w:ascii="宋体" w:eastAsia="宋体" w:hAnsi="宋体" w:cs="宋体"/>
          <w:spacing w:val="2"/>
          <w:sz w:val="22"/>
          <w:szCs w:val="22"/>
        </w:rPr>
        <w:t xml:space="preserve"> </w:t>
      </w:r>
      <w:r>
        <w:rPr>
          <w:rFonts w:ascii="宋体" w:eastAsia="宋体" w:hAnsi="宋体" w:cs="宋体"/>
          <w:spacing w:val="-15"/>
          <w:sz w:val="22"/>
          <w:szCs w:val="22"/>
        </w:rPr>
        <w:t>常腹泻或长期慢性失血等，也会导致缺铁性贫血发生。</w:t>
      </w:r>
    </w:p>
    <w:p w:rsidR="00EA40A3" w:rsidRDefault="00E86C16">
      <w:pPr>
        <w:spacing w:before="91" w:line="243" w:lineRule="auto"/>
        <w:ind w:right="81" w:firstLine="419"/>
        <w:jc w:val="both"/>
        <w:rPr>
          <w:rFonts w:ascii="宋体" w:eastAsia="宋体" w:hAnsi="宋体" w:cs="宋体"/>
          <w:sz w:val="22"/>
          <w:szCs w:val="22"/>
        </w:rPr>
      </w:pPr>
      <w:r>
        <w:rPr>
          <w:rFonts w:ascii="宋体" w:eastAsia="宋体" w:hAnsi="宋体" w:cs="宋体"/>
          <w:spacing w:val="-13"/>
          <w:sz w:val="22"/>
          <w:szCs w:val="22"/>
        </w:rPr>
        <w:t>预防婴幼儿缺铁性贫血，首先要保证母体有充足的营养，以防新生婴</w:t>
      </w:r>
      <w:r>
        <w:rPr>
          <w:rFonts w:ascii="宋体" w:eastAsia="宋体" w:hAnsi="宋体" w:cs="宋体"/>
          <w:spacing w:val="-14"/>
          <w:sz w:val="22"/>
          <w:szCs w:val="22"/>
        </w:rPr>
        <w:t>儿体内</w:t>
      </w:r>
      <w:r>
        <w:rPr>
          <w:rFonts w:ascii="宋体" w:eastAsia="宋体" w:hAnsi="宋体" w:cs="宋体"/>
          <w:sz w:val="22"/>
          <w:szCs w:val="22"/>
        </w:rPr>
        <w:t xml:space="preserve"> </w:t>
      </w:r>
      <w:r>
        <w:rPr>
          <w:rFonts w:ascii="宋体" w:eastAsia="宋体" w:hAnsi="宋体" w:cs="宋体"/>
          <w:spacing w:val="-3"/>
          <w:sz w:val="22"/>
          <w:szCs w:val="22"/>
        </w:rPr>
        <w:t>铁储备不足。在哺乳期要适时(一般4个月后</w:t>
      </w:r>
      <w:r>
        <w:rPr>
          <w:rFonts w:ascii="宋体" w:eastAsia="宋体" w:hAnsi="宋体" w:cs="宋体"/>
          <w:spacing w:val="-4"/>
          <w:sz w:val="22"/>
          <w:szCs w:val="22"/>
        </w:rPr>
        <w:t>)添加辅食，特别是含铁丰富的食</w:t>
      </w:r>
      <w:r>
        <w:rPr>
          <w:rFonts w:ascii="宋体" w:eastAsia="宋体" w:hAnsi="宋体" w:cs="宋体"/>
          <w:sz w:val="22"/>
          <w:szCs w:val="22"/>
        </w:rPr>
        <w:t xml:space="preserve"> </w:t>
      </w:r>
      <w:r>
        <w:rPr>
          <w:rFonts w:ascii="宋体" w:eastAsia="宋体" w:hAnsi="宋体" w:cs="宋体"/>
          <w:spacing w:val="-5"/>
          <w:sz w:val="22"/>
          <w:szCs w:val="22"/>
        </w:rPr>
        <w:t>物如肝泥、肉末、蛋黄、豆类等食物，同时应增加蔬菜、水果等富含维生素C</w:t>
      </w:r>
      <w:r>
        <w:rPr>
          <w:rFonts w:ascii="宋体" w:eastAsia="宋体" w:hAnsi="宋体" w:cs="宋体"/>
          <w:spacing w:val="12"/>
          <w:sz w:val="22"/>
          <w:szCs w:val="22"/>
        </w:rPr>
        <w:t xml:space="preserve"> </w:t>
      </w:r>
      <w:r>
        <w:rPr>
          <w:rFonts w:ascii="宋体" w:eastAsia="宋体" w:hAnsi="宋体" w:cs="宋体"/>
          <w:spacing w:val="-10"/>
          <w:sz w:val="22"/>
          <w:szCs w:val="22"/>
        </w:rPr>
        <w:t>的食物以促进铁吸收。早产儿体内铁储备少，生后</w:t>
      </w:r>
      <w:r>
        <w:rPr>
          <w:rFonts w:ascii="宋体" w:eastAsia="宋体" w:hAnsi="宋体" w:cs="宋体"/>
          <w:spacing w:val="-11"/>
          <w:sz w:val="22"/>
          <w:szCs w:val="22"/>
        </w:rPr>
        <w:t>4个月更应及时补充。</w:t>
      </w:r>
    </w:p>
    <w:p w:rsidR="00EA40A3" w:rsidRDefault="00E86C16">
      <w:pPr>
        <w:spacing w:before="208" w:line="222" w:lineRule="auto"/>
        <w:rPr>
          <w:rFonts w:ascii="仿宋" w:eastAsia="仿宋" w:hAnsi="仿宋" w:cs="仿宋"/>
          <w:sz w:val="22"/>
          <w:szCs w:val="22"/>
        </w:rPr>
      </w:pPr>
      <w:r>
        <w:rPr>
          <w:rFonts w:ascii="仿宋" w:eastAsia="仿宋" w:hAnsi="仿宋" w:cs="仿宋"/>
          <w:spacing w:val="12"/>
          <w:sz w:val="22"/>
          <w:szCs w:val="22"/>
        </w:rPr>
        <w:t>4.</w:t>
      </w:r>
      <w:r>
        <w:rPr>
          <w:rFonts w:ascii="仿宋" w:eastAsia="仿宋" w:hAnsi="仿宋" w:cs="仿宋"/>
          <w:spacing w:val="-24"/>
          <w:sz w:val="22"/>
          <w:szCs w:val="22"/>
        </w:rPr>
        <w:t xml:space="preserve"> </w:t>
      </w:r>
      <w:r>
        <w:rPr>
          <w:rFonts w:ascii="仿宋" w:eastAsia="仿宋" w:hAnsi="仿宋" w:cs="仿宋"/>
          <w:spacing w:val="12"/>
          <w:sz w:val="22"/>
          <w:szCs w:val="22"/>
        </w:rPr>
        <w:t>锌缺乏症</w:t>
      </w:r>
    </w:p>
    <w:p w:rsidR="00EA40A3" w:rsidRDefault="00E86C16">
      <w:pPr>
        <w:spacing w:before="207" w:line="241" w:lineRule="auto"/>
        <w:ind w:right="21" w:firstLine="599"/>
        <w:jc w:val="both"/>
        <w:rPr>
          <w:rFonts w:ascii="宋体" w:eastAsia="宋体" w:hAnsi="宋体" w:cs="宋体"/>
          <w:sz w:val="22"/>
          <w:szCs w:val="22"/>
        </w:rPr>
      </w:pPr>
      <w:r>
        <w:rPr>
          <w:rFonts w:ascii="宋体" w:eastAsia="宋体" w:hAnsi="宋体" w:cs="宋体"/>
          <w:spacing w:val="-15"/>
          <w:sz w:val="22"/>
          <w:szCs w:val="22"/>
        </w:rPr>
        <w:t>一生中最需要锌的时期是胚胎期、新生儿和幼儿</w:t>
      </w:r>
      <w:r>
        <w:rPr>
          <w:rFonts w:ascii="宋体" w:eastAsia="宋体" w:hAnsi="宋体" w:cs="宋体"/>
          <w:spacing w:val="-16"/>
          <w:sz w:val="22"/>
          <w:szCs w:val="22"/>
        </w:rPr>
        <w:t>期。锌缺乏症</w:t>
      </w:r>
      <w:r>
        <w:rPr>
          <w:rFonts w:ascii="宋体" w:eastAsia="宋体" w:hAnsi="宋体" w:cs="宋体"/>
          <w:spacing w:val="9"/>
          <w:sz w:val="22"/>
          <w:szCs w:val="22"/>
        </w:rPr>
        <w:t xml:space="preserve"> </w:t>
      </w:r>
      <w:r>
        <w:rPr>
          <w:rFonts w:ascii="宋体" w:eastAsia="宋体" w:hAnsi="宋体" w:cs="宋体"/>
          <w:spacing w:val="-16"/>
          <w:sz w:val="22"/>
          <w:szCs w:val="22"/>
        </w:rPr>
        <w:t>(</w:t>
      </w:r>
      <w:r>
        <w:rPr>
          <w:rFonts w:ascii="宋体" w:eastAsia="宋体" w:hAnsi="宋体" w:cs="宋体"/>
          <w:spacing w:val="-15"/>
          <w:sz w:val="22"/>
          <w:szCs w:val="22"/>
        </w:rPr>
        <w:t>zinc</w:t>
      </w:r>
      <w:r>
        <w:rPr>
          <w:rFonts w:ascii="宋体" w:eastAsia="宋体" w:hAnsi="宋体" w:cs="宋体"/>
          <w:spacing w:val="-11"/>
          <w:sz w:val="22"/>
          <w:szCs w:val="22"/>
        </w:rPr>
        <w:t xml:space="preserve"> </w:t>
      </w:r>
      <w:r>
        <w:rPr>
          <w:rFonts w:ascii="宋体" w:eastAsia="宋体" w:hAnsi="宋体" w:cs="宋体"/>
          <w:spacing w:val="-15"/>
          <w:sz w:val="22"/>
          <w:szCs w:val="22"/>
        </w:rPr>
        <w:t>defi</w:t>
      </w:r>
      <w:r>
        <w:rPr>
          <w:rFonts w:ascii="宋体" w:eastAsia="宋体" w:hAnsi="宋体" w:cs="宋体"/>
          <w:spacing w:val="-16"/>
          <w:sz w:val="22"/>
          <w:szCs w:val="22"/>
        </w:rPr>
        <w:t>-</w:t>
      </w:r>
      <w:r>
        <w:rPr>
          <w:rFonts w:ascii="宋体" w:eastAsia="宋体" w:hAnsi="宋体" w:cs="宋体"/>
          <w:sz w:val="22"/>
          <w:szCs w:val="22"/>
        </w:rPr>
        <w:t xml:space="preserve"> </w:t>
      </w:r>
      <w:r>
        <w:rPr>
          <w:rFonts w:ascii="宋体" w:eastAsia="宋体" w:hAnsi="宋体" w:cs="宋体"/>
          <w:spacing w:val="-9"/>
          <w:sz w:val="22"/>
          <w:szCs w:val="22"/>
        </w:rPr>
        <w:t>ciency)</w:t>
      </w:r>
      <w:r>
        <w:rPr>
          <w:rFonts w:ascii="宋体" w:eastAsia="宋体" w:hAnsi="宋体" w:cs="宋体"/>
          <w:spacing w:val="-49"/>
          <w:sz w:val="22"/>
          <w:szCs w:val="22"/>
        </w:rPr>
        <w:t xml:space="preserve"> </w:t>
      </w:r>
      <w:r>
        <w:rPr>
          <w:rFonts w:ascii="宋体" w:eastAsia="宋体" w:hAnsi="宋体" w:cs="宋体"/>
          <w:spacing w:val="-9"/>
          <w:sz w:val="22"/>
          <w:szCs w:val="22"/>
        </w:rPr>
        <w:t>是婴幼儿的常见病。母乳不足、未能按时增加辅食、锌吸收利用不良、</w:t>
      </w:r>
      <w:r>
        <w:rPr>
          <w:rFonts w:ascii="宋体" w:eastAsia="宋体" w:hAnsi="宋体" w:cs="宋体"/>
          <w:sz w:val="22"/>
          <w:szCs w:val="22"/>
        </w:rPr>
        <w:t xml:space="preserve"> </w:t>
      </w:r>
      <w:r>
        <w:rPr>
          <w:rFonts w:ascii="宋体" w:eastAsia="宋体" w:hAnsi="宋体" w:cs="宋体"/>
          <w:spacing w:val="-15"/>
          <w:sz w:val="22"/>
          <w:szCs w:val="22"/>
        </w:rPr>
        <w:t>偏食等均可造成锌缺乏。</w:t>
      </w:r>
    </w:p>
    <w:p w:rsidR="00EA40A3" w:rsidRDefault="00E86C16">
      <w:pPr>
        <w:spacing w:before="48" w:line="241" w:lineRule="auto"/>
        <w:ind w:right="103" w:firstLine="419"/>
        <w:jc w:val="both"/>
        <w:rPr>
          <w:rFonts w:ascii="宋体" w:eastAsia="宋体" w:hAnsi="宋体" w:cs="宋体"/>
          <w:sz w:val="22"/>
          <w:szCs w:val="22"/>
        </w:rPr>
      </w:pPr>
      <w:r>
        <w:rPr>
          <w:rFonts w:ascii="宋体" w:eastAsia="宋体" w:hAnsi="宋体" w:cs="宋体"/>
          <w:spacing w:val="-14"/>
          <w:sz w:val="22"/>
          <w:szCs w:val="22"/>
        </w:rPr>
        <w:t>为防止婴幼儿缺锌，首先应提出母乳喂养，人乳中锌易为婴儿所吸收；其次</w:t>
      </w:r>
      <w:r>
        <w:rPr>
          <w:rFonts w:ascii="宋体" w:eastAsia="宋体" w:hAnsi="宋体" w:cs="宋体"/>
          <w:spacing w:val="9"/>
          <w:sz w:val="22"/>
          <w:szCs w:val="22"/>
        </w:rPr>
        <w:t xml:space="preserve"> </w:t>
      </w:r>
      <w:r>
        <w:rPr>
          <w:rFonts w:ascii="宋体" w:eastAsia="宋体" w:hAnsi="宋体" w:cs="宋体"/>
          <w:spacing w:val="-2"/>
          <w:sz w:val="22"/>
          <w:szCs w:val="22"/>
        </w:rPr>
        <w:t>在婴幼儿饮食中，增加富含锌的各种动物性食品，如猪肉、猪肝、鱼、海产</w:t>
      </w:r>
      <w:r>
        <w:rPr>
          <w:rFonts w:ascii="宋体" w:eastAsia="宋体" w:hAnsi="宋体" w:cs="宋体"/>
          <w:spacing w:val="18"/>
          <w:sz w:val="22"/>
          <w:szCs w:val="22"/>
        </w:rPr>
        <w:t xml:space="preserve"> </w:t>
      </w:r>
      <w:r>
        <w:rPr>
          <w:rFonts w:ascii="宋体" w:eastAsia="宋体" w:hAnsi="宋体" w:cs="宋体"/>
          <w:spacing w:val="-21"/>
          <w:sz w:val="22"/>
          <w:szCs w:val="22"/>
        </w:rPr>
        <w:t>品等。</w:t>
      </w:r>
    </w:p>
    <w:p w:rsidR="00EA40A3" w:rsidRDefault="00E86C16">
      <w:pPr>
        <w:spacing w:before="216" w:line="221" w:lineRule="auto"/>
        <w:rPr>
          <w:rFonts w:ascii="仿宋" w:eastAsia="仿宋" w:hAnsi="仿宋" w:cs="仿宋"/>
          <w:sz w:val="22"/>
          <w:szCs w:val="22"/>
        </w:rPr>
      </w:pPr>
      <w:r>
        <w:rPr>
          <w:rFonts w:ascii="仿宋" w:eastAsia="仿宋" w:hAnsi="仿宋" w:cs="仿宋"/>
          <w:spacing w:val="8"/>
          <w:sz w:val="22"/>
          <w:szCs w:val="22"/>
        </w:rPr>
        <w:t>5.</w:t>
      </w:r>
      <w:r>
        <w:rPr>
          <w:rFonts w:ascii="仿宋" w:eastAsia="仿宋" w:hAnsi="仿宋" w:cs="仿宋"/>
          <w:spacing w:val="-23"/>
          <w:sz w:val="22"/>
          <w:szCs w:val="22"/>
        </w:rPr>
        <w:t xml:space="preserve"> </w:t>
      </w:r>
      <w:r>
        <w:rPr>
          <w:rFonts w:ascii="仿宋" w:eastAsia="仿宋" w:hAnsi="仿宋" w:cs="仿宋"/>
          <w:spacing w:val="8"/>
          <w:sz w:val="22"/>
          <w:szCs w:val="22"/>
        </w:rPr>
        <w:t>蛋白质-能量营养不良</w:t>
      </w:r>
    </w:p>
    <w:p w:rsidR="00EA40A3" w:rsidRDefault="00E86C16">
      <w:pPr>
        <w:spacing w:before="175" w:line="245" w:lineRule="auto"/>
        <w:ind w:right="73" w:firstLine="419"/>
        <w:rPr>
          <w:rFonts w:ascii="宋体" w:eastAsia="宋体" w:hAnsi="宋体" w:cs="宋体"/>
          <w:sz w:val="22"/>
          <w:szCs w:val="22"/>
        </w:rPr>
      </w:pPr>
      <w:r>
        <w:rPr>
          <w:rFonts w:ascii="宋体" w:eastAsia="宋体" w:hAnsi="宋体" w:cs="宋体"/>
          <w:spacing w:val="-8"/>
          <w:sz w:val="22"/>
          <w:szCs w:val="22"/>
        </w:rPr>
        <w:t>蛋白质-能量营养不良</w:t>
      </w:r>
      <w:r>
        <w:rPr>
          <w:rFonts w:ascii="宋体" w:eastAsia="宋体" w:hAnsi="宋体" w:cs="宋体"/>
          <w:spacing w:val="9"/>
          <w:sz w:val="22"/>
          <w:szCs w:val="22"/>
        </w:rPr>
        <w:t xml:space="preserve"> </w:t>
      </w:r>
      <w:r>
        <w:rPr>
          <w:rFonts w:ascii="宋体" w:eastAsia="宋体" w:hAnsi="宋体" w:cs="宋体"/>
          <w:spacing w:val="-8"/>
          <w:sz w:val="22"/>
          <w:szCs w:val="22"/>
        </w:rPr>
        <w:t>(protein-energy</w:t>
      </w:r>
      <w:r>
        <w:rPr>
          <w:rFonts w:ascii="宋体" w:eastAsia="宋体" w:hAnsi="宋体" w:cs="宋体"/>
          <w:spacing w:val="-3"/>
          <w:sz w:val="22"/>
          <w:szCs w:val="22"/>
        </w:rPr>
        <w:t xml:space="preserve"> </w:t>
      </w:r>
      <w:r>
        <w:rPr>
          <w:rFonts w:ascii="宋体" w:eastAsia="宋体" w:hAnsi="宋体" w:cs="宋体"/>
          <w:spacing w:val="-8"/>
          <w:sz w:val="22"/>
          <w:szCs w:val="22"/>
        </w:rPr>
        <w:t>malnutrition,PEM)</w:t>
      </w:r>
      <w:r>
        <w:rPr>
          <w:rFonts w:ascii="宋体" w:eastAsia="宋体" w:hAnsi="宋体" w:cs="宋体"/>
          <w:spacing w:val="-46"/>
          <w:sz w:val="22"/>
          <w:szCs w:val="22"/>
        </w:rPr>
        <w:t xml:space="preserve"> </w:t>
      </w:r>
      <w:r>
        <w:rPr>
          <w:rFonts w:ascii="宋体" w:eastAsia="宋体" w:hAnsi="宋体" w:cs="宋体"/>
          <w:spacing w:val="-8"/>
          <w:sz w:val="22"/>
          <w:szCs w:val="22"/>
        </w:rPr>
        <w:t>是目前发展中</w:t>
      </w:r>
      <w:r>
        <w:rPr>
          <w:rFonts w:ascii="宋体" w:eastAsia="宋体" w:hAnsi="宋体" w:cs="宋体"/>
          <w:sz w:val="22"/>
          <w:szCs w:val="22"/>
        </w:rPr>
        <w:t xml:space="preserve"> </w:t>
      </w:r>
      <w:r>
        <w:rPr>
          <w:rFonts w:ascii="宋体" w:eastAsia="宋体" w:hAnsi="宋体" w:cs="宋体"/>
          <w:spacing w:val="-5"/>
          <w:sz w:val="22"/>
          <w:szCs w:val="22"/>
        </w:rPr>
        <w:t>国家较严重的营养问题，主要见于5岁以下儿童。近些年来严重的水肿型PEM</w:t>
      </w:r>
      <w:r>
        <w:rPr>
          <w:rFonts w:ascii="宋体" w:eastAsia="宋体" w:hAnsi="宋体" w:cs="宋体"/>
          <w:spacing w:val="9"/>
          <w:sz w:val="22"/>
          <w:szCs w:val="22"/>
        </w:rPr>
        <w:t xml:space="preserve">  </w:t>
      </w:r>
      <w:r>
        <w:rPr>
          <w:rFonts w:ascii="宋体" w:eastAsia="宋体" w:hAnsi="宋体" w:cs="宋体"/>
          <w:spacing w:val="-14"/>
          <w:sz w:val="22"/>
          <w:szCs w:val="22"/>
        </w:rPr>
        <w:t>在我国已很少见，但蛋白质轻度缺乏在一些地区仍然存在。发病原因主要是饮食</w:t>
      </w:r>
      <w:r>
        <w:rPr>
          <w:rFonts w:ascii="宋体" w:eastAsia="宋体" w:hAnsi="宋体" w:cs="宋体"/>
          <w:spacing w:val="18"/>
          <w:sz w:val="22"/>
          <w:szCs w:val="22"/>
        </w:rPr>
        <w:t xml:space="preserve"> </w:t>
      </w:r>
      <w:r>
        <w:rPr>
          <w:rFonts w:ascii="宋体" w:eastAsia="宋体" w:hAnsi="宋体" w:cs="宋体"/>
          <w:spacing w:val="-17"/>
          <w:sz w:val="22"/>
          <w:szCs w:val="22"/>
        </w:rPr>
        <w:t>中长期缺乏能量、蛋白质的结果。</w:t>
      </w:r>
    </w:p>
    <w:p w:rsidR="00EA40A3" w:rsidRDefault="00E86C16">
      <w:pPr>
        <w:spacing w:before="74" w:line="236" w:lineRule="auto"/>
        <w:ind w:right="61" w:firstLine="419"/>
        <w:rPr>
          <w:rFonts w:ascii="宋体" w:eastAsia="宋体" w:hAnsi="宋体" w:cs="宋体"/>
          <w:sz w:val="22"/>
          <w:szCs w:val="22"/>
        </w:rPr>
      </w:pPr>
      <w:r>
        <w:rPr>
          <w:rFonts w:ascii="宋体" w:eastAsia="宋体" w:hAnsi="宋体" w:cs="宋体"/>
          <w:spacing w:val="-1"/>
          <w:sz w:val="22"/>
          <w:szCs w:val="22"/>
        </w:rPr>
        <w:t>预防PEM</w:t>
      </w:r>
      <w:r>
        <w:rPr>
          <w:rFonts w:ascii="宋体" w:eastAsia="宋体" w:hAnsi="宋体" w:cs="宋体"/>
          <w:spacing w:val="65"/>
          <w:sz w:val="22"/>
          <w:szCs w:val="22"/>
        </w:rPr>
        <w:t xml:space="preserve"> </w:t>
      </w:r>
      <w:r>
        <w:rPr>
          <w:rFonts w:ascii="宋体" w:eastAsia="宋体" w:hAnsi="宋体" w:cs="宋体"/>
          <w:spacing w:val="-1"/>
          <w:sz w:val="22"/>
          <w:szCs w:val="22"/>
        </w:rPr>
        <w:t>最主要的是因地制宜地供给蛋白(特别优质蛋白质)、高能</w:t>
      </w:r>
      <w:r>
        <w:rPr>
          <w:rFonts w:ascii="宋体" w:eastAsia="宋体" w:hAnsi="宋体" w:cs="宋体"/>
          <w:spacing w:val="-2"/>
          <w:sz w:val="22"/>
          <w:szCs w:val="22"/>
        </w:rPr>
        <w:t>量食</w:t>
      </w:r>
      <w:r>
        <w:rPr>
          <w:rFonts w:ascii="宋体" w:eastAsia="宋体" w:hAnsi="宋体" w:cs="宋体"/>
          <w:sz w:val="22"/>
          <w:szCs w:val="22"/>
        </w:rPr>
        <w:t xml:space="preserve"> </w:t>
      </w:r>
      <w:r>
        <w:rPr>
          <w:rFonts w:ascii="宋体" w:eastAsia="宋体" w:hAnsi="宋体" w:cs="宋体"/>
          <w:spacing w:val="-13"/>
          <w:sz w:val="22"/>
          <w:szCs w:val="22"/>
        </w:rPr>
        <w:t>物，改善其营养状况。但应注意食物蛋白质、能量应逐渐增加，以防消化功能紊</w:t>
      </w:r>
      <w:r>
        <w:rPr>
          <w:rFonts w:ascii="宋体" w:eastAsia="宋体" w:hAnsi="宋体" w:cs="宋体"/>
          <w:spacing w:val="5"/>
          <w:sz w:val="22"/>
          <w:szCs w:val="22"/>
        </w:rPr>
        <w:t xml:space="preserve"> </w:t>
      </w:r>
      <w:r>
        <w:rPr>
          <w:rFonts w:ascii="宋体" w:eastAsia="宋体" w:hAnsi="宋体" w:cs="宋体"/>
          <w:spacing w:val="-16"/>
          <w:sz w:val="22"/>
          <w:szCs w:val="22"/>
        </w:rPr>
        <w:t>乱。同时注意各类营养素摄入量之间的平衡。</w:t>
      </w:r>
    </w:p>
    <w:p w:rsidR="00EA40A3" w:rsidRDefault="00EA40A3">
      <w:pPr>
        <w:sectPr w:rsidR="00EA40A3">
          <w:footerReference w:type="default" r:id="rId270"/>
          <w:pgSz w:w="9220" w:h="13360"/>
          <w:pgMar w:top="400" w:right="978" w:bottom="1167" w:left="910" w:header="0" w:footer="959" w:gutter="0"/>
          <w:cols w:space="720"/>
        </w:sectPr>
      </w:pPr>
    </w:p>
    <w:p w:rsidR="00EA40A3" w:rsidRDefault="00EA40A3">
      <w:pPr>
        <w:spacing w:line="291" w:lineRule="auto"/>
      </w:pPr>
    </w:p>
    <w:p w:rsidR="00EA40A3" w:rsidRDefault="00EA40A3">
      <w:pPr>
        <w:spacing w:line="291" w:lineRule="auto"/>
      </w:pPr>
    </w:p>
    <w:p w:rsidR="00EA40A3" w:rsidRDefault="00EA40A3">
      <w:pPr>
        <w:spacing w:line="291" w:lineRule="auto"/>
      </w:pPr>
    </w:p>
    <w:p w:rsidR="00EA40A3" w:rsidRDefault="00E86C16">
      <w:pPr>
        <w:spacing w:before="91" w:line="219" w:lineRule="auto"/>
        <w:ind w:left="1809"/>
        <w:rPr>
          <w:rFonts w:ascii="宋体" w:eastAsia="宋体" w:hAnsi="宋体" w:cs="宋体"/>
          <w:sz w:val="28"/>
          <w:szCs w:val="28"/>
        </w:rPr>
      </w:pPr>
      <w:r>
        <w:rPr>
          <w:rFonts w:ascii="宋体" w:eastAsia="宋体" w:hAnsi="宋体" w:cs="宋体"/>
          <w:spacing w:val="-4"/>
          <w:sz w:val="28"/>
          <w:szCs w:val="28"/>
        </w:rPr>
        <w:t>10.4</w:t>
      </w:r>
      <w:r>
        <w:rPr>
          <w:rFonts w:ascii="宋体" w:eastAsia="宋体" w:hAnsi="宋体" w:cs="宋体"/>
          <w:spacing w:val="113"/>
          <w:sz w:val="28"/>
          <w:szCs w:val="28"/>
        </w:rPr>
        <w:t xml:space="preserve"> </w:t>
      </w:r>
      <w:r>
        <w:rPr>
          <w:rFonts w:ascii="宋体" w:eastAsia="宋体" w:hAnsi="宋体" w:cs="宋体"/>
          <w:spacing w:val="-4"/>
          <w:sz w:val="28"/>
          <w:szCs w:val="28"/>
        </w:rPr>
        <w:t>儿童和青少年营养和膳食</w:t>
      </w:r>
    </w:p>
    <w:p w:rsidR="00EA40A3" w:rsidRDefault="00EA40A3">
      <w:pPr>
        <w:spacing w:line="244" w:lineRule="auto"/>
      </w:pPr>
    </w:p>
    <w:p w:rsidR="00EA40A3" w:rsidRDefault="00E86C16">
      <w:pPr>
        <w:spacing w:before="71" w:line="252" w:lineRule="auto"/>
        <w:ind w:firstLine="529"/>
        <w:jc w:val="both"/>
        <w:rPr>
          <w:rFonts w:ascii="宋体" w:eastAsia="宋体" w:hAnsi="宋体" w:cs="宋体"/>
          <w:sz w:val="22"/>
          <w:szCs w:val="22"/>
        </w:rPr>
      </w:pPr>
      <w:r>
        <w:rPr>
          <w:rFonts w:ascii="宋体" w:eastAsia="宋体" w:hAnsi="宋体" w:cs="宋体"/>
          <w:spacing w:val="-14"/>
          <w:sz w:val="22"/>
          <w:szCs w:val="22"/>
        </w:rPr>
        <w:t>儿童和青少年时期同样是人生长发育的重要阶段，这两个时期的营养状况对</w:t>
      </w:r>
      <w:r>
        <w:rPr>
          <w:rFonts w:ascii="宋体" w:eastAsia="宋体" w:hAnsi="宋体" w:cs="宋体"/>
          <w:spacing w:val="9"/>
          <w:sz w:val="22"/>
          <w:szCs w:val="22"/>
        </w:rPr>
        <w:t xml:space="preserve"> </w:t>
      </w:r>
      <w:r>
        <w:rPr>
          <w:rFonts w:ascii="宋体" w:eastAsia="宋体" w:hAnsi="宋体" w:cs="宋体"/>
          <w:spacing w:val="-13"/>
          <w:sz w:val="22"/>
          <w:szCs w:val="22"/>
        </w:rPr>
        <w:t>成人后整个身体的健康状况起到关键性的作用，因</w:t>
      </w:r>
      <w:r>
        <w:rPr>
          <w:rFonts w:ascii="宋体" w:eastAsia="宋体" w:hAnsi="宋体" w:cs="宋体"/>
          <w:spacing w:val="-14"/>
          <w:sz w:val="22"/>
          <w:szCs w:val="22"/>
        </w:rPr>
        <w:t>此，应当注意儿童和青少年时</w:t>
      </w:r>
      <w:r>
        <w:rPr>
          <w:rFonts w:ascii="宋体" w:eastAsia="宋体" w:hAnsi="宋体" w:cs="宋体"/>
          <w:sz w:val="22"/>
          <w:szCs w:val="22"/>
        </w:rPr>
        <w:t xml:space="preserve">  </w:t>
      </w:r>
      <w:r>
        <w:rPr>
          <w:rFonts w:ascii="宋体" w:eastAsia="宋体" w:hAnsi="宋体" w:cs="宋体"/>
          <w:spacing w:val="-14"/>
          <w:sz w:val="22"/>
          <w:szCs w:val="22"/>
        </w:rPr>
        <w:t>期的合理营养。</w:t>
      </w:r>
    </w:p>
    <w:p w:rsidR="00EA40A3" w:rsidRDefault="00E86C16">
      <w:pPr>
        <w:spacing w:before="225" w:line="219" w:lineRule="auto"/>
        <w:ind w:left="3"/>
        <w:outlineLvl w:val="6"/>
        <w:rPr>
          <w:rFonts w:ascii="宋体" w:eastAsia="宋体" w:hAnsi="宋体" w:cs="宋体"/>
          <w:sz w:val="22"/>
          <w:szCs w:val="22"/>
        </w:rPr>
      </w:pPr>
      <w:r>
        <w:rPr>
          <w:rFonts w:ascii="宋体" w:eastAsia="宋体" w:hAnsi="宋体" w:cs="宋体"/>
          <w:b/>
          <w:bCs/>
          <w:spacing w:val="6"/>
          <w:sz w:val="22"/>
          <w:szCs w:val="22"/>
        </w:rPr>
        <w:t>10.4.1</w:t>
      </w:r>
      <w:r>
        <w:rPr>
          <w:rFonts w:ascii="宋体" w:eastAsia="宋体" w:hAnsi="宋体" w:cs="宋体"/>
          <w:spacing w:val="30"/>
          <w:sz w:val="22"/>
          <w:szCs w:val="22"/>
        </w:rPr>
        <w:t xml:space="preserve">  </w:t>
      </w:r>
      <w:r>
        <w:rPr>
          <w:rFonts w:ascii="宋体" w:eastAsia="宋体" w:hAnsi="宋体" w:cs="宋体"/>
          <w:b/>
          <w:bCs/>
          <w:spacing w:val="6"/>
          <w:sz w:val="22"/>
          <w:szCs w:val="22"/>
        </w:rPr>
        <w:t>学龄前儿童营养和膳食</w:t>
      </w:r>
    </w:p>
    <w:p w:rsidR="00EA40A3" w:rsidRDefault="00E86C16">
      <w:pPr>
        <w:spacing w:before="248" w:line="222"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26"/>
          <w:sz w:val="22"/>
          <w:szCs w:val="22"/>
        </w:rPr>
        <w:t xml:space="preserve"> </w:t>
      </w:r>
      <w:r>
        <w:rPr>
          <w:rFonts w:ascii="仿宋" w:eastAsia="仿宋" w:hAnsi="仿宋" w:cs="仿宋"/>
          <w:spacing w:val="11"/>
          <w:sz w:val="22"/>
          <w:szCs w:val="22"/>
        </w:rPr>
        <w:t>学龄前儿童的生理特点</w:t>
      </w:r>
    </w:p>
    <w:p w:rsidR="00EA40A3" w:rsidRDefault="00E86C16">
      <w:pPr>
        <w:spacing w:before="184" w:line="247" w:lineRule="auto"/>
        <w:ind w:right="26" w:firstLine="479"/>
        <w:jc w:val="both"/>
        <w:rPr>
          <w:rFonts w:ascii="宋体" w:eastAsia="宋体" w:hAnsi="宋体" w:cs="宋体"/>
          <w:sz w:val="22"/>
          <w:szCs w:val="22"/>
        </w:rPr>
      </w:pPr>
      <w:r>
        <w:rPr>
          <w:rFonts w:ascii="宋体" w:eastAsia="宋体" w:hAnsi="宋体" w:cs="宋体"/>
          <w:spacing w:val="-9"/>
          <w:sz w:val="22"/>
          <w:szCs w:val="22"/>
        </w:rPr>
        <w:t>学龄前儿童</w:t>
      </w:r>
      <w:r>
        <w:rPr>
          <w:rFonts w:ascii="宋体" w:eastAsia="宋体" w:hAnsi="宋体" w:cs="宋体"/>
          <w:spacing w:val="-17"/>
          <w:sz w:val="22"/>
          <w:szCs w:val="22"/>
        </w:rPr>
        <w:t xml:space="preserve"> </w:t>
      </w:r>
      <w:r>
        <w:rPr>
          <w:rFonts w:ascii="宋体" w:eastAsia="宋体" w:hAnsi="宋体" w:cs="宋体"/>
          <w:spacing w:val="-9"/>
          <w:sz w:val="22"/>
          <w:szCs w:val="22"/>
        </w:rPr>
        <w:t>(preschool</w:t>
      </w:r>
      <w:r>
        <w:rPr>
          <w:rFonts w:ascii="宋体" w:eastAsia="宋体" w:hAnsi="宋体" w:cs="宋体"/>
          <w:spacing w:val="-3"/>
          <w:sz w:val="22"/>
          <w:szCs w:val="22"/>
        </w:rPr>
        <w:t xml:space="preserve"> </w:t>
      </w:r>
      <w:r>
        <w:rPr>
          <w:rFonts w:ascii="宋体" w:eastAsia="宋体" w:hAnsi="宋体" w:cs="宋体"/>
          <w:spacing w:val="-9"/>
          <w:sz w:val="22"/>
          <w:szCs w:val="22"/>
        </w:rPr>
        <w:t>children)</w:t>
      </w:r>
      <w:r>
        <w:rPr>
          <w:rFonts w:ascii="宋体" w:eastAsia="宋体" w:hAnsi="宋体" w:cs="宋体"/>
          <w:spacing w:val="-32"/>
          <w:sz w:val="22"/>
          <w:szCs w:val="22"/>
        </w:rPr>
        <w:t xml:space="preserve"> </w:t>
      </w:r>
      <w:r>
        <w:rPr>
          <w:rFonts w:ascii="宋体" w:eastAsia="宋体" w:hAnsi="宋体" w:cs="宋体"/>
          <w:spacing w:val="-9"/>
          <w:sz w:val="22"/>
          <w:szCs w:val="22"/>
        </w:rPr>
        <w:t>是指3～6岁的儿童。与婴儿期比较，学</w:t>
      </w:r>
      <w:r>
        <w:rPr>
          <w:rFonts w:ascii="宋体" w:eastAsia="宋体" w:hAnsi="宋体" w:cs="宋体"/>
          <w:sz w:val="22"/>
          <w:szCs w:val="22"/>
        </w:rPr>
        <w:t xml:space="preserve"> </w:t>
      </w:r>
      <w:r>
        <w:rPr>
          <w:rFonts w:ascii="宋体" w:eastAsia="宋体" w:hAnsi="宋体" w:cs="宋体"/>
          <w:spacing w:val="-1"/>
          <w:sz w:val="22"/>
          <w:szCs w:val="22"/>
        </w:rPr>
        <w:t>龄前儿童的体格发育速度有所减慢，但是保持稳步增长。身高</w:t>
      </w:r>
      <w:r>
        <w:rPr>
          <w:rFonts w:ascii="宋体" w:eastAsia="宋体" w:hAnsi="宋体" w:cs="宋体"/>
          <w:spacing w:val="-2"/>
          <w:sz w:val="22"/>
          <w:szCs w:val="22"/>
        </w:rPr>
        <w:t>增长每年约5~</w:t>
      </w:r>
      <w:r>
        <w:rPr>
          <w:rFonts w:ascii="宋体" w:eastAsia="宋体" w:hAnsi="宋体" w:cs="宋体"/>
          <w:sz w:val="22"/>
          <w:szCs w:val="22"/>
        </w:rPr>
        <w:t xml:space="preserve">  </w:t>
      </w:r>
      <w:r>
        <w:rPr>
          <w:rFonts w:ascii="宋体" w:eastAsia="宋体" w:hAnsi="宋体" w:cs="宋体"/>
          <w:spacing w:val="-6"/>
          <w:sz w:val="22"/>
          <w:szCs w:val="22"/>
        </w:rPr>
        <w:t>7cm,</w:t>
      </w:r>
      <w:r>
        <w:rPr>
          <w:rFonts w:ascii="宋体" w:eastAsia="宋体" w:hAnsi="宋体" w:cs="宋体"/>
          <w:spacing w:val="32"/>
          <w:sz w:val="22"/>
          <w:szCs w:val="22"/>
        </w:rPr>
        <w:t xml:space="preserve"> </w:t>
      </w:r>
      <w:r>
        <w:rPr>
          <w:rFonts w:ascii="宋体" w:eastAsia="宋体" w:hAnsi="宋体" w:cs="宋体"/>
          <w:spacing w:val="-6"/>
          <w:sz w:val="22"/>
          <w:szCs w:val="22"/>
        </w:rPr>
        <w:t>体重增长每年2kg</w:t>
      </w:r>
      <w:r>
        <w:rPr>
          <w:rFonts w:ascii="宋体" w:eastAsia="宋体" w:hAnsi="宋体" w:cs="宋体"/>
          <w:spacing w:val="-63"/>
          <w:sz w:val="22"/>
          <w:szCs w:val="22"/>
        </w:rPr>
        <w:t xml:space="preserve"> </w:t>
      </w:r>
      <w:r>
        <w:rPr>
          <w:rFonts w:ascii="宋体" w:eastAsia="宋体" w:hAnsi="宋体" w:cs="宋体"/>
          <w:spacing w:val="-6"/>
          <w:sz w:val="22"/>
          <w:szCs w:val="22"/>
        </w:rPr>
        <w:t>左右；神经细胞的分化在3岁时已基本完成，但脑细胞</w:t>
      </w:r>
      <w:r>
        <w:rPr>
          <w:rFonts w:ascii="宋体" w:eastAsia="宋体" w:hAnsi="宋体" w:cs="宋体"/>
          <w:sz w:val="22"/>
          <w:szCs w:val="22"/>
        </w:rPr>
        <w:t xml:space="preserve"> </w:t>
      </w:r>
      <w:r>
        <w:rPr>
          <w:rFonts w:ascii="宋体" w:eastAsia="宋体" w:hAnsi="宋体" w:cs="宋体"/>
          <w:spacing w:val="-14"/>
          <w:sz w:val="22"/>
          <w:szCs w:val="22"/>
        </w:rPr>
        <w:t>体积的增大及神经纤维的髓鞘化仍继续进行；胃容积仍旧较小，咀嚼及消化能力</w:t>
      </w:r>
      <w:r>
        <w:rPr>
          <w:rFonts w:ascii="宋体" w:eastAsia="宋体" w:hAnsi="宋体" w:cs="宋体"/>
          <w:spacing w:val="3"/>
          <w:sz w:val="22"/>
          <w:szCs w:val="22"/>
        </w:rPr>
        <w:t xml:space="preserve">  </w:t>
      </w:r>
      <w:r>
        <w:rPr>
          <w:rFonts w:ascii="宋体" w:eastAsia="宋体" w:hAnsi="宋体" w:cs="宋体"/>
          <w:sz w:val="22"/>
          <w:szCs w:val="22"/>
        </w:rPr>
        <w:t>有限，其中咀嚼能力仅达到成人的40%,而消化能力尤</w:t>
      </w:r>
      <w:r>
        <w:rPr>
          <w:rFonts w:ascii="宋体" w:eastAsia="宋体" w:hAnsi="宋体" w:cs="宋体"/>
          <w:spacing w:val="-1"/>
          <w:sz w:val="22"/>
          <w:szCs w:val="22"/>
        </w:rPr>
        <w:t>其是对固体食物的消化</w:t>
      </w:r>
      <w:r>
        <w:rPr>
          <w:rFonts w:ascii="宋体" w:eastAsia="宋体" w:hAnsi="宋体" w:cs="宋体"/>
          <w:sz w:val="22"/>
          <w:szCs w:val="22"/>
        </w:rPr>
        <w:t xml:space="preserve"> </w:t>
      </w:r>
      <w:r>
        <w:rPr>
          <w:rFonts w:ascii="宋体" w:eastAsia="宋体" w:hAnsi="宋体" w:cs="宋体"/>
          <w:spacing w:val="-17"/>
          <w:sz w:val="22"/>
          <w:szCs w:val="22"/>
        </w:rPr>
        <w:t>吸收需要较长时间的适应。</w:t>
      </w:r>
    </w:p>
    <w:p w:rsidR="00EA40A3" w:rsidRDefault="00E86C16">
      <w:pPr>
        <w:spacing w:before="265" w:line="350" w:lineRule="exact"/>
        <w:rPr>
          <w:rFonts w:ascii="仿宋" w:eastAsia="仿宋" w:hAnsi="仿宋" w:cs="仿宋"/>
          <w:sz w:val="22"/>
          <w:szCs w:val="22"/>
        </w:rPr>
      </w:pPr>
      <w:r>
        <w:rPr>
          <w:rFonts w:ascii="仿宋" w:eastAsia="仿宋" w:hAnsi="仿宋" w:cs="仿宋"/>
          <w:spacing w:val="10"/>
          <w:position w:val="9"/>
          <w:sz w:val="22"/>
          <w:szCs w:val="22"/>
        </w:rPr>
        <w:t>2.</w:t>
      </w:r>
      <w:r>
        <w:rPr>
          <w:rFonts w:ascii="仿宋" w:eastAsia="仿宋" w:hAnsi="仿宋" w:cs="仿宋"/>
          <w:spacing w:val="-24"/>
          <w:position w:val="9"/>
          <w:sz w:val="22"/>
          <w:szCs w:val="22"/>
        </w:rPr>
        <w:t xml:space="preserve"> </w:t>
      </w:r>
      <w:r>
        <w:rPr>
          <w:rFonts w:ascii="仿宋" w:eastAsia="仿宋" w:hAnsi="仿宋" w:cs="仿宋"/>
          <w:spacing w:val="10"/>
          <w:position w:val="9"/>
          <w:sz w:val="22"/>
          <w:szCs w:val="22"/>
        </w:rPr>
        <w:t>学龄前儿童的营养需要</w:t>
      </w:r>
    </w:p>
    <w:p w:rsidR="00EA40A3" w:rsidRDefault="00E86C16">
      <w:pPr>
        <w:spacing w:line="232" w:lineRule="auto"/>
        <w:rPr>
          <w:rFonts w:ascii="楷体" w:eastAsia="楷体" w:hAnsi="楷体" w:cs="楷体"/>
          <w:sz w:val="22"/>
          <w:szCs w:val="22"/>
        </w:rPr>
      </w:pPr>
      <w:r>
        <w:rPr>
          <w:rFonts w:ascii="楷体" w:eastAsia="楷体" w:hAnsi="楷体" w:cs="楷体"/>
          <w:spacing w:val="-4"/>
          <w:sz w:val="22"/>
          <w:szCs w:val="22"/>
        </w:rPr>
        <w:t>1)能量</w:t>
      </w:r>
    </w:p>
    <w:p w:rsidR="00EA40A3" w:rsidRDefault="00E86C16">
      <w:pPr>
        <w:spacing w:before="48" w:line="255" w:lineRule="auto"/>
        <w:ind w:right="70" w:firstLine="479"/>
        <w:jc w:val="both"/>
        <w:rPr>
          <w:rFonts w:ascii="宋体" w:eastAsia="宋体" w:hAnsi="宋体" w:cs="宋体"/>
          <w:sz w:val="22"/>
          <w:szCs w:val="22"/>
        </w:rPr>
      </w:pPr>
      <w:r>
        <w:rPr>
          <w:rFonts w:ascii="宋体" w:eastAsia="宋体" w:hAnsi="宋体" w:cs="宋体"/>
          <w:spacing w:val="-14"/>
          <w:sz w:val="22"/>
          <w:szCs w:val="22"/>
        </w:rPr>
        <w:t>学龄前儿童体内新陈代谢旺盛，每千克体重的能量</w:t>
      </w:r>
      <w:r>
        <w:rPr>
          <w:rFonts w:ascii="宋体" w:eastAsia="宋体" w:hAnsi="宋体" w:cs="宋体"/>
          <w:spacing w:val="-15"/>
          <w:sz w:val="22"/>
          <w:szCs w:val="22"/>
        </w:rPr>
        <w:t>需要量比成人的要高。根</w:t>
      </w:r>
      <w:r>
        <w:rPr>
          <w:rFonts w:ascii="宋体" w:eastAsia="宋体" w:hAnsi="宋体" w:cs="宋体"/>
          <w:sz w:val="22"/>
          <w:szCs w:val="22"/>
        </w:rPr>
        <w:t xml:space="preserve"> </w:t>
      </w:r>
      <w:r>
        <w:rPr>
          <w:rFonts w:ascii="宋体" w:eastAsia="宋体" w:hAnsi="宋体" w:cs="宋体"/>
          <w:spacing w:val="-7"/>
          <w:sz w:val="22"/>
          <w:szCs w:val="22"/>
        </w:rPr>
        <w:t>据中国营养学会建议，学龄前儿童的能量推荐摄入量RNI</w:t>
      </w:r>
      <w:r>
        <w:rPr>
          <w:rFonts w:ascii="宋体" w:eastAsia="宋体" w:hAnsi="宋体" w:cs="宋体"/>
          <w:spacing w:val="23"/>
          <w:sz w:val="22"/>
          <w:szCs w:val="22"/>
        </w:rPr>
        <w:t xml:space="preserve"> </w:t>
      </w:r>
      <w:r>
        <w:rPr>
          <w:rFonts w:ascii="宋体" w:eastAsia="宋体" w:hAnsi="宋体" w:cs="宋体"/>
          <w:spacing w:val="-7"/>
          <w:sz w:val="22"/>
          <w:szCs w:val="22"/>
        </w:rPr>
        <w:t>值男孩为5.64～7.10</w:t>
      </w:r>
      <w:r>
        <w:rPr>
          <w:rFonts w:ascii="宋体" w:eastAsia="宋体" w:hAnsi="宋体" w:cs="宋体"/>
          <w:sz w:val="22"/>
          <w:szCs w:val="22"/>
        </w:rPr>
        <w:t xml:space="preserve"> </w:t>
      </w:r>
      <w:r>
        <w:rPr>
          <w:rFonts w:ascii="宋体" w:eastAsia="宋体" w:hAnsi="宋体" w:cs="宋体"/>
          <w:spacing w:val="-6"/>
          <w:sz w:val="22"/>
          <w:szCs w:val="22"/>
        </w:rPr>
        <w:t>MJ/d,</w:t>
      </w:r>
      <w:r>
        <w:rPr>
          <w:rFonts w:ascii="宋体" w:eastAsia="宋体" w:hAnsi="宋体" w:cs="宋体"/>
          <w:spacing w:val="21"/>
          <w:sz w:val="22"/>
          <w:szCs w:val="22"/>
        </w:rPr>
        <w:t xml:space="preserve"> </w:t>
      </w:r>
      <w:r>
        <w:rPr>
          <w:rFonts w:ascii="宋体" w:eastAsia="宋体" w:hAnsi="宋体" w:cs="宋体"/>
          <w:spacing w:val="-6"/>
          <w:sz w:val="22"/>
          <w:szCs w:val="22"/>
        </w:rPr>
        <w:t>女孩为5.43～6.67</w:t>
      </w:r>
      <w:r>
        <w:rPr>
          <w:rFonts w:ascii="宋体" w:eastAsia="宋体" w:hAnsi="宋体" w:cs="宋体"/>
          <w:spacing w:val="-2"/>
          <w:sz w:val="22"/>
          <w:szCs w:val="22"/>
        </w:rPr>
        <w:t xml:space="preserve"> </w:t>
      </w:r>
      <w:r>
        <w:rPr>
          <w:rFonts w:ascii="宋体" w:eastAsia="宋体" w:hAnsi="宋体" w:cs="宋体"/>
          <w:spacing w:val="-6"/>
          <w:sz w:val="22"/>
          <w:szCs w:val="22"/>
        </w:rPr>
        <w:t>MJ/</w:t>
      </w:r>
      <w:r>
        <w:rPr>
          <w:rFonts w:ascii="宋体" w:eastAsia="宋体" w:hAnsi="宋体" w:cs="宋体"/>
          <w:spacing w:val="-7"/>
          <w:sz w:val="22"/>
          <w:szCs w:val="22"/>
        </w:rPr>
        <w:t>d。</w:t>
      </w:r>
      <w:r>
        <w:rPr>
          <w:rFonts w:ascii="宋体" w:eastAsia="宋体" w:hAnsi="宋体" w:cs="宋体"/>
          <w:spacing w:val="6"/>
          <w:sz w:val="22"/>
          <w:szCs w:val="22"/>
        </w:rPr>
        <w:t xml:space="preserve"> </w:t>
      </w:r>
      <w:r>
        <w:rPr>
          <w:rFonts w:ascii="宋体" w:eastAsia="宋体" w:hAnsi="宋体" w:cs="宋体"/>
          <w:spacing w:val="-7"/>
          <w:sz w:val="22"/>
          <w:szCs w:val="22"/>
        </w:rPr>
        <w:t>主要包括基础代谢、生长发育、体力活动以</w:t>
      </w:r>
      <w:r>
        <w:rPr>
          <w:rFonts w:ascii="宋体" w:eastAsia="宋体" w:hAnsi="宋体" w:cs="宋体"/>
          <w:sz w:val="22"/>
          <w:szCs w:val="22"/>
        </w:rPr>
        <w:t xml:space="preserve"> </w:t>
      </w:r>
      <w:r>
        <w:rPr>
          <w:rFonts w:ascii="宋体" w:eastAsia="宋体" w:hAnsi="宋体" w:cs="宋体"/>
          <w:spacing w:val="-7"/>
          <w:sz w:val="22"/>
          <w:szCs w:val="22"/>
        </w:rPr>
        <w:t>及食物生热效应所需的能量消耗，其中基础代谢能</w:t>
      </w:r>
      <w:r>
        <w:rPr>
          <w:rFonts w:ascii="宋体" w:eastAsia="宋体" w:hAnsi="宋体" w:cs="宋体"/>
          <w:spacing w:val="-8"/>
          <w:sz w:val="22"/>
          <w:szCs w:val="22"/>
        </w:rPr>
        <w:t>量消耗最多，按体重计约为</w:t>
      </w:r>
      <w:r>
        <w:rPr>
          <w:rFonts w:ascii="宋体" w:eastAsia="宋体" w:hAnsi="宋体" w:cs="宋体"/>
          <w:sz w:val="22"/>
          <w:szCs w:val="22"/>
        </w:rPr>
        <w:t xml:space="preserve"> </w:t>
      </w:r>
      <w:r>
        <w:rPr>
          <w:rFonts w:ascii="宋体" w:eastAsia="宋体" w:hAnsi="宋体" w:cs="宋体"/>
          <w:spacing w:val="-6"/>
          <w:sz w:val="22"/>
          <w:szCs w:val="22"/>
        </w:rPr>
        <w:t>44kcal/(kg</w:t>
      </w:r>
      <w:r>
        <w:rPr>
          <w:rFonts w:ascii="宋体" w:eastAsia="宋体" w:hAnsi="宋体" w:cs="宋体"/>
          <w:spacing w:val="-30"/>
          <w:sz w:val="22"/>
          <w:szCs w:val="22"/>
        </w:rPr>
        <w:t xml:space="preserve"> </w:t>
      </w:r>
      <w:r>
        <w:rPr>
          <w:rFonts w:ascii="宋体" w:eastAsia="宋体" w:hAnsi="宋体" w:cs="宋体"/>
          <w:spacing w:val="-6"/>
          <w:sz w:val="22"/>
          <w:szCs w:val="22"/>
        </w:rPr>
        <w:t>·d),</w:t>
      </w:r>
      <w:r>
        <w:rPr>
          <w:rFonts w:ascii="宋体" w:eastAsia="宋体" w:hAnsi="宋体" w:cs="宋体"/>
          <w:spacing w:val="-46"/>
          <w:sz w:val="22"/>
          <w:szCs w:val="22"/>
        </w:rPr>
        <w:t xml:space="preserve"> </w:t>
      </w:r>
      <w:r>
        <w:rPr>
          <w:rFonts w:ascii="宋体" w:eastAsia="宋体" w:hAnsi="宋体" w:cs="宋体"/>
          <w:spacing w:val="-6"/>
          <w:sz w:val="22"/>
          <w:szCs w:val="22"/>
        </w:rPr>
        <w:t>占总能量需要的60%;生长发育</w:t>
      </w:r>
      <w:r>
        <w:rPr>
          <w:rFonts w:ascii="宋体" w:eastAsia="宋体" w:hAnsi="宋体" w:cs="宋体"/>
          <w:spacing w:val="-7"/>
          <w:sz w:val="22"/>
          <w:szCs w:val="22"/>
        </w:rPr>
        <w:t>所需能量相比婴儿时期有所降</w:t>
      </w:r>
      <w:r>
        <w:rPr>
          <w:rFonts w:ascii="宋体" w:eastAsia="宋体" w:hAnsi="宋体" w:cs="宋体"/>
          <w:sz w:val="22"/>
          <w:szCs w:val="22"/>
        </w:rPr>
        <w:t xml:space="preserve"> </w:t>
      </w:r>
      <w:r>
        <w:rPr>
          <w:rFonts w:ascii="宋体" w:eastAsia="宋体" w:hAnsi="宋体" w:cs="宋体"/>
          <w:spacing w:val="-4"/>
          <w:sz w:val="22"/>
          <w:szCs w:val="22"/>
        </w:rPr>
        <w:t>低，约为5～15</w:t>
      </w:r>
      <w:r>
        <w:rPr>
          <w:rFonts w:ascii="宋体" w:eastAsia="宋体" w:hAnsi="宋体" w:cs="宋体"/>
          <w:spacing w:val="9"/>
          <w:sz w:val="22"/>
          <w:szCs w:val="22"/>
        </w:rPr>
        <w:t xml:space="preserve"> </w:t>
      </w:r>
      <w:r>
        <w:rPr>
          <w:rFonts w:ascii="宋体" w:eastAsia="宋体" w:hAnsi="宋体" w:cs="宋体"/>
          <w:spacing w:val="-4"/>
          <w:sz w:val="22"/>
          <w:szCs w:val="22"/>
        </w:rPr>
        <w:t>kcal/(kg</w:t>
      </w:r>
      <w:r>
        <w:rPr>
          <w:rFonts w:ascii="宋体" w:eastAsia="宋体" w:hAnsi="宋体" w:cs="宋体"/>
          <w:spacing w:val="-30"/>
          <w:sz w:val="22"/>
          <w:szCs w:val="22"/>
        </w:rPr>
        <w:t xml:space="preserve"> </w:t>
      </w:r>
      <w:r>
        <w:rPr>
          <w:rFonts w:ascii="宋体" w:eastAsia="宋体" w:hAnsi="宋体" w:cs="宋体"/>
          <w:spacing w:val="-4"/>
          <w:sz w:val="22"/>
          <w:szCs w:val="22"/>
        </w:rPr>
        <w:t>·d),</w:t>
      </w:r>
      <w:r>
        <w:rPr>
          <w:rFonts w:ascii="宋体" w:eastAsia="宋体" w:hAnsi="宋体" w:cs="宋体"/>
          <w:spacing w:val="-55"/>
          <w:sz w:val="22"/>
          <w:szCs w:val="22"/>
        </w:rPr>
        <w:t xml:space="preserve"> </w:t>
      </w:r>
      <w:r>
        <w:rPr>
          <w:rFonts w:ascii="宋体" w:eastAsia="宋体" w:hAnsi="宋体" w:cs="宋体"/>
          <w:spacing w:val="-4"/>
          <w:sz w:val="22"/>
          <w:szCs w:val="22"/>
        </w:rPr>
        <w:t>占总能量需要的10%～20%;体力活动的能量需</w:t>
      </w:r>
      <w:r>
        <w:rPr>
          <w:rFonts w:ascii="宋体" w:eastAsia="宋体" w:hAnsi="宋体" w:cs="宋体"/>
          <w:sz w:val="22"/>
          <w:szCs w:val="22"/>
        </w:rPr>
        <w:t xml:space="preserve"> </w:t>
      </w:r>
      <w:r>
        <w:rPr>
          <w:rFonts w:ascii="宋体" w:eastAsia="宋体" w:hAnsi="宋体" w:cs="宋体"/>
          <w:spacing w:val="-14"/>
          <w:sz w:val="22"/>
          <w:szCs w:val="22"/>
        </w:rPr>
        <w:t>要随年龄的增加而增加，</w:t>
      </w:r>
      <w:r>
        <w:rPr>
          <w:rFonts w:ascii="宋体" w:eastAsia="宋体" w:hAnsi="宋体" w:cs="宋体"/>
          <w:spacing w:val="64"/>
          <w:sz w:val="22"/>
          <w:szCs w:val="22"/>
        </w:rPr>
        <w:t xml:space="preserve"> </w:t>
      </w:r>
      <w:r>
        <w:rPr>
          <w:rFonts w:ascii="宋体" w:eastAsia="宋体" w:hAnsi="宋体" w:cs="宋体"/>
          <w:spacing w:val="-14"/>
          <w:sz w:val="22"/>
          <w:szCs w:val="22"/>
        </w:rPr>
        <w:t>一般而言，为20～30</w:t>
      </w:r>
      <w:r>
        <w:rPr>
          <w:rFonts w:ascii="宋体" w:eastAsia="宋体" w:hAnsi="宋体" w:cs="宋体"/>
          <w:spacing w:val="6"/>
          <w:sz w:val="22"/>
          <w:szCs w:val="22"/>
        </w:rPr>
        <w:t xml:space="preserve"> </w:t>
      </w:r>
      <w:r>
        <w:rPr>
          <w:rFonts w:ascii="宋体" w:eastAsia="宋体" w:hAnsi="宋体" w:cs="宋体"/>
          <w:spacing w:val="-14"/>
          <w:sz w:val="22"/>
          <w:szCs w:val="22"/>
        </w:rPr>
        <w:t>kcal/(kg</w:t>
      </w:r>
      <w:r>
        <w:rPr>
          <w:rFonts w:ascii="宋体" w:eastAsia="宋体" w:hAnsi="宋体" w:cs="宋体"/>
          <w:spacing w:val="-31"/>
          <w:sz w:val="22"/>
          <w:szCs w:val="22"/>
        </w:rPr>
        <w:t xml:space="preserve"> </w:t>
      </w:r>
      <w:r>
        <w:rPr>
          <w:rFonts w:ascii="宋体" w:eastAsia="宋体" w:hAnsi="宋体" w:cs="宋体"/>
          <w:spacing w:val="-14"/>
          <w:sz w:val="22"/>
          <w:szCs w:val="22"/>
        </w:rPr>
        <w:t>·d);</w:t>
      </w:r>
      <w:r>
        <w:rPr>
          <w:rFonts w:ascii="宋体" w:eastAsia="宋体" w:hAnsi="宋体" w:cs="宋体"/>
          <w:spacing w:val="-34"/>
          <w:sz w:val="22"/>
          <w:szCs w:val="22"/>
        </w:rPr>
        <w:t xml:space="preserve"> </w:t>
      </w:r>
      <w:r>
        <w:rPr>
          <w:rFonts w:ascii="宋体" w:eastAsia="宋体" w:hAnsi="宋体" w:cs="宋体"/>
          <w:spacing w:val="-14"/>
          <w:sz w:val="22"/>
          <w:szCs w:val="22"/>
        </w:rPr>
        <w:t>食物生热效应即</w:t>
      </w:r>
      <w:r>
        <w:rPr>
          <w:rFonts w:ascii="宋体" w:eastAsia="宋体" w:hAnsi="宋体" w:cs="宋体"/>
          <w:sz w:val="22"/>
          <w:szCs w:val="22"/>
        </w:rPr>
        <w:t xml:space="preserve"> </w:t>
      </w:r>
      <w:r>
        <w:rPr>
          <w:rFonts w:ascii="宋体" w:eastAsia="宋体" w:hAnsi="宋体" w:cs="宋体"/>
          <w:spacing w:val="-8"/>
          <w:sz w:val="22"/>
          <w:szCs w:val="22"/>
        </w:rPr>
        <w:t>食物特殊动力作用相比婴儿期降低，其能量消耗约为总能量的5</w:t>
      </w:r>
      <w:r>
        <w:rPr>
          <w:rFonts w:ascii="宋体" w:eastAsia="宋体" w:hAnsi="宋体" w:cs="宋体"/>
          <w:spacing w:val="-9"/>
          <w:sz w:val="22"/>
          <w:szCs w:val="22"/>
        </w:rPr>
        <w:t>%。</w:t>
      </w:r>
    </w:p>
    <w:p w:rsidR="00EA40A3" w:rsidRDefault="00E86C16">
      <w:pPr>
        <w:spacing w:before="57" w:line="226" w:lineRule="auto"/>
        <w:rPr>
          <w:rFonts w:ascii="楷体" w:eastAsia="楷体" w:hAnsi="楷体" w:cs="楷体"/>
          <w:sz w:val="22"/>
          <w:szCs w:val="22"/>
        </w:rPr>
      </w:pPr>
      <w:r>
        <w:rPr>
          <w:rFonts w:ascii="楷体" w:eastAsia="楷体" w:hAnsi="楷体" w:cs="楷体"/>
          <w:spacing w:val="-2"/>
          <w:sz w:val="22"/>
          <w:szCs w:val="22"/>
        </w:rPr>
        <w:t>2)蛋白质</w:t>
      </w:r>
    </w:p>
    <w:p w:rsidR="00EA40A3" w:rsidRDefault="00E86C16">
      <w:pPr>
        <w:spacing w:before="65" w:line="254" w:lineRule="auto"/>
        <w:ind w:right="72" w:firstLine="419"/>
        <w:jc w:val="both"/>
        <w:rPr>
          <w:rFonts w:ascii="宋体" w:eastAsia="宋体" w:hAnsi="宋体" w:cs="宋体"/>
          <w:sz w:val="22"/>
          <w:szCs w:val="22"/>
        </w:rPr>
      </w:pPr>
      <w:r>
        <w:rPr>
          <w:rFonts w:ascii="宋体" w:eastAsia="宋体" w:hAnsi="宋体" w:cs="宋体"/>
          <w:spacing w:val="-13"/>
          <w:sz w:val="22"/>
          <w:szCs w:val="22"/>
        </w:rPr>
        <w:t>学龄前儿童蛋白质的需要量随不断生长发育而增多。以体重计，身体对蛋白</w:t>
      </w:r>
      <w:r>
        <w:rPr>
          <w:rFonts w:ascii="宋体" w:eastAsia="宋体" w:hAnsi="宋体" w:cs="宋体"/>
          <w:spacing w:val="14"/>
          <w:sz w:val="22"/>
          <w:szCs w:val="22"/>
        </w:rPr>
        <w:t xml:space="preserve"> </w:t>
      </w:r>
      <w:r>
        <w:rPr>
          <w:rFonts w:ascii="宋体" w:eastAsia="宋体" w:hAnsi="宋体" w:cs="宋体"/>
          <w:spacing w:val="-9"/>
          <w:sz w:val="22"/>
          <w:szCs w:val="22"/>
        </w:rPr>
        <w:t>质的需要为3～4g/(kg</w:t>
      </w:r>
      <w:r>
        <w:rPr>
          <w:rFonts w:ascii="宋体" w:eastAsia="宋体" w:hAnsi="宋体" w:cs="宋体"/>
          <w:spacing w:val="-26"/>
          <w:sz w:val="22"/>
          <w:szCs w:val="22"/>
        </w:rPr>
        <w:t xml:space="preserve"> </w:t>
      </w:r>
      <w:r>
        <w:rPr>
          <w:rFonts w:ascii="宋体" w:eastAsia="宋体" w:hAnsi="宋体" w:cs="宋体"/>
          <w:spacing w:val="-9"/>
          <w:sz w:val="22"/>
          <w:szCs w:val="22"/>
        </w:rPr>
        <w:t>·d)。</w:t>
      </w:r>
      <w:r>
        <w:rPr>
          <w:rFonts w:ascii="宋体" w:eastAsia="宋体" w:hAnsi="宋体" w:cs="宋体"/>
          <w:spacing w:val="22"/>
          <w:sz w:val="22"/>
          <w:szCs w:val="22"/>
        </w:rPr>
        <w:t xml:space="preserve"> </w:t>
      </w:r>
      <w:r>
        <w:rPr>
          <w:rFonts w:ascii="宋体" w:eastAsia="宋体" w:hAnsi="宋体" w:cs="宋体"/>
          <w:spacing w:val="-9"/>
          <w:sz w:val="22"/>
          <w:szCs w:val="22"/>
        </w:rPr>
        <w:t>学龄前儿童所摄</w:t>
      </w:r>
      <w:r>
        <w:rPr>
          <w:rFonts w:ascii="宋体" w:eastAsia="宋体" w:hAnsi="宋体" w:cs="宋体"/>
          <w:spacing w:val="-10"/>
          <w:sz w:val="22"/>
          <w:szCs w:val="22"/>
        </w:rPr>
        <w:t>入的蛋白质主要用于细胞、组织</w:t>
      </w:r>
      <w:r>
        <w:rPr>
          <w:rFonts w:ascii="宋体" w:eastAsia="宋体" w:hAnsi="宋体" w:cs="宋体"/>
          <w:sz w:val="22"/>
          <w:szCs w:val="22"/>
        </w:rPr>
        <w:t xml:space="preserve"> </w:t>
      </w:r>
      <w:r>
        <w:rPr>
          <w:rFonts w:ascii="宋体" w:eastAsia="宋体" w:hAnsi="宋体" w:cs="宋体"/>
          <w:spacing w:val="-13"/>
          <w:sz w:val="22"/>
          <w:szCs w:val="22"/>
        </w:rPr>
        <w:t>的增长，因此要求优质蛋白摄入充分，尤其是</w:t>
      </w:r>
      <w:r>
        <w:rPr>
          <w:rFonts w:ascii="宋体" w:eastAsia="宋体" w:hAnsi="宋体" w:cs="宋体"/>
          <w:spacing w:val="-14"/>
          <w:sz w:val="22"/>
          <w:szCs w:val="22"/>
        </w:rPr>
        <w:t>必需氨基酸的种类要齐全，数量要</w:t>
      </w:r>
      <w:r>
        <w:rPr>
          <w:rFonts w:ascii="宋体" w:eastAsia="宋体" w:hAnsi="宋体" w:cs="宋体"/>
          <w:sz w:val="22"/>
          <w:szCs w:val="22"/>
        </w:rPr>
        <w:t xml:space="preserve"> </w:t>
      </w:r>
      <w:r>
        <w:rPr>
          <w:rFonts w:ascii="宋体" w:eastAsia="宋体" w:hAnsi="宋体" w:cs="宋体"/>
          <w:spacing w:val="-4"/>
          <w:sz w:val="22"/>
          <w:szCs w:val="22"/>
        </w:rPr>
        <w:t>占总氨基酸需要的36%。蛋白质的摄入不足，可能导致学龄前儿童蛋白质营养</w:t>
      </w:r>
      <w:r>
        <w:rPr>
          <w:rFonts w:ascii="宋体" w:eastAsia="宋体" w:hAnsi="宋体" w:cs="宋体"/>
          <w:sz w:val="22"/>
          <w:szCs w:val="22"/>
        </w:rPr>
        <w:t xml:space="preserve"> </w:t>
      </w:r>
      <w:r>
        <w:rPr>
          <w:rFonts w:ascii="宋体" w:eastAsia="宋体" w:hAnsi="宋体" w:cs="宋体"/>
          <w:spacing w:val="-7"/>
          <w:sz w:val="22"/>
          <w:szCs w:val="22"/>
        </w:rPr>
        <w:t>不良，如PEM,</w:t>
      </w:r>
      <w:r>
        <w:rPr>
          <w:rFonts w:ascii="宋体" w:eastAsia="宋体" w:hAnsi="宋体" w:cs="宋体"/>
          <w:spacing w:val="2"/>
          <w:sz w:val="22"/>
          <w:szCs w:val="22"/>
        </w:rPr>
        <w:t xml:space="preserve">  </w:t>
      </w:r>
      <w:r>
        <w:rPr>
          <w:rFonts w:ascii="宋体" w:eastAsia="宋体" w:hAnsi="宋体" w:cs="宋体"/>
          <w:spacing w:val="-7"/>
          <w:sz w:val="22"/>
          <w:szCs w:val="22"/>
        </w:rPr>
        <w:t>这对于学龄前儿童的体格，智力及体</w:t>
      </w:r>
      <w:r>
        <w:rPr>
          <w:rFonts w:ascii="宋体" w:eastAsia="宋体" w:hAnsi="宋体" w:cs="宋体"/>
          <w:spacing w:val="-8"/>
          <w:sz w:val="22"/>
          <w:szCs w:val="22"/>
        </w:rPr>
        <w:t>质发育都有严重的不良影</w:t>
      </w:r>
      <w:r>
        <w:rPr>
          <w:rFonts w:ascii="宋体" w:eastAsia="宋体" w:hAnsi="宋体" w:cs="宋体"/>
          <w:sz w:val="22"/>
          <w:szCs w:val="22"/>
        </w:rPr>
        <w:t xml:space="preserve"> </w:t>
      </w:r>
      <w:r>
        <w:rPr>
          <w:rFonts w:ascii="宋体" w:eastAsia="宋体" w:hAnsi="宋体" w:cs="宋体"/>
          <w:spacing w:val="-9"/>
          <w:sz w:val="22"/>
          <w:szCs w:val="22"/>
        </w:rPr>
        <w:t>响。中国营养学会建议，3～6岁学龄前儿童蛋白质参考摄入量为45～60g/d,</w:t>
      </w:r>
      <w:r>
        <w:rPr>
          <w:rFonts w:ascii="宋体" w:eastAsia="宋体" w:hAnsi="宋体" w:cs="宋体"/>
          <w:spacing w:val="-12"/>
          <w:sz w:val="22"/>
          <w:szCs w:val="22"/>
        </w:rPr>
        <w:t xml:space="preserve"> </w:t>
      </w:r>
      <w:r>
        <w:rPr>
          <w:rFonts w:ascii="宋体" w:eastAsia="宋体" w:hAnsi="宋体" w:cs="宋体"/>
          <w:spacing w:val="-9"/>
          <w:sz w:val="22"/>
          <w:szCs w:val="22"/>
        </w:rPr>
        <w:t>每</w:t>
      </w:r>
      <w:r>
        <w:rPr>
          <w:rFonts w:ascii="宋体" w:eastAsia="宋体" w:hAnsi="宋体" w:cs="宋体"/>
          <w:sz w:val="22"/>
          <w:szCs w:val="22"/>
        </w:rPr>
        <w:t xml:space="preserve"> </w:t>
      </w:r>
      <w:r>
        <w:rPr>
          <w:rFonts w:ascii="宋体" w:eastAsia="宋体" w:hAnsi="宋体" w:cs="宋体"/>
          <w:spacing w:val="8"/>
          <w:sz w:val="22"/>
          <w:szCs w:val="22"/>
        </w:rPr>
        <w:t>增长1</w:t>
      </w:r>
      <w:r>
        <w:rPr>
          <w:rFonts w:ascii="宋体" w:eastAsia="宋体" w:hAnsi="宋体" w:cs="宋体"/>
          <w:spacing w:val="-49"/>
          <w:sz w:val="22"/>
          <w:szCs w:val="22"/>
        </w:rPr>
        <w:t xml:space="preserve"> </w:t>
      </w:r>
      <w:r>
        <w:rPr>
          <w:rFonts w:ascii="宋体" w:eastAsia="宋体" w:hAnsi="宋体" w:cs="宋体"/>
          <w:spacing w:val="8"/>
          <w:sz w:val="22"/>
          <w:szCs w:val="22"/>
        </w:rPr>
        <w:t>岁，蛋白质参考摄入量增加5g/d,</w:t>
      </w:r>
      <w:r>
        <w:rPr>
          <w:rFonts w:ascii="宋体" w:eastAsia="宋体" w:hAnsi="宋体" w:cs="宋体"/>
          <w:spacing w:val="-27"/>
          <w:sz w:val="22"/>
          <w:szCs w:val="22"/>
        </w:rPr>
        <w:t xml:space="preserve"> </w:t>
      </w:r>
      <w:r>
        <w:rPr>
          <w:rFonts w:ascii="宋体" w:eastAsia="宋体" w:hAnsi="宋体" w:cs="宋体"/>
          <w:spacing w:val="8"/>
          <w:sz w:val="22"/>
          <w:szCs w:val="22"/>
        </w:rPr>
        <w:t>并且蛋白质供能占膳食总能量的</w:t>
      </w:r>
      <w:r>
        <w:rPr>
          <w:rFonts w:ascii="宋体" w:eastAsia="宋体" w:hAnsi="宋体" w:cs="宋体"/>
          <w:sz w:val="22"/>
          <w:szCs w:val="22"/>
        </w:rPr>
        <w:t xml:space="preserve"> </w:t>
      </w:r>
      <w:r>
        <w:rPr>
          <w:rFonts w:ascii="宋体" w:eastAsia="宋体" w:hAnsi="宋体" w:cs="宋体"/>
          <w:spacing w:val="6"/>
          <w:sz w:val="22"/>
          <w:szCs w:val="22"/>
        </w:rPr>
        <w:t>14%～15%,其中动物性食物蛋白质不少于50%。</w:t>
      </w:r>
    </w:p>
    <w:p w:rsidR="00EA40A3" w:rsidRDefault="00E86C16">
      <w:pPr>
        <w:spacing w:before="89"/>
        <w:ind w:left="159"/>
        <w:rPr>
          <w:rFonts w:ascii="宋体" w:eastAsia="宋体" w:hAnsi="宋体" w:cs="宋体"/>
          <w:sz w:val="16"/>
          <w:szCs w:val="16"/>
        </w:rPr>
      </w:pPr>
      <w:r>
        <w:rPr>
          <w:rFonts w:ascii="宋体" w:eastAsia="宋体" w:hAnsi="宋体" w:cs="宋体"/>
          <w:spacing w:val="-18"/>
          <w:sz w:val="16"/>
          <w:szCs w:val="16"/>
        </w:rPr>
        <w:t>·</w:t>
      </w:r>
      <w:r>
        <w:rPr>
          <w:rFonts w:ascii="宋体" w:eastAsia="宋体" w:hAnsi="宋体" w:cs="宋体"/>
          <w:spacing w:val="8"/>
          <w:sz w:val="16"/>
          <w:szCs w:val="16"/>
        </w:rPr>
        <w:t xml:space="preserve"> </w:t>
      </w:r>
      <w:r>
        <w:rPr>
          <w:rFonts w:ascii="宋体" w:eastAsia="宋体" w:hAnsi="宋体" w:cs="宋体"/>
          <w:spacing w:val="-18"/>
          <w:sz w:val="16"/>
          <w:szCs w:val="16"/>
        </w:rPr>
        <w:t>322</w:t>
      </w:r>
      <w:r>
        <w:rPr>
          <w:rFonts w:ascii="宋体" w:eastAsia="宋体" w:hAnsi="宋体" w:cs="宋体"/>
          <w:spacing w:val="55"/>
          <w:sz w:val="16"/>
          <w:szCs w:val="16"/>
        </w:rPr>
        <w:t xml:space="preserve"> </w:t>
      </w:r>
      <w:r>
        <w:rPr>
          <w:rFonts w:ascii="宋体" w:eastAsia="宋体" w:hAnsi="宋体" w:cs="宋体"/>
          <w:spacing w:val="-18"/>
          <w:sz w:val="16"/>
          <w:szCs w:val="16"/>
        </w:rPr>
        <w:t>·</w:t>
      </w:r>
    </w:p>
    <w:p w:rsidR="00EA40A3" w:rsidRDefault="00EA40A3">
      <w:pPr>
        <w:sectPr w:rsidR="00EA40A3">
          <w:footerReference w:type="default" r:id="rId271"/>
          <w:pgSz w:w="9220" w:h="13360"/>
          <w:pgMar w:top="400" w:right="1021" w:bottom="400" w:left="860" w:header="0" w:footer="0" w:gutter="0"/>
          <w:cols w:space="720"/>
        </w:sectPr>
      </w:pPr>
    </w:p>
    <w:p w:rsidR="00EA40A3" w:rsidRDefault="00EA40A3">
      <w:pPr>
        <w:spacing w:line="326" w:lineRule="auto"/>
      </w:pPr>
    </w:p>
    <w:p w:rsidR="00EA40A3" w:rsidRDefault="00EA40A3">
      <w:pPr>
        <w:spacing w:line="327" w:lineRule="auto"/>
      </w:pPr>
    </w:p>
    <w:p w:rsidR="00EA40A3" w:rsidRDefault="00E86C16">
      <w:pPr>
        <w:spacing w:before="65" w:line="232" w:lineRule="auto"/>
        <w:rPr>
          <w:rFonts w:ascii="楷体" w:eastAsia="楷体" w:hAnsi="楷体" w:cs="楷体"/>
          <w:sz w:val="20"/>
          <w:szCs w:val="20"/>
        </w:rPr>
      </w:pPr>
      <w:r>
        <w:rPr>
          <w:rFonts w:ascii="楷体" w:eastAsia="楷体" w:hAnsi="楷体" w:cs="楷体"/>
          <w:spacing w:val="18"/>
          <w:sz w:val="20"/>
          <w:szCs w:val="20"/>
        </w:rPr>
        <w:t>3)脂类</w:t>
      </w:r>
    </w:p>
    <w:p w:rsidR="00EA40A3" w:rsidRDefault="00E86C16">
      <w:pPr>
        <w:spacing w:before="56" w:line="263" w:lineRule="auto"/>
        <w:ind w:right="64" w:firstLine="450"/>
        <w:rPr>
          <w:rFonts w:ascii="宋体" w:eastAsia="宋体" w:hAnsi="宋体" w:cs="宋体"/>
          <w:sz w:val="20"/>
          <w:szCs w:val="20"/>
        </w:rPr>
      </w:pPr>
      <w:r>
        <w:rPr>
          <w:rFonts w:ascii="宋体" w:eastAsia="宋体" w:hAnsi="宋体" w:cs="宋体"/>
          <w:spacing w:val="6"/>
          <w:sz w:val="20"/>
          <w:szCs w:val="20"/>
        </w:rPr>
        <w:t>学龄前儿童脂肪的需要量按体重计为4～6g/(</w:t>
      </w:r>
      <w:r>
        <w:rPr>
          <w:rFonts w:ascii="宋体" w:eastAsia="宋体" w:hAnsi="宋体" w:cs="宋体"/>
          <w:sz w:val="20"/>
          <w:szCs w:val="20"/>
        </w:rPr>
        <w:t>kg</w:t>
      </w:r>
      <w:r>
        <w:rPr>
          <w:rFonts w:ascii="宋体" w:eastAsia="宋体" w:hAnsi="宋体" w:cs="宋体"/>
          <w:spacing w:val="-24"/>
          <w:sz w:val="20"/>
          <w:szCs w:val="20"/>
        </w:rPr>
        <w:t xml:space="preserve"> </w:t>
      </w:r>
      <w:r>
        <w:rPr>
          <w:rFonts w:ascii="宋体" w:eastAsia="宋体" w:hAnsi="宋体" w:cs="宋体"/>
          <w:spacing w:val="6"/>
          <w:sz w:val="20"/>
          <w:szCs w:val="20"/>
        </w:rPr>
        <w:t>·d)。</w:t>
      </w:r>
      <w:r>
        <w:rPr>
          <w:rFonts w:ascii="宋体" w:eastAsia="宋体" w:hAnsi="宋体" w:cs="宋体"/>
          <w:spacing w:val="37"/>
          <w:sz w:val="20"/>
          <w:szCs w:val="20"/>
        </w:rPr>
        <w:t xml:space="preserve">  </w:t>
      </w:r>
      <w:r>
        <w:rPr>
          <w:rFonts w:ascii="宋体" w:eastAsia="宋体" w:hAnsi="宋体" w:cs="宋体"/>
          <w:spacing w:val="6"/>
          <w:sz w:val="20"/>
          <w:szCs w:val="20"/>
        </w:rPr>
        <w:t>由于学龄前儿童</w:t>
      </w:r>
      <w:r>
        <w:rPr>
          <w:rFonts w:ascii="宋体" w:eastAsia="宋体" w:hAnsi="宋体" w:cs="宋体"/>
          <w:spacing w:val="5"/>
          <w:sz w:val="20"/>
          <w:szCs w:val="20"/>
        </w:rPr>
        <w:t>的</w:t>
      </w:r>
      <w:r>
        <w:rPr>
          <w:rFonts w:ascii="宋体" w:eastAsia="宋体" w:hAnsi="宋体" w:cs="宋体"/>
          <w:spacing w:val="1"/>
          <w:sz w:val="20"/>
          <w:szCs w:val="20"/>
        </w:rPr>
        <w:t xml:space="preserve"> </w:t>
      </w:r>
      <w:r>
        <w:rPr>
          <w:rFonts w:ascii="宋体" w:eastAsia="宋体" w:hAnsi="宋体" w:cs="宋体"/>
          <w:spacing w:val="7"/>
          <w:sz w:val="20"/>
          <w:szCs w:val="20"/>
        </w:rPr>
        <w:t>胃容积较小，而需要的能量又相对较高，因此可通过提高脂肪摄</w:t>
      </w:r>
      <w:r>
        <w:rPr>
          <w:rFonts w:ascii="宋体" w:eastAsia="宋体" w:hAnsi="宋体" w:cs="宋体"/>
          <w:spacing w:val="6"/>
          <w:sz w:val="20"/>
          <w:szCs w:val="20"/>
        </w:rPr>
        <w:t>入的比例来满足</w:t>
      </w:r>
      <w:r>
        <w:rPr>
          <w:rFonts w:ascii="宋体" w:eastAsia="宋体" w:hAnsi="宋体" w:cs="宋体"/>
          <w:sz w:val="20"/>
          <w:szCs w:val="20"/>
        </w:rPr>
        <w:t xml:space="preserve"> </w:t>
      </w:r>
      <w:r>
        <w:rPr>
          <w:rFonts w:ascii="宋体" w:eastAsia="宋体" w:hAnsi="宋体" w:cs="宋体"/>
          <w:spacing w:val="17"/>
          <w:sz w:val="20"/>
          <w:szCs w:val="20"/>
        </w:rPr>
        <w:t>能量需要。</w:t>
      </w:r>
      <w:r>
        <w:rPr>
          <w:rFonts w:ascii="宋体" w:eastAsia="宋体" w:hAnsi="宋体" w:cs="宋体"/>
          <w:spacing w:val="62"/>
          <w:sz w:val="20"/>
          <w:szCs w:val="20"/>
        </w:rPr>
        <w:t xml:space="preserve"> </w:t>
      </w:r>
      <w:r>
        <w:rPr>
          <w:rFonts w:ascii="宋体" w:eastAsia="宋体" w:hAnsi="宋体" w:cs="宋体"/>
          <w:spacing w:val="17"/>
          <w:sz w:val="20"/>
          <w:szCs w:val="20"/>
        </w:rPr>
        <w:t>一般来说，学龄前儿童膳食脂肪的摄入占总能量的30</w:t>
      </w:r>
      <w:r>
        <w:rPr>
          <w:rFonts w:ascii="宋体" w:eastAsia="宋体" w:hAnsi="宋体" w:cs="宋体"/>
          <w:spacing w:val="16"/>
          <w:sz w:val="20"/>
          <w:szCs w:val="20"/>
        </w:rPr>
        <w:t>%～35%,其</w:t>
      </w:r>
      <w:r>
        <w:rPr>
          <w:rFonts w:ascii="宋体" w:eastAsia="宋体" w:hAnsi="宋体" w:cs="宋体"/>
          <w:sz w:val="20"/>
          <w:szCs w:val="20"/>
        </w:rPr>
        <w:t xml:space="preserve"> </w:t>
      </w:r>
      <w:r>
        <w:rPr>
          <w:rFonts w:ascii="宋体" w:eastAsia="宋体" w:hAnsi="宋体" w:cs="宋体"/>
          <w:spacing w:val="18"/>
          <w:sz w:val="20"/>
          <w:szCs w:val="20"/>
        </w:rPr>
        <w:t>中亚油酸供能不应低于总能量的3%,亚麻酸供能不低于总能量的0.</w:t>
      </w:r>
      <w:r>
        <w:rPr>
          <w:rFonts w:ascii="宋体" w:eastAsia="宋体" w:hAnsi="宋体" w:cs="宋体"/>
          <w:spacing w:val="17"/>
          <w:sz w:val="20"/>
          <w:szCs w:val="20"/>
        </w:rPr>
        <w:t>5%。</w:t>
      </w:r>
    </w:p>
    <w:p w:rsidR="00EA40A3" w:rsidRDefault="00E86C16">
      <w:pPr>
        <w:spacing w:before="71" w:line="229" w:lineRule="auto"/>
        <w:rPr>
          <w:rFonts w:ascii="楷体" w:eastAsia="楷体" w:hAnsi="楷体" w:cs="楷体"/>
          <w:sz w:val="20"/>
          <w:szCs w:val="20"/>
        </w:rPr>
      </w:pPr>
      <w:r>
        <w:rPr>
          <w:rFonts w:ascii="楷体" w:eastAsia="楷体" w:hAnsi="楷体" w:cs="楷体"/>
          <w:spacing w:val="14"/>
          <w:sz w:val="20"/>
          <w:szCs w:val="20"/>
        </w:rPr>
        <w:t>4)碳水化合物</w:t>
      </w:r>
    </w:p>
    <w:p w:rsidR="00EA40A3" w:rsidRDefault="00E86C16">
      <w:pPr>
        <w:spacing w:before="60" w:line="263" w:lineRule="auto"/>
        <w:ind w:right="71" w:firstLine="450"/>
        <w:rPr>
          <w:rFonts w:ascii="宋体" w:eastAsia="宋体" w:hAnsi="宋体" w:cs="宋体"/>
          <w:sz w:val="20"/>
          <w:szCs w:val="20"/>
        </w:rPr>
      </w:pPr>
      <w:r>
        <w:rPr>
          <w:rFonts w:ascii="宋体" w:eastAsia="宋体" w:hAnsi="宋体" w:cs="宋体"/>
          <w:spacing w:val="7"/>
          <w:sz w:val="20"/>
          <w:szCs w:val="20"/>
        </w:rPr>
        <w:t>学龄前儿童相比幼儿时期，对谷类食物已适应，膳食中碳水化合物是其能量</w:t>
      </w:r>
      <w:r>
        <w:rPr>
          <w:rFonts w:ascii="宋体" w:eastAsia="宋体" w:hAnsi="宋体" w:cs="宋体"/>
          <w:spacing w:val="16"/>
          <w:sz w:val="20"/>
          <w:szCs w:val="20"/>
        </w:rPr>
        <w:t xml:space="preserve"> </w:t>
      </w:r>
      <w:r>
        <w:rPr>
          <w:rFonts w:ascii="宋体" w:eastAsia="宋体" w:hAnsi="宋体" w:cs="宋体"/>
          <w:spacing w:val="8"/>
          <w:sz w:val="20"/>
          <w:szCs w:val="20"/>
        </w:rPr>
        <w:t>的主要来源。以体重计，对碳水化合物的需要为15g/(</w:t>
      </w:r>
      <w:r>
        <w:rPr>
          <w:rFonts w:ascii="宋体" w:eastAsia="宋体" w:hAnsi="宋体" w:cs="宋体"/>
          <w:sz w:val="20"/>
          <w:szCs w:val="20"/>
        </w:rPr>
        <w:t>kg</w:t>
      </w:r>
      <w:r>
        <w:rPr>
          <w:rFonts w:ascii="宋体" w:eastAsia="宋体" w:hAnsi="宋体" w:cs="宋体"/>
          <w:spacing w:val="-10"/>
          <w:sz w:val="20"/>
          <w:szCs w:val="20"/>
        </w:rPr>
        <w:t xml:space="preserve"> </w:t>
      </w:r>
      <w:r>
        <w:rPr>
          <w:rFonts w:ascii="宋体" w:eastAsia="宋体" w:hAnsi="宋体" w:cs="宋体"/>
          <w:spacing w:val="8"/>
          <w:sz w:val="20"/>
          <w:szCs w:val="20"/>
        </w:rPr>
        <w:t>·d),</w:t>
      </w:r>
      <w:r>
        <w:rPr>
          <w:rFonts w:ascii="宋体" w:eastAsia="宋体" w:hAnsi="宋体" w:cs="宋体"/>
          <w:spacing w:val="45"/>
          <w:sz w:val="20"/>
          <w:szCs w:val="20"/>
        </w:rPr>
        <w:t xml:space="preserve">  </w:t>
      </w:r>
      <w:r>
        <w:rPr>
          <w:rFonts w:ascii="宋体" w:eastAsia="宋体" w:hAnsi="宋体" w:cs="宋体"/>
          <w:spacing w:val="8"/>
          <w:sz w:val="20"/>
          <w:szCs w:val="20"/>
        </w:rPr>
        <w:t>约占膳食总能</w:t>
      </w:r>
      <w:r>
        <w:rPr>
          <w:rFonts w:ascii="宋体" w:eastAsia="宋体" w:hAnsi="宋体" w:cs="宋体"/>
          <w:spacing w:val="1"/>
          <w:sz w:val="20"/>
          <w:szCs w:val="20"/>
        </w:rPr>
        <w:t xml:space="preserve"> </w:t>
      </w:r>
      <w:r>
        <w:rPr>
          <w:rFonts w:ascii="宋体" w:eastAsia="宋体" w:hAnsi="宋体" w:cs="宋体"/>
          <w:spacing w:val="16"/>
          <w:sz w:val="20"/>
          <w:szCs w:val="20"/>
        </w:rPr>
        <w:t>量的60%。需要注意的是，碳水化合物的供给应当以谷类为主，精糖及甜食的</w:t>
      </w:r>
    </w:p>
    <w:p w:rsidR="00EA40A3" w:rsidRDefault="00E86C16">
      <w:pPr>
        <w:spacing w:before="74" w:line="269" w:lineRule="exact"/>
        <w:rPr>
          <w:rFonts w:ascii="宋体" w:eastAsia="宋体" w:hAnsi="宋体" w:cs="宋体"/>
          <w:sz w:val="20"/>
          <w:szCs w:val="20"/>
        </w:rPr>
      </w:pPr>
      <w:r>
        <w:rPr>
          <w:rFonts w:ascii="宋体" w:eastAsia="宋体" w:hAnsi="宋体" w:cs="宋体"/>
          <w:spacing w:val="1"/>
          <w:position w:val="4"/>
          <w:sz w:val="20"/>
          <w:szCs w:val="20"/>
        </w:rPr>
        <w:t>摄入应控制。</w:t>
      </w:r>
    </w:p>
    <w:p w:rsidR="00EA40A3" w:rsidRDefault="00E86C16">
      <w:pPr>
        <w:spacing w:line="227" w:lineRule="auto"/>
        <w:rPr>
          <w:rFonts w:ascii="楷体" w:eastAsia="楷体" w:hAnsi="楷体" w:cs="楷体"/>
          <w:sz w:val="20"/>
          <w:szCs w:val="20"/>
        </w:rPr>
      </w:pPr>
      <w:r>
        <w:rPr>
          <w:rFonts w:ascii="楷体" w:eastAsia="楷体" w:hAnsi="楷体" w:cs="楷体"/>
          <w:spacing w:val="17"/>
          <w:sz w:val="20"/>
          <w:szCs w:val="20"/>
        </w:rPr>
        <w:t>5)矿物质</w:t>
      </w:r>
    </w:p>
    <w:p w:rsidR="00EA40A3" w:rsidRDefault="00E86C16">
      <w:pPr>
        <w:spacing w:before="76" w:line="267" w:lineRule="auto"/>
        <w:ind w:right="9" w:firstLine="450"/>
        <w:jc w:val="both"/>
        <w:rPr>
          <w:rFonts w:ascii="宋体" w:eastAsia="宋体" w:hAnsi="宋体" w:cs="宋体"/>
          <w:sz w:val="20"/>
          <w:szCs w:val="20"/>
        </w:rPr>
      </w:pPr>
      <w:r>
        <w:rPr>
          <w:rFonts w:ascii="宋体" w:eastAsia="宋体" w:hAnsi="宋体" w:cs="宋体"/>
          <w:spacing w:val="9"/>
          <w:sz w:val="20"/>
          <w:szCs w:val="20"/>
        </w:rPr>
        <w:t>由于骨骼增长和血液循环的快速增长，学龄前儿童对矿物质尤其是钙、磷、</w:t>
      </w:r>
      <w:r>
        <w:rPr>
          <w:rFonts w:ascii="宋体" w:eastAsia="宋体" w:hAnsi="宋体" w:cs="宋体"/>
          <w:spacing w:val="12"/>
          <w:sz w:val="20"/>
          <w:szCs w:val="20"/>
        </w:rPr>
        <w:t xml:space="preserve"> </w:t>
      </w:r>
      <w:r>
        <w:rPr>
          <w:rFonts w:ascii="宋体" w:eastAsia="宋体" w:hAnsi="宋体" w:cs="宋体"/>
          <w:spacing w:val="13"/>
          <w:sz w:val="20"/>
          <w:szCs w:val="20"/>
        </w:rPr>
        <w:t>铁的需要量较高，其他如碘、锌、铜等微量元素也必须足量摄入。2000年，中</w:t>
      </w:r>
      <w:r>
        <w:rPr>
          <w:rFonts w:ascii="宋体" w:eastAsia="宋体" w:hAnsi="宋体" w:cs="宋体"/>
          <w:spacing w:val="12"/>
          <w:sz w:val="20"/>
          <w:szCs w:val="20"/>
        </w:rPr>
        <w:t xml:space="preserve"> </w:t>
      </w:r>
      <w:r>
        <w:rPr>
          <w:rFonts w:ascii="宋体" w:eastAsia="宋体" w:hAnsi="宋体" w:cs="宋体"/>
          <w:spacing w:val="13"/>
          <w:sz w:val="20"/>
          <w:szCs w:val="20"/>
        </w:rPr>
        <w:t>国营养学会对学龄前儿童的主要矿物元素的推荐摄入量如表10-8所示。需要注</w:t>
      </w:r>
      <w:r>
        <w:rPr>
          <w:rFonts w:ascii="宋体" w:eastAsia="宋体" w:hAnsi="宋体" w:cs="宋体"/>
          <w:sz w:val="20"/>
          <w:szCs w:val="20"/>
        </w:rPr>
        <w:t xml:space="preserve">  </w:t>
      </w:r>
      <w:r>
        <w:rPr>
          <w:rFonts w:ascii="宋体" w:eastAsia="宋体" w:hAnsi="宋体" w:cs="宋体"/>
          <w:spacing w:val="14"/>
          <w:sz w:val="20"/>
          <w:szCs w:val="20"/>
        </w:rPr>
        <w:t>意的是，我国膳食结构当中钙质主要来自蔬菜和豆类食品，</w:t>
      </w:r>
      <w:r>
        <w:rPr>
          <w:rFonts w:ascii="宋体" w:eastAsia="宋体" w:hAnsi="宋体" w:cs="宋体"/>
          <w:spacing w:val="13"/>
          <w:sz w:val="20"/>
          <w:szCs w:val="20"/>
        </w:rPr>
        <w:t>而且血色素铁也较</w:t>
      </w:r>
      <w:r>
        <w:rPr>
          <w:rFonts w:ascii="宋体" w:eastAsia="宋体" w:hAnsi="宋体" w:cs="宋体"/>
          <w:sz w:val="20"/>
          <w:szCs w:val="20"/>
        </w:rPr>
        <w:t xml:space="preserve">  </w:t>
      </w:r>
      <w:r>
        <w:rPr>
          <w:rFonts w:ascii="宋体" w:eastAsia="宋体" w:hAnsi="宋体" w:cs="宋体"/>
          <w:spacing w:val="8"/>
          <w:sz w:val="20"/>
          <w:szCs w:val="20"/>
        </w:rPr>
        <w:t>少，因此，应当特别提倡儿童多摄入牛奶和奶制品</w:t>
      </w:r>
      <w:r>
        <w:rPr>
          <w:rFonts w:ascii="宋体" w:eastAsia="宋体" w:hAnsi="宋体" w:cs="宋体"/>
          <w:spacing w:val="7"/>
          <w:sz w:val="20"/>
          <w:szCs w:val="20"/>
        </w:rPr>
        <w:t>，摄入肝脏、瘦肉等血色素铁</w:t>
      </w:r>
      <w:r>
        <w:rPr>
          <w:rFonts w:ascii="宋体" w:eastAsia="宋体" w:hAnsi="宋体" w:cs="宋体"/>
          <w:sz w:val="20"/>
          <w:szCs w:val="20"/>
        </w:rPr>
        <w:t xml:space="preserve">  </w:t>
      </w:r>
      <w:r>
        <w:rPr>
          <w:rFonts w:ascii="宋体" w:eastAsia="宋体" w:hAnsi="宋体" w:cs="宋体"/>
          <w:spacing w:val="4"/>
          <w:sz w:val="20"/>
          <w:szCs w:val="20"/>
        </w:rPr>
        <w:t>含量丰富的动物性食品。</w:t>
      </w:r>
    </w:p>
    <w:p w:rsidR="00EA40A3" w:rsidRDefault="00EA40A3">
      <w:pPr>
        <w:spacing w:line="301" w:lineRule="auto"/>
      </w:pPr>
    </w:p>
    <w:p w:rsidR="00EA40A3" w:rsidRDefault="00E86C16">
      <w:pPr>
        <w:spacing w:before="65" w:line="221" w:lineRule="auto"/>
        <w:ind w:left="1412"/>
        <w:rPr>
          <w:rFonts w:ascii="黑体" w:eastAsia="黑体" w:hAnsi="黑体" w:cs="黑体"/>
          <w:sz w:val="20"/>
          <w:szCs w:val="20"/>
        </w:rPr>
      </w:pPr>
      <w:r>
        <w:rPr>
          <w:rFonts w:ascii="黑体" w:eastAsia="黑体" w:hAnsi="黑体" w:cs="黑体"/>
          <w:b/>
          <w:bCs/>
          <w:spacing w:val="-13"/>
          <w:sz w:val="20"/>
          <w:szCs w:val="20"/>
        </w:rPr>
        <w:t>表10-8</w:t>
      </w:r>
      <w:r>
        <w:rPr>
          <w:rFonts w:ascii="黑体" w:eastAsia="黑体" w:hAnsi="黑体" w:cs="黑体"/>
          <w:spacing w:val="40"/>
          <w:sz w:val="20"/>
          <w:szCs w:val="20"/>
        </w:rPr>
        <w:t xml:space="preserve"> </w:t>
      </w:r>
      <w:r>
        <w:rPr>
          <w:rFonts w:ascii="黑体" w:eastAsia="黑体" w:hAnsi="黑体" w:cs="黑体"/>
          <w:b/>
          <w:bCs/>
          <w:spacing w:val="-13"/>
          <w:sz w:val="20"/>
          <w:szCs w:val="20"/>
        </w:rPr>
        <w:t>我国学龄前儿童常量元素和</w:t>
      </w:r>
      <w:r>
        <w:rPr>
          <w:rFonts w:ascii="黑体" w:eastAsia="黑体" w:hAnsi="黑体" w:cs="黑体"/>
          <w:b/>
          <w:bCs/>
          <w:spacing w:val="-14"/>
          <w:sz w:val="20"/>
          <w:szCs w:val="20"/>
        </w:rPr>
        <w:t>微量元素的</w:t>
      </w:r>
      <w:r>
        <w:rPr>
          <w:rFonts w:ascii="黑体" w:eastAsia="黑体" w:hAnsi="黑体" w:cs="黑体"/>
          <w:b/>
          <w:bCs/>
          <w:spacing w:val="-13"/>
          <w:sz w:val="20"/>
          <w:szCs w:val="20"/>
        </w:rPr>
        <w:t>RNI</w:t>
      </w:r>
      <w:r>
        <w:rPr>
          <w:rFonts w:ascii="黑体" w:eastAsia="黑体" w:hAnsi="黑体" w:cs="黑体"/>
          <w:spacing w:val="-32"/>
          <w:sz w:val="20"/>
          <w:szCs w:val="20"/>
        </w:rPr>
        <w:t xml:space="preserve"> </w:t>
      </w:r>
      <w:r>
        <w:rPr>
          <w:rFonts w:ascii="黑体" w:eastAsia="黑体" w:hAnsi="黑体" w:cs="黑体"/>
          <w:b/>
          <w:bCs/>
          <w:spacing w:val="-14"/>
          <w:sz w:val="20"/>
          <w:szCs w:val="20"/>
        </w:rPr>
        <w:t>或</w:t>
      </w:r>
      <w:r>
        <w:rPr>
          <w:rFonts w:ascii="黑体" w:eastAsia="黑体" w:hAnsi="黑体" w:cs="黑体"/>
          <w:b/>
          <w:bCs/>
          <w:spacing w:val="-13"/>
          <w:sz w:val="20"/>
          <w:szCs w:val="20"/>
        </w:rPr>
        <w:t>AI</w:t>
      </w:r>
    </w:p>
    <w:p w:rsidR="00EA40A3" w:rsidRDefault="00EA40A3">
      <w:pPr>
        <w:spacing w:line="130" w:lineRule="auto"/>
        <w:rPr>
          <w:sz w:val="2"/>
        </w:rPr>
      </w:pPr>
    </w:p>
    <w:tbl>
      <w:tblPr>
        <w:tblStyle w:val="TableNormal"/>
        <w:tblW w:w="734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70"/>
        <w:gridCol w:w="520"/>
        <w:gridCol w:w="490"/>
        <w:gridCol w:w="520"/>
        <w:gridCol w:w="488"/>
        <w:gridCol w:w="445"/>
        <w:gridCol w:w="548"/>
        <w:gridCol w:w="533"/>
        <w:gridCol w:w="421"/>
        <w:gridCol w:w="535"/>
        <w:gridCol w:w="504"/>
        <w:gridCol w:w="515"/>
        <w:gridCol w:w="590"/>
        <w:gridCol w:w="570"/>
      </w:tblGrid>
      <w:tr w:rsidR="00EA40A3">
        <w:trPr>
          <w:trHeight w:val="393"/>
        </w:trPr>
        <w:tc>
          <w:tcPr>
            <w:tcW w:w="670" w:type="dxa"/>
            <w:vMerge w:val="restart"/>
            <w:tcBorders>
              <w:top w:val="single" w:sz="4" w:space="0" w:color="000000"/>
              <w:bottom w:val="nil"/>
            </w:tcBorders>
          </w:tcPr>
          <w:p w:rsidR="00EA40A3" w:rsidRDefault="00EA40A3">
            <w:pPr>
              <w:spacing w:line="258" w:lineRule="auto"/>
            </w:pPr>
          </w:p>
          <w:p w:rsidR="00EA40A3" w:rsidRDefault="00E86C16">
            <w:pPr>
              <w:spacing w:before="52" w:line="261" w:lineRule="auto"/>
              <w:ind w:left="210" w:right="105"/>
              <w:rPr>
                <w:rFonts w:ascii="宋体" w:eastAsia="宋体" w:hAnsi="宋体" w:cs="宋体"/>
                <w:sz w:val="16"/>
                <w:szCs w:val="16"/>
              </w:rPr>
            </w:pPr>
            <w:r>
              <w:rPr>
                <w:rFonts w:ascii="宋体" w:eastAsia="宋体" w:hAnsi="宋体" w:cs="宋体"/>
                <w:spacing w:val="-4"/>
                <w:sz w:val="16"/>
                <w:szCs w:val="16"/>
              </w:rPr>
              <w:t>年龄</w:t>
            </w:r>
            <w:r>
              <w:rPr>
                <w:rFonts w:ascii="宋体" w:eastAsia="宋体" w:hAnsi="宋体" w:cs="宋体"/>
                <w:sz w:val="16"/>
                <w:szCs w:val="16"/>
              </w:rPr>
              <w:t xml:space="preserve"> </w:t>
            </w:r>
            <w:r>
              <w:rPr>
                <w:rFonts w:ascii="宋体" w:eastAsia="宋体" w:hAnsi="宋体" w:cs="宋体"/>
                <w:spacing w:val="11"/>
                <w:sz w:val="16"/>
                <w:szCs w:val="16"/>
              </w:rPr>
              <w:t>(岁)</w:t>
            </w:r>
          </w:p>
        </w:tc>
        <w:tc>
          <w:tcPr>
            <w:tcW w:w="520" w:type="dxa"/>
            <w:tcBorders>
              <w:top w:val="single" w:sz="4" w:space="0" w:color="000000"/>
            </w:tcBorders>
          </w:tcPr>
          <w:p w:rsidR="00EA40A3" w:rsidRDefault="00E86C16">
            <w:pPr>
              <w:spacing w:before="173" w:line="221" w:lineRule="auto"/>
              <w:ind w:left="179"/>
              <w:rPr>
                <w:rFonts w:ascii="宋体" w:eastAsia="宋体" w:hAnsi="宋体" w:cs="宋体"/>
                <w:sz w:val="16"/>
                <w:szCs w:val="16"/>
              </w:rPr>
            </w:pPr>
            <w:r>
              <w:rPr>
                <w:rFonts w:ascii="宋体" w:eastAsia="宋体" w:hAnsi="宋体" w:cs="宋体"/>
                <w:sz w:val="16"/>
                <w:szCs w:val="16"/>
              </w:rPr>
              <w:t>钙</w:t>
            </w:r>
          </w:p>
        </w:tc>
        <w:tc>
          <w:tcPr>
            <w:tcW w:w="490" w:type="dxa"/>
            <w:tcBorders>
              <w:top w:val="single" w:sz="4" w:space="0" w:color="000000"/>
            </w:tcBorders>
          </w:tcPr>
          <w:p w:rsidR="00EA40A3" w:rsidRDefault="00E86C16">
            <w:pPr>
              <w:spacing w:before="171" w:line="219" w:lineRule="auto"/>
              <w:ind w:left="229"/>
              <w:rPr>
                <w:rFonts w:ascii="宋体" w:eastAsia="宋体" w:hAnsi="宋体" w:cs="宋体"/>
                <w:sz w:val="16"/>
                <w:szCs w:val="16"/>
              </w:rPr>
            </w:pPr>
            <w:r>
              <w:rPr>
                <w:rFonts w:ascii="宋体" w:eastAsia="宋体" w:hAnsi="宋体" w:cs="宋体"/>
                <w:sz w:val="16"/>
                <w:szCs w:val="16"/>
              </w:rPr>
              <w:t>磷</w:t>
            </w:r>
          </w:p>
        </w:tc>
        <w:tc>
          <w:tcPr>
            <w:tcW w:w="520" w:type="dxa"/>
            <w:tcBorders>
              <w:top w:val="single" w:sz="4" w:space="0" w:color="000000"/>
            </w:tcBorders>
          </w:tcPr>
          <w:p w:rsidR="00EA40A3" w:rsidRDefault="00E86C16">
            <w:pPr>
              <w:spacing w:before="172" w:line="220" w:lineRule="auto"/>
              <w:ind w:left="169"/>
              <w:rPr>
                <w:rFonts w:ascii="宋体" w:eastAsia="宋体" w:hAnsi="宋体" w:cs="宋体"/>
                <w:sz w:val="16"/>
                <w:szCs w:val="16"/>
              </w:rPr>
            </w:pPr>
            <w:r>
              <w:rPr>
                <w:rFonts w:ascii="宋体" w:eastAsia="宋体" w:hAnsi="宋体" w:cs="宋体"/>
                <w:sz w:val="16"/>
                <w:szCs w:val="16"/>
              </w:rPr>
              <w:t>钾</w:t>
            </w:r>
          </w:p>
        </w:tc>
        <w:tc>
          <w:tcPr>
            <w:tcW w:w="488" w:type="dxa"/>
            <w:tcBorders>
              <w:top w:val="single" w:sz="4" w:space="0" w:color="000000"/>
            </w:tcBorders>
          </w:tcPr>
          <w:p w:rsidR="00EA40A3" w:rsidRDefault="00E86C16">
            <w:pPr>
              <w:spacing w:before="192" w:line="221" w:lineRule="auto"/>
              <w:ind w:left="160"/>
              <w:rPr>
                <w:rFonts w:ascii="宋体" w:eastAsia="宋体" w:hAnsi="宋体" w:cs="宋体"/>
                <w:sz w:val="16"/>
                <w:szCs w:val="16"/>
              </w:rPr>
            </w:pPr>
            <w:r>
              <w:rPr>
                <w:rFonts w:ascii="宋体" w:eastAsia="宋体" w:hAnsi="宋体" w:cs="宋体"/>
                <w:sz w:val="16"/>
                <w:szCs w:val="16"/>
              </w:rPr>
              <w:t>钠</w:t>
            </w:r>
          </w:p>
        </w:tc>
        <w:tc>
          <w:tcPr>
            <w:tcW w:w="445" w:type="dxa"/>
            <w:tcBorders>
              <w:top w:val="single" w:sz="4" w:space="0" w:color="000000"/>
            </w:tcBorders>
          </w:tcPr>
          <w:p w:rsidR="00EA40A3" w:rsidRDefault="00E86C16">
            <w:pPr>
              <w:spacing w:before="183" w:line="221" w:lineRule="auto"/>
              <w:ind w:left="182"/>
              <w:rPr>
                <w:rFonts w:ascii="宋体" w:eastAsia="宋体" w:hAnsi="宋体" w:cs="宋体"/>
                <w:sz w:val="16"/>
                <w:szCs w:val="16"/>
              </w:rPr>
            </w:pPr>
            <w:r>
              <w:rPr>
                <w:rFonts w:ascii="宋体" w:eastAsia="宋体" w:hAnsi="宋体" w:cs="宋体"/>
                <w:sz w:val="16"/>
                <w:szCs w:val="16"/>
              </w:rPr>
              <w:t>镁</w:t>
            </w:r>
          </w:p>
        </w:tc>
        <w:tc>
          <w:tcPr>
            <w:tcW w:w="1081" w:type="dxa"/>
            <w:gridSpan w:val="2"/>
            <w:tcBorders>
              <w:top w:val="single" w:sz="4" w:space="0" w:color="000000"/>
            </w:tcBorders>
          </w:tcPr>
          <w:p w:rsidR="00EA40A3" w:rsidRDefault="00825D12">
            <w:pPr>
              <w:spacing w:before="172" w:line="221" w:lineRule="auto"/>
              <w:ind w:left="237"/>
              <w:rPr>
                <w:rFonts w:ascii="宋体" w:eastAsia="宋体" w:hAnsi="宋体" w:cs="宋体"/>
                <w:sz w:val="16"/>
                <w:szCs w:val="16"/>
              </w:rPr>
            </w:pPr>
            <w:r>
              <w:rPr>
                <w:noProof/>
              </w:rPr>
              <mc:AlternateContent>
                <mc:Choice Requires="wps">
                  <w:drawing>
                    <wp:anchor distT="0" distB="0" distL="114300" distR="114300" simplePos="0" relativeHeight="251712512" behindDoc="1" locked="0" layoutInCell="1" allowOverlap="1">
                      <wp:simplePos x="0" y="0"/>
                      <wp:positionH relativeFrom="column">
                        <wp:posOffset>48260</wp:posOffset>
                      </wp:positionH>
                      <wp:positionV relativeFrom="paragraph">
                        <wp:posOffset>-3175</wp:posOffset>
                      </wp:positionV>
                      <wp:extent cx="298450" cy="653415"/>
                      <wp:effectExtent l="11430" t="13970" r="13970" b="8890"/>
                      <wp:wrapNone/>
                      <wp:docPr id="116"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653415"/>
                              </a:xfrm>
                              <a:custGeom>
                                <a:avLst/>
                                <a:gdLst>
                                  <a:gd name="T0" fmla="*/ 480 w 480"/>
                                  <a:gd name="T1" fmla="*/ 1035 h 1035"/>
                                  <a:gd name="T2" fmla="*/ 0 w 480"/>
                                  <a:gd name="T3" fmla="*/ 0 h 1035"/>
                                </a:gdLst>
                                <a:ahLst/>
                                <a:cxnLst>
                                  <a:cxn ang="0">
                                    <a:pos x="T0" y="T1"/>
                                  </a:cxn>
                                  <a:cxn ang="0">
                                    <a:pos x="T2" y="T3"/>
                                  </a:cxn>
                                </a:cxnLst>
                                <a:rect l="0" t="0" r="r" b="b"/>
                                <a:pathLst>
                                  <a:path w="480" h="1035">
                                    <a:moveTo>
                                      <a:pt x="480" y="1035"/>
                                    </a:moveTo>
                                    <a:lnTo>
                                      <a:pt x="0"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1ACF7" id="Freeform 47" o:spid="_x0000_s1026" style="position:absolute;left:0;text-align:left;margin-left:3.8pt;margin-top:-.25pt;width:23.5pt;height:51.4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0,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" path="m480,1035l,e" filled="f" strokeweight=".5pt">
                      <v:stroke miterlimit="10" joinstyle="miter"/>
                      <v:path o:connecttype="custom" o:connectlocs="298450,653415;0,0" o:connectangles="0,0"/>
                    </v:shape>
                  </w:pict>
                </mc:Fallback>
              </mc:AlternateContent>
            </w:r>
            <w:r w:rsidR="00E86C16">
              <w:rPr>
                <w:rFonts w:ascii="宋体" w:eastAsia="宋体" w:hAnsi="宋体" w:cs="宋体"/>
                <w:spacing w:val="-3"/>
                <w:sz w:val="16"/>
                <w:szCs w:val="16"/>
              </w:rPr>
              <w:t>铁</w:t>
            </w:r>
            <w:r w:rsidR="00E86C16">
              <w:rPr>
                <w:rFonts w:ascii="宋体" w:eastAsia="宋体" w:hAnsi="宋体" w:cs="宋体"/>
                <w:spacing w:val="5"/>
                <w:sz w:val="16"/>
                <w:szCs w:val="16"/>
              </w:rPr>
              <w:t xml:space="preserve">   </w:t>
            </w:r>
            <w:r w:rsidR="00E86C16">
              <w:rPr>
                <w:rFonts w:ascii="宋体" w:eastAsia="宋体" w:hAnsi="宋体" w:cs="宋体"/>
                <w:spacing w:val="-3"/>
                <w:sz w:val="16"/>
                <w:szCs w:val="16"/>
              </w:rPr>
              <w:t>碘</w:t>
            </w:r>
          </w:p>
        </w:tc>
        <w:tc>
          <w:tcPr>
            <w:tcW w:w="421" w:type="dxa"/>
            <w:tcBorders>
              <w:top w:val="single" w:sz="4" w:space="0" w:color="000000"/>
            </w:tcBorders>
          </w:tcPr>
          <w:p w:rsidR="00EA40A3" w:rsidRDefault="00E86C16">
            <w:pPr>
              <w:spacing w:before="172" w:line="220" w:lineRule="auto"/>
              <w:ind w:left="211"/>
              <w:rPr>
                <w:rFonts w:ascii="宋体" w:eastAsia="宋体" w:hAnsi="宋体" w:cs="宋体"/>
                <w:sz w:val="16"/>
                <w:szCs w:val="16"/>
              </w:rPr>
            </w:pPr>
            <w:r>
              <w:rPr>
                <w:rFonts w:ascii="宋体" w:eastAsia="宋体" w:hAnsi="宋体" w:cs="宋体"/>
                <w:sz w:val="16"/>
                <w:szCs w:val="16"/>
              </w:rPr>
              <w:t>锌</w:t>
            </w:r>
          </w:p>
        </w:tc>
        <w:tc>
          <w:tcPr>
            <w:tcW w:w="535" w:type="dxa"/>
            <w:tcBorders>
              <w:top w:val="single" w:sz="4" w:space="0" w:color="000000"/>
            </w:tcBorders>
          </w:tcPr>
          <w:p w:rsidR="00EA40A3" w:rsidRDefault="00E86C16">
            <w:pPr>
              <w:spacing w:before="174" w:line="222" w:lineRule="auto"/>
              <w:ind w:left="64"/>
              <w:rPr>
                <w:rFonts w:ascii="宋体" w:eastAsia="宋体" w:hAnsi="宋体" w:cs="宋体"/>
                <w:sz w:val="16"/>
                <w:szCs w:val="16"/>
              </w:rPr>
            </w:pPr>
            <w:r>
              <w:rPr>
                <w:rFonts w:ascii="宋体" w:eastAsia="宋体" w:hAnsi="宋体" w:cs="宋体"/>
                <w:sz w:val="16"/>
                <w:szCs w:val="16"/>
              </w:rPr>
              <w:t>硒</w:t>
            </w:r>
          </w:p>
        </w:tc>
        <w:tc>
          <w:tcPr>
            <w:tcW w:w="504" w:type="dxa"/>
            <w:tcBorders>
              <w:top w:val="single" w:sz="4" w:space="0" w:color="000000"/>
            </w:tcBorders>
          </w:tcPr>
          <w:p w:rsidR="00EA40A3" w:rsidRDefault="00E86C16">
            <w:pPr>
              <w:spacing w:before="182" w:line="221" w:lineRule="auto"/>
              <w:ind w:left="179"/>
              <w:rPr>
                <w:rFonts w:ascii="宋体" w:eastAsia="宋体" w:hAnsi="宋体" w:cs="宋体"/>
                <w:sz w:val="16"/>
                <w:szCs w:val="16"/>
              </w:rPr>
            </w:pPr>
            <w:r>
              <w:rPr>
                <w:rFonts w:ascii="宋体" w:eastAsia="宋体" w:hAnsi="宋体" w:cs="宋体"/>
                <w:sz w:val="16"/>
                <w:szCs w:val="16"/>
              </w:rPr>
              <w:t>铜</w:t>
            </w:r>
          </w:p>
        </w:tc>
        <w:tc>
          <w:tcPr>
            <w:tcW w:w="515" w:type="dxa"/>
            <w:tcBorders>
              <w:top w:val="single" w:sz="4" w:space="0" w:color="000000"/>
            </w:tcBorders>
          </w:tcPr>
          <w:p w:rsidR="00EA40A3" w:rsidRDefault="00E86C16">
            <w:pPr>
              <w:spacing w:before="181" w:line="219" w:lineRule="auto"/>
              <w:ind w:left="175"/>
              <w:rPr>
                <w:rFonts w:ascii="宋体" w:eastAsia="宋体" w:hAnsi="宋体" w:cs="宋体"/>
                <w:sz w:val="16"/>
                <w:szCs w:val="16"/>
              </w:rPr>
            </w:pPr>
            <w:r>
              <w:rPr>
                <w:rFonts w:ascii="宋体" w:eastAsia="宋体" w:hAnsi="宋体" w:cs="宋体"/>
                <w:sz w:val="16"/>
                <w:szCs w:val="16"/>
              </w:rPr>
              <w:t>氟</w:t>
            </w:r>
          </w:p>
        </w:tc>
        <w:tc>
          <w:tcPr>
            <w:tcW w:w="590" w:type="dxa"/>
            <w:tcBorders>
              <w:top w:val="single" w:sz="4" w:space="0" w:color="000000"/>
            </w:tcBorders>
          </w:tcPr>
          <w:p w:rsidR="00EA40A3" w:rsidRDefault="00E86C16">
            <w:pPr>
              <w:spacing w:before="193" w:line="221" w:lineRule="auto"/>
              <w:ind w:left="151"/>
              <w:rPr>
                <w:rFonts w:ascii="宋体" w:eastAsia="宋体" w:hAnsi="宋体" w:cs="宋体"/>
                <w:sz w:val="16"/>
                <w:szCs w:val="16"/>
              </w:rPr>
            </w:pPr>
            <w:r>
              <w:rPr>
                <w:rFonts w:ascii="宋体" w:eastAsia="宋体" w:hAnsi="宋体" w:cs="宋体"/>
                <w:sz w:val="16"/>
                <w:szCs w:val="16"/>
              </w:rPr>
              <w:t>铬</w:t>
            </w:r>
          </w:p>
        </w:tc>
        <w:tc>
          <w:tcPr>
            <w:tcW w:w="570" w:type="dxa"/>
            <w:tcBorders>
              <w:top w:val="single" w:sz="4" w:space="0" w:color="000000"/>
            </w:tcBorders>
          </w:tcPr>
          <w:p w:rsidR="00EA40A3" w:rsidRDefault="00E86C16">
            <w:pPr>
              <w:spacing w:before="184" w:line="222" w:lineRule="auto"/>
              <w:ind w:left="140"/>
              <w:rPr>
                <w:rFonts w:ascii="宋体" w:eastAsia="宋体" w:hAnsi="宋体" w:cs="宋体"/>
                <w:sz w:val="16"/>
                <w:szCs w:val="16"/>
              </w:rPr>
            </w:pPr>
            <w:r>
              <w:rPr>
                <w:rFonts w:ascii="宋体" w:eastAsia="宋体" w:hAnsi="宋体" w:cs="宋体"/>
                <w:sz w:val="16"/>
                <w:szCs w:val="16"/>
              </w:rPr>
              <w:t>钼</w:t>
            </w:r>
          </w:p>
        </w:tc>
      </w:tr>
      <w:tr w:rsidR="00EA40A3">
        <w:trPr>
          <w:trHeight w:val="248"/>
        </w:trPr>
        <w:tc>
          <w:tcPr>
            <w:tcW w:w="670" w:type="dxa"/>
            <w:vMerge/>
            <w:tcBorders>
              <w:top w:val="nil"/>
              <w:bottom w:val="nil"/>
            </w:tcBorders>
          </w:tcPr>
          <w:p w:rsidR="00EA40A3" w:rsidRDefault="00EA40A3"/>
        </w:tc>
        <w:tc>
          <w:tcPr>
            <w:tcW w:w="520" w:type="dxa"/>
          </w:tcPr>
          <w:p w:rsidR="00EA40A3" w:rsidRDefault="00E86C16">
            <w:pPr>
              <w:spacing w:before="88" w:line="184" w:lineRule="auto"/>
              <w:ind w:left="179"/>
              <w:rPr>
                <w:rFonts w:ascii="宋体" w:eastAsia="宋体" w:hAnsi="宋体" w:cs="宋体"/>
                <w:sz w:val="16"/>
                <w:szCs w:val="16"/>
              </w:rPr>
            </w:pPr>
            <w:r>
              <w:rPr>
                <w:rFonts w:ascii="宋体" w:eastAsia="宋体" w:hAnsi="宋体" w:cs="宋体"/>
                <w:spacing w:val="-1"/>
                <w:sz w:val="16"/>
                <w:szCs w:val="16"/>
              </w:rPr>
              <w:t>AI</w:t>
            </w:r>
          </w:p>
        </w:tc>
        <w:tc>
          <w:tcPr>
            <w:tcW w:w="490" w:type="dxa"/>
          </w:tcPr>
          <w:p w:rsidR="00EA40A3" w:rsidRDefault="00E86C16">
            <w:pPr>
              <w:spacing w:before="88" w:line="184" w:lineRule="auto"/>
              <w:ind w:left="229"/>
              <w:rPr>
                <w:rFonts w:ascii="宋体" w:eastAsia="宋体" w:hAnsi="宋体" w:cs="宋体"/>
                <w:sz w:val="16"/>
                <w:szCs w:val="16"/>
              </w:rPr>
            </w:pPr>
            <w:r>
              <w:rPr>
                <w:rFonts w:ascii="宋体" w:eastAsia="宋体" w:hAnsi="宋体" w:cs="宋体"/>
                <w:spacing w:val="-1"/>
                <w:sz w:val="16"/>
                <w:szCs w:val="16"/>
              </w:rPr>
              <w:t>AI</w:t>
            </w:r>
          </w:p>
        </w:tc>
        <w:tc>
          <w:tcPr>
            <w:tcW w:w="520" w:type="dxa"/>
          </w:tcPr>
          <w:p w:rsidR="00EA40A3" w:rsidRDefault="00E86C16">
            <w:pPr>
              <w:spacing w:before="88" w:line="184" w:lineRule="auto"/>
              <w:ind w:left="160"/>
              <w:rPr>
                <w:rFonts w:ascii="宋体" w:eastAsia="宋体" w:hAnsi="宋体" w:cs="宋体"/>
                <w:sz w:val="16"/>
                <w:szCs w:val="16"/>
              </w:rPr>
            </w:pPr>
            <w:r>
              <w:rPr>
                <w:rFonts w:ascii="宋体" w:eastAsia="宋体" w:hAnsi="宋体" w:cs="宋体"/>
                <w:spacing w:val="-1"/>
                <w:sz w:val="16"/>
                <w:szCs w:val="16"/>
              </w:rPr>
              <w:t>AI</w:t>
            </w:r>
          </w:p>
        </w:tc>
        <w:tc>
          <w:tcPr>
            <w:tcW w:w="488" w:type="dxa"/>
          </w:tcPr>
          <w:p w:rsidR="00EA40A3" w:rsidRDefault="00E86C16">
            <w:pPr>
              <w:spacing w:before="78" w:line="184" w:lineRule="auto"/>
              <w:ind w:left="160"/>
              <w:rPr>
                <w:rFonts w:ascii="宋体" w:eastAsia="宋体" w:hAnsi="宋体" w:cs="宋体"/>
                <w:sz w:val="16"/>
                <w:szCs w:val="16"/>
              </w:rPr>
            </w:pPr>
            <w:r>
              <w:rPr>
                <w:rFonts w:ascii="宋体" w:eastAsia="宋体" w:hAnsi="宋体" w:cs="宋体"/>
                <w:spacing w:val="-1"/>
                <w:sz w:val="16"/>
                <w:szCs w:val="16"/>
              </w:rPr>
              <w:t>AI</w:t>
            </w:r>
          </w:p>
        </w:tc>
        <w:tc>
          <w:tcPr>
            <w:tcW w:w="445" w:type="dxa"/>
          </w:tcPr>
          <w:p w:rsidR="00EA40A3" w:rsidRDefault="00E86C16">
            <w:pPr>
              <w:spacing w:before="88" w:line="184" w:lineRule="auto"/>
              <w:ind w:left="182"/>
              <w:rPr>
                <w:rFonts w:ascii="宋体" w:eastAsia="宋体" w:hAnsi="宋体" w:cs="宋体"/>
                <w:sz w:val="16"/>
                <w:szCs w:val="16"/>
              </w:rPr>
            </w:pPr>
            <w:r>
              <w:rPr>
                <w:rFonts w:ascii="宋体" w:eastAsia="宋体" w:hAnsi="宋体" w:cs="宋体"/>
                <w:spacing w:val="-1"/>
                <w:sz w:val="16"/>
                <w:szCs w:val="16"/>
              </w:rPr>
              <w:t>AI</w:t>
            </w:r>
          </w:p>
        </w:tc>
        <w:tc>
          <w:tcPr>
            <w:tcW w:w="1081" w:type="dxa"/>
            <w:gridSpan w:val="2"/>
          </w:tcPr>
          <w:p w:rsidR="00EA40A3" w:rsidRDefault="00E86C16">
            <w:pPr>
              <w:spacing w:before="78" w:line="184" w:lineRule="auto"/>
              <w:ind w:left="237"/>
              <w:rPr>
                <w:rFonts w:ascii="宋体" w:eastAsia="宋体" w:hAnsi="宋体" w:cs="宋体"/>
                <w:sz w:val="16"/>
                <w:szCs w:val="16"/>
              </w:rPr>
            </w:pPr>
            <w:r>
              <w:rPr>
                <w:rFonts w:ascii="宋体" w:eastAsia="宋体" w:hAnsi="宋体" w:cs="宋体"/>
                <w:spacing w:val="-1"/>
                <w:sz w:val="16"/>
                <w:szCs w:val="16"/>
              </w:rPr>
              <w:t>AI</w:t>
            </w:r>
            <w:r>
              <w:rPr>
                <w:rFonts w:ascii="宋体" w:eastAsia="宋体" w:hAnsi="宋体" w:cs="宋体"/>
                <w:spacing w:val="17"/>
                <w:sz w:val="16"/>
                <w:szCs w:val="16"/>
              </w:rPr>
              <w:t xml:space="preserve">   </w:t>
            </w:r>
            <w:r>
              <w:rPr>
                <w:rFonts w:ascii="宋体" w:eastAsia="宋体" w:hAnsi="宋体" w:cs="宋体"/>
                <w:spacing w:val="-1"/>
                <w:sz w:val="16"/>
                <w:szCs w:val="16"/>
              </w:rPr>
              <w:t>RNI</w:t>
            </w:r>
          </w:p>
        </w:tc>
        <w:tc>
          <w:tcPr>
            <w:tcW w:w="421" w:type="dxa"/>
          </w:tcPr>
          <w:p w:rsidR="00EA40A3" w:rsidRDefault="00E86C16">
            <w:pPr>
              <w:spacing w:before="70" w:line="182" w:lineRule="auto"/>
              <w:ind w:left="126"/>
              <w:rPr>
                <w:rFonts w:ascii="宋体" w:eastAsia="宋体" w:hAnsi="宋体" w:cs="宋体"/>
                <w:sz w:val="16"/>
                <w:szCs w:val="16"/>
              </w:rPr>
            </w:pPr>
            <w:r>
              <w:rPr>
                <w:rFonts w:ascii="宋体" w:eastAsia="宋体" w:hAnsi="宋体" w:cs="宋体"/>
                <w:spacing w:val="-2"/>
                <w:sz w:val="16"/>
                <w:szCs w:val="16"/>
              </w:rPr>
              <w:t>RNI</w:t>
            </w:r>
          </w:p>
        </w:tc>
        <w:tc>
          <w:tcPr>
            <w:tcW w:w="535" w:type="dxa"/>
          </w:tcPr>
          <w:p w:rsidR="00EA40A3" w:rsidRDefault="00E86C16">
            <w:pPr>
              <w:spacing w:before="53" w:line="182" w:lineRule="auto"/>
              <w:ind w:left="165"/>
              <w:rPr>
                <w:rFonts w:ascii="宋体" w:eastAsia="宋体" w:hAnsi="宋体" w:cs="宋体"/>
                <w:sz w:val="16"/>
                <w:szCs w:val="16"/>
              </w:rPr>
            </w:pPr>
            <w:r>
              <w:rPr>
                <w:rFonts w:ascii="宋体" w:eastAsia="宋体" w:hAnsi="宋体" w:cs="宋体"/>
                <w:spacing w:val="-2"/>
                <w:sz w:val="16"/>
                <w:szCs w:val="16"/>
              </w:rPr>
              <w:t>RNJ</w:t>
            </w:r>
          </w:p>
        </w:tc>
        <w:tc>
          <w:tcPr>
            <w:tcW w:w="504" w:type="dxa"/>
          </w:tcPr>
          <w:p w:rsidR="00EA40A3" w:rsidRDefault="00E86C16">
            <w:pPr>
              <w:spacing w:before="78" w:line="184" w:lineRule="auto"/>
              <w:ind w:left="179"/>
              <w:rPr>
                <w:rFonts w:ascii="宋体" w:eastAsia="宋体" w:hAnsi="宋体" w:cs="宋体"/>
                <w:sz w:val="16"/>
                <w:szCs w:val="16"/>
              </w:rPr>
            </w:pPr>
            <w:r>
              <w:rPr>
                <w:rFonts w:ascii="宋体" w:eastAsia="宋体" w:hAnsi="宋体" w:cs="宋体"/>
                <w:spacing w:val="-1"/>
                <w:sz w:val="16"/>
                <w:szCs w:val="16"/>
              </w:rPr>
              <w:t>AI</w:t>
            </w:r>
          </w:p>
        </w:tc>
        <w:tc>
          <w:tcPr>
            <w:tcW w:w="515" w:type="dxa"/>
          </w:tcPr>
          <w:p w:rsidR="00EA40A3" w:rsidRDefault="00E86C16">
            <w:pPr>
              <w:spacing w:before="78" w:line="184" w:lineRule="auto"/>
              <w:ind w:left="175"/>
              <w:rPr>
                <w:rFonts w:ascii="宋体" w:eastAsia="宋体" w:hAnsi="宋体" w:cs="宋体"/>
                <w:sz w:val="16"/>
                <w:szCs w:val="16"/>
              </w:rPr>
            </w:pPr>
            <w:r>
              <w:rPr>
                <w:rFonts w:ascii="宋体" w:eastAsia="宋体" w:hAnsi="宋体" w:cs="宋体"/>
                <w:spacing w:val="-1"/>
                <w:sz w:val="16"/>
                <w:szCs w:val="16"/>
              </w:rPr>
              <w:t>AI</w:t>
            </w:r>
          </w:p>
        </w:tc>
        <w:tc>
          <w:tcPr>
            <w:tcW w:w="590" w:type="dxa"/>
          </w:tcPr>
          <w:p w:rsidR="00EA40A3" w:rsidRDefault="00E86C16">
            <w:pPr>
              <w:spacing w:before="85" w:line="187" w:lineRule="auto"/>
              <w:ind w:left="151"/>
              <w:rPr>
                <w:rFonts w:ascii="宋体" w:eastAsia="宋体" w:hAnsi="宋体" w:cs="宋体"/>
                <w:sz w:val="16"/>
                <w:szCs w:val="16"/>
              </w:rPr>
            </w:pPr>
            <w:r>
              <w:rPr>
                <w:rFonts w:ascii="宋体" w:eastAsia="宋体" w:hAnsi="宋体" w:cs="宋体"/>
                <w:spacing w:val="-1"/>
                <w:sz w:val="16"/>
                <w:szCs w:val="16"/>
              </w:rPr>
              <w:t>Al</w:t>
            </w:r>
          </w:p>
        </w:tc>
        <w:tc>
          <w:tcPr>
            <w:tcW w:w="570" w:type="dxa"/>
          </w:tcPr>
          <w:p w:rsidR="00EA40A3" w:rsidRDefault="00E86C16">
            <w:pPr>
              <w:spacing w:before="65" w:line="188" w:lineRule="auto"/>
              <w:ind w:left="140"/>
              <w:rPr>
                <w:rFonts w:ascii="宋体" w:eastAsia="宋体" w:hAnsi="宋体" w:cs="宋体"/>
                <w:sz w:val="16"/>
                <w:szCs w:val="16"/>
              </w:rPr>
            </w:pPr>
            <w:r>
              <w:rPr>
                <w:rFonts w:ascii="宋体" w:eastAsia="宋体" w:hAnsi="宋体" w:cs="宋体"/>
                <w:spacing w:val="-1"/>
                <w:sz w:val="16"/>
                <w:szCs w:val="16"/>
              </w:rPr>
              <w:t>Al</w:t>
            </w:r>
          </w:p>
        </w:tc>
      </w:tr>
      <w:tr w:rsidR="00EA40A3">
        <w:trPr>
          <w:trHeight w:val="337"/>
        </w:trPr>
        <w:tc>
          <w:tcPr>
            <w:tcW w:w="670" w:type="dxa"/>
            <w:vMerge/>
            <w:tcBorders>
              <w:top w:val="nil"/>
            </w:tcBorders>
          </w:tcPr>
          <w:p w:rsidR="00EA40A3" w:rsidRDefault="00EA40A3"/>
        </w:tc>
        <w:tc>
          <w:tcPr>
            <w:tcW w:w="520" w:type="dxa"/>
          </w:tcPr>
          <w:p w:rsidR="00EA40A3" w:rsidRDefault="00E86C16">
            <w:pPr>
              <w:spacing w:before="55" w:line="214" w:lineRule="auto"/>
              <w:ind w:left="139"/>
              <w:rPr>
                <w:rFonts w:ascii="宋体" w:eastAsia="宋体" w:hAnsi="宋体" w:cs="宋体"/>
                <w:sz w:val="16"/>
                <w:szCs w:val="16"/>
              </w:rPr>
            </w:pPr>
            <w:r>
              <w:rPr>
                <w:rFonts w:ascii="宋体" w:eastAsia="宋体" w:hAnsi="宋体" w:cs="宋体"/>
                <w:spacing w:val="-2"/>
                <w:sz w:val="16"/>
                <w:szCs w:val="16"/>
              </w:rPr>
              <w:t>/mg</w:t>
            </w:r>
          </w:p>
        </w:tc>
        <w:tc>
          <w:tcPr>
            <w:tcW w:w="490" w:type="dxa"/>
          </w:tcPr>
          <w:p w:rsidR="00EA40A3" w:rsidRDefault="00E86C16">
            <w:pPr>
              <w:spacing w:before="75" w:line="214" w:lineRule="auto"/>
              <w:ind w:left="150"/>
              <w:rPr>
                <w:rFonts w:ascii="宋体" w:eastAsia="宋体" w:hAnsi="宋体" w:cs="宋体"/>
                <w:sz w:val="16"/>
                <w:szCs w:val="16"/>
              </w:rPr>
            </w:pPr>
            <w:r>
              <w:rPr>
                <w:rFonts w:ascii="宋体" w:eastAsia="宋体" w:hAnsi="宋体" w:cs="宋体"/>
                <w:spacing w:val="-2"/>
                <w:sz w:val="16"/>
                <w:szCs w:val="16"/>
              </w:rPr>
              <w:t>/mg</w:t>
            </w:r>
          </w:p>
        </w:tc>
        <w:tc>
          <w:tcPr>
            <w:tcW w:w="520" w:type="dxa"/>
          </w:tcPr>
          <w:p w:rsidR="00EA40A3" w:rsidRDefault="00E86C16">
            <w:pPr>
              <w:spacing w:before="65" w:line="214" w:lineRule="auto"/>
              <w:ind w:left="190"/>
              <w:rPr>
                <w:rFonts w:ascii="宋体" w:eastAsia="宋体" w:hAnsi="宋体" w:cs="宋体"/>
                <w:sz w:val="16"/>
                <w:szCs w:val="16"/>
              </w:rPr>
            </w:pPr>
            <w:r>
              <w:rPr>
                <w:rFonts w:ascii="宋体" w:eastAsia="宋体" w:hAnsi="宋体" w:cs="宋体"/>
                <w:spacing w:val="-2"/>
                <w:sz w:val="16"/>
                <w:szCs w:val="16"/>
              </w:rPr>
              <w:t>/mg</w:t>
            </w:r>
          </w:p>
        </w:tc>
        <w:tc>
          <w:tcPr>
            <w:tcW w:w="488" w:type="dxa"/>
          </w:tcPr>
          <w:p w:rsidR="00EA40A3" w:rsidRDefault="00E86C16">
            <w:pPr>
              <w:spacing w:before="146" w:line="123" w:lineRule="exact"/>
              <w:ind w:left="100"/>
              <w:rPr>
                <w:rFonts w:ascii="宋体" w:eastAsia="宋体" w:hAnsi="宋体" w:cs="宋体"/>
                <w:sz w:val="16"/>
                <w:szCs w:val="16"/>
              </w:rPr>
            </w:pPr>
            <w:r>
              <w:rPr>
                <w:rFonts w:ascii="宋体" w:eastAsia="宋体" w:hAnsi="宋体" w:cs="宋体"/>
                <w:spacing w:val="-1"/>
                <w:position w:val="1"/>
                <w:sz w:val="16"/>
                <w:szCs w:val="16"/>
              </w:rPr>
              <w:t>mg</w:t>
            </w:r>
          </w:p>
        </w:tc>
        <w:tc>
          <w:tcPr>
            <w:tcW w:w="445" w:type="dxa"/>
          </w:tcPr>
          <w:p w:rsidR="00EA40A3" w:rsidRDefault="00E86C16">
            <w:pPr>
              <w:spacing w:before="75" w:line="214" w:lineRule="auto"/>
              <w:ind w:left="141"/>
              <w:rPr>
                <w:rFonts w:ascii="宋体" w:eastAsia="宋体" w:hAnsi="宋体" w:cs="宋体"/>
                <w:sz w:val="16"/>
                <w:szCs w:val="16"/>
              </w:rPr>
            </w:pPr>
            <w:r>
              <w:rPr>
                <w:rFonts w:ascii="宋体" w:eastAsia="宋体" w:hAnsi="宋体" w:cs="宋体"/>
                <w:spacing w:val="-2"/>
                <w:sz w:val="16"/>
                <w:szCs w:val="16"/>
              </w:rPr>
              <w:t>/mg</w:t>
            </w:r>
          </w:p>
        </w:tc>
        <w:tc>
          <w:tcPr>
            <w:tcW w:w="1081" w:type="dxa"/>
            <w:gridSpan w:val="2"/>
          </w:tcPr>
          <w:p w:rsidR="00EA40A3" w:rsidRDefault="00E86C16">
            <w:pPr>
              <w:spacing w:before="55" w:line="224" w:lineRule="auto"/>
              <w:ind w:left="176"/>
              <w:rPr>
                <w:rFonts w:ascii="宋体" w:eastAsia="宋体" w:hAnsi="宋体" w:cs="宋体"/>
                <w:sz w:val="16"/>
                <w:szCs w:val="16"/>
              </w:rPr>
            </w:pPr>
            <w:r>
              <w:rPr>
                <w:rFonts w:ascii="宋体" w:eastAsia="宋体" w:hAnsi="宋体" w:cs="宋体"/>
                <w:spacing w:val="-2"/>
                <w:position w:val="-1"/>
                <w:sz w:val="16"/>
                <w:szCs w:val="16"/>
              </w:rPr>
              <w:t>mg</w:t>
            </w:r>
            <w:r>
              <w:rPr>
                <w:rFonts w:ascii="宋体" w:eastAsia="宋体" w:hAnsi="宋体" w:cs="宋体"/>
                <w:spacing w:val="24"/>
                <w:w w:val="101"/>
                <w:position w:val="-1"/>
                <w:sz w:val="16"/>
                <w:szCs w:val="16"/>
              </w:rPr>
              <w:t xml:space="preserve">   </w:t>
            </w:r>
            <w:r>
              <w:rPr>
                <w:rFonts w:ascii="宋体" w:eastAsia="宋体" w:hAnsi="宋体" w:cs="宋体"/>
                <w:spacing w:val="-2"/>
                <w:sz w:val="16"/>
                <w:szCs w:val="16"/>
              </w:rPr>
              <w:t>/μg</w:t>
            </w:r>
          </w:p>
        </w:tc>
        <w:tc>
          <w:tcPr>
            <w:tcW w:w="421" w:type="dxa"/>
          </w:tcPr>
          <w:p w:rsidR="00EA40A3" w:rsidRDefault="00E86C16">
            <w:pPr>
              <w:spacing w:before="45" w:line="214" w:lineRule="auto"/>
              <w:ind w:left="126"/>
              <w:rPr>
                <w:rFonts w:ascii="宋体" w:eastAsia="宋体" w:hAnsi="宋体" w:cs="宋体"/>
                <w:sz w:val="16"/>
                <w:szCs w:val="16"/>
              </w:rPr>
            </w:pPr>
            <w:r>
              <w:rPr>
                <w:rFonts w:ascii="宋体" w:eastAsia="宋体" w:hAnsi="宋体" w:cs="宋体"/>
                <w:spacing w:val="-2"/>
                <w:sz w:val="16"/>
                <w:szCs w:val="16"/>
              </w:rPr>
              <w:t>/mg</w:t>
            </w:r>
          </w:p>
        </w:tc>
        <w:tc>
          <w:tcPr>
            <w:tcW w:w="535" w:type="dxa"/>
          </w:tcPr>
          <w:p w:rsidR="00EA40A3" w:rsidRDefault="00E86C16">
            <w:pPr>
              <w:spacing w:before="109" w:line="130" w:lineRule="exact"/>
              <w:ind w:left="165"/>
              <w:rPr>
                <w:rFonts w:ascii="宋体" w:eastAsia="宋体" w:hAnsi="宋体" w:cs="宋体"/>
                <w:sz w:val="16"/>
                <w:szCs w:val="16"/>
              </w:rPr>
            </w:pPr>
            <w:r>
              <w:rPr>
                <w:rFonts w:ascii="宋体" w:eastAsia="宋体" w:hAnsi="宋体" w:cs="宋体"/>
                <w:spacing w:val="-16"/>
                <w:position w:val="1"/>
                <w:sz w:val="16"/>
                <w:szCs w:val="16"/>
              </w:rPr>
              <w:t>μg</w:t>
            </w:r>
          </w:p>
        </w:tc>
        <w:tc>
          <w:tcPr>
            <w:tcW w:w="504" w:type="dxa"/>
          </w:tcPr>
          <w:p w:rsidR="00EA40A3" w:rsidRDefault="00E86C16">
            <w:pPr>
              <w:spacing w:before="65" w:line="214" w:lineRule="auto"/>
              <w:ind w:left="139"/>
              <w:rPr>
                <w:rFonts w:ascii="宋体" w:eastAsia="宋体" w:hAnsi="宋体" w:cs="宋体"/>
                <w:sz w:val="16"/>
                <w:szCs w:val="16"/>
              </w:rPr>
            </w:pPr>
            <w:r>
              <w:rPr>
                <w:rFonts w:ascii="宋体" w:eastAsia="宋体" w:hAnsi="宋体" w:cs="宋体"/>
                <w:spacing w:val="-2"/>
                <w:sz w:val="16"/>
                <w:szCs w:val="16"/>
              </w:rPr>
              <w:t>/mg</w:t>
            </w:r>
          </w:p>
        </w:tc>
        <w:tc>
          <w:tcPr>
            <w:tcW w:w="515" w:type="dxa"/>
          </w:tcPr>
          <w:p w:rsidR="00EA40A3" w:rsidRDefault="00E86C16">
            <w:pPr>
              <w:spacing w:before="65" w:line="214" w:lineRule="auto"/>
              <w:ind w:left="135"/>
              <w:rPr>
                <w:rFonts w:ascii="宋体" w:eastAsia="宋体" w:hAnsi="宋体" w:cs="宋体"/>
                <w:sz w:val="16"/>
                <w:szCs w:val="16"/>
              </w:rPr>
            </w:pPr>
            <w:r>
              <w:rPr>
                <w:rFonts w:ascii="宋体" w:eastAsia="宋体" w:hAnsi="宋体" w:cs="宋体"/>
                <w:spacing w:val="-2"/>
                <w:sz w:val="16"/>
                <w:szCs w:val="16"/>
              </w:rPr>
              <w:t>/mg</w:t>
            </w:r>
          </w:p>
        </w:tc>
        <w:tc>
          <w:tcPr>
            <w:tcW w:w="590" w:type="dxa"/>
          </w:tcPr>
          <w:p w:rsidR="00EA40A3" w:rsidRDefault="00E86C16">
            <w:pPr>
              <w:spacing w:before="55" w:line="214" w:lineRule="auto"/>
              <w:ind w:left="151"/>
              <w:rPr>
                <w:rFonts w:ascii="宋体" w:eastAsia="宋体" w:hAnsi="宋体" w:cs="宋体"/>
                <w:sz w:val="16"/>
                <w:szCs w:val="16"/>
              </w:rPr>
            </w:pPr>
            <w:r>
              <w:rPr>
                <w:rFonts w:ascii="宋体" w:eastAsia="宋体" w:hAnsi="宋体" w:cs="宋体"/>
                <w:spacing w:val="-2"/>
                <w:sz w:val="16"/>
                <w:szCs w:val="16"/>
              </w:rPr>
              <w:t>/μg</w:t>
            </w:r>
          </w:p>
        </w:tc>
        <w:tc>
          <w:tcPr>
            <w:tcW w:w="570" w:type="dxa"/>
          </w:tcPr>
          <w:p w:rsidR="00EA40A3" w:rsidRDefault="00E86C16">
            <w:pPr>
              <w:spacing w:before="45" w:line="214" w:lineRule="auto"/>
              <w:ind w:left="140"/>
              <w:rPr>
                <w:rFonts w:ascii="宋体" w:eastAsia="宋体" w:hAnsi="宋体" w:cs="宋体"/>
                <w:sz w:val="16"/>
                <w:szCs w:val="16"/>
              </w:rPr>
            </w:pPr>
            <w:r>
              <w:rPr>
                <w:rFonts w:ascii="宋体" w:eastAsia="宋体" w:hAnsi="宋体" w:cs="宋体"/>
                <w:spacing w:val="-2"/>
                <w:sz w:val="16"/>
                <w:szCs w:val="16"/>
              </w:rPr>
              <w:t>/μg</w:t>
            </w:r>
          </w:p>
        </w:tc>
      </w:tr>
      <w:tr w:rsidR="00EA40A3">
        <w:trPr>
          <w:trHeight w:val="333"/>
        </w:trPr>
        <w:tc>
          <w:tcPr>
            <w:tcW w:w="670" w:type="dxa"/>
          </w:tcPr>
          <w:p w:rsidR="00EA40A3" w:rsidRDefault="00E86C16">
            <w:pPr>
              <w:spacing w:before="124" w:line="183" w:lineRule="auto"/>
              <w:ind w:left="289"/>
              <w:rPr>
                <w:rFonts w:ascii="宋体" w:eastAsia="宋体" w:hAnsi="宋体" w:cs="宋体"/>
                <w:sz w:val="16"/>
                <w:szCs w:val="16"/>
              </w:rPr>
            </w:pPr>
            <w:r>
              <w:rPr>
                <w:rFonts w:ascii="宋体" w:eastAsia="宋体" w:hAnsi="宋体" w:cs="宋体"/>
                <w:spacing w:val="14"/>
                <w:w w:val="118"/>
                <w:sz w:val="16"/>
                <w:szCs w:val="16"/>
              </w:rPr>
              <w:t>3~</w:t>
            </w:r>
          </w:p>
        </w:tc>
        <w:tc>
          <w:tcPr>
            <w:tcW w:w="520" w:type="dxa"/>
          </w:tcPr>
          <w:p w:rsidR="00EA40A3" w:rsidRDefault="00E86C16">
            <w:pPr>
              <w:spacing w:before="134" w:line="183" w:lineRule="auto"/>
              <w:ind w:left="139"/>
              <w:rPr>
                <w:rFonts w:ascii="宋体" w:eastAsia="宋体" w:hAnsi="宋体" w:cs="宋体"/>
                <w:sz w:val="16"/>
                <w:szCs w:val="16"/>
              </w:rPr>
            </w:pPr>
            <w:r>
              <w:rPr>
                <w:rFonts w:ascii="宋体" w:eastAsia="宋体" w:hAnsi="宋体" w:cs="宋体"/>
                <w:spacing w:val="-2"/>
                <w:sz w:val="16"/>
                <w:szCs w:val="16"/>
              </w:rPr>
              <w:t>600</w:t>
            </w:r>
          </w:p>
        </w:tc>
        <w:tc>
          <w:tcPr>
            <w:tcW w:w="490" w:type="dxa"/>
          </w:tcPr>
          <w:p w:rsidR="00EA40A3" w:rsidRDefault="00E86C16">
            <w:pPr>
              <w:spacing w:before="134" w:line="183" w:lineRule="auto"/>
              <w:ind w:left="150"/>
              <w:rPr>
                <w:rFonts w:ascii="宋体" w:eastAsia="宋体" w:hAnsi="宋体" w:cs="宋体"/>
                <w:sz w:val="16"/>
                <w:szCs w:val="16"/>
              </w:rPr>
            </w:pPr>
            <w:r>
              <w:rPr>
                <w:rFonts w:ascii="宋体" w:eastAsia="宋体" w:hAnsi="宋体" w:cs="宋体"/>
                <w:spacing w:val="-2"/>
                <w:sz w:val="16"/>
                <w:szCs w:val="16"/>
              </w:rPr>
              <w:t>450</w:t>
            </w:r>
          </w:p>
        </w:tc>
        <w:tc>
          <w:tcPr>
            <w:tcW w:w="520" w:type="dxa"/>
          </w:tcPr>
          <w:p w:rsidR="00EA40A3" w:rsidRDefault="00E86C16">
            <w:pPr>
              <w:spacing w:before="103" w:line="184" w:lineRule="auto"/>
              <w:ind w:left="109"/>
              <w:rPr>
                <w:rFonts w:ascii="宋体" w:eastAsia="宋体" w:hAnsi="宋体" w:cs="宋体"/>
                <w:sz w:val="16"/>
                <w:szCs w:val="16"/>
              </w:rPr>
            </w:pPr>
            <w:r>
              <w:rPr>
                <w:rFonts w:ascii="宋体" w:eastAsia="宋体" w:hAnsi="宋体" w:cs="宋体"/>
                <w:spacing w:val="-4"/>
                <w:sz w:val="16"/>
                <w:szCs w:val="16"/>
              </w:rPr>
              <w:t>1000</w:t>
            </w:r>
          </w:p>
        </w:tc>
        <w:tc>
          <w:tcPr>
            <w:tcW w:w="488" w:type="dxa"/>
          </w:tcPr>
          <w:p w:rsidR="00EA40A3" w:rsidRDefault="00E86C16">
            <w:pPr>
              <w:spacing w:before="124" w:line="183" w:lineRule="auto"/>
              <w:ind w:left="120"/>
              <w:rPr>
                <w:rFonts w:ascii="宋体" w:eastAsia="宋体" w:hAnsi="宋体" w:cs="宋体"/>
                <w:sz w:val="16"/>
                <w:szCs w:val="16"/>
              </w:rPr>
            </w:pPr>
            <w:r>
              <w:rPr>
                <w:rFonts w:ascii="宋体" w:eastAsia="宋体" w:hAnsi="宋体" w:cs="宋体"/>
                <w:spacing w:val="-2"/>
                <w:sz w:val="16"/>
                <w:szCs w:val="16"/>
              </w:rPr>
              <w:t>650</w:t>
            </w:r>
          </w:p>
        </w:tc>
        <w:tc>
          <w:tcPr>
            <w:tcW w:w="445" w:type="dxa"/>
          </w:tcPr>
          <w:p w:rsidR="00EA40A3" w:rsidRDefault="00E86C16">
            <w:pPr>
              <w:spacing w:before="133" w:line="184" w:lineRule="auto"/>
              <w:ind w:left="141"/>
              <w:rPr>
                <w:rFonts w:ascii="宋体" w:eastAsia="宋体" w:hAnsi="宋体" w:cs="宋体"/>
                <w:sz w:val="16"/>
                <w:szCs w:val="16"/>
              </w:rPr>
            </w:pPr>
            <w:r>
              <w:rPr>
                <w:rFonts w:ascii="宋体" w:eastAsia="宋体" w:hAnsi="宋体" w:cs="宋体"/>
                <w:spacing w:val="-5"/>
                <w:sz w:val="16"/>
                <w:szCs w:val="16"/>
              </w:rPr>
              <w:t>100</w:t>
            </w:r>
          </w:p>
        </w:tc>
        <w:tc>
          <w:tcPr>
            <w:tcW w:w="548" w:type="dxa"/>
          </w:tcPr>
          <w:p w:rsidR="00EA40A3" w:rsidRDefault="00E86C16">
            <w:pPr>
              <w:spacing w:before="113" w:line="184" w:lineRule="auto"/>
              <w:ind w:left="237"/>
              <w:rPr>
                <w:rFonts w:ascii="宋体" w:eastAsia="宋体" w:hAnsi="宋体" w:cs="宋体"/>
                <w:sz w:val="16"/>
                <w:szCs w:val="16"/>
              </w:rPr>
            </w:pPr>
            <w:r>
              <w:rPr>
                <w:rFonts w:ascii="宋体" w:eastAsia="宋体" w:hAnsi="宋体" w:cs="宋体"/>
                <w:spacing w:val="-5"/>
                <w:sz w:val="16"/>
                <w:szCs w:val="16"/>
              </w:rPr>
              <w:t>12</w:t>
            </w:r>
          </w:p>
        </w:tc>
        <w:tc>
          <w:tcPr>
            <w:tcW w:w="533" w:type="dxa"/>
          </w:tcPr>
          <w:p w:rsidR="00EA40A3" w:rsidRDefault="00E86C16">
            <w:pPr>
              <w:spacing w:before="124" w:line="183" w:lineRule="auto"/>
              <w:ind w:left="179"/>
              <w:rPr>
                <w:rFonts w:ascii="宋体" w:eastAsia="宋体" w:hAnsi="宋体" w:cs="宋体"/>
                <w:sz w:val="16"/>
                <w:szCs w:val="16"/>
              </w:rPr>
            </w:pPr>
            <w:r>
              <w:rPr>
                <w:rFonts w:ascii="宋体" w:eastAsia="宋体" w:hAnsi="宋体" w:cs="宋体"/>
                <w:spacing w:val="-3"/>
                <w:sz w:val="16"/>
                <w:szCs w:val="16"/>
              </w:rPr>
              <w:t>50</w:t>
            </w:r>
          </w:p>
        </w:tc>
        <w:tc>
          <w:tcPr>
            <w:tcW w:w="421" w:type="dxa"/>
          </w:tcPr>
          <w:p w:rsidR="00EA40A3" w:rsidRDefault="00E86C16">
            <w:pPr>
              <w:spacing w:before="124" w:line="183" w:lineRule="auto"/>
              <w:ind w:left="126"/>
              <w:rPr>
                <w:rFonts w:ascii="宋体" w:eastAsia="宋体" w:hAnsi="宋体" w:cs="宋体"/>
                <w:sz w:val="16"/>
                <w:szCs w:val="16"/>
              </w:rPr>
            </w:pPr>
            <w:r>
              <w:rPr>
                <w:rFonts w:ascii="宋体" w:eastAsia="宋体" w:hAnsi="宋体" w:cs="宋体"/>
                <w:spacing w:val="-2"/>
                <w:sz w:val="16"/>
                <w:szCs w:val="16"/>
              </w:rPr>
              <w:t>9.0</w:t>
            </w:r>
          </w:p>
        </w:tc>
        <w:tc>
          <w:tcPr>
            <w:tcW w:w="535" w:type="dxa"/>
          </w:tcPr>
          <w:p w:rsidR="00EA40A3" w:rsidRDefault="00E86C16">
            <w:pPr>
              <w:spacing w:before="124" w:line="183" w:lineRule="auto"/>
              <w:ind w:left="244"/>
              <w:rPr>
                <w:rFonts w:ascii="宋体" w:eastAsia="宋体" w:hAnsi="宋体" w:cs="宋体"/>
                <w:sz w:val="16"/>
                <w:szCs w:val="16"/>
              </w:rPr>
            </w:pPr>
            <w:r>
              <w:rPr>
                <w:rFonts w:ascii="宋体" w:eastAsia="宋体" w:hAnsi="宋体" w:cs="宋体"/>
                <w:spacing w:val="-3"/>
                <w:sz w:val="16"/>
                <w:szCs w:val="16"/>
              </w:rPr>
              <w:t>20</w:t>
            </w:r>
          </w:p>
        </w:tc>
        <w:tc>
          <w:tcPr>
            <w:tcW w:w="504" w:type="dxa"/>
          </w:tcPr>
          <w:p w:rsidR="00EA40A3" w:rsidRDefault="00E86C16">
            <w:pPr>
              <w:spacing w:before="114" w:line="183" w:lineRule="auto"/>
              <w:ind w:left="139"/>
              <w:rPr>
                <w:rFonts w:ascii="宋体" w:eastAsia="宋体" w:hAnsi="宋体" w:cs="宋体"/>
                <w:sz w:val="16"/>
                <w:szCs w:val="16"/>
              </w:rPr>
            </w:pPr>
            <w:r>
              <w:rPr>
                <w:rFonts w:ascii="宋体" w:eastAsia="宋体" w:hAnsi="宋体" w:cs="宋体"/>
                <w:spacing w:val="-2"/>
                <w:sz w:val="16"/>
                <w:szCs w:val="16"/>
              </w:rPr>
              <w:t>0.8</w:t>
            </w:r>
          </w:p>
        </w:tc>
        <w:tc>
          <w:tcPr>
            <w:tcW w:w="515" w:type="dxa"/>
          </w:tcPr>
          <w:p w:rsidR="00EA40A3" w:rsidRDefault="00E86C16">
            <w:pPr>
              <w:spacing w:before="134" w:line="183" w:lineRule="auto"/>
              <w:ind w:left="135"/>
              <w:rPr>
                <w:rFonts w:ascii="宋体" w:eastAsia="宋体" w:hAnsi="宋体" w:cs="宋体"/>
                <w:sz w:val="16"/>
                <w:szCs w:val="16"/>
              </w:rPr>
            </w:pPr>
            <w:r>
              <w:rPr>
                <w:rFonts w:ascii="宋体" w:eastAsia="宋体" w:hAnsi="宋体" w:cs="宋体"/>
                <w:spacing w:val="-2"/>
                <w:sz w:val="16"/>
                <w:szCs w:val="16"/>
              </w:rPr>
              <w:t>0.6</w:t>
            </w:r>
          </w:p>
        </w:tc>
        <w:tc>
          <w:tcPr>
            <w:tcW w:w="590" w:type="dxa"/>
          </w:tcPr>
          <w:p w:rsidR="00EA40A3" w:rsidRDefault="00E86C16">
            <w:pPr>
              <w:spacing w:before="124" w:line="183" w:lineRule="auto"/>
              <w:ind w:left="151"/>
              <w:rPr>
                <w:rFonts w:ascii="宋体" w:eastAsia="宋体" w:hAnsi="宋体" w:cs="宋体"/>
                <w:sz w:val="16"/>
                <w:szCs w:val="16"/>
              </w:rPr>
            </w:pPr>
            <w:r>
              <w:rPr>
                <w:rFonts w:ascii="宋体" w:eastAsia="宋体" w:hAnsi="宋体" w:cs="宋体"/>
                <w:spacing w:val="-3"/>
                <w:sz w:val="16"/>
                <w:szCs w:val="16"/>
              </w:rPr>
              <w:t>20</w:t>
            </w:r>
          </w:p>
        </w:tc>
        <w:tc>
          <w:tcPr>
            <w:tcW w:w="570" w:type="dxa"/>
          </w:tcPr>
          <w:p w:rsidR="00EA40A3" w:rsidRDefault="00E86C16">
            <w:pPr>
              <w:spacing w:before="103" w:line="184" w:lineRule="auto"/>
              <w:ind w:left="140"/>
              <w:rPr>
                <w:rFonts w:ascii="宋体" w:eastAsia="宋体" w:hAnsi="宋体" w:cs="宋体"/>
                <w:sz w:val="16"/>
                <w:szCs w:val="16"/>
              </w:rPr>
            </w:pPr>
            <w:r>
              <w:rPr>
                <w:rFonts w:ascii="宋体" w:eastAsia="宋体" w:hAnsi="宋体" w:cs="宋体"/>
                <w:spacing w:val="-5"/>
                <w:sz w:val="16"/>
                <w:szCs w:val="16"/>
              </w:rPr>
              <w:t>15</w:t>
            </w:r>
          </w:p>
        </w:tc>
      </w:tr>
      <w:tr w:rsidR="00EA40A3">
        <w:trPr>
          <w:trHeight w:val="298"/>
        </w:trPr>
        <w:tc>
          <w:tcPr>
            <w:tcW w:w="670" w:type="dxa"/>
          </w:tcPr>
          <w:p w:rsidR="00EA40A3" w:rsidRDefault="00E86C16">
            <w:pPr>
              <w:spacing w:before="101" w:line="183" w:lineRule="auto"/>
              <w:ind w:left="289"/>
              <w:rPr>
                <w:rFonts w:ascii="宋体" w:eastAsia="宋体" w:hAnsi="宋体" w:cs="宋体"/>
                <w:sz w:val="16"/>
                <w:szCs w:val="16"/>
              </w:rPr>
            </w:pPr>
            <w:r>
              <w:rPr>
                <w:rFonts w:ascii="宋体" w:eastAsia="宋体" w:hAnsi="宋体" w:cs="宋体"/>
                <w:spacing w:val="10"/>
                <w:w w:val="125"/>
                <w:sz w:val="16"/>
                <w:szCs w:val="16"/>
              </w:rPr>
              <w:t>4~</w:t>
            </w:r>
          </w:p>
        </w:tc>
        <w:tc>
          <w:tcPr>
            <w:tcW w:w="520" w:type="dxa"/>
          </w:tcPr>
          <w:p w:rsidR="00EA40A3" w:rsidRDefault="00E86C16">
            <w:pPr>
              <w:spacing w:before="101" w:line="183" w:lineRule="auto"/>
              <w:ind w:left="139"/>
              <w:rPr>
                <w:rFonts w:ascii="宋体" w:eastAsia="宋体" w:hAnsi="宋体" w:cs="宋体"/>
                <w:sz w:val="16"/>
                <w:szCs w:val="16"/>
              </w:rPr>
            </w:pPr>
            <w:r>
              <w:rPr>
                <w:rFonts w:ascii="宋体" w:eastAsia="宋体" w:hAnsi="宋体" w:cs="宋体"/>
                <w:spacing w:val="-2"/>
                <w:sz w:val="16"/>
                <w:szCs w:val="16"/>
              </w:rPr>
              <w:t>800</w:t>
            </w:r>
          </w:p>
        </w:tc>
        <w:tc>
          <w:tcPr>
            <w:tcW w:w="490" w:type="dxa"/>
          </w:tcPr>
          <w:p w:rsidR="00EA40A3" w:rsidRDefault="00E86C16">
            <w:pPr>
              <w:spacing w:before="101" w:line="183" w:lineRule="auto"/>
              <w:ind w:left="150"/>
              <w:rPr>
                <w:rFonts w:ascii="宋体" w:eastAsia="宋体" w:hAnsi="宋体" w:cs="宋体"/>
                <w:sz w:val="16"/>
                <w:szCs w:val="16"/>
              </w:rPr>
            </w:pPr>
            <w:r>
              <w:rPr>
                <w:rFonts w:ascii="宋体" w:eastAsia="宋体" w:hAnsi="宋体" w:cs="宋体"/>
                <w:spacing w:val="-3"/>
                <w:sz w:val="16"/>
                <w:szCs w:val="16"/>
              </w:rPr>
              <w:t>500</w:t>
            </w:r>
          </w:p>
        </w:tc>
        <w:tc>
          <w:tcPr>
            <w:tcW w:w="520" w:type="dxa"/>
          </w:tcPr>
          <w:p w:rsidR="00EA40A3" w:rsidRDefault="00E86C16">
            <w:pPr>
              <w:spacing w:before="100" w:line="184" w:lineRule="auto"/>
              <w:ind w:left="109"/>
              <w:rPr>
                <w:rFonts w:ascii="宋体" w:eastAsia="宋体" w:hAnsi="宋体" w:cs="宋体"/>
                <w:sz w:val="16"/>
                <w:szCs w:val="16"/>
              </w:rPr>
            </w:pPr>
            <w:r>
              <w:rPr>
                <w:rFonts w:ascii="宋体" w:eastAsia="宋体" w:hAnsi="宋体" w:cs="宋体"/>
                <w:spacing w:val="-4"/>
                <w:sz w:val="16"/>
                <w:szCs w:val="16"/>
              </w:rPr>
              <w:t>1500</w:t>
            </w:r>
          </w:p>
        </w:tc>
        <w:tc>
          <w:tcPr>
            <w:tcW w:w="488" w:type="dxa"/>
          </w:tcPr>
          <w:p w:rsidR="00EA40A3" w:rsidRDefault="00E86C16">
            <w:pPr>
              <w:spacing w:before="101" w:line="183" w:lineRule="auto"/>
              <w:ind w:left="120"/>
              <w:rPr>
                <w:rFonts w:ascii="宋体" w:eastAsia="宋体" w:hAnsi="宋体" w:cs="宋体"/>
                <w:sz w:val="16"/>
                <w:szCs w:val="16"/>
              </w:rPr>
            </w:pPr>
            <w:r>
              <w:rPr>
                <w:rFonts w:ascii="宋体" w:eastAsia="宋体" w:hAnsi="宋体" w:cs="宋体"/>
                <w:spacing w:val="-2"/>
                <w:sz w:val="16"/>
                <w:szCs w:val="16"/>
              </w:rPr>
              <w:t>900</w:t>
            </w:r>
          </w:p>
        </w:tc>
        <w:tc>
          <w:tcPr>
            <w:tcW w:w="445" w:type="dxa"/>
          </w:tcPr>
          <w:p w:rsidR="00EA40A3" w:rsidRDefault="00E86C16">
            <w:pPr>
              <w:spacing w:before="100" w:line="184" w:lineRule="auto"/>
              <w:ind w:left="141"/>
              <w:rPr>
                <w:rFonts w:ascii="宋体" w:eastAsia="宋体" w:hAnsi="宋体" w:cs="宋体"/>
                <w:sz w:val="16"/>
                <w:szCs w:val="16"/>
              </w:rPr>
            </w:pPr>
            <w:r>
              <w:rPr>
                <w:rFonts w:ascii="宋体" w:eastAsia="宋体" w:hAnsi="宋体" w:cs="宋体"/>
                <w:spacing w:val="-5"/>
                <w:sz w:val="16"/>
                <w:szCs w:val="16"/>
              </w:rPr>
              <w:t>150</w:t>
            </w:r>
          </w:p>
        </w:tc>
        <w:tc>
          <w:tcPr>
            <w:tcW w:w="548" w:type="dxa"/>
          </w:tcPr>
          <w:p w:rsidR="00EA40A3" w:rsidRDefault="00E86C16">
            <w:pPr>
              <w:spacing w:before="100" w:line="184" w:lineRule="auto"/>
              <w:ind w:left="237"/>
              <w:rPr>
                <w:rFonts w:ascii="宋体" w:eastAsia="宋体" w:hAnsi="宋体" w:cs="宋体"/>
                <w:sz w:val="16"/>
                <w:szCs w:val="16"/>
              </w:rPr>
            </w:pPr>
            <w:r>
              <w:rPr>
                <w:rFonts w:ascii="宋体" w:eastAsia="宋体" w:hAnsi="宋体" w:cs="宋体"/>
                <w:spacing w:val="-5"/>
                <w:sz w:val="16"/>
                <w:szCs w:val="16"/>
              </w:rPr>
              <w:t>12</w:t>
            </w:r>
          </w:p>
        </w:tc>
        <w:tc>
          <w:tcPr>
            <w:tcW w:w="533" w:type="dxa"/>
          </w:tcPr>
          <w:p w:rsidR="00EA40A3" w:rsidRDefault="00E86C16">
            <w:pPr>
              <w:spacing w:before="101" w:line="183" w:lineRule="auto"/>
              <w:ind w:left="179"/>
              <w:rPr>
                <w:rFonts w:ascii="宋体" w:eastAsia="宋体" w:hAnsi="宋体" w:cs="宋体"/>
                <w:sz w:val="16"/>
                <w:szCs w:val="16"/>
              </w:rPr>
            </w:pPr>
            <w:r>
              <w:rPr>
                <w:rFonts w:ascii="宋体" w:eastAsia="宋体" w:hAnsi="宋体" w:cs="宋体"/>
                <w:spacing w:val="-2"/>
                <w:sz w:val="16"/>
                <w:szCs w:val="16"/>
              </w:rPr>
              <w:t>90</w:t>
            </w:r>
          </w:p>
        </w:tc>
        <w:tc>
          <w:tcPr>
            <w:tcW w:w="421" w:type="dxa"/>
          </w:tcPr>
          <w:p w:rsidR="00EA40A3" w:rsidRDefault="00E86C16">
            <w:pPr>
              <w:spacing w:before="100" w:line="184" w:lineRule="auto"/>
              <w:ind w:left="205"/>
              <w:rPr>
                <w:rFonts w:ascii="宋体" w:eastAsia="宋体" w:hAnsi="宋体" w:cs="宋体"/>
                <w:sz w:val="16"/>
                <w:szCs w:val="16"/>
              </w:rPr>
            </w:pPr>
            <w:r>
              <w:rPr>
                <w:rFonts w:ascii="宋体" w:eastAsia="宋体" w:hAnsi="宋体" w:cs="宋体"/>
                <w:spacing w:val="-5"/>
                <w:sz w:val="16"/>
                <w:szCs w:val="16"/>
              </w:rPr>
              <w:t>12</w:t>
            </w:r>
          </w:p>
        </w:tc>
        <w:tc>
          <w:tcPr>
            <w:tcW w:w="535" w:type="dxa"/>
          </w:tcPr>
          <w:p w:rsidR="00EA40A3" w:rsidRDefault="00E86C16">
            <w:pPr>
              <w:spacing w:before="101" w:line="183" w:lineRule="auto"/>
              <w:ind w:left="244"/>
              <w:rPr>
                <w:rFonts w:ascii="宋体" w:eastAsia="宋体" w:hAnsi="宋体" w:cs="宋体"/>
                <w:sz w:val="16"/>
                <w:szCs w:val="16"/>
              </w:rPr>
            </w:pPr>
            <w:r>
              <w:rPr>
                <w:rFonts w:ascii="宋体" w:eastAsia="宋体" w:hAnsi="宋体" w:cs="宋体"/>
                <w:spacing w:val="-3"/>
                <w:sz w:val="16"/>
                <w:szCs w:val="16"/>
              </w:rPr>
              <w:t>25</w:t>
            </w:r>
          </w:p>
        </w:tc>
        <w:tc>
          <w:tcPr>
            <w:tcW w:w="504" w:type="dxa"/>
          </w:tcPr>
          <w:p w:rsidR="00EA40A3" w:rsidRDefault="00E86C16">
            <w:pPr>
              <w:spacing w:before="101" w:line="184" w:lineRule="auto"/>
              <w:ind w:left="139"/>
              <w:rPr>
                <w:rFonts w:ascii="宋体" w:eastAsia="宋体" w:hAnsi="宋体" w:cs="宋体"/>
                <w:sz w:val="16"/>
                <w:szCs w:val="16"/>
              </w:rPr>
            </w:pPr>
            <w:r>
              <w:rPr>
                <w:rFonts w:ascii="宋体" w:eastAsia="宋体" w:hAnsi="宋体" w:cs="宋体"/>
                <w:spacing w:val="-5"/>
                <w:sz w:val="16"/>
                <w:szCs w:val="16"/>
              </w:rPr>
              <w:t>1.0</w:t>
            </w:r>
          </w:p>
        </w:tc>
        <w:tc>
          <w:tcPr>
            <w:tcW w:w="515" w:type="dxa"/>
          </w:tcPr>
          <w:p w:rsidR="00EA40A3" w:rsidRDefault="00E86C16">
            <w:pPr>
              <w:spacing w:before="101" w:line="183" w:lineRule="auto"/>
              <w:ind w:left="135"/>
              <w:rPr>
                <w:rFonts w:ascii="宋体" w:eastAsia="宋体" w:hAnsi="宋体" w:cs="宋体"/>
                <w:sz w:val="16"/>
                <w:szCs w:val="16"/>
              </w:rPr>
            </w:pPr>
            <w:r>
              <w:rPr>
                <w:rFonts w:ascii="宋体" w:eastAsia="宋体" w:hAnsi="宋体" w:cs="宋体"/>
                <w:spacing w:val="-2"/>
                <w:sz w:val="16"/>
                <w:szCs w:val="16"/>
              </w:rPr>
              <w:t>0.8</w:t>
            </w:r>
          </w:p>
        </w:tc>
        <w:tc>
          <w:tcPr>
            <w:tcW w:w="590" w:type="dxa"/>
          </w:tcPr>
          <w:p w:rsidR="00EA40A3" w:rsidRDefault="00E86C16">
            <w:pPr>
              <w:spacing w:before="101" w:line="183" w:lineRule="auto"/>
              <w:ind w:left="151"/>
              <w:rPr>
                <w:rFonts w:ascii="宋体" w:eastAsia="宋体" w:hAnsi="宋体" w:cs="宋体"/>
                <w:sz w:val="16"/>
                <w:szCs w:val="16"/>
              </w:rPr>
            </w:pPr>
            <w:r>
              <w:rPr>
                <w:rFonts w:ascii="宋体" w:eastAsia="宋体" w:hAnsi="宋体" w:cs="宋体"/>
                <w:spacing w:val="-3"/>
                <w:sz w:val="16"/>
                <w:szCs w:val="16"/>
              </w:rPr>
              <w:t>30</w:t>
            </w:r>
          </w:p>
        </w:tc>
        <w:tc>
          <w:tcPr>
            <w:tcW w:w="570" w:type="dxa"/>
          </w:tcPr>
          <w:p w:rsidR="00EA40A3" w:rsidRDefault="00E86C16">
            <w:pPr>
              <w:spacing w:before="101" w:line="183" w:lineRule="auto"/>
              <w:ind w:left="140"/>
              <w:rPr>
                <w:rFonts w:ascii="宋体" w:eastAsia="宋体" w:hAnsi="宋体" w:cs="宋体"/>
                <w:sz w:val="16"/>
                <w:szCs w:val="16"/>
              </w:rPr>
            </w:pPr>
            <w:r>
              <w:rPr>
                <w:rFonts w:ascii="宋体" w:eastAsia="宋体" w:hAnsi="宋体" w:cs="宋体"/>
                <w:spacing w:val="-3"/>
                <w:sz w:val="16"/>
                <w:szCs w:val="16"/>
              </w:rPr>
              <w:t>20</w:t>
            </w:r>
          </w:p>
        </w:tc>
      </w:tr>
      <w:tr w:rsidR="00EA40A3">
        <w:trPr>
          <w:trHeight w:val="270"/>
        </w:trPr>
        <w:tc>
          <w:tcPr>
            <w:tcW w:w="670" w:type="dxa"/>
            <w:tcBorders>
              <w:bottom w:val="single" w:sz="4" w:space="0" w:color="000000"/>
            </w:tcBorders>
          </w:tcPr>
          <w:p w:rsidR="00EA40A3" w:rsidRDefault="00E86C16">
            <w:pPr>
              <w:spacing w:before="103" w:line="183" w:lineRule="auto"/>
              <w:ind w:left="210"/>
              <w:rPr>
                <w:rFonts w:ascii="宋体" w:eastAsia="宋体" w:hAnsi="宋体" w:cs="宋体"/>
                <w:sz w:val="16"/>
                <w:szCs w:val="16"/>
              </w:rPr>
            </w:pPr>
            <w:r>
              <w:rPr>
                <w:rFonts w:ascii="宋体" w:eastAsia="宋体" w:hAnsi="宋体" w:cs="宋体"/>
                <w:spacing w:val="-3"/>
                <w:sz w:val="16"/>
                <w:szCs w:val="16"/>
              </w:rPr>
              <w:t>5～6</w:t>
            </w:r>
          </w:p>
        </w:tc>
        <w:tc>
          <w:tcPr>
            <w:tcW w:w="520" w:type="dxa"/>
            <w:tcBorders>
              <w:bottom w:val="single" w:sz="4" w:space="0" w:color="000000"/>
            </w:tcBorders>
          </w:tcPr>
          <w:p w:rsidR="00EA40A3" w:rsidRDefault="00E86C16">
            <w:pPr>
              <w:spacing w:before="103" w:line="183" w:lineRule="auto"/>
              <w:ind w:left="139"/>
              <w:rPr>
                <w:rFonts w:ascii="宋体" w:eastAsia="宋体" w:hAnsi="宋体" w:cs="宋体"/>
                <w:sz w:val="16"/>
                <w:szCs w:val="16"/>
              </w:rPr>
            </w:pPr>
            <w:r>
              <w:rPr>
                <w:rFonts w:ascii="宋体" w:eastAsia="宋体" w:hAnsi="宋体" w:cs="宋体"/>
                <w:spacing w:val="-2"/>
                <w:sz w:val="16"/>
                <w:szCs w:val="16"/>
              </w:rPr>
              <w:t>800</w:t>
            </w:r>
          </w:p>
        </w:tc>
        <w:tc>
          <w:tcPr>
            <w:tcW w:w="490" w:type="dxa"/>
            <w:tcBorders>
              <w:bottom w:val="single" w:sz="4" w:space="0" w:color="000000"/>
            </w:tcBorders>
          </w:tcPr>
          <w:p w:rsidR="00EA40A3" w:rsidRDefault="00E86C16">
            <w:pPr>
              <w:spacing w:before="103" w:line="183" w:lineRule="auto"/>
              <w:ind w:left="150"/>
              <w:rPr>
                <w:rFonts w:ascii="宋体" w:eastAsia="宋体" w:hAnsi="宋体" w:cs="宋体"/>
                <w:sz w:val="16"/>
                <w:szCs w:val="16"/>
              </w:rPr>
            </w:pPr>
            <w:r>
              <w:rPr>
                <w:rFonts w:ascii="宋体" w:eastAsia="宋体" w:hAnsi="宋体" w:cs="宋体"/>
                <w:spacing w:val="-3"/>
                <w:sz w:val="16"/>
                <w:szCs w:val="16"/>
              </w:rPr>
              <w:t>500</w:t>
            </w:r>
          </w:p>
        </w:tc>
        <w:tc>
          <w:tcPr>
            <w:tcW w:w="520" w:type="dxa"/>
            <w:tcBorders>
              <w:bottom w:val="single" w:sz="4" w:space="0" w:color="000000"/>
            </w:tcBorders>
          </w:tcPr>
          <w:p w:rsidR="00EA40A3" w:rsidRDefault="00E86C16">
            <w:pPr>
              <w:spacing w:before="102" w:line="184" w:lineRule="auto"/>
              <w:ind w:left="109"/>
              <w:rPr>
                <w:rFonts w:ascii="宋体" w:eastAsia="宋体" w:hAnsi="宋体" w:cs="宋体"/>
                <w:sz w:val="16"/>
                <w:szCs w:val="16"/>
              </w:rPr>
            </w:pPr>
            <w:r>
              <w:rPr>
                <w:rFonts w:ascii="宋体" w:eastAsia="宋体" w:hAnsi="宋体" w:cs="宋体"/>
                <w:spacing w:val="-4"/>
                <w:sz w:val="16"/>
                <w:szCs w:val="16"/>
              </w:rPr>
              <w:t>1500</w:t>
            </w:r>
          </w:p>
        </w:tc>
        <w:tc>
          <w:tcPr>
            <w:tcW w:w="488" w:type="dxa"/>
            <w:tcBorders>
              <w:bottom w:val="single" w:sz="4" w:space="0" w:color="000000"/>
            </w:tcBorders>
          </w:tcPr>
          <w:p w:rsidR="00EA40A3" w:rsidRDefault="00E86C16">
            <w:pPr>
              <w:spacing w:before="103" w:line="183" w:lineRule="auto"/>
              <w:ind w:left="120"/>
              <w:rPr>
                <w:rFonts w:ascii="宋体" w:eastAsia="宋体" w:hAnsi="宋体" w:cs="宋体"/>
                <w:sz w:val="16"/>
                <w:szCs w:val="16"/>
              </w:rPr>
            </w:pPr>
            <w:r>
              <w:rPr>
                <w:rFonts w:ascii="宋体" w:eastAsia="宋体" w:hAnsi="宋体" w:cs="宋体"/>
                <w:spacing w:val="-2"/>
                <w:sz w:val="16"/>
                <w:szCs w:val="16"/>
              </w:rPr>
              <w:t>900</w:t>
            </w:r>
          </w:p>
        </w:tc>
        <w:tc>
          <w:tcPr>
            <w:tcW w:w="445" w:type="dxa"/>
            <w:tcBorders>
              <w:bottom w:val="single" w:sz="4" w:space="0" w:color="000000"/>
            </w:tcBorders>
          </w:tcPr>
          <w:p w:rsidR="00EA40A3" w:rsidRDefault="00E86C16">
            <w:pPr>
              <w:spacing w:before="102" w:line="184" w:lineRule="auto"/>
              <w:ind w:left="141"/>
              <w:rPr>
                <w:rFonts w:ascii="宋体" w:eastAsia="宋体" w:hAnsi="宋体" w:cs="宋体"/>
                <w:sz w:val="16"/>
                <w:szCs w:val="16"/>
              </w:rPr>
            </w:pPr>
            <w:r>
              <w:rPr>
                <w:rFonts w:ascii="宋体" w:eastAsia="宋体" w:hAnsi="宋体" w:cs="宋体"/>
                <w:spacing w:val="-5"/>
                <w:sz w:val="16"/>
                <w:szCs w:val="16"/>
              </w:rPr>
              <w:t>150</w:t>
            </w:r>
          </w:p>
        </w:tc>
        <w:tc>
          <w:tcPr>
            <w:tcW w:w="548" w:type="dxa"/>
            <w:tcBorders>
              <w:bottom w:val="single" w:sz="4" w:space="0" w:color="000000"/>
            </w:tcBorders>
          </w:tcPr>
          <w:p w:rsidR="00EA40A3" w:rsidRDefault="00E86C16">
            <w:pPr>
              <w:spacing w:before="102" w:line="184" w:lineRule="auto"/>
              <w:ind w:left="237"/>
              <w:rPr>
                <w:rFonts w:ascii="宋体" w:eastAsia="宋体" w:hAnsi="宋体" w:cs="宋体"/>
                <w:sz w:val="16"/>
                <w:szCs w:val="16"/>
              </w:rPr>
            </w:pPr>
            <w:r>
              <w:rPr>
                <w:rFonts w:ascii="宋体" w:eastAsia="宋体" w:hAnsi="宋体" w:cs="宋体"/>
                <w:spacing w:val="-5"/>
                <w:sz w:val="16"/>
                <w:szCs w:val="16"/>
              </w:rPr>
              <w:t>12</w:t>
            </w:r>
          </w:p>
        </w:tc>
        <w:tc>
          <w:tcPr>
            <w:tcW w:w="533" w:type="dxa"/>
            <w:tcBorders>
              <w:bottom w:val="single" w:sz="4" w:space="0" w:color="000000"/>
            </w:tcBorders>
          </w:tcPr>
          <w:p w:rsidR="00EA40A3" w:rsidRDefault="00E86C16">
            <w:pPr>
              <w:spacing w:before="103" w:line="183" w:lineRule="auto"/>
              <w:ind w:left="179"/>
              <w:rPr>
                <w:rFonts w:ascii="宋体" w:eastAsia="宋体" w:hAnsi="宋体" w:cs="宋体"/>
                <w:sz w:val="16"/>
                <w:szCs w:val="16"/>
              </w:rPr>
            </w:pPr>
            <w:r>
              <w:rPr>
                <w:rFonts w:ascii="宋体" w:eastAsia="宋体" w:hAnsi="宋体" w:cs="宋体"/>
                <w:spacing w:val="-2"/>
                <w:sz w:val="16"/>
                <w:szCs w:val="16"/>
              </w:rPr>
              <w:t>90</w:t>
            </w:r>
          </w:p>
        </w:tc>
        <w:tc>
          <w:tcPr>
            <w:tcW w:w="421" w:type="dxa"/>
            <w:tcBorders>
              <w:bottom w:val="single" w:sz="4" w:space="0" w:color="000000"/>
            </w:tcBorders>
          </w:tcPr>
          <w:p w:rsidR="00EA40A3" w:rsidRDefault="00E86C16">
            <w:pPr>
              <w:spacing w:before="102" w:line="184" w:lineRule="auto"/>
              <w:ind w:left="205"/>
              <w:rPr>
                <w:rFonts w:ascii="宋体" w:eastAsia="宋体" w:hAnsi="宋体" w:cs="宋体"/>
                <w:sz w:val="16"/>
                <w:szCs w:val="16"/>
              </w:rPr>
            </w:pPr>
            <w:r>
              <w:rPr>
                <w:rFonts w:ascii="宋体" w:eastAsia="宋体" w:hAnsi="宋体" w:cs="宋体"/>
                <w:spacing w:val="-5"/>
                <w:sz w:val="16"/>
                <w:szCs w:val="16"/>
              </w:rPr>
              <w:t>12</w:t>
            </w:r>
          </w:p>
        </w:tc>
        <w:tc>
          <w:tcPr>
            <w:tcW w:w="535" w:type="dxa"/>
            <w:tcBorders>
              <w:bottom w:val="single" w:sz="4" w:space="0" w:color="000000"/>
            </w:tcBorders>
          </w:tcPr>
          <w:p w:rsidR="00EA40A3" w:rsidRDefault="00E86C16">
            <w:pPr>
              <w:spacing w:before="103" w:line="183" w:lineRule="auto"/>
              <w:ind w:left="244"/>
              <w:rPr>
                <w:rFonts w:ascii="宋体" w:eastAsia="宋体" w:hAnsi="宋体" w:cs="宋体"/>
                <w:sz w:val="16"/>
                <w:szCs w:val="16"/>
              </w:rPr>
            </w:pPr>
            <w:r>
              <w:rPr>
                <w:rFonts w:ascii="宋体" w:eastAsia="宋体" w:hAnsi="宋体" w:cs="宋体"/>
                <w:spacing w:val="-3"/>
                <w:sz w:val="16"/>
                <w:szCs w:val="16"/>
              </w:rPr>
              <w:t>25</w:t>
            </w:r>
          </w:p>
        </w:tc>
        <w:tc>
          <w:tcPr>
            <w:tcW w:w="504" w:type="dxa"/>
            <w:tcBorders>
              <w:bottom w:val="single" w:sz="4" w:space="0" w:color="000000"/>
            </w:tcBorders>
          </w:tcPr>
          <w:p w:rsidR="00EA40A3" w:rsidRDefault="00E86C16">
            <w:pPr>
              <w:spacing w:before="102" w:line="184" w:lineRule="auto"/>
              <w:ind w:left="139"/>
              <w:rPr>
                <w:rFonts w:ascii="宋体" w:eastAsia="宋体" w:hAnsi="宋体" w:cs="宋体"/>
                <w:sz w:val="16"/>
                <w:szCs w:val="16"/>
              </w:rPr>
            </w:pPr>
            <w:r>
              <w:rPr>
                <w:rFonts w:ascii="宋体" w:eastAsia="宋体" w:hAnsi="宋体" w:cs="宋体"/>
                <w:spacing w:val="-5"/>
                <w:sz w:val="16"/>
                <w:szCs w:val="16"/>
              </w:rPr>
              <w:t>1.0</w:t>
            </w:r>
          </w:p>
        </w:tc>
        <w:tc>
          <w:tcPr>
            <w:tcW w:w="515" w:type="dxa"/>
            <w:tcBorders>
              <w:bottom w:val="single" w:sz="4" w:space="0" w:color="000000"/>
            </w:tcBorders>
          </w:tcPr>
          <w:p w:rsidR="00EA40A3" w:rsidRDefault="00E86C16">
            <w:pPr>
              <w:spacing w:before="103" w:line="183" w:lineRule="auto"/>
              <w:ind w:left="135"/>
              <w:rPr>
                <w:rFonts w:ascii="宋体" w:eastAsia="宋体" w:hAnsi="宋体" w:cs="宋体"/>
                <w:sz w:val="16"/>
                <w:szCs w:val="16"/>
              </w:rPr>
            </w:pPr>
            <w:r>
              <w:rPr>
                <w:rFonts w:ascii="宋体" w:eastAsia="宋体" w:hAnsi="宋体" w:cs="宋体"/>
                <w:spacing w:val="-2"/>
                <w:sz w:val="16"/>
                <w:szCs w:val="16"/>
              </w:rPr>
              <w:t>0.8</w:t>
            </w:r>
          </w:p>
        </w:tc>
        <w:tc>
          <w:tcPr>
            <w:tcW w:w="590" w:type="dxa"/>
            <w:tcBorders>
              <w:bottom w:val="single" w:sz="4" w:space="0" w:color="000000"/>
            </w:tcBorders>
          </w:tcPr>
          <w:p w:rsidR="00EA40A3" w:rsidRDefault="00E86C16">
            <w:pPr>
              <w:spacing w:before="103" w:line="183" w:lineRule="auto"/>
              <w:ind w:left="151"/>
              <w:rPr>
                <w:rFonts w:ascii="宋体" w:eastAsia="宋体" w:hAnsi="宋体" w:cs="宋体"/>
                <w:sz w:val="16"/>
                <w:szCs w:val="16"/>
              </w:rPr>
            </w:pPr>
            <w:r>
              <w:rPr>
                <w:rFonts w:ascii="宋体" w:eastAsia="宋体" w:hAnsi="宋体" w:cs="宋体"/>
                <w:spacing w:val="-3"/>
                <w:sz w:val="16"/>
                <w:szCs w:val="16"/>
              </w:rPr>
              <w:t>30</w:t>
            </w:r>
          </w:p>
        </w:tc>
        <w:tc>
          <w:tcPr>
            <w:tcW w:w="570" w:type="dxa"/>
            <w:tcBorders>
              <w:bottom w:val="single" w:sz="4" w:space="0" w:color="000000"/>
            </w:tcBorders>
          </w:tcPr>
          <w:p w:rsidR="00EA40A3" w:rsidRDefault="00E86C16">
            <w:pPr>
              <w:spacing w:before="103" w:line="183" w:lineRule="auto"/>
              <w:ind w:left="140"/>
              <w:rPr>
                <w:rFonts w:ascii="宋体" w:eastAsia="宋体" w:hAnsi="宋体" w:cs="宋体"/>
                <w:sz w:val="16"/>
                <w:szCs w:val="16"/>
              </w:rPr>
            </w:pPr>
            <w:r>
              <w:rPr>
                <w:rFonts w:ascii="宋体" w:eastAsia="宋体" w:hAnsi="宋体" w:cs="宋体"/>
                <w:spacing w:val="-3"/>
                <w:sz w:val="16"/>
                <w:szCs w:val="16"/>
              </w:rPr>
              <w:t>20</w:t>
            </w:r>
          </w:p>
        </w:tc>
      </w:tr>
    </w:tbl>
    <w:p w:rsidR="00EA40A3" w:rsidRDefault="00E86C16">
      <w:pPr>
        <w:spacing w:before="80" w:line="219" w:lineRule="auto"/>
        <w:ind w:left="360"/>
        <w:rPr>
          <w:rFonts w:ascii="宋体" w:eastAsia="宋体" w:hAnsi="宋体" w:cs="宋体"/>
          <w:sz w:val="16"/>
          <w:szCs w:val="16"/>
        </w:rPr>
      </w:pPr>
      <w:r>
        <w:rPr>
          <w:rFonts w:ascii="宋体" w:eastAsia="宋体" w:hAnsi="宋体" w:cs="宋体"/>
          <w:sz w:val="16"/>
          <w:szCs w:val="16"/>
        </w:rPr>
        <w:t>资料来源：中国营养学会.2000.中国居民膳食营养素参考摄入</w:t>
      </w:r>
      <w:r>
        <w:rPr>
          <w:rFonts w:ascii="宋体" w:eastAsia="宋体" w:hAnsi="宋体" w:cs="宋体"/>
          <w:spacing w:val="-1"/>
          <w:sz w:val="16"/>
          <w:szCs w:val="16"/>
        </w:rPr>
        <w:t>量.北京：中国轻工业出版社</w:t>
      </w:r>
    </w:p>
    <w:p w:rsidR="00EA40A3" w:rsidRDefault="00EA40A3">
      <w:pPr>
        <w:spacing w:line="313" w:lineRule="auto"/>
      </w:pPr>
    </w:p>
    <w:p w:rsidR="00EA40A3" w:rsidRDefault="00E86C16">
      <w:pPr>
        <w:spacing w:before="66" w:line="225" w:lineRule="auto"/>
        <w:rPr>
          <w:rFonts w:ascii="楷体" w:eastAsia="楷体" w:hAnsi="楷体" w:cs="楷体"/>
          <w:sz w:val="20"/>
          <w:szCs w:val="20"/>
        </w:rPr>
      </w:pPr>
      <w:r>
        <w:rPr>
          <w:rFonts w:ascii="楷体" w:eastAsia="楷体" w:hAnsi="楷体" w:cs="楷体"/>
          <w:spacing w:val="24"/>
          <w:sz w:val="20"/>
          <w:szCs w:val="20"/>
        </w:rPr>
        <w:t>6)维生素</w:t>
      </w:r>
    </w:p>
    <w:p w:rsidR="00EA40A3" w:rsidRDefault="00E86C16">
      <w:pPr>
        <w:spacing w:before="86" w:line="270" w:lineRule="auto"/>
        <w:ind w:right="71" w:firstLine="450"/>
        <w:jc w:val="both"/>
        <w:rPr>
          <w:rFonts w:ascii="宋体" w:eastAsia="宋体" w:hAnsi="宋体" w:cs="宋体"/>
          <w:sz w:val="20"/>
          <w:szCs w:val="20"/>
        </w:rPr>
      </w:pPr>
      <w:r>
        <w:rPr>
          <w:rFonts w:ascii="宋体" w:eastAsia="宋体" w:hAnsi="宋体" w:cs="宋体"/>
          <w:spacing w:val="7"/>
          <w:sz w:val="20"/>
          <w:szCs w:val="20"/>
        </w:rPr>
        <w:t>对于处于生长发育迅速，机体新陈代谢旺盛的学龄前儿童，各种维生素的足</w:t>
      </w:r>
      <w:r>
        <w:rPr>
          <w:rFonts w:ascii="宋体" w:eastAsia="宋体" w:hAnsi="宋体" w:cs="宋体"/>
          <w:spacing w:val="16"/>
          <w:sz w:val="20"/>
          <w:szCs w:val="20"/>
        </w:rPr>
        <w:t xml:space="preserve"> </w:t>
      </w:r>
      <w:r>
        <w:rPr>
          <w:rFonts w:ascii="宋体" w:eastAsia="宋体" w:hAnsi="宋体" w:cs="宋体"/>
          <w:spacing w:val="12"/>
          <w:sz w:val="20"/>
          <w:szCs w:val="20"/>
        </w:rPr>
        <w:t>量摄入显得尤为重要。脂溶性维生素当中，维生素</w:t>
      </w:r>
      <w:r>
        <w:rPr>
          <w:rFonts w:ascii="宋体" w:eastAsia="宋体" w:hAnsi="宋体" w:cs="宋体"/>
          <w:spacing w:val="-60"/>
          <w:sz w:val="20"/>
          <w:szCs w:val="20"/>
        </w:rPr>
        <w:t xml:space="preserve"> </w:t>
      </w:r>
      <w:r>
        <w:rPr>
          <w:rFonts w:ascii="宋体" w:eastAsia="宋体" w:hAnsi="宋体" w:cs="宋体"/>
          <w:spacing w:val="12"/>
          <w:sz w:val="20"/>
          <w:szCs w:val="20"/>
        </w:rPr>
        <w:t>A</w:t>
      </w:r>
      <w:r>
        <w:rPr>
          <w:rFonts w:ascii="宋体" w:eastAsia="宋体" w:hAnsi="宋体" w:cs="宋体"/>
          <w:spacing w:val="31"/>
          <w:sz w:val="20"/>
          <w:szCs w:val="20"/>
        </w:rPr>
        <w:t xml:space="preserve"> </w:t>
      </w:r>
      <w:r>
        <w:rPr>
          <w:rFonts w:ascii="宋体" w:eastAsia="宋体" w:hAnsi="宋体" w:cs="宋体"/>
          <w:spacing w:val="12"/>
          <w:sz w:val="20"/>
          <w:szCs w:val="20"/>
        </w:rPr>
        <w:t>能维持儿童的视觉功</w:t>
      </w:r>
      <w:r>
        <w:rPr>
          <w:rFonts w:ascii="宋体" w:eastAsia="宋体" w:hAnsi="宋体" w:cs="宋体"/>
          <w:spacing w:val="11"/>
          <w:sz w:val="20"/>
          <w:szCs w:val="20"/>
        </w:rPr>
        <w:t>能以</w:t>
      </w:r>
      <w:r>
        <w:rPr>
          <w:rFonts w:ascii="宋体" w:eastAsia="宋体" w:hAnsi="宋体" w:cs="宋体"/>
          <w:sz w:val="20"/>
          <w:szCs w:val="20"/>
        </w:rPr>
        <w:t xml:space="preserve"> </w:t>
      </w:r>
      <w:r>
        <w:rPr>
          <w:rFonts w:ascii="宋体" w:eastAsia="宋体" w:hAnsi="宋体" w:cs="宋体"/>
          <w:spacing w:val="11"/>
          <w:sz w:val="20"/>
          <w:szCs w:val="20"/>
        </w:rPr>
        <w:t>及上皮分化，并且与骨骼生长有重要作用。维生素</w:t>
      </w:r>
      <w:r>
        <w:rPr>
          <w:rFonts w:ascii="宋体" w:eastAsia="宋体" w:hAnsi="宋体" w:cs="宋体"/>
          <w:spacing w:val="-46"/>
          <w:sz w:val="20"/>
          <w:szCs w:val="20"/>
        </w:rPr>
        <w:t xml:space="preserve"> </w:t>
      </w:r>
      <w:r>
        <w:rPr>
          <w:rFonts w:ascii="宋体" w:eastAsia="宋体" w:hAnsi="宋体" w:cs="宋体"/>
          <w:spacing w:val="11"/>
          <w:sz w:val="20"/>
          <w:szCs w:val="20"/>
        </w:rPr>
        <w:t>A</w:t>
      </w:r>
      <w:r>
        <w:rPr>
          <w:rFonts w:ascii="宋体" w:eastAsia="宋体" w:hAnsi="宋体" w:cs="宋体"/>
          <w:spacing w:val="42"/>
          <w:sz w:val="20"/>
          <w:szCs w:val="20"/>
        </w:rPr>
        <w:t xml:space="preserve"> </w:t>
      </w:r>
      <w:r>
        <w:rPr>
          <w:rFonts w:ascii="宋体" w:eastAsia="宋体" w:hAnsi="宋体" w:cs="宋体"/>
          <w:spacing w:val="11"/>
          <w:sz w:val="20"/>
          <w:szCs w:val="20"/>
        </w:rPr>
        <w:t>的缺乏可能导致儿童视觉</w:t>
      </w:r>
      <w:r>
        <w:rPr>
          <w:rFonts w:ascii="宋体" w:eastAsia="宋体" w:hAnsi="宋体" w:cs="宋体"/>
          <w:sz w:val="20"/>
          <w:szCs w:val="20"/>
        </w:rPr>
        <w:t xml:space="preserve"> </w:t>
      </w:r>
      <w:r>
        <w:rPr>
          <w:rFonts w:ascii="宋体" w:eastAsia="宋体" w:hAnsi="宋体" w:cs="宋体"/>
          <w:spacing w:val="8"/>
          <w:sz w:val="20"/>
          <w:szCs w:val="20"/>
        </w:rPr>
        <w:t>功能发育不良，严重时出现夜盲症，同时还有角膜干燥、发炎、软化、溃疡、角</w:t>
      </w:r>
      <w:r>
        <w:rPr>
          <w:rFonts w:ascii="宋体" w:eastAsia="宋体" w:hAnsi="宋体" w:cs="宋体"/>
          <w:spacing w:val="3"/>
          <w:sz w:val="20"/>
          <w:szCs w:val="20"/>
        </w:rPr>
        <w:t xml:space="preserve"> </w:t>
      </w:r>
      <w:r>
        <w:rPr>
          <w:rFonts w:ascii="宋体" w:eastAsia="宋体" w:hAnsi="宋体" w:cs="宋体"/>
          <w:spacing w:val="8"/>
          <w:sz w:val="20"/>
          <w:szCs w:val="20"/>
        </w:rPr>
        <w:t>质化等一系列变化。调查显示，我国有相当比例的学龄前儿童，尤其是</w:t>
      </w:r>
      <w:r>
        <w:rPr>
          <w:rFonts w:ascii="宋体" w:eastAsia="宋体" w:hAnsi="宋体" w:cs="宋体"/>
          <w:spacing w:val="7"/>
          <w:sz w:val="20"/>
          <w:szCs w:val="20"/>
        </w:rPr>
        <w:t>在农村和</w:t>
      </w:r>
      <w:r>
        <w:rPr>
          <w:rFonts w:ascii="宋体" w:eastAsia="宋体" w:hAnsi="宋体" w:cs="宋体"/>
          <w:sz w:val="20"/>
          <w:szCs w:val="20"/>
        </w:rPr>
        <w:t xml:space="preserve"> </w:t>
      </w:r>
      <w:r>
        <w:rPr>
          <w:rFonts w:ascii="宋体" w:eastAsia="宋体" w:hAnsi="宋体" w:cs="宋体"/>
          <w:spacing w:val="12"/>
          <w:sz w:val="20"/>
          <w:szCs w:val="20"/>
        </w:rPr>
        <w:t>边远地区的学龄前儿童，维生素</w:t>
      </w:r>
      <w:r>
        <w:rPr>
          <w:rFonts w:ascii="宋体" w:eastAsia="宋体" w:hAnsi="宋体" w:cs="宋体"/>
          <w:spacing w:val="-52"/>
          <w:sz w:val="20"/>
          <w:szCs w:val="20"/>
        </w:rPr>
        <w:t xml:space="preserve"> </w:t>
      </w:r>
      <w:r>
        <w:rPr>
          <w:rFonts w:ascii="宋体" w:eastAsia="宋体" w:hAnsi="宋体" w:cs="宋体"/>
          <w:spacing w:val="12"/>
          <w:sz w:val="20"/>
          <w:szCs w:val="20"/>
        </w:rPr>
        <w:t>A 亚临床缺乏或水平低于正常值。学龄前儿童</w:t>
      </w:r>
      <w:r>
        <w:rPr>
          <w:rFonts w:ascii="宋体" w:eastAsia="宋体" w:hAnsi="宋体" w:cs="宋体"/>
          <w:sz w:val="20"/>
          <w:szCs w:val="20"/>
        </w:rPr>
        <w:t xml:space="preserve"> </w:t>
      </w:r>
      <w:r>
        <w:rPr>
          <w:rFonts w:ascii="宋体" w:eastAsia="宋体" w:hAnsi="宋体" w:cs="宋体"/>
          <w:spacing w:val="13"/>
          <w:sz w:val="20"/>
          <w:szCs w:val="20"/>
        </w:rPr>
        <w:t>骨骼的生长需要维生素D</w:t>
      </w:r>
      <w:r>
        <w:rPr>
          <w:rFonts w:ascii="宋体" w:eastAsia="宋体" w:hAnsi="宋体" w:cs="宋体"/>
          <w:spacing w:val="14"/>
          <w:sz w:val="20"/>
          <w:szCs w:val="20"/>
        </w:rPr>
        <w:t xml:space="preserve"> </w:t>
      </w:r>
      <w:r>
        <w:rPr>
          <w:rFonts w:ascii="宋体" w:eastAsia="宋体" w:hAnsi="宋体" w:cs="宋体"/>
          <w:spacing w:val="13"/>
          <w:sz w:val="20"/>
          <w:szCs w:val="20"/>
        </w:rPr>
        <w:t>对钙积累的作用。研究证实，学龄</w:t>
      </w:r>
      <w:r>
        <w:rPr>
          <w:rFonts w:ascii="宋体" w:eastAsia="宋体" w:hAnsi="宋体" w:cs="宋体"/>
          <w:spacing w:val="12"/>
          <w:sz w:val="20"/>
          <w:szCs w:val="20"/>
        </w:rPr>
        <w:t>前儿童维生素D</w:t>
      </w:r>
      <w:r>
        <w:rPr>
          <w:rFonts w:ascii="宋体" w:eastAsia="宋体" w:hAnsi="宋体" w:cs="宋体"/>
          <w:spacing w:val="23"/>
          <w:sz w:val="20"/>
          <w:szCs w:val="20"/>
        </w:rPr>
        <w:t xml:space="preserve"> </w:t>
      </w:r>
      <w:r>
        <w:rPr>
          <w:rFonts w:ascii="宋体" w:eastAsia="宋体" w:hAnsi="宋体" w:cs="宋体"/>
          <w:spacing w:val="12"/>
          <w:sz w:val="20"/>
          <w:szCs w:val="20"/>
        </w:rPr>
        <w:t>缺</w:t>
      </w:r>
      <w:r>
        <w:rPr>
          <w:rFonts w:ascii="宋体" w:eastAsia="宋体" w:hAnsi="宋体" w:cs="宋体"/>
          <w:sz w:val="20"/>
          <w:szCs w:val="20"/>
        </w:rPr>
        <w:t xml:space="preserve"> </w:t>
      </w:r>
      <w:r>
        <w:rPr>
          <w:rFonts w:ascii="宋体" w:eastAsia="宋体" w:hAnsi="宋体" w:cs="宋体"/>
          <w:spacing w:val="7"/>
          <w:sz w:val="20"/>
          <w:szCs w:val="20"/>
        </w:rPr>
        <w:t>乏可能导致迟发性佝偻病。另外，水溶性维生素如维生素</w:t>
      </w:r>
      <w:r>
        <w:rPr>
          <w:rFonts w:ascii="宋体" w:eastAsia="宋体" w:hAnsi="宋体" w:cs="宋体"/>
          <w:spacing w:val="-49"/>
          <w:sz w:val="20"/>
          <w:szCs w:val="20"/>
        </w:rPr>
        <w:t xml:space="preserve"> </w:t>
      </w:r>
      <w:r>
        <w:rPr>
          <w:rFonts w:ascii="宋体" w:eastAsia="宋体" w:hAnsi="宋体" w:cs="宋体"/>
          <w:spacing w:val="7"/>
          <w:sz w:val="20"/>
          <w:szCs w:val="20"/>
        </w:rPr>
        <w:t>B</w:t>
      </w:r>
      <w:r>
        <w:rPr>
          <w:rFonts w:ascii="Calibri" w:eastAsia="Calibri" w:hAnsi="Calibri" w:cs="Calibri"/>
          <w:spacing w:val="7"/>
          <w:sz w:val="20"/>
          <w:szCs w:val="20"/>
        </w:rPr>
        <w:t>₁</w:t>
      </w:r>
      <w:r>
        <w:rPr>
          <w:rFonts w:ascii="Calibri" w:eastAsia="Calibri" w:hAnsi="Calibri" w:cs="Calibri"/>
          <w:spacing w:val="-23"/>
          <w:sz w:val="20"/>
          <w:szCs w:val="20"/>
        </w:rPr>
        <w:t xml:space="preserve"> </w:t>
      </w:r>
      <w:r>
        <w:rPr>
          <w:rFonts w:ascii="宋体" w:eastAsia="宋体" w:hAnsi="宋体" w:cs="宋体"/>
          <w:spacing w:val="7"/>
          <w:sz w:val="20"/>
          <w:szCs w:val="20"/>
        </w:rPr>
        <w:t>、</w:t>
      </w:r>
      <w:r>
        <w:rPr>
          <w:rFonts w:ascii="宋体" w:eastAsia="宋体" w:hAnsi="宋体" w:cs="宋体"/>
          <w:spacing w:val="-16"/>
          <w:sz w:val="20"/>
          <w:szCs w:val="20"/>
        </w:rPr>
        <w:t xml:space="preserve"> </w:t>
      </w:r>
      <w:r>
        <w:rPr>
          <w:rFonts w:ascii="宋体" w:eastAsia="宋体" w:hAnsi="宋体" w:cs="宋体"/>
          <w:spacing w:val="7"/>
          <w:sz w:val="20"/>
          <w:szCs w:val="20"/>
        </w:rPr>
        <w:t>维生素</w:t>
      </w:r>
      <w:r>
        <w:rPr>
          <w:rFonts w:ascii="宋体" w:eastAsia="宋体" w:hAnsi="宋体" w:cs="宋体"/>
          <w:spacing w:val="-59"/>
          <w:sz w:val="20"/>
          <w:szCs w:val="20"/>
        </w:rPr>
        <w:t xml:space="preserve"> </w:t>
      </w:r>
      <w:r>
        <w:rPr>
          <w:rFonts w:ascii="宋体" w:eastAsia="宋体" w:hAnsi="宋体" w:cs="宋体"/>
          <w:spacing w:val="7"/>
          <w:sz w:val="20"/>
          <w:szCs w:val="20"/>
        </w:rPr>
        <w:t>B</w:t>
      </w:r>
      <w:r>
        <w:rPr>
          <w:rFonts w:ascii="Calibri" w:eastAsia="Calibri" w:hAnsi="Calibri" w:cs="Calibri"/>
          <w:spacing w:val="7"/>
          <w:sz w:val="20"/>
          <w:szCs w:val="20"/>
        </w:rPr>
        <w:t>₂</w:t>
      </w:r>
      <w:r>
        <w:rPr>
          <w:rFonts w:ascii="Calibri" w:eastAsia="Calibri" w:hAnsi="Calibri" w:cs="Calibri"/>
          <w:spacing w:val="-24"/>
          <w:sz w:val="20"/>
          <w:szCs w:val="20"/>
        </w:rPr>
        <w:t xml:space="preserve"> </w:t>
      </w:r>
      <w:r>
        <w:rPr>
          <w:rFonts w:ascii="宋体" w:eastAsia="宋体" w:hAnsi="宋体" w:cs="宋体"/>
          <w:spacing w:val="7"/>
          <w:sz w:val="20"/>
          <w:szCs w:val="20"/>
        </w:rPr>
        <w:t>、</w:t>
      </w:r>
      <w:r>
        <w:rPr>
          <w:rFonts w:ascii="宋体" w:eastAsia="宋体" w:hAnsi="宋体" w:cs="宋体"/>
          <w:spacing w:val="-34"/>
          <w:sz w:val="20"/>
          <w:szCs w:val="20"/>
        </w:rPr>
        <w:t xml:space="preserve"> </w:t>
      </w:r>
      <w:r>
        <w:rPr>
          <w:rFonts w:ascii="宋体" w:eastAsia="宋体" w:hAnsi="宋体" w:cs="宋体"/>
          <w:spacing w:val="7"/>
          <w:sz w:val="20"/>
          <w:szCs w:val="20"/>
        </w:rPr>
        <w:t>烟酸</w:t>
      </w:r>
    </w:p>
    <w:p w:rsidR="00EA40A3" w:rsidRDefault="00EA40A3">
      <w:pPr>
        <w:sectPr w:rsidR="00EA40A3">
          <w:footerReference w:type="default" r:id="rId272"/>
          <w:pgSz w:w="9220" w:h="13360"/>
          <w:pgMar w:top="400" w:right="890" w:bottom="1166" w:left="959" w:header="0" w:footer="945" w:gutter="0"/>
          <w:cols w:space="720"/>
        </w:sectPr>
      </w:pPr>
    </w:p>
    <w:p w:rsidR="00EA40A3" w:rsidRDefault="00EA40A3">
      <w:pPr>
        <w:spacing w:line="318" w:lineRule="auto"/>
      </w:pPr>
    </w:p>
    <w:p w:rsidR="00EA40A3" w:rsidRDefault="00EA40A3">
      <w:pPr>
        <w:spacing w:line="319" w:lineRule="auto"/>
      </w:pPr>
    </w:p>
    <w:p w:rsidR="00EA40A3" w:rsidRDefault="00E86C16">
      <w:pPr>
        <w:spacing w:before="68" w:line="254" w:lineRule="auto"/>
        <w:ind w:right="156"/>
        <w:jc w:val="both"/>
        <w:rPr>
          <w:rFonts w:ascii="宋体" w:eastAsia="宋体" w:hAnsi="宋体" w:cs="宋体"/>
        </w:rPr>
      </w:pPr>
      <w:r>
        <w:rPr>
          <w:rFonts w:ascii="宋体" w:eastAsia="宋体" w:hAnsi="宋体" w:cs="宋体"/>
          <w:spacing w:val="3"/>
        </w:rPr>
        <w:t>常协同发挥作用，对能量代谢的发挥重要功能。维生素C</w:t>
      </w:r>
      <w:r>
        <w:rPr>
          <w:rFonts w:ascii="宋体" w:eastAsia="宋体" w:hAnsi="宋体" w:cs="宋体"/>
          <w:spacing w:val="6"/>
        </w:rPr>
        <w:t xml:space="preserve"> </w:t>
      </w:r>
      <w:r>
        <w:rPr>
          <w:rFonts w:ascii="宋体" w:eastAsia="宋体" w:hAnsi="宋体" w:cs="宋体"/>
          <w:spacing w:val="3"/>
        </w:rPr>
        <w:t>的亚临床</w:t>
      </w:r>
      <w:r>
        <w:rPr>
          <w:rFonts w:ascii="宋体" w:eastAsia="宋体" w:hAnsi="宋体" w:cs="宋体"/>
          <w:spacing w:val="2"/>
        </w:rPr>
        <w:t>缺乏可能导</w:t>
      </w:r>
      <w:r>
        <w:rPr>
          <w:rFonts w:ascii="宋体" w:eastAsia="宋体" w:hAnsi="宋体" w:cs="宋体"/>
        </w:rPr>
        <w:t xml:space="preserve"> </w:t>
      </w:r>
      <w:r>
        <w:rPr>
          <w:rFonts w:ascii="宋体" w:eastAsia="宋体" w:hAnsi="宋体" w:cs="宋体"/>
          <w:spacing w:val="3"/>
        </w:rPr>
        <w:t>致学龄前儿童免疫力降低，慢性病的危险性增加等。中国营养学会</w:t>
      </w:r>
      <w:r>
        <w:rPr>
          <w:rFonts w:ascii="宋体" w:eastAsia="宋体" w:hAnsi="宋体" w:cs="宋体"/>
          <w:spacing w:val="2"/>
        </w:rPr>
        <w:t>2000年对学</w:t>
      </w:r>
      <w:r>
        <w:rPr>
          <w:rFonts w:ascii="宋体" w:eastAsia="宋体" w:hAnsi="宋体" w:cs="宋体"/>
        </w:rPr>
        <w:t xml:space="preserve"> </w:t>
      </w:r>
      <w:r>
        <w:rPr>
          <w:rFonts w:ascii="宋体" w:eastAsia="宋体" w:hAnsi="宋体" w:cs="宋体"/>
          <w:spacing w:val="-3"/>
        </w:rPr>
        <w:t>龄前儿童各种维生素的膳食推荐摄入量分别见表10-9。</w:t>
      </w:r>
    </w:p>
    <w:p w:rsidR="00EA40A3" w:rsidRDefault="00EA40A3">
      <w:pPr>
        <w:spacing w:line="296" w:lineRule="auto"/>
      </w:pPr>
    </w:p>
    <w:p w:rsidR="00EA40A3" w:rsidRDefault="00E86C16">
      <w:pPr>
        <w:spacing w:before="58" w:line="221" w:lineRule="auto"/>
        <w:ind w:left="2002"/>
        <w:rPr>
          <w:rFonts w:ascii="黑体" w:eastAsia="黑体" w:hAnsi="黑体" w:cs="黑体"/>
          <w:sz w:val="18"/>
          <w:szCs w:val="18"/>
        </w:rPr>
      </w:pPr>
      <w:r>
        <w:rPr>
          <w:rFonts w:ascii="黑体" w:eastAsia="黑体" w:hAnsi="黑体" w:cs="黑体"/>
          <w:b/>
          <w:bCs/>
          <w:spacing w:val="-3"/>
          <w:sz w:val="18"/>
          <w:szCs w:val="18"/>
        </w:rPr>
        <w:t>表10-9</w:t>
      </w:r>
      <w:r>
        <w:rPr>
          <w:rFonts w:ascii="黑体" w:eastAsia="黑体" w:hAnsi="黑体" w:cs="黑体"/>
          <w:spacing w:val="74"/>
          <w:sz w:val="18"/>
          <w:szCs w:val="18"/>
        </w:rPr>
        <w:t xml:space="preserve"> </w:t>
      </w:r>
      <w:r>
        <w:rPr>
          <w:rFonts w:ascii="黑体" w:eastAsia="黑体" w:hAnsi="黑体" w:cs="黑体"/>
          <w:b/>
          <w:bCs/>
          <w:spacing w:val="-3"/>
          <w:sz w:val="18"/>
          <w:szCs w:val="18"/>
        </w:rPr>
        <w:t>我国学龄前儿童维生素的</w:t>
      </w:r>
      <w:r>
        <w:rPr>
          <w:rFonts w:ascii="黑体" w:eastAsia="黑体" w:hAnsi="黑体" w:cs="黑体"/>
          <w:spacing w:val="-40"/>
          <w:sz w:val="18"/>
          <w:szCs w:val="18"/>
        </w:rPr>
        <w:t xml:space="preserve"> </w:t>
      </w:r>
      <w:r>
        <w:rPr>
          <w:rFonts w:ascii="黑体" w:eastAsia="黑体" w:hAnsi="黑体" w:cs="黑体"/>
          <w:b/>
          <w:bCs/>
          <w:spacing w:val="-3"/>
          <w:sz w:val="18"/>
          <w:szCs w:val="18"/>
        </w:rPr>
        <w:t>RNI</w:t>
      </w:r>
      <w:r>
        <w:rPr>
          <w:rFonts w:ascii="黑体" w:eastAsia="黑体" w:hAnsi="黑体" w:cs="黑体"/>
          <w:spacing w:val="-3"/>
          <w:sz w:val="18"/>
          <w:szCs w:val="18"/>
        </w:rPr>
        <w:t xml:space="preserve"> </w:t>
      </w:r>
      <w:r>
        <w:rPr>
          <w:rFonts w:ascii="黑体" w:eastAsia="黑体" w:hAnsi="黑体" w:cs="黑体"/>
          <w:b/>
          <w:bCs/>
          <w:spacing w:val="-3"/>
          <w:sz w:val="18"/>
          <w:szCs w:val="18"/>
        </w:rPr>
        <w:t>或</w:t>
      </w:r>
      <w:r>
        <w:rPr>
          <w:rFonts w:ascii="黑体" w:eastAsia="黑体" w:hAnsi="黑体" w:cs="黑体"/>
          <w:spacing w:val="-39"/>
          <w:sz w:val="18"/>
          <w:szCs w:val="18"/>
        </w:rPr>
        <w:t xml:space="preserve"> </w:t>
      </w:r>
      <w:r>
        <w:rPr>
          <w:rFonts w:ascii="黑体" w:eastAsia="黑体" w:hAnsi="黑体" w:cs="黑体"/>
          <w:b/>
          <w:bCs/>
          <w:spacing w:val="-3"/>
          <w:sz w:val="18"/>
          <w:szCs w:val="18"/>
        </w:rPr>
        <w:t>AI</w:t>
      </w:r>
    </w:p>
    <w:p w:rsidR="00EA40A3" w:rsidRDefault="00EA40A3">
      <w:pPr>
        <w:spacing w:line="16" w:lineRule="exact"/>
      </w:pPr>
    </w:p>
    <w:tbl>
      <w:tblPr>
        <w:tblStyle w:val="TableNormal"/>
        <w:tblW w:w="7349" w:type="dxa"/>
        <w:tblInd w:w="4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18"/>
        <w:gridCol w:w="1062"/>
        <w:gridCol w:w="807"/>
        <w:gridCol w:w="1107"/>
        <w:gridCol w:w="865"/>
        <w:gridCol w:w="945"/>
        <w:gridCol w:w="935"/>
        <w:gridCol w:w="1010"/>
      </w:tblGrid>
      <w:tr w:rsidR="00EA40A3">
        <w:trPr>
          <w:trHeight w:val="643"/>
        </w:trPr>
        <w:tc>
          <w:tcPr>
            <w:tcW w:w="618" w:type="dxa"/>
            <w:tcBorders>
              <w:top w:val="single" w:sz="4" w:space="0" w:color="000000"/>
              <w:bottom w:val="single" w:sz="4" w:space="0" w:color="000000"/>
            </w:tcBorders>
          </w:tcPr>
          <w:p w:rsidR="00EA40A3" w:rsidRDefault="00E86C16">
            <w:pPr>
              <w:spacing w:before="241" w:line="219" w:lineRule="auto"/>
              <w:ind w:left="180"/>
              <w:rPr>
                <w:rFonts w:ascii="宋体" w:eastAsia="宋体" w:hAnsi="宋体" w:cs="宋体"/>
                <w:sz w:val="17"/>
                <w:szCs w:val="17"/>
              </w:rPr>
            </w:pPr>
            <w:r>
              <w:rPr>
                <w:rFonts w:ascii="宋体" w:eastAsia="宋体" w:hAnsi="宋体" w:cs="宋体"/>
                <w:spacing w:val="-2"/>
                <w:sz w:val="17"/>
                <w:szCs w:val="17"/>
              </w:rPr>
              <w:t>年龄</w:t>
            </w:r>
          </w:p>
        </w:tc>
        <w:tc>
          <w:tcPr>
            <w:tcW w:w="1062" w:type="dxa"/>
            <w:tcBorders>
              <w:top w:val="single" w:sz="4" w:space="0" w:color="000000"/>
              <w:bottom w:val="single" w:sz="4" w:space="0" w:color="000000"/>
            </w:tcBorders>
          </w:tcPr>
          <w:p w:rsidR="00EA40A3" w:rsidRDefault="00E86C16">
            <w:pPr>
              <w:spacing w:before="182" w:line="234" w:lineRule="auto"/>
              <w:ind w:left="112" w:right="105" w:firstLine="119"/>
              <w:rPr>
                <w:rFonts w:ascii="宋体" w:eastAsia="宋体" w:hAnsi="宋体" w:cs="宋体"/>
                <w:sz w:val="17"/>
                <w:szCs w:val="17"/>
              </w:rPr>
            </w:pPr>
            <w:r>
              <w:rPr>
                <w:rFonts w:ascii="宋体" w:eastAsia="宋体" w:hAnsi="宋体" w:cs="宋体"/>
                <w:spacing w:val="-3"/>
                <w:sz w:val="17"/>
                <w:szCs w:val="17"/>
              </w:rPr>
              <w:t>维生素A</w:t>
            </w:r>
            <w:r>
              <w:rPr>
                <w:rFonts w:ascii="宋体" w:eastAsia="宋体" w:hAnsi="宋体" w:cs="宋体"/>
                <w:sz w:val="17"/>
                <w:szCs w:val="17"/>
              </w:rPr>
              <w:t xml:space="preserve">  </w:t>
            </w:r>
            <w:r>
              <w:rPr>
                <w:rFonts w:ascii="宋体" w:eastAsia="宋体" w:hAnsi="宋体" w:cs="宋体"/>
                <w:spacing w:val="-2"/>
                <w:sz w:val="17"/>
                <w:szCs w:val="17"/>
              </w:rPr>
              <w:t>RNI/μg</w:t>
            </w:r>
            <w:r>
              <w:rPr>
                <w:rFonts w:ascii="宋体" w:eastAsia="宋体" w:hAnsi="宋体" w:cs="宋体"/>
                <w:spacing w:val="9"/>
                <w:sz w:val="17"/>
                <w:szCs w:val="17"/>
              </w:rPr>
              <w:t xml:space="preserve"> </w:t>
            </w:r>
            <w:r>
              <w:rPr>
                <w:rFonts w:ascii="宋体" w:eastAsia="宋体" w:hAnsi="宋体" w:cs="宋体"/>
                <w:spacing w:val="-2"/>
                <w:sz w:val="17"/>
                <w:szCs w:val="17"/>
              </w:rPr>
              <w:t>RE</w:t>
            </w:r>
          </w:p>
        </w:tc>
        <w:tc>
          <w:tcPr>
            <w:tcW w:w="807" w:type="dxa"/>
            <w:tcBorders>
              <w:top w:val="single" w:sz="4" w:space="0" w:color="000000"/>
              <w:bottom w:val="single" w:sz="4" w:space="0" w:color="000000"/>
            </w:tcBorders>
          </w:tcPr>
          <w:p w:rsidR="00EA40A3" w:rsidRDefault="00E86C16">
            <w:pPr>
              <w:spacing w:before="171"/>
              <w:ind w:left="110" w:right="107"/>
              <w:rPr>
                <w:rFonts w:ascii="宋体" w:eastAsia="宋体" w:hAnsi="宋体" w:cs="宋体"/>
                <w:sz w:val="17"/>
                <w:szCs w:val="17"/>
              </w:rPr>
            </w:pPr>
            <w:r>
              <w:rPr>
                <w:rFonts w:ascii="宋体" w:eastAsia="宋体" w:hAnsi="宋体" w:cs="宋体"/>
                <w:spacing w:val="-3"/>
                <w:sz w:val="17"/>
                <w:szCs w:val="17"/>
              </w:rPr>
              <w:t>维生素D</w:t>
            </w:r>
            <w:r>
              <w:rPr>
                <w:rFonts w:ascii="宋体" w:eastAsia="宋体" w:hAnsi="宋体" w:cs="宋体"/>
                <w:spacing w:val="1"/>
                <w:sz w:val="17"/>
                <w:szCs w:val="17"/>
              </w:rPr>
              <w:t xml:space="preserve"> </w:t>
            </w:r>
            <w:r>
              <w:rPr>
                <w:rFonts w:ascii="宋体" w:eastAsia="宋体" w:hAnsi="宋体" w:cs="宋体"/>
                <w:spacing w:val="-1"/>
                <w:sz w:val="17"/>
                <w:szCs w:val="17"/>
              </w:rPr>
              <w:t>RNI/μg</w:t>
            </w:r>
          </w:p>
        </w:tc>
        <w:tc>
          <w:tcPr>
            <w:tcW w:w="1107" w:type="dxa"/>
            <w:tcBorders>
              <w:top w:val="single" w:sz="4" w:space="0" w:color="000000"/>
              <w:bottom w:val="single" w:sz="4" w:space="0" w:color="000000"/>
              <w:right w:val="nil"/>
            </w:tcBorders>
          </w:tcPr>
          <w:p w:rsidR="00EA40A3" w:rsidRDefault="00E86C16">
            <w:pPr>
              <w:spacing w:before="161" w:line="245" w:lineRule="auto"/>
              <w:ind w:left="122" w:right="135" w:firstLine="130"/>
              <w:rPr>
                <w:rFonts w:ascii="宋体" w:eastAsia="宋体" w:hAnsi="宋体" w:cs="宋体"/>
                <w:sz w:val="17"/>
                <w:szCs w:val="17"/>
              </w:rPr>
            </w:pPr>
            <w:r>
              <w:rPr>
                <w:rFonts w:ascii="宋体" w:eastAsia="宋体" w:hAnsi="宋体" w:cs="宋体"/>
                <w:spacing w:val="-3"/>
                <w:sz w:val="17"/>
                <w:szCs w:val="17"/>
              </w:rPr>
              <w:t>维生素E</w:t>
            </w:r>
            <w:r>
              <w:rPr>
                <w:rFonts w:ascii="宋体" w:eastAsia="宋体" w:hAnsi="宋体" w:cs="宋体"/>
                <w:sz w:val="17"/>
                <w:szCs w:val="17"/>
              </w:rPr>
              <w:t xml:space="preserve">  </w:t>
            </w:r>
            <w:r>
              <w:rPr>
                <w:rFonts w:ascii="宋体" w:eastAsia="宋体" w:hAnsi="宋体" w:cs="宋体"/>
                <w:spacing w:val="-1"/>
                <w:sz w:val="17"/>
                <w:szCs w:val="17"/>
              </w:rPr>
              <w:t>AI/mgα-TE</w:t>
            </w:r>
          </w:p>
        </w:tc>
        <w:tc>
          <w:tcPr>
            <w:tcW w:w="865" w:type="dxa"/>
            <w:tcBorders>
              <w:top w:val="single" w:sz="4" w:space="0" w:color="000000"/>
              <w:left w:val="nil"/>
              <w:bottom w:val="single" w:sz="4" w:space="0" w:color="000000"/>
            </w:tcBorders>
          </w:tcPr>
          <w:p w:rsidR="00EA40A3" w:rsidRDefault="00E86C16">
            <w:pPr>
              <w:spacing w:before="162" w:line="234" w:lineRule="auto"/>
              <w:ind w:left="176" w:right="143" w:hanging="40"/>
              <w:rPr>
                <w:rFonts w:ascii="宋体" w:eastAsia="宋体" w:hAnsi="宋体" w:cs="宋体"/>
                <w:sz w:val="17"/>
                <w:szCs w:val="17"/>
              </w:rPr>
            </w:pPr>
            <w:r>
              <w:rPr>
                <w:rFonts w:ascii="宋体" w:eastAsia="宋体" w:hAnsi="宋体" w:cs="宋体"/>
                <w:spacing w:val="-3"/>
                <w:sz w:val="17"/>
                <w:szCs w:val="17"/>
              </w:rPr>
              <w:t>维生素B</w:t>
            </w:r>
            <w:r>
              <w:rPr>
                <w:rFonts w:ascii="宋体" w:eastAsia="宋体" w:hAnsi="宋体" w:cs="宋体"/>
                <w:spacing w:val="1"/>
                <w:sz w:val="17"/>
                <w:szCs w:val="17"/>
              </w:rPr>
              <w:t xml:space="preserve"> </w:t>
            </w:r>
            <w:r>
              <w:rPr>
                <w:rFonts w:ascii="宋体" w:eastAsia="宋体" w:hAnsi="宋体" w:cs="宋体"/>
                <w:spacing w:val="-1"/>
                <w:sz w:val="17"/>
                <w:szCs w:val="17"/>
              </w:rPr>
              <w:t>RNI/mg</w:t>
            </w:r>
          </w:p>
        </w:tc>
        <w:tc>
          <w:tcPr>
            <w:tcW w:w="945" w:type="dxa"/>
            <w:tcBorders>
              <w:top w:val="single" w:sz="4" w:space="0" w:color="000000"/>
              <w:bottom w:val="single" w:sz="4" w:space="0" w:color="000000"/>
            </w:tcBorders>
          </w:tcPr>
          <w:p w:rsidR="00EA40A3" w:rsidRDefault="00E86C16">
            <w:pPr>
              <w:spacing w:before="171" w:line="219" w:lineRule="auto"/>
              <w:ind w:left="150"/>
              <w:rPr>
                <w:rFonts w:ascii="宋体" w:eastAsia="宋体" w:hAnsi="宋体" w:cs="宋体"/>
                <w:sz w:val="17"/>
                <w:szCs w:val="17"/>
              </w:rPr>
            </w:pPr>
            <w:r>
              <w:rPr>
                <w:rFonts w:ascii="宋体" w:eastAsia="宋体" w:hAnsi="宋体" w:cs="宋体"/>
                <w:spacing w:val="-2"/>
                <w:sz w:val="17"/>
                <w:szCs w:val="17"/>
              </w:rPr>
              <w:t>维生素B2</w:t>
            </w:r>
          </w:p>
          <w:p w:rsidR="00EA40A3" w:rsidRDefault="00E86C16">
            <w:pPr>
              <w:spacing w:before="42" w:line="214" w:lineRule="auto"/>
              <w:ind w:left="240"/>
              <w:rPr>
                <w:rFonts w:ascii="宋体" w:eastAsia="宋体" w:hAnsi="宋体" w:cs="宋体"/>
                <w:sz w:val="17"/>
                <w:szCs w:val="17"/>
              </w:rPr>
            </w:pPr>
            <w:r>
              <w:rPr>
                <w:rFonts w:ascii="宋体" w:eastAsia="宋体" w:hAnsi="宋体" w:cs="宋体"/>
                <w:spacing w:val="-1"/>
                <w:sz w:val="17"/>
                <w:szCs w:val="17"/>
              </w:rPr>
              <w:t>RNI/mg</w:t>
            </w:r>
          </w:p>
        </w:tc>
        <w:tc>
          <w:tcPr>
            <w:tcW w:w="935" w:type="dxa"/>
            <w:tcBorders>
              <w:top w:val="single" w:sz="4" w:space="0" w:color="000000"/>
              <w:bottom w:val="single" w:sz="4" w:space="0" w:color="000000"/>
            </w:tcBorders>
          </w:tcPr>
          <w:p w:rsidR="00EA40A3" w:rsidRDefault="00E86C16">
            <w:pPr>
              <w:spacing w:before="151" w:line="245" w:lineRule="auto"/>
              <w:ind w:left="256" w:right="106" w:hanging="120"/>
              <w:rPr>
                <w:rFonts w:ascii="宋体" w:eastAsia="宋体" w:hAnsi="宋体" w:cs="宋体"/>
                <w:sz w:val="17"/>
                <w:szCs w:val="17"/>
              </w:rPr>
            </w:pPr>
            <w:r>
              <w:rPr>
                <w:rFonts w:ascii="宋体" w:eastAsia="宋体" w:hAnsi="宋体" w:cs="宋体"/>
                <w:spacing w:val="4"/>
                <w:sz w:val="17"/>
                <w:szCs w:val="17"/>
              </w:rPr>
              <w:t>维生素</w:t>
            </w:r>
            <w:r>
              <w:rPr>
                <w:rFonts w:ascii="宋体" w:eastAsia="宋体" w:hAnsi="宋体" w:cs="宋体"/>
                <w:sz w:val="17"/>
                <w:szCs w:val="17"/>
              </w:rPr>
              <w:t xml:space="preserve">Bs </w:t>
            </w:r>
            <w:r>
              <w:rPr>
                <w:rFonts w:ascii="宋体" w:eastAsia="宋体" w:hAnsi="宋体" w:cs="宋体"/>
                <w:spacing w:val="-1"/>
                <w:sz w:val="17"/>
                <w:szCs w:val="17"/>
              </w:rPr>
              <w:t>AI/mg</w:t>
            </w:r>
          </w:p>
        </w:tc>
        <w:tc>
          <w:tcPr>
            <w:tcW w:w="1010" w:type="dxa"/>
            <w:tcBorders>
              <w:top w:val="single" w:sz="4" w:space="0" w:color="000000"/>
              <w:bottom w:val="single" w:sz="4" w:space="0" w:color="000000"/>
            </w:tcBorders>
          </w:tcPr>
          <w:p w:rsidR="00EA40A3" w:rsidRDefault="00E86C16">
            <w:pPr>
              <w:spacing w:before="162" w:line="219" w:lineRule="auto"/>
              <w:ind w:left="120"/>
              <w:rPr>
                <w:rFonts w:ascii="宋体" w:eastAsia="宋体" w:hAnsi="宋体" w:cs="宋体"/>
                <w:sz w:val="17"/>
                <w:szCs w:val="17"/>
              </w:rPr>
            </w:pPr>
            <w:r>
              <w:rPr>
                <w:rFonts w:ascii="宋体" w:eastAsia="宋体" w:hAnsi="宋体" w:cs="宋体"/>
                <w:spacing w:val="3"/>
                <w:sz w:val="17"/>
                <w:szCs w:val="17"/>
              </w:rPr>
              <w:t>维生素</w:t>
            </w:r>
            <w:r>
              <w:rPr>
                <w:rFonts w:ascii="宋体" w:eastAsia="宋体" w:hAnsi="宋体" w:cs="宋体"/>
                <w:sz w:val="17"/>
                <w:szCs w:val="17"/>
              </w:rPr>
              <w:t>Br</w:t>
            </w:r>
            <w:r>
              <w:rPr>
                <w:rFonts w:ascii="宋体" w:eastAsia="宋体" w:hAnsi="宋体" w:cs="宋体"/>
                <w:spacing w:val="3"/>
                <w:sz w:val="17"/>
                <w:szCs w:val="17"/>
              </w:rPr>
              <w:t>2</w:t>
            </w:r>
          </w:p>
          <w:p w:rsidR="00EA40A3" w:rsidRDefault="00E86C16">
            <w:pPr>
              <w:spacing w:before="52" w:line="214" w:lineRule="auto"/>
              <w:ind w:left="211"/>
              <w:rPr>
                <w:rFonts w:ascii="宋体" w:eastAsia="宋体" w:hAnsi="宋体" w:cs="宋体"/>
                <w:sz w:val="17"/>
                <w:szCs w:val="17"/>
              </w:rPr>
            </w:pPr>
            <w:r>
              <w:rPr>
                <w:rFonts w:ascii="宋体" w:eastAsia="宋体" w:hAnsi="宋体" w:cs="宋体"/>
                <w:spacing w:val="-1"/>
                <w:sz w:val="17"/>
                <w:szCs w:val="17"/>
              </w:rPr>
              <w:t>RNI/μg</w:t>
            </w:r>
          </w:p>
        </w:tc>
      </w:tr>
      <w:tr w:rsidR="00EA40A3">
        <w:trPr>
          <w:trHeight w:val="338"/>
        </w:trPr>
        <w:tc>
          <w:tcPr>
            <w:tcW w:w="618" w:type="dxa"/>
            <w:tcBorders>
              <w:top w:val="single" w:sz="4" w:space="0" w:color="000000"/>
            </w:tcBorders>
          </w:tcPr>
          <w:p w:rsidR="00EA40A3" w:rsidRDefault="00E86C16">
            <w:pPr>
              <w:spacing w:before="122" w:line="183" w:lineRule="auto"/>
              <w:ind w:left="260"/>
              <w:rPr>
                <w:rFonts w:ascii="宋体" w:eastAsia="宋体" w:hAnsi="宋体" w:cs="宋体"/>
                <w:sz w:val="17"/>
                <w:szCs w:val="17"/>
              </w:rPr>
            </w:pPr>
            <w:r>
              <w:rPr>
                <w:rFonts w:ascii="宋体" w:eastAsia="宋体" w:hAnsi="宋体" w:cs="宋体"/>
                <w:spacing w:val="15"/>
                <w:w w:val="118"/>
                <w:sz w:val="17"/>
                <w:szCs w:val="17"/>
              </w:rPr>
              <w:t>3~</w:t>
            </w:r>
          </w:p>
        </w:tc>
        <w:tc>
          <w:tcPr>
            <w:tcW w:w="1062" w:type="dxa"/>
            <w:tcBorders>
              <w:top w:val="single" w:sz="4" w:space="0" w:color="000000"/>
            </w:tcBorders>
          </w:tcPr>
          <w:p w:rsidR="00EA40A3" w:rsidRDefault="00E86C16">
            <w:pPr>
              <w:spacing w:before="122" w:line="183" w:lineRule="auto"/>
              <w:ind w:left="402"/>
              <w:rPr>
                <w:rFonts w:ascii="宋体" w:eastAsia="宋体" w:hAnsi="宋体" w:cs="宋体"/>
                <w:sz w:val="17"/>
                <w:szCs w:val="17"/>
              </w:rPr>
            </w:pPr>
            <w:r>
              <w:rPr>
                <w:rFonts w:ascii="宋体" w:eastAsia="宋体" w:hAnsi="宋体" w:cs="宋体"/>
                <w:spacing w:val="-2"/>
                <w:sz w:val="17"/>
                <w:szCs w:val="17"/>
              </w:rPr>
              <w:t>400</w:t>
            </w:r>
          </w:p>
        </w:tc>
        <w:tc>
          <w:tcPr>
            <w:tcW w:w="807" w:type="dxa"/>
            <w:tcBorders>
              <w:top w:val="single" w:sz="4" w:space="0" w:color="000000"/>
            </w:tcBorders>
          </w:tcPr>
          <w:p w:rsidR="00EA40A3" w:rsidRDefault="00E86C16">
            <w:pPr>
              <w:spacing w:before="121" w:line="184" w:lineRule="auto"/>
              <w:ind w:left="320"/>
              <w:rPr>
                <w:rFonts w:ascii="宋体" w:eastAsia="宋体" w:hAnsi="宋体" w:cs="宋体"/>
                <w:sz w:val="17"/>
                <w:szCs w:val="17"/>
              </w:rPr>
            </w:pPr>
            <w:r>
              <w:rPr>
                <w:rFonts w:ascii="宋体" w:eastAsia="宋体" w:hAnsi="宋体" w:cs="宋体"/>
                <w:spacing w:val="-5"/>
                <w:sz w:val="17"/>
                <w:szCs w:val="17"/>
              </w:rPr>
              <w:t>10</w:t>
            </w:r>
          </w:p>
        </w:tc>
        <w:tc>
          <w:tcPr>
            <w:tcW w:w="1972" w:type="dxa"/>
            <w:gridSpan w:val="2"/>
            <w:tcBorders>
              <w:top w:val="single" w:sz="4" w:space="0" w:color="000000"/>
            </w:tcBorders>
          </w:tcPr>
          <w:p w:rsidR="00EA40A3" w:rsidRDefault="00E86C16">
            <w:pPr>
              <w:spacing w:before="122" w:line="183" w:lineRule="auto"/>
              <w:ind w:left="503"/>
              <w:rPr>
                <w:rFonts w:ascii="宋体" w:eastAsia="宋体" w:hAnsi="宋体" w:cs="宋体"/>
                <w:sz w:val="17"/>
                <w:szCs w:val="17"/>
              </w:rPr>
            </w:pPr>
            <w:r>
              <w:rPr>
                <w:rFonts w:ascii="宋体" w:eastAsia="宋体" w:hAnsi="宋体" w:cs="宋体"/>
                <w:spacing w:val="-3"/>
                <w:sz w:val="17"/>
                <w:szCs w:val="17"/>
              </w:rPr>
              <w:t>4</w:t>
            </w:r>
            <w:r>
              <w:rPr>
                <w:rFonts w:ascii="宋体" w:eastAsia="宋体" w:hAnsi="宋体" w:cs="宋体"/>
                <w:spacing w:val="7"/>
                <w:sz w:val="17"/>
                <w:szCs w:val="17"/>
              </w:rPr>
              <w:t xml:space="preserve">         </w:t>
            </w:r>
            <w:r>
              <w:rPr>
                <w:rFonts w:ascii="宋体" w:eastAsia="宋体" w:hAnsi="宋体" w:cs="宋体"/>
                <w:spacing w:val="-3"/>
                <w:sz w:val="17"/>
                <w:szCs w:val="17"/>
              </w:rPr>
              <w:t>0.6</w:t>
            </w:r>
          </w:p>
        </w:tc>
        <w:tc>
          <w:tcPr>
            <w:tcW w:w="945" w:type="dxa"/>
            <w:tcBorders>
              <w:top w:val="single" w:sz="4" w:space="0" w:color="000000"/>
            </w:tcBorders>
          </w:tcPr>
          <w:p w:rsidR="00EA40A3" w:rsidRDefault="00E86C16">
            <w:pPr>
              <w:spacing w:before="122" w:line="183" w:lineRule="auto"/>
              <w:ind w:left="361"/>
              <w:rPr>
                <w:rFonts w:ascii="宋体" w:eastAsia="宋体" w:hAnsi="宋体" w:cs="宋体"/>
                <w:sz w:val="17"/>
                <w:szCs w:val="17"/>
              </w:rPr>
            </w:pPr>
            <w:r>
              <w:rPr>
                <w:rFonts w:ascii="宋体" w:eastAsia="宋体" w:hAnsi="宋体" w:cs="宋体"/>
                <w:spacing w:val="-2"/>
                <w:sz w:val="17"/>
                <w:szCs w:val="17"/>
              </w:rPr>
              <w:t>0.6</w:t>
            </w:r>
          </w:p>
        </w:tc>
        <w:tc>
          <w:tcPr>
            <w:tcW w:w="935" w:type="dxa"/>
            <w:tcBorders>
              <w:top w:val="single" w:sz="4" w:space="0" w:color="000000"/>
            </w:tcBorders>
          </w:tcPr>
          <w:p w:rsidR="00EA40A3" w:rsidRDefault="00E86C16">
            <w:pPr>
              <w:spacing w:before="122" w:line="183" w:lineRule="auto"/>
              <w:ind w:left="346"/>
              <w:rPr>
                <w:rFonts w:ascii="宋体" w:eastAsia="宋体" w:hAnsi="宋体" w:cs="宋体"/>
                <w:sz w:val="17"/>
                <w:szCs w:val="17"/>
              </w:rPr>
            </w:pPr>
            <w:r>
              <w:rPr>
                <w:rFonts w:ascii="宋体" w:eastAsia="宋体" w:hAnsi="宋体" w:cs="宋体"/>
                <w:spacing w:val="-2"/>
                <w:sz w:val="17"/>
                <w:szCs w:val="17"/>
              </w:rPr>
              <w:t>0.5</w:t>
            </w:r>
          </w:p>
        </w:tc>
        <w:tc>
          <w:tcPr>
            <w:tcW w:w="1010" w:type="dxa"/>
            <w:tcBorders>
              <w:top w:val="single" w:sz="4" w:space="0" w:color="000000"/>
            </w:tcBorders>
          </w:tcPr>
          <w:p w:rsidR="00EA40A3" w:rsidRDefault="00E86C16">
            <w:pPr>
              <w:spacing w:before="122" w:line="183" w:lineRule="auto"/>
              <w:ind w:left="380"/>
              <w:rPr>
                <w:rFonts w:ascii="宋体" w:eastAsia="宋体" w:hAnsi="宋体" w:cs="宋体"/>
                <w:sz w:val="17"/>
                <w:szCs w:val="17"/>
              </w:rPr>
            </w:pPr>
            <w:r>
              <w:rPr>
                <w:rFonts w:ascii="宋体" w:eastAsia="宋体" w:hAnsi="宋体" w:cs="宋体"/>
                <w:spacing w:val="-2"/>
                <w:sz w:val="17"/>
                <w:szCs w:val="17"/>
              </w:rPr>
              <w:t>0.9</w:t>
            </w:r>
          </w:p>
        </w:tc>
      </w:tr>
      <w:tr w:rsidR="00EA40A3">
        <w:trPr>
          <w:trHeight w:val="309"/>
        </w:trPr>
        <w:tc>
          <w:tcPr>
            <w:tcW w:w="618" w:type="dxa"/>
          </w:tcPr>
          <w:p w:rsidR="00EA40A3" w:rsidRDefault="00E86C16">
            <w:pPr>
              <w:spacing w:before="104" w:line="183" w:lineRule="auto"/>
              <w:ind w:left="260"/>
              <w:rPr>
                <w:rFonts w:ascii="宋体" w:eastAsia="宋体" w:hAnsi="宋体" w:cs="宋体"/>
                <w:sz w:val="17"/>
                <w:szCs w:val="17"/>
              </w:rPr>
            </w:pPr>
            <w:r>
              <w:rPr>
                <w:rFonts w:ascii="宋体" w:eastAsia="宋体" w:hAnsi="宋体" w:cs="宋体"/>
                <w:spacing w:val="11"/>
                <w:w w:val="125"/>
                <w:sz w:val="17"/>
                <w:szCs w:val="17"/>
              </w:rPr>
              <w:t>4~</w:t>
            </w:r>
          </w:p>
        </w:tc>
        <w:tc>
          <w:tcPr>
            <w:tcW w:w="1062" w:type="dxa"/>
          </w:tcPr>
          <w:p w:rsidR="00EA40A3" w:rsidRDefault="00E86C16">
            <w:pPr>
              <w:spacing w:before="104" w:line="183" w:lineRule="auto"/>
              <w:ind w:left="402"/>
              <w:rPr>
                <w:rFonts w:ascii="宋体" w:eastAsia="宋体" w:hAnsi="宋体" w:cs="宋体"/>
                <w:sz w:val="17"/>
                <w:szCs w:val="17"/>
              </w:rPr>
            </w:pPr>
            <w:r>
              <w:rPr>
                <w:rFonts w:ascii="宋体" w:eastAsia="宋体" w:hAnsi="宋体" w:cs="宋体"/>
                <w:spacing w:val="-3"/>
                <w:sz w:val="17"/>
                <w:szCs w:val="17"/>
              </w:rPr>
              <w:t>500</w:t>
            </w:r>
          </w:p>
        </w:tc>
        <w:tc>
          <w:tcPr>
            <w:tcW w:w="807" w:type="dxa"/>
          </w:tcPr>
          <w:p w:rsidR="00EA40A3" w:rsidRDefault="00E86C16">
            <w:pPr>
              <w:spacing w:before="103" w:line="184" w:lineRule="auto"/>
              <w:ind w:left="320"/>
              <w:rPr>
                <w:rFonts w:ascii="宋体" w:eastAsia="宋体" w:hAnsi="宋体" w:cs="宋体"/>
                <w:sz w:val="17"/>
                <w:szCs w:val="17"/>
              </w:rPr>
            </w:pPr>
            <w:r>
              <w:rPr>
                <w:rFonts w:ascii="宋体" w:eastAsia="宋体" w:hAnsi="宋体" w:cs="宋体"/>
                <w:spacing w:val="-5"/>
                <w:sz w:val="17"/>
                <w:szCs w:val="17"/>
              </w:rPr>
              <w:t>10</w:t>
            </w:r>
          </w:p>
        </w:tc>
        <w:tc>
          <w:tcPr>
            <w:tcW w:w="1972" w:type="dxa"/>
            <w:gridSpan w:val="2"/>
          </w:tcPr>
          <w:p w:rsidR="00EA40A3" w:rsidRDefault="00E86C16">
            <w:pPr>
              <w:spacing w:before="104" w:line="183" w:lineRule="auto"/>
              <w:ind w:left="503"/>
              <w:rPr>
                <w:rFonts w:ascii="宋体" w:eastAsia="宋体" w:hAnsi="宋体" w:cs="宋体"/>
                <w:sz w:val="17"/>
                <w:szCs w:val="17"/>
              </w:rPr>
            </w:pPr>
            <w:r>
              <w:rPr>
                <w:rFonts w:ascii="宋体" w:eastAsia="宋体" w:hAnsi="宋体" w:cs="宋体"/>
                <w:spacing w:val="-4"/>
                <w:sz w:val="17"/>
                <w:szCs w:val="17"/>
              </w:rPr>
              <w:t>5</w:t>
            </w:r>
            <w:r>
              <w:rPr>
                <w:rFonts w:ascii="宋体" w:eastAsia="宋体" w:hAnsi="宋体" w:cs="宋体"/>
                <w:spacing w:val="7"/>
                <w:sz w:val="17"/>
                <w:szCs w:val="17"/>
              </w:rPr>
              <w:t xml:space="preserve">         </w:t>
            </w:r>
            <w:r>
              <w:rPr>
                <w:rFonts w:ascii="宋体" w:eastAsia="宋体" w:hAnsi="宋体" w:cs="宋体"/>
                <w:spacing w:val="-4"/>
                <w:sz w:val="17"/>
                <w:szCs w:val="17"/>
              </w:rPr>
              <w:t>0.7</w:t>
            </w:r>
          </w:p>
        </w:tc>
        <w:tc>
          <w:tcPr>
            <w:tcW w:w="945" w:type="dxa"/>
          </w:tcPr>
          <w:p w:rsidR="00EA40A3" w:rsidRDefault="00E86C16">
            <w:pPr>
              <w:spacing w:before="104" w:line="183" w:lineRule="auto"/>
              <w:ind w:left="361"/>
              <w:rPr>
                <w:rFonts w:ascii="宋体" w:eastAsia="宋体" w:hAnsi="宋体" w:cs="宋体"/>
                <w:sz w:val="17"/>
                <w:szCs w:val="17"/>
              </w:rPr>
            </w:pPr>
            <w:r>
              <w:rPr>
                <w:rFonts w:ascii="宋体" w:eastAsia="宋体" w:hAnsi="宋体" w:cs="宋体"/>
                <w:spacing w:val="-2"/>
                <w:sz w:val="17"/>
                <w:szCs w:val="17"/>
              </w:rPr>
              <w:t>0.7</w:t>
            </w:r>
          </w:p>
        </w:tc>
        <w:tc>
          <w:tcPr>
            <w:tcW w:w="935" w:type="dxa"/>
          </w:tcPr>
          <w:p w:rsidR="00EA40A3" w:rsidRDefault="00E86C16">
            <w:pPr>
              <w:spacing w:before="104" w:line="183" w:lineRule="auto"/>
              <w:ind w:left="346"/>
              <w:rPr>
                <w:rFonts w:ascii="宋体" w:eastAsia="宋体" w:hAnsi="宋体" w:cs="宋体"/>
                <w:sz w:val="17"/>
                <w:szCs w:val="17"/>
              </w:rPr>
            </w:pPr>
            <w:r>
              <w:rPr>
                <w:rFonts w:ascii="宋体" w:eastAsia="宋体" w:hAnsi="宋体" w:cs="宋体"/>
                <w:spacing w:val="-2"/>
                <w:sz w:val="17"/>
                <w:szCs w:val="17"/>
              </w:rPr>
              <w:t>0.6</w:t>
            </w:r>
          </w:p>
        </w:tc>
        <w:tc>
          <w:tcPr>
            <w:tcW w:w="1010" w:type="dxa"/>
          </w:tcPr>
          <w:p w:rsidR="00EA40A3" w:rsidRDefault="00E86C16">
            <w:pPr>
              <w:spacing w:before="103" w:line="184" w:lineRule="auto"/>
              <w:ind w:left="380"/>
              <w:rPr>
                <w:rFonts w:ascii="宋体" w:eastAsia="宋体" w:hAnsi="宋体" w:cs="宋体"/>
                <w:sz w:val="17"/>
                <w:szCs w:val="17"/>
              </w:rPr>
            </w:pPr>
            <w:r>
              <w:rPr>
                <w:rFonts w:ascii="宋体" w:eastAsia="宋体" w:hAnsi="宋体" w:cs="宋体"/>
                <w:spacing w:val="-5"/>
                <w:sz w:val="17"/>
                <w:szCs w:val="17"/>
              </w:rPr>
              <w:t>1.2</w:t>
            </w:r>
          </w:p>
        </w:tc>
      </w:tr>
      <w:tr w:rsidR="00EA40A3">
        <w:trPr>
          <w:trHeight w:val="269"/>
        </w:trPr>
        <w:tc>
          <w:tcPr>
            <w:tcW w:w="618" w:type="dxa"/>
            <w:tcBorders>
              <w:bottom w:val="single" w:sz="4" w:space="0" w:color="000000"/>
            </w:tcBorders>
          </w:tcPr>
          <w:p w:rsidR="00EA40A3" w:rsidRDefault="00E86C16">
            <w:pPr>
              <w:spacing w:before="95" w:line="183" w:lineRule="auto"/>
              <w:ind w:left="180"/>
              <w:rPr>
                <w:rFonts w:ascii="宋体" w:eastAsia="宋体" w:hAnsi="宋体" w:cs="宋体"/>
                <w:sz w:val="17"/>
                <w:szCs w:val="17"/>
              </w:rPr>
            </w:pPr>
            <w:r>
              <w:rPr>
                <w:rFonts w:ascii="宋体" w:eastAsia="宋体" w:hAnsi="宋体" w:cs="宋体"/>
                <w:spacing w:val="-3"/>
                <w:sz w:val="17"/>
                <w:szCs w:val="17"/>
              </w:rPr>
              <w:t>5～6</w:t>
            </w:r>
          </w:p>
        </w:tc>
        <w:tc>
          <w:tcPr>
            <w:tcW w:w="1062" w:type="dxa"/>
            <w:tcBorders>
              <w:bottom w:val="single" w:sz="4" w:space="0" w:color="000000"/>
            </w:tcBorders>
          </w:tcPr>
          <w:p w:rsidR="00EA40A3" w:rsidRDefault="00E86C16">
            <w:pPr>
              <w:spacing w:before="95" w:line="183" w:lineRule="auto"/>
              <w:ind w:left="402"/>
              <w:rPr>
                <w:rFonts w:ascii="宋体" w:eastAsia="宋体" w:hAnsi="宋体" w:cs="宋体"/>
                <w:sz w:val="17"/>
                <w:szCs w:val="17"/>
              </w:rPr>
            </w:pPr>
            <w:r>
              <w:rPr>
                <w:rFonts w:ascii="宋体" w:eastAsia="宋体" w:hAnsi="宋体" w:cs="宋体"/>
                <w:spacing w:val="-3"/>
                <w:sz w:val="17"/>
                <w:szCs w:val="17"/>
              </w:rPr>
              <w:t>500</w:t>
            </w:r>
          </w:p>
        </w:tc>
        <w:tc>
          <w:tcPr>
            <w:tcW w:w="807" w:type="dxa"/>
            <w:tcBorders>
              <w:bottom w:val="single" w:sz="4" w:space="0" w:color="000000"/>
            </w:tcBorders>
          </w:tcPr>
          <w:p w:rsidR="00EA40A3" w:rsidRDefault="00E86C16">
            <w:pPr>
              <w:spacing w:before="94" w:line="184" w:lineRule="auto"/>
              <w:ind w:left="320"/>
              <w:rPr>
                <w:rFonts w:ascii="宋体" w:eastAsia="宋体" w:hAnsi="宋体" w:cs="宋体"/>
                <w:sz w:val="17"/>
                <w:szCs w:val="17"/>
              </w:rPr>
            </w:pPr>
            <w:r>
              <w:rPr>
                <w:rFonts w:ascii="宋体" w:eastAsia="宋体" w:hAnsi="宋体" w:cs="宋体"/>
                <w:spacing w:val="-5"/>
                <w:sz w:val="17"/>
                <w:szCs w:val="17"/>
              </w:rPr>
              <w:t>10</w:t>
            </w:r>
          </w:p>
        </w:tc>
        <w:tc>
          <w:tcPr>
            <w:tcW w:w="1972" w:type="dxa"/>
            <w:gridSpan w:val="2"/>
            <w:tcBorders>
              <w:bottom w:val="single" w:sz="4" w:space="0" w:color="000000"/>
            </w:tcBorders>
          </w:tcPr>
          <w:p w:rsidR="00EA40A3" w:rsidRDefault="00E86C16">
            <w:pPr>
              <w:spacing w:before="95" w:line="183" w:lineRule="auto"/>
              <w:ind w:left="503"/>
              <w:rPr>
                <w:rFonts w:ascii="宋体" w:eastAsia="宋体" w:hAnsi="宋体" w:cs="宋体"/>
                <w:sz w:val="17"/>
                <w:szCs w:val="17"/>
              </w:rPr>
            </w:pPr>
            <w:r>
              <w:rPr>
                <w:rFonts w:ascii="宋体" w:eastAsia="宋体" w:hAnsi="宋体" w:cs="宋体"/>
                <w:spacing w:val="-4"/>
                <w:sz w:val="17"/>
                <w:szCs w:val="17"/>
              </w:rPr>
              <w:t>5</w:t>
            </w:r>
            <w:r>
              <w:rPr>
                <w:rFonts w:ascii="宋体" w:eastAsia="宋体" w:hAnsi="宋体" w:cs="宋体"/>
                <w:spacing w:val="7"/>
                <w:sz w:val="17"/>
                <w:szCs w:val="17"/>
              </w:rPr>
              <w:t xml:space="preserve">         </w:t>
            </w:r>
            <w:r>
              <w:rPr>
                <w:rFonts w:ascii="宋体" w:eastAsia="宋体" w:hAnsi="宋体" w:cs="宋体"/>
                <w:spacing w:val="-4"/>
                <w:sz w:val="17"/>
                <w:szCs w:val="17"/>
              </w:rPr>
              <w:t>0.7</w:t>
            </w:r>
          </w:p>
        </w:tc>
        <w:tc>
          <w:tcPr>
            <w:tcW w:w="945" w:type="dxa"/>
            <w:tcBorders>
              <w:bottom w:val="single" w:sz="4" w:space="0" w:color="000000"/>
            </w:tcBorders>
          </w:tcPr>
          <w:p w:rsidR="00EA40A3" w:rsidRDefault="00E86C16">
            <w:pPr>
              <w:spacing w:before="95" w:line="183" w:lineRule="auto"/>
              <w:ind w:left="361"/>
              <w:rPr>
                <w:rFonts w:ascii="宋体" w:eastAsia="宋体" w:hAnsi="宋体" w:cs="宋体"/>
                <w:sz w:val="17"/>
                <w:szCs w:val="17"/>
              </w:rPr>
            </w:pPr>
            <w:r>
              <w:rPr>
                <w:rFonts w:ascii="宋体" w:eastAsia="宋体" w:hAnsi="宋体" w:cs="宋体"/>
                <w:spacing w:val="-2"/>
                <w:sz w:val="17"/>
                <w:szCs w:val="17"/>
              </w:rPr>
              <w:t>0.7</w:t>
            </w:r>
          </w:p>
        </w:tc>
        <w:tc>
          <w:tcPr>
            <w:tcW w:w="935" w:type="dxa"/>
            <w:tcBorders>
              <w:bottom w:val="single" w:sz="4" w:space="0" w:color="000000"/>
            </w:tcBorders>
          </w:tcPr>
          <w:p w:rsidR="00EA40A3" w:rsidRDefault="00E86C16">
            <w:pPr>
              <w:spacing w:before="95" w:line="183" w:lineRule="auto"/>
              <w:ind w:left="346"/>
              <w:rPr>
                <w:rFonts w:ascii="宋体" w:eastAsia="宋体" w:hAnsi="宋体" w:cs="宋体"/>
                <w:sz w:val="17"/>
                <w:szCs w:val="17"/>
              </w:rPr>
            </w:pPr>
            <w:r>
              <w:rPr>
                <w:rFonts w:ascii="宋体" w:eastAsia="宋体" w:hAnsi="宋体" w:cs="宋体"/>
                <w:spacing w:val="-2"/>
                <w:sz w:val="17"/>
                <w:szCs w:val="17"/>
              </w:rPr>
              <w:t>0.6</w:t>
            </w:r>
          </w:p>
        </w:tc>
        <w:tc>
          <w:tcPr>
            <w:tcW w:w="1010" w:type="dxa"/>
            <w:tcBorders>
              <w:bottom w:val="single" w:sz="4" w:space="0" w:color="000000"/>
            </w:tcBorders>
          </w:tcPr>
          <w:p w:rsidR="00EA40A3" w:rsidRDefault="00E86C16">
            <w:pPr>
              <w:spacing w:before="94" w:line="184" w:lineRule="auto"/>
              <w:ind w:left="380"/>
              <w:rPr>
                <w:rFonts w:ascii="宋体" w:eastAsia="宋体" w:hAnsi="宋体" w:cs="宋体"/>
                <w:sz w:val="17"/>
                <w:szCs w:val="17"/>
              </w:rPr>
            </w:pPr>
            <w:r>
              <w:rPr>
                <w:rFonts w:ascii="宋体" w:eastAsia="宋体" w:hAnsi="宋体" w:cs="宋体"/>
                <w:spacing w:val="-5"/>
                <w:sz w:val="17"/>
                <w:szCs w:val="17"/>
              </w:rPr>
              <w:t>1.2</w:t>
            </w:r>
          </w:p>
        </w:tc>
      </w:tr>
      <w:tr w:rsidR="00EA40A3">
        <w:trPr>
          <w:trHeight w:val="331"/>
        </w:trPr>
        <w:tc>
          <w:tcPr>
            <w:tcW w:w="618" w:type="dxa"/>
            <w:vMerge w:val="restart"/>
            <w:tcBorders>
              <w:top w:val="single" w:sz="4" w:space="0" w:color="000000"/>
              <w:bottom w:val="nil"/>
            </w:tcBorders>
          </w:tcPr>
          <w:p w:rsidR="00EA40A3" w:rsidRDefault="00E86C16">
            <w:pPr>
              <w:spacing w:before="223" w:line="219" w:lineRule="auto"/>
              <w:ind w:left="180"/>
              <w:rPr>
                <w:rFonts w:ascii="宋体" w:eastAsia="宋体" w:hAnsi="宋体" w:cs="宋体"/>
                <w:sz w:val="17"/>
                <w:szCs w:val="17"/>
              </w:rPr>
            </w:pPr>
            <w:r>
              <w:rPr>
                <w:rFonts w:ascii="宋体" w:eastAsia="宋体" w:hAnsi="宋体" w:cs="宋体"/>
                <w:spacing w:val="-2"/>
                <w:sz w:val="17"/>
                <w:szCs w:val="17"/>
              </w:rPr>
              <w:t>年龄</w:t>
            </w:r>
          </w:p>
        </w:tc>
        <w:tc>
          <w:tcPr>
            <w:tcW w:w="1062" w:type="dxa"/>
            <w:tcBorders>
              <w:top w:val="single" w:sz="4" w:space="0" w:color="000000"/>
            </w:tcBorders>
          </w:tcPr>
          <w:p w:rsidR="00EA40A3" w:rsidRDefault="00E86C16">
            <w:pPr>
              <w:spacing w:before="133" w:line="215" w:lineRule="auto"/>
              <w:ind w:left="231"/>
              <w:rPr>
                <w:rFonts w:ascii="宋体" w:eastAsia="宋体" w:hAnsi="宋体" w:cs="宋体"/>
                <w:sz w:val="17"/>
                <w:szCs w:val="17"/>
              </w:rPr>
            </w:pPr>
            <w:r>
              <w:rPr>
                <w:rFonts w:ascii="宋体" w:eastAsia="宋体" w:hAnsi="宋体" w:cs="宋体"/>
                <w:spacing w:val="2"/>
                <w:sz w:val="17"/>
                <w:szCs w:val="17"/>
              </w:rPr>
              <w:t>维生素C</w:t>
            </w:r>
          </w:p>
        </w:tc>
        <w:tc>
          <w:tcPr>
            <w:tcW w:w="807" w:type="dxa"/>
            <w:tcBorders>
              <w:top w:val="single" w:sz="4" w:space="0" w:color="000000"/>
            </w:tcBorders>
          </w:tcPr>
          <w:p w:rsidR="00EA40A3" w:rsidRDefault="00E86C16">
            <w:pPr>
              <w:spacing w:before="133" w:line="214" w:lineRule="auto"/>
              <w:ind w:left="240"/>
              <w:rPr>
                <w:rFonts w:ascii="宋体" w:eastAsia="宋体" w:hAnsi="宋体" w:cs="宋体"/>
                <w:sz w:val="17"/>
                <w:szCs w:val="17"/>
              </w:rPr>
            </w:pPr>
            <w:r>
              <w:rPr>
                <w:rFonts w:ascii="宋体" w:eastAsia="宋体" w:hAnsi="宋体" w:cs="宋体"/>
                <w:spacing w:val="-2"/>
                <w:sz w:val="17"/>
                <w:szCs w:val="17"/>
              </w:rPr>
              <w:t>泛酸</w:t>
            </w:r>
          </w:p>
        </w:tc>
        <w:tc>
          <w:tcPr>
            <w:tcW w:w="1972" w:type="dxa"/>
            <w:gridSpan w:val="2"/>
            <w:tcBorders>
              <w:top w:val="single" w:sz="4" w:space="0" w:color="000000"/>
            </w:tcBorders>
          </w:tcPr>
          <w:p w:rsidR="00EA40A3" w:rsidRDefault="00E86C16">
            <w:pPr>
              <w:spacing w:before="123" w:line="204" w:lineRule="auto"/>
              <w:ind w:left="383"/>
              <w:rPr>
                <w:rFonts w:ascii="宋体" w:eastAsia="宋体" w:hAnsi="宋体" w:cs="宋体"/>
                <w:sz w:val="17"/>
                <w:szCs w:val="17"/>
              </w:rPr>
            </w:pPr>
            <w:r>
              <w:rPr>
                <w:rFonts w:ascii="宋体" w:eastAsia="宋体" w:hAnsi="宋体" w:cs="宋体"/>
                <w:position w:val="1"/>
                <w:sz w:val="17"/>
                <w:szCs w:val="17"/>
              </w:rPr>
              <w:t>叶酸</w:t>
            </w:r>
            <w:r>
              <w:rPr>
                <w:rFonts w:ascii="宋体" w:eastAsia="宋体" w:hAnsi="宋体" w:cs="宋体"/>
                <w:spacing w:val="1"/>
                <w:position w:val="1"/>
                <w:sz w:val="17"/>
                <w:szCs w:val="17"/>
              </w:rPr>
              <w:t xml:space="preserve">       </w:t>
            </w:r>
            <w:r>
              <w:rPr>
                <w:rFonts w:ascii="宋体" w:eastAsia="宋体" w:hAnsi="宋体" w:cs="宋体"/>
                <w:position w:val="-1"/>
                <w:sz w:val="17"/>
                <w:szCs w:val="17"/>
              </w:rPr>
              <w:t>烟酸</w:t>
            </w:r>
          </w:p>
        </w:tc>
        <w:tc>
          <w:tcPr>
            <w:tcW w:w="945" w:type="dxa"/>
            <w:tcBorders>
              <w:top w:val="single" w:sz="4" w:space="0" w:color="000000"/>
            </w:tcBorders>
          </w:tcPr>
          <w:p w:rsidR="00EA40A3" w:rsidRDefault="00E86C16">
            <w:pPr>
              <w:spacing w:before="144" w:line="203" w:lineRule="auto"/>
              <w:ind w:left="321"/>
              <w:rPr>
                <w:rFonts w:ascii="宋体" w:eastAsia="宋体" w:hAnsi="宋体" w:cs="宋体"/>
                <w:sz w:val="17"/>
                <w:szCs w:val="17"/>
              </w:rPr>
            </w:pPr>
            <w:r>
              <w:rPr>
                <w:rFonts w:ascii="宋体" w:eastAsia="宋体" w:hAnsi="宋体" w:cs="宋体"/>
                <w:spacing w:val="-2"/>
                <w:sz w:val="17"/>
                <w:szCs w:val="17"/>
              </w:rPr>
              <w:t>胆碱</w:t>
            </w:r>
          </w:p>
        </w:tc>
        <w:tc>
          <w:tcPr>
            <w:tcW w:w="935" w:type="dxa"/>
            <w:tcBorders>
              <w:top w:val="single" w:sz="4" w:space="0" w:color="000000"/>
            </w:tcBorders>
          </w:tcPr>
          <w:p w:rsidR="00EA40A3" w:rsidRDefault="00E86C16">
            <w:pPr>
              <w:spacing w:before="133" w:line="215" w:lineRule="auto"/>
              <w:ind w:left="216"/>
              <w:rPr>
                <w:rFonts w:ascii="宋体" w:eastAsia="宋体" w:hAnsi="宋体" w:cs="宋体"/>
                <w:sz w:val="17"/>
                <w:szCs w:val="17"/>
              </w:rPr>
            </w:pPr>
            <w:r>
              <w:rPr>
                <w:rFonts w:ascii="宋体" w:eastAsia="宋体" w:hAnsi="宋体" w:cs="宋体"/>
                <w:spacing w:val="-2"/>
                <w:sz w:val="17"/>
                <w:szCs w:val="17"/>
              </w:rPr>
              <w:t>生物素</w:t>
            </w:r>
          </w:p>
        </w:tc>
        <w:tc>
          <w:tcPr>
            <w:tcW w:w="1010" w:type="dxa"/>
            <w:tcBorders>
              <w:top w:val="single" w:sz="4" w:space="0" w:color="000000"/>
            </w:tcBorders>
          </w:tcPr>
          <w:p w:rsidR="00EA40A3" w:rsidRDefault="00EA40A3"/>
        </w:tc>
      </w:tr>
      <w:tr w:rsidR="00EA40A3">
        <w:trPr>
          <w:trHeight w:val="277"/>
        </w:trPr>
        <w:tc>
          <w:tcPr>
            <w:tcW w:w="618" w:type="dxa"/>
            <w:vMerge/>
            <w:tcBorders>
              <w:top w:val="nil"/>
              <w:bottom w:val="single" w:sz="4" w:space="0" w:color="000000"/>
            </w:tcBorders>
          </w:tcPr>
          <w:p w:rsidR="00EA40A3" w:rsidRDefault="00EA40A3"/>
        </w:tc>
        <w:tc>
          <w:tcPr>
            <w:tcW w:w="1062" w:type="dxa"/>
            <w:tcBorders>
              <w:bottom w:val="single" w:sz="4" w:space="0" w:color="000000"/>
            </w:tcBorders>
          </w:tcPr>
          <w:p w:rsidR="00EA40A3" w:rsidRDefault="00E86C16">
            <w:pPr>
              <w:spacing w:before="56" w:line="214" w:lineRule="auto"/>
              <w:ind w:left="282"/>
              <w:rPr>
                <w:rFonts w:ascii="宋体" w:eastAsia="宋体" w:hAnsi="宋体" w:cs="宋体"/>
                <w:sz w:val="17"/>
                <w:szCs w:val="17"/>
              </w:rPr>
            </w:pPr>
            <w:r>
              <w:rPr>
                <w:rFonts w:ascii="宋体" w:eastAsia="宋体" w:hAnsi="宋体" w:cs="宋体"/>
                <w:spacing w:val="-1"/>
                <w:sz w:val="17"/>
                <w:szCs w:val="17"/>
              </w:rPr>
              <w:t>RNI/mg</w:t>
            </w:r>
          </w:p>
        </w:tc>
        <w:tc>
          <w:tcPr>
            <w:tcW w:w="807" w:type="dxa"/>
            <w:tcBorders>
              <w:bottom w:val="single" w:sz="4" w:space="0" w:color="000000"/>
            </w:tcBorders>
          </w:tcPr>
          <w:p w:rsidR="00EA40A3" w:rsidRDefault="00E86C16">
            <w:pPr>
              <w:spacing w:before="26" w:line="214" w:lineRule="auto"/>
              <w:ind w:left="190"/>
              <w:rPr>
                <w:rFonts w:ascii="宋体" w:eastAsia="宋体" w:hAnsi="宋体" w:cs="宋体"/>
                <w:sz w:val="17"/>
                <w:szCs w:val="17"/>
              </w:rPr>
            </w:pPr>
            <w:r>
              <w:rPr>
                <w:rFonts w:ascii="宋体" w:eastAsia="宋体" w:hAnsi="宋体" w:cs="宋体"/>
                <w:spacing w:val="-1"/>
                <w:sz w:val="17"/>
                <w:szCs w:val="17"/>
              </w:rPr>
              <w:t>AI/mg</w:t>
            </w:r>
          </w:p>
        </w:tc>
        <w:tc>
          <w:tcPr>
            <w:tcW w:w="1972" w:type="dxa"/>
            <w:gridSpan w:val="2"/>
            <w:tcBorders>
              <w:bottom w:val="single" w:sz="4" w:space="0" w:color="000000"/>
            </w:tcBorders>
          </w:tcPr>
          <w:p w:rsidR="00EA40A3" w:rsidRDefault="00E86C16">
            <w:pPr>
              <w:spacing w:before="46" w:line="214" w:lineRule="auto"/>
              <w:ind w:left="113"/>
              <w:rPr>
                <w:rFonts w:ascii="宋体" w:eastAsia="宋体" w:hAnsi="宋体" w:cs="宋体"/>
                <w:sz w:val="17"/>
                <w:szCs w:val="17"/>
              </w:rPr>
            </w:pPr>
            <w:r>
              <w:rPr>
                <w:rFonts w:ascii="宋体" w:eastAsia="宋体" w:hAnsi="宋体" w:cs="宋体"/>
                <w:spacing w:val="-1"/>
                <w:sz w:val="17"/>
                <w:szCs w:val="17"/>
              </w:rPr>
              <w:t>RNI/μg</w:t>
            </w:r>
            <w:r>
              <w:rPr>
                <w:rFonts w:ascii="宋体" w:eastAsia="宋体" w:hAnsi="宋体" w:cs="宋体"/>
                <w:spacing w:val="6"/>
                <w:sz w:val="17"/>
                <w:szCs w:val="17"/>
              </w:rPr>
              <w:t xml:space="preserve"> </w:t>
            </w:r>
            <w:r>
              <w:rPr>
                <w:rFonts w:ascii="宋体" w:eastAsia="宋体" w:hAnsi="宋体" w:cs="宋体"/>
                <w:spacing w:val="-1"/>
                <w:sz w:val="17"/>
                <w:szCs w:val="17"/>
              </w:rPr>
              <w:t>DFE</w:t>
            </w:r>
            <w:r>
              <w:rPr>
                <w:rFonts w:ascii="宋体" w:eastAsia="宋体" w:hAnsi="宋体" w:cs="宋体"/>
                <w:spacing w:val="5"/>
                <w:sz w:val="17"/>
                <w:szCs w:val="17"/>
              </w:rPr>
              <w:t xml:space="preserve"> </w:t>
            </w:r>
            <w:r>
              <w:rPr>
                <w:rFonts w:ascii="宋体" w:eastAsia="宋体" w:hAnsi="宋体" w:cs="宋体"/>
                <w:spacing w:val="-1"/>
                <w:sz w:val="17"/>
                <w:szCs w:val="17"/>
              </w:rPr>
              <w:t>RNI/mgNE</w:t>
            </w:r>
          </w:p>
        </w:tc>
        <w:tc>
          <w:tcPr>
            <w:tcW w:w="945" w:type="dxa"/>
            <w:tcBorders>
              <w:bottom w:val="single" w:sz="4" w:space="0" w:color="000000"/>
            </w:tcBorders>
          </w:tcPr>
          <w:p w:rsidR="00EA40A3" w:rsidRDefault="00E86C16">
            <w:pPr>
              <w:spacing w:before="46" w:line="214" w:lineRule="auto"/>
              <w:ind w:left="281"/>
              <w:rPr>
                <w:rFonts w:ascii="宋体" w:eastAsia="宋体" w:hAnsi="宋体" w:cs="宋体"/>
                <w:sz w:val="17"/>
                <w:szCs w:val="17"/>
              </w:rPr>
            </w:pPr>
            <w:r>
              <w:rPr>
                <w:rFonts w:ascii="宋体" w:eastAsia="宋体" w:hAnsi="宋体" w:cs="宋体"/>
                <w:spacing w:val="-1"/>
                <w:sz w:val="17"/>
                <w:szCs w:val="17"/>
              </w:rPr>
              <w:t>AI/mg</w:t>
            </w:r>
          </w:p>
        </w:tc>
        <w:tc>
          <w:tcPr>
            <w:tcW w:w="935" w:type="dxa"/>
            <w:tcBorders>
              <w:bottom w:val="single" w:sz="4" w:space="0" w:color="000000"/>
            </w:tcBorders>
          </w:tcPr>
          <w:p w:rsidR="00EA40A3" w:rsidRDefault="00E86C16">
            <w:pPr>
              <w:spacing w:before="56" w:line="214" w:lineRule="auto"/>
              <w:ind w:left="216"/>
              <w:rPr>
                <w:rFonts w:ascii="宋体" w:eastAsia="宋体" w:hAnsi="宋体" w:cs="宋体"/>
                <w:sz w:val="17"/>
                <w:szCs w:val="17"/>
              </w:rPr>
            </w:pPr>
            <w:r>
              <w:rPr>
                <w:rFonts w:ascii="宋体" w:eastAsia="宋体" w:hAnsi="宋体" w:cs="宋体"/>
                <w:spacing w:val="-1"/>
                <w:sz w:val="17"/>
                <w:szCs w:val="17"/>
              </w:rPr>
              <w:t>AI/μg</w:t>
            </w:r>
          </w:p>
        </w:tc>
        <w:tc>
          <w:tcPr>
            <w:tcW w:w="1010" w:type="dxa"/>
            <w:tcBorders>
              <w:bottom w:val="single" w:sz="4" w:space="0" w:color="000000"/>
            </w:tcBorders>
          </w:tcPr>
          <w:p w:rsidR="00EA40A3" w:rsidRDefault="00EA40A3"/>
        </w:tc>
      </w:tr>
      <w:tr w:rsidR="00EA40A3">
        <w:trPr>
          <w:trHeight w:val="354"/>
        </w:trPr>
        <w:tc>
          <w:tcPr>
            <w:tcW w:w="618" w:type="dxa"/>
            <w:tcBorders>
              <w:top w:val="single" w:sz="4" w:space="0" w:color="000000"/>
            </w:tcBorders>
          </w:tcPr>
          <w:p w:rsidR="00EA40A3" w:rsidRDefault="00E86C16">
            <w:pPr>
              <w:spacing w:before="148" w:line="183" w:lineRule="auto"/>
              <w:ind w:left="260"/>
              <w:rPr>
                <w:rFonts w:ascii="宋体" w:eastAsia="宋体" w:hAnsi="宋体" w:cs="宋体"/>
                <w:sz w:val="17"/>
                <w:szCs w:val="17"/>
              </w:rPr>
            </w:pPr>
            <w:r>
              <w:rPr>
                <w:rFonts w:ascii="宋体" w:eastAsia="宋体" w:hAnsi="宋体" w:cs="宋体"/>
                <w:spacing w:val="15"/>
                <w:w w:val="118"/>
                <w:sz w:val="17"/>
                <w:szCs w:val="17"/>
              </w:rPr>
              <w:t>3~</w:t>
            </w:r>
          </w:p>
        </w:tc>
        <w:tc>
          <w:tcPr>
            <w:tcW w:w="1062" w:type="dxa"/>
            <w:tcBorders>
              <w:top w:val="single" w:sz="4" w:space="0" w:color="000000"/>
            </w:tcBorders>
          </w:tcPr>
          <w:p w:rsidR="00EA40A3" w:rsidRDefault="00E86C16">
            <w:pPr>
              <w:spacing w:before="148" w:line="183" w:lineRule="auto"/>
              <w:ind w:left="452"/>
              <w:rPr>
                <w:rFonts w:ascii="宋体" w:eastAsia="宋体" w:hAnsi="宋体" w:cs="宋体"/>
                <w:sz w:val="17"/>
                <w:szCs w:val="17"/>
              </w:rPr>
            </w:pPr>
            <w:r>
              <w:rPr>
                <w:rFonts w:ascii="宋体" w:eastAsia="宋体" w:hAnsi="宋体" w:cs="宋体"/>
                <w:spacing w:val="-2"/>
                <w:sz w:val="17"/>
                <w:szCs w:val="17"/>
              </w:rPr>
              <w:t>60</w:t>
            </w:r>
          </w:p>
        </w:tc>
        <w:tc>
          <w:tcPr>
            <w:tcW w:w="807" w:type="dxa"/>
            <w:tcBorders>
              <w:top w:val="single" w:sz="4" w:space="0" w:color="000000"/>
            </w:tcBorders>
          </w:tcPr>
          <w:p w:rsidR="00EA40A3" w:rsidRDefault="00E86C16">
            <w:pPr>
              <w:spacing w:before="158" w:line="183" w:lineRule="auto"/>
              <w:ind w:left="279"/>
              <w:rPr>
                <w:rFonts w:ascii="宋体" w:eastAsia="宋体" w:hAnsi="宋体" w:cs="宋体"/>
                <w:sz w:val="17"/>
                <w:szCs w:val="17"/>
              </w:rPr>
            </w:pPr>
            <w:r>
              <w:rPr>
                <w:rFonts w:ascii="宋体" w:eastAsia="宋体" w:hAnsi="宋体" w:cs="宋体"/>
                <w:spacing w:val="-2"/>
                <w:sz w:val="17"/>
                <w:szCs w:val="17"/>
              </w:rPr>
              <w:t>2.0</w:t>
            </w:r>
          </w:p>
        </w:tc>
        <w:tc>
          <w:tcPr>
            <w:tcW w:w="1972" w:type="dxa"/>
            <w:gridSpan w:val="2"/>
            <w:tcBorders>
              <w:top w:val="single" w:sz="4" w:space="0" w:color="000000"/>
            </w:tcBorders>
          </w:tcPr>
          <w:p w:rsidR="00EA40A3" w:rsidRDefault="00E86C16">
            <w:pPr>
              <w:spacing w:before="147" w:line="184" w:lineRule="auto"/>
              <w:ind w:left="423"/>
              <w:rPr>
                <w:rFonts w:ascii="宋体" w:eastAsia="宋体" w:hAnsi="宋体" w:cs="宋体"/>
                <w:sz w:val="17"/>
                <w:szCs w:val="17"/>
              </w:rPr>
            </w:pPr>
            <w:r>
              <w:rPr>
                <w:rFonts w:ascii="宋体" w:eastAsia="宋体" w:hAnsi="宋体" w:cs="宋体"/>
                <w:spacing w:val="-5"/>
                <w:sz w:val="17"/>
                <w:szCs w:val="17"/>
              </w:rPr>
              <w:t>150</w:t>
            </w:r>
            <w:r>
              <w:rPr>
                <w:rFonts w:ascii="宋体" w:eastAsia="宋体" w:hAnsi="宋体" w:cs="宋体"/>
                <w:spacing w:val="7"/>
                <w:sz w:val="17"/>
                <w:szCs w:val="17"/>
              </w:rPr>
              <w:t xml:space="preserve">         </w:t>
            </w:r>
            <w:r>
              <w:rPr>
                <w:rFonts w:ascii="宋体" w:eastAsia="宋体" w:hAnsi="宋体" w:cs="宋体"/>
                <w:spacing w:val="-5"/>
                <w:sz w:val="17"/>
                <w:szCs w:val="17"/>
              </w:rPr>
              <w:t>6</w:t>
            </w:r>
          </w:p>
        </w:tc>
        <w:tc>
          <w:tcPr>
            <w:tcW w:w="945" w:type="dxa"/>
            <w:tcBorders>
              <w:top w:val="single" w:sz="4" w:space="0" w:color="000000"/>
            </w:tcBorders>
          </w:tcPr>
          <w:p w:rsidR="00EA40A3" w:rsidRDefault="00E86C16">
            <w:pPr>
              <w:spacing w:before="148" w:line="183" w:lineRule="auto"/>
              <w:ind w:left="361"/>
              <w:rPr>
                <w:rFonts w:ascii="宋体" w:eastAsia="宋体" w:hAnsi="宋体" w:cs="宋体"/>
                <w:sz w:val="17"/>
                <w:szCs w:val="17"/>
              </w:rPr>
            </w:pPr>
            <w:r>
              <w:rPr>
                <w:rFonts w:ascii="宋体" w:eastAsia="宋体" w:hAnsi="宋体" w:cs="宋体"/>
                <w:spacing w:val="-2"/>
                <w:sz w:val="17"/>
                <w:szCs w:val="17"/>
              </w:rPr>
              <w:t>200</w:t>
            </w:r>
          </w:p>
        </w:tc>
        <w:tc>
          <w:tcPr>
            <w:tcW w:w="935" w:type="dxa"/>
            <w:tcBorders>
              <w:top w:val="single" w:sz="4" w:space="0" w:color="000000"/>
            </w:tcBorders>
          </w:tcPr>
          <w:p w:rsidR="00EA40A3" w:rsidRDefault="00E86C16">
            <w:pPr>
              <w:spacing w:before="148" w:line="183" w:lineRule="auto"/>
              <w:ind w:left="425"/>
              <w:rPr>
                <w:rFonts w:ascii="宋体" w:eastAsia="宋体" w:hAnsi="宋体" w:cs="宋体"/>
                <w:sz w:val="17"/>
                <w:szCs w:val="17"/>
              </w:rPr>
            </w:pPr>
            <w:r>
              <w:rPr>
                <w:rFonts w:ascii="宋体" w:eastAsia="宋体" w:hAnsi="宋体" w:cs="宋体"/>
                <w:sz w:val="17"/>
                <w:szCs w:val="17"/>
              </w:rPr>
              <w:t>8</w:t>
            </w:r>
          </w:p>
        </w:tc>
        <w:tc>
          <w:tcPr>
            <w:tcW w:w="1010" w:type="dxa"/>
            <w:tcBorders>
              <w:top w:val="single" w:sz="4" w:space="0" w:color="000000"/>
            </w:tcBorders>
          </w:tcPr>
          <w:p w:rsidR="00EA40A3" w:rsidRDefault="00EA40A3"/>
        </w:tc>
      </w:tr>
      <w:tr w:rsidR="00EA40A3">
        <w:trPr>
          <w:trHeight w:val="303"/>
        </w:trPr>
        <w:tc>
          <w:tcPr>
            <w:tcW w:w="618" w:type="dxa"/>
          </w:tcPr>
          <w:p w:rsidR="00EA40A3" w:rsidRDefault="00E86C16">
            <w:pPr>
              <w:spacing w:before="124" w:line="183" w:lineRule="auto"/>
              <w:ind w:left="260"/>
              <w:rPr>
                <w:rFonts w:ascii="宋体" w:eastAsia="宋体" w:hAnsi="宋体" w:cs="宋体"/>
                <w:sz w:val="17"/>
                <w:szCs w:val="17"/>
              </w:rPr>
            </w:pPr>
            <w:r>
              <w:rPr>
                <w:rFonts w:ascii="宋体" w:eastAsia="宋体" w:hAnsi="宋体" w:cs="宋体"/>
                <w:spacing w:val="11"/>
                <w:w w:val="125"/>
                <w:sz w:val="17"/>
                <w:szCs w:val="17"/>
              </w:rPr>
              <w:t>4~</w:t>
            </w:r>
          </w:p>
        </w:tc>
        <w:tc>
          <w:tcPr>
            <w:tcW w:w="1062" w:type="dxa"/>
          </w:tcPr>
          <w:p w:rsidR="00EA40A3" w:rsidRDefault="00E86C16">
            <w:pPr>
              <w:spacing w:before="104" w:line="183" w:lineRule="auto"/>
              <w:ind w:left="452"/>
              <w:rPr>
                <w:rFonts w:ascii="宋体" w:eastAsia="宋体" w:hAnsi="宋体" w:cs="宋体"/>
                <w:sz w:val="17"/>
                <w:szCs w:val="17"/>
              </w:rPr>
            </w:pPr>
            <w:r>
              <w:rPr>
                <w:rFonts w:ascii="宋体" w:eastAsia="宋体" w:hAnsi="宋体" w:cs="宋体"/>
                <w:spacing w:val="-3"/>
                <w:sz w:val="17"/>
                <w:szCs w:val="17"/>
              </w:rPr>
              <w:t>70</w:t>
            </w:r>
          </w:p>
        </w:tc>
        <w:tc>
          <w:tcPr>
            <w:tcW w:w="807" w:type="dxa"/>
          </w:tcPr>
          <w:p w:rsidR="00EA40A3" w:rsidRDefault="00E86C16">
            <w:pPr>
              <w:spacing w:before="104" w:line="183" w:lineRule="auto"/>
              <w:ind w:left="279"/>
              <w:rPr>
                <w:rFonts w:ascii="宋体" w:eastAsia="宋体" w:hAnsi="宋体" w:cs="宋体"/>
                <w:sz w:val="17"/>
                <w:szCs w:val="17"/>
              </w:rPr>
            </w:pPr>
            <w:r>
              <w:rPr>
                <w:rFonts w:ascii="宋体" w:eastAsia="宋体" w:hAnsi="宋体" w:cs="宋体"/>
                <w:spacing w:val="-3"/>
                <w:sz w:val="17"/>
                <w:szCs w:val="17"/>
              </w:rPr>
              <w:t>3.0</w:t>
            </w:r>
          </w:p>
        </w:tc>
        <w:tc>
          <w:tcPr>
            <w:tcW w:w="1972" w:type="dxa"/>
            <w:gridSpan w:val="2"/>
          </w:tcPr>
          <w:p w:rsidR="00EA40A3" w:rsidRDefault="00E86C16">
            <w:pPr>
              <w:spacing w:before="94" w:line="183" w:lineRule="auto"/>
              <w:ind w:left="423"/>
              <w:rPr>
                <w:rFonts w:ascii="宋体" w:eastAsia="宋体" w:hAnsi="宋体" w:cs="宋体"/>
                <w:sz w:val="17"/>
                <w:szCs w:val="17"/>
              </w:rPr>
            </w:pPr>
            <w:r>
              <w:rPr>
                <w:rFonts w:ascii="宋体" w:eastAsia="宋体" w:hAnsi="宋体" w:cs="宋体"/>
                <w:spacing w:val="-3"/>
                <w:sz w:val="17"/>
                <w:szCs w:val="17"/>
              </w:rPr>
              <w:t>200</w:t>
            </w:r>
            <w:r>
              <w:rPr>
                <w:rFonts w:ascii="宋体" w:eastAsia="宋体" w:hAnsi="宋体" w:cs="宋体"/>
                <w:spacing w:val="6"/>
                <w:sz w:val="17"/>
                <w:szCs w:val="17"/>
              </w:rPr>
              <w:t xml:space="preserve">         </w:t>
            </w:r>
            <w:r>
              <w:rPr>
                <w:rFonts w:ascii="宋体" w:eastAsia="宋体" w:hAnsi="宋体" w:cs="宋体"/>
                <w:spacing w:val="-3"/>
                <w:sz w:val="17"/>
                <w:szCs w:val="17"/>
              </w:rPr>
              <w:t>7</w:t>
            </w:r>
          </w:p>
        </w:tc>
        <w:tc>
          <w:tcPr>
            <w:tcW w:w="945" w:type="dxa"/>
          </w:tcPr>
          <w:p w:rsidR="00EA40A3" w:rsidRDefault="00E86C16">
            <w:pPr>
              <w:spacing w:before="114" w:line="183" w:lineRule="auto"/>
              <w:ind w:left="361"/>
              <w:rPr>
                <w:rFonts w:ascii="宋体" w:eastAsia="宋体" w:hAnsi="宋体" w:cs="宋体"/>
                <w:sz w:val="17"/>
                <w:szCs w:val="17"/>
              </w:rPr>
            </w:pPr>
            <w:r>
              <w:rPr>
                <w:rFonts w:ascii="宋体" w:eastAsia="宋体" w:hAnsi="宋体" w:cs="宋体"/>
                <w:spacing w:val="-2"/>
                <w:sz w:val="17"/>
                <w:szCs w:val="17"/>
              </w:rPr>
              <w:t>250</w:t>
            </w:r>
          </w:p>
        </w:tc>
        <w:tc>
          <w:tcPr>
            <w:tcW w:w="935" w:type="dxa"/>
          </w:tcPr>
          <w:p w:rsidR="00EA40A3" w:rsidRDefault="00E86C16">
            <w:pPr>
              <w:spacing w:before="103" w:line="184" w:lineRule="auto"/>
              <w:ind w:left="386"/>
              <w:rPr>
                <w:rFonts w:ascii="宋体" w:eastAsia="宋体" w:hAnsi="宋体" w:cs="宋体"/>
                <w:sz w:val="17"/>
                <w:szCs w:val="17"/>
              </w:rPr>
            </w:pPr>
            <w:r>
              <w:rPr>
                <w:rFonts w:ascii="宋体" w:eastAsia="宋体" w:hAnsi="宋体" w:cs="宋体"/>
                <w:spacing w:val="-5"/>
                <w:sz w:val="17"/>
                <w:szCs w:val="17"/>
              </w:rPr>
              <w:t>12</w:t>
            </w:r>
          </w:p>
        </w:tc>
        <w:tc>
          <w:tcPr>
            <w:tcW w:w="1010" w:type="dxa"/>
          </w:tcPr>
          <w:p w:rsidR="00EA40A3" w:rsidRDefault="00EA40A3"/>
        </w:tc>
      </w:tr>
      <w:tr w:rsidR="00EA40A3">
        <w:trPr>
          <w:trHeight w:val="265"/>
        </w:trPr>
        <w:tc>
          <w:tcPr>
            <w:tcW w:w="618" w:type="dxa"/>
            <w:tcBorders>
              <w:bottom w:val="single" w:sz="4" w:space="0" w:color="000000"/>
            </w:tcBorders>
          </w:tcPr>
          <w:p w:rsidR="00EA40A3" w:rsidRDefault="00E86C16">
            <w:pPr>
              <w:spacing w:before="81" w:line="183" w:lineRule="auto"/>
              <w:ind w:left="180"/>
              <w:rPr>
                <w:rFonts w:ascii="宋体" w:eastAsia="宋体" w:hAnsi="宋体" w:cs="宋体"/>
                <w:sz w:val="17"/>
                <w:szCs w:val="17"/>
              </w:rPr>
            </w:pPr>
            <w:r>
              <w:rPr>
                <w:rFonts w:ascii="宋体" w:eastAsia="宋体" w:hAnsi="宋体" w:cs="宋体"/>
                <w:spacing w:val="-3"/>
                <w:sz w:val="17"/>
                <w:szCs w:val="17"/>
              </w:rPr>
              <w:t>5～6</w:t>
            </w:r>
          </w:p>
        </w:tc>
        <w:tc>
          <w:tcPr>
            <w:tcW w:w="1062" w:type="dxa"/>
            <w:tcBorders>
              <w:bottom w:val="single" w:sz="4" w:space="0" w:color="000000"/>
            </w:tcBorders>
          </w:tcPr>
          <w:p w:rsidR="00EA40A3" w:rsidRDefault="00E86C16">
            <w:pPr>
              <w:spacing w:before="81" w:line="183" w:lineRule="auto"/>
              <w:ind w:left="452"/>
              <w:rPr>
                <w:rFonts w:ascii="宋体" w:eastAsia="宋体" w:hAnsi="宋体" w:cs="宋体"/>
                <w:sz w:val="17"/>
                <w:szCs w:val="17"/>
              </w:rPr>
            </w:pPr>
            <w:r>
              <w:rPr>
                <w:rFonts w:ascii="宋体" w:eastAsia="宋体" w:hAnsi="宋体" w:cs="宋体"/>
                <w:spacing w:val="-3"/>
                <w:sz w:val="17"/>
                <w:szCs w:val="17"/>
              </w:rPr>
              <w:t>70</w:t>
            </w:r>
          </w:p>
        </w:tc>
        <w:tc>
          <w:tcPr>
            <w:tcW w:w="807" w:type="dxa"/>
            <w:tcBorders>
              <w:bottom w:val="single" w:sz="4" w:space="0" w:color="000000"/>
            </w:tcBorders>
          </w:tcPr>
          <w:p w:rsidR="00EA40A3" w:rsidRDefault="00E86C16">
            <w:pPr>
              <w:spacing w:before="81" w:line="183" w:lineRule="auto"/>
              <w:ind w:left="279"/>
              <w:rPr>
                <w:rFonts w:ascii="宋体" w:eastAsia="宋体" w:hAnsi="宋体" w:cs="宋体"/>
                <w:sz w:val="17"/>
                <w:szCs w:val="17"/>
              </w:rPr>
            </w:pPr>
            <w:r>
              <w:rPr>
                <w:rFonts w:ascii="宋体" w:eastAsia="宋体" w:hAnsi="宋体" w:cs="宋体"/>
                <w:spacing w:val="-3"/>
                <w:sz w:val="17"/>
                <w:szCs w:val="17"/>
              </w:rPr>
              <w:t>3.0</w:t>
            </w:r>
          </w:p>
        </w:tc>
        <w:tc>
          <w:tcPr>
            <w:tcW w:w="1972" w:type="dxa"/>
            <w:gridSpan w:val="2"/>
            <w:tcBorders>
              <w:bottom w:val="single" w:sz="4" w:space="0" w:color="000000"/>
            </w:tcBorders>
          </w:tcPr>
          <w:p w:rsidR="00EA40A3" w:rsidRDefault="00E86C16">
            <w:pPr>
              <w:spacing w:before="81" w:line="183" w:lineRule="auto"/>
              <w:ind w:left="423"/>
              <w:rPr>
                <w:rFonts w:ascii="宋体" w:eastAsia="宋体" w:hAnsi="宋体" w:cs="宋体"/>
                <w:sz w:val="17"/>
                <w:szCs w:val="17"/>
              </w:rPr>
            </w:pPr>
            <w:r>
              <w:rPr>
                <w:rFonts w:ascii="宋体" w:eastAsia="宋体" w:hAnsi="宋体" w:cs="宋体"/>
                <w:spacing w:val="-3"/>
                <w:sz w:val="17"/>
                <w:szCs w:val="17"/>
              </w:rPr>
              <w:t>200</w:t>
            </w:r>
            <w:r>
              <w:rPr>
                <w:rFonts w:ascii="宋体" w:eastAsia="宋体" w:hAnsi="宋体" w:cs="宋体"/>
                <w:spacing w:val="6"/>
                <w:sz w:val="17"/>
                <w:szCs w:val="17"/>
              </w:rPr>
              <w:t xml:space="preserve">         </w:t>
            </w:r>
            <w:r>
              <w:rPr>
                <w:rFonts w:ascii="宋体" w:eastAsia="宋体" w:hAnsi="宋体" w:cs="宋体"/>
                <w:spacing w:val="-3"/>
                <w:sz w:val="17"/>
                <w:szCs w:val="17"/>
              </w:rPr>
              <w:t>7</w:t>
            </w:r>
          </w:p>
        </w:tc>
        <w:tc>
          <w:tcPr>
            <w:tcW w:w="945" w:type="dxa"/>
            <w:tcBorders>
              <w:bottom w:val="single" w:sz="4" w:space="0" w:color="000000"/>
            </w:tcBorders>
          </w:tcPr>
          <w:p w:rsidR="00EA40A3" w:rsidRDefault="00E86C16">
            <w:pPr>
              <w:spacing w:before="81" w:line="183" w:lineRule="auto"/>
              <w:ind w:left="361"/>
              <w:rPr>
                <w:rFonts w:ascii="宋体" w:eastAsia="宋体" w:hAnsi="宋体" w:cs="宋体"/>
                <w:sz w:val="17"/>
                <w:szCs w:val="17"/>
              </w:rPr>
            </w:pPr>
            <w:r>
              <w:rPr>
                <w:rFonts w:ascii="宋体" w:eastAsia="宋体" w:hAnsi="宋体" w:cs="宋体"/>
                <w:spacing w:val="-2"/>
                <w:sz w:val="17"/>
                <w:szCs w:val="17"/>
              </w:rPr>
              <w:t>250</w:t>
            </w:r>
          </w:p>
        </w:tc>
        <w:tc>
          <w:tcPr>
            <w:tcW w:w="935" w:type="dxa"/>
            <w:tcBorders>
              <w:bottom w:val="single" w:sz="4" w:space="0" w:color="000000"/>
            </w:tcBorders>
          </w:tcPr>
          <w:p w:rsidR="00EA40A3" w:rsidRDefault="00E86C16">
            <w:pPr>
              <w:spacing w:before="80" w:line="184" w:lineRule="auto"/>
              <w:ind w:left="386"/>
              <w:rPr>
                <w:rFonts w:ascii="宋体" w:eastAsia="宋体" w:hAnsi="宋体" w:cs="宋体"/>
                <w:sz w:val="17"/>
                <w:szCs w:val="17"/>
              </w:rPr>
            </w:pPr>
            <w:r>
              <w:rPr>
                <w:rFonts w:ascii="宋体" w:eastAsia="宋体" w:hAnsi="宋体" w:cs="宋体"/>
                <w:spacing w:val="-5"/>
                <w:sz w:val="17"/>
                <w:szCs w:val="17"/>
              </w:rPr>
              <w:t>12</w:t>
            </w:r>
          </w:p>
        </w:tc>
        <w:tc>
          <w:tcPr>
            <w:tcW w:w="1010" w:type="dxa"/>
            <w:tcBorders>
              <w:bottom w:val="single" w:sz="4" w:space="0" w:color="000000"/>
            </w:tcBorders>
          </w:tcPr>
          <w:p w:rsidR="00EA40A3" w:rsidRDefault="00EA40A3"/>
        </w:tc>
      </w:tr>
    </w:tbl>
    <w:p w:rsidR="00EA40A3" w:rsidRDefault="00E86C16">
      <w:pPr>
        <w:spacing w:before="90" w:line="219" w:lineRule="auto"/>
        <w:ind w:left="380"/>
        <w:rPr>
          <w:rFonts w:ascii="宋体" w:eastAsia="宋体" w:hAnsi="宋体" w:cs="宋体"/>
          <w:sz w:val="17"/>
          <w:szCs w:val="17"/>
        </w:rPr>
      </w:pPr>
      <w:r>
        <w:rPr>
          <w:rFonts w:ascii="宋体" w:eastAsia="宋体" w:hAnsi="宋体" w:cs="宋体"/>
          <w:sz w:val="17"/>
          <w:szCs w:val="17"/>
        </w:rPr>
        <w:t>资料来源：中国营养学会.2000.中国居民膳食营养素参考摄</w:t>
      </w:r>
      <w:r>
        <w:rPr>
          <w:rFonts w:ascii="宋体" w:eastAsia="宋体" w:hAnsi="宋体" w:cs="宋体"/>
          <w:spacing w:val="-1"/>
          <w:sz w:val="17"/>
          <w:szCs w:val="17"/>
        </w:rPr>
        <w:t>入量.北京：中国轻工业出版社</w:t>
      </w:r>
    </w:p>
    <w:p w:rsidR="00EA40A3" w:rsidRDefault="00EA40A3">
      <w:pPr>
        <w:spacing w:line="477" w:lineRule="auto"/>
      </w:pPr>
    </w:p>
    <w:p w:rsidR="00EA40A3" w:rsidRDefault="00E86C16">
      <w:pPr>
        <w:spacing w:before="69" w:line="324" w:lineRule="exact"/>
        <w:rPr>
          <w:rFonts w:ascii="仿宋" w:eastAsia="仿宋" w:hAnsi="仿宋" w:cs="仿宋"/>
        </w:rPr>
      </w:pPr>
      <w:r>
        <w:rPr>
          <w:rFonts w:ascii="仿宋" w:eastAsia="仿宋" w:hAnsi="仿宋" w:cs="仿宋"/>
          <w:spacing w:val="20"/>
          <w:position w:val="8"/>
        </w:rPr>
        <w:t>3.</w:t>
      </w:r>
      <w:r>
        <w:rPr>
          <w:rFonts w:ascii="仿宋" w:eastAsia="仿宋" w:hAnsi="仿宋" w:cs="仿宋"/>
          <w:spacing w:val="7"/>
          <w:position w:val="8"/>
        </w:rPr>
        <w:t xml:space="preserve"> </w:t>
      </w:r>
      <w:r>
        <w:rPr>
          <w:rFonts w:ascii="仿宋" w:eastAsia="仿宋" w:hAnsi="仿宋" w:cs="仿宋"/>
          <w:spacing w:val="20"/>
          <w:position w:val="8"/>
        </w:rPr>
        <w:t>学龄前儿童的合理膳食</w:t>
      </w:r>
    </w:p>
    <w:p w:rsidR="00EA40A3" w:rsidRDefault="00E86C16">
      <w:pPr>
        <w:spacing w:line="220" w:lineRule="auto"/>
        <w:rPr>
          <w:rFonts w:ascii="楷体" w:eastAsia="楷体" w:hAnsi="楷体" w:cs="楷体"/>
        </w:rPr>
      </w:pPr>
      <w:r>
        <w:rPr>
          <w:rFonts w:ascii="楷体" w:eastAsia="楷体" w:hAnsi="楷体" w:cs="楷体"/>
          <w:spacing w:val="3"/>
        </w:rPr>
        <w:t>1)食物多样，合理搭配</w:t>
      </w:r>
    </w:p>
    <w:p w:rsidR="00EA40A3" w:rsidRDefault="00E86C16">
      <w:pPr>
        <w:spacing w:before="91" w:line="254" w:lineRule="auto"/>
        <w:ind w:right="65" w:firstLine="419"/>
        <w:jc w:val="both"/>
        <w:rPr>
          <w:rFonts w:ascii="宋体" w:eastAsia="宋体" w:hAnsi="宋体" w:cs="宋体"/>
        </w:rPr>
      </w:pPr>
      <w:r>
        <w:rPr>
          <w:rFonts w:ascii="宋体" w:eastAsia="宋体" w:hAnsi="宋体" w:cs="宋体"/>
          <w:spacing w:val="-1"/>
        </w:rPr>
        <w:t>在满足学龄前儿童对能量及营养素需要的基础上，尽可能使得食物多样化，</w:t>
      </w:r>
      <w:r>
        <w:rPr>
          <w:rFonts w:ascii="宋体" w:eastAsia="宋体" w:hAnsi="宋体" w:cs="宋体"/>
          <w:spacing w:val="16"/>
        </w:rPr>
        <w:t xml:space="preserve"> </w:t>
      </w:r>
      <w:r>
        <w:rPr>
          <w:rFonts w:ascii="宋体" w:eastAsia="宋体" w:hAnsi="宋体" w:cs="宋体"/>
          <w:spacing w:val="-2"/>
        </w:rPr>
        <w:t>以利营养平衡和增进食欲。</w:t>
      </w:r>
      <w:r>
        <w:rPr>
          <w:rFonts w:ascii="宋体" w:eastAsia="宋体" w:hAnsi="宋体" w:cs="宋体"/>
          <w:spacing w:val="45"/>
        </w:rPr>
        <w:t xml:space="preserve"> </w:t>
      </w:r>
      <w:r>
        <w:rPr>
          <w:rFonts w:ascii="宋体" w:eastAsia="宋体" w:hAnsi="宋体" w:cs="宋体"/>
          <w:spacing w:val="-2"/>
        </w:rPr>
        <w:t>一般来说，蛋白质、脂肪、碳水化</w:t>
      </w:r>
      <w:r>
        <w:rPr>
          <w:rFonts w:ascii="宋体" w:eastAsia="宋体" w:hAnsi="宋体" w:cs="宋体"/>
          <w:spacing w:val="-3"/>
        </w:rPr>
        <w:t>合物供能比为1:</w:t>
      </w:r>
      <w:r>
        <w:rPr>
          <w:rFonts w:ascii="宋体" w:eastAsia="宋体" w:hAnsi="宋体" w:cs="宋体"/>
        </w:rPr>
        <w:t xml:space="preserve">  </w:t>
      </w:r>
      <w:r>
        <w:rPr>
          <w:rFonts w:ascii="宋体" w:eastAsia="宋体" w:hAnsi="宋体" w:cs="宋体"/>
          <w:spacing w:val="1"/>
        </w:rPr>
        <w:t>1.1:6。每日膳食应包括适量的谷类、乳类、肉类、</w:t>
      </w:r>
      <w:r>
        <w:rPr>
          <w:rFonts w:ascii="宋体" w:eastAsia="宋体" w:hAnsi="宋体" w:cs="宋体"/>
        </w:rPr>
        <w:t xml:space="preserve">果蔬四大类食物。其中，谷 </w:t>
      </w:r>
      <w:r>
        <w:rPr>
          <w:rFonts w:ascii="宋体" w:eastAsia="宋体" w:hAnsi="宋体" w:cs="宋体"/>
          <w:spacing w:val="5"/>
        </w:rPr>
        <w:t>类食物200～250g/d;</w:t>
      </w:r>
      <w:r>
        <w:rPr>
          <w:rFonts w:ascii="宋体" w:eastAsia="宋体" w:hAnsi="宋体" w:cs="宋体"/>
          <w:spacing w:val="6"/>
        </w:rPr>
        <w:t xml:space="preserve"> </w:t>
      </w:r>
      <w:r>
        <w:rPr>
          <w:rFonts w:ascii="宋体" w:eastAsia="宋体" w:hAnsi="宋体" w:cs="宋体"/>
          <w:spacing w:val="5"/>
        </w:rPr>
        <w:t>鱼、禽、肉类100～125</w:t>
      </w:r>
      <w:r>
        <w:rPr>
          <w:rFonts w:ascii="宋体" w:eastAsia="宋体" w:hAnsi="宋体" w:cs="宋体"/>
          <w:spacing w:val="4"/>
        </w:rPr>
        <w:t>g/d;</w:t>
      </w:r>
      <w:r>
        <w:rPr>
          <w:rFonts w:ascii="宋体" w:eastAsia="宋体" w:hAnsi="宋体" w:cs="宋体"/>
          <w:spacing w:val="7"/>
        </w:rPr>
        <w:t xml:space="preserve"> </w:t>
      </w:r>
      <w:r>
        <w:rPr>
          <w:rFonts w:ascii="宋体" w:eastAsia="宋体" w:hAnsi="宋体" w:cs="宋体"/>
          <w:spacing w:val="4"/>
        </w:rPr>
        <w:t>蛋类每日应1个；奶及奶制</w:t>
      </w:r>
      <w:r>
        <w:rPr>
          <w:rFonts w:ascii="宋体" w:eastAsia="宋体" w:hAnsi="宋体" w:cs="宋体"/>
        </w:rPr>
        <w:t xml:space="preserve">  </w:t>
      </w:r>
      <w:r>
        <w:rPr>
          <w:rFonts w:ascii="宋体" w:eastAsia="宋体" w:hAnsi="宋体" w:cs="宋体"/>
          <w:spacing w:val="3"/>
        </w:rPr>
        <w:t>品250～400g/d,</w:t>
      </w:r>
      <w:r>
        <w:rPr>
          <w:rFonts w:ascii="宋体" w:eastAsia="宋体" w:hAnsi="宋体" w:cs="宋体"/>
          <w:spacing w:val="-2"/>
        </w:rPr>
        <w:t xml:space="preserve"> </w:t>
      </w:r>
      <w:r>
        <w:rPr>
          <w:rFonts w:ascii="宋体" w:eastAsia="宋体" w:hAnsi="宋体" w:cs="宋体"/>
          <w:spacing w:val="3"/>
        </w:rPr>
        <w:t>不超过600～700g;</w:t>
      </w:r>
      <w:r>
        <w:rPr>
          <w:rFonts w:ascii="宋体" w:eastAsia="宋体" w:hAnsi="宋体" w:cs="宋体"/>
          <w:spacing w:val="-4"/>
        </w:rPr>
        <w:t xml:space="preserve"> </w:t>
      </w:r>
      <w:r>
        <w:rPr>
          <w:rFonts w:ascii="宋体" w:eastAsia="宋体" w:hAnsi="宋体" w:cs="宋体"/>
          <w:spacing w:val="3"/>
        </w:rPr>
        <w:t>每日至少摄入15～20g</w:t>
      </w:r>
      <w:r>
        <w:rPr>
          <w:rFonts w:ascii="宋体" w:eastAsia="宋体" w:hAnsi="宋体" w:cs="宋体"/>
          <w:spacing w:val="-48"/>
        </w:rPr>
        <w:t xml:space="preserve"> </w:t>
      </w:r>
      <w:r>
        <w:rPr>
          <w:rFonts w:ascii="宋体" w:eastAsia="宋体" w:hAnsi="宋体" w:cs="宋体"/>
          <w:spacing w:val="3"/>
        </w:rPr>
        <w:t>大豆及其制品；蔬</w:t>
      </w:r>
      <w:r>
        <w:rPr>
          <w:rFonts w:ascii="宋体" w:eastAsia="宋体" w:hAnsi="宋体" w:cs="宋体"/>
        </w:rPr>
        <w:t xml:space="preserve">  </w:t>
      </w:r>
      <w:r>
        <w:rPr>
          <w:rFonts w:ascii="宋体" w:eastAsia="宋体" w:hAnsi="宋体" w:cs="宋体"/>
          <w:spacing w:val="1"/>
        </w:rPr>
        <w:t>菜水果150～200g/d。</w:t>
      </w:r>
    </w:p>
    <w:p w:rsidR="00EA40A3" w:rsidRDefault="00E86C16">
      <w:pPr>
        <w:spacing w:before="75" w:line="220" w:lineRule="auto"/>
        <w:rPr>
          <w:rFonts w:ascii="楷体" w:eastAsia="楷体" w:hAnsi="楷体" w:cs="楷体"/>
        </w:rPr>
      </w:pPr>
      <w:r>
        <w:rPr>
          <w:rFonts w:ascii="楷体" w:eastAsia="楷体" w:hAnsi="楷体" w:cs="楷体"/>
          <w:spacing w:val="3"/>
        </w:rPr>
        <w:t>2)专门烹饪，易于消化</w:t>
      </w:r>
    </w:p>
    <w:p w:rsidR="00EA40A3" w:rsidRDefault="00E86C16">
      <w:pPr>
        <w:spacing w:before="87" w:line="253" w:lineRule="auto"/>
        <w:ind w:right="130" w:firstLine="419"/>
        <w:jc w:val="both"/>
        <w:rPr>
          <w:rFonts w:ascii="宋体" w:eastAsia="宋体" w:hAnsi="宋体" w:cs="宋体"/>
        </w:rPr>
      </w:pPr>
      <w:r>
        <w:rPr>
          <w:rFonts w:ascii="宋体" w:eastAsia="宋体" w:hAnsi="宋体" w:cs="宋体"/>
          <w:spacing w:val="1"/>
        </w:rPr>
        <w:t>学龄前儿童，尤其是3岁儿童，其咀嚼及消化能力还十</w:t>
      </w:r>
      <w:r>
        <w:rPr>
          <w:rFonts w:ascii="宋体" w:eastAsia="宋体" w:hAnsi="宋体" w:cs="宋体"/>
        </w:rPr>
        <w:t xml:space="preserve">分有限，因此其膳食 </w:t>
      </w:r>
      <w:r>
        <w:rPr>
          <w:rFonts w:ascii="宋体" w:eastAsia="宋体" w:hAnsi="宋体" w:cs="宋体"/>
          <w:spacing w:val="3"/>
        </w:rPr>
        <w:t>应当单独制作。保证营养的同时，应当使食物易于消化；同时，要注意食物的 色、香、味，以促进食欲。蔬菜宜切碎，瘦肉应剁成肉末；烹饪方式应多采用</w:t>
      </w:r>
      <w:r>
        <w:rPr>
          <w:rFonts w:ascii="宋体" w:eastAsia="宋体" w:hAnsi="宋体" w:cs="宋体"/>
          <w:spacing w:val="12"/>
        </w:rPr>
        <w:t xml:space="preserve"> </w:t>
      </w:r>
      <w:r>
        <w:rPr>
          <w:rFonts w:ascii="宋体" w:eastAsia="宋体" w:hAnsi="宋体" w:cs="宋体"/>
          <w:spacing w:val="-6"/>
        </w:rPr>
        <w:t>蒸、煮、炖，少用煎、炸、炒。</w:t>
      </w:r>
    </w:p>
    <w:p w:rsidR="00EA40A3" w:rsidRDefault="00E86C16">
      <w:pPr>
        <w:spacing w:before="41" w:line="228" w:lineRule="auto"/>
        <w:rPr>
          <w:rFonts w:ascii="楷体" w:eastAsia="楷体" w:hAnsi="楷体" w:cs="楷体"/>
        </w:rPr>
      </w:pPr>
      <w:r>
        <w:rPr>
          <w:rFonts w:ascii="楷体" w:eastAsia="楷体" w:hAnsi="楷体" w:cs="楷体"/>
          <w:spacing w:val="-1"/>
        </w:rPr>
        <w:t>3)制定合理膳食制度</w:t>
      </w:r>
    </w:p>
    <w:p w:rsidR="00EA40A3" w:rsidRDefault="00E86C16">
      <w:pPr>
        <w:spacing w:before="78" w:line="253" w:lineRule="auto"/>
        <w:ind w:right="130" w:firstLine="419"/>
        <w:jc w:val="both"/>
        <w:rPr>
          <w:rFonts w:ascii="宋体" w:eastAsia="宋体" w:hAnsi="宋体" w:cs="宋体"/>
        </w:rPr>
      </w:pPr>
      <w:r>
        <w:rPr>
          <w:rFonts w:ascii="宋体" w:eastAsia="宋体" w:hAnsi="宋体" w:cs="宋体"/>
          <w:spacing w:val="-3"/>
        </w:rPr>
        <w:t>针对学龄前儿童的营养需要及消化能力，该时期儿童适宜采用每日“三餐两</w:t>
      </w:r>
      <w:r>
        <w:rPr>
          <w:rFonts w:ascii="宋体" w:eastAsia="宋体" w:hAnsi="宋体" w:cs="宋体"/>
          <w:spacing w:val="17"/>
        </w:rPr>
        <w:t xml:space="preserve"> </w:t>
      </w:r>
      <w:r>
        <w:rPr>
          <w:rFonts w:ascii="宋体" w:eastAsia="宋体" w:hAnsi="宋体" w:cs="宋体"/>
          <w:spacing w:val="4"/>
        </w:rPr>
        <w:t>点”制供给食物。</w:t>
      </w:r>
      <w:r>
        <w:rPr>
          <w:rFonts w:ascii="宋体" w:eastAsia="宋体" w:hAnsi="宋体" w:cs="宋体"/>
          <w:spacing w:val="62"/>
        </w:rPr>
        <w:t xml:space="preserve"> </w:t>
      </w:r>
      <w:r>
        <w:rPr>
          <w:rFonts w:ascii="宋体" w:eastAsia="宋体" w:hAnsi="宋体" w:cs="宋体"/>
          <w:spacing w:val="4"/>
        </w:rPr>
        <w:t>一般来讲，早餐占每日能量和营养素的30%,中餐及下午三</w:t>
      </w:r>
      <w:r>
        <w:rPr>
          <w:rFonts w:ascii="宋体" w:eastAsia="宋体" w:hAnsi="宋体" w:cs="宋体"/>
        </w:rPr>
        <w:t xml:space="preserve"> </w:t>
      </w:r>
      <w:r>
        <w:rPr>
          <w:rFonts w:ascii="宋体" w:eastAsia="宋体" w:hAnsi="宋体" w:cs="宋体"/>
          <w:spacing w:val="12"/>
        </w:rPr>
        <w:t>点的午点提供能量需要量的40%,晚餐及晚餐后一段时间的加餐(少量水果和</w:t>
      </w:r>
      <w:r>
        <w:rPr>
          <w:rFonts w:ascii="宋体" w:eastAsia="宋体" w:hAnsi="宋体" w:cs="宋体"/>
          <w:spacing w:val="1"/>
        </w:rPr>
        <w:t xml:space="preserve"> </w:t>
      </w:r>
      <w:r>
        <w:rPr>
          <w:rFonts w:ascii="宋体" w:eastAsia="宋体" w:hAnsi="宋体" w:cs="宋体"/>
          <w:spacing w:val="6"/>
        </w:rPr>
        <w:t>牛奶)占每日能量及营养素的30%。</w:t>
      </w:r>
    </w:p>
    <w:p w:rsidR="00EA40A3" w:rsidRDefault="00E86C16">
      <w:pPr>
        <w:spacing w:before="77"/>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324</w:t>
      </w:r>
      <w:r>
        <w:rPr>
          <w:rFonts w:ascii="宋体" w:eastAsia="宋体" w:hAnsi="宋体" w:cs="宋体"/>
          <w:spacing w:val="45"/>
          <w:sz w:val="18"/>
          <w:szCs w:val="18"/>
        </w:rPr>
        <w:t xml:space="preserve"> </w:t>
      </w:r>
      <w:r>
        <w:rPr>
          <w:rFonts w:ascii="宋体" w:eastAsia="宋体" w:hAnsi="宋体" w:cs="宋体"/>
          <w:spacing w:val="-28"/>
          <w:sz w:val="18"/>
          <w:szCs w:val="18"/>
        </w:rPr>
        <w:t>·</w:t>
      </w:r>
    </w:p>
    <w:p w:rsidR="00EA40A3" w:rsidRDefault="00EA40A3">
      <w:pPr>
        <w:sectPr w:rsidR="00EA40A3">
          <w:footerReference w:type="default" r:id="rId273"/>
          <w:pgSz w:w="9220" w:h="13360"/>
          <w:pgMar w:top="400" w:right="1080" w:bottom="400" w:left="739" w:header="0" w:footer="0" w:gutter="0"/>
          <w:cols w:space="720"/>
        </w:sectPr>
      </w:pPr>
    </w:p>
    <w:p w:rsidR="00EA40A3" w:rsidRDefault="00EA40A3">
      <w:pPr>
        <w:spacing w:line="265" w:lineRule="auto"/>
      </w:pPr>
    </w:p>
    <w:p w:rsidR="00EA40A3" w:rsidRDefault="00EA40A3">
      <w:pPr>
        <w:spacing w:line="266" w:lineRule="auto"/>
      </w:pPr>
    </w:p>
    <w:p w:rsidR="00EA40A3" w:rsidRDefault="00E86C16">
      <w:pPr>
        <w:spacing w:before="71" w:line="224" w:lineRule="auto"/>
        <w:ind w:left="50"/>
        <w:rPr>
          <w:rFonts w:ascii="楷体" w:eastAsia="楷体" w:hAnsi="楷体" w:cs="楷体"/>
          <w:sz w:val="22"/>
          <w:szCs w:val="22"/>
        </w:rPr>
      </w:pPr>
      <w:r>
        <w:rPr>
          <w:rFonts w:ascii="楷体" w:eastAsia="楷体" w:hAnsi="楷体" w:cs="楷体"/>
          <w:spacing w:val="-8"/>
          <w:sz w:val="22"/>
          <w:szCs w:val="22"/>
        </w:rPr>
        <w:t>4)培养良好的饮食习惯</w:t>
      </w:r>
    </w:p>
    <w:p w:rsidR="00EA40A3" w:rsidRDefault="00E86C16">
      <w:pPr>
        <w:spacing w:before="38" w:line="246" w:lineRule="auto"/>
        <w:ind w:left="50" w:right="40" w:firstLine="449"/>
        <w:jc w:val="both"/>
        <w:rPr>
          <w:rFonts w:ascii="宋体" w:eastAsia="宋体" w:hAnsi="宋体" w:cs="宋体"/>
          <w:sz w:val="22"/>
          <w:szCs w:val="22"/>
        </w:rPr>
      </w:pPr>
      <w:r>
        <w:rPr>
          <w:rFonts w:ascii="宋体" w:eastAsia="宋体" w:hAnsi="宋体" w:cs="宋体"/>
          <w:spacing w:val="-13"/>
          <w:sz w:val="22"/>
          <w:szCs w:val="22"/>
        </w:rPr>
        <w:t>学龄前儿童的饮食行为不仅关系到其当前的营养状况，而且对成年后的健康</w:t>
      </w:r>
      <w:r>
        <w:rPr>
          <w:rFonts w:ascii="宋体" w:eastAsia="宋体" w:hAnsi="宋体" w:cs="宋体"/>
          <w:spacing w:val="17"/>
          <w:sz w:val="22"/>
          <w:szCs w:val="22"/>
        </w:rPr>
        <w:t xml:space="preserve"> </w:t>
      </w:r>
      <w:r>
        <w:rPr>
          <w:rFonts w:ascii="宋体" w:eastAsia="宋体" w:hAnsi="宋体" w:cs="宋体"/>
          <w:spacing w:val="-6"/>
          <w:sz w:val="22"/>
          <w:szCs w:val="22"/>
        </w:rPr>
        <w:t>也有重要影响。研究表明，16%～75%的学龄前儿童会出现不同程度的饮食行为</w:t>
      </w:r>
      <w:r>
        <w:rPr>
          <w:rFonts w:ascii="宋体" w:eastAsia="宋体" w:hAnsi="宋体" w:cs="宋体"/>
          <w:spacing w:val="11"/>
          <w:sz w:val="22"/>
          <w:szCs w:val="22"/>
        </w:rPr>
        <w:t xml:space="preserve"> </w:t>
      </w:r>
      <w:r>
        <w:rPr>
          <w:rFonts w:ascii="宋体" w:eastAsia="宋体" w:hAnsi="宋体" w:cs="宋体"/>
          <w:spacing w:val="-12"/>
          <w:sz w:val="22"/>
          <w:szCs w:val="22"/>
        </w:rPr>
        <w:t>问题。而造成儿童不良饮食习惯的原因可能与婴幼儿</w:t>
      </w:r>
      <w:r>
        <w:rPr>
          <w:rFonts w:ascii="宋体" w:eastAsia="宋体" w:hAnsi="宋体" w:cs="宋体"/>
          <w:spacing w:val="-13"/>
          <w:sz w:val="22"/>
          <w:szCs w:val="22"/>
        </w:rPr>
        <w:t>时期喂养方式、家长不良饮</w:t>
      </w:r>
      <w:r>
        <w:rPr>
          <w:rFonts w:ascii="宋体" w:eastAsia="宋体" w:hAnsi="宋体" w:cs="宋体"/>
          <w:sz w:val="22"/>
          <w:szCs w:val="22"/>
        </w:rPr>
        <w:t xml:space="preserve"> </w:t>
      </w:r>
      <w:r>
        <w:rPr>
          <w:rFonts w:ascii="宋体" w:eastAsia="宋体" w:hAnsi="宋体" w:cs="宋体"/>
          <w:spacing w:val="-12"/>
          <w:sz w:val="22"/>
          <w:szCs w:val="22"/>
        </w:rPr>
        <w:t>食行为以及学龄前儿童心理和个性发展有关。因此，</w:t>
      </w:r>
      <w:r>
        <w:rPr>
          <w:rFonts w:ascii="宋体" w:eastAsia="宋体" w:hAnsi="宋体" w:cs="宋体"/>
          <w:spacing w:val="-13"/>
          <w:sz w:val="22"/>
          <w:szCs w:val="22"/>
        </w:rPr>
        <w:t>应注意培养学龄前儿童良好</w:t>
      </w:r>
      <w:r>
        <w:rPr>
          <w:rFonts w:ascii="宋体" w:eastAsia="宋体" w:hAnsi="宋体" w:cs="宋体"/>
          <w:sz w:val="22"/>
          <w:szCs w:val="22"/>
        </w:rPr>
        <w:t xml:space="preserve"> </w:t>
      </w:r>
      <w:r>
        <w:rPr>
          <w:rFonts w:ascii="宋体" w:eastAsia="宋体" w:hAnsi="宋体" w:cs="宋体"/>
          <w:spacing w:val="-13"/>
          <w:sz w:val="22"/>
          <w:szCs w:val="22"/>
        </w:rPr>
        <w:t>的饮食习惯，主要包括定时进餐、定量摄食、细嚼慢咽、不挑食、不偏食</w:t>
      </w:r>
      <w:r>
        <w:rPr>
          <w:rFonts w:ascii="宋体" w:eastAsia="宋体" w:hAnsi="宋体" w:cs="宋体"/>
          <w:spacing w:val="-14"/>
          <w:sz w:val="22"/>
          <w:szCs w:val="22"/>
        </w:rPr>
        <w:t>、少吃</w:t>
      </w:r>
      <w:r>
        <w:rPr>
          <w:rFonts w:ascii="宋体" w:eastAsia="宋体" w:hAnsi="宋体" w:cs="宋体"/>
          <w:sz w:val="22"/>
          <w:szCs w:val="22"/>
        </w:rPr>
        <w:t xml:space="preserve"> </w:t>
      </w:r>
      <w:r>
        <w:rPr>
          <w:rFonts w:ascii="宋体" w:eastAsia="宋体" w:hAnsi="宋体" w:cs="宋体"/>
          <w:spacing w:val="-16"/>
          <w:sz w:val="22"/>
          <w:szCs w:val="22"/>
        </w:rPr>
        <w:t>零食、不贪食等。</w:t>
      </w:r>
    </w:p>
    <w:p w:rsidR="00EA40A3" w:rsidRDefault="00E86C16">
      <w:pPr>
        <w:spacing w:before="243" w:line="221" w:lineRule="auto"/>
        <w:ind w:left="53"/>
        <w:outlineLvl w:val="6"/>
        <w:rPr>
          <w:rFonts w:ascii="黑体" w:eastAsia="黑体" w:hAnsi="黑体" w:cs="黑体"/>
          <w:sz w:val="22"/>
          <w:szCs w:val="22"/>
        </w:rPr>
      </w:pPr>
      <w:r>
        <w:rPr>
          <w:rFonts w:ascii="黑体" w:eastAsia="黑体" w:hAnsi="黑体" w:cs="黑体"/>
          <w:b/>
          <w:bCs/>
          <w:spacing w:val="6"/>
          <w:sz w:val="22"/>
          <w:szCs w:val="22"/>
        </w:rPr>
        <w:t>10.4.2</w:t>
      </w:r>
      <w:r>
        <w:rPr>
          <w:rFonts w:ascii="黑体" w:eastAsia="黑体" w:hAnsi="黑体" w:cs="黑体"/>
          <w:spacing w:val="39"/>
          <w:sz w:val="22"/>
          <w:szCs w:val="22"/>
        </w:rPr>
        <w:t xml:space="preserve">  </w:t>
      </w:r>
      <w:r>
        <w:rPr>
          <w:rFonts w:ascii="黑体" w:eastAsia="黑体" w:hAnsi="黑体" w:cs="黑体"/>
          <w:b/>
          <w:bCs/>
          <w:spacing w:val="6"/>
          <w:sz w:val="22"/>
          <w:szCs w:val="22"/>
        </w:rPr>
        <w:t>学龄儿童营养和膳食</w:t>
      </w:r>
    </w:p>
    <w:p w:rsidR="00EA40A3" w:rsidRDefault="00E86C16">
      <w:pPr>
        <w:spacing w:before="240" w:line="223" w:lineRule="auto"/>
        <w:ind w:left="50"/>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27"/>
          <w:sz w:val="22"/>
          <w:szCs w:val="22"/>
        </w:rPr>
        <w:t xml:space="preserve"> </w:t>
      </w:r>
      <w:r>
        <w:rPr>
          <w:rFonts w:ascii="仿宋" w:eastAsia="仿宋" w:hAnsi="仿宋" w:cs="仿宋"/>
          <w:spacing w:val="13"/>
          <w:sz w:val="22"/>
          <w:szCs w:val="22"/>
        </w:rPr>
        <w:t>学龄儿童的生理特点</w:t>
      </w:r>
    </w:p>
    <w:p w:rsidR="00EA40A3" w:rsidRDefault="00E86C16">
      <w:pPr>
        <w:spacing w:before="176" w:line="246" w:lineRule="auto"/>
        <w:ind w:left="50" w:firstLine="449"/>
        <w:jc w:val="both"/>
        <w:rPr>
          <w:rFonts w:ascii="宋体" w:eastAsia="宋体" w:hAnsi="宋体" w:cs="宋体"/>
          <w:sz w:val="22"/>
          <w:szCs w:val="22"/>
        </w:rPr>
      </w:pPr>
      <w:r>
        <w:rPr>
          <w:rFonts w:ascii="宋体" w:eastAsia="宋体" w:hAnsi="宋体" w:cs="宋体"/>
          <w:spacing w:val="-10"/>
          <w:sz w:val="22"/>
          <w:szCs w:val="22"/>
        </w:rPr>
        <w:t>学龄儿童是指6～12岁之间的时期，也是通常所指的小学阶段。此期儿童生</w:t>
      </w:r>
      <w:r>
        <w:rPr>
          <w:rFonts w:ascii="宋体" w:eastAsia="宋体" w:hAnsi="宋体" w:cs="宋体"/>
          <w:spacing w:val="8"/>
          <w:sz w:val="22"/>
          <w:szCs w:val="22"/>
        </w:rPr>
        <w:t xml:space="preserve"> </w:t>
      </w:r>
      <w:r>
        <w:rPr>
          <w:rFonts w:ascii="宋体" w:eastAsia="宋体" w:hAnsi="宋体" w:cs="宋体"/>
          <w:spacing w:val="-3"/>
          <w:sz w:val="22"/>
          <w:szCs w:val="22"/>
        </w:rPr>
        <w:t>长速度仍然较快，体格维持稳步增长。学龄儿童每年体重增加约为2～2.5kg,</w:t>
      </w:r>
      <w:r>
        <w:rPr>
          <w:rFonts w:ascii="宋体" w:eastAsia="宋体" w:hAnsi="宋体" w:cs="宋体"/>
          <w:spacing w:val="13"/>
          <w:sz w:val="22"/>
          <w:szCs w:val="22"/>
        </w:rPr>
        <w:t xml:space="preserve"> </w:t>
      </w:r>
      <w:r>
        <w:rPr>
          <w:rFonts w:ascii="宋体" w:eastAsia="宋体" w:hAnsi="宋体" w:cs="宋体"/>
          <w:spacing w:val="-12"/>
          <w:sz w:val="22"/>
          <w:szCs w:val="22"/>
        </w:rPr>
        <w:t>身高每年可增加约4～7.5cm。</w:t>
      </w:r>
      <w:r>
        <w:rPr>
          <w:rFonts w:ascii="宋体" w:eastAsia="宋体" w:hAnsi="宋体" w:cs="宋体"/>
          <w:spacing w:val="-15"/>
          <w:sz w:val="22"/>
          <w:szCs w:val="22"/>
        </w:rPr>
        <w:t xml:space="preserve"> </w:t>
      </w:r>
      <w:r>
        <w:rPr>
          <w:rFonts w:ascii="宋体" w:eastAsia="宋体" w:hAnsi="宋体" w:cs="宋体"/>
          <w:spacing w:val="-12"/>
          <w:sz w:val="22"/>
          <w:szCs w:val="22"/>
        </w:rPr>
        <w:t>同时，除生殖系统外，学龄儿童的身体其他器官、</w:t>
      </w:r>
      <w:r>
        <w:rPr>
          <w:rFonts w:ascii="宋体" w:eastAsia="宋体" w:hAnsi="宋体" w:cs="宋体"/>
          <w:sz w:val="22"/>
          <w:szCs w:val="22"/>
        </w:rPr>
        <w:t xml:space="preserve"> </w:t>
      </w:r>
      <w:r>
        <w:rPr>
          <w:rFonts w:ascii="宋体" w:eastAsia="宋体" w:hAnsi="宋体" w:cs="宋体"/>
          <w:spacing w:val="-12"/>
          <w:sz w:val="22"/>
          <w:szCs w:val="22"/>
        </w:rPr>
        <w:t>系统包括脑的发育逐渐接近成人。需要说明的是，近年来，因</w:t>
      </w:r>
      <w:r>
        <w:rPr>
          <w:rFonts w:ascii="宋体" w:eastAsia="宋体" w:hAnsi="宋体" w:cs="宋体"/>
          <w:spacing w:val="-13"/>
          <w:sz w:val="22"/>
          <w:szCs w:val="22"/>
        </w:rPr>
        <w:t>儿童发育成熟的时</w:t>
      </w:r>
      <w:r>
        <w:rPr>
          <w:rFonts w:ascii="宋体" w:eastAsia="宋体" w:hAnsi="宋体" w:cs="宋体"/>
          <w:sz w:val="22"/>
          <w:szCs w:val="22"/>
        </w:rPr>
        <w:t xml:space="preserve"> </w:t>
      </w:r>
      <w:r>
        <w:rPr>
          <w:rFonts w:ascii="宋体" w:eastAsia="宋体" w:hAnsi="宋体" w:cs="宋体"/>
          <w:spacing w:val="-11"/>
          <w:sz w:val="22"/>
          <w:szCs w:val="22"/>
        </w:rPr>
        <w:t>间呈提前的趋势，即在完成小学阶段学习的12岁前，就开始进入青春期，因此，</w:t>
      </w:r>
      <w:r>
        <w:rPr>
          <w:rFonts w:ascii="宋体" w:eastAsia="宋体" w:hAnsi="宋体" w:cs="宋体"/>
          <w:spacing w:val="5"/>
          <w:sz w:val="22"/>
          <w:szCs w:val="22"/>
        </w:rPr>
        <w:t xml:space="preserve"> </w:t>
      </w:r>
      <w:r>
        <w:rPr>
          <w:rFonts w:ascii="宋体" w:eastAsia="宋体" w:hAnsi="宋体" w:cs="宋体"/>
          <w:spacing w:val="-13"/>
          <w:sz w:val="22"/>
          <w:szCs w:val="22"/>
        </w:rPr>
        <w:t>也有把学龄儿童和青春期合并在一起称为儿童少年时期。</w:t>
      </w:r>
    </w:p>
    <w:p w:rsidR="00EA40A3" w:rsidRDefault="00E86C16">
      <w:pPr>
        <w:spacing w:before="237" w:line="379" w:lineRule="exact"/>
        <w:ind w:left="50"/>
        <w:rPr>
          <w:rFonts w:ascii="仿宋" w:eastAsia="仿宋" w:hAnsi="仿宋" w:cs="仿宋"/>
          <w:sz w:val="22"/>
          <w:szCs w:val="22"/>
        </w:rPr>
      </w:pPr>
      <w:r>
        <w:rPr>
          <w:rFonts w:ascii="仿宋" w:eastAsia="仿宋" w:hAnsi="仿宋" w:cs="仿宋"/>
          <w:spacing w:val="13"/>
          <w:position w:val="11"/>
          <w:sz w:val="22"/>
          <w:szCs w:val="22"/>
        </w:rPr>
        <w:t>2.</w:t>
      </w:r>
      <w:r>
        <w:rPr>
          <w:rFonts w:ascii="仿宋" w:eastAsia="仿宋" w:hAnsi="仿宋" w:cs="仿宋"/>
          <w:spacing w:val="-7"/>
          <w:position w:val="11"/>
          <w:sz w:val="22"/>
          <w:szCs w:val="22"/>
        </w:rPr>
        <w:t xml:space="preserve"> </w:t>
      </w:r>
      <w:r>
        <w:rPr>
          <w:rFonts w:ascii="仿宋" w:eastAsia="仿宋" w:hAnsi="仿宋" w:cs="仿宋"/>
          <w:spacing w:val="13"/>
          <w:position w:val="11"/>
          <w:sz w:val="22"/>
          <w:szCs w:val="22"/>
        </w:rPr>
        <w:t>学龄儿童的营养需要</w:t>
      </w:r>
    </w:p>
    <w:p w:rsidR="00EA40A3" w:rsidRDefault="00E86C16">
      <w:pPr>
        <w:spacing w:before="1" w:line="221" w:lineRule="auto"/>
        <w:ind w:left="50"/>
        <w:rPr>
          <w:rFonts w:ascii="仿宋" w:eastAsia="仿宋" w:hAnsi="仿宋" w:cs="仿宋"/>
          <w:sz w:val="16"/>
          <w:szCs w:val="16"/>
        </w:rPr>
      </w:pPr>
      <w:r>
        <w:rPr>
          <w:rFonts w:ascii="仿宋" w:eastAsia="仿宋" w:hAnsi="仿宋" w:cs="仿宋"/>
          <w:spacing w:val="-11"/>
          <w:sz w:val="16"/>
          <w:szCs w:val="16"/>
        </w:rPr>
        <w:t>1</w:t>
      </w:r>
      <w:r>
        <w:rPr>
          <w:rFonts w:ascii="仿宋" w:eastAsia="仿宋" w:hAnsi="仿宋" w:cs="仿宋"/>
          <w:spacing w:val="-7"/>
          <w:sz w:val="16"/>
          <w:szCs w:val="16"/>
        </w:rPr>
        <w:t xml:space="preserve"> </w:t>
      </w:r>
      <w:r>
        <w:rPr>
          <w:rFonts w:ascii="仿宋" w:eastAsia="仿宋" w:hAnsi="仿宋" w:cs="仿宋"/>
          <w:spacing w:val="-11"/>
          <w:sz w:val="16"/>
          <w:szCs w:val="16"/>
        </w:rPr>
        <w:t>)</w:t>
      </w:r>
      <w:r>
        <w:rPr>
          <w:rFonts w:ascii="仿宋" w:eastAsia="仿宋" w:hAnsi="仿宋" w:cs="仿宋"/>
          <w:spacing w:val="7"/>
          <w:sz w:val="16"/>
          <w:szCs w:val="16"/>
        </w:rPr>
        <w:t xml:space="preserve"> </w:t>
      </w:r>
      <w:r>
        <w:rPr>
          <w:rFonts w:ascii="仿宋" w:eastAsia="仿宋" w:hAnsi="仿宋" w:cs="仿宋"/>
          <w:spacing w:val="-11"/>
          <w:sz w:val="16"/>
          <w:szCs w:val="16"/>
        </w:rPr>
        <w:t>能</w:t>
      </w:r>
      <w:r>
        <w:rPr>
          <w:rFonts w:ascii="仿宋" w:eastAsia="仿宋" w:hAnsi="仿宋" w:cs="仿宋"/>
          <w:sz w:val="16"/>
          <w:szCs w:val="16"/>
        </w:rPr>
        <w:t xml:space="preserve"> </w:t>
      </w:r>
      <w:r>
        <w:rPr>
          <w:rFonts w:ascii="仿宋" w:eastAsia="仿宋" w:hAnsi="仿宋" w:cs="仿宋"/>
          <w:spacing w:val="-11"/>
          <w:sz w:val="16"/>
          <w:szCs w:val="16"/>
        </w:rPr>
        <w:t>量</w:t>
      </w:r>
    </w:p>
    <w:p w:rsidR="00EA40A3" w:rsidRDefault="00E86C16">
      <w:pPr>
        <w:spacing w:before="93" w:line="246" w:lineRule="auto"/>
        <w:ind w:left="50" w:right="41" w:firstLine="449"/>
        <w:jc w:val="both"/>
        <w:rPr>
          <w:rFonts w:ascii="宋体" w:eastAsia="宋体" w:hAnsi="宋体" w:cs="宋体"/>
          <w:sz w:val="22"/>
          <w:szCs w:val="22"/>
        </w:rPr>
      </w:pPr>
      <w:r>
        <w:rPr>
          <w:rFonts w:ascii="宋体" w:eastAsia="宋体" w:hAnsi="宋体" w:cs="宋体"/>
          <w:spacing w:val="-13"/>
          <w:sz w:val="22"/>
          <w:szCs w:val="22"/>
        </w:rPr>
        <w:t>能量的摄入应与能量消耗相平衡。学龄儿童身体处于生长发育阶段，因此其</w:t>
      </w:r>
      <w:r>
        <w:rPr>
          <w:rFonts w:ascii="宋体" w:eastAsia="宋体" w:hAnsi="宋体" w:cs="宋体"/>
          <w:spacing w:val="16"/>
          <w:sz w:val="22"/>
          <w:szCs w:val="22"/>
        </w:rPr>
        <w:t xml:space="preserve"> </w:t>
      </w:r>
      <w:r>
        <w:rPr>
          <w:rFonts w:ascii="宋体" w:eastAsia="宋体" w:hAnsi="宋体" w:cs="宋体"/>
          <w:spacing w:val="-12"/>
          <w:sz w:val="22"/>
          <w:szCs w:val="22"/>
        </w:rPr>
        <w:t>能量消耗中除了包括基础代谢、体力活动及食物特殊动</w:t>
      </w:r>
      <w:r>
        <w:rPr>
          <w:rFonts w:ascii="宋体" w:eastAsia="宋体" w:hAnsi="宋体" w:cs="宋体"/>
          <w:spacing w:val="-13"/>
          <w:sz w:val="22"/>
          <w:szCs w:val="22"/>
        </w:rPr>
        <w:t>力作用外，还包括用于生</w:t>
      </w:r>
      <w:r>
        <w:rPr>
          <w:rFonts w:ascii="宋体" w:eastAsia="宋体" w:hAnsi="宋体" w:cs="宋体"/>
          <w:sz w:val="22"/>
          <w:szCs w:val="22"/>
        </w:rPr>
        <w:t xml:space="preserve"> </w:t>
      </w:r>
      <w:r>
        <w:rPr>
          <w:rFonts w:ascii="宋体" w:eastAsia="宋体" w:hAnsi="宋体" w:cs="宋体"/>
          <w:spacing w:val="-12"/>
          <w:sz w:val="22"/>
          <w:szCs w:val="22"/>
        </w:rPr>
        <w:t>长发育的能量。学龄儿童的能量摄入量随年龄的增长也</w:t>
      </w:r>
      <w:r>
        <w:rPr>
          <w:rFonts w:ascii="宋体" w:eastAsia="宋体" w:hAnsi="宋体" w:cs="宋体"/>
          <w:spacing w:val="-13"/>
          <w:sz w:val="22"/>
          <w:szCs w:val="22"/>
        </w:rPr>
        <w:t>逐步增加。同龄男孩比女</w:t>
      </w:r>
      <w:r>
        <w:rPr>
          <w:rFonts w:ascii="宋体" w:eastAsia="宋体" w:hAnsi="宋体" w:cs="宋体"/>
          <w:sz w:val="22"/>
          <w:szCs w:val="22"/>
        </w:rPr>
        <w:t xml:space="preserve"> </w:t>
      </w:r>
      <w:r>
        <w:rPr>
          <w:rFonts w:ascii="宋体" w:eastAsia="宋体" w:hAnsi="宋体" w:cs="宋体"/>
          <w:spacing w:val="-3"/>
          <w:sz w:val="22"/>
          <w:szCs w:val="22"/>
        </w:rPr>
        <w:t>孩的能量摄入约高出0.42MJ/d(100kcal/d),6～10</w:t>
      </w:r>
      <w:r>
        <w:rPr>
          <w:rFonts w:ascii="宋体" w:eastAsia="宋体" w:hAnsi="宋体" w:cs="宋体"/>
          <w:spacing w:val="34"/>
          <w:sz w:val="22"/>
          <w:szCs w:val="22"/>
        </w:rPr>
        <w:t xml:space="preserve"> </w:t>
      </w:r>
      <w:r>
        <w:rPr>
          <w:rFonts w:ascii="宋体" w:eastAsia="宋体" w:hAnsi="宋体" w:cs="宋体"/>
          <w:spacing w:val="-3"/>
          <w:sz w:val="22"/>
          <w:szCs w:val="22"/>
        </w:rPr>
        <w:t>岁每增加1岁，能量的推荐</w:t>
      </w:r>
      <w:r>
        <w:rPr>
          <w:rFonts w:ascii="宋体" w:eastAsia="宋体" w:hAnsi="宋体" w:cs="宋体"/>
          <w:sz w:val="22"/>
          <w:szCs w:val="22"/>
        </w:rPr>
        <w:t xml:space="preserve"> </w:t>
      </w:r>
      <w:r>
        <w:rPr>
          <w:rFonts w:ascii="宋体" w:eastAsia="宋体" w:hAnsi="宋体" w:cs="宋体"/>
          <w:spacing w:val="-6"/>
          <w:sz w:val="22"/>
          <w:szCs w:val="22"/>
        </w:rPr>
        <w:t>摄入量约增加100kcal/d。</w:t>
      </w:r>
      <w:r>
        <w:rPr>
          <w:rFonts w:ascii="宋体" w:eastAsia="宋体" w:hAnsi="宋体" w:cs="宋体"/>
          <w:spacing w:val="-61"/>
          <w:sz w:val="22"/>
          <w:szCs w:val="22"/>
        </w:rPr>
        <w:t xml:space="preserve"> </w:t>
      </w:r>
      <w:r>
        <w:rPr>
          <w:rFonts w:ascii="宋体" w:eastAsia="宋体" w:hAnsi="宋体" w:cs="宋体"/>
          <w:spacing w:val="-6"/>
          <w:sz w:val="22"/>
          <w:szCs w:val="22"/>
        </w:rPr>
        <w:t>表10-10列出中国营养学会对我国青</w:t>
      </w:r>
      <w:r>
        <w:rPr>
          <w:rFonts w:ascii="宋体" w:eastAsia="宋体" w:hAnsi="宋体" w:cs="宋体"/>
          <w:spacing w:val="-7"/>
          <w:sz w:val="22"/>
          <w:szCs w:val="22"/>
        </w:rPr>
        <w:t>少年膳食能量的</w:t>
      </w:r>
      <w:r>
        <w:rPr>
          <w:rFonts w:ascii="宋体" w:eastAsia="宋体" w:hAnsi="宋体" w:cs="宋体"/>
          <w:sz w:val="22"/>
          <w:szCs w:val="22"/>
        </w:rPr>
        <w:t xml:space="preserve"> </w:t>
      </w:r>
      <w:r>
        <w:rPr>
          <w:rFonts w:ascii="宋体" w:eastAsia="宋体" w:hAnsi="宋体" w:cs="宋体"/>
          <w:spacing w:val="-14"/>
          <w:sz w:val="22"/>
          <w:szCs w:val="22"/>
        </w:rPr>
        <w:t>推荐摄入量。</w:t>
      </w:r>
    </w:p>
    <w:p w:rsidR="00EA40A3" w:rsidRDefault="00EA40A3">
      <w:pPr>
        <w:spacing w:line="360" w:lineRule="auto"/>
      </w:pPr>
    </w:p>
    <w:p w:rsidR="00EA40A3" w:rsidRDefault="00E86C16">
      <w:pPr>
        <w:spacing w:before="52" w:line="221" w:lineRule="auto"/>
        <w:ind w:left="2032"/>
        <w:rPr>
          <w:rFonts w:ascii="黑体" w:eastAsia="黑体" w:hAnsi="黑体" w:cs="黑体"/>
          <w:sz w:val="16"/>
          <w:szCs w:val="16"/>
        </w:rPr>
      </w:pPr>
      <w:r>
        <w:rPr>
          <w:rFonts w:ascii="黑体" w:eastAsia="黑体" w:hAnsi="黑体" w:cs="黑体"/>
          <w:b/>
          <w:bCs/>
          <w:spacing w:val="14"/>
          <w:sz w:val="16"/>
          <w:szCs w:val="16"/>
        </w:rPr>
        <w:t>表10-</w:t>
      </w:r>
      <w:r>
        <w:rPr>
          <w:rFonts w:ascii="黑体" w:eastAsia="黑体" w:hAnsi="黑体" w:cs="黑体"/>
          <w:spacing w:val="-37"/>
          <w:sz w:val="16"/>
          <w:szCs w:val="16"/>
        </w:rPr>
        <w:t xml:space="preserve"> </w:t>
      </w:r>
      <w:r>
        <w:rPr>
          <w:rFonts w:ascii="黑体" w:eastAsia="黑体" w:hAnsi="黑体" w:cs="黑体"/>
          <w:b/>
          <w:bCs/>
          <w:spacing w:val="14"/>
          <w:sz w:val="16"/>
          <w:szCs w:val="16"/>
        </w:rPr>
        <w:t>10</w:t>
      </w:r>
      <w:r>
        <w:rPr>
          <w:rFonts w:ascii="黑体" w:eastAsia="黑体" w:hAnsi="黑体" w:cs="黑体"/>
          <w:spacing w:val="77"/>
          <w:sz w:val="16"/>
          <w:szCs w:val="16"/>
        </w:rPr>
        <w:t xml:space="preserve"> </w:t>
      </w:r>
      <w:r>
        <w:rPr>
          <w:rFonts w:ascii="黑体" w:eastAsia="黑体" w:hAnsi="黑体" w:cs="黑体"/>
          <w:b/>
          <w:bCs/>
          <w:spacing w:val="14"/>
          <w:sz w:val="16"/>
          <w:szCs w:val="16"/>
        </w:rPr>
        <w:t>我国青少年膳食能量推荐摄入量</w:t>
      </w:r>
    </w:p>
    <w:p w:rsidR="00EA40A3" w:rsidRDefault="00EA40A3">
      <w:pPr>
        <w:spacing w:line="112" w:lineRule="auto"/>
        <w:rPr>
          <w:sz w:val="2"/>
        </w:rPr>
      </w:pP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70"/>
        <w:gridCol w:w="946"/>
        <w:gridCol w:w="803"/>
        <w:gridCol w:w="598"/>
        <w:gridCol w:w="957"/>
        <w:gridCol w:w="478"/>
        <w:gridCol w:w="872"/>
        <w:gridCol w:w="1016"/>
      </w:tblGrid>
      <w:tr w:rsidR="00EA40A3">
        <w:trPr>
          <w:trHeight w:val="333"/>
        </w:trPr>
        <w:tc>
          <w:tcPr>
            <w:tcW w:w="1670" w:type="dxa"/>
            <w:vMerge w:val="restart"/>
            <w:tcBorders>
              <w:top w:val="single" w:sz="4" w:space="0" w:color="000000"/>
              <w:bottom w:val="nil"/>
            </w:tcBorders>
          </w:tcPr>
          <w:p w:rsidR="00EA40A3" w:rsidRDefault="00EA40A3">
            <w:pPr>
              <w:spacing w:line="387" w:lineRule="auto"/>
            </w:pPr>
          </w:p>
          <w:p w:rsidR="00EA40A3" w:rsidRDefault="00E86C16">
            <w:pPr>
              <w:spacing w:before="52" w:line="219" w:lineRule="auto"/>
              <w:ind w:left="510"/>
              <w:rPr>
                <w:rFonts w:ascii="宋体" w:eastAsia="宋体" w:hAnsi="宋体" w:cs="宋体"/>
                <w:sz w:val="16"/>
                <w:szCs w:val="16"/>
              </w:rPr>
            </w:pPr>
            <w:r>
              <w:rPr>
                <w:rFonts w:ascii="宋体" w:eastAsia="宋体" w:hAnsi="宋体" w:cs="宋体"/>
                <w:spacing w:val="7"/>
                <w:sz w:val="16"/>
                <w:szCs w:val="16"/>
              </w:rPr>
              <w:t>年龄(岁)</w:t>
            </w:r>
          </w:p>
        </w:tc>
        <w:tc>
          <w:tcPr>
            <w:tcW w:w="946" w:type="dxa"/>
            <w:tcBorders>
              <w:top w:val="single" w:sz="4" w:space="0" w:color="000000"/>
              <w:bottom w:val="single" w:sz="4" w:space="0" w:color="000000"/>
            </w:tcBorders>
          </w:tcPr>
          <w:p w:rsidR="00EA40A3" w:rsidRDefault="00EA40A3"/>
        </w:tc>
        <w:tc>
          <w:tcPr>
            <w:tcW w:w="803" w:type="dxa"/>
            <w:tcBorders>
              <w:top w:val="single" w:sz="4" w:space="0" w:color="000000"/>
              <w:bottom w:val="single" w:sz="4" w:space="0" w:color="000000"/>
            </w:tcBorders>
          </w:tcPr>
          <w:p w:rsidR="00EA40A3" w:rsidRDefault="00EA40A3"/>
        </w:tc>
        <w:tc>
          <w:tcPr>
            <w:tcW w:w="598" w:type="dxa"/>
            <w:tcBorders>
              <w:top w:val="single" w:sz="4" w:space="0" w:color="000000"/>
              <w:bottom w:val="single" w:sz="4" w:space="0" w:color="000000"/>
            </w:tcBorders>
          </w:tcPr>
          <w:p w:rsidR="00EA40A3" w:rsidRDefault="00EA40A3"/>
        </w:tc>
        <w:tc>
          <w:tcPr>
            <w:tcW w:w="957" w:type="dxa"/>
            <w:tcBorders>
              <w:top w:val="single" w:sz="4" w:space="0" w:color="000000"/>
              <w:bottom w:val="single" w:sz="4" w:space="0" w:color="000000"/>
            </w:tcBorders>
          </w:tcPr>
          <w:p w:rsidR="00EA40A3" w:rsidRDefault="00E86C16">
            <w:pPr>
              <w:spacing w:before="140" w:line="219" w:lineRule="auto"/>
              <w:ind w:left="103"/>
              <w:rPr>
                <w:rFonts w:ascii="宋体" w:eastAsia="宋体" w:hAnsi="宋体" w:cs="宋体"/>
                <w:sz w:val="16"/>
                <w:szCs w:val="16"/>
              </w:rPr>
            </w:pPr>
            <w:r>
              <w:rPr>
                <w:rFonts w:ascii="宋体" w:eastAsia="宋体" w:hAnsi="宋体" w:cs="宋体"/>
                <w:spacing w:val="-1"/>
                <w:sz w:val="16"/>
                <w:szCs w:val="16"/>
              </w:rPr>
              <w:t>推荐摄入量</w:t>
            </w:r>
          </w:p>
        </w:tc>
        <w:tc>
          <w:tcPr>
            <w:tcW w:w="478" w:type="dxa"/>
            <w:tcBorders>
              <w:top w:val="single" w:sz="4" w:space="0" w:color="000000"/>
              <w:bottom w:val="single" w:sz="4" w:space="0" w:color="000000"/>
            </w:tcBorders>
          </w:tcPr>
          <w:p w:rsidR="00EA40A3" w:rsidRDefault="00EA40A3"/>
        </w:tc>
        <w:tc>
          <w:tcPr>
            <w:tcW w:w="872" w:type="dxa"/>
            <w:tcBorders>
              <w:top w:val="single" w:sz="4" w:space="0" w:color="000000"/>
              <w:bottom w:val="single" w:sz="4" w:space="0" w:color="000000"/>
            </w:tcBorders>
          </w:tcPr>
          <w:p w:rsidR="00EA40A3" w:rsidRDefault="00EA40A3"/>
        </w:tc>
        <w:tc>
          <w:tcPr>
            <w:tcW w:w="1016" w:type="dxa"/>
            <w:tcBorders>
              <w:top w:val="single" w:sz="4" w:space="0" w:color="000000"/>
              <w:bottom w:val="single" w:sz="4" w:space="0" w:color="000000"/>
            </w:tcBorders>
          </w:tcPr>
          <w:p w:rsidR="00EA40A3" w:rsidRDefault="00EA40A3"/>
        </w:tc>
      </w:tr>
      <w:tr w:rsidR="00EA40A3">
        <w:trPr>
          <w:trHeight w:val="299"/>
        </w:trPr>
        <w:tc>
          <w:tcPr>
            <w:tcW w:w="1670" w:type="dxa"/>
            <w:vMerge/>
            <w:tcBorders>
              <w:top w:val="nil"/>
              <w:bottom w:val="nil"/>
            </w:tcBorders>
          </w:tcPr>
          <w:p w:rsidR="00EA40A3" w:rsidRDefault="00EA40A3"/>
        </w:tc>
        <w:tc>
          <w:tcPr>
            <w:tcW w:w="946" w:type="dxa"/>
            <w:tcBorders>
              <w:top w:val="single" w:sz="4" w:space="0" w:color="000000"/>
              <w:bottom w:val="single" w:sz="4" w:space="0" w:color="000000"/>
            </w:tcBorders>
          </w:tcPr>
          <w:p w:rsidR="00EA40A3" w:rsidRDefault="00EA40A3"/>
        </w:tc>
        <w:tc>
          <w:tcPr>
            <w:tcW w:w="803" w:type="dxa"/>
            <w:tcBorders>
              <w:top w:val="single" w:sz="4" w:space="0" w:color="000000"/>
              <w:bottom w:val="single" w:sz="4" w:space="0" w:color="000000"/>
            </w:tcBorders>
          </w:tcPr>
          <w:p w:rsidR="00EA40A3" w:rsidRDefault="00E86C16">
            <w:pPr>
              <w:spacing w:before="107" w:line="218" w:lineRule="auto"/>
              <w:ind w:left="123"/>
              <w:rPr>
                <w:rFonts w:ascii="宋体" w:eastAsia="宋体" w:hAnsi="宋体" w:cs="宋体"/>
                <w:sz w:val="16"/>
                <w:szCs w:val="16"/>
              </w:rPr>
            </w:pPr>
            <w:r>
              <w:rPr>
                <w:rFonts w:ascii="宋体" w:eastAsia="宋体" w:hAnsi="宋体" w:cs="宋体"/>
                <w:spacing w:val="-1"/>
                <w:sz w:val="16"/>
                <w:szCs w:val="16"/>
              </w:rPr>
              <w:t>/(MJ/d)</w:t>
            </w:r>
          </w:p>
        </w:tc>
        <w:tc>
          <w:tcPr>
            <w:tcW w:w="598" w:type="dxa"/>
            <w:tcBorders>
              <w:top w:val="single" w:sz="4" w:space="0" w:color="000000"/>
              <w:bottom w:val="single" w:sz="4" w:space="0" w:color="000000"/>
            </w:tcBorders>
          </w:tcPr>
          <w:p w:rsidR="00EA40A3" w:rsidRDefault="00EA40A3"/>
        </w:tc>
        <w:tc>
          <w:tcPr>
            <w:tcW w:w="957" w:type="dxa"/>
            <w:tcBorders>
              <w:top w:val="single" w:sz="4" w:space="0" w:color="000000"/>
              <w:bottom w:val="single" w:sz="4" w:space="0" w:color="000000"/>
            </w:tcBorders>
          </w:tcPr>
          <w:p w:rsidR="00EA40A3" w:rsidRDefault="00EA40A3"/>
        </w:tc>
        <w:tc>
          <w:tcPr>
            <w:tcW w:w="478" w:type="dxa"/>
            <w:tcBorders>
              <w:top w:val="single" w:sz="4" w:space="0" w:color="000000"/>
              <w:bottom w:val="single" w:sz="4" w:space="0" w:color="000000"/>
            </w:tcBorders>
          </w:tcPr>
          <w:p w:rsidR="00EA40A3" w:rsidRDefault="00EA40A3"/>
        </w:tc>
        <w:tc>
          <w:tcPr>
            <w:tcW w:w="872" w:type="dxa"/>
            <w:tcBorders>
              <w:top w:val="single" w:sz="4" w:space="0" w:color="000000"/>
              <w:bottom w:val="single" w:sz="4" w:space="0" w:color="000000"/>
            </w:tcBorders>
          </w:tcPr>
          <w:p w:rsidR="00EA40A3" w:rsidRDefault="00E86C16">
            <w:pPr>
              <w:spacing w:before="101" w:line="222" w:lineRule="auto"/>
              <w:ind w:left="108"/>
              <w:rPr>
                <w:rFonts w:ascii="宋体" w:eastAsia="宋体" w:hAnsi="宋体" w:cs="宋体"/>
                <w:sz w:val="16"/>
                <w:szCs w:val="16"/>
              </w:rPr>
            </w:pPr>
            <w:r>
              <w:rPr>
                <w:rFonts w:ascii="宋体" w:eastAsia="宋体" w:hAnsi="宋体" w:cs="宋体"/>
                <w:spacing w:val="-1"/>
                <w:sz w:val="16"/>
                <w:szCs w:val="16"/>
              </w:rPr>
              <w:t>/(kcal/d)</w:t>
            </w:r>
          </w:p>
        </w:tc>
        <w:tc>
          <w:tcPr>
            <w:tcW w:w="1016" w:type="dxa"/>
            <w:tcBorders>
              <w:top w:val="single" w:sz="4" w:space="0" w:color="000000"/>
              <w:bottom w:val="single" w:sz="4" w:space="0" w:color="000000"/>
            </w:tcBorders>
          </w:tcPr>
          <w:p w:rsidR="00EA40A3" w:rsidRDefault="00EA40A3"/>
        </w:tc>
      </w:tr>
      <w:tr w:rsidR="00EA40A3">
        <w:trPr>
          <w:trHeight w:val="342"/>
        </w:trPr>
        <w:tc>
          <w:tcPr>
            <w:tcW w:w="1670" w:type="dxa"/>
            <w:vMerge/>
            <w:tcBorders>
              <w:top w:val="nil"/>
            </w:tcBorders>
          </w:tcPr>
          <w:p w:rsidR="00EA40A3" w:rsidRDefault="00EA40A3"/>
        </w:tc>
        <w:tc>
          <w:tcPr>
            <w:tcW w:w="946" w:type="dxa"/>
            <w:tcBorders>
              <w:top w:val="single" w:sz="4" w:space="0" w:color="000000"/>
            </w:tcBorders>
          </w:tcPr>
          <w:p w:rsidR="00EA40A3" w:rsidRDefault="00E86C16">
            <w:pPr>
              <w:spacing w:before="110" w:line="220" w:lineRule="auto"/>
              <w:ind w:left="610"/>
              <w:rPr>
                <w:rFonts w:ascii="宋体" w:eastAsia="宋体" w:hAnsi="宋体" w:cs="宋体"/>
                <w:sz w:val="16"/>
                <w:szCs w:val="16"/>
              </w:rPr>
            </w:pPr>
            <w:r>
              <w:rPr>
                <w:rFonts w:ascii="宋体" w:eastAsia="宋体" w:hAnsi="宋体" w:cs="宋体"/>
                <w:sz w:val="16"/>
                <w:szCs w:val="16"/>
              </w:rPr>
              <w:t>男</w:t>
            </w:r>
          </w:p>
        </w:tc>
        <w:tc>
          <w:tcPr>
            <w:tcW w:w="803" w:type="dxa"/>
            <w:tcBorders>
              <w:top w:val="single" w:sz="4" w:space="0" w:color="000000"/>
            </w:tcBorders>
          </w:tcPr>
          <w:p w:rsidR="00EA40A3" w:rsidRDefault="00EA40A3"/>
        </w:tc>
        <w:tc>
          <w:tcPr>
            <w:tcW w:w="598" w:type="dxa"/>
            <w:tcBorders>
              <w:top w:val="single" w:sz="4" w:space="0" w:color="000000"/>
            </w:tcBorders>
          </w:tcPr>
          <w:p w:rsidR="00EA40A3" w:rsidRDefault="00E86C16">
            <w:pPr>
              <w:spacing w:before="109" w:line="219" w:lineRule="auto"/>
              <w:ind w:left="280"/>
              <w:rPr>
                <w:rFonts w:ascii="宋体" w:eastAsia="宋体" w:hAnsi="宋体" w:cs="宋体"/>
                <w:sz w:val="16"/>
                <w:szCs w:val="16"/>
              </w:rPr>
            </w:pPr>
            <w:r>
              <w:rPr>
                <w:rFonts w:ascii="宋体" w:eastAsia="宋体" w:hAnsi="宋体" w:cs="宋体"/>
                <w:sz w:val="16"/>
                <w:szCs w:val="16"/>
              </w:rPr>
              <w:t>女</w:t>
            </w:r>
          </w:p>
        </w:tc>
        <w:tc>
          <w:tcPr>
            <w:tcW w:w="957" w:type="dxa"/>
            <w:tcBorders>
              <w:top w:val="single" w:sz="4" w:space="0" w:color="000000"/>
            </w:tcBorders>
          </w:tcPr>
          <w:p w:rsidR="00EA40A3" w:rsidRDefault="00EA40A3"/>
        </w:tc>
        <w:tc>
          <w:tcPr>
            <w:tcW w:w="478" w:type="dxa"/>
            <w:tcBorders>
              <w:top w:val="single" w:sz="4" w:space="0" w:color="000000"/>
            </w:tcBorders>
          </w:tcPr>
          <w:p w:rsidR="00EA40A3" w:rsidRDefault="00E86C16">
            <w:pPr>
              <w:spacing w:before="110" w:line="220" w:lineRule="auto"/>
              <w:ind w:left="136"/>
              <w:rPr>
                <w:rFonts w:ascii="宋体" w:eastAsia="宋体" w:hAnsi="宋体" w:cs="宋体"/>
                <w:sz w:val="16"/>
                <w:szCs w:val="16"/>
              </w:rPr>
            </w:pPr>
            <w:r>
              <w:rPr>
                <w:rFonts w:ascii="宋体" w:eastAsia="宋体" w:hAnsi="宋体" w:cs="宋体"/>
                <w:sz w:val="16"/>
                <w:szCs w:val="16"/>
              </w:rPr>
              <w:t>男</w:t>
            </w:r>
          </w:p>
        </w:tc>
        <w:tc>
          <w:tcPr>
            <w:tcW w:w="872" w:type="dxa"/>
            <w:tcBorders>
              <w:top w:val="single" w:sz="4" w:space="0" w:color="000000"/>
            </w:tcBorders>
          </w:tcPr>
          <w:p w:rsidR="00EA40A3" w:rsidRDefault="00EA40A3"/>
        </w:tc>
        <w:tc>
          <w:tcPr>
            <w:tcW w:w="1016" w:type="dxa"/>
            <w:tcBorders>
              <w:top w:val="single" w:sz="4" w:space="0" w:color="000000"/>
            </w:tcBorders>
          </w:tcPr>
          <w:p w:rsidR="00EA40A3" w:rsidRDefault="00E86C16">
            <w:pPr>
              <w:spacing w:before="109" w:line="219" w:lineRule="auto"/>
              <w:ind w:left="206"/>
              <w:rPr>
                <w:rFonts w:ascii="宋体" w:eastAsia="宋体" w:hAnsi="宋体" w:cs="宋体"/>
                <w:sz w:val="16"/>
                <w:szCs w:val="16"/>
              </w:rPr>
            </w:pPr>
            <w:r>
              <w:rPr>
                <w:rFonts w:ascii="宋体" w:eastAsia="宋体" w:hAnsi="宋体" w:cs="宋体"/>
                <w:sz w:val="16"/>
                <w:szCs w:val="16"/>
              </w:rPr>
              <w:t>女</w:t>
            </w:r>
          </w:p>
        </w:tc>
      </w:tr>
      <w:tr w:rsidR="00EA40A3">
        <w:trPr>
          <w:trHeight w:val="1346"/>
        </w:trPr>
        <w:tc>
          <w:tcPr>
            <w:tcW w:w="1670" w:type="dxa"/>
            <w:tcBorders>
              <w:bottom w:val="single" w:sz="4" w:space="0" w:color="000000"/>
            </w:tcBorders>
          </w:tcPr>
          <w:p w:rsidR="00EA40A3" w:rsidRDefault="00E86C16">
            <w:pPr>
              <w:spacing w:before="98" w:line="281" w:lineRule="exact"/>
              <w:ind w:left="710"/>
              <w:rPr>
                <w:rFonts w:ascii="宋体" w:eastAsia="宋体" w:hAnsi="宋体" w:cs="宋体"/>
                <w:sz w:val="16"/>
                <w:szCs w:val="16"/>
              </w:rPr>
            </w:pPr>
            <w:r>
              <w:rPr>
                <w:rFonts w:ascii="宋体" w:eastAsia="宋体" w:hAnsi="宋体" w:cs="宋体"/>
                <w:spacing w:val="12"/>
                <w:w w:val="122"/>
                <w:position w:val="10"/>
                <w:sz w:val="16"/>
                <w:szCs w:val="16"/>
              </w:rPr>
              <w:t>6~</w:t>
            </w:r>
          </w:p>
          <w:p w:rsidR="00EA40A3" w:rsidRDefault="00E86C16">
            <w:pPr>
              <w:spacing w:line="181" w:lineRule="auto"/>
              <w:ind w:left="710"/>
              <w:rPr>
                <w:rFonts w:ascii="宋体" w:eastAsia="宋体" w:hAnsi="宋体" w:cs="宋体"/>
                <w:sz w:val="16"/>
                <w:szCs w:val="16"/>
              </w:rPr>
            </w:pPr>
            <w:r>
              <w:rPr>
                <w:rFonts w:ascii="宋体" w:eastAsia="宋体" w:hAnsi="宋体" w:cs="宋体"/>
                <w:spacing w:val="14"/>
                <w:w w:val="118"/>
                <w:sz w:val="16"/>
                <w:szCs w:val="16"/>
              </w:rPr>
              <w:t>7~</w:t>
            </w:r>
          </w:p>
          <w:p w:rsidR="00EA40A3" w:rsidRDefault="00E86C16">
            <w:pPr>
              <w:spacing w:before="111" w:line="183" w:lineRule="auto"/>
              <w:ind w:left="710"/>
              <w:rPr>
                <w:rFonts w:ascii="宋体" w:eastAsia="宋体" w:hAnsi="宋体" w:cs="宋体"/>
                <w:sz w:val="16"/>
                <w:szCs w:val="16"/>
              </w:rPr>
            </w:pPr>
            <w:r>
              <w:rPr>
                <w:rFonts w:ascii="宋体" w:eastAsia="宋体" w:hAnsi="宋体" w:cs="宋体"/>
                <w:spacing w:val="12"/>
                <w:w w:val="122"/>
                <w:sz w:val="16"/>
                <w:szCs w:val="16"/>
              </w:rPr>
              <w:t>8~</w:t>
            </w:r>
          </w:p>
          <w:p w:rsidR="00EA40A3" w:rsidRDefault="00E86C16">
            <w:pPr>
              <w:spacing w:before="131" w:line="183" w:lineRule="auto"/>
              <w:ind w:left="710"/>
              <w:rPr>
                <w:rFonts w:ascii="宋体" w:eastAsia="宋体" w:hAnsi="宋体" w:cs="宋体"/>
                <w:sz w:val="16"/>
                <w:szCs w:val="16"/>
              </w:rPr>
            </w:pPr>
            <w:r>
              <w:rPr>
                <w:rFonts w:ascii="宋体" w:eastAsia="宋体" w:hAnsi="宋体" w:cs="宋体"/>
                <w:spacing w:val="12"/>
                <w:w w:val="122"/>
                <w:sz w:val="16"/>
                <w:szCs w:val="16"/>
              </w:rPr>
              <w:t>9~</w:t>
            </w:r>
          </w:p>
          <w:p w:rsidR="00EA40A3" w:rsidRDefault="00E86C16">
            <w:pPr>
              <w:spacing w:before="100" w:line="171" w:lineRule="auto"/>
              <w:ind w:left="750"/>
              <w:rPr>
                <w:rFonts w:ascii="宋体" w:eastAsia="宋体" w:hAnsi="宋体" w:cs="宋体"/>
                <w:sz w:val="16"/>
                <w:szCs w:val="16"/>
              </w:rPr>
            </w:pPr>
            <w:r>
              <w:rPr>
                <w:rFonts w:ascii="宋体" w:eastAsia="宋体" w:hAnsi="宋体" w:cs="宋体"/>
                <w:spacing w:val="-5"/>
                <w:sz w:val="16"/>
                <w:szCs w:val="16"/>
              </w:rPr>
              <w:t>10</w:t>
            </w:r>
          </w:p>
        </w:tc>
        <w:tc>
          <w:tcPr>
            <w:tcW w:w="946" w:type="dxa"/>
            <w:tcBorders>
              <w:bottom w:val="single" w:sz="4" w:space="0" w:color="000000"/>
            </w:tcBorders>
          </w:tcPr>
          <w:p w:rsidR="00EA40A3" w:rsidRDefault="00E86C16">
            <w:pPr>
              <w:spacing w:before="89" w:line="320" w:lineRule="auto"/>
              <w:ind w:left="509" w:right="116" w:firstLine="10"/>
              <w:jc w:val="both"/>
              <w:rPr>
                <w:rFonts w:ascii="宋体" w:eastAsia="宋体" w:hAnsi="宋体" w:cs="宋体"/>
                <w:sz w:val="16"/>
                <w:szCs w:val="16"/>
              </w:rPr>
            </w:pPr>
            <w:r>
              <w:rPr>
                <w:rFonts w:ascii="宋体" w:eastAsia="宋体" w:hAnsi="宋体" w:cs="宋体"/>
                <w:spacing w:val="-3"/>
                <w:sz w:val="16"/>
                <w:szCs w:val="16"/>
              </w:rPr>
              <w:t>7.10</w:t>
            </w:r>
            <w:r>
              <w:rPr>
                <w:rFonts w:ascii="宋体" w:eastAsia="宋体" w:hAnsi="宋体" w:cs="宋体"/>
                <w:sz w:val="16"/>
                <w:szCs w:val="16"/>
              </w:rPr>
              <w:t xml:space="preserve"> </w:t>
            </w:r>
            <w:r>
              <w:rPr>
                <w:rFonts w:ascii="宋体" w:eastAsia="宋体" w:hAnsi="宋体" w:cs="宋体"/>
                <w:spacing w:val="-3"/>
                <w:sz w:val="16"/>
                <w:szCs w:val="16"/>
              </w:rPr>
              <w:t>7.53</w:t>
            </w:r>
            <w:r>
              <w:rPr>
                <w:rFonts w:ascii="宋体" w:eastAsia="宋体" w:hAnsi="宋体" w:cs="宋体"/>
                <w:sz w:val="16"/>
                <w:szCs w:val="16"/>
              </w:rPr>
              <w:t xml:space="preserve"> </w:t>
            </w:r>
            <w:r>
              <w:rPr>
                <w:rFonts w:ascii="宋体" w:eastAsia="宋体" w:hAnsi="宋体" w:cs="宋体"/>
                <w:spacing w:val="-3"/>
                <w:sz w:val="16"/>
                <w:szCs w:val="16"/>
              </w:rPr>
              <w:t>7.94</w:t>
            </w:r>
            <w:r>
              <w:rPr>
                <w:rFonts w:ascii="宋体" w:eastAsia="宋体" w:hAnsi="宋体" w:cs="宋体"/>
                <w:sz w:val="16"/>
                <w:szCs w:val="16"/>
              </w:rPr>
              <w:t xml:space="preserve"> </w:t>
            </w:r>
            <w:r>
              <w:rPr>
                <w:rFonts w:ascii="宋体" w:eastAsia="宋体" w:hAnsi="宋体" w:cs="宋体"/>
                <w:spacing w:val="-2"/>
                <w:sz w:val="16"/>
                <w:szCs w:val="16"/>
              </w:rPr>
              <w:t>8.36</w:t>
            </w:r>
          </w:p>
          <w:p w:rsidR="00EA40A3" w:rsidRDefault="00E86C16">
            <w:pPr>
              <w:spacing w:line="169" w:lineRule="auto"/>
              <w:ind w:left="509"/>
              <w:rPr>
                <w:rFonts w:ascii="宋体" w:eastAsia="宋体" w:hAnsi="宋体" w:cs="宋体"/>
                <w:sz w:val="16"/>
                <w:szCs w:val="16"/>
              </w:rPr>
            </w:pPr>
            <w:r>
              <w:rPr>
                <w:rFonts w:ascii="宋体" w:eastAsia="宋体" w:hAnsi="宋体" w:cs="宋体"/>
                <w:spacing w:val="-2"/>
                <w:sz w:val="16"/>
                <w:szCs w:val="16"/>
              </w:rPr>
              <w:t>8.80</w:t>
            </w:r>
          </w:p>
        </w:tc>
        <w:tc>
          <w:tcPr>
            <w:tcW w:w="803" w:type="dxa"/>
            <w:tcBorders>
              <w:bottom w:val="single" w:sz="4" w:space="0" w:color="000000"/>
            </w:tcBorders>
          </w:tcPr>
          <w:p w:rsidR="00EA40A3" w:rsidRDefault="00EA40A3"/>
        </w:tc>
        <w:tc>
          <w:tcPr>
            <w:tcW w:w="598" w:type="dxa"/>
            <w:tcBorders>
              <w:bottom w:val="single" w:sz="4" w:space="0" w:color="000000"/>
            </w:tcBorders>
          </w:tcPr>
          <w:p w:rsidR="00EA40A3" w:rsidRDefault="00E86C16">
            <w:pPr>
              <w:spacing w:before="109" w:line="311" w:lineRule="auto"/>
              <w:ind w:left="181" w:right="94" w:firstLine="9"/>
              <w:jc w:val="both"/>
              <w:rPr>
                <w:rFonts w:ascii="宋体" w:eastAsia="宋体" w:hAnsi="宋体" w:cs="宋体"/>
                <w:sz w:val="16"/>
                <w:szCs w:val="16"/>
              </w:rPr>
            </w:pPr>
            <w:r>
              <w:rPr>
                <w:rFonts w:ascii="宋体" w:eastAsia="宋体" w:hAnsi="宋体" w:cs="宋体"/>
                <w:spacing w:val="-2"/>
                <w:sz w:val="16"/>
                <w:szCs w:val="16"/>
              </w:rPr>
              <w:t>6.70</w:t>
            </w:r>
            <w:r>
              <w:rPr>
                <w:rFonts w:ascii="宋体" w:eastAsia="宋体" w:hAnsi="宋体" w:cs="宋体"/>
                <w:sz w:val="16"/>
                <w:szCs w:val="16"/>
              </w:rPr>
              <w:t xml:space="preserve"> </w:t>
            </w:r>
            <w:r>
              <w:rPr>
                <w:rFonts w:ascii="宋体" w:eastAsia="宋体" w:hAnsi="宋体" w:cs="宋体"/>
                <w:spacing w:val="-2"/>
                <w:sz w:val="16"/>
                <w:szCs w:val="16"/>
              </w:rPr>
              <w:t>7.10</w:t>
            </w:r>
          </w:p>
          <w:p w:rsidR="00EA40A3" w:rsidRDefault="00E86C16">
            <w:pPr>
              <w:spacing w:line="183" w:lineRule="auto"/>
              <w:ind w:left="181"/>
              <w:rPr>
                <w:rFonts w:ascii="宋体" w:eastAsia="宋体" w:hAnsi="宋体" w:cs="宋体"/>
                <w:sz w:val="16"/>
                <w:szCs w:val="16"/>
              </w:rPr>
            </w:pPr>
            <w:r>
              <w:rPr>
                <w:rFonts w:ascii="宋体" w:eastAsia="宋体" w:hAnsi="宋体" w:cs="宋体"/>
                <w:spacing w:val="-2"/>
                <w:sz w:val="16"/>
                <w:szCs w:val="16"/>
              </w:rPr>
              <w:t>7.53</w:t>
            </w:r>
          </w:p>
          <w:p w:rsidR="00EA40A3" w:rsidRDefault="00E86C16">
            <w:pPr>
              <w:spacing w:before="141" w:line="260" w:lineRule="exact"/>
              <w:ind w:left="181"/>
              <w:rPr>
                <w:rFonts w:ascii="宋体" w:eastAsia="宋体" w:hAnsi="宋体" w:cs="宋体"/>
                <w:sz w:val="16"/>
                <w:szCs w:val="16"/>
              </w:rPr>
            </w:pPr>
            <w:r>
              <w:rPr>
                <w:rFonts w:ascii="宋体" w:eastAsia="宋体" w:hAnsi="宋体" w:cs="宋体"/>
                <w:spacing w:val="-2"/>
                <w:position w:val="10"/>
                <w:sz w:val="16"/>
                <w:szCs w:val="16"/>
              </w:rPr>
              <w:t>7.94</w:t>
            </w:r>
          </w:p>
          <w:p w:rsidR="00EA40A3" w:rsidRDefault="00E86C16">
            <w:pPr>
              <w:spacing w:line="158" w:lineRule="auto"/>
              <w:ind w:left="181"/>
              <w:rPr>
                <w:rFonts w:ascii="宋体" w:eastAsia="宋体" w:hAnsi="宋体" w:cs="宋体"/>
                <w:sz w:val="16"/>
                <w:szCs w:val="16"/>
              </w:rPr>
            </w:pPr>
            <w:r>
              <w:rPr>
                <w:rFonts w:ascii="宋体" w:eastAsia="宋体" w:hAnsi="宋体" w:cs="宋体"/>
                <w:spacing w:val="-2"/>
                <w:sz w:val="16"/>
                <w:szCs w:val="16"/>
              </w:rPr>
              <w:t>8.36</w:t>
            </w:r>
          </w:p>
        </w:tc>
        <w:tc>
          <w:tcPr>
            <w:tcW w:w="957" w:type="dxa"/>
            <w:tcBorders>
              <w:bottom w:val="single" w:sz="4" w:space="0" w:color="000000"/>
            </w:tcBorders>
          </w:tcPr>
          <w:p w:rsidR="00EA40A3" w:rsidRDefault="00EA40A3"/>
        </w:tc>
        <w:tc>
          <w:tcPr>
            <w:tcW w:w="478" w:type="dxa"/>
            <w:tcBorders>
              <w:bottom w:val="single" w:sz="4" w:space="0" w:color="000000"/>
            </w:tcBorders>
          </w:tcPr>
          <w:p w:rsidR="00EA40A3" w:rsidRDefault="00E86C16">
            <w:pPr>
              <w:spacing w:before="108" w:line="184" w:lineRule="auto"/>
              <w:ind w:left="75"/>
              <w:rPr>
                <w:rFonts w:ascii="宋体" w:eastAsia="宋体" w:hAnsi="宋体" w:cs="宋体"/>
                <w:sz w:val="16"/>
                <w:szCs w:val="16"/>
              </w:rPr>
            </w:pPr>
            <w:r>
              <w:rPr>
                <w:rFonts w:ascii="宋体" w:eastAsia="宋体" w:hAnsi="宋体" w:cs="宋体"/>
                <w:spacing w:val="-4"/>
                <w:sz w:val="16"/>
                <w:szCs w:val="16"/>
              </w:rPr>
              <w:t>1700</w:t>
            </w:r>
          </w:p>
          <w:p w:rsidR="00EA40A3" w:rsidRDefault="00E86C16">
            <w:pPr>
              <w:spacing w:before="120" w:line="184" w:lineRule="auto"/>
              <w:ind w:left="66"/>
              <w:rPr>
                <w:rFonts w:ascii="宋体" w:eastAsia="宋体" w:hAnsi="宋体" w:cs="宋体"/>
                <w:sz w:val="16"/>
                <w:szCs w:val="16"/>
              </w:rPr>
            </w:pPr>
            <w:r>
              <w:rPr>
                <w:rFonts w:ascii="宋体" w:eastAsia="宋体" w:hAnsi="宋体" w:cs="宋体"/>
                <w:spacing w:val="-4"/>
                <w:sz w:val="16"/>
                <w:szCs w:val="16"/>
              </w:rPr>
              <w:t>1800</w:t>
            </w:r>
          </w:p>
          <w:p w:rsidR="00EA40A3" w:rsidRDefault="00E86C16">
            <w:pPr>
              <w:spacing w:before="90" w:line="184" w:lineRule="auto"/>
              <w:ind w:left="66"/>
              <w:rPr>
                <w:rFonts w:ascii="宋体" w:eastAsia="宋体" w:hAnsi="宋体" w:cs="宋体"/>
                <w:sz w:val="16"/>
                <w:szCs w:val="16"/>
              </w:rPr>
            </w:pPr>
            <w:r>
              <w:rPr>
                <w:rFonts w:ascii="宋体" w:eastAsia="宋体" w:hAnsi="宋体" w:cs="宋体"/>
                <w:spacing w:val="-4"/>
                <w:sz w:val="16"/>
                <w:szCs w:val="16"/>
              </w:rPr>
              <w:t>1900</w:t>
            </w:r>
          </w:p>
          <w:p w:rsidR="00EA40A3" w:rsidRDefault="00E86C16">
            <w:pPr>
              <w:spacing w:before="131" w:line="183" w:lineRule="auto"/>
              <w:ind w:left="66"/>
              <w:rPr>
                <w:rFonts w:ascii="宋体" w:eastAsia="宋体" w:hAnsi="宋体" w:cs="宋体"/>
                <w:sz w:val="16"/>
                <w:szCs w:val="16"/>
              </w:rPr>
            </w:pPr>
            <w:r>
              <w:rPr>
                <w:rFonts w:ascii="宋体" w:eastAsia="宋体" w:hAnsi="宋体" w:cs="宋体"/>
                <w:spacing w:val="-2"/>
                <w:sz w:val="16"/>
                <w:szCs w:val="16"/>
              </w:rPr>
              <w:t>2000</w:t>
            </w:r>
          </w:p>
          <w:p w:rsidR="00EA40A3" w:rsidRDefault="00E86C16">
            <w:pPr>
              <w:spacing w:before="110" w:line="171" w:lineRule="auto"/>
              <w:ind w:left="66"/>
              <w:rPr>
                <w:rFonts w:ascii="宋体" w:eastAsia="宋体" w:hAnsi="宋体" w:cs="宋体"/>
                <w:sz w:val="16"/>
                <w:szCs w:val="16"/>
              </w:rPr>
            </w:pPr>
            <w:r>
              <w:rPr>
                <w:rFonts w:ascii="宋体" w:eastAsia="宋体" w:hAnsi="宋体" w:cs="宋体"/>
                <w:spacing w:val="-2"/>
                <w:sz w:val="16"/>
                <w:szCs w:val="16"/>
              </w:rPr>
              <w:t>2100</w:t>
            </w:r>
          </w:p>
        </w:tc>
        <w:tc>
          <w:tcPr>
            <w:tcW w:w="872" w:type="dxa"/>
            <w:tcBorders>
              <w:bottom w:val="single" w:sz="4" w:space="0" w:color="000000"/>
            </w:tcBorders>
          </w:tcPr>
          <w:p w:rsidR="00EA40A3" w:rsidRDefault="00EA40A3"/>
        </w:tc>
        <w:tc>
          <w:tcPr>
            <w:tcW w:w="1016" w:type="dxa"/>
            <w:tcBorders>
              <w:bottom w:val="single" w:sz="4" w:space="0" w:color="000000"/>
            </w:tcBorders>
          </w:tcPr>
          <w:p w:rsidR="00EA40A3" w:rsidRDefault="00E86C16">
            <w:pPr>
              <w:spacing w:before="108" w:line="184" w:lineRule="auto"/>
              <w:ind w:left="126"/>
              <w:rPr>
                <w:rFonts w:ascii="宋体" w:eastAsia="宋体" w:hAnsi="宋体" w:cs="宋体"/>
                <w:sz w:val="16"/>
                <w:szCs w:val="16"/>
              </w:rPr>
            </w:pPr>
            <w:r>
              <w:rPr>
                <w:rFonts w:ascii="宋体" w:eastAsia="宋体" w:hAnsi="宋体" w:cs="宋体"/>
                <w:spacing w:val="-4"/>
                <w:sz w:val="16"/>
                <w:szCs w:val="16"/>
              </w:rPr>
              <w:t>1600</w:t>
            </w:r>
          </w:p>
          <w:p w:rsidR="00EA40A3" w:rsidRDefault="00E86C16">
            <w:pPr>
              <w:spacing w:before="100" w:line="184" w:lineRule="auto"/>
              <w:ind w:left="106"/>
              <w:rPr>
                <w:rFonts w:ascii="宋体" w:eastAsia="宋体" w:hAnsi="宋体" w:cs="宋体"/>
                <w:sz w:val="16"/>
                <w:szCs w:val="16"/>
              </w:rPr>
            </w:pPr>
            <w:r>
              <w:rPr>
                <w:rFonts w:ascii="宋体" w:eastAsia="宋体" w:hAnsi="宋体" w:cs="宋体"/>
                <w:spacing w:val="-4"/>
                <w:sz w:val="16"/>
                <w:szCs w:val="16"/>
              </w:rPr>
              <w:t>1700</w:t>
            </w:r>
          </w:p>
          <w:p w:rsidR="00EA40A3" w:rsidRDefault="00E86C16">
            <w:pPr>
              <w:spacing w:before="140" w:line="184" w:lineRule="auto"/>
              <w:ind w:left="106"/>
              <w:rPr>
                <w:rFonts w:ascii="宋体" w:eastAsia="宋体" w:hAnsi="宋体" w:cs="宋体"/>
                <w:sz w:val="16"/>
                <w:szCs w:val="16"/>
              </w:rPr>
            </w:pPr>
            <w:r>
              <w:rPr>
                <w:rFonts w:ascii="宋体" w:eastAsia="宋体" w:hAnsi="宋体" w:cs="宋体"/>
                <w:spacing w:val="-4"/>
                <w:sz w:val="16"/>
                <w:szCs w:val="16"/>
              </w:rPr>
              <w:t>1800</w:t>
            </w:r>
          </w:p>
          <w:p w:rsidR="00EA40A3" w:rsidRDefault="00E86C16">
            <w:pPr>
              <w:spacing w:before="100" w:line="184" w:lineRule="auto"/>
              <w:ind w:left="106"/>
              <w:rPr>
                <w:rFonts w:ascii="宋体" w:eastAsia="宋体" w:hAnsi="宋体" w:cs="宋体"/>
                <w:sz w:val="16"/>
                <w:szCs w:val="16"/>
              </w:rPr>
            </w:pPr>
            <w:r>
              <w:rPr>
                <w:rFonts w:ascii="宋体" w:eastAsia="宋体" w:hAnsi="宋体" w:cs="宋体"/>
                <w:spacing w:val="-4"/>
                <w:sz w:val="16"/>
                <w:szCs w:val="16"/>
              </w:rPr>
              <w:t>1900</w:t>
            </w:r>
          </w:p>
          <w:p w:rsidR="00EA40A3" w:rsidRDefault="00E86C16">
            <w:pPr>
              <w:spacing w:before="131" w:line="127" w:lineRule="exact"/>
              <w:ind w:left="106"/>
              <w:rPr>
                <w:rFonts w:ascii="宋体" w:eastAsia="宋体" w:hAnsi="宋体" w:cs="宋体"/>
                <w:sz w:val="16"/>
                <w:szCs w:val="16"/>
              </w:rPr>
            </w:pPr>
            <w:r>
              <w:rPr>
                <w:rFonts w:ascii="宋体" w:eastAsia="宋体" w:hAnsi="宋体" w:cs="宋体"/>
                <w:spacing w:val="-2"/>
                <w:position w:val="-2"/>
                <w:sz w:val="16"/>
                <w:szCs w:val="16"/>
              </w:rPr>
              <w:t>2000</w:t>
            </w:r>
          </w:p>
        </w:tc>
      </w:tr>
    </w:tbl>
    <w:p w:rsidR="00EA40A3" w:rsidRDefault="00E86C16">
      <w:pPr>
        <w:spacing w:before="100" w:line="219" w:lineRule="auto"/>
        <w:ind w:left="340"/>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86C16">
      <w:pPr>
        <w:spacing w:before="137"/>
        <w:ind w:right="109"/>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325</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890" w:bottom="400" w:left="939" w:header="0" w:footer="0" w:gutter="0"/>
          <w:cols w:space="720"/>
        </w:sectPr>
      </w:pPr>
    </w:p>
    <w:p w:rsidR="00EA40A3" w:rsidRDefault="00EA40A3">
      <w:pPr>
        <w:spacing w:line="287" w:lineRule="auto"/>
      </w:pPr>
    </w:p>
    <w:p w:rsidR="00EA40A3" w:rsidRDefault="00EA40A3">
      <w:pPr>
        <w:spacing w:line="288" w:lineRule="auto"/>
      </w:pPr>
    </w:p>
    <w:p w:rsidR="00EA40A3" w:rsidRDefault="00EA40A3">
      <w:pPr>
        <w:spacing w:line="288" w:lineRule="auto"/>
      </w:pPr>
    </w:p>
    <w:p w:rsidR="00EA40A3" w:rsidRDefault="00E86C16">
      <w:pPr>
        <w:spacing w:before="68" w:line="226" w:lineRule="auto"/>
        <w:rPr>
          <w:rFonts w:ascii="楷体" w:eastAsia="楷体" w:hAnsi="楷体" w:cs="楷体"/>
        </w:rPr>
      </w:pPr>
      <w:bookmarkStart w:id="78" w:name="_bookmark82"/>
      <w:bookmarkEnd w:id="78"/>
      <w:r>
        <w:rPr>
          <w:rFonts w:ascii="楷体" w:eastAsia="楷体" w:hAnsi="楷体" w:cs="楷体"/>
          <w:spacing w:val="19"/>
        </w:rPr>
        <w:t>2)蛋白质</w:t>
      </w:r>
    </w:p>
    <w:p w:rsidR="00EA40A3" w:rsidRDefault="00E86C16">
      <w:pPr>
        <w:spacing w:before="13" w:line="245" w:lineRule="auto"/>
        <w:ind w:right="11" w:firstLine="500"/>
        <w:rPr>
          <w:rFonts w:ascii="宋体" w:eastAsia="宋体" w:hAnsi="宋体" w:cs="宋体"/>
        </w:rPr>
      </w:pPr>
      <w:r>
        <w:rPr>
          <w:rFonts w:ascii="宋体" w:eastAsia="宋体" w:hAnsi="宋体" w:cs="宋体"/>
          <w:spacing w:val="4"/>
        </w:rPr>
        <w:t>由于学龄儿童合成新组织较多，并且学习活动较</w:t>
      </w:r>
      <w:r>
        <w:rPr>
          <w:rFonts w:ascii="宋体" w:eastAsia="宋体" w:hAnsi="宋体" w:cs="宋体"/>
          <w:spacing w:val="3"/>
        </w:rPr>
        <w:t>重，必须保证充足的蛋白</w:t>
      </w:r>
      <w:r>
        <w:rPr>
          <w:rFonts w:ascii="宋体" w:eastAsia="宋体" w:hAnsi="宋体" w:cs="宋体"/>
        </w:rPr>
        <w:t xml:space="preserve"> </w:t>
      </w:r>
      <w:r>
        <w:rPr>
          <w:rFonts w:ascii="宋体" w:eastAsia="宋体" w:hAnsi="宋体" w:cs="宋体"/>
          <w:spacing w:val="-1"/>
        </w:rPr>
        <w:t>质。中国营养学会对学龄儿童蛋白质的推荐摄入量为</w:t>
      </w:r>
      <w:r>
        <w:rPr>
          <w:rFonts w:ascii="宋体" w:eastAsia="宋体" w:hAnsi="宋体" w:cs="宋体"/>
          <w:spacing w:val="-2"/>
        </w:rPr>
        <w:t>55～75g/d。</w:t>
      </w:r>
    </w:p>
    <w:p w:rsidR="00EA40A3" w:rsidRDefault="00E86C16">
      <w:pPr>
        <w:spacing w:before="83" w:line="227" w:lineRule="auto"/>
        <w:rPr>
          <w:rFonts w:ascii="楷体" w:eastAsia="楷体" w:hAnsi="楷体" w:cs="楷体"/>
        </w:rPr>
      </w:pPr>
      <w:r>
        <w:rPr>
          <w:rFonts w:ascii="楷体" w:eastAsia="楷体" w:hAnsi="楷体" w:cs="楷体"/>
          <w:spacing w:val="11"/>
        </w:rPr>
        <w:t>3)矿物质</w:t>
      </w:r>
    </w:p>
    <w:p w:rsidR="00EA40A3" w:rsidRDefault="00E86C16">
      <w:pPr>
        <w:spacing w:before="22" w:line="252" w:lineRule="auto"/>
        <w:ind w:firstLine="500"/>
        <w:rPr>
          <w:rFonts w:ascii="Times New Roman" w:eastAsia="Times New Roman" w:hAnsi="Times New Roman" w:cs="Times New Roman"/>
        </w:rPr>
      </w:pPr>
      <w:r>
        <w:rPr>
          <w:rFonts w:ascii="宋体" w:eastAsia="宋体" w:hAnsi="宋体" w:cs="宋体"/>
          <w:spacing w:val="-3"/>
        </w:rPr>
        <w:t>学龄儿童要注意矿物质的摄入平衡，特别是要注意钙、铁、锌、硒等的摄入</w:t>
      </w:r>
      <w:r>
        <w:rPr>
          <w:rFonts w:ascii="宋体" w:eastAsia="宋体" w:hAnsi="宋体" w:cs="宋体"/>
          <w:spacing w:val="16"/>
        </w:rPr>
        <w:t xml:space="preserve"> </w:t>
      </w:r>
      <w:r>
        <w:rPr>
          <w:rFonts w:ascii="宋体" w:eastAsia="宋体" w:hAnsi="宋体" w:cs="宋体"/>
          <w:spacing w:val="1"/>
        </w:rPr>
        <w:t>要充足。中国营养学会对学龄儿童上述矿物元素的推荐摄入量分别为：钙的</w:t>
      </w:r>
      <w:r>
        <w:rPr>
          <w:rFonts w:ascii="宋体" w:eastAsia="宋体" w:hAnsi="宋体" w:cs="宋体"/>
          <w:spacing w:val="-51"/>
        </w:rPr>
        <w:t xml:space="preserve"> </w:t>
      </w:r>
      <w:r>
        <w:rPr>
          <w:rFonts w:ascii="宋体" w:eastAsia="宋体" w:hAnsi="宋体" w:cs="宋体"/>
        </w:rPr>
        <w:t xml:space="preserve">AI  </w:t>
      </w:r>
      <w:r>
        <w:rPr>
          <w:rFonts w:ascii="宋体" w:eastAsia="宋体" w:hAnsi="宋体" w:cs="宋体"/>
          <w:spacing w:val="6"/>
        </w:rPr>
        <w:t>为800</w:t>
      </w:r>
      <w:r>
        <w:rPr>
          <w:rFonts w:ascii="宋体" w:eastAsia="宋体" w:hAnsi="宋体" w:cs="宋体"/>
        </w:rPr>
        <w:t>mg</w:t>
      </w:r>
      <w:r>
        <w:rPr>
          <w:rFonts w:ascii="宋体" w:eastAsia="宋体" w:hAnsi="宋体" w:cs="宋体"/>
          <w:spacing w:val="6"/>
        </w:rPr>
        <w:t>/d,</w:t>
      </w:r>
      <w:r>
        <w:rPr>
          <w:rFonts w:ascii="宋体" w:eastAsia="宋体" w:hAnsi="宋体" w:cs="宋体"/>
          <w:spacing w:val="64"/>
        </w:rPr>
        <w:t xml:space="preserve"> </w:t>
      </w:r>
      <w:r>
        <w:rPr>
          <w:rFonts w:ascii="宋体" w:eastAsia="宋体" w:hAnsi="宋体" w:cs="宋体"/>
          <w:spacing w:val="6"/>
        </w:rPr>
        <w:t>铁的</w:t>
      </w:r>
      <w:r>
        <w:rPr>
          <w:rFonts w:ascii="宋体" w:eastAsia="宋体" w:hAnsi="宋体" w:cs="宋体"/>
          <w:spacing w:val="-57"/>
        </w:rPr>
        <w:t xml:space="preserve"> </w:t>
      </w:r>
      <w:r>
        <w:rPr>
          <w:rFonts w:ascii="宋体" w:eastAsia="宋体" w:hAnsi="宋体" w:cs="宋体"/>
        </w:rPr>
        <w:t>AI</w:t>
      </w:r>
      <w:r>
        <w:rPr>
          <w:rFonts w:ascii="宋体" w:eastAsia="宋体" w:hAnsi="宋体" w:cs="宋体"/>
          <w:spacing w:val="-24"/>
        </w:rPr>
        <w:t xml:space="preserve"> </w:t>
      </w:r>
      <w:r>
        <w:rPr>
          <w:rFonts w:ascii="宋体" w:eastAsia="宋体" w:hAnsi="宋体" w:cs="宋体"/>
          <w:spacing w:val="6"/>
        </w:rPr>
        <w:t>为12</w:t>
      </w:r>
      <w:r>
        <w:rPr>
          <w:rFonts w:ascii="宋体" w:eastAsia="宋体" w:hAnsi="宋体" w:cs="宋体"/>
        </w:rPr>
        <w:t>mg</w:t>
      </w:r>
      <w:r>
        <w:rPr>
          <w:rFonts w:ascii="宋体" w:eastAsia="宋体" w:hAnsi="宋体" w:cs="宋体"/>
          <w:spacing w:val="6"/>
        </w:rPr>
        <w:t>/d,</w:t>
      </w:r>
      <w:r>
        <w:rPr>
          <w:rFonts w:ascii="宋体" w:eastAsia="宋体" w:hAnsi="宋体" w:cs="宋体"/>
          <w:spacing w:val="53"/>
        </w:rPr>
        <w:t xml:space="preserve"> </w:t>
      </w:r>
      <w:r>
        <w:rPr>
          <w:rFonts w:ascii="宋体" w:eastAsia="宋体" w:hAnsi="宋体" w:cs="宋体"/>
          <w:spacing w:val="6"/>
        </w:rPr>
        <w:t>锌的</w:t>
      </w:r>
      <w:r>
        <w:rPr>
          <w:rFonts w:ascii="宋体" w:eastAsia="宋体" w:hAnsi="宋体" w:cs="宋体"/>
          <w:spacing w:val="-62"/>
        </w:rPr>
        <w:t xml:space="preserve"> </w:t>
      </w:r>
      <w:r>
        <w:rPr>
          <w:rFonts w:ascii="宋体" w:eastAsia="宋体" w:hAnsi="宋体" w:cs="宋体"/>
        </w:rPr>
        <w:t>RNI</w:t>
      </w:r>
      <w:r>
        <w:rPr>
          <w:rFonts w:ascii="宋体" w:eastAsia="宋体" w:hAnsi="宋体" w:cs="宋体"/>
          <w:spacing w:val="27"/>
        </w:rPr>
        <w:t xml:space="preserve"> </w:t>
      </w:r>
      <w:r>
        <w:rPr>
          <w:rFonts w:ascii="宋体" w:eastAsia="宋体" w:hAnsi="宋体" w:cs="宋体"/>
          <w:spacing w:val="6"/>
        </w:rPr>
        <w:t>为12.0～13.5</w:t>
      </w:r>
      <w:r>
        <w:rPr>
          <w:rFonts w:ascii="宋体" w:eastAsia="宋体" w:hAnsi="宋体" w:cs="宋体"/>
        </w:rPr>
        <w:t>mg</w:t>
      </w:r>
      <w:r>
        <w:rPr>
          <w:rFonts w:ascii="宋体" w:eastAsia="宋体" w:hAnsi="宋体" w:cs="宋体"/>
          <w:spacing w:val="6"/>
        </w:rPr>
        <w:t>/d,</w:t>
      </w:r>
      <w:r>
        <w:rPr>
          <w:rFonts w:ascii="宋体" w:eastAsia="宋体" w:hAnsi="宋体" w:cs="宋体"/>
          <w:spacing w:val="62"/>
        </w:rPr>
        <w:t xml:space="preserve"> </w:t>
      </w:r>
      <w:r>
        <w:rPr>
          <w:rFonts w:ascii="宋体" w:eastAsia="宋体" w:hAnsi="宋体" w:cs="宋体"/>
          <w:spacing w:val="6"/>
        </w:rPr>
        <w:t>硒的</w:t>
      </w:r>
      <w:r>
        <w:rPr>
          <w:rFonts w:ascii="宋体" w:eastAsia="宋体" w:hAnsi="宋体" w:cs="宋体"/>
        </w:rPr>
        <w:t>RNI</w:t>
      </w:r>
      <w:r>
        <w:rPr>
          <w:rFonts w:ascii="宋体" w:eastAsia="宋体" w:hAnsi="宋体" w:cs="宋体"/>
          <w:spacing w:val="27"/>
        </w:rPr>
        <w:t xml:space="preserve"> </w:t>
      </w:r>
      <w:r>
        <w:rPr>
          <w:rFonts w:ascii="宋体" w:eastAsia="宋体" w:hAnsi="宋体" w:cs="宋体"/>
          <w:spacing w:val="6"/>
        </w:rPr>
        <w:t>为</w:t>
      </w:r>
      <w:r>
        <w:rPr>
          <w:rFonts w:ascii="宋体" w:eastAsia="宋体" w:hAnsi="宋体" w:cs="宋体"/>
        </w:rPr>
        <w:t xml:space="preserve">  </w:t>
      </w:r>
      <w:r>
        <w:rPr>
          <w:rFonts w:ascii="Times New Roman" w:eastAsia="Times New Roman" w:hAnsi="Times New Roman" w:cs="Times New Roman"/>
          <w:spacing w:val="-1"/>
        </w:rPr>
        <w:t>25</w:t>
      </w:r>
      <w:r>
        <w:rPr>
          <w:rFonts w:ascii="宋体" w:eastAsia="宋体" w:hAnsi="宋体" w:cs="宋体"/>
          <w:spacing w:val="-1"/>
        </w:rPr>
        <w:t>～</w:t>
      </w:r>
      <w:r>
        <w:rPr>
          <w:rFonts w:ascii="Times New Roman" w:eastAsia="Times New Roman" w:hAnsi="Times New Roman" w:cs="Times New Roman"/>
          <w:spacing w:val="-1"/>
        </w:rPr>
        <w:t>35mg/d</w:t>
      </w:r>
    </w:p>
    <w:p w:rsidR="00EA40A3" w:rsidRDefault="00E86C16">
      <w:pPr>
        <w:spacing w:before="90" w:line="225" w:lineRule="auto"/>
        <w:rPr>
          <w:rFonts w:ascii="楷体" w:eastAsia="楷体" w:hAnsi="楷体" w:cs="楷体"/>
        </w:rPr>
      </w:pPr>
      <w:r>
        <w:rPr>
          <w:rFonts w:ascii="楷体" w:eastAsia="楷体" w:hAnsi="楷体" w:cs="楷体"/>
          <w:spacing w:val="9"/>
        </w:rPr>
        <w:t>4)维生素</w:t>
      </w:r>
    </w:p>
    <w:p w:rsidR="00EA40A3" w:rsidRDefault="00E86C16">
      <w:pPr>
        <w:spacing w:before="56" w:line="250" w:lineRule="auto"/>
        <w:ind w:right="37" w:firstLine="459"/>
        <w:rPr>
          <w:rFonts w:ascii="宋体" w:eastAsia="宋体" w:hAnsi="宋体" w:cs="宋体"/>
        </w:rPr>
      </w:pPr>
      <w:r>
        <w:rPr>
          <w:rFonts w:ascii="宋体" w:eastAsia="宋体" w:hAnsi="宋体" w:cs="宋体"/>
          <w:spacing w:val="-2"/>
        </w:rPr>
        <w:t>学龄儿童机体正常发育及体内物质的代谢都离</w:t>
      </w:r>
      <w:r>
        <w:rPr>
          <w:rFonts w:ascii="宋体" w:eastAsia="宋体" w:hAnsi="宋体" w:cs="宋体"/>
          <w:spacing w:val="-3"/>
        </w:rPr>
        <w:t>不开各种维生素的参与。中国</w:t>
      </w:r>
      <w:r>
        <w:rPr>
          <w:rFonts w:ascii="宋体" w:eastAsia="宋体" w:hAnsi="宋体" w:cs="宋体"/>
        </w:rPr>
        <w:t xml:space="preserve"> </w:t>
      </w:r>
      <w:r>
        <w:rPr>
          <w:rFonts w:ascii="宋体" w:eastAsia="宋体" w:hAnsi="宋体" w:cs="宋体"/>
          <w:spacing w:val="-1"/>
        </w:rPr>
        <w:t>营养学会对学龄儿童维生素的推荐摄入量如表10-1</w:t>
      </w:r>
      <w:r>
        <w:rPr>
          <w:rFonts w:ascii="宋体" w:eastAsia="宋体" w:hAnsi="宋体" w:cs="宋体"/>
          <w:spacing w:val="-2"/>
        </w:rPr>
        <w:t>1所示。</w:t>
      </w:r>
    </w:p>
    <w:p w:rsidR="00EA40A3" w:rsidRDefault="00EA40A3">
      <w:pPr>
        <w:spacing w:line="306" w:lineRule="auto"/>
      </w:pPr>
    </w:p>
    <w:p w:rsidR="00EA40A3" w:rsidRDefault="00E86C16">
      <w:pPr>
        <w:spacing w:before="59" w:line="221" w:lineRule="auto"/>
        <w:ind w:left="1842"/>
        <w:rPr>
          <w:rFonts w:ascii="黑体" w:eastAsia="黑体" w:hAnsi="黑体" w:cs="黑体"/>
          <w:sz w:val="18"/>
          <w:szCs w:val="18"/>
        </w:rPr>
      </w:pPr>
      <w:r>
        <w:rPr>
          <w:rFonts w:ascii="黑体" w:eastAsia="黑体" w:hAnsi="黑体" w:cs="黑体"/>
          <w:b/>
          <w:bCs/>
          <w:spacing w:val="-1"/>
          <w:sz w:val="18"/>
          <w:szCs w:val="18"/>
        </w:rPr>
        <w:t>表10-11</w:t>
      </w:r>
      <w:r>
        <w:rPr>
          <w:rFonts w:ascii="黑体" w:eastAsia="黑体" w:hAnsi="黑体" w:cs="黑体"/>
          <w:spacing w:val="50"/>
          <w:sz w:val="18"/>
          <w:szCs w:val="18"/>
        </w:rPr>
        <w:t xml:space="preserve"> </w:t>
      </w:r>
      <w:r>
        <w:rPr>
          <w:rFonts w:ascii="黑体" w:eastAsia="黑体" w:hAnsi="黑体" w:cs="黑体"/>
          <w:b/>
          <w:bCs/>
          <w:spacing w:val="-1"/>
          <w:sz w:val="18"/>
          <w:szCs w:val="18"/>
        </w:rPr>
        <w:t>我国学龄儿童主要维生素参考摄入量</w:t>
      </w:r>
    </w:p>
    <w:p w:rsidR="00EA40A3" w:rsidRDefault="00EA40A3">
      <w:pPr>
        <w:spacing w:line="67" w:lineRule="auto"/>
        <w:rPr>
          <w:sz w:val="2"/>
        </w:rPr>
      </w:pPr>
    </w:p>
    <w:tbl>
      <w:tblPr>
        <w:tblStyle w:val="TableNormal"/>
        <w:tblW w:w="7319"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0"/>
        <w:gridCol w:w="559"/>
        <w:gridCol w:w="657"/>
        <w:gridCol w:w="621"/>
        <w:gridCol w:w="604"/>
        <w:gridCol w:w="677"/>
        <w:gridCol w:w="587"/>
        <w:gridCol w:w="1255"/>
        <w:gridCol w:w="666"/>
        <w:gridCol w:w="673"/>
      </w:tblGrid>
      <w:tr w:rsidR="00EA40A3">
        <w:trPr>
          <w:trHeight w:val="650"/>
        </w:trPr>
        <w:tc>
          <w:tcPr>
            <w:tcW w:w="1020" w:type="dxa"/>
            <w:vMerge w:val="restart"/>
            <w:tcBorders>
              <w:left w:val="nil"/>
              <w:bottom w:val="nil"/>
              <w:right w:val="nil"/>
            </w:tcBorders>
          </w:tcPr>
          <w:p w:rsidR="00EA40A3" w:rsidRDefault="00EA40A3">
            <w:pPr>
              <w:spacing w:line="334" w:lineRule="auto"/>
            </w:pPr>
          </w:p>
          <w:p w:rsidR="00EA40A3" w:rsidRDefault="00E86C16">
            <w:pPr>
              <w:spacing w:before="55" w:line="219" w:lineRule="auto"/>
              <w:ind w:left="159"/>
              <w:rPr>
                <w:rFonts w:ascii="宋体" w:eastAsia="宋体" w:hAnsi="宋体" w:cs="宋体"/>
                <w:sz w:val="17"/>
                <w:szCs w:val="17"/>
              </w:rPr>
            </w:pPr>
            <w:r>
              <w:rPr>
                <w:rFonts w:ascii="宋体" w:eastAsia="宋体" w:hAnsi="宋体" w:cs="宋体"/>
                <w:spacing w:val="7"/>
                <w:sz w:val="17"/>
                <w:szCs w:val="17"/>
              </w:rPr>
              <w:t>年龄(岁)</w:t>
            </w:r>
          </w:p>
        </w:tc>
        <w:tc>
          <w:tcPr>
            <w:tcW w:w="1216" w:type="dxa"/>
            <w:gridSpan w:val="2"/>
            <w:tcBorders>
              <w:left w:val="nil"/>
              <w:right w:val="nil"/>
            </w:tcBorders>
          </w:tcPr>
          <w:p w:rsidR="00EA40A3" w:rsidRDefault="00E86C16">
            <w:pPr>
              <w:spacing w:before="152" w:line="219" w:lineRule="auto"/>
              <w:ind w:left="280"/>
              <w:rPr>
                <w:rFonts w:ascii="宋体" w:eastAsia="宋体" w:hAnsi="宋体" w:cs="宋体"/>
                <w:sz w:val="17"/>
                <w:szCs w:val="17"/>
              </w:rPr>
            </w:pPr>
            <w:r>
              <w:rPr>
                <w:rFonts w:ascii="宋体" w:eastAsia="宋体" w:hAnsi="宋体" w:cs="宋体"/>
                <w:spacing w:val="-3"/>
                <w:sz w:val="17"/>
                <w:szCs w:val="17"/>
              </w:rPr>
              <w:t>维生素A</w:t>
            </w:r>
          </w:p>
          <w:p w:rsidR="00EA40A3" w:rsidRDefault="00E86C16">
            <w:pPr>
              <w:spacing w:before="62" w:line="214" w:lineRule="auto"/>
              <w:ind w:left="139"/>
              <w:rPr>
                <w:rFonts w:ascii="宋体" w:eastAsia="宋体" w:hAnsi="宋体" w:cs="宋体"/>
                <w:sz w:val="17"/>
                <w:szCs w:val="17"/>
              </w:rPr>
            </w:pPr>
            <w:r>
              <w:rPr>
                <w:rFonts w:ascii="宋体" w:eastAsia="宋体" w:hAnsi="宋体" w:cs="宋体"/>
                <w:spacing w:val="-2"/>
                <w:sz w:val="17"/>
                <w:szCs w:val="17"/>
              </w:rPr>
              <w:t>/(μg</w:t>
            </w:r>
            <w:r>
              <w:rPr>
                <w:rFonts w:ascii="宋体" w:eastAsia="宋体" w:hAnsi="宋体" w:cs="宋体"/>
                <w:spacing w:val="50"/>
                <w:sz w:val="17"/>
                <w:szCs w:val="17"/>
              </w:rPr>
              <w:t xml:space="preserve"> </w:t>
            </w:r>
            <w:r>
              <w:rPr>
                <w:rFonts w:ascii="宋体" w:eastAsia="宋体" w:hAnsi="宋体" w:cs="宋体"/>
                <w:spacing w:val="-2"/>
                <w:sz w:val="17"/>
                <w:szCs w:val="17"/>
              </w:rPr>
              <w:t>RE/d)</w:t>
            </w:r>
          </w:p>
        </w:tc>
        <w:tc>
          <w:tcPr>
            <w:tcW w:w="1225" w:type="dxa"/>
            <w:gridSpan w:val="2"/>
            <w:tcBorders>
              <w:left w:val="nil"/>
              <w:right w:val="nil"/>
            </w:tcBorders>
          </w:tcPr>
          <w:p w:rsidR="00EA40A3" w:rsidRDefault="00E86C16">
            <w:pPr>
              <w:spacing w:before="141" w:line="256" w:lineRule="auto"/>
              <w:ind w:left="313" w:right="236" w:firstLine="10"/>
              <w:rPr>
                <w:rFonts w:ascii="宋体" w:eastAsia="宋体" w:hAnsi="宋体" w:cs="宋体"/>
                <w:sz w:val="17"/>
                <w:szCs w:val="17"/>
              </w:rPr>
            </w:pPr>
            <w:r>
              <w:rPr>
                <w:rFonts w:ascii="宋体" w:eastAsia="宋体" w:hAnsi="宋体" w:cs="宋体"/>
                <w:spacing w:val="-3"/>
                <w:sz w:val="17"/>
                <w:szCs w:val="17"/>
              </w:rPr>
              <w:t>维生素D</w:t>
            </w:r>
            <w:r>
              <w:rPr>
                <w:rFonts w:ascii="宋体" w:eastAsia="宋体" w:hAnsi="宋体" w:cs="宋体"/>
                <w:sz w:val="17"/>
                <w:szCs w:val="17"/>
              </w:rPr>
              <w:t xml:space="preserve">  </w:t>
            </w:r>
            <w:r>
              <w:rPr>
                <w:rFonts w:ascii="宋体" w:eastAsia="宋体" w:hAnsi="宋体" w:cs="宋体"/>
                <w:spacing w:val="-1"/>
                <w:sz w:val="17"/>
                <w:szCs w:val="17"/>
              </w:rPr>
              <w:t>/(μg/d)</w:t>
            </w:r>
          </w:p>
        </w:tc>
        <w:tc>
          <w:tcPr>
            <w:tcW w:w="1264" w:type="dxa"/>
            <w:gridSpan w:val="2"/>
            <w:tcBorders>
              <w:left w:val="nil"/>
              <w:right w:val="nil"/>
            </w:tcBorders>
          </w:tcPr>
          <w:p w:rsidR="00EA40A3" w:rsidRDefault="00E86C16">
            <w:pPr>
              <w:spacing w:before="151" w:line="245" w:lineRule="auto"/>
              <w:ind w:left="328" w:right="190" w:firstLine="10"/>
              <w:rPr>
                <w:rFonts w:ascii="宋体" w:eastAsia="宋体" w:hAnsi="宋体" w:cs="宋体"/>
                <w:sz w:val="17"/>
                <w:szCs w:val="17"/>
              </w:rPr>
            </w:pPr>
            <w:r>
              <w:rPr>
                <w:rFonts w:ascii="宋体" w:eastAsia="宋体" w:hAnsi="宋体" w:cs="宋体"/>
                <w:spacing w:val="19"/>
                <w:sz w:val="17"/>
                <w:szCs w:val="17"/>
              </w:rPr>
              <w:t>维生素B</w:t>
            </w:r>
            <w:r>
              <w:rPr>
                <w:rFonts w:ascii="Calibri" w:eastAsia="Calibri" w:hAnsi="Calibri" w:cs="Calibri"/>
                <w:spacing w:val="19"/>
                <w:sz w:val="17"/>
                <w:szCs w:val="17"/>
              </w:rPr>
              <w:t>₁</w:t>
            </w:r>
            <w:r>
              <w:rPr>
                <w:rFonts w:ascii="Calibri" w:eastAsia="Calibri" w:hAnsi="Calibri" w:cs="Calibri"/>
                <w:spacing w:val="2"/>
                <w:sz w:val="17"/>
                <w:szCs w:val="17"/>
              </w:rPr>
              <w:t xml:space="preserve"> </w:t>
            </w:r>
            <w:r>
              <w:rPr>
                <w:rFonts w:ascii="宋体" w:eastAsia="宋体" w:hAnsi="宋体" w:cs="宋体"/>
                <w:spacing w:val="-1"/>
                <w:sz w:val="17"/>
                <w:szCs w:val="17"/>
              </w:rPr>
              <w:t>/(mg/d)</w:t>
            </w:r>
          </w:p>
        </w:tc>
        <w:tc>
          <w:tcPr>
            <w:tcW w:w="1255" w:type="dxa"/>
            <w:tcBorders>
              <w:left w:val="nil"/>
              <w:right w:val="nil"/>
            </w:tcBorders>
          </w:tcPr>
          <w:p w:rsidR="00EA40A3" w:rsidRDefault="00E86C16">
            <w:pPr>
              <w:spacing w:before="141" w:line="245" w:lineRule="auto"/>
              <w:ind w:left="315" w:right="174" w:firstLine="29"/>
              <w:rPr>
                <w:rFonts w:ascii="宋体" w:eastAsia="宋体" w:hAnsi="宋体" w:cs="宋体"/>
                <w:sz w:val="17"/>
                <w:szCs w:val="17"/>
              </w:rPr>
            </w:pPr>
            <w:r>
              <w:rPr>
                <w:rFonts w:ascii="宋体" w:eastAsia="宋体" w:hAnsi="宋体" w:cs="宋体"/>
                <w:spacing w:val="16"/>
                <w:sz w:val="17"/>
                <w:szCs w:val="17"/>
              </w:rPr>
              <w:t>维生素B</w:t>
            </w:r>
            <w:r>
              <w:rPr>
                <w:rFonts w:ascii="Calibri" w:eastAsia="Calibri" w:hAnsi="Calibri" w:cs="Calibri"/>
                <w:spacing w:val="16"/>
                <w:sz w:val="17"/>
                <w:szCs w:val="17"/>
              </w:rPr>
              <w:t>₂</w:t>
            </w:r>
            <w:r>
              <w:rPr>
                <w:rFonts w:ascii="Calibri" w:eastAsia="Calibri" w:hAnsi="Calibri" w:cs="Calibri"/>
                <w:spacing w:val="2"/>
                <w:sz w:val="17"/>
                <w:szCs w:val="17"/>
              </w:rPr>
              <w:t xml:space="preserve"> </w:t>
            </w:r>
            <w:r>
              <w:rPr>
                <w:rFonts w:ascii="宋体" w:eastAsia="宋体" w:hAnsi="宋体" w:cs="宋体"/>
                <w:spacing w:val="-1"/>
                <w:sz w:val="17"/>
                <w:szCs w:val="17"/>
              </w:rPr>
              <w:t>/(mg/d)</w:t>
            </w:r>
          </w:p>
        </w:tc>
        <w:tc>
          <w:tcPr>
            <w:tcW w:w="1339" w:type="dxa"/>
            <w:gridSpan w:val="2"/>
            <w:tcBorders>
              <w:left w:val="nil"/>
              <w:right w:val="nil"/>
            </w:tcBorders>
          </w:tcPr>
          <w:p w:rsidR="00EA40A3" w:rsidRDefault="00E86C16">
            <w:pPr>
              <w:spacing w:before="141" w:line="265" w:lineRule="exact"/>
              <w:ind w:left="369"/>
              <w:rPr>
                <w:rFonts w:ascii="宋体" w:eastAsia="宋体" w:hAnsi="宋体" w:cs="宋体"/>
                <w:sz w:val="17"/>
                <w:szCs w:val="17"/>
              </w:rPr>
            </w:pPr>
            <w:r>
              <w:rPr>
                <w:rFonts w:ascii="宋体" w:eastAsia="宋体" w:hAnsi="宋体" w:cs="宋体"/>
                <w:spacing w:val="-3"/>
                <w:position w:val="7"/>
                <w:sz w:val="17"/>
                <w:szCs w:val="17"/>
              </w:rPr>
              <w:t>维生素C</w:t>
            </w:r>
          </w:p>
          <w:p w:rsidR="00EA40A3" w:rsidRDefault="00E86C16">
            <w:pPr>
              <w:spacing w:line="213" w:lineRule="auto"/>
              <w:ind w:left="349"/>
              <w:rPr>
                <w:rFonts w:ascii="宋体" w:eastAsia="宋体" w:hAnsi="宋体" w:cs="宋体"/>
                <w:sz w:val="17"/>
                <w:szCs w:val="17"/>
              </w:rPr>
            </w:pPr>
            <w:r>
              <w:rPr>
                <w:rFonts w:ascii="宋体" w:eastAsia="宋体" w:hAnsi="宋体" w:cs="宋体"/>
                <w:spacing w:val="-1"/>
                <w:sz w:val="17"/>
                <w:szCs w:val="17"/>
              </w:rPr>
              <w:t>/(mg/d)</w:t>
            </w:r>
          </w:p>
        </w:tc>
      </w:tr>
      <w:tr w:rsidR="00EA40A3">
        <w:trPr>
          <w:trHeight w:val="288"/>
        </w:trPr>
        <w:tc>
          <w:tcPr>
            <w:tcW w:w="1020" w:type="dxa"/>
            <w:vMerge/>
            <w:tcBorders>
              <w:top w:val="nil"/>
              <w:left w:val="nil"/>
              <w:right w:val="nil"/>
            </w:tcBorders>
          </w:tcPr>
          <w:p w:rsidR="00EA40A3" w:rsidRDefault="00EA40A3"/>
        </w:tc>
        <w:tc>
          <w:tcPr>
            <w:tcW w:w="559" w:type="dxa"/>
            <w:tcBorders>
              <w:left w:val="nil"/>
              <w:right w:val="nil"/>
            </w:tcBorders>
          </w:tcPr>
          <w:p w:rsidR="00EA40A3" w:rsidRDefault="00E86C16">
            <w:pPr>
              <w:spacing w:before="126" w:line="175" w:lineRule="auto"/>
              <w:ind w:left="139"/>
              <w:rPr>
                <w:rFonts w:ascii="宋体" w:eastAsia="宋体" w:hAnsi="宋体" w:cs="宋体"/>
                <w:sz w:val="17"/>
                <w:szCs w:val="17"/>
              </w:rPr>
            </w:pPr>
            <w:r>
              <w:rPr>
                <w:rFonts w:ascii="宋体" w:eastAsia="宋体" w:hAnsi="宋体" w:cs="宋体"/>
                <w:spacing w:val="-2"/>
                <w:sz w:val="17"/>
                <w:szCs w:val="17"/>
              </w:rPr>
              <w:t>RNI</w:t>
            </w:r>
          </w:p>
        </w:tc>
        <w:tc>
          <w:tcPr>
            <w:tcW w:w="657" w:type="dxa"/>
            <w:tcBorders>
              <w:left w:val="nil"/>
              <w:right w:val="nil"/>
            </w:tcBorders>
          </w:tcPr>
          <w:p w:rsidR="00EA40A3" w:rsidRDefault="00E86C16">
            <w:pPr>
              <w:spacing w:before="135" w:line="166" w:lineRule="auto"/>
              <w:ind w:left="240"/>
              <w:rPr>
                <w:rFonts w:ascii="宋体" w:eastAsia="宋体" w:hAnsi="宋体" w:cs="宋体"/>
                <w:sz w:val="17"/>
                <w:szCs w:val="17"/>
              </w:rPr>
            </w:pPr>
            <w:r>
              <w:rPr>
                <w:rFonts w:ascii="宋体" w:eastAsia="宋体" w:hAnsi="宋体" w:cs="宋体"/>
                <w:spacing w:val="2"/>
                <w:sz w:val="17"/>
                <w:szCs w:val="17"/>
              </w:rPr>
              <w:t>U1.</w:t>
            </w:r>
          </w:p>
        </w:tc>
        <w:tc>
          <w:tcPr>
            <w:tcW w:w="621" w:type="dxa"/>
            <w:tcBorders>
              <w:left w:val="nil"/>
              <w:right w:val="nil"/>
            </w:tcBorders>
          </w:tcPr>
          <w:p w:rsidR="00EA40A3" w:rsidRDefault="00E86C16">
            <w:pPr>
              <w:spacing w:before="126" w:line="175" w:lineRule="auto"/>
              <w:ind w:left="163"/>
              <w:rPr>
                <w:rFonts w:ascii="宋体" w:eastAsia="宋体" w:hAnsi="宋体" w:cs="宋体"/>
                <w:sz w:val="17"/>
                <w:szCs w:val="17"/>
              </w:rPr>
            </w:pPr>
            <w:r>
              <w:rPr>
                <w:rFonts w:ascii="宋体" w:eastAsia="宋体" w:hAnsi="宋体" w:cs="宋体"/>
                <w:spacing w:val="-2"/>
                <w:sz w:val="17"/>
                <w:szCs w:val="17"/>
              </w:rPr>
              <w:t>RNI</w:t>
            </w:r>
          </w:p>
        </w:tc>
        <w:tc>
          <w:tcPr>
            <w:tcW w:w="604" w:type="dxa"/>
            <w:tcBorders>
              <w:left w:val="nil"/>
              <w:right w:val="nil"/>
            </w:tcBorders>
          </w:tcPr>
          <w:p w:rsidR="00EA40A3" w:rsidRDefault="00E86C16">
            <w:pPr>
              <w:spacing w:before="136" w:line="164" w:lineRule="auto"/>
              <w:ind w:left="222"/>
              <w:rPr>
                <w:rFonts w:ascii="宋体" w:eastAsia="宋体" w:hAnsi="宋体" w:cs="宋体"/>
                <w:sz w:val="17"/>
                <w:szCs w:val="17"/>
              </w:rPr>
            </w:pPr>
            <w:r>
              <w:rPr>
                <w:rFonts w:ascii="宋体" w:eastAsia="宋体" w:hAnsi="宋体" w:cs="宋体"/>
                <w:spacing w:val="-1"/>
                <w:sz w:val="17"/>
                <w:szCs w:val="17"/>
              </w:rPr>
              <w:t>UI</w:t>
            </w:r>
          </w:p>
        </w:tc>
        <w:tc>
          <w:tcPr>
            <w:tcW w:w="677" w:type="dxa"/>
            <w:tcBorders>
              <w:left w:val="nil"/>
              <w:right w:val="nil"/>
            </w:tcBorders>
          </w:tcPr>
          <w:p w:rsidR="00EA40A3" w:rsidRDefault="00E86C16">
            <w:pPr>
              <w:spacing w:before="126" w:line="175" w:lineRule="auto"/>
              <w:ind w:left="209"/>
              <w:rPr>
                <w:rFonts w:ascii="宋体" w:eastAsia="宋体" w:hAnsi="宋体" w:cs="宋体"/>
                <w:sz w:val="17"/>
                <w:szCs w:val="17"/>
              </w:rPr>
            </w:pPr>
            <w:r>
              <w:rPr>
                <w:rFonts w:ascii="宋体" w:eastAsia="宋体" w:hAnsi="宋体" w:cs="宋体"/>
                <w:spacing w:val="-2"/>
                <w:sz w:val="17"/>
                <w:szCs w:val="17"/>
              </w:rPr>
              <w:t>RNI</w:t>
            </w:r>
          </w:p>
        </w:tc>
        <w:tc>
          <w:tcPr>
            <w:tcW w:w="587" w:type="dxa"/>
            <w:tcBorders>
              <w:left w:val="nil"/>
              <w:right w:val="nil"/>
            </w:tcBorders>
          </w:tcPr>
          <w:p w:rsidR="00EA40A3" w:rsidRDefault="00E86C16">
            <w:pPr>
              <w:spacing w:before="136" w:line="164" w:lineRule="auto"/>
              <w:ind w:left="201"/>
              <w:rPr>
                <w:rFonts w:ascii="宋体" w:eastAsia="宋体" w:hAnsi="宋体" w:cs="宋体"/>
                <w:sz w:val="17"/>
                <w:szCs w:val="17"/>
              </w:rPr>
            </w:pPr>
            <w:r>
              <w:rPr>
                <w:rFonts w:ascii="宋体" w:eastAsia="宋体" w:hAnsi="宋体" w:cs="宋体"/>
                <w:spacing w:val="-1"/>
                <w:sz w:val="17"/>
                <w:szCs w:val="17"/>
              </w:rPr>
              <w:t>UI</w:t>
            </w:r>
          </w:p>
        </w:tc>
        <w:tc>
          <w:tcPr>
            <w:tcW w:w="1255" w:type="dxa"/>
            <w:tcBorders>
              <w:left w:val="nil"/>
              <w:right w:val="nil"/>
            </w:tcBorders>
          </w:tcPr>
          <w:p w:rsidR="00EA40A3" w:rsidRDefault="00E86C16">
            <w:pPr>
              <w:spacing w:before="116" w:line="186" w:lineRule="auto"/>
              <w:ind w:left="205"/>
              <w:rPr>
                <w:rFonts w:ascii="宋体" w:eastAsia="宋体" w:hAnsi="宋体" w:cs="宋体"/>
                <w:sz w:val="17"/>
                <w:szCs w:val="17"/>
              </w:rPr>
            </w:pPr>
            <w:r>
              <w:rPr>
                <w:rFonts w:ascii="宋体" w:eastAsia="宋体" w:hAnsi="宋体" w:cs="宋体"/>
                <w:spacing w:val="-2"/>
                <w:sz w:val="17"/>
                <w:szCs w:val="17"/>
              </w:rPr>
              <w:t>RNI</w:t>
            </w:r>
            <w:r>
              <w:rPr>
                <w:rFonts w:ascii="宋体" w:eastAsia="宋体" w:hAnsi="宋体" w:cs="宋体"/>
                <w:spacing w:val="20"/>
                <w:sz w:val="17"/>
                <w:szCs w:val="17"/>
              </w:rPr>
              <w:t xml:space="preserve">    </w:t>
            </w:r>
            <w:r>
              <w:rPr>
                <w:rFonts w:ascii="宋体" w:eastAsia="宋体" w:hAnsi="宋体" w:cs="宋体"/>
                <w:spacing w:val="-2"/>
                <w:sz w:val="17"/>
                <w:szCs w:val="17"/>
              </w:rPr>
              <w:t>UL</w:t>
            </w:r>
          </w:p>
        </w:tc>
        <w:tc>
          <w:tcPr>
            <w:tcW w:w="666" w:type="dxa"/>
            <w:tcBorders>
              <w:left w:val="nil"/>
              <w:right w:val="nil"/>
            </w:tcBorders>
          </w:tcPr>
          <w:p w:rsidR="00EA40A3" w:rsidRDefault="00E86C16">
            <w:pPr>
              <w:spacing w:before="136" w:line="164" w:lineRule="auto"/>
              <w:ind w:left="219"/>
              <w:rPr>
                <w:rFonts w:ascii="宋体" w:eastAsia="宋体" w:hAnsi="宋体" w:cs="宋体"/>
                <w:sz w:val="17"/>
                <w:szCs w:val="17"/>
              </w:rPr>
            </w:pPr>
            <w:r>
              <w:rPr>
                <w:rFonts w:ascii="宋体" w:eastAsia="宋体" w:hAnsi="宋体" w:cs="宋体"/>
                <w:spacing w:val="-2"/>
                <w:sz w:val="17"/>
                <w:szCs w:val="17"/>
              </w:rPr>
              <w:t>RNI</w:t>
            </w:r>
          </w:p>
        </w:tc>
        <w:tc>
          <w:tcPr>
            <w:tcW w:w="673" w:type="dxa"/>
            <w:tcBorders>
              <w:left w:val="nil"/>
              <w:right w:val="nil"/>
            </w:tcBorders>
          </w:tcPr>
          <w:p w:rsidR="00EA40A3" w:rsidRDefault="00E86C16">
            <w:pPr>
              <w:spacing w:before="135" w:line="166" w:lineRule="auto"/>
              <w:ind w:left="233"/>
              <w:rPr>
                <w:rFonts w:ascii="宋体" w:eastAsia="宋体" w:hAnsi="宋体" w:cs="宋体"/>
                <w:sz w:val="17"/>
                <w:szCs w:val="17"/>
              </w:rPr>
            </w:pPr>
            <w:r>
              <w:rPr>
                <w:rFonts w:ascii="宋体" w:eastAsia="宋体" w:hAnsi="宋体" w:cs="宋体"/>
                <w:spacing w:val="2"/>
                <w:sz w:val="17"/>
                <w:szCs w:val="17"/>
              </w:rPr>
              <w:t>U1.</w:t>
            </w:r>
          </w:p>
        </w:tc>
      </w:tr>
      <w:tr w:rsidR="00EA40A3">
        <w:trPr>
          <w:trHeight w:val="298"/>
        </w:trPr>
        <w:tc>
          <w:tcPr>
            <w:tcW w:w="1020" w:type="dxa"/>
            <w:tcBorders>
              <w:left w:val="nil"/>
              <w:right w:val="nil"/>
            </w:tcBorders>
          </w:tcPr>
          <w:p w:rsidR="00EA40A3" w:rsidRDefault="00E86C16">
            <w:pPr>
              <w:spacing w:before="167" w:line="130" w:lineRule="exact"/>
              <w:ind w:left="369"/>
              <w:rPr>
                <w:rFonts w:ascii="宋体" w:eastAsia="宋体" w:hAnsi="宋体" w:cs="宋体"/>
                <w:sz w:val="17"/>
                <w:szCs w:val="17"/>
              </w:rPr>
            </w:pPr>
            <w:r>
              <w:rPr>
                <w:rFonts w:ascii="宋体" w:eastAsia="宋体" w:hAnsi="宋体" w:cs="宋体"/>
                <w:spacing w:val="13"/>
                <w:w w:val="121"/>
                <w:position w:val="-3"/>
                <w:sz w:val="17"/>
                <w:szCs w:val="17"/>
              </w:rPr>
              <w:t>6~</w:t>
            </w:r>
          </w:p>
        </w:tc>
        <w:tc>
          <w:tcPr>
            <w:tcW w:w="559" w:type="dxa"/>
            <w:tcBorders>
              <w:left w:val="nil"/>
              <w:right w:val="nil"/>
            </w:tcBorders>
          </w:tcPr>
          <w:p w:rsidR="00EA40A3" w:rsidRDefault="00E86C16">
            <w:pPr>
              <w:spacing w:before="167" w:line="130" w:lineRule="exact"/>
              <w:ind w:left="150"/>
              <w:rPr>
                <w:rFonts w:ascii="宋体" w:eastAsia="宋体" w:hAnsi="宋体" w:cs="宋体"/>
                <w:sz w:val="17"/>
                <w:szCs w:val="17"/>
              </w:rPr>
            </w:pPr>
            <w:r>
              <w:rPr>
                <w:rFonts w:ascii="宋体" w:eastAsia="宋体" w:hAnsi="宋体" w:cs="宋体"/>
                <w:spacing w:val="-2"/>
                <w:position w:val="-2"/>
                <w:sz w:val="17"/>
                <w:szCs w:val="17"/>
              </w:rPr>
              <w:t>600</w:t>
            </w:r>
          </w:p>
        </w:tc>
        <w:tc>
          <w:tcPr>
            <w:tcW w:w="657" w:type="dxa"/>
            <w:tcBorders>
              <w:left w:val="nil"/>
              <w:right w:val="nil"/>
            </w:tcBorders>
          </w:tcPr>
          <w:p w:rsidR="00EA40A3" w:rsidRDefault="00E86C16">
            <w:pPr>
              <w:spacing w:before="157" w:line="140" w:lineRule="exact"/>
              <w:ind w:left="170"/>
              <w:rPr>
                <w:rFonts w:ascii="宋体" w:eastAsia="宋体" w:hAnsi="宋体" w:cs="宋体"/>
                <w:sz w:val="17"/>
                <w:szCs w:val="17"/>
              </w:rPr>
            </w:pPr>
            <w:r>
              <w:rPr>
                <w:rFonts w:ascii="宋体" w:eastAsia="宋体" w:hAnsi="宋体" w:cs="宋体"/>
                <w:spacing w:val="-2"/>
                <w:position w:val="-2"/>
                <w:sz w:val="17"/>
                <w:szCs w:val="17"/>
              </w:rPr>
              <w:t>2000</w:t>
            </w:r>
          </w:p>
        </w:tc>
        <w:tc>
          <w:tcPr>
            <w:tcW w:w="621" w:type="dxa"/>
            <w:tcBorders>
              <w:left w:val="nil"/>
              <w:right w:val="nil"/>
            </w:tcBorders>
          </w:tcPr>
          <w:p w:rsidR="00EA40A3" w:rsidRDefault="00E86C16">
            <w:pPr>
              <w:spacing w:before="167" w:line="130" w:lineRule="exact"/>
              <w:ind w:left="243"/>
              <w:rPr>
                <w:rFonts w:ascii="宋体" w:eastAsia="宋体" w:hAnsi="宋体" w:cs="宋体"/>
                <w:sz w:val="17"/>
                <w:szCs w:val="17"/>
              </w:rPr>
            </w:pPr>
            <w:r>
              <w:rPr>
                <w:rFonts w:ascii="宋体" w:eastAsia="宋体" w:hAnsi="宋体" w:cs="宋体"/>
                <w:spacing w:val="-5"/>
                <w:position w:val="-2"/>
                <w:sz w:val="17"/>
                <w:szCs w:val="17"/>
              </w:rPr>
              <w:t>10</w:t>
            </w:r>
          </w:p>
        </w:tc>
        <w:tc>
          <w:tcPr>
            <w:tcW w:w="604" w:type="dxa"/>
            <w:tcBorders>
              <w:left w:val="nil"/>
              <w:right w:val="nil"/>
            </w:tcBorders>
          </w:tcPr>
          <w:p w:rsidR="00EA40A3" w:rsidRDefault="00E86C16">
            <w:pPr>
              <w:spacing w:before="167" w:line="130" w:lineRule="exact"/>
              <w:ind w:left="242"/>
              <w:rPr>
                <w:rFonts w:ascii="宋体" w:eastAsia="宋体" w:hAnsi="宋体" w:cs="宋体"/>
                <w:sz w:val="17"/>
                <w:szCs w:val="17"/>
              </w:rPr>
            </w:pPr>
            <w:r>
              <w:rPr>
                <w:rFonts w:ascii="宋体" w:eastAsia="宋体" w:hAnsi="宋体" w:cs="宋体"/>
                <w:spacing w:val="-3"/>
                <w:position w:val="-2"/>
                <w:sz w:val="17"/>
                <w:szCs w:val="17"/>
              </w:rPr>
              <w:t>20</w:t>
            </w:r>
          </w:p>
        </w:tc>
        <w:tc>
          <w:tcPr>
            <w:tcW w:w="677" w:type="dxa"/>
            <w:tcBorders>
              <w:left w:val="nil"/>
              <w:right w:val="nil"/>
            </w:tcBorders>
          </w:tcPr>
          <w:p w:rsidR="00EA40A3" w:rsidRDefault="00E86C16">
            <w:pPr>
              <w:spacing w:before="117" w:line="183" w:lineRule="auto"/>
              <w:ind w:left="238"/>
              <w:rPr>
                <w:rFonts w:ascii="宋体" w:eastAsia="宋体" w:hAnsi="宋体" w:cs="宋体"/>
                <w:sz w:val="17"/>
                <w:szCs w:val="17"/>
              </w:rPr>
            </w:pPr>
            <w:r>
              <w:rPr>
                <w:rFonts w:ascii="宋体" w:eastAsia="宋体" w:hAnsi="宋体" w:cs="宋体"/>
                <w:spacing w:val="-2"/>
                <w:sz w:val="17"/>
                <w:szCs w:val="17"/>
              </w:rPr>
              <w:t>0.7</w:t>
            </w:r>
          </w:p>
        </w:tc>
        <w:tc>
          <w:tcPr>
            <w:tcW w:w="587" w:type="dxa"/>
            <w:tcBorders>
              <w:left w:val="nil"/>
              <w:right w:val="nil"/>
            </w:tcBorders>
          </w:tcPr>
          <w:p w:rsidR="00EA40A3" w:rsidRDefault="00E86C16">
            <w:pPr>
              <w:spacing w:before="117" w:line="183" w:lineRule="auto"/>
              <w:ind w:left="232"/>
              <w:rPr>
                <w:rFonts w:ascii="宋体" w:eastAsia="宋体" w:hAnsi="宋体" w:cs="宋体"/>
                <w:sz w:val="17"/>
                <w:szCs w:val="17"/>
              </w:rPr>
            </w:pPr>
            <w:r>
              <w:rPr>
                <w:rFonts w:ascii="宋体" w:eastAsia="宋体" w:hAnsi="宋体" w:cs="宋体"/>
                <w:spacing w:val="-3"/>
                <w:sz w:val="17"/>
                <w:szCs w:val="17"/>
              </w:rPr>
              <w:t>50</w:t>
            </w:r>
          </w:p>
        </w:tc>
        <w:tc>
          <w:tcPr>
            <w:tcW w:w="1255" w:type="dxa"/>
            <w:tcBorders>
              <w:left w:val="nil"/>
              <w:right w:val="nil"/>
            </w:tcBorders>
          </w:tcPr>
          <w:p w:rsidR="00EA40A3" w:rsidRDefault="00E86C16">
            <w:pPr>
              <w:spacing w:before="117" w:line="183" w:lineRule="auto"/>
              <w:ind w:left="234"/>
              <w:rPr>
                <w:rFonts w:ascii="宋体" w:eastAsia="宋体" w:hAnsi="宋体" w:cs="宋体"/>
                <w:sz w:val="17"/>
                <w:szCs w:val="17"/>
              </w:rPr>
            </w:pPr>
            <w:r>
              <w:rPr>
                <w:rFonts w:ascii="宋体" w:eastAsia="宋体" w:hAnsi="宋体" w:cs="宋体"/>
                <w:spacing w:val="-2"/>
                <w:sz w:val="17"/>
                <w:szCs w:val="17"/>
              </w:rPr>
              <w:t>0.7</w:t>
            </w:r>
          </w:p>
        </w:tc>
        <w:tc>
          <w:tcPr>
            <w:tcW w:w="666" w:type="dxa"/>
            <w:tcBorders>
              <w:left w:val="nil"/>
              <w:right w:val="nil"/>
            </w:tcBorders>
          </w:tcPr>
          <w:p w:rsidR="00EA40A3" w:rsidRDefault="00E86C16">
            <w:pPr>
              <w:spacing w:before="117" w:line="183" w:lineRule="auto"/>
              <w:ind w:left="280"/>
              <w:rPr>
                <w:rFonts w:ascii="宋体" w:eastAsia="宋体" w:hAnsi="宋体" w:cs="宋体"/>
                <w:sz w:val="17"/>
                <w:szCs w:val="17"/>
              </w:rPr>
            </w:pPr>
            <w:r>
              <w:rPr>
                <w:rFonts w:ascii="宋体" w:eastAsia="宋体" w:hAnsi="宋体" w:cs="宋体"/>
                <w:spacing w:val="-3"/>
                <w:sz w:val="17"/>
                <w:szCs w:val="17"/>
              </w:rPr>
              <w:t>70</w:t>
            </w:r>
          </w:p>
        </w:tc>
        <w:tc>
          <w:tcPr>
            <w:tcW w:w="673" w:type="dxa"/>
            <w:tcBorders>
              <w:left w:val="nil"/>
              <w:right w:val="nil"/>
            </w:tcBorders>
          </w:tcPr>
          <w:p w:rsidR="00EA40A3" w:rsidRDefault="00E86C16">
            <w:pPr>
              <w:spacing w:before="117" w:line="183" w:lineRule="auto"/>
              <w:ind w:left="213"/>
              <w:rPr>
                <w:rFonts w:ascii="宋体" w:eastAsia="宋体" w:hAnsi="宋体" w:cs="宋体"/>
                <w:sz w:val="17"/>
                <w:szCs w:val="17"/>
              </w:rPr>
            </w:pPr>
            <w:r>
              <w:rPr>
                <w:rFonts w:ascii="宋体" w:eastAsia="宋体" w:hAnsi="宋体" w:cs="宋体"/>
                <w:spacing w:val="-3"/>
                <w:sz w:val="17"/>
                <w:szCs w:val="17"/>
              </w:rPr>
              <w:t>700</w:t>
            </w:r>
          </w:p>
        </w:tc>
      </w:tr>
      <w:tr w:rsidR="00EA40A3">
        <w:trPr>
          <w:trHeight w:val="313"/>
        </w:trPr>
        <w:tc>
          <w:tcPr>
            <w:tcW w:w="1020" w:type="dxa"/>
            <w:tcBorders>
              <w:left w:val="nil"/>
              <w:right w:val="nil"/>
            </w:tcBorders>
          </w:tcPr>
          <w:p w:rsidR="00EA40A3" w:rsidRDefault="00E86C16">
            <w:pPr>
              <w:spacing w:before="118" w:line="184" w:lineRule="auto"/>
              <w:ind w:left="289"/>
              <w:rPr>
                <w:rFonts w:ascii="宋体" w:eastAsia="宋体" w:hAnsi="宋体" w:cs="宋体"/>
                <w:sz w:val="17"/>
                <w:szCs w:val="17"/>
              </w:rPr>
            </w:pPr>
            <w:r>
              <w:rPr>
                <w:rFonts w:ascii="宋体" w:eastAsia="宋体" w:hAnsi="宋体" w:cs="宋体"/>
                <w:spacing w:val="-3"/>
                <w:sz w:val="17"/>
                <w:szCs w:val="17"/>
              </w:rPr>
              <w:t>7～10</w:t>
            </w:r>
          </w:p>
        </w:tc>
        <w:tc>
          <w:tcPr>
            <w:tcW w:w="559" w:type="dxa"/>
            <w:tcBorders>
              <w:left w:val="nil"/>
              <w:right w:val="nil"/>
            </w:tcBorders>
          </w:tcPr>
          <w:p w:rsidR="00EA40A3" w:rsidRDefault="00E86C16">
            <w:pPr>
              <w:spacing w:before="119" w:line="183" w:lineRule="auto"/>
              <w:ind w:left="150"/>
              <w:rPr>
                <w:rFonts w:ascii="宋体" w:eastAsia="宋体" w:hAnsi="宋体" w:cs="宋体"/>
                <w:sz w:val="17"/>
                <w:szCs w:val="17"/>
              </w:rPr>
            </w:pPr>
            <w:r>
              <w:rPr>
                <w:rFonts w:ascii="宋体" w:eastAsia="宋体" w:hAnsi="宋体" w:cs="宋体"/>
                <w:spacing w:val="-3"/>
                <w:sz w:val="17"/>
                <w:szCs w:val="17"/>
              </w:rPr>
              <w:t>700</w:t>
            </w:r>
          </w:p>
        </w:tc>
        <w:tc>
          <w:tcPr>
            <w:tcW w:w="657" w:type="dxa"/>
            <w:tcBorders>
              <w:left w:val="nil"/>
              <w:right w:val="nil"/>
            </w:tcBorders>
          </w:tcPr>
          <w:p w:rsidR="00EA40A3" w:rsidRDefault="00E86C16">
            <w:pPr>
              <w:spacing w:before="119" w:line="183" w:lineRule="auto"/>
              <w:ind w:left="170"/>
              <w:rPr>
                <w:rFonts w:ascii="宋体" w:eastAsia="宋体" w:hAnsi="宋体" w:cs="宋体"/>
                <w:sz w:val="17"/>
                <w:szCs w:val="17"/>
              </w:rPr>
            </w:pPr>
            <w:r>
              <w:rPr>
                <w:rFonts w:ascii="宋体" w:eastAsia="宋体" w:hAnsi="宋体" w:cs="宋体"/>
                <w:spacing w:val="-2"/>
                <w:sz w:val="17"/>
                <w:szCs w:val="17"/>
              </w:rPr>
              <w:t>2000</w:t>
            </w:r>
          </w:p>
        </w:tc>
        <w:tc>
          <w:tcPr>
            <w:tcW w:w="621" w:type="dxa"/>
            <w:tcBorders>
              <w:left w:val="nil"/>
              <w:right w:val="nil"/>
            </w:tcBorders>
          </w:tcPr>
          <w:p w:rsidR="00EA40A3" w:rsidRDefault="00E86C16">
            <w:pPr>
              <w:spacing w:before="118" w:line="184" w:lineRule="auto"/>
              <w:ind w:left="243"/>
              <w:rPr>
                <w:rFonts w:ascii="宋体" w:eastAsia="宋体" w:hAnsi="宋体" w:cs="宋体"/>
                <w:sz w:val="17"/>
                <w:szCs w:val="17"/>
              </w:rPr>
            </w:pPr>
            <w:r>
              <w:rPr>
                <w:rFonts w:ascii="宋体" w:eastAsia="宋体" w:hAnsi="宋体" w:cs="宋体"/>
                <w:spacing w:val="-5"/>
                <w:sz w:val="17"/>
                <w:szCs w:val="17"/>
              </w:rPr>
              <w:t>10</w:t>
            </w:r>
          </w:p>
        </w:tc>
        <w:tc>
          <w:tcPr>
            <w:tcW w:w="604" w:type="dxa"/>
            <w:tcBorders>
              <w:left w:val="nil"/>
              <w:right w:val="nil"/>
            </w:tcBorders>
          </w:tcPr>
          <w:p w:rsidR="00EA40A3" w:rsidRDefault="00E86C16">
            <w:pPr>
              <w:spacing w:before="119" w:line="183" w:lineRule="auto"/>
              <w:ind w:left="242"/>
              <w:rPr>
                <w:rFonts w:ascii="宋体" w:eastAsia="宋体" w:hAnsi="宋体" w:cs="宋体"/>
                <w:sz w:val="17"/>
                <w:szCs w:val="17"/>
              </w:rPr>
            </w:pPr>
            <w:r>
              <w:rPr>
                <w:rFonts w:ascii="宋体" w:eastAsia="宋体" w:hAnsi="宋体" w:cs="宋体"/>
                <w:spacing w:val="-3"/>
                <w:sz w:val="17"/>
                <w:szCs w:val="17"/>
              </w:rPr>
              <w:t>20</w:t>
            </w:r>
          </w:p>
        </w:tc>
        <w:tc>
          <w:tcPr>
            <w:tcW w:w="677" w:type="dxa"/>
            <w:tcBorders>
              <w:left w:val="nil"/>
              <w:right w:val="nil"/>
            </w:tcBorders>
          </w:tcPr>
          <w:p w:rsidR="00EA40A3" w:rsidRDefault="00E86C16">
            <w:pPr>
              <w:spacing w:before="119" w:line="183" w:lineRule="auto"/>
              <w:ind w:left="238"/>
              <w:rPr>
                <w:rFonts w:ascii="宋体" w:eastAsia="宋体" w:hAnsi="宋体" w:cs="宋体"/>
                <w:sz w:val="17"/>
                <w:szCs w:val="17"/>
              </w:rPr>
            </w:pPr>
            <w:r>
              <w:rPr>
                <w:rFonts w:ascii="宋体" w:eastAsia="宋体" w:hAnsi="宋体" w:cs="宋体"/>
                <w:spacing w:val="-2"/>
                <w:sz w:val="17"/>
                <w:szCs w:val="17"/>
              </w:rPr>
              <w:t>0.9</w:t>
            </w:r>
          </w:p>
        </w:tc>
        <w:tc>
          <w:tcPr>
            <w:tcW w:w="587" w:type="dxa"/>
            <w:tcBorders>
              <w:left w:val="nil"/>
              <w:right w:val="nil"/>
            </w:tcBorders>
          </w:tcPr>
          <w:p w:rsidR="00EA40A3" w:rsidRDefault="00E86C16">
            <w:pPr>
              <w:spacing w:before="119" w:line="183" w:lineRule="auto"/>
              <w:ind w:left="232"/>
              <w:rPr>
                <w:rFonts w:ascii="宋体" w:eastAsia="宋体" w:hAnsi="宋体" w:cs="宋体"/>
                <w:sz w:val="17"/>
                <w:szCs w:val="17"/>
              </w:rPr>
            </w:pPr>
            <w:r>
              <w:rPr>
                <w:rFonts w:ascii="宋体" w:eastAsia="宋体" w:hAnsi="宋体" w:cs="宋体"/>
                <w:spacing w:val="-3"/>
                <w:sz w:val="17"/>
                <w:szCs w:val="17"/>
              </w:rPr>
              <w:t>50</w:t>
            </w:r>
          </w:p>
        </w:tc>
        <w:tc>
          <w:tcPr>
            <w:tcW w:w="1255" w:type="dxa"/>
            <w:tcBorders>
              <w:left w:val="nil"/>
              <w:right w:val="nil"/>
            </w:tcBorders>
          </w:tcPr>
          <w:p w:rsidR="00EA40A3" w:rsidRDefault="00E86C16">
            <w:pPr>
              <w:spacing w:before="118" w:line="184" w:lineRule="auto"/>
              <w:ind w:left="234"/>
              <w:rPr>
                <w:rFonts w:ascii="宋体" w:eastAsia="宋体" w:hAnsi="宋体" w:cs="宋体"/>
                <w:sz w:val="17"/>
                <w:szCs w:val="17"/>
              </w:rPr>
            </w:pPr>
            <w:r>
              <w:rPr>
                <w:rFonts w:ascii="宋体" w:eastAsia="宋体" w:hAnsi="宋体" w:cs="宋体"/>
                <w:spacing w:val="-5"/>
                <w:sz w:val="17"/>
                <w:szCs w:val="17"/>
              </w:rPr>
              <w:t>1.0</w:t>
            </w:r>
          </w:p>
        </w:tc>
        <w:tc>
          <w:tcPr>
            <w:tcW w:w="666" w:type="dxa"/>
            <w:tcBorders>
              <w:left w:val="nil"/>
              <w:right w:val="nil"/>
            </w:tcBorders>
          </w:tcPr>
          <w:p w:rsidR="00EA40A3" w:rsidRDefault="00E86C16">
            <w:pPr>
              <w:spacing w:before="119" w:line="183" w:lineRule="auto"/>
              <w:ind w:left="280"/>
              <w:rPr>
                <w:rFonts w:ascii="宋体" w:eastAsia="宋体" w:hAnsi="宋体" w:cs="宋体"/>
                <w:sz w:val="17"/>
                <w:szCs w:val="17"/>
              </w:rPr>
            </w:pPr>
            <w:r>
              <w:rPr>
                <w:rFonts w:ascii="宋体" w:eastAsia="宋体" w:hAnsi="宋体" w:cs="宋体"/>
                <w:spacing w:val="-2"/>
                <w:sz w:val="17"/>
                <w:szCs w:val="17"/>
              </w:rPr>
              <w:t>80</w:t>
            </w:r>
          </w:p>
        </w:tc>
        <w:tc>
          <w:tcPr>
            <w:tcW w:w="673" w:type="dxa"/>
            <w:tcBorders>
              <w:left w:val="nil"/>
              <w:right w:val="nil"/>
            </w:tcBorders>
          </w:tcPr>
          <w:p w:rsidR="00EA40A3" w:rsidRDefault="00E86C16">
            <w:pPr>
              <w:spacing w:before="119" w:line="183" w:lineRule="auto"/>
              <w:ind w:left="213"/>
              <w:rPr>
                <w:rFonts w:ascii="宋体" w:eastAsia="宋体" w:hAnsi="宋体" w:cs="宋体"/>
                <w:sz w:val="17"/>
                <w:szCs w:val="17"/>
              </w:rPr>
            </w:pPr>
            <w:r>
              <w:rPr>
                <w:rFonts w:ascii="宋体" w:eastAsia="宋体" w:hAnsi="宋体" w:cs="宋体"/>
                <w:spacing w:val="-2"/>
                <w:sz w:val="17"/>
                <w:szCs w:val="17"/>
              </w:rPr>
              <w:t>800</w:t>
            </w:r>
          </w:p>
        </w:tc>
      </w:tr>
    </w:tbl>
    <w:p w:rsidR="00EA40A3" w:rsidRDefault="00E86C16">
      <w:pPr>
        <w:spacing w:before="91" w:line="219" w:lineRule="auto"/>
        <w:ind w:left="360"/>
        <w:rPr>
          <w:rFonts w:ascii="宋体" w:eastAsia="宋体" w:hAnsi="宋体" w:cs="宋体"/>
          <w:sz w:val="18"/>
          <w:szCs w:val="18"/>
        </w:rPr>
      </w:pPr>
      <w:r>
        <w:rPr>
          <w:rFonts w:ascii="宋体" w:eastAsia="宋体" w:hAnsi="宋体" w:cs="宋体"/>
          <w:spacing w:val="-16"/>
          <w:sz w:val="18"/>
          <w:szCs w:val="18"/>
        </w:rPr>
        <w:t>资料来源：中国营养学会.2000.中国居民膳食营养素参考摄入量.北京：中国轻工业出版社</w:t>
      </w:r>
    </w:p>
    <w:p w:rsidR="00EA40A3" w:rsidRDefault="00EA40A3">
      <w:pPr>
        <w:spacing w:line="477" w:lineRule="auto"/>
      </w:pPr>
    </w:p>
    <w:p w:rsidR="00EA40A3" w:rsidRDefault="00E86C16">
      <w:pPr>
        <w:spacing w:before="69" w:line="219" w:lineRule="auto"/>
        <w:rPr>
          <w:rFonts w:ascii="宋体" w:eastAsia="宋体" w:hAnsi="宋体" w:cs="宋体"/>
        </w:rPr>
      </w:pPr>
      <w:r>
        <w:rPr>
          <w:rFonts w:ascii="宋体" w:eastAsia="宋体" w:hAnsi="宋体" w:cs="宋体"/>
          <w:spacing w:val="20"/>
        </w:rPr>
        <w:t>3.</w:t>
      </w:r>
      <w:r>
        <w:rPr>
          <w:rFonts w:ascii="宋体" w:eastAsia="宋体" w:hAnsi="宋体" w:cs="宋体"/>
          <w:spacing w:val="-17"/>
        </w:rPr>
        <w:t xml:space="preserve"> </w:t>
      </w:r>
      <w:r>
        <w:rPr>
          <w:rFonts w:ascii="宋体" w:eastAsia="宋体" w:hAnsi="宋体" w:cs="宋体"/>
          <w:spacing w:val="20"/>
        </w:rPr>
        <w:t>学龄儿童的合理膳食</w:t>
      </w:r>
    </w:p>
    <w:p w:rsidR="00EA40A3" w:rsidRDefault="00E86C16">
      <w:pPr>
        <w:spacing w:before="96" w:line="224" w:lineRule="auto"/>
        <w:rPr>
          <w:rFonts w:ascii="楷体" w:eastAsia="楷体" w:hAnsi="楷体" w:cs="楷体"/>
        </w:rPr>
      </w:pPr>
      <w:r>
        <w:rPr>
          <w:rFonts w:ascii="楷体" w:eastAsia="楷体" w:hAnsi="楷体" w:cs="楷体"/>
          <w:spacing w:val="-2"/>
        </w:rPr>
        <w:t>1)能量和营养素供应充足、平衡</w:t>
      </w:r>
    </w:p>
    <w:p w:rsidR="00EA40A3" w:rsidRDefault="00E86C16">
      <w:pPr>
        <w:spacing w:before="39" w:line="255" w:lineRule="auto"/>
        <w:ind w:right="81" w:firstLine="410"/>
        <w:jc w:val="both"/>
        <w:rPr>
          <w:rFonts w:ascii="宋体" w:eastAsia="宋体" w:hAnsi="宋体" w:cs="宋体"/>
        </w:rPr>
      </w:pPr>
      <w:r>
        <w:rPr>
          <w:rFonts w:ascii="宋体" w:eastAsia="宋体" w:hAnsi="宋体" w:cs="宋体"/>
          <w:spacing w:val="-3"/>
        </w:rPr>
        <w:t>充足的能量和均衡的营养素是保证学龄儿童正常生长发育的前提。从</w:t>
      </w:r>
      <w:r>
        <w:rPr>
          <w:rFonts w:ascii="宋体" w:eastAsia="宋体" w:hAnsi="宋体" w:cs="宋体"/>
          <w:spacing w:val="-4"/>
        </w:rPr>
        <w:t>进食量</w:t>
      </w:r>
      <w:r>
        <w:rPr>
          <w:rFonts w:ascii="宋体" w:eastAsia="宋体" w:hAnsi="宋体" w:cs="宋体"/>
        </w:rPr>
        <w:t xml:space="preserve"> </w:t>
      </w:r>
      <w:r>
        <w:rPr>
          <w:rFonts w:ascii="宋体" w:eastAsia="宋体" w:hAnsi="宋体" w:cs="宋体"/>
          <w:spacing w:val="-2"/>
        </w:rPr>
        <w:t>来看，学龄儿童的食量一般来说男孩不低于父亲，</w:t>
      </w:r>
      <w:r>
        <w:rPr>
          <w:rFonts w:ascii="宋体" w:eastAsia="宋体" w:hAnsi="宋体" w:cs="宋体"/>
          <w:spacing w:val="-3"/>
        </w:rPr>
        <w:t>女孩不低于母亲。另外，应保</w:t>
      </w:r>
      <w:r>
        <w:rPr>
          <w:rFonts w:ascii="宋体" w:eastAsia="宋体" w:hAnsi="宋体" w:cs="宋体"/>
        </w:rPr>
        <w:t xml:space="preserve"> </w:t>
      </w:r>
      <w:r>
        <w:rPr>
          <w:rFonts w:ascii="宋体" w:eastAsia="宋体" w:hAnsi="宋体" w:cs="宋体"/>
          <w:spacing w:val="-4"/>
        </w:rPr>
        <w:t>证膳食当中各种营养素在数量上相互平衡。</w:t>
      </w:r>
    </w:p>
    <w:p w:rsidR="00EA40A3" w:rsidRDefault="00E86C16">
      <w:pPr>
        <w:spacing w:before="52" w:line="220" w:lineRule="auto"/>
        <w:rPr>
          <w:rFonts w:ascii="楷体" w:eastAsia="楷体" w:hAnsi="楷体" w:cs="楷体"/>
        </w:rPr>
      </w:pPr>
      <w:r>
        <w:rPr>
          <w:rFonts w:ascii="楷体" w:eastAsia="楷体" w:hAnsi="楷体" w:cs="楷体"/>
          <w:spacing w:val="2"/>
        </w:rPr>
        <w:t>2)食物多样化，饮食有规律</w:t>
      </w:r>
    </w:p>
    <w:p w:rsidR="00EA40A3" w:rsidRDefault="00E86C16">
      <w:pPr>
        <w:spacing w:before="59" w:line="259" w:lineRule="auto"/>
        <w:ind w:right="79" w:firstLine="410"/>
        <w:jc w:val="both"/>
        <w:rPr>
          <w:rFonts w:ascii="宋体" w:eastAsia="宋体" w:hAnsi="宋体" w:cs="宋体"/>
        </w:rPr>
      </w:pPr>
      <w:r>
        <w:rPr>
          <w:rFonts w:ascii="宋体" w:eastAsia="宋体" w:hAnsi="宋体" w:cs="宋体"/>
          <w:spacing w:val="-2"/>
        </w:rPr>
        <w:t>单一的食物不能满足任何人群的营养需要。因此，对于学龄儿</w:t>
      </w:r>
      <w:r>
        <w:rPr>
          <w:rFonts w:ascii="宋体" w:eastAsia="宋体" w:hAnsi="宋体" w:cs="宋体"/>
          <w:spacing w:val="-3"/>
        </w:rPr>
        <w:t>童，也应保证</w:t>
      </w:r>
      <w:r>
        <w:rPr>
          <w:rFonts w:ascii="宋体" w:eastAsia="宋体" w:hAnsi="宋体" w:cs="宋体"/>
        </w:rPr>
        <w:t xml:space="preserve"> </w:t>
      </w:r>
      <w:r>
        <w:rPr>
          <w:rFonts w:ascii="宋体" w:eastAsia="宋体" w:hAnsi="宋体" w:cs="宋体"/>
          <w:spacing w:val="-2"/>
        </w:rPr>
        <w:t>食物多样化。应做到荤素搭配、生熟搭配、粗细搭配、</w:t>
      </w:r>
      <w:r>
        <w:rPr>
          <w:rFonts w:ascii="宋体" w:eastAsia="宋体" w:hAnsi="宋体" w:cs="宋体"/>
          <w:spacing w:val="-3"/>
        </w:rPr>
        <w:t>干稀搭配。另外，要养成</w:t>
      </w:r>
      <w:r>
        <w:rPr>
          <w:rFonts w:ascii="宋体" w:eastAsia="宋体" w:hAnsi="宋体" w:cs="宋体"/>
        </w:rPr>
        <w:t xml:space="preserve"> </w:t>
      </w:r>
      <w:r>
        <w:rPr>
          <w:rFonts w:ascii="宋体" w:eastAsia="宋体" w:hAnsi="宋体" w:cs="宋体"/>
          <w:spacing w:val="-3"/>
        </w:rPr>
        <w:t>良好的饮食习惯，做到按时进餐、按量进餐。三餐比例要适当，按</w:t>
      </w:r>
      <w:r>
        <w:rPr>
          <w:rFonts w:ascii="宋体" w:eastAsia="宋体" w:hAnsi="宋体" w:cs="宋体"/>
          <w:spacing w:val="-4"/>
        </w:rPr>
        <w:t>所含能量，早</w:t>
      </w:r>
      <w:r>
        <w:rPr>
          <w:rFonts w:ascii="宋体" w:eastAsia="宋体" w:hAnsi="宋体" w:cs="宋体"/>
        </w:rPr>
        <w:t xml:space="preserve"> </w:t>
      </w:r>
      <w:r>
        <w:rPr>
          <w:rFonts w:ascii="宋体" w:eastAsia="宋体" w:hAnsi="宋体" w:cs="宋体"/>
          <w:spacing w:val="15"/>
        </w:rPr>
        <w:t>餐、中餐、晚餐分别占30%、40%和30%。</w:t>
      </w:r>
    </w:p>
    <w:p w:rsidR="00EA40A3" w:rsidRDefault="00E86C16">
      <w:pPr>
        <w:spacing w:before="48" w:line="224" w:lineRule="auto"/>
        <w:rPr>
          <w:rFonts w:ascii="楷体" w:eastAsia="楷体" w:hAnsi="楷体" w:cs="楷体"/>
        </w:rPr>
      </w:pPr>
      <w:r>
        <w:rPr>
          <w:rFonts w:ascii="楷体" w:eastAsia="楷体" w:hAnsi="楷体" w:cs="楷体"/>
          <w:spacing w:val="1"/>
        </w:rPr>
        <w:t>3)保证早餐的摄入及营养价值</w:t>
      </w:r>
    </w:p>
    <w:p w:rsidR="00EA40A3" w:rsidRDefault="00E86C16">
      <w:pPr>
        <w:spacing w:before="57" w:line="254" w:lineRule="auto"/>
        <w:ind w:right="13" w:firstLine="410"/>
        <w:jc w:val="both"/>
        <w:rPr>
          <w:rFonts w:ascii="宋体" w:eastAsia="宋体" w:hAnsi="宋体" w:cs="宋体"/>
        </w:rPr>
      </w:pPr>
      <w:r>
        <w:rPr>
          <w:rFonts w:ascii="宋体" w:eastAsia="宋体" w:hAnsi="宋体" w:cs="宋体"/>
        </w:rPr>
        <w:t>吃好早餐不仅有利于学龄儿童的身体健康，而且可以帮助其提高</w:t>
      </w:r>
      <w:r>
        <w:rPr>
          <w:rFonts w:ascii="宋体" w:eastAsia="宋体" w:hAnsi="宋体" w:cs="宋体"/>
          <w:spacing w:val="-1"/>
        </w:rPr>
        <w:t>学习效率。</w:t>
      </w:r>
      <w:r>
        <w:rPr>
          <w:rFonts w:ascii="宋体" w:eastAsia="宋体" w:hAnsi="宋体" w:cs="宋体"/>
        </w:rPr>
        <w:t xml:space="preserve"> </w:t>
      </w:r>
      <w:r>
        <w:rPr>
          <w:rFonts w:ascii="宋体" w:eastAsia="宋体" w:hAnsi="宋体" w:cs="宋体"/>
          <w:spacing w:val="-2"/>
        </w:rPr>
        <w:t>研究表明，不食用早餐与学龄儿童的营养缺乏、肥胖、</w:t>
      </w:r>
      <w:r>
        <w:rPr>
          <w:rFonts w:ascii="宋体" w:eastAsia="宋体" w:hAnsi="宋体" w:cs="宋体"/>
          <w:spacing w:val="-3"/>
        </w:rPr>
        <w:t>消化道疾病有关。吃好早</w:t>
      </w:r>
      <w:r>
        <w:rPr>
          <w:rFonts w:ascii="宋体" w:eastAsia="宋体" w:hAnsi="宋体" w:cs="宋体"/>
        </w:rPr>
        <w:t xml:space="preserve"> </w:t>
      </w:r>
      <w:r>
        <w:rPr>
          <w:rFonts w:ascii="宋体" w:eastAsia="宋体" w:hAnsi="宋体" w:cs="宋体"/>
          <w:spacing w:val="-3"/>
        </w:rPr>
        <w:t>餐不仅意味着要有规律地按时摄入，而且要求早餐应有一定的营养价值。应</w:t>
      </w:r>
      <w:r>
        <w:rPr>
          <w:rFonts w:ascii="宋体" w:eastAsia="宋体" w:hAnsi="宋体" w:cs="宋体"/>
          <w:spacing w:val="-4"/>
        </w:rPr>
        <w:t>避免</w:t>
      </w:r>
    </w:p>
    <w:p w:rsidR="00EA40A3" w:rsidRDefault="00E86C16">
      <w:pPr>
        <w:spacing w:before="61"/>
        <w:ind w:left="15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326</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1081" w:bottom="400" w:left="789" w:header="0" w:footer="0" w:gutter="0"/>
          <w:cols w:space="720"/>
        </w:sectPr>
      </w:pPr>
    </w:p>
    <w:p w:rsidR="00EA40A3" w:rsidRDefault="00EA40A3">
      <w:pPr>
        <w:spacing w:line="256" w:lineRule="auto"/>
      </w:pPr>
    </w:p>
    <w:p w:rsidR="00EA40A3" w:rsidRDefault="00EA40A3">
      <w:pPr>
        <w:spacing w:line="257" w:lineRule="auto"/>
      </w:pPr>
    </w:p>
    <w:p w:rsidR="00EA40A3" w:rsidRDefault="00E86C16">
      <w:pPr>
        <w:spacing w:before="72" w:line="243" w:lineRule="auto"/>
        <w:ind w:right="119"/>
        <w:jc w:val="both"/>
        <w:rPr>
          <w:rFonts w:ascii="宋体" w:eastAsia="宋体" w:hAnsi="宋体" w:cs="宋体"/>
          <w:sz w:val="22"/>
          <w:szCs w:val="22"/>
        </w:rPr>
      </w:pPr>
      <w:r>
        <w:rPr>
          <w:rFonts w:ascii="宋体" w:eastAsia="宋体" w:hAnsi="宋体" w:cs="宋体"/>
          <w:spacing w:val="-14"/>
          <w:sz w:val="22"/>
          <w:szCs w:val="22"/>
        </w:rPr>
        <w:t>品种单一、营养不全的早餐。营养早餐应当包括谷类、奶蛋或肉类、豆类及其制</w:t>
      </w:r>
      <w:r>
        <w:rPr>
          <w:rFonts w:ascii="宋体" w:eastAsia="宋体" w:hAnsi="宋体" w:cs="宋体"/>
          <w:spacing w:val="18"/>
          <w:sz w:val="22"/>
          <w:szCs w:val="22"/>
        </w:rPr>
        <w:t xml:space="preserve"> </w:t>
      </w:r>
      <w:r>
        <w:rPr>
          <w:rFonts w:ascii="宋体" w:eastAsia="宋体" w:hAnsi="宋体" w:cs="宋体"/>
          <w:spacing w:val="-13"/>
          <w:sz w:val="22"/>
          <w:szCs w:val="22"/>
        </w:rPr>
        <w:t>品、蔬菜水果等食物。对学龄儿童，早餐提供的能量及营养素应占全</w:t>
      </w:r>
      <w:r>
        <w:rPr>
          <w:rFonts w:ascii="宋体" w:eastAsia="宋体" w:hAnsi="宋体" w:cs="宋体"/>
          <w:spacing w:val="-14"/>
          <w:sz w:val="22"/>
          <w:szCs w:val="22"/>
        </w:rPr>
        <w:t>天膳食总能</w:t>
      </w:r>
      <w:r>
        <w:rPr>
          <w:rFonts w:ascii="宋体" w:eastAsia="宋体" w:hAnsi="宋体" w:cs="宋体"/>
          <w:sz w:val="22"/>
          <w:szCs w:val="22"/>
        </w:rPr>
        <w:t xml:space="preserve"> </w:t>
      </w:r>
      <w:r>
        <w:rPr>
          <w:rFonts w:ascii="宋体" w:eastAsia="宋体" w:hAnsi="宋体" w:cs="宋体"/>
          <w:spacing w:val="10"/>
          <w:sz w:val="22"/>
          <w:szCs w:val="22"/>
        </w:rPr>
        <w:t>量的30%。</w:t>
      </w:r>
    </w:p>
    <w:p w:rsidR="00EA40A3" w:rsidRDefault="00E86C16">
      <w:pPr>
        <w:spacing w:before="23" w:line="220" w:lineRule="auto"/>
        <w:rPr>
          <w:rFonts w:ascii="楷体" w:eastAsia="楷体" w:hAnsi="楷体" w:cs="楷体"/>
          <w:sz w:val="22"/>
          <w:szCs w:val="22"/>
        </w:rPr>
      </w:pPr>
      <w:r>
        <w:rPr>
          <w:rFonts w:ascii="楷体" w:eastAsia="楷体" w:hAnsi="楷体" w:cs="楷体"/>
          <w:spacing w:val="-8"/>
          <w:sz w:val="22"/>
          <w:szCs w:val="22"/>
        </w:rPr>
        <w:t>4)少吃零食，控制食糖的摄入</w:t>
      </w:r>
    </w:p>
    <w:p w:rsidR="00EA40A3" w:rsidRDefault="00E86C16">
      <w:pPr>
        <w:spacing w:before="65" w:line="239" w:lineRule="auto"/>
        <w:ind w:right="100" w:firstLine="429"/>
        <w:jc w:val="both"/>
        <w:rPr>
          <w:rFonts w:ascii="宋体" w:eastAsia="宋体" w:hAnsi="宋体" w:cs="宋体"/>
          <w:sz w:val="22"/>
          <w:szCs w:val="22"/>
        </w:rPr>
      </w:pPr>
      <w:r>
        <w:rPr>
          <w:rFonts w:ascii="宋体" w:eastAsia="宋体" w:hAnsi="宋体" w:cs="宋体"/>
          <w:spacing w:val="-13"/>
          <w:sz w:val="22"/>
          <w:szCs w:val="22"/>
        </w:rPr>
        <w:t>零食是指在正餐时间以外所吃的食物或饮料。对于学龄儿童，可以适</w:t>
      </w:r>
      <w:r>
        <w:rPr>
          <w:rFonts w:ascii="宋体" w:eastAsia="宋体" w:hAnsi="宋体" w:cs="宋体"/>
          <w:spacing w:val="-14"/>
          <w:sz w:val="22"/>
          <w:szCs w:val="22"/>
        </w:rPr>
        <w:t>当地摄</w:t>
      </w:r>
      <w:r>
        <w:rPr>
          <w:rFonts w:ascii="宋体" w:eastAsia="宋体" w:hAnsi="宋体" w:cs="宋体"/>
          <w:sz w:val="22"/>
          <w:szCs w:val="22"/>
        </w:rPr>
        <w:t xml:space="preserve"> </w:t>
      </w:r>
      <w:r>
        <w:rPr>
          <w:rFonts w:ascii="宋体" w:eastAsia="宋体" w:hAnsi="宋体" w:cs="宋体"/>
          <w:spacing w:val="-13"/>
          <w:sz w:val="22"/>
          <w:szCs w:val="22"/>
        </w:rPr>
        <w:t>入有营养的零食，如酸奶、玉米、干果类等。但是过多摄入零食，可能影</w:t>
      </w:r>
      <w:r>
        <w:rPr>
          <w:rFonts w:ascii="宋体" w:eastAsia="宋体" w:hAnsi="宋体" w:cs="宋体"/>
          <w:spacing w:val="-14"/>
          <w:sz w:val="22"/>
          <w:szCs w:val="22"/>
        </w:rPr>
        <w:t>响对正</w:t>
      </w:r>
      <w:r>
        <w:rPr>
          <w:rFonts w:ascii="宋体" w:eastAsia="宋体" w:hAnsi="宋体" w:cs="宋体"/>
          <w:sz w:val="22"/>
          <w:szCs w:val="22"/>
        </w:rPr>
        <w:t xml:space="preserve"> </w:t>
      </w:r>
      <w:r>
        <w:rPr>
          <w:rFonts w:ascii="宋体" w:eastAsia="宋体" w:hAnsi="宋体" w:cs="宋体"/>
          <w:spacing w:val="-13"/>
          <w:sz w:val="22"/>
          <w:szCs w:val="22"/>
        </w:rPr>
        <w:t>餐的食欲，易引起营养失衡，而且过多的零食摄入，尤其是油炸食品、冷饮类食</w:t>
      </w:r>
      <w:r>
        <w:rPr>
          <w:rFonts w:ascii="宋体" w:eastAsia="宋体" w:hAnsi="宋体" w:cs="宋体"/>
          <w:spacing w:val="13"/>
          <w:sz w:val="22"/>
          <w:szCs w:val="22"/>
        </w:rPr>
        <w:t xml:space="preserve"> </w:t>
      </w:r>
      <w:r>
        <w:rPr>
          <w:rFonts w:ascii="宋体" w:eastAsia="宋体" w:hAnsi="宋体" w:cs="宋体"/>
          <w:spacing w:val="-13"/>
          <w:sz w:val="22"/>
          <w:szCs w:val="22"/>
        </w:rPr>
        <w:t>品以及食糖含量高的饮料及小食品会导致学龄儿童能量摄入过高</w:t>
      </w:r>
      <w:r>
        <w:rPr>
          <w:rFonts w:ascii="宋体" w:eastAsia="宋体" w:hAnsi="宋体" w:cs="宋体"/>
          <w:spacing w:val="-14"/>
          <w:sz w:val="22"/>
          <w:szCs w:val="22"/>
        </w:rPr>
        <w:t>，引发肥胖，并</w:t>
      </w:r>
      <w:r>
        <w:rPr>
          <w:rFonts w:ascii="宋体" w:eastAsia="宋体" w:hAnsi="宋体" w:cs="宋体"/>
          <w:sz w:val="22"/>
          <w:szCs w:val="22"/>
        </w:rPr>
        <w:t xml:space="preserve"> </w:t>
      </w:r>
      <w:r>
        <w:rPr>
          <w:rFonts w:ascii="宋体" w:eastAsia="宋体" w:hAnsi="宋体" w:cs="宋体"/>
          <w:spacing w:val="-21"/>
          <w:sz w:val="22"/>
          <w:szCs w:val="22"/>
        </w:rPr>
        <w:t>且可能导致龋齿。</w:t>
      </w:r>
    </w:p>
    <w:p w:rsidR="00EA40A3" w:rsidRDefault="00E86C16">
      <w:pPr>
        <w:spacing w:before="64" w:line="225" w:lineRule="auto"/>
        <w:rPr>
          <w:rFonts w:ascii="楷体" w:eastAsia="楷体" w:hAnsi="楷体" w:cs="楷体"/>
          <w:sz w:val="22"/>
          <w:szCs w:val="22"/>
        </w:rPr>
      </w:pPr>
      <w:r>
        <w:rPr>
          <w:rFonts w:ascii="楷体" w:eastAsia="楷体" w:hAnsi="楷体" w:cs="楷体"/>
          <w:spacing w:val="-1"/>
          <w:sz w:val="22"/>
          <w:szCs w:val="22"/>
        </w:rPr>
        <w:t>5)重视户外活动</w:t>
      </w:r>
    </w:p>
    <w:p w:rsidR="00EA40A3" w:rsidRDefault="00E86C16">
      <w:pPr>
        <w:spacing w:before="54" w:line="219" w:lineRule="auto"/>
        <w:ind w:left="429"/>
        <w:rPr>
          <w:rFonts w:ascii="宋体" w:eastAsia="宋体" w:hAnsi="宋体" w:cs="宋体"/>
          <w:sz w:val="22"/>
          <w:szCs w:val="22"/>
        </w:rPr>
      </w:pPr>
      <w:r>
        <w:rPr>
          <w:rFonts w:ascii="宋体" w:eastAsia="宋体" w:hAnsi="宋体" w:cs="宋体"/>
          <w:spacing w:val="-13"/>
          <w:sz w:val="22"/>
          <w:szCs w:val="22"/>
        </w:rPr>
        <w:t>适当的户外活动对于儿童的身体发育尤其是骨骼发育具有积极作用。</w:t>
      </w:r>
    </w:p>
    <w:p w:rsidR="00EA40A3" w:rsidRDefault="00E86C16">
      <w:pPr>
        <w:spacing w:before="184" w:line="219" w:lineRule="auto"/>
        <w:ind w:left="3"/>
        <w:outlineLvl w:val="6"/>
        <w:rPr>
          <w:rFonts w:ascii="宋体" w:eastAsia="宋体" w:hAnsi="宋体" w:cs="宋体"/>
          <w:sz w:val="22"/>
          <w:szCs w:val="22"/>
        </w:rPr>
      </w:pPr>
      <w:r>
        <w:rPr>
          <w:rFonts w:ascii="宋体" w:eastAsia="宋体" w:hAnsi="宋体" w:cs="宋体"/>
          <w:b/>
          <w:bCs/>
          <w:spacing w:val="5"/>
          <w:sz w:val="22"/>
          <w:szCs w:val="22"/>
        </w:rPr>
        <w:t>10.4.3</w:t>
      </w:r>
      <w:r>
        <w:rPr>
          <w:rFonts w:ascii="宋体" w:eastAsia="宋体" w:hAnsi="宋体" w:cs="宋体"/>
          <w:spacing w:val="20"/>
          <w:sz w:val="22"/>
          <w:szCs w:val="22"/>
        </w:rPr>
        <w:t xml:space="preserve">   </w:t>
      </w:r>
      <w:r>
        <w:rPr>
          <w:rFonts w:ascii="宋体" w:eastAsia="宋体" w:hAnsi="宋体" w:cs="宋体"/>
          <w:b/>
          <w:bCs/>
          <w:spacing w:val="5"/>
          <w:sz w:val="22"/>
          <w:szCs w:val="22"/>
        </w:rPr>
        <w:t>青少年营养和膳食</w:t>
      </w:r>
    </w:p>
    <w:p w:rsidR="00EA40A3" w:rsidRDefault="00E86C16">
      <w:pPr>
        <w:spacing w:before="242" w:line="222"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42"/>
          <w:sz w:val="22"/>
          <w:szCs w:val="22"/>
        </w:rPr>
        <w:t xml:space="preserve"> </w:t>
      </w:r>
      <w:r>
        <w:rPr>
          <w:rFonts w:ascii="仿宋" w:eastAsia="仿宋" w:hAnsi="仿宋" w:cs="仿宋"/>
          <w:spacing w:val="12"/>
          <w:sz w:val="22"/>
          <w:szCs w:val="22"/>
        </w:rPr>
        <w:t>青少年生理特点</w:t>
      </w:r>
    </w:p>
    <w:p w:rsidR="00EA40A3" w:rsidRDefault="00E86C16">
      <w:pPr>
        <w:spacing w:before="214" w:line="249" w:lineRule="auto"/>
        <w:ind w:firstLine="429"/>
        <w:jc w:val="both"/>
        <w:rPr>
          <w:rFonts w:ascii="宋体" w:eastAsia="宋体" w:hAnsi="宋体" w:cs="宋体"/>
          <w:sz w:val="22"/>
          <w:szCs w:val="22"/>
        </w:rPr>
      </w:pPr>
      <w:r>
        <w:rPr>
          <w:rFonts w:ascii="宋体" w:eastAsia="宋体" w:hAnsi="宋体" w:cs="宋体"/>
          <w:spacing w:val="-3"/>
          <w:sz w:val="22"/>
          <w:szCs w:val="22"/>
        </w:rPr>
        <w:t>青少年时期是指12～18岁之间，也就是介于儿童期与成</w:t>
      </w:r>
      <w:r>
        <w:rPr>
          <w:rFonts w:ascii="宋体" w:eastAsia="宋体" w:hAnsi="宋体" w:cs="宋体"/>
          <w:spacing w:val="-4"/>
          <w:sz w:val="22"/>
          <w:szCs w:val="22"/>
        </w:rPr>
        <w:t>年期这一段时期。</w:t>
      </w:r>
      <w:r>
        <w:rPr>
          <w:rFonts w:ascii="宋体" w:eastAsia="宋体" w:hAnsi="宋体" w:cs="宋体"/>
          <w:sz w:val="22"/>
          <w:szCs w:val="22"/>
        </w:rPr>
        <w:t xml:space="preserve"> </w:t>
      </w:r>
      <w:r>
        <w:rPr>
          <w:rFonts w:ascii="宋体" w:eastAsia="宋体" w:hAnsi="宋体" w:cs="宋体"/>
          <w:spacing w:val="-7"/>
          <w:sz w:val="22"/>
          <w:szCs w:val="22"/>
        </w:rPr>
        <w:t>一般来说，12岁是青春期的开始，但从近年儿童的发育状况来看，进入青春期</w:t>
      </w:r>
      <w:r>
        <w:rPr>
          <w:rFonts w:ascii="宋体" w:eastAsia="宋体" w:hAnsi="宋体" w:cs="宋体"/>
          <w:spacing w:val="4"/>
          <w:sz w:val="22"/>
          <w:szCs w:val="22"/>
        </w:rPr>
        <w:t xml:space="preserve">  </w:t>
      </w:r>
      <w:r>
        <w:rPr>
          <w:rFonts w:ascii="宋体" w:eastAsia="宋体" w:hAnsi="宋体" w:cs="宋体"/>
          <w:spacing w:val="-10"/>
          <w:sz w:val="22"/>
          <w:szCs w:val="22"/>
        </w:rPr>
        <w:t>的年龄略有下降趋势。另外，男女进入青春发育期的年</w:t>
      </w:r>
      <w:r>
        <w:rPr>
          <w:rFonts w:ascii="宋体" w:eastAsia="宋体" w:hAnsi="宋体" w:cs="宋体"/>
          <w:spacing w:val="-11"/>
          <w:sz w:val="22"/>
          <w:szCs w:val="22"/>
        </w:rPr>
        <w:t>龄不同，女性早于男性，</w:t>
      </w:r>
      <w:r>
        <w:rPr>
          <w:rFonts w:ascii="宋体" w:eastAsia="宋体" w:hAnsi="宋体" w:cs="宋体"/>
          <w:sz w:val="22"/>
          <w:szCs w:val="22"/>
        </w:rPr>
        <w:t xml:space="preserve"> </w:t>
      </w:r>
      <w:r>
        <w:rPr>
          <w:rFonts w:ascii="宋体" w:eastAsia="宋体" w:hAnsi="宋体" w:cs="宋体"/>
          <w:spacing w:val="-1"/>
          <w:sz w:val="22"/>
          <w:szCs w:val="22"/>
        </w:rPr>
        <w:t>目前女性普遍从10岁左右就开始，到17岁左右结束；男性则从12岁前后才开</w:t>
      </w:r>
      <w:r>
        <w:rPr>
          <w:rFonts w:ascii="宋体" w:eastAsia="宋体" w:hAnsi="宋体" w:cs="宋体"/>
          <w:spacing w:val="7"/>
          <w:sz w:val="22"/>
          <w:szCs w:val="22"/>
        </w:rPr>
        <w:t xml:space="preserve">  </w:t>
      </w:r>
      <w:r>
        <w:rPr>
          <w:rFonts w:ascii="宋体" w:eastAsia="宋体" w:hAnsi="宋体" w:cs="宋体"/>
          <w:spacing w:val="-6"/>
          <w:sz w:val="22"/>
          <w:szCs w:val="22"/>
        </w:rPr>
        <w:t>始，到22岁左右结束。无论男性、女性，在这个时</w:t>
      </w:r>
      <w:r>
        <w:rPr>
          <w:rFonts w:ascii="宋体" w:eastAsia="宋体" w:hAnsi="宋体" w:cs="宋体"/>
          <w:spacing w:val="-7"/>
          <w:sz w:val="22"/>
          <w:szCs w:val="22"/>
        </w:rPr>
        <w:t>期的生理特点总体来说表现</w:t>
      </w:r>
      <w:r>
        <w:rPr>
          <w:rFonts w:ascii="宋体" w:eastAsia="宋体" w:hAnsi="宋体" w:cs="宋体"/>
          <w:sz w:val="22"/>
          <w:szCs w:val="22"/>
        </w:rPr>
        <w:t xml:space="preserve">  </w:t>
      </w:r>
      <w:r>
        <w:rPr>
          <w:rFonts w:ascii="宋体" w:eastAsia="宋体" w:hAnsi="宋体" w:cs="宋体"/>
          <w:spacing w:val="-1"/>
          <w:sz w:val="22"/>
          <w:szCs w:val="22"/>
        </w:rPr>
        <w:t>在：①体格迅速增长。无论身高或体重都有明显变化。身高每年可增长约5~</w:t>
      </w:r>
      <w:r>
        <w:rPr>
          <w:rFonts w:ascii="宋体" w:eastAsia="宋体" w:hAnsi="宋体" w:cs="宋体"/>
          <w:spacing w:val="1"/>
          <w:sz w:val="22"/>
          <w:szCs w:val="22"/>
        </w:rPr>
        <w:t xml:space="preserve">  </w:t>
      </w:r>
      <w:r>
        <w:rPr>
          <w:rFonts w:ascii="宋体" w:eastAsia="宋体" w:hAnsi="宋体" w:cs="宋体"/>
          <w:spacing w:val="9"/>
          <w:sz w:val="22"/>
          <w:szCs w:val="22"/>
        </w:rPr>
        <w:t>7</w:t>
      </w:r>
      <w:r>
        <w:rPr>
          <w:rFonts w:ascii="宋体" w:eastAsia="宋体" w:hAnsi="宋体" w:cs="宋体"/>
          <w:sz w:val="22"/>
          <w:szCs w:val="22"/>
        </w:rPr>
        <w:t>cm</w:t>
      </w:r>
      <w:r>
        <w:rPr>
          <w:rFonts w:ascii="宋体" w:eastAsia="宋体" w:hAnsi="宋体" w:cs="宋体"/>
          <w:spacing w:val="9"/>
          <w:sz w:val="22"/>
          <w:szCs w:val="22"/>
        </w:rPr>
        <w:t>,</w:t>
      </w:r>
      <w:r>
        <w:rPr>
          <w:rFonts w:ascii="宋体" w:eastAsia="宋体" w:hAnsi="宋体" w:cs="宋体"/>
          <w:spacing w:val="3"/>
          <w:sz w:val="22"/>
          <w:szCs w:val="22"/>
        </w:rPr>
        <w:t xml:space="preserve"> </w:t>
      </w:r>
      <w:r>
        <w:rPr>
          <w:rFonts w:ascii="宋体" w:eastAsia="宋体" w:hAnsi="宋体" w:cs="宋体"/>
          <w:spacing w:val="9"/>
          <w:sz w:val="22"/>
          <w:szCs w:val="22"/>
        </w:rPr>
        <w:t>个别的可达到10～12</w:t>
      </w:r>
      <w:r>
        <w:rPr>
          <w:rFonts w:ascii="宋体" w:eastAsia="宋体" w:hAnsi="宋体" w:cs="宋体"/>
          <w:sz w:val="22"/>
          <w:szCs w:val="22"/>
        </w:rPr>
        <w:t>cm</w:t>
      </w:r>
      <w:r>
        <w:rPr>
          <w:rFonts w:ascii="宋体" w:eastAsia="宋体" w:hAnsi="宋体" w:cs="宋体"/>
          <w:spacing w:val="9"/>
          <w:sz w:val="22"/>
          <w:szCs w:val="22"/>
        </w:rPr>
        <w:t>;</w:t>
      </w:r>
      <w:r>
        <w:rPr>
          <w:rFonts w:ascii="宋体" w:eastAsia="宋体" w:hAnsi="宋体" w:cs="宋体"/>
          <w:spacing w:val="23"/>
          <w:sz w:val="22"/>
          <w:szCs w:val="22"/>
        </w:rPr>
        <w:t xml:space="preserve"> </w:t>
      </w:r>
      <w:r>
        <w:rPr>
          <w:rFonts w:ascii="宋体" w:eastAsia="宋体" w:hAnsi="宋体" w:cs="宋体"/>
          <w:spacing w:val="9"/>
          <w:sz w:val="22"/>
          <w:szCs w:val="22"/>
        </w:rPr>
        <w:t>体重年增长约4～5</w:t>
      </w:r>
      <w:r>
        <w:rPr>
          <w:rFonts w:ascii="宋体" w:eastAsia="宋体" w:hAnsi="宋体" w:cs="宋体"/>
          <w:sz w:val="22"/>
          <w:szCs w:val="22"/>
        </w:rPr>
        <w:t>kg</w:t>
      </w:r>
      <w:r>
        <w:rPr>
          <w:rFonts w:ascii="宋体" w:eastAsia="宋体" w:hAnsi="宋体" w:cs="宋体"/>
          <w:spacing w:val="9"/>
          <w:sz w:val="22"/>
          <w:szCs w:val="22"/>
        </w:rPr>
        <w:t>,</w:t>
      </w:r>
      <w:r>
        <w:rPr>
          <w:rFonts w:ascii="宋体" w:eastAsia="宋体" w:hAnsi="宋体" w:cs="宋体"/>
          <w:spacing w:val="-23"/>
          <w:sz w:val="22"/>
          <w:szCs w:val="22"/>
        </w:rPr>
        <w:t xml:space="preserve"> </w:t>
      </w:r>
      <w:r>
        <w:rPr>
          <w:rFonts w:ascii="宋体" w:eastAsia="宋体" w:hAnsi="宋体" w:cs="宋体"/>
          <w:spacing w:val="9"/>
          <w:sz w:val="22"/>
          <w:szCs w:val="22"/>
        </w:rPr>
        <w:t>个别更多，可达8</w:t>
      </w:r>
      <w:r>
        <w:rPr>
          <w:rFonts w:ascii="宋体" w:eastAsia="宋体" w:hAnsi="宋体" w:cs="宋体"/>
          <w:spacing w:val="8"/>
          <w:sz w:val="22"/>
          <w:szCs w:val="22"/>
        </w:rPr>
        <w:t>~</w:t>
      </w:r>
      <w:r>
        <w:rPr>
          <w:rFonts w:ascii="宋体" w:eastAsia="宋体" w:hAnsi="宋体" w:cs="宋体"/>
          <w:sz w:val="22"/>
          <w:szCs w:val="22"/>
        </w:rPr>
        <w:t xml:space="preserve">  </w:t>
      </w:r>
      <w:r>
        <w:rPr>
          <w:rFonts w:ascii="宋体" w:eastAsia="宋体" w:hAnsi="宋体" w:cs="宋体"/>
          <w:spacing w:val="-7"/>
          <w:sz w:val="22"/>
          <w:szCs w:val="22"/>
        </w:rPr>
        <w:t>10kg。②体成分发生改变。到青春期时，青少年身体的脂肪、肌肉比例发生较</w:t>
      </w:r>
      <w:r>
        <w:rPr>
          <w:rFonts w:ascii="宋体" w:eastAsia="宋体" w:hAnsi="宋体" w:cs="宋体"/>
          <w:spacing w:val="5"/>
          <w:sz w:val="22"/>
          <w:szCs w:val="22"/>
        </w:rPr>
        <w:t xml:space="preserve">  </w:t>
      </w:r>
      <w:r>
        <w:rPr>
          <w:rFonts w:ascii="宋体" w:eastAsia="宋体" w:hAnsi="宋体" w:cs="宋体"/>
          <w:spacing w:val="3"/>
          <w:sz w:val="22"/>
          <w:szCs w:val="22"/>
        </w:rPr>
        <w:t>大变化。青春期前男孩、女孩的脂肪和肌肉的比例相似，分别为15%和19</w:t>
      </w:r>
      <w:r>
        <w:rPr>
          <w:rFonts w:ascii="宋体" w:eastAsia="宋体" w:hAnsi="宋体" w:cs="宋体"/>
          <w:spacing w:val="2"/>
          <w:sz w:val="22"/>
          <w:szCs w:val="22"/>
        </w:rPr>
        <w:t>%;</w:t>
      </w:r>
      <w:r>
        <w:rPr>
          <w:rFonts w:ascii="宋体" w:eastAsia="宋体" w:hAnsi="宋体" w:cs="宋体"/>
          <w:sz w:val="22"/>
          <w:szCs w:val="22"/>
        </w:rPr>
        <w:t xml:space="preserve">  </w:t>
      </w:r>
      <w:r>
        <w:rPr>
          <w:rFonts w:ascii="宋体" w:eastAsia="宋体" w:hAnsi="宋体" w:cs="宋体"/>
          <w:spacing w:val="2"/>
          <w:sz w:val="22"/>
          <w:szCs w:val="22"/>
        </w:rPr>
        <w:t>到青春期时，女性脂肪比例增加到22%左右，男性仍为15%,而男性的肌肉组</w:t>
      </w:r>
      <w:r>
        <w:rPr>
          <w:rFonts w:ascii="宋体" w:eastAsia="宋体" w:hAnsi="宋体" w:cs="宋体"/>
          <w:spacing w:val="7"/>
          <w:sz w:val="22"/>
          <w:szCs w:val="22"/>
        </w:rPr>
        <w:t xml:space="preserve">  </w:t>
      </w:r>
      <w:r>
        <w:rPr>
          <w:rFonts w:ascii="宋体" w:eastAsia="宋体" w:hAnsi="宋体" w:cs="宋体"/>
          <w:spacing w:val="-13"/>
          <w:sz w:val="22"/>
          <w:szCs w:val="22"/>
        </w:rPr>
        <w:t>织比例增加，其瘦体质可达女性的两倍。③生殖器官发育迅速，第二性征逐步明</w:t>
      </w:r>
      <w:r>
        <w:rPr>
          <w:rFonts w:ascii="宋体" w:eastAsia="宋体" w:hAnsi="宋体" w:cs="宋体"/>
          <w:spacing w:val="3"/>
          <w:sz w:val="22"/>
          <w:szCs w:val="22"/>
        </w:rPr>
        <w:t xml:space="preserve">  </w:t>
      </w:r>
      <w:r>
        <w:rPr>
          <w:rFonts w:ascii="宋体" w:eastAsia="宋体" w:hAnsi="宋体" w:cs="宋体"/>
          <w:spacing w:val="-11"/>
          <w:sz w:val="22"/>
          <w:szCs w:val="22"/>
        </w:rPr>
        <w:t>显。同时，内脏功能日益成熟。④大脑功能及其他身体各系统发育也进入高峰。</w:t>
      </w:r>
      <w:r>
        <w:rPr>
          <w:rFonts w:ascii="宋体" w:eastAsia="宋体" w:hAnsi="宋体" w:cs="宋体"/>
          <w:spacing w:val="3"/>
          <w:sz w:val="22"/>
          <w:szCs w:val="22"/>
        </w:rPr>
        <w:t xml:space="preserve"> </w:t>
      </w:r>
      <w:r>
        <w:rPr>
          <w:rFonts w:ascii="宋体" w:eastAsia="宋体" w:hAnsi="宋体" w:cs="宋体"/>
          <w:spacing w:val="-13"/>
          <w:sz w:val="22"/>
          <w:szCs w:val="22"/>
        </w:rPr>
        <w:t>此外，在这一时期人的心理也开始发育成熟。青春期的生长速度在人的一</w:t>
      </w:r>
      <w:r>
        <w:rPr>
          <w:rFonts w:ascii="宋体" w:eastAsia="宋体" w:hAnsi="宋体" w:cs="宋体"/>
          <w:spacing w:val="-14"/>
          <w:sz w:val="22"/>
          <w:szCs w:val="22"/>
        </w:rPr>
        <w:t>生中仅</w:t>
      </w:r>
      <w:r>
        <w:rPr>
          <w:rFonts w:ascii="宋体" w:eastAsia="宋体" w:hAnsi="宋体" w:cs="宋体"/>
          <w:sz w:val="22"/>
          <w:szCs w:val="22"/>
        </w:rPr>
        <w:t xml:space="preserve">  </w:t>
      </w:r>
      <w:r>
        <w:rPr>
          <w:rFonts w:ascii="宋体" w:eastAsia="宋体" w:hAnsi="宋体" w:cs="宋体"/>
          <w:spacing w:val="-14"/>
          <w:sz w:val="22"/>
          <w:szCs w:val="22"/>
        </w:rPr>
        <w:t>次于婴儿期，因此，也是人的第二个生长发育高峰。</w:t>
      </w:r>
    </w:p>
    <w:p w:rsidR="00EA40A3" w:rsidRDefault="00E86C16">
      <w:pPr>
        <w:spacing w:before="225" w:line="325" w:lineRule="exact"/>
        <w:rPr>
          <w:rFonts w:ascii="仿宋" w:eastAsia="仿宋" w:hAnsi="仿宋" w:cs="仿宋"/>
          <w:sz w:val="22"/>
          <w:szCs w:val="22"/>
        </w:rPr>
      </w:pPr>
      <w:r>
        <w:rPr>
          <w:rFonts w:ascii="仿宋" w:eastAsia="仿宋" w:hAnsi="仿宋" w:cs="仿宋"/>
          <w:spacing w:val="6"/>
          <w:position w:val="7"/>
          <w:sz w:val="22"/>
          <w:szCs w:val="22"/>
        </w:rPr>
        <w:t>2.</w:t>
      </w:r>
      <w:r>
        <w:rPr>
          <w:rFonts w:ascii="仿宋" w:eastAsia="仿宋" w:hAnsi="仿宋" w:cs="仿宋"/>
          <w:spacing w:val="16"/>
          <w:position w:val="7"/>
          <w:sz w:val="22"/>
          <w:szCs w:val="22"/>
        </w:rPr>
        <w:t xml:space="preserve"> </w:t>
      </w:r>
      <w:r>
        <w:rPr>
          <w:rFonts w:ascii="仿宋" w:eastAsia="仿宋" w:hAnsi="仿宋" w:cs="仿宋"/>
          <w:spacing w:val="6"/>
          <w:position w:val="7"/>
          <w:sz w:val="22"/>
          <w:szCs w:val="22"/>
        </w:rPr>
        <w:t>青少年的营养需要</w:t>
      </w:r>
    </w:p>
    <w:p w:rsidR="00EA40A3" w:rsidRDefault="00E86C16">
      <w:pPr>
        <w:spacing w:before="1" w:line="220" w:lineRule="auto"/>
        <w:rPr>
          <w:rFonts w:ascii="宋体" w:eastAsia="宋体" w:hAnsi="宋体" w:cs="宋体"/>
          <w:sz w:val="22"/>
          <w:szCs w:val="22"/>
        </w:rPr>
      </w:pPr>
      <w:r>
        <w:rPr>
          <w:rFonts w:ascii="宋体" w:eastAsia="宋体" w:hAnsi="宋体" w:cs="宋体"/>
          <w:spacing w:val="-5"/>
          <w:sz w:val="22"/>
          <w:szCs w:val="22"/>
        </w:rPr>
        <w:t>1)能量</w:t>
      </w:r>
    </w:p>
    <w:p w:rsidR="00EA40A3" w:rsidRDefault="00E86C16">
      <w:pPr>
        <w:spacing w:before="84" w:line="245" w:lineRule="auto"/>
        <w:ind w:right="19" w:firstLine="429"/>
        <w:jc w:val="both"/>
        <w:rPr>
          <w:rFonts w:ascii="宋体" w:eastAsia="宋体" w:hAnsi="宋体" w:cs="宋体"/>
          <w:sz w:val="22"/>
          <w:szCs w:val="22"/>
        </w:rPr>
      </w:pPr>
      <w:r>
        <w:rPr>
          <w:rFonts w:ascii="宋体" w:eastAsia="宋体" w:hAnsi="宋体" w:cs="宋体"/>
          <w:spacing w:val="-11"/>
          <w:sz w:val="22"/>
          <w:szCs w:val="22"/>
        </w:rPr>
        <w:t>青少年生长发育速度很快，同时青少年尤其是男性在此阶段的活动量较大，</w:t>
      </w:r>
      <w:r>
        <w:rPr>
          <w:rFonts w:ascii="宋体" w:eastAsia="宋体" w:hAnsi="宋体" w:cs="宋体"/>
          <w:spacing w:val="12"/>
          <w:sz w:val="22"/>
          <w:szCs w:val="22"/>
        </w:rPr>
        <w:t xml:space="preserve"> </w:t>
      </w:r>
      <w:r>
        <w:rPr>
          <w:rFonts w:ascii="宋体" w:eastAsia="宋体" w:hAnsi="宋体" w:cs="宋体"/>
          <w:spacing w:val="-12"/>
          <w:sz w:val="22"/>
          <w:szCs w:val="22"/>
        </w:rPr>
        <w:t>食欲增强，因此所需的能量也应相应的增加。另外</w:t>
      </w:r>
      <w:r>
        <w:rPr>
          <w:rFonts w:ascii="宋体" w:eastAsia="宋体" w:hAnsi="宋体" w:cs="宋体"/>
          <w:spacing w:val="-13"/>
          <w:sz w:val="22"/>
          <w:szCs w:val="22"/>
        </w:rPr>
        <w:t>，青春期不同性别、年龄青少</w:t>
      </w:r>
      <w:r>
        <w:rPr>
          <w:rFonts w:ascii="宋体" w:eastAsia="宋体" w:hAnsi="宋体" w:cs="宋体"/>
          <w:sz w:val="22"/>
          <w:szCs w:val="22"/>
        </w:rPr>
        <w:t xml:space="preserve"> </w:t>
      </w:r>
      <w:r>
        <w:rPr>
          <w:rFonts w:ascii="宋体" w:eastAsia="宋体" w:hAnsi="宋体" w:cs="宋体"/>
          <w:spacing w:val="-15"/>
          <w:sz w:val="22"/>
          <w:szCs w:val="22"/>
        </w:rPr>
        <w:t>年所需的能量不同。</w:t>
      </w:r>
      <w:r>
        <w:rPr>
          <w:rFonts w:ascii="宋体" w:eastAsia="宋体" w:hAnsi="宋体" w:cs="宋体"/>
          <w:spacing w:val="53"/>
          <w:sz w:val="22"/>
          <w:szCs w:val="22"/>
        </w:rPr>
        <w:t xml:space="preserve"> </w:t>
      </w:r>
      <w:r>
        <w:rPr>
          <w:rFonts w:ascii="宋体" w:eastAsia="宋体" w:hAnsi="宋体" w:cs="宋体"/>
          <w:spacing w:val="-15"/>
          <w:sz w:val="22"/>
          <w:szCs w:val="22"/>
        </w:rPr>
        <w:t>一般来讲，男性能量需要量高于女性，且随着年龄的增大，</w:t>
      </w:r>
      <w:r>
        <w:rPr>
          <w:rFonts w:ascii="宋体" w:eastAsia="宋体" w:hAnsi="宋体" w:cs="宋体"/>
          <w:sz w:val="22"/>
          <w:szCs w:val="22"/>
        </w:rPr>
        <w:t xml:space="preserve"> </w:t>
      </w:r>
      <w:r>
        <w:rPr>
          <w:rFonts w:ascii="宋体" w:eastAsia="宋体" w:hAnsi="宋体" w:cs="宋体"/>
          <w:spacing w:val="-6"/>
          <w:sz w:val="22"/>
          <w:szCs w:val="22"/>
        </w:rPr>
        <w:t>所需能量越多。中国营养学会推荐青少年能量摄入量女性为8.36～10</w:t>
      </w:r>
      <w:r>
        <w:rPr>
          <w:rFonts w:ascii="宋体" w:eastAsia="宋体" w:hAnsi="宋体" w:cs="宋体"/>
          <w:spacing w:val="-7"/>
          <w:sz w:val="22"/>
          <w:szCs w:val="22"/>
        </w:rPr>
        <w:t>.04</w:t>
      </w:r>
      <w:r>
        <w:rPr>
          <w:rFonts w:ascii="宋体" w:eastAsia="宋体" w:hAnsi="宋体" w:cs="宋体"/>
          <w:spacing w:val="-6"/>
          <w:sz w:val="22"/>
          <w:szCs w:val="22"/>
        </w:rPr>
        <w:t>MJ</w:t>
      </w:r>
      <w:r>
        <w:rPr>
          <w:rFonts w:ascii="宋体" w:eastAsia="宋体" w:hAnsi="宋体" w:cs="宋体"/>
          <w:spacing w:val="-7"/>
          <w:sz w:val="22"/>
          <w:szCs w:val="22"/>
        </w:rPr>
        <w:t>/d,</w:t>
      </w:r>
      <w:r>
        <w:rPr>
          <w:rFonts w:ascii="宋体" w:eastAsia="宋体" w:hAnsi="宋体" w:cs="宋体"/>
          <w:sz w:val="22"/>
          <w:szCs w:val="22"/>
        </w:rPr>
        <w:t xml:space="preserve">  </w:t>
      </w:r>
      <w:r>
        <w:rPr>
          <w:rFonts w:ascii="宋体" w:eastAsia="宋体" w:hAnsi="宋体" w:cs="宋体"/>
          <w:spacing w:val="-7"/>
          <w:sz w:val="22"/>
          <w:szCs w:val="22"/>
        </w:rPr>
        <w:t>男性为8.80～12.13</w:t>
      </w:r>
      <w:r>
        <w:rPr>
          <w:rFonts w:ascii="宋体" w:eastAsia="宋体" w:hAnsi="宋体" w:cs="宋体"/>
          <w:spacing w:val="23"/>
          <w:sz w:val="22"/>
          <w:szCs w:val="22"/>
        </w:rPr>
        <w:t xml:space="preserve"> </w:t>
      </w:r>
      <w:r>
        <w:rPr>
          <w:rFonts w:ascii="宋体" w:eastAsia="宋体" w:hAnsi="宋体" w:cs="宋体"/>
          <w:spacing w:val="-7"/>
          <w:sz w:val="22"/>
          <w:szCs w:val="22"/>
        </w:rPr>
        <w:t>MJ/d。</w:t>
      </w:r>
      <w:r>
        <w:rPr>
          <w:rFonts w:ascii="宋体" w:eastAsia="宋体" w:hAnsi="宋体" w:cs="宋体"/>
          <w:spacing w:val="5"/>
          <w:sz w:val="22"/>
          <w:szCs w:val="22"/>
        </w:rPr>
        <w:t xml:space="preserve"> </w:t>
      </w:r>
      <w:r>
        <w:rPr>
          <w:rFonts w:ascii="宋体" w:eastAsia="宋体" w:hAnsi="宋体" w:cs="宋体"/>
          <w:spacing w:val="-7"/>
          <w:sz w:val="22"/>
          <w:szCs w:val="22"/>
        </w:rPr>
        <w:t>需要说明的是，青少年能量的摄入应平衡、适量。</w:t>
      </w:r>
    </w:p>
    <w:p w:rsidR="00EA40A3" w:rsidRDefault="00EA40A3">
      <w:pPr>
        <w:sectPr w:rsidR="00EA40A3">
          <w:footerReference w:type="default" r:id="rId274"/>
          <w:pgSz w:w="9220" w:h="13360"/>
          <w:pgMar w:top="400" w:right="1000" w:bottom="1286" w:left="860" w:header="0" w:footer="1065" w:gutter="0"/>
          <w:cols w:space="720"/>
        </w:sectPr>
      </w:pPr>
    </w:p>
    <w:p w:rsidR="00EA40A3" w:rsidRDefault="00EA40A3">
      <w:pPr>
        <w:spacing w:line="262" w:lineRule="auto"/>
      </w:pPr>
    </w:p>
    <w:p w:rsidR="00EA40A3" w:rsidRDefault="00EA40A3">
      <w:pPr>
        <w:spacing w:line="263" w:lineRule="auto"/>
      </w:pPr>
    </w:p>
    <w:p w:rsidR="00EA40A3" w:rsidRDefault="00E86C16">
      <w:pPr>
        <w:spacing w:before="68" w:line="261" w:lineRule="auto"/>
        <w:ind w:right="50"/>
        <w:jc w:val="both"/>
        <w:rPr>
          <w:rFonts w:ascii="宋体" w:eastAsia="宋体" w:hAnsi="宋体" w:cs="宋体"/>
        </w:rPr>
      </w:pPr>
      <w:r>
        <w:rPr>
          <w:rFonts w:ascii="宋体" w:eastAsia="宋体" w:hAnsi="宋体" w:cs="宋体"/>
          <w:spacing w:val="-3"/>
        </w:rPr>
        <w:t>能量不足可能导致营养不良，发育迟缓；能量过多则可能导致肥胖。近年来，随</w:t>
      </w:r>
      <w:r>
        <w:rPr>
          <w:rFonts w:ascii="宋体" w:eastAsia="宋体" w:hAnsi="宋体" w:cs="宋体"/>
          <w:spacing w:val="15"/>
        </w:rPr>
        <w:t xml:space="preserve"> </w:t>
      </w:r>
      <w:r>
        <w:rPr>
          <w:rFonts w:ascii="宋体" w:eastAsia="宋体" w:hAnsi="宋体" w:cs="宋体"/>
          <w:spacing w:val="-3"/>
        </w:rPr>
        <w:t>着生活水平的提高，尤其是经济发达城市，因能量</w:t>
      </w:r>
      <w:r>
        <w:rPr>
          <w:rFonts w:ascii="宋体" w:eastAsia="宋体" w:hAnsi="宋体" w:cs="宋体"/>
          <w:spacing w:val="-4"/>
        </w:rPr>
        <w:t>摄入过多导致肥胖青少年的比</w:t>
      </w:r>
      <w:r>
        <w:rPr>
          <w:rFonts w:ascii="宋体" w:eastAsia="宋体" w:hAnsi="宋体" w:cs="宋体"/>
        </w:rPr>
        <w:t xml:space="preserve"> </w:t>
      </w:r>
      <w:r>
        <w:rPr>
          <w:rFonts w:ascii="宋体" w:eastAsia="宋体" w:hAnsi="宋体" w:cs="宋体"/>
          <w:spacing w:val="-12"/>
        </w:rPr>
        <w:t>例呈上升趋势。</w:t>
      </w:r>
    </w:p>
    <w:p w:rsidR="00EA40A3" w:rsidRDefault="00E86C16">
      <w:pPr>
        <w:spacing w:before="48" w:line="226" w:lineRule="auto"/>
        <w:rPr>
          <w:rFonts w:ascii="楷体" w:eastAsia="楷体" w:hAnsi="楷体" w:cs="楷体"/>
        </w:rPr>
      </w:pPr>
      <w:r>
        <w:rPr>
          <w:rFonts w:ascii="楷体" w:eastAsia="楷体" w:hAnsi="楷体" w:cs="楷体"/>
          <w:spacing w:val="7"/>
        </w:rPr>
        <w:t>2)蛋白质</w:t>
      </w:r>
    </w:p>
    <w:p w:rsidR="00EA40A3" w:rsidRDefault="00E86C16">
      <w:pPr>
        <w:spacing w:before="22" w:line="257" w:lineRule="auto"/>
        <w:ind w:right="68" w:firstLine="410"/>
        <w:jc w:val="both"/>
        <w:rPr>
          <w:rFonts w:ascii="宋体" w:eastAsia="宋体" w:hAnsi="宋体" w:cs="宋体"/>
        </w:rPr>
      </w:pPr>
      <w:r>
        <w:rPr>
          <w:rFonts w:ascii="宋体" w:eastAsia="宋体" w:hAnsi="宋体" w:cs="宋体"/>
          <w:spacing w:val="-3"/>
        </w:rPr>
        <w:t>青少年为人的第二个发育高峰期，机体组织器</w:t>
      </w:r>
      <w:r>
        <w:rPr>
          <w:rFonts w:ascii="宋体" w:eastAsia="宋体" w:hAnsi="宋体" w:cs="宋体"/>
          <w:spacing w:val="-4"/>
        </w:rPr>
        <w:t>官的发育迅速，因此需要充足</w:t>
      </w:r>
      <w:r>
        <w:rPr>
          <w:rFonts w:ascii="宋体" w:eastAsia="宋体" w:hAnsi="宋体" w:cs="宋体"/>
        </w:rPr>
        <w:t xml:space="preserve"> </w:t>
      </w:r>
      <w:r>
        <w:rPr>
          <w:rFonts w:ascii="宋体" w:eastAsia="宋体" w:hAnsi="宋体" w:cs="宋体"/>
          <w:spacing w:val="-3"/>
        </w:rPr>
        <w:t>的蛋白质供给。在蛋白质来源的选择上，也需要注意优质蛋白质的摄入。蛋</w:t>
      </w:r>
      <w:r>
        <w:rPr>
          <w:rFonts w:ascii="宋体" w:eastAsia="宋体" w:hAnsi="宋体" w:cs="宋体"/>
          <w:spacing w:val="-4"/>
        </w:rPr>
        <w:t>白质</w:t>
      </w:r>
      <w:r>
        <w:rPr>
          <w:rFonts w:ascii="宋体" w:eastAsia="宋体" w:hAnsi="宋体" w:cs="宋体"/>
        </w:rPr>
        <w:t xml:space="preserve"> </w:t>
      </w:r>
      <w:r>
        <w:rPr>
          <w:rFonts w:ascii="宋体" w:eastAsia="宋体" w:hAnsi="宋体" w:cs="宋体"/>
          <w:spacing w:val="-3"/>
        </w:rPr>
        <w:t>的摄入不足，可能导致青少年发育迟缓、消瘦、体重过轻，严</w:t>
      </w:r>
      <w:r>
        <w:rPr>
          <w:rFonts w:ascii="宋体" w:eastAsia="宋体" w:hAnsi="宋体" w:cs="宋体"/>
          <w:spacing w:val="-4"/>
        </w:rPr>
        <w:t>重的可能使得智力</w:t>
      </w:r>
      <w:r>
        <w:rPr>
          <w:rFonts w:ascii="宋体" w:eastAsia="宋体" w:hAnsi="宋体" w:cs="宋体"/>
        </w:rPr>
        <w:t xml:space="preserve"> </w:t>
      </w:r>
      <w:r>
        <w:rPr>
          <w:rFonts w:ascii="宋体" w:eastAsia="宋体" w:hAnsi="宋体" w:cs="宋体"/>
          <w:spacing w:val="-3"/>
        </w:rPr>
        <w:t>发育障碍。当然，蛋白质摄入过多对青少年也有不利影响，尤其是动物性蛋</w:t>
      </w:r>
      <w:r>
        <w:rPr>
          <w:rFonts w:ascii="宋体" w:eastAsia="宋体" w:hAnsi="宋体" w:cs="宋体"/>
          <w:spacing w:val="-4"/>
        </w:rPr>
        <w:t>白质</w:t>
      </w:r>
      <w:r>
        <w:rPr>
          <w:rFonts w:ascii="宋体" w:eastAsia="宋体" w:hAnsi="宋体" w:cs="宋体"/>
        </w:rPr>
        <w:t xml:space="preserve"> </w:t>
      </w:r>
      <w:r>
        <w:rPr>
          <w:rFonts w:ascii="宋体" w:eastAsia="宋体" w:hAnsi="宋体" w:cs="宋体"/>
          <w:spacing w:val="-4"/>
        </w:rPr>
        <w:t>摄入过多，可能导致体内胆固醇水平的升高。另外，过多的蛋白质摄入增加</w:t>
      </w:r>
      <w:r>
        <w:rPr>
          <w:rFonts w:ascii="宋体" w:eastAsia="宋体" w:hAnsi="宋体" w:cs="宋体"/>
          <w:spacing w:val="-5"/>
        </w:rPr>
        <w:t>肾脏</w:t>
      </w:r>
      <w:r>
        <w:rPr>
          <w:rFonts w:ascii="宋体" w:eastAsia="宋体" w:hAnsi="宋体" w:cs="宋体"/>
        </w:rPr>
        <w:t xml:space="preserve"> </w:t>
      </w:r>
      <w:r>
        <w:rPr>
          <w:rFonts w:ascii="宋体" w:eastAsia="宋体" w:hAnsi="宋体" w:cs="宋体"/>
          <w:spacing w:val="9"/>
        </w:rPr>
        <w:t>负担。因此，中国营养学会建议青少年蛋白质提供</w:t>
      </w:r>
      <w:r>
        <w:rPr>
          <w:rFonts w:ascii="宋体" w:eastAsia="宋体" w:hAnsi="宋体" w:cs="宋体"/>
          <w:spacing w:val="8"/>
        </w:rPr>
        <w:t>的能量应占膳食总能量的</w:t>
      </w:r>
      <w:r>
        <w:rPr>
          <w:rFonts w:ascii="宋体" w:eastAsia="宋体" w:hAnsi="宋体" w:cs="宋体"/>
        </w:rPr>
        <w:t xml:space="preserve"> </w:t>
      </w:r>
      <w:r>
        <w:rPr>
          <w:rFonts w:ascii="宋体" w:eastAsia="宋体" w:hAnsi="宋体" w:cs="宋体"/>
          <w:spacing w:val="10"/>
        </w:rPr>
        <w:t>12%～14%,推荐摄入量在1.5～2.0g/(</w:t>
      </w:r>
      <w:r>
        <w:rPr>
          <w:rFonts w:ascii="宋体" w:eastAsia="宋体" w:hAnsi="宋体" w:cs="宋体"/>
        </w:rPr>
        <w:t>kg</w:t>
      </w:r>
      <w:r>
        <w:rPr>
          <w:rFonts w:ascii="宋体" w:eastAsia="宋体" w:hAnsi="宋体" w:cs="宋体"/>
          <w:spacing w:val="-25"/>
        </w:rPr>
        <w:t xml:space="preserve"> </w:t>
      </w:r>
      <w:r>
        <w:rPr>
          <w:rFonts w:ascii="宋体" w:eastAsia="宋体" w:hAnsi="宋体" w:cs="宋体"/>
          <w:spacing w:val="10"/>
        </w:rPr>
        <w:t>·d)</w:t>
      </w:r>
      <w:r>
        <w:rPr>
          <w:rFonts w:ascii="宋体" w:eastAsia="宋体" w:hAnsi="宋体" w:cs="宋体"/>
          <w:spacing w:val="18"/>
        </w:rPr>
        <w:t xml:space="preserve">  </w:t>
      </w:r>
      <w:r>
        <w:rPr>
          <w:rFonts w:ascii="宋体" w:eastAsia="宋体" w:hAnsi="宋体" w:cs="宋体"/>
          <w:spacing w:val="10"/>
        </w:rPr>
        <w:t>之间。即</w:t>
      </w:r>
      <w:r>
        <w:rPr>
          <w:rFonts w:ascii="宋体" w:eastAsia="宋体" w:hAnsi="宋体" w:cs="宋体"/>
          <w:spacing w:val="9"/>
        </w:rPr>
        <w:t>10岁以上的青少年</w:t>
      </w:r>
      <w:r>
        <w:rPr>
          <w:rFonts w:ascii="宋体" w:eastAsia="宋体" w:hAnsi="宋体" w:cs="宋体"/>
        </w:rPr>
        <w:t xml:space="preserve"> 男性蛋白质的推荐摄入量为70～85g/d,</w:t>
      </w:r>
      <w:r>
        <w:rPr>
          <w:rFonts w:ascii="宋体" w:eastAsia="宋体" w:hAnsi="宋体" w:cs="宋体"/>
          <w:spacing w:val="-1"/>
        </w:rPr>
        <w:t xml:space="preserve"> </w:t>
      </w:r>
      <w:r>
        <w:rPr>
          <w:rFonts w:ascii="宋体" w:eastAsia="宋体" w:hAnsi="宋体" w:cs="宋体"/>
        </w:rPr>
        <w:t>女性为65～80g/d。</w:t>
      </w:r>
    </w:p>
    <w:p w:rsidR="00EA40A3" w:rsidRDefault="00E86C16">
      <w:pPr>
        <w:spacing w:before="114" w:line="219" w:lineRule="auto"/>
        <w:rPr>
          <w:rFonts w:ascii="宋体" w:eastAsia="宋体" w:hAnsi="宋体" w:cs="宋体"/>
        </w:rPr>
      </w:pPr>
      <w:r>
        <w:rPr>
          <w:rFonts w:ascii="宋体" w:eastAsia="宋体" w:hAnsi="宋体" w:cs="宋体"/>
          <w:spacing w:val="9"/>
        </w:rPr>
        <w:t>3)脂类</w:t>
      </w:r>
    </w:p>
    <w:p w:rsidR="00EA40A3" w:rsidRDefault="00E86C16">
      <w:pPr>
        <w:spacing w:before="62" w:line="255" w:lineRule="auto"/>
        <w:ind w:right="75" w:firstLine="410"/>
        <w:jc w:val="both"/>
        <w:rPr>
          <w:rFonts w:ascii="宋体" w:eastAsia="宋体" w:hAnsi="宋体" w:cs="宋体"/>
        </w:rPr>
      </w:pPr>
      <w:r>
        <w:rPr>
          <w:rFonts w:ascii="宋体" w:eastAsia="宋体" w:hAnsi="宋体" w:cs="宋体"/>
          <w:spacing w:val="-3"/>
        </w:rPr>
        <w:t>脂类可以为青少年提供能量和充足的必需脂肪酸</w:t>
      </w:r>
      <w:r>
        <w:rPr>
          <w:rFonts w:ascii="宋体" w:eastAsia="宋体" w:hAnsi="宋体" w:cs="宋体"/>
          <w:spacing w:val="-4"/>
        </w:rPr>
        <w:t>，以保证其正常发育。但膳</w:t>
      </w:r>
      <w:r>
        <w:rPr>
          <w:rFonts w:ascii="宋体" w:eastAsia="宋体" w:hAnsi="宋体" w:cs="宋体"/>
        </w:rPr>
        <w:t xml:space="preserve"> </w:t>
      </w:r>
      <w:r>
        <w:rPr>
          <w:rFonts w:ascii="宋体" w:eastAsia="宋体" w:hAnsi="宋体" w:cs="宋体"/>
          <w:spacing w:val="-4"/>
        </w:rPr>
        <w:t>食脂肪的摄入可能增加血清胆固醇水平，同时可能增加肥胖、心血管疾病、高血</w:t>
      </w:r>
      <w:r>
        <w:rPr>
          <w:rFonts w:ascii="宋体" w:eastAsia="宋体" w:hAnsi="宋体" w:cs="宋体"/>
          <w:spacing w:val="17"/>
        </w:rPr>
        <w:t xml:space="preserve"> </w:t>
      </w:r>
      <w:r>
        <w:rPr>
          <w:rFonts w:ascii="宋体" w:eastAsia="宋体" w:hAnsi="宋体" w:cs="宋体"/>
          <w:spacing w:val="31"/>
        </w:rPr>
        <w:t>压发生的危险性。中国营养学会推荐青少年脂类的摄入量占总能量的</w:t>
      </w:r>
      <w:r>
        <w:rPr>
          <w:rFonts w:ascii="宋体" w:eastAsia="宋体" w:hAnsi="宋体" w:cs="宋体"/>
          <w:spacing w:val="5"/>
        </w:rPr>
        <w:t xml:space="preserve"> </w:t>
      </w:r>
      <w:r>
        <w:rPr>
          <w:rFonts w:ascii="宋体" w:eastAsia="宋体" w:hAnsi="宋体" w:cs="宋体"/>
          <w:spacing w:val="-5"/>
        </w:rPr>
        <w:t>25%～30%。</w:t>
      </w:r>
    </w:p>
    <w:p w:rsidR="00EA40A3" w:rsidRDefault="00E86C16">
      <w:pPr>
        <w:spacing w:before="51" w:line="229" w:lineRule="auto"/>
        <w:rPr>
          <w:rFonts w:ascii="楷体" w:eastAsia="楷体" w:hAnsi="楷体" w:cs="楷体"/>
        </w:rPr>
      </w:pPr>
      <w:r>
        <w:rPr>
          <w:rFonts w:ascii="楷体" w:eastAsia="楷体" w:hAnsi="楷体" w:cs="楷体"/>
          <w:spacing w:val="3"/>
        </w:rPr>
        <w:t>4)碳水化合物</w:t>
      </w:r>
    </w:p>
    <w:p w:rsidR="00EA40A3" w:rsidRDefault="00E86C16">
      <w:pPr>
        <w:spacing w:before="55" w:line="257" w:lineRule="auto"/>
        <w:ind w:right="74" w:firstLine="410"/>
        <w:jc w:val="both"/>
        <w:rPr>
          <w:rFonts w:ascii="宋体" w:eastAsia="宋体" w:hAnsi="宋体" w:cs="宋体"/>
        </w:rPr>
      </w:pPr>
      <w:r>
        <w:rPr>
          <w:rFonts w:ascii="宋体" w:eastAsia="宋体" w:hAnsi="宋体" w:cs="宋体"/>
          <w:spacing w:val="-3"/>
        </w:rPr>
        <w:t>青少年时期活动量较大，尤其是学习活动使得大</w:t>
      </w:r>
      <w:r>
        <w:rPr>
          <w:rFonts w:ascii="宋体" w:eastAsia="宋体" w:hAnsi="宋体" w:cs="宋体"/>
          <w:spacing w:val="-4"/>
        </w:rPr>
        <w:t>脑经常处于紧张状态，要求</w:t>
      </w:r>
      <w:r>
        <w:rPr>
          <w:rFonts w:ascii="宋体" w:eastAsia="宋体" w:hAnsi="宋体" w:cs="宋体"/>
        </w:rPr>
        <w:t xml:space="preserve"> 有充足的血糖供应。青少年碳水化合物摄取每天应有</w:t>
      </w:r>
      <w:r>
        <w:rPr>
          <w:rFonts w:ascii="宋体" w:eastAsia="宋体" w:hAnsi="宋体" w:cs="宋体"/>
          <w:spacing w:val="-1"/>
        </w:rPr>
        <w:t>300～450g,</w:t>
      </w:r>
      <w:r>
        <w:rPr>
          <w:rFonts w:ascii="宋体" w:eastAsia="宋体" w:hAnsi="宋体" w:cs="宋体"/>
          <w:spacing w:val="6"/>
        </w:rPr>
        <w:t xml:space="preserve"> </w:t>
      </w:r>
      <w:r>
        <w:rPr>
          <w:rFonts w:ascii="宋体" w:eastAsia="宋体" w:hAnsi="宋体" w:cs="宋体"/>
          <w:spacing w:val="-1"/>
        </w:rPr>
        <w:t>所提供能量占</w:t>
      </w:r>
      <w:r>
        <w:rPr>
          <w:rFonts w:ascii="宋体" w:eastAsia="宋体" w:hAnsi="宋体" w:cs="宋体"/>
        </w:rPr>
        <w:t xml:space="preserve"> </w:t>
      </w:r>
      <w:r>
        <w:rPr>
          <w:rFonts w:ascii="宋体" w:eastAsia="宋体" w:hAnsi="宋体" w:cs="宋体"/>
          <w:spacing w:val="13"/>
        </w:rPr>
        <w:t>总热量的50%～60%。</w:t>
      </w:r>
    </w:p>
    <w:p w:rsidR="00EA40A3" w:rsidRDefault="00E86C16">
      <w:pPr>
        <w:spacing w:before="45" w:line="227" w:lineRule="auto"/>
        <w:rPr>
          <w:rFonts w:ascii="楷体" w:eastAsia="楷体" w:hAnsi="楷体" w:cs="楷体"/>
        </w:rPr>
      </w:pPr>
      <w:r>
        <w:rPr>
          <w:rFonts w:ascii="楷体" w:eastAsia="楷体" w:hAnsi="楷体" w:cs="楷体"/>
          <w:spacing w:val="7"/>
        </w:rPr>
        <w:t>5)矿物质</w:t>
      </w:r>
    </w:p>
    <w:p w:rsidR="00EA40A3" w:rsidRDefault="00E86C16">
      <w:pPr>
        <w:spacing w:before="42" w:line="259" w:lineRule="auto"/>
        <w:ind w:firstLine="410"/>
        <w:jc w:val="both"/>
        <w:rPr>
          <w:rFonts w:ascii="宋体" w:eastAsia="宋体" w:hAnsi="宋体" w:cs="宋体"/>
        </w:rPr>
      </w:pPr>
      <w:r>
        <w:rPr>
          <w:rFonts w:ascii="宋体" w:eastAsia="宋体" w:hAnsi="宋体" w:cs="宋体"/>
          <w:spacing w:val="2"/>
        </w:rPr>
        <w:t>为满足青少年时期的快速生长和生理功能的正常调节，矿物质的供给应足</w:t>
      </w:r>
      <w:r>
        <w:rPr>
          <w:rFonts w:ascii="宋体" w:eastAsia="宋体" w:hAnsi="宋体" w:cs="宋体"/>
          <w:spacing w:val="7"/>
        </w:rPr>
        <w:t xml:space="preserve">  </w:t>
      </w:r>
      <w:r>
        <w:rPr>
          <w:rFonts w:ascii="宋体" w:eastAsia="宋体" w:hAnsi="宋体" w:cs="宋体"/>
          <w:spacing w:val="-1"/>
        </w:rPr>
        <w:t>够。青少年时期人的体格增加很快，骨骼增长迅速，因此比成人需要更多</w:t>
      </w:r>
      <w:r>
        <w:rPr>
          <w:rFonts w:ascii="宋体" w:eastAsia="宋体" w:hAnsi="宋体" w:cs="宋体"/>
          <w:spacing w:val="-2"/>
        </w:rPr>
        <w:t>的钙。</w:t>
      </w:r>
      <w:r>
        <w:rPr>
          <w:rFonts w:ascii="宋体" w:eastAsia="宋体" w:hAnsi="宋体" w:cs="宋体"/>
        </w:rPr>
        <w:t xml:space="preserve"> </w:t>
      </w:r>
      <w:r>
        <w:rPr>
          <w:rFonts w:ascii="宋体" w:eastAsia="宋体" w:hAnsi="宋体" w:cs="宋体"/>
          <w:spacing w:val="-3"/>
        </w:rPr>
        <w:t>青少年时期充足的钙摄入有助于提高成人后的</w:t>
      </w:r>
      <w:r>
        <w:rPr>
          <w:rFonts w:ascii="宋体" w:eastAsia="宋体" w:hAnsi="宋体" w:cs="宋体"/>
          <w:spacing w:val="-4"/>
        </w:rPr>
        <w:t>骨密度峰值，而钙摄入的不足可能</w:t>
      </w:r>
      <w:r>
        <w:rPr>
          <w:rFonts w:ascii="宋体" w:eastAsia="宋体" w:hAnsi="宋体" w:cs="宋体"/>
        </w:rPr>
        <w:t xml:space="preserve"> </w:t>
      </w:r>
      <w:r>
        <w:rPr>
          <w:rFonts w:ascii="宋体" w:eastAsia="宋体" w:hAnsi="宋体" w:cs="宋体"/>
          <w:spacing w:val="1"/>
        </w:rPr>
        <w:t>导致新骨结构异常，骨钙化不良，甚至骨骼变形等。青春期</w:t>
      </w:r>
      <w:r>
        <w:rPr>
          <w:rFonts w:ascii="宋体" w:eastAsia="宋体" w:hAnsi="宋体" w:cs="宋体"/>
        </w:rPr>
        <w:t>钙的适宜摄入量</w:t>
      </w:r>
      <w:r>
        <w:rPr>
          <w:rFonts w:ascii="宋体" w:eastAsia="宋体" w:hAnsi="宋体" w:cs="宋体"/>
          <w:spacing w:val="-54"/>
        </w:rPr>
        <w:t xml:space="preserve"> </w:t>
      </w:r>
      <w:r>
        <w:rPr>
          <w:rFonts w:ascii="宋体" w:eastAsia="宋体" w:hAnsi="宋体" w:cs="宋体"/>
        </w:rPr>
        <w:t>AI  值为1000mg/d,</w:t>
      </w:r>
      <w:r>
        <w:rPr>
          <w:rFonts w:ascii="宋体" w:eastAsia="宋体" w:hAnsi="宋体" w:cs="宋体"/>
          <w:spacing w:val="52"/>
        </w:rPr>
        <w:t xml:space="preserve"> </w:t>
      </w:r>
      <w:r>
        <w:rPr>
          <w:rFonts w:ascii="宋体" w:eastAsia="宋体" w:hAnsi="宋体" w:cs="宋体"/>
        </w:rPr>
        <w:t>可耐受最高摄入量UL</w:t>
      </w:r>
      <w:r>
        <w:rPr>
          <w:rFonts w:ascii="宋体" w:eastAsia="宋体" w:hAnsi="宋体" w:cs="宋体"/>
          <w:spacing w:val="38"/>
        </w:rPr>
        <w:t xml:space="preserve"> </w:t>
      </w:r>
      <w:r>
        <w:rPr>
          <w:rFonts w:ascii="宋体" w:eastAsia="宋体" w:hAnsi="宋体" w:cs="宋体"/>
        </w:rPr>
        <w:t>值为20</w:t>
      </w:r>
      <w:r>
        <w:rPr>
          <w:rFonts w:ascii="宋体" w:eastAsia="宋体" w:hAnsi="宋体" w:cs="宋体"/>
          <w:spacing w:val="-1"/>
        </w:rPr>
        <w:t>00</w:t>
      </w:r>
      <w:r>
        <w:rPr>
          <w:rFonts w:ascii="宋体" w:eastAsia="宋体" w:hAnsi="宋体" w:cs="宋体"/>
        </w:rPr>
        <w:t>mg</w:t>
      </w:r>
      <w:r>
        <w:rPr>
          <w:rFonts w:ascii="宋体" w:eastAsia="宋体" w:hAnsi="宋体" w:cs="宋体"/>
          <w:spacing w:val="-1"/>
        </w:rPr>
        <w:t>/d。</w:t>
      </w:r>
      <w:r>
        <w:rPr>
          <w:rFonts w:ascii="宋体" w:eastAsia="宋体" w:hAnsi="宋体" w:cs="宋体"/>
          <w:spacing w:val="26"/>
        </w:rPr>
        <w:t xml:space="preserve"> </w:t>
      </w:r>
      <w:r>
        <w:rPr>
          <w:rFonts w:ascii="宋体" w:eastAsia="宋体" w:hAnsi="宋体" w:cs="宋体"/>
          <w:spacing w:val="-1"/>
        </w:rPr>
        <w:t>对于铁，青春期女性因</w:t>
      </w:r>
      <w:r>
        <w:rPr>
          <w:rFonts w:ascii="宋体" w:eastAsia="宋体" w:hAnsi="宋体" w:cs="宋体"/>
        </w:rPr>
        <w:t xml:space="preserve"> </w:t>
      </w:r>
      <w:r>
        <w:rPr>
          <w:rFonts w:ascii="宋体" w:eastAsia="宋体" w:hAnsi="宋体" w:cs="宋体"/>
          <w:spacing w:val="-4"/>
        </w:rPr>
        <w:t>为月经来潮每个月有固定的血液流失，因此铁的供给量应高于男性，中国营养学</w:t>
      </w:r>
      <w:r>
        <w:rPr>
          <w:rFonts w:ascii="宋体" w:eastAsia="宋体" w:hAnsi="宋体" w:cs="宋体"/>
        </w:rPr>
        <w:t xml:space="preserve">  </w:t>
      </w:r>
      <w:r>
        <w:rPr>
          <w:rFonts w:ascii="宋体" w:eastAsia="宋体" w:hAnsi="宋体" w:cs="宋体"/>
          <w:spacing w:val="3"/>
        </w:rPr>
        <w:t>会推荐的适宜摄入量</w:t>
      </w:r>
      <w:r>
        <w:rPr>
          <w:rFonts w:ascii="宋体" w:eastAsia="宋体" w:hAnsi="宋体" w:cs="宋体"/>
        </w:rPr>
        <w:t>AI</w:t>
      </w:r>
      <w:r>
        <w:rPr>
          <w:rFonts w:ascii="宋体" w:eastAsia="宋体" w:hAnsi="宋体" w:cs="宋体"/>
          <w:spacing w:val="-24"/>
        </w:rPr>
        <w:t xml:space="preserve"> </w:t>
      </w:r>
      <w:r>
        <w:rPr>
          <w:rFonts w:ascii="宋体" w:eastAsia="宋体" w:hAnsi="宋体" w:cs="宋体"/>
          <w:spacing w:val="3"/>
        </w:rPr>
        <w:t>值为女性18～25</w:t>
      </w:r>
      <w:r>
        <w:rPr>
          <w:rFonts w:ascii="宋体" w:eastAsia="宋体" w:hAnsi="宋体" w:cs="宋体"/>
        </w:rPr>
        <w:t>mg</w:t>
      </w:r>
      <w:r>
        <w:rPr>
          <w:rFonts w:ascii="宋体" w:eastAsia="宋体" w:hAnsi="宋体" w:cs="宋体"/>
          <w:spacing w:val="3"/>
        </w:rPr>
        <w:t>/d,</w:t>
      </w:r>
      <w:r>
        <w:rPr>
          <w:rFonts w:ascii="宋体" w:eastAsia="宋体" w:hAnsi="宋体" w:cs="宋体"/>
          <w:spacing w:val="52"/>
        </w:rPr>
        <w:t xml:space="preserve"> </w:t>
      </w:r>
      <w:r>
        <w:rPr>
          <w:rFonts w:ascii="宋体" w:eastAsia="宋体" w:hAnsi="宋体" w:cs="宋体"/>
          <w:spacing w:val="2"/>
        </w:rPr>
        <w:t>男性16～20</w:t>
      </w:r>
      <w:r>
        <w:rPr>
          <w:rFonts w:ascii="宋体" w:eastAsia="宋体" w:hAnsi="宋体" w:cs="宋体"/>
        </w:rPr>
        <w:t>mg</w:t>
      </w:r>
      <w:r>
        <w:rPr>
          <w:rFonts w:ascii="宋体" w:eastAsia="宋体" w:hAnsi="宋体" w:cs="宋体"/>
          <w:spacing w:val="2"/>
        </w:rPr>
        <w:t>/d,</w:t>
      </w:r>
      <w:r>
        <w:rPr>
          <w:rFonts w:ascii="宋体" w:eastAsia="宋体" w:hAnsi="宋体" w:cs="宋体"/>
          <w:spacing w:val="53"/>
        </w:rPr>
        <w:t xml:space="preserve"> </w:t>
      </w:r>
      <w:r>
        <w:rPr>
          <w:rFonts w:ascii="宋体" w:eastAsia="宋体" w:hAnsi="宋体" w:cs="宋体"/>
          <w:spacing w:val="2"/>
        </w:rPr>
        <w:t>可耐受最高</w:t>
      </w:r>
      <w:r>
        <w:rPr>
          <w:rFonts w:ascii="宋体" w:eastAsia="宋体" w:hAnsi="宋体" w:cs="宋体"/>
        </w:rPr>
        <w:t xml:space="preserve">  </w:t>
      </w:r>
      <w:r>
        <w:rPr>
          <w:rFonts w:ascii="宋体" w:eastAsia="宋体" w:hAnsi="宋体" w:cs="宋体"/>
          <w:spacing w:val="-2"/>
        </w:rPr>
        <w:t>摄入量UL</w:t>
      </w:r>
      <w:r>
        <w:rPr>
          <w:rFonts w:ascii="宋体" w:eastAsia="宋体" w:hAnsi="宋体" w:cs="宋体"/>
          <w:spacing w:val="35"/>
        </w:rPr>
        <w:t xml:space="preserve"> </w:t>
      </w:r>
      <w:r>
        <w:rPr>
          <w:rFonts w:ascii="宋体" w:eastAsia="宋体" w:hAnsi="宋体" w:cs="宋体"/>
          <w:spacing w:val="-2"/>
        </w:rPr>
        <w:t>值男性、女性均为50mg/d。</w:t>
      </w:r>
      <w:r>
        <w:rPr>
          <w:rFonts w:ascii="宋体" w:eastAsia="宋体" w:hAnsi="宋体" w:cs="宋体"/>
          <w:spacing w:val="57"/>
        </w:rPr>
        <w:t xml:space="preserve"> </w:t>
      </w:r>
      <w:r>
        <w:rPr>
          <w:rFonts w:ascii="宋体" w:eastAsia="宋体" w:hAnsi="宋体" w:cs="宋体"/>
          <w:spacing w:val="-2"/>
        </w:rPr>
        <w:t>中国营养学会对碘的推荐摄入量</w:t>
      </w:r>
      <w:r>
        <w:rPr>
          <w:rFonts w:ascii="宋体" w:eastAsia="宋体" w:hAnsi="宋体" w:cs="宋体"/>
          <w:spacing w:val="-47"/>
        </w:rPr>
        <w:t xml:space="preserve"> </w:t>
      </w:r>
      <w:r>
        <w:rPr>
          <w:rFonts w:ascii="宋体" w:eastAsia="宋体" w:hAnsi="宋体" w:cs="宋体"/>
          <w:spacing w:val="-2"/>
        </w:rPr>
        <w:t>RNI</w:t>
      </w:r>
      <w:r>
        <w:rPr>
          <w:rFonts w:ascii="宋体" w:eastAsia="宋体" w:hAnsi="宋体" w:cs="宋体"/>
          <w:spacing w:val="16"/>
        </w:rPr>
        <w:t xml:space="preserve"> </w:t>
      </w:r>
      <w:r>
        <w:rPr>
          <w:rFonts w:ascii="宋体" w:eastAsia="宋体" w:hAnsi="宋体" w:cs="宋体"/>
          <w:spacing w:val="-2"/>
        </w:rPr>
        <w:t>值</w:t>
      </w:r>
      <w:r>
        <w:rPr>
          <w:rFonts w:ascii="宋体" w:eastAsia="宋体" w:hAnsi="宋体" w:cs="宋体"/>
        </w:rPr>
        <w:t xml:space="preserve"> </w:t>
      </w:r>
      <w:r>
        <w:rPr>
          <w:rFonts w:ascii="宋体" w:eastAsia="宋体" w:hAnsi="宋体" w:cs="宋体"/>
          <w:spacing w:val="-1"/>
        </w:rPr>
        <w:t>为120～150μg/d,</w:t>
      </w:r>
      <w:r>
        <w:rPr>
          <w:rFonts w:ascii="宋体" w:eastAsia="宋体" w:hAnsi="宋体" w:cs="宋体"/>
          <w:spacing w:val="20"/>
        </w:rPr>
        <w:t xml:space="preserve"> </w:t>
      </w:r>
      <w:r>
        <w:rPr>
          <w:rFonts w:ascii="宋体" w:eastAsia="宋体" w:hAnsi="宋体" w:cs="宋体"/>
          <w:spacing w:val="-1"/>
        </w:rPr>
        <w:t>但碘摄入过量则可能导致高碘性甲状腺肿，因此，青少年碘</w:t>
      </w:r>
      <w:r>
        <w:rPr>
          <w:rFonts w:ascii="宋体" w:eastAsia="宋体" w:hAnsi="宋体" w:cs="宋体"/>
        </w:rPr>
        <w:t xml:space="preserve"> </w:t>
      </w:r>
      <w:r>
        <w:rPr>
          <w:rFonts w:ascii="宋体" w:eastAsia="宋体" w:hAnsi="宋体" w:cs="宋体"/>
          <w:spacing w:val="7"/>
        </w:rPr>
        <w:t>的可耐受最高摄入量</w:t>
      </w:r>
      <w:r>
        <w:rPr>
          <w:rFonts w:ascii="宋体" w:eastAsia="宋体" w:hAnsi="宋体" w:cs="宋体"/>
          <w:spacing w:val="-14"/>
        </w:rPr>
        <w:t xml:space="preserve"> </w:t>
      </w:r>
      <w:r>
        <w:rPr>
          <w:rFonts w:ascii="宋体" w:eastAsia="宋体" w:hAnsi="宋体" w:cs="宋体"/>
        </w:rPr>
        <w:t>UL</w:t>
      </w:r>
      <w:r>
        <w:rPr>
          <w:rFonts w:ascii="宋体" w:eastAsia="宋体" w:hAnsi="宋体" w:cs="宋体"/>
          <w:spacing w:val="48"/>
        </w:rPr>
        <w:t xml:space="preserve"> </w:t>
      </w:r>
      <w:r>
        <w:rPr>
          <w:rFonts w:ascii="宋体" w:eastAsia="宋体" w:hAnsi="宋体" w:cs="宋体"/>
          <w:spacing w:val="7"/>
        </w:rPr>
        <w:t>值为800μg/d。</w:t>
      </w:r>
      <w:r>
        <w:rPr>
          <w:rFonts w:ascii="宋体" w:eastAsia="宋体" w:hAnsi="宋体" w:cs="宋体"/>
          <w:spacing w:val="-43"/>
        </w:rPr>
        <w:t xml:space="preserve"> </w:t>
      </w:r>
      <w:r>
        <w:rPr>
          <w:rFonts w:ascii="宋体" w:eastAsia="宋体" w:hAnsi="宋体" w:cs="宋体"/>
          <w:spacing w:val="7"/>
        </w:rPr>
        <w:t>锌的推荐摄入量</w:t>
      </w:r>
      <w:r>
        <w:rPr>
          <w:rFonts w:ascii="宋体" w:eastAsia="宋体" w:hAnsi="宋体" w:cs="宋体"/>
        </w:rPr>
        <w:t>RNI</w:t>
      </w:r>
      <w:r>
        <w:rPr>
          <w:rFonts w:ascii="宋体" w:eastAsia="宋体" w:hAnsi="宋体" w:cs="宋体"/>
          <w:spacing w:val="47"/>
        </w:rPr>
        <w:t xml:space="preserve"> </w:t>
      </w:r>
      <w:r>
        <w:rPr>
          <w:rFonts w:ascii="宋体" w:eastAsia="宋体" w:hAnsi="宋体" w:cs="宋体"/>
          <w:spacing w:val="7"/>
        </w:rPr>
        <w:t>值男性为18~</w:t>
      </w:r>
      <w:r>
        <w:rPr>
          <w:rFonts w:ascii="宋体" w:eastAsia="宋体" w:hAnsi="宋体" w:cs="宋体"/>
        </w:rPr>
        <w:t xml:space="preserve">  </w:t>
      </w:r>
      <w:r>
        <w:rPr>
          <w:rFonts w:ascii="宋体" w:eastAsia="宋体" w:hAnsi="宋体" w:cs="宋体"/>
          <w:spacing w:val="3"/>
        </w:rPr>
        <w:t>19</w:t>
      </w:r>
      <w:r>
        <w:rPr>
          <w:rFonts w:ascii="宋体" w:eastAsia="宋体" w:hAnsi="宋体" w:cs="宋体"/>
        </w:rPr>
        <w:t>mg</w:t>
      </w:r>
      <w:r>
        <w:rPr>
          <w:rFonts w:ascii="宋体" w:eastAsia="宋体" w:hAnsi="宋体" w:cs="宋体"/>
          <w:spacing w:val="3"/>
        </w:rPr>
        <w:t>/d,</w:t>
      </w:r>
      <w:r>
        <w:rPr>
          <w:rFonts w:ascii="宋体" w:eastAsia="宋体" w:hAnsi="宋体" w:cs="宋体"/>
          <w:spacing w:val="33"/>
        </w:rPr>
        <w:t xml:space="preserve"> </w:t>
      </w:r>
      <w:r>
        <w:rPr>
          <w:rFonts w:ascii="宋体" w:eastAsia="宋体" w:hAnsi="宋体" w:cs="宋体"/>
          <w:spacing w:val="3"/>
        </w:rPr>
        <w:t>女性为15～15.5</w:t>
      </w:r>
      <w:r>
        <w:rPr>
          <w:rFonts w:ascii="宋体" w:eastAsia="宋体" w:hAnsi="宋体" w:cs="宋体"/>
        </w:rPr>
        <w:t>mg</w:t>
      </w:r>
      <w:r>
        <w:rPr>
          <w:rFonts w:ascii="宋体" w:eastAsia="宋体" w:hAnsi="宋体" w:cs="宋体"/>
          <w:spacing w:val="3"/>
        </w:rPr>
        <w:t>/d;</w:t>
      </w:r>
      <w:r>
        <w:rPr>
          <w:rFonts w:ascii="宋体" w:eastAsia="宋体" w:hAnsi="宋体" w:cs="宋体"/>
          <w:spacing w:val="43"/>
        </w:rPr>
        <w:t xml:space="preserve"> </w:t>
      </w:r>
      <w:r>
        <w:rPr>
          <w:rFonts w:ascii="宋体" w:eastAsia="宋体" w:hAnsi="宋体" w:cs="宋体"/>
          <w:spacing w:val="3"/>
        </w:rPr>
        <w:t>可耐受最高摄入量</w:t>
      </w:r>
      <w:r>
        <w:rPr>
          <w:rFonts w:ascii="宋体" w:eastAsia="宋体" w:hAnsi="宋体" w:cs="宋体"/>
        </w:rPr>
        <w:t>UL</w:t>
      </w:r>
      <w:r>
        <w:rPr>
          <w:rFonts w:ascii="宋体" w:eastAsia="宋体" w:hAnsi="宋体" w:cs="宋体"/>
          <w:spacing w:val="38"/>
        </w:rPr>
        <w:t xml:space="preserve"> </w:t>
      </w:r>
      <w:r>
        <w:rPr>
          <w:rFonts w:ascii="宋体" w:eastAsia="宋体" w:hAnsi="宋体" w:cs="宋体"/>
          <w:spacing w:val="3"/>
        </w:rPr>
        <w:t>值男性为3</w:t>
      </w:r>
      <w:r>
        <w:rPr>
          <w:rFonts w:ascii="宋体" w:eastAsia="宋体" w:hAnsi="宋体" w:cs="宋体"/>
          <w:spacing w:val="2"/>
        </w:rPr>
        <w:t>7～42</w:t>
      </w:r>
      <w:r>
        <w:rPr>
          <w:rFonts w:ascii="宋体" w:eastAsia="宋体" w:hAnsi="宋体" w:cs="宋体"/>
        </w:rPr>
        <w:t>mg</w:t>
      </w:r>
      <w:r>
        <w:rPr>
          <w:rFonts w:ascii="宋体" w:eastAsia="宋体" w:hAnsi="宋体" w:cs="宋体"/>
          <w:spacing w:val="2"/>
        </w:rPr>
        <w:t>/d,</w:t>
      </w:r>
      <w:r>
        <w:rPr>
          <w:rFonts w:ascii="宋体" w:eastAsia="宋体" w:hAnsi="宋体" w:cs="宋体"/>
        </w:rPr>
        <w:t xml:space="preserve">  </w:t>
      </w:r>
      <w:r>
        <w:rPr>
          <w:rFonts w:ascii="宋体" w:eastAsia="宋体" w:hAnsi="宋体" w:cs="宋体"/>
          <w:spacing w:val="-3"/>
        </w:rPr>
        <w:t>女性为34～35mg/d。</w:t>
      </w:r>
    </w:p>
    <w:p w:rsidR="00EA40A3" w:rsidRDefault="00E86C16">
      <w:pPr>
        <w:spacing w:before="122" w:line="225" w:lineRule="auto"/>
        <w:rPr>
          <w:rFonts w:ascii="楷体" w:eastAsia="楷体" w:hAnsi="楷体" w:cs="楷体"/>
        </w:rPr>
      </w:pPr>
      <w:r>
        <w:rPr>
          <w:rFonts w:ascii="楷体" w:eastAsia="楷体" w:hAnsi="楷体" w:cs="楷体"/>
          <w:spacing w:val="5"/>
        </w:rPr>
        <w:t>6)维生素</w:t>
      </w:r>
    </w:p>
    <w:p w:rsidR="00EA40A3" w:rsidRDefault="00E86C16">
      <w:pPr>
        <w:spacing w:before="75" w:line="219" w:lineRule="auto"/>
        <w:ind w:left="410"/>
        <w:rPr>
          <w:rFonts w:ascii="宋体" w:eastAsia="宋体" w:hAnsi="宋体" w:cs="宋体"/>
        </w:rPr>
      </w:pPr>
      <w:r>
        <w:rPr>
          <w:rFonts w:ascii="宋体" w:eastAsia="宋体" w:hAnsi="宋体" w:cs="宋体"/>
          <w:spacing w:val="-5"/>
        </w:rPr>
        <w:t>为配合青春期较高的热量需求，</w:t>
      </w:r>
      <w:r>
        <w:rPr>
          <w:rFonts w:ascii="宋体" w:eastAsia="宋体" w:hAnsi="宋体" w:cs="宋体"/>
          <w:spacing w:val="-13"/>
        </w:rPr>
        <w:t xml:space="preserve"> </w:t>
      </w:r>
      <w:r>
        <w:rPr>
          <w:rFonts w:ascii="宋体" w:eastAsia="宋体" w:hAnsi="宋体" w:cs="宋体"/>
          <w:spacing w:val="-5"/>
        </w:rPr>
        <w:t>B</w:t>
      </w:r>
      <w:r>
        <w:rPr>
          <w:rFonts w:ascii="宋体" w:eastAsia="宋体" w:hAnsi="宋体" w:cs="宋体"/>
          <w:spacing w:val="-27"/>
        </w:rPr>
        <w:t xml:space="preserve"> </w:t>
      </w:r>
      <w:r>
        <w:rPr>
          <w:rFonts w:ascii="宋体" w:eastAsia="宋体" w:hAnsi="宋体" w:cs="宋体"/>
          <w:spacing w:val="-5"/>
        </w:rPr>
        <w:t>族维生素的供应量应适</w:t>
      </w:r>
      <w:r>
        <w:rPr>
          <w:rFonts w:ascii="宋体" w:eastAsia="宋体" w:hAnsi="宋体" w:cs="宋体"/>
          <w:spacing w:val="-6"/>
        </w:rPr>
        <w:t>当增加。青少年膳</w:t>
      </w:r>
    </w:p>
    <w:p w:rsidR="00EA40A3" w:rsidRDefault="00E86C16">
      <w:pPr>
        <w:spacing w:before="76"/>
        <w:ind w:left="140"/>
        <w:rPr>
          <w:rFonts w:ascii="宋体" w:eastAsia="宋体" w:hAnsi="宋体" w:cs="宋体"/>
          <w:sz w:val="16"/>
          <w:szCs w:val="16"/>
        </w:rPr>
      </w:pPr>
      <w:r>
        <w:rPr>
          <w:rFonts w:ascii="宋体" w:eastAsia="宋体" w:hAnsi="宋体" w:cs="宋体"/>
          <w:spacing w:val="-20"/>
          <w:sz w:val="16"/>
          <w:szCs w:val="16"/>
        </w:rPr>
        <w:t>·</w:t>
      </w:r>
      <w:r>
        <w:rPr>
          <w:rFonts w:ascii="宋体" w:eastAsia="宋体" w:hAnsi="宋体" w:cs="宋体"/>
          <w:spacing w:val="4"/>
          <w:sz w:val="16"/>
          <w:szCs w:val="16"/>
        </w:rPr>
        <w:t xml:space="preserve"> </w:t>
      </w:r>
      <w:r>
        <w:rPr>
          <w:rFonts w:ascii="宋体" w:eastAsia="宋体" w:hAnsi="宋体" w:cs="宋体"/>
          <w:spacing w:val="-20"/>
          <w:sz w:val="16"/>
          <w:szCs w:val="16"/>
        </w:rPr>
        <w:t>328</w:t>
      </w:r>
      <w:r>
        <w:rPr>
          <w:rFonts w:ascii="宋体" w:eastAsia="宋体" w:hAnsi="宋体" w:cs="宋体"/>
          <w:spacing w:val="50"/>
          <w:sz w:val="16"/>
          <w:szCs w:val="16"/>
        </w:rPr>
        <w:t xml:space="preserve"> </w:t>
      </w:r>
      <w:r>
        <w:rPr>
          <w:rFonts w:ascii="宋体" w:eastAsia="宋体" w:hAnsi="宋体" w:cs="宋体"/>
          <w:spacing w:val="-20"/>
          <w:sz w:val="16"/>
          <w:szCs w:val="16"/>
        </w:rPr>
        <w:t>·</w:t>
      </w:r>
    </w:p>
    <w:p w:rsidR="00EA40A3" w:rsidRDefault="00EA40A3">
      <w:pPr>
        <w:sectPr w:rsidR="00EA40A3">
          <w:footerReference w:type="default" r:id="rId275"/>
          <w:pgSz w:w="9220" w:h="13360"/>
          <w:pgMar w:top="400" w:right="1007" w:bottom="400" w:left="899" w:header="0" w:footer="0" w:gutter="0"/>
          <w:cols w:space="720"/>
        </w:sectPr>
      </w:pPr>
    </w:p>
    <w:p w:rsidR="00EA40A3" w:rsidRDefault="00EA40A3">
      <w:pPr>
        <w:spacing w:line="284" w:lineRule="auto"/>
      </w:pPr>
    </w:p>
    <w:p w:rsidR="00EA40A3" w:rsidRDefault="00EA40A3">
      <w:pPr>
        <w:spacing w:line="284" w:lineRule="auto"/>
      </w:pPr>
    </w:p>
    <w:p w:rsidR="00EA40A3" w:rsidRDefault="00E86C16">
      <w:pPr>
        <w:spacing w:before="72" w:line="255" w:lineRule="auto"/>
        <w:jc w:val="both"/>
        <w:rPr>
          <w:rFonts w:ascii="宋体" w:eastAsia="宋体" w:hAnsi="宋体" w:cs="宋体"/>
          <w:sz w:val="22"/>
          <w:szCs w:val="22"/>
        </w:rPr>
      </w:pPr>
      <w:r>
        <w:rPr>
          <w:rFonts w:ascii="宋体" w:eastAsia="宋体" w:hAnsi="宋体" w:cs="宋体"/>
          <w:spacing w:val="-8"/>
          <w:sz w:val="22"/>
          <w:szCs w:val="22"/>
        </w:rPr>
        <w:t>食缺乏维生素</w:t>
      </w:r>
      <w:r>
        <w:rPr>
          <w:rFonts w:ascii="宋体" w:eastAsia="宋体" w:hAnsi="宋体" w:cs="宋体"/>
          <w:spacing w:val="-60"/>
          <w:sz w:val="22"/>
          <w:szCs w:val="22"/>
        </w:rPr>
        <w:t xml:space="preserve"> </w:t>
      </w:r>
      <w:r>
        <w:rPr>
          <w:rFonts w:ascii="宋体" w:eastAsia="宋体" w:hAnsi="宋体" w:cs="宋体"/>
          <w:spacing w:val="-8"/>
          <w:sz w:val="22"/>
          <w:szCs w:val="22"/>
        </w:rPr>
        <w:t>B</w:t>
      </w:r>
      <w:r>
        <w:rPr>
          <w:rFonts w:ascii="Calibri" w:eastAsia="Calibri" w:hAnsi="Calibri" w:cs="Calibri"/>
          <w:spacing w:val="-8"/>
          <w:sz w:val="22"/>
          <w:szCs w:val="22"/>
        </w:rPr>
        <w:t>₁</w:t>
      </w:r>
      <w:r>
        <w:rPr>
          <w:rFonts w:ascii="Calibri" w:eastAsia="Calibri" w:hAnsi="Calibri" w:cs="Calibri"/>
          <w:spacing w:val="9"/>
          <w:sz w:val="22"/>
          <w:szCs w:val="22"/>
        </w:rPr>
        <w:t xml:space="preserve"> </w:t>
      </w:r>
      <w:r>
        <w:rPr>
          <w:rFonts w:ascii="宋体" w:eastAsia="宋体" w:hAnsi="宋体" w:cs="宋体"/>
          <w:spacing w:val="-8"/>
          <w:sz w:val="22"/>
          <w:szCs w:val="22"/>
        </w:rPr>
        <w:t>可能导致心肌能量代谢不全等疾病；维生</w:t>
      </w:r>
      <w:r>
        <w:rPr>
          <w:rFonts w:ascii="宋体" w:eastAsia="宋体" w:hAnsi="宋体" w:cs="宋体"/>
          <w:spacing w:val="-9"/>
          <w:sz w:val="22"/>
          <w:szCs w:val="22"/>
        </w:rPr>
        <w:t>素B</w:t>
      </w:r>
      <w:r>
        <w:rPr>
          <w:rFonts w:ascii="Calibri" w:eastAsia="Calibri" w:hAnsi="Calibri" w:cs="Calibri"/>
          <w:spacing w:val="-9"/>
          <w:sz w:val="22"/>
          <w:szCs w:val="22"/>
        </w:rPr>
        <w:t>₂</w:t>
      </w:r>
      <w:r>
        <w:rPr>
          <w:rFonts w:ascii="Calibri" w:eastAsia="Calibri" w:hAnsi="Calibri" w:cs="Calibri"/>
          <w:spacing w:val="-10"/>
          <w:sz w:val="22"/>
          <w:szCs w:val="22"/>
        </w:rPr>
        <w:t xml:space="preserve"> </w:t>
      </w:r>
      <w:r>
        <w:rPr>
          <w:rFonts w:ascii="宋体" w:eastAsia="宋体" w:hAnsi="宋体" w:cs="宋体"/>
          <w:spacing w:val="-9"/>
          <w:sz w:val="22"/>
          <w:szCs w:val="22"/>
        </w:rPr>
        <w:t>作为体内多种重</w:t>
      </w:r>
      <w:r>
        <w:rPr>
          <w:rFonts w:ascii="宋体" w:eastAsia="宋体" w:hAnsi="宋体" w:cs="宋体"/>
          <w:sz w:val="22"/>
          <w:szCs w:val="22"/>
        </w:rPr>
        <w:t xml:space="preserve">  </w:t>
      </w:r>
      <w:r>
        <w:rPr>
          <w:rFonts w:ascii="宋体" w:eastAsia="宋体" w:hAnsi="宋体" w:cs="宋体"/>
          <w:spacing w:val="-13"/>
          <w:sz w:val="22"/>
          <w:szCs w:val="22"/>
        </w:rPr>
        <w:t>要酶的成分，参与体内生物氧化和能量生成、脂质代谢，并可以提高青少年机体</w:t>
      </w:r>
      <w:r>
        <w:rPr>
          <w:rFonts w:ascii="宋体" w:eastAsia="宋体" w:hAnsi="宋体" w:cs="宋体"/>
          <w:spacing w:val="12"/>
          <w:sz w:val="22"/>
          <w:szCs w:val="22"/>
        </w:rPr>
        <w:t xml:space="preserve"> </w:t>
      </w:r>
      <w:r>
        <w:rPr>
          <w:rFonts w:ascii="宋体" w:eastAsia="宋体" w:hAnsi="宋体" w:cs="宋体"/>
          <w:spacing w:val="-6"/>
          <w:sz w:val="22"/>
          <w:szCs w:val="22"/>
        </w:rPr>
        <w:t>对环境应激适应能力。维生素C</w:t>
      </w:r>
      <w:r>
        <w:rPr>
          <w:rFonts w:ascii="宋体" w:eastAsia="宋体" w:hAnsi="宋体" w:cs="宋体"/>
          <w:spacing w:val="-23"/>
          <w:sz w:val="22"/>
          <w:szCs w:val="22"/>
        </w:rPr>
        <w:t xml:space="preserve"> </w:t>
      </w:r>
      <w:r>
        <w:rPr>
          <w:rFonts w:ascii="宋体" w:eastAsia="宋体" w:hAnsi="宋体" w:cs="宋体"/>
          <w:spacing w:val="-6"/>
          <w:sz w:val="22"/>
          <w:szCs w:val="22"/>
        </w:rPr>
        <w:t>是骨骼、牙齿、微血管及结缔组织的细胞间质</w:t>
      </w:r>
      <w:r>
        <w:rPr>
          <w:rFonts w:ascii="宋体" w:eastAsia="宋体" w:hAnsi="宋体" w:cs="宋体"/>
          <w:sz w:val="22"/>
          <w:szCs w:val="22"/>
        </w:rPr>
        <w:t xml:space="preserve"> </w:t>
      </w:r>
      <w:r>
        <w:rPr>
          <w:rFonts w:ascii="宋体" w:eastAsia="宋体" w:hAnsi="宋体" w:cs="宋体"/>
          <w:spacing w:val="-10"/>
          <w:sz w:val="22"/>
          <w:szCs w:val="22"/>
        </w:rPr>
        <w:t>合成所必需的物质，能促进发育和增加机体抵抗力，防止</w:t>
      </w:r>
      <w:r>
        <w:rPr>
          <w:rFonts w:ascii="宋体" w:eastAsia="宋体" w:hAnsi="宋体" w:cs="宋体"/>
          <w:spacing w:val="-11"/>
          <w:sz w:val="22"/>
          <w:szCs w:val="22"/>
        </w:rPr>
        <w:t>骨质脆弱和牙齿松动，</w:t>
      </w:r>
      <w:r>
        <w:rPr>
          <w:rFonts w:ascii="宋体" w:eastAsia="宋体" w:hAnsi="宋体" w:cs="宋体"/>
          <w:sz w:val="22"/>
          <w:szCs w:val="22"/>
        </w:rPr>
        <w:t xml:space="preserve"> </w:t>
      </w:r>
      <w:r>
        <w:rPr>
          <w:rFonts w:ascii="宋体" w:eastAsia="宋体" w:hAnsi="宋体" w:cs="宋体"/>
          <w:spacing w:val="-7"/>
          <w:sz w:val="22"/>
          <w:szCs w:val="22"/>
        </w:rPr>
        <w:t>在迅速生长发育时期及体力活动增加时，机体对维生素C</w:t>
      </w:r>
      <w:r>
        <w:rPr>
          <w:rFonts w:ascii="宋体" w:eastAsia="宋体" w:hAnsi="宋体" w:cs="宋体"/>
          <w:spacing w:val="6"/>
          <w:sz w:val="22"/>
          <w:szCs w:val="22"/>
        </w:rPr>
        <w:t xml:space="preserve"> </w:t>
      </w:r>
      <w:r>
        <w:rPr>
          <w:rFonts w:ascii="宋体" w:eastAsia="宋体" w:hAnsi="宋体" w:cs="宋体"/>
          <w:spacing w:val="-7"/>
          <w:sz w:val="22"/>
          <w:szCs w:val="22"/>
        </w:rPr>
        <w:t>的</w:t>
      </w:r>
      <w:r>
        <w:rPr>
          <w:rFonts w:ascii="宋体" w:eastAsia="宋体" w:hAnsi="宋体" w:cs="宋体"/>
          <w:spacing w:val="-8"/>
          <w:sz w:val="22"/>
          <w:szCs w:val="22"/>
        </w:rPr>
        <w:t>需要量也增加；脂</w:t>
      </w:r>
      <w:r>
        <w:rPr>
          <w:rFonts w:ascii="宋体" w:eastAsia="宋体" w:hAnsi="宋体" w:cs="宋体"/>
          <w:sz w:val="22"/>
          <w:szCs w:val="22"/>
        </w:rPr>
        <w:t xml:space="preserve">  </w:t>
      </w:r>
      <w:r>
        <w:rPr>
          <w:rFonts w:ascii="宋体" w:eastAsia="宋体" w:hAnsi="宋体" w:cs="宋体"/>
          <w:spacing w:val="-5"/>
          <w:sz w:val="22"/>
          <w:szCs w:val="22"/>
        </w:rPr>
        <w:t>溶性维生素当中维生素A</w:t>
      </w:r>
      <w:r>
        <w:rPr>
          <w:rFonts w:ascii="宋体" w:eastAsia="宋体" w:hAnsi="宋体" w:cs="宋体"/>
          <w:spacing w:val="24"/>
          <w:sz w:val="22"/>
          <w:szCs w:val="22"/>
        </w:rPr>
        <w:t xml:space="preserve"> </w:t>
      </w:r>
      <w:r>
        <w:rPr>
          <w:rFonts w:ascii="宋体" w:eastAsia="宋体" w:hAnsi="宋体" w:cs="宋体"/>
          <w:spacing w:val="-5"/>
          <w:sz w:val="22"/>
          <w:szCs w:val="22"/>
        </w:rPr>
        <w:t>可促进青少年生长与骨骼、视觉等的发育；维生素D</w:t>
      </w:r>
      <w:r>
        <w:rPr>
          <w:rFonts w:ascii="宋体" w:eastAsia="宋体" w:hAnsi="宋体" w:cs="宋体"/>
          <w:sz w:val="22"/>
          <w:szCs w:val="22"/>
        </w:rPr>
        <w:t xml:space="preserve">  </w:t>
      </w:r>
      <w:r>
        <w:rPr>
          <w:rFonts w:ascii="宋体" w:eastAsia="宋体" w:hAnsi="宋体" w:cs="宋体"/>
          <w:spacing w:val="-8"/>
          <w:sz w:val="22"/>
          <w:szCs w:val="22"/>
        </w:rPr>
        <w:t>可增加钙的吸收，但相比儿童时期，青少年时期维</w:t>
      </w:r>
      <w:r>
        <w:rPr>
          <w:rFonts w:ascii="宋体" w:eastAsia="宋体" w:hAnsi="宋体" w:cs="宋体"/>
          <w:spacing w:val="-9"/>
          <w:sz w:val="22"/>
          <w:szCs w:val="22"/>
        </w:rPr>
        <w:t>生素</w:t>
      </w:r>
      <w:r>
        <w:rPr>
          <w:rFonts w:ascii="宋体" w:eastAsia="宋体" w:hAnsi="宋体" w:cs="宋体"/>
          <w:spacing w:val="-60"/>
          <w:sz w:val="22"/>
          <w:szCs w:val="22"/>
        </w:rPr>
        <w:t xml:space="preserve"> </w:t>
      </w:r>
      <w:r>
        <w:rPr>
          <w:rFonts w:ascii="宋体" w:eastAsia="宋体" w:hAnsi="宋体" w:cs="宋体"/>
          <w:spacing w:val="-9"/>
          <w:sz w:val="22"/>
          <w:szCs w:val="22"/>
        </w:rPr>
        <w:t>D</w:t>
      </w:r>
      <w:r>
        <w:rPr>
          <w:rFonts w:ascii="宋体" w:eastAsia="宋体" w:hAnsi="宋体" w:cs="宋体"/>
          <w:spacing w:val="-6"/>
          <w:sz w:val="22"/>
          <w:szCs w:val="22"/>
        </w:rPr>
        <w:t xml:space="preserve"> </w:t>
      </w:r>
      <w:r>
        <w:rPr>
          <w:rFonts w:ascii="宋体" w:eastAsia="宋体" w:hAnsi="宋体" w:cs="宋体"/>
          <w:spacing w:val="-9"/>
          <w:sz w:val="22"/>
          <w:szCs w:val="22"/>
        </w:rPr>
        <w:t>的推荐摄入量有所降</w:t>
      </w:r>
      <w:r>
        <w:rPr>
          <w:rFonts w:ascii="宋体" w:eastAsia="宋体" w:hAnsi="宋体" w:cs="宋体"/>
          <w:sz w:val="22"/>
          <w:szCs w:val="22"/>
        </w:rPr>
        <w:t xml:space="preserve">  </w:t>
      </w:r>
      <w:r>
        <w:rPr>
          <w:rFonts w:ascii="宋体" w:eastAsia="宋体" w:hAnsi="宋体" w:cs="宋体"/>
          <w:spacing w:val="-8"/>
          <w:sz w:val="22"/>
          <w:szCs w:val="22"/>
        </w:rPr>
        <w:t>低，可能与青少年户外活动增加，能够通过皮肤合成维生素</w:t>
      </w:r>
      <w:r>
        <w:rPr>
          <w:rFonts w:ascii="宋体" w:eastAsia="宋体" w:hAnsi="宋体" w:cs="宋体"/>
          <w:spacing w:val="-61"/>
          <w:sz w:val="22"/>
          <w:szCs w:val="22"/>
        </w:rPr>
        <w:t xml:space="preserve"> </w:t>
      </w:r>
      <w:r>
        <w:rPr>
          <w:rFonts w:ascii="宋体" w:eastAsia="宋体" w:hAnsi="宋体" w:cs="宋体"/>
          <w:spacing w:val="-8"/>
          <w:sz w:val="22"/>
          <w:szCs w:val="22"/>
        </w:rPr>
        <w:t>D</w:t>
      </w:r>
      <w:r>
        <w:rPr>
          <w:rFonts w:ascii="宋体" w:eastAsia="宋体" w:hAnsi="宋体" w:cs="宋体"/>
          <w:spacing w:val="-5"/>
          <w:sz w:val="22"/>
          <w:szCs w:val="22"/>
        </w:rPr>
        <w:t xml:space="preserve"> </w:t>
      </w:r>
      <w:r>
        <w:rPr>
          <w:rFonts w:ascii="宋体" w:eastAsia="宋体" w:hAnsi="宋体" w:cs="宋体"/>
          <w:spacing w:val="-8"/>
          <w:sz w:val="22"/>
          <w:szCs w:val="22"/>
        </w:rPr>
        <w:t>的量有关。中</w:t>
      </w:r>
      <w:r>
        <w:rPr>
          <w:rFonts w:ascii="宋体" w:eastAsia="宋体" w:hAnsi="宋体" w:cs="宋体"/>
          <w:spacing w:val="-9"/>
          <w:sz w:val="22"/>
          <w:szCs w:val="22"/>
        </w:rPr>
        <w:t>国</w:t>
      </w:r>
      <w:r>
        <w:rPr>
          <w:rFonts w:ascii="宋体" w:eastAsia="宋体" w:hAnsi="宋体" w:cs="宋体"/>
          <w:sz w:val="22"/>
          <w:szCs w:val="22"/>
        </w:rPr>
        <w:t xml:space="preserve"> </w:t>
      </w:r>
      <w:r>
        <w:rPr>
          <w:rFonts w:ascii="宋体" w:eastAsia="宋体" w:hAnsi="宋体" w:cs="宋体"/>
          <w:spacing w:val="-11"/>
          <w:sz w:val="22"/>
          <w:szCs w:val="22"/>
        </w:rPr>
        <w:t>营养学会对青少年各种主要维生素推荐摄入量分别见表10-12。</w:t>
      </w:r>
    </w:p>
    <w:p w:rsidR="00EA40A3" w:rsidRDefault="00EA40A3">
      <w:pPr>
        <w:spacing w:line="297" w:lineRule="auto"/>
      </w:pPr>
    </w:p>
    <w:p w:rsidR="00EA40A3" w:rsidRDefault="00E86C16">
      <w:pPr>
        <w:spacing w:before="55" w:line="221" w:lineRule="auto"/>
        <w:ind w:left="1932"/>
        <w:rPr>
          <w:rFonts w:ascii="黑体" w:eastAsia="黑体" w:hAnsi="黑体" w:cs="黑体"/>
          <w:sz w:val="17"/>
          <w:szCs w:val="17"/>
        </w:rPr>
      </w:pPr>
      <w:r>
        <w:rPr>
          <w:rFonts w:ascii="黑体" w:eastAsia="黑体" w:hAnsi="黑体" w:cs="黑体"/>
          <w:b/>
          <w:bCs/>
          <w:spacing w:val="7"/>
          <w:sz w:val="17"/>
          <w:szCs w:val="17"/>
        </w:rPr>
        <w:t>表10-12</w:t>
      </w:r>
      <w:r>
        <w:rPr>
          <w:rFonts w:ascii="黑体" w:eastAsia="黑体" w:hAnsi="黑体" w:cs="黑体"/>
          <w:spacing w:val="70"/>
          <w:sz w:val="17"/>
          <w:szCs w:val="17"/>
        </w:rPr>
        <w:t xml:space="preserve"> </w:t>
      </w:r>
      <w:r>
        <w:rPr>
          <w:rFonts w:ascii="黑体" w:eastAsia="黑体" w:hAnsi="黑体" w:cs="黑体"/>
          <w:b/>
          <w:bCs/>
          <w:spacing w:val="7"/>
          <w:sz w:val="17"/>
          <w:szCs w:val="17"/>
        </w:rPr>
        <w:t>我国青少年主要维生素参考摄入量</w:t>
      </w:r>
    </w:p>
    <w:p w:rsidR="00EA40A3" w:rsidRDefault="00EA40A3">
      <w:pPr>
        <w:spacing w:line="28" w:lineRule="exact"/>
      </w:pPr>
    </w:p>
    <w:tbl>
      <w:tblPr>
        <w:tblStyle w:val="TableNormal"/>
        <w:tblW w:w="732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020"/>
        <w:gridCol w:w="560"/>
        <w:gridCol w:w="667"/>
        <w:gridCol w:w="620"/>
        <w:gridCol w:w="599"/>
        <w:gridCol w:w="666"/>
        <w:gridCol w:w="594"/>
        <w:gridCol w:w="1260"/>
        <w:gridCol w:w="651"/>
        <w:gridCol w:w="683"/>
      </w:tblGrid>
      <w:tr w:rsidR="00EA40A3">
        <w:trPr>
          <w:trHeight w:val="633"/>
        </w:trPr>
        <w:tc>
          <w:tcPr>
            <w:tcW w:w="1020" w:type="dxa"/>
            <w:vMerge w:val="restart"/>
            <w:tcBorders>
              <w:top w:val="single" w:sz="4" w:space="0" w:color="000000"/>
              <w:bottom w:val="nil"/>
            </w:tcBorders>
          </w:tcPr>
          <w:p w:rsidR="00EA40A3" w:rsidRDefault="00EA40A3">
            <w:pPr>
              <w:spacing w:line="334" w:lineRule="auto"/>
            </w:pPr>
          </w:p>
          <w:p w:rsidR="00EA40A3" w:rsidRDefault="00E86C16">
            <w:pPr>
              <w:spacing w:before="55" w:line="219" w:lineRule="auto"/>
              <w:ind w:left="160"/>
              <w:rPr>
                <w:rFonts w:ascii="宋体" w:eastAsia="宋体" w:hAnsi="宋体" w:cs="宋体"/>
                <w:sz w:val="17"/>
                <w:szCs w:val="17"/>
              </w:rPr>
            </w:pPr>
            <w:r>
              <w:rPr>
                <w:rFonts w:ascii="宋体" w:eastAsia="宋体" w:hAnsi="宋体" w:cs="宋体"/>
                <w:spacing w:val="7"/>
                <w:sz w:val="17"/>
                <w:szCs w:val="17"/>
              </w:rPr>
              <w:t>年龄(岁)</w:t>
            </w:r>
          </w:p>
        </w:tc>
        <w:tc>
          <w:tcPr>
            <w:tcW w:w="1227" w:type="dxa"/>
            <w:gridSpan w:val="2"/>
            <w:tcBorders>
              <w:top w:val="single" w:sz="4" w:space="0" w:color="000000"/>
              <w:bottom w:val="single" w:sz="4" w:space="0" w:color="000000"/>
              <w:right w:val="nil"/>
            </w:tcBorders>
          </w:tcPr>
          <w:p w:rsidR="00EA40A3" w:rsidRDefault="00E86C16">
            <w:pPr>
              <w:spacing w:before="152" w:line="219" w:lineRule="auto"/>
              <w:ind w:left="300"/>
              <w:rPr>
                <w:rFonts w:ascii="宋体" w:eastAsia="宋体" w:hAnsi="宋体" w:cs="宋体"/>
                <w:sz w:val="17"/>
                <w:szCs w:val="17"/>
              </w:rPr>
            </w:pPr>
            <w:r>
              <w:rPr>
                <w:rFonts w:ascii="宋体" w:eastAsia="宋体" w:hAnsi="宋体" w:cs="宋体"/>
                <w:spacing w:val="-3"/>
                <w:sz w:val="17"/>
                <w:szCs w:val="17"/>
              </w:rPr>
              <w:t>维生素A</w:t>
            </w:r>
          </w:p>
          <w:p w:rsidR="00EA40A3" w:rsidRDefault="00E86C16">
            <w:pPr>
              <w:spacing w:before="42" w:line="214" w:lineRule="auto"/>
              <w:ind w:left="159"/>
              <w:rPr>
                <w:rFonts w:ascii="宋体" w:eastAsia="宋体" w:hAnsi="宋体" w:cs="宋体"/>
                <w:sz w:val="17"/>
                <w:szCs w:val="17"/>
              </w:rPr>
            </w:pPr>
            <w:r>
              <w:rPr>
                <w:rFonts w:ascii="宋体" w:eastAsia="宋体" w:hAnsi="宋体" w:cs="宋体"/>
                <w:spacing w:val="-2"/>
                <w:sz w:val="17"/>
                <w:szCs w:val="17"/>
              </w:rPr>
              <w:t>/(μg</w:t>
            </w:r>
            <w:r>
              <w:rPr>
                <w:rFonts w:ascii="宋体" w:eastAsia="宋体" w:hAnsi="宋体" w:cs="宋体"/>
                <w:spacing w:val="50"/>
                <w:sz w:val="17"/>
                <w:szCs w:val="17"/>
              </w:rPr>
              <w:t xml:space="preserve"> </w:t>
            </w:r>
            <w:r>
              <w:rPr>
                <w:rFonts w:ascii="宋体" w:eastAsia="宋体" w:hAnsi="宋体" w:cs="宋体"/>
                <w:spacing w:val="-2"/>
                <w:sz w:val="17"/>
                <w:szCs w:val="17"/>
              </w:rPr>
              <w:t>RE/d)</w:t>
            </w:r>
          </w:p>
        </w:tc>
        <w:tc>
          <w:tcPr>
            <w:tcW w:w="1219" w:type="dxa"/>
            <w:gridSpan w:val="2"/>
            <w:tcBorders>
              <w:top w:val="single" w:sz="4" w:space="0" w:color="000000"/>
              <w:left w:val="nil"/>
              <w:bottom w:val="single" w:sz="4" w:space="0" w:color="000000"/>
            </w:tcBorders>
          </w:tcPr>
          <w:p w:rsidR="00EA40A3" w:rsidRDefault="00E86C16">
            <w:pPr>
              <w:spacing w:before="151"/>
              <w:ind w:left="322" w:right="221"/>
              <w:rPr>
                <w:rFonts w:ascii="宋体" w:eastAsia="宋体" w:hAnsi="宋体" w:cs="宋体"/>
                <w:sz w:val="17"/>
                <w:szCs w:val="17"/>
              </w:rPr>
            </w:pPr>
            <w:r>
              <w:rPr>
                <w:rFonts w:ascii="宋体" w:eastAsia="宋体" w:hAnsi="宋体" w:cs="宋体"/>
                <w:spacing w:val="-3"/>
                <w:sz w:val="17"/>
                <w:szCs w:val="17"/>
              </w:rPr>
              <w:t>维生素D</w:t>
            </w:r>
            <w:r>
              <w:rPr>
                <w:rFonts w:ascii="宋体" w:eastAsia="宋体" w:hAnsi="宋体" w:cs="宋体"/>
                <w:sz w:val="17"/>
                <w:szCs w:val="17"/>
              </w:rPr>
              <w:t xml:space="preserve">  </w:t>
            </w:r>
            <w:r>
              <w:rPr>
                <w:rFonts w:ascii="宋体" w:eastAsia="宋体" w:hAnsi="宋体" w:cs="宋体"/>
                <w:spacing w:val="-1"/>
                <w:sz w:val="17"/>
                <w:szCs w:val="17"/>
              </w:rPr>
              <w:t>/(μg/d)</w:t>
            </w:r>
          </w:p>
        </w:tc>
        <w:tc>
          <w:tcPr>
            <w:tcW w:w="1260" w:type="dxa"/>
            <w:gridSpan w:val="2"/>
            <w:tcBorders>
              <w:top w:val="single" w:sz="4" w:space="0" w:color="000000"/>
              <w:bottom w:val="single" w:sz="4" w:space="0" w:color="000000"/>
            </w:tcBorders>
          </w:tcPr>
          <w:p w:rsidR="00EA40A3" w:rsidRDefault="00E86C16">
            <w:pPr>
              <w:spacing w:before="130" w:line="251" w:lineRule="auto"/>
              <w:ind w:left="343" w:right="190" w:hanging="9"/>
              <w:rPr>
                <w:rFonts w:ascii="宋体" w:eastAsia="宋体" w:hAnsi="宋体" w:cs="宋体"/>
                <w:sz w:val="17"/>
                <w:szCs w:val="17"/>
              </w:rPr>
            </w:pPr>
            <w:r>
              <w:rPr>
                <w:rFonts w:ascii="宋体" w:eastAsia="宋体" w:hAnsi="宋体" w:cs="宋体"/>
                <w:spacing w:val="19"/>
                <w:sz w:val="17"/>
                <w:szCs w:val="17"/>
              </w:rPr>
              <w:t>维生素B</w:t>
            </w:r>
            <w:r>
              <w:rPr>
                <w:rFonts w:ascii="Calibri" w:eastAsia="Calibri" w:hAnsi="Calibri" w:cs="Calibri"/>
                <w:spacing w:val="19"/>
                <w:sz w:val="17"/>
                <w:szCs w:val="17"/>
              </w:rPr>
              <w:t>₁</w:t>
            </w:r>
            <w:r>
              <w:rPr>
                <w:rFonts w:ascii="Calibri" w:eastAsia="Calibri" w:hAnsi="Calibri" w:cs="Calibri"/>
                <w:spacing w:val="2"/>
                <w:sz w:val="17"/>
                <w:szCs w:val="17"/>
              </w:rPr>
              <w:t xml:space="preserve"> </w:t>
            </w:r>
            <w:r>
              <w:rPr>
                <w:rFonts w:ascii="宋体" w:eastAsia="宋体" w:hAnsi="宋体" w:cs="宋体"/>
                <w:spacing w:val="-1"/>
                <w:sz w:val="17"/>
                <w:szCs w:val="17"/>
              </w:rPr>
              <w:t>/(mg/d)</w:t>
            </w:r>
          </w:p>
        </w:tc>
        <w:tc>
          <w:tcPr>
            <w:tcW w:w="1260" w:type="dxa"/>
            <w:tcBorders>
              <w:top w:val="single" w:sz="4" w:space="0" w:color="000000"/>
              <w:bottom w:val="single" w:sz="4" w:space="0" w:color="000000"/>
            </w:tcBorders>
          </w:tcPr>
          <w:p w:rsidR="00EA40A3" w:rsidRDefault="00E86C16">
            <w:pPr>
              <w:spacing w:before="130" w:line="251" w:lineRule="auto"/>
              <w:ind w:left="353" w:right="245" w:hanging="10"/>
              <w:rPr>
                <w:rFonts w:ascii="宋体" w:eastAsia="宋体" w:hAnsi="宋体" w:cs="宋体"/>
                <w:sz w:val="17"/>
                <w:szCs w:val="17"/>
              </w:rPr>
            </w:pPr>
            <w:r>
              <w:rPr>
                <w:rFonts w:ascii="宋体" w:eastAsia="宋体" w:hAnsi="宋体" w:cs="宋体"/>
                <w:spacing w:val="-2"/>
                <w:sz w:val="17"/>
                <w:szCs w:val="17"/>
              </w:rPr>
              <w:t>维生素B2</w:t>
            </w:r>
            <w:r>
              <w:rPr>
                <w:rFonts w:ascii="宋体" w:eastAsia="宋体" w:hAnsi="宋体" w:cs="宋体"/>
                <w:sz w:val="17"/>
                <w:szCs w:val="17"/>
              </w:rPr>
              <w:t xml:space="preserve"> </w:t>
            </w:r>
            <w:r>
              <w:rPr>
                <w:rFonts w:ascii="宋体" w:eastAsia="宋体" w:hAnsi="宋体" w:cs="宋体"/>
                <w:spacing w:val="-1"/>
                <w:sz w:val="17"/>
                <w:szCs w:val="17"/>
              </w:rPr>
              <w:t>/(mg/d)</w:t>
            </w:r>
          </w:p>
        </w:tc>
        <w:tc>
          <w:tcPr>
            <w:tcW w:w="1334" w:type="dxa"/>
            <w:gridSpan w:val="2"/>
            <w:tcBorders>
              <w:top w:val="single" w:sz="4" w:space="0" w:color="000000"/>
              <w:bottom w:val="single" w:sz="4" w:space="0" w:color="000000"/>
            </w:tcBorders>
          </w:tcPr>
          <w:p w:rsidR="00EA40A3" w:rsidRDefault="00E86C16">
            <w:pPr>
              <w:spacing w:before="131" w:line="265" w:lineRule="exact"/>
              <w:ind w:left="384"/>
              <w:rPr>
                <w:rFonts w:ascii="宋体" w:eastAsia="宋体" w:hAnsi="宋体" w:cs="宋体"/>
                <w:sz w:val="17"/>
                <w:szCs w:val="17"/>
              </w:rPr>
            </w:pPr>
            <w:r>
              <w:rPr>
                <w:rFonts w:ascii="宋体" w:eastAsia="宋体" w:hAnsi="宋体" w:cs="宋体"/>
                <w:spacing w:val="-3"/>
                <w:position w:val="7"/>
                <w:sz w:val="17"/>
                <w:szCs w:val="17"/>
              </w:rPr>
              <w:t>维生素C</w:t>
            </w:r>
          </w:p>
          <w:p w:rsidR="00EA40A3" w:rsidRDefault="00E86C16">
            <w:pPr>
              <w:spacing w:line="213" w:lineRule="auto"/>
              <w:ind w:left="354"/>
              <w:rPr>
                <w:rFonts w:ascii="宋体" w:eastAsia="宋体" w:hAnsi="宋体" w:cs="宋体"/>
                <w:sz w:val="17"/>
                <w:szCs w:val="17"/>
              </w:rPr>
            </w:pPr>
            <w:r>
              <w:rPr>
                <w:rFonts w:ascii="宋体" w:eastAsia="宋体" w:hAnsi="宋体" w:cs="宋体"/>
                <w:spacing w:val="-1"/>
                <w:sz w:val="17"/>
                <w:szCs w:val="17"/>
              </w:rPr>
              <w:t>/(mg/d)</w:t>
            </w:r>
          </w:p>
        </w:tc>
      </w:tr>
      <w:tr w:rsidR="00EA40A3">
        <w:trPr>
          <w:trHeight w:val="299"/>
        </w:trPr>
        <w:tc>
          <w:tcPr>
            <w:tcW w:w="1020" w:type="dxa"/>
            <w:vMerge/>
            <w:tcBorders>
              <w:top w:val="nil"/>
              <w:bottom w:val="single" w:sz="4" w:space="0" w:color="000000"/>
            </w:tcBorders>
          </w:tcPr>
          <w:p w:rsidR="00EA40A3" w:rsidRDefault="00EA40A3"/>
        </w:tc>
        <w:tc>
          <w:tcPr>
            <w:tcW w:w="560" w:type="dxa"/>
            <w:tcBorders>
              <w:top w:val="single" w:sz="4" w:space="0" w:color="000000"/>
              <w:bottom w:val="single" w:sz="4" w:space="0" w:color="000000"/>
            </w:tcBorders>
          </w:tcPr>
          <w:p w:rsidR="00EA40A3" w:rsidRDefault="00E86C16">
            <w:pPr>
              <w:spacing w:before="144" w:line="168" w:lineRule="auto"/>
              <w:ind w:left="139"/>
              <w:rPr>
                <w:rFonts w:ascii="宋体" w:eastAsia="宋体" w:hAnsi="宋体" w:cs="宋体"/>
                <w:sz w:val="17"/>
                <w:szCs w:val="17"/>
              </w:rPr>
            </w:pPr>
            <w:r>
              <w:rPr>
                <w:rFonts w:ascii="宋体" w:eastAsia="宋体" w:hAnsi="宋体" w:cs="宋体"/>
                <w:spacing w:val="-2"/>
                <w:sz w:val="17"/>
                <w:szCs w:val="17"/>
              </w:rPr>
              <w:t>RNI</w:t>
            </w:r>
          </w:p>
        </w:tc>
        <w:tc>
          <w:tcPr>
            <w:tcW w:w="667" w:type="dxa"/>
            <w:tcBorders>
              <w:top w:val="single" w:sz="4" w:space="0" w:color="000000"/>
              <w:bottom w:val="single" w:sz="4" w:space="0" w:color="000000"/>
            </w:tcBorders>
          </w:tcPr>
          <w:p w:rsidR="00EA40A3" w:rsidRDefault="00E86C16">
            <w:pPr>
              <w:spacing w:before="144" w:line="168" w:lineRule="auto"/>
              <w:ind w:left="260"/>
              <w:rPr>
                <w:rFonts w:ascii="宋体" w:eastAsia="宋体" w:hAnsi="宋体" w:cs="宋体"/>
                <w:sz w:val="17"/>
                <w:szCs w:val="17"/>
              </w:rPr>
            </w:pPr>
            <w:r>
              <w:rPr>
                <w:rFonts w:ascii="宋体" w:eastAsia="宋体" w:hAnsi="宋体" w:cs="宋体"/>
                <w:spacing w:val="-1"/>
                <w:sz w:val="17"/>
                <w:szCs w:val="17"/>
              </w:rPr>
              <w:t>UL</w:t>
            </w:r>
          </w:p>
        </w:tc>
        <w:tc>
          <w:tcPr>
            <w:tcW w:w="620" w:type="dxa"/>
            <w:tcBorders>
              <w:top w:val="single" w:sz="4" w:space="0" w:color="000000"/>
              <w:bottom w:val="single" w:sz="4" w:space="0" w:color="000000"/>
            </w:tcBorders>
          </w:tcPr>
          <w:p w:rsidR="00EA40A3" w:rsidRDefault="00E86C16">
            <w:pPr>
              <w:spacing w:before="144" w:line="168" w:lineRule="auto"/>
              <w:ind w:left="172"/>
              <w:rPr>
                <w:rFonts w:ascii="宋体" w:eastAsia="宋体" w:hAnsi="宋体" w:cs="宋体"/>
                <w:sz w:val="17"/>
                <w:szCs w:val="17"/>
              </w:rPr>
            </w:pPr>
            <w:r>
              <w:rPr>
                <w:rFonts w:ascii="宋体" w:eastAsia="宋体" w:hAnsi="宋体" w:cs="宋体"/>
                <w:spacing w:val="-2"/>
                <w:sz w:val="17"/>
                <w:szCs w:val="17"/>
              </w:rPr>
              <w:t>RNI</w:t>
            </w:r>
          </w:p>
        </w:tc>
        <w:tc>
          <w:tcPr>
            <w:tcW w:w="599" w:type="dxa"/>
            <w:tcBorders>
              <w:top w:val="single" w:sz="4" w:space="0" w:color="000000"/>
              <w:bottom w:val="single" w:sz="4" w:space="0" w:color="000000"/>
            </w:tcBorders>
          </w:tcPr>
          <w:p w:rsidR="00EA40A3" w:rsidRDefault="00E86C16">
            <w:pPr>
              <w:spacing w:before="144" w:line="168" w:lineRule="auto"/>
              <w:ind w:left="213"/>
              <w:rPr>
                <w:rFonts w:ascii="宋体" w:eastAsia="宋体" w:hAnsi="宋体" w:cs="宋体"/>
                <w:sz w:val="17"/>
                <w:szCs w:val="17"/>
              </w:rPr>
            </w:pPr>
            <w:r>
              <w:rPr>
                <w:rFonts w:ascii="宋体" w:eastAsia="宋体" w:hAnsi="宋体" w:cs="宋体"/>
                <w:spacing w:val="-1"/>
                <w:sz w:val="17"/>
                <w:szCs w:val="17"/>
              </w:rPr>
              <w:t>UL</w:t>
            </w:r>
          </w:p>
        </w:tc>
        <w:tc>
          <w:tcPr>
            <w:tcW w:w="666" w:type="dxa"/>
            <w:tcBorders>
              <w:top w:val="single" w:sz="4" w:space="0" w:color="000000"/>
              <w:bottom w:val="single" w:sz="4" w:space="0" w:color="000000"/>
            </w:tcBorders>
          </w:tcPr>
          <w:p w:rsidR="00EA40A3" w:rsidRDefault="00E86C16">
            <w:pPr>
              <w:spacing w:before="144" w:line="168" w:lineRule="auto"/>
              <w:ind w:left="224"/>
              <w:rPr>
                <w:rFonts w:ascii="宋体" w:eastAsia="宋体" w:hAnsi="宋体" w:cs="宋体"/>
                <w:sz w:val="17"/>
                <w:szCs w:val="17"/>
              </w:rPr>
            </w:pPr>
            <w:r>
              <w:rPr>
                <w:rFonts w:ascii="宋体" w:eastAsia="宋体" w:hAnsi="宋体" w:cs="宋体"/>
                <w:spacing w:val="-2"/>
                <w:sz w:val="17"/>
                <w:szCs w:val="17"/>
              </w:rPr>
              <w:t>RNI</w:t>
            </w:r>
          </w:p>
        </w:tc>
        <w:tc>
          <w:tcPr>
            <w:tcW w:w="594" w:type="dxa"/>
            <w:tcBorders>
              <w:top w:val="single" w:sz="4" w:space="0" w:color="000000"/>
              <w:bottom w:val="single" w:sz="4" w:space="0" w:color="000000"/>
            </w:tcBorders>
          </w:tcPr>
          <w:p w:rsidR="00EA40A3" w:rsidRDefault="00E86C16">
            <w:pPr>
              <w:spacing w:before="144" w:line="168" w:lineRule="auto"/>
              <w:ind w:left="208"/>
              <w:rPr>
                <w:rFonts w:ascii="宋体" w:eastAsia="宋体" w:hAnsi="宋体" w:cs="宋体"/>
                <w:sz w:val="17"/>
                <w:szCs w:val="17"/>
              </w:rPr>
            </w:pPr>
            <w:r>
              <w:rPr>
                <w:rFonts w:ascii="宋体" w:eastAsia="宋体" w:hAnsi="宋体" w:cs="宋体"/>
                <w:spacing w:val="-1"/>
                <w:sz w:val="17"/>
                <w:szCs w:val="17"/>
              </w:rPr>
              <w:t>UL</w:t>
            </w:r>
          </w:p>
        </w:tc>
        <w:tc>
          <w:tcPr>
            <w:tcW w:w="1260" w:type="dxa"/>
            <w:tcBorders>
              <w:top w:val="single" w:sz="4" w:space="0" w:color="000000"/>
              <w:bottom w:val="single" w:sz="4" w:space="0" w:color="000000"/>
            </w:tcBorders>
          </w:tcPr>
          <w:p w:rsidR="00EA40A3" w:rsidRDefault="00E86C16">
            <w:pPr>
              <w:spacing w:before="134" w:line="179" w:lineRule="auto"/>
              <w:ind w:left="213"/>
              <w:rPr>
                <w:rFonts w:ascii="宋体" w:eastAsia="宋体" w:hAnsi="宋体" w:cs="宋体"/>
                <w:sz w:val="17"/>
                <w:szCs w:val="17"/>
              </w:rPr>
            </w:pPr>
            <w:r>
              <w:rPr>
                <w:rFonts w:ascii="宋体" w:eastAsia="宋体" w:hAnsi="宋体" w:cs="宋体"/>
                <w:spacing w:val="-2"/>
                <w:sz w:val="17"/>
                <w:szCs w:val="17"/>
              </w:rPr>
              <w:t>RNI</w:t>
            </w:r>
            <w:r>
              <w:rPr>
                <w:rFonts w:ascii="宋体" w:eastAsia="宋体" w:hAnsi="宋体" w:cs="宋体"/>
                <w:spacing w:val="20"/>
                <w:sz w:val="17"/>
                <w:szCs w:val="17"/>
              </w:rPr>
              <w:t xml:space="preserve">    </w:t>
            </w:r>
            <w:r>
              <w:rPr>
                <w:rFonts w:ascii="宋体" w:eastAsia="宋体" w:hAnsi="宋体" w:cs="宋体"/>
                <w:spacing w:val="-2"/>
                <w:sz w:val="17"/>
                <w:szCs w:val="17"/>
              </w:rPr>
              <w:t>UI</w:t>
            </w:r>
          </w:p>
        </w:tc>
        <w:tc>
          <w:tcPr>
            <w:tcW w:w="651" w:type="dxa"/>
            <w:tcBorders>
              <w:top w:val="single" w:sz="4" w:space="0" w:color="000000"/>
              <w:bottom w:val="single" w:sz="4" w:space="0" w:color="000000"/>
            </w:tcBorders>
          </w:tcPr>
          <w:p w:rsidR="00EA40A3" w:rsidRDefault="00E86C16">
            <w:pPr>
              <w:spacing w:before="154" w:line="157" w:lineRule="auto"/>
              <w:ind w:left="233"/>
              <w:rPr>
                <w:rFonts w:ascii="宋体" w:eastAsia="宋体" w:hAnsi="宋体" w:cs="宋体"/>
                <w:sz w:val="17"/>
                <w:szCs w:val="17"/>
              </w:rPr>
            </w:pPr>
            <w:r>
              <w:rPr>
                <w:rFonts w:ascii="宋体" w:eastAsia="宋体" w:hAnsi="宋体" w:cs="宋体"/>
                <w:spacing w:val="-2"/>
                <w:sz w:val="17"/>
                <w:szCs w:val="17"/>
              </w:rPr>
              <w:t>RNI</w:t>
            </w:r>
          </w:p>
        </w:tc>
        <w:tc>
          <w:tcPr>
            <w:tcW w:w="683" w:type="dxa"/>
            <w:tcBorders>
              <w:top w:val="single" w:sz="4" w:space="0" w:color="000000"/>
              <w:bottom w:val="single" w:sz="4" w:space="0" w:color="000000"/>
            </w:tcBorders>
          </w:tcPr>
          <w:p w:rsidR="00EA40A3" w:rsidRDefault="00E86C16">
            <w:pPr>
              <w:spacing w:before="144" w:line="168" w:lineRule="auto"/>
              <w:ind w:left="243"/>
              <w:rPr>
                <w:rFonts w:ascii="宋体" w:eastAsia="宋体" w:hAnsi="宋体" w:cs="宋体"/>
                <w:sz w:val="17"/>
                <w:szCs w:val="17"/>
              </w:rPr>
            </w:pPr>
            <w:r>
              <w:rPr>
                <w:rFonts w:ascii="宋体" w:eastAsia="宋体" w:hAnsi="宋体" w:cs="宋体"/>
                <w:spacing w:val="-1"/>
                <w:sz w:val="17"/>
                <w:szCs w:val="17"/>
              </w:rPr>
              <w:t>UI</w:t>
            </w:r>
          </w:p>
        </w:tc>
      </w:tr>
      <w:tr w:rsidR="00EA40A3">
        <w:trPr>
          <w:trHeight w:val="309"/>
        </w:trPr>
        <w:tc>
          <w:tcPr>
            <w:tcW w:w="1020" w:type="dxa"/>
            <w:tcBorders>
              <w:top w:val="single" w:sz="4" w:space="0" w:color="000000"/>
            </w:tcBorders>
          </w:tcPr>
          <w:p w:rsidR="00EA40A3" w:rsidRDefault="00E86C16">
            <w:pPr>
              <w:spacing w:before="112" w:line="184" w:lineRule="auto"/>
              <w:ind w:left="329"/>
              <w:rPr>
                <w:rFonts w:ascii="宋体" w:eastAsia="宋体" w:hAnsi="宋体" w:cs="宋体"/>
                <w:sz w:val="17"/>
                <w:szCs w:val="17"/>
              </w:rPr>
            </w:pPr>
            <w:r>
              <w:rPr>
                <w:rFonts w:ascii="宋体" w:eastAsia="宋体" w:hAnsi="宋体" w:cs="宋体"/>
                <w:spacing w:val="17"/>
                <w:sz w:val="17"/>
                <w:szCs w:val="17"/>
              </w:rPr>
              <w:t>11~</w:t>
            </w:r>
          </w:p>
        </w:tc>
        <w:tc>
          <w:tcPr>
            <w:tcW w:w="560" w:type="dxa"/>
            <w:tcBorders>
              <w:top w:val="single" w:sz="4" w:space="0" w:color="000000"/>
            </w:tcBorders>
          </w:tcPr>
          <w:p w:rsidR="00EA40A3" w:rsidRDefault="00EA40A3"/>
        </w:tc>
        <w:tc>
          <w:tcPr>
            <w:tcW w:w="667" w:type="dxa"/>
            <w:tcBorders>
              <w:top w:val="single" w:sz="4" w:space="0" w:color="000000"/>
            </w:tcBorders>
          </w:tcPr>
          <w:p w:rsidR="00EA40A3" w:rsidRDefault="00EA40A3"/>
        </w:tc>
        <w:tc>
          <w:tcPr>
            <w:tcW w:w="620" w:type="dxa"/>
            <w:tcBorders>
              <w:top w:val="single" w:sz="4" w:space="0" w:color="000000"/>
            </w:tcBorders>
          </w:tcPr>
          <w:p w:rsidR="00EA40A3" w:rsidRDefault="00EA40A3"/>
        </w:tc>
        <w:tc>
          <w:tcPr>
            <w:tcW w:w="599" w:type="dxa"/>
            <w:tcBorders>
              <w:top w:val="single" w:sz="4" w:space="0" w:color="000000"/>
            </w:tcBorders>
          </w:tcPr>
          <w:p w:rsidR="00EA40A3" w:rsidRDefault="00EA40A3"/>
        </w:tc>
        <w:tc>
          <w:tcPr>
            <w:tcW w:w="666" w:type="dxa"/>
            <w:tcBorders>
              <w:top w:val="single" w:sz="4" w:space="0" w:color="000000"/>
            </w:tcBorders>
          </w:tcPr>
          <w:p w:rsidR="00EA40A3" w:rsidRDefault="00EA40A3"/>
        </w:tc>
        <w:tc>
          <w:tcPr>
            <w:tcW w:w="594" w:type="dxa"/>
            <w:tcBorders>
              <w:top w:val="single" w:sz="4" w:space="0" w:color="000000"/>
            </w:tcBorders>
          </w:tcPr>
          <w:p w:rsidR="00EA40A3" w:rsidRDefault="00EA40A3"/>
        </w:tc>
        <w:tc>
          <w:tcPr>
            <w:tcW w:w="1260" w:type="dxa"/>
            <w:tcBorders>
              <w:top w:val="single" w:sz="4" w:space="0" w:color="000000"/>
            </w:tcBorders>
          </w:tcPr>
          <w:p w:rsidR="00EA40A3" w:rsidRDefault="00EA40A3"/>
        </w:tc>
        <w:tc>
          <w:tcPr>
            <w:tcW w:w="651" w:type="dxa"/>
            <w:tcBorders>
              <w:top w:val="single" w:sz="4" w:space="0" w:color="000000"/>
            </w:tcBorders>
          </w:tcPr>
          <w:p w:rsidR="00EA40A3" w:rsidRDefault="00EA40A3"/>
        </w:tc>
        <w:tc>
          <w:tcPr>
            <w:tcW w:w="683" w:type="dxa"/>
            <w:tcBorders>
              <w:top w:val="single" w:sz="4" w:space="0" w:color="000000"/>
            </w:tcBorders>
          </w:tcPr>
          <w:p w:rsidR="00EA40A3" w:rsidRDefault="00EA40A3"/>
        </w:tc>
      </w:tr>
      <w:tr w:rsidR="00EA40A3">
        <w:trPr>
          <w:trHeight w:val="319"/>
        </w:trPr>
        <w:tc>
          <w:tcPr>
            <w:tcW w:w="1020" w:type="dxa"/>
          </w:tcPr>
          <w:p w:rsidR="00EA40A3" w:rsidRDefault="00E86C16">
            <w:pPr>
              <w:spacing w:before="81" w:line="220" w:lineRule="auto"/>
              <w:ind w:left="419"/>
              <w:rPr>
                <w:rFonts w:ascii="宋体" w:eastAsia="宋体" w:hAnsi="宋体" w:cs="宋体"/>
                <w:sz w:val="17"/>
                <w:szCs w:val="17"/>
              </w:rPr>
            </w:pPr>
            <w:r>
              <w:rPr>
                <w:rFonts w:ascii="宋体" w:eastAsia="宋体" w:hAnsi="宋体" w:cs="宋体"/>
                <w:sz w:val="17"/>
                <w:szCs w:val="17"/>
              </w:rPr>
              <w:t>男</w:t>
            </w:r>
          </w:p>
        </w:tc>
        <w:tc>
          <w:tcPr>
            <w:tcW w:w="560" w:type="dxa"/>
          </w:tcPr>
          <w:p w:rsidR="00EA40A3" w:rsidRDefault="00E86C16">
            <w:pPr>
              <w:spacing w:before="124" w:line="183" w:lineRule="auto"/>
              <w:ind w:left="150"/>
              <w:rPr>
                <w:rFonts w:ascii="宋体" w:eastAsia="宋体" w:hAnsi="宋体" w:cs="宋体"/>
                <w:sz w:val="17"/>
                <w:szCs w:val="17"/>
              </w:rPr>
            </w:pPr>
            <w:r>
              <w:rPr>
                <w:rFonts w:ascii="宋体" w:eastAsia="宋体" w:hAnsi="宋体" w:cs="宋体"/>
                <w:spacing w:val="-3"/>
                <w:sz w:val="17"/>
                <w:szCs w:val="17"/>
              </w:rPr>
              <w:t>700</w:t>
            </w:r>
          </w:p>
        </w:tc>
        <w:tc>
          <w:tcPr>
            <w:tcW w:w="667" w:type="dxa"/>
          </w:tcPr>
          <w:p w:rsidR="00EA40A3" w:rsidRDefault="00E86C16">
            <w:pPr>
              <w:spacing w:before="124" w:line="183" w:lineRule="auto"/>
              <w:ind w:left="170"/>
              <w:rPr>
                <w:rFonts w:ascii="宋体" w:eastAsia="宋体" w:hAnsi="宋体" w:cs="宋体"/>
                <w:sz w:val="17"/>
                <w:szCs w:val="17"/>
              </w:rPr>
            </w:pPr>
            <w:r>
              <w:rPr>
                <w:rFonts w:ascii="宋体" w:eastAsia="宋体" w:hAnsi="宋体" w:cs="宋体"/>
                <w:spacing w:val="-2"/>
                <w:sz w:val="17"/>
                <w:szCs w:val="17"/>
              </w:rPr>
              <w:t>2000</w:t>
            </w:r>
          </w:p>
        </w:tc>
        <w:tc>
          <w:tcPr>
            <w:tcW w:w="620" w:type="dxa"/>
          </w:tcPr>
          <w:p w:rsidR="00EA40A3" w:rsidRDefault="00E86C16">
            <w:pPr>
              <w:spacing w:before="125" w:line="182" w:lineRule="auto"/>
              <w:ind w:left="253"/>
              <w:rPr>
                <w:rFonts w:ascii="宋体" w:eastAsia="宋体" w:hAnsi="宋体" w:cs="宋体"/>
                <w:sz w:val="17"/>
                <w:szCs w:val="17"/>
              </w:rPr>
            </w:pPr>
            <w:r>
              <w:rPr>
                <w:rFonts w:ascii="宋体" w:eastAsia="宋体" w:hAnsi="宋体" w:cs="宋体"/>
                <w:sz w:val="17"/>
                <w:szCs w:val="17"/>
              </w:rPr>
              <w:t>5</w:t>
            </w:r>
          </w:p>
        </w:tc>
        <w:tc>
          <w:tcPr>
            <w:tcW w:w="599" w:type="dxa"/>
          </w:tcPr>
          <w:p w:rsidR="00EA40A3" w:rsidRDefault="00E86C16">
            <w:pPr>
              <w:spacing w:before="124" w:line="183" w:lineRule="auto"/>
              <w:ind w:left="222"/>
              <w:rPr>
                <w:rFonts w:ascii="宋体" w:eastAsia="宋体" w:hAnsi="宋体" w:cs="宋体"/>
                <w:sz w:val="17"/>
                <w:szCs w:val="17"/>
              </w:rPr>
            </w:pPr>
            <w:r>
              <w:rPr>
                <w:rFonts w:ascii="宋体" w:eastAsia="宋体" w:hAnsi="宋体" w:cs="宋体"/>
                <w:spacing w:val="-3"/>
                <w:sz w:val="17"/>
                <w:szCs w:val="17"/>
              </w:rPr>
              <w:t>20</w:t>
            </w:r>
          </w:p>
        </w:tc>
        <w:tc>
          <w:tcPr>
            <w:tcW w:w="666" w:type="dxa"/>
          </w:tcPr>
          <w:p w:rsidR="00EA40A3" w:rsidRDefault="00E86C16">
            <w:pPr>
              <w:spacing w:before="123" w:line="184" w:lineRule="auto"/>
              <w:ind w:left="224"/>
              <w:rPr>
                <w:rFonts w:ascii="宋体" w:eastAsia="宋体" w:hAnsi="宋体" w:cs="宋体"/>
                <w:sz w:val="17"/>
                <w:szCs w:val="17"/>
              </w:rPr>
            </w:pPr>
            <w:r>
              <w:rPr>
                <w:rFonts w:ascii="宋体" w:eastAsia="宋体" w:hAnsi="宋体" w:cs="宋体"/>
                <w:spacing w:val="-5"/>
                <w:sz w:val="17"/>
                <w:szCs w:val="17"/>
              </w:rPr>
              <w:t>1.2</w:t>
            </w:r>
          </w:p>
        </w:tc>
        <w:tc>
          <w:tcPr>
            <w:tcW w:w="594" w:type="dxa"/>
          </w:tcPr>
          <w:p w:rsidR="00EA40A3" w:rsidRDefault="00E86C16">
            <w:pPr>
              <w:spacing w:before="124" w:line="183" w:lineRule="auto"/>
              <w:ind w:left="228"/>
              <w:rPr>
                <w:rFonts w:ascii="宋体" w:eastAsia="宋体" w:hAnsi="宋体" w:cs="宋体"/>
                <w:sz w:val="17"/>
                <w:szCs w:val="17"/>
              </w:rPr>
            </w:pPr>
            <w:r>
              <w:rPr>
                <w:rFonts w:ascii="宋体" w:eastAsia="宋体" w:hAnsi="宋体" w:cs="宋体"/>
                <w:spacing w:val="-3"/>
                <w:sz w:val="17"/>
                <w:szCs w:val="17"/>
              </w:rPr>
              <w:t>50</w:t>
            </w:r>
          </w:p>
        </w:tc>
        <w:tc>
          <w:tcPr>
            <w:tcW w:w="1260" w:type="dxa"/>
          </w:tcPr>
          <w:p w:rsidR="00EA40A3" w:rsidRDefault="00E86C16">
            <w:pPr>
              <w:spacing w:before="123" w:line="184" w:lineRule="auto"/>
              <w:ind w:left="244"/>
              <w:rPr>
                <w:rFonts w:ascii="宋体" w:eastAsia="宋体" w:hAnsi="宋体" w:cs="宋体"/>
                <w:sz w:val="17"/>
                <w:szCs w:val="17"/>
              </w:rPr>
            </w:pPr>
            <w:r>
              <w:rPr>
                <w:rFonts w:ascii="宋体" w:eastAsia="宋体" w:hAnsi="宋体" w:cs="宋体"/>
                <w:spacing w:val="-5"/>
                <w:sz w:val="17"/>
                <w:szCs w:val="17"/>
              </w:rPr>
              <w:t>1.2</w:t>
            </w:r>
          </w:p>
        </w:tc>
        <w:tc>
          <w:tcPr>
            <w:tcW w:w="651" w:type="dxa"/>
          </w:tcPr>
          <w:p w:rsidR="00EA40A3" w:rsidRDefault="00E86C16">
            <w:pPr>
              <w:spacing w:before="124" w:line="183" w:lineRule="auto"/>
              <w:ind w:left="274"/>
              <w:rPr>
                <w:rFonts w:ascii="宋体" w:eastAsia="宋体" w:hAnsi="宋体" w:cs="宋体"/>
                <w:sz w:val="17"/>
                <w:szCs w:val="17"/>
              </w:rPr>
            </w:pPr>
            <w:r>
              <w:rPr>
                <w:rFonts w:ascii="宋体" w:eastAsia="宋体" w:hAnsi="宋体" w:cs="宋体"/>
                <w:spacing w:val="-2"/>
                <w:sz w:val="17"/>
                <w:szCs w:val="17"/>
              </w:rPr>
              <w:t>90</w:t>
            </w:r>
          </w:p>
        </w:tc>
        <w:tc>
          <w:tcPr>
            <w:tcW w:w="683" w:type="dxa"/>
          </w:tcPr>
          <w:p w:rsidR="00EA40A3" w:rsidRDefault="00E86C16">
            <w:pPr>
              <w:spacing w:before="124" w:line="183" w:lineRule="auto"/>
              <w:ind w:left="223"/>
              <w:rPr>
                <w:rFonts w:ascii="宋体" w:eastAsia="宋体" w:hAnsi="宋体" w:cs="宋体"/>
                <w:sz w:val="17"/>
                <w:szCs w:val="17"/>
              </w:rPr>
            </w:pPr>
            <w:r>
              <w:rPr>
                <w:rFonts w:ascii="宋体" w:eastAsia="宋体" w:hAnsi="宋体" w:cs="宋体"/>
                <w:spacing w:val="-2"/>
                <w:sz w:val="17"/>
                <w:szCs w:val="17"/>
              </w:rPr>
              <w:t>900</w:t>
            </w:r>
          </w:p>
        </w:tc>
      </w:tr>
      <w:tr w:rsidR="00EA40A3">
        <w:trPr>
          <w:trHeight w:val="613"/>
        </w:trPr>
        <w:tc>
          <w:tcPr>
            <w:tcW w:w="1020" w:type="dxa"/>
          </w:tcPr>
          <w:p w:rsidR="00EA40A3" w:rsidRDefault="00E86C16">
            <w:pPr>
              <w:spacing w:before="81" w:line="344" w:lineRule="exact"/>
              <w:ind w:left="419"/>
              <w:rPr>
                <w:rFonts w:ascii="宋体" w:eastAsia="宋体" w:hAnsi="宋体" w:cs="宋体"/>
                <w:sz w:val="17"/>
                <w:szCs w:val="17"/>
              </w:rPr>
            </w:pPr>
            <w:r>
              <w:rPr>
                <w:rFonts w:ascii="宋体" w:eastAsia="宋体" w:hAnsi="宋体" w:cs="宋体"/>
                <w:position w:val="13"/>
                <w:sz w:val="17"/>
                <w:szCs w:val="17"/>
              </w:rPr>
              <w:t>女</w:t>
            </w:r>
          </w:p>
          <w:p w:rsidR="00EA40A3" w:rsidRDefault="00E86C16">
            <w:pPr>
              <w:spacing w:line="183" w:lineRule="auto"/>
              <w:ind w:left="160"/>
              <w:rPr>
                <w:rFonts w:ascii="宋体" w:eastAsia="宋体" w:hAnsi="宋体" w:cs="宋体"/>
                <w:sz w:val="17"/>
                <w:szCs w:val="17"/>
              </w:rPr>
            </w:pPr>
            <w:r>
              <w:rPr>
                <w:rFonts w:ascii="宋体" w:eastAsia="宋体" w:hAnsi="宋体" w:cs="宋体"/>
                <w:spacing w:val="-4"/>
                <w:sz w:val="17"/>
                <w:szCs w:val="17"/>
              </w:rPr>
              <w:t>14～18</w:t>
            </w:r>
          </w:p>
        </w:tc>
        <w:tc>
          <w:tcPr>
            <w:tcW w:w="560" w:type="dxa"/>
          </w:tcPr>
          <w:p w:rsidR="00EA40A3" w:rsidRDefault="00E86C16">
            <w:pPr>
              <w:spacing w:before="125" w:line="183" w:lineRule="auto"/>
              <w:ind w:left="150"/>
              <w:rPr>
                <w:rFonts w:ascii="宋体" w:eastAsia="宋体" w:hAnsi="宋体" w:cs="宋体"/>
                <w:sz w:val="17"/>
                <w:szCs w:val="17"/>
              </w:rPr>
            </w:pPr>
            <w:r>
              <w:rPr>
                <w:rFonts w:ascii="宋体" w:eastAsia="宋体" w:hAnsi="宋体" w:cs="宋体"/>
                <w:spacing w:val="-3"/>
                <w:sz w:val="17"/>
                <w:szCs w:val="17"/>
              </w:rPr>
              <w:t>700</w:t>
            </w:r>
          </w:p>
        </w:tc>
        <w:tc>
          <w:tcPr>
            <w:tcW w:w="667" w:type="dxa"/>
          </w:tcPr>
          <w:p w:rsidR="00EA40A3" w:rsidRDefault="00E86C16">
            <w:pPr>
              <w:spacing w:before="125" w:line="183" w:lineRule="auto"/>
              <w:ind w:left="170"/>
              <w:rPr>
                <w:rFonts w:ascii="宋体" w:eastAsia="宋体" w:hAnsi="宋体" w:cs="宋体"/>
                <w:sz w:val="17"/>
                <w:szCs w:val="17"/>
              </w:rPr>
            </w:pPr>
            <w:r>
              <w:rPr>
                <w:rFonts w:ascii="宋体" w:eastAsia="宋体" w:hAnsi="宋体" w:cs="宋体"/>
                <w:spacing w:val="-2"/>
                <w:sz w:val="17"/>
                <w:szCs w:val="17"/>
              </w:rPr>
              <w:t>2000</w:t>
            </w:r>
          </w:p>
        </w:tc>
        <w:tc>
          <w:tcPr>
            <w:tcW w:w="620" w:type="dxa"/>
          </w:tcPr>
          <w:p w:rsidR="00EA40A3" w:rsidRDefault="00E86C16">
            <w:pPr>
              <w:spacing w:before="126" w:line="182" w:lineRule="auto"/>
              <w:ind w:left="253"/>
              <w:rPr>
                <w:rFonts w:ascii="宋体" w:eastAsia="宋体" w:hAnsi="宋体" w:cs="宋体"/>
                <w:sz w:val="17"/>
                <w:szCs w:val="17"/>
              </w:rPr>
            </w:pPr>
            <w:r>
              <w:rPr>
                <w:rFonts w:ascii="宋体" w:eastAsia="宋体" w:hAnsi="宋体" w:cs="宋体"/>
                <w:sz w:val="17"/>
                <w:szCs w:val="17"/>
              </w:rPr>
              <w:t>5</w:t>
            </w:r>
          </w:p>
        </w:tc>
        <w:tc>
          <w:tcPr>
            <w:tcW w:w="599" w:type="dxa"/>
          </w:tcPr>
          <w:p w:rsidR="00EA40A3" w:rsidRDefault="00E86C16">
            <w:pPr>
              <w:spacing w:before="125" w:line="183" w:lineRule="auto"/>
              <w:ind w:left="222"/>
              <w:rPr>
                <w:rFonts w:ascii="宋体" w:eastAsia="宋体" w:hAnsi="宋体" w:cs="宋体"/>
                <w:sz w:val="17"/>
                <w:szCs w:val="17"/>
              </w:rPr>
            </w:pPr>
            <w:r>
              <w:rPr>
                <w:rFonts w:ascii="宋体" w:eastAsia="宋体" w:hAnsi="宋体" w:cs="宋体"/>
                <w:spacing w:val="-3"/>
                <w:sz w:val="17"/>
                <w:szCs w:val="17"/>
              </w:rPr>
              <w:t>20</w:t>
            </w:r>
          </w:p>
        </w:tc>
        <w:tc>
          <w:tcPr>
            <w:tcW w:w="666" w:type="dxa"/>
          </w:tcPr>
          <w:p w:rsidR="00EA40A3" w:rsidRDefault="00E86C16">
            <w:pPr>
              <w:spacing w:before="124" w:line="184" w:lineRule="auto"/>
              <w:ind w:left="224"/>
              <w:rPr>
                <w:rFonts w:ascii="宋体" w:eastAsia="宋体" w:hAnsi="宋体" w:cs="宋体"/>
                <w:sz w:val="17"/>
                <w:szCs w:val="17"/>
              </w:rPr>
            </w:pPr>
            <w:r>
              <w:rPr>
                <w:rFonts w:ascii="宋体" w:eastAsia="宋体" w:hAnsi="宋体" w:cs="宋体"/>
                <w:spacing w:val="-5"/>
                <w:sz w:val="17"/>
                <w:szCs w:val="17"/>
              </w:rPr>
              <w:t>1.2</w:t>
            </w:r>
          </w:p>
        </w:tc>
        <w:tc>
          <w:tcPr>
            <w:tcW w:w="594" w:type="dxa"/>
          </w:tcPr>
          <w:p w:rsidR="00EA40A3" w:rsidRDefault="00E86C16">
            <w:pPr>
              <w:spacing w:before="125" w:line="183" w:lineRule="auto"/>
              <w:ind w:left="228"/>
              <w:rPr>
                <w:rFonts w:ascii="宋体" w:eastAsia="宋体" w:hAnsi="宋体" w:cs="宋体"/>
                <w:sz w:val="17"/>
                <w:szCs w:val="17"/>
              </w:rPr>
            </w:pPr>
            <w:r>
              <w:rPr>
                <w:rFonts w:ascii="宋体" w:eastAsia="宋体" w:hAnsi="宋体" w:cs="宋体"/>
                <w:spacing w:val="-3"/>
                <w:sz w:val="17"/>
                <w:szCs w:val="17"/>
              </w:rPr>
              <w:t>50</w:t>
            </w:r>
          </w:p>
        </w:tc>
        <w:tc>
          <w:tcPr>
            <w:tcW w:w="1260" w:type="dxa"/>
          </w:tcPr>
          <w:p w:rsidR="00EA40A3" w:rsidRDefault="00E86C16">
            <w:pPr>
              <w:spacing w:before="124" w:line="184" w:lineRule="auto"/>
              <w:ind w:left="244"/>
              <w:rPr>
                <w:rFonts w:ascii="宋体" w:eastAsia="宋体" w:hAnsi="宋体" w:cs="宋体"/>
                <w:sz w:val="17"/>
                <w:szCs w:val="17"/>
              </w:rPr>
            </w:pPr>
            <w:r>
              <w:rPr>
                <w:rFonts w:ascii="宋体" w:eastAsia="宋体" w:hAnsi="宋体" w:cs="宋体"/>
                <w:spacing w:val="-5"/>
                <w:sz w:val="17"/>
                <w:szCs w:val="17"/>
              </w:rPr>
              <w:t>1.2</w:t>
            </w:r>
          </w:p>
        </w:tc>
        <w:tc>
          <w:tcPr>
            <w:tcW w:w="651" w:type="dxa"/>
          </w:tcPr>
          <w:p w:rsidR="00EA40A3" w:rsidRDefault="00E86C16">
            <w:pPr>
              <w:spacing w:before="125" w:line="183" w:lineRule="auto"/>
              <w:ind w:left="274"/>
              <w:rPr>
                <w:rFonts w:ascii="宋体" w:eastAsia="宋体" w:hAnsi="宋体" w:cs="宋体"/>
                <w:sz w:val="17"/>
                <w:szCs w:val="17"/>
              </w:rPr>
            </w:pPr>
            <w:r>
              <w:rPr>
                <w:rFonts w:ascii="宋体" w:eastAsia="宋体" w:hAnsi="宋体" w:cs="宋体"/>
                <w:spacing w:val="-2"/>
                <w:sz w:val="17"/>
                <w:szCs w:val="17"/>
              </w:rPr>
              <w:t>90</w:t>
            </w:r>
          </w:p>
        </w:tc>
        <w:tc>
          <w:tcPr>
            <w:tcW w:w="683" w:type="dxa"/>
          </w:tcPr>
          <w:p w:rsidR="00EA40A3" w:rsidRDefault="00E86C16">
            <w:pPr>
              <w:spacing w:before="125" w:line="183" w:lineRule="auto"/>
              <w:ind w:left="223"/>
              <w:rPr>
                <w:rFonts w:ascii="宋体" w:eastAsia="宋体" w:hAnsi="宋体" w:cs="宋体"/>
                <w:sz w:val="17"/>
                <w:szCs w:val="17"/>
              </w:rPr>
            </w:pPr>
            <w:r>
              <w:rPr>
                <w:rFonts w:ascii="宋体" w:eastAsia="宋体" w:hAnsi="宋体" w:cs="宋体"/>
                <w:spacing w:val="-2"/>
                <w:sz w:val="17"/>
                <w:szCs w:val="17"/>
              </w:rPr>
              <w:t>900</w:t>
            </w:r>
          </w:p>
        </w:tc>
      </w:tr>
      <w:tr w:rsidR="00EA40A3">
        <w:trPr>
          <w:trHeight w:val="309"/>
        </w:trPr>
        <w:tc>
          <w:tcPr>
            <w:tcW w:w="1020" w:type="dxa"/>
          </w:tcPr>
          <w:p w:rsidR="00EA40A3" w:rsidRDefault="00E86C16">
            <w:pPr>
              <w:spacing w:before="79" w:line="220" w:lineRule="auto"/>
              <w:ind w:left="419"/>
              <w:rPr>
                <w:rFonts w:ascii="宋体" w:eastAsia="宋体" w:hAnsi="宋体" w:cs="宋体"/>
                <w:sz w:val="17"/>
                <w:szCs w:val="17"/>
              </w:rPr>
            </w:pPr>
            <w:r>
              <w:rPr>
                <w:rFonts w:ascii="宋体" w:eastAsia="宋体" w:hAnsi="宋体" w:cs="宋体"/>
                <w:sz w:val="17"/>
                <w:szCs w:val="17"/>
              </w:rPr>
              <w:t>男</w:t>
            </w:r>
          </w:p>
        </w:tc>
        <w:tc>
          <w:tcPr>
            <w:tcW w:w="560" w:type="dxa"/>
          </w:tcPr>
          <w:p w:rsidR="00EA40A3" w:rsidRDefault="00E86C16">
            <w:pPr>
              <w:spacing w:before="122" w:line="183" w:lineRule="auto"/>
              <w:ind w:left="150"/>
              <w:rPr>
                <w:rFonts w:ascii="宋体" w:eastAsia="宋体" w:hAnsi="宋体" w:cs="宋体"/>
                <w:sz w:val="17"/>
                <w:szCs w:val="17"/>
              </w:rPr>
            </w:pPr>
            <w:r>
              <w:rPr>
                <w:rFonts w:ascii="宋体" w:eastAsia="宋体" w:hAnsi="宋体" w:cs="宋体"/>
                <w:spacing w:val="-2"/>
                <w:sz w:val="17"/>
                <w:szCs w:val="17"/>
              </w:rPr>
              <w:t>800</w:t>
            </w:r>
          </w:p>
        </w:tc>
        <w:tc>
          <w:tcPr>
            <w:tcW w:w="667" w:type="dxa"/>
          </w:tcPr>
          <w:p w:rsidR="00EA40A3" w:rsidRDefault="00E86C16">
            <w:pPr>
              <w:spacing w:before="122" w:line="183" w:lineRule="auto"/>
              <w:ind w:left="170"/>
              <w:rPr>
                <w:rFonts w:ascii="宋体" w:eastAsia="宋体" w:hAnsi="宋体" w:cs="宋体"/>
                <w:sz w:val="17"/>
                <w:szCs w:val="17"/>
              </w:rPr>
            </w:pPr>
            <w:r>
              <w:rPr>
                <w:rFonts w:ascii="宋体" w:eastAsia="宋体" w:hAnsi="宋体" w:cs="宋体"/>
                <w:spacing w:val="-2"/>
                <w:sz w:val="17"/>
                <w:szCs w:val="17"/>
              </w:rPr>
              <w:t>2000</w:t>
            </w:r>
          </w:p>
        </w:tc>
        <w:tc>
          <w:tcPr>
            <w:tcW w:w="620" w:type="dxa"/>
          </w:tcPr>
          <w:p w:rsidR="00EA40A3" w:rsidRDefault="00E86C16">
            <w:pPr>
              <w:spacing w:before="123" w:line="182" w:lineRule="auto"/>
              <w:ind w:left="253"/>
              <w:rPr>
                <w:rFonts w:ascii="宋体" w:eastAsia="宋体" w:hAnsi="宋体" w:cs="宋体"/>
                <w:sz w:val="17"/>
                <w:szCs w:val="17"/>
              </w:rPr>
            </w:pPr>
            <w:r>
              <w:rPr>
                <w:rFonts w:ascii="宋体" w:eastAsia="宋体" w:hAnsi="宋体" w:cs="宋体"/>
                <w:sz w:val="17"/>
                <w:szCs w:val="17"/>
              </w:rPr>
              <w:t>5</w:t>
            </w:r>
          </w:p>
        </w:tc>
        <w:tc>
          <w:tcPr>
            <w:tcW w:w="599" w:type="dxa"/>
          </w:tcPr>
          <w:p w:rsidR="00EA40A3" w:rsidRDefault="00E86C16">
            <w:pPr>
              <w:spacing w:before="122" w:line="183" w:lineRule="auto"/>
              <w:ind w:left="222"/>
              <w:rPr>
                <w:rFonts w:ascii="宋体" w:eastAsia="宋体" w:hAnsi="宋体" w:cs="宋体"/>
                <w:sz w:val="17"/>
                <w:szCs w:val="17"/>
              </w:rPr>
            </w:pPr>
            <w:r>
              <w:rPr>
                <w:rFonts w:ascii="宋体" w:eastAsia="宋体" w:hAnsi="宋体" w:cs="宋体"/>
                <w:spacing w:val="-3"/>
                <w:sz w:val="17"/>
                <w:szCs w:val="17"/>
              </w:rPr>
              <w:t>20</w:t>
            </w:r>
          </w:p>
        </w:tc>
        <w:tc>
          <w:tcPr>
            <w:tcW w:w="666" w:type="dxa"/>
          </w:tcPr>
          <w:p w:rsidR="00EA40A3" w:rsidRDefault="00E86C16">
            <w:pPr>
              <w:spacing w:before="121" w:line="184" w:lineRule="auto"/>
              <w:ind w:left="224"/>
              <w:rPr>
                <w:rFonts w:ascii="宋体" w:eastAsia="宋体" w:hAnsi="宋体" w:cs="宋体"/>
                <w:sz w:val="17"/>
                <w:szCs w:val="17"/>
              </w:rPr>
            </w:pPr>
            <w:r>
              <w:rPr>
                <w:rFonts w:ascii="宋体" w:eastAsia="宋体" w:hAnsi="宋体" w:cs="宋体"/>
                <w:spacing w:val="-5"/>
                <w:sz w:val="17"/>
                <w:szCs w:val="17"/>
              </w:rPr>
              <w:t>1.5</w:t>
            </w:r>
          </w:p>
        </w:tc>
        <w:tc>
          <w:tcPr>
            <w:tcW w:w="594" w:type="dxa"/>
          </w:tcPr>
          <w:p w:rsidR="00EA40A3" w:rsidRDefault="00E86C16">
            <w:pPr>
              <w:spacing w:before="122" w:line="183" w:lineRule="auto"/>
              <w:ind w:left="228"/>
              <w:rPr>
                <w:rFonts w:ascii="宋体" w:eastAsia="宋体" w:hAnsi="宋体" w:cs="宋体"/>
                <w:sz w:val="17"/>
                <w:szCs w:val="17"/>
              </w:rPr>
            </w:pPr>
            <w:r>
              <w:rPr>
                <w:rFonts w:ascii="宋体" w:eastAsia="宋体" w:hAnsi="宋体" w:cs="宋体"/>
                <w:spacing w:val="-3"/>
                <w:sz w:val="17"/>
                <w:szCs w:val="17"/>
              </w:rPr>
              <w:t>50</w:t>
            </w:r>
          </w:p>
        </w:tc>
        <w:tc>
          <w:tcPr>
            <w:tcW w:w="1260" w:type="dxa"/>
          </w:tcPr>
          <w:p w:rsidR="00EA40A3" w:rsidRDefault="00E86C16">
            <w:pPr>
              <w:spacing w:before="121" w:line="184" w:lineRule="auto"/>
              <w:ind w:left="244"/>
              <w:rPr>
                <w:rFonts w:ascii="宋体" w:eastAsia="宋体" w:hAnsi="宋体" w:cs="宋体"/>
                <w:sz w:val="17"/>
                <w:szCs w:val="17"/>
              </w:rPr>
            </w:pPr>
            <w:r>
              <w:rPr>
                <w:rFonts w:ascii="宋体" w:eastAsia="宋体" w:hAnsi="宋体" w:cs="宋体"/>
                <w:spacing w:val="-5"/>
                <w:sz w:val="17"/>
                <w:szCs w:val="17"/>
              </w:rPr>
              <w:t>1.5</w:t>
            </w:r>
          </w:p>
        </w:tc>
        <w:tc>
          <w:tcPr>
            <w:tcW w:w="651" w:type="dxa"/>
          </w:tcPr>
          <w:p w:rsidR="00EA40A3" w:rsidRDefault="00E86C16">
            <w:pPr>
              <w:spacing w:before="121" w:line="184" w:lineRule="auto"/>
              <w:ind w:left="224"/>
              <w:rPr>
                <w:rFonts w:ascii="宋体" w:eastAsia="宋体" w:hAnsi="宋体" w:cs="宋体"/>
                <w:sz w:val="17"/>
                <w:szCs w:val="17"/>
              </w:rPr>
            </w:pPr>
            <w:r>
              <w:rPr>
                <w:rFonts w:ascii="宋体" w:eastAsia="宋体" w:hAnsi="宋体" w:cs="宋体"/>
                <w:spacing w:val="-5"/>
                <w:sz w:val="17"/>
                <w:szCs w:val="17"/>
              </w:rPr>
              <w:t>100</w:t>
            </w:r>
          </w:p>
        </w:tc>
        <w:tc>
          <w:tcPr>
            <w:tcW w:w="683" w:type="dxa"/>
          </w:tcPr>
          <w:p w:rsidR="00EA40A3" w:rsidRDefault="00E86C16">
            <w:pPr>
              <w:spacing w:before="121" w:line="184" w:lineRule="auto"/>
              <w:ind w:left="183"/>
              <w:rPr>
                <w:rFonts w:ascii="宋体" w:eastAsia="宋体" w:hAnsi="宋体" w:cs="宋体"/>
                <w:sz w:val="17"/>
                <w:szCs w:val="17"/>
              </w:rPr>
            </w:pPr>
            <w:r>
              <w:rPr>
                <w:rFonts w:ascii="宋体" w:eastAsia="宋体" w:hAnsi="宋体" w:cs="宋体"/>
                <w:spacing w:val="-4"/>
                <w:sz w:val="17"/>
                <w:szCs w:val="17"/>
              </w:rPr>
              <w:t>1000</w:t>
            </w:r>
          </w:p>
        </w:tc>
      </w:tr>
      <w:tr w:rsidR="00EA40A3">
        <w:trPr>
          <w:trHeight w:val="307"/>
        </w:trPr>
        <w:tc>
          <w:tcPr>
            <w:tcW w:w="1020" w:type="dxa"/>
            <w:tcBorders>
              <w:bottom w:val="single" w:sz="4" w:space="0" w:color="000000"/>
            </w:tcBorders>
          </w:tcPr>
          <w:p w:rsidR="00EA40A3" w:rsidRDefault="00E86C16">
            <w:pPr>
              <w:spacing w:before="79" w:line="219" w:lineRule="auto"/>
              <w:ind w:left="419"/>
              <w:rPr>
                <w:rFonts w:ascii="宋体" w:eastAsia="宋体" w:hAnsi="宋体" w:cs="宋体"/>
                <w:sz w:val="17"/>
                <w:szCs w:val="17"/>
              </w:rPr>
            </w:pPr>
            <w:r>
              <w:rPr>
                <w:rFonts w:ascii="宋体" w:eastAsia="宋体" w:hAnsi="宋体" w:cs="宋体"/>
                <w:sz w:val="17"/>
                <w:szCs w:val="17"/>
              </w:rPr>
              <w:t>女</w:t>
            </w:r>
          </w:p>
        </w:tc>
        <w:tc>
          <w:tcPr>
            <w:tcW w:w="560" w:type="dxa"/>
            <w:tcBorders>
              <w:bottom w:val="single" w:sz="4" w:space="0" w:color="000000"/>
            </w:tcBorders>
          </w:tcPr>
          <w:p w:rsidR="00EA40A3" w:rsidRDefault="00E86C16">
            <w:pPr>
              <w:spacing w:before="123" w:line="183" w:lineRule="auto"/>
              <w:ind w:left="150"/>
              <w:rPr>
                <w:rFonts w:ascii="宋体" w:eastAsia="宋体" w:hAnsi="宋体" w:cs="宋体"/>
                <w:sz w:val="17"/>
                <w:szCs w:val="17"/>
              </w:rPr>
            </w:pPr>
            <w:r>
              <w:rPr>
                <w:rFonts w:ascii="宋体" w:eastAsia="宋体" w:hAnsi="宋体" w:cs="宋体"/>
                <w:spacing w:val="-3"/>
                <w:sz w:val="17"/>
                <w:szCs w:val="17"/>
              </w:rPr>
              <w:t>700</w:t>
            </w:r>
          </w:p>
        </w:tc>
        <w:tc>
          <w:tcPr>
            <w:tcW w:w="667" w:type="dxa"/>
            <w:tcBorders>
              <w:bottom w:val="single" w:sz="4" w:space="0" w:color="000000"/>
            </w:tcBorders>
          </w:tcPr>
          <w:p w:rsidR="00EA40A3" w:rsidRDefault="00E86C16">
            <w:pPr>
              <w:spacing w:before="123" w:line="183" w:lineRule="auto"/>
              <w:ind w:left="170"/>
              <w:rPr>
                <w:rFonts w:ascii="宋体" w:eastAsia="宋体" w:hAnsi="宋体" w:cs="宋体"/>
                <w:sz w:val="17"/>
                <w:szCs w:val="17"/>
              </w:rPr>
            </w:pPr>
            <w:r>
              <w:rPr>
                <w:rFonts w:ascii="宋体" w:eastAsia="宋体" w:hAnsi="宋体" w:cs="宋体"/>
                <w:spacing w:val="-2"/>
                <w:sz w:val="17"/>
                <w:szCs w:val="17"/>
              </w:rPr>
              <w:t>2000</w:t>
            </w:r>
          </w:p>
        </w:tc>
        <w:tc>
          <w:tcPr>
            <w:tcW w:w="620" w:type="dxa"/>
            <w:tcBorders>
              <w:bottom w:val="single" w:sz="4" w:space="0" w:color="000000"/>
            </w:tcBorders>
          </w:tcPr>
          <w:p w:rsidR="00EA40A3" w:rsidRDefault="00E86C16">
            <w:pPr>
              <w:spacing w:before="124" w:line="182" w:lineRule="auto"/>
              <w:ind w:left="253"/>
              <w:rPr>
                <w:rFonts w:ascii="宋体" w:eastAsia="宋体" w:hAnsi="宋体" w:cs="宋体"/>
                <w:sz w:val="17"/>
                <w:szCs w:val="17"/>
              </w:rPr>
            </w:pPr>
            <w:r>
              <w:rPr>
                <w:rFonts w:ascii="宋体" w:eastAsia="宋体" w:hAnsi="宋体" w:cs="宋体"/>
                <w:sz w:val="17"/>
                <w:szCs w:val="17"/>
              </w:rPr>
              <w:t>5</w:t>
            </w:r>
          </w:p>
        </w:tc>
        <w:tc>
          <w:tcPr>
            <w:tcW w:w="599" w:type="dxa"/>
            <w:tcBorders>
              <w:bottom w:val="single" w:sz="4" w:space="0" w:color="000000"/>
            </w:tcBorders>
          </w:tcPr>
          <w:p w:rsidR="00EA40A3" w:rsidRDefault="00E86C16">
            <w:pPr>
              <w:spacing w:before="123" w:line="183" w:lineRule="auto"/>
              <w:ind w:left="222"/>
              <w:rPr>
                <w:rFonts w:ascii="宋体" w:eastAsia="宋体" w:hAnsi="宋体" w:cs="宋体"/>
                <w:sz w:val="17"/>
                <w:szCs w:val="17"/>
              </w:rPr>
            </w:pPr>
            <w:r>
              <w:rPr>
                <w:rFonts w:ascii="宋体" w:eastAsia="宋体" w:hAnsi="宋体" w:cs="宋体"/>
                <w:spacing w:val="-3"/>
                <w:sz w:val="17"/>
                <w:szCs w:val="17"/>
              </w:rPr>
              <w:t>20</w:t>
            </w:r>
          </w:p>
        </w:tc>
        <w:tc>
          <w:tcPr>
            <w:tcW w:w="666" w:type="dxa"/>
            <w:tcBorders>
              <w:bottom w:val="single" w:sz="4" w:space="0" w:color="000000"/>
            </w:tcBorders>
          </w:tcPr>
          <w:p w:rsidR="00EA40A3" w:rsidRDefault="00E86C16">
            <w:pPr>
              <w:spacing w:before="122" w:line="184" w:lineRule="auto"/>
              <w:ind w:left="224"/>
              <w:rPr>
                <w:rFonts w:ascii="宋体" w:eastAsia="宋体" w:hAnsi="宋体" w:cs="宋体"/>
                <w:sz w:val="17"/>
                <w:szCs w:val="17"/>
              </w:rPr>
            </w:pPr>
            <w:r>
              <w:rPr>
                <w:rFonts w:ascii="宋体" w:eastAsia="宋体" w:hAnsi="宋体" w:cs="宋体"/>
                <w:spacing w:val="-5"/>
                <w:sz w:val="17"/>
                <w:szCs w:val="17"/>
              </w:rPr>
              <w:t>1.2</w:t>
            </w:r>
          </w:p>
        </w:tc>
        <w:tc>
          <w:tcPr>
            <w:tcW w:w="594" w:type="dxa"/>
            <w:tcBorders>
              <w:bottom w:val="single" w:sz="4" w:space="0" w:color="000000"/>
            </w:tcBorders>
          </w:tcPr>
          <w:p w:rsidR="00EA40A3" w:rsidRDefault="00E86C16">
            <w:pPr>
              <w:spacing w:before="123" w:line="183" w:lineRule="auto"/>
              <w:ind w:left="228"/>
              <w:rPr>
                <w:rFonts w:ascii="宋体" w:eastAsia="宋体" w:hAnsi="宋体" w:cs="宋体"/>
                <w:sz w:val="17"/>
                <w:szCs w:val="17"/>
              </w:rPr>
            </w:pPr>
            <w:r>
              <w:rPr>
                <w:rFonts w:ascii="宋体" w:eastAsia="宋体" w:hAnsi="宋体" w:cs="宋体"/>
                <w:spacing w:val="-3"/>
                <w:sz w:val="17"/>
                <w:szCs w:val="17"/>
              </w:rPr>
              <w:t>50</w:t>
            </w:r>
          </w:p>
        </w:tc>
        <w:tc>
          <w:tcPr>
            <w:tcW w:w="1260" w:type="dxa"/>
            <w:tcBorders>
              <w:bottom w:val="single" w:sz="4" w:space="0" w:color="000000"/>
            </w:tcBorders>
          </w:tcPr>
          <w:p w:rsidR="00EA40A3" w:rsidRDefault="00E86C16">
            <w:pPr>
              <w:spacing w:before="122" w:line="184" w:lineRule="auto"/>
              <w:ind w:left="244"/>
              <w:rPr>
                <w:rFonts w:ascii="宋体" w:eastAsia="宋体" w:hAnsi="宋体" w:cs="宋体"/>
                <w:sz w:val="17"/>
                <w:szCs w:val="17"/>
              </w:rPr>
            </w:pPr>
            <w:r>
              <w:rPr>
                <w:rFonts w:ascii="宋体" w:eastAsia="宋体" w:hAnsi="宋体" w:cs="宋体"/>
                <w:spacing w:val="-5"/>
                <w:sz w:val="17"/>
                <w:szCs w:val="17"/>
              </w:rPr>
              <w:t>1.2</w:t>
            </w:r>
          </w:p>
        </w:tc>
        <w:tc>
          <w:tcPr>
            <w:tcW w:w="651" w:type="dxa"/>
            <w:tcBorders>
              <w:bottom w:val="single" w:sz="4" w:space="0" w:color="000000"/>
            </w:tcBorders>
          </w:tcPr>
          <w:p w:rsidR="00EA40A3" w:rsidRDefault="00E86C16">
            <w:pPr>
              <w:spacing w:before="122" w:line="184" w:lineRule="auto"/>
              <w:ind w:left="224"/>
              <w:rPr>
                <w:rFonts w:ascii="宋体" w:eastAsia="宋体" w:hAnsi="宋体" w:cs="宋体"/>
                <w:sz w:val="17"/>
                <w:szCs w:val="17"/>
              </w:rPr>
            </w:pPr>
            <w:r>
              <w:rPr>
                <w:rFonts w:ascii="宋体" w:eastAsia="宋体" w:hAnsi="宋体" w:cs="宋体"/>
                <w:spacing w:val="-5"/>
                <w:sz w:val="17"/>
                <w:szCs w:val="17"/>
              </w:rPr>
              <w:t>100</w:t>
            </w:r>
          </w:p>
        </w:tc>
        <w:tc>
          <w:tcPr>
            <w:tcW w:w="683" w:type="dxa"/>
            <w:tcBorders>
              <w:bottom w:val="single" w:sz="4" w:space="0" w:color="000000"/>
            </w:tcBorders>
          </w:tcPr>
          <w:p w:rsidR="00EA40A3" w:rsidRDefault="00E86C16">
            <w:pPr>
              <w:spacing w:before="122" w:line="184" w:lineRule="auto"/>
              <w:ind w:left="183"/>
              <w:rPr>
                <w:rFonts w:ascii="宋体" w:eastAsia="宋体" w:hAnsi="宋体" w:cs="宋体"/>
                <w:sz w:val="17"/>
                <w:szCs w:val="17"/>
              </w:rPr>
            </w:pPr>
            <w:r>
              <w:rPr>
                <w:rFonts w:ascii="宋体" w:eastAsia="宋体" w:hAnsi="宋体" w:cs="宋体"/>
                <w:spacing w:val="-4"/>
                <w:sz w:val="17"/>
                <w:szCs w:val="17"/>
              </w:rPr>
              <w:t>1000</w:t>
            </w:r>
          </w:p>
        </w:tc>
      </w:tr>
    </w:tbl>
    <w:p w:rsidR="00EA40A3" w:rsidRDefault="00E86C16">
      <w:pPr>
        <w:spacing w:before="110" w:line="219" w:lineRule="auto"/>
        <w:ind w:left="349"/>
        <w:rPr>
          <w:rFonts w:ascii="宋体" w:eastAsia="宋体" w:hAnsi="宋体" w:cs="宋体"/>
          <w:sz w:val="17"/>
          <w:szCs w:val="17"/>
        </w:rPr>
      </w:pPr>
      <w:r>
        <w:rPr>
          <w:rFonts w:ascii="宋体" w:eastAsia="宋体" w:hAnsi="宋体" w:cs="宋体"/>
          <w:spacing w:val="-8"/>
          <w:sz w:val="17"/>
          <w:szCs w:val="17"/>
        </w:rPr>
        <w:t>资料来源：中国营养学会.2000.中国居民膳食营养素参考摄入量.北京：中国轻工业出版社</w:t>
      </w:r>
    </w:p>
    <w:p w:rsidR="00EA40A3" w:rsidRDefault="00EA40A3">
      <w:pPr>
        <w:spacing w:line="281" w:lineRule="auto"/>
      </w:pPr>
    </w:p>
    <w:p w:rsidR="00EA40A3" w:rsidRDefault="00E86C16">
      <w:pPr>
        <w:spacing w:before="72" w:line="230" w:lineRule="auto"/>
        <w:rPr>
          <w:rFonts w:ascii="楷体" w:eastAsia="楷体" w:hAnsi="楷体" w:cs="楷体"/>
          <w:sz w:val="22"/>
          <w:szCs w:val="22"/>
        </w:rPr>
      </w:pPr>
      <w:r>
        <w:rPr>
          <w:rFonts w:ascii="楷体" w:eastAsia="楷体" w:hAnsi="楷体" w:cs="楷体"/>
          <w:spacing w:val="-2"/>
          <w:sz w:val="22"/>
          <w:szCs w:val="22"/>
        </w:rPr>
        <w:t>7)水分</w:t>
      </w:r>
    </w:p>
    <w:p w:rsidR="00EA40A3" w:rsidRDefault="00E86C16">
      <w:pPr>
        <w:spacing w:before="21" w:line="244" w:lineRule="auto"/>
        <w:ind w:right="88" w:firstLine="410"/>
        <w:rPr>
          <w:rFonts w:ascii="宋体" w:eastAsia="宋体" w:hAnsi="宋体" w:cs="宋体"/>
          <w:sz w:val="22"/>
          <w:szCs w:val="22"/>
        </w:rPr>
      </w:pPr>
      <w:r>
        <w:rPr>
          <w:rFonts w:ascii="宋体" w:eastAsia="宋体" w:hAnsi="宋体" w:cs="宋体"/>
          <w:spacing w:val="-13"/>
          <w:sz w:val="22"/>
          <w:szCs w:val="22"/>
        </w:rPr>
        <w:t>青少年时期生长发育速度快，各种活动量增加，需要摄入充足的水分。中国</w:t>
      </w:r>
      <w:r>
        <w:rPr>
          <w:rFonts w:ascii="宋体" w:eastAsia="宋体" w:hAnsi="宋体" w:cs="宋体"/>
          <w:spacing w:val="9"/>
          <w:sz w:val="22"/>
          <w:szCs w:val="22"/>
        </w:rPr>
        <w:t xml:space="preserve"> </w:t>
      </w:r>
      <w:r>
        <w:rPr>
          <w:rFonts w:ascii="宋体" w:eastAsia="宋体" w:hAnsi="宋体" w:cs="宋体"/>
          <w:spacing w:val="-5"/>
          <w:sz w:val="22"/>
          <w:szCs w:val="22"/>
        </w:rPr>
        <w:t>营养学会建议青少年每天饮水10～11杯，即2000～2200mL/d。</w:t>
      </w:r>
    </w:p>
    <w:p w:rsidR="00EA40A3" w:rsidRDefault="00E86C16">
      <w:pPr>
        <w:spacing w:before="219" w:line="222" w:lineRule="auto"/>
        <w:rPr>
          <w:rFonts w:ascii="仿宋" w:eastAsia="仿宋" w:hAnsi="仿宋" w:cs="仿宋"/>
          <w:sz w:val="22"/>
          <w:szCs w:val="22"/>
        </w:rPr>
      </w:pPr>
      <w:r>
        <w:rPr>
          <w:rFonts w:ascii="仿宋" w:eastAsia="仿宋" w:hAnsi="仿宋" w:cs="仿宋"/>
          <w:spacing w:val="10"/>
          <w:sz w:val="22"/>
          <w:szCs w:val="22"/>
        </w:rPr>
        <w:t>3.</w:t>
      </w:r>
      <w:r>
        <w:rPr>
          <w:rFonts w:ascii="仿宋" w:eastAsia="仿宋" w:hAnsi="仿宋" w:cs="仿宋"/>
          <w:spacing w:val="-28"/>
          <w:sz w:val="22"/>
          <w:szCs w:val="22"/>
        </w:rPr>
        <w:t xml:space="preserve"> </w:t>
      </w:r>
      <w:r>
        <w:rPr>
          <w:rFonts w:ascii="仿宋" w:eastAsia="仿宋" w:hAnsi="仿宋" w:cs="仿宋"/>
          <w:spacing w:val="10"/>
          <w:sz w:val="22"/>
          <w:szCs w:val="22"/>
        </w:rPr>
        <w:t>青少年合理膳食</w:t>
      </w:r>
    </w:p>
    <w:p w:rsidR="00EA40A3" w:rsidRDefault="00E86C16">
      <w:pPr>
        <w:spacing w:before="58" w:line="220" w:lineRule="auto"/>
        <w:rPr>
          <w:rFonts w:ascii="楷体" w:eastAsia="楷体" w:hAnsi="楷体" w:cs="楷体"/>
          <w:sz w:val="22"/>
          <w:szCs w:val="22"/>
        </w:rPr>
      </w:pPr>
      <w:r>
        <w:rPr>
          <w:rFonts w:ascii="楷体" w:eastAsia="楷体" w:hAnsi="楷体" w:cs="楷体"/>
          <w:spacing w:val="-9"/>
          <w:sz w:val="22"/>
          <w:szCs w:val="22"/>
        </w:rPr>
        <w:t>1)饮食中注意多食谷类，供给充足的能量</w:t>
      </w:r>
    </w:p>
    <w:p w:rsidR="00EA40A3" w:rsidRDefault="00E86C16">
      <w:pPr>
        <w:spacing w:before="50" w:line="245" w:lineRule="auto"/>
        <w:ind w:right="93" w:firstLine="410"/>
        <w:jc w:val="both"/>
        <w:rPr>
          <w:rFonts w:ascii="宋体" w:eastAsia="宋体" w:hAnsi="宋体" w:cs="宋体"/>
          <w:sz w:val="22"/>
          <w:szCs w:val="22"/>
        </w:rPr>
      </w:pPr>
      <w:r>
        <w:rPr>
          <w:rFonts w:ascii="宋体" w:eastAsia="宋体" w:hAnsi="宋体" w:cs="宋体"/>
          <w:spacing w:val="-8"/>
          <w:sz w:val="22"/>
          <w:szCs w:val="22"/>
        </w:rPr>
        <w:t>青少年能量需要量大，谷类食物推荐量一般为400～500g/d,</w:t>
      </w:r>
      <w:r>
        <w:rPr>
          <w:rFonts w:ascii="宋体" w:eastAsia="宋体" w:hAnsi="宋体" w:cs="宋体"/>
          <w:spacing w:val="-18"/>
          <w:sz w:val="22"/>
          <w:szCs w:val="22"/>
        </w:rPr>
        <w:t xml:space="preserve"> </w:t>
      </w:r>
      <w:r>
        <w:rPr>
          <w:rFonts w:ascii="宋体" w:eastAsia="宋体" w:hAnsi="宋体" w:cs="宋体"/>
          <w:spacing w:val="-8"/>
          <w:sz w:val="22"/>
          <w:szCs w:val="22"/>
        </w:rPr>
        <w:t>根据活动量的</w:t>
      </w:r>
      <w:r>
        <w:rPr>
          <w:rFonts w:ascii="宋体" w:eastAsia="宋体" w:hAnsi="宋体" w:cs="宋体"/>
          <w:sz w:val="22"/>
          <w:szCs w:val="22"/>
        </w:rPr>
        <w:t xml:space="preserve"> </w:t>
      </w:r>
      <w:r>
        <w:rPr>
          <w:rFonts w:ascii="宋体" w:eastAsia="宋体" w:hAnsi="宋体" w:cs="宋体"/>
          <w:spacing w:val="-13"/>
          <w:sz w:val="22"/>
          <w:szCs w:val="22"/>
        </w:rPr>
        <w:t>大小有所不同。需要注意，主食的摄入应当粗细搭配合适，粗粮</w:t>
      </w:r>
      <w:r>
        <w:rPr>
          <w:rFonts w:ascii="宋体" w:eastAsia="宋体" w:hAnsi="宋体" w:cs="宋体"/>
          <w:spacing w:val="-14"/>
          <w:sz w:val="22"/>
          <w:szCs w:val="22"/>
        </w:rPr>
        <w:t>的摄入可以为青</w:t>
      </w:r>
      <w:r>
        <w:rPr>
          <w:rFonts w:ascii="宋体" w:eastAsia="宋体" w:hAnsi="宋体" w:cs="宋体"/>
          <w:sz w:val="22"/>
          <w:szCs w:val="22"/>
        </w:rPr>
        <w:t xml:space="preserve"> </w:t>
      </w:r>
      <w:r>
        <w:rPr>
          <w:rFonts w:ascii="宋体" w:eastAsia="宋体" w:hAnsi="宋体" w:cs="宋体"/>
          <w:spacing w:val="-5"/>
          <w:sz w:val="22"/>
          <w:szCs w:val="22"/>
        </w:rPr>
        <w:t>少年提供丰富的B</w:t>
      </w:r>
      <w:r>
        <w:rPr>
          <w:rFonts w:ascii="宋体" w:eastAsia="宋体" w:hAnsi="宋体" w:cs="宋体"/>
          <w:spacing w:val="-29"/>
          <w:sz w:val="22"/>
          <w:szCs w:val="22"/>
        </w:rPr>
        <w:t xml:space="preserve"> </w:t>
      </w:r>
      <w:r>
        <w:rPr>
          <w:rFonts w:ascii="宋体" w:eastAsia="宋体" w:hAnsi="宋体" w:cs="宋体"/>
          <w:spacing w:val="-5"/>
          <w:sz w:val="22"/>
          <w:szCs w:val="22"/>
        </w:rPr>
        <w:t>族维生素，也可以通过摄取强化B</w:t>
      </w:r>
      <w:r>
        <w:rPr>
          <w:rFonts w:ascii="宋体" w:eastAsia="宋体" w:hAnsi="宋体" w:cs="宋体"/>
          <w:spacing w:val="-36"/>
          <w:sz w:val="22"/>
          <w:szCs w:val="22"/>
        </w:rPr>
        <w:t xml:space="preserve"> </w:t>
      </w:r>
      <w:r>
        <w:rPr>
          <w:rFonts w:ascii="宋体" w:eastAsia="宋体" w:hAnsi="宋体" w:cs="宋体"/>
          <w:spacing w:val="-5"/>
          <w:sz w:val="22"/>
          <w:szCs w:val="22"/>
        </w:rPr>
        <w:t>族维生素的谷类食物来补</w:t>
      </w:r>
      <w:r>
        <w:rPr>
          <w:rFonts w:ascii="宋体" w:eastAsia="宋体" w:hAnsi="宋体" w:cs="宋体"/>
          <w:sz w:val="22"/>
          <w:szCs w:val="22"/>
        </w:rPr>
        <w:t xml:space="preserve"> </w:t>
      </w:r>
      <w:r>
        <w:rPr>
          <w:rFonts w:ascii="宋体" w:eastAsia="宋体" w:hAnsi="宋体" w:cs="宋体"/>
          <w:spacing w:val="-19"/>
          <w:sz w:val="22"/>
          <w:szCs w:val="22"/>
        </w:rPr>
        <w:t>充体内需要。</w:t>
      </w:r>
    </w:p>
    <w:p w:rsidR="00EA40A3" w:rsidRDefault="00E86C16">
      <w:pPr>
        <w:spacing w:before="61" w:line="222" w:lineRule="auto"/>
        <w:rPr>
          <w:rFonts w:ascii="楷体" w:eastAsia="楷体" w:hAnsi="楷体" w:cs="楷体"/>
          <w:sz w:val="22"/>
          <w:szCs w:val="22"/>
        </w:rPr>
      </w:pPr>
      <w:r>
        <w:rPr>
          <w:rFonts w:ascii="楷体" w:eastAsia="楷体" w:hAnsi="楷体" w:cs="楷体"/>
          <w:spacing w:val="-10"/>
          <w:sz w:val="22"/>
          <w:szCs w:val="22"/>
        </w:rPr>
        <w:t>2)保证鱼、肉、蛋、奶、豆类和新鲜的蔬菜、水果的适量摄取</w:t>
      </w:r>
    </w:p>
    <w:p w:rsidR="00EA40A3" w:rsidRDefault="00E86C16">
      <w:pPr>
        <w:spacing w:before="43" w:line="246" w:lineRule="auto"/>
        <w:ind w:firstLine="410"/>
        <w:jc w:val="both"/>
        <w:rPr>
          <w:rFonts w:ascii="宋体" w:eastAsia="宋体" w:hAnsi="宋体" w:cs="宋体"/>
          <w:sz w:val="22"/>
          <w:szCs w:val="22"/>
        </w:rPr>
      </w:pPr>
      <w:r>
        <w:rPr>
          <w:rFonts w:ascii="宋体" w:eastAsia="宋体" w:hAnsi="宋体" w:cs="宋体"/>
          <w:spacing w:val="-13"/>
          <w:sz w:val="22"/>
          <w:szCs w:val="22"/>
        </w:rPr>
        <w:t>鱼、肉、蛋、奶及豆类能够为青少年提供优质的蛋白质及必需氨基酸，这对</w:t>
      </w:r>
      <w:r>
        <w:rPr>
          <w:rFonts w:ascii="宋体" w:eastAsia="宋体" w:hAnsi="宋体" w:cs="宋体"/>
          <w:spacing w:val="16"/>
          <w:sz w:val="22"/>
          <w:szCs w:val="22"/>
        </w:rPr>
        <w:t xml:space="preserve"> </w:t>
      </w:r>
      <w:r>
        <w:rPr>
          <w:rFonts w:ascii="宋体" w:eastAsia="宋体" w:hAnsi="宋体" w:cs="宋体"/>
          <w:spacing w:val="-13"/>
          <w:sz w:val="22"/>
          <w:szCs w:val="22"/>
        </w:rPr>
        <w:t>于处于生长发育高峰期的青少年尤为重要。同时，这些食物还能</w:t>
      </w:r>
      <w:r>
        <w:rPr>
          <w:rFonts w:ascii="宋体" w:eastAsia="宋体" w:hAnsi="宋体" w:cs="宋体"/>
          <w:spacing w:val="-14"/>
          <w:sz w:val="22"/>
          <w:szCs w:val="22"/>
        </w:rPr>
        <w:t>够满足青少年对</w:t>
      </w:r>
      <w:r>
        <w:rPr>
          <w:rFonts w:ascii="宋体" w:eastAsia="宋体" w:hAnsi="宋体" w:cs="宋体"/>
          <w:sz w:val="22"/>
          <w:szCs w:val="22"/>
        </w:rPr>
        <w:t xml:space="preserve">  </w:t>
      </w:r>
      <w:r>
        <w:rPr>
          <w:rFonts w:ascii="宋体" w:eastAsia="宋体" w:hAnsi="宋体" w:cs="宋体"/>
          <w:spacing w:val="-10"/>
          <w:sz w:val="22"/>
          <w:szCs w:val="22"/>
        </w:rPr>
        <w:t>钙质、维生素A</w:t>
      </w:r>
      <w:r>
        <w:rPr>
          <w:rFonts w:ascii="宋体" w:eastAsia="宋体" w:hAnsi="宋体" w:cs="宋体"/>
          <w:spacing w:val="-9"/>
          <w:sz w:val="22"/>
          <w:szCs w:val="22"/>
        </w:rPr>
        <w:t xml:space="preserve"> </w:t>
      </w:r>
      <w:r>
        <w:rPr>
          <w:rFonts w:ascii="宋体" w:eastAsia="宋体" w:hAnsi="宋体" w:cs="宋体"/>
          <w:spacing w:val="-10"/>
          <w:sz w:val="22"/>
          <w:szCs w:val="22"/>
        </w:rPr>
        <w:t>等的需要；而新鲜的蔬菜、水果可为青少年提供丰富的维生</w:t>
      </w:r>
      <w:r>
        <w:rPr>
          <w:rFonts w:ascii="宋体" w:eastAsia="宋体" w:hAnsi="宋体" w:cs="宋体"/>
          <w:spacing w:val="-11"/>
          <w:sz w:val="22"/>
          <w:szCs w:val="22"/>
        </w:rPr>
        <w:t>素、</w:t>
      </w:r>
    </w:p>
    <w:p w:rsidR="00EA40A3" w:rsidRDefault="00EA40A3">
      <w:pPr>
        <w:sectPr w:rsidR="00EA40A3">
          <w:footerReference w:type="default" r:id="rId276"/>
          <w:pgSz w:w="9220" w:h="13360"/>
          <w:pgMar w:top="400" w:right="919" w:bottom="1246" w:left="959" w:header="0" w:footer="1025" w:gutter="0"/>
          <w:cols w:space="720"/>
        </w:sectPr>
      </w:pPr>
    </w:p>
    <w:p w:rsidR="00EA40A3" w:rsidRDefault="00EA40A3">
      <w:pPr>
        <w:spacing w:line="271" w:lineRule="auto"/>
      </w:pPr>
    </w:p>
    <w:p w:rsidR="00EA40A3" w:rsidRDefault="00EA40A3">
      <w:pPr>
        <w:spacing w:line="271" w:lineRule="auto"/>
      </w:pPr>
    </w:p>
    <w:p w:rsidR="00EA40A3" w:rsidRDefault="00E86C16">
      <w:pPr>
        <w:spacing w:before="72" w:line="243" w:lineRule="auto"/>
        <w:jc w:val="both"/>
        <w:rPr>
          <w:rFonts w:ascii="宋体" w:eastAsia="宋体" w:hAnsi="宋体" w:cs="宋体"/>
          <w:sz w:val="22"/>
          <w:szCs w:val="22"/>
        </w:rPr>
      </w:pPr>
      <w:r>
        <w:rPr>
          <w:rFonts w:ascii="宋体" w:eastAsia="宋体" w:hAnsi="宋体" w:cs="宋体"/>
          <w:sz w:val="22"/>
          <w:szCs w:val="22"/>
        </w:rPr>
        <w:t>无机盐。中国营养学会建议青少年膳食当中鱼、禽</w:t>
      </w:r>
      <w:r>
        <w:rPr>
          <w:rFonts w:ascii="宋体" w:eastAsia="宋体" w:hAnsi="宋体" w:cs="宋体"/>
          <w:spacing w:val="-1"/>
          <w:sz w:val="22"/>
          <w:szCs w:val="22"/>
        </w:rPr>
        <w:t>、肉、蛋的每日供给量在</w:t>
      </w:r>
      <w:r>
        <w:rPr>
          <w:rFonts w:ascii="宋体" w:eastAsia="宋体" w:hAnsi="宋体" w:cs="宋体"/>
          <w:sz w:val="22"/>
          <w:szCs w:val="22"/>
        </w:rPr>
        <w:t xml:space="preserve"> </w:t>
      </w:r>
      <w:r>
        <w:rPr>
          <w:rFonts w:ascii="宋体" w:eastAsia="宋体" w:hAnsi="宋体" w:cs="宋体"/>
          <w:spacing w:val="-5"/>
          <w:sz w:val="22"/>
          <w:szCs w:val="22"/>
        </w:rPr>
        <w:t>200～250g;</w:t>
      </w:r>
      <w:r>
        <w:rPr>
          <w:rFonts w:ascii="宋体" w:eastAsia="宋体" w:hAnsi="宋体" w:cs="宋体"/>
          <w:spacing w:val="-46"/>
          <w:sz w:val="22"/>
          <w:szCs w:val="22"/>
        </w:rPr>
        <w:t xml:space="preserve"> </w:t>
      </w:r>
      <w:r>
        <w:rPr>
          <w:rFonts w:ascii="宋体" w:eastAsia="宋体" w:hAnsi="宋体" w:cs="宋体"/>
          <w:spacing w:val="-5"/>
          <w:sz w:val="22"/>
          <w:szCs w:val="22"/>
        </w:rPr>
        <w:t>奶至少应保证300mL;</w:t>
      </w:r>
      <w:r>
        <w:rPr>
          <w:rFonts w:ascii="宋体" w:eastAsia="宋体" w:hAnsi="宋体" w:cs="宋体"/>
          <w:spacing w:val="62"/>
          <w:sz w:val="22"/>
          <w:szCs w:val="22"/>
        </w:rPr>
        <w:t xml:space="preserve"> </w:t>
      </w:r>
      <w:r>
        <w:rPr>
          <w:rFonts w:ascii="宋体" w:eastAsia="宋体" w:hAnsi="宋体" w:cs="宋体"/>
          <w:spacing w:val="-5"/>
          <w:sz w:val="22"/>
          <w:szCs w:val="22"/>
        </w:rPr>
        <w:t>新鲜蔬菜、水果的供给总量</w:t>
      </w:r>
      <w:r>
        <w:rPr>
          <w:rFonts w:ascii="宋体" w:eastAsia="宋体" w:hAnsi="宋体" w:cs="宋体"/>
          <w:spacing w:val="-6"/>
          <w:sz w:val="22"/>
          <w:szCs w:val="22"/>
        </w:rPr>
        <w:t>约为500g,</w:t>
      </w:r>
      <w:r>
        <w:rPr>
          <w:rFonts w:ascii="宋体" w:eastAsia="宋体" w:hAnsi="宋体" w:cs="宋体"/>
          <w:spacing w:val="-28"/>
          <w:sz w:val="22"/>
          <w:szCs w:val="22"/>
        </w:rPr>
        <w:t xml:space="preserve"> </w:t>
      </w:r>
      <w:r>
        <w:rPr>
          <w:rFonts w:ascii="宋体" w:eastAsia="宋体" w:hAnsi="宋体" w:cs="宋体"/>
          <w:spacing w:val="-6"/>
          <w:sz w:val="22"/>
          <w:szCs w:val="22"/>
        </w:rPr>
        <w:t>其中</w:t>
      </w:r>
      <w:r>
        <w:rPr>
          <w:rFonts w:ascii="宋体" w:eastAsia="宋体" w:hAnsi="宋体" w:cs="宋体"/>
          <w:sz w:val="22"/>
          <w:szCs w:val="22"/>
        </w:rPr>
        <w:t xml:space="preserve"> </w:t>
      </w:r>
      <w:r>
        <w:rPr>
          <w:rFonts w:ascii="宋体" w:eastAsia="宋体" w:hAnsi="宋体" w:cs="宋体"/>
          <w:spacing w:val="-8"/>
          <w:sz w:val="22"/>
          <w:szCs w:val="22"/>
        </w:rPr>
        <w:t>绿叶蔬菜类应不少于300g。</w:t>
      </w:r>
    </w:p>
    <w:p w:rsidR="00EA40A3" w:rsidRDefault="00E86C16">
      <w:pPr>
        <w:spacing w:before="63" w:line="220" w:lineRule="auto"/>
        <w:rPr>
          <w:rFonts w:ascii="楷体" w:eastAsia="楷体" w:hAnsi="楷体" w:cs="楷体"/>
          <w:sz w:val="22"/>
          <w:szCs w:val="22"/>
        </w:rPr>
      </w:pPr>
      <w:r>
        <w:rPr>
          <w:rFonts w:ascii="楷体" w:eastAsia="楷体" w:hAnsi="楷体" w:cs="楷体"/>
          <w:spacing w:val="-11"/>
          <w:sz w:val="22"/>
          <w:szCs w:val="22"/>
        </w:rPr>
        <w:t>3)参加体力活动，维持适当体重，避免盲目节食</w:t>
      </w:r>
    </w:p>
    <w:p w:rsidR="00EA40A3" w:rsidRDefault="00E86C16">
      <w:pPr>
        <w:spacing w:before="47" w:line="247" w:lineRule="auto"/>
        <w:ind w:right="1" w:firstLine="419"/>
        <w:jc w:val="both"/>
        <w:rPr>
          <w:rFonts w:ascii="宋体" w:eastAsia="宋体" w:hAnsi="宋体" w:cs="宋体"/>
          <w:sz w:val="22"/>
          <w:szCs w:val="22"/>
        </w:rPr>
      </w:pPr>
      <w:r>
        <w:rPr>
          <w:rFonts w:ascii="宋体" w:eastAsia="宋体" w:hAnsi="宋体" w:cs="宋体"/>
          <w:spacing w:val="-13"/>
          <w:sz w:val="22"/>
          <w:szCs w:val="22"/>
        </w:rPr>
        <w:t>多参加体力活动，可以使得青少年的体格发育得</w:t>
      </w:r>
      <w:r>
        <w:rPr>
          <w:rFonts w:ascii="宋体" w:eastAsia="宋体" w:hAnsi="宋体" w:cs="宋体"/>
          <w:spacing w:val="-14"/>
          <w:sz w:val="22"/>
          <w:szCs w:val="22"/>
        </w:rPr>
        <w:t>更健壮。因此，在注重膳食</w:t>
      </w:r>
      <w:r>
        <w:rPr>
          <w:rFonts w:ascii="宋体" w:eastAsia="宋体" w:hAnsi="宋体" w:cs="宋体"/>
          <w:sz w:val="22"/>
          <w:szCs w:val="22"/>
        </w:rPr>
        <w:t xml:space="preserve"> </w:t>
      </w:r>
      <w:r>
        <w:rPr>
          <w:rFonts w:ascii="宋体" w:eastAsia="宋体" w:hAnsi="宋体" w:cs="宋体"/>
          <w:spacing w:val="-14"/>
          <w:sz w:val="22"/>
          <w:szCs w:val="22"/>
        </w:rPr>
        <w:t>平衡的同时，青少年应当培养良好的行为与生活方式。调查显示，看电视、玩电</w:t>
      </w:r>
      <w:r>
        <w:rPr>
          <w:rFonts w:ascii="宋体" w:eastAsia="宋体" w:hAnsi="宋体" w:cs="宋体"/>
          <w:spacing w:val="1"/>
          <w:sz w:val="22"/>
          <w:szCs w:val="22"/>
        </w:rPr>
        <w:t xml:space="preserve"> </w:t>
      </w:r>
      <w:r>
        <w:rPr>
          <w:rFonts w:ascii="宋体" w:eastAsia="宋体" w:hAnsi="宋体" w:cs="宋体"/>
          <w:spacing w:val="-13"/>
          <w:sz w:val="22"/>
          <w:szCs w:val="22"/>
        </w:rPr>
        <w:t>脑等久坐少动的行为与青少年肥胖的发生密切相关。另外，青少年应当维持适当</w:t>
      </w:r>
      <w:r>
        <w:rPr>
          <w:rFonts w:ascii="宋体" w:eastAsia="宋体" w:hAnsi="宋体" w:cs="宋体"/>
          <w:spacing w:val="3"/>
          <w:sz w:val="22"/>
          <w:szCs w:val="22"/>
        </w:rPr>
        <w:t xml:space="preserve"> </w:t>
      </w:r>
      <w:r>
        <w:rPr>
          <w:rFonts w:ascii="宋体" w:eastAsia="宋体" w:hAnsi="宋体" w:cs="宋体"/>
          <w:spacing w:val="-13"/>
          <w:sz w:val="22"/>
          <w:szCs w:val="22"/>
        </w:rPr>
        <w:t>体重，避免盲目节食，尤其是对于女孩，盲目节食可能导致体</w:t>
      </w:r>
      <w:r>
        <w:rPr>
          <w:rFonts w:ascii="宋体" w:eastAsia="宋体" w:hAnsi="宋体" w:cs="宋体"/>
          <w:spacing w:val="-14"/>
          <w:sz w:val="22"/>
          <w:szCs w:val="22"/>
        </w:rPr>
        <w:t>重过轻、新陈代谢</w:t>
      </w:r>
      <w:r>
        <w:rPr>
          <w:rFonts w:ascii="宋体" w:eastAsia="宋体" w:hAnsi="宋体" w:cs="宋体"/>
          <w:sz w:val="22"/>
          <w:szCs w:val="22"/>
        </w:rPr>
        <w:t xml:space="preserve"> </w:t>
      </w:r>
      <w:r>
        <w:rPr>
          <w:rFonts w:ascii="宋体" w:eastAsia="宋体" w:hAnsi="宋体" w:cs="宋体"/>
          <w:spacing w:val="-13"/>
          <w:sz w:val="22"/>
          <w:szCs w:val="22"/>
        </w:rPr>
        <w:t>紊乱、抵抗力下降等，严重可能患厌食症。并且，青少年时期盲目节食导致</w:t>
      </w:r>
      <w:r>
        <w:rPr>
          <w:rFonts w:ascii="宋体" w:eastAsia="宋体" w:hAnsi="宋体" w:cs="宋体"/>
          <w:spacing w:val="-14"/>
          <w:sz w:val="22"/>
          <w:szCs w:val="22"/>
        </w:rPr>
        <w:t>的营</w:t>
      </w:r>
      <w:r>
        <w:rPr>
          <w:rFonts w:ascii="宋体" w:eastAsia="宋体" w:hAnsi="宋体" w:cs="宋体"/>
          <w:sz w:val="22"/>
          <w:szCs w:val="22"/>
        </w:rPr>
        <w:t xml:space="preserve"> </w:t>
      </w:r>
      <w:r>
        <w:rPr>
          <w:rFonts w:ascii="宋体" w:eastAsia="宋体" w:hAnsi="宋体" w:cs="宋体"/>
          <w:spacing w:val="-13"/>
          <w:sz w:val="22"/>
          <w:szCs w:val="22"/>
        </w:rPr>
        <w:t>养不良会影响女性在成人后各个时期的健康状况。因此，应通</w:t>
      </w:r>
      <w:r>
        <w:rPr>
          <w:rFonts w:ascii="宋体" w:eastAsia="宋体" w:hAnsi="宋体" w:cs="宋体"/>
          <w:spacing w:val="-14"/>
          <w:sz w:val="22"/>
          <w:szCs w:val="22"/>
        </w:rPr>
        <w:t>过体育锻炼和合理</w:t>
      </w:r>
      <w:r>
        <w:rPr>
          <w:rFonts w:ascii="宋体" w:eastAsia="宋体" w:hAnsi="宋体" w:cs="宋体"/>
          <w:sz w:val="22"/>
          <w:szCs w:val="22"/>
        </w:rPr>
        <w:t xml:space="preserve"> </w:t>
      </w:r>
      <w:r>
        <w:rPr>
          <w:rFonts w:ascii="宋体" w:eastAsia="宋体" w:hAnsi="宋体" w:cs="宋体"/>
          <w:spacing w:val="-18"/>
          <w:sz w:val="22"/>
          <w:szCs w:val="22"/>
        </w:rPr>
        <w:t>的饮食来控制体重。</w:t>
      </w:r>
    </w:p>
    <w:p w:rsidR="00EA40A3" w:rsidRDefault="00E86C16">
      <w:pPr>
        <w:spacing w:before="60" w:line="220" w:lineRule="auto"/>
        <w:rPr>
          <w:rFonts w:ascii="楷体" w:eastAsia="楷体" w:hAnsi="楷体" w:cs="楷体"/>
          <w:sz w:val="22"/>
          <w:szCs w:val="22"/>
        </w:rPr>
      </w:pPr>
      <w:r>
        <w:rPr>
          <w:rFonts w:ascii="楷体" w:eastAsia="楷体" w:hAnsi="楷体" w:cs="楷体"/>
          <w:spacing w:val="-9"/>
          <w:sz w:val="22"/>
          <w:szCs w:val="22"/>
        </w:rPr>
        <w:t>4)摄取平衡膳食，养成良好饮食习惯</w:t>
      </w:r>
    </w:p>
    <w:p w:rsidR="00EA40A3" w:rsidRDefault="00E86C16">
      <w:pPr>
        <w:spacing w:before="51" w:line="248" w:lineRule="auto"/>
        <w:ind w:right="2" w:firstLine="419"/>
        <w:jc w:val="both"/>
        <w:rPr>
          <w:rFonts w:ascii="宋体" w:eastAsia="宋体" w:hAnsi="宋体" w:cs="宋体"/>
          <w:sz w:val="22"/>
          <w:szCs w:val="22"/>
        </w:rPr>
      </w:pPr>
      <w:r>
        <w:rPr>
          <w:rFonts w:ascii="宋体" w:eastAsia="宋体" w:hAnsi="宋体" w:cs="宋体"/>
          <w:spacing w:val="-13"/>
          <w:sz w:val="22"/>
          <w:szCs w:val="22"/>
        </w:rPr>
        <w:t>青少年膳食当中应当注意各种营养素数量上的平</w:t>
      </w:r>
      <w:r>
        <w:rPr>
          <w:rFonts w:ascii="宋体" w:eastAsia="宋体" w:hAnsi="宋体" w:cs="宋体"/>
          <w:spacing w:val="-14"/>
          <w:sz w:val="22"/>
          <w:szCs w:val="22"/>
        </w:rPr>
        <w:t>衡，包括能量营养素在膳食</w:t>
      </w:r>
      <w:r>
        <w:rPr>
          <w:rFonts w:ascii="宋体" w:eastAsia="宋体" w:hAnsi="宋体" w:cs="宋体"/>
          <w:sz w:val="22"/>
          <w:szCs w:val="22"/>
        </w:rPr>
        <w:t xml:space="preserve"> </w:t>
      </w:r>
      <w:r>
        <w:rPr>
          <w:rFonts w:ascii="宋体" w:eastAsia="宋体" w:hAnsi="宋体" w:cs="宋体"/>
          <w:spacing w:val="-13"/>
          <w:sz w:val="22"/>
          <w:szCs w:val="22"/>
        </w:rPr>
        <w:t>中的平衡，其比例一般控制在碳水化合物、脂肪及蛋白质所提供的能量分别占总</w:t>
      </w:r>
      <w:r>
        <w:rPr>
          <w:rFonts w:ascii="宋体" w:eastAsia="宋体" w:hAnsi="宋体" w:cs="宋体"/>
          <w:spacing w:val="1"/>
          <w:sz w:val="22"/>
          <w:szCs w:val="22"/>
        </w:rPr>
        <w:t xml:space="preserve"> </w:t>
      </w:r>
      <w:r>
        <w:rPr>
          <w:rFonts w:ascii="宋体" w:eastAsia="宋体" w:hAnsi="宋体" w:cs="宋体"/>
          <w:spacing w:val="13"/>
          <w:sz w:val="22"/>
          <w:szCs w:val="22"/>
        </w:rPr>
        <w:t>能量的55%～60%、25%～30%、12%～14%;饱和脂肪酸与不饱和脂肪酸之</w:t>
      </w:r>
      <w:r>
        <w:rPr>
          <w:rFonts w:ascii="宋体" w:eastAsia="宋体" w:hAnsi="宋体" w:cs="宋体"/>
          <w:spacing w:val="7"/>
          <w:sz w:val="22"/>
          <w:szCs w:val="22"/>
        </w:rPr>
        <w:t xml:space="preserve"> </w:t>
      </w:r>
      <w:r>
        <w:rPr>
          <w:rFonts w:ascii="宋体" w:eastAsia="宋体" w:hAnsi="宋体" w:cs="宋体"/>
          <w:spacing w:val="-1"/>
          <w:sz w:val="22"/>
          <w:szCs w:val="22"/>
        </w:rPr>
        <w:t>间的平衡，膳食中饱和脂肪酸、单不饱和脂肪酸和多不饱和脂肪酸的比例为</w:t>
      </w:r>
      <w:r>
        <w:rPr>
          <w:rFonts w:ascii="宋体" w:eastAsia="宋体" w:hAnsi="宋体" w:cs="宋体"/>
          <w:spacing w:val="6"/>
          <w:sz w:val="22"/>
          <w:szCs w:val="22"/>
        </w:rPr>
        <w:t xml:space="preserve"> </w:t>
      </w:r>
      <w:r>
        <w:rPr>
          <w:rFonts w:ascii="宋体" w:eastAsia="宋体" w:hAnsi="宋体" w:cs="宋体"/>
          <w:spacing w:val="13"/>
          <w:sz w:val="22"/>
          <w:szCs w:val="22"/>
        </w:rPr>
        <w:t>1:1:1,青少年膳食中n-6和n-3多不饱和脂肪酸的比例为(4～6):1;还有</w:t>
      </w:r>
      <w:r>
        <w:rPr>
          <w:rFonts w:ascii="宋体" w:eastAsia="宋体" w:hAnsi="宋体" w:cs="宋体"/>
          <w:spacing w:val="10"/>
          <w:sz w:val="22"/>
          <w:szCs w:val="22"/>
        </w:rPr>
        <w:t xml:space="preserve"> </w:t>
      </w:r>
      <w:r>
        <w:rPr>
          <w:rFonts w:ascii="宋体" w:eastAsia="宋体" w:hAnsi="宋体" w:cs="宋体"/>
          <w:spacing w:val="-13"/>
          <w:sz w:val="22"/>
          <w:szCs w:val="22"/>
        </w:rPr>
        <w:t>要注意必需氨基酸的平衡及各种维生素之间的平衡等。另外，青少</w:t>
      </w:r>
      <w:r>
        <w:rPr>
          <w:rFonts w:ascii="宋体" w:eastAsia="宋体" w:hAnsi="宋体" w:cs="宋体"/>
          <w:spacing w:val="-14"/>
          <w:sz w:val="22"/>
          <w:szCs w:val="22"/>
        </w:rPr>
        <w:t>年应当注意养</w:t>
      </w:r>
      <w:r>
        <w:rPr>
          <w:rFonts w:ascii="宋体" w:eastAsia="宋体" w:hAnsi="宋体" w:cs="宋体"/>
          <w:sz w:val="22"/>
          <w:szCs w:val="22"/>
        </w:rPr>
        <w:t xml:space="preserve"> </w:t>
      </w:r>
      <w:r>
        <w:rPr>
          <w:rFonts w:ascii="宋体" w:eastAsia="宋体" w:hAnsi="宋体" w:cs="宋体"/>
          <w:spacing w:val="-13"/>
          <w:sz w:val="22"/>
          <w:szCs w:val="22"/>
        </w:rPr>
        <w:t>成良好的饮食习惯，不挑食、不偏食、按时进餐，提倡课间定时加餐，尤其</w:t>
      </w:r>
      <w:r>
        <w:rPr>
          <w:rFonts w:ascii="宋体" w:eastAsia="宋体" w:hAnsi="宋体" w:cs="宋体"/>
          <w:spacing w:val="-14"/>
          <w:sz w:val="22"/>
          <w:szCs w:val="22"/>
        </w:rPr>
        <w:t>注意</w:t>
      </w:r>
      <w:r>
        <w:rPr>
          <w:rFonts w:ascii="宋体" w:eastAsia="宋体" w:hAnsi="宋体" w:cs="宋体"/>
          <w:sz w:val="22"/>
          <w:szCs w:val="22"/>
        </w:rPr>
        <w:t xml:space="preserve"> </w:t>
      </w:r>
      <w:r>
        <w:rPr>
          <w:rFonts w:ascii="宋体" w:eastAsia="宋体" w:hAnsi="宋体" w:cs="宋体"/>
          <w:spacing w:val="-15"/>
          <w:sz w:val="22"/>
          <w:szCs w:val="22"/>
        </w:rPr>
        <w:t>不应当以零食取代正餐和暴食、暴饮等情况。</w:t>
      </w:r>
    </w:p>
    <w:p w:rsidR="00EA40A3" w:rsidRDefault="00EA40A3">
      <w:pPr>
        <w:spacing w:line="280" w:lineRule="auto"/>
      </w:pPr>
    </w:p>
    <w:p w:rsidR="00EA40A3" w:rsidRDefault="00E86C16">
      <w:pPr>
        <w:spacing w:before="91" w:line="219" w:lineRule="auto"/>
        <w:ind w:left="2320"/>
        <w:rPr>
          <w:rFonts w:ascii="宋体" w:eastAsia="宋体" w:hAnsi="宋体" w:cs="宋体"/>
          <w:sz w:val="28"/>
          <w:szCs w:val="28"/>
        </w:rPr>
      </w:pPr>
      <w:r>
        <w:rPr>
          <w:rFonts w:ascii="宋体" w:eastAsia="宋体" w:hAnsi="宋体" w:cs="宋体"/>
          <w:spacing w:val="-5"/>
          <w:sz w:val="28"/>
          <w:szCs w:val="28"/>
        </w:rPr>
        <w:t>10.5</w:t>
      </w:r>
      <w:r>
        <w:rPr>
          <w:rFonts w:ascii="宋体" w:eastAsia="宋体" w:hAnsi="宋体" w:cs="宋体"/>
          <w:spacing w:val="140"/>
          <w:sz w:val="28"/>
          <w:szCs w:val="28"/>
        </w:rPr>
        <w:t xml:space="preserve"> </w:t>
      </w:r>
      <w:r>
        <w:rPr>
          <w:rFonts w:ascii="宋体" w:eastAsia="宋体" w:hAnsi="宋体" w:cs="宋体"/>
          <w:spacing w:val="-5"/>
          <w:sz w:val="28"/>
          <w:szCs w:val="28"/>
        </w:rPr>
        <w:t>老年营养和膳食</w:t>
      </w:r>
    </w:p>
    <w:p w:rsidR="00EA40A3" w:rsidRDefault="00EA40A3">
      <w:pPr>
        <w:spacing w:line="242" w:lineRule="auto"/>
      </w:pPr>
    </w:p>
    <w:p w:rsidR="00EA40A3" w:rsidRDefault="00E86C16">
      <w:pPr>
        <w:spacing w:before="73" w:line="246" w:lineRule="auto"/>
        <w:ind w:right="3" w:firstLine="419"/>
        <w:jc w:val="both"/>
        <w:rPr>
          <w:rFonts w:ascii="宋体" w:eastAsia="宋体" w:hAnsi="宋体" w:cs="宋体"/>
          <w:sz w:val="22"/>
          <w:szCs w:val="22"/>
        </w:rPr>
      </w:pPr>
      <w:r>
        <w:rPr>
          <w:rFonts w:ascii="宋体" w:eastAsia="宋体" w:hAnsi="宋体" w:cs="宋体"/>
          <w:sz w:val="22"/>
          <w:szCs w:val="22"/>
        </w:rPr>
        <w:t>WHO</w:t>
      </w:r>
      <w:r>
        <w:rPr>
          <w:rFonts w:ascii="宋体" w:eastAsia="宋体" w:hAnsi="宋体" w:cs="宋体"/>
          <w:spacing w:val="5"/>
          <w:sz w:val="22"/>
          <w:szCs w:val="22"/>
        </w:rPr>
        <w:t xml:space="preserve">  </w:t>
      </w:r>
      <w:r>
        <w:rPr>
          <w:rFonts w:ascii="宋体" w:eastAsia="宋体" w:hAnsi="宋体" w:cs="宋体"/>
          <w:spacing w:val="3"/>
          <w:sz w:val="22"/>
          <w:szCs w:val="22"/>
        </w:rPr>
        <w:t>对老年人的年龄划为：60～74岁为年轻老人，&gt;75岁为老人，&gt;90</w:t>
      </w:r>
      <w:r>
        <w:rPr>
          <w:rFonts w:ascii="宋体" w:eastAsia="宋体" w:hAnsi="宋体" w:cs="宋体"/>
          <w:spacing w:val="1"/>
          <w:sz w:val="22"/>
          <w:szCs w:val="22"/>
        </w:rPr>
        <w:t xml:space="preserve"> </w:t>
      </w:r>
      <w:r>
        <w:rPr>
          <w:rFonts w:ascii="宋体" w:eastAsia="宋体" w:hAnsi="宋体" w:cs="宋体"/>
          <w:spacing w:val="-7"/>
          <w:sz w:val="22"/>
          <w:szCs w:val="22"/>
        </w:rPr>
        <w:t>岁为长寿老人。不同国家对老年人的年龄界线不同。我国老年人是指</w:t>
      </w:r>
      <w:r>
        <w:rPr>
          <w:rFonts w:ascii="宋体" w:eastAsia="宋体" w:hAnsi="宋体" w:cs="宋体"/>
          <w:spacing w:val="-8"/>
          <w:sz w:val="22"/>
          <w:szCs w:val="22"/>
        </w:rPr>
        <w:t>年龄超过</w:t>
      </w:r>
      <w:r>
        <w:rPr>
          <w:rFonts w:ascii="宋体" w:eastAsia="宋体" w:hAnsi="宋体" w:cs="宋体"/>
          <w:sz w:val="22"/>
          <w:szCs w:val="22"/>
        </w:rPr>
        <w:t xml:space="preserve"> </w:t>
      </w:r>
      <w:r>
        <w:rPr>
          <w:rFonts w:ascii="宋体" w:eastAsia="宋体" w:hAnsi="宋体" w:cs="宋体"/>
          <w:spacing w:val="-6"/>
          <w:sz w:val="22"/>
          <w:szCs w:val="22"/>
        </w:rPr>
        <w:t>60岁者。近年来，全球人口老龄化日益严重，2000</w:t>
      </w:r>
      <w:r>
        <w:rPr>
          <w:rFonts w:ascii="宋体" w:eastAsia="宋体" w:hAnsi="宋体" w:cs="宋体"/>
          <w:spacing w:val="-7"/>
          <w:sz w:val="22"/>
          <w:szCs w:val="22"/>
        </w:rPr>
        <w:t>年我国老年人已占总人口的</w:t>
      </w:r>
      <w:r>
        <w:rPr>
          <w:rFonts w:ascii="宋体" w:eastAsia="宋体" w:hAnsi="宋体" w:cs="宋体"/>
          <w:sz w:val="22"/>
          <w:szCs w:val="22"/>
        </w:rPr>
        <w:t xml:space="preserve"> </w:t>
      </w:r>
      <w:r>
        <w:rPr>
          <w:rFonts w:ascii="宋体" w:eastAsia="宋体" w:hAnsi="宋体" w:cs="宋体"/>
          <w:spacing w:val="-10"/>
          <w:sz w:val="22"/>
          <w:szCs w:val="22"/>
        </w:rPr>
        <w:t>10%。作为社会中最重要的人群之一，老年人的营养也成为当前各国关注的重</w:t>
      </w:r>
      <w:r>
        <w:rPr>
          <w:rFonts w:ascii="宋体" w:eastAsia="宋体" w:hAnsi="宋体" w:cs="宋体"/>
          <w:spacing w:val="-11"/>
          <w:sz w:val="22"/>
          <w:szCs w:val="22"/>
        </w:rPr>
        <w:t>点</w:t>
      </w:r>
      <w:r>
        <w:rPr>
          <w:rFonts w:ascii="宋体" w:eastAsia="宋体" w:hAnsi="宋体" w:cs="宋体"/>
          <w:sz w:val="22"/>
          <w:szCs w:val="22"/>
        </w:rPr>
        <w:t xml:space="preserve"> </w:t>
      </w:r>
      <w:r>
        <w:rPr>
          <w:rFonts w:ascii="宋体" w:eastAsia="宋体" w:hAnsi="宋体" w:cs="宋体"/>
          <w:spacing w:val="-15"/>
          <w:sz w:val="22"/>
          <w:szCs w:val="22"/>
        </w:rPr>
        <w:t>问题。</w:t>
      </w:r>
    </w:p>
    <w:p w:rsidR="00EA40A3" w:rsidRDefault="00E86C16">
      <w:pPr>
        <w:spacing w:before="198" w:line="221" w:lineRule="auto"/>
        <w:ind w:left="3"/>
        <w:outlineLvl w:val="6"/>
        <w:rPr>
          <w:rFonts w:ascii="黑体" w:eastAsia="黑体" w:hAnsi="黑体" w:cs="黑体"/>
          <w:sz w:val="22"/>
          <w:szCs w:val="22"/>
        </w:rPr>
      </w:pPr>
      <w:r>
        <w:rPr>
          <w:rFonts w:ascii="黑体" w:eastAsia="黑体" w:hAnsi="黑体" w:cs="黑体"/>
          <w:b/>
          <w:bCs/>
          <w:spacing w:val="6"/>
          <w:sz w:val="22"/>
          <w:szCs w:val="22"/>
        </w:rPr>
        <w:t>10.5.1</w:t>
      </w:r>
      <w:r>
        <w:rPr>
          <w:rFonts w:ascii="黑体" w:eastAsia="黑体" w:hAnsi="黑体" w:cs="黑体"/>
          <w:spacing w:val="54"/>
          <w:sz w:val="22"/>
          <w:szCs w:val="22"/>
        </w:rPr>
        <w:t xml:space="preserve">  </w:t>
      </w:r>
      <w:r>
        <w:rPr>
          <w:rFonts w:ascii="黑体" w:eastAsia="黑体" w:hAnsi="黑体" w:cs="黑体"/>
          <w:b/>
          <w:bCs/>
          <w:spacing w:val="6"/>
          <w:sz w:val="22"/>
          <w:szCs w:val="22"/>
        </w:rPr>
        <w:t>老年人生理代谢特点</w:t>
      </w:r>
    </w:p>
    <w:p w:rsidR="00EA40A3" w:rsidRDefault="00E86C16">
      <w:pPr>
        <w:spacing w:before="192" w:line="232" w:lineRule="auto"/>
        <w:ind w:right="10" w:firstLine="419"/>
        <w:rPr>
          <w:rFonts w:ascii="宋体" w:eastAsia="宋体" w:hAnsi="宋体" w:cs="宋体"/>
          <w:sz w:val="22"/>
          <w:szCs w:val="22"/>
        </w:rPr>
      </w:pPr>
      <w:r>
        <w:rPr>
          <w:rFonts w:ascii="宋体" w:eastAsia="宋体" w:hAnsi="宋体" w:cs="宋体"/>
          <w:spacing w:val="-7"/>
          <w:sz w:val="22"/>
          <w:szCs w:val="22"/>
        </w:rPr>
        <w:t>随着年龄的增大，人机体发生了很多生理变化，老年人的生理特点主要表</w:t>
      </w:r>
      <w:r>
        <w:rPr>
          <w:rFonts w:ascii="宋体" w:eastAsia="宋体" w:hAnsi="宋体" w:cs="宋体"/>
          <w:spacing w:val="3"/>
          <w:sz w:val="22"/>
          <w:szCs w:val="22"/>
        </w:rPr>
        <w:t xml:space="preserve"> </w:t>
      </w:r>
      <w:r>
        <w:rPr>
          <w:rFonts w:ascii="宋体" w:eastAsia="宋体" w:hAnsi="宋体" w:cs="宋体"/>
          <w:spacing w:val="-14"/>
          <w:sz w:val="22"/>
          <w:szCs w:val="22"/>
        </w:rPr>
        <w:t>现在：</w:t>
      </w:r>
    </w:p>
    <w:p w:rsidR="00EA40A3" w:rsidRDefault="00E86C16">
      <w:pPr>
        <w:spacing w:before="226" w:line="222"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27"/>
          <w:sz w:val="22"/>
          <w:szCs w:val="22"/>
        </w:rPr>
        <w:t xml:space="preserve"> </w:t>
      </w:r>
      <w:r>
        <w:rPr>
          <w:rFonts w:ascii="仿宋" w:eastAsia="仿宋" w:hAnsi="仿宋" w:cs="仿宋"/>
          <w:spacing w:val="11"/>
          <w:sz w:val="22"/>
          <w:szCs w:val="22"/>
        </w:rPr>
        <w:t>体格及体内成分改变</w:t>
      </w:r>
    </w:p>
    <w:p w:rsidR="00EA40A3" w:rsidRDefault="00E86C16">
      <w:pPr>
        <w:spacing w:before="196" w:line="244" w:lineRule="auto"/>
        <w:ind w:right="10" w:firstLine="419"/>
        <w:rPr>
          <w:rFonts w:ascii="宋体" w:eastAsia="宋体" w:hAnsi="宋体" w:cs="宋体"/>
          <w:sz w:val="22"/>
          <w:szCs w:val="22"/>
        </w:rPr>
      </w:pPr>
      <w:r>
        <w:rPr>
          <w:rFonts w:ascii="宋体" w:eastAsia="宋体" w:hAnsi="宋体" w:cs="宋体"/>
          <w:spacing w:val="-7"/>
          <w:sz w:val="22"/>
          <w:szCs w:val="22"/>
        </w:rPr>
        <w:t>老年人与成人相比在形体发生明显的变化，皱纹增多、发须变白、身高变</w:t>
      </w:r>
      <w:r>
        <w:rPr>
          <w:rFonts w:ascii="宋体" w:eastAsia="宋体" w:hAnsi="宋体" w:cs="宋体"/>
          <w:spacing w:val="2"/>
          <w:sz w:val="22"/>
          <w:szCs w:val="22"/>
        </w:rPr>
        <w:t xml:space="preserve"> </w:t>
      </w:r>
      <w:r>
        <w:rPr>
          <w:rFonts w:ascii="宋体" w:eastAsia="宋体" w:hAnsi="宋体" w:cs="宋体"/>
          <w:spacing w:val="-13"/>
          <w:sz w:val="22"/>
          <w:szCs w:val="22"/>
        </w:rPr>
        <w:t>矮。同时，老年人体内脂肪组织随年龄增长而增加，因而体形出现</w:t>
      </w:r>
      <w:r>
        <w:rPr>
          <w:rFonts w:ascii="宋体" w:eastAsia="宋体" w:hAnsi="宋体" w:cs="宋体"/>
          <w:spacing w:val="-14"/>
          <w:sz w:val="22"/>
          <w:szCs w:val="22"/>
        </w:rPr>
        <w:t>发胖现象。老</w:t>
      </w:r>
    </w:p>
    <w:p w:rsidR="00EA40A3" w:rsidRDefault="00E86C16">
      <w:pPr>
        <w:spacing w:before="43"/>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330</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footerReference w:type="default" r:id="rId277"/>
          <w:pgSz w:w="9220" w:h="13360"/>
          <w:pgMar w:top="400" w:right="1189" w:bottom="400" w:left="780" w:header="0" w:footer="0" w:gutter="0"/>
          <w:cols w:space="720"/>
        </w:sectPr>
      </w:pPr>
    </w:p>
    <w:p w:rsidR="00EA40A3" w:rsidRDefault="00EA40A3">
      <w:pPr>
        <w:spacing w:line="263" w:lineRule="auto"/>
      </w:pPr>
    </w:p>
    <w:p w:rsidR="00EA40A3" w:rsidRDefault="00EA40A3">
      <w:pPr>
        <w:spacing w:line="263" w:lineRule="auto"/>
      </w:pPr>
    </w:p>
    <w:p w:rsidR="00EA40A3" w:rsidRDefault="00E86C16">
      <w:pPr>
        <w:spacing w:before="68" w:line="262" w:lineRule="auto"/>
        <w:ind w:right="20"/>
        <w:jc w:val="both"/>
        <w:rPr>
          <w:rFonts w:ascii="宋体" w:eastAsia="宋体" w:hAnsi="宋体" w:cs="宋体"/>
        </w:rPr>
      </w:pPr>
      <w:r>
        <w:rPr>
          <w:rFonts w:ascii="宋体" w:eastAsia="宋体" w:hAnsi="宋体" w:cs="宋体"/>
          <w:spacing w:val="10"/>
        </w:rPr>
        <w:t>年人代谢组织的总量随年龄而减少，其有代谢功能的组织占总体组织的30%,</w:t>
      </w:r>
      <w:r>
        <w:rPr>
          <w:rFonts w:ascii="宋体" w:eastAsia="宋体" w:hAnsi="宋体" w:cs="宋体"/>
          <w:spacing w:val="13"/>
        </w:rPr>
        <w:t xml:space="preserve"> </w:t>
      </w:r>
      <w:r>
        <w:rPr>
          <w:rFonts w:ascii="宋体" w:eastAsia="宋体" w:hAnsi="宋体" w:cs="宋体"/>
          <w:spacing w:val="6"/>
        </w:rPr>
        <w:t>仅为青春期(60%)的一半。老年人肌肉增长的质量减少，出现肌肉萎缩；细胞 内液减少而使体水分降低。另外，由于骨组织中矿物质减少(尤其钙减少),出</w:t>
      </w:r>
      <w:r>
        <w:rPr>
          <w:rFonts w:ascii="宋体" w:eastAsia="宋体" w:hAnsi="宋体" w:cs="宋体"/>
          <w:spacing w:val="9"/>
        </w:rPr>
        <w:t xml:space="preserve"> </w:t>
      </w:r>
      <w:r>
        <w:rPr>
          <w:rFonts w:ascii="宋体" w:eastAsia="宋体" w:hAnsi="宋体" w:cs="宋体"/>
          <w:spacing w:val="-1"/>
        </w:rPr>
        <w:t>现骨密度降低，尤其是女性在绝经期后由于雌激素分泌不足骨质减少尤为严重，</w:t>
      </w:r>
      <w:r>
        <w:rPr>
          <w:rFonts w:ascii="宋体" w:eastAsia="宋体" w:hAnsi="宋体" w:cs="宋体"/>
          <w:spacing w:val="18"/>
        </w:rPr>
        <w:t xml:space="preserve"> </w:t>
      </w:r>
      <w:r>
        <w:rPr>
          <w:rFonts w:ascii="宋体" w:eastAsia="宋体" w:hAnsi="宋体" w:cs="宋体"/>
          <w:spacing w:val="-5"/>
        </w:rPr>
        <w:t>因而老年人易发生不同程度的骨质疏松症及骨折。</w:t>
      </w:r>
    </w:p>
    <w:p w:rsidR="00EA40A3" w:rsidRDefault="00E86C16">
      <w:pPr>
        <w:spacing w:before="227" w:line="222" w:lineRule="auto"/>
        <w:rPr>
          <w:rFonts w:ascii="仿宋" w:eastAsia="仿宋" w:hAnsi="仿宋" w:cs="仿宋"/>
        </w:rPr>
      </w:pPr>
      <w:r>
        <w:rPr>
          <w:rFonts w:ascii="仿宋" w:eastAsia="仿宋" w:hAnsi="仿宋" w:cs="仿宋"/>
          <w:spacing w:val="19"/>
        </w:rPr>
        <w:t>2.</w:t>
      </w:r>
      <w:r>
        <w:rPr>
          <w:rFonts w:ascii="仿宋" w:eastAsia="仿宋" w:hAnsi="仿宋" w:cs="仿宋"/>
          <w:spacing w:val="-41"/>
        </w:rPr>
        <w:t xml:space="preserve"> </w:t>
      </w:r>
      <w:r>
        <w:rPr>
          <w:rFonts w:ascii="仿宋" w:eastAsia="仿宋" w:hAnsi="仿宋" w:cs="仿宋"/>
          <w:spacing w:val="19"/>
        </w:rPr>
        <w:t>代谢功能降低</w:t>
      </w:r>
    </w:p>
    <w:p w:rsidR="00EA40A3" w:rsidRDefault="00E86C16">
      <w:pPr>
        <w:spacing w:before="199" w:line="255" w:lineRule="auto"/>
        <w:ind w:firstLine="450"/>
        <w:jc w:val="both"/>
        <w:rPr>
          <w:rFonts w:ascii="宋体" w:eastAsia="宋体" w:hAnsi="宋体" w:cs="宋体"/>
        </w:rPr>
      </w:pPr>
      <w:r>
        <w:rPr>
          <w:rFonts w:ascii="宋体" w:eastAsia="宋体" w:hAnsi="宋体" w:cs="宋体"/>
          <w:spacing w:val="5"/>
        </w:rPr>
        <w:t>老年人的代谢速率减慢，代谢量减少，基础代谢较中年人下降15%～20%。</w:t>
      </w:r>
      <w:r>
        <w:rPr>
          <w:rFonts w:ascii="宋体" w:eastAsia="宋体" w:hAnsi="宋体" w:cs="宋体"/>
          <w:spacing w:val="9"/>
        </w:rPr>
        <w:t xml:space="preserve"> </w:t>
      </w:r>
      <w:r>
        <w:rPr>
          <w:rFonts w:ascii="宋体" w:eastAsia="宋体" w:hAnsi="宋体" w:cs="宋体"/>
          <w:spacing w:val="-3"/>
        </w:rPr>
        <w:t>老年人机体的合成代谢降低，分解代谢增强，因而引起细胞功</w:t>
      </w:r>
      <w:r>
        <w:rPr>
          <w:rFonts w:ascii="宋体" w:eastAsia="宋体" w:hAnsi="宋体" w:cs="宋体"/>
          <w:spacing w:val="-4"/>
        </w:rPr>
        <w:t>能下降。由于代谢</w:t>
      </w:r>
      <w:r>
        <w:rPr>
          <w:rFonts w:ascii="宋体" w:eastAsia="宋体" w:hAnsi="宋体" w:cs="宋体"/>
        </w:rPr>
        <w:t xml:space="preserve">  </w:t>
      </w:r>
      <w:r>
        <w:rPr>
          <w:rFonts w:ascii="宋体" w:eastAsia="宋体" w:hAnsi="宋体" w:cs="宋体"/>
          <w:spacing w:val="-3"/>
        </w:rPr>
        <w:t>功能改变，使营养素的消化、吸收、利用和排泄均受到不同</w:t>
      </w:r>
      <w:r>
        <w:rPr>
          <w:rFonts w:ascii="宋体" w:eastAsia="宋体" w:hAnsi="宋体" w:cs="宋体"/>
          <w:spacing w:val="-4"/>
        </w:rPr>
        <w:t>程度的影响。</w:t>
      </w:r>
    </w:p>
    <w:p w:rsidR="00EA40A3" w:rsidRDefault="00E86C16">
      <w:pPr>
        <w:spacing w:before="218" w:line="347" w:lineRule="exact"/>
        <w:rPr>
          <w:rFonts w:ascii="仿宋" w:eastAsia="仿宋" w:hAnsi="仿宋" w:cs="仿宋"/>
        </w:rPr>
      </w:pPr>
      <w:r>
        <w:rPr>
          <w:rFonts w:ascii="仿宋" w:eastAsia="仿宋" w:hAnsi="仿宋" w:cs="仿宋"/>
          <w:spacing w:val="20"/>
          <w:position w:val="10"/>
        </w:rPr>
        <w:t>3.</w:t>
      </w:r>
      <w:r>
        <w:rPr>
          <w:rFonts w:ascii="仿宋" w:eastAsia="仿宋" w:hAnsi="仿宋" w:cs="仿宋"/>
          <w:spacing w:val="-22"/>
          <w:position w:val="10"/>
        </w:rPr>
        <w:t xml:space="preserve"> </w:t>
      </w:r>
      <w:r>
        <w:rPr>
          <w:rFonts w:ascii="仿宋" w:eastAsia="仿宋" w:hAnsi="仿宋" w:cs="仿宋"/>
          <w:spacing w:val="20"/>
          <w:position w:val="10"/>
        </w:rPr>
        <w:t>器官功能的改变</w:t>
      </w:r>
    </w:p>
    <w:p w:rsidR="00EA40A3" w:rsidRDefault="00E86C16">
      <w:pPr>
        <w:spacing w:before="1" w:line="222" w:lineRule="auto"/>
        <w:rPr>
          <w:rFonts w:ascii="楷体" w:eastAsia="楷体" w:hAnsi="楷体" w:cs="楷体"/>
        </w:rPr>
      </w:pPr>
      <w:r>
        <w:rPr>
          <w:rFonts w:ascii="楷体" w:eastAsia="楷体" w:hAnsi="楷体" w:cs="楷体"/>
          <w:spacing w:val="-2"/>
        </w:rPr>
        <w:t>1)感觉器官功能的改变</w:t>
      </w:r>
    </w:p>
    <w:p w:rsidR="00EA40A3" w:rsidRDefault="00E86C16">
      <w:pPr>
        <w:spacing w:before="51" w:line="262" w:lineRule="auto"/>
        <w:ind w:right="89" w:firstLine="450"/>
        <w:jc w:val="both"/>
        <w:rPr>
          <w:rFonts w:ascii="宋体" w:eastAsia="宋体" w:hAnsi="宋体" w:cs="宋体"/>
        </w:rPr>
      </w:pPr>
      <w:r>
        <w:rPr>
          <w:rFonts w:ascii="宋体" w:eastAsia="宋体" w:hAnsi="宋体" w:cs="宋体"/>
          <w:spacing w:val="-4"/>
        </w:rPr>
        <w:t>老年人视力降低，味觉、嗅觉、触觉等感觉器官变得不灵敏，影响对食物的</w:t>
      </w:r>
      <w:r>
        <w:rPr>
          <w:rFonts w:ascii="宋体" w:eastAsia="宋体" w:hAnsi="宋体" w:cs="宋体"/>
          <w:spacing w:val="17"/>
        </w:rPr>
        <w:t xml:space="preserve"> </w:t>
      </w:r>
      <w:r>
        <w:rPr>
          <w:rFonts w:ascii="宋体" w:eastAsia="宋体" w:hAnsi="宋体" w:cs="宋体"/>
        </w:rPr>
        <w:t>喜好，并且摄取量减少。例如，每个舌乳头含味蕾平均数，儿童为248个，而老</w:t>
      </w:r>
      <w:r>
        <w:rPr>
          <w:rFonts w:ascii="宋体" w:eastAsia="宋体" w:hAnsi="宋体" w:cs="宋体"/>
          <w:spacing w:val="14"/>
        </w:rPr>
        <w:t xml:space="preserve"> </w:t>
      </w:r>
      <w:r>
        <w:rPr>
          <w:rFonts w:ascii="宋体" w:eastAsia="宋体" w:hAnsi="宋体" w:cs="宋体"/>
          <w:spacing w:val="3"/>
        </w:rPr>
        <w:t>年人舌乳头上的味蕾数目减少，75岁以上老人平均只有30～40个，因而，大部</w:t>
      </w:r>
      <w:r>
        <w:rPr>
          <w:rFonts w:ascii="宋体" w:eastAsia="宋体" w:hAnsi="宋体" w:cs="宋体"/>
          <w:spacing w:val="9"/>
        </w:rPr>
        <w:t xml:space="preserve"> </w:t>
      </w:r>
      <w:r>
        <w:rPr>
          <w:rFonts w:ascii="宋体" w:eastAsia="宋体" w:hAnsi="宋体" w:cs="宋体"/>
          <w:spacing w:val="10"/>
        </w:rPr>
        <w:t>分的老年人出现味觉、嗅觉异常。如口味加重，容易摄入较多调味太重的</w:t>
      </w:r>
      <w:r>
        <w:rPr>
          <w:rFonts w:ascii="宋体" w:eastAsia="宋体" w:hAnsi="宋体" w:cs="宋体"/>
          <w:spacing w:val="9"/>
        </w:rPr>
        <w:t>食</w:t>
      </w:r>
      <w:r>
        <w:rPr>
          <w:rFonts w:ascii="宋体" w:eastAsia="宋体" w:hAnsi="宋体" w:cs="宋体"/>
        </w:rPr>
        <w:t xml:space="preserve"> </w:t>
      </w:r>
      <w:r>
        <w:rPr>
          <w:rFonts w:ascii="宋体" w:eastAsia="宋体" w:hAnsi="宋体" w:cs="宋体"/>
          <w:spacing w:val="-9"/>
        </w:rPr>
        <w:t>物等。</w:t>
      </w:r>
    </w:p>
    <w:p w:rsidR="00EA40A3" w:rsidRDefault="00E86C16">
      <w:pPr>
        <w:spacing w:before="45" w:line="223" w:lineRule="auto"/>
        <w:rPr>
          <w:rFonts w:ascii="楷体" w:eastAsia="楷体" w:hAnsi="楷体" w:cs="楷体"/>
        </w:rPr>
      </w:pPr>
      <w:r>
        <w:rPr>
          <w:rFonts w:ascii="楷体" w:eastAsia="楷体" w:hAnsi="楷体" w:cs="楷体"/>
          <w:spacing w:val="1"/>
        </w:rPr>
        <w:t>2)消化系统功能的改变</w:t>
      </w:r>
    </w:p>
    <w:p w:rsidR="00EA40A3" w:rsidRDefault="00E86C16">
      <w:pPr>
        <w:spacing w:before="85" w:line="259" w:lineRule="auto"/>
        <w:ind w:right="76" w:firstLine="450"/>
        <w:jc w:val="both"/>
        <w:rPr>
          <w:rFonts w:ascii="宋体" w:eastAsia="宋体" w:hAnsi="宋体" w:cs="宋体"/>
        </w:rPr>
      </w:pPr>
      <w:r>
        <w:rPr>
          <w:rFonts w:ascii="宋体" w:eastAsia="宋体" w:hAnsi="宋体" w:cs="宋体"/>
          <w:spacing w:val="3"/>
        </w:rPr>
        <w:t>老年人因牙周病、龋齿、牙龈的萎缩性变化，而出现牙齿脱落或明</w:t>
      </w:r>
      <w:r>
        <w:rPr>
          <w:rFonts w:ascii="宋体" w:eastAsia="宋体" w:hAnsi="宋体" w:cs="宋体"/>
          <w:spacing w:val="2"/>
        </w:rPr>
        <w:t>显的磨</w:t>
      </w:r>
      <w:r>
        <w:rPr>
          <w:rFonts w:ascii="宋体" w:eastAsia="宋体" w:hAnsi="宋体" w:cs="宋体"/>
        </w:rPr>
        <w:t xml:space="preserve"> 损，直接影响到对食物的咀嚼和消化，黏膜萎缩、运动功能减</w:t>
      </w:r>
      <w:r>
        <w:rPr>
          <w:rFonts w:ascii="宋体" w:eastAsia="宋体" w:hAnsi="宋体" w:cs="宋体"/>
          <w:spacing w:val="-1"/>
        </w:rPr>
        <w:t>退。50%的老年人</w:t>
      </w:r>
      <w:r>
        <w:rPr>
          <w:rFonts w:ascii="宋体" w:eastAsia="宋体" w:hAnsi="宋体" w:cs="宋体"/>
        </w:rPr>
        <w:t xml:space="preserve"> </w:t>
      </w:r>
      <w:r>
        <w:rPr>
          <w:rFonts w:ascii="宋体" w:eastAsia="宋体" w:hAnsi="宋体" w:cs="宋体"/>
          <w:spacing w:val="-3"/>
        </w:rPr>
        <w:t>可能发生胃黏膜变薄、肌纤维萎缩等变化，引起胃排空时间延长，消化道运动能</w:t>
      </w:r>
      <w:r>
        <w:rPr>
          <w:rFonts w:ascii="宋体" w:eastAsia="宋体" w:hAnsi="宋体" w:cs="宋体"/>
          <w:spacing w:val="14"/>
        </w:rPr>
        <w:t xml:space="preserve"> </w:t>
      </w:r>
      <w:r>
        <w:rPr>
          <w:rFonts w:ascii="宋体" w:eastAsia="宋体" w:hAnsi="宋体" w:cs="宋体"/>
          <w:spacing w:val="-3"/>
        </w:rPr>
        <w:t>力降低，尤其是肠蠕动减弱易导致消化不良及便秘。同时，消化腺体萎缩，消化</w:t>
      </w:r>
      <w:r>
        <w:rPr>
          <w:rFonts w:ascii="宋体" w:eastAsia="宋体" w:hAnsi="宋体" w:cs="宋体"/>
          <w:spacing w:val="12"/>
        </w:rPr>
        <w:t xml:space="preserve"> </w:t>
      </w:r>
      <w:r>
        <w:rPr>
          <w:rFonts w:ascii="宋体" w:eastAsia="宋体" w:hAnsi="宋体" w:cs="宋体"/>
          <w:spacing w:val="-2"/>
        </w:rPr>
        <w:t>液分泌量减少，消化能力下降。口腔腺体萎缩使唾液分泌减少，唾液稀薄、</w:t>
      </w:r>
      <w:r>
        <w:rPr>
          <w:rFonts w:ascii="宋体" w:eastAsia="宋体" w:hAnsi="宋体" w:cs="宋体"/>
          <w:spacing w:val="-3"/>
        </w:rPr>
        <w:t>淀粉</w:t>
      </w:r>
      <w:r>
        <w:rPr>
          <w:rFonts w:ascii="宋体" w:eastAsia="宋体" w:hAnsi="宋体" w:cs="宋体"/>
        </w:rPr>
        <w:t xml:space="preserve"> </w:t>
      </w:r>
      <w:r>
        <w:rPr>
          <w:rFonts w:ascii="宋体" w:eastAsia="宋体" w:hAnsi="宋体" w:cs="宋体"/>
          <w:spacing w:val="-3"/>
        </w:rPr>
        <w:t>酶含量降低；胃液量和胃酸度下降，胃蛋白酶不足，胰蛋白酶、脂肪酶、淀粉酶</w:t>
      </w:r>
      <w:r>
        <w:rPr>
          <w:rFonts w:ascii="宋体" w:eastAsia="宋体" w:hAnsi="宋体" w:cs="宋体"/>
          <w:spacing w:val="12"/>
        </w:rPr>
        <w:t xml:space="preserve"> </w:t>
      </w:r>
      <w:r>
        <w:rPr>
          <w:rFonts w:ascii="宋体" w:eastAsia="宋体" w:hAnsi="宋体" w:cs="宋体"/>
          <w:spacing w:val="-4"/>
        </w:rPr>
        <w:t>分泌减少，活性下降，对食物消化能力明显减退。胰岛素分泌减少，对葡萄糖的</w:t>
      </w:r>
      <w:r>
        <w:rPr>
          <w:rFonts w:ascii="宋体" w:eastAsia="宋体" w:hAnsi="宋体" w:cs="宋体"/>
          <w:spacing w:val="15"/>
        </w:rPr>
        <w:t xml:space="preserve"> </w:t>
      </w:r>
      <w:r>
        <w:rPr>
          <w:rFonts w:ascii="宋体" w:eastAsia="宋体" w:hAnsi="宋体" w:cs="宋体"/>
          <w:spacing w:val="4"/>
        </w:rPr>
        <w:t>耐量减退。肝细胞数目减少，纤维组织增多，故</w:t>
      </w:r>
      <w:r>
        <w:rPr>
          <w:rFonts w:ascii="宋体" w:eastAsia="宋体" w:hAnsi="宋体" w:cs="宋体"/>
          <w:spacing w:val="3"/>
        </w:rPr>
        <w:t>解毒能力和合成蛋白的能力下</w:t>
      </w:r>
      <w:r>
        <w:rPr>
          <w:rFonts w:ascii="宋体" w:eastAsia="宋体" w:hAnsi="宋体" w:cs="宋体"/>
        </w:rPr>
        <w:t xml:space="preserve"> </w:t>
      </w:r>
      <w:r>
        <w:rPr>
          <w:rFonts w:ascii="宋体" w:eastAsia="宋体" w:hAnsi="宋体" w:cs="宋体"/>
          <w:spacing w:val="-3"/>
        </w:rPr>
        <w:t>降，致使血浆白蛋白减少，而球蛋白相对增加，进而影响血浆胶体渗透压，导致</w:t>
      </w:r>
      <w:r>
        <w:rPr>
          <w:rFonts w:ascii="宋体" w:eastAsia="宋体" w:hAnsi="宋体" w:cs="宋体"/>
          <w:spacing w:val="12"/>
        </w:rPr>
        <w:t xml:space="preserve"> </w:t>
      </w:r>
      <w:r>
        <w:rPr>
          <w:rFonts w:ascii="宋体" w:eastAsia="宋体" w:hAnsi="宋体" w:cs="宋体"/>
          <w:spacing w:val="-4"/>
        </w:rPr>
        <w:t>组织液的生成及回流障碍，易出现浮肿。</w:t>
      </w:r>
    </w:p>
    <w:p w:rsidR="00EA40A3" w:rsidRDefault="00E86C16">
      <w:pPr>
        <w:spacing w:before="106" w:line="223" w:lineRule="auto"/>
        <w:rPr>
          <w:rFonts w:ascii="楷体" w:eastAsia="楷体" w:hAnsi="楷体" w:cs="楷体"/>
        </w:rPr>
      </w:pPr>
      <w:r>
        <w:rPr>
          <w:rFonts w:ascii="楷体" w:eastAsia="楷体" w:hAnsi="楷体" w:cs="楷体"/>
          <w:spacing w:val="-1"/>
        </w:rPr>
        <w:t>3)心血管功能改变</w:t>
      </w:r>
    </w:p>
    <w:p w:rsidR="00EA40A3" w:rsidRDefault="00E86C16">
      <w:pPr>
        <w:spacing w:before="77" w:line="264" w:lineRule="auto"/>
        <w:ind w:right="86" w:firstLine="450"/>
        <w:jc w:val="both"/>
        <w:rPr>
          <w:rFonts w:ascii="宋体" w:eastAsia="宋体" w:hAnsi="宋体" w:cs="宋体"/>
        </w:rPr>
      </w:pPr>
      <w:r>
        <w:rPr>
          <w:rFonts w:ascii="宋体" w:eastAsia="宋体" w:hAnsi="宋体" w:cs="宋体"/>
          <w:spacing w:val="-3"/>
        </w:rPr>
        <w:t>由于老化，血管壁逐渐增厚变狭窄而失去弹性</w:t>
      </w:r>
      <w:r>
        <w:rPr>
          <w:rFonts w:ascii="宋体" w:eastAsia="宋体" w:hAnsi="宋体" w:cs="宋体"/>
          <w:spacing w:val="-4"/>
        </w:rPr>
        <w:t>，使得心脏输出血量减少；同</w:t>
      </w:r>
      <w:r>
        <w:rPr>
          <w:rFonts w:ascii="宋体" w:eastAsia="宋体" w:hAnsi="宋体" w:cs="宋体"/>
        </w:rPr>
        <w:t xml:space="preserve"> </w:t>
      </w:r>
      <w:r>
        <w:rPr>
          <w:rFonts w:ascii="宋体" w:eastAsia="宋体" w:hAnsi="宋体" w:cs="宋体"/>
          <w:spacing w:val="-3"/>
        </w:rPr>
        <w:t>时由于许多老年人伴有血管壁脂质沉积，使血管壁弹性更趋下降，脆性增加；血</w:t>
      </w:r>
      <w:r>
        <w:rPr>
          <w:rFonts w:ascii="宋体" w:eastAsia="宋体" w:hAnsi="宋体" w:cs="宋体"/>
          <w:spacing w:val="12"/>
        </w:rPr>
        <w:t xml:space="preserve"> </w:t>
      </w:r>
      <w:r>
        <w:rPr>
          <w:rFonts w:ascii="宋体" w:eastAsia="宋体" w:hAnsi="宋体" w:cs="宋体"/>
          <w:spacing w:val="-3"/>
        </w:rPr>
        <w:t>管对血压的调节作用下降，血管外周阻力增大，导致血压常常升高；脏器组织中</w:t>
      </w:r>
      <w:r>
        <w:rPr>
          <w:rFonts w:ascii="宋体" w:eastAsia="宋体" w:hAnsi="宋体" w:cs="宋体"/>
          <w:spacing w:val="6"/>
        </w:rPr>
        <w:t xml:space="preserve"> </w:t>
      </w:r>
      <w:r>
        <w:rPr>
          <w:rFonts w:ascii="宋体" w:eastAsia="宋体" w:hAnsi="宋体" w:cs="宋体"/>
          <w:spacing w:val="-3"/>
        </w:rPr>
        <w:t>毛细血管的有效数量减少及阻力增大，使组织血流量减少，易发生组织器官的营</w:t>
      </w:r>
      <w:r>
        <w:rPr>
          <w:rFonts w:ascii="宋体" w:eastAsia="宋体" w:hAnsi="宋体" w:cs="宋体"/>
          <w:spacing w:val="17"/>
        </w:rPr>
        <w:t xml:space="preserve"> </w:t>
      </w:r>
      <w:r>
        <w:rPr>
          <w:rFonts w:ascii="宋体" w:eastAsia="宋体" w:hAnsi="宋体" w:cs="宋体"/>
          <w:spacing w:val="-2"/>
        </w:rPr>
        <w:t>养障碍；血管脆性增加，血流速度减慢，使老年人</w:t>
      </w:r>
      <w:r>
        <w:rPr>
          <w:rFonts w:ascii="宋体" w:eastAsia="宋体" w:hAnsi="宋体" w:cs="宋体"/>
          <w:spacing w:val="-3"/>
        </w:rPr>
        <w:t>发生心血管意外的机会明显增</w:t>
      </w:r>
      <w:r>
        <w:rPr>
          <w:rFonts w:ascii="宋体" w:eastAsia="宋体" w:hAnsi="宋体" w:cs="宋体"/>
        </w:rPr>
        <w:t xml:space="preserve"> </w:t>
      </w:r>
      <w:r>
        <w:rPr>
          <w:rFonts w:ascii="宋体" w:eastAsia="宋体" w:hAnsi="宋体" w:cs="宋体"/>
          <w:spacing w:val="-3"/>
        </w:rPr>
        <w:t>加，如脑溢血、脑血栓等的发病率明显高于年青人，血流阻力增</w:t>
      </w:r>
      <w:r>
        <w:rPr>
          <w:rFonts w:ascii="宋体" w:eastAsia="宋体" w:hAnsi="宋体" w:cs="宋体"/>
          <w:spacing w:val="-4"/>
        </w:rPr>
        <w:t>加。</w:t>
      </w:r>
    </w:p>
    <w:p w:rsidR="00EA40A3" w:rsidRDefault="00E86C16">
      <w:pPr>
        <w:spacing w:before="126"/>
        <w:ind w:right="145"/>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331</w:t>
      </w:r>
      <w:r>
        <w:rPr>
          <w:rFonts w:ascii="宋体" w:eastAsia="宋体" w:hAnsi="宋体" w:cs="宋体"/>
          <w:spacing w:val="2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974" w:bottom="400" w:left="890" w:header="0" w:footer="0" w:gutter="0"/>
          <w:cols w:space="720"/>
        </w:sectPr>
      </w:pPr>
    </w:p>
    <w:p w:rsidR="00EA40A3" w:rsidRDefault="00EA40A3">
      <w:pPr>
        <w:spacing w:line="263" w:lineRule="auto"/>
      </w:pPr>
    </w:p>
    <w:p w:rsidR="00EA40A3" w:rsidRDefault="00EA40A3">
      <w:pPr>
        <w:spacing w:line="263" w:lineRule="auto"/>
      </w:pPr>
    </w:p>
    <w:p w:rsidR="00EA40A3" w:rsidRDefault="00E86C16">
      <w:pPr>
        <w:spacing w:before="71" w:line="221" w:lineRule="auto"/>
        <w:rPr>
          <w:rFonts w:ascii="楷体" w:eastAsia="楷体" w:hAnsi="楷体" w:cs="楷体"/>
          <w:sz w:val="22"/>
          <w:szCs w:val="22"/>
        </w:rPr>
      </w:pPr>
      <w:r>
        <w:rPr>
          <w:rFonts w:ascii="楷体" w:eastAsia="楷体" w:hAnsi="楷体" w:cs="楷体"/>
          <w:spacing w:val="-7"/>
          <w:sz w:val="22"/>
          <w:szCs w:val="22"/>
        </w:rPr>
        <w:t>4)肾功能的改变</w:t>
      </w:r>
    </w:p>
    <w:p w:rsidR="00EA40A3" w:rsidRDefault="00E86C16">
      <w:pPr>
        <w:spacing w:before="42" w:line="244" w:lineRule="auto"/>
        <w:ind w:right="126" w:firstLine="469"/>
        <w:jc w:val="both"/>
        <w:rPr>
          <w:rFonts w:ascii="宋体" w:eastAsia="宋体" w:hAnsi="宋体" w:cs="宋体"/>
          <w:sz w:val="22"/>
          <w:szCs w:val="22"/>
        </w:rPr>
      </w:pPr>
      <w:r>
        <w:rPr>
          <w:rFonts w:ascii="宋体" w:eastAsia="宋体" w:hAnsi="宋体" w:cs="宋体"/>
          <w:spacing w:val="-14"/>
          <w:sz w:val="22"/>
          <w:szCs w:val="22"/>
        </w:rPr>
        <w:t>肾脏萎缩变小，肾血流量减少，肾小球滤过率及肾小管重吸收能</w:t>
      </w:r>
      <w:r>
        <w:rPr>
          <w:rFonts w:ascii="宋体" w:eastAsia="宋体" w:hAnsi="宋体" w:cs="宋体"/>
          <w:spacing w:val="-15"/>
          <w:sz w:val="22"/>
          <w:szCs w:val="22"/>
        </w:rPr>
        <w:t>力下降，导</w:t>
      </w:r>
      <w:r>
        <w:rPr>
          <w:rFonts w:ascii="宋体" w:eastAsia="宋体" w:hAnsi="宋体" w:cs="宋体"/>
          <w:sz w:val="22"/>
          <w:szCs w:val="22"/>
        </w:rPr>
        <w:t xml:space="preserve"> </w:t>
      </w:r>
      <w:r>
        <w:rPr>
          <w:rFonts w:ascii="宋体" w:eastAsia="宋体" w:hAnsi="宋体" w:cs="宋体"/>
          <w:spacing w:val="-13"/>
          <w:sz w:val="22"/>
          <w:szCs w:val="22"/>
        </w:rPr>
        <w:t>致肾功能减退，从而影响血中代谢废物的排泄及电解质的平衡，老</w:t>
      </w:r>
      <w:r>
        <w:rPr>
          <w:rFonts w:ascii="宋体" w:eastAsia="宋体" w:hAnsi="宋体" w:cs="宋体"/>
          <w:spacing w:val="-14"/>
          <w:sz w:val="22"/>
          <w:szCs w:val="22"/>
        </w:rPr>
        <w:t>年人对酸碱平</w:t>
      </w:r>
      <w:r>
        <w:rPr>
          <w:rFonts w:ascii="宋体" w:eastAsia="宋体" w:hAnsi="宋体" w:cs="宋体"/>
          <w:sz w:val="22"/>
          <w:szCs w:val="22"/>
        </w:rPr>
        <w:t xml:space="preserve"> </w:t>
      </w:r>
      <w:r>
        <w:rPr>
          <w:rFonts w:ascii="宋体" w:eastAsia="宋体" w:hAnsi="宋体" w:cs="宋体"/>
          <w:spacing w:val="-7"/>
          <w:sz w:val="22"/>
          <w:szCs w:val="22"/>
        </w:rPr>
        <w:t>衡代谢的失调，不能迅速反应并加以纠正。另外，肾羟化1,25-</w:t>
      </w:r>
      <w:r>
        <w:rPr>
          <w:rFonts w:ascii="宋体" w:eastAsia="宋体" w:hAnsi="宋体" w:cs="宋体"/>
          <w:spacing w:val="-16"/>
          <w:sz w:val="22"/>
          <w:szCs w:val="22"/>
        </w:rPr>
        <w:t xml:space="preserve"> </w:t>
      </w:r>
      <w:r>
        <w:rPr>
          <w:rFonts w:ascii="宋体" w:eastAsia="宋体" w:hAnsi="宋体" w:cs="宋体"/>
          <w:spacing w:val="-7"/>
          <w:sz w:val="22"/>
          <w:szCs w:val="22"/>
        </w:rPr>
        <w:t>(OH)</w:t>
      </w:r>
      <w:r>
        <w:rPr>
          <w:rFonts w:ascii="Calibri" w:eastAsia="Calibri" w:hAnsi="Calibri" w:cs="Calibri"/>
          <w:spacing w:val="-7"/>
          <w:sz w:val="22"/>
          <w:szCs w:val="22"/>
        </w:rPr>
        <w:t>₂</w:t>
      </w:r>
      <w:r>
        <w:rPr>
          <w:rFonts w:ascii="宋体" w:eastAsia="宋体" w:hAnsi="宋体" w:cs="宋体"/>
          <w:spacing w:val="-7"/>
          <w:sz w:val="22"/>
          <w:szCs w:val="22"/>
        </w:rPr>
        <w:t>-D</w:t>
      </w:r>
      <w:r>
        <w:rPr>
          <w:rFonts w:ascii="Calibri" w:eastAsia="Calibri" w:hAnsi="Calibri" w:cs="Calibri"/>
          <w:spacing w:val="-7"/>
          <w:sz w:val="22"/>
          <w:szCs w:val="22"/>
        </w:rPr>
        <w:t>₃</w:t>
      </w:r>
      <w:r>
        <w:rPr>
          <w:rFonts w:ascii="Calibri" w:eastAsia="Calibri" w:hAnsi="Calibri" w:cs="Calibri"/>
          <w:spacing w:val="3"/>
          <w:sz w:val="22"/>
          <w:szCs w:val="22"/>
        </w:rPr>
        <w:t xml:space="preserve">   </w:t>
      </w:r>
      <w:r>
        <w:rPr>
          <w:rFonts w:ascii="宋体" w:eastAsia="宋体" w:hAnsi="宋体" w:cs="宋体"/>
          <w:spacing w:val="-7"/>
          <w:sz w:val="22"/>
          <w:szCs w:val="22"/>
        </w:rPr>
        <w:t>的能</w:t>
      </w:r>
      <w:r>
        <w:rPr>
          <w:rFonts w:ascii="宋体" w:eastAsia="宋体" w:hAnsi="宋体" w:cs="宋体"/>
          <w:spacing w:val="2"/>
          <w:sz w:val="22"/>
          <w:szCs w:val="22"/>
        </w:rPr>
        <w:t xml:space="preserve"> </w:t>
      </w:r>
      <w:r>
        <w:rPr>
          <w:rFonts w:ascii="宋体" w:eastAsia="宋体" w:hAnsi="宋体" w:cs="宋体"/>
          <w:spacing w:val="-12"/>
          <w:sz w:val="22"/>
          <w:szCs w:val="22"/>
        </w:rPr>
        <w:t>力降低，从而增加了对维生素D</w:t>
      </w:r>
      <w:r>
        <w:rPr>
          <w:rFonts w:ascii="宋体" w:eastAsia="宋体" w:hAnsi="宋体" w:cs="宋体"/>
          <w:spacing w:val="-6"/>
          <w:sz w:val="22"/>
          <w:szCs w:val="22"/>
        </w:rPr>
        <w:t xml:space="preserve"> </w:t>
      </w:r>
      <w:r>
        <w:rPr>
          <w:rFonts w:ascii="宋体" w:eastAsia="宋体" w:hAnsi="宋体" w:cs="宋体"/>
          <w:spacing w:val="-12"/>
          <w:sz w:val="22"/>
          <w:szCs w:val="22"/>
        </w:rPr>
        <w:t>的需要。</w:t>
      </w:r>
    </w:p>
    <w:p w:rsidR="00EA40A3" w:rsidRDefault="00E86C16">
      <w:pPr>
        <w:spacing w:before="207" w:line="222" w:lineRule="auto"/>
        <w:rPr>
          <w:rFonts w:ascii="仿宋" w:eastAsia="仿宋" w:hAnsi="仿宋" w:cs="仿宋"/>
          <w:sz w:val="22"/>
          <w:szCs w:val="22"/>
        </w:rPr>
      </w:pPr>
      <w:r>
        <w:rPr>
          <w:rFonts w:ascii="仿宋" w:eastAsia="仿宋" w:hAnsi="仿宋" w:cs="仿宋"/>
          <w:spacing w:val="8"/>
          <w:sz w:val="22"/>
          <w:szCs w:val="22"/>
        </w:rPr>
        <w:t>4.</w:t>
      </w:r>
      <w:r>
        <w:rPr>
          <w:rFonts w:ascii="仿宋" w:eastAsia="仿宋" w:hAnsi="仿宋" w:cs="仿宋"/>
          <w:spacing w:val="10"/>
          <w:sz w:val="22"/>
          <w:szCs w:val="22"/>
        </w:rPr>
        <w:t xml:space="preserve"> </w:t>
      </w:r>
      <w:r>
        <w:rPr>
          <w:rFonts w:ascii="仿宋" w:eastAsia="仿宋" w:hAnsi="仿宋" w:cs="仿宋"/>
          <w:spacing w:val="8"/>
          <w:sz w:val="22"/>
          <w:szCs w:val="22"/>
        </w:rPr>
        <w:t>内分泌的改变</w:t>
      </w:r>
    </w:p>
    <w:p w:rsidR="00EA40A3" w:rsidRDefault="00E86C16">
      <w:pPr>
        <w:spacing w:before="208" w:line="245" w:lineRule="auto"/>
        <w:ind w:right="60" w:firstLine="469"/>
        <w:jc w:val="both"/>
        <w:rPr>
          <w:rFonts w:ascii="宋体" w:eastAsia="宋体" w:hAnsi="宋体" w:cs="宋体"/>
          <w:sz w:val="22"/>
          <w:szCs w:val="22"/>
        </w:rPr>
      </w:pPr>
      <w:r>
        <w:rPr>
          <w:rFonts w:ascii="宋体" w:eastAsia="宋体" w:hAnsi="宋体" w:cs="宋体"/>
          <w:spacing w:val="-13"/>
          <w:sz w:val="22"/>
          <w:szCs w:val="22"/>
        </w:rPr>
        <w:t>从血浆中激素水平和体内受体敏感性的分析测定中发现，老年人体内</w:t>
      </w:r>
      <w:r>
        <w:rPr>
          <w:rFonts w:ascii="宋体" w:eastAsia="宋体" w:hAnsi="宋体" w:cs="宋体"/>
          <w:spacing w:val="-14"/>
          <w:sz w:val="22"/>
          <w:szCs w:val="22"/>
        </w:rPr>
        <w:t>多种激</w:t>
      </w:r>
      <w:r>
        <w:rPr>
          <w:rFonts w:ascii="宋体" w:eastAsia="宋体" w:hAnsi="宋体" w:cs="宋体"/>
          <w:sz w:val="22"/>
          <w:szCs w:val="22"/>
        </w:rPr>
        <w:t xml:space="preserve"> </w:t>
      </w:r>
      <w:r>
        <w:rPr>
          <w:rFonts w:ascii="宋体" w:eastAsia="宋体" w:hAnsi="宋体" w:cs="宋体"/>
          <w:spacing w:val="-10"/>
          <w:sz w:val="22"/>
          <w:szCs w:val="22"/>
        </w:rPr>
        <w:t>素水平发生改变。老年人脑下垂体功能的改变最明显，</w:t>
      </w:r>
      <w:r>
        <w:rPr>
          <w:rFonts w:ascii="宋体" w:eastAsia="宋体" w:hAnsi="宋体" w:cs="宋体"/>
          <w:spacing w:val="-11"/>
          <w:sz w:val="22"/>
          <w:szCs w:val="22"/>
        </w:rPr>
        <w:t>其表现在影响基础代谢，</w:t>
      </w:r>
      <w:r>
        <w:rPr>
          <w:rFonts w:ascii="宋体" w:eastAsia="宋体" w:hAnsi="宋体" w:cs="宋体"/>
          <w:sz w:val="22"/>
          <w:szCs w:val="22"/>
        </w:rPr>
        <w:t xml:space="preserve"> </w:t>
      </w:r>
      <w:r>
        <w:rPr>
          <w:rFonts w:ascii="宋体" w:eastAsia="宋体" w:hAnsi="宋体" w:cs="宋体"/>
          <w:spacing w:val="-10"/>
          <w:sz w:val="22"/>
          <w:szCs w:val="22"/>
        </w:rPr>
        <w:t>使基础代谢降低。老年人甲状腺也可能有萎缩，这也是</w:t>
      </w:r>
      <w:r>
        <w:rPr>
          <w:rFonts w:ascii="宋体" w:eastAsia="宋体" w:hAnsi="宋体" w:cs="宋体"/>
          <w:spacing w:val="-11"/>
          <w:sz w:val="22"/>
          <w:szCs w:val="22"/>
        </w:rPr>
        <w:t>降低代谢率的因素之一。</w:t>
      </w:r>
      <w:r>
        <w:rPr>
          <w:rFonts w:ascii="宋体" w:eastAsia="宋体" w:hAnsi="宋体" w:cs="宋体"/>
          <w:sz w:val="22"/>
          <w:szCs w:val="22"/>
        </w:rPr>
        <w:t xml:space="preserve"> </w:t>
      </w:r>
      <w:r>
        <w:rPr>
          <w:rFonts w:ascii="宋体" w:eastAsia="宋体" w:hAnsi="宋体" w:cs="宋体"/>
          <w:spacing w:val="-13"/>
          <w:sz w:val="22"/>
          <w:szCs w:val="22"/>
        </w:rPr>
        <w:t>此外，各自性激素的水平下降对男性、女性老年人分别产生影响，女性因为雌激</w:t>
      </w:r>
      <w:r>
        <w:rPr>
          <w:rFonts w:ascii="宋体" w:eastAsia="宋体" w:hAnsi="宋体" w:cs="宋体"/>
          <w:spacing w:val="12"/>
          <w:sz w:val="22"/>
          <w:szCs w:val="22"/>
        </w:rPr>
        <w:t xml:space="preserve"> </w:t>
      </w:r>
      <w:r>
        <w:rPr>
          <w:rFonts w:ascii="宋体" w:eastAsia="宋体" w:hAnsi="宋体" w:cs="宋体"/>
          <w:spacing w:val="-16"/>
          <w:sz w:val="22"/>
          <w:szCs w:val="22"/>
        </w:rPr>
        <w:t>素分泌的降低，更容易出现钙的负平衡。</w:t>
      </w:r>
    </w:p>
    <w:p w:rsidR="00EA40A3" w:rsidRDefault="00E86C16">
      <w:pPr>
        <w:spacing w:before="166" w:line="222" w:lineRule="auto"/>
        <w:rPr>
          <w:rFonts w:ascii="仿宋" w:eastAsia="仿宋" w:hAnsi="仿宋" w:cs="仿宋"/>
          <w:sz w:val="25"/>
          <w:szCs w:val="25"/>
        </w:rPr>
      </w:pPr>
      <w:r>
        <w:rPr>
          <w:rFonts w:ascii="仿宋" w:eastAsia="仿宋" w:hAnsi="仿宋" w:cs="仿宋"/>
          <w:spacing w:val="-6"/>
          <w:sz w:val="25"/>
          <w:szCs w:val="25"/>
        </w:rPr>
        <w:t>5.</w:t>
      </w:r>
      <w:r>
        <w:rPr>
          <w:rFonts w:ascii="仿宋" w:eastAsia="仿宋" w:hAnsi="仿宋" w:cs="仿宋"/>
          <w:spacing w:val="-72"/>
          <w:sz w:val="25"/>
          <w:szCs w:val="25"/>
        </w:rPr>
        <w:t xml:space="preserve"> </w:t>
      </w:r>
      <w:r>
        <w:rPr>
          <w:rFonts w:ascii="仿宋" w:eastAsia="仿宋" w:hAnsi="仿宋" w:cs="仿宋"/>
          <w:spacing w:val="-6"/>
          <w:sz w:val="25"/>
          <w:szCs w:val="25"/>
        </w:rPr>
        <w:t>其他</w:t>
      </w:r>
    </w:p>
    <w:p w:rsidR="00EA40A3" w:rsidRDefault="00E86C16">
      <w:pPr>
        <w:spacing w:before="208" w:line="244" w:lineRule="auto"/>
        <w:ind w:right="90" w:firstLine="469"/>
        <w:rPr>
          <w:rFonts w:ascii="宋体" w:eastAsia="宋体" w:hAnsi="宋体" w:cs="宋体"/>
          <w:sz w:val="22"/>
          <w:szCs w:val="22"/>
        </w:rPr>
      </w:pPr>
      <w:r>
        <w:rPr>
          <w:rFonts w:ascii="宋体" w:eastAsia="宋体" w:hAnsi="宋体" w:cs="宋体"/>
          <w:spacing w:val="-6"/>
          <w:sz w:val="22"/>
          <w:szCs w:val="22"/>
        </w:rPr>
        <w:t>神经细胞数量逐渐减少，脑重减轻。据估计30岁以后呈减少趋势，60岁以</w:t>
      </w:r>
      <w:r>
        <w:rPr>
          <w:rFonts w:ascii="宋体" w:eastAsia="宋体" w:hAnsi="宋体" w:cs="宋体"/>
          <w:spacing w:val="2"/>
          <w:sz w:val="22"/>
          <w:szCs w:val="22"/>
        </w:rPr>
        <w:t xml:space="preserve"> </w:t>
      </w:r>
      <w:r>
        <w:rPr>
          <w:rFonts w:ascii="宋体" w:eastAsia="宋体" w:hAnsi="宋体" w:cs="宋体"/>
          <w:spacing w:val="-5"/>
          <w:sz w:val="22"/>
          <w:szCs w:val="22"/>
        </w:rPr>
        <w:t>上脑细胞减少相比中青年时期尤为显著，到75岁以上时可降至年青时的60%左</w:t>
      </w:r>
      <w:r>
        <w:rPr>
          <w:rFonts w:ascii="宋体" w:eastAsia="宋体" w:hAnsi="宋体" w:cs="宋体"/>
          <w:spacing w:val="2"/>
          <w:sz w:val="22"/>
          <w:szCs w:val="22"/>
        </w:rPr>
        <w:t xml:space="preserve">  </w:t>
      </w:r>
      <w:r>
        <w:rPr>
          <w:rFonts w:ascii="宋体" w:eastAsia="宋体" w:hAnsi="宋体" w:cs="宋体"/>
          <w:spacing w:val="-13"/>
          <w:sz w:val="22"/>
          <w:szCs w:val="22"/>
        </w:rPr>
        <w:t>右。脑对氧及营养素的利用率下降，致使脑功能逐渐衰退并出现某些神经系统症</w:t>
      </w:r>
      <w:r>
        <w:rPr>
          <w:rFonts w:ascii="宋体" w:eastAsia="宋体" w:hAnsi="宋体" w:cs="宋体"/>
          <w:spacing w:val="14"/>
          <w:sz w:val="22"/>
          <w:szCs w:val="22"/>
        </w:rPr>
        <w:t xml:space="preserve"> </w:t>
      </w:r>
      <w:r>
        <w:rPr>
          <w:rFonts w:ascii="宋体" w:eastAsia="宋体" w:hAnsi="宋体" w:cs="宋体"/>
          <w:spacing w:val="-13"/>
          <w:sz w:val="22"/>
          <w:szCs w:val="22"/>
        </w:rPr>
        <w:t>状，如记忆力减退、健忘、失眠、甚至产生情绪变化及某些精神症状。</w:t>
      </w:r>
    </w:p>
    <w:p w:rsidR="00EA40A3" w:rsidRDefault="00E86C16">
      <w:pPr>
        <w:spacing w:before="216" w:line="221" w:lineRule="auto"/>
        <w:ind w:left="3"/>
        <w:outlineLvl w:val="6"/>
        <w:rPr>
          <w:rFonts w:ascii="黑体" w:eastAsia="黑体" w:hAnsi="黑体" w:cs="黑体"/>
          <w:sz w:val="22"/>
          <w:szCs w:val="22"/>
        </w:rPr>
      </w:pPr>
      <w:r>
        <w:rPr>
          <w:rFonts w:ascii="黑体" w:eastAsia="黑体" w:hAnsi="黑体" w:cs="黑体"/>
          <w:b/>
          <w:bCs/>
          <w:spacing w:val="5"/>
          <w:sz w:val="22"/>
          <w:szCs w:val="22"/>
        </w:rPr>
        <w:t>10.5.2</w:t>
      </w:r>
      <w:r>
        <w:rPr>
          <w:rFonts w:ascii="黑体" w:eastAsia="黑体" w:hAnsi="黑体" w:cs="黑体"/>
          <w:spacing w:val="34"/>
          <w:sz w:val="22"/>
          <w:szCs w:val="22"/>
        </w:rPr>
        <w:t xml:space="preserve">  </w:t>
      </w:r>
      <w:r>
        <w:rPr>
          <w:rFonts w:ascii="黑体" w:eastAsia="黑体" w:hAnsi="黑体" w:cs="黑体"/>
          <w:b/>
          <w:bCs/>
          <w:spacing w:val="5"/>
          <w:sz w:val="22"/>
          <w:szCs w:val="22"/>
        </w:rPr>
        <w:t>老年人的营养需要</w:t>
      </w:r>
    </w:p>
    <w:p w:rsidR="00EA40A3" w:rsidRDefault="00E86C16">
      <w:pPr>
        <w:spacing w:before="200" w:line="236" w:lineRule="auto"/>
        <w:ind w:right="109" w:firstLine="469"/>
        <w:rPr>
          <w:rFonts w:ascii="宋体" w:eastAsia="宋体" w:hAnsi="宋体" w:cs="宋体"/>
          <w:sz w:val="22"/>
          <w:szCs w:val="22"/>
        </w:rPr>
      </w:pPr>
      <w:r>
        <w:rPr>
          <w:rFonts w:ascii="宋体" w:eastAsia="宋体" w:hAnsi="宋体" w:cs="宋体"/>
          <w:spacing w:val="-13"/>
          <w:sz w:val="22"/>
          <w:szCs w:val="22"/>
        </w:rPr>
        <w:t>老年人的营养是决定老年人健康的重要因素之一。</w:t>
      </w:r>
      <w:r>
        <w:rPr>
          <w:rFonts w:ascii="宋体" w:eastAsia="宋体" w:hAnsi="宋体" w:cs="宋体"/>
          <w:spacing w:val="-14"/>
          <w:sz w:val="22"/>
          <w:szCs w:val="22"/>
        </w:rPr>
        <w:t>正常老年人按照其机体的</w:t>
      </w:r>
      <w:r>
        <w:rPr>
          <w:rFonts w:ascii="宋体" w:eastAsia="宋体" w:hAnsi="宋体" w:cs="宋体"/>
          <w:sz w:val="22"/>
          <w:szCs w:val="22"/>
        </w:rPr>
        <w:t xml:space="preserve"> </w:t>
      </w:r>
      <w:r>
        <w:rPr>
          <w:rFonts w:ascii="宋体" w:eastAsia="宋体" w:hAnsi="宋体" w:cs="宋体"/>
          <w:spacing w:val="-13"/>
          <w:sz w:val="22"/>
          <w:szCs w:val="22"/>
        </w:rPr>
        <w:t>生理状态，同样需要平衡和合理的膳食来达到营养的目的。</w:t>
      </w:r>
    </w:p>
    <w:p w:rsidR="00EA40A3" w:rsidRDefault="00E86C16">
      <w:pPr>
        <w:spacing w:before="186" w:line="222"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27"/>
          <w:sz w:val="22"/>
          <w:szCs w:val="22"/>
        </w:rPr>
        <w:t xml:space="preserve"> </w:t>
      </w:r>
      <w:r>
        <w:rPr>
          <w:rFonts w:ascii="仿宋" w:eastAsia="仿宋" w:hAnsi="仿宋" w:cs="仿宋"/>
          <w:spacing w:val="-13"/>
          <w:sz w:val="22"/>
          <w:szCs w:val="22"/>
        </w:rPr>
        <w:t>能</w:t>
      </w:r>
      <w:r>
        <w:rPr>
          <w:rFonts w:ascii="仿宋" w:eastAsia="仿宋" w:hAnsi="仿宋" w:cs="仿宋"/>
          <w:spacing w:val="-35"/>
          <w:sz w:val="22"/>
          <w:szCs w:val="22"/>
        </w:rPr>
        <w:t xml:space="preserve"> </w:t>
      </w:r>
      <w:r>
        <w:rPr>
          <w:rFonts w:ascii="仿宋" w:eastAsia="仿宋" w:hAnsi="仿宋" w:cs="仿宋"/>
          <w:spacing w:val="-13"/>
          <w:sz w:val="22"/>
          <w:szCs w:val="22"/>
        </w:rPr>
        <w:t>量</w:t>
      </w:r>
    </w:p>
    <w:p w:rsidR="00EA40A3" w:rsidRDefault="00E86C16">
      <w:pPr>
        <w:spacing w:before="207" w:line="249" w:lineRule="auto"/>
        <w:ind w:firstLine="469"/>
        <w:jc w:val="both"/>
        <w:rPr>
          <w:rFonts w:ascii="宋体" w:eastAsia="宋体" w:hAnsi="宋体" w:cs="宋体"/>
          <w:sz w:val="22"/>
          <w:szCs w:val="22"/>
        </w:rPr>
      </w:pPr>
      <w:r>
        <w:rPr>
          <w:rFonts w:ascii="宋体" w:eastAsia="宋体" w:hAnsi="宋体" w:cs="宋体"/>
          <w:spacing w:val="-10"/>
          <w:sz w:val="22"/>
          <w:szCs w:val="22"/>
        </w:rPr>
        <w:t>老年人基础代谢率降低，体力活动减少以及体脂肪增多和去脂组织减少等，</w:t>
      </w:r>
      <w:r>
        <w:rPr>
          <w:rFonts w:ascii="宋体" w:eastAsia="宋体" w:hAnsi="宋体" w:cs="宋体"/>
          <w:sz w:val="22"/>
          <w:szCs w:val="22"/>
        </w:rPr>
        <w:t xml:space="preserve"> </w:t>
      </w:r>
      <w:r>
        <w:rPr>
          <w:rFonts w:ascii="宋体" w:eastAsia="宋体" w:hAnsi="宋体" w:cs="宋体"/>
          <w:spacing w:val="-7"/>
          <w:sz w:val="22"/>
          <w:szCs w:val="22"/>
        </w:rPr>
        <w:t>因此对能量的需要量降低。相比中青年时期，60岁的老年人对能量的需要减少</w:t>
      </w:r>
      <w:r>
        <w:rPr>
          <w:rFonts w:ascii="宋体" w:eastAsia="宋体" w:hAnsi="宋体" w:cs="宋体"/>
          <w:spacing w:val="6"/>
          <w:sz w:val="22"/>
          <w:szCs w:val="22"/>
        </w:rPr>
        <w:t xml:space="preserve">  </w:t>
      </w:r>
      <w:r>
        <w:rPr>
          <w:rFonts w:ascii="宋体" w:eastAsia="宋体" w:hAnsi="宋体" w:cs="宋体"/>
          <w:spacing w:val="2"/>
          <w:sz w:val="22"/>
          <w:szCs w:val="22"/>
        </w:rPr>
        <w:t>了20%,70岁以后可减少30%。过多的能量摄入可能导致老年人肥胖，并引起</w:t>
      </w:r>
      <w:r>
        <w:rPr>
          <w:rFonts w:ascii="宋体" w:eastAsia="宋体" w:hAnsi="宋体" w:cs="宋体"/>
          <w:spacing w:val="7"/>
          <w:sz w:val="22"/>
          <w:szCs w:val="22"/>
        </w:rPr>
        <w:t xml:space="preserve">  </w:t>
      </w:r>
      <w:r>
        <w:rPr>
          <w:rFonts w:ascii="宋体" w:eastAsia="宋体" w:hAnsi="宋体" w:cs="宋体"/>
          <w:spacing w:val="-11"/>
          <w:sz w:val="22"/>
          <w:szCs w:val="22"/>
        </w:rPr>
        <w:t>与代谢相关的多种疾病。根据2000年中国营养学会推荐，</w:t>
      </w:r>
      <w:r>
        <w:rPr>
          <w:rFonts w:ascii="宋体" w:eastAsia="宋体" w:hAnsi="宋体" w:cs="宋体"/>
          <w:spacing w:val="67"/>
          <w:sz w:val="22"/>
          <w:szCs w:val="22"/>
        </w:rPr>
        <w:t xml:space="preserve"> </w:t>
      </w:r>
      <w:r>
        <w:rPr>
          <w:rFonts w:ascii="宋体" w:eastAsia="宋体" w:hAnsi="宋体" w:cs="宋体"/>
          <w:spacing w:val="-11"/>
          <w:sz w:val="22"/>
          <w:szCs w:val="22"/>
        </w:rPr>
        <w:t>一般情况下，60～80</w:t>
      </w:r>
      <w:r>
        <w:rPr>
          <w:rFonts w:ascii="宋体" w:eastAsia="宋体" w:hAnsi="宋体" w:cs="宋体"/>
          <w:sz w:val="22"/>
          <w:szCs w:val="22"/>
        </w:rPr>
        <w:t xml:space="preserve">  </w:t>
      </w:r>
      <w:r>
        <w:rPr>
          <w:rFonts w:ascii="宋体" w:eastAsia="宋体" w:hAnsi="宋体" w:cs="宋体"/>
          <w:spacing w:val="-5"/>
          <w:sz w:val="22"/>
          <w:szCs w:val="22"/>
        </w:rPr>
        <w:t>岁男性老年人的推荐能量摄入量为1900kcal/d;</w:t>
      </w:r>
      <w:r>
        <w:rPr>
          <w:rFonts w:ascii="宋体" w:eastAsia="宋体" w:hAnsi="宋体" w:cs="宋体"/>
          <w:spacing w:val="-53"/>
          <w:sz w:val="22"/>
          <w:szCs w:val="22"/>
        </w:rPr>
        <w:t xml:space="preserve"> </w:t>
      </w:r>
      <w:r>
        <w:rPr>
          <w:rFonts w:ascii="宋体" w:eastAsia="宋体" w:hAnsi="宋体" w:cs="宋体"/>
          <w:spacing w:val="-5"/>
          <w:sz w:val="22"/>
          <w:szCs w:val="22"/>
        </w:rPr>
        <w:t>女性</w:t>
      </w:r>
      <w:r>
        <w:rPr>
          <w:rFonts w:ascii="宋体" w:eastAsia="宋体" w:hAnsi="宋体" w:cs="宋体"/>
          <w:spacing w:val="-6"/>
          <w:sz w:val="22"/>
          <w:szCs w:val="22"/>
        </w:rPr>
        <w:t>在60岁阶段为1800</w:t>
      </w:r>
      <w:r>
        <w:rPr>
          <w:rFonts w:ascii="宋体" w:eastAsia="宋体" w:hAnsi="宋体" w:cs="宋体"/>
          <w:spacing w:val="-5"/>
          <w:sz w:val="22"/>
          <w:szCs w:val="22"/>
        </w:rPr>
        <w:t>kcal</w:t>
      </w:r>
      <w:r>
        <w:rPr>
          <w:rFonts w:ascii="宋体" w:eastAsia="宋体" w:hAnsi="宋体" w:cs="宋体"/>
          <w:spacing w:val="-6"/>
          <w:sz w:val="22"/>
          <w:szCs w:val="22"/>
        </w:rPr>
        <w:t>/d,</w:t>
      </w:r>
      <w:r>
        <w:rPr>
          <w:rFonts w:ascii="宋体" w:eastAsia="宋体" w:hAnsi="宋体" w:cs="宋体"/>
          <w:sz w:val="22"/>
          <w:szCs w:val="22"/>
        </w:rPr>
        <w:t xml:space="preserve">  </w:t>
      </w:r>
      <w:r>
        <w:rPr>
          <w:rFonts w:ascii="宋体" w:eastAsia="宋体" w:hAnsi="宋体" w:cs="宋体"/>
          <w:spacing w:val="-10"/>
          <w:sz w:val="22"/>
          <w:szCs w:val="22"/>
        </w:rPr>
        <w:t>70岁以后降为1700kcal/d。</w:t>
      </w:r>
      <w:r>
        <w:rPr>
          <w:rFonts w:ascii="宋体" w:eastAsia="宋体" w:hAnsi="宋体" w:cs="宋体"/>
          <w:spacing w:val="-62"/>
          <w:sz w:val="22"/>
          <w:szCs w:val="22"/>
        </w:rPr>
        <w:t xml:space="preserve"> </w:t>
      </w:r>
      <w:r>
        <w:rPr>
          <w:rFonts w:ascii="宋体" w:eastAsia="宋体" w:hAnsi="宋体" w:cs="宋体"/>
          <w:spacing w:val="-10"/>
          <w:sz w:val="22"/>
          <w:szCs w:val="22"/>
        </w:rPr>
        <w:t>如果在老年阶段的不同时期有不同程度的体力活动，</w:t>
      </w:r>
      <w:r>
        <w:rPr>
          <w:rFonts w:ascii="宋体" w:eastAsia="宋体" w:hAnsi="宋体" w:cs="宋体"/>
          <w:sz w:val="22"/>
          <w:szCs w:val="22"/>
        </w:rPr>
        <w:t xml:space="preserve"> </w:t>
      </w:r>
      <w:r>
        <w:rPr>
          <w:rFonts w:ascii="宋体" w:eastAsia="宋体" w:hAnsi="宋体" w:cs="宋体"/>
          <w:spacing w:val="-4"/>
          <w:sz w:val="22"/>
          <w:szCs w:val="22"/>
        </w:rPr>
        <w:t>则能量的摄入量按60～69岁、70～79岁、80以上三个年龄段进行不同的划分。</w:t>
      </w:r>
      <w:r>
        <w:rPr>
          <w:rFonts w:ascii="宋体" w:eastAsia="宋体" w:hAnsi="宋体" w:cs="宋体"/>
          <w:spacing w:val="14"/>
          <w:sz w:val="22"/>
          <w:szCs w:val="22"/>
        </w:rPr>
        <w:t xml:space="preserve"> </w:t>
      </w:r>
      <w:r>
        <w:rPr>
          <w:rFonts w:ascii="宋体" w:eastAsia="宋体" w:hAnsi="宋体" w:cs="宋体"/>
          <w:spacing w:val="-4"/>
          <w:sz w:val="22"/>
          <w:szCs w:val="22"/>
        </w:rPr>
        <w:t>轻体力活动的老人其能量需要量同一般老年人；如果从事中体力劳动，则60</w:t>
      </w:r>
      <w:r>
        <w:rPr>
          <w:rFonts w:ascii="宋体" w:eastAsia="宋体" w:hAnsi="宋体" w:cs="宋体"/>
          <w:spacing w:val="-5"/>
          <w:sz w:val="22"/>
          <w:szCs w:val="22"/>
        </w:rPr>
        <w:t>~</w:t>
      </w:r>
      <w:r>
        <w:rPr>
          <w:rFonts w:ascii="宋体" w:eastAsia="宋体" w:hAnsi="宋体" w:cs="宋体"/>
          <w:sz w:val="22"/>
          <w:szCs w:val="22"/>
        </w:rPr>
        <w:t xml:space="preserve">  </w:t>
      </w:r>
      <w:r>
        <w:rPr>
          <w:rFonts w:ascii="宋体" w:eastAsia="宋体" w:hAnsi="宋体" w:cs="宋体"/>
          <w:spacing w:val="-1"/>
          <w:sz w:val="22"/>
          <w:szCs w:val="22"/>
        </w:rPr>
        <w:t>69岁老人男性的能量摄入增加到2200kcal/d,女性为2000kcal/d;</w:t>
      </w:r>
      <w:r>
        <w:rPr>
          <w:rFonts w:ascii="宋体" w:eastAsia="宋体" w:hAnsi="宋体" w:cs="宋体"/>
          <w:spacing w:val="-2"/>
          <w:sz w:val="22"/>
          <w:szCs w:val="22"/>
        </w:rPr>
        <w:t>70～79</w:t>
      </w:r>
      <w:r>
        <w:rPr>
          <w:rFonts w:ascii="宋体" w:eastAsia="宋体" w:hAnsi="宋体" w:cs="宋体"/>
          <w:spacing w:val="-64"/>
          <w:sz w:val="22"/>
          <w:szCs w:val="22"/>
        </w:rPr>
        <w:t xml:space="preserve"> </w:t>
      </w:r>
      <w:r>
        <w:rPr>
          <w:rFonts w:ascii="宋体" w:eastAsia="宋体" w:hAnsi="宋体" w:cs="宋体"/>
          <w:spacing w:val="-2"/>
          <w:sz w:val="22"/>
          <w:szCs w:val="22"/>
        </w:rPr>
        <w:t>岁老</w:t>
      </w:r>
      <w:r>
        <w:rPr>
          <w:rFonts w:ascii="宋体" w:eastAsia="宋体" w:hAnsi="宋体" w:cs="宋体"/>
          <w:sz w:val="22"/>
          <w:szCs w:val="22"/>
        </w:rPr>
        <w:t xml:space="preserve">  </w:t>
      </w:r>
      <w:r>
        <w:rPr>
          <w:rFonts w:ascii="宋体" w:eastAsia="宋体" w:hAnsi="宋体" w:cs="宋体"/>
          <w:spacing w:val="-10"/>
          <w:sz w:val="22"/>
          <w:szCs w:val="22"/>
        </w:rPr>
        <w:t>人男性的能量摄入量为2100kcal/d,女性为1900kcal/d。</w:t>
      </w:r>
      <w:r>
        <w:rPr>
          <w:rFonts w:ascii="宋体" w:eastAsia="宋体" w:hAnsi="宋体" w:cs="宋体"/>
          <w:spacing w:val="-63"/>
          <w:sz w:val="22"/>
          <w:szCs w:val="22"/>
        </w:rPr>
        <w:t xml:space="preserve"> </w:t>
      </w:r>
      <w:r>
        <w:rPr>
          <w:rFonts w:ascii="宋体" w:eastAsia="宋体" w:hAnsi="宋体" w:cs="宋体"/>
          <w:spacing w:val="-10"/>
          <w:sz w:val="22"/>
          <w:szCs w:val="22"/>
        </w:rPr>
        <w:t>需要说明的是，老年人</w:t>
      </w:r>
      <w:r>
        <w:rPr>
          <w:rFonts w:ascii="宋体" w:eastAsia="宋体" w:hAnsi="宋体" w:cs="宋体"/>
          <w:sz w:val="22"/>
          <w:szCs w:val="22"/>
        </w:rPr>
        <w:t xml:space="preserve">   </w:t>
      </w:r>
      <w:r>
        <w:rPr>
          <w:rFonts w:ascii="宋体" w:eastAsia="宋体" w:hAnsi="宋体" w:cs="宋体"/>
          <w:spacing w:val="-13"/>
          <w:sz w:val="22"/>
          <w:szCs w:val="22"/>
        </w:rPr>
        <w:t>个体差异及生活模式不同，对能量摄入量也有很大不同，经常进行适宜体力活</w:t>
      </w:r>
      <w:r>
        <w:rPr>
          <w:rFonts w:ascii="宋体" w:eastAsia="宋体" w:hAnsi="宋体" w:cs="宋体"/>
          <w:spacing w:val="-14"/>
          <w:sz w:val="22"/>
          <w:szCs w:val="22"/>
        </w:rPr>
        <w:t>动</w:t>
      </w:r>
      <w:r>
        <w:rPr>
          <w:rFonts w:ascii="宋体" w:eastAsia="宋体" w:hAnsi="宋体" w:cs="宋体"/>
          <w:sz w:val="22"/>
          <w:szCs w:val="22"/>
        </w:rPr>
        <w:t xml:space="preserve">  </w:t>
      </w:r>
      <w:r>
        <w:rPr>
          <w:rFonts w:ascii="宋体" w:eastAsia="宋体" w:hAnsi="宋体" w:cs="宋体"/>
          <w:spacing w:val="-13"/>
          <w:sz w:val="22"/>
          <w:szCs w:val="22"/>
        </w:rPr>
        <w:t>或运动的老年人，其对能量的摄入比一般推荐值要高。</w:t>
      </w:r>
    </w:p>
    <w:p w:rsidR="00EA40A3" w:rsidRDefault="00E86C16">
      <w:pPr>
        <w:spacing w:before="107"/>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332</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979" w:bottom="400" w:left="840" w:header="0" w:footer="0" w:gutter="0"/>
          <w:cols w:space="720"/>
        </w:sectPr>
      </w:pPr>
    </w:p>
    <w:p w:rsidR="00EA40A3" w:rsidRDefault="00EA40A3">
      <w:pPr>
        <w:spacing w:line="254" w:lineRule="auto"/>
      </w:pPr>
    </w:p>
    <w:p w:rsidR="00EA40A3" w:rsidRDefault="00EA40A3">
      <w:pPr>
        <w:spacing w:line="255" w:lineRule="auto"/>
      </w:pPr>
    </w:p>
    <w:p w:rsidR="00EA40A3" w:rsidRDefault="00EA40A3">
      <w:pPr>
        <w:spacing w:line="255" w:lineRule="auto"/>
      </w:pPr>
    </w:p>
    <w:p w:rsidR="00EA40A3" w:rsidRDefault="00E86C16">
      <w:pPr>
        <w:spacing w:before="71" w:line="224"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19"/>
          <w:sz w:val="22"/>
          <w:szCs w:val="22"/>
        </w:rPr>
        <w:t xml:space="preserve"> </w:t>
      </w:r>
      <w:r>
        <w:rPr>
          <w:rFonts w:ascii="仿宋" w:eastAsia="仿宋" w:hAnsi="仿宋" w:cs="仿宋"/>
          <w:spacing w:val="12"/>
          <w:sz w:val="22"/>
          <w:szCs w:val="22"/>
        </w:rPr>
        <w:t>蛋白质</w:t>
      </w:r>
    </w:p>
    <w:p w:rsidR="00EA40A3" w:rsidRDefault="00E86C16">
      <w:pPr>
        <w:spacing w:before="165" w:line="249" w:lineRule="auto"/>
        <w:ind w:firstLine="399"/>
        <w:jc w:val="both"/>
        <w:rPr>
          <w:rFonts w:ascii="宋体" w:eastAsia="宋体" w:hAnsi="宋体" w:cs="宋体"/>
          <w:sz w:val="22"/>
          <w:szCs w:val="22"/>
        </w:rPr>
      </w:pPr>
      <w:r>
        <w:rPr>
          <w:rFonts w:ascii="宋体" w:eastAsia="宋体" w:hAnsi="宋体" w:cs="宋体"/>
          <w:spacing w:val="-13"/>
          <w:sz w:val="22"/>
          <w:szCs w:val="22"/>
        </w:rPr>
        <w:t>老年人消化系统功能减弱，对蛋白质的消化吸收及利用率降低，因而体内蛋</w:t>
      </w:r>
      <w:r>
        <w:rPr>
          <w:rFonts w:ascii="宋体" w:eastAsia="宋体" w:hAnsi="宋体" w:cs="宋体"/>
          <w:spacing w:val="3"/>
          <w:sz w:val="22"/>
          <w:szCs w:val="22"/>
        </w:rPr>
        <w:t xml:space="preserve">  </w:t>
      </w:r>
      <w:r>
        <w:rPr>
          <w:rFonts w:ascii="宋体" w:eastAsia="宋体" w:hAnsi="宋体" w:cs="宋体"/>
          <w:spacing w:val="-7"/>
          <w:sz w:val="22"/>
          <w:szCs w:val="22"/>
        </w:rPr>
        <w:t>白质的分解代谢超过了合成代谢，当膳食蛋白质不足时，老年人易出现负</w:t>
      </w:r>
      <w:r>
        <w:rPr>
          <w:rFonts w:ascii="宋体" w:eastAsia="宋体" w:hAnsi="宋体" w:cs="宋体"/>
          <w:spacing w:val="-8"/>
          <w:sz w:val="22"/>
          <w:szCs w:val="22"/>
        </w:rPr>
        <w:t>氮平</w:t>
      </w:r>
      <w:r>
        <w:rPr>
          <w:rFonts w:ascii="宋体" w:eastAsia="宋体" w:hAnsi="宋体" w:cs="宋体"/>
          <w:sz w:val="22"/>
          <w:szCs w:val="22"/>
        </w:rPr>
        <w:t xml:space="preserve">  </w:t>
      </w:r>
      <w:r>
        <w:rPr>
          <w:rFonts w:ascii="宋体" w:eastAsia="宋体" w:hAnsi="宋体" w:cs="宋体"/>
          <w:spacing w:val="-13"/>
          <w:sz w:val="22"/>
          <w:szCs w:val="22"/>
        </w:rPr>
        <w:t>衡。蛋白质的不足会引起老年人免疫能力下降，对疾病的抵抗能力减弱，并且会</w:t>
      </w:r>
      <w:r>
        <w:rPr>
          <w:rFonts w:ascii="宋体" w:eastAsia="宋体" w:hAnsi="宋体" w:cs="宋体"/>
          <w:spacing w:val="6"/>
          <w:sz w:val="22"/>
          <w:szCs w:val="22"/>
        </w:rPr>
        <w:t xml:space="preserve">  </w:t>
      </w:r>
      <w:r>
        <w:rPr>
          <w:rFonts w:ascii="宋体" w:eastAsia="宋体" w:hAnsi="宋体" w:cs="宋体"/>
          <w:spacing w:val="-13"/>
          <w:sz w:val="22"/>
          <w:szCs w:val="22"/>
        </w:rPr>
        <w:t>加重器官的衰老。因此，老年人应有足量的蛋白质供应。按体重计，老年人对蛋</w:t>
      </w:r>
      <w:r>
        <w:rPr>
          <w:rFonts w:ascii="宋体" w:eastAsia="宋体" w:hAnsi="宋体" w:cs="宋体"/>
          <w:spacing w:val="6"/>
          <w:sz w:val="22"/>
          <w:szCs w:val="22"/>
        </w:rPr>
        <w:t xml:space="preserve">  </w:t>
      </w:r>
      <w:r>
        <w:rPr>
          <w:rFonts w:ascii="宋体" w:eastAsia="宋体" w:hAnsi="宋体" w:cs="宋体"/>
          <w:spacing w:val="-10"/>
          <w:sz w:val="22"/>
          <w:szCs w:val="22"/>
        </w:rPr>
        <w:t>白质的需要量约为1.27g/(kg</w:t>
      </w:r>
      <w:r>
        <w:rPr>
          <w:rFonts w:ascii="宋体" w:eastAsia="宋体" w:hAnsi="宋体" w:cs="宋体"/>
          <w:spacing w:val="-16"/>
          <w:sz w:val="22"/>
          <w:szCs w:val="22"/>
        </w:rPr>
        <w:t xml:space="preserve"> </w:t>
      </w:r>
      <w:r>
        <w:rPr>
          <w:rFonts w:ascii="宋体" w:eastAsia="宋体" w:hAnsi="宋体" w:cs="宋体"/>
          <w:spacing w:val="-10"/>
          <w:sz w:val="22"/>
          <w:szCs w:val="22"/>
        </w:rPr>
        <w:t>·d)。</w:t>
      </w:r>
      <w:r>
        <w:rPr>
          <w:rFonts w:ascii="宋体" w:eastAsia="宋体" w:hAnsi="宋体" w:cs="宋体"/>
          <w:spacing w:val="53"/>
          <w:sz w:val="22"/>
          <w:szCs w:val="22"/>
        </w:rPr>
        <w:t xml:space="preserve"> </w:t>
      </w:r>
      <w:r>
        <w:rPr>
          <w:rFonts w:ascii="宋体" w:eastAsia="宋体" w:hAnsi="宋体" w:cs="宋体"/>
          <w:spacing w:val="-10"/>
          <w:sz w:val="22"/>
          <w:szCs w:val="22"/>
        </w:rPr>
        <w:t>中国营养学会推荐的老年人蛋白质摄入量</w:t>
      </w:r>
      <w:r>
        <w:rPr>
          <w:rFonts w:ascii="宋体" w:eastAsia="宋体" w:hAnsi="宋体" w:cs="宋体"/>
          <w:sz w:val="22"/>
          <w:szCs w:val="22"/>
        </w:rPr>
        <w:t xml:space="preserve">  RNI</w:t>
      </w:r>
      <w:r>
        <w:rPr>
          <w:rFonts w:ascii="宋体" w:eastAsia="宋体" w:hAnsi="宋体" w:cs="宋体"/>
          <w:spacing w:val="-6"/>
          <w:sz w:val="22"/>
          <w:szCs w:val="22"/>
        </w:rPr>
        <w:t xml:space="preserve"> </w:t>
      </w:r>
      <w:r>
        <w:rPr>
          <w:rFonts w:ascii="宋体" w:eastAsia="宋体" w:hAnsi="宋体" w:cs="宋体"/>
          <w:sz w:val="22"/>
          <w:szCs w:val="22"/>
        </w:rPr>
        <w:t>值男性为75g/d,</w:t>
      </w:r>
      <w:r>
        <w:rPr>
          <w:rFonts w:ascii="宋体" w:eastAsia="宋体" w:hAnsi="宋体" w:cs="宋体"/>
          <w:spacing w:val="-18"/>
          <w:sz w:val="22"/>
          <w:szCs w:val="22"/>
        </w:rPr>
        <w:t xml:space="preserve"> </w:t>
      </w:r>
      <w:r>
        <w:rPr>
          <w:rFonts w:ascii="宋体" w:eastAsia="宋体" w:hAnsi="宋体" w:cs="宋体"/>
          <w:sz w:val="22"/>
          <w:szCs w:val="22"/>
        </w:rPr>
        <w:t>女性为65g/d,</w:t>
      </w:r>
      <w:r>
        <w:rPr>
          <w:rFonts w:ascii="宋体" w:eastAsia="宋体" w:hAnsi="宋体" w:cs="宋体"/>
          <w:spacing w:val="-7"/>
          <w:sz w:val="22"/>
          <w:szCs w:val="22"/>
        </w:rPr>
        <w:t xml:space="preserve"> </w:t>
      </w:r>
      <w:r>
        <w:rPr>
          <w:rFonts w:ascii="宋体" w:eastAsia="宋体" w:hAnsi="宋体" w:cs="宋体"/>
          <w:sz w:val="22"/>
          <w:szCs w:val="22"/>
        </w:rPr>
        <w:t xml:space="preserve">其提供能量占膳食总能量的15%。同样， </w:t>
      </w:r>
      <w:r>
        <w:rPr>
          <w:rFonts w:ascii="宋体" w:eastAsia="宋体" w:hAnsi="宋体" w:cs="宋体"/>
          <w:spacing w:val="-13"/>
          <w:sz w:val="22"/>
          <w:szCs w:val="22"/>
        </w:rPr>
        <w:t>针对从事不同体力活动的老年人，其对蛋白质的需要量也有所不同。另外，在保</w:t>
      </w:r>
      <w:r>
        <w:rPr>
          <w:rFonts w:ascii="宋体" w:eastAsia="宋体" w:hAnsi="宋体" w:cs="宋体"/>
          <w:spacing w:val="5"/>
          <w:sz w:val="22"/>
          <w:szCs w:val="22"/>
        </w:rPr>
        <w:t xml:space="preserve">  </w:t>
      </w:r>
      <w:r>
        <w:rPr>
          <w:rFonts w:ascii="宋体" w:eastAsia="宋体" w:hAnsi="宋体" w:cs="宋体"/>
          <w:spacing w:val="-6"/>
          <w:sz w:val="22"/>
          <w:szCs w:val="22"/>
        </w:rPr>
        <w:t>证数量的前提下，要求摄入总蛋白当中至少1/3～1/2为优质蛋白质，如鱼、瘦</w:t>
      </w:r>
      <w:r>
        <w:rPr>
          <w:rFonts w:ascii="宋体" w:eastAsia="宋体" w:hAnsi="宋体" w:cs="宋体"/>
          <w:sz w:val="22"/>
          <w:szCs w:val="22"/>
        </w:rPr>
        <w:t xml:space="preserve">  </w:t>
      </w:r>
      <w:r>
        <w:rPr>
          <w:rFonts w:ascii="宋体" w:eastAsia="宋体" w:hAnsi="宋体" w:cs="宋体"/>
          <w:spacing w:val="-10"/>
          <w:sz w:val="22"/>
          <w:szCs w:val="22"/>
        </w:rPr>
        <w:t>肉、蛋、奶类和大豆制品。但老年人蛋白质的摄入量不宜过多，以免加重肝脏、</w:t>
      </w:r>
      <w:r>
        <w:rPr>
          <w:rFonts w:ascii="宋体" w:eastAsia="宋体" w:hAnsi="宋体" w:cs="宋体"/>
          <w:spacing w:val="8"/>
          <w:sz w:val="22"/>
          <w:szCs w:val="22"/>
        </w:rPr>
        <w:t xml:space="preserve"> </w:t>
      </w:r>
      <w:r>
        <w:rPr>
          <w:rFonts w:ascii="宋体" w:eastAsia="宋体" w:hAnsi="宋体" w:cs="宋体"/>
          <w:spacing w:val="-20"/>
          <w:sz w:val="22"/>
          <w:szCs w:val="22"/>
        </w:rPr>
        <w:t>肾脏负担。</w:t>
      </w:r>
    </w:p>
    <w:p w:rsidR="00EA40A3" w:rsidRDefault="00E86C16">
      <w:pPr>
        <w:spacing w:before="248" w:line="223" w:lineRule="auto"/>
        <w:rPr>
          <w:rFonts w:ascii="仿宋" w:eastAsia="仿宋" w:hAnsi="仿宋" w:cs="仿宋"/>
          <w:sz w:val="22"/>
          <w:szCs w:val="22"/>
        </w:rPr>
      </w:pPr>
      <w:r>
        <w:rPr>
          <w:rFonts w:ascii="仿宋" w:eastAsia="仿宋" w:hAnsi="仿宋" w:cs="仿宋"/>
          <w:spacing w:val="3"/>
          <w:sz w:val="22"/>
          <w:szCs w:val="22"/>
        </w:rPr>
        <w:t>3.</w:t>
      </w:r>
      <w:r>
        <w:rPr>
          <w:rFonts w:ascii="仿宋" w:eastAsia="仿宋" w:hAnsi="仿宋" w:cs="仿宋"/>
          <w:spacing w:val="-17"/>
          <w:sz w:val="22"/>
          <w:szCs w:val="22"/>
        </w:rPr>
        <w:t xml:space="preserve"> </w:t>
      </w:r>
      <w:r>
        <w:rPr>
          <w:rFonts w:ascii="仿宋" w:eastAsia="仿宋" w:hAnsi="仿宋" w:cs="仿宋"/>
          <w:spacing w:val="3"/>
          <w:sz w:val="22"/>
          <w:szCs w:val="22"/>
        </w:rPr>
        <w:t>脂类</w:t>
      </w:r>
    </w:p>
    <w:p w:rsidR="00EA40A3" w:rsidRDefault="00E86C16">
      <w:pPr>
        <w:spacing w:before="217" w:line="244" w:lineRule="auto"/>
        <w:ind w:firstLine="399"/>
        <w:rPr>
          <w:rFonts w:ascii="宋体" w:eastAsia="宋体" w:hAnsi="宋体" w:cs="宋体"/>
          <w:sz w:val="22"/>
          <w:szCs w:val="22"/>
        </w:rPr>
      </w:pPr>
      <w:r>
        <w:rPr>
          <w:rFonts w:ascii="宋体" w:eastAsia="宋体" w:hAnsi="宋体" w:cs="宋体"/>
          <w:spacing w:val="-8"/>
          <w:sz w:val="22"/>
          <w:szCs w:val="22"/>
        </w:rPr>
        <w:t>老年人脂肪的摄入不宜过多，特别要限制高胆固醇、高</w:t>
      </w:r>
      <w:r>
        <w:rPr>
          <w:rFonts w:ascii="宋体" w:eastAsia="宋体" w:hAnsi="宋体" w:cs="宋体"/>
          <w:spacing w:val="-9"/>
          <w:sz w:val="22"/>
          <w:szCs w:val="22"/>
        </w:rPr>
        <w:t>饱和脂肪酸</w:t>
      </w:r>
      <w:r>
        <w:rPr>
          <w:rFonts w:ascii="宋体" w:eastAsia="宋体" w:hAnsi="宋体" w:cs="宋体"/>
          <w:spacing w:val="-10"/>
          <w:sz w:val="22"/>
          <w:szCs w:val="22"/>
        </w:rPr>
        <w:t xml:space="preserve"> </w:t>
      </w:r>
      <w:r>
        <w:rPr>
          <w:rFonts w:ascii="宋体" w:eastAsia="宋体" w:hAnsi="宋体" w:cs="宋体"/>
          <w:spacing w:val="-9"/>
          <w:sz w:val="22"/>
          <w:szCs w:val="22"/>
        </w:rPr>
        <w:t>(</w:t>
      </w:r>
      <w:r>
        <w:rPr>
          <w:rFonts w:ascii="宋体" w:eastAsia="宋体" w:hAnsi="宋体" w:cs="宋体"/>
          <w:spacing w:val="-8"/>
          <w:sz w:val="22"/>
          <w:szCs w:val="22"/>
        </w:rPr>
        <w:t>SFA</w:t>
      </w:r>
      <w:r>
        <w:rPr>
          <w:rFonts w:ascii="宋体" w:eastAsia="宋体" w:hAnsi="宋体" w:cs="宋体"/>
          <w:spacing w:val="-9"/>
          <w:sz w:val="22"/>
          <w:szCs w:val="22"/>
        </w:rPr>
        <w:t>)</w:t>
      </w:r>
      <w:r>
        <w:rPr>
          <w:rFonts w:ascii="宋体" w:eastAsia="宋体" w:hAnsi="宋体" w:cs="宋体"/>
          <w:sz w:val="22"/>
          <w:szCs w:val="22"/>
        </w:rPr>
        <w:t xml:space="preserve">   </w:t>
      </w:r>
      <w:r>
        <w:rPr>
          <w:rFonts w:ascii="宋体" w:eastAsia="宋体" w:hAnsi="宋体" w:cs="宋体"/>
          <w:spacing w:val="-13"/>
          <w:sz w:val="22"/>
          <w:szCs w:val="22"/>
        </w:rPr>
        <w:t>的食物，如动物性油脂、动物肝脏、脑、蛋黄等的摄入。但同时，适量的脂肪能</w:t>
      </w:r>
      <w:r>
        <w:rPr>
          <w:rFonts w:ascii="宋体" w:eastAsia="宋体" w:hAnsi="宋体" w:cs="宋体"/>
          <w:spacing w:val="7"/>
          <w:sz w:val="22"/>
          <w:szCs w:val="22"/>
        </w:rPr>
        <w:t xml:space="preserve">  </w:t>
      </w:r>
      <w:r>
        <w:rPr>
          <w:rFonts w:ascii="宋体" w:eastAsia="宋体" w:hAnsi="宋体" w:cs="宋体"/>
          <w:spacing w:val="-13"/>
          <w:sz w:val="22"/>
          <w:szCs w:val="22"/>
        </w:rPr>
        <w:t>够增加食物的风味、口感，从而增进老年人的食欲，并有助于脂溶性维生素的吸</w:t>
      </w:r>
      <w:r>
        <w:rPr>
          <w:rFonts w:ascii="宋体" w:eastAsia="宋体" w:hAnsi="宋体" w:cs="宋体"/>
          <w:spacing w:val="6"/>
          <w:sz w:val="22"/>
          <w:szCs w:val="22"/>
        </w:rPr>
        <w:t xml:space="preserve">  </w:t>
      </w:r>
      <w:r>
        <w:rPr>
          <w:rFonts w:ascii="宋体" w:eastAsia="宋体" w:hAnsi="宋体" w:cs="宋体"/>
          <w:spacing w:val="-3"/>
          <w:sz w:val="22"/>
          <w:szCs w:val="22"/>
        </w:rPr>
        <w:t>收。中国营养学会建议老年人摄入脂肪的供热比以占总能量的</w:t>
      </w:r>
      <w:r>
        <w:rPr>
          <w:rFonts w:ascii="宋体" w:eastAsia="宋体" w:hAnsi="宋体" w:cs="宋体"/>
          <w:spacing w:val="-4"/>
          <w:sz w:val="22"/>
          <w:szCs w:val="22"/>
        </w:rPr>
        <w:t>20%～30%为宜，</w:t>
      </w:r>
      <w:r>
        <w:rPr>
          <w:rFonts w:ascii="宋体" w:eastAsia="宋体" w:hAnsi="宋体" w:cs="宋体"/>
          <w:sz w:val="22"/>
          <w:szCs w:val="22"/>
        </w:rPr>
        <w:t xml:space="preserve"> </w:t>
      </w:r>
      <w:r>
        <w:rPr>
          <w:rFonts w:ascii="宋体" w:eastAsia="宋体" w:hAnsi="宋体" w:cs="宋体"/>
          <w:spacing w:val="-10"/>
          <w:sz w:val="22"/>
          <w:szCs w:val="22"/>
        </w:rPr>
        <w:t>其来源应以含多不饱和脂肪酸</w:t>
      </w:r>
      <w:r>
        <w:rPr>
          <w:rFonts w:ascii="宋体" w:eastAsia="宋体" w:hAnsi="宋体" w:cs="宋体"/>
          <w:spacing w:val="-19"/>
          <w:sz w:val="22"/>
          <w:szCs w:val="22"/>
        </w:rPr>
        <w:t xml:space="preserve"> </w:t>
      </w:r>
      <w:r>
        <w:rPr>
          <w:rFonts w:ascii="宋体" w:eastAsia="宋体" w:hAnsi="宋体" w:cs="宋体"/>
          <w:spacing w:val="-10"/>
          <w:sz w:val="22"/>
          <w:szCs w:val="22"/>
        </w:rPr>
        <w:t>(PUFA)</w:t>
      </w:r>
      <w:r>
        <w:rPr>
          <w:rFonts w:ascii="宋体" w:eastAsia="宋体" w:hAnsi="宋体" w:cs="宋体"/>
          <w:spacing w:val="28"/>
          <w:sz w:val="22"/>
          <w:szCs w:val="22"/>
        </w:rPr>
        <w:t xml:space="preserve">  </w:t>
      </w:r>
      <w:r>
        <w:rPr>
          <w:rFonts w:ascii="宋体" w:eastAsia="宋体" w:hAnsi="宋体" w:cs="宋体"/>
          <w:spacing w:val="-10"/>
          <w:sz w:val="22"/>
          <w:szCs w:val="22"/>
        </w:rPr>
        <w:t>的植物油为主，并且饱和脂肪酸不宜多</w:t>
      </w:r>
      <w:r>
        <w:rPr>
          <w:rFonts w:ascii="宋体" w:eastAsia="宋体" w:hAnsi="宋体" w:cs="宋体"/>
          <w:sz w:val="22"/>
          <w:szCs w:val="22"/>
        </w:rPr>
        <w:t xml:space="preserve">  </w:t>
      </w:r>
      <w:r>
        <w:rPr>
          <w:rFonts w:ascii="宋体" w:eastAsia="宋体" w:hAnsi="宋体" w:cs="宋体"/>
          <w:spacing w:val="3"/>
          <w:sz w:val="22"/>
          <w:szCs w:val="22"/>
        </w:rPr>
        <w:t>于总能量的10%,胆固醇的摄入量应小于3</w:t>
      </w:r>
      <w:r>
        <w:rPr>
          <w:rFonts w:ascii="宋体" w:eastAsia="宋体" w:hAnsi="宋体" w:cs="宋体"/>
          <w:spacing w:val="2"/>
          <w:sz w:val="22"/>
          <w:szCs w:val="22"/>
        </w:rPr>
        <w:t>00</w:t>
      </w:r>
      <w:r>
        <w:rPr>
          <w:rFonts w:ascii="宋体" w:eastAsia="宋体" w:hAnsi="宋体" w:cs="宋体"/>
          <w:sz w:val="22"/>
          <w:szCs w:val="22"/>
        </w:rPr>
        <w:t>mg</w:t>
      </w:r>
      <w:r>
        <w:rPr>
          <w:rFonts w:ascii="宋体" w:eastAsia="宋体" w:hAnsi="宋体" w:cs="宋体"/>
          <w:spacing w:val="2"/>
          <w:sz w:val="22"/>
          <w:szCs w:val="22"/>
        </w:rPr>
        <w:t>/d。</w:t>
      </w:r>
    </w:p>
    <w:p w:rsidR="00EA40A3" w:rsidRDefault="00E86C16">
      <w:pPr>
        <w:spacing w:before="219" w:line="221" w:lineRule="auto"/>
        <w:rPr>
          <w:rFonts w:ascii="仿宋" w:eastAsia="仿宋" w:hAnsi="仿宋" w:cs="仿宋"/>
          <w:sz w:val="22"/>
          <w:szCs w:val="22"/>
        </w:rPr>
      </w:pPr>
      <w:r>
        <w:rPr>
          <w:rFonts w:ascii="仿宋" w:eastAsia="仿宋" w:hAnsi="仿宋" w:cs="仿宋"/>
          <w:spacing w:val="12"/>
          <w:sz w:val="22"/>
          <w:szCs w:val="22"/>
        </w:rPr>
        <w:t>4.</w:t>
      </w:r>
      <w:r>
        <w:rPr>
          <w:rFonts w:ascii="仿宋" w:eastAsia="仿宋" w:hAnsi="仿宋" w:cs="仿宋"/>
          <w:spacing w:val="-29"/>
          <w:sz w:val="22"/>
          <w:szCs w:val="22"/>
        </w:rPr>
        <w:t xml:space="preserve"> </w:t>
      </w:r>
      <w:r>
        <w:rPr>
          <w:rFonts w:ascii="仿宋" w:eastAsia="仿宋" w:hAnsi="仿宋" w:cs="仿宋"/>
          <w:spacing w:val="12"/>
          <w:sz w:val="22"/>
          <w:szCs w:val="22"/>
        </w:rPr>
        <w:t>碳水化合物</w:t>
      </w:r>
    </w:p>
    <w:p w:rsidR="00EA40A3" w:rsidRDefault="00E86C16">
      <w:pPr>
        <w:spacing w:before="217" w:line="248" w:lineRule="auto"/>
        <w:ind w:right="49" w:firstLine="399"/>
        <w:jc w:val="both"/>
        <w:rPr>
          <w:rFonts w:ascii="宋体" w:eastAsia="宋体" w:hAnsi="宋体" w:cs="宋体"/>
          <w:sz w:val="22"/>
          <w:szCs w:val="22"/>
        </w:rPr>
      </w:pPr>
      <w:r>
        <w:rPr>
          <w:rFonts w:ascii="宋体" w:eastAsia="宋体" w:hAnsi="宋体" w:cs="宋体"/>
          <w:spacing w:val="-12"/>
          <w:sz w:val="22"/>
          <w:szCs w:val="22"/>
        </w:rPr>
        <w:t>对于我国老年人而言，碳水化合物仍是能量的重要来源，适宜</w:t>
      </w:r>
      <w:r>
        <w:rPr>
          <w:rFonts w:ascii="宋体" w:eastAsia="宋体" w:hAnsi="宋体" w:cs="宋体"/>
          <w:spacing w:val="-13"/>
          <w:sz w:val="22"/>
          <w:szCs w:val="22"/>
        </w:rPr>
        <w:t>摄入量同中年</w:t>
      </w:r>
      <w:r>
        <w:rPr>
          <w:rFonts w:ascii="宋体" w:eastAsia="宋体" w:hAnsi="宋体" w:cs="宋体"/>
          <w:sz w:val="22"/>
          <w:szCs w:val="22"/>
        </w:rPr>
        <w:t xml:space="preserve"> 青年时期一样，占总热量的55%～65%。但是，应非常注</w:t>
      </w:r>
      <w:r>
        <w:rPr>
          <w:rFonts w:ascii="宋体" w:eastAsia="宋体" w:hAnsi="宋体" w:cs="宋体"/>
          <w:spacing w:val="-1"/>
          <w:sz w:val="22"/>
          <w:szCs w:val="22"/>
        </w:rPr>
        <w:t>意膳食摄入碳水化合</w:t>
      </w:r>
      <w:r>
        <w:rPr>
          <w:rFonts w:ascii="宋体" w:eastAsia="宋体" w:hAnsi="宋体" w:cs="宋体"/>
          <w:sz w:val="22"/>
          <w:szCs w:val="22"/>
        </w:rPr>
        <w:t xml:space="preserve"> </w:t>
      </w:r>
      <w:r>
        <w:rPr>
          <w:rFonts w:ascii="宋体" w:eastAsia="宋体" w:hAnsi="宋体" w:cs="宋体"/>
          <w:spacing w:val="-13"/>
          <w:sz w:val="22"/>
          <w:szCs w:val="22"/>
        </w:rPr>
        <w:t>物的种类。老年人胰岛素分泌减少，并且组织对胰岛素的敏感性下降，机体糖耐</w:t>
      </w:r>
      <w:r>
        <w:rPr>
          <w:rFonts w:ascii="宋体" w:eastAsia="宋体" w:hAnsi="宋体" w:cs="宋体"/>
          <w:spacing w:val="12"/>
          <w:sz w:val="22"/>
          <w:szCs w:val="22"/>
        </w:rPr>
        <w:t xml:space="preserve"> </w:t>
      </w:r>
      <w:r>
        <w:rPr>
          <w:rFonts w:ascii="宋体" w:eastAsia="宋体" w:hAnsi="宋体" w:cs="宋体"/>
          <w:spacing w:val="-13"/>
          <w:sz w:val="22"/>
          <w:szCs w:val="22"/>
        </w:rPr>
        <w:t>量降低，容易发生血糖增高。有研究显示，蔗糖摄入过多与老年人动脉粥样硬化</w:t>
      </w:r>
      <w:r>
        <w:rPr>
          <w:rFonts w:ascii="宋体" w:eastAsia="宋体" w:hAnsi="宋体" w:cs="宋体"/>
          <w:spacing w:val="12"/>
          <w:sz w:val="22"/>
          <w:szCs w:val="22"/>
        </w:rPr>
        <w:t xml:space="preserve"> </w:t>
      </w:r>
      <w:r>
        <w:rPr>
          <w:rFonts w:ascii="宋体" w:eastAsia="宋体" w:hAnsi="宋体" w:cs="宋体"/>
          <w:spacing w:val="-11"/>
          <w:sz w:val="22"/>
          <w:szCs w:val="22"/>
        </w:rPr>
        <w:t>及糖尿病的发病率增高有关。因此，在膳食中应当注意低血糖指数</w:t>
      </w:r>
      <w:r>
        <w:rPr>
          <w:rFonts w:ascii="宋体" w:eastAsia="宋体" w:hAnsi="宋体" w:cs="宋体"/>
          <w:spacing w:val="-12"/>
          <w:sz w:val="22"/>
          <w:szCs w:val="22"/>
        </w:rPr>
        <w:t>食物的摄入，</w:t>
      </w:r>
      <w:r>
        <w:rPr>
          <w:rFonts w:ascii="宋体" w:eastAsia="宋体" w:hAnsi="宋体" w:cs="宋体"/>
          <w:sz w:val="22"/>
          <w:szCs w:val="22"/>
        </w:rPr>
        <w:t xml:space="preserve"> </w:t>
      </w:r>
      <w:r>
        <w:rPr>
          <w:rFonts w:ascii="宋体" w:eastAsia="宋体" w:hAnsi="宋体" w:cs="宋体"/>
          <w:spacing w:val="-13"/>
          <w:sz w:val="22"/>
          <w:szCs w:val="22"/>
        </w:rPr>
        <w:t>避免食糖或甜食等摄入过多，应选择多碳水化合物食物；同时注意膳食纤维的摄</w:t>
      </w:r>
      <w:r>
        <w:rPr>
          <w:rFonts w:ascii="宋体" w:eastAsia="宋体" w:hAnsi="宋体" w:cs="宋体"/>
          <w:spacing w:val="12"/>
          <w:sz w:val="22"/>
          <w:szCs w:val="22"/>
        </w:rPr>
        <w:t xml:space="preserve"> </w:t>
      </w:r>
      <w:r>
        <w:rPr>
          <w:rFonts w:ascii="宋体" w:eastAsia="宋体" w:hAnsi="宋体" w:cs="宋体"/>
          <w:spacing w:val="-6"/>
          <w:sz w:val="22"/>
          <w:szCs w:val="22"/>
        </w:rPr>
        <w:t>入，多吃蔬菜、糙米等杂粮，以促进胃肠蠕动，进而促</w:t>
      </w:r>
      <w:r>
        <w:rPr>
          <w:rFonts w:ascii="宋体" w:eastAsia="宋体" w:hAnsi="宋体" w:cs="宋体"/>
          <w:spacing w:val="-7"/>
          <w:sz w:val="22"/>
          <w:szCs w:val="22"/>
        </w:rPr>
        <w:t>进消化并预防慢性病的</w:t>
      </w:r>
      <w:r>
        <w:rPr>
          <w:rFonts w:ascii="宋体" w:eastAsia="宋体" w:hAnsi="宋体" w:cs="宋体"/>
          <w:sz w:val="22"/>
          <w:szCs w:val="22"/>
        </w:rPr>
        <w:t xml:space="preserve"> </w:t>
      </w:r>
      <w:r>
        <w:rPr>
          <w:rFonts w:ascii="宋体" w:eastAsia="宋体" w:hAnsi="宋体" w:cs="宋体"/>
          <w:spacing w:val="-16"/>
          <w:sz w:val="22"/>
          <w:szCs w:val="22"/>
        </w:rPr>
        <w:t>产生。</w:t>
      </w:r>
    </w:p>
    <w:p w:rsidR="00EA40A3" w:rsidRDefault="00E86C16">
      <w:pPr>
        <w:spacing w:before="215" w:line="221" w:lineRule="auto"/>
        <w:rPr>
          <w:rFonts w:ascii="仿宋" w:eastAsia="仿宋" w:hAnsi="仿宋" w:cs="仿宋"/>
          <w:sz w:val="22"/>
          <w:szCs w:val="22"/>
        </w:rPr>
      </w:pPr>
      <w:r>
        <w:rPr>
          <w:rFonts w:ascii="仿宋" w:eastAsia="仿宋" w:hAnsi="仿宋" w:cs="仿宋"/>
          <w:spacing w:val="8"/>
          <w:sz w:val="22"/>
          <w:szCs w:val="22"/>
        </w:rPr>
        <w:t>5.</w:t>
      </w:r>
      <w:r>
        <w:rPr>
          <w:rFonts w:ascii="仿宋" w:eastAsia="仿宋" w:hAnsi="仿宋" w:cs="仿宋"/>
          <w:spacing w:val="-18"/>
          <w:sz w:val="22"/>
          <w:szCs w:val="22"/>
        </w:rPr>
        <w:t xml:space="preserve"> </w:t>
      </w:r>
      <w:r>
        <w:rPr>
          <w:rFonts w:ascii="仿宋" w:eastAsia="仿宋" w:hAnsi="仿宋" w:cs="仿宋"/>
          <w:spacing w:val="8"/>
          <w:sz w:val="22"/>
          <w:szCs w:val="22"/>
        </w:rPr>
        <w:t>矿物质</w:t>
      </w:r>
    </w:p>
    <w:p w:rsidR="00EA40A3" w:rsidRDefault="00E86C16">
      <w:pPr>
        <w:spacing w:before="219" w:line="232" w:lineRule="auto"/>
        <w:ind w:right="101" w:firstLine="399"/>
        <w:rPr>
          <w:rFonts w:ascii="宋体" w:eastAsia="宋体" w:hAnsi="宋体" w:cs="宋体"/>
          <w:sz w:val="22"/>
          <w:szCs w:val="22"/>
        </w:rPr>
      </w:pPr>
      <w:r>
        <w:rPr>
          <w:rFonts w:ascii="宋体" w:eastAsia="宋体" w:hAnsi="宋体" w:cs="宋体"/>
          <w:spacing w:val="-12"/>
          <w:sz w:val="22"/>
          <w:szCs w:val="22"/>
        </w:rPr>
        <w:t>矿物质能够帮助老年人维持机体正常的生理功能，相比中青年</w:t>
      </w:r>
      <w:r>
        <w:rPr>
          <w:rFonts w:ascii="宋体" w:eastAsia="宋体" w:hAnsi="宋体" w:cs="宋体"/>
          <w:spacing w:val="-13"/>
          <w:sz w:val="22"/>
          <w:szCs w:val="22"/>
        </w:rPr>
        <w:t>时期，钙、铁</w:t>
      </w:r>
      <w:r>
        <w:rPr>
          <w:rFonts w:ascii="宋体" w:eastAsia="宋体" w:hAnsi="宋体" w:cs="宋体"/>
          <w:sz w:val="22"/>
          <w:szCs w:val="22"/>
        </w:rPr>
        <w:t xml:space="preserve"> </w:t>
      </w:r>
      <w:r>
        <w:rPr>
          <w:rFonts w:ascii="宋体" w:eastAsia="宋体" w:hAnsi="宋体" w:cs="宋体"/>
          <w:spacing w:val="-14"/>
          <w:sz w:val="22"/>
          <w:szCs w:val="22"/>
        </w:rPr>
        <w:t>等矿物元素的补充以及钠的限量显得尤为重要。</w:t>
      </w:r>
    </w:p>
    <w:p w:rsidR="00EA40A3" w:rsidRDefault="00E86C16">
      <w:pPr>
        <w:spacing w:before="21" w:line="221" w:lineRule="auto"/>
        <w:rPr>
          <w:rFonts w:ascii="宋体" w:eastAsia="宋体" w:hAnsi="宋体" w:cs="宋体"/>
          <w:sz w:val="22"/>
          <w:szCs w:val="22"/>
        </w:rPr>
      </w:pPr>
      <w:r>
        <w:rPr>
          <w:rFonts w:ascii="宋体" w:eastAsia="宋体" w:hAnsi="宋体" w:cs="宋体"/>
          <w:spacing w:val="7"/>
          <w:sz w:val="22"/>
          <w:szCs w:val="22"/>
        </w:rPr>
        <w:t>1)钙</w:t>
      </w:r>
    </w:p>
    <w:p w:rsidR="00EA40A3" w:rsidRDefault="00E86C16">
      <w:pPr>
        <w:spacing w:before="83" w:line="219" w:lineRule="auto"/>
        <w:ind w:left="399"/>
        <w:rPr>
          <w:rFonts w:ascii="宋体" w:eastAsia="宋体" w:hAnsi="宋体" w:cs="宋体"/>
          <w:sz w:val="22"/>
          <w:szCs w:val="22"/>
        </w:rPr>
      </w:pPr>
      <w:r>
        <w:rPr>
          <w:rFonts w:ascii="宋体" w:eastAsia="宋体" w:hAnsi="宋体" w:cs="宋体"/>
          <w:spacing w:val="-13"/>
          <w:sz w:val="22"/>
          <w:szCs w:val="22"/>
        </w:rPr>
        <w:t>老年人胃肠功能降低、胃酸分泌下降，对钙的吸收和利用能力降低。户外活</w:t>
      </w:r>
    </w:p>
    <w:p w:rsidR="00EA40A3" w:rsidRDefault="00E86C16">
      <w:pPr>
        <w:spacing w:before="66"/>
        <w:ind w:right="115"/>
        <w:jc w:val="right"/>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333</w:t>
      </w:r>
      <w:r>
        <w:rPr>
          <w:rFonts w:ascii="宋体" w:eastAsia="宋体" w:hAnsi="宋体" w:cs="宋体"/>
          <w:spacing w:val="45"/>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10" w:bottom="400" w:left="849" w:header="0" w:footer="0" w:gutter="0"/>
          <w:cols w:space="720"/>
        </w:sectPr>
      </w:pPr>
    </w:p>
    <w:p w:rsidR="00EA40A3" w:rsidRDefault="00EA40A3">
      <w:pPr>
        <w:spacing w:line="302" w:lineRule="auto"/>
      </w:pPr>
    </w:p>
    <w:p w:rsidR="00EA40A3" w:rsidRDefault="00EA40A3">
      <w:pPr>
        <w:spacing w:line="302" w:lineRule="auto"/>
      </w:pPr>
    </w:p>
    <w:p w:rsidR="00EA40A3" w:rsidRDefault="00E86C16">
      <w:pPr>
        <w:spacing w:before="68" w:line="256" w:lineRule="auto"/>
        <w:ind w:right="19"/>
        <w:jc w:val="both"/>
        <w:rPr>
          <w:rFonts w:ascii="宋体" w:eastAsia="宋体" w:hAnsi="宋体" w:cs="宋体"/>
        </w:rPr>
      </w:pPr>
      <w:bookmarkStart w:id="79" w:name="_bookmark83"/>
      <w:bookmarkEnd w:id="79"/>
      <w:r>
        <w:rPr>
          <w:rFonts w:ascii="宋体" w:eastAsia="宋体" w:hAnsi="宋体" w:cs="宋体"/>
          <w:spacing w:val="3"/>
        </w:rPr>
        <w:t>动的减少、缺乏日照以及肝肾功能降低使自身合成维生素D</w:t>
      </w:r>
      <w:r>
        <w:rPr>
          <w:rFonts w:ascii="宋体" w:eastAsia="宋体" w:hAnsi="宋体" w:cs="宋体"/>
          <w:spacing w:val="6"/>
        </w:rPr>
        <w:t xml:space="preserve"> </w:t>
      </w:r>
      <w:r>
        <w:rPr>
          <w:rFonts w:ascii="宋体" w:eastAsia="宋体" w:hAnsi="宋体" w:cs="宋体"/>
          <w:spacing w:val="3"/>
        </w:rPr>
        <w:t>的能力下降。老年</w:t>
      </w:r>
      <w:r>
        <w:rPr>
          <w:rFonts w:ascii="宋体" w:eastAsia="宋体" w:hAnsi="宋体" w:cs="宋体"/>
        </w:rPr>
        <w:t xml:space="preserve"> </w:t>
      </w:r>
      <w:r>
        <w:rPr>
          <w:rFonts w:ascii="宋体" w:eastAsia="宋体" w:hAnsi="宋体" w:cs="宋体"/>
          <w:spacing w:val="2"/>
        </w:rPr>
        <w:t>人对钙的吸收率一般在20%以下。同时，老年人钙的</w:t>
      </w:r>
      <w:r>
        <w:rPr>
          <w:rFonts w:ascii="宋体" w:eastAsia="宋体" w:hAnsi="宋体" w:cs="宋体"/>
          <w:spacing w:val="1"/>
        </w:rPr>
        <w:t>代谢排出量反而有所增加，</w:t>
      </w:r>
      <w:r>
        <w:rPr>
          <w:rFonts w:ascii="宋体" w:eastAsia="宋体" w:hAnsi="宋体" w:cs="宋体"/>
        </w:rPr>
        <w:t xml:space="preserve"> </w:t>
      </w:r>
      <w:r>
        <w:rPr>
          <w:rFonts w:ascii="宋体" w:eastAsia="宋体" w:hAnsi="宋体" w:cs="宋体"/>
          <w:spacing w:val="-3"/>
        </w:rPr>
        <w:t>尤其是女性体内激素水平的改变，极易导致钙代谢负平衡，引起骨</w:t>
      </w:r>
      <w:r>
        <w:rPr>
          <w:rFonts w:ascii="宋体" w:eastAsia="宋体" w:hAnsi="宋体" w:cs="宋体"/>
          <w:spacing w:val="-4"/>
        </w:rPr>
        <w:t>质疏松症。目</w:t>
      </w:r>
      <w:r>
        <w:rPr>
          <w:rFonts w:ascii="宋体" w:eastAsia="宋体" w:hAnsi="宋体" w:cs="宋体"/>
        </w:rPr>
        <w:t xml:space="preserve">  前我国居民传统膳食中钙的供应不足，</w:t>
      </w:r>
      <w:r>
        <w:rPr>
          <w:rFonts w:ascii="宋体" w:eastAsia="宋体" w:hAnsi="宋体" w:cs="宋体"/>
          <w:spacing w:val="65"/>
        </w:rPr>
        <w:t xml:space="preserve"> </w:t>
      </w:r>
      <w:r>
        <w:rPr>
          <w:rFonts w:ascii="宋体" w:eastAsia="宋体" w:hAnsi="宋体" w:cs="宋体"/>
        </w:rPr>
        <w:t>一般摄入</w:t>
      </w:r>
      <w:r>
        <w:rPr>
          <w:rFonts w:ascii="宋体" w:eastAsia="宋体" w:hAnsi="宋体" w:cs="宋体"/>
          <w:spacing w:val="-1"/>
        </w:rPr>
        <w:t>量多在500</w:t>
      </w:r>
      <w:r>
        <w:rPr>
          <w:rFonts w:ascii="宋体" w:eastAsia="宋体" w:hAnsi="宋体" w:cs="宋体"/>
        </w:rPr>
        <w:t>mg</w:t>
      </w:r>
      <w:r>
        <w:rPr>
          <w:rFonts w:ascii="宋体" w:eastAsia="宋体" w:hAnsi="宋体" w:cs="宋体"/>
          <w:spacing w:val="-1"/>
        </w:rPr>
        <w:t>/d</w:t>
      </w:r>
      <w:r>
        <w:rPr>
          <w:rFonts w:ascii="宋体" w:eastAsia="宋体" w:hAnsi="宋体" w:cs="宋体"/>
          <w:spacing w:val="27"/>
        </w:rPr>
        <w:t xml:space="preserve"> </w:t>
      </w:r>
      <w:r>
        <w:rPr>
          <w:rFonts w:ascii="宋体" w:eastAsia="宋体" w:hAnsi="宋体" w:cs="宋体"/>
          <w:spacing w:val="-1"/>
        </w:rPr>
        <w:t>以下。因此，</w:t>
      </w:r>
      <w:r>
        <w:rPr>
          <w:rFonts w:ascii="宋体" w:eastAsia="宋体" w:hAnsi="宋体" w:cs="宋体"/>
        </w:rPr>
        <w:t xml:space="preserve"> </w:t>
      </w:r>
      <w:r>
        <w:rPr>
          <w:rFonts w:ascii="宋体" w:eastAsia="宋体" w:hAnsi="宋体" w:cs="宋体"/>
          <w:spacing w:val="-3"/>
        </w:rPr>
        <w:t>应当特别注重老年人补钙，但是钙的补充也不宜过多。研究表明，钙摄入过高可</w:t>
      </w:r>
      <w:r>
        <w:rPr>
          <w:rFonts w:ascii="宋体" w:eastAsia="宋体" w:hAnsi="宋体" w:cs="宋体"/>
          <w:spacing w:val="2"/>
        </w:rPr>
        <w:t xml:space="preserve"> </w:t>
      </w:r>
      <w:r>
        <w:rPr>
          <w:rFonts w:ascii="宋体" w:eastAsia="宋体" w:hAnsi="宋体" w:cs="宋体"/>
          <w:spacing w:val="-3"/>
        </w:rPr>
        <w:t>能引起老年人高钙血症、肾结石及内脏钙化等。中国营养学会规定老年人钙的适</w:t>
      </w:r>
      <w:r>
        <w:rPr>
          <w:rFonts w:ascii="宋体" w:eastAsia="宋体" w:hAnsi="宋体" w:cs="宋体"/>
          <w:spacing w:val="2"/>
        </w:rPr>
        <w:t xml:space="preserve"> </w:t>
      </w:r>
      <w:r>
        <w:rPr>
          <w:rFonts w:ascii="宋体" w:eastAsia="宋体" w:hAnsi="宋体" w:cs="宋体"/>
        </w:rPr>
        <w:t>宜摄入量</w:t>
      </w:r>
      <w:r>
        <w:rPr>
          <w:rFonts w:ascii="宋体" w:eastAsia="宋体" w:hAnsi="宋体" w:cs="宋体"/>
          <w:spacing w:val="-6"/>
        </w:rPr>
        <w:t xml:space="preserve"> </w:t>
      </w:r>
      <w:r>
        <w:rPr>
          <w:rFonts w:ascii="宋体" w:eastAsia="宋体" w:hAnsi="宋体" w:cs="宋体"/>
        </w:rPr>
        <w:t>(AI)</w:t>
      </w:r>
      <w:r>
        <w:rPr>
          <w:rFonts w:ascii="宋体" w:eastAsia="宋体" w:hAnsi="宋体" w:cs="宋体"/>
          <w:spacing w:val="60"/>
        </w:rPr>
        <w:t xml:space="preserve"> </w:t>
      </w:r>
      <w:r>
        <w:rPr>
          <w:rFonts w:ascii="宋体" w:eastAsia="宋体" w:hAnsi="宋体" w:cs="宋体"/>
        </w:rPr>
        <w:t>为1000mg/d,UL</w:t>
      </w:r>
      <w:r>
        <w:rPr>
          <w:rFonts w:ascii="宋体" w:eastAsia="宋体" w:hAnsi="宋体" w:cs="宋体"/>
          <w:spacing w:val="1"/>
        </w:rPr>
        <w:t xml:space="preserve">   </w:t>
      </w:r>
      <w:r>
        <w:rPr>
          <w:rFonts w:ascii="宋体" w:eastAsia="宋体" w:hAnsi="宋体" w:cs="宋体"/>
        </w:rPr>
        <w:t>为2000mg/d。</w:t>
      </w:r>
    </w:p>
    <w:p w:rsidR="00EA40A3" w:rsidRDefault="00E86C16">
      <w:pPr>
        <w:spacing w:before="123" w:line="221" w:lineRule="auto"/>
        <w:rPr>
          <w:rFonts w:ascii="宋体" w:eastAsia="宋体" w:hAnsi="宋体" w:cs="宋体"/>
          <w:sz w:val="17"/>
          <w:szCs w:val="17"/>
        </w:rPr>
      </w:pPr>
      <w:r>
        <w:rPr>
          <w:rFonts w:ascii="宋体" w:eastAsia="宋体" w:hAnsi="宋体" w:cs="宋体"/>
          <w:spacing w:val="-6"/>
          <w:sz w:val="17"/>
          <w:szCs w:val="17"/>
        </w:rPr>
        <w:t>2</w:t>
      </w:r>
      <w:r>
        <w:rPr>
          <w:rFonts w:ascii="宋体" w:eastAsia="宋体" w:hAnsi="宋体" w:cs="宋体"/>
          <w:spacing w:val="-9"/>
          <w:sz w:val="17"/>
          <w:szCs w:val="17"/>
        </w:rPr>
        <w:t xml:space="preserve"> </w:t>
      </w:r>
      <w:r>
        <w:rPr>
          <w:rFonts w:ascii="宋体" w:eastAsia="宋体" w:hAnsi="宋体" w:cs="宋体"/>
          <w:spacing w:val="-6"/>
          <w:sz w:val="17"/>
          <w:szCs w:val="17"/>
        </w:rPr>
        <w:t>)</w:t>
      </w:r>
      <w:r>
        <w:rPr>
          <w:rFonts w:ascii="宋体" w:eastAsia="宋体" w:hAnsi="宋体" w:cs="宋体"/>
          <w:spacing w:val="-12"/>
          <w:sz w:val="17"/>
          <w:szCs w:val="17"/>
        </w:rPr>
        <w:t xml:space="preserve"> </w:t>
      </w:r>
      <w:r>
        <w:rPr>
          <w:rFonts w:ascii="宋体" w:eastAsia="宋体" w:hAnsi="宋体" w:cs="宋体"/>
          <w:spacing w:val="-6"/>
          <w:sz w:val="17"/>
          <w:szCs w:val="17"/>
        </w:rPr>
        <w:t>铁</w:t>
      </w:r>
    </w:p>
    <w:p w:rsidR="00EA40A3" w:rsidRDefault="00E86C16">
      <w:pPr>
        <w:spacing w:before="89" w:line="254" w:lineRule="auto"/>
        <w:ind w:right="39" w:firstLine="440"/>
        <w:jc w:val="both"/>
        <w:rPr>
          <w:rFonts w:ascii="宋体" w:eastAsia="宋体" w:hAnsi="宋体" w:cs="宋体"/>
        </w:rPr>
      </w:pPr>
      <w:r>
        <w:rPr>
          <w:rFonts w:ascii="宋体" w:eastAsia="宋体" w:hAnsi="宋体" w:cs="宋体"/>
          <w:spacing w:val="-3"/>
        </w:rPr>
        <w:t>老年人对铁的吸收利用能力下降，造血功能减退，血红蛋白</w:t>
      </w:r>
      <w:r>
        <w:rPr>
          <w:rFonts w:ascii="宋体" w:eastAsia="宋体" w:hAnsi="宋体" w:cs="宋体"/>
          <w:spacing w:val="-4"/>
        </w:rPr>
        <w:t>含量减少，易出</w:t>
      </w:r>
      <w:r>
        <w:rPr>
          <w:rFonts w:ascii="宋体" w:eastAsia="宋体" w:hAnsi="宋体" w:cs="宋体"/>
        </w:rPr>
        <w:t xml:space="preserve"> </w:t>
      </w:r>
      <w:r>
        <w:rPr>
          <w:rFonts w:ascii="宋体" w:eastAsia="宋体" w:hAnsi="宋体" w:cs="宋体"/>
          <w:spacing w:val="6"/>
        </w:rPr>
        <w:t>现缺铁性贫血。据国内报道老年人贫血患病率为50%左右。为保证老年人机体</w:t>
      </w:r>
      <w:r>
        <w:rPr>
          <w:rFonts w:ascii="宋体" w:eastAsia="宋体" w:hAnsi="宋体" w:cs="宋体"/>
          <w:spacing w:val="2"/>
        </w:rPr>
        <w:t xml:space="preserve"> </w:t>
      </w:r>
      <w:r>
        <w:rPr>
          <w:rFonts w:ascii="宋体" w:eastAsia="宋体" w:hAnsi="宋体" w:cs="宋体"/>
          <w:spacing w:val="-2"/>
        </w:rPr>
        <w:t>铁代谢平衡，铁的适宜摄入量</w:t>
      </w:r>
      <w:r>
        <w:rPr>
          <w:rFonts w:ascii="宋体" w:eastAsia="宋体" w:hAnsi="宋体" w:cs="宋体"/>
          <w:spacing w:val="-4"/>
        </w:rPr>
        <w:t xml:space="preserve"> </w:t>
      </w:r>
      <w:r>
        <w:rPr>
          <w:rFonts w:ascii="宋体" w:eastAsia="宋体" w:hAnsi="宋体" w:cs="宋体"/>
          <w:spacing w:val="-2"/>
        </w:rPr>
        <w:t>(AI)</w:t>
      </w:r>
      <w:r>
        <w:rPr>
          <w:rFonts w:ascii="宋体" w:eastAsia="宋体" w:hAnsi="宋体" w:cs="宋体"/>
          <w:spacing w:val="60"/>
        </w:rPr>
        <w:t xml:space="preserve"> </w:t>
      </w:r>
      <w:r>
        <w:rPr>
          <w:rFonts w:ascii="宋体" w:eastAsia="宋体" w:hAnsi="宋体" w:cs="宋体"/>
          <w:spacing w:val="-2"/>
        </w:rPr>
        <w:t>应为15mg/d。</w:t>
      </w:r>
      <w:r>
        <w:rPr>
          <w:rFonts w:ascii="宋体" w:eastAsia="宋体" w:hAnsi="宋体" w:cs="宋体"/>
          <w:spacing w:val="26"/>
        </w:rPr>
        <w:t xml:space="preserve"> </w:t>
      </w:r>
      <w:r>
        <w:rPr>
          <w:rFonts w:ascii="宋体" w:eastAsia="宋体" w:hAnsi="宋体" w:cs="宋体"/>
          <w:spacing w:val="-2"/>
        </w:rPr>
        <w:t>需要说明的是，铁</w:t>
      </w:r>
      <w:r>
        <w:rPr>
          <w:rFonts w:ascii="宋体" w:eastAsia="宋体" w:hAnsi="宋体" w:cs="宋体"/>
          <w:spacing w:val="-3"/>
        </w:rPr>
        <w:t>摄入过高</w:t>
      </w:r>
      <w:r>
        <w:rPr>
          <w:rFonts w:ascii="宋体" w:eastAsia="宋体" w:hAnsi="宋体" w:cs="宋体"/>
        </w:rPr>
        <w:t xml:space="preserve"> </w:t>
      </w:r>
      <w:r>
        <w:rPr>
          <w:rFonts w:ascii="宋体" w:eastAsia="宋体" w:hAnsi="宋体" w:cs="宋体"/>
          <w:spacing w:val="-3"/>
        </w:rPr>
        <w:t>可能损害老年人的心脏功能，并且使LDL</w:t>
      </w:r>
      <w:r>
        <w:rPr>
          <w:rFonts w:ascii="宋体" w:eastAsia="宋体" w:hAnsi="宋体" w:cs="宋体"/>
          <w:spacing w:val="61"/>
        </w:rPr>
        <w:t xml:space="preserve"> </w:t>
      </w:r>
      <w:r>
        <w:rPr>
          <w:rFonts w:ascii="宋体" w:eastAsia="宋体" w:hAnsi="宋体" w:cs="宋体"/>
          <w:spacing w:val="-3"/>
        </w:rPr>
        <w:t>氧化，从而增加动脉粥样硬化的危险，</w:t>
      </w:r>
      <w:r>
        <w:rPr>
          <w:rFonts w:ascii="宋体" w:eastAsia="宋体" w:hAnsi="宋体" w:cs="宋体"/>
        </w:rPr>
        <w:t xml:space="preserve"> </w:t>
      </w:r>
      <w:r>
        <w:rPr>
          <w:rFonts w:ascii="宋体" w:eastAsia="宋体" w:hAnsi="宋体" w:cs="宋体"/>
          <w:spacing w:val="-4"/>
        </w:rPr>
        <w:t>另外，高铁可能影响机体对其他矿物元素如锌、铜、锰、硒等的吸收或代谢，从</w:t>
      </w:r>
      <w:r>
        <w:rPr>
          <w:rFonts w:ascii="宋体" w:eastAsia="宋体" w:hAnsi="宋体" w:cs="宋体"/>
          <w:spacing w:val="17"/>
        </w:rPr>
        <w:t xml:space="preserve"> </w:t>
      </w:r>
      <w:r>
        <w:rPr>
          <w:rFonts w:ascii="宋体" w:eastAsia="宋体" w:hAnsi="宋体" w:cs="宋体"/>
          <w:spacing w:val="1"/>
        </w:rPr>
        <w:t>而损害健康。铁的</w:t>
      </w:r>
      <w:r>
        <w:rPr>
          <w:rFonts w:ascii="宋体" w:eastAsia="宋体" w:hAnsi="宋体" w:cs="宋体"/>
        </w:rPr>
        <w:t>UL</w:t>
      </w:r>
      <w:r>
        <w:rPr>
          <w:rFonts w:ascii="宋体" w:eastAsia="宋体" w:hAnsi="宋体" w:cs="宋体"/>
          <w:spacing w:val="48"/>
        </w:rPr>
        <w:t xml:space="preserve"> </w:t>
      </w:r>
      <w:r>
        <w:rPr>
          <w:rFonts w:ascii="宋体" w:eastAsia="宋体" w:hAnsi="宋体" w:cs="宋体"/>
          <w:spacing w:val="1"/>
        </w:rPr>
        <w:t>为50</w:t>
      </w:r>
      <w:r>
        <w:rPr>
          <w:rFonts w:ascii="宋体" w:eastAsia="宋体" w:hAnsi="宋体" w:cs="宋体"/>
        </w:rPr>
        <w:t>mg</w:t>
      </w:r>
      <w:r>
        <w:rPr>
          <w:rFonts w:ascii="宋体" w:eastAsia="宋体" w:hAnsi="宋体" w:cs="宋体"/>
          <w:spacing w:val="1"/>
        </w:rPr>
        <w:t>/d。</w:t>
      </w:r>
    </w:p>
    <w:p w:rsidR="00EA40A3" w:rsidRDefault="00E86C16">
      <w:pPr>
        <w:spacing w:before="89" w:line="232" w:lineRule="auto"/>
        <w:rPr>
          <w:rFonts w:ascii="楷体" w:eastAsia="楷体" w:hAnsi="楷体" w:cs="楷体"/>
        </w:rPr>
      </w:pPr>
      <w:r>
        <w:rPr>
          <w:rFonts w:ascii="楷体" w:eastAsia="楷体" w:hAnsi="楷体" w:cs="楷体"/>
          <w:spacing w:val="19"/>
        </w:rPr>
        <w:t>3)钠</w:t>
      </w:r>
    </w:p>
    <w:p w:rsidR="00EA40A3" w:rsidRDefault="00E86C16">
      <w:pPr>
        <w:spacing w:before="53" w:line="254" w:lineRule="auto"/>
        <w:ind w:right="75" w:firstLine="440"/>
        <w:jc w:val="both"/>
        <w:rPr>
          <w:rFonts w:ascii="宋体" w:eastAsia="宋体" w:hAnsi="宋体" w:cs="宋体"/>
        </w:rPr>
      </w:pPr>
      <w:r>
        <w:rPr>
          <w:rFonts w:ascii="宋体" w:eastAsia="宋体" w:hAnsi="宋体" w:cs="宋体"/>
          <w:spacing w:val="-3"/>
        </w:rPr>
        <w:t>钠主要存在于细胞外，体内钠水平过高可能导致钠潴留。此时，胞外渗</w:t>
      </w:r>
      <w:r>
        <w:rPr>
          <w:rFonts w:ascii="宋体" w:eastAsia="宋体" w:hAnsi="宋体" w:cs="宋体"/>
          <w:spacing w:val="-4"/>
        </w:rPr>
        <w:t>透压</w:t>
      </w:r>
      <w:r>
        <w:rPr>
          <w:rFonts w:ascii="宋体" w:eastAsia="宋体" w:hAnsi="宋体" w:cs="宋体"/>
        </w:rPr>
        <w:t xml:space="preserve"> </w:t>
      </w:r>
      <w:r>
        <w:rPr>
          <w:rFonts w:ascii="宋体" w:eastAsia="宋体" w:hAnsi="宋体" w:cs="宋体"/>
          <w:spacing w:val="-3"/>
        </w:rPr>
        <w:t>最高，水分向胞外移动，细胞外液包括血液总量增多，从而使血压升高。由于老</w:t>
      </w:r>
      <w:r>
        <w:rPr>
          <w:rFonts w:ascii="宋体" w:eastAsia="宋体" w:hAnsi="宋体" w:cs="宋体"/>
          <w:spacing w:val="3"/>
        </w:rPr>
        <w:t xml:space="preserve"> </w:t>
      </w:r>
      <w:r>
        <w:rPr>
          <w:rFonts w:ascii="宋体" w:eastAsia="宋体" w:hAnsi="宋体" w:cs="宋体"/>
          <w:spacing w:val="-3"/>
        </w:rPr>
        <w:t>年人本身心血管系统发生改变，血流阻力增加，血流变慢，血管脆性增加，血压</w:t>
      </w:r>
      <w:r>
        <w:rPr>
          <w:rFonts w:ascii="宋体" w:eastAsia="宋体" w:hAnsi="宋体" w:cs="宋体"/>
          <w:spacing w:val="3"/>
        </w:rPr>
        <w:t xml:space="preserve"> </w:t>
      </w:r>
      <w:r>
        <w:rPr>
          <w:rFonts w:ascii="宋体" w:eastAsia="宋体" w:hAnsi="宋体" w:cs="宋体"/>
          <w:spacing w:val="-3"/>
        </w:rPr>
        <w:t>容易升高。因此，老年人尤其应当控制钠的摄入。我国有关钠的需要量的资料尚</w:t>
      </w:r>
      <w:r>
        <w:rPr>
          <w:rFonts w:ascii="宋体" w:eastAsia="宋体" w:hAnsi="宋体" w:cs="宋体"/>
          <w:spacing w:val="10"/>
        </w:rPr>
        <w:t xml:space="preserve"> </w:t>
      </w:r>
      <w:r>
        <w:rPr>
          <w:rFonts w:ascii="宋体" w:eastAsia="宋体" w:hAnsi="宋体" w:cs="宋体"/>
          <w:spacing w:val="2"/>
        </w:rPr>
        <w:t>不完全，尤其是对老年人的钠摄入量尚无明确的推荐值，根据1988年的成人</w:t>
      </w:r>
      <w:r>
        <w:rPr>
          <w:rFonts w:ascii="宋体" w:eastAsia="宋体" w:hAnsi="宋体" w:cs="宋体"/>
        </w:rPr>
        <w:t>AI</w:t>
      </w:r>
      <w:r>
        <w:rPr>
          <w:rFonts w:ascii="宋体" w:eastAsia="宋体" w:hAnsi="宋体" w:cs="宋体"/>
          <w:spacing w:val="7"/>
        </w:rPr>
        <w:t xml:space="preserve"> </w:t>
      </w:r>
      <w:r>
        <w:rPr>
          <w:rFonts w:ascii="宋体" w:eastAsia="宋体" w:hAnsi="宋体" w:cs="宋体"/>
        </w:rPr>
        <w:t>值为2200mg/d。</w:t>
      </w:r>
    </w:p>
    <w:p w:rsidR="00EA40A3" w:rsidRDefault="00E86C16">
      <w:pPr>
        <w:spacing w:before="91" w:line="225" w:lineRule="auto"/>
        <w:rPr>
          <w:rFonts w:ascii="楷体" w:eastAsia="楷体" w:hAnsi="楷体" w:cs="楷体"/>
        </w:rPr>
      </w:pPr>
      <w:r>
        <w:rPr>
          <w:rFonts w:ascii="楷体" w:eastAsia="楷体" w:hAnsi="楷体" w:cs="楷体"/>
          <w:spacing w:val="10"/>
        </w:rPr>
        <w:t>4)其他</w:t>
      </w:r>
    </w:p>
    <w:p w:rsidR="00EA40A3" w:rsidRDefault="00E86C16">
      <w:pPr>
        <w:spacing w:before="56" w:line="247" w:lineRule="auto"/>
        <w:ind w:right="97" w:firstLine="440"/>
        <w:rPr>
          <w:rFonts w:ascii="宋体" w:eastAsia="宋体" w:hAnsi="宋体" w:cs="宋体"/>
        </w:rPr>
      </w:pPr>
      <w:r>
        <w:rPr>
          <w:rFonts w:ascii="宋体" w:eastAsia="宋体" w:hAnsi="宋体" w:cs="宋体"/>
          <w:spacing w:val="-4"/>
        </w:rPr>
        <w:t>其他的矿物元素如锌、铬对调节血糖代谢和加强胰岛素功能、硒对维持心肌</w:t>
      </w:r>
      <w:r>
        <w:rPr>
          <w:rFonts w:ascii="宋体" w:eastAsia="宋体" w:hAnsi="宋体" w:cs="宋体"/>
          <w:spacing w:val="8"/>
        </w:rPr>
        <w:t xml:space="preserve"> </w:t>
      </w:r>
      <w:r>
        <w:rPr>
          <w:rFonts w:ascii="宋体" w:eastAsia="宋体" w:hAnsi="宋体" w:cs="宋体"/>
          <w:spacing w:val="-7"/>
        </w:rPr>
        <w:t>功能具有重要作用，应注意补充。</w:t>
      </w:r>
    </w:p>
    <w:p w:rsidR="00EA40A3" w:rsidRDefault="00E86C16">
      <w:pPr>
        <w:spacing w:before="206" w:line="222" w:lineRule="auto"/>
        <w:rPr>
          <w:rFonts w:ascii="仿宋" w:eastAsia="仿宋" w:hAnsi="仿宋" w:cs="仿宋"/>
        </w:rPr>
      </w:pPr>
      <w:r>
        <w:rPr>
          <w:rFonts w:ascii="仿宋" w:eastAsia="仿宋" w:hAnsi="仿宋" w:cs="仿宋"/>
          <w:spacing w:val="10"/>
        </w:rPr>
        <w:t>6.</w:t>
      </w:r>
      <w:r>
        <w:rPr>
          <w:rFonts w:ascii="仿宋" w:eastAsia="仿宋" w:hAnsi="仿宋" w:cs="仿宋"/>
          <w:spacing w:val="-4"/>
        </w:rPr>
        <w:t xml:space="preserve"> </w:t>
      </w:r>
      <w:r>
        <w:rPr>
          <w:rFonts w:ascii="仿宋" w:eastAsia="仿宋" w:hAnsi="仿宋" w:cs="仿宋"/>
          <w:spacing w:val="10"/>
        </w:rPr>
        <w:t>维生素</w:t>
      </w:r>
    </w:p>
    <w:p w:rsidR="00EA40A3" w:rsidRDefault="00E86C16">
      <w:pPr>
        <w:spacing w:before="209" w:line="237" w:lineRule="auto"/>
        <w:ind w:right="75" w:firstLine="440"/>
        <w:rPr>
          <w:rFonts w:ascii="宋体" w:eastAsia="宋体" w:hAnsi="宋体" w:cs="宋体"/>
        </w:rPr>
      </w:pPr>
      <w:r>
        <w:rPr>
          <w:rFonts w:ascii="宋体" w:eastAsia="宋体" w:hAnsi="宋体" w:cs="宋体"/>
          <w:spacing w:val="-3"/>
        </w:rPr>
        <w:t>老年人同样需要各种维生素，这对维持老年人健康，促进新陈代谢，调</w:t>
      </w:r>
      <w:r>
        <w:rPr>
          <w:rFonts w:ascii="宋体" w:eastAsia="宋体" w:hAnsi="宋体" w:cs="宋体"/>
          <w:spacing w:val="-4"/>
        </w:rPr>
        <w:t>节老</w:t>
      </w:r>
      <w:r>
        <w:rPr>
          <w:rFonts w:ascii="宋体" w:eastAsia="宋体" w:hAnsi="宋体" w:cs="宋体"/>
        </w:rPr>
        <w:t xml:space="preserve"> </w:t>
      </w:r>
      <w:r>
        <w:rPr>
          <w:rFonts w:ascii="宋体" w:eastAsia="宋体" w:hAnsi="宋体" w:cs="宋体"/>
          <w:spacing w:val="-6"/>
        </w:rPr>
        <w:t>年人生理机能，增强抗病能力，延缓衰老十分重要，</w:t>
      </w:r>
    </w:p>
    <w:p w:rsidR="00EA40A3" w:rsidRDefault="00E86C16">
      <w:pPr>
        <w:spacing w:before="60" w:line="225" w:lineRule="auto"/>
        <w:rPr>
          <w:rFonts w:ascii="楷体" w:eastAsia="楷体" w:hAnsi="楷体" w:cs="楷体"/>
        </w:rPr>
      </w:pPr>
      <w:r>
        <w:rPr>
          <w:rFonts w:ascii="楷体" w:eastAsia="楷体" w:hAnsi="楷体" w:cs="楷体"/>
          <w:spacing w:val="-3"/>
        </w:rPr>
        <w:t>1)脂溶性维生素</w:t>
      </w:r>
    </w:p>
    <w:p w:rsidR="00EA40A3" w:rsidRDefault="00E86C16">
      <w:pPr>
        <w:spacing w:before="48" w:line="263" w:lineRule="auto"/>
        <w:ind w:firstLine="440"/>
        <w:jc w:val="both"/>
        <w:rPr>
          <w:rFonts w:ascii="宋体" w:eastAsia="宋体" w:hAnsi="宋体" w:cs="宋体"/>
        </w:rPr>
      </w:pPr>
      <w:r>
        <w:rPr>
          <w:rFonts w:ascii="宋体" w:eastAsia="宋体" w:hAnsi="宋体" w:cs="宋体"/>
          <w:spacing w:val="-3"/>
        </w:rPr>
        <w:t>老年人由于膳食当中限制脂肪的摄入，可能引起脂溶性维生素的吸收、利用</w:t>
      </w:r>
      <w:r>
        <w:rPr>
          <w:rFonts w:ascii="宋体" w:eastAsia="宋体" w:hAnsi="宋体" w:cs="宋体"/>
          <w:spacing w:val="13"/>
        </w:rPr>
        <w:t xml:space="preserve"> </w:t>
      </w:r>
      <w:r>
        <w:rPr>
          <w:rFonts w:ascii="宋体" w:eastAsia="宋体" w:hAnsi="宋体" w:cs="宋体"/>
          <w:spacing w:val="-1"/>
        </w:rPr>
        <w:t>率降低。维生素</w:t>
      </w:r>
      <w:r>
        <w:rPr>
          <w:rFonts w:ascii="宋体" w:eastAsia="宋体" w:hAnsi="宋体" w:cs="宋体"/>
          <w:spacing w:val="-55"/>
        </w:rPr>
        <w:t xml:space="preserve"> </w:t>
      </w:r>
      <w:r>
        <w:rPr>
          <w:rFonts w:ascii="宋体" w:eastAsia="宋体" w:hAnsi="宋体" w:cs="宋体"/>
          <w:spacing w:val="-1"/>
        </w:rPr>
        <w:t>A</w:t>
      </w:r>
      <w:r>
        <w:rPr>
          <w:rFonts w:ascii="宋体" w:eastAsia="宋体" w:hAnsi="宋体" w:cs="宋体"/>
          <w:spacing w:val="1"/>
        </w:rPr>
        <w:t xml:space="preserve"> </w:t>
      </w:r>
      <w:r>
        <w:rPr>
          <w:rFonts w:ascii="宋体" w:eastAsia="宋体" w:hAnsi="宋体" w:cs="宋体"/>
          <w:spacing w:val="-1"/>
        </w:rPr>
        <w:t>是老年人容易缺乏的一种。维生素</w:t>
      </w:r>
      <w:r>
        <w:rPr>
          <w:rFonts w:ascii="宋体" w:eastAsia="宋体" w:hAnsi="宋体" w:cs="宋体"/>
          <w:spacing w:val="-43"/>
        </w:rPr>
        <w:t xml:space="preserve"> </w:t>
      </w:r>
      <w:r>
        <w:rPr>
          <w:rFonts w:ascii="宋体" w:eastAsia="宋体" w:hAnsi="宋体" w:cs="宋体"/>
          <w:spacing w:val="-1"/>
        </w:rPr>
        <w:t>A</w:t>
      </w:r>
      <w:r>
        <w:rPr>
          <w:rFonts w:ascii="宋体" w:eastAsia="宋体" w:hAnsi="宋体" w:cs="宋体"/>
          <w:spacing w:val="12"/>
        </w:rPr>
        <w:t xml:space="preserve"> </w:t>
      </w:r>
      <w:r>
        <w:rPr>
          <w:rFonts w:ascii="宋体" w:eastAsia="宋体" w:hAnsi="宋体" w:cs="宋体"/>
          <w:spacing w:val="-1"/>
        </w:rPr>
        <w:t>的缺乏可能导致</w:t>
      </w:r>
      <w:r>
        <w:rPr>
          <w:rFonts w:ascii="宋体" w:eastAsia="宋体" w:hAnsi="宋体" w:cs="宋体"/>
          <w:spacing w:val="-2"/>
        </w:rPr>
        <w:t>老年人</w:t>
      </w:r>
      <w:r>
        <w:rPr>
          <w:rFonts w:ascii="宋体" w:eastAsia="宋体" w:hAnsi="宋体" w:cs="宋体"/>
        </w:rPr>
        <w:t xml:space="preserve">  </w:t>
      </w:r>
      <w:r>
        <w:rPr>
          <w:rFonts w:ascii="宋体" w:eastAsia="宋体" w:hAnsi="宋体" w:cs="宋体"/>
          <w:spacing w:val="-3"/>
        </w:rPr>
        <w:t>免疫能力下降。另外，老年人户外活动减少使得由皮下合成的维生素</w:t>
      </w:r>
      <w:r>
        <w:rPr>
          <w:rFonts w:ascii="宋体" w:eastAsia="宋体" w:hAnsi="宋体" w:cs="宋体"/>
          <w:spacing w:val="-51"/>
        </w:rPr>
        <w:t xml:space="preserve"> </w:t>
      </w:r>
      <w:r>
        <w:rPr>
          <w:rFonts w:ascii="宋体" w:eastAsia="宋体" w:hAnsi="宋体" w:cs="宋体"/>
          <w:spacing w:val="-3"/>
        </w:rPr>
        <w:t>D</w:t>
      </w:r>
      <w:r>
        <w:rPr>
          <w:rFonts w:ascii="宋体" w:eastAsia="宋体" w:hAnsi="宋体" w:cs="宋体"/>
          <w:spacing w:val="-5"/>
        </w:rPr>
        <w:t xml:space="preserve"> </w:t>
      </w:r>
      <w:r>
        <w:rPr>
          <w:rFonts w:ascii="宋体" w:eastAsia="宋体" w:hAnsi="宋体" w:cs="宋体"/>
          <w:spacing w:val="-3"/>
        </w:rPr>
        <w:t>量降低，</w:t>
      </w:r>
      <w:r>
        <w:rPr>
          <w:rFonts w:ascii="宋体" w:eastAsia="宋体" w:hAnsi="宋体" w:cs="宋体"/>
        </w:rPr>
        <w:t xml:space="preserve"> </w:t>
      </w:r>
      <w:r>
        <w:rPr>
          <w:rFonts w:ascii="宋体" w:eastAsia="宋体" w:hAnsi="宋体" w:cs="宋体"/>
          <w:spacing w:val="-2"/>
        </w:rPr>
        <w:t>加上肝、肾功能减退使1,25-(OH)</w:t>
      </w:r>
      <w:r>
        <w:rPr>
          <w:rFonts w:ascii="Calibri" w:eastAsia="Calibri" w:hAnsi="Calibri" w:cs="Calibri"/>
          <w:spacing w:val="-2"/>
        </w:rPr>
        <w:t>₂</w:t>
      </w:r>
      <w:r>
        <w:rPr>
          <w:rFonts w:ascii="宋体" w:eastAsia="宋体" w:hAnsi="宋体" w:cs="宋体"/>
          <w:spacing w:val="-2"/>
        </w:rPr>
        <w:t>-D</w:t>
      </w:r>
      <w:r>
        <w:rPr>
          <w:rFonts w:ascii="Calibri" w:eastAsia="Calibri" w:hAnsi="Calibri" w:cs="Calibri"/>
          <w:spacing w:val="-2"/>
        </w:rPr>
        <w:t>₃</w:t>
      </w:r>
      <w:r>
        <w:rPr>
          <w:rFonts w:ascii="Calibri" w:eastAsia="Calibri" w:hAnsi="Calibri" w:cs="Calibri"/>
          <w:spacing w:val="13"/>
          <w:w w:val="101"/>
        </w:rPr>
        <w:t xml:space="preserve">   </w:t>
      </w:r>
      <w:r>
        <w:rPr>
          <w:rFonts w:ascii="宋体" w:eastAsia="宋体" w:hAnsi="宋体" w:cs="宋体"/>
          <w:spacing w:val="-2"/>
        </w:rPr>
        <w:t>减少，易出现维生素D</w:t>
      </w:r>
      <w:r>
        <w:rPr>
          <w:rFonts w:ascii="宋体" w:eastAsia="宋体" w:hAnsi="宋体" w:cs="宋体"/>
          <w:spacing w:val="-16"/>
        </w:rPr>
        <w:t xml:space="preserve"> </w:t>
      </w:r>
      <w:r>
        <w:rPr>
          <w:rFonts w:ascii="宋体" w:eastAsia="宋体" w:hAnsi="宋体" w:cs="宋体"/>
          <w:spacing w:val="-2"/>
        </w:rPr>
        <w:t>缺乏。因而，适量</w:t>
      </w:r>
      <w:r>
        <w:rPr>
          <w:rFonts w:ascii="宋体" w:eastAsia="宋体" w:hAnsi="宋体" w:cs="宋体"/>
        </w:rPr>
        <w:t xml:space="preserve"> </w:t>
      </w:r>
      <w:r>
        <w:rPr>
          <w:rFonts w:ascii="宋体" w:eastAsia="宋体" w:hAnsi="宋体" w:cs="宋体"/>
          <w:spacing w:val="-1"/>
        </w:rPr>
        <w:t>补充维生素D</w:t>
      </w:r>
      <w:r>
        <w:rPr>
          <w:rFonts w:ascii="宋体" w:eastAsia="宋体" w:hAnsi="宋体" w:cs="宋体"/>
          <w:spacing w:val="-6"/>
        </w:rPr>
        <w:t xml:space="preserve"> </w:t>
      </w:r>
      <w:r>
        <w:rPr>
          <w:rFonts w:ascii="宋体" w:eastAsia="宋体" w:hAnsi="宋体" w:cs="宋体"/>
          <w:spacing w:val="-1"/>
        </w:rPr>
        <w:t>可以促进老年人机体对钙、磷的吸收，并调节体内钙、</w:t>
      </w:r>
      <w:r>
        <w:rPr>
          <w:rFonts w:ascii="宋体" w:eastAsia="宋体" w:hAnsi="宋体" w:cs="宋体"/>
          <w:spacing w:val="-2"/>
        </w:rPr>
        <w:t>磷的代谢。</w:t>
      </w:r>
      <w:r>
        <w:rPr>
          <w:rFonts w:ascii="宋体" w:eastAsia="宋体" w:hAnsi="宋体" w:cs="宋体"/>
        </w:rPr>
        <w:t xml:space="preserve"> </w:t>
      </w:r>
      <w:r>
        <w:rPr>
          <w:rFonts w:ascii="宋体" w:eastAsia="宋体" w:hAnsi="宋体" w:cs="宋体"/>
          <w:spacing w:val="3"/>
        </w:rPr>
        <w:t>维生素E</w:t>
      </w:r>
      <w:r>
        <w:rPr>
          <w:rFonts w:ascii="宋体" w:eastAsia="宋体" w:hAnsi="宋体" w:cs="宋体"/>
          <w:spacing w:val="4"/>
        </w:rPr>
        <w:t xml:space="preserve"> </w:t>
      </w:r>
      <w:r>
        <w:rPr>
          <w:rFonts w:ascii="宋体" w:eastAsia="宋体" w:hAnsi="宋体" w:cs="宋体"/>
          <w:spacing w:val="3"/>
        </w:rPr>
        <w:t>因具有抗氧化、抗衰老作用对老年人显得尤为重要。2000年，中国营</w:t>
      </w:r>
      <w:r>
        <w:rPr>
          <w:rFonts w:ascii="宋体" w:eastAsia="宋体" w:hAnsi="宋体" w:cs="宋体"/>
        </w:rPr>
        <w:t xml:space="preserve">  </w:t>
      </w:r>
      <w:r>
        <w:rPr>
          <w:rFonts w:ascii="宋体" w:eastAsia="宋体" w:hAnsi="宋体" w:cs="宋体"/>
          <w:spacing w:val="3"/>
        </w:rPr>
        <w:t>养学会推荐的老年人膳食维生素A</w:t>
      </w:r>
      <w:r>
        <w:rPr>
          <w:rFonts w:ascii="宋体" w:eastAsia="宋体" w:hAnsi="宋体" w:cs="宋体"/>
          <w:spacing w:val="15"/>
        </w:rPr>
        <w:t xml:space="preserve"> </w:t>
      </w:r>
      <w:r>
        <w:rPr>
          <w:rFonts w:ascii="宋体" w:eastAsia="宋体" w:hAnsi="宋体" w:cs="宋体"/>
          <w:spacing w:val="3"/>
        </w:rPr>
        <w:t>摄入量</w:t>
      </w:r>
      <w:r>
        <w:rPr>
          <w:rFonts w:ascii="宋体" w:eastAsia="宋体" w:hAnsi="宋体" w:cs="宋体"/>
        </w:rPr>
        <w:t>RNI</w:t>
      </w:r>
      <w:r>
        <w:rPr>
          <w:rFonts w:ascii="宋体" w:eastAsia="宋体" w:hAnsi="宋体" w:cs="宋体"/>
          <w:spacing w:val="27"/>
        </w:rPr>
        <w:t xml:space="preserve"> </w:t>
      </w:r>
      <w:r>
        <w:rPr>
          <w:rFonts w:ascii="宋体" w:eastAsia="宋体" w:hAnsi="宋体" w:cs="宋体"/>
          <w:spacing w:val="3"/>
        </w:rPr>
        <w:t>值男性为800μg/d</w:t>
      </w:r>
      <w:r>
        <w:rPr>
          <w:rFonts w:ascii="宋体" w:eastAsia="宋体" w:hAnsi="宋体" w:cs="宋体"/>
          <w:spacing w:val="-49"/>
        </w:rPr>
        <w:t xml:space="preserve"> </w:t>
      </w:r>
      <w:r>
        <w:rPr>
          <w:rFonts w:ascii="宋体" w:eastAsia="宋体" w:hAnsi="宋体" w:cs="宋体"/>
          <w:spacing w:val="3"/>
        </w:rPr>
        <w:t>视黄醇当量，</w:t>
      </w:r>
    </w:p>
    <w:p w:rsidR="00EA40A3" w:rsidRDefault="00E86C16">
      <w:pPr>
        <w:spacing w:before="59"/>
        <w:ind w:left="150"/>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334</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75" w:bottom="400" w:left="899" w:header="0" w:footer="0" w:gutter="0"/>
          <w:cols w:space="720"/>
        </w:sectPr>
      </w:pPr>
    </w:p>
    <w:p w:rsidR="00EA40A3" w:rsidRDefault="00EA40A3">
      <w:pPr>
        <w:spacing w:line="305" w:lineRule="auto"/>
      </w:pPr>
    </w:p>
    <w:p w:rsidR="00EA40A3" w:rsidRDefault="00EA40A3">
      <w:pPr>
        <w:spacing w:line="305" w:lineRule="auto"/>
      </w:pPr>
    </w:p>
    <w:p w:rsidR="00EA40A3" w:rsidRDefault="00E86C16">
      <w:pPr>
        <w:spacing w:before="69" w:line="247" w:lineRule="auto"/>
        <w:ind w:right="101"/>
        <w:rPr>
          <w:rFonts w:ascii="宋体" w:eastAsia="宋体" w:hAnsi="宋体" w:cs="宋体"/>
        </w:rPr>
      </w:pPr>
      <w:r>
        <w:rPr>
          <w:rFonts w:ascii="宋体" w:eastAsia="宋体" w:hAnsi="宋体" w:cs="宋体"/>
          <w:spacing w:val="1"/>
        </w:rPr>
        <w:t>女性为700μg/d</w:t>
      </w:r>
      <w:r>
        <w:rPr>
          <w:rFonts w:ascii="宋体" w:eastAsia="宋体" w:hAnsi="宋体" w:cs="宋体"/>
          <w:spacing w:val="-49"/>
        </w:rPr>
        <w:t xml:space="preserve"> </w:t>
      </w:r>
      <w:r>
        <w:rPr>
          <w:rFonts w:ascii="宋体" w:eastAsia="宋体" w:hAnsi="宋体" w:cs="宋体"/>
          <w:spacing w:val="1"/>
        </w:rPr>
        <w:t>视黄醇当量；维生素D</w:t>
      </w:r>
      <w:r>
        <w:rPr>
          <w:rFonts w:ascii="宋体" w:eastAsia="宋体" w:hAnsi="宋体" w:cs="宋体"/>
          <w:spacing w:val="4"/>
        </w:rPr>
        <w:t xml:space="preserve"> </w:t>
      </w:r>
      <w:r>
        <w:rPr>
          <w:rFonts w:ascii="宋体" w:eastAsia="宋体" w:hAnsi="宋体" w:cs="宋体"/>
          <w:spacing w:val="1"/>
        </w:rPr>
        <w:t>的</w:t>
      </w:r>
      <w:r>
        <w:rPr>
          <w:rFonts w:ascii="宋体" w:eastAsia="宋体" w:hAnsi="宋体" w:cs="宋体"/>
        </w:rPr>
        <w:t>推荐摄入量RNI</w:t>
      </w:r>
      <w:r>
        <w:rPr>
          <w:rFonts w:ascii="宋体" w:eastAsia="宋体" w:hAnsi="宋体" w:cs="宋体"/>
          <w:spacing w:val="26"/>
        </w:rPr>
        <w:t xml:space="preserve"> </w:t>
      </w:r>
      <w:r>
        <w:rPr>
          <w:rFonts w:ascii="宋体" w:eastAsia="宋体" w:hAnsi="宋体" w:cs="宋体"/>
        </w:rPr>
        <w:t xml:space="preserve">值男女均为10μg/d; </w:t>
      </w:r>
      <w:r>
        <w:rPr>
          <w:rFonts w:ascii="宋体" w:eastAsia="宋体" w:hAnsi="宋体" w:cs="宋体"/>
          <w:spacing w:val="-1"/>
        </w:rPr>
        <w:t>维生素E</w:t>
      </w:r>
      <w:r>
        <w:rPr>
          <w:rFonts w:ascii="宋体" w:eastAsia="宋体" w:hAnsi="宋体" w:cs="宋体"/>
          <w:spacing w:val="-15"/>
        </w:rPr>
        <w:t xml:space="preserve"> </w:t>
      </w:r>
      <w:r>
        <w:rPr>
          <w:rFonts w:ascii="宋体" w:eastAsia="宋体" w:hAnsi="宋体" w:cs="宋体"/>
          <w:spacing w:val="-1"/>
        </w:rPr>
        <w:t>适宜摄入量</w:t>
      </w:r>
      <w:r>
        <w:rPr>
          <w:rFonts w:ascii="宋体" w:eastAsia="宋体" w:hAnsi="宋体" w:cs="宋体"/>
          <w:spacing w:val="14"/>
        </w:rPr>
        <w:t xml:space="preserve"> </w:t>
      </w:r>
      <w:r>
        <w:rPr>
          <w:rFonts w:ascii="宋体" w:eastAsia="宋体" w:hAnsi="宋体" w:cs="宋体"/>
          <w:spacing w:val="-1"/>
        </w:rPr>
        <w:t>(AI)</w:t>
      </w:r>
      <w:r>
        <w:rPr>
          <w:rFonts w:ascii="宋体" w:eastAsia="宋体" w:hAnsi="宋体" w:cs="宋体"/>
          <w:spacing w:val="60"/>
        </w:rPr>
        <w:t xml:space="preserve"> </w:t>
      </w:r>
      <w:r>
        <w:rPr>
          <w:rFonts w:ascii="宋体" w:eastAsia="宋体" w:hAnsi="宋体" w:cs="宋体"/>
          <w:spacing w:val="-1"/>
        </w:rPr>
        <w:t>为14mg/dα-TE。</w:t>
      </w:r>
    </w:p>
    <w:p w:rsidR="00EA40A3" w:rsidRDefault="00E86C16">
      <w:pPr>
        <w:spacing w:before="61" w:line="225" w:lineRule="auto"/>
        <w:rPr>
          <w:rFonts w:ascii="楷体" w:eastAsia="楷体" w:hAnsi="楷体" w:cs="楷体"/>
        </w:rPr>
      </w:pPr>
      <w:r>
        <w:rPr>
          <w:rFonts w:ascii="楷体" w:eastAsia="楷体" w:hAnsi="楷体" w:cs="楷体"/>
          <w:spacing w:val="3"/>
        </w:rPr>
        <w:t>2)水溶性维生素</w:t>
      </w:r>
    </w:p>
    <w:p w:rsidR="00EA40A3" w:rsidRDefault="00E86C16">
      <w:pPr>
        <w:spacing w:before="42" w:line="259" w:lineRule="auto"/>
        <w:ind w:right="11" w:firstLine="520"/>
        <w:rPr>
          <w:rFonts w:ascii="宋体" w:eastAsia="宋体" w:hAnsi="宋体" w:cs="宋体"/>
        </w:rPr>
      </w:pPr>
      <w:r>
        <w:rPr>
          <w:rFonts w:ascii="宋体" w:eastAsia="宋体" w:hAnsi="宋体" w:cs="宋体"/>
          <w:spacing w:val="3"/>
        </w:rPr>
        <w:t>维生素C</w:t>
      </w:r>
      <w:r>
        <w:rPr>
          <w:rFonts w:ascii="宋体" w:eastAsia="宋体" w:hAnsi="宋体" w:cs="宋体"/>
          <w:spacing w:val="1"/>
        </w:rPr>
        <w:t xml:space="preserve"> </w:t>
      </w:r>
      <w:r>
        <w:rPr>
          <w:rFonts w:ascii="宋体" w:eastAsia="宋体" w:hAnsi="宋体" w:cs="宋体"/>
          <w:spacing w:val="3"/>
        </w:rPr>
        <w:t>可促进组织胶原蛋白的合成，防止老年血管硬化，并可降低血浆</w:t>
      </w:r>
      <w:r>
        <w:rPr>
          <w:rFonts w:ascii="宋体" w:eastAsia="宋体" w:hAnsi="宋体" w:cs="宋体"/>
        </w:rPr>
        <w:t xml:space="preserve"> </w:t>
      </w:r>
      <w:r>
        <w:rPr>
          <w:rFonts w:ascii="宋体" w:eastAsia="宋体" w:hAnsi="宋体" w:cs="宋体"/>
          <w:spacing w:val="1"/>
        </w:rPr>
        <w:t>胆固醇，增强机体免疫功能，同时维生素</w:t>
      </w:r>
      <w:r>
        <w:rPr>
          <w:rFonts w:ascii="宋体" w:eastAsia="宋体" w:hAnsi="宋体" w:cs="宋体"/>
          <w:spacing w:val="-38"/>
        </w:rPr>
        <w:t xml:space="preserve"> </w:t>
      </w:r>
      <w:r>
        <w:rPr>
          <w:rFonts w:ascii="宋体" w:eastAsia="宋体" w:hAnsi="宋体" w:cs="宋体"/>
          <w:spacing w:val="1"/>
        </w:rPr>
        <w:t>C</w:t>
      </w:r>
      <w:r>
        <w:rPr>
          <w:rFonts w:ascii="宋体" w:eastAsia="宋体" w:hAnsi="宋体" w:cs="宋体"/>
          <w:spacing w:val="-4"/>
        </w:rPr>
        <w:t xml:space="preserve"> </w:t>
      </w:r>
      <w:r>
        <w:rPr>
          <w:rFonts w:ascii="宋体" w:eastAsia="宋体" w:hAnsi="宋体" w:cs="宋体"/>
          <w:spacing w:val="1"/>
        </w:rPr>
        <w:t>又具有抗氧化作用，可预防老年人</w:t>
      </w:r>
      <w:r>
        <w:rPr>
          <w:rFonts w:ascii="宋体" w:eastAsia="宋体" w:hAnsi="宋体" w:cs="宋体"/>
        </w:rPr>
        <w:t xml:space="preserve">  </w:t>
      </w:r>
      <w:r>
        <w:rPr>
          <w:rFonts w:ascii="宋体" w:eastAsia="宋体" w:hAnsi="宋体" w:cs="宋体"/>
          <w:spacing w:val="-3"/>
        </w:rPr>
        <w:t>机体内的氧化损伤，因此，老年人膳食中应供应充足的维生素C。</w:t>
      </w:r>
      <w:r>
        <w:rPr>
          <w:rFonts w:ascii="宋体" w:eastAsia="宋体" w:hAnsi="宋体" w:cs="宋体"/>
          <w:spacing w:val="-20"/>
        </w:rPr>
        <w:t xml:space="preserve"> </w:t>
      </w:r>
      <w:r>
        <w:rPr>
          <w:rFonts w:ascii="宋体" w:eastAsia="宋体" w:hAnsi="宋体" w:cs="宋体"/>
          <w:spacing w:val="-3"/>
        </w:rPr>
        <w:t>另外，维生素</w:t>
      </w:r>
      <w:r>
        <w:rPr>
          <w:rFonts w:ascii="宋体" w:eastAsia="宋体" w:hAnsi="宋体" w:cs="宋体"/>
        </w:rPr>
        <w:t xml:space="preserve">  Bi、</w:t>
      </w:r>
      <w:r>
        <w:rPr>
          <w:rFonts w:ascii="宋体" w:eastAsia="宋体" w:hAnsi="宋体" w:cs="宋体"/>
          <w:spacing w:val="-36"/>
        </w:rPr>
        <w:t xml:space="preserve"> </w:t>
      </w:r>
      <w:r>
        <w:rPr>
          <w:rFonts w:ascii="宋体" w:eastAsia="宋体" w:hAnsi="宋体" w:cs="宋体"/>
        </w:rPr>
        <w:t>维生素</w:t>
      </w:r>
      <w:r>
        <w:rPr>
          <w:rFonts w:ascii="宋体" w:eastAsia="宋体" w:hAnsi="宋体" w:cs="宋体"/>
          <w:spacing w:val="-44"/>
        </w:rPr>
        <w:t xml:space="preserve"> </w:t>
      </w:r>
      <w:r>
        <w:rPr>
          <w:rFonts w:ascii="宋体" w:eastAsia="宋体" w:hAnsi="宋体" w:cs="宋体"/>
        </w:rPr>
        <w:t>B</w:t>
      </w:r>
      <w:r>
        <w:rPr>
          <w:rFonts w:ascii="Calibri" w:eastAsia="Calibri" w:hAnsi="Calibri" w:cs="Calibri"/>
        </w:rPr>
        <w:t>₂</w:t>
      </w:r>
      <w:r>
        <w:rPr>
          <w:rFonts w:ascii="Calibri" w:eastAsia="Calibri" w:hAnsi="Calibri" w:cs="Calibri"/>
          <w:spacing w:val="1"/>
        </w:rPr>
        <w:t xml:space="preserve">  </w:t>
      </w:r>
      <w:r>
        <w:rPr>
          <w:rFonts w:ascii="宋体" w:eastAsia="宋体" w:hAnsi="宋体" w:cs="宋体"/>
        </w:rPr>
        <w:t>及叶酸三者的协同作用能够有效控制血中同型半胱氨酸的浓度，</w:t>
      </w:r>
      <w:r>
        <w:rPr>
          <w:rFonts w:ascii="宋体" w:eastAsia="宋体" w:hAnsi="宋体" w:cs="宋体"/>
          <w:spacing w:val="1"/>
        </w:rPr>
        <w:t xml:space="preserve"> </w:t>
      </w:r>
      <w:r>
        <w:rPr>
          <w:rFonts w:ascii="宋体" w:eastAsia="宋体" w:hAnsi="宋体" w:cs="宋体"/>
          <w:spacing w:val="-3"/>
        </w:rPr>
        <w:t>并由此减缓老年人动脉的病理性改变如动脉粥样硬化、冠心病等</w:t>
      </w:r>
      <w:r>
        <w:rPr>
          <w:rFonts w:ascii="宋体" w:eastAsia="宋体" w:hAnsi="宋体" w:cs="宋体"/>
          <w:spacing w:val="-4"/>
        </w:rPr>
        <w:t>。近来的研究还</w:t>
      </w:r>
      <w:r>
        <w:rPr>
          <w:rFonts w:ascii="宋体" w:eastAsia="宋体" w:hAnsi="宋体" w:cs="宋体"/>
        </w:rPr>
        <w:t xml:space="preserve">  </w:t>
      </w:r>
      <w:r>
        <w:rPr>
          <w:rFonts w:ascii="宋体" w:eastAsia="宋体" w:hAnsi="宋体" w:cs="宋体"/>
          <w:spacing w:val="1"/>
        </w:rPr>
        <w:t>表明，叶酸和维生素B</w:t>
      </w:r>
      <w:r>
        <w:rPr>
          <w:rFonts w:ascii="Calibri" w:eastAsia="Calibri" w:hAnsi="Calibri" w:cs="Calibri"/>
          <w:spacing w:val="1"/>
        </w:rPr>
        <w:t>₂</w:t>
      </w:r>
      <w:r>
        <w:rPr>
          <w:rFonts w:ascii="Calibri" w:eastAsia="Calibri" w:hAnsi="Calibri" w:cs="Calibri"/>
          <w:spacing w:val="6"/>
        </w:rPr>
        <w:t xml:space="preserve">  </w:t>
      </w:r>
      <w:r>
        <w:rPr>
          <w:rFonts w:ascii="宋体" w:eastAsia="宋体" w:hAnsi="宋体" w:cs="宋体"/>
          <w:spacing w:val="1"/>
        </w:rPr>
        <w:t>与老年性痴呆关系密切。中国营</w:t>
      </w:r>
      <w:r>
        <w:rPr>
          <w:rFonts w:ascii="宋体" w:eastAsia="宋体" w:hAnsi="宋体" w:cs="宋体"/>
        </w:rPr>
        <w:t xml:space="preserve">养学会2000年对老年人  </w:t>
      </w:r>
      <w:r>
        <w:rPr>
          <w:rFonts w:ascii="宋体" w:eastAsia="宋体" w:hAnsi="宋体" w:cs="宋体"/>
          <w:spacing w:val="2"/>
        </w:rPr>
        <w:t>膳食维生素</w:t>
      </w:r>
      <w:r>
        <w:rPr>
          <w:rFonts w:ascii="宋体" w:eastAsia="宋体" w:hAnsi="宋体" w:cs="宋体"/>
          <w:spacing w:val="-57"/>
        </w:rPr>
        <w:t xml:space="preserve"> </w:t>
      </w:r>
      <w:r>
        <w:rPr>
          <w:rFonts w:ascii="宋体" w:eastAsia="宋体" w:hAnsi="宋体" w:cs="宋体"/>
          <w:spacing w:val="2"/>
        </w:rPr>
        <w:t>C</w:t>
      </w:r>
      <w:r>
        <w:rPr>
          <w:rFonts w:ascii="宋体" w:eastAsia="宋体" w:hAnsi="宋体" w:cs="宋体"/>
          <w:spacing w:val="-23"/>
        </w:rPr>
        <w:t xml:space="preserve"> </w:t>
      </w:r>
      <w:r>
        <w:rPr>
          <w:rFonts w:ascii="宋体" w:eastAsia="宋体" w:hAnsi="宋体" w:cs="宋体"/>
          <w:spacing w:val="2"/>
        </w:rPr>
        <w:t>的推荐摄入量</w:t>
      </w:r>
      <w:r>
        <w:rPr>
          <w:rFonts w:ascii="宋体" w:eastAsia="宋体" w:hAnsi="宋体" w:cs="宋体"/>
          <w:spacing w:val="-4"/>
        </w:rPr>
        <w:t xml:space="preserve"> </w:t>
      </w:r>
      <w:r>
        <w:rPr>
          <w:rFonts w:ascii="宋体" w:eastAsia="宋体" w:hAnsi="宋体" w:cs="宋体"/>
          <w:spacing w:val="2"/>
        </w:rPr>
        <w:t>(</w:t>
      </w:r>
      <w:r>
        <w:rPr>
          <w:rFonts w:ascii="宋体" w:eastAsia="宋体" w:hAnsi="宋体" w:cs="宋体"/>
        </w:rPr>
        <w:t>RNI</w:t>
      </w:r>
      <w:r>
        <w:rPr>
          <w:rFonts w:ascii="宋体" w:eastAsia="宋体" w:hAnsi="宋体" w:cs="宋体"/>
          <w:spacing w:val="2"/>
        </w:rPr>
        <w:t>)</w:t>
      </w:r>
      <w:r>
        <w:rPr>
          <w:rFonts w:ascii="宋体" w:eastAsia="宋体" w:hAnsi="宋体" w:cs="宋体"/>
          <w:spacing w:val="86"/>
        </w:rPr>
        <w:t xml:space="preserve"> </w:t>
      </w:r>
      <w:r>
        <w:rPr>
          <w:rFonts w:ascii="宋体" w:eastAsia="宋体" w:hAnsi="宋体" w:cs="宋体"/>
          <w:spacing w:val="2"/>
        </w:rPr>
        <w:t>为100</w:t>
      </w:r>
      <w:r>
        <w:rPr>
          <w:rFonts w:ascii="宋体" w:eastAsia="宋体" w:hAnsi="宋体" w:cs="宋体"/>
        </w:rPr>
        <w:t>mg</w:t>
      </w:r>
      <w:r>
        <w:rPr>
          <w:rFonts w:ascii="宋体" w:eastAsia="宋体" w:hAnsi="宋体" w:cs="宋体"/>
          <w:spacing w:val="2"/>
        </w:rPr>
        <w:t>/d;</w:t>
      </w:r>
      <w:r>
        <w:rPr>
          <w:rFonts w:ascii="宋体" w:eastAsia="宋体" w:hAnsi="宋体" w:cs="宋体"/>
          <w:spacing w:val="42"/>
        </w:rPr>
        <w:t xml:space="preserve"> </w:t>
      </w:r>
      <w:r>
        <w:rPr>
          <w:rFonts w:ascii="宋体" w:eastAsia="宋体" w:hAnsi="宋体" w:cs="宋体"/>
          <w:spacing w:val="2"/>
        </w:rPr>
        <w:t>维生素B</w:t>
      </w:r>
      <w:r>
        <w:rPr>
          <w:rFonts w:ascii="Calibri" w:eastAsia="Calibri" w:hAnsi="Calibri" w:cs="Calibri"/>
          <w:spacing w:val="2"/>
        </w:rPr>
        <w:t>₈</w:t>
      </w:r>
      <w:r>
        <w:rPr>
          <w:rFonts w:ascii="Calibri" w:eastAsia="Calibri" w:hAnsi="Calibri" w:cs="Calibri"/>
          <w:spacing w:val="-4"/>
        </w:rPr>
        <w:t xml:space="preserve"> </w:t>
      </w:r>
      <w:r>
        <w:rPr>
          <w:rFonts w:ascii="宋体" w:eastAsia="宋体" w:hAnsi="宋体" w:cs="宋体"/>
          <w:spacing w:val="2"/>
        </w:rPr>
        <w:t>的适宜摄入量</w:t>
      </w:r>
      <w:r>
        <w:rPr>
          <w:rFonts w:ascii="宋体" w:eastAsia="宋体" w:hAnsi="宋体" w:cs="宋体"/>
        </w:rPr>
        <w:t>AI</w:t>
      </w:r>
      <w:r>
        <w:rPr>
          <w:rFonts w:ascii="宋体" w:eastAsia="宋体" w:hAnsi="宋体" w:cs="宋体"/>
          <w:spacing w:val="-14"/>
        </w:rPr>
        <w:t xml:space="preserve"> </w:t>
      </w:r>
      <w:r>
        <w:rPr>
          <w:rFonts w:ascii="宋体" w:eastAsia="宋体" w:hAnsi="宋体" w:cs="宋体"/>
          <w:spacing w:val="2"/>
        </w:rPr>
        <w:t>值</w:t>
      </w:r>
      <w:r>
        <w:rPr>
          <w:rFonts w:ascii="宋体" w:eastAsia="宋体" w:hAnsi="宋体" w:cs="宋体"/>
        </w:rPr>
        <w:t xml:space="preserve">  </w:t>
      </w:r>
      <w:r>
        <w:rPr>
          <w:rFonts w:ascii="宋体" w:eastAsia="宋体" w:hAnsi="宋体" w:cs="宋体"/>
          <w:spacing w:val="-2"/>
        </w:rPr>
        <w:t>1.5mg/d;</w:t>
      </w:r>
      <w:r>
        <w:rPr>
          <w:rFonts w:ascii="宋体" w:eastAsia="宋体" w:hAnsi="宋体" w:cs="宋体"/>
          <w:spacing w:val="68"/>
        </w:rPr>
        <w:t xml:space="preserve"> </w:t>
      </w:r>
      <w:r>
        <w:rPr>
          <w:rFonts w:ascii="宋体" w:eastAsia="宋体" w:hAnsi="宋体" w:cs="宋体"/>
          <w:spacing w:val="-2"/>
        </w:rPr>
        <w:t>维生素</w:t>
      </w:r>
      <w:r>
        <w:rPr>
          <w:rFonts w:ascii="宋体" w:eastAsia="宋体" w:hAnsi="宋体" w:cs="宋体"/>
          <w:spacing w:val="-53"/>
        </w:rPr>
        <w:t xml:space="preserve"> </w:t>
      </w:r>
      <w:r>
        <w:rPr>
          <w:rFonts w:ascii="宋体" w:eastAsia="宋体" w:hAnsi="宋体" w:cs="宋体"/>
          <w:spacing w:val="-2"/>
        </w:rPr>
        <w:t>B</w:t>
      </w:r>
      <w:r>
        <w:rPr>
          <w:rFonts w:ascii="Calibri" w:eastAsia="Calibri" w:hAnsi="Calibri" w:cs="Calibri"/>
          <w:spacing w:val="-2"/>
        </w:rPr>
        <w:t>₂</w:t>
      </w:r>
      <w:r>
        <w:rPr>
          <w:rFonts w:ascii="Calibri" w:eastAsia="Calibri" w:hAnsi="Calibri" w:cs="Calibri"/>
          <w:spacing w:val="11"/>
        </w:rPr>
        <w:t xml:space="preserve">  </w:t>
      </w:r>
      <w:r>
        <w:rPr>
          <w:rFonts w:ascii="宋体" w:eastAsia="宋体" w:hAnsi="宋体" w:cs="宋体"/>
          <w:spacing w:val="-2"/>
        </w:rPr>
        <w:t>的</w:t>
      </w:r>
      <w:r>
        <w:rPr>
          <w:rFonts w:ascii="宋体" w:eastAsia="宋体" w:hAnsi="宋体" w:cs="宋体"/>
          <w:spacing w:val="-39"/>
        </w:rPr>
        <w:t xml:space="preserve"> </w:t>
      </w:r>
      <w:r>
        <w:rPr>
          <w:rFonts w:ascii="宋体" w:eastAsia="宋体" w:hAnsi="宋体" w:cs="宋体"/>
          <w:spacing w:val="-2"/>
        </w:rPr>
        <w:t>AI</w:t>
      </w:r>
      <w:r>
        <w:rPr>
          <w:rFonts w:ascii="宋体" w:eastAsia="宋体" w:hAnsi="宋体" w:cs="宋体"/>
          <w:spacing w:val="-33"/>
        </w:rPr>
        <w:t xml:space="preserve"> </w:t>
      </w:r>
      <w:r>
        <w:rPr>
          <w:rFonts w:ascii="宋体" w:eastAsia="宋体" w:hAnsi="宋体" w:cs="宋体"/>
          <w:spacing w:val="-2"/>
        </w:rPr>
        <w:t>值为2.4</w:t>
      </w:r>
      <w:r>
        <w:rPr>
          <w:rFonts w:ascii="宋体" w:eastAsia="宋体" w:hAnsi="宋体" w:cs="宋体"/>
          <w:spacing w:val="-40"/>
        </w:rPr>
        <w:t xml:space="preserve"> </w:t>
      </w:r>
      <w:r>
        <w:rPr>
          <w:rFonts w:ascii="宋体" w:eastAsia="宋体" w:hAnsi="宋体" w:cs="宋体"/>
          <w:spacing w:val="-2"/>
        </w:rPr>
        <w:t>μg/d;</w:t>
      </w:r>
      <w:r>
        <w:rPr>
          <w:rFonts w:ascii="宋体" w:eastAsia="宋体" w:hAnsi="宋体" w:cs="宋体"/>
          <w:spacing w:val="7"/>
        </w:rPr>
        <w:t xml:space="preserve"> </w:t>
      </w:r>
      <w:r>
        <w:rPr>
          <w:rFonts w:ascii="宋体" w:eastAsia="宋体" w:hAnsi="宋体" w:cs="宋体"/>
          <w:spacing w:val="-2"/>
        </w:rPr>
        <w:t>叶酸的RNI</w:t>
      </w:r>
      <w:r>
        <w:rPr>
          <w:rFonts w:ascii="宋体" w:eastAsia="宋体" w:hAnsi="宋体" w:cs="宋体"/>
          <w:spacing w:val="26"/>
        </w:rPr>
        <w:t xml:space="preserve"> </w:t>
      </w:r>
      <w:r>
        <w:rPr>
          <w:rFonts w:ascii="宋体" w:eastAsia="宋体" w:hAnsi="宋体" w:cs="宋体"/>
          <w:spacing w:val="-2"/>
        </w:rPr>
        <w:t>值为DFE</w:t>
      </w:r>
      <w:r>
        <w:rPr>
          <w:rFonts w:ascii="宋体" w:eastAsia="宋体" w:hAnsi="宋体" w:cs="宋体"/>
          <w:spacing w:val="7"/>
        </w:rPr>
        <w:t xml:space="preserve"> </w:t>
      </w:r>
      <w:r>
        <w:rPr>
          <w:rFonts w:ascii="宋体" w:eastAsia="宋体" w:hAnsi="宋体" w:cs="宋体"/>
          <w:spacing w:val="-2"/>
        </w:rPr>
        <w:t>400μg</w:t>
      </w:r>
      <w:r>
        <w:rPr>
          <w:rFonts w:ascii="宋体" w:eastAsia="宋体" w:hAnsi="宋体" w:cs="宋体"/>
          <w:spacing w:val="8"/>
        </w:rPr>
        <w:t xml:space="preserve"> </w:t>
      </w:r>
      <w:r>
        <w:rPr>
          <w:rFonts w:ascii="宋体" w:eastAsia="宋体" w:hAnsi="宋体" w:cs="宋体"/>
          <w:spacing w:val="-2"/>
        </w:rPr>
        <w:t>/d;</w:t>
      </w:r>
      <w:r>
        <w:rPr>
          <w:rFonts w:ascii="宋体" w:eastAsia="宋体" w:hAnsi="宋体" w:cs="宋体"/>
          <w:spacing w:val="-51"/>
        </w:rPr>
        <w:t xml:space="preserve"> </w:t>
      </w:r>
      <w:r>
        <w:rPr>
          <w:rFonts w:ascii="宋体" w:eastAsia="宋体" w:hAnsi="宋体" w:cs="宋体"/>
          <w:spacing w:val="-3"/>
        </w:rPr>
        <w:t>其</w:t>
      </w:r>
      <w:r>
        <w:rPr>
          <w:rFonts w:ascii="宋体" w:eastAsia="宋体" w:hAnsi="宋体" w:cs="宋体"/>
        </w:rPr>
        <w:t xml:space="preserve">  </w:t>
      </w:r>
      <w:r>
        <w:rPr>
          <w:rFonts w:ascii="宋体" w:eastAsia="宋体" w:hAnsi="宋体" w:cs="宋体"/>
          <w:spacing w:val="-4"/>
        </w:rPr>
        <w:t>他各种维生素的推荐摄入量见表10-13。</w:t>
      </w:r>
    </w:p>
    <w:p w:rsidR="00EA40A3" w:rsidRDefault="00EA40A3">
      <w:pPr>
        <w:spacing w:line="297" w:lineRule="auto"/>
      </w:pPr>
    </w:p>
    <w:p w:rsidR="00EA40A3" w:rsidRDefault="00E86C16">
      <w:pPr>
        <w:spacing w:before="68" w:line="221" w:lineRule="auto"/>
        <w:ind w:left="2102"/>
        <w:rPr>
          <w:rFonts w:ascii="黑体" w:eastAsia="黑体" w:hAnsi="黑体" w:cs="黑体"/>
        </w:rPr>
      </w:pPr>
      <w:r>
        <w:rPr>
          <w:rFonts w:ascii="黑体" w:eastAsia="黑体" w:hAnsi="黑体" w:cs="黑体"/>
          <w:b/>
          <w:bCs/>
          <w:spacing w:val="-19"/>
        </w:rPr>
        <w:t>表10-13</w:t>
      </w:r>
      <w:r>
        <w:rPr>
          <w:rFonts w:ascii="黑体" w:eastAsia="黑体" w:hAnsi="黑体" w:cs="黑体"/>
          <w:spacing w:val="61"/>
        </w:rPr>
        <w:t xml:space="preserve"> </w:t>
      </w:r>
      <w:r>
        <w:rPr>
          <w:rFonts w:ascii="黑体" w:eastAsia="黑体" w:hAnsi="黑体" w:cs="黑体"/>
          <w:b/>
          <w:bCs/>
          <w:spacing w:val="-19"/>
        </w:rPr>
        <w:t>我国老年人维生素的RNI</w:t>
      </w:r>
      <w:r>
        <w:rPr>
          <w:rFonts w:ascii="黑体" w:eastAsia="黑体" w:hAnsi="黑体" w:cs="黑体"/>
          <w:spacing w:val="-61"/>
        </w:rPr>
        <w:t xml:space="preserve"> </w:t>
      </w:r>
      <w:r>
        <w:rPr>
          <w:rFonts w:ascii="黑体" w:eastAsia="黑体" w:hAnsi="黑体" w:cs="黑体"/>
          <w:b/>
          <w:bCs/>
          <w:spacing w:val="-19"/>
        </w:rPr>
        <w:t>或AI</w:t>
      </w:r>
    </w:p>
    <w:p w:rsidR="00EA40A3" w:rsidRDefault="00EA40A3">
      <w:pPr>
        <w:spacing w:line="19" w:lineRule="exact"/>
      </w:pP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23"/>
        <w:gridCol w:w="1193"/>
        <w:gridCol w:w="908"/>
        <w:gridCol w:w="1200"/>
        <w:gridCol w:w="903"/>
        <w:gridCol w:w="1112"/>
        <w:gridCol w:w="1110"/>
      </w:tblGrid>
      <w:tr w:rsidR="00EA40A3">
        <w:trPr>
          <w:trHeight w:val="633"/>
        </w:trPr>
        <w:tc>
          <w:tcPr>
            <w:tcW w:w="923" w:type="dxa"/>
            <w:tcBorders>
              <w:top w:val="single" w:sz="4" w:space="0" w:color="000000"/>
              <w:bottom w:val="single" w:sz="4" w:space="0" w:color="000000"/>
            </w:tcBorders>
          </w:tcPr>
          <w:p w:rsidR="00EA40A3" w:rsidRDefault="00E86C16">
            <w:pPr>
              <w:spacing w:before="241" w:line="219" w:lineRule="auto"/>
              <w:ind w:left="329"/>
              <w:rPr>
                <w:rFonts w:ascii="宋体" w:eastAsia="宋体" w:hAnsi="宋体" w:cs="宋体"/>
                <w:sz w:val="16"/>
                <w:szCs w:val="16"/>
              </w:rPr>
            </w:pPr>
            <w:r>
              <w:rPr>
                <w:rFonts w:ascii="宋体" w:eastAsia="宋体" w:hAnsi="宋体" w:cs="宋体"/>
                <w:spacing w:val="-2"/>
                <w:sz w:val="16"/>
                <w:szCs w:val="16"/>
              </w:rPr>
              <w:t>年龄</w:t>
            </w:r>
          </w:p>
        </w:tc>
        <w:tc>
          <w:tcPr>
            <w:tcW w:w="1193" w:type="dxa"/>
            <w:tcBorders>
              <w:top w:val="single" w:sz="4" w:space="0" w:color="000000"/>
              <w:bottom w:val="single" w:sz="4" w:space="0" w:color="000000"/>
            </w:tcBorders>
          </w:tcPr>
          <w:p w:rsidR="00EA40A3" w:rsidRDefault="00E86C16">
            <w:pPr>
              <w:spacing w:before="161" w:line="248" w:lineRule="auto"/>
              <w:ind w:left="287" w:right="187" w:firstLine="159"/>
              <w:rPr>
                <w:rFonts w:ascii="宋体" w:eastAsia="宋体" w:hAnsi="宋体" w:cs="宋体"/>
                <w:sz w:val="16"/>
                <w:szCs w:val="16"/>
              </w:rPr>
            </w:pPr>
            <w:r>
              <w:rPr>
                <w:rFonts w:ascii="宋体" w:eastAsia="宋体" w:hAnsi="宋体" w:cs="宋体"/>
                <w:spacing w:val="-3"/>
                <w:sz w:val="16"/>
                <w:szCs w:val="16"/>
              </w:rPr>
              <w:t>维生素A</w:t>
            </w:r>
            <w:r>
              <w:rPr>
                <w:rFonts w:ascii="宋体" w:eastAsia="宋体" w:hAnsi="宋体" w:cs="宋体"/>
                <w:spacing w:val="2"/>
                <w:sz w:val="16"/>
                <w:szCs w:val="16"/>
              </w:rPr>
              <w:t xml:space="preserve"> </w:t>
            </w:r>
            <w:r>
              <w:rPr>
                <w:rFonts w:ascii="宋体" w:eastAsia="宋体" w:hAnsi="宋体" w:cs="宋体"/>
                <w:spacing w:val="-1"/>
                <w:sz w:val="16"/>
                <w:szCs w:val="16"/>
              </w:rPr>
              <w:t>Al/μg</w:t>
            </w:r>
            <w:r>
              <w:rPr>
                <w:rFonts w:ascii="宋体" w:eastAsia="宋体" w:hAnsi="宋体" w:cs="宋体"/>
                <w:spacing w:val="4"/>
                <w:sz w:val="16"/>
                <w:szCs w:val="16"/>
              </w:rPr>
              <w:t xml:space="preserve"> </w:t>
            </w:r>
            <w:r>
              <w:rPr>
                <w:rFonts w:ascii="宋体" w:eastAsia="宋体" w:hAnsi="宋体" w:cs="宋体"/>
                <w:spacing w:val="-1"/>
                <w:sz w:val="16"/>
                <w:szCs w:val="16"/>
              </w:rPr>
              <w:t>RE</w:t>
            </w:r>
          </w:p>
        </w:tc>
        <w:tc>
          <w:tcPr>
            <w:tcW w:w="908" w:type="dxa"/>
            <w:tcBorders>
              <w:top w:val="single" w:sz="4" w:space="0" w:color="000000"/>
              <w:bottom w:val="single" w:sz="4" w:space="0" w:color="000000"/>
            </w:tcBorders>
          </w:tcPr>
          <w:p w:rsidR="00EA40A3" w:rsidRDefault="00E86C16">
            <w:pPr>
              <w:spacing w:before="151" w:line="242" w:lineRule="auto"/>
              <w:ind w:left="193" w:right="158"/>
              <w:rPr>
                <w:rFonts w:ascii="宋体" w:eastAsia="宋体" w:hAnsi="宋体" w:cs="宋体"/>
                <w:sz w:val="16"/>
                <w:szCs w:val="16"/>
              </w:rPr>
            </w:pPr>
            <w:r>
              <w:rPr>
                <w:rFonts w:ascii="宋体" w:eastAsia="宋体" w:hAnsi="宋体" w:cs="宋体"/>
                <w:spacing w:val="-3"/>
                <w:sz w:val="16"/>
                <w:szCs w:val="16"/>
              </w:rPr>
              <w:t>维生素D</w:t>
            </w:r>
            <w:r>
              <w:rPr>
                <w:rFonts w:ascii="宋体" w:eastAsia="宋体" w:hAnsi="宋体" w:cs="宋体"/>
                <w:spacing w:val="2"/>
                <w:sz w:val="16"/>
                <w:szCs w:val="16"/>
              </w:rPr>
              <w:t xml:space="preserve"> </w:t>
            </w:r>
            <w:r>
              <w:rPr>
                <w:rFonts w:ascii="宋体" w:eastAsia="宋体" w:hAnsi="宋体" w:cs="宋体"/>
                <w:spacing w:val="-1"/>
                <w:sz w:val="16"/>
                <w:szCs w:val="16"/>
              </w:rPr>
              <w:t>RNl/μg</w:t>
            </w:r>
          </w:p>
        </w:tc>
        <w:tc>
          <w:tcPr>
            <w:tcW w:w="1200" w:type="dxa"/>
            <w:tcBorders>
              <w:top w:val="single" w:sz="4" w:space="0" w:color="000000"/>
              <w:bottom w:val="single" w:sz="4" w:space="0" w:color="000000"/>
            </w:tcBorders>
          </w:tcPr>
          <w:p w:rsidR="00EA40A3" w:rsidRDefault="00E86C16">
            <w:pPr>
              <w:spacing w:before="141" w:line="254" w:lineRule="auto"/>
              <w:ind w:left="206" w:right="195" w:firstLine="119"/>
              <w:rPr>
                <w:rFonts w:ascii="宋体" w:eastAsia="宋体" w:hAnsi="宋体" w:cs="宋体"/>
                <w:sz w:val="16"/>
                <w:szCs w:val="16"/>
              </w:rPr>
            </w:pPr>
            <w:r>
              <w:rPr>
                <w:rFonts w:ascii="宋体" w:eastAsia="宋体" w:hAnsi="宋体" w:cs="宋体"/>
                <w:spacing w:val="-3"/>
                <w:sz w:val="16"/>
                <w:szCs w:val="16"/>
              </w:rPr>
              <w:t>维生素E</w:t>
            </w:r>
            <w:r>
              <w:rPr>
                <w:rFonts w:ascii="宋体" w:eastAsia="宋体" w:hAnsi="宋体" w:cs="宋体"/>
                <w:spacing w:val="1"/>
                <w:sz w:val="16"/>
                <w:szCs w:val="16"/>
              </w:rPr>
              <w:t xml:space="preserve">  </w:t>
            </w:r>
            <w:r>
              <w:rPr>
                <w:rFonts w:ascii="宋体" w:eastAsia="宋体" w:hAnsi="宋体" w:cs="宋体"/>
                <w:spacing w:val="-1"/>
                <w:sz w:val="16"/>
                <w:szCs w:val="16"/>
              </w:rPr>
              <w:t>AI/mgα-TF</w:t>
            </w:r>
          </w:p>
        </w:tc>
        <w:tc>
          <w:tcPr>
            <w:tcW w:w="903" w:type="dxa"/>
            <w:tcBorders>
              <w:top w:val="single" w:sz="4" w:space="0" w:color="000000"/>
              <w:bottom w:val="single" w:sz="4" w:space="0" w:color="000000"/>
            </w:tcBorders>
          </w:tcPr>
          <w:p w:rsidR="00EA40A3" w:rsidRDefault="00E86C16">
            <w:pPr>
              <w:spacing w:before="121" w:line="285" w:lineRule="exact"/>
              <w:ind w:left="166"/>
              <w:rPr>
                <w:rFonts w:ascii="宋体" w:eastAsia="宋体" w:hAnsi="宋体" w:cs="宋体"/>
                <w:sz w:val="16"/>
                <w:szCs w:val="16"/>
              </w:rPr>
            </w:pPr>
            <w:r>
              <w:rPr>
                <w:rFonts w:ascii="宋体" w:eastAsia="宋体" w:hAnsi="宋体" w:cs="宋体"/>
                <w:spacing w:val="-2"/>
                <w:position w:val="9"/>
                <w:sz w:val="16"/>
                <w:szCs w:val="16"/>
              </w:rPr>
              <w:t>维生素B</w:t>
            </w:r>
          </w:p>
          <w:p w:rsidR="00EA40A3" w:rsidRDefault="00E86C16">
            <w:pPr>
              <w:spacing w:line="213" w:lineRule="auto"/>
              <w:ind w:left="206"/>
              <w:rPr>
                <w:rFonts w:ascii="宋体" w:eastAsia="宋体" w:hAnsi="宋体" w:cs="宋体"/>
                <w:sz w:val="16"/>
                <w:szCs w:val="16"/>
              </w:rPr>
            </w:pPr>
            <w:r>
              <w:rPr>
                <w:rFonts w:ascii="宋体" w:eastAsia="宋体" w:hAnsi="宋体" w:cs="宋体"/>
                <w:spacing w:val="-1"/>
                <w:sz w:val="16"/>
                <w:szCs w:val="16"/>
              </w:rPr>
              <w:t>RNI/mg</w:t>
            </w:r>
          </w:p>
        </w:tc>
        <w:tc>
          <w:tcPr>
            <w:tcW w:w="1112" w:type="dxa"/>
            <w:tcBorders>
              <w:top w:val="single" w:sz="4" w:space="0" w:color="000000"/>
              <w:bottom w:val="single" w:sz="4" w:space="0" w:color="000000"/>
            </w:tcBorders>
          </w:tcPr>
          <w:p w:rsidR="00EA40A3" w:rsidRDefault="00E86C16">
            <w:pPr>
              <w:spacing w:before="141" w:line="245" w:lineRule="exact"/>
              <w:ind w:left="193"/>
              <w:rPr>
                <w:rFonts w:ascii="Calibri" w:eastAsia="Calibri" w:hAnsi="Calibri" w:cs="Calibri"/>
                <w:sz w:val="16"/>
                <w:szCs w:val="16"/>
              </w:rPr>
            </w:pPr>
            <w:r>
              <w:rPr>
                <w:rFonts w:ascii="宋体" w:eastAsia="宋体" w:hAnsi="宋体" w:cs="宋体"/>
                <w:spacing w:val="16"/>
                <w:position w:val="6"/>
                <w:sz w:val="16"/>
                <w:szCs w:val="16"/>
              </w:rPr>
              <w:t>维生素B</w:t>
            </w:r>
            <w:r>
              <w:rPr>
                <w:rFonts w:ascii="Calibri" w:eastAsia="Calibri" w:hAnsi="Calibri" w:cs="Calibri"/>
                <w:spacing w:val="16"/>
                <w:position w:val="6"/>
                <w:sz w:val="16"/>
                <w:szCs w:val="16"/>
              </w:rPr>
              <w:t>₂</w:t>
            </w:r>
          </w:p>
          <w:p w:rsidR="00EA40A3" w:rsidRDefault="00E86C16">
            <w:pPr>
              <w:spacing w:line="213" w:lineRule="auto"/>
              <w:ind w:left="312"/>
              <w:rPr>
                <w:rFonts w:ascii="宋体" w:eastAsia="宋体" w:hAnsi="宋体" w:cs="宋体"/>
                <w:sz w:val="16"/>
                <w:szCs w:val="16"/>
              </w:rPr>
            </w:pPr>
            <w:r>
              <w:rPr>
                <w:rFonts w:ascii="宋体" w:eastAsia="宋体" w:hAnsi="宋体" w:cs="宋体"/>
                <w:spacing w:val="-1"/>
                <w:sz w:val="16"/>
                <w:szCs w:val="16"/>
              </w:rPr>
              <w:t>RNI/mg</w:t>
            </w:r>
          </w:p>
        </w:tc>
        <w:tc>
          <w:tcPr>
            <w:tcW w:w="1110" w:type="dxa"/>
            <w:tcBorders>
              <w:top w:val="single" w:sz="4" w:space="0" w:color="000000"/>
              <w:bottom w:val="single" w:sz="4" w:space="0" w:color="000000"/>
            </w:tcBorders>
          </w:tcPr>
          <w:p w:rsidR="00EA40A3" w:rsidRDefault="00E86C16">
            <w:pPr>
              <w:spacing w:before="126" w:line="270" w:lineRule="exact"/>
              <w:ind w:left="231"/>
              <w:rPr>
                <w:rFonts w:ascii="宋体" w:eastAsia="宋体" w:hAnsi="宋体" w:cs="宋体"/>
                <w:sz w:val="16"/>
                <w:szCs w:val="16"/>
              </w:rPr>
            </w:pPr>
            <w:r>
              <w:rPr>
                <w:rFonts w:ascii="宋体" w:eastAsia="宋体" w:hAnsi="宋体" w:cs="宋体"/>
                <w:spacing w:val="-2"/>
                <w:position w:val="8"/>
                <w:sz w:val="16"/>
                <w:szCs w:val="16"/>
              </w:rPr>
              <w:t>维生素Bg</w:t>
            </w:r>
          </w:p>
          <w:p w:rsidR="00EA40A3" w:rsidRDefault="00E86C16">
            <w:pPr>
              <w:spacing w:line="213" w:lineRule="auto"/>
              <w:ind w:left="350"/>
              <w:rPr>
                <w:rFonts w:ascii="宋体" w:eastAsia="宋体" w:hAnsi="宋体" w:cs="宋体"/>
                <w:sz w:val="16"/>
                <w:szCs w:val="16"/>
              </w:rPr>
            </w:pPr>
            <w:r>
              <w:rPr>
                <w:rFonts w:ascii="宋体" w:eastAsia="宋体" w:hAnsi="宋体" w:cs="宋体"/>
                <w:spacing w:val="-1"/>
                <w:sz w:val="16"/>
                <w:szCs w:val="16"/>
              </w:rPr>
              <w:t>AI/mg</w:t>
            </w:r>
          </w:p>
        </w:tc>
      </w:tr>
      <w:tr w:rsidR="00EA40A3">
        <w:trPr>
          <w:trHeight w:val="315"/>
        </w:trPr>
        <w:tc>
          <w:tcPr>
            <w:tcW w:w="923" w:type="dxa"/>
            <w:tcBorders>
              <w:top w:val="single" w:sz="4" w:space="0" w:color="000000"/>
            </w:tcBorders>
          </w:tcPr>
          <w:p w:rsidR="00EA40A3" w:rsidRDefault="00E86C16">
            <w:pPr>
              <w:spacing w:before="119" w:line="183" w:lineRule="auto"/>
              <w:ind w:left="179"/>
              <w:rPr>
                <w:rFonts w:ascii="宋体" w:eastAsia="宋体" w:hAnsi="宋体" w:cs="宋体"/>
                <w:sz w:val="16"/>
                <w:szCs w:val="16"/>
              </w:rPr>
            </w:pPr>
            <w:r>
              <w:rPr>
                <w:rFonts w:ascii="宋体" w:eastAsia="宋体" w:hAnsi="宋体" w:cs="宋体"/>
                <w:spacing w:val="19"/>
                <w:sz w:val="16"/>
                <w:szCs w:val="16"/>
              </w:rPr>
              <w:t>60~</w:t>
            </w:r>
          </w:p>
        </w:tc>
        <w:tc>
          <w:tcPr>
            <w:tcW w:w="1193" w:type="dxa"/>
            <w:tcBorders>
              <w:top w:val="single" w:sz="4" w:space="0" w:color="000000"/>
            </w:tcBorders>
          </w:tcPr>
          <w:p w:rsidR="00EA40A3" w:rsidRDefault="00EA40A3"/>
        </w:tc>
        <w:tc>
          <w:tcPr>
            <w:tcW w:w="908" w:type="dxa"/>
            <w:tcBorders>
              <w:top w:val="single" w:sz="4" w:space="0" w:color="000000"/>
            </w:tcBorders>
          </w:tcPr>
          <w:p w:rsidR="00EA40A3" w:rsidRDefault="00EA40A3"/>
        </w:tc>
        <w:tc>
          <w:tcPr>
            <w:tcW w:w="1200" w:type="dxa"/>
            <w:tcBorders>
              <w:top w:val="single" w:sz="4" w:space="0" w:color="000000"/>
            </w:tcBorders>
          </w:tcPr>
          <w:p w:rsidR="00EA40A3" w:rsidRDefault="00EA40A3"/>
        </w:tc>
        <w:tc>
          <w:tcPr>
            <w:tcW w:w="903" w:type="dxa"/>
            <w:tcBorders>
              <w:top w:val="single" w:sz="4" w:space="0" w:color="000000"/>
            </w:tcBorders>
          </w:tcPr>
          <w:p w:rsidR="00EA40A3" w:rsidRDefault="00EA40A3"/>
        </w:tc>
        <w:tc>
          <w:tcPr>
            <w:tcW w:w="1112" w:type="dxa"/>
            <w:tcBorders>
              <w:top w:val="single" w:sz="4" w:space="0" w:color="000000"/>
            </w:tcBorders>
          </w:tcPr>
          <w:p w:rsidR="00EA40A3" w:rsidRDefault="00EA40A3"/>
        </w:tc>
        <w:tc>
          <w:tcPr>
            <w:tcW w:w="1110" w:type="dxa"/>
            <w:tcBorders>
              <w:top w:val="single" w:sz="4" w:space="0" w:color="000000"/>
            </w:tcBorders>
          </w:tcPr>
          <w:p w:rsidR="00EA40A3" w:rsidRDefault="00EA40A3"/>
        </w:tc>
      </w:tr>
      <w:tr w:rsidR="00EA40A3">
        <w:trPr>
          <w:trHeight w:val="324"/>
        </w:trPr>
        <w:tc>
          <w:tcPr>
            <w:tcW w:w="923" w:type="dxa"/>
          </w:tcPr>
          <w:p w:rsidR="00EA40A3" w:rsidRDefault="00E86C16">
            <w:pPr>
              <w:spacing w:before="84" w:line="220" w:lineRule="auto"/>
              <w:ind w:left="490"/>
              <w:rPr>
                <w:rFonts w:ascii="宋体" w:eastAsia="宋体" w:hAnsi="宋体" w:cs="宋体"/>
                <w:sz w:val="16"/>
                <w:szCs w:val="16"/>
              </w:rPr>
            </w:pPr>
            <w:r>
              <w:rPr>
                <w:rFonts w:ascii="宋体" w:eastAsia="宋体" w:hAnsi="宋体" w:cs="宋体"/>
                <w:sz w:val="16"/>
                <w:szCs w:val="16"/>
              </w:rPr>
              <w:t>男</w:t>
            </w:r>
          </w:p>
        </w:tc>
        <w:tc>
          <w:tcPr>
            <w:tcW w:w="1193" w:type="dxa"/>
          </w:tcPr>
          <w:p w:rsidR="00EA40A3" w:rsidRDefault="00E86C16">
            <w:pPr>
              <w:spacing w:before="124" w:line="183" w:lineRule="auto"/>
              <w:ind w:left="767"/>
              <w:rPr>
                <w:rFonts w:ascii="宋体" w:eastAsia="宋体" w:hAnsi="宋体" w:cs="宋体"/>
                <w:sz w:val="16"/>
                <w:szCs w:val="16"/>
              </w:rPr>
            </w:pPr>
            <w:r>
              <w:rPr>
                <w:rFonts w:ascii="宋体" w:eastAsia="宋体" w:hAnsi="宋体" w:cs="宋体"/>
                <w:spacing w:val="-2"/>
                <w:sz w:val="16"/>
                <w:szCs w:val="16"/>
              </w:rPr>
              <w:t>800</w:t>
            </w:r>
          </w:p>
        </w:tc>
        <w:tc>
          <w:tcPr>
            <w:tcW w:w="908" w:type="dxa"/>
          </w:tcPr>
          <w:p w:rsidR="00EA40A3" w:rsidRDefault="00E86C16">
            <w:pPr>
              <w:spacing w:before="123" w:line="184" w:lineRule="auto"/>
              <w:ind w:left="394"/>
              <w:rPr>
                <w:rFonts w:ascii="宋体" w:eastAsia="宋体" w:hAnsi="宋体" w:cs="宋体"/>
                <w:sz w:val="16"/>
                <w:szCs w:val="16"/>
              </w:rPr>
            </w:pPr>
            <w:r>
              <w:rPr>
                <w:rFonts w:ascii="宋体" w:eastAsia="宋体" w:hAnsi="宋体" w:cs="宋体"/>
                <w:spacing w:val="-5"/>
                <w:sz w:val="16"/>
                <w:szCs w:val="16"/>
              </w:rPr>
              <w:t>10</w:t>
            </w:r>
          </w:p>
        </w:tc>
        <w:tc>
          <w:tcPr>
            <w:tcW w:w="1200" w:type="dxa"/>
          </w:tcPr>
          <w:p w:rsidR="00EA40A3" w:rsidRDefault="00E86C16">
            <w:pPr>
              <w:spacing w:before="123" w:line="184" w:lineRule="auto"/>
              <w:ind w:left="525"/>
              <w:rPr>
                <w:rFonts w:ascii="宋体" w:eastAsia="宋体" w:hAnsi="宋体" w:cs="宋体"/>
                <w:sz w:val="16"/>
                <w:szCs w:val="16"/>
              </w:rPr>
            </w:pPr>
            <w:r>
              <w:rPr>
                <w:rFonts w:ascii="宋体" w:eastAsia="宋体" w:hAnsi="宋体" w:cs="宋体"/>
                <w:spacing w:val="-5"/>
                <w:sz w:val="16"/>
                <w:szCs w:val="16"/>
              </w:rPr>
              <w:t>14</w:t>
            </w:r>
          </w:p>
        </w:tc>
        <w:tc>
          <w:tcPr>
            <w:tcW w:w="903" w:type="dxa"/>
          </w:tcPr>
          <w:p w:rsidR="00EA40A3" w:rsidRDefault="00E86C16">
            <w:pPr>
              <w:spacing w:before="124" w:line="184" w:lineRule="auto"/>
              <w:ind w:left="325"/>
              <w:rPr>
                <w:rFonts w:ascii="宋体" w:eastAsia="宋体" w:hAnsi="宋体" w:cs="宋体"/>
                <w:sz w:val="16"/>
                <w:szCs w:val="16"/>
              </w:rPr>
            </w:pPr>
            <w:r>
              <w:rPr>
                <w:rFonts w:ascii="宋体" w:eastAsia="宋体" w:hAnsi="宋体" w:cs="宋体"/>
                <w:spacing w:val="-5"/>
                <w:sz w:val="16"/>
                <w:szCs w:val="16"/>
              </w:rPr>
              <w:t>1.4</w:t>
            </w:r>
          </w:p>
        </w:tc>
        <w:tc>
          <w:tcPr>
            <w:tcW w:w="1112" w:type="dxa"/>
          </w:tcPr>
          <w:p w:rsidR="00EA40A3" w:rsidRDefault="00E86C16">
            <w:pPr>
              <w:spacing w:before="124" w:line="184" w:lineRule="auto"/>
              <w:ind w:left="433"/>
              <w:rPr>
                <w:rFonts w:ascii="宋体" w:eastAsia="宋体" w:hAnsi="宋体" w:cs="宋体"/>
                <w:sz w:val="16"/>
                <w:szCs w:val="16"/>
              </w:rPr>
            </w:pPr>
            <w:r>
              <w:rPr>
                <w:rFonts w:ascii="宋体" w:eastAsia="宋体" w:hAnsi="宋体" w:cs="宋体"/>
                <w:spacing w:val="-5"/>
                <w:sz w:val="16"/>
                <w:szCs w:val="16"/>
              </w:rPr>
              <w:t>1.4</w:t>
            </w:r>
          </w:p>
        </w:tc>
        <w:tc>
          <w:tcPr>
            <w:tcW w:w="1110" w:type="dxa"/>
          </w:tcPr>
          <w:p w:rsidR="00EA40A3" w:rsidRDefault="00E86C16">
            <w:pPr>
              <w:spacing w:before="124" w:line="184" w:lineRule="auto"/>
              <w:ind w:left="431"/>
              <w:rPr>
                <w:rFonts w:ascii="宋体" w:eastAsia="宋体" w:hAnsi="宋体" w:cs="宋体"/>
                <w:sz w:val="16"/>
                <w:szCs w:val="16"/>
              </w:rPr>
            </w:pPr>
            <w:r>
              <w:rPr>
                <w:rFonts w:ascii="宋体" w:eastAsia="宋体" w:hAnsi="宋体" w:cs="宋体"/>
                <w:spacing w:val="-5"/>
                <w:sz w:val="16"/>
                <w:szCs w:val="16"/>
              </w:rPr>
              <w:t>1.5</w:t>
            </w:r>
          </w:p>
        </w:tc>
      </w:tr>
      <w:tr w:rsidR="00EA40A3">
        <w:trPr>
          <w:trHeight w:val="268"/>
        </w:trPr>
        <w:tc>
          <w:tcPr>
            <w:tcW w:w="923" w:type="dxa"/>
            <w:tcBorders>
              <w:bottom w:val="single" w:sz="4" w:space="0" w:color="000000"/>
            </w:tcBorders>
          </w:tcPr>
          <w:p w:rsidR="00EA40A3" w:rsidRDefault="00E86C16">
            <w:pPr>
              <w:spacing w:before="89" w:line="206" w:lineRule="auto"/>
              <w:ind w:left="490"/>
              <w:rPr>
                <w:rFonts w:ascii="宋体" w:eastAsia="宋体" w:hAnsi="宋体" w:cs="宋体"/>
                <w:sz w:val="16"/>
                <w:szCs w:val="16"/>
              </w:rPr>
            </w:pPr>
            <w:r>
              <w:rPr>
                <w:rFonts w:ascii="宋体" w:eastAsia="宋体" w:hAnsi="宋体" w:cs="宋体"/>
                <w:sz w:val="16"/>
                <w:szCs w:val="16"/>
              </w:rPr>
              <w:t>女</w:t>
            </w:r>
          </w:p>
        </w:tc>
        <w:tc>
          <w:tcPr>
            <w:tcW w:w="1193" w:type="dxa"/>
            <w:tcBorders>
              <w:bottom w:val="single" w:sz="4" w:space="0" w:color="000000"/>
            </w:tcBorders>
          </w:tcPr>
          <w:p w:rsidR="00EA40A3" w:rsidRDefault="00E86C16">
            <w:pPr>
              <w:spacing w:before="100" w:line="183" w:lineRule="auto"/>
              <w:ind w:left="767"/>
              <w:rPr>
                <w:rFonts w:ascii="宋体" w:eastAsia="宋体" w:hAnsi="宋体" w:cs="宋体"/>
                <w:sz w:val="16"/>
                <w:szCs w:val="16"/>
              </w:rPr>
            </w:pPr>
            <w:r>
              <w:rPr>
                <w:rFonts w:ascii="宋体" w:eastAsia="宋体" w:hAnsi="宋体" w:cs="宋体"/>
                <w:spacing w:val="-3"/>
                <w:sz w:val="16"/>
                <w:szCs w:val="16"/>
              </w:rPr>
              <w:t>700</w:t>
            </w:r>
          </w:p>
        </w:tc>
        <w:tc>
          <w:tcPr>
            <w:tcW w:w="908" w:type="dxa"/>
            <w:tcBorders>
              <w:bottom w:val="single" w:sz="4" w:space="0" w:color="000000"/>
            </w:tcBorders>
          </w:tcPr>
          <w:p w:rsidR="00EA40A3" w:rsidRDefault="00E86C16">
            <w:pPr>
              <w:spacing w:before="99" w:line="184" w:lineRule="auto"/>
              <w:ind w:left="394"/>
              <w:rPr>
                <w:rFonts w:ascii="宋体" w:eastAsia="宋体" w:hAnsi="宋体" w:cs="宋体"/>
                <w:sz w:val="16"/>
                <w:szCs w:val="16"/>
              </w:rPr>
            </w:pPr>
            <w:r>
              <w:rPr>
                <w:rFonts w:ascii="宋体" w:eastAsia="宋体" w:hAnsi="宋体" w:cs="宋体"/>
                <w:spacing w:val="-5"/>
                <w:sz w:val="16"/>
                <w:szCs w:val="16"/>
              </w:rPr>
              <w:t>10</w:t>
            </w:r>
          </w:p>
        </w:tc>
        <w:tc>
          <w:tcPr>
            <w:tcW w:w="1200" w:type="dxa"/>
            <w:tcBorders>
              <w:bottom w:val="single" w:sz="4" w:space="0" w:color="000000"/>
            </w:tcBorders>
          </w:tcPr>
          <w:p w:rsidR="00EA40A3" w:rsidRDefault="00E86C16">
            <w:pPr>
              <w:spacing w:before="99" w:line="184" w:lineRule="auto"/>
              <w:ind w:left="525"/>
              <w:rPr>
                <w:rFonts w:ascii="宋体" w:eastAsia="宋体" w:hAnsi="宋体" w:cs="宋体"/>
                <w:sz w:val="16"/>
                <w:szCs w:val="16"/>
              </w:rPr>
            </w:pPr>
            <w:r>
              <w:rPr>
                <w:rFonts w:ascii="宋体" w:eastAsia="宋体" w:hAnsi="宋体" w:cs="宋体"/>
                <w:spacing w:val="-5"/>
                <w:sz w:val="16"/>
                <w:szCs w:val="16"/>
              </w:rPr>
              <w:t>14</w:t>
            </w:r>
          </w:p>
        </w:tc>
        <w:tc>
          <w:tcPr>
            <w:tcW w:w="903" w:type="dxa"/>
            <w:tcBorders>
              <w:bottom w:val="single" w:sz="4" w:space="0" w:color="000000"/>
            </w:tcBorders>
          </w:tcPr>
          <w:p w:rsidR="00EA40A3" w:rsidRDefault="00E86C16">
            <w:pPr>
              <w:spacing w:before="99" w:line="184" w:lineRule="auto"/>
              <w:ind w:left="325"/>
              <w:rPr>
                <w:rFonts w:ascii="宋体" w:eastAsia="宋体" w:hAnsi="宋体" w:cs="宋体"/>
                <w:sz w:val="16"/>
                <w:szCs w:val="16"/>
              </w:rPr>
            </w:pPr>
            <w:r>
              <w:rPr>
                <w:rFonts w:ascii="宋体" w:eastAsia="宋体" w:hAnsi="宋体" w:cs="宋体"/>
                <w:spacing w:val="-5"/>
                <w:sz w:val="16"/>
                <w:szCs w:val="16"/>
              </w:rPr>
              <w:t>1.3</w:t>
            </w:r>
          </w:p>
        </w:tc>
        <w:tc>
          <w:tcPr>
            <w:tcW w:w="1112" w:type="dxa"/>
            <w:tcBorders>
              <w:bottom w:val="single" w:sz="4" w:space="0" w:color="000000"/>
            </w:tcBorders>
          </w:tcPr>
          <w:p w:rsidR="00EA40A3" w:rsidRDefault="00E86C16">
            <w:pPr>
              <w:spacing w:before="99" w:line="184" w:lineRule="auto"/>
              <w:ind w:left="433"/>
              <w:rPr>
                <w:rFonts w:ascii="宋体" w:eastAsia="宋体" w:hAnsi="宋体" w:cs="宋体"/>
                <w:sz w:val="16"/>
                <w:szCs w:val="16"/>
              </w:rPr>
            </w:pPr>
            <w:r>
              <w:rPr>
                <w:rFonts w:ascii="宋体" w:eastAsia="宋体" w:hAnsi="宋体" w:cs="宋体"/>
                <w:spacing w:val="-5"/>
                <w:sz w:val="16"/>
                <w:szCs w:val="16"/>
              </w:rPr>
              <w:t>1.2</w:t>
            </w:r>
          </w:p>
        </w:tc>
        <w:tc>
          <w:tcPr>
            <w:tcW w:w="1110" w:type="dxa"/>
            <w:tcBorders>
              <w:bottom w:val="single" w:sz="4" w:space="0" w:color="000000"/>
            </w:tcBorders>
          </w:tcPr>
          <w:p w:rsidR="00EA40A3" w:rsidRDefault="00E86C16">
            <w:pPr>
              <w:spacing w:before="99" w:line="184" w:lineRule="auto"/>
              <w:ind w:left="431"/>
              <w:rPr>
                <w:rFonts w:ascii="宋体" w:eastAsia="宋体" w:hAnsi="宋体" w:cs="宋体"/>
                <w:sz w:val="16"/>
                <w:szCs w:val="16"/>
              </w:rPr>
            </w:pPr>
            <w:r>
              <w:rPr>
                <w:rFonts w:ascii="宋体" w:eastAsia="宋体" w:hAnsi="宋体" w:cs="宋体"/>
                <w:spacing w:val="-5"/>
                <w:sz w:val="16"/>
                <w:szCs w:val="16"/>
              </w:rPr>
              <w:t>1.5</w:t>
            </w:r>
          </w:p>
        </w:tc>
      </w:tr>
      <w:tr w:rsidR="00EA40A3">
        <w:trPr>
          <w:trHeight w:val="340"/>
        </w:trPr>
        <w:tc>
          <w:tcPr>
            <w:tcW w:w="923" w:type="dxa"/>
            <w:vMerge w:val="restart"/>
            <w:tcBorders>
              <w:top w:val="single" w:sz="4" w:space="0" w:color="000000"/>
              <w:bottom w:val="nil"/>
            </w:tcBorders>
          </w:tcPr>
          <w:p w:rsidR="00EA40A3" w:rsidRDefault="00E86C16">
            <w:pPr>
              <w:spacing w:before="241" w:line="219" w:lineRule="auto"/>
              <w:ind w:left="329"/>
              <w:rPr>
                <w:rFonts w:ascii="宋体" w:eastAsia="宋体" w:hAnsi="宋体" w:cs="宋体"/>
                <w:sz w:val="16"/>
                <w:szCs w:val="16"/>
              </w:rPr>
            </w:pPr>
            <w:r>
              <w:rPr>
                <w:rFonts w:ascii="宋体" w:eastAsia="宋体" w:hAnsi="宋体" w:cs="宋体"/>
                <w:spacing w:val="-2"/>
                <w:sz w:val="16"/>
                <w:szCs w:val="16"/>
              </w:rPr>
              <w:t>年龄</w:t>
            </w:r>
          </w:p>
        </w:tc>
        <w:tc>
          <w:tcPr>
            <w:tcW w:w="1193" w:type="dxa"/>
            <w:tcBorders>
              <w:top w:val="single" w:sz="4" w:space="0" w:color="000000"/>
            </w:tcBorders>
          </w:tcPr>
          <w:p w:rsidR="00EA40A3" w:rsidRDefault="00E86C16">
            <w:pPr>
              <w:spacing w:before="151" w:line="218" w:lineRule="auto"/>
              <w:ind w:left="287"/>
              <w:rPr>
                <w:rFonts w:ascii="Calibri" w:eastAsia="Calibri" w:hAnsi="Calibri" w:cs="Calibri"/>
                <w:sz w:val="16"/>
                <w:szCs w:val="16"/>
              </w:rPr>
            </w:pPr>
            <w:r>
              <w:rPr>
                <w:rFonts w:ascii="宋体" w:eastAsia="宋体" w:hAnsi="宋体" w:cs="宋体"/>
                <w:spacing w:val="16"/>
                <w:sz w:val="16"/>
                <w:szCs w:val="16"/>
              </w:rPr>
              <w:t>维生素B</w:t>
            </w:r>
            <w:r>
              <w:rPr>
                <w:rFonts w:ascii="Calibri" w:eastAsia="Calibri" w:hAnsi="Calibri" w:cs="Calibri"/>
                <w:spacing w:val="16"/>
                <w:sz w:val="16"/>
                <w:szCs w:val="16"/>
              </w:rPr>
              <w:t>₂</w:t>
            </w:r>
          </w:p>
        </w:tc>
        <w:tc>
          <w:tcPr>
            <w:tcW w:w="908" w:type="dxa"/>
            <w:tcBorders>
              <w:top w:val="single" w:sz="4" w:space="0" w:color="000000"/>
            </w:tcBorders>
          </w:tcPr>
          <w:p w:rsidR="00EA40A3" w:rsidRDefault="00E86C16">
            <w:pPr>
              <w:spacing w:before="141" w:line="219" w:lineRule="auto"/>
              <w:ind w:left="193"/>
              <w:rPr>
                <w:rFonts w:ascii="宋体" w:eastAsia="宋体" w:hAnsi="宋体" w:cs="宋体"/>
                <w:sz w:val="16"/>
                <w:szCs w:val="16"/>
              </w:rPr>
            </w:pPr>
            <w:r>
              <w:rPr>
                <w:rFonts w:ascii="宋体" w:eastAsia="宋体" w:hAnsi="宋体" w:cs="宋体"/>
                <w:spacing w:val="-2"/>
                <w:sz w:val="16"/>
                <w:szCs w:val="16"/>
              </w:rPr>
              <w:t>维生素C</w:t>
            </w:r>
          </w:p>
        </w:tc>
        <w:tc>
          <w:tcPr>
            <w:tcW w:w="1200" w:type="dxa"/>
            <w:tcBorders>
              <w:top w:val="single" w:sz="4" w:space="0" w:color="000000"/>
            </w:tcBorders>
          </w:tcPr>
          <w:p w:rsidR="00EA40A3" w:rsidRDefault="00E86C16">
            <w:pPr>
              <w:spacing w:before="131" w:line="219" w:lineRule="auto"/>
              <w:ind w:left="446"/>
              <w:rPr>
                <w:rFonts w:ascii="宋体" w:eastAsia="宋体" w:hAnsi="宋体" w:cs="宋体"/>
                <w:sz w:val="16"/>
                <w:szCs w:val="16"/>
              </w:rPr>
            </w:pPr>
            <w:r>
              <w:rPr>
                <w:rFonts w:ascii="宋体" w:eastAsia="宋体" w:hAnsi="宋体" w:cs="宋体"/>
                <w:spacing w:val="3"/>
                <w:sz w:val="16"/>
                <w:szCs w:val="16"/>
              </w:rPr>
              <w:t>叶酸</w:t>
            </w:r>
          </w:p>
        </w:tc>
        <w:tc>
          <w:tcPr>
            <w:tcW w:w="903" w:type="dxa"/>
            <w:tcBorders>
              <w:top w:val="single" w:sz="4" w:space="0" w:color="000000"/>
            </w:tcBorders>
          </w:tcPr>
          <w:p w:rsidR="00EA40A3" w:rsidRDefault="00E86C16">
            <w:pPr>
              <w:spacing w:before="142" w:line="221" w:lineRule="auto"/>
              <w:ind w:left="285"/>
              <w:rPr>
                <w:rFonts w:ascii="宋体" w:eastAsia="宋体" w:hAnsi="宋体" w:cs="宋体"/>
                <w:sz w:val="16"/>
                <w:szCs w:val="16"/>
              </w:rPr>
            </w:pPr>
            <w:r>
              <w:rPr>
                <w:rFonts w:ascii="宋体" w:eastAsia="宋体" w:hAnsi="宋体" w:cs="宋体"/>
                <w:spacing w:val="-2"/>
                <w:sz w:val="16"/>
                <w:szCs w:val="16"/>
              </w:rPr>
              <w:t>泛酸</w:t>
            </w:r>
          </w:p>
        </w:tc>
        <w:tc>
          <w:tcPr>
            <w:tcW w:w="1112" w:type="dxa"/>
            <w:tcBorders>
              <w:top w:val="single" w:sz="4" w:space="0" w:color="000000"/>
            </w:tcBorders>
          </w:tcPr>
          <w:p w:rsidR="00EA40A3" w:rsidRDefault="00E86C16">
            <w:pPr>
              <w:spacing w:before="132" w:line="221" w:lineRule="auto"/>
              <w:ind w:left="393"/>
              <w:rPr>
                <w:rFonts w:ascii="宋体" w:eastAsia="宋体" w:hAnsi="宋体" w:cs="宋体"/>
                <w:sz w:val="16"/>
                <w:szCs w:val="16"/>
              </w:rPr>
            </w:pPr>
            <w:r>
              <w:rPr>
                <w:rFonts w:ascii="宋体" w:eastAsia="宋体" w:hAnsi="宋体" w:cs="宋体"/>
                <w:spacing w:val="-2"/>
                <w:sz w:val="16"/>
                <w:szCs w:val="16"/>
              </w:rPr>
              <w:t>烟酸</w:t>
            </w:r>
          </w:p>
        </w:tc>
        <w:tc>
          <w:tcPr>
            <w:tcW w:w="1110" w:type="dxa"/>
            <w:tcBorders>
              <w:top w:val="single" w:sz="4" w:space="0" w:color="000000"/>
            </w:tcBorders>
          </w:tcPr>
          <w:p w:rsidR="00EA40A3" w:rsidRDefault="00EA40A3"/>
        </w:tc>
      </w:tr>
      <w:tr w:rsidR="00EA40A3">
        <w:trPr>
          <w:trHeight w:val="287"/>
        </w:trPr>
        <w:tc>
          <w:tcPr>
            <w:tcW w:w="923" w:type="dxa"/>
            <w:vMerge/>
            <w:tcBorders>
              <w:top w:val="nil"/>
              <w:bottom w:val="single" w:sz="4" w:space="0" w:color="000000"/>
            </w:tcBorders>
          </w:tcPr>
          <w:p w:rsidR="00EA40A3" w:rsidRDefault="00EA40A3"/>
        </w:tc>
        <w:tc>
          <w:tcPr>
            <w:tcW w:w="1193" w:type="dxa"/>
            <w:tcBorders>
              <w:bottom w:val="single" w:sz="4" w:space="0" w:color="000000"/>
            </w:tcBorders>
          </w:tcPr>
          <w:p w:rsidR="00EA40A3" w:rsidRDefault="00E86C16">
            <w:pPr>
              <w:spacing w:before="56" w:line="214" w:lineRule="auto"/>
              <w:ind w:left="446"/>
              <w:rPr>
                <w:rFonts w:ascii="宋体" w:eastAsia="宋体" w:hAnsi="宋体" w:cs="宋体"/>
                <w:sz w:val="16"/>
                <w:szCs w:val="16"/>
              </w:rPr>
            </w:pPr>
            <w:r>
              <w:rPr>
                <w:rFonts w:ascii="宋体" w:eastAsia="宋体" w:hAnsi="宋体" w:cs="宋体"/>
                <w:spacing w:val="-1"/>
                <w:sz w:val="16"/>
                <w:szCs w:val="16"/>
              </w:rPr>
              <w:t>RNI/μg</w:t>
            </w:r>
          </w:p>
        </w:tc>
        <w:tc>
          <w:tcPr>
            <w:tcW w:w="908" w:type="dxa"/>
            <w:tcBorders>
              <w:bottom w:val="single" w:sz="4" w:space="0" w:color="000000"/>
            </w:tcBorders>
          </w:tcPr>
          <w:p w:rsidR="00EA40A3" w:rsidRDefault="00E86C16">
            <w:pPr>
              <w:spacing w:before="35" w:line="214" w:lineRule="auto"/>
              <w:ind w:left="233"/>
              <w:rPr>
                <w:rFonts w:ascii="宋体" w:eastAsia="宋体" w:hAnsi="宋体" w:cs="宋体"/>
                <w:sz w:val="16"/>
                <w:szCs w:val="16"/>
              </w:rPr>
            </w:pPr>
            <w:r>
              <w:rPr>
                <w:rFonts w:ascii="宋体" w:eastAsia="宋体" w:hAnsi="宋体" w:cs="宋体"/>
                <w:spacing w:val="-1"/>
                <w:sz w:val="16"/>
                <w:szCs w:val="16"/>
              </w:rPr>
              <w:t>RNI/mg</w:t>
            </w:r>
          </w:p>
        </w:tc>
        <w:tc>
          <w:tcPr>
            <w:tcW w:w="1200" w:type="dxa"/>
            <w:tcBorders>
              <w:bottom w:val="single" w:sz="4" w:space="0" w:color="000000"/>
            </w:tcBorders>
          </w:tcPr>
          <w:p w:rsidR="00EA40A3" w:rsidRDefault="00E86C16">
            <w:pPr>
              <w:spacing w:before="56" w:line="214" w:lineRule="auto"/>
              <w:ind w:left="166"/>
              <w:rPr>
                <w:rFonts w:ascii="宋体" w:eastAsia="宋体" w:hAnsi="宋体" w:cs="宋体"/>
                <w:sz w:val="16"/>
                <w:szCs w:val="16"/>
              </w:rPr>
            </w:pPr>
            <w:r>
              <w:rPr>
                <w:rFonts w:ascii="宋体" w:eastAsia="宋体" w:hAnsi="宋体" w:cs="宋体"/>
                <w:spacing w:val="-1"/>
                <w:sz w:val="16"/>
                <w:szCs w:val="16"/>
              </w:rPr>
              <w:t>RNI/μg</w:t>
            </w:r>
            <w:r>
              <w:rPr>
                <w:rFonts w:ascii="宋体" w:eastAsia="宋体" w:hAnsi="宋体" w:cs="宋体"/>
                <w:spacing w:val="4"/>
                <w:sz w:val="16"/>
                <w:szCs w:val="16"/>
              </w:rPr>
              <w:t xml:space="preserve"> </w:t>
            </w:r>
            <w:r>
              <w:rPr>
                <w:rFonts w:ascii="宋体" w:eastAsia="宋体" w:hAnsi="宋体" w:cs="宋体"/>
                <w:spacing w:val="-1"/>
                <w:sz w:val="16"/>
                <w:szCs w:val="16"/>
              </w:rPr>
              <w:t>DFE</w:t>
            </w:r>
          </w:p>
        </w:tc>
        <w:tc>
          <w:tcPr>
            <w:tcW w:w="903" w:type="dxa"/>
            <w:tcBorders>
              <w:bottom w:val="single" w:sz="4" w:space="0" w:color="000000"/>
            </w:tcBorders>
          </w:tcPr>
          <w:p w:rsidR="00EA40A3" w:rsidRDefault="00E86C16">
            <w:pPr>
              <w:spacing w:before="35" w:line="214" w:lineRule="auto"/>
              <w:ind w:left="246"/>
              <w:rPr>
                <w:rFonts w:ascii="宋体" w:eastAsia="宋体" w:hAnsi="宋体" w:cs="宋体"/>
                <w:sz w:val="16"/>
                <w:szCs w:val="16"/>
              </w:rPr>
            </w:pPr>
            <w:r>
              <w:rPr>
                <w:rFonts w:ascii="宋体" w:eastAsia="宋体" w:hAnsi="宋体" w:cs="宋体"/>
                <w:spacing w:val="-1"/>
                <w:sz w:val="16"/>
                <w:szCs w:val="16"/>
              </w:rPr>
              <w:t>AI/mg</w:t>
            </w:r>
          </w:p>
        </w:tc>
        <w:tc>
          <w:tcPr>
            <w:tcW w:w="1112" w:type="dxa"/>
            <w:tcBorders>
              <w:bottom w:val="single" w:sz="4" w:space="0" w:color="000000"/>
            </w:tcBorders>
          </w:tcPr>
          <w:p w:rsidR="00EA40A3" w:rsidRDefault="00E86C16">
            <w:pPr>
              <w:spacing w:before="56" w:line="214" w:lineRule="auto"/>
              <w:ind w:left="233"/>
              <w:rPr>
                <w:rFonts w:ascii="宋体" w:eastAsia="宋体" w:hAnsi="宋体" w:cs="宋体"/>
                <w:sz w:val="16"/>
                <w:szCs w:val="16"/>
              </w:rPr>
            </w:pPr>
            <w:r>
              <w:rPr>
                <w:rFonts w:ascii="宋体" w:eastAsia="宋体" w:hAnsi="宋体" w:cs="宋体"/>
                <w:spacing w:val="-1"/>
                <w:sz w:val="16"/>
                <w:szCs w:val="16"/>
              </w:rPr>
              <w:t>RNI/mgNE</w:t>
            </w:r>
          </w:p>
        </w:tc>
        <w:tc>
          <w:tcPr>
            <w:tcW w:w="1110" w:type="dxa"/>
            <w:tcBorders>
              <w:bottom w:val="single" w:sz="4" w:space="0" w:color="000000"/>
            </w:tcBorders>
          </w:tcPr>
          <w:p w:rsidR="00EA40A3" w:rsidRDefault="00EA40A3"/>
        </w:tc>
      </w:tr>
      <w:tr w:rsidR="00EA40A3">
        <w:trPr>
          <w:trHeight w:val="305"/>
        </w:trPr>
        <w:tc>
          <w:tcPr>
            <w:tcW w:w="923" w:type="dxa"/>
            <w:tcBorders>
              <w:top w:val="single" w:sz="4" w:space="0" w:color="000000"/>
            </w:tcBorders>
          </w:tcPr>
          <w:p w:rsidR="00EA40A3" w:rsidRDefault="00E86C16">
            <w:pPr>
              <w:spacing w:before="115" w:line="183" w:lineRule="auto"/>
              <w:ind w:left="329"/>
              <w:rPr>
                <w:rFonts w:ascii="宋体" w:eastAsia="宋体" w:hAnsi="宋体" w:cs="宋体"/>
                <w:sz w:val="16"/>
                <w:szCs w:val="16"/>
              </w:rPr>
            </w:pPr>
            <w:r>
              <w:rPr>
                <w:rFonts w:ascii="宋体" w:eastAsia="宋体" w:hAnsi="宋体" w:cs="宋体"/>
                <w:spacing w:val="19"/>
                <w:sz w:val="16"/>
                <w:szCs w:val="16"/>
              </w:rPr>
              <w:t>60~</w:t>
            </w:r>
          </w:p>
        </w:tc>
        <w:tc>
          <w:tcPr>
            <w:tcW w:w="1193" w:type="dxa"/>
            <w:tcBorders>
              <w:top w:val="single" w:sz="4" w:space="0" w:color="000000"/>
            </w:tcBorders>
          </w:tcPr>
          <w:p w:rsidR="00EA40A3" w:rsidRDefault="00EA40A3"/>
        </w:tc>
        <w:tc>
          <w:tcPr>
            <w:tcW w:w="908" w:type="dxa"/>
            <w:tcBorders>
              <w:top w:val="single" w:sz="4" w:space="0" w:color="000000"/>
            </w:tcBorders>
          </w:tcPr>
          <w:p w:rsidR="00EA40A3" w:rsidRDefault="00EA40A3"/>
        </w:tc>
        <w:tc>
          <w:tcPr>
            <w:tcW w:w="1200" w:type="dxa"/>
            <w:tcBorders>
              <w:top w:val="single" w:sz="4" w:space="0" w:color="000000"/>
            </w:tcBorders>
          </w:tcPr>
          <w:p w:rsidR="00EA40A3" w:rsidRDefault="00EA40A3"/>
        </w:tc>
        <w:tc>
          <w:tcPr>
            <w:tcW w:w="903" w:type="dxa"/>
            <w:tcBorders>
              <w:top w:val="single" w:sz="4" w:space="0" w:color="000000"/>
            </w:tcBorders>
          </w:tcPr>
          <w:p w:rsidR="00EA40A3" w:rsidRDefault="00EA40A3"/>
        </w:tc>
        <w:tc>
          <w:tcPr>
            <w:tcW w:w="1112" w:type="dxa"/>
            <w:tcBorders>
              <w:top w:val="single" w:sz="4" w:space="0" w:color="000000"/>
            </w:tcBorders>
          </w:tcPr>
          <w:p w:rsidR="00EA40A3" w:rsidRDefault="00EA40A3"/>
        </w:tc>
        <w:tc>
          <w:tcPr>
            <w:tcW w:w="1110" w:type="dxa"/>
            <w:tcBorders>
              <w:top w:val="single" w:sz="4" w:space="0" w:color="000000"/>
            </w:tcBorders>
          </w:tcPr>
          <w:p w:rsidR="00EA40A3" w:rsidRDefault="00EA40A3"/>
        </w:tc>
      </w:tr>
      <w:tr w:rsidR="00EA40A3">
        <w:trPr>
          <w:trHeight w:val="324"/>
        </w:trPr>
        <w:tc>
          <w:tcPr>
            <w:tcW w:w="923" w:type="dxa"/>
          </w:tcPr>
          <w:p w:rsidR="00EA40A3" w:rsidRDefault="00E86C16">
            <w:pPr>
              <w:spacing w:before="89" w:line="220" w:lineRule="auto"/>
              <w:ind w:left="490"/>
              <w:rPr>
                <w:rFonts w:ascii="宋体" w:eastAsia="宋体" w:hAnsi="宋体" w:cs="宋体"/>
                <w:sz w:val="16"/>
                <w:szCs w:val="16"/>
              </w:rPr>
            </w:pPr>
            <w:r>
              <w:rPr>
                <w:rFonts w:ascii="宋体" w:eastAsia="宋体" w:hAnsi="宋体" w:cs="宋体"/>
                <w:sz w:val="16"/>
                <w:szCs w:val="16"/>
              </w:rPr>
              <w:t>男</w:t>
            </w:r>
          </w:p>
        </w:tc>
        <w:tc>
          <w:tcPr>
            <w:tcW w:w="1193" w:type="dxa"/>
          </w:tcPr>
          <w:p w:rsidR="00EA40A3" w:rsidRDefault="00E86C16">
            <w:pPr>
              <w:spacing w:before="130" w:line="183" w:lineRule="auto"/>
              <w:ind w:left="516"/>
              <w:rPr>
                <w:rFonts w:ascii="宋体" w:eastAsia="宋体" w:hAnsi="宋体" w:cs="宋体"/>
                <w:sz w:val="16"/>
                <w:szCs w:val="16"/>
              </w:rPr>
            </w:pPr>
            <w:r>
              <w:rPr>
                <w:rFonts w:ascii="宋体" w:eastAsia="宋体" w:hAnsi="宋体" w:cs="宋体"/>
                <w:spacing w:val="-2"/>
                <w:sz w:val="16"/>
                <w:szCs w:val="16"/>
              </w:rPr>
              <w:t>2.4</w:t>
            </w:r>
          </w:p>
        </w:tc>
        <w:tc>
          <w:tcPr>
            <w:tcW w:w="908" w:type="dxa"/>
          </w:tcPr>
          <w:p w:rsidR="00EA40A3" w:rsidRDefault="00E86C16">
            <w:pPr>
              <w:spacing w:before="129" w:line="184" w:lineRule="auto"/>
              <w:ind w:left="354"/>
              <w:rPr>
                <w:rFonts w:ascii="宋体" w:eastAsia="宋体" w:hAnsi="宋体" w:cs="宋体"/>
                <w:sz w:val="16"/>
                <w:szCs w:val="16"/>
              </w:rPr>
            </w:pPr>
            <w:r>
              <w:rPr>
                <w:rFonts w:ascii="宋体" w:eastAsia="宋体" w:hAnsi="宋体" w:cs="宋体"/>
                <w:spacing w:val="-5"/>
                <w:sz w:val="16"/>
                <w:szCs w:val="16"/>
              </w:rPr>
              <w:t>100</w:t>
            </w:r>
          </w:p>
        </w:tc>
        <w:tc>
          <w:tcPr>
            <w:tcW w:w="1200" w:type="dxa"/>
          </w:tcPr>
          <w:p w:rsidR="00EA40A3" w:rsidRDefault="00E86C16">
            <w:pPr>
              <w:spacing w:before="130" w:line="183" w:lineRule="auto"/>
              <w:ind w:left="486"/>
              <w:rPr>
                <w:rFonts w:ascii="宋体" w:eastAsia="宋体" w:hAnsi="宋体" w:cs="宋体"/>
                <w:sz w:val="16"/>
                <w:szCs w:val="16"/>
              </w:rPr>
            </w:pPr>
            <w:r>
              <w:rPr>
                <w:rFonts w:ascii="宋体" w:eastAsia="宋体" w:hAnsi="宋体" w:cs="宋体"/>
                <w:spacing w:val="-2"/>
                <w:sz w:val="16"/>
                <w:szCs w:val="16"/>
              </w:rPr>
              <w:t>400</w:t>
            </w:r>
          </w:p>
        </w:tc>
        <w:tc>
          <w:tcPr>
            <w:tcW w:w="903" w:type="dxa"/>
          </w:tcPr>
          <w:p w:rsidR="00EA40A3" w:rsidRDefault="00E86C16">
            <w:pPr>
              <w:spacing w:before="130" w:line="183" w:lineRule="auto"/>
              <w:ind w:left="325"/>
              <w:rPr>
                <w:rFonts w:ascii="宋体" w:eastAsia="宋体" w:hAnsi="宋体" w:cs="宋体"/>
                <w:sz w:val="16"/>
                <w:szCs w:val="16"/>
              </w:rPr>
            </w:pPr>
            <w:r>
              <w:rPr>
                <w:rFonts w:ascii="宋体" w:eastAsia="宋体" w:hAnsi="宋体" w:cs="宋体"/>
                <w:spacing w:val="-3"/>
                <w:sz w:val="16"/>
                <w:szCs w:val="16"/>
              </w:rPr>
              <w:t>5.0</w:t>
            </w:r>
          </w:p>
        </w:tc>
        <w:tc>
          <w:tcPr>
            <w:tcW w:w="1112" w:type="dxa"/>
          </w:tcPr>
          <w:p w:rsidR="00EA40A3" w:rsidRDefault="00E86C16">
            <w:pPr>
              <w:spacing w:before="129" w:line="184" w:lineRule="auto"/>
              <w:ind w:left="473"/>
              <w:rPr>
                <w:rFonts w:ascii="宋体" w:eastAsia="宋体" w:hAnsi="宋体" w:cs="宋体"/>
                <w:sz w:val="16"/>
                <w:szCs w:val="16"/>
              </w:rPr>
            </w:pPr>
            <w:r>
              <w:rPr>
                <w:rFonts w:ascii="宋体" w:eastAsia="宋体" w:hAnsi="宋体" w:cs="宋体"/>
                <w:spacing w:val="-5"/>
                <w:sz w:val="16"/>
                <w:szCs w:val="16"/>
              </w:rPr>
              <w:t>14</w:t>
            </w:r>
          </w:p>
        </w:tc>
        <w:tc>
          <w:tcPr>
            <w:tcW w:w="1110" w:type="dxa"/>
          </w:tcPr>
          <w:p w:rsidR="00EA40A3" w:rsidRDefault="00EA40A3"/>
        </w:tc>
      </w:tr>
      <w:tr w:rsidR="00EA40A3">
        <w:trPr>
          <w:trHeight w:val="283"/>
        </w:trPr>
        <w:tc>
          <w:tcPr>
            <w:tcW w:w="923" w:type="dxa"/>
            <w:tcBorders>
              <w:bottom w:val="single" w:sz="4" w:space="0" w:color="000000"/>
            </w:tcBorders>
          </w:tcPr>
          <w:p w:rsidR="00EA40A3" w:rsidRDefault="00E86C16">
            <w:pPr>
              <w:spacing w:before="95" w:line="216" w:lineRule="auto"/>
              <w:ind w:left="490"/>
              <w:rPr>
                <w:rFonts w:ascii="宋体" w:eastAsia="宋体" w:hAnsi="宋体" w:cs="宋体"/>
                <w:sz w:val="16"/>
                <w:szCs w:val="16"/>
              </w:rPr>
            </w:pPr>
            <w:r>
              <w:rPr>
                <w:rFonts w:ascii="宋体" w:eastAsia="宋体" w:hAnsi="宋体" w:cs="宋体"/>
                <w:sz w:val="16"/>
                <w:szCs w:val="16"/>
              </w:rPr>
              <w:t>女</w:t>
            </w:r>
          </w:p>
        </w:tc>
        <w:tc>
          <w:tcPr>
            <w:tcW w:w="1193" w:type="dxa"/>
            <w:tcBorders>
              <w:bottom w:val="single" w:sz="4" w:space="0" w:color="000000"/>
            </w:tcBorders>
          </w:tcPr>
          <w:p w:rsidR="00EA40A3" w:rsidRDefault="00E86C16">
            <w:pPr>
              <w:spacing w:before="116" w:line="183" w:lineRule="auto"/>
              <w:ind w:left="516"/>
              <w:rPr>
                <w:rFonts w:ascii="宋体" w:eastAsia="宋体" w:hAnsi="宋体" w:cs="宋体"/>
                <w:sz w:val="16"/>
                <w:szCs w:val="16"/>
              </w:rPr>
            </w:pPr>
            <w:r>
              <w:rPr>
                <w:rFonts w:ascii="宋体" w:eastAsia="宋体" w:hAnsi="宋体" w:cs="宋体"/>
                <w:spacing w:val="-2"/>
                <w:sz w:val="16"/>
                <w:szCs w:val="16"/>
              </w:rPr>
              <w:t>2.4</w:t>
            </w:r>
          </w:p>
        </w:tc>
        <w:tc>
          <w:tcPr>
            <w:tcW w:w="908" w:type="dxa"/>
            <w:tcBorders>
              <w:bottom w:val="single" w:sz="4" w:space="0" w:color="000000"/>
            </w:tcBorders>
          </w:tcPr>
          <w:p w:rsidR="00EA40A3" w:rsidRDefault="00E86C16">
            <w:pPr>
              <w:spacing w:before="115" w:line="184" w:lineRule="auto"/>
              <w:ind w:left="354"/>
              <w:rPr>
                <w:rFonts w:ascii="宋体" w:eastAsia="宋体" w:hAnsi="宋体" w:cs="宋体"/>
                <w:sz w:val="16"/>
                <w:szCs w:val="16"/>
              </w:rPr>
            </w:pPr>
            <w:r>
              <w:rPr>
                <w:rFonts w:ascii="宋体" w:eastAsia="宋体" w:hAnsi="宋体" w:cs="宋体"/>
                <w:spacing w:val="-5"/>
                <w:sz w:val="16"/>
                <w:szCs w:val="16"/>
              </w:rPr>
              <w:t>100</w:t>
            </w:r>
          </w:p>
        </w:tc>
        <w:tc>
          <w:tcPr>
            <w:tcW w:w="1200" w:type="dxa"/>
            <w:tcBorders>
              <w:bottom w:val="single" w:sz="4" w:space="0" w:color="000000"/>
            </w:tcBorders>
          </w:tcPr>
          <w:p w:rsidR="00EA40A3" w:rsidRDefault="00E86C16">
            <w:pPr>
              <w:spacing w:before="116" w:line="183" w:lineRule="auto"/>
              <w:ind w:left="486"/>
              <w:rPr>
                <w:rFonts w:ascii="宋体" w:eastAsia="宋体" w:hAnsi="宋体" w:cs="宋体"/>
                <w:sz w:val="16"/>
                <w:szCs w:val="16"/>
              </w:rPr>
            </w:pPr>
            <w:r>
              <w:rPr>
                <w:rFonts w:ascii="宋体" w:eastAsia="宋体" w:hAnsi="宋体" w:cs="宋体"/>
                <w:spacing w:val="-2"/>
                <w:sz w:val="16"/>
                <w:szCs w:val="16"/>
              </w:rPr>
              <w:t>400</w:t>
            </w:r>
          </w:p>
        </w:tc>
        <w:tc>
          <w:tcPr>
            <w:tcW w:w="903" w:type="dxa"/>
            <w:tcBorders>
              <w:bottom w:val="single" w:sz="4" w:space="0" w:color="000000"/>
            </w:tcBorders>
          </w:tcPr>
          <w:p w:rsidR="00EA40A3" w:rsidRDefault="00E86C16">
            <w:pPr>
              <w:spacing w:before="116" w:line="183" w:lineRule="auto"/>
              <w:ind w:left="325"/>
              <w:rPr>
                <w:rFonts w:ascii="宋体" w:eastAsia="宋体" w:hAnsi="宋体" w:cs="宋体"/>
                <w:sz w:val="16"/>
                <w:szCs w:val="16"/>
              </w:rPr>
            </w:pPr>
            <w:r>
              <w:rPr>
                <w:rFonts w:ascii="宋体" w:eastAsia="宋体" w:hAnsi="宋体" w:cs="宋体"/>
                <w:spacing w:val="-3"/>
                <w:sz w:val="16"/>
                <w:szCs w:val="16"/>
              </w:rPr>
              <w:t>5.0</w:t>
            </w:r>
          </w:p>
        </w:tc>
        <w:tc>
          <w:tcPr>
            <w:tcW w:w="1112" w:type="dxa"/>
            <w:tcBorders>
              <w:bottom w:val="single" w:sz="4" w:space="0" w:color="000000"/>
            </w:tcBorders>
          </w:tcPr>
          <w:p w:rsidR="00EA40A3" w:rsidRDefault="00E86C16">
            <w:pPr>
              <w:spacing w:before="115" w:line="184" w:lineRule="auto"/>
              <w:ind w:left="473"/>
              <w:rPr>
                <w:rFonts w:ascii="宋体" w:eastAsia="宋体" w:hAnsi="宋体" w:cs="宋体"/>
                <w:sz w:val="16"/>
                <w:szCs w:val="16"/>
              </w:rPr>
            </w:pPr>
            <w:r>
              <w:rPr>
                <w:rFonts w:ascii="宋体" w:eastAsia="宋体" w:hAnsi="宋体" w:cs="宋体"/>
                <w:spacing w:val="-5"/>
                <w:sz w:val="16"/>
                <w:szCs w:val="16"/>
              </w:rPr>
              <w:t>13</w:t>
            </w:r>
          </w:p>
        </w:tc>
        <w:tc>
          <w:tcPr>
            <w:tcW w:w="1110" w:type="dxa"/>
            <w:tcBorders>
              <w:bottom w:val="single" w:sz="4" w:space="0" w:color="000000"/>
            </w:tcBorders>
          </w:tcPr>
          <w:p w:rsidR="00EA40A3" w:rsidRDefault="00EA40A3"/>
        </w:tc>
      </w:tr>
    </w:tbl>
    <w:p w:rsidR="00EA40A3" w:rsidRDefault="00E86C16">
      <w:pPr>
        <w:spacing w:before="91" w:line="219" w:lineRule="auto"/>
        <w:ind w:left="329"/>
        <w:rPr>
          <w:rFonts w:ascii="宋体" w:eastAsia="宋体" w:hAnsi="宋体" w:cs="宋体"/>
          <w:sz w:val="16"/>
          <w:szCs w:val="16"/>
        </w:rPr>
      </w:pPr>
      <w:r>
        <w:rPr>
          <w:rFonts w:ascii="宋体" w:eastAsia="宋体" w:hAnsi="宋体" w:cs="宋体"/>
          <w:sz w:val="16"/>
          <w:szCs w:val="16"/>
        </w:rPr>
        <w:t>资料来源：中国营养学会.2000.中国居民膳食营养素参考摄入量.北京：中国轻工业出版社</w:t>
      </w:r>
    </w:p>
    <w:p w:rsidR="00EA40A3" w:rsidRDefault="00EA40A3">
      <w:pPr>
        <w:spacing w:line="470" w:lineRule="auto"/>
      </w:pPr>
    </w:p>
    <w:p w:rsidR="00EA40A3" w:rsidRDefault="00E86C16">
      <w:pPr>
        <w:spacing w:before="69" w:line="222" w:lineRule="auto"/>
        <w:rPr>
          <w:rFonts w:ascii="仿宋" w:eastAsia="仿宋" w:hAnsi="仿宋" w:cs="仿宋"/>
        </w:rPr>
      </w:pPr>
      <w:r>
        <w:rPr>
          <w:rFonts w:ascii="仿宋" w:eastAsia="仿宋" w:hAnsi="仿宋" w:cs="仿宋"/>
          <w:spacing w:val="1"/>
        </w:rPr>
        <w:t>7.</w:t>
      </w:r>
      <w:r>
        <w:rPr>
          <w:rFonts w:ascii="仿宋" w:eastAsia="仿宋" w:hAnsi="仿宋" w:cs="仿宋"/>
          <w:spacing w:val="41"/>
        </w:rPr>
        <w:t xml:space="preserve"> </w:t>
      </w:r>
      <w:r>
        <w:rPr>
          <w:rFonts w:ascii="仿宋" w:eastAsia="仿宋" w:hAnsi="仿宋" w:cs="仿宋"/>
          <w:spacing w:val="1"/>
        </w:rPr>
        <w:t>水和液体</w:t>
      </w:r>
    </w:p>
    <w:p w:rsidR="00EA40A3" w:rsidRDefault="00E86C16">
      <w:pPr>
        <w:spacing w:before="227" w:line="232" w:lineRule="auto"/>
        <w:ind w:right="79" w:firstLine="439"/>
        <w:rPr>
          <w:rFonts w:ascii="宋体" w:eastAsia="宋体" w:hAnsi="宋体" w:cs="宋体"/>
        </w:rPr>
      </w:pPr>
      <w:r>
        <w:rPr>
          <w:rFonts w:ascii="宋体" w:eastAsia="宋体" w:hAnsi="宋体" w:cs="宋体"/>
          <w:spacing w:val="5"/>
        </w:rPr>
        <w:t>老年人对水分的要求不少于中青年。老年人的水摄</w:t>
      </w:r>
      <w:r>
        <w:rPr>
          <w:rFonts w:ascii="宋体" w:eastAsia="宋体" w:hAnsi="宋体" w:cs="宋体"/>
          <w:spacing w:val="4"/>
        </w:rPr>
        <w:t>入按体重计，</w:t>
      </w:r>
      <w:r>
        <w:rPr>
          <w:rFonts w:ascii="宋体" w:eastAsia="宋体" w:hAnsi="宋体" w:cs="宋体"/>
          <w:spacing w:val="69"/>
        </w:rPr>
        <w:t xml:space="preserve"> </w:t>
      </w:r>
      <w:r>
        <w:rPr>
          <w:rFonts w:ascii="宋体" w:eastAsia="宋体" w:hAnsi="宋体" w:cs="宋体"/>
          <w:spacing w:val="4"/>
        </w:rPr>
        <w:t>一般为</w:t>
      </w:r>
      <w:r>
        <w:rPr>
          <w:rFonts w:ascii="宋体" w:eastAsia="宋体" w:hAnsi="宋体" w:cs="宋体"/>
        </w:rPr>
        <w:t xml:space="preserve"> </w:t>
      </w:r>
      <w:r>
        <w:rPr>
          <w:rFonts w:ascii="宋体" w:eastAsia="宋体" w:hAnsi="宋体" w:cs="宋体"/>
          <w:spacing w:val="-4"/>
        </w:rPr>
        <w:t>30mL/kg,</w:t>
      </w:r>
      <w:r>
        <w:rPr>
          <w:rFonts w:ascii="宋体" w:eastAsia="宋体" w:hAnsi="宋体" w:cs="宋体"/>
          <w:spacing w:val="7"/>
        </w:rPr>
        <w:t xml:space="preserve">  </w:t>
      </w:r>
      <w:r>
        <w:rPr>
          <w:rFonts w:ascii="宋体" w:eastAsia="宋体" w:hAnsi="宋体" w:cs="宋体"/>
          <w:spacing w:val="-4"/>
        </w:rPr>
        <w:t>当有特殊情况如发汗、腹泻等时，水的摄入量应适当增加。</w:t>
      </w:r>
    </w:p>
    <w:p w:rsidR="00EA40A3" w:rsidRDefault="00E86C16">
      <w:pPr>
        <w:spacing w:before="200" w:line="222" w:lineRule="auto"/>
        <w:ind w:left="3"/>
        <w:outlineLvl w:val="6"/>
        <w:rPr>
          <w:rFonts w:ascii="黑体" w:eastAsia="黑体" w:hAnsi="黑体" w:cs="黑体"/>
          <w:sz w:val="24"/>
          <w:szCs w:val="24"/>
        </w:rPr>
      </w:pPr>
      <w:r>
        <w:rPr>
          <w:rFonts w:ascii="黑体" w:eastAsia="黑体" w:hAnsi="黑体" w:cs="黑体"/>
          <w:b/>
          <w:bCs/>
          <w:spacing w:val="-5"/>
          <w:sz w:val="24"/>
          <w:szCs w:val="24"/>
        </w:rPr>
        <w:t>10.5.3</w:t>
      </w:r>
      <w:r>
        <w:rPr>
          <w:rFonts w:ascii="黑体" w:eastAsia="黑体" w:hAnsi="黑体" w:cs="黑体"/>
          <w:spacing w:val="12"/>
          <w:sz w:val="24"/>
          <w:szCs w:val="24"/>
        </w:rPr>
        <w:t xml:space="preserve">  </w:t>
      </w:r>
      <w:r>
        <w:rPr>
          <w:rFonts w:ascii="黑体" w:eastAsia="黑体" w:hAnsi="黑体" w:cs="黑体"/>
          <w:b/>
          <w:bCs/>
          <w:spacing w:val="-5"/>
          <w:sz w:val="24"/>
          <w:szCs w:val="24"/>
        </w:rPr>
        <w:t>老年人的膳食原则</w:t>
      </w:r>
    </w:p>
    <w:p w:rsidR="00EA40A3" w:rsidRDefault="00E86C16">
      <w:pPr>
        <w:spacing w:before="194" w:line="242" w:lineRule="auto"/>
        <w:ind w:right="14" w:firstLine="419"/>
        <w:rPr>
          <w:rFonts w:ascii="宋体" w:eastAsia="宋体" w:hAnsi="宋体" w:cs="宋体"/>
        </w:rPr>
      </w:pPr>
      <w:r>
        <w:rPr>
          <w:rFonts w:ascii="宋体" w:eastAsia="宋体" w:hAnsi="宋体" w:cs="宋体"/>
          <w:spacing w:val="-1"/>
        </w:rPr>
        <w:t>老年人的饮食计划应以成人均衡饮食为基础，注意食物的种类与烹调方式，</w:t>
      </w:r>
      <w:r>
        <w:rPr>
          <w:rFonts w:ascii="宋体" w:eastAsia="宋体" w:hAnsi="宋体" w:cs="宋体"/>
          <w:spacing w:val="17"/>
        </w:rPr>
        <w:t xml:space="preserve"> </w:t>
      </w:r>
      <w:r>
        <w:rPr>
          <w:rFonts w:ascii="宋体" w:eastAsia="宋体" w:hAnsi="宋体" w:cs="宋体"/>
          <w:spacing w:val="-4"/>
        </w:rPr>
        <w:t>以配合老年人现有的生理状况、生活环境及营养需要。</w:t>
      </w:r>
    </w:p>
    <w:p w:rsidR="00EA40A3" w:rsidRDefault="00EA40A3">
      <w:pPr>
        <w:sectPr w:rsidR="00EA40A3">
          <w:footerReference w:type="default" r:id="rId278"/>
          <w:pgSz w:w="9220" w:h="13360"/>
          <w:pgMar w:top="400" w:right="1020" w:bottom="1206" w:left="849" w:header="0" w:footer="985" w:gutter="0"/>
          <w:cols w:space="720"/>
        </w:sectPr>
      </w:pPr>
    </w:p>
    <w:p w:rsidR="00EA40A3" w:rsidRDefault="00EA40A3">
      <w:pPr>
        <w:spacing w:line="256" w:lineRule="auto"/>
      </w:pPr>
    </w:p>
    <w:p w:rsidR="00EA40A3" w:rsidRDefault="00EA40A3">
      <w:pPr>
        <w:spacing w:line="256" w:lineRule="auto"/>
      </w:pPr>
    </w:p>
    <w:p w:rsidR="00EA40A3" w:rsidRDefault="00EA40A3">
      <w:pPr>
        <w:spacing w:line="257" w:lineRule="auto"/>
      </w:pPr>
    </w:p>
    <w:p w:rsidR="00EA40A3" w:rsidRDefault="00E86C16">
      <w:pPr>
        <w:spacing w:before="72" w:line="222" w:lineRule="auto"/>
        <w:rPr>
          <w:rFonts w:ascii="仿宋" w:eastAsia="仿宋" w:hAnsi="仿宋" w:cs="仿宋"/>
          <w:sz w:val="22"/>
          <w:szCs w:val="22"/>
        </w:rPr>
      </w:pPr>
      <w:r>
        <w:rPr>
          <w:rFonts w:ascii="仿宋" w:eastAsia="仿宋" w:hAnsi="仿宋" w:cs="仿宋"/>
          <w:spacing w:val="4"/>
          <w:sz w:val="22"/>
          <w:szCs w:val="22"/>
        </w:rPr>
        <w:t>1.</w:t>
      </w:r>
      <w:r>
        <w:rPr>
          <w:rFonts w:ascii="仿宋" w:eastAsia="仿宋" w:hAnsi="仿宋" w:cs="仿宋"/>
          <w:spacing w:val="-12"/>
          <w:sz w:val="22"/>
          <w:szCs w:val="22"/>
        </w:rPr>
        <w:t xml:space="preserve"> </w:t>
      </w:r>
      <w:r>
        <w:rPr>
          <w:rFonts w:ascii="仿宋" w:eastAsia="仿宋" w:hAnsi="仿宋" w:cs="仿宋"/>
          <w:spacing w:val="4"/>
          <w:sz w:val="22"/>
          <w:szCs w:val="22"/>
        </w:rPr>
        <w:t>平衡膳食</w:t>
      </w:r>
    </w:p>
    <w:p w:rsidR="00EA40A3" w:rsidRDefault="00E86C16">
      <w:pPr>
        <w:spacing w:before="188" w:line="245" w:lineRule="auto"/>
        <w:ind w:right="60" w:firstLine="429"/>
        <w:jc w:val="both"/>
        <w:rPr>
          <w:rFonts w:ascii="宋体" w:eastAsia="宋体" w:hAnsi="宋体" w:cs="宋体"/>
          <w:sz w:val="22"/>
          <w:szCs w:val="22"/>
        </w:rPr>
      </w:pPr>
      <w:r>
        <w:rPr>
          <w:rFonts w:ascii="宋体" w:eastAsia="宋体" w:hAnsi="宋体" w:cs="宋体"/>
          <w:spacing w:val="-14"/>
          <w:sz w:val="22"/>
          <w:szCs w:val="22"/>
        </w:rPr>
        <w:t>无论哪个人群，包括老年人，膳食的基本原则就是保证平衡膳食。在保证能</w:t>
      </w:r>
      <w:r>
        <w:rPr>
          <w:rFonts w:ascii="宋体" w:eastAsia="宋体" w:hAnsi="宋体" w:cs="宋体"/>
          <w:spacing w:val="11"/>
          <w:sz w:val="22"/>
          <w:szCs w:val="22"/>
        </w:rPr>
        <w:t xml:space="preserve"> </w:t>
      </w:r>
      <w:r>
        <w:rPr>
          <w:rFonts w:ascii="宋体" w:eastAsia="宋体" w:hAnsi="宋体" w:cs="宋体"/>
          <w:spacing w:val="-13"/>
          <w:sz w:val="22"/>
          <w:szCs w:val="22"/>
        </w:rPr>
        <w:t>量的基础上，食物应多样化，并且以谷类为主；多吃蔬菜、水果，以提供足够的</w:t>
      </w:r>
      <w:r>
        <w:rPr>
          <w:rFonts w:ascii="宋体" w:eastAsia="宋体" w:hAnsi="宋体" w:cs="宋体"/>
          <w:sz w:val="22"/>
          <w:szCs w:val="22"/>
        </w:rPr>
        <w:t xml:space="preserve"> </w:t>
      </w:r>
      <w:r>
        <w:rPr>
          <w:rFonts w:ascii="宋体" w:eastAsia="宋体" w:hAnsi="宋体" w:cs="宋体"/>
          <w:spacing w:val="-13"/>
          <w:sz w:val="22"/>
          <w:szCs w:val="22"/>
        </w:rPr>
        <w:t>维生素、矿物质和膳食纤维；注重蛋白质的质和量，多食用豆类及其制品，适当</w:t>
      </w:r>
      <w:r>
        <w:rPr>
          <w:rFonts w:ascii="宋体" w:eastAsia="宋体" w:hAnsi="宋体" w:cs="宋体"/>
          <w:spacing w:val="3"/>
          <w:sz w:val="22"/>
          <w:szCs w:val="22"/>
        </w:rPr>
        <w:t xml:space="preserve"> </w:t>
      </w:r>
      <w:r>
        <w:rPr>
          <w:rFonts w:ascii="宋体" w:eastAsia="宋体" w:hAnsi="宋体" w:cs="宋体"/>
          <w:spacing w:val="-13"/>
          <w:sz w:val="22"/>
          <w:szCs w:val="22"/>
        </w:rPr>
        <w:t>摄入动物性蛋白质；少吃脂肪含量高尤其是饱和脂肪酸含量高的</w:t>
      </w:r>
      <w:r>
        <w:rPr>
          <w:rFonts w:ascii="宋体" w:eastAsia="宋体" w:hAnsi="宋体" w:cs="宋体"/>
          <w:spacing w:val="-14"/>
          <w:sz w:val="22"/>
          <w:szCs w:val="22"/>
        </w:rPr>
        <w:t>食物；控制食糖</w:t>
      </w:r>
      <w:r>
        <w:rPr>
          <w:rFonts w:ascii="宋体" w:eastAsia="宋体" w:hAnsi="宋体" w:cs="宋体"/>
          <w:sz w:val="22"/>
          <w:szCs w:val="22"/>
        </w:rPr>
        <w:t xml:space="preserve"> </w:t>
      </w:r>
      <w:r>
        <w:rPr>
          <w:rFonts w:ascii="宋体" w:eastAsia="宋体" w:hAnsi="宋体" w:cs="宋体"/>
          <w:spacing w:val="-15"/>
          <w:sz w:val="22"/>
          <w:szCs w:val="22"/>
        </w:rPr>
        <w:t>及甜食的摄入；吃清淡少盐的食物；饮酒要适量；保证摄入食物的清洁卫生，</w:t>
      </w:r>
    </w:p>
    <w:p w:rsidR="00EA40A3" w:rsidRDefault="00E86C16">
      <w:pPr>
        <w:spacing w:before="236"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31"/>
          <w:sz w:val="22"/>
          <w:szCs w:val="22"/>
        </w:rPr>
        <w:t xml:space="preserve"> </w:t>
      </w:r>
      <w:r>
        <w:rPr>
          <w:rFonts w:ascii="仿宋" w:eastAsia="仿宋" w:hAnsi="仿宋" w:cs="仿宋"/>
          <w:spacing w:val="12"/>
          <w:sz w:val="22"/>
          <w:szCs w:val="22"/>
        </w:rPr>
        <w:t>食物粗细搭配，易于消化</w:t>
      </w:r>
    </w:p>
    <w:p w:rsidR="00EA40A3" w:rsidRDefault="00E86C16">
      <w:pPr>
        <w:spacing w:before="210" w:line="244" w:lineRule="auto"/>
        <w:ind w:firstLine="429"/>
        <w:jc w:val="both"/>
        <w:rPr>
          <w:rFonts w:ascii="宋体" w:eastAsia="宋体" w:hAnsi="宋体" w:cs="宋体"/>
          <w:sz w:val="22"/>
          <w:szCs w:val="22"/>
        </w:rPr>
      </w:pPr>
      <w:r>
        <w:rPr>
          <w:rFonts w:ascii="宋体" w:eastAsia="宋体" w:hAnsi="宋体" w:cs="宋体"/>
          <w:spacing w:val="-14"/>
          <w:sz w:val="22"/>
          <w:szCs w:val="22"/>
        </w:rPr>
        <w:t>老年人胃肠功能减退，应选择易消化的食物，以利于吸收利用。但食物不宜</w:t>
      </w:r>
      <w:r>
        <w:rPr>
          <w:rFonts w:ascii="宋体" w:eastAsia="宋体" w:hAnsi="宋体" w:cs="宋体"/>
          <w:spacing w:val="13"/>
          <w:sz w:val="22"/>
          <w:szCs w:val="22"/>
        </w:rPr>
        <w:t xml:space="preserve"> </w:t>
      </w:r>
      <w:r>
        <w:rPr>
          <w:rFonts w:ascii="宋体" w:eastAsia="宋体" w:hAnsi="宋体" w:cs="宋体"/>
          <w:spacing w:val="-11"/>
          <w:sz w:val="22"/>
          <w:szCs w:val="22"/>
        </w:rPr>
        <w:t>过精，应强调粗细搭配，经常食用豆类、薯类、杂谷类；食物制作</w:t>
      </w:r>
      <w:r>
        <w:rPr>
          <w:rFonts w:ascii="宋体" w:eastAsia="宋体" w:hAnsi="宋体" w:cs="宋体"/>
          <w:spacing w:val="-12"/>
          <w:sz w:val="22"/>
          <w:szCs w:val="22"/>
        </w:rPr>
        <w:t>时宜选用蒸、</w:t>
      </w:r>
      <w:r>
        <w:rPr>
          <w:rFonts w:ascii="宋体" w:eastAsia="宋体" w:hAnsi="宋体" w:cs="宋体"/>
          <w:sz w:val="22"/>
          <w:szCs w:val="22"/>
        </w:rPr>
        <w:t xml:space="preserve"> </w:t>
      </w:r>
      <w:r>
        <w:rPr>
          <w:rFonts w:ascii="宋体" w:eastAsia="宋体" w:hAnsi="宋体" w:cs="宋体"/>
          <w:spacing w:val="-13"/>
          <w:sz w:val="22"/>
          <w:szCs w:val="22"/>
        </w:rPr>
        <w:t>炖、煮和炒等方式，少食用煎炸食品；同时注意食品的色、香、</w:t>
      </w:r>
      <w:r>
        <w:rPr>
          <w:rFonts w:ascii="宋体" w:eastAsia="宋体" w:hAnsi="宋体" w:cs="宋体"/>
          <w:spacing w:val="-14"/>
          <w:sz w:val="22"/>
          <w:szCs w:val="22"/>
        </w:rPr>
        <w:t>味、形状，促进</w:t>
      </w:r>
      <w:r>
        <w:rPr>
          <w:rFonts w:ascii="宋体" w:eastAsia="宋体" w:hAnsi="宋体" w:cs="宋体"/>
          <w:sz w:val="22"/>
          <w:szCs w:val="22"/>
        </w:rPr>
        <w:t xml:space="preserve"> </w:t>
      </w:r>
      <w:r>
        <w:rPr>
          <w:rFonts w:ascii="宋体" w:eastAsia="宋体" w:hAnsi="宋体" w:cs="宋体"/>
          <w:spacing w:val="-21"/>
          <w:sz w:val="22"/>
          <w:szCs w:val="22"/>
        </w:rPr>
        <w:t>食欲。</w:t>
      </w:r>
    </w:p>
    <w:p w:rsidR="00EA40A3" w:rsidRDefault="00E86C16">
      <w:pPr>
        <w:spacing w:before="213" w:line="221" w:lineRule="auto"/>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z w:val="22"/>
          <w:szCs w:val="22"/>
        </w:rPr>
        <w:t xml:space="preserve"> </w:t>
      </w:r>
      <w:r>
        <w:rPr>
          <w:rFonts w:ascii="仿宋" w:eastAsia="仿宋" w:hAnsi="仿宋" w:cs="仿宋"/>
          <w:spacing w:val="13"/>
          <w:sz w:val="22"/>
          <w:szCs w:val="22"/>
        </w:rPr>
        <w:t>积极参加体力活动，保持能量平衡</w:t>
      </w:r>
    </w:p>
    <w:p w:rsidR="00EA40A3" w:rsidRDefault="00E86C16">
      <w:pPr>
        <w:spacing w:before="210" w:line="231" w:lineRule="auto"/>
        <w:ind w:right="72" w:firstLine="429"/>
        <w:rPr>
          <w:rFonts w:ascii="宋体" w:eastAsia="宋体" w:hAnsi="宋体" w:cs="宋体"/>
          <w:sz w:val="22"/>
          <w:szCs w:val="22"/>
        </w:rPr>
      </w:pPr>
      <w:r>
        <w:rPr>
          <w:rFonts w:ascii="宋体" w:eastAsia="宋体" w:hAnsi="宋体" w:cs="宋体"/>
          <w:spacing w:val="-14"/>
          <w:sz w:val="22"/>
          <w:szCs w:val="22"/>
        </w:rPr>
        <w:t>老年人要积极参加适度的体力活动，保持食物量与营养物质及其活动量取得</w:t>
      </w:r>
      <w:r>
        <w:rPr>
          <w:rFonts w:ascii="宋体" w:eastAsia="宋体" w:hAnsi="宋体" w:cs="宋体"/>
          <w:spacing w:val="9"/>
          <w:sz w:val="22"/>
          <w:szCs w:val="22"/>
        </w:rPr>
        <w:t xml:space="preserve"> </w:t>
      </w:r>
      <w:r>
        <w:rPr>
          <w:rFonts w:ascii="宋体" w:eastAsia="宋体" w:hAnsi="宋体" w:cs="宋体"/>
          <w:spacing w:val="-18"/>
          <w:sz w:val="22"/>
          <w:szCs w:val="22"/>
        </w:rPr>
        <w:t>平衡，维持适宜体重。</w:t>
      </w:r>
    </w:p>
    <w:p w:rsidR="00EA40A3" w:rsidRDefault="00E86C16">
      <w:pPr>
        <w:spacing w:before="228" w:line="223"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11"/>
          <w:sz w:val="22"/>
          <w:szCs w:val="22"/>
        </w:rPr>
        <w:t xml:space="preserve"> </w:t>
      </w:r>
      <w:r>
        <w:rPr>
          <w:rFonts w:ascii="仿宋" w:eastAsia="仿宋" w:hAnsi="仿宋" w:cs="仿宋"/>
          <w:spacing w:val="9"/>
          <w:sz w:val="22"/>
          <w:szCs w:val="22"/>
        </w:rPr>
        <w:t>良好的饮食习惯</w:t>
      </w:r>
    </w:p>
    <w:p w:rsidR="00EA40A3" w:rsidRDefault="00E86C16">
      <w:pPr>
        <w:spacing w:before="194" w:line="227" w:lineRule="auto"/>
        <w:ind w:right="52" w:firstLine="429"/>
        <w:rPr>
          <w:rFonts w:ascii="宋体" w:eastAsia="宋体" w:hAnsi="宋体" w:cs="宋体"/>
          <w:sz w:val="22"/>
          <w:szCs w:val="22"/>
        </w:rPr>
      </w:pPr>
      <w:r>
        <w:rPr>
          <w:rFonts w:ascii="宋体" w:eastAsia="宋体" w:hAnsi="宋体" w:cs="宋体"/>
          <w:spacing w:val="-13"/>
          <w:sz w:val="22"/>
          <w:szCs w:val="22"/>
        </w:rPr>
        <w:t>老年人饮食要讲究少量多餐，定时定量，不宜过饱，促进对食物的吸</w:t>
      </w:r>
      <w:r>
        <w:rPr>
          <w:rFonts w:ascii="宋体" w:eastAsia="宋体" w:hAnsi="宋体" w:cs="宋体"/>
          <w:spacing w:val="-14"/>
          <w:sz w:val="22"/>
          <w:szCs w:val="22"/>
        </w:rPr>
        <w:t>收及避</w:t>
      </w:r>
      <w:r>
        <w:rPr>
          <w:rFonts w:ascii="宋体" w:eastAsia="宋体" w:hAnsi="宋体" w:cs="宋体"/>
          <w:sz w:val="22"/>
          <w:szCs w:val="22"/>
        </w:rPr>
        <w:t xml:space="preserve"> </w:t>
      </w:r>
      <w:r>
        <w:rPr>
          <w:rFonts w:ascii="宋体" w:eastAsia="宋体" w:hAnsi="宋体" w:cs="宋体"/>
          <w:spacing w:val="-19"/>
          <w:sz w:val="22"/>
          <w:szCs w:val="22"/>
        </w:rPr>
        <w:t>免胃肠不适。</w:t>
      </w:r>
    </w:p>
    <w:p w:rsidR="00EA40A3" w:rsidRDefault="00EA40A3">
      <w:pPr>
        <w:spacing w:line="293" w:lineRule="auto"/>
      </w:pPr>
    </w:p>
    <w:p w:rsidR="00EA40A3" w:rsidRDefault="00E86C16">
      <w:pPr>
        <w:spacing w:before="88" w:line="219" w:lineRule="auto"/>
        <w:ind w:left="2059"/>
        <w:rPr>
          <w:rFonts w:ascii="宋体" w:eastAsia="宋体" w:hAnsi="宋体" w:cs="宋体"/>
          <w:sz w:val="27"/>
          <w:szCs w:val="27"/>
        </w:rPr>
      </w:pPr>
      <w:r>
        <w:rPr>
          <w:rFonts w:ascii="宋体" w:eastAsia="宋体" w:hAnsi="宋体" w:cs="宋体"/>
          <w:spacing w:val="2"/>
          <w:sz w:val="27"/>
          <w:szCs w:val="27"/>
        </w:rPr>
        <w:t>10.6</w:t>
      </w:r>
      <w:r>
        <w:rPr>
          <w:rFonts w:ascii="宋体" w:eastAsia="宋体" w:hAnsi="宋体" w:cs="宋体"/>
          <w:spacing w:val="130"/>
          <w:sz w:val="27"/>
          <w:szCs w:val="27"/>
        </w:rPr>
        <w:t xml:space="preserve"> </w:t>
      </w:r>
      <w:r>
        <w:rPr>
          <w:rFonts w:ascii="宋体" w:eastAsia="宋体" w:hAnsi="宋体" w:cs="宋体"/>
          <w:spacing w:val="2"/>
          <w:sz w:val="27"/>
          <w:szCs w:val="27"/>
        </w:rPr>
        <w:t>运动员的营养和膳食</w:t>
      </w:r>
    </w:p>
    <w:p w:rsidR="00EA40A3" w:rsidRDefault="00E86C16">
      <w:pPr>
        <w:spacing w:before="295" w:line="241" w:lineRule="auto"/>
        <w:ind w:right="100" w:firstLine="429"/>
        <w:jc w:val="both"/>
        <w:rPr>
          <w:rFonts w:ascii="宋体" w:eastAsia="宋体" w:hAnsi="宋体" w:cs="宋体"/>
          <w:sz w:val="22"/>
          <w:szCs w:val="22"/>
        </w:rPr>
      </w:pPr>
      <w:r>
        <w:rPr>
          <w:rFonts w:ascii="宋体" w:eastAsia="宋体" w:hAnsi="宋体" w:cs="宋体"/>
          <w:spacing w:val="-15"/>
          <w:sz w:val="22"/>
          <w:szCs w:val="22"/>
        </w:rPr>
        <w:t>运动营养已是现代体育运动的重要组成部分。科学合理的营养供应，不仅关</w:t>
      </w:r>
      <w:r>
        <w:rPr>
          <w:rFonts w:ascii="宋体" w:eastAsia="宋体" w:hAnsi="宋体" w:cs="宋体"/>
          <w:spacing w:val="13"/>
          <w:sz w:val="22"/>
          <w:szCs w:val="22"/>
        </w:rPr>
        <w:t xml:space="preserve"> </w:t>
      </w:r>
      <w:r>
        <w:rPr>
          <w:rFonts w:ascii="宋体" w:eastAsia="宋体" w:hAnsi="宋体" w:cs="宋体"/>
          <w:spacing w:val="-14"/>
          <w:sz w:val="22"/>
          <w:szCs w:val="22"/>
        </w:rPr>
        <w:t>系着运动员的身体健康，而且对运动员竟技状态的保持，运动成绩的提高以</w:t>
      </w:r>
      <w:r>
        <w:rPr>
          <w:rFonts w:ascii="宋体" w:eastAsia="宋体" w:hAnsi="宋体" w:cs="宋体"/>
          <w:spacing w:val="-15"/>
          <w:sz w:val="22"/>
          <w:szCs w:val="22"/>
        </w:rPr>
        <w:t>及运</w:t>
      </w:r>
      <w:r>
        <w:rPr>
          <w:rFonts w:ascii="宋体" w:eastAsia="宋体" w:hAnsi="宋体" w:cs="宋体"/>
          <w:sz w:val="22"/>
          <w:szCs w:val="22"/>
        </w:rPr>
        <w:t xml:space="preserve"> </w:t>
      </w:r>
      <w:r>
        <w:rPr>
          <w:rFonts w:ascii="宋体" w:eastAsia="宋体" w:hAnsi="宋体" w:cs="宋体"/>
          <w:spacing w:val="-16"/>
          <w:sz w:val="22"/>
          <w:szCs w:val="22"/>
        </w:rPr>
        <w:t>动后体力的恢复等都会产生很大的影响。</w:t>
      </w:r>
    </w:p>
    <w:p w:rsidR="00EA40A3" w:rsidRDefault="00E86C16">
      <w:pPr>
        <w:spacing w:before="226" w:line="221" w:lineRule="auto"/>
        <w:ind w:left="3"/>
        <w:outlineLvl w:val="6"/>
        <w:rPr>
          <w:rFonts w:ascii="黑体" w:eastAsia="黑体" w:hAnsi="黑体" w:cs="黑体"/>
          <w:sz w:val="22"/>
          <w:szCs w:val="22"/>
        </w:rPr>
      </w:pPr>
      <w:r>
        <w:rPr>
          <w:rFonts w:ascii="黑体" w:eastAsia="黑体" w:hAnsi="黑体" w:cs="黑体"/>
          <w:b/>
          <w:bCs/>
          <w:spacing w:val="5"/>
          <w:sz w:val="22"/>
          <w:szCs w:val="22"/>
        </w:rPr>
        <w:t>10.6.1</w:t>
      </w:r>
      <w:r>
        <w:rPr>
          <w:rFonts w:ascii="黑体" w:eastAsia="黑体" w:hAnsi="黑体" w:cs="黑体"/>
          <w:spacing w:val="35"/>
          <w:sz w:val="22"/>
          <w:szCs w:val="22"/>
        </w:rPr>
        <w:t xml:space="preserve">  </w:t>
      </w:r>
      <w:r>
        <w:rPr>
          <w:rFonts w:ascii="黑体" w:eastAsia="黑体" w:hAnsi="黑体" w:cs="黑体"/>
          <w:b/>
          <w:bCs/>
          <w:spacing w:val="5"/>
          <w:sz w:val="22"/>
          <w:szCs w:val="22"/>
        </w:rPr>
        <w:t>运动员的生理特点</w:t>
      </w:r>
    </w:p>
    <w:p w:rsidR="00EA40A3" w:rsidRDefault="00E86C16">
      <w:pPr>
        <w:spacing w:before="230" w:line="222"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12"/>
          <w:sz w:val="22"/>
          <w:szCs w:val="22"/>
        </w:rPr>
        <w:t xml:space="preserve"> </w:t>
      </w:r>
      <w:r>
        <w:rPr>
          <w:rFonts w:ascii="仿宋" w:eastAsia="仿宋" w:hAnsi="仿宋" w:cs="仿宋"/>
          <w:spacing w:val="6"/>
          <w:sz w:val="22"/>
          <w:szCs w:val="22"/>
        </w:rPr>
        <w:t>体格改变</w:t>
      </w:r>
    </w:p>
    <w:p w:rsidR="00EA40A3" w:rsidRDefault="00E86C16">
      <w:pPr>
        <w:spacing w:before="217" w:line="245" w:lineRule="auto"/>
        <w:ind w:firstLine="429"/>
        <w:jc w:val="both"/>
        <w:rPr>
          <w:rFonts w:ascii="宋体" w:eastAsia="宋体" w:hAnsi="宋体" w:cs="宋体"/>
          <w:sz w:val="22"/>
          <w:szCs w:val="22"/>
        </w:rPr>
      </w:pPr>
      <w:r>
        <w:rPr>
          <w:rFonts w:ascii="宋体" w:eastAsia="宋体" w:hAnsi="宋体" w:cs="宋体"/>
          <w:spacing w:val="-14"/>
          <w:sz w:val="22"/>
          <w:szCs w:val="22"/>
        </w:rPr>
        <w:t>运动员经过长期的运动和训练，肌肉纤维增粗，肌肉质量增加。正常人的肌</w:t>
      </w:r>
      <w:r>
        <w:rPr>
          <w:rFonts w:ascii="宋体" w:eastAsia="宋体" w:hAnsi="宋体" w:cs="宋体"/>
          <w:spacing w:val="8"/>
          <w:sz w:val="22"/>
          <w:szCs w:val="22"/>
        </w:rPr>
        <w:t xml:space="preserve"> </w:t>
      </w:r>
      <w:r>
        <w:rPr>
          <w:rFonts w:ascii="宋体" w:eastAsia="宋体" w:hAnsi="宋体" w:cs="宋体"/>
          <w:spacing w:val="1"/>
          <w:sz w:val="22"/>
          <w:szCs w:val="22"/>
        </w:rPr>
        <w:t>肉占体重的35%～40%,肌肉发达的运动员肌肉总质量可达体重的50%。同时，</w:t>
      </w:r>
      <w:r>
        <w:rPr>
          <w:rFonts w:ascii="宋体" w:eastAsia="宋体" w:hAnsi="宋体" w:cs="宋体"/>
          <w:spacing w:val="11"/>
          <w:sz w:val="22"/>
          <w:szCs w:val="22"/>
        </w:rPr>
        <w:t xml:space="preserve"> </w:t>
      </w:r>
      <w:r>
        <w:rPr>
          <w:rFonts w:ascii="宋体" w:eastAsia="宋体" w:hAnsi="宋体" w:cs="宋体"/>
          <w:spacing w:val="-13"/>
          <w:sz w:val="22"/>
          <w:szCs w:val="22"/>
        </w:rPr>
        <w:t>运动员新陈代谢加强，骨血液供给充足，骨的形态结构和性能都</w:t>
      </w:r>
      <w:r>
        <w:rPr>
          <w:rFonts w:ascii="宋体" w:eastAsia="宋体" w:hAnsi="宋体" w:cs="宋体"/>
          <w:spacing w:val="-14"/>
          <w:sz w:val="22"/>
          <w:szCs w:val="22"/>
        </w:rPr>
        <w:t>发生变化。具体</w:t>
      </w:r>
      <w:r>
        <w:rPr>
          <w:rFonts w:ascii="宋体" w:eastAsia="宋体" w:hAnsi="宋体" w:cs="宋体"/>
          <w:sz w:val="22"/>
          <w:szCs w:val="22"/>
        </w:rPr>
        <w:t xml:space="preserve"> </w:t>
      </w:r>
      <w:r>
        <w:rPr>
          <w:rFonts w:ascii="宋体" w:eastAsia="宋体" w:hAnsi="宋体" w:cs="宋体"/>
          <w:spacing w:val="-13"/>
          <w:sz w:val="22"/>
          <w:szCs w:val="22"/>
        </w:rPr>
        <w:t>表现为：骨外层的密质增厚，骨变粗，骨骼抵抗折断、弯曲、压</w:t>
      </w:r>
      <w:r>
        <w:rPr>
          <w:rFonts w:ascii="宋体" w:eastAsia="宋体" w:hAnsi="宋体" w:cs="宋体"/>
          <w:spacing w:val="-14"/>
          <w:sz w:val="22"/>
          <w:szCs w:val="22"/>
        </w:rPr>
        <w:t>缩、拉长和扭转</w:t>
      </w:r>
      <w:r>
        <w:rPr>
          <w:rFonts w:ascii="宋体" w:eastAsia="宋体" w:hAnsi="宋体" w:cs="宋体"/>
          <w:sz w:val="22"/>
          <w:szCs w:val="22"/>
        </w:rPr>
        <w:t xml:space="preserve"> </w:t>
      </w:r>
      <w:r>
        <w:rPr>
          <w:rFonts w:ascii="宋体" w:eastAsia="宋体" w:hAnsi="宋体" w:cs="宋体"/>
          <w:spacing w:val="-7"/>
          <w:sz w:val="22"/>
          <w:szCs w:val="22"/>
        </w:rPr>
        <w:t>的机械性能提高，关节软骨增厚，关节的牢固性及可承受</w:t>
      </w:r>
      <w:r>
        <w:rPr>
          <w:rFonts w:ascii="宋体" w:eastAsia="宋体" w:hAnsi="宋体" w:cs="宋体"/>
          <w:spacing w:val="-8"/>
          <w:sz w:val="22"/>
          <w:szCs w:val="22"/>
        </w:rPr>
        <w:t>的压力较常人大。另</w:t>
      </w:r>
    </w:p>
    <w:p w:rsidR="00EA40A3" w:rsidRDefault="00E86C16">
      <w:pPr>
        <w:spacing w:before="76"/>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4"/>
          <w:sz w:val="18"/>
          <w:szCs w:val="18"/>
        </w:rPr>
        <w:t xml:space="preserve"> </w:t>
      </w:r>
      <w:r>
        <w:rPr>
          <w:rFonts w:ascii="宋体" w:eastAsia="宋体" w:hAnsi="宋体" w:cs="宋体"/>
          <w:spacing w:val="-29"/>
          <w:sz w:val="18"/>
          <w:szCs w:val="18"/>
        </w:rPr>
        <w:t>336</w:t>
      </w:r>
      <w:r>
        <w:rPr>
          <w:rFonts w:ascii="宋体" w:eastAsia="宋体" w:hAnsi="宋体" w:cs="宋体"/>
          <w:spacing w:val="42"/>
          <w:sz w:val="18"/>
          <w:szCs w:val="18"/>
        </w:rPr>
        <w:t xml:space="preserve"> </w:t>
      </w:r>
      <w:r>
        <w:rPr>
          <w:rFonts w:ascii="宋体" w:eastAsia="宋体" w:hAnsi="宋体" w:cs="宋体"/>
          <w:spacing w:val="-29"/>
          <w:sz w:val="18"/>
          <w:szCs w:val="18"/>
        </w:rPr>
        <w:t>·</w:t>
      </w:r>
    </w:p>
    <w:p w:rsidR="00EA40A3" w:rsidRDefault="00EA40A3">
      <w:pPr>
        <w:sectPr w:rsidR="00EA40A3">
          <w:footerReference w:type="default" r:id="rId279"/>
          <w:pgSz w:w="9220" w:h="13360"/>
          <w:pgMar w:top="400" w:right="1049" w:bottom="400" w:left="860"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69" w:line="253" w:lineRule="auto"/>
        <w:ind w:right="75"/>
        <w:jc w:val="both"/>
        <w:rPr>
          <w:rFonts w:ascii="宋体" w:eastAsia="宋体" w:hAnsi="宋体" w:cs="宋体"/>
        </w:rPr>
      </w:pPr>
      <w:r>
        <w:rPr>
          <w:rFonts w:ascii="宋体" w:eastAsia="宋体" w:hAnsi="宋体" w:cs="宋体"/>
          <w:spacing w:val="-3"/>
        </w:rPr>
        <w:t>外，从事不同运动项目或同一项目的不同动作</w:t>
      </w:r>
      <w:r>
        <w:rPr>
          <w:rFonts w:ascii="宋体" w:eastAsia="宋体" w:hAnsi="宋体" w:cs="宋体"/>
          <w:spacing w:val="-4"/>
        </w:rPr>
        <w:t>对运动员的身体影响不同，如体操</w:t>
      </w:r>
      <w:r>
        <w:rPr>
          <w:rFonts w:ascii="宋体" w:eastAsia="宋体" w:hAnsi="宋体" w:cs="宋体"/>
        </w:rPr>
        <w:t xml:space="preserve"> </w:t>
      </w:r>
      <w:r>
        <w:rPr>
          <w:rFonts w:ascii="宋体" w:eastAsia="宋体" w:hAnsi="宋体" w:cs="宋体"/>
          <w:spacing w:val="-3"/>
        </w:rPr>
        <w:t>运动员在做悬垂动作时，对上肢骨及肌肉的影响大；足球运动，对下肢的影响较</w:t>
      </w:r>
      <w:r>
        <w:rPr>
          <w:rFonts w:ascii="宋体" w:eastAsia="宋体" w:hAnsi="宋体" w:cs="宋体"/>
          <w:spacing w:val="2"/>
        </w:rPr>
        <w:t xml:space="preserve"> </w:t>
      </w:r>
      <w:r>
        <w:rPr>
          <w:rFonts w:ascii="宋体" w:eastAsia="宋体" w:hAnsi="宋体" w:cs="宋体"/>
          <w:spacing w:val="-4"/>
        </w:rPr>
        <w:t>大；举重的运动员，上下肢骨所受影响都较大；而击剑、投掷运动员一侧上肢承</w:t>
      </w:r>
      <w:r>
        <w:rPr>
          <w:rFonts w:ascii="宋体" w:eastAsia="宋体" w:hAnsi="宋体" w:cs="宋体"/>
          <w:spacing w:val="18"/>
        </w:rPr>
        <w:t xml:space="preserve"> </w:t>
      </w:r>
      <w:r>
        <w:rPr>
          <w:rFonts w:ascii="宋体" w:eastAsia="宋体" w:hAnsi="宋体" w:cs="宋体"/>
          <w:spacing w:val="-5"/>
        </w:rPr>
        <w:t>担的负荷量较大，因此这一上肢的变化就明显。</w:t>
      </w:r>
    </w:p>
    <w:p w:rsidR="00EA40A3" w:rsidRDefault="00E86C16">
      <w:pPr>
        <w:spacing w:before="248" w:line="312" w:lineRule="exact"/>
        <w:rPr>
          <w:rFonts w:ascii="仿宋" w:eastAsia="仿宋" w:hAnsi="仿宋" w:cs="仿宋"/>
        </w:rPr>
      </w:pPr>
      <w:r>
        <w:rPr>
          <w:rFonts w:ascii="仿宋" w:eastAsia="仿宋" w:hAnsi="仿宋" w:cs="仿宋"/>
          <w:spacing w:val="20"/>
          <w:position w:val="7"/>
        </w:rPr>
        <w:t>2.</w:t>
      </w:r>
      <w:r>
        <w:rPr>
          <w:rFonts w:ascii="仿宋" w:eastAsia="仿宋" w:hAnsi="仿宋" w:cs="仿宋"/>
          <w:spacing w:val="-12"/>
          <w:position w:val="7"/>
        </w:rPr>
        <w:t xml:space="preserve"> </w:t>
      </w:r>
      <w:r>
        <w:rPr>
          <w:rFonts w:ascii="仿宋" w:eastAsia="仿宋" w:hAnsi="仿宋" w:cs="仿宋"/>
          <w:spacing w:val="20"/>
          <w:position w:val="7"/>
        </w:rPr>
        <w:t>机体代谢发生改变</w:t>
      </w:r>
    </w:p>
    <w:p w:rsidR="00EA40A3" w:rsidRDefault="00E86C16">
      <w:pPr>
        <w:spacing w:line="219" w:lineRule="auto"/>
        <w:rPr>
          <w:rFonts w:ascii="宋体" w:eastAsia="宋体" w:hAnsi="宋体" w:cs="宋体"/>
        </w:rPr>
      </w:pPr>
      <w:r>
        <w:rPr>
          <w:rFonts w:ascii="宋体" w:eastAsia="宋体" w:hAnsi="宋体" w:cs="宋体"/>
          <w:spacing w:val="1"/>
        </w:rPr>
        <w:t>1)能量代谢</w:t>
      </w:r>
    </w:p>
    <w:p w:rsidR="00EA40A3" w:rsidRDefault="00E86C16">
      <w:pPr>
        <w:spacing w:before="78" w:line="259" w:lineRule="auto"/>
        <w:ind w:right="64" w:firstLine="410"/>
        <w:rPr>
          <w:rFonts w:ascii="楷体" w:eastAsia="楷体" w:hAnsi="楷体" w:cs="楷体"/>
        </w:rPr>
      </w:pPr>
      <w:r>
        <w:rPr>
          <w:rFonts w:ascii="宋体" w:eastAsia="宋体" w:hAnsi="宋体" w:cs="宋体"/>
          <w:spacing w:val="4"/>
        </w:rPr>
        <w:t>运动员的能量代谢特点是强度大、消耗率高，伴有</w:t>
      </w:r>
      <w:r>
        <w:rPr>
          <w:rFonts w:ascii="宋体" w:eastAsia="宋体" w:hAnsi="宋体" w:cs="宋体"/>
          <w:spacing w:val="3"/>
        </w:rPr>
        <w:t>不同程度的氧债等。此</w:t>
      </w:r>
      <w:r>
        <w:rPr>
          <w:rFonts w:ascii="宋体" w:eastAsia="宋体" w:hAnsi="宋体" w:cs="宋体"/>
        </w:rPr>
        <w:t xml:space="preserve"> </w:t>
      </w:r>
      <w:r>
        <w:rPr>
          <w:rFonts w:ascii="宋体" w:eastAsia="宋体" w:hAnsi="宋体" w:cs="宋体"/>
          <w:spacing w:val="-3"/>
        </w:rPr>
        <w:t>外，不同的运动项目因为运动强度、持续时间、训练水平等不同，运动员的能量</w:t>
      </w:r>
      <w:r>
        <w:rPr>
          <w:rFonts w:ascii="宋体" w:eastAsia="宋体" w:hAnsi="宋体" w:cs="宋体"/>
          <w:spacing w:val="2"/>
        </w:rPr>
        <w:t xml:space="preserve"> </w:t>
      </w:r>
      <w:r>
        <w:rPr>
          <w:rFonts w:ascii="宋体" w:eastAsia="宋体" w:hAnsi="宋体" w:cs="宋体"/>
          <w:spacing w:val="-3"/>
        </w:rPr>
        <w:t>代谢状况也不相同。运动强度大、时间短的项目以无氧代谢为主，强度小、时间</w:t>
      </w:r>
      <w:r>
        <w:rPr>
          <w:rFonts w:ascii="宋体" w:eastAsia="宋体" w:hAnsi="宋体" w:cs="宋体"/>
          <w:spacing w:val="14"/>
        </w:rPr>
        <w:t xml:space="preserve"> </w:t>
      </w:r>
      <w:r>
        <w:rPr>
          <w:rFonts w:ascii="宋体" w:eastAsia="宋体" w:hAnsi="宋体" w:cs="宋体"/>
          <w:spacing w:val="-3"/>
        </w:rPr>
        <w:t>长的运动则以有氧代谢为主；多数运动的能量供应是多系统混合的，但经</w:t>
      </w:r>
      <w:r>
        <w:rPr>
          <w:rFonts w:ascii="宋体" w:eastAsia="宋体" w:hAnsi="宋体" w:cs="宋体"/>
          <w:spacing w:val="-4"/>
        </w:rPr>
        <w:t>长期训</w:t>
      </w:r>
      <w:r>
        <w:rPr>
          <w:rFonts w:ascii="宋体" w:eastAsia="宋体" w:hAnsi="宋体" w:cs="宋体"/>
        </w:rPr>
        <w:t xml:space="preserve"> </w:t>
      </w:r>
      <w:r>
        <w:rPr>
          <w:rFonts w:ascii="宋体" w:eastAsia="宋体" w:hAnsi="宋体" w:cs="宋体"/>
          <w:spacing w:val="-4"/>
        </w:rPr>
        <w:t>练后，长跑运动员的有氧代谢能力强，而短跑运动员则相反，无氧供</w:t>
      </w:r>
      <w:r>
        <w:rPr>
          <w:rFonts w:ascii="宋体" w:eastAsia="宋体" w:hAnsi="宋体" w:cs="宋体"/>
          <w:spacing w:val="-5"/>
        </w:rPr>
        <w:t>能能力强。</w:t>
      </w:r>
      <w:r>
        <w:rPr>
          <w:rFonts w:ascii="宋体" w:eastAsia="宋体" w:hAnsi="宋体" w:cs="宋体"/>
        </w:rPr>
        <w:t xml:space="preserve"> </w:t>
      </w:r>
      <w:r>
        <w:rPr>
          <w:rFonts w:ascii="楷体" w:eastAsia="楷体" w:hAnsi="楷体" w:cs="楷体"/>
          <w:spacing w:val="5"/>
        </w:rPr>
        <w:t>2)蛋白质代谢</w:t>
      </w:r>
    </w:p>
    <w:p w:rsidR="00EA40A3" w:rsidRDefault="00E86C16">
      <w:pPr>
        <w:spacing w:before="76" w:line="252" w:lineRule="auto"/>
        <w:ind w:right="62" w:firstLine="410"/>
        <w:rPr>
          <w:rFonts w:ascii="宋体" w:eastAsia="宋体" w:hAnsi="宋体" w:cs="宋体"/>
        </w:rPr>
      </w:pPr>
      <w:r>
        <w:rPr>
          <w:rFonts w:ascii="宋体" w:eastAsia="宋体" w:hAnsi="宋体" w:cs="宋体"/>
          <w:spacing w:val="-3"/>
        </w:rPr>
        <w:t>研究表明，运动过程中，人体肌肉组织的蛋白质合成受到抑制，结果使氨基</w:t>
      </w:r>
      <w:r>
        <w:rPr>
          <w:rFonts w:ascii="宋体" w:eastAsia="宋体" w:hAnsi="宋体" w:cs="宋体"/>
          <w:spacing w:val="6"/>
        </w:rPr>
        <w:t xml:space="preserve"> </w:t>
      </w:r>
      <w:r>
        <w:rPr>
          <w:rFonts w:ascii="宋体" w:eastAsia="宋体" w:hAnsi="宋体" w:cs="宋体"/>
        </w:rPr>
        <w:t>酸代谢池中的游离氨基酸增加，同时，丙氨酸-葡萄糖循</w:t>
      </w:r>
      <w:r>
        <w:rPr>
          <w:rFonts w:ascii="宋体" w:eastAsia="宋体" w:hAnsi="宋体" w:cs="宋体"/>
          <w:spacing w:val="-1"/>
        </w:rPr>
        <w:t>环率增加。而在运动后</w:t>
      </w:r>
      <w:r>
        <w:rPr>
          <w:rFonts w:ascii="宋体" w:eastAsia="宋体" w:hAnsi="宋体" w:cs="宋体"/>
        </w:rPr>
        <w:t xml:space="preserve"> </w:t>
      </w:r>
      <w:r>
        <w:rPr>
          <w:rFonts w:ascii="宋体" w:eastAsia="宋体" w:hAnsi="宋体" w:cs="宋体"/>
          <w:spacing w:val="-3"/>
        </w:rPr>
        <w:t>的恢复期，蛋白质转换率开始提高。另外，运动员在开始高强度的训练初期，易</w:t>
      </w:r>
      <w:r>
        <w:rPr>
          <w:rFonts w:ascii="宋体" w:eastAsia="宋体" w:hAnsi="宋体" w:cs="宋体"/>
          <w:spacing w:val="15"/>
        </w:rPr>
        <w:t xml:space="preserve"> </w:t>
      </w:r>
      <w:r>
        <w:rPr>
          <w:rFonts w:ascii="宋体" w:eastAsia="宋体" w:hAnsi="宋体" w:cs="宋体"/>
          <w:spacing w:val="-5"/>
        </w:rPr>
        <w:t>发生负氮平衡，经一段时期适宜后，氮平衡有所改善。</w:t>
      </w:r>
    </w:p>
    <w:p w:rsidR="00EA40A3" w:rsidRDefault="00E86C16">
      <w:pPr>
        <w:spacing w:before="44" w:line="229" w:lineRule="auto"/>
        <w:rPr>
          <w:rFonts w:ascii="楷体" w:eastAsia="楷体" w:hAnsi="楷体" w:cs="楷体"/>
        </w:rPr>
      </w:pPr>
      <w:r>
        <w:rPr>
          <w:rFonts w:ascii="楷体" w:eastAsia="楷体" w:hAnsi="楷体" w:cs="楷体"/>
          <w:spacing w:val="-2"/>
        </w:rPr>
        <w:t>3)脂肪代谢</w:t>
      </w:r>
    </w:p>
    <w:p w:rsidR="00EA40A3" w:rsidRDefault="00E86C16">
      <w:pPr>
        <w:spacing w:before="75" w:line="253" w:lineRule="auto"/>
        <w:ind w:firstLine="410"/>
        <w:jc w:val="both"/>
        <w:rPr>
          <w:rFonts w:ascii="宋体" w:eastAsia="宋体" w:hAnsi="宋体" w:cs="宋体"/>
        </w:rPr>
      </w:pPr>
      <w:r>
        <w:rPr>
          <w:rFonts w:ascii="宋体" w:eastAsia="宋体" w:hAnsi="宋体" w:cs="宋体"/>
          <w:spacing w:val="-3"/>
        </w:rPr>
        <w:t>运动的强度、持续时间以及训练的程度等会影响运动员的脂肪代谢。高强度</w:t>
      </w:r>
      <w:r>
        <w:rPr>
          <w:rFonts w:ascii="宋体" w:eastAsia="宋体" w:hAnsi="宋体" w:cs="宋体"/>
          <w:spacing w:val="10"/>
        </w:rPr>
        <w:t xml:space="preserve"> </w:t>
      </w:r>
      <w:r>
        <w:rPr>
          <w:rFonts w:ascii="宋体" w:eastAsia="宋体" w:hAnsi="宋体" w:cs="宋体"/>
          <w:spacing w:val="-3"/>
        </w:rPr>
        <w:t>运动中，脂肪分解代谢加剧，随着运动强度的增加，脂肪酸进入血浆并氧化供能</w:t>
      </w:r>
      <w:r>
        <w:rPr>
          <w:rFonts w:ascii="宋体" w:eastAsia="宋体" w:hAnsi="宋体" w:cs="宋体"/>
          <w:spacing w:val="4"/>
        </w:rPr>
        <w:t xml:space="preserve"> </w:t>
      </w:r>
      <w:r>
        <w:rPr>
          <w:rFonts w:ascii="宋体" w:eastAsia="宋体" w:hAnsi="宋体" w:cs="宋体"/>
          <w:spacing w:val="-1"/>
        </w:rPr>
        <w:t>的程度减弱。经过系统训练的运动员氧化利用脂肪酸及酮体的能力会有所增强，</w:t>
      </w:r>
      <w:r>
        <w:rPr>
          <w:rFonts w:ascii="宋体" w:eastAsia="宋体" w:hAnsi="宋体" w:cs="宋体"/>
          <w:spacing w:val="8"/>
        </w:rPr>
        <w:t xml:space="preserve"> </w:t>
      </w:r>
      <w:r>
        <w:rPr>
          <w:rFonts w:ascii="宋体" w:eastAsia="宋体" w:hAnsi="宋体" w:cs="宋体"/>
          <w:spacing w:val="-7"/>
        </w:rPr>
        <w:t>从而能够节约糖原，提高耐力。</w:t>
      </w:r>
    </w:p>
    <w:p w:rsidR="00EA40A3" w:rsidRDefault="00E86C16">
      <w:pPr>
        <w:spacing w:before="60" w:line="227" w:lineRule="auto"/>
        <w:rPr>
          <w:rFonts w:ascii="楷体" w:eastAsia="楷体" w:hAnsi="楷体" w:cs="楷体"/>
        </w:rPr>
      </w:pPr>
      <w:r>
        <w:rPr>
          <w:rFonts w:ascii="楷体" w:eastAsia="楷体" w:hAnsi="楷体" w:cs="楷体"/>
          <w:spacing w:val="3"/>
        </w:rPr>
        <w:t>4)水和电解质代谢</w:t>
      </w:r>
    </w:p>
    <w:p w:rsidR="00EA40A3" w:rsidRDefault="00E86C16">
      <w:pPr>
        <w:spacing w:before="74" w:line="258" w:lineRule="auto"/>
        <w:ind w:firstLine="410"/>
        <w:jc w:val="both"/>
        <w:rPr>
          <w:rFonts w:ascii="宋体" w:eastAsia="宋体" w:hAnsi="宋体" w:cs="宋体"/>
        </w:rPr>
      </w:pPr>
      <w:r>
        <w:rPr>
          <w:rFonts w:ascii="宋体" w:eastAsia="宋体" w:hAnsi="宋体" w:cs="宋体"/>
          <w:spacing w:val="-3"/>
        </w:rPr>
        <w:t>运动过程中运动员身体大量出汗，并且通过呼吸道也丢失大量水分。与此同</w:t>
      </w:r>
      <w:r>
        <w:rPr>
          <w:rFonts w:ascii="宋体" w:eastAsia="宋体" w:hAnsi="宋体" w:cs="宋体"/>
          <w:spacing w:val="16"/>
        </w:rPr>
        <w:t xml:space="preserve"> </w:t>
      </w:r>
      <w:r>
        <w:rPr>
          <w:rFonts w:ascii="宋体" w:eastAsia="宋体" w:hAnsi="宋体" w:cs="宋体"/>
          <w:spacing w:val="4"/>
        </w:rPr>
        <w:t>时，尿量减少，代谢水的产生增多。大量出汗也导致运动员体内</w:t>
      </w:r>
      <w:r>
        <w:rPr>
          <w:rFonts w:ascii="宋体" w:eastAsia="宋体" w:hAnsi="宋体" w:cs="宋体"/>
          <w:spacing w:val="3"/>
        </w:rPr>
        <w:t>电解质尤其是</w:t>
      </w:r>
      <w:r>
        <w:rPr>
          <w:rFonts w:ascii="宋体" w:eastAsia="宋体" w:hAnsi="宋体" w:cs="宋体"/>
        </w:rPr>
        <w:t xml:space="preserve"> </w:t>
      </w:r>
      <w:r>
        <w:rPr>
          <w:rFonts w:ascii="宋体" w:eastAsia="宋体" w:hAnsi="宋体" w:cs="宋体"/>
          <w:spacing w:val="-2"/>
        </w:rPr>
        <w:t>钠、钾、镁、钙等丢失增加。运动强度、运动时间、</w:t>
      </w:r>
      <w:r>
        <w:rPr>
          <w:rFonts w:ascii="宋体" w:eastAsia="宋体" w:hAnsi="宋体" w:cs="宋体"/>
          <w:spacing w:val="-3"/>
        </w:rPr>
        <w:t>运动环境的温度、湿度等都</w:t>
      </w:r>
      <w:r>
        <w:rPr>
          <w:rFonts w:ascii="宋体" w:eastAsia="宋体" w:hAnsi="宋体" w:cs="宋体"/>
        </w:rPr>
        <w:t xml:space="preserve"> </w:t>
      </w:r>
      <w:r>
        <w:rPr>
          <w:rFonts w:ascii="宋体" w:eastAsia="宋体" w:hAnsi="宋体" w:cs="宋体"/>
          <w:spacing w:val="2"/>
        </w:rPr>
        <w:t>会影响汗液的丢失量。在25～35℃进行4h</w:t>
      </w:r>
      <w:r>
        <w:rPr>
          <w:rFonts w:ascii="宋体" w:eastAsia="宋体" w:hAnsi="宋体" w:cs="宋体"/>
          <w:spacing w:val="-45"/>
        </w:rPr>
        <w:t xml:space="preserve"> </w:t>
      </w:r>
      <w:r>
        <w:rPr>
          <w:rFonts w:ascii="宋体" w:eastAsia="宋体" w:hAnsi="宋体" w:cs="宋体"/>
          <w:spacing w:val="2"/>
        </w:rPr>
        <w:t>的长跑训练，平均出汗量在</w:t>
      </w:r>
      <w:r>
        <w:rPr>
          <w:rFonts w:ascii="宋体" w:eastAsia="宋体" w:hAnsi="宋体" w:cs="宋体"/>
          <w:spacing w:val="1"/>
        </w:rPr>
        <w:t>4.51L</w:t>
      </w:r>
      <w:r>
        <w:rPr>
          <w:rFonts w:ascii="宋体" w:eastAsia="宋体" w:hAnsi="宋体" w:cs="宋体"/>
          <w:spacing w:val="-33"/>
        </w:rPr>
        <w:t xml:space="preserve"> </w:t>
      </w:r>
      <w:r>
        <w:rPr>
          <w:rFonts w:ascii="宋体" w:eastAsia="宋体" w:hAnsi="宋体" w:cs="宋体"/>
          <w:spacing w:val="1"/>
        </w:rPr>
        <w:t>左</w:t>
      </w:r>
      <w:r>
        <w:rPr>
          <w:rFonts w:ascii="宋体" w:eastAsia="宋体" w:hAnsi="宋体" w:cs="宋体"/>
        </w:rPr>
        <w:t xml:space="preserve"> </w:t>
      </w:r>
      <w:r>
        <w:rPr>
          <w:rFonts w:ascii="宋体" w:eastAsia="宋体" w:hAnsi="宋体" w:cs="宋体"/>
          <w:spacing w:val="-1"/>
        </w:rPr>
        <w:t>右，而一次高强度运动可丢失汗液2～7L。</w:t>
      </w:r>
      <w:r>
        <w:rPr>
          <w:rFonts w:ascii="宋体" w:eastAsia="宋体" w:hAnsi="宋体" w:cs="宋体"/>
          <w:spacing w:val="-61"/>
        </w:rPr>
        <w:t xml:space="preserve"> </w:t>
      </w:r>
      <w:r>
        <w:rPr>
          <w:rFonts w:ascii="宋体" w:eastAsia="宋体" w:hAnsi="宋体" w:cs="宋体"/>
          <w:spacing w:val="-1"/>
        </w:rPr>
        <w:t>另有研究报道，运动</w:t>
      </w:r>
      <w:r>
        <w:rPr>
          <w:rFonts w:ascii="宋体" w:eastAsia="宋体" w:hAnsi="宋体" w:cs="宋体"/>
          <w:spacing w:val="-2"/>
        </w:rPr>
        <w:t>员骨骼组织中的</w:t>
      </w:r>
      <w:r>
        <w:rPr>
          <w:rFonts w:ascii="宋体" w:eastAsia="宋体" w:hAnsi="宋体" w:cs="宋体"/>
        </w:rPr>
        <w:t xml:space="preserve"> </w:t>
      </w:r>
      <w:r>
        <w:rPr>
          <w:rFonts w:ascii="宋体" w:eastAsia="宋体" w:hAnsi="宋体" w:cs="宋体"/>
          <w:spacing w:val="-3"/>
        </w:rPr>
        <w:t>物质交换加速，致使钙质流失而容易出现骨质疏松；还有，运动员特别是耐力运</w:t>
      </w:r>
      <w:r>
        <w:rPr>
          <w:rFonts w:ascii="宋体" w:eastAsia="宋体" w:hAnsi="宋体" w:cs="宋体"/>
          <w:spacing w:val="2"/>
        </w:rPr>
        <w:t xml:space="preserve"> </w:t>
      </w:r>
      <w:r>
        <w:rPr>
          <w:rFonts w:ascii="宋体" w:eastAsia="宋体" w:hAnsi="宋体" w:cs="宋体"/>
          <w:spacing w:val="-1"/>
        </w:rPr>
        <w:t>动员也常常表现潜在的铁缺乏，分析原因，部分是因为在抗氧化反应中的转移，</w:t>
      </w:r>
      <w:r>
        <w:rPr>
          <w:rFonts w:ascii="宋体" w:eastAsia="宋体" w:hAnsi="宋体" w:cs="宋体"/>
          <w:spacing w:val="8"/>
        </w:rPr>
        <w:t xml:space="preserve"> </w:t>
      </w:r>
      <w:r>
        <w:rPr>
          <w:rFonts w:ascii="宋体" w:eastAsia="宋体" w:hAnsi="宋体" w:cs="宋体"/>
          <w:spacing w:val="-5"/>
        </w:rPr>
        <w:t>部分是因为高蛋白，高脂膳食限制了铁的吸收。</w:t>
      </w:r>
    </w:p>
    <w:p w:rsidR="00EA40A3" w:rsidRDefault="00E86C16">
      <w:pPr>
        <w:spacing w:before="68" w:line="225" w:lineRule="auto"/>
        <w:rPr>
          <w:rFonts w:ascii="楷体" w:eastAsia="楷体" w:hAnsi="楷体" w:cs="楷体"/>
        </w:rPr>
      </w:pPr>
      <w:r>
        <w:rPr>
          <w:rFonts w:ascii="楷体" w:eastAsia="楷体" w:hAnsi="楷体" w:cs="楷体"/>
          <w:spacing w:val="9"/>
        </w:rPr>
        <w:t>5)维生素</w:t>
      </w:r>
    </w:p>
    <w:p w:rsidR="00EA40A3" w:rsidRDefault="00E86C16">
      <w:pPr>
        <w:spacing w:before="66" w:line="249" w:lineRule="auto"/>
        <w:ind w:right="56" w:firstLine="410"/>
        <w:jc w:val="both"/>
        <w:rPr>
          <w:rFonts w:ascii="宋体" w:eastAsia="宋体" w:hAnsi="宋体" w:cs="宋体"/>
        </w:rPr>
      </w:pPr>
      <w:r>
        <w:rPr>
          <w:rFonts w:ascii="宋体" w:eastAsia="宋体" w:hAnsi="宋体" w:cs="宋体"/>
          <w:spacing w:val="-2"/>
        </w:rPr>
        <w:t>运动导致胃肠道对维生素的吸收功能整体下降，同时汗液中维</w:t>
      </w:r>
      <w:r>
        <w:rPr>
          <w:rFonts w:ascii="宋体" w:eastAsia="宋体" w:hAnsi="宋体" w:cs="宋体"/>
          <w:spacing w:val="-3"/>
        </w:rPr>
        <w:t>生素的排泄量</w:t>
      </w:r>
      <w:r>
        <w:rPr>
          <w:rFonts w:ascii="宋体" w:eastAsia="宋体" w:hAnsi="宋体" w:cs="宋体"/>
        </w:rPr>
        <w:t xml:space="preserve"> </w:t>
      </w:r>
      <w:r>
        <w:rPr>
          <w:rFonts w:ascii="宋体" w:eastAsia="宋体" w:hAnsi="宋体" w:cs="宋体"/>
          <w:spacing w:val="-3"/>
        </w:rPr>
        <w:t>增加。另外，运动使能量代谢加强，而维生素作为能量代谢的辅助因子在体内的</w:t>
      </w:r>
      <w:r>
        <w:rPr>
          <w:rFonts w:ascii="宋体" w:eastAsia="宋体" w:hAnsi="宋体" w:cs="宋体"/>
          <w:spacing w:val="10"/>
        </w:rPr>
        <w:t xml:space="preserve"> </w:t>
      </w:r>
      <w:r>
        <w:rPr>
          <w:rFonts w:ascii="宋体" w:eastAsia="宋体" w:hAnsi="宋体" w:cs="宋体"/>
          <w:spacing w:val="-10"/>
        </w:rPr>
        <w:t>周转率也加速。</w:t>
      </w:r>
    </w:p>
    <w:p w:rsidR="00EA40A3" w:rsidRDefault="00EA40A3">
      <w:pPr>
        <w:sectPr w:rsidR="00EA40A3">
          <w:footerReference w:type="default" r:id="rId280"/>
          <w:pgSz w:w="9220" w:h="13360"/>
          <w:pgMar w:top="400" w:right="1015" w:bottom="1216" w:left="879" w:header="0" w:footer="995" w:gutter="0"/>
          <w:cols w:space="720"/>
        </w:sectPr>
      </w:pPr>
    </w:p>
    <w:p w:rsidR="00EA40A3" w:rsidRDefault="00EA40A3">
      <w:pPr>
        <w:spacing w:line="256" w:lineRule="auto"/>
      </w:pPr>
    </w:p>
    <w:p w:rsidR="00EA40A3" w:rsidRDefault="00EA40A3">
      <w:pPr>
        <w:spacing w:line="256" w:lineRule="auto"/>
      </w:pPr>
    </w:p>
    <w:p w:rsidR="00EA40A3" w:rsidRDefault="00EA40A3">
      <w:pPr>
        <w:spacing w:line="256" w:lineRule="auto"/>
      </w:pPr>
    </w:p>
    <w:p w:rsidR="00EA40A3" w:rsidRDefault="00E86C16">
      <w:pPr>
        <w:spacing w:before="75" w:line="222" w:lineRule="auto"/>
        <w:rPr>
          <w:rFonts w:ascii="仿宋" w:eastAsia="仿宋" w:hAnsi="仿宋" w:cs="仿宋"/>
          <w:sz w:val="23"/>
          <w:szCs w:val="23"/>
        </w:rPr>
      </w:pPr>
      <w:r>
        <w:rPr>
          <w:rFonts w:ascii="仿宋" w:eastAsia="仿宋" w:hAnsi="仿宋" w:cs="仿宋"/>
          <w:spacing w:val="-1"/>
          <w:sz w:val="23"/>
          <w:szCs w:val="23"/>
        </w:rPr>
        <w:t>3.</w:t>
      </w:r>
      <w:r>
        <w:rPr>
          <w:rFonts w:ascii="仿宋" w:eastAsia="仿宋" w:hAnsi="仿宋" w:cs="仿宋"/>
          <w:spacing w:val="-2"/>
          <w:sz w:val="23"/>
          <w:szCs w:val="23"/>
        </w:rPr>
        <w:t xml:space="preserve"> </w:t>
      </w:r>
      <w:r>
        <w:rPr>
          <w:rFonts w:ascii="仿宋" w:eastAsia="仿宋" w:hAnsi="仿宋" w:cs="仿宋"/>
          <w:spacing w:val="-1"/>
          <w:sz w:val="23"/>
          <w:szCs w:val="23"/>
        </w:rPr>
        <w:t>内分泌的改变</w:t>
      </w:r>
    </w:p>
    <w:p w:rsidR="00EA40A3" w:rsidRDefault="00E86C16">
      <w:pPr>
        <w:spacing w:before="222" w:line="238" w:lineRule="auto"/>
        <w:ind w:firstLine="450"/>
        <w:jc w:val="both"/>
        <w:rPr>
          <w:rFonts w:ascii="宋体" w:eastAsia="宋体" w:hAnsi="宋体" w:cs="宋体"/>
          <w:sz w:val="23"/>
          <w:szCs w:val="23"/>
        </w:rPr>
      </w:pPr>
      <w:r>
        <w:rPr>
          <w:rFonts w:ascii="宋体" w:eastAsia="宋体" w:hAnsi="宋体" w:cs="宋体"/>
          <w:spacing w:val="-23"/>
          <w:sz w:val="23"/>
          <w:szCs w:val="23"/>
        </w:rPr>
        <w:t>运动员能量代谢较一般人不同，原因之一就在于运动过程中内分泌的</w:t>
      </w:r>
      <w:r>
        <w:rPr>
          <w:rFonts w:ascii="宋体" w:eastAsia="宋体" w:hAnsi="宋体" w:cs="宋体"/>
          <w:spacing w:val="-24"/>
          <w:sz w:val="23"/>
          <w:szCs w:val="23"/>
        </w:rPr>
        <w:t>改变对</w:t>
      </w:r>
      <w:r>
        <w:rPr>
          <w:rFonts w:ascii="宋体" w:eastAsia="宋体" w:hAnsi="宋体" w:cs="宋体"/>
          <w:sz w:val="23"/>
          <w:szCs w:val="23"/>
        </w:rPr>
        <w:t xml:space="preserve"> </w:t>
      </w:r>
      <w:r>
        <w:rPr>
          <w:rFonts w:ascii="宋体" w:eastAsia="宋体" w:hAnsi="宋体" w:cs="宋体"/>
          <w:spacing w:val="-24"/>
          <w:sz w:val="23"/>
          <w:szCs w:val="23"/>
        </w:rPr>
        <w:t>机体代谢进行了相应的调节。运动时身体处于应激状态，交感神经兴奋增强，体</w:t>
      </w:r>
      <w:r>
        <w:rPr>
          <w:rFonts w:ascii="宋体" w:eastAsia="宋体" w:hAnsi="宋体" w:cs="宋体"/>
          <w:spacing w:val="8"/>
          <w:sz w:val="23"/>
          <w:szCs w:val="23"/>
        </w:rPr>
        <w:t xml:space="preserve">  </w:t>
      </w:r>
      <w:r>
        <w:rPr>
          <w:rFonts w:ascii="宋体" w:eastAsia="宋体" w:hAnsi="宋体" w:cs="宋体"/>
          <w:spacing w:val="-24"/>
          <w:sz w:val="23"/>
          <w:szCs w:val="23"/>
        </w:rPr>
        <w:t>内的糖皮质激素及髓质激素水平会增高，但胰岛素水平会降低，从而引起代谢池</w:t>
      </w:r>
      <w:r>
        <w:rPr>
          <w:rFonts w:ascii="宋体" w:eastAsia="宋体" w:hAnsi="宋体" w:cs="宋体"/>
          <w:spacing w:val="9"/>
          <w:sz w:val="23"/>
          <w:szCs w:val="23"/>
        </w:rPr>
        <w:t xml:space="preserve">  </w:t>
      </w:r>
      <w:r>
        <w:rPr>
          <w:rFonts w:ascii="宋体" w:eastAsia="宋体" w:hAnsi="宋体" w:cs="宋体"/>
          <w:spacing w:val="-17"/>
          <w:sz w:val="23"/>
          <w:szCs w:val="23"/>
        </w:rPr>
        <w:t>中游离氨基酸的浓度增加。运动过程对内脏内分泌激素水平</w:t>
      </w:r>
      <w:r>
        <w:rPr>
          <w:rFonts w:ascii="宋体" w:eastAsia="宋体" w:hAnsi="宋体" w:cs="宋体"/>
          <w:spacing w:val="-18"/>
          <w:sz w:val="23"/>
          <w:szCs w:val="23"/>
        </w:rPr>
        <w:t>也有改变。研究显</w:t>
      </w:r>
      <w:r>
        <w:rPr>
          <w:rFonts w:ascii="宋体" w:eastAsia="宋体" w:hAnsi="宋体" w:cs="宋体"/>
          <w:sz w:val="23"/>
          <w:szCs w:val="23"/>
        </w:rPr>
        <w:t xml:space="preserve">  </w:t>
      </w:r>
      <w:r>
        <w:rPr>
          <w:rFonts w:ascii="宋体" w:eastAsia="宋体" w:hAnsi="宋体" w:cs="宋体"/>
          <w:spacing w:val="-21"/>
          <w:sz w:val="23"/>
          <w:szCs w:val="23"/>
        </w:rPr>
        <w:t>示，长期运动可使运动员心脏内分泌特征发生改变。另外，长期的研究已证实，</w:t>
      </w:r>
      <w:r>
        <w:rPr>
          <w:rFonts w:ascii="宋体" w:eastAsia="宋体" w:hAnsi="宋体" w:cs="宋体"/>
          <w:spacing w:val="18"/>
          <w:sz w:val="23"/>
          <w:szCs w:val="23"/>
        </w:rPr>
        <w:t xml:space="preserve"> </w:t>
      </w:r>
      <w:r>
        <w:rPr>
          <w:rFonts w:ascii="宋体" w:eastAsia="宋体" w:hAnsi="宋体" w:cs="宋体"/>
          <w:spacing w:val="-23"/>
          <w:sz w:val="23"/>
          <w:szCs w:val="23"/>
        </w:rPr>
        <w:t>女性运动员因为大负荷的运动可能引起雌激素</w:t>
      </w:r>
      <w:r>
        <w:rPr>
          <w:rFonts w:ascii="宋体" w:eastAsia="宋体" w:hAnsi="宋体" w:cs="宋体"/>
          <w:spacing w:val="-24"/>
          <w:sz w:val="23"/>
          <w:szCs w:val="23"/>
        </w:rPr>
        <w:t>水平下降，从而导致运动性月经失</w:t>
      </w:r>
      <w:r>
        <w:rPr>
          <w:rFonts w:ascii="宋体" w:eastAsia="宋体" w:hAnsi="宋体" w:cs="宋体"/>
          <w:sz w:val="23"/>
          <w:szCs w:val="23"/>
        </w:rPr>
        <w:t xml:space="preserve">  </w:t>
      </w:r>
      <w:r>
        <w:rPr>
          <w:rFonts w:ascii="宋体" w:eastAsia="宋体" w:hAnsi="宋体" w:cs="宋体"/>
          <w:spacing w:val="-26"/>
          <w:w w:val="99"/>
          <w:sz w:val="23"/>
          <w:szCs w:val="23"/>
        </w:rPr>
        <w:t>调及骨丢失严重。</w:t>
      </w:r>
    </w:p>
    <w:p w:rsidR="00EA40A3" w:rsidRDefault="00E86C16">
      <w:pPr>
        <w:spacing w:before="275" w:line="222" w:lineRule="auto"/>
        <w:rPr>
          <w:rFonts w:ascii="仿宋" w:eastAsia="仿宋" w:hAnsi="仿宋" w:cs="仿宋"/>
          <w:sz w:val="23"/>
          <w:szCs w:val="23"/>
        </w:rPr>
      </w:pPr>
      <w:r>
        <w:rPr>
          <w:rFonts w:ascii="仿宋" w:eastAsia="仿宋" w:hAnsi="仿宋" w:cs="仿宋"/>
          <w:spacing w:val="5"/>
          <w:sz w:val="23"/>
          <w:szCs w:val="23"/>
        </w:rPr>
        <w:t>4.</w:t>
      </w:r>
      <w:r>
        <w:rPr>
          <w:rFonts w:ascii="仿宋" w:eastAsia="仿宋" w:hAnsi="仿宋" w:cs="仿宋"/>
          <w:spacing w:val="-34"/>
          <w:sz w:val="23"/>
          <w:szCs w:val="23"/>
        </w:rPr>
        <w:t xml:space="preserve"> </w:t>
      </w:r>
      <w:r>
        <w:rPr>
          <w:rFonts w:ascii="仿宋" w:eastAsia="仿宋" w:hAnsi="仿宋" w:cs="仿宋"/>
          <w:spacing w:val="5"/>
          <w:sz w:val="23"/>
          <w:szCs w:val="23"/>
        </w:rPr>
        <w:t>心血管系统变化</w:t>
      </w:r>
    </w:p>
    <w:p w:rsidR="00EA40A3" w:rsidRDefault="00E86C16">
      <w:pPr>
        <w:spacing w:before="224" w:line="238" w:lineRule="auto"/>
        <w:ind w:right="19" w:firstLine="450"/>
        <w:jc w:val="both"/>
        <w:rPr>
          <w:rFonts w:ascii="宋体" w:eastAsia="宋体" w:hAnsi="宋体" w:cs="宋体"/>
          <w:sz w:val="23"/>
          <w:szCs w:val="23"/>
        </w:rPr>
      </w:pPr>
      <w:r>
        <w:rPr>
          <w:rFonts w:ascii="宋体" w:eastAsia="宋体" w:hAnsi="宋体" w:cs="宋体"/>
          <w:spacing w:val="-16"/>
          <w:sz w:val="23"/>
          <w:szCs w:val="23"/>
        </w:rPr>
        <w:t>运动员经过长期的训练，心肌得到强化，心律较</w:t>
      </w:r>
      <w:r>
        <w:rPr>
          <w:rFonts w:ascii="宋体" w:eastAsia="宋体" w:hAnsi="宋体" w:cs="宋体"/>
          <w:spacing w:val="-17"/>
          <w:sz w:val="23"/>
          <w:szCs w:val="23"/>
        </w:rPr>
        <w:t>常人慢，心脏泵血功能增</w:t>
      </w:r>
      <w:r>
        <w:rPr>
          <w:rFonts w:ascii="宋体" w:eastAsia="宋体" w:hAnsi="宋体" w:cs="宋体"/>
          <w:sz w:val="23"/>
          <w:szCs w:val="23"/>
        </w:rPr>
        <w:t xml:space="preserve"> </w:t>
      </w:r>
      <w:r>
        <w:rPr>
          <w:rFonts w:ascii="宋体" w:eastAsia="宋体" w:hAnsi="宋体" w:cs="宋体"/>
          <w:spacing w:val="-10"/>
          <w:sz w:val="23"/>
          <w:szCs w:val="23"/>
        </w:rPr>
        <w:t>强。运动时心输出量可达最大输出量的85%;心脏</w:t>
      </w:r>
      <w:r>
        <w:rPr>
          <w:rFonts w:ascii="宋体" w:eastAsia="宋体" w:hAnsi="宋体" w:cs="宋体"/>
          <w:spacing w:val="-11"/>
          <w:sz w:val="23"/>
          <w:szCs w:val="23"/>
        </w:rPr>
        <w:t>承担负荷能力增强，剧烈运</w:t>
      </w:r>
      <w:r>
        <w:rPr>
          <w:rFonts w:ascii="宋体" w:eastAsia="宋体" w:hAnsi="宋体" w:cs="宋体"/>
          <w:sz w:val="23"/>
          <w:szCs w:val="23"/>
        </w:rPr>
        <w:t xml:space="preserve"> </w:t>
      </w:r>
      <w:r>
        <w:rPr>
          <w:rFonts w:ascii="宋体" w:eastAsia="宋体" w:hAnsi="宋体" w:cs="宋体"/>
          <w:spacing w:val="-20"/>
          <w:sz w:val="23"/>
          <w:szCs w:val="23"/>
        </w:rPr>
        <w:t>动时，运动员心脏每分钟心跳能达到180次。同时，长期坚持体育锻炼，可使肌</w:t>
      </w:r>
      <w:r>
        <w:rPr>
          <w:rFonts w:ascii="宋体" w:eastAsia="宋体" w:hAnsi="宋体" w:cs="宋体"/>
          <w:spacing w:val="11"/>
          <w:sz w:val="23"/>
          <w:szCs w:val="23"/>
        </w:rPr>
        <w:t xml:space="preserve"> </w:t>
      </w:r>
      <w:r>
        <w:rPr>
          <w:rFonts w:ascii="宋体" w:eastAsia="宋体" w:hAnsi="宋体" w:cs="宋体"/>
          <w:spacing w:val="-21"/>
          <w:sz w:val="23"/>
          <w:szCs w:val="23"/>
        </w:rPr>
        <w:t>肉中的毛细血管形态结构发生变化，出现囊泡状，从而增加肌肉的血液供应量</w:t>
      </w:r>
      <w:r>
        <w:rPr>
          <w:rFonts w:ascii="宋体" w:eastAsia="宋体" w:hAnsi="宋体" w:cs="宋体"/>
          <w:spacing w:val="-22"/>
          <w:sz w:val="23"/>
          <w:szCs w:val="23"/>
        </w:rPr>
        <w:t>，</w:t>
      </w:r>
      <w:r>
        <w:rPr>
          <w:rFonts w:ascii="宋体" w:eastAsia="宋体" w:hAnsi="宋体" w:cs="宋体"/>
          <w:sz w:val="23"/>
          <w:szCs w:val="23"/>
        </w:rPr>
        <w:t xml:space="preserve"> </w:t>
      </w:r>
      <w:r>
        <w:rPr>
          <w:rFonts w:ascii="宋体" w:eastAsia="宋体" w:hAnsi="宋体" w:cs="宋体"/>
          <w:spacing w:val="-23"/>
          <w:sz w:val="23"/>
          <w:szCs w:val="23"/>
        </w:rPr>
        <w:t>有利于肌肉持续长时间紧张的活动。但近期也有</w:t>
      </w:r>
      <w:r>
        <w:rPr>
          <w:rFonts w:ascii="宋体" w:eastAsia="宋体" w:hAnsi="宋体" w:cs="宋体"/>
          <w:spacing w:val="-24"/>
          <w:sz w:val="23"/>
          <w:szCs w:val="23"/>
        </w:rPr>
        <w:t>研究显示，运动员长期的超负荷</w:t>
      </w:r>
      <w:r>
        <w:rPr>
          <w:rFonts w:ascii="宋体" w:eastAsia="宋体" w:hAnsi="宋体" w:cs="宋体"/>
          <w:sz w:val="23"/>
          <w:szCs w:val="23"/>
        </w:rPr>
        <w:t xml:space="preserve"> </w:t>
      </w:r>
      <w:r>
        <w:rPr>
          <w:rFonts w:ascii="宋体" w:eastAsia="宋体" w:hAnsi="宋体" w:cs="宋体"/>
          <w:spacing w:val="-23"/>
          <w:sz w:val="23"/>
          <w:szCs w:val="23"/>
        </w:rPr>
        <w:t>运动可能导致心脏机能都发生改变，从而使运动员的心脏比正常人的心</w:t>
      </w:r>
      <w:r>
        <w:rPr>
          <w:rFonts w:ascii="宋体" w:eastAsia="宋体" w:hAnsi="宋体" w:cs="宋体"/>
          <w:spacing w:val="-24"/>
          <w:sz w:val="23"/>
          <w:szCs w:val="23"/>
        </w:rPr>
        <w:t>脏更容易</w:t>
      </w:r>
      <w:r>
        <w:rPr>
          <w:rFonts w:ascii="宋体" w:eastAsia="宋体" w:hAnsi="宋体" w:cs="宋体"/>
          <w:sz w:val="23"/>
          <w:szCs w:val="23"/>
        </w:rPr>
        <w:t xml:space="preserve"> </w:t>
      </w:r>
      <w:r>
        <w:rPr>
          <w:rFonts w:ascii="宋体" w:eastAsia="宋体" w:hAnsi="宋体" w:cs="宋体"/>
          <w:spacing w:val="-22"/>
          <w:sz w:val="23"/>
          <w:szCs w:val="23"/>
        </w:rPr>
        <w:t>受到损害。</w:t>
      </w:r>
    </w:p>
    <w:p w:rsidR="00EA40A3" w:rsidRDefault="00E86C16">
      <w:pPr>
        <w:spacing w:before="269" w:line="221" w:lineRule="auto"/>
        <w:ind w:left="3"/>
        <w:outlineLvl w:val="6"/>
        <w:rPr>
          <w:rFonts w:ascii="黑体" w:eastAsia="黑体" w:hAnsi="黑体" w:cs="黑体"/>
          <w:sz w:val="23"/>
          <w:szCs w:val="23"/>
        </w:rPr>
      </w:pPr>
      <w:r>
        <w:rPr>
          <w:rFonts w:ascii="黑体" w:eastAsia="黑体" w:hAnsi="黑体" w:cs="黑体"/>
          <w:b/>
          <w:bCs/>
          <w:sz w:val="23"/>
          <w:szCs w:val="23"/>
        </w:rPr>
        <w:t>10.6.2</w:t>
      </w:r>
      <w:r>
        <w:rPr>
          <w:rFonts w:ascii="黑体" w:eastAsia="黑体" w:hAnsi="黑体" w:cs="黑体"/>
          <w:spacing w:val="13"/>
          <w:sz w:val="23"/>
          <w:szCs w:val="23"/>
        </w:rPr>
        <w:t xml:space="preserve">  </w:t>
      </w:r>
      <w:r>
        <w:rPr>
          <w:rFonts w:ascii="黑体" w:eastAsia="黑体" w:hAnsi="黑体" w:cs="黑体"/>
          <w:b/>
          <w:bCs/>
          <w:sz w:val="23"/>
          <w:szCs w:val="23"/>
        </w:rPr>
        <w:t>运动员的营养需要</w:t>
      </w:r>
    </w:p>
    <w:p w:rsidR="00EA40A3" w:rsidRDefault="00E86C16">
      <w:pPr>
        <w:spacing w:before="266" w:line="222" w:lineRule="auto"/>
        <w:rPr>
          <w:rFonts w:ascii="仿宋" w:eastAsia="仿宋" w:hAnsi="仿宋" w:cs="仿宋"/>
          <w:sz w:val="23"/>
          <w:szCs w:val="23"/>
        </w:rPr>
      </w:pPr>
      <w:r>
        <w:rPr>
          <w:rFonts w:ascii="仿宋" w:eastAsia="仿宋" w:hAnsi="仿宋" w:cs="仿宋"/>
          <w:spacing w:val="-2"/>
          <w:sz w:val="23"/>
          <w:szCs w:val="23"/>
        </w:rPr>
        <w:t>1.</w:t>
      </w:r>
      <w:r>
        <w:rPr>
          <w:rFonts w:ascii="仿宋" w:eastAsia="仿宋" w:hAnsi="仿宋" w:cs="仿宋"/>
          <w:spacing w:val="-28"/>
          <w:sz w:val="23"/>
          <w:szCs w:val="23"/>
        </w:rPr>
        <w:t xml:space="preserve"> </w:t>
      </w:r>
      <w:r>
        <w:rPr>
          <w:rFonts w:ascii="仿宋" w:eastAsia="仿宋" w:hAnsi="仿宋" w:cs="仿宋"/>
          <w:spacing w:val="-2"/>
          <w:sz w:val="23"/>
          <w:szCs w:val="23"/>
        </w:rPr>
        <w:t>能量</w:t>
      </w:r>
    </w:p>
    <w:p w:rsidR="00EA40A3" w:rsidRDefault="00E86C16">
      <w:pPr>
        <w:spacing w:before="195" w:line="239" w:lineRule="auto"/>
        <w:ind w:firstLine="450"/>
        <w:jc w:val="both"/>
        <w:rPr>
          <w:rFonts w:ascii="宋体" w:eastAsia="宋体" w:hAnsi="宋体" w:cs="宋体"/>
          <w:sz w:val="23"/>
          <w:szCs w:val="23"/>
        </w:rPr>
      </w:pPr>
      <w:r>
        <w:rPr>
          <w:rFonts w:ascii="宋体" w:eastAsia="宋体" w:hAnsi="宋体" w:cs="宋体"/>
          <w:spacing w:val="-24"/>
          <w:sz w:val="23"/>
          <w:szCs w:val="23"/>
        </w:rPr>
        <w:t>不同运动项目的运动强度、频度和持续时间不同，运动员相应的能量消耗也</w:t>
      </w:r>
      <w:r>
        <w:rPr>
          <w:rFonts w:ascii="宋体" w:eastAsia="宋体" w:hAnsi="宋体" w:cs="宋体"/>
          <w:spacing w:val="3"/>
          <w:sz w:val="23"/>
          <w:szCs w:val="23"/>
        </w:rPr>
        <w:t xml:space="preserve"> </w:t>
      </w:r>
      <w:r>
        <w:rPr>
          <w:rFonts w:ascii="宋体" w:eastAsia="宋体" w:hAnsi="宋体" w:cs="宋体"/>
          <w:spacing w:val="-24"/>
          <w:sz w:val="23"/>
          <w:szCs w:val="23"/>
        </w:rPr>
        <w:t>不同。同时运动员的体重、年龄、营养状况、训练水平、精神状态以及训练时投</w:t>
      </w:r>
      <w:r>
        <w:rPr>
          <w:rFonts w:ascii="宋体" w:eastAsia="宋体" w:hAnsi="宋体" w:cs="宋体"/>
          <w:spacing w:val="8"/>
          <w:sz w:val="23"/>
          <w:szCs w:val="23"/>
        </w:rPr>
        <w:t xml:space="preserve">  </w:t>
      </w:r>
      <w:r>
        <w:rPr>
          <w:rFonts w:ascii="宋体" w:eastAsia="宋体" w:hAnsi="宋体" w:cs="宋体"/>
          <w:spacing w:val="-24"/>
          <w:sz w:val="23"/>
          <w:szCs w:val="23"/>
        </w:rPr>
        <w:t>入用力程度等也会影响能量代谢。因此，运动员所需要的能量各不相同。总</w:t>
      </w:r>
      <w:r>
        <w:rPr>
          <w:rFonts w:ascii="宋体" w:eastAsia="宋体" w:hAnsi="宋体" w:cs="宋体"/>
          <w:spacing w:val="-25"/>
          <w:sz w:val="23"/>
          <w:szCs w:val="23"/>
        </w:rPr>
        <w:t>体来</w:t>
      </w:r>
      <w:r>
        <w:rPr>
          <w:rFonts w:ascii="宋体" w:eastAsia="宋体" w:hAnsi="宋体" w:cs="宋体"/>
          <w:sz w:val="23"/>
          <w:szCs w:val="23"/>
        </w:rPr>
        <w:t xml:space="preserve">  </w:t>
      </w:r>
      <w:r>
        <w:rPr>
          <w:rFonts w:ascii="宋体" w:eastAsia="宋体" w:hAnsi="宋体" w:cs="宋体"/>
          <w:spacing w:val="-7"/>
          <w:sz w:val="23"/>
          <w:szCs w:val="23"/>
        </w:rPr>
        <w:t>讲，运动员的能量消耗由基础代谢</w:t>
      </w:r>
      <w:r>
        <w:rPr>
          <w:rFonts w:ascii="宋体" w:eastAsia="宋体" w:hAnsi="宋体" w:cs="宋体"/>
          <w:spacing w:val="-23"/>
          <w:sz w:val="23"/>
          <w:szCs w:val="23"/>
        </w:rPr>
        <w:t xml:space="preserve"> </w:t>
      </w:r>
      <w:r>
        <w:rPr>
          <w:rFonts w:ascii="宋体" w:eastAsia="宋体" w:hAnsi="宋体" w:cs="宋体"/>
          <w:spacing w:val="-7"/>
          <w:sz w:val="23"/>
          <w:szCs w:val="23"/>
        </w:rPr>
        <w:t>(basal</w:t>
      </w:r>
      <w:r>
        <w:rPr>
          <w:rFonts w:ascii="宋体" w:eastAsia="宋体" w:hAnsi="宋体" w:cs="宋体"/>
          <w:spacing w:val="2"/>
          <w:sz w:val="23"/>
          <w:szCs w:val="23"/>
        </w:rPr>
        <w:t xml:space="preserve"> </w:t>
      </w:r>
      <w:r>
        <w:rPr>
          <w:rFonts w:ascii="宋体" w:eastAsia="宋体" w:hAnsi="宋体" w:cs="宋体"/>
          <w:spacing w:val="-7"/>
          <w:sz w:val="23"/>
          <w:szCs w:val="23"/>
        </w:rPr>
        <w:t>metabolic,BM)、</w:t>
      </w:r>
      <w:r>
        <w:rPr>
          <w:rFonts w:ascii="宋体" w:eastAsia="宋体" w:hAnsi="宋体" w:cs="宋体"/>
          <w:spacing w:val="-57"/>
          <w:sz w:val="23"/>
          <w:szCs w:val="23"/>
        </w:rPr>
        <w:t xml:space="preserve"> </w:t>
      </w:r>
      <w:r>
        <w:rPr>
          <w:rFonts w:ascii="宋体" w:eastAsia="宋体" w:hAnsi="宋体" w:cs="宋体"/>
          <w:spacing w:val="-7"/>
          <w:sz w:val="23"/>
          <w:szCs w:val="23"/>
        </w:rPr>
        <w:t>运</w:t>
      </w:r>
      <w:r>
        <w:rPr>
          <w:rFonts w:ascii="宋体" w:eastAsia="宋体" w:hAnsi="宋体" w:cs="宋体"/>
          <w:spacing w:val="-8"/>
          <w:sz w:val="23"/>
          <w:szCs w:val="23"/>
        </w:rPr>
        <w:t>动生热效应</w:t>
      </w:r>
      <w:r>
        <w:rPr>
          <w:rFonts w:ascii="宋体" w:eastAsia="宋体" w:hAnsi="宋体" w:cs="宋体"/>
          <w:sz w:val="23"/>
          <w:szCs w:val="23"/>
        </w:rPr>
        <w:t xml:space="preserve">  </w:t>
      </w:r>
      <w:r>
        <w:rPr>
          <w:rFonts w:ascii="宋体" w:eastAsia="宋体" w:hAnsi="宋体" w:cs="宋体"/>
          <w:spacing w:val="-21"/>
          <w:sz w:val="23"/>
          <w:szCs w:val="23"/>
        </w:rPr>
        <w:t>(thermic</w:t>
      </w:r>
      <w:r>
        <w:rPr>
          <w:rFonts w:ascii="宋体" w:eastAsia="宋体" w:hAnsi="宋体" w:cs="宋体"/>
          <w:spacing w:val="13"/>
          <w:sz w:val="23"/>
          <w:szCs w:val="23"/>
        </w:rPr>
        <w:t xml:space="preserve"> </w:t>
      </w:r>
      <w:r>
        <w:rPr>
          <w:rFonts w:ascii="宋体" w:eastAsia="宋体" w:hAnsi="宋体" w:cs="宋体"/>
          <w:spacing w:val="-21"/>
          <w:sz w:val="23"/>
          <w:szCs w:val="23"/>
        </w:rPr>
        <w:t>effect</w:t>
      </w:r>
      <w:r>
        <w:rPr>
          <w:rFonts w:ascii="宋体" w:eastAsia="宋体" w:hAnsi="宋体" w:cs="宋体"/>
          <w:spacing w:val="-8"/>
          <w:sz w:val="23"/>
          <w:szCs w:val="23"/>
        </w:rPr>
        <w:t xml:space="preserve"> </w:t>
      </w:r>
      <w:r>
        <w:rPr>
          <w:rFonts w:ascii="宋体" w:eastAsia="宋体" w:hAnsi="宋体" w:cs="宋体"/>
          <w:spacing w:val="-21"/>
          <w:sz w:val="23"/>
          <w:szCs w:val="23"/>
        </w:rPr>
        <w:t>of</w:t>
      </w:r>
      <w:r>
        <w:rPr>
          <w:rFonts w:ascii="宋体" w:eastAsia="宋体" w:hAnsi="宋体" w:cs="宋体"/>
          <w:spacing w:val="-5"/>
          <w:sz w:val="23"/>
          <w:szCs w:val="23"/>
        </w:rPr>
        <w:t xml:space="preserve"> </w:t>
      </w:r>
      <w:r>
        <w:rPr>
          <w:rFonts w:ascii="宋体" w:eastAsia="宋体" w:hAnsi="宋体" w:cs="宋体"/>
          <w:spacing w:val="-21"/>
          <w:sz w:val="23"/>
          <w:szCs w:val="23"/>
        </w:rPr>
        <w:t>exercise,TEE)、</w:t>
      </w:r>
      <w:r>
        <w:rPr>
          <w:rFonts w:ascii="宋体" w:eastAsia="宋体" w:hAnsi="宋体" w:cs="宋体"/>
          <w:spacing w:val="-68"/>
          <w:sz w:val="23"/>
          <w:szCs w:val="23"/>
        </w:rPr>
        <w:t xml:space="preserve"> </w:t>
      </w:r>
      <w:r>
        <w:rPr>
          <w:rFonts w:ascii="宋体" w:eastAsia="宋体" w:hAnsi="宋体" w:cs="宋体"/>
          <w:spacing w:val="-21"/>
          <w:sz w:val="23"/>
          <w:szCs w:val="23"/>
        </w:rPr>
        <w:t>食物生热效应</w:t>
      </w:r>
      <w:r>
        <w:rPr>
          <w:rFonts w:ascii="宋体" w:eastAsia="宋体" w:hAnsi="宋体" w:cs="宋体"/>
          <w:spacing w:val="-24"/>
          <w:sz w:val="23"/>
          <w:szCs w:val="23"/>
        </w:rPr>
        <w:t xml:space="preserve"> </w:t>
      </w:r>
      <w:r>
        <w:rPr>
          <w:rFonts w:ascii="宋体" w:eastAsia="宋体" w:hAnsi="宋体" w:cs="宋体"/>
          <w:spacing w:val="-21"/>
          <w:sz w:val="23"/>
          <w:szCs w:val="23"/>
        </w:rPr>
        <w:t>(TEF)</w:t>
      </w:r>
      <w:r>
        <w:rPr>
          <w:rFonts w:ascii="宋体" w:eastAsia="宋体" w:hAnsi="宋体" w:cs="宋体"/>
          <w:spacing w:val="90"/>
          <w:sz w:val="23"/>
          <w:szCs w:val="23"/>
        </w:rPr>
        <w:t xml:space="preserve"> </w:t>
      </w:r>
      <w:r>
        <w:rPr>
          <w:rFonts w:ascii="宋体" w:eastAsia="宋体" w:hAnsi="宋体" w:cs="宋体"/>
          <w:spacing w:val="-21"/>
          <w:sz w:val="23"/>
          <w:szCs w:val="23"/>
        </w:rPr>
        <w:t>以及适应性生热效应</w:t>
      </w:r>
      <w:r>
        <w:rPr>
          <w:rFonts w:ascii="宋体" w:eastAsia="宋体" w:hAnsi="宋体" w:cs="宋体"/>
          <w:sz w:val="23"/>
          <w:szCs w:val="23"/>
        </w:rPr>
        <w:t xml:space="preserve">  </w:t>
      </w:r>
      <w:r>
        <w:rPr>
          <w:rFonts w:ascii="宋体" w:eastAsia="宋体" w:hAnsi="宋体" w:cs="宋体"/>
          <w:spacing w:val="-22"/>
          <w:sz w:val="23"/>
          <w:szCs w:val="23"/>
        </w:rPr>
        <w:t>(facultative</w:t>
      </w:r>
      <w:r>
        <w:rPr>
          <w:rFonts w:ascii="宋体" w:eastAsia="宋体" w:hAnsi="宋体" w:cs="宋体"/>
          <w:spacing w:val="-10"/>
          <w:sz w:val="23"/>
          <w:szCs w:val="23"/>
        </w:rPr>
        <w:t xml:space="preserve"> </w:t>
      </w:r>
      <w:r>
        <w:rPr>
          <w:rFonts w:ascii="宋体" w:eastAsia="宋体" w:hAnsi="宋体" w:cs="宋体"/>
          <w:spacing w:val="-22"/>
          <w:sz w:val="23"/>
          <w:szCs w:val="23"/>
        </w:rPr>
        <w:t>thermogenesis)</w:t>
      </w:r>
      <w:r>
        <w:rPr>
          <w:rFonts w:ascii="宋体" w:eastAsia="宋体" w:hAnsi="宋体" w:cs="宋体"/>
          <w:spacing w:val="-67"/>
          <w:sz w:val="23"/>
          <w:szCs w:val="23"/>
        </w:rPr>
        <w:t xml:space="preserve"> </w:t>
      </w:r>
      <w:r>
        <w:rPr>
          <w:rFonts w:ascii="宋体" w:eastAsia="宋体" w:hAnsi="宋体" w:cs="宋体"/>
          <w:spacing w:val="-22"/>
          <w:sz w:val="23"/>
          <w:szCs w:val="23"/>
        </w:rPr>
        <w:t>组</w:t>
      </w:r>
      <w:r>
        <w:rPr>
          <w:rFonts w:ascii="宋体" w:eastAsia="宋体" w:hAnsi="宋体" w:cs="宋体"/>
          <w:spacing w:val="-23"/>
          <w:sz w:val="23"/>
          <w:szCs w:val="23"/>
        </w:rPr>
        <w:t>成。运动员与非运动人群不同，其能量消耗当中，</w:t>
      </w:r>
      <w:r>
        <w:rPr>
          <w:rFonts w:ascii="宋体" w:eastAsia="宋体" w:hAnsi="宋体" w:cs="宋体"/>
          <w:sz w:val="23"/>
          <w:szCs w:val="23"/>
        </w:rPr>
        <w:t xml:space="preserve"> </w:t>
      </w:r>
      <w:r>
        <w:rPr>
          <w:rFonts w:ascii="宋体" w:eastAsia="宋体" w:hAnsi="宋体" w:cs="宋体"/>
          <w:spacing w:val="-23"/>
          <w:sz w:val="23"/>
          <w:szCs w:val="23"/>
        </w:rPr>
        <w:t>运动消耗增多，所以基础代谢的比例相对减少；同时由于运动员膳食中的蛋</w:t>
      </w:r>
      <w:r>
        <w:rPr>
          <w:rFonts w:ascii="宋体" w:eastAsia="宋体" w:hAnsi="宋体" w:cs="宋体"/>
          <w:spacing w:val="-24"/>
          <w:sz w:val="23"/>
          <w:szCs w:val="23"/>
        </w:rPr>
        <w:t>白质</w:t>
      </w:r>
      <w:r>
        <w:rPr>
          <w:rFonts w:ascii="宋体" w:eastAsia="宋体" w:hAnsi="宋体" w:cs="宋体"/>
          <w:sz w:val="23"/>
          <w:szCs w:val="23"/>
        </w:rPr>
        <w:t xml:space="preserve"> </w:t>
      </w:r>
      <w:r>
        <w:rPr>
          <w:rFonts w:ascii="宋体" w:eastAsia="宋体" w:hAnsi="宋体" w:cs="宋体"/>
          <w:spacing w:val="-14"/>
          <w:sz w:val="23"/>
          <w:szCs w:val="23"/>
        </w:rPr>
        <w:t>含量相对较高，因而食物的生热效应也较高，常以基础代谢的15%计。我国一</w:t>
      </w:r>
      <w:r>
        <w:rPr>
          <w:rFonts w:ascii="宋体" w:eastAsia="宋体" w:hAnsi="宋体" w:cs="宋体"/>
          <w:spacing w:val="7"/>
          <w:sz w:val="23"/>
          <w:szCs w:val="23"/>
        </w:rPr>
        <w:t xml:space="preserve">  </w:t>
      </w:r>
      <w:r>
        <w:rPr>
          <w:rFonts w:ascii="宋体" w:eastAsia="宋体" w:hAnsi="宋体" w:cs="宋体"/>
          <w:spacing w:val="-18"/>
          <w:sz w:val="23"/>
          <w:szCs w:val="23"/>
        </w:rPr>
        <w:t>般项目运动员的能量需要量以体重计，每天约为209～</w:t>
      </w:r>
      <w:r>
        <w:rPr>
          <w:rFonts w:ascii="宋体" w:eastAsia="宋体" w:hAnsi="宋体" w:cs="宋体"/>
          <w:spacing w:val="-19"/>
          <w:sz w:val="23"/>
          <w:szCs w:val="23"/>
        </w:rPr>
        <w:t>272</w:t>
      </w:r>
      <w:r>
        <w:rPr>
          <w:rFonts w:ascii="宋体" w:eastAsia="宋体" w:hAnsi="宋体" w:cs="宋体"/>
          <w:spacing w:val="-18"/>
          <w:sz w:val="23"/>
          <w:szCs w:val="23"/>
        </w:rPr>
        <w:t>kJ</w:t>
      </w:r>
      <w:r>
        <w:rPr>
          <w:rFonts w:ascii="宋体" w:eastAsia="宋体" w:hAnsi="宋体" w:cs="宋体"/>
          <w:spacing w:val="-19"/>
          <w:sz w:val="23"/>
          <w:szCs w:val="23"/>
        </w:rPr>
        <w:t>/</w:t>
      </w:r>
      <w:r>
        <w:rPr>
          <w:rFonts w:ascii="宋体" w:eastAsia="宋体" w:hAnsi="宋体" w:cs="宋体"/>
          <w:spacing w:val="-18"/>
          <w:sz w:val="23"/>
          <w:szCs w:val="23"/>
        </w:rPr>
        <w:t>kg</w:t>
      </w:r>
      <w:r>
        <w:rPr>
          <w:rFonts w:ascii="宋体" w:eastAsia="宋体" w:hAnsi="宋体" w:cs="宋体"/>
          <w:spacing w:val="-19"/>
          <w:sz w:val="23"/>
          <w:szCs w:val="23"/>
        </w:rPr>
        <w:t>。</w:t>
      </w:r>
      <w:r>
        <w:rPr>
          <w:rFonts w:ascii="宋体" w:eastAsia="宋体" w:hAnsi="宋体" w:cs="宋体"/>
          <w:spacing w:val="-65"/>
          <w:sz w:val="23"/>
          <w:szCs w:val="23"/>
        </w:rPr>
        <w:t xml:space="preserve"> </w:t>
      </w:r>
      <w:r>
        <w:rPr>
          <w:rFonts w:ascii="宋体" w:eastAsia="宋体" w:hAnsi="宋体" w:cs="宋体"/>
          <w:spacing w:val="-19"/>
          <w:sz w:val="23"/>
          <w:szCs w:val="23"/>
        </w:rPr>
        <w:t>不同项目运动</w:t>
      </w:r>
      <w:r>
        <w:rPr>
          <w:rFonts w:ascii="宋体" w:eastAsia="宋体" w:hAnsi="宋体" w:cs="宋体"/>
          <w:sz w:val="23"/>
          <w:szCs w:val="23"/>
        </w:rPr>
        <w:t xml:space="preserve"> </w:t>
      </w:r>
      <w:r>
        <w:rPr>
          <w:rFonts w:ascii="宋体" w:eastAsia="宋体" w:hAnsi="宋体" w:cs="宋体"/>
          <w:spacing w:val="-13"/>
          <w:sz w:val="23"/>
          <w:szCs w:val="23"/>
        </w:rPr>
        <w:t>员的能量推荐摄入量不同。表10-14为推荐的运动员每日膳食</w:t>
      </w:r>
      <w:r>
        <w:rPr>
          <w:rFonts w:ascii="宋体" w:eastAsia="宋体" w:hAnsi="宋体" w:cs="宋体"/>
          <w:spacing w:val="-14"/>
          <w:sz w:val="23"/>
          <w:szCs w:val="23"/>
        </w:rPr>
        <w:t>能量摄入量，表</w:t>
      </w:r>
      <w:r>
        <w:rPr>
          <w:rFonts w:ascii="宋体" w:eastAsia="宋体" w:hAnsi="宋体" w:cs="宋体"/>
          <w:sz w:val="23"/>
          <w:szCs w:val="23"/>
        </w:rPr>
        <w:t xml:space="preserve">  </w:t>
      </w:r>
      <w:r>
        <w:rPr>
          <w:rFonts w:ascii="宋体" w:eastAsia="宋体" w:hAnsi="宋体" w:cs="宋体"/>
          <w:spacing w:val="-21"/>
          <w:sz w:val="23"/>
          <w:szCs w:val="23"/>
        </w:rPr>
        <w:t>10-15为不同运动项目所消耗的能量。</w:t>
      </w:r>
    </w:p>
    <w:p w:rsidR="00EA40A3" w:rsidRDefault="00EA40A3">
      <w:pPr>
        <w:sectPr w:rsidR="00EA40A3">
          <w:footerReference w:type="default" r:id="rId281"/>
          <w:pgSz w:w="9220" w:h="13360"/>
          <w:pgMar w:top="400" w:right="1035" w:bottom="1304" w:left="849" w:header="0" w:footer="1071" w:gutter="0"/>
          <w:cols w:space="720"/>
        </w:sectPr>
      </w:pPr>
    </w:p>
    <w:p w:rsidR="00EA40A3" w:rsidRDefault="00EA40A3">
      <w:pPr>
        <w:spacing w:line="105" w:lineRule="exact"/>
      </w:pPr>
    </w:p>
    <w:p w:rsidR="00EA40A3" w:rsidRDefault="00EA40A3">
      <w:pPr>
        <w:sectPr w:rsidR="00EA40A3">
          <w:headerReference w:type="default" r:id="rId282"/>
          <w:footerReference w:type="default" r:id="rId283"/>
          <w:pgSz w:w="9220" w:h="13360"/>
          <w:pgMar w:top="1264" w:right="870" w:bottom="1263" w:left="959" w:header="1013" w:footer="1016" w:gutter="0"/>
          <w:cols w:space="720" w:equalWidth="0">
            <w:col w:w="7391"/>
          </w:cols>
        </w:sectPr>
      </w:pPr>
    </w:p>
    <w:p w:rsidR="00EA40A3" w:rsidRDefault="00E86C16">
      <w:pPr>
        <w:spacing w:before="137" w:line="220" w:lineRule="auto"/>
        <w:ind w:left="1030"/>
        <w:rPr>
          <w:rFonts w:ascii="宋体" w:eastAsia="宋体" w:hAnsi="宋体" w:cs="宋体"/>
          <w:sz w:val="17"/>
          <w:szCs w:val="17"/>
        </w:rPr>
      </w:pPr>
      <w:r>
        <w:rPr>
          <w:rFonts w:ascii="宋体" w:eastAsia="宋体" w:hAnsi="宋体" w:cs="宋体"/>
          <w:spacing w:val="8"/>
          <w:sz w:val="17"/>
          <w:szCs w:val="17"/>
        </w:rPr>
        <w:t>运动项目</w:t>
      </w:r>
    </w:p>
    <w:p w:rsidR="00EA40A3" w:rsidRDefault="00E86C16">
      <w:pPr>
        <w:spacing w:line="14" w:lineRule="auto"/>
        <w:rPr>
          <w:sz w:val="2"/>
        </w:rPr>
      </w:pPr>
      <w:r>
        <w:rPr>
          <w:sz w:val="2"/>
          <w:szCs w:val="2"/>
        </w:rPr>
        <w:br w:type="column"/>
      </w:r>
    </w:p>
    <w:p w:rsidR="00EA40A3" w:rsidRDefault="00E86C16">
      <w:pPr>
        <w:spacing w:before="32" w:line="219" w:lineRule="auto"/>
        <w:ind w:left="1702"/>
        <w:rPr>
          <w:rFonts w:ascii="宋体" w:eastAsia="宋体" w:hAnsi="宋体" w:cs="宋体"/>
          <w:sz w:val="17"/>
          <w:szCs w:val="17"/>
        </w:rPr>
      </w:pPr>
      <w:bookmarkStart w:id="80" w:name="_bookmark85"/>
      <w:bookmarkStart w:id="81" w:name="_bookmark84"/>
      <w:bookmarkEnd w:id="80"/>
      <w:bookmarkEnd w:id="81"/>
      <w:r>
        <w:rPr>
          <w:rFonts w:ascii="宋体" w:eastAsia="宋体" w:hAnsi="宋体" w:cs="宋体"/>
          <w:b/>
          <w:bCs/>
          <w:spacing w:val="-3"/>
          <w:sz w:val="17"/>
          <w:szCs w:val="17"/>
        </w:rPr>
        <w:t>每日能量摄入量</w:t>
      </w:r>
    </w:p>
    <w:p w:rsidR="00EA40A3" w:rsidRDefault="00E86C16">
      <w:pPr>
        <w:spacing w:before="75" w:line="184" w:lineRule="auto"/>
        <w:rPr>
          <w:rFonts w:ascii="宋体" w:eastAsia="宋体" w:hAnsi="宋体" w:cs="宋体"/>
          <w:sz w:val="17"/>
          <w:szCs w:val="17"/>
        </w:rPr>
      </w:pPr>
      <w:r>
        <w:rPr>
          <w:rFonts w:ascii="宋体" w:eastAsia="宋体" w:hAnsi="宋体" w:cs="宋体"/>
          <w:spacing w:val="-3"/>
          <w:sz w:val="17"/>
          <w:szCs w:val="17"/>
        </w:rPr>
        <w:t>/(MJ/d)</w:t>
      </w:r>
      <w:r>
        <w:rPr>
          <w:rFonts w:ascii="宋体" w:eastAsia="宋体" w:hAnsi="宋体" w:cs="宋体"/>
          <w:spacing w:val="22"/>
          <w:w w:val="101"/>
          <w:sz w:val="17"/>
          <w:szCs w:val="17"/>
        </w:rPr>
        <w:t xml:space="preserve">  </w:t>
      </w:r>
      <w:r>
        <w:rPr>
          <w:rFonts w:ascii="宋体" w:eastAsia="宋体" w:hAnsi="宋体" w:cs="宋体"/>
          <w:spacing w:val="-3"/>
          <w:sz w:val="17"/>
          <w:szCs w:val="17"/>
        </w:rPr>
        <w:t>/(kcal/d</w:t>
      </w:r>
      <w:r>
        <w:rPr>
          <w:rFonts w:ascii="宋体" w:eastAsia="宋体" w:hAnsi="宋体" w:cs="宋体"/>
          <w:spacing w:val="-4"/>
          <w:sz w:val="17"/>
          <w:szCs w:val="17"/>
        </w:rPr>
        <w:t>)/[</w:t>
      </w:r>
      <w:r>
        <w:rPr>
          <w:rFonts w:ascii="宋体" w:eastAsia="宋体" w:hAnsi="宋体" w:cs="宋体"/>
          <w:spacing w:val="-3"/>
          <w:sz w:val="17"/>
          <w:szCs w:val="17"/>
        </w:rPr>
        <w:t>kJ</w:t>
      </w:r>
      <w:r>
        <w:rPr>
          <w:rFonts w:ascii="宋体" w:eastAsia="宋体" w:hAnsi="宋体" w:cs="宋体"/>
          <w:spacing w:val="-4"/>
          <w:sz w:val="17"/>
          <w:szCs w:val="17"/>
        </w:rPr>
        <w:t>/(</w:t>
      </w:r>
      <w:r>
        <w:rPr>
          <w:rFonts w:ascii="宋体" w:eastAsia="宋体" w:hAnsi="宋体" w:cs="宋体"/>
          <w:spacing w:val="-3"/>
          <w:sz w:val="17"/>
          <w:szCs w:val="17"/>
        </w:rPr>
        <w:t>kg</w:t>
      </w:r>
      <w:r>
        <w:rPr>
          <w:rFonts w:ascii="宋体" w:eastAsia="宋体" w:hAnsi="宋体" w:cs="宋体"/>
          <w:spacing w:val="-20"/>
          <w:sz w:val="17"/>
          <w:szCs w:val="17"/>
        </w:rPr>
        <w:t xml:space="preserve"> </w:t>
      </w:r>
      <w:r>
        <w:rPr>
          <w:rFonts w:ascii="宋体" w:eastAsia="宋体" w:hAnsi="宋体" w:cs="宋体"/>
          <w:spacing w:val="-4"/>
          <w:sz w:val="17"/>
          <w:szCs w:val="17"/>
        </w:rPr>
        <w:t>·d)]/[</w:t>
      </w:r>
      <w:r>
        <w:rPr>
          <w:rFonts w:ascii="宋体" w:eastAsia="宋体" w:hAnsi="宋体" w:cs="宋体"/>
          <w:spacing w:val="-3"/>
          <w:sz w:val="17"/>
          <w:szCs w:val="17"/>
        </w:rPr>
        <w:t>kcal</w:t>
      </w:r>
      <w:r>
        <w:rPr>
          <w:rFonts w:ascii="宋体" w:eastAsia="宋体" w:hAnsi="宋体" w:cs="宋体"/>
          <w:spacing w:val="-4"/>
          <w:sz w:val="17"/>
          <w:szCs w:val="17"/>
        </w:rPr>
        <w:t>/(</w:t>
      </w:r>
      <w:r>
        <w:rPr>
          <w:rFonts w:ascii="宋体" w:eastAsia="宋体" w:hAnsi="宋体" w:cs="宋体"/>
          <w:spacing w:val="-3"/>
          <w:sz w:val="17"/>
          <w:szCs w:val="17"/>
        </w:rPr>
        <w:t>kg</w:t>
      </w:r>
      <w:r>
        <w:rPr>
          <w:rFonts w:ascii="宋体" w:eastAsia="宋体" w:hAnsi="宋体" w:cs="宋体"/>
          <w:spacing w:val="-20"/>
          <w:sz w:val="17"/>
          <w:szCs w:val="17"/>
        </w:rPr>
        <w:t xml:space="preserve"> </w:t>
      </w:r>
      <w:r>
        <w:rPr>
          <w:rFonts w:ascii="宋体" w:eastAsia="宋体" w:hAnsi="宋体" w:cs="宋体"/>
          <w:spacing w:val="-4"/>
          <w:sz w:val="17"/>
          <w:szCs w:val="17"/>
        </w:rPr>
        <w:t>·d)]</w:t>
      </w:r>
    </w:p>
    <w:p w:rsidR="00EA40A3" w:rsidRDefault="00EA40A3">
      <w:pPr>
        <w:sectPr w:rsidR="00EA40A3">
          <w:type w:val="continuous"/>
          <w:pgSz w:w="9220" w:h="13360"/>
          <w:pgMar w:top="1264" w:right="870" w:bottom="1263" w:left="959" w:header="1013" w:footer="1016" w:gutter="0"/>
          <w:cols w:num="2" w:space="720" w:equalWidth="0">
            <w:col w:w="2631" w:space="100"/>
            <w:col w:w="4660"/>
          </w:cols>
        </w:sectPr>
      </w:pPr>
    </w:p>
    <w:p w:rsidR="00EA40A3" w:rsidRDefault="00EA40A3">
      <w:pPr>
        <w:spacing w:line="53" w:lineRule="exact"/>
      </w:pPr>
    </w:p>
    <w:tbl>
      <w:tblPr>
        <w:tblStyle w:val="TableNormal"/>
        <w:tblW w:w="739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399"/>
        <w:gridCol w:w="2237"/>
        <w:gridCol w:w="1224"/>
        <w:gridCol w:w="1530"/>
      </w:tblGrid>
      <w:tr w:rsidR="00EA40A3">
        <w:trPr>
          <w:trHeight w:val="534"/>
        </w:trPr>
        <w:tc>
          <w:tcPr>
            <w:tcW w:w="4636" w:type="dxa"/>
            <w:gridSpan w:val="2"/>
            <w:tcBorders>
              <w:top w:val="single" w:sz="4" w:space="0" w:color="000000"/>
            </w:tcBorders>
          </w:tcPr>
          <w:p w:rsidR="00EA40A3" w:rsidRDefault="00E86C16">
            <w:pPr>
              <w:spacing w:before="122" w:line="217" w:lineRule="auto"/>
              <w:ind w:left="179"/>
              <w:rPr>
                <w:rFonts w:ascii="宋体" w:eastAsia="宋体" w:hAnsi="宋体" w:cs="宋体"/>
                <w:sz w:val="17"/>
                <w:szCs w:val="17"/>
              </w:rPr>
            </w:pPr>
            <w:r>
              <w:rPr>
                <w:rFonts w:ascii="宋体" w:eastAsia="宋体" w:hAnsi="宋体" w:cs="宋体"/>
                <w:spacing w:val="1"/>
                <w:sz w:val="17"/>
                <w:szCs w:val="17"/>
              </w:rPr>
              <w:t>棋牌类(男、女)</w:t>
            </w:r>
            <w:r>
              <w:rPr>
                <w:rFonts w:ascii="宋体" w:eastAsia="宋体" w:hAnsi="宋体" w:cs="宋体"/>
                <w:spacing w:val="4"/>
                <w:sz w:val="17"/>
                <w:szCs w:val="17"/>
              </w:rPr>
              <w:t xml:space="preserve">              </w:t>
            </w:r>
            <w:r>
              <w:rPr>
                <w:rFonts w:ascii="宋体" w:eastAsia="宋体" w:hAnsi="宋体" w:cs="宋体"/>
                <w:spacing w:val="1"/>
                <w:sz w:val="17"/>
                <w:szCs w:val="17"/>
              </w:rPr>
              <w:t>8.4～11.762000～2800</w:t>
            </w:r>
          </w:p>
          <w:p w:rsidR="00EA40A3" w:rsidRDefault="00E86C16">
            <w:pPr>
              <w:spacing w:line="219" w:lineRule="auto"/>
              <w:ind w:left="179"/>
              <w:rPr>
                <w:rFonts w:ascii="宋体" w:eastAsia="宋体" w:hAnsi="宋体" w:cs="宋体"/>
                <w:sz w:val="17"/>
                <w:szCs w:val="17"/>
              </w:rPr>
            </w:pPr>
            <w:r>
              <w:rPr>
                <w:rFonts w:ascii="宋体" w:eastAsia="宋体" w:hAnsi="宋体" w:cs="宋体"/>
                <w:spacing w:val="-1"/>
                <w:sz w:val="17"/>
                <w:szCs w:val="17"/>
              </w:rPr>
              <w:t>跳水(男、女)、体操(女)、射</w:t>
            </w:r>
          </w:p>
        </w:tc>
        <w:tc>
          <w:tcPr>
            <w:tcW w:w="1224" w:type="dxa"/>
            <w:tcBorders>
              <w:top w:val="single" w:sz="4" w:space="0" w:color="000000"/>
            </w:tcBorders>
          </w:tcPr>
          <w:p w:rsidR="00EA40A3" w:rsidRDefault="00E86C16">
            <w:pPr>
              <w:spacing w:before="126" w:line="235" w:lineRule="auto"/>
              <w:ind w:left="204"/>
              <w:rPr>
                <w:rFonts w:ascii="宋体" w:eastAsia="宋体" w:hAnsi="宋体" w:cs="宋体"/>
                <w:sz w:val="17"/>
                <w:szCs w:val="17"/>
              </w:rPr>
            </w:pPr>
            <w:r>
              <w:rPr>
                <w:rFonts w:ascii="宋体" w:eastAsia="宋体" w:hAnsi="宋体" w:cs="宋体"/>
                <w:spacing w:val="-3"/>
                <w:sz w:val="17"/>
                <w:szCs w:val="17"/>
              </w:rPr>
              <w:t>188±21</w:t>
            </w:r>
          </w:p>
        </w:tc>
        <w:tc>
          <w:tcPr>
            <w:tcW w:w="1530" w:type="dxa"/>
            <w:tcBorders>
              <w:top w:val="single" w:sz="4" w:space="0" w:color="000000"/>
            </w:tcBorders>
          </w:tcPr>
          <w:p w:rsidR="00EA40A3" w:rsidRDefault="00E86C16">
            <w:pPr>
              <w:spacing w:before="126" w:line="235" w:lineRule="auto"/>
              <w:ind w:left="489"/>
              <w:rPr>
                <w:rFonts w:ascii="宋体" w:eastAsia="宋体" w:hAnsi="宋体" w:cs="宋体"/>
                <w:sz w:val="17"/>
                <w:szCs w:val="17"/>
              </w:rPr>
            </w:pPr>
            <w:r>
              <w:rPr>
                <w:rFonts w:ascii="宋体" w:eastAsia="宋体" w:hAnsi="宋体" w:cs="宋体"/>
                <w:spacing w:val="-2"/>
                <w:sz w:val="17"/>
                <w:szCs w:val="17"/>
              </w:rPr>
              <w:t>45±5</w:t>
            </w:r>
          </w:p>
        </w:tc>
      </w:tr>
      <w:tr w:rsidR="00EA40A3">
        <w:trPr>
          <w:trHeight w:val="514"/>
        </w:trPr>
        <w:tc>
          <w:tcPr>
            <w:tcW w:w="4636" w:type="dxa"/>
            <w:gridSpan w:val="2"/>
          </w:tcPr>
          <w:p w:rsidR="00EA40A3" w:rsidRDefault="00E86C16">
            <w:pPr>
              <w:spacing w:before="47" w:line="241" w:lineRule="auto"/>
              <w:ind w:left="179" w:right="636"/>
              <w:rPr>
                <w:rFonts w:ascii="宋体" w:eastAsia="宋体" w:hAnsi="宋体" w:cs="宋体"/>
                <w:sz w:val="17"/>
                <w:szCs w:val="17"/>
              </w:rPr>
            </w:pPr>
            <w:r>
              <w:rPr>
                <w:rFonts w:ascii="宋体" w:eastAsia="宋体" w:hAnsi="宋体" w:cs="宋体"/>
                <w:sz w:val="17"/>
                <w:szCs w:val="17"/>
              </w:rPr>
              <w:t>击(女)、射箭(女)、跳高、9.20～13.44220</w:t>
            </w:r>
            <w:r>
              <w:rPr>
                <w:rFonts w:ascii="宋体" w:eastAsia="宋体" w:hAnsi="宋体" w:cs="宋体"/>
                <w:spacing w:val="-1"/>
                <w:sz w:val="17"/>
                <w:szCs w:val="17"/>
              </w:rPr>
              <w:t>0～3200</w:t>
            </w:r>
            <w:r>
              <w:rPr>
                <w:rFonts w:ascii="宋体" w:eastAsia="宋体" w:hAnsi="宋体" w:cs="宋体"/>
                <w:sz w:val="17"/>
                <w:szCs w:val="17"/>
              </w:rPr>
              <w:t xml:space="preserve"> </w:t>
            </w:r>
            <w:r>
              <w:rPr>
                <w:rFonts w:ascii="宋体" w:eastAsia="宋体" w:hAnsi="宋体" w:cs="宋体"/>
                <w:spacing w:val="-2"/>
                <w:sz w:val="17"/>
                <w:szCs w:val="17"/>
              </w:rPr>
              <w:t>跳远</w:t>
            </w:r>
          </w:p>
        </w:tc>
        <w:tc>
          <w:tcPr>
            <w:tcW w:w="1224" w:type="dxa"/>
          </w:tcPr>
          <w:p w:rsidR="00EA40A3" w:rsidRDefault="00E86C16">
            <w:pPr>
              <w:spacing w:before="72" w:line="235" w:lineRule="auto"/>
              <w:ind w:left="204"/>
              <w:rPr>
                <w:rFonts w:ascii="宋体" w:eastAsia="宋体" w:hAnsi="宋体" w:cs="宋体"/>
                <w:sz w:val="17"/>
                <w:szCs w:val="17"/>
              </w:rPr>
            </w:pPr>
            <w:r>
              <w:rPr>
                <w:rFonts w:ascii="宋体" w:eastAsia="宋体" w:hAnsi="宋体" w:cs="宋体"/>
                <w:spacing w:val="-2"/>
                <w:sz w:val="17"/>
                <w:szCs w:val="17"/>
              </w:rPr>
              <w:t>209±21</w:t>
            </w:r>
          </w:p>
        </w:tc>
        <w:tc>
          <w:tcPr>
            <w:tcW w:w="1530" w:type="dxa"/>
          </w:tcPr>
          <w:p w:rsidR="00EA40A3" w:rsidRDefault="00E86C16">
            <w:pPr>
              <w:spacing w:before="52" w:line="235" w:lineRule="auto"/>
              <w:ind w:left="489"/>
              <w:rPr>
                <w:rFonts w:ascii="宋体" w:eastAsia="宋体" w:hAnsi="宋体" w:cs="宋体"/>
                <w:sz w:val="17"/>
                <w:szCs w:val="17"/>
              </w:rPr>
            </w:pPr>
            <w:r>
              <w:rPr>
                <w:rFonts w:ascii="宋体" w:eastAsia="宋体" w:hAnsi="宋体" w:cs="宋体"/>
                <w:spacing w:val="-3"/>
                <w:sz w:val="17"/>
                <w:szCs w:val="17"/>
              </w:rPr>
              <w:t>50±5</w:t>
            </w:r>
          </w:p>
        </w:tc>
      </w:tr>
      <w:tr w:rsidR="00EA40A3">
        <w:trPr>
          <w:trHeight w:val="274"/>
        </w:trPr>
        <w:tc>
          <w:tcPr>
            <w:tcW w:w="4636" w:type="dxa"/>
            <w:gridSpan w:val="2"/>
          </w:tcPr>
          <w:p w:rsidR="00EA40A3" w:rsidRDefault="00E86C16">
            <w:pPr>
              <w:spacing w:before="64" w:line="219" w:lineRule="auto"/>
              <w:ind w:left="179"/>
              <w:rPr>
                <w:rFonts w:ascii="宋体" w:eastAsia="宋体" w:hAnsi="宋体" w:cs="宋体"/>
                <w:sz w:val="17"/>
                <w:szCs w:val="17"/>
              </w:rPr>
            </w:pPr>
            <w:r>
              <w:rPr>
                <w:rFonts w:ascii="宋体" w:eastAsia="宋体" w:hAnsi="宋体" w:cs="宋体"/>
                <w:spacing w:val="8"/>
                <w:sz w:val="17"/>
                <w:szCs w:val="17"/>
              </w:rPr>
              <w:t>体操(男、女)、武术、乒乓球</w:t>
            </w:r>
          </w:p>
        </w:tc>
        <w:tc>
          <w:tcPr>
            <w:tcW w:w="1224" w:type="dxa"/>
          </w:tcPr>
          <w:p w:rsidR="00EA40A3" w:rsidRDefault="00EA40A3"/>
        </w:tc>
        <w:tc>
          <w:tcPr>
            <w:tcW w:w="1530" w:type="dxa"/>
          </w:tcPr>
          <w:p w:rsidR="00EA40A3" w:rsidRDefault="00EA40A3"/>
        </w:tc>
      </w:tr>
      <w:tr w:rsidR="00EA40A3">
        <w:trPr>
          <w:trHeight w:val="260"/>
        </w:trPr>
        <w:tc>
          <w:tcPr>
            <w:tcW w:w="4636" w:type="dxa"/>
            <w:gridSpan w:val="2"/>
          </w:tcPr>
          <w:p w:rsidR="00EA40A3" w:rsidRDefault="00E86C16">
            <w:pPr>
              <w:spacing w:before="50" w:line="219" w:lineRule="auto"/>
              <w:ind w:left="190"/>
              <w:rPr>
                <w:rFonts w:ascii="宋体" w:eastAsia="宋体" w:hAnsi="宋体" w:cs="宋体"/>
                <w:sz w:val="17"/>
                <w:szCs w:val="17"/>
              </w:rPr>
            </w:pPr>
            <w:r>
              <w:rPr>
                <w:rFonts w:ascii="宋体" w:eastAsia="宋体" w:hAnsi="宋体" w:cs="宋体"/>
                <w:spacing w:val="6"/>
                <w:sz w:val="17"/>
                <w:szCs w:val="17"/>
              </w:rPr>
              <w:t>(男、女)、短跑(女)、羽毛球</w:t>
            </w:r>
          </w:p>
        </w:tc>
        <w:tc>
          <w:tcPr>
            <w:tcW w:w="1224" w:type="dxa"/>
          </w:tcPr>
          <w:p w:rsidR="00EA40A3" w:rsidRDefault="00EA40A3"/>
        </w:tc>
        <w:tc>
          <w:tcPr>
            <w:tcW w:w="1530" w:type="dxa"/>
          </w:tcPr>
          <w:p w:rsidR="00EA40A3" w:rsidRDefault="00EA40A3"/>
        </w:tc>
      </w:tr>
      <w:tr w:rsidR="00EA40A3">
        <w:trPr>
          <w:trHeight w:val="569"/>
        </w:trPr>
        <w:tc>
          <w:tcPr>
            <w:tcW w:w="2399" w:type="dxa"/>
            <w:tcBorders>
              <w:right w:val="nil"/>
            </w:tcBorders>
          </w:tcPr>
          <w:p w:rsidR="00EA40A3" w:rsidRDefault="00E86C16">
            <w:pPr>
              <w:spacing w:before="50" w:line="245" w:lineRule="auto"/>
              <w:ind w:left="160" w:right="191"/>
              <w:rPr>
                <w:rFonts w:ascii="宋体" w:eastAsia="宋体" w:hAnsi="宋体" w:cs="宋体"/>
                <w:sz w:val="17"/>
                <w:szCs w:val="17"/>
              </w:rPr>
            </w:pPr>
            <w:r>
              <w:rPr>
                <w:rFonts w:ascii="宋体" w:eastAsia="宋体" w:hAnsi="宋体" w:cs="宋体"/>
                <w:sz w:val="17"/>
                <w:szCs w:val="17"/>
              </w:rPr>
              <w:t>(男、女)、网球、部分举重</w:t>
            </w:r>
            <w:r>
              <w:rPr>
                <w:rFonts w:ascii="宋体" w:eastAsia="宋体" w:hAnsi="宋体" w:cs="宋体"/>
                <w:spacing w:val="6"/>
                <w:sz w:val="17"/>
                <w:szCs w:val="17"/>
              </w:rPr>
              <w:t xml:space="preserve"> </w:t>
            </w:r>
            <w:r>
              <w:rPr>
                <w:rFonts w:ascii="宋体" w:eastAsia="宋体" w:hAnsi="宋体" w:cs="宋体"/>
                <w:sz w:val="17"/>
                <w:szCs w:val="17"/>
              </w:rPr>
              <w:t>(&lt;75kg)、击剑、垒球</w:t>
            </w:r>
          </w:p>
        </w:tc>
        <w:tc>
          <w:tcPr>
            <w:tcW w:w="2237" w:type="dxa"/>
            <w:tcBorders>
              <w:left w:val="nil"/>
            </w:tcBorders>
          </w:tcPr>
          <w:p w:rsidR="00EA40A3" w:rsidRDefault="00E86C16">
            <w:pPr>
              <w:spacing w:before="92" w:line="184" w:lineRule="auto"/>
              <w:ind w:left="190"/>
              <w:rPr>
                <w:rFonts w:ascii="宋体" w:eastAsia="宋体" w:hAnsi="宋体" w:cs="宋体"/>
                <w:sz w:val="17"/>
                <w:szCs w:val="17"/>
              </w:rPr>
            </w:pPr>
            <w:r>
              <w:rPr>
                <w:rFonts w:ascii="宋体" w:eastAsia="宋体" w:hAnsi="宋体" w:cs="宋体"/>
                <w:spacing w:val="-1"/>
                <w:sz w:val="17"/>
                <w:szCs w:val="17"/>
              </w:rPr>
              <w:t>11.34～17.642700～4200</w:t>
            </w:r>
          </w:p>
        </w:tc>
        <w:tc>
          <w:tcPr>
            <w:tcW w:w="1224" w:type="dxa"/>
          </w:tcPr>
          <w:p w:rsidR="00EA40A3" w:rsidRDefault="00E86C16">
            <w:pPr>
              <w:spacing w:before="64" w:line="235" w:lineRule="auto"/>
              <w:ind w:left="204"/>
              <w:rPr>
                <w:rFonts w:ascii="宋体" w:eastAsia="宋体" w:hAnsi="宋体" w:cs="宋体"/>
                <w:sz w:val="17"/>
                <w:szCs w:val="17"/>
              </w:rPr>
            </w:pPr>
            <w:r>
              <w:rPr>
                <w:rFonts w:ascii="宋体" w:eastAsia="宋体" w:hAnsi="宋体" w:cs="宋体"/>
                <w:spacing w:val="-2"/>
                <w:sz w:val="17"/>
                <w:szCs w:val="17"/>
              </w:rPr>
              <w:t>230±21</w:t>
            </w:r>
          </w:p>
        </w:tc>
        <w:tc>
          <w:tcPr>
            <w:tcW w:w="1530" w:type="dxa"/>
          </w:tcPr>
          <w:p w:rsidR="00EA40A3" w:rsidRDefault="00E86C16">
            <w:pPr>
              <w:spacing w:before="64" w:line="235" w:lineRule="auto"/>
              <w:ind w:left="489"/>
              <w:rPr>
                <w:rFonts w:ascii="宋体" w:eastAsia="宋体" w:hAnsi="宋体" w:cs="宋体"/>
                <w:sz w:val="17"/>
                <w:szCs w:val="17"/>
              </w:rPr>
            </w:pPr>
            <w:r>
              <w:rPr>
                <w:rFonts w:ascii="宋体" w:eastAsia="宋体" w:hAnsi="宋体" w:cs="宋体"/>
                <w:spacing w:val="-3"/>
                <w:sz w:val="17"/>
                <w:szCs w:val="17"/>
              </w:rPr>
              <w:t>55±5</w:t>
            </w:r>
          </w:p>
        </w:tc>
      </w:tr>
      <w:tr w:rsidR="00EA40A3">
        <w:trPr>
          <w:trHeight w:val="309"/>
        </w:trPr>
        <w:tc>
          <w:tcPr>
            <w:tcW w:w="4636" w:type="dxa"/>
            <w:gridSpan w:val="2"/>
          </w:tcPr>
          <w:p w:rsidR="00EA40A3" w:rsidRDefault="00E86C16">
            <w:pPr>
              <w:spacing w:before="101" w:line="219" w:lineRule="auto"/>
              <w:ind w:left="179"/>
              <w:rPr>
                <w:rFonts w:ascii="宋体" w:eastAsia="宋体" w:hAnsi="宋体" w:cs="宋体"/>
                <w:sz w:val="17"/>
                <w:szCs w:val="17"/>
              </w:rPr>
            </w:pPr>
            <w:r>
              <w:rPr>
                <w:rFonts w:ascii="宋体" w:eastAsia="宋体" w:hAnsi="宋体" w:cs="宋体"/>
                <w:spacing w:val="1"/>
                <w:sz w:val="17"/>
                <w:szCs w:val="17"/>
              </w:rPr>
              <w:t>长跑、花样滑冰、中跑(男</w:t>
            </w:r>
          </w:p>
        </w:tc>
        <w:tc>
          <w:tcPr>
            <w:tcW w:w="1224" w:type="dxa"/>
          </w:tcPr>
          <w:p w:rsidR="00EA40A3" w:rsidRDefault="00EA40A3"/>
        </w:tc>
        <w:tc>
          <w:tcPr>
            <w:tcW w:w="1530" w:type="dxa"/>
          </w:tcPr>
          <w:p w:rsidR="00EA40A3" w:rsidRDefault="00EA40A3"/>
        </w:tc>
      </w:tr>
      <w:tr w:rsidR="00EA40A3">
        <w:trPr>
          <w:trHeight w:val="260"/>
        </w:trPr>
        <w:tc>
          <w:tcPr>
            <w:tcW w:w="4636" w:type="dxa"/>
            <w:gridSpan w:val="2"/>
          </w:tcPr>
          <w:p w:rsidR="00EA40A3" w:rsidRDefault="00E86C16">
            <w:pPr>
              <w:spacing w:before="52" w:line="219" w:lineRule="auto"/>
              <w:ind w:left="179"/>
              <w:rPr>
                <w:rFonts w:ascii="宋体" w:eastAsia="宋体" w:hAnsi="宋体" w:cs="宋体"/>
                <w:sz w:val="17"/>
                <w:szCs w:val="17"/>
              </w:rPr>
            </w:pPr>
            <w:r>
              <w:rPr>
                <w:rFonts w:ascii="宋体" w:eastAsia="宋体" w:hAnsi="宋体" w:cs="宋体"/>
                <w:spacing w:val="5"/>
                <w:sz w:val="17"/>
                <w:szCs w:val="17"/>
              </w:rPr>
              <w:t>女)、短跑(男)、篮球、排球、</w:t>
            </w:r>
          </w:p>
        </w:tc>
        <w:tc>
          <w:tcPr>
            <w:tcW w:w="1224" w:type="dxa"/>
          </w:tcPr>
          <w:p w:rsidR="00EA40A3" w:rsidRDefault="00EA40A3"/>
        </w:tc>
        <w:tc>
          <w:tcPr>
            <w:tcW w:w="1530" w:type="dxa"/>
          </w:tcPr>
          <w:p w:rsidR="00EA40A3" w:rsidRDefault="00EA40A3"/>
        </w:tc>
      </w:tr>
      <w:tr w:rsidR="00EA40A3">
        <w:trPr>
          <w:trHeight w:val="260"/>
        </w:trPr>
        <w:tc>
          <w:tcPr>
            <w:tcW w:w="4636" w:type="dxa"/>
            <w:gridSpan w:val="2"/>
          </w:tcPr>
          <w:p w:rsidR="00EA40A3" w:rsidRDefault="00E86C16">
            <w:pPr>
              <w:spacing w:before="52" w:line="220" w:lineRule="auto"/>
              <w:ind w:left="179"/>
              <w:rPr>
                <w:rFonts w:ascii="宋体" w:eastAsia="宋体" w:hAnsi="宋体" w:cs="宋体"/>
                <w:sz w:val="17"/>
                <w:szCs w:val="17"/>
              </w:rPr>
            </w:pPr>
            <w:r>
              <w:rPr>
                <w:rFonts w:ascii="宋体" w:eastAsia="宋体" w:hAnsi="宋体" w:cs="宋体"/>
                <w:spacing w:val="-1"/>
                <w:sz w:val="17"/>
                <w:szCs w:val="17"/>
              </w:rPr>
              <w:t>竞走、登山、射箭(男)、射击</w:t>
            </w:r>
          </w:p>
        </w:tc>
        <w:tc>
          <w:tcPr>
            <w:tcW w:w="1224" w:type="dxa"/>
          </w:tcPr>
          <w:p w:rsidR="00EA40A3" w:rsidRDefault="00EA40A3"/>
        </w:tc>
        <w:tc>
          <w:tcPr>
            <w:tcW w:w="1530" w:type="dxa"/>
          </w:tcPr>
          <w:p w:rsidR="00EA40A3" w:rsidRDefault="00EA40A3"/>
        </w:tc>
      </w:tr>
      <w:tr w:rsidR="00EA40A3">
        <w:trPr>
          <w:trHeight w:val="254"/>
        </w:trPr>
        <w:tc>
          <w:tcPr>
            <w:tcW w:w="4636" w:type="dxa"/>
            <w:gridSpan w:val="2"/>
          </w:tcPr>
          <w:p w:rsidR="00EA40A3" w:rsidRDefault="00E86C16">
            <w:pPr>
              <w:spacing w:before="52" w:line="219" w:lineRule="auto"/>
              <w:ind w:left="179"/>
              <w:rPr>
                <w:rFonts w:ascii="宋体" w:eastAsia="宋体" w:hAnsi="宋体" w:cs="宋体"/>
                <w:sz w:val="17"/>
                <w:szCs w:val="17"/>
              </w:rPr>
            </w:pPr>
            <w:r>
              <w:rPr>
                <w:rFonts w:ascii="宋体" w:eastAsia="宋体" w:hAnsi="宋体" w:cs="宋体"/>
                <w:sz w:val="17"/>
                <w:szCs w:val="17"/>
              </w:rPr>
              <w:t>(男)、足球(男、女)、冰球、水</w:t>
            </w:r>
          </w:p>
        </w:tc>
        <w:tc>
          <w:tcPr>
            <w:tcW w:w="1224" w:type="dxa"/>
          </w:tcPr>
          <w:p w:rsidR="00EA40A3" w:rsidRDefault="00EA40A3"/>
        </w:tc>
        <w:tc>
          <w:tcPr>
            <w:tcW w:w="1530" w:type="dxa"/>
          </w:tcPr>
          <w:p w:rsidR="00EA40A3" w:rsidRDefault="00EA40A3"/>
        </w:tc>
      </w:tr>
      <w:tr w:rsidR="00EA40A3">
        <w:trPr>
          <w:trHeight w:val="759"/>
        </w:trPr>
        <w:tc>
          <w:tcPr>
            <w:tcW w:w="4636" w:type="dxa"/>
            <w:gridSpan w:val="2"/>
          </w:tcPr>
          <w:p w:rsidR="00EA40A3" w:rsidRDefault="00E86C16">
            <w:pPr>
              <w:spacing w:before="47" w:line="251" w:lineRule="auto"/>
              <w:ind w:left="179" w:right="212"/>
              <w:rPr>
                <w:rFonts w:ascii="宋体" w:eastAsia="宋体" w:hAnsi="宋体" w:cs="宋体"/>
                <w:sz w:val="17"/>
                <w:szCs w:val="17"/>
              </w:rPr>
            </w:pPr>
            <w:r>
              <w:rPr>
                <w:rFonts w:ascii="宋体" w:eastAsia="宋体" w:hAnsi="宋体" w:cs="宋体"/>
                <w:sz w:val="17"/>
                <w:szCs w:val="17"/>
              </w:rPr>
              <w:t>球、棒球、曲棍球、滑冰、高山15.54～19.7437</w:t>
            </w:r>
            <w:r>
              <w:rPr>
                <w:rFonts w:ascii="宋体" w:eastAsia="宋体" w:hAnsi="宋体" w:cs="宋体"/>
                <w:spacing w:val="-1"/>
                <w:sz w:val="17"/>
                <w:szCs w:val="17"/>
              </w:rPr>
              <w:t>00～4700</w:t>
            </w:r>
            <w:r>
              <w:rPr>
                <w:rFonts w:ascii="宋体" w:eastAsia="宋体" w:hAnsi="宋体" w:cs="宋体"/>
                <w:sz w:val="17"/>
                <w:szCs w:val="17"/>
              </w:rPr>
              <w:t xml:space="preserve"> </w:t>
            </w:r>
            <w:r>
              <w:rPr>
                <w:rFonts w:ascii="宋体" w:eastAsia="宋体" w:hAnsi="宋体" w:cs="宋体"/>
                <w:spacing w:val="-1"/>
                <w:sz w:val="17"/>
                <w:szCs w:val="17"/>
              </w:rPr>
              <w:t>滑雪、赛艇、皮划艇、自行车</w:t>
            </w:r>
          </w:p>
          <w:p w:rsidR="00EA40A3" w:rsidRDefault="00E86C16">
            <w:pPr>
              <w:spacing w:before="28" w:line="219" w:lineRule="auto"/>
              <w:ind w:left="179"/>
              <w:rPr>
                <w:rFonts w:ascii="宋体" w:eastAsia="宋体" w:hAnsi="宋体" w:cs="宋体"/>
                <w:sz w:val="17"/>
                <w:szCs w:val="17"/>
              </w:rPr>
            </w:pPr>
            <w:r>
              <w:rPr>
                <w:rFonts w:ascii="宋体" w:eastAsia="宋体" w:hAnsi="宋体" w:cs="宋体"/>
                <w:spacing w:val="2"/>
                <w:sz w:val="17"/>
                <w:szCs w:val="17"/>
              </w:rPr>
              <w:t>(场地)、摩托车、柔道、拳击、</w:t>
            </w:r>
          </w:p>
        </w:tc>
        <w:tc>
          <w:tcPr>
            <w:tcW w:w="1224" w:type="dxa"/>
          </w:tcPr>
          <w:p w:rsidR="00EA40A3" w:rsidRDefault="00E86C16">
            <w:pPr>
              <w:spacing w:before="72" w:line="235" w:lineRule="auto"/>
              <w:ind w:left="204"/>
              <w:rPr>
                <w:rFonts w:ascii="宋体" w:eastAsia="宋体" w:hAnsi="宋体" w:cs="宋体"/>
                <w:sz w:val="17"/>
                <w:szCs w:val="17"/>
              </w:rPr>
            </w:pPr>
            <w:r>
              <w:rPr>
                <w:rFonts w:ascii="宋体" w:eastAsia="宋体" w:hAnsi="宋体" w:cs="宋体"/>
                <w:spacing w:val="-2"/>
                <w:sz w:val="17"/>
                <w:szCs w:val="17"/>
              </w:rPr>
              <w:t>251±21</w:t>
            </w:r>
          </w:p>
        </w:tc>
        <w:tc>
          <w:tcPr>
            <w:tcW w:w="1530" w:type="dxa"/>
          </w:tcPr>
          <w:p w:rsidR="00EA40A3" w:rsidRDefault="00E86C16">
            <w:pPr>
              <w:spacing w:before="72" w:line="235" w:lineRule="auto"/>
              <w:ind w:left="489"/>
              <w:rPr>
                <w:rFonts w:ascii="宋体" w:eastAsia="宋体" w:hAnsi="宋体" w:cs="宋体"/>
                <w:sz w:val="17"/>
                <w:szCs w:val="17"/>
              </w:rPr>
            </w:pPr>
            <w:r>
              <w:rPr>
                <w:rFonts w:ascii="宋体" w:eastAsia="宋体" w:hAnsi="宋体" w:cs="宋体"/>
                <w:spacing w:val="-2"/>
                <w:sz w:val="17"/>
                <w:szCs w:val="17"/>
              </w:rPr>
              <w:t>60±5</w:t>
            </w:r>
          </w:p>
        </w:tc>
      </w:tr>
      <w:tr w:rsidR="00EA40A3">
        <w:trPr>
          <w:trHeight w:val="260"/>
        </w:trPr>
        <w:tc>
          <w:tcPr>
            <w:tcW w:w="4636" w:type="dxa"/>
            <w:gridSpan w:val="2"/>
          </w:tcPr>
          <w:p w:rsidR="00EA40A3" w:rsidRDefault="00E86C16">
            <w:pPr>
              <w:spacing w:before="68" w:line="208" w:lineRule="auto"/>
              <w:ind w:left="160"/>
              <w:rPr>
                <w:rFonts w:ascii="宋体" w:eastAsia="宋体" w:hAnsi="宋体" w:cs="宋体"/>
                <w:sz w:val="17"/>
                <w:szCs w:val="17"/>
              </w:rPr>
            </w:pPr>
            <w:r>
              <w:rPr>
                <w:rFonts w:ascii="宋体" w:eastAsia="宋体" w:hAnsi="宋体" w:cs="宋体"/>
                <w:spacing w:val="13"/>
                <w:sz w:val="17"/>
                <w:szCs w:val="17"/>
              </w:rPr>
              <w:t>投掷(女)、游泳(短距离，男</w:t>
            </w:r>
          </w:p>
        </w:tc>
        <w:tc>
          <w:tcPr>
            <w:tcW w:w="1224" w:type="dxa"/>
          </w:tcPr>
          <w:p w:rsidR="00EA40A3" w:rsidRDefault="00EA40A3"/>
        </w:tc>
        <w:tc>
          <w:tcPr>
            <w:tcW w:w="1530" w:type="dxa"/>
          </w:tcPr>
          <w:p w:rsidR="00EA40A3" w:rsidRDefault="00EA40A3"/>
        </w:tc>
      </w:tr>
      <w:tr w:rsidR="00EA40A3">
        <w:trPr>
          <w:trHeight w:val="284"/>
        </w:trPr>
        <w:tc>
          <w:tcPr>
            <w:tcW w:w="4636" w:type="dxa"/>
            <w:gridSpan w:val="2"/>
          </w:tcPr>
          <w:p w:rsidR="00EA40A3" w:rsidRDefault="00E86C16">
            <w:pPr>
              <w:spacing w:before="39" w:line="219" w:lineRule="auto"/>
              <w:ind w:left="160"/>
              <w:rPr>
                <w:rFonts w:ascii="宋体" w:eastAsia="宋体" w:hAnsi="宋体" w:cs="宋体"/>
                <w:sz w:val="17"/>
                <w:szCs w:val="17"/>
              </w:rPr>
            </w:pPr>
            <w:r>
              <w:rPr>
                <w:rFonts w:ascii="宋体" w:eastAsia="宋体" w:hAnsi="宋体" w:cs="宋体"/>
                <w:spacing w:val="-1"/>
                <w:sz w:val="17"/>
                <w:szCs w:val="17"/>
              </w:rPr>
              <w:t>女)、沙滩排球(男)、现代五项</w:t>
            </w:r>
          </w:p>
        </w:tc>
        <w:tc>
          <w:tcPr>
            <w:tcW w:w="1224" w:type="dxa"/>
          </w:tcPr>
          <w:p w:rsidR="00EA40A3" w:rsidRDefault="00EA40A3"/>
        </w:tc>
        <w:tc>
          <w:tcPr>
            <w:tcW w:w="1530" w:type="dxa"/>
          </w:tcPr>
          <w:p w:rsidR="00EA40A3" w:rsidRDefault="00EA40A3"/>
        </w:tc>
      </w:tr>
      <w:tr w:rsidR="00EA40A3">
        <w:trPr>
          <w:trHeight w:val="298"/>
        </w:trPr>
        <w:tc>
          <w:tcPr>
            <w:tcW w:w="4636" w:type="dxa"/>
            <w:gridSpan w:val="2"/>
          </w:tcPr>
          <w:p w:rsidR="00EA40A3" w:rsidRDefault="00E86C16">
            <w:pPr>
              <w:spacing w:before="94" w:line="219" w:lineRule="auto"/>
              <w:ind w:left="160"/>
              <w:rPr>
                <w:rFonts w:ascii="宋体" w:eastAsia="宋体" w:hAnsi="宋体" w:cs="宋体"/>
                <w:sz w:val="17"/>
                <w:szCs w:val="17"/>
              </w:rPr>
            </w:pPr>
            <w:r>
              <w:rPr>
                <w:rFonts w:ascii="宋体" w:eastAsia="宋体" w:hAnsi="宋体" w:cs="宋体"/>
                <w:spacing w:val="6"/>
                <w:sz w:val="17"/>
                <w:szCs w:val="17"/>
              </w:rPr>
              <w:t>游泳(长距离，男、女)、举重</w:t>
            </w:r>
          </w:p>
        </w:tc>
        <w:tc>
          <w:tcPr>
            <w:tcW w:w="1224" w:type="dxa"/>
          </w:tcPr>
          <w:p w:rsidR="00EA40A3" w:rsidRDefault="00EA40A3"/>
        </w:tc>
        <w:tc>
          <w:tcPr>
            <w:tcW w:w="1530" w:type="dxa"/>
          </w:tcPr>
          <w:p w:rsidR="00EA40A3" w:rsidRDefault="00EA40A3"/>
        </w:tc>
      </w:tr>
      <w:tr w:rsidR="00EA40A3">
        <w:trPr>
          <w:trHeight w:val="257"/>
        </w:trPr>
        <w:tc>
          <w:tcPr>
            <w:tcW w:w="4636" w:type="dxa"/>
            <w:gridSpan w:val="2"/>
          </w:tcPr>
          <w:p w:rsidR="00EA40A3" w:rsidRDefault="00E86C16">
            <w:pPr>
              <w:spacing w:before="51" w:line="214" w:lineRule="auto"/>
              <w:ind w:left="160"/>
              <w:rPr>
                <w:rFonts w:ascii="宋体" w:eastAsia="宋体" w:hAnsi="宋体" w:cs="宋体"/>
                <w:sz w:val="17"/>
                <w:szCs w:val="17"/>
              </w:rPr>
            </w:pPr>
            <w:r>
              <w:rPr>
                <w:rFonts w:ascii="宋体" w:eastAsia="宋体" w:hAnsi="宋体" w:cs="宋体"/>
                <w:spacing w:val="5"/>
                <w:sz w:val="17"/>
                <w:szCs w:val="17"/>
              </w:rPr>
              <w:t>(&gt;75</w:t>
            </w:r>
            <w:r>
              <w:rPr>
                <w:rFonts w:ascii="宋体" w:eastAsia="宋体" w:hAnsi="宋体" w:cs="宋体"/>
                <w:sz w:val="17"/>
                <w:szCs w:val="17"/>
              </w:rPr>
              <w:t>kg</w:t>
            </w:r>
            <w:r>
              <w:rPr>
                <w:rFonts w:ascii="宋体" w:eastAsia="宋体" w:hAnsi="宋体" w:cs="宋体"/>
                <w:spacing w:val="5"/>
                <w:sz w:val="17"/>
                <w:szCs w:val="17"/>
              </w:rPr>
              <w:t>)、投掷(男)、马拉松、</w:t>
            </w:r>
          </w:p>
        </w:tc>
        <w:tc>
          <w:tcPr>
            <w:tcW w:w="1224" w:type="dxa"/>
          </w:tcPr>
          <w:p w:rsidR="00EA40A3" w:rsidRDefault="00EA40A3"/>
        </w:tc>
        <w:tc>
          <w:tcPr>
            <w:tcW w:w="1530" w:type="dxa"/>
          </w:tcPr>
          <w:p w:rsidR="00EA40A3" w:rsidRDefault="00EA40A3"/>
        </w:tc>
      </w:tr>
      <w:tr w:rsidR="00EA40A3">
        <w:trPr>
          <w:trHeight w:val="798"/>
        </w:trPr>
        <w:tc>
          <w:tcPr>
            <w:tcW w:w="4636" w:type="dxa"/>
            <w:gridSpan w:val="2"/>
            <w:tcBorders>
              <w:bottom w:val="single" w:sz="4" w:space="0" w:color="000000"/>
            </w:tcBorders>
          </w:tcPr>
          <w:p w:rsidR="00EA40A3" w:rsidRDefault="00E86C16">
            <w:pPr>
              <w:spacing w:before="49" w:line="227" w:lineRule="auto"/>
              <w:ind w:left="150"/>
              <w:rPr>
                <w:rFonts w:ascii="宋体" w:eastAsia="宋体" w:hAnsi="宋体" w:cs="宋体"/>
                <w:sz w:val="17"/>
                <w:szCs w:val="17"/>
              </w:rPr>
            </w:pPr>
            <w:r>
              <w:rPr>
                <w:rFonts w:ascii="宋体" w:eastAsia="宋体" w:hAnsi="宋体" w:cs="宋体"/>
                <w:spacing w:val="-2"/>
                <w:sz w:val="17"/>
                <w:szCs w:val="17"/>
              </w:rPr>
              <w:t>摔跤、公路自行车、橄榄球、越</w:t>
            </w:r>
            <w:r>
              <w:rPr>
                <w:rFonts w:ascii="宋体" w:eastAsia="宋体" w:hAnsi="宋体" w:cs="宋体"/>
                <w:spacing w:val="13"/>
                <w:sz w:val="17"/>
                <w:szCs w:val="17"/>
              </w:rPr>
              <w:t xml:space="preserve">  </w:t>
            </w:r>
            <w:r>
              <w:rPr>
                <w:rFonts w:ascii="宋体" w:eastAsia="宋体" w:hAnsi="宋体" w:cs="宋体"/>
                <w:spacing w:val="-2"/>
                <w:sz w:val="17"/>
                <w:szCs w:val="17"/>
              </w:rPr>
              <w:t>≥17.64</w:t>
            </w:r>
            <w:r>
              <w:rPr>
                <w:rFonts w:ascii="宋体" w:eastAsia="宋体" w:hAnsi="宋体" w:cs="宋体"/>
                <w:spacing w:val="4"/>
                <w:sz w:val="17"/>
                <w:szCs w:val="17"/>
              </w:rPr>
              <w:t xml:space="preserve">     </w:t>
            </w:r>
            <w:r>
              <w:rPr>
                <w:rFonts w:ascii="宋体" w:eastAsia="宋体" w:hAnsi="宋体" w:cs="宋体"/>
                <w:spacing w:val="-2"/>
                <w:sz w:val="17"/>
                <w:szCs w:val="17"/>
              </w:rPr>
              <w:t>≥4700</w:t>
            </w:r>
          </w:p>
          <w:p w:rsidR="00EA40A3" w:rsidRDefault="00E86C16">
            <w:pPr>
              <w:spacing w:before="52" w:line="260" w:lineRule="exact"/>
              <w:ind w:left="140"/>
              <w:rPr>
                <w:rFonts w:ascii="宋体" w:eastAsia="宋体" w:hAnsi="宋体" w:cs="宋体"/>
                <w:sz w:val="17"/>
                <w:szCs w:val="17"/>
              </w:rPr>
            </w:pPr>
            <w:r>
              <w:rPr>
                <w:rFonts w:ascii="宋体" w:eastAsia="宋体" w:hAnsi="宋体" w:cs="宋体"/>
                <w:spacing w:val="8"/>
                <w:position w:val="6"/>
                <w:sz w:val="17"/>
                <w:szCs w:val="17"/>
              </w:rPr>
              <w:t>野滑雪、沙滩排球(男)、铁人</w:t>
            </w:r>
          </w:p>
          <w:p w:rsidR="00EA40A3" w:rsidRDefault="00E86C16">
            <w:pPr>
              <w:spacing w:line="220" w:lineRule="auto"/>
              <w:ind w:left="160"/>
              <w:rPr>
                <w:rFonts w:ascii="宋体" w:eastAsia="宋体" w:hAnsi="宋体" w:cs="宋体"/>
                <w:sz w:val="17"/>
                <w:szCs w:val="17"/>
              </w:rPr>
            </w:pPr>
            <w:r>
              <w:rPr>
                <w:rFonts w:ascii="宋体" w:eastAsia="宋体" w:hAnsi="宋体" w:cs="宋体"/>
                <w:spacing w:val="-2"/>
                <w:sz w:val="17"/>
                <w:szCs w:val="17"/>
              </w:rPr>
              <w:t>三项</w:t>
            </w:r>
          </w:p>
        </w:tc>
        <w:tc>
          <w:tcPr>
            <w:tcW w:w="1224" w:type="dxa"/>
            <w:tcBorders>
              <w:bottom w:val="single" w:sz="4" w:space="0" w:color="000000"/>
            </w:tcBorders>
          </w:tcPr>
          <w:p w:rsidR="00EA40A3" w:rsidRDefault="00E86C16">
            <w:pPr>
              <w:spacing w:before="83" w:line="183" w:lineRule="auto"/>
              <w:ind w:left="204"/>
              <w:rPr>
                <w:rFonts w:ascii="宋体" w:eastAsia="宋体" w:hAnsi="宋体" w:cs="宋体"/>
                <w:sz w:val="17"/>
                <w:szCs w:val="17"/>
              </w:rPr>
            </w:pPr>
            <w:r>
              <w:rPr>
                <w:rFonts w:ascii="宋体" w:eastAsia="宋体" w:hAnsi="宋体" w:cs="宋体"/>
                <w:spacing w:val="-2"/>
                <w:sz w:val="17"/>
                <w:szCs w:val="17"/>
              </w:rPr>
              <w:t>272</w:t>
            </w:r>
          </w:p>
        </w:tc>
        <w:tc>
          <w:tcPr>
            <w:tcW w:w="1530" w:type="dxa"/>
            <w:tcBorders>
              <w:bottom w:val="single" w:sz="4" w:space="0" w:color="000000"/>
            </w:tcBorders>
          </w:tcPr>
          <w:p w:rsidR="00EA40A3" w:rsidRDefault="00E86C16">
            <w:pPr>
              <w:spacing w:before="56" w:line="237" w:lineRule="auto"/>
              <w:ind w:left="489"/>
              <w:rPr>
                <w:rFonts w:ascii="宋体" w:eastAsia="宋体" w:hAnsi="宋体" w:cs="宋体"/>
                <w:sz w:val="17"/>
                <w:szCs w:val="17"/>
              </w:rPr>
            </w:pPr>
            <w:r>
              <w:rPr>
                <w:rFonts w:ascii="宋体" w:eastAsia="宋体" w:hAnsi="宋体" w:cs="宋体"/>
                <w:spacing w:val="-6"/>
                <w:sz w:val="17"/>
                <w:szCs w:val="17"/>
              </w:rPr>
              <w:t>≥65</w:t>
            </w:r>
          </w:p>
        </w:tc>
      </w:tr>
    </w:tbl>
    <w:p w:rsidR="00EA40A3" w:rsidRDefault="00E86C16">
      <w:pPr>
        <w:spacing w:before="100" w:line="219" w:lineRule="auto"/>
        <w:ind w:left="340"/>
        <w:rPr>
          <w:rFonts w:ascii="宋体" w:eastAsia="宋体" w:hAnsi="宋体" w:cs="宋体"/>
          <w:sz w:val="17"/>
          <w:szCs w:val="17"/>
        </w:rPr>
      </w:pPr>
      <w:r>
        <w:rPr>
          <w:rFonts w:ascii="宋体" w:eastAsia="宋体" w:hAnsi="宋体" w:cs="宋体"/>
          <w:spacing w:val="-1"/>
          <w:sz w:val="17"/>
          <w:szCs w:val="17"/>
        </w:rPr>
        <w:t>资料来源：葛可佑.2004.中国营养科学全书.北京：人民卫生出版社</w:t>
      </w:r>
    </w:p>
    <w:p w:rsidR="00EA40A3" w:rsidRDefault="00E86C16">
      <w:pPr>
        <w:spacing w:before="298" w:line="212" w:lineRule="auto"/>
        <w:ind w:left="2202"/>
        <w:rPr>
          <w:rFonts w:ascii="Times New Roman" w:eastAsia="Times New Roman" w:hAnsi="Times New Roman" w:cs="Times New Roman"/>
          <w:sz w:val="19"/>
          <w:szCs w:val="19"/>
        </w:rPr>
      </w:pPr>
      <w:r>
        <w:rPr>
          <w:rFonts w:ascii="黑体" w:eastAsia="黑体" w:hAnsi="黑体" w:cs="黑体"/>
          <w:b/>
          <w:bCs/>
          <w:spacing w:val="-9"/>
          <w:sz w:val="19"/>
          <w:szCs w:val="19"/>
        </w:rPr>
        <w:t>表10-15</w:t>
      </w:r>
      <w:r>
        <w:rPr>
          <w:rFonts w:ascii="黑体" w:eastAsia="黑体" w:hAnsi="黑体" w:cs="黑体"/>
          <w:spacing w:val="85"/>
          <w:sz w:val="19"/>
          <w:szCs w:val="19"/>
        </w:rPr>
        <w:t xml:space="preserve"> </w:t>
      </w:r>
      <w:r>
        <w:rPr>
          <w:rFonts w:ascii="黑体" w:eastAsia="黑体" w:hAnsi="黑体" w:cs="黑体"/>
          <w:b/>
          <w:bCs/>
          <w:spacing w:val="-9"/>
          <w:sz w:val="19"/>
          <w:szCs w:val="19"/>
        </w:rPr>
        <w:t>不同运动项目的能量消耗</w:t>
      </w:r>
      <w:r>
        <w:rPr>
          <w:rFonts w:ascii="黑体" w:eastAsia="黑体" w:hAnsi="黑体" w:cs="黑体"/>
          <w:spacing w:val="-22"/>
          <w:sz w:val="19"/>
          <w:szCs w:val="19"/>
        </w:rPr>
        <w:t xml:space="preserve"> </w:t>
      </w:r>
      <w:r>
        <w:rPr>
          <w:rFonts w:ascii="黑体" w:eastAsia="黑体" w:hAnsi="黑体" w:cs="黑体"/>
          <w:spacing w:val="-9"/>
          <w:sz w:val="19"/>
          <w:szCs w:val="19"/>
        </w:rPr>
        <w:t>[单位：</w:t>
      </w:r>
      <w:r>
        <w:rPr>
          <w:rFonts w:ascii="黑体" w:eastAsia="黑体" w:hAnsi="黑体" w:cs="黑体"/>
          <w:spacing w:val="-33"/>
          <w:sz w:val="19"/>
          <w:szCs w:val="19"/>
        </w:rPr>
        <w:t xml:space="preserve"> </w:t>
      </w:r>
      <w:r>
        <w:rPr>
          <w:rFonts w:ascii="Times New Roman" w:eastAsia="Times New Roman" w:hAnsi="Times New Roman" w:cs="Times New Roman"/>
          <w:spacing w:val="-9"/>
          <w:sz w:val="19"/>
          <w:szCs w:val="19"/>
        </w:rPr>
        <w:t>kJ/(m²</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pacing w:val="-9"/>
          <w:sz w:val="19"/>
          <w:szCs w:val="19"/>
        </w:rPr>
        <w:t>·min)]</w:t>
      </w:r>
    </w:p>
    <w:p w:rsidR="00EA40A3" w:rsidRDefault="00EA40A3">
      <w:pPr>
        <w:spacing w:line="91" w:lineRule="exact"/>
      </w:pPr>
    </w:p>
    <w:tbl>
      <w:tblPr>
        <w:tblStyle w:val="TableNormal"/>
        <w:tblW w:w="726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021"/>
        <w:gridCol w:w="1609"/>
        <w:gridCol w:w="1965"/>
        <w:gridCol w:w="1665"/>
      </w:tblGrid>
      <w:tr w:rsidR="00EA40A3">
        <w:trPr>
          <w:trHeight w:val="304"/>
        </w:trPr>
        <w:tc>
          <w:tcPr>
            <w:tcW w:w="2021" w:type="dxa"/>
            <w:tcBorders>
              <w:top w:val="single" w:sz="4" w:space="0" w:color="000000"/>
              <w:bottom w:val="single" w:sz="4" w:space="0" w:color="000000"/>
            </w:tcBorders>
          </w:tcPr>
          <w:p w:rsidR="00EA40A3" w:rsidRDefault="00E86C16">
            <w:pPr>
              <w:spacing w:before="72" w:line="220" w:lineRule="auto"/>
              <w:ind w:left="869"/>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1609" w:type="dxa"/>
            <w:tcBorders>
              <w:top w:val="single" w:sz="4" w:space="0" w:color="000000"/>
              <w:bottom w:val="single" w:sz="4" w:space="0" w:color="000000"/>
              <w:right w:val="single" w:sz="4" w:space="0" w:color="000000"/>
            </w:tcBorders>
          </w:tcPr>
          <w:p w:rsidR="00EA40A3" w:rsidRDefault="00E86C16">
            <w:pPr>
              <w:spacing w:before="81" w:line="219" w:lineRule="auto"/>
              <w:ind w:left="658"/>
              <w:rPr>
                <w:rFonts w:ascii="宋体" w:eastAsia="宋体" w:hAnsi="宋体" w:cs="宋体"/>
                <w:sz w:val="16"/>
                <w:szCs w:val="16"/>
              </w:rPr>
            </w:pPr>
            <w:r>
              <w:rPr>
                <w:rFonts w:ascii="宋体" w:eastAsia="宋体" w:hAnsi="宋体" w:cs="宋体"/>
                <w:spacing w:val="-3"/>
                <w:sz w:val="16"/>
                <w:szCs w:val="16"/>
              </w:rPr>
              <w:t>能量消耗</w:t>
            </w:r>
          </w:p>
        </w:tc>
        <w:tc>
          <w:tcPr>
            <w:tcW w:w="1965" w:type="dxa"/>
            <w:tcBorders>
              <w:top w:val="single" w:sz="4" w:space="0" w:color="000000"/>
              <w:left w:val="single" w:sz="4" w:space="0" w:color="000000"/>
              <w:bottom w:val="single" w:sz="4" w:space="0" w:color="000000"/>
            </w:tcBorders>
          </w:tcPr>
          <w:p w:rsidR="00EA40A3" w:rsidRDefault="00E86C16">
            <w:pPr>
              <w:spacing w:before="72" w:line="220" w:lineRule="auto"/>
              <w:ind w:left="894"/>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1665" w:type="dxa"/>
            <w:tcBorders>
              <w:top w:val="single" w:sz="4" w:space="0" w:color="000000"/>
              <w:bottom w:val="single" w:sz="4" w:space="0" w:color="000000"/>
            </w:tcBorders>
          </w:tcPr>
          <w:p w:rsidR="00EA40A3" w:rsidRDefault="00E86C16">
            <w:pPr>
              <w:spacing w:before="91" w:line="219" w:lineRule="auto"/>
              <w:ind w:left="745"/>
              <w:rPr>
                <w:rFonts w:ascii="宋体" w:eastAsia="宋体" w:hAnsi="宋体" w:cs="宋体"/>
                <w:sz w:val="16"/>
                <w:szCs w:val="16"/>
              </w:rPr>
            </w:pPr>
            <w:r>
              <w:rPr>
                <w:rFonts w:ascii="宋体" w:eastAsia="宋体" w:hAnsi="宋体" w:cs="宋体"/>
                <w:spacing w:val="-3"/>
                <w:sz w:val="16"/>
                <w:szCs w:val="16"/>
              </w:rPr>
              <w:t>能量消耗</w:t>
            </w:r>
          </w:p>
        </w:tc>
      </w:tr>
      <w:tr w:rsidR="00EA40A3">
        <w:trPr>
          <w:trHeight w:val="309"/>
        </w:trPr>
        <w:tc>
          <w:tcPr>
            <w:tcW w:w="2021" w:type="dxa"/>
            <w:tcBorders>
              <w:top w:val="single" w:sz="4" w:space="0" w:color="000000"/>
            </w:tcBorders>
          </w:tcPr>
          <w:p w:rsidR="00EA40A3" w:rsidRDefault="00E86C16">
            <w:pPr>
              <w:spacing w:before="57" w:line="219" w:lineRule="auto"/>
              <w:ind w:left="100"/>
              <w:rPr>
                <w:rFonts w:ascii="宋体" w:eastAsia="宋体" w:hAnsi="宋体" w:cs="宋体"/>
                <w:sz w:val="16"/>
                <w:szCs w:val="16"/>
              </w:rPr>
            </w:pPr>
            <w:r>
              <w:rPr>
                <w:rFonts w:ascii="宋体" w:eastAsia="宋体" w:hAnsi="宋体" w:cs="宋体"/>
                <w:spacing w:val="-2"/>
                <w:sz w:val="16"/>
                <w:szCs w:val="16"/>
              </w:rPr>
              <w:t>体操</w:t>
            </w:r>
          </w:p>
        </w:tc>
        <w:tc>
          <w:tcPr>
            <w:tcW w:w="1609" w:type="dxa"/>
            <w:tcBorders>
              <w:top w:val="single" w:sz="4" w:space="0" w:color="000000"/>
              <w:right w:val="single" w:sz="4" w:space="0" w:color="000000"/>
            </w:tcBorders>
          </w:tcPr>
          <w:p w:rsidR="00EA40A3" w:rsidRDefault="00EA40A3"/>
        </w:tc>
        <w:tc>
          <w:tcPr>
            <w:tcW w:w="1965" w:type="dxa"/>
            <w:tcBorders>
              <w:top w:val="single" w:sz="4" w:space="0" w:color="000000"/>
              <w:left w:val="single" w:sz="4" w:space="0" w:color="000000"/>
            </w:tcBorders>
          </w:tcPr>
          <w:p w:rsidR="00EA40A3" w:rsidRDefault="00E86C16">
            <w:pPr>
              <w:spacing w:before="78" w:line="221" w:lineRule="auto"/>
              <w:ind w:left="125"/>
              <w:rPr>
                <w:rFonts w:ascii="宋体" w:eastAsia="宋体" w:hAnsi="宋体" w:cs="宋体"/>
                <w:sz w:val="16"/>
                <w:szCs w:val="16"/>
              </w:rPr>
            </w:pPr>
            <w:r>
              <w:rPr>
                <w:rFonts w:ascii="宋体" w:eastAsia="宋体" w:hAnsi="宋体" w:cs="宋体"/>
                <w:spacing w:val="-2"/>
                <w:sz w:val="16"/>
                <w:szCs w:val="16"/>
              </w:rPr>
              <w:t>篮球</w:t>
            </w:r>
          </w:p>
        </w:tc>
        <w:tc>
          <w:tcPr>
            <w:tcW w:w="1665" w:type="dxa"/>
            <w:tcBorders>
              <w:top w:val="single" w:sz="4" w:space="0" w:color="000000"/>
            </w:tcBorders>
          </w:tcPr>
          <w:p w:rsidR="00EA40A3" w:rsidRDefault="00EA40A3"/>
        </w:tc>
      </w:tr>
      <w:tr w:rsidR="00EA40A3">
        <w:trPr>
          <w:trHeight w:val="313"/>
        </w:trPr>
        <w:tc>
          <w:tcPr>
            <w:tcW w:w="2021" w:type="dxa"/>
          </w:tcPr>
          <w:p w:rsidR="00EA40A3" w:rsidRDefault="00E86C16">
            <w:pPr>
              <w:spacing w:before="78" w:line="219" w:lineRule="auto"/>
              <w:ind w:left="260"/>
              <w:rPr>
                <w:rFonts w:ascii="宋体" w:eastAsia="宋体" w:hAnsi="宋体" w:cs="宋体"/>
                <w:sz w:val="16"/>
                <w:szCs w:val="16"/>
              </w:rPr>
            </w:pPr>
            <w:r>
              <w:rPr>
                <w:rFonts w:ascii="宋体" w:eastAsia="宋体" w:hAnsi="宋体" w:cs="宋体"/>
                <w:spacing w:val="-2"/>
                <w:sz w:val="16"/>
                <w:szCs w:val="16"/>
              </w:rPr>
              <w:t>臀部运动</w:t>
            </w:r>
          </w:p>
        </w:tc>
        <w:tc>
          <w:tcPr>
            <w:tcW w:w="1609" w:type="dxa"/>
            <w:tcBorders>
              <w:right w:val="single" w:sz="4" w:space="0" w:color="000000"/>
            </w:tcBorders>
          </w:tcPr>
          <w:p w:rsidR="00EA40A3" w:rsidRDefault="00E86C16">
            <w:pPr>
              <w:spacing w:before="129" w:line="183" w:lineRule="auto"/>
              <w:ind w:left="768"/>
              <w:rPr>
                <w:rFonts w:ascii="宋体" w:eastAsia="宋体" w:hAnsi="宋体" w:cs="宋体"/>
                <w:sz w:val="16"/>
                <w:szCs w:val="16"/>
              </w:rPr>
            </w:pPr>
            <w:r>
              <w:rPr>
                <w:rFonts w:ascii="宋体" w:eastAsia="宋体" w:hAnsi="宋体" w:cs="宋体"/>
                <w:spacing w:val="-2"/>
                <w:sz w:val="16"/>
                <w:szCs w:val="16"/>
              </w:rPr>
              <w:t>6.540</w:t>
            </w:r>
          </w:p>
        </w:tc>
        <w:tc>
          <w:tcPr>
            <w:tcW w:w="1965" w:type="dxa"/>
            <w:tcBorders>
              <w:left w:val="single" w:sz="4" w:space="0" w:color="000000"/>
            </w:tcBorders>
          </w:tcPr>
          <w:p w:rsidR="00EA40A3" w:rsidRDefault="00E86C16">
            <w:pPr>
              <w:spacing w:before="79" w:line="221" w:lineRule="auto"/>
              <w:ind w:left="425"/>
              <w:rPr>
                <w:rFonts w:ascii="宋体" w:eastAsia="宋体" w:hAnsi="宋体" w:cs="宋体"/>
                <w:sz w:val="16"/>
                <w:szCs w:val="16"/>
              </w:rPr>
            </w:pPr>
            <w:r>
              <w:rPr>
                <w:rFonts w:ascii="宋体" w:eastAsia="宋体" w:hAnsi="宋体" w:cs="宋体"/>
                <w:spacing w:val="11"/>
                <w:sz w:val="16"/>
                <w:szCs w:val="16"/>
              </w:rPr>
              <w:t>练习</w:t>
            </w:r>
          </w:p>
        </w:tc>
        <w:tc>
          <w:tcPr>
            <w:tcW w:w="1665" w:type="dxa"/>
          </w:tcPr>
          <w:p w:rsidR="00EA40A3" w:rsidRDefault="00E86C16">
            <w:pPr>
              <w:spacing w:before="129" w:line="184" w:lineRule="auto"/>
              <w:ind w:left="824"/>
              <w:rPr>
                <w:rFonts w:ascii="宋体" w:eastAsia="宋体" w:hAnsi="宋体" w:cs="宋体"/>
                <w:sz w:val="16"/>
                <w:szCs w:val="16"/>
              </w:rPr>
            </w:pPr>
            <w:r>
              <w:rPr>
                <w:rFonts w:ascii="宋体" w:eastAsia="宋体" w:hAnsi="宋体" w:cs="宋体"/>
                <w:spacing w:val="-3"/>
                <w:sz w:val="16"/>
                <w:szCs w:val="16"/>
              </w:rPr>
              <w:t>13.862</w:t>
            </w:r>
          </w:p>
        </w:tc>
      </w:tr>
      <w:tr w:rsidR="00EA40A3">
        <w:trPr>
          <w:trHeight w:val="308"/>
        </w:trPr>
        <w:tc>
          <w:tcPr>
            <w:tcW w:w="2021" w:type="dxa"/>
          </w:tcPr>
          <w:p w:rsidR="00EA40A3" w:rsidRDefault="00E86C16">
            <w:pPr>
              <w:spacing w:before="75" w:line="219" w:lineRule="auto"/>
              <w:ind w:left="260"/>
              <w:rPr>
                <w:rFonts w:ascii="宋体" w:eastAsia="宋体" w:hAnsi="宋体" w:cs="宋体"/>
                <w:sz w:val="16"/>
                <w:szCs w:val="16"/>
              </w:rPr>
            </w:pPr>
            <w:r>
              <w:rPr>
                <w:rFonts w:ascii="宋体" w:eastAsia="宋体" w:hAnsi="宋体" w:cs="宋体"/>
                <w:spacing w:val="-2"/>
                <w:sz w:val="16"/>
                <w:szCs w:val="16"/>
              </w:rPr>
              <w:t>背部运动</w:t>
            </w:r>
          </w:p>
        </w:tc>
        <w:tc>
          <w:tcPr>
            <w:tcW w:w="1609" w:type="dxa"/>
            <w:tcBorders>
              <w:right w:val="single" w:sz="4" w:space="0" w:color="000000"/>
            </w:tcBorders>
          </w:tcPr>
          <w:p w:rsidR="00EA40A3" w:rsidRDefault="00E86C16">
            <w:pPr>
              <w:spacing w:before="136" w:line="183" w:lineRule="auto"/>
              <w:ind w:left="768"/>
              <w:rPr>
                <w:rFonts w:ascii="宋体" w:eastAsia="宋体" w:hAnsi="宋体" w:cs="宋体"/>
                <w:sz w:val="16"/>
                <w:szCs w:val="16"/>
              </w:rPr>
            </w:pPr>
            <w:r>
              <w:rPr>
                <w:rFonts w:ascii="宋体" w:eastAsia="宋体" w:hAnsi="宋体" w:cs="宋体"/>
                <w:spacing w:val="-2"/>
                <w:sz w:val="16"/>
                <w:szCs w:val="16"/>
              </w:rPr>
              <w:t>8.970</w:t>
            </w:r>
          </w:p>
        </w:tc>
        <w:tc>
          <w:tcPr>
            <w:tcW w:w="1965" w:type="dxa"/>
            <w:tcBorders>
              <w:left w:val="single" w:sz="4" w:space="0" w:color="000000"/>
            </w:tcBorders>
          </w:tcPr>
          <w:p w:rsidR="00EA40A3" w:rsidRDefault="00E86C16">
            <w:pPr>
              <w:spacing w:before="75" w:line="219" w:lineRule="auto"/>
              <w:ind w:left="425"/>
              <w:rPr>
                <w:rFonts w:ascii="宋体" w:eastAsia="宋体" w:hAnsi="宋体" w:cs="宋体"/>
                <w:sz w:val="16"/>
                <w:szCs w:val="16"/>
              </w:rPr>
            </w:pPr>
            <w:r>
              <w:rPr>
                <w:rFonts w:ascii="宋体" w:eastAsia="宋体" w:hAnsi="宋体" w:cs="宋体"/>
                <w:spacing w:val="3"/>
                <w:sz w:val="16"/>
                <w:szCs w:val="16"/>
              </w:rPr>
              <w:t>比赛</w:t>
            </w:r>
          </w:p>
        </w:tc>
        <w:tc>
          <w:tcPr>
            <w:tcW w:w="1665" w:type="dxa"/>
          </w:tcPr>
          <w:p w:rsidR="00EA40A3" w:rsidRDefault="00E86C16">
            <w:pPr>
              <w:spacing w:before="135" w:line="184" w:lineRule="auto"/>
              <w:ind w:left="824"/>
              <w:rPr>
                <w:rFonts w:ascii="宋体" w:eastAsia="宋体" w:hAnsi="宋体" w:cs="宋体"/>
                <w:sz w:val="16"/>
                <w:szCs w:val="16"/>
              </w:rPr>
            </w:pPr>
            <w:r>
              <w:rPr>
                <w:rFonts w:ascii="宋体" w:eastAsia="宋体" w:hAnsi="宋体" w:cs="宋体"/>
                <w:spacing w:val="-2"/>
                <w:sz w:val="16"/>
                <w:szCs w:val="16"/>
              </w:rPr>
              <w:t>24.188</w:t>
            </w:r>
          </w:p>
        </w:tc>
      </w:tr>
      <w:tr w:rsidR="00EA40A3">
        <w:trPr>
          <w:trHeight w:val="309"/>
        </w:trPr>
        <w:tc>
          <w:tcPr>
            <w:tcW w:w="2021" w:type="dxa"/>
          </w:tcPr>
          <w:p w:rsidR="00EA40A3" w:rsidRDefault="00E86C16">
            <w:pPr>
              <w:spacing w:before="77" w:line="219" w:lineRule="auto"/>
              <w:ind w:left="260"/>
              <w:rPr>
                <w:rFonts w:ascii="宋体" w:eastAsia="宋体" w:hAnsi="宋体" w:cs="宋体"/>
                <w:sz w:val="16"/>
                <w:szCs w:val="16"/>
              </w:rPr>
            </w:pPr>
            <w:r>
              <w:rPr>
                <w:rFonts w:ascii="宋体" w:eastAsia="宋体" w:hAnsi="宋体" w:cs="宋体"/>
                <w:spacing w:val="-2"/>
                <w:sz w:val="16"/>
                <w:szCs w:val="16"/>
              </w:rPr>
              <w:t>腿部运动</w:t>
            </w:r>
          </w:p>
        </w:tc>
        <w:tc>
          <w:tcPr>
            <w:tcW w:w="1609" w:type="dxa"/>
            <w:tcBorders>
              <w:right w:val="single" w:sz="4" w:space="0" w:color="000000"/>
            </w:tcBorders>
          </w:tcPr>
          <w:p w:rsidR="00EA40A3" w:rsidRDefault="00E86C16">
            <w:pPr>
              <w:spacing w:before="128" w:line="183" w:lineRule="auto"/>
              <w:ind w:left="759"/>
              <w:rPr>
                <w:rFonts w:ascii="宋体" w:eastAsia="宋体" w:hAnsi="宋体" w:cs="宋体"/>
                <w:sz w:val="16"/>
                <w:szCs w:val="16"/>
              </w:rPr>
            </w:pPr>
            <w:r>
              <w:rPr>
                <w:rFonts w:ascii="宋体" w:eastAsia="宋体" w:hAnsi="宋体" w:cs="宋体"/>
                <w:spacing w:val="-2"/>
                <w:sz w:val="16"/>
                <w:szCs w:val="16"/>
              </w:rPr>
              <w:t>7.975</w:t>
            </w:r>
          </w:p>
        </w:tc>
        <w:tc>
          <w:tcPr>
            <w:tcW w:w="1965" w:type="dxa"/>
            <w:tcBorders>
              <w:left w:val="single" w:sz="4" w:space="0" w:color="000000"/>
            </w:tcBorders>
          </w:tcPr>
          <w:p w:rsidR="00EA40A3" w:rsidRDefault="00E86C16">
            <w:pPr>
              <w:spacing w:before="67" w:line="219" w:lineRule="auto"/>
              <w:ind w:left="125"/>
              <w:rPr>
                <w:rFonts w:ascii="宋体" w:eastAsia="宋体" w:hAnsi="宋体" w:cs="宋体"/>
                <w:sz w:val="16"/>
                <w:szCs w:val="16"/>
              </w:rPr>
            </w:pPr>
            <w:r>
              <w:rPr>
                <w:rFonts w:ascii="宋体" w:eastAsia="宋体" w:hAnsi="宋体" w:cs="宋体"/>
                <w:spacing w:val="-2"/>
                <w:sz w:val="16"/>
                <w:szCs w:val="16"/>
              </w:rPr>
              <w:t>棒球</w:t>
            </w:r>
          </w:p>
        </w:tc>
        <w:tc>
          <w:tcPr>
            <w:tcW w:w="1665" w:type="dxa"/>
          </w:tcPr>
          <w:p w:rsidR="00EA40A3" w:rsidRDefault="00EA40A3"/>
        </w:tc>
      </w:tr>
      <w:tr w:rsidR="00EA40A3">
        <w:trPr>
          <w:trHeight w:val="314"/>
        </w:trPr>
        <w:tc>
          <w:tcPr>
            <w:tcW w:w="2021" w:type="dxa"/>
          </w:tcPr>
          <w:p w:rsidR="00EA40A3" w:rsidRDefault="00E86C16">
            <w:pPr>
              <w:spacing w:before="88" w:line="219" w:lineRule="auto"/>
              <w:ind w:left="260"/>
              <w:rPr>
                <w:rFonts w:ascii="宋体" w:eastAsia="宋体" w:hAnsi="宋体" w:cs="宋体"/>
                <w:sz w:val="16"/>
                <w:szCs w:val="16"/>
              </w:rPr>
            </w:pPr>
            <w:r>
              <w:rPr>
                <w:rFonts w:ascii="宋体" w:eastAsia="宋体" w:hAnsi="宋体" w:cs="宋体"/>
                <w:spacing w:val="-2"/>
                <w:sz w:val="16"/>
                <w:szCs w:val="16"/>
              </w:rPr>
              <w:t>腹部运动</w:t>
            </w:r>
          </w:p>
        </w:tc>
        <w:tc>
          <w:tcPr>
            <w:tcW w:w="1609" w:type="dxa"/>
            <w:tcBorders>
              <w:right w:val="single" w:sz="4" w:space="0" w:color="000000"/>
            </w:tcBorders>
          </w:tcPr>
          <w:p w:rsidR="00EA40A3" w:rsidRDefault="00E86C16">
            <w:pPr>
              <w:spacing w:before="139" w:line="183" w:lineRule="auto"/>
              <w:ind w:left="768"/>
              <w:rPr>
                <w:rFonts w:ascii="宋体" w:eastAsia="宋体" w:hAnsi="宋体" w:cs="宋体"/>
                <w:sz w:val="16"/>
                <w:szCs w:val="16"/>
              </w:rPr>
            </w:pPr>
            <w:r>
              <w:rPr>
                <w:rFonts w:ascii="宋体" w:eastAsia="宋体" w:hAnsi="宋体" w:cs="宋体"/>
                <w:spacing w:val="-2"/>
                <w:sz w:val="16"/>
                <w:szCs w:val="16"/>
              </w:rPr>
              <w:t>6.983</w:t>
            </w:r>
          </w:p>
        </w:tc>
        <w:tc>
          <w:tcPr>
            <w:tcW w:w="1965" w:type="dxa"/>
            <w:tcBorders>
              <w:left w:val="single" w:sz="4" w:space="0" w:color="000000"/>
            </w:tcBorders>
          </w:tcPr>
          <w:p w:rsidR="00EA40A3" w:rsidRDefault="00E86C16">
            <w:pPr>
              <w:spacing w:before="79" w:line="221" w:lineRule="auto"/>
              <w:ind w:left="425"/>
              <w:rPr>
                <w:rFonts w:ascii="宋体" w:eastAsia="宋体" w:hAnsi="宋体" w:cs="宋体"/>
                <w:sz w:val="16"/>
                <w:szCs w:val="16"/>
              </w:rPr>
            </w:pPr>
            <w:r>
              <w:rPr>
                <w:rFonts w:ascii="宋体" w:eastAsia="宋体" w:hAnsi="宋体" w:cs="宋体"/>
                <w:spacing w:val="-2"/>
                <w:sz w:val="16"/>
                <w:szCs w:val="16"/>
              </w:rPr>
              <w:t>接球</w:t>
            </w:r>
          </w:p>
        </w:tc>
        <w:tc>
          <w:tcPr>
            <w:tcW w:w="1665" w:type="dxa"/>
          </w:tcPr>
          <w:p w:rsidR="00EA40A3" w:rsidRDefault="00E86C16">
            <w:pPr>
              <w:spacing w:before="139" w:line="184" w:lineRule="auto"/>
              <w:ind w:left="844"/>
              <w:rPr>
                <w:rFonts w:ascii="宋体" w:eastAsia="宋体" w:hAnsi="宋体" w:cs="宋体"/>
                <w:sz w:val="16"/>
                <w:szCs w:val="16"/>
              </w:rPr>
            </w:pPr>
            <w:r>
              <w:rPr>
                <w:rFonts w:ascii="宋体" w:eastAsia="宋体" w:hAnsi="宋体" w:cs="宋体"/>
                <w:spacing w:val="-2"/>
                <w:sz w:val="16"/>
                <w:szCs w:val="16"/>
              </w:rPr>
              <w:t>8.182</w:t>
            </w:r>
          </w:p>
        </w:tc>
      </w:tr>
      <w:tr w:rsidR="00EA40A3">
        <w:trPr>
          <w:trHeight w:val="303"/>
        </w:trPr>
        <w:tc>
          <w:tcPr>
            <w:tcW w:w="2021" w:type="dxa"/>
          </w:tcPr>
          <w:p w:rsidR="00EA40A3" w:rsidRDefault="00E86C16">
            <w:pPr>
              <w:spacing w:before="75" w:line="220" w:lineRule="auto"/>
              <w:ind w:left="260"/>
              <w:rPr>
                <w:rFonts w:ascii="宋体" w:eastAsia="宋体" w:hAnsi="宋体" w:cs="宋体"/>
                <w:sz w:val="16"/>
                <w:szCs w:val="16"/>
              </w:rPr>
            </w:pPr>
            <w:r>
              <w:rPr>
                <w:rFonts w:ascii="宋体" w:eastAsia="宋体" w:hAnsi="宋体" w:cs="宋体"/>
                <w:spacing w:val="-1"/>
                <w:sz w:val="16"/>
                <w:szCs w:val="16"/>
              </w:rPr>
              <w:t>上肢、跳跃运动</w:t>
            </w:r>
          </w:p>
        </w:tc>
        <w:tc>
          <w:tcPr>
            <w:tcW w:w="1609" w:type="dxa"/>
            <w:tcBorders>
              <w:right w:val="single" w:sz="4" w:space="0" w:color="000000"/>
            </w:tcBorders>
          </w:tcPr>
          <w:p w:rsidR="00EA40A3" w:rsidRDefault="00E86C16">
            <w:pPr>
              <w:spacing w:before="125" w:line="184" w:lineRule="auto"/>
              <w:ind w:left="729"/>
              <w:rPr>
                <w:rFonts w:ascii="宋体" w:eastAsia="宋体" w:hAnsi="宋体" w:cs="宋体"/>
                <w:sz w:val="16"/>
                <w:szCs w:val="16"/>
              </w:rPr>
            </w:pPr>
            <w:r>
              <w:rPr>
                <w:rFonts w:ascii="宋体" w:eastAsia="宋体" w:hAnsi="宋体" w:cs="宋体"/>
                <w:spacing w:val="-3"/>
                <w:sz w:val="16"/>
                <w:szCs w:val="16"/>
              </w:rPr>
              <w:t>15.117</w:t>
            </w:r>
          </w:p>
        </w:tc>
        <w:tc>
          <w:tcPr>
            <w:tcW w:w="1965" w:type="dxa"/>
            <w:tcBorders>
              <w:left w:val="single" w:sz="4" w:space="0" w:color="000000"/>
            </w:tcBorders>
          </w:tcPr>
          <w:p w:rsidR="00EA40A3" w:rsidRDefault="00E86C16">
            <w:pPr>
              <w:spacing w:before="75" w:line="221" w:lineRule="auto"/>
              <w:ind w:left="425"/>
              <w:rPr>
                <w:rFonts w:ascii="宋体" w:eastAsia="宋体" w:hAnsi="宋体" w:cs="宋体"/>
                <w:sz w:val="16"/>
                <w:szCs w:val="16"/>
              </w:rPr>
            </w:pPr>
            <w:r>
              <w:rPr>
                <w:rFonts w:ascii="宋体" w:eastAsia="宋体" w:hAnsi="宋体" w:cs="宋体"/>
                <w:spacing w:val="-2"/>
                <w:sz w:val="16"/>
                <w:szCs w:val="16"/>
              </w:rPr>
              <w:t>击球</w:t>
            </w:r>
          </w:p>
        </w:tc>
        <w:tc>
          <w:tcPr>
            <w:tcW w:w="1665" w:type="dxa"/>
          </w:tcPr>
          <w:p w:rsidR="00EA40A3" w:rsidRDefault="00E86C16">
            <w:pPr>
              <w:spacing w:before="125" w:line="184" w:lineRule="auto"/>
              <w:ind w:left="824"/>
              <w:rPr>
                <w:rFonts w:ascii="宋体" w:eastAsia="宋体" w:hAnsi="宋体" w:cs="宋体"/>
                <w:sz w:val="16"/>
                <w:szCs w:val="16"/>
              </w:rPr>
            </w:pPr>
            <w:r>
              <w:rPr>
                <w:rFonts w:ascii="宋体" w:eastAsia="宋体" w:hAnsi="宋体" w:cs="宋体"/>
                <w:spacing w:val="-3"/>
                <w:sz w:val="16"/>
                <w:szCs w:val="16"/>
              </w:rPr>
              <w:t>13.573</w:t>
            </w:r>
          </w:p>
        </w:tc>
      </w:tr>
      <w:tr w:rsidR="00EA40A3">
        <w:trPr>
          <w:trHeight w:val="309"/>
        </w:trPr>
        <w:tc>
          <w:tcPr>
            <w:tcW w:w="2021" w:type="dxa"/>
          </w:tcPr>
          <w:p w:rsidR="00EA40A3" w:rsidRDefault="00E86C16">
            <w:pPr>
              <w:spacing w:before="82" w:line="220" w:lineRule="auto"/>
              <w:ind w:left="260"/>
              <w:rPr>
                <w:rFonts w:ascii="宋体" w:eastAsia="宋体" w:hAnsi="宋体" w:cs="宋体"/>
                <w:sz w:val="16"/>
                <w:szCs w:val="16"/>
              </w:rPr>
            </w:pPr>
            <w:r>
              <w:rPr>
                <w:rFonts w:ascii="宋体" w:eastAsia="宋体" w:hAnsi="宋体" w:cs="宋体"/>
                <w:spacing w:val="1"/>
                <w:sz w:val="16"/>
                <w:szCs w:val="16"/>
              </w:rPr>
              <w:t>吊环规定动作</w:t>
            </w:r>
          </w:p>
        </w:tc>
        <w:tc>
          <w:tcPr>
            <w:tcW w:w="1609" w:type="dxa"/>
            <w:tcBorders>
              <w:right w:val="single" w:sz="4" w:space="0" w:color="000000"/>
            </w:tcBorders>
          </w:tcPr>
          <w:p w:rsidR="00EA40A3" w:rsidRDefault="00E86C16">
            <w:pPr>
              <w:spacing w:before="132" w:line="184" w:lineRule="auto"/>
              <w:ind w:left="718"/>
              <w:rPr>
                <w:rFonts w:ascii="宋体" w:eastAsia="宋体" w:hAnsi="宋体" w:cs="宋体"/>
                <w:sz w:val="16"/>
                <w:szCs w:val="16"/>
              </w:rPr>
            </w:pPr>
            <w:r>
              <w:rPr>
                <w:rFonts w:ascii="宋体" w:eastAsia="宋体" w:hAnsi="宋体" w:cs="宋体"/>
                <w:spacing w:val="-1"/>
                <w:sz w:val="16"/>
                <w:szCs w:val="16"/>
              </w:rPr>
              <w:t>87.178</w:t>
            </w:r>
          </w:p>
        </w:tc>
        <w:tc>
          <w:tcPr>
            <w:tcW w:w="1965" w:type="dxa"/>
            <w:tcBorders>
              <w:left w:val="single" w:sz="4" w:space="0" w:color="000000"/>
            </w:tcBorders>
          </w:tcPr>
          <w:p w:rsidR="00EA40A3" w:rsidRDefault="00E86C16">
            <w:pPr>
              <w:spacing w:before="92" w:line="220" w:lineRule="auto"/>
              <w:ind w:left="134"/>
              <w:rPr>
                <w:rFonts w:ascii="宋体" w:eastAsia="宋体" w:hAnsi="宋体" w:cs="宋体"/>
                <w:sz w:val="16"/>
                <w:szCs w:val="16"/>
              </w:rPr>
            </w:pPr>
            <w:r>
              <w:rPr>
                <w:rFonts w:ascii="宋体" w:eastAsia="宋体" w:hAnsi="宋体" w:cs="宋体"/>
                <w:spacing w:val="-3"/>
                <w:sz w:val="16"/>
                <w:szCs w:val="16"/>
              </w:rPr>
              <w:t>男子网球</w:t>
            </w:r>
          </w:p>
        </w:tc>
        <w:tc>
          <w:tcPr>
            <w:tcW w:w="1665" w:type="dxa"/>
          </w:tcPr>
          <w:p w:rsidR="00EA40A3" w:rsidRDefault="00EA40A3"/>
        </w:tc>
      </w:tr>
      <w:tr w:rsidR="00EA40A3">
        <w:trPr>
          <w:trHeight w:val="299"/>
        </w:trPr>
        <w:tc>
          <w:tcPr>
            <w:tcW w:w="2021" w:type="dxa"/>
            <w:tcBorders>
              <w:bottom w:val="single" w:sz="4" w:space="0" w:color="000000"/>
            </w:tcBorders>
          </w:tcPr>
          <w:p w:rsidR="00EA40A3" w:rsidRDefault="00E86C16">
            <w:pPr>
              <w:spacing w:before="83" w:line="220" w:lineRule="auto"/>
              <w:ind w:left="260"/>
              <w:rPr>
                <w:rFonts w:ascii="宋体" w:eastAsia="宋体" w:hAnsi="宋体" w:cs="宋体"/>
                <w:sz w:val="16"/>
                <w:szCs w:val="16"/>
              </w:rPr>
            </w:pPr>
            <w:r>
              <w:rPr>
                <w:rFonts w:ascii="宋体" w:eastAsia="宋体" w:hAnsi="宋体" w:cs="宋体"/>
                <w:spacing w:val="-1"/>
                <w:sz w:val="16"/>
                <w:szCs w:val="16"/>
              </w:rPr>
              <w:t>双杠规定动作</w:t>
            </w:r>
          </w:p>
        </w:tc>
        <w:tc>
          <w:tcPr>
            <w:tcW w:w="1609" w:type="dxa"/>
            <w:tcBorders>
              <w:bottom w:val="single" w:sz="4" w:space="0" w:color="000000"/>
              <w:right w:val="single" w:sz="4" w:space="0" w:color="000000"/>
            </w:tcBorders>
          </w:tcPr>
          <w:p w:rsidR="00EA40A3" w:rsidRDefault="00E86C16">
            <w:pPr>
              <w:spacing w:before="133" w:line="183" w:lineRule="auto"/>
              <w:ind w:left="729"/>
              <w:rPr>
                <w:rFonts w:ascii="宋体" w:eastAsia="宋体" w:hAnsi="宋体" w:cs="宋体"/>
                <w:sz w:val="16"/>
                <w:szCs w:val="16"/>
              </w:rPr>
            </w:pPr>
            <w:r>
              <w:rPr>
                <w:rFonts w:ascii="宋体" w:eastAsia="宋体" w:hAnsi="宋体" w:cs="宋体"/>
                <w:spacing w:val="-1"/>
                <w:sz w:val="16"/>
                <w:szCs w:val="16"/>
              </w:rPr>
              <w:t>98.763</w:t>
            </w:r>
          </w:p>
        </w:tc>
        <w:tc>
          <w:tcPr>
            <w:tcW w:w="1965" w:type="dxa"/>
            <w:tcBorders>
              <w:left w:val="single" w:sz="4" w:space="0" w:color="000000"/>
              <w:bottom w:val="single" w:sz="4" w:space="0" w:color="000000"/>
            </w:tcBorders>
          </w:tcPr>
          <w:p w:rsidR="00EA40A3" w:rsidRDefault="00E86C16">
            <w:pPr>
              <w:spacing w:before="82" w:line="219" w:lineRule="auto"/>
              <w:ind w:left="425"/>
              <w:rPr>
                <w:rFonts w:ascii="宋体" w:eastAsia="宋体" w:hAnsi="宋体" w:cs="宋体"/>
                <w:sz w:val="16"/>
                <w:szCs w:val="16"/>
              </w:rPr>
            </w:pPr>
            <w:r>
              <w:rPr>
                <w:rFonts w:ascii="宋体" w:eastAsia="宋体" w:hAnsi="宋体" w:cs="宋体"/>
                <w:spacing w:val="-2"/>
                <w:sz w:val="16"/>
                <w:szCs w:val="16"/>
              </w:rPr>
              <w:t>单打比赛</w:t>
            </w:r>
          </w:p>
        </w:tc>
        <w:tc>
          <w:tcPr>
            <w:tcW w:w="1665" w:type="dxa"/>
            <w:tcBorders>
              <w:bottom w:val="single" w:sz="4" w:space="0" w:color="000000"/>
            </w:tcBorders>
          </w:tcPr>
          <w:p w:rsidR="00EA40A3" w:rsidRDefault="00E86C16">
            <w:pPr>
              <w:spacing w:before="154" w:line="167" w:lineRule="auto"/>
              <w:ind w:left="815"/>
              <w:rPr>
                <w:rFonts w:ascii="宋体" w:eastAsia="宋体" w:hAnsi="宋体" w:cs="宋体"/>
                <w:sz w:val="16"/>
                <w:szCs w:val="16"/>
              </w:rPr>
            </w:pPr>
            <w:r>
              <w:rPr>
                <w:rFonts w:ascii="宋体" w:eastAsia="宋体" w:hAnsi="宋体" w:cs="宋体"/>
                <w:spacing w:val="-2"/>
                <w:sz w:val="16"/>
                <w:szCs w:val="16"/>
              </w:rPr>
              <w:t>23.594</w:t>
            </w:r>
          </w:p>
        </w:tc>
      </w:tr>
    </w:tbl>
    <w:p w:rsidR="00EA40A3" w:rsidRDefault="00EA40A3">
      <w:pPr>
        <w:spacing w:line="14" w:lineRule="auto"/>
        <w:rPr>
          <w:sz w:val="2"/>
        </w:rPr>
      </w:pPr>
    </w:p>
    <w:p w:rsidR="00EA40A3" w:rsidRDefault="00EA40A3">
      <w:pPr>
        <w:sectPr w:rsidR="00EA40A3">
          <w:type w:val="continuous"/>
          <w:pgSz w:w="9220" w:h="13360"/>
          <w:pgMar w:top="1264" w:right="870" w:bottom="1263" w:left="959" w:header="1013" w:footer="1016" w:gutter="0"/>
          <w:cols w:space="720" w:equalWidth="0">
            <w:col w:w="7391"/>
          </w:cols>
        </w:sectPr>
      </w:pPr>
    </w:p>
    <w:p w:rsidR="00EA40A3" w:rsidRDefault="00EA40A3">
      <w:pPr>
        <w:spacing w:line="258" w:lineRule="auto"/>
      </w:pPr>
    </w:p>
    <w:p w:rsidR="00EA40A3" w:rsidRDefault="00EA40A3">
      <w:pPr>
        <w:spacing w:line="259" w:lineRule="auto"/>
      </w:pPr>
    </w:p>
    <w:p w:rsidR="00EA40A3" w:rsidRDefault="00E86C16">
      <w:pPr>
        <w:spacing w:before="69" w:line="220" w:lineRule="auto"/>
        <w:ind w:right="300"/>
        <w:jc w:val="right"/>
        <w:rPr>
          <w:rFonts w:ascii="宋体" w:eastAsia="宋体" w:hAnsi="宋体" w:cs="宋体"/>
        </w:rPr>
      </w:pPr>
      <w:r>
        <w:rPr>
          <w:rFonts w:ascii="宋体" w:eastAsia="宋体" w:hAnsi="宋体" w:cs="宋体"/>
          <w:spacing w:val="-16"/>
        </w:rPr>
        <w:t>续表</w:t>
      </w:r>
    </w:p>
    <w:p w:rsidR="00EA40A3" w:rsidRDefault="00EA40A3">
      <w:pPr>
        <w:spacing w:line="75" w:lineRule="exact"/>
      </w:pPr>
    </w:p>
    <w:tbl>
      <w:tblPr>
        <w:tblStyle w:val="TableNormal"/>
        <w:tblW w:w="7240"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205"/>
        <w:gridCol w:w="1415"/>
        <w:gridCol w:w="1995"/>
        <w:gridCol w:w="1625"/>
      </w:tblGrid>
      <w:tr w:rsidR="00EA40A3">
        <w:trPr>
          <w:trHeight w:val="305"/>
        </w:trPr>
        <w:tc>
          <w:tcPr>
            <w:tcW w:w="2205" w:type="dxa"/>
            <w:tcBorders>
              <w:top w:val="single" w:sz="4" w:space="0" w:color="000000"/>
              <w:bottom w:val="single" w:sz="4" w:space="0" w:color="000000"/>
            </w:tcBorders>
          </w:tcPr>
          <w:p w:rsidR="00EA40A3" w:rsidRDefault="00E86C16">
            <w:pPr>
              <w:spacing w:before="102" w:line="220" w:lineRule="auto"/>
              <w:ind w:left="849"/>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1415" w:type="dxa"/>
            <w:tcBorders>
              <w:top w:val="single" w:sz="4" w:space="0" w:color="000000"/>
              <w:bottom w:val="single" w:sz="4" w:space="0" w:color="000000"/>
              <w:right w:val="single" w:sz="4" w:space="0" w:color="000000"/>
            </w:tcBorders>
          </w:tcPr>
          <w:p w:rsidR="00EA40A3" w:rsidRDefault="00E86C16">
            <w:pPr>
              <w:spacing w:before="91" w:line="219" w:lineRule="auto"/>
              <w:ind w:left="485"/>
              <w:rPr>
                <w:rFonts w:ascii="宋体" w:eastAsia="宋体" w:hAnsi="宋体" w:cs="宋体"/>
                <w:sz w:val="16"/>
                <w:szCs w:val="16"/>
              </w:rPr>
            </w:pPr>
            <w:r>
              <w:rPr>
                <w:rFonts w:ascii="宋体" w:eastAsia="宋体" w:hAnsi="宋体" w:cs="宋体"/>
                <w:spacing w:val="-3"/>
                <w:sz w:val="16"/>
                <w:szCs w:val="16"/>
              </w:rPr>
              <w:t>能量消耗</w:t>
            </w:r>
          </w:p>
        </w:tc>
        <w:tc>
          <w:tcPr>
            <w:tcW w:w="1995" w:type="dxa"/>
            <w:tcBorders>
              <w:top w:val="single" w:sz="4" w:space="0" w:color="000000"/>
              <w:left w:val="single" w:sz="4" w:space="0" w:color="000000"/>
              <w:bottom w:val="single" w:sz="4" w:space="0" w:color="000000"/>
            </w:tcBorders>
          </w:tcPr>
          <w:p w:rsidR="00EA40A3" w:rsidRDefault="00E86C16">
            <w:pPr>
              <w:spacing w:before="72" w:line="220" w:lineRule="auto"/>
              <w:ind w:left="895"/>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1625" w:type="dxa"/>
            <w:tcBorders>
              <w:top w:val="single" w:sz="4" w:space="0" w:color="000000"/>
              <w:bottom w:val="single" w:sz="4" w:space="0" w:color="000000"/>
            </w:tcBorders>
          </w:tcPr>
          <w:p w:rsidR="00EA40A3" w:rsidRDefault="00E86C16">
            <w:pPr>
              <w:spacing w:before="71" w:line="219" w:lineRule="auto"/>
              <w:ind w:left="725"/>
              <w:rPr>
                <w:rFonts w:ascii="宋体" w:eastAsia="宋体" w:hAnsi="宋体" w:cs="宋体"/>
                <w:sz w:val="16"/>
                <w:szCs w:val="16"/>
              </w:rPr>
            </w:pPr>
            <w:r>
              <w:rPr>
                <w:rFonts w:ascii="宋体" w:eastAsia="宋体" w:hAnsi="宋体" w:cs="宋体"/>
                <w:spacing w:val="-3"/>
                <w:sz w:val="16"/>
                <w:szCs w:val="16"/>
              </w:rPr>
              <w:t>能量消耗</w:t>
            </w:r>
          </w:p>
        </w:tc>
      </w:tr>
      <w:tr w:rsidR="00EA40A3">
        <w:trPr>
          <w:trHeight w:val="330"/>
        </w:trPr>
        <w:tc>
          <w:tcPr>
            <w:tcW w:w="2205" w:type="dxa"/>
            <w:tcBorders>
              <w:top w:val="single" w:sz="4" w:space="0" w:color="000000"/>
            </w:tcBorders>
          </w:tcPr>
          <w:p w:rsidR="00EA40A3" w:rsidRDefault="00E86C16">
            <w:pPr>
              <w:spacing w:before="107" w:line="220" w:lineRule="auto"/>
              <w:ind w:left="269"/>
              <w:rPr>
                <w:rFonts w:ascii="宋体" w:eastAsia="宋体" w:hAnsi="宋体" w:cs="宋体"/>
                <w:sz w:val="16"/>
                <w:szCs w:val="16"/>
              </w:rPr>
            </w:pPr>
            <w:r>
              <w:rPr>
                <w:rFonts w:ascii="宋体" w:eastAsia="宋体" w:hAnsi="宋体" w:cs="宋体"/>
                <w:spacing w:val="-2"/>
                <w:sz w:val="16"/>
                <w:szCs w:val="16"/>
              </w:rPr>
              <w:t>单杠规定动作</w:t>
            </w:r>
          </w:p>
        </w:tc>
        <w:tc>
          <w:tcPr>
            <w:tcW w:w="1415" w:type="dxa"/>
            <w:tcBorders>
              <w:top w:val="single" w:sz="4" w:space="0" w:color="000000"/>
              <w:right w:val="single" w:sz="4" w:space="0" w:color="000000"/>
            </w:tcBorders>
          </w:tcPr>
          <w:p w:rsidR="00EA40A3" w:rsidRDefault="00E86C16">
            <w:pPr>
              <w:spacing w:before="97" w:line="184" w:lineRule="auto"/>
              <w:ind w:left="494"/>
              <w:rPr>
                <w:rFonts w:ascii="宋体" w:eastAsia="宋体" w:hAnsi="宋体" w:cs="宋体"/>
                <w:sz w:val="16"/>
                <w:szCs w:val="16"/>
              </w:rPr>
            </w:pPr>
            <w:r>
              <w:rPr>
                <w:rFonts w:ascii="宋体" w:eastAsia="宋体" w:hAnsi="宋体" w:cs="宋体"/>
                <w:spacing w:val="-3"/>
                <w:sz w:val="16"/>
                <w:szCs w:val="16"/>
              </w:rPr>
              <w:t>135.152</w:t>
            </w:r>
          </w:p>
        </w:tc>
        <w:tc>
          <w:tcPr>
            <w:tcW w:w="1995" w:type="dxa"/>
            <w:tcBorders>
              <w:top w:val="single" w:sz="4" w:space="0" w:color="000000"/>
              <w:left w:val="single" w:sz="4" w:space="0" w:color="000000"/>
            </w:tcBorders>
          </w:tcPr>
          <w:p w:rsidR="00EA40A3" w:rsidRDefault="00E86C16">
            <w:pPr>
              <w:spacing w:before="77" w:line="220" w:lineRule="auto"/>
              <w:ind w:left="444"/>
              <w:rPr>
                <w:rFonts w:ascii="宋体" w:eastAsia="宋体" w:hAnsi="宋体" w:cs="宋体"/>
                <w:sz w:val="16"/>
                <w:szCs w:val="16"/>
              </w:rPr>
            </w:pPr>
            <w:r>
              <w:rPr>
                <w:rFonts w:ascii="宋体" w:eastAsia="宋体" w:hAnsi="宋体" w:cs="宋体"/>
                <w:spacing w:val="1"/>
                <w:sz w:val="16"/>
                <w:szCs w:val="16"/>
              </w:rPr>
              <w:t>多球训练</w:t>
            </w:r>
          </w:p>
        </w:tc>
        <w:tc>
          <w:tcPr>
            <w:tcW w:w="1625" w:type="dxa"/>
            <w:tcBorders>
              <w:top w:val="single" w:sz="4" w:space="0" w:color="000000"/>
            </w:tcBorders>
          </w:tcPr>
          <w:p w:rsidR="00EA40A3" w:rsidRDefault="00E86C16">
            <w:pPr>
              <w:spacing w:before="117" w:line="183" w:lineRule="auto"/>
              <w:ind w:left="784"/>
              <w:rPr>
                <w:rFonts w:ascii="宋体" w:eastAsia="宋体" w:hAnsi="宋体" w:cs="宋体"/>
                <w:sz w:val="16"/>
                <w:szCs w:val="16"/>
              </w:rPr>
            </w:pPr>
            <w:r>
              <w:rPr>
                <w:rFonts w:ascii="宋体" w:eastAsia="宋体" w:hAnsi="宋体" w:cs="宋体"/>
                <w:spacing w:val="-2"/>
                <w:sz w:val="16"/>
                <w:szCs w:val="16"/>
              </w:rPr>
              <w:t>33.229</w:t>
            </w:r>
          </w:p>
        </w:tc>
      </w:tr>
      <w:tr w:rsidR="00EA40A3">
        <w:trPr>
          <w:trHeight w:val="294"/>
        </w:trPr>
        <w:tc>
          <w:tcPr>
            <w:tcW w:w="2205" w:type="dxa"/>
          </w:tcPr>
          <w:p w:rsidR="00EA40A3" w:rsidRDefault="00E86C16">
            <w:pPr>
              <w:spacing w:before="76" w:line="219" w:lineRule="auto"/>
              <w:ind w:left="269"/>
              <w:rPr>
                <w:rFonts w:ascii="宋体" w:eastAsia="宋体" w:hAnsi="宋体" w:cs="宋体"/>
                <w:sz w:val="16"/>
                <w:szCs w:val="16"/>
              </w:rPr>
            </w:pPr>
            <w:r>
              <w:rPr>
                <w:rFonts w:ascii="宋体" w:eastAsia="宋体" w:hAnsi="宋体" w:cs="宋体"/>
                <w:spacing w:val="1"/>
                <w:sz w:val="16"/>
                <w:szCs w:val="16"/>
              </w:rPr>
              <w:t>男子自由体操</w:t>
            </w:r>
          </w:p>
        </w:tc>
        <w:tc>
          <w:tcPr>
            <w:tcW w:w="1415" w:type="dxa"/>
            <w:tcBorders>
              <w:right w:val="single" w:sz="4" w:space="0" w:color="000000"/>
            </w:tcBorders>
          </w:tcPr>
          <w:p w:rsidR="00EA40A3" w:rsidRDefault="00E86C16">
            <w:pPr>
              <w:spacing w:before="107" w:line="184" w:lineRule="auto"/>
              <w:ind w:left="555"/>
              <w:rPr>
                <w:rFonts w:ascii="宋体" w:eastAsia="宋体" w:hAnsi="宋体" w:cs="宋体"/>
                <w:sz w:val="16"/>
                <w:szCs w:val="16"/>
              </w:rPr>
            </w:pPr>
            <w:r>
              <w:rPr>
                <w:rFonts w:ascii="宋体" w:eastAsia="宋体" w:hAnsi="宋体" w:cs="宋体"/>
                <w:spacing w:val="-1"/>
                <w:sz w:val="16"/>
                <w:szCs w:val="16"/>
              </w:rPr>
              <w:t>41.141</w:t>
            </w:r>
          </w:p>
        </w:tc>
        <w:tc>
          <w:tcPr>
            <w:tcW w:w="1995" w:type="dxa"/>
            <w:tcBorders>
              <w:left w:val="single" w:sz="4" w:space="0" w:color="000000"/>
            </w:tcBorders>
          </w:tcPr>
          <w:p w:rsidR="00EA40A3" w:rsidRDefault="00E86C16">
            <w:pPr>
              <w:spacing w:before="66" w:line="219" w:lineRule="auto"/>
              <w:ind w:left="135"/>
              <w:rPr>
                <w:rFonts w:ascii="宋体" w:eastAsia="宋体" w:hAnsi="宋体" w:cs="宋体"/>
                <w:sz w:val="16"/>
                <w:szCs w:val="16"/>
              </w:rPr>
            </w:pPr>
            <w:r>
              <w:rPr>
                <w:rFonts w:ascii="宋体" w:eastAsia="宋体" w:hAnsi="宋体" w:cs="宋体"/>
                <w:spacing w:val="-2"/>
                <w:sz w:val="16"/>
                <w:szCs w:val="16"/>
              </w:rPr>
              <w:t>女子网球</w:t>
            </w:r>
          </w:p>
        </w:tc>
        <w:tc>
          <w:tcPr>
            <w:tcW w:w="1625" w:type="dxa"/>
          </w:tcPr>
          <w:p w:rsidR="00EA40A3" w:rsidRDefault="00EA40A3"/>
        </w:tc>
      </w:tr>
      <w:tr w:rsidR="00EA40A3">
        <w:trPr>
          <w:trHeight w:val="315"/>
        </w:trPr>
        <w:tc>
          <w:tcPr>
            <w:tcW w:w="2205" w:type="dxa"/>
          </w:tcPr>
          <w:p w:rsidR="00EA40A3" w:rsidRDefault="00E86C16">
            <w:pPr>
              <w:spacing w:before="83" w:line="220" w:lineRule="auto"/>
              <w:ind w:left="269"/>
              <w:rPr>
                <w:rFonts w:ascii="宋体" w:eastAsia="宋体" w:hAnsi="宋体" w:cs="宋体"/>
                <w:sz w:val="16"/>
                <w:szCs w:val="16"/>
              </w:rPr>
            </w:pPr>
            <w:r>
              <w:rPr>
                <w:rFonts w:ascii="宋体" w:eastAsia="宋体" w:hAnsi="宋体" w:cs="宋体"/>
                <w:spacing w:val="3"/>
                <w:sz w:val="16"/>
                <w:szCs w:val="16"/>
              </w:rPr>
              <w:t>男子跳马</w:t>
            </w:r>
          </w:p>
        </w:tc>
        <w:tc>
          <w:tcPr>
            <w:tcW w:w="1415" w:type="dxa"/>
            <w:tcBorders>
              <w:right w:val="single" w:sz="4" w:space="0" w:color="000000"/>
            </w:tcBorders>
          </w:tcPr>
          <w:p w:rsidR="00EA40A3" w:rsidRDefault="00E86C16">
            <w:pPr>
              <w:spacing w:before="132" w:line="184" w:lineRule="auto"/>
              <w:ind w:left="525"/>
              <w:rPr>
                <w:rFonts w:ascii="宋体" w:eastAsia="宋体" w:hAnsi="宋体" w:cs="宋体"/>
                <w:sz w:val="16"/>
                <w:szCs w:val="16"/>
              </w:rPr>
            </w:pPr>
            <w:r>
              <w:rPr>
                <w:rFonts w:ascii="宋体" w:eastAsia="宋体" w:hAnsi="宋体" w:cs="宋体"/>
                <w:spacing w:val="-3"/>
                <w:sz w:val="16"/>
                <w:szCs w:val="16"/>
              </w:rPr>
              <w:t>199.309</w:t>
            </w:r>
          </w:p>
        </w:tc>
        <w:tc>
          <w:tcPr>
            <w:tcW w:w="1995" w:type="dxa"/>
            <w:tcBorders>
              <w:left w:val="single" w:sz="4" w:space="0" w:color="000000"/>
            </w:tcBorders>
          </w:tcPr>
          <w:p w:rsidR="00EA40A3" w:rsidRDefault="00E86C16">
            <w:pPr>
              <w:spacing w:before="62" w:line="219" w:lineRule="auto"/>
              <w:ind w:left="444"/>
              <w:rPr>
                <w:rFonts w:ascii="宋体" w:eastAsia="宋体" w:hAnsi="宋体" w:cs="宋体"/>
                <w:sz w:val="16"/>
                <w:szCs w:val="16"/>
              </w:rPr>
            </w:pPr>
            <w:r>
              <w:rPr>
                <w:rFonts w:ascii="宋体" w:eastAsia="宋体" w:hAnsi="宋体" w:cs="宋体"/>
                <w:spacing w:val="-2"/>
                <w:sz w:val="16"/>
                <w:szCs w:val="16"/>
              </w:rPr>
              <w:t>单打比赛</w:t>
            </w:r>
          </w:p>
        </w:tc>
        <w:tc>
          <w:tcPr>
            <w:tcW w:w="1625" w:type="dxa"/>
          </w:tcPr>
          <w:p w:rsidR="00EA40A3" w:rsidRDefault="00E86C16">
            <w:pPr>
              <w:spacing w:before="113" w:line="184" w:lineRule="auto"/>
              <w:ind w:left="784"/>
              <w:rPr>
                <w:rFonts w:ascii="宋体" w:eastAsia="宋体" w:hAnsi="宋体" w:cs="宋体"/>
                <w:sz w:val="16"/>
                <w:szCs w:val="16"/>
              </w:rPr>
            </w:pPr>
            <w:r>
              <w:rPr>
                <w:rFonts w:ascii="宋体" w:eastAsia="宋体" w:hAnsi="宋体" w:cs="宋体"/>
                <w:spacing w:val="-2"/>
                <w:sz w:val="16"/>
                <w:szCs w:val="16"/>
              </w:rPr>
              <w:t>25.171</w:t>
            </w:r>
          </w:p>
        </w:tc>
      </w:tr>
      <w:tr w:rsidR="00EA40A3">
        <w:trPr>
          <w:trHeight w:val="314"/>
        </w:trPr>
        <w:tc>
          <w:tcPr>
            <w:tcW w:w="2205" w:type="dxa"/>
          </w:tcPr>
          <w:p w:rsidR="00EA40A3" w:rsidRDefault="00E86C16">
            <w:pPr>
              <w:spacing w:before="77" w:line="219" w:lineRule="auto"/>
              <w:ind w:left="269"/>
              <w:rPr>
                <w:rFonts w:ascii="宋体" w:eastAsia="宋体" w:hAnsi="宋体" w:cs="宋体"/>
                <w:sz w:val="16"/>
                <w:szCs w:val="16"/>
              </w:rPr>
            </w:pPr>
            <w:r>
              <w:rPr>
                <w:rFonts w:ascii="宋体" w:eastAsia="宋体" w:hAnsi="宋体" w:cs="宋体"/>
                <w:spacing w:val="3"/>
                <w:sz w:val="16"/>
                <w:szCs w:val="16"/>
              </w:rPr>
              <w:t>男子鞍马</w:t>
            </w:r>
          </w:p>
        </w:tc>
        <w:tc>
          <w:tcPr>
            <w:tcW w:w="1415" w:type="dxa"/>
            <w:tcBorders>
              <w:right w:val="single" w:sz="4" w:space="0" w:color="000000"/>
            </w:tcBorders>
          </w:tcPr>
          <w:p w:rsidR="00EA40A3" w:rsidRDefault="00E86C16">
            <w:pPr>
              <w:spacing w:before="128" w:line="184" w:lineRule="auto"/>
              <w:ind w:left="525"/>
              <w:rPr>
                <w:rFonts w:ascii="宋体" w:eastAsia="宋体" w:hAnsi="宋体" w:cs="宋体"/>
                <w:sz w:val="16"/>
                <w:szCs w:val="16"/>
              </w:rPr>
            </w:pPr>
            <w:r>
              <w:rPr>
                <w:rFonts w:ascii="宋体" w:eastAsia="宋体" w:hAnsi="宋体" w:cs="宋体"/>
                <w:spacing w:val="-3"/>
                <w:sz w:val="16"/>
                <w:szCs w:val="16"/>
              </w:rPr>
              <w:t>164.410</w:t>
            </w:r>
          </w:p>
        </w:tc>
        <w:tc>
          <w:tcPr>
            <w:tcW w:w="1995" w:type="dxa"/>
            <w:tcBorders>
              <w:left w:val="single" w:sz="4" w:space="0" w:color="000000"/>
            </w:tcBorders>
          </w:tcPr>
          <w:p w:rsidR="00EA40A3" w:rsidRDefault="00E86C16">
            <w:pPr>
              <w:spacing w:before="78" w:line="220" w:lineRule="auto"/>
              <w:ind w:left="444"/>
              <w:rPr>
                <w:rFonts w:ascii="宋体" w:eastAsia="宋体" w:hAnsi="宋体" w:cs="宋体"/>
                <w:sz w:val="16"/>
                <w:szCs w:val="16"/>
              </w:rPr>
            </w:pPr>
            <w:r>
              <w:rPr>
                <w:rFonts w:ascii="宋体" w:eastAsia="宋体" w:hAnsi="宋体" w:cs="宋体"/>
                <w:spacing w:val="4"/>
                <w:sz w:val="16"/>
                <w:szCs w:val="16"/>
              </w:rPr>
              <w:t>移动技训</w:t>
            </w:r>
          </w:p>
        </w:tc>
        <w:tc>
          <w:tcPr>
            <w:tcW w:w="1625" w:type="dxa"/>
          </w:tcPr>
          <w:p w:rsidR="00EA40A3" w:rsidRDefault="00E86C16">
            <w:pPr>
              <w:spacing w:before="128" w:line="184" w:lineRule="auto"/>
              <w:ind w:left="784"/>
              <w:rPr>
                <w:rFonts w:ascii="宋体" w:eastAsia="宋体" w:hAnsi="宋体" w:cs="宋体"/>
                <w:sz w:val="16"/>
                <w:szCs w:val="16"/>
              </w:rPr>
            </w:pPr>
            <w:r>
              <w:rPr>
                <w:rFonts w:ascii="宋体" w:eastAsia="宋体" w:hAnsi="宋体" w:cs="宋体"/>
                <w:spacing w:val="-2"/>
                <w:sz w:val="16"/>
                <w:szCs w:val="16"/>
              </w:rPr>
              <w:t>27.167</w:t>
            </w:r>
          </w:p>
        </w:tc>
      </w:tr>
      <w:tr w:rsidR="00EA40A3">
        <w:trPr>
          <w:trHeight w:val="305"/>
        </w:trPr>
        <w:tc>
          <w:tcPr>
            <w:tcW w:w="2205" w:type="dxa"/>
          </w:tcPr>
          <w:p w:rsidR="00EA40A3" w:rsidRDefault="00E86C16">
            <w:pPr>
              <w:spacing w:before="73" w:line="219" w:lineRule="auto"/>
              <w:ind w:left="269"/>
              <w:rPr>
                <w:rFonts w:ascii="宋体" w:eastAsia="宋体" w:hAnsi="宋体" w:cs="宋体"/>
                <w:sz w:val="16"/>
                <w:szCs w:val="16"/>
              </w:rPr>
            </w:pPr>
            <w:r>
              <w:rPr>
                <w:rFonts w:ascii="宋体" w:eastAsia="宋体" w:hAnsi="宋体" w:cs="宋体"/>
                <w:spacing w:val="-2"/>
                <w:sz w:val="16"/>
                <w:szCs w:val="16"/>
              </w:rPr>
              <w:t>女子平衡木</w:t>
            </w:r>
          </w:p>
        </w:tc>
        <w:tc>
          <w:tcPr>
            <w:tcW w:w="1415" w:type="dxa"/>
            <w:tcBorders>
              <w:right w:val="single" w:sz="4" w:space="0" w:color="000000"/>
            </w:tcBorders>
          </w:tcPr>
          <w:p w:rsidR="00EA40A3" w:rsidRDefault="00E86C16">
            <w:pPr>
              <w:spacing w:before="114" w:line="183" w:lineRule="auto"/>
              <w:ind w:left="555"/>
              <w:rPr>
                <w:rFonts w:ascii="宋体" w:eastAsia="宋体" w:hAnsi="宋体" w:cs="宋体"/>
                <w:sz w:val="16"/>
                <w:szCs w:val="16"/>
              </w:rPr>
            </w:pPr>
            <w:r>
              <w:rPr>
                <w:rFonts w:ascii="宋体" w:eastAsia="宋体" w:hAnsi="宋体" w:cs="宋体"/>
                <w:spacing w:val="-2"/>
                <w:sz w:val="16"/>
                <w:szCs w:val="16"/>
              </w:rPr>
              <w:t>35.037</w:t>
            </w:r>
          </w:p>
        </w:tc>
        <w:tc>
          <w:tcPr>
            <w:tcW w:w="1995" w:type="dxa"/>
            <w:tcBorders>
              <w:left w:val="single" w:sz="4" w:space="0" w:color="000000"/>
            </w:tcBorders>
          </w:tcPr>
          <w:p w:rsidR="00EA40A3" w:rsidRDefault="00E86C16">
            <w:pPr>
              <w:spacing w:before="74" w:line="220" w:lineRule="auto"/>
              <w:ind w:left="124"/>
              <w:rPr>
                <w:rFonts w:ascii="宋体" w:eastAsia="宋体" w:hAnsi="宋体" w:cs="宋体"/>
                <w:sz w:val="16"/>
                <w:szCs w:val="16"/>
              </w:rPr>
            </w:pPr>
            <w:r>
              <w:rPr>
                <w:rFonts w:ascii="宋体" w:eastAsia="宋体" w:hAnsi="宋体" w:cs="宋体"/>
                <w:spacing w:val="-2"/>
                <w:sz w:val="16"/>
                <w:szCs w:val="16"/>
              </w:rPr>
              <w:t>游泳</w:t>
            </w:r>
          </w:p>
        </w:tc>
        <w:tc>
          <w:tcPr>
            <w:tcW w:w="1625" w:type="dxa"/>
          </w:tcPr>
          <w:p w:rsidR="00EA40A3" w:rsidRDefault="00EA40A3"/>
        </w:tc>
      </w:tr>
      <w:tr w:rsidR="00EA40A3">
        <w:trPr>
          <w:trHeight w:val="464"/>
        </w:trPr>
        <w:tc>
          <w:tcPr>
            <w:tcW w:w="2205" w:type="dxa"/>
          </w:tcPr>
          <w:p w:rsidR="00EA40A3" w:rsidRDefault="00E86C16">
            <w:pPr>
              <w:spacing w:before="78" w:line="219" w:lineRule="auto"/>
              <w:ind w:left="269"/>
              <w:rPr>
                <w:rFonts w:ascii="宋体" w:eastAsia="宋体" w:hAnsi="宋体" w:cs="宋体"/>
                <w:sz w:val="16"/>
                <w:szCs w:val="16"/>
              </w:rPr>
            </w:pPr>
            <w:r>
              <w:rPr>
                <w:rFonts w:ascii="宋体" w:eastAsia="宋体" w:hAnsi="宋体" w:cs="宋体"/>
                <w:spacing w:val="-2"/>
                <w:sz w:val="16"/>
                <w:szCs w:val="16"/>
              </w:rPr>
              <w:t>女子自由体操</w:t>
            </w:r>
          </w:p>
        </w:tc>
        <w:tc>
          <w:tcPr>
            <w:tcW w:w="1415" w:type="dxa"/>
            <w:tcBorders>
              <w:right w:val="single" w:sz="4" w:space="0" w:color="000000"/>
            </w:tcBorders>
          </w:tcPr>
          <w:p w:rsidR="00EA40A3" w:rsidRDefault="00E86C16">
            <w:pPr>
              <w:spacing w:before="119" w:line="184" w:lineRule="auto"/>
              <w:ind w:left="544"/>
              <w:rPr>
                <w:rFonts w:ascii="宋体" w:eastAsia="宋体" w:hAnsi="宋体" w:cs="宋体"/>
                <w:sz w:val="16"/>
                <w:szCs w:val="16"/>
              </w:rPr>
            </w:pPr>
            <w:r>
              <w:rPr>
                <w:rFonts w:ascii="宋体" w:eastAsia="宋体" w:hAnsi="宋体" w:cs="宋体"/>
                <w:spacing w:val="-1"/>
                <w:sz w:val="16"/>
                <w:szCs w:val="16"/>
              </w:rPr>
              <w:t>42.183</w:t>
            </w:r>
          </w:p>
        </w:tc>
        <w:tc>
          <w:tcPr>
            <w:tcW w:w="1995" w:type="dxa"/>
            <w:tcBorders>
              <w:left w:val="single" w:sz="4" w:space="0" w:color="000000"/>
            </w:tcBorders>
          </w:tcPr>
          <w:p w:rsidR="00EA40A3" w:rsidRDefault="00E86C16">
            <w:pPr>
              <w:spacing w:before="77" w:line="219" w:lineRule="auto"/>
              <w:ind w:left="444"/>
              <w:rPr>
                <w:rFonts w:ascii="宋体" w:eastAsia="宋体" w:hAnsi="宋体" w:cs="宋体"/>
                <w:sz w:val="16"/>
                <w:szCs w:val="16"/>
              </w:rPr>
            </w:pPr>
            <w:r>
              <w:rPr>
                <w:rFonts w:ascii="宋体" w:eastAsia="宋体" w:hAnsi="宋体" w:cs="宋体"/>
                <w:spacing w:val="-2"/>
                <w:sz w:val="16"/>
                <w:szCs w:val="16"/>
              </w:rPr>
              <w:t>仰泳</w:t>
            </w:r>
          </w:p>
        </w:tc>
        <w:tc>
          <w:tcPr>
            <w:tcW w:w="1625" w:type="dxa"/>
          </w:tcPr>
          <w:p w:rsidR="00EA40A3" w:rsidRDefault="00E86C16">
            <w:pPr>
              <w:spacing w:before="89" w:line="184" w:lineRule="auto"/>
              <w:ind w:left="784"/>
              <w:rPr>
                <w:rFonts w:ascii="宋体" w:eastAsia="宋体" w:hAnsi="宋体" w:cs="宋体"/>
                <w:sz w:val="16"/>
                <w:szCs w:val="16"/>
              </w:rPr>
            </w:pPr>
            <w:r>
              <w:rPr>
                <w:rFonts w:ascii="宋体" w:eastAsia="宋体" w:hAnsi="宋体" w:cs="宋体"/>
                <w:spacing w:val="-3"/>
                <w:sz w:val="16"/>
                <w:szCs w:val="16"/>
              </w:rPr>
              <w:t>13.443</w:t>
            </w:r>
          </w:p>
        </w:tc>
      </w:tr>
      <w:tr w:rsidR="00EA40A3">
        <w:trPr>
          <w:trHeight w:val="455"/>
        </w:trPr>
        <w:tc>
          <w:tcPr>
            <w:tcW w:w="2205" w:type="dxa"/>
          </w:tcPr>
          <w:p w:rsidR="00EA40A3" w:rsidRDefault="00E86C16">
            <w:pPr>
              <w:spacing w:before="235" w:line="220" w:lineRule="auto"/>
              <w:ind w:left="269"/>
              <w:rPr>
                <w:rFonts w:ascii="宋体" w:eastAsia="宋体" w:hAnsi="宋体" w:cs="宋体"/>
                <w:sz w:val="16"/>
                <w:szCs w:val="16"/>
              </w:rPr>
            </w:pPr>
            <w:r>
              <w:rPr>
                <w:rFonts w:ascii="宋体" w:eastAsia="宋体" w:hAnsi="宋体" w:cs="宋体"/>
                <w:spacing w:val="4"/>
                <w:sz w:val="16"/>
                <w:szCs w:val="16"/>
              </w:rPr>
              <w:t>(全套规定动作)</w:t>
            </w:r>
          </w:p>
        </w:tc>
        <w:tc>
          <w:tcPr>
            <w:tcW w:w="1415" w:type="dxa"/>
            <w:tcBorders>
              <w:right w:val="single" w:sz="4" w:space="0" w:color="000000"/>
            </w:tcBorders>
          </w:tcPr>
          <w:p w:rsidR="00EA40A3" w:rsidRDefault="00EA40A3"/>
        </w:tc>
        <w:tc>
          <w:tcPr>
            <w:tcW w:w="1995" w:type="dxa"/>
            <w:tcBorders>
              <w:left w:val="single" w:sz="4" w:space="0" w:color="000000"/>
            </w:tcBorders>
          </w:tcPr>
          <w:p w:rsidR="00EA40A3" w:rsidRDefault="00E86C16">
            <w:pPr>
              <w:spacing w:before="235" w:line="220" w:lineRule="auto"/>
              <w:ind w:left="444"/>
              <w:rPr>
                <w:rFonts w:ascii="宋体" w:eastAsia="宋体" w:hAnsi="宋体" w:cs="宋体"/>
                <w:sz w:val="16"/>
                <w:szCs w:val="16"/>
              </w:rPr>
            </w:pPr>
            <w:r>
              <w:rPr>
                <w:rFonts w:ascii="宋体" w:eastAsia="宋体" w:hAnsi="宋体" w:cs="宋体"/>
                <w:spacing w:val="2"/>
                <w:sz w:val="16"/>
                <w:szCs w:val="16"/>
              </w:rPr>
              <w:t>自由泳</w:t>
            </w:r>
          </w:p>
        </w:tc>
        <w:tc>
          <w:tcPr>
            <w:tcW w:w="1625" w:type="dxa"/>
          </w:tcPr>
          <w:p w:rsidR="00EA40A3" w:rsidRDefault="00E86C16">
            <w:pPr>
              <w:spacing w:before="285" w:line="184" w:lineRule="auto"/>
              <w:ind w:left="804"/>
              <w:rPr>
                <w:rFonts w:ascii="宋体" w:eastAsia="宋体" w:hAnsi="宋体" w:cs="宋体"/>
                <w:sz w:val="16"/>
                <w:szCs w:val="16"/>
              </w:rPr>
            </w:pPr>
            <w:r>
              <w:rPr>
                <w:rFonts w:ascii="宋体" w:eastAsia="宋体" w:hAnsi="宋体" w:cs="宋体"/>
                <w:spacing w:val="-3"/>
                <w:sz w:val="16"/>
                <w:szCs w:val="16"/>
              </w:rPr>
              <w:t>16.970</w:t>
            </w:r>
          </w:p>
        </w:tc>
      </w:tr>
      <w:tr w:rsidR="00EA40A3">
        <w:trPr>
          <w:trHeight w:val="459"/>
        </w:trPr>
        <w:tc>
          <w:tcPr>
            <w:tcW w:w="2205" w:type="dxa"/>
          </w:tcPr>
          <w:p w:rsidR="00EA40A3" w:rsidRDefault="00E86C16">
            <w:pPr>
              <w:spacing w:before="89" w:line="219" w:lineRule="auto"/>
              <w:ind w:left="269"/>
              <w:rPr>
                <w:rFonts w:ascii="宋体" w:eastAsia="宋体" w:hAnsi="宋体" w:cs="宋体"/>
                <w:sz w:val="16"/>
                <w:szCs w:val="16"/>
              </w:rPr>
            </w:pPr>
            <w:r>
              <w:rPr>
                <w:rFonts w:ascii="宋体" w:eastAsia="宋体" w:hAnsi="宋体" w:cs="宋体"/>
                <w:spacing w:val="-2"/>
                <w:sz w:val="16"/>
                <w:szCs w:val="16"/>
              </w:rPr>
              <w:t>女子自由体操</w:t>
            </w:r>
          </w:p>
        </w:tc>
        <w:tc>
          <w:tcPr>
            <w:tcW w:w="1415" w:type="dxa"/>
            <w:tcBorders>
              <w:right w:val="single" w:sz="4" w:space="0" w:color="000000"/>
            </w:tcBorders>
          </w:tcPr>
          <w:p w:rsidR="00EA40A3" w:rsidRDefault="00E86C16">
            <w:pPr>
              <w:spacing w:before="130" w:line="184" w:lineRule="auto"/>
              <w:ind w:left="514"/>
              <w:rPr>
                <w:rFonts w:ascii="宋体" w:eastAsia="宋体" w:hAnsi="宋体" w:cs="宋体"/>
                <w:sz w:val="16"/>
                <w:szCs w:val="16"/>
              </w:rPr>
            </w:pPr>
            <w:r>
              <w:rPr>
                <w:rFonts w:ascii="宋体" w:eastAsia="宋体" w:hAnsi="宋体" w:cs="宋体"/>
                <w:spacing w:val="-3"/>
                <w:sz w:val="16"/>
                <w:szCs w:val="16"/>
              </w:rPr>
              <w:t>103.148</w:t>
            </w:r>
          </w:p>
        </w:tc>
        <w:tc>
          <w:tcPr>
            <w:tcW w:w="1995" w:type="dxa"/>
            <w:tcBorders>
              <w:left w:val="single" w:sz="4" w:space="0" w:color="000000"/>
            </w:tcBorders>
          </w:tcPr>
          <w:p w:rsidR="00EA40A3" w:rsidRDefault="00E86C16">
            <w:pPr>
              <w:spacing w:before="70" w:line="221" w:lineRule="auto"/>
              <w:ind w:left="444"/>
              <w:rPr>
                <w:rFonts w:ascii="宋体" w:eastAsia="宋体" w:hAnsi="宋体" w:cs="宋体"/>
                <w:sz w:val="16"/>
                <w:szCs w:val="16"/>
              </w:rPr>
            </w:pPr>
            <w:r>
              <w:rPr>
                <w:rFonts w:ascii="宋体" w:eastAsia="宋体" w:hAnsi="宋体" w:cs="宋体"/>
                <w:spacing w:val="-2"/>
                <w:sz w:val="16"/>
                <w:szCs w:val="16"/>
              </w:rPr>
              <w:t>蛙泳</w:t>
            </w:r>
          </w:p>
        </w:tc>
        <w:tc>
          <w:tcPr>
            <w:tcW w:w="1625" w:type="dxa"/>
          </w:tcPr>
          <w:p w:rsidR="00EA40A3" w:rsidRDefault="00E86C16">
            <w:pPr>
              <w:spacing w:before="130" w:line="183" w:lineRule="auto"/>
              <w:ind w:left="775"/>
              <w:rPr>
                <w:rFonts w:ascii="宋体" w:eastAsia="宋体" w:hAnsi="宋体" w:cs="宋体"/>
                <w:sz w:val="16"/>
                <w:szCs w:val="16"/>
              </w:rPr>
            </w:pPr>
            <w:r>
              <w:rPr>
                <w:rFonts w:ascii="宋体" w:eastAsia="宋体" w:hAnsi="宋体" w:cs="宋体"/>
                <w:spacing w:val="-2"/>
                <w:sz w:val="16"/>
                <w:szCs w:val="16"/>
              </w:rPr>
              <w:t>22.050</w:t>
            </w:r>
          </w:p>
        </w:tc>
      </w:tr>
      <w:tr w:rsidR="00EA40A3">
        <w:trPr>
          <w:trHeight w:val="473"/>
        </w:trPr>
        <w:tc>
          <w:tcPr>
            <w:tcW w:w="2205" w:type="dxa"/>
          </w:tcPr>
          <w:p w:rsidR="00EA40A3" w:rsidRDefault="00E86C16">
            <w:pPr>
              <w:spacing w:before="241" w:line="220" w:lineRule="auto"/>
              <w:ind w:left="269"/>
              <w:rPr>
                <w:rFonts w:ascii="宋体" w:eastAsia="宋体" w:hAnsi="宋体" w:cs="宋体"/>
                <w:sz w:val="16"/>
                <w:szCs w:val="16"/>
              </w:rPr>
            </w:pPr>
            <w:r>
              <w:rPr>
                <w:rFonts w:ascii="宋体" w:eastAsia="宋体" w:hAnsi="宋体" w:cs="宋体"/>
                <w:spacing w:val="5"/>
                <w:sz w:val="16"/>
                <w:szCs w:val="16"/>
              </w:rPr>
              <w:t>(技巧动作)</w:t>
            </w:r>
          </w:p>
        </w:tc>
        <w:tc>
          <w:tcPr>
            <w:tcW w:w="1415" w:type="dxa"/>
            <w:tcBorders>
              <w:right w:val="single" w:sz="4" w:space="0" w:color="000000"/>
            </w:tcBorders>
          </w:tcPr>
          <w:p w:rsidR="00EA40A3" w:rsidRDefault="00EA40A3"/>
        </w:tc>
        <w:tc>
          <w:tcPr>
            <w:tcW w:w="1995" w:type="dxa"/>
            <w:tcBorders>
              <w:left w:val="single" w:sz="4" w:space="0" w:color="000000"/>
            </w:tcBorders>
          </w:tcPr>
          <w:p w:rsidR="00EA40A3" w:rsidRDefault="00E86C16">
            <w:pPr>
              <w:spacing w:before="220" w:line="219" w:lineRule="auto"/>
              <w:ind w:left="444"/>
              <w:rPr>
                <w:rFonts w:ascii="宋体" w:eastAsia="宋体" w:hAnsi="宋体" w:cs="宋体"/>
                <w:sz w:val="16"/>
                <w:szCs w:val="16"/>
              </w:rPr>
            </w:pPr>
            <w:r>
              <w:rPr>
                <w:rFonts w:ascii="宋体" w:eastAsia="宋体" w:hAnsi="宋体" w:cs="宋体"/>
                <w:spacing w:val="-2"/>
                <w:sz w:val="16"/>
                <w:szCs w:val="16"/>
              </w:rPr>
              <w:t>侧泳</w:t>
            </w:r>
          </w:p>
        </w:tc>
        <w:tc>
          <w:tcPr>
            <w:tcW w:w="1625" w:type="dxa"/>
          </w:tcPr>
          <w:p w:rsidR="00EA40A3" w:rsidRDefault="00E86C16">
            <w:pPr>
              <w:spacing w:before="290" w:line="184" w:lineRule="auto"/>
              <w:ind w:left="775"/>
              <w:rPr>
                <w:rFonts w:ascii="宋体" w:eastAsia="宋体" w:hAnsi="宋体" w:cs="宋体"/>
                <w:sz w:val="16"/>
                <w:szCs w:val="16"/>
              </w:rPr>
            </w:pPr>
            <w:r>
              <w:rPr>
                <w:rFonts w:ascii="宋体" w:eastAsia="宋体" w:hAnsi="宋体" w:cs="宋体"/>
                <w:spacing w:val="-2"/>
                <w:sz w:val="16"/>
                <w:szCs w:val="16"/>
              </w:rPr>
              <w:t>21.129</w:t>
            </w:r>
          </w:p>
        </w:tc>
      </w:tr>
      <w:tr w:rsidR="00EA40A3">
        <w:trPr>
          <w:trHeight w:val="315"/>
        </w:trPr>
        <w:tc>
          <w:tcPr>
            <w:tcW w:w="2205" w:type="dxa"/>
          </w:tcPr>
          <w:p w:rsidR="00EA40A3" w:rsidRDefault="00E86C16">
            <w:pPr>
              <w:spacing w:before="87" w:line="219" w:lineRule="auto"/>
              <w:ind w:left="269"/>
              <w:rPr>
                <w:rFonts w:ascii="宋体" w:eastAsia="宋体" w:hAnsi="宋体" w:cs="宋体"/>
                <w:sz w:val="16"/>
                <w:szCs w:val="16"/>
              </w:rPr>
            </w:pPr>
            <w:r>
              <w:rPr>
                <w:rFonts w:ascii="宋体" w:eastAsia="宋体" w:hAnsi="宋体" w:cs="宋体"/>
                <w:spacing w:val="-2"/>
                <w:sz w:val="16"/>
                <w:szCs w:val="16"/>
              </w:rPr>
              <w:t>女子高低杠</w:t>
            </w:r>
          </w:p>
        </w:tc>
        <w:tc>
          <w:tcPr>
            <w:tcW w:w="1415" w:type="dxa"/>
            <w:tcBorders>
              <w:right w:val="single" w:sz="4" w:space="0" w:color="000000"/>
            </w:tcBorders>
          </w:tcPr>
          <w:p w:rsidR="00EA40A3" w:rsidRDefault="00E86C16">
            <w:pPr>
              <w:spacing w:before="118" w:line="183" w:lineRule="auto"/>
              <w:ind w:left="555"/>
              <w:rPr>
                <w:rFonts w:ascii="宋体" w:eastAsia="宋体" w:hAnsi="宋体" w:cs="宋体"/>
                <w:sz w:val="16"/>
                <w:szCs w:val="16"/>
              </w:rPr>
            </w:pPr>
            <w:r>
              <w:rPr>
                <w:rFonts w:ascii="宋体" w:eastAsia="宋体" w:hAnsi="宋体" w:cs="宋体"/>
                <w:spacing w:val="-1"/>
                <w:sz w:val="16"/>
                <w:szCs w:val="16"/>
              </w:rPr>
              <w:t>44.848</w:t>
            </w:r>
          </w:p>
        </w:tc>
        <w:tc>
          <w:tcPr>
            <w:tcW w:w="1995" w:type="dxa"/>
            <w:tcBorders>
              <w:left w:val="single" w:sz="4" w:space="0" w:color="000000"/>
            </w:tcBorders>
          </w:tcPr>
          <w:p w:rsidR="00EA40A3" w:rsidRDefault="00E86C16">
            <w:pPr>
              <w:spacing w:before="77" w:line="219" w:lineRule="auto"/>
              <w:ind w:left="135"/>
              <w:rPr>
                <w:rFonts w:ascii="宋体" w:eastAsia="宋体" w:hAnsi="宋体" w:cs="宋体"/>
                <w:sz w:val="16"/>
                <w:szCs w:val="16"/>
              </w:rPr>
            </w:pPr>
            <w:r>
              <w:rPr>
                <w:rFonts w:ascii="宋体" w:eastAsia="宋体" w:hAnsi="宋体" w:cs="宋体"/>
                <w:spacing w:val="-2"/>
                <w:sz w:val="16"/>
                <w:szCs w:val="16"/>
              </w:rPr>
              <w:t>摔跤</w:t>
            </w:r>
          </w:p>
        </w:tc>
        <w:tc>
          <w:tcPr>
            <w:tcW w:w="1625" w:type="dxa"/>
          </w:tcPr>
          <w:p w:rsidR="00EA40A3" w:rsidRDefault="00E86C16">
            <w:pPr>
              <w:spacing w:before="138" w:line="184" w:lineRule="auto"/>
              <w:ind w:left="764"/>
              <w:rPr>
                <w:rFonts w:ascii="宋体" w:eastAsia="宋体" w:hAnsi="宋体" w:cs="宋体"/>
                <w:sz w:val="16"/>
                <w:szCs w:val="16"/>
              </w:rPr>
            </w:pPr>
            <w:r>
              <w:rPr>
                <w:rFonts w:ascii="宋体" w:eastAsia="宋体" w:hAnsi="宋体" w:cs="宋体"/>
                <w:spacing w:val="-2"/>
                <w:sz w:val="16"/>
                <w:szCs w:val="16"/>
              </w:rPr>
              <w:t>21.338</w:t>
            </w:r>
          </w:p>
        </w:tc>
      </w:tr>
      <w:tr w:rsidR="00EA40A3">
        <w:trPr>
          <w:trHeight w:val="309"/>
        </w:trPr>
        <w:tc>
          <w:tcPr>
            <w:tcW w:w="2205" w:type="dxa"/>
          </w:tcPr>
          <w:p w:rsidR="00EA40A3" w:rsidRDefault="00E86C16">
            <w:pPr>
              <w:spacing w:before="72" w:line="219" w:lineRule="auto"/>
              <w:ind w:left="269"/>
              <w:rPr>
                <w:rFonts w:ascii="宋体" w:eastAsia="宋体" w:hAnsi="宋体" w:cs="宋体"/>
                <w:sz w:val="16"/>
                <w:szCs w:val="16"/>
              </w:rPr>
            </w:pPr>
            <w:r>
              <w:rPr>
                <w:rFonts w:ascii="宋体" w:eastAsia="宋体" w:hAnsi="宋体" w:cs="宋体"/>
                <w:spacing w:val="3"/>
                <w:sz w:val="16"/>
                <w:szCs w:val="16"/>
              </w:rPr>
              <w:t>女子跳马</w:t>
            </w:r>
          </w:p>
        </w:tc>
        <w:tc>
          <w:tcPr>
            <w:tcW w:w="1415" w:type="dxa"/>
            <w:tcBorders>
              <w:right w:val="single" w:sz="4" w:space="0" w:color="000000"/>
            </w:tcBorders>
          </w:tcPr>
          <w:p w:rsidR="00EA40A3" w:rsidRDefault="00E86C16">
            <w:pPr>
              <w:spacing w:before="113" w:line="184" w:lineRule="auto"/>
              <w:ind w:left="494"/>
              <w:rPr>
                <w:rFonts w:ascii="宋体" w:eastAsia="宋体" w:hAnsi="宋体" w:cs="宋体"/>
                <w:sz w:val="16"/>
                <w:szCs w:val="16"/>
              </w:rPr>
            </w:pPr>
            <w:r>
              <w:rPr>
                <w:rFonts w:ascii="宋体" w:eastAsia="宋体" w:hAnsi="宋体" w:cs="宋体"/>
                <w:spacing w:val="-1"/>
                <w:sz w:val="16"/>
                <w:szCs w:val="16"/>
              </w:rPr>
              <w:t>214.848</w:t>
            </w:r>
          </w:p>
        </w:tc>
        <w:tc>
          <w:tcPr>
            <w:tcW w:w="1995" w:type="dxa"/>
            <w:tcBorders>
              <w:left w:val="single" w:sz="4" w:space="0" w:color="000000"/>
            </w:tcBorders>
          </w:tcPr>
          <w:p w:rsidR="00EA40A3" w:rsidRDefault="00E86C16">
            <w:pPr>
              <w:spacing w:before="82" w:line="219" w:lineRule="auto"/>
              <w:ind w:left="135"/>
              <w:rPr>
                <w:rFonts w:ascii="宋体" w:eastAsia="宋体" w:hAnsi="宋体" w:cs="宋体"/>
                <w:sz w:val="16"/>
                <w:szCs w:val="16"/>
              </w:rPr>
            </w:pPr>
            <w:r>
              <w:rPr>
                <w:rFonts w:ascii="宋体" w:eastAsia="宋体" w:hAnsi="宋体" w:cs="宋体"/>
                <w:spacing w:val="-2"/>
                <w:sz w:val="16"/>
                <w:szCs w:val="16"/>
              </w:rPr>
              <w:t>越野赛跑</w:t>
            </w:r>
          </w:p>
        </w:tc>
        <w:tc>
          <w:tcPr>
            <w:tcW w:w="1625" w:type="dxa"/>
          </w:tcPr>
          <w:p w:rsidR="00EA40A3" w:rsidRDefault="00E86C16">
            <w:pPr>
              <w:spacing w:before="133" w:line="183" w:lineRule="auto"/>
              <w:ind w:left="775"/>
              <w:rPr>
                <w:rFonts w:ascii="宋体" w:eastAsia="宋体" w:hAnsi="宋体" w:cs="宋体"/>
                <w:sz w:val="16"/>
                <w:szCs w:val="16"/>
              </w:rPr>
            </w:pPr>
            <w:r>
              <w:rPr>
                <w:rFonts w:ascii="宋体" w:eastAsia="宋体" w:hAnsi="宋体" w:cs="宋体"/>
                <w:spacing w:val="-2"/>
                <w:sz w:val="16"/>
                <w:szCs w:val="16"/>
              </w:rPr>
              <w:t>24.920</w:t>
            </w:r>
          </w:p>
        </w:tc>
      </w:tr>
      <w:tr w:rsidR="00EA40A3">
        <w:trPr>
          <w:trHeight w:val="615"/>
        </w:trPr>
        <w:tc>
          <w:tcPr>
            <w:tcW w:w="2205" w:type="dxa"/>
          </w:tcPr>
          <w:p w:rsidR="00EA40A3" w:rsidRDefault="00E86C16">
            <w:pPr>
              <w:spacing w:before="74" w:line="220" w:lineRule="auto"/>
              <w:ind w:left="120"/>
              <w:rPr>
                <w:rFonts w:ascii="宋体" w:eastAsia="宋体" w:hAnsi="宋体" w:cs="宋体"/>
                <w:sz w:val="16"/>
                <w:szCs w:val="16"/>
              </w:rPr>
            </w:pPr>
            <w:r>
              <w:rPr>
                <w:rFonts w:ascii="宋体" w:eastAsia="宋体" w:hAnsi="宋体" w:cs="宋体"/>
                <w:spacing w:val="3"/>
                <w:sz w:val="16"/>
                <w:szCs w:val="16"/>
              </w:rPr>
              <w:t>滑雪(平地硬滑，中速)</w:t>
            </w:r>
          </w:p>
        </w:tc>
        <w:tc>
          <w:tcPr>
            <w:tcW w:w="1415" w:type="dxa"/>
            <w:tcBorders>
              <w:right w:val="single" w:sz="4" w:space="0" w:color="000000"/>
            </w:tcBorders>
          </w:tcPr>
          <w:p w:rsidR="00EA40A3" w:rsidRDefault="00E86C16">
            <w:pPr>
              <w:spacing w:before="114" w:line="183" w:lineRule="auto"/>
              <w:ind w:left="534"/>
              <w:rPr>
                <w:rFonts w:ascii="宋体" w:eastAsia="宋体" w:hAnsi="宋体" w:cs="宋体"/>
                <w:sz w:val="16"/>
                <w:szCs w:val="16"/>
              </w:rPr>
            </w:pPr>
            <w:r>
              <w:rPr>
                <w:rFonts w:ascii="宋体" w:eastAsia="宋体" w:hAnsi="宋体" w:cs="宋体"/>
                <w:spacing w:val="-2"/>
                <w:sz w:val="16"/>
                <w:szCs w:val="16"/>
              </w:rPr>
              <w:t>28.974</w:t>
            </w:r>
          </w:p>
        </w:tc>
        <w:tc>
          <w:tcPr>
            <w:tcW w:w="1995" w:type="dxa"/>
            <w:tcBorders>
              <w:left w:val="single" w:sz="4" w:space="0" w:color="000000"/>
            </w:tcBorders>
          </w:tcPr>
          <w:p w:rsidR="00EA40A3" w:rsidRDefault="00E86C16">
            <w:pPr>
              <w:spacing w:before="83" w:line="310" w:lineRule="exact"/>
              <w:ind w:left="135"/>
              <w:rPr>
                <w:rFonts w:ascii="宋体" w:eastAsia="宋体" w:hAnsi="宋体" w:cs="宋体"/>
                <w:sz w:val="16"/>
                <w:szCs w:val="16"/>
              </w:rPr>
            </w:pPr>
            <w:r>
              <w:rPr>
                <w:rFonts w:ascii="宋体" w:eastAsia="宋体" w:hAnsi="宋体" w:cs="宋体"/>
                <w:spacing w:val="4"/>
                <w:position w:val="11"/>
                <w:sz w:val="16"/>
                <w:szCs w:val="16"/>
              </w:rPr>
              <w:t>男自行车(中速)</w:t>
            </w:r>
          </w:p>
          <w:p w:rsidR="00EA40A3" w:rsidRDefault="00E86C16">
            <w:pPr>
              <w:spacing w:line="219" w:lineRule="auto"/>
              <w:ind w:left="144"/>
              <w:rPr>
                <w:rFonts w:ascii="宋体" w:eastAsia="宋体" w:hAnsi="宋体" w:cs="宋体"/>
                <w:sz w:val="16"/>
                <w:szCs w:val="16"/>
              </w:rPr>
            </w:pPr>
            <w:r>
              <w:rPr>
                <w:rFonts w:ascii="宋体" w:eastAsia="宋体" w:hAnsi="宋体" w:cs="宋体"/>
                <w:spacing w:val="4"/>
                <w:sz w:val="16"/>
                <w:szCs w:val="16"/>
              </w:rPr>
              <w:t>女自行车(中速)</w:t>
            </w:r>
          </w:p>
        </w:tc>
        <w:tc>
          <w:tcPr>
            <w:tcW w:w="1625" w:type="dxa"/>
          </w:tcPr>
          <w:p w:rsidR="00EA40A3" w:rsidRDefault="00E86C16">
            <w:pPr>
              <w:spacing w:before="134" w:line="280" w:lineRule="exact"/>
              <w:ind w:left="775"/>
              <w:rPr>
                <w:rFonts w:ascii="宋体" w:eastAsia="宋体" w:hAnsi="宋体" w:cs="宋体"/>
                <w:sz w:val="16"/>
                <w:szCs w:val="16"/>
              </w:rPr>
            </w:pPr>
            <w:r>
              <w:rPr>
                <w:rFonts w:ascii="宋体" w:eastAsia="宋体" w:hAnsi="宋体" w:cs="宋体"/>
                <w:spacing w:val="-2"/>
                <w:position w:val="11"/>
                <w:sz w:val="16"/>
                <w:szCs w:val="16"/>
              </w:rPr>
              <w:t>29.455</w:t>
            </w:r>
          </w:p>
          <w:p w:rsidR="00EA40A3" w:rsidRDefault="00E86C16">
            <w:pPr>
              <w:spacing w:line="183" w:lineRule="auto"/>
              <w:ind w:left="775"/>
              <w:rPr>
                <w:rFonts w:ascii="宋体" w:eastAsia="宋体" w:hAnsi="宋体" w:cs="宋体"/>
                <w:sz w:val="16"/>
                <w:szCs w:val="16"/>
              </w:rPr>
            </w:pPr>
            <w:r>
              <w:rPr>
                <w:rFonts w:ascii="宋体" w:eastAsia="宋体" w:hAnsi="宋体" w:cs="宋体"/>
                <w:spacing w:val="-2"/>
                <w:sz w:val="16"/>
                <w:szCs w:val="16"/>
              </w:rPr>
              <w:t>27.229</w:t>
            </w:r>
          </w:p>
        </w:tc>
      </w:tr>
      <w:tr w:rsidR="00EA40A3">
        <w:trPr>
          <w:trHeight w:val="305"/>
        </w:trPr>
        <w:tc>
          <w:tcPr>
            <w:tcW w:w="2205" w:type="dxa"/>
          </w:tcPr>
          <w:p w:rsidR="00EA40A3" w:rsidRDefault="00E86C16">
            <w:pPr>
              <w:spacing w:before="79" w:line="221" w:lineRule="auto"/>
              <w:ind w:left="100"/>
              <w:rPr>
                <w:rFonts w:ascii="宋体" w:eastAsia="宋体" w:hAnsi="宋体" w:cs="宋体"/>
                <w:sz w:val="16"/>
                <w:szCs w:val="16"/>
              </w:rPr>
            </w:pPr>
            <w:r>
              <w:rPr>
                <w:rFonts w:ascii="宋体" w:eastAsia="宋体" w:hAnsi="宋体" w:cs="宋体"/>
                <w:spacing w:val="-2"/>
                <w:sz w:val="16"/>
                <w:szCs w:val="16"/>
              </w:rPr>
              <w:t>排球</w:t>
            </w:r>
          </w:p>
        </w:tc>
        <w:tc>
          <w:tcPr>
            <w:tcW w:w="1415" w:type="dxa"/>
            <w:tcBorders>
              <w:right w:val="single" w:sz="4" w:space="0" w:color="000000"/>
            </w:tcBorders>
          </w:tcPr>
          <w:p w:rsidR="00EA40A3" w:rsidRDefault="00EA40A3"/>
        </w:tc>
        <w:tc>
          <w:tcPr>
            <w:tcW w:w="1995" w:type="dxa"/>
            <w:tcBorders>
              <w:left w:val="single" w:sz="4" w:space="0" w:color="000000"/>
            </w:tcBorders>
          </w:tcPr>
          <w:p w:rsidR="00EA40A3" w:rsidRDefault="00E86C16">
            <w:pPr>
              <w:spacing w:before="80" w:line="221" w:lineRule="auto"/>
              <w:ind w:left="124"/>
              <w:rPr>
                <w:rFonts w:ascii="宋体" w:eastAsia="宋体" w:hAnsi="宋体" w:cs="宋体"/>
                <w:sz w:val="16"/>
                <w:szCs w:val="16"/>
              </w:rPr>
            </w:pPr>
            <w:r>
              <w:rPr>
                <w:rFonts w:ascii="宋体" w:eastAsia="宋体" w:hAnsi="宋体" w:cs="宋体"/>
                <w:spacing w:val="-2"/>
                <w:sz w:val="16"/>
                <w:szCs w:val="16"/>
              </w:rPr>
              <w:t>划船</w:t>
            </w:r>
          </w:p>
        </w:tc>
        <w:tc>
          <w:tcPr>
            <w:tcW w:w="1625" w:type="dxa"/>
          </w:tcPr>
          <w:p w:rsidR="00EA40A3" w:rsidRDefault="00EA40A3"/>
        </w:tc>
      </w:tr>
      <w:tr w:rsidR="00EA40A3">
        <w:trPr>
          <w:trHeight w:val="314"/>
        </w:trPr>
        <w:tc>
          <w:tcPr>
            <w:tcW w:w="2205" w:type="dxa"/>
          </w:tcPr>
          <w:p w:rsidR="00EA40A3" w:rsidRDefault="00E86C16">
            <w:pPr>
              <w:spacing w:before="84" w:line="221" w:lineRule="auto"/>
              <w:ind w:left="89"/>
              <w:rPr>
                <w:rFonts w:ascii="宋体" w:eastAsia="宋体" w:hAnsi="宋体" w:cs="宋体"/>
                <w:sz w:val="16"/>
                <w:szCs w:val="16"/>
              </w:rPr>
            </w:pPr>
            <w:r>
              <w:rPr>
                <w:rFonts w:ascii="宋体" w:eastAsia="宋体" w:hAnsi="宋体" w:cs="宋体"/>
                <w:spacing w:val="11"/>
                <w:sz w:val="16"/>
                <w:szCs w:val="16"/>
              </w:rPr>
              <w:t>练习</w:t>
            </w:r>
          </w:p>
        </w:tc>
        <w:tc>
          <w:tcPr>
            <w:tcW w:w="1415" w:type="dxa"/>
            <w:tcBorders>
              <w:right w:val="single" w:sz="4" w:space="0" w:color="000000"/>
            </w:tcBorders>
          </w:tcPr>
          <w:p w:rsidR="00EA40A3" w:rsidRDefault="00E86C16">
            <w:pPr>
              <w:spacing w:before="124" w:line="183" w:lineRule="auto"/>
              <w:ind w:left="564"/>
              <w:rPr>
                <w:rFonts w:ascii="宋体" w:eastAsia="宋体" w:hAnsi="宋体" w:cs="宋体"/>
                <w:sz w:val="16"/>
                <w:szCs w:val="16"/>
              </w:rPr>
            </w:pPr>
            <w:r>
              <w:rPr>
                <w:rFonts w:ascii="宋体" w:eastAsia="宋体" w:hAnsi="宋体" w:cs="宋体"/>
                <w:spacing w:val="-2"/>
                <w:sz w:val="16"/>
                <w:szCs w:val="16"/>
              </w:rPr>
              <w:t>7.899</w:t>
            </w:r>
          </w:p>
        </w:tc>
        <w:tc>
          <w:tcPr>
            <w:tcW w:w="1995" w:type="dxa"/>
            <w:tcBorders>
              <w:left w:val="single" w:sz="4" w:space="0" w:color="000000"/>
            </w:tcBorders>
          </w:tcPr>
          <w:p w:rsidR="00EA40A3" w:rsidRDefault="00E86C16">
            <w:pPr>
              <w:spacing w:before="98" w:line="224" w:lineRule="auto"/>
              <w:ind w:left="444"/>
              <w:rPr>
                <w:rFonts w:ascii="宋体" w:eastAsia="宋体" w:hAnsi="宋体" w:cs="宋体"/>
                <w:sz w:val="16"/>
                <w:szCs w:val="16"/>
              </w:rPr>
            </w:pPr>
            <w:r>
              <w:rPr>
                <w:rFonts w:ascii="宋体" w:eastAsia="宋体" w:hAnsi="宋体" w:cs="宋体"/>
                <w:spacing w:val="-2"/>
                <w:sz w:val="16"/>
                <w:szCs w:val="16"/>
              </w:rPr>
              <w:t>51m/min</w:t>
            </w:r>
          </w:p>
        </w:tc>
        <w:tc>
          <w:tcPr>
            <w:tcW w:w="1625" w:type="dxa"/>
          </w:tcPr>
          <w:p w:rsidR="00EA40A3" w:rsidRDefault="00E86C16">
            <w:pPr>
              <w:spacing w:before="144" w:line="183" w:lineRule="auto"/>
              <w:ind w:left="804"/>
              <w:rPr>
                <w:rFonts w:ascii="宋体" w:eastAsia="宋体" w:hAnsi="宋体" w:cs="宋体"/>
                <w:sz w:val="16"/>
                <w:szCs w:val="16"/>
              </w:rPr>
            </w:pPr>
            <w:r>
              <w:rPr>
                <w:rFonts w:ascii="宋体" w:eastAsia="宋体" w:hAnsi="宋体" w:cs="宋体"/>
                <w:spacing w:val="-2"/>
                <w:sz w:val="16"/>
                <w:szCs w:val="16"/>
              </w:rPr>
              <w:t>9.648</w:t>
            </w:r>
          </w:p>
        </w:tc>
      </w:tr>
      <w:tr w:rsidR="00EA40A3">
        <w:trPr>
          <w:trHeight w:val="305"/>
        </w:trPr>
        <w:tc>
          <w:tcPr>
            <w:tcW w:w="2205" w:type="dxa"/>
          </w:tcPr>
          <w:p w:rsidR="00EA40A3" w:rsidRDefault="00E86C16">
            <w:pPr>
              <w:spacing w:before="79" w:line="219" w:lineRule="auto"/>
              <w:ind w:left="100"/>
              <w:rPr>
                <w:rFonts w:ascii="宋体" w:eastAsia="宋体" w:hAnsi="宋体" w:cs="宋体"/>
                <w:sz w:val="16"/>
                <w:szCs w:val="16"/>
              </w:rPr>
            </w:pPr>
            <w:r>
              <w:rPr>
                <w:rFonts w:ascii="宋体" w:eastAsia="宋体" w:hAnsi="宋体" w:cs="宋体"/>
                <w:spacing w:val="3"/>
                <w:sz w:val="16"/>
                <w:szCs w:val="16"/>
              </w:rPr>
              <w:t>比赛</w:t>
            </w:r>
          </w:p>
        </w:tc>
        <w:tc>
          <w:tcPr>
            <w:tcW w:w="1415" w:type="dxa"/>
            <w:tcBorders>
              <w:right w:val="single" w:sz="4" w:space="0" w:color="000000"/>
            </w:tcBorders>
          </w:tcPr>
          <w:p w:rsidR="00EA40A3" w:rsidRDefault="00E86C16">
            <w:pPr>
              <w:spacing w:before="120" w:line="184" w:lineRule="auto"/>
              <w:ind w:left="555"/>
              <w:rPr>
                <w:rFonts w:ascii="宋体" w:eastAsia="宋体" w:hAnsi="宋体" w:cs="宋体"/>
                <w:sz w:val="16"/>
                <w:szCs w:val="16"/>
              </w:rPr>
            </w:pPr>
            <w:r>
              <w:rPr>
                <w:rFonts w:ascii="宋体" w:eastAsia="宋体" w:hAnsi="宋体" w:cs="宋体"/>
                <w:spacing w:val="-3"/>
                <w:sz w:val="16"/>
                <w:szCs w:val="16"/>
              </w:rPr>
              <w:t>17.050</w:t>
            </w:r>
          </w:p>
        </w:tc>
        <w:tc>
          <w:tcPr>
            <w:tcW w:w="1995" w:type="dxa"/>
            <w:tcBorders>
              <w:left w:val="single" w:sz="4" w:space="0" w:color="000000"/>
            </w:tcBorders>
          </w:tcPr>
          <w:p w:rsidR="00EA40A3" w:rsidRDefault="00E86C16">
            <w:pPr>
              <w:spacing w:before="94" w:line="224" w:lineRule="auto"/>
              <w:ind w:left="444"/>
              <w:rPr>
                <w:rFonts w:ascii="宋体" w:eastAsia="宋体" w:hAnsi="宋体" w:cs="宋体"/>
                <w:sz w:val="16"/>
                <w:szCs w:val="16"/>
              </w:rPr>
            </w:pPr>
            <w:r>
              <w:rPr>
                <w:rFonts w:ascii="宋体" w:eastAsia="宋体" w:hAnsi="宋体" w:cs="宋体"/>
                <w:spacing w:val="-1"/>
                <w:sz w:val="16"/>
                <w:szCs w:val="16"/>
              </w:rPr>
              <w:t>69m/min</w:t>
            </w:r>
          </w:p>
        </w:tc>
        <w:tc>
          <w:tcPr>
            <w:tcW w:w="1625" w:type="dxa"/>
          </w:tcPr>
          <w:p w:rsidR="00EA40A3" w:rsidRDefault="00E86C16">
            <w:pPr>
              <w:spacing w:before="140" w:line="184" w:lineRule="auto"/>
              <w:ind w:left="784"/>
              <w:rPr>
                <w:rFonts w:ascii="宋体" w:eastAsia="宋体" w:hAnsi="宋体" w:cs="宋体"/>
                <w:sz w:val="16"/>
                <w:szCs w:val="16"/>
              </w:rPr>
            </w:pPr>
            <w:r>
              <w:rPr>
                <w:rFonts w:ascii="宋体" w:eastAsia="宋体" w:hAnsi="宋体" w:cs="宋体"/>
                <w:spacing w:val="-3"/>
                <w:sz w:val="16"/>
                <w:szCs w:val="16"/>
              </w:rPr>
              <w:t>15.037</w:t>
            </w:r>
          </w:p>
        </w:tc>
      </w:tr>
      <w:tr w:rsidR="00EA40A3">
        <w:trPr>
          <w:trHeight w:val="293"/>
        </w:trPr>
        <w:tc>
          <w:tcPr>
            <w:tcW w:w="2205" w:type="dxa"/>
            <w:tcBorders>
              <w:bottom w:val="single" w:sz="4" w:space="0" w:color="000000"/>
            </w:tcBorders>
          </w:tcPr>
          <w:p w:rsidR="00EA40A3" w:rsidRDefault="00E86C16">
            <w:pPr>
              <w:spacing w:before="75" w:line="221" w:lineRule="auto"/>
              <w:ind w:left="100"/>
              <w:rPr>
                <w:rFonts w:ascii="宋体" w:eastAsia="宋体" w:hAnsi="宋体" w:cs="宋体"/>
                <w:sz w:val="16"/>
                <w:szCs w:val="16"/>
              </w:rPr>
            </w:pPr>
            <w:r>
              <w:rPr>
                <w:rFonts w:ascii="宋体" w:eastAsia="宋体" w:hAnsi="宋体" w:cs="宋体"/>
                <w:spacing w:val="-3"/>
                <w:sz w:val="16"/>
                <w:szCs w:val="16"/>
              </w:rPr>
              <w:t>足球</w:t>
            </w:r>
          </w:p>
        </w:tc>
        <w:tc>
          <w:tcPr>
            <w:tcW w:w="1415" w:type="dxa"/>
            <w:tcBorders>
              <w:bottom w:val="single" w:sz="4" w:space="0" w:color="000000"/>
              <w:right w:val="single" w:sz="4" w:space="0" w:color="000000"/>
            </w:tcBorders>
          </w:tcPr>
          <w:p w:rsidR="00EA40A3" w:rsidRDefault="00E86C16">
            <w:pPr>
              <w:spacing w:before="124" w:line="184" w:lineRule="auto"/>
              <w:ind w:left="534"/>
              <w:rPr>
                <w:rFonts w:ascii="宋体" w:eastAsia="宋体" w:hAnsi="宋体" w:cs="宋体"/>
                <w:sz w:val="16"/>
                <w:szCs w:val="16"/>
              </w:rPr>
            </w:pPr>
            <w:r>
              <w:rPr>
                <w:rFonts w:ascii="宋体" w:eastAsia="宋体" w:hAnsi="宋体" w:cs="宋体"/>
                <w:spacing w:val="-2"/>
                <w:sz w:val="16"/>
                <w:szCs w:val="16"/>
              </w:rPr>
              <w:t>20.108</w:t>
            </w:r>
          </w:p>
        </w:tc>
        <w:tc>
          <w:tcPr>
            <w:tcW w:w="1995" w:type="dxa"/>
            <w:tcBorders>
              <w:left w:val="single" w:sz="4" w:space="0" w:color="000000"/>
              <w:bottom w:val="single" w:sz="4" w:space="0" w:color="000000"/>
            </w:tcBorders>
          </w:tcPr>
          <w:p w:rsidR="00EA40A3" w:rsidRDefault="00E86C16">
            <w:pPr>
              <w:spacing w:before="98" w:line="224" w:lineRule="auto"/>
              <w:ind w:left="444"/>
              <w:rPr>
                <w:rFonts w:ascii="宋体" w:eastAsia="宋体" w:hAnsi="宋体" w:cs="宋体"/>
                <w:sz w:val="16"/>
                <w:szCs w:val="16"/>
              </w:rPr>
            </w:pPr>
            <w:r>
              <w:rPr>
                <w:rFonts w:ascii="宋体" w:eastAsia="宋体" w:hAnsi="宋体" w:cs="宋体"/>
                <w:spacing w:val="-1"/>
                <w:sz w:val="16"/>
                <w:szCs w:val="16"/>
              </w:rPr>
              <w:t>97m/min</w:t>
            </w:r>
          </w:p>
        </w:tc>
        <w:tc>
          <w:tcPr>
            <w:tcW w:w="1625" w:type="dxa"/>
            <w:tcBorders>
              <w:bottom w:val="single" w:sz="4" w:space="0" w:color="000000"/>
            </w:tcBorders>
          </w:tcPr>
          <w:p w:rsidR="00EA40A3" w:rsidRDefault="00E86C16">
            <w:pPr>
              <w:spacing w:before="125" w:line="183" w:lineRule="auto"/>
              <w:ind w:left="775"/>
              <w:rPr>
                <w:rFonts w:ascii="宋体" w:eastAsia="宋体" w:hAnsi="宋体" w:cs="宋体"/>
                <w:sz w:val="16"/>
                <w:szCs w:val="16"/>
              </w:rPr>
            </w:pPr>
            <w:r>
              <w:rPr>
                <w:rFonts w:ascii="宋体" w:eastAsia="宋体" w:hAnsi="宋体" w:cs="宋体"/>
                <w:spacing w:val="-2"/>
                <w:sz w:val="16"/>
                <w:szCs w:val="16"/>
              </w:rPr>
              <w:t>26.359</w:t>
            </w:r>
          </w:p>
        </w:tc>
      </w:tr>
    </w:tbl>
    <w:p w:rsidR="00EA40A3" w:rsidRDefault="00E86C16">
      <w:pPr>
        <w:spacing w:before="101" w:line="219" w:lineRule="auto"/>
        <w:ind w:left="340"/>
        <w:rPr>
          <w:rFonts w:ascii="宋体" w:eastAsia="宋体" w:hAnsi="宋体" w:cs="宋体"/>
          <w:sz w:val="16"/>
          <w:szCs w:val="16"/>
        </w:rPr>
      </w:pPr>
      <w:r>
        <w:rPr>
          <w:rFonts w:ascii="宋体" w:eastAsia="宋体" w:hAnsi="宋体" w:cs="宋体"/>
          <w:spacing w:val="6"/>
          <w:sz w:val="16"/>
          <w:szCs w:val="16"/>
        </w:rPr>
        <w:t>资料来源：吴坤.2003.营养与食品卫生学.第5版.</w:t>
      </w:r>
      <w:r>
        <w:rPr>
          <w:rFonts w:ascii="宋体" w:eastAsia="宋体" w:hAnsi="宋体" w:cs="宋体"/>
          <w:spacing w:val="5"/>
          <w:sz w:val="16"/>
          <w:szCs w:val="16"/>
        </w:rPr>
        <w:t>北京：人民卫生出版社</w:t>
      </w:r>
    </w:p>
    <w:p w:rsidR="00EA40A3" w:rsidRDefault="00EA40A3">
      <w:pPr>
        <w:spacing w:line="412" w:lineRule="auto"/>
      </w:pPr>
    </w:p>
    <w:p w:rsidR="00EA40A3" w:rsidRDefault="00E86C16">
      <w:pPr>
        <w:spacing w:before="68" w:line="224" w:lineRule="auto"/>
        <w:rPr>
          <w:rFonts w:ascii="仿宋" w:eastAsia="仿宋" w:hAnsi="仿宋" w:cs="仿宋"/>
        </w:rPr>
      </w:pPr>
      <w:r>
        <w:rPr>
          <w:rFonts w:ascii="仿宋" w:eastAsia="仿宋" w:hAnsi="仿宋" w:cs="仿宋"/>
          <w:spacing w:val="12"/>
        </w:rPr>
        <w:t>2.</w:t>
      </w:r>
      <w:r>
        <w:rPr>
          <w:rFonts w:ascii="仿宋" w:eastAsia="仿宋" w:hAnsi="仿宋" w:cs="仿宋"/>
          <w:spacing w:val="5"/>
        </w:rPr>
        <w:t xml:space="preserve"> </w:t>
      </w:r>
      <w:r>
        <w:rPr>
          <w:rFonts w:ascii="仿宋" w:eastAsia="仿宋" w:hAnsi="仿宋" w:cs="仿宋"/>
          <w:spacing w:val="12"/>
        </w:rPr>
        <w:t>蛋白质</w:t>
      </w:r>
    </w:p>
    <w:p w:rsidR="00EA40A3" w:rsidRDefault="00E86C16">
      <w:pPr>
        <w:spacing w:before="178" w:line="258" w:lineRule="auto"/>
        <w:ind w:right="7" w:firstLine="450"/>
        <w:jc w:val="both"/>
        <w:rPr>
          <w:rFonts w:ascii="宋体" w:eastAsia="宋体" w:hAnsi="宋体" w:cs="宋体"/>
        </w:rPr>
      </w:pPr>
      <w:r>
        <w:rPr>
          <w:rFonts w:ascii="宋体" w:eastAsia="宋体" w:hAnsi="宋体" w:cs="宋体"/>
          <w:spacing w:val="-3"/>
        </w:rPr>
        <w:t>蛋白质可以帮助运动员增加肌肉组织并且修复肌肉组织</w:t>
      </w:r>
      <w:r>
        <w:rPr>
          <w:rFonts w:ascii="宋体" w:eastAsia="宋体" w:hAnsi="宋体" w:cs="宋体"/>
          <w:spacing w:val="-4"/>
        </w:rPr>
        <w:t>的损伤。在训练和比</w:t>
      </w:r>
      <w:r>
        <w:rPr>
          <w:rFonts w:ascii="宋体" w:eastAsia="宋体" w:hAnsi="宋体" w:cs="宋体"/>
        </w:rPr>
        <w:t xml:space="preserve"> </w:t>
      </w:r>
      <w:r>
        <w:rPr>
          <w:rFonts w:ascii="宋体" w:eastAsia="宋体" w:hAnsi="宋体" w:cs="宋体"/>
          <w:spacing w:val="-3"/>
        </w:rPr>
        <w:t>赛时，体内蛋白质分解代谢加强，容易出现负氮平衡。因此，量足质优的蛋</w:t>
      </w:r>
      <w:r>
        <w:rPr>
          <w:rFonts w:ascii="宋体" w:eastAsia="宋体" w:hAnsi="宋体" w:cs="宋体"/>
          <w:spacing w:val="-4"/>
        </w:rPr>
        <w:t>白质</w:t>
      </w:r>
      <w:r>
        <w:rPr>
          <w:rFonts w:ascii="宋体" w:eastAsia="宋体" w:hAnsi="宋体" w:cs="宋体"/>
        </w:rPr>
        <w:t xml:space="preserve"> </w:t>
      </w:r>
      <w:r>
        <w:rPr>
          <w:rFonts w:ascii="宋体" w:eastAsia="宋体" w:hAnsi="宋体" w:cs="宋体"/>
          <w:spacing w:val="-3"/>
        </w:rPr>
        <w:t>摄入对运动员保持氮代谢平衡、促进运动员血红</w:t>
      </w:r>
      <w:r>
        <w:rPr>
          <w:rFonts w:ascii="宋体" w:eastAsia="宋体" w:hAnsi="宋体" w:cs="宋体"/>
          <w:spacing w:val="-4"/>
        </w:rPr>
        <w:t>蛋白合成及加速疲劳恢复等也具</w:t>
      </w:r>
      <w:r>
        <w:rPr>
          <w:rFonts w:ascii="宋体" w:eastAsia="宋体" w:hAnsi="宋体" w:cs="宋体"/>
        </w:rPr>
        <w:t xml:space="preserve"> </w:t>
      </w:r>
      <w:r>
        <w:rPr>
          <w:rFonts w:ascii="宋体" w:eastAsia="宋体" w:hAnsi="宋体" w:cs="宋体"/>
          <w:spacing w:val="-3"/>
        </w:rPr>
        <w:t>有重要意义。近来的研究表明，补充支链氨基酸</w:t>
      </w:r>
      <w:r>
        <w:rPr>
          <w:rFonts w:ascii="宋体" w:eastAsia="宋体" w:hAnsi="宋体" w:cs="宋体"/>
          <w:spacing w:val="-4"/>
        </w:rPr>
        <w:t>对运动性中枢疲劳有良好的预防</w:t>
      </w:r>
      <w:r>
        <w:rPr>
          <w:rFonts w:ascii="宋体" w:eastAsia="宋体" w:hAnsi="宋体" w:cs="宋体"/>
        </w:rPr>
        <w:t xml:space="preserve"> </w:t>
      </w:r>
      <w:r>
        <w:rPr>
          <w:rFonts w:ascii="宋体" w:eastAsia="宋体" w:hAnsi="宋体" w:cs="宋体"/>
          <w:spacing w:val="-4"/>
        </w:rPr>
        <w:t>作用。但要注意，蛋白质的摄入不能过高，高蛋白膳食可导致尿氮排出增加，造</w:t>
      </w:r>
      <w:r>
        <w:rPr>
          <w:rFonts w:ascii="宋体" w:eastAsia="宋体" w:hAnsi="宋体" w:cs="宋体"/>
          <w:spacing w:val="17"/>
        </w:rPr>
        <w:t xml:space="preserve"> </w:t>
      </w:r>
      <w:r>
        <w:rPr>
          <w:rFonts w:ascii="宋体" w:eastAsia="宋体" w:hAnsi="宋体" w:cs="宋体"/>
          <w:spacing w:val="-3"/>
        </w:rPr>
        <w:t>成体内大量蛋白质的代谢产物如氨、尿素的堆积，加重肝、肾负担，同时使体内</w:t>
      </w:r>
      <w:r>
        <w:rPr>
          <w:rFonts w:ascii="宋体" w:eastAsia="宋体" w:hAnsi="宋体" w:cs="宋体"/>
          <w:spacing w:val="2"/>
        </w:rPr>
        <w:t xml:space="preserve"> </w:t>
      </w:r>
      <w:r>
        <w:rPr>
          <w:rFonts w:ascii="宋体" w:eastAsia="宋体" w:hAnsi="宋体" w:cs="宋体"/>
          <w:spacing w:val="3"/>
        </w:rPr>
        <w:t>水分、矿物质(尤其是钙)损失增加。此外，过</w:t>
      </w:r>
      <w:r>
        <w:rPr>
          <w:rFonts w:ascii="宋体" w:eastAsia="宋体" w:hAnsi="宋体" w:cs="宋体"/>
          <w:spacing w:val="2"/>
        </w:rPr>
        <w:t>多蛋白质也可能引起运动员胃肠</w:t>
      </w:r>
      <w:r>
        <w:rPr>
          <w:rFonts w:ascii="宋体" w:eastAsia="宋体" w:hAnsi="宋体" w:cs="宋体"/>
        </w:rPr>
        <w:t xml:space="preserve"> </w:t>
      </w:r>
      <w:r>
        <w:rPr>
          <w:rFonts w:ascii="宋体" w:eastAsia="宋体" w:hAnsi="宋体" w:cs="宋体"/>
          <w:spacing w:val="-3"/>
        </w:rPr>
        <w:t>道的不适。不同国家对运动员蛋白质的推荐摄入量不同，我国学者提出中国运动</w:t>
      </w:r>
      <w:r>
        <w:rPr>
          <w:rFonts w:ascii="宋体" w:eastAsia="宋体" w:hAnsi="宋体" w:cs="宋体"/>
          <w:spacing w:val="8"/>
        </w:rPr>
        <w:t xml:space="preserve"> </w:t>
      </w:r>
      <w:r>
        <w:rPr>
          <w:rFonts w:ascii="宋体" w:eastAsia="宋体" w:hAnsi="宋体" w:cs="宋体"/>
          <w:spacing w:val="-1"/>
        </w:rPr>
        <w:t>员蛋白质的参考摄入量每千克体重每日约为1.5～2.5g</w:t>
      </w:r>
      <w:r>
        <w:rPr>
          <w:rFonts w:ascii="宋体" w:eastAsia="宋体" w:hAnsi="宋体" w:cs="宋体"/>
          <w:spacing w:val="-2"/>
        </w:rPr>
        <w:t>。</w:t>
      </w:r>
    </w:p>
    <w:p w:rsidR="00EA40A3" w:rsidRDefault="00EA40A3">
      <w:pPr>
        <w:sectPr w:rsidR="00EA40A3">
          <w:headerReference w:type="default" r:id="rId284"/>
          <w:footerReference w:type="default" r:id="rId285"/>
          <w:pgSz w:w="9220" w:h="13360"/>
          <w:pgMar w:top="400" w:right="1109" w:bottom="1277" w:left="829" w:header="0" w:footer="1069" w:gutter="0"/>
          <w:cols w:space="720"/>
        </w:sectPr>
      </w:pPr>
    </w:p>
    <w:p w:rsidR="00EA40A3" w:rsidRDefault="00EA40A3">
      <w:pPr>
        <w:spacing w:line="253" w:lineRule="auto"/>
      </w:pPr>
    </w:p>
    <w:p w:rsidR="00EA40A3" w:rsidRDefault="00EA40A3">
      <w:pPr>
        <w:spacing w:line="254" w:lineRule="auto"/>
      </w:pPr>
    </w:p>
    <w:p w:rsidR="00EA40A3" w:rsidRDefault="00EA40A3">
      <w:pPr>
        <w:spacing w:line="254" w:lineRule="auto"/>
      </w:pPr>
    </w:p>
    <w:p w:rsidR="00EA40A3" w:rsidRDefault="00E86C16">
      <w:pPr>
        <w:spacing w:before="72" w:line="223" w:lineRule="auto"/>
        <w:rPr>
          <w:rFonts w:ascii="仿宋" w:eastAsia="仿宋" w:hAnsi="仿宋" w:cs="仿宋"/>
          <w:sz w:val="22"/>
          <w:szCs w:val="22"/>
        </w:rPr>
      </w:pPr>
      <w:bookmarkStart w:id="82" w:name="_bookmark86"/>
      <w:bookmarkStart w:id="83" w:name="_bookmark87"/>
      <w:bookmarkEnd w:id="82"/>
      <w:bookmarkEnd w:id="83"/>
      <w:r>
        <w:rPr>
          <w:rFonts w:ascii="仿宋" w:eastAsia="仿宋" w:hAnsi="仿宋" w:cs="仿宋"/>
          <w:spacing w:val="1"/>
          <w:sz w:val="22"/>
          <w:szCs w:val="22"/>
        </w:rPr>
        <w:t>3.</w:t>
      </w:r>
      <w:r>
        <w:rPr>
          <w:rFonts w:ascii="仿宋" w:eastAsia="仿宋" w:hAnsi="仿宋" w:cs="仿宋"/>
          <w:spacing w:val="-18"/>
          <w:sz w:val="22"/>
          <w:szCs w:val="22"/>
        </w:rPr>
        <w:t xml:space="preserve"> </w:t>
      </w:r>
      <w:r>
        <w:rPr>
          <w:rFonts w:ascii="仿宋" w:eastAsia="仿宋" w:hAnsi="仿宋" w:cs="仿宋"/>
          <w:spacing w:val="1"/>
          <w:sz w:val="22"/>
          <w:szCs w:val="22"/>
        </w:rPr>
        <w:t>脂肪</w:t>
      </w:r>
    </w:p>
    <w:p w:rsidR="00EA40A3" w:rsidRDefault="00E86C16">
      <w:pPr>
        <w:spacing w:before="173" w:line="248" w:lineRule="auto"/>
        <w:ind w:firstLine="439"/>
        <w:jc w:val="both"/>
        <w:rPr>
          <w:rFonts w:ascii="宋体" w:eastAsia="宋体" w:hAnsi="宋体" w:cs="宋体"/>
          <w:sz w:val="22"/>
          <w:szCs w:val="22"/>
        </w:rPr>
      </w:pPr>
      <w:r>
        <w:rPr>
          <w:rFonts w:ascii="宋体" w:eastAsia="宋体" w:hAnsi="宋体" w:cs="宋体"/>
          <w:spacing w:val="-9"/>
          <w:sz w:val="22"/>
          <w:szCs w:val="22"/>
        </w:rPr>
        <w:t>脂肪是运动员理想的能量储备形式。尤其是对于能量需要量较大的运动员</w:t>
      </w:r>
      <w:r>
        <w:rPr>
          <w:rFonts w:ascii="宋体" w:eastAsia="宋体" w:hAnsi="宋体" w:cs="宋体"/>
          <w:spacing w:val="8"/>
          <w:sz w:val="22"/>
          <w:szCs w:val="22"/>
        </w:rPr>
        <w:t xml:space="preserve">  </w:t>
      </w:r>
      <w:r>
        <w:rPr>
          <w:rFonts w:ascii="宋体" w:eastAsia="宋体" w:hAnsi="宋体" w:cs="宋体"/>
          <w:spacing w:val="-13"/>
          <w:sz w:val="22"/>
          <w:szCs w:val="22"/>
        </w:rPr>
        <w:t>脂肪具有质量小，能量密度高，产能量大的优点。在轻、中度运动时，脂肪约提</w:t>
      </w:r>
      <w:r>
        <w:rPr>
          <w:rFonts w:ascii="宋体" w:eastAsia="宋体" w:hAnsi="宋体" w:cs="宋体"/>
          <w:spacing w:val="12"/>
          <w:sz w:val="22"/>
          <w:szCs w:val="22"/>
        </w:rPr>
        <w:t xml:space="preserve"> </w:t>
      </w:r>
      <w:r>
        <w:rPr>
          <w:rFonts w:ascii="宋体" w:eastAsia="宋体" w:hAnsi="宋体" w:cs="宋体"/>
          <w:spacing w:val="-5"/>
          <w:sz w:val="22"/>
          <w:szCs w:val="22"/>
        </w:rPr>
        <w:t>供机体50%的能量需要，在持久运动时脂肪可以提供约80%的能量需要。同时，</w:t>
      </w:r>
      <w:r>
        <w:rPr>
          <w:rFonts w:ascii="宋体" w:eastAsia="宋体" w:hAnsi="宋体" w:cs="宋体"/>
          <w:spacing w:val="13"/>
          <w:sz w:val="22"/>
          <w:szCs w:val="22"/>
        </w:rPr>
        <w:t xml:space="preserve"> </w:t>
      </w:r>
      <w:r>
        <w:rPr>
          <w:rFonts w:ascii="宋体" w:eastAsia="宋体" w:hAnsi="宋体" w:cs="宋体"/>
          <w:spacing w:val="-13"/>
          <w:sz w:val="22"/>
          <w:szCs w:val="22"/>
        </w:rPr>
        <w:t>脂肪能够节约糖原的消耗，提高运动员的耐久力。但是，由于脂</w:t>
      </w:r>
      <w:r>
        <w:rPr>
          <w:rFonts w:ascii="宋体" w:eastAsia="宋体" w:hAnsi="宋体" w:cs="宋体"/>
          <w:spacing w:val="-14"/>
          <w:sz w:val="22"/>
          <w:szCs w:val="22"/>
        </w:rPr>
        <w:t>肪代谢时耗氧量</w:t>
      </w:r>
      <w:r>
        <w:rPr>
          <w:rFonts w:ascii="宋体" w:eastAsia="宋体" w:hAnsi="宋体" w:cs="宋体"/>
          <w:sz w:val="22"/>
          <w:szCs w:val="22"/>
        </w:rPr>
        <w:t xml:space="preserve">  </w:t>
      </w:r>
      <w:r>
        <w:rPr>
          <w:rFonts w:ascii="宋体" w:eastAsia="宋体" w:hAnsi="宋体" w:cs="宋体"/>
          <w:spacing w:val="-10"/>
          <w:sz w:val="22"/>
          <w:szCs w:val="22"/>
        </w:rPr>
        <w:t>高，若膳食中脂肪比例过高会影响氧的供应，同时也会影</w:t>
      </w:r>
      <w:r>
        <w:rPr>
          <w:rFonts w:ascii="宋体" w:eastAsia="宋体" w:hAnsi="宋体" w:cs="宋体"/>
          <w:spacing w:val="-11"/>
          <w:sz w:val="22"/>
          <w:szCs w:val="22"/>
        </w:rPr>
        <w:t>响蛋白质和铁的吸收，</w:t>
      </w:r>
      <w:r>
        <w:rPr>
          <w:rFonts w:ascii="宋体" w:eastAsia="宋体" w:hAnsi="宋体" w:cs="宋体"/>
          <w:sz w:val="22"/>
          <w:szCs w:val="22"/>
        </w:rPr>
        <w:t xml:space="preserve"> </w:t>
      </w:r>
      <w:r>
        <w:rPr>
          <w:rFonts w:ascii="宋体" w:eastAsia="宋体" w:hAnsi="宋体" w:cs="宋体"/>
          <w:spacing w:val="-17"/>
          <w:sz w:val="22"/>
          <w:szCs w:val="22"/>
        </w:rPr>
        <w:t>并且高脂肪膳食会同时带入过多的胆固醇，从而可能导致运动员血脂升高。</w:t>
      </w:r>
      <w:r>
        <w:rPr>
          <w:rFonts w:ascii="宋体" w:eastAsia="宋体" w:hAnsi="宋体" w:cs="宋体"/>
          <w:spacing w:val="42"/>
          <w:sz w:val="22"/>
          <w:szCs w:val="22"/>
        </w:rPr>
        <w:t xml:space="preserve"> </w:t>
      </w:r>
      <w:r>
        <w:rPr>
          <w:rFonts w:ascii="宋体" w:eastAsia="宋体" w:hAnsi="宋体" w:cs="宋体"/>
          <w:spacing w:val="-17"/>
          <w:sz w:val="22"/>
          <w:szCs w:val="22"/>
        </w:rPr>
        <w:t>一般</w:t>
      </w:r>
      <w:r>
        <w:rPr>
          <w:rFonts w:ascii="宋体" w:eastAsia="宋体" w:hAnsi="宋体" w:cs="宋体"/>
          <w:sz w:val="22"/>
          <w:szCs w:val="22"/>
        </w:rPr>
        <w:t xml:space="preserve"> 运动员膳食总脂肪提供的能量占总能量的25%～30%比较</w:t>
      </w:r>
      <w:r>
        <w:rPr>
          <w:rFonts w:ascii="宋体" w:eastAsia="宋体" w:hAnsi="宋体" w:cs="宋体"/>
          <w:spacing w:val="-1"/>
          <w:sz w:val="22"/>
          <w:szCs w:val="22"/>
        </w:rPr>
        <w:t>适宜。其中饱和脂肪</w:t>
      </w:r>
      <w:r>
        <w:rPr>
          <w:rFonts w:ascii="宋体" w:eastAsia="宋体" w:hAnsi="宋体" w:cs="宋体"/>
          <w:sz w:val="22"/>
          <w:szCs w:val="22"/>
        </w:rPr>
        <w:t xml:space="preserve"> </w:t>
      </w:r>
      <w:r>
        <w:rPr>
          <w:rFonts w:ascii="宋体" w:eastAsia="宋体" w:hAnsi="宋体" w:cs="宋体"/>
          <w:spacing w:val="-3"/>
          <w:sz w:val="22"/>
          <w:szCs w:val="22"/>
        </w:rPr>
        <w:t>酸、单不饱和脂肪酸和多不饱和脂肪酸的比例约为1:1:1.5。</w:t>
      </w:r>
    </w:p>
    <w:p w:rsidR="00EA40A3" w:rsidRDefault="00E86C16">
      <w:pPr>
        <w:spacing w:before="243" w:line="221" w:lineRule="auto"/>
        <w:rPr>
          <w:rFonts w:ascii="仿宋" w:eastAsia="仿宋" w:hAnsi="仿宋" w:cs="仿宋"/>
          <w:sz w:val="22"/>
          <w:szCs w:val="22"/>
        </w:rPr>
      </w:pPr>
      <w:r>
        <w:rPr>
          <w:rFonts w:ascii="仿宋" w:eastAsia="仿宋" w:hAnsi="仿宋" w:cs="仿宋"/>
          <w:spacing w:val="12"/>
          <w:sz w:val="22"/>
          <w:szCs w:val="22"/>
        </w:rPr>
        <w:t>4.</w:t>
      </w:r>
      <w:r>
        <w:rPr>
          <w:rFonts w:ascii="仿宋" w:eastAsia="仿宋" w:hAnsi="仿宋" w:cs="仿宋"/>
          <w:spacing w:val="-49"/>
          <w:sz w:val="22"/>
          <w:szCs w:val="22"/>
        </w:rPr>
        <w:t xml:space="preserve"> </w:t>
      </w:r>
      <w:r>
        <w:rPr>
          <w:rFonts w:ascii="仿宋" w:eastAsia="仿宋" w:hAnsi="仿宋" w:cs="仿宋"/>
          <w:spacing w:val="12"/>
          <w:sz w:val="22"/>
          <w:szCs w:val="22"/>
        </w:rPr>
        <w:t>碳水化合物</w:t>
      </w:r>
    </w:p>
    <w:p w:rsidR="00EA40A3" w:rsidRDefault="00E86C16">
      <w:pPr>
        <w:spacing w:before="201" w:line="247" w:lineRule="auto"/>
        <w:ind w:right="65" w:firstLine="439"/>
        <w:jc w:val="both"/>
        <w:rPr>
          <w:rFonts w:ascii="宋体" w:eastAsia="宋体" w:hAnsi="宋体" w:cs="宋体"/>
          <w:sz w:val="22"/>
          <w:szCs w:val="22"/>
        </w:rPr>
      </w:pPr>
      <w:r>
        <w:rPr>
          <w:rFonts w:ascii="宋体" w:eastAsia="宋体" w:hAnsi="宋体" w:cs="宋体"/>
          <w:spacing w:val="-13"/>
          <w:sz w:val="22"/>
          <w:szCs w:val="22"/>
        </w:rPr>
        <w:t>碳水化合物是运动员最主要的能量来源。短时间大强度运动的能量基本上由</w:t>
      </w:r>
      <w:r>
        <w:rPr>
          <w:rFonts w:ascii="宋体" w:eastAsia="宋体" w:hAnsi="宋体" w:cs="宋体"/>
          <w:spacing w:val="2"/>
          <w:sz w:val="22"/>
          <w:szCs w:val="22"/>
        </w:rPr>
        <w:t xml:space="preserve"> </w:t>
      </w:r>
      <w:r>
        <w:rPr>
          <w:rFonts w:ascii="宋体" w:eastAsia="宋体" w:hAnsi="宋体" w:cs="宋体"/>
          <w:spacing w:val="-13"/>
          <w:sz w:val="22"/>
          <w:szCs w:val="22"/>
        </w:rPr>
        <w:t>碳水化合物供给，长时间小强度运动，也是首先利用体内糖的氧化功能。糖在体</w:t>
      </w:r>
      <w:r>
        <w:rPr>
          <w:rFonts w:ascii="宋体" w:eastAsia="宋体" w:hAnsi="宋体" w:cs="宋体"/>
          <w:spacing w:val="12"/>
          <w:sz w:val="22"/>
          <w:szCs w:val="22"/>
        </w:rPr>
        <w:t xml:space="preserve"> </w:t>
      </w:r>
      <w:r>
        <w:rPr>
          <w:rFonts w:ascii="宋体" w:eastAsia="宋体" w:hAnsi="宋体" w:cs="宋体"/>
          <w:spacing w:val="-13"/>
          <w:sz w:val="22"/>
          <w:szCs w:val="22"/>
        </w:rPr>
        <w:t>内容易氧化，耗氧量小，且氧化完全，代谢产物为二氧化碳和水，对机体</w:t>
      </w:r>
      <w:r>
        <w:rPr>
          <w:rFonts w:ascii="宋体" w:eastAsia="宋体" w:hAnsi="宋体" w:cs="宋体"/>
          <w:spacing w:val="-14"/>
          <w:sz w:val="22"/>
          <w:szCs w:val="22"/>
        </w:rPr>
        <w:t>不会产</w:t>
      </w:r>
      <w:r>
        <w:rPr>
          <w:rFonts w:ascii="宋体" w:eastAsia="宋体" w:hAnsi="宋体" w:cs="宋体"/>
          <w:sz w:val="22"/>
          <w:szCs w:val="22"/>
        </w:rPr>
        <w:t xml:space="preserve"> </w:t>
      </w:r>
      <w:r>
        <w:rPr>
          <w:rFonts w:ascii="宋体" w:eastAsia="宋体" w:hAnsi="宋体" w:cs="宋体"/>
          <w:spacing w:val="-13"/>
          <w:sz w:val="22"/>
          <w:szCs w:val="22"/>
        </w:rPr>
        <w:t>生不利影响。研究显示，运动员在运动前、中、后补充碳水化合物，对于运动员</w:t>
      </w:r>
      <w:r>
        <w:rPr>
          <w:rFonts w:ascii="宋体" w:eastAsia="宋体" w:hAnsi="宋体" w:cs="宋体"/>
          <w:spacing w:val="12"/>
          <w:sz w:val="22"/>
          <w:szCs w:val="22"/>
        </w:rPr>
        <w:t xml:space="preserve"> </w:t>
      </w:r>
      <w:r>
        <w:rPr>
          <w:rFonts w:ascii="宋体" w:eastAsia="宋体" w:hAnsi="宋体" w:cs="宋体"/>
          <w:spacing w:val="-17"/>
          <w:sz w:val="22"/>
          <w:szCs w:val="22"/>
        </w:rPr>
        <w:t>满足能量需要，延缓疲劳，维持血糖水平及稳定免疫功能等具有重要意义。</w:t>
      </w:r>
      <w:r>
        <w:rPr>
          <w:rFonts w:ascii="宋体" w:eastAsia="宋体" w:hAnsi="宋体" w:cs="宋体"/>
          <w:spacing w:val="42"/>
          <w:sz w:val="22"/>
          <w:szCs w:val="22"/>
        </w:rPr>
        <w:t xml:space="preserve"> </w:t>
      </w:r>
      <w:r>
        <w:rPr>
          <w:rFonts w:ascii="宋体" w:eastAsia="宋体" w:hAnsi="宋体" w:cs="宋体"/>
          <w:spacing w:val="-17"/>
          <w:sz w:val="22"/>
          <w:szCs w:val="22"/>
        </w:rPr>
        <w:t>一般</w:t>
      </w:r>
      <w:r>
        <w:rPr>
          <w:rFonts w:ascii="宋体" w:eastAsia="宋体" w:hAnsi="宋体" w:cs="宋体"/>
          <w:sz w:val="22"/>
          <w:szCs w:val="22"/>
        </w:rPr>
        <w:t xml:space="preserve"> </w:t>
      </w:r>
      <w:r>
        <w:rPr>
          <w:rFonts w:ascii="宋体" w:eastAsia="宋体" w:hAnsi="宋体" w:cs="宋体"/>
          <w:spacing w:val="3"/>
          <w:sz w:val="22"/>
          <w:szCs w:val="22"/>
        </w:rPr>
        <w:t>情况下运动员每日碳水化合物供给量应占总能量55%～65%,对进行长时间运</w:t>
      </w:r>
      <w:r>
        <w:rPr>
          <w:rFonts w:ascii="宋体" w:eastAsia="宋体" w:hAnsi="宋体" w:cs="宋体"/>
          <w:sz w:val="22"/>
          <w:szCs w:val="22"/>
        </w:rPr>
        <w:t xml:space="preserve"> </w:t>
      </w:r>
      <w:r>
        <w:rPr>
          <w:rFonts w:ascii="宋体" w:eastAsia="宋体" w:hAnsi="宋体" w:cs="宋体"/>
          <w:spacing w:val="-7"/>
          <w:sz w:val="22"/>
          <w:szCs w:val="22"/>
        </w:rPr>
        <w:t>动者，专家建议碳水化合物的摄入量可提高到总</w:t>
      </w:r>
      <w:r>
        <w:rPr>
          <w:rFonts w:ascii="宋体" w:eastAsia="宋体" w:hAnsi="宋体" w:cs="宋体"/>
          <w:spacing w:val="-8"/>
          <w:sz w:val="22"/>
          <w:szCs w:val="22"/>
        </w:rPr>
        <w:t>能量的70%。</w:t>
      </w:r>
    </w:p>
    <w:p w:rsidR="00EA40A3" w:rsidRDefault="00E86C16">
      <w:pPr>
        <w:spacing w:before="245" w:line="221"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36"/>
          <w:sz w:val="22"/>
          <w:szCs w:val="22"/>
        </w:rPr>
        <w:t xml:space="preserve"> </w:t>
      </w:r>
      <w:r>
        <w:rPr>
          <w:rFonts w:ascii="仿宋" w:eastAsia="仿宋" w:hAnsi="仿宋" w:cs="仿宋"/>
          <w:spacing w:val="14"/>
          <w:sz w:val="22"/>
          <w:szCs w:val="22"/>
        </w:rPr>
        <w:t>水分、矿物质和维生素</w:t>
      </w:r>
    </w:p>
    <w:p w:rsidR="00EA40A3" w:rsidRDefault="00E86C16">
      <w:pPr>
        <w:spacing w:before="194" w:line="249" w:lineRule="auto"/>
        <w:ind w:right="52" w:firstLine="439"/>
        <w:jc w:val="both"/>
        <w:rPr>
          <w:rFonts w:ascii="宋体" w:eastAsia="宋体" w:hAnsi="宋体" w:cs="宋体"/>
          <w:sz w:val="22"/>
          <w:szCs w:val="22"/>
        </w:rPr>
      </w:pPr>
      <w:r>
        <w:rPr>
          <w:rFonts w:ascii="宋体" w:eastAsia="宋体" w:hAnsi="宋体" w:cs="宋体"/>
          <w:spacing w:val="-6"/>
          <w:sz w:val="22"/>
          <w:szCs w:val="22"/>
        </w:rPr>
        <w:t>运动员进行大运动量或持久耐力运动时汗液流失增加，导致机体失水量</w:t>
      </w:r>
      <w:r>
        <w:rPr>
          <w:rFonts w:ascii="宋体" w:eastAsia="宋体" w:hAnsi="宋体" w:cs="宋体"/>
          <w:spacing w:val="-7"/>
          <w:sz w:val="22"/>
          <w:szCs w:val="22"/>
        </w:rPr>
        <w:t>增</w:t>
      </w:r>
      <w:r>
        <w:rPr>
          <w:rFonts w:ascii="宋体" w:eastAsia="宋体" w:hAnsi="宋体" w:cs="宋体"/>
          <w:sz w:val="22"/>
          <w:szCs w:val="22"/>
        </w:rPr>
        <w:t xml:space="preserve"> </w:t>
      </w:r>
      <w:r>
        <w:rPr>
          <w:rFonts w:ascii="宋体" w:eastAsia="宋体" w:hAnsi="宋体" w:cs="宋体"/>
          <w:spacing w:val="-13"/>
          <w:sz w:val="22"/>
          <w:szCs w:val="22"/>
        </w:rPr>
        <w:t>加，且体内矿物质和维生素尤其是水溶性维生素随汗液丢失，因而特别需要注意</w:t>
      </w:r>
      <w:r>
        <w:rPr>
          <w:rFonts w:ascii="宋体" w:eastAsia="宋体" w:hAnsi="宋体" w:cs="宋体"/>
          <w:spacing w:val="17"/>
          <w:sz w:val="22"/>
          <w:szCs w:val="22"/>
        </w:rPr>
        <w:t xml:space="preserve"> </w:t>
      </w:r>
      <w:r>
        <w:rPr>
          <w:rFonts w:ascii="宋体" w:eastAsia="宋体" w:hAnsi="宋体" w:cs="宋体"/>
          <w:spacing w:val="-13"/>
          <w:sz w:val="22"/>
          <w:szCs w:val="22"/>
        </w:rPr>
        <w:t>对运动员水分、矿物质及维生素的补充。运动前、运动中及运动后补液对于恢复</w:t>
      </w:r>
      <w:r>
        <w:rPr>
          <w:rFonts w:ascii="宋体" w:eastAsia="宋体" w:hAnsi="宋体" w:cs="宋体"/>
          <w:spacing w:val="13"/>
          <w:sz w:val="22"/>
          <w:szCs w:val="22"/>
        </w:rPr>
        <w:t xml:space="preserve"> </w:t>
      </w:r>
      <w:r>
        <w:rPr>
          <w:rFonts w:ascii="宋体" w:eastAsia="宋体" w:hAnsi="宋体" w:cs="宋体"/>
          <w:spacing w:val="-11"/>
          <w:sz w:val="22"/>
          <w:szCs w:val="22"/>
        </w:rPr>
        <w:t>运动员机体水、电解质平衡，促进废物排出以及体力恢复有重要作用。</w:t>
      </w:r>
      <w:r>
        <w:rPr>
          <w:rFonts w:ascii="宋体" w:eastAsia="宋体" w:hAnsi="宋体" w:cs="宋体"/>
          <w:spacing w:val="42"/>
          <w:sz w:val="22"/>
          <w:szCs w:val="22"/>
        </w:rPr>
        <w:t xml:space="preserve"> </w:t>
      </w:r>
      <w:r>
        <w:rPr>
          <w:rFonts w:ascii="宋体" w:eastAsia="宋体" w:hAnsi="宋体" w:cs="宋体"/>
          <w:spacing w:val="-11"/>
          <w:sz w:val="22"/>
          <w:szCs w:val="22"/>
        </w:rPr>
        <w:t>一般来</w:t>
      </w:r>
      <w:r>
        <w:rPr>
          <w:rFonts w:ascii="宋体" w:eastAsia="宋体" w:hAnsi="宋体" w:cs="宋体"/>
          <w:sz w:val="22"/>
          <w:szCs w:val="22"/>
        </w:rPr>
        <w:t xml:space="preserve"> </w:t>
      </w:r>
      <w:r>
        <w:rPr>
          <w:rFonts w:ascii="宋体" w:eastAsia="宋体" w:hAnsi="宋体" w:cs="宋体"/>
          <w:spacing w:val="-1"/>
          <w:sz w:val="22"/>
          <w:szCs w:val="22"/>
        </w:rPr>
        <w:t>讲，运动前2h</w:t>
      </w:r>
      <w:r>
        <w:rPr>
          <w:rFonts w:ascii="宋体" w:eastAsia="宋体" w:hAnsi="宋体" w:cs="宋体"/>
          <w:spacing w:val="-65"/>
          <w:sz w:val="22"/>
          <w:szCs w:val="22"/>
        </w:rPr>
        <w:t xml:space="preserve"> </w:t>
      </w:r>
      <w:r>
        <w:rPr>
          <w:rFonts w:ascii="宋体" w:eastAsia="宋体" w:hAnsi="宋体" w:cs="宋体"/>
          <w:spacing w:val="-1"/>
          <w:sz w:val="22"/>
          <w:szCs w:val="22"/>
        </w:rPr>
        <w:t>或15～20min可以补充400～600mL,含电解质及糖类</w:t>
      </w:r>
      <w:r>
        <w:rPr>
          <w:rFonts w:ascii="宋体" w:eastAsia="宋体" w:hAnsi="宋体" w:cs="宋体"/>
          <w:spacing w:val="-2"/>
          <w:sz w:val="22"/>
          <w:szCs w:val="22"/>
        </w:rPr>
        <w:t>的饮料，分</w:t>
      </w:r>
      <w:r>
        <w:rPr>
          <w:rFonts w:ascii="宋体" w:eastAsia="宋体" w:hAnsi="宋体" w:cs="宋体"/>
          <w:sz w:val="22"/>
          <w:szCs w:val="22"/>
        </w:rPr>
        <w:t xml:space="preserve"> </w:t>
      </w:r>
      <w:r>
        <w:rPr>
          <w:rFonts w:ascii="宋体" w:eastAsia="宋体" w:hAnsi="宋体" w:cs="宋体"/>
          <w:spacing w:val="-6"/>
          <w:sz w:val="22"/>
          <w:szCs w:val="22"/>
        </w:rPr>
        <w:t>次摄入，每次100～200mL;</w:t>
      </w:r>
      <w:r>
        <w:rPr>
          <w:rFonts w:ascii="宋体" w:eastAsia="宋体" w:hAnsi="宋体" w:cs="宋体"/>
          <w:spacing w:val="80"/>
          <w:sz w:val="22"/>
          <w:szCs w:val="22"/>
        </w:rPr>
        <w:t xml:space="preserve"> </w:t>
      </w:r>
      <w:r>
        <w:rPr>
          <w:rFonts w:ascii="宋体" w:eastAsia="宋体" w:hAnsi="宋体" w:cs="宋体"/>
          <w:spacing w:val="-6"/>
          <w:sz w:val="22"/>
          <w:szCs w:val="22"/>
        </w:rPr>
        <w:t>运动中补液总量不超过800mL/h,</w:t>
      </w:r>
      <w:r>
        <w:rPr>
          <w:rFonts w:ascii="宋体" w:eastAsia="宋体" w:hAnsi="宋体" w:cs="宋体"/>
          <w:spacing w:val="53"/>
          <w:sz w:val="22"/>
          <w:szCs w:val="22"/>
        </w:rPr>
        <w:t xml:space="preserve"> </w:t>
      </w:r>
      <w:r>
        <w:rPr>
          <w:rFonts w:ascii="宋体" w:eastAsia="宋体" w:hAnsi="宋体" w:cs="宋体"/>
          <w:spacing w:val="-6"/>
          <w:sz w:val="22"/>
          <w:szCs w:val="22"/>
        </w:rPr>
        <w:t>少量多次，每次</w:t>
      </w:r>
      <w:r>
        <w:rPr>
          <w:rFonts w:ascii="宋体" w:eastAsia="宋体" w:hAnsi="宋体" w:cs="宋体"/>
          <w:sz w:val="22"/>
          <w:szCs w:val="22"/>
        </w:rPr>
        <w:t xml:space="preserve"> </w:t>
      </w:r>
      <w:r>
        <w:rPr>
          <w:rFonts w:ascii="宋体" w:eastAsia="宋体" w:hAnsi="宋体" w:cs="宋体"/>
          <w:spacing w:val="2"/>
          <w:sz w:val="22"/>
          <w:szCs w:val="22"/>
        </w:rPr>
        <w:t>100～300</w:t>
      </w:r>
      <w:r>
        <w:rPr>
          <w:rFonts w:ascii="宋体" w:eastAsia="宋体" w:hAnsi="宋体" w:cs="宋体"/>
          <w:sz w:val="22"/>
          <w:szCs w:val="22"/>
        </w:rPr>
        <w:t>mL</w:t>
      </w:r>
      <w:r>
        <w:rPr>
          <w:rFonts w:ascii="宋体" w:eastAsia="宋体" w:hAnsi="宋体" w:cs="宋体"/>
          <w:spacing w:val="2"/>
          <w:sz w:val="22"/>
          <w:szCs w:val="22"/>
        </w:rPr>
        <w:t>,</w:t>
      </w:r>
      <w:r>
        <w:rPr>
          <w:rFonts w:ascii="宋体" w:eastAsia="宋体" w:hAnsi="宋体" w:cs="宋体"/>
          <w:spacing w:val="50"/>
          <w:sz w:val="22"/>
          <w:szCs w:val="22"/>
        </w:rPr>
        <w:t xml:space="preserve"> </w:t>
      </w:r>
      <w:r>
        <w:rPr>
          <w:rFonts w:ascii="宋体" w:eastAsia="宋体" w:hAnsi="宋体" w:cs="宋体"/>
          <w:spacing w:val="2"/>
          <w:sz w:val="22"/>
          <w:szCs w:val="22"/>
        </w:rPr>
        <w:t>最初30</w:t>
      </w:r>
      <w:r>
        <w:rPr>
          <w:rFonts w:ascii="宋体" w:eastAsia="宋体" w:hAnsi="宋体" w:cs="宋体"/>
          <w:sz w:val="22"/>
          <w:szCs w:val="22"/>
        </w:rPr>
        <w:t>min</w:t>
      </w:r>
      <w:r>
        <w:rPr>
          <w:rFonts w:ascii="宋体" w:eastAsia="宋体" w:hAnsi="宋体" w:cs="宋体"/>
          <w:spacing w:val="-57"/>
          <w:sz w:val="22"/>
          <w:szCs w:val="22"/>
        </w:rPr>
        <w:t xml:space="preserve"> </w:t>
      </w:r>
      <w:r>
        <w:rPr>
          <w:rFonts w:ascii="宋体" w:eastAsia="宋体" w:hAnsi="宋体" w:cs="宋体"/>
          <w:spacing w:val="2"/>
          <w:sz w:val="22"/>
          <w:szCs w:val="22"/>
        </w:rPr>
        <w:t>之内不需补液，运动时间少于60</w:t>
      </w:r>
      <w:r>
        <w:rPr>
          <w:rFonts w:ascii="宋体" w:eastAsia="宋体" w:hAnsi="宋体" w:cs="宋体"/>
          <w:sz w:val="22"/>
          <w:szCs w:val="22"/>
        </w:rPr>
        <w:t>min</w:t>
      </w:r>
      <w:r>
        <w:rPr>
          <w:rFonts w:ascii="宋体" w:eastAsia="宋体" w:hAnsi="宋体" w:cs="宋体"/>
          <w:spacing w:val="-47"/>
          <w:sz w:val="22"/>
          <w:szCs w:val="22"/>
        </w:rPr>
        <w:t xml:space="preserve"> </w:t>
      </w:r>
      <w:r>
        <w:rPr>
          <w:rFonts w:ascii="宋体" w:eastAsia="宋体" w:hAnsi="宋体" w:cs="宋体"/>
          <w:spacing w:val="2"/>
          <w:sz w:val="22"/>
          <w:szCs w:val="22"/>
        </w:rPr>
        <w:t>时补充白水即</w:t>
      </w:r>
      <w:r>
        <w:rPr>
          <w:rFonts w:ascii="宋体" w:eastAsia="宋体" w:hAnsi="宋体" w:cs="宋体"/>
          <w:sz w:val="22"/>
          <w:szCs w:val="22"/>
        </w:rPr>
        <w:t xml:space="preserve"> </w:t>
      </w:r>
      <w:r>
        <w:rPr>
          <w:rFonts w:ascii="宋体" w:eastAsia="宋体" w:hAnsi="宋体" w:cs="宋体"/>
          <w:spacing w:val="-5"/>
          <w:sz w:val="22"/>
          <w:szCs w:val="22"/>
        </w:rPr>
        <w:t>可，超过60min</w:t>
      </w:r>
      <w:r>
        <w:rPr>
          <w:rFonts w:ascii="宋体" w:eastAsia="宋体" w:hAnsi="宋体" w:cs="宋体"/>
          <w:spacing w:val="-42"/>
          <w:sz w:val="22"/>
          <w:szCs w:val="22"/>
        </w:rPr>
        <w:t xml:space="preserve"> </w:t>
      </w:r>
      <w:r>
        <w:rPr>
          <w:rFonts w:ascii="宋体" w:eastAsia="宋体" w:hAnsi="宋体" w:cs="宋体"/>
          <w:spacing w:val="-5"/>
          <w:sz w:val="22"/>
          <w:szCs w:val="22"/>
        </w:rPr>
        <w:t>时可考虑补充含电解质和糖的运动饮料；运动后补液应视具体</w:t>
      </w:r>
      <w:r>
        <w:rPr>
          <w:rFonts w:ascii="宋体" w:eastAsia="宋体" w:hAnsi="宋体" w:cs="宋体"/>
          <w:sz w:val="22"/>
          <w:szCs w:val="22"/>
        </w:rPr>
        <w:t xml:space="preserve"> </w:t>
      </w:r>
      <w:r>
        <w:rPr>
          <w:rFonts w:ascii="宋体" w:eastAsia="宋体" w:hAnsi="宋体" w:cs="宋体"/>
          <w:spacing w:val="-7"/>
          <w:sz w:val="22"/>
          <w:szCs w:val="22"/>
        </w:rPr>
        <w:t>情况少量多次给予补充。此外，运动员在训练及比赛中维生素的补充也尤为重</w:t>
      </w:r>
      <w:r>
        <w:rPr>
          <w:rFonts w:ascii="宋体" w:eastAsia="宋体" w:hAnsi="宋体" w:cs="宋体"/>
          <w:spacing w:val="17"/>
          <w:sz w:val="22"/>
          <w:szCs w:val="22"/>
        </w:rPr>
        <w:t xml:space="preserve"> </w:t>
      </w:r>
      <w:r>
        <w:rPr>
          <w:rFonts w:ascii="宋体" w:eastAsia="宋体" w:hAnsi="宋体" w:cs="宋体"/>
          <w:spacing w:val="-6"/>
          <w:sz w:val="22"/>
          <w:szCs w:val="22"/>
        </w:rPr>
        <w:t>要，如维生素B</w:t>
      </w:r>
      <w:r>
        <w:rPr>
          <w:rFonts w:ascii="Calibri" w:eastAsia="Calibri" w:hAnsi="Calibri" w:cs="Calibri"/>
          <w:spacing w:val="-6"/>
          <w:sz w:val="22"/>
          <w:szCs w:val="22"/>
        </w:rPr>
        <w:t>₁</w:t>
      </w:r>
      <w:r>
        <w:rPr>
          <w:rFonts w:ascii="Calibri" w:eastAsia="Calibri" w:hAnsi="Calibri" w:cs="Calibri"/>
          <w:spacing w:val="-25"/>
          <w:sz w:val="22"/>
          <w:szCs w:val="22"/>
        </w:rPr>
        <w:t xml:space="preserve"> </w:t>
      </w:r>
      <w:r>
        <w:rPr>
          <w:rFonts w:ascii="宋体" w:eastAsia="宋体" w:hAnsi="宋体" w:cs="宋体"/>
          <w:spacing w:val="-6"/>
          <w:sz w:val="22"/>
          <w:szCs w:val="22"/>
        </w:rPr>
        <w:t>、维生素B2、</w:t>
      </w:r>
      <w:r>
        <w:rPr>
          <w:rFonts w:ascii="宋体" w:eastAsia="宋体" w:hAnsi="宋体" w:cs="宋体"/>
          <w:spacing w:val="-57"/>
          <w:sz w:val="22"/>
          <w:szCs w:val="22"/>
        </w:rPr>
        <w:t xml:space="preserve"> </w:t>
      </w:r>
      <w:r>
        <w:rPr>
          <w:rFonts w:ascii="宋体" w:eastAsia="宋体" w:hAnsi="宋体" w:cs="宋体"/>
          <w:spacing w:val="-6"/>
          <w:sz w:val="22"/>
          <w:szCs w:val="22"/>
        </w:rPr>
        <w:t>维生素Bg和维生素C</w:t>
      </w:r>
      <w:r>
        <w:rPr>
          <w:rFonts w:ascii="宋体" w:eastAsia="宋体" w:hAnsi="宋体" w:cs="宋体"/>
          <w:spacing w:val="-23"/>
          <w:sz w:val="22"/>
          <w:szCs w:val="22"/>
        </w:rPr>
        <w:t xml:space="preserve"> </w:t>
      </w:r>
      <w:r>
        <w:rPr>
          <w:rFonts w:ascii="宋体" w:eastAsia="宋体" w:hAnsi="宋体" w:cs="宋体"/>
          <w:spacing w:val="-6"/>
          <w:sz w:val="22"/>
          <w:szCs w:val="22"/>
        </w:rPr>
        <w:t>会影响运动员红细胞转酮酶</w:t>
      </w:r>
      <w:r>
        <w:rPr>
          <w:rFonts w:ascii="宋体" w:eastAsia="宋体" w:hAnsi="宋体" w:cs="宋体"/>
          <w:sz w:val="22"/>
          <w:szCs w:val="22"/>
        </w:rPr>
        <w:t xml:space="preserve"> </w:t>
      </w:r>
      <w:r>
        <w:rPr>
          <w:rFonts w:ascii="宋体" w:eastAsia="宋体" w:hAnsi="宋体" w:cs="宋体"/>
          <w:spacing w:val="-8"/>
          <w:sz w:val="22"/>
          <w:szCs w:val="22"/>
        </w:rPr>
        <w:t>活力及有氧运动能力；维生素B</w:t>
      </w:r>
      <w:r>
        <w:rPr>
          <w:rFonts w:ascii="Calibri" w:eastAsia="Calibri" w:hAnsi="Calibri" w:cs="Calibri"/>
          <w:spacing w:val="-8"/>
          <w:sz w:val="22"/>
          <w:szCs w:val="22"/>
        </w:rPr>
        <w:t>₂</w:t>
      </w:r>
      <w:r>
        <w:rPr>
          <w:rFonts w:ascii="Calibri" w:eastAsia="Calibri" w:hAnsi="Calibri" w:cs="Calibri"/>
          <w:spacing w:val="5"/>
          <w:sz w:val="22"/>
          <w:szCs w:val="22"/>
        </w:rPr>
        <w:t xml:space="preserve">  </w:t>
      </w:r>
      <w:r>
        <w:rPr>
          <w:rFonts w:ascii="宋体" w:eastAsia="宋体" w:hAnsi="宋体" w:cs="宋体"/>
          <w:spacing w:val="-8"/>
          <w:sz w:val="22"/>
          <w:szCs w:val="22"/>
        </w:rPr>
        <w:t>的缺乏可能使</w:t>
      </w:r>
      <w:r>
        <w:rPr>
          <w:rFonts w:ascii="宋体" w:eastAsia="宋体" w:hAnsi="宋体" w:cs="宋体"/>
          <w:spacing w:val="-9"/>
          <w:sz w:val="22"/>
          <w:szCs w:val="22"/>
        </w:rPr>
        <w:t>机体运动氧的能力下降；维生素</w:t>
      </w:r>
      <w:r>
        <w:rPr>
          <w:rFonts w:ascii="宋体" w:eastAsia="宋体" w:hAnsi="宋体" w:cs="宋体"/>
          <w:sz w:val="22"/>
          <w:szCs w:val="22"/>
        </w:rPr>
        <w:t xml:space="preserve"> </w:t>
      </w:r>
      <w:r>
        <w:rPr>
          <w:rFonts w:ascii="宋体" w:eastAsia="宋体" w:hAnsi="宋体" w:cs="宋体"/>
          <w:spacing w:val="-12"/>
          <w:sz w:val="22"/>
          <w:szCs w:val="22"/>
        </w:rPr>
        <w:t>E</w:t>
      </w:r>
      <w:r>
        <w:rPr>
          <w:rFonts w:ascii="宋体" w:eastAsia="宋体" w:hAnsi="宋体" w:cs="宋体"/>
          <w:spacing w:val="-40"/>
          <w:sz w:val="22"/>
          <w:szCs w:val="22"/>
        </w:rPr>
        <w:t xml:space="preserve"> </w:t>
      </w:r>
      <w:r>
        <w:rPr>
          <w:rFonts w:ascii="宋体" w:eastAsia="宋体" w:hAnsi="宋体" w:cs="宋体"/>
          <w:spacing w:val="-12"/>
          <w:sz w:val="22"/>
          <w:szCs w:val="22"/>
        </w:rPr>
        <w:t>能够提高运动员高原训练的运动能力等。推荐的我国运动员每日主要矿物质及</w:t>
      </w:r>
      <w:r>
        <w:rPr>
          <w:rFonts w:ascii="宋体" w:eastAsia="宋体" w:hAnsi="宋体" w:cs="宋体"/>
          <w:sz w:val="22"/>
          <w:szCs w:val="22"/>
        </w:rPr>
        <w:t xml:space="preserve"> </w:t>
      </w:r>
      <w:r>
        <w:rPr>
          <w:rFonts w:ascii="宋体" w:eastAsia="宋体" w:hAnsi="宋体" w:cs="宋体"/>
          <w:spacing w:val="-9"/>
          <w:sz w:val="22"/>
          <w:szCs w:val="22"/>
        </w:rPr>
        <w:t>维生素的适宜摄入量如表10-16所示。</w:t>
      </w:r>
    </w:p>
    <w:p w:rsidR="00EA40A3" w:rsidRDefault="00EA40A3">
      <w:pPr>
        <w:sectPr w:rsidR="00EA40A3">
          <w:footerReference w:type="default" r:id="rId286"/>
          <w:pgSz w:w="9220" w:h="13360"/>
          <w:pgMar w:top="400" w:right="899" w:bottom="1224" w:left="979" w:header="0" w:footer="991" w:gutter="0"/>
          <w:cols w:space="720"/>
        </w:sectPr>
      </w:pPr>
    </w:p>
    <w:p w:rsidR="00EA40A3" w:rsidRDefault="00EA40A3">
      <w:pPr>
        <w:spacing w:line="300" w:lineRule="auto"/>
      </w:pPr>
    </w:p>
    <w:p w:rsidR="00EA40A3" w:rsidRDefault="00EA40A3">
      <w:pPr>
        <w:spacing w:line="300" w:lineRule="auto"/>
      </w:pPr>
    </w:p>
    <w:p w:rsidR="00EA40A3" w:rsidRDefault="00E86C16">
      <w:pPr>
        <w:spacing w:before="59" w:line="221" w:lineRule="auto"/>
        <w:ind w:left="1102"/>
        <w:rPr>
          <w:rFonts w:ascii="黑体" w:eastAsia="黑体" w:hAnsi="黑体" w:cs="黑体"/>
          <w:sz w:val="18"/>
          <w:szCs w:val="18"/>
        </w:rPr>
      </w:pPr>
      <w:r>
        <w:rPr>
          <w:rFonts w:ascii="黑体" w:eastAsia="黑体" w:hAnsi="黑体" w:cs="黑体"/>
          <w:b/>
          <w:bCs/>
          <w:spacing w:val="-3"/>
          <w:sz w:val="18"/>
          <w:szCs w:val="18"/>
        </w:rPr>
        <w:t>表10-16</w:t>
      </w:r>
      <w:r>
        <w:rPr>
          <w:rFonts w:ascii="黑体" w:eastAsia="黑体" w:hAnsi="黑体" w:cs="黑体"/>
          <w:spacing w:val="88"/>
          <w:sz w:val="18"/>
          <w:szCs w:val="18"/>
        </w:rPr>
        <w:t xml:space="preserve"> </w:t>
      </w:r>
      <w:r>
        <w:rPr>
          <w:rFonts w:ascii="黑体" w:eastAsia="黑体" w:hAnsi="黑体" w:cs="黑体"/>
          <w:b/>
          <w:bCs/>
          <w:spacing w:val="-3"/>
          <w:sz w:val="18"/>
          <w:szCs w:val="18"/>
        </w:rPr>
        <w:t>推荐的中国运动员每日矿物质及维生素适宜摄入量</w:t>
      </w:r>
      <w:r>
        <w:rPr>
          <w:rFonts w:ascii="黑体" w:eastAsia="黑体" w:hAnsi="黑体" w:cs="黑体"/>
          <w:spacing w:val="-15"/>
          <w:sz w:val="18"/>
          <w:szCs w:val="18"/>
        </w:rPr>
        <w:t xml:space="preserve"> </w:t>
      </w:r>
      <w:r>
        <w:rPr>
          <w:rFonts w:ascii="黑体" w:eastAsia="黑体" w:hAnsi="黑体" w:cs="黑体"/>
          <w:b/>
          <w:bCs/>
          <w:spacing w:val="-3"/>
          <w:sz w:val="18"/>
          <w:szCs w:val="18"/>
        </w:rPr>
        <w:t>(AI)</w:t>
      </w:r>
    </w:p>
    <w:p w:rsidR="00EA40A3" w:rsidRDefault="00EA40A3">
      <w:pPr>
        <w:spacing w:line="76" w:lineRule="exact"/>
      </w:pPr>
    </w:p>
    <w:tbl>
      <w:tblPr>
        <w:tblStyle w:val="TableNormal"/>
        <w:tblW w:w="723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5"/>
        <w:gridCol w:w="2245"/>
        <w:gridCol w:w="1475"/>
        <w:gridCol w:w="2144"/>
      </w:tblGrid>
      <w:tr w:rsidR="00EA40A3">
        <w:trPr>
          <w:trHeight w:val="304"/>
        </w:trPr>
        <w:tc>
          <w:tcPr>
            <w:tcW w:w="1375" w:type="dxa"/>
            <w:tcBorders>
              <w:left w:val="nil"/>
              <w:right w:val="nil"/>
            </w:tcBorders>
          </w:tcPr>
          <w:p w:rsidR="00EA40A3" w:rsidRDefault="00E86C16">
            <w:pPr>
              <w:spacing w:before="92" w:line="219" w:lineRule="auto"/>
              <w:ind w:left="469"/>
              <w:rPr>
                <w:rFonts w:ascii="宋体" w:eastAsia="宋体" w:hAnsi="宋体" w:cs="宋体"/>
                <w:sz w:val="17"/>
                <w:szCs w:val="17"/>
              </w:rPr>
            </w:pPr>
            <w:r>
              <w:rPr>
                <w:rFonts w:ascii="宋体" w:eastAsia="宋体" w:hAnsi="宋体" w:cs="宋体"/>
                <w:spacing w:val="6"/>
                <w:sz w:val="17"/>
                <w:szCs w:val="17"/>
              </w:rPr>
              <w:t>矿物质</w:t>
            </w:r>
          </w:p>
        </w:tc>
        <w:tc>
          <w:tcPr>
            <w:tcW w:w="2245" w:type="dxa"/>
            <w:tcBorders>
              <w:left w:val="nil"/>
            </w:tcBorders>
          </w:tcPr>
          <w:p w:rsidR="00EA40A3" w:rsidRDefault="00E86C16">
            <w:pPr>
              <w:spacing w:before="82" w:line="219" w:lineRule="auto"/>
              <w:ind w:left="944"/>
              <w:rPr>
                <w:rFonts w:ascii="宋体" w:eastAsia="宋体" w:hAnsi="宋体" w:cs="宋体"/>
                <w:sz w:val="17"/>
                <w:szCs w:val="17"/>
              </w:rPr>
            </w:pPr>
            <w:r>
              <w:rPr>
                <w:rFonts w:ascii="宋体" w:eastAsia="宋体" w:hAnsi="宋体" w:cs="宋体"/>
                <w:spacing w:val="-1"/>
                <w:sz w:val="17"/>
                <w:szCs w:val="17"/>
              </w:rPr>
              <w:t>AI值</w:t>
            </w:r>
          </w:p>
        </w:tc>
        <w:tc>
          <w:tcPr>
            <w:tcW w:w="1475" w:type="dxa"/>
            <w:tcBorders>
              <w:right w:val="nil"/>
            </w:tcBorders>
          </w:tcPr>
          <w:p w:rsidR="00EA40A3" w:rsidRDefault="00E86C16">
            <w:pPr>
              <w:spacing w:before="82" w:line="219" w:lineRule="auto"/>
              <w:ind w:left="424"/>
              <w:rPr>
                <w:rFonts w:ascii="宋体" w:eastAsia="宋体" w:hAnsi="宋体" w:cs="宋体"/>
                <w:sz w:val="17"/>
                <w:szCs w:val="17"/>
              </w:rPr>
            </w:pPr>
            <w:r>
              <w:rPr>
                <w:rFonts w:ascii="宋体" w:eastAsia="宋体" w:hAnsi="宋体" w:cs="宋体"/>
                <w:spacing w:val="-3"/>
                <w:sz w:val="17"/>
                <w:szCs w:val="17"/>
              </w:rPr>
              <w:t>维生素</w:t>
            </w:r>
          </w:p>
        </w:tc>
        <w:tc>
          <w:tcPr>
            <w:tcW w:w="2144" w:type="dxa"/>
            <w:tcBorders>
              <w:left w:val="nil"/>
              <w:right w:val="nil"/>
            </w:tcBorders>
          </w:tcPr>
          <w:p w:rsidR="00EA40A3" w:rsidRDefault="00E86C16">
            <w:pPr>
              <w:spacing w:before="82" w:line="219" w:lineRule="auto"/>
              <w:ind w:left="874"/>
              <w:rPr>
                <w:rFonts w:ascii="宋体" w:eastAsia="宋体" w:hAnsi="宋体" w:cs="宋体"/>
                <w:sz w:val="17"/>
                <w:szCs w:val="17"/>
              </w:rPr>
            </w:pPr>
            <w:r>
              <w:rPr>
                <w:rFonts w:ascii="宋体" w:eastAsia="宋体" w:hAnsi="宋体" w:cs="宋体"/>
                <w:spacing w:val="-1"/>
                <w:sz w:val="17"/>
                <w:szCs w:val="17"/>
              </w:rPr>
              <w:t>AI值</w:t>
            </w:r>
          </w:p>
        </w:tc>
      </w:tr>
      <w:tr w:rsidR="00EA40A3">
        <w:trPr>
          <w:trHeight w:val="3075"/>
        </w:trPr>
        <w:tc>
          <w:tcPr>
            <w:tcW w:w="1375" w:type="dxa"/>
            <w:tcBorders>
              <w:left w:val="nil"/>
              <w:right w:val="nil"/>
            </w:tcBorders>
            <w:textDirection w:val="tbRlV"/>
          </w:tcPr>
          <w:p w:rsidR="00EA40A3" w:rsidRDefault="00EA40A3">
            <w:pPr>
              <w:spacing w:line="259" w:lineRule="auto"/>
            </w:pPr>
          </w:p>
          <w:p w:rsidR="00EA40A3" w:rsidRDefault="00EA40A3">
            <w:pPr>
              <w:spacing w:line="259" w:lineRule="auto"/>
            </w:pPr>
          </w:p>
          <w:p w:rsidR="00EA40A3" w:rsidRDefault="00E86C16">
            <w:pPr>
              <w:spacing w:before="57" w:line="209" w:lineRule="auto"/>
              <w:ind w:left="79"/>
              <w:rPr>
                <w:rFonts w:ascii="宋体" w:eastAsia="宋体" w:hAnsi="宋体" w:cs="宋体"/>
                <w:sz w:val="17"/>
                <w:szCs w:val="17"/>
              </w:rPr>
            </w:pPr>
            <w:r>
              <w:rPr>
                <w:rFonts w:ascii="宋体" w:eastAsia="宋体" w:hAnsi="宋体" w:cs="宋体"/>
                <w:spacing w:val="-1"/>
                <w:sz w:val="17"/>
                <w:szCs w:val="17"/>
              </w:rPr>
              <w:t>钠</w:t>
            </w:r>
            <w:r>
              <w:rPr>
                <w:rFonts w:ascii="宋体" w:eastAsia="宋体" w:hAnsi="宋体" w:cs="宋体"/>
                <w:spacing w:val="48"/>
                <w:sz w:val="17"/>
                <w:szCs w:val="17"/>
              </w:rPr>
              <w:t xml:space="preserve"> </w:t>
            </w:r>
            <w:r>
              <w:rPr>
                <w:rFonts w:ascii="宋体" w:eastAsia="宋体" w:hAnsi="宋体" w:cs="宋体"/>
                <w:spacing w:val="-1"/>
                <w:sz w:val="17"/>
                <w:szCs w:val="17"/>
              </w:rPr>
              <w:t>钾</w:t>
            </w:r>
            <w:r>
              <w:rPr>
                <w:rFonts w:ascii="宋体" w:eastAsia="宋体" w:hAnsi="宋体" w:cs="宋体"/>
                <w:spacing w:val="67"/>
                <w:sz w:val="17"/>
                <w:szCs w:val="17"/>
              </w:rPr>
              <w:t xml:space="preserve"> </w:t>
            </w:r>
            <w:r>
              <w:rPr>
                <w:rFonts w:ascii="宋体" w:eastAsia="宋体" w:hAnsi="宋体" w:cs="宋体"/>
                <w:spacing w:val="-1"/>
                <w:sz w:val="17"/>
                <w:szCs w:val="17"/>
              </w:rPr>
              <w:t>镁</w:t>
            </w:r>
            <w:r>
              <w:rPr>
                <w:rFonts w:ascii="宋体" w:eastAsia="宋体" w:hAnsi="宋体" w:cs="宋体"/>
                <w:spacing w:val="45"/>
                <w:sz w:val="17"/>
                <w:szCs w:val="17"/>
              </w:rPr>
              <w:t xml:space="preserve"> </w:t>
            </w:r>
            <w:r>
              <w:rPr>
                <w:rFonts w:ascii="宋体" w:eastAsia="宋体" w:hAnsi="宋体" w:cs="宋体"/>
                <w:spacing w:val="-1"/>
                <w:sz w:val="17"/>
                <w:szCs w:val="17"/>
              </w:rPr>
              <w:t>钙</w:t>
            </w:r>
            <w:r>
              <w:rPr>
                <w:rFonts w:ascii="宋体" w:eastAsia="宋体" w:hAnsi="宋体" w:cs="宋体"/>
                <w:spacing w:val="54"/>
                <w:w w:val="101"/>
                <w:sz w:val="17"/>
                <w:szCs w:val="17"/>
              </w:rPr>
              <w:t xml:space="preserve"> </w:t>
            </w:r>
            <w:r>
              <w:rPr>
                <w:rFonts w:ascii="宋体" w:eastAsia="宋体" w:hAnsi="宋体" w:cs="宋体"/>
                <w:spacing w:val="-1"/>
                <w:sz w:val="17"/>
                <w:szCs w:val="17"/>
              </w:rPr>
              <w:t>铁</w:t>
            </w:r>
            <w:r>
              <w:rPr>
                <w:rFonts w:ascii="宋体" w:eastAsia="宋体" w:hAnsi="宋体" w:cs="宋体"/>
                <w:spacing w:val="54"/>
                <w:sz w:val="17"/>
                <w:szCs w:val="17"/>
              </w:rPr>
              <w:t xml:space="preserve"> </w:t>
            </w:r>
            <w:r>
              <w:rPr>
                <w:rFonts w:ascii="宋体" w:eastAsia="宋体" w:hAnsi="宋体" w:cs="宋体"/>
                <w:spacing w:val="-1"/>
                <w:sz w:val="17"/>
                <w:szCs w:val="17"/>
              </w:rPr>
              <w:t>锌</w:t>
            </w:r>
          </w:p>
        </w:tc>
        <w:tc>
          <w:tcPr>
            <w:tcW w:w="2245" w:type="dxa"/>
            <w:tcBorders>
              <w:left w:val="nil"/>
            </w:tcBorders>
          </w:tcPr>
          <w:p w:rsidR="00EA40A3" w:rsidRDefault="00E86C16">
            <w:pPr>
              <w:spacing w:before="82" w:line="214" w:lineRule="auto"/>
              <w:ind w:left="394"/>
              <w:rPr>
                <w:rFonts w:ascii="宋体" w:eastAsia="宋体" w:hAnsi="宋体" w:cs="宋体"/>
                <w:sz w:val="17"/>
                <w:szCs w:val="17"/>
              </w:rPr>
            </w:pPr>
            <w:r>
              <w:rPr>
                <w:rFonts w:ascii="宋体" w:eastAsia="宋体" w:hAnsi="宋体" w:cs="宋体"/>
                <w:spacing w:val="3"/>
                <w:sz w:val="17"/>
                <w:szCs w:val="17"/>
              </w:rPr>
              <w:t>&lt;5g(高温环境&lt;8g)</w:t>
            </w:r>
          </w:p>
          <w:p w:rsidR="00EA40A3" w:rsidRDefault="00E86C16">
            <w:pPr>
              <w:spacing w:before="130" w:line="183" w:lineRule="auto"/>
              <w:ind w:left="924"/>
              <w:rPr>
                <w:rFonts w:ascii="宋体" w:eastAsia="宋体" w:hAnsi="宋体" w:cs="宋体"/>
                <w:sz w:val="17"/>
                <w:szCs w:val="17"/>
              </w:rPr>
            </w:pPr>
            <w:r>
              <w:rPr>
                <w:rFonts w:ascii="宋体" w:eastAsia="宋体" w:hAnsi="宋体" w:cs="宋体"/>
                <w:spacing w:val="-3"/>
                <w:sz w:val="17"/>
                <w:szCs w:val="17"/>
              </w:rPr>
              <w:t>3～4g</w:t>
            </w:r>
          </w:p>
          <w:p w:rsidR="00EA40A3" w:rsidRDefault="00E86C16">
            <w:pPr>
              <w:spacing w:before="161" w:line="183" w:lineRule="auto"/>
              <w:ind w:left="724"/>
              <w:rPr>
                <w:rFonts w:ascii="宋体" w:eastAsia="宋体" w:hAnsi="宋体" w:cs="宋体"/>
                <w:sz w:val="17"/>
                <w:szCs w:val="17"/>
              </w:rPr>
            </w:pPr>
            <w:r>
              <w:rPr>
                <w:rFonts w:ascii="宋体" w:eastAsia="宋体" w:hAnsi="宋体" w:cs="宋体"/>
                <w:spacing w:val="-1"/>
                <w:sz w:val="17"/>
                <w:szCs w:val="17"/>
              </w:rPr>
              <w:t>400～500mg</w:t>
            </w:r>
          </w:p>
          <w:p w:rsidR="00EA40A3" w:rsidRDefault="00E86C16">
            <w:pPr>
              <w:spacing w:before="130" w:line="184" w:lineRule="auto"/>
              <w:ind w:left="644"/>
              <w:rPr>
                <w:rFonts w:ascii="宋体" w:eastAsia="宋体" w:hAnsi="宋体" w:cs="宋体"/>
                <w:sz w:val="17"/>
                <w:szCs w:val="17"/>
              </w:rPr>
            </w:pPr>
            <w:r>
              <w:rPr>
                <w:rFonts w:ascii="宋体" w:eastAsia="宋体" w:hAnsi="宋体" w:cs="宋体"/>
                <w:spacing w:val="-2"/>
                <w:sz w:val="17"/>
                <w:szCs w:val="17"/>
              </w:rPr>
              <w:t>1000～1500mg</w:t>
            </w:r>
          </w:p>
          <w:p w:rsidR="00EA40A3" w:rsidRDefault="00E86C16">
            <w:pPr>
              <w:spacing w:before="141" w:line="183" w:lineRule="auto"/>
              <w:ind w:left="794"/>
              <w:rPr>
                <w:rFonts w:ascii="宋体" w:eastAsia="宋体" w:hAnsi="宋体" w:cs="宋体"/>
                <w:sz w:val="17"/>
                <w:szCs w:val="17"/>
              </w:rPr>
            </w:pPr>
            <w:r>
              <w:rPr>
                <w:rFonts w:ascii="宋体" w:eastAsia="宋体" w:hAnsi="宋体" w:cs="宋体"/>
                <w:spacing w:val="-2"/>
                <w:sz w:val="17"/>
                <w:szCs w:val="17"/>
              </w:rPr>
              <w:t>20～25mg</w:t>
            </w:r>
          </w:p>
          <w:p w:rsidR="00EA40A3" w:rsidRDefault="00E86C16">
            <w:pPr>
              <w:spacing w:before="111" w:line="183" w:lineRule="auto"/>
              <w:ind w:left="784"/>
              <w:rPr>
                <w:rFonts w:ascii="宋体" w:eastAsia="宋体" w:hAnsi="宋体" w:cs="宋体"/>
                <w:sz w:val="17"/>
                <w:szCs w:val="17"/>
              </w:rPr>
            </w:pPr>
            <w:r>
              <w:rPr>
                <w:rFonts w:ascii="宋体" w:eastAsia="宋体" w:hAnsi="宋体" w:cs="宋体"/>
                <w:spacing w:val="-2"/>
                <w:sz w:val="17"/>
                <w:szCs w:val="17"/>
              </w:rPr>
              <w:t>20～25mg</w:t>
            </w:r>
          </w:p>
        </w:tc>
        <w:tc>
          <w:tcPr>
            <w:tcW w:w="1475" w:type="dxa"/>
            <w:tcBorders>
              <w:right w:val="nil"/>
            </w:tcBorders>
          </w:tcPr>
          <w:p w:rsidR="00EA40A3" w:rsidRDefault="00E86C16">
            <w:pPr>
              <w:spacing w:before="78" w:line="219" w:lineRule="auto"/>
              <w:ind w:left="424"/>
              <w:rPr>
                <w:rFonts w:ascii="宋体" w:eastAsia="宋体" w:hAnsi="宋体" w:cs="宋体"/>
                <w:sz w:val="17"/>
                <w:szCs w:val="17"/>
              </w:rPr>
            </w:pPr>
            <w:r>
              <w:rPr>
                <w:rFonts w:ascii="宋体" w:eastAsia="宋体" w:hAnsi="宋体" w:cs="宋体"/>
                <w:spacing w:val="-3"/>
                <w:sz w:val="17"/>
                <w:szCs w:val="17"/>
              </w:rPr>
              <w:t>维生素A</w:t>
            </w:r>
          </w:p>
          <w:p w:rsidR="00EA40A3" w:rsidRDefault="00E86C16">
            <w:pPr>
              <w:spacing w:before="118" w:line="219" w:lineRule="auto"/>
              <w:ind w:left="424"/>
              <w:rPr>
                <w:rFonts w:ascii="宋体" w:eastAsia="宋体" w:hAnsi="宋体" w:cs="宋体"/>
                <w:sz w:val="17"/>
                <w:szCs w:val="17"/>
              </w:rPr>
            </w:pPr>
            <w:r>
              <w:rPr>
                <w:rFonts w:ascii="宋体" w:eastAsia="宋体" w:hAnsi="宋体" w:cs="宋体"/>
                <w:spacing w:val="-3"/>
                <w:sz w:val="17"/>
                <w:szCs w:val="17"/>
              </w:rPr>
              <w:t>维生素D</w:t>
            </w:r>
          </w:p>
          <w:p w:rsidR="00EA40A3" w:rsidRDefault="00E86C16">
            <w:pPr>
              <w:spacing w:before="98" w:line="219" w:lineRule="auto"/>
              <w:ind w:left="424"/>
              <w:rPr>
                <w:rFonts w:ascii="宋体" w:eastAsia="宋体" w:hAnsi="宋体" w:cs="宋体"/>
                <w:sz w:val="17"/>
                <w:szCs w:val="17"/>
              </w:rPr>
            </w:pPr>
            <w:r>
              <w:rPr>
                <w:rFonts w:ascii="宋体" w:eastAsia="宋体" w:hAnsi="宋体" w:cs="宋体"/>
                <w:spacing w:val="-3"/>
                <w:sz w:val="17"/>
                <w:szCs w:val="17"/>
              </w:rPr>
              <w:t>维生素E</w:t>
            </w:r>
          </w:p>
          <w:p w:rsidR="00EA40A3" w:rsidRDefault="00E86C16">
            <w:pPr>
              <w:spacing w:before="116" w:line="305" w:lineRule="auto"/>
              <w:ind w:left="424" w:right="242"/>
              <w:rPr>
                <w:rFonts w:ascii="宋体" w:eastAsia="宋体" w:hAnsi="宋体" w:cs="宋体"/>
                <w:sz w:val="17"/>
                <w:szCs w:val="17"/>
              </w:rPr>
            </w:pPr>
            <w:r>
              <w:rPr>
                <w:rFonts w:ascii="宋体" w:eastAsia="宋体" w:hAnsi="宋体" w:cs="宋体"/>
                <w:spacing w:val="19"/>
                <w:sz w:val="17"/>
                <w:szCs w:val="17"/>
              </w:rPr>
              <w:t>维生素B</w:t>
            </w:r>
            <w:r>
              <w:rPr>
                <w:rFonts w:ascii="Calibri" w:eastAsia="Calibri" w:hAnsi="Calibri" w:cs="Calibri"/>
                <w:spacing w:val="19"/>
                <w:sz w:val="17"/>
                <w:szCs w:val="17"/>
              </w:rPr>
              <w:t>₁</w:t>
            </w:r>
            <w:r>
              <w:rPr>
                <w:rFonts w:ascii="Calibri" w:eastAsia="Calibri" w:hAnsi="Calibri" w:cs="Calibri"/>
                <w:sz w:val="17"/>
                <w:szCs w:val="17"/>
              </w:rPr>
              <w:t xml:space="preserve">   </w:t>
            </w:r>
            <w:r>
              <w:rPr>
                <w:rFonts w:ascii="宋体" w:eastAsia="宋体" w:hAnsi="宋体" w:cs="宋体"/>
                <w:spacing w:val="-2"/>
                <w:sz w:val="17"/>
                <w:szCs w:val="17"/>
              </w:rPr>
              <w:t>维生素B2</w:t>
            </w:r>
            <w:r>
              <w:rPr>
                <w:rFonts w:ascii="宋体" w:eastAsia="宋体" w:hAnsi="宋体" w:cs="宋体"/>
                <w:sz w:val="17"/>
                <w:szCs w:val="17"/>
              </w:rPr>
              <w:t xml:space="preserve">  </w:t>
            </w:r>
            <w:r>
              <w:rPr>
                <w:rFonts w:ascii="宋体" w:eastAsia="宋体" w:hAnsi="宋体" w:cs="宋体"/>
                <w:spacing w:val="4"/>
                <w:sz w:val="17"/>
                <w:szCs w:val="17"/>
              </w:rPr>
              <w:t>维生素</w:t>
            </w:r>
            <w:r>
              <w:rPr>
                <w:rFonts w:ascii="宋体" w:eastAsia="宋体" w:hAnsi="宋体" w:cs="宋体"/>
                <w:sz w:val="17"/>
                <w:szCs w:val="17"/>
              </w:rPr>
              <w:t xml:space="preserve">Bs  </w:t>
            </w:r>
            <w:r>
              <w:rPr>
                <w:rFonts w:ascii="宋体" w:eastAsia="宋体" w:hAnsi="宋体" w:cs="宋体"/>
                <w:spacing w:val="13"/>
                <w:sz w:val="17"/>
                <w:szCs w:val="17"/>
              </w:rPr>
              <w:t>维生素B</w:t>
            </w:r>
            <w:r>
              <w:rPr>
                <w:rFonts w:ascii="Calibri" w:eastAsia="Calibri" w:hAnsi="Calibri" w:cs="Calibri"/>
                <w:spacing w:val="13"/>
                <w:sz w:val="17"/>
                <w:szCs w:val="17"/>
              </w:rPr>
              <w:t>₁</w:t>
            </w:r>
            <w:r>
              <w:rPr>
                <w:rFonts w:ascii="宋体" w:eastAsia="宋体" w:hAnsi="宋体" w:cs="宋体"/>
                <w:spacing w:val="13"/>
                <w:sz w:val="17"/>
                <w:szCs w:val="17"/>
              </w:rPr>
              <w:t>z</w:t>
            </w:r>
          </w:p>
          <w:p w:rsidR="00EA40A3" w:rsidRDefault="00E86C16">
            <w:pPr>
              <w:spacing w:before="119" w:line="221" w:lineRule="auto"/>
              <w:ind w:left="584"/>
              <w:rPr>
                <w:rFonts w:ascii="宋体" w:eastAsia="宋体" w:hAnsi="宋体" w:cs="宋体"/>
                <w:sz w:val="17"/>
                <w:szCs w:val="17"/>
              </w:rPr>
            </w:pPr>
            <w:r>
              <w:rPr>
                <w:rFonts w:ascii="宋体" w:eastAsia="宋体" w:hAnsi="宋体" w:cs="宋体"/>
                <w:spacing w:val="-2"/>
                <w:sz w:val="17"/>
                <w:szCs w:val="17"/>
              </w:rPr>
              <w:t>烟酸</w:t>
            </w:r>
          </w:p>
          <w:p w:rsidR="00EA40A3" w:rsidRDefault="00E86C16">
            <w:pPr>
              <w:spacing w:before="95" w:line="310" w:lineRule="exact"/>
              <w:ind w:left="584"/>
              <w:rPr>
                <w:rFonts w:ascii="宋体" w:eastAsia="宋体" w:hAnsi="宋体" w:cs="宋体"/>
                <w:sz w:val="17"/>
                <w:szCs w:val="17"/>
              </w:rPr>
            </w:pPr>
            <w:r>
              <w:rPr>
                <w:rFonts w:ascii="宋体" w:eastAsia="宋体" w:hAnsi="宋体" w:cs="宋体"/>
                <w:spacing w:val="3"/>
                <w:position w:val="10"/>
                <w:sz w:val="17"/>
                <w:szCs w:val="17"/>
              </w:rPr>
              <w:t>叶酸</w:t>
            </w:r>
          </w:p>
          <w:p w:rsidR="00EA40A3" w:rsidRDefault="00E86C16">
            <w:pPr>
              <w:spacing w:line="219" w:lineRule="auto"/>
              <w:ind w:left="424"/>
              <w:rPr>
                <w:rFonts w:ascii="宋体" w:eastAsia="宋体" w:hAnsi="宋体" w:cs="宋体"/>
                <w:sz w:val="17"/>
                <w:szCs w:val="17"/>
              </w:rPr>
            </w:pPr>
            <w:r>
              <w:rPr>
                <w:rFonts w:ascii="宋体" w:eastAsia="宋体" w:hAnsi="宋体" w:cs="宋体"/>
                <w:spacing w:val="-3"/>
                <w:sz w:val="17"/>
                <w:szCs w:val="17"/>
              </w:rPr>
              <w:t>维生素C</w:t>
            </w:r>
          </w:p>
        </w:tc>
        <w:tc>
          <w:tcPr>
            <w:tcW w:w="2144" w:type="dxa"/>
            <w:tcBorders>
              <w:left w:val="nil"/>
              <w:right w:val="nil"/>
            </w:tcBorders>
          </w:tcPr>
          <w:p w:rsidR="00EA40A3" w:rsidRDefault="00E86C16">
            <w:pPr>
              <w:spacing w:before="88" w:line="184" w:lineRule="auto"/>
              <w:ind w:left="464"/>
              <w:rPr>
                <w:rFonts w:ascii="宋体" w:eastAsia="宋体" w:hAnsi="宋体" w:cs="宋体"/>
                <w:sz w:val="17"/>
                <w:szCs w:val="17"/>
              </w:rPr>
            </w:pPr>
            <w:r>
              <w:rPr>
                <w:rFonts w:ascii="宋体" w:eastAsia="宋体" w:hAnsi="宋体" w:cs="宋体"/>
                <w:spacing w:val="-2"/>
                <w:sz w:val="17"/>
                <w:szCs w:val="17"/>
              </w:rPr>
              <w:t>1500～1800ug</w:t>
            </w:r>
            <w:r>
              <w:rPr>
                <w:rFonts w:ascii="宋体" w:eastAsia="宋体" w:hAnsi="宋体" w:cs="宋体"/>
                <w:spacing w:val="8"/>
                <w:sz w:val="17"/>
                <w:szCs w:val="17"/>
              </w:rPr>
              <w:t xml:space="preserve"> </w:t>
            </w:r>
            <w:r>
              <w:rPr>
                <w:rFonts w:ascii="宋体" w:eastAsia="宋体" w:hAnsi="宋体" w:cs="宋体"/>
                <w:spacing w:val="-2"/>
                <w:sz w:val="17"/>
                <w:szCs w:val="17"/>
              </w:rPr>
              <w:t>RE</w:t>
            </w:r>
          </w:p>
          <w:p w:rsidR="00EA40A3" w:rsidRDefault="00E86C16">
            <w:pPr>
              <w:spacing w:before="170" w:line="184" w:lineRule="auto"/>
              <w:ind w:left="684"/>
              <w:rPr>
                <w:rFonts w:ascii="宋体" w:eastAsia="宋体" w:hAnsi="宋体" w:cs="宋体"/>
                <w:sz w:val="17"/>
                <w:szCs w:val="17"/>
              </w:rPr>
            </w:pPr>
            <w:r>
              <w:rPr>
                <w:rFonts w:ascii="宋体" w:eastAsia="宋体" w:hAnsi="宋体" w:cs="宋体"/>
                <w:spacing w:val="-2"/>
                <w:sz w:val="17"/>
                <w:szCs w:val="17"/>
              </w:rPr>
              <w:t>10～12.5μg</w:t>
            </w:r>
          </w:p>
          <w:p w:rsidR="00EA40A3" w:rsidRDefault="00E86C16">
            <w:pPr>
              <w:spacing w:before="114" w:line="214" w:lineRule="auto"/>
              <w:ind w:left="254"/>
              <w:rPr>
                <w:rFonts w:ascii="宋体" w:eastAsia="宋体" w:hAnsi="宋体" w:cs="宋体"/>
                <w:sz w:val="17"/>
                <w:szCs w:val="17"/>
              </w:rPr>
            </w:pPr>
            <w:r>
              <w:rPr>
                <w:rFonts w:ascii="宋体" w:eastAsia="宋体" w:hAnsi="宋体" w:cs="宋体"/>
                <w:spacing w:val="3"/>
                <w:sz w:val="17"/>
                <w:szCs w:val="17"/>
              </w:rPr>
              <w:t>30</w:t>
            </w:r>
            <w:r>
              <w:rPr>
                <w:rFonts w:ascii="宋体" w:eastAsia="宋体" w:hAnsi="宋体" w:cs="宋体"/>
                <w:sz w:val="17"/>
                <w:szCs w:val="17"/>
              </w:rPr>
              <w:t>mg</w:t>
            </w:r>
            <w:r>
              <w:rPr>
                <w:rFonts w:ascii="宋体" w:eastAsia="宋体" w:hAnsi="宋体" w:cs="宋体"/>
                <w:spacing w:val="3"/>
                <w:sz w:val="17"/>
                <w:szCs w:val="17"/>
              </w:rPr>
              <w:t>(高原30～50</w:t>
            </w:r>
            <w:r>
              <w:rPr>
                <w:rFonts w:ascii="宋体" w:eastAsia="宋体" w:hAnsi="宋体" w:cs="宋体"/>
                <w:sz w:val="17"/>
                <w:szCs w:val="17"/>
              </w:rPr>
              <w:t>mg</w:t>
            </w:r>
            <w:r>
              <w:rPr>
                <w:rFonts w:ascii="宋体" w:eastAsia="宋体" w:hAnsi="宋体" w:cs="宋体"/>
                <w:spacing w:val="3"/>
                <w:sz w:val="17"/>
                <w:szCs w:val="17"/>
              </w:rPr>
              <w:t>)</w:t>
            </w:r>
          </w:p>
          <w:p w:rsidR="00EA40A3" w:rsidRDefault="00E86C16">
            <w:pPr>
              <w:spacing w:before="140" w:line="183" w:lineRule="auto"/>
              <w:ind w:left="794"/>
              <w:rPr>
                <w:rFonts w:ascii="宋体" w:eastAsia="宋体" w:hAnsi="宋体" w:cs="宋体"/>
                <w:sz w:val="17"/>
                <w:szCs w:val="17"/>
              </w:rPr>
            </w:pPr>
            <w:r>
              <w:rPr>
                <w:rFonts w:ascii="宋体" w:eastAsia="宋体" w:hAnsi="宋体" w:cs="宋体"/>
                <w:spacing w:val="-2"/>
                <w:sz w:val="17"/>
                <w:szCs w:val="17"/>
              </w:rPr>
              <w:t>3～5mg</w:t>
            </w:r>
          </w:p>
          <w:p w:rsidR="00EA40A3" w:rsidRDefault="00E86C16">
            <w:pPr>
              <w:spacing w:before="141" w:line="183" w:lineRule="auto"/>
              <w:ind w:left="734"/>
              <w:rPr>
                <w:rFonts w:ascii="宋体" w:eastAsia="宋体" w:hAnsi="宋体" w:cs="宋体"/>
                <w:sz w:val="17"/>
                <w:szCs w:val="17"/>
              </w:rPr>
            </w:pPr>
            <w:r>
              <w:rPr>
                <w:rFonts w:ascii="宋体" w:eastAsia="宋体" w:hAnsi="宋体" w:cs="宋体"/>
                <w:spacing w:val="-1"/>
                <w:sz w:val="17"/>
                <w:szCs w:val="17"/>
              </w:rPr>
              <w:t>2～2.5mg</w:t>
            </w:r>
          </w:p>
          <w:p w:rsidR="00EA40A3" w:rsidRDefault="00E86C16">
            <w:pPr>
              <w:spacing w:before="121" w:line="183" w:lineRule="auto"/>
              <w:ind w:left="634"/>
              <w:rPr>
                <w:rFonts w:ascii="宋体" w:eastAsia="宋体" w:hAnsi="宋体" w:cs="宋体"/>
                <w:sz w:val="17"/>
                <w:szCs w:val="17"/>
              </w:rPr>
            </w:pPr>
            <w:r>
              <w:rPr>
                <w:rFonts w:ascii="宋体" w:eastAsia="宋体" w:hAnsi="宋体" w:cs="宋体"/>
                <w:spacing w:val="-1"/>
                <w:sz w:val="17"/>
                <w:szCs w:val="17"/>
              </w:rPr>
              <w:t>2.5～3.0mg</w:t>
            </w:r>
          </w:p>
          <w:p w:rsidR="00EA40A3" w:rsidRDefault="00E86C16">
            <w:pPr>
              <w:spacing w:before="151" w:line="300" w:lineRule="exact"/>
              <w:ind w:left="944"/>
              <w:rPr>
                <w:rFonts w:ascii="宋体" w:eastAsia="宋体" w:hAnsi="宋体" w:cs="宋体"/>
                <w:sz w:val="17"/>
                <w:szCs w:val="17"/>
              </w:rPr>
            </w:pPr>
            <w:r>
              <w:rPr>
                <w:rFonts w:ascii="宋体" w:eastAsia="宋体" w:hAnsi="宋体" w:cs="宋体"/>
                <w:spacing w:val="-3"/>
                <w:position w:val="12"/>
                <w:sz w:val="17"/>
                <w:szCs w:val="17"/>
              </w:rPr>
              <w:t>2μg</w:t>
            </w:r>
          </w:p>
          <w:p w:rsidR="00EA40A3" w:rsidRDefault="00E86C16">
            <w:pPr>
              <w:spacing w:before="1" w:line="182" w:lineRule="auto"/>
              <w:ind w:left="704"/>
              <w:rPr>
                <w:rFonts w:ascii="宋体" w:eastAsia="宋体" w:hAnsi="宋体" w:cs="宋体"/>
                <w:sz w:val="17"/>
                <w:szCs w:val="17"/>
              </w:rPr>
            </w:pPr>
            <w:r>
              <w:rPr>
                <w:rFonts w:ascii="宋体" w:eastAsia="宋体" w:hAnsi="宋体" w:cs="宋体"/>
                <w:spacing w:val="-2"/>
                <w:sz w:val="17"/>
                <w:szCs w:val="17"/>
              </w:rPr>
              <w:t>20～30mg</w:t>
            </w:r>
          </w:p>
          <w:p w:rsidR="00EA40A3" w:rsidRDefault="00E86C16">
            <w:pPr>
              <w:spacing w:before="182" w:line="183" w:lineRule="auto"/>
              <w:ind w:left="864"/>
              <w:rPr>
                <w:rFonts w:ascii="宋体" w:eastAsia="宋体" w:hAnsi="宋体" w:cs="宋体"/>
                <w:sz w:val="17"/>
                <w:szCs w:val="17"/>
              </w:rPr>
            </w:pPr>
            <w:r>
              <w:rPr>
                <w:rFonts w:ascii="宋体" w:eastAsia="宋体" w:hAnsi="宋体" w:cs="宋体"/>
                <w:spacing w:val="-1"/>
                <w:sz w:val="17"/>
                <w:szCs w:val="17"/>
              </w:rPr>
              <w:t>400μg</w:t>
            </w:r>
          </w:p>
          <w:p w:rsidR="00EA40A3" w:rsidRDefault="00E86C16">
            <w:pPr>
              <w:spacing w:before="94" w:line="209" w:lineRule="auto"/>
              <w:ind w:left="274"/>
              <w:rPr>
                <w:rFonts w:ascii="宋体" w:eastAsia="宋体" w:hAnsi="宋体" w:cs="宋体"/>
                <w:sz w:val="17"/>
                <w:szCs w:val="17"/>
              </w:rPr>
            </w:pPr>
            <w:r>
              <w:rPr>
                <w:rFonts w:ascii="宋体" w:eastAsia="宋体" w:hAnsi="宋体" w:cs="宋体"/>
                <w:spacing w:val="3"/>
                <w:sz w:val="17"/>
                <w:szCs w:val="17"/>
              </w:rPr>
              <w:t>140</w:t>
            </w:r>
            <w:r>
              <w:rPr>
                <w:rFonts w:ascii="宋体" w:eastAsia="宋体" w:hAnsi="宋体" w:cs="宋体"/>
                <w:sz w:val="17"/>
                <w:szCs w:val="17"/>
              </w:rPr>
              <w:t>mg</w:t>
            </w:r>
            <w:r>
              <w:rPr>
                <w:rFonts w:ascii="宋体" w:eastAsia="宋体" w:hAnsi="宋体" w:cs="宋体"/>
                <w:spacing w:val="3"/>
                <w:sz w:val="17"/>
                <w:szCs w:val="17"/>
              </w:rPr>
              <w:t>(比赛期200</w:t>
            </w:r>
            <w:r>
              <w:rPr>
                <w:rFonts w:ascii="宋体" w:eastAsia="宋体" w:hAnsi="宋体" w:cs="宋体"/>
                <w:sz w:val="17"/>
                <w:szCs w:val="17"/>
              </w:rPr>
              <w:t>mg</w:t>
            </w:r>
            <w:r>
              <w:rPr>
                <w:rFonts w:ascii="宋体" w:eastAsia="宋体" w:hAnsi="宋体" w:cs="宋体"/>
                <w:spacing w:val="3"/>
                <w:sz w:val="17"/>
                <w:szCs w:val="17"/>
              </w:rPr>
              <w:t>)</w:t>
            </w:r>
          </w:p>
        </w:tc>
      </w:tr>
    </w:tbl>
    <w:p w:rsidR="00EA40A3" w:rsidRDefault="00E86C16">
      <w:pPr>
        <w:spacing w:before="61" w:line="219" w:lineRule="auto"/>
        <w:ind w:left="369"/>
        <w:rPr>
          <w:rFonts w:ascii="宋体" w:eastAsia="宋体" w:hAnsi="宋体" w:cs="宋体"/>
          <w:sz w:val="18"/>
          <w:szCs w:val="18"/>
        </w:rPr>
      </w:pPr>
      <w:r>
        <w:rPr>
          <w:rFonts w:ascii="宋体" w:eastAsia="宋体" w:hAnsi="宋体" w:cs="宋体"/>
          <w:spacing w:val="-15"/>
          <w:sz w:val="18"/>
          <w:szCs w:val="18"/>
        </w:rPr>
        <w:t>资料来源：葛可佑.2004.中国营养科学全书.</w:t>
      </w:r>
      <w:r>
        <w:rPr>
          <w:rFonts w:ascii="宋体" w:eastAsia="宋体" w:hAnsi="宋体" w:cs="宋体"/>
          <w:spacing w:val="-16"/>
          <w:sz w:val="18"/>
          <w:szCs w:val="18"/>
        </w:rPr>
        <w:t>北京：人民卫生出版社</w:t>
      </w:r>
    </w:p>
    <w:p w:rsidR="00EA40A3" w:rsidRDefault="00EA40A3">
      <w:pPr>
        <w:spacing w:line="410" w:lineRule="auto"/>
      </w:pPr>
    </w:p>
    <w:p w:rsidR="00EA40A3" w:rsidRDefault="00E86C16">
      <w:pPr>
        <w:spacing w:before="71" w:line="221" w:lineRule="auto"/>
        <w:ind w:left="3"/>
        <w:outlineLvl w:val="6"/>
        <w:rPr>
          <w:rFonts w:ascii="黑体" w:eastAsia="黑体" w:hAnsi="黑体" w:cs="黑体"/>
          <w:sz w:val="22"/>
          <w:szCs w:val="22"/>
        </w:rPr>
      </w:pPr>
      <w:r>
        <w:rPr>
          <w:rFonts w:ascii="黑体" w:eastAsia="黑体" w:hAnsi="黑体" w:cs="黑体"/>
          <w:b/>
          <w:bCs/>
          <w:spacing w:val="8"/>
          <w:sz w:val="22"/>
          <w:szCs w:val="22"/>
        </w:rPr>
        <w:t>10.6.3</w:t>
      </w:r>
      <w:r>
        <w:rPr>
          <w:rFonts w:ascii="黑体" w:eastAsia="黑体" w:hAnsi="黑体" w:cs="黑体"/>
          <w:spacing w:val="5"/>
          <w:sz w:val="22"/>
          <w:szCs w:val="22"/>
        </w:rPr>
        <w:t xml:space="preserve">   </w:t>
      </w:r>
      <w:r>
        <w:rPr>
          <w:rFonts w:ascii="黑体" w:eastAsia="黑体" w:hAnsi="黑体" w:cs="黑体"/>
          <w:b/>
          <w:bCs/>
          <w:spacing w:val="8"/>
          <w:sz w:val="22"/>
          <w:szCs w:val="22"/>
        </w:rPr>
        <w:t>不同运动项目的营养需要</w:t>
      </w:r>
    </w:p>
    <w:p w:rsidR="00EA40A3" w:rsidRDefault="00E86C16">
      <w:pPr>
        <w:spacing w:before="180" w:line="236" w:lineRule="auto"/>
        <w:ind w:right="21" w:firstLine="470"/>
        <w:rPr>
          <w:rFonts w:ascii="宋体" w:eastAsia="宋体" w:hAnsi="宋体" w:cs="宋体"/>
          <w:sz w:val="22"/>
          <w:szCs w:val="22"/>
        </w:rPr>
      </w:pPr>
      <w:r>
        <w:rPr>
          <w:rFonts w:ascii="宋体" w:eastAsia="宋体" w:hAnsi="宋体" w:cs="宋体"/>
          <w:spacing w:val="-13"/>
          <w:sz w:val="22"/>
          <w:szCs w:val="22"/>
        </w:rPr>
        <w:t>运动项目有很多种，根据项目的特点，可大致</w:t>
      </w:r>
      <w:r>
        <w:rPr>
          <w:rFonts w:ascii="宋体" w:eastAsia="宋体" w:hAnsi="宋体" w:cs="宋体"/>
          <w:spacing w:val="-14"/>
          <w:sz w:val="22"/>
          <w:szCs w:val="22"/>
        </w:rPr>
        <w:t>归为耐力型、力量型、灵敏技</w:t>
      </w:r>
      <w:r>
        <w:rPr>
          <w:rFonts w:ascii="宋体" w:eastAsia="宋体" w:hAnsi="宋体" w:cs="宋体"/>
          <w:sz w:val="22"/>
          <w:szCs w:val="22"/>
        </w:rPr>
        <w:t xml:space="preserve"> </w:t>
      </w:r>
      <w:r>
        <w:rPr>
          <w:rFonts w:ascii="宋体" w:eastAsia="宋体" w:hAnsi="宋体" w:cs="宋体"/>
          <w:spacing w:val="-9"/>
          <w:sz w:val="22"/>
          <w:szCs w:val="22"/>
        </w:rPr>
        <w:t>巧型和团体项目4类，每一类的运动项目对营</w:t>
      </w:r>
      <w:r>
        <w:rPr>
          <w:rFonts w:ascii="宋体" w:eastAsia="宋体" w:hAnsi="宋体" w:cs="宋体"/>
          <w:spacing w:val="-10"/>
          <w:sz w:val="22"/>
          <w:szCs w:val="22"/>
        </w:rPr>
        <w:t>养的需要不同。</w:t>
      </w:r>
    </w:p>
    <w:p w:rsidR="00EA40A3" w:rsidRDefault="00E86C16">
      <w:pPr>
        <w:spacing w:before="215" w:line="221" w:lineRule="auto"/>
        <w:rPr>
          <w:rFonts w:ascii="仿宋" w:eastAsia="仿宋" w:hAnsi="仿宋" w:cs="仿宋"/>
          <w:sz w:val="22"/>
          <w:szCs w:val="22"/>
        </w:rPr>
      </w:pPr>
      <w:r>
        <w:rPr>
          <w:rFonts w:ascii="仿宋" w:eastAsia="仿宋" w:hAnsi="仿宋" w:cs="仿宋"/>
          <w:spacing w:val="11"/>
          <w:sz w:val="22"/>
          <w:szCs w:val="22"/>
        </w:rPr>
        <w:t>1.</w:t>
      </w:r>
      <w:r>
        <w:rPr>
          <w:rFonts w:ascii="仿宋" w:eastAsia="仿宋" w:hAnsi="仿宋" w:cs="仿宋"/>
          <w:spacing w:val="-26"/>
          <w:sz w:val="22"/>
          <w:szCs w:val="22"/>
        </w:rPr>
        <w:t xml:space="preserve"> </w:t>
      </w:r>
      <w:r>
        <w:rPr>
          <w:rFonts w:ascii="仿宋" w:eastAsia="仿宋" w:hAnsi="仿宋" w:cs="仿宋"/>
          <w:spacing w:val="11"/>
          <w:sz w:val="22"/>
          <w:szCs w:val="22"/>
        </w:rPr>
        <w:t>耐力型运动的营养需要</w:t>
      </w:r>
    </w:p>
    <w:p w:rsidR="00EA40A3" w:rsidRDefault="00E86C16">
      <w:pPr>
        <w:spacing w:before="184" w:line="249" w:lineRule="auto"/>
        <w:ind w:right="19" w:firstLine="470"/>
        <w:jc w:val="both"/>
        <w:rPr>
          <w:rFonts w:ascii="宋体" w:eastAsia="宋体" w:hAnsi="宋体" w:cs="宋体"/>
          <w:sz w:val="22"/>
          <w:szCs w:val="22"/>
        </w:rPr>
      </w:pPr>
      <w:r>
        <w:rPr>
          <w:rFonts w:ascii="宋体" w:eastAsia="宋体" w:hAnsi="宋体" w:cs="宋体"/>
          <w:spacing w:val="-13"/>
          <w:sz w:val="22"/>
          <w:szCs w:val="22"/>
        </w:rPr>
        <w:t>耐力型运动一般包括马拉松、长跑、竞走、长距离</w:t>
      </w:r>
      <w:r>
        <w:rPr>
          <w:rFonts w:ascii="宋体" w:eastAsia="宋体" w:hAnsi="宋体" w:cs="宋体"/>
          <w:spacing w:val="-14"/>
          <w:sz w:val="22"/>
          <w:szCs w:val="22"/>
        </w:rPr>
        <w:t>自行车、长距离游泳和滑</w:t>
      </w:r>
      <w:r>
        <w:rPr>
          <w:rFonts w:ascii="宋体" w:eastAsia="宋体" w:hAnsi="宋体" w:cs="宋体"/>
          <w:sz w:val="22"/>
          <w:szCs w:val="22"/>
        </w:rPr>
        <w:t xml:space="preserve"> </w:t>
      </w:r>
      <w:r>
        <w:rPr>
          <w:rFonts w:ascii="宋体" w:eastAsia="宋体" w:hAnsi="宋体" w:cs="宋体"/>
          <w:spacing w:val="-14"/>
          <w:sz w:val="22"/>
          <w:szCs w:val="22"/>
        </w:rPr>
        <w:t>雪等项目。这些项目的共同特点是运动时间长，运动中无间歇，运动强度相对较</w:t>
      </w:r>
      <w:r>
        <w:rPr>
          <w:rFonts w:ascii="宋体" w:eastAsia="宋体" w:hAnsi="宋体" w:cs="宋体"/>
          <w:spacing w:val="17"/>
          <w:sz w:val="22"/>
          <w:szCs w:val="22"/>
        </w:rPr>
        <w:t xml:space="preserve"> </w:t>
      </w:r>
      <w:r>
        <w:rPr>
          <w:rFonts w:ascii="宋体" w:eastAsia="宋体" w:hAnsi="宋体" w:cs="宋体"/>
          <w:spacing w:val="-13"/>
          <w:sz w:val="22"/>
          <w:szCs w:val="22"/>
        </w:rPr>
        <w:t>小，主要为有氧运动，能量消耗大，出汗量多</w:t>
      </w:r>
      <w:r>
        <w:rPr>
          <w:rFonts w:ascii="宋体" w:eastAsia="宋体" w:hAnsi="宋体" w:cs="宋体"/>
          <w:spacing w:val="-14"/>
          <w:sz w:val="22"/>
          <w:szCs w:val="22"/>
        </w:rPr>
        <w:t>。由于运动时间长，运动后期可能</w:t>
      </w:r>
      <w:r>
        <w:rPr>
          <w:rFonts w:ascii="宋体" w:eastAsia="宋体" w:hAnsi="宋体" w:cs="宋体"/>
          <w:sz w:val="22"/>
          <w:szCs w:val="22"/>
        </w:rPr>
        <w:t xml:space="preserve"> </w:t>
      </w:r>
      <w:r>
        <w:rPr>
          <w:rFonts w:ascii="宋体" w:eastAsia="宋体" w:hAnsi="宋体" w:cs="宋体"/>
          <w:spacing w:val="-13"/>
          <w:sz w:val="22"/>
          <w:szCs w:val="22"/>
        </w:rPr>
        <w:t>引起中枢神经疲劳，耐力下降，代谢稳定性受到破坏。因此，对于</w:t>
      </w:r>
      <w:r>
        <w:rPr>
          <w:rFonts w:ascii="宋体" w:eastAsia="宋体" w:hAnsi="宋体" w:cs="宋体"/>
          <w:spacing w:val="-14"/>
          <w:sz w:val="22"/>
          <w:szCs w:val="22"/>
        </w:rPr>
        <w:t>从事该类项目</w:t>
      </w:r>
      <w:r>
        <w:rPr>
          <w:rFonts w:ascii="宋体" w:eastAsia="宋体" w:hAnsi="宋体" w:cs="宋体"/>
          <w:sz w:val="22"/>
          <w:szCs w:val="22"/>
        </w:rPr>
        <w:t xml:space="preserve"> </w:t>
      </w:r>
      <w:r>
        <w:rPr>
          <w:rFonts w:ascii="宋体" w:eastAsia="宋体" w:hAnsi="宋体" w:cs="宋体"/>
          <w:spacing w:val="-14"/>
          <w:sz w:val="22"/>
          <w:szCs w:val="22"/>
        </w:rPr>
        <w:t>的运动员，其营养的重点在于：提供充足的能量，保持适宜的血糖水平，碳水化</w:t>
      </w:r>
      <w:r>
        <w:rPr>
          <w:rFonts w:ascii="宋体" w:eastAsia="宋体" w:hAnsi="宋体" w:cs="宋体"/>
          <w:spacing w:val="17"/>
          <w:sz w:val="22"/>
          <w:szCs w:val="22"/>
        </w:rPr>
        <w:t xml:space="preserve"> </w:t>
      </w:r>
      <w:r>
        <w:rPr>
          <w:rFonts w:ascii="宋体" w:eastAsia="宋体" w:hAnsi="宋体" w:cs="宋体"/>
          <w:spacing w:val="2"/>
          <w:sz w:val="22"/>
          <w:szCs w:val="22"/>
        </w:rPr>
        <w:t>合物的供给量占总能量的60%～70%;提供有丰富的蛋白质、铁、钙和维生素</w:t>
      </w:r>
      <w:r>
        <w:rPr>
          <w:rFonts w:ascii="宋体" w:eastAsia="宋体" w:hAnsi="宋体" w:cs="宋体"/>
          <w:spacing w:val="7"/>
          <w:sz w:val="22"/>
          <w:szCs w:val="22"/>
        </w:rPr>
        <w:t xml:space="preserve"> </w:t>
      </w:r>
      <w:r>
        <w:rPr>
          <w:rFonts w:ascii="宋体" w:eastAsia="宋体" w:hAnsi="宋体" w:cs="宋体"/>
          <w:spacing w:val="-9"/>
          <w:sz w:val="22"/>
          <w:szCs w:val="22"/>
        </w:rPr>
        <w:t>C、维生素E</w:t>
      </w:r>
      <w:r>
        <w:rPr>
          <w:rFonts w:ascii="宋体" w:eastAsia="宋体" w:hAnsi="宋体" w:cs="宋体"/>
          <w:spacing w:val="-25"/>
          <w:sz w:val="22"/>
          <w:szCs w:val="22"/>
        </w:rPr>
        <w:t xml:space="preserve"> </w:t>
      </w:r>
      <w:r>
        <w:rPr>
          <w:rFonts w:ascii="宋体" w:eastAsia="宋体" w:hAnsi="宋体" w:cs="宋体"/>
          <w:spacing w:val="-9"/>
          <w:sz w:val="22"/>
          <w:szCs w:val="22"/>
        </w:rPr>
        <w:t>及维生素B,</w:t>
      </w:r>
      <w:r>
        <w:rPr>
          <w:rFonts w:ascii="宋体" w:eastAsia="宋体" w:hAnsi="宋体" w:cs="宋体"/>
          <w:spacing w:val="93"/>
          <w:sz w:val="22"/>
          <w:szCs w:val="22"/>
        </w:rPr>
        <w:t xml:space="preserve"> </w:t>
      </w:r>
      <w:r>
        <w:rPr>
          <w:rFonts w:ascii="宋体" w:eastAsia="宋体" w:hAnsi="宋体" w:cs="宋体"/>
          <w:spacing w:val="-9"/>
          <w:sz w:val="22"/>
          <w:szCs w:val="22"/>
        </w:rPr>
        <w:t>以保证血红蛋白和呼吸酶维持较高的水平，</w:t>
      </w:r>
      <w:r>
        <w:rPr>
          <w:rFonts w:ascii="宋体" w:eastAsia="宋体" w:hAnsi="宋体" w:cs="宋体"/>
          <w:spacing w:val="-10"/>
          <w:sz w:val="22"/>
          <w:szCs w:val="22"/>
        </w:rPr>
        <w:t>从而增强</w:t>
      </w:r>
      <w:r>
        <w:rPr>
          <w:rFonts w:ascii="宋体" w:eastAsia="宋体" w:hAnsi="宋体" w:cs="宋体"/>
          <w:sz w:val="22"/>
          <w:szCs w:val="22"/>
        </w:rPr>
        <w:t xml:space="preserve"> </w:t>
      </w:r>
      <w:r>
        <w:rPr>
          <w:rFonts w:ascii="宋体" w:eastAsia="宋体" w:hAnsi="宋体" w:cs="宋体"/>
          <w:spacing w:val="-14"/>
          <w:sz w:val="22"/>
          <w:szCs w:val="22"/>
        </w:rPr>
        <w:t>机体能力，促进疲劳的消除，尤其是女性运动员更应注意钙、铁的补充；为减轻</w:t>
      </w:r>
      <w:r>
        <w:rPr>
          <w:rFonts w:ascii="宋体" w:eastAsia="宋体" w:hAnsi="宋体" w:cs="宋体"/>
          <w:spacing w:val="17"/>
          <w:sz w:val="22"/>
          <w:szCs w:val="22"/>
        </w:rPr>
        <w:t xml:space="preserve"> </w:t>
      </w:r>
      <w:r>
        <w:rPr>
          <w:rFonts w:ascii="宋体" w:eastAsia="宋体" w:hAnsi="宋体" w:cs="宋体"/>
          <w:spacing w:val="-13"/>
          <w:sz w:val="22"/>
          <w:szCs w:val="22"/>
        </w:rPr>
        <w:t>长时间运动过程中胃肠道负担，膳食脂肪可略高于其他运动</w:t>
      </w:r>
      <w:r>
        <w:rPr>
          <w:rFonts w:ascii="宋体" w:eastAsia="宋体" w:hAnsi="宋体" w:cs="宋体"/>
          <w:spacing w:val="-14"/>
          <w:sz w:val="22"/>
          <w:szCs w:val="22"/>
        </w:rPr>
        <w:t>项目，可占总能量的</w:t>
      </w:r>
      <w:r>
        <w:rPr>
          <w:rFonts w:ascii="宋体" w:eastAsia="宋体" w:hAnsi="宋体" w:cs="宋体"/>
          <w:sz w:val="22"/>
          <w:szCs w:val="22"/>
        </w:rPr>
        <w:t xml:space="preserve"> </w:t>
      </w:r>
      <w:r>
        <w:rPr>
          <w:rFonts w:ascii="宋体" w:eastAsia="宋体" w:hAnsi="宋体" w:cs="宋体"/>
          <w:spacing w:val="4"/>
          <w:sz w:val="22"/>
          <w:szCs w:val="22"/>
        </w:rPr>
        <w:t>30%～35%;及时补液，预防脱水。</w:t>
      </w:r>
    </w:p>
    <w:p w:rsidR="00EA40A3" w:rsidRDefault="00E86C16">
      <w:pPr>
        <w:spacing w:before="245"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10"/>
          <w:sz w:val="22"/>
          <w:szCs w:val="22"/>
        </w:rPr>
        <w:t xml:space="preserve"> </w:t>
      </w:r>
      <w:r>
        <w:rPr>
          <w:rFonts w:ascii="仿宋" w:eastAsia="仿宋" w:hAnsi="仿宋" w:cs="仿宋"/>
          <w:spacing w:val="13"/>
          <w:sz w:val="22"/>
          <w:szCs w:val="22"/>
        </w:rPr>
        <w:t>力量型运动的营养需要</w:t>
      </w:r>
    </w:p>
    <w:p w:rsidR="00EA40A3" w:rsidRDefault="00E86C16">
      <w:pPr>
        <w:spacing w:before="199" w:line="244" w:lineRule="auto"/>
        <w:ind w:right="59" w:firstLine="430"/>
        <w:jc w:val="both"/>
        <w:rPr>
          <w:rFonts w:ascii="宋体" w:eastAsia="宋体" w:hAnsi="宋体" w:cs="宋体"/>
          <w:sz w:val="22"/>
          <w:szCs w:val="22"/>
        </w:rPr>
      </w:pPr>
      <w:r>
        <w:rPr>
          <w:rFonts w:ascii="宋体" w:eastAsia="宋体" w:hAnsi="宋体" w:cs="宋体"/>
          <w:spacing w:val="-13"/>
          <w:sz w:val="22"/>
          <w:szCs w:val="22"/>
        </w:rPr>
        <w:t>力量型的运动一般包括举重、投掷、摔跤、短跑、</w:t>
      </w:r>
      <w:r>
        <w:rPr>
          <w:rFonts w:ascii="宋体" w:eastAsia="宋体" w:hAnsi="宋体" w:cs="宋体"/>
          <w:spacing w:val="-14"/>
          <w:sz w:val="22"/>
          <w:szCs w:val="22"/>
        </w:rPr>
        <w:t>有阻力的骑车、短距离游</w:t>
      </w:r>
      <w:r>
        <w:rPr>
          <w:rFonts w:ascii="宋体" w:eastAsia="宋体" w:hAnsi="宋体" w:cs="宋体"/>
          <w:sz w:val="22"/>
          <w:szCs w:val="22"/>
        </w:rPr>
        <w:t xml:space="preserve"> </w:t>
      </w:r>
      <w:r>
        <w:rPr>
          <w:rFonts w:ascii="宋体" w:eastAsia="宋体" w:hAnsi="宋体" w:cs="宋体"/>
          <w:spacing w:val="-13"/>
          <w:sz w:val="22"/>
          <w:szCs w:val="22"/>
        </w:rPr>
        <w:t>泳、划船、冰球、足球、橄榄球等项目。这些项目的共同特点是运动有间歇，运</w:t>
      </w:r>
      <w:r>
        <w:rPr>
          <w:rFonts w:ascii="宋体" w:eastAsia="宋体" w:hAnsi="宋体" w:cs="宋体"/>
          <w:spacing w:val="2"/>
          <w:sz w:val="22"/>
          <w:szCs w:val="22"/>
        </w:rPr>
        <w:t xml:space="preserve"> </w:t>
      </w:r>
      <w:r>
        <w:rPr>
          <w:rFonts w:ascii="宋体" w:eastAsia="宋体" w:hAnsi="宋体" w:cs="宋体"/>
          <w:spacing w:val="-13"/>
          <w:sz w:val="22"/>
          <w:szCs w:val="22"/>
        </w:rPr>
        <w:t>动强度大，需短时间的爆发力，缺氧严重；需要身体无氧供能，</w:t>
      </w:r>
      <w:r>
        <w:rPr>
          <w:rFonts w:ascii="宋体" w:eastAsia="宋体" w:hAnsi="宋体" w:cs="宋体"/>
          <w:spacing w:val="-14"/>
          <w:sz w:val="22"/>
          <w:szCs w:val="22"/>
        </w:rPr>
        <w:t>因而氧债大；同</w:t>
      </w:r>
      <w:r>
        <w:rPr>
          <w:rFonts w:ascii="宋体" w:eastAsia="宋体" w:hAnsi="宋体" w:cs="宋体"/>
          <w:sz w:val="22"/>
          <w:szCs w:val="22"/>
        </w:rPr>
        <w:t xml:space="preserve"> </w:t>
      </w:r>
      <w:r>
        <w:rPr>
          <w:rFonts w:ascii="宋体" w:eastAsia="宋体" w:hAnsi="宋体" w:cs="宋体"/>
          <w:spacing w:val="-13"/>
          <w:sz w:val="22"/>
          <w:szCs w:val="22"/>
        </w:rPr>
        <w:t>时还需要神经系统的协调性。因此，对于从事该类项目的运动员</w:t>
      </w:r>
      <w:r>
        <w:rPr>
          <w:rFonts w:ascii="宋体" w:eastAsia="宋体" w:hAnsi="宋体" w:cs="宋体"/>
          <w:spacing w:val="-14"/>
          <w:sz w:val="22"/>
          <w:szCs w:val="22"/>
        </w:rPr>
        <w:t>，其营养的重点</w:t>
      </w:r>
    </w:p>
    <w:p w:rsidR="00EA40A3" w:rsidRDefault="00E86C16">
      <w:pPr>
        <w:spacing w:before="64"/>
        <w:ind w:left="15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342</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footerReference w:type="default" r:id="rId287"/>
          <w:pgSz w:w="9220" w:h="13360"/>
          <w:pgMar w:top="400" w:right="1120" w:bottom="400" w:left="789" w:header="0" w:footer="0" w:gutter="0"/>
          <w:cols w:space="720"/>
        </w:sectPr>
      </w:pPr>
    </w:p>
    <w:p w:rsidR="00EA40A3" w:rsidRDefault="00EA40A3">
      <w:pPr>
        <w:spacing w:line="275" w:lineRule="auto"/>
      </w:pPr>
    </w:p>
    <w:p w:rsidR="00EA40A3" w:rsidRDefault="00EA40A3">
      <w:pPr>
        <w:spacing w:line="276" w:lineRule="auto"/>
      </w:pPr>
    </w:p>
    <w:p w:rsidR="00EA40A3" w:rsidRDefault="00E86C16">
      <w:pPr>
        <w:spacing w:before="75" w:line="238" w:lineRule="auto"/>
        <w:ind w:right="60"/>
        <w:jc w:val="both"/>
        <w:rPr>
          <w:rFonts w:ascii="宋体" w:eastAsia="宋体" w:hAnsi="宋体" w:cs="宋体"/>
          <w:sz w:val="23"/>
          <w:szCs w:val="23"/>
        </w:rPr>
      </w:pPr>
      <w:r>
        <w:rPr>
          <w:rFonts w:ascii="宋体" w:eastAsia="宋体" w:hAnsi="宋体" w:cs="宋体"/>
          <w:spacing w:val="-18"/>
          <w:sz w:val="23"/>
          <w:szCs w:val="23"/>
        </w:rPr>
        <w:t>在于：提供丰富的蛋白质，以体重计，蛋白质的供</w:t>
      </w:r>
      <w:r>
        <w:rPr>
          <w:rFonts w:ascii="宋体" w:eastAsia="宋体" w:hAnsi="宋体" w:cs="宋体"/>
          <w:spacing w:val="-19"/>
          <w:sz w:val="23"/>
          <w:szCs w:val="23"/>
        </w:rPr>
        <w:t>给量为每千克体重每天2g</w:t>
      </w:r>
      <w:r>
        <w:rPr>
          <w:rFonts w:ascii="宋体" w:eastAsia="宋体" w:hAnsi="宋体" w:cs="宋体"/>
          <w:spacing w:val="-58"/>
          <w:sz w:val="23"/>
          <w:szCs w:val="23"/>
        </w:rPr>
        <w:t xml:space="preserve"> </w:t>
      </w:r>
      <w:r>
        <w:rPr>
          <w:rFonts w:ascii="宋体" w:eastAsia="宋体" w:hAnsi="宋体" w:cs="宋体"/>
          <w:spacing w:val="-19"/>
          <w:sz w:val="23"/>
          <w:szCs w:val="23"/>
        </w:rPr>
        <w:t>以</w:t>
      </w:r>
      <w:r>
        <w:rPr>
          <w:rFonts w:ascii="宋体" w:eastAsia="宋体" w:hAnsi="宋体" w:cs="宋体"/>
          <w:sz w:val="23"/>
          <w:szCs w:val="23"/>
        </w:rPr>
        <w:t xml:space="preserve"> </w:t>
      </w:r>
      <w:r>
        <w:rPr>
          <w:rFonts w:ascii="宋体" w:eastAsia="宋体" w:hAnsi="宋体" w:cs="宋体"/>
          <w:spacing w:val="-8"/>
          <w:sz w:val="23"/>
          <w:szCs w:val="23"/>
        </w:rPr>
        <w:t>上，并且其中优质蛋白质的比例至少应占50%</w:t>
      </w:r>
      <w:r>
        <w:rPr>
          <w:rFonts w:ascii="宋体" w:eastAsia="宋体" w:hAnsi="宋体" w:cs="宋体"/>
          <w:spacing w:val="-9"/>
          <w:sz w:val="23"/>
          <w:szCs w:val="23"/>
        </w:rPr>
        <w:t>;多摄取水果、蔬菜(应占总能</w:t>
      </w:r>
      <w:r>
        <w:rPr>
          <w:rFonts w:ascii="宋体" w:eastAsia="宋体" w:hAnsi="宋体" w:cs="宋体"/>
          <w:sz w:val="23"/>
          <w:szCs w:val="23"/>
        </w:rPr>
        <w:t xml:space="preserve">  </w:t>
      </w:r>
      <w:r>
        <w:rPr>
          <w:rFonts w:ascii="宋体" w:eastAsia="宋体" w:hAnsi="宋体" w:cs="宋体"/>
          <w:spacing w:val="-6"/>
          <w:sz w:val="23"/>
          <w:szCs w:val="23"/>
        </w:rPr>
        <w:t>量的15%～20%)和含糖、电解质的运动饮料</w:t>
      </w:r>
      <w:r>
        <w:rPr>
          <w:rFonts w:ascii="宋体" w:eastAsia="宋体" w:hAnsi="宋体" w:cs="宋体"/>
          <w:spacing w:val="-7"/>
          <w:sz w:val="23"/>
          <w:szCs w:val="23"/>
        </w:rPr>
        <w:t>，增加体内碱储备，以满足运动</w:t>
      </w:r>
      <w:r>
        <w:rPr>
          <w:rFonts w:ascii="宋体" w:eastAsia="宋体" w:hAnsi="宋体" w:cs="宋体"/>
          <w:sz w:val="23"/>
          <w:szCs w:val="23"/>
        </w:rPr>
        <w:t xml:space="preserve"> </w:t>
      </w:r>
      <w:r>
        <w:rPr>
          <w:rFonts w:ascii="宋体" w:eastAsia="宋体" w:hAnsi="宋体" w:cs="宋体"/>
          <w:spacing w:val="-22"/>
          <w:sz w:val="23"/>
          <w:szCs w:val="23"/>
        </w:rPr>
        <w:t>员对碳水化合物、维生素和无机盐的需要。但同时也应当避免蛋白质摄入过量，</w:t>
      </w:r>
      <w:r>
        <w:rPr>
          <w:rFonts w:ascii="宋体" w:eastAsia="宋体" w:hAnsi="宋体" w:cs="宋体"/>
          <w:spacing w:val="4"/>
          <w:sz w:val="23"/>
          <w:szCs w:val="23"/>
        </w:rPr>
        <w:t xml:space="preserve"> </w:t>
      </w:r>
      <w:r>
        <w:rPr>
          <w:rFonts w:ascii="宋体" w:eastAsia="宋体" w:hAnsi="宋体" w:cs="宋体"/>
          <w:spacing w:val="-20"/>
          <w:w w:val="98"/>
          <w:sz w:val="23"/>
          <w:szCs w:val="23"/>
        </w:rPr>
        <w:t>并要根据需要合理地增加或减轻体重。</w:t>
      </w:r>
    </w:p>
    <w:p w:rsidR="00EA40A3" w:rsidRDefault="00E86C16">
      <w:pPr>
        <w:spacing w:before="213" w:line="221" w:lineRule="auto"/>
        <w:rPr>
          <w:rFonts w:ascii="仿宋" w:eastAsia="仿宋" w:hAnsi="仿宋" w:cs="仿宋"/>
          <w:sz w:val="23"/>
          <w:szCs w:val="23"/>
        </w:rPr>
      </w:pPr>
      <w:r>
        <w:rPr>
          <w:rFonts w:ascii="仿宋" w:eastAsia="仿宋" w:hAnsi="仿宋" w:cs="仿宋"/>
          <w:spacing w:val="3"/>
          <w:sz w:val="23"/>
          <w:szCs w:val="23"/>
        </w:rPr>
        <w:t>3.</w:t>
      </w:r>
      <w:r>
        <w:rPr>
          <w:rFonts w:ascii="仿宋" w:eastAsia="仿宋" w:hAnsi="仿宋" w:cs="仿宋"/>
          <w:spacing w:val="-30"/>
          <w:sz w:val="23"/>
          <w:szCs w:val="23"/>
        </w:rPr>
        <w:t xml:space="preserve"> </w:t>
      </w:r>
      <w:r>
        <w:rPr>
          <w:rFonts w:ascii="仿宋" w:eastAsia="仿宋" w:hAnsi="仿宋" w:cs="仿宋"/>
          <w:spacing w:val="3"/>
          <w:sz w:val="23"/>
          <w:szCs w:val="23"/>
        </w:rPr>
        <w:t>灵敏技巧型运动的营养需要</w:t>
      </w:r>
    </w:p>
    <w:p w:rsidR="00EA40A3" w:rsidRDefault="00E86C16">
      <w:pPr>
        <w:spacing w:before="189" w:line="237" w:lineRule="auto"/>
        <w:ind w:right="67" w:firstLine="450"/>
        <w:jc w:val="both"/>
        <w:rPr>
          <w:rFonts w:ascii="宋体" w:eastAsia="宋体" w:hAnsi="宋体" w:cs="宋体"/>
          <w:sz w:val="23"/>
          <w:szCs w:val="23"/>
        </w:rPr>
      </w:pPr>
      <w:r>
        <w:rPr>
          <w:rFonts w:ascii="宋体" w:eastAsia="宋体" w:hAnsi="宋体" w:cs="宋体"/>
          <w:spacing w:val="-23"/>
          <w:w w:val="99"/>
          <w:sz w:val="23"/>
          <w:szCs w:val="23"/>
        </w:rPr>
        <w:t>灵敏技巧型运动一般包括体操、花样滑冰、击剑、射击、乒乓球、跳水和跳</w:t>
      </w:r>
      <w:r>
        <w:rPr>
          <w:rFonts w:ascii="宋体" w:eastAsia="宋体" w:hAnsi="宋体" w:cs="宋体"/>
          <w:spacing w:val="33"/>
          <w:sz w:val="23"/>
          <w:szCs w:val="23"/>
        </w:rPr>
        <w:t xml:space="preserve"> </w:t>
      </w:r>
      <w:r>
        <w:rPr>
          <w:rFonts w:ascii="宋体" w:eastAsia="宋体" w:hAnsi="宋体" w:cs="宋体"/>
          <w:spacing w:val="-24"/>
          <w:sz w:val="23"/>
          <w:szCs w:val="23"/>
        </w:rPr>
        <w:t>高等项目。这些项目的共同特点是神经活动紧张，动作多变，要求协调、速率和</w:t>
      </w:r>
      <w:r>
        <w:rPr>
          <w:rFonts w:ascii="宋体" w:eastAsia="宋体" w:hAnsi="宋体" w:cs="宋体"/>
          <w:spacing w:val="5"/>
          <w:sz w:val="23"/>
          <w:szCs w:val="23"/>
        </w:rPr>
        <w:t xml:space="preserve"> </w:t>
      </w:r>
      <w:r>
        <w:rPr>
          <w:rFonts w:ascii="宋体" w:eastAsia="宋体" w:hAnsi="宋体" w:cs="宋体"/>
          <w:spacing w:val="-23"/>
          <w:sz w:val="23"/>
          <w:szCs w:val="23"/>
        </w:rPr>
        <w:t>技巧并举。因此，对于从事该类项目的运动员，其营养的重点在于：注意选</w:t>
      </w:r>
      <w:r>
        <w:rPr>
          <w:rFonts w:ascii="宋体" w:eastAsia="宋体" w:hAnsi="宋体" w:cs="宋体"/>
          <w:spacing w:val="-24"/>
          <w:sz w:val="23"/>
          <w:szCs w:val="23"/>
        </w:rPr>
        <w:t>择营</w:t>
      </w:r>
      <w:r>
        <w:rPr>
          <w:rFonts w:ascii="宋体" w:eastAsia="宋体" w:hAnsi="宋体" w:cs="宋体"/>
          <w:sz w:val="23"/>
          <w:szCs w:val="23"/>
        </w:rPr>
        <w:t xml:space="preserve"> </w:t>
      </w:r>
      <w:r>
        <w:rPr>
          <w:rFonts w:ascii="宋体" w:eastAsia="宋体" w:hAnsi="宋体" w:cs="宋体"/>
          <w:spacing w:val="-23"/>
          <w:sz w:val="23"/>
          <w:szCs w:val="23"/>
        </w:rPr>
        <w:t>养素密度高的食物，保证丰富的蛋白质、</w:t>
      </w:r>
      <w:r>
        <w:rPr>
          <w:rFonts w:ascii="宋体" w:eastAsia="宋体" w:hAnsi="宋体" w:cs="宋体"/>
          <w:spacing w:val="-16"/>
          <w:sz w:val="23"/>
          <w:szCs w:val="23"/>
        </w:rPr>
        <w:t xml:space="preserve"> </w:t>
      </w:r>
      <w:r>
        <w:rPr>
          <w:rFonts w:ascii="宋体" w:eastAsia="宋体" w:hAnsi="宋体" w:cs="宋体"/>
          <w:spacing w:val="-23"/>
          <w:sz w:val="23"/>
          <w:szCs w:val="23"/>
        </w:rPr>
        <w:t>B</w:t>
      </w:r>
      <w:r>
        <w:rPr>
          <w:rFonts w:ascii="宋体" w:eastAsia="宋体" w:hAnsi="宋体" w:cs="宋体"/>
          <w:spacing w:val="-56"/>
          <w:sz w:val="23"/>
          <w:szCs w:val="23"/>
        </w:rPr>
        <w:t xml:space="preserve"> </w:t>
      </w:r>
      <w:r>
        <w:rPr>
          <w:rFonts w:ascii="宋体" w:eastAsia="宋体" w:hAnsi="宋体" w:cs="宋体"/>
          <w:spacing w:val="-23"/>
          <w:sz w:val="23"/>
          <w:szCs w:val="23"/>
        </w:rPr>
        <w:t>族维生素</w:t>
      </w:r>
      <w:r>
        <w:rPr>
          <w:rFonts w:ascii="宋体" w:eastAsia="宋体" w:hAnsi="宋体" w:cs="宋体"/>
          <w:spacing w:val="-24"/>
          <w:sz w:val="23"/>
          <w:szCs w:val="23"/>
        </w:rPr>
        <w:t>、钙、铁、磷供应，避免快</w:t>
      </w:r>
      <w:r>
        <w:rPr>
          <w:rFonts w:ascii="宋体" w:eastAsia="宋体" w:hAnsi="宋体" w:cs="宋体"/>
          <w:sz w:val="23"/>
          <w:szCs w:val="23"/>
        </w:rPr>
        <w:t xml:space="preserve"> </w:t>
      </w:r>
      <w:r>
        <w:rPr>
          <w:rFonts w:ascii="宋体" w:eastAsia="宋体" w:hAnsi="宋体" w:cs="宋体"/>
          <w:spacing w:val="-23"/>
          <w:sz w:val="23"/>
          <w:szCs w:val="23"/>
        </w:rPr>
        <w:t>速减轻体重。另外，对于击剑、乒乓球、射击等项目，由于视力</w:t>
      </w:r>
      <w:r>
        <w:rPr>
          <w:rFonts w:ascii="宋体" w:eastAsia="宋体" w:hAnsi="宋体" w:cs="宋体"/>
          <w:spacing w:val="-24"/>
          <w:sz w:val="23"/>
          <w:szCs w:val="23"/>
        </w:rPr>
        <w:t>活动紧张，应适</w:t>
      </w:r>
      <w:r>
        <w:rPr>
          <w:rFonts w:ascii="宋体" w:eastAsia="宋体" w:hAnsi="宋体" w:cs="宋体"/>
          <w:sz w:val="23"/>
          <w:szCs w:val="23"/>
        </w:rPr>
        <w:t xml:space="preserve"> </w:t>
      </w:r>
      <w:r>
        <w:rPr>
          <w:rFonts w:ascii="宋体" w:eastAsia="宋体" w:hAnsi="宋体" w:cs="宋体"/>
          <w:spacing w:val="-19"/>
          <w:sz w:val="23"/>
          <w:szCs w:val="23"/>
        </w:rPr>
        <w:t>当补充维生素A。</w:t>
      </w:r>
    </w:p>
    <w:p w:rsidR="00EA40A3" w:rsidRDefault="00E86C16">
      <w:pPr>
        <w:spacing w:before="207" w:line="220" w:lineRule="auto"/>
        <w:rPr>
          <w:rFonts w:ascii="宋体" w:eastAsia="宋体" w:hAnsi="宋体" w:cs="宋体"/>
          <w:sz w:val="23"/>
          <w:szCs w:val="23"/>
        </w:rPr>
      </w:pPr>
      <w:r>
        <w:rPr>
          <w:rFonts w:ascii="宋体" w:eastAsia="宋体" w:hAnsi="宋体" w:cs="宋体"/>
          <w:sz w:val="23"/>
          <w:szCs w:val="23"/>
        </w:rPr>
        <w:t>4.</w:t>
      </w:r>
      <w:r>
        <w:rPr>
          <w:rFonts w:ascii="宋体" w:eastAsia="宋体" w:hAnsi="宋体" w:cs="宋体"/>
          <w:spacing w:val="-13"/>
          <w:sz w:val="23"/>
          <w:szCs w:val="23"/>
        </w:rPr>
        <w:t xml:space="preserve"> </w:t>
      </w:r>
      <w:r>
        <w:rPr>
          <w:rFonts w:ascii="宋体" w:eastAsia="宋体" w:hAnsi="宋体" w:cs="宋体"/>
          <w:sz w:val="23"/>
          <w:szCs w:val="23"/>
        </w:rPr>
        <w:t>团体项目</w:t>
      </w:r>
    </w:p>
    <w:p w:rsidR="00EA40A3" w:rsidRDefault="00E86C16">
      <w:pPr>
        <w:spacing w:before="178" w:line="237" w:lineRule="auto"/>
        <w:ind w:right="60" w:firstLine="450"/>
        <w:jc w:val="both"/>
        <w:rPr>
          <w:rFonts w:ascii="宋体" w:eastAsia="宋体" w:hAnsi="宋体" w:cs="宋体"/>
          <w:sz w:val="23"/>
          <w:szCs w:val="23"/>
        </w:rPr>
      </w:pPr>
      <w:r>
        <w:rPr>
          <w:rFonts w:ascii="宋体" w:eastAsia="宋体" w:hAnsi="宋体" w:cs="宋体"/>
          <w:spacing w:val="-23"/>
          <w:sz w:val="23"/>
          <w:szCs w:val="23"/>
        </w:rPr>
        <w:t>团体项目一般包括篮球、橄榄球、足球、曲棍球、冰球、排球、手球</w:t>
      </w:r>
      <w:r>
        <w:rPr>
          <w:rFonts w:ascii="宋体" w:eastAsia="宋体" w:hAnsi="宋体" w:cs="宋体"/>
          <w:spacing w:val="-24"/>
          <w:sz w:val="23"/>
          <w:szCs w:val="23"/>
        </w:rPr>
        <w:t>等。这</w:t>
      </w:r>
      <w:r>
        <w:rPr>
          <w:rFonts w:ascii="宋体" w:eastAsia="宋体" w:hAnsi="宋体" w:cs="宋体"/>
          <w:sz w:val="23"/>
          <w:szCs w:val="23"/>
        </w:rPr>
        <w:t xml:space="preserve"> </w:t>
      </w:r>
      <w:r>
        <w:rPr>
          <w:rFonts w:ascii="宋体" w:eastAsia="宋体" w:hAnsi="宋体" w:cs="宋体"/>
          <w:spacing w:val="-23"/>
          <w:sz w:val="23"/>
          <w:szCs w:val="23"/>
        </w:rPr>
        <w:t>些项目的共同特点是运动强度大且多变、间歇性、运动持续的总</w:t>
      </w:r>
      <w:r>
        <w:rPr>
          <w:rFonts w:ascii="宋体" w:eastAsia="宋体" w:hAnsi="宋体" w:cs="宋体"/>
          <w:spacing w:val="-24"/>
          <w:sz w:val="23"/>
          <w:szCs w:val="23"/>
        </w:rPr>
        <w:t>时间长，能量转</w:t>
      </w:r>
      <w:r>
        <w:rPr>
          <w:rFonts w:ascii="宋体" w:eastAsia="宋体" w:hAnsi="宋体" w:cs="宋体"/>
          <w:sz w:val="23"/>
          <w:szCs w:val="23"/>
        </w:rPr>
        <w:t xml:space="preserve"> </w:t>
      </w:r>
      <w:r>
        <w:rPr>
          <w:rFonts w:ascii="宋体" w:eastAsia="宋体" w:hAnsi="宋体" w:cs="宋体"/>
          <w:spacing w:val="-23"/>
          <w:sz w:val="23"/>
          <w:szCs w:val="23"/>
        </w:rPr>
        <w:t>换率高，并且对灵敏度、技巧等方面均有较高要求。因此，对于从事该类项目的</w:t>
      </w:r>
      <w:r>
        <w:rPr>
          <w:rFonts w:ascii="宋体" w:eastAsia="宋体" w:hAnsi="宋体" w:cs="宋体"/>
          <w:sz w:val="23"/>
          <w:szCs w:val="23"/>
        </w:rPr>
        <w:t xml:space="preserve"> </w:t>
      </w:r>
      <w:r>
        <w:rPr>
          <w:rFonts w:ascii="宋体" w:eastAsia="宋体" w:hAnsi="宋体" w:cs="宋体"/>
          <w:spacing w:val="-23"/>
          <w:sz w:val="23"/>
          <w:szCs w:val="23"/>
        </w:rPr>
        <w:t>运动员，其营养的重点在于：在各种营养素全面考虑的基础上，以高</w:t>
      </w:r>
      <w:r>
        <w:rPr>
          <w:rFonts w:ascii="宋体" w:eastAsia="宋体" w:hAnsi="宋体" w:cs="宋体"/>
          <w:spacing w:val="-24"/>
          <w:sz w:val="23"/>
          <w:szCs w:val="23"/>
        </w:rPr>
        <w:t>碳水化合物</w:t>
      </w:r>
      <w:r>
        <w:rPr>
          <w:rFonts w:ascii="宋体" w:eastAsia="宋体" w:hAnsi="宋体" w:cs="宋体"/>
          <w:sz w:val="23"/>
          <w:szCs w:val="23"/>
        </w:rPr>
        <w:t xml:space="preserve"> </w:t>
      </w:r>
      <w:r>
        <w:rPr>
          <w:rFonts w:ascii="宋体" w:eastAsia="宋体" w:hAnsi="宋体" w:cs="宋体"/>
          <w:spacing w:val="-9"/>
          <w:sz w:val="23"/>
          <w:szCs w:val="23"/>
        </w:rPr>
        <w:t>为中心，同时注意选择高血糖指数食物，运动前、中、后</w:t>
      </w:r>
      <w:r>
        <w:rPr>
          <w:rFonts w:ascii="宋体" w:eastAsia="宋体" w:hAnsi="宋体" w:cs="宋体"/>
          <w:spacing w:val="-10"/>
          <w:sz w:val="23"/>
          <w:szCs w:val="23"/>
        </w:rPr>
        <w:t>期均应及时补液，</w:t>
      </w:r>
      <w:r>
        <w:rPr>
          <w:rFonts w:ascii="宋体" w:eastAsia="宋体" w:hAnsi="宋体" w:cs="宋体"/>
          <w:sz w:val="23"/>
          <w:szCs w:val="23"/>
        </w:rPr>
        <w:t xml:space="preserve"> </w:t>
      </w:r>
      <w:r>
        <w:rPr>
          <w:rFonts w:ascii="宋体" w:eastAsia="宋体" w:hAnsi="宋体" w:cs="宋体"/>
          <w:spacing w:val="-22"/>
          <w:sz w:val="23"/>
          <w:szCs w:val="23"/>
        </w:rPr>
        <w:t>补糖。</w:t>
      </w:r>
    </w:p>
    <w:p w:rsidR="00EA40A3" w:rsidRDefault="00E86C16">
      <w:pPr>
        <w:spacing w:before="220" w:line="221" w:lineRule="auto"/>
        <w:ind w:left="3"/>
        <w:outlineLvl w:val="6"/>
        <w:rPr>
          <w:rFonts w:ascii="黑体" w:eastAsia="黑体" w:hAnsi="黑体" w:cs="黑体"/>
          <w:sz w:val="23"/>
          <w:szCs w:val="23"/>
        </w:rPr>
      </w:pPr>
      <w:r>
        <w:rPr>
          <w:rFonts w:ascii="黑体" w:eastAsia="黑体" w:hAnsi="黑体" w:cs="黑体"/>
          <w:b/>
          <w:bCs/>
          <w:spacing w:val="-1"/>
          <w:sz w:val="23"/>
          <w:szCs w:val="23"/>
        </w:rPr>
        <w:t>10.6.4</w:t>
      </w:r>
      <w:r>
        <w:rPr>
          <w:rFonts w:ascii="黑体" w:eastAsia="黑体" w:hAnsi="黑体" w:cs="黑体"/>
          <w:spacing w:val="46"/>
          <w:sz w:val="23"/>
          <w:szCs w:val="23"/>
        </w:rPr>
        <w:t xml:space="preserve">  </w:t>
      </w:r>
      <w:r>
        <w:rPr>
          <w:rFonts w:ascii="黑体" w:eastAsia="黑体" w:hAnsi="黑体" w:cs="黑体"/>
          <w:b/>
          <w:bCs/>
          <w:spacing w:val="-1"/>
          <w:sz w:val="23"/>
          <w:szCs w:val="23"/>
        </w:rPr>
        <w:t>运动员的合理膳食</w:t>
      </w:r>
    </w:p>
    <w:p w:rsidR="00EA40A3" w:rsidRDefault="00E86C16">
      <w:pPr>
        <w:spacing w:before="201" w:line="229" w:lineRule="auto"/>
        <w:ind w:right="66" w:firstLine="450"/>
        <w:rPr>
          <w:rFonts w:ascii="宋体" w:eastAsia="宋体" w:hAnsi="宋体" w:cs="宋体"/>
          <w:sz w:val="23"/>
          <w:szCs w:val="23"/>
        </w:rPr>
      </w:pPr>
      <w:r>
        <w:rPr>
          <w:rFonts w:ascii="宋体" w:eastAsia="宋体" w:hAnsi="宋体" w:cs="宋体"/>
          <w:spacing w:val="-23"/>
          <w:sz w:val="23"/>
          <w:szCs w:val="23"/>
        </w:rPr>
        <w:t>运动员合理营养及膳食的目的就是在保证运动员身体健康的前提下，</w:t>
      </w:r>
      <w:r>
        <w:rPr>
          <w:rFonts w:ascii="宋体" w:eastAsia="宋体" w:hAnsi="宋体" w:cs="宋体"/>
          <w:spacing w:val="-24"/>
          <w:sz w:val="23"/>
          <w:szCs w:val="23"/>
        </w:rPr>
        <w:t>帮助运</w:t>
      </w:r>
      <w:r>
        <w:rPr>
          <w:rFonts w:ascii="宋体" w:eastAsia="宋体" w:hAnsi="宋体" w:cs="宋体"/>
          <w:sz w:val="23"/>
          <w:szCs w:val="23"/>
        </w:rPr>
        <w:t xml:space="preserve"> </w:t>
      </w:r>
      <w:r>
        <w:rPr>
          <w:rFonts w:ascii="宋体" w:eastAsia="宋体" w:hAnsi="宋体" w:cs="宋体"/>
          <w:spacing w:val="-24"/>
          <w:sz w:val="23"/>
          <w:szCs w:val="23"/>
        </w:rPr>
        <w:t>动员取得最佳训练效果、竞技能力和比赛成绩。</w:t>
      </w:r>
    </w:p>
    <w:p w:rsidR="00EA40A3" w:rsidRDefault="00E86C16">
      <w:pPr>
        <w:spacing w:before="175" w:line="221" w:lineRule="auto"/>
        <w:rPr>
          <w:rFonts w:ascii="仿宋" w:eastAsia="仿宋" w:hAnsi="仿宋" w:cs="仿宋"/>
          <w:sz w:val="23"/>
          <w:szCs w:val="23"/>
        </w:rPr>
      </w:pPr>
      <w:r>
        <w:rPr>
          <w:rFonts w:ascii="仿宋" w:eastAsia="仿宋" w:hAnsi="仿宋" w:cs="仿宋"/>
          <w:spacing w:val="2"/>
          <w:sz w:val="23"/>
          <w:szCs w:val="23"/>
        </w:rPr>
        <w:t>1.</w:t>
      </w:r>
      <w:r>
        <w:rPr>
          <w:rFonts w:ascii="仿宋" w:eastAsia="仿宋" w:hAnsi="仿宋" w:cs="仿宋"/>
          <w:spacing w:val="-15"/>
          <w:sz w:val="23"/>
          <w:szCs w:val="23"/>
        </w:rPr>
        <w:t xml:space="preserve"> </w:t>
      </w:r>
      <w:r>
        <w:rPr>
          <w:rFonts w:ascii="仿宋" w:eastAsia="仿宋" w:hAnsi="仿宋" w:cs="仿宋"/>
          <w:spacing w:val="2"/>
          <w:sz w:val="23"/>
          <w:szCs w:val="23"/>
        </w:rPr>
        <w:t>量足质优、营养平衡</w:t>
      </w:r>
    </w:p>
    <w:p w:rsidR="00EA40A3" w:rsidRDefault="00E86C16">
      <w:pPr>
        <w:spacing w:before="189" w:line="238" w:lineRule="auto"/>
        <w:ind w:firstLine="450"/>
        <w:jc w:val="both"/>
        <w:rPr>
          <w:rFonts w:ascii="宋体" w:eastAsia="宋体" w:hAnsi="宋体" w:cs="宋体"/>
          <w:sz w:val="23"/>
          <w:szCs w:val="23"/>
        </w:rPr>
      </w:pPr>
      <w:r>
        <w:rPr>
          <w:rFonts w:ascii="宋体" w:eastAsia="宋体" w:hAnsi="宋体" w:cs="宋体"/>
          <w:spacing w:val="-17"/>
          <w:sz w:val="23"/>
          <w:szCs w:val="23"/>
        </w:rPr>
        <w:t>运动员的食物首先在数量上要满足运动员在训练或比赛过程中对能量的需</w:t>
      </w:r>
      <w:r>
        <w:rPr>
          <w:rFonts w:ascii="宋体" w:eastAsia="宋体" w:hAnsi="宋体" w:cs="宋体"/>
          <w:spacing w:val="16"/>
          <w:sz w:val="23"/>
          <w:szCs w:val="23"/>
        </w:rPr>
        <w:t xml:space="preserve"> </w:t>
      </w:r>
      <w:r>
        <w:rPr>
          <w:rFonts w:ascii="宋体" w:eastAsia="宋体" w:hAnsi="宋体" w:cs="宋体"/>
          <w:spacing w:val="-23"/>
          <w:sz w:val="23"/>
          <w:szCs w:val="23"/>
        </w:rPr>
        <w:t>要，使运动员保持适宜的体重；同时，食物应当多样化，搭配</w:t>
      </w:r>
      <w:r>
        <w:rPr>
          <w:rFonts w:ascii="宋体" w:eastAsia="宋体" w:hAnsi="宋体" w:cs="宋体"/>
          <w:spacing w:val="-24"/>
          <w:sz w:val="23"/>
          <w:szCs w:val="23"/>
        </w:rPr>
        <w:t>合理，并且能够保</w:t>
      </w:r>
      <w:r>
        <w:rPr>
          <w:rFonts w:ascii="宋体" w:eastAsia="宋体" w:hAnsi="宋体" w:cs="宋体"/>
          <w:sz w:val="23"/>
          <w:szCs w:val="23"/>
        </w:rPr>
        <w:t xml:space="preserve">  </w:t>
      </w:r>
      <w:r>
        <w:rPr>
          <w:rFonts w:ascii="宋体" w:eastAsia="宋体" w:hAnsi="宋体" w:cs="宋体"/>
          <w:spacing w:val="-22"/>
          <w:sz w:val="23"/>
          <w:szCs w:val="23"/>
        </w:rPr>
        <w:t>证运动员对各种营养素的需要。膳食组成中应该包括谷类食物、蔬菜及水果、乳</w:t>
      </w:r>
      <w:r>
        <w:rPr>
          <w:rFonts w:ascii="宋体" w:eastAsia="宋体" w:hAnsi="宋体" w:cs="宋体"/>
          <w:sz w:val="23"/>
          <w:szCs w:val="23"/>
        </w:rPr>
        <w:t xml:space="preserve"> </w:t>
      </w:r>
      <w:r>
        <w:rPr>
          <w:rFonts w:ascii="宋体" w:eastAsia="宋体" w:hAnsi="宋体" w:cs="宋体"/>
          <w:spacing w:val="-16"/>
          <w:sz w:val="23"/>
          <w:szCs w:val="23"/>
        </w:rPr>
        <w:t>及乳制品(必须保证有发酵乳供给)、动物性食品(鱼、肉、家禽、蛋</w:t>
      </w:r>
      <w:r>
        <w:rPr>
          <w:rFonts w:ascii="宋体" w:eastAsia="宋体" w:hAnsi="宋体" w:cs="宋体"/>
          <w:spacing w:val="-17"/>
          <w:sz w:val="23"/>
          <w:szCs w:val="23"/>
        </w:rPr>
        <w:t>类)、豆类</w:t>
      </w:r>
      <w:r>
        <w:rPr>
          <w:rFonts w:ascii="宋体" w:eastAsia="宋体" w:hAnsi="宋体" w:cs="宋体"/>
          <w:sz w:val="23"/>
          <w:szCs w:val="23"/>
        </w:rPr>
        <w:t xml:space="preserve">  </w:t>
      </w:r>
      <w:r>
        <w:rPr>
          <w:rFonts w:ascii="宋体" w:eastAsia="宋体" w:hAnsi="宋体" w:cs="宋体"/>
          <w:spacing w:val="-14"/>
          <w:sz w:val="23"/>
          <w:szCs w:val="23"/>
        </w:rPr>
        <w:t>及豆制品(包括鲜豆浆)、坚果类、烹饪油脂及食糖等。其中能量物质蛋白质、</w:t>
      </w:r>
      <w:r>
        <w:rPr>
          <w:rFonts w:ascii="宋体" w:eastAsia="宋体" w:hAnsi="宋体" w:cs="宋体"/>
          <w:spacing w:val="14"/>
          <w:sz w:val="23"/>
          <w:szCs w:val="23"/>
        </w:rPr>
        <w:t xml:space="preserve"> </w:t>
      </w:r>
      <w:r>
        <w:rPr>
          <w:rFonts w:ascii="宋体" w:eastAsia="宋体" w:hAnsi="宋体" w:cs="宋体"/>
          <w:spacing w:val="6"/>
          <w:sz w:val="23"/>
          <w:szCs w:val="23"/>
        </w:rPr>
        <w:t>脂肪、碳水化合物的比例一般情况下为总能量的12%～15%、2</w:t>
      </w:r>
      <w:r>
        <w:rPr>
          <w:rFonts w:ascii="宋体" w:eastAsia="宋体" w:hAnsi="宋体" w:cs="宋体"/>
          <w:spacing w:val="5"/>
          <w:sz w:val="23"/>
          <w:szCs w:val="23"/>
        </w:rPr>
        <w:t>5%～30%、</w:t>
      </w:r>
      <w:r>
        <w:rPr>
          <w:rFonts w:ascii="宋体" w:eastAsia="宋体" w:hAnsi="宋体" w:cs="宋体"/>
          <w:sz w:val="23"/>
          <w:szCs w:val="23"/>
        </w:rPr>
        <w:t xml:space="preserve"> 55%～65%,根据运动项目的不同有所浮动，但</w:t>
      </w:r>
      <w:r>
        <w:rPr>
          <w:rFonts w:ascii="宋体" w:eastAsia="宋体" w:hAnsi="宋体" w:cs="宋体"/>
          <w:spacing w:val="-1"/>
          <w:sz w:val="23"/>
          <w:szCs w:val="23"/>
        </w:rPr>
        <w:t>以脂肪的比例不超过35%,碳</w:t>
      </w:r>
      <w:r>
        <w:rPr>
          <w:rFonts w:ascii="宋体" w:eastAsia="宋体" w:hAnsi="宋体" w:cs="宋体"/>
          <w:sz w:val="23"/>
          <w:szCs w:val="23"/>
        </w:rPr>
        <w:t xml:space="preserve">  </w:t>
      </w:r>
      <w:r>
        <w:rPr>
          <w:rFonts w:ascii="宋体" w:eastAsia="宋体" w:hAnsi="宋体" w:cs="宋体"/>
          <w:spacing w:val="-14"/>
          <w:sz w:val="23"/>
          <w:szCs w:val="23"/>
        </w:rPr>
        <w:t>水化合物的比例不超过70%为宜。</w:t>
      </w:r>
    </w:p>
    <w:p w:rsidR="00EA40A3" w:rsidRDefault="00EA40A3">
      <w:pPr>
        <w:sectPr w:rsidR="00EA40A3">
          <w:footerReference w:type="default" r:id="rId288"/>
          <w:pgSz w:w="9220" w:h="13360"/>
          <w:pgMar w:top="400" w:right="934" w:bottom="1254" w:left="939" w:header="0" w:footer="1021" w:gutter="0"/>
          <w:cols w:space="720"/>
        </w:sectPr>
      </w:pPr>
    </w:p>
    <w:p w:rsidR="00EA40A3" w:rsidRDefault="00EA40A3">
      <w:pPr>
        <w:spacing w:line="246" w:lineRule="auto"/>
      </w:pPr>
    </w:p>
    <w:p w:rsidR="00EA40A3" w:rsidRDefault="00EA40A3">
      <w:pPr>
        <w:spacing w:line="246" w:lineRule="auto"/>
      </w:pPr>
    </w:p>
    <w:p w:rsidR="00EA40A3" w:rsidRDefault="00EA40A3">
      <w:pPr>
        <w:spacing w:line="247" w:lineRule="auto"/>
      </w:pPr>
    </w:p>
    <w:p w:rsidR="00EA40A3" w:rsidRDefault="00E86C16">
      <w:pPr>
        <w:spacing w:before="71"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36"/>
          <w:sz w:val="22"/>
          <w:szCs w:val="22"/>
        </w:rPr>
        <w:t xml:space="preserve"> </w:t>
      </w:r>
      <w:r>
        <w:rPr>
          <w:rFonts w:ascii="仿宋" w:eastAsia="仿宋" w:hAnsi="仿宋" w:cs="仿宋"/>
          <w:spacing w:val="13"/>
          <w:sz w:val="22"/>
          <w:szCs w:val="22"/>
        </w:rPr>
        <w:t>高能量密度和高营养素密度膳食</w:t>
      </w:r>
    </w:p>
    <w:p w:rsidR="00EA40A3" w:rsidRDefault="00E86C16">
      <w:pPr>
        <w:spacing w:before="182" w:line="243" w:lineRule="auto"/>
        <w:ind w:firstLine="449"/>
        <w:jc w:val="both"/>
        <w:rPr>
          <w:rFonts w:ascii="宋体" w:eastAsia="宋体" w:hAnsi="宋体" w:cs="宋体"/>
          <w:sz w:val="22"/>
          <w:szCs w:val="22"/>
        </w:rPr>
      </w:pPr>
      <w:r>
        <w:rPr>
          <w:rFonts w:ascii="宋体" w:eastAsia="宋体" w:hAnsi="宋体" w:cs="宋体"/>
          <w:spacing w:val="-11"/>
          <w:sz w:val="22"/>
          <w:szCs w:val="22"/>
        </w:rPr>
        <w:t>一般来讲，运动员一</w:t>
      </w:r>
      <w:r>
        <w:rPr>
          <w:rFonts w:ascii="宋体" w:eastAsia="宋体" w:hAnsi="宋体" w:cs="宋体"/>
          <w:spacing w:val="-49"/>
          <w:sz w:val="22"/>
          <w:szCs w:val="22"/>
        </w:rPr>
        <w:t xml:space="preserve"> </w:t>
      </w:r>
      <w:r>
        <w:rPr>
          <w:rFonts w:ascii="宋体" w:eastAsia="宋体" w:hAnsi="宋体" w:cs="宋体"/>
          <w:spacing w:val="-11"/>
          <w:sz w:val="22"/>
          <w:szCs w:val="22"/>
        </w:rPr>
        <w:t>日食物的总质量不宜超过2.5kg。体积过大的食物会增</w:t>
      </w:r>
      <w:r>
        <w:rPr>
          <w:rFonts w:ascii="宋体" w:eastAsia="宋体" w:hAnsi="宋体" w:cs="宋体"/>
          <w:sz w:val="22"/>
          <w:szCs w:val="22"/>
        </w:rPr>
        <w:t xml:space="preserve"> </w:t>
      </w:r>
      <w:r>
        <w:rPr>
          <w:rFonts w:ascii="宋体" w:eastAsia="宋体" w:hAnsi="宋体" w:cs="宋体"/>
          <w:spacing w:val="-11"/>
          <w:sz w:val="22"/>
          <w:szCs w:val="22"/>
        </w:rPr>
        <w:t>加胃容量及负担，影响运动能力，尤其是一些有合理冲撞的运动项目如足球等。</w:t>
      </w:r>
      <w:r>
        <w:rPr>
          <w:rFonts w:ascii="宋体" w:eastAsia="宋体" w:hAnsi="宋体" w:cs="宋体"/>
          <w:spacing w:val="3"/>
          <w:sz w:val="22"/>
          <w:szCs w:val="22"/>
        </w:rPr>
        <w:t xml:space="preserve"> </w:t>
      </w:r>
      <w:r>
        <w:rPr>
          <w:rFonts w:ascii="宋体" w:eastAsia="宋体" w:hAnsi="宋体" w:cs="宋体"/>
          <w:spacing w:val="-14"/>
          <w:sz w:val="22"/>
          <w:szCs w:val="22"/>
        </w:rPr>
        <w:t>因此，运动员应该选择能量密度和营养素密度高的食物。</w:t>
      </w:r>
    </w:p>
    <w:p w:rsidR="00EA40A3" w:rsidRDefault="00E86C16">
      <w:pPr>
        <w:spacing w:before="198" w:line="223"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43"/>
          <w:sz w:val="22"/>
          <w:szCs w:val="22"/>
        </w:rPr>
        <w:t xml:space="preserve"> </w:t>
      </w:r>
      <w:r>
        <w:rPr>
          <w:rFonts w:ascii="仿宋" w:eastAsia="仿宋" w:hAnsi="仿宋" w:cs="仿宋"/>
          <w:spacing w:val="14"/>
          <w:sz w:val="22"/>
          <w:szCs w:val="22"/>
        </w:rPr>
        <w:t>确定合理的饮食时间及餐次</w:t>
      </w:r>
    </w:p>
    <w:p w:rsidR="00EA40A3" w:rsidRDefault="00E86C16">
      <w:pPr>
        <w:spacing w:before="192" w:line="248" w:lineRule="auto"/>
        <w:ind w:right="21" w:firstLine="449"/>
        <w:jc w:val="both"/>
        <w:rPr>
          <w:rFonts w:ascii="宋体" w:eastAsia="宋体" w:hAnsi="宋体" w:cs="宋体"/>
          <w:sz w:val="22"/>
          <w:szCs w:val="22"/>
        </w:rPr>
      </w:pPr>
      <w:r>
        <w:rPr>
          <w:rFonts w:ascii="宋体" w:eastAsia="宋体" w:hAnsi="宋体" w:cs="宋体"/>
          <w:spacing w:val="-13"/>
          <w:sz w:val="22"/>
          <w:szCs w:val="22"/>
        </w:rPr>
        <w:t>运动员的进食时间应当考虑运动对消化功能的影响。运动时，内脏会发生缺</w:t>
      </w:r>
      <w:r>
        <w:rPr>
          <w:rFonts w:ascii="宋体" w:eastAsia="宋体" w:hAnsi="宋体" w:cs="宋体"/>
          <w:spacing w:val="16"/>
          <w:sz w:val="22"/>
          <w:szCs w:val="22"/>
        </w:rPr>
        <w:t xml:space="preserve"> </w:t>
      </w:r>
      <w:r>
        <w:rPr>
          <w:rFonts w:ascii="宋体" w:eastAsia="宋体" w:hAnsi="宋体" w:cs="宋体"/>
          <w:spacing w:val="-13"/>
          <w:sz w:val="22"/>
          <w:szCs w:val="22"/>
        </w:rPr>
        <w:t>血，因此进食时间和运动或训练的时间间隔不宜太接近。但同时由于运动需要消</w:t>
      </w:r>
      <w:r>
        <w:rPr>
          <w:rFonts w:ascii="宋体" w:eastAsia="宋体" w:hAnsi="宋体" w:cs="宋体"/>
          <w:spacing w:val="4"/>
          <w:sz w:val="22"/>
          <w:szCs w:val="22"/>
        </w:rPr>
        <w:t xml:space="preserve"> </w:t>
      </w:r>
      <w:r>
        <w:rPr>
          <w:rFonts w:ascii="宋体" w:eastAsia="宋体" w:hAnsi="宋体" w:cs="宋体"/>
          <w:spacing w:val="-16"/>
          <w:sz w:val="22"/>
          <w:szCs w:val="22"/>
        </w:rPr>
        <w:t>耗大量能量及其他营养素，因此进餐时间也不</w:t>
      </w:r>
      <w:r>
        <w:rPr>
          <w:rFonts w:ascii="宋体" w:eastAsia="宋体" w:hAnsi="宋体" w:cs="宋体"/>
          <w:spacing w:val="-17"/>
          <w:sz w:val="22"/>
          <w:szCs w:val="22"/>
        </w:rPr>
        <w:t>宜与运动或训练时间间隔太长。</w:t>
      </w:r>
      <w:r>
        <w:rPr>
          <w:rFonts w:ascii="宋体" w:eastAsia="宋体" w:hAnsi="宋体" w:cs="宋体"/>
          <w:spacing w:val="35"/>
          <w:sz w:val="22"/>
          <w:szCs w:val="22"/>
        </w:rPr>
        <w:t xml:space="preserve"> </w:t>
      </w:r>
      <w:r>
        <w:rPr>
          <w:rFonts w:ascii="宋体" w:eastAsia="宋体" w:hAnsi="宋体" w:cs="宋体"/>
          <w:spacing w:val="-17"/>
          <w:sz w:val="22"/>
          <w:szCs w:val="22"/>
        </w:rPr>
        <w:t>一</w:t>
      </w:r>
      <w:r>
        <w:rPr>
          <w:rFonts w:ascii="宋体" w:eastAsia="宋体" w:hAnsi="宋体" w:cs="宋体"/>
          <w:sz w:val="22"/>
          <w:szCs w:val="22"/>
        </w:rPr>
        <w:t xml:space="preserve"> </w:t>
      </w:r>
      <w:r>
        <w:rPr>
          <w:rFonts w:ascii="宋体" w:eastAsia="宋体" w:hAnsi="宋体" w:cs="宋体"/>
          <w:spacing w:val="-5"/>
          <w:sz w:val="22"/>
          <w:szCs w:val="22"/>
        </w:rPr>
        <w:t>般要求大运动量训练或比赛前一餐应在3h</w:t>
      </w:r>
      <w:r>
        <w:rPr>
          <w:rFonts w:ascii="宋体" w:eastAsia="宋体" w:hAnsi="宋体" w:cs="宋体"/>
          <w:spacing w:val="-29"/>
          <w:sz w:val="22"/>
          <w:szCs w:val="22"/>
        </w:rPr>
        <w:t xml:space="preserve"> </w:t>
      </w:r>
      <w:r>
        <w:rPr>
          <w:rFonts w:ascii="宋体" w:eastAsia="宋体" w:hAnsi="宋体" w:cs="宋体"/>
          <w:spacing w:val="-5"/>
          <w:sz w:val="22"/>
          <w:szCs w:val="22"/>
        </w:rPr>
        <w:t>以前完成；而运动后至少休息40min</w:t>
      </w:r>
      <w:r>
        <w:rPr>
          <w:rFonts w:ascii="宋体" w:eastAsia="宋体" w:hAnsi="宋体" w:cs="宋体"/>
          <w:sz w:val="22"/>
          <w:szCs w:val="22"/>
        </w:rPr>
        <w:t xml:space="preserve"> </w:t>
      </w:r>
      <w:r>
        <w:rPr>
          <w:rFonts w:ascii="宋体" w:eastAsia="宋体" w:hAnsi="宋体" w:cs="宋体"/>
          <w:spacing w:val="-17"/>
          <w:sz w:val="22"/>
          <w:szCs w:val="22"/>
        </w:rPr>
        <w:t>后方可进食。运动员的进餐次数可根据训练及运动状</w:t>
      </w:r>
      <w:r>
        <w:rPr>
          <w:rFonts w:ascii="宋体" w:eastAsia="宋体" w:hAnsi="宋体" w:cs="宋体"/>
          <w:spacing w:val="-18"/>
          <w:sz w:val="22"/>
          <w:szCs w:val="22"/>
        </w:rPr>
        <w:t>况进行调整。</w:t>
      </w:r>
      <w:r>
        <w:rPr>
          <w:rFonts w:ascii="宋体" w:eastAsia="宋体" w:hAnsi="宋体" w:cs="宋体"/>
          <w:spacing w:val="34"/>
          <w:sz w:val="22"/>
          <w:szCs w:val="22"/>
        </w:rPr>
        <w:t xml:space="preserve"> </w:t>
      </w:r>
      <w:r>
        <w:rPr>
          <w:rFonts w:ascii="宋体" w:eastAsia="宋体" w:hAnsi="宋体" w:cs="宋体"/>
          <w:spacing w:val="-18"/>
          <w:sz w:val="22"/>
          <w:szCs w:val="22"/>
        </w:rPr>
        <w:t>一般是一日三</w:t>
      </w:r>
      <w:r>
        <w:rPr>
          <w:rFonts w:ascii="宋体" w:eastAsia="宋体" w:hAnsi="宋体" w:cs="宋体"/>
          <w:sz w:val="22"/>
          <w:szCs w:val="22"/>
        </w:rPr>
        <w:t xml:space="preserve"> </w:t>
      </w:r>
      <w:r>
        <w:rPr>
          <w:rFonts w:ascii="宋体" w:eastAsia="宋体" w:hAnsi="宋体" w:cs="宋体"/>
          <w:spacing w:val="-13"/>
          <w:sz w:val="22"/>
          <w:szCs w:val="22"/>
        </w:rPr>
        <w:t>餐制，当训练强度大、时间长时，对能量的需要量增加，可以增</w:t>
      </w:r>
      <w:r>
        <w:rPr>
          <w:rFonts w:ascii="宋体" w:eastAsia="宋体" w:hAnsi="宋体" w:cs="宋体"/>
          <w:spacing w:val="-14"/>
          <w:sz w:val="22"/>
          <w:szCs w:val="22"/>
        </w:rPr>
        <w:t>加餐次或两餐之</w:t>
      </w:r>
      <w:r>
        <w:rPr>
          <w:rFonts w:ascii="宋体" w:eastAsia="宋体" w:hAnsi="宋体" w:cs="宋体"/>
          <w:sz w:val="22"/>
          <w:szCs w:val="22"/>
        </w:rPr>
        <w:t xml:space="preserve"> </w:t>
      </w:r>
      <w:r>
        <w:rPr>
          <w:rFonts w:ascii="宋体" w:eastAsia="宋体" w:hAnsi="宋体" w:cs="宋体"/>
          <w:spacing w:val="-17"/>
          <w:sz w:val="22"/>
          <w:szCs w:val="22"/>
        </w:rPr>
        <w:t>间添加点心。</w:t>
      </w:r>
    </w:p>
    <w:p w:rsidR="00EA40A3" w:rsidRDefault="00E86C16">
      <w:pPr>
        <w:spacing w:before="230" w:line="221"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8"/>
          <w:sz w:val="22"/>
          <w:szCs w:val="22"/>
        </w:rPr>
        <w:t xml:space="preserve"> </w:t>
      </w:r>
      <w:r>
        <w:rPr>
          <w:rFonts w:ascii="仿宋" w:eastAsia="仿宋" w:hAnsi="仿宋" w:cs="仿宋"/>
          <w:spacing w:val="15"/>
          <w:sz w:val="22"/>
          <w:szCs w:val="22"/>
        </w:rPr>
        <w:t>根据运动项目及训练内容的不同安排膳食</w:t>
      </w:r>
    </w:p>
    <w:p w:rsidR="00EA40A3" w:rsidRDefault="00E86C16">
      <w:pPr>
        <w:spacing w:before="177" w:line="248" w:lineRule="auto"/>
        <w:ind w:right="51" w:firstLine="449"/>
        <w:jc w:val="both"/>
        <w:rPr>
          <w:rFonts w:ascii="宋体" w:eastAsia="宋体" w:hAnsi="宋体" w:cs="宋体"/>
          <w:sz w:val="22"/>
          <w:szCs w:val="22"/>
        </w:rPr>
      </w:pPr>
      <w:r>
        <w:rPr>
          <w:rFonts w:ascii="宋体" w:eastAsia="宋体" w:hAnsi="宋体" w:cs="宋体"/>
          <w:spacing w:val="-13"/>
          <w:sz w:val="22"/>
          <w:szCs w:val="22"/>
        </w:rPr>
        <w:t>如前所述，不同的运动项目分别有其重点的营</w:t>
      </w:r>
      <w:r>
        <w:rPr>
          <w:rFonts w:ascii="宋体" w:eastAsia="宋体" w:hAnsi="宋体" w:cs="宋体"/>
          <w:spacing w:val="-14"/>
          <w:sz w:val="22"/>
          <w:szCs w:val="22"/>
        </w:rPr>
        <w:t>养要求。同时，运动员一日三</w:t>
      </w:r>
      <w:r>
        <w:rPr>
          <w:rFonts w:ascii="宋体" w:eastAsia="宋体" w:hAnsi="宋体" w:cs="宋体"/>
          <w:sz w:val="22"/>
          <w:szCs w:val="22"/>
        </w:rPr>
        <w:t xml:space="preserve"> </w:t>
      </w:r>
      <w:r>
        <w:rPr>
          <w:rFonts w:ascii="宋体" w:eastAsia="宋体" w:hAnsi="宋体" w:cs="宋体"/>
          <w:spacing w:val="-14"/>
          <w:sz w:val="22"/>
          <w:szCs w:val="22"/>
        </w:rPr>
        <w:t>餐的分配应符合当天的运动或训练需要。也就是说，进行同一种运动项目的运动</w:t>
      </w:r>
      <w:r>
        <w:rPr>
          <w:rFonts w:ascii="宋体" w:eastAsia="宋体" w:hAnsi="宋体" w:cs="宋体"/>
          <w:spacing w:val="13"/>
          <w:sz w:val="22"/>
          <w:szCs w:val="22"/>
        </w:rPr>
        <w:t xml:space="preserve"> </w:t>
      </w:r>
      <w:r>
        <w:rPr>
          <w:rFonts w:ascii="宋体" w:eastAsia="宋体" w:hAnsi="宋体" w:cs="宋体"/>
          <w:spacing w:val="-13"/>
          <w:sz w:val="22"/>
          <w:szCs w:val="22"/>
        </w:rPr>
        <w:t>员，当所训练的内容不同时，其膳食应有所改变。如滑雪运动一般归为耐</w:t>
      </w:r>
      <w:r>
        <w:rPr>
          <w:rFonts w:ascii="宋体" w:eastAsia="宋体" w:hAnsi="宋体" w:cs="宋体"/>
          <w:spacing w:val="-14"/>
          <w:sz w:val="22"/>
          <w:szCs w:val="22"/>
        </w:rPr>
        <w:t>力型项</w:t>
      </w:r>
      <w:r>
        <w:rPr>
          <w:rFonts w:ascii="宋体" w:eastAsia="宋体" w:hAnsi="宋体" w:cs="宋体"/>
          <w:sz w:val="22"/>
          <w:szCs w:val="22"/>
        </w:rPr>
        <w:t xml:space="preserve"> </w:t>
      </w:r>
      <w:r>
        <w:rPr>
          <w:rFonts w:ascii="宋体" w:eastAsia="宋体" w:hAnsi="宋体" w:cs="宋体"/>
          <w:spacing w:val="-13"/>
          <w:sz w:val="22"/>
          <w:szCs w:val="22"/>
        </w:rPr>
        <w:t>目，但运动员在训练过程中同样会对力量、速度等进行专门训练，那么在此期间</w:t>
      </w:r>
      <w:r>
        <w:rPr>
          <w:rFonts w:ascii="宋体" w:eastAsia="宋体" w:hAnsi="宋体" w:cs="宋体"/>
          <w:spacing w:val="4"/>
          <w:sz w:val="22"/>
          <w:szCs w:val="22"/>
        </w:rPr>
        <w:t xml:space="preserve"> </w:t>
      </w:r>
      <w:r>
        <w:rPr>
          <w:rFonts w:ascii="宋体" w:eastAsia="宋体" w:hAnsi="宋体" w:cs="宋体"/>
          <w:spacing w:val="-17"/>
          <w:sz w:val="22"/>
          <w:szCs w:val="22"/>
        </w:rPr>
        <w:t>的膳食应更接近力量型项目的营养要求。</w:t>
      </w:r>
      <w:r>
        <w:rPr>
          <w:rFonts w:ascii="宋体" w:eastAsia="宋体" w:hAnsi="宋体" w:cs="宋体"/>
          <w:spacing w:val="35"/>
          <w:sz w:val="22"/>
          <w:szCs w:val="22"/>
        </w:rPr>
        <w:t xml:space="preserve"> </w:t>
      </w:r>
      <w:r>
        <w:rPr>
          <w:rFonts w:ascii="宋体" w:eastAsia="宋体" w:hAnsi="宋体" w:cs="宋体"/>
          <w:spacing w:val="-17"/>
          <w:sz w:val="22"/>
          <w:szCs w:val="22"/>
        </w:rPr>
        <w:t>一般来讲</w:t>
      </w:r>
      <w:r>
        <w:rPr>
          <w:rFonts w:ascii="宋体" w:eastAsia="宋体" w:hAnsi="宋体" w:cs="宋体"/>
          <w:spacing w:val="-18"/>
          <w:sz w:val="22"/>
          <w:szCs w:val="22"/>
        </w:rPr>
        <w:t>，运动员早、中、晚餐的能量</w:t>
      </w:r>
      <w:r>
        <w:rPr>
          <w:rFonts w:ascii="宋体" w:eastAsia="宋体" w:hAnsi="宋体" w:cs="宋体"/>
          <w:sz w:val="22"/>
          <w:szCs w:val="22"/>
        </w:rPr>
        <w:t xml:space="preserve"> </w:t>
      </w:r>
      <w:r>
        <w:rPr>
          <w:rFonts w:ascii="宋体" w:eastAsia="宋体" w:hAnsi="宋体" w:cs="宋体"/>
          <w:spacing w:val="5"/>
          <w:sz w:val="22"/>
          <w:szCs w:val="22"/>
        </w:rPr>
        <w:t>提供的比例大致为30%、40%、30%,根据具体训练可进行适当调整，要保证</w:t>
      </w:r>
      <w:r>
        <w:rPr>
          <w:rFonts w:ascii="宋体" w:eastAsia="宋体" w:hAnsi="宋体" w:cs="宋体"/>
          <w:spacing w:val="13"/>
          <w:sz w:val="22"/>
          <w:szCs w:val="22"/>
        </w:rPr>
        <w:t xml:space="preserve"> </w:t>
      </w:r>
      <w:r>
        <w:rPr>
          <w:rFonts w:ascii="宋体" w:eastAsia="宋体" w:hAnsi="宋体" w:cs="宋体"/>
          <w:spacing w:val="-13"/>
          <w:sz w:val="22"/>
          <w:szCs w:val="22"/>
        </w:rPr>
        <w:t>训练前一餐有充足的能量供应，如上午训练，则早餐应有较高的能量；而下午训</w:t>
      </w:r>
      <w:r>
        <w:rPr>
          <w:rFonts w:ascii="宋体" w:eastAsia="宋体" w:hAnsi="宋体" w:cs="宋体"/>
          <w:spacing w:val="6"/>
          <w:sz w:val="22"/>
          <w:szCs w:val="22"/>
        </w:rPr>
        <w:t xml:space="preserve"> </w:t>
      </w:r>
      <w:r>
        <w:rPr>
          <w:rFonts w:ascii="宋体" w:eastAsia="宋体" w:hAnsi="宋体" w:cs="宋体"/>
          <w:spacing w:val="-13"/>
          <w:sz w:val="22"/>
          <w:szCs w:val="22"/>
        </w:rPr>
        <w:t>练，则中餐应适当加强。</w:t>
      </w:r>
    </w:p>
    <w:p w:rsidR="00EA40A3" w:rsidRDefault="00E86C16">
      <w:pPr>
        <w:spacing w:before="206" w:line="222" w:lineRule="auto"/>
        <w:rPr>
          <w:rFonts w:ascii="仿宋" w:eastAsia="仿宋" w:hAnsi="仿宋" w:cs="仿宋"/>
          <w:sz w:val="25"/>
          <w:szCs w:val="25"/>
        </w:rPr>
      </w:pPr>
      <w:r>
        <w:rPr>
          <w:rFonts w:ascii="仿宋" w:eastAsia="仿宋" w:hAnsi="仿宋" w:cs="仿宋"/>
          <w:spacing w:val="5"/>
          <w:sz w:val="25"/>
          <w:szCs w:val="25"/>
        </w:rPr>
        <w:t>5.其他</w:t>
      </w:r>
    </w:p>
    <w:p w:rsidR="00EA40A3" w:rsidRDefault="00E86C16">
      <w:pPr>
        <w:spacing w:before="212" w:line="228" w:lineRule="auto"/>
        <w:ind w:right="51" w:firstLine="449"/>
        <w:rPr>
          <w:rFonts w:ascii="宋体" w:eastAsia="宋体" w:hAnsi="宋体" w:cs="宋体"/>
          <w:sz w:val="22"/>
          <w:szCs w:val="22"/>
        </w:rPr>
      </w:pPr>
      <w:r>
        <w:rPr>
          <w:rFonts w:ascii="宋体" w:eastAsia="宋体" w:hAnsi="宋体" w:cs="宋体"/>
          <w:spacing w:val="-13"/>
          <w:sz w:val="22"/>
          <w:szCs w:val="22"/>
        </w:rPr>
        <w:t>根据运动员的营养需要特点，注意食品的色、</w:t>
      </w:r>
      <w:r>
        <w:rPr>
          <w:rFonts w:ascii="宋体" w:eastAsia="宋体" w:hAnsi="宋体" w:cs="宋体"/>
          <w:spacing w:val="-14"/>
          <w:sz w:val="22"/>
          <w:szCs w:val="22"/>
        </w:rPr>
        <w:t>香、味、形状和硬度，以增进</w:t>
      </w:r>
      <w:r>
        <w:rPr>
          <w:rFonts w:ascii="宋体" w:eastAsia="宋体" w:hAnsi="宋体" w:cs="宋体"/>
          <w:sz w:val="22"/>
          <w:szCs w:val="22"/>
        </w:rPr>
        <w:t xml:space="preserve"> </w:t>
      </w:r>
      <w:r>
        <w:rPr>
          <w:rFonts w:ascii="宋体" w:eastAsia="宋体" w:hAnsi="宋体" w:cs="宋体"/>
          <w:spacing w:val="-18"/>
          <w:sz w:val="22"/>
          <w:szCs w:val="22"/>
        </w:rPr>
        <w:t>运动员的食欲。</w:t>
      </w:r>
    </w:p>
    <w:p w:rsidR="00EA40A3" w:rsidRDefault="00EA40A3">
      <w:pPr>
        <w:spacing w:line="247" w:lineRule="auto"/>
      </w:pPr>
    </w:p>
    <w:p w:rsidR="00EA40A3" w:rsidRDefault="00E86C16">
      <w:pPr>
        <w:spacing w:before="91" w:line="219" w:lineRule="auto"/>
        <w:ind w:left="2130"/>
        <w:rPr>
          <w:rFonts w:ascii="宋体" w:eastAsia="宋体" w:hAnsi="宋体" w:cs="宋体"/>
          <w:sz w:val="28"/>
          <w:szCs w:val="28"/>
        </w:rPr>
      </w:pPr>
      <w:r>
        <w:rPr>
          <w:rFonts w:ascii="宋体" w:eastAsia="宋体" w:hAnsi="宋体" w:cs="宋体"/>
          <w:spacing w:val="-6"/>
          <w:sz w:val="28"/>
          <w:szCs w:val="28"/>
        </w:rPr>
        <w:t>10.7</w:t>
      </w:r>
      <w:r>
        <w:rPr>
          <w:rFonts w:ascii="宋体" w:eastAsia="宋体" w:hAnsi="宋体" w:cs="宋体"/>
          <w:spacing w:val="9"/>
          <w:sz w:val="28"/>
          <w:szCs w:val="28"/>
        </w:rPr>
        <w:t xml:space="preserve">  </w:t>
      </w:r>
      <w:r>
        <w:rPr>
          <w:rFonts w:ascii="宋体" w:eastAsia="宋体" w:hAnsi="宋体" w:cs="宋体"/>
          <w:spacing w:val="-6"/>
          <w:sz w:val="28"/>
          <w:szCs w:val="28"/>
        </w:rPr>
        <w:t>特殊环境人群营养</w:t>
      </w:r>
    </w:p>
    <w:p w:rsidR="00EA40A3" w:rsidRDefault="00EA40A3">
      <w:pPr>
        <w:spacing w:line="253" w:lineRule="auto"/>
      </w:pPr>
    </w:p>
    <w:p w:rsidR="00EA40A3" w:rsidRDefault="00E86C16">
      <w:pPr>
        <w:spacing w:before="72" w:line="237" w:lineRule="auto"/>
        <w:ind w:right="80" w:firstLine="449"/>
        <w:jc w:val="both"/>
        <w:rPr>
          <w:rFonts w:ascii="宋体" w:eastAsia="宋体" w:hAnsi="宋体" w:cs="宋体"/>
          <w:sz w:val="22"/>
          <w:szCs w:val="22"/>
        </w:rPr>
      </w:pPr>
      <w:r>
        <w:rPr>
          <w:rFonts w:ascii="宋体" w:eastAsia="宋体" w:hAnsi="宋体" w:cs="宋体"/>
          <w:spacing w:val="-8"/>
          <w:sz w:val="22"/>
          <w:szCs w:val="22"/>
        </w:rPr>
        <w:t>人在不同环境下的生理状况不同，尤其是在一些特殊的环境条件下，如高</w:t>
      </w:r>
      <w:r>
        <w:rPr>
          <w:rFonts w:ascii="宋体" w:eastAsia="宋体" w:hAnsi="宋体" w:cs="宋体"/>
          <w:spacing w:val="4"/>
          <w:sz w:val="22"/>
          <w:szCs w:val="22"/>
        </w:rPr>
        <w:t xml:space="preserve"> </w:t>
      </w:r>
      <w:r>
        <w:rPr>
          <w:rFonts w:ascii="宋体" w:eastAsia="宋体" w:hAnsi="宋体" w:cs="宋体"/>
          <w:spacing w:val="-13"/>
          <w:sz w:val="22"/>
          <w:szCs w:val="22"/>
        </w:rPr>
        <w:t>温、低温、缺氧或者职业性接触有毒有害物质的环境等，从而对</w:t>
      </w:r>
      <w:r>
        <w:rPr>
          <w:rFonts w:ascii="宋体" w:eastAsia="宋体" w:hAnsi="宋体" w:cs="宋体"/>
          <w:spacing w:val="-14"/>
          <w:sz w:val="22"/>
          <w:szCs w:val="22"/>
        </w:rPr>
        <w:t>人的膳食营养提</w:t>
      </w:r>
      <w:r>
        <w:rPr>
          <w:rFonts w:ascii="宋体" w:eastAsia="宋体" w:hAnsi="宋体" w:cs="宋体"/>
          <w:sz w:val="22"/>
          <w:szCs w:val="22"/>
        </w:rPr>
        <w:t xml:space="preserve"> </w:t>
      </w:r>
      <w:r>
        <w:rPr>
          <w:rFonts w:ascii="宋体" w:eastAsia="宋体" w:hAnsi="宋体" w:cs="宋体"/>
          <w:spacing w:val="-13"/>
          <w:sz w:val="22"/>
          <w:szCs w:val="22"/>
        </w:rPr>
        <w:t>出了特殊的要求。根据不同的环境，合理制定营养策略，对于保</w:t>
      </w:r>
      <w:r>
        <w:rPr>
          <w:rFonts w:ascii="宋体" w:eastAsia="宋体" w:hAnsi="宋体" w:cs="宋体"/>
          <w:spacing w:val="-14"/>
          <w:sz w:val="22"/>
          <w:szCs w:val="22"/>
        </w:rPr>
        <w:t>证特殊环境人群</w:t>
      </w:r>
      <w:r>
        <w:rPr>
          <w:rFonts w:ascii="宋体" w:eastAsia="宋体" w:hAnsi="宋体" w:cs="宋体"/>
          <w:sz w:val="22"/>
          <w:szCs w:val="22"/>
        </w:rPr>
        <w:t xml:space="preserve"> </w:t>
      </w:r>
      <w:r>
        <w:rPr>
          <w:rFonts w:ascii="宋体" w:eastAsia="宋体" w:hAnsi="宋体" w:cs="宋体"/>
          <w:spacing w:val="-16"/>
          <w:sz w:val="22"/>
          <w:szCs w:val="22"/>
        </w:rPr>
        <w:t>的健康具有重要意义。</w:t>
      </w:r>
    </w:p>
    <w:p w:rsidR="00EA40A3" w:rsidRDefault="00EA40A3">
      <w:pPr>
        <w:spacing w:line="312" w:lineRule="auto"/>
      </w:pPr>
    </w:p>
    <w:p w:rsidR="00EA40A3" w:rsidRDefault="00E86C16">
      <w:pPr>
        <w:spacing w:before="62"/>
        <w:rPr>
          <w:rFonts w:ascii="宋体" w:eastAsia="宋体" w:hAnsi="宋体" w:cs="宋体"/>
          <w:sz w:val="19"/>
          <w:szCs w:val="19"/>
        </w:rPr>
      </w:pPr>
      <w:r>
        <w:rPr>
          <w:rFonts w:ascii="宋体" w:eastAsia="宋体" w:hAnsi="宋体" w:cs="宋体"/>
          <w:spacing w:val="-32"/>
          <w:sz w:val="19"/>
          <w:szCs w:val="19"/>
        </w:rPr>
        <w:t>·</w:t>
      </w:r>
      <w:r>
        <w:rPr>
          <w:rFonts w:ascii="宋体" w:eastAsia="宋体" w:hAnsi="宋体" w:cs="宋体"/>
          <w:spacing w:val="-5"/>
          <w:sz w:val="19"/>
          <w:szCs w:val="19"/>
        </w:rPr>
        <w:t xml:space="preserve"> </w:t>
      </w:r>
      <w:r>
        <w:rPr>
          <w:rFonts w:ascii="宋体" w:eastAsia="宋体" w:hAnsi="宋体" w:cs="宋体"/>
          <w:spacing w:val="-32"/>
          <w:sz w:val="19"/>
          <w:szCs w:val="19"/>
        </w:rPr>
        <w:t>344</w:t>
      </w:r>
      <w:r>
        <w:rPr>
          <w:rFonts w:ascii="宋体" w:eastAsia="宋体" w:hAnsi="宋体" w:cs="宋体"/>
          <w:spacing w:val="42"/>
          <w:sz w:val="19"/>
          <w:szCs w:val="19"/>
        </w:rPr>
        <w:t xml:space="preserve"> </w:t>
      </w:r>
      <w:r>
        <w:rPr>
          <w:rFonts w:ascii="宋体" w:eastAsia="宋体" w:hAnsi="宋体" w:cs="宋体"/>
          <w:spacing w:val="-32"/>
          <w:sz w:val="19"/>
          <w:szCs w:val="19"/>
        </w:rPr>
        <w:t>·</w:t>
      </w:r>
    </w:p>
    <w:p w:rsidR="00EA40A3" w:rsidRDefault="00EA40A3">
      <w:pPr>
        <w:sectPr w:rsidR="00EA40A3">
          <w:footerReference w:type="default" r:id="rId289"/>
          <w:pgSz w:w="9220" w:h="13360"/>
          <w:pgMar w:top="400" w:right="1100" w:bottom="400" w:left="800" w:header="0" w:footer="0" w:gutter="0"/>
          <w:cols w:space="720"/>
        </w:sectPr>
      </w:pPr>
    </w:p>
    <w:p w:rsidR="00EA40A3" w:rsidRDefault="00EA40A3">
      <w:pPr>
        <w:spacing w:line="245" w:lineRule="auto"/>
      </w:pPr>
    </w:p>
    <w:p w:rsidR="00EA40A3" w:rsidRDefault="00EA40A3">
      <w:pPr>
        <w:spacing w:line="246" w:lineRule="auto"/>
      </w:pPr>
    </w:p>
    <w:p w:rsidR="00EA40A3" w:rsidRDefault="00EA40A3">
      <w:pPr>
        <w:spacing w:line="246"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5"/>
          <w:sz w:val="22"/>
          <w:szCs w:val="22"/>
        </w:rPr>
        <w:t>10.7.1</w:t>
      </w:r>
      <w:r>
        <w:rPr>
          <w:rFonts w:ascii="黑体" w:eastAsia="黑体" w:hAnsi="黑体" w:cs="黑体"/>
          <w:spacing w:val="31"/>
          <w:sz w:val="22"/>
          <w:szCs w:val="22"/>
        </w:rPr>
        <w:t xml:space="preserve">  </w:t>
      </w:r>
      <w:r>
        <w:rPr>
          <w:rFonts w:ascii="黑体" w:eastAsia="黑体" w:hAnsi="黑体" w:cs="黑体"/>
          <w:b/>
          <w:bCs/>
          <w:spacing w:val="5"/>
          <w:sz w:val="22"/>
          <w:szCs w:val="22"/>
        </w:rPr>
        <w:t>高温环境人群营养</w:t>
      </w:r>
    </w:p>
    <w:p w:rsidR="00EA40A3" w:rsidRDefault="00E86C16">
      <w:pPr>
        <w:spacing w:before="249" w:line="348" w:lineRule="exact"/>
        <w:rPr>
          <w:rFonts w:ascii="仿宋" w:eastAsia="仿宋" w:hAnsi="仿宋" w:cs="仿宋"/>
          <w:sz w:val="22"/>
          <w:szCs w:val="22"/>
        </w:rPr>
      </w:pPr>
      <w:r>
        <w:rPr>
          <w:rFonts w:ascii="仿宋" w:eastAsia="仿宋" w:hAnsi="仿宋" w:cs="仿宋"/>
          <w:spacing w:val="11"/>
          <w:position w:val="9"/>
          <w:sz w:val="22"/>
          <w:szCs w:val="22"/>
        </w:rPr>
        <w:t>1.</w:t>
      </w:r>
      <w:r>
        <w:rPr>
          <w:rFonts w:ascii="仿宋" w:eastAsia="仿宋" w:hAnsi="仿宋" w:cs="仿宋"/>
          <w:spacing w:val="-27"/>
          <w:position w:val="9"/>
          <w:sz w:val="22"/>
          <w:szCs w:val="22"/>
        </w:rPr>
        <w:t xml:space="preserve"> </w:t>
      </w:r>
      <w:r>
        <w:rPr>
          <w:rFonts w:ascii="仿宋" w:eastAsia="仿宋" w:hAnsi="仿宋" w:cs="仿宋"/>
          <w:spacing w:val="11"/>
          <w:position w:val="9"/>
          <w:sz w:val="22"/>
          <w:szCs w:val="22"/>
        </w:rPr>
        <w:t>高温环境下机体生理特点</w:t>
      </w:r>
    </w:p>
    <w:p w:rsidR="00EA40A3" w:rsidRDefault="00E86C16">
      <w:pPr>
        <w:spacing w:line="223" w:lineRule="auto"/>
        <w:rPr>
          <w:rFonts w:ascii="楷体" w:eastAsia="楷体" w:hAnsi="楷体" w:cs="楷体"/>
          <w:sz w:val="22"/>
          <w:szCs w:val="22"/>
        </w:rPr>
      </w:pPr>
      <w:r>
        <w:rPr>
          <w:rFonts w:ascii="楷体" w:eastAsia="楷体" w:hAnsi="楷体" w:cs="楷体"/>
          <w:spacing w:val="-7"/>
          <w:sz w:val="22"/>
          <w:szCs w:val="22"/>
        </w:rPr>
        <w:t>1)高温导致消化生理改变</w:t>
      </w:r>
    </w:p>
    <w:p w:rsidR="00EA40A3" w:rsidRDefault="00E86C16">
      <w:pPr>
        <w:spacing w:before="49" w:line="243" w:lineRule="auto"/>
        <w:ind w:right="49" w:firstLine="420"/>
        <w:rPr>
          <w:rFonts w:ascii="宋体" w:eastAsia="宋体" w:hAnsi="宋体" w:cs="宋体"/>
          <w:sz w:val="22"/>
          <w:szCs w:val="22"/>
        </w:rPr>
      </w:pPr>
      <w:r>
        <w:rPr>
          <w:rFonts w:ascii="宋体" w:eastAsia="宋体" w:hAnsi="宋体" w:cs="宋体"/>
          <w:spacing w:val="-5"/>
          <w:sz w:val="22"/>
          <w:szCs w:val="22"/>
        </w:rPr>
        <w:t>高温环境通常是指32℃或35℃以上的生活环境。当机体处于高温环境时</w:t>
      </w:r>
      <w:r>
        <w:rPr>
          <w:rFonts w:ascii="宋体" w:eastAsia="宋体" w:hAnsi="宋体" w:cs="宋体"/>
          <w:spacing w:val="-6"/>
          <w:sz w:val="22"/>
          <w:szCs w:val="22"/>
        </w:rPr>
        <w:t>，</w:t>
      </w:r>
      <w:r>
        <w:rPr>
          <w:rFonts w:ascii="宋体" w:eastAsia="宋体" w:hAnsi="宋体" w:cs="宋体"/>
          <w:sz w:val="22"/>
          <w:szCs w:val="22"/>
        </w:rPr>
        <w:t xml:space="preserve"> </w:t>
      </w:r>
      <w:r>
        <w:rPr>
          <w:rFonts w:ascii="宋体" w:eastAsia="宋体" w:hAnsi="宋体" w:cs="宋体"/>
          <w:spacing w:val="-13"/>
          <w:sz w:val="22"/>
          <w:szCs w:val="22"/>
        </w:rPr>
        <w:t>在生理上发生多种改变，如交感神经兴奋性增强，导致胃肠运动减弱；同时消化</w:t>
      </w:r>
      <w:r>
        <w:rPr>
          <w:rFonts w:ascii="宋体" w:eastAsia="宋体" w:hAnsi="宋体" w:cs="宋体"/>
          <w:spacing w:val="12"/>
          <w:sz w:val="22"/>
          <w:szCs w:val="22"/>
        </w:rPr>
        <w:t xml:space="preserve"> </w:t>
      </w:r>
      <w:r>
        <w:rPr>
          <w:rFonts w:ascii="宋体" w:eastAsia="宋体" w:hAnsi="宋体" w:cs="宋体"/>
          <w:spacing w:val="-13"/>
          <w:sz w:val="22"/>
          <w:szCs w:val="22"/>
        </w:rPr>
        <w:t>腺功能减退，消化液分泌减少，胃液成分发生改变，游离盐酸含量减少，酸</w:t>
      </w:r>
      <w:r>
        <w:rPr>
          <w:rFonts w:ascii="宋体" w:eastAsia="宋体" w:hAnsi="宋体" w:cs="宋体"/>
          <w:spacing w:val="-14"/>
          <w:sz w:val="22"/>
          <w:szCs w:val="22"/>
        </w:rPr>
        <w:t>度下</w:t>
      </w:r>
      <w:r>
        <w:rPr>
          <w:rFonts w:ascii="宋体" w:eastAsia="宋体" w:hAnsi="宋体" w:cs="宋体"/>
          <w:sz w:val="22"/>
          <w:szCs w:val="22"/>
        </w:rPr>
        <w:t xml:space="preserve"> </w:t>
      </w:r>
      <w:r>
        <w:rPr>
          <w:rFonts w:ascii="宋体" w:eastAsia="宋体" w:hAnsi="宋体" w:cs="宋体"/>
          <w:spacing w:val="-13"/>
          <w:sz w:val="22"/>
          <w:szCs w:val="22"/>
        </w:rPr>
        <w:t>降；胃的排空加速，食物消化不完全，机体的大量失水导致食欲减退。</w:t>
      </w:r>
    </w:p>
    <w:p w:rsidR="00EA40A3" w:rsidRDefault="00E86C16">
      <w:pPr>
        <w:spacing w:before="50" w:line="227" w:lineRule="auto"/>
        <w:rPr>
          <w:rFonts w:ascii="楷体" w:eastAsia="楷体" w:hAnsi="楷体" w:cs="楷体"/>
          <w:sz w:val="22"/>
          <w:szCs w:val="22"/>
        </w:rPr>
      </w:pPr>
      <w:r>
        <w:rPr>
          <w:rFonts w:ascii="楷体" w:eastAsia="楷体" w:hAnsi="楷体" w:cs="楷体"/>
          <w:spacing w:val="-7"/>
          <w:sz w:val="22"/>
          <w:szCs w:val="22"/>
        </w:rPr>
        <w:t>2)高温还引起机体代谢发生改变</w:t>
      </w:r>
    </w:p>
    <w:p w:rsidR="00EA40A3" w:rsidRDefault="00E86C16">
      <w:pPr>
        <w:spacing w:before="60" w:line="248" w:lineRule="auto"/>
        <w:ind w:firstLine="420"/>
        <w:rPr>
          <w:rFonts w:ascii="宋体" w:eastAsia="宋体" w:hAnsi="宋体" w:cs="宋体"/>
          <w:sz w:val="22"/>
          <w:szCs w:val="22"/>
        </w:rPr>
      </w:pPr>
      <w:r>
        <w:rPr>
          <w:rFonts w:ascii="宋体" w:eastAsia="宋体" w:hAnsi="宋体" w:cs="宋体"/>
          <w:spacing w:val="-14"/>
          <w:sz w:val="22"/>
          <w:szCs w:val="22"/>
        </w:rPr>
        <w:t>高温条件下机体大量排汗、心律加快，持续在高温环境下工作和生活，体温</w:t>
      </w:r>
      <w:r>
        <w:rPr>
          <w:rFonts w:ascii="宋体" w:eastAsia="宋体" w:hAnsi="宋体" w:cs="宋体"/>
          <w:spacing w:val="9"/>
          <w:sz w:val="22"/>
          <w:szCs w:val="22"/>
        </w:rPr>
        <w:t xml:space="preserve">  </w:t>
      </w:r>
      <w:r>
        <w:rPr>
          <w:rFonts w:ascii="宋体" w:eastAsia="宋体" w:hAnsi="宋体" w:cs="宋体"/>
          <w:spacing w:val="-15"/>
          <w:sz w:val="22"/>
          <w:szCs w:val="22"/>
        </w:rPr>
        <w:t>上升引起机体基础代谢率增高，耗氧量加大，能量消耗也增加。失水和体温增高</w:t>
      </w:r>
      <w:r>
        <w:rPr>
          <w:rFonts w:ascii="宋体" w:eastAsia="宋体" w:hAnsi="宋体" w:cs="宋体"/>
          <w:spacing w:val="6"/>
          <w:sz w:val="22"/>
          <w:szCs w:val="22"/>
        </w:rPr>
        <w:t xml:space="preserve">  </w:t>
      </w:r>
      <w:r>
        <w:rPr>
          <w:rFonts w:ascii="宋体" w:eastAsia="宋体" w:hAnsi="宋体" w:cs="宋体"/>
          <w:spacing w:val="-12"/>
          <w:sz w:val="22"/>
          <w:szCs w:val="22"/>
        </w:rPr>
        <w:t>同时引起蛋白质分解代谢增加，出汗导致氮流失严重，易出现负氮平衡。此外，</w:t>
      </w:r>
      <w:r>
        <w:rPr>
          <w:rFonts w:ascii="宋体" w:eastAsia="宋体" w:hAnsi="宋体" w:cs="宋体"/>
          <w:spacing w:val="9"/>
          <w:sz w:val="22"/>
          <w:szCs w:val="22"/>
        </w:rPr>
        <w:t xml:space="preserve"> </w:t>
      </w:r>
      <w:r>
        <w:rPr>
          <w:rFonts w:ascii="宋体" w:eastAsia="宋体" w:hAnsi="宋体" w:cs="宋体"/>
          <w:spacing w:val="-13"/>
          <w:sz w:val="22"/>
          <w:szCs w:val="22"/>
        </w:rPr>
        <w:t>大量排汗使机体水分、无机盐及水溶性维生素大量丢失。汗液中矿物质</w:t>
      </w:r>
      <w:r>
        <w:rPr>
          <w:rFonts w:ascii="宋体" w:eastAsia="宋体" w:hAnsi="宋体" w:cs="宋体"/>
          <w:spacing w:val="-14"/>
          <w:sz w:val="22"/>
          <w:szCs w:val="22"/>
        </w:rPr>
        <w:t>主要为钠</w:t>
      </w:r>
      <w:r>
        <w:rPr>
          <w:rFonts w:ascii="宋体" w:eastAsia="宋体" w:hAnsi="宋体" w:cs="宋体"/>
          <w:sz w:val="22"/>
          <w:szCs w:val="22"/>
        </w:rPr>
        <w:t xml:space="preserve">  </w:t>
      </w:r>
      <w:r>
        <w:rPr>
          <w:rFonts w:ascii="宋体" w:eastAsia="宋体" w:hAnsi="宋体" w:cs="宋体"/>
          <w:spacing w:val="-6"/>
          <w:sz w:val="22"/>
          <w:szCs w:val="22"/>
        </w:rPr>
        <w:t>盐，通过排汗损失氯化钠可达15～25g/d;</w:t>
      </w:r>
      <w:r>
        <w:rPr>
          <w:rFonts w:ascii="宋体" w:eastAsia="宋体" w:hAnsi="宋体" w:cs="宋体"/>
          <w:spacing w:val="-23"/>
          <w:sz w:val="22"/>
          <w:szCs w:val="22"/>
        </w:rPr>
        <w:t xml:space="preserve"> </w:t>
      </w:r>
      <w:r>
        <w:rPr>
          <w:rFonts w:ascii="宋体" w:eastAsia="宋体" w:hAnsi="宋体" w:cs="宋体"/>
          <w:spacing w:val="-6"/>
          <w:sz w:val="22"/>
          <w:szCs w:val="22"/>
        </w:rPr>
        <w:t>其次是钾盐，还有钙、镁、铁、锌、</w:t>
      </w:r>
      <w:r>
        <w:rPr>
          <w:rFonts w:ascii="宋体" w:eastAsia="宋体" w:hAnsi="宋体" w:cs="宋体"/>
          <w:sz w:val="22"/>
          <w:szCs w:val="22"/>
        </w:rPr>
        <w:t xml:space="preserve"> </w:t>
      </w:r>
      <w:r>
        <w:rPr>
          <w:rFonts w:ascii="宋体" w:eastAsia="宋体" w:hAnsi="宋体" w:cs="宋体"/>
          <w:spacing w:val="-4"/>
          <w:sz w:val="22"/>
          <w:szCs w:val="22"/>
        </w:rPr>
        <w:t>铜、硒等。维生素当中，最容易丢失的是维生素C,</w:t>
      </w:r>
      <w:r>
        <w:rPr>
          <w:rFonts w:ascii="宋体" w:eastAsia="宋体" w:hAnsi="宋体" w:cs="宋体"/>
          <w:spacing w:val="36"/>
          <w:sz w:val="22"/>
          <w:szCs w:val="22"/>
        </w:rPr>
        <w:t xml:space="preserve"> </w:t>
      </w:r>
      <w:r>
        <w:rPr>
          <w:rFonts w:ascii="宋体" w:eastAsia="宋体" w:hAnsi="宋体" w:cs="宋体"/>
          <w:spacing w:val="-4"/>
          <w:sz w:val="22"/>
          <w:szCs w:val="22"/>
        </w:rPr>
        <w:t>其次是维生素B</w:t>
      </w:r>
      <w:r>
        <w:rPr>
          <w:rFonts w:ascii="Calibri" w:eastAsia="Calibri" w:hAnsi="Calibri" w:cs="Calibri"/>
          <w:spacing w:val="-4"/>
          <w:sz w:val="22"/>
          <w:szCs w:val="22"/>
        </w:rPr>
        <w:t>₁</w:t>
      </w:r>
      <w:r>
        <w:rPr>
          <w:rFonts w:ascii="Calibri" w:eastAsia="Calibri" w:hAnsi="Calibri" w:cs="Calibri"/>
          <w:spacing w:val="-20"/>
          <w:sz w:val="22"/>
          <w:szCs w:val="22"/>
        </w:rPr>
        <w:t xml:space="preserve"> </w:t>
      </w:r>
      <w:r>
        <w:rPr>
          <w:rFonts w:ascii="宋体" w:eastAsia="宋体" w:hAnsi="宋体" w:cs="宋体"/>
          <w:spacing w:val="-4"/>
          <w:sz w:val="22"/>
          <w:szCs w:val="22"/>
        </w:rPr>
        <w:t>。有文</w:t>
      </w:r>
      <w:r>
        <w:rPr>
          <w:rFonts w:ascii="宋体" w:eastAsia="宋体" w:hAnsi="宋体" w:cs="宋体"/>
          <w:spacing w:val="-5"/>
          <w:sz w:val="22"/>
          <w:szCs w:val="22"/>
        </w:rPr>
        <w:t>献</w:t>
      </w:r>
      <w:r>
        <w:rPr>
          <w:rFonts w:ascii="宋体" w:eastAsia="宋体" w:hAnsi="宋体" w:cs="宋体"/>
          <w:sz w:val="22"/>
          <w:szCs w:val="22"/>
        </w:rPr>
        <w:t xml:space="preserve">  </w:t>
      </w:r>
      <w:r>
        <w:rPr>
          <w:rFonts w:ascii="宋体" w:eastAsia="宋体" w:hAnsi="宋体" w:cs="宋体"/>
          <w:spacing w:val="-4"/>
          <w:sz w:val="22"/>
          <w:szCs w:val="22"/>
        </w:rPr>
        <w:t>报道，每升汗液中维生素C</w:t>
      </w:r>
      <w:r>
        <w:rPr>
          <w:rFonts w:ascii="宋体" w:eastAsia="宋体" w:hAnsi="宋体" w:cs="宋体"/>
          <w:spacing w:val="-1"/>
          <w:sz w:val="22"/>
          <w:szCs w:val="22"/>
        </w:rPr>
        <w:t xml:space="preserve"> </w:t>
      </w:r>
      <w:r>
        <w:rPr>
          <w:rFonts w:ascii="宋体" w:eastAsia="宋体" w:hAnsi="宋体" w:cs="宋体"/>
          <w:spacing w:val="-4"/>
          <w:sz w:val="22"/>
          <w:szCs w:val="22"/>
        </w:rPr>
        <w:t>含量可达10mg,</w:t>
      </w:r>
      <w:r>
        <w:rPr>
          <w:rFonts w:ascii="宋体" w:eastAsia="宋体" w:hAnsi="宋体" w:cs="宋体"/>
          <w:spacing w:val="33"/>
          <w:sz w:val="22"/>
          <w:szCs w:val="22"/>
        </w:rPr>
        <w:t xml:space="preserve"> </w:t>
      </w:r>
      <w:r>
        <w:rPr>
          <w:rFonts w:ascii="宋体" w:eastAsia="宋体" w:hAnsi="宋体" w:cs="宋体"/>
          <w:spacing w:val="-4"/>
          <w:sz w:val="22"/>
          <w:szCs w:val="22"/>
        </w:rPr>
        <w:t>维生素B</w:t>
      </w:r>
      <w:r>
        <w:rPr>
          <w:rFonts w:ascii="Calibri" w:eastAsia="Calibri" w:hAnsi="Calibri" w:cs="Calibri"/>
          <w:spacing w:val="-4"/>
          <w:sz w:val="22"/>
          <w:szCs w:val="22"/>
        </w:rPr>
        <w:t>₁</w:t>
      </w:r>
      <w:r>
        <w:rPr>
          <w:rFonts w:ascii="宋体" w:eastAsia="宋体" w:hAnsi="宋体" w:cs="宋体"/>
          <w:spacing w:val="-4"/>
          <w:sz w:val="22"/>
          <w:szCs w:val="22"/>
        </w:rPr>
        <w:t>0.14mg,</w:t>
      </w:r>
      <w:r>
        <w:rPr>
          <w:rFonts w:ascii="宋体" w:eastAsia="宋体" w:hAnsi="宋体" w:cs="宋体"/>
          <w:spacing w:val="50"/>
          <w:sz w:val="22"/>
          <w:szCs w:val="22"/>
        </w:rPr>
        <w:t xml:space="preserve"> </w:t>
      </w:r>
      <w:r>
        <w:rPr>
          <w:rFonts w:ascii="宋体" w:eastAsia="宋体" w:hAnsi="宋体" w:cs="宋体"/>
          <w:spacing w:val="-4"/>
          <w:sz w:val="22"/>
          <w:szCs w:val="22"/>
        </w:rPr>
        <w:t>若每日出汗5L,</w:t>
      </w:r>
      <w:r>
        <w:rPr>
          <w:rFonts w:ascii="宋体" w:eastAsia="宋体" w:hAnsi="宋体" w:cs="宋体"/>
          <w:sz w:val="22"/>
          <w:szCs w:val="22"/>
        </w:rPr>
        <w:t xml:space="preserve">  </w:t>
      </w:r>
      <w:r>
        <w:rPr>
          <w:rFonts w:ascii="宋体" w:eastAsia="宋体" w:hAnsi="宋体" w:cs="宋体"/>
          <w:spacing w:val="-2"/>
          <w:sz w:val="22"/>
          <w:szCs w:val="22"/>
        </w:rPr>
        <w:t>则从汗液丢失的维生素C</w:t>
      </w:r>
      <w:r>
        <w:rPr>
          <w:rFonts w:ascii="宋体" w:eastAsia="宋体" w:hAnsi="宋体" w:cs="宋体"/>
          <w:spacing w:val="-14"/>
          <w:sz w:val="22"/>
          <w:szCs w:val="22"/>
        </w:rPr>
        <w:t xml:space="preserve"> </w:t>
      </w:r>
      <w:r>
        <w:rPr>
          <w:rFonts w:ascii="宋体" w:eastAsia="宋体" w:hAnsi="宋体" w:cs="宋体"/>
          <w:spacing w:val="-2"/>
          <w:sz w:val="22"/>
          <w:szCs w:val="22"/>
        </w:rPr>
        <w:t>及维生素</w:t>
      </w:r>
      <w:r>
        <w:rPr>
          <w:rFonts w:ascii="宋体" w:eastAsia="宋体" w:hAnsi="宋体" w:cs="宋体"/>
          <w:spacing w:val="-62"/>
          <w:sz w:val="22"/>
          <w:szCs w:val="22"/>
        </w:rPr>
        <w:t xml:space="preserve"> </w:t>
      </w:r>
      <w:r>
        <w:rPr>
          <w:rFonts w:ascii="宋体" w:eastAsia="宋体" w:hAnsi="宋体" w:cs="宋体"/>
          <w:spacing w:val="-2"/>
          <w:sz w:val="22"/>
          <w:szCs w:val="22"/>
        </w:rPr>
        <w:t>B</w:t>
      </w:r>
      <w:r>
        <w:rPr>
          <w:rFonts w:ascii="Calibri" w:eastAsia="Calibri" w:hAnsi="Calibri" w:cs="Calibri"/>
          <w:spacing w:val="-2"/>
          <w:sz w:val="22"/>
          <w:szCs w:val="22"/>
        </w:rPr>
        <w:t>₁</w:t>
      </w:r>
      <w:r>
        <w:rPr>
          <w:rFonts w:ascii="Calibri" w:eastAsia="Calibri" w:hAnsi="Calibri" w:cs="Calibri"/>
          <w:spacing w:val="9"/>
          <w:sz w:val="22"/>
          <w:szCs w:val="22"/>
        </w:rPr>
        <w:t xml:space="preserve"> </w:t>
      </w:r>
      <w:r>
        <w:rPr>
          <w:rFonts w:ascii="宋体" w:eastAsia="宋体" w:hAnsi="宋体" w:cs="宋体"/>
          <w:spacing w:val="-3"/>
          <w:sz w:val="22"/>
          <w:szCs w:val="22"/>
        </w:rPr>
        <w:t>分别为50</w:t>
      </w:r>
      <w:r>
        <w:rPr>
          <w:rFonts w:ascii="宋体" w:eastAsia="宋体" w:hAnsi="宋体" w:cs="宋体"/>
          <w:spacing w:val="-2"/>
          <w:sz w:val="22"/>
          <w:szCs w:val="22"/>
        </w:rPr>
        <w:t>mg</w:t>
      </w:r>
      <w:r>
        <w:rPr>
          <w:rFonts w:ascii="宋体" w:eastAsia="宋体" w:hAnsi="宋体" w:cs="宋体"/>
          <w:spacing w:val="-7"/>
          <w:sz w:val="22"/>
          <w:szCs w:val="22"/>
        </w:rPr>
        <w:t xml:space="preserve"> </w:t>
      </w:r>
      <w:r>
        <w:rPr>
          <w:rFonts w:ascii="宋体" w:eastAsia="宋体" w:hAnsi="宋体" w:cs="宋体"/>
          <w:spacing w:val="-3"/>
          <w:sz w:val="22"/>
          <w:szCs w:val="22"/>
        </w:rPr>
        <w:t>和0.7</w:t>
      </w:r>
      <w:r>
        <w:rPr>
          <w:rFonts w:ascii="宋体" w:eastAsia="宋体" w:hAnsi="宋体" w:cs="宋体"/>
          <w:spacing w:val="-2"/>
          <w:sz w:val="22"/>
          <w:szCs w:val="22"/>
        </w:rPr>
        <w:t>mg</w:t>
      </w:r>
      <w:r>
        <w:rPr>
          <w:rFonts w:ascii="宋体" w:eastAsia="宋体" w:hAnsi="宋体" w:cs="宋体"/>
          <w:spacing w:val="-3"/>
          <w:sz w:val="22"/>
          <w:szCs w:val="22"/>
        </w:rPr>
        <w:t>,</w:t>
      </w:r>
      <w:r>
        <w:rPr>
          <w:rFonts w:ascii="宋体" w:eastAsia="宋体" w:hAnsi="宋体" w:cs="宋体"/>
          <w:spacing w:val="43"/>
          <w:sz w:val="22"/>
          <w:szCs w:val="22"/>
        </w:rPr>
        <w:t xml:space="preserve"> </w:t>
      </w:r>
      <w:r>
        <w:rPr>
          <w:rFonts w:ascii="宋体" w:eastAsia="宋体" w:hAnsi="宋体" w:cs="宋体"/>
          <w:spacing w:val="-3"/>
          <w:sz w:val="22"/>
          <w:szCs w:val="22"/>
        </w:rPr>
        <w:t>而核黄素的丢失</w:t>
      </w:r>
      <w:r>
        <w:rPr>
          <w:rFonts w:ascii="宋体" w:eastAsia="宋体" w:hAnsi="宋体" w:cs="宋体"/>
          <w:sz w:val="22"/>
          <w:szCs w:val="22"/>
        </w:rPr>
        <w:t xml:space="preserve">  </w:t>
      </w:r>
      <w:r>
        <w:rPr>
          <w:rFonts w:ascii="宋体" w:eastAsia="宋体" w:hAnsi="宋体" w:cs="宋体"/>
          <w:spacing w:val="-13"/>
          <w:sz w:val="22"/>
          <w:szCs w:val="22"/>
        </w:rPr>
        <w:t>也不少，甚至比随尿排出的还多。此外，其他B</w:t>
      </w:r>
      <w:r>
        <w:rPr>
          <w:rFonts w:ascii="宋体" w:eastAsia="宋体" w:hAnsi="宋体" w:cs="宋体"/>
          <w:spacing w:val="-10"/>
          <w:sz w:val="22"/>
          <w:szCs w:val="22"/>
        </w:rPr>
        <w:t xml:space="preserve"> </w:t>
      </w:r>
      <w:r>
        <w:rPr>
          <w:rFonts w:ascii="宋体" w:eastAsia="宋体" w:hAnsi="宋体" w:cs="宋体"/>
          <w:spacing w:val="-13"/>
          <w:sz w:val="22"/>
          <w:szCs w:val="22"/>
        </w:rPr>
        <w:t>族维生素也有不同程度的丢失。</w:t>
      </w:r>
    </w:p>
    <w:p w:rsidR="00EA40A3" w:rsidRDefault="00E86C16">
      <w:pPr>
        <w:spacing w:before="236" w:line="330" w:lineRule="exact"/>
        <w:rPr>
          <w:rFonts w:ascii="仿宋" w:eastAsia="仿宋" w:hAnsi="仿宋" w:cs="仿宋"/>
          <w:sz w:val="22"/>
          <w:szCs w:val="22"/>
        </w:rPr>
      </w:pPr>
      <w:r>
        <w:rPr>
          <w:rFonts w:ascii="仿宋" w:eastAsia="仿宋" w:hAnsi="仿宋" w:cs="仿宋"/>
          <w:spacing w:val="13"/>
          <w:position w:val="7"/>
          <w:sz w:val="22"/>
          <w:szCs w:val="22"/>
        </w:rPr>
        <w:t>2.</w:t>
      </w:r>
      <w:r>
        <w:rPr>
          <w:rFonts w:ascii="仿宋" w:eastAsia="仿宋" w:hAnsi="仿宋" w:cs="仿宋"/>
          <w:spacing w:val="-6"/>
          <w:position w:val="7"/>
          <w:sz w:val="22"/>
          <w:szCs w:val="22"/>
        </w:rPr>
        <w:t xml:space="preserve"> </w:t>
      </w:r>
      <w:r>
        <w:rPr>
          <w:rFonts w:ascii="仿宋" w:eastAsia="仿宋" w:hAnsi="仿宋" w:cs="仿宋"/>
          <w:spacing w:val="13"/>
          <w:position w:val="7"/>
          <w:sz w:val="22"/>
          <w:szCs w:val="22"/>
        </w:rPr>
        <w:t>高温环境下机体的营养需要</w:t>
      </w:r>
    </w:p>
    <w:p w:rsidR="00EA40A3" w:rsidRDefault="00E86C16">
      <w:pPr>
        <w:spacing w:line="224" w:lineRule="auto"/>
        <w:rPr>
          <w:rFonts w:ascii="楷体" w:eastAsia="楷体" w:hAnsi="楷体" w:cs="楷体"/>
          <w:sz w:val="22"/>
          <w:szCs w:val="22"/>
        </w:rPr>
      </w:pPr>
      <w:r>
        <w:rPr>
          <w:rFonts w:ascii="楷体" w:eastAsia="楷体" w:hAnsi="楷体" w:cs="楷体"/>
          <w:spacing w:val="-2"/>
          <w:sz w:val="22"/>
          <w:szCs w:val="22"/>
        </w:rPr>
        <w:t>1)能量及能量营养素</w:t>
      </w:r>
    </w:p>
    <w:p w:rsidR="00EA40A3" w:rsidRDefault="00E86C16">
      <w:pPr>
        <w:spacing w:before="79" w:line="246" w:lineRule="auto"/>
        <w:ind w:right="93" w:firstLine="420"/>
        <w:jc w:val="both"/>
        <w:rPr>
          <w:rFonts w:ascii="宋体" w:eastAsia="宋体" w:hAnsi="宋体" w:cs="宋体"/>
          <w:sz w:val="22"/>
          <w:szCs w:val="22"/>
        </w:rPr>
      </w:pPr>
      <w:r>
        <w:rPr>
          <w:rFonts w:ascii="宋体" w:eastAsia="宋体" w:hAnsi="宋体" w:cs="宋体"/>
          <w:spacing w:val="-7"/>
          <w:sz w:val="22"/>
          <w:szCs w:val="22"/>
        </w:rPr>
        <w:t>高温环境人群能量的供给根据所处环境温度不同而不同。以原供给量为基</w:t>
      </w:r>
      <w:r>
        <w:rPr>
          <w:rFonts w:ascii="宋体" w:eastAsia="宋体" w:hAnsi="宋体" w:cs="宋体"/>
          <w:spacing w:val="2"/>
          <w:sz w:val="22"/>
          <w:szCs w:val="22"/>
        </w:rPr>
        <w:t xml:space="preserve"> 础，环境温度为30～40℃,每上升1℃,能量供应应增加0.5%。高温环境下机</w:t>
      </w:r>
      <w:r>
        <w:rPr>
          <w:rFonts w:ascii="宋体" w:eastAsia="宋体" w:hAnsi="宋体" w:cs="宋体"/>
          <w:spacing w:val="11"/>
          <w:sz w:val="22"/>
          <w:szCs w:val="22"/>
        </w:rPr>
        <w:t xml:space="preserve"> </w:t>
      </w:r>
      <w:r>
        <w:rPr>
          <w:rFonts w:ascii="宋体" w:eastAsia="宋体" w:hAnsi="宋体" w:cs="宋体"/>
          <w:spacing w:val="-14"/>
          <w:sz w:val="22"/>
          <w:szCs w:val="22"/>
        </w:rPr>
        <w:t>体易出现负氮平衡，因此蛋白质的摄入量需适当增加，但不宜过多，以免加重肾</w:t>
      </w:r>
      <w:r>
        <w:rPr>
          <w:rFonts w:ascii="宋体" w:eastAsia="宋体" w:hAnsi="宋体" w:cs="宋体"/>
          <w:spacing w:val="11"/>
          <w:sz w:val="22"/>
          <w:szCs w:val="22"/>
        </w:rPr>
        <w:t xml:space="preserve"> </w:t>
      </w:r>
      <w:r>
        <w:rPr>
          <w:rFonts w:ascii="宋体" w:eastAsia="宋体" w:hAnsi="宋体" w:cs="宋体"/>
          <w:spacing w:val="-14"/>
          <w:sz w:val="22"/>
          <w:szCs w:val="22"/>
        </w:rPr>
        <w:t>脏负担。中国营养学会对高温人群能量营养素的推荐摄入量以所占总能量的比例</w:t>
      </w:r>
      <w:r>
        <w:rPr>
          <w:rFonts w:ascii="宋体" w:eastAsia="宋体" w:hAnsi="宋体" w:cs="宋体"/>
          <w:spacing w:val="15"/>
          <w:sz w:val="22"/>
          <w:szCs w:val="22"/>
        </w:rPr>
        <w:t xml:space="preserve"> </w:t>
      </w:r>
      <w:r>
        <w:rPr>
          <w:rFonts w:ascii="宋体" w:eastAsia="宋体" w:hAnsi="宋体" w:cs="宋体"/>
          <w:spacing w:val="3"/>
          <w:sz w:val="22"/>
          <w:szCs w:val="22"/>
        </w:rPr>
        <w:t>计，蛋白质、脂肪、碳水化合物的比例分别为12</w:t>
      </w:r>
      <w:r>
        <w:rPr>
          <w:rFonts w:ascii="宋体" w:eastAsia="宋体" w:hAnsi="宋体" w:cs="宋体"/>
          <w:spacing w:val="2"/>
          <w:sz w:val="22"/>
          <w:szCs w:val="22"/>
        </w:rPr>
        <w:t>%、≤30%、≥58%。其中补</w:t>
      </w:r>
      <w:r>
        <w:rPr>
          <w:rFonts w:ascii="宋体" w:eastAsia="宋体" w:hAnsi="宋体" w:cs="宋体"/>
          <w:sz w:val="22"/>
          <w:szCs w:val="22"/>
        </w:rPr>
        <w:t xml:space="preserve"> </w:t>
      </w:r>
      <w:r>
        <w:rPr>
          <w:rFonts w:ascii="宋体" w:eastAsia="宋体" w:hAnsi="宋体" w:cs="宋体"/>
          <w:spacing w:val="-7"/>
          <w:sz w:val="22"/>
          <w:szCs w:val="22"/>
        </w:rPr>
        <w:t>充蛋白质时优质蛋白质比例不应低于50%。</w:t>
      </w:r>
    </w:p>
    <w:p w:rsidR="00EA40A3" w:rsidRDefault="00E86C16">
      <w:pPr>
        <w:spacing w:before="43" w:line="232" w:lineRule="auto"/>
        <w:rPr>
          <w:rFonts w:ascii="楷体" w:eastAsia="楷体" w:hAnsi="楷体" w:cs="楷体"/>
          <w:sz w:val="22"/>
          <w:szCs w:val="22"/>
        </w:rPr>
      </w:pPr>
      <w:r>
        <w:rPr>
          <w:rFonts w:ascii="楷体" w:eastAsia="楷体" w:hAnsi="楷体" w:cs="楷体"/>
          <w:spacing w:val="-6"/>
          <w:sz w:val="22"/>
          <w:szCs w:val="22"/>
        </w:rPr>
        <w:t>2)水和无机盐</w:t>
      </w:r>
    </w:p>
    <w:p w:rsidR="00EA40A3" w:rsidRDefault="00E86C16">
      <w:pPr>
        <w:spacing w:before="67" w:line="243" w:lineRule="auto"/>
        <w:ind w:right="101" w:firstLine="420"/>
        <w:rPr>
          <w:rFonts w:ascii="楷体" w:eastAsia="楷体" w:hAnsi="楷体" w:cs="楷体"/>
          <w:sz w:val="22"/>
          <w:szCs w:val="22"/>
        </w:rPr>
      </w:pPr>
      <w:r>
        <w:rPr>
          <w:rFonts w:ascii="宋体" w:eastAsia="宋体" w:hAnsi="宋体" w:cs="宋体"/>
          <w:spacing w:val="-13"/>
          <w:sz w:val="22"/>
          <w:szCs w:val="22"/>
        </w:rPr>
        <w:t>水分的补充以能补偿出汗丢失的水量、保持机</w:t>
      </w:r>
      <w:r>
        <w:rPr>
          <w:rFonts w:ascii="宋体" w:eastAsia="宋体" w:hAnsi="宋体" w:cs="宋体"/>
          <w:spacing w:val="-14"/>
          <w:sz w:val="22"/>
          <w:szCs w:val="22"/>
        </w:rPr>
        <w:t>体内水的平衡为原则。根据高</w:t>
      </w:r>
      <w:r>
        <w:rPr>
          <w:rFonts w:ascii="宋体" w:eastAsia="宋体" w:hAnsi="宋体" w:cs="宋体"/>
          <w:sz w:val="22"/>
          <w:szCs w:val="22"/>
        </w:rPr>
        <w:t xml:space="preserve"> </w:t>
      </w:r>
      <w:r>
        <w:rPr>
          <w:rFonts w:ascii="宋体" w:eastAsia="宋体" w:hAnsi="宋体" w:cs="宋体"/>
          <w:spacing w:val="-14"/>
          <w:sz w:val="22"/>
          <w:szCs w:val="22"/>
        </w:rPr>
        <w:t>温作业者口渴的程度、劳动强度及具体生活环境，建议补水量范围为：中等劳动</w:t>
      </w:r>
      <w:r>
        <w:rPr>
          <w:rFonts w:ascii="宋体" w:eastAsia="宋体" w:hAnsi="宋体" w:cs="宋体"/>
          <w:spacing w:val="13"/>
          <w:sz w:val="22"/>
          <w:szCs w:val="22"/>
        </w:rPr>
        <w:t xml:space="preserve"> </w:t>
      </w:r>
      <w:r>
        <w:rPr>
          <w:rFonts w:ascii="宋体" w:eastAsia="宋体" w:hAnsi="宋体" w:cs="宋体"/>
          <w:spacing w:val="-10"/>
          <w:sz w:val="22"/>
          <w:szCs w:val="22"/>
        </w:rPr>
        <w:t>强度、中等气象条件时每日补水量需3～5L。无机盐的保持以食盐为主，出汗量</w:t>
      </w:r>
      <w:r>
        <w:rPr>
          <w:rFonts w:ascii="宋体" w:eastAsia="宋体" w:hAnsi="宋体" w:cs="宋体"/>
          <w:spacing w:val="7"/>
          <w:sz w:val="22"/>
          <w:szCs w:val="22"/>
        </w:rPr>
        <w:t xml:space="preserve"> </w:t>
      </w:r>
      <w:r>
        <w:rPr>
          <w:rFonts w:ascii="宋体" w:eastAsia="宋体" w:hAnsi="宋体" w:cs="宋体"/>
          <w:spacing w:val="-3"/>
          <w:sz w:val="22"/>
          <w:szCs w:val="22"/>
        </w:rPr>
        <w:t>少于3L/d</w:t>
      </w:r>
      <w:r>
        <w:rPr>
          <w:rFonts w:ascii="宋体" w:eastAsia="宋体" w:hAnsi="宋体" w:cs="宋体"/>
          <w:spacing w:val="-54"/>
          <w:sz w:val="22"/>
          <w:szCs w:val="22"/>
        </w:rPr>
        <w:t xml:space="preserve"> </w:t>
      </w:r>
      <w:r>
        <w:rPr>
          <w:rFonts w:ascii="宋体" w:eastAsia="宋体" w:hAnsi="宋体" w:cs="宋体"/>
          <w:spacing w:val="-3"/>
          <w:sz w:val="22"/>
          <w:szCs w:val="22"/>
        </w:rPr>
        <w:t>者，补食盐量约15g/d,</w:t>
      </w:r>
      <w:r>
        <w:rPr>
          <w:rFonts w:ascii="宋体" w:eastAsia="宋体" w:hAnsi="宋体" w:cs="宋体"/>
          <w:spacing w:val="-18"/>
          <w:sz w:val="22"/>
          <w:szCs w:val="22"/>
        </w:rPr>
        <w:t xml:space="preserve"> </w:t>
      </w:r>
      <w:r>
        <w:rPr>
          <w:rFonts w:ascii="宋体" w:eastAsia="宋体" w:hAnsi="宋体" w:cs="宋体"/>
          <w:spacing w:val="-3"/>
          <w:sz w:val="22"/>
          <w:szCs w:val="22"/>
        </w:rPr>
        <w:t>出汗量大于5L/d</w:t>
      </w:r>
      <w:r>
        <w:rPr>
          <w:rFonts w:ascii="宋体" w:eastAsia="宋体" w:hAnsi="宋体" w:cs="宋体"/>
          <w:spacing w:val="-53"/>
          <w:sz w:val="22"/>
          <w:szCs w:val="22"/>
        </w:rPr>
        <w:t xml:space="preserve"> </w:t>
      </w:r>
      <w:r>
        <w:rPr>
          <w:rFonts w:ascii="宋体" w:eastAsia="宋体" w:hAnsi="宋体" w:cs="宋体"/>
          <w:spacing w:val="-3"/>
          <w:sz w:val="22"/>
          <w:szCs w:val="22"/>
        </w:rPr>
        <w:t>者</w:t>
      </w:r>
      <w:r>
        <w:rPr>
          <w:rFonts w:ascii="宋体" w:eastAsia="宋体" w:hAnsi="宋体" w:cs="宋体"/>
          <w:spacing w:val="-4"/>
          <w:sz w:val="22"/>
          <w:szCs w:val="22"/>
        </w:rPr>
        <w:t>，则需补充20～25g/d。</w:t>
      </w:r>
      <w:r>
        <w:rPr>
          <w:rFonts w:ascii="宋体" w:eastAsia="宋体" w:hAnsi="宋体" w:cs="宋体"/>
          <w:sz w:val="22"/>
          <w:szCs w:val="22"/>
        </w:rPr>
        <w:t xml:space="preserve"> </w:t>
      </w:r>
      <w:r>
        <w:rPr>
          <w:rFonts w:ascii="楷体" w:eastAsia="楷体" w:hAnsi="楷体" w:cs="楷体"/>
          <w:spacing w:val="5"/>
          <w:sz w:val="22"/>
          <w:szCs w:val="22"/>
        </w:rPr>
        <w:t>3)维生素</w:t>
      </w:r>
    </w:p>
    <w:p w:rsidR="00EA40A3" w:rsidRDefault="00E86C16">
      <w:pPr>
        <w:spacing w:before="73" w:line="243" w:lineRule="auto"/>
        <w:ind w:right="78" w:firstLine="420"/>
        <w:rPr>
          <w:rFonts w:ascii="宋体" w:eastAsia="宋体" w:hAnsi="宋体" w:cs="宋体"/>
          <w:sz w:val="22"/>
          <w:szCs w:val="22"/>
        </w:rPr>
      </w:pPr>
      <w:r>
        <w:rPr>
          <w:rFonts w:ascii="宋体" w:eastAsia="宋体" w:hAnsi="宋体" w:cs="宋体"/>
          <w:spacing w:val="-6"/>
          <w:sz w:val="22"/>
          <w:szCs w:val="22"/>
        </w:rPr>
        <w:t>高温环境下人群主要注意水溶性维生素的补充。维生素C</w:t>
      </w:r>
      <w:r>
        <w:rPr>
          <w:rFonts w:ascii="宋体" w:eastAsia="宋体" w:hAnsi="宋体" w:cs="宋体"/>
          <w:spacing w:val="-8"/>
          <w:sz w:val="22"/>
          <w:szCs w:val="22"/>
        </w:rPr>
        <w:t xml:space="preserve"> </w:t>
      </w:r>
      <w:r>
        <w:rPr>
          <w:rFonts w:ascii="宋体" w:eastAsia="宋体" w:hAnsi="宋体" w:cs="宋体"/>
          <w:spacing w:val="-6"/>
          <w:sz w:val="22"/>
          <w:szCs w:val="22"/>
        </w:rPr>
        <w:t>的推荐摄入量为</w:t>
      </w:r>
      <w:r>
        <w:rPr>
          <w:rFonts w:ascii="宋体" w:eastAsia="宋体" w:hAnsi="宋体" w:cs="宋体"/>
          <w:sz w:val="22"/>
          <w:szCs w:val="22"/>
        </w:rPr>
        <w:t xml:space="preserve"> </w:t>
      </w:r>
      <w:r>
        <w:rPr>
          <w:rFonts w:ascii="宋体" w:eastAsia="宋体" w:hAnsi="宋体" w:cs="宋体"/>
          <w:spacing w:val="-3"/>
          <w:sz w:val="22"/>
          <w:szCs w:val="22"/>
        </w:rPr>
        <w:t>150～200mg/d,</w:t>
      </w:r>
      <w:r>
        <w:rPr>
          <w:rFonts w:ascii="宋体" w:eastAsia="宋体" w:hAnsi="宋体" w:cs="宋体"/>
          <w:spacing w:val="2"/>
          <w:sz w:val="22"/>
          <w:szCs w:val="22"/>
        </w:rPr>
        <w:t xml:space="preserve"> </w:t>
      </w:r>
      <w:r>
        <w:rPr>
          <w:rFonts w:ascii="宋体" w:eastAsia="宋体" w:hAnsi="宋体" w:cs="宋体"/>
          <w:spacing w:val="-3"/>
          <w:sz w:val="22"/>
          <w:szCs w:val="22"/>
        </w:rPr>
        <w:t>硫胺素为2.5～3mg/d,</w:t>
      </w:r>
      <w:r>
        <w:rPr>
          <w:rFonts w:ascii="宋体" w:eastAsia="宋体" w:hAnsi="宋体" w:cs="宋体"/>
          <w:spacing w:val="12"/>
          <w:sz w:val="22"/>
          <w:szCs w:val="22"/>
        </w:rPr>
        <w:t xml:space="preserve"> </w:t>
      </w:r>
      <w:r>
        <w:rPr>
          <w:rFonts w:ascii="宋体" w:eastAsia="宋体" w:hAnsi="宋体" w:cs="宋体"/>
          <w:spacing w:val="-3"/>
          <w:sz w:val="22"/>
          <w:szCs w:val="22"/>
        </w:rPr>
        <w:t>核黄素为2.5～3.5mg/d。</w:t>
      </w:r>
      <w:r>
        <w:rPr>
          <w:rFonts w:ascii="宋体" w:eastAsia="宋体" w:hAnsi="宋体" w:cs="宋体"/>
          <w:spacing w:val="5"/>
          <w:sz w:val="22"/>
          <w:szCs w:val="22"/>
        </w:rPr>
        <w:t xml:space="preserve"> </w:t>
      </w:r>
      <w:r>
        <w:rPr>
          <w:rFonts w:ascii="宋体" w:eastAsia="宋体" w:hAnsi="宋体" w:cs="宋体"/>
          <w:spacing w:val="-3"/>
          <w:sz w:val="22"/>
          <w:szCs w:val="22"/>
        </w:rPr>
        <w:t>同时维生素</w:t>
      </w:r>
      <w:r>
        <w:rPr>
          <w:rFonts w:ascii="宋体" w:eastAsia="宋体" w:hAnsi="宋体" w:cs="宋体"/>
          <w:sz w:val="22"/>
          <w:szCs w:val="22"/>
        </w:rPr>
        <w:t xml:space="preserve"> </w:t>
      </w:r>
      <w:r>
        <w:rPr>
          <w:rFonts w:ascii="宋体" w:eastAsia="宋体" w:hAnsi="宋体" w:cs="宋体"/>
          <w:spacing w:val="-11"/>
          <w:sz w:val="22"/>
          <w:szCs w:val="22"/>
        </w:rPr>
        <w:t>A</w:t>
      </w:r>
      <w:r>
        <w:rPr>
          <w:rFonts w:ascii="宋体" w:eastAsia="宋体" w:hAnsi="宋体" w:cs="宋体"/>
          <w:spacing w:val="-4"/>
          <w:sz w:val="22"/>
          <w:szCs w:val="22"/>
        </w:rPr>
        <w:t xml:space="preserve"> </w:t>
      </w:r>
      <w:r>
        <w:rPr>
          <w:rFonts w:ascii="宋体" w:eastAsia="宋体" w:hAnsi="宋体" w:cs="宋体"/>
          <w:spacing w:val="-11"/>
          <w:sz w:val="22"/>
          <w:szCs w:val="22"/>
        </w:rPr>
        <w:t>的摄入也应高于常温作业者，建议每人每日供给维生素A</w:t>
      </w:r>
      <w:r>
        <w:rPr>
          <w:rFonts w:ascii="宋体" w:eastAsia="宋体" w:hAnsi="宋体" w:cs="宋体"/>
          <w:spacing w:val="16"/>
          <w:sz w:val="22"/>
          <w:szCs w:val="22"/>
        </w:rPr>
        <w:t xml:space="preserve"> </w:t>
      </w:r>
      <w:r>
        <w:rPr>
          <w:rFonts w:ascii="宋体" w:eastAsia="宋体" w:hAnsi="宋体" w:cs="宋体"/>
          <w:spacing w:val="-11"/>
          <w:sz w:val="22"/>
          <w:szCs w:val="22"/>
        </w:rPr>
        <w:t>1500μg</w:t>
      </w:r>
      <w:r>
        <w:rPr>
          <w:rFonts w:ascii="宋体" w:eastAsia="宋体" w:hAnsi="宋体" w:cs="宋体"/>
          <w:sz w:val="22"/>
          <w:szCs w:val="22"/>
        </w:rPr>
        <w:t xml:space="preserve"> </w:t>
      </w:r>
      <w:r>
        <w:rPr>
          <w:rFonts w:ascii="宋体" w:eastAsia="宋体" w:hAnsi="宋体" w:cs="宋体"/>
          <w:spacing w:val="-11"/>
          <w:sz w:val="22"/>
          <w:szCs w:val="22"/>
        </w:rPr>
        <w:t>RE。</w:t>
      </w:r>
    </w:p>
    <w:p w:rsidR="00EA40A3" w:rsidRDefault="00E86C16">
      <w:pPr>
        <w:spacing w:before="115"/>
        <w:ind w:right="100"/>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345</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979" w:bottom="400" w:left="899" w:header="0" w:footer="0" w:gutter="0"/>
          <w:cols w:space="720"/>
        </w:sectPr>
      </w:pPr>
    </w:p>
    <w:p w:rsidR="00EA40A3" w:rsidRDefault="00EA40A3">
      <w:pPr>
        <w:spacing w:line="249" w:lineRule="auto"/>
      </w:pPr>
    </w:p>
    <w:p w:rsidR="00EA40A3" w:rsidRDefault="00EA40A3">
      <w:pPr>
        <w:spacing w:line="250" w:lineRule="auto"/>
      </w:pPr>
    </w:p>
    <w:p w:rsidR="00EA40A3" w:rsidRDefault="00EA40A3">
      <w:pPr>
        <w:spacing w:line="250" w:lineRule="auto"/>
      </w:pPr>
    </w:p>
    <w:p w:rsidR="00EA40A3" w:rsidRDefault="00E86C16">
      <w:pPr>
        <w:spacing w:before="72" w:line="219" w:lineRule="auto"/>
        <w:ind w:left="3"/>
        <w:outlineLvl w:val="6"/>
        <w:rPr>
          <w:rFonts w:ascii="宋体" w:eastAsia="宋体" w:hAnsi="宋体" w:cs="宋体"/>
          <w:sz w:val="22"/>
          <w:szCs w:val="22"/>
        </w:rPr>
      </w:pPr>
      <w:bookmarkStart w:id="84" w:name="_bookmark88"/>
      <w:bookmarkEnd w:id="84"/>
      <w:r>
        <w:rPr>
          <w:rFonts w:ascii="宋体" w:eastAsia="宋体" w:hAnsi="宋体" w:cs="宋体"/>
          <w:b/>
          <w:bCs/>
          <w:spacing w:val="7"/>
          <w:sz w:val="22"/>
          <w:szCs w:val="22"/>
        </w:rPr>
        <w:t>10.7.2</w:t>
      </w:r>
      <w:r>
        <w:rPr>
          <w:rFonts w:ascii="宋体" w:eastAsia="宋体" w:hAnsi="宋体" w:cs="宋体"/>
          <w:spacing w:val="18"/>
          <w:sz w:val="22"/>
          <w:szCs w:val="22"/>
        </w:rPr>
        <w:t xml:space="preserve">   </w:t>
      </w:r>
      <w:r>
        <w:rPr>
          <w:rFonts w:ascii="宋体" w:eastAsia="宋体" w:hAnsi="宋体" w:cs="宋体"/>
          <w:b/>
          <w:bCs/>
          <w:spacing w:val="7"/>
          <w:sz w:val="22"/>
          <w:szCs w:val="22"/>
        </w:rPr>
        <w:t>低温环境下人群的营养</w:t>
      </w:r>
    </w:p>
    <w:p w:rsidR="00EA40A3" w:rsidRDefault="00E86C16">
      <w:pPr>
        <w:spacing w:before="260" w:line="337" w:lineRule="exact"/>
        <w:rPr>
          <w:rFonts w:ascii="仿宋" w:eastAsia="仿宋" w:hAnsi="仿宋" w:cs="仿宋"/>
          <w:sz w:val="22"/>
          <w:szCs w:val="22"/>
        </w:rPr>
      </w:pPr>
      <w:r>
        <w:rPr>
          <w:rFonts w:ascii="仿宋" w:eastAsia="仿宋" w:hAnsi="仿宋" w:cs="仿宋"/>
          <w:spacing w:val="11"/>
          <w:position w:val="8"/>
          <w:sz w:val="22"/>
          <w:szCs w:val="22"/>
        </w:rPr>
        <w:t>1.</w:t>
      </w:r>
      <w:r>
        <w:rPr>
          <w:rFonts w:ascii="仿宋" w:eastAsia="仿宋" w:hAnsi="仿宋" w:cs="仿宋"/>
          <w:spacing w:val="-27"/>
          <w:position w:val="8"/>
          <w:sz w:val="22"/>
          <w:szCs w:val="22"/>
        </w:rPr>
        <w:t xml:space="preserve"> </w:t>
      </w:r>
      <w:r>
        <w:rPr>
          <w:rFonts w:ascii="仿宋" w:eastAsia="仿宋" w:hAnsi="仿宋" w:cs="仿宋"/>
          <w:spacing w:val="11"/>
          <w:position w:val="8"/>
          <w:sz w:val="22"/>
          <w:szCs w:val="22"/>
        </w:rPr>
        <w:t>低温条件下机体生理特点</w:t>
      </w:r>
    </w:p>
    <w:p w:rsidR="00EA40A3" w:rsidRDefault="00E86C16">
      <w:pPr>
        <w:spacing w:line="223" w:lineRule="auto"/>
        <w:rPr>
          <w:rFonts w:ascii="楷体" w:eastAsia="楷体" w:hAnsi="楷体" w:cs="楷体"/>
          <w:sz w:val="22"/>
          <w:szCs w:val="22"/>
        </w:rPr>
      </w:pPr>
      <w:r>
        <w:rPr>
          <w:rFonts w:ascii="楷体" w:eastAsia="楷体" w:hAnsi="楷体" w:cs="楷体"/>
          <w:spacing w:val="-7"/>
          <w:sz w:val="22"/>
          <w:szCs w:val="22"/>
        </w:rPr>
        <w:t>1)低温导致消化生理改变</w:t>
      </w:r>
    </w:p>
    <w:p w:rsidR="00EA40A3" w:rsidRDefault="00E86C16">
      <w:pPr>
        <w:spacing w:before="35" w:line="244" w:lineRule="auto"/>
        <w:ind w:right="41" w:firstLine="489"/>
        <w:rPr>
          <w:rFonts w:ascii="宋体" w:eastAsia="宋体" w:hAnsi="宋体" w:cs="宋体"/>
          <w:sz w:val="22"/>
          <w:szCs w:val="22"/>
        </w:rPr>
      </w:pPr>
      <w:r>
        <w:rPr>
          <w:rFonts w:ascii="宋体" w:eastAsia="宋体" w:hAnsi="宋体" w:cs="宋体"/>
          <w:spacing w:val="-7"/>
          <w:sz w:val="22"/>
          <w:szCs w:val="22"/>
        </w:rPr>
        <w:t>低温环境多指温度在10℃以下的环境，常见于寒带、海拔较高地区的冬</w:t>
      </w:r>
      <w:r>
        <w:rPr>
          <w:rFonts w:ascii="宋体" w:eastAsia="宋体" w:hAnsi="宋体" w:cs="宋体"/>
          <w:spacing w:val="-8"/>
          <w:sz w:val="22"/>
          <w:szCs w:val="22"/>
        </w:rPr>
        <w:t>季</w:t>
      </w:r>
      <w:r>
        <w:rPr>
          <w:rFonts w:ascii="宋体" w:eastAsia="宋体" w:hAnsi="宋体" w:cs="宋体"/>
          <w:sz w:val="22"/>
          <w:szCs w:val="22"/>
        </w:rPr>
        <w:t xml:space="preserve"> </w:t>
      </w:r>
      <w:r>
        <w:rPr>
          <w:rFonts w:ascii="宋体" w:eastAsia="宋体" w:hAnsi="宋体" w:cs="宋体"/>
          <w:spacing w:val="-13"/>
          <w:sz w:val="22"/>
          <w:szCs w:val="22"/>
        </w:rPr>
        <w:t>及职业性接触低温，如南极考察、冷库作业等。低温环境与高温</w:t>
      </w:r>
      <w:r>
        <w:rPr>
          <w:rFonts w:ascii="宋体" w:eastAsia="宋体" w:hAnsi="宋体" w:cs="宋体"/>
          <w:spacing w:val="-14"/>
          <w:sz w:val="22"/>
          <w:szCs w:val="22"/>
        </w:rPr>
        <w:t>环境相反，机体</w:t>
      </w:r>
      <w:r>
        <w:rPr>
          <w:rFonts w:ascii="宋体" w:eastAsia="宋体" w:hAnsi="宋体" w:cs="宋体"/>
          <w:sz w:val="22"/>
          <w:szCs w:val="22"/>
        </w:rPr>
        <w:t xml:space="preserve"> </w:t>
      </w:r>
      <w:r>
        <w:rPr>
          <w:rFonts w:ascii="宋体" w:eastAsia="宋体" w:hAnsi="宋体" w:cs="宋体"/>
          <w:spacing w:val="-14"/>
          <w:sz w:val="22"/>
          <w:szCs w:val="22"/>
        </w:rPr>
        <w:t>胃酸的分泌增多，胃液的酸度增强，胃的排空减慢，因而食物消化较为充分</w:t>
      </w:r>
      <w:r>
        <w:rPr>
          <w:rFonts w:ascii="宋体" w:eastAsia="宋体" w:hAnsi="宋体" w:cs="宋体"/>
          <w:spacing w:val="-15"/>
          <w:sz w:val="22"/>
          <w:szCs w:val="22"/>
        </w:rPr>
        <w:t>。同</w:t>
      </w:r>
      <w:r>
        <w:rPr>
          <w:rFonts w:ascii="宋体" w:eastAsia="宋体" w:hAnsi="宋体" w:cs="宋体"/>
          <w:sz w:val="22"/>
          <w:szCs w:val="22"/>
        </w:rPr>
        <w:t xml:space="preserve"> </w:t>
      </w:r>
      <w:r>
        <w:rPr>
          <w:rFonts w:ascii="宋体" w:eastAsia="宋体" w:hAnsi="宋体" w:cs="宋体"/>
          <w:spacing w:val="-14"/>
          <w:sz w:val="22"/>
          <w:szCs w:val="22"/>
        </w:rPr>
        <w:t>时，低温可以使人的食欲增加，可能与低温条件下人对能量的需要增多有关。</w:t>
      </w:r>
    </w:p>
    <w:p w:rsidR="00EA40A3" w:rsidRDefault="00E86C16">
      <w:pPr>
        <w:spacing w:before="58" w:line="219" w:lineRule="auto"/>
        <w:rPr>
          <w:rFonts w:ascii="宋体" w:eastAsia="宋体" w:hAnsi="宋体" w:cs="宋体"/>
          <w:sz w:val="22"/>
          <w:szCs w:val="22"/>
        </w:rPr>
      </w:pPr>
      <w:r>
        <w:rPr>
          <w:rFonts w:ascii="宋体" w:eastAsia="宋体" w:hAnsi="宋体" w:cs="宋体"/>
          <w:spacing w:val="-8"/>
          <w:sz w:val="22"/>
          <w:szCs w:val="22"/>
        </w:rPr>
        <w:t>2)低温条件下机体代谢改变</w:t>
      </w:r>
    </w:p>
    <w:p w:rsidR="00EA40A3" w:rsidRDefault="00E86C16">
      <w:pPr>
        <w:spacing w:before="61" w:line="247" w:lineRule="auto"/>
        <w:ind w:right="20" w:firstLine="479"/>
        <w:rPr>
          <w:rFonts w:ascii="宋体" w:eastAsia="宋体" w:hAnsi="宋体" w:cs="宋体"/>
          <w:sz w:val="22"/>
          <w:szCs w:val="22"/>
        </w:rPr>
      </w:pPr>
      <w:r>
        <w:rPr>
          <w:rFonts w:ascii="宋体" w:eastAsia="宋体" w:hAnsi="宋体" w:cs="宋体"/>
          <w:spacing w:val="-13"/>
          <w:sz w:val="22"/>
          <w:szCs w:val="22"/>
        </w:rPr>
        <w:t>低温环境中，人的耗氧量下降，产生的二氧化碳减少，从而呼吸商降</w:t>
      </w:r>
      <w:r>
        <w:rPr>
          <w:rFonts w:ascii="宋体" w:eastAsia="宋体" w:hAnsi="宋体" w:cs="宋体"/>
          <w:spacing w:val="-14"/>
          <w:sz w:val="22"/>
          <w:szCs w:val="22"/>
        </w:rPr>
        <w:t>低。同</w:t>
      </w:r>
      <w:r>
        <w:rPr>
          <w:rFonts w:ascii="宋体" w:eastAsia="宋体" w:hAnsi="宋体" w:cs="宋体"/>
          <w:sz w:val="22"/>
          <w:szCs w:val="22"/>
        </w:rPr>
        <w:t xml:space="preserve"> </w:t>
      </w:r>
      <w:r>
        <w:rPr>
          <w:rFonts w:ascii="宋体" w:eastAsia="宋体" w:hAnsi="宋体" w:cs="宋体"/>
          <w:spacing w:val="-13"/>
          <w:sz w:val="22"/>
          <w:szCs w:val="22"/>
        </w:rPr>
        <w:t>时低温条件下，机体蛋白质代谢有所增加，对支链氨基酸的利用率提</w:t>
      </w:r>
      <w:r>
        <w:rPr>
          <w:rFonts w:ascii="宋体" w:eastAsia="宋体" w:hAnsi="宋体" w:cs="宋体"/>
          <w:spacing w:val="-14"/>
          <w:sz w:val="22"/>
          <w:szCs w:val="22"/>
        </w:rPr>
        <w:t>高；脂肪代</w:t>
      </w:r>
      <w:r>
        <w:rPr>
          <w:rFonts w:ascii="宋体" w:eastAsia="宋体" w:hAnsi="宋体" w:cs="宋体"/>
          <w:sz w:val="22"/>
          <w:szCs w:val="22"/>
        </w:rPr>
        <w:t xml:space="preserve"> </w:t>
      </w:r>
      <w:r>
        <w:rPr>
          <w:rFonts w:ascii="宋体" w:eastAsia="宋体" w:hAnsi="宋体" w:cs="宋体"/>
          <w:spacing w:val="-13"/>
          <w:sz w:val="22"/>
          <w:szCs w:val="22"/>
        </w:rPr>
        <w:t>谢也同样增加以便为机体产热维持体温。与蛋白质、脂肪代谢不</w:t>
      </w:r>
      <w:r>
        <w:rPr>
          <w:rFonts w:ascii="宋体" w:eastAsia="宋体" w:hAnsi="宋体" w:cs="宋体"/>
          <w:spacing w:val="-14"/>
          <w:sz w:val="22"/>
          <w:szCs w:val="22"/>
        </w:rPr>
        <w:t>同，低温导致机</w:t>
      </w:r>
      <w:r>
        <w:rPr>
          <w:rFonts w:ascii="宋体" w:eastAsia="宋体" w:hAnsi="宋体" w:cs="宋体"/>
          <w:sz w:val="22"/>
          <w:szCs w:val="22"/>
        </w:rPr>
        <w:t xml:space="preserve"> </w:t>
      </w:r>
      <w:r>
        <w:rPr>
          <w:rFonts w:ascii="宋体" w:eastAsia="宋体" w:hAnsi="宋体" w:cs="宋体"/>
          <w:spacing w:val="-7"/>
          <w:sz w:val="22"/>
          <w:szCs w:val="22"/>
        </w:rPr>
        <w:t>体的糖代谢下降，对葡萄糖的利用减少，表现为血糖升高，果糖耐量</w:t>
      </w:r>
      <w:r>
        <w:rPr>
          <w:rFonts w:ascii="宋体" w:eastAsia="宋体" w:hAnsi="宋体" w:cs="宋体"/>
          <w:spacing w:val="-8"/>
          <w:sz w:val="22"/>
          <w:szCs w:val="22"/>
        </w:rPr>
        <w:t>下降。此</w:t>
      </w:r>
      <w:r>
        <w:rPr>
          <w:rFonts w:ascii="宋体" w:eastAsia="宋体" w:hAnsi="宋体" w:cs="宋体"/>
          <w:sz w:val="22"/>
          <w:szCs w:val="22"/>
        </w:rPr>
        <w:t xml:space="preserve"> </w:t>
      </w:r>
      <w:r>
        <w:rPr>
          <w:rFonts w:ascii="宋体" w:eastAsia="宋体" w:hAnsi="宋体" w:cs="宋体"/>
          <w:spacing w:val="-11"/>
          <w:sz w:val="22"/>
          <w:szCs w:val="22"/>
        </w:rPr>
        <w:t>外，在低温条件下，机体水分、电解质以及维生素发生很大变化。血液中的锌、</w:t>
      </w:r>
      <w:r>
        <w:rPr>
          <w:rFonts w:ascii="宋体" w:eastAsia="宋体" w:hAnsi="宋体" w:cs="宋体"/>
          <w:spacing w:val="3"/>
          <w:sz w:val="22"/>
          <w:szCs w:val="22"/>
        </w:rPr>
        <w:t xml:space="preserve"> </w:t>
      </w:r>
      <w:r>
        <w:rPr>
          <w:rFonts w:ascii="宋体" w:eastAsia="宋体" w:hAnsi="宋体" w:cs="宋体"/>
          <w:spacing w:val="-9"/>
          <w:sz w:val="22"/>
          <w:szCs w:val="22"/>
        </w:rPr>
        <w:t>镁、钙、钠含量下降，血铁、钾含量无明显变化；水溶性维生素中，维生素C、</w:t>
      </w:r>
      <w:r>
        <w:rPr>
          <w:rFonts w:ascii="宋体" w:eastAsia="宋体" w:hAnsi="宋体" w:cs="宋体"/>
          <w:spacing w:val="15"/>
          <w:sz w:val="22"/>
          <w:szCs w:val="22"/>
        </w:rPr>
        <w:t xml:space="preserve"> </w:t>
      </w:r>
      <w:r>
        <w:rPr>
          <w:rFonts w:ascii="宋体" w:eastAsia="宋体" w:hAnsi="宋体" w:cs="宋体"/>
          <w:spacing w:val="-9"/>
          <w:sz w:val="22"/>
          <w:szCs w:val="22"/>
        </w:rPr>
        <w:t>维生素B</w:t>
      </w:r>
      <w:r>
        <w:rPr>
          <w:rFonts w:ascii="Calibri" w:eastAsia="Calibri" w:hAnsi="Calibri" w:cs="Calibri"/>
          <w:spacing w:val="-9"/>
          <w:sz w:val="22"/>
          <w:szCs w:val="22"/>
        </w:rPr>
        <w:t>₁</w:t>
      </w:r>
      <w:r>
        <w:rPr>
          <w:rFonts w:ascii="Calibri" w:eastAsia="Calibri" w:hAnsi="Calibri" w:cs="Calibri"/>
          <w:spacing w:val="24"/>
          <w:sz w:val="22"/>
          <w:szCs w:val="22"/>
        </w:rPr>
        <w:t xml:space="preserve"> </w:t>
      </w:r>
      <w:r>
        <w:rPr>
          <w:rFonts w:ascii="宋体" w:eastAsia="宋体" w:hAnsi="宋体" w:cs="宋体"/>
          <w:spacing w:val="-9"/>
          <w:sz w:val="22"/>
          <w:szCs w:val="22"/>
        </w:rPr>
        <w:t>血液浓度降低明显，脂溶性的维生素A、</w:t>
      </w:r>
      <w:r>
        <w:rPr>
          <w:rFonts w:ascii="宋体" w:eastAsia="宋体" w:hAnsi="宋体" w:cs="宋体"/>
          <w:spacing w:val="-32"/>
          <w:sz w:val="22"/>
          <w:szCs w:val="22"/>
        </w:rPr>
        <w:t xml:space="preserve"> </w:t>
      </w:r>
      <w:r>
        <w:rPr>
          <w:rFonts w:ascii="宋体" w:eastAsia="宋体" w:hAnsi="宋体" w:cs="宋体"/>
          <w:spacing w:val="-9"/>
          <w:sz w:val="22"/>
          <w:szCs w:val="22"/>
        </w:rPr>
        <w:t>维生素D</w:t>
      </w:r>
      <w:r>
        <w:rPr>
          <w:rFonts w:ascii="宋体" w:eastAsia="宋体" w:hAnsi="宋体" w:cs="宋体"/>
          <w:spacing w:val="-16"/>
          <w:sz w:val="22"/>
          <w:szCs w:val="22"/>
        </w:rPr>
        <w:t xml:space="preserve"> </w:t>
      </w:r>
      <w:r>
        <w:rPr>
          <w:rFonts w:ascii="宋体" w:eastAsia="宋体" w:hAnsi="宋体" w:cs="宋体"/>
          <w:spacing w:val="-9"/>
          <w:sz w:val="22"/>
          <w:szCs w:val="22"/>
        </w:rPr>
        <w:t>体内水平降低。</w:t>
      </w:r>
    </w:p>
    <w:p w:rsidR="00EA40A3" w:rsidRDefault="00E86C16">
      <w:pPr>
        <w:spacing w:before="215" w:line="360" w:lineRule="exact"/>
        <w:rPr>
          <w:rFonts w:ascii="仿宋" w:eastAsia="仿宋" w:hAnsi="仿宋" w:cs="仿宋"/>
          <w:sz w:val="22"/>
          <w:szCs w:val="22"/>
        </w:rPr>
      </w:pPr>
      <w:r>
        <w:rPr>
          <w:rFonts w:ascii="仿宋" w:eastAsia="仿宋" w:hAnsi="仿宋" w:cs="仿宋"/>
          <w:spacing w:val="13"/>
          <w:position w:val="10"/>
          <w:sz w:val="22"/>
          <w:szCs w:val="22"/>
        </w:rPr>
        <w:t>2.</w:t>
      </w:r>
      <w:r>
        <w:rPr>
          <w:rFonts w:ascii="仿宋" w:eastAsia="仿宋" w:hAnsi="仿宋" w:cs="仿宋"/>
          <w:spacing w:val="-16"/>
          <w:position w:val="10"/>
          <w:sz w:val="22"/>
          <w:szCs w:val="22"/>
        </w:rPr>
        <w:t xml:space="preserve"> </w:t>
      </w:r>
      <w:r>
        <w:rPr>
          <w:rFonts w:ascii="仿宋" w:eastAsia="仿宋" w:hAnsi="仿宋" w:cs="仿宋"/>
          <w:spacing w:val="13"/>
          <w:position w:val="10"/>
          <w:sz w:val="22"/>
          <w:szCs w:val="22"/>
        </w:rPr>
        <w:t>低温条件下机体的营养需要</w:t>
      </w:r>
    </w:p>
    <w:p w:rsidR="00EA40A3" w:rsidRDefault="00E86C16">
      <w:pPr>
        <w:spacing w:before="1" w:line="224" w:lineRule="auto"/>
        <w:rPr>
          <w:rFonts w:ascii="楷体" w:eastAsia="楷体" w:hAnsi="楷体" w:cs="楷体"/>
          <w:sz w:val="22"/>
          <w:szCs w:val="22"/>
        </w:rPr>
      </w:pPr>
      <w:r>
        <w:rPr>
          <w:rFonts w:ascii="楷体" w:eastAsia="楷体" w:hAnsi="楷体" w:cs="楷体"/>
          <w:spacing w:val="-9"/>
          <w:sz w:val="22"/>
          <w:szCs w:val="22"/>
        </w:rPr>
        <w:t>1)能量及能量营养素</w:t>
      </w:r>
    </w:p>
    <w:p w:rsidR="00EA40A3" w:rsidRDefault="00E86C16">
      <w:pPr>
        <w:spacing w:before="33" w:line="246" w:lineRule="auto"/>
        <w:ind w:firstLine="439"/>
        <w:jc w:val="both"/>
        <w:rPr>
          <w:rFonts w:ascii="宋体" w:eastAsia="宋体" w:hAnsi="宋体" w:cs="宋体"/>
          <w:sz w:val="22"/>
          <w:szCs w:val="22"/>
        </w:rPr>
      </w:pPr>
      <w:r>
        <w:rPr>
          <w:rFonts w:ascii="宋体" w:eastAsia="宋体" w:hAnsi="宋体" w:cs="宋体"/>
          <w:spacing w:val="-4"/>
          <w:sz w:val="22"/>
          <w:szCs w:val="22"/>
        </w:rPr>
        <w:t>低温环境下人群能量摄入应较常温下增加10%～15%。在总能量的来源中，</w:t>
      </w:r>
      <w:r>
        <w:rPr>
          <w:rFonts w:ascii="宋体" w:eastAsia="宋体" w:hAnsi="宋体" w:cs="宋体"/>
          <w:sz w:val="22"/>
          <w:szCs w:val="22"/>
        </w:rPr>
        <w:t xml:space="preserve"> 脂肪的供热比应提高至35%,碳水化合物的供热比有</w:t>
      </w:r>
      <w:r>
        <w:rPr>
          <w:rFonts w:ascii="宋体" w:eastAsia="宋体" w:hAnsi="宋体" w:cs="宋体"/>
          <w:spacing w:val="-1"/>
          <w:sz w:val="22"/>
          <w:szCs w:val="22"/>
        </w:rPr>
        <w:t>所降低，但仍是能量的主</w:t>
      </w:r>
      <w:r>
        <w:rPr>
          <w:rFonts w:ascii="宋体" w:eastAsia="宋体" w:hAnsi="宋体" w:cs="宋体"/>
          <w:sz w:val="22"/>
          <w:szCs w:val="22"/>
        </w:rPr>
        <w:t xml:space="preserve">  </w:t>
      </w:r>
      <w:r>
        <w:rPr>
          <w:rFonts w:ascii="宋体" w:eastAsia="宋体" w:hAnsi="宋体" w:cs="宋体"/>
          <w:spacing w:val="12"/>
          <w:sz w:val="22"/>
          <w:szCs w:val="22"/>
        </w:rPr>
        <w:t>要来源，供热比不低于50%,蛋白质供热比为13</w:t>
      </w:r>
      <w:r>
        <w:rPr>
          <w:rFonts w:ascii="宋体" w:eastAsia="宋体" w:hAnsi="宋体" w:cs="宋体"/>
          <w:spacing w:val="11"/>
          <w:sz w:val="22"/>
          <w:szCs w:val="22"/>
        </w:rPr>
        <w:t>%～15%。由于含硫氨基酸</w:t>
      </w:r>
      <w:r>
        <w:rPr>
          <w:rFonts w:ascii="宋体" w:eastAsia="宋体" w:hAnsi="宋体" w:cs="宋体"/>
          <w:sz w:val="22"/>
          <w:szCs w:val="22"/>
        </w:rPr>
        <w:t xml:space="preserve">  </w:t>
      </w:r>
      <w:r>
        <w:rPr>
          <w:rFonts w:ascii="宋体" w:eastAsia="宋体" w:hAnsi="宋体" w:cs="宋体"/>
          <w:spacing w:val="-7"/>
          <w:sz w:val="22"/>
          <w:szCs w:val="22"/>
        </w:rPr>
        <w:t>(如蛋氨酸)能增强机体的耐寒能力，因而含蛋氨酸较多的动物性蛋白质应占总</w:t>
      </w:r>
      <w:r>
        <w:rPr>
          <w:rFonts w:ascii="宋体" w:eastAsia="宋体" w:hAnsi="宋体" w:cs="宋体"/>
          <w:spacing w:val="6"/>
          <w:sz w:val="22"/>
          <w:szCs w:val="22"/>
        </w:rPr>
        <w:t xml:space="preserve">  </w:t>
      </w:r>
      <w:r>
        <w:rPr>
          <w:rFonts w:ascii="宋体" w:eastAsia="宋体" w:hAnsi="宋体" w:cs="宋体"/>
          <w:spacing w:val="1"/>
          <w:sz w:val="22"/>
          <w:szCs w:val="22"/>
        </w:rPr>
        <w:t>蛋白质的50%。</w:t>
      </w:r>
    </w:p>
    <w:p w:rsidR="00EA40A3" w:rsidRDefault="00E86C16">
      <w:pPr>
        <w:spacing w:before="65" w:line="225" w:lineRule="auto"/>
        <w:rPr>
          <w:rFonts w:ascii="楷体" w:eastAsia="楷体" w:hAnsi="楷体" w:cs="楷体"/>
          <w:sz w:val="22"/>
          <w:szCs w:val="22"/>
        </w:rPr>
      </w:pPr>
      <w:r>
        <w:rPr>
          <w:rFonts w:ascii="楷体" w:eastAsia="楷体" w:hAnsi="楷体" w:cs="楷体"/>
          <w:spacing w:val="-7"/>
          <w:sz w:val="22"/>
          <w:szCs w:val="22"/>
        </w:rPr>
        <w:t>2)无机盐和维生素</w:t>
      </w:r>
    </w:p>
    <w:p w:rsidR="00EA40A3" w:rsidRDefault="00E86C16">
      <w:pPr>
        <w:spacing w:before="50" w:line="246" w:lineRule="auto"/>
        <w:ind w:right="70" w:firstLine="439"/>
        <w:rPr>
          <w:rFonts w:ascii="宋体" w:eastAsia="宋体" w:hAnsi="宋体" w:cs="宋体"/>
          <w:sz w:val="22"/>
          <w:szCs w:val="22"/>
        </w:rPr>
      </w:pPr>
      <w:r>
        <w:rPr>
          <w:rFonts w:ascii="宋体" w:eastAsia="宋体" w:hAnsi="宋体" w:cs="宋体"/>
          <w:spacing w:val="-13"/>
          <w:sz w:val="22"/>
          <w:szCs w:val="22"/>
        </w:rPr>
        <w:t>寒冷地区易导致钙和钠的缺乏，因而应多提供含钙丰富的食物。寒带地</w:t>
      </w:r>
      <w:r>
        <w:rPr>
          <w:rFonts w:ascii="宋体" w:eastAsia="宋体" w:hAnsi="宋体" w:cs="宋体"/>
          <w:spacing w:val="-14"/>
          <w:sz w:val="22"/>
          <w:szCs w:val="22"/>
        </w:rPr>
        <w:t>区食</w:t>
      </w:r>
      <w:r>
        <w:rPr>
          <w:rFonts w:ascii="宋体" w:eastAsia="宋体" w:hAnsi="宋体" w:cs="宋体"/>
          <w:sz w:val="22"/>
          <w:szCs w:val="22"/>
        </w:rPr>
        <w:t xml:space="preserve"> </w:t>
      </w:r>
      <w:r>
        <w:rPr>
          <w:rFonts w:ascii="宋体" w:eastAsia="宋体" w:hAnsi="宋体" w:cs="宋体"/>
          <w:spacing w:val="-9"/>
          <w:sz w:val="22"/>
          <w:szCs w:val="22"/>
        </w:rPr>
        <w:t>盐摄入量高达26～30g/d,</w:t>
      </w:r>
      <w:r>
        <w:rPr>
          <w:rFonts w:ascii="宋体" w:eastAsia="宋体" w:hAnsi="宋体" w:cs="宋体"/>
          <w:spacing w:val="-11"/>
          <w:sz w:val="22"/>
          <w:szCs w:val="22"/>
        </w:rPr>
        <w:t xml:space="preserve"> </w:t>
      </w:r>
      <w:r>
        <w:rPr>
          <w:rFonts w:ascii="宋体" w:eastAsia="宋体" w:hAnsi="宋体" w:cs="宋体"/>
          <w:spacing w:val="-9"/>
          <w:sz w:val="22"/>
          <w:szCs w:val="22"/>
        </w:rPr>
        <w:t>为温带居民的两倍，这种高食盐的摄入量是否引起高</w:t>
      </w:r>
      <w:r>
        <w:rPr>
          <w:rFonts w:ascii="宋体" w:eastAsia="宋体" w:hAnsi="宋体" w:cs="宋体"/>
          <w:sz w:val="22"/>
          <w:szCs w:val="22"/>
        </w:rPr>
        <w:t xml:space="preserve"> </w:t>
      </w:r>
      <w:r>
        <w:rPr>
          <w:rFonts w:ascii="宋体" w:eastAsia="宋体" w:hAnsi="宋体" w:cs="宋体"/>
          <w:spacing w:val="-13"/>
          <w:sz w:val="22"/>
          <w:szCs w:val="22"/>
        </w:rPr>
        <w:t>血压尚待定论。低温作业人员血清中微量元素如碘、锌、镁等比常温中</w:t>
      </w:r>
      <w:r>
        <w:rPr>
          <w:rFonts w:ascii="宋体" w:eastAsia="宋体" w:hAnsi="宋体" w:cs="宋体"/>
          <w:spacing w:val="-14"/>
          <w:sz w:val="22"/>
          <w:szCs w:val="22"/>
        </w:rPr>
        <w:t>降低，在</w:t>
      </w:r>
      <w:r>
        <w:rPr>
          <w:rFonts w:ascii="宋体" w:eastAsia="宋体" w:hAnsi="宋体" w:cs="宋体"/>
          <w:sz w:val="22"/>
          <w:szCs w:val="22"/>
        </w:rPr>
        <w:t xml:space="preserve"> </w:t>
      </w:r>
      <w:r>
        <w:rPr>
          <w:rFonts w:ascii="宋体" w:eastAsia="宋体" w:hAnsi="宋体" w:cs="宋体"/>
          <w:spacing w:val="-14"/>
          <w:sz w:val="22"/>
          <w:szCs w:val="22"/>
        </w:rPr>
        <w:t>膳食调配时要注意选择含上述营养素较多的食物供应。此外，由于低温环境使机</w:t>
      </w:r>
      <w:r>
        <w:rPr>
          <w:rFonts w:ascii="宋体" w:eastAsia="宋体" w:hAnsi="宋体" w:cs="宋体"/>
          <w:spacing w:val="7"/>
          <w:sz w:val="22"/>
          <w:szCs w:val="22"/>
        </w:rPr>
        <w:t xml:space="preserve"> </w:t>
      </w:r>
      <w:r>
        <w:rPr>
          <w:rFonts w:ascii="宋体" w:eastAsia="宋体" w:hAnsi="宋体" w:cs="宋体"/>
          <w:spacing w:val="-13"/>
          <w:sz w:val="22"/>
          <w:szCs w:val="22"/>
        </w:rPr>
        <w:t>体能量消耗增加，与能量代谢有关的维生素如硫胺素、核黄素、尼克</w:t>
      </w:r>
      <w:r>
        <w:rPr>
          <w:rFonts w:ascii="宋体" w:eastAsia="宋体" w:hAnsi="宋体" w:cs="宋体"/>
          <w:spacing w:val="-14"/>
          <w:sz w:val="22"/>
          <w:szCs w:val="22"/>
        </w:rPr>
        <w:t>酸等的需要</w:t>
      </w:r>
      <w:r>
        <w:rPr>
          <w:rFonts w:ascii="宋体" w:eastAsia="宋体" w:hAnsi="宋体" w:cs="宋体"/>
          <w:sz w:val="22"/>
          <w:szCs w:val="22"/>
        </w:rPr>
        <w:t xml:space="preserve"> </w:t>
      </w:r>
      <w:r>
        <w:rPr>
          <w:rFonts w:ascii="宋体" w:eastAsia="宋体" w:hAnsi="宋体" w:cs="宋体"/>
          <w:spacing w:val="6"/>
          <w:sz w:val="22"/>
          <w:szCs w:val="22"/>
        </w:rPr>
        <w:t>量也随之增加。专家建议各种维生素每日的推荐摄入量分</w:t>
      </w:r>
      <w:r>
        <w:rPr>
          <w:rFonts w:ascii="宋体" w:eastAsia="宋体" w:hAnsi="宋体" w:cs="宋体"/>
          <w:spacing w:val="5"/>
          <w:sz w:val="22"/>
          <w:szCs w:val="22"/>
        </w:rPr>
        <w:t>别为：硫胺素2~</w:t>
      </w:r>
      <w:r>
        <w:rPr>
          <w:rFonts w:ascii="宋体" w:eastAsia="宋体" w:hAnsi="宋体" w:cs="宋体"/>
          <w:sz w:val="22"/>
          <w:szCs w:val="22"/>
        </w:rPr>
        <w:t xml:space="preserve"> </w:t>
      </w:r>
      <w:r>
        <w:rPr>
          <w:rFonts w:ascii="宋体" w:eastAsia="宋体" w:hAnsi="宋体" w:cs="宋体"/>
          <w:spacing w:val="-3"/>
          <w:sz w:val="22"/>
          <w:szCs w:val="22"/>
        </w:rPr>
        <w:t>3mg、</w:t>
      </w:r>
      <w:r>
        <w:rPr>
          <w:rFonts w:ascii="宋体" w:eastAsia="宋体" w:hAnsi="宋体" w:cs="宋体"/>
          <w:spacing w:val="11"/>
          <w:sz w:val="22"/>
          <w:szCs w:val="22"/>
        </w:rPr>
        <w:t xml:space="preserve"> </w:t>
      </w:r>
      <w:r>
        <w:rPr>
          <w:rFonts w:ascii="宋体" w:eastAsia="宋体" w:hAnsi="宋体" w:cs="宋体"/>
          <w:spacing w:val="-3"/>
          <w:sz w:val="22"/>
          <w:szCs w:val="22"/>
        </w:rPr>
        <w:t>核黄素2.5～3.5</w:t>
      </w:r>
      <w:r>
        <w:rPr>
          <w:rFonts w:ascii="宋体" w:eastAsia="宋体" w:hAnsi="宋体" w:cs="宋体"/>
          <w:spacing w:val="-64"/>
          <w:sz w:val="22"/>
          <w:szCs w:val="22"/>
        </w:rPr>
        <w:t xml:space="preserve"> </w:t>
      </w:r>
      <w:r>
        <w:rPr>
          <w:rFonts w:ascii="宋体" w:eastAsia="宋体" w:hAnsi="宋体" w:cs="宋体"/>
          <w:spacing w:val="-3"/>
          <w:sz w:val="22"/>
          <w:szCs w:val="22"/>
        </w:rPr>
        <w:t>mg、</w:t>
      </w:r>
      <w:r>
        <w:rPr>
          <w:rFonts w:ascii="宋体" w:eastAsia="宋体" w:hAnsi="宋体" w:cs="宋体"/>
          <w:spacing w:val="13"/>
          <w:sz w:val="22"/>
          <w:szCs w:val="22"/>
        </w:rPr>
        <w:t xml:space="preserve"> </w:t>
      </w:r>
      <w:r>
        <w:rPr>
          <w:rFonts w:ascii="宋体" w:eastAsia="宋体" w:hAnsi="宋体" w:cs="宋体"/>
          <w:spacing w:val="-3"/>
          <w:sz w:val="22"/>
          <w:szCs w:val="22"/>
        </w:rPr>
        <w:t>尼克酸15～25mg、</w:t>
      </w:r>
      <w:r>
        <w:rPr>
          <w:rFonts w:ascii="宋体" w:eastAsia="宋体" w:hAnsi="宋体" w:cs="宋体"/>
          <w:spacing w:val="2"/>
          <w:sz w:val="22"/>
          <w:szCs w:val="22"/>
        </w:rPr>
        <w:t xml:space="preserve"> </w:t>
      </w:r>
      <w:r>
        <w:rPr>
          <w:rFonts w:ascii="宋体" w:eastAsia="宋体" w:hAnsi="宋体" w:cs="宋体"/>
          <w:spacing w:val="-3"/>
          <w:sz w:val="22"/>
          <w:szCs w:val="22"/>
        </w:rPr>
        <w:t>维生素B</w:t>
      </w:r>
      <w:r>
        <w:rPr>
          <w:rFonts w:ascii="Calibri" w:eastAsia="Calibri" w:hAnsi="Calibri" w:cs="Calibri"/>
          <w:spacing w:val="-3"/>
          <w:sz w:val="22"/>
          <w:szCs w:val="22"/>
        </w:rPr>
        <w:t>₂</w:t>
      </w:r>
      <w:r>
        <w:rPr>
          <w:rFonts w:ascii="宋体" w:eastAsia="宋体" w:hAnsi="宋体" w:cs="宋体"/>
          <w:spacing w:val="-3"/>
          <w:sz w:val="22"/>
          <w:szCs w:val="22"/>
        </w:rPr>
        <w:t>2～3μg、</w:t>
      </w:r>
      <w:r>
        <w:rPr>
          <w:rFonts w:ascii="宋体" w:eastAsia="宋体" w:hAnsi="宋体" w:cs="宋体"/>
          <w:spacing w:val="62"/>
          <w:sz w:val="22"/>
          <w:szCs w:val="22"/>
        </w:rPr>
        <w:t xml:space="preserve"> </w:t>
      </w:r>
      <w:r>
        <w:rPr>
          <w:rFonts w:ascii="宋体" w:eastAsia="宋体" w:hAnsi="宋体" w:cs="宋体"/>
          <w:spacing w:val="-3"/>
          <w:sz w:val="22"/>
          <w:szCs w:val="22"/>
        </w:rPr>
        <w:t>叶酸1~</w:t>
      </w:r>
      <w:r>
        <w:rPr>
          <w:rFonts w:ascii="宋体" w:eastAsia="宋体" w:hAnsi="宋体" w:cs="宋体"/>
          <w:sz w:val="22"/>
          <w:szCs w:val="22"/>
        </w:rPr>
        <w:t xml:space="preserve"> </w:t>
      </w:r>
      <w:r>
        <w:rPr>
          <w:rFonts w:ascii="宋体" w:eastAsia="宋体" w:hAnsi="宋体" w:cs="宋体"/>
          <w:spacing w:val="-2"/>
          <w:sz w:val="22"/>
          <w:szCs w:val="22"/>
        </w:rPr>
        <w:t>2mg、</w:t>
      </w:r>
      <w:r>
        <w:rPr>
          <w:rFonts w:ascii="宋体" w:eastAsia="宋体" w:hAnsi="宋体" w:cs="宋体"/>
          <w:spacing w:val="11"/>
          <w:sz w:val="22"/>
          <w:szCs w:val="22"/>
        </w:rPr>
        <w:t xml:space="preserve"> </w:t>
      </w:r>
      <w:r>
        <w:rPr>
          <w:rFonts w:ascii="宋体" w:eastAsia="宋体" w:hAnsi="宋体" w:cs="宋体"/>
          <w:spacing w:val="-2"/>
          <w:sz w:val="22"/>
          <w:szCs w:val="22"/>
        </w:rPr>
        <w:t>生物素200～300</w:t>
      </w:r>
      <w:r>
        <w:rPr>
          <w:rFonts w:ascii="宋体" w:eastAsia="宋体" w:hAnsi="宋体" w:cs="宋体"/>
          <w:spacing w:val="-49"/>
          <w:sz w:val="22"/>
          <w:szCs w:val="22"/>
        </w:rPr>
        <w:t xml:space="preserve"> </w:t>
      </w:r>
      <w:r>
        <w:rPr>
          <w:rFonts w:ascii="宋体" w:eastAsia="宋体" w:hAnsi="宋体" w:cs="宋体"/>
          <w:spacing w:val="-2"/>
          <w:sz w:val="22"/>
          <w:szCs w:val="22"/>
        </w:rPr>
        <w:t>μg、胆碱0.5～1</w:t>
      </w:r>
      <w:r>
        <w:rPr>
          <w:rFonts w:ascii="宋体" w:eastAsia="宋体" w:hAnsi="宋体" w:cs="宋体"/>
          <w:spacing w:val="-3"/>
          <w:sz w:val="22"/>
          <w:szCs w:val="22"/>
        </w:rPr>
        <w:t>.0g、泛酸10～15</w:t>
      </w:r>
      <w:r>
        <w:rPr>
          <w:rFonts w:ascii="宋体" w:eastAsia="宋体" w:hAnsi="宋体" w:cs="宋体"/>
          <w:spacing w:val="-2"/>
          <w:sz w:val="22"/>
          <w:szCs w:val="22"/>
        </w:rPr>
        <w:t>mg</w:t>
      </w:r>
      <w:r>
        <w:rPr>
          <w:rFonts w:ascii="宋体" w:eastAsia="宋体" w:hAnsi="宋体" w:cs="宋体"/>
          <w:spacing w:val="-3"/>
          <w:sz w:val="22"/>
          <w:szCs w:val="22"/>
        </w:rPr>
        <w:t>、</w:t>
      </w:r>
      <w:r>
        <w:rPr>
          <w:rFonts w:ascii="宋体" w:eastAsia="宋体" w:hAnsi="宋体" w:cs="宋体"/>
          <w:spacing w:val="1"/>
          <w:sz w:val="22"/>
          <w:szCs w:val="22"/>
        </w:rPr>
        <w:t xml:space="preserve"> </w:t>
      </w:r>
      <w:r>
        <w:rPr>
          <w:rFonts w:ascii="宋体" w:eastAsia="宋体" w:hAnsi="宋体" w:cs="宋体"/>
          <w:spacing w:val="-3"/>
          <w:sz w:val="22"/>
          <w:szCs w:val="22"/>
        </w:rPr>
        <w:t>维生素C70~</w:t>
      </w:r>
      <w:r>
        <w:rPr>
          <w:rFonts w:ascii="宋体" w:eastAsia="宋体" w:hAnsi="宋体" w:cs="宋体"/>
          <w:sz w:val="22"/>
          <w:szCs w:val="22"/>
        </w:rPr>
        <w:t xml:space="preserve">  </w:t>
      </w:r>
      <w:r>
        <w:rPr>
          <w:rFonts w:ascii="宋体" w:eastAsia="宋体" w:hAnsi="宋体" w:cs="宋体"/>
          <w:spacing w:val="-10"/>
          <w:sz w:val="22"/>
          <w:szCs w:val="22"/>
        </w:rPr>
        <w:t>120mg、</w:t>
      </w:r>
      <w:r>
        <w:rPr>
          <w:rFonts w:ascii="宋体" w:eastAsia="宋体" w:hAnsi="宋体" w:cs="宋体"/>
          <w:spacing w:val="-1"/>
          <w:sz w:val="22"/>
          <w:szCs w:val="22"/>
        </w:rPr>
        <w:t xml:space="preserve"> </w:t>
      </w:r>
      <w:r>
        <w:rPr>
          <w:rFonts w:ascii="宋体" w:eastAsia="宋体" w:hAnsi="宋体" w:cs="宋体"/>
          <w:spacing w:val="-10"/>
          <w:sz w:val="22"/>
          <w:szCs w:val="22"/>
        </w:rPr>
        <w:t>维生素A1500μgRE、</w:t>
      </w:r>
      <w:r>
        <w:rPr>
          <w:rFonts w:ascii="宋体" w:eastAsia="宋体" w:hAnsi="宋体" w:cs="宋体"/>
          <w:spacing w:val="63"/>
          <w:sz w:val="22"/>
          <w:szCs w:val="22"/>
        </w:rPr>
        <w:t xml:space="preserve"> </w:t>
      </w:r>
      <w:r>
        <w:rPr>
          <w:rFonts w:ascii="宋体" w:eastAsia="宋体" w:hAnsi="宋体" w:cs="宋体"/>
          <w:spacing w:val="-10"/>
          <w:sz w:val="22"/>
          <w:szCs w:val="22"/>
        </w:rPr>
        <w:t>维生素D1</w:t>
      </w:r>
      <w:r>
        <w:rPr>
          <w:rFonts w:ascii="宋体" w:eastAsia="宋体" w:hAnsi="宋体" w:cs="宋体"/>
          <w:spacing w:val="-11"/>
          <w:sz w:val="22"/>
          <w:szCs w:val="22"/>
        </w:rPr>
        <w:t>0μg、 维生素E15～20</w:t>
      </w:r>
      <w:r>
        <w:rPr>
          <w:rFonts w:ascii="宋体" w:eastAsia="宋体" w:hAnsi="宋体" w:cs="宋体"/>
          <w:spacing w:val="-10"/>
          <w:sz w:val="22"/>
          <w:szCs w:val="22"/>
        </w:rPr>
        <w:t>mg</w:t>
      </w:r>
      <w:r>
        <w:rPr>
          <w:rFonts w:ascii="宋体" w:eastAsia="宋体" w:hAnsi="宋体" w:cs="宋体"/>
          <w:spacing w:val="-11"/>
          <w:sz w:val="22"/>
          <w:szCs w:val="22"/>
        </w:rPr>
        <w:t>、</w:t>
      </w:r>
      <w:r>
        <w:rPr>
          <w:rFonts w:ascii="宋体" w:eastAsia="宋体" w:hAnsi="宋体" w:cs="宋体"/>
          <w:spacing w:val="29"/>
          <w:sz w:val="22"/>
          <w:szCs w:val="22"/>
        </w:rPr>
        <w:t xml:space="preserve">  </w:t>
      </w:r>
      <w:r>
        <w:rPr>
          <w:rFonts w:ascii="宋体" w:eastAsia="宋体" w:hAnsi="宋体" w:cs="宋体"/>
          <w:spacing w:val="-11"/>
          <w:sz w:val="22"/>
          <w:szCs w:val="22"/>
        </w:rPr>
        <w:t>维生素</w:t>
      </w:r>
      <w:r>
        <w:rPr>
          <w:rFonts w:ascii="宋体" w:eastAsia="宋体" w:hAnsi="宋体" w:cs="宋体"/>
          <w:spacing w:val="-58"/>
          <w:sz w:val="22"/>
          <w:szCs w:val="22"/>
        </w:rPr>
        <w:t xml:space="preserve"> </w:t>
      </w:r>
      <w:r>
        <w:rPr>
          <w:rFonts w:ascii="宋体" w:eastAsia="宋体" w:hAnsi="宋体" w:cs="宋体"/>
          <w:spacing w:val="-11"/>
          <w:sz w:val="22"/>
          <w:szCs w:val="22"/>
        </w:rPr>
        <w:t>K</w:t>
      </w:r>
      <w:r>
        <w:rPr>
          <w:rFonts w:ascii="宋体" w:eastAsia="宋体" w:hAnsi="宋体" w:cs="宋体"/>
          <w:sz w:val="22"/>
          <w:szCs w:val="22"/>
        </w:rPr>
        <w:t xml:space="preserve"> </w:t>
      </w:r>
      <w:r>
        <w:rPr>
          <w:rFonts w:ascii="Times New Roman" w:eastAsia="Times New Roman" w:hAnsi="Times New Roman" w:cs="Times New Roman"/>
          <w:spacing w:val="-10"/>
          <w:sz w:val="22"/>
          <w:szCs w:val="22"/>
        </w:rPr>
        <w:t>200</w:t>
      </w:r>
      <w:r>
        <w:rPr>
          <w:rFonts w:ascii="宋体" w:eastAsia="宋体" w:hAnsi="宋体" w:cs="宋体"/>
          <w:spacing w:val="-10"/>
          <w:sz w:val="22"/>
          <w:szCs w:val="22"/>
        </w:rPr>
        <w:t>～</w:t>
      </w:r>
      <w:r>
        <w:rPr>
          <w:rFonts w:ascii="Times New Roman" w:eastAsia="Times New Roman" w:hAnsi="Times New Roman" w:cs="Times New Roman"/>
          <w:spacing w:val="-10"/>
          <w:sz w:val="22"/>
          <w:szCs w:val="22"/>
        </w:rPr>
        <w:t>300μg</w:t>
      </w:r>
      <w:r>
        <w:rPr>
          <w:rFonts w:ascii="宋体" w:eastAsia="宋体" w:hAnsi="宋体" w:cs="宋体"/>
          <w:spacing w:val="-10"/>
          <w:sz w:val="22"/>
          <w:szCs w:val="22"/>
        </w:rPr>
        <w:t>。</w:t>
      </w:r>
    </w:p>
    <w:p w:rsidR="00EA40A3" w:rsidRDefault="00EA40A3">
      <w:pPr>
        <w:spacing w:line="330" w:lineRule="auto"/>
      </w:pPr>
    </w:p>
    <w:p w:rsidR="00EA40A3" w:rsidRDefault="00E86C16">
      <w:pPr>
        <w:spacing w:before="72"/>
        <w:ind w:left="130"/>
        <w:rPr>
          <w:rFonts w:ascii="宋体" w:eastAsia="宋体" w:hAnsi="宋体" w:cs="宋体"/>
          <w:sz w:val="22"/>
          <w:szCs w:val="22"/>
        </w:rPr>
      </w:pPr>
      <w:r>
        <w:rPr>
          <w:rFonts w:ascii="宋体" w:eastAsia="宋体" w:hAnsi="宋体" w:cs="宋体"/>
          <w:spacing w:val="-24"/>
          <w:sz w:val="22"/>
          <w:szCs w:val="22"/>
        </w:rPr>
        <w:t>·346</w:t>
      </w:r>
      <w:r>
        <w:rPr>
          <w:rFonts w:ascii="宋体" w:eastAsia="宋体" w:hAnsi="宋体" w:cs="宋体"/>
          <w:spacing w:val="-29"/>
          <w:sz w:val="22"/>
          <w:szCs w:val="22"/>
        </w:rPr>
        <w:t xml:space="preserve"> </w:t>
      </w:r>
      <w:r>
        <w:rPr>
          <w:rFonts w:ascii="宋体" w:eastAsia="宋体" w:hAnsi="宋体" w:cs="宋体"/>
          <w:spacing w:val="-24"/>
          <w:sz w:val="22"/>
          <w:szCs w:val="22"/>
        </w:rPr>
        <w:t>·</w:t>
      </w:r>
    </w:p>
    <w:p w:rsidR="00EA40A3" w:rsidRDefault="00EA40A3">
      <w:pPr>
        <w:sectPr w:rsidR="00EA40A3">
          <w:pgSz w:w="9220" w:h="13360"/>
          <w:pgMar w:top="400" w:right="1059" w:bottom="400" w:left="820" w:header="0" w:footer="0" w:gutter="0"/>
          <w:cols w:space="720"/>
        </w:sectPr>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86C16">
      <w:pPr>
        <w:spacing w:before="71" w:line="219" w:lineRule="auto"/>
        <w:ind w:left="3"/>
        <w:outlineLvl w:val="6"/>
        <w:rPr>
          <w:rFonts w:ascii="宋体" w:eastAsia="宋体" w:hAnsi="宋体" w:cs="宋体"/>
          <w:sz w:val="22"/>
          <w:szCs w:val="22"/>
        </w:rPr>
      </w:pPr>
      <w:r>
        <w:rPr>
          <w:rFonts w:ascii="宋体" w:eastAsia="宋体" w:hAnsi="宋体" w:cs="宋体"/>
          <w:b/>
          <w:bCs/>
          <w:spacing w:val="8"/>
          <w:sz w:val="22"/>
          <w:szCs w:val="22"/>
        </w:rPr>
        <w:t>10.7.3</w:t>
      </w:r>
      <w:r>
        <w:rPr>
          <w:rFonts w:ascii="宋体" w:eastAsia="宋体" w:hAnsi="宋体" w:cs="宋体"/>
          <w:spacing w:val="25"/>
          <w:sz w:val="22"/>
          <w:szCs w:val="22"/>
        </w:rPr>
        <w:t xml:space="preserve">   </w:t>
      </w:r>
      <w:r>
        <w:rPr>
          <w:rFonts w:ascii="宋体" w:eastAsia="宋体" w:hAnsi="宋体" w:cs="宋体"/>
          <w:b/>
          <w:bCs/>
          <w:spacing w:val="8"/>
          <w:sz w:val="22"/>
          <w:szCs w:val="22"/>
        </w:rPr>
        <w:t>高原缺氧环境下人群的营养</w:t>
      </w:r>
    </w:p>
    <w:p w:rsidR="00EA40A3" w:rsidRDefault="00E86C16">
      <w:pPr>
        <w:spacing w:before="261" w:line="337" w:lineRule="exact"/>
        <w:rPr>
          <w:rFonts w:ascii="仿宋" w:eastAsia="仿宋" w:hAnsi="仿宋" w:cs="仿宋"/>
          <w:sz w:val="22"/>
          <w:szCs w:val="22"/>
        </w:rPr>
      </w:pPr>
      <w:r>
        <w:rPr>
          <w:rFonts w:ascii="仿宋" w:eastAsia="仿宋" w:hAnsi="仿宋" w:cs="仿宋"/>
          <w:spacing w:val="13"/>
          <w:position w:val="8"/>
          <w:sz w:val="22"/>
          <w:szCs w:val="22"/>
        </w:rPr>
        <w:t>1.</w:t>
      </w:r>
      <w:r>
        <w:rPr>
          <w:rFonts w:ascii="仿宋" w:eastAsia="仿宋" w:hAnsi="仿宋" w:cs="仿宋"/>
          <w:spacing w:val="-22"/>
          <w:position w:val="8"/>
          <w:sz w:val="22"/>
          <w:szCs w:val="22"/>
        </w:rPr>
        <w:t xml:space="preserve"> </w:t>
      </w:r>
      <w:r>
        <w:rPr>
          <w:rFonts w:ascii="仿宋" w:eastAsia="仿宋" w:hAnsi="仿宋" w:cs="仿宋"/>
          <w:spacing w:val="13"/>
          <w:position w:val="8"/>
          <w:sz w:val="22"/>
          <w:szCs w:val="22"/>
        </w:rPr>
        <w:t>高原缺氧环境下机体的生理特点</w:t>
      </w:r>
    </w:p>
    <w:p w:rsidR="00EA40A3" w:rsidRDefault="00E86C16">
      <w:pPr>
        <w:spacing w:before="1" w:line="222" w:lineRule="auto"/>
        <w:rPr>
          <w:rFonts w:ascii="楷体" w:eastAsia="楷体" w:hAnsi="楷体" w:cs="楷体"/>
          <w:sz w:val="22"/>
          <w:szCs w:val="22"/>
        </w:rPr>
      </w:pPr>
      <w:r>
        <w:rPr>
          <w:rFonts w:ascii="楷体" w:eastAsia="楷体" w:hAnsi="楷体" w:cs="楷体"/>
          <w:spacing w:val="-8"/>
          <w:sz w:val="22"/>
          <w:szCs w:val="22"/>
        </w:rPr>
        <w:t>1)对机体氧输送的影响</w:t>
      </w:r>
    </w:p>
    <w:p w:rsidR="00EA40A3" w:rsidRDefault="00E86C16">
      <w:pPr>
        <w:spacing w:before="39" w:line="245" w:lineRule="auto"/>
        <w:ind w:right="92" w:firstLine="430"/>
        <w:jc w:val="both"/>
        <w:rPr>
          <w:rFonts w:ascii="宋体" w:eastAsia="宋体" w:hAnsi="宋体" w:cs="宋体"/>
          <w:sz w:val="22"/>
          <w:szCs w:val="22"/>
        </w:rPr>
      </w:pPr>
      <w:r>
        <w:rPr>
          <w:rFonts w:ascii="宋体" w:eastAsia="宋体" w:hAnsi="宋体" w:cs="宋体"/>
          <w:spacing w:val="-7"/>
          <w:sz w:val="22"/>
          <w:szCs w:val="22"/>
        </w:rPr>
        <w:t>高原缺氧环境通常是指海拔在3000m</w:t>
      </w:r>
      <w:r>
        <w:rPr>
          <w:rFonts w:ascii="宋体" w:eastAsia="宋体" w:hAnsi="宋体" w:cs="宋体"/>
          <w:spacing w:val="29"/>
          <w:sz w:val="22"/>
          <w:szCs w:val="22"/>
        </w:rPr>
        <w:t xml:space="preserve"> </w:t>
      </w:r>
      <w:r>
        <w:rPr>
          <w:rFonts w:ascii="宋体" w:eastAsia="宋体" w:hAnsi="宋体" w:cs="宋体"/>
          <w:spacing w:val="-7"/>
          <w:sz w:val="22"/>
          <w:szCs w:val="22"/>
        </w:rPr>
        <w:t>以上的地区。人进入高原地区，由于</w:t>
      </w:r>
      <w:r>
        <w:rPr>
          <w:rFonts w:ascii="宋体" w:eastAsia="宋体" w:hAnsi="宋体" w:cs="宋体"/>
          <w:sz w:val="22"/>
          <w:szCs w:val="22"/>
        </w:rPr>
        <w:t xml:space="preserve"> </w:t>
      </w:r>
      <w:r>
        <w:rPr>
          <w:rFonts w:ascii="宋体" w:eastAsia="宋体" w:hAnsi="宋体" w:cs="宋体"/>
          <w:spacing w:val="-13"/>
          <w:sz w:val="22"/>
          <w:szCs w:val="22"/>
        </w:rPr>
        <w:t>缺氧导致肺泡氧分压和血氧饱和度降低，肺血流量和心血流量增多，肺血管收缩</w:t>
      </w:r>
      <w:r>
        <w:rPr>
          <w:rFonts w:ascii="宋体" w:eastAsia="宋体" w:hAnsi="宋体" w:cs="宋体"/>
          <w:spacing w:val="13"/>
          <w:sz w:val="22"/>
          <w:szCs w:val="22"/>
        </w:rPr>
        <w:t xml:space="preserve"> </w:t>
      </w:r>
      <w:r>
        <w:rPr>
          <w:rFonts w:ascii="宋体" w:eastAsia="宋体" w:hAnsi="宋体" w:cs="宋体"/>
          <w:spacing w:val="-6"/>
          <w:sz w:val="22"/>
          <w:szCs w:val="22"/>
        </w:rPr>
        <w:t>从而可能导致肺动脉高压及肺源性心脏病。同时，低氧</w:t>
      </w:r>
      <w:r>
        <w:rPr>
          <w:rFonts w:ascii="宋体" w:eastAsia="宋体" w:hAnsi="宋体" w:cs="宋体"/>
          <w:spacing w:val="-7"/>
          <w:sz w:val="22"/>
          <w:szCs w:val="22"/>
        </w:rPr>
        <w:t>可能导致红细胞生成加</w:t>
      </w:r>
      <w:r>
        <w:rPr>
          <w:rFonts w:ascii="宋体" w:eastAsia="宋体" w:hAnsi="宋体" w:cs="宋体"/>
          <w:sz w:val="22"/>
          <w:szCs w:val="22"/>
        </w:rPr>
        <w:t xml:space="preserve"> </w:t>
      </w:r>
      <w:r>
        <w:rPr>
          <w:rFonts w:ascii="宋体" w:eastAsia="宋体" w:hAnsi="宋体" w:cs="宋体"/>
          <w:spacing w:val="-12"/>
          <w:sz w:val="22"/>
          <w:szCs w:val="22"/>
        </w:rPr>
        <w:t>速，当红细胞的数量增加过多，则使血液黏度增</w:t>
      </w:r>
      <w:r>
        <w:rPr>
          <w:rFonts w:ascii="宋体" w:eastAsia="宋体" w:hAnsi="宋体" w:cs="宋体"/>
          <w:spacing w:val="-13"/>
          <w:sz w:val="22"/>
          <w:szCs w:val="22"/>
        </w:rPr>
        <w:t>高，可能引起体循环、肺循环和</w:t>
      </w:r>
      <w:r>
        <w:rPr>
          <w:rFonts w:ascii="宋体" w:eastAsia="宋体" w:hAnsi="宋体" w:cs="宋体"/>
          <w:sz w:val="22"/>
          <w:szCs w:val="22"/>
        </w:rPr>
        <w:t xml:space="preserve"> </w:t>
      </w:r>
      <w:r>
        <w:rPr>
          <w:rFonts w:ascii="宋体" w:eastAsia="宋体" w:hAnsi="宋体" w:cs="宋体"/>
          <w:spacing w:val="-15"/>
          <w:sz w:val="22"/>
          <w:szCs w:val="22"/>
        </w:rPr>
        <w:t>微循环障碍，导致红细胞运输氧的能力下降。</w:t>
      </w:r>
    </w:p>
    <w:p w:rsidR="00EA40A3" w:rsidRDefault="00E86C16">
      <w:pPr>
        <w:spacing w:before="50" w:line="228" w:lineRule="auto"/>
        <w:rPr>
          <w:rFonts w:ascii="楷体" w:eastAsia="楷体" w:hAnsi="楷体" w:cs="楷体"/>
          <w:sz w:val="22"/>
          <w:szCs w:val="22"/>
        </w:rPr>
      </w:pPr>
      <w:r>
        <w:rPr>
          <w:rFonts w:ascii="楷体" w:eastAsia="楷体" w:hAnsi="楷体" w:cs="楷体"/>
          <w:spacing w:val="-7"/>
          <w:sz w:val="22"/>
          <w:szCs w:val="22"/>
        </w:rPr>
        <w:t>2)对机体消化生理的改变</w:t>
      </w:r>
    </w:p>
    <w:p w:rsidR="00EA40A3" w:rsidRDefault="00E86C16">
      <w:pPr>
        <w:spacing w:before="57" w:line="231" w:lineRule="auto"/>
        <w:ind w:right="64" w:firstLine="430"/>
        <w:rPr>
          <w:rFonts w:ascii="宋体" w:eastAsia="宋体" w:hAnsi="宋体" w:cs="宋体"/>
          <w:sz w:val="22"/>
          <w:szCs w:val="22"/>
        </w:rPr>
      </w:pPr>
      <w:r>
        <w:rPr>
          <w:rFonts w:ascii="宋体" w:eastAsia="宋体" w:hAnsi="宋体" w:cs="宋体"/>
          <w:spacing w:val="-12"/>
          <w:sz w:val="22"/>
          <w:szCs w:val="22"/>
        </w:rPr>
        <w:t>低氧环境中，人的消化功能受到影响，胃张力降低，饥饿收缩减少，饮食后</w:t>
      </w:r>
      <w:r>
        <w:rPr>
          <w:rFonts w:ascii="宋体" w:eastAsia="宋体" w:hAnsi="宋体" w:cs="宋体"/>
          <w:sz w:val="22"/>
          <w:szCs w:val="22"/>
        </w:rPr>
        <w:t xml:space="preserve"> </w:t>
      </w:r>
      <w:r>
        <w:rPr>
          <w:rFonts w:ascii="宋体" w:eastAsia="宋体" w:hAnsi="宋体" w:cs="宋体"/>
          <w:spacing w:val="-13"/>
          <w:sz w:val="22"/>
          <w:szCs w:val="22"/>
        </w:rPr>
        <w:t>胃蠕动减少，胃排空时间延长，消化液分泌也减少，食欲</w:t>
      </w:r>
      <w:r>
        <w:rPr>
          <w:rFonts w:ascii="宋体" w:eastAsia="宋体" w:hAnsi="宋体" w:cs="宋体"/>
          <w:spacing w:val="-14"/>
          <w:sz w:val="22"/>
          <w:szCs w:val="22"/>
        </w:rPr>
        <w:t>下降。</w:t>
      </w:r>
    </w:p>
    <w:p w:rsidR="00EA40A3" w:rsidRDefault="00E86C16">
      <w:pPr>
        <w:spacing w:before="43" w:line="229" w:lineRule="auto"/>
        <w:rPr>
          <w:rFonts w:ascii="楷体" w:eastAsia="楷体" w:hAnsi="楷体" w:cs="楷体"/>
          <w:sz w:val="22"/>
          <w:szCs w:val="22"/>
        </w:rPr>
      </w:pPr>
      <w:r>
        <w:rPr>
          <w:rFonts w:ascii="楷体" w:eastAsia="楷体" w:hAnsi="楷体" w:cs="楷体"/>
          <w:spacing w:val="-7"/>
          <w:sz w:val="22"/>
          <w:szCs w:val="22"/>
        </w:rPr>
        <w:t>3)对机体代谢的改变</w:t>
      </w:r>
    </w:p>
    <w:p w:rsidR="00EA40A3" w:rsidRDefault="00E86C16">
      <w:pPr>
        <w:spacing w:before="36" w:line="243" w:lineRule="auto"/>
        <w:ind w:right="71" w:firstLine="430"/>
        <w:rPr>
          <w:rFonts w:ascii="宋体" w:eastAsia="宋体" w:hAnsi="宋体" w:cs="宋体"/>
          <w:sz w:val="22"/>
          <w:szCs w:val="22"/>
        </w:rPr>
      </w:pPr>
      <w:r>
        <w:rPr>
          <w:rFonts w:ascii="宋体" w:eastAsia="宋体" w:hAnsi="宋体" w:cs="宋体"/>
          <w:spacing w:val="-12"/>
          <w:sz w:val="22"/>
          <w:szCs w:val="22"/>
        </w:rPr>
        <w:t>低氧环境中，机体对葡萄糖吸收减少，血糖降低，无氧酵解增</w:t>
      </w:r>
      <w:r>
        <w:rPr>
          <w:rFonts w:ascii="宋体" w:eastAsia="宋体" w:hAnsi="宋体" w:cs="宋体"/>
          <w:spacing w:val="-13"/>
          <w:sz w:val="22"/>
          <w:szCs w:val="22"/>
        </w:rPr>
        <w:t>强，血液乳酸</w:t>
      </w:r>
      <w:r>
        <w:rPr>
          <w:rFonts w:ascii="宋体" w:eastAsia="宋体" w:hAnsi="宋体" w:cs="宋体"/>
          <w:sz w:val="22"/>
          <w:szCs w:val="22"/>
        </w:rPr>
        <w:t xml:space="preserve"> </w:t>
      </w:r>
      <w:r>
        <w:rPr>
          <w:rFonts w:ascii="宋体" w:eastAsia="宋体" w:hAnsi="宋体" w:cs="宋体"/>
          <w:spacing w:val="-13"/>
          <w:sz w:val="22"/>
          <w:szCs w:val="22"/>
        </w:rPr>
        <w:t>含量增高。蛋白质分解代谢加强，合成率下降，氮的排出增加，血液必需氨基酸</w:t>
      </w:r>
      <w:r>
        <w:rPr>
          <w:rFonts w:ascii="宋体" w:eastAsia="宋体" w:hAnsi="宋体" w:cs="宋体"/>
          <w:spacing w:val="12"/>
          <w:sz w:val="22"/>
          <w:szCs w:val="22"/>
        </w:rPr>
        <w:t xml:space="preserve"> </w:t>
      </w:r>
      <w:r>
        <w:rPr>
          <w:rFonts w:ascii="宋体" w:eastAsia="宋体" w:hAnsi="宋体" w:cs="宋体"/>
          <w:spacing w:val="-13"/>
          <w:sz w:val="22"/>
          <w:szCs w:val="22"/>
        </w:rPr>
        <w:t>与非必需氨基酸的比值下降。此外，低氧环境可能导致血清中游离脂肪酸和甘油</w:t>
      </w:r>
      <w:r>
        <w:rPr>
          <w:rFonts w:ascii="宋体" w:eastAsia="宋体" w:hAnsi="宋体" w:cs="宋体"/>
          <w:spacing w:val="5"/>
          <w:sz w:val="22"/>
          <w:szCs w:val="22"/>
        </w:rPr>
        <w:t xml:space="preserve"> </w:t>
      </w:r>
      <w:r>
        <w:rPr>
          <w:rFonts w:ascii="宋体" w:eastAsia="宋体" w:hAnsi="宋体" w:cs="宋体"/>
          <w:spacing w:val="-14"/>
          <w:sz w:val="22"/>
          <w:szCs w:val="22"/>
        </w:rPr>
        <w:t>三酯含量增高，当严重缺氧时，脂肪氧化不完全，尿中出现酮体，</w:t>
      </w:r>
    </w:p>
    <w:p w:rsidR="00EA40A3" w:rsidRDefault="00E86C16">
      <w:pPr>
        <w:spacing w:before="237" w:line="330" w:lineRule="exact"/>
        <w:rPr>
          <w:rFonts w:ascii="仿宋" w:eastAsia="仿宋" w:hAnsi="仿宋" w:cs="仿宋"/>
          <w:sz w:val="22"/>
          <w:szCs w:val="22"/>
        </w:rPr>
      </w:pPr>
      <w:r>
        <w:rPr>
          <w:rFonts w:ascii="仿宋" w:eastAsia="仿宋" w:hAnsi="仿宋" w:cs="仿宋"/>
          <w:spacing w:val="14"/>
          <w:position w:val="7"/>
          <w:sz w:val="22"/>
          <w:szCs w:val="22"/>
        </w:rPr>
        <w:t>2.</w:t>
      </w:r>
      <w:r>
        <w:rPr>
          <w:rFonts w:ascii="仿宋" w:eastAsia="仿宋" w:hAnsi="仿宋" w:cs="仿宋"/>
          <w:spacing w:val="12"/>
          <w:position w:val="7"/>
          <w:sz w:val="22"/>
          <w:szCs w:val="22"/>
        </w:rPr>
        <w:t xml:space="preserve"> </w:t>
      </w:r>
      <w:r>
        <w:rPr>
          <w:rFonts w:ascii="仿宋" w:eastAsia="仿宋" w:hAnsi="仿宋" w:cs="仿宋"/>
          <w:spacing w:val="14"/>
          <w:position w:val="7"/>
          <w:sz w:val="22"/>
          <w:szCs w:val="22"/>
        </w:rPr>
        <w:t>高原缺氧环境下机体的营养需要</w:t>
      </w:r>
    </w:p>
    <w:p w:rsidR="00EA40A3" w:rsidRDefault="00E86C16">
      <w:pPr>
        <w:spacing w:line="224" w:lineRule="auto"/>
        <w:rPr>
          <w:rFonts w:ascii="楷体" w:eastAsia="楷体" w:hAnsi="楷体" w:cs="楷体"/>
          <w:sz w:val="22"/>
          <w:szCs w:val="22"/>
        </w:rPr>
      </w:pPr>
      <w:r>
        <w:rPr>
          <w:rFonts w:ascii="楷体" w:eastAsia="楷体" w:hAnsi="楷体" w:cs="楷体"/>
          <w:spacing w:val="-7"/>
          <w:sz w:val="22"/>
          <w:szCs w:val="22"/>
        </w:rPr>
        <w:t>1)能量及能量营养素</w:t>
      </w:r>
    </w:p>
    <w:p w:rsidR="00EA40A3" w:rsidRDefault="00E86C16">
      <w:pPr>
        <w:spacing w:before="66" w:line="245" w:lineRule="auto"/>
        <w:ind w:firstLine="430"/>
        <w:jc w:val="both"/>
        <w:rPr>
          <w:rFonts w:ascii="宋体" w:eastAsia="宋体" w:hAnsi="宋体" w:cs="宋体"/>
          <w:sz w:val="22"/>
          <w:szCs w:val="22"/>
        </w:rPr>
      </w:pPr>
      <w:r>
        <w:rPr>
          <w:rFonts w:ascii="宋体" w:eastAsia="宋体" w:hAnsi="宋体" w:cs="宋体"/>
          <w:spacing w:val="-12"/>
          <w:sz w:val="22"/>
          <w:szCs w:val="22"/>
        </w:rPr>
        <w:t>在高原缺氧条件下，从事同等强度的劳动，所需的能量高于低海拔</w:t>
      </w:r>
      <w:r>
        <w:rPr>
          <w:rFonts w:ascii="宋体" w:eastAsia="宋体" w:hAnsi="宋体" w:cs="宋体"/>
          <w:spacing w:val="-13"/>
          <w:sz w:val="22"/>
          <w:szCs w:val="22"/>
        </w:rPr>
        <w:t>地区。而</w:t>
      </w:r>
      <w:r>
        <w:rPr>
          <w:rFonts w:ascii="宋体" w:eastAsia="宋体" w:hAnsi="宋体" w:cs="宋体"/>
          <w:sz w:val="22"/>
          <w:szCs w:val="22"/>
        </w:rPr>
        <w:t xml:space="preserve"> </w:t>
      </w:r>
      <w:r>
        <w:rPr>
          <w:rFonts w:ascii="宋体" w:eastAsia="宋体" w:hAnsi="宋体" w:cs="宋体"/>
          <w:spacing w:val="-13"/>
          <w:sz w:val="22"/>
          <w:szCs w:val="22"/>
        </w:rPr>
        <w:t>人体缺氧条件下，食欲减退，因此，可能导致能量供给不足。碳</w:t>
      </w:r>
      <w:r>
        <w:rPr>
          <w:rFonts w:ascii="宋体" w:eastAsia="宋体" w:hAnsi="宋体" w:cs="宋体"/>
          <w:spacing w:val="-14"/>
          <w:sz w:val="22"/>
          <w:szCs w:val="22"/>
        </w:rPr>
        <w:t>水化合物能够提</w:t>
      </w:r>
      <w:r>
        <w:rPr>
          <w:rFonts w:ascii="宋体" w:eastAsia="宋体" w:hAnsi="宋体" w:cs="宋体"/>
          <w:sz w:val="22"/>
          <w:szCs w:val="22"/>
        </w:rPr>
        <w:t xml:space="preserve">  </w:t>
      </w:r>
      <w:r>
        <w:rPr>
          <w:rFonts w:ascii="宋体" w:eastAsia="宋体" w:hAnsi="宋体" w:cs="宋体"/>
          <w:spacing w:val="-10"/>
          <w:sz w:val="22"/>
          <w:szCs w:val="22"/>
        </w:rPr>
        <w:t>高人的动脉氧含量，对在缺氧条件下维持体力有重要作用</w:t>
      </w:r>
      <w:r>
        <w:rPr>
          <w:rFonts w:ascii="宋体" w:eastAsia="宋体" w:hAnsi="宋体" w:cs="宋体"/>
          <w:spacing w:val="-11"/>
          <w:sz w:val="22"/>
          <w:szCs w:val="22"/>
        </w:rPr>
        <w:t>；同样，缺氧条件下，</w:t>
      </w:r>
      <w:r>
        <w:rPr>
          <w:rFonts w:ascii="宋体" w:eastAsia="宋体" w:hAnsi="宋体" w:cs="宋体"/>
          <w:sz w:val="22"/>
          <w:szCs w:val="22"/>
        </w:rPr>
        <w:t xml:space="preserve"> </w:t>
      </w:r>
      <w:r>
        <w:rPr>
          <w:rFonts w:ascii="宋体" w:eastAsia="宋体" w:hAnsi="宋体" w:cs="宋体"/>
          <w:spacing w:val="-7"/>
          <w:sz w:val="22"/>
          <w:szCs w:val="22"/>
        </w:rPr>
        <w:t>身体对脂肪有较高利用率；缺氧条件下的负氮平衡可以通过蛋白质的补充来解</w:t>
      </w:r>
      <w:r>
        <w:rPr>
          <w:rFonts w:ascii="宋体" w:eastAsia="宋体" w:hAnsi="宋体" w:cs="宋体"/>
          <w:spacing w:val="7"/>
          <w:sz w:val="22"/>
          <w:szCs w:val="22"/>
        </w:rPr>
        <w:t xml:space="preserve">  </w:t>
      </w:r>
      <w:r>
        <w:rPr>
          <w:rFonts w:ascii="宋体" w:eastAsia="宋体" w:hAnsi="宋体" w:cs="宋体"/>
          <w:spacing w:val="-10"/>
          <w:sz w:val="22"/>
          <w:szCs w:val="22"/>
        </w:rPr>
        <w:t>决。因而，有专家对在高原缺氧条件下能量及能量营养素的摄入提出如下建议：</w:t>
      </w:r>
    </w:p>
    <w:p w:rsidR="00EA40A3" w:rsidRDefault="00E86C16">
      <w:pPr>
        <w:spacing w:before="37" w:line="247" w:lineRule="auto"/>
        <w:ind w:right="91"/>
        <w:rPr>
          <w:rFonts w:ascii="宋体" w:eastAsia="宋体" w:hAnsi="宋体" w:cs="宋体"/>
          <w:sz w:val="22"/>
          <w:szCs w:val="22"/>
        </w:rPr>
      </w:pPr>
      <w:r>
        <w:rPr>
          <w:rFonts w:ascii="宋体" w:eastAsia="宋体" w:hAnsi="宋体" w:cs="宋体"/>
          <w:spacing w:val="-3"/>
          <w:sz w:val="22"/>
          <w:szCs w:val="22"/>
        </w:rPr>
        <w:t>每日轻体力劳动、重体力劳动的能量推荐摄入量分别为11.7～13.</w:t>
      </w:r>
      <w:r>
        <w:rPr>
          <w:rFonts w:ascii="宋体" w:eastAsia="宋体" w:hAnsi="宋体" w:cs="宋体"/>
          <w:spacing w:val="-4"/>
          <w:sz w:val="22"/>
          <w:szCs w:val="22"/>
        </w:rPr>
        <w:t>8</w:t>
      </w:r>
      <w:r>
        <w:rPr>
          <w:rFonts w:ascii="宋体" w:eastAsia="宋体" w:hAnsi="宋体" w:cs="宋体"/>
          <w:spacing w:val="-3"/>
          <w:sz w:val="22"/>
          <w:szCs w:val="22"/>
        </w:rPr>
        <w:t>MJ</w:t>
      </w:r>
      <w:r>
        <w:rPr>
          <w:rFonts w:ascii="宋体" w:eastAsia="宋体" w:hAnsi="宋体" w:cs="宋体"/>
          <w:spacing w:val="-4"/>
          <w:sz w:val="22"/>
          <w:szCs w:val="22"/>
        </w:rPr>
        <w:t>(2800~</w:t>
      </w:r>
      <w:r>
        <w:rPr>
          <w:rFonts w:ascii="宋体" w:eastAsia="宋体" w:hAnsi="宋体" w:cs="宋体"/>
          <w:sz w:val="22"/>
          <w:szCs w:val="22"/>
        </w:rPr>
        <w:t xml:space="preserve">  </w:t>
      </w:r>
      <w:r>
        <w:rPr>
          <w:rFonts w:ascii="宋体" w:eastAsia="宋体" w:hAnsi="宋体" w:cs="宋体"/>
          <w:spacing w:val="-3"/>
          <w:sz w:val="22"/>
          <w:szCs w:val="22"/>
        </w:rPr>
        <w:t>3300kcal)</w:t>
      </w:r>
      <w:r>
        <w:rPr>
          <w:rFonts w:ascii="宋体" w:eastAsia="宋体" w:hAnsi="宋体" w:cs="宋体"/>
          <w:spacing w:val="-56"/>
          <w:sz w:val="22"/>
          <w:szCs w:val="22"/>
        </w:rPr>
        <w:t xml:space="preserve"> </w:t>
      </w:r>
      <w:r>
        <w:rPr>
          <w:rFonts w:ascii="宋体" w:eastAsia="宋体" w:hAnsi="宋体" w:cs="宋体"/>
          <w:spacing w:val="-3"/>
          <w:sz w:val="22"/>
          <w:szCs w:val="22"/>
        </w:rPr>
        <w:t>和15.9～18.4MJ(380</w:t>
      </w:r>
      <w:r>
        <w:rPr>
          <w:rFonts w:ascii="宋体" w:eastAsia="宋体" w:hAnsi="宋体" w:cs="宋体"/>
          <w:spacing w:val="-4"/>
          <w:sz w:val="22"/>
          <w:szCs w:val="22"/>
        </w:rPr>
        <w:t>0～4400</w:t>
      </w:r>
      <w:r>
        <w:rPr>
          <w:rFonts w:ascii="宋体" w:eastAsia="宋体" w:hAnsi="宋体" w:cs="宋体"/>
          <w:spacing w:val="-3"/>
          <w:sz w:val="22"/>
          <w:szCs w:val="22"/>
        </w:rPr>
        <w:t>kcal</w:t>
      </w:r>
      <w:r>
        <w:rPr>
          <w:rFonts w:ascii="宋体" w:eastAsia="宋体" w:hAnsi="宋体" w:cs="宋体"/>
          <w:spacing w:val="-4"/>
          <w:sz w:val="22"/>
          <w:szCs w:val="22"/>
        </w:rPr>
        <w:t>);</w:t>
      </w:r>
      <w:r>
        <w:rPr>
          <w:rFonts w:ascii="宋体" w:eastAsia="宋体" w:hAnsi="宋体" w:cs="宋体"/>
          <w:spacing w:val="12"/>
          <w:sz w:val="22"/>
          <w:szCs w:val="22"/>
        </w:rPr>
        <w:t xml:space="preserve"> </w:t>
      </w:r>
      <w:r>
        <w:rPr>
          <w:rFonts w:ascii="宋体" w:eastAsia="宋体" w:hAnsi="宋体" w:cs="宋体"/>
          <w:spacing w:val="-4"/>
          <w:sz w:val="22"/>
          <w:szCs w:val="22"/>
        </w:rPr>
        <w:t>碳水化合物、脂肪、蛋白质的</w:t>
      </w:r>
      <w:r>
        <w:rPr>
          <w:rFonts w:ascii="宋体" w:eastAsia="宋体" w:hAnsi="宋体" w:cs="宋体"/>
          <w:sz w:val="22"/>
          <w:szCs w:val="22"/>
        </w:rPr>
        <w:t xml:space="preserve"> </w:t>
      </w:r>
      <w:r>
        <w:rPr>
          <w:rFonts w:ascii="宋体" w:eastAsia="宋体" w:hAnsi="宋体" w:cs="宋体"/>
          <w:spacing w:val="27"/>
          <w:sz w:val="22"/>
          <w:szCs w:val="22"/>
        </w:rPr>
        <w:t>适宜比为5:1</w:t>
      </w:r>
      <w:r>
        <w:rPr>
          <w:rFonts w:ascii="宋体" w:eastAsia="宋体" w:hAnsi="宋体" w:cs="宋体"/>
          <w:spacing w:val="-66"/>
          <w:sz w:val="22"/>
          <w:szCs w:val="22"/>
        </w:rPr>
        <w:t xml:space="preserve"> </w:t>
      </w:r>
      <w:r>
        <w:rPr>
          <w:rFonts w:ascii="宋体" w:eastAsia="宋体" w:hAnsi="宋体" w:cs="宋体"/>
          <w:spacing w:val="27"/>
          <w:sz w:val="22"/>
          <w:szCs w:val="22"/>
        </w:rPr>
        <w:t>.</w:t>
      </w:r>
      <w:r>
        <w:rPr>
          <w:rFonts w:ascii="宋体" w:eastAsia="宋体" w:hAnsi="宋体" w:cs="宋体"/>
          <w:spacing w:val="-55"/>
          <w:sz w:val="22"/>
          <w:szCs w:val="22"/>
        </w:rPr>
        <w:t xml:space="preserve"> </w:t>
      </w:r>
      <w:r>
        <w:rPr>
          <w:rFonts w:ascii="宋体" w:eastAsia="宋体" w:hAnsi="宋体" w:cs="宋体"/>
          <w:spacing w:val="27"/>
          <w:sz w:val="22"/>
          <w:szCs w:val="22"/>
        </w:rPr>
        <w:t>1:1,占总能量的比例分</w:t>
      </w:r>
      <w:r>
        <w:rPr>
          <w:rFonts w:ascii="宋体" w:eastAsia="宋体" w:hAnsi="宋体" w:cs="宋体"/>
          <w:spacing w:val="26"/>
          <w:sz w:val="22"/>
          <w:szCs w:val="22"/>
        </w:rPr>
        <w:t>别为55%～65%、25%～30%和</w:t>
      </w:r>
      <w:r>
        <w:rPr>
          <w:rFonts w:ascii="宋体" w:eastAsia="宋体" w:hAnsi="宋体" w:cs="宋体"/>
          <w:sz w:val="22"/>
          <w:szCs w:val="22"/>
        </w:rPr>
        <w:t xml:space="preserve"> </w:t>
      </w:r>
      <w:r>
        <w:rPr>
          <w:rFonts w:ascii="宋体" w:eastAsia="宋体" w:hAnsi="宋体" w:cs="宋体"/>
          <w:spacing w:val="-6"/>
          <w:sz w:val="22"/>
          <w:szCs w:val="22"/>
        </w:rPr>
        <w:t>12%～13%。</w:t>
      </w:r>
    </w:p>
    <w:p w:rsidR="00EA40A3" w:rsidRDefault="00E86C16">
      <w:pPr>
        <w:spacing w:before="46" w:line="219" w:lineRule="auto"/>
        <w:rPr>
          <w:rFonts w:ascii="宋体" w:eastAsia="宋体" w:hAnsi="宋体" w:cs="宋体"/>
          <w:sz w:val="22"/>
          <w:szCs w:val="22"/>
        </w:rPr>
      </w:pPr>
      <w:r>
        <w:rPr>
          <w:rFonts w:ascii="宋体" w:eastAsia="宋体" w:hAnsi="宋体" w:cs="宋体"/>
          <w:spacing w:val="-6"/>
          <w:sz w:val="22"/>
          <w:szCs w:val="22"/>
        </w:rPr>
        <w:t>2)矿物质和维生素</w:t>
      </w:r>
    </w:p>
    <w:p w:rsidR="00EA40A3" w:rsidRDefault="00E86C16">
      <w:pPr>
        <w:spacing w:before="78" w:line="241" w:lineRule="auto"/>
        <w:ind w:right="44" w:firstLine="430"/>
        <w:jc w:val="both"/>
        <w:rPr>
          <w:rFonts w:ascii="宋体" w:eastAsia="宋体" w:hAnsi="宋体" w:cs="宋体"/>
          <w:sz w:val="22"/>
          <w:szCs w:val="22"/>
        </w:rPr>
      </w:pPr>
      <w:r>
        <w:rPr>
          <w:rFonts w:ascii="宋体" w:eastAsia="宋体" w:hAnsi="宋体" w:cs="宋体"/>
          <w:spacing w:val="-12"/>
          <w:sz w:val="22"/>
          <w:szCs w:val="22"/>
        </w:rPr>
        <w:t>高原作业人员应注意矿物质和维生素的补充。钙、铁、锌的每</w:t>
      </w:r>
      <w:r>
        <w:rPr>
          <w:rFonts w:ascii="宋体" w:eastAsia="宋体" w:hAnsi="宋体" w:cs="宋体"/>
          <w:spacing w:val="-13"/>
          <w:sz w:val="22"/>
          <w:szCs w:val="22"/>
        </w:rPr>
        <w:t>日推荐摄入量</w:t>
      </w:r>
      <w:r>
        <w:rPr>
          <w:rFonts w:ascii="宋体" w:eastAsia="宋体" w:hAnsi="宋体" w:cs="宋体"/>
          <w:sz w:val="22"/>
          <w:szCs w:val="22"/>
        </w:rPr>
        <w:t xml:space="preserve"> </w:t>
      </w:r>
      <w:r>
        <w:rPr>
          <w:rFonts w:ascii="宋体" w:eastAsia="宋体" w:hAnsi="宋体" w:cs="宋体"/>
          <w:spacing w:val="11"/>
          <w:sz w:val="22"/>
          <w:szCs w:val="22"/>
        </w:rPr>
        <w:t>分为800</w:t>
      </w:r>
      <w:r>
        <w:rPr>
          <w:rFonts w:ascii="宋体" w:eastAsia="宋体" w:hAnsi="宋体" w:cs="宋体"/>
          <w:sz w:val="22"/>
          <w:szCs w:val="22"/>
        </w:rPr>
        <w:t>mg</w:t>
      </w:r>
      <w:r>
        <w:rPr>
          <w:rFonts w:ascii="宋体" w:eastAsia="宋体" w:hAnsi="宋体" w:cs="宋体"/>
          <w:spacing w:val="11"/>
          <w:sz w:val="22"/>
          <w:szCs w:val="22"/>
        </w:rPr>
        <w:t>、25</w:t>
      </w:r>
      <w:r>
        <w:rPr>
          <w:rFonts w:ascii="宋体" w:eastAsia="宋体" w:hAnsi="宋体" w:cs="宋体"/>
          <w:sz w:val="22"/>
          <w:szCs w:val="22"/>
        </w:rPr>
        <w:t>mg</w:t>
      </w:r>
      <w:r>
        <w:rPr>
          <w:rFonts w:ascii="宋体" w:eastAsia="宋体" w:hAnsi="宋体" w:cs="宋体"/>
          <w:spacing w:val="62"/>
          <w:sz w:val="22"/>
          <w:szCs w:val="22"/>
        </w:rPr>
        <w:t xml:space="preserve"> </w:t>
      </w:r>
      <w:r>
        <w:rPr>
          <w:rFonts w:ascii="宋体" w:eastAsia="宋体" w:hAnsi="宋体" w:cs="宋体"/>
          <w:spacing w:val="11"/>
          <w:sz w:val="22"/>
          <w:szCs w:val="22"/>
        </w:rPr>
        <w:t>和20</w:t>
      </w:r>
      <w:r>
        <w:rPr>
          <w:rFonts w:ascii="宋体" w:eastAsia="宋体" w:hAnsi="宋体" w:cs="宋体"/>
          <w:sz w:val="22"/>
          <w:szCs w:val="22"/>
        </w:rPr>
        <w:t>mg</w:t>
      </w:r>
      <w:r>
        <w:rPr>
          <w:rFonts w:ascii="宋体" w:eastAsia="宋体" w:hAnsi="宋体" w:cs="宋体"/>
          <w:spacing w:val="11"/>
          <w:sz w:val="22"/>
          <w:szCs w:val="22"/>
        </w:rPr>
        <w:t>;</w:t>
      </w:r>
      <w:r>
        <w:rPr>
          <w:rFonts w:ascii="宋体" w:eastAsia="宋体" w:hAnsi="宋体" w:cs="宋体"/>
          <w:spacing w:val="42"/>
          <w:sz w:val="22"/>
          <w:szCs w:val="22"/>
        </w:rPr>
        <w:t xml:space="preserve"> </w:t>
      </w:r>
      <w:r>
        <w:rPr>
          <w:rFonts w:ascii="宋体" w:eastAsia="宋体" w:hAnsi="宋体" w:cs="宋体"/>
          <w:spacing w:val="11"/>
          <w:sz w:val="22"/>
          <w:szCs w:val="22"/>
        </w:rPr>
        <w:t>各种维生素的每日推荐摄</w:t>
      </w:r>
      <w:r>
        <w:rPr>
          <w:rFonts w:ascii="宋体" w:eastAsia="宋体" w:hAnsi="宋体" w:cs="宋体"/>
          <w:spacing w:val="10"/>
          <w:sz w:val="22"/>
          <w:szCs w:val="22"/>
        </w:rPr>
        <w:t>入量为：维生素</w:t>
      </w:r>
      <w:r>
        <w:rPr>
          <w:rFonts w:ascii="宋体" w:eastAsia="宋体" w:hAnsi="宋体" w:cs="宋体"/>
          <w:spacing w:val="-60"/>
          <w:sz w:val="22"/>
          <w:szCs w:val="22"/>
        </w:rPr>
        <w:t xml:space="preserve"> </w:t>
      </w:r>
      <w:r>
        <w:rPr>
          <w:rFonts w:ascii="宋体" w:eastAsia="宋体" w:hAnsi="宋体" w:cs="宋体"/>
          <w:spacing w:val="10"/>
          <w:sz w:val="22"/>
          <w:szCs w:val="22"/>
        </w:rPr>
        <w:t>A</w:t>
      </w:r>
      <w:r>
        <w:rPr>
          <w:rFonts w:ascii="宋体" w:eastAsia="宋体" w:hAnsi="宋体" w:cs="宋体"/>
          <w:sz w:val="22"/>
          <w:szCs w:val="22"/>
        </w:rPr>
        <w:t xml:space="preserve">  </w:t>
      </w:r>
      <w:r>
        <w:rPr>
          <w:rFonts w:ascii="宋体" w:eastAsia="宋体" w:hAnsi="宋体" w:cs="宋体"/>
          <w:spacing w:val="-6"/>
          <w:sz w:val="22"/>
          <w:szCs w:val="22"/>
        </w:rPr>
        <w:t>1000μgRE、</w:t>
      </w:r>
      <w:r>
        <w:rPr>
          <w:rFonts w:ascii="宋体" w:eastAsia="宋体" w:hAnsi="宋体" w:cs="宋体"/>
          <w:spacing w:val="-27"/>
          <w:sz w:val="22"/>
          <w:szCs w:val="22"/>
        </w:rPr>
        <w:t xml:space="preserve"> </w:t>
      </w:r>
      <w:r>
        <w:rPr>
          <w:rFonts w:ascii="宋体" w:eastAsia="宋体" w:hAnsi="宋体" w:cs="宋体"/>
          <w:spacing w:val="-6"/>
          <w:sz w:val="22"/>
          <w:szCs w:val="22"/>
        </w:rPr>
        <w:t>硫胺素2.0～2.6mg、</w:t>
      </w:r>
      <w:r>
        <w:rPr>
          <w:rFonts w:ascii="宋体" w:eastAsia="宋体" w:hAnsi="宋体" w:cs="宋体"/>
          <w:spacing w:val="1"/>
          <w:sz w:val="22"/>
          <w:szCs w:val="22"/>
        </w:rPr>
        <w:t xml:space="preserve"> </w:t>
      </w:r>
      <w:r>
        <w:rPr>
          <w:rFonts w:ascii="宋体" w:eastAsia="宋体" w:hAnsi="宋体" w:cs="宋体"/>
          <w:spacing w:val="-6"/>
          <w:sz w:val="22"/>
          <w:szCs w:val="22"/>
        </w:rPr>
        <w:t>核黄素21.8～2.4</w:t>
      </w:r>
      <w:r>
        <w:rPr>
          <w:rFonts w:ascii="宋体" w:eastAsia="宋体" w:hAnsi="宋体" w:cs="宋体"/>
          <w:spacing w:val="12"/>
          <w:sz w:val="22"/>
          <w:szCs w:val="22"/>
        </w:rPr>
        <w:t xml:space="preserve"> </w:t>
      </w:r>
      <w:r>
        <w:rPr>
          <w:rFonts w:ascii="宋体" w:eastAsia="宋体" w:hAnsi="宋体" w:cs="宋体"/>
          <w:spacing w:val="-6"/>
          <w:sz w:val="22"/>
          <w:szCs w:val="22"/>
        </w:rPr>
        <w:t>mg、</w:t>
      </w:r>
      <w:r>
        <w:rPr>
          <w:rFonts w:ascii="宋体" w:eastAsia="宋体" w:hAnsi="宋体" w:cs="宋体"/>
          <w:spacing w:val="3"/>
          <w:sz w:val="22"/>
          <w:szCs w:val="22"/>
        </w:rPr>
        <w:t xml:space="preserve"> </w:t>
      </w:r>
      <w:r>
        <w:rPr>
          <w:rFonts w:ascii="宋体" w:eastAsia="宋体" w:hAnsi="宋体" w:cs="宋体"/>
          <w:spacing w:val="-6"/>
          <w:sz w:val="22"/>
          <w:szCs w:val="22"/>
        </w:rPr>
        <w:t>尼克酸20～25</w:t>
      </w:r>
      <w:r>
        <w:rPr>
          <w:rFonts w:ascii="宋体" w:eastAsia="宋体" w:hAnsi="宋体" w:cs="宋体"/>
          <w:spacing w:val="17"/>
          <w:sz w:val="22"/>
          <w:szCs w:val="22"/>
        </w:rPr>
        <w:t xml:space="preserve"> </w:t>
      </w:r>
      <w:r>
        <w:rPr>
          <w:rFonts w:ascii="宋体" w:eastAsia="宋体" w:hAnsi="宋体" w:cs="宋体"/>
          <w:spacing w:val="-6"/>
          <w:sz w:val="22"/>
          <w:szCs w:val="22"/>
        </w:rPr>
        <w:t>mg、</w:t>
      </w:r>
      <w:r>
        <w:rPr>
          <w:rFonts w:ascii="宋体" w:eastAsia="宋体" w:hAnsi="宋体" w:cs="宋体"/>
          <w:sz w:val="22"/>
          <w:szCs w:val="22"/>
        </w:rPr>
        <w:t xml:space="preserve"> </w:t>
      </w:r>
      <w:r>
        <w:rPr>
          <w:rFonts w:ascii="宋体" w:eastAsia="宋体" w:hAnsi="宋体" w:cs="宋体"/>
          <w:spacing w:val="4"/>
          <w:sz w:val="22"/>
          <w:szCs w:val="22"/>
        </w:rPr>
        <w:t>维生素C80～150</w:t>
      </w:r>
      <w:r>
        <w:rPr>
          <w:rFonts w:ascii="宋体" w:eastAsia="宋体" w:hAnsi="宋体" w:cs="宋体"/>
          <w:sz w:val="22"/>
          <w:szCs w:val="22"/>
        </w:rPr>
        <w:t>mg</w:t>
      </w:r>
      <w:r>
        <w:rPr>
          <w:rFonts w:ascii="宋体" w:eastAsia="宋体" w:hAnsi="宋体" w:cs="宋体"/>
          <w:spacing w:val="4"/>
          <w:sz w:val="22"/>
          <w:szCs w:val="22"/>
        </w:rPr>
        <w:t>。</w:t>
      </w:r>
    </w:p>
    <w:p w:rsidR="00EA40A3" w:rsidRDefault="00EA40A3">
      <w:pPr>
        <w:sectPr w:rsidR="00EA40A3">
          <w:footerReference w:type="default" r:id="rId290"/>
          <w:pgSz w:w="9220" w:h="13360"/>
          <w:pgMar w:top="400" w:right="1010" w:bottom="1243" w:left="849" w:header="0" w:footer="996" w:gutter="0"/>
          <w:cols w:space="720"/>
        </w:sectPr>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86C16">
      <w:pPr>
        <w:spacing w:before="72" w:line="221" w:lineRule="auto"/>
        <w:ind w:left="3"/>
        <w:outlineLvl w:val="6"/>
        <w:rPr>
          <w:rFonts w:ascii="黑体" w:eastAsia="黑体" w:hAnsi="黑体" w:cs="黑体"/>
          <w:sz w:val="22"/>
          <w:szCs w:val="22"/>
        </w:rPr>
      </w:pPr>
      <w:bookmarkStart w:id="85" w:name="_bookmark89"/>
      <w:bookmarkEnd w:id="85"/>
      <w:r>
        <w:rPr>
          <w:rFonts w:ascii="黑体" w:eastAsia="黑体" w:hAnsi="黑体" w:cs="黑体"/>
          <w:b/>
          <w:bCs/>
          <w:spacing w:val="10"/>
          <w:sz w:val="22"/>
          <w:szCs w:val="22"/>
        </w:rPr>
        <w:t>10.7.4</w:t>
      </w:r>
      <w:r>
        <w:rPr>
          <w:rFonts w:ascii="黑体" w:eastAsia="黑体" w:hAnsi="黑体" w:cs="黑体"/>
          <w:spacing w:val="23"/>
          <w:sz w:val="22"/>
          <w:szCs w:val="22"/>
        </w:rPr>
        <w:t xml:space="preserve">   </w:t>
      </w:r>
      <w:r>
        <w:rPr>
          <w:rFonts w:ascii="黑体" w:eastAsia="黑体" w:hAnsi="黑体" w:cs="黑体"/>
          <w:b/>
          <w:bCs/>
          <w:spacing w:val="10"/>
          <w:sz w:val="22"/>
          <w:szCs w:val="22"/>
        </w:rPr>
        <w:t>职业性接触有毒、有害物质人群的营养</w:t>
      </w:r>
    </w:p>
    <w:p w:rsidR="00EA40A3" w:rsidRDefault="00E86C16">
      <w:pPr>
        <w:spacing w:before="181" w:line="247" w:lineRule="auto"/>
        <w:ind w:firstLine="419"/>
        <w:jc w:val="both"/>
        <w:rPr>
          <w:rFonts w:ascii="宋体" w:eastAsia="宋体" w:hAnsi="宋体" w:cs="宋体"/>
          <w:sz w:val="22"/>
          <w:szCs w:val="22"/>
        </w:rPr>
      </w:pPr>
      <w:r>
        <w:rPr>
          <w:rFonts w:ascii="宋体" w:eastAsia="宋体" w:hAnsi="宋体" w:cs="宋体"/>
          <w:spacing w:val="-13"/>
          <w:sz w:val="22"/>
          <w:szCs w:val="22"/>
        </w:rPr>
        <w:t>职业接触有毒、有害物质种类繁多，其中有许多是有毒、有害的化学物质如</w:t>
      </w:r>
      <w:r>
        <w:rPr>
          <w:rFonts w:ascii="宋体" w:eastAsia="宋体" w:hAnsi="宋体" w:cs="宋体"/>
          <w:spacing w:val="1"/>
          <w:sz w:val="22"/>
          <w:szCs w:val="22"/>
        </w:rPr>
        <w:t xml:space="preserve">  </w:t>
      </w:r>
      <w:r>
        <w:rPr>
          <w:rFonts w:ascii="宋体" w:eastAsia="宋体" w:hAnsi="宋体" w:cs="宋体"/>
          <w:spacing w:val="-13"/>
          <w:sz w:val="22"/>
          <w:szCs w:val="22"/>
        </w:rPr>
        <w:t>农药、粉尘、铅、汞、三氯甲烷、四氯化碳、苯、苯胺、硝基苯等。这些化学毒</w:t>
      </w:r>
      <w:r>
        <w:rPr>
          <w:rFonts w:ascii="宋体" w:eastAsia="宋体" w:hAnsi="宋体" w:cs="宋体"/>
          <w:spacing w:val="2"/>
          <w:sz w:val="22"/>
          <w:szCs w:val="22"/>
        </w:rPr>
        <w:t xml:space="preserve">  </w:t>
      </w:r>
      <w:r>
        <w:rPr>
          <w:rFonts w:ascii="宋体" w:eastAsia="宋体" w:hAnsi="宋体" w:cs="宋体"/>
          <w:spacing w:val="-13"/>
          <w:sz w:val="22"/>
          <w:szCs w:val="22"/>
        </w:rPr>
        <w:t>物长期、少量进入机体，将会引起各种毒性反应，破坏机体的生理机能，干扰营</w:t>
      </w:r>
      <w:r>
        <w:rPr>
          <w:rFonts w:ascii="宋体" w:eastAsia="宋体" w:hAnsi="宋体" w:cs="宋体"/>
          <w:spacing w:val="3"/>
          <w:sz w:val="22"/>
          <w:szCs w:val="22"/>
        </w:rPr>
        <w:t xml:space="preserve">  </w:t>
      </w:r>
      <w:r>
        <w:rPr>
          <w:rFonts w:ascii="宋体" w:eastAsia="宋体" w:hAnsi="宋体" w:cs="宋体"/>
          <w:spacing w:val="-10"/>
          <w:sz w:val="22"/>
          <w:szCs w:val="22"/>
        </w:rPr>
        <w:t>养素在体内的代谢，甚至发生特定靶器官或靶组织的严重病变，危害人体健康</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1"/>
          <w:sz w:val="22"/>
          <w:szCs w:val="22"/>
        </w:rPr>
        <w:t>而机体的营养状况与化学毒物的作用及其结果均有密切联系。合理的</w:t>
      </w:r>
      <w:r>
        <w:rPr>
          <w:rFonts w:ascii="宋体" w:eastAsia="宋体" w:hAnsi="宋体" w:cs="宋体"/>
          <w:spacing w:val="-12"/>
          <w:sz w:val="22"/>
          <w:szCs w:val="22"/>
        </w:rPr>
        <w:t>营养措施，</w:t>
      </w:r>
      <w:r>
        <w:rPr>
          <w:rFonts w:ascii="宋体" w:eastAsia="宋体" w:hAnsi="宋体" w:cs="宋体"/>
          <w:sz w:val="22"/>
          <w:szCs w:val="22"/>
        </w:rPr>
        <w:t xml:space="preserve"> </w:t>
      </w:r>
      <w:r>
        <w:rPr>
          <w:rFonts w:ascii="宋体" w:eastAsia="宋体" w:hAnsi="宋体" w:cs="宋体"/>
          <w:spacing w:val="-13"/>
          <w:sz w:val="22"/>
          <w:szCs w:val="22"/>
        </w:rPr>
        <w:t>能提高机体各系统对毒物的耐受和抵抗力，增强对有毒、有害物质的代谢解毒能</w:t>
      </w:r>
      <w:r>
        <w:rPr>
          <w:rFonts w:ascii="宋体" w:eastAsia="宋体" w:hAnsi="宋体" w:cs="宋体"/>
          <w:spacing w:val="2"/>
          <w:sz w:val="22"/>
          <w:szCs w:val="22"/>
        </w:rPr>
        <w:t xml:space="preserve">  </w:t>
      </w:r>
      <w:r>
        <w:rPr>
          <w:rFonts w:ascii="宋体" w:eastAsia="宋体" w:hAnsi="宋体" w:cs="宋体"/>
          <w:spacing w:val="-14"/>
          <w:sz w:val="22"/>
          <w:szCs w:val="22"/>
        </w:rPr>
        <w:t>力，减少毒物吸收并促使其转化为无毒物质排出体外，利于康复和减轻症状。</w:t>
      </w:r>
    </w:p>
    <w:p w:rsidR="00EA40A3" w:rsidRDefault="00E86C16">
      <w:pPr>
        <w:spacing w:before="236" w:line="220"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37"/>
          <w:sz w:val="22"/>
          <w:szCs w:val="22"/>
        </w:rPr>
        <w:t xml:space="preserve"> </w:t>
      </w:r>
      <w:r>
        <w:rPr>
          <w:rFonts w:ascii="仿宋" w:eastAsia="仿宋" w:hAnsi="仿宋" w:cs="仿宋"/>
          <w:spacing w:val="12"/>
          <w:sz w:val="22"/>
          <w:szCs w:val="22"/>
        </w:rPr>
        <w:t>铅作业人员的营养</w:t>
      </w:r>
    </w:p>
    <w:p w:rsidR="00EA40A3" w:rsidRDefault="00E86C16">
      <w:pPr>
        <w:spacing w:before="199" w:line="246" w:lineRule="auto"/>
        <w:ind w:right="81" w:firstLine="419"/>
        <w:jc w:val="both"/>
        <w:rPr>
          <w:rFonts w:ascii="宋体" w:eastAsia="宋体" w:hAnsi="宋体" w:cs="宋体"/>
          <w:sz w:val="22"/>
          <w:szCs w:val="22"/>
        </w:rPr>
      </w:pPr>
      <w:r>
        <w:rPr>
          <w:rFonts w:ascii="宋体" w:eastAsia="宋体" w:hAnsi="宋体" w:cs="宋体"/>
          <w:spacing w:val="-13"/>
          <w:sz w:val="22"/>
          <w:szCs w:val="22"/>
        </w:rPr>
        <w:t>铅作业常见于冶金、印刷、玻璃、蓄电池等工业。铅及其化合物均具有一定</w:t>
      </w:r>
      <w:r>
        <w:rPr>
          <w:rFonts w:ascii="宋体" w:eastAsia="宋体" w:hAnsi="宋体" w:cs="宋体"/>
          <w:spacing w:val="1"/>
          <w:sz w:val="22"/>
          <w:szCs w:val="22"/>
        </w:rPr>
        <w:t xml:space="preserve"> </w:t>
      </w:r>
      <w:r>
        <w:rPr>
          <w:rFonts w:ascii="宋体" w:eastAsia="宋体" w:hAnsi="宋体" w:cs="宋体"/>
          <w:spacing w:val="-14"/>
          <w:sz w:val="22"/>
          <w:szCs w:val="22"/>
        </w:rPr>
        <w:t>毒性，在接触铅作业环境下，铅经消化道、呼吸道进入人体后，作用于全身，尤</w:t>
      </w:r>
      <w:r>
        <w:rPr>
          <w:rFonts w:ascii="宋体" w:eastAsia="宋体" w:hAnsi="宋体" w:cs="宋体"/>
          <w:spacing w:val="17"/>
          <w:sz w:val="22"/>
          <w:szCs w:val="22"/>
        </w:rPr>
        <w:t xml:space="preserve"> </w:t>
      </w:r>
      <w:r>
        <w:rPr>
          <w:rFonts w:ascii="宋体" w:eastAsia="宋体" w:hAnsi="宋体" w:cs="宋体"/>
          <w:spacing w:val="-13"/>
          <w:sz w:val="22"/>
          <w:szCs w:val="22"/>
        </w:rPr>
        <w:t>其对神经系统和造血系统产生危害。主要病变是：阻滞血红蛋白的合成过程，引</w:t>
      </w:r>
      <w:r>
        <w:rPr>
          <w:rFonts w:ascii="宋体" w:eastAsia="宋体" w:hAnsi="宋体" w:cs="宋体"/>
          <w:spacing w:val="9"/>
          <w:sz w:val="22"/>
          <w:szCs w:val="22"/>
        </w:rPr>
        <w:t xml:space="preserve"> </w:t>
      </w:r>
      <w:r>
        <w:rPr>
          <w:rFonts w:ascii="宋体" w:eastAsia="宋体" w:hAnsi="宋体" w:cs="宋体"/>
          <w:spacing w:val="-12"/>
          <w:sz w:val="22"/>
          <w:szCs w:val="22"/>
        </w:rPr>
        <w:t>起贫血；对植物神经及酶系统作用，引起平滑肌痉挛</w:t>
      </w:r>
      <w:r>
        <w:rPr>
          <w:rFonts w:ascii="宋体" w:eastAsia="宋体" w:hAnsi="宋体" w:cs="宋体"/>
          <w:spacing w:val="-13"/>
          <w:sz w:val="22"/>
          <w:szCs w:val="22"/>
        </w:rPr>
        <w:t>；直接损害肝细胞，引起肝</w:t>
      </w:r>
      <w:r>
        <w:rPr>
          <w:rFonts w:ascii="宋体" w:eastAsia="宋体" w:hAnsi="宋体" w:cs="宋体"/>
          <w:sz w:val="22"/>
          <w:szCs w:val="22"/>
        </w:rPr>
        <w:t xml:space="preserve"> </w:t>
      </w:r>
      <w:r>
        <w:rPr>
          <w:rFonts w:ascii="宋体" w:eastAsia="宋体" w:hAnsi="宋体" w:cs="宋体"/>
          <w:spacing w:val="-16"/>
          <w:sz w:val="22"/>
          <w:szCs w:val="22"/>
        </w:rPr>
        <w:t>脏病变。</w:t>
      </w:r>
    </w:p>
    <w:p w:rsidR="00EA40A3" w:rsidRDefault="00E86C16">
      <w:pPr>
        <w:spacing w:before="57" w:line="250" w:lineRule="auto"/>
        <w:ind w:firstLine="419"/>
        <w:jc w:val="both"/>
        <w:rPr>
          <w:rFonts w:ascii="宋体" w:eastAsia="宋体" w:hAnsi="宋体" w:cs="宋体"/>
          <w:sz w:val="22"/>
          <w:szCs w:val="22"/>
        </w:rPr>
      </w:pPr>
      <w:r>
        <w:rPr>
          <w:rFonts w:ascii="宋体" w:eastAsia="宋体" w:hAnsi="宋体" w:cs="宋体"/>
          <w:spacing w:val="-12"/>
          <w:sz w:val="22"/>
          <w:szCs w:val="22"/>
        </w:rPr>
        <w:t>铅作业人员的饮食原则，应参照驱除体内的铅、减少铅</w:t>
      </w:r>
      <w:r>
        <w:rPr>
          <w:rFonts w:ascii="宋体" w:eastAsia="宋体" w:hAnsi="宋体" w:cs="宋体"/>
          <w:spacing w:val="-13"/>
          <w:sz w:val="22"/>
          <w:szCs w:val="22"/>
        </w:rPr>
        <w:t>在肠道的吸收，修补</w:t>
      </w:r>
      <w:r>
        <w:rPr>
          <w:rFonts w:ascii="宋体" w:eastAsia="宋体" w:hAnsi="宋体" w:cs="宋体"/>
          <w:sz w:val="22"/>
          <w:szCs w:val="22"/>
        </w:rPr>
        <w:t xml:space="preserve"> </w:t>
      </w:r>
      <w:r>
        <w:rPr>
          <w:rFonts w:ascii="宋体" w:eastAsia="宋体" w:hAnsi="宋体" w:cs="宋体"/>
          <w:spacing w:val="-10"/>
          <w:sz w:val="22"/>
          <w:szCs w:val="22"/>
        </w:rPr>
        <w:t>铅对机体损害的需要，提供合理营养，增强机体免疫力，减少铅对机体的损害</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2"/>
          <w:sz w:val="22"/>
          <w:szCs w:val="22"/>
        </w:rPr>
        <w:t>首先注意补充优质蛋白，尤其是含硫氨基酸丰富的优</w:t>
      </w:r>
      <w:r>
        <w:rPr>
          <w:rFonts w:ascii="宋体" w:eastAsia="宋体" w:hAnsi="宋体" w:cs="宋体"/>
          <w:spacing w:val="-13"/>
          <w:sz w:val="22"/>
          <w:szCs w:val="22"/>
        </w:rPr>
        <w:t>质蛋白质，有利于增强机体</w:t>
      </w:r>
      <w:r>
        <w:rPr>
          <w:rFonts w:ascii="宋体" w:eastAsia="宋体" w:hAnsi="宋体" w:cs="宋体"/>
          <w:sz w:val="22"/>
          <w:szCs w:val="22"/>
        </w:rPr>
        <w:t xml:space="preserve"> 的解毒能力并促进血红蛋白的合成。建议蛋白质适宜的摄入量应占总</w:t>
      </w:r>
      <w:r>
        <w:rPr>
          <w:rFonts w:ascii="宋体" w:eastAsia="宋体" w:hAnsi="宋体" w:cs="宋体"/>
          <w:spacing w:val="-1"/>
          <w:sz w:val="22"/>
          <w:szCs w:val="22"/>
        </w:rPr>
        <w:t>能量的</w:t>
      </w:r>
      <w:r>
        <w:rPr>
          <w:rFonts w:ascii="宋体" w:eastAsia="宋体" w:hAnsi="宋体" w:cs="宋体"/>
          <w:sz w:val="22"/>
          <w:szCs w:val="22"/>
        </w:rPr>
        <w:t xml:space="preserve">  </w:t>
      </w:r>
      <w:r>
        <w:rPr>
          <w:rFonts w:ascii="宋体" w:eastAsia="宋体" w:hAnsi="宋体" w:cs="宋体"/>
          <w:spacing w:val="9"/>
          <w:sz w:val="22"/>
          <w:szCs w:val="22"/>
        </w:rPr>
        <w:t>14%～15%,其中有50%为优质蛋白质；其次要调整饮食中钙磷比例(即呈碱</w:t>
      </w:r>
      <w:r>
        <w:rPr>
          <w:rFonts w:ascii="宋体" w:eastAsia="宋体" w:hAnsi="宋体" w:cs="宋体"/>
          <w:spacing w:val="4"/>
          <w:sz w:val="22"/>
          <w:szCs w:val="22"/>
        </w:rPr>
        <w:t xml:space="preserve"> </w:t>
      </w:r>
      <w:r>
        <w:rPr>
          <w:rFonts w:ascii="宋体" w:eastAsia="宋体" w:hAnsi="宋体" w:cs="宋体"/>
          <w:spacing w:val="-7"/>
          <w:sz w:val="22"/>
          <w:szCs w:val="22"/>
        </w:rPr>
        <w:t>食品及呈酸食品的比例),膳食为高磷低钙的呈酸食品，如谷类、豆类、肉类等</w:t>
      </w:r>
      <w:r>
        <w:rPr>
          <w:rFonts w:ascii="宋体" w:eastAsia="宋体" w:hAnsi="宋体" w:cs="宋体"/>
          <w:spacing w:val="6"/>
          <w:sz w:val="22"/>
          <w:szCs w:val="22"/>
        </w:rPr>
        <w:t xml:space="preserve">  </w:t>
      </w:r>
      <w:r>
        <w:rPr>
          <w:rFonts w:ascii="宋体" w:eastAsia="宋体" w:hAnsi="宋体" w:cs="宋体"/>
          <w:spacing w:val="-13"/>
          <w:sz w:val="22"/>
          <w:szCs w:val="22"/>
        </w:rPr>
        <w:t>食品时，有利于骨骼内沉积的正磷酸铅转化为可溶性磷酸氢铅进入血液，并进一</w:t>
      </w:r>
      <w:r>
        <w:rPr>
          <w:rFonts w:ascii="宋体" w:eastAsia="宋体" w:hAnsi="宋体" w:cs="宋体"/>
          <w:spacing w:val="2"/>
          <w:sz w:val="22"/>
          <w:szCs w:val="22"/>
        </w:rPr>
        <w:t xml:space="preserve">  </w:t>
      </w:r>
      <w:r>
        <w:rPr>
          <w:rFonts w:ascii="宋体" w:eastAsia="宋体" w:hAnsi="宋体" w:cs="宋体"/>
          <w:spacing w:val="-6"/>
          <w:sz w:val="22"/>
          <w:szCs w:val="22"/>
        </w:rPr>
        <w:t>步排出体外，常用于慢性铅中毒时的排铅治疗，而膳食为高钙</w:t>
      </w:r>
      <w:r>
        <w:rPr>
          <w:rFonts w:ascii="宋体" w:eastAsia="宋体" w:hAnsi="宋体" w:cs="宋体"/>
          <w:spacing w:val="-7"/>
          <w:sz w:val="22"/>
          <w:szCs w:val="22"/>
        </w:rPr>
        <w:t>低磷的呈碱性食</w:t>
      </w:r>
      <w:r>
        <w:rPr>
          <w:rFonts w:ascii="宋体" w:eastAsia="宋体" w:hAnsi="宋体" w:cs="宋体"/>
          <w:sz w:val="22"/>
          <w:szCs w:val="22"/>
        </w:rPr>
        <w:t xml:space="preserve"> </w:t>
      </w:r>
      <w:r>
        <w:rPr>
          <w:rFonts w:ascii="宋体" w:eastAsia="宋体" w:hAnsi="宋体" w:cs="宋体"/>
          <w:spacing w:val="-13"/>
          <w:sz w:val="22"/>
          <w:szCs w:val="22"/>
        </w:rPr>
        <w:t>品，如蔬菜、水果、奶类等食物时，则有利于血中磷酸氢铅浓度较高时，形成正</w:t>
      </w:r>
      <w:r>
        <w:rPr>
          <w:rFonts w:ascii="宋体" w:eastAsia="宋体" w:hAnsi="宋体" w:cs="宋体"/>
          <w:spacing w:val="3"/>
          <w:sz w:val="22"/>
          <w:szCs w:val="22"/>
        </w:rPr>
        <w:t xml:space="preserve">  </w:t>
      </w:r>
      <w:r>
        <w:rPr>
          <w:rFonts w:ascii="宋体" w:eastAsia="宋体" w:hAnsi="宋体" w:cs="宋体"/>
          <w:spacing w:val="-4"/>
          <w:sz w:val="22"/>
          <w:szCs w:val="22"/>
        </w:rPr>
        <w:t>磷酸铅进入骨组织，以缓解铅的急性毒性；第三要补</w:t>
      </w:r>
      <w:r>
        <w:rPr>
          <w:rFonts w:ascii="宋体" w:eastAsia="宋体" w:hAnsi="宋体" w:cs="宋体"/>
          <w:spacing w:val="-5"/>
          <w:sz w:val="22"/>
          <w:szCs w:val="22"/>
        </w:rPr>
        <w:t>充各类维生素，维生素C</w:t>
      </w:r>
      <w:r>
        <w:rPr>
          <w:rFonts w:ascii="宋体" w:eastAsia="宋体" w:hAnsi="宋体" w:cs="宋体"/>
          <w:sz w:val="22"/>
          <w:szCs w:val="22"/>
        </w:rPr>
        <w:t xml:space="preserve">  </w:t>
      </w:r>
      <w:r>
        <w:rPr>
          <w:rFonts w:ascii="宋体" w:eastAsia="宋体" w:hAnsi="宋体" w:cs="宋体"/>
          <w:spacing w:val="-5"/>
          <w:sz w:val="22"/>
          <w:szCs w:val="22"/>
        </w:rPr>
        <w:t>具有保护巯基酶中巯基(一SH)</w:t>
      </w:r>
      <w:r>
        <w:rPr>
          <w:rFonts w:ascii="宋体" w:eastAsia="宋体" w:hAnsi="宋体" w:cs="宋体"/>
          <w:spacing w:val="59"/>
          <w:sz w:val="22"/>
          <w:szCs w:val="22"/>
        </w:rPr>
        <w:t xml:space="preserve"> </w:t>
      </w:r>
      <w:r>
        <w:rPr>
          <w:rFonts w:ascii="宋体" w:eastAsia="宋体" w:hAnsi="宋体" w:cs="宋体"/>
          <w:spacing w:val="-5"/>
          <w:sz w:val="22"/>
          <w:szCs w:val="22"/>
        </w:rPr>
        <w:t>的作用，专家建议职业接触</w:t>
      </w:r>
      <w:r>
        <w:rPr>
          <w:rFonts w:ascii="宋体" w:eastAsia="宋体" w:hAnsi="宋体" w:cs="宋体"/>
          <w:spacing w:val="-6"/>
          <w:sz w:val="22"/>
          <w:szCs w:val="22"/>
        </w:rPr>
        <w:t>铅人员维生素C</w:t>
      </w:r>
      <w:r>
        <w:rPr>
          <w:rFonts w:ascii="宋体" w:eastAsia="宋体" w:hAnsi="宋体" w:cs="宋体"/>
          <w:spacing w:val="-4"/>
          <w:sz w:val="22"/>
          <w:szCs w:val="22"/>
        </w:rPr>
        <w:t xml:space="preserve"> </w:t>
      </w:r>
      <w:r>
        <w:rPr>
          <w:rFonts w:ascii="宋体" w:eastAsia="宋体" w:hAnsi="宋体" w:cs="宋体"/>
          <w:spacing w:val="-6"/>
          <w:sz w:val="22"/>
          <w:szCs w:val="22"/>
        </w:rPr>
        <w:t>的</w:t>
      </w:r>
      <w:r>
        <w:rPr>
          <w:rFonts w:ascii="宋体" w:eastAsia="宋体" w:hAnsi="宋体" w:cs="宋体"/>
          <w:sz w:val="22"/>
          <w:szCs w:val="22"/>
        </w:rPr>
        <w:t xml:space="preserve">  </w:t>
      </w:r>
      <w:r>
        <w:rPr>
          <w:rFonts w:ascii="宋体" w:eastAsia="宋体" w:hAnsi="宋体" w:cs="宋体"/>
          <w:spacing w:val="-7"/>
          <w:sz w:val="22"/>
          <w:szCs w:val="22"/>
        </w:rPr>
        <w:t>摄入量应达150～200mg/d。</w:t>
      </w:r>
      <w:r>
        <w:rPr>
          <w:rFonts w:ascii="宋体" w:eastAsia="宋体" w:hAnsi="宋体" w:cs="宋体"/>
          <w:spacing w:val="-2"/>
          <w:sz w:val="22"/>
          <w:szCs w:val="22"/>
        </w:rPr>
        <w:t xml:space="preserve"> </w:t>
      </w:r>
      <w:r>
        <w:rPr>
          <w:rFonts w:ascii="宋体" w:eastAsia="宋体" w:hAnsi="宋体" w:cs="宋体"/>
          <w:spacing w:val="-7"/>
          <w:sz w:val="22"/>
          <w:szCs w:val="22"/>
        </w:rPr>
        <w:t>其他如维生素B</w:t>
      </w:r>
      <w:r>
        <w:rPr>
          <w:rFonts w:ascii="Calibri" w:eastAsia="Calibri" w:hAnsi="Calibri" w:cs="Calibri"/>
          <w:spacing w:val="-7"/>
          <w:sz w:val="22"/>
          <w:szCs w:val="22"/>
        </w:rPr>
        <w:t>₁</w:t>
      </w:r>
      <w:r>
        <w:rPr>
          <w:rFonts w:ascii="Calibri" w:eastAsia="Calibri" w:hAnsi="Calibri" w:cs="Calibri"/>
          <w:spacing w:val="-26"/>
          <w:sz w:val="22"/>
          <w:szCs w:val="22"/>
        </w:rPr>
        <w:t xml:space="preserve"> </w:t>
      </w:r>
      <w:r>
        <w:rPr>
          <w:rFonts w:ascii="宋体" w:eastAsia="宋体" w:hAnsi="宋体" w:cs="宋体"/>
          <w:spacing w:val="-7"/>
          <w:sz w:val="22"/>
          <w:szCs w:val="22"/>
        </w:rPr>
        <w:t>、</w:t>
      </w:r>
      <w:r>
        <w:rPr>
          <w:rFonts w:ascii="宋体" w:eastAsia="宋体" w:hAnsi="宋体" w:cs="宋体"/>
          <w:spacing w:val="-60"/>
          <w:sz w:val="22"/>
          <w:szCs w:val="22"/>
        </w:rPr>
        <w:t xml:space="preserve"> </w:t>
      </w:r>
      <w:r>
        <w:rPr>
          <w:rFonts w:ascii="宋体" w:eastAsia="宋体" w:hAnsi="宋体" w:cs="宋体"/>
          <w:spacing w:val="-7"/>
          <w:sz w:val="22"/>
          <w:szCs w:val="22"/>
        </w:rPr>
        <w:t>维生素</w:t>
      </w:r>
      <w:r>
        <w:rPr>
          <w:rFonts w:ascii="宋体" w:eastAsia="宋体" w:hAnsi="宋体" w:cs="宋体"/>
          <w:spacing w:val="-58"/>
          <w:sz w:val="22"/>
          <w:szCs w:val="22"/>
        </w:rPr>
        <w:t xml:space="preserve"> </w:t>
      </w:r>
      <w:r>
        <w:rPr>
          <w:rFonts w:ascii="宋体" w:eastAsia="宋体" w:hAnsi="宋体" w:cs="宋体"/>
          <w:spacing w:val="-7"/>
          <w:sz w:val="22"/>
          <w:szCs w:val="22"/>
        </w:rPr>
        <w:t>B2、</w:t>
      </w:r>
      <w:r>
        <w:rPr>
          <w:rFonts w:ascii="宋体" w:eastAsia="宋体" w:hAnsi="宋体" w:cs="宋体"/>
          <w:spacing w:val="-57"/>
          <w:sz w:val="22"/>
          <w:szCs w:val="22"/>
        </w:rPr>
        <w:t xml:space="preserve"> </w:t>
      </w:r>
      <w:r>
        <w:rPr>
          <w:rFonts w:ascii="宋体" w:eastAsia="宋体" w:hAnsi="宋体" w:cs="宋体"/>
          <w:spacing w:val="-7"/>
          <w:sz w:val="22"/>
          <w:szCs w:val="22"/>
        </w:rPr>
        <w:t>维生素Bg、</w:t>
      </w:r>
      <w:r>
        <w:rPr>
          <w:rFonts w:ascii="宋体" w:eastAsia="宋体" w:hAnsi="宋体" w:cs="宋体"/>
          <w:spacing w:val="-57"/>
          <w:sz w:val="22"/>
          <w:szCs w:val="22"/>
        </w:rPr>
        <w:t xml:space="preserve"> </w:t>
      </w:r>
      <w:r>
        <w:rPr>
          <w:rFonts w:ascii="宋体" w:eastAsia="宋体" w:hAnsi="宋体" w:cs="宋体"/>
          <w:spacing w:val="-7"/>
          <w:sz w:val="22"/>
          <w:szCs w:val="22"/>
        </w:rPr>
        <w:t>维生素</w:t>
      </w:r>
      <w:r>
        <w:rPr>
          <w:rFonts w:ascii="宋体" w:eastAsia="宋体" w:hAnsi="宋体" w:cs="宋体"/>
          <w:sz w:val="22"/>
          <w:szCs w:val="22"/>
        </w:rPr>
        <w:t xml:space="preserve">  </w:t>
      </w:r>
      <w:r>
        <w:rPr>
          <w:rFonts w:ascii="宋体" w:eastAsia="宋体" w:hAnsi="宋体" w:cs="宋体"/>
          <w:spacing w:val="-9"/>
          <w:sz w:val="22"/>
          <w:szCs w:val="22"/>
        </w:rPr>
        <w:t>Bz、</w:t>
      </w:r>
      <w:r>
        <w:rPr>
          <w:rFonts w:ascii="宋体" w:eastAsia="宋体" w:hAnsi="宋体" w:cs="宋体"/>
          <w:spacing w:val="-17"/>
          <w:sz w:val="22"/>
          <w:szCs w:val="22"/>
        </w:rPr>
        <w:t xml:space="preserve"> </w:t>
      </w:r>
      <w:r>
        <w:rPr>
          <w:rFonts w:ascii="宋体" w:eastAsia="宋体" w:hAnsi="宋体" w:cs="宋体"/>
          <w:spacing w:val="-9"/>
          <w:sz w:val="22"/>
          <w:szCs w:val="22"/>
        </w:rPr>
        <w:t>叶酸等对于改善症状和促进生理功能的恢复也有一定效果。最后，要适当</w:t>
      </w:r>
      <w:r>
        <w:rPr>
          <w:rFonts w:ascii="宋体" w:eastAsia="宋体" w:hAnsi="宋体" w:cs="宋体"/>
          <w:sz w:val="22"/>
          <w:szCs w:val="22"/>
        </w:rPr>
        <w:t xml:space="preserve"> </w:t>
      </w:r>
      <w:r>
        <w:rPr>
          <w:rFonts w:ascii="宋体" w:eastAsia="宋体" w:hAnsi="宋体" w:cs="宋体"/>
          <w:spacing w:val="-13"/>
          <w:sz w:val="22"/>
          <w:szCs w:val="22"/>
        </w:rPr>
        <w:t>限制膳食脂肪的摄入，高脂膳食会增加铅在小肠的吸收，因此铅作业人员脂肪的</w:t>
      </w:r>
      <w:r>
        <w:rPr>
          <w:rFonts w:ascii="宋体" w:eastAsia="宋体" w:hAnsi="宋体" w:cs="宋体"/>
          <w:spacing w:val="5"/>
          <w:sz w:val="22"/>
          <w:szCs w:val="22"/>
        </w:rPr>
        <w:t xml:space="preserve">  </w:t>
      </w:r>
      <w:r>
        <w:rPr>
          <w:rFonts w:ascii="宋体" w:eastAsia="宋体" w:hAnsi="宋体" w:cs="宋体"/>
          <w:spacing w:val="-2"/>
          <w:sz w:val="22"/>
          <w:szCs w:val="22"/>
        </w:rPr>
        <w:t>供热比不宜超过25%。</w:t>
      </w:r>
    </w:p>
    <w:p w:rsidR="00EA40A3" w:rsidRDefault="00E86C16">
      <w:pPr>
        <w:spacing w:before="272" w:line="217"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3"/>
          <w:sz w:val="22"/>
          <w:szCs w:val="22"/>
        </w:rPr>
        <w:t xml:space="preserve"> </w:t>
      </w:r>
      <w:r>
        <w:rPr>
          <w:rFonts w:ascii="仿宋" w:eastAsia="仿宋" w:hAnsi="仿宋" w:cs="仿宋"/>
          <w:spacing w:val="10"/>
          <w:sz w:val="22"/>
          <w:szCs w:val="22"/>
        </w:rPr>
        <w:t>苯作业人员营养</w:t>
      </w:r>
    </w:p>
    <w:p w:rsidR="00EA40A3" w:rsidRDefault="00E86C16">
      <w:pPr>
        <w:spacing w:before="207" w:line="242" w:lineRule="auto"/>
        <w:ind w:firstLine="419"/>
        <w:jc w:val="both"/>
        <w:rPr>
          <w:rFonts w:ascii="宋体" w:eastAsia="宋体" w:hAnsi="宋体" w:cs="宋体"/>
          <w:sz w:val="22"/>
          <w:szCs w:val="22"/>
        </w:rPr>
      </w:pPr>
      <w:r>
        <w:rPr>
          <w:rFonts w:ascii="宋体" w:eastAsia="宋体" w:hAnsi="宋体" w:cs="宋体"/>
          <w:spacing w:val="-10"/>
          <w:sz w:val="22"/>
          <w:szCs w:val="22"/>
        </w:rPr>
        <w:t>苯及其化合物苯胺、硝基苯均是脂溶性并可挥发的有机化合物，苯作业时</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苯主要经过呼吸道进入人体。长期接触低浓度苯可引起慢性中毒，主要表现是神</w:t>
      </w:r>
      <w:r>
        <w:rPr>
          <w:rFonts w:ascii="宋体" w:eastAsia="宋体" w:hAnsi="宋体" w:cs="宋体"/>
          <w:spacing w:val="5"/>
          <w:sz w:val="22"/>
          <w:szCs w:val="22"/>
        </w:rPr>
        <w:t xml:space="preserve">  </w:t>
      </w:r>
      <w:r>
        <w:rPr>
          <w:rFonts w:ascii="宋体" w:eastAsia="宋体" w:hAnsi="宋体" w:cs="宋体"/>
          <w:spacing w:val="-16"/>
          <w:sz w:val="22"/>
          <w:szCs w:val="22"/>
        </w:rPr>
        <w:t>经系统和造血功能受到损害。</w:t>
      </w:r>
    </w:p>
    <w:p w:rsidR="00EA40A3" w:rsidRDefault="00E86C16">
      <w:pPr>
        <w:spacing w:before="80"/>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348</w:t>
      </w:r>
      <w:r>
        <w:rPr>
          <w:rFonts w:ascii="宋体" w:eastAsia="宋体" w:hAnsi="宋体" w:cs="宋体"/>
          <w:spacing w:val="61"/>
          <w:w w:val="101"/>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291"/>
          <w:pgSz w:w="9220" w:h="13360"/>
          <w:pgMar w:top="400" w:right="1010" w:bottom="400" w:left="860" w:header="0" w:footer="0" w:gutter="0"/>
          <w:cols w:space="720"/>
        </w:sectPr>
      </w:pPr>
    </w:p>
    <w:p w:rsidR="00EA40A3" w:rsidRDefault="00EA40A3">
      <w:pPr>
        <w:spacing w:line="278" w:lineRule="auto"/>
      </w:pPr>
    </w:p>
    <w:p w:rsidR="00EA40A3" w:rsidRDefault="00EA40A3">
      <w:pPr>
        <w:spacing w:line="278" w:lineRule="auto"/>
      </w:pPr>
    </w:p>
    <w:p w:rsidR="00EA40A3" w:rsidRDefault="00E86C16">
      <w:pPr>
        <w:spacing w:before="62" w:line="284" w:lineRule="auto"/>
        <w:ind w:right="23" w:firstLine="410"/>
        <w:jc w:val="both"/>
        <w:rPr>
          <w:rFonts w:ascii="宋体" w:eastAsia="宋体" w:hAnsi="宋体" w:cs="宋体"/>
          <w:sz w:val="19"/>
          <w:szCs w:val="19"/>
        </w:rPr>
      </w:pPr>
      <w:r>
        <w:rPr>
          <w:rFonts w:ascii="宋体" w:eastAsia="宋体" w:hAnsi="宋体" w:cs="宋体"/>
          <w:spacing w:val="17"/>
          <w:sz w:val="19"/>
          <w:szCs w:val="19"/>
        </w:rPr>
        <w:t>苯作用人群的饮食营养原则，应在平衡膳食的基础上，根据苯对机体造成的</w:t>
      </w:r>
      <w:r>
        <w:rPr>
          <w:rFonts w:ascii="宋体" w:eastAsia="宋体" w:hAnsi="宋体" w:cs="宋体"/>
          <w:spacing w:val="3"/>
          <w:sz w:val="19"/>
          <w:szCs w:val="19"/>
        </w:rPr>
        <w:t xml:space="preserve"> </w:t>
      </w:r>
      <w:r>
        <w:rPr>
          <w:rFonts w:ascii="宋体" w:eastAsia="宋体" w:hAnsi="宋体" w:cs="宋体"/>
          <w:spacing w:val="17"/>
          <w:sz w:val="19"/>
          <w:szCs w:val="19"/>
        </w:rPr>
        <w:t>损伤和营养紊乱，针对性地进行营养和膳食调配。其膳食营养调</w:t>
      </w:r>
      <w:r>
        <w:rPr>
          <w:rFonts w:ascii="宋体" w:eastAsia="宋体" w:hAnsi="宋体" w:cs="宋体"/>
          <w:spacing w:val="16"/>
          <w:sz w:val="19"/>
          <w:szCs w:val="19"/>
        </w:rPr>
        <w:t>整如下：增加优</w:t>
      </w:r>
      <w:r>
        <w:rPr>
          <w:rFonts w:ascii="宋体" w:eastAsia="宋体" w:hAnsi="宋体" w:cs="宋体"/>
          <w:sz w:val="19"/>
          <w:szCs w:val="19"/>
        </w:rPr>
        <w:t xml:space="preserve"> </w:t>
      </w:r>
      <w:r>
        <w:rPr>
          <w:rFonts w:ascii="宋体" w:eastAsia="宋体" w:hAnsi="宋体" w:cs="宋体"/>
          <w:spacing w:val="17"/>
          <w:sz w:val="19"/>
          <w:szCs w:val="19"/>
        </w:rPr>
        <w:t>质蛋白质的供给，有专家建议苯作业人员每日至少应摄入90g</w:t>
      </w:r>
      <w:r>
        <w:rPr>
          <w:rFonts w:ascii="宋体" w:eastAsia="宋体" w:hAnsi="宋体" w:cs="宋体"/>
          <w:spacing w:val="-12"/>
          <w:sz w:val="19"/>
          <w:szCs w:val="19"/>
        </w:rPr>
        <w:t xml:space="preserve"> </w:t>
      </w:r>
      <w:r>
        <w:rPr>
          <w:rFonts w:ascii="宋体" w:eastAsia="宋体" w:hAnsi="宋体" w:cs="宋体"/>
          <w:spacing w:val="17"/>
          <w:sz w:val="19"/>
          <w:szCs w:val="19"/>
        </w:rPr>
        <w:t>蛋白质，其中优质</w:t>
      </w:r>
      <w:r>
        <w:rPr>
          <w:rFonts w:ascii="宋体" w:eastAsia="宋体" w:hAnsi="宋体" w:cs="宋体"/>
          <w:sz w:val="19"/>
          <w:szCs w:val="19"/>
        </w:rPr>
        <w:t xml:space="preserve"> </w:t>
      </w:r>
      <w:r>
        <w:rPr>
          <w:rFonts w:ascii="宋体" w:eastAsia="宋体" w:hAnsi="宋体" w:cs="宋体"/>
          <w:spacing w:val="36"/>
          <w:sz w:val="19"/>
          <w:szCs w:val="19"/>
        </w:rPr>
        <w:t>蛋白质应占50%;适当限制膳食脂肪的摄入，其供热比不超</w:t>
      </w:r>
      <w:r>
        <w:rPr>
          <w:rFonts w:ascii="宋体" w:eastAsia="宋体" w:hAnsi="宋体" w:cs="宋体"/>
          <w:spacing w:val="35"/>
          <w:sz w:val="19"/>
          <w:szCs w:val="19"/>
        </w:rPr>
        <w:t>过25%(</w:t>
      </w:r>
      <w:r>
        <w:rPr>
          <w:rFonts w:ascii="宋体" w:eastAsia="宋体" w:hAnsi="宋体" w:cs="宋体"/>
          <w:spacing w:val="-45"/>
          <w:sz w:val="19"/>
          <w:szCs w:val="19"/>
        </w:rPr>
        <w:t xml:space="preserve"> </w:t>
      </w:r>
      <w:r>
        <w:rPr>
          <w:rFonts w:ascii="宋体" w:eastAsia="宋体" w:hAnsi="宋体" w:cs="宋体"/>
          <w:spacing w:val="35"/>
          <w:sz w:val="19"/>
          <w:szCs w:val="19"/>
        </w:rPr>
        <w:t>一</w:t>
      </w:r>
      <w:r>
        <w:rPr>
          <w:rFonts w:ascii="宋体" w:eastAsia="宋体" w:hAnsi="宋体" w:cs="宋体"/>
          <w:spacing w:val="-49"/>
          <w:sz w:val="19"/>
          <w:szCs w:val="19"/>
        </w:rPr>
        <w:t xml:space="preserve"> </w:t>
      </w:r>
      <w:r>
        <w:rPr>
          <w:rFonts w:ascii="宋体" w:eastAsia="宋体" w:hAnsi="宋体" w:cs="宋体"/>
          <w:spacing w:val="35"/>
          <w:sz w:val="19"/>
          <w:szCs w:val="19"/>
        </w:rPr>
        <w:t>般为</w:t>
      </w:r>
      <w:r>
        <w:rPr>
          <w:rFonts w:ascii="宋体" w:eastAsia="宋体" w:hAnsi="宋体" w:cs="宋体"/>
          <w:sz w:val="19"/>
          <w:szCs w:val="19"/>
        </w:rPr>
        <w:t xml:space="preserve"> </w:t>
      </w:r>
      <w:r>
        <w:rPr>
          <w:rFonts w:ascii="宋体" w:eastAsia="宋体" w:hAnsi="宋体" w:cs="宋体"/>
          <w:spacing w:val="26"/>
          <w:sz w:val="19"/>
          <w:szCs w:val="19"/>
        </w:rPr>
        <w:t>15%～20%);适当补充各类维生素，尤其是</w:t>
      </w:r>
      <w:r>
        <w:rPr>
          <w:rFonts w:ascii="宋体" w:eastAsia="宋体" w:hAnsi="宋体" w:cs="宋体"/>
          <w:spacing w:val="-55"/>
          <w:sz w:val="19"/>
          <w:szCs w:val="19"/>
        </w:rPr>
        <w:t xml:space="preserve"> </w:t>
      </w:r>
      <w:r>
        <w:rPr>
          <w:rFonts w:ascii="宋体" w:eastAsia="宋体" w:hAnsi="宋体" w:cs="宋体"/>
          <w:spacing w:val="26"/>
          <w:sz w:val="19"/>
          <w:szCs w:val="19"/>
        </w:rPr>
        <w:t>B</w:t>
      </w:r>
      <w:r>
        <w:rPr>
          <w:rFonts w:ascii="宋体" w:eastAsia="宋体" w:hAnsi="宋体" w:cs="宋体"/>
          <w:spacing w:val="-7"/>
          <w:sz w:val="19"/>
          <w:szCs w:val="19"/>
        </w:rPr>
        <w:t xml:space="preserve"> </w:t>
      </w:r>
      <w:r>
        <w:rPr>
          <w:rFonts w:ascii="宋体" w:eastAsia="宋体" w:hAnsi="宋体" w:cs="宋体"/>
          <w:spacing w:val="26"/>
          <w:sz w:val="19"/>
          <w:szCs w:val="19"/>
        </w:rPr>
        <w:t>族维生素及</w:t>
      </w:r>
      <w:r>
        <w:rPr>
          <w:rFonts w:ascii="宋体" w:eastAsia="宋体" w:hAnsi="宋体" w:cs="宋体"/>
          <w:spacing w:val="25"/>
          <w:sz w:val="19"/>
          <w:szCs w:val="19"/>
        </w:rPr>
        <w:t>维生素C,</w:t>
      </w:r>
      <w:r>
        <w:rPr>
          <w:rFonts w:ascii="宋体" w:eastAsia="宋体" w:hAnsi="宋体" w:cs="宋体"/>
          <w:spacing w:val="80"/>
          <w:sz w:val="19"/>
          <w:szCs w:val="19"/>
        </w:rPr>
        <w:t xml:space="preserve"> </w:t>
      </w:r>
      <w:r>
        <w:rPr>
          <w:rFonts w:ascii="宋体" w:eastAsia="宋体" w:hAnsi="宋体" w:cs="宋体"/>
          <w:spacing w:val="25"/>
          <w:sz w:val="19"/>
          <w:szCs w:val="19"/>
        </w:rPr>
        <w:t>建议苯作</w:t>
      </w:r>
      <w:r>
        <w:rPr>
          <w:rFonts w:ascii="宋体" w:eastAsia="宋体" w:hAnsi="宋体" w:cs="宋体"/>
          <w:sz w:val="19"/>
          <w:szCs w:val="19"/>
        </w:rPr>
        <w:t xml:space="preserve"> </w:t>
      </w:r>
      <w:r>
        <w:rPr>
          <w:rFonts w:ascii="宋体" w:eastAsia="宋体" w:hAnsi="宋体" w:cs="宋体"/>
          <w:spacing w:val="17"/>
          <w:sz w:val="19"/>
          <w:szCs w:val="19"/>
        </w:rPr>
        <w:t>业人员维生素C</w:t>
      </w:r>
      <w:r>
        <w:rPr>
          <w:rFonts w:ascii="宋体" w:eastAsia="宋体" w:hAnsi="宋体" w:cs="宋体"/>
          <w:spacing w:val="29"/>
          <w:sz w:val="19"/>
          <w:szCs w:val="19"/>
        </w:rPr>
        <w:t xml:space="preserve"> </w:t>
      </w:r>
      <w:r>
        <w:rPr>
          <w:rFonts w:ascii="宋体" w:eastAsia="宋体" w:hAnsi="宋体" w:cs="宋体"/>
          <w:spacing w:val="17"/>
          <w:sz w:val="19"/>
          <w:szCs w:val="19"/>
        </w:rPr>
        <w:t>的摄入量应在原推荐摄人量基础上补充150</w:t>
      </w:r>
      <w:r>
        <w:rPr>
          <w:rFonts w:ascii="宋体" w:eastAsia="宋体" w:hAnsi="宋体" w:cs="宋体"/>
          <w:sz w:val="19"/>
          <w:szCs w:val="19"/>
        </w:rPr>
        <w:t>mg</w:t>
      </w:r>
      <w:r>
        <w:rPr>
          <w:rFonts w:ascii="宋体" w:eastAsia="宋体" w:hAnsi="宋体" w:cs="宋体"/>
          <w:spacing w:val="17"/>
          <w:sz w:val="19"/>
          <w:szCs w:val="19"/>
        </w:rPr>
        <w:t>/d;</w:t>
      </w:r>
      <w:r>
        <w:rPr>
          <w:rFonts w:ascii="宋体" w:eastAsia="宋体" w:hAnsi="宋体" w:cs="宋体"/>
          <w:spacing w:val="14"/>
          <w:sz w:val="19"/>
          <w:szCs w:val="19"/>
        </w:rPr>
        <w:t xml:space="preserve">  </w:t>
      </w:r>
      <w:r>
        <w:rPr>
          <w:rFonts w:ascii="宋体" w:eastAsia="宋体" w:hAnsi="宋体" w:cs="宋体"/>
          <w:spacing w:val="17"/>
          <w:sz w:val="19"/>
          <w:szCs w:val="19"/>
        </w:rPr>
        <w:t>维</w:t>
      </w:r>
      <w:r>
        <w:rPr>
          <w:rFonts w:ascii="宋体" w:eastAsia="宋体" w:hAnsi="宋体" w:cs="宋体"/>
          <w:spacing w:val="-37"/>
          <w:sz w:val="19"/>
          <w:szCs w:val="19"/>
        </w:rPr>
        <w:t xml:space="preserve"> </w:t>
      </w:r>
      <w:r>
        <w:rPr>
          <w:rFonts w:ascii="宋体" w:eastAsia="宋体" w:hAnsi="宋体" w:cs="宋体"/>
          <w:spacing w:val="17"/>
          <w:sz w:val="19"/>
          <w:szCs w:val="19"/>
        </w:rPr>
        <w:t>生</w:t>
      </w:r>
      <w:r>
        <w:rPr>
          <w:rFonts w:ascii="宋体" w:eastAsia="宋体" w:hAnsi="宋体" w:cs="宋体"/>
          <w:spacing w:val="-35"/>
          <w:sz w:val="19"/>
          <w:szCs w:val="19"/>
        </w:rPr>
        <w:t xml:space="preserve"> </w:t>
      </w:r>
      <w:r>
        <w:rPr>
          <w:rFonts w:ascii="宋体" w:eastAsia="宋体" w:hAnsi="宋体" w:cs="宋体"/>
          <w:spacing w:val="17"/>
          <w:sz w:val="19"/>
          <w:szCs w:val="19"/>
        </w:rPr>
        <w:t>素</w:t>
      </w:r>
      <w:r>
        <w:rPr>
          <w:rFonts w:ascii="宋体" w:eastAsia="宋体" w:hAnsi="宋体" w:cs="宋体"/>
          <w:spacing w:val="-54"/>
          <w:sz w:val="19"/>
          <w:szCs w:val="19"/>
        </w:rPr>
        <w:t xml:space="preserve"> </w:t>
      </w:r>
      <w:r>
        <w:rPr>
          <w:rFonts w:ascii="宋体" w:eastAsia="宋体" w:hAnsi="宋体" w:cs="宋体"/>
          <w:spacing w:val="17"/>
          <w:sz w:val="19"/>
          <w:szCs w:val="19"/>
        </w:rPr>
        <w:t>B</w:t>
      </w:r>
      <w:r>
        <w:rPr>
          <w:rFonts w:ascii="Calibri" w:eastAsia="Calibri" w:hAnsi="Calibri" w:cs="Calibri"/>
          <w:spacing w:val="17"/>
          <w:sz w:val="19"/>
          <w:szCs w:val="19"/>
        </w:rPr>
        <w:t>₆</w:t>
      </w:r>
      <w:r>
        <w:rPr>
          <w:rFonts w:ascii="宋体" w:eastAsia="宋体" w:hAnsi="宋体" w:cs="宋体"/>
          <w:spacing w:val="17"/>
          <w:sz w:val="19"/>
          <w:szCs w:val="19"/>
        </w:rPr>
        <w:t>、</w:t>
      </w:r>
      <w:r>
        <w:rPr>
          <w:rFonts w:ascii="宋体" w:eastAsia="宋体" w:hAnsi="宋体" w:cs="宋体"/>
          <w:sz w:val="19"/>
          <w:szCs w:val="19"/>
        </w:rPr>
        <w:t xml:space="preserve"> </w:t>
      </w:r>
      <w:r>
        <w:rPr>
          <w:rFonts w:ascii="宋体" w:eastAsia="宋体" w:hAnsi="宋体" w:cs="宋体"/>
          <w:spacing w:val="17"/>
          <w:sz w:val="19"/>
          <w:szCs w:val="19"/>
        </w:rPr>
        <w:t>维生素B</w:t>
      </w:r>
      <w:r>
        <w:rPr>
          <w:rFonts w:ascii="Calibri" w:eastAsia="Calibri" w:hAnsi="Calibri" w:cs="Calibri"/>
          <w:spacing w:val="17"/>
          <w:sz w:val="19"/>
          <w:szCs w:val="19"/>
        </w:rPr>
        <w:t>₂</w:t>
      </w:r>
      <w:r>
        <w:rPr>
          <w:rFonts w:ascii="Calibri" w:eastAsia="Calibri" w:hAnsi="Calibri" w:cs="Calibri"/>
          <w:spacing w:val="-23"/>
          <w:sz w:val="19"/>
          <w:szCs w:val="19"/>
        </w:rPr>
        <w:t xml:space="preserve"> </w:t>
      </w:r>
      <w:r>
        <w:rPr>
          <w:rFonts w:ascii="宋体" w:eastAsia="宋体" w:hAnsi="宋体" w:cs="宋体"/>
          <w:spacing w:val="17"/>
          <w:sz w:val="19"/>
          <w:szCs w:val="19"/>
        </w:rPr>
        <w:t>、</w:t>
      </w:r>
      <w:r>
        <w:rPr>
          <w:rFonts w:ascii="宋体" w:eastAsia="宋体" w:hAnsi="宋体" w:cs="宋体"/>
          <w:spacing w:val="39"/>
          <w:sz w:val="19"/>
          <w:szCs w:val="19"/>
        </w:rPr>
        <w:t xml:space="preserve"> </w:t>
      </w:r>
      <w:r>
        <w:rPr>
          <w:rFonts w:ascii="宋体" w:eastAsia="宋体" w:hAnsi="宋体" w:cs="宋体"/>
          <w:spacing w:val="17"/>
          <w:sz w:val="19"/>
          <w:szCs w:val="19"/>
        </w:rPr>
        <w:t>尼克酸、叶酸等，对苯引起的造血系统损害有改善作用，维生素</w:t>
      </w:r>
      <w:r>
        <w:rPr>
          <w:rFonts w:ascii="宋体" w:eastAsia="宋体" w:hAnsi="宋体" w:cs="宋体"/>
          <w:spacing w:val="-54"/>
          <w:sz w:val="19"/>
          <w:szCs w:val="19"/>
        </w:rPr>
        <w:t xml:space="preserve"> </w:t>
      </w:r>
      <w:r>
        <w:rPr>
          <w:rFonts w:ascii="宋体" w:eastAsia="宋体" w:hAnsi="宋体" w:cs="宋体"/>
          <w:spacing w:val="17"/>
          <w:sz w:val="19"/>
          <w:szCs w:val="19"/>
        </w:rPr>
        <w:t>B</w:t>
      </w:r>
      <w:r>
        <w:rPr>
          <w:rFonts w:ascii="Calibri" w:eastAsia="Calibri" w:hAnsi="Calibri" w:cs="Calibri"/>
          <w:spacing w:val="17"/>
          <w:sz w:val="19"/>
          <w:szCs w:val="19"/>
        </w:rPr>
        <w:t>₁</w:t>
      </w:r>
      <w:r>
        <w:rPr>
          <w:rFonts w:ascii="Calibri" w:eastAsia="Calibri" w:hAnsi="Calibri" w:cs="Calibri"/>
          <w:sz w:val="19"/>
          <w:szCs w:val="19"/>
        </w:rPr>
        <w:t xml:space="preserve">   </w:t>
      </w:r>
      <w:r>
        <w:rPr>
          <w:rFonts w:ascii="宋体" w:eastAsia="宋体" w:hAnsi="宋体" w:cs="宋体"/>
          <w:spacing w:val="17"/>
          <w:sz w:val="19"/>
          <w:szCs w:val="19"/>
        </w:rPr>
        <w:t>还能改善神经系统的功能，因而饮食供给应适量增加。此外，苯作业人员应补充</w:t>
      </w:r>
      <w:r>
        <w:rPr>
          <w:rFonts w:ascii="宋体" w:eastAsia="宋体" w:hAnsi="宋体" w:cs="宋体"/>
          <w:spacing w:val="15"/>
          <w:sz w:val="19"/>
          <w:szCs w:val="19"/>
        </w:rPr>
        <w:t xml:space="preserve"> </w:t>
      </w:r>
      <w:r>
        <w:rPr>
          <w:rFonts w:ascii="宋体" w:eastAsia="宋体" w:hAnsi="宋体" w:cs="宋体"/>
          <w:spacing w:val="21"/>
          <w:sz w:val="19"/>
          <w:szCs w:val="19"/>
        </w:rPr>
        <w:t>富含维生素</w:t>
      </w:r>
      <w:r>
        <w:rPr>
          <w:rFonts w:ascii="宋体" w:eastAsia="宋体" w:hAnsi="宋体" w:cs="宋体"/>
          <w:spacing w:val="-44"/>
          <w:sz w:val="19"/>
          <w:szCs w:val="19"/>
        </w:rPr>
        <w:t xml:space="preserve"> </w:t>
      </w:r>
      <w:r>
        <w:rPr>
          <w:rFonts w:ascii="宋体" w:eastAsia="宋体" w:hAnsi="宋体" w:cs="宋体"/>
          <w:spacing w:val="21"/>
          <w:sz w:val="19"/>
          <w:szCs w:val="19"/>
        </w:rPr>
        <w:t>K</w:t>
      </w:r>
      <w:r>
        <w:rPr>
          <w:rFonts w:ascii="宋体" w:eastAsia="宋体" w:hAnsi="宋体" w:cs="宋体"/>
          <w:spacing w:val="24"/>
          <w:sz w:val="19"/>
          <w:szCs w:val="19"/>
        </w:rPr>
        <w:t xml:space="preserve"> </w:t>
      </w:r>
      <w:r>
        <w:rPr>
          <w:rFonts w:ascii="宋体" w:eastAsia="宋体" w:hAnsi="宋体" w:cs="宋体"/>
          <w:spacing w:val="21"/>
          <w:sz w:val="19"/>
          <w:szCs w:val="19"/>
        </w:rPr>
        <w:t>的食物以利解毒；苯作业人员还应选</w:t>
      </w:r>
      <w:r>
        <w:rPr>
          <w:rFonts w:ascii="宋体" w:eastAsia="宋体" w:hAnsi="宋体" w:cs="宋体"/>
          <w:spacing w:val="20"/>
          <w:sz w:val="19"/>
          <w:szCs w:val="19"/>
        </w:rPr>
        <w:t>择含铁丰富的食物，以供造</w:t>
      </w:r>
      <w:r>
        <w:rPr>
          <w:rFonts w:ascii="宋体" w:eastAsia="宋体" w:hAnsi="宋体" w:cs="宋体"/>
          <w:sz w:val="19"/>
          <w:szCs w:val="19"/>
        </w:rPr>
        <w:t xml:space="preserve"> </w:t>
      </w:r>
      <w:r>
        <w:rPr>
          <w:rFonts w:ascii="宋体" w:eastAsia="宋体" w:hAnsi="宋体" w:cs="宋体"/>
          <w:spacing w:val="7"/>
          <w:sz w:val="19"/>
          <w:szCs w:val="19"/>
        </w:rPr>
        <w:t>血系统的需要。</w:t>
      </w:r>
    </w:p>
    <w:p w:rsidR="00EA40A3" w:rsidRDefault="00E86C16">
      <w:pPr>
        <w:spacing w:before="280" w:line="222" w:lineRule="auto"/>
        <w:ind w:left="3212"/>
        <w:rPr>
          <w:rFonts w:ascii="黑体" w:eastAsia="黑体" w:hAnsi="黑体" w:cs="黑体"/>
          <w:sz w:val="19"/>
          <w:szCs w:val="19"/>
        </w:rPr>
      </w:pPr>
      <w:r>
        <w:rPr>
          <w:rFonts w:ascii="黑体" w:eastAsia="黑体" w:hAnsi="黑体" w:cs="黑体"/>
          <w:b/>
          <w:bCs/>
          <w:spacing w:val="-7"/>
          <w:sz w:val="19"/>
          <w:szCs w:val="19"/>
        </w:rPr>
        <w:t>思</w:t>
      </w:r>
      <w:r>
        <w:rPr>
          <w:rFonts w:ascii="黑体" w:eastAsia="黑体" w:hAnsi="黑体" w:cs="黑体"/>
          <w:spacing w:val="3"/>
          <w:sz w:val="19"/>
          <w:szCs w:val="19"/>
        </w:rPr>
        <w:t xml:space="preserve">  </w:t>
      </w:r>
      <w:r>
        <w:rPr>
          <w:rFonts w:ascii="黑体" w:eastAsia="黑体" w:hAnsi="黑体" w:cs="黑体"/>
          <w:b/>
          <w:bCs/>
          <w:spacing w:val="-7"/>
          <w:sz w:val="19"/>
          <w:szCs w:val="19"/>
        </w:rPr>
        <w:t>考</w:t>
      </w:r>
      <w:r>
        <w:rPr>
          <w:rFonts w:ascii="黑体" w:eastAsia="黑体" w:hAnsi="黑体" w:cs="黑体"/>
          <w:spacing w:val="33"/>
          <w:sz w:val="19"/>
          <w:szCs w:val="19"/>
        </w:rPr>
        <w:t xml:space="preserve">  </w:t>
      </w:r>
      <w:r>
        <w:rPr>
          <w:rFonts w:ascii="黑体" w:eastAsia="黑体" w:hAnsi="黑体" w:cs="黑体"/>
          <w:b/>
          <w:bCs/>
          <w:spacing w:val="-7"/>
          <w:sz w:val="19"/>
          <w:szCs w:val="19"/>
        </w:rPr>
        <w:t>题</w:t>
      </w:r>
    </w:p>
    <w:p w:rsidR="00EA40A3" w:rsidRDefault="00E86C16">
      <w:pPr>
        <w:spacing w:before="194" w:line="219" w:lineRule="auto"/>
        <w:ind w:left="410"/>
        <w:rPr>
          <w:rFonts w:ascii="宋体" w:eastAsia="宋体" w:hAnsi="宋体" w:cs="宋体"/>
          <w:sz w:val="19"/>
          <w:szCs w:val="19"/>
        </w:rPr>
      </w:pPr>
      <w:r>
        <w:rPr>
          <w:rFonts w:ascii="宋体" w:eastAsia="宋体" w:hAnsi="宋体" w:cs="宋体"/>
          <w:spacing w:val="-12"/>
          <w:sz w:val="19"/>
          <w:szCs w:val="19"/>
        </w:rPr>
        <w:t>1.</w:t>
      </w:r>
      <w:r>
        <w:rPr>
          <w:rFonts w:ascii="宋体" w:eastAsia="宋体" w:hAnsi="宋体" w:cs="宋体"/>
          <w:spacing w:val="-30"/>
          <w:sz w:val="19"/>
          <w:szCs w:val="19"/>
        </w:rPr>
        <w:t xml:space="preserve"> </w:t>
      </w:r>
      <w:r>
        <w:rPr>
          <w:rFonts w:ascii="宋体" w:eastAsia="宋体" w:hAnsi="宋体" w:cs="宋体"/>
          <w:spacing w:val="-12"/>
          <w:sz w:val="19"/>
          <w:szCs w:val="19"/>
        </w:rPr>
        <w:t>妊娠期母体营养对胎儿的影响如何?</w:t>
      </w:r>
    </w:p>
    <w:p w:rsidR="00EA40A3" w:rsidRDefault="00E86C16">
      <w:pPr>
        <w:spacing w:before="54" w:line="219" w:lineRule="auto"/>
        <w:ind w:left="410"/>
        <w:rPr>
          <w:rFonts w:ascii="宋体" w:eastAsia="宋体" w:hAnsi="宋体" w:cs="宋体"/>
          <w:sz w:val="19"/>
          <w:szCs w:val="19"/>
        </w:rPr>
      </w:pPr>
      <w:r>
        <w:rPr>
          <w:rFonts w:ascii="宋体" w:eastAsia="宋体" w:hAnsi="宋体" w:cs="宋体"/>
          <w:spacing w:val="-15"/>
          <w:sz w:val="19"/>
          <w:szCs w:val="19"/>
        </w:rPr>
        <w:t>2.</w:t>
      </w:r>
      <w:r>
        <w:rPr>
          <w:rFonts w:ascii="宋体" w:eastAsia="宋体" w:hAnsi="宋体" w:cs="宋体"/>
          <w:spacing w:val="32"/>
          <w:sz w:val="19"/>
          <w:szCs w:val="19"/>
        </w:rPr>
        <w:t xml:space="preserve"> </w:t>
      </w:r>
      <w:r>
        <w:rPr>
          <w:rFonts w:ascii="宋体" w:eastAsia="宋体" w:hAnsi="宋体" w:cs="宋体"/>
          <w:spacing w:val="-15"/>
          <w:sz w:val="19"/>
          <w:szCs w:val="19"/>
        </w:rPr>
        <w:t>为什么提倡母乳喂养!</w:t>
      </w:r>
    </w:p>
    <w:p w:rsidR="00EA40A3" w:rsidRDefault="00E86C16">
      <w:pPr>
        <w:spacing w:before="54" w:line="219" w:lineRule="auto"/>
        <w:ind w:left="410"/>
        <w:rPr>
          <w:rFonts w:ascii="宋体" w:eastAsia="宋体" w:hAnsi="宋体" w:cs="宋体"/>
          <w:sz w:val="19"/>
          <w:szCs w:val="19"/>
        </w:rPr>
      </w:pPr>
      <w:r>
        <w:rPr>
          <w:rFonts w:ascii="宋体" w:eastAsia="宋体" w:hAnsi="宋体" w:cs="宋体"/>
          <w:spacing w:val="-8"/>
          <w:sz w:val="19"/>
          <w:szCs w:val="19"/>
        </w:rPr>
        <w:t>3.什么是人工喂养与混合喂养?</w:t>
      </w:r>
    </w:p>
    <w:p w:rsidR="00EA40A3" w:rsidRDefault="00E86C16">
      <w:pPr>
        <w:spacing w:before="55" w:line="219" w:lineRule="auto"/>
        <w:ind w:left="410"/>
        <w:rPr>
          <w:rFonts w:ascii="宋体" w:eastAsia="宋体" w:hAnsi="宋体" w:cs="宋体"/>
          <w:sz w:val="19"/>
          <w:szCs w:val="19"/>
        </w:rPr>
      </w:pPr>
      <w:r>
        <w:rPr>
          <w:rFonts w:ascii="宋体" w:eastAsia="宋体" w:hAnsi="宋体" w:cs="宋体"/>
          <w:spacing w:val="-4"/>
          <w:sz w:val="19"/>
          <w:szCs w:val="19"/>
        </w:rPr>
        <w:t>4.婴儿辅食添加的目的是什么?有哪些具体要求?</w:t>
      </w:r>
    </w:p>
    <w:p w:rsidR="00EA40A3" w:rsidRDefault="00E86C16">
      <w:pPr>
        <w:spacing w:before="53" w:line="246" w:lineRule="auto"/>
        <w:ind w:left="410" w:right="3897"/>
        <w:rPr>
          <w:rFonts w:ascii="宋体" w:eastAsia="宋体" w:hAnsi="宋体" w:cs="宋体"/>
          <w:sz w:val="19"/>
          <w:szCs w:val="19"/>
        </w:rPr>
      </w:pPr>
      <w:r>
        <w:rPr>
          <w:rFonts w:ascii="宋体" w:eastAsia="宋体" w:hAnsi="宋体" w:cs="宋体"/>
          <w:spacing w:val="-10"/>
          <w:sz w:val="19"/>
          <w:szCs w:val="19"/>
        </w:rPr>
        <w:t>5.</w:t>
      </w:r>
      <w:r>
        <w:rPr>
          <w:rFonts w:ascii="宋体" w:eastAsia="宋体" w:hAnsi="宋体" w:cs="宋体"/>
          <w:spacing w:val="-52"/>
          <w:sz w:val="19"/>
          <w:szCs w:val="19"/>
        </w:rPr>
        <w:t xml:space="preserve"> </w:t>
      </w:r>
      <w:r>
        <w:rPr>
          <w:rFonts w:ascii="宋体" w:eastAsia="宋体" w:hAnsi="宋体" w:cs="宋体"/>
          <w:spacing w:val="-10"/>
          <w:sz w:val="19"/>
          <w:szCs w:val="19"/>
        </w:rPr>
        <w:t>常见的婴幼儿营养缺乏病有哪些?</w:t>
      </w:r>
      <w:r>
        <w:rPr>
          <w:rFonts w:ascii="宋体" w:eastAsia="宋体" w:hAnsi="宋体" w:cs="宋体"/>
          <w:sz w:val="19"/>
          <w:szCs w:val="19"/>
        </w:rPr>
        <w:t xml:space="preserve">  </w:t>
      </w:r>
      <w:r>
        <w:rPr>
          <w:rFonts w:ascii="宋体" w:eastAsia="宋体" w:hAnsi="宋体" w:cs="宋体"/>
          <w:spacing w:val="-9"/>
          <w:sz w:val="19"/>
          <w:szCs w:val="19"/>
        </w:rPr>
        <w:t>6.食物过敏与食物不耐受有什么不同?</w:t>
      </w:r>
    </w:p>
    <w:p w:rsidR="00EA40A3" w:rsidRDefault="00E86C16">
      <w:pPr>
        <w:spacing w:before="54" w:line="246" w:lineRule="auto"/>
        <w:ind w:left="410" w:right="3461"/>
        <w:rPr>
          <w:rFonts w:ascii="宋体" w:eastAsia="宋体" w:hAnsi="宋体" w:cs="宋体"/>
          <w:sz w:val="19"/>
          <w:szCs w:val="19"/>
        </w:rPr>
      </w:pPr>
      <w:r>
        <w:rPr>
          <w:rFonts w:ascii="宋体" w:eastAsia="宋体" w:hAnsi="宋体" w:cs="宋体"/>
          <w:spacing w:val="-10"/>
          <w:sz w:val="19"/>
          <w:szCs w:val="19"/>
        </w:rPr>
        <w:t>7.试述老年人的营养需求特点及膳食安排。</w:t>
      </w:r>
      <w:r>
        <w:rPr>
          <w:rFonts w:ascii="宋体" w:eastAsia="宋体" w:hAnsi="宋体" w:cs="宋体"/>
          <w:spacing w:val="4"/>
          <w:sz w:val="19"/>
          <w:szCs w:val="19"/>
        </w:rPr>
        <w:t xml:space="preserve"> </w:t>
      </w:r>
      <w:r>
        <w:rPr>
          <w:rFonts w:ascii="宋体" w:eastAsia="宋体" w:hAnsi="宋体" w:cs="宋体"/>
          <w:spacing w:val="-9"/>
          <w:sz w:val="19"/>
          <w:szCs w:val="19"/>
        </w:rPr>
        <w:t>8.影响运动员营养需要的因素主要有哪些?</w:t>
      </w:r>
    </w:p>
    <w:p w:rsidR="00EA40A3" w:rsidRDefault="00E86C16">
      <w:pPr>
        <w:spacing w:before="54" w:line="219" w:lineRule="auto"/>
        <w:ind w:left="410"/>
        <w:rPr>
          <w:rFonts w:ascii="宋体" w:eastAsia="宋体" w:hAnsi="宋体" w:cs="宋体"/>
          <w:sz w:val="19"/>
          <w:szCs w:val="19"/>
        </w:rPr>
      </w:pPr>
      <w:r>
        <w:rPr>
          <w:rFonts w:ascii="宋体" w:eastAsia="宋体" w:hAnsi="宋体" w:cs="宋体"/>
          <w:spacing w:val="-10"/>
          <w:sz w:val="19"/>
          <w:szCs w:val="19"/>
        </w:rPr>
        <w:t>9.</w:t>
      </w:r>
      <w:r>
        <w:rPr>
          <w:rFonts w:ascii="宋体" w:eastAsia="宋体" w:hAnsi="宋体" w:cs="宋体"/>
          <w:spacing w:val="-37"/>
          <w:sz w:val="19"/>
          <w:szCs w:val="19"/>
        </w:rPr>
        <w:t xml:space="preserve"> </w:t>
      </w:r>
      <w:r>
        <w:rPr>
          <w:rFonts w:ascii="宋体" w:eastAsia="宋体" w:hAnsi="宋体" w:cs="宋体"/>
          <w:spacing w:val="-10"/>
          <w:sz w:val="19"/>
          <w:szCs w:val="19"/>
        </w:rPr>
        <w:t>如何制定有毒作业人员的饮食计划?</w:t>
      </w:r>
    </w:p>
    <w:p w:rsidR="00EA40A3" w:rsidRDefault="00EA40A3">
      <w:pPr>
        <w:spacing w:line="289" w:lineRule="auto"/>
      </w:pPr>
    </w:p>
    <w:p w:rsidR="00EA40A3" w:rsidRDefault="00E86C16">
      <w:pPr>
        <w:spacing w:before="73" w:line="225" w:lineRule="auto"/>
        <w:ind w:right="299"/>
        <w:jc w:val="right"/>
        <w:rPr>
          <w:rFonts w:ascii="楷体" w:eastAsia="楷体" w:hAnsi="楷体" w:cs="楷体"/>
          <w:sz w:val="22"/>
          <w:szCs w:val="22"/>
        </w:rPr>
      </w:pPr>
      <w:r>
        <w:rPr>
          <w:rFonts w:ascii="楷体" w:eastAsia="楷体" w:hAnsi="楷体" w:cs="楷体"/>
          <w:spacing w:val="-10"/>
          <w:sz w:val="22"/>
          <w:szCs w:val="22"/>
        </w:rPr>
        <w:t>(本章编写人：王弘)</w:t>
      </w:r>
    </w:p>
    <w:p w:rsidR="00EA40A3" w:rsidRDefault="00E86C16">
      <w:pPr>
        <w:spacing w:before="209" w:line="222" w:lineRule="auto"/>
        <w:ind w:left="3072"/>
        <w:rPr>
          <w:rFonts w:ascii="黑体" w:eastAsia="黑体" w:hAnsi="黑体" w:cs="黑体"/>
          <w:sz w:val="19"/>
          <w:szCs w:val="19"/>
        </w:rPr>
      </w:pPr>
      <w:r>
        <w:rPr>
          <w:rFonts w:ascii="黑体" w:eastAsia="黑体" w:hAnsi="黑体" w:cs="黑体"/>
          <w:b/>
          <w:bCs/>
          <w:spacing w:val="8"/>
          <w:sz w:val="19"/>
          <w:szCs w:val="19"/>
        </w:rPr>
        <w:t>主要参考文献</w:t>
      </w:r>
    </w:p>
    <w:p w:rsidR="00EA40A3" w:rsidRDefault="00E86C16">
      <w:pPr>
        <w:spacing w:before="203" w:line="227" w:lineRule="auto"/>
        <w:ind w:right="728"/>
        <w:rPr>
          <w:rFonts w:ascii="宋体" w:eastAsia="宋体" w:hAnsi="宋体" w:cs="宋体"/>
          <w:sz w:val="19"/>
          <w:szCs w:val="19"/>
        </w:rPr>
      </w:pPr>
      <w:r>
        <w:rPr>
          <w:rFonts w:ascii="宋体" w:eastAsia="宋体" w:hAnsi="宋体" w:cs="宋体"/>
          <w:spacing w:val="-14"/>
          <w:sz w:val="19"/>
          <w:szCs w:val="19"/>
        </w:rPr>
        <w:t>鲍曼B</w:t>
      </w:r>
      <w:r>
        <w:rPr>
          <w:rFonts w:ascii="宋体" w:eastAsia="宋体" w:hAnsi="宋体" w:cs="宋体"/>
          <w:spacing w:val="45"/>
          <w:sz w:val="19"/>
          <w:szCs w:val="19"/>
        </w:rPr>
        <w:t xml:space="preserve"> </w:t>
      </w:r>
      <w:r>
        <w:rPr>
          <w:rFonts w:ascii="宋体" w:eastAsia="宋体" w:hAnsi="宋体" w:cs="宋体"/>
          <w:spacing w:val="-14"/>
          <w:sz w:val="19"/>
          <w:szCs w:val="19"/>
        </w:rPr>
        <w:t>A,拉塞尔R</w:t>
      </w:r>
      <w:r>
        <w:rPr>
          <w:rFonts w:ascii="宋体" w:eastAsia="宋体" w:hAnsi="宋体" w:cs="宋体"/>
          <w:spacing w:val="2"/>
          <w:sz w:val="19"/>
          <w:szCs w:val="19"/>
        </w:rPr>
        <w:t xml:space="preserve"> </w:t>
      </w:r>
      <w:r>
        <w:rPr>
          <w:rFonts w:ascii="宋体" w:eastAsia="宋体" w:hAnsi="宋体" w:cs="宋体"/>
          <w:spacing w:val="-14"/>
          <w:sz w:val="19"/>
          <w:szCs w:val="19"/>
        </w:rPr>
        <w:t>M.2004.现代营养学.第8版.荫士安，汪之顼主译.北京：化学出版社</w:t>
      </w:r>
      <w:r>
        <w:rPr>
          <w:rFonts w:ascii="宋体" w:eastAsia="宋体" w:hAnsi="宋体" w:cs="宋体"/>
          <w:sz w:val="19"/>
          <w:szCs w:val="19"/>
        </w:rPr>
        <w:t xml:space="preserve"> </w:t>
      </w:r>
      <w:r>
        <w:rPr>
          <w:rFonts w:ascii="宋体" w:eastAsia="宋体" w:hAnsi="宋体" w:cs="宋体"/>
          <w:spacing w:val="-19"/>
          <w:w w:val="98"/>
          <w:sz w:val="19"/>
          <w:szCs w:val="19"/>
        </w:rPr>
        <w:t>蔡美琴.2001.医学营养学.上海：上海科学技术文献出版社</w:t>
      </w:r>
    </w:p>
    <w:p w:rsidR="00EA40A3" w:rsidRDefault="00E86C16">
      <w:pPr>
        <w:spacing w:before="16" w:line="219" w:lineRule="auto"/>
        <w:rPr>
          <w:rFonts w:ascii="宋体" w:eastAsia="宋体" w:hAnsi="宋体" w:cs="宋体"/>
          <w:sz w:val="19"/>
          <w:szCs w:val="19"/>
        </w:rPr>
      </w:pPr>
      <w:r>
        <w:rPr>
          <w:rFonts w:ascii="宋体" w:eastAsia="宋体" w:hAnsi="宋体" w:cs="宋体"/>
          <w:spacing w:val="-19"/>
          <w:sz w:val="19"/>
          <w:szCs w:val="19"/>
        </w:rPr>
        <w:t>常红.2004.孕妇锌铜钙磷营养状况对新生儿的影响.中国妇幼保健，19(2):62～63</w:t>
      </w:r>
    </w:p>
    <w:p w:rsidR="00EA40A3" w:rsidRDefault="00E86C16">
      <w:pPr>
        <w:spacing w:before="14" w:line="219" w:lineRule="auto"/>
        <w:rPr>
          <w:rFonts w:ascii="宋体" w:eastAsia="宋体" w:hAnsi="宋体" w:cs="宋体"/>
          <w:sz w:val="19"/>
          <w:szCs w:val="19"/>
        </w:rPr>
      </w:pPr>
      <w:r>
        <w:rPr>
          <w:rFonts w:ascii="宋体" w:eastAsia="宋体" w:hAnsi="宋体" w:cs="宋体"/>
          <w:spacing w:val="-23"/>
          <w:sz w:val="19"/>
          <w:szCs w:val="19"/>
        </w:rPr>
        <w:t>常芸，林福美。1996.不同类型运动心脏的内分泌改变特征.中国运动医学杂志，15(3):162～169</w:t>
      </w:r>
    </w:p>
    <w:p w:rsidR="00EA40A3" w:rsidRDefault="00E86C16">
      <w:pPr>
        <w:spacing w:before="13" w:line="230" w:lineRule="auto"/>
        <w:ind w:right="26"/>
        <w:rPr>
          <w:rFonts w:ascii="宋体" w:eastAsia="宋体" w:hAnsi="宋体" w:cs="宋体"/>
          <w:sz w:val="19"/>
          <w:szCs w:val="19"/>
        </w:rPr>
      </w:pPr>
      <w:r>
        <w:rPr>
          <w:rFonts w:ascii="宋体" w:eastAsia="宋体" w:hAnsi="宋体" w:cs="宋体"/>
          <w:spacing w:val="-17"/>
          <w:sz w:val="19"/>
          <w:szCs w:val="19"/>
        </w:rPr>
        <w:t>陈海兰，王晓宁，沈忠海.2001.乳母服用小剂量叶酸与婴儿生长</w:t>
      </w:r>
      <w:r>
        <w:rPr>
          <w:rFonts w:ascii="宋体" w:eastAsia="宋体" w:hAnsi="宋体" w:cs="宋体"/>
          <w:spacing w:val="-18"/>
          <w:sz w:val="19"/>
          <w:szCs w:val="19"/>
        </w:rPr>
        <w:t>发育效果评价.中国公共卫生，17</w:t>
      </w:r>
      <w:r>
        <w:rPr>
          <w:rFonts w:ascii="宋体" w:eastAsia="宋体" w:hAnsi="宋体" w:cs="宋体"/>
          <w:sz w:val="19"/>
          <w:szCs w:val="19"/>
        </w:rPr>
        <w:t xml:space="preserve"> </w:t>
      </w:r>
      <w:r>
        <w:rPr>
          <w:rFonts w:ascii="宋体" w:eastAsia="宋体" w:hAnsi="宋体" w:cs="宋体"/>
          <w:spacing w:val="-9"/>
          <w:sz w:val="19"/>
          <w:szCs w:val="19"/>
        </w:rPr>
        <w:t>(9):814</w:t>
      </w:r>
    </w:p>
    <w:p w:rsidR="00EA40A3" w:rsidRDefault="00E86C16">
      <w:pPr>
        <w:spacing w:before="107" w:line="219" w:lineRule="auto"/>
        <w:rPr>
          <w:rFonts w:ascii="宋体" w:eastAsia="宋体" w:hAnsi="宋体" w:cs="宋体"/>
          <w:sz w:val="19"/>
          <w:szCs w:val="19"/>
        </w:rPr>
      </w:pPr>
      <w:r>
        <w:rPr>
          <w:rFonts w:ascii="宋体" w:eastAsia="宋体" w:hAnsi="宋体" w:cs="宋体"/>
          <w:spacing w:val="-22"/>
          <w:sz w:val="19"/>
          <w:szCs w:val="19"/>
        </w:rPr>
        <w:t>陈仁惇.2003.营养保健食品.北京：中国轻工业出版社</w:t>
      </w:r>
    </w:p>
    <w:p w:rsidR="00EA40A3" w:rsidRDefault="00E86C16">
      <w:pPr>
        <w:spacing w:before="6" w:line="227" w:lineRule="auto"/>
        <w:ind w:right="22"/>
        <w:rPr>
          <w:rFonts w:ascii="宋体" w:eastAsia="宋体" w:hAnsi="宋体" w:cs="宋体"/>
          <w:sz w:val="19"/>
          <w:szCs w:val="19"/>
        </w:rPr>
      </w:pPr>
      <w:r>
        <w:rPr>
          <w:rFonts w:ascii="宋体" w:eastAsia="宋体" w:hAnsi="宋体" w:cs="宋体"/>
          <w:spacing w:val="-20"/>
          <w:w w:val="98"/>
          <w:sz w:val="19"/>
          <w:szCs w:val="19"/>
        </w:rPr>
        <w:t>高桂珠，王永红，李丽娟.2005.孕妇妊娠早期甲状腺功能及碘营养状况.中国地方病防治杂志，20(</w:t>
      </w:r>
      <w:r>
        <w:rPr>
          <w:rFonts w:ascii="宋体" w:eastAsia="宋体" w:hAnsi="宋体" w:cs="宋体"/>
          <w:spacing w:val="-21"/>
          <w:w w:val="98"/>
          <w:sz w:val="19"/>
          <w:szCs w:val="19"/>
        </w:rPr>
        <w:t>1):</w:t>
      </w:r>
      <w:r>
        <w:rPr>
          <w:rFonts w:ascii="宋体" w:eastAsia="宋体" w:hAnsi="宋体" w:cs="宋体"/>
          <w:sz w:val="19"/>
          <w:szCs w:val="19"/>
        </w:rPr>
        <w:t xml:space="preserve"> </w:t>
      </w:r>
      <w:r>
        <w:rPr>
          <w:rFonts w:ascii="宋体" w:eastAsia="宋体" w:hAnsi="宋体" w:cs="宋体"/>
          <w:spacing w:val="-22"/>
          <w:sz w:val="19"/>
          <w:szCs w:val="19"/>
        </w:rPr>
        <w:t>9～11</w:t>
      </w:r>
    </w:p>
    <w:p w:rsidR="00EA40A3" w:rsidRDefault="00E86C16">
      <w:pPr>
        <w:spacing w:before="81" w:line="219" w:lineRule="auto"/>
        <w:rPr>
          <w:rFonts w:ascii="宋体" w:eastAsia="宋体" w:hAnsi="宋体" w:cs="宋体"/>
          <w:sz w:val="19"/>
          <w:szCs w:val="19"/>
        </w:rPr>
      </w:pPr>
      <w:r>
        <w:rPr>
          <w:rFonts w:ascii="宋体" w:eastAsia="宋体" w:hAnsi="宋体" w:cs="宋体"/>
          <w:spacing w:val="-22"/>
          <w:sz w:val="19"/>
          <w:szCs w:val="19"/>
        </w:rPr>
        <w:t>葛可佑.2004.中国营养科学全书.北京：人民</w:t>
      </w:r>
      <w:r>
        <w:rPr>
          <w:rFonts w:ascii="宋体" w:eastAsia="宋体" w:hAnsi="宋体" w:cs="宋体"/>
          <w:spacing w:val="-23"/>
          <w:sz w:val="19"/>
          <w:szCs w:val="19"/>
        </w:rPr>
        <w:t>卫生出版社</w:t>
      </w:r>
    </w:p>
    <w:p w:rsidR="00EA40A3" w:rsidRDefault="00E86C16">
      <w:pPr>
        <w:spacing w:before="15" w:line="219" w:lineRule="auto"/>
        <w:rPr>
          <w:rFonts w:ascii="宋体" w:eastAsia="宋体" w:hAnsi="宋体" w:cs="宋体"/>
          <w:sz w:val="19"/>
          <w:szCs w:val="19"/>
        </w:rPr>
      </w:pPr>
      <w:r>
        <w:rPr>
          <w:rFonts w:ascii="宋体" w:eastAsia="宋体" w:hAnsi="宋体" w:cs="宋体"/>
          <w:spacing w:val="-16"/>
          <w:sz w:val="19"/>
          <w:szCs w:val="19"/>
        </w:rPr>
        <w:t>郭宁，朴建华.2005.维生素A</w:t>
      </w:r>
      <w:r>
        <w:rPr>
          <w:rFonts w:ascii="宋体" w:eastAsia="宋体" w:hAnsi="宋体" w:cs="宋体"/>
          <w:spacing w:val="-21"/>
          <w:sz w:val="19"/>
          <w:szCs w:val="19"/>
        </w:rPr>
        <w:t xml:space="preserve"> </w:t>
      </w:r>
      <w:r>
        <w:rPr>
          <w:rFonts w:ascii="宋体" w:eastAsia="宋体" w:hAnsi="宋体" w:cs="宋体"/>
          <w:spacing w:val="-16"/>
          <w:sz w:val="19"/>
          <w:szCs w:val="19"/>
        </w:rPr>
        <w:t>与铁锌之间的相互作用.卫生研究，34(1):126~128</w:t>
      </w:r>
    </w:p>
    <w:p w:rsidR="00EA40A3" w:rsidRDefault="00E86C16">
      <w:pPr>
        <w:spacing w:before="16" w:line="232" w:lineRule="auto"/>
        <w:rPr>
          <w:rFonts w:ascii="宋体" w:eastAsia="宋体" w:hAnsi="宋体" w:cs="宋体"/>
          <w:sz w:val="19"/>
          <w:szCs w:val="19"/>
        </w:rPr>
      </w:pPr>
      <w:r>
        <w:rPr>
          <w:rFonts w:ascii="宋体" w:eastAsia="宋体" w:hAnsi="宋体" w:cs="宋体"/>
          <w:spacing w:val="-11"/>
          <w:sz w:val="19"/>
          <w:szCs w:val="19"/>
        </w:rPr>
        <w:t>韩神，夏凤艳，安凤妹.2004.哺乳期妇女骨量变化的研究进展.中国煤炭工业医学杂志，7(6):</w:t>
      </w:r>
      <w:r>
        <w:rPr>
          <w:rFonts w:ascii="宋体" w:eastAsia="宋体" w:hAnsi="宋体" w:cs="宋体"/>
          <w:spacing w:val="12"/>
          <w:sz w:val="19"/>
          <w:szCs w:val="19"/>
        </w:rPr>
        <w:t xml:space="preserve"> </w:t>
      </w:r>
      <w:r>
        <w:rPr>
          <w:rFonts w:ascii="宋体" w:eastAsia="宋体" w:hAnsi="宋体" w:cs="宋体"/>
          <w:spacing w:val="-17"/>
          <w:sz w:val="19"/>
          <w:szCs w:val="19"/>
        </w:rPr>
        <w:t>487～488</w:t>
      </w:r>
    </w:p>
    <w:p w:rsidR="00EA40A3" w:rsidRDefault="00E86C16">
      <w:pPr>
        <w:spacing w:before="52" w:line="219" w:lineRule="auto"/>
        <w:rPr>
          <w:rFonts w:ascii="宋体" w:eastAsia="宋体" w:hAnsi="宋体" w:cs="宋体"/>
          <w:sz w:val="19"/>
          <w:szCs w:val="19"/>
        </w:rPr>
      </w:pPr>
      <w:r>
        <w:rPr>
          <w:rFonts w:ascii="宋体" w:eastAsia="宋体" w:hAnsi="宋体" w:cs="宋体"/>
          <w:spacing w:val="-20"/>
          <w:w w:val="99"/>
          <w:sz w:val="19"/>
          <w:szCs w:val="19"/>
        </w:rPr>
        <w:t>黄承钰.2003.医学营养学.北京：人民卫生出版</w:t>
      </w:r>
      <w:r>
        <w:rPr>
          <w:rFonts w:ascii="宋体" w:eastAsia="宋体" w:hAnsi="宋体" w:cs="宋体"/>
          <w:spacing w:val="-21"/>
          <w:w w:val="99"/>
          <w:sz w:val="19"/>
          <w:szCs w:val="19"/>
        </w:rPr>
        <w:t>社</w:t>
      </w:r>
    </w:p>
    <w:p w:rsidR="00EA40A3" w:rsidRDefault="00E86C16">
      <w:pPr>
        <w:spacing w:before="113"/>
        <w:ind w:right="3"/>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7"/>
          <w:sz w:val="19"/>
          <w:szCs w:val="19"/>
        </w:rPr>
        <w:t xml:space="preserve"> </w:t>
      </w:r>
      <w:r>
        <w:rPr>
          <w:rFonts w:ascii="宋体" w:eastAsia="宋体" w:hAnsi="宋体" w:cs="宋体"/>
          <w:spacing w:val="-30"/>
          <w:sz w:val="19"/>
          <w:szCs w:val="19"/>
        </w:rPr>
        <w:t>349</w:t>
      </w:r>
      <w:r>
        <w:rPr>
          <w:rFonts w:ascii="宋体" w:eastAsia="宋体" w:hAnsi="宋体" w:cs="宋体"/>
          <w:spacing w:val="44"/>
          <w:sz w:val="19"/>
          <w:szCs w:val="19"/>
        </w:rPr>
        <w:t xml:space="preserve"> </w:t>
      </w:r>
      <w:r>
        <w:rPr>
          <w:rFonts w:ascii="宋体" w:eastAsia="宋体" w:hAnsi="宋体" w:cs="宋体"/>
          <w:spacing w:val="-30"/>
          <w:sz w:val="19"/>
          <w:szCs w:val="19"/>
        </w:rPr>
        <w:t>·</w:t>
      </w:r>
    </w:p>
    <w:p w:rsidR="00EA40A3" w:rsidRDefault="00EA40A3">
      <w:pPr>
        <w:sectPr w:rsidR="00EA40A3">
          <w:pgSz w:w="9220" w:h="13360"/>
          <w:pgMar w:top="400" w:right="1103" w:bottom="400" w:left="829" w:header="0" w:footer="0" w:gutter="0"/>
          <w:cols w:space="720"/>
        </w:sectPr>
      </w:pPr>
    </w:p>
    <w:p w:rsidR="00EA40A3" w:rsidRDefault="00EA40A3">
      <w:pPr>
        <w:spacing w:line="260" w:lineRule="auto"/>
      </w:pPr>
    </w:p>
    <w:p w:rsidR="00EA40A3" w:rsidRDefault="00EA40A3">
      <w:pPr>
        <w:spacing w:line="260" w:lineRule="auto"/>
      </w:pPr>
    </w:p>
    <w:p w:rsidR="00EA40A3" w:rsidRDefault="00E86C16">
      <w:pPr>
        <w:spacing w:before="52" w:line="219" w:lineRule="auto"/>
        <w:rPr>
          <w:rFonts w:ascii="宋体" w:eastAsia="宋体" w:hAnsi="宋体" w:cs="宋体"/>
          <w:sz w:val="16"/>
          <w:szCs w:val="16"/>
        </w:rPr>
      </w:pPr>
      <w:r>
        <w:rPr>
          <w:rFonts w:ascii="宋体" w:eastAsia="宋体" w:hAnsi="宋体" w:cs="宋体"/>
          <w:spacing w:val="3"/>
          <w:sz w:val="16"/>
          <w:szCs w:val="16"/>
        </w:rPr>
        <w:t>焦亚萍，张瑞芳，麦炜碧等.2005.营养健康教育控制孕妇体重对妊娠过程、妊娠结局的</w:t>
      </w:r>
      <w:r>
        <w:rPr>
          <w:rFonts w:ascii="宋体" w:eastAsia="宋体" w:hAnsi="宋体" w:cs="宋体"/>
          <w:spacing w:val="2"/>
          <w:sz w:val="16"/>
          <w:szCs w:val="16"/>
        </w:rPr>
        <w:t>影响.现代临床</w:t>
      </w:r>
    </w:p>
    <w:p w:rsidR="00EA40A3" w:rsidRDefault="00E86C16">
      <w:pPr>
        <w:spacing w:before="81" w:line="220" w:lineRule="auto"/>
        <w:rPr>
          <w:rFonts w:ascii="宋体" w:eastAsia="宋体" w:hAnsi="宋体" w:cs="宋体"/>
          <w:sz w:val="16"/>
          <w:szCs w:val="16"/>
        </w:rPr>
      </w:pPr>
      <w:r>
        <w:rPr>
          <w:rFonts w:ascii="宋体" w:eastAsia="宋体" w:hAnsi="宋体" w:cs="宋体"/>
          <w:spacing w:val="16"/>
          <w:sz w:val="16"/>
          <w:szCs w:val="16"/>
        </w:rPr>
        <w:t>护理，4(1):1~4</w:t>
      </w:r>
    </w:p>
    <w:p w:rsidR="00EA40A3" w:rsidRDefault="00E86C16">
      <w:pPr>
        <w:spacing w:before="37" w:line="269" w:lineRule="auto"/>
        <w:rPr>
          <w:rFonts w:ascii="宋体" w:eastAsia="宋体" w:hAnsi="宋体" w:cs="宋体"/>
          <w:sz w:val="16"/>
          <w:szCs w:val="16"/>
        </w:rPr>
      </w:pPr>
      <w:r>
        <w:rPr>
          <w:rFonts w:ascii="宋体" w:eastAsia="宋体" w:hAnsi="宋体" w:cs="宋体"/>
          <w:spacing w:val="1"/>
          <w:sz w:val="16"/>
          <w:szCs w:val="16"/>
        </w:rPr>
        <w:t>李青海，曹艳华，叶海燕等.2005.妊娠剧吐致基础代谢率变</w:t>
      </w:r>
      <w:r>
        <w:rPr>
          <w:rFonts w:ascii="宋体" w:eastAsia="宋体" w:hAnsi="宋体" w:cs="宋体"/>
          <w:sz w:val="16"/>
          <w:szCs w:val="16"/>
        </w:rPr>
        <w:t xml:space="preserve">化的机制初探周荣向.中国优生与遗传杂志， </w:t>
      </w:r>
      <w:r>
        <w:rPr>
          <w:rFonts w:ascii="宋体" w:eastAsia="宋体" w:hAnsi="宋体" w:cs="宋体"/>
          <w:spacing w:val="-2"/>
          <w:sz w:val="16"/>
          <w:szCs w:val="16"/>
        </w:rPr>
        <w:t>13(2):74～76</w:t>
      </w:r>
    </w:p>
    <w:p w:rsidR="00EA40A3" w:rsidRDefault="00E86C16">
      <w:pPr>
        <w:spacing w:before="54" w:line="254" w:lineRule="auto"/>
        <w:ind w:right="47"/>
        <w:rPr>
          <w:rFonts w:ascii="宋体" w:eastAsia="宋体" w:hAnsi="宋体" w:cs="宋体"/>
          <w:sz w:val="16"/>
          <w:szCs w:val="16"/>
        </w:rPr>
      </w:pPr>
      <w:r>
        <w:rPr>
          <w:rFonts w:ascii="宋体" w:eastAsia="宋体" w:hAnsi="宋体" w:cs="宋体"/>
          <w:spacing w:val="3"/>
          <w:sz w:val="16"/>
          <w:szCs w:val="16"/>
        </w:rPr>
        <w:t>梁冰华，吴得海，王林.2004.哺乳期母亲铁营养状况对乳汁铁影响的调查.微量元素与健</w:t>
      </w:r>
      <w:r>
        <w:rPr>
          <w:rFonts w:ascii="宋体" w:eastAsia="宋体" w:hAnsi="宋体" w:cs="宋体"/>
          <w:spacing w:val="2"/>
          <w:sz w:val="16"/>
          <w:szCs w:val="16"/>
        </w:rPr>
        <w:t>康研究，(4):</w:t>
      </w:r>
      <w:r>
        <w:rPr>
          <w:rFonts w:ascii="宋体" w:eastAsia="宋体" w:hAnsi="宋体" w:cs="宋体"/>
          <w:sz w:val="16"/>
          <w:szCs w:val="16"/>
        </w:rPr>
        <w:t xml:space="preserve"> </w:t>
      </w:r>
      <w:r>
        <w:rPr>
          <w:rFonts w:ascii="宋体" w:eastAsia="宋体" w:hAnsi="宋体" w:cs="宋体"/>
          <w:spacing w:val="-1"/>
          <w:sz w:val="16"/>
          <w:szCs w:val="16"/>
        </w:rPr>
        <w:t>42～43</w:t>
      </w:r>
    </w:p>
    <w:p w:rsidR="00EA40A3" w:rsidRDefault="00E86C16">
      <w:pPr>
        <w:spacing w:before="80" w:line="219" w:lineRule="auto"/>
        <w:rPr>
          <w:rFonts w:ascii="宋体" w:eastAsia="宋体" w:hAnsi="宋体" w:cs="宋体"/>
          <w:sz w:val="16"/>
          <w:szCs w:val="16"/>
        </w:rPr>
      </w:pPr>
      <w:r>
        <w:rPr>
          <w:rFonts w:ascii="宋体" w:eastAsia="宋体" w:hAnsi="宋体" w:cs="宋体"/>
          <w:spacing w:val="3"/>
          <w:sz w:val="16"/>
          <w:szCs w:val="16"/>
        </w:rPr>
        <w:t>莫灶娣，苏巴丽，裴红.2003.孕妇营养过剩与妊娠结局的关系.国际医药卫</w:t>
      </w:r>
      <w:r>
        <w:rPr>
          <w:rFonts w:ascii="宋体" w:eastAsia="宋体" w:hAnsi="宋体" w:cs="宋体"/>
          <w:spacing w:val="2"/>
          <w:sz w:val="16"/>
          <w:szCs w:val="16"/>
        </w:rPr>
        <w:t>生导报，9(18):59～60</w:t>
      </w:r>
    </w:p>
    <w:p w:rsidR="00EA40A3" w:rsidRDefault="00E86C16">
      <w:pPr>
        <w:spacing w:before="50" w:line="254" w:lineRule="auto"/>
        <w:ind w:right="26"/>
        <w:rPr>
          <w:rFonts w:ascii="宋体" w:eastAsia="宋体" w:hAnsi="宋体" w:cs="宋体"/>
          <w:sz w:val="16"/>
          <w:szCs w:val="16"/>
        </w:rPr>
      </w:pPr>
      <w:r>
        <w:rPr>
          <w:rFonts w:ascii="宋体" w:eastAsia="宋体" w:hAnsi="宋体" w:cs="宋体"/>
          <w:spacing w:val="3"/>
          <w:sz w:val="16"/>
          <w:szCs w:val="16"/>
        </w:rPr>
        <w:t>潘珊珊，张炎，尤培建等.2004.不同强度运动训练对心内分泌功能的影响.中国运动医学杂志，23(5):</w:t>
      </w:r>
      <w:r>
        <w:rPr>
          <w:rFonts w:ascii="宋体" w:eastAsia="宋体" w:hAnsi="宋体" w:cs="宋体"/>
          <w:spacing w:val="8"/>
          <w:sz w:val="16"/>
          <w:szCs w:val="16"/>
        </w:rPr>
        <w:t xml:space="preserve"> </w:t>
      </w:r>
      <w:r>
        <w:rPr>
          <w:rFonts w:ascii="宋体" w:eastAsia="宋体" w:hAnsi="宋体" w:cs="宋体"/>
          <w:spacing w:val="-2"/>
          <w:sz w:val="16"/>
          <w:szCs w:val="16"/>
        </w:rPr>
        <w:t>507～511</w:t>
      </w:r>
    </w:p>
    <w:p w:rsidR="00EA40A3" w:rsidRDefault="00E86C16">
      <w:pPr>
        <w:spacing w:before="79" w:line="254" w:lineRule="auto"/>
        <w:ind w:right="53"/>
        <w:rPr>
          <w:rFonts w:ascii="宋体" w:eastAsia="宋体" w:hAnsi="宋体" w:cs="宋体"/>
          <w:sz w:val="16"/>
          <w:szCs w:val="16"/>
        </w:rPr>
      </w:pPr>
      <w:r>
        <w:rPr>
          <w:rFonts w:ascii="宋体" w:eastAsia="宋体" w:hAnsi="宋体" w:cs="宋体"/>
          <w:spacing w:val="-4"/>
          <w:sz w:val="16"/>
          <w:szCs w:val="16"/>
        </w:rPr>
        <w:t>钱兴国，苏宜香，苗丽曼等。2004.孕妇、乳母二十二碳六烯酸摄入水平对婴儿早期运动发育和视功能的影</w:t>
      </w:r>
      <w:r>
        <w:rPr>
          <w:rFonts w:ascii="宋体" w:eastAsia="宋体" w:hAnsi="宋体" w:cs="宋体"/>
          <w:spacing w:val="11"/>
          <w:sz w:val="16"/>
          <w:szCs w:val="16"/>
        </w:rPr>
        <w:t xml:space="preserve"> </w:t>
      </w:r>
      <w:r>
        <w:rPr>
          <w:rFonts w:ascii="宋体" w:eastAsia="宋体" w:hAnsi="宋体" w:cs="宋体"/>
          <w:spacing w:val="5"/>
          <w:sz w:val="16"/>
          <w:szCs w:val="16"/>
        </w:rPr>
        <w:t>响.中国儿童保健杂志，12(2):123～126</w:t>
      </w:r>
    </w:p>
    <w:p w:rsidR="00EA40A3" w:rsidRDefault="00E86C16">
      <w:pPr>
        <w:spacing w:before="69" w:line="254" w:lineRule="auto"/>
        <w:ind w:right="763"/>
        <w:rPr>
          <w:rFonts w:ascii="宋体" w:eastAsia="宋体" w:hAnsi="宋体" w:cs="宋体"/>
          <w:sz w:val="16"/>
          <w:szCs w:val="16"/>
        </w:rPr>
      </w:pPr>
      <w:r>
        <w:rPr>
          <w:rFonts w:ascii="宋体" w:eastAsia="宋体" w:hAnsi="宋体" w:cs="宋体"/>
          <w:spacing w:val="3"/>
          <w:sz w:val="16"/>
          <w:szCs w:val="16"/>
        </w:rPr>
        <w:t>秦锐，王立珍，王建平.1997.孕妇维生素A</w:t>
      </w:r>
      <w:r>
        <w:rPr>
          <w:rFonts w:ascii="宋体" w:eastAsia="宋体" w:hAnsi="宋体" w:cs="宋体"/>
          <w:spacing w:val="1"/>
          <w:sz w:val="16"/>
          <w:szCs w:val="16"/>
        </w:rPr>
        <w:t xml:space="preserve"> </w:t>
      </w:r>
      <w:r>
        <w:rPr>
          <w:rFonts w:ascii="宋体" w:eastAsia="宋体" w:hAnsi="宋体" w:cs="宋体"/>
          <w:spacing w:val="3"/>
          <w:sz w:val="16"/>
          <w:szCs w:val="16"/>
        </w:rPr>
        <w:t>状况与铁代谢研究.江苏预防医学，(4):50～451</w:t>
      </w:r>
      <w:r>
        <w:rPr>
          <w:rFonts w:ascii="宋体" w:eastAsia="宋体" w:hAnsi="宋体" w:cs="宋体"/>
          <w:sz w:val="16"/>
          <w:szCs w:val="16"/>
        </w:rPr>
        <w:t xml:space="preserve"> </w:t>
      </w:r>
      <w:r>
        <w:rPr>
          <w:rFonts w:ascii="宋体" w:eastAsia="宋体" w:hAnsi="宋体" w:cs="宋体"/>
          <w:spacing w:val="5"/>
          <w:sz w:val="16"/>
          <w:szCs w:val="16"/>
        </w:rPr>
        <w:t>青云.2005.孕妇补充叶酸可能会增加患乳腺癌的危险.中国处方药，35</w:t>
      </w:r>
      <w:r>
        <w:rPr>
          <w:rFonts w:ascii="宋体" w:eastAsia="宋体" w:hAnsi="宋体" w:cs="宋体"/>
          <w:spacing w:val="4"/>
          <w:sz w:val="16"/>
          <w:szCs w:val="16"/>
        </w:rPr>
        <w:t>(2):87</w:t>
      </w:r>
    </w:p>
    <w:p w:rsidR="00EA40A3" w:rsidRDefault="00E86C16">
      <w:pPr>
        <w:spacing w:before="59" w:line="216" w:lineRule="auto"/>
        <w:rPr>
          <w:rFonts w:ascii="宋体" w:eastAsia="宋体" w:hAnsi="宋体" w:cs="宋体"/>
          <w:sz w:val="16"/>
          <w:szCs w:val="16"/>
        </w:rPr>
      </w:pPr>
      <w:r>
        <w:rPr>
          <w:rFonts w:ascii="宋体" w:eastAsia="宋体" w:hAnsi="宋体" w:cs="宋体"/>
          <w:spacing w:val="5"/>
          <w:sz w:val="16"/>
          <w:szCs w:val="16"/>
        </w:rPr>
        <w:t>塞泽尔</w:t>
      </w:r>
      <w:r>
        <w:rPr>
          <w:rFonts w:ascii="宋体" w:eastAsia="宋体" w:hAnsi="宋体" w:cs="宋体"/>
          <w:spacing w:val="-21"/>
          <w:sz w:val="16"/>
          <w:szCs w:val="16"/>
        </w:rPr>
        <w:t xml:space="preserve"> </w:t>
      </w:r>
      <w:r>
        <w:rPr>
          <w:rFonts w:ascii="宋体" w:eastAsia="宋体" w:hAnsi="宋体" w:cs="宋体"/>
          <w:sz w:val="16"/>
          <w:szCs w:val="16"/>
        </w:rPr>
        <w:t>F</w:t>
      </w:r>
      <w:r>
        <w:rPr>
          <w:rFonts w:ascii="宋体" w:eastAsia="宋体" w:hAnsi="宋体" w:cs="宋体"/>
          <w:spacing w:val="51"/>
          <w:sz w:val="16"/>
          <w:szCs w:val="16"/>
        </w:rPr>
        <w:t xml:space="preserve"> </w:t>
      </w:r>
      <w:r>
        <w:rPr>
          <w:rFonts w:ascii="宋体" w:eastAsia="宋体" w:hAnsi="宋体" w:cs="宋体"/>
          <w:sz w:val="16"/>
          <w:szCs w:val="16"/>
        </w:rPr>
        <w:t>S</w:t>
      </w:r>
      <w:r>
        <w:rPr>
          <w:rFonts w:ascii="宋体" w:eastAsia="宋体" w:hAnsi="宋体" w:cs="宋体"/>
          <w:spacing w:val="5"/>
          <w:sz w:val="16"/>
          <w:szCs w:val="16"/>
        </w:rPr>
        <w:t>,惠特尼</w:t>
      </w:r>
      <w:r>
        <w:rPr>
          <w:rFonts w:ascii="宋体" w:eastAsia="宋体" w:hAnsi="宋体" w:cs="宋体"/>
          <w:sz w:val="16"/>
          <w:szCs w:val="16"/>
        </w:rPr>
        <w:t>E</w:t>
      </w:r>
      <w:r>
        <w:rPr>
          <w:rFonts w:ascii="宋体" w:eastAsia="宋体" w:hAnsi="宋体" w:cs="宋体"/>
          <w:spacing w:val="28"/>
          <w:sz w:val="16"/>
          <w:szCs w:val="16"/>
        </w:rPr>
        <w:t xml:space="preserve">  </w:t>
      </w:r>
      <w:r>
        <w:rPr>
          <w:rFonts w:ascii="宋体" w:eastAsia="宋体" w:hAnsi="宋体" w:cs="宋体"/>
          <w:sz w:val="16"/>
          <w:szCs w:val="16"/>
        </w:rPr>
        <w:t>N</w:t>
      </w:r>
      <w:r>
        <w:rPr>
          <w:rFonts w:ascii="宋体" w:eastAsia="宋体" w:hAnsi="宋体" w:cs="宋体"/>
          <w:spacing w:val="5"/>
          <w:sz w:val="16"/>
          <w:szCs w:val="16"/>
        </w:rPr>
        <w:t>.2004.</w:t>
      </w:r>
      <w:r>
        <w:rPr>
          <w:rFonts w:ascii="宋体" w:eastAsia="宋体" w:hAnsi="宋体" w:cs="宋体"/>
          <w:spacing w:val="-41"/>
          <w:sz w:val="16"/>
          <w:szCs w:val="16"/>
        </w:rPr>
        <w:t xml:space="preserve"> </w:t>
      </w:r>
      <w:r>
        <w:rPr>
          <w:rFonts w:ascii="宋体" w:eastAsia="宋体" w:hAnsi="宋体" w:cs="宋体"/>
          <w:spacing w:val="5"/>
          <w:sz w:val="16"/>
          <w:szCs w:val="16"/>
        </w:rPr>
        <w:t>营养学—一概念与争论.第8版.王希成主译.北京：清华大学出版社</w:t>
      </w:r>
    </w:p>
    <w:p w:rsidR="00EA40A3" w:rsidRDefault="00E86C16">
      <w:pPr>
        <w:spacing w:before="65" w:line="254" w:lineRule="auto"/>
        <w:ind w:right="1179"/>
        <w:rPr>
          <w:rFonts w:ascii="宋体" w:eastAsia="宋体" w:hAnsi="宋体" w:cs="宋体"/>
          <w:sz w:val="16"/>
          <w:szCs w:val="16"/>
        </w:rPr>
      </w:pPr>
      <w:r>
        <w:rPr>
          <w:rFonts w:ascii="宋体" w:eastAsia="宋体" w:hAnsi="宋体" w:cs="宋体"/>
          <w:spacing w:val="5"/>
          <w:sz w:val="16"/>
          <w:szCs w:val="16"/>
        </w:rPr>
        <w:t>孙大中，项彩芬.1999.孕妇与胎儿钙代谢特</w:t>
      </w:r>
      <w:r>
        <w:rPr>
          <w:rFonts w:ascii="宋体" w:eastAsia="宋体" w:hAnsi="宋体" w:cs="宋体"/>
          <w:spacing w:val="4"/>
          <w:sz w:val="16"/>
          <w:szCs w:val="16"/>
        </w:rPr>
        <w:t>点.中国实用儿科杂志，14(10):592～593</w:t>
      </w:r>
      <w:r>
        <w:rPr>
          <w:rFonts w:ascii="宋体" w:eastAsia="宋体" w:hAnsi="宋体" w:cs="宋体"/>
          <w:sz w:val="16"/>
          <w:szCs w:val="16"/>
        </w:rPr>
        <w:t xml:space="preserve"> </w:t>
      </w:r>
      <w:r>
        <w:rPr>
          <w:rFonts w:ascii="宋体" w:eastAsia="宋体" w:hAnsi="宋体" w:cs="宋体"/>
          <w:spacing w:val="4"/>
          <w:sz w:val="16"/>
          <w:szCs w:val="16"/>
        </w:rPr>
        <w:t>孙远明，余群力.2002.食品营养学.北京：中国</w:t>
      </w:r>
      <w:r>
        <w:rPr>
          <w:rFonts w:ascii="宋体" w:eastAsia="宋体" w:hAnsi="宋体" w:cs="宋体"/>
          <w:spacing w:val="3"/>
          <w:sz w:val="16"/>
          <w:szCs w:val="16"/>
        </w:rPr>
        <w:t>农业大学出版社.</w:t>
      </w:r>
    </w:p>
    <w:p w:rsidR="00EA40A3" w:rsidRDefault="00E86C16">
      <w:pPr>
        <w:spacing w:before="60" w:line="219" w:lineRule="auto"/>
        <w:rPr>
          <w:rFonts w:ascii="宋体" w:eastAsia="宋体" w:hAnsi="宋体" w:cs="宋体"/>
          <w:sz w:val="16"/>
          <w:szCs w:val="16"/>
        </w:rPr>
      </w:pPr>
      <w:r>
        <w:rPr>
          <w:rFonts w:ascii="宋体" w:eastAsia="宋体" w:hAnsi="宋体" w:cs="宋体"/>
          <w:spacing w:val="4"/>
          <w:sz w:val="16"/>
          <w:szCs w:val="16"/>
        </w:rPr>
        <w:t>唐仪，杨清，沈晓毅等.2002.补充维生素A</w:t>
      </w:r>
      <w:r>
        <w:rPr>
          <w:rFonts w:ascii="宋体" w:eastAsia="宋体" w:hAnsi="宋体" w:cs="宋体"/>
          <w:spacing w:val="-9"/>
          <w:sz w:val="16"/>
          <w:szCs w:val="16"/>
        </w:rPr>
        <w:t xml:space="preserve"> </w:t>
      </w:r>
      <w:r>
        <w:rPr>
          <w:rFonts w:ascii="宋体" w:eastAsia="宋体" w:hAnsi="宋体" w:cs="宋体"/>
          <w:spacing w:val="4"/>
          <w:sz w:val="16"/>
          <w:szCs w:val="16"/>
        </w:rPr>
        <w:t>和铁对孕妇铁营养状况的影响.营养学报，</w:t>
      </w:r>
      <w:r>
        <w:rPr>
          <w:rFonts w:ascii="宋体" w:eastAsia="宋体" w:hAnsi="宋体" w:cs="宋体"/>
          <w:spacing w:val="3"/>
          <w:sz w:val="16"/>
          <w:szCs w:val="16"/>
        </w:rPr>
        <w:t>24(1):13～16</w:t>
      </w:r>
    </w:p>
    <w:p w:rsidR="00EA40A3" w:rsidRDefault="00E86C16">
      <w:pPr>
        <w:spacing w:before="59" w:line="254" w:lineRule="auto"/>
        <w:ind w:right="1380"/>
        <w:rPr>
          <w:rFonts w:ascii="宋体" w:eastAsia="宋体" w:hAnsi="宋体" w:cs="宋体"/>
          <w:sz w:val="16"/>
          <w:szCs w:val="16"/>
        </w:rPr>
      </w:pPr>
      <w:r>
        <w:rPr>
          <w:rFonts w:ascii="宋体" w:eastAsia="宋体" w:hAnsi="宋体" w:cs="宋体"/>
          <w:spacing w:val="4"/>
          <w:sz w:val="16"/>
          <w:szCs w:val="16"/>
        </w:rPr>
        <w:t>王建平，秦锐.1997.正常孕妇与胎儿钙代谢的研究.南京医科大学学报，1</w:t>
      </w:r>
      <w:r>
        <w:rPr>
          <w:rFonts w:ascii="宋体" w:eastAsia="宋体" w:hAnsi="宋体" w:cs="宋体"/>
          <w:spacing w:val="3"/>
          <w:sz w:val="16"/>
          <w:szCs w:val="16"/>
        </w:rPr>
        <w:t>7(2):179</w:t>
      </w:r>
      <w:r>
        <w:rPr>
          <w:rFonts w:ascii="宋体" w:eastAsia="宋体" w:hAnsi="宋体" w:cs="宋体"/>
          <w:sz w:val="16"/>
          <w:szCs w:val="16"/>
        </w:rPr>
        <w:t xml:space="preserve"> </w:t>
      </w:r>
      <w:r>
        <w:rPr>
          <w:rFonts w:ascii="宋体" w:eastAsia="宋体" w:hAnsi="宋体" w:cs="宋体"/>
          <w:spacing w:val="5"/>
          <w:sz w:val="16"/>
          <w:szCs w:val="16"/>
        </w:rPr>
        <w:t>王丽娜.1998.娠糖尿病的水电解质代谢.外医学妇产科</w:t>
      </w:r>
      <w:r>
        <w:rPr>
          <w:rFonts w:ascii="宋体" w:eastAsia="宋体" w:hAnsi="宋体" w:cs="宋体"/>
          <w:spacing w:val="4"/>
          <w:sz w:val="16"/>
          <w:szCs w:val="16"/>
        </w:rPr>
        <w:t>分册，25(3):177～178</w:t>
      </w:r>
    </w:p>
    <w:p w:rsidR="00EA40A3" w:rsidRDefault="00E86C16">
      <w:pPr>
        <w:spacing w:before="60" w:line="260" w:lineRule="auto"/>
        <w:ind w:right="67"/>
        <w:rPr>
          <w:rFonts w:ascii="宋体" w:eastAsia="宋体" w:hAnsi="宋体" w:cs="宋体"/>
          <w:sz w:val="16"/>
          <w:szCs w:val="16"/>
        </w:rPr>
      </w:pPr>
      <w:r>
        <w:rPr>
          <w:rFonts w:ascii="宋体" w:eastAsia="宋体" w:hAnsi="宋体" w:cs="宋体"/>
          <w:spacing w:val="1"/>
          <w:sz w:val="16"/>
          <w:szCs w:val="16"/>
        </w:rPr>
        <w:t>王小卉，杨毅，王莹等。2004.婴儿肠道菌群的形成及其与食物过敏的关系.实用儿科临床</w:t>
      </w:r>
      <w:r>
        <w:rPr>
          <w:rFonts w:ascii="宋体" w:eastAsia="宋体" w:hAnsi="宋体" w:cs="宋体"/>
          <w:sz w:val="16"/>
          <w:szCs w:val="16"/>
        </w:rPr>
        <w:t xml:space="preserve">杂志，19(9): </w:t>
      </w:r>
      <w:r>
        <w:rPr>
          <w:rFonts w:ascii="宋体" w:eastAsia="宋体" w:hAnsi="宋体" w:cs="宋体"/>
          <w:spacing w:val="-2"/>
          <w:sz w:val="16"/>
          <w:szCs w:val="16"/>
        </w:rPr>
        <w:t>756～758</w:t>
      </w:r>
    </w:p>
    <w:p w:rsidR="00EA40A3" w:rsidRDefault="00E86C16">
      <w:pPr>
        <w:spacing w:before="110" w:line="219" w:lineRule="auto"/>
        <w:rPr>
          <w:rFonts w:ascii="宋体" w:eastAsia="宋体" w:hAnsi="宋体" w:cs="宋体"/>
          <w:sz w:val="16"/>
          <w:szCs w:val="16"/>
        </w:rPr>
      </w:pPr>
      <w:r>
        <w:rPr>
          <w:rFonts w:ascii="宋体" w:eastAsia="宋体" w:hAnsi="宋体" w:cs="宋体"/>
          <w:spacing w:val="7"/>
          <w:sz w:val="16"/>
          <w:szCs w:val="16"/>
        </w:rPr>
        <w:t>吴坤.2003.营养与食品卫生学.第5版.北京：人民卫生出版社</w:t>
      </w:r>
    </w:p>
    <w:p w:rsidR="00EA40A3" w:rsidRDefault="00E86C16">
      <w:pPr>
        <w:spacing w:before="70" w:line="219" w:lineRule="auto"/>
        <w:rPr>
          <w:rFonts w:ascii="宋体" w:eastAsia="宋体" w:hAnsi="宋体" w:cs="宋体"/>
          <w:sz w:val="16"/>
          <w:szCs w:val="16"/>
        </w:rPr>
      </w:pPr>
      <w:r>
        <w:rPr>
          <w:rFonts w:ascii="宋体" w:eastAsia="宋体" w:hAnsi="宋体" w:cs="宋体"/>
          <w:spacing w:val="4"/>
          <w:sz w:val="16"/>
          <w:szCs w:val="16"/>
        </w:rPr>
        <w:t>许榕仙.2003.晚期孕妇铁、锌、铜营养状况与贫血的关系.疾病控制杂志，7(1):14～16</w:t>
      </w:r>
    </w:p>
    <w:p w:rsidR="00EA40A3" w:rsidRDefault="00E86C16">
      <w:pPr>
        <w:spacing w:before="69" w:line="219" w:lineRule="auto"/>
        <w:rPr>
          <w:rFonts w:ascii="宋体" w:eastAsia="宋体" w:hAnsi="宋体" w:cs="宋体"/>
          <w:sz w:val="16"/>
          <w:szCs w:val="16"/>
        </w:rPr>
      </w:pPr>
      <w:r>
        <w:rPr>
          <w:rFonts w:ascii="宋体" w:eastAsia="宋体" w:hAnsi="宋体" w:cs="宋体"/>
          <w:spacing w:val="4"/>
          <w:sz w:val="16"/>
          <w:szCs w:val="16"/>
        </w:rPr>
        <w:t>阁玉芹，陈祖培.2004.孕妇和哺乳妇女的碘营养及其</w:t>
      </w:r>
      <w:r>
        <w:rPr>
          <w:rFonts w:ascii="宋体" w:eastAsia="宋体" w:hAnsi="宋体" w:cs="宋体"/>
          <w:spacing w:val="3"/>
          <w:sz w:val="16"/>
          <w:szCs w:val="16"/>
        </w:rPr>
        <w:t>监测.中国地方病学杂志，23(3):276～278</w:t>
      </w:r>
    </w:p>
    <w:p w:rsidR="00EA40A3" w:rsidRDefault="00E86C16">
      <w:pPr>
        <w:spacing w:before="71" w:line="219" w:lineRule="auto"/>
        <w:rPr>
          <w:rFonts w:ascii="宋体" w:eastAsia="宋体" w:hAnsi="宋体" w:cs="宋体"/>
          <w:sz w:val="16"/>
          <w:szCs w:val="16"/>
        </w:rPr>
      </w:pPr>
      <w:r>
        <w:rPr>
          <w:rFonts w:ascii="宋体" w:eastAsia="宋体" w:hAnsi="宋体" w:cs="宋体"/>
          <w:spacing w:val="10"/>
          <w:sz w:val="16"/>
          <w:szCs w:val="16"/>
        </w:rPr>
        <w:t>杨芳，李朝敏.2005.贫困农村孕妇核黄素水平与铁营养状况关系的研究.卫生职业教育，23</w:t>
      </w:r>
      <w:r>
        <w:rPr>
          <w:rFonts w:ascii="宋体" w:eastAsia="宋体" w:hAnsi="宋体" w:cs="宋体"/>
          <w:spacing w:val="61"/>
          <w:sz w:val="16"/>
          <w:szCs w:val="16"/>
        </w:rPr>
        <w:t xml:space="preserve"> </w:t>
      </w:r>
      <w:r>
        <w:rPr>
          <w:rFonts w:ascii="宋体" w:eastAsia="宋体" w:hAnsi="宋体" w:cs="宋体"/>
          <w:spacing w:val="10"/>
          <w:sz w:val="16"/>
          <w:szCs w:val="16"/>
        </w:rPr>
        <w:t>(4):</w:t>
      </w:r>
    </w:p>
    <w:p w:rsidR="00EA40A3" w:rsidRDefault="00E86C16">
      <w:pPr>
        <w:spacing w:before="71" w:line="184" w:lineRule="auto"/>
        <w:rPr>
          <w:rFonts w:ascii="宋体" w:eastAsia="宋体" w:hAnsi="宋体" w:cs="宋体"/>
          <w:sz w:val="16"/>
          <w:szCs w:val="16"/>
        </w:rPr>
      </w:pPr>
      <w:r>
        <w:rPr>
          <w:rFonts w:ascii="宋体" w:eastAsia="宋体" w:hAnsi="宋体" w:cs="宋体"/>
          <w:spacing w:val="-3"/>
          <w:sz w:val="16"/>
          <w:szCs w:val="16"/>
        </w:rPr>
        <w:t>100～101</w:t>
      </w:r>
    </w:p>
    <w:p w:rsidR="00EA40A3" w:rsidRDefault="00E86C16">
      <w:pPr>
        <w:spacing w:before="80" w:line="251" w:lineRule="auto"/>
        <w:ind w:right="50"/>
        <w:rPr>
          <w:rFonts w:ascii="宋体" w:eastAsia="宋体" w:hAnsi="宋体" w:cs="宋体"/>
          <w:sz w:val="16"/>
          <w:szCs w:val="16"/>
        </w:rPr>
      </w:pPr>
      <w:r>
        <w:rPr>
          <w:rFonts w:ascii="宋体" w:eastAsia="宋体" w:hAnsi="宋体" w:cs="宋体"/>
          <w:spacing w:val="3"/>
          <w:sz w:val="16"/>
          <w:szCs w:val="16"/>
        </w:rPr>
        <w:t>叶飞跃，詹学，刘作义.2004.婴幼儿轮状病毒肠炎并乳糖不耐受症的临床研究.实用儿</w:t>
      </w:r>
      <w:r>
        <w:rPr>
          <w:rFonts w:ascii="宋体" w:eastAsia="宋体" w:hAnsi="宋体" w:cs="宋体"/>
          <w:spacing w:val="2"/>
          <w:sz w:val="16"/>
          <w:szCs w:val="16"/>
        </w:rPr>
        <w:t>科临床杂志，19</w:t>
      </w:r>
      <w:r>
        <w:rPr>
          <w:rFonts w:ascii="宋体" w:eastAsia="宋体" w:hAnsi="宋体" w:cs="宋体"/>
          <w:sz w:val="16"/>
          <w:szCs w:val="16"/>
        </w:rPr>
        <w:t xml:space="preserve"> </w:t>
      </w:r>
      <w:r>
        <w:rPr>
          <w:rFonts w:ascii="宋体" w:eastAsia="宋体" w:hAnsi="宋体" w:cs="宋体"/>
          <w:spacing w:val="-3"/>
          <w:sz w:val="16"/>
          <w:szCs w:val="16"/>
        </w:rPr>
        <w:t>(3):183～184</w:t>
      </w:r>
    </w:p>
    <w:p w:rsidR="00EA40A3" w:rsidRDefault="00E86C16">
      <w:pPr>
        <w:spacing w:before="85" w:line="219" w:lineRule="auto"/>
        <w:rPr>
          <w:rFonts w:ascii="宋体" w:eastAsia="宋体" w:hAnsi="宋体" w:cs="宋体"/>
          <w:sz w:val="16"/>
          <w:szCs w:val="16"/>
        </w:rPr>
      </w:pPr>
      <w:r>
        <w:rPr>
          <w:rFonts w:ascii="宋体" w:eastAsia="宋体" w:hAnsi="宋体" w:cs="宋体"/>
          <w:spacing w:val="1"/>
          <w:sz w:val="16"/>
          <w:szCs w:val="16"/>
        </w:rPr>
        <w:t>尹华英，张志贤，冯川平。2002.行食物过敏检测指导婴儿喂养.护理学杂志，17(3):235～234</w:t>
      </w:r>
    </w:p>
    <w:p w:rsidR="00EA40A3" w:rsidRDefault="00E86C16">
      <w:pPr>
        <w:spacing w:before="79" w:line="243" w:lineRule="auto"/>
        <w:ind w:right="27"/>
        <w:rPr>
          <w:rFonts w:ascii="宋体" w:eastAsia="宋体" w:hAnsi="宋体" w:cs="宋体"/>
          <w:sz w:val="16"/>
          <w:szCs w:val="16"/>
        </w:rPr>
      </w:pPr>
      <w:r>
        <w:rPr>
          <w:rFonts w:ascii="宋体" w:eastAsia="宋体" w:hAnsi="宋体" w:cs="宋体"/>
          <w:spacing w:val="10"/>
          <w:sz w:val="16"/>
          <w:szCs w:val="16"/>
        </w:rPr>
        <w:t>张风，何金妹，萧志坤.2001.乳母补铁对预防婴儿缺铁性贫血的观察.上海预防医学杂</w:t>
      </w:r>
      <w:r>
        <w:rPr>
          <w:rFonts w:ascii="宋体" w:eastAsia="宋体" w:hAnsi="宋体" w:cs="宋体"/>
          <w:spacing w:val="9"/>
          <w:sz w:val="16"/>
          <w:szCs w:val="16"/>
        </w:rPr>
        <w:t>志，13(4):</w:t>
      </w:r>
      <w:r>
        <w:rPr>
          <w:rFonts w:ascii="宋体" w:eastAsia="宋体" w:hAnsi="宋体" w:cs="宋体"/>
          <w:sz w:val="16"/>
          <w:szCs w:val="16"/>
        </w:rPr>
        <w:t xml:space="preserve"> </w:t>
      </w:r>
      <w:r>
        <w:rPr>
          <w:rFonts w:ascii="宋体" w:eastAsia="宋体" w:hAnsi="宋体" w:cs="宋体"/>
          <w:spacing w:val="-3"/>
          <w:sz w:val="16"/>
          <w:szCs w:val="16"/>
        </w:rPr>
        <w:t>171～172</w:t>
      </w:r>
    </w:p>
    <w:p w:rsidR="00EA40A3" w:rsidRDefault="00E86C16">
      <w:pPr>
        <w:spacing w:before="80" w:line="251" w:lineRule="auto"/>
        <w:ind w:right="50"/>
        <w:rPr>
          <w:rFonts w:ascii="宋体" w:eastAsia="宋体" w:hAnsi="宋体" w:cs="宋体"/>
          <w:sz w:val="16"/>
          <w:szCs w:val="16"/>
        </w:rPr>
      </w:pPr>
      <w:r>
        <w:rPr>
          <w:rFonts w:ascii="宋体" w:eastAsia="宋体" w:hAnsi="宋体" w:cs="宋体"/>
          <w:spacing w:val="1"/>
          <w:sz w:val="16"/>
          <w:szCs w:val="16"/>
        </w:rPr>
        <w:t>张会丰，李根山，刘兰芬等.2001.孕妇口服维生素K1</w:t>
      </w:r>
      <w:r>
        <w:rPr>
          <w:rFonts w:ascii="宋体" w:eastAsia="宋体" w:hAnsi="宋体" w:cs="宋体"/>
          <w:spacing w:val="4"/>
          <w:sz w:val="16"/>
          <w:szCs w:val="16"/>
        </w:rPr>
        <w:t xml:space="preserve"> </w:t>
      </w:r>
      <w:r>
        <w:rPr>
          <w:rFonts w:ascii="宋体" w:eastAsia="宋体" w:hAnsi="宋体" w:cs="宋体"/>
          <w:spacing w:val="1"/>
          <w:sz w:val="16"/>
          <w:szCs w:val="16"/>
        </w:rPr>
        <w:t>改善新生儿维生素K</w:t>
      </w:r>
      <w:r>
        <w:rPr>
          <w:rFonts w:ascii="宋体" w:eastAsia="宋体" w:hAnsi="宋体" w:cs="宋体"/>
          <w:spacing w:val="4"/>
          <w:sz w:val="16"/>
          <w:szCs w:val="16"/>
        </w:rPr>
        <w:t xml:space="preserve"> </w:t>
      </w:r>
      <w:r>
        <w:rPr>
          <w:rFonts w:ascii="宋体" w:eastAsia="宋体" w:hAnsi="宋体" w:cs="宋体"/>
          <w:spacing w:val="1"/>
          <w:sz w:val="16"/>
          <w:szCs w:val="16"/>
        </w:rPr>
        <w:t>营养状况.中国公共卫生，17</w:t>
      </w:r>
      <w:r>
        <w:rPr>
          <w:rFonts w:ascii="宋体" w:eastAsia="宋体" w:hAnsi="宋体" w:cs="宋体"/>
          <w:sz w:val="16"/>
          <w:szCs w:val="16"/>
        </w:rPr>
        <w:t xml:space="preserve"> </w:t>
      </w:r>
      <w:r>
        <w:rPr>
          <w:rFonts w:ascii="宋体" w:eastAsia="宋体" w:hAnsi="宋体" w:cs="宋体"/>
          <w:spacing w:val="-3"/>
          <w:sz w:val="16"/>
          <w:szCs w:val="16"/>
        </w:rPr>
        <w:t>(1):867～868</w:t>
      </w:r>
    </w:p>
    <w:p w:rsidR="00EA40A3" w:rsidRDefault="00E86C16">
      <w:pPr>
        <w:spacing w:before="84" w:line="243" w:lineRule="auto"/>
        <w:ind w:right="27"/>
        <w:rPr>
          <w:rFonts w:ascii="宋体" w:eastAsia="宋体" w:hAnsi="宋体" w:cs="宋体"/>
          <w:sz w:val="16"/>
          <w:szCs w:val="16"/>
        </w:rPr>
      </w:pPr>
      <w:r>
        <w:rPr>
          <w:rFonts w:ascii="宋体" w:eastAsia="宋体" w:hAnsi="宋体" w:cs="宋体"/>
          <w:spacing w:val="13"/>
          <w:sz w:val="16"/>
          <w:szCs w:val="16"/>
        </w:rPr>
        <w:t>张俊红，徐华，宋建平.2004.补碘对乳母及其婴儿碘营养状态的影响.空军总医院学报，20(4):</w:t>
      </w:r>
      <w:r>
        <w:rPr>
          <w:rFonts w:ascii="宋体" w:eastAsia="宋体" w:hAnsi="宋体" w:cs="宋体"/>
          <w:spacing w:val="17"/>
          <w:sz w:val="16"/>
          <w:szCs w:val="16"/>
        </w:rPr>
        <w:t xml:space="preserve"> </w:t>
      </w:r>
      <w:r>
        <w:rPr>
          <w:rFonts w:ascii="宋体" w:eastAsia="宋体" w:hAnsi="宋体" w:cs="宋体"/>
          <w:spacing w:val="-3"/>
          <w:sz w:val="16"/>
          <w:szCs w:val="16"/>
        </w:rPr>
        <w:t>190～192</w:t>
      </w:r>
    </w:p>
    <w:p w:rsidR="00EA40A3" w:rsidRDefault="00E86C16">
      <w:pPr>
        <w:spacing w:before="89" w:line="255" w:lineRule="auto"/>
        <w:ind w:right="43"/>
        <w:rPr>
          <w:rFonts w:ascii="宋体" w:eastAsia="宋体" w:hAnsi="宋体" w:cs="宋体"/>
          <w:sz w:val="16"/>
          <w:szCs w:val="16"/>
        </w:rPr>
      </w:pPr>
      <w:r>
        <w:rPr>
          <w:rFonts w:ascii="宋体" w:eastAsia="宋体" w:hAnsi="宋体" w:cs="宋体"/>
          <w:spacing w:val="4"/>
          <w:sz w:val="16"/>
          <w:szCs w:val="16"/>
        </w:rPr>
        <w:t>张明，毛有彦摘.1997.每日补充8000</w:t>
      </w:r>
      <w:r>
        <w:rPr>
          <w:rFonts w:ascii="宋体" w:eastAsia="宋体" w:hAnsi="宋体" w:cs="宋体"/>
          <w:sz w:val="16"/>
          <w:szCs w:val="16"/>
        </w:rPr>
        <w:t>IU</w:t>
      </w:r>
      <w:r>
        <w:rPr>
          <w:rFonts w:ascii="宋体" w:eastAsia="宋体" w:hAnsi="宋体" w:cs="宋体"/>
          <w:spacing w:val="-16"/>
          <w:sz w:val="16"/>
          <w:szCs w:val="16"/>
        </w:rPr>
        <w:t xml:space="preserve"> </w:t>
      </w:r>
      <w:r>
        <w:rPr>
          <w:rFonts w:ascii="宋体" w:eastAsia="宋体" w:hAnsi="宋体" w:cs="宋体"/>
          <w:spacing w:val="4"/>
          <w:sz w:val="16"/>
          <w:szCs w:val="16"/>
        </w:rPr>
        <w:t>维生素A</w:t>
      </w:r>
      <w:r>
        <w:rPr>
          <w:rFonts w:ascii="宋体" w:eastAsia="宋体" w:hAnsi="宋体" w:cs="宋体"/>
          <w:spacing w:val="12"/>
          <w:sz w:val="16"/>
          <w:szCs w:val="16"/>
        </w:rPr>
        <w:t xml:space="preserve"> </w:t>
      </w:r>
      <w:r>
        <w:rPr>
          <w:rFonts w:ascii="宋体" w:eastAsia="宋体" w:hAnsi="宋体" w:cs="宋体"/>
          <w:spacing w:val="4"/>
          <w:sz w:val="16"/>
          <w:szCs w:val="16"/>
        </w:rPr>
        <w:t>改善印度尼西亚哺乳期妇女维生素A</w:t>
      </w:r>
      <w:r>
        <w:rPr>
          <w:rFonts w:ascii="宋体" w:eastAsia="宋体" w:hAnsi="宋体" w:cs="宋体"/>
          <w:spacing w:val="11"/>
          <w:sz w:val="16"/>
          <w:szCs w:val="16"/>
        </w:rPr>
        <w:t xml:space="preserve"> </w:t>
      </w:r>
      <w:r>
        <w:rPr>
          <w:rFonts w:ascii="宋体" w:eastAsia="宋体" w:hAnsi="宋体" w:cs="宋体"/>
          <w:spacing w:val="3"/>
          <w:sz w:val="16"/>
          <w:szCs w:val="16"/>
        </w:rPr>
        <w:t>的营养状况.</w:t>
      </w:r>
      <w:r>
        <w:rPr>
          <w:rFonts w:ascii="宋体" w:eastAsia="宋体" w:hAnsi="宋体" w:cs="宋体"/>
          <w:spacing w:val="-47"/>
          <w:sz w:val="16"/>
          <w:szCs w:val="16"/>
        </w:rPr>
        <w:t xml:space="preserve"> </w:t>
      </w:r>
      <w:r>
        <w:rPr>
          <w:rFonts w:ascii="宋体" w:eastAsia="宋体" w:hAnsi="宋体" w:cs="宋体"/>
          <w:spacing w:val="3"/>
          <w:sz w:val="16"/>
          <w:szCs w:val="16"/>
        </w:rPr>
        <w:t>国</w:t>
      </w:r>
      <w:r>
        <w:rPr>
          <w:rFonts w:ascii="宋体" w:eastAsia="宋体" w:hAnsi="宋体" w:cs="宋体"/>
          <w:sz w:val="16"/>
          <w:szCs w:val="16"/>
        </w:rPr>
        <w:t xml:space="preserve"> </w:t>
      </w:r>
      <w:r>
        <w:rPr>
          <w:rFonts w:ascii="宋体" w:eastAsia="宋体" w:hAnsi="宋体" w:cs="宋体"/>
          <w:spacing w:val="4"/>
          <w:sz w:val="16"/>
          <w:szCs w:val="16"/>
        </w:rPr>
        <w:t>外医学卫生学分册，24(1):61～62</w:t>
      </w:r>
    </w:p>
    <w:p w:rsidR="00EA40A3" w:rsidRDefault="00E86C16">
      <w:pPr>
        <w:spacing w:before="59" w:line="219" w:lineRule="auto"/>
        <w:rPr>
          <w:rFonts w:ascii="宋体" w:eastAsia="宋体" w:hAnsi="宋体" w:cs="宋体"/>
          <w:sz w:val="16"/>
          <w:szCs w:val="16"/>
        </w:rPr>
      </w:pPr>
      <w:r>
        <w:rPr>
          <w:rFonts w:ascii="宋体" w:eastAsia="宋体" w:hAnsi="宋体" w:cs="宋体"/>
          <w:spacing w:val="5"/>
          <w:sz w:val="16"/>
          <w:szCs w:val="16"/>
        </w:rPr>
        <w:t>赵晶.1995.孕妇锌营养及其对胎儿的影响.国外医学妇幼保健分册，6(3</w:t>
      </w:r>
      <w:r>
        <w:rPr>
          <w:rFonts w:ascii="宋体" w:eastAsia="宋体" w:hAnsi="宋体" w:cs="宋体"/>
          <w:spacing w:val="4"/>
          <w:sz w:val="16"/>
          <w:szCs w:val="16"/>
        </w:rPr>
        <w:t>):97～99</w:t>
      </w:r>
    </w:p>
    <w:p w:rsidR="00EA40A3" w:rsidRDefault="00E86C16">
      <w:pPr>
        <w:spacing w:before="59" w:line="254" w:lineRule="auto"/>
        <w:ind w:right="131"/>
        <w:rPr>
          <w:rFonts w:ascii="宋体" w:eastAsia="宋体" w:hAnsi="宋体" w:cs="宋体"/>
          <w:sz w:val="16"/>
          <w:szCs w:val="16"/>
        </w:rPr>
      </w:pPr>
      <w:r>
        <w:rPr>
          <w:rFonts w:ascii="宋体" w:eastAsia="宋体" w:hAnsi="宋体" w:cs="宋体"/>
          <w:spacing w:val="4"/>
          <w:sz w:val="16"/>
          <w:szCs w:val="16"/>
        </w:rPr>
        <w:t xml:space="preserve">赵右更，庄留琪.1997.常妊娠及妊娠合并糖尿病孕妇的代谢变化.中华妇产科杂志，32(4):248～250 </w:t>
      </w:r>
      <w:r>
        <w:rPr>
          <w:rFonts w:ascii="宋体" w:eastAsia="宋体" w:hAnsi="宋体" w:cs="宋体"/>
          <w:spacing w:val="2"/>
          <w:sz w:val="16"/>
          <w:szCs w:val="16"/>
        </w:rPr>
        <w:t>中国营养学会.2000.中国居民膳食营养素参考摄入量.北</w:t>
      </w:r>
      <w:r>
        <w:rPr>
          <w:rFonts w:ascii="宋体" w:eastAsia="宋体" w:hAnsi="宋体" w:cs="宋体"/>
          <w:spacing w:val="1"/>
          <w:sz w:val="16"/>
          <w:szCs w:val="16"/>
        </w:rPr>
        <w:t>京：中国轻工业出版社</w:t>
      </w:r>
    </w:p>
    <w:p w:rsidR="00EA40A3" w:rsidRDefault="00E86C16">
      <w:pPr>
        <w:spacing w:before="61" w:line="219" w:lineRule="auto"/>
        <w:rPr>
          <w:rFonts w:ascii="宋体" w:eastAsia="宋体" w:hAnsi="宋体" w:cs="宋体"/>
          <w:sz w:val="16"/>
          <w:szCs w:val="16"/>
        </w:rPr>
      </w:pPr>
      <w:r>
        <w:rPr>
          <w:rFonts w:ascii="宋体" w:eastAsia="宋体" w:hAnsi="宋体" w:cs="宋体"/>
          <w:spacing w:val="4"/>
          <w:sz w:val="16"/>
          <w:szCs w:val="16"/>
        </w:rPr>
        <w:t>钟国隆.2002.生理学.北京：人民卫生出版社</w:t>
      </w:r>
    </w:p>
    <w:p w:rsidR="00EA40A3" w:rsidRDefault="00E86C16">
      <w:pPr>
        <w:spacing w:before="107" w:line="259" w:lineRule="auto"/>
        <w:ind w:right="48"/>
        <w:rPr>
          <w:rFonts w:ascii="Times New Roman" w:eastAsia="Times New Roman" w:hAnsi="Times New Roman" w:cs="Times New Roman"/>
          <w:sz w:val="16"/>
          <w:szCs w:val="16"/>
        </w:rPr>
      </w:pPr>
      <w:r>
        <w:rPr>
          <w:rFonts w:ascii="Times New Roman" w:eastAsia="Times New Roman" w:hAnsi="Times New Roman" w:cs="Times New Roman"/>
          <w:sz w:val="16"/>
          <w:szCs w:val="16"/>
        </w:rPr>
        <w:t>Linder   M</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C</w:t>
      </w:r>
      <w:r>
        <w:rPr>
          <w:rFonts w:ascii="Times New Roman" w:eastAsia="Times New Roman" w:hAnsi="Times New Roman" w:cs="Times New Roman"/>
          <w:spacing w:val="-1"/>
          <w:sz w:val="16"/>
          <w:szCs w:val="16"/>
        </w:rPr>
        <w:t>.</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1991.</w:t>
      </w:r>
      <w:r>
        <w:rPr>
          <w:rFonts w:ascii="Times New Roman" w:eastAsia="Times New Roman" w:hAnsi="Times New Roman" w:cs="Times New Roman"/>
          <w:sz w:val="16"/>
          <w:szCs w:val="16"/>
        </w:rPr>
        <w:t>Nutritional</w:t>
      </w:r>
      <w:r>
        <w:rPr>
          <w:rFonts w:ascii="Times New Roman" w:eastAsia="Times New Roman" w:hAnsi="Times New Roman" w:cs="Times New Roman"/>
          <w:spacing w:val="19"/>
          <w:w w:val="101"/>
          <w:sz w:val="16"/>
          <w:szCs w:val="16"/>
        </w:rPr>
        <w:t xml:space="preserve">  </w:t>
      </w:r>
      <w:r>
        <w:rPr>
          <w:rFonts w:ascii="Times New Roman" w:eastAsia="Times New Roman" w:hAnsi="Times New Roman" w:cs="Times New Roman"/>
          <w:sz w:val="16"/>
          <w:szCs w:val="16"/>
        </w:rPr>
        <w:t>biochemistr</w:t>
      </w:r>
      <w:r>
        <w:rPr>
          <w:rFonts w:ascii="Times New Roman" w:eastAsia="Times New Roman" w:hAnsi="Times New Roman" w:cs="Times New Roman"/>
          <w:spacing w:val="-1"/>
          <w:sz w:val="16"/>
          <w:szCs w:val="16"/>
        </w:rPr>
        <w:t>y</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0"/>
          <w:w w:val="102"/>
          <w:sz w:val="16"/>
          <w:szCs w:val="16"/>
        </w:rPr>
        <w:t xml:space="preserve">  </w:t>
      </w:r>
      <w:r>
        <w:rPr>
          <w:rFonts w:ascii="Times New Roman" w:eastAsia="Times New Roman" w:hAnsi="Times New Roman" w:cs="Times New Roman"/>
          <w:spacing w:val="-1"/>
          <w:sz w:val="16"/>
          <w:szCs w:val="16"/>
        </w:rPr>
        <w:t>metabolism.</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East</w:t>
      </w:r>
      <w:r>
        <w:rPr>
          <w:rFonts w:ascii="Times New Roman" w:eastAsia="Times New Roman" w:hAnsi="Times New Roman" w:cs="Times New Roman"/>
          <w:spacing w:val="19"/>
          <w:sz w:val="16"/>
          <w:szCs w:val="16"/>
        </w:rPr>
        <w:t xml:space="preserve">  </w:t>
      </w:r>
      <w:r>
        <w:rPr>
          <w:rFonts w:ascii="Times New Roman" w:eastAsia="Times New Roman" w:hAnsi="Times New Roman" w:cs="Times New Roman"/>
          <w:spacing w:val="-1"/>
          <w:sz w:val="16"/>
          <w:szCs w:val="16"/>
        </w:rPr>
        <w:t>Norwalk,</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Connecticut:Appleren</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pacing w:val="-1"/>
          <w:sz w:val="16"/>
          <w:szCs w:val="16"/>
        </w:rPr>
        <w:t>&amp;.</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
          <w:sz w:val="16"/>
          <w:szCs w:val="16"/>
        </w:rPr>
        <w:t>Lange,Simon</w:t>
      </w:r>
      <w:r>
        <w:rPr>
          <w:rFonts w:ascii="Times New Roman" w:eastAsia="Times New Roman" w:hAnsi="Times New Roman" w:cs="Times New Roman"/>
          <w:spacing w:val="43"/>
          <w:sz w:val="16"/>
          <w:szCs w:val="16"/>
        </w:rPr>
        <w:t xml:space="preserve"> </w:t>
      </w:r>
      <w:r>
        <w:rPr>
          <w:rFonts w:ascii="Times New Roman" w:eastAsia="Times New Roman" w:hAnsi="Times New Roman" w:cs="Times New Roman"/>
          <w:spacing w:val="-1"/>
          <w:sz w:val="16"/>
          <w:szCs w:val="16"/>
        </w:rPr>
        <w:t>&amp;.</w:t>
      </w:r>
      <w:r>
        <w:rPr>
          <w:rFonts w:ascii="Times New Roman" w:eastAsia="Times New Roman" w:hAnsi="Times New Roman" w:cs="Times New Roman"/>
          <w:spacing w:val="36"/>
          <w:w w:val="101"/>
          <w:sz w:val="16"/>
          <w:szCs w:val="16"/>
        </w:rPr>
        <w:t xml:space="preserve"> </w:t>
      </w:r>
      <w:r>
        <w:rPr>
          <w:rFonts w:ascii="Times New Roman" w:eastAsia="Times New Roman" w:hAnsi="Times New Roman" w:cs="Times New Roman"/>
          <w:spacing w:val="-1"/>
          <w:sz w:val="16"/>
          <w:szCs w:val="16"/>
        </w:rPr>
        <w:t>Schuster</w:t>
      </w:r>
      <w:r>
        <w:rPr>
          <w:rFonts w:ascii="Times New Roman" w:eastAsia="Times New Roman" w:hAnsi="Times New Roman" w:cs="Times New Roman"/>
          <w:spacing w:val="28"/>
          <w:sz w:val="16"/>
          <w:szCs w:val="16"/>
        </w:rPr>
        <w:t xml:space="preserve"> </w:t>
      </w:r>
      <w:r>
        <w:rPr>
          <w:rFonts w:ascii="Times New Roman" w:eastAsia="Times New Roman" w:hAnsi="Times New Roman" w:cs="Times New Roman"/>
          <w:spacing w:val="-1"/>
          <w:sz w:val="16"/>
          <w:szCs w:val="16"/>
        </w:rPr>
        <w:t>Business</w:t>
      </w:r>
      <w:r>
        <w:rPr>
          <w:rFonts w:ascii="Times New Roman" w:eastAsia="Times New Roman" w:hAnsi="Times New Roman" w:cs="Times New Roman"/>
          <w:spacing w:val="32"/>
          <w:w w:val="101"/>
          <w:sz w:val="16"/>
          <w:szCs w:val="16"/>
        </w:rPr>
        <w:t xml:space="preserve"> </w:t>
      </w:r>
      <w:r>
        <w:rPr>
          <w:rFonts w:ascii="Times New Roman" w:eastAsia="Times New Roman" w:hAnsi="Times New Roman" w:cs="Times New Roman"/>
          <w:spacing w:val="-1"/>
          <w:sz w:val="16"/>
          <w:szCs w:val="16"/>
        </w:rPr>
        <w:t>and</w:t>
      </w:r>
      <w:r>
        <w:rPr>
          <w:rFonts w:ascii="Times New Roman" w:eastAsia="Times New Roman" w:hAnsi="Times New Roman" w:cs="Times New Roman"/>
          <w:spacing w:val="28"/>
          <w:w w:val="101"/>
          <w:sz w:val="16"/>
          <w:szCs w:val="16"/>
        </w:rPr>
        <w:t xml:space="preserve"> </w:t>
      </w:r>
      <w:r>
        <w:rPr>
          <w:rFonts w:ascii="Times New Roman" w:eastAsia="Times New Roman" w:hAnsi="Times New Roman" w:cs="Times New Roman"/>
          <w:spacing w:val="-1"/>
          <w:sz w:val="16"/>
          <w:szCs w:val="16"/>
        </w:rPr>
        <w:t>Professioal</w:t>
      </w:r>
      <w:r>
        <w:rPr>
          <w:rFonts w:ascii="Times New Roman" w:eastAsia="Times New Roman" w:hAnsi="Times New Roman" w:cs="Times New Roman"/>
          <w:spacing w:val="32"/>
          <w:sz w:val="16"/>
          <w:szCs w:val="16"/>
        </w:rPr>
        <w:t xml:space="preserve"> </w:t>
      </w:r>
      <w:r>
        <w:rPr>
          <w:rFonts w:ascii="Times New Roman" w:eastAsia="Times New Roman" w:hAnsi="Times New Roman" w:cs="Times New Roman"/>
          <w:spacing w:val="-1"/>
          <w:sz w:val="16"/>
          <w:szCs w:val="16"/>
        </w:rPr>
        <w:t>Group</w:t>
      </w:r>
    </w:p>
    <w:p w:rsidR="00EA40A3" w:rsidRDefault="00E86C16">
      <w:pPr>
        <w:spacing w:before="112"/>
        <w:rPr>
          <w:rFonts w:ascii="宋体" w:eastAsia="宋体" w:hAnsi="宋体" w:cs="宋体"/>
          <w:sz w:val="16"/>
          <w:szCs w:val="16"/>
        </w:rPr>
      </w:pPr>
      <w:r>
        <w:rPr>
          <w:rFonts w:ascii="宋体" w:eastAsia="宋体" w:hAnsi="宋体" w:cs="宋体"/>
          <w:spacing w:val="-19"/>
          <w:sz w:val="16"/>
          <w:szCs w:val="16"/>
        </w:rPr>
        <w:t>·</w:t>
      </w:r>
      <w:r>
        <w:rPr>
          <w:rFonts w:ascii="宋体" w:eastAsia="宋体" w:hAnsi="宋体" w:cs="宋体"/>
          <w:spacing w:val="6"/>
          <w:sz w:val="16"/>
          <w:szCs w:val="16"/>
        </w:rPr>
        <w:t xml:space="preserve"> </w:t>
      </w:r>
      <w:r>
        <w:rPr>
          <w:rFonts w:ascii="宋体" w:eastAsia="宋体" w:hAnsi="宋体" w:cs="宋体"/>
          <w:spacing w:val="-19"/>
          <w:sz w:val="16"/>
          <w:szCs w:val="16"/>
        </w:rPr>
        <w:t>350</w:t>
      </w:r>
      <w:r>
        <w:rPr>
          <w:rFonts w:ascii="宋体" w:eastAsia="宋体" w:hAnsi="宋体" w:cs="宋体"/>
          <w:spacing w:val="52"/>
          <w:w w:val="101"/>
          <w:sz w:val="16"/>
          <w:szCs w:val="16"/>
        </w:rPr>
        <w:t xml:space="preserve"> </w:t>
      </w:r>
      <w:r>
        <w:rPr>
          <w:rFonts w:ascii="宋体" w:eastAsia="宋体" w:hAnsi="宋体" w:cs="宋体"/>
          <w:spacing w:val="-19"/>
          <w:sz w:val="16"/>
          <w:szCs w:val="16"/>
        </w:rPr>
        <w:t>·</w:t>
      </w:r>
    </w:p>
    <w:p w:rsidR="00EA40A3" w:rsidRDefault="00EA40A3">
      <w:pPr>
        <w:sectPr w:rsidR="00EA40A3">
          <w:pgSz w:w="9220" w:h="13360"/>
          <w:pgMar w:top="400" w:right="1040" w:bottom="400" w:left="869" w:header="0" w:footer="0" w:gutter="0"/>
          <w:cols w:space="720"/>
        </w:sectPr>
      </w:pPr>
    </w:p>
    <w:p w:rsidR="00EA40A3" w:rsidRDefault="00EA40A3">
      <w:pPr>
        <w:spacing w:line="272"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86C16">
      <w:pPr>
        <w:spacing w:before="104" w:line="219" w:lineRule="auto"/>
        <w:ind w:left="1884"/>
        <w:rPr>
          <w:rFonts w:ascii="宋体" w:eastAsia="宋体" w:hAnsi="宋体" w:cs="宋体"/>
          <w:sz w:val="32"/>
          <w:szCs w:val="32"/>
        </w:rPr>
      </w:pPr>
      <w:r>
        <w:rPr>
          <w:rFonts w:ascii="宋体" w:eastAsia="宋体" w:hAnsi="宋体" w:cs="宋体"/>
          <w:b/>
          <w:bCs/>
          <w:spacing w:val="3"/>
          <w:sz w:val="32"/>
          <w:szCs w:val="32"/>
        </w:rPr>
        <w:t>第11章</w:t>
      </w:r>
      <w:r>
        <w:rPr>
          <w:rFonts w:ascii="宋体" w:eastAsia="宋体" w:hAnsi="宋体" w:cs="宋体"/>
          <w:spacing w:val="133"/>
          <w:sz w:val="32"/>
          <w:szCs w:val="32"/>
        </w:rPr>
        <w:t xml:space="preserve"> </w:t>
      </w:r>
      <w:r>
        <w:rPr>
          <w:rFonts w:ascii="宋体" w:eastAsia="宋体" w:hAnsi="宋体" w:cs="宋体"/>
          <w:b/>
          <w:bCs/>
          <w:spacing w:val="3"/>
          <w:sz w:val="32"/>
          <w:szCs w:val="32"/>
        </w:rPr>
        <w:t>膳食营养与健康</w:t>
      </w:r>
    </w:p>
    <w:p w:rsidR="00EA40A3" w:rsidRDefault="00EA40A3">
      <w:pPr>
        <w:spacing w:line="266" w:lineRule="auto"/>
      </w:pPr>
    </w:p>
    <w:p w:rsidR="00EA40A3" w:rsidRDefault="00EA40A3">
      <w:pPr>
        <w:spacing w:line="266" w:lineRule="auto"/>
      </w:pPr>
    </w:p>
    <w:p w:rsidR="00EA40A3" w:rsidRDefault="00E86C16">
      <w:pPr>
        <w:spacing w:before="72" w:line="221" w:lineRule="auto"/>
        <w:ind w:left="3153"/>
        <w:rPr>
          <w:rFonts w:ascii="黑体" w:eastAsia="黑体" w:hAnsi="黑体" w:cs="黑体"/>
          <w:sz w:val="22"/>
          <w:szCs w:val="22"/>
        </w:rPr>
      </w:pPr>
      <w:r>
        <w:rPr>
          <w:rFonts w:ascii="黑体" w:eastAsia="黑体" w:hAnsi="黑体" w:cs="黑体"/>
          <w:b/>
          <w:bCs/>
          <w:spacing w:val="27"/>
          <w:sz w:val="22"/>
          <w:szCs w:val="22"/>
        </w:rPr>
        <w:t>教学目标</w:t>
      </w:r>
    </w:p>
    <w:p w:rsidR="00EA40A3" w:rsidRDefault="00E86C16">
      <w:pPr>
        <w:spacing w:before="196" w:line="223" w:lineRule="auto"/>
        <w:ind w:left="520"/>
        <w:rPr>
          <w:rFonts w:ascii="楷体" w:eastAsia="楷体" w:hAnsi="楷体" w:cs="楷体"/>
          <w:sz w:val="22"/>
          <w:szCs w:val="22"/>
        </w:rPr>
      </w:pPr>
      <w:r>
        <w:rPr>
          <w:rFonts w:ascii="楷体" w:eastAsia="楷体" w:hAnsi="楷体" w:cs="楷体"/>
          <w:spacing w:val="-18"/>
          <w:sz w:val="22"/>
          <w:szCs w:val="22"/>
        </w:rPr>
        <w:t>·</w:t>
      </w:r>
      <w:r>
        <w:rPr>
          <w:rFonts w:ascii="楷体" w:eastAsia="楷体" w:hAnsi="楷体" w:cs="楷体"/>
          <w:spacing w:val="-60"/>
          <w:sz w:val="22"/>
          <w:szCs w:val="22"/>
        </w:rPr>
        <w:t xml:space="preserve"> </w:t>
      </w:r>
      <w:r>
        <w:rPr>
          <w:rFonts w:ascii="楷体" w:eastAsia="楷体" w:hAnsi="楷体" w:cs="楷体"/>
          <w:spacing w:val="-18"/>
          <w:sz w:val="22"/>
          <w:szCs w:val="22"/>
        </w:rPr>
        <w:t>了解营养对机体免疫机能的影响。</w:t>
      </w:r>
    </w:p>
    <w:p w:rsidR="00EA40A3" w:rsidRDefault="00E86C16">
      <w:pPr>
        <w:spacing w:before="32" w:line="235" w:lineRule="auto"/>
        <w:ind w:left="520" w:right="761"/>
        <w:rPr>
          <w:rFonts w:ascii="楷体" w:eastAsia="楷体" w:hAnsi="楷体" w:cs="楷体"/>
          <w:sz w:val="22"/>
          <w:szCs w:val="22"/>
        </w:rPr>
      </w:pPr>
      <w:r>
        <w:rPr>
          <w:rFonts w:ascii="楷体" w:eastAsia="楷体" w:hAnsi="楷体" w:cs="楷体"/>
          <w:spacing w:val="-12"/>
          <w:sz w:val="22"/>
          <w:szCs w:val="22"/>
        </w:rPr>
        <w:t>·认识营养与肿瘤、高血压、冠心病、糖尿病、肥胖等疾病的关系</w:t>
      </w:r>
      <w:r>
        <w:rPr>
          <w:rFonts w:ascii="楷体" w:eastAsia="楷体" w:hAnsi="楷体" w:cs="楷体"/>
          <w:spacing w:val="4"/>
          <w:sz w:val="22"/>
          <w:szCs w:val="22"/>
        </w:rPr>
        <w:t xml:space="preserve"> </w:t>
      </w:r>
      <w:r>
        <w:rPr>
          <w:rFonts w:ascii="楷体" w:eastAsia="楷体" w:hAnsi="楷体" w:cs="楷体"/>
          <w:spacing w:val="-18"/>
          <w:sz w:val="22"/>
          <w:szCs w:val="22"/>
        </w:rPr>
        <w:t>·</w:t>
      </w:r>
      <w:r>
        <w:rPr>
          <w:rFonts w:ascii="楷体" w:eastAsia="楷体" w:hAnsi="楷体" w:cs="楷体"/>
          <w:spacing w:val="-80"/>
          <w:sz w:val="22"/>
          <w:szCs w:val="22"/>
        </w:rPr>
        <w:t xml:space="preserve"> </w:t>
      </w:r>
      <w:r>
        <w:rPr>
          <w:rFonts w:ascii="楷体" w:eastAsia="楷体" w:hAnsi="楷体" w:cs="楷体"/>
          <w:spacing w:val="-18"/>
          <w:sz w:val="22"/>
          <w:szCs w:val="22"/>
        </w:rPr>
        <w:t>掌握预防上述慢性病的饮食原则，</w:t>
      </w:r>
    </w:p>
    <w:p w:rsidR="00EA40A3" w:rsidRDefault="00EA40A3">
      <w:pPr>
        <w:spacing w:line="285" w:lineRule="auto"/>
      </w:pPr>
    </w:p>
    <w:p w:rsidR="00EA40A3" w:rsidRDefault="00E86C16">
      <w:pPr>
        <w:spacing w:before="72" w:line="246" w:lineRule="auto"/>
        <w:ind w:firstLine="419"/>
        <w:jc w:val="both"/>
        <w:rPr>
          <w:rFonts w:ascii="宋体" w:eastAsia="宋体" w:hAnsi="宋体" w:cs="宋体"/>
          <w:sz w:val="22"/>
          <w:szCs w:val="22"/>
        </w:rPr>
      </w:pPr>
      <w:r>
        <w:rPr>
          <w:rFonts w:ascii="宋体" w:eastAsia="宋体" w:hAnsi="宋体" w:cs="宋体"/>
          <w:spacing w:val="-13"/>
          <w:sz w:val="22"/>
          <w:szCs w:val="22"/>
        </w:rPr>
        <w:t>结构合理、营养平衡的膳食能满足机体对能量和各种营养素的需要，</w:t>
      </w:r>
      <w:r>
        <w:rPr>
          <w:rFonts w:ascii="宋体" w:eastAsia="宋体" w:hAnsi="宋体" w:cs="宋体"/>
          <w:spacing w:val="-14"/>
          <w:sz w:val="22"/>
          <w:szCs w:val="22"/>
        </w:rPr>
        <w:t>是维持</w:t>
      </w:r>
      <w:r>
        <w:rPr>
          <w:rFonts w:ascii="宋体" w:eastAsia="宋体" w:hAnsi="宋体" w:cs="宋体"/>
          <w:sz w:val="22"/>
          <w:szCs w:val="22"/>
        </w:rPr>
        <w:t xml:space="preserve"> </w:t>
      </w:r>
      <w:r>
        <w:rPr>
          <w:rFonts w:ascii="宋体" w:eastAsia="宋体" w:hAnsi="宋体" w:cs="宋体"/>
          <w:spacing w:val="-11"/>
          <w:sz w:val="22"/>
          <w:szCs w:val="22"/>
        </w:rPr>
        <w:t>人体健康和提高工作效率的重要条件。当膳食结构不合理</w:t>
      </w:r>
      <w:r>
        <w:rPr>
          <w:rFonts w:ascii="宋体" w:eastAsia="宋体" w:hAnsi="宋体" w:cs="宋体"/>
          <w:spacing w:val="-12"/>
          <w:sz w:val="22"/>
          <w:szCs w:val="22"/>
        </w:rPr>
        <w:t>即营养失调时，因某种</w:t>
      </w:r>
      <w:r>
        <w:rPr>
          <w:rFonts w:ascii="宋体" w:eastAsia="宋体" w:hAnsi="宋体" w:cs="宋体"/>
          <w:sz w:val="22"/>
          <w:szCs w:val="22"/>
        </w:rPr>
        <w:t xml:space="preserve"> </w:t>
      </w:r>
      <w:r>
        <w:rPr>
          <w:rFonts w:ascii="宋体" w:eastAsia="宋体" w:hAnsi="宋体" w:cs="宋体"/>
          <w:spacing w:val="-11"/>
          <w:sz w:val="22"/>
          <w:szCs w:val="22"/>
        </w:rPr>
        <w:t>或某些营养素摄入不足，体内的营养储备严重消耗，则出现相应的病理性改变，</w:t>
      </w:r>
      <w:r>
        <w:rPr>
          <w:rFonts w:ascii="宋体" w:eastAsia="宋体" w:hAnsi="宋体" w:cs="宋体"/>
          <w:spacing w:val="3"/>
          <w:sz w:val="22"/>
          <w:szCs w:val="22"/>
        </w:rPr>
        <w:t xml:space="preserve"> </w:t>
      </w:r>
      <w:r>
        <w:rPr>
          <w:rFonts w:ascii="宋体" w:eastAsia="宋体" w:hAnsi="宋体" w:cs="宋体"/>
          <w:spacing w:val="-13"/>
          <w:sz w:val="22"/>
          <w:szCs w:val="22"/>
        </w:rPr>
        <w:t>继而发生临床上可见的营养缺乏病。反之，过量摄入能量和某些营养素，则可能</w:t>
      </w:r>
      <w:r>
        <w:rPr>
          <w:rFonts w:ascii="宋体" w:eastAsia="宋体" w:hAnsi="宋体" w:cs="宋体"/>
          <w:spacing w:val="4"/>
          <w:sz w:val="22"/>
          <w:szCs w:val="22"/>
        </w:rPr>
        <w:t xml:space="preserve"> </w:t>
      </w:r>
      <w:r>
        <w:rPr>
          <w:rFonts w:ascii="宋体" w:eastAsia="宋体" w:hAnsi="宋体" w:cs="宋体"/>
          <w:spacing w:val="-8"/>
          <w:sz w:val="22"/>
          <w:szCs w:val="22"/>
        </w:rPr>
        <w:t>导致肥胖、心血管疾病、肿瘤等发生，或因某些营养素过量而发生中毒，有碍</w:t>
      </w:r>
      <w:r>
        <w:rPr>
          <w:rFonts w:ascii="宋体" w:eastAsia="宋体" w:hAnsi="宋体" w:cs="宋体"/>
          <w:spacing w:val="4"/>
          <w:sz w:val="22"/>
          <w:szCs w:val="22"/>
        </w:rPr>
        <w:t xml:space="preserve">  </w:t>
      </w:r>
      <w:r>
        <w:rPr>
          <w:rFonts w:ascii="宋体" w:eastAsia="宋体" w:hAnsi="宋体" w:cs="宋体"/>
          <w:spacing w:val="-16"/>
          <w:sz w:val="22"/>
          <w:szCs w:val="22"/>
        </w:rPr>
        <w:t>健康。</w:t>
      </w:r>
    </w:p>
    <w:p w:rsidR="00EA40A3" w:rsidRDefault="00EA40A3">
      <w:pPr>
        <w:spacing w:line="308" w:lineRule="auto"/>
      </w:pPr>
    </w:p>
    <w:p w:rsidR="00EA40A3" w:rsidRDefault="00E86C16">
      <w:pPr>
        <w:spacing w:before="91" w:line="219" w:lineRule="auto"/>
        <w:ind w:left="2569"/>
        <w:rPr>
          <w:rFonts w:ascii="宋体" w:eastAsia="宋体" w:hAnsi="宋体" w:cs="宋体"/>
          <w:sz w:val="28"/>
          <w:szCs w:val="28"/>
        </w:rPr>
      </w:pPr>
      <w:r>
        <w:rPr>
          <w:rFonts w:ascii="宋体" w:eastAsia="宋体" w:hAnsi="宋体" w:cs="宋体"/>
          <w:spacing w:val="-6"/>
          <w:sz w:val="28"/>
          <w:szCs w:val="28"/>
        </w:rPr>
        <w:t>11.1</w:t>
      </w:r>
      <w:r>
        <w:rPr>
          <w:rFonts w:ascii="宋体" w:eastAsia="宋体" w:hAnsi="宋体" w:cs="宋体"/>
          <w:spacing w:val="137"/>
          <w:sz w:val="28"/>
          <w:szCs w:val="28"/>
        </w:rPr>
        <w:t xml:space="preserve"> </w:t>
      </w:r>
      <w:r>
        <w:rPr>
          <w:rFonts w:ascii="宋体" w:eastAsia="宋体" w:hAnsi="宋体" w:cs="宋体"/>
          <w:spacing w:val="-6"/>
          <w:sz w:val="28"/>
          <w:szCs w:val="28"/>
        </w:rPr>
        <w:t>营养与免疫</w:t>
      </w:r>
    </w:p>
    <w:p w:rsidR="00EA40A3" w:rsidRDefault="00E86C16">
      <w:pPr>
        <w:spacing w:before="220" w:line="221" w:lineRule="auto"/>
        <w:ind w:left="3"/>
        <w:outlineLvl w:val="6"/>
        <w:rPr>
          <w:rFonts w:ascii="黑体" w:eastAsia="黑体" w:hAnsi="黑体" w:cs="黑体"/>
          <w:sz w:val="22"/>
          <w:szCs w:val="22"/>
        </w:rPr>
      </w:pPr>
      <w:r>
        <w:rPr>
          <w:rFonts w:ascii="黑体" w:eastAsia="黑体" w:hAnsi="黑体" w:cs="黑体"/>
          <w:b/>
          <w:bCs/>
          <w:spacing w:val="4"/>
          <w:sz w:val="22"/>
          <w:szCs w:val="22"/>
        </w:rPr>
        <w:t>11.1.1</w:t>
      </w:r>
      <w:r>
        <w:rPr>
          <w:rFonts w:ascii="黑体" w:eastAsia="黑体" w:hAnsi="黑体" w:cs="黑体"/>
          <w:spacing w:val="32"/>
          <w:sz w:val="22"/>
          <w:szCs w:val="22"/>
        </w:rPr>
        <w:t xml:space="preserve">  </w:t>
      </w:r>
      <w:r>
        <w:rPr>
          <w:rFonts w:ascii="黑体" w:eastAsia="黑体" w:hAnsi="黑体" w:cs="黑体"/>
          <w:b/>
          <w:bCs/>
          <w:spacing w:val="4"/>
          <w:sz w:val="22"/>
          <w:szCs w:val="22"/>
        </w:rPr>
        <w:t>人体免疫系统</w:t>
      </w:r>
    </w:p>
    <w:p w:rsidR="00EA40A3" w:rsidRDefault="00E86C16">
      <w:pPr>
        <w:spacing w:before="176" w:line="248" w:lineRule="auto"/>
        <w:ind w:right="70" w:firstLine="419"/>
        <w:jc w:val="both"/>
        <w:rPr>
          <w:rFonts w:ascii="宋体" w:eastAsia="宋体" w:hAnsi="宋体" w:cs="宋体"/>
          <w:sz w:val="22"/>
          <w:szCs w:val="22"/>
        </w:rPr>
      </w:pPr>
      <w:r>
        <w:rPr>
          <w:rFonts w:ascii="宋体" w:eastAsia="宋体" w:hAnsi="宋体" w:cs="宋体"/>
          <w:spacing w:val="-5"/>
          <w:sz w:val="22"/>
          <w:szCs w:val="22"/>
        </w:rPr>
        <w:t>免疫</w:t>
      </w:r>
      <w:r>
        <w:rPr>
          <w:rFonts w:ascii="宋体" w:eastAsia="宋体" w:hAnsi="宋体" w:cs="宋体"/>
          <w:spacing w:val="-20"/>
          <w:sz w:val="22"/>
          <w:szCs w:val="22"/>
        </w:rPr>
        <w:t xml:space="preserve"> </w:t>
      </w:r>
      <w:r>
        <w:rPr>
          <w:rFonts w:ascii="宋体" w:eastAsia="宋体" w:hAnsi="宋体" w:cs="宋体"/>
          <w:spacing w:val="-5"/>
          <w:sz w:val="22"/>
          <w:szCs w:val="22"/>
        </w:rPr>
        <w:t>(immunity)</w:t>
      </w:r>
      <w:r>
        <w:rPr>
          <w:rFonts w:ascii="宋体" w:eastAsia="宋体" w:hAnsi="宋体" w:cs="宋体"/>
          <w:spacing w:val="-12"/>
          <w:sz w:val="22"/>
          <w:szCs w:val="22"/>
        </w:rPr>
        <w:t xml:space="preserve"> </w:t>
      </w:r>
      <w:r>
        <w:rPr>
          <w:rFonts w:ascii="宋体" w:eastAsia="宋体" w:hAnsi="宋体" w:cs="宋体"/>
          <w:spacing w:val="-5"/>
          <w:sz w:val="22"/>
          <w:szCs w:val="22"/>
        </w:rPr>
        <w:t>是指机体识别和排除抗原性异物，以维持体内环境平衡</w:t>
      </w:r>
      <w:r>
        <w:rPr>
          <w:rFonts w:ascii="宋体" w:eastAsia="宋体" w:hAnsi="宋体" w:cs="宋体"/>
          <w:sz w:val="22"/>
          <w:szCs w:val="22"/>
        </w:rPr>
        <w:t xml:space="preserve"> </w:t>
      </w:r>
      <w:r>
        <w:rPr>
          <w:rFonts w:ascii="宋体" w:eastAsia="宋体" w:hAnsi="宋体" w:cs="宋体"/>
          <w:spacing w:val="-14"/>
          <w:sz w:val="22"/>
          <w:szCs w:val="22"/>
        </w:rPr>
        <w:t>和稳定的一种特异性生理反应。人体的免疫功能主要由免疫系统来完成。均衡的</w:t>
      </w:r>
      <w:r>
        <w:rPr>
          <w:rFonts w:ascii="宋体" w:eastAsia="宋体" w:hAnsi="宋体" w:cs="宋体"/>
          <w:spacing w:val="15"/>
          <w:sz w:val="22"/>
          <w:szCs w:val="22"/>
        </w:rPr>
        <w:t xml:space="preserve"> </w:t>
      </w:r>
      <w:r>
        <w:rPr>
          <w:rFonts w:ascii="宋体" w:eastAsia="宋体" w:hAnsi="宋体" w:cs="宋体"/>
          <w:spacing w:val="-12"/>
          <w:sz w:val="22"/>
          <w:szCs w:val="22"/>
        </w:rPr>
        <w:t>营养是免疫系统发挥正常功能的基础.</w:t>
      </w:r>
    </w:p>
    <w:p w:rsidR="00EA40A3" w:rsidRDefault="00E86C16">
      <w:pPr>
        <w:spacing w:before="219" w:line="223"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13"/>
          <w:sz w:val="22"/>
          <w:szCs w:val="22"/>
        </w:rPr>
        <w:t xml:space="preserve"> </w:t>
      </w:r>
      <w:r>
        <w:rPr>
          <w:rFonts w:ascii="仿宋" w:eastAsia="仿宋" w:hAnsi="仿宋" w:cs="仿宋"/>
          <w:spacing w:val="6"/>
          <w:sz w:val="22"/>
          <w:szCs w:val="22"/>
        </w:rPr>
        <w:t>免疫系统的组成</w:t>
      </w:r>
    </w:p>
    <w:p w:rsidR="00EA40A3" w:rsidRDefault="00E86C16">
      <w:pPr>
        <w:spacing w:before="205" w:line="294" w:lineRule="exact"/>
        <w:ind w:left="419"/>
        <w:rPr>
          <w:rFonts w:ascii="宋体" w:eastAsia="宋体" w:hAnsi="宋体" w:cs="宋体"/>
          <w:sz w:val="22"/>
          <w:szCs w:val="22"/>
        </w:rPr>
      </w:pPr>
      <w:r>
        <w:rPr>
          <w:rFonts w:ascii="宋体" w:eastAsia="宋体" w:hAnsi="宋体" w:cs="宋体"/>
          <w:spacing w:val="-14"/>
          <w:position w:val="5"/>
          <w:sz w:val="22"/>
          <w:szCs w:val="22"/>
        </w:rPr>
        <w:t>人体的免疫系统由免疫器官、免疫细胞及细胞因子构成。</w:t>
      </w:r>
    </w:p>
    <w:p w:rsidR="00EA40A3" w:rsidRDefault="00E86C16">
      <w:pPr>
        <w:spacing w:before="2" w:line="222" w:lineRule="auto"/>
        <w:rPr>
          <w:rFonts w:ascii="楷体" w:eastAsia="楷体" w:hAnsi="楷体" w:cs="楷体"/>
          <w:sz w:val="22"/>
          <w:szCs w:val="22"/>
        </w:rPr>
      </w:pPr>
      <w:r>
        <w:rPr>
          <w:rFonts w:ascii="楷体" w:eastAsia="楷体" w:hAnsi="楷体" w:cs="楷体"/>
          <w:spacing w:val="-3"/>
          <w:sz w:val="22"/>
          <w:szCs w:val="22"/>
        </w:rPr>
        <w:t>1)免疫器官</w:t>
      </w:r>
    </w:p>
    <w:p w:rsidR="00EA40A3" w:rsidRDefault="00E86C16">
      <w:pPr>
        <w:spacing w:before="49" w:line="236" w:lineRule="auto"/>
        <w:ind w:right="71" w:firstLine="419"/>
        <w:rPr>
          <w:rFonts w:ascii="宋体" w:eastAsia="宋体" w:hAnsi="宋体" w:cs="宋体"/>
          <w:sz w:val="22"/>
          <w:szCs w:val="22"/>
        </w:rPr>
      </w:pPr>
      <w:r>
        <w:rPr>
          <w:rFonts w:ascii="宋体" w:eastAsia="宋体" w:hAnsi="宋体" w:cs="宋体"/>
          <w:spacing w:val="-13"/>
          <w:sz w:val="22"/>
          <w:szCs w:val="22"/>
        </w:rPr>
        <w:t>具有免疫功能的组织器官称为免疫器官，按照免疫作用的不同可以分</w:t>
      </w:r>
      <w:r>
        <w:rPr>
          <w:rFonts w:ascii="宋体" w:eastAsia="宋体" w:hAnsi="宋体" w:cs="宋体"/>
          <w:spacing w:val="-14"/>
          <w:sz w:val="22"/>
          <w:szCs w:val="22"/>
        </w:rPr>
        <w:t>为中枢</w:t>
      </w:r>
      <w:r>
        <w:rPr>
          <w:rFonts w:ascii="宋体" w:eastAsia="宋体" w:hAnsi="宋体" w:cs="宋体"/>
          <w:sz w:val="22"/>
          <w:szCs w:val="22"/>
        </w:rPr>
        <w:t xml:space="preserve"> </w:t>
      </w:r>
      <w:r>
        <w:rPr>
          <w:rFonts w:ascii="宋体" w:eastAsia="宋体" w:hAnsi="宋体" w:cs="宋体"/>
          <w:spacing w:val="-17"/>
          <w:sz w:val="22"/>
          <w:szCs w:val="22"/>
        </w:rPr>
        <w:t>免疫器官和外周免疫器官。</w:t>
      </w:r>
    </w:p>
    <w:p w:rsidR="00EA40A3" w:rsidRDefault="00E86C16">
      <w:pPr>
        <w:spacing w:before="56"/>
        <w:ind w:right="66" w:firstLine="419"/>
        <w:rPr>
          <w:rFonts w:ascii="宋体" w:eastAsia="宋体" w:hAnsi="宋体" w:cs="宋体"/>
          <w:sz w:val="22"/>
          <w:szCs w:val="22"/>
        </w:rPr>
      </w:pPr>
      <w:r>
        <w:rPr>
          <w:rFonts w:ascii="宋体" w:eastAsia="宋体" w:hAnsi="宋体" w:cs="宋体"/>
          <w:spacing w:val="-3"/>
          <w:sz w:val="22"/>
          <w:szCs w:val="22"/>
        </w:rPr>
        <w:t>(1)中枢免疫器官：中枢免疫器官是各类免疫细胞发生、分化和成熟的场</w:t>
      </w:r>
      <w:r>
        <w:rPr>
          <w:rFonts w:ascii="宋体" w:eastAsia="宋体" w:hAnsi="宋体" w:cs="宋体"/>
          <w:spacing w:val="1"/>
          <w:sz w:val="22"/>
          <w:szCs w:val="22"/>
        </w:rPr>
        <w:t xml:space="preserve"> </w:t>
      </w:r>
      <w:r>
        <w:rPr>
          <w:rFonts w:ascii="宋体" w:eastAsia="宋体" w:hAnsi="宋体" w:cs="宋体"/>
          <w:spacing w:val="-13"/>
          <w:sz w:val="22"/>
          <w:szCs w:val="22"/>
        </w:rPr>
        <w:t>所，主要有：①骨髓，是造血器官，内含造血干细胞，是各种血细胞和免疫细胞</w:t>
      </w:r>
      <w:r>
        <w:rPr>
          <w:rFonts w:ascii="宋体" w:eastAsia="宋体" w:hAnsi="宋体" w:cs="宋体"/>
          <w:spacing w:val="2"/>
          <w:sz w:val="22"/>
          <w:szCs w:val="22"/>
        </w:rPr>
        <w:t xml:space="preserve"> </w:t>
      </w:r>
      <w:r>
        <w:rPr>
          <w:rFonts w:ascii="宋体" w:eastAsia="宋体" w:hAnsi="宋体" w:cs="宋体"/>
          <w:spacing w:val="-8"/>
          <w:sz w:val="22"/>
          <w:szCs w:val="22"/>
        </w:rPr>
        <w:t>发生、分化的场所；②胸腺，是T</w:t>
      </w:r>
      <w:r>
        <w:rPr>
          <w:rFonts w:ascii="宋体" w:eastAsia="宋体" w:hAnsi="宋体" w:cs="宋体"/>
          <w:spacing w:val="-4"/>
          <w:sz w:val="22"/>
          <w:szCs w:val="22"/>
        </w:rPr>
        <w:t xml:space="preserve"> </w:t>
      </w:r>
      <w:r>
        <w:rPr>
          <w:rFonts w:ascii="宋体" w:eastAsia="宋体" w:hAnsi="宋体" w:cs="宋体"/>
          <w:spacing w:val="-8"/>
          <w:sz w:val="22"/>
          <w:szCs w:val="22"/>
        </w:rPr>
        <w:t>淋巴细胞</w:t>
      </w:r>
      <w:r>
        <w:rPr>
          <w:rFonts w:ascii="宋体" w:eastAsia="宋体" w:hAnsi="宋体" w:cs="宋体"/>
          <w:spacing w:val="-9"/>
          <w:sz w:val="22"/>
          <w:szCs w:val="22"/>
        </w:rPr>
        <w:t xml:space="preserve"> </w:t>
      </w:r>
      <w:r>
        <w:rPr>
          <w:rFonts w:ascii="宋体" w:eastAsia="宋体" w:hAnsi="宋体" w:cs="宋体"/>
          <w:spacing w:val="-8"/>
          <w:sz w:val="22"/>
          <w:szCs w:val="22"/>
        </w:rPr>
        <w:t>(T</w:t>
      </w:r>
      <w:r>
        <w:rPr>
          <w:rFonts w:ascii="宋体" w:eastAsia="宋体" w:hAnsi="宋体" w:cs="宋体"/>
          <w:spacing w:val="8"/>
          <w:sz w:val="22"/>
          <w:szCs w:val="22"/>
        </w:rPr>
        <w:t xml:space="preserve"> </w:t>
      </w:r>
      <w:r>
        <w:rPr>
          <w:rFonts w:ascii="宋体" w:eastAsia="宋体" w:hAnsi="宋体" w:cs="宋体"/>
          <w:spacing w:val="-8"/>
          <w:sz w:val="22"/>
          <w:szCs w:val="22"/>
        </w:rPr>
        <w:t>细胞)分化、成熟的场所。</w:t>
      </w:r>
    </w:p>
    <w:p w:rsidR="00EA40A3" w:rsidRDefault="00E86C16">
      <w:pPr>
        <w:spacing w:before="42" w:line="234" w:lineRule="auto"/>
        <w:ind w:right="58" w:firstLine="419"/>
        <w:rPr>
          <w:rFonts w:ascii="宋体" w:eastAsia="宋体" w:hAnsi="宋体" w:cs="宋体"/>
          <w:sz w:val="22"/>
          <w:szCs w:val="22"/>
        </w:rPr>
      </w:pPr>
      <w:r>
        <w:rPr>
          <w:rFonts w:ascii="宋体" w:eastAsia="宋体" w:hAnsi="宋体" w:cs="宋体"/>
          <w:spacing w:val="-10"/>
          <w:sz w:val="22"/>
          <w:szCs w:val="22"/>
        </w:rPr>
        <w:t>(2)外周免疫器官：外周免疫器官是淋巴细胞定居、增殖及产生免</w:t>
      </w:r>
      <w:r>
        <w:rPr>
          <w:rFonts w:ascii="宋体" w:eastAsia="宋体" w:hAnsi="宋体" w:cs="宋体"/>
          <w:spacing w:val="-11"/>
          <w:sz w:val="22"/>
          <w:szCs w:val="22"/>
        </w:rPr>
        <w:t>疫应答的</w:t>
      </w:r>
      <w:r>
        <w:rPr>
          <w:rFonts w:ascii="宋体" w:eastAsia="宋体" w:hAnsi="宋体" w:cs="宋体"/>
          <w:sz w:val="22"/>
          <w:szCs w:val="22"/>
        </w:rPr>
        <w:t xml:space="preserve"> </w:t>
      </w:r>
      <w:r>
        <w:rPr>
          <w:rFonts w:ascii="宋体" w:eastAsia="宋体" w:hAnsi="宋体" w:cs="宋体"/>
          <w:spacing w:val="-7"/>
          <w:sz w:val="22"/>
          <w:szCs w:val="22"/>
        </w:rPr>
        <w:t>场所。主要有：①淋巴结；②脾脏；③其他淋巴组织和器官，包括扁桃体、阑</w:t>
      </w:r>
    </w:p>
    <w:p w:rsidR="00EA40A3" w:rsidRDefault="00E86C16">
      <w:pPr>
        <w:spacing w:before="107"/>
        <w:ind w:right="79"/>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351</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1010" w:bottom="400" w:left="890" w:header="0" w:footer="0" w:gutter="0"/>
          <w:cols w:space="720"/>
        </w:sectPr>
      </w:pPr>
    </w:p>
    <w:p w:rsidR="00EA40A3" w:rsidRDefault="00EA40A3">
      <w:pPr>
        <w:spacing w:line="292" w:lineRule="auto"/>
      </w:pPr>
    </w:p>
    <w:p w:rsidR="00EA40A3" w:rsidRDefault="00EA40A3">
      <w:pPr>
        <w:spacing w:line="293" w:lineRule="auto"/>
      </w:pPr>
    </w:p>
    <w:p w:rsidR="00EA40A3" w:rsidRDefault="00E86C16">
      <w:pPr>
        <w:spacing w:before="69" w:line="255" w:lineRule="auto"/>
        <w:ind w:right="40"/>
        <w:rPr>
          <w:rFonts w:ascii="宋体" w:eastAsia="宋体" w:hAnsi="宋体" w:cs="宋体"/>
        </w:rPr>
      </w:pPr>
      <w:r>
        <w:rPr>
          <w:rFonts w:ascii="宋体" w:eastAsia="宋体" w:hAnsi="宋体" w:cs="宋体"/>
          <w:spacing w:val="-4"/>
        </w:rPr>
        <w:t>尾、消化道、呼吸道和泌尿生殖道等黏膜淋巴小结，皮肤的表皮层和真皮层均有</w:t>
      </w:r>
      <w:r>
        <w:rPr>
          <w:rFonts w:ascii="宋体" w:eastAsia="宋体" w:hAnsi="宋体" w:cs="宋体"/>
          <w:spacing w:val="9"/>
        </w:rPr>
        <w:t xml:space="preserve"> </w:t>
      </w:r>
      <w:r>
        <w:rPr>
          <w:rFonts w:ascii="宋体" w:eastAsia="宋体" w:hAnsi="宋体" w:cs="宋体"/>
          <w:spacing w:val="-13"/>
        </w:rPr>
        <w:t>免疫细胞存在。</w:t>
      </w:r>
    </w:p>
    <w:p w:rsidR="00EA40A3" w:rsidRDefault="00E86C16">
      <w:pPr>
        <w:spacing w:before="55" w:line="232" w:lineRule="auto"/>
        <w:rPr>
          <w:rFonts w:ascii="楷体" w:eastAsia="楷体" w:hAnsi="楷体" w:cs="楷体"/>
        </w:rPr>
      </w:pPr>
      <w:r>
        <w:rPr>
          <w:rFonts w:ascii="楷体" w:eastAsia="楷体" w:hAnsi="楷体" w:cs="楷体"/>
          <w:spacing w:val="-1"/>
        </w:rPr>
        <w:t>2)免疫细胞</w:t>
      </w:r>
    </w:p>
    <w:p w:rsidR="00EA40A3" w:rsidRDefault="00E86C16">
      <w:pPr>
        <w:spacing w:before="30" w:line="219" w:lineRule="auto"/>
        <w:ind w:left="420"/>
        <w:rPr>
          <w:rFonts w:ascii="宋体" w:eastAsia="宋体" w:hAnsi="宋体" w:cs="宋体"/>
        </w:rPr>
      </w:pPr>
      <w:r>
        <w:rPr>
          <w:rFonts w:ascii="宋体" w:eastAsia="宋体" w:hAnsi="宋体" w:cs="宋体"/>
          <w:spacing w:val="-6"/>
        </w:rPr>
        <w:t>凡参与免疫应答或与免疫应答有关的细胞统称为免疫细胞，主要有：</w:t>
      </w:r>
    </w:p>
    <w:p w:rsidR="00EA40A3" w:rsidRDefault="00E86C16">
      <w:pPr>
        <w:spacing w:before="32" w:line="255" w:lineRule="auto"/>
        <w:ind w:right="13" w:firstLine="420"/>
        <w:rPr>
          <w:rFonts w:ascii="宋体" w:eastAsia="宋体" w:hAnsi="宋体" w:cs="宋体"/>
        </w:rPr>
      </w:pPr>
      <w:r>
        <w:rPr>
          <w:rFonts w:ascii="宋体" w:eastAsia="宋体" w:hAnsi="宋体" w:cs="宋体"/>
          <w:spacing w:val="-7"/>
        </w:rPr>
        <w:t>(1)T</w:t>
      </w:r>
      <w:r>
        <w:rPr>
          <w:rFonts w:ascii="宋体" w:eastAsia="宋体" w:hAnsi="宋体" w:cs="宋体"/>
          <w:spacing w:val="7"/>
        </w:rPr>
        <w:t xml:space="preserve">  </w:t>
      </w:r>
      <w:r>
        <w:rPr>
          <w:rFonts w:ascii="宋体" w:eastAsia="宋体" w:hAnsi="宋体" w:cs="宋体"/>
          <w:spacing w:val="-7"/>
        </w:rPr>
        <w:t>细胞：</w:t>
      </w:r>
      <w:r>
        <w:rPr>
          <w:rFonts w:ascii="宋体" w:eastAsia="宋体" w:hAnsi="宋体" w:cs="宋体"/>
          <w:spacing w:val="-31"/>
        </w:rPr>
        <w:t xml:space="preserve"> </w:t>
      </w:r>
      <w:r>
        <w:rPr>
          <w:rFonts w:ascii="宋体" w:eastAsia="宋体" w:hAnsi="宋体" w:cs="宋体"/>
          <w:spacing w:val="-7"/>
        </w:rPr>
        <w:t>T</w:t>
      </w:r>
      <w:r>
        <w:rPr>
          <w:rFonts w:ascii="宋体" w:eastAsia="宋体" w:hAnsi="宋体" w:cs="宋体"/>
          <w:spacing w:val="6"/>
        </w:rPr>
        <w:t xml:space="preserve"> </w:t>
      </w:r>
      <w:r>
        <w:rPr>
          <w:rFonts w:ascii="宋体" w:eastAsia="宋体" w:hAnsi="宋体" w:cs="宋体"/>
          <w:spacing w:val="-7"/>
        </w:rPr>
        <w:t>细胞起源于骨髓的多能干细胞，在胸腺素及胸腺微环境影响</w:t>
      </w:r>
      <w:r>
        <w:rPr>
          <w:rFonts w:ascii="宋体" w:eastAsia="宋体" w:hAnsi="宋体" w:cs="宋体"/>
        </w:rPr>
        <w:t xml:space="preserve"> 下分化成熟为T</w:t>
      </w:r>
      <w:r>
        <w:rPr>
          <w:rFonts w:ascii="宋体" w:eastAsia="宋体" w:hAnsi="宋体" w:cs="宋体"/>
          <w:spacing w:val="20"/>
        </w:rPr>
        <w:t xml:space="preserve"> </w:t>
      </w:r>
      <w:r>
        <w:rPr>
          <w:rFonts w:ascii="宋体" w:eastAsia="宋体" w:hAnsi="宋体" w:cs="宋体"/>
        </w:rPr>
        <w:t>细胞。</w:t>
      </w:r>
      <w:r>
        <w:rPr>
          <w:rFonts w:ascii="宋体" w:eastAsia="宋体" w:hAnsi="宋体" w:cs="宋体"/>
          <w:spacing w:val="-31"/>
        </w:rPr>
        <w:t xml:space="preserve"> </w:t>
      </w:r>
      <w:r>
        <w:rPr>
          <w:rFonts w:ascii="宋体" w:eastAsia="宋体" w:hAnsi="宋体" w:cs="宋体"/>
        </w:rPr>
        <w:t>T</w:t>
      </w:r>
      <w:r>
        <w:rPr>
          <w:rFonts w:ascii="宋体" w:eastAsia="宋体" w:hAnsi="宋体" w:cs="宋体"/>
          <w:spacing w:val="5"/>
        </w:rPr>
        <w:t xml:space="preserve"> </w:t>
      </w:r>
      <w:r>
        <w:rPr>
          <w:rFonts w:ascii="宋体" w:eastAsia="宋体" w:hAnsi="宋体" w:cs="宋体"/>
        </w:rPr>
        <w:t xml:space="preserve">细胞的功能主要有：①细胞毒作用，释放穿孔素和丝 </w:t>
      </w:r>
      <w:r>
        <w:rPr>
          <w:rFonts w:ascii="宋体" w:eastAsia="宋体" w:hAnsi="宋体" w:cs="宋体"/>
          <w:spacing w:val="1"/>
        </w:rPr>
        <w:t>氨酸蛋白酶，作用于靶细胞并使其溶解或凋亡；②刺激B</w:t>
      </w:r>
      <w:r>
        <w:rPr>
          <w:rFonts w:ascii="宋体" w:eastAsia="宋体" w:hAnsi="宋体" w:cs="宋体"/>
          <w:spacing w:val="-31"/>
        </w:rPr>
        <w:t xml:space="preserve"> </w:t>
      </w:r>
      <w:r>
        <w:rPr>
          <w:rFonts w:ascii="宋体" w:eastAsia="宋体" w:hAnsi="宋体" w:cs="宋体"/>
          <w:spacing w:val="1"/>
        </w:rPr>
        <w:t>淋巴细胞</w:t>
      </w:r>
      <w:r>
        <w:rPr>
          <w:rFonts w:ascii="宋体" w:eastAsia="宋体" w:hAnsi="宋体" w:cs="宋体"/>
          <w:spacing w:val="-13"/>
        </w:rPr>
        <w:t xml:space="preserve"> </w:t>
      </w:r>
      <w:r>
        <w:rPr>
          <w:rFonts w:ascii="宋体" w:eastAsia="宋体" w:hAnsi="宋体" w:cs="宋体"/>
          <w:spacing w:val="1"/>
        </w:rPr>
        <w:t>(B</w:t>
      </w:r>
      <w:r>
        <w:rPr>
          <w:rFonts w:ascii="宋体" w:eastAsia="宋体" w:hAnsi="宋体" w:cs="宋体"/>
          <w:spacing w:val="10"/>
        </w:rPr>
        <w:t xml:space="preserve"> </w:t>
      </w:r>
      <w:r>
        <w:rPr>
          <w:rFonts w:ascii="宋体" w:eastAsia="宋体" w:hAnsi="宋体" w:cs="宋体"/>
          <w:spacing w:val="1"/>
        </w:rPr>
        <w:t>细胞)增</w:t>
      </w:r>
      <w:r>
        <w:rPr>
          <w:rFonts w:ascii="宋体" w:eastAsia="宋体" w:hAnsi="宋体" w:cs="宋体"/>
        </w:rPr>
        <w:t xml:space="preserve"> </w:t>
      </w:r>
      <w:r>
        <w:rPr>
          <w:rFonts w:ascii="宋体" w:eastAsia="宋体" w:hAnsi="宋体" w:cs="宋体"/>
          <w:spacing w:val="-6"/>
        </w:rPr>
        <w:t>殖并产生抗体；③分泌免疫因子，白细胞介素-2</w:t>
      </w:r>
      <w:r>
        <w:rPr>
          <w:rFonts w:ascii="宋体" w:eastAsia="宋体" w:hAnsi="宋体" w:cs="宋体"/>
          <w:spacing w:val="-16"/>
        </w:rPr>
        <w:t xml:space="preserve"> </w:t>
      </w:r>
      <w:r>
        <w:rPr>
          <w:rFonts w:ascii="宋体" w:eastAsia="宋体" w:hAnsi="宋体" w:cs="宋体"/>
          <w:spacing w:val="-6"/>
        </w:rPr>
        <w:t>(I-2)、</w:t>
      </w:r>
      <w:r>
        <w:rPr>
          <w:rFonts w:ascii="宋体" w:eastAsia="宋体" w:hAnsi="宋体" w:cs="宋体"/>
          <w:spacing w:val="77"/>
        </w:rPr>
        <w:t xml:space="preserve"> </w:t>
      </w:r>
      <w:r>
        <w:rPr>
          <w:rFonts w:ascii="宋体" w:eastAsia="宋体" w:hAnsi="宋体" w:cs="宋体"/>
          <w:spacing w:val="-6"/>
        </w:rPr>
        <w:t>干扰素</w:t>
      </w:r>
      <w:r>
        <w:rPr>
          <w:rFonts w:ascii="宋体" w:eastAsia="宋体" w:hAnsi="宋体" w:cs="宋体"/>
          <w:spacing w:val="-5"/>
        </w:rPr>
        <w:t xml:space="preserve"> </w:t>
      </w:r>
      <w:r>
        <w:rPr>
          <w:rFonts w:ascii="宋体" w:eastAsia="宋体" w:hAnsi="宋体" w:cs="宋体"/>
          <w:spacing w:val="-6"/>
        </w:rPr>
        <w:t>(IFN)、</w:t>
      </w:r>
      <w:r>
        <w:rPr>
          <w:rFonts w:ascii="宋体" w:eastAsia="宋体" w:hAnsi="宋体" w:cs="宋体"/>
          <w:spacing w:val="69"/>
        </w:rPr>
        <w:t xml:space="preserve"> </w:t>
      </w:r>
      <w:r>
        <w:rPr>
          <w:rFonts w:ascii="宋体" w:eastAsia="宋体" w:hAnsi="宋体" w:cs="宋体"/>
          <w:spacing w:val="-6"/>
        </w:rPr>
        <w:t>肿瘤</w:t>
      </w:r>
      <w:r>
        <w:rPr>
          <w:rFonts w:ascii="宋体" w:eastAsia="宋体" w:hAnsi="宋体" w:cs="宋体"/>
        </w:rPr>
        <w:t xml:space="preserve"> </w:t>
      </w:r>
      <w:r>
        <w:rPr>
          <w:rFonts w:ascii="宋体" w:eastAsia="宋体" w:hAnsi="宋体" w:cs="宋体"/>
          <w:spacing w:val="-7"/>
        </w:rPr>
        <w:t>坏死因子</w:t>
      </w:r>
      <w:r>
        <w:rPr>
          <w:rFonts w:ascii="宋体" w:eastAsia="宋体" w:hAnsi="宋体" w:cs="宋体"/>
          <w:spacing w:val="-11"/>
        </w:rPr>
        <w:t xml:space="preserve"> </w:t>
      </w:r>
      <w:r>
        <w:rPr>
          <w:rFonts w:ascii="宋体" w:eastAsia="宋体" w:hAnsi="宋体" w:cs="宋体"/>
          <w:spacing w:val="-7"/>
        </w:rPr>
        <w:t>(TNF)。</w:t>
      </w:r>
    </w:p>
    <w:p w:rsidR="00EA40A3" w:rsidRDefault="00E86C16">
      <w:pPr>
        <w:spacing w:before="46" w:line="250" w:lineRule="auto"/>
        <w:ind w:firstLine="420"/>
        <w:rPr>
          <w:rFonts w:ascii="宋体" w:eastAsia="宋体" w:hAnsi="宋体" w:cs="宋体"/>
        </w:rPr>
      </w:pPr>
      <w:r>
        <w:rPr>
          <w:rFonts w:ascii="宋体" w:eastAsia="宋体" w:hAnsi="宋体" w:cs="宋体"/>
          <w:spacing w:val="-4"/>
        </w:rPr>
        <w:t>(2)B</w:t>
      </w:r>
      <w:r>
        <w:rPr>
          <w:rFonts w:ascii="宋体" w:eastAsia="宋体" w:hAnsi="宋体" w:cs="宋体"/>
          <w:spacing w:val="100"/>
        </w:rPr>
        <w:t xml:space="preserve"> </w:t>
      </w:r>
      <w:r>
        <w:rPr>
          <w:rFonts w:ascii="宋体" w:eastAsia="宋体" w:hAnsi="宋体" w:cs="宋体"/>
          <w:spacing w:val="-4"/>
        </w:rPr>
        <w:t>细胞：</w:t>
      </w:r>
      <w:r>
        <w:rPr>
          <w:rFonts w:ascii="宋体" w:eastAsia="宋体" w:hAnsi="宋体" w:cs="宋体"/>
          <w:spacing w:val="-29"/>
        </w:rPr>
        <w:t xml:space="preserve"> </w:t>
      </w:r>
      <w:r>
        <w:rPr>
          <w:rFonts w:ascii="宋体" w:eastAsia="宋体" w:hAnsi="宋体" w:cs="宋体"/>
          <w:spacing w:val="-4"/>
        </w:rPr>
        <w:t>B</w:t>
      </w:r>
      <w:r>
        <w:rPr>
          <w:rFonts w:ascii="宋体" w:eastAsia="宋体" w:hAnsi="宋体" w:cs="宋体"/>
          <w:spacing w:val="-17"/>
        </w:rPr>
        <w:t xml:space="preserve"> </w:t>
      </w:r>
      <w:r>
        <w:rPr>
          <w:rFonts w:ascii="宋体" w:eastAsia="宋体" w:hAnsi="宋体" w:cs="宋体"/>
          <w:spacing w:val="-4"/>
        </w:rPr>
        <w:t>细胞起源于骨髓的多能干细胞，在骨髓</w:t>
      </w:r>
      <w:r>
        <w:rPr>
          <w:rFonts w:ascii="宋体" w:eastAsia="宋体" w:hAnsi="宋体" w:cs="宋体"/>
          <w:spacing w:val="-5"/>
        </w:rPr>
        <w:t>中分化成熟，在受到</w:t>
      </w:r>
      <w:r>
        <w:rPr>
          <w:rFonts w:ascii="宋体" w:eastAsia="宋体" w:hAnsi="宋体" w:cs="宋体"/>
        </w:rPr>
        <w:t xml:space="preserve"> </w:t>
      </w:r>
      <w:r>
        <w:rPr>
          <w:rFonts w:ascii="宋体" w:eastAsia="宋体" w:hAnsi="宋体" w:cs="宋体"/>
          <w:spacing w:val="-4"/>
        </w:rPr>
        <w:t>外来抗原刺激后，经活化、增殖、分化为浆细胞，产生抗体，是执行体</w:t>
      </w:r>
      <w:r>
        <w:rPr>
          <w:rFonts w:ascii="宋体" w:eastAsia="宋体" w:hAnsi="宋体" w:cs="宋体"/>
          <w:spacing w:val="-5"/>
        </w:rPr>
        <w:t>液免疫的</w:t>
      </w:r>
      <w:r>
        <w:rPr>
          <w:rFonts w:ascii="宋体" w:eastAsia="宋体" w:hAnsi="宋体" w:cs="宋体"/>
        </w:rPr>
        <w:t xml:space="preserve"> </w:t>
      </w:r>
      <w:r>
        <w:rPr>
          <w:rFonts w:ascii="宋体" w:eastAsia="宋体" w:hAnsi="宋体" w:cs="宋体"/>
          <w:spacing w:val="-14"/>
        </w:rPr>
        <w:t>主要细胞。</w:t>
      </w:r>
    </w:p>
    <w:p w:rsidR="00EA40A3" w:rsidRDefault="00E86C16">
      <w:pPr>
        <w:spacing w:before="49" w:line="253" w:lineRule="auto"/>
        <w:ind w:right="22" w:firstLine="420"/>
        <w:rPr>
          <w:rFonts w:ascii="宋体" w:eastAsia="宋体" w:hAnsi="宋体" w:cs="宋体"/>
        </w:rPr>
      </w:pPr>
      <w:r>
        <w:rPr>
          <w:rFonts w:ascii="宋体" w:eastAsia="宋体" w:hAnsi="宋体" w:cs="宋体"/>
          <w:spacing w:val="5"/>
        </w:rPr>
        <w:t>(3)自然杀伤细胞</w:t>
      </w:r>
      <w:r>
        <w:rPr>
          <w:rFonts w:ascii="宋体" w:eastAsia="宋体" w:hAnsi="宋体" w:cs="宋体"/>
          <w:spacing w:val="-4"/>
        </w:rPr>
        <w:t xml:space="preserve"> </w:t>
      </w:r>
      <w:r>
        <w:rPr>
          <w:rFonts w:ascii="宋体" w:eastAsia="宋体" w:hAnsi="宋体" w:cs="宋体"/>
          <w:spacing w:val="5"/>
        </w:rPr>
        <w:t>(</w:t>
      </w:r>
      <w:r>
        <w:rPr>
          <w:rFonts w:ascii="宋体" w:eastAsia="宋体" w:hAnsi="宋体" w:cs="宋体"/>
        </w:rPr>
        <w:t xml:space="preserve">NK  </w:t>
      </w:r>
      <w:r>
        <w:rPr>
          <w:rFonts w:ascii="宋体" w:eastAsia="宋体" w:hAnsi="宋体" w:cs="宋体"/>
          <w:spacing w:val="5"/>
        </w:rPr>
        <w:t>细胞):</w:t>
      </w:r>
      <w:r>
        <w:rPr>
          <w:rFonts w:ascii="宋体" w:eastAsia="宋体" w:hAnsi="宋体" w:cs="宋体"/>
          <w:spacing w:val="-27"/>
        </w:rPr>
        <w:t xml:space="preserve"> </w:t>
      </w:r>
      <w:r>
        <w:rPr>
          <w:rFonts w:ascii="宋体" w:eastAsia="宋体" w:hAnsi="宋体" w:cs="宋体"/>
        </w:rPr>
        <w:t>NK</w:t>
      </w:r>
      <w:r>
        <w:rPr>
          <w:rFonts w:ascii="宋体" w:eastAsia="宋体" w:hAnsi="宋体" w:cs="宋体"/>
          <w:spacing w:val="66"/>
        </w:rPr>
        <w:t xml:space="preserve"> </w:t>
      </w:r>
      <w:r>
        <w:rPr>
          <w:rFonts w:ascii="宋体" w:eastAsia="宋体" w:hAnsi="宋体" w:cs="宋体"/>
          <w:spacing w:val="5"/>
        </w:rPr>
        <w:t>细胞起源于骨髓的多能干细胞，主</w:t>
      </w:r>
      <w:r>
        <w:rPr>
          <w:rFonts w:ascii="宋体" w:eastAsia="宋体" w:hAnsi="宋体" w:cs="宋体"/>
          <w:spacing w:val="4"/>
        </w:rPr>
        <w:t>要</w:t>
      </w:r>
      <w:r>
        <w:rPr>
          <w:rFonts w:ascii="宋体" w:eastAsia="宋体" w:hAnsi="宋体" w:cs="宋体"/>
        </w:rPr>
        <w:t xml:space="preserve"> </w:t>
      </w:r>
      <w:r>
        <w:rPr>
          <w:rFonts w:ascii="宋体" w:eastAsia="宋体" w:hAnsi="宋体" w:cs="宋体"/>
          <w:spacing w:val="-3"/>
        </w:rPr>
        <w:t>功能是：①能直接杀伤肿瘤细胞和病毒感染细胞，并参与移植排</w:t>
      </w:r>
      <w:r>
        <w:rPr>
          <w:rFonts w:ascii="宋体" w:eastAsia="宋体" w:hAnsi="宋体" w:cs="宋体"/>
          <w:spacing w:val="-4"/>
        </w:rPr>
        <w:t>斥反应；②抗体</w:t>
      </w:r>
      <w:r>
        <w:rPr>
          <w:rFonts w:ascii="宋体" w:eastAsia="宋体" w:hAnsi="宋体" w:cs="宋体"/>
        </w:rPr>
        <w:t xml:space="preserve"> </w:t>
      </w:r>
      <w:r>
        <w:rPr>
          <w:rFonts w:ascii="宋体" w:eastAsia="宋体" w:hAnsi="宋体" w:cs="宋体"/>
          <w:spacing w:val="-4"/>
        </w:rPr>
        <w:t>依赖的细胞毒作用，</w:t>
      </w:r>
      <w:r>
        <w:rPr>
          <w:rFonts w:ascii="宋体" w:eastAsia="宋体" w:hAnsi="宋体" w:cs="宋体"/>
          <w:spacing w:val="15"/>
        </w:rPr>
        <w:t xml:space="preserve"> </w:t>
      </w:r>
      <w:r>
        <w:rPr>
          <w:rFonts w:ascii="宋体" w:eastAsia="宋体" w:hAnsi="宋体" w:cs="宋体"/>
          <w:spacing w:val="-4"/>
        </w:rPr>
        <w:t>NK</w:t>
      </w:r>
      <w:r>
        <w:rPr>
          <w:rFonts w:ascii="宋体" w:eastAsia="宋体" w:hAnsi="宋体" w:cs="宋体"/>
          <w:spacing w:val="46"/>
        </w:rPr>
        <w:t xml:space="preserve"> </w:t>
      </w:r>
      <w:r>
        <w:rPr>
          <w:rFonts w:ascii="宋体" w:eastAsia="宋体" w:hAnsi="宋体" w:cs="宋体"/>
          <w:spacing w:val="-4"/>
        </w:rPr>
        <w:t>细胞可结合并杀伤被抗体IgG</w:t>
      </w:r>
      <w:r>
        <w:rPr>
          <w:rFonts w:ascii="宋体" w:eastAsia="宋体" w:hAnsi="宋体" w:cs="宋体"/>
          <w:spacing w:val="-21"/>
        </w:rPr>
        <w:t xml:space="preserve"> </w:t>
      </w:r>
      <w:r>
        <w:rPr>
          <w:rFonts w:ascii="宋体" w:eastAsia="宋体" w:hAnsi="宋体" w:cs="宋体"/>
          <w:spacing w:val="-4"/>
        </w:rPr>
        <w:t>包被</w:t>
      </w:r>
      <w:r>
        <w:rPr>
          <w:rFonts w:ascii="宋体" w:eastAsia="宋体" w:hAnsi="宋体" w:cs="宋体"/>
          <w:spacing w:val="-5"/>
        </w:rPr>
        <w:t>的靶细胞；③产生免</w:t>
      </w:r>
      <w:r>
        <w:rPr>
          <w:rFonts w:ascii="宋体" w:eastAsia="宋体" w:hAnsi="宋体" w:cs="宋体"/>
        </w:rPr>
        <w:t xml:space="preserve"> </w:t>
      </w:r>
      <w:r>
        <w:rPr>
          <w:rFonts w:ascii="宋体" w:eastAsia="宋体" w:hAnsi="宋体" w:cs="宋体"/>
          <w:spacing w:val="-8"/>
        </w:rPr>
        <w:t>疫因子，调节免疫应答。</w:t>
      </w:r>
    </w:p>
    <w:p w:rsidR="00EA40A3" w:rsidRDefault="00E86C16">
      <w:pPr>
        <w:spacing w:before="47"/>
        <w:ind w:right="20" w:firstLine="420"/>
        <w:rPr>
          <w:rFonts w:ascii="宋体" w:eastAsia="宋体" w:hAnsi="宋体" w:cs="宋体"/>
        </w:rPr>
      </w:pPr>
      <w:r>
        <w:rPr>
          <w:rFonts w:ascii="宋体" w:eastAsia="宋体" w:hAnsi="宋体" w:cs="宋体"/>
          <w:spacing w:val="6"/>
        </w:rPr>
        <w:t xml:space="preserve">(4)单核吞噬细胞：起源于骨髓的多能干细胞。单核吞噬细胞的功能主要 </w:t>
      </w:r>
      <w:r>
        <w:rPr>
          <w:rFonts w:ascii="宋体" w:eastAsia="宋体" w:hAnsi="宋体" w:cs="宋体"/>
          <w:spacing w:val="-5"/>
        </w:rPr>
        <w:t>有：①吞噬杀伤作用；②呈递抗原；③合成、分泌免疫因子。</w:t>
      </w:r>
    </w:p>
    <w:p w:rsidR="00EA40A3" w:rsidRDefault="00E86C16">
      <w:pPr>
        <w:spacing w:before="56" w:line="220" w:lineRule="auto"/>
        <w:rPr>
          <w:rFonts w:ascii="宋体" w:eastAsia="宋体" w:hAnsi="宋体" w:cs="宋体"/>
        </w:rPr>
      </w:pPr>
      <w:r>
        <w:rPr>
          <w:rFonts w:ascii="宋体" w:eastAsia="宋体" w:hAnsi="宋体" w:cs="宋体"/>
          <w:spacing w:val="1"/>
        </w:rPr>
        <w:t>3)细胞因子</w:t>
      </w:r>
    </w:p>
    <w:p w:rsidR="00EA40A3" w:rsidRDefault="00E86C16">
      <w:pPr>
        <w:spacing w:before="156" w:line="259" w:lineRule="auto"/>
        <w:ind w:right="11" w:firstLine="420"/>
        <w:jc w:val="both"/>
        <w:rPr>
          <w:rFonts w:ascii="宋体" w:eastAsia="宋体" w:hAnsi="宋体" w:cs="宋体"/>
        </w:rPr>
      </w:pPr>
      <w:r>
        <w:rPr>
          <w:rFonts w:ascii="宋体" w:eastAsia="宋体" w:hAnsi="宋体" w:cs="宋体"/>
        </w:rPr>
        <w:t>细胞因子</w:t>
      </w:r>
      <w:r>
        <w:rPr>
          <w:rFonts w:ascii="宋体" w:eastAsia="宋体" w:hAnsi="宋体" w:cs="宋体"/>
          <w:spacing w:val="-51"/>
        </w:rPr>
        <w:t xml:space="preserve"> </w:t>
      </w:r>
      <w:r>
        <w:rPr>
          <w:rFonts w:ascii="宋体" w:eastAsia="宋体" w:hAnsi="宋体" w:cs="宋体"/>
        </w:rPr>
        <w:t>(cytokine)</w:t>
      </w:r>
      <w:r>
        <w:rPr>
          <w:rFonts w:ascii="宋体" w:eastAsia="宋体" w:hAnsi="宋体" w:cs="宋体"/>
          <w:spacing w:val="-60"/>
        </w:rPr>
        <w:t xml:space="preserve"> </w:t>
      </w:r>
      <w:r>
        <w:rPr>
          <w:rFonts w:ascii="宋体" w:eastAsia="宋体" w:hAnsi="宋体" w:cs="宋体"/>
        </w:rPr>
        <w:t xml:space="preserve">是由活化的免疫细胞和非免疫细胞合成分泌的能调节 </w:t>
      </w:r>
      <w:r>
        <w:rPr>
          <w:rFonts w:ascii="宋体" w:eastAsia="宋体" w:hAnsi="宋体" w:cs="宋体"/>
          <w:spacing w:val="-3"/>
        </w:rPr>
        <w:t>多种细胞生理功能、参与免疫应答和介导炎症反应等多种生物学效应的小分子多</w:t>
      </w:r>
      <w:r>
        <w:rPr>
          <w:rFonts w:ascii="宋体" w:eastAsia="宋体" w:hAnsi="宋体" w:cs="宋体"/>
          <w:spacing w:val="3"/>
        </w:rPr>
        <w:t xml:space="preserve"> </w:t>
      </w:r>
      <w:r>
        <w:rPr>
          <w:rFonts w:ascii="宋体" w:eastAsia="宋体" w:hAnsi="宋体" w:cs="宋体"/>
          <w:spacing w:val="12"/>
        </w:rPr>
        <w:t>肽或糖蛋白。主要有：①白细胞介素</w:t>
      </w:r>
      <w:r>
        <w:rPr>
          <w:rFonts w:ascii="宋体" w:eastAsia="宋体" w:hAnsi="宋体" w:cs="宋体"/>
          <w:spacing w:val="14"/>
        </w:rPr>
        <w:t xml:space="preserve"> </w:t>
      </w:r>
      <w:r>
        <w:rPr>
          <w:rFonts w:ascii="宋体" w:eastAsia="宋体" w:hAnsi="宋体" w:cs="宋体"/>
          <w:spacing w:val="12"/>
        </w:rPr>
        <w:t>(</w:t>
      </w:r>
      <w:r>
        <w:rPr>
          <w:rFonts w:ascii="宋体" w:eastAsia="宋体" w:hAnsi="宋体" w:cs="宋体"/>
        </w:rPr>
        <w:t>interleukin</w:t>
      </w:r>
      <w:r>
        <w:rPr>
          <w:rFonts w:ascii="宋体" w:eastAsia="宋体" w:hAnsi="宋体" w:cs="宋体"/>
          <w:spacing w:val="12"/>
        </w:rPr>
        <w:t>,</w:t>
      </w:r>
      <w:r>
        <w:rPr>
          <w:rFonts w:ascii="宋体" w:eastAsia="宋体" w:hAnsi="宋体" w:cs="宋体"/>
        </w:rPr>
        <w:t>IL</w:t>
      </w:r>
      <w:r>
        <w:rPr>
          <w:rFonts w:ascii="宋体" w:eastAsia="宋体" w:hAnsi="宋体" w:cs="宋体"/>
          <w:spacing w:val="12"/>
        </w:rPr>
        <w:t>);②</w:t>
      </w:r>
      <w:r>
        <w:rPr>
          <w:rFonts w:ascii="宋体" w:eastAsia="宋体" w:hAnsi="宋体" w:cs="宋体"/>
          <w:spacing w:val="55"/>
        </w:rPr>
        <w:t xml:space="preserve"> </w:t>
      </w:r>
      <w:r>
        <w:rPr>
          <w:rFonts w:ascii="宋体" w:eastAsia="宋体" w:hAnsi="宋体" w:cs="宋体"/>
          <w:spacing w:val="12"/>
        </w:rPr>
        <w:t>集落刺激因子</w:t>
      </w:r>
      <w:r>
        <w:rPr>
          <w:rFonts w:ascii="宋体" w:eastAsia="宋体" w:hAnsi="宋体" w:cs="宋体"/>
        </w:rPr>
        <w:t xml:space="preserve"> </w:t>
      </w:r>
      <w:r>
        <w:rPr>
          <w:rFonts w:ascii="宋体" w:eastAsia="宋体" w:hAnsi="宋体" w:cs="宋体"/>
          <w:spacing w:val="-6"/>
        </w:rPr>
        <w:t>(CSF);③</w:t>
      </w:r>
      <w:r>
        <w:rPr>
          <w:rFonts w:ascii="宋体" w:eastAsia="宋体" w:hAnsi="宋体" w:cs="宋体"/>
          <w:spacing w:val="104"/>
        </w:rPr>
        <w:t xml:space="preserve"> </w:t>
      </w:r>
      <w:r>
        <w:rPr>
          <w:rFonts w:ascii="宋体" w:eastAsia="宋体" w:hAnsi="宋体" w:cs="宋体"/>
          <w:spacing w:val="-6"/>
        </w:rPr>
        <w:t>干扰素</w:t>
      </w:r>
      <w:r>
        <w:rPr>
          <w:rFonts w:ascii="宋体" w:eastAsia="宋体" w:hAnsi="宋体" w:cs="宋体"/>
          <w:spacing w:val="-8"/>
        </w:rPr>
        <w:t xml:space="preserve"> </w:t>
      </w:r>
      <w:r>
        <w:rPr>
          <w:rFonts w:ascii="宋体" w:eastAsia="宋体" w:hAnsi="宋体" w:cs="宋体"/>
          <w:spacing w:val="-6"/>
        </w:rPr>
        <w:t>(IFN);④</w:t>
      </w:r>
      <w:r>
        <w:rPr>
          <w:rFonts w:ascii="宋体" w:eastAsia="宋体" w:hAnsi="宋体" w:cs="宋体"/>
          <w:spacing w:val="80"/>
        </w:rPr>
        <w:t xml:space="preserve"> </w:t>
      </w:r>
      <w:r>
        <w:rPr>
          <w:rFonts w:ascii="宋体" w:eastAsia="宋体" w:hAnsi="宋体" w:cs="宋体"/>
          <w:spacing w:val="-6"/>
        </w:rPr>
        <w:t>肿瘤坏死因子</w:t>
      </w:r>
      <w:r>
        <w:rPr>
          <w:rFonts w:ascii="宋体" w:eastAsia="宋体" w:hAnsi="宋体" w:cs="宋体"/>
          <w:spacing w:val="-17"/>
        </w:rPr>
        <w:t xml:space="preserve"> </w:t>
      </w:r>
      <w:r>
        <w:rPr>
          <w:rFonts w:ascii="宋体" w:eastAsia="宋体" w:hAnsi="宋体" w:cs="宋体"/>
          <w:spacing w:val="-6"/>
        </w:rPr>
        <w:t>(TNF)。</w:t>
      </w:r>
    </w:p>
    <w:p w:rsidR="00EA40A3" w:rsidRDefault="00E86C16">
      <w:pPr>
        <w:spacing w:before="202" w:line="220" w:lineRule="auto"/>
        <w:rPr>
          <w:rFonts w:ascii="仿宋" w:eastAsia="仿宋" w:hAnsi="仿宋" w:cs="仿宋"/>
          <w:sz w:val="24"/>
          <w:szCs w:val="24"/>
        </w:rPr>
      </w:pPr>
      <w:r>
        <w:rPr>
          <w:rFonts w:ascii="仿宋" w:eastAsia="仿宋" w:hAnsi="仿宋" w:cs="仿宋"/>
          <w:spacing w:val="-7"/>
          <w:sz w:val="24"/>
          <w:szCs w:val="24"/>
        </w:rPr>
        <w:t>2.</w:t>
      </w:r>
      <w:r>
        <w:rPr>
          <w:rFonts w:ascii="仿宋" w:eastAsia="仿宋" w:hAnsi="仿宋" w:cs="仿宋"/>
          <w:spacing w:val="-13"/>
          <w:sz w:val="24"/>
          <w:szCs w:val="24"/>
        </w:rPr>
        <w:t xml:space="preserve"> </w:t>
      </w:r>
      <w:r>
        <w:rPr>
          <w:rFonts w:ascii="仿宋" w:eastAsia="仿宋" w:hAnsi="仿宋" w:cs="仿宋"/>
          <w:spacing w:val="-7"/>
          <w:sz w:val="24"/>
          <w:szCs w:val="24"/>
        </w:rPr>
        <w:t>非特异性免疫</w:t>
      </w:r>
    </w:p>
    <w:p w:rsidR="00EA40A3" w:rsidRDefault="00E86C16">
      <w:pPr>
        <w:spacing w:before="173" w:line="259" w:lineRule="auto"/>
        <w:ind w:right="1" w:firstLine="420"/>
        <w:jc w:val="both"/>
        <w:rPr>
          <w:rFonts w:ascii="宋体" w:eastAsia="宋体" w:hAnsi="宋体" w:cs="宋体"/>
        </w:rPr>
      </w:pPr>
      <w:r>
        <w:rPr>
          <w:rFonts w:ascii="宋体" w:eastAsia="宋体" w:hAnsi="宋体" w:cs="宋体"/>
        </w:rPr>
        <w:t>非特异性免疫</w:t>
      </w:r>
      <w:r>
        <w:rPr>
          <w:rFonts w:ascii="宋体" w:eastAsia="宋体" w:hAnsi="宋体" w:cs="宋体"/>
          <w:spacing w:val="6"/>
        </w:rPr>
        <w:t xml:space="preserve"> </w:t>
      </w:r>
      <w:r>
        <w:rPr>
          <w:rFonts w:ascii="宋体" w:eastAsia="宋体" w:hAnsi="宋体" w:cs="宋体"/>
        </w:rPr>
        <w:t>(innate</w:t>
      </w:r>
      <w:r>
        <w:rPr>
          <w:rFonts w:ascii="宋体" w:eastAsia="宋体" w:hAnsi="宋体" w:cs="宋体"/>
          <w:spacing w:val="16"/>
        </w:rPr>
        <w:t xml:space="preserve"> </w:t>
      </w:r>
      <w:r>
        <w:rPr>
          <w:rFonts w:ascii="宋体" w:eastAsia="宋体" w:hAnsi="宋体" w:cs="宋体"/>
        </w:rPr>
        <w:t>immunity</w:t>
      </w:r>
      <w:r>
        <w:rPr>
          <w:rFonts w:ascii="宋体" w:eastAsia="宋体" w:hAnsi="宋体" w:cs="宋体"/>
          <w:spacing w:val="4"/>
        </w:rPr>
        <w:t xml:space="preserve"> </w:t>
      </w:r>
      <w:r>
        <w:rPr>
          <w:rFonts w:ascii="宋体" w:eastAsia="宋体" w:hAnsi="宋体" w:cs="宋体"/>
        </w:rPr>
        <w:t>)</w:t>
      </w:r>
      <w:r>
        <w:rPr>
          <w:rFonts w:ascii="宋体" w:eastAsia="宋体" w:hAnsi="宋体" w:cs="宋体"/>
          <w:spacing w:val="-29"/>
        </w:rPr>
        <w:t xml:space="preserve"> </w:t>
      </w:r>
      <w:r>
        <w:rPr>
          <w:rFonts w:ascii="宋体" w:eastAsia="宋体" w:hAnsi="宋体" w:cs="宋体"/>
        </w:rPr>
        <w:t>主要通过屏障(皮肤、呼吸道</w:t>
      </w:r>
      <w:r>
        <w:rPr>
          <w:rFonts w:ascii="宋体" w:eastAsia="宋体" w:hAnsi="宋体" w:cs="宋体"/>
          <w:spacing w:val="-1"/>
        </w:rPr>
        <w:t>及消化道</w:t>
      </w:r>
      <w:r>
        <w:rPr>
          <w:rFonts w:ascii="宋体" w:eastAsia="宋体" w:hAnsi="宋体" w:cs="宋体"/>
        </w:rPr>
        <w:t xml:space="preserve"> </w:t>
      </w:r>
      <w:r>
        <w:rPr>
          <w:rFonts w:ascii="宋体" w:eastAsia="宋体" w:hAnsi="宋体" w:cs="宋体"/>
          <w:spacing w:val="3"/>
        </w:rPr>
        <w:t>黏膜)作用、单核-吞噬细胞系统和体液性防御因素构成，为机</w:t>
      </w:r>
      <w:r>
        <w:rPr>
          <w:rFonts w:ascii="宋体" w:eastAsia="宋体" w:hAnsi="宋体" w:cs="宋体"/>
          <w:spacing w:val="2"/>
        </w:rPr>
        <w:t>体防御入侵的微</w:t>
      </w:r>
      <w:r>
        <w:rPr>
          <w:rFonts w:ascii="宋体" w:eastAsia="宋体" w:hAnsi="宋体" w:cs="宋体"/>
        </w:rPr>
        <w:t xml:space="preserve"> </w:t>
      </w:r>
      <w:r>
        <w:rPr>
          <w:rFonts w:ascii="宋体" w:eastAsia="宋体" w:hAnsi="宋体" w:cs="宋体"/>
          <w:spacing w:val="-3"/>
        </w:rPr>
        <w:t>生物提供第一道防线。它是人类不断与外界微生物接触的长期进</w:t>
      </w:r>
      <w:r>
        <w:rPr>
          <w:rFonts w:ascii="宋体" w:eastAsia="宋体" w:hAnsi="宋体" w:cs="宋体"/>
          <w:spacing w:val="-4"/>
        </w:rPr>
        <w:t>化过程中建立起</w:t>
      </w:r>
      <w:r>
        <w:rPr>
          <w:rFonts w:ascii="宋体" w:eastAsia="宋体" w:hAnsi="宋体" w:cs="宋体"/>
        </w:rPr>
        <w:t xml:space="preserve"> </w:t>
      </w:r>
      <w:r>
        <w:rPr>
          <w:rFonts w:ascii="宋体" w:eastAsia="宋体" w:hAnsi="宋体" w:cs="宋体"/>
          <w:spacing w:val="-3"/>
        </w:rPr>
        <w:t>来的，并能遗传给后代。非特异性免疫在胚胎期形成，正常的个体的非特异性免</w:t>
      </w:r>
      <w:r>
        <w:rPr>
          <w:rFonts w:ascii="宋体" w:eastAsia="宋体" w:hAnsi="宋体" w:cs="宋体"/>
          <w:spacing w:val="12"/>
        </w:rPr>
        <w:t xml:space="preserve"> </w:t>
      </w:r>
      <w:r>
        <w:rPr>
          <w:rFonts w:ascii="宋体" w:eastAsia="宋体" w:hAnsi="宋体" w:cs="宋体"/>
          <w:spacing w:val="-4"/>
        </w:rPr>
        <w:t>疫反应是十分相似的，不存在记忆效应，机体对再次出现的相同病原微生物产生</w:t>
      </w:r>
      <w:r>
        <w:rPr>
          <w:rFonts w:ascii="宋体" w:eastAsia="宋体" w:hAnsi="宋体" w:cs="宋体"/>
          <w:spacing w:val="8"/>
        </w:rPr>
        <w:t xml:space="preserve"> </w:t>
      </w:r>
      <w:r>
        <w:rPr>
          <w:rFonts w:ascii="宋体" w:eastAsia="宋体" w:hAnsi="宋体" w:cs="宋体"/>
          <w:spacing w:val="-3"/>
        </w:rPr>
        <w:t>相同的免疫反应。非特异性免疫针对许多类型微生物和病原菌独有的</w:t>
      </w:r>
      <w:r>
        <w:rPr>
          <w:rFonts w:ascii="宋体" w:eastAsia="宋体" w:hAnsi="宋体" w:cs="宋体"/>
          <w:spacing w:val="-4"/>
        </w:rPr>
        <w:t>对生存极为</w:t>
      </w:r>
      <w:r>
        <w:rPr>
          <w:rFonts w:ascii="宋体" w:eastAsia="宋体" w:hAnsi="宋体" w:cs="宋体"/>
        </w:rPr>
        <w:t xml:space="preserve"> </w:t>
      </w:r>
      <w:r>
        <w:rPr>
          <w:rFonts w:ascii="宋体" w:eastAsia="宋体" w:hAnsi="宋体" w:cs="宋体"/>
          <w:spacing w:val="-3"/>
        </w:rPr>
        <w:t>重要的分子结构，即脂多糖、磷壁酸。非特异性免疫主要细胞有</w:t>
      </w:r>
      <w:r>
        <w:rPr>
          <w:rFonts w:ascii="宋体" w:eastAsia="宋体" w:hAnsi="宋体" w:cs="宋体"/>
          <w:spacing w:val="-4"/>
        </w:rPr>
        <w:t>吞噬细胞和中性</w:t>
      </w:r>
      <w:r>
        <w:rPr>
          <w:rFonts w:ascii="宋体" w:eastAsia="宋体" w:hAnsi="宋体" w:cs="宋体"/>
        </w:rPr>
        <w:t xml:space="preserve"> </w:t>
      </w:r>
      <w:r>
        <w:rPr>
          <w:rFonts w:ascii="宋体" w:eastAsia="宋体" w:hAnsi="宋体" w:cs="宋体"/>
          <w:spacing w:val="-3"/>
        </w:rPr>
        <w:t>粒细胞，它们细胞膜表面具有识别普通菌表面分子的受体。当其与受体结合，就</w:t>
      </w:r>
      <w:r>
        <w:rPr>
          <w:rFonts w:ascii="宋体" w:eastAsia="宋体" w:hAnsi="宋体" w:cs="宋体"/>
          <w:spacing w:val="13"/>
        </w:rPr>
        <w:t xml:space="preserve"> </w:t>
      </w:r>
      <w:r>
        <w:rPr>
          <w:rFonts w:ascii="宋体" w:eastAsia="宋体" w:hAnsi="宋体" w:cs="宋体"/>
          <w:spacing w:val="-6"/>
        </w:rPr>
        <w:t>会启动吞噬作用、摧毁这种微生物。</w:t>
      </w:r>
    </w:p>
    <w:p w:rsidR="00EA40A3" w:rsidRDefault="00EA40A3">
      <w:pPr>
        <w:sectPr w:rsidR="00EA40A3">
          <w:footerReference w:type="default" r:id="rId292"/>
          <w:pgSz w:w="9340" w:h="13440"/>
          <w:pgMar w:top="400" w:right="1119" w:bottom="1354" w:left="959" w:header="0" w:footer="1121" w:gutter="0"/>
          <w:cols w:space="720"/>
        </w:sectPr>
      </w:pPr>
    </w:p>
    <w:p w:rsidR="00EA40A3" w:rsidRDefault="00EA40A3">
      <w:pPr>
        <w:spacing w:line="249" w:lineRule="auto"/>
      </w:pPr>
    </w:p>
    <w:p w:rsidR="00EA40A3" w:rsidRDefault="00EA40A3">
      <w:pPr>
        <w:spacing w:line="249" w:lineRule="auto"/>
      </w:pPr>
    </w:p>
    <w:p w:rsidR="00EA40A3" w:rsidRDefault="00EA40A3">
      <w:pPr>
        <w:spacing w:line="250" w:lineRule="auto"/>
      </w:pPr>
    </w:p>
    <w:p w:rsidR="00EA40A3" w:rsidRDefault="00E86C16">
      <w:pPr>
        <w:spacing w:before="72" w:line="220" w:lineRule="auto"/>
        <w:rPr>
          <w:rFonts w:ascii="仿宋" w:eastAsia="仿宋" w:hAnsi="仿宋" w:cs="仿宋"/>
          <w:sz w:val="22"/>
          <w:szCs w:val="22"/>
        </w:rPr>
      </w:pPr>
      <w:bookmarkStart w:id="86" w:name="_bookmark90"/>
      <w:bookmarkEnd w:id="86"/>
      <w:r>
        <w:rPr>
          <w:rFonts w:ascii="仿宋" w:eastAsia="仿宋" w:hAnsi="仿宋" w:cs="仿宋"/>
          <w:spacing w:val="10"/>
          <w:sz w:val="22"/>
          <w:szCs w:val="22"/>
        </w:rPr>
        <w:t>3.</w:t>
      </w:r>
      <w:r>
        <w:rPr>
          <w:rFonts w:ascii="仿宋" w:eastAsia="仿宋" w:hAnsi="仿宋" w:cs="仿宋"/>
          <w:spacing w:val="-8"/>
          <w:sz w:val="22"/>
          <w:szCs w:val="22"/>
        </w:rPr>
        <w:t xml:space="preserve"> </w:t>
      </w:r>
      <w:r>
        <w:rPr>
          <w:rFonts w:ascii="仿宋" w:eastAsia="仿宋" w:hAnsi="仿宋" w:cs="仿宋"/>
          <w:spacing w:val="10"/>
          <w:sz w:val="22"/>
          <w:szCs w:val="22"/>
        </w:rPr>
        <w:t>特异性免疫</w:t>
      </w:r>
    </w:p>
    <w:p w:rsidR="00EA40A3" w:rsidRDefault="00E86C16">
      <w:pPr>
        <w:spacing w:before="164" w:line="243" w:lineRule="auto"/>
        <w:ind w:right="81" w:firstLine="439"/>
        <w:rPr>
          <w:rFonts w:ascii="宋体" w:eastAsia="宋体" w:hAnsi="宋体" w:cs="宋体"/>
          <w:sz w:val="22"/>
          <w:szCs w:val="22"/>
        </w:rPr>
      </w:pPr>
      <w:r>
        <w:rPr>
          <w:rFonts w:ascii="宋体" w:eastAsia="宋体" w:hAnsi="宋体" w:cs="宋体"/>
          <w:spacing w:val="-12"/>
          <w:sz w:val="22"/>
          <w:szCs w:val="22"/>
        </w:rPr>
        <w:t>特异性免疫</w:t>
      </w:r>
      <w:r>
        <w:rPr>
          <w:rFonts w:ascii="宋体" w:eastAsia="宋体" w:hAnsi="宋体" w:cs="宋体"/>
          <w:spacing w:val="-11"/>
          <w:sz w:val="22"/>
          <w:szCs w:val="22"/>
        </w:rPr>
        <w:t xml:space="preserve"> </w:t>
      </w:r>
      <w:r>
        <w:rPr>
          <w:rFonts w:ascii="宋体" w:eastAsia="宋体" w:hAnsi="宋体" w:cs="宋体"/>
          <w:spacing w:val="-12"/>
          <w:sz w:val="22"/>
          <w:szCs w:val="22"/>
        </w:rPr>
        <w:t>(adaptive</w:t>
      </w:r>
      <w:r>
        <w:rPr>
          <w:rFonts w:ascii="宋体" w:eastAsia="宋体" w:hAnsi="宋体" w:cs="宋体"/>
          <w:spacing w:val="12"/>
          <w:sz w:val="22"/>
          <w:szCs w:val="22"/>
        </w:rPr>
        <w:t xml:space="preserve"> </w:t>
      </w:r>
      <w:r>
        <w:rPr>
          <w:rFonts w:ascii="宋体" w:eastAsia="宋体" w:hAnsi="宋体" w:cs="宋体"/>
          <w:spacing w:val="-12"/>
          <w:sz w:val="22"/>
          <w:szCs w:val="22"/>
        </w:rPr>
        <w:t>immunity)</w:t>
      </w:r>
      <w:r>
        <w:rPr>
          <w:rFonts w:ascii="宋体" w:eastAsia="宋体" w:hAnsi="宋体" w:cs="宋体"/>
          <w:spacing w:val="-55"/>
          <w:sz w:val="22"/>
          <w:szCs w:val="22"/>
        </w:rPr>
        <w:t xml:space="preserve"> </w:t>
      </w:r>
      <w:r>
        <w:rPr>
          <w:rFonts w:ascii="宋体" w:eastAsia="宋体" w:hAnsi="宋体" w:cs="宋体"/>
          <w:spacing w:val="-12"/>
          <w:sz w:val="22"/>
          <w:szCs w:val="22"/>
        </w:rPr>
        <w:t>是指在个体出生后</w:t>
      </w:r>
      <w:r>
        <w:rPr>
          <w:rFonts w:ascii="宋体" w:eastAsia="宋体" w:hAnsi="宋体" w:cs="宋体"/>
          <w:spacing w:val="-13"/>
          <w:sz w:val="22"/>
          <w:szCs w:val="22"/>
        </w:rPr>
        <w:t>，由于机体感染了某种</w:t>
      </w:r>
      <w:r>
        <w:rPr>
          <w:rFonts w:ascii="宋体" w:eastAsia="宋体" w:hAnsi="宋体" w:cs="宋体"/>
          <w:sz w:val="22"/>
          <w:szCs w:val="22"/>
        </w:rPr>
        <w:t xml:space="preserve"> </w:t>
      </w:r>
      <w:r>
        <w:rPr>
          <w:rFonts w:ascii="宋体" w:eastAsia="宋体" w:hAnsi="宋体" w:cs="宋体"/>
          <w:spacing w:val="-12"/>
          <w:sz w:val="22"/>
          <w:szCs w:val="22"/>
        </w:rPr>
        <w:t>病原微生物或接触了异种、异体物质而获得的针对某</w:t>
      </w:r>
      <w:r>
        <w:rPr>
          <w:rFonts w:ascii="宋体" w:eastAsia="宋体" w:hAnsi="宋体" w:cs="宋体"/>
          <w:spacing w:val="-13"/>
          <w:sz w:val="22"/>
          <w:szCs w:val="22"/>
        </w:rPr>
        <w:t>种微生物或异物的专一性免</w:t>
      </w:r>
      <w:r>
        <w:rPr>
          <w:rFonts w:ascii="宋体" w:eastAsia="宋体" w:hAnsi="宋体" w:cs="宋体"/>
          <w:sz w:val="22"/>
          <w:szCs w:val="22"/>
        </w:rPr>
        <w:t xml:space="preserve"> </w:t>
      </w:r>
      <w:r>
        <w:rPr>
          <w:rFonts w:ascii="宋体" w:eastAsia="宋体" w:hAnsi="宋体" w:cs="宋体"/>
          <w:spacing w:val="-9"/>
          <w:sz w:val="22"/>
          <w:szCs w:val="22"/>
        </w:rPr>
        <w:t>疫力。特异性免疫包括细胞免疫和体液免疫，由B</w:t>
      </w:r>
      <w:r>
        <w:rPr>
          <w:rFonts w:ascii="宋体" w:eastAsia="宋体" w:hAnsi="宋体" w:cs="宋体"/>
          <w:spacing w:val="-30"/>
          <w:sz w:val="22"/>
          <w:szCs w:val="22"/>
        </w:rPr>
        <w:t xml:space="preserve"> </w:t>
      </w:r>
      <w:r>
        <w:rPr>
          <w:rFonts w:ascii="宋体" w:eastAsia="宋体" w:hAnsi="宋体" w:cs="宋体"/>
          <w:spacing w:val="-9"/>
          <w:sz w:val="22"/>
          <w:szCs w:val="22"/>
        </w:rPr>
        <w:t>细胞和T</w:t>
      </w:r>
      <w:r>
        <w:rPr>
          <w:rFonts w:ascii="宋体" w:eastAsia="宋体" w:hAnsi="宋体" w:cs="宋体"/>
          <w:spacing w:val="-24"/>
          <w:sz w:val="22"/>
          <w:szCs w:val="22"/>
        </w:rPr>
        <w:t xml:space="preserve"> </w:t>
      </w:r>
      <w:r>
        <w:rPr>
          <w:rFonts w:ascii="宋体" w:eastAsia="宋体" w:hAnsi="宋体" w:cs="宋体"/>
          <w:spacing w:val="-9"/>
          <w:sz w:val="22"/>
          <w:szCs w:val="22"/>
        </w:rPr>
        <w:t>细胞完成。</w:t>
      </w:r>
    </w:p>
    <w:p w:rsidR="00EA40A3" w:rsidRDefault="00E86C16">
      <w:pPr>
        <w:spacing w:before="56" w:line="225" w:lineRule="auto"/>
        <w:rPr>
          <w:rFonts w:ascii="楷体" w:eastAsia="楷体" w:hAnsi="楷体" w:cs="楷体"/>
          <w:sz w:val="22"/>
          <w:szCs w:val="22"/>
        </w:rPr>
      </w:pPr>
      <w:r>
        <w:rPr>
          <w:rFonts w:ascii="楷体" w:eastAsia="楷体" w:hAnsi="楷体" w:cs="楷体"/>
          <w:spacing w:val="-7"/>
          <w:sz w:val="22"/>
          <w:szCs w:val="22"/>
        </w:rPr>
        <w:t>1)抗原及其识别</w:t>
      </w:r>
    </w:p>
    <w:p w:rsidR="00EA40A3" w:rsidRDefault="00E86C16">
      <w:pPr>
        <w:spacing w:before="26" w:line="243" w:lineRule="auto"/>
        <w:ind w:right="60" w:firstLine="439"/>
        <w:rPr>
          <w:rFonts w:ascii="宋体" w:eastAsia="宋体" w:hAnsi="宋体" w:cs="宋体"/>
          <w:sz w:val="22"/>
          <w:szCs w:val="22"/>
        </w:rPr>
      </w:pPr>
      <w:r>
        <w:rPr>
          <w:rFonts w:ascii="宋体" w:eastAsia="宋体" w:hAnsi="宋体" w:cs="宋体"/>
          <w:spacing w:val="-5"/>
          <w:sz w:val="22"/>
          <w:szCs w:val="22"/>
        </w:rPr>
        <w:t>抗原</w:t>
      </w:r>
      <w:r>
        <w:rPr>
          <w:rFonts w:ascii="宋体" w:eastAsia="宋体" w:hAnsi="宋体" w:cs="宋体"/>
          <w:spacing w:val="-14"/>
          <w:sz w:val="22"/>
          <w:szCs w:val="22"/>
        </w:rPr>
        <w:t xml:space="preserve"> </w:t>
      </w:r>
      <w:r>
        <w:rPr>
          <w:rFonts w:ascii="宋体" w:eastAsia="宋体" w:hAnsi="宋体" w:cs="宋体"/>
          <w:spacing w:val="-5"/>
          <w:sz w:val="22"/>
          <w:szCs w:val="22"/>
        </w:rPr>
        <w:t>(antigen,Ag)</w:t>
      </w:r>
      <w:r>
        <w:rPr>
          <w:rFonts w:ascii="宋体" w:eastAsia="宋体" w:hAnsi="宋体" w:cs="宋体"/>
          <w:spacing w:val="7"/>
          <w:sz w:val="22"/>
          <w:szCs w:val="22"/>
        </w:rPr>
        <w:t xml:space="preserve"> </w:t>
      </w:r>
      <w:r>
        <w:rPr>
          <w:rFonts w:ascii="宋体" w:eastAsia="宋体" w:hAnsi="宋体" w:cs="宋体"/>
          <w:spacing w:val="-5"/>
          <w:sz w:val="22"/>
          <w:szCs w:val="22"/>
        </w:rPr>
        <w:t>是一类能刺激机体免疫系统发生免疫应答，产生抗体</w:t>
      </w:r>
      <w:r>
        <w:rPr>
          <w:rFonts w:ascii="宋体" w:eastAsia="宋体" w:hAnsi="宋体" w:cs="宋体"/>
          <w:sz w:val="22"/>
          <w:szCs w:val="22"/>
        </w:rPr>
        <w:t xml:space="preserve"> </w:t>
      </w:r>
      <w:r>
        <w:rPr>
          <w:rFonts w:ascii="宋体" w:eastAsia="宋体" w:hAnsi="宋体" w:cs="宋体"/>
          <w:spacing w:val="-14"/>
          <w:sz w:val="22"/>
          <w:szCs w:val="22"/>
        </w:rPr>
        <w:t>和致敏淋巴细胞，并能与相应抗体或致敏淋巴细胞结合的物质。抗原一般需具备</w:t>
      </w:r>
      <w:r>
        <w:rPr>
          <w:rFonts w:ascii="宋体" w:eastAsia="宋体" w:hAnsi="宋体" w:cs="宋体"/>
          <w:spacing w:val="18"/>
          <w:sz w:val="22"/>
          <w:szCs w:val="22"/>
        </w:rPr>
        <w:t xml:space="preserve"> </w:t>
      </w:r>
      <w:r>
        <w:rPr>
          <w:rFonts w:ascii="宋体" w:eastAsia="宋体" w:hAnsi="宋体" w:cs="宋体"/>
          <w:spacing w:val="-6"/>
          <w:sz w:val="22"/>
          <w:szCs w:val="22"/>
        </w:rPr>
        <w:t>异物性、大分子性、具有活性基团(抗原决定簇)及一定的</w:t>
      </w:r>
      <w:r>
        <w:rPr>
          <w:rFonts w:ascii="宋体" w:eastAsia="宋体" w:hAnsi="宋体" w:cs="宋体"/>
          <w:spacing w:val="-7"/>
          <w:sz w:val="22"/>
          <w:szCs w:val="22"/>
        </w:rPr>
        <w:t>构型。</w:t>
      </w:r>
    </w:p>
    <w:p w:rsidR="00EA40A3" w:rsidRDefault="00E86C16">
      <w:pPr>
        <w:spacing w:before="53" w:line="247" w:lineRule="auto"/>
        <w:ind w:right="5" w:firstLine="439"/>
        <w:rPr>
          <w:rFonts w:ascii="宋体" w:eastAsia="宋体" w:hAnsi="宋体" w:cs="宋体"/>
          <w:sz w:val="22"/>
          <w:szCs w:val="22"/>
        </w:rPr>
      </w:pPr>
      <w:r>
        <w:rPr>
          <w:rFonts w:ascii="宋体" w:eastAsia="宋体" w:hAnsi="宋体" w:cs="宋体"/>
          <w:spacing w:val="-6"/>
          <w:sz w:val="22"/>
          <w:szCs w:val="22"/>
        </w:rPr>
        <w:t>每个B</w:t>
      </w:r>
      <w:r>
        <w:rPr>
          <w:rFonts w:ascii="宋体" w:eastAsia="宋体" w:hAnsi="宋体" w:cs="宋体"/>
          <w:spacing w:val="-29"/>
          <w:sz w:val="22"/>
          <w:szCs w:val="22"/>
        </w:rPr>
        <w:t xml:space="preserve"> </w:t>
      </w:r>
      <w:r>
        <w:rPr>
          <w:rFonts w:ascii="宋体" w:eastAsia="宋体" w:hAnsi="宋体" w:cs="宋体"/>
          <w:spacing w:val="-6"/>
          <w:sz w:val="22"/>
          <w:szCs w:val="22"/>
        </w:rPr>
        <w:t>细胞和T</w:t>
      </w:r>
      <w:r>
        <w:rPr>
          <w:rFonts w:ascii="宋体" w:eastAsia="宋体" w:hAnsi="宋体" w:cs="宋体"/>
          <w:spacing w:val="-4"/>
          <w:sz w:val="22"/>
          <w:szCs w:val="22"/>
        </w:rPr>
        <w:t xml:space="preserve"> </w:t>
      </w:r>
      <w:r>
        <w:rPr>
          <w:rFonts w:ascii="宋体" w:eastAsia="宋体" w:hAnsi="宋体" w:cs="宋体"/>
          <w:spacing w:val="-6"/>
          <w:sz w:val="22"/>
          <w:szCs w:val="22"/>
        </w:rPr>
        <w:t>细胞具有识别单一抗原特性的表面受体，每个淋巴细胞的</w:t>
      </w:r>
      <w:r>
        <w:rPr>
          <w:rFonts w:ascii="宋体" w:eastAsia="宋体" w:hAnsi="宋体" w:cs="宋体"/>
          <w:sz w:val="22"/>
          <w:szCs w:val="22"/>
        </w:rPr>
        <w:t xml:space="preserve"> </w:t>
      </w:r>
      <w:r>
        <w:rPr>
          <w:rFonts w:ascii="宋体" w:eastAsia="宋体" w:hAnsi="宋体" w:cs="宋体"/>
          <w:spacing w:val="-13"/>
          <w:sz w:val="22"/>
          <w:szCs w:val="22"/>
        </w:rPr>
        <w:t>特异性是不同的。免疫系统能够识别大量的抗原，但识别任一抗原的淋巴细胞数</w:t>
      </w:r>
      <w:r>
        <w:rPr>
          <w:rFonts w:ascii="宋体" w:eastAsia="宋体" w:hAnsi="宋体" w:cs="宋体"/>
          <w:spacing w:val="1"/>
          <w:sz w:val="22"/>
          <w:szCs w:val="22"/>
        </w:rPr>
        <w:t xml:space="preserve">  </w:t>
      </w:r>
      <w:r>
        <w:rPr>
          <w:rFonts w:ascii="宋体" w:eastAsia="宋体" w:hAnsi="宋体" w:cs="宋体"/>
          <w:spacing w:val="-13"/>
          <w:sz w:val="22"/>
          <w:szCs w:val="22"/>
        </w:rPr>
        <w:t>量是有限的，机体中并不随时存在足够清除某种微生物的淋巴细胞。当淋巴细胞</w:t>
      </w:r>
      <w:r>
        <w:rPr>
          <w:rFonts w:ascii="宋体" w:eastAsia="宋体" w:hAnsi="宋体" w:cs="宋体"/>
          <w:spacing w:val="1"/>
          <w:sz w:val="22"/>
          <w:szCs w:val="22"/>
        </w:rPr>
        <w:t xml:space="preserve">  </w:t>
      </w:r>
      <w:r>
        <w:rPr>
          <w:rFonts w:ascii="宋体" w:eastAsia="宋体" w:hAnsi="宋体" w:cs="宋体"/>
          <w:spacing w:val="-9"/>
          <w:sz w:val="22"/>
          <w:szCs w:val="22"/>
        </w:rPr>
        <w:t>的抗原识别受体与其补体抗原结合，细胞停止迁移，经过3～5d</w:t>
      </w:r>
      <w:r>
        <w:rPr>
          <w:rFonts w:ascii="宋体" w:eastAsia="宋体" w:hAnsi="宋体" w:cs="宋体"/>
          <w:spacing w:val="-33"/>
          <w:sz w:val="22"/>
          <w:szCs w:val="22"/>
        </w:rPr>
        <w:t xml:space="preserve"> </w:t>
      </w:r>
      <w:r>
        <w:rPr>
          <w:rFonts w:ascii="宋体" w:eastAsia="宋体" w:hAnsi="宋体" w:cs="宋体"/>
          <w:spacing w:val="-9"/>
          <w:sz w:val="22"/>
          <w:szCs w:val="22"/>
        </w:rPr>
        <w:t>的放大和增殖，</w:t>
      </w:r>
      <w:r>
        <w:rPr>
          <w:rFonts w:ascii="宋体" w:eastAsia="宋体" w:hAnsi="宋体" w:cs="宋体"/>
          <w:sz w:val="22"/>
          <w:szCs w:val="22"/>
        </w:rPr>
        <w:t xml:space="preserve"> </w:t>
      </w:r>
      <w:r>
        <w:rPr>
          <w:rFonts w:ascii="宋体" w:eastAsia="宋体" w:hAnsi="宋体" w:cs="宋体"/>
          <w:spacing w:val="-13"/>
          <w:sz w:val="22"/>
          <w:szCs w:val="22"/>
        </w:rPr>
        <w:t>出现大量针对起始抗原的效应细胞。这种抗原驱动的无性扩增是非常有效的，由</w:t>
      </w:r>
      <w:r>
        <w:rPr>
          <w:rFonts w:ascii="宋体" w:eastAsia="宋体" w:hAnsi="宋体" w:cs="宋体"/>
          <w:spacing w:val="18"/>
          <w:sz w:val="22"/>
          <w:szCs w:val="22"/>
        </w:rPr>
        <w:t xml:space="preserve"> </w:t>
      </w:r>
      <w:r>
        <w:rPr>
          <w:rFonts w:ascii="宋体" w:eastAsia="宋体" w:hAnsi="宋体" w:cs="宋体"/>
          <w:spacing w:val="-13"/>
          <w:sz w:val="22"/>
          <w:szCs w:val="22"/>
        </w:rPr>
        <w:t>此产生的一些效应细胞是长命的，也是特异性免疫记忆的</w:t>
      </w:r>
      <w:r>
        <w:rPr>
          <w:rFonts w:ascii="宋体" w:eastAsia="宋体" w:hAnsi="宋体" w:cs="宋体"/>
          <w:spacing w:val="-14"/>
          <w:sz w:val="22"/>
          <w:szCs w:val="22"/>
        </w:rPr>
        <w:t>基础。</w:t>
      </w:r>
    </w:p>
    <w:p w:rsidR="00EA40A3" w:rsidRDefault="00E86C16">
      <w:pPr>
        <w:spacing w:before="56" w:line="224" w:lineRule="auto"/>
        <w:rPr>
          <w:rFonts w:ascii="楷体" w:eastAsia="楷体" w:hAnsi="楷体" w:cs="楷体"/>
          <w:sz w:val="22"/>
          <w:szCs w:val="22"/>
        </w:rPr>
      </w:pPr>
      <w:r>
        <w:rPr>
          <w:rFonts w:ascii="楷体" w:eastAsia="楷体" w:hAnsi="楷体" w:cs="楷体"/>
          <w:spacing w:val="-7"/>
          <w:sz w:val="22"/>
          <w:szCs w:val="22"/>
        </w:rPr>
        <w:t>2)特异性免疫反应</w:t>
      </w:r>
    </w:p>
    <w:p w:rsidR="00EA40A3" w:rsidRDefault="00E86C16">
      <w:pPr>
        <w:spacing w:before="54" w:line="241" w:lineRule="auto"/>
        <w:ind w:firstLine="439"/>
        <w:rPr>
          <w:rFonts w:ascii="宋体" w:eastAsia="宋体" w:hAnsi="宋体" w:cs="宋体"/>
          <w:sz w:val="22"/>
          <w:szCs w:val="22"/>
        </w:rPr>
      </w:pPr>
      <w:r>
        <w:rPr>
          <w:rFonts w:ascii="宋体" w:eastAsia="宋体" w:hAnsi="宋体" w:cs="宋体"/>
          <w:spacing w:val="-13"/>
          <w:sz w:val="22"/>
          <w:szCs w:val="22"/>
        </w:rPr>
        <w:t>特异性免疫反应又叫免疫应答，是机体对抗原性异物所发生的一系列排异性</w:t>
      </w:r>
      <w:r>
        <w:rPr>
          <w:rFonts w:ascii="宋体" w:eastAsia="宋体" w:hAnsi="宋体" w:cs="宋体"/>
          <w:spacing w:val="16"/>
          <w:sz w:val="22"/>
          <w:szCs w:val="22"/>
        </w:rPr>
        <w:t xml:space="preserve"> </w:t>
      </w:r>
      <w:r>
        <w:rPr>
          <w:rFonts w:ascii="宋体" w:eastAsia="宋体" w:hAnsi="宋体" w:cs="宋体"/>
          <w:spacing w:val="-10"/>
          <w:sz w:val="22"/>
          <w:szCs w:val="22"/>
        </w:rPr>
        <w:t>生理反应，是由多种免疫细胞和细胞因子相互作用共同完成的复杂的生理过程。</w:t>
      </w:r>
      <w:r>
        <w:rPr>
          <w:rFonts w:ascii="宋体" w:eastAsia="宋体" w:hAnsi="宋体" w:cs="宋体"/>
          <w:sz w:val="22"/>
          <w:szCs w:val="22"/>
        </w:rPr>
        <w:t xml:space="preserve"> </w:t>
      </w:r>
      <w:r>
        <w:rPr>
          <w:rFonts w:ascii="宋体" w:eastAsia="宋体" w:hAnsi="宋体" w:cs="宋体"/>
          <w:spacing w:val="-13"/>
          <w:sz w:val="22"/>
          <w:szCs w:val="22"/>
        </w:rPr>
        <w:t>机体通过免疫应答能及时清除抗原性异物，维持机体内环境的相对稳定。</w:t>
      </w:r>
    </w:p>
    <w:p w:rsidR="00EA40A3" w:rsidRDefault="00E86C16">
      <w:pPr>
        <w:spacing w:before="59" w:line="236" w:lineRule="auto"/>
        <w:ind w:right="101" w:firstLine="439"/>
        <w:rPr>
          <w:rFonts w:ascii="宋体" w:eastAsia="宋体" w:hAnsi="宋体" w:cs="宋体"/>
          <w:sz w:val="22"/>
          <w:szCs w:val="22"/>
        </w:rPr>
      </w:pPr>
      <w:r>
        <w:rPr>
          <w:rFonts w:ascii="宋体" w:eastAsia="宋体" w:hAnsi="宋体" w:cs="宋体"/>
          <w:spacing w:val="-4"/>
          <w:sz w:val="22"/>
          <w:szCs w:val="22"/>
        </w:rPr>
        <w:t>(1)体液免疫应答：体液免疫应答是指</w:t>
      </w:r>
      <w:r>
        <w:rPr>
          <w:rFonts w:ascii="宋体" w:eastAsia="宋体" w:hAnsi="宋体" w:cs="宋体"/>
          <w:spacing w:val="-63"/>
          <w:sz w:val="22"/>
          <w:szCs w:val="22"/>
        </w:rPr>
        <w:t xml:space="preserve"> </w:t>
      </w:r>
      <w:r>
        <w:rPr>
          <w:rFonts w:ascii="宋体" w:eastAsia="宋体" w:hAnsi="宋体" w:cs="宋体"/>
          <w:spacing w:val="-4"/>
          <w:sz w:val="22"/>
          <w:szCs w:val="22"/>
        </w:rPr>
        <w:t>B</w:t>
      </w:r>
      <w:r>
        <w:rPr>
          <w:rFonts w:ascii="宋体" w:eastAsia="宋体" w:hAnsi="宋体" w:cs="宋体"/>
          <w:spacing w:val="-37"/>
          <w:sz w:val="22"/>
          <w:szCs w:val="22"/>
        </w:rPr>
        <w:t xml:space="preserve"> </w:t>
      </w:r>
      <w:r>
        <w:rPr>
          <w:rFonts w:ascii="宋体" w:eastAsia="宋体" w:hAnsi="宋体" w:cs="宋体"/>
          <w:spacing w:val="-4"/>
          <w:sz w:val="22"/>
          <w:szCs w:val="22"/>
        </w:rPr>
        <w:t>细胞受到抗原刺激后，转化为</w:t>
      </w:r>
      <w:r>
        <w:rPr>
          <w:rFonts w:ascii="宋体" w:eastAsia="宋体" w:hAnsi="宋体" w:cs="宋体"/>
          <w:spacing w:val="-5"/>
          <w:sz w:val="22"/>
          <w:szCs w:val="22"/>
        </w:rPr>
        <w:t>浆</w:t>
      </w:r>
      <w:r>
        <w:rPr>
          <w:rFonts w:ascii="宋体" w:eastAsia="宋体" w:hAnsi="宋体" w:cs="宋体"/>
          <w:sz w:val="22"/>
          <w:szCs w:val="22"/>
        </w:rPr>
        <w:t xml:space="preserve"> </w:t>
      </w:r>
      <w:r>
        <w:rPr>
          <w:rFonts w:ascii="宋体" w:eastAsia="宋体" w:hAnsi="宋体" w:cs="宋体"/>
          <w:spacing w:val="-15"/>
          <w:sz w:val="22"/>
          <w:szCs w:val="22"/>
        </w:rPr>
        <w:t>细胞，分泌抗体所发挥的特异性免疫效应。</w:t>
      </w:r>
    </w:p>
    <w:p w:rsidR="00EA40A3" w:rsidRDefault="00E86C16">
      <w:pPr>
        <w:spacing w:before="43" w:line="247" w:lineRule="auto"/>
        <w:ind w:right="20" w:firstLine="439"/>
        <w:rPr>
          <w:rFonts w:ascii="宋体" w:eastAsia="宋体" w:hAnsi="宋体" w:cs="宋体"/>
          <w:sz w:val="22"/>
          <w:szCs w:val="22"/>
        </w:rPr>
      </w:pPr>
      <w:r>
        <w:rPr>
          <w:rFonts w:ascii="宋体" w:eastAsia="宋体" w:hAnsi="宋体" w:cs="宋体"/>
          <w:spacing w:val="-9"/>
          <w:sz w:val="22"/>
          <w:szCs w:val="22"/>
        </w:rPr>
        <w:t>抗体</w:t>
      </w:r>
      <w:r>
        <w:rPr>
          <w:rFonts w:ascii="宋体" w:eastAsia="宋体" w:hAnsi="宋体" w:cs="宋体"/>
          <w:spacing w:val="-22"/>
          <w:sz w:val="22"/>
          <w:szCs w:val="22"/>
        </w:rPr>
        <w:t xml:space="preserve"> </w:t>
      </w:r>
      <w:r>
        <w:rPr>
          <w:rFonts w:ascii="宋体" w:eastAsia="宋体" w:hAnsi="宋体" w:cs="宋体"/>
          <w:spacing w:val="-9"/>
          <w:sz w:val="22"/>
          <w:szCs w:val="22"/>
        </w:rPr>
        <w:t>(antibody,Ab):</w:t>
      </w:r>
      <w:r>
        <w:rPr>
          <w:rFonts w:ascii="宋体" w:eastAsia="宋体" w:hAnsi="宋体" w:cs="宋体"/>
          <w:spacing w:val="47"/>
          <w:sz w:val="22"/>
          <w:szCs w:val="22"/>
        </w:rPr>
        <w:t xml:space="preserve"> </w:t>
      </w:r>
      <w:r>
        <w:rPr>
          <w:rFonts w:ascii="宋体" w:eastAsia="宋体" w:hAnsi="宋体" w:cs="宋体"/>
          <w:spacing w:val="-9"/>
          <w:sz w:val="22"/>
          <w:szCs w:val="22"/>
        </w:rPr>
        <w:t>是能与相应抗原发生特异性结合的免疫球蛋白</w:t>
      </w:r>
      <w:r>
        <w:rPr>
          <w:rFonts w:ascii="宋体" w:eastAsia="宋体" w:hAnsi="宋体" w:cs="宋体"/>
          <w:spacing w:val="-8"/>
          <w:sz w:val="22"/>
          <w:szCs w:val="22"/>
        </w:rPr>
        <w:t xml:space="preserve"> </w:t>
      </w:r>
      <w:r>
        <w:rPr>
          <w:rFonts w:ascii="宋体" w:eastAsia="宋体" w:hAnsi="宋体" w:cs="宋体"/>
          <w:spacing w:val="-10"/>
          <w:sz w:val="22"/>
          <w:szCs w:val="22"/>
        </w:rPr>
        <w:t>(</w:t>
      </w:r>
      <w:r>
        <w:rPr>
          <w:rFonts w:ascii="宋体" w:eastAsia="宋体" w:hAnsi="宋体" w:cs="宋体"/>
          <w:spacing w:val="-9"/>
          <w:sz w:val="22"/>
          <w:szCs w:val="22"/>
        </w:rPr>
        <w:t>im</w:t>
      </w:r>
      <w:r>
        <w:rPr>
          <w:rFonts w:ascii="宋体" w:eastAsia="宋体" w:hAnsi="宋体" w:cs="宋体"/>
          <w:spacing w:val="-10"/>
          <w:sz w:val="22"/>
          <w:szCs w:val="22"/>
        </w:rPr>
        <w:t>-</w:t>
      </w:r>
      <w:r>
        <w:rPr>
          <w:rFonts w:ascii="宋体" w:eastAsia="宋体" w:hAnsi="宋体" w:cs="宋体"/>
          <w:sz w:val="22"/>
          <w:szCs w:val="22"/>
        </w:rPr>
        <w:t xml:space="preserve"> </w:t>
      </w:r>
      <w:r>
        <w:rPr>
          <w:rFonts w:ascii="宋体" w:eastAsia="宋体" w:hAnsi="宋体" w:cs="宋体"/>
          <w:spacing w:val="-7"/>
          <w:sz w:val="22"/>
          <w:szCs w:val="22"/>
        </w:rPr>
        <w:t>munoglobulin,Ig)。</w:t>
      </w:r>
      <w:r>
        <w:rPr>
          <w:rFonts w:ascii="宋体" w:eastAsia="宋体" w:hAnsi="宋体" w:cs="宋体"/>
          <w:spacing w:val="-21"/>
          <w:sz w:val="22"/>
          <w:szCs w:val="22"/>
        </w:rPr>
        <w:t xml:space="preserve"> </w:t>
      </w:r>
      <w:r>
        <w:rPr>
          <w:rFonts w:ascii="宋体" w:eastAsia="宋体" w:hAnsi="宋体" w:cs="宋体"/>
          <w:spacing w:val="-7"/>
          <w:sz w:val="22"/>
          <w:szCs w:val="22"/>
        </w:rPr>
        <w:t>其主要作用有：①抗体通过与相应抗原的特</w:t>
      </w:r>
      <w:r>
        <w:rPr>
          <w:rFonts w:ascii="宋体" w:eastAsia="宋体" w:hAnsi="宋体" w:cs="宋体"/>
          <w:spacing w:val="-8"/>
          <w:sz w:val="22"/>
          <w:szCs w:val="22"/>
        </w:rPr>
        <w:t>异性结合发挥</w:t>
      </w:r>
      <w:r>
        <w:rPr>
          <w:rFonts w:ascii="宋体" w:eastAsia="宋体" w:hAnsi="宋体" w:cs="宋体"/>
          <w:sz w:val="22"/>
          <w:szCs w:val="22"/>
        </w:rPr>
        <w:t xml:space="preserve"> </w:t>
      </w:r>
      <w:r>
        <w:rPr>
          <w:rFonts w:ascii="宋体" w:eastAsia="宋体" w:hAnsi="宋体" w:cs="宋体"/>
          <w:spacing w:val="-11"/>
          <w:sz w:val="22"/>
          <w:szCs w:val="22"/>
        </w:rPr>
        <w:t>其中和毒素及中和病毒的作用；②抗体还可激活补体介导的溶菌、溶细胞作用：</w:t>
      </w:r>
      <w:r>
        <w:rPr>
          <w:rFonts w:ascii="宋体" w:eastAsia="宋体" w:hAnsi="宋体" w:cs="宋体"/>
          <w:spacing w:val="14"/>
          <w:sz w:val="22"/>
          <w:szCs w:val="22"/>
        </w:rPr>
        <w:t xml:space="preserve"> </w:t>
      </w:r>
      <w:r>
        <w:rPr>
          <w:rFonts w:ascii="宋体" w:eastAsia="宋体" w:hAnsi="宋体" w:cs="宋体"/>
          <w:spacing w:val="-12"/>
          <w:sz w:val="22"/>
          <w:szCs w:val="22"/>
        </w:rPr>
        <w:t>③抗原抗体结合后，通过抗体，可将抗原固定在吞噬细胞表面，增强了吞噬细胞</w:t>
      </w:r>
      <w:r>
        <w:rPr>
          <w:rFonts w:ascii="宋体" w:eastAsia="宋体" w:hAnsi="宋体" w:cs="宋体"/>
          <w:spacing w:val="7"/>
          <w:sz w:val="22"/>
          <w:szCs w:val="22"/>
        </w:rPr>
        <w:t xml:space="preserve"> </w:t>
      </w:r>
      <w:r>
        <w:rPr>
          <w:rFonts w:ascii="宋体" w:eastAsia="宋体" w:hAnsi="宋体" w:cs="宋体"/>
          <w:spacing w:val="-9"/>
          <w:sz w:val="22"/>
          <w:szCs w:val="22"/>
        </w:rPr>
        <w:t>的春噬作用；④</w:t>
      </w:r>
      <w:r>
        <w:rPr>
          <w:rFonts w:ascii="宋体" w:eastAsia="宋体" w:hAnsi="宋体" w:cs="宋体"/>
          <w:spacing w:val="-58"/>
          <w:sz w:val="22"/>
          <w:szCs w:val="22"/>
        </w:rPr>
        <w:t xml:space="preserve"> </w:t>
      </w:r>
      <w:r>
        <w:rPr>
          <w:rFonts w:ascii="宋体" w:eastAsia="宋体" w:hAnsi="宋体" w:cs="宋体"/>
          <w:spacing w:val="-9"/>
          <w:sz w:val="22"/>
          <w:szCs w:val="22"/>
        </w:rPr>
        <w:t>IgG与相应抗原结合后，抗体</w:t>
      </w:r>
      <w:r>
        <w:rPr>
          <w:rFonts w:ascii="宋体" w:eastAsia="宋体" w:hAnsi="宋体" w:cs="宋体"/>
          <w:spacing w:val="-10"/>
          <w:sz w:val="22"/>
          <w:szCs w:val="22"/>
        </w:rPr>
        <w:t>可促使</w:t>
      </w:r>
      <w:r>
        <w:rPr>
          <w:rFonts w:ascii="宋体" w:eastAsia="宋体" w:hAnsi="宋体" w:cs="宋体"/>
          <w:spacing w:val="-9"/>
          <w:sz w:val="22"/>
          <w:szCs w:val="22"/>
        </w:rPr>
        <w:t>NK</w:t>
      </w:r>
      <w:r>
        <w:rPr>
          <w:rFonts w:ascii="宋体" w:eastAsia="宋体" w:hAnsi="宋体" w:cs="宋体"/>
          <w:spacing w:val="52"/>
          <w:sz w:val="22"/>
          <w:szCs w:val="22"/>
        </w:rPr>
        <w:t xml:space="preserve"> </w:t>
      </w:r>
      <w:r>
        <w:rPr>
          <w:rFonts w:ascii="宋体" w:eastAsia="宋体" w:hAnsi="宋体" w:cs="宋体"/>
          <w:spacing w:val="-10"/>
          <w:sz w:val="22"/>
          <w:szCs w:val="22"/>
        </w:rPr>
        <w:t>细胞、单核细胞等释放</w:t>
      </w:r>
      <w:r>
        <w:rPr>
          <w:rFonts w:ascii="宋体" w:eastAsia="宋体" w:hAnsi="宋体" w:cs="宋体"/>
          <w:sz w:val="22"/>
          <w:szCs w:val="22"/>
        </w:rPr>
        <w:t xml:space="preserve"> </w:t>
      </w:r>
      <w:r>
        <w:rPr>
          <w:rFonts w:ascii="宋体" w:eastAsia="宋体" w:hAnsi="宋体" w:cs="宋体"/>
          <w:spacing w:val="-15"/>
          <w:sz w:val="22"/>
          <w:szCs w:val="22"/>
        </w:rPr>
        <w:t>细胞毒，导致靶细胞溶解。</w:t>
      </w:r>
    </w:p>
    <w:p w:rsidR="00EA40A3" w:rsidRDefault="00E86C16">
      <w:pPr>
        <w:spacing w:before="70" w:line="241" w:lineRule="auto"/>
        <w:ind w:right="60" w:firstLine="439"/>
        <w:rPr>
          <w:rFonts w:ascii="宋体" w:eastAsia="宋体" w:hAnsi="宋体" w:cs="宋体"/>
          <w:sz w:val="22"/>
          <w:szCs w:val="22"/>
        </w:rPr>
      </w:pPr>
      <w:r>
        <w:rPr>
          <w:rFonts w:ascii="宋体" w:eastAsia="宋体" w:hAnsi="宋体" w:cs="宋体"/>
          <w:spacing w:val="-1"/>
          <w:sz w:val="22"/>
          <w:szCs w:val="22"/>
        </w:rPr>
        <w:t>(2)细胞免疫应答：细胞免疫是指T</w:t>
      </w:r>
      <w:r>
        <w:rPr>
          <w:rFonts w:ascii="宋体" w:eastAsia="宋体" w:hAnsi="宋体" w:cs="宋体"/>
          <w:spacing w:val="6"/>
          <w:sz w:val="22"/>
          <w:szCs w:val="22"/>
        </w:rPr>
        <w:t xml:space="preserve"> </w:t>
      </w:r>
      <w:r>
        <w:rPr>
          <w:rFonts w:ascii="宋体" w:eastAsia="宋体" w:hAnsi="宋体" w:cs="宋体"/>
          <w:spacing w:val="-1"/>
          <w:sz w:val="22"/>
          <w:szCs w:val="22"/>
        </w:rPr>
        <w:t>细胞接受抗原刺激后，转化成效应T</w:t>
      </w:r>
      <w:r>
        <w:rPr>
          <w:rFonts w:ascii="宋体" w:eastAsia="宋体" w:hAnsi="宋体" w:cs="宋体"/>
          <w:sz w:val="22"/>
          <w:szCs w:val="22"/>
        </w:rPr>
        <w:t xml:space="preserve"> </w:t>
      </w:r>
      <w:r>
        <w:rPr>
          <w:rFonts w:ascii="宋体" w:eastAsia="宋体" w:hAnsi="宋体" w:cs="宋体"/>
          <w:spacing w:val="-12"/>
          <w:sz w:val="22"/>
          <w:szCs w:val="22"/>
        </w:rPr>
        <w:t>细胞并释放细胞因子所发挥的特异性免疫效应。细胞免疫的作用是抗胞内感染、</w:t>
      </w:r>
      <w:r>
        <w:rPr>
          <w:rFonts w:ascii="宋体" w:eastAsia="宋体" w:hAnsi="宋体" w:cs="宋体"/>
          <w:spacing w:val="8"/>
          <w:sz w:val="22"/>
          <w:szCs w:val="22"/>
        </w:rPr>
        <w:t xml:space="preserve"> </w:t>
      </w:r>
      <w:r>
        <w:rPr>
          <w:rFonts w:ascii="宋体" w:eastAsia="宋体" w:hAnsi="宋体" w:cs="宋体"/>
          <w:spacing w:val="-15"/>
          <w:sz w:val="22"/>
          <w:szCs w:val="22"/>
        </w:rPr>
        <w:t>抗肿瘤免疫，并参与移植排斥反应等。</w:t>
      </w:r>
    </w:p>
    <w:p w:rsidR="00EA40A3" w:rsidRDefault="00E86C16">
      <w:pPr>
        <w:spacing w:before="196" w:line="219" w:lineRule="auto"/>
        <w:ind w:left="3"/>
        <w:outlineLvl w:val="6"/>
        <w:rPr>
          <w:rFonts w:ascii="宋体" w:eastAsia="宋体" w:hAnsi="宋体" w:cs="宋体"/>
          <w:sz w:val="22"/>
          <w:szCs w:val="22"/>
        </w:rPr>
      </w:pPr>
      <w:r>
        <w:rPr>
          <w:rFonts w:ascii="宋体" w:eastAsia="宋体" w:hAnsi="宋体" w:cs="宋体"/>
          <w:b/>
          <w:bCs/>
          <w:spacing w:val="5"/>
          <w:sz w:val="22"/>
          <w:szCs w:val="22"/>
        </w:rPr>
        <w:t>11.1.2</w:t>
      </w:r>
      <w:r>
        <w:rPr>
          <w:rFonts w:ascii="宋体" w:eastAsia="宋体" w:hAnsi="宋体" w:cs="宋体"/>
          <w:spacing w:val="48"/>
          <w:sz w:val="22"/>
          <w:szCs w:val="22"/>
        </w:rPr>
        <w:t xml:space="preserve">  </w:t>
      </w:r>
      <w:r>
        <w:rPr>
          <w:rFonts w:ascii="宋体" w:eastAsia="宋体" w:hAnsi="宋体" w:cs="宋体"/>
          <w:b/>
          <w:bCs/>
          <w:spacing w:val="5"/>
          <w:sz w:val="22"/>
          <w:szCs w:val="22"/>
        </w:rPr>
        <w:t>营养素与免疫</w:t>
      </w:r>
    </w:p>
    <w:p w:rsidR="00EA40A3" w:rsidRDefault="00E86C16">
      <w:pPr>
        <w:spacing w:before="210" w:line="244" w:lineRule="auto"/>
        <w:ind w:right="76" w:firstLine="439"/>
        <w:jc w:val="both"/>
        <w:rPr>
          <w:rFonts w:ascii="宋体" w:eastAsia="宋体" w:hAnsi="宋体" w:cs="宋体"/>
          <w:sz w:val="22"/>
          <w:szCs w:val="22"/>
        </w:rPr>
      </w:pPr>
      <w:r>
        <w:rPr>
          <w:rFonts w:ascii="宋体" w:eastAsia="宋体" w:hAnsi="宋体" w:cs="宋体"/>
          <w:spacing w:val="-14"/>
          <w:sz w:val="22"/>
          <w:szCs w:val="22"/>
        </w:rPr>
        <w:t>营养素是维持人体正常免疫功能和健康的物质基础。膳食常量与微量营养素</w:t>
      </w:r>
      <w:r>
        <w:rPr>
          <w:rFonts w:ascii="宋体" w:eastAsia="宋体" w:hAnsi="宋体" w:cs="宋体"/>
          <w:spacing w:val="10"/>
          <w:sz w:val="22"/>
          <w:szCs w:val="22"/>
        </w:rPr>
        <w:t xml:space="preserve"> </w:t>
      </w:r>
      <w:r>
        <w:rPr>
          <w:rFonts w:ascii="宋体" w:eastAsia="宋体" w:hAnsi="宋体" w:cs="宋体"/>
          <w:spacing w:val="-13"/>
          <w:sz w:val="22"/>
          <w:szCs w:val="22"/>
        </w:rPr>
        <w:t>通过胃肠道、胸腺、脾脏、区域淋巴结和血液免疫细胞等影响免疫功能。当机体</w:t>
      </w:r>
      <w:r>
        <w:rPr>
          <w:rFonts w:ascii="宋体" w:eastAsia="宋体" w:hAnsi="宋体" w:cs="宋体"/>
          <w:spacing w:val="2"/>
          <w:sz w:val="22"/>
          <w:szCs w:val="22"/>
        </w:rPr>
        <w:t xml:space="preserve"> </w:t>
      </w:r>
      <w:r>
        <w:rPr>
          <w:rFonts w:ascii="宋体" w:eastAsia="宋体" w:hAnsi="宋体" w:cs="宋体"/>
          <w:spacing w:val="-9"/>
          <w:sz w:val="22"/>
          <w:szCs w:val="22"/>
        </w:rPr>
        <w:t>营养不良时可导致免役功能受损，使机体对病原的抵抗力下降，容</w:t>
      </w:r>
      <w:r>
        <w:rPr>
          <w:rFonts w:ascii="宋体" w:eastAsia="宋体" w:hAnsi="宋体" w:cs="宋体"/>
          <w:spacing w:val="-10"/>
          <w:sz w:val="22"/>
          <w:szCs w:val="22"/>
        </w:rPr>
        <w:t>易发生感染</w:t>
      </w:r>
      <w:r>
        <w:rPr>
          <w:rFonts w:ascii="宋体" w:eastAsia="宋体" w:hAnsi="宋体" w:cs="宋体"/>
          <w:sz w:val="22"/>
          <w:szCs w:val="22"/>
        </w:rPr>
        <w:t xml:space="preserve">  </w:t>
      </w:r>
      <w:r>
        <w:rPr>
          <w:rFonts w:ascii="宋体" w:eastAsia="宋体" w:hAnsi="宋体" w:cs="宋体"/>
          <w:spacing w:val="-9"/>
          <w:sz w:val="22"/>
          <w:szCs w:val="22"/>
        </w:rPr>
        <w:t>而感染时由于蛋白质-能量和多种营养素的消耗增加，同时摄入减少又加重</w:t>
      </w:r>
      <w:r>
        <w:rPr>
          <w:rFonts w:ascii="宋体" w:eastAsia="宋体" w:hAnsi="宋体" w:cs="宋体"/>
          <w:spacing w:val="-10"/>
          <w:sz w:val="22"/>
          <w:szCs w:val="22"/>
        </w:rPr>
        <w:t>了营</w:t>
      </w:r>
    </w:p>
    <w:p w:rsidR="00EA40A3" w:rsidRDefault="00E86C16">
      <w:pPr>
        <w:spacing w:before="112"/>
        <w:ind w:right="99"/>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353</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293"/>
          <w:pgSz w:w="9220" w:h="13360"/>
          <w:pgMar w:top="400" w:right="929" w:bottom="400" w:left="939" w:header="0" w:footer="0" w:gutter="0"/>
          <w:cols w:space="720"/>
        </w:sectPr>
      </w:pPr>
    </w:p>
    <w:p w:rsidR="00EA40A3" w:rsidRDefault="00EA40A3">
      <w:pPr>
        <w:spacing w:line="277" w:lineRule="auto"/>
      </w:pPr>
    </w:p>
    <w:p w:rsidR="00EA40A3" w:rsidRDefault="00EA40A3">
      <w:pPr>
        <w:spacing w:line="27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7"/>
          <w:sz w:val="22"/>
          <w:szCs w:val="22"/>
        </w:rPr>
        <w:t>养不良，形成恶性循环。</w:t>
      </w:r>
    </w:p>
    <w:p w:rsidR="00EA40A3" w:rsidRDefault="00E86C16">
      <w:pPr>
        <w:spacing w:before="215"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6"/>
          <w:sz w:val="22"/>
          <w:szCs w:val="22"/>
        </w:rPr>
        <w:t xml:space="preserve"> </w:t>
      </w:r>
      <w:r>
        <w:rPr>
          <w:rFonts w:ascii="仿宋" w:eastAsia="仿宋" w:hAnsi="仿宋" w:cs="仿宋"/>
          <w:spacing w:val="8"/>
          <w:sz w:val="22"/>
          <w:szCs w:val="22"/>
        </w:rPr>
        <w:t>蛋白质-能量与免疫</w:t>
      </w:r>
    </w:p>
    <w:p w:rsidR="00EA40A3" w:rsidRDefault="00E86C16">
      <w:pPr>
        <w:spacing w:before="156" w:line="244" w:lineRule="auto"/>
        <w:ind w:right="19" w:firstLine="459"/>
        <w:jc w:val="both"/>
        <w:rPr>
          <w:rFonts w:ascii="宋体" w:eastAsia="宋体" w:hAnsi="宋体" w:cs="宋体"/>
          <w:sz w:val="22"/>
          <w:szCs w:val="22"/>
        </w:rPr>
      </w:pPr>
      <w:r>
        <w:rPr>
          <w:rFonts w:ascii="宋体" w:eastAsia="宋体" w:hAnsi="宋体" w:cs="宋体"/>
          <w:spacing w:val="-14"/>
          <w:sz w:val="22"/>
          <w:szCs w:val="22"/>
        </w:rPr>
        <w:t>蛋白质-能量是机体免疫功能的物质基础，上</w:t>
      </w:r>
      <w:r>
        <w:rPr>
          <w:rFonts w:ascii="宋体" w:eastAsia="宋体" w:hAnsi="宋体" w:cs="宋体"/>
          <w:spacing w:val="-15"/>
          <w:sz w:val="22"/>
          <w:szCs w:val="22"/>
        </w:rPr>
        <w:t>皮、黏膜、胸腺、肝脏、脾脏、</w:t>
      </w:r>
      <w:r>
        <w:rPr>
          <w:rFonts w:ascii="宋体" w:eastAsia="宋体" w:hAnsi="宋体" w:cs="宋体"/>
          <w:sz w:val="22"/>
          <w:szCs w:val="22"/>
        </w:rPr>
        <w:t xml:space="preserve"> </w:t>
      </w:r>
      <w:r>
        <w:rPr>
          <w:rFonts w:ascii="宋体" w:eastAsia="宋体" w:hAnsi="宋体" w:cs="宋体"/>
          <w:spacing w:val="-10"/>
          <w:sz w:val="22"/>
          <w:szCs w:val="22"/>
        </w:rPr>
        <w:t>白细胞等组织器官以及抗体和补体等，都需要蛋白质的参与。当蛋白质-能量营</w:t>
      </w:r>
      <w:r>
        <w:rPr>
          <w:rFonts w:ascii="宋体" w:eastAsia="宋体" w:hAnsi="宋体" w:cs="宋体"/>
          <w:spacing w:val="1"/>
          <w:sz w:val="22"/>
          <w:szCs w:val="22"/>
        </w:rPr>
        <w:t xml:space="preserve">  </w:t>
      </w:r>
      <w:r>
        <w:rPr>
          <w:rFonts w:ascii="宋体" w:eastAsia="宋体" w:hAnsi="宋体" w:cs="宋体"/>
          <w:spacing w:val="-10"/>
          <w:sz w:val="22"/>
          <w:szCs w:val="22"/>
        </w:rPr>
        <w:t>养不良</w:t>
      </w:r>
      <w:r>
        <w:rPr>
          <w:rFonts w:ascii="宋体" w:eastAsia="宋体" w:hAnsi="宋体" w:cs="宋体"/>
          <w:spacing w:val="-17"/>
          <w:sz w:val="22"/>
          <w:szCs w:val="22"/>
        </w:rPr>
        <w:t xml:space="preserve"> </w:t>
      </w:r>
      <w:r>
        <w:rPr>
          <w:rFonts w:ascii="宋体" w:eastAsia="宋体" w:hAnsi="宋体" w:cs="宋体"/>
          <w:spacing w:val="-10"/>
          <w:sz w:val="22"/>
          <w:szCs w:val="22"/>
        </w:rPr>
        <w:t>(protein-energy</w:t>
      </w:r>
      <w:r>
        <w:rPr>
          <w:rFonts w:ascii="宋体" w:eastAsia="宋体" w:hAnsi="宋体" w:cs="宋体"/>
          <w:spacing w:val="-5"/>
          <w:sz w:val="22"/>
          <w:szCs w:val="22"/>
        </w:rPr>
        <w:t xml:space="preserve"> </w:t>
      </w:r>
      <w:r>
        <w:rPr>
          <w:rFonts w:ascii="宋体" w:eastAsia="宋体" w:hAnsi="宋体" w:cs="宋体"/>
          <w:spacing w:val="-10"/>
          <w:sz w:val="22"/>
          <w:szCs w:val="22"/>
        </w:rPr>
        <w:t>malnutrition,PEM)</w:t>
      </w:r>
      <w:r>
        <w:rPr>
          <w:rFonts w:ascii="宋体" w:eastAsia="宋体" w:hAnsi="宋体" w:cs="宋体"/>
          <w:spacing w:val="-55"/>
          <w:sz w:val="22"/>
          <w:szCs w:val="22"/>
        </w:rPr>
        <w:t xml:space="preserve"> </w:t>
      </w:r>
      <w:r>
        <w:rPr>
          <w:rFonts w:ascii="宋体" w:eastAsia="宋体" w:hAnsi="宋体" w:cs="宋体"/>
          <w:spacing w:val="-10"/>
          <w:sz w:val="22"/>
          <w:szCs w:val="22"/>
        </w:rPr>
        <w:t>时，这些</w:t>
      </w:r>
      <w:r>
        <w:rPr>
          <w:rFonts w:ascii="宋体" w:eastAsia="宋体" w:hAnsi="宋体" w:cs="宋体"/>
          <w:spacing w:val="-11"/>
          <w:sz w:val="22"/>
          <w:szCs w:val="22"/>
        </w:rPr>
        <w:t>组织器官的结构和功能均</w:t>
      </w:r>
      <w:r>
        <w:rPr>
          <w:rFonts w:ascii="宋体" w:eastAsia="宋体" w:hAnsi="宋体" w:cs="宋体"/>
          <w:sz w:val="22"/>
          <w:szCs w:val="22"/>
        </w:rPr>
        <w:t xml:space="preserve">  </w:t>
      </w:r>
      <w:r>
        <w:rPr>
          <w:rFonts w:ascii="宋体" w:eastAsia="宋体" w:hAnsi="宋体" w:cs="宋体"/>
          <w:spacing w:val="-15"/>
          <w:sz w:val="22"/>
          <w:szCs w:val="22"/>
        </w:rPr>
        <w:t>受到不同程度的影响，从而使免疫功能受损。</w:t>
      </w:r>
    </w:p>
    <w:p w:rsidR="00EA40A3" w:rsidRDefault="00E86C16">
      <w:pPr>
        <w:spacing w:before="73" w:line="223" w:lineRule="auto"/>
        <w:rPr>
          <w:rFonts w:ascii="楷体" w:eastAsia="楷体" w:hAnsi="楷体" w:cs="楷体"/>
          <w:sz w:val="22"/>
          <w:szCs w:val="22"/>
        </w:rPr>
      </w:pPr>
      <w:r>
        <w:rPr>
          <w:rFonts w:ascii="楷体" w:eastAsia="楷体" w:hAnsi="楷体" w:cs="楷体"/>
          <w:spacing w:val="-7"/>
          <w:sz w:val="22"/>
          <w:szCs w:val="22"/>
        </w:rPr>
        <w:t>1)蛋白质-能量与免疫器官</w:t>
      </w:r>
    </w:p>
    <w:p w:rsidR="00EA40A3" w:rsidRDefault="00E86C16">
      <w:pPr>
        <w:spacing w:before="18" w:line="248" w:lineRule="auto"/>
        <w:ind w:right="19" w:firstLine="459"/>
        <w:rPr>
          <w:rFonts w:ascii="宋体" w:eastAsia="宋体" w:hAnsi="宋体" w:cs="宋体"/>
          <w:sz w:val="22"/>
          <w:szCs w:val="22"/>
        </w:rPr>
      </w:pPr>
      <w:r>
        <w:rPr>
          <w:rFonts w:ascii="宋体" w:eastAsia="宋体" w:hAnsi="宋体" w:cs="宋体"/>
          <w:spacing w:val="-14"/>
          <w:sz w:val="22"/>
          <w:szCs w:val="22"/>
        </w:rPr>
        <w:t>蛋白质-能量缺乏可影响儿童青少年免疫器官</w:t>
      </w:r>
      <w:r>
        <w:rPr>
          <w:rFonts w:ascii="宋体" w:eastAsia="宋体" w:hAnsi="宋体" w:cs="宋体"/>
          <w:spacing w:val="-15"/>
          <w:sz w:val="22"/>
          <w:szCs w:val="22"/>
        </w:rPr>
        <w:t>的发育，阻碍免疫系统的建立。</w:t>
      </w:r>
      <w:r>
        <w:rPr>
          <w:rFonts w:ascii="宋体" w:eastAsia="宋体" w:hAnsi="宋体" w:cs="宋体"/>
          <w:sz w:val="22"/>
          <w:szCs w:val="22"/>
        </w:rPr>
        <w:t xml:space="preserve"> </w:t>
      </w:r>
      <w:r>
        <w:rPr>
          <w:rFonts w:ascii="宋体" w:eastAsia="宋体" w:hAnsi="宋体" w:cs="宋体"/>
          <w:spacing w:val="-13"/>
          <w:sz w:val="22"/>
          <w:szCs w:val="22"/>
        </w:rPr>
        <w:t>严重的蛋白质-能量缺乏，成人会引起免疫器官的萎缩</w:t>
      </w:r>
      <w:r>
        <w:rPr>
          <w:rFonts w:ascii="宋体" w:eastAsia="宋体" w:hAnsi="宋体" w:cs="宋体"/>
          <w:spacing w:val="-14"/>
          <w:sz w:val="22"/>
          <w:szCs w:val="22"/>
        </w:rPr>
        <w:t>。</w:t>
      </w:r>
    </w:p>
    <w:p w:rsidR="00EA40A3" w:rsidRDefault="00E86C16">
      <w:pPr>
        <w:spacing w:before="29" w:line="226" w:lineRule="auto"/>
        <w:rPr>
          <w:rFonts w:ascii="楷体" w:eastAsia="楷体" w:hAnsi="楷体" w:cs="楷体"/>
          <w:sz w:val="22"/>
          <w:szCs w:val="22"/>
        </w:rPr>
      </w:pPr>
      <w:r>
        <w:rPr>
          <w:rFonts w:ascii="楷体" w:eastAsia="楷体" w:hAnsi="楷体" w:cs="楷体"/>
          <w:spacing w:val="-8"/>
          <w:sz w:val="22"/>
          <w:szCs w:val="22"/>
        </w:rPr>
        <w:t>2)蛋白质与细胞免疫</w:t>
      </w:r>
    </w:p>
    <w:p w:rsidR="00EA40A3" w:rsidRDefault="00E86C16">
      <w:pPr>
        <w:spacing w:before="40" w:line="241" w:lineRule="auto"/>
        <w:ind w:right="61" w:firstLine="459"/>
        <w:jc w:val="both"/>
        <w:rPr>
          <w:rFonts w:ascii="宋体" w:eastAsia="宋体" w:hAnsi="宋体" w:cs="宋体"/>
          <w:sz w:val="22"/>
          <w:szCs w:val="22"/>
        </w:rPr>
      </w:pPr>
      <w:r>
        <w:rPr>
          <w:rFonts w:ascii="宋体" w:eastAsia="宋体" w:hAnsi="宋体" w:cs="宋体"/>
          <w:spacing w:val="-6"/>
          <w:sz w:val="22"/>
          <w:szCs w:val="22"/>
        </w:rPr>
        <w:t>蛋白质营养不良可影响T</w:t>
      </w:r>
      <w:r>
        <w:rPr>
          <w:rFonts w:ascii="宋体" w:eastAsia="宋体" w:hAnsi="宋体" w:cs="宋体"/>
          <w:spacing w:val="-5"/>
          <w:sz w:val="22"/>
          <w:szCs w:val="22"/>
        </w:rPr>
        <w:t xml:space="preserve"> </w:t>
      </w:r>
      <w:r>
        <w:rPr>
          <w:rFonts w:ascii="宋体" w:eastAsia="宋体" w:hAnsi="宋体" w:cs="宋体"/>
          <w:spacing w:val="-6"/>
          <w:sz w:val="22"/>
          <w:szCs w:val="22"/>
        </w:rPr>
        <w:t>淋巴细胞的数量和功</w:t>
      </w:r>
      <w:r>
        <w:rPr>
          <w:rFonts w:ascii="宋体" w:eastAsia="宋体" w:hAnsi="宋体" w:cs="宋体"/>
          <w:spacing w:val="-7"/>
          <w:sz w:val="22"/>
          <w:szCs w:val="22"/>
        </w:rPr>
        <w:t>能，外周血中T</w:t>
      </w:r>
      <w:r>
        <w:rPr>
          <w:rFonts w:ascii="宋体" w:eastAsia="宋体" w:hAnsi="宋体" w:cs="宋体"/>
          <w:spacing w:val="6"/>
          <w:sz w:val="22"/>
          <w:szCs w:val="22"/>
        </w:rPr>
        <w:t xml:space="preserve"> </w:t>
      </w:r>
      <w:r>
        <w:rPr>
          <w:rFonts w:ascii="宋体" w:eastAsia="宋体" w:hAnsi="宋体" w:cs="宋体"/>
          <w:spacing w:val="-7"/>
          <w:sz w:val="22"/>
          <w:szCs w:val="22"/>
        </w:rPr>
        <w:t>淋巴细胞总</w:t>
      </w:r>
      <w:r>
        <w:rPr>
          <w:rFonts w:ascii="宋体" w:eastAsia="宋体" w:hAnsi="宋体" w:cs="宋体"/>
          <w:sz w:val="22"/>
          <w:szCs w:val="22"/>
        </w:rPr>
        <w:t xml:space="preserve"> </w:t>
      </w:r>
      <w:r>
        <w:rPr>
          <w:rFonts w:ascii="宋体" w:eastAsia="宋体" w:hAnsi="宋体" w:cs="宋体"/>
          <w:spacing w:val="-13"/>
          <w:sz w:val="22"/>
          <w:szCs w:val="22"/>
        </w:rPr>
        <w:t>数显著减少，其分泌的免疫因子的数量也减少。蛋白质营养不</w:t>
      </w:r>
      <w:r>
        <w:rPr>
          <w:rFonts w:ascii="宋体" w:eastAsia="宋体" w:hAnsi="宋体" w:cs="宋体"/>
          <w:spacing w:val="-14"/>
          <w:sz w:val="22"/>
          <w:szCs w:val="22"/>
        </w:rPr>
        <w:t>良增加微生物在组</w:t>
      </w:r>
      <w:r>
        <w:rPr>
          <w:rFonts w:ascii="宋体" w:eastAsia="宋体" w:hAnsi="宋体" w:cs="宋体"/>
          <w:sz w:val="22"/>
          <w:szCs w:val="22"/>
        </w:rPr>
        <w:t xml:space="preserve"> </w:t>
      </w:r>
      <w:r>
        <w:rPr>
          <w:rFonts w:ascii="宋体" w:eastAsia="宋体" w:hAnsi="宋体" w:cs="宋体"/>
          <w:spacing w:val="-15"/>
          <w:sz w:val="22"/>
          <w:szCs w:val="22"/>
        </w:rPr>
        <w:t>织上皮细胞的黏附数目。</w:t>
      </w:r>
    </w:p>
    <w:p w:rsidR="00EA40A3" w:rsidRDefault="00E86C16">
      <w:pPr>
        <w:spacing w:before="59" w:line="226" w:lineRule="auto"/>
        <w:rPr>
          <w:rFonts w:ascii="楷体" w:eastAsia="楷体" w:hAnsi="楷体" w:cs="楷体"/>
          <w:sz w:val="22"/>
          <w:szCs w:val="22"/>
        </w:rPr>
      </w:pPr>
      <w:r>
        <w:rPr>
          <w:rFonts w:ascii="楷体" w:eastAsia="楷体" w:hAnsi="楷体" w:cs="楷体"/>
          <w:spacing w:val="-8"/>
          <w:sz w:val="22"/>
          <w:szCs w:val="22"/>
        </w:rPr>
        <w:t>3)蛋白质与体液免疫</w:t>
      </w:r>
    </w:p>
    <w:p w:rsidR="00EA40A3" w:rsidRDefault="00E86C16">
      <w:pPr>
        <w:spacing w:before="32" w:line="250" w:lineRule="auto"/>
        <w:ind w:right="19" w:firstLine="459"/>
        <w:jc w:val="both"/>
        <w:rPr>
          <w:rFonts w:ascii="宋体" w:eastAsia="宋体" w:hAnsi="宋体" w:cs="宋体"/>
          <w:sz w:val="22"/>
          <w:szCs w:val="22"/>
        </w:rPr>
      </w:pPr>
      <w:r>
        <w:rPr>
          <w:rFonts w:ascii="宋体" w:eastAsia="宋体" w:hAnsi="宋体" w:cs="宋体"/>
          <w:spacing w:val="-8"/>
          <w:sz w:val="22"/>
          <w:szCs w:val="22"/>
        </w:rPr>
        <w:t>在儿童，蛋白质-能量营养不良，可造成机体产生免疫球蛋白</w:t>
      </w:r>
      <w:r>
        <w:rPr>
          <w:rFonts w:ascii="宋体" w:eastAsia="宋体" w:hAnsi="宋体" w:cs="宋体"/>
          <w:spacing w:val="-9"/>
          <w:sz w:val="22"/>
          <w:szCs w:val="22"/>
        </w:rPr>
        <w:t>的能力下降，</w:t>
      </w:r>
      <w:r>
        <w:rPr>
          <w:rFonts w:ascii="宋体" w:eastAsia="宋体" w:hAnsi="宋体" w:cs="宋体"/>
          <w:sz w:val="22"/>
          <w:szCs w:val="22"/>
        </w:rPr>
        <w:t xml:space="preserve"> </w:t>
      </w:r>
      <w:r>
        <w:rPr>
          <w:rFonts w:ascii="宋体" w:eastAsia="宋体" w:hAnsi="宋体" w:cs="宋体"/>
          <w:spacing w:val="-13"/>
          <w:sz w:val="22"/>
          <w:szCs w:val="22"/>
        </w:rPr>
        <w:t>使体液免疫水平低下。成年人对流感病毒抗原的抗体反应下降。动物</w:t>
      </w:r>
      <w:r>
        <w:rPr>
          <w:rFonts w:ascii="宋体" w:eastAsia="宋体" w:hAnsi="宋体" w:cs="宋体"/>
          <w:spacing w:val="-14"/>
          <w:sz w:val="22"/>
          <w:szCs w:val="22"/>
        </w:rPr>
        <w:t>试验中观察</w:t>
      </w:r>
      <w:r>
        <w:rPr>
          <w:rFonts w:ascii="宋体" w:eastAsia="宋体" w:hAnsi="宋体" w:cs="宋体"/>
          <w:sz w:val="22"/>
          <w:szCs w:val="22"/>
        </w:rPr>
        <w:t xml:space="preserve">  </w:t>
      </w:r>
      <w:r>
        <w:rPr>
          <w:rFonts w:ascii="宋体" w:eastAsia="宋体" w:hAnsi="宋体" w:cs="宋体"/>
          <w:spacing w:val="-13"/>
          <w:sz w:val="22"/>
          <w:szCs w:val="22"/>
        </w:rPr>
        <w:t>到，低蛋白饮食时，对伤寒和破伤风抗原的抗体反应与高蛋白对照组相比有</w:t>
      </w:r>
      <w:r>
        <w:rPr>
          <w:rFonts w:ascii="宋体" w:eastAsia="宋体" w:hAnsi="宋体" w:cs="宋体"/>
          <w:spacing w:val="-14"/>
          <w:sz w:val="22"/>
          <w:szCs w:val="22"/>
        </w:rPr>
        <w:t>明显</w:t>
      </w:r>
      <w:r>
        <w:rPr>
          <w:rFonts w:ascii="宋体" w:eastAsia="宋体" w:hAnsi="宋体" w:cs="宋体"/>
          <w:sz w:val="22"/>
          <w:szCs w:val="22"/>
        </w:rPr>
        <w:t xml:space="preserve">  </w:t>
      </w:r>
      <w:r>
        <w:rPr>
          <w:rFonts w:ascii="宋体" w:eastAsia="宋体" w:hAnsi="宋体" w:cs="宋体"/>
          <w:spacing w:val="-21"/>
          <w:sz w:val="22"/>
          <w:szCs w:val="22"/>
        </w:rPr>
        <w:t>降低。</w:t>
      </w:r>
    </w:p>
    <w:p w:rsidR="00EA40A3" w:rsidRDefault="00E86C16">
      <w:pPr>
        <w:spacing w:before="37" w:line="247" w:lineRule="auto"/>
        <w:ind w:right="70" w:firstLine="459"/>
        <w:jc w:val="both"/>
        <w:rPr>
          <w:rFonts w:ascii="宋体" w:eastAsia="宋体" w:hAnsi="宋体" w:cs="宋体"/>
          <w:sz w:val="22"/>
          <w:szCs w:val="22"/>
        </w:rPr>
      </w:pPr>
      <w:r>
        <w:rPr>
          <w:rFonts w:ascii="宋体" w:eastAsia="宋体" w:hAnsi="宋体" w:cs="宋体"/>
          <w:spacing w:val="-13"/>
          <w:sz w:val="22"/>
          <w:szCs w:val="22"/>
        </w:rPr>
        <w:t>除蛋白质的数量外，蛋白质的种类及营养价值也可影响免疫系统的功能</w:t>
      </w:r>
      <w:r>
        <w:rPr>
          <w:rFonts w:ascii="宋体" w:eastAsia="宋体" w:hAnsi="宋体" w:cs="宋体"/>
          <w:spacing w:val="-14"/>
          <w:sz w:val="22"/>
          <w:szCs w:val="22"/>
        </w:rPr>
        <w:t>。蛋</w:t>
      </w:r>
      <w:r>
        <w:rPr>
          <w:rFonts w:ascii="宋体" w:eastAsia="宋体" w:hAnsi="宋体" w:cs="宋体"/>
          <w:sz w:val="22"/>
          <w:szCs w:val="22"/>
        </w:rPr>
        <w:t xml:space="preserve"> </w:t>
      </w:r>
      <w:r>
        <w:rPr>
          <w:rFonts w:ascii="宋体" w:eastAsia="宋体" w:hAnsi="宋体" w:cs="宋体"/>
          <w:spacing w:val="-13"/>
          <w:sz w:val="22"/>
          <w:szCs w:val="22"/>
        </w:rPr>
        <w:t>白质的营养价值对免疫反应有明显影响，研究发现，蛋白质营养价值</w:t>
      </w:r>
      <w:r>
        <w:rPr>
          <w:rFonts w:ascii="宋体" w:eastAsia="宋体" w:hAnsi="宋体" w:cs="宋体"/>
          <w:spacing w:val="-14"/>
          <w:sz w:val="22"/>
          <w:szCs w:val="22"/>
        </w:rPr>
        <w:t>越高，免疫</w:t>
      </w:r>
      <w:r>
        <w:rPr>
          <w:rFonts w:ascii="宋体" w:eastAsia="宋体" w:hAnsi="宋体" w:cs="宋体"/>
          <w:sz w:val="22"/>
          <w:szCs w:val="22"/>
        </w:rPr>
        <w:t xml:space="preserve"> </w:t>
      </w:r>
      <w:r>
        <w:rPr>
          <w:rFonts w:ascii="宋体" w:eastAsia="宋体" w:hAnsi="宋体" w:cs="宋体"/>
          <w:spacing w:val="-1"/>
          <w:sz w:val="22"/>
          <w:szCs w:val="22"/>
        </w:rPr>
        <w:t>作用越强，</w:t>
      </w:r>
      <w:r>
        <w:rPr>
          <w:rFonts w:ascii="宋体" w:eastAsia="宋体" w:hAnsi="宋体" w:cs="宋体"/>
          <w:spacing w:val="86"/>
          <w:sz w:val="22"/>
          <w:szCs w:val="22"/>
        </w:rPr>
        <w:t xml:space="preserve"> </w:t>
      </w:r>
      <w:r>
        <w:rPr>
          <w:rFonts w:ascii="宋体" w:eastAsia="宋体" w:hAnsi="宋体" w:cs="宋体"/>
          <w:spacing w:val="-1"/>
          <w:sz w:val="22"/>
          <w:szCs w:val="22"/>
        </w:rPr>
        <w:t>一般地，蛋类&gt;大豆&gt;肉类&gt;酪蛋白&gt;花生&gt;玉米。</w:t>
      </w:r>
    </w:p>
    <w:p w:rsidR="00EA40A3" w:rsidRDefault="00E86C16">
      <w:pPr>
        <w:spacing w:before="33" w:line="249" w:lineRule="auto"/>
        <w:ind w:firstLine="589"/>
        <w:jc w:val="both"/>
        <w:rPr>
          <w:rFonts w:ascii="宋体" w:eastAsia="宋体" w:hAnsi="宋体" w:cs="宋体"/>
          <w:sz w:val="22"/>
          <w:szCs w:val="22"/>
        </w:rPr>
      </w:pPr>
      <w:r>
        <w:rPr>
          <w:rFonts w:ascii="宋体" w:eastAsia="宋体" w:hAnsi="宋体" w:cs="宋体"/>
          <w:spacing w:val="-15"/>
          <w:sz w:val="22"/>
          <w:szCs w:val="22"/>
        </w:rPr>
        <w:t>一些氨基酸缺乏可引起机体体液免疫力的下降。在生长过程和代谢应激时，</w:t>
      </w:r>
      <w:r>
        <w:rPr>
          <w:rFonts w:ascii="宋体" w:eastAsia="宋体" w:hAnsi="宋体" w:cs="宋体"/>
          <w:spacing w:val="4"/>
          <w:sz w:val="22"/>
          <w:szCs w:val="22"/>
        </w:rPr>
        <w:t xml:space="preserve"> </w:t>
      </w:r>
      <w:r>
        <w:rPr>
          <w:rFonts w:ascii="宋体" w:eastAsia="宋体" w:hAnsi="宋体" w:cs="宋体"/>
          <w:spacing w:val="-13"/>
          <w:sz w:val="22"/>
          <w:szCs w:val="22"/>
        </w:rPr>
        <w:t>如外伤、毒血症以及脑损伤时，精氨酸是机体必需的，它参与蛋</w:t>
      </w:r>
      <w:r>
        <w:rPr>
          <w:rFonts w:ascii="宋体" w:eastAsia="宋体" w:hAnsi="宋体" w:cs="宋体"/>
          <w:spacing w:val="-14"/>
          <w:sz w:val="22"/>
          <w:szCs w:val="22"/>
        </w:rPr>
        <w:t>白质合成、磷酸</w:t>
      </w:r>
      <w:r>
        <w:rPr>
          <w:rFonts w:ascii="宋体" w:eastAsia="宋体" w:hAnsi="宋体" w:cs="宋体"/>
          <w:sz w:val="22"/>
          <w:szCs w:val="22"/>
        </w:rPr>
        <w:t xml:space="preserve">  </w:t>
      </w:r>
      <w:r>
        <w:rPr>
          <w:rFonts w:ascii="宋体" w:eastAsia="宋体" w:hAnsi="宋体" w:cs="宋体"/>
          <w:spacing w:val="-13"/>
          <w:sz w:val="22"/>
          <w:szCs w:val="22"/>
        </w:rPr>
        <w:t>肌醇等能量储存以及含氮废物的清除。当中性粒细胞、吞噬细胞</w:t>
      </w:r>
      <w:r>
        <w:rPr>
          <w:rFonts w:ascii="宋体" w:eastAsia="宋体" w:hAnsi="宋体" w:cs="宋体"/>
          <w:spacing w:val="-14"/>
          <w:sz w:val="22"/>
          <w:szCs w:val="22"/>
        </w:rPr>
        <w:t>、淋巴细胞遭受</w:t>
      </w:r>
      <w:r>
        <w:rPr>
          <w:rFonts w:ascii="宋体" w:eastAsia="宋体" w:hAnsi="宋体" w:cs="宋体"/>
          <w:sz w:val="22"/>
          <w:szCs w:val="22"/>
        </w:rPr>
        <w:t xml:space="preserve">  </w:t>
      </w:r>
      <w:r>
        <w:rPr>
          <w:rFonts w:ascii="宋体" w:eastAsia="宋体" w:hAnsi="宋体" w:cs="宋体"/>
          <w:spacing w:val="-7"/>
          <w:sz w:val="22"/>
          <w:szCs w:val="22"/>
        </w:rPr>
        <w:t>免疫挑战时，增加谷氨酰胺利用、补充谷氨酰</w:t>
      </w:r>
      <w:r>
        <w:rPr>
          <w:rFonts w:ascii="宋体" w:eastAsia="宋体" w:hAnsi="宋体" w:cs="宋体"/>
          <w:spacing w:val="-8"/>
          <w:sz w:val="22"/>
          <w:szCs w:val="22"/>
        </w:rPr>
        <w:t>胺可以增强T</w:t>
      </w:r>
      <w:r>
        <w:rPr>
          <w:rFonts w:ascii="宋体" w:eastAsia="宋体" w:hAnsi="宋体" w:cs="宋体"/>
          <w:spacing w:val="-15"/>
          <w:sz w:val="22"/>
          <w:szCs w:val="22"/>
        </w:rPr>
        <w:t xml:space="preserve"> </w:t>
      </w:r>
      <w:r>
        <w:rPr>
          <w:rFonts w:ascii="宋体" w:eastAsia="宋体" w:hAnsi="宋体" w:cs="宋体"/>
          <w:spacing w:val="-8"/>
          <w:sz w:val="22"/>
          <w:szCs w:val="22"/>
        </w:rPr>
        <w:t>细胞与</w:t>
      </w:r>
      <w:r>
        <w:rPr>
          <w:rFonts w:ascii="宋体" w:eastAsia="宋体" w:hAnsi="宋体" w:cs="宋体"/>
          <w:spacing w:val="-50"/>
          <w:sz w:val="22"/>
          <w:szCs w:val="22"/>
        </w:rPr>
        <w:t xml:space="preserve"> </w:t>
      </w:r>
      <w:r>
        <w:rPr>
          <w:rFonts w:ascii="宋体" w:eastAsia="宋体" w:hAnsi="宋体" w:cs="宋体"/>
          <w:spacing w:val="-8"/>
          <w:sz w:val="22"/>
          <w:szCs w:val="22"/>
        </w:rPr>
        <w:t>B</w:t>
      </w:r>
      <w:r>
        <w:rPr>
          <w:rFonts w:ascii="宋体" w:eastAsia="宋体" w:hAnsi="宋体" w:cs="宋体"/>
          <w:spacing w:val="-27"/>
          <w:sz w:val="22"/>
          <w:szCs w:val="22"/>
        </w:rPr>
        <w:t xml:space="preserve"> </w:t>
      </w:r>
      <w:r>
        <w:rPr>
          <w:rFonts w:ascii="宋体" w:eastAsia="宋体" w:hAnsi="宋体" w:cs="宋体"/>
          <w:spacing w:val="-8"/>
          <w:sz w:val="22"/>
          <w:szCs w:val="22"/>
        </w:rPr>
        <w:t>细胞的增</w:t>
      </w:r>
      <w:r>
        <w:rPr>
          <w:rFonts w:ascii="宋体" w:eastAsia="宋体" w:hAnsi="宋体" w:cs="宋体"/>
          <w:sz w:val="22"/>
          <w:szCs w:val="22"/>
        </w:rPr>
        <w:t xml:space="preserve">  </w:t>
      </w:r>
      <w:r>
        <w:rPr>
          <w:rFonts w:ascii="宋体" w:eastAsia="宋体" w:hAnsi="宋体" w:cs="宋体"/>
          <w:spacing w:val="-14"/>
          <w:sz w:val="22"/>
          <w:szCs w:val="22"/>
        </w:rPr>
        <w:t>殖与分化，提高吞噬细胞的吞噬功能，增加细胞因子的生产，发挥有效的免疫功</w:t>
      </w:r>
      <w:r>
        <w:rPr>
          <w:rFonts w:ascii="宋体" w:eastAsia="宋体" w:hAnsi="宋体" w:cs="宋体"/>
          <w:spacing w:val="6"/>
          <w:sz w:val="22"/>
          <w:szCs w:val="22"/>
        </w:rPr>
        <w:t xml:space="preserve">  </w:t>
      </w:r>
      <w:r>
        <w:rPr>
          <w:rFonts w:ascii="宋体" w:eastAsia="宋体" w:hAnsi="宋体" w:cs="宋体"/>
          <w:spacing w:val="-8"/>
          <w:sz w:val="22"/>
          <w:szCs w:val="22"/>
        </w:rPr>
        <w:t>能。免疫系统具有产生、释放一氧化氮 (NO)</w:t>
      </w:r>
      <w:r>
        <w:rPr>
          <w:rFonts w:ascii="宋体" w:eastAsia="宋体" w:hAnsi="宋体" w:cs="宋体"/>
          <w:spacing w:val="13"/>
          <w:sz w:val="22"/>
          <w:szCs w:val="22"/>
        </w:rPr>
        <w:t xml:space="preserve">  </w:t>
      </w:r>
      <w:r>
        <w:rPr>
          <w:rFonts w:ascii="宋体" w:eastAsia="宋体" w:hAnsi="宋体" w:cs="宋体"/>
          <w:spacing w:val="-8"/>
          <w:sz w:val="22"/>
          <w:szCs w:val="22"/>
        </w:rPr>
        <w:t>等摧毁入侵微生物的氧化环境，</w:t>
      </w:r>
      <w:r>
        <w:rPr>
          <w:rFonts w:ascii="宋体" w:eastAsia="宋体" w:hAnsi="宋体" w:cs="宋体"/>
          <w:spacing w:val="1"/>
          <w:sz w:val="22"/>
          <w:szCs w:val="22"/>
        </w:rPr>
        <w:t xml:space="preserve"> </w:t>
      </w:r>
      <w:r>
        <w:rPr>
          <w:rFonts w:ascii="宋体" w:eastAsia="宋体" w:hAnsi="宋体" w:cs="宋体"/>
          <w:spacing w:val="-8"/>
          <w:sz w:val="22"/>
          <w:szCs w:val="22"/>
        </w:rPr>
        <w:t>而含硫氨基酸参与相关的急性相关蛋白和谷胱甘肽</w:t>
      </w:r>
      <w:r>
        <w:rPr>
          <w:rFonts w:ascii="宋体" w:eastAsia="宋体" w:hAnsi="宋体" w:cs="宋体"/>
          <w:spacing w:val="-9"/>
          <w:sz w:val="22"/>
          <w:szCs w:val="22"/>
        </w:rPr>
        <w:t xml:space="preserve"> </w:t>
      </w:r>
      <w:r>
        <w:rPr>
          <w:rFonts w:ascii="宋体" w:eastAsia="宋体" w:hAnsi="宋体" w:cs="宋体"/>
          <w:spacing w:val="-8"/>
          <w:sz w:val="22"/>
          <w:szCs w:val="22"/>
        </w:rPr>
        <w:t>(GSH)</w:t>
      </w:r>
      <w:r>
        <w:rPr>
          <w:rFonts w:ascii="宋体" w:eastAsia="宋体" w:hAnsi="宋体" w:cs="宋体"/>
          <w:spacing w:val="23"/>
          <w:sz w:val="22"/>
          <w:szCs w:val="22"/>
        </w:rPr>
        <w:t xml:space="preserve">  </w:t>
      </w:r>
      <w:r>
        <w:rPr>
          <w:rFonts w:ascii="宋体" w:eastAsia="宋体" w:hAnsi="宋体" w:cs="宋体"/>
          <w:spacing w:val="-8"/>
          <w:sz w:val="22"/>
          <w:szCs w:val="22"/>
        </w:rPr>
        <w:t>的合成，增强抗氧</w:t>
      </w:r>
      <w:r>
        <w:rPr>
          <w:rFonts w:ascii="宋体" w:eastAsia="宋体" w:hAnsi="宋体" w:cs="宋体"/>
          <w:sz w:val="22"/>
          <w:szCs w:val="22"/>
        </w:rPr>
        <w:t xml:space="preserve">  化防御体系功能，减少组织损伤，抑制感染产生的炎</w:t>
      </w:r>
      <w:r>
        <w:rPr>
          <w:rFonts w:ascii="宋体" w:eastAsia="宋体" w:hAnsi="宋体" w:cs="宋体"/>
          <w:spacing w:val="-1"/>
          <w:sz w:val="22"/>
          <w:szCs w:val="22"/>
        </w:rPr>
        <w:t>性反应，增强细胞免疫</w:t>
      </w:r>
      <w:r>
        <w:rPr>
          <w:rFonts w:ascii="宋体" w:eastAsia="宋体" w:hAnsi="宋体" w:cs="宋体"/>
          <w:sz w:val="22"/>
          <w:szCs w:val="22"/>
        </w:rPr>
        <w:t xml:space="preserve">  </w:t>
      </w:r>
      <w:r>
        <w:rPr>
          <w:rFonts w:ascii="宋体" w:eastAsia="宋体" w:hAnsi="宋体" w:cs="宋体"/>
          <w:spacing w:val="-21"/>
          <w:sz w:val="22"/>
          <w:szCs w:val="22"/>
        </w:rPr>
        <w:t>反应。</w:t>
      </w:r>
    </w:p>
    <w:p w:rsidR="00EA40A3" w:rsidRDefault="00E86C16">
      <w:pPr>
        <w:spacing w:before="254" w:line="223"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15"/>
          <w:sz w:val="22"/>
          <w:szCs w:val="22"/>
        </w:rPr>
        <w:t xml:space="preserve"> </w:t>
      </w:r>
      <w:r>
        <w:rPr>
          <w:rFonts w:ascii="仿宋" w:eastAsia="仿宋" w:hAnsi="仿宋" w:cs="仿宋"/>
          <w:spacing w:val="11"/>
          <w:sz w:val="22"/>
          <w:szCs w:val="22"/>
        </w:rPr>
        <w:t>脂类与免疫</w:t>
      </w:r>
    </w:p>
    <w:p w:rsidR="00EA40A3" w:rsidRDefault="00E86C16">
      <w:pPr>
        <w:spacing w:before="195"/>
        <w:ind w:right="99" w:firstLine="420"/>
        <w:jc w:val="both"/>
        <w:rPr>
          <w:rFonts w:ascii="宋体" w:eastAsia="宋体" w:hAnsi="宋体" w:cs="宋体"/>
          <w:sz w:val="22"/>
          <w:szCs w:val="22"/>
        </w:rPr>
      </w:pPr>
      <w:r>
        <w:rPr>
          <w:rFonts w:ascii="宋体" w:eastAsia="宋体" w:hAnsi="宋体" w:cs="宋体"/>
          <w:spacing w:val="-6"/>
          <w:sz w:val="22"/>
          <w:szCs w:val="22"/>
        </w:rPr>
        <w:t>摄入足够的脂肪酸对免疫器官的发育和免疫系统的建立</w:t>
      </w:r>
      <w:r>
        <w:rPr>
          <w:rFonts w:ascii="宋体" w:eastAsia="宋体" w:hAnsi="宋体" w:cs="宋体"/>
          <w:spacing w:val="-7"/>
          <w:sz w:val="22"/>
          <w:szCs w:val="22"/>
        </w:rPr>
        <w:t>是必要的。实验表</w:t>
      </w:r>
      <w:r>
        <w:rPr>
          <w:rFonts w:ascii="宋体" w:eastAsia="宋体" w:hAnsi="宋体" w:cs="宋体"/>
          <w:sz w:val="22"/>
          <w:szCs w:val="22"/>
        </w:rPr>
        <w:t xml:space="preserve"> </w:t>
      </w:r>
      <w:r>
        <w:rPr>
          <w:rFonts w:ascii="宋体" w:eastAsia="宋体" w:hAnsi="宋体" w:cs="宋体"/>
          <w:spacing w:val="-14"/>
          <w:sz w:val="22"/>
          <w:szCs w:val="22"/>
        </w:rPr>
        <w:t>明，动物缺乏脂肪酸时，出现淋巴组织萎缩，但过量的脂肪酸同样会引起免疫功</w:t>
      </w:r>
      <w:r>
        <w:rPr>
          <w:rFonts w:ascii="宋体" w:eastAsia="宋体" w:hAnsi="宋体" w:cs="宋体"/>
          <w:spacing w:val="12"/>
          <w:sz w:val="22"/>
          <w:szCs w:val="22"/>
        </w:rPr>
        <w:t xml:space="preserve"> </w:t>
      </w:r>
      <w:r>
        <w:rPr>
          <w:rFonts w:ascii="宋体" w:eastAsia="宋体" w:hAnsi="宋体" w:cs="宋体"/>
          <w:spacing w:val="-13"/>
          <w:sz w:val="22"/>
          <w:szCs w:val="22"/>
        </w:rPr>
        <w:t>能的降低。过量的饱和脂肪酸导致过氧化损伤，降低淋巴细胞增殖和粒细胞的功</w:t>
      </w:r>
    </w:p>
    <w:p w:rsidR="00EA40A3" w:rsidRDefault="00E86C16">
      <w:pPr>
        <w:spacing w:before="104"/>
        <w:ind w:left="150"/>
        <w:rPr>
          <w:rFonts w:ascii="宋体" w:eastAsia="宋体" w:hAnsi="宋体" w:cs="宋体"/>
          <w:sz w:val="15"/>
          <w:szCs w:val="15"/>
        </w:rPr>
      </w:pPr>
      <w:r>
        <w:rPr>
          <w:rFonts w:ascii="宋体" w:eastAsia="宋体" w:hAnsi="宋体" w:cs="宋体"/>
          <w:spacing w:val="-14"/>
          <w:sz w:val="15"/>
          <w:szCs w:val="15"/>
        </w:rPr>
        <w:t>·</w:t>
      </w:r>
      <w:r>
        <w:rPr>
          <w:rFonts w:ascii="宋体" w:eastAsia="宋体" w:hAnsi="宋体" w:cs="宋体"/>
          <w:spacing w:val="11"/>
          <w:sz w:val="15"/>
          <w:szCs w:val="15"/>
        </w:rPr>
        <w:t xml:space="preserve"> </w:t>
      </w:r>
      <w:r>
        <w:rPr>
          <w:rFonts w:ascii="宋体" w:eastAsia="宋体" w:hAnsi="宋体" w:cs="宋体"/>
          <w:spacing w:val="-14"/>
          <w:sz w:val="15"/>
          <w:szCs w:val="15"/>
        </w:rPr>
        <w:t>354</w:t>
      </w:r>
      <w:r>
        <w:rPr>
          <w:rFonts w:ascii="宋体" w:eastAsia="宋体" w:hAnsi="宋体" w:cs="宋体"/>
          <w:spacing w:val="63"/>
          <w:sz w:val="15"/>
          <w:szCs w:val="15"/>
        </w:rPr>
        <w:t xml:space="preserve"> </w:t>
      </w:r>
      <w:r>
        <w:rPr>
          <w:rFonts w:ascii="宋体" w:eastAsia="宋体" w:hAnsi="宋体" w:cs="宋体"/>
          <w:spacing w:val="-14"/>
          <w:sz w:val="15"/>
          <w:szCs w:val="15"/>
        </w:rPr>
        <w:t>·</w:t>
      </w:r>
    </w:p>
    <w:p w:rsidR="00EA40A3" w:rsidRDefault="00EA40A3">
      <w:pPr>
        <w:sectPr w:rsidR="00EA40A3">
          <w:pgSz w:w="9220" w:h="13360"/>
          <w:pgMar w:top="400" w:right="1049" w:bottom="400" w:left="809" w:header="0" w:footer="0" w:gutter="0"/>
          <w:cols w:space="720"/>
        </w:sectPr>
      </w:pPr>
    </w:p>
    <w:p w:rsidR="00EA40A3" w:rsidRDefault="00EA40A3">
      <w:pPr>
        <w:spacing w:line="267" w:lineRule="auto"/>
      </w:pPr>
    </w:p>
    <w:p w:rsidR="00EA40A3" w:rsidRDefault="00EA40A3">
      <w:pPr>
        <w:spacing w:line="267" w:lineRule="auto"/>
      </w:pPr>
    </w:p>
    <w:p w:rsidR="00EA40A3" w:rsidRDefault="00E86C16">
      <w:pPr>
        <w:spacing w:before="69" w:line="259" w:lineRule="auto"/>
        <w:ind w:right="27"/>
        <w:jc w:val="both"/>
        <w:rPr>
          <w:rFonts w:ascii="宋体" w:eastAsia="宋体" w:hAnsi="宋体" w:cs="宋体"/>
        </w:rPr>
      </w:pPr>
      <w:r>
        <w:rPr>
          <w:rFonts w:ascii="宋体" w:eastAsia="宋体" w:hAnsi="宋体" w:cs="宋体"/>
          <w:spacing w:val="-2"/>
        </w:rPr>
        <w:t>能，可使网状内皮细胞和粒细胞的游走、杀菌能力受到</w:t>
      </w:r>
      <w:r>
        <w:rPr>
          <w:rFonts w:ascii="宋体" w:eastAsia="宋体" w:hAnsi="宋体" w:cs="宋体"/>
          <w:spacing w:val="-3"/>
        </w:rPr>
        <w:t>损伤；血液极低密度脂蛋</w:t>
      </w:r>
      <w:r>
        <w:rPr>
          <w:rFonts w:ascii="宋体" w:eastAsia="宋体" w:hAnsi="宋体" w:cs="宋体"/>
        </w:rPr>
        <w:t xml:space="preserve"> </w:t>
      </w:r>
      <w:r>
        <w:rPr>
          <w:rFonts w:ascii="宋体" w:eastAsia="宋体" w:hAnsi="宋体" w:cs="宋体"/>
          <w:spacing w:val="-2"/>
        </w:rPr>
        <w:t>白增高，可抑制包括淋巴细胞在内的许多细胞的蛋白</w:t>
      </w:r>
      <w:r>
        <w:rPr>
          <w:rFonts w:ascii="宋体" w:eastAsia="宋体" w:hAnsi="宋体" w:cs="宋体"/>
          <w:spacing w:val="-3"/>
        </w:rPr>
        <w:t>质和核酸的合成，抑制机体</w:t>
      </w:r>
      <w:r>
        <w:rPr>
          <w:rFonts w:ascii="宋体" w:eastAsia="宋体" w:hAnsi="宋体" w:cs="宋体"/>
        </w:rPr>
        <w:t xml:space="preserve"> </w:t>
      </w:r>
      <w:r>
        <w:rPr>
          <w:rFonts w:ascii="宋体" w:eastAsia="宋体" w:hAnsi="宋体" w:cs="宋体"/>
          <w:spacing w:val="-2"/>
        </w:rPr>
        <w:t>对抗原的免疫应答反应；胆固醇对维持淋巴细胞的功</w:t>
      </w:r>
      <w:r>
        <w:rPr>
          <w:rFonts w:ascii="宋体" w:eastAsia="宋体" w:hAnsi="宋体" w:cs="宋体"/>
          <w:spacing w:val="-3"/>
        </w:rPr>
        <w:t>能是必需的，但过量会改变</w:t>
      </w:r>
      <w:r>
        <w:rPr>
          <w:rFonts w:ascii="宋体" w:eastAsia="宋体" w:hAnsi="宋体" w:cs="宋体"/>
        </w:rPr>
        <w:t xml:space="preserve"> </w:t>
      </w:r>
      <w:r>
        <w:rPr>
          <w:rFonts w:ascii="宋体" w:eastAsia="宋体" w:hAnsi="宋体" w:cs="宋体"/>
          <w:spacing w:val="-3"/>
        </w:rPr>
        <w:t>细胞膜的脂质构成，使膜的流动性发生改变而影响淋巴</w:t>
      </w:r>
      <w:r>
        <w:rPr>
          <w:rFonts w:ascii="宋体" w:eastAsia="宋体" w:hAnsi="宋体" w:cs="宋体"/>
          <w:spacing w:val="-4"/>
        </w:rPr>
        <w:t>细胞和粒细胞的功能。</w:t>
      </w:r>
    </w:p>
    <w:p w:rsidR="00EA40A3" w:rsidRDefault="00E86C16">
      <w:pPr>
        <w:spacing w:before="63" w:line="258" w:lineRule="auto"/>
        <w:ind w:firstLine="420"/>
        <w:jc w:val="both"/>
        <w:rPr>
          <w:rFonts w:ascii="宋体" w:eastAsia="宋体" w:hAnsi="宋体" w:cs="宋体"/>
        </w:rPr>
      </w:pPr>
      <w:r>
        <w:rPr>
          <w:rFonts w:ascii="宋体" w:eastAsia="宋体" w:hAnsi="宋体" w:cs="宋体"/>
          <w:spacing w:val="1"/>
        </w:rPr>
        <w:t>近年的研究表明，脂肪酸，尤其是n-6系亚油酸和n-3系</w:t>
      </w:r>
      <w:r>
        <w:rPr>
          <w:rFonts w:ascii="宋体" w:eastAsia="宋体" w:hAnsi="宋体" w:cs="宋体"/>
        </w:rPr>
        <w:t xml:space="preserve">α-亚麻酸两种必需 </w:t>
      </w:r>
      <w:r>
        <w:rPr>
          <w:rFonts w:ascii="宋体" w:eastAsia="宋体" w:hAnsi="宋体" w:cs="宋体"/>
          <w:spacing w:val="-3"/>
        </w:rPr>
        <w:t>脂肪酸及其适宜比例对免疫调节发挥着重要的作用。</w:t>
      </w:r>
      <w:r>
        <w:rPr>
          <w:rFonts w:ascii="宋体" w:eastAsia="宋体" w:hAnsi="宋体" w:cs="宋体"/>
          <w:spacing w:val="26"/>
        </w:rPr>
        <w:t xml:space="preserve"> </w:t>
      </w:r>
      <w:r>
        <w:rPr>
          <w:rFonts w:ascii="宋体" w:eastAsia="宋体" w:hAnsi="宋体" w:cs="宋体"/>
          <w:spacing w:val="-3"/>
        </w:rPr>
        <w:t>n-6系亚油酸的二十碳烷酸</w:t>
      </w:r>
      <w:r>
        <w:rPr>
          <w:rFonts w:ascii="宋体" w:eastAsia="宋体" w:hAnsi="宋体" w:cs="宋体"/>
        </w:rPr>
        <w:t xml:space="preserve"> </w:t>
      </w:r>
      <w:r>
        <w:rPr>
          <w:rFonts w:ascii="宋体" w:eastAsia="宋体" w:hAnsi="宋体" w:cs="宋体"/>
          <w:spacing w:val="5"/>
        </w:rPr>
        <w:t>衍生物(花生四烯酸)是合成前列腺素</w:t>
      </w:r>
      <w:r>
        <w:rPr>
          <w:rFonts w:ascii="宋体" w:eastAsia="宋体" w:hAnsi="宋体" w:cs="宋体"/>
        </w:rPr>
        <w:t>PGE</w:t>
      </w:r>
      <w:r>
        <w:rPr>
          <w:rFonts w:ascii="宋体" w:eastAsia="宋体" w:hAnsi="宋体" w:cs="宋体"/>
          <w:spacing w:val="5"/>
        </w:rPr>
        <w:t>2</w:t>
      </w:r>
      <w:r>
        <w:rPr>
          <w:rFonts w:ascii="宋体" w:eastAsia="宋体" w:hAnsi="宋体" w:cs="宋体"/>
          <w:spacing w:val="69"/>
        </w:rPr>
        <w:t xml:space="preserve"> </w:t>
      </w:r>
      <w:r>
        <w:rPr>
          <w:rFonts w:ascii="宋体" w:eastAsia="宋体" w:hAnsi="宋体" w:cs="宋体"/>
          <w:spacing w:val="5"/>
        </w:rPr>
        <w:t>的前体，而n</w:t>
      </w:r>
      <w:r>
        <w:rPr>
          <w:rFonts w:ascii="宋体" w:eastAsia="宋体" w:hAnsi="宋体" w:cs="宋体"/>
          <w:spacing w:val="4"/>
        </w:rPr>
        <w:t>-3系α-亚麻酸的二十</w:t>
      </w:r>
      <w:r>
        <w:rPr>
          <w:rFonts w:ascii="宋体" w:eastAsia="宋体" w:hAnsi="宋体" w:cs="宋体"/>
        </w:rPr>
        <w:t xml:space="preserve"> </w:t>
      </w:r>
      <w:r>
        <w:rPr>
          <w:rFonts w:ascii="宋体" w:eastAsia="宋体" w:hAnsi="宋体" w:cs="宋体"/>
          <w:spacing w:val="6"/>
        </w:rPr>
        <w:t>碳烷酸衍生物(二十碳五烯酸)是合成</w:t>
      </w:r>
      <w:r>
        <w:rPr>
          <w:rFonts w:ascii="宋体" w:eastAsia="宋体" w:hAnsi="宋体" w:cs="宋体"/>
        </w:rPr>
        <w:t>PGE</w:t>
      </w:r>
      <w:r>
        <w:rPr>
          <w:rFonts w:ascii="宋体" w:eastAsia="宋体" w:hAnsi="宋体" w:cs="宋体"/>
          <w:spacing w:val="6"/>
        </w:rPr>
        <w:t>3</w:t>
      </w:r>
      <w:r>
        <w:rPr>
          <w:rFonts w:ascii="宋体" w:eastAsia="宋体" w:hAnsi="宋体" w:cs="宋体"/>
          <w:spacing w:val="49"/>
        </w:rPr>
        <w:t xml:space="preserve"> </w:t>
      </w:r>
      <w:r>
        <w:rPr>
          <w:rFonts w:ascii="宋体" w:eastAsia="宋体" w:hAnsi="宋体" w:cs="宋体"/>
          <w:spacing w:val="6"/>
        </w:rPr>
        <w:t>的前</w:t>
      </w:r>
      <w:r>
        <w:rPr>
          <w:rFonts w:ascii="宋体" w:eastAsia="宋体" w:hAnsi="宋体" w:cs="宋体"/>
          <w:spacing w:val="5"/>
        </w:rPr>
        <w:t>体，二者对免疫调节的作用强</w:t>
      </w:r>
      <w:r>
        <w:rPr>
          <w:rFonts w:ascii="宋体" w:eastAsia="宋体" w:hAnsi="宋体" w:cs="宋体"/>
        </w:rPr>
        <w:t xml:space="preserve"> </w:t>
      </w:r>
      <w:r>
        <w:rPr>
          <w:rFonts w:ascii="宋体" w:eastAsia="宋体" w:hAnsi="宋体" w:cs="宋体"/>
          <w:spacing w:val="-2"/>
        </w:rPr>
        <w:t>度不同，维持机体免疫在一个适宜的范围，需要二者的比例适宜。此外，两种必</w:t>
      </w:r>
      <w:r>
        <w:rPr>
          <w:rFonts w:ascii="宋体" w:eastAsia="宋体" w:hAnsi="宋体" w:cs="宋体"/>
          <w:spacing w:val="16"/>
        </w:rPr>
        <w:t xml:space="preserve"> </w:t>
      </w:r>
      <w:r>
        <w:rPr>
          <w:rFonts w:ascii="宋体" w:eastAsia="宋体" w:hAnsi="宋体" w:cs="宋体"/>
          <w:spacing w:val="-2"/>
        </w:rPr>
        <w:t>需脂肪酸的二十碳烷酸衍生物还参与白三烯的合成，不同必需脂肪酸衍生物合成</w:t>
      </w:r>
      <w:r>
        <w:rPr>
          <w:rFonts w:ascii="宋体" w:eastAsia="宋体" w:hAnsi="宋体" w:cs="宋体"/>
          <w:spacing w:val="8"/>
        </w:rPr>
        <w:t xml:space="preserve"> </w:t>
      </w:r>
      <w:r>
        <w:rPr>
          <w:rFonts w:ascii="宋体" w:eastAsia="宋体" w:hAnsi="宋体" w:cs="宋体"/>
          <w:spacing w:val="-2"/>
        </w:rPr>
        <w:t>的白三烯对炎性反应的调节强度也不同，因此，两种</w:t>
      </w:r>
      <w:r>
        <w:rPr>
          <w:rFonts w:ascii="宋体" w:eastAsia="宋体" w:hAnsi="宋体" w:cs="宋体"/>
          <w:spacing w:val="-3"/>
        </w:rPr>
        <w:t>系列必需脂肪酸的适宜数量</w:t>
      </w:r>
      <w:r>
        <w:rPr>
          <w:rFonts w:ascii="宋体" w:eastAsia="宋体" w:hAnsi="宋体" w:cs="宋体"/>
        </w:rPr>
        <w:t xml:space="preserve"> </w:t>
      </w:r>
      <w:r>
        <w:rPr>
          <w:rFonts w:ascii="宋体" w:eastAsia="宋体" w:hAnsi="宋体" w:cs="宋体"/>
          <w:spacing w:val="-6"/>
        </w:rPr>
        <w:t>和比例也将影响到机体的炎性/抗炎性反应。</w:t>
      </w:r>
    </w:p>
    <w:p w:rsidR="00EA40A3" w:rsidRDefault="00E86C16">
      <w:pPr>
        <w:spacing w:before="269" w:line="340" w:lineRule="exact"/>
        <w:rPr>
          <w:rFonts w:ascii="仿宋" w:eastAsia="仿宋" w:hAnsi="仿宋" w:cs="仿宋"/>
        </w:rPr>
      </w:pPr>
      <w:r>
        <w:rPr>
          <w:rFonts w:ascii="仿宋" w:eastAsia="仿宋" w:hAnsi="仿宋" w:cs="仿宋"/>
          <w:spacing w:val="17"/>
          <w:position w:val="9"/>
        </w:rPr>
        <w:t>3.</w:t>
      </w:r>
      <w:r>
        <w:rPr>
          <w:rFonts w:ascii="仿宋" w:eastAsia="仿宋" w:hAnsi="仿宋" w:cs="仿宋"/>
          <w:spacing w:val="11"/>
          <w:position w:val="9"/>
        </w:rPr>
        <w:t xml:space="preserve"> </w:t>
      </w:r>
      <w:r>
        <w:rPr>
          <w:rFonts w:ascii="仿宋" w:eastAsia="仿宋" w:hAnsi="仿宋" w:cs="仿宋"/>
          <w:spacing w:val="17"/>
          <w:position w:val="9"/>
        </w:rPr>
        <w:t>维生素与免疫</w:t>
      </w:r>
    </w:p>
    <w:p w:rsidR="00EA40A3" w:rsidRDefault="00E86C16">
      <w:pPr>
        <w:spacing w:line="225" w:lineRule="auto"/>
        <w:rPr>
          <w:rFonts w:ascii="楷体" w:eastAsia="楷体" w:hAnsi="楷体" w:cs="楷体"/>
        </w:rPr>
      </w:pPr>
      <w:r>
        <w:rPr>
          <w:rFonts w:ascii="楷体" w:eastAsia="楷体" w:hAnsi="楷体" w:cs="楷体"/>
          <w:spacing w:val="15"/>
        </w:rPr>
        <w:t>1)维生素A</w:t>
      </w:r>
    </w:p>
    <w:p w:rsidR="00EA40A3" w:rsidRDefault="00E86C16">
      <w:pPr>
        <w:spacing w:before="77" w:line="259" w:lineRule="auto"/>
        <w:ind w:right="24" w:firstLine="420"/>
        <w:jc w:val="both"/>
        <w:rPr>
          <w:rFonts w:ascii="宋体" w:eastAsia="宋体" w:hAnsi="宋体" w:cs="宋体"/>
        </w:rPr>
      </w:pPr>
      <w:r>
        <w:rPr>
          <w:rFonts w:ascii="宋体" w:eastAsia="宋体" w:hAnsi="宋体" w:cs="宋体"/>
          <w:spacing w:val="4"/>
        </w:rPr>
        <w:t>维生素A</w:t>
      </w:r>
      <w:r>
        <w:rPr>
          <w:rFonts w:ascii="宋体" w:eastAsia="宋体" w:hAnsi="宋体" w:cs="宋体"/>
          <w:spacing w:val="1"/>
        </w:rPr>
        <w:t xml:space="preserve"> </w:t>
      </w:r>
      <w:r>
        <w:rPr>
          <w:rFonts w:ascii="宋体" w:eastAsia="宋体" w:hAnsi="宋体" w:cs="宋体"/>
          <w:spacing w:val="4"/>
        </w:rPr>
        <w:t>能维持上皮细胞的完整性，保护黏膜的局部免疫能力。缺乏维生</w:t>
      </w:r>
      <w:r>
        <w:rPr>
          <w:rFonts w:ascii="宋体" w:eastAsia="宋体" w:hAnsi="宋体" w:cs="宋体"/>
        </w:rPr>
        <w:t xml:space="preserve"> </w:t>
      </w:r>
      <w:r>
        <w:rPr>
          <w:rFonts w:ascii="宋体" w:eastAsia="宋体" w:hAnsi="宋体" w:cs="宋体"/>
          <w:spacing w:val="2"/>
        </w:rPr>
        <w:t>素</w:t>
      </w:r>
      <w:r>
        <w:rPr>
          <w:rFonts w:ascii="宋体" w:eastAsia="宋体" w:hAnsi="宋体" w:cs="宋体"/>
          <w:spacing w:val="-36"/>
        </w:rPr>
        <w:t xml:space="preserve"> </w:t>
      </w:r>
      <w:r>
        <w:rPr>
          <w:rFonts w:ascii="宋体" w:eastAsia="宋体" w:hAnsi="宋体" w:cs="宋体"/>
          <w:spacing w:val="2"/>
        </w:rPr>
        <w:t>A</w:t>
      </w:r>
      <w:r>
        <w:rPr>
          <w:rFonts w:ascii="宋体" w:eastAsia="宋体" w:hAnsi="宋体" w:cs="宋体"/>
          <w:spacing w:val="-8"/>
        </w:rPr>
        <w:t xml:space="preserve"> </w:t>
      </w:r>
      <w:r>
        <w:rPr>
          <w:rFonts w:ascii="宋体" w:eastAsia="宋体" w:hAnsi="宋体" w:cs="宋体"/>
          <w:spacing w:val="2"/>
        </w:rPr>
        <w:t>时，消化道、呼吸道等黏膜的上皮细胞变性甚至角化脱落，影响黏膜的完</w:t>
      </w:r>
      <w:r>
        <w:rPr>
          <w:rFonts w:ascii="宋体" w:eastAsia="宋体" w:hAnsi="宋体" w:cs="宋体"/>
        </w:rPr>
        <w:t xml:space="preserve"> </w:t>
      </w:r>
      <w:r>
        <w:rPr>
          <w:rFonts w:ascii="宋体" w:eastAsia="宋体" w:hAnsi="宋体" w:cs="宋体"/>
          <w:spacing w:val="-2"/>
        </w:rPr>
        <w:t>整性及分泌黏液的功能，使其免疫屏障作用减弱。细胞的变性</w:t>
      </w:r>
      <w:r>
        <w:rPr>
          <w:rFonts w:ascii="宋体" w:eastAsia="宋体" w:hAnsi="宋体" w:cs="宋体"/>
          <w:spacing w:val="-3"/>
        </w:rPr>
        <w:t>还影响其分泌溶菌</w:t>
      </w:r>
      <w:r>
        <w:rPr>
          <w:rFonts w:ascii="宋体" w:eastAsia="宋体" w:hAnsi="宋体" w:cs="宋体"/>
        </w:rPr>
        <w:t xml:space="preserve"> </w:t>
      </w:r>
      <w:r>
        <w:rPr>
          <w:rFonts w:ascii="宋体" w:eastAsia="宋体" w:hAnsi="宋体" w:cs="宋体"/>
          <w:spacing w:val="-4"/>
        </w:rPr>
        <w:t>酶、免疫球蛋白等功能，使局部免疫作用降低。</w:t>
      </w:r>
    </w:p>
    <w:p w:rsidR="00EA40A3" w:rsidRDefault="00E86C16">
      <w:pPr>
        <w:spacing w:before="60" w:line="250" w:lineRule="auto"/>
        <w:ind w:right="20" w:firstLine="420"/>
        <w:jc w:val="both"/>
        <w:rPr>
          <w:rFonts w:ascii="宋体" w:eastAsia="宋体" w:hAnsi="宋体" w:cs="宋体"/>
        </w:rPr>
      </w:pPr>
      <w:r>
        <w:rPr>
          <w:rFonts w:ascii="宋体" w:eastAsia="宋体" w:hAnsi="宋体" w:cs="宋体"/>
          <w:spacing w:val="2"/>
        </w:rPr>
        <w:t>维生素A</w:t>
      </w:r>
      <w:r>
        <w:rPr>
          <w:rFonts w:ascii="宋体" w:eastAsia="宋体" w:hAnsi="宋体" w:cs="宋体"/>
          <w:spacing w:val="1"/>
        </w:rPr>
        <w:t xml:space="preserve"> </w:t>
      </w:r>
      <w:r>
        <w:rPr>
          <w:rFonts w:ascii="宋体" w:eastAsia="宋体" w:hAnsi="宋体" w:cs="宋体"/>
          <w:spacing w:val="2"/>
        </w:rPr>
        <w:t>可增加外周血液中T</w:t>
      </w:r>
      <w:r>
        <w:rPr>
          <w:rFonts w:ascii="宋体" w:eastAsia="宋体" w:hAnsi="宋体" w:cs="宋体"/>
          <w:spacing w:val="5"/>
        </w:rPr>
        <w:t xml:space="preserve"> </w:t>
      </w:r>
      <w:r>
        <w:rPr>
          <w:rFonts w:ascii="宋体" w:eastAsia="宋体" w:hAnsi="宋体" w:cs="宋体"/>
          <w:spacing w:val="2"/>
        </w:rPr>
        <w:t>细胞的数量，增强T</w:t>
      </w:r>
      <w:r>
        <w:rPr>
          <w:rFonts w:ascii="宋体" w:eastAsia="宋体" w:hAnsi="宋体" w:cs="宋体"/>
          <w:spacing w:val="16"/>
        </w:rPr>
        <w:t xml:space="preserve"> </w:t>
      </w:r>
      <w:r>
        <w:rPr>
          <w:rFonts w:ascii="宋体" w:eastAsia="宋体" w:hAnsi="宋体" w:cs="宋体"/>
          <w:spacing w:val="2"/>
        </w:rPr>
        <w:t>细胞、</w:t>
      </w:r>
      <w:r>
        <w:rPr>
          <w:rFonts w:ascii="宋体" w:eastAsia="宋体" w:hAnsi="宋体" w:cs="宋体"/>
          <w:spacing w:val="-42"/>
        </w:rPr>
        <w:t xml:space="preserve"> </w:t>
      </w:r>
      <w:r>
        <w:rPr>
          <w:rFonts w:ascii="宋体" w:eastAsia="宋体" w:hAnsi="宋体" w:cs="宋体"/>
          <w:spacing w:val="1"/>
        </w:rPr>
        <w:t>B</w:t>
      </w:r>
      <w:r>
        <w:rPr>
          <w:rFonts w:ascii="宋体" w:eastAsia="宋体" w:hAnsi="宋体" w:cs="宋体"/>
          <w:spacing w:val="-16"/>
        </w:rPr>
        <w:t xml:space="preserve"> </w:t>
      </w:r>
      <w:r>
        <w:rPr>
          <w:rFonts w:ascii="宋体" w:eastAsia="宋体" w:hAnsi="宋体" w:cs="宋体"/>
          <w:spacing w:val="1"/>
        </w:rPr>
        <w:t>细胞和中性粒</w:t>
      </w:r>
      <w:r>
        <w:rPr>
          <w:rFonts w:ascii="宋体" w:eastAsia="宋体" w:hAnsi="宋体" w:cs="宋体"/>
        </w:rPr>
        <w:t xml:space="preserve"> </w:t>
      </w:r>
      <w:r>
        <w:rPr>
          <w:rFonts w:ascii="宋体" w:eastAsia="宋体" w:hAnsi="宋体" w:cs="宋体"/>
          <w:spacing w:val="5"/>
        </w:rPr>
        <w:t>细胞的功能，促进</w:t>
      </w:r>
      <w:r>
        <w:rPr>
          <w:rFonts w:ascii="宋体" w:eastAsia="宋体" w:hAnsi="宋体" w:cs="宋体"/>
        </w:rPr>
        <w:t>NK</w:t>
      </w:r>
      <w:r>
        <w:rPr>
          <w:rFonts w:ascii="宋体" w:eastAsia="宋体" w:hAnsi="宋体" w:cs="宋体"/>
          <w:spacing w:val="75"/>
        </w:rPr>
        <w:t xml:space="preserve"> </w:t>
      </w:r>
      <w:r>
        <w:rPr>
          <w:rFonts w:ascii="宋体" w:eastAsia="宋体" w:hAnsi="宋体" w:cs="宋体"/>
          <w:spacing w:val="5"/>
        </w:rPr>
        <w:t>细胞(自然杀伤细胞)的杀伤活力，从而促进细胞免疫的</w:t>
      </w:r>
      <w:r>
        <w:rPr>
          <w:rFonts w:ascii="宋体" w:eastAsia="宋体" w:hAnsi="宋体" w:cs="宋体"/>
        </w:rPr>
        <w:t xml:space="preserve"> </w:t>
      </w:r>
      <w:r>
        <w:rPr>
          <w:rFonts w:ascii="宋体" w:eastAsia="宋体" w:hAnsi="宋体" w:cs="宋体"/>
          <w:spacing w:val="-10"/>
        </w:rPr>
        <w:t>功能。</w:t>
      </w:r>
    </w:p>
    <w:p w:rsidR="00EA40A3" w:rsidRDefault="00E86C16">
      <w:pPr>
        <w:spacing w:before="77" w:line="237" w:lineRule="auto"/>
        <w:ind w:right="77" w:firstLine="420"/>
        <w:jc w:val="both"/>
        <w:rPr>
          <w:rFonts w:ascii="宋体" w:eastAsia="宋体" w:hAnsi="宋体" w:cs="宋体"/>
        </w:rPr>
      </w:pPr>
      <w:r>
        <w:rPr>
          <w:rFonts w:ascii="宋体" w:eastAsia="宋体" w:hAnsi="宋体" w:cs="宋体"/>
          <w:spacing w:val="4"/>
        </w:rPr>
        <w:t>维生素A</w:t>
      </w:r>
      <w:r>
        <w:rPr>
          <w:rFonts w:ascii="宋体" w:eastAsia="宋体" w:hAnsi="宋体" w:cs="宋体"/>
          <w:spacing w:val="11"/>
        </w:rPr>
        <w:t xml:space="preserve"> </w:t>
      </w:r>
      <w:r>
        <w:rPr>
          <w:rFonts w:ascii="宋体" w:eastAsia="宋体" w:hAnsi="宋体" w:cs="宋体"/>
          <w:spacing w:val="4"/>
        </w:rPr>
        <w:t>通过维持细胞膜的健康，增强体液免疫力，</w:t>
      </w:r>
      <w:r>
        <w:rPr>
          <w:rFonts w:ascii="宋体" w:eastAsia="宋体" w:hAnsi="宋体" w:cs="宋体"/>
          <w:spacing w:val="3"/>
        </w:rPr>
        <w:t>促进依</w:t>
      </w:r>
      <w:r>
        <w:rPr>
          <w:rFonts w:ascii="宋体" w:eastAsia="宋体" w:hAnsi="宋体" w:cs="宋体"/>
          <w:spacing w:val="-58"/>
        </w:rPr>
        <w:t xml:space="preserve"> </w:t>
      </w:r>
      <w:r>
        <w:rPr>
          <w:rFonts w:ascii="宋体" w:eastAsia="宋体" w:hAnsi="宋体" w:cs="宋体"/>
          <w:spacing w:val="3"/>
        </w:rPr>
        <w:t>T</w:t>
      </w:r>
      <w:r>
        <w:rPr>
          <w:rFonts w:ascii="宋体" w:eastAsia="宋体" w:hAnsi="宋体" w:cs="宋体"/>
          <w:spacing w:val="6"/>
        </w:rPr>
        <w:t xml:space="preserve"> </w:t>
      </w:r>
      <w:r>
        <w:rPr>
          <w:rFonts w:ascii="宋体" w:eastAsia="宋体" w:hAnsi="宋体" w:cs="宋体"/>
          <w:spacing w:val="3"/>
        </w:rPr>
        <w:t>细胞与非T</w:t>
      </w:r>
      <w:r>
        <w:rPr>
          <w:rFonts w:ascii="宋体" w:eastAsia="宋体" w:hAnsi="宋体" w:cs="宋体"/>
        </w:rPr>
        <w:t xml:space="preserve"> </w:t>
      </w:r>
      <w:r>
        <w:rPr>
          <w:rFonts w:ascii="宋体" w:eastAsia="宋体" w:hAnsi="宋体" w:cs="宋体"/>
          <w:spacing w:val="-4"/>
        </w:rPr>
        <w:t>细胞抗原的抗体分泌。</w:t>
      </w:r>
    </w:p>
    <w:p w:rsidR="00EA40A3" w:rsidRDefault="00E86C16">
      <w:pPr>
        <w:spacing w:before="88" w:line="225" w:lineRule="auto"/>
        <w:rPr>
          <w:rFonts w:ascii="楷体" w:eastAsia="楷体" w:hAnsi="楷体" w:cs="楷体"/>
        </w:rPr>
      </w:pPr>
      <w:r>
        <w:rPr>
          <w:rFonts w:ascii="楷体" w:eastAsia="楷体" w:hAnsi="楷体" w:cs="楷体"/>
          <w:spacing w:val="3"/>
        </w:rPr>
        <w:t>2)β胡萝卜素</w:t>
      </w:r>
    </w:p>
    <w:p w:rsidR="00EA40A3" w:rsidRDefault="00E86C16">
      <w:pPr>
        <w:spacing w:before="57" w:line="243" w:lineRule="auto"/>
        <w:ind w:right="26" w:firstLine="420"/>
        <w:jc w:val="both"/>
        <w:rPr>
          <w:rFonts w:ascii="宋体" w:eastAsia="宋体" w:hAnsi="宋体" w:cs="宋体"/>
        </w:rPr>
      </w:pPr>
      <w:r>
        <w:rPr>
          <w:rFonts w:ascii="宋体" w:eastAsia="宋体" w:hAnsi="宋体" w:cs="宋体"/>
          <w:spacing w:val="-6"/>
        </w:rPr>
        <w:t>β-胡萝卜素能够参与光合成和猝灭游离基的保护作用。许多动物研究发现添</w:t>
      </w:r>
      <w:r>
        <w:rPr>
          <w:rFonts w:ascii="宋体" w:eastAsia="宋体" w:hAnsi="宋体" w:cs="宋体"/>
          <w:spacing w:val="16"/>
        </w:rPr>
        <w:t xml:space="preserve"> </w:t>
      </w:r>
      <w:r>
        <w:rPr>
          <w:rFonts w:ascii="宋体" w:eastAsia="宋体" w:hAnsi="宋体" w:cs="宋体"/>
          <w:spacing w:val="-2"/>
        </w:rPr>
        <w:t>加β胡萝卜素的膳食能够增加循环中淋巴细胞数目，增强淋巴细胞的</w:t>
      </w:r>
      <w:r>
        <w:rPr>
          <w:rFonts w:ascii="宋体" w:eastAsia="宋体" w:hAnsi="宋体" w:cs="宋体"/>
          <w:spacing w:val="-3"/>
        </w:rPr>
        <w:t>增殖、T</w:t>
      </w:r>
      <w:r>
        <w:rPr>
          <w:rFonts w:ascii="宋体" w:eastAsia="宋体" w:hAnsi="宋体" w:cs="宋体"/>
          <w:spacing w:val="-5"/>
        </w:rPr>
        <w:t xml:space="preserve"> </w:t>
      </w:r>
      <w:r>
        <w:rPr>
          <w:rFonts w:ascii="宋体" w:eastAsia="宋体" w:hAnsi="宋体" w:cs="宋体"/>
          <w:spacing w:val="-3"/>
        </w:rPr>
        <w:t>细</w:t>
      </w:r>
      <w:r>
        <w:rPr>
          <w:rFonts w:ascii="宋体" w:eastAsia="宋体" w:hAnsi="宋体" w:cs="宋体"/>
        </w:rPr>
        <w:t xml:space="preserve"> </w:t>
      </w:r>
      <w:r>
        <w:rPr>
          <w:rFonts w:ascii="宋体" w:eastAsia="宋体" w:hAnsi="宋体" w:cs="宋体"/>
          <w:spacing w:val="-5"/>
        </w:rPr>
        <w:t>胞的毒性，增强抗感染的能力。</w:t>
      </w:r>
    </w:p>
    <w:p w:rsidR="00EA40A3" w:rsidRDefault="00E86C16">
      <w:pPr>
        <w:spacing w:before="68" w:line="225" w:lineRule="auto"/>
        <w:rPr>
          <w:rFonts w:ascii="楷体" w:eastAsia="楷体" w:hAnsi="楷体" w:cs="楷体"/>
        </w:rPr>
      </w:pPr>
      <w:r>
        <w:rPr>
          <w:rFonts w:ascii="楷体" w:eastAsia="楷体" w:hAnsi="楷体" w:cs="楷体"/>
          <w:spacing w:val="11"/>
        </w:rPr>
        <w:t>3)维生素E</w:t>
      </w:r>
      <w:r>
        <w:rPr>
          <w:rFonts w:ascii="楷体" w:eastAsia="楷体" w:hAnsi="楷体" w:cs="楷体"/>
          <w:spacing w:val="-2"/>
        </w:rPr>
        <w:t xml:space="preserve"> </w:t>
      </w:r>
      <w:r>
        <w:rPr>
          <w:rFonts w:ascii="楷体" w:eastAsia="楷体" w:hAnsi="楷体" w:cs="楷体"/>
          <w:spacing w:val="11"/>
        </w:rPr>
        <w:t>与维生素C</w:t>
      </w:r>
    </w:p>
    <w:p w:rsidR="00EA40A3" w:rsidRDefault="00E86C16">
      <w:pPr>
        <w:spacing w:before="74" w:line="257" w:lineRule="auto"/>
        <w:ind w:right="20" w:firstLine="420"/>
        <w:jc w:val="both"/>
        <w:rPr>
          <w:rFonts w:ascii="宋体" w:eastAsia="宋体" w:hAnsi="宋体" w:cs="宋体"/>
        </w:rPr>
      </w:pPr>
      <w:r>
        <w:rPr>
          <w:rFonts w:ascii="宋体" w:eastAsia="宋体" w:hAnsi="宋体" w:cs="宋体"/>
          <w:spacing w:val="-2"/>
        </w:rPr>
        <w:t>免疫系统对氧化应激尤为敏感，许多免疫细胞产生活性成</w:t>
      </w:r>
      <w:r>
        <w:rPr>
          <w:rFonts w:ascii="宋体" w:eastAsia="宋体" w:hAnsi="宋体" w:cs="宋体"/>
          <w:spacing w:val="-3"/>
        </w:rPr>
        <w:t>分作为防御机制的</w:t>
      </w:r>
      <w:r>
        <w:rPr>
          <w:rFonts w:ascii="宋体" w:eastAsia="宋体" w:hAnsi="宋体" w:cs="宋体"/>
        </w:rPr>
        <w:t xml:space="preserve"> </w:t>
      </w:r>
      <w:r>
        <w:rPr>
          <w:rFonts w:ascii="宋体" w:eastAsia="宋体" w:hAnsi="宋体" w:cs="宋体"/>
          <w:spacing w:val="-2"/>
        </w:rPr>
        <w:t>一部分。高等生物进化产生的抗氧化系统，防止活性</w:t>
      </w:r>
      <w:r>
        <w:rPr>
          <w:rFonts w:ascii="宋体" w:eastAsia="宋体" w:hAnsi="宋体" w:cs="宋体"/>
          <w:spacing w:val="-3"/>
        </w:rPr>
        <w:t>氧对细胞的损伤。抗氧化维</w:t>
      </w:r>
      <w:r>
        <w:rPr>
          <w:rFonts w:ascii="宋体" w:eastAsia="宋体" w:hAnsi="宋体" w:cs="宋体"/>
        </w:rPr>
        <w:t xml:space="preserve"> </w:t>
      </w:r>
      <w:r>
        <w:rPr>
          <w:rFonts w:ascii="宋体" w:eastAsia="宋体" w:hAnsi="宋体" w:cs="宋体"/>
          <w:spacing w:val="4"/>
        </w:rPr>
        <w:t>生素中，维生素E</w:t>
      </w:r>
      <w:r>
        <w:rPr>
          <w:rFonts w:ascii="宋体" w:eastAsia="宋体" w:hAnsi="宋体" w:cs="宋体"/>
          <w:spacing w:val="-10"/>
        </w:rPr>
        <w:t xml:space="preserve"> </w:t>
      </w:r>
      <w:r>
        <w:rPr>
          <w:rFonts w:ascii="宋体" w:eastAsia="宋体" w:hAnsi="宋体" w:cs="宋体"/>
          <w:spacing w:val="4"/>
        </w:rPr>
        <w:t>作为细胞膜的抗氧化剂，阻断链式脂质过氧化反应。能促进</w:t>
      </w:r>
      <w:r>
        <w:rPr>
          <w:rFonts w:ascii="宋体" w:eastAsia="宋体" w:hAnsi="宋体" w:cs="宋体"/>
        </w:rPr>
        <w:t xml:space="preserve"> </w:t>
      </w:r>
      <w:r>
        <w:rPr>
          <w:rFonts w:ascii="宋体" w:eastAsia="宋体" w:hAnsi="宋体" w:cs="宋体"/>
          <w:spacing w:val="3"/>
        </w:rPr>
        <w:t>免疫器官的发育和免疫细胞的分化，提高机体免疫力。此外</w:t>
      </w:r>
      <w:r>
        <w:rPr>
          <w:rFonts w:ascii="宋体" w:eastAsia="宋体" w:hAnsi="宋体" w:cs="宋体"/>
          <w:spacing w:val="2"/>
        </w:rPr>
        <w:t>维生素</w:t>
      </w:r>
      <w:r>
        <w:rPr>
          <w:rFonts w:ascii="宋体" w:eastAsia="宋体" w:hAnsi="宋体" w:cs="宋体"/>
          <w:spacing w:val="-55"/>
        </w:rPr>
        <w:t xml:space="preserve"> </w:t>
      </w:r>
      <w:r>
        <w:rPr>
          <w:rFonts w:ascii="宋体" w:eastAsia="宋体" w:hAnsi="宋体" w:cs="宋体"/>
          <w:spacing w:val="2"/>
        </w:rPr>
        <w:t>E</w:t>
      </w:r>
      <w:r>
        <w:rPr>
          <w:rFonts w:ascii="宋体" w:eastAsia="宋体" w:hAnsi="宋体" w:cs="宋体"/>
          <w:spacing w:val="-15"/>
        </w:rPr>
        <w:t xml:space="preserve"> </w:t>
      </w:r>
      <w:r>
        <w:rPr>
          <w:rFonts w:ascii="宋体" w:eastAsia="宋体" w:hAnsi="宋体" w:cs="宋体"/>
          <w:spacing w:val="2"/>
        </w:rPr>
        <w:t>还通过减</w:t>
      </w:r>
      <w:r>
        <w:rPr>
          <w:rFonts w:ascii="宋体" w:eastAsia="宋体" w:hAnsi="宋体" w:cs="宋体"/>
        </w:rPr>
        <w:t xml:space="preserve"> 少血液中氧化型低密度脂蛋白</w:t>
      </w:r>
      <w:r>
        <w:rPr>
          <w:rFonts w:ascii="宋体" w:eastAsia="宋体" w:hAnsi="宋体" w:cs="宋体"/>
          <w:spacing w:val="-22"/>
        </w:rPr>
        <w:t xml:space="preserve"> </w:t>
      </w:r>
      <w:r>
        <w:rPr>
          <w:rFonts w:ascii="宋体" w:eastAsia="宋体" w:hAnsi="宋体" w:cs="宋体"/>
        </w:rPr>
        <w:t>(LDL),</w:t>
      </w:r>
      <w:r>
        <w:rPr>
          <w:rFonts w:ascii="宋体" w:eastAsia="宋体" w:hAnsi="宋体" w:cs="宋体"/>
          <w:spacing w:val="23"/>
        </w:rPr>
        <w:t xml:space="preserve">  </w:t>
      </w:r>
      <w:r>
        <w:rPr>
          <w:rFonts w:ascii="宋体" w:eastAsia="宋体" w:hAnsi="宋体" w:cs="宋体"/>
        </w:rPr>
        <w:t xml:space="preserve">加速网状内皮细胞对颗粒性抗原的吞噬 </w:t>
      </w:r>
      <w:r>
        <w:rPr>
          <w:rFonts w:ascii="宋体" w:eastAsia="宋体" w:hAnsi="宋体" w:cs="宋体"/>
          <w:spacing w:val="-9"/>
        </w:rPr>
        <w:t>作用。</w:t>
      </w:r>
    </w:p>
    <w:p w:rsidR="00EA40A3" w:rsidRDefault="00E86C16">
      <w:pPr>
        <w:spacing w:before="107" w:line="219" w:lineRule="auto"/>
        <w:ind w:left="420"/>
        <w:rPr>
          <w:rFonts w:ascii="宋体" w:eastAsia="宋体" w:hAnsi="宋体" w:cs="宋体"/>
        </w:rPr>
      </w:pPr>
      <w:r>
        <w:rPr>
          <w:rFonts w:ascii="宋体" w:eastAsia="宋体" w:hAnsi="宋体" w:cs="宋体"/>
          <w:spacing w:val="4"/>
        </w:rPr>
        <w:t>维生素C</w:t>
      </w:r>
      <w:r>
        <w:rPr>
          <w:rFonts w:ascii="宋体" w:eastAsia="宋体" w:hAnsi="宋体" w:cs="宋体"/>
          <w:spacing w:val="6"/>
        </w:rPr>
        <w:t xml:space="preserve"> </w:t>
      </w:r>
      <w:r>
        <w:rPr>
          <w:rFonts w:ascii="宋体" w:eastAsia="宋体" w:hAnsi="宋体" w:cs="宋体"/>
          <w:spacing w:val="4"/>
        </w:rPr>
        <w:t>的抗氧化作用可维持吞噬细胞膜的稳定性，保持细胞</w:t>
      </w:r>
      <w:r>
        <w:rPr>
          <w:rFonts w:ascii="宋体" w:eastAsia="宋体" w:hAnsi="宋体" w:cs="宋体"/>
          <w:spacing w:val="3"/>
        </w:rPr>
        <w:t>的健康和膜</w:t>
      </w:r>
    </w:p>
    <w:p w:rsidR="00EA40A3" w:rsidRDefault="00E86C16">
      <w:pPr>
        <w:spacing w:before="126"/>
        <w:ind w:right="37"/>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355</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982" w:bottom="400" w:left="939" w:header="0" w:footer="0" w:gutter="0"/>
          <w:cols w:space="720"/>
        </w:sectPr>
      </w:pPr>
    </w:p>
    <w:p w:rsidR="00EA40A3" w:rsidRDefault="00EA40A3">
      <w:pPr>
        <w:spacing w:line="266" w:lineRule="auto"/>
      </w:pPr>
    </w:p>
    <w:p w:rsidR="00EA40A3" w:rsidRDefault="00EA40A3">
      <w:pPr>
        <w:spacing w:line="266" w:lineRule="auto"/>
      </w:pPr>
    </w:p>
    <w:p w:rsidR="00EA40A3" w:rsidRDefault="00E86C16">
      <w:pPr>
        <w:spacing w:before="71" w:line="250" w:lineRule="auto"/>
        <w:ind w:right="159"/>
        <w:jc w:val="both"/>
        <w:rPr>
          <w:rFonts w:ascii="宋体" w:eastAsia="宋体" w:hAnsi="宋体" w:cs="宋体"/>
          <w:sz w:val="22"/>
          <w:szCs w:val="22"/>
        </w:rPr>
      </w:pPr>
      <w:bookmarkStart w:id="87" w:name="_bookmark91"/>
      <w:bookmarkEnd w:id="87"/>
      <w:r>
        <w:rPr>
          <w:rFonts w:ascii="宋体" w:eastAsia="宋体" w:hAnsi="宋体" w:cs="宋体"/>
          <w:spacing w:val="-6"/>
          <w:sz w:val="22"/>
          <w:szCs w:val="22"/>
        </w:rPr>
        <w:t>的流动性，促进吞噬细胞的趋化作用。血浆维生素C</w:t>
      </w:r>
      <w:r>
        <w:rPr>
          <w:rFonts w:ascii="宋体" w:eastAsia="宋体" w:hAnsi="宋体" w:cs="宋体"/>
          <w:spacing w:val="-17"/>
          <w:sz w:val="22"/>
          <w:szCs w:val="22"/>
        </w:rPr>
        <w:t xml:space="preserve"> </w:t>
      </w:r>
      <w:r>
        <w:rPr>
          <w:rFonts w:ascii="宋体" w:eastAsia="宋体" w:hAnsi="宋体" w:cs="宋体"/>
          <w:spacing w:val="-6"/>
          <w:sz w:val="22"/>
          <w:szCs w:val="22"/>
        </w:rPr>
        <w:t>浓度与免疫功能相关。感</w:t>
      </w:r>
      <w:r>
        <w:rPr>
          <w:rFonts w:ascii="宋体" w:eastAsia="宋体" w:hAnsi="宋体" w:cs="宋体"/>
          <w:sz w:val="22"/>
          <w:szCs w:val="22"/>
        </w:rPr>
        <w:t xml:space="preserve"> </w:t>
      </w:r>
      <w:r>
        <w:rPr>
          <w:rFonts w:ascii="宋体" w:eastAsia="宋体" w:hAnsi="宋体" w:cs="宋体"/>
          <w:spacing w:val="-7"/>
          <w:sz w:val="22"/>
          <w:szCs w:val="22"/>
        </w:rPr>
        <w:t>染时，白细胞迅速利用胞内存在的高含量维生素C。</w:t>
      </w:r>
      <w:r>
        <w:rPr>
          <w:rFonts w:ascii="宋体" w:eastAsia="宋体" w:hAnsi="宋体" w:cs="宋体"/>
          <w:spacing w:val="-36"/>
          <w:sz w:val="22"/>
          <w:szCs w:val="22"/>
        </w:rPr>
        <w:t xml:space="preserve"> </w:t>
      </w:r>
      <w:r>
        <w:rPr>
          <w:rFonts w:ascii="宋体" w:eastAsia="宋体" w:hAnsi="宋体" w:cs="宋体"/>
          <w:spacing w:val="-7"/>
          <w:sz w:val="22"/>
          <w:szCs w:val="22"/>
        </w:rPr>
        <w:t>补充维生素</w:t>
      </w:r>
      <w:r>
        <w:rPr>
          <w:rFonts w:ascii="宋体" w:eastAsia="宋体" w:hAnsi="宋体" w:cs="宋体"/>
          <w:spacing w:val="-51"/>
          <w:sz w:val="22"/>
          <w:szCs w:val="22"/>
        </w:rPr>
        <w:t xml:space="preserve"> </w:t>
      </w:r>
      <w:r>
        <w:rPr>
          <w:rFonts w:ascii="宋体" w:eastAsia="宋体" w:hAnsi="宋体" w:cs="宋体"/>
          <w:spacing w:val="-7"/>
          <w:sz w:val="22"/>
          <w:szCs w:val="22"/>
        </w:rPr>
        <w:t>C</w:t>
      </w:r>
      <w:r>
        <w:rPr>
          <w:rFonts w:ascii="宋体" w:eastAsia="宋体" w:hAnsi="宋体" w:cs="宋体"/>
          <w:spacing w:val="-14"/>
          <w:sz w:val="22"/>
          <w:szCs w:val="22"/>
        </w:rPr>
        <w:t xml:space="preserve"> </w:t>
      </w:r>
      <w:r>
        <w:rPr>
          <w:rFonts w:ascii="宋体" w:eastAsia="宋体" w:hAnsi="宋体" w:cs="宋体"/>
          <w:spacing w:val="-7"/>
          <w:sz w:val="22"/>
          <w:szCs w:val="22"/>
        </w:rPr>
        <w:t>能提高免疫</w:t>
      </w:r>
      <w:r>
        <w:rPr>
          <w:rFonts w:ascii="宋体" w:eastAsia="宋体" w:hAnsi="宋体" w:cs="宋体"/>
          <w:sz w:val="22"/>
          <w:szCs w:val="22"/>
        </w:rPr>
        <w:t xml:space="preserve"> </w:t>
      </w:r>
      <w:r>
        <w:rPr>
          <w:rFonts w:ascii="宋体" w:eastAsia="宋体" w:hAnsi="宋体" w:cs="宋体"/>
          <w:spacing w:val="-6"/>
          <w:sz w:val="22"/>
          <w:szCs w:val="22"/>
        </w:rPr>
        <w:t>力、提高吞噬细胞的活性及参与抗体的合成。此外维生素C</w:t>
      </w:r>
      <w:r>
        <w:rPr>
          <w:rFonts w:ascii="宋体" w:eastAsia="宋体" w:hAnsi="宋体" w:cs="宋体"/>
          <w:spacing w:val="2"/>
          <w:sz w:val="22"/>
          <w:szCs w:val="22"/>
        </w:rPr>
        <w:t xml:space="preserve"> </w:t>
      </w:r>
      <w:r>
        <w:rPr>
          <w:rFonts w:ascii="宋体" w:eastAsia="宋体" w:hAnsi="宋体" w:cs="宋体"/>
          <w:spacing w:val="-6"/>
          <w:sz w:val="22"/>
          <w:szCs w:val="22"/>
        </w:rPr>
        <w:t>可减少氧化型LDL</w:t>
      </w:r>
      <w:r>
        <w:rPr>
          <w:rFonts w:ascii="宋体" w:eastAsia="宋体" w:hAnsi="宋体" w:cs="宋体"/>
          <w:sz w:val="22"/>
          <w:szCs w:val="22"/>
        </w:rPr>
        <w:t xml:space="preserve">  </w:t>
      </w:r>
      <w:r>
        <w:rPr>
          <w:rFonts w:ascii="宋体" w:eastAsia="宋体" w:hAnsi="宋体" w:cs="宋体"/>
          <w:spacing w:val="-11"/>
          <w:sz w:val="22"/>
          <w:szCs w:val="22"/>
        </w:rPr>
        <w:t>的形成，减少吞噬细胞对氧化型LDL</w:t>
      </w:r>
      <w:r>
        <w:rPr>
          <w:rFonts w:ascii="宋体" w:eastAsia="宋体" w:hAnsi="宋体" w:cs="宋体"/>
          <w:spacing w:val="53"/>
          <w:sz w:val="22"/>
          <w:szCs w:val="22"/>
        </w:rPr>
        <w:t xml:space="preserve"> </w:t>
      </w:r>
      <w:r>
        <w:rPr>
          <w:rFonts w:ascii="宋体" w:eastAsia="宋体" w:hAnsi="宋体" w:cs="宋体"/>
          <w:spacing w:val="-11"/>
          <w:sz w:val="22"/>
          <w:szCs w:val="22"/>
        </w:rPr>
        <w:t>的吞噬，保持吞噬细胞的活力。</w:t>
      </w:r>
    </w:p>
    <w:p w:rsidR="00EA40A3" w:rsidRDefault="00E86C16">
      <w:pPr>
        <w:spacing w:before="226" w:line="344" w:lineRule="exact"/>
        <w:rPr>
          <w:rFonts w:ascii="仿宋" w:eastAsia="仿宋" w:hAnsi="仿宋" w:cs="仿宋"/>
          <w:sz w:val="22"/>
          <w:szCs w:val="22"/>
        </w:rPr>
      </w:pPr>
      <w:r>
        <w:rPr>
          <w:rFonts w:ascii="仿宋" w:eastAsia="仿宋" w:hAnsi="仿宋" w:cs="仿宋"/>
          <w:spacing w:val="13"/>
          <w:position w:val="8"/>
          <w:sz w:val="22"/>
          <w:szCs w:val="22"/>
        </w:rPr>
        <w:t>4.</w:t>
      </w:r>
      <w:r>
        <w:rPr>
          <w:rFonts w:ascii="仿宋" w:eastAsia="仿宋" w:hAnsi="仿宋" w:cs="仿宋"/>
          <w:spacing w:val="-32"/>
          <w:position w:val="8"/>
          <w:sz w:val="22"/>
          <w:szCs w:val="22"/>
        </w:rPr>
        <w:t xml:space="preserve"> </w:t>
      </w:r>
      <w:r>
        <w:rPr>
          <w:rFonts w:ascii="仿宋" w:eastAsia="仿宋" w:hAnsi="仿宋" w:cs="仿宋"/>
          <w:spacing w:val="13"/>
          <w:position w:val="8"/>
          <w:sz w:val="22"/>
          <w:szCs w:val="22"/>
        </w:rPr>
        <w:t>矿物质与免疫</w:t>
      </w:r>
    </w:p>
    <w:p w:rsidR="00EA40A3" w:rsidRDefault="00E86C16">
      <w:pPr>
        <w:spacing w:line="220" w:lineRule="auto"/>
        <w:rPr>
          <w:rFonts w:ascii="宋体" w:eastAsia="宋体" w:hAnsi="宋体" w:cs="宋体"/>
          <w:sz w:val="19"/>
          <w:szCs w:val="19"/>
        </w:rPr>
      </w:pPr>
      <w:r>
        <w:rPr>
          <w:rFonts w:ascii="宋体" w:eastAsia="宋体" w:hAnsi="宋体" w:cs="宋体"/>
          <w:spacing w:val="-10"/>
          <w:sz w:val="19"/>
          <w:szCs w:val="19"/>
        </w:rPr>
        <w:t>1</w:t>
      </w:r>
      <w:r>
        <w:rPr>
          <w:rFonts w:ascii="宋体" w:eastAsia="宋体" w:hAnsi="宋体" w:cs="宋体"/>
          <w:spacing w:val="-43"/>
          <w:sz w:val="19"/>
          <w:szCs w:val="19"/>
        </w:rPr>
        <w:t xml:space="preserve"> </w:t>
      </w:r>
      <w:r>
        <w:rPr>
          <w:rFonts w:ascii="宋体" w:eastAsia="宋体" w:hAnsi="宋体" w:cs="宋体"/>
          <w:spacing w:val="-10"/>
          <w:sz w:val="19"/>
          <w:szCs w:val="19"/>
        </w:rPr>
        <w:t>)</w:t>
      </w:r>
      <w:r>
        <w:rPr>
          <w:rFonts w:ascii="宋体" w:eastAsia="宋体" w:hAnsi="宋体" w:cs="宋体"/>
          <w:spacing w:val="-44"/>
          <w:sz w:val="19"/>
          <w:szCs w:val="19"/>
        </w:rPr>
        <w:t xml:space="preserve"> </w:t>
      </w:r>
      <w:r>
        <w:rPr>
          <w:rFonts w:ascii="宋体" w:eastAsia="宋体" w:hAnsi="宋体" w:cs="宋体"/>
          <w:spacing w:val="-10"/>
          <w:sz w:val="19"/>
          <w:szCs w:val="19"/>
        </w:rPr>
        <w:t>铁</w:t>
      </w:r>
    </w:p>
    <w:p w:rsidR="00EA40A3" w:rsidRDefault="00E86C16">
      <w:pPr>
        <w:spacing w:before="72" w:line="245" w:lineRule="auto"/>
        <w:ind w:right="101" w:firstLine="470"/>
        <w:rPr>
          <w:rFonts w:ascii="宋体" w:eastAsia="宋体" w:hAnsi="宋体" w:cs="宋体"/>
          <w:sz w:val="22"/>
          <w:szCs w:val="22"/>
        </w:rPr>
      </w:pPr>
      <w:r>
        <w:rPr>
          <w:rFonts w:ascii="宋体" w:eastAsia="宋体" w:hAnsi="宋体" w:cs="宋体"/>
          <w:spacing w:val="-13"/>
          <w:sz w:val="22"/>
          <w:szCs w:val="22"/>
        </w:rPr>
        <w:t>铁是维持免疫器官的功能和结构完整所必需的营养素。轻度缺铁即可引起免</w:t>
      </w:r>
      <w:r>
        <w:rPr>
          <w:rFonts w:ascii="宋体" w:eastAsia="宋体" w:hAnsi="宋体" w:cs="宋体"/>
          <w:spacing w:val="16"/>
          <w:sz w:val="22"/>
          <w:szCs w:val="22"/>
        </w:rPr>
        <w:t xml:space="preserve"> </w:t>
      </w:r>
      <w:r>
        <w:rPr>
          <w:rFonts w:ascii="宋体" w:eastAsia="宋体" w:hAnsi="宋体" w:cs="宋体"/>
          <w:spacing w:val="-12"/>
          <w:sz w:val="22"/>
          <w:szCs w:val="22"/>
        </w:rPr>
        <w:t>疫功能降低，主要是细胞免疫水平降低。缺铁引起胸腺和淋巴</w:t>
      </w:r>
      <w:r>
        <w:rPr>
          <w:rFonts w:ascii="宋体" w:eastAsia="宋体" w:hAnsi="宋体" w:cs="宋体"/>
          <w:spacing w:val="-13"/>
          <w:sz w:val="22"/>
          <w:szCs w:val="22"/>
        </w:rPr>
        <w:t>组织萎缩，胸腺中</w:t>
      </w:r>
      <w:r>
        <w:rPr>
          <w:rFonts w:ascii="宋体" w:eastAsia="宋体" w:hAnsi="宋体" w:cs="宋体"/>
          <w:sz w:val="22"/>
          <w:szCs w:val="22"/>
        </w:rPr>
        <w:t xml:space="preserve"> </w:t>
      </w:r>
      <w:r>
        <w:rPr>
          <w:rFonts w:ascii="宋体" w:eastAsia="宋体" w:hAnsi="宋体" w:cs="宋体"/>
          <w:spacing w:val="-13"/>
          <w:sz w:val="22"/>
          <w:szCs w:val="22"/>
        </w:rPr>
        <w:t>淋巴细胞数量明显减少，且铁缺乏时吞噬细胞的杀菌活性也降低，从而导致细胞</w:t>
      </w:r>
      <w:r>
        <w:rPr>
          <w:rFonts w:ascii="宋体" w:eastAsia="宋体" w:hAnsi="宋体" w:cs="宋体"/>
          <w:spacing w:val="12"/>
          <w:sz w:val="22"/>
          <w:szCs w:val="22"/>
        </w:rPr>
        <w:t xml:space="preserve"> </w:t>
      </w:r>
      <w:r>
        <w:rPr>
          <w:rFonts w:ascii="宋体" w:eastAsia="宋体" w:hAnsi="宋体" w:cs="宋体"/>
          <w:spacing w:val="14"/>
          <w:sz w:val="22"/>
          <w:szCs w:val="22"/>
        </w:rPr>
        <w:t>免疫力低下。缺铁对体液免疫影响不大，缺铁时抗体反应和补体系统基</w:t>
      </w:r>
      <w:r>
        <w:rPr>
          <w:rFonts w:ascii="宋体" w:eastAsia="宋体" w:hAnsi="宋体" w:cs="宋体"/>
          <w:spacing w:val="4"/>
          <w:sz w:val="22"/>
          <w:szCs w:val="22"/>
        </w:rPr>
        <w:t xml:space="preserve"> </w:t>
      </w:r>
      <w:r>
        <w:rPr>
          <w:rFonts w:ascii="宋体" w:eastAsia="宋体" w:hAnsi="宋体" w:cs="宋体"/>
          <w:spacing w:val="-19"/>
          <w:sz w:val="22"/>
          <w:szCs w:val="22"/>
        </w:rPr>
        <w:t>本正常。</w:t>
      </w:r>
    </w:p>
    <w:p w:rsidR="00EA40A3" w:rsidRDefault="00E86C16">
      <w:pPr>
        <w:spacing w:before="70" w:line="244" w:lineRule="auto"/>
        <w:ind w:right="100" w:firstLine="470"/>
        <w:rPr>
          <w:rFonts w:ascii="宋体" w:eastAsia="宋体" w:hAnsi="宋体" w:cs="宋体"/>
          <w:sz w:val="22"/>
          <w:szCs w:val="22"/>
        </w:rPr>
      </w:pPr>
      <w:r>
        <w:rPr>
          <w:rFonts w:ascii="宋体" w:eastAsia="宋体" w:hAnsi="宋体" w:cs="宋体"/>
          <w:spacing w:val="-13"/>
          <w:sz w:val="22"/>
          <w:szCs w:val="22"/>
        </w:rPr>
        <w:t>值得注意的是，铁摄入过量也会导致感染的发生，这是因为某些细菌的生长</w:t>
      </w:r>
      <w:r>
        <w:rPr>
          <w:rFonts w:ascii="宋体" w:eastAsia="宋体" w:hAnsi="宋体" w:cs="宋体"/>
          <w:spacing w:val="17"/>
          <w:sz w:val="22"/>
          <w:szCs w:val="22"/>
        </w:rPr>
        <w:t xml:space="preserve"> </w:t>
      </w:r>
      <w:r>
        <w:rPr>
          <w:rFonts w:ascii="宋体" w:eastAsia="宋体" w:hAnsi="宋体" w:cs="宋体"/>
          <w:spacing w:val="-14"/>
          <w:sz w:val="22"/>
          <w:szCs w:val="22"/>
        </w:rPr>
        <w:t>繁殖也需要铁，这些细菌能有效地竞争循环和组织中的铁，加速自身繁殖。</w:t>
      </w:r>
    </w:p>
    <w:p w:rsidR="00EA40A3" w:rsidRDefault="00E86C16">
      <w:pPr>
        <w:spacing w:before="50" w:line="220" w:lineRule="auto"/>
        <w:rPr>
          <w:rFonts w:ascii="宋体" w:eastAsia="宋体" w:hAnsi="宋体" w:cs="宋体"/>
          <w:sz w:val="22"/>
          <w:szCs w:val="22"/>
        </w:rPr>
      </w:pPr>
      <w:r>
        <w:rPr>
          <w:rFonts w:ascii="宋体" w:eastAsia="宋体" w:hAnsi="宋体" w:cs="宋体"/>
          <w:spacing w:val="10"/>
          <w:sz w:val="22"/>
          <w:szCs w:val="22"/>
        </w:rPr>
        <w:t>2)锌</w:t>
      </w:r>
    </w:p>
    <w:p w:rsidR="00EA40A3" w:rsidRDefault="00E86C16">
      <w:pPr>
        <w:spacing w:before="36" w:line="250" w:lineRule="auto"/>
        <w:ind w:right="29" w:firstLine="470"/>
        <w:rPr>
          <w:rFonts w:ascii="宋体" w:eastAsia="宋体" w:hAnsi="宋体" w:cs="宋体"/>
          <w:sz w:val="22"/>
          <w:szCs w:val="22"/>
        </w:rPr>
      </w:pPr>
      <w:r>
        <w:rPr>
          <w:rFonts w:ascii="宋体" w:eastAsia="宋体" w:hAnsi="宋体" w:cs="宋体"/>
          <w:spacing w:val="-10"/>
          <w:sz w:val="22"/>
          <w:szCs w:val="22"/>
        </w:rPr>
        <w:t>锌和体内多种酶的活性有关，锌参与细胞信号传导</w:t>
      </w:r>
      <w:r>
        <w:rPr>
          <w:rFonts w:ascii="宋体" w:eastAsia="宋体" w:hAnsi="宋体" w:cs="宋体"/>
          <w:spacing w:val="-11"/>
          <w:sz w:val="22"/>
          <w:szCs w:val="22"/>
        </w:rPr>
        <w:t>、细胞活化、基因表达、</w:t>
      </w:r>
      <w:r>
        <w:rPr>
          <w:rFonts w:ascii="宋体" w:eastAsia="宋体" w:hAnsi="宋体" w:cs="宋体"/>
          <w:sz w:val="22"/>
          <w:szCs w:val="22"/>
        </w:rPr>
        <w:t xml:space="preserve"> </w:t>
      </w:r>
      <w:r>
        <w:rPr>
          <w:rFonts w:ascii="宋体" w:eastAsia="宋体" w:hAnsi="宋体" w:cs="宋体"/>
          <w:spacing w:val="-11"/>
          <w:sz w:val="22"/>
          <w:szCs w:val="22"/>
        </w:rPr>
        <w:t>蛋白合成以及细胞凋亡过程。锌对维持包括中性粒细胞</w:t>
      </w:r>
      <w:r>
        <w:rPr>
          <w:rFonts w:ascii="宋体" w:eastAsia="宋体" w:hAnsi="宋体" w:cs="宋体"/>
          <w:spacing w:val="-12"/>
          <w:sz w:val="22"/>
          <w:szCs w:val="22"/>
        </w:rPr>
        <w:t>、单核细胞、</w:t>
      </w:r>
      <w:r>
        <w:rPr>
          <w:rFonts w:ascii="宋体" w:eastAsia="宋体" w:hAnsi="宋体" w:cs="宋体"/>
          <w:spacing w:val="-31"/>
          <w:sz w:val="22"/>
          <w:szCs w:val="22"/>
        </w:rPr>
        <w:t xml:space="preserve"> </w:t>
      </w:r>
      <w:r>
        <w:rPr>
          <w:rFonts w:ascii="宋体" w:eastAsia="宋体" w:hAnsi="宋体" w:cs="宋体"/>
          <w:spacing w:val="-11"/>
          <w:sz w:val="22"/>
          <w:szCs w:val="22"/>
        </w:rPr>
        <w:t>NK</w:t>
      </w:r>
      <w:r>
        <w:rPr>
          <w:rFonts w:ascii="宋体" w:eastAsia="宋体" w:hAnsi="宋体" w:cs="宋体"/>
          <w:spacing w:val="82"/>
          <w:sz w:val="22"/>
          <w:szCs w:val="22"/>
        </w:rPr>
        <w:t xml:space="preserve"> </w:t>
      </w:r>
      <w:r>
        <w:rPr>
          <w:rFonts w:ascii="宋体" w:eastAsia="宋体" w:hAnsi="宋体" w:cs="宋体"/>
          <w:spacing w:val="-12"/>
          <w:sz w:val="22"/>
          <w:szCs w:val="22"/>
        </w:rPr>
        <w:t>细胞、</w:t>
      </w:r>
      <w:r>
        <w:rPr>
          <w:rFonts w:ascii="宋体" w:eastAsia="宋体" w:hAnsi="宋体" w:cs="宋体"/>
          <w:sz w:val="22"/>
          <w:szCs w:val="22"/>
        </w:rPr>
        <w:t xml:space="preserve"> </w:t>
      </w:r>
      <w:r>
        <w:rPr>
          <w:rFonts w:ascii="宋体" w:eastAsia="宋体" w:hAnsi="宋体" w:cs="宋体"/>
          <w:spacing w:val="-4"/>
          <w:sz w:val="22"/>
          <w:szCs w:val="22"/>
        </w:rPr>
        <w:t>B</w:t>
      </w:r>
      <w:r>
        <w:rPr>
          <w:rFonts w:ascii="宋体" w:eastAsia="宋体" w:hAnsi="宋体" w:cs="宋体"/>
          <w:spacing w:val="-27"/>
          <w:sz w:val="22"/>
          <w:szCs w:val="22"/>
        </w:rPr>
        <w:t xml:space="preserve"> </w:t>
      </w:r>
      <w:r>
        <w:rPr>
          <w:rFonts w:ascii="宋体" w:eastAsia="宋体" w:hAnsi="宋体" w:cs="宋体"/>
          <w:spacing w:val="-4"/>
          <w:sz w:val="22"/>
          <w:szCs w:val="22"/>
        </w:rPr>
        <w:t>细胞和T</w:t>
      </w:r>
      <w:r>
        <w:rPr>
          <w:rFonts w:ascii="宋体" w:eastAsia="宋体" w:hAnsi="宋体" w:cs="宋体"/>
          <w:spacing w:val="-15"/>
          <w:sz w:val="22"/>
          <w:szCs w:val="22"/>
        </w:rPr>
        <w:t xml:space="preserve"> </w:t>
      </w:r>
      <w:r>
        <w:rPr>
          <w:rFonts w:ascii="宋体" w:eastAsia="宋体" w:hAnsi="宋体" w:cs="宋体"/>
          <w:spacing w:val="-4"/>
          <w:sz w:val="22"/>
          <w:szCs w:val="22"/>
        </w:rPr>
        <w:t>细胞的免疫细胞的作用有着极其重要的作用。缺锌影</w:t>
      </w:r>
      <w:r>
        <w:rPr>
          <w:rFonts w:ascii="宋体" w:eastAsia="宋体" w:hAnsi="宋体" w:cs="宋体"/>
          <w:spacing w:val="-5"/>
          <w:sz w:val="22"/>
          <w:szCs w:val="22"/>
        </w:rPr>
        <w:t>响免疫器官和</w:t>
      </w:r>
      <w:r>
        <w:rPr>
          <w:rFonts w:ascii="宋体" w:eastAsia="宋体" w:hAnsi="宋体" w:cs="宋体"/>
          <w:sz w:val="22"/>
          <w:szCs w:val="22"/>
        </w:rPr>
        <w:t xml:space="preserve">  </w:t>
      </w:r>
      <w:r>
        <w:rPr>
          <w:rFonts w:ascii="宋体" w:eastAsia="宋体" w:hAnsi="宋体" w:cs="宋体"/>
          <w:spacing w:val="-14"/>
          <w:sz w:val="22"/>
          <w:szCs w:val="22"/>
        </w:rPr>
        <w:t>免疫细胞的功能、抗体的合成与分泌，既影响细胞免疫也影响体液免疫。</w:t>
      </w:r>
    </w:p>
    <w:p w:rsidR="00EA40A3" w:rsidRDefault="00E86C16">
      <w:pPr>
        <w:spacing w:before="79" w:line="222" w:lineRule="auto"/>
        <w:rPr>
          <w:rFonts w:ascii="宋体" w:eastAsia="宋体" w:hAnsi="宋体" w:cs="宋体"/>
          <w:sz w:val="16"/>
          <w:szCs w:val="16"/>
        </w:rPr>
      </w:pPr>
      <w:r>
        <w:rPr>
          <w:rFonts w:ascii="宋体" w:eastAsia="宋体" w:hAnsi="宋体" w:cs="宋体"/>
          <w:spacing w:val="-6"/>
          <w:sz w:val="16"/>
          <w:szCs w:val="16"/>
        </w:rPr>
        <w:t>3</w:t>
      </w:r>
      <w:r>
        <w:rPr>
          <w:rFonts w:ascii="宋体" w:eastAsia="宋体" w:hAnsi="宋体" w:cs="宋体"/>
          <w:spacing w:val="7"/>
          <w:sz w:val="16"/>
          <w:szCs w:val="16"/>
        </w:rPr>
        <w:t xml:space="preserve"> </w:t>
      </w:r>
      <w:r>
        <w:rPr>
          <w:rFonts w:ascii="宋体" w:eastAsia="宋体" w:hAnsi="宋体" w:cs="宋体"/>
          <w:spacing w:val="-6"/>
          <w:sz w:val="16"/>
          <w:szCs w:val="16"/>
        </w:rPr>
        <w:t>)</w:t>
      </w:r>
      <w:r>
        <w:rPr>
          <w:rFonts w:ascii="宋体" w:eastAsia="宋体" w:hAnsi="宋体" w:cs="宋体"/>
          <w:spacing w:val="4"/>
          <w:sz w:val="16"/>
          <w:szCs w:val="16"/>
        </w:rPr>
        <w:t xml:space="preserve"> </w:t>
      </w:r>
      <w:r>
        <w:rPr>
          <w:rFonts w:ascii="宋体" w:eastAsia="宋体" w:hAnsi="宋体" w:cs="宋体"/>
          <w:spacing w:val="-6"/>
          <w:sz w:val="16"/>
          <w:szCs w:val="16"/>
        </w:rPr>
        <w:t>硒</w:t>
      </w:r>
    </w:p>
    <w:p w:rsidR="00EA40A3" w:rsidRDefault="00E86C16">
      <w:pPr>
        <w:spacing w:before="88" w:line="236" w:lineRule="auto"/>
        <w:ind w:firstLine="470"/>
        <w:rPr>
          <w:rFonts w:ascii="宋体" w:eastAsia="宋体" w:hAnsi="宋体" w:cs="宋体"/>
          <w:sz w:val="22"/>
          <w:szCs w:val="22"/>
        </w:rPr>
      </w:pPr>
      <w:r>
        <w:rPr>
          <w:rFonts w:ascii="宋体" w:eastAsia="宋体" w:hAnsi="宋体" w:cs="宋体"/>
          <w:spacing w:val="-3"/>
          <w:sz w:val="22"/>
          <w:szCs w:val="22"/>
        </w:rPr>
        <w:t>硒与维生素E</w:t>
      </w:r>
      <w:r>
        <w:rPr>
          <w:rFonts w:ascii="宋体" w:eastAsia="宋体" w:hAnsi="宋体" w:cs="宋体"/>
          <w:spacing w:val="4"/>
          <w:sz w:val="22"/>
          <w:szCs w:val="22"/>
        </w:rPr>
        <w:t xml:space="preserve"> </w:t>
      </w:r>
      <w:r>
        <w:rPr>
          <w:rFonts w:ascii="宋体" w:eastAsia="宋体" w:hAnsi="宋体" w:cs="宋体"/>
          <w:spacing w:val="-3"/>
          <w:sz w:val="22"/>
          <w:szCs w:val="22"/>
        </w:rPr>
        <w:t>共同作用，对免疫系统产生影响，主要是影响抗体的合成。</w:t>
      </w:r>
      <w:r>
        <w:rPr>
          <w:rFonts w:ascii="宋体" w:eastAsia="宋体" w:hAnsi="宋体" w:cs="宋体"/>
          <w:sz w:val="22"/>
          <w:szCs w:val="22"/>
        </w:rPr>
        <w:t xml:space="preserve"> </w:t>
      </w:r>
      <w:r>
        <w:rPr>
          <w:rFonts w:ascii="宋体" w:eastAsia="宋体" w:hAnsi="宋体" w:cs="宋体"/>
          <w:spacing w:val="-14"/>
          <w:sz w:val="22"/>
          <w:szCs w:val="22"/>
        </w:rPr>
        <w:t>硒缺乏抑制细胞免疫和体液免疫。</w:t>
      </w:r>
    </w:p>
    <w:p w:rsidR="00EA40A3" w:rsidRDefault="00E86C16">
      <w:pPr>
        <w:spacing w:before="55" w:line="227" w:lineRule="auto"/>
        <w:rPr>
          <w:rFonts w:ascii="楷体" w:eastAsia="楷体" w:hAnsi="楷体" w:cs="楷体"/>
          <w:sz w:val="19"/>
          <w:szCs w:val="19"/>
        </w:rPr>
      </w:pPr>
      <w:r>
        <w:rPr>
          <w:rFonts w:ascii="楷体" w:eastAsia="楷体" w:hAnsi="楷体" w:cs="楷体"/>
          <w:spacing w:val="26"/>
          <w:sz w:val="19"/>
          <w:szCs w:val="19"/>
        </w:rPr>
        <w:t>4)钙与镁</w:t>
      </w:r>
    </w:p>
    <w:p w:rsidR="00EA40A3" w:rsidRDefault="00E86C16">
      <w:pPr>
        <w:spacing w:before="80" w:line="235" w:lineRule="auto"/>
        <w:ind w:right="29" w:firstLine="470"/>
        <w:rPr>
          <w:rFonts w:ascii="宋体" w:eastAsia="宋体" w:hAnsi="宋体" w:cs="宋体"/>
          <w:sz w:val="22"/>
          <w:szCs w:val="22"/>
        </w:rPr>
      </w:pPr>
      <w:r>
        <w:rPr>
          <w:rFonts w:ascii="宋体" w:eastAsia="宋体" w:hAnsi="宋体" w:cs="宋体"/>
          <w:spacing w:val="-10"/>
          <w:sz w:val="22"/>
          <w:szCs w:val="22"/>
        </w:rPr>
        <w:t>钙和镁参与补体系统的激活，对免疫的影响主要是通</w:t>
      </w:r>
      <w:r>
        <w:rPr>
          <w:rFonts w:ascii="宋体" w:eastAsia="宋体" w:hAnsi="宋体" w:cs="宋体"/>
          <w:spacing w:val="-11"/>
          <w:sz w:val="22"/>
          <w:szCs w:val="22"/>
        </w:rPr>
        <w:t>过对补体系统的作用，</w:t>
      </w:r>
      <w:r>
        <w:rPr>
          <w:rFonts w:ascii="宋体" w:eastAsia="宋体" w:hAnsi="宋体" w:cs="宋体"/>
          <w:sz w:val="22"/>
          <w:szCs w:val="22"/>
        </w:rPr>
        <w:t xml:space="preserve"> </w:t>
      </w:r>
      <w:r>
        <w:rPr>
          <w:rFonts w:ascii="宋体" w:eastAsia="宋体" w:hAnsi="宋体" w:cs="宋体"/>
          <w:spacing w:val="-16"/>
          <w:sz w:val="22"/>
          <w:szCs w:val="22"/>
        </w:rPr>
        <w:t>引起免疫反应的改变，</w:t>
      </w:r>
    </w:p>
    <w:p w:rsidR="00EA40A3" w:rsidRDefault="00EA40A3">
      <w:pPr>
        <w:spacing w:line="285" w:lineRule="auto"/>
      </w:pPr>
    </w:p>
    <w:p w:rsidR="00EA40A3" w:rsidRDefault="00E86C16">
      <w:pPr>
        <w:spacing w:before="81" w:line="219" w:lineRule="auto"/>
        <w:ind w:left="1899"/>
        <w:rPr>
          <w:rFonts w:ascii="宋体" w:eastAsia="宋体" w:hAnsi="宋体" w:cs="宋体"/>
          <w:sz w:val="25"/>
          <w:szCs w:val="25"/>
        </w:rPr>
      </w:pPr>
      <w:r>
        <w:rPr>
          <w:rFonts w:ascii="宋体" w:eastAsia="宋体" w:hAnsi="宋体" w:cs="宋体"/>
          <w:spacing w:val="16"/>
          <w:sz w:val="25"/>
          <w:szCs w:val="25"/>
        </w:rPr>
        <w:t>11.2</w:t>
      </w:r>
      <w:r>
        <w:rPr>
          <w:rFonts w:ascii="宋体" w:eastAsia="宋体" w:hAnsi="宋体" w:cs="宋体"/>
          <w:spacing w:val="44"/>
          <w:sz w:val="25"/>
          <w:szCs w:val="25"/>
        </w:rPr>
        <w:t xml:space="preserve">  </w:t>
      </w:r>
      <w:r>
        <w:rPr>
          <w:rFonts w:ascii="宋体" w:eastAsia="宋体" w:hAnsi="宋体" w:cs="宋体"/>
          <w:spacing w:val="16"/>
          <w:sz w:val="25"/>
          <w:szCs w:val="25"/>
        </w:rPr>
        <w:t>营养与自由基氧化损伤</w:t>
      </w:r>
    </w:p>
    <w:p w:rsidR="00EA40A3" w:rsidRDefault="00E86C16">
      <w:pPr>
        <w:spacing w:before="122" w:line="219" w:lineRule="auto"/>
        <w:ind w:left="3"/>
        <w:outlineLvl w:val="6"/>
        <w:rPr>
          <w:rFonts w:ascii="宋体" w:eastAsia="宋体" w:hAnsi="宋体" w:cs="宋体"/>
          <w:sz w:val="25"/>
          <w:szCs w:val="25"/>
        </w:rPr>
      </w:pPr>
      <w:r>
        <w:rPr>
          <w:rFonts w:ascii="宋体" w:eastAsia="宋体" w:hAnsi="宋体" w:cs="宋体"/>
          <w:b/>
          <w:bCs/>
          <w:spacing w:val="-13"/>
          <w:sz w:val="25"/>
          <w:szCs w:val="25"/>
        </w:rPr>
        <w:t>11.2.1</w:t>
      </w:r>
      <w:r>
        <w:rPr>
          <w:rFonts w:ascii="宋体" w:eastAsia="宋体" w:hAnsi="宋体" w:cs="宋体"/>
          <w:spacing w:val="130"/>
          <w:sz w:val="25"/>
          <w:szCs w:val="25"/>
        </w:rPr>
        <w:t xml:space="preserve"> </w:t>
      </w:r>
      <w:r>
        <w:rPr>
          <w:rFonts w:ascii="宋体" w:eastAsia="宋体" w:hAnsi="宋体" w:cs="宋体"/>
          <w:b/>
          <w:bCs/>
          <w:spacing w:val="-13"/>
          <w:sz w:val="25"/>
          <w:szCs w:val="25"/>
        </w:rPr>
        <w:t>自由基概述</w:t>
      </w:r>
    </w:p>
    <w:p w:rsidR="00EA40A3" w:rsidRDefault="00E86C16">
      <w:pPr>
        <w:spacing w:before="196" w:line="254" w:lineRule="auto"/>
        <w:ind w:right="59" w:firstLine="470"/>
        <w:rPr>
          <w:rFonts w:ascii="宋体" w:eastAsia="宋体" w:hAnsi="宋体" w:cs="宋体"/>
          <w:sz w:val="22"/>
          <w:szCs w:val="22"/>
        </w:rPr>
      </w:pPr>
      <w:r>
        <w:rPr>
          <w:rFonts w:ascii="宋体" w:eastAsia="宋体" w:hAnsi="宋体" w:cs="宋体"/>
          <w:spacing w:val="-15"/>
          <w:sz w:val="22"/>
          <w:szCs w:val="22"/>
        </w:rPr>
        <w:t>自由基</w:t>
      </w:r>
      <w:r>
        <w:rPr>
          <w:rFonts w:ascii="宋体" w:eastAsia="宋体" w:hAnsi="宋体" w:cs="宋体"/>
          <w:spacing w:val="-6"/>
          <w:sz w:val="22"/>
          <w:szCs w:val="22"/>
        </w:rPr>
        <w:t xml:space="preserve"> </w:t>
      </w:r>
      <w:r>
        <w:rPr>
          <w:rFonts w:ascii="宋体" w:eastAsia="宋体" w:hAnsi="宋体" w:cs="宋体"/>
          <w:spacing w:val="-15"/>
          <w:sz w:val="22"/>
          <w:szCs w:val="22"/>
        </w:rPr>
        <w:t>(free-radical)</w:t>
      </w:r>
      <w:r>
        <w:rPr>
          <w:rFonts w:ascii="宋体" w:eastAsia="宋体" w:hAnsi="宋体" w:cs="宋体"/>
          <w:spacing w:val="-49"/>
          <w:sz w:val="22"/>
          <w:szCs w:val="22"/>
        </w:rPr>
        <w:t xml:space="preserve"> </w:t>
      </w:r>
      <w:r>
        <w:rPr>
          <w:rFonts w:ascii="宋体" w:eastAsia="宋体" w:hAnsi="宋体" w:cs="宋体"/>
          <w:spacing w:val="-15"/>
          <w:sz w:val="22"/>
          <w:szCs w:val="22"/>
        </w:rPr>
        <w:t>是在体内氧化代谢过程中产生的，含有不成对电子的</w:t>
      </w:r>
      <w:r>
        <w:rPr>
          <w:rFonts w:ascii="宋体" w:eastAsia="宋体" w:hAnsi="宋体" w:cs="宋体"/>
          <w:sz w:val="22"/>
          <w:szCs w:val="22"/>
        </w:rPr>
        <w:t xml:space="preserve"> </w:t>
      </w:r>
      <w:r>
        <w:rPr>
          <w:rFonts w:ascii="宋体" w:eastAsia="宋体" w:hAnsi="宋体" w:cs="宋体"/>
          <w:spacing w:val="-4"/>
          <w:sz w:val="22"/>
          <w:szCs w:val="22"/>
        </w:rPr>
        <w:t>分子或原子团，包括超氧阴离子</w:t>
      </w:r>
      <w:r>
        <w:rPr>
          <w:rFonts w:ascii="宋体" w:eastAsia="宋体" w:hAnsi="宋体" w:cs="宋体"/>
          <w:spacing w:val="-61"/>
          <w:sz w:val="22"/>
          <w:szCs w:val="22"/>
        </w:rPr>
        <w:t xml:space="preserve"> </w:t>
      </w:r>
      <w:r>
        <w:rPr>
          <w:rFonts w:ascii="宋体" w:eastAsia="宋体" w:hAnsi="宋体" w:cs="宋体"/>
          <w:spacing w:val="-4"/>
          <w:sz w:val="22"/>
          <w:szCs w:val="22"/>
        </w:rPr>
        <w:t>O</w:t>
      </w:r>
      <w:r>
        <w:rPr>
          <w:rFonts w:ascii="Calibri" w:eastAsia="Calibri" w:hAnsi="Calibri" w:cs="Calibri"/>
          <w:spacing w:val="-4"/>
          <w:sz w:val="22"/>
          <w:szCs w:val="22"/>
        </w:rPr>
        <w:t>₂</w:t>
      </w:r>
      <w:r>
        <w:rPr>
          <w:rFonts w:ascii="Calibri" w:eastAsia="Calibri" w:hAnsi="Calibri" w:cs="Calibri"/>
          <w:spacing w:val="14"/>
          <w:sz w:val="22"/>
          <w:szCs w:val="22"/>
        </w:rPr>
        <w:t xml:space="preserve"> </w:t>
      </w:r>
      <w:r>
        <w:rPr>
          <w:rFonts w:ascii="宋体" w:eastAsia="宋体" w:hAnsi="宋体" w:cs="宋体"/>
          <w:spacing w:val="-4"/>
          <w:sz w:val="22"/>
          <w:szCs w:val="22"/>
        </w:rPr>
        <w:t>一、羟自由基(</w:t>
      </w:r>
      <w:r>
        <w:rPr>
          <w:rFonts w:ascii="宋体" w:eastAsia="宋体" w:hAnsi="宋体" w:cs="宋体"/>
          <w:spacing w:val="-8"/>
          <w:sz w:val="22"/>
          <w:szCs w:val="22"/>
        </w:rPr>
        <w:t xml:space="preserve"> </w:t>
      </w:r>
      <w:r>
        <w:rPr>
          <w:rFonts w:ascii="宋体" w:eastAsia="宋体" w:hAnsi="宋体" w:cs="宋体"/>
          <w:spacing w:val="-4"/>
          <w:sz w:val="22"/>
          <w:szCs w:val="22"/>
        </w:rPr>
        <w:t>·OH)、</w:t>
      </w:r>
      <w:r>
        <w:rPr>
          <w:rFonts w:ascii="宋体" w:eastAsia="宋体" w:hAnsi="宋体" w:cs="宋体"/>
          <w:spacing w:val="81"/>
          <w:sz w:val="22"/>
          <w:szCs w:val="22"/>
        </w:rPr>
        <w:t xml:space="preserve"> </w:t>
      </w:r>
      <w:r>
        <w:rPr>
          <w:rFonts w:ascii="宋体" w:eastAsia="宋体" w:hAnsi="宋体" w:cs="宋体"/>
          <w:spacing w:val="-4"/>
          <w:sz w:val="22"/>
          <w:szCs w:val="22"/>
        </w:rPr>
        <w:t>单线态氧</w:t>
      </w:r>
      <w:r>
        <w:rPr>
          <w:rFonts w:ascii="宋体" w:eastAsia="宋体" w:hAnsi="宋体" w:cs="宋体"/>
          <w:spacing w:val="-5"/>
          <w:sz w:val="22"/>
          <w:szCs w:val="22"/>
        </w:rPr>
        <w:t>('O</w:t>
      </w:r>
      <w:r>
        <w:rPr>
          <w:rFonts w:ascii="Calibri" w:eastAsia="Calibri" w:hAnsi="Calibri" w:cs="Calibri"/>
          <w:spacing w:val="-5"/>
          <w:sz w:val="22"/>
          <w:szCs w:val="22"/>
        </w:rPr>
        <w:t>₂</w:t>
      </w:r>
      <w:r>
        <w:rPr>
          <w:rFonts w:ascii="宋体" w:eastAsia="宋体" w:hAnsi="宋体" w:cs="宋体"/>
          <w:spacing w:val="-5"/>
          <w:sz w:val="22"/>
          <w:szCs w:val="22"/>
        </w:rPr>
        <w:t>)</w:t>
      </w:r>
      <w:r>
        <w:rPr>
          <w:rFonts w:ascii="宋体" w:eastAsia="宋体" w:hAnsi="宋体" w:cs="宋体"/>
          <w:sz w:val="22"/>
          <w:szCs w:val="22"/>
        </w:rPr>
        <w:t xml:space="preserve">   </w:t>
      </w:r>
      <w:r>
        <w:rPr>
          <w:rFonts w:ascii="宋体" w:eastAsia="宋体" w:hAnsi="宋体" w:cs="宋体"/>
          <w:spacing w:val="-9"/>
          <w:sz w:val="22"/>
          <w:szCs w:val="22"/>
        </w:rPr>
        <w:t>过氧化氢</w:t>
      </w:r>
      <w:r>
        <w:rPr>
          <w:rFonts w:ascii="宋体" w:eastAsia="宋体" w:hAnsi="宋体" w:cs="宋体"/>
          <w:spacing w:val="-11"/>
          <w:sz w:val="22"/>
          <w:szCs w:val="22"/>
        </w:rPr>
        <w:t xml:space="preserve"> </w:t>
      </w:r>
      <w:r>
        <w:rPr>
          <w:rFonts w:ascii="宋体" w:eastAsia="宋体" w:hAnsi="宋体" w:cs="宋体"/>
          <w:spacing w:val="-9"/>
          <w:sz w:val="22"/>
          <w:szCs w:val="22"/>
        </w:rPr>
        <w:t>(H</w:t>
      </w:r>
      <w:r>
        <w:rPr>
          <w:rFonts w:ascii="Calibri" w:eastAsia="Calibri" w:hAnsi="Calibri" w:cs="Calibri"/>
          <w:spacing w:val="-9"/>
          <w:sz w:val="22"/>
          <w:szCs w:val="22"/>
        </w:rPr>
        <w:t>₂</w:t>
      </w:r>
      <w:r>
        <w:rPr>
          <w:rFonts w:ascii="宋体" w:eastAsia="宋体" w:hAnsi="宋体" w:cs="宋体"/>
          <w:spacing w:val="-9"/>
          <w:sz w:val="22"/>
          <w:szCs w:val="22"/>
        </w:rPr>
        <w:t>O</w:t>
      </w:r>
      <w:r>
        <w:rPr>
          <w:rFonts w:ascii="Calibri" w:eastAsia="Calibri" w:hAnsi="Calibri" w:cs="Calibri"/>
          <w:spacing w:val="-9"/>
          <w:sz w:val="22"/>
          <w:szCs w:val="22"/>
        </w:rPr>
        <w:t>₂</w:t>
      </w:r>
      <w:r>
        <w:rPr>
          <w:rFonts w:ascii="宋体" w:eastAsia="宋体" w:hAnsi="宋体" w:cs="宋体"/>
          <w:spacing w:val="-9"/>
          <w:sz w:val="22"/>
          <w:szCs w:val="22"/>
        </w:rPr>
        <w:t>)、</w:t>
      </w:r>
      <w:r>
        <w:rPr>
          <w:rFonts w:ascii="宋体" w:eastAsia="宋体" w:hAnsi="宋体" w:cs="宋体"/>
          <w:spacing w:val="77"/>
          <w:sz w:val="22"/>
          <w:szCs w:val="22"/>
        </w:rPr>
        <w:t xml:space="preserve"> </w:t>
      </w:r>
      <w:r>
        <w:rPr>
          <w:rFonts w:ascii="宋体" w:eastAsia="宋体" w:hAnsi="宋体" w:cs="宋体"/>
          <w:spacing w:val="-9"/>
          <w:sz w:val="22"/>
          <w:szCs w:val="22"/>
        </w:rPr>
        <w:t>脂质过氧化物</w:t>
      </w:r>
      <w:r>
        <w:rPr>
          <w:rFonts w:ascii="宋体" w:eastAsia="宋体" w:hAnsi="宋体" w:cs="宋体"/>
          <w:spacing w:val="-21"/>
          <w:sz w:val="22"/>
          <w:szCs w:val="22"/>
        </w:rPr>
        <w:t xml:space="preserve"> </w:t>
      </w:r>
      <w:r>
        <w:rPr>
          <w:rFonts w:ascii="宋体" w:eastAsia="宋体" w:hAnsi="宋体" w:cs="宋体"/>
          <w:spacing w:val="-9"/>
          <w:sz w:val="22"/>
          <w:szCs w:val="22"/>
        </w:rPr>
        <w:t>(RO</w:t>
      </w:r>
      <w:r>
        <w:rPr>
          <w:rFonts w:ascii="宋体" w:eastAsia="宋体" w:hAnsi="宋体" w:cs="宋体"/>
          <w:spacing w:val="27"/>
          <w:sz w:val="22"/>
          <w:szCs w:val="22"/>
        </w:rPr>
        <w:t xml:space="preserve"> </w:t>
      </w:r>
      <w:r>
        <w:rPr>
          <w:rFonts w:ascii="宋体" w:eastAsia="宋体" w:hAnsi="宋体" w:cs="宋体"/>
          <w:spacing w:val="-9"/>
          <w:sz w:val="22"/>
          <w:szCs w:val="22"/>
        </w:rPr>
        <w:t>一、ROO—</w:t>
      </w:r>
      <w:r>
        <w:rPr>
          <w:rFonts w:ascii="宋体" w:eastAsia="宋体" w:hAnsi="宋体" w:cs="宋体"/>
          <w:spacing w:val="36"/>
          <w:sz w:val="22"/>
          <w:szCs w:val="22"/>
        </w:rPr>
        <w:t xml:space="preserve"> </w:t>
      </w:r>
      <w:r>
        <w:rPr>
          <w:rFonts w:ascii="宋体" w:eastAsia="宋体" w:hAnsi="宋体" w:cs="宋体"/>
          <w:spacing w:val="-9"/>
          <w:sz w:val="22"/>
          <w:szCs w:val="22"/>
        </w:rPr>
        <w:t>与ROOH</w:t>
      </w:r>
      <w:r>
        <w:rPr>
          <w:rFonts w:ascii="宋体" w:eastAsia="宋体" w:hAnsi="宋体" w:cs="宋体"/>
          <w:spacing w:val="-10"/>
          <w:sz w:val="22"/>
          <w:szCs w:val="22"/>
        </w:rPr>
        <w:t>)</w:t>
      </w:r>
      <w:r>
        <w:rPr>
          <w:rFonts w:ascii="宋体" w:eastAsia="宋体" w:hAnsi="宋体" w:cs="宋体"/>
          <w:spacing w:val="48"/>
          <w:sz w:val="22"/>
          <w:szCs w:val="22"/>
        </w:rPr>
        <w:t xml:space="preserve">  </w:t>
      </w:r>
      <w:r>
        <w:rPr>
          <w:rFonts w:ascii="宋体" w:eastAsia="宋体" w:hAnsi="宋体" w:cs="宋体"/>
          <w:spacing w:val="-10"/>
          <w:sz w:val="22"/>
          <w:szCs w:val="22"/>
        </w:rPr>
        <w:t>等。绝大多数自</w:t>
      </w:r>
      <w:r>
        <w:rPr>
          <w:rFonts w:ascii="宋体" w:eastAsia="宋体" w:hAnsi="宋体" w:cs="宋体"/>
          <w:sz w:val="22"/>
          <w:szCs w:val="22"/>
        </w:rPr>
        <w:t xml:space="preserve">  </w:t>
      </w:r>
      <w:r>
        <w:rPr>
          <w:rFonts w:ascii="宋体" w:eastAsia="宋体" w:hAnsi="宋体" w:cs="宋体"/>
          <w:spacing w:val="-12"/>
          <w:sz w:val="22"/>
          <w:szCs w:val="22"/>
        </w:rPr>
        <w:t>由基生成后不稳定，容易与其他物质发生化学反应。当其与其</w:t>
      </w:r>
      <w:r>
        <w:rPr>
          <w:rFonts w:ascii="宋体" w:eastAsia="宋体" w:hAnsi="宋体" w:cs="宋体"/>
          <w:spacing w:val="-13"/>
          <w:sz w:val="22"/>
          <w:szCs w:val="22"/>
        </w:rPr>
        <w:t>他物质结合过程中</w:t>
      </w:r>
      <w:r>
        <w:rPr>
          <w:rFonts w:ascii="宋体" w:eastAsia="宋体" w:hAnsi="宋体" w:cs="宋体"/>
          <w:sz w:val="22"/>
          <w:szCs w:val="22"/>
        </w:rPr>
        <w:t xml:space="preserve"> </w:t>
      </w:r>
      <w:r>
        <w:rPr>
          <w:rFonts w:ascii="宋体" w:eastAsia="宋体" w:hAnsi="宋体" w:cs="宋体"/>
          <w:spacing w:val="-13"/>
          <w:sz w:val="22"/>
          <w:szCs w:val="22"/>
        </w:rPr>
        <w:t>得到或失去一个电子时，就变成稳定结构。细胞内适宜数量的自由基对生命是无</w:t>
      </w:r>
      <w:r>
        <w:rPr>
          <w:rFonts w:ascii="宋体" w:eastAsia="宋体" w:hAnsi="宋体" w:cs="宋体"/>
          <w:spacing w:val="6"/>
          <w:sz w:val="22"/>
          <w:szCs w:val="22"/>
        </w:rPr>
        <w:t xml:space="preserve">  </w:t>
      </w:r>
      <w:r>
        <w:rPr>
          <w:rFonts w:ascii="宋体" w:eastAsia="宋体" w:hAnsi="宋体" w:cs="宋体"/>
          <w:spacing w:val="-13"/>
          <w:sz w:val="22"/>
          <w:szCs w:val="22"/>
        </w:rPr>
        <w:t>害的，它们参与着信号传递等过程。高糖、高脂、低膳食纤维、营养不均衡以及</w:t>
      </w:r>
      <w:r>
        <w:rPr>
          <w:rFonts w:ascii="宋体" w:eastAsia="宋体" w:hAnsi="宋体" w:cs="宋体"/>
          <w:spacing w:val="7"/>
          <w:sz w:val="22"/>
          <w:szCs w:val="22"/>
        </w:rPr>
        <w:t xml:space="preserve">  </w:t>
      </w:r>
      <w:r>
        <w:rPr>
          <w:rFonts w:ascii="宋体" w:eastAsia="宋体" w:hAnsi="宋体" w:cs="宋体"/>
          <w:spacing w:val="-14"/>
          <w:sz w:val="22"/>
          <w:szCs w:val="22"/>
        </w:rPr>
        <w:t>有毒有害物质的摄入，将导致自由基生成增加</w:t>
      </w:r>
      <w:r>
        <w:rPr>
          <w:rFonts w:ascii="宋体" w:eastAsia="宋体" w:hAnsi="宋体" w:cs="宋体"/>
          <w:spacing w:val="-15"/>
          <w:sz w:val="22"/>
          <w:szCs w:val="22"/>
        </w:rPr>
        <w:t>，</w:t>
      </w:r>
      <w:r>
        <w:rPr>
          <w:rFonts w:ascii="宋体" w:eastAsia="宋体" w:hAnsi="宋体" w:cs="宋体"/>
          <w:spacing w:val="54"/>
          <w:sz w:val="22"/>
          <w:szCs w:val="22"/>
        </w:rPr>
        <w:t xml:space="preserve"> </w:t>
      </w:r>
      <w:r>
        <w:rPr>
          <w:rFonts w:ascii="宋体" w:eastAsia="宋体" w:hAnsi="宋体" w:cs="宋体"/>
          <w:spacing w:val="-15"/>
          <w:sz w:val="22"/>
          <w:szCs w:val="22"/>
        </w:rPr>
        <w:t>一旦自由基超出机体清除能力，</w:t>
      </w:r>
    </w:p>
    <w:p w:rsidR="00EA40A3" w:rsidRDefault="00E86C16">
      <w:pPr>
        <w:spacing w:before="74"/>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356</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1080" w:bottom="400" w:left="719" w:header="0" w:footer="0" w:gutter="0"/>
          <w:cols w:space="720"/>
        </w:sectPr>
      </w:pPr>
    </w:p>
    <w:p w:rsidR="00EA40A3" w:rsidRDefault="00EA40A3">
      <w:pPr>
        <w:spacing w:line="281" w:lineRule="auto"/>
      </w:pPr>
    </w:p>
    <w:p w:rsidR="00EA40A3" w:rsidRDefault="00EA40A3">
      <w:pPr>
        <w:spacing w:line="281" w:lineRule="auto"/>
      </w:pPr>
    </w:p>
    <w:p w:rsidR="00EA40A3" w:rsidRDefault="00E86C16">
      <w:pPr>
        <w:spacing w:before="72" w:line="219" w:lineRule="auto"/>
        <w:rPr>
          <w:rFonts w:ascii="宋体" w:eastAsia="宋体" w:hAnsi="宋体" w:cs="宋体"/>
          <w:sz w:val="22"/>
          <w:szCs w:val="22"/>
        </w:rPr>
      </w:pPr>
      <w:r>
        <w:rPr>
          <w:rFonts w:ascii="宋体" w:eastAsia="宋体" w:hAnsi="宋体" w:cs="宋体"/>
          <w:spacing w:val="-15"/>
          <w:sz w:val="22"/>
          <w:szCs w:val="22"/>
        </w:rPr>
        <w:t>就会造成机体氧化损伤，甚至导致疾病。</w:t>
      </w:r>
    </w:p>
    <w:p w:rsidR="00EA40A3" w:rsidRDefault="00E86C16">
      <w:pPr>
        <w:spacing w:before="31" w:line="254" w:lineRule="auto"/>
        <w:ind w:firstLine="430"/>
        <w:jc w:val="both"/>
        <w:rPr>
          <w:rFonts w:ascii="宋体" w:eastAsia="宋体" w:hAnsi="宋体" w:cs="宋体"/>
          <w:sz w:val="22"/>
          <w:szCs w:val="22"/>
        </w:rPr>
      </w:pPr>
      <w:r>
        <w:rPr>
          <w:rFonts w:ascii="宋体" w:eastAsia="宋体" w:hAnsi="宋体" w:cs="宋体"/>
          <w:spacing w:val="-14"/>
          <w:sz w:val="22"/>
          <w:szCs w:val="22"/>
        </w:rPr>
        <w:t>自由基对人体的损害主要使脂质过氧化而破坏细胞膜和内膜系统，质膜遭受</w:t>
      </w:r>
      <w:r>
        <w:rPr>
          <w:rFonts w:ascii="宋体" w:eastAsia="宋体" w:hAnsi="宋体" w:cs="宋体"/>
          <w:spacing w:val="4"/>
          <w:sz w:val="22"/>
          <w:szCs w:val="22"/>
        </w:rPr>
        <w:t xml:space="preserve">  </w:t>
      </w:r>
      <w:r>
        <w:rPr>
          <w:rFonts w:ascii="宋体" w:eastAsia="宋体" w:hAnsi="宋体" w:cs="宋体"/>
          <w:spacing w:val="-8"/>
          <w:sz w:val="22"/>
          <w:szCs w:val="22"/>
        </w:rPr>
        <w:t>自由基的攻击，便会失去弹性，可能引起血管内膜结构变化导致心血系统疾病</w:t>
      </w:r>
      <w:r>
        <w:rPr>
          <w:rFonts w:ascii="宋体" w:eastAsia="宋体" w:hAnsi="宋体" w:cs="宋体"/>
          <w:spacing w:val="7"/>
          <w:sz w:val="22"/>
          <w:szCs w:val="22"/>
        </w:rPr>
        <w:t xml:space="preserve">  </w:t>
      </w:r>
      <w:r>
        <w:rPr>
          <w:rFonts w:ascii="宋体" w:eastAsia="宋体" w:hAnsi="宋体" w:cs="宋体"/>
          <w:spacing w:val="-6"/>
          <w:sz w:val="22"/>
          <w:szCs w:val="22"/>
        </w:rPr>
        <w:t>等；对蛋白质(酶)巯基、甲硫基或色氨酸残基反应，</w:t>
      </w:r>
      <w:r>
        <w:rPr>
          <w:rFonts w:ascii="宋体" w:eastAsia="宋体" w:hAnsi="宋体" w:cs="宋体"/>
          <w:spacing w:val="-7"/>
          <w:sz w:val="22"/>
          <w:szCs w:val="22"/>
        </w:rPr>
        <w:t>引起蛋白质分子聚合和交</w:t>
      </w:r>
      <w:r>
        <w:rPr>
          <w:rFonts w:ascii="宋体" w:eastAsia="宋体" w:hAnsi="宋体" w:cs="宋体"/>
          <w:sz w:val="22"/>
          <w:szCs w:val="22"/>
        </w:rPr>
        <w:t xml:space="preserve">  </w:t>
      </w:r>
      <w:r>
        <w:rPr>
          <w:rFonts w:ascii="宋体" w:eastAsia="宋体" w:hAnsi="宋体" w:cs="宋体"/>
          <w:spacing w:val="-13"/>
          <w:sz w:val="22"/>
          <w:szCs w:val="22"/>
        </w:rPr>
        <w:t>联，导致蛋白质功能或酶活性丧失；破坏核酸的结构，攻击嘌呤与嘧啶碱基，导</w:t>
      </w:r>
      <w:r>
        <w:rPr>
          <w:rFonts w:ascii="宋体" w:eastAsia="宋体" w:hAnsi="宋体" w:cs="宋体"/>
          <w:spacing w:val="8"/>
          <w:sz w:val="22"/>
          <w:szCs w:val="22"/>
        </w:rPr>
        <w:t xml:space="preserve">  </w:t>
      </w:r>
      <w:r>
        <w:rPr>
          <w:rFonts w:ascii="宋体" w:eastAsia="宋体" w:hAnsi="宋体" w:cs="宋体"/>
          <w:spacing w:val="-13"/>
          <w:sz w:val="22"/>
          <w:szCs w:val="22"/>
        </w:rPr>
        <w:t>致碱基的改变、丢失，使基因表达异常、出现突变，从而引起整个生命发生系统</w:t>
      </w:r>
      <w:r>
        <w:rPr>
          <w:rFonts w:ascii="宋体" w:eastAsia="宋体" w:hAnsi="宋体" w:cs="宋体"/>
          <w:spacing w:val="6"/>
          <w:sz w:val="22"/>
          <w:szCs w:val="22"/>
        </w:rPr>
        <w:t xml:space="preserve">  </w:t>
      </w:r>
      <w:r>
        <w:rPr>
          <w:rFonts w:ascii="宋体" w:eastAsia="宋体" w:hAnsi="宋体" w:cs="宋体"/>
          <w:spacing w:val="-10"/>
          <w:sz w:val="22"/>
          <w:szCs w:val="22"/>
        </w:rPr>
        <w:t>性功能紊乱，出现衰老。研究表明，多种疾病的发生如消化道黏膜损伤性疾病、</w:t>
      </w:r>
      <w:r>
        <w:rPr>
          <w:rFonts w:ascii="宋体" w:eastAsia="宋体" w:hAnsi="宋体" w:cs="宋体"/>
          <w:spacing w:val="9"/>
          <w:sz w:val="22"/>
          <w:szCs w:val="22"/>
        </w:rPr>
        <w:t xml:space="preserve"> </w:t>
      </w:r>
      <w:r>
        <w:rPr>
          <w:rFonts w:ascii="宋体" w:eastAsia="宋体" w:hAnsi="宋体" w:cs="宋体"/>
          <w:spacing w:val="-15"/>
          <w:sz w:val="22"/>
          <w:szCs w:val="22"/>
        </w:rPr>
        <w:t>动脉粥样硬化、炎症、癌症等都与自由基氧化损伤有关。</w:t>
      </w:r>
    </w:p>
    <w:p w:rsidR="00EA40A3" w:rsidRDefault="00E86C16">
      <w:pPr>
        <w:spacing w:before="214" w:line="220" w:lineRule="auto"/>
        <w:ind w:left="3"/>
        <w:outlineLvl w:val="6"/>
        <w:rPr>
          <w:rFonts w:ascii="黑体" w:eastAsia="黑体" w:hAnsi="黑体" w:cs="黑体"/>
          <w:sz w:val="22"/>
          <w:szCs w:val="22"/>
        </w:rPr>
      </w:pPr>
      <w:r>
        <w:rPr>
          <w:rFonts w:ascii="黑体" w:eastAsia="黑体" w:hAnsi="黑体" w:cs="黑体"/>
          <w:b/>
          <w:bCs/>
          <w:spacing w:val="8"/>
          <w:sz w:val="22"/>
          <w:szCs w:val="22"/>
        </w:rPr>
        <w:t>11.2.2</w:t>
      </w:r>
      <w:r>
        <w:rPr>
          <w:rFonts w:ascii="黑体" w:eastAsia="黑体" w:hAnsi="黑体" w:cs="黑体"/>
          <w:spacing w:val="4"/>
          <w:sz w:val="22"/>
          <w:szCs w:val="22"/>
        </w:rPr>
        <w:t xml:space="preserve">   </w:t>
      </w:r>
      <w:r>
        <w:rPr>
          <w:rFonts w:ascii="黑体" w:eastAsia="黑体" w:hAnsi="黑体" w:cs="黑体"/>
          <w:b/>
          <w:bCs/>
          <w:spacing w:val="8"/>
          <w:sz w:val="22"/>
          <w:szCs w:val="22"/>
        </w:rPr>
        <w:t>自由基清除系统与天然食物抗氧化剂</w:t>
      </w:r>
    </w:p>
    <w:p w:rsidR="00EA40A3" w:rsidRDefault="00E86C16">
      <w:pPr>
        <w:spacing w:before="242" w:line="222" w:lineRule="auto"/>
        <w:rPr>
          <w:rFonts w:ascii="仿宋" w:eastAsia="仿宋" w:hAnsi="仿宋" w:cs="仿宋"/>
          <w:sz w:val="22"/>
          <w:szCs w:val="22"/>
        </w:rPr>
      </w:pPr>
      <w:r>
        <w:rPr>
          <w:rFonts w:ascii="仿宋" w:eastAsia="仿宋" w:hAnsi="仿宋" w:cs="仿宋"/>
          <w:spacing w:val="7"/>
          <w:sz w:val="22"/>
          <w:szCs w:val="22"/>
        </w:rPr>
        <w:t>1.</w:t>
      </w:r>
      <w:r>
        <w:rPr>
          <w:rFonts w:ascii="仿宋" w:eastAsia="仿宋" w:hAnsi="仿宋" w:cs="仿宋"/>
          <w:spacing w:val="3"/>
          <w:sz w:val="22"/>
          <w:szCs w:val="22"/>
        </w:rPr>
        <w:t xml:space="preserve"> </w:t>
      </w:r>
      <w:r>
        <w:rPr>
          <w:rFonts w:ascii="仿宋" w:eastAsia="仿宋" w:hAnsi="仿宋" w:cs="仿宋"/>
          <w:spacing w:val="7"/>
          <w:sz w:val="22"/>
          <w:szCs w:val="22"/>
        </w:rPr>
        <w:t>自由基清除系统</w:t>
      </w:r>
    </w:p>
    <w:p w:rsidR="00EA40A3" w:rsidRDefault="00E86C16">
      <w:pPr>
        <w:spacing w:before="203" w:line="249" w:lineRule="auto"/>
        <w:ind w:right="77" w:firstLine="430"/>
        <w:jc w:val="both"/>
        <w:rPr>
          <w:rFonts w:ascii="宋体" w:eastAsia="宋体" w:hAnsi="宋体" w:cs="宋体"/>
          <w:sz w:val="22"/>
          <w:szCs w:val="22"/>
        </w:rPr>
      </w:pPr>
      <w:r>
        <w:rPr>
          <w:rFonts w:ascii="宋体" w:eastAsia="宋体" w:hAnsi="宋体" w:cs="宋体"/>
          <w:spacing w:val="-14"/>
          <w:sz w:val="22"/>
          <w:szCs w:val="22"/>
        </w:rPr>
        <w:t>自由基对生物膜和其他组织造成累积性的损伤作用会导致机体衰老或一</w:t>
      </w:r>
      <w:r>
        <w:rPr>
          <w:rFonts w:ascii="宋体" w:eastAsia="宋体" w:hAnsi="宋体" w:cs="宋体"/>
          <w:spacing w:val="-15"/>
          <w:sz w:val="22"/>
          <w:szCs w:val="22"/>
        </w:rPr>
        <w:t>系列</w:t>
      </w:r>
      <w:r>
        <w:rPr>
          <w:rFonts w:ascii="宋体" w:eastAsia="宋体" w:hAnsi="宋体" w:cs="宋体"/>
          <w:sz w:val="22"/>
          <w:szCs w:val="22"/>
        </w:rPr>
        <w:t xml:space="preserve"> </w:t>
      </w:r>
      <w:r>
        <w:rPr>
          <w:rFonts w:ascii="宋体" w:eastAsia="宋体" w:hAnsi="宋体" w:cs="宋体"/>
          <w:spacing w:val="-12"/>
          <w:sz w:val="22"/>
          <w:szCs w:val="22"/>
        </w:rPr>
        <w:t>的病理过程。但在长期进化过程中，人体内本</w:t>
      </w:r>
      <w:r>
        <w:rPr>
          <w:rFonts w:ascii="宋体" w:eastAsia="宋体" w:hAnsi="宋体" w:cs="宋体"/>
          <w:spacing w:val="-13"/>
          <w:sz w:val="22"/>
          <w:szCs w:val="22"/>
        </w:rPr>
        <w:t>身具有平衡自由基或者清除多余自</w:t>
      </w:r>
      <w:r>
        <w:rPr>
          <w:rFonts w:ascii="宋体" w:eastAsia="宋体" w:hAnsi="宋体" w:cs="宋体"/>
          <w:sz w:val="22"/>
          <w:szCs w:val="22"/>
        </w:rPr>
        <w:t xml:space="preserve"> </w:t>
      </w:r>
      <w:r>
        <w:rPr>
          <w:rFonts w:ascii="宋体" w:eastAsia="宋体" w:hAnsi="宋体" w:cs="宋体"/>
          <w:spacing w:val="-13"/>
          <w:sz w:val="22"/>
          <w:szCs w:val="22"/>
        </w:rPr>
        <w:t>由基的能力，生命有机体内会产生能清除自由基的一些物质，它们统称自由基清</w:t>
      </w:r>
      <w:r>
        <w:rPr>
          <w:rFonts w:ascii="宋体" w:eastAsia="宋体" w:hAnsi="宋体" w:cs="宋体"/>
          <w:spacing w:val="14"/>
          <w:sz w:val="22"/>
          <w:szCs w:val="22"/>
        </w:rPr>
        <w:t xml:space="preserve"> </w:t>
      </w:r>
      <w:r>
        <w:rPr>
          <w:rFonts w:ascii="宋体" w:eastAsia="宋体" w:hAnsi="宋体" w:cs="宋体"/>
          <w:spacing w:val="-13"/>
          <w:sz w:val="22"/>
          <w:szCs w:val="22"/>
        </w:rPr>
        <w:t>除剂。人体内自由基清除系统，包括由酶类组成的第一道防线，如超氧化物歧化</w:t>
      </w:r>
      <w:r>
        <w:rPr>
          <w:rFonts w:ascii="宋体" w:eastAsia="宋体" w:hAnsi="宋体" w:cs="宋体"/>
          <w:spacing w:val="12"/>
          <w:sz w:val="22"/>
          <w:szCs w:val="22"/>
        </w:rPr>
        <w:t xml:space="preserve"> </w:t>
      </w:r>
      <w:r>
        <w:rPr>
          <w:rFonts w:ascii="宋体" w:eastAsia="宋体" w:hAnsi="宋体" w:cs="宋体"/>
          <w:spacing w:val="-12"/>
          <w:sz w:val="22"/>
          <w:szCs w:val="22"/>
        </w:rPr>
        <w:t>酶、过氧化氢酶、谷胱甘肽过氧化物酶；第二道防线是由低分子清除剂组成，拮</w:t>
      </w:r>
      <w:r>
        <w:rPr>
          <w:rFonts w:ascii="宋体" w:eastAsia="宋体" w:hAnsi="宋体" w:cs="宋体"/>
          <w:spacing w:val="1"/>
          <w:sz w:val="22"/>
          <w:szCs w:val="22"/>
        </w:rPr>
        <w:t xml:space="preserve"> </w:t>
      </w:r>
      <w:r>
        <w:rPr>
          <w:rFonts w:ascii="宋体" w:eastAsia="宋体" w:hAnsi="宋体" w:cs="宋体"/>
          <w:spacing w:val="-9"/>
          <w:sz w:val="22"/>
          <w:szCs w:val="22"/>
        </w:rPr>
        <w:t>抗氧化剂产生的细胞损伤，如辅酶Qo、</w:t>
      </w:r>
      <w:r>
        <w:rPr>
          <w:rFonts w:ascii="宋体" w:eastAsia="宋体" w:hAnsi="宋体" w:cs="宋体"/>
          <w:spacing w:val="34"/>
          <w:sz w:val="22"/>
          <w:szCs w:val="22"/>
        </w:rPr>
        <w:t xml:space="preserve"> </w:t>
      </w:r>
      <w:r>
        <w:rPr>
          <w:rFonts w:ascii="宋体" w:eastAsia="宋体" w:hAnsi="宋体" w:cs="宋体"/>
          <w:spacing w:val="-9"/>
          <w:sz w:val="22"/>
          <w:szCs w:val="22"/>
        </w:rPr>
        <w:t>谷胱甘肽、维生</w:t>
      </w:r>
      <w:r>
        <w:rPr>
          <w:rFonts w:ascii="宋体" w:eastAsia="宋体" w:hAnsi="宋体" w:cs="宋体"/>
          <w:spacing w:val="-10"/>
          <w:sz w:val="22"/>
          <w:szCs w:val="22"/>
        </w:rPr>
        <w:t>素E、</w:t>
      </w:r>
      <w:r>
        <w:rPr>
          <w:rFonts w:ascii="宋体" w:eastAsia="宋体" w:hAnsi="宋体" w:cs="宋体"/>
          <w:spacing w:val="-41"/>
          <w:sz w:val="22"/>
          <w:szCs w:val="22"/>
        </w:rPr>
        <w:t xml:space="preserve"> </w:t>
      </w:r>
      <w:r>
        <w:rPr>
          <w:rFonts w:ascii="宋体" w:eastAsia="宋体" w:hAnsi="宋体" w:cs="宋体"/>
          <w:spacing w:val="-10"/>
          <w:sz w:val="22"/>
          <w:szCs w:val="22"/>
        </w:rPr>
        <w:t>胡萝卜素、半胱</w:t>
      </w:r>
      <w:r>
        <w:rPr>
          <w:rFonts w:ascii="宋体" w:eastAsia="宋体" w:hAnsi="宋体" w:cs="宋体"/>
          <w:sz w:val="22"/>
          <w:szCs w:val="22"/>
        </w:rPr>
        <w:t xml:space="preserve"> </w:t>
      </w:r>
      <w:r>
        <w:rPr>
          <w:rFonts w:ascii="宋体" w:eastAsia="宋体" w:hAnsi="宋体" w:cs="宋体"/>
          <w:spacing w:val="-9"/>
          <w:sz w:val="22"/>
          <w:szCs w:val="22"/>
        </w:rPr>
        <w:t>氨酸、巯基化合物等；第三道防线是利用DNA</w:t>
      </w:r>
      <w:r>
        <w:rPr>
          <w:rFonts w:ascii="宋体" w:eastAsia="宋体" w:hAnsi="宋体" w:cs="宋体"/>
          <w:spacing w:val="100"/>
          <w:sz w:val="22"/>
          <w:szCs w:val="22"/>
        </w:rPr>
        <w:t xml:space="preserve"> </w:t>
      </w:r>
      <w:r>
        <w:rPr>
          <w:rFonts w:ascii="宋体" w:eastAsia="宋体" w:hAnsi="宋体" w:cs="宋体"/>
          <w:spacing w:val="-9"/>
          <w:sz w:val="22"/>
          <w:szCs w:val="22"/>
        </w:rPr>
        <w:t>和蛋白质的修复、蛋白质巯基的</w:t>
      </w:r>
      <w:r>
        <w:rPr>
          <w:rFonts w:ascii="宋体" w:eastAsia="宋体" w:hAnsi="宋体" w:cs="宋体"/>
          <w:sz w:val="22"/>
          <w:szCs w:val="22"/>
        </w:rPr>
        <w:t xml:space="preserve"> </w:t>
      </w:r>
      <w:r>
        <w:rPr>
          <w:rFonts w:ascii="宋体" w:eastAsia="宋体" w:hAnsi="宋体" w:cs="宋体"/>
          <w:spacing w:val="-9"/>
          <w:sz w:val="22"/>
          <w:szCs w:val="22"/>
        </w:rPr>
        <w:t>还原、黏膜</w:t>
      </w:r>
      <w:r>
        <w:rPr>
          <w:rFonts w:ascii="宋体" w:eastAsia="宋体" w:hAnsi="宋体" w:cs="宋体"/>
          <w:spacing w:val="-50"/>
          <w:sz w:val="22"/>
          <w:szCs w:val="22"/>
        </w:rPr>
        <w:t xml:space="preserve"> </w:t>
      </w:r>
      <w:r>
        <w:rPr>
          <w:rFonts w:ascii="宋体" w:eastAsia="宋体" w:hAnsi="宋体" w:cs="宋体"/>
          <w:spacing w:val="-9"/>
          <w:sz w:val="22"/>
          <w:szCs w:val="22"/>
        </w:rPr>
        <w:t>ATP</w:t>
      </w:r>
      <w:r>
        <w:rPr>
          <w:rFonts w:ascii="宋体" w:eastAsia="宋体" w:hAnsi="宋体" w:cs="宋体"/>
          <w:spacing w:val="51"/>
          <w:sz w:val="22"/>
          <w:szCs w:val="22"/>
        </w:rPr>
        <w:t xml:space="preserve"> </w:t>
      </w:r>
      <w:r>
        <w:rPr>
          <w:rFonts w:ascii="宋体" w:eastAsia="宋体" w:hAnsi="宋体" w:cs="宋体"/>
          <w:spacing w:val="-9"/>
          <w:sz w:val="22"/>
          <w:szCs w:val="22"/>
        </w:rPr>
        <w:t>的恢复及细胞内Ca²+的减少来拮抗氧自由基。然而，随着年</w:t>
      </w:r>
      <w:r>
        <w:rPr>
          <w:rFonts w:ascii="宋体" w:eastAsia="宋体" w:hAnsi="宋体" w:cs="宋体"/>
          <w:spacing w:val="-10"/>
          <w:sz w:val="22"/>
          <w:szCs w:val="22"/>
        </w:rPr>
        <w:t>龄</w:t>
      </w:r>
      <w:r>
        <w:rPr>
          <w:rFonts w:ascii="宋体" w:eastAsia="宋体" w:hAnsi="宋体" w:cs="宋体"/>
          <w:sz w:val="22"/>
          <w:szCs w:val="22"/>
        </w:rPr>
        <w:t xml:space="preserve"> </w:t>
      </w:r>
      <w:r>
        <w:rPr>
          <w:rFonts w:ascii="宋体" w:eastAsia="宋体" w:hAnsi="宋体" w:cs="宋体"/>
          <w:spacing w:val="-13"/>
          <w:sz w:val="22"/>
          <w:szCs w:val="22"/>
        </w:rPr>
        <w:t>增加，大多数人群的机体内产生自由基清除剂的能力逐渐下降，从而削弱了对自</w:t>
      </w:r>
      <w:r>
        <w:rPr>
          <w:rFonts w:ascii="宋体" w:eastAsia="宋体" w:hAnsi="宋体" w:cs="宋体"/>
          <w:spacing w:val="18"/>
          <w:sz w:val="22"/>
          <w:szCs w:val="22"/>
        </w:rPr>
        <w:t xml:space="preserve"> </w:t>
      </w:r>
      <w:r>
        <w:rPr>
          <w:rFonts w:ascii="宋体" w:eastAsia="宋体" w:hAnsi="宋体" w:cs="宋体"/>
          <w:spacing w:val="-13"/>
          <w:sz w:val="22"/>
          <w:szCs w:val="22"/>
        </w:rPr>
        <w:t>由基损害的防御能力。通过膳食给予自由基清除剂，防御自由基的损害，可以达</w:t>
      </w:r>
      <w:r>
        <w:rPr>
          <w:rFonts w:ascii="宋体" w:eastAsia="宋体" w:hAnsi="宋体" w:cs="宋体"/>
          <w:spacing w:val="12"/>
          <w:sz w:val="22"/>
          <w:szCs w:val="22"/>
        </w:rPr>
        <w:t xml:space="preserve"> </w:t>
      </w:r>
      <w:r>
        <w:rPr>
          <w:rFonts w:ascii="宋体" w:eastAsia="宋体" w:hAnsi="宋体" w:cs="宋体"/>
          <w:spacing w:val="-16"/>
          <w:sz w:val="22"/>
          <w:szCs w:val="22"/>
        </w:rPr>
        <w:t>到抵抗疾病、延缓衰老的目的。</w:t>
      </w:r>
    </w:p>
    <w:p w:rsidR="00EA40A3" w:rsidRDefault="00E86C16">
      <w:pPr>
        <w:spacing w:before="295" w:line="221"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8"/>
          <w:sz w:val="22"/>
          <w:szCs w:val="22"/>
        </w:rPr>
        <w:t xml:space="preserve"> </w:t>
      </w:r>
      <w:r>
        <w:rPr>
          <w:rFonts w:ascii="仿宋" w:eastAsia="仿宋" w:hAnsi="仿宋" w:cs="仿宋"/>
          <w:spacing w:val="11"/>
          <w:sz w:val="22"/>
          <w:szCs w:val="22"/>
        </w:rPr>
        <w:t>天然食物抗氧化剂</w:t>
      </w:r>
    </w:p>
    <w:p w:rsidR="00EA40A3" w:rsidRDefault="00E86C16">
      <w:pPr>
        <w:spacing w:before="207" w:line="246" w:lineRule="auto"/>
        <w:ind w:right="80" w:firstLine="430"/>
        <w:rPr>
          <w:rFonts w:ascii="宋体" w:eastAsia="宋体" w:hAnsi="宋体" w:cs="宋体"/>
          <w:sz w:val="22"/>
          <w:szCs w:val="22"/>
        </w:rPr>
      </w:pPr>
      <w:r>
        <w:rPr>
          <w:rFonts w:ascii="宋体" w:eastAsia="宋体" w:hAnsi="宋体" w:cs="宋体"/>
          <w:spacing w:val="-10"/>
          <w:sz w:val="22"/>
          <w:szCs w:val="22"/>
        </w:rPr>
        <w:t>食物中的抗氧化物质包括：维生素C、</w:t>
      </w:r>
      <w:r>
        <w:rPr>
          <w:rFonts w:ascii="宋体" w:eastAsia="宋体" w:hAnsi="宋体" w:cs="宋体"/>
          <w:spacing w:val="-41"/>
          <w:sz w:val="22"/>
          <w:szCs w:val="22"/>
        </w:rPr>
        <w:t xml:space="preserve"> </w:t>
      </w:r>
      <w:r>
        <w:rPr>
          <w:rFonts w:ascii="宋体" w:eastAsia="宋体" w:hAnsi="宋体" w:cs="宋体"/>
          <w:spacing w:val="-10"/>
          <w:sz w:val="22"/>
          <w:szCs w:val="22"/>
        </w:rPr>
        <w:t>维生素E、</w:t>
      </w:r>
      <w:r>
        <w:rPr>
          <w:rFonts w:ascii="宋体" w:eastAsia="宋体" w:hAnsi="宋体" w:cs="宋体"/>
          <w:spacing w:val="-41"/>
          <w:sz w:val="22"/>
          <w:szCs w:val="22"/>
        </w:rPr>
        <w:t xml:space="preserve"> </w:t>
      </w:r>
      <w:r>
        <w:rPr>
          <w:rFonts w:ascii="宋体" w:eastAsia="宋体" w:hAnsi="宋体" w:cs="宋体"/>
          <w:spacing w:val="-10"/>
          <w:sz w:val="22"/>
          <w:szCs w:val="22"/>
        </w:rPr>
        <w:t>硫辛酸、β胡萝卜素、生</w:t>
      </w:r>
      <w:r>
        <w:rPr>
          <w:rFonts w:ascii="宋体" w:eastAsia="宋体" w:hAnsi="宋体" w:cs="宋体"/>
          <w:sz w:val="22"/>
          <w:szCs w:val="22"/>
        </w:rPr>
        <w:t xml:space="preserve"> </w:t>
      </w:r>
      <w:r>
        <w:rPr>
          <w:rFonts w:ascii="宋体" w:eastAsia="宋体" w:hAnsi="宋体" w:cs="宋体"/>
          <w:spacing w:val="-13"/>
          <w:sz w:val="22"/>
          <w:szCs w:val="22"/>
        </w:rPr>
        <w:t>物黄酮类、植物酚酸、多酚类、姜黄色素、花青素等。酶的防御作用仅限于细胞</w:t>
      </w:r>
      <w:r>
        <w:rPr>
          <w:rFonts w:ascii="宋体" w:eastAsia="宋体" w:hAnsi="宋体" w:cs="宋体"/>
          <w:spacing w:val="12"/>
          <w:sz w:val="22"/>
          <w:szCs w:val="22"/>
        </w:rPr>
        <w:t xml:space="preserve"> </w:t>
      </w:r>
      <w:r>
        <w:rPr>
          <w:rFonts w:ascii="宋体" w:eastAsia="宋体" w:hAnsi="宋体" w:cs="宋体"/>
          <w:spacing w:val="-13"/>
          <w:sz w:val="22"/>
          <w:szCs w:val="22"/>
        </w:rPr>
        <w:t>内，而被吸收进入体内的抗氧化剂有些作用于细胞内，有些则是在细胞外起到防</w:t>
      </w:r>
      <w:r>
        <w:rPr>
          <w:rFonts w:ascii="宋体" w:eastAsia="宋体" w:hAnsi="宋体" w:cs="宋体"/>
          <w:spacing w:val="15"/>
          <w:sz w:val="22"/>
          <w:szCs w:val="22"/>
        </w:rPr>
        <w:t xml:space="preserve"> </w:t>
      </w:r>
      <w:r>
        <w:rPr>
          <w:rFonts w:ascii="宋体" w:eastAsia="宋体" w:hAnsi="宋体" w:cs="宋体"/>
          <w:spacing w:val="-12"/>
          <w:sz w:val="22"/>
          <w:szCs w:val="22"/>
        </w:rPr>
        <w:t>御作用。这些物质在体内数量和活力的保持，有利于清除多余自由</w:t>
      </w:r>
      <w:r>
        <w:rPr>
          <w:rFonts w:ascii="宋体" w:eastAsia="宋体" w:hAnsi="宋体" w:cs="宋体"/>
          <w:spacing w:val="-13"/>
          <w:sz w:val="22"/>
          <w:szCs w:val="22"/>
        </w:rPr>
        <w:t>基，保持自由</w:t>
      </w:r>
      <w:r>
        <w:rPr>
          <w:rFonts w:ascii="宋体" w:eastAsia="宋体" w:hAnsi="宋体" w:cs="宋体"/>
          <w:sz w:val="22"/>
          <w:szCs w:val="22"/>
        </w:rPr>
        <w:t xml:space="preserve"> </w:t>
      </w:r>
      <w:r>
        <w:rPr>
          <w:rFonts w:ascii="宋体" w:eastAsia="宋体" w:hAnsi="宋体" w:cs="宋体"/>
          <w:spacing w:val="-21"/>
          <w:sz w:val="22"/>
          <w:szCs w:val="22"/>
        </w:rPr>
        <w:t>基平衡，</w:t>
      </w:r>
    </w:p>
    <w:p w:rsidR="00EA40A3" w:rsidRDefault="00E86C16">
      <w:pPr>
        <w:spacing w:before="87" w:line="235" w:lineRule="auto"/>
        <w:ind w:right="100" w:firstLine="430"/>
        <w:rPr>
          <w:rFonts w:ascii="宋体" w:eastAsia="宋体" w:hAnsi="宋体" w:cs="宋体"/>
          <w:sz w:val="22"/>
          <w:szCs w:val="22"/>
        </w:rPr>
      </w:pPr>
      <w:r>
        <w:rPr>
          <w:rFonts w:ascii="宋体" w:eastAsia="宋体" w:hAnsi="宋体" w:cs="宋体"/>
          <w:spacing w:val="-6"/>
          <w:sz w:val="22"/>
          <w:szCs w:val="22"/>
        </w:rPr>
        <w:t>(1)维生素E</w:t>
      </w:r>
      <w:r>
        <w:rPr>
          <w:rFonts w:ascii="宋体" w:eastAsia="宋体" w:hAnsi="宋体" w:cs="宋体"/>
          <w:spacing w:val="-8"/>
          <w:sz w:val="22"/>
          <w:szCs w:val="22"/>
        </w:rPr>
        <w:t xml:space="preserve"> </w:t>
      </w:r>
      <w:r>
        <w:rPr>
          <w:rFonts w:ascii="宋体" w:eastAsia="宋体" w:hAnsi="宋体" w:cs="宋体"/>
          <w:spacing w:val="-6"/>
          <w:sz w:val="22"/>
          <w:szCs w:val="22"/>
        </w:rPr>
        <w:t>中的α-生育酚能够保护细胞膜上多不饱和脂肪酸不受自由基</w:t>
      </w:r>
      <w:r>
        <w:rPr>
          <w:rFonts w:ascii="宋体" w:eastAsia="宋体" w:hAnsi="宋体" w:cs="宋体"/>
          <w:sz w:val="22"/>
          <w:szCs w:val="22"/>
        </w:rPr>
        <w:t xml:space="preserve"> </w:t>
      </w:r>
      <w:r>
        <w:rPr>
          <w:rFonts w:ascii="宋体" w:eastAsia="宋体" w:hAnsi="宋体" w:cs="宋体"/>
          <w:spacing w:val="-15"/>
          <w:sz w:val="22"/>
          <w:szCs w:val="22"/>
        </w:rPr>
        <w:t>氧化破坏，防治血管内壁上胆固醇的沉积。</w:t>
      </w:r>
    </w:p>
    <w:p w:rsidR="00EA40A3" w:rsidRDefault="00E86C16">
      <w:pPr>
        <w:spacing w:before="42" w:line="241" w:lineRule="auto"/>
        <w:ind w:right="83" w:firstLine="430"/>
        <w:rPr>
          <w:rFonts w:ascii="宋体" w:eastAsia="宋体" w:hAnsi="宋体" w:cs="宋体"/>
          <w:sz w:val="22"/>
          <w:szCs w:val="22"/>
        </w:rPr>
      </w:pPr>
      <w:r>
        <w:rPr>
          <w:rFonts w:ascii="宋体" w:eastAsia="宋体" w:hAnsi="宋体" w:cs="宋体"/>
          <w:spacing w:val="-1"/>
          <w:sz w:val="22"/>
          <w:szCs w:val="22"/>
        </w:rPr>
        <w:t>(2)维生素C</w:t>
      </w:r>
      <w:r>
        <w:rPr>
          <w:rFonts w:ascii="宋体" w:eastAsia="宋体" w:hAnsi="宋体" w:cs="宋体"/>
          <w:spacing w:val="-24"/>
          <w:sz w:val="22"/>
          <w:szCs w:val="22"/>
        </w:rPr>
        <w:t xml:space="preserve"> </w:t>
      </w:r>
      <w:r>
        <w:rPr>
          <w:rFonts w:ascii="宋体" w:eastAsia="宋体" w:hAnsi="宋体" w:cs="宋体"/>
          <w:spacing w:val="-1"/>
          <w:sz w:val="22"/>
          <w:szCs w:val="22"/>
        </w:rPr>
        <w:t>具有与维生素E</w:t>
      </w:r>
      <w:r>
        <w:rPr>
          <w:rFonts w:ascii="宋体" w:eastAsia="宋体" w:hAnsi="宋体" w:cs="宋体"/>
          <w:spacing w:val="-14"/>
          <w:sz w:val="22"/>
          <w:szCs w:val="22"/>
        </w:rPr>
        <w:t xml:space="preserve"> </w:t>
      </w:r>
      <w:r>
        <w:rPr>
          <w:rFonts w:ascii="宋体" w:eastAsia="宋体" w:hAnsi="宋体" w:cs="宋体"/>
          <w:spacing w:val="-1"/>
          <w:sz w:val="22"/>
          <w:szCs w:val="22"/>
        </w:rPr>
        <w:t>相似的作用，只是水溶性的维生素C</w:t>
      </w:r>
      <w:r>
        <w:rPr>
          <w:rFonts w:ascii="宋体" w:eastAsia="宋体" w:hAnsi="宋体" w:cs="宋体"/>
          <w:spacing w:val="-13"/>
          <w:sz w:val="22"/>
          <w:szCs w:val="22"/>
        </w:rPr>
        <w:t xml:space="preserve"> </w:t>
      </w:r>
      <w:r>
        <w:rPr>
          <w:rFonts w:ascii="宋体" w:eastAsia="宋体" w:hAnsi="宋体" w:cs="宋体"/>
          <w:spacing w:val="-1"/>
          <w:sz w:val="22"/>
          <w:szCs w:val="22"/>
        </w:rPr>
        <w:t>与脂溶</w:t>
      </w:r>
      <w:r>
        <w:rPr>
          <w:rFonts w:ascii="宋体" w:eastAsia="宋体" w:hAnsi="宋体" w:cs="宋体"/>
          <w:sz w:val="22"/>
          <w:szCs w:val="22"/>
        </w:rPr>
        <w:t xml:space="preserve"> </w:t>
      </w:r>
      <w:r>
        <w:rPr>
          <w:rFonts w:ascii="宋体" w:eastAsia="宋体" w:hAnsi="宋体" w:cs="宋体"/>
          <w:spacing w:val="-6"/>
          <w:sz w:val="22"/>
          <w:szCs w:val="22"/>
        </w:rPr>
        <w:t>性的维生素E</w:t>
      </w:r>
      <w:r>
        <w:rPr>
          <w:rFonts w:ascii="宋体" w:eastAsia="宋体" w:hAnsi="宋体" w:cs="宋体"/>
          <w:spacing w:val="-5"/>
          <w:sz w:val="22"/>
          <w:szCs w:val="22"/>
        </w:rPr>
        <w:t xml:space="preserve"> </w:t>
      </w:r>
      <w:r>
        <w:rPr>
          <w:rFonts w:ascii="宋体" w:eastAsia="宋体" w:hAnsi="宋体" w:cs="宋体"/>
          <w:spacing w:val="-6"/>
          <w:sz w:val="22"/>
          <w:szCs w:val="22"/>
        </w:rPr>
        <w:t>的作用场所不同，维生素C</w:t>
      </w:r>
      <w:r>
        <w:rPr>
          <w:rFonts w:ascii="宋体" w:eastAsia="宋体" w:hAnsi="宋体" w:cs="宋体"/>
          <w:spacing w:val="-13"/>
          <w:sz w:val="22"/>
          <w:szCs w:val="22"/>
        </w:rPr>
        <w:t xml:space="preserve"> </w:t>
      </w:r>
      <w:r>
        <w:rPr>
          <w:rFonts w:ascii="宋体" w:eastAsia="宋体" w:hAnsi="宋体" w:cs="宋体"/>
          <w:spacing w:val="-6"/>
          <w:sz w:val="22"/>
          <w:szCs w:val="22"/>
        </w:rPr>
        <w:t>可使水中自由基猝灭，在防止膜受攻</w:t>
      </w:r>
      <w:r>
        <w:rPr>
          <w:rFonts w:ascii="宋体" w:eastAsia="宋体" w:hAnsi="宋体" w:cs="宋体"/>
          <w:sz w:val="22"/>
          <w:szCs w:val="22"/>
        </w:rPr>
        <w:t xml:space="preserve"> </w:t>
      </w:r>
      <w:r>
        <w:rPr>
          <w:rFonts w:ascii="宋体" w:eastAsia="宋体" w:hAnsi="宋体" w:cs="宋体"/>
          <w:spacing w:val="-16"/>
          <w:sz w:val="22"/>
          <w:szCs w:val="22"/>
        </w:rPr>
        <w:t>击上有重要意义。</w:t>
      </w:r>
    </w:p>
    <w:p w:rsidR="00EA40A3" w:rsidRDefault="00E86C16">
      <w:pPr>
        <w:spacing w:before="35" w:line="219" w:lineRule="auto"/>
        <w:ind w:left="430"/>
        <w:rPr>
          <w:rFonts w:ascii="宋体" w:eastAsia="宋体" w:hAnsi="宋体" w:cs="宋体"/>
          <w:sz w:val="22"/>
          <w:szCs w:val="22"/>
        </w:rPr>
      </w:pPr>
      <w:r>
        <w:rPr>
          <w:rFonts w:ascii="宋体" w:eastAsia="宋体" w:hAnsi="宋体" w:cs="宋体"/>
          <w:spacing w:val="-4"/>
          <w:sz w:val="22"/>
          <w:szCs w:val="22"/>
        </w:rPr>
        <w:t>(3)硫辛酸</w:t>
      </w:r>
      <w:r>
        <w:rPr>
          <w:rFonts w:ascii="宋体" w:eastAsia="宋体" w:hAnsi="宋体" w:cs="宋体"/>
          <w:spacing w:val="-8"/>
          <w:sz w:val="22"/>
          <w:szCs w:val="22"/>
        </w:rPr>
        <w:t xml:space="preserve"> </w:t>
      </w:r>
      <w:r>
        <w:rPr>
          <w:rFonts w:ascii="宋体" w:eastAsia="宋体" w:hAnsi="宋体" w:cs="宋体"/>
          <w:spacing w:val="-4"/>
          <w:sz w:val="22"/>
          <w:szCs w:val="22"/>
        </w:rPr>
        <w:t>(LA)</w:t>
      </w:r>
      <w:r>
        <w:rPr>
          <w:rFonts w:ascii="宋体" w:eastAsia="宋体" w:hAnsi="宋体" w:cs="宋体"/>
          <w:spacing w:val="48"/>
          <w:sz w:val="22"/>
          <w:szCs w:val="22"/>
        </w:rPr>
        <w:t xml:space="preserve"> </w:t>
      </w:r>
      <w:r>
        <w:rPr>
          <w:rFonts w:ascii="宋体" w:eastAsia="宋体" w:hAnsi="宋体" w:cs="宋体"/>
          <w:spacing w:val="-4"/>
          <w:sz w:val="22"/>
          <w:szCs w:val="22"/>
        </w:rPr>
        <w:t>是一种已知最强的天然抗氧剂，能够再生内源性抗氧化</w:t>
      </w:r>
    </w:p>
    <w:p w:rsidR="00EA40A3" w:rsidRDefault="00EA40A3">
      <w:pPr>
        <w:sectPr w:rsidR="00EA40A3">
          <w:footerReference w:type="default" r:id="rId294"/>
          <w:pgSz w:w="9220" w:h="13360"/>
          <w:pgMar w:top="400" w:right="919" w:bottom="1227" w:left="939" w:header="0" w:footer="1019" w:gutter="0"/>
          <w:cols w:space="720"/>
        </w:sectPr>
      </w:pPr>
    </w:p>
    <w:p w:rsidR="00EA40A3" w:rsidRDefault="00EA40A3">
      <w:pPr>
        <w:spacing w:line="274" w:lineRule="auto"/>
      </w:pPr>
    </w:p>
    <w:p w:rsidR="00EA40A3" w:rsidRDefault="00EA40A3">
      <w:pPr>
        <w:spacing w:line="274" w:lineRule="auto"/>
      </w:pPr>
    </w:p>
    <w:p w:rsidR="00EA40A3" w:rsidRDefault="00E86C16">
      <w:pPr>
        <w:spacing w:before="71" w:line="249" w:lineRule="auto"/>
        <w:jc w:val="both"/>
        <w:rPr>
          <w:rFonts w:ascii="宋体" w:eastAsia="宋体" w:hAnsi="宋体" w:cs="宋体"/>
          <w:sz w:val="22"/>
          <w:szCs w:val="22"/>
        </w:rPr>
      </w:pPr>
      <w:r>
        <w:rPr>
          <w:rFonts w:ascii="宋体" w:eastAsia="宋体" w:hAnsi="宋体" w:cs="宋体"/>
          <w:spacing w:val="-7"/>
          <w:sz w:val="22"/>
          <w:szCs w:val="22"/>
        </w:rPr>
        <w:t>剂，如维生素E、</w:t>
      </w:r>
      <w:r>
        <w:rPr>
          <w:rFonts w:ascii="宋体" w:eastAsia="宋体" w:hAnsi="宋体" w:cs="宋体"/>
          <w:spacing w:val="-42"/>
          <w:sz w:val="22"/>
          <w:szCs w:val="22"/>
        </w:rPr>
        <w:t xml:space="preserve"> </w:t>
      </w:r>
      <w:r>
        <w:rPr>
          <w:rFonts w:ascii="宋体" w:eastAsia="宋体" w:hAnsi="宋体" w:cs="宋体"/>
          <w:spacing w:val="-7"/>
          <w:sz w:val="22"/>
          <w:szCs w:val="22"/>
        </w:rPr>
        <w:t>维生素C、</w:t>
      </w:r>
      <w:r>
        <w:rPr>
          <w:rFonts w:ascii="宋体" w:eastAsia="宋体" w:hAnsi="宋体" w:cs="宋体"/>
          <w:spacing w:val="-51"/>
          <w:sz w:val="22"/>
          <w:szCs w:val="22"/>
        </w:rPr>
        <w:t xml:space="preserve"> </w:t>
      </w:r>
      <w:r>
        <w:rPr>
          <w:rFonts w:ascii="宋体" w:eastAsia="宋体" w:hAnsi="宋体" w:cs="宋体"/>
          <w:spacing w:val="-7"/>
          <w:sz w:val="22"/>
          <w:szCs w:val="22"/>
        </w:rPr>
        <w:t>辅酶Qo、</w:t>
      </w:r>
      <w:r>
        <w:rPr>
          <w:rFonts w:ascii="宋体" w:eastAsia="宋体" w:hAnsi="宋体" w:cs="宋体"/>
          <w:spacing w:val="35"/>
          <w:sz w:val="22"/>
          <w:szCs w:val="22"/>
        </w:rPr>
        <w:t xml:space="preserve"> </w:t>
      </w:r>
      <w:r>
        <w:rPr>
          <w:rFonts w:ascii="宋体" w:eastAsia="宋体" w:hAnsi="宋体" w:cs="宋体"/>
          <w:spacing w:val="-7"/>
          <w:sz w:val="22"/>
          <w:szCs w:val="22"/>
        </w:rPr>
        <w:t>谷胱甘肽</w:t>
      </w:r>
      <w:r>
        <w:rPr>
          <w:rFonts w:ascii="宋体" w:eastAsia="宋体" w:hAnsi="宋体" w:cs="宋体"/>
          <w:spacing w:val="-40"/>
          <w:sz w:val="22"/>
          <w:szCs w:val="22"/>
        </w:rPr>
        <w:t xml:space="preserve"> </w:t>
      </w:r>
      <w:r>
        <w:rPr>
          <w:rFonts w:ascii="宋体" w:eastAsia="宋体" w:hAnsi="宋体" w:cs="宋体"/>
          <w:spacing w:val="-7"/>
          <w:sz w:val="22"/>
          <w:szCs w:val="22"/>
        </w:rPr>
        <w:t>(glutathione,GSH)</w:t>
      </w:r>
      <w:r>
        <w:rPr>
          <w:rFonts w:ascii="宋体" w:eastAsia="宋体" w:hAnsi="宋体" w:cs="宋体"/>
          <w:spacing w:val="37"/>
          <w:sz w:val="22"/>
          <w:szCs w:val="22"/>
        </w:rPr>
        <w:t xml:space="preserve"> </w:t>
      </w:r>
      <w:r>
        <w:rPr>
          <w:rFonts w:ascii="宋体" w:eastAsia="宋体" w:hAnsi="宋体" w:cs="宋体"/>
          <w:spacing w:val="-7"/>
          <w:sz w:val="22"/>
          <w:szCs w:val="22"/>
        </w:rPr>
        <w:t>以及</w:t>
      </w:r>
      <w:r>
        <w:rPr>
          <w:rFonts w:ascii="宋体" w:eastAsia="宋体" w:hAnsi="宋体" w:cs="宋体"/>
          <w:spacing w:val="-56"/>
          <w:sz w:val="22"/>
          <w:szCs w:val="22"/>
        </w:rPr>
        <w:t xml:space="preserve"> </w:t>
      </w:r>
      <w:r>
        <w:rPr>
          <w:rFonts w:ascii="宋体" w:eastAsia="宋体" w:hAnsi="宋体" w:cs="宋体"/>
          <w:spacing w:val="-7"/>
          <w:sz w:val="22"/>
          <w:szCs w:val="22"/>
        </w:rPr>
        <w:t>LA</w:t>
      </w:r>
      <w:r>
        <w:rPr>
          <w:rFonts w:ascii="宋体" w:eastAsia="宋体" w:hAnsi="宋体" w:cs="宋体"/>
          <w:sz w:val="22"/>
          <w:szCs w:val="22"/>
        </w:rPr>
        <w:t xml:space="preserve">  </w:t>
      </w:r>
      <w:r>
        <w:rPr>
          <w:rFonts w:ascii="宋体" w:eastAsia="宋体" w:hAnsi="宋体" w:cs="宋体"/>
          <w:spacing w:val="-3"/>
          <w:sz w:val="22"/>
          <w:szCs w:val="22"/>
        </w:rPr>
        <w:t>本身，被称为“抗氧化剂的抗氧化剂”。研究表明，</w:t>
      </w:r>
      <w:r>
        <w:rPr>
          <w:rFonts w:ascii="宋体" w:eastAsia="宋体" w:hAnsi="宋体" w:cs="宋体"/>
          <w:spacing w:val="30"/>
          <w:sz w:val="22"/>
          <w:szCs w:val="22"/>
        </w:rPr>
        <w:t xml:space="preserve"> </w:t>
      </w:r>
      <w:r>
        <w:rPr>
          <w:rFonts w:ascii="宋体" w:eastAsia="宋体" w:hAnsi="宋体" w:cs="宋体"/>
          <w:spacing w:val="-3"/>
          <w:sz w:val="22"/>
          <w:szCs w:val="22"/>
        </w:rPr>
        <w:t>LA</w:t>
      </w:r>
      <w:r>
        <w:rPr>
          <w:rFonts w:ascii="宋体" w:eastAsia="宋体" w:hAnsi="宋体" w:cs="宋体"/>
          <w:spacing w:val="47"/>
          <w:sz w:val="22"/>
          <w:szCs w:val="22"/>
        </w:rPr>
        <w:t xml:space="preserve"> </w:t>
      </w:r>
      <w:r>
        <w:rPr>
          <w:rFonts w:ascii="宋体" w:eastAsia="宋体" w:hAnsi="宋体" w:cs="宋体"/>
          <w:spacing w:val="-3"/>
          <w:sz w:val="22"/>
          <w:szCs w:val="22"/>
        </w:rPr>
        <w:t>可清除羟基自由基</w:t>
      </w:r>
      <w:r>
        <w:rPr>
          <w:rFonts w:ascii="宋体" w:eastAsia="宋体" w:hAnsi="宋体" w:cs="宋体"/>
          <w:sz w:val="22"/>
          <w:szCs w:val="22"/>
        </w:rPr>
        <w:t xml:space="preserve">  </w:t>
      </w:r>
      <w:r>
        <w:rPr>
          <w:rFonts w:ascii="宋体" w:eastAsia="宋体" w:hAnsi="宋体" w:cs="宋体"/>
          <w:spacing w:val="-16"/>
          <w:sz w:val="22"/>
          <w:szCs w:val="22"/>
        </w:rPr>
        <w:t>(</w:t>
      </w:r>
      <w:r>
        <w:rPr>
          <w:rFonts w:ascii="宋体" w:eastAsia="宋体" w:hAnsi="宋体" w:cs="宋体"/>
          <w:spacing w:val="-26"/>
          <w:sz w:val="22"/>
          <w:szCs w:val="22"/>
        </w:rPr>
        <w:t xml:space="preserve"> </w:t>
      </w:r>
      <w:r>
        <w:rPr>
          <w:rFonts w:ascii="宋体" w:eastAsia="宋体" w:hAnsi="宋体" w:cs="宋体"/>
          <w:spacing w:val="-16"/>
          <w:sz w:val="22"/>
          <w:szCs w:val="22"/>
        </w:rPr>
        <w:t>·HO)、</w:t>
      </w:r>
      <w:r>
        <w:rPr>
          <w:rFonts w:ascii="宋体" w:eastAsia="宋体" w:hAnsi="宋体" w:cs="宋体"/>
          <w:spacing w:val="82"/>
          <w:sz w:val="22"/>
          <w:szCs w:val="22"/>
        </w:rPr>
        <w:t xml:space="preserve"> </w:t>
      </w:r>
      <w:r>
        <w:rPr>
          <w:rFonts w:ascii="宋体" w:eastAsia="宋体" w:hAnsi="宋体" w:cs="宋体"/>
          <w:spacing w:val="-16"/>
          <w:sz w:val="22"/>
          <w:szCs w:val="22"/>
        </w:rPr>
        <w:t>过氧化氢</w:t>
      </w:r>
      <w:r>
        <w:rPr>
          <w:rFonts w:ascii="宋体" w:eastAsia="宋体" w:hAnsi="宋体" w:cs="宋体"/>
          <w:spacing w:val="-21"/>
          <w:sz w:val="22"/>
          <w:szCs w:val="22"/>
        </w:rPr>
        <w:t xml:space="preserve"> </w:t>
      </w:r>
      <w:r>
        <w:rPr>
          <w:rFonts w:ascii="宋体" w:eastAsia="宋体" w:hAnsi="宋体" w:cs="宋体"/>
          <w:spacing w:val="-16"/>
          <w:sz w:val="22"/>
          <w:szCs w:val="22"/>
        </w:rPr>
        <w:t>(H</w:t>
      </w:r>
      <w:r>
        <w:rPr>
          <w:rFonts w:ascii="Calibri" w:eastAsia="Calibri" w:hAnsi="Calibri" w:cs="Calibri"/>
          <w:spacing w:val="-16"/>
          <w:sz w:val="22"/>
          <w:szCs w:val="22"/>
        </w:rPr>
        <w:t>₂</w:t>
      </w:r>
      <w:r>
        <w:rPr>
          <w:rFonts w:ascii="宋体" w:eastAsia="宋体" w:hAnsi="宋体" w:cs="宋体"/>
          <w:spacing w:val="-16"/>
          <w:sz w:val="22"/>
          <w:szCs w:val="22"/>
        </w:rPr>
        <w:t>O2)、</w:t>
      </w:r>
      <w:r>
        <w:rPr>
          <w:rFonts w:ascii="宋体" w:eastAsia="宋体" w:hAnsi="宋体" w:cs="宋体"/>
          <w:spacing w:val="59"/>
          <w:sz w:val="22"/>
          <w:szCs w:val="22"/>
        </w:rPr>
        <w:t xml:space="preserve"> </w:t>
      </w:r>
      <w:r>
        <w:rPr>
          <w:rFonts w:ascii="宋体" w:eastAsia="宋体" w:hAnsi="宋体" w:cs="宋体"/>
          <w:spacing w:val="-16"/>
          <w:sz w:val="22"/>
          <w:szCs w:val="22"/>
        </w:rPr>
        <w:t>单线态氧('O2)、一氧化氮自</w:t>
      </w:r>
      <w:r>
        <w:rPr>
          <w:rFonts w:ascii="宋体" w:eastAsia="宋体" w:hAnsi="宋体" w:cs="宋体"/>
          <w:spacing w:val="-17"/>
          <w:sz w:val="22"/>
          <w:szCs w:val="22"/>
        </w:rPr>
        <w:t>由基</w:t>
      </w:r>
      <w:r>
        <w:rPr>
          <w:rFonts w:ascii="宋体" w:eastAsia="宋体" w:hAnsi="宋体" w:cs="宋体"/>
          <w:spacing w:val="-19"/>
          <w:sz w:val="22"/>
          <w:szCs w:val="22"/>
        </w:rPr>
        <w:t xml:space="preserve"> </w:t>
      </w:r>
      <w:r>
        <w:rPr>
          <w:rFonts w:ascii="宋体" w:eastAsia="宋体" w:hAnsi="宋体" w:cs="宋体"/>
          <w:spacing w:val="-17"/>
          <w:sz w:val="22"/>
          <w:szCs w:val="22"/>
        </w:rPr>
        <w:t>(</w:t>
      </w:r>
      <w:r>
        <w:rPr>
          <w:rFonts w:ascii="宋体" w:eastAsia="宋体" w:hAnsi="宋体" w:cs="宋体"/>
          <w:spacing w:val="-16"/>
          <w:sz w:val="22"/>
          <w:szCs w:val="22"/>
        </w:rPr>
        <w:t>NO</w:t>
      </w:r>
      <w:r>
        <w:rPr>
          <w:rFonts w:ascii="宋体" w:eastAsia="宋体" w:hAnsi="宋体" w:cs="宋体"/>
          <w:spacing w:val="-26"/>
          <w:sz w:val="22"/>
          <w:szCs w:val="22"/>
        </w:rPr>
        <w:t xml:space="preserve"> </w:t>
      </w:r>
      <w:r>
        <w:rPr>
          <w:rFonts w:ascii="宋体" w:eastAsia="宋体" w:hAnsi="宋体" w:cs="宋体"/>
          <w:spacing w:val="-17"/>
          <w:sz w:val="22"/>
          <w:szCs w:val="22"/>
        </w:rPr>
        <w:t>·)、</w:t>
      </w:r>
      <w:r>
        <w:rPr>
          <w:rFonts w:ascii="宋体" w:eastAsia="宋体" w:hAnsi="宋体" w:cs="宋体"/>
          <w:spacing w:val="5"/>
          <w:sz w:val="22"/>
          <w:szCs w:val="22"/>
        </w:rPr>
        <w:t xml:space="preserve"> </w:t>
      </w:r>
      <w:r>
        <w:rPr>
          <w:rFonts w:ascii="宋体" w:eastAsia="宋体" w:hAnsi="宋体" w:cs="宋体"/>
          <w:spacing w:val="-17"/>
          <w:sz w:val="22"/>
          <w:szCs w:val="22"/>
        </w:rPr>
        <w:t>过氧</w:t>
      </w:r>
      <w:r>
        <w:rPr>
          <w:rFonts w:ascii="宋体" w:eastAsia="宋体" w:hAnsi="宋体" w:cs="宋体"/>
          <w:sz w:val="22"/>
          <w:szCs w:val="22"/>
        </w:rPr>
        <w:t xml:space="preserve">  </w:t>
      </w:r>
      <w:r>
        <w:rPr>
          <w:rFonts w:ascii="宋体" w:eastAsia="宋体" w:hAnsi="宋体" w:cs="宋体"/>
          <w:spacing w:val="-11"/>
          <w:sz w:val="22"/>
          <w:szCs w:val="22"/>
        </w:rPr>
        <w:t>化亚硝基(</w:t>
      </w:r>
      <w:r>
        <w:rPr>
          <w:rFonts w:ascii="宋体" w:eastAsia="宋体" w:hAnsi="宋体" w:cs="宋体"/>
          <w:spacing w:val="-17"/>
          <w:sz w:val="22"/>
          <w:szCs w:val="22"/>
        </w:rPr>
        <w:t xml:space="preserve"> </w:t>
      </w:r>
      <w:r>
        <w:rPr>
          <w:rFonts w:ascii="宋体" w:eastAsia="宋体" w:hAnsi="宋体" w:cs="宋体"/>
          <w:spacing w:val="-11"/>
          <w:sz w:val="22"/>
          <w:szCs w:val="22"/>
        </w:rPr>
        <w:t>·OONO)</w:t>
      </w:r>
      <w:r>
        <w:rPr>
          <w:rFonts w:ascii="宋体" w:eastAsia="宋体" w:hAnsi="宋体" w:cs="宋体"/>
          <w:spacing w:val="8"/>
          <w:sz w:val="22"/>
          <w:szCs w:val="22"/>
        </w:rPr>
        <w:t xml:space="preserve">  </w:t>
      </w:r>
      <w:r>
        <w:rPr>
          <w:rFonts w:ascii="宋体" w:eastAsia="宋体" w:hAnsi="宋体" w:cs="宋体"/>
          <w:spacing w:val="-11"/>
          <w:sz w:val="22"/>
          <w:szCs w:val="22"/>
        </w:rPr>
        <w:t>和次氯酸</w:t>
      </w:r>
      <w:r>
        <w:rPr>
          <w:rFonts w:ascii="宋体" w:eastAsia="宋体" w:hAnsi="宋体" w:cs="宋体"/>
          <w:spacing w:val="2"/>
          <w:sz w:val="22"/>
          <w:szCs w:val="22"/>
        </w:rPr>
        <w:t xml:space="preserve"> </w:t>
      </w:r>
      <w:r>
        <w:rPr>
          <w:rFonts w:ascii="宋体" w:eastAsia="宋体" w:hAnsi="宋体" w:cs="宋体"/>
          <w:spacing w:val="-11"/>
          <w:sz w:val="22"/>
          <w:szCs w:val="22"/>
        </w:rPr>
        <w:t>(HClO),</w:t>
      </w:r>
      <w:r>
        <w:rPr>
          <w:rFonts w:ascii="宋体" w:eastAsia="宋体" w:hAnsi="宋体" w:cs="宋体"/>
          <w:spacing w:val="47"/>
          <w:sz w:val="22"/>
          <w:szCs w:val="22"/>
        </w:rPr>
        <w:t xml:space="preserve"> </w:t>
      </w:r>
      <w:r>
        <w:rPr>
          <w:rFonts w:ascii="宋体" w:eastAsia="宋体" w:hAnsi="宋体" w:cs="宋体"/>
          <w:spacing w:val="-11"/>
          <w:sz w:val="22"/>
          <w:szCs w:val="22"/>
        </w:rPr>
        <w:t>但不能清除过氧化物自由基</w:t>
      </w:r>
      <w:r>
        <w:rPr>
          <w:rFonts w:ascii="宋体" w:eastAsia="宋体" w:hAnsi="宋体" w:cs="宋体"/>
          <w:spacing w:val="-19"/>
          <w:sz w:val="22"/>
          <w:szCs w:val="22"/>
        </w:rPr>
        <w:t xml:space="preserve"> </w:t>
      </w:r>
      <w:r>
        <w:rPr>
          <w:rFonts w:ascii="宋体" w:eastAsia="宋体" w:hAnsi="宋体" w:cs="宋体"/>
          <w:spacing w:val="-11"/>
          <w:sz w:val="22"/>
          <w:szCs w:val="22"/>
        </w:rPr>
        <w:t>(ROO</w:t>
      </w:r>
      <w:r>
        <w:rPr>
          <w:rFonts w:ascii="宋体" w:eastAsia="宋体" w:hAnsi="宋体" w:cs="宋体"/>
          <w:spacing w:val="-26"/>
          <w:sz w:val="22"/>
          <w:szCs w:val="22"/>
        </w:rPr>
        <w:t xml:space="preserve"> </w:t>
      </w:r>
      <w:r>
        <w:rPr>
          <w:rFonts w:ascii="宋体" w:eastAsia="宋体" w:hAnsi="宋体" w:cs="宋体"/>
          <w:spacing w:val="-12"/>
          <w:sz w:val="22"/>
          <w:szCs w:val="22"/>
        </w:rPr>
        <w:t>·)</w:t>
      </w:r>
      <w:r>
        <w:rPr>
          <w:rFonts w:ascii="宋体" w:eastAsia="宋体" w:hAnsi="宋体" w:cs="宋体"/>
          <w:sz w:val="22"/>
          <w:szCs w:val="22"/>
        </w:rPr>
        <w:t xml:space="preserve">  </w:t>
      </w:r>
      <w:r>
        <w:rPr>
          <w:rFonts w:ascii="宋体" w:eastAsia="宋体" w:hAnsi="宋体" w:cs="宋体"/>
          <w:spacing w:val="-6"/>
          <w:sz w:val="22"/>
          <w:szCs w:val="22"/>
        </w:rPr>
        <w:t>和超氧自由基</w:t>
      </w:r>
      <w:r>
        <w:rPr>
          <w:rFonts w:ascii="宋体" w:eastAsia="宋体" w:hAnsi="宋体" w:cs="宋体"/>
          <w:spacing w:val="-20"/>
          <w:sz w:val="22"/>
          <w:szCs w:val="22"/>
        </w:rPr>
        <w:t xml:space="preserve"> </w:t>
      </w:r>
      <w:r>
        <w:rPr>
          <w:rFonts w:ascii="宋体" w:eastAsia="宋体" w:hAnsi="宋体" w:cs="宋体"/>
          <w:spacing w:val="-6"/>
          <w:sz w:val="22"/>
          <w:szCs w:val="22"/>
        </w:rPr>
        <w:t>(O</w:t>
      </w:r>
      <w:r>
        <w:rPr>
          <w:rFonts w:ascii="Calibri" w:eastAsia="Calibri" w:hAnsi="Calibri" w:cs="Calibri"/>
          <w:spacing w:val="-6"/>
          <w:sz w:val="22"/>
          <w:szCs w:val="22"/>
        </w:rPr>
        <w:t>₂</w:t>
      </w:r>
      <w:r>
        <w:rPr>
          <w:rFonts w:ascii="宋体" w:eastAsia="宋体" w:hAnsi="宋体" w:cs="宋体"/>
          <w:spacing w:val="-6"/>
          <w:sz w:val="22"/>
          <w:szCs w:val="22"/>
        </w:rPr>
        <w:t>-)。</w:t>
      </w:r>
      <w:r>
        <w:rPr>
          <w:rFonts w:ascii="宋体" w:eastAsia="宋体" w:hAnsi="宋体" w:cs="宋体"/>
          <w:spacing w:val="45"/>
          <w:sz w:val="22"/>
          <w:szCs w:val="22"/>
        </w:rPr>
        <w:t xml:space="preserve"> </w:t>
      </w:r>
      <w:r>
        <w:rPr>
          <w:rFonts w:ascii="宋体" w:eastAsia="宋体" w:hAnsi="宋体" w:cs="宋体"/>
          <w:spacing w:val="-6"/>
          <w:sz w:val="22"/>
          <w:szCs w:val="22"/>
        </w:rPr>
        <w:t>还原态</w:t>
      </w:r>
      <w:r>
        <w:rPr>
          <w:rFonts w:ascii="宋体" w:eastAsia="宋体" w:hAnsi="宋体" w:cs="宋体"/>
          <w:spacing w:val="-52"/>
          <w:sz w:val="22"/>
          <w:szCs w:val="22"/>
        </w:rPr>
        <w:t xml:space="preserve"> </w:t>
      </w:r>
      <w:r>
        <w:rPr>
          <w:rFonts w:ascii="宋体" w:eastAsia="宋体" w:hAnsi="宋体" w:cs="宋体"/>
          <w:spacing w:val="-6"/>
          <w:sz w:val="22"/>
          <w:szCs w:val="22"/>
        </w:rPr>
        <w:t>LA</w:t>
      </w:r>
      <w:r>
        <w:rPr>
          <w:rFonts w:ascii="宋体" w:eastAsia="宋体" w:hAnsi="宋体" w:cs="宋体"/>
          <w:spacing w:val="36"/>
          <w:sz w:val="22"/>
          <w:szCs w:val="22"/>
        </w:rPr>
        <w:t xml:space="preserve"> </w:t>
      </w:r>
      <w:r>
        <w:rPr>
          <w:rFonts w:ascii="宋体" w:eastAsia="宋体" w:hAnsi="宋体" w:cs="宋体"/>
          <w:spacing w:val="-6"/>
          <w:sz w:val="22"/>
          <w:szCs w:val="22"/>
        </w:rPr>
        <w:t>能清除单线态氧以外的其他自由</w:t>
      </w:r>
      <w:r>
        <w:rPr>
          <w:rFonts w:ascii="宋体" w:eastAsia="宋体" w:hAnsi="宋体" w:cs="宋体"/>
          <w:spacing w:val="-7"/>
          <w:sz w:val="22"/>
          <w:szCs w:val="22"/>
        </w:rPr>
        <w:t>基。因此，</w:t>
      </w:r>
      <w:r>
        <w:rPr>
          <w:rFonts w:ascii="宋体" w:eastAsia="宋体" w:hAnsi="宋体" w:cs="宋体"/>
          <w:sz w:val="22"/>
          <w:szCs w:val="22"/>
        </w:rPr>
        <w:t xml:space="preserve"> </w:t>
      </w:r>
      <w:r>
        <w:rPr>
          <w:rFonts w:ascii="宋体" w:eastAsia="宋体" w:hAnsi="宋体" w:cs="宋体"/>
          <w:spacing w:val="-9"/>
          <w:sz w:val="22"/>
          <w:szCs w:val="22"/>
        </w:rPr>
        <w:t>LA</w:t>
      </w:r>
      <w:r>
        <w:rPr>
          <w:rFonts w:ascii="宋体" w:eastAsia="宋体" w:hAnsi="宋体" w:cs="宋体"/>
          <w:spacing w:val="25"/>
          <w:sz w:val="22"/>
          <w:szCs w:val="22"/>
        </w:rPr>
        <w:t xml:space="preserve"> </w:t>
      </w:r>
      <w:r>
        <w:rPr>
          <w:rFonts w:ascii="宋体" w:eastAsia="宋体" w:hAnsi="宋体" w:cs="宋体"/>
          <w:spacing w:val="-9"/>
          <w:sz w:val="22"/>
          <w:szCs w:val="22"/>
        </w:rPr>
        <w:t>和二氢硫辛酸</w:t>
      </w:r>
      <w:r>
        <w:rPr>
          <w:rFonts w:ascii="宋体" w:eastAsia="宋体" w:hAnsi="宋体" w:cs="宋体"/>
          <w:spacing w:val="-19"/>
          <w:sz w:val="22"/>
          <w:szCs w:val="22"/>
        </w:rPr>
        <w:t xml:space="preserve"> </w:t>
      </w:r>
      <w:r>
        <w:rPr>
          <w:rFonts w:ascii="宋体" w:eastAsia="宋体" w:hAnsi="宋体" w:cs="宋体"/>
          <w:spacing w:val="-9"/>
          <w:sz w:val="22"/>
          <w:szCs w:val="22"/>
        </w:rPr>
        <w:t>(DHLA)</w:t>
      </w:r>
      <w:r>
        <w:rPr>
          <w:rFonts w:ascii="宋体" w:eastAsia="宋体" w:hAnsi="宋体" w:cs="宋体"/>
          <w:spacing w:val="38"/>
          <w:sz w:val="22"/>
          <w:szCs w:val="22"/>
        </w:rPr>
        <w:t xml:space="preserve">  </w:t>
      </w:r>
      <w:r>
        <w:rPr>
          <w:rFonts w:ascii="宋体" w:eastAsia="宋体" w:hAnsi="宋体" w:cs="宋体"/>
          <w:spacing w:val="-9"/>
          <w:sz w:val="22"/>
          <w:szCs w:val="22"/>
        </w:rPr>
        <w:t>在生物体内的相互转化和代谢再生过程中，能清除</w:t>
      </w:r>
      <w:r>
        <w:rPr>
          <w:rFonts w:ascii="宋体" w:eastAsia="宋体" w:hAnsi="宋体" w:cs="宋体"/>
          <w:sz w:val="22"/>
          <w:szCs w:val="22"/>
        </w:rPr>
        <w:t xml:space="preserve">  </w:t>
      </w:r>
      <w:r>
        <w:rPr>
          <w:rFonts w:ascii="宋体" w:eastAsia="宋体" w:hAnsi="宋体" w:cs="宋体"/>
          <w:spacing w:val="-11"/>
          <w:sz w:val="22"/>
          <w:szCs w:val="22"/>
        </w:rPr>
        <w:t>上述所有自由基。例如，</w:t>
      </w:r>
      <w:r>
        <w:rPr>
          <w:rFonts w:ascii="宋体" w:eastAsia="宋体" w:hAnsi="宋体" w:cs="宋体"/>
          <w:spacing w:val="19"/>
          <w:sz w:val="22"/>
          <w:szCs w:val="22"/>
        </w:rPr>
        <w:t xml:space="preserve"> </w:t>
      </w:r>
      <w:r>
        <w:rPr>
          <w:rFonts w:ascii="宋体" w:eastAsia="宋体" w:hAnsi="宋体" w:cs="宋体"/>
          <w:spacing w:val="-11"/>
          <w:sz w:val="22"/>
          <w:szCs w:val="22"/>
        </w:rPr>
        <w:t>H</w:t>
      </w:r>
      <w:r>
        <w:rPr>
          <w:rFonts w:ascii="Calibri" w:eastAsia="Calibri" w:hAnsi="Calibri" w:cs="Calibri"/>
          <w:spacing w:val="-11"/>
          <w:sz w:val="22"/>
          <w:szCs w:val="22"/>
        </w:rPr>
        <w:t>₂</w:t>
      </w:r>
      <w:r>
        <w:rPr>
          <w:rFonts w:ascii="宋体" w:eastAsia="宋体" w:hAnsi="宋体" w:cs="宋体"/>
          <w:spacing w:val="-11"/>
          <w:sz w:val="22"/>
          <w:szCs w:val="22"/>
        </w:rPr>
        <w:t>O</w:t>
      </w:r>
      <w:r>
        <w:rPr>
          <w:rFonts w:ascii="Calibri" w:eastAsia="Calibri" w:hAnsi="Calibri" w:cs="Calibri"/>
          <w:spacing w:val="-11"/>
          <w:sz w:val="22"/>
          <w:szCs w:val="22"/>
        </w:rPr>
        <w:t>₂</w:t>
      </w:r>
      <w:r>
        <w:rPr>
          <w:rFonts w:ascii="Calibri" w:eastAsia="Calibri" w:hAnsi="Calibri" w:cs="Calibri"/>
          <w:spacing w:val="23"/>
          <w:sz w:val="22"/>
          <w:szCs w:val="22"/>
        </w:rPr>
        <w:t xml:space="preserve">  </w:t>
      </w:r>
      <w:r>
        <w:rPr>
          <w:rFonts w:ascii="宋体" w:eastAsia="宋体" w:hAnsi="宋体" w:cs="宋体"/>
          <w:spacing w:val="-11"/>
          <w:sz w:val="22"/>
          <w:szCs w:val="22"/>
        </w:rPr>
        <w:t>能刺激自由基的形成，从而引</w:t>
      </w:r>
      <w:r>
        <w:rPr>
          <w:rFonts w:ascii="宋体" w:eastAsia="宋体" w:hAnsi="宋体" w:cs="宋体"/>
          <w:spacing w:val="-12"/>
          <w:sz w:val="22"/>
          <w:szCs w:val="22"/>
        </w:rPr>
        <w:t>起神经细胞凋亡，</w:t>
      </w:r>
      <w:r>
        <w:rPr>
          <w:rFonts w:ascii="宋体" w:eastAsia="宋体" w:hAnsi="宋体" w:cs="宋体"/>
          <w:sz w:val="22"/>
          <w:szCs w:val="22"/>
        </w:rPr>
        <w:t xml:space="preserve"> </w:t>
      </w:r>
      <w:r>
        <w:rPr>
          <w:rFonts w:ascii="宋体" w:eastAsia="宋体" w:hAnsi="宋体" w:cs="宋体"/>
          <w:spacing w:val="-5"/>
          <w:sz w:val="22"/>
          <w:szCs w:val="22"/>
        </w:rPr>
        <w:t>并导致老年痴呆症</w:t>
      </w:r>
      <w:r>
        <w:rPr>
          <w:rFonts w:ascii="宋体" w:eastAsia="宋体" w:hAnsi="宋体" w:cs="宋体"/>
          <w:spacing w:val="-21"/>
          <w:sz w:val="22"/>
          <w:szCs w:val="22"/>
        </w:rPr>
        <w:t xml:space="preserve"> </w:t>
      </w:r>
      <w:r>
        <w:rPr>
          <w:rFonts w:ascii="宋体" w:eastAsia="宋体" w:hAnsi="宋体" w:cs="宋体"/>
          <w:spacing w:val="-5"/>
          <w:sz w:val="22"/>
          <w:szCs w:val="22"/>
        </w:rPr>
        <w:t>(AD)。LA</w:t>
      </w:r>
      <w:r>
        <w:rPr>
          <w:rFonts w:ascii="宋体" w:eastAsia="宋体" w:hAnsi="宋体" w:cs="宋体"/>
          <w:spacing w:val="8"/>
          <w:sz w:val="22"/>
          <w:szCs w:val="22"/>
        </w:rPr>
        <w:t xml:space="preserve">  </w:t>
      </w:r>
      <w:r>
        <w:rPr>
          <w:rFonts w:ascii="宋体" w:eastAsia="宋体" w:hAnsi="宋体" w:cs="宋体"/>
          <w:spacing w:val="-5"/>
          <w:sz w:val="22"/>
          <w:szCs w:val="22"/>
        </w:rPr>
        <w:t>能透过血脑</w:t>
      </w:r>
      <w:r>
        <w:rPr>
          <w:rFonts w:ascii="宋体" w:eastAsia="宋体" w:hAnsi="宋体" w:cs="宋体"/>
          <w:spacing w:val="-6"/>
          <w:sz w:val="22"/>
          <w:szCs w:val="22"/>
        </w:rPr>
        <w:t>屏障，降低H</w:t>
      </w:r>
      <w:r>
        <w:rPr>
          <w:rFonts w:ascii="Calibri" w:eastAsia="Calibri" w:hAnsi="Calibri" w:cs="Calibri"/>
          <w:spacing w:val="-6"/>
          <w:sz w:val="22"/>
          <w:szCs w:val="22"/>
        </w:rPr>
        <w:t>₂</w:t>
      </w:r>
      <w:r>
        <w:rPr>
          <w:rFonts w:ascii="宋体" w:eastAsia="宋体" w:hAnsi="宋体" w:cs="宋体"/>
          <w:spacing w:val="-6"/>
          <w:sz w:val="22"/>
          <w:szCs w:val="22"/>
        </w:rPr>
        <w:t>O</w:t>
      </w:r>
      <w:r>
        <w:rPr>
          <w:rFonts w:ascii="Calibri" w:eastAsia="Calibri" w:hAnsi="Calibri" w:cs="Calibri"/>
          <w:spacing w:val="-6"/>
          <w:sz w:val="22"/>
          <w:szCs w:val="22"/>
        </w:rPr>
        <w:t>₂</w:t>
      </w:r>
      <w:r>
        <w:rPr>
          <w:rFonts w:ascii="Calibri" w:eastAsia="Calibri" w:hAnsi="Calibri" w:cs="Calibri"/>
          <w:spacing w:val="2"/>
          <w:sz w:val="22"/>
          <w:szCs w:val="22"/>
        </w:rPr>
        <w:t xml:space="preserve">   </w:t>
      </w:r>
      <w:r>
        <w:rPr>
          <w:rFonts w:ascii="宋体" w:eastAsia="宋体" w:hAnsi="宋体" w:cs="宋体"/>
          <w:spacing w:val="-6"/>
          <w:sz w:val="22"/>
          <w:szCs w:val="22"/>
        </w:rPr>
        <w:t>的细胞毒性，抑制</w:t>
      </w:r>
      <w:r>
        <w:rPr>
          <w:rFonts w:ascii="宋体" w:eastAsia="宋体" w:hAnsi="宋体" w:cs="宋体"/>
          <w:sz w:val="22"/>
          <w:szCs w:val="22"/>
        </w:rPr>
        <w:t xml:space="preserve">  </w:t>
      </w:r>
      <w:r>
        <w:rPr>
          <w:rFonts w:ascii="宋体" w:eastAsia="宋体" w:hAnsi="宋体" w:cs="宋体"/>
          <w:spacing w:val="-9"/>
          <w:sz w:val="22"/>
          <w:szCs w:val="22"/>
        </w:rPr>
        <w:t>并清除自由基，是治疗AD</w:t>
      </w:r>
      <w:r>
        <w:rPr>
          <w:rFonts w:ascii="宋体" w:eastAsia="宋体" w:hAnsi="宋体" w:cs="宋体"/>
          <w:spacing w:val="51"/>
          <w:sz w:val="22"/>
          <w:szCs w:val="22"/>
        </w:rPr>
        <w:t xml:space="preserve"> </w:t>
      </w:r>
      <w:r>
        <w:rPr>
          <w:rFonts w:ascii="宋体" w:eastAsia="宋体" w:hAnsi="宋体" w:cs="宋体"/>
          <w:spacing w:val="-9"/>
          <w:sz w:val="22"/>
          <w:szCs w:val="22"/>
        </w:rPr>
        <w:t>的一种较理想的药物。</w:t>
      </w:r>
      <w:r>
        <w:rPr>
          <w:rFonts w:ascii="宋体" w:eastAsia="宋体" w:hAnsi="宋体" w:cs="宋体"/>
          <w:spacing w:val="-2"/>
          <w:sz w:val="22"/>
          <w:szCs w:val="22"/>
        </w:rPr>
        <w:t xml:space="preserve"> </w:t>
      </w:r>
      <w:r>
        <w:rPr>
          <w:rFonts w:ascii="宋体" w:eastAsia="宋体" w:hAnsi="宋体" w:cs="宋体"/>
          <w:spacing w:val="-9"/>
          <w:sz w:val="22"/>
          <w:szCs w:val="22"/>
        </w:rPr>
        <w:t>LA</w:t>
      </w:r>
      <w:r>
        <w:rPr>
          <w:rFonts w:ascii="宋体" w:eastAsia="宋体" w:hAnsi="宋体" w:cs="宋体"/>
          <w:spacing w:val="27"/>
          <w:sz w:val="22"/>
          <w:szCs w:val="22"/>
        </w:rPr>
        <w:t xml:space="preserve"> </w:t>
      </w:r>
      <w:r>
        <w:rPr>
          <w:rFonts w:ascii="宋体" w:eastAsia="宋体" w:hAnsi="宋体" w:cs="宋体"/>
          <w:spacing w:val="-9"/>
          <w:sz w:val="22"/>
          <w:szCs w:val="22"/>
        </w:rPr>
        <w:t>含量最高的植物是菠菜，</w:t>
      </w:r>
      <w:r>
        <w:rPr>
          <w:rFonts w:ascii="宋体" w:eastAsia="宋体" w:hAnsi="宋体" w:cs="宋体"/>
          <w:sz w:val="22"/>
          <w:szCs w:val="22"/>
        </w:rPr>
        <w:t xml:space="preserve"> </w:t>
      </w:r>
      <w:r>
        <w:rPr>
          <w:rFonts w:ascii="宋体" w:eastAsia="宋体" w:hAnsi="宋体" w:cs="宋体"/>
          <w:spacing w:val="-11"/>
          <w:sz w:val="22"/>
          <w:szCs w:val="22"/>
        </w:rPr>
        <w:t>其次是番茄和甘蓝，在动物体内肝脏和肾脏组织中LA</w:t>
      </w:r>
      <w:r>
        <w:rPr>
          <w:rFonts w:ascii="宋体" w:eastAsia="宋体" w:hAnsi="宋体" w:cs="宋体"/>
          <w:spacing w:val="48"/>
          <w:sz w:val="22"/>
          <w:szCs w:val="22"/>
        </w:rPr>
        <w:t xml:space="preserve"> </w:t>
      </w:r>
      <w:r>
        <w:rPr>
          <w:rFonts w:ascii="宋体" w:eastAsia="宋体" w:hAnsi="宋体" w:cs="宋体"/>
          <w:spacing w:val="-11"/>
          <w:sz w:val="22"/>
          <w:szCs w:val="22"/>
        </w:rPr>
        <w:t>含量最高。</w:t>
      </w:r>
    </w:p>
    <w:p w:rsidR="00EA40A3" w:rsidRDefault="00E86C16">
      <w:pPr>
        <w:spacing w:before="97" w:line="236" w:lineRule="auto"/>
        <w:ind w:right="91" w:firstLine="440"/>
        <w:rPr>
          <w:rFonts w:ascii="宋体" w:eastAsia="宋体" w:hAnsi="宋体" w:cs="宋体"/>
          <w:sz w:val="22"/>
          <w:szCs w:val="22"/>
        </w:rPr>
      </w:pPr>
      <w:r>
        <w:rPr>
          <w:rFonts w:ascii="宋体" w:eastAsia="宋体" w:hAnsi="宋体" w:cs="宋体"/>
          <w:spacing w:val="-7"/>
          <w:sz w:val="22"/>
          <w:szCs w:val="22"/>
        </w:rPr>
        <w:t>(4)β胡萝卜素与维生素C、</w:t>
      </w:r>
      <w:r>
        <w:rPr>
          <w:rFonts w:ascii="宋体" w:eastAsia="宋体" w:hAnsi="宋体" w:cs="宋体"/>
          <w:spacing w:val="-61"/>
          <w:sz w:val="22"/>
          <w:szCs w:val="22"/>
        </w:rPr>
        <w:t xml:space="preserve"> </w:t>
      </w:r>
      <w:r>
        <w:rPr>
          <w:rFonts w:ascii="宋体" w:eastAsia="宋体" w:hAnsi="宋体" w:cs="宋体"/>
          <w:spacing w:val="-7"/>
          <w:sz w:val="22"/>
          <w:szCs w:val="22"/>
        </w:rPr>
        <w:t>维生素E</w:t>
      </w:r>
      <w:r>
        <w:rPr>
          <w:rFonts w:ascii="宋体" w:eastAsia="宋体" w:hAnsi="宋体" w:cs="宋体"/>
          <w:spacing w:val="-25"/>
          <w:sz w:val="22"/>
          <w:szCs w:val="22"/>
        </w:rPr>
        <w:t xml:space="preserve"> </w:t>
      </w:r>
      <w:r>
        <w:rPr>
          <w:rFonts w:ascii="宋体" w:eastAsia="宋体" w:hAnsi="宋体" w:cs="宋体"/>
          <w:spacing w:val="-7"/>
          <w:sz w:val="22"/>
          <w:szCs w:val="22"/>
        </w:rPr>
        <w:t>搭配补充，在清除自</w:t>
      </w:r>
      <w:r>
        <w:rPr>
          <w:rFonts w:ascii="宋体" w:eastAsia="宋体" w:hAnsi="宋体" w:cs="宋体"/>
          <w:spacing w:val="-8"/>
          <w:sz w:val="22"/>
          <w:szCs w:val="22"/>
        </w:rPr>
        <w:t>由基、增强免疫</w:t>
      </w:r>
      <w:r>
        <w:rPr>
          <w:rFonts w:ascii="宋体" w:eastAsia="宋体" w:hAnsi="宋体" w:cs="宋体"/>
          <w:sz w:val="22"/>
          <w:szCs w:val="22"/>
        </w:rPr>
        <w:t xml:space="preserve"> </w:t>
      </w:r>
      <w:r>
        <w:rPr>
          <w:rFonts w:ascii="宋体" w:eastAsia="宋体" w:hAnsi="宋体" w:cs="宋体"/>
          <w:spacing w:val="-15"/>
          <w:sz w:val="22"/>
          <w:szCs w:val="22"/>
        </w:rPr>
        <w:t>力等方面效果十分显著。</w:t>
      </w:r>
    </w:p>
    <w:p w:rsidR="00EA40A3" w:rsidRDefault="00E86C16">
      <w:pPr>
        <w:spacing w:before="36" w:line="244" w:lineRule="auto"/>
        <w:ind w:right="103" w:firstLine="440"/>
        <w:rPr>
          <w:rFonts w:ascii="宋体" w:eastAsia="宋体" w:hAnsi="宋体" w:cs="宋体"/>
          <w:sz w:val="22"/>
          <w:szCs w:val="22"/>
        </w:rPr>
      </w:pPr>
      <w:r>
        <w:rPr>
          <w:rFonts w:ascii="宋体" w:eastAsia="宋体" w:hAnsi="宋体" w:cs="宋体"/>
          <w:spacing w:val="-1"/>
          <w:sz w:val="22"/>
          <w:szCs w:val="22"/>
        </w:rPr>
        <w:t>(5)硒是谷胱甘肽过氧化物酶</w:t>
      </w:r>
      <w:r>
        <w:rPr>
          <w:rFonts w:ascii="宋体" w:eastAsia="宋体" w:hAnsi="宋体" w:cs="宋体"/>
          <w:spacing w:val="-15"/>
          <w:sz w:val="22"/>
          <w:szCs w:val="22"/>
        </w:rPr>
        <w:t xml:space="preserve"> </w:t>
      </w:r>
      <w:r>
        <w:rPr>
          <w:rFonts w:ascii="宋体" w:eastAsia="宋体" w:hAnsi="宋体" w:cs="宋体"/>
          <w:spacing w:val="-1"/>
          <w:sz w:val="22"/>
          <w:szCs w:val="22"/>
        </w:rPr>
        <w:t>(GSH-Px)</w:t>
      </w:r>
      <w:r>
        <w:rPr>
          <w:rFonts w:ascii="宋体" w:eastAsia="宋体" w:hAnsi="宋体" w:cs="宋体"/>
          <w:spacing w:val="14"/>
          <w:sz w:val="22"/>
          <w:szCs w:val="22"/>
        </w:rPr>
        <w:t xml:space="preserve">  </w:t>
      </w:r>
      <w:r>
        <w:rPr>
          <w:rFonts w:ascii="宋体" w:eastAsia="宋体" w:hAnsi="宋体" w:cs="宋体"/>
          <w:spacing w:val="-1"/>
          <w:sz w:val="22"/>
          <w:szCs w:val="22"/>
        </w:rPr>
        <w:t>活性中心的组成，缺硒降低血</w:t>
      </w:r>
      <w:r>
        <w:rPr>
          <w:rFonts w:ascii="宋体" w:eastAsia="宋体" w:hAnsi="宋体" w:cs="宋体"/>
          <w:sz w:val="22"/>
          <w:szCs w:val="22"/>
        </w:rPr>
        <w:t xml:space="preserve"> </w:t>
      </w:r>
      <w:r>
        <w:rPr>
          <w:rFonts w:ascii="宋体" w:eastAsia="宋体" w:hAnsi="宋体" w:cs="宋体"/>
          <w:spacing w:val="-5"/>
          <w:sz w:val="22"/>
          <w:szCs w:val="22"/>
        </w:rPr>
        <w:t>液、组织的GSH-Px</w:t>
      </w:r>
      <w:r>
        <w:rPr>
          <w:rFonts w:ascii="宋体" w:eastAsia="宋体" w:hAnsi="宋体" w:cs="宋体"/>
          <w:spacing w:val="57"/>
          <w:sz w:val="22"/>
          <w:szCs w:val="22"/>
        </w:rPr>
        <w:t xml:space="preserve"> </w:t>
      </w:r>
      <w:r>
        <w:rPr>
          <w:rFonts w:ascii="宋体" w:eastAsia="宋体" w:hAnsi="宋体" w:cs="宋体"/>
          <w:spacing w:val="-5"/>
          <w:sz w:val="22"/>
          <w:szCs w:val="22"/>
        </w:rPr>
        <w:t>活性。补硒可以提高谷胱甘肽过氧化物酶活力，从而减少</w:t>
      </w:r>
      <w:r>
        <w:rPr>
          <w:rFonts w:ascii="宋体" w:eastAsia="宋体" w:hAnsi="宋体" w:cs="宋体"/>
          <w:sz w:val="22"/>
          <w:szCs w:val="22"/>
        </w:rPr>
        <w:t xml:space="preserve"> </w:t>
      </w:r>
      <w:r>
        <w:rPr>
          <w:rFonts w:ascii="宋体" w:eastAsia="宋体" w:hAnsi="宋体" w:cs="宋体"/>
          <w:spacing w:val="-9"/>
          <w:sz w:val="22"/>
          <w:szCs w:val="22"/>
        </w:rPr>
        <w:t>自由基对人体的侵害，延缓人体衰老。硒和维生素</w:t>
      </w:r>
      <w:r>
        <w:rPr>
          <w:rFonts w:ascii="宋体" w:eastAsia="宋体" w:hAnsi="宋体" w:cs="宋体"/>
          <w:spacing w:val="-52"/>
          <w:sz w:val="22"/>
          <w:szCs w:val="22"/>
        </w:rPr>
        <w:t xml:space="preserve"> </w:t>
      </w:r>
      <w:r>
        <w:rPr>
          <w:rFonts w:ascii="宋体" w:eastAsia="宋体" w:hAnsi="宋体" w:cs="宋体"/>
          <w:spacing w:val="-9"/>
          <w:sz w:val="22"/>
          <w:szCs w:val="22"/>
        </w:rPr>
        <w:t>E</w:t>
      </w:r>
      <w:r>
        <w:rPr>
          <w:rFonts w:ascii="宋体" w:eastAsia="宋体" w:hAnsi="宋体" w:cs="宋体"/>
          <w:spacing w:val="-14"/>
          <w:sz w:val="22"/>
          <w:szCs w:val="22"/>
        </w:rPr>
        <w:t xml:space="preserve"> </w:t>
      </w:r>
      <w:r>
        <w:rPr>
          <w:rFonts w:ascii="宋体" w:eastAsia="宋体" w:hAnsi="宋体" w:cs="宋体"/>
          <w:spacing w:val="-9"/>
          <w:sz w:val="22"/>
          <w:szCs w:val="22"/>
        </w:rPr>
        <w:t>协力帮助抗体的制造及维</w:t>
      </w:r>
      <w:r>
        <w:rPr>
          <w:rFonts w:ascii="宋体" w:eastAsia="宋体" w:hAnsi="宋体" w:cs="宋体"/>
          <w:sz w:val="22"/>
          <w:szCs w:val="22"/>
        </w:rPr>
        <w:t xml:space="preserve"> </w:t>
      </w:r>
      <w:r>
        <w:rPr>
          <w:rFonts w:ascii="宋体" w:eastAsia="宋体" w:hAnsi="宋体" w:cs="宋体"/>
          <w:spacing w:val="-14"/>
          <w:sz w:val="22"/>
          <w:szCs w:val="22"/>
        </w:rPr>
        <w:t>持心脏健康，两者配合起来所发挥的作用大于两者分别作用之和。</w:t>
      </w:r>
    </w:p>
    <w:p w:rsidR="00EA40A3" w:rsidRDefault="00E86C16">
      <w:pPr>
        <w:spacing w:before="40" w:line="243" w:lineRule="auto"/>
        <w:ind w:right="12" w:firstLine="440"/>
        <w:rPr>
          <w:rFonts w:ascii="宋体" w:eastAsia="宋体" w:hAnsi="宋体" w:cs="宋体"/>
          <w:sz w:val="22"/>
          <w:szCs w:val="22"/>
        </w:rPr>
      </w:pPr>
      <w:r>
        <w:rPr>
          <w:rFonts w:ascii="宋体" w:eastAsia="宋体" w:hAnsi="宋体" w:cs="宋体"/>
          <w:spacing w:val="-7"/>
          <w:sz w:val="22"/>
          <w:szCs w:val="22"/>
        </w:rPr>
        <w:t>(6)其他食品抗氧化成分，如番茄红素属于类</w:t>
      </w:r>
      <w:r>
        <w:rPr>
          <w:rFonts w:ascii="宋体" w:eastAsia="宋体" w:hAnsi="宋体" w:cs="宋体"/>
          <w:spacing w:val="-8"/>
          <w:sz w:val="22"/>
          <w:szCs w:val="22"/>
        </w:rPr>
        <w:t>胡萝卜素，可以消除自由基，</w:t>
      </w:r>
      <w:r>
        <w:rPr>
          <w:rFonts w:ascii="宋体" w:eastAsia="宋体" w:hAnsi="宋体" w:cs="宋体"/>
          <w:sz w:val="22"/>
          <w:szCs w:val="22"/>
        </w:rPr>
        <w:t xml:space="preserve"> </w:t>
      </w:r>
      <w:r>
        <w:rPr>
          <w:rFonts w:ascii="宋体" w:eastAsia="宋体" w:hAnsi="宋体" w:cs="宋体"/>
          <w:spacing w:val="-13"/>
          <w:sz w:val="22"/>
          <w:szCs w:val="22"/>
        </w:rPr>
        <w:t>尤其是氧自由基。番茄红素存在于在大多数水果和蔬菜中。另外，许</w:t>
      </w:r>
      <w:r>
        <w:rPr>
          <w:rFonts w:ascii="宋体" w:eastAsia="宋体" w:hAnsi="宋体" w:cs="宋体"/>
          <w:spacing w:val="-14"/>
          <w:sz w:val="22"/>
          <w:szCs w:val="22"/>
        </w:rPr>
        <w:t>多天然植物</w:t>
      </w:r>
      <w:r>
        <w:rPr>
          <w:rFonts w:ascii="宋体" w:eastAsia="宋体" w:hAnsi="宋体" w:cs="宋体"/>
          <w:sz w:val="22"/>
          <w:szCs w:val="22"/>
        </w:rPr>
        <w:t xml:space="preserve">  </w:t>
      </w:r>
      <w:r>
        <w:rPr>
          <w:rFonts w:ascii="宋体" w:eastAsia="宋体" w:hAnsi="宋体" w:cs="宋体"/>
          <w:spacing w:val="-13"/>
          <w:sz w:val="22"/>
          <w:szCs w:val="22"/>
        </w:rPr>
        <w:t>提取物、功能因子如茶多酚、大豆异黄酮、绿原酸、葡萄籽提取物都</w:t>
      </w:r>
      <w:r>
        <w:rPr>
          <w:rFonts w:ascii="宋体" w:eastAsia="宋体" w:hAnsi="宋体" w:cs="宋体"/>
          <w:spacing w:val="-14"/>
          <w:sz w:val="22"/>
          <w:szCs w:val="22"/>
        </w:rPr>
        <w:t>具自由基清</w:t>
      </w:r>
      <w:r>
        <w:rPr>
          <w:rFonts w:ascii="宋体" w:eastAsia="宋体" w:hAnsi="宋体" w:cs="宋体"/>
          <w:sz w:val="22"/>
          <w:szCs w:val="22"/>
        </w:rPr>
        <w:t xml:space="preserve">  </w:t>
      </w:r>
      <w:r>
        <w:rPr>
          <w:rFonts w:ascii="宋体" w:eastAsia="宋体" w:hAnsi="宋体" w:cs="宋体"/>
          <w:spacing w:val="-13"/>
          <w:sz w:val="22"/>
          <w:szCs w:val="22"/>
        </w:rPr>
        <w:t>除剂作用。</w:t>
      </w:r>
    </w:p>
    <w:p w:rsidR="00EA40A3" w:rsidRDefault="00EA40A3">
      <w:pPr>
        <w:spacing w:line="296" w:lineRule="auto"/>
      </w:pPr>
    </w:p>
    <w:p w:rsidR="00EA40A3" w:rsidRDefault="00E86C16">
      <w:pPr>
        <w:spacing w:before="82" w:line="219" w:lineRule="auto"/>
        <w:ind w:left="2600"/>
        <w:rPr>
          <w:rFonts w:ascii="宋体" w:eastAsia="宋体" w:hAnsi="宋体" w:cs="宋体"/>
          <w:sz w:val="25"/>
          <w:szCs w:val="25"/>
        </w:rPr>
      </w:pPr>
      <w:r>
        <w:rPr>
          <w:rFonts w:ascii="宋体" w:eastAsia="宋体" w:hAnsi="宋体" w:cs="宋体"/>
          <w:sz w:val="25"/>
          <w:szCs w:val="25"/>
        </w:rPr>
        <w:t>11.3</w:t>
      </w:r>
      <w:r>
        <w:rPr>
          <w:rFonts w:ascii="宋体" w:eastAsia="宋体" w:hAnsi="宋体" w:cs="宋体"/>
          <w:spacing w:val="11"/>
          <w:sz w:val="25"/>
          <w:szCs w:val="25"/>
        </w:rPr>
        <w:t xml:space="preserve">   </w:t>
      </w:r>
      <w:r>
        <w:rPr>
          <w:rFonts w:ascii="宋体" w:eastAsia="宋体" w:hAnsi="宋体" w:cs="宋体"/>
          <w:sz w:val="25"/>
          <w:szCs w:val="25"/>
        </w:rPr>
        <w:t>营养与肥胖</w:t>
      </w:r>
    </w:p>
    <w:p w:rsidR="00EA40A3" w:rsidRDefault="00E86C16">
      <w:pPr>
        <w:spacing w:before="149" w:line="221" w:lineRule="auto"/>
        <w:ind w:left="3"/>
        <w:outlineLvl w:val="6"/>
        <w:rPr>
          <w:rFonts w:ascii="黑体" w:eastAsia="黑体" w:hAnsi="黑体" w:cs="黑体"/>
          <w:sz w:val="25"/>
          <w:szCs w:val="25"/>
        </w:rPr>
      </w:pPr>
      <w:r>
        <w:rPr>
          <w:rFonts w:ascii="黑体" w:eastAsia="黑体" w:hAnsi="黑体" w:cs="黑体"/>
          <w:b/>
          <w:bCs/>
          <w:spacing w:val="-11"/>
          <w:sz w:val="25"/>
          <w:szCs w:val="25"/>
        </w:rPr>
        <w:t>11.3.1</w:t>
      </w:r>
      <w:r>
        <w:rPr>
          <w:rFonts w:ascii="黑体" w:eastAsia="黑体" w:hAnsi="黑体" w:cs="黑体"/>
          <w:spacing w:val="12"/>
          <w:sz w:val="25"/>
          <w:szCs w:val="25"/>
        </w:rPr>
        <w:t xml:space="preserve">  </w:t>
      </w:r>
      <w:r>
        <w:rPr>
          <w:rFonts w:ascii="黑体" w:eastAsia="黑体" w:hAnsi="黑体" w:cs="黑体"/>
          <w:b/>
          <w:bCs/>
          <w:spacing w:val="-11"/>
          <w:sz w:val="25"/>
          <w:szCs w:val="25"/>
        </w:rPr>
        <w:t>肥胖的定义与分类</w:t>
      </w:r>
    </w:p>
    <w:p w:rsidR="00EA40A3" w:rsidRDefault="00E86C16">
      <w:pPr>
        <w:spacing w:before="210" w:line="221" w:lineRule="auto"/>
        <w:ind w:right="73" w:firstLine="440"/>
        <w:rPr>
          <w:rFonts w:ascii="宋体" w:eastAsia="宋体" w:hAnsi="宋体" w:cs="宋体"/>
          <w:sz w:val="22"/>
          <w:szCs w:val="22"/>
        </w:rPr>
      </w:pPr>
      <w:r>
        <w:rPr>
          <w:rFonts w:ascii="宋体" w:eastAsia="宋体" w:hAnsi="宋体" w:cs="宋体"/>
          <w:spacing w:val="-7"/>
          <w:sz w:val="22"/>
          <w:szCs w:val="22"/>
        </w:rPr>
        <w:t>肥胖</w:t>
      </w:r>
      <w:r>
        <w:rPr>
          <w:rFonts w:ascii="宋体" w:eastAsia="宋体" w:hAnsi="宋体" w:cs="宋体"/>
          <w:spacing w:val="-12"/>
          <w:sz w:val="22"/>
          <w:szCs w:val="22"/>
        </w:rPr>
        <w:t xml:space="preserve"> </w:t>
      </w:r>
      <w:r>
        <w:rPr>
          <w:rFonts w:ascii="宋体" w:eastAsia="宋体" w:hAnsi="宋体" w:cs="宋体"/>
          <w:spacing w:val="-7"/>
          <w:sz w:val="22"/>
          <w:szCs w:val="22"/>
        </w:rPr>
        <w:t>(obesity)</w:t>
      </w:r>
      <w:r>
        <w:rPr>
          <w:rFonts w:ascii="宋体" w:eastAsia="宋体" w:hAnsi="宋体" w:cs="宋体"/>
          <w:spacing w:val="-45"/>
          <w:sz w:val="22"/>
          <w:szCs w:val="22"/>
        </w:rPr>
        <w:t xml:space="preserve"> </w:t>
      </w:r>
      <w:r>
        <w:rPr>
          <w:rFonts w:ascii="宋体" w:eastAsia="宋体" w:hAnsi="宋体" w:cs="宋体"/>
          <w:spacing w:val="-7"/>
          <w:sz w:val="22"/>
          <w:szCs w:val="22"/>
        </w:rPr>
        <w:t>是由于能量过剩而其他营养素相对缺乏，造成体</w:t>
      </w:r>
      <w:r>
        <w:rPr>
          <w:rFonts w:ascii="宋体" w:eastAsia="宋体" w:hAnsi="宋体" w:cs="宋体"/>
          <w:spacing w:val="-8"/>
          <w:sz w:val="22"/>
          <w:szCs w:val="22"/>
        </w:rPr>
        <w:t>内脂肪沉</w:t>
      </w:r>
      <w:r>
        <w:rPr>
          <w:rFonts w:ascii="宋体" w:eastAsia="宋体" w:hAnsi="宋体" w:cs="宋体"/>
          <w:sz w:val="22"/>
          <w:szCs w:val="22"/>
        </w:rPr>
        <w:t xml:space="preserve"> </w:t>
      </w:r>
      <w:r>
        <w:rPr>
          <w:rFonts w:ascii="宋体" w:eastAsia="宋体" w:hAnsi="宋体" w:cs="宋体"/>
          <w:spacing w:val="-15"/>
          <w:sz w:val="22"/>
          <w:szCs w:val="22"/>
        </w:rPr>
        <w:t>积过多而危害健康的一种营养不良疾病。</w:t>
      </w:r>
    </w:p>
    <w:p w:rsidR="00EA40A3" w:rsidRDefault="00E86C16">
      <w:pPr>
        <w:spacing w:before="100" w:line="238" w:lineRule="auto"/>
        <w:ind w:right="74" w:firstLine="440"/>
        <w:jc w:val="both"/>
        <w:rPr>
          <w:rFonts w:ascii="宋体" w:eastAsia="宋体" w:hAnsi="宋体" w:cs="宋体"/>
          <w:sz w:val="22"/>
          <w:szCs w:val="22"/>
        </w:rPr>
      </w:pPr>
      <w:r>
        <w:rPr>
          <w:rFonts w:ascii="宋体" w:eastAsia="宋体" w:hAnsi="宋体" w:cs="宋体"/>
          <w:spacing w:val="-13"/>
          <w:sz w:val="22"/>
          <w:szCs w:val="22"/>
        </w:rPr>
        <w:t>肥胖症依据内分泌、代谢和神经异常与否可分为单纯性肥胖症和继发性肥胖</w:t>
      </w:r>
      <w:r>
        <w:rPr>
          <w:rFonts w:ascii="宋体" w:eastAsia="宋体" w:hAnsi="宋体" w:cs="宋体"/>
          <w:spacing w:val="6"/>
          <w:sz w:val="22"/>
          <w:szCs w:val="22"/>
        </w:rPr>
        <w:t xml:space="preserve"> </w:t>
      </w:r>
      <w:r>
        <w:rPr>
          <w:rFonts w:ascii="宋体" w:eastAsia="宋体" w:hAnsi="宋体" w:cs="宋体"/>
          <w:spacing w:val="-7"/>
          <w:sz w:val="22"/>
          <w:szCs w:val="22"/>
        </w:rPr>
        <w:t>症两类。单纯性肥胖是指无明显内分泌及代谢性疾病，主要是由于摄入能量过</w:t>
      </w:r>
      <w:r>
        <w:rPr>
          <w:rFonts w:ascii="宋体" w:eastAsia="宋体" w:hAnsi="宋体" w:cs="宋体"/>
          <w:spacing w:val="15"/>
          <w:sz w:val="22"/>
          <w:szCs w:val="22"/>
        </w:rPr>
        <w:t xml:space="preserve"> </w:t>
      </w:r>
      <w:r>
        <w:rPr>
          <w:rFonts w:ascii="宋体" w:eastAsia="宋体" w:hAnsi="宋体" w:cs="宋体"/>
          <w:spacing w:val="-13"/>
          <w:sz w:val="22"/>
          <w:szCs w:val="22"/>
        </w:rPr>
        <w:t>多，消耗能量少，使过多的能量转化为脂肪在体内储存引起的肥</w:t>
      </w:r>
      <w:r>
        <w:rPr>
          <w:rFonts w:ascii="宋体" w:eastAsia="宋体" w:hAnsi="宋体" w:cs="宋体"/>
          <w:spacing w:val="-14"/>
          <w:sz w:val="22"/>
          <w:szCs w:val="22"/>
        </w:rPr>
        <w:t>胖。继发性肥胖</w:t>
      </w:r>
      <w:r>
        <w:rPr>
          <w:rFonts w:ascii="宋体" w:eastAsia="宋体" w:hAnsi="宋体" w:cs="宋体"/>
          <w:sz w:val="22"/>
          <w:szCs w:val="22"/>
        </w:rPr>
        <w:t xml:space="preserve"> </w:t>
      </w:r>
      <w:r>
        <w:rPr>
          <w:rFonts w:ascii="宋体" w:eastAsia="宋体" w:hAnsi="宋体" w:cs="宋体"/>
          <w:spacing w:val="-7"/>
          <w:sz w:val="22"/>
          <w:szCs w:val="22"/>
        </w:rPr>
        <w:t>是以某种疾病为原发病的症状性肥胖，此类肥胖仅占肥胖患者的5%以下。继发</w:t>
      </w:r>
      <w:r>
        <w:rPr>
          <w:rFonts w:ascii="宋体" w:eastAsia="宋体" w:hAnsi="宋体" w:cs="宋体"/>
          <w:spacing w:val="3"/>
          <w:sz w:val="22"/>
          <w:szCs w:val="22"/>
        </w:rPr>
        <w:t xml:space="preserve"> </w:t>
      </w:r>
      <w:r>
        <w:rPr>
          <w:rFonts w:ascii="宋体" w:eastAsia="宋体" w:hAnsi="宋体" w:cs="宋体"/>
          <w:spacing w:val="-13"/>
          <w:sz w:val="22"/>
          <w:szCs w:val="22"/>
        </w:rPr>
        <w:t>性肥胖根据肥胖原因又可分为内分泌障碍性肥胖及先天异常性肥胖。</w:t>
      </w:r>
    </w:p>
    <w:p w:rsidR="00EA40A3" w:rsidRDefault="00E86C16">
      <w:pPr>
        <w:spacing w:before="215" w:line="221" w:lineRule="auto"/>
        <w:ind w:left="3"/>
        <w:outlineLvl w:val="6"/>
        <w:rPr>
          <w:rFonts w:ascii="黑体" w:eastAsia="黑体" w:hAnsi="黑体" w:cs="黑体"/>
          <w:sz w:val="22"/>
          <w:szCs w:val="22"/>
        </w:rPr>
      </w:pPr>
      <w:r>
        <w:rPr>
          <w:rFonts w:ascii="黑体" w:eastAsia="黑体" w:hAnsi="黑体" w:cs="黑体"/>
          <w:b/>
          <w:bCs/>
          <w:spacing w:val="7"/>
          <w:sz w:val="22"/>
          <w:szCs w:val="22"/>
        </w:rPr>
        <w:t>11.3.2</w:t>
      </w:r>
      <w:r>
        <w:rPr>
          <w:rFonts w:ascii="黑体" w:eastAsia="黑体" w:hAnsi="黑体" w:cs="黑体"/>
          <w:spacing w:val="47"/>
          <w:sz w:val="22"/>
          <w:szCs w:val="22"/>
        </w:rPr>
        <w:t xml:space="preserve">  </w:t>
      </w:r>
      <w:r>
        <w:rPr>
          <w:rFonts w:ascii="黑体" w:eastAsia="黑体" w:hAnsi="黑体" w:cs="黑体"/>
          <w:b/>
          <w:bCs/>
          <w:spacing w:val="7"/>
          <w:sz w:val="22"/>
          <w:szCs w:val="22"/>
        </w:rPr>
        <w:t>肥胖判定的方法与标准</w:t>
      </w:r>
    </w:p>
    <w:p w:rsidR="00EA40A3" w:rsidRDefault="00E86C16">
      <w:pPr>
        <w:spacing w:before="252" w:line="241" w:lineRule="auto"/>
        <w:ind w:right="112" w:firstLine="440"/>
        <w:jc w:val="both"/>
        <w:rPr>
          <w:rFonts w:ascii="宋体" w:eastAsia="宋体" w:hAnsi="宋体" w:cs="宋体"/>
          <w:sz w:val="22"/>
          <w:szCs w:val="22"/>
        </w:rPr>
      </w:pPr>
      <w:r>
        <w:rPr>
          <w:rFonts w:ascii="宋体" w:eastAsia="宋体" w:hAnsi="宋体" w:cs="宋体"/>
          <w:spacing w:val="-14"/>
          <w:sz w:val="22"/>
          <w:szCs w:val="22"/>
        </w:rPr>
        <w:t>目前，判定肥胖的标准和测量方法一类是身体测量方法，主要包括标准体重</w:t>
      </w:r>
      <w:r>
        <w:rPr>
          <w:rFonts w:ascii="宋体" w:eastAsia="宋体" w:hAnsi="宋体" w:cs="宋体"/>
          <w:sz w:val="22"/>
          <w:szCs w:val="22"/>
        </w:rPr>
        <w:t xml:space="preserve"> </w:t>
      </w:r>
      <w:r>
        <w:rPr>
          <w:rFonts w:ascii="宋体" w:eastAsia="宋体" w:hAnsi="宋体" w:cs="宋体"/>
          <w:spacing w:val="-13"/>
          <w:sz w:val="22"/>
          <w:szCs w:val="22"/>
        </w:rPr>
        <w:t>法、身体质量指数法；另一类是根据人体脂肪含量进行判断，测</w:t>
      </w:r>
      <w:r>
        <w:rPr>
          <w:rFonts w:ascii="宋体" w:eastAsia="宋体" w:hAnsi="宋体" w:cs="宋体"/>
          <w:spacing w:val="-14"/>
          <w:sz w:val="22"/>
          <w:szCs w:val="22"/>
        </w:rPr>
        <w:t>定人体脂肪含量</w:t>
      </w:r>
      <w:r>
        <w:rPr>
          <w:rFonts w:ascii="宋体" w:eastAsia="宋体" w:hAnsi="宋体" w:cs="宋体"/>
          <w:sz w:val="22"/>
          <w:szCs w:val="22"/>
        </w:rPr>
        <w:t xml:space="preserve"> </w:t>
      </w:r>
      <w:r>
        <w:rPr>
          <w:rFonts w:ascii="宋体" w:eastAsia="宋体" w:hAnsi="宋体" w:cs="宋体"/>
          <w:spacing w:val="-13"/>
          <w:sz w:val="22"/>
          <w:szCs w:val="22"/>
        </w:rPr>
        <w:t>的方法，主要有水下称重法、总体水测定法、同位素稀释法和生</w:t>
      </w:r>
      <w:r>
        <w:rPr>
          <w:rFonts w:ascii="宋体" w:eastAsia="宋体" w:hAnsi="宋体" w:cs="宋体"/>
          <w:spacing w:val="-14"/>
          <w:sz w:val="22"/>
          <w:szCs w:val="22"/>
        </w:rPr>
        <w:t>物电阻抗法。针</w:t>
      </w:r>
    </w:p>
    <w:p w:rsidR="00EA40A3" w:rsidRDefault="00E86C16">
      <w:pPr>
        <w:spacing w:before="23"/>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358</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295"/>
          <w:pgSz w:w="9220" w:h="13360"/>
          <w:pgMar w:top="400" w:right="1117" w:bottom="400" w:left="749" w:header="0" w:footer="0" w:gutter="0"/>
          <w:cols w:space="720"/>
        </w:sectPr>
      </w:pPr>
    </w:p>
    <w:p w:rsidR="00EA40A3" w:rsidRDefault="00EA40A3">
      <w:pPr>
        <w:spacing w:line="265" w:lineRule="auto"/>
      </w:pPr>
    </w:p>
    <w:p w:rsidR="00EA40A3" w:rsidRDefault="00EA40A3">
      <w:pPr>
        <w:spacing w:line="265" w:lineRule="auto"/>
      </w:pPr>
    </w:p>
    <w:p w:rsidR="00EA40A3" w:rsidRDefault="00E86C16">
      <w:pPr>
        <w:spacing w:before="75" w:line="237" w:lineRule="auto"/>
        <w:ind w:right="73"/>
        <w:rPr>
          <w:rFonts w:ascii="宋体" w:eastAsia="宋体" w:hAnsi="宋体" w:cs="宋体"/>
          <w:sz w:val="23"/>
          <w:szCs w:val="23"/>
        </w:rPr>
      </w:pPr>
      <w:r>
        <w:rPr>
          <w:rFonts w:ascii="宋体" w:eastAsia="宋体" w:hAnsi="宋体" w:cs="宋体"/>
          <w:spacing w:val="-22"/>
          <w:sz w:val="23"/>
          <w:szCs w:val="23"/>
        </w:rPr>
        <w:t>对中国人的特点和我国南北方的地理位置、气候环境、食物</w:t>
      </w:r>
      <w:r>
        <w:rPr>
          <w:rFonts w:ascii="宋体" w:eastAsia="宋体" w:hAnsi="宋体" w:cs="宋体"/>
          <w:spacing w:val="-23"/>
          <w:sz w:val="23"/>
          <w:szCs w:val="23"/>
        </w:rPr>
        <w:t>种类、身材高矮等因</w:t>
      </w:r>
      <w:r>
        <w:rPr>
          <w:rFonts w:ascii="宋体" w:eastAsia="宋体" w:hAnsi="宋体" w:cs="宋体"/>
          <w:sz w:val="23"/>
          <w:szCs w:val="23"/>
        </w:rPr>
        <w:t xml:space="preserve"> </w:t>
      </w:r>
      <w:r>
        <w:rPr>
          <w:rFonts w:ascii="宋体" w:eastAsia="宋体" w:hAnsi="宋体" w:cs="宋体"/>
          <w:spacing w:val="-23"/>
          <w:sz w:val="23"/>
          <w:szCs w:val="23"/>
        </w:rPr>
        <w:t>素的差异，适合中国人的标准体重计算公式为</w:t>
      </w:r>
    </w:p>
    <w:p w:rsidR="00EA40A3" w:rsidRDefault="00E86C16">
      <w:pPr>
        <w:spacing w:line="332" w:lineRule="exact"/>
        <w:ind w:left="2029"/>
        <w:rPr>
          <w:rFonts w:ascii="宋体" w:eastAsia="宋体" w:hAnsi="宋体" w:cs="宋体"/>
          <w:sz w:val="23"/>
          <w:szCs w:val="23"/>
        </w:rPr>
      </w:pPr>
      <w:r>
        <w:rPr>
          <w:rFonts w:ascii="宋体" w:eastAsia="宋体" w:hAnsi="宋体" w:cs="宋体"/>
          <w:spacing w:val="10"/>
          <w:position w:val="7"/>
          <w:sz w:val="23"/>
          <w:szCs w:val="23"/>
        </w:rPr>
        <w:t>标准体重=(身高-150)×0.6+48</w:t>
      </w:r>
    </w:p>
    <w:p w:rsidR="00EA40A3" w:rsidRDefault="00E86C16">
      <w:pPr>
        <w:spacing w:line="213" w:lineRule="auto"/>
        <w:ind w:left="439"/>
        <w:rPr>
          <w:rFonts w:ascii="宋体" w:eastAsia="宋体" w:hAnsi="宋体" w:cs="宋体"/>
          <w:sz w:val="23"/>
          <w:szCs w:val="23"/>
        </w:rPr>
      </w:pPr>
      <w:r>
        <w:rPr>
          <w:rFonts w:ascii="宋体" w:eastAsia="宋体" w:hAnsi="宋体" w:cs="宋体"/>
          <w:spacing w:val="-14"/>
          <w:sz w:val="23"/>
          <w:szCs w:val="23"/>
        </w:rPr>
        <w:t>式中，体重的单位为kg;</w:t>
      </w:r>
      <w:r>
        <w:rPr>
          <w:rFonts w:ascii="宋体" w:eastAsia="宋体" w:hAnsi="宋体" w:cs="宋体"/>
          <w:spacing w:val="-11"/>
          <w:sz w:val="23"/>
          <w:szCs w:val="23"/>
        </w:rPr>
        <w:t xml:space="preserve"> </w:t>
      </w:r>
      <w:r>
        <w:rPr>
          <w:rFonts w:ascii="宋体" w:eastAsia="宋体" w:hAnsi="宋体" w:cs="宋体"/>
          <w:spacing w:val="-14"/>
          <w:sz w:val="23"/>
          <w:szCs w:val="23"/>
        </w:rPr>
        <w:t>身高的单位为cm。</w:t>
      </w:r>
    </w:p>
    <w:p w:rsidR="00EA40A3" w:rsidRDefault="00E86C16">
      <w:pPr>
        <w:spacing w:before="31" w:line="242" w:lineRule="auto"/>
        <w:ind w:right="64" w:firstLine="439"/>
        <w:jc w:val="both"/>
        <w:rPr>
          <w:rFonts w:ascii="宋体" w:eastAsia="宋体" w:hAnsi="宋体" w:cs="宋体"/>
          <w:sz w:val="23"/>
          <w:szCs w:val="23"/>
        </w:rPr>
      </w:pPr>
      <w:r>
        <w:rPr>
          <w:rFonts w:ascii="宋体" w:eastAsia="宋体" w:hAnsi="宋体" w:cs="宋体"/>
          <w:spacing w:val="-12"/>
          <w:sz w:val="23"/>
          <w:szCs w:val="23"/>
        </w:rPr>
        <w:t>肥胖程度的判断方法如下：超过标准体重10%范围内</w:t>
      </w:r>
      <w:r>
        <w:rPr>
          <w:rFonts w:ascii="宋体" w:eastAsia="宋体" w:hAnsi="宋体" w:cs="宋体"/>
          <w:spacing w:val="-13"/>
          <w:sz w:val="23"/>
          <w:szCs w:val="23"/>
        </w:rPr>
        <w:t>属于正常，超过标准</w:t>
      </w:r>
      <w:r>
        <w:rPr>
          <w:rFonts w:ascii="宋体" w:eastAsia="宋体" w:hAnsi="宋体" w:cs="宋体"/>
          <w:sz w:val="23"/>
          <w:szCs w:val="23"/>
        </w:rPr>
        <w:t xml:space="preserve"> </w:t>
      </w:r>
      <w:r>
        <w:rPr>
          <w:rFonts w:ascii="宋体" w:eastAsia="宋体" w:hAnsi="宋体" w:cs="宋体"/>
          <w:spacing w:val="-3"/>
          <w:sz w:val="23"/>
          <w:szCs w:val="23"/>
        </w:rPr>
        <w:t>体重10%～20%为超重；超过标准体重20%～30%为轻度肥胖；超过标准体重</w:t>
      </w:r>
      <w:r>
        <w:rPr>
          <w:rFonts w:ascii="宋体" w:eastAsia="宋体" w:hAnsi="宋体" w:cs="宋体"/>
          <w:spacing w:val="13"/>
          <w:sz w:val="23"/>
          <w:szCs w:val="23"/>
        </w:rPr>
        <w:t xml:space="preserve"> </w:t>
      </w:r>
      <w:r>
        <w:rPr>
          <w:rFonts w:ascii="宋体" w:eastAsia="宋体" w:hAnsi="宋体" w:cs="宋体"/>
          <w:spacing w:val="-6"/>
          <w:sz w:val="23"/>
          <w:szCs w:val="23"/>
        </w:rPr>
        <w:t>30%～50%为中度肥胖；超过标准体重50%以上为重度肥胖。肥胖程度的计算</w:t>
      </w:r>
      <w:r>
        <w:rPr>
          <w:rFonts w:ascii="宋体" w:eastAsia="宋体" w:hAnsi="宋体" w:cs="宋体"/>
          <w:spacing w:val="6"/>
          <w:sz w:val="23"/>
          <w:szCs w:val="23"/>
        </w:rPr>
        <w:t xml:space="preserve"> </w:t>
      </w:r>
      <w:r>
        <w:rPr>
          <w:rFonts w:ascii="宋体" w:eastAsia="宋体" w:hAnsi="宋体" w:cs="宋体"/>
          <w:spacing w:val="-24"/>
          <w:sz w:val="23"/>
          <w:szCs w:val="23"/>
        </w:rPr>
        <w:t>公式：</w:t>
      </w:r>
    </w:p>
    <w:p w:rsidR="00EA40A3" w:rsidRDefault="00E86C16">
      <w:pPr>
        <w:spacing w:before="32" w:line="219" w:lineRule="auto"/>
        <w:ind w:left="1189"/>
        <w:rPr>
          <w:rFonts w:ascii="宋体" w:eastAsia="宋体" w:hAnsi="宋体" w:cs="宋体"/>
          <w:sz w:val="23"/>
          <w:szCs w:val="23"/>
        </w:rPr>
      </w:pPr>
      <w:r>
        <w:rPr>
          <w:rFonts w:ascii="宋体" w:eastAsia="宋体" w:hAnsi="宋体" w:cs="宋体"/>
          <w:spacing w:val="-3"/>
          <w:sz w:val="23"/>
          <w:szCs w:val="23"/>
        </w:rPr>
        <w:t>肥胖程度=(实际体重一标准体重)/标准体重</w:t>
      </w:r>
      <w:r>
        <w:rPr>
          <w:rFonts w:ascii="宋体" w:eastAsia="宋体" w:hAnsi="宋体" w:cs="宋体"/>
          <w:spacing w:val="-4"/>
          <w:sz w:val="23"/>
          <w:szCs w:val="23"/>
        </w:rPr>
        <w:t>×100%</w:t>
      </w:r>
    </w:p>
    <w:p w:rsidR="00EA40A3" w:rsidRDefault="00E86C16">
      <w:pPr>
        <w:spacing w:before="21" w:line="241" w:lineRule="auto"/>
        <w:ind w:right="199" w:firstLine="439"/>
        <w:rPr>
          <w:rFonts w:ascii="宋体" w:eastAsia="宋体" w:hAnsi="宋体" w:cs="宋体"/>
          <w:sz w:val="23"/>
          <w:szCs w:val="23"/>
        </w:rPr>
      </w:pPr>
      <w:r>
        <w:rPr>
          <w:rFonts w:ascii="宋体" w:eastAsia="宋体" w:hAnsi="宋体" w:cs="宋体"/>
          <w:spacing w:val="-13"/>
          <w:sz w:val="23"/>
          <w:szCs w:val="23"/>
        </w:rPr>
        <w:t>体质指数</w:t>
      </w:r>
      <w:r>
        <w:rPr>
          <w:rFonts w:ascii="宋体" w:eastAsia="宋体" w:hAnsi="宋体" w:cs="宋体"/>
          <w:spacing w:val="-3"/>
          <w:sz w:val="23"/>
          <w:szCs w:val="23"/>
        </w:rPr>
        <w:t xml:space="preserve"> </w:t>
      </w:r>
      <w:r>
        <w:rPr>
          <w:rFonts w:ascii="宋体" w:eastAsia="宋体" w:hAnsi="宋体" w:cs="宋体"/>
          <w:spacing w:val="-13"/>
          <w:sz w:val="23"/>
          <w:szCs w:val="23"/>
        </w:rPr>
        <w:t>(BMI)</w:t>
      </w:r>
      <w:r>
        <w:rPr>
          <w:rFonts w:ascii="宋体" w:eastAsia="宋体" w:hAnsi="宋体" w:cs="宋体"/>
          <w:spacing w:val="69"/>
          <w:sz w:val="23"/>
          <w:szCs w:val="23"/>
        </w:rPr>
        <w:t xml:space="preserve"> </w:t>
      </w:r>
      <w:r>
        <w:rPr>
          <w:rFonts w:ascii="宋体" w:eastAsia="宋体" w:hAnsi="宋体" w:cs="宋体"/>
          <w:spacing w:val="-13"/>
          <w:sz w:val="23"/>
          <w:szCs w:val="23"/>
        </w:rPr>
        <w:t>用于评价成人肥胖是比较合适的，</w:t>
      </w:r>
      <w:r>
        <w:rPr>
          <w:rFonts w:ascii="宋体" w:eastAsia="宋体" w:hAnsi="宋体" w:cs="宋体"/>
          <w:spacing w:val="15"/>
          <w:sz w:val="23"/>
          <w:szCs w:val="23"/>
        </w:rPr>
        <w:t xml:space="preserve"> </w:t>
      </w:r>
      <w:r>
        <w:rPr>
          <w:rFonts w:ascii="宋体" w:eastAsia="宋体" w:hAnsi="宋体" w:cs="宋体"/>
          <w:spacing w:val="-13"/>
          <w:sz w:val="23"/>
          <w:szCs w:val="23"/>
        </w:rPr>
        <w:t>BMI=</w:t>
      </w:r>
      <w:r>
        <w:rPr>
          <w:rFonts w:ascii="宋体" w:eastAsia="宋体" w:hAnsi="宋体" w:cs="宋体"/>
          <w:spacing w:val="69"/>
          <w:sz w:val="23"/>
          <w:szCs w:val="23"/>
        </w:rPr>
        <w:t xml:space="preserve"> </w:t>
      </w:r>
      <w:r>
        <w:rPr>
          <w:rFonts w:ascii="宋体" w:eastAsia="宋体" w:hAnsi="宋体" w:cs="宋体"/>
          <w:spacing w:val="-13"/>
          <w:sz w:val="23"/>
          <w:szCs w:val="23"/>
        </w:rPr>
        <w:t>体重</w:t>
      </w:r>
      <w:r>
        <w:rPr>
          <w:rFonts w:ascii="宋体" w:eastAsia="宋体" w:hAnsi="宋体" w:cs="宋体"/>
          <w:spacing w:val="-6"/>
          <w:sz w:val="23"/>
          <w:szCs w:val="23"/>
        </w:rPr>
        <w:t xml:space="preserve"> </w:t>
      </w:r>
      <w:r>
        <w:rPr>
          <w:rFonts w:ascii="宋体" w:eastAsia="宋体" w:hAnsi="宋体" w:cs="宋体"/>
          <w:spacing w:val="-13"/>
          <w:sz w:val="23"/>
          <w:szCs w:val="23"/>
        </w:rPr>
        <w:t>(kg)/</w:t>
      </w:r>
      <w:r>
        <w:rPr>
          <w:rFonts w:ascii="宋体" w:eastAsia="宋体" w:hAnsi="宋体" w:cs="宋体"/>
          <w:sz w:val="23"/>
          <w:szCs w:val="23"/>
        </w:rPr>
        <w:t xml:space="preserve"> </w:t>
      </w:r>
      <w:r>
        <w:rPr>
          <w:rFonts w:ascii="宋体" w:eastAsia="宋体" w:hAnsi="宋体" w:cs="宋体"/>
          <w:spacing w:val="-15"/>
          <w:sz w:val="23"/>
          <w:szCs w:val="23"/>
        </w:rPr>
        <w:t>[身高 (m)]²。</w:t>
      </w:r>
    </w:p>
    <w:p w:rsidR="00EA40A3" w:rsidRDefault="00E86C16">
      <w:pPr>
        <w:spacing w:before="14" w:line="238" w:lineRule="auto"/>
        <w:ind w:firstLine="439"/>
        <w:rPr>
          <w:rFonts w:ascii="宋体" w:eastAsia="宋体" w:hAnsi="宋体" w:cs="宋体"/>
          <w:sz w:val="23"/>
          <w:szCs w:val="23"/>
        </w:rPr>
      </w:pPr>
      <w:r>
        <w:rPr>
          <w:rFonts w:ascii="宋体" w:eastAsia="宋体" w:hAnsi="宋体" w:cs="宋体"/>
          <w:spacing w:val="-7"/>
          <w:sz w:val="23"/>
          <w:szCs w:val="23"/>
        </w:rPr>
        <w:t>世界卫生组织</w:t>
      </w:r>
      <w:r>
        <w:rPr>
          <w:rFonts w:ascii="宋体" w:eastAsia="宋体" w:hAnsi="宋体" w:cs="宋体"/>
          <w:spacing w:val="-17"/>
          <w:sz w:val="23"/>
          <w:szCs w:val="23"/>
        </w:rPr>
        <w:t xml:space="preserve"> </w:t>
      </w:r>
      <w:r>
        <w:rPr>
          <w:rFonts w:ascii="宋体" w:eastAsia="宋体" w:hAnsi="宋体" w:cs="宋体"/>
          <w:spacing w:val="-7"/>
          <w:sz w:val="23"/>
          <w:szCs w:val="23"/>
        </w:rPr>
        <w:t>(WHO)</w:t>
      </w:r>
      <w:r>
        <w:rPr>
          <w:rFonts w:ascii="宋体" w:eastAsia="宋体" w:hAnsi="宋体" w:cs="宋体"/>
          <w:spacing w:val="47"/>
          <w:sz w:val="23"/>
          <w:szCs w:val="23"/>
        </w:rPr>
        <w:t xml:space="preserve">  </w:t>
      </w:r>
      <w:r>
        <w:rPr>
          <w:rFonts w:ascii="宋体" w:eastAsia="宋体" w:hAnsi="宋体" w:cs="宋体"/>
          <w:spacing w:val="-7"/>
          <w:sz w:val="23"/>
          <w:szCs w:val="23"/>
        </w:rPr>
        <w:t>对成人BMI</w:t>
      </w:r>
      <w:r>
        <w:rPr>
          <w:rFonts w:ascii="宋体" w:eastAsia="宋体" w:hAnsi="宋体" w:cs="宋体"/>
          <w:spacing w:val="14"/>
          <w:sz w:val="23"/>
          <w:szCs w:val="23"/>
        </w:rPr>
        <w:t xml:space="preserve"> </w:t>
      </w:r>
      <w:r>
        <w:rPr>
          <w:rFonts w:ascii="宋体" w:eastAsia="宋体" w:hAnsi="宋体" w:cs="宋体"/>
          <w:spacing w:val="-7"/>
          <w:sz w:val="23"/>
          <w:szCs w:val="23"/>
        </w:rPr>
        <w:t>的划分：18.5～24.9为正常范</w:t>
      </w:r>
      <w:r>
        <w:rPr>
          <w:rFonts w:ascii="宋体" w:eastAsia="宋体" w:hAnsi="宋体" w:cs="宋体"/>
          <w:spacing w:val="-8"/>
          <w:sz w:val="23"/>
          <w:szCs w:val="23"/>
        </w:rPr>
        <w:t>围、&lt;</w:t>
      </w:r>
      <w:r>
        <w:rPr>
          <w:rFonts w:ascii="宋体" w:eastAsia="宋体" w:hAnsi="宋体" w:cs="宋体"/>
          <w:sz w:val="23"/>
          <w:szCs w:val="23"/>
        </w:rPr>
        <w:t xml:space="preserve"> </w:t>
      </w:r>
      <w:r>
        <w:rPr>
          <w:rFonts w:ascii="宋体" w:eastAsia="宋体" w:hAnsi="宋体" w:cs="宋体"/>
          <w:spacing w:val="-11"/>
          <w:sz w:val="23"/>
          <w:szCs w:val="23"/>
        </w:rPr>
        <w:t>18.50为低体重(营养不足)、≥25.0为超重、肥胖前状态25.0～29.9、一级肥</w:t>
      </w:r>
      <w:r>
        <w:rPr>
          <w:rFonts w:ascii="宋体" w:eastAsia="宋体" w:hAnsi="宋体" w:cs="宋体"/>
          <w:spacing w:val="2"/>
          <w:sz w:val="23"/>
          <w:szCs w:val="23"/>
        </w:rPr>
        <w:t xml:space="preserve">  </w:t>
      </w:r>
      <w:r>
        <w:rPr>
          <w:rFonts w:ascii="宋体" w:eastAsia="宋体" w:hAnsi="宋体" w:cs="宋体"/>
          <w:spacing w:val="-12"/>
          <w:sz w:val="23"/>
          <w:szCs w:val="23"/>
        </w:rPr>
        <w:t>胖30.0～34.9、二级肥胖35.0～39.</w:t>
      </w:r>
      <w:r>
        <w:rPr>
          <w:rFonts w:ascii="宋体" w:eastAsia="宋体" w:hAnsi="宋体" w:cs="宋体"/>
          <w:spacing w:val="-13"/>
          <w:sz w:val="23"/>
          <w:szCs w:val="23"/>
        </w:rPr>
        <w:t>9、三级肥胖≥40.0。这一标准为世界各国</w:t>
      </w:r>
      <w:r>
        <w:rPr>
          <w:rFonts w:ascii="宋体" w:eastAsia="宋体" w:hAnsi="宋体" w:cs="宋体"/>
          <w:sz w:val="23"/>
          <w:szCs w:val="23"/>
        </w:rPr>
        <w:t xml:space="preserve"> </w:t>
      </w:r>
      <w:r>
        <w:rPr>
          <w:rFonts w:ascii="宋体" w:eastAsia="宋体" w:hAnsi="宋体" w:cs="宋体"/>
          <w:spacing w:val="-20"/>
          <w:w w:val="99"/>
          <w:sz w:val="23"/>
          <w:szCs w:val="23"/>
        </w:rPr>
        <w:t>广泛采用。</w:t>
      </w:r>
      <w:r>
        <w:rPr>
          <w:rFonts w:ascii="宋体" w:eastAsia="宋体" w:hAnsi="宋体" w:cs="宋体"/>
          <w:spacing w:val="-27"/>
          <w:sz w:val="23"/>
          <w:szCs w:val="23"/>
        </w:rPr>
        <w:t xml:space="preserve"> </w:t>
      </w:r>
      <w:r>
        <w:rPr>
          <w:rFonts w:ascii="宋体" w:eastAsia="宋体" w:hAnsi="宋体" w:cs="宋体"/>
          <w:spacing w:val="-20"/>
          <w:w w:val="99"/>
          <w:sz w:val="23"/>
          <w:szCs w:val="23"/>
        </w:rPr>
        <w:t>WHO</w:t>
      </w:r>
      <w:r>
        <w:rPr>
          <w:rFonts w:ascii="宋体" w:eastAsia="宋体" w:hAnsi="宋体" w:cs="宋体"/>
          <w:spacing w:val="8"/>
          <w:sz w:val="23"/>
          <w:szCs w:val="23"/>
        </w:rPr>
        <w:t xml:space="preserve">  </w:t>
      </w:r>
      <w:r>
        <w:rPr>
          <w:rFonts w:ascii="宋体" w:eastAsia="宋体" w:hAnsi="宋体" w:cs="宋体"/>
          <w:spacing w:val="-20"/>
          <w:w w:val="99"/>
          <w:sz w:val="23"/>
          <w:szCs w:val="23"/>
        </w:rPr>
        <w:t>肥胖专家顾问组针对亚太地区人群的体质及其与肥胖有关疾病</w:t>
      </w:r>
      <w:r>
        <w:rPr>
          <w:rFonts w:ascii="宋体" w:eastAsia="宋体" w:hAnsi="宋体" w:cs="宋体"/>
          <w:spacing w:val="1"/>
          <w:sz w:val="23"/>
          <w:szCs w:val="23"/>
        </w:rPr>
        <w:t xml:space="preserve"> </w:t>
      </w:r>
      <w:r>
        <w:rPr>
          <w:rFonts w:ascii="宋体" w:eastAsia="宋体" w:hAnsi="宋体" w:cs="宋体"/>
          <w:spacing w:val="-10"/>
          <w:sz w:val="23"/>
          <w:szCs w:val="23"/>
        </w:rPr>
        <w:t>的特点，在2002年提出亚洲成年人BMI&lt;18.5</w:t>
      </w:r>
      <w:r>
        <w:rPr>
          <w:rFonts w:ascii="宋体" w:eastAsia="宋体" w:hAnsi="宋体" w:cs="宋体"/>
          <w:spacing w:val="68"/>
          <w:sz w:val="23"/>
          <w:szCs w:val="23"/>
        </w:rPr>
        <w:t xml:space="preserve"> </w:t>
      </w:r>
      <w:r>
        <w:rPr>
          <w:rFonts w:ascii="宋体" w:eastAsia="宋体" w:hAnsi="宋体" w:cs="宋体"/>
          <w:spacing w:val="-10"/>
          <w:sz w:val="23"/>
          <w:szCs w:val="23"/>
        </w:rPr>
        <w:t>为体重过低、18.5～22.9正常、</w:t>
      </w:r>
      <w:r>
        <w:rPr>
          <w:rFonts w:ascii="宋体" w:eastAsia="宋体" w:hAnsi="宋体" w:cs="宋体"/>
          <w:sz w:val="23"/>
          <w:szCs w:val="23"/>
        </w:rPr>
        <w:t xml:space="preserve"> </w:t>
      </w:r>
      <w:r>
        <w:rPr>
          <w:rFonts w:ascii="宋体" w:eastAsia="宋体" w:hAnsi="宋体" w:cs="宋体"/>
          <w:spacing w:val="-10"/>
          <w:sz w:val="23"/>
          <w:szCs w:val="23"/>
        </w:rPr>
        <w:t>≥23.0超重、23.0～24.9肥胖前期、25.0～29.</w:t>
      </w:r>
      <w:r>
        <w:rPr>
          <w:rFonts w:ascii="宋体" w:eastAsia="宋体" w:hAnsi="宋体" w:cs="宋体"/>
          <w:spacing w:val="-11"/>
          <w:sz w:val="23"/>
          <w:szCs w:val="23"/>
        </w:rPr>
        <w:t>9一级肥胖、≥30.0二级肥胖，</w:t>
      </w:r>
      <w:r>
        <w:rPr>
          <w:rFonts w:ascii="宋体" w:eastAsia="宋体" w:hAnsi="宋体" w:cs="宋体"/>
          <w:sz w:val="23"/>
          <w:szCs w:val="23"/>
        </w:rPr>
        <w:t xml:space="preserve"> </w:t>
      </w:r>
      <w:r>
        <w:rPr>
          <w:rFonts w:ascii="宋体" w:eastAsia="宋体" w:hAnsi="宋体" w:cs="宋体"/>
          <w:spacing w:val="-23"/>
          <w:sz w:val="23"/>
          <w:szCs w:val="23"/>
        </w:rPr>
        <w:t>这一标准很少人采用。最近国际生命科学学会中国办事处中国肥胖问题工作组提</w:t>
      </w:r>
      <w:r>
        <w:rPr>
          <w:rFonts w:ascii="宋体" w:eastAsia="宋体" w:hAnsi="宋体" w:cs="宋体"/>
          <w:spacing w:val="12"/>
          <w:sz w:val="23"/>
          <w:szCs w:val="23"/>
        </w:rPr>
        <w:t xml:space="preserve"> </w:t>
      </w:r>
      <w:r>
        <w:rPr>
          <w:rFonts w:ascii="宋体" w:eastAsia="宋体" w:hAnsi="宋体" w:cs="宋体"/>
          <w:spacing w:val="-14"/>
          <w:sz w:val="23"/>
          <w:szCs w:val="23"/>
        </w:rPr>
        <w:t>出对中国成人判断超重和肥胖程度的界限值，</w:t>
      </w:r>
      <w:r>
        <w:rPr>
          <w:rFonts w:ascii="宋体" w:eastAsia="宋体" w:hAnsi="宋体" w:cs="宋体"/>
          <w:spacing w:val="4"/>
          <w:sz w:val="23"/>
          <w:szCs w:val="23"/>
        </w:rPr>
        <w:t xml:space="preserve"> </w:t>
      </w:r>
      <w:r>
        <w:rPr>
          <w:rFonts w:ascii="宋体" w:eastAsia="宋体" w:hAnsi="宋体" w:cs="宋体"/>
          <w:spacing w:val="-14"/>
          <w:sz w:val="23"/>
          <w:szCs w:val="23"/>
        </w:rPr>
        <w:t>BMI&lt;18</w:t>
      </w:r>
      <w:r>
        <w:rPr>
          <w:rFonts w:ascii="宋体" w:eastAsia="宋体" w:hAnsi="宋体" w:cs="宋体"/>
          <w:spacing w:val="-15"/>
          <w:sz w:val="23"/>
          <w:szCs w:val="23"/>
        </w:rPr>
        <w:t>.5</w:t>
      </w:r>
      <w:r>
        <w:rPr>
          <w:rFonts w:ascii="宋体" w:eastAsia="宋体" w:hAnsi="宋体" w:cs="宋体"/>
          <w:spacing w:val="98"/>
          <w:sz w:val="23"/>
          <w:szCs w:val="23"/>
        </w:rPr>
        <w:t xml:space="preserve"> </w:t>
      </w:r>
      <w:r>
        <w:rPr>
          <w:rFonts w:ascii="宋体" w:eastAsia="宋体" w:hAnsi="宋体" w:cs="宋体"/>
          <w:spacing w:val="-15"/>
          <w:sz w:val="23"/>
          <w:szCs w:val="23"/>
        </w:rPr>
        <w:t>为体重过低、18.5~</w:t>
      </w:r>
      <w:r>
        <w:rPr>
          <w:rFonts w:ascii="宋体" w:eastAsia="宋体" w:hAnsi="宋体" w:cs="宋体"/>
          <w:sz w:val="23"/>
          <w:szCs w:val="23"/>
        </w:rPr>
        <w:t xml:space="preserve">  </w:t>
      </w:r>
      <w:r>
        <w:rPr>
          <w:rFonts w:ascii="宋体" w:eastAsia="宋体" w:hAnsi="宋体" w:cs="宋体"/>
          <w:spacing w:val="-13"/>
          <w:sz w:val="23"/>
          <w:szCs w:val="23"/>
        </w:rPr>
        <w:t>23.9为体重正常、24.0～27.9为超</w:t>
      </w:r>
      <w:r>
        <w:rPr>
          <w:rFonts w:ascii="宋体" w:eastAsia="宋体" w:hAnsi="宋体" w:cs="宋体"/>
          <w:spacing w:val="-14"/>
          <w:sz w:val="23"/>
          <w:szCs w:val="23"/>
        </w:rPr>
        <w:t>重、≥28为肥胖。为了便于进行国际间的相</w:t>
      </w:r>
      <w:r>
        <w:rPr>
          <w:rFonts w:ascii="宋体" w:eastAsia="宋体" w:hAnsi="宋体" w:cs="宋体"/>
          <w:sz w:val="23"/>
          <w:szCs w:val="23"/>
        </w:rPr>
        <w:t xml:space="preserve"> </w:t>
      </w:r>
      <w:r>
        <w:rPr>
          <w:rFonts w:ascii="宋体" w:eastAsia="宋体" w:hAnsi="宋体" w:cs="宋体"/>
          <w:spacing w:val="-14"/>
          <w:sz w:val="23"/>
          <w:szCs w:val="23"/>
        </w:rPr>
        <w:t>互比较，各国多推荐使用WHO</w:t>
      </w:r>
      <w:r>
        <w:rPr>
          <w:rFonts w:ascii="宋体" w:eastAsia="宋体" w:hAnsi="宋体" w:cs="宋体"/>
          <w:spacing w:val="126"/>
          <w:sz w:val="23"/>
          <w:szCs w:val="23"/>
        </w:rPr>
        <w:t xml:space="preserve"> </w:t>
      </w:r>
      <w:r>
        <w:rPr>
          <w:rFonts w:ascii="宋体" w:eastAsia="宋体" w:hAnsi="宋体" w:cs="宋体"/>
          <w:spacing w:val="-14"/>
          <w:sz w:val="23"/>
          <w:szCs w:val="23"/>
        </w:rPr>
        <w:t>对成人BMI</w:t>
      </w:r>
      <w:r>
        <w:rPr>
          <w:rFonts w:ascii="宋体" w:eastAsia="宋体" w:hAnsi="宋体" w:cs="宋体"/>
          <w:spacing w:val="-6"/>
          <w:sz w:val="23"/>
          <w:szCs w:val="23"/>
        </w:rPr>
        <w:t xml:space="preserve"> </w:t>
      </w:r>
      <w:r>
        <w:rPr>
          <w:rFonts w:ascii="宋体" w:eastAsia="宋体" w:hAnsi="宋体" w:cs="宋体"/>
          <w:spacing w:val="-14"/>
          <w:sz w:val="23"/>
          <w:szCs w:val="23"/>
        </w:rPr>
        <w:t>的分级标准。</w:t>
      </w:r>
    </w:p>
    <w:p w:rsidR="00EA40A3" w:rsidRDefault="00E86C16">
      <w:pPr>
        <w:spacing w:before="266" w:line="223" w:lineRule="auto"/>
        <w:ind w:left="3"/>
        <w:outlineLvl w:val="6"/>
        <w:rPr>
          <w:rFonts w:ascii="黑体" w:eastAsia="黑体" w:hAnsi="黑体" w:cs="黑体"/>
          <w:sz w:val="23"/>
          <w:szCs w:val="23"/>
        </w:rPr>
      </w:pPr>
      <w:r>
        <w:rPr>
          <w:rFonts w:ascii="黑体" w:eastAsia="黑体" w:hAnsi="黑体" w:cs="黑体"/>
          <w:b/>
          <w:bCs/>
          <w:sz w:val="23"/>
          <w:szCs w:val="23"/>
        </w:rPr>
        <w:t>11.3.3</w:t>
      </w:r>
      <w:r>
        <w:rPr>
          <w:rFonts w:ascii="黑体" w:eastAsia="黑体" w:hAnsi="黑体" w:cs="黑体"/>
          <w:spacing w:val="9"/>
          <w:sz w:val="23"/>
          <w:szCs w:val="23"/>
        </w:rPr>
        <w:t xml:space="preserve">  </w:t>
      </w:r>
      <w:r>
        <w:rPr>
          <w:rFonts w:ascii="黑体" w:eastAsia="黑体" w:hAnsi="黑体" w:cs="黑体"/>
          <w:b/>
          <w:bCs/>
          <w:sz w:val="23"/>
          <w:szCs w:val="23"/>
        </w:rPr>
        <w:t>肥胖的原因</w:t>
      </w:r>
    </w:p>
    <w:p w:rsidR="00EA40A3" w:rsidRDefault="00E86C16">
      <w:pPr>
        <w:spacing w:before="173" w:line="230" w:lineRule="auto"/>
        <w:ind w:right="60" w:firstLine="439"/>
        <w:rPr>
          <w:rFonts w:ascii="宋体" w:eastAsia="宋体" w:hAnsi="宋体" w:cs="宋体"/>
          <w:sz w:val="23"/>
          <w:szCs w:val="23"/>
        </w:rPr>
      </w:pPr>
      <w:r>
        <w:rPr>
          <w:rFonts w:ascii="宋体" w:eastAsia="宋体" w:hAnsi="宋体" w:cs="宋体"/>
          <w:spacing w:val="-23"/>
          <w:sz w:val="23"/>
          <w:szCs w:val="23"/>
        </w:rPr>
        <w:t>引起肥胖的因素很多，先天遗传因素和后天环境因素如膳食行为、体力活动</w:t>
      </w:r>
      <w:r>
        <w:rPr>
          <w:rFonts w:ascii="宋体" w:eastAsia="宋体" w:hAnsi="宋体" w:cs="宋体"/>
          <w:spacing w:val="12"/>
          <w:sz w:val="23"/>
          <w:szCs w:val="23"/>
        </w:rPr>
        <w:t xml:space="preserve"> </w:t>
      </w:r>
      <w:r>
        <w:rPr>
          <w:rFonts w:ascii="宋体" w:eastAsia="宋体" w:hAnsi="宋体" w:cs="宋体"/>
          <w:spacing w:val="-23"/>
          <w:sz w:val="23"/>
          <w:szCs w:val="23"/>
        </w:rPr>
        <w:t>和锻炼、心理因素、社会因素等对肥胖的发生都有重要作用。</w:t>
      </w:r>
    </w:p>
    <w:p w:rsidR="00EA40A3" w:rsidRDefault="00E86C16">
      <w:pPr>
        <w:spacing w:before="198" w:line="223" w:lineRule="auto"/>
        <w:rPr>
          <w:rFonts w:ascii="仿宋" w:eastAsia="仿宋" w:hAnsi="仿宋" w:cs="仿宋"/>
          <w:sz w:val="23"/>
          <w:szCs w:val="23"/>
        </w:rPr>
      </w:pPr>
      <w:r>
        <w:rPr>
          <w:rFonts w:ascii="仿宋" w:eastAsia="仿宋" w:hAnsi="仿宋" w:cs="仿宋"/>
          <w:spacing w:val="1"/>
          <w:sz w:val="23"/>
          <w:szCs w:val="23"/>
        </w:rPr>
        <w:t>1.</w:t>
      </w:r>
      <w:r>
        <w:rPr>
          <w:rFonts w:ascii="仿宋" w:eastAsia="仿宋" w:hAnsi="仿宋" w:cs="仿宋"/>
          <w:spacing w:val="-60"/>
          <w:sz w:val="23"/>
          <w:szCs w:val="23"/>
        </w:rPr>
        <w:t xml:space="preserve"> </w:t>
      </w:r>
      <w:r>
        <w:rPr>
          <w:rFonts w:ascii="仿宋" w:eastAsia="仿宋" w:hAnsi="仿宋" w:cs="仿宋"/>
          <w:spacing w:val="1"/>
          <w:sz w:val="23"/>
          <w:szCs w:val="23"/>
        </w:rPr>
        <w:t>遗传因素与肥胖</w:t>
      </w:r>
    </w:p>
    <w:p w:rsidR="00EA40A3" w:rsidRDefault="00E86C16">
      <w:pPr>
        <w:spacing w:before="177" w:line="238" w:lineRule="auto"/>
        <w:ind w:right="67" w:firstLine="439"/>
        <w:jc w:val="both"/>
        <w:rPr>
          <w:rFonts w:ascii="宋体" w:eastAsia="宋体" w:hAnsi="宋体" w:cs="宋体"/>
          <w:sz w:val="23"/>
          <w:szCs w:val="23"/>
        </w:rPr>
      </w:pPr>
      <w:r>
        <w:rPr>
          <w:rFonts w:ascii="宋体" w:eastAsia="宋体" w:hAnsi="宋体" w:cs="宋体"/>
          <w:spacing w:val="-9"/>
          <w:sz w:val="23"/>
          <w:szCs w:val="23"/>
        </w:rPr>
        <w:t>肥胖常与遗传有关。据统计，双亲体重正常其子女肥</w:t>
      </w:r>
      <w:r>
        <w:rPr>
          <w:rFonts w:ascii="宋体" w:eastAsia="宋体" w:hAnsi="宋体" w:cs="宋体"/>
          <w:spacing w:val="-10"/>
          <w:sz w:val="23"/>
          <w:szCs w:val="23"/>
        </w:rPr>
        <w:t>胖发生率为10%;双</w:t>
      </w:r>
      <w:r>
        <w:rPr>
          <w:rFonts w:ascii="宋体" w:eastAsia="宋体" w:hAnsi="宋体" w:cs="宋体"/>
          <w:sz w:val="23"/>
          <w:szCs w:val="23"/>
        </w:rPr>
        <w:t xml:space="preserve"> </w:t>
      </w:r>
      <w:r>
        <w:rPr>
          <w:rFonts w:ascii="宋体" w:eastAsia="宋体" w:hAnsi="宋体" w:cs="宋体"/>
          <w:spacing w:val="-3"/>
          <w:sz w:val="23"/>
          <w:szCs w:val="23"/>
        </w:rPr>
        <w:t>亲中一人肥胖，子女肥胖发病率为50%;双亲均肥胖，子女肥胖发病率高达</w:t>
      </w:r>
      <w:r>
        <w:rPr>
          <w:rFonts w:ascii="宋体" w:eastAsia="宋体" w:hAnsi="宋体" w:cs="宋体"/>
          <w:sz w:val="23"/>
          <w:szCs w:val="23"/>
        </w:rPr>
        <w:t xml:space="preserve"> </w:t>
      </w:r>
      <w:r>
        <w:rPr>
          <w:rFonts w:ascii="宋体" w:eastAsia="宋体" w:hAnsi="宋体" w:cs="宋体"/>
          <w:spacing w:val="-19"/>
          <w:sz w:val="23"/>
          <w:szCs w:val="23"/>
        </w:rPr>
        <w:t>70%。同卵孪生儿在同一环境成长，其体重近似；即使在不同环境成长，其体重</w:t>
      </w:r>
      <w:r>
        <w:rPr>
          <w:rFonts w:ascii="宋体" w:eastAsia="宋体" w:hAnsi="宋体" w:cs="宋体"/>
          <w:spacing w:val="7"/>
          <w:sz w:val="23"/>
          <w:szCs w:val="23"/>
        </w:rPr>
        <w:t xml:space="preserve"> </w:t>
      </w:r>
      <w:r>
        <w:rPr>
          <w:rFonts w:ascii="宋体" w:eastAsia="宋体" w:hAnsi="宋体" w:cs="宋体"/>
          <w:spacing w:val="-23"/>
          <w:sz w:val="23"/>
          <w:szCs w:val="23"/>
        </w:rPr>
        <w:t>差别也小于异卵孪生子间的差别。肥胖患者不但肥胖具有遗传性，而且脂肪分布</w:t>
      </w:r>
      <w:r>
        <w:rPr>
          <w:rFonts w:ascii="宋体" w:eastAsia="宋体" w:hAnsi="宋体" w:cs="宋体"/>
          <w:spacing w:val="14"/>
          <w:sz w:val="23"/>
          <w:szCs w:val="23"/>
        </w:rPr>
        <w:t xml:space="preserve"> </w:t>
      </w:r>
      <w:r>
        <w:rPr>
          <w:rFonts w:ascii="宋体" w:eastAsia="宋体" w:hAnsi="宋体" w:cs="宋体"/>
          <w:spacing w:val="-16"/>
          <w:sz w:val="23"/>
          <w:szCs w:val="23"/>
        </w:rPr>
        <w:t>的部位及骨骼状态也有遗传性。肥胖的遗传倾向还表现在脂肪细胞数目和(或)</w:t>
      </w:r>
      <w:r>
        <w:rPr>
          <w:rFonts w:ascii="宋体" w:eastAsia="宋体" w:hAnsi="宋体" w:cs="宋体"/>
          <w:spacing w:val="16"/>
          <w:sz w:val="23"/>
          <w:szCs w:val="23"/>
        </w:rPr>
        <w:t xml:space="preserve"> </w:t>
      </w:r>
      <w:r>
        <w:rPr>
          <w:rFonts w:ascii="宋体" w:eastAsia="宋体" w:hAnsi="宋体" w:cs="宋体"/>
          <w:spacing w:val="-21"/>
          <w:w w:val="99"/>
          <w:sz w:val="23"/>
          <w:szCs w:val="23"/>
        </w:rPr>
        <w:t>细胞体积增大，遗传不仅影响着机体脂肪量及其分布，机体能量摄入、基础代谢</w:t>
      </w:r>
      <w:r>
        <w:rPr>
          <w:rFonts w:ascii="宋体" w:eastAsia="宋体" w:hAnsi="宋体" w:cs="宋体"/>
          <w:spacing w:val="21"/>
          <w:sz w:val="23"/>
          <w:szCs w:val="23"/>
        </w:rPr>
        <w:t xml:space="preserve"> </w:t>
      </w:r>
      <w:r>
        <w:rPr>
          <w:rFonts w:ascii="宋体" w:eastAsia="宋体" w:hAnsi="宋体" w:cs="宋体"/>
          <w:spacing w:val="-23"/>
          <w:sz w:val="23"/>
          <w:szCs w:val="23"/>
        </w:rPr>
        <w:t>率、体力活动习惯及营养素利用等均与遗传有关。另外，在分子水平上的研究也</w:t>
      </w:r>
      <w:r>
        <w:rPr>
          <w:rFonts w:ascii="宋体" w:eastAsia="宋体" w:hAnsi="宋体" w:cs="宋体"/>
          <w:spacing w:val="16"/>
          <w:sz w:val="23"/>
          <w:szCs w:val="23"/>
        </w:rPr>
        <w:t xml:space="preserve"> </w:t>
      </w:r>
      <w:r>
        <w:rPr>
          <w:rFonts w:ascii="宋体" w:eastAsia="宋体" w:hAnsi="宋体" w:cs="宋体"/>
          <w:spacing w:val="-23"/>
          <w:sz w:val="23"/>
          <w:szCs w:val="23"/>
        </w:rPr>
        <w:t>表明，有多种单基因突变均可引起小鼠肥胖表型，并且已发现了这些基因与人类</w:t>
      </w:r>
      <w:r>
        <w:rPr>
          <w:rFonts w:ascii="宋体" w:eastAsia="宋体" w:hAnsi="宋体" w:cs="宋体"/>
          <w:spacing w:val="12"/>
          <w:sz w:val="23"/>
          <w:szCs w:val="23"/>
        </w:rPr>
        <w:t xml:space="preserve"> </w:t>
      </w:r>
      <w:r>
        <w:rPr>
          <w:rFonts w:ascii="宋体" w:eastAsia="宋体" w:hAnsi="宋体" w:cs="宋体"/>
          <w:spacing w:val="-25"/>
          <w:sz w:val="23"/>
          <w:szCs w:val="23"/>
        </w:rPr>
        <w:t>的基因具有极高的同源性。</w:t>
      </w:r>
    </w:p>
    <w:p w:rsidR="00EA40A3" w:rsidRDefault="00E86C16">
      <w:pPr>
        <w:spacing w:before="160"/>
        <w:ind w:right="130"/>
        <w:jc w:val="right"/>
        <w:rPr>
          <w:rFonts w:ascii="宋体" w:eastAsia="宋体" w:hAnsi="宋体" w:cs="宋体"/>
          <w:sz w:val="16"/>
          <w:szCs w:val="16"/>
        </w:rPr>
      </w:pPr>
      <w:r>
        <w:rPr>
          <w:rFonts w:ascii="宋体" w:eastAsia="宋体" w:hAnsi="宋体" w:cs="宋体"/>
          <w:spacing w:val="-19"/>
          <w:sz w:val="16"/>
          <w:szCs w:val="16"/>
        </w:rPr>
        <w:t>·</w:t>
      </w:r>
      <w:r>
        <w:rPr>
          <w:rFonts w:ascii="宋体" w:eastAsia="宋体" w:hAnsi="宋体" w:cs="宋体"/>
          <w:spacing w:val="6"/>
          <w:sz w:val="16"/>
          <w:szCs w:val="16"/>
        </w:rPr>
        <w:t xml:space="preserve"> </w:t>
      </w:r>
      <w:r>
        <w:rPr>
          <w:rFonts w:ascii="宋体" w:eastAsia="宋体" w:hAnsi="宋体" w:cs="宋体"/>
          <w:spacing w:val="-19"/>
          <w:sz w:val="16"/>
          <w:szCs w:val="16"/>
        </w:rPr>
        <w:t>359</w:t>
      </w:r>
      <w:r>
        <w:rPr>
          <w:rFonts w:ascii="宋体" w:eastAsia="宋体" w:hAnsi="宋体" w:cs="宋体"/>
          <w:spacing w:val="52"/>
          <w:w w:val="101"/>
          <w:sz w:val="16"/>
          <w:szCs w:val="16"/>
        </w:rPr>
        <w:t xml:space="preserve"> </w:t>
      </w:r>
      <w:r>
        <w:rPr>
          <w:rFonts w:ascii="宋体" w:eastAsia="宋体" w:hAnsi="宋体" w:cs="宋体"/>
          <w:spacing w:val="-19"/>
          <w:sz w:val="16"/>
          <w:szCs w:val="16"/>
        </w:rPr>
        <w:t>·</w:t>
      </w:r>
    </w:p>
    <w:p w:rsidR="00EA40A3" w:rsidRDefault="00EA40A3">
      <w:pPr>
        <w:sectPr w:rsidR="00EA40A3">
          <w:pgSz w:w="9220" w:h="13360"/>
          <w:pgMar w:top="400" w:right="905" w:bottom="400" w:left="970" w:header="0" w:footer="0" w:gutter="0"/>
          <w:cols w:space="720"/>
        </w:sectPr>
      </w:pPr>
    </w:p>
    <w:p w:rsidR="00EA40A3" w:rsidRDefault="00EA40A3">
      <w:pPr>
        <w:spacing w:line="250" w:lineRule="auto"/>
      </w:pPr>
    </w:p>
    <w:p w:rsidR="00EA40A3" w:rsidRDefault="00EA40A3">
      <w:pPr>
        <w:spacing w:line="251" w:lineRule="auto"/>
      </w:pPr>
    </w:p>
    <w:p w:rsidR="00EA40A3" w:rsidRDefault="00EA40A3">
      <w:pPr>
        <w:spacing w:line="251" w:lineRule="auto"/>
      </w:pPr>
    </w:p>
    <w:p w:rsidR="00EA40A3" w:rsidRDefault="00E86C16">
      <w:pPr>
        <w:spacing w:before="71" w:line="223"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40"/>
          <w:sz w:val="22"/>
          <w:szCs w:val="22"/>
        </w:rPr>
        <w:t xml:space="preserve"> </w:t>
      </w:r>
      <w:r>
        <w:rPr>
          <w:rFonts w:ascii="仿宋" w:eastAsia="仿宋" w:hAnsi="仿宋" w:cs="仿宋"/>
          <w:spacing w:val="12"/>
          <w:sz w:val="22"/>
          <w:szCs w:val="22"/>
        </w:rPr>
        <w:t>饮食与肥胖</w:t>
      </w:r>
    </w:p>
    <w:p w:rsidR="00EA40A3" w:rsidRDefault="00E86C16">
      <w:pPr>
        <w:spacing w:before="167" w:line="246" w:lineRule="auto"/>
        <w:ind w:right="98" w:firstLine="410"/>
        <w:jc w:val="both"/>
        <w:rPr>
          <w:rFonts w:ascii="宋体" w:eastAsia="宋体" w:hAnsi="宋体" w:cs="宋体"/>
          <w:sz w:val="22"/>
          <w:szCs w:val="22"/>
        </w:rPr>
      </w:pPr>
      <w:r>
        <w:rPr>
          <w:rFonts w:ascii="宋体" w:eastAsia="宋体" w:hAnsi="宋体" w:cs="宋体"/>
          <w:spacing w:val="-13"/>
          <w:sz w:val="22"/>
          <w:szCs w:val="22"/>
        </w:rPr>
        <w:t>营养不良可能导致肥胖，这包括了营养过剩以及营养不足。肥胖者往往有饮</w:t>
      </w:r>
      <w:r>
        <w:rPr>
          <w:rFonts w:ascii="宋体" w:eastAsia="宋体" w:hAnsi="宋体" w:cs="宋体"/>
          <w:spacing w:val="6"/>
          <w:sz w:val="22"/>
          <w:szCs w:val="22"/>
        </w:rPr>
        <w:t xml:space="preserve"> </w:t>
      </w:r>
      <w:r>
        <w:rPr>
          <w:rFonts w:ascii="宋体" w:eastAsia="宋体" w:hAnsi="宋体" w:cs="宋体"/>
          <w:spacing w:val="-7"/>
          <w:sz w:val="22"/>
          <w:szCs w:val="22"/>
        </w:rPr>
        <w:t>食增多史，食量大，喜食甜食或每餐中间加食引</w:t>
      </w:r>
      <w:r>
        <w:rPr>
          <w:rFonts w:ascii="宋体" w:eastAsia="宋体" w:hAnsi="宋体" w:cs="宋体"/>
          <w:spacing w:val="-8"/>
          <w:sz w:val="22"/>
          <w:szCs w:val="22"/>
        </w:rPr>
        <w:t>起能量过剩。在同等热量情况</w:t>
      </w:r>
      <w:r>
        <w:rPr>
          <w:rFonts w:ascii="宋体" w:eastAsia="宋体" w:hAnsi="宋体" w:cs="宋体"/>
          <w:sz w:val="22"/>
          <w:szCs w:val="22"/>
        </w:rPr>
        <w:t xml:space="preserve"> </w:t>
      </w:r>
      <w:r>
        <w:rPr>
          <w:rFonts w:ascii="宋体" w:eastAsia="宋体" w:hAnsi="宋体" w:cs="宋体"/>
          <w:spacing w:val="-14"/>
          <w:sz w:val="22"/>
          <w:szCs w:val="22"/>
        </w:rPr>
        <w:t>下，有睡前进食及晚餐多食的习惯。饮食过量使热量摄入超标，体内剩余的能量</w:t>
      </w:r>
      <w:r>
        <w:rPr>
          <w:rFonts w:ascii="宋体" w:eastAsia="宋体" w:hAnsi="宋体" w:cs="宋体"/>
          <w:spacing w:val="17"/>
          <w:sz w:val="22"/>
          <w:szCs w:val="22"/>
        </w:rPr>
        <w:t xml:space="preserve"> </w:t>
      </w:r>
      <w:r>
        <w:rPr>
          <w:rFonts w:ascii="宋体" w:eastAsia="宋体" w:hAnsi="宋体" w:cs="宋体"/>
          <w:spacing w:val="-13"/>
          <w:sz w:val="22"/>
          <w:szCs w:val="22"/>
        </w:rPr>
        <w:t>转化成体脂，储存在脂肪细胞内，促使脂肪细胞肥大，久之脂肪大量堆积导致肥</w:t>
      </w:r>
      <w:r>
        <w:rPr>
          <w:rFonts w:ascii="宋体" w:eastAsia="宋体" w:hAnsi="宋体" w:cs="宋体"/>
          <w:spacing w:val="1"/>
          <w:sz w:val="22"/>
          <w:szCs w:val="22"/>
        </w:rPr>
        <w:t xml:space="preserve"> </w:t>
      </w:r>
      <w:r>
        <w:rPr>
          <w:rFonts w:ascii="宋体" w:eastAsia="宋体" w:hAnsi="宋体" w:cs="宋体"/>
          <w:spacing w:val="-13"/>
          <w:sz w:val="22"/>
          <w:szCs w:val="22"/>
        </w:rPr>
        <w:t>胖。不合理的膳食制度如：膳食过于精细、三餐分配不合理、吃饭速度快、吃零</w:t>
      </w:r>
      <w:r>
        <w:rPr>
          <w:rFonts w:ascii="宋体" w:eastAsia="宋体" w:hAnsi="宋体" w:cs="宋体"/>
          <w:spacing w:val="2"/>
          <w:sz w:val="22"/>
          <w:szCs w:val="22"/>
        </w:rPr>
        <w:t xml:space="preserve"> </w:t>
      </w:r>
      <w:r>
        <w:rPr>
          <w:rFonts w:ascii="宋体" w:eastAsia="宋体" w:hAnsi="宋体" w:cs="宋体"/>
          <w:spacing w:val="-13"/>
          <w:sz w:val="22"/>
          <w:szCs w:val="22"/>
        </w:rPr>
        <w:t>食太多等也与肥胖相关。肥胖是能量过剩，不等同于营养过剩。近年来，营养学</w:t>
      </w:r>
      <w:r>
        <w:rPr>
          <w:rFonts w:ascii="宋体" w:eastAsia="宋体" w:hAnsi="宋体" w:cs="宋体"/>
          <w:spacing w:val="5"/>
          <w:sz w:val="22"/>
          <w:szCs w:val="22"/>
        </w:rPr>
        <w:t xml:space="preserve"> </w:t>
      </w:r>
      <w:r>
        <w:rPr>
          <w:rFonts w:ascii="宋体" w:eastAsia="宋体" w:hAnsi="宋体" w:cs="宋体"/>
          <w:spacing w:val="-14"/>
          <w:sz w:val="22"/>
          <w:szCs w:val="22"/>
        </w:rPr>
        <w:t>专家提出一个新观点，认为某些肥胖并不是单纯的营养积累，在很大程度上是因</w:t>
      </w:r>
      <w:r>
        <w:rPr>
          <w:rFonts w:ascii="宋体" w:eastAsia="宋体" w:hAnsi="宋体" w:cs="宋体"/>
          <w:spacing w:val="10"/>
          <w:sz w:val="22"/>
          <w:szCs w:val="22"/>
        </w:rPr>
        <w:t xml:space="preserve"> </w:t>
      </w:r>
      <w:r>
        <w:rPr>
          <w:rFonts w:ascii="宋体" w:eastAsia="宋体" w:hAnsi="宋体" w:cs="宋体"/>
          <w:spacing w:val="-10"/>
          <w:sz w:val="22"/>
          <w:szCs w:val="22"/>
        </w:rPr>
        <w:t>为饮食中缺乏使脂肪变成能量的营养素，如维生素B</w:t>
      </w:r>
      <w:r>
        <w:rPr>
          <w:rFonts w:ascii="Calibri" w:eastAsia="Calibri" w:hAnsi="Calibri" w:cs="Calibri"/>
          <w:spacing w:val="-10"/>
          <w:sz w:val="22"/>
          <w:szCs w:val="22"/>
        </w:rPr>
        <w:t>₂</w:t>
      </w:r>
      <w:r>
        <w:rPr>
          <w:rFonts w:ascii="Calibri" w:eastAsia="Calibri" w:hAnsi="Calibri" w:cs="Calibri"/>
          <w:spacing w:val="-14"/>
          <w:sz w:val="22"/>
          <w:szCs w:val="22"/>
        </w:rPr>
        <w:t xml:space="preserve"> </w:t>
      </w:r>
      <w:r>
        <w:rPr>
          <w:rFonts w:ascii="宋体" w:eastAsia="宋体" w:hAnsi="宋体" w:cs="宋体"/>
          <w:spacing w:val="-10"/>
          <w:sz w:val="22"/>
          <w:szCs w:val="22"/>
        </w:rPr>
        <w:t>、维生素Bg以及烟酸等。</w:t>
      </w:r>
    </w:p>
    <w:p w:rsidR="00EA40A3" w:rsidRDefault="00E86C16">
      <w:pPr>
        <w:spacing w:before="251" w:line="222" w:lineRule="auto"/>
        <w:rPr>
          <w:rFonts w:ascii="仿宋" w:eastAsia="仿宋" w:hAnsi="仿宋" w:cs="仿宋"/>
          <w:sz w:val="22"/>
          <w:szCs w:val="22"/>
        </w:rPr>
      </w:pPr>
      <w:r>
        <w:rPr>
          <w:rFonts w:ascii="仿宋" w:eastAsia="仿宋" w:hAnsi="仿宋" w:cs="仿宋"/>
          <w:spacing w:val="12"/>
          <w:sz w:val="22"/>
          <w:szCs w:val="22"/>
        </w:rPr>
        <w:t>3.</w:t>
      </w:r>
      <w:r>
        <w:rPr>
          <w:rFonts w:ascii="仿宋" w:eastAsia="仿宋" w:hAnsi="仿宋" w:cs="仿宋"/>
          <w:spacing w:val="-18"/>
          <w:sz w:val="22"/>
          <w:szCs w:val="22"/>
        </w:rPr>
        <w:t xml:space="preserve"> </w:t>
      </w:r>
      <w:r>
        <w:rPr>
          <w:rFonts w:ascii="仿宋" w:eastAsia="仿宋" w:hAnsi="仿宋" w:cs="仿宋"/>
          <w:spacing w:val="12"/>
          <w:sz w:val="22"/>
          <w:szCs w:val="22"/>
        </w:rPr>
        <w:t>机体生理状态与肥胖</w:t>
      </w:r>
    </w:p>
    <w:p w:rsidR="00EA40A3" w:rsidRDefault="00E86C16">
      <w:pPr>
        <w:spacing w:before="195" w:line="249" w:lineRule="auto"/>
        <w:ind w:firstLine="410"/>
        <w:jc w:val="both"/>
        <w:rPr>
          <w:rFonts w:ascii="宋体" w:eastAsia="宋体" w:hAnsi="宋体" w:cs="宋体"/>
          <w:sz w:val="22"/>
          <w:szCs w:val="22"/>
        </w:rPr>
      </w:pPr>
      <w:r>
        <w:rPr>
          <w:rFonts w:ascii="宋体" w:eastAsia="宋体" w:hAnsi="宋体" w:cs="宋体"/>
          <w:spacing w:val="-13"/>
          <w:sz w:val="22"/>
          <w:szCs w:val="22"/>
        </w:rPr>
        <w:t>肥胖不仅与遗传、摄食有关，还和调节机体状态的多种生理因素如神经系统</w:t>
      </w:r>
      <w:r>
        <w:rPr>
          <w:rFonts w:ascii="宋体" w:eastAsia="宋体" w:hAnsi="宋体" w:cs="宋体"/>
          <w:spacing w:val="3"/>
          <w:sz w:val="22"/>
          <w:szCs w:val="22"/>
        </w:rPr>
        <w:t xml:space="preserve">  </w:t>
      </w:r>
      <w:r>
        <w:rPr>
          <w:rFonts w:ascii="宋体" w:eastAsia="宋体" w:hAnsi="宋体" w:cs="宋体"/>
          <w:spacing w:val="-13"/>
          <w:sz w:val="22"/>
          <w:szCs w:val="22"/>
        </w:rPr>
        <w:t>的调节、内分泌因素等有关。摄食中枢位于下丘脑腹外侧核，饱食中枢位于下丘</w:t>
      </w:r>
      <w:r>
        <w:rPr>
          <w:rFonts w:ascii="宋体" w:eastAsia="宋体" w:hAnsi="宋体" w:cs="宋体"/>
          <w:spacing w:val="1"/>
          <w:sz w:val="22"/>
          <w:szCs w:val="22"/>
        </w:rPr>
        <w:t xml:space="preserve">  </w:t>
      </w:r>
      <w:r>
        <w:rPr>
          <w:rFonts w:ascii="宋体" w:eastAsia="宋体" w:hAnsi="宋体" w:cs="宋体"/>
          <w:spacing w:val="-10"/>
          <w:sz w:val="22"/>
          <w:szCs w:val="22"/>
        </w:rPr>
        <w:t>脑腹内侧核，它们之间有神经纤维联系，在功能上相互调节、相互制约。同时</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这两个中枢受机体内糖、脂肪及氨基酸的影响。单纯性肥胖多被认为与下丘脑有</w:t>
      </w:r>
      <w:r>
        <w:rPr>
          <w:rFonts w:ascii="宋体" w:eastAsia="宋体" w:hAnsi="宋体" w:cs="宋体"/>
          <w:spacing w:val="2"/>
          <w:sz w:val="22"/>
          <w:szCs w:val="22"/>
        </w:rPr>
        <w:t xml:space="preserve">  </w:t>
      </w:r>
      <w:r>
        <w:rPr>
          <w:rFonts w:ascii="宋体" w:eastAsia="宋体" w:hAnsi="宋体" w:cs="宋体"/>
          <w:spacing w:val="-10"/>
          <w:sz w:val="22"/>
          <w:szCs w:val="22"/>
        </w:rPr>
        <w:t>功能性改变有关。大脑皮层高级神经活动，通过神经递质影响下丘脑食欲中枢，</w:t>
      </w:r>
      <w:r>
        <w:rPr>
          <w:rFonts w:ascii="宋体" w:eastAsia="宋体" w:hAnsi="宋体" w:cs="宋体"/>
          <w:sz w:val="22"/>
          <w:szCs w:val="22"/>
        </w:rPr>
        <w:t xml:space="preserve"> </w:t>
      </w:r>
      <w:r>
        <w:rPr>
          <w:rFonts w:ascii="宋体" w:eastAsia="宋体" w:hAnsi="宋体" w:cs="宋体"/>
          <w:spacing w:val="-13"/>
          <w:sz w:val="22"/>
          <w:szCs w:val="22"/>
        </w:rPr>
        <w:t>在调节饥饿感和饱食方面发挥一定作用。神经调节导致内分泌激素水平的改变也</w:t>
      </w:r>
      <w:r>
        <w:rPr>
          <w:rFonts w:ascii="宋体" w:eastAsia="宋体" w:hAnsi="宋体" w:cs="宋体"/>
          <w:spacing w:val="3"/>
          <w:sz w:val="22"/>
          <w:szCs w:val="22"/>
        </w:rPr>
        <w:t xml:space="preserve">  </w:t>
      </w:r>
      <w:r>
        <w:rPr>
          <w:rFonts w:ascii="宋体" w:eastAsia="宋体" w:hAnsi="宋体" w:cs="宋体"/>
          <w:spacing w:val="-12"/>
          <w:sz w:val="22"/>
          <w:szCs w:val="22"/>
        </w:rPr>
        <w:t>和肥胖直接或间接相关。当迷走神经兴奋而胰岛素分</w:t>
      </w:r>
      <w:r>
        <w:rPr>
          <w:rFonts w:ascii="宋体" w:eastAsia="宋体" w:hAnsi="宋体" w:cs="宋体"/>
          <w:spacing w:val="-13"/>
          <w:sz w:val="22"/>
          <w:szCs w:val="22"/>
        </w:rPr>
        <w:t>泌增多时，食欲亢进。刺激</w:t>
      </w:r>
      <w:r>
        <w:rPr>
          <w:rFonts w:ascii="宋体" w:eastAsia="宋体" w:hAnsi="宋体" w:cs="宋体"/>
          <w:sz w:val="22"/>
          <w:szCs w:val="22"/>
        </w:rPr>
        <w:t xml:space="preserve"> </w:t>
      </w:r>
      <w:r>
        <w:rPr>
          <w:rFonts w:ascii="宋体" w:eastAsia="宋体" w:hAnsi="宋体" w:cs="宋体"/>
          <w:spacing w:val="-13"/>
          <w:sz w:val="22"/>
          <w:szCs w:val="22"/>
        </w:rPr>
        <w:t>腹中核则抑制胰岛素分泌而加强胰高血糖素分泌，故食欲减退。表明高级神经活</w:t>
      </w:r>
      <w:r>
        <w:rPr>
          <w:rFonts w:ascii="宋体" w:eastAsia="宋体" w:hAnsi="宋体" w:cs="宋体"/>
          <w:spacing w:val="1"/>
          <w:sz w:val="22"/>
          <w:szCs w:val="22"/>
        </w:rPr>
        <w:t xml:space="preserve">  </w:t>
      </w:r>
      <w:r>
        <w:rPr>
          <w:rFonts w:ascii="宋体" w:eastAsia="宋体" w:hAnsi="宋体" w:cs="宋体"/>
          <w:spacing w:val="-12"/>
          <w:sz w:val="22"/>
          <w:szCs w:val="22"/>
        </w:rPr>
        <w:t>动是通过植物神经影响下丘脑食欲中枢及胰岛素分泌，</w:t>
      </w:r>
      <w:r>
        <w:rPr>
          <w:rFonts w:ascii="宋体" w:eastAsia="宋体" w:hAnsi="宋体" w:cs="宋体"/>
          <w:spacing w:val="-13"/>
          <w:sz w:val="22"/>
          <w:szCs w:val="22"/>
        </w:rPr>
        <w:t>进而产生多食肥胖或厌食</w:t>
      </w:r>
      <w:r>
        <w:rPr>
          <w:rFonts w:ascii="宋体" w:eastAsia="宋体" w:hAnsi="宋体" w:cs="宋体"/>
          <w:sz w:val="22"/>
          <w:szCs w:val="22"/>
        </w:rPr>
        <w:t xml:space="preserve"> </w:t>
      </w:r>
      <w:r>
        <w:rPr>
          <w:rFonts w:ascii="宋体" w:eastAsia="宋体" w:hAnsi="宋体" w:cs="宋体"/>
          <w:spacing w:val="-12"/>
          <w:sz w:val="22"/>
          <w:szCs w:val="22"/>
        </w:rPr>
        <w:t>消瘦。单纯性肥胖者可能会有一定程度的肾上腺皮质</w:t>
      </w:r>
      <w:r>
        <w:rPr>
          <w:rFonts w:ascii="宋体" w:eastAsia="宋体" w:hAnsi="宋体" w:cs="宋体"/>
          <w:spacing w:val="-13"/>
          <w:sz w:val="22"/>
          <w:szCs w:val="22"/>
        </w:rPr>
        <w:t>功能亢进，而在继发性肥胖</w:t>
      </w:r>
      <w:r>
        <w:rPr>
          <w:rFonts w:ascii="宋体" w:eastAsia="宋体" w:hAnsi="宋体" w:cs="宋体"/>
          <w:sz w:val="22"/>
          <w:szCs w:val="22"/>
        </w:rPr>
        <w:t xml:space="preserve"> </w:t>
      </w:r>
      <w:r>
        <w:rPr>
          <w:rFonts w:ascii="宋体" w:eastAsia="宋体" w:hAnsi="宋体" w:cs="宋体"/>
          <w:spacing w:val="-11"/>
          <w:sz w:val="22"/>
          <w:szCs w:val="22"/>
        </w:rPr>
        <w:t>中，柯兴综合征血浆皮质醇明显增高。此外，由于血浆皮质醇增高，血糖升高，</w:t>
      </w:r>
      <w:r>
        <w:rPr>
          <w:rFonts w:ascii="宋体" w:eastAsia="宋体" w:hAnsi="宋体" w:cs="宋体"/>
          <w:spacing w:val="14"/>
          <w:sz w:val="22"/>
          <w:szCs w:val="22"/>
        </w:rPr>
        <w:t xml:space="preserve"> </w:t>
      </w:r>
      <w:r>
        <w:rPr>
          <w:rFonts w:ascii="宋体" w:eastAsia="宋体" w:hAnsi="宋体" w:cs="宋体"/>
          <w:spacing w:val="-14"/>
          <w:sz w:val="22"/>
          <w:szCs w:val="22"/>
        </w:rPr>
        <w:t>引起胰岛素升高，后者导致脂肪合成过多，可能形成肥胖。</w:t>
      </w:r>
    </w:p>
    <w:p w:rsidR="00EA40A3" w:rsidRDefault="00E86C16">
      <w:pPr>
        <w:spacing w:before="256" w:line="221" w:lineRule="auto"/>
        <w:rPr>
          <w:rFonts w:ascii="仿宋" w:eastAsia="仿宋" w:hAnsi="仿宋" w:cs="仿宋"/>
          <w:sz w:val="22"/>
          <w:szCs w:val="22"/>
        </w:rPr>
      </w:pPr>
      <w:r>
        <w:rPr>
          <w:rFonts w:ascii="仿宋" w:eastAsia="仿宋" w:hAnsi="仿宋" w:cs="仿宋"/>
          <w:spacing w:val="14"/>
          <w:sz w:val="22"/>
          <w:szCs w:val="22"/>
        </w:rPr>
        <w:t>4.</w:t>
      </w:r>
      <w:r>
        <w:rPr>
          <w:rFonts w:ascii="仿宋" w:eastAsia="仿宋" w:hAnsi="仿宋" w:cs="仿宋"/>
          <w:spacing w:val="-3"/>
          <w:sz w:val="22"/>
          <w:szCs w:val="22"/>
        </w:rPr>
        <w:t xml:space="preserve"> </w:t>
      </w:r>
      <w:r>
        <w:rPr>
          <w:rFonts w:ascii="仿宋" w:eastAsia="仿宋" w:hAnsi="仿宋" w:cs="仿宋"/>
          <w:spacing w:val="14"/>
          <w:sz w:val="22"/>
          <w:szCs w:val="22"/>
        </w:rPr>
        <w:t>社会、心理行为因素与肥胖</w:t>
      </w:r>
    </w:p>
    <w:p w:rsidR="00EA40A3" w:rsidRDefault="00E86C16">
      <w:pPr>
        <w:spacing w:before="194" w:line="248" w:lineRule="auto"/>
        <w:ind w:right="80" w:firstLine="410"/>
        <w:jc w:val="both"/>
        <w:rPr>
          <w:rFonts w:ascii="宋体" w:eastAsia="宋体" w:hAnsi="宋体" w:cs="宋体"/>
          <w:sz w:val="22"/>
          <w:szCs w:val="22"/>
        </w:rPr>
      </w:pPr>
      <w:r>
        <w:rPr>
          <w:rFonts w:ascii="宋体" w:eastAsia="宋体" w:hAnsi="宋体" w:cs="宋体"/>
          <w:spacing w:val="-13"/>
          <w:sz w:val="22"/>
          <w:szCs w:val="22"/>
        </w:rPr>
        <w:t>社会的发展、工业的进步、不恰当的食物政策与广告宣传，以及社会偏见等</w:t>
      </w:r>
      <w:r>
        <w:rPr>
          <w:rFonts w:ascii="宋体" w:eastAsia="宋体" w:hAnsi="宋体" w:cs="宋体"/>
          <w:spacing w:val="7"/>
          <w:sz w:val="22"/>
          <w:szCs w:val="22"/>
        </w:rPr>
        <w:t xml:space="preserve"> </w:t>
      </w:r>
      <w:r>
        <w:rPr>
          <w:rFonts w:ascii="宋体" w:eastAsia="宋体" w:hAnsi="宋体" w:cs="宋体"/>
          <w:spacing w:val="-13"/>
          <w:sz w:val="22"/>
          <w:szCs w:val="22"/>
        </w:rPr>
        <w:t>是社会促肥胖因素。文化素质的提高、科学知识的普及、合理的食物政策及全民</w:t>
      </w:r>
      <w:r>
        <w:rPr>
          <w:rFonts w:ascii="宋体" w:eastAsia="宋体" w:hAnsi="宋体" w:cs="宋体"/>
          <w:spacing w:val="5"/>
          <w:sz w:val="22"/>
          <w:szCs w:val="22"/>
        </w:rPr>
        <w:t xml:space="preserve"> </w:t>
      </w:r>
      <w:r>
        <w:rPr>
          <w:rFonts w:ascii="宋体" w:eastAsia="宋体" w:hAnsi="宋体" w:cs="宋体"/>
          <w:spacing w:val="-7"/>
          <w:sz w:val="22"/>
          <w:szCs w:val="22"/>
        </w:rPr>
        <w:t>健身运动的开展，则是社会抑制肥胖因素。心理因素与机体胖瘦的关系极其微</w:t>
      </w:r>
      <w:r>
        <w:rPr>
          <w:rFonts w:ascii="宋体" w:eastAsia="宋体" w:hAnsi="宋体" w:cs="宋体"/>
          <w:spacing w:val="5"/>
          <w:sz w:val="22"/>
          <w:szCs w:val="22"/>
        </w:rPr>
        <w:t xml:space="preserve"> </w:t>
      </w:r>
      <w:r>
        <w:rPr>
          <w:rFonts w:ascii="宋体" w:eastAsia="宋体" w:hAnsi="宋体" w:cs="宋体"/>
          <w:spacing w:val="-13"/>
          <w:sz w:val="22"/>
          <w:szCs w:val="22"/>
        </w:rPr>
        <w:t>妙，不良的生活事件、恶劣的工作环境、精神压抑、感情冲动，可导致一部分人</w:t>
      </w:r>
      <w:r>
        <w:rPr>
          <w:rFonts w:ascii="宋体" w:eastAsia="宋体" w:hAnsi="宋体" w:cs="宋体"/>
          <w:spacing w:val="2"/>
          <w:sz w:val="22"/>
          <w:szCs w:val="22"/>
        </w:rPr>
        <w:t xml:space="preserve"> </w:t>
      </w:r>
      <w:r>
        <w:rPr>
          <w:rFonts w:ascii="宋体" w:eastAsia="宋体" w:hAnsi="宋体" w:cs="宋体"/>
          <w:spacing w:val="-13"/>
          <w:sz w:val="22"/>
          <w:szCs w:val="22"/>
        </w:rPr>
        <w:t>变瘦，也会促使某些人肥胖。这与食欲中枢的</w:t>
      </w:r>
      <w:r>
        <w:rPr>
          <w:rFonts w:ascii="宋体" w:eastAsia="宋体" w:hAnsi="宋体" w:cs="宋体"/>
          <w:spacing w:val="-14"/>
          <w:sz w:val="22"/>
          <w:szCs w:val="22"/>
        </w:rPr>
        <w:t>功能可能受制于心理及精神状态有</w:t>
      </w:r>
      <w:r>
        <w:rPr>
          <w:rFonts w:ascii="宋体" w:eastAsia="宋体" w:hAnsi="宋体" w:cs="宋体"/>
          <w:sz w:val="22"/>
          <w:szCs w:val="22"/>
        </w:rPr>
        <w:t xml:space="preserve"> 关。如当精神过度紧张而肾上腺素能神经受刺激伴交感神经兴奋时，食欲受</w:t>
      </w:r>
      <w:r>
        <w:rPr>
          <w:rFonts w:ascii="宋体" w:eastAsia="宋体" w:hAnsi="宋体" w:cs="宋体"/>
          <w:spacing w:val="8"/>
          <w:sz w:val="22"/>
          <w:szCs w:val="22"/>
        </w:rPr>
        <w:t xml:space="preserve"> </w:t>
      </w:r>
      <w:r>
        <w:rPr>
          <w:rFonts w:ascii="宋体" w:eastAsia="宋体" w:hAnsi="宋体" w:cs="宋体"/>
          <w:spacing w:val="-18"/>
          <w:sz w:val="22"/>
          <w:szCs w:val="22"/>
        </w:rPr>
        <w:t>抑制。</w:t>
      </w:r>
    </w:p>
    <w:p w:rsidR="00EA40A3" w:rsidRDefault="00E86C16">
      <w:pPr>
        <w:spacing w:before="215" w:line="223" w:lineRule="auto"/>
        <w:ind w:left="3"/>
        <w:outlineLvl w:val="6"/>
        <w:rPr>
          <w:rFonts w:ascii="黑体" w:eastAsia="黑体" w:hAnsi="黑体" w:cs="黑体"/>
          <w:sz w:val="22"/>
          <w:szCs w:val="22"/>
        </w:rPr>
      </w:pPr>
      <w:r>
        <w:rPr>
          <w:rFonts w:ascii="黑体" w:eastAsia="黑体" w:hAnsi="黑体" w:cs="黑体"/>
          <w:b/>
          <w:bCs/>
          <w:spacing w:val="-10"/>
          <w:sz w:val="22"/>
          <w:szCs w:val="22"/>
        </w:rPr>
        <w:t>11.3.4</w:t>
      </w:r>
      <w:r>
        <w:rPr>
          <w:rFonts w:ascii="黑体" w:eastAsia="黑体" w:hAnsi="黑体" w:cs="黑体"/>
          <w:spacing w:val="36"/>
          <w:sz w:val="22"/>
          <w:szCs w:val="22"/>
        </w:rPr>
        <w:t xml:space="preserve">   </w:t>
      </w:r>
      <w:r>
        <w:rPr>
          <w:rFonts w:ascii="黑体" w:eastAsia="黑体" w:hAnsi="黑体" w:cs="黑体"/>
          <w:b/>
          <w:bCs/>
          <w:spacing w:val="-10"/>
          <w:sz w:val="22"/>
          <w:szCs w:val="22"/>
        </w:rPr>
        <w:t>肥胖的危害</w:t>
      </w:r>
    </w:p>
    <w:p w:rsidR="00EA40A3" w:rsidRDefault="00E86C16">
      <w:pPr>
        <w:spacing w:before="216" w:line="219" w:lineRule="auto"/>
        <w:ind w:left="410"/>
        <w:rPr>
          <w:rFonts w:ascii="宋体" w:eastAsia="宋体" w:hAnsi="宋体" w:cs="宋体"/>
          <w:sz w:val="22"/>
          <w:szCs w:val="22"/>
        </w:rPr>
      </w:pPr>
      <w:r>
        <w:rPr>
          <w:rFonts w:ascii="宋体" w:eastAsia="宋体" w:hAnsi="宋体" w:cs="宋体"/>
          <w:spacing w:val="-12"/>
          <w:sz w:val="22"/>
          <w:szCs w:val="22"/>
        </w:rPr>
        <w:t>肥胖不仅本身是一种疾病，现有的研究已表明</w:t>
      </w:r>
      <w:r>
        <w:rPr>
          <w:rFonts w:ascii="宋体" w:eastAsia="宋体" w:hAnsi="宋体" w:cs="宋体"/>
          <w:spacing w:val="-13"/>
          <w:sz w:val="22"/>
          <w:szCs w:val="22"/>
        </w:rPr>
        <w:t>，肥胖还和其他多种疾病的发</w:t>
      </w:r>
    </w:p>
    <w:p w:rsidR="00EA40A3" w:rsidRDefault="00E86C16">
      <w:pPr>
        <w:spacing w:before="11"/>
        <w:ind w:left="140"/>
        <w:rPr>
          <w:rFonts w:ascii="宋体" w:eastAsia="宋体" w:hAnsi="宋体" w:cs="宋体"/>
          <w:sz w:val="22"/>
          <w:szCs w:val="22"/>
        </w:rPr>
      </w:pPr>
      <w:r>
        <w:rPr>
          <w:rFonts w:ascii="宋体" w:eastAsia="宋体" w:hAnsi="宋体" w:cs="宋体"/>
          <w:spacing w:val="-47"/>
          <w:sz w:val="22"/>
          <w:szCs w:val="22"/>
        </w:rPr>
        <w:t>·</w:t>
      </w:r>
      <w:r>
        <w:rPr>
          <w:rFonts w:ascii="宋体" w:eastAsia="宋体" w:hAnsi="宋体" w:cs="宋体"/>
          <w:spacing w:val="-20"/>
          <w:sz w:val="22"/>
          <w:szCs w:val="22"/>
        </w:rPr>
        <w:t xml:space="preserve"> </w:t>
      </w:r>
      <w:r>
        <w:rPr>
          <w:rFonts w:ascii="宋体" w:eastAsia="宋体" w:hAnsi="宋体" w:cs="宋体"/>
          <w:spacing w:val="-47"/>
          <w:sz w:val="22"/>
          <w:szCs w:val="22"/>
        </w:rPr>
        <w:t>360</w:t>
      </w:r>
      <w:r>
        <w:rPr>
          <w:rFonts w:ascii="宋体" w:eastAsia="宋体" w:hAnsi="宋体" w:cs="宋体"/>
          <w:spacing w:val="27"/>
          <w:sz w:val="22"/>
          <w:szCs w:val="22"/>
        </w:rPr>
        <w:t xml:space="preserve"> </w:t>
      </w:r>
      <w:r>
        <w:rPr>
          <w:rFonts w:ascii="宋体" w:eastAsia="宋体" w:hAnsi="宋体" w:cs="宋体"/>
          <w:spacing w:val="-47"/>
          <w:sz w:val="22"/>
          <w:szCs w:val="22"/>
        </w:rPr>
        <w:t>·</w:t>
      </w:r>
    </w:p>
    <w:p w:rsidR="00EA40A3" w:rsidRDefault="00EA40A3">
      <w:pPr>
        <w:sectPr w:rsidR="00EA40A3">
          <w:pgSz w:w="9220" w:h="13360"/>
          <w:pgMar w:top="400" w:right="1079" w:bottom="400" w:left="789" w:header="0" w:footer="0" w:gutter="0"/>
          <w:cols w:space="720"/>
        </w:sectPr>
      </w:pPr>
    </w:p>
    <w:p w:rsidR="00EA40A3" w:rsidRDefault="00EA40A3">
      <w:pPr>
        <w:spacing w:line="332" w:lineRule="auto"/>
      </w:pPr>
    </w:p>
    <w:p w:rsidR="00EA40A3" w:rsidRDefault="00EA40A3">
      <w:pPr>
        <w:spacing w:line="332" w:lineRule="auto"/>
      </w:pPr>
    </w:p>
    <w:p w:rsidR="00EA40A3" w:rsidRDefault="00E86C16">
      <w:pPr>
        <w:spacing w:before="71" w:line="220" w:lineRule="auto"/>
        <w:rPr>
          <w:rFonts w:ascii="宋体" w:eastAsia="宋体" w:hAnsi="宋体" w:cs="宋体"/>
          <w:sz w:val="22"/>
          <w:szCs w:val="22"/>
        </w:rPr>
      </w:pPr>
      <w:bookmarkStart w:id="88" w:name="_bookmark92"/>
      <w:bookmarkEnd w:id="88"/>
      <w:r>
        <w:rPr>
          <w:rFonts w:ascii="宋体" w:eastAsia="宋体" w:hAnsi="宋体" w:cs="宋体"/>
          <w:spacing w:val="-19"/>
          <w:sz w:val="22"/>
          <w:szCs w:val="22"/>
        </w:rPr>
        <w:t>生密切相关。</w:t>
      </w:r>
    </w:p>
    <w:p w:rsidR="00EA40A3" w:rsidRDefault="00E86C16">
      <w:pPr>
        <w:spacing w:before="205" w:line="222" w:lineRule="auto"/>
        <w:rPr>
          <w:rFonts w:ascii="仿宋" w:eastAsia="仿宋" w:hAnsi="仿宋" w:cs="仿宋"/>
          <w:sz w:val="22"/>
          <w:szCs w:val="22"/>
        </w:rPr>
      </w:pPr>
      <w:r>
        <w:rPr>
          <w:rFonts w:ascii="仿宋" w:eastAsia="仿宋" w:hAnsi="仿宋" w:cs="仿宋"/>
          <w:spacing w:val="7"/>
          <w:sz w:val="22"/>
          <w:szCs w:val="22"/>
        </w:rPr>
        <w:t>1.</w:t>
      </w:r>
      <w:r>
        <w:rPr>
          <w:rFonts w:ascii="仿宋" w:eastAsia="仿宋" w:hAnsi="仿宋" w:cs="仿宋"/>
          <w:spacing w:val="-27"/>
          <w:sz w:val="22"/>
          <w:szCs w:val="22"/>
        </w:rPr>
        <w:t xml:space="preserve"> </w:t>
      </w:r>
      <w:r>
        <w:rPr>
          <w:rFonts w:ascii="仿宋" w:eastAsia="仿宋" w:hAnsi="仿宋" w:cs="仿宋"/>
          <w:spacing w:val="7"/>
          <w:sz w:val="22"/>
          <w:szCs w:val="22"/>
        </w:rPr>
        <w:t>肥胖与糖尿病</w:t>
      </w:r>
    </w:p>
    <w:p w:rsidR="00EA40A3" w:rsidRDefault="00E86C16">
      <w:pPr>
        <w:spacing w:before="157" w:line="247" w:lineRule="auto"/>
        <w:ind w:right="34" w:firstLine="419"/>
        <w:jc w:val="both"/>
        <w:rPr>
          <w:rFonts w:ascii="宋体" w:eastAsia="宋体" w:hAnsi="宋体" w:cs="宋体"/>
          <w:sz w:val="22"/>
          <w:szCs w:val="22"/>
        </w:rPr>
      </w:pPr>
      <w:r>
        <w:rPr>
          <w:rFonts w:ascii="宋体" w:eastAsia="宋体" w:hAnsi="宋体" w:cs="宋体"/>
          <w:spacing w:val="-6"/>
          <w:sz w:val="22"/>
          <w:szCs w:val="22"/>
        </w:rPr>
        <w:t>肥胖是非胰岛素依赖型糖尿病(Ⅱ型糖尿病)及青少年发病的成年型糖尿病</w:t>
      </w:r>
      <w:r>
        <w:rPr>
          <w:rFonts w:ascii="宋体" w:eastAsia="宋体" w:hAnsi="宋体" w:cs="宋体"/>
          <w:spacing w:val="2"/>
          <w:sz w:val="22"/>
          <w:szCs w:val="22"/>
        </w:rPr>
        <w:t xml:space="preserve"> </w:t>
      </w:r>
      <w:r>
        <w:rPr>
          <w:rFonts w:ascii="宋体" w:eastAsia="宋体" w:hAnsi="宋体" w:cs="宋体"/>
          <w:spacing w:val="-13"/>
          <w:sz w:val="22"/>
          <w:szCs w:val="22"/>
        </w:rPr>
        <w:t>的重要诱发因素，而且糖尿病发生率随肥胖程度而增加。肥胖导致糖尿病的主要</w:t>
      </w:r>
      <w:r>
        <w:rPr>
          <w:rFonts w:ascii="宋体" w:eastAsia="宋体" w:hAnsi="宋体" w:cs="宋体"/>
          <w:spacing w:val="14"/>
          <w:sz w:val="22"/>
          <w:szCs w:val="22"/>
        </w:rPr>
        <w:t xml:space="preserve"> </w:t>
      </w:r>
      <w:r>
        <w:rPr>
          <w:rFonts w:ascii="宋体" w:eastAsia="宋体" w:hAnsi="宋体" w:cs="宋体"/>
          <w:spacing w:val="-13"/>
          <w:sz w:val="22"/>
          <w:szCs w:val="22"/>
        </w:rPr>
        <w:t>原因与胰岛素的抗性有关。脂肪组织和肝脏有抵制正常量的胰岛素作用，如血液</w:t>
      </w:r>
      <w:r>
        <w:rPr>
          <w:rFonts w:ascii="宋体" w:eastAsia="宋体" w:hAnsi="宋体" w:cs="宋体"/>
          <w:spacing w:val="12"/>
          <w:sz w:val="22"/>
          <w:szCs w:val="22"/>
        </w:rPr>
        <w:t xml:space="preserve"> </w:t>
      </w:r>
      <w:r>
        <w:rPr>
          <w:rFonts w:ascii="宋体" w:eastAsia="宋体" w:hAnsi="宋体" w:cs="宋体"/>
          <w:spacing w:val="-13"/>
          <w:sz w:val="22"/>
          <w:szCs w:val="22"/>
        </w:rPr>
        <w:t>中含有较高浓度的脂肪酸和葡萄糖，胰腺通常通过生产更多胰岛</w:t>
      </w:r>
      <w:r>
        <w:rPr>
          <w:rFonts w:ascii="宋体" w:eastAsia="宋体" w:hAnsi="宋体" w:cs="宋体"/>
          <w:spacing w:val="-14"/>
          <w:sz w:val="22"/>
          <w:szCs w:val="22"/>
        </w:rPr>
        <w:t>素的方式来对高</w:t>
      </w:r>
      <w:r>
        <w:rPr>
          <w:rFonts w:ascii="宋体" w:eastAsia="宋体" w:hAnsi="宋体" w:cs="宋体"/>
          <w:sz w:val="22"/>
          <w:szCs w:val="22"/>
        </w:rPr>
        <w:t xml:space="preserve"> </w:t>
      </w:r>
      <w:r>
        <w:rPr>
          <w:rFonts w:ascii="宋体" w:eastAsia="宋体" w:hAnsi="宋体" w:cs="宋体"/>
          <w:spacing w:val="-13"/>
          <w:sz w:val="22"/>
          <w:szCs w:val="22"/>
        </w:rPr>
        <w:t>浓度葡萄糖做出反应。摄食后需要经过很长时间血糖含量才能回到正常水平。对</w:t>
      </w:r>
      <w:r>
        <w:rPr>
          <w:rFonts w:ascii="宋体" w:eastAsia="宋体" w:hAnsi="宋体" w:cs="宋体"/>
          <w:spacing w:val="12"/>
          <w:sz w:val="22"/>
          <w:szCs w:val="22"/>
        </w:rPr>
        <w:t xml:space="preserve"> </w:t>
      </w:r>
      <w:r>
        <w:rPr>
          <w:rFonts w:ascii="宋体" w:eastAsia="宋体" w:hAnsi="宋体" w:cs="宋体"/>
          <w:spacing w:val="-13"/>
          <w:sz w:val="22"/>
          <w:szCs w:val="22"/>
        </w:rPr>
        <w:t>于肥胖患者，由于体内脂肪组织过剩，导致胰岛素分泌细胞长期负担过重，逐渐</w:t>
      </w:r>
      <w:r>
        <w:rPr>
          <w:rFonts w:ascii="宋体" w:eastAsia="宋体" w:hAnsi="宋体" w:cs="宋体"/>
          <w:spacing w:val="12"/>
          <w:sz w:val="22"/>
          <w:szCs w:val="22"/>
        </w:rPr>
        <w:t xml:space="preserve"> </w:t>
      </w:r>
      <w:r>
        <w:rPr>
          <w:rFonts w:ascii="宋体" w:eastAsia="宋体" w:hAnsi="宋体" w:cs="宋体"/>
          <w:spacing w:val="-6"/>
          <w:sz w:val="22"/>
          <w:szCs w:val="22"/>
        </w:rPr>
        <w:t>不能产生足够的胰岛素，引起非胰岛素型糖尿病(Ⅱ型糖</w:t>
      </w:r>
      <w:r>
        <w:rPr>
          <w:rFonts w:ascii="宋体" w:eastAsia="宋体" w:hAnsi="宋体" w:cs="宋体"/>
          <w:spacing w:val="-7"/>
          <w:sz w:val="22"/>
          <w:szCs w:val="22"/>
        </w:rPr>
        <w:t>尿病)</w:t>
      </w:r>
    </w:p>
    <w:p w:rsidR="00EA40A3" w:rsidRDefault="00E86C16">
      <w:pPr>
        <w:spacing w:before="258" w:line="223"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2"/>
          <w:sz w:val="22"/>
          <w:szCs w:val="22"/>
        </w:rPr>
        <w:t xml:space="preserve"> </w:t>
      </w:r>
      <w:r>
        <w:rPr>
          <w:rFonts w:ascii="仿宋" w:eastAsia="仿宋" w:hAnsi="仿宋" w:cs="仿宋"/>
          <w:spacing w:val="11"/>
          <w:sz w:val="22"/>
          <w:szCs w:val="22"/>
        </w:rPr>
        <w:t>肥胖与心脑血管疾病</w:t>
      </w:r>
    </w:p>
    <w:p w:rsidR="00EA40A3" w:rsidRDefault="00E86C16">
      <w:pPr>
        <w:spacing w:before="186" w:line="245" w:lineRule="auto"/>
        <w:ind w:firstLine="419"/>
        <w:jc w:val="both"/>
        <w:rPr>
          <w:rFonts w:ascii="宋体" w:eastAsia="宋体" w:hAnsi="宋体" w:cs="宋体"/>
          <w:sz w:val="22"/>
          <w:szCs w:val="22"/>
        </w:rPr>
      </w:pPr>
      <w:r>
        <w:rPr>
          <w:rFonts w:ascii="宋体" w:eastAsia="宋体" w:hAnsi="宋体" w:cs="宋体"/>
          <w:spacing w:val="-12"/>
          <w:sz w:val="22"/>
          <w:szCs w:val="22"/>
        </w:rPr>
        <w:t>肥胖引起脂质代谢异常，是引起心脑血管疾病的重要原因之一。研究表明，</w:t>
      </w:r>
      <w:r>
        <w:rPr>
          <w:rFonts w:ascii="宋体" w:eastAsia="宋体" w:hAnsi="宋体" w:cs="宋体"/>
          <w:spacing w:val="15"/>
          <w:sz w:val="22"/>
          <w:szCs w:val="22"/>
        </w:rPr>
        <w:t xml:space="preserve"> </w:t>
      </w:r>
      <w:r>
        <w:rPr>
          <w:rFonts w:ascii="宋体" w:eastAsia="宋体" w:hAnsi="宋体" w:cs="宋体"/>
          <w:spacing w:val="-7"/>
          <w:sz w:val="22"/>
          <w:szCs w:val="22"/>
        </w:rPr>
        <w:t>肥胖患者存在着明显的血脂代谢紊乱，主要表现为高甘油三酯血症及相关脂蛋</w:t>
      </w:r>
      <w:r>
        <w:rPr>
          <w:rFonts w:ascii="宋体" w:eastAsia="宋体" w:hAnsi="宋体" w:cs="宋体"/>
          <w:spacing w:val="17"/>
          <w:sz w:val="22"/>
          <w:szCs w:val="22"/>
        </w:rPr>
        <w:t xml:space="preserve"> </w:t>
      </w:r>
      <w:r>
        <w:rPr>
          <w:rFonts w:ascii="宋体" w:eastAsia="宋体" w:hAnsi="宋体" w:cs="宋体"/>
          <w:spacing w:val="-13"/>
          <w:sz w:val="22"/>
          <w:szCs w:val="22"/>
        </w:rPr>
        <w:t>白、载脂蛋白的异常。脂质代谢异常，会引起血管狭窄，导致血液黏滞，在凝血</w:t>
      </w:r>
      <w:r>
        <w:rPr>
          <w:rFonts w:ascii="宋体" w:eastAsia="宋体" w:hAnsi="宋体" w:cs="宋体"/>
          <w:spacing w:val="12"/>
          <w:sz w:val="22"/>
          <w:szCs w:val="22"/>
        </w:rPr>
        <w:t xml:space="preserve"> </w:t>
      </w:r>
      <w:r>
        <w:rPr>
          <w:rFonts w:ascii="宋体" w:eastAsia="宋体" w:hAnsi="宋体" w:cs="宋体"/>
          <w:spacing w:val="-13"/>
          <w:sz w:val="22"/>
          <w:szCs w:val="22"/>
        </w:rPr>
        <w:t>因子的作用下，很容易形成血凝块。血凝块的形成阻碍了血液向心脏和大脑输送</w:t>
      </w:r>
      <w:r>
        <w:rPr>
          <w:rFonts w:ascii="宋体" w:eastAsia="宋体" w:hAnsi="宋体" w:cs="宋体"/>
          <w:spacing w:val="12"/>
          <w:sz w:val="22"/>
          <w:szCs w:val="22"/>
        </w:rPr>
        <w:t xml:space="preserve"> </w:t>
      </w:r>
      <w:r>
        <w:rPr>
          <w:rFonts w:ascii="宋体" w:eastAsia="宋体" w:hAnsi="宋体" w:cs="宋体"/>
          <w:spacing w:val="-14"/>
          <w:sz w:val="22"/>
          <w:szCs w:val="22"/>
        </w:rPr>
        <w:t>营养物质，导致心脏、大脑部分组织失去功能，引起中</w:t>
      </w:r>
      <w:r>
        <w:rPr>
          <w:rFonts w:ascii="宋体" w:eastAsia="宋体" w:hAnsi="宋体" w:cs="宋体"/>
          <w:spacing w:val="-15"/>
          <w:sz w:val="22"/>
          <w:szCs w:val="22"/>
        </w:rPr>
        <w:t>风或心脑血管疾病等。</w:t>
      </w:r>
    </w:p>
    <w:p w:rsidR="00EA40A3" w:rsidRDefault="00E86C16">
      <w:pPr>
        <w:spacing w:before="237" w:line="222"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2"/>
          <w:sz w:val="22"/>
          <w:szCs w:val="22"/>
        </w:rPr>
        <w:t xml:space="preserve"> </w:t>
      </w:r>
      <w:r>
        <w:rPr>
          <w:rFonts w:ascii="仿宋" w:eastAsia="仿宋" w:hAnsi="仿宋" w:cs="仿宋"/>
          <w:spacing w:val="11"/>
          <w:sz w:val="22"/>
          <w:szCs w:val="22"/>
        </w:rPr>
        <w:t>肥胖与睡眠呼吸异常</w:t>
      </w:r>
    </w:p>
    <w:p w:rsidR="00EA40A3" w:rsidRDefault="00E86C16">
      <w:pPr>
        <w:spacing w:before="178" w:line="247" w:lineRule="auto"/>
        <w:ind w:firstLine="419"/>
        <w:jc w:val="both"/>
        <w:rPr>
          <w:rFonts w:ascii="宋体" w:eastAsia="宋体" w:hAnsi="宋体" w:cs="宋体"/>
          <w:sz w:val="22"/>
          <w:szCs w:val="22"/>
        </w:rPr>
      </w:pPr>
      <w:r>
        <w:rPr>
          <w:rFonts w:ascii="宋体" w:eastAsia="宋体" w:hAnsi="宋体" w:cs="宋体"/>
          <w:spacing w:val="-13"/>
          <w:sz w:val="22"/>
          <w:szCs w:val="22"/>
        </w:rPr>
        <w:t>肥胖者的代谢总量增加，促使氧消耗量和二氧化碳排泄量增加，导致其通气</w:t>
      </w:r>
      <w:r>
        <w:rPr>
          <w:rFonts w:ascii="宋体" w:eastAsia="宋体" w:hAnsi="宋体" w:cs="宋体"/>
          <w:spacing w:val="11"/>
          <w:sz w:val="22"/>
          <w:szCs w:val="22"/>
        </w:rPr>
        <w:t xml:space="preserve"> </w:t>
      </w:r>
      <w:r>
        <w:rPr>
          <w:rFonts w:ascii="宋体" w:eastAsia="宋体" w:hAnsi="宋体" w:cs="宋体"/>
          <w:spacing w:val="-6"/>
          <w:sz w:val="22"/>
          <w:szCs w:val="22"/>
        </w:rPr>
        <w:t>量比正常体重的必需量相对增加。而肥胖患者胸壁、腹壁及咽部等部位脂肪沉</w:t>
      </w:r>
      <w:r>
        <w:rPr>
          <w:rFonts w:ascii="宋体" w:eastAsia="宋体" w:hAnsi="宋体" w:cs="宋体"/>
          <w:spacing w:val="1"/>
          <w:sz w:val="22"/>
          <w:szCs w:val="22"/>
        </w:rPr>
        <w:t xml:space="preserve"> </w:t>
      </w:r>
      <w:r>
        <w:rPr>
          <w:rFonts w:ascii="宋体" w:eastAsia="宋体" w:hAnsi="宋体" w:cs="宋体"/>
          <w:spacing w:val="-13"/>
          <w:sz w:val="22"/>
          <w:szCs w:val="22"/>
        </w:rPr>
        <w:t>积，使得胸腔和隔膜的负担加重，影响呼吸活动，减少肺活量并改变了肺部的通</w:t>
      </w:r>
      <w:r>
        <w:rPr>
          <w:rFonts w:ascii="宋体" w:eastAsia="宋体" w:hAnsi="宋体" w:cs="宋体"/>
          <w:spacing w:val="12"/>
          <w:sz w:val="22"/>
          <w:szCs w:val="22"/>
        </w:rPr>
        <w:t xml:space="preserve"> </w:t>
      </w:r>
      <w:r>
        <w:rPr>
          <w:rFonts w:ascii="宋体" w:eastAsia="宋体" w:hAnsi="宋体" w:cs="宋体"/>
          <w:spacing w:val="-12"/>
          <w:sz w:val="22"/>
          <w:szCs w:val="22"/>
        </w:rPr>
        <w:t>气方式，导致呼吸系统整体的应变能力下降。当</w:t>
      </w:r>
      <w:r>
        <w:rPr>
          <w:rFonts w:ascii="宋体" w:eastAsia="宋体" w:hAnsi="宋体" w:cs="宋体"/>
          <w:spacing w:val="-13"/>
          <w:sz w:val="22"/>
          <w:szCs w:val="22"/>
        </w:rPr>
        <w:t>肥胖者平躺时，这些变化明显加</w:t>
      </w:r>
      <w:r>
        <w:rPr>
          <w:rFonts w:ascii="宋体" w:eastAsia="宋体" w:hAnsi="宋体" w:cs="宋体"/>
          <w:sz w:val="22"/>
          <w:szCs w:val="22"/>
        </w:rPr>
        <w:t xml:space="preserve"> </w:t>
      </w:r>
      <w:r>
        <w:rPr>
          <w:rFonts w:ascii="宋体" w:eastAsia="宋体" w:hAnsi="宋体" w:cs="宋体"/>
          <w:spacing w:val="-12"/>
          <w:sz w:val="22"/>
          <w:szCs w:val="22"/>
        </w:rPr>
        <w:t>强。患者常伴有血液低氧高二氧化碳、肺部血压升高、心脏右侧异常等症状。胸</w:t>
      </w:r>
      <w:r>
        <w:rPr>
          <w:rFonts w:ascii="宋体" w:eastAsia="宋体" w:hAnsi="宋体" w:cs="宋体"/>
          <w:spacing w:val="4"/>
          <w:sz w:val="22"/>
          <w:szCs w:val="22"/>
        </w:rPr>
        <w:t xml:space="preserve"> </w:t>
      </w:r>
      <w:r>
        <w:rPr>
          <w:rFonts w:ascii="宋体" w:eastAsia="宋体" w:hAnsi="宋体" w:cs="宋体"/>
          <w:spacing w:val="-12"/>
          <w:sz w:val="22"/>
          <w:szCs w:val="22"/>
        </w:rPr>
        <w:t>壁、纵膈等脂肪增多，使胸腔的顺应性下降，引起呼吸运动障碍，表现为头晕、</w:t>
      </w:r>
      <w:r>
        <w:rPr>
          <w:rFonts w:ascii="宋体" w:eastAsia="宋体" w:hAnsi="宋体" w:cs="宋体"/>
          <w:spacing w:val="18"/>
          <w:sz w:val="22"/>
          <w:szCs w:val="22"/>
        </w:rPr>
        <w:t xml:space="preserve"> </w:t>
      </w:r>
      <w:r>
        <w:rPr>
          <w:rFonts w:ascii="宋体" w:eastAsia="宋体" w:hAnsi="宋体" w:cs="宋体"/>
          <w:spacing w:val="-13"/>
          <w:sz w:val="22"/>
          <w:szCs w:val="22"/>
        </w:rPr>
        <w:t>气短、少动嗜睡，稍一活动即感疲乏无力，称</w:t>
      </w:r>
      <w:r>
        <w:rPr>
          <w:rFonts w:ascii="宋体" w:eastAsia="宋体" w:hAnsi="宋体" w:cs="宋体"/>
          <w:spacing w:val="-14"/>
          <w:sz w:val="22"/>
          <w:szCs w:val="22"/>
        </w:rPr>
        <w:t>为呼吸窘迫综合征。</w:t>
      </w:r>
    </w:p>
    <w:p w:rsidR="00EA40A3" w:rsidRDefault="00E86C16">
      <w:pPr>
        <w:spacing w:before="246" w:line="222" w:lineRule="auto"/>
        <w:rPr>
          <w:rFonts w:ascii="仿宋" w:eastAsia="仿宋" w:hAnsi="仿宋" w:cs="仿宋"/>
          <w:sz w:val="22"/>
          <w:szCs w:val="22"/>
        </w:rPr>
      </w:pPr>
      <w:r>
        <w:rPr>
          <w:rFonts w:ascii="仿宋" w:eastAsia="仿宋" w:hAnsi="仿宋" w:cs="仿宋"/>
          <w:spacing w:val="10"/>
          <w:sz w:val="22"/>
          <w:szCs w:val="22"/>
        </w:rPr>
        <w:t>4.</w:t>
      </w:r>
      <w:r>
        <w:rPr>
          <w:rFonts w:ascii="仿宋" w:eastAsia="仿宋" w:hAnsi="仿宋" w:cs="仿宋"/>
          <w:spacing w:val="-1"/>
          <w:sz w:val="22"/>
          <w:szCs w:val="22"/>
        </w:rPr>
        <w:t xml:space="preserve"> </w:t>
      </w:r>
      <w:r>
        <w:rPr>
          <w:rFonts w:ascii="仿宋" w:eastAsia="仿宋" w:hAnsi="仿宋" w:cs="仿宋"/>
          <w:spacing w:val="10"/>
          <w:sz w:val="22"/>
          <w:szCs w:val="22"/>
        </w:rPr>
        <w:t>肥胖与其他疾病</w:t>
      </w:r>
    </w:p>
    <w:p w:rsidR="00EA40A3" w:rsidRDefault="00E86C16">
      <w:pPr>
        <w:spacing w:before="178" w:line="241" w:lineRule="auto"/>
        <w:ind w:right="40" w:firstLine="419"/>
        <w:jc w:val="both"/>
        <w:rPr>
          <w:rFonts w:ascii="宋体" w:eastAsia="宋体" w:hAnsi="宋体" w:cs="宋体"/>
          <w:sz w:val="22"/>
          <w:szCs w:val="22"/>
        </w:rPr>
      </w:pPr>
      <w:r>
        <w:rPr>
          <w:rFonts w:ascii="宋体" w:eastAsia="宋体" w:hAnsi="宋体" w:cs="宋体"/>
          <w:spacing w:val="-13"/>
          <w:sz w:val="22"/>
          <w:szCs w:val="22"/>
        </w:rPr>
        <w:t>肥胖还与其他多种疾病有关。肥胖是高血压的重要危险因素之一；肥胖患</w:t>
      </w:r>
      <w:r>
        <w:rPr>
          <w:rFonts w:ascii="宋体" w:eastAsia="宋体" w:hAnsi="宋体" w:cs="宋体"/>
          <w:spacing w:val="-14"/>
          <w:sz w:val="22"/>
          <w:szCs w:val="22"/>
        </w:rPr>
        <w:t>者</w:t>
      </w:r>
      <w:r>
        <w:rPr>
          <w:rFonts w:ascii="宋体" w:eastAsia="宋体" w:hAnsi="宋体" w:cs="宋体"/>
          <w:sz w:val="22"/>
          <w:szCs w:val="22"/>
        </w:rPr>
        <w:t xml:space="preserve"> </w:t>
      </w:r>
      <w:r>
        <w:rPr>
          <w:rFonts w:ascii="宋体" w:eastAsia="宋体" w:hAnsi="宋体" w:cs="宋体"/>
          <w:spacing w:val="-13"/>
          <w:sz w:val="22"/>
          <w:szCs w:val="22"/>
        </w:rPr>
        <w:t>易出现便秘、腹涨、胆石症等。此外，由于社会环境压力，肥胖者的心理状况可</w:t>
      </w:r>
      <w:r>
        <w:rPr>
          <w:rFonts w:ascii="宋体" w:eastAsia="宋体" w:hAnsi="宋体" w:cs="宋体"/>
          <w:spacing w:val="12"/>
          <w:sz w:val="22"/>
          <w:szCs w:val="22"/>
        </w:rPr>
        <w:t xml:space="preserve"> </w:t>
      </w:r>
      <w:r>
        <w:rPr>
          <w:rFonts w:ascii="宋体" w:eastAsia="宋体" w:hAnsi="宋体" w:cs="宋体"/>
          <w:spacing w:val="-13"/>
          <w:sz w:val="22"/>
          <w:szCs w:val="22"/>
        </w:rPr>
        <w:t>能发生改变，从而导致厌世、自杀等行为。</w:t>
      </w:r>
    </w:p>
    <w:p w:rsidR="00EA40A3" w:rsidRDefault="00E86C16">
      <w:pPr>
        <w:spacing w:before="174" w:line="221" w:lineRule="auto"/>
        <w:ind w:left="3"/>
        <w:outlineLvl w:val="6"/>
        <w:rPr>
          <w:rFonts w:ascii="黑体" w:eastAsia="黑体" w:hAnsi="黑体" w:cs="黑体"/>
          <w:sz w:val="25"/>
          <w:szCs w:val="25"/>
        </w:rPr>
      </w:pPr>
      <w:r>
        <w:rPr>
          <w:rFonts w:ascii="黑体" w:eastAsia="黑体" w:hAnsi="黑体" w:cs="黑体"/>
          <w:b/>
          <w:bCs/>
          <w:spacing w:val="-11"/>
          <w:sz w:val="25"/>
          <w:szCs w:val="25"/>
        </w:rPr>
        <w:t>11.3.5</w:t>
      </w:r>
      <w:r>
        <w:rPr>
          <w:rFonts w:ascii="黑体" w:eastAsia="黑体" w:hAnsi="黑体" w:cs="黑体"/>
          <w:spacing w:val="92"/>
          <w:sz w:val="25"/>
          <w:szCs w:val="25"/>
        </w:rPr>
        <w:t xml:space="preserve"> </w:t>
      </w:r>
      <w:r>
        <w:rPr>
          <w:rFonts w:ascii="黑体" w:eastAsia="黑体" w:hAnsi="黑体" w:cs="黑体"/>
          <w:b/>
          <w:bCs/>
          <w:spacing w:val="-11"/>
          <w:sz w:val="25"/>
          <w:szCs w:val="25"/>
        </w:rPr>
        <w:t>肥胖症的防治</w:t>
      </w:r>
    </w:p>
    <w:p w:rsidR="00EA40A3" w:rsidRDefault="00E86C16">
      <w:pPr>
        <w:spacing w:before="193" w:line="242" w:lineRule="auto"/>
        <w:ind w:right="41" w:firstLine="419"/>
        <w:jc w:val="both"/>
        <w:rPr>
          <w:rFonts w:ascii="宋体" w:eastAsia="宋体" w:hAnsi="宋体" w:cs="宋体"/>
          <w:sz w:val="22"/>
          <w:szCs w:val="22"/>
        </w:rPr>
      </w:pPr>
      <w:r>
        <w:rPr>
          <w:rFonts w:ascii="宋体" w:eastAsia="宋体" w:hAnsi="宋体" w:cs="宋体"/>
          <w:spacing w:val="-13"/>
          <w:sz w:val="22"/>
          <w:szCs w:val="22"/>
        </w:rPr>
        <w:t>肥胖症的预防比治疗更重要，且容易奏效，调整饮食结构、坚持</w:t>
      </w:r>
      <w:r>
        <w:rPr>
          <w:rFonts w:ascii="宋体" w:eastAsia="宋体" w:hAnsi="宋体" w:cs="宋体"/>
          <w:spacing w:val="-14"/>
          <w:sz w:val="22"/>
          <w:szCs w:val="22"/>
        </w:rPr>
        <w:t>体力活动和</w:t>
      </w:r>
      <w:r>
        <w:rPr>
          <w:rFonts w:ascii="宋体" w:eastAsia="宋体" w:hAnsi="宋体" w:cs="宋体"/>
          <w:sz w:val="22"/>
          <w:szCs w:val="22"/>
        </w:rPr>
        <w:t xml:space="preserve"> </w:t>
      </w:r>
      <w:r>
        <w:rPr>
          <w:rFonts w:ascii="宋体" w:eastAsia="宋体" w:hAnsi="宋体" w:cs="宋体"/>
          <w:spacing w:val="-10"/>
          <w:sz w:val="22"/>
          <w:szCs w:val="22"/>
        </w:rPr>
        <w:t>纠正不良饮食行为是预防肥胖的关键。目前主要有3种治疗方法：饮食疗法、运</w:t>
      </w:r>
      <w:r>
        <w:rPr>
          <w:rFonts w:ascii="宋体" w:eastAsia="宋体" w:hAnsi="宋体" w:cs="宋体"/>
          <w:spacing w:val="17"/>
          <w:sz w:val="22"/>
          <w:szCs w:val="22"/>
        </w:rPr>
        <w:t xml:space="preserve"> </w:t>
      </w:r>
      <w:r>
        <w:rPr>
          <w:rFonts w:ascii="宋体" w:eastAsia="宋体" w:hAnsi="宋体" w:cs="宋体"/>
          <w:spacing w:val="-12"/>
          <w:sz w:val="22"/>
          <w:szCs w:val="22"/>
        </w:rPr>
        <w:t>动疗法及不良饮食行为的纠正</w:t>
      </w:r>
    </w:p>
    <w:p w:rsidR="00EA40A3" w:rsidRDefault="00E86C16">
      <w:pPr>
        <w:spacing w:before="92"/>
        <w:ind w:right="5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361</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340" w:h="13440"/>
          <w:pgMar w:top="400" w:right="1060" w:bottom="400" w:left="980" w:header="0" w:footer="0" w:gutter="0"/>
          <w:cols w:space="720"/>
        </w:sectPr>
      </w:pPr>
    </w:p>
    <w:p w:rsidR="00EA40A3" w:rsidRDefault="00EA40A3">
      <w:pPr>
        <w:spacing w:line="253" w:lineRule="auto"/>
      </w:pPr>
    </w:p>
    <w:p w:rsidR="00EA40A3" w:rsidRDefault="00EA40A3">
      <w:pPr>
        <w:spacing w:line="254" w:lineRule="auto"/>
      </w:pPr>
    </w:p>
    <w:p w:rsidR="00EA40A3" w:rsidRDefault="00EA40A3">
      <w:pPr>
        <w:spacing w:line="254" w:lineRule="auto"/>
      </w:pPr>
    </w:p>
    <w:p w:rsidR="00EA40A3" w:rsidRDefault="00E86C16">
      <w:pPr>
        <w:spacing w:before="71" w:line="222"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23"/>
          <w:sz w:val="22"/>
          <w:szCs w:val="22"/>
        </w:rPr>
        <w:t xml:space="preserve"> </w:t>
      </w:r>
      <w:r>
        <w:rPr>
          <w:rFonts w:ascii="仿宋" w:eastAsia="仿宋" w:hAnsi="仿宋" w:cs="仿宋"/>
          <w:spacing w:val="6"/>
          <w:sz w:val="22"/>
          <w:szCs w:val="22"/>
        </w:rPr>
        <w:t>饮食疗法</w:t>
      </w:r>
    </w:p>
    <w:p w:rsidR="00EA40A3" w:rsidRDefault="00E86C16">
      <w:pPr>
        <w:spacing w:before="168" w:line="238" w:lineRule="auto"/>
        <w:ind w:right="760" w:firstLine="419"/>
        <w:rPr>
          <w:rFonts w:ascii="楷体" w:eastAsia="楷体" w:hAnsi="楷体" w:cs="楷体"/>
          <w:sz w:val="22"/>
          <w:szCs w:val="22"/>
        </w:rPr>
      </w:pPr>
      <w:r>
        <w:rPr>
          <w:rFonts w:ascii="楷体" w:eastAsia="楷体" w:hAnsi="楷体" w:cs="楷体"/>
          <w:spacing w:val="-14"/>
          <w:sz w:val="22"/>
          <w:szCs w:val="22"/>
        </w:rPr>
        <w:t>饮食疗法就是控制患者过剩的能量摄入，使机体能量收支趋于平衡。</w:t>
      </w:r>
      <w:r>
        <w:rPr>
          <w:rFonts w:ascii="楷体" w:eastAsia="楷体" w:hAnsi="楷体" w:cs="楷体"/>
          <w:sz w:val="22"/>
          <w:szCs w:val="22"/>
        </w:rPr>
        <w:t xml:space="preserve"> </w:t>
      </w:r>
      <w:r>
        <w:rPr>
          <w:rFonts w:ascii="楷体" w:eastAsia="楷体" w:hAnsi="楷体" w:cs="楷体"/>
          <w:spacing w:val="-9"/>
          <w:sz w:val="22"/>
          <w:szCs w:val="22"/>
        </w:rPr>
        <w:t>1)平衡膳食并适当控制总能量的摄入量</w:t>
      </w:r>
    </w:p>
    <w:p w:rsidR="00EA40A3" w:rsidRDefault="00E86C16">
      <w:pPr>
        <w:spacing w:before="61" w:line="244" w:lineRule="auto"/>
        <w:ind w:right="96" w:firstLine="419"/>
        <w:rPr>
          <w:rFonts w:ascii="宋体" w:eastAsia="宋体" w:hAnsi="宋体" w:cs="宋体"/>
          <w:sz w:val="22"/>
          <w:szCs w:val="22"/>
        </w:rPr>
      </w:pPr>
      <w:r>
        <w:rPr>
          <w:rFonts w:ascii="宋体" w:eastAsia="宋体" w:hAnsi="宋体" w:cs="宋体"/>
          <w:spacing w:val="-13"/>
          <w:sz w:val="22"/>
          <w:szCs w:val="22"/>
        </w:rPr>
        <w:t>减少能量的摄入，使能量代谢呈现负平衡。可促进脂肪的动员，有利于降低</w:t>
      </w:r>
      <w:r>
        <w:rPr>
          <w:rFonts w:ascii="宋体" w:eastAsia="宋体" w:hAnsi="宋体" w:cs="宋体"/>
          <w:spacing w:val="11"/>
          <w:sz w:val="22"/>
          <w:szCs w:val="22"/>
        </w:rPr>
        <w:t xml:space="preserve"> </w:t>
      </w:r>
      <w:r>
        <w:rPr>
          <w:rFonts w:ascii="宋体" w:eastAsia="宋体" w:hAnsi="宋体" w:cs="宋体"/>
          <w:spacing w:val="-13"/>
          <w:sz w:val="22"/>
          <w:szCs w:val="22"/>
        </w:rPr>
        <w:t>体脂量。但能量摄人的降低应适当，不能因追求减肥的速度而过分限制能量的摄</w:t>
      </w:r>
      <w:r>
        <w:rPr>
          <w:rFonts w:ascii="宋体" w:eastAsia="宋体" w:hAnsi="宋体" w:cs="宋体"/>
          <w:spacing w:val="13"/>
          <w:sz w:val="22"/>
          <w:szCs w:val="22"/>
        </w:rPr>
        <w:t xml:space="preserve"> </w:t>
      </w:r>
      <w:r>
        <w:rPr>
          <w:rFonts w:ascii="宋体" w:eastAsia="宋体" w:hAnsi="宋体" w:cs="宋体"/>
          <w:spacing w:val="-18"/>
          <w:sz w:val="22"/>
          <w:szCs w:val="22"/>
        </w:rPr>
        <w:t>入，并且保持供能营养素的适宜比例。</w:t>
      </w:r>
      <w:r>
        <w:rPr>
          <w:rFonts w:ascii="宋体" w:eastAsia="宋体" w:hAnsi="宋体" w:cs="宋体"/>
          <w:spacing w:val="51"/>
          <w:sz w:val="22"/>
          <w:szCs w:val="22"/>
        </w:rPr>
        <w:t xml:space="preserve"> </w:t>
      </w:r>
      <w:r>
        <w:rPr>
          <w:rFonts w:ascii="宋体" w:eastAsia="宋体" w:hAnsi="宋体" w:cs="宋体"/>
          <w:spacing w:val="-18"/>
          <w:sz w:val="22"/>
          <w:szCs w:val="22"/>
        </w:rPr>
        <w:t>一般的轻度肥胖者，每天能量的摄入低于</w:t>
      </w:r>
      <w:r>
        <w:rPr>
          <w:rFonts w:ascii="宋体" w:eastAsia="宋体" w:hAnsi="宋体" w:cs="宋体"/>
          <w:sz w:val="22"/>
          <w:szCs w:val="22"/>
        </w:rPr>
        <w:t xml:space="preserve"> </w:t>
      </w:r>
      <w:r>
        <w:rPr>
          <w:rFonts w:ascii="宋体" w:eastAsia="宋体" w:hAnsi="宋体" w:cs="宋体"/>
          <w:spacing w:val="-4"/>
          <w:sz w:val="22"/>
          <w:szCs w:val="22"/>
        </w:rPr>
        <w:t>消耗的125～250kcal,</w:t>
      </w:r>
      <w:r>
        <w:rPr>
          <w:rFonts w:ascii="宋体" w:eastAsia="宋体" w:hAnsi="宋体" w:cs="宋体"/>
          <w:spacing w:val="-49"/>
          <w:sz w:val="22"/>
          <w:szCs w:val="22"/>
        </w:rPr>
        <w:t xml:space="preserve"> </w:t>
      </w:r>
      <w:r>
        <w:rPr>
          <w:rFonts w:ascii="宋体" w:eastAsia="宋体" w:hAnsi="宋体" w:cs="宋体"/>
          <w:spacing w:val="-4"/>
          <w:sz w:val="22"/>
          <w:szCs w:val="22"/>
        </w:rPr>
        <w:t>每月可减轻0.5～1.0kg体重。但每天的能量摄入至少要</w:t>
      </w:r>
      <w:r>
        <w:rPr>
          <w:rFonts w:ascii="宋体" w:eastAsia="宋体" w:hAnsi="宋体" w:cs="宋体"/>
          <w:sz w:val="22"/>
          <w:szCs w:val="22"/>
        </w:rPr>
        <w:t xml:space="preserve"> </w:t>
      </w:r>
      <w:r>
        <w:rPr>
          <w:rFonts w:ascii="宋体" w:eastAsia="宋体" w:hAnsi="宋体" w:cs="宋体"/>
          <w:spacing w:val="-11"/>
          <w:sz w:val="22"/>
          <w:szCs w:val="22"/>
        </w:rPr>
        <w:t>在1000kcal,</w:t>
      </w:r>
      <w:r>
        <w:rPr>
          <w:rFonts w:ascii="宋体" w:eastAsia="宋体" w:hAnsi="宋体" w:cs="宋体"/>
          <w:spacing w:val="-39"/>
          <w:sz w:val="22"/>
          <w:szCs w:val="22"/>
        </w:rPr>
        <w:t xml:space="preserve"> </w:t>
      </w:r>
      <w:r>
        <w:rPr>
          <w:rFonts w:ascii="宋体" w:eastAsia="宋体" w:hAnsi="宋体" w:cs="宋体"/>
          <w:spacing w:val="-11"/>
          <w:sz w:val="22"/>
          <w:szCs w:val="22"/>
        </w:rPr>
        <w:t>否则将影响正常的活动甚至会危害健康。</w:t>
      </w:r>
    </w:p>
    <w:p w:rsidR="00EA40A3" w:rsidRDefault="00E86C16">
      <w:pPr>
        <w:spacing w:before="49" w:line="230" w:lineRule="auto"/>
        <w:rPr>
          <w:rFonts w:ascii="楷体" w:eastAsia="楷体" w:hAnsi="楷体" w:cs="楷体"/>
          <w:sz w:val="22"/>
          <w:szCs w:val="22"/>
        </w:rPr>
      </w:pPr>
      <w:r>
        <w:rPr>
          <w:rFonts w:ascii="楷体" w:eastAsia="楷体" w:hAnsi="楷体" w:cs="楷体"/>
          <w:spacing w:val="-7"/>
          <w:sz w:val="22"/>
          <w:szCs w:val="22"/>
        </w:rPr>
        <w:t>2)适量脂肪摄入</w:t>
      </w:r>
    </w:p>
    <w:p w:rsidR="00EA40A3" w:rsidRDefault="00E86C16">
      <w:pPr>
        <w:spacing w:before="63" w:line="247" w:lineRule="auto"/>
        <w:ind w:right="98" w:firstLine="419"/>
        <w:jc w:val="both"/>
        <w:rPr>
          <w:rFonts w:ascii="宋体" w:eastAsia="宋体" w:hAnsi="宋体" w:cs="宋体"/>
          <w:sz w:val="22"/>
          <w:szCs w:val="22"/>
        </w:rPr>
      </w:pPr>
      <w:r>
        <w:rPr>
          <w:rFonts w:ascii="宋体" w:eastAsia="宋体" w:hAnsi="宋体" w:cs="宋体"/>
          <w:spacing w:val="-13"/>
          <w:sz w:val="22"/>
          <w:szCs w:val="22"/>
        </w:rPr>
        <w:t>肥胖者往往血脂高，因此应适当限制脂肪的摄入量，特别是饱和脂肪酸的摄</w:t>
      </w:r>
      <w:r>
        <w:rPr>
          <w:rFonts w:ascii="宋体" w:eastAsia="宋体" w:hAnsi="宋体" w:cs="宋体"/>
          <w:spacing w:val="7"/>
          <w:sz w:val="22"/>
          <w:szCs w:val="22"/>
        </w:rPr>
        <w:t xml:space="preserve"> </w:t>
      </w:r>
      <w:r>
        <w:rPr>
          <w:rFonts w:ascii="宋体" w:eastAsia="宋体" w:hAnsi="宋体" w:cs="宋体"/>
          <w:spacing w:val="-14"/>
          <w:sz w:val="22"/>
          <w:szCs w:val="22"/>
        </w:rPr>
        <w:t>入量。脂肪对机体有重要作用，与一些脂溶性的维生素吸收有关，也可增进饱腹</w:t>
      </w:r>
      <w:r>
        <w:rPr>
          <w:rFonts w:ascii="宋体" w:eastAsia="宋体" w:hAnsi="宋体" w:cs="宋体"/>
          <w:spacing w:val="17"/>
          <w:sz w:val="22"/>
          <w:szCs w:val="22"/>
        </w:rPr>
        <w:t xml:space="preserve"> </w:t>
      </w:r>
      <w:r>
        <w:rPr>
          <w:rFonts w:ascii="宋体" w:eastAsia="宋体" w:hAnsi="宋体" w:cs="宋体"/>
          <w:spacing w:val="3"/>
          <w:sz w:val="22"/>
          <w:szCs w:val="22"/>
        </w:rPr>
        <w:t>感，所以摄入量不宜过低。脂肪摄入量一般应占总能量的20%～30%,并应注</w:t>
      </w:r>
      <w:r>
        <w:rPr>
          <w:rFonts w:ascii="宋体" w:eastAsia="宋体" w:hAnsi="宋体" w:cs="宋体"/>
          <w:spacing w:val="1"/>
          <w:sz w:val="22"/>
          <w:szCs w:val="22"/>
        </w:rPr>
        <w:t xml:space="preserve"> </w:t>
      </w:r>
      <w:r>
        <w:rPr>
          <w:rFonts w:ascii="宋体" w:eastAsia="宋体" w:hAnsi="宋体" w:cs="宋体"/>
          <w:spacing w:val="-7"/>
          <w:sz w:val="22"/>
          <w:szCs w:val="22"/>
        </w:rPr>
        <w:t>意提高不饱和脂肪酸的比例。饮食中高水平的饱和脂肪酸破坏机体的抗氧化能</w:t>
      </w:r>
      <w:r>
        <w:rPr>
          <w:rFonts w:ascii="宋体" w:eastAsia="宋体" w:hAnsi="宋体" w:cs="宋体"/>
          <w:spacing w:val="18"/>
          <w:sz w:val="22"/>
          <w:szCs w:val="22"/>
        </w:rPr>
        <w:t xml:space="preserve"> </w:t>
      </w:r>
      <w:r>
        <w:rPr>
          <w:rFonts w:ascii="宋体" w:eastAsia="宋体" w:hAnsi="宋体" w:cs="宋体"/>
          <w:spacing w:val="-5"/>
          <w:sz w:val="22"/>
          <w:szCs w:val="22"/>
        </w:rPr>
        <w:t>力，阻碍低密度脂蛋白</w:t>
      </w:r>
      <w:r>
        <w:rPr>
          <w:rFonts w:ascii="宋体" w:eastAsia="宋体" w:hAnsi="宋体" w:cs="宋体"/>
          <w:spacing w:val="-58"/>
          <w:sz w:val="22"/>
          <w:szCs w:val="22"/>
        </w:rPr>
        <w:t xml:space="preserve"> </w:t>
      </w:r>
      <w:r>
        <w:rPr>
          <w:rFonts w:ascii="宋体" w:eastAsia="宋体" w:hAnsi="宋体" w:cs="宋体"/>
          <w:spacing w:val="-5"/>
          <w:sz w:val="22"/>
          <w:szCs w:val="22"/>
        </w:rPr>
        <w:t>(LDL)</w:t>
      </w:r>
      <w:r>
        <w:rPr>
          <w:rFonts w:ascii="宋体" w:eastAsia="宋体" w:hAnsi="宋体" w:cs="宋体"/>
          <w:spacing w:val="87"/>
          <w:sz w:val="22"/>
          <w:szCs w:val="22"/>
        </w:rPr>
        <w:t xml:space="preserve"> </w:t>
      </w:r>
      <w:r>
        <w:rPr>
          <w:rFonts w:ascii="宋体" w:eastAsia="宋体" w:hAnsi="宋体" w:cs="宋体"/>
          <w:spacing w:val="-5"/>
          <w:sz w:val="22"/>
          <w:szCs w:val="22"/>
        </w:rPr>
        <w:t>受体清除血液中LDL</w:t>
      </w:r>
      <w:r>
        <w:rPr>
          <w:rFonts w:ascii="宋体" w:eastAsia="宋体" w:hAnsi="宋体" w:cs="宋体"/>
          <w:spacing w:val="47"/>
          <w:sz w:val="22"/>
          <w:szCs w:val="22"/>
        </w:rPr>
        <w:t xml:space="preserve"> </w:t>
      </w:r>
      <w:r>
        <w:rPr>
          <w:rFonts w:ascii="宋体" w:eastAsia="宋体" w:hAnsi="宋体" w:cs="宋体"/>
          <w:spacing w:val="-5"/>
          <w:sz w:val="22"/>
          <w:szCs w:val="22"/>
        </w:rPr>
        <w:t>的能</w:t>
      </w:r>
      <w:r>
        <w:rPr>
          <w:rFonts w:ascii="宋体" w:eastAsia="宋体" w:hAnsi="宋体" w:cs="宋体"/>
          <w:spacing w:val="-6"/>
          <w:sz w:val="22"/>
          <w:szCs w:val="22"/>
        </w:rPr>
        <w:t>力，降低脂蛋白脂酶</w:t>
      </w:r>
      <w:r>
        <w:rPr>
          <w:rFonts w:ascii="宋体" w:eastAsia="宋体" w:hAnsi="宋体" w:cs="宋体"/>
          <w:sz w:val="22"/>
          <w:szCs w:val="22"/>
        </w:rPr>
        <w:t xml:space="preserve"> </w:t>
      </w:r>
      <w:r>
        <w:rPr>
          <w:rFonts w:ascii="宋体" w:eastAsia="宋体" w:hAnsi="宋体" w:cs="宋体"/>
          <w:spacing w:val="-7"/>
          <w:sz w:val="22"/>
          <w:szCs w:val="22"/>
        </w:rPr>
        <w:t>(LPL)</w:t>
      </w:r>
      <w:r>
        <w:rPr>
          <w:rFonts w:ascii="宋体" w:eastAsia="宋体" w:hAnsi="宋体" w:cs="宋体"/>
          <w:spacing w:val="77"/>
          <w:sz w:val="22"/>
          <w:szCs w:val="22"/>
        </w:rPr>
        <w:t xml:space="preserve"> </w:t>
      </w:r>
      <w:r>
        <w:rPr>
          <w:rFonts w:ascii="宋体" w:eastAsia="宋体" w:hAnsi="宋体" w:cs="宋体"/>
          <w:spacing w:val="-7"/>
          <w:sz w:val="22"/>
          <w:szCs w:val="22"/>
        </w:rPr>
        <w:t>活性，导致血浆中低密度脂蛋白胆固醇</w:t>
      </w:r>
      <w:r>
        <w:rPr>
          <w:rFonts w:ascii="宋体" w:eastAsia="宋体" w:hAnsi="宋体" w:cs="宋体"/>
          <w:spacing w:val="-30"/>
          <w:sz w:val="22"/>
          <w:szCs w:val="22"/>
        </w:rPr>
        <w:t xml:space="preserve"> </w:t>
      </w:r>
      <w:r>
        <w:rPr>
          <w:rFonts w:ascii="宋体" w:eastAsia="宋体" w:hAnsi="宋体" w:cs="宋体"/>
          <w:spacing w:val="-7"/>
          <w:sz w:val="22"/>
          <w:szCs w:val="22"/>
        </w:rPr>
        <w:t>(LDL-C)</w:t>
      </w:r>
      <w:r>
        <w:rPr>
          <w:rFonts w:ascii="宋体" w:eastAsia="宋体" w:hAnsi="宋体" w:cs="宋体"/>
          <w:spacing w:val="4"/>
          <w:sz w:val="22"/>
          <w:szCs w:val="22"/>
        </w:rPr>
        <w:t xml:space="preserve">  </w:t>
      </w:r>
      <w:r>
        <w:rPr>
          <w:rFonts w:ascii="宋体" w:eastAsia="宋体" w:hAnsi="宋体" w:cs="宋体"/>
          <w:spacing w:val="-8"/>
          <w:sz w:val="22"/>
          <w:szCs w:val="22"/>
        </w:rPr>
        <w:t>的增加。单不饱和脂</w:t>
      </w:r>
      <w:r>
        <w:rPr>
          <w:rFonts w:ascii="宋体" w:eastAsia="宋体" w:hAnsi="宋体" w:cs="宋体"/>
          <w:sz w:val="22"/>
          <w:szCs w:val="22"/>
        </w:rPr>
        <w:t xml:space="preserve"> </w:t>
      </w:r>
      <w:r>
        <w:rPr>
          <w:rFonts w:ascii="宋体" w:eastAsia="宋体" w:hAnsi="宋体" w:cs="宋体"/>
          <w:spacing w:val="-13"/>
          <w:sz w:val="22"/>
          <w:szCs w:val="22"/>
        </w:rPr>
        <w:t>肪酸有利于减少血浆中的胆固醇含量。</w:t>
      </w:r>
    </w:p>
    <w:p w:rsidR="00EA40A3" w:rsidRDefault="00E86C16">
      <w:pPr>
        <w:spacing w:before="57" w:line="226" w:lineRule="auto"/>
        <w:rPr>
          <w:rFonts w:ascii="楷体" w:eastAsia="楷体" w:hAnsi="楷体" w:cs="楷体"/>
          <w:sz w:val="22"/>
          <w:szCs w:val="22"/>
        </w:rPr>
      </w:pPr>
      <w:r>
        <w:rPr>
          <w:rFonts w:ascii="楷体" w:eastAsia="楷体" w:hAnsi="楷体" w:cs="楷体"/>
          <w:spacing w:val="-1"/>
          <w:sz w:val="22"/>
          <w:szCs w:val="22"/>
        </w:rPr>
        <w:t>3)保证蛋白质的供应</w:t>
      </w:r>
    </w:p>
    <w:p w:rsidR="00EA40A3" w:rsidRDefault="00E86C16">
      <w:pPr>
        <w:spacing w:before="52" w:line="239" w:lineRule="auto"/>
        <w:ind w:right="101" w:firstLine="419"/>
        <w:rPr>
          <w:rFonts w:ascii="宋体" w:eastAsia="宋体" w:hAnsi="宋体" w:cs="宋体"/>
          <w:sz w:val="22"/>
          <w:szCs w:val="22"/>
        </w:rPr>
      </w:pPr>
      <w:r>
        <w:rPr>
          <w:rFonts w:ascii="宋体" w:eastAsia="宋体" w:hAnsi="宋体" w:cs="宋体"/>
          <w:spacing w:val="-13"/>
          <w:sz w:val="22"/>
          <w:szCs w:val="22"/>
        </w:rPr>
        <w:t>为维持蛋白质平衡，应保证膳食中有足够的蛋白质。由于总能量下降，可适</w:t>
      </w:r>
      <w:r>
        <w:rPr>
          <w:rFonts w:ascii="宋体" w:eastAsia="宋体" w:hAnsi="宋体" w:cs="宋体"/>
          <w:spacing w:val="6"/>
          <w:sz w:val="22"/>
          <w:szCs w:val="22"/>
        </w:rPr>
        <w:t xml:space="preserve"> </w:t>
      </w:r>
      <w:r>
        <w:rPr>
          <w:rFonts w:ascii="宋体" w:eastAsia="宋体" w:hAnsi="宋体" w:cs="宋体"/>
          <w:spacing w:val="-14"/>
          <w:sz w:val="22"/>
          <w:szCs w:val="22"/>
        </w:rPr>
        <w:t>当提高蛋白质的比例。但过高会加重肝、肾的负担，造成肝、肾损伤。</w:t>
      </w:r>
    </w:p>
    <w:p w:rsidR="00EA40A3" w:rsidRDefault="00E86C16">
      <w:pPr>
        <w:spacing w:before="38" w:line="225" w:lineRule="auto"/>
        <w:rPr>
          <w:rFonts w:ascii="楷体" w:eastAsia="楷体" w:hAnsi="楷体" w:cs="楷体"/>
          <w:sz w:val="22"/>
          <w:szCs w:val="22"/>
        </w:rPr>
      </w:pPr>
      <w:r>
        <w:rPr>
          <w:rFonts w:ascii="楷体" w:eastAsia="楷体" w:hAnsi="楷体" w:cs="楷体"/>
          <w:spacing w:val="-6"/>
          <w:sz w:val="22"/>
          <w:szCs w:val="22"/>
        </w:rPr>
        <w:t>4)保证足够的维生素和矿物质</w:t>
      </w:r>
    </w:p>
    <w:p w:rsidR="00EA40A3" w:rsidRDefault="00E86C16">
      <w:pPr>
        <w:spacing w:before="53" w:line="241" w:lineRule="auto"/>
        <w:ind w:right="93" w:firstLine="419"/>
        <w:rPr>
          <w:rFonts w:ascii="宋体" w:eastAsia="宋体" w:hAnsi="宋体" w:cs="宋体"/>
          <w:sz w:val="22"/>
          <w:szCs w:val="22"/>
        </w:rPr>
      </w:pPr>
      <w:r>
        <w:rPr>
          <w:rFonts w:ascii="宋体" w:eastAsia="宋体" w:hAnsi="宋体" w:cs="宋体"/>
          <w:spacing w:val="-13"/>
          <w:sz w:val="22"/>
          <w:szCs w:val="22"/>
        </w:rPr>
        <w:t>维生素和矿物质对调节机体生理生化反应非常重要，应保证膳食中有足够的</w:t>
      </w:r>
      <w:r>
        <w:rPr>
          <w:rFonts w:ascii="宋体" w:eastAsia="宋体" w:hAnsi="宋体" w:cs="宋体"/>
          <w:spacing w:val="14"/>
          <w:sz w:val="22"/>
          <w:szCs w:val="22"/>
        </w:rPr>
        <w:t xml:space="preserve"> </w:t>
      </w:r>
      <w:r>
        <w:rPr>
          <w:rFonts w:ascii="宋体" w:eastAsia="宋体" w:hAnsi="宋体" w:cs="宋体"/>
          <w:spacing w:val="-13"/>
          <w:sz w:val="22"/>
          <w:szCs w:val="22"/>
        </w:rPr>
        <w:t>维生素和矿物质。有些维生素可以促进脂肪的氧化分解，降低血清甘油三酯和胆</w:t>
      </w:r>
      <w:r>
        <w:rPr>
          <w:rFonts w:ascii="宋体" w:eastAsia="宋体" w:hAnsi="宋体" w:cs="宋体"/>
          <w:spacing w:val="12"/>
          <w:sz w:val="22"/>
          <w:szCs w:val="22"/>
        </w:rPr>
        <w:t xml:space="preserve"> </w:t>
      </w:r>
      <w:r>
        <w:rPr>
          <w:rFonts w:ascii="宋体" w:eastAsia="宋体" w:hAnsi="宋体" w:cs="宋体"/>
          <w:spacing w:val="-14"/>
          <w:sz w:val="22"/>
          <w:szCs w:val="22"/>
        </w:rPr>
        <w:t>固醇，有利于机体质量的降低和预防心血管疾病。</w:t>
      </w:r>
    </w:p>
    <w:p w:rsidR="00EA40A3" w:rsidRDefault="00E86C16">
      <w:pPr>
        <w:spacing w:before="43" w:line="229" w:lineRule="auto"/>
        <w:rPr>
          <w:rFonts w:ascii="楷体" w:eastAsia="楷体" w:hAnsi="楷体" w:cs="楷体"/>
          <w:sz w:val="22"/>
          <w:szCs w:val="22"/>
        </w:rPr>
      </w:pPr>
      <w:r>
        <w:rPr>
          <w:rFonts w:ascii="楷体" w:eastAsia="楷体" w:hAnsi="楷体" w:cs="楷体"/>
          <w:spacing w:val="-7"/>
          <w:sz w:val="22"/>
          <w:szCs w:val="22"/>
        </w:rPr>
        <w:t>5)适量碳水化合物的摄入</w:t>
      </w:r>
    </w:p>
    <w:p w:rsidR="00EA40A3" w:rsidRDefault="00E86C16">
      <w:pPr>
        <w:spacing w:before="54" w:line="238" w:lineRule="auto"/>
        <w:ind w:firstLine="419"/>
        <w:jc w:val="both"/>
        <w:rPr>
          <w:rFonts w:ascii="宋体" w:eastAsia="宋体" w:hAnsi="宋体" w:cs="宋体"/>
          <w:sz w:val="22"/>
          <w:szCs w:val="22"/>
        </w:rPr>
      </w:pPr>
      <w:r>
        <w:rPr>
          <w:rFonts w:ascii="宋体" w:eastAsia="宋体" w:hAnsi="宋体" w:cs="宋体"/>
          <w:spacing w:val="-10"/>
          <w:sz w:val="22"/>
          <w:szCs w:val="22"/>
        </w:rPr>
        <w:t>摄入过多的碳水化合物会转化为脂肪。碳水化合物消化极快，易造成饥饿，</w:t>
      </w:r>
      <w:r>
        <w:rPr>
          <w:rFonts w:ascii="宋体" w:eastAsia="宋体" w:hAnsi="宋体" w:cs="宋体"/>
          <w:spacing w:val="9"/>
          <w:sz w:val="22"/>
          <w:szCs w:val="22"/>
        </w:rPr>
        <w:t xml:space="preserve"> </w:t>
      </w:r>
      <w:r>
        <w:rPr>
          <w:rFonts w:ascii="宋体" w:eastAsia="宋体" w:hAnsi="宋体" w:cs="宋体"/>
          <w:spacing w:val="-13"/>
          <w:sz w:val="22"/>
          <w:szCs w:val="22"/>
        </w:rPr>
        <w:t>食欲增加，因此，膳食中的碳水化合物比例过高对减肥不利。但过低可能会诱发</w:t>
      </w:r>
      <w:r>
        <w:rPr>
          <w:rFonts w:ascii="宋体" w:eastAsia="宋体" w:hAnsi="宋体" w:cs="宋体"/>
          <w:spacing w:val="6"/>
          <w:sz w:val="22"/>
          <w:szCs w:val="22"/>
        </w:rPr>
        <w:t xml:space="preserve">  </w:t>
      </w:r>
      <w:r>
        <w:rPr>
          <w:rFonts w:ascii="宋体" w:eastAsia="宋体" w:hAnsi="宋体" w:cs="宋体"/>
          <w:spacing w:val="-17"/>
          <w:sz w:val="22"/>
          <w:szCs w:val="22"/>
        </w:rPr>
        <w:t>机体出现因脂肪氧化过多引起酮症。</w:t>
      </w:r>
      <w:r>
        <w:rPr>
          <w:rFonts w:ascii="宋体" w:eastAsia="宋体" w:hAnsi="宋体" w:cs="宋体"/>
          <w:spacing w:val="42"/>
          <w:sz w:val="22"/>
          <w:szCs w:val="22"/>
        </w:rPr>
        <w:t xml:space="preserve"> </w:t>
      </w:r>
      <w:r>
        <w:rPr>
          <w:rFonts w:ascii="宋体" w:eastAsia="宋体" w:hAnsi="宋体" w:cs="宋体"/>
          <w:spacing w:val="-17"/>
          <w:sz w:val="22"/>
          <w:szCs w:val="22"/>
        </w:rPr>
        <w:t>一般碳水化合物所提供的能量不低于总能量</w:t>
      </w:r>
      <w:r>
        <w:rPr>
          <w:rFonts w:ascii="宋体" w:eastAsia="宋体" w:hAnsi="宋体" w:cs="宋体"/>
          <w:sz w:val="22"/>
          <w:szCs w:val="22"/>
        </w:rPr>
        <w:t xml:space="preserve">  </w:t>
      </w:r>
      <w:r>
        <w:rPr>
          <w:rFonts w:ascii="宋体" w:eastAsia="宋体" w:hAnsi="宋体" w:cs="宋体"/>
          <w:spacing w:val="4"/>
          <w:sz w:val="22"/>
          <w:szCs w:val="22"/>
        </w:rPr>
        <w:t>的50%为宜。</w:t>
      </w:r>
    </w:p>
    <w:p w:rsidR="00EA40A3" w:rsidRDefault="00E86C16">
      <w:pPr>
        <w:spacing w:before="46" w:line="228" w:lineRule="auto"/>
        <w:rPr>
          <w:rFonts w:ascii="楷体" w:eastAsia="楷体" w:hAnsi="楷体" w:cs="楷体"/>
          <w:sz w:val="22"/>
          <w:szCs w:val="22"/>
        </w:rPr>
      </w:pPr>
      <w:r>
        <w:rPr>
          <w:rFonts w:ascii="楷体" w:eastAsia="楷体" w:hAnsi="楷体" w:cs="楷体"/>
          <w:spacing w:val="-1"/>
          <w:sz w:val="22"/>
          <w:szCs w:val="22"/>
        </w:rPr>
        <w:t>6)限制食盐的摄入量</w:t>
      </w:r>
    </w:p>
    <w:p w:rsidR="00EA40A3" w:rsidRDefault="00E86C16">
      <w:pPr>
        <w:spacing w:before="79" w:line="236" w:lineRule="auto"/>
        <w:ind w:right="92" w:firstLine="419"/>
        <w:jc w:val="both"/>
        <w:rPr>
          <w:rFonts w:ascii="宋体" w:eastAsia="宋体" w:hAnsi="宋体" w:cs="宋体"/>
          <w:sz w:val="22"/>
          <w:szCs w:val="22"/>
        </w:rPr>
      </w:pPr>
      <w:r>
        <w:rPr>
          <w:rFonts w:ascii="宋体" w:eastAsia="宋体" w:hAnsi="宋体" w:cs="宋体"/>
          <w:spacing w:val="-13"/>
          <w:sz w:val="22"/>
          <w:szCs w:val="22"/>
        </w:rPr>
        <w:t>食盐能引起口渴和刺激食欲，并可造成水潴留而增加体重，对减肥不利，还</w:t>
      </w:r>
      <w:r>
        <w:rPr>
          <w:rFonts w:ascii="宋体" w:eastAsia="宋体" w:hAnsi="宋体" w:cs="宋体"/>
          <w:spacing w:val="7"/>
          <w:sz w:val="22"/>
          <w:szCs w:val="22"/>
        </w:rPr>
        <w:t xml:space="preserve"> </w:t>
      </w:r>
      <w:r>
        <w:rPr>
          <w:rFonts w:ascii="宋体" w:eastAsia="宋体" w:hAnsi="宋体" w:cs="宋体"/>
          <w:spacing w:val="-3"/>
          <w:sz w:val="22"/>
          <w:szCs w:val="22"/>
        </w:rPr>
        <w:t>会使血压升高，容易导致心脑血管疾病。因此应限制食盐的摄入，每天3～6g</w:t>
      </w:r>
      <w:r>
        <w:rPr>
          <w:rFonts w:ascii="宋体" w:eastAsia="宋体" w:hAnsi="宋体" w:cs="宋体"/>
          <w:spacing w:val="1"/>
          <w:sz w:val="22"/>
          <w:szCs w:val="22"/>
        </w:rPr>
        <w:t xml:space="preserve"> </w:t>
      </w:r>
      <w:r>
        <w:rPr>
          <w:rFonts w:ascii="宋体" w:eastAsia="宋体" w:hAnsi="宋体" w:cs="宋体"/>
          <w:spacing w:val="-21"/>
          <w:sz w:val="22"/>
          <w:szCs w:val="22"/>
        </w:rPr>
        <w:t>为宜。</w:t>
      </w:r>
    </w:p>
    <w:p w:rsidR="00EA40A3" w:rsidRDefault="00E86C16">
      <w:pPr>
        <w:spacing w:before="214" w:line="222"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7"/>
          <w:sz w:val="22"/>
          <w:szCs w:val="22"/>
        </w:rPr>
        <w:t xml:space="preserve"> </w:t>
      </w:r>
      <w:r>
        <w:rPr>
          <w:rFonts w:ascii="仿宋" w:eastAsia="仿宋" w:hAnsi="仿宋" w:cs="仿宋"/>
          <w:spacing w:val="10"/>
          <w:sz w:val="22"/>
          <w:szCs w:val="22"/>
        </w:rPr>
        <w:t>运动疗法</w:t>
      </w:r>
    </w:p>
    <w:p w:rsidR="00EA40A3" w:rsidRDefault="00E86C16">
      <w:pPr>
        <w:spacing w:before="205" w:line="219" w:lineRule="auto"/>
        <w:ind w:left="419"/>
        <w:rPr>
          <w:rFonts w:ascii="宋体" w:eastAsia="宋体" w:hAnsi="宋体" w:cs="宋体"/>
          <w:sz w:val="22"/>
          <w:szCs w:val="22"/>
        </w:rPr>
      </w:pPr>
      <w:r>
        <w:rPr>
          <w:rFonts w:ascii="宋体" w:eastAsia="宋体" w:hAnsi="宋体" w:cs="宋体"/>
          <w:spacing w:val="-12"/>
          <w:sz w:val="22"/>
          <w:szCs w:val="22"/>
        </w:rPr>
        <w:t>运动可以调节神经内分泌系统、恢复交感神经正常兴奋性</w:t>
      </w:r>
      <w:r>
        <w:rPr>
          <w:rFonts w:ascii="宋体" w:eastAsia="宋体" w:hAnsi="宋体" w:cs="宋体"/>
          <w:spacing w:val="-13"/>
          <w:sz w:val="22"/>
          <w:szCs w:val="22"/>
        </w:rPr>
        <w:t>、调节新陈代谢作</w:t>
      </w:r>
    </w:p>
    <w:p w:rsidR="00EA40A3" w:rsidRDefault="00E86C16">
      <w:pPr>
        <w:spacing w:before="2"/>
        <w:rPr>
          <w:rFonts w:ascii="宋体" w:eastAsia="宋体" w:hAnsi="宋体" w:cs="宋体"/>
          <w:sz w:val="22"/>
          <w:szCs w:val="22"/>
        </w:rPr>
      </w:pPr>
      <w:r>
        <w:rPr>
          <w:rFonts w:ascii="宋体" w:eastAsia="宋体" w:hAnsi="宋体" w:cs="宋体"/>
          <w:spacing w:val="-47"/>
          <w:sz w:val="22"/>
          <w:szCs w:val="22"/>
        </w:rPr>
        <w:t>·</w:t>
      </w:r>
      <w:r>
        <w:rPr>
          <w:rFonts w:ascii="宋体" w:eastAsia="宋体" w:hAnsi="宋体" w:cs="宋体"/>
          <w:spacing w:val="-20"/>
          <w:sz w:val="22"/>
          <w:szCs w:val="22"/>
        </w:rPr>
        <w:t xml:space="preserve"> </w:t>
      </w:r>
      <w:r>
        <w:rPr>
          <w:rFonts w:ascii="宋体" w:eastAsia="宋体" w:hAnsi="宋体" w:cs="宋体"/>
          <w:spacing w:val="-47"/>
          <w:sz w:val="22"/>
          <w:szCs w:val="22"/>
        </w:rPr>
        <w:t>362</w:t>
      </w:r>
      <w:r>
        <w:rPr>
          <w:rFonts w:ascii="宋体" w:eastAsia="宋体" w:hAnsi="宋体" w:cs="宋体"/>
          <w:spacing w:val="27"/>
          <w:sz w:val="22"/>
          <w:szCs w:val="22"/>
        </w:rPr>
        <w:t xml:space="preserve"> </w:t>
      </w:r>
      <w:r>
        <w:rPr>
          <w:rFonts w:ascii="宋体" w:eastAsia="宋体" w:hAnsi="宋体" w:cs="宋体"/>
          <w:spacing w:val="-47"/>
          <w:sz w:val="22"/>
          <w:szCs w:val="22"/>
        </w:rPr>
        <w:t>·</w:t>
      </w:r>
    </w:p>
    <w:p w:rsidR="00EA40A3" w:rsidRDefault="00EA40A3">
      <w:pPr>
        <w:sectPr w:rsidR="00EA40A3">
          <w:pgSz w:w="9220" w:h="13360"/>
          <w:pgMar w:top="400" w:right="1029" w:bottom="400" w:left="829" w:header="0" w:footer="0" w:gutter="0"/>
          <w:cols w:space="720"/>
        </w:sectPr>
      </w:pPr>
    </w:p>
    <w:p w:rsidR="00EA40A3" w:rsidRDefault="00EA40A3">
      <w:pPr>
        <w:spacing w:line="266" w:lineRule="auto"/>
      </w:pPr>
    </w:p>
    <w:p w:rsidR="00EA40A3" w:rsidRDefault="00EA40A3">
      <w:pPr>
        <w:spacing w:line="266" w:lineRule="auto"/>
      </w:pPr>
    </w:p>
    <w:p w:rsidR="00EA40A3" w:rsidRDefault="00E86C16">
      <w:pPr>
        <w:spacing w:before="71" w:line="250" w:lineRule="auto"/>
        <w:ind w:right="92"/>
        <w:jc w:val="both"/>
        <w:rPr>
          <w:rFonts w:ascii="宋体" w:eastAsia="宋体" w:hAnsi="宋体" w:cs="宋体"/>
          <w:sz w:val="22"/>
          <w:szCs w:val="22"/>
        </w:rPr>
      </w:pPr>
      <w:bookmarkStart w:id="89" w:name="_bookmark93"/>
      <w:bookmarkEnd w:id="89"/>
      <w:r>
        <w:rPr>
          <w:rFonts w:ascii="宋体" w:eastAsia="宋体" w:hAnsi="宋体" w:cs="宋体"/>
          <w:spacing w:val="-13"/>
          <w:sz w:val="22"/>
          <w:szCs w:val="22"/>
        </w:rPr>
        <w:t>用、恢复脂肪和碳水化合物正常代谢、增加脂肪消耗、降低血浆胰岛素水平、改</w:t>
      </w:r>
      <w:r>
        <w:rPr>
          <w:rFonts w:ascii="宋体" w:eastAsia="宋体" w:hAnsi="宋体" w:cs="宋体"/>
          <w:spacing w:val="2"/>
          <w:sz w:val="22"/>
          <w:szCs w:val="22"/>
        </w:rPr>
        <w:t xml:space="preserve"> </w:t>
      </w:r>
      <w:r>
        <w:rPr>
          <w:rFonts w:ascii="宋体" w:eastAsia="宋体" w:hAnsi="宋体" w:cs="宋体"/>
          <w:spacing w:val="-6"/>
          <w:sz w:val="22"/>
          <w:szCs w:val="22"/>
        </w:rPr>
        <w:t>善胰岛素抵抗，并且还可激活</w:t>
      </w:r>
      <w:r>
        <w:rPr>
          <w:rFonts w:ascii="宋体" w:eastAsia="宋体" w:hAnsi="宋体" w:cs="宋体"/>
          <w:spacing w:val="-51"/>
          <w:sz w:val="22"/>
          <w:szCs w:val="22"/>
        </w:rPr>
        <w:t xml:space="preserve"> </w:t>
      </w:r>
      <w:r>
        <w:rPr>
          <w:rFonts w:ascii="宋体" w:eastAsia="宋体" w:hAnsi="宋体" w:cs="宋体"/>
          <w:spacing w:val="-6"/>
          <w:sz w:val="22"/>
          <w:szCs w:val="22"/>
        </w:rPr>
        <w:t>LPL,</w:t>
      </w:r>
      <w:r>
        <w:rPr>
          <w:rFonts w:ascii="宋体" w:eastAsia="宋体" w:hAnsi="宋体" w:cs="宋体"/>
          <w:spacing w:val="37"/>
          <w:sz w:val="22"/>
          <w:szCs w:val="22"/>
        </w:rPr>
        <w:t xml:space="preserve"> </w:t>
      </w:r>
      <w:r>
        <w:rPr>
          <w:rFonts w:ascii="宋体" w:eastAsia="宋体" w:hAnsi="宋体" w:cs="宋体"/>
          <w:spacing w:val="-6"/>
          <w:sz w:val="22"/>
          <w:szCs w:val="22"/>
        </w:rPr>
        <w:t>促进脂肪分解。运动还能改善循环系统和</w:t>
      </w:r>
      <w:r>
        <w:rPr>
          <w:rFonts w:ascii="宋体" w:eastAsia="宋体" w:hAnsi="宋体" w:cs="宋体"/>
          <w:sz w:val="22"/>
          <w:szCs w:val="22"/>
        </w:rPr>
        <w:t xml:space="preserve"> </w:t>
      </w:r>
      <w:r>
        <w:rPr>
          <w:rFonts w:ascii="宋体" w:eastAsia="宋体" w:hAnsi="宋体" w:cs="宋体"/>
          <w:spacing w:val="-13"/>
          <w:sz w:val="22"/>
          <w:szCs w:val="22"/>
        </w:rPr>
        <w:t>呼吸系统等的功能，间接地预防和治疗肥胖症及并发症。运</w:t>
      </w:r>
      <w:r>
        <w:rPr>
          <w:rFonts w:ascii="宋体" w:eastAsia="宋体" w:hAnsi="宋体" w:cs="宋体"/>
          <w:spacing w:val="-14"/>
          <w:sz w:val="22"/>
          <w:szCs w:val="22"/>
        </w:rPr>
        <w:t>动减肥是一个长期的</w:t>
      </w:r>
      <w:r>
        <w:rPr>
          <w:rFonts w:ascii="宋体" w:eastAsia="宋体" w:hAnsi="宋体" w:cs="宋体"/>
          <w:sz w:val="22"/>
          <w:szCs w:val="22"/>
        </w:rPr>
        <w:t xml:space="preserve"> </w:t>
      </w:r>
      <w:r>
        <w:rPr>
          <w:rFonts w:ascii="宋体" w:eastAsia="宋体" w:hAnsi="宋体" w:cs="宋体"/>
          <w:spacing w:val="-14"/>
          <w:sz w:val="22"/>
          <w:szCs w:val="22"/>
        </w:rPr>
        <w:t>过程，需要坚持不懈才能达到减肥的目的。</w:t>
      </w:r>
    </w:p>
    <w:p w:rsidR="00EA40A3" w:rsidRDefault="00E86C16">
      <w:pPr>
        <w:spacing w:before="206" w:line="221" w:lineRule="auto"/>
        <w:rPr>
          <w:rFonts w:ascii="仿宋" w:eastAsia="仿宋" w:hAnsi="仿宋" w:cs="仿宋"/>
          <w:sz w:val="22"/>
          <w:szCs w:val="22"/>
        </w:rPr>
      </w:pPr>
      <w:r>
        <w:rPr>
          <w:rFonts w:ascii="仿宋" w:eastAsia="仿宋" w:hAnsi="仿宋" w:cs="仿宋"/>
          <w:spacing w:val="7"/>
          <w:sz w:val="22"/>
          <w:szCs w:val="22"/>
        </w:rPr>
        <w:t>3.</w:t>
      </w:r>
      <w:r>
        <w:rPr>
          <w:rFonts w:ascii="仿宋" w:eastAsia="仿宋" w:hAnsi="仿宋" w:cs="仿宋"/>
          <w:spacing w:val="-17"/>
          <w:sz w:val="22"/>
          <w:szCs w:val="22"/>
        </w:rPr>
        <w:t xml:space="preserve"> </w:t>
      </w:r>
      <w:r>
        <w:rPr>
          <w:rFonts w:ascii="仿宋" w:eastAsia="仿宋" w:hAnsi="仿宋" w:cs="仿宋"/>
          <w:spacing w:val="7"/>
          <w:sz w:val="22"/>
          <w:szCs w:val="22"/>
        </w:rPr>
        <w:t>药物治疗</w:t>
      </w:r>
    </w:p>
    <w:p w:rsidR="00EA40A3" w:rsidRDefault="00E86C16">
      <w:pPr>
        <w:spacing w:before="192" w:line="246" w:lineRule="auto"/>
        <w:ind w:right="92" w:firstLine="440"/>
        <w:jc w:val="both"/>
        <w:rPr>
          <w:rFonts w:ascii="宋体" w:eastAsia="宋体" w:hAnsi="宋体" w:cs="宋体"/>
          <w:sz w:val="22"/>
          <w:szCs w:val="22"/>
        </w:rPr>
      </w:pPr>
      <w:r>
        <w:rPr>
          <w:rFonts w:ascii="宋体" w:eastAsia="宋体" w:hAnsi="宋体" w:cs="宋体"/>
          <w:spacing w:val="-14"/>
          <w:sz w:val="22"/>
          <w:szCs w:val="22"/>
        </w:rPr>
        <w:t>药物疗法一般是作为饮食疗法和运动疗法的辅助疗法。目前药物减肥药物治</w:t>
      </w:r>
      <w:r>
        <w:rPr>
          <w:rFonts w:ascii="宋体" w:eastAsia="宋体" w:hAnsi="宋体" w:cs="宋体"/>
          <w:spacing w:val="18"/>
          <w:sz w:val="22"/>
          <w:szCs w:val="22"/>
        </w:rPr>
        <w:t xml:space="preserve"> </w:t>
      </w:r>
      <w:r>
        <w:rPr>
          <w:rFonts w:ascii="宋体" w:eastAsia="宋体" w:hAnsi="宋体" w:cs="宋体"/>
          <w:spacing w:val="-13"/>
          <w:sz w:val="22"/>
          <w:szCs w:val="22"/>
        </w:rPr>
        <w:t>疗主要通过减少进食，降低肠道营养素特别是脂肪的消化吸收，或促进产热，通</w:t>
      </w:r>
      <w:r>
        <w:rPr>
          <w:rFonts w:ascii="宋体" w:eastAsia="宋体" w:hAnsi="宋体" w:cs="宋体"/>
          <w:spacing w:val="2"/>
          <w:sz w:val="22"/>
          <w:szCs w:val="22"/>
        </w:rPr>
        <w:t xml:space="preserve"> </w:t>
      </w:r>
      <w:r>
        <w:rPr>
          <w:rFonts w:ascii="宋体" w:eastAsia="宋体" w:hAnsi="宋体" w:cs="宋体"/>
          <w:spacing w:val="-13"/>
          <w:sz w:val="22"/>
          <w:szCs w:val="22"/>
        </w:rPr>
        <w:t>过解偶联途径将脂肪转化为能量散失；另外，抑制脂肪合成、促进脂解作用，调</w:t>
      </w:r>
      <w:r>
        <w:rPr>
          <w:rFonts w:ascii="宋体" w:eastAsia="宋体" w:hAnsi="宋体" w:cs="宋体"/>
          <w:spacing w:val="11"/>
          <w:sz w:val="22"/>
          <w:szCs w:val="22"/>
        </w:rPr>
        <w:t xml:space="preserve"> </w:t>
      </w:r>
      <w:r>
        <w:rPr>
          <w:rFonts w:ascii="宋体" w:eastAsia="宋体" w:hAnsi="宋体" w:cs="宋体"/>
          <w:spacing w:val="-13"/>
          <w:sz w:val="22"/>
          <w:szCs w:val="22"/>
        </w:rPr>
        <w:t>节脂肪和蛋白质代谢与储藏，或通过调节中枢神经系统调节能量平衡和降低补偿</w:t>
      </w:r>
      <w:r>
        <w:rPr>
          <w:rFonts w:ascii="宋体" w:eastAsia="宋体" w:hAnsi="宋体" w:cs="宋体"/>
          <w:spacing w:val="4"/>
          <w:sz w:val="22"/>
          <w:szCs w:val="22"/>
        </w:rPr>
        <w:t xml:space="preserve"> </w:t>
      </w:r>
      <w:r>
        <w:rPr>
          <w:rFonts w:ascii="宋体" w:eastAsia="宋体" w:hAnsi="宋体" w:cs="宋体"/>
          <w:spacing w:val="-7"/>
          <w:sz w:val="22"/>
          <w:szCs w:val="22"/>
        </w:rPr>
        <w:t>作用，对体重进行调控。目前市场上尚无十分有效的减肥药，使用减肥药应该</w:t>
      </w:r>
      <w:r>
        <w:rPr>
          <w:rFonts w:ascii="宋体" w:eastAsia="宋体" w:hAnsi="宋体" w:cs="宋体"/>
          <w:spacing w:val="7"/>
          <w:sz w:val="22"/>
          <w:szCs w:val="22"/>
        </w:rPr>
        <w:t xml:space="preserve"> </w:t>
      </w:r>
      <w:r>
        <w:rPr>
          <w:rFonts w:ascii="宋体" w:eastAsia="宋体" w:hAnsi="宋体" w:cs="宋体"/>
          <w:spacing w:val="-16"/>
          <w:sz w:val="22"/>
          <w:szCs w:val="22"/>
        </w:rPr>
        <w:t>慎重。</w:t>
      </w:r>
    </w:p>
    <w:p w:rsidR="00EA40A3" w:rsidRDefault="00EA40A3">
      <w:pPr>
        <w:spacing w:line="248" w:lineRule="auto"/>
      </w:pPr>
    </w:p>
    <w:p w:rsidR="00EA40A3" w:rsidRDefault="00E86C16">
      <w:pPr>
        <w:spacing w:before="92" w:line="219" w:lineRule="auto"/>
        <w:ind w:left="2640"/>
        <w:rPr>
          <w:rFonts w:ascii="宋体" w:eastAsia="宋体" w:hAnsi="宋体" w:cs="宋体"/>
          <w:sz w:val="28"/>
          <w:szCs w:val="28"/>
        </w:rPr>
      </w:pPr>
      <w:r>
        <w:rPr>
          <w:rFonts w:ascii="宋体" w:eastAsia="宋体" w:hAnsi="宋体" w:cs="宋体"/>
          <w:spacing w:val="-6"/>
          <w:sz w:val="28"/>
          <w:szCs w:val="28"/>
        </w:rPr>
        <w:t>11.4</w:t>
      </w:r>
      <w:r>
        <w:rPr>
          <w:rFonts w:ascii="宋体" w:eastAsia="宋体" w:hAnsi="宋体" w:cs="宋体"/>
          <w:spacing w:val="117"/>
          <w:sz w:val="28"/>
          <w:szCs w:val="28"/>
        </w:rPr>
        <w:t xml:space="preserve"> </w:t>
      </w:r>
      <w:r>
        <w:rPr>
          <w:rFonts w:ascii="宋体" w:eastAsia="宋体" w:hAnsi="宋体" w:cs="宋体"/>
          <w:spacing w:val="-6"/>
          <w:sz w:val="28"/>
          <w:szCs w:val="28"/>
        </w:rPr>
        <w:t>营养与肿瘤</w:t>
      </w:r>
    </w:p>
    <w:p w:rsidR="00EA40A3" w:rsidRDefault="00E86C16">
      <w:pPr>
        <w:spacing w:before="160" w:line="221" w:lineRule="auto"/>
        <w:ind w:left="3"/>
        <w:outlineLvl w:val="6"/>
        <w:rPr>
          <w:rFonts w:ascii="黑体" w:eastAsia="黑体" w:hAnsi="黑体" w:cs="黑体"/>
          <w:sz w:val="22"/>
          <w:szCs w:val="22"/>
        </w:rPr>
      </w:pPr>
      <w:r>
        <w:rPr>
          <w:rFonts w:ascii="黑体" w:eastAsia="黑体" w:hAnsi="黑体" w:cs="黑体"/>
          <w:b/>
          <w:bCs/>
          <w:spacing w:val="3"/>
          <w:sz w:val="22"/>
          <w:szCs w:val="22"/>
        </w:rPr>
        <w:t>11.4.1</w:t>
      </w:r>
      <w:r>
        <w:rPr>
          <w:rFonts w:ascii="黑体" w:eastAsia="黑体" w:hAnsi="黑体" w:cs="黑体"/>
          <w:spacing w:val="21"/>
          <w:sz w:val="22"/>
          <w:szCs w:val="22"/>
        </w:rPr>
        <w:t xml:space="preserve">  </w:t>
      </w:r>
      <w:r>
        <w:rPr>
          <w:rFonts w:ascii="黑体" w:eastAsia="黑体" w:hAnsi="黑体" w:cs="黑体"/>
          <w:b/>
          <w:bCs/>
          <w:spacing w:val="3"/>
          <w:sz w:val="22"/>
          <w:szCs w:val="22"/>
        </w:rPr>
        <w:t>肿瘤的概念</w:t>
      </w:r>
    </w:p>
    <w:p w:rsidR="00EA40A3" w:rsidRDefault="00E86C16">
      <w:pPr>
        <w:spacing w:before="203" w:line="245" w:lineRule="auto"/>
        <w:ind w:right="60" w:firstLine="440"/>
        <w:rPr>
          <w:rFonts w:ascii="宋体" w:eastAsia="宋体" w:hAnsi="宋体" w:cs="宋体"/>
          <w:sz w:val="22"/>
          <w:szCs w:val="22"/>
        </w:rPr>
      </w:pPr>
      <w:r>
        <w:rPr>
          <w:rFonts w:ascii="宋体" w:eastAsia="宋体" w:hAnsi="宋体" w:cs="宋体"/>
          <w:spacing w:val="-8"/>
          <w:sz w:val="22"/>
          <w:szCs w:val="22"/>
        </w:rPr>
        <w:t>肿瘤</w:t>
      </w:r>
      <w:r>
        <w:rPr>
          <w:rFonts w:ascii="宋体" w:eastAsia="宋体" w:hAnsi="宋体" w:cs="宋体"/>
          <w:spacing w:val="-3"/>
          <w:sz w:val="22"/>
          <w:szCs w:val="22"/>
        </w:rPr>
        <w:t xml:space="preserve"> </w:t>
      </w:r>
      <w:r>
        <w:rPr>
          <w:rFonts w:ascii="宋体" w:eastAsia="宋体" w:hAnsi="宋体" w:cs="宋体"/>
          <w:spacing w:val="-8"/>
          <w:sz w:val="22"/>
          <w:szCs w:val="22"/>
        </w:rPr>
        <w:t>(tumor)</w:t>
      </w:r>
      <w:r>
        <w:rPr>
          <w:rFonts w:ascii="宋体" w:eastAsia="宋体" w:hAnsi="宋体" w:cs="宋体"/>
          <w:spacing w:val="-13"/>
          <w:sz w:val="22"/>
          <w:szCs w:val="22"/>
        </w:rPr>
        <w:t xml:space="preserve"> </w:t>
      </w:r>
      <w:r>
        <w:rPr>
          <w:rFonts w:ascii="宋体" w:eastAsia="宋体" w:hAnsi="宋体" w:cs="宋体"/>
          <w:spacing w:val="-8"/>
          <w:sz w:val="22"/>
          <w:szCs w:val="22"/>
        </w:rPr>
        <w:t>指机体中成熟或正在发育中的细胞，呈现过度</w:t>
      </w:r>
      <w:r>
        <w:rPr>
          <w:rFonts w:ascii="宋体" w:eastAsia="宋体" w:hAnsi="宋体" w:cs="宋体"/>
          <w:spacing w:val="-9"/>
          <w:sz w:val="22"/>
          <w:szCs w:val="22"/>
        </w:rPr>
        <w:t>增生或异常分</w:t>
      </w:r>
      <w:r>
        <w:rPr>
          <w:rFonts w:ascii="宋体" w:eastAsia="宋体" w:hAnsi="宋体" w:cs="宋体"/>
          <w:sz w:val="22"/>
          <w:szCs w:val="22"/>
        </w:rPr>
        <w:t xml:space="preserve"> </w:t>
      </w:r>
      <w:r>
        <w:rPr>
          <w:rFonts w:ascii="宋体" w:eastAsia="宋体" w:hAnsi="宋体" w:cs="宋体"/>
          <w:spacing w:val="-10"/>
          <w:sz w:val="22"/>
          <w:szCs w:val="22"/>
        </w:rPr>
        <w:t>化而形成的新生物。肿瘤分为良性肿瘤和恶性肿瘤。癌症</w:t>
      </w:r>
      <w:r>
        <w:rPr>
          <w:rFonts w:ascii="宋体" w:eastAsia="宋体" w:hAnsi="宋体" w:cs="宋体"/>
          <w:spacing w:val="-21"/>
          <w:sz w:val="22"/>
          <w:szCs w:val="22"/>
        </w:rPr>
        <w:t xml:space="preserve"> </w:t>
      </w:r>
      <w:r>
        <w:rPr>
          <w:rFonts w:ascii="宋体" w:eastAsia="宋体" w:hAnsi="宋体" w:cs="宋体"/>
          <w:spacing w:val="-10"/>
          <w:sz w:val="22"/>
          <w:szCs w:val="22"/>
        </w:rPr>
        <w:t>(cancer)</w:t>
      </w:r>
      <w:r>
        <w:rPr>
          <w:rFonts w:ascii="宋体" w:eastAsia="宋体" w:hAnsi="宋体" w:cs="宋体"/>
          <w:spacing w:val="-47"/>
          <w:sz w:val="22"/>
          <w:szCs w:val="22"/>
        </w:rPr>
        <w:t xml:space="preserve"> </w:t>
      </w:r>
      <w:r>
        <w:rPr>
          <w:rFonts w:ascii="宋体" w:eastAsia="宋体" w:hAnsi="宋体" w:cs="宋体"/>
          <w:spacing w:val="-10"/>
          <w:sz w:val="22"/>
          <w:szCs w:val="22"/>
        </w:rPr>
        <w:t>是人体某</w:t>
      </w:r>
      <w:r>
        <w:rPr>
          <w:rFonts w:ascii="宋体" w:eastAsia="宋体" w:hAnsi="宋体" w:cs="宋体"/>
          <w:spacing w:val="-11"/>
          <w:sz w:val="22"/>
          <w:szCs w:val="22"/>
        </w:rPr>
        <w:t>部</w:t>
      </w:r>
      <w:r>
        <w:rPr>
          <w:rFonts w:ascii="宋体" w:eastAsia="宋体" w:hAnsi="宋体" w:cs="宋体"/>
          <w:sz w:val="22"/>
          <w:szCs w:val="22"/>
        </w:rPr>
        <w:t xml:space="preserve"> </w:t>
      </w:r>
      <w:r>
        <w:rPr>
          <w:rFonts w:ascii="宋体" w:eastAsia="宋体" w:hAnsi="宋体" w:cs="宋体"/>
          <w:spacing w:val="-13"/>
          <w:sz w:val="22"/>
          <w:szCs w:val="22"/>
        </w:rPr>
        <w:t>位的上皮细胞不受机体控制的无限增殖的恶性肿瘤。机体某器官上皮细胞在各种</w:t>
      </w:r>
      <w:r>
        <w:rPr>
          <w:rFonts w:ascii="宋体" w:eastAsia="宋体" w:hAnsi="宋体" w:cs="宋体"/>
          <w:spacing w:val="9"/>
          <w:sz w:val="22"/>
          <w:szCs w:val="22"/>
        </w:rPr>
        <w:t xml:space="preserve"> </w:t>
      </w:r>
      <w:r>
        <w:rPr>
          <w:rFonts w:ascii="宋体" w:eastAsia="宋体" w:hAnsi="宋体" w:cs="宋体"/>
          <w:spacing w:val="-10"/>
          <w:sz w:val="22"/>
          <w:szCs w:val="22"/>
        </w:rPr>
        <w:t>致癌因素的作用下，使细胞恶性化，逐渐发展成为大量的癌细胞，即发生癌变</w:t>
      </w:r>
      <w:r>
        <w:rPr>
          <w:rFonts w:ascii="宋体" w:eastAsia="宋体" w:hAnsi="宋体" w:cs="宋体"/>
          <w:spacing w:val="9"/>
          <w:sz w:val="22"/>
          <w:szCs w:val="22"/>
        </w:rPr>
        <w:t xml:space="preserve">  </w:t>
      </w:r>
      <w:r>
        <w:rPr>
          <w:rFonts w:ascii="宋体" w:eastAsia="宋体" w:hAnsi="宋体" w:cs="宋体"/>
          <w:spacing w:val="-18"/>
          <w:sz w:val="22"/>
          <w:szCs w:val="22"/>
        </w:rPr>
        <w:t>使某器官患癌症。</w:t>
      </w:r>
    </w:p>
    <w:p w:rsidR="00EA40A3" w:rsidRDefault="00E86C16">
      <w:pPr>
        <w:spacing w:before="71" w:line="246" w:lineRule="auto"/>
        <w:ind w:right="39" w:firstLine="440"/>
        <w:rPr>
          <w:rFonts w:ascii="宋体" w:eastAsia="宋体" w:hAnsi="宋体" w:cs="宋体"/>
          <w:sz w:val="22"/>
          <w:szCs w:val="22"/>
        </w:rPr>
      </w:pPr>
      <w:r>
        <w:rPr>
          <w:rFonts w:ascii="宋体" w:eastAsia="宋体" w:hAnsi="宋体" w:cs="宋体"/>
          <w:spacing w:val="-14"/>
          <w:sz w:val="22"/>
          <w:szCs w:val="22"/>
        </w:rPr>
        <w:t>目前，癌症已成为严重危害人类健康和生命的常见病、多发病。每年全世界</w:t>
      </w:r>
      <w:r>
        <w:rPr>
          <w:rFonts w:ascii="宋体" w:eastAsia="宋体" w:hAnsi="宋体" w:cs="宋体"/>
          <w:spacing w:val="9"/>
          <w:sz w:val="22"/>
          <w:szCs w:val="22"/>
        </w:rPr>
        <w:t xml:space="preserve"> </w:t>
      </w:r>
      <w:r>
        <w:rPr>
          <w:rFonts w:ascii="宋体" w:eastAsia="宋体" w:hAnsi="宋体" w:cs="宋体"/>
          <w:spacing w:val="-7"/>
          <w:sz w:val="22"/>
          <w:szCs w:val="22"/>
        </w:rPr>
        <w:t>死于癌症的患者约有620万，其中我国约有130万被癌症夺去了生命。在癌症疾</w:t>
      </w:r>
      <w:r>
        <w:rPr>
          <w:rFonts w:ascii="宋体" w:eastAsia="宋体" w:hAnsi="宋体" w:cs="宋体"/>
          <w:spacing w:val="7"/>
          <w:sz w:val="22"/>
          <w:szCs w:val="22"/>
        </w:rPr>
        <w:t xml:space="preserve"> </w:t>
      </w:r>
      <w:r>
        <w:rPr>
          <w:rFonts w:ascii="宋体" w:eastAsia="宋体" w:hAnsi="宋体" w:cs="宋体"/>
          <w:spacing w:val="-5"/>
          <w:sz w:val="22"/>
          <w:szCs w:val="22"/>
        </w:rPr>
        <w:t>病中，病死率居前10位的癌症依次为：①胃癌；②肝癌；③肺癌；④食管癌；</w:t>
      </w:r>
      <w:r>
        <w:rPr>
          <w:rFonts w:ascii="宋体" w:eastAsia="宋体" w:hAnsi="宋体" w:cs="宋体"/>
          <w:spacing w:val="4"/>
          <w:sz w:val="22"/>
          <w:szCs w:val="22"/>
        </w:rPr>
        <w:t xml:space="preserve"> </w:t>
      </w:r>
      <w:r>
        <w:rPr>
          <w:rFonts w:ascii="宋体" w:eastAsia="宋体" w:hAnsi="宋体" w:cs="宋体"/>
          <w:spacing w:val="-13"/>
          <w:sz w:val="22"/>
          <w:szCs w:val="22"/>
        </w:rPr>
        <w:t>⑤</w:t>
      </w:r>
      <w:r>
        <w:rPr>
          <w:rFonts w:ascii="宋体" w:eastAsia="宋体" w:hAnsi="宋体" w:cs="宋体"/>
          <w:spacing w:val="-84"/>
          <w:sz w:val="22"/>
          <w:szCs w:val="22"/>
        </w:rPr>
        <w:t xml:space="preserve"> </w:t>
      </w:r>
      <w:r>
        <w:rPr>
          <w:rFonts w:ascii="宋体" w:eastAsia="宋体" w:hAnsi="宋体" w:cs="宋体"/>
          <w:spacing w:val="-13"/>
          <w:sz w:val="22"/>
          <w:szCs w:val="22"/>
        </w:rPr>
        <w:t>结肠、直肠肛门癌；⑥白血病；⑦宫颈癌；⑧鼻咽癌；⑨女性乳腺癌；</w:t>
      </w:r>
      <w:r>
        <w:rPr>
          <w:rFonts w:ascii="宋体" w:eastAsia="宋体" w:hAnsi="宋体" w:cs="宋体"/>
          <w:spacing w:val="-14"/>
          <w:sz w:val="22"/>
          <w:szCs w:val="22"/>
        </w:rPr>
        <w:t>⑩膀胱</w:t>
      </w:r>
      <w:r>
        <w:rPr>
          <w:rFonts w:ascii="宋体" w:eastAsia="宋体" w:hAnsi="宋体" w:cs="宋体"/>
          <w:sz w:val="22"/>
          <w:szCs w:val="22"/>
        </w:rPr>
        <w:t xml:space="preserve"> </w:t>
      </w:r>
      <w:r>
        <w:rPr>
          <w:rFonts w:ascii="宋体" w:eastAsia="宋体" w:hAnsi="宋体" w:cs="宋体"/>
          <w:spacing w:val="-12"/>
          <w:sz w:val="22"/>
          <w:szCs w:val="22"/>
        </w:rPr>
        <w:t>癌。胃癌死亡率在世界许多地区有明显下降，肺癌则大</w:t>
      </w:r>
      <w:r>
        <w:rPr>
          <w:rFonts w:ascii="宋体" w:eastAsia="宋体" w:hAnsi="宋体" w:cs="宋体"/>
          <w:spacing w:val="-13"/>
          <w:sz w:val="22"/>
          <w:szCs w:val="22"/>
        </w:rPr>
        <w:t>幅度上升，有些地区宫颈</w:t>
      </w:r>
      <w:r>
        <w:rPr>
          <w:rFonts w:ascii="宋体" w:eastAsia="宋体" w:hAnsi="宋体" w:cs="宋体"/>
          <w:sz w:val="22"/>
          <w:szCs w:val="22"/>
        </w:rPr>
        <w:t xml:space="preserve"> </w:t>
      </w:r>
      <w:r>
        <w:rPr>
          <w:rFonts w:ascii="宋体" w:eastAsia="宋体" w:hAnsi="宋体" w:cs="宋体"/>
          <w:spacing w:val="-16"/>
          <w:sz w:val="22"/>
          <w:szCs w:val="22"/>
        </w:rPr>
        <w:t>癌死亡率减少，我国乳腺癌则出现上升趋势。</w:t>
      </w:r>
    </w:p>
    <w:p w:rsidR="00EA40A3" w:rsidRDefault="00E86C16">
      <w:pPr>
        <w:spacing w:before="194" w:line="221" w:lineRule="auto"/>
        <w:ind w:left="3"/>
        <w:outlineLvl w:val="6"/>
        <w:rPr>
          <w:rFonts w:ascii="黑体" w:eastAsia="黑体" w:hAnsi="黑体" w:cs="黑体"/>
          <w:sz w:val="25"/>
          <w:szCs w:val="25"/>
        </w:rPr>
      </w:pPr>
      <w:r>
        <w:rPr>
          <w:rFonts w:ascii="黑体" w:eastAsia="黑体" w:hAnsi="黑体" w:cs="黑体"/>
          <w:b/>
          <w:bCs/>
          <w:spacing w:val="-12"/>
          <w:sz w:val="25"/>
          <w:szCs w:val="25"/>
        </w:rPr>
        <w:t>11.4.2</w:t>
      </w:r>
      <w:r>
        <w:rPr>
          <w:rFonts w:ascii="黑体" w:eastAsia="黑体" w:hAnsi="黑体" w:cs="黑体"/>
          <w:spacing w:val="5"/>
          <w:sz w:val="25"/>
          <w:szCs w:val="25"/>
        </w:rPr>
        <w:t xml:space="preserve">  </w:t>
      </w:r>
      <w:r>
        <w:rPr>
          <w:rFonts w:ascii="黑体" w:eastAsia="黑体" w:hAnsi="黑体" w:cs="黑体"/>
          <w:b/>
          <w:bCs/>
          <w:spacing w:val="-12"/>
          <w:sz w:val="25"/>
          <w:szCs w:val="25"/>
        </w:rPr>
        <w:t>引起癌症发生的饮食因素</w:t>
      </w:r>
    </w:p>
    <w:p w:rsidR="00EA40A3" w:rsidRDefault="00E86C16">
      <w:pPr>
        <w:spacing w:before="206" w:line="254" w:lineRule="auto"/>
        <w:ind w:firstLine="440"/>
        <w:jc w:val="both"/>
        <w:rPr>
          <w:rFonts w:ascii="宋体" w:eastAsia="宋体" w:hAnsi="宋体" w:cs="宋体"/>
          <w:sz w:val="22"/>
          <w:szCs w:val="22"/>
        </w:rPr>
      </w:pPr>
      <w:r>
        <w:rPr>
          <w:rFonts w:ascii="宋体" w:eastAsia="宋体" w:hAnsi="宋体" w:cs="宋体"/>
          <w:spacing w:val="-13"/>
          <w:sz w:val="22"/>
          <w:szCs w:val="22"/>
        </w:rPr>
        <w:t>引起癌症发生的因素有很多，主要包括遗传、环境两大类因素，而环境</w:t>
      </w:r>
      <w:r>
        <w:rPr>
          <w:rFonts w:ascii="宋体" w:eastAsia="宋体" w:hAnsi="宋体" w:cs="宋体"/>
          <w:spacing w:val="-14"/>
          <w:sz w:val="22"/>
          <w:szCs w:val="22"/>
        </w:rPr>
        <w:t>因素</w:t>
      </w:r>
      <w:r>
        <w:rPr>
          <w:rFonts w:ascii="宋体" w:eastAsia="宋体" w:hAnsi="宋体" w:cs="宋体"/>
          <w:sz w:val="22"/>
          <w:szCs w:val="22"/>
        </w:rPr>
        <w:t xml:space="preserve"> </w:t>
      </w:r>
      <w:r>
        <w:rPr>
          <w:rFonts w:ascii="宋体" w:eastAsia="宋体" w:hAnsi="宋体" w:cs="宋体"/>
          <w:spacing w:val="-10"/>
          <w:sz w:val="22"/>
          <w:szCs w:val="22"/>
        </w:rPr>
        <w:t>中饮食、职业又是主要因素。临床调查发现，某些肿瘤具有家族性或遗传现象</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2"/>
          <w:sz w:val="22"/>
          <w:szCs w:val="22"/>
        </w:rPr>
        <w:t>环境致癌因素主要是环境被致癌物所污染，人们在生活</w:t>
      </w:r>
      <w:r>
        <w:rPr>
          <w:rFonts w:ascii="宋体" w:eastAsia="宋体" w:hAnsi="宋体" w:cs="宋体"/>
          <w:spacing w:val="-13"/>
          <w:sz w:val="22"/>
          <w:szCs w:val="22"/>
        </w:rPr>
        <w:t>中接触到的致癌物，其途</w:t>
      </w:r>
      <w:r>
        <w:rPr>
          <w:rFonts w:ascii="宋体" w:eastAsia="宋体" w:hAnsi="宋体" w:cs="宋体"/>
          <w:sz w:val="22"/>
          <w:szCs w:val="22"/>
        </w:rPr>
        <w:t xml:space="preserve"> 径可为空气、土壤、水等，环境污染所引起的癌症死亡率占总癌症死亡率的</w:t>
      </w:r>
      <w:r>
        <w:rPr>
          <w:rFonts w:ascii="宋体" w:eastAsia="宋体" w:hAnsi="宋体" w:cs="宋体"/>
          <w:spacing w:val="16"/>
          <w:sz w:val="22"/>
          <w:szCs w:val="22"/>
        </w:rPr>
        <w:t xml:space="preserve"> </w:t>
      </w:r>
      <w:r>
        <w:rPr>
          <w:rFonts w:ascii="宋体" w:eastAsia="宋体" w:hAnsi="宋体" w:cs="宋体"/>
          <w:spacing w:val="-3"/>
          <w:sz w:val="22"/>
          <w:szCs w:val="22"/>
        </w:rPr>
        <w:t>20%左右；职业因素是指在劳动生产环境中存在的可引起劳动者发生癌</w:t>
      </w:r>
      <w:r>
        <w:rPr>
          <w:rFonts w:ascii="宋体" w:eastAsia="宋体" w:hAnsi="宋体" w:cs="宋体"/>
          <w:spacing w:val="-4"/>
          <w:sz w:val="22"/>
          <w:szCs w:val="22"/>
        </w:rPr>
        <w:t>症的因</w:t>
      </w:r>
      <w:r>
        <w:rPr>
          <w:rFonts w:ascii="宋体" w:eastAsia="宋体" w:hAnsi="宋体" w:cs="宋体"/>
          <w:sz w:val="22"/>
          <w:szCs w:val="22"/>
        </w:rPr>
        <w:t xml:space="preserve"> </w:t>
      </w:r>
      <w:r>
        <w:rPr>
          <w:rFonts w:ascii="宋体" w:eastAsia="宋体" w:hAnsi="宋体" w:cs="宋体"/>
          <w:spacing w:val="-13"/>
          <w:sz w:val="22"/>
          <w:szCs w:val="22"/>
        </w:rPr>
        <w:t>素，如石棉工人的肺癌和间皮瘤，氯乙烯聚合工人中的肝血管肉瘤及橡胶工业中</w:t>
      </w:r>
      <w:r>
        <w:rPr>
          <w:rFonts w:ascii="宋体" w:eastAsia="宋体" w:hAnsi="宋体" w:cs="宋体"/>
          <w:spacing w:val="16"/>
          <w:sz w:val="22"/>
          <w:szCs w:val="22"/>
        </w:rPr>
        <w:t xml:space="preserve"> </w:t>
      </w:r>
      <w:r>
        <w:rPr>
          <w:rFonts w:ascii="宋体" w:eastAsia="宋体" w:hAnsi="宋体" w:cs="宋体"/>
          <w:spacing w:val="-13"/>
          <w:sz w:val="22"/>
          <w:szCs w:val="22"/>
        </w:rPr>
        <w:t>暴露于烷化剂的工人的髓性白血病等；此外，病毒与肿瘤发生有关，与人类肿瘤</w:t>
      </w:r>
    </w:p>
    <w:p w:rsidR="00EA40A3" w:rsidRDefault="00E86C16">
      <w:pPr>
        <w:spacing w:before="104"/>
        <w:ind w:right="109"/>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363</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990" w:bottom="400" w:left="879" w:header="0" w:footer="0" w:gutter="0"/>
          <w:cols w:space="720"/>
        </w:sectPr>
      </w:pPr>
    </w:p>
    <w:p w:rsidR="00EA40A3" w:rsidRDefault="00EA40A3">
      <w:pPr>
        <w:spacing w:line="311" w:lineRule="auto"/>
      </w:pPr>
    </w:p>
    <w:p w:rsidR="00EA40A3" w:rsidRDefault="00EA40A3">
      <w:pPr>
        <w:spacing w:line="312" w:lineRule="auto"/>
      </w:pPr>
    </w:p>
    <w:p w:rsidR="00EA40A3" w:rsidRDefault="00E86C16">
      <w:pPr>
        <w:spacing w:before="71" w:line="241" w:lineRule="auto"/>
        <w:ind w:right="62"/>
        <w:jc w:val="both"/>
        <w:rPr>
          <w:rFonts w:ascii="宋体" w:eastAsia="宋体" w:hAnsi="宋体" w:cs="宋体"/>
          <w:sz w:val="22"/>
          <w:szCs w:val="22"/>
        </w:rPr>
      </w:pPr>
      <w:r>
        <w:rPr>
          <w:rFonts w:ascii="宋体" w:eastAsia="宋体" w:hAnsi="宋体" w:cs="宋体"/>
          <w:spacing w:val="-5"/>
          <w:sz w:val="22"/>
          <w:szCs w:val="22"/>
        </w:rPr>
        <w:t>密切相关的病毒，有乙型肝炎病毒、乳头状瘤病毒、</w:t>
      </w:r>
      <w:r>
        <w:rPr>
          <w:rFonts w:ascii="宋体" w:eastAsia="宋体" w:hAnsi="宋体" w:cs="宋体"/>
          <w:spacing w:val="-46"/>
          <w:sz w:val="22"/>
          <w:szCs w:val="22"/>
        </w:rPr>
        <w:t xml:space="preserve"> </w:t>
      </w:r>
      <w:r>
        <w:rPr>
          <w:rFonts w:ascii="宋体" w:eastAsia="宋体" w:hAnsi="宋体" w:cs="宋体"/>
          <w:spacing w:val="-5"/>
          <w:sz w:val="22"/>
          <w:szCs w:val="22"/>
        </w:rPr>
        <w:t>EB</w:t>
      </w:r>
      <w:r>
        <w:rPr>
          <w:rFonts w:ascii="宋体" w:eastAsia="宋体" w:hAnsi="宋体" w:cs="宋体"/>
          <w:spacing w:val="-4"/>
          <w:sz w:val="22"/>
          <w:szCs w:val="22"/>
        </w:rPr>
        <w:t xml:space="preserve"> </w:t>
      </w:r>
      <w:r>
        <w:rPr>
          <w:rFonts w:ascii="宋体" w:eastAsia="宋体" w:hAnsi="宋体" w:cs="宋体"/>
          <w:spacing w:val="-5"/>
          <w:sz w:val="22"/>
          <w:szCs w:val="22"/>
        </w:rPr>
        <w:t>病毒及T</w:t>
      </w:r>
      <w:r>
        <w:rPr>
          <w:rFonts w:ascii="宋体" w:eastAsia="宋体" w:hAnsi="宋体" w:cs="宋体"/>
          <w:spacing w:val="16"/>
          <w:sz w:val="22"/>
          <w:szCs w:val="22"/>
        </w:rPr>
        <w:t xml:space="preserve"> </w:t>
      </w:r>
      <w:r>
        <w:rPr>
          <w:rFonts w:ascii="宋体" w:eastAsia="宋体" w:hAnsi="宋体" w:cs="宋体"/>
          <w:spacing w:val="-5"/>
          <w:sz w:val="22"/>
          <w:szCs w:val="22"/>
        </w:rPr>
        <w:t>系淋巴系病</w:t>
      </w:r>
      <w:r>
        <w:rPr>
          <w:rFonts w:ascii="宋体" w:eastAsia="宋体" w:hAnsi="宋体" w:cs="宋体"/>
          <w:sz w:val="22"/>
          <w:szCs w:val="22"/>
        </w:rPr>
        <w:t xml:space="preserve"> </w:t>
      </w:r>
      <w:r>
        <w:rPr>
          <w:rFonts w:ascii="宋体" w:eastAsia="宋体" w:hAnsi="宋体" w:cs="宋体"/>
          <w:spacing w:val="-13"/>
          <w:sz w:val="22"/>
          <w:szCs w:val="22"/>
        </w:rPr>
        <w:t>毒、免疫缺陷病毒等。饮食因素是引发癌症最</w:t>
      </w:r>
      <w:r>
        <w:rPr>
          <w:rFonts w:ascii="宋体" w:eastAsia="宋体" w:hAnsi="宋体" w:cs="宋体"/>
          <w:spacing w:val="-14"/>
          <w:sz w:val="22"/>
          <w:szCs w:val="22"/>
        </w:rPr>
        <w:t>主要的因素之一，主要包括各种食</w:t>
      </w:r>
      <w:r>
        <w:rPr>
          <w:rFonts w:ascii="宋体" w:eastAsia="宋体" w:hAnsi="宋体" w:cs="宋体"/>
          <w:sz w:val="22"/>
          <w:szCs w:val="22"/>
        </w:rPr>
        <w:t xml:space="preserve"> </w:t>
      </w:r>
      <w:r>
        <w:rPr>
          <w:rFonts w:ascii="宋体" w:eastAsia="宋体" w:hAnsi="宋体" w:cs="宋体"/>
          <w:spacing w:val="-15"/>
          <w:sz w:val="22"/>
          <w:szCs w:val="22"/>
        </w:rPr>
        <w:t>物污染物及不均衡的营养和膳食两大类。</w:t>
      </w:r>
    </w:p>
    <w:p w:rsidR="00EA40A3" w:rsidRDefault="00E86C16">
      <w:pPr>
        <w:spacing w:before="225" w:line="221"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31"/>
          <w:sz w:val="22"/>
          <w:szCs w:val="22"/>
        </w:rPr>
        <w:t xml:space="preserve"> </w:t>
      </w:r>
      <w:r>
        <w:rPr>
          <w:rFonts w:ascii="仿宋" w:eastAsia="仿宋" w:hAnsi="仿宋" w:cs="仿宋"/>
          <w:spacing w:val="8"/>
          <w:sz w:val="22"/>
          <w:szCs w:val="22"/>
        </w:rPr>
        <w:t>食物污染物</w:t>
      </w:r>
    </w:p>
    <w:p w:rsidR="00EA40A3" w:rsidRDefault="00E86C16">
      <w:pPr>
        <w:spacing w:before="179"/>
        <w:ind w:right="80" w:firstLine="420"/>
        <w:rPr>
          <w:rFonts w:ascii="宋体" w:eastAsia="宋体" w:hAnsi="宋体" w:cs="宋体"/>
          <w:sz w:val="22"/>
          <w:szCs w:val="22"/>
        </w:rPr>
      </w:pPr>
      <w:r>
        <w:rPr>
          <w:rFonts w:ascii="宋体" w:eastAsia="宋体" w:hAnsi="宋体" w:cs="宋体"/>
          <w:spacing w:val="-11"/>
          <w:sz w:val="22"/>
          <w:szCs w:val="22"/>
        </w:rPr>
        <w:t>致癌的食物污染物包括霉菌毒素、</w:t>
      </w:r>
      <w:r>
        <w:rPr>
          <w:rFonts w:ascii="宋体" w:eastAsia="宋体" w:hAnsi="宋体" w:cs="宋体"/>
          <w:spacing w:val="-1"/>
          <w:sz w:val="22"/>
          <w:szCs w:val="22"/>
        </w:rPr>
        <w:t xml:space="preserve"> </w:t>
      </w:r>
      <w:r>
        <w:rPr>
          <w:rFonts w:ascii="宋体" w:eastAsia="宋体" w:hAnsi="宋体" w:cs="宋体"/>
          <w:spacing w:val="-11"/>
          <w:sz w:val="22"/>
          <w:szCs w:val="22"/>
        </w:rPr>
        <w:t>N-</w:t>
      </w:r>
      <w:r>
        <w:rPr>
          <w:rFonts w:ascii="宋体" w:eastAsia="宋体" w:hAnsi="宋体" w:cs="宋体"/>
          <w:spacing w:val="-58"/>
          <w:sz w:val="22"/>
          <w:szCs w:val="22"/>
        </w:rPr>
        <w:t xml:space="preserve"> </w:t>
      </w:r>
      <w:r>
        <w:rPr>
          <w:rFonts w:ascii="宋体" w:eastAsia="宋体" w:hAnsi="宋体" w:cs="宋体"/>
          <w:spacing w:val="-11"/>
          <w:sz w:val="22"/>
          <w:szCs w:val="22"/>
        </w:rPr>
        <w:t>亚硝基化合物、多环芳烃及杂环胺类</w:t>
      </w:r>
      <w:r>
        <w:rPr>
          <w:rFonts w:ascii="宋体" w:eastAsia="宋体" w:hAnsi="宋体" w:cs="宋体"/>
          <w:sz w:val="22"/>
          <w:szCs w:val="22"/>
        </w:rPr>
        <w:t xml:space="preserve"> </w:t>
      </w:r>
      <w:r>
        <w:rPr>
          <w:rFonts w:ascii="宋体" w:eastAsia="宋体" w:hAnsi="宋体" w:cs="宋体"/>
          <w:spacing w:val="-16"/>
          <w:sz w:val="22"/>
          <w:szCs w:val="22"/>
        </w:rPr>
        <w:t>化合物等。</w:t>
      </w:r>
    </w:p>
    <w:p w:rsidR="00EA40A3" w:rsidRDefault="00E86C16">
      <w:pPr>
        <w:spacing w:before="51" w:line="247" w:lineRule="auto"/>
        <w:ind w:right="19" w:firstLine="420"/>
        <w:rPr>
          <w:rFonts w:ascii="宋体" w:eastAsia="宋体" w:hAnsi="宋体" w:cs="宋体"/>
          <w:sz w:val="22"/>
          <w:szCs w:val="22"/>
        </w:rPr>
      </w:pPr>
      <w:r>
        <w:rPr>
          <w:rFonts w:ascii="宋体" w:eastAsia="宋体" w:hAnsi="宋体" w:cs="宋体"/>
          <w:spacing w:val="-11"/>
          <w:sz w:val="22"/>
          <w:szCs w:val="22"/>
        </w:rPr>
        <w:t>黄曲霉菌和寄曲菌所产生的黄曲霉毒系具较强的致癌性，可导致肝癌突发，</w:t>
      </w:r>
      <w:r>
        <w:rPr>
          <w:rFonts w:ascii="宋体" w:eastAsia="宋体" w:hAnsi="宋体" w:cs="宋体"/>
          <w:spacing w:val="2"/>
          <w:sz w:val="22"/>
          <w:szCs w:val="22"/>
        </w:rPr>
        <w:t xml:space="preserve"> </w:t>
      </w:r>
      <w:r>
        <w:rPr>
          <w:rFonts w:ascii="宋体" w:eastAsia="宋体" w:hAnsi="宋体" w:cs="宋体"/>
          <w:spacing w:val="-13"/>
          <w:sz w:val="22"/>
          <w:szCs w:val="22"/>
        </w:rPr>
        <w:t>诱发胰腺癌、胃癌、肾癌以及直肠、乳腺、卵巢等部位的肿瘤。</w:t>
      </w:r>
      <w:r>
        <w:rPr>
          <w:rFonts w:ascii="宋体" w:eastAsia="宋体" w:hAnsi="宋体" w:cs="宋体"/>
          <w:spacing w:val="-14"/>
          <w:sz w:val="22"/>
          <w:szCs w:val="22"/>
        </w:rPr>
        <w:t>经气管吸入可诱</w:t>
      </w:r>
      <w:r>
        <w:rPr>
          <w:rFonts w:ascii="宋体" w:eastAsia="宋体" w:hAnsi="宋体" w:cs="宋体"/>
          <w:sz w:val="22"/>
          <w:szCs w:val="22"/>
        </w:rPr>
        <w:t xml:space="preserve"> </w:t>
      </w:r>
      <w:r>
        <w:rPr>
          <w:rFonts w:ascii="宋体" w:eastAsia="宋体" w:hAnsi="宋体" w:cs="宋体"/>
          <w:spacing w:val="-11"/>
          <w:sz w:val="22"/>
          <w:szCs w:val="22"/>
        </w:rPr>
        <w:t>发气管鳞状上皮癌。黄曲霉素主要污染粮油及其制品，如花生、花生油、玉米、</w:t>
      </w:r>
      <w:r>
        <w:rPr>
          <w:rFonts w:ascii="宋体" w:eastAsia="宋体" w:hAnsi="宋体" w:cs="宋体"/>
          <w:spacing w:val="3"/>
          <w:sz w:val="22"/>
          <w:szCs w:val="22"/>
        </w:rPr>
        <w:t xml:space="preserve"> </w:t>
      </w:r>
      <w:r>
        <w:rPr>
          <w:rFonts w:ascii="宋体" w:eastAsia="宋体" w:hAnsi="宋体" w:cs="宋体"/>
          <w:spacing w:val="-7"/>
          <w:sz w:val="22"/>
          <w:szCs w:val="22"/>
        </w:rPr>
        <w:t>大米、棉籽等。黄曲霉毒素还可污染干果类，如胡桃、杏仁、榛子和动物</w:t>
      </w:r>
      <w:r>
        <w:rPr>
          <w:rFonts w:ascii="宋体" w:eastAsia="宋体" w:hAnsi="宋体" w:cs="宋体"/>
          <w:spacing w:val="-8"/>
          <w:sz w:val="22"/>
          <w:szCs w:val="22"/>
        </w:rPr>
        <w:t>性食</w:t>
      </w:r>
      <w:r>
        <w:rPr>
          <w:rFonts w:ascii="宋体" w:eastAsia="宋体" w:hAnsi="宋体" w:cs="宋体"/>
          <w:sz w:val="22"/>
          <w:szCs w:val="22"/>
        </w:rPr>
        <w:t xml:space="preserve"> </w:t>
      </w:r>
      <w:r>
        <w:rPr>
          <w:rFonts w:ascii="宋体" w:eastAsia="宋体" w:hAnsi="宋体" w:cs="宋体"/>
          <w:spacing w:val="-13"/>
          <w:sz w:val="22"/>
          <w:szCs w:val="22"/>
        </w:rPr>
        <w:t>品，如奶及奶制品、肝、干咸鱼等。此外，赫曲霉毒素、致癌性青霉毒素</w:t>
      </w:r>
      <w:r>
        <w:rPr>
          <w:rFonts w:ascii="宋体" w:eastAsia="宋体" w:hAnsi="宋体" w:cs="宋体"/>
          <w:spacing w:val="-14"/>
          <w:sz w:val="22"/>
          <w:szCs w:val="22"/>
        </w:rPr>
        <w:t>、致癌</w:t>
      </w:r>
      <w:r>
        <w:rPr>
          <w:rFonts w:ascii="宋体" w:eastAsia="宋体" w:hAnsi="宋体" w:cs="宋体"/>
          <w:sz w:val="22"/>
          <w:szCs w:val="22"/>
        </w:rPr>
        <w:t xml:space="preserve"> </w:t>
      </w:r>
      <w:r>
        <w:rPr>
          <w:rFonts w:ascii="宋体" w:eastAsia="宋体" w:hAnsi="宋体" w:cs="宋体"/>
          <w:spacing w:val="-13"/>
          <w:sz w:val="22"/>
          <w:szCs w:val="22"/>
        </w:rPr>
        <w:t>性镰刀菌毒素等也有致癌性。白地霉素可较强的诱发食道癌、胃癌、肝纤</w:t>
      </w:r>
      <w:r>
        <w:rPr>
          <w:rFonts w:ascii="宋体" w:eastAsia="宋体" w:hAnsi="宋体" w:cs="宋体"/>
          <w:spacing w:val="-14"/>
          <w:sz w:val="22"/>
          <w:szCs w:val="22"/>
        </w:rPr>
        <w:t>维肉癌</w:t>
      </w:r>
      <w:r>
        <w:rPr>
          <w:rFonts w:ascii="宋体" w:eastAsia="宋体" w:hAnsi="宋体" w:cs="宋体"/>
          <w:sz w:val="22"/>
          <w:szCs w:val="22"/>
        </w:rPr>
        <w:t xml:space="preserve"> </w:t>
      </w:r>
      <w:r>
        <w:rPr>
          <w:rFonts w:ascii="宋体" w:eastAsia="宋体" w:hAnsi="宋体" w:cs="宋体"/>
          <w:spacing w:val="-17"/>
          <w:sz w:val="22"/>
          <w:szCs w:val="22"/>
        </w:rPr>
        <w:t>的癌前病变。</w:t>
      </w:r>
    </w:p>
    <w:p w:rsidR="00EA40A3" w:rsidRDefault="00E86C16">
      <w:pPr>
        <w:spacing w:before="76" w:line="248" w:lineRule="auto"/>
        <w:ind w:firstLine="420"/>
        <w:rPr>
          <w:rFonts w:ascii="宋体" w:eastAsia="宋体" w:hAnsi="宋体" w:cs="宋体"/>
          <w:sz w:val="22"/>
          <w:szCs w:val="22"/>
        </w:rPr>
      </w:pPr>
      <w:r>
        <w:rPr>
          <w:rFonts w:ascii="宋体" w:eastAsia="宋体" w:hAnsi="宋体" w:cs="宋体"/>
          <w:spacing w:val="-7"/>
          <w:sz w:val="22"/>
          <w:szCs w:val="22"/>
        </w:rPr>
        <w:t>N-亚硝基化合物是亚硝酸盐与仲胺在细菌或生物细胞内合成的一类强致癌</w:t>
      </w:r>
      <w:r>
        <w:rPr>
          <w:rFonts w:ascii="宋体" w:eastAsia="宋体" w:hAnsi="宋体" w:cs="宋体"/>
          <w:spacing w:val="6"/>
          <w:sz w:val="22"/>
          <w:szCs w:val="22"/>
        </w:rPr>
        <w:t xml:space="preserve">  </w:t>
      </w:r>
      <w:r>
        <w:rPr>
          <w:rFonts w:ascii="宋体" w:eastAsia="宋体" w:hAnsi="宋体" w:cs="宋体"/>
          <w:spacing w:val="-7"/>
          <w:sz w:val="22"/>
          <w:szCs w:val="22"/>
        </w:rPr>
        <w:t>物。在已知130余种该类化合物中，80%有强致癌性。主要表现为对肝脏造成严</w:t>
      </w:r>
      <w:r>
        <w:rPr>
          <w:rFonts w:ascii="宋体" w:eastAsia="宋体" w:hAnsi="宋体" w:cs="宋体"/>
          <w:spacing w:val="8"/>
          <w:sz w:val="22"/>
          <w:szCs w:val="22"/>
        </w:rPr>
        <w:t xml:space="preserve">  </w:t>
      </w:r>
      <w:r>
        <w:rPr>
          <w:rFonts w:ascii="宋体" w:eastAsia="宋体" w:hAnsi="宋体" w:cs="宋体"/>
          <w:spacing w:val="-13"/>
          <w:sz w:val="22"/>
          <w:szCs w:val="22"/>
        </w:rPr>
        <w:t>重损害，出现肝组织坏死、胆管增生及纤维化等癌变。慢性中毒则表现为</w:t>
      </w:r>
      <w:r>
        <w:rPr>
          <w:rFonts w:ascii="宋体" w:eastAsia="宋体" w:hAnsi="宋体" w:cs="宋体"/>
          <w:spacing w:val="-14"/>
          <w:sz w:val="22"/>
          <w:szCs w:val="22"/>
        </w:rPr>
        <w:t>强致癌</w:t>
      </w:r>
      <w:r>
        <w:rPr>
          <w:rFonts w:ascii="宋体" w:eastAsia="宋体" w:hAnsi="宋体" w:cs="宋体"/>
          <w:sz w:val="22"/>
          <w:szCs w:val="22"/>
        </w:rPr>
        <w:t xml:space="preserve">  </w:t>
      </w:r>
      <w:r>
        <w:rPr>
          <w:rFonts w:ascii="宋体" w:eastAsia="宋体" w:hAnsi="宋体" w:cs="宋体"/>
          <w:spacing w:val="-7"/>
          <w:sz w:val="22"/>
          <w:szCs w:val="22"/>
        </w:rPr>
        <w:t>作用。某些N-亚硝基化合物还有强烈的致畸作用。在自然界中，食物本身N-亚</w:t>
      </w:r>
      <w:r>
        <w:rPr>
          <w:rFonts w:ascii="宋体" w:eastAsia="宋体" w:hAnsi="宋体" w:cs="宋体"/>
          <w:spacing w:val="4"/>
          <w:sz w:val="22"/>
          <w:szCs w:val="22"/>
        </w:rPr>
        <w:t xml:space="preserve">  </w:t>
      </w:r>
      <w:r>
        <w:rPr>
          <w:rFonts w:ascii="宋体" w:eastAsia="宋体" w:hAnsi="宋体" w:cs="宋体"/>
          <w:spacing w:val="-13"/>
          <w:sz w:val="22"/>
          <w:szCs w:val="22"/>
        </w:rPr>
        <w:t>硝基化合物的含量极微，但广泛存在其前体硝酸盐、亚硝酸盐及胺类化</w:t>
      </w:r>
      <w:r>
        <w:rPr>
          <w:rFonts w:ascii="宋体" w:eastAsia="宋体" w:hAnsi="宋体" w:cs="宋体"/>
          <w:spacing w:val="-14"/>
          <w:sz w:val="22"/>
          <w:szCs w:val="22"/>
        </w:rPr>
        <w:t>合物。在</w:t>
      </w:r>
      <w:r>
        <w:rPr>
          <w:rFonts w:ascii="宋体" w:eastAsia="宋体" w:hAnsi="宋体" w:cs="宋体"/>
          <w:sz w:val="22"/>
          <w:szCs w:val="22"/>
        </w:rPr>
        <w:t xml:space="preserve">  </w:t>
      </w:r>
      <w:r>
        <w:rPr>
          <w:rFonts w:ascii="宋体" w:eastAsia="宋体" w:hAnsi="宋体" w:cs="宋体"/>
          <w:spacing w:val="-10"/>
          <w:sz w:val="22"/>
          <w:szCs w:val="22"/>
        </w:rPr>
        <w:t>一定条件下，这些前体物可转化成为强致癌性的N-亚硝基化合物。蔬菜如甜菜</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0"/>
          <w:sz w:val="22"/>
          <w:szCs w:val="22"/>
        </w:rPr>
        <w:t>菠菜、芹菜、大白菜、圆白菜、萝卜、菜花、生菜等收获</w:t>
      </w:r>
      <w:r>
        <w:rPr>
          <w:rFonts w:ascii="宋体" w:eastAsia="宋体" w:hAnsi="宋体" w:cs="宋体"/>
          <w:spacing w:val="-11"/>
          <w:sz w:val="22"/>
          <w:szCs w:val="22"/>
        </w:rPr>
        <w:t>后经细菌及酶的作用，</w:t>
      </w:r>
      <w:r>
        <w:rPr>
          <w:rFonts w:ascii="宋体" w:eastAsia="宋体" w:hAnsi="宋体" w:cs="宋体"/>
          <w:sz w:val="22"/>
          <w:szCs w:val="22"/>
        </w:rPr>
        <w:t xml:space="preserve"> </w:t>
      </w:r>
      <w:r>
        <w:rPr>
          <w:rFonts w:ascii="宋体" w:eastAsia="宋体" w:hAnsi="宋体" w:cs="宋体"/>
          <w:spacing w:val="-10"/>
          <w:sz w:val="22"/>
          <w:szCs w:val="22"/>
        </w:rPr>
        <w:t>硝酸盐还原为亚硝酸盐。此外，加硝酸盐或亚硝酸保存的食品(如咸肉片、</w:t>
      </w:r>
      <w:r>
        <w:rPr>
          <w:rFonts w:ascii="宋体" w:eastAsia="宋体" w:hAnsi="宋体" w:cs="宋体"/>
          <w:spacing w:val="-11"/>
          <w:sz w:val="22"/>
          <w:szCs w:val="22"/>
        </w:rPr>
        <w:t>腌干</w:t>
      </w:r>
      <w:r>
        <w:rPr>
          <w:rFonts w:ascii="宋体" w:eastAsia="宋体" w:hAnsi="宋体" w:cs="宋体"/>
          <w:sz w:val="22"/>
          <w:szCs w:val="22"/>
        </w:rPr>
        <w:t xml:space="preserve">  </w:t>
      </w:r>
      <w:r>
        <w:rPr>
          <w:rFonts w:ascii="宋体" w:eastAsia="宋体" w:hAnsi="宋体" w:cs="宋体"/>
          <w:spacing w:val="-11"/>
          <w:sz w:val="22"/>
          <w:szCs w:val="22"/>
        </w:rPr>
        <w:t>鱼、干酪等)以及发酵食品酱油、醋、油、腌渍的酸菜中均能发现此类物质。</w:t>
      </w:r>
    </w:p>
    <w:p w:rsidR="00EA40A3" w:rsidRDefault="00E86C16">
      <w:pPr>
        <w:spacing w:before="99" w:line="244" w:lineRule="auto"/>
        <w:ind w:right="81" w:firstLine="420"/>
        <w:jc w:val="both"/>
        <w:rPr>
          <w:rFonts w:ascii="宋体" w:eastAsia="宋体" w:hAnsi="宋体" w:cs="宋体"/>
          <w:sz w:val="22"/>
          <w:szCs w:val="22"/>
        </w:rPr>
      </w:pPr>
      <w:r>
        <w:rPr>
          <w:rFonts w:ascii="宋体" w:eastAsia="宋体" w:hAnsi="宋体" w:cs="宋体"/>
          <w:spacing w:val="-7"/>
          <w:sz w:val="22"/>
          <w:szCs w:val="22"/>
        </w:rPr>
        <w:t>多环芳烃类，如3,4-苯并芘是含碳有机化合物在燃烧过程中产生的一种强</w:t>
      </w:r>
      <w:r>
        <w:rPr>
          <w:rFonts w:ascii="宋体" w:eastAsia="宋体" w:hAnsi="宋体" w:cs="宋体"/>
          <w:spacing w:val="17"/>
          <w:sz w:val="22"/>
          <w:szCs w:val="22"/>
        </w:rPr>
        <w:t xml:space="preserve"> </w:t>
      </w:r>
      <w:r>
        <w:rPr>
          <w:rFonts w:ascii="宋体" w:eastAsia="宋体" w:hAnsi="宋体" w:cs="宋体"/>
          <w:spacing w:val="-13"/>
          <w:sz w:val="22"/>
          <w:szCs w:val="22"/>
        </w:rPr>
        <w:t>致癌剧毒物质。可通过皮肤、呼吸道、胃肠道进入人体，沉积于肺泡或随血液循</w:t>
      </w:r>
      <w:r>
        <w:rPr>
          <w:rFonts w:ascii="宋体" w:eastAsia="宋体" w:hAnsi="宋体" w:cs="宋体"/>
          <w:spacing w:val="12"/>
          <w:sz w:val="22"/>
          <w:szCs w:val="22"/>
        </w:rPr>
        <w:t xml:space="preserve"> </w:t>
      </w:r>
      <w:r>
        <w:rPr>
          <w:rFonts w:ascii="宋体" w:eastAsia="宋体" w:hAnsi="宋体" w:cs="宋体"/>
          <w:spacing w:val="-13"/>
          <w:sz w:val="22"/>
          <w:szCs w:val="22"/>
        </w:rPr>
        <w:t>环运至全身各组织器官，累积到一定数量后致使细胞基因突变，在肺、食</w:t>
      </w:r>
      <w:r>
        <w:rPr>
          <w:rFonts w:ascii="宋体" w:eastAsia="宋体" w:hAnsi="宋体" w:cs="宋体"/>
          <w:spacing w:val="-14"/>
          <w:sz w:val="22"/>
          <w:szCs w:val="22"/>
        </w:rPr>
        <w:t>道、胃</w:t>
      </w:r>
      <w:r>
        <w:rPr>
          <w:rFonts w:ascii="宋体" w:eastAsia="宋体" w:hAnsi="宋体" w:cs="宋体"/>
          <w:sz w:val="22"/>
          <w:szCs w:val="22"/>
        </w:rPr>
        <w:t xml:space="preserve"> </w:t>
      </w:r>
      <w:r>
        <w:rPr>
          <w:rFonts w:ascii="宋体" w:eastAsia="宋体" w:hAnsi="宋体" w:cs="宋体"/>
          <w:spacing w:val="-7"/>
          <w:sz w:val="22"/>
          <w:szCs w:val="22"/>
        </w:rPr>
        <w:t>等部位发生癌变。它广泛存在于烘烤、烟熏后的食物组织(鱼、肉类)中。</w:t>
      </w:r>
    </w:p>
    <w:p w:rsidR="00EA40A3" w:rsidRDefault="00E86C16">
      <w:pPr>
        <w:spacing w:before="68" w:line="237" w:lineRule="auto"/>
        <w:ind w:right="78" w:firstLine="420"/>
        <w:jc w:val="both"/>
        <w:rPr>
          <w:rFonts w:ascii="宋体" w:eastAsia="宋体" w:hAnsi="宋体" w:cs="宋体"/>
          <w:sz w:val="22"/>
          <w:szCs w:val="22"/>
        </w:rPr>
      </w:pPr>
      <w:r>
        <w:rPr>
          <w:rFonts w:ascii="宋体" w:eastAsia="宋体" w:hAnsi="宋体" w:cs="宋体"/>
          <w:spacing w:val="-13"/>
          <w:sz w:val="22"/>
          <w:szCs w:val="22"/>
        </w:rPr>
        <w:t>过量饮酒与多种疾病有关，其中包括癌症的发生。酗酒可能导致肝癌、食管</w:t>
      </w:r>
      <w:r>
        <w:rPr>
          <w:rFonts w:ascii="宋体" w:eastAsia="宋体" w:hAnsi="宋体" w:cs="宋体"/>
          <w:spacing w:val="9"/>
          <w:sz w:val="22"/>
          <w:szCs w:val="22"/>
        </w:rPr>
        <w:t xml:space="preserve"> </w:t>
      </w:r>
      <w:r>
        <w:rPr>
          <w:rFonts w:ascii="宋体" w:eastAsia="宋体" w:hAnsi="宋体" w:cs="宋体"/>
          <w:spacing w:val="-13"/>
          <w:sz w:val="22"/>
          <w:szCs w:val="22"/>
        </w:rPr>
        <w:t>癌、贲门癌、胃癌、口腔部癌及上喉部癌症危险性增加。其中肝癌的增加可能与</w:t>
      </w:r>
      <w:r>
        <w:rPr>
          <w:rFonts w:ascii="宋体" w:eastAsia="宋体" w:hAnsi="宋体" w:cs="宋体"/>
          <w:sz w:val="22"/>
          <w:szCs w:val="22"/>
        </w:rPr>
        <w:t xml:space="preserve"> </w:t>
      </w:r>
      <w:r>
        <w:rPr>
          <w:rFonts w:ascii="宋体" w:eastAsia="宋体" w:hAnsi="宋体" w:cs="宋体"/>
          <w:spacing w:val="-7"/>
          <w:sz w:val="22"/>
          <w:szCs w:val="22"/>
        </w:rPr>
        <w:t>肝细胞癌参与酒精代谢有关。此外，吸烟者发生肿瘤的危险性为非吸烟者的10</w:t>
      </w:r>
      <w:r>
        <w:rPr>
          <w:rFonts w:ascii="宋体" w:eastAsia="宋体" w:hAnsi="宋体" w:cs="宋体"/>
          <w:spacing w:val="4"/>
          <w:sz w:val="22"/>
          <w:szCs w:val="22"/>
        </w:rPr>
        <w:t xml:space="preserve"> </w:t>
      </w:r>
      <w:r>
        <w:rPr>
          <w:rFonts w:ascii="宋体" w:eastAsia="宋体" w:hAnsi="宋体" w:cs="宋体"/>
          <w:spacing w:val="-13"/>
          <w:sz w:val="22"/>
          <w:szCs w:val="22"/>
        </w:rPr>
        <w:t>倍。尤其是饮酒与吸烟的双重效应不只是简单的叠加，可能还起协调的作用。</w:t>
      </w:r>
    </w:p>
    <w:p w:rsidR="00EA40A3" w:rsidRDefault="00E86C16">
      <w:pPr>
        <w:spacing w:before="237"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10"/>
          <w:sz w:val="22"/>
          <w:szCs w:val="22"/>
        </w:rPr>
        <w:t xml:space="preserve"> </w:t>
      </w:r>
      <w:r>
        <w:rPr>
          <w:rFonts w:ascii="仿宋" w:eastAsia="仿宋" w:hAnsi="仿宋" w:cs="仿宋"/>
          <w:spacing w:val="12"/>
          <w:sz w:val="22"/>
          <w:szCs w:val="22"/>
        </w:rPr>
        <w:t>不均衡的营养和膳食</w:t>
      </w:r>
    </w:p>
    <w:p w:rsidR="00EA40A3" w:rsidRDefault="00E86C16">
      <w:pPr>
        <w:spacing w:before="200" w:line="241" w:lineRule="auto"/>
        <w:ind w:right="88" w:firstLine="420"/>
        <w:jc w:val="both"/>
        <w:rPr>
          <w:rFonts w:ascii="宋体" w:eastAsia="宋体" w:hAnsi="宋体" w:cs="宋体"/>
          <w:sz w:val="22"/>
          <w:szCs w:val="22"/>
        </w:rPr>
      </w:pPr>
      <w:r>
        <w:rPr>
          <w:rFonts w:ascii="宋体" w:eastAsia="宋体" w:hAnsi="宋体" w:cs="宋体"/>
          <w:spacing w:val="-13"/>
          <w:sz w:val="22"/>
          <w:szCs w:val="22"/>
        </w:rPr>
        <w:t>健康的膳食结构及适量营养素的摄入是保证健康的前提，过量则可能产生负</w:t>
      </w:r>
      <w:r>
        <w:rPr>
          <w:rFonts w:ascii="宋体" w:eastAsia="宋体" w:hAnsi="宋体" w:cs="宋体"/>
          <w:sz w:val="22"/>
          <w:szCs w:val="22"/>
        </w:rPr>
        <w:t xml:space="preserve"> </w:t>
      </w:r>
      <w:r>
        <w:rPr>
          <w:rFonts w:ascii="宋体" w:eastAsia="宋体" w:hAnsi="宋体" w:cs="宋体"/>
          <w:spacing w:val="-13"/>
          <w:sz w:val="22"/>
          <w:szCs w:val="22"/>
        </w:rPr>
        <w:t>面效应。但过量的动物蛋白及膳食总蛋白摄取可能与乳腺癌、结肠癌、</w:t>
      </w:r>
      <w:r>
        <w:rPr>
          <w:rFonts w:ascii="宋体" w:eastAsia="宋体" w:hAnsi="宋体" w:cs="宋体"/>
          <w:spacing w:val="-14"/>
          <w:sz w:val="22"/>
          <w:szCs w:val="22"/>
        </w:rPr>
        <w:t>胰腺癌及</w:t>
      </w:r>
      <w:r>
        <w:rPr>
          <w:rFonts w:ascii="宋体" w:eastAsia="宋体" w:hAnsi="宋体" w:cs="宋体"/>
          <w:sz w:val="22"/>
          <w:szCs w:val="22"/>
        </w:rPr>
        <w:t xml:space="preserve"> </w:t>
      </w:r>
      <w:r>
        <w:rPr>
          <w:rFonts w:ascii="宋体" w:eastAsia="宋体" w:hAnsi="宋体" w:cs="宋体"/>
          <w:spacing w:val="-13"/>
          <w:sz w:val="22"/>
          <w:szCs w:val="22"/>
        </w:rPr>
        <w:t>子宫内膜癌和前列腺癌有关，并且发病率与摄入量呈</w:t>
      </w:r>
      <w:r>
        <w:rPr>
          <w:rFonts w:ascii="宋体" w:eastAsia="宋体" w:hAnsi="宋体" w:cs="宋体"/>
          <w:spacing w:val="-14"/>
          <w:sz w:val="22"/>
          <w:szCs w:val="22"/>
        </w:rPr>
        <w:t>正相关。此外，高脂肪膳食</w:t>
      </w:r>
    </w:p>
    <w:p w:rsidR="00EA40A3" w:rsidRDefault="00E86C16">
      <w:pPr>
        <w:spacing w:before="73"/>
        <w:ind w:left="159"/>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364</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pgSz w:w="9340" w:h="13440"/>
          <w:pgMar w:top="400" w:right="1080" w:bottom="400" w:left="919" w:header="0" w:footer="0" w:gutter="0"/>
          <w:cols w:space="720"/>
        </w:sectPr>
      </w:pPr>
    </w:p>
    <w:p w:rsidR="00EA40A3" w:rsidRDefault="00EA40A3">
      <w:pPr>
        <w:spacing w:line="270" w:lineRule="auto"/>
      </w:pPr>
    </w:p>
    <w:p w:rsidR="00EA40A3" w:rsidRDefault="00EA40A3">
      <w:pPr>
        <w:spacing w:line="271" w:lineRule="auto"/>
      </w:pPr>
    </w:p>
    <w:p w:rsidR="00EA40A3" w:rsidRDefault="00E86C16">
      <w:pPr>
        <w:spacing w:before="75" w:line="235" w:lineRule="auto"/>
        <w:ind w:right="82"/>
        <w:jc w:val="both"/>
        <w:rPr>
          <w:rFonts w:ascii="宋体" w:eastAsia="宋体" w:hAnsi="宋体" w:cs="宋体"/>
          <w:sz w:val="23"/>
          <w:szCs w:val="23"/>
        </w:rPr>
      </w:pPr>
      <w:r>
        <w:rPr>
          <w:rFonts w:ascii="宋体" w:eastAsia="宋体" w:hAnsi="宋体" w:cs="宋体"/>
          <w:spacing w:val="-17"/>
          <w:sz w:val="23"/>
          <w:szCs w:val="23"/>
        </w:rPr>
        <w:t>导致大肠癌危险性最高，而有关精制糖量与乳腺癌发生率有关的观点也</w:t>
      </w:r>
      <w:r>
        <w:rPr>
          <w:rFonts w:ascii="宋体" w:eastAsia="宋体" w:hAnsi="宋体" w:cs="宋体"/>
          <w:spacing w:val="-18"/>
          <w:sz w:val="23"/>
          <w:szCs w:val="23"/>
        </w:rPr>
        <w:t>已见报</w:t>
      </w:r>
      <w:r>
        <w:rPr>
          <w:rFonts w:ascii="宋体" w:eastAsia="宋体" w:hAnsi="宋体" w:cs="宋体"/>
          <w:sz w:val="23"/>
          <w:szCs w:val="23"/>
        </w:rPr>
        <w:t xml:space="preserve"> </w:t>
      </w:r>
      <w:r>
        <w:rPr>
          <w:rFonts w:ascii="宋体" w:eastAsia="宋体" w:hAnsi="宋体" w:cs="宋体"/>
          <w:spacing w:val="-23"/>
          <w:sz w:val="23"/>
          <w:szCs w:val="23"/>
        </w:rPr>
        <w:t>道。美国营养学家的调查研究表明：由日本、波兰、挪威三个国家移居到美国的</w:t>
      </w:r>
      <w:r>
        <w:rPr>
          <w:rFonts w:ascii="宋体" w:eastAsia="宋体" w:hAnsi="宋体" w:cs="宋体"/>
          <w:sz w:val="23"/>
          <w:szCs w:val="23"/>
        </w:rPr>
        <w:t xml:space="preserve"> </w:t>
      </w:r>
      <w:r>
        <w:rPr>
          <w:rFonts w:ascii="宋体" w:eastAsia="宋体" w:hAnsi="宋体" w:cs="宋体"/>
          <w:spacing w:val="-23"/>
          <w:sz w:val="23"/>
          <w:szCs w:val="23"/>
        </w:rPr>
        <w:t>居民，由于很快就改变了原有的低脂饮食习惯，和美国人一样用高脂肪饮食，结</w:t>
      </w:r>
      <w:r>
        <w:rPr>
          <w:rFonts w:ascii="宋体" w:eastAsia="宋体" w:hAnsi="宋体" w:cs="宋体"/>
          <w:spacing w:val="16"/>
          <w:sz w:val="23"/>
          <w:szCs w:val="23"/>
        </w:rPr>
        <w:t xml:space="preserve"> </w:t>
      </w:r>
      <w:r>
        <w:rPr>
          <w:rFonts w:ascii="宋体" w:eastAsia="宋体" w:hAnsi="宋体" w:cs="宋体"/>
          <w:spacing w:val="-24"/>
          <w:sz w:val="23"/>
          <w:szCs w:val="23"/>
        </w:rPr>
        <w:t>果这些人群的结肠癌发病率很快上升，接近至美国本土居民的水平。</w:t>
      </w:r>
    </w:p>
    <w:p w:rsidR="00EA40A3" w:rsidRDefault="00E86C16">
      <w:pPr>
        <w:spacing w:before="203" w:line="221" w:lineRule="auto"/>
        <w:ind w:left="3"/>
        <w:outlineLvl w:val="6"/>
        <w:rPr>
          <w:rFonts w:ascii="黑体" w:eastAsia="黑体" w:hAnsi="黑体" w:cs="黑体"/>
          <w:sz w:val="23"/>
          <w:szCs w:val="23"/>
        </w:rPr>
      </w:pPr>
      <w:r>
        <w:rPr>
          <w:rFonts w:ascii="黑体" w:eastAsia="黑体" w:hAnsi="黑体" w:cs="黑体"/>
          <w:b/>
          <w:bCs/>
          <w:sz w:val="23"/>
          <w:szCs w:val="23"/>
        </w:rPr>
        <w:t>11.4.3</w:t>
      </w:r>
      <w:r>
        <w:rPr>
          <w:rFonts w:ascii="黑体" w:eastAsia="黑体" w:hAnsi="黑体" w:cs="黑体"/>
          <w:spacing w:val="46"/>
          <w:sz w:val="23"/>
          <w:szCs w:val="23"/>
        </w:rPr>
        <w:t xml:space="preserve">  </w:t>
      </w:r>
      <w:r>
        <w:rPr>
          <w:rFonts w:ascii="黑体" w:eastAsia="黑体" w:hAnsi="黑体" w:cs="黑体"/>
          <w:b/>
          <w:bCs/>
          <w:sz w:val="23"/>
          <w:szCs w:val="23"/>
        </w:rPr>
        <w:t>肿瘤的饮食预防</w:t>
      </w:r>
    </w:p>
    <w:p w:rsidR="00EA40A3" w:rsidRDefault="00E86C16">
      <w:pPr>
        <w:spacing w:before="168" w:line="239" w:lineRule="auto"/>
        <w:ind w:firstLine="439"/>
        <w:jc w:val="both"/>
        <w:rPr>
          <w:rFonts w:ascii="宋体" w:eastAsia="宋体" w:hAnsi="宋体" w:cs="宋体"/>
          <w:sz w:val="23"/>
          <w:szCs w:val="23"/>
        </w:rPr>
      </w:pPr>
      <w:r>
        <w:rPr>
          <w:rFonts w:ascii="宋体" w:eastAsia="宋体" w:hAnsi="宋体" w:cs="宋体"/>
          <w:spacing w:val="-23"/>
          <w:sz w:val="23"/>
          <w:szCs w:val="23"/>
        </w:rPr>
        <w:t>世界各民族的肿瘤发病高低与饮食习惯不同密切相关，但合理的饮食营养</w:t>
      </w:r>
      <w:r>
        <w:rPr>
          <w:rFonts w:ascii="宋体" w:eastAsia="宋体" w:hAnsi="宋体" w:cs="宋体"/>
          <w:spacing w:val="-24"/>
          <w:sz w:val="23"/>
          <w:szCs w:val="23"/>
        </w:rPr>
        <w:t>却</w:t>
      </w:r>
      <w:r>
        <w:rPr>
          <w:rFonts w:ascii="宋体" w:eastAsia="宋体" w:hAnsi="宋体" w:cs="宋体"/>
          <w:sz w:val="23"/>
          <w:szCs w:val="23"/>
        </w:rPr>
        <w:t xml:space="preserve"> </w:t>
      </w:r>
      <w:r>
        <w:rPr>
          <w:rFonts w:ascii="宋体" w:eastAsia="宋体" w:hAnsi="宋体" w:cs="宋体"/>
          <w:spacing w:val="-20"/>
          <w:sz w:val="23"/>
          <w:szCs w:val="23"/>
        </w:rPr>
        <w:t>可以预防癌症的发生。应当针对饮食致癌因素，调整膳食结构，注</w:t>
      </w:r>
      <w:r>
        <w:rPr>
          <w:rFonts w:ascii="宋体" w:eastAsia="宋体" w:hAnsi="宋体" w:cs="宋体"/>
          <w:spacing w:val="-21"/>
          <w:sz w:val="23"/>
          <w:szCs w:val="23"/>
        </w:rPr>
        <w:t>重合理营养，</w:t>
      </w:r>
      <w:r>
        <w:rPr>
          <w:rFonts w:ascii="宋体" w:eastAsia="宋体" w:hAnsi="宋体" w:cs="宋体"/>
          <w:sz w:val="23"/>
          <w:szCs w:val="23"/>
        </w:rPr>
        <w:t xml:space="preserve"> </w:t>
      </w:r>
      <w:r>
        <w:rPr>
          <w:rFonts w:ascii="宋体" w:eastAsia="宋体" w:hAnsi="宋体" w:cs="宋体"/>
          <w:spacing w:val="-23"/>
          <w:sz w:val="23"/>
          <w:szCs w:val="23"/>
        </w:rPr>
        <w:t>讲究平衡膳食，改善不良饮食习惯。饮食防癌应注意以下内容。</w:t>
      </w:r>
    </w:p>
    <w:p w:rsidR="00EA40A3" w:rsidRDefault="00E86C16">
      <w:pPr>
        <w:spacing w:before="207" w:line="222" w:lineRule="auto"/>
        <w:rPr>
          <w:rFonts w:ascii="仿宋" w:eastAsia="仿宋" w:hAnsi="仿宋" w:cs="仿宋"/>
          <w:sz w:val="23"/>
          <w:szCs w:val="23"/>
        </w:rPr>
      </w:pPr>
      <w:r>
        <w:rPr>
          <w:rFonts w:ascii="仿宋" w:eastAsia="仿宋" w:hAnsi="仿宋" w:cs="仿宋"/>
          <w:spacing w:val="3"/>
          <w:sz w:val="23"/>
          <w:szCs w:val="23"/>
        </w:rPr>
        <w:t>1.</w:t>
      </w:r>
      <w:r>
        <w:rPr>
          <w:rFonts w:ascii="仿宋" w:eastAsia="仿宋" w:hAnsi="仿宋" w:cs="仿宋"/>
          <w:spacing w:val="-49"/>
          <w:sz w:val="23"/>
          <w:szCs w:val="23"/>
        </w:rPr>
        <w:t xml:space="preserve"> </w:t>
      </w:r>
      <w:r>
        <w:rPr>
          <w:rFonts w:ascii="仿宋" w:eastAsia="仿宋" w:hAnsi="仿宋" w:cs="仿宋"/>
          <w:spacing w:val="3"/>
          <w:sz w:val="23"/>
          <w:szCs w:val="23"/>
        </w:rPr>
        <w:t>健康的膳食结构</w:t>
      </w:r>
    </w:p>
    <w:p w:rsidR="00EA40A3" w:rsidRDefault="00E86C16">
      <w:pPr>
        <w:spacing w:before="166" w:line="237" w:lineRule="auto"/>
        <w:ind w:right="84" w:firstLine="439"/>
        <w:jc w:val="both"/>
        <w:rPr>
          <w:rFonts w:ascii="宋体" w:eastAsia="宋体" w:hAnsi="宋体" w:cs="宋体"/>
          <w:sz w:val="23"/>
          <w:szCs w:val="23"/>
        </w:rPr>
      </w:pPr>
      <w:r>
        <w:rPr>
          <w:rFonts w:ascii="宋体" w:eastAsia="宋体" w:hAnsi="宋体" w:cs="宋体"/>
          <w:spacing w:val="-17"/>
          <w:sz w:val="23"/>
          <w:szCs w:val="23"/>
        </w:rPr>
        <w:t>食物要多样，使各种营养素齐全、营养素之间比例恰当，符合平衡膳食要</w:t>
      </w:r>
      <w:r>
        <w:rPr>
          <w:rFonts w:ascii="宋体" w:eastAsia="宋体" w:hAnsi="宋体" w:cs="宋体"/>
          <w:spacing w:val="3"/>
          <w:sz w:val="23"/>
          <w:szCs w:val="23"/>
        </w:rPr>
        <w:t xml:space="preserve"> </w:t>
      </w:r>
      <w:r>
        <w:rPr>
          <w:rFonts w:ascii="宋体" w:eastAsia="宋体" w:hAnsi="宋体" w:cs="宋体"/>
          <w:spacing w:val="-10"/>
          <w:sz w:val="23"/>
          <w:szCs w:val="23"/>
        </w:rPr>
        <w:t>求。适量蛋白质摄入，包括一定数量的优质蛋白质(鱼</w:t>
      </w:r>
      <w:r>
        <w:rPr>
          <w:rFonts w:ascii="宋体" w:eastAsia="宋体" w:hAnsi="宋体" w:cs="宋体"/>
          <w:spacing w:val="-11"/>
          <w:sz w:val="23"/>
          <w:szCs w:val="23"/>
        </w:rPr>
        <w:t>肉、蛋、奶)和豆类食</w:t>
      </w:r>
      <w:r>
        <w:rPr>
          <w:rFonts w:ascii="宋体" w:eastAsia="宋体" w:hAnsi="宋体" w:cs="宋体"/>
          <w:sz w:val="23"/>
          <w:szCs w:val="23"/>
        </w:rPr>
        <w:t xml:space="preserve"> </w:t>
      </w:r>
      <w:r>
        <w:rPr>
          <w:rFonts w:ascii="宋体" w:eastAsia="宋体" w:hAnsi="宋体" w:cs="宋体"/>
          <w:spacing w:val="-23"/>
          <w:sz w:val="23"/>
          <w:szCs w:val="23"/>
        </w:rPr>
        <w:t>品。大豆中含强抗氧化剂绿原酸，可减缓或切断人体蛋白损伤的氧</w:t>
      </w:r>
      <w:r>
        <w:rPr>
          <w:rFonts w:ascii="宋体" w:eastAsia="宋体" w:hAnsi="宋体" w:cs="宋体"/>
          <w:spacing w:val="-24"/>
          <w:sz w:val="23"/>
          <w:szCs w:val="23"/>
        </w:rPr>
        <w:t>化反应，还含</w:t>
      </w:r>
      <w:r>
        <w:rPr>
          <w:rFonts w:ascii="宋体" w:eastAsia="宋体" w:hAnsi="宋体" w:cs="宋体"/>
          <w:sz w:val="23"/>
          <w:szCs w:val="23"/>
        </w:rPr>
        <w:t xml:space="preserve"> </w:t>
      </w:r>
      <w:r>
        <w:rPr>
          <w:rFonts w:ascii="宋体" w:eastAsia="宋体" w:hAnsi="宋体" w:cs="宋体"/>
          <w:spacing w:val="-23"/>
          <w:sz w:val="23"/>
          <w:szCs w:val="23"/>
        </w:rPr>
        <w:t>有抑制癌基因产物的异黄酮和防止正常细胞恶变的蛋白酶抑制剂，能</w:t>
      </w:r>
      <w:r>
        <w:rPr>
          <w:rFonts w:ascii="宋体" w:eastAsia="宋体" w:hAnsi="宋体" w:cs="宋体"/>
          <w:spacing w:val="-24"/>
          <w:sz w:val="23"/>
          <w:szCs w:val="23"/>
        </w:rPr>
        <w:t>防止致癌物</w:t>
      </w:r>
      <w:r>
        <w:rPr>
          <w:rFonts w:ascii="宋体" w:eastAsia="宋体" w:hAnsi="宋体" w:cs="宋体"/>
          <w:sz w:val="23"/>
          <w:szCs w:val="23"/>
        </w:rPr>
        <w:t xml:space="preserve"> </w:t>
      </w:r>
      <w:r>
        <w:rPr>
          <w:rFonts w:ascii="宋体" w:eastAsia="宋体" w:hAnsi="宋体" w:cs="宋体"/>
          <w:spacing w:val="-23"/>
          <w:sz w:val="23"/>
          <w:szCs w:val="23"/>
        </w:rPr>
        <w:t>质与正常细胞脱氧核糖核酸的结合，从而起到预防癌症的作用，</w:t>
      </w:r>
      <w:r>
        <w:rPr>
          <w:rFonts w:ascii="宋体" w:eastAsia="宋体" w:hAnsi="宋体" w:cs="宋体"/>
          <w:spacing w:val="-24"/>
          <w:sz w:val="23"/>
          <w:szCs w:val="23"/>
        </w:rPr>
        <w:t>尤其对延缓乳腺</w:t>
      </w:r>
      <w:r>
        <w:rPr>
          <w:rFonts w:ascii="宋体" w:eastAsia="宋体" w:hAnsi="宋体" w:cs="宋体"/>
          <w:sz w:val="23"/>
          <w:szCs w:val="23"/>
        </w:rPr>
        <w:t xml:space="preserve"> </w:t>
      </w:r>
      <w:r>
        <w:rPr>
          <w:rFonts w:ascii="宋体" w:eastAsia="宋体" w:hAnsi="宋体" w:cs="宋体"/>
          <w:spacing w:val="-25"/>
          <w:sz w:val="23"/>
          <w:szCs w:val="23"/>
        </w:rPr>
        <w:t>癌的发病有明显功效。</w:t>
      </w:r>
    </w:p>
    <w:p w:rsidR="00EA40A3" w:rsidRDefault="00E86C16">
      <w:pPr>
        <w:spacing w:before="213" w:line="222" w:lineRule="auto"/>
        <w:rPr>
          <w:rFonts w:ascii="仿宋" w:eastAsia="仿宋" w:hAnsi="仿宋" w:cs="仿宋"/>
          <w:sz w:val="23"/>
          <w:szCs w:val="23"/>
        </w:rPr>
      </w:pPr>
      <w:r>
        <w:rPr>
          <w:rFonts w:ascii="仿宋" w:eastAsia="仿宋" w:hAnsi="仿宋" w:cs="仿宋"/>
          <w:spacing w:val="3"/>
          <w:sz w:val="23"/>
          <w:szCs w:val="23"/>
        </w:rPr>
        <w:t>2.</w:t>
      </w:r>
      <w:r>
        <w:rPr>
          <w:rFonts w:ascii="仿宋" w:eastAsia="仿宋" w:hAnsi="仿宋" w:cs="仿宋"/>
          <w:spacing w:val="-59"/>
          <w:sz w:val="23"/>
          <w:szCs w:val="23"/>
        </w:rPr>
        <w:t xml:space="preserve"> </w:t>
      </w:r>
      <w:r>
        <w:rPr>
          <w:rFonts w:ascii="仿宋" w:eastAsia="仿宋" w:hAnsi="仿宋" w:cs="仿宋"/>
          <w:spacing w:val="3"/>
          <w:sz w:val="23"/>
          <w:szCs w:val="23"/>
        </w:rPr>
        <w:t>控制总能量摄入</w:t>
      </w:r>
    </w:p>
    <w:p w:rsidR="00EA40A3" w:rsidRDefault="00E86C16">
      <w:pPr>
        <w:spacing w:before="183" w:line="237" w:lineRule="auto"/>
        <w:ind w:right="76" w:firstLine="439"/>
        <w:jc w:val="both"/>
        <w:rPr>
          <w:rFonts w:ascii="宋体" w:eastAsia="宋体" w:hAnsi="宋体" w:cs="宋体"/>
          <w:sz w:val="23"/>
          <w:szCs w:val="23"/>
        </w:rPr>
      </w:pPr>
      <w:r>
        <w:rPr>
          <w:rFonts w:ascii="宋体" w:eastAsia="宋体" w:hAnsi="宋体" w:cs="宋体"/>
          <w:spacing w:val="-6"/>
          <w:sz w:val="23"/>
          <w:szCs w:val="23"/>
        </w:rPr>
        <w:t>维持正常体重，脂肪摄入应当适量，控制其占总能量的20%～25%,饱和</w:t>
      </w:r>
      <w:r>
        <w:rPr>
          <w:rFonts w:ascii="宋体" w:eastAsia="宋体" w:hAnsi="宋体" w:cs="宋体"/>
          <w:spacing w:val="16"/>
          <w:sz w:val="23"/>
          <w:szCs w:val="23"/>
        </w:rPr>
        <w:t xml:space="preserve"> </w:t>
      </w:r>
      <w:r>
        <w:rPr>
          <w:rFonts w:ascii="宋体" w:eastAsia="宋体" w:hAnsi="宋体" w:cs="宋体"/>
          <w:spacing w:val="-23"/>
          <w:sz w:val="23"/>
          <w:szCs w:val="23"/>
        </w:rPr>
        <w:t>与不饱和脂肪酸的比例应合适。世界上不同地区</w:t>
      </w:r>
      <w:r>
        <w:rPr>
          <w:rFonts w:ascii="宋体" w:eastAsia="宋体" w:hAnsi="宋体" w:cs="宋体"/>
          <w:spacing w:val="-24"/>
          <w:sz w:val="23"/>
          <w:szCs w:val="23"/>
        </w:rPr>
        <w:t>、不同国家、不同时期、同一国</w:t>
      </w:r>
      <w:r>
        <w:rPr>
          <w:rFonts w:ascii="宋体" w:eastAsia="宋体" w:hAnsi="宋体" w:cs="宋体"/>
          <w:sz w:val="23"/>
          <w:szCs w:val="23"/>
        </w:rPr>
        <w:t xml:space="preserve"> </w:t>
      </w:r>
      <w:r>
        <w:rPr>
          <w:rFonts w:ascii="宋体" w:eastAsia="宋体" w:hAnsi="宋体" w:cs="宋体"/>
          <w:spacing w:val="-23"/>
          <w:sz w:val="23"/>
          <w:szCs w:val="23"/>
        </w:rPr>
        <w:t>家不同膳食脂肪量以及移民的流行病学调查都认为高脂肪膳食的</w:t>
      </w:r>
      <w:r>
        <w:rPr>
          <w:rFonts w:ascii="宋体" w:eastAsia="宋体" w:hAnsi="宋体" w:cs="宋体"/>
          <w:spacing w:val="-24"/>
          <w:sz w:val="23"/>
          <w:szCs w:val="23"/>
        </w:rPr>
        <w:t>地区、国家及人</w:t>
      </w:r>
      <w:r>
        <w:rPr>
          <w:rFonts w:ascii="宋体" w:eastAsia="宋体" w:hAnsi="宋体" w:cs="宋体"/>
          <w:sz w:val="23"/>
          <w:szCs w:val="23"/>
        </w:rPr>
        <w:t xml:space="preserve"> </w:t>
      </w:r>
      <w:r>
        <w:rPr>
          <w:rFonts w:ascii="宋体" w:eastAsia="宋体" w:hAnsi="宋体" w:cs="宋体"/>
          <w:spacing w:val="-23"/>
          <w:sz w:val="23"/>
          <w:szCs w:val="23"/>
        </w:rPr>
        <w:t>群中结肠癌和乳腺癌的发病率及死亡率高。脂肪的摄取量，尤其</w:t>
      </w:r>
      <w:r>
        <w:rPr>
          <w:rFonts w:ascii="宋体" w:eastAsia="宋体" w:hAnsi="宋体" w:cs="宋体"/>
          <w:spacing w:val="-24"/>
          <w:sz w:val="23"/>
          <w:szCs w:val="23"/>
        </w:rPr>
        <w:t>是动物脂肪的摄</w:t>
      </w:r>
      <w:r>
        <w:rPr>
          <w:rFonts w:ascii="宋体" w:eastAsia="宋体" w:hAnsi="宋体" w:cs="宋体"/>
          <w:sz w:val="23"/>
          <w:szCs w:val="23"/>
        </w:rPr>
        <w:t xml:space="preserve"> </w:t>
      </w:r>
      <w:r>
        <w:rPr>
          <w:rFonts w:ascii="宋体" w:eastAsia="宋体" w:hAnsi="宋体" w:cs="宋体"/>
          <w:spacing w:val="-23"/>
          <w:sz w:val="23"/>
          <w:szCs w:val="23"/>
        </w:rPr>
        <w:t>取量与此两种癌的发病率及死亡率为正相关。</w:t>
      </w:r>
    </w:p>
    <w:p w:rsidR="00EA40A3" w:rsidRDefault="00E86C16">
      <w:pPr>
        <w:spacing w:before="199" w:line="218" w:lineRule="auto"/>
        <w:rPr>
          <w:rFonts w:ascii="仿宋" w:eastAsia="仿宋" w:hAnsi="仿宋" w:cs="仿宋"/>
          <w:sz w:val="23"/>
          <w:szCs w:val="23"/>
        </w:rPr>
      </w:pPr>
      <w:r>
        <w:rPr>
          <w:rFonts w:ascii="仿宋" w:eastAsia="仿宋" w:hAnsi="仿宋" w:cs="仿宋"/>
          <w:spacing w:val="8"/>
          <w:sz w:val="23"/>
          <w:szCs w:val="23"/>
        </w:rPr>
        <w:t>3.保证足量的蔬菜和水果</w:t>
      </w:r>
    </w:p>
    <w:p w:rsidR="00EA40A3" w:rsidRDefault="00E86C16">
      <w:pPr>
        <w:spacing w:before="189" w:line="238" w:lineRule="auto"/>
        <w:ind w:right="83" w:firstLine="439"/>
        <w:jc w:val="both"/>
        <w:rPr>
          <w:rFonts w:ascii="宋体" w:eastAsia="宋体" w:hAnsi="宋体" w:cs="宋体"/>
          <w:sz w:val="23"/>
          <w:szCs w:val="23"/>
        </w:rPr>
      </w:pPr>
      <w:r>
        <w:rPr>
          <w:rFonts w:ascii="宋体" w:eastAsia="宋体" w:hAnsi="宋体" w:cs="宋体"/>
          <w:spacing w:val="-23"/>
          <w:sz w:val="23"/>
          <w:szCs w:val="23"/>
        </w:rPr>
        <w:t>新鲜的蔬菜和水果在为人体提供必需的维生素、矿物</w:t>
      </w:r>
      <w:r>
        <w:rPr>
          <w:rFonts w:ascii="宋体" w:eastAsia="宋体" w:hAnsi="宋体" w:cs="宋体"/>
          <w:spacing w:val="-24"/>
          <w:sz w:val="23"/>
          <w:szCs w:val="23"/>
        </w:rPr>
        <w:t>元素的同时，还含有一</w:t>
      </w:r>
      <w:r>
        <w:rPr>
          <w:rFonts w:ascii="宋体" w:eastAsia="宋体" w:hAnsi="宋体" w:cs="宋体"/>
          <w:sz w:val="23"/>
          <w:szCs w:val="23"/>
        </w:rPr>
        <w:t xml:space="preserve"> </w:t>
      </w:r>
      <w:r>
        <w:rPr>
          <w:rFonts w:ascii="宋体" w:eastAsia="宋体" w:hAnsi="宋体" w:cs="宋体"/>
          <w:spacing w:val="-23"/>
          <w:sz w:val="23"/>
          <w:szCs w:val="23"/>
        </w:rPr>
        <w:t>些保护性的营养素和具有抗癌、抗肿瘤作用的功能性成分。如含胡</w:t>
      </w:r>
      <w:r>
        <w:rPr>
          <w:rFonts w:ascii="宋体" w:eastAsia="宋体" w:hAnsi="宋体" w:cs="宋体"/>
          <w:spacing w:val="-24"/>
          <w:sz w:val="23"/>
          <w:szCs w:val="23"/>
        </w:rPr>
        <w:t>萝卜素和维生</w:t>
      </w:r>
      <w:r>
        <w:rPr>
          <w:rFonts w:ascii="宋体" w:eastAsia="宋体" w:hAnsi="宋体" w:cs="宋体"/>
          <w:sz w:val="23"/>
          <w:szCs w:val="23"/>
        </w:rPr>
        <w:t xml:space="preserve"> </w:t>
      </w:r>
      <w:r>
        <w:rPr>
          <w:rFonts w:ascii="宋体" w:eastAsia="宋体" w:hAnsi="宋体" w:cs="宋体"/>
          <w:spacing w:val="-16"/>
          <w:sz w:val="23"/>
          <w:szCs w:val="23"/>
        </w:rPr>
        <w:t>素C</w:t>
      </w:r>
      <w:r>
        <w:rPr>
          <w:rFonts w:ascii="宋体" w:eastAsia="宋体" w:hAnsi="宋体" w:cs="宋体"/>
          <w:spacing w:val="-23"/>
          <w:sz w:val="23"/>
          <w:szCs w:val="23"/>
        </w:rPr>
        <w:t xml:space="preserve"> </w:t>
      </w:r>
      <w:r>
        <w:rPr>
          <w:rFonts w:ascii="宋体" w:eastAsia="宋体" w:hAnsi="宋体" w:cs="宋体"/>
          <w:spacing w:val="-16"/>
          <w:sz w:val="23"/>
          <w:szCs w:val="23"/>
        </w:rPr>
        <w:t>的深黄绿色蔬菜。花菜、卷心菜等十字花科蔬菜含</w:t>
      </w:r>
      <w:r>
        <w:rPr>
          <w:rFonts w:ascii="宋体" w:eastAsia="宋体" w:hAnsi="宋体" w:cs="宋体"/>
          <w:spacing w:val="-17"/>
          <w:sz w:val="23"/>
          <w:szCs w:val="23"/>
        </w:rPr>
        <w:t>有异硫氰酸盐，具有抑</w:t>
      </w:r>
      <w:r>
        <w:rPr>
          <w:rFonts w:ascii="宋体" w:eastAsia="宋体" w:hAnsi="宋体" w:cs="宋体"/>
          <w:sz w:val="23"/>
          <w:szCs w:val="23"/>
        </w:rPr>
        <w:t xml:space="preserve"> </w:t>
      </w:r>
      <w:r>
        <w:rPr>
          <w:rFonts w:ascii="宋体" w:eastAsia="宋体" w:hAnsi="宋体" w:cs="宋体"/>
          <w:spacing w:val="-23"/>
          <w:sz w:val="23"/>
          <w:szCs w:val="23"/>
        </w:rPr>
        <w:t>制致癌物质活力的作用；萝卜、胡萝卜能分解致癌物质亚硝酸，防癌、抗癌作用</w:t>
      </w:r>
      <w:r>
        <w:rPr>
          <w:rFonts w:ascii="宋体" w:eastAsia="宋体" w:hAnsi="宋体" w:cs="宋体"/>
          <w:spacing w:val="9"/>
          <w:sz w:val="23"/>
          <w:szCs w:val="23"/>
        </w:rPr>
        <w:t xml:space="preserve"> </w:t>
      </w:r>
      <w:r>
        <w:rPr>
          <w:rFonts w:ascii="宋体" w:eastAsia="宋体" w:hAnsi="宋体" w:cs="宋体"/>
          <w:spacing w:val="-23"/>
          <w:sz w:val="23"/>
          <w:szCs w:val="23"/>
        </w:rPr>
        <w:t>明显，还能提高机体免疫力；大蒜、洋葱富含巯基化合物，能限制和消除亚硝酸</w:t>
      </w:r>
      <w:r>
        <w:rPr>
          <w:rFonts w:ascii="宋体" w:eastAsia="宋体" w:hAnsi="宋体" w:cs="宋体"/>
          <w:spacing w:val="12"/>
          <w:sz w:val="23"/>
          <w:szCs w:val="23"/>
        </w:rPr>
        <w:t xml:space="preserve"> </w:t>
      </w:r>
      <w:r>
        <w:rPr>
          <w:rFonts w:ascii="宋体" w:eastAsia="宋体" w:hAnsi="宋体" w:cs="宋体"/>
          <w:spacing w:val="-23"/>
          <w:sz w:val="23"/>
          <w:szCs w:val="23"/>
        </w:rPr>
        <w:t>盐、内源性亚硝酸等物质以及削弱固醇、甘油酸酯等对人体的有害作用，</w:t>
      </w:r>
      <w:r>
        <w:rPr>
          <w:rFonts w:ascii="宋体" w:eastAsia="宋体" w:hAnsi="宋体" w:cs="宋体"/>
          <w:spacing w:val="-24"/>
          <w:sz w:val="23"/>
          <w:szCs w:val="23"/>
        </w:rPr>
        <w:t>对癌细</w:t>
      </w:r>
      <w:r>
        <w:rPr>
          <w:rFonts w:ascii="宋体" w:eastAsia="宋体" w:hAnsi="宋体" w:cs="宋体"/>
          <w:sz w:val="23"/>
          <w:szCs w:val="23"/>
        </w:rPr>
        <w:t xml:space="preserve"> </w:t>
      </w:r>
      <w:r>
        <w:rPr>
          <w:rFonts w:ascii="宋体" w:eastAsia="宋体" w:hAnsi="宋体" w:cs="宋体"/>
          <w:spacing w:val="-17"/>
          <w:sz w:val="23"/>
          <w:szCs w:val="23"/>
        </w:rPr>
        <w:t>胞有一定抑制作用；竹笋含有大量胡萝卜素、维生</w:t>
      </w:r>
      <w:r>
        <w:rPr>
          <w:rFonts w:ascii="宋体" w:eastAsia="宋体" w:hAnsi="宋体" w:cs="宋体"/>
          <w:spacing w:val="-18"/>
          <w:sz w:val="23"/>
          <w:szCs w:val="23"/>
        </w:rPr>
        <w:t>素B、维生素C、</w:t>
      </w:r>
      <w:r>
        <w:rPr>
          <w:rFonts w:ascii="宋体" w:eastAsia="宋体" w:hAnsi="宋体" w:cs="宋体"/>
          <w:spacing w:val="-69"/>
          <w:sz w:val="23"/>
          <w:szCs w:val="23"/>
        </w:rPr>
        <w:t xml:space="preserve"> </w:t>
      </w:r>
      <w:r>
        <w:rPr>
          <w:rFonts w:ascii="宋体" w:eastAsia="宋体" w:hAnsi="宋体" w:cs="宋体"/>
          <w:spacing w:val="-18"/>
          <w:sz w:val="23"/>
          <w:szCs w:val="23"/>
        </w:rPr>
        <w:t>维生素E</w:t>
      </w:r>
      <w:r>
        <w:rPr>
          <w:rFonts w:ascii="宋体" w:eastAsia="宋体" w:hAnsi="宋体" w:cs="宋体"/>
          <w:spacing w:val="-14"/>
          <w:sz w:val="23"/>
          <w:szCs w:val="23"/>
        </w:rPr>
        <w:t xml:space="preserve"> </w:t>
      </w:r>
      <w:r>
        <w:rPr>
          <w:rFonts w:ascii="宋体" w:eastAsia="宋体" w:hAnsi="宋体" w:cs="宋体"/>
          <w:spacing w:val="-18"/>
          <w:sz w:val="23"/>
          <w:szCs w:val="23"/>
        </w:rPr>
        <w:t>和</w:t>
      </w:r>
      <w:r>
        <w:rPr>
          <w:rFonts w:ascii="宋体" w:eastAsia="宋体" w:hAnsi="宋体" w:cs="宋体"/>
          <w:sz w:val="23"/>
          <w:szCs w:val="23"/>
        </w:rPr>
        <w:t xml:space="preserve"> </w:t>
      </w:r>
      <w:r>
        <w:rPr>
          <w:rFonts w:ascii="宋体" w:eastAsia="宋体" w:hAnsi="宋体" w:cs="宋体"/>
          <w:spacing w:val="-17"/>
          <w:sz w:val="23"/>
          <w:szCs w:val="23"/>
        </w:rPr>
        <w:t>元素硒，具有一定的防癌抗癌功能；真菌金针菇、香菇、木耳能提高机体</w:t>
      </w:r>
      <w:r>
        <w:rPr>
          <w:rFonts w:ascii="宋体" w:eastAsia="宋体" w:hAnsi="宋体" w:cs="宋体"/>
          <w:spacing w:val="-18"/>
          <w:sz w:val="23"/>
          <w:szCs w:val="23"/>
        </w:rPr>
        <w:t>免疫</w:t>
      </w:r>
      <w:r>
        <w:rPr>
          <w:rFonts w:ascii="宋体" w:eastAsia="宋体" w:hAnsi="宋体" w:cs="宋体"/>
          <w:sz w:val="23"/>
          <w:szCs w:val="23"/>
        </w:rPr>
        <w:t xml:space="preserve"> </w:t>
      </w:r>
      <w:r>
        <w:rPr>
          <w:rFonts w:ascii="宋体" w:eastAsia="宋体" w:hAnsi="宋体" w:cs="宋体"/>
          <w:spacing w:val="-25"/>
          <w:sz w:val="23"/>
          <w:szCs w:val="23"/>
        </w:rPr>
        <w:t>力，能提高机体抑制肿瘤的能力等。</w:t>
      </w:r>
    </w:p>
    <w:p w:rsidR="00EA40A3" w:rsidRDefault="00EA40A3">
      <w:pPr>
        <w:sectPr w:rsidR="00EA40A3">
          <w:footerReference w:type="default" r:id="rId296"/>
          <w:pgSz w:w="9220" w:h="13360"/>
          <w:pgMar w:top="400" w:right="1035" w:bottom="1276" w:left="840" w:header="0" w:footer="1055" w:gutter="0"/>
          <w:cols w:space="720"/>
        </w:sectPr>
      </w:pPr>
    </w:p>
    <w:p w:rsidR="00EA40A3" w:rsidRDefault="00EA40A3">
      <w:pPr>
        <w:spacing w:line="351" w:lineRule="auto"/>
      </w:pPr>
    </w:p>
    <w:p w:rsidR="00EA40A3" w:rsidRDefault="00EA40A3">
      <w:pPr>
        <w:spacing w:line="351" w:lineRule="auto"/>
      </w:pPr>
    </w:p>
    <w:p w:rsidR="00EA40A3" w:rsidRDefault="00E86C16">
      <w:pPr>
        <w:spacing w:before="71" w:line="223"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39"/>
          <w:sz w:val="22"/>
          <w:szCs w:val="22"/>
        </w:rPr>
        <w:t xml:space="preserve"> </w:t>
      </w:r>
      <w:r>
        <w:rPr>
          <w:rFonts w:ascii="仿宋" w:eastAsia="仿宋" w:hAnsi="仿宋" w:cs="仿宋"/>
          <w:spacing w:val="9"/>
          <w:sz w:val="22"/>
          <w:szCs w:val="22"/>
        </w:rPr>
        <w:t>改进烹调方法</w:t>
      </w:r>
    </w:p>
    <w:p w:rsidR="00EA40A3" w:rsidRDefault="00E86C16">
      <w:pPr>
        <w:spacing w:before="174" w:line="230" w:lineRule="auto"/>
        <w:ind w:right="62" w:firstLine="419"/>
        <w:rPr>
          <w:rFonts w:ascii="宋体" w:eastAsia="宋体" w:hAnsi="宋体" w:cs="宋体"/>
          <w:sz w:val="22"/>
          <w:szCs w:val="22"/>
        </w:rPr>
      </w:pPr>
      <w:r>
        <w:rPr>
          <w:rFonts w:ascii="宋体" w:eastAsia="宋体" w:hAnsi="宋体" w:cs="宋体"/>
          <w:spacing w:val="-8"/>
          <w:sz w:val="22"/>
          <w:szCs w:val="22"/>
        </w:rPr>
        <w:t>提倡快炒或生食新鲜蔬菜，以减少维生素</w:t>
      </w:r>
      <w:r>
        <w:rPr>
          <w:rFonts w:ascii="宋体" w:eastAsia="宋体" w:hAnsi="宋体" w:cs="宋体"/>
          <w:spacing w:val="-48"/>
          <w:sz w:val="22"/>
          <w:szCs w:val="22"/>
        </w:rPr>
        <w:t xml:space="preserve"> </w:t>
      </w:r>
      <w:r>
        <w:rPr>
          <w:rFonts w:ascii="宋体" w:eastAsia="宋体" w:hAnsi="宋体" w:cs="宋体"/>
          <w:spacing w:val="-8"/>
          <w:sz w:val="22"/>
          <w:szCs w:val="22"/>
        </w:rPr>
        <w:t>C</w:t>
      </w:r>
      <w:r>
        <w:rPr>
          <w:rFonts w:ascii="宋体" w:eastAsia="宋体" w:hAnsi="宋体" w:cs="宋体"/>
          <w:spacing w:val="-3"/>
          <w:sz w:val="22"/>
          <w:szCs w:val="22"/>
        </w:rPr>
        <w:t xml:space="preserve"> </w:t>
      </w:r>
      <w:r>
        <w:rPr>
          <w:rFonts w:ascii="宋体" w:eastAsia="宋体" w:hAnsi="宋体" w:cs="宋体"/>
          <w:spacing w:val="-8"/>
          <w:sz w:val="22"/>
          <w:szCs w:val="22"/>
        </w:rPr>
        <w:t>的流失。每日蔬菜要保持一定</w:t>
      </w:r>
      <w:r>
        <w:rPr>
          <w:rFonts w:ascii="宋体" w:eastAsia="宋体" w:hAnsi="宋体" w:cs="宋体"/>
          <w:sz w:val="22"/>
          <w:szCs w:val="22"/>
        </w:rPr>
        <w:t xml:space="preserve"> </w:t>
      </w:r>
      <w:r>
        <w:rPr>
          <w:rFonts w:ascii="宋体" w:eastAsia="宋体" w:hAnsi="宋体" w:cs="宋体"/>
          <w:spacing w:val="-11"/>
          <w:sz w:val="22"/>
          <w:szCs w:val="22"/>
        </w:rPr>
        <w:t>量，</w:t>
      </w:r>
      <w:r>
        <w:rPr>
          <w:rFonts w:ascii="宋体" w:eastAsia="宋体" w:hAnsi="宋体" w:cs="宋体"/>
          <w:spacing w:val="-33"/>
          <w:sz w:val="22"/>
          <w:szCs w:val="22"/>
        </w:rPr>
        <w:t xml:space="preserve"> </w:t>
      </w:r>
      <w:r>
        <w:rPr>
          <w:rFonts w:ascii="宋体" w:eastAsia="宋体" w:hAnsi="宋体" w:cs="宋体"/>
          <w:spacing w:val="-11"/>
          <w:sz w:val="22"/>
          <w:szCs w:val="22"/>
        </w:rPr>
        <w:t>一般成人每天食用500g左右。</w:t>
      </w:r>
    </w:p>
    <w:p w:rsidR="00EA40A3" w:rsidRDefault="00E86C16">
      <w:pPr>
        <w:spacing w:before="208" w:line="221" w:lineRule="auto"/>
        <w:rPr>
          <w:rFonts w:ascii="仿宋" w:eastAsia="仿宋" w:hAnsi="仿宋" w:cs="仿宋"/>
          <w:sz w:val="22"/>
          <w:szCs w:val="22"/>
        </w:rPr>
      </w:pPr>
      <w:r>
        <w:rPr>
          <w:rFonts w:ascii="仿宋" w:eastAsia="仿宋" w:hAnsi="仿宋" w:cs="仿宋"/>
          <w:spacing w:val="9"/>
          <w:sz w:val="22"/>
          <w:szCs w:val="22"/>
        </w:rPr>
        <w:t>5.</w:t>
      </w:r>
      <w:r>
        <w:rPr>
          <w:rFonts w:ascii="仿宋" w:eastAsia="仿宋" w:hAnsi="仿宋" w:cs="仿宋"/>
          <w:spacing w:val="-58"/>
          <w:sz w:val="22"/>
          <w:szCs w:val="22"/>
        </w:rPr>
        <w:t xml:space="preserve"> </w:t>
      </w:r>
      <w:r>
        <w:rPr>
          <w:rFonts w:ascii="仿宋" w:eastAsia="仿宋" w:hAnsi="仿宋" w:cs="仿宋"/>
          <w:spacing w:val="9"/>
          <w:sz w:val="22"/>
          <w:szCs w:val="22"/>
        </w:rPr>
        <w:t>食物要新鲜</w:t>
      </w:r>
    </w:p>
    <w:p w:rsidR="00EA40A3" w:rsidRDefault="00E86C16">
      <w:pPr>
        <w:spacing w:before="199"/>
        <w:ind w:right="67" w:firstLine="419"/>
        <w:rPr>
          <w:rFonts w:ascii="宋体" w:eastAsia="宋体" w:hAnsi="宋体" w:cs="宋体"/>
          <w:sz w:val="22"/>
          <w:szCs w:val="22"/>
        </w:rPr>
      </w:pPr>
      <w:r>
        <w:rPr>
          <w:rFonts w:ascii="宋体" w:eastAsia="宋体" w:hAnsi="宋体" w:cs="宋体"/>
          <w:spacing w:val="-6"/>
          <w:sz w:val="22"/>
          <w:szCs w:val="22"/>
        </w:rPr>
        <w:t>不食或少食腌制食品，不食霉菌污染(花生、玉米易受霉菌污染)或烧</w:t>
      </w:r>
      <w:r>
        <w:rPr>
          <w:rFonts w:ascii="宋体" w:eastAsia="宋体" w:hAnsi="宋体" w:cs="宋体"/>
          <w:spacing w:val="-7"/>
          <w:sz w:val="22"/>
          <w:szCs w:val="22"/>
        </w:rPr>
        <w:t>焦食</w:t>
      </w:r>
      <w:r>
        <w:rPr>
          <w:rFonts w:ascii="宋体" w:eastAsia="宋体" w:hAnsi="宋体" w:cs="宋体"/>
          <w:sz w:val="22"/>
          <w:szCs w:val="22"/>
        </w:rPr>
        <w:t xml:space="preserve"> </w:t>
      </w:r>
      <w:r>
        <w:rPr>
          <w:rFonts w:ascii="宋体" w:eastAsia="宋体" w:hAnsi="宋体" w:cs="宋体"/>
          <w:spacing w:val="-14"/>
          <w:sz w:val="22"/>
          <w:szCs w:val="22"/>
        </w:rPr>
        <w:t>物。食物保藏以冰箱为宜，时间不宜过长。</w:t>
      </w:r>
    </w:p>
    <w:p w:rsidR="00EA40A3" w:rsidRDefault="00E86C16">
      <w:pPr>
        <w:spacing w:before="185" w:line="221" w:lineRule="auto"/>
        <w:rPr>
          <w:rFonts w:ascii="仿宋" w:eastAsia="仿宋" w:hAnsi="仿宋" w:cs="仿宋"/>
          <w:sz w:val="22"/>
          <w:szCs w:val="22"/>
        </w:rPr>
      </w:pPr>
      <w:r>
        <w:rPr>
          <w:rFonts w:ascii="仿宋" w:eastAsia="仿宋" w:hAnsi="仿宋" w:cs="仿宋"/>
          <w:spacing w:val="11"/>
          <w:sz w:val="22"/>
          <w:szCs w:val="22"/>
        </w:rPr>
        <w:t>6.</w:t>
      </w:r>
      <w:r>
        <w:rPr>
          <w:rFonts w:ascii="仿宋" w:eastAsia="仿宋" w:hAnsi="仿宋" w:cs="仿宋"/>
          <w:spacing w:val="-6"/>
          <w:sz w:val="22"/>
          <w:szCs w:val="22"/>
        </w:rPr>
        <w:t xml:space="preserve"> </w:t>
      </w:r>
      <w:r>
        <w:rPr>
          <w:rFonts w:ascii="仿宋" w:eastAsia="仿宋" w:hAnsi="仿宋" w:cs="仿宋"/>
          <w:spacing w:val="11"/>
          <w:sz w:val="22"/>
          <w:szCs w:val="22"/>
        </w:rPr>
        <w:t>提倡摄入全谷类食物</w:t>
      </w:r>
    </w:p>
    <w:p w:rsidR="00EA40A3" w:rsidRDefault="00E86C16">
      <w:pPr>
        <w:spacing w:before="209" w:line="244" w:lineRule="auto"/>
        <w:ind w:right="64" w:firstLine="419"/>
        <w:jc w:val="both"/>
        <w:rPr>
          <w:rFonts w:ascii="宋体" w:eastAsia="宋体" w:hAnsi="宋体" w:cs="宋体"/>
          <w:sz w:val="22"/>
          <w:szCs w:val="22"/>
        </w:rPr>
      </w:pPr>
      <w:r>
        <w:rPr>
          <w:rFonts w:ascii="宋体" w:eastAsia="宋体" w:hAnsi="宋体" w:cs="宋体"/>
          <w:spacing w:val="-13"/>
          <w:sz w:val="22"/>
          <w:szCs w:val="22"/>
        </w:rPr>
        <w:t>保证有足量的微量元素、膳食纤维。谷物、玉米、糙米、米糠含有抑制癌细</w:t>
      </w:r>
      <w:r>
        <w:rPr>
          <w:rFonts w:ascii="宋体" w:eastAsia="宋体" w:hAnsi="宋体" w:cs="宋体"/>
          <w:spacing w:val="10"/>
          <w:sz w:val="22"/>
          <w:szCs w:val="22"/>
        </w:rPr>
        <w:t xml:space="preserve"> </w:t>
      </w:r>
      <w:r>
        <w:rPr>
          <w:rFonts w:ascii="宋体" w:eastAsia="宋体" w:hAnsi="宋体" w:cs="宋体"/>
          <w:spacing w:val="-13"/>
          <w:sz w:val="22"/>
          <w:szCs w:val="22"/>
        </w:rPr>
        <w:t>胞增殖成分，能使人体内的致癌物质失去作用，可预防肺癌、胃癌、食道癌、膀</w:t>
      </w:r>
      <w:r>
        <w:rPr>
          <w:rFonts w:ascii="宋体" w:eastAsia="宋体" w:hAnsi="宋体" w:cs="宋体"/>
          <w:spacing w:val="14"/>
          <w:sz w:val="22"/>
          <w:szCs w:val="22"/>
        </w:rPr>
        <w:t xml:space="preserve"> </w:t>
      </w:r>
      <w:r>
        <w:rPr>
          <w:rFonts w:ascii="宋体" w:eastAsia="宋体" w:hAnsi="宋体" w:cs="宋体"/>
          <w:spacing w:val="-15"/>
          <w:sz w:val="22"/>
          <w:szCs w:val="22"/>
        </w:rPr>
        <w:t>胱癌。</w:t>
      </w:r>
      <w:r>
        <w:rPr>
          <w:rFonts w:ascii="宋体" w:eastAsia="宋体" w:hAnsi="宋体" w:cs="宋体"/>
          <w:spacing w:val="-25"/>
          <w:sz w:val="22"/>
          <w:szCs w:val="22"/>
        </w:rPr>
        <w:t xml:space="preserve"> </w:t>
      </w:r>
      <w:r>
        <w:rPr>
          <w:rFonts w:ascii="宋体" w:eastAsia="宋体" w:hAnsi="宋体" w:cs="宋体"/>
          <w:spacing w:val="-15"/>
          <w:sz w:val="22"/>
          <w:szCs w:val="22"/>
        </w:rPr>
        <w:t>一些研究认为膳食纤维与肿瘤呈负相关，低纤维素高脂肪膳食的人患结肠</w:t>
      </w:r>
      <w:r>
        <w:rPr>
          <w:rFonts w:ascii="宋体" w:eastAsia="宋体" w:hAnsi="宋体" w:cs="宋体"/>
          <w:sz w:val="22"/>
          <w:szCs w:val="22"/>
        </w:rPr>
        <w:t xml:space="preserve"> </w:t>
      </w:r>
      <w:r>
        <w:rPr>
          <w:rFonts w:ascii="宋体" w:eastAsia="宋体" w:hAnsi="宋体" w:cs="宋体"/>
          <w:spacing w:val="-15"/>
          <w:sz w:val="22"/>
          <w:szCs w:val="22"/>
        </w:rPr>
        <w:t>直肠癌的相对危险性高于吃低脂肪高纤维素的人。</w:t>
      </w:r>
    </w:p>
    <w:p w:rsidR="00EA40A3" w:rsidRDefault="00E86C16">
      <w:pPr>
        <w:spacing w:before="218" w:line="223" w:lineRule="auto"/>
        <w:rPr>
          <w:rFonts w:ascii="仿宋" w:eastAsia="仿宋" w:hAnsi="仿宋" w:cs="仿宋"/>
          <w:sz w:val="22"/>
          <w:szCs w:val="22"/>
        </w:rPr>
      </w:pPr>
      <w:r>
        <w:rPr>
          <w:rFonts w:ascii="仿宋" w:eastAsia="仿宋" w:hAnsi="仿宋" w:cs="仿宋"/>
          <w:spacing w:val="8"/>
          <w:sz w:val="22"/>
          <w:szCs w:val="22"/>
        </w:rPr>
        <w:t>7.</w:t>
      </w:r>
      <w:r>
        <w:rPr>
          <w:rFonts w:ascii="仿宋" w:eastAsia="仿宋" w:hAnsi="仿宋" w:cs="仿宋"/>
          <w:spacing w:val="-32"/>
          <w:sz w:val="22"/>
          <w:szCs w:val="22"/>
        </w:rPr>
        <w:t xml:space="preserve"> </w:t>
      </w:r>
      <w:r>
        <w:rPr>
          <w:rFonts w:ascii="仿宋" w:eastAsia="仿宋" w:hAnsi="仿宋" w:cs="仿宋"/>
          <w:spacing w:val="8"/>
          <w:sz w:val="22"/>
          <w:szCs w:val="22"/>
        </w:rPr>
        <w:t>避免高盐饮食</w:t>
      </w:r>
    </w:p>
    <w:p w:rsidR="00EA40A3" w:rsidRDefault="00E86C16">
      <w:pPr>
        <w:spacing w:before="187" w:line="243" w:lineRule="auto"/>
        <w:ind w:right="86" w:firstLine="419"/>
        <w:jc w:val="both"/>
        <w:rPr>
          <w:rFonts w:ascii="宋体" w:eastAsia="宋体" w:hAnsi="宋体" w:cs="宋体"/>
          <w:sz w:val="22"/>
          <w:szCs w:val="22"/>
        </w:rPr>
      </w:pPr>
      <w:r>
        <w:rPr>
          <w:rFonts w:ascii="宋体" w:eastAsia="宋体" w:hAnsi="宋体" w:cs="宋体"/>
          <w:spacing w:val="-10"/>
          <w:sz w:val="22"/>
          <w:szCs w:val="22"/>
        </w:rPr>
        <w:t>每日食盐摄入量不超过10g。食盐过多可能会增加胃癌的危险性。此外，三</w:t>
      </w:r>
      <w:r>
        <w:rPr>
          <w:rFonts w:ascii="宋体" w:eastAsia="宋体" w:hAnsi="宋体" w:cs="宋体"/>
          <w:spacing w:val="7"/>
          <w:sz w:val="22"/>
          <w:szCs w:val="22"/>
        </w:rPr>
        <w:t xml:space="preserve"> </w:t>
      </w:r>
      <w:r>
        <w:rPr>
          <w:rFonts w:ascii="宋体" w:eastAsia="宋体" w:hAnsi="宋体" w:cs="宋体"/>
          <w:spacing w:val="-13"/>
          <w:sz w:val="22"/>
          <w:szCs w:val="22"/>
        </w:rPr>
        <w:t>餐要按时，进食时不宜过快、过烫。不饮烈酒，不吸烟。注意饮水水</w:t>
      </w:r>
      <w:r>
        <w:rPr>
          <w:rFonts w:ascii="宋体" w:eastAsia="宋体" w:hAnsi="宋体" w:cs="宋体"/>
          <w:spacing w:val="-14"/>
          <w:sz w:val="22"/>
          <w:szCs w:val="22"/>
        </w:rPr>
        <w:t>质。保持精</w:t>
      </w:r>
      <w:r>
        <w:rPr>
          <w:rFonts w:ascii="宋体" w:eastAsia="宋体" w:hAnsi="宋体" w:cs="宋体"/>
          <w:sz w:val="22"/>
          <w:szCs w:val="22"/>
        </w:rPr>
        <w:t xml:space="preserve"> </w:t>
      </w:r>
      <w:r>
        <w:rPr>
          <w:rFonts w:ascii="宋体" w:eastAsia="宋体" w:hAnsi="宋体" w:cs="宋体"/>
          <w:spacing w:val="-14"/>
          <w:sz w:val="22"/>
          <w:szCs w:val="22"/>
        </w:rPr>
        <w:t>神开朗、情绪乐观，经常进行体育锻炼。</w:t>
      </w:r>
    </w:p>
    <w:p w:rsidR="00EA40A3" w:rsidRDefault="00EA40A3">
      <w:pPr>
        <w:spacing w:line="249" w:lineRule="auto"/>
      </w:pPr>
    </w:p>
    <w:p w:rsidR="00EA40A3" w:rsidRDefault="00E86C16">
      <w:pPr>
        <w:spacing w:before="91" w:line="219" w:lineRule="auto"/>
        <w:ind w:left="2479"/>
        <w:rPr>
          <w:rFonts w:ascii="宋体" w:eastAsia="宋体" w:hAnsi="宋体" w:cs="宋体"/>
          <w:sz w:val="28"/>
          <w:szCs w:val="28"/>
        </w:rPr>
      </w:pPr>
      <w:r>
        <w:rPr>
          <w:rFonts w:ascii="宋体" w:eastAsia="宋体" w:hAnsi="宋体" w:cs="宋体"/>
          <w:spacing w:val="-5"/>
          <w:sz w:val="28"/>
          <w:szCs w:val="28"/>
        </w:rPr>
        <w:t>11.5</w:t>
      </w:r>
      <w:r>
        <w:rPr>
          <w:rFonts w:ascii="宋体" w:eastAsia="宋体" w:hAnsi="宋体" w:cs="宋体"/>
          <w:spacing w:val="122"/>
          <w:sz w:val="28"/>
          <w:szCs w:val="28"/>
        </w:rPr>
        <w:t xml:space="preserve"> </w:t>
      </w:r>
      <w:r>
        <w:rPr>
          <w:rFonts w:ascii="宋体" w:eastAsia="宋体" w:hAnsi="宋体" w:cs="宋体"/>
          <w:spacing w:val="-5"/>
          <w:sz w:val="28"/>
          <w:szCs w:val="28"/>
        </w:rPr>
        <w:t>营养与高血压</w:t>
      </w:r>
    </w:p>
    <w:p w:rsidR="00EA40A3" w:rsidRDefault="00E86C16">
      <w:pPr>
        <w:spacing w:before="130" w:line="221" w:lineRule="auto"/>
        <w:ind w:left="3"/>
        <w:outlineLvl w:val="6"/>
        <w:rPr>
          <w:rFonts w:ascii="黑体" w:eastAsia="黑体" w:hAnsi="黑体" w:cs="黑体"/>
          <w:sz w:val="22"/>
          <w:szCs w:val="22"/>
        </w:rPr>
      </w:pPr>
      <w:r>
        <w:rPr>
          <w:rFonts w:ascii="黑体" w:eastAsia="黑体" w:hAnsi="黑体" w:cs="黑体"/>
          <w:b/>
          <w:bCs/>
          <w:spacing w:val="-6"/>
          <w:sz w:val="22"/>
          <w:szCs w:val="22"/>
        </w:rPr>
        <w:t>11.5.1</w:t>
      </w:r>
      <w:r>
        <w:rPr>
          <w:rFonts w:ascii="黑体" w:eastAsia="黑体" w:hAnsi="黑体" w:cs="黑体"/>
          <w:spacing w:val="9"/>
          <w:sz w:val="22"/>
          <w:szCs w:val="22"/>
        </w:rPr>
        <w:t xml:space="preserve">   </w:t>
      </w:r>
      <w:r>
        <w:rPr>
          <w:rFonts w:ascii="黑体" w:eastAsia="黑体" w:hAnsi="黑体" w:cs="黑体"/>
          <w:b/>
          <w:bCs/>
          <w:spacing w:val="-6"/>
          <w:sz w:val="22"/>
          <w:szCs w:val="22"/>
        </w:rPr>
        <w:t>高血压概述</w:t>
      </w:r>
    </w:p>
    <w:p w:rsidR="00EA40A3" w:rsidRDefault="00E86C16">
      <w:pPr>
        <w:spacing w:before="206" w:line="214" w:lineRule="auto"/>
        <w:ind w:left="419"/>
        <w:rPr>
          <w:rFonts w:ascii="宋体" w:eastAsia="宋体" w:hAnsi="宋体" w:cs="宋体"/>
          <w:sz w:val="22"/>
          <w:szCs w:val="22"/>
        </w:rPr>
      </w:pPr>
      <w:r>
        <w:rPr>
          <w:rFonts w:ascii="宋体" w:eastAsia="宋体" w:hAnsi="宋体" w:cs="宋体"/>
          <w:spacing w:val="-8"/>
          <w:sz w:val="22"/>
          <w:szCs w:val="22"/>
        </w:rPr>
        <w:t>高血压</w:t>
      </w:r>
      <w:r>
        <w:rPr>
          <w:rFonts w:ascii="宋体" w:eastAsia="宋体" w:hAnsi="宋体" w:cs="宋体"/>
          <w:spacing w:val="-26"/>
          <w:sz w:val="22"/>
          <w:szCs w:val="22"/>
        </w:rPr>
        <w:t xml:space="preserve"> </w:t>
      </w:r>
      <w:r>
        <w:rPr>
          <w:rFonts w:ascii="宋体" w:eastAsia="宋体" w:hAnsi="宋体" w:cs="宋体"/>
          <w:spacing w:val="-8"/>
          <w:sz w:val="22"/>
          <w:szCs w:val="22"/>
        </w:rPr>
        <w:t>(hypertension)</w:t>
      </w:r>
      <w:r>
        <w:rPr>
          <w:rFonts w:ascii="宋体" w:eastAsia="宋体" w:hAnsi="宋体" w:cs="宋体"/>
          <w:spacing w:val="-56"/>
          <w:sz w:val="22"/>
          <w:szCs w:val="22"/>
        </w:rPr>
        <w:t xml:space="preserve"> </w:t>
      </w:r>
      <w:r>
        <w:rPr>
          <w:rFonts w:ascii="宋体" w:eastAsia="宋体" w:hAnsi="宋体" w:cs="宋体"/>
          <w:spacing w:val="-8"/>
          <w:sz w:val="22"/>
          <w:szCs w:val="22"/>
        </w:rPr>
        <w:t>是指体循环长期持续的不正常的血压</w:t>
      </w:r>
      <w:r>
        <w:rPr>
          <w:rFonts w:ascii="宋体" w:eastAsia="宋体" w:hAnsi="宋体" w:cs="宋体"/>
          <w:spacing w:val="-9"/>
          <w:sz w:val="22"/>
          <w:szCs w:val="22"/>
        </w:rPr>
        <w:t>升高。</w:t>
      </w:r>
      <w:r>
        <w:rPr>
          <w:rFonts w:ascii="宋体" w:eastAsia="宋体" w:hAnsi="宋体" w:cs="宋体"/>
          <w:spacing w:val="-16"/>
          <w:sz w:val="22"/>
          <w:szCs w:val="22"/>
        </w:rPr>
        <w:t xml:space="preserve"> </w:t>
      </w:r>
      <w:r>
        <w:rPr>
          <w:rFonts w:ascii="宋体" w:eastAsia="宋体" w:hAnsi="宋体" w:cs="宋体"/>
          <w:spacing w:val="-8"/>
          <w:sz w:val="22"/>
          <w:szCs w:val="22"/>
        </w:rPr>
        <w:t>WHO</w:t>
      </w:r>
    </w:p>
    <w:p w:rsidR="00EA40A3" w:rsidRDefault="00E86C16">
      <w:pPr>
        <w:spacing w:before="53" w:line="214" w:lineRule="auto"/>
        <w:rPr>
          <w:rFonts w:ascii="宋体" w:eastAsia="宋体" w:hAnsi="宋体" w:cs="宋体"/>
          <w:sz w:val="22"/>
          <w:szCs w:val="22"/>
        </w:rPr>
      </w:pPr>
      <w:r>
        <w:rPr>
          <w:rFonts w:ascii="宋体" w:eastAsia="宋体" w:hAnsi="宋体" w:cs="宋体"/>
          <w:spacing w:val="-7"/>
          <w:sz w:val="22"/>
          <w:szCs w:val="22"/>
        </w:rPr>
        <w:t>建议，高血压的诊断标准如下：①正常成人血压收缩压为18.6kPa(140mmHg)</w:t>
      </w:r>
    </w:p>
    <w:p w:rsidR="00EA40A3" w:rsidRDefault="00E86C16">
      <w:pPr>
        <w:spacing w:before="58" w:line="248" w:lineRule="auto"/>
        <w:rPr>
          <w:rFonts w:ascii="宋体" w:eastAsia="宋体" w:hAnsi="宋体" w:cs="宋体"/>
          <w:sz w:val="22"/>
          <w:szCs w:val="22"/>
        </w:rPr>
      </w:pPr>
      <w:r>
        <w:rPr>
          <w:rFonts w:ascii="宋体" w:eastAsia="宋体" w:hAnsi="宋体" w:cs="宋体"/>
          <w:spacing w:val="10"/>
          <w:sz w:val="22"/>
          <w:szCs w:val="22"/>
        </w:rPr>
        <w:t>或以下，舒张压在12</w:t>
      </w:r>
      <w:r>
        <w:rPr>
          <w:rFonts w:ascii="宋体" w:eastAsia="宋体" w:hAnsi="宋体" w:cs="宋体"/>
          <w:sz w:val="22"/>
          <w:szCs w:val="22"/>
        </w:rPr>
        <w:t>kPa</w:t>
      </w:r>
      <w:r>
        <w:rPr>
          <w:rFonts w:ascii="宋体" w:eastAsia="宋体" w:hAnsi="宋体" w:cs="宋体"/>
          <w:spacing w:val="10"/>
          <w:sz w:val="22"/>
          <w:szCs w:val="22"/>
        </w:rPr>
        <w:t>(90</w:t>
      </w:r>
      <w:r>
        <w:rPr>
          <w:rFonts w:ascii="宋体" w:eastAsia="宋体" w:hAnsi="宋体" w:cs="宋体"/>
          <w:sz w:val="22"/>
          <w:szCs w:val="22"/>
        </w:rPr>
        <w:t>mmHg</w:t>
      </w:r>
      <w:r>
        <w:rPr>
          <w:rFonts w:ascii="宋体" w:eastAsia="宋体" w:hAnsi="宋体" w:cs="宋体"/>
          <w:spacing w:val="10"/>
          <w:sz w:val="22"/>
          <w:szCs w:val="22"/>
        </w:rPr>
        <w:t>)</w:t>
      </w:r>
      <w:r>
        <w:rPr>
          <w:rFonts w:ascii="宋体" w:eastAsia="宋体" w:hAnsi="宋体" w:cs="宋体"/>
          <w:spacing w:val="32"/>
          <w:sz w:val="22"/>
          <w:szCs w:val="22"/>
        </w:rPr>
        <w:t xml:space="preserve">   </w:t>
      </w:r>
      <w:r>
        <w:rPr>
          <w:rFonts w:ascii="宋体" w:eastAsia="宋体" w:hAnsi="宋体" w:cs="宋体"/>
          <w:spacing w:val="10"/>
          <w:sz w:val="22"/>
          <w:szCs w:val="22"/>
        </w:rPr>
        <w:t>或以下；②成年人高</w:t>
      </w:r>
      <w:r>
        <w:rPr>
          <w:rFonts w:ascii="宋体" w:eastAsia="宋体" w:hAnsi="宋体" w:cs="宋体"/>
          <w:spacing w:val="9"/>
          <w:sz w:val="22"/>
          <w:szCs w:val="22"/>
        </w:rPr>
        <w:t>血压收缩压为</w:t>
      </w:r>
      <w:r>
        <w:rPr>
          <w:rFonts w:ascii="宋体" w:eastAsia="宋体" w:hAnsi="宋体" w:cs="宋体"/>
          <w:sz w:val="22"/>
          <w:szCs w:val="22"/>
        </w:rPr>
        <w:t xml:space="preserve">  </w:t>
      </w:r>
      <w:r>
        <w:rPr>
          <w:rFonts w:ascii="宋体" w:eastAsia="宋体" w:hAnsi="宋体" w:cs="宋体"/>
          <w:spacing w:val="4"/>
          <w:sz w:val="22"/>
          <w:szCs w:val="22"/>
        </w:rPr>
        <w:t>21.3</w:t>
      </w:r>
      <w:r>
        <w:rPr>
          <w:rFonts w:ascii="宋体" w:eastAsia="宋体" w:hAnsi="宋体" w:cs="宋体"/>
          <w:sz w:val="22"/>
          <w:szCs w:val="22"/>
        </w:rPr>
        <w:t>kPa</w:t>
      </w:r>
      <w:r>
        <w:rPr>
          <w:rFonts w:ascii="宋体" w:eastAsia="宋体" w:hAnsi="宋体" w:cs="宋体"/>
          <w:spacing w:val="4"/>
          <w:sz w:val="22"/>
          <w:szCs w:val="22"/>
        </w:rPr>
        <w:t>(160</w:t>
      </w:r>
      <w:r>
        <w:rPr>
          <w:rFonts w:ascii="宋体" w:eastAsia="宋体" w:hAnsi="宋体" w:cs="宋体"/>
          <w:sz w:val="22"/>
          <w:szCs w:val="22"/>
        </w:rPr>
        <w:t>mmHg</w:t>
      </w:r>
      <w:r>
        <w:rPr>
          <w:rFonts w:ascii="宋体" w:eastAsia="宋体" w:hAnsi="宋体" w:cs="宋体"/>
          <w:spacing w:val="4"/>
          <w:sz w:val="22"/>
          <w:szCs w:val="22"/>
        </w:rPr>
        <w:t>)</w:t>
      </w:r>
      <w:r>
        <w:rPr>
          <w:rFonts w:ascii="宋体" w:eastAsia="宋体" w:hAnsi="宋体" w:cs="宋体"/>
          <w:spacing w:val="3"/>
          <w:sz w:val="22"/>
          <w:szCs w:val="22"/>
        </w:rPr>
        <w:t xml:space="preserve">   </w:t>
      </w:r>
      <w:r>
        <w:rPr>
          <w:rFonts w:ascii="宋体" w:eastAsia="宋体" w:hAnsi="宋体" w:cs="宋体"/>
          <w:spacing w:val="4"/>
          <w:sz w:val="22"/>
          <w:szCs w:val="22"/>
        </w:rPr>
        <w:t>或以上和(或)舒张压在12.</w:t>
      </w:r>
      <w:r>
        <w:rPr>
          <w:rFonts w:ascii="宋体" w:eastAsia="宋体" w:hAnsi="宋体" w:cs="宋体"/>
          <w:spacing w:val="3"/>
          <w:sz w:val="22"/>
          <w:szCs w:val="22"/>
        </w:rPr>
        <w:t>6</w:t>
      </w:r>
      <w:r>
        <w:rPr>
          <w:rFonts w:ascii="宋体" w:eastAsia="宋体" w:hAnsi="宋体" w:cs="宋体"/>
          <w:sz w:val="22"/>
          <w:szCs w:val="22"/>
        </w:rPr>
        <w:t>kPa</w:t>
      </w:r>
      <w:r>
        <w:rPr>
          <w:rFonts w:ascii="宋体" w:eastAsia="宋体" w:hAnsi="宋体" w:cs="宋体"/>
          <w:spacing w:val="3"/>
          <w:sz w:val="22"/>
          <w:szCs w:val="22"/>
        </w:rPr>
        <w:t>(95</w:t>
      </w:r>
      <w:r>
        <w:rPr>
          <w:rFonts w:ascii="宋体" w:eastAsia="宋体" w:hAnsi="宋体" w:cs="宋体"/>
          <w:sz w:val="22"/>
          <w:szCs w:val="22"/>
        </w:rPr>
        <w:t>mmHg</w:t>
      </w:r>
      <w:r>
        <w:rPr>
          <w:rFonts w:ascii="宋体" w:eastAsia="宋体" w:hAnsi="宋体" w:cs="宋体"/>
          <w:spacing w:val="3"/>
          <w:sz w:val="22"/>
          <w:szCs w:val="22"/>
        </w:rPr>
        <w:t>)</w:t>
      </w:r>
      <w:r>
        <w:rPr>
          <w:rFonts w:ascii="宋体" w:eastAsia="宋体" w:hAnsi="宋体" w:cs="宋体"/>
          <w:spacing w:val="16"/>
          <w:sz w:val="22"/>
          <w:szCs w:val="22"/>
        </w:rPr>
        <w:t xml:space="preserve">   </w:t>
      </w:r>
      <w:r>
        <w:rPr>
          <w:rFonts w:ascii="宋体" w:eastAsia="宋体" w:hAnsi="宋体" w:cs="宋体"/>
          <w:spacing w:val="3"/>
          <w:sz w:val="22"/>
          <w:szCs w:val="22"/>
        </w:rPr>
        <w:t>或以上；</w:t>
      </w:r>
      <w:r>
        <w:rPr>
          <w:rFonts w:ascii="宋体" w:eastAsia="宋体" w:hAnsi="宋体" w:cs="宋体"/>
          <w:sz w:val="22"/>
          <w:szCs w:val="22"/>
        </w:rPr>
        <w:t xml:space="preserve"> </w:t>
      </w:r>
      <w:r>
        <w:rPr>
          <w:rFonts w:ascii="宋体" w:eastAsia="宋体" w:hAnsi="宋体" w:cs="宋体"/>
          <w:spacing w:val="23"/>
          <w:sz w:val="22"/>
          <w:szCs w:val="22"/>
        </w:rPr>
        <w:t>③</w:t>
      </w:r>
      <w:r>
        <w:rPr>
          <w:rFonts w:ascii="宋体" w:eastAsia="宋体" w:hAnsi="宋体" w:cs="宋体"/>
          <w:spacing w:val="-48"/>
          <w:sz w:val="22"/>
          <w:szCs w:val="22"/>
        </w:rPr>
        <w:t xml:space="preserve"> </w:t>
      </w:r>
      <w:r>
        <w:rPr>
          <w:rFonts w:ascii="宋体" w:eastAsia="宋体" w:hAnsi="宋体" w:cs="宋体"/>
          <w:spacing w:val="23"/>
          <w:sz w:val="22"/>
          <w:szCs w:val="22"/>
        </w:rPr>
        <w:t>临界高血压指收缩压高于18</w:t>
      </w:r>
      <w:r>
        <w:rPr>
          <w:rFonts w:ascii="宋体" w:eastAsia="宋体" w:hAnsi="宋体" w:cs="宋体"/>
          <w:spacing w:val="-46"/>
          <w:sz w:val="22"/>
          <w:szCs w:val="22"/>
        </w:rPr>
        <w:t xml:space="preserve"> </w:t>
      </w:r>
      <w:r>
        <w:rPr>
          <w:rFonts w:ascii="宋体" w:eastAsia="宋体" w:hAnsi="宋体" w:cs="宋体"/>
          <w:spacing w:val="23"/>
          <w:sz w:val="22"/>
          <w:szCs w:val="22"/>
        </w:rPr>
        <w:t>.</w:t>
      </w:r>
      <w:r>
        <w:rPr>
          <w:rFonts w:ascii="宋体" w:eastAsia="宋体" w:hAnsi="宋体" w:cs="宋体"/>
          <w:spacing w:val="-50"/>
          <w:sz w:val="22"/>
          <w:szCs w:val="22"/>
        </w:rPr>
        <w:t xml:space="preserve"> </w:t>
      </w:r>
      <w:r>
        <w:rPr>
          <w:rFonts w:ascii="宋体" w:eastAsia="宋体" w:hAnsi="宋体" w:cs="宋体"/>
          <w:spacing w:val="23"/>
          <w:sz w:val="22"/>
          <w:szCs w:val="22"/>
        </w:rPr>
        <w:t>6</w:t>
      </w:r>
      <w:r>
        <w:rPr>
          <w:rFonts w:ascii="Times New Roman" w:eastAsia="Times New Roman" w:hAnsi="Times New Roman" w:cs="Times New Roman"/>
          <w:sz w:val="22"/>
          <w:szCs w:val="22"/>
        </w:rPr>
        <w:t>kPa</w:t>
      </w:r>
      <w:r>
        <w:rPr>
          <w:rFonts w:ascii="Times New Roman" w:eastAsia="Times New Roman" w:hAnsi="Times New Roman" w:cs="Times New Roman"/>
          <w:spacing w:val="1"/>
          <w:sz w:val="22"/>
          <w:szCs w:val="22"/>
        </w:rPr>
        <w:t xml:space="preserve">     </w:t>
      </w:r>
      <w:r>
        <w:rPr>
          <w:rFonts w:ascii="Times New Roman" w:eastAsia="Times New Roman" w:hAnsi="Times New Roman" w:cs="Times New Roman"/>
          <w:spacing w:val="23"/>
          <w:sz w:val="22"/>
          <w:szCs w:val="22"/>
        </w:rPr>
        <w:t>(140</w:t>
      </w:r>
      <w:r>
        <w:rPr>
          <w:rFonts w:ascii="Times New Roman" w:eastAsia="Times New Roman" w:hAnsi="Times New Roman" w:cs="Times New Roman"/>
          <w:sz w:val="22"/>
          <w:szCs w:val="22"/>
        </w:rPr>
        <w:t>mmHg</w:t>
      </w:r>
      <w:r>
        <w:rPr>
          <w:rFonts w:ascii="Times New Roman" w:eastAsia="Times New Roman" w:hAnsi="Times New Roman" w:cs="Times New Roman"/>
          <w:spacing w:val="23"/>
          <w:sz w:val="22"/>
          <w:szCs w:val="22"/>
        </w:rPr>
        <w:t>)</w:t>
      </w:r>
      <w:r>
        <w:rPr>
          <w:rFonts w:ascii="Times New Roman" w:eastAsia="Times New Roman" w:hAnsi="Times New Roman" w:cs="Times New Roman"/>
          <w:spacing w:val="12"/>
          <w:sz w:val="22"/>
          <w:szCs w:val="22"/>
        </w:rPr>
        <w:t xml:space="preserve">  </w:t>
      </w:r>
      <w:r>
        <w:rPr>
          <w:rFonts w:ascii="宋体" w:eastAsia="宋体" w:hAnsi="宋体" w:cs="宋体"/>
          <w:spacing w:val="23"/>
          <w:sz w:val="22"/>
          <w:szCs w:val="22"/>
        </w:rPr>
        <w:t>而低于21</w:t>
      </w:r>
      <w:r>
        <w:rPr>
          <w:rFonts w:ascii="宋体" w:eastAsia="宋体" w:hAnsi="宋体" w:cs="宋体"/>
          <w:spacing w:val="-57"/>
          <w:sz w:val="22"/>
          <w:szCs w:val="22"/>
        </w:rPr>
        <w:t xml:space="preserve"> </w:t>
      </w:r>
      <w:r>
        <w:rPr>
          <w:rFonts w:ascii="宋体" w:eastAsia="宋体" w:hAnsi="宋体" w:cs="宋体"/>
          <w:spacing w:val="23"/>
          <w:sz w:val="22"/>
          <w:szCs w:val="22"/>
        </w:rPr>
        <w:t>.</w:t>
      </w:r>
      <w:r>
        <w:rPr>
          <w:rFonts w:ascii="宋体" w:eastAsia="宋体" w:hAnsi="宋体" w:cs="宋体"/>
          <w:spacing w:val="-58"/>
          <w:sz w:val="22"/>
          <w:szCs w:val="22"/>
        </w:rPr>
        <w:t xml:space="preserve"> </w:t>
      </w:r>
      <w:r>
        <w:rPr>
          <w:rFonts w:ascii="宋体" w:eastAsia="宋体" w:hAnsi="宋体" w:cs="宋体"/>
          <w:spacing w:val="23"/>
          <w:sz w:val="22"/>
          <w:szCs w:val="22"/>
        </w:rPr>
        <w:t>3</w:t>
      </w:r>
      <w:r>
        <w:rPr>
          <w:rFonts w:ascii="Times New Roman" w:eastAsia="Times New Roman" w:hAnsi="Times New Roman" w:cs="Times New Roman"/>
          <w:sz w:val="22"/>
          <w:szCs w:val="22"/>
        </w:rPr>
        <w:t xml:space="preserve">kPa  </w:t>
      </w:r>
      <w:r>
        <w:rPr>
          <w:rFonts w:ascii="宋体" w:eastAsia="宋体" w:hAnsi="宋体" w:cs="宋体"/>
          <w:spacing w:val="-2"/>
          <w:sz w:val="22"/>
          <w:szCs w:val="22"/>
        </w:rPr>
        <w:t>(160mmHg),</w:t>
      </w:r>
      <w:r>
        <w:rPr>
          <w:rFonts w:ascii="宋体" w:eastAsia="宋体" w:hAnsi="宋体" w:cs="宋体"/>
          <w:spacing w:val="25"/>
          <w:sz w:val="22"/>
          <w:szCs w:val="22"/>
        </w:rPr>
        <w:t xml:space="preserve">  </w:t>
      </w:r>
      <w:r>
        <w:rPr>
          <w:rFonts w:ascii="宋体" w:eastAsia="宋体" w:hAnsi="宋体" w:cs="宋体"/>
          <w:spacing w:val="-2"/>
          <w:sz w:val="22"/>
          <w:szCs w:val="22"/>
        </w:rPr>
        <w:t>舒张压高于12kPa(90mmHg)</w:t>
      </w:r>
      <w:r>
        <w:rPr>
          <w:rFonts w:ascii="宋体" w:eastAsia="宋体" w:hAnsi="宋体" w:cs="宋体"/>
          <w:spacing w:val="6"/>
          <w:sz w:val="22"/>
          <w:szCs w:val="22"/>
        </w:rPr>
        <w:t xml:space="preserve">   </w:t>
      </w:r>
      <w:r>
        <w:rPr>
          <w:rFonts w:ascii="宋体" w:eastAsia="宋体" w:hAnsi="宋体" w:cs="宋体"/>
          <w:spacing w:val="-2"/>
          <w:sz w:val="22"/>
          <w:szCs w:val="22"/>
        </w:rPr>
        <w:t>而低于12.6kPa(95mmHg)。</w:t>
      </w:r>
    </w:p>
    <w:p w:rsidR="00EA40A3" w:rsidRDefault="00E86C16">
      <w:pPr>
        <w:spacing w:before="38" w:line="246" w:lineRule="auto"/>
        <w:ind w:right="63" w:firstLine="419"/>
        <w:rPr>
          <w:rFonts w:ascii="宋体" w:eastAsia="宋体" w:hAnsi="宋体" w:cs="宋体"/>
          <w:sz w:val="22"/>
          <w:szCs w:val="22"/>
        </w:rPr>
      </w:pPr>
      <w:r>
        <w:rPr>
          <w:rFonts w:ascii="宋体" w:eastAsia="宋体" w:hAnsi="宋体" w:cs="宋体"/>
          <w:spacing w:val="-13"/>
          <w:sz w:val="22"/>
          <w:szCs w:val="22"/>
        </w:rPr>
        <w:t>高血压可分为原发性高血压</w:t>
      </w:r>
      <w:r>
        <w:rPr>
          <w:rFonts w:ascii="宋体" w:eastAsia="宋体" w:hAnsi="宋体" w:cs="宋体"/>
          <w:spacing w:val="-16"/>
          <w:sz w:val="22"/>
          <w:szCs w:val="22"/>
        </w:rPr>
        <w:t xml:space="preserve"> </w:t>
      </w:r>
      <w:r>
        <w:rPr>
          <w:rFonts w:ascii="宋体" w:eastAsia="宋体" w:hAnsi="宋体" w:cs="宋体"/>
          <w:spacing w:val="-13"/>
          <w:sz w:val="22"/>
          <w:szCs w:val="22"/>
        </w:rPr>
        <w:t>(</w:t>
      </w:r>
      <w:r>
        <w:rPr>
          <w:rFonts w:ascii="宋体" w:eastAsia="宋体" w:hAnsi="宋体" w:cs="宋体"/>
          <w:spacing w:val="-12"/>
          <w:sz w:val="22"/>
          <w:szCs w:val="22"/>
        </w:rPr>
        <w:t>essential</w:t>
      </w:r>
      <w:r>
        <w:rPr>
          <w:rFonts w:ascii="宋体" w:eastAsia="宋体" w:hAnsi="宋体" w:cs="宋体"/>
          <w:spacing w:val="-11"/>
          <w:sz w:val="22"/>
          <w:szCs w:val="22"/>
        </w:rPr>
        <w:t xml:space="preserve"> </w:t>
      </w:r>
      <w:r>
        <w:rPr>
          <w:rFonts w:ascii="宋体" w:eastAsia="宋体" w:hAnsi="宋体" w:cs="宋体"/>
          <w:spacing w:val="-12"/>
          <w:sz w:val="22"/>
          <w:szCs w:val="22"/>
        </w:rPr>
        <w:t>hypertension</w:t>
      </w:r>
      <w:r>
        <w:rPr>
          <w:rFonts w:ascii="宋体" w:eastAsia="宋体" w:hAnsi="宋体" w:cs="宋体"/>
          <w:spacing w:val="-66"/>
          <w:sz w:val="22"/>
          <w:szCs w:val="22"/>
        </w:rPr>
        <w:t xml:space="preserve"> </w:t>
      </w:r>
      <w:r>
        <w:rPr>
          <w:rFonts w:ascii="宋体" w:eastAsia="宋体" w:hAnsi="宋体" w:cs="宋体"/>
          <w:spacing w:val="-13"/>
          <w:sz w:val="22"/>
          <w:szCs w:val="22"/>
        </w:rPr>
        <w:t>或</w:t>
      </w:r>
      <w:r>
        <w:rPr>
          <w:rFonts w:ascii="宋体" w:eastAsia="宋体" w:hAnsi="宋体" w:cs="宋体"/>
          <w:spacing w:val="-19"/>
          <w:sz w:val="22"/>
          <w:szCs w:val="22"/>
        </w:rPr>
        <w:t xml:space="preserve"> </w:t>
      </w:r>
      <w:r>
        <w:rPr>
          <w:rFonts w:ascii="宋体" w:eastAsia="宋体" w:hAnsi="宋体" w:cs="宋体"/>
          <w:spacing w:val="-12"/>
          <w:sz w:val="22"/>
          <w:szCs w:val="22"/>
        </w:rPr>
        <w:t>primary</w:t>
      </w:r>
      <w:r>
        <w:rPr>
          <w:rFonts w:ascii="宋体" w:eastAsia="宋体" w:hAnsi="宋体" w:cs="宋体"/>
          <w:spacing w:val="-8"/>
          <w:sz w:val="22"/>
          <w:szCs w:val="22"/>
        </w:rPr>
        <w:t xml:space="preserve"> </w:t>
      </w:r>
      <w:r>
        <w:rPr>
          <w:rFonts w:ascii="宋体" w:eastAsia="宋体" w:hAnsi="宋体" w:cs="宋体"/>
          <w:spacing w:val="-13"/>
          <w:sz w:val="22"/>
          <w:szCs w:val="22"/>
        </w:rPr>
        <w:t>hyperten-</w:t>
      </w:r>
      <w:r>
        <w:rPr>
          <w:rFonts w:ascii="宋体" w:eastAsia="宋体" w:hAnsi="宋体" w:cs="宋体"/>
          <w:sz w:val="22"/>
          <w:szCs w:val="22"/>
        </w:rPr>
        <w:t xml:space="preserve"> </w:t>
      </w:r>
      <w:r>
        <w:rPr>
          <w:rFonts w:ascii="宋体" w:eastAsia="宋体" w:hAnsi="宋体" w:cs="宋体"/>
          <w:spacing w:val="-11"/>
          <w:sz w:val="22"/>
          <w:szCs w:val="22"/>
        </w:rPr>
        <w:t>sion</w:t>
      </w:r>
      <w:r>
        <w:rPr>
          <w:rFonts w:ascii="宋体" w:eastAsia="宋体" w:hAnsi="宋体" w:cs="宋体"/>
          <w:spacing w:val="-12"/>
          <w:sz w:val="22"/>
          <w:szCs w:val="22"/>
        </w:rPr>
        <w:t>)</w:t>
      </w:r>
      <w:r>
        <w:rPr>
          <w:rFonts w:ascii="宋体" w:eastAsia="宋体" w:hAnsi="宋体" w:cs="宋体"/>
          <w:spacing w:val="-45"/>
          <w:sz w:val="22"/>
          <w:szCs w:val="22"/>
        </w:rPr>
        <w:t xml:space="preserve"> </w:t>
      </w:r>
      <w:r>
        <w:rPr>
          <w:rFonts w:ascii="宋体" w:eastAsia="宋体" w:hAnsi="宋体" w:cs="宋体"/>
          <w:spacing w:val="-12"/>
          <w:sz w:val="22"/>
          <w:szCs w:val="22"/>
        </w:rPr>
        <w:t>和继发性高血压</w:t>
      </w:r>
      <w:r>
        <w:rPr>
          <w:rFonts w:ascii="宋体" w:eastAsia="宋体" w:hAnsi="宋体" w:cs="宋体"/>
          <w:spacing w:val="-31"/>
          <w:sz w:val="22"/>
          <w:szCs w:val="22"/>
        </w:rPr>
        <w:t xml:space="preserve"> </w:t>
      </w:r>
      <w:r>
        <w:rPr>
          <w:rFonts w:ascii="宋体" w:eastAsia="宋体" w:hAnsi="宋体" w:cs="宋体"/>
          <w:spacing w:val="-12"/>
          <w:sz w:val="22"/>
          <w:szCs w:val="22"/>
        </w:rPr>
        <w:t>(</w:t>
      </w:r>
      <w:r>
        <w:rPr>
          <w:rFonts w:ascii="宋体" w:eastAsia="宋体" w:hAnsi="宋体" w:cs="宋体"/>
          <w:spacing w:val="-11"/>
          <w:sz w:val="22"/>
          <w:szCs w:val="22"/>
        </w:rPr>
        <w:t>secondary</w:t>
      </w:r>
      <w:r>
        <w:rPr>
          <w:rFonts w:ascii="宋体" w:eastAsia="宋体" w:hAnsi="宋体" w:cs="宋体"/>
          <w:spacing w:val="-6"/>
          <w:sz w:val="22"/>
          <w:szCs w:val="22"/>
        </w:rPr>
        <w:t xml:space="preserve"> </w:t>
      </w:r>
      <w:r>
        <w:rPr>
          <w:rFonts w:ascii="宋体" w:eastAsia="宋体" w:hAnsi="宋体" w:cs="宋体"/>
          <w:spacing w:val="-11"/>
          <w:sz w:val="22"/>
          <w:szCs w:val="22"/>
        </w:rPr>
        <w:t>hypertensio</w:t>
      </w:r>
      <w:r>
        <w:rPr>
          <w:rFonts w:ascii="宋体" w:eastAsia="宋体" w:hAnsi="宋体" w:cs="宋体"/>
          <w:spacing w:val="-12"/>
          <w:sz w:val="22"/>
          <w:szCs w:val="22"/>
        </w:rPr>
        <w:t>n)。</w:t>
      </w:r>
      <w:r>
        <w:rPr>
          <w:rFonts w:ascii="宋体" w:eastAsia="宋体" w:hAnsi="宋体" w:cs="宋体"/>
          <w:spacing w:val="-40"/>
          <w:sz w:val="22"/>
          <w:szCs w:val="22"/>
        </w:rPr>
        <w:t xml:space="preserve"> </w:t>
      </w:r>
      <w:r>
        <w:rPr>
          <w:rFonts w:ascii="宋体" w:eastAsia="宋体" w:hAnsi="宋体" w:cs="宋体"/>
          <w:spacing w:val="-12"/>
          <w:sz w:val="22"/>
          <w:szCs w:val="22"/>
        </w:rPr>
        <w:t>后者由某些疾病如慢性肾小</w:t>
      </w:r>
      <w:r>
        <w:rPr>
          <w:rFonts w:ascii="宋体" w:eastAsia="宋体" w:hAnsi="宋体" w:cs="宋体"/>
          <w:sz w:val="22"/>
          <w:szCs w:val="22"/>
        </w:rPr>
        <w:t xml:space="preserve"> </w:t>
      </w:r>
      <w:r>
        <w:rPr>
          <w:rFonts w:ascii="宋体" w:eastAsia="宋体" w:hAnsi="宋体" w:cs="宋体"/>
          <w:spacing w:val="-17"/>
          <w:sz w:val="22"/>
          <w:szCs w:val="22"/>
        </w:rPr>
        <w:t>球肾炎、肾动脉狭窄、肾上腺和垂体的肿瘤等引起，又称为症状性高血压。</w:t>
      </w:r>
      <w:r>
        <w:rPr>
          <w:rFonts w:ascii="宋体" w:eastAsia="宋体" w:hAnsi="宋体" w:cs="宋体"/>
          <w:spacing w:val="42"/>
          <w:sz w:val="22"/>
          <w:szCs w:val="22"/>
        </w:rPr>
        <w:t xml:space="preserve"> </w:t>
      </w:r>
      <w:r>
        <w:rPr>
          <w:rFonts w:ascii="宋体" w:eastAsia="宋体" w:hAnsi="宋体" w:cs="宋体"/>
          <w:spacing w:val="-17"/>
          <w:sz w:val="22"/>
          <w:szCs w:val="22"/>
        </w:rPr>
        <w:t>一般</w:t>
      </w:r>
      <w:r>
        <w:rPr>
          <w:rFonts w:ascii="宋体" w:eastAsia="宋体" w:hAnsi="宋体" w:cs="宋体"/>
          <w:sz w:val="22"/>
          <w:szCs w:val="22"/>
        </w:rPr>
        <w:t xml:space="preserve"> </w:t>
      </w:r>
      <w:r>
        <w:rPr>
          <w:rFonts w:ascii="宋体" w:eastAsia="宋体" w:hAnsi="宋体" w:cs="宋体"/>
          <w:spacing w:val="-13"/>
          <w:sz w:val="22"/>
          <w:szCs w:val="22"/>
        </w:rPr>
        <w:t>认为原发性高血压的病因是由于遗传与环境因素的共同作用，环境因素以饮食营</w:t>
      </w:r>
      <w:r>
        <w:rPr>
          <w:rFonts w:ascii="宋体" w:eastAsia="宋体" w:hAnsi="宋体" w:cs="宋体"/>
          <w:spacing w:val="17"/>
          <w:sz w:val="22"/>
          <w:szCs w:val="22"/>
        </w:rPr>
        <w:t xml:space="preserve"> </w:t>
      </w:r>
      <w:r>
        <w:rPr>
          <w:rFonts w:ascii="宋体" w:eastAsia="宋体" w:hAnsi="宋体" w:cs="宋体"/>
          <w:spacing w:val="-15"/>
          <w:sz w:val="22"/>
          <w:szCs w:val="22"/>
        </w:rPr>
        <w:t>养因素最重要，它可对高血压的发病起决定性影响。</w:t>
      </w:r>
    </w:p>
    <w:p w:rsidR="00EA40A3" w:rsidRDefault="00E86C16">
      <w:pPr>
        <w:spacing w:before="68"/>
        <w:ind w:right="65" w:firstLine="419"/>
        <w:rPr>
          <w:rFonts w:ascii="宋体" w:eastAsia="宋体" w:hAnsi="宋体" w:cs="宋体"/>
          <w:sz w:val="22"/>
          <w:szCs w:val="22"/>
        </w:rPr>
      </w:pPr>
      <w:r>
        <w:rPr>
          <w:rFonts w:ascii="宋体" w:eastAsia="宋体" w:hAnsi="宋体" w:cs="宋体"/>
          <w:spacing w:val="-14"/>
          <w:sz w:val="22"/>
          <w:szCs w:val="22"/>
        </w:rPr>
        <w:t>高血压对脏器的损害和引起的病变是一个漫长的过程，是高血压中、晚期的</w:t>
      </w:r>
      <w:r>
        <w:rPr>
          <w:rFonts w:ascii="宋体" w:eastAsia="宋体" w:hAnsi="宋体" w:cs="宋体"/>
          <w:spacing w:val="7"/>
          <w:sz w:val="22"/>
          <w:szCs w:val="22"/>
        </w:rPr>
        <w:t xml:space="preserve"> </w:t>
      </w:r>
      <w:r>
        <w:rPr>
          <w:rFonts w:ascii="宋体" w:eastAsia="宋体" w:hAnsi="宋体" w:cs="宋体"/>
          <w:spacing w:val="-13"/>
          <w:sz w:val="22"/>
          <w:szCs w:val="22"/>
        </w:rPr>
        <w:t>一系列合并症。高血压常累及腹腔器官、视网膜及肾上腺包膜的细动脉等。由于</w:t>
      </w:r>
    </w:p>
    <w:p w:rsidR="00EA40A3" w:rsidRDefault="00E86C16">
      <w:pPr>
        <w:spacing w:before="45"/>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366</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footerReference w:type="default" r:id="rId297"/>
          <w:pgSz w:w="9220" w:h="13360"/>
          <w:pgMar w:top="400" w:right="1002" w:bottom="400" w:left="890" w:header="0" w:footer="0" w:gutter="0"/>
          <w:cols w:space="720"/>
        </w:sectPr>
      </w:pPr>
    </w:p>
    <w:p w:rsidR="00EA40A3" w:rsidRDefault="00EA40A3">
      <w:pPr>
        <w:spacing w:line="267" w:lineRule="auto"/>
      </w:pPr>
    </w:p>
    <w:p w:rsidR="00EA40A3" w:rsidRDefault="00EA40A3">
      <w:pPr>
        <w:spacing w:line="268" w:lineRule="auto"/>
      </w:pPr>
    </w:p>
    <w:p w:rsidR="00EA40A3" w:rsidRDefault="00E86C16">
      <w:pPr>
        <w:spacing w:before="72" w:line="245" w:lineRule="auto"/>
        <w:ind w:right="28"/>
        <w:jc w:val="both"/>
        <w:rPr>
          <w:rFonts w:ascii="宋体" w:eastAsia="宋体" w:hAnsi="宋体" w:cs="宋体"/>
          <w:sz w:val="22"/>
          <w:szCs w:val="22"/>
        </w:rPr>
      </w:pPr>
      <w:bookmarkStart w:id="90" w:name="_bookmark94"/>
      <w:bookmarkEnd w:id="90"/>
      <w:r>
        <w:rPr>
          <w:rFonts w:ascii="宋体" w:eastAsia="宋体" w:hAnsi="宋体" w:cs="宋体"/>
          <w:spacing w:val="-18"/>
          <w:sz w:val="22"/>
          <w:szCs w:val="22"/>
        </w:rPr>
        <w:t>细动脉反复痉挛，血管内压持续升高，形成</w:t>
      </w:r>
      <w:r>
        <w:rPr>
          <w:rFonts w:ascii="宋体" w:eastAsia="宋体" w:hAnsi="宋体" w:cs="宋体"/>
          <w:spacing w:val="-19"/>
          <w:sz w:val="22"/>
          <w:szCs w:val="22"/>
        </w:rPr>
        <w:t>细动脉硬化</w:t>
      </w:r>
      <w:r>
        <w:rPr>
          <w:rFonts w:ascii="宋体" w:eastAsia="宋体" w:hAnsi="宋体" w:cs="宋体"/>
          <w:spacing w:val="-20"/>
          <w:sz w:val="22"/>
          <w:szCs w:val="22"/>
        </w:rPr>
        <w:t xml:space="preserve"> </w:t>
      </w:r>
      <w:r>
        <w:rPr>
          <w:rFonts w:ascii="宋体" w:eastAsia="宋体" w:hAnsi="宋体" w:cs="宋体"/>
          <w:spacing w:val="-19"/>
          <w:sz w:val="22"/>
          <w:szCs w:val="22"/>
        </w:rPr>
        <w:t>(</w:t>
      </w:r>
      <w:r>
        <w:rPr>
          <w:rFonts w:ascii="宋体" w:eastAsia="宋体" w:hAnsi="宋体" w:cs="宋体"/>
          <w:spacing w:val="-18"/>
          <w:sz w:val="22"/>
          <w:szCs w:val="22"/>
        </w:rPr>
        <w:t>arteriolosclerosis</w:t>
      </w:r>
      <w:r>
        <w:rPr>
          <w:rFonts w:ascii="宋体" w:eastAsia="宋体" w:hAnsi="宋体" w:cs="宋体"/>
          <w:spacing w:val="-19"/>
          <w:sz w:val="22"/>
          <w:szCs w:val="22"/>
        </w:rPr>
        <w:t>)。</w:t>
      </w:r>
      <w:r>
        <w:rPr>
          <w:rFonts w:ascii="宋体" w:eastAsia="宋体" w:hAnsi="宋体" w:cs="宋体"/>
          <w:spacing w:val="-45"/>
          <w:sz w:val="22"/>
          <w:szCs w:val="22"/>
        </w:rPr>
        <w:t xml:space="preserve"> </w:t>
      </w:r>
      <w:r>
        <w:rPr>
          <w:rFonts w:ascii="宋体" w:eastAsia="宋体" w:hAnsi="宋体" w:cs="宋体"/>
          <w:spacing w:val="-19"/>
          <w:sz w:val="22"/>
          <w:szCs w:val="22"/>
        </w:rPr>
        <w:t>随</w:t>
      </w:r>
      <w:r>
        <w:rPr>
          <w:rFonts w:ascii="宋体" w:eastAsia="宋体" w:hAnsi="宋体" w:cs="宋体"/>
          <w:sz w:val="22"/>
          <w:szCs w:val="22"/>
        </w:rPr>
        <w:t xml:space="preserve"> </w:t>
      </w:r>
      <w:r>
        <w:rPr>
          <w:rFonts w:ascii="宋体" w:eastAsia="宋体" w:hAnsi="宋体" w:cs="宋体"/>
          <w:spacing w:val="-11"/>
          <w:sz w:val="22"/>
          <w:szCs w:val="22"/>
        </w:rPr>
        <w:t>着疾病的发展，还会累及冠状动脉、脑动脉及肾动脉，管腔可有某种程度狭窄。</w:t>
      </w:r>
      <w:r>
        <w:rPr>
          <w:rFonts w:ascii="宋体" w:eastAsia="宋体" w:hAnsi="宋体" w:cs="宋体"/>
          <w:spacing w:val="4"/>
          <w:sz w:val="22"/>
          <w:szCs w:val="22"/>
        </w:rPr>
        <w:t xml:space="preserve"> </w:t>
      </w:r>
      <w:r>
        <w:rPr>
          <w:rFonts w:ascii="宋体" w:eastAsia="宋体" w:hAnsi="宋体" w:cs="宋体"/>
          <w:spacing w:val="-13"/>
          <w:sz w:val="22"/>
          <w:szCs w:val="22"/>
        </w:rPr>
        <w:t>相应导致的病症可能有：冠心病及缺血性心脏病，肾功能或尿毒症，脑出血、高</w:t>
      </w:r>
      <w:r>
        <w:rPr>
          <w:rFonts w:ascii="宋体" w:eastAsia="宋体" w:hAnsi="宋体" w:cs="宋体"/>
          <w:spacing w:val="13"/>
          <w:sz w:val="22"/>
          <w:szCs w:val="22"/>
        </w:rPr>
        <w:t xml:space="preserve"> </w:t>
      </w:r>
      <w:r>
        <w:rPr>
          <w:rFonts w:ascii="宋体" w:eastAsia="宋体" w:hAnsi="宋体" w:cs="宋体"/>
          <w:spacing w:val="-11"/>
          <w:sz w:val="22"/>
          <w:szCs w:val="22"/>
        </w:rPr>
        <w:t>血压脑病和腔隙性梗死等脑血管病以及对视网膜损害造成的出血、渗出、水肿，</w:t>
      </w:r>
      <w:r>
        <w:rPr>
          <w:rFonts w:ascii="宋体" w:eastAsia="宋体" w:hAnsi="宋体" w:cs="宋体"/>
          <w:spacing w:val="4"/>
          <w:sz w:val="22"/>
          <w:szCs w:val="22"/>
        </w:rPr>
        <w:t xml:space="preserve"> </w:t>
      </w:r>
      <w:r>
        <w:rPr>
          <w:rFonts w:ascii="宋体" w:eastAsia="宋体" w:hAnsi="宋体" w:cs="宋体"/>
          <w:spacing w:val="-14"/>
          <w:sz w:val="22"/>
          <w:szCs w:val="22"/>
        </w:rPr>
        <w:t>从而导致视觉障碍，如视物不清、视物变形或变小等。</w:t>
      </w:r>
    </w:p>
    <w:p w:rsidR="00EA40A3" w:rsidRDefault="00E86C16">
      <w:pPr>
        <w:spacing w:before="235" w:line="222" w:lineRule="auto"/>
        <w:ind w:left="3"/>
        <w:outlineLvl w:val="6"/>
        <w:rPr>
          <w:rFonts w:ascii="黑体" w:eastAsia="黑体" w:hAnsi="黑体" w:cs="黑体"/>
          <w:sz w:val="22"/>
          <w:szCs w:val="22"/>
        </w:rPr>
      </w:pPr>
      <w:r>
        <w:rPr>
          <w:rFonts w:ascii="黑体" w:eastAsia="黑体" w:hAnsi="黑体" w:cs="黑体"/>
          <w:b/>
          <w:bCs/>
          <w:spacing w:val="5"/>
          <w:sz w:val="22"/>
          <w:szCs w:val="22"/>
        </w:rPr>
        <w:t>11.5.2</w:t>
      </w:r>
      <w:r>
        <w:rPr>
          <w:rFonts w:ascii="黑体" w:eastAsia="黑体" w:hAnsi="黑体" w:cs="黑体"/>
          <w:spacing w:val="34"/>
          <w:sz w:val="22"/>
          <w:szCs w:val="22"/>
        </w:rPr>
        <w:t xml:space="preserve">  </w:t>
      </w:r>
      <w:r>
        <w:rPr>
          <w:rFonts w:ascii="黑体" w:eastAsia="黑体" w:hAnsi="黑体" w:cs="黑体"/>
          <w:b/>
          <w:bCs/>
          <w:spacing w:val="5"/>
          <w:sz w:val="22"/>
          <w:szCs w:val="22"/>
        </w:rPr>
        <w:t>高血压病的病因</w:t>
      </w:r>
    </w:p>
    <w:p w:rsidR="00EA40A3" w:rsidRDefault="00E86C16">
      <w:pPr>
        <w:spacing w:before="176" w:line="244" w:lineRule="auto"/>
        <w:ind w:right="66" w:firstLine="439"/>
        <w:jc w:val="both"/>
        <w:rPr>
          <w:rFonts w:ascii="宋体" w:eastAsia="宋体" w:hAnsi="宋体" w:cs="宋体"/>
          <w:sz w:val="22"/>
          <w:szCs w:val="22"/>
        </w:rPr>
      </w:pPr>
      <w:r>
        <w:rPr>
          <w:rFonts w:ascii="宋体" w:eastAsia="宋体" w:hAnsi="宋体" w:cs="宋体"/>
          <w:spacing w:val="-18"/>
          <w:sz w:val="22"/>
          <w:szCs w:val="22"/>
        </w:rPr>
        <w:t>高血压病的发病机制目前还不完全清楚，</w:t>
      </w:r>
      <w:r>
        <w:rPr>
          <w:rFonts w:ascii="宋体" w:eastAsia="宋体" w:hAnsi="宋体" w:cs="宋体"/>
          <w:spacing w:val="65"/>
          <w:sz w:val="22"/>
          <w:szCs w:val="22"/>
        </w:rPr>
        <w:t xml:space="preserve"> </w:t>
      </w:r>
      <w:r>
        <w:rPr>
          <w:rFonts w:ascii="宋体" w:eastAsia="宋体" w:hAnsi="宋体" w:cs="宋体"/>
          <w:spacing w:val="-18"/>
          <w:sz w:val="22"/>
          <w:szCs w:val="22"/>
        </w:rPr>
        <w:t>一般认为，其发病的主要环节在于</w:t>
      </w:r>
      <w:r>
        <w:rPr>
          <w:rFonts w:ascii="宋体" w:eastAsia="宋体" w:hAnsi="宋体" w:cs="宋体"/>
          <w:sz w:val="22"/>
          <w:szCs w:val="22"/>
        </w:rPr>
        <w:t xml:space="preserve"> </w:t>
      </w:r>
      <w:r>
        <w:rPr>
          <w:rFonts w:ascii="宋体" w:eastAsia="宋体" w:hAnsi="宋体" w:cs="宋体"/>
          <w:spacing w:val="-12"/>
          <w:sz w:val="22"/>
          <w:szCs w:val="22"/>
        </w:rPr>
        <w:t>小动脉痉挛使外周阻力增加、血压升高，而小动脉</w:t>
      </w:r>
      <w:r>
        <w:rPr>
          <w:rFonts w:ascii="宋体" w:eastAsia="宋体" w:hAnsi="宋体" w:cs="宋体"/>
          <w:spacing w:val="-13"/>
          <w:sz w:val="22"/>
          <w:szCs w:val="22"/>
        </w:rPr>
        <w:t>痉挛的发生是大脑皮层兴奋和</w:t>
      </w:r>
      <w:r>
        <w:rPr>
          <w:rFonts w:ascii="宋体" w:eastAsia="宋体" w:hAnsi="宋体" w:cs="宋体"/>
          <w:sz w:val="22"/>
          <w:szCs w:val="22"/>
        </w:rPr>
        <w:t xml:space="preserve"> </w:t>
      </w:r>
      <w:r>
        <w:rPr>
          <w:rFonts w:ascii="宋体" w:eastAsia="宋体" w:hAnsi="宋体" w:cs="宋体"/>
          <w:spacing w:val="-13"/>
          <w:sz w:val="22"/>
          <w:szCs w:val="22"/>
        </w:rPr>
        <w:t>抑制过程平衡失调的结果。在疾病的早期，血压升高往往不稳定，容易受情绪活</w:t>
      </w:r>
      <w:r>
        <w:rPr>
          <w:rFonts w:ascii="宋体" w:eastAsia="宋体" w:hAnsi="宋体" w:cs="宋体"/>
          <w:spacing w:val="12"/>
          <w:sz w:val="22"/>
          <w:szCs w:val="22"/>
        </w:rPr>
        <w:t xml:space="preserve"> </w:t>
      </w:r>
      <w:r>
        <w:rPr>
          <w:rFonts w:ascii="宋体" w:eastAsia="宋体" w:hAnsi="宋体" w:cs="宋体"/>
          <w:spacing w:val="-14"/>
          <w:sz w:val="22"/>
          <w:szCs w:val="22"/>
        </w:rPr>
        <w:t>动和睡眠多少等因素的影响，但随着疾病的发展，血压升高逐渐趋向稳定。</w:t>
      </w:r>
    </w:p>
    <w:p w:rsidR="00EA40A3" w:rsidRDefault="00E86C16">
      <w:pPr>
        <w:spacing w:before="228" w:line="223"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6"/>
          <w:sz w:val="22"/>
          <w:szCs w:val="22"/>
        </w:rPr>
        <w:t xml:space="preserve"> </w:t>
      </w:r>
      <w:r>
        <w:rPr>
          <w:rFonts w:ascii="仿宋" w:eastAsia="仿宋" w:hAnsi="仿宋" w:cs="仿宋"/>
          <w:spacing w:val="8"/>
          <w:sz w:val="22"/>
          <w:szCs w:val="22"/>
        </w:rPr>
        <w:t>遗传因素</w:t>
      </w:r>
    </w:p>
    <w:p w:rsidR="00EA40A3" w:rsidRDefault="00E86C16">
      <w:pPr>
        <w:spacing w:before="171" w:line="250" w:lineRule="auto"/>
        <w:ind w:right="57" w:firstLine="439"/>
        <w:rPr>
          <w:rFonts w:ascii="宋体" w:eastAsia="宋体" w:hAnsi="宋体" w:cs="宋体"/>
          <w:sz w:val="22"/>
          <w:szCs w:val="22"/>
        </w:rPr>
      </w:pPr>
      <w:r>
        <w:rPr>
          <w:rFonts w:ascii="宋体" w:eastAsia="宋体" w:hAnsi="宋体" w:cs="宋体"/>
          <w:spacing w:val="-12"/>
          <w:sz w:val="22"/>
          <w:szCs w:val="22"/>
        </w:rPr>
        <w:t>原发性高血压患者约75%具有遗传素质</w:t>
      </w:r>
      <w:r>
        <w:rPr>
          <w:rFonts w:ascii="宋体" w:eastAsia="宋体" w:hAnsi="宋体" w:cs="宋体"/>
          <w:spacing w:val="-25"/>
          <w:sz w:val="22"/>
          <w:szCs w:val="22"/>
        </w:rPr>
        <w:t xml:space="preserve"> </w:t>
      </w:r>
      <w:r>
        <w:rPr>
          <w:rFonts w:ascii="宋体" w:eastAsia="宋体" w:hAnsi="宋体" w:cs="宋体"/>
          <w:spacing w:val="-12"/>
          <w:sz w:val="22"/>
          <w:szCs w:val="22"/>
        </w:rPr>
        <w:t>(genetic</w:t>
      </w:r>
      <w:r>
        <w:rPr>
          <w:rFonts w:ascii="宋体" w:eastAsia="宋体" w:hAnsi="宋体" w:cs="宋体"/>
          <w:spacing w:val="-13"/>
          <w:sz w:val="22"/>
          <w:szCs w:val="22"/>
        </w:rPr>
        <w:t xml:space="preserve"> </w:t>
      </w:r>
      <w:r>
        <w:rPr>
          <w:rFonts w:ascii="宋体" w:eastAsia="宋体" w:hAnsi="宋体" w:cs="宋体"/>
          <w:spacing w:val="-12"/>
          <w:sz w:val="22"/>
          <w:szCs w:val="22"/>
        </w:rPr>
        <w:t>predisposition)</w:t>
      </w:r>
      <w:r>
        <w:rPr>
          <w:rFonts w:ascii="宋体" w:eastAsia="宋体" w:hAnsi="宋体" w:cs="宋体"/>
          <w:spacing w:val="-13"/>
          <w:sz w:val="22"/>
          <w:szCs w:val="22"/>
        </w:rPr>
        <w:t>,</w:t>
      </w:r>
      <w:r>
        <w:rPr>
          <w:rFonts w:ascii="宋体" w:eastAsia="宋体" w:hAnsi="宋体" w:cs="宋体"/>
          <w:spacing w:val="-47"/>
          <w:sz w:val="22"/>
          <w:szCs w:val="22"/>
        </w:rPr>
        <w:t xml:space="preserve"> </w:t>
      </w:r>
      <w:r>
        <w:rPr>
          <w:rFonts w:ascii="宋体" w:eastAsia="宋体" w:hAnsi="宋体" w:cs="宋体"/>
          <w:spacing w:val="-13"/>
          <w:sz w:val="22"/>
          <w:szCs w:val="22"/>
        </w:rPr>
        <w:t>同一家族</w:t>
      </w:r>
      <w:r>
        <w:rPr>
          <w:rFonts w:ascii="宋体" w:eastAsia="宋体" w:hAnsi="宋体" w:cs="宋体"/>
          <w:sz w:val="22"/>
          <w:szCs w:val="22"/>
        </w:rPr>
        <w:t xml:space="preserve"> </w:t>
      </w:r>
      <w:r>
        <w:rPr>
          <w:rFonts w:ascii="宋体" w:eastAsia="宋体" w:hAnsi="宋体" w:cs="宋体"/>
          <w:spacing w:val="-4"/>
          <w:sz w:val="22"/>
          <w:szCs w:val="22"/>
        </w:rPr>
        <w:t>中高血压患者常集中出现。双亲血压均正常者，子女患高血压的概率是3%,父</w:t>
      </w:r>
      <w:r>
        <w:rPr>
          <w:rFonts w:ascii="宋体" w:eastAsia="宋体" w:hAnsi="宋体" w:cs="宋体"/>
          <w:spacing w:val="8"/>
          <w:sz w:val="22"/>
          <w:szCs w:val="22"/>
        </w:rPr>
        <w:t xml:space="preserve"> </w:t>
      </w:r>
      <w:r>
        <w:rPr>
          <w:rFonts w:ascii="宋体" w:eastAsia="宋体" w:hAnsi="宋体" w:cs="宋体"/>
          <w:sz w:val="22"/>
          <w:szCs w:val="22"/>
        </w:rPr>
        <w:t>母一方患高压病者，子女患高血压的概率是28%,而双亲</w:t>
      </w:r>
      <w:r>
        <w:rPr>
          <w:rFonts w:ascii="宋体" w:eastAsia="宋体" w:hAnsi="宋体" w:cs="宋体"/>
          <w:spacing w:val="-1"/>
          <w:sz w:val="22"/>
          <w:szCs w:val="22"/>
        </w:rPr>
        <w:t>均为高血压者，其子</w:t>
      </w:r>
      <w:r>
        <w:rPr>
          <w:rFonts w:ascii="宋体" w:eastAsia="宋体" w:hAnsi="宋体" w:cs="宋体"/>
          <w:sz w:val="22"/>
          <w:szCs w:val="22"/>
        </w:rPr>
        <w:t xml:space="preserve"> 女患高血压的概率是45%,据信原发性高血</w:t>
      </w:r>
      <w:r>
        <w:rPr>
          <w:rFonts w:ascii="宋体" w:eastAsia="宋体" w:hAnsi="宋体" w:cs="宋体"/>
          <w:spacing w:val="-1"/>
          <w:sz w:val="22"/>
          <w:szCs w:val="22"/>
        </w:rPr>
        <w:t>压是多基因遗传病。高血压患者及</w:t>
      </w:r>
      <w:r>
        <w:rPr>
          <w:rFonts w:ascii="宋体" w:eastAsia="宋体" w:hAnsi="宋体" w:cs="宋体"/>
          <w:sz w:val="22"/>
          <w:szCs w:val="22"/>
        </w:rPr>
        <w:t xml:space="preserve"> </w:t>
      </w:r>
      <w:r>
        <w:rPr>
          <w:rFonts w:ascii="宋体" w:eastAsia="宋体" w:hAnsi="宋体" w:cs="宋体"/>
          <w:spacing w:val="-13"/>
          <w:sz w:val="22"/>
          <w:szCs w:val="22"/>
        </w:rPr>
        <w:t>有高血压家族史而血压正常者有跨膜电解质转运紊乱，其血清中有一种激素样物</w:t>
      </w:r>
      <w:r>
        <w:rPr>
          <w:rFonts w:ascii="宋体" w:eastAsia="宋体" w:hAnsi="宋体" w:cs="宋体"/>
          <w:spacing w:val="14"/>
          <w:sz w:val="22"/>
          <w:szCs w:val="22"/>
        </w:rPr>
        <w:t xml:space="preserve"> </w:t>
      </w:r>
      <w:r>
        <w:rPr>
          <w:rFonts w:ascii="宋体" w:eastAsia="宋体" w:hAnsi="宋体" w:cs="宋体"/>
          <w:sz w:val="22"/>
          <w:szCs w:val="22"/>
        </w:rPr>
        <w:t>质，可抑制</w:t>
      </w:r>
      <w:r>
        <w:rPr>
          <w:rFonts w:ascii="宋体" w:eastAsia="宋体" w:hAnsi="宋体" w:cs="宋体"/>
          <w:spacing w:val="-37"/>
          <w:sz w:val="22"/>
          <w:szCs w:val="22"/>
        </w:rPr>
        <w:t xml:space="preserve"> </w:t>
      </w:r>
      <w:r>
        <w:rPr>
          <w:rFonts w:ascii="宋体" w:eastAsia="宋体" w:hAnsi="宋体" w:cs="宋体"/>
          <w:sz w:val="22"/>
          <w:szCs w:val="22"/>
        </w:rPr>
        <w:t>Na+/K¹-ATP</w:t>
      </w:r>
      <w:r>
        <w:rPr>
          <w:rFonts w:ascii="宋体" w:eastAsia="宋体" w:hAnsi="宋体" w:cs="宋体"/>
          <w:spacing w:val="26"/>
          <w:sz w:val="22"/>
          <w:szCs w:val="22"/>
        </w:rPr>
        <w:t xml:space="preserve">  </w:t>
      </w:r>
      <w:r>
        <w:rPr>
          <w:rFonts w:ascii="宋体" w:eastAsia="宋体" w:hAnsi="宋体" w:cs="宋体"/>
          <w:sz w:val="22"/>
          <w:szCs w:val="22"/>
        </w:rPr>
        <w:t xml:space="preserve">酶活性，以致钠钾泵功能降低，导致细胞内Na+、 </w:t>
      </w:r>
      <w:r>
        <w:rPr>
          <w:rFonts w:ascii="宋体" w:eastAsia="宋体" w:hAnsi="宋体" w:cs="宋体"/>
          <w:spacing w:val="-10"/>
          <w:sz w:val="22"/>
          <w:szCs w:val="22"/>
        </w:rPr>
        <w:t>Ca²+浓度增加，动脉壁SMC</w:t>
      </w:r>
      <w:r>
        <w:rPr>
          <w:rFonts w:ascii="宋体" w:eastAsia="宋体" w:hAnsi="宋体" w:cs="宋体"/>
          <w:spacing w:val="89"/>
          <w:sz w:val="22"/>
          <w:szCs w:val="22"/>
        </w:rPr>
        <w:t xml:space="preserve"> </w:t>
      </w:r>
      <w:r>
        <w:rPr>
          <w:rFonts w:ascii="宋体" w:eastAsia="宋体" w:hAnsi="宋体" w:cs="宋体"/>
          <w:spacing w:val="-10"/>
          <w:sz w:val="22"/>
          <w:szCs w:val="22"/>
        </w:rPr>
        <w:t>收缩加强，肾上腺素能受体</w:t>
      </w:r>
      <w:r>
        <w:rPr>
          <w:rFonts w:ascii="宋体" w:eastAsia="宋体" w:hAnsi="宋体" w:cs="宋体"/>
          <w:spacing w:val="-19"/>
          <w:sz w:val="22"/>
          <w:szCs w:val="22"/>
        </w:rPr>
        <w:t xml:space="preserve"> </w:t>
      </w:r>
      <w:r>
        <w:rPr>
          <w:rFonts w:ascii="宋体" w:eastAsia="宋体" w:hAnsi="宋体" w:cs="宋体"/>
          <w:spacing w:val="-10"/>
          <w:sz w:val="22"/>
          <w:szCs w:val="22"/>
        </w:rPr>
        <w:t>(adrenergic receptor)</w:t>
      </w:r>
      <w:r>
        <w:rPr>
          <w:rFonts w:ascii="宋体" w:eastAsia="宋体" w:hAnsi="宋体" w:cs="宋体"/>
          <w:sz w:val="22"/>
          <w:szCs w:val="22"/>
        </w:rPr>
        <w:t xml:space="preserve"> </w:t>
      </w:r>
      <w:r>
        <w:rPr>
          <w:rFonts w:ascii="宋体" w:eastAsia="宋体" w:hAnsi="宋体" w:cs="宋体"/>
          <w:spacing w:val="-13"/>
          <w:sz w:val="22"/>
          <w:szCs w:val="22"/>
        </w:rPr>
        <w:t>密度增加，血管反应性加强。这些都有助于动脉血压升高。近来研究发现，血管</w:t>
      </w:r>
      <w:r>
        <w:rPr>
          <w:rFonts w:ascii="宋体" w:eastAsia="宋体" w:hAnsi="宋体" w:cs="宋体"/>
          <w:spacing w:val="15"/>
          <w:sz w:val="22"/>
          <w:szCs w:val="22"/>
        </w:rPr>
        <w:t xml:space="preserve"> </w:t>
      </w:r>
      <w:r>
        <w:rPr>
          <w:rFonts w:ascii="宋体" w:eastAsia="宋体" w:hAnsi="宋体" w:cs="宋体"/>
          <w:spacing w:val="-6"/>
          <w:sz w:val="22"/>
          <w:szCs w:val="22"/>
        </w:rPr>
        <w:t>紧张素</w:t>
      </w:r>
      <w:r>
        <w:rPr>
          <w:rFonts w:ascii="宋体" w:eastAsia="宋体" w:hAnsi="宋体" w:cs="宋体"/>
          <w:spacing w:val="-26"/>
          <w:sz w:val="22"/>
          <w:szCs w:val="22"/>
        </w:rPr>
        <w:t xml:space="preserve"> </w:t>
      </w:r>
      <w:r>
        <w:rPr>
          <w:rFonts w:ascii="宋体" w:eastAsia="宋体" w:hAnsi="宋体" w:cs="宋体"/>
          <w:spacing w:val="-6"/>
          <w:sz w:val="22"/>
          <w:szCs w:val="22"/>
        </w:rPr>
        <w:t>(AGT)</w:t>
      </w:r>
      <w:r>
        <w:rPr>
          <w:rFonts w:ascii="宋体" w:eastAsia="宋体" w:hAnsi="宋体" w:cs="宋体"/>
          <w:spacing w:val="18"/>
          <w:sz w:val="22"/>
          <w:szCs w:val="22"/>
        </w:rPr>
        <w:t xml:space="preserve">  </w:t>
      </w:r>
      <w:r>
        <w:rPr>
          <w:rFonts w:ascii="宋体" w:eastAsia="宋体" w:hAnsi="宋体" w:cs="宋体"/>
          <w:spacing w:val="-6"/>
          <w:sz w:val="22"/>
          <w:szCs w:val="22"/>
        </w:rPr>
        <w:t>基因可能有15种缺陷，正</w:t>
      </w:r>
      <w:r>
        <w:rPr>
          <w:rFonts w:ascii="宋体" w:eastAsia="宋体" w:hAnsi="宋体" w:cs="宋体"/>
          <w:spacing w:val="-7"/>
          <w:sz w:val="22"/>
          <w:szCs w:val="22"/>
        </w:rPr>
        <w:t>常血压的人偶见缺陷，而高血压患者</w:t>
      </w:r>
      <w:r>
        <w:rPr>
          <w:rFonts w:ascii="宋体" w:eastAsia="宋体" w:hAnsi="宋体" w:cs="宋体"/>
          <w:spacing w:val="1"/>
          <w:sz w:val="22"/>
          <w:szCs w:val="22"/>
        </w:rPr>
        <w:t xml:space="preserve"> </w:t>
      </w:r>
      <w:r>
        <w:rPr>
          <w:rFonts w:ascii="宋体" w:eastAsia="宋体" w:hAnsi="宋体" w:cs="宋体"/>
          <w:spacing w:val="-7"/>
          <w:sz w:val="22"/>
          <w:szCs w:val="22"/>
        </w:rPr>
        <w:t>在</w:t>
      </w:r>
      <w:r>
        <w:rPr>
          <w:rFonts w:ascii="宋体" w:eastAsia="宋体" w:hAnsi="宋体" w:cs="宋体"/>
          <w:spacing w:val="-50"/>
          <w:sz w:val="22"/>
          <w:szCs w:val="22"/>
        </w:rPr>
        <w:t xml:space="preserve"> </w:t>
      </w:r>
      <w:r>
        <w:rPr>
          <w:rFonts w:ascii="宋体" w:eastAsia="宋体" w:hAnsi="宋体" w:cs="宋体"/>
          <w:spacing w:val="-7"/>
          <w:sz w:val="22"/>
          <w:szCs w:val="22"/>
        </w:rPr>
        <w:t>AGT</w:t>
      </w:r>
      <w:r>
        <w:rPr>
          <w:rFonts w:ascii="宋体" w:eastAsia="宋体" w:hAnsi="宋体" w:cs="宋体"/>
          <w:spacing w:val="72"/>
          <w:sz w:val="22"/>
          <w:szCs w:val="22"/>
        </w:rPr>
        <w:t xml:space="preserve"> </w:t>
      </w:r>
      <w:r>
        <w:rPr>
          <w:rFonts w:ascii="宋体" w:eastAsia="宋体" w:hAnsi="宋体" w:cs="宋体"/>
          <w:spacing w:val="-7"/>
          <w:sz w:val="22"/>
          <w:szCs w:val="22"/>
        </w:rPr>
        <w:t>基因上的3个特定部位均有相同的变异。患高血压的兄弟或姐妹可获得</w:t>
      </w:r>
      <w:r>
        <w:rPr>
          <w:rFonts w:ascii="宋体" w:eastAsia="宋体" w:hAnsi="宋体" w:cs="宋体"/>
          <w:sz w:val="22"/>
          <w:szCs w:val="22"/>
        </w:rPr>
        <w:t xml:space="preserve"> </w:t>
      </w:r>
      <w:r>
        <w:rPr>
          <w:rFonts w:ascii="宋体" w:eastAsia="宋体" w:hAnsi="宋体" w:cs="宋体"/>
          <w:spacing w:val="-8"/>
          <w:sz w:val="22"/>
          <w:szCs w:val="22"/>
        </w:rPr>
        <w:t>父母的AGT</w:t>
      </w:r>
      <w:r>
        <w:rPr>
          <w:rFonts w:ascii="宋体" w:eastAsia="宋体" w:hAnsi="宋体" w:cs="宋体"/>
          <w:spacing w:val="61"/>
          <w:sz w:val="22"/>
          <w:szCs w:val="22"/>
        </w:rPr>
        <w:t xml:space="preserve"> </w:t>
      </w:r>
      <w:r>
        <w:rPr>
          <w:rFonts w:ascii="宋体" w:eastAsia="宋体" w:hAnsi="宋体" w:cs="宋体"/>
          <w:spacing w:val="-8"/>
          <w:sz w:val="22"/>
          <w:szCs w:val="22"/>
        </w:rPr>
        <w:t>基因的同一拷贝。有这种遗传缺陷的高血压患者，其血浆血</w:t>
      </w:r>
      <w:r>
        <w:rPr>
          <w:rFonts w:ascii="宋体" w:eastAsia="宋体" w:hAnsi="宋体" w:cs="宋体"/>
          <w:spacing w:val="-9"/>
          <w:sz w:val="22"/>
          <w:szCs w:val="22"/>
        </w:rPr>
        <w:t>管紧张</w:t>
      </w:r>
      <w:r>
        <w:rPr>
          <w:rFonts w:ascii="宋体" w:eastAsia="宋体" w:hAnsi="宋体" w:cs="宋体"/>
          <w:sz w:val="22"/>
          <w:szCs w:val="22"/>
        </w:rPr>
        <w:t xml:space="preserve"> </w:t>
      </w:r>
      <w:r>
        <w:rPr>
          <w:rFonts w:ascii="宋体" w:eastAsia="宋体" w:hAnsi="宋体" w:cs="宋体"/>
          <w:spacing w:val="-16"/>
          <w:sz w:val="22"/>
          <w:szCs w:val="22"/>
        </w:rPr>
        <w:t>素原水平高于对照组。</w:t>
      </w:r>
    </w:p>
    <w:p w:rsidR="00EA40A3" w:rsidRDefault="00E86C16">
      <w:pPr>
        <w:spacing w:before="258" w:line="224" w:lineRule="auto"/>
        <w:rPr>
          <w:rFonts w:ascii="仿宋" w:eastAsia="仿宋" w:hAnsi="仿宋" w:cs="仿宋"/>
          <w:sz w:val="22"/>
          <w:szCs w:val="22"/>
        </w:rPr>
      </w:pPr>
      <w:r>
        <w:rPr>
          <w:rFonts w:ascii="仿宋" w:eastAsia="仿宋" w:hAnsi="仿宋" w:cs="仿宋"/>
          <w:spacing w:val="8"/>
          <w:sz w:val="22"/>
          <w:szCs w:val="22"/>
        </w:rPr>
        <w:t>2.</w:t>
      </w:r>
      <w:r>
        <w:rPr>
          <w:rFonts w:ascii="仿宋" w:eastAsia="仿宋" w:hAnsi="仿宋" w:cs="仿宋"/>
          <w:spacing w:val="-26"/>
          <w:sz w:val="22"/>
          <w:szCs w:val="22"/>
        </w:rPr>
        <w:t xml:space="preserve"> </w:t>
      </w:r>
      <w:r>
        <w:rPr>
          <w:rFonts w:ascii="仿宋" w:eastAsia="仿宋" w:hAnsi="仿宋" w:cs="仿宋"/>
          <w:spacing w:val="8"/>
          <w:sz w:val="22"/>
          <w:szCs w:val="22"/>
        </w:rPr>
        <w:t>膳食因素</w:t>
      </w:r>
    </w:p>
    <w:p w:rsidR="00EA40A3" w:rsidRDefault="00E86C16">
      <w:pPr>
        <w:spacing w:before="213" w:line="248" w:lineRule="auto"/>
        <w:ind w:firstLine="439"/>
        <w:jc w:val="both"/>
        <w:rPr>
          <w:rFonts w:ascii="宋体" w:eastAsia="宋体" w:hAnsi="宋体" w:cs="宋体"/>
          <w:sz w:val="22"/>
          <w:szCs w:val="22"/>
        </w:rPr>
      </w:pPr>
      <w:r>
        <w:rPr>
          <w:rFonts w:ascii="宋体" w:eastAsia="宋体" w:hAnsi="宋体" w:cs="宋体"/>
          <w:spacing w:val="-13"/>
          <w:sz w:val="22"/>
          <w:szCs w:val="22"/>
        </w:rPr>
        <w:t>膳食因素，尤其膳食当中钠盐的过量摄入是引发高血压的重要原因。日均摄</w:t>
      </w:r>
      <w:r>
        <w:rPr>
          <w:rFonts w:ascii="宋体" w:eastAsia="宋体" w:hAnsi="宋体" w:cs="宋体"/>
          <w:spacing w:val="7"/>
          <w:sz w:val="22"/>
          <w:szCs w:val="22"/>
        </w:rPr>
        <w:t xml:space="preserve"> </w:t>
      </w:r>
      <w:r>
        <w:rPr>
          <w:rFonts w:ascii="宋体" w:eastAsia="宋体" w:hAnsi="宋体" w:cs="宋体"/>
          <w:spacing w:val="-14"/>
          <w:sz w:val="22"/>
          <w:szCs w:val="22"/>
        </w:rPr>
        <w:t>盐量高的人群，其血压升高百分率或平均血压高于摄盐量低者。</w:t>
      </w:r>
      <w:r>
        <w:rPr>
          <w:rFonts w:ascii="宋体" w:eastAsia="宋体" w:hAnsi="宋体" w:cs="宋体"/>
          <w:spacing w:val="6"/>
          <w:sz w:val="22"/>
          <w:szCs w:val="22"/>
        </w:rPr>
        <w:t xml:space="preserve"> </w:t>
      </w:r>
      <w:r>
        <w:rPr>
          <w:rFonts w:ascii="宋体" w:eastAsia="宋体" w:hAnsi="宋体" w:cs="宋体"/>
          <w:spacing w:val="-14"/>
          <w:sz w:val="22"/>
          <w:szCs w:val="22"/>
        </w:rPr>
        <w:t>WHO</w:t>
      </w:r>
      <w:r>
        <w:rPr>
          <w:rFonts w:ascii="宋体" w:eastAsia="宋体" w:hAnsi="宋体" w:cs="宋体"/>
          <w:spacing w:val="21"/>
          <w:sz w:val="22"/>
          <w:szCs w:val="22"/>
        </w:rPr>
        <w:t xml:space="preserve">  </w:t>
      </w:r>
      <w:r>
        <w:rPr>
          <w:rFonts w:ascii="宋体" w:eastAsia="宋体" w:hAnsi="宋体" w:cs="宋体"/>
          <w:spacing w:val="-14"/>
          <w:sz w:val="22"/>
          <w:szCs w:val="22"/>
        </w:rPr>
        <w:t>在预防高</w:t>
      </w:r>
      <w:r>
        <w:rPr>
          <w:rFonts w:ascii="宋体" w:eastAsia="宋体" w:hAnsi="宋体" w:cs="宋体"/>
          <w:sz w:val="22"/>
          <w:szCs w:val="22"/>
        </w:rPr>
        <w:t xml:space="preserve"> </w:t>
      </w:r>
      <w:r>
        <w:rPr>
          <w:rFonts w:ascii="宋体" w:eastAsia="宋体" w:hAnsi="宋体" w:cs="宋体"/>
          <w:spacing w:val="-5"/>
          <w:sz w:val="22"/>
          <w:szCs w:val="22"/>
        </w:rPr>
        <w:t>血压措施中建议每人每日摄盐量应控制在5g</w:t>
      </w:r>
      <w:r>
        <w:rPr>
          <w:rFonts w:ascii="宋体" w:eastAsia="宋体" w:hAnsi="宋体" w:cs="宋体"/>
          <w:spacing w:val="-32"/>
          <w:sz w:val="22"/>
          <w:szCs w:val="22"/>
        </w:rPr>
        <w:t xml:space="preserve"> </w:t>
      </w:r>
      <w:r>
        <w:rPr>
          <w:rFonts w:ascii="宋体" w:eastAsia="宋体" w:hAnsi="宋体" w:cs="宋体"/>
          <w:spacing w:val="-5"/>
          <w:sz w:val="22"/>
          <w:szCs w:val="22"/>
        </w:rPr>
        <w:t>以下。</w:t>
      </w:r>
      <w:r>
        <w:rPr>
          <w:rFonts w:ascii="宋体" w:eastAsia="宋体" w:hAnsi="宋体" w:cs="宋体"/>
          <w:spacing w:val="-6"/>
          <w:sz w:val="22"/>
          <w:szCs w:val="22"/>
        </w:rPr>
        <w:t xml:space="preserve"> </w:t>
      </w:r>
      <w:r>
        <w:rPr>
          <w:rFonts w:ascii="宋体" w:eastAsia="宋体" w:hAnsi="宋体" w:cs="宋体"/>
          <w:spacing w:val="-5"/>
          <w:sz w:val="22"/>
          <w:szCs w:val="22"/>
        </w:rPr>
        <w:t>一项由32个国家参加、53</w:t>
      </w:r>
      <w:r>
        <w:rPr>
          <w:rFonts w:ascii="宋体" w:eastAsia="宋体" w:hAnsi="宋体" w:cs="宋体"/>
          <w:sz w:val="22"/>
          <w:szCs w:val="22"/>
        </w:rPr>
        <w:t xml:space="preserve"> 个研究中心关于电解质与血压关系的研究结果表明，中</w:t>
      </w:r>
      <w:r>
        <w:rPr>
          <w:rFonts w:ascii="宋体" w:eastAsia="宋体" w:hAnsi="宋体" w:cs="宋体"/>
          <w:spacing w:val="-1"/>
          <w:sz w:val="22"/>
          <w:szCs w:val="22"/>
        </w:rPr>
        <w:t>国人群尿钠平均值为</w:t>
      </w:r>
      <w:r>
        <w:rPr>
          <w:rFonts w:ascii="宋体" w:eastAsia="宋体" w:hAnsi="宋体" w:cs="宋体"/>
          <w:sz w:val="22"/>
          <w:szCs w:val="22"/>
        </w:rPr>
        <w:t xml:space="preserve">  </w:t>
      </w:r>
      <w:r>
        <w:rPr>
          <w:rFonts w:ascii="宋体" w:eastAsia="宋体" w:hAnsi="宋体" w:cs="宋体"/>
          <w:spacing w:val="-1"/>
          <w:sz w:val="22"/>
          <w:szCs w:val="22"/>
        </w:rPr>
        <w:t>206mmol/24h,</w:t>
      </w:r>
      <w:r>
        <w:rPr>
          <w:rFonts w:ascii="宋体" w:eastAsia="宋体" w:hAnsi="宋体" w:cs="宋体"/>
          <w:spacing w:val="31"/>
          <w:sz w:val="22"/>
          <w:szCs w:val="22"/>
        </w:rPr>
        <w:t xml:space="preserve"> </w:t>
      </w:r>
      <w:r>
        <w:rPr>
          <w:rFonts w:ascii="宋体" w:eastAsia="宋体" w:hAnsi="宋体" w:cs="宋体"/>
          <w:spacing w:val="-1"/>
          <w:sz w:val="22"/>
          <w:szCs w:val="22"/>
        </w:rPr>
        <w:t>比其他中心高43mmol/24h,</w:t>
      </w:r>
      <w:r>
        <w:rPr>
          <w:rFonts w:ascii="宋体" w:eastAsia="宋体" w:hAnsi="宋体" w:cs="宋体"/>
          <w:spacing w:val="12"/>
          <w:sz w:val="22"/>
          <w:szCs w:val="22"/>
        </w:rPr>
        <w:t xml:space="preserve"> </w:t>
      </w:r>
      <w:r>
        <w:rPr>
          <w:rFonts w:ascii="宋体" w:eastAsia="宋体" w:hAnsi="宋体" w:cs="宋体"/>
          <w:spacing w:val="-1"/>
          <w:sz w:val="22"/>
          <w:szCs w:val="22"/>
        </w:rPr>
        <w:t>尿钠/钾比达6.7,是</w:t>
      </w:r>
      <w:r>
        <w:rPr>
          <w:rFonts w:ascii="宋体" w:eastAsia="宋体" w:hAnsi="宋体" w:cs="宋体"/>
          <w:spacing w:val="-2"/>
          <w:sz w:val="22"/>
          <w:szCs w:val="22"/>
        </w:rPr>
        <w:t>其他中心的两</w:t>
      </w:r>
      <w:r>
        <w:rPr>
          <w:rFonts w:ascii="宋体" w:eastAsia="宋体" w:hAnsi="宋体" w:cs="宋体"/>
          <w:sz w:val="22"/>
          <w:szCs w:val="22"/>
        </w:rPr>
        <w:t xml:space="preserve">  </w:t>
      </w:r>
      <w:r>
        <w:rPr>
          <w:rFonts w:ascii="宋体" w:eastAsia="宋体" w:hAnsi="宋体" w:cs="宋体"/>
          <w:spacing w:val="-5"/>
          <w:sz w:val="22"/>
          <w:szCs w:val="22"/>
        </w:rPr>
        <w:t>倍多，尿钠最高的是天津(242mmol/24h)。</w:t>
      </w:r>
      <w:r>
        <w:rPr>
          <w:rFonts w:ascii="宋体" w:eastAsia="宋体" w:hAnsi="宋体" w:cs="宋体"/>
          <w:spacing w:val="67"/>
          <w:sz w:val="22"/>
          <w:szCs w:val="22"/>
        </w:rPr>
        <w:t xml:space="preserve"> </w:t>
      </w:r>
      <w:r>
        <w:rPr>
          <w:rFonts w:ascii="宋体" w:eastAsia="宋体" w:hAnsi="宋体" w:cs="宋体"/>
          <w:spacing w:val="-5"/>
          <w:sz w:val="22"/>
          <w:szCs w:val="22"/>
        </w:rPr>
        <w:t>这与中国膳食的高钠、低钾有关。</w:t>
      </w:r>
      <w:r>
        <w:rPr>
          <w:rFonts w:ascii="宋体" w:eastAsia="宋体" w:hAnsi="宋体" w:cs="宋体"/>
          <w:sz w:val="22"/>
          <w:szCs w:val="22"/>
        </w:rPr>
        <w:t xml:space="preserve"> </w:t>
      </w:r>
      <w:r>
        <w:rPr>
          <w:rFonts w:ascii="宋体" w:eastAsia="宋体" w:hAnsi="宋体" w:cs="宋体"/>
          <w:spacing w:val="-12"/>
          <w:sz w:val="22"/>
          <w:szCs w:val="22"/>
        </w:rPr>
        <w:t>钾能促进排钠，吃大量蔬菜可增加钾摄入量，有可能保护动脉不受钠</w:t>
      </w:r>
      <w:r>
        <w:rPr>
          <w:rFonts w:ascii="宋体" w:eastAsia="宋体" w:hAnsi="宋体" w:cs="宋体"/>
          <w:spacing w:val="-13"/>
          <w:sz w:val="22"/>
          <w:szCs w:val="22"/>
        </w:rPr>
        <w:t>的不良作用</w:t>
      </w:r>
      <w:r>
        <w:rPr>
          <w:rFonts w:ascii="宋体" w:eastAsia="宋体" w:hAnsi="宋体" w:cs="宋体"/>
          <w:sz w:val="22"/>
          <w:szCs w:val="22"/>
        </w:rPr>
        <w:t xml:space="preserve"> </w:t>
      </w:r>
      <w:r>
        <w:rPr>
          <w:rFonts w:ascii="宋体" w:eastAsia="宋体" w:hAnsi="宋体" w:cs="宋体"/>
          <w:spacing w:val="-9"/>
          <w:sz w:val="22"/>
          <w:szCs w:val="22"/>
        </w:rPr>
        <w:t>影响。钙可减轻钠的升压作用，我国膳食普遍低钙，</w:t>
      </w:r>
      <w:r>
        <w:rPr>
          <w:rFonts w:ascii="宋体" w:eastAsia="宋体" w:hAnsi="宋体" w:cs="宋体"/>
          <w:spacing w:val="-10"/>
          <w:sz w:val="22"/>
          <w:szCs w:val="22"/>
        </w:rPr>
        <w:t>可能加重钠/钾对血压的作</w:t>
      </w:r>
      <w:r>
        <w:rPr>
          <w:rFonts w:ascii="宋体" w:eastAsia="宋体" w:hAnsi="宋体" w:cs="宋体"/>
          <w:sz w:val="22"/>
          <w:szCs w:val="22"/>
        </w:rPr>
        <w:t xml:space="preserve"> </w:t>
      </w:r>
      <w:r>
        <w:rPr>
          <w:rFonts w:ascii="宋体" w:eastAsia="宋体" w:hAnsi="宋体" w:cs="宋体"/>
          <w:spacing w:val="-14"/>
          <w:sz w:val="22"/>
          <w:szCs w:val="22"/>
        </w:rPr>
        <w:t>用。增加膳食钙摄量的干预研究表明，钙的增加使有些患者血压降低。</w:t>
      </w:r>
    </w:p>
    <w:p w:rsidR="00EA40A3" w:rsidRDefault="00EA40A3">
      <w:pPr>
        <w:sectPr w:rsidR="00EA40A3">
          <w:footerReference w:type="default" r:id="rId298"/>
          <w:pgSz w:w="9220" w:h="13360"/>
          <w:pgMar w:top="400" w:right="1061" w:bottom="1265" w:left="809" w:header="0" w:footer="1045" w:gutter="0"/>
          <w:cols w:space="720"/>
        </w:sectPr>
      </w:pPr>
    </w:p>
    <w:p w:rsidR="00EA40A3" w:rsidRDefault="00EA40A3"/>
    <w:p w:rsidR="00EA40A3" w:rsidRDefault="00EA40A3">
      <w:pPr>
        <w:spacing w:line="241" w:lineRule="auto"/>
      </w:pPr>
    </w:p>
    <w:p w:rsidR="00EA40A3" w:rsidRDefault="00EA40A3">
      <w:pPr>
        <w:spacing w:line="241" w:lineRule="auto"/>
      </w:pPr>
    </w:p>
    <w:p w:rsidR="00EA40A3" w:rsidRDefault="00E86C16">
      <w:pPr>
        <w:spacing w:before="71" w:line="223" w:lineRule="auto"/>
        <w:rPr>
          <w:rFonts w:ascii="仿宋" w:eastAsia="仿宋" w:hAnsi="仿宋" w:cs="仿宋"/>
          <w:sz w:val="22"/>
          <w:szCs w:val="22"/>
        </w:rPr>
      </w:pPr>
      <w:r>
        <w:rPr>
          <w:rFonts w:ascii="仿宋" w:eastAsia="仿宋" w:hAnsi="仿宋" w:cs="仿宋"/>
          <w:spacing w:val="4"/>
          <w:sz w:val="22"/>
          <w:szCs w:val="22"/>
        </w:rPr>
        <w:t>3.</w:t>
      </w:r>
      <w:r>
        <w:rPr>
          <w:rFonts w:ascii="仿宋" w:eastAsia="仿宋" w:hAnsi="仿宋" w:cs="仿宋"/>
          <w:spacing w:val="-8"/>
          <w:sz w:val="22"/>
          <w:szCs w:val="22"/>
        </w:rPr>
        <w:t xml:space="preserve"> </w:t>
      </w:r>
      <w:r>
        <w:rPr>
          <w:rFonts w:ascii="仿宋" w:eastAsia="仿宋" w:hAnsi="仿宋" w:cs="仿宋"/>
          <w:spacing w:val="4"/>
          <w:sz w:val="22"/>
          <w:szCs w:val="22"/>
        </w:rPr>
        <w:t>肾因素</w:t>
      </w:r>
    </w:p>
    <w:p w:rsidR="00EA40A3" w:rsidRDefault="00E86C16">
      <w:pPr>
        <w:spacing w:before="183" w:line="236" w:lineRule="auto"/>
        <w:ind w:right="101" w:firstLine="459"/>
        <w:rPr>
          <w:rFonts w:ascii="宋体" w:eastAsia="宋体" w:hAnsi="宋体" w:cs="宋体"/>
          <w:sz w:val="22"/>
          <w:szCs w:val="22"/>
        </w:rPr>
      </w:pPr>
      <w:r>
        <w:rPr>
          <w:rFonts w:ascii="宋体" w:eastAsia="宋体" w:hAnsi="宋体" w:cs="宋体"/>
          <w:spacing w:val="-13"/>
          <w:sz w:val="22"/>
          <w:szCs w:val="22"/>
        </w:rPr>
        <w:t>肾髓质间质细胞分泌抗高血压脂质如前列腺素、</w:t>
      </w:r>
      <w:r>
        <w:rPr>
          <w:rFonts w:ascii="宋体" w:eastAsia="宋体" w:hAnsi="宋体" w:cs="宋体"/>
          <w:spacing w:val="-14"/>
          <w:sz w:val="22"/>
          <w:szCs w:val="22"/>
        </w:rPr>
        <w:t>抗高血压中性肾髓质脂等分</w:t>
      </w:r>
      <w:r>
        <w:rPr>
          <w:rFonts w:ascii="宋体" w:eastAsia="宋体" w:hAnsi="宋体" w:cs="宋体"/>
          <w:sz w:val="22"/>
          <w:szCs w:val="22"/>
        </w:rPr>
        <w:t xml:space="preserve"> </w:t>
      </w:r>
      <w:r>
        <w:rPr>
          <w:rFonts w:ascii="宋体" w:eastAsia="宋体" w:hAnsi="宋体" w:cs="宋体"/>
          <w:spacing w:val="-15"/>
          <w:sz w:val="22"/>
          <w:szCs w:val="22"/>
        </w:rPr>
        <w:t>泌失调，排钠功能障碍均可能与高血压发病有关。</w:t>
      </w:r>
    </w:p>
    <w:p w:rsidR="00EA40A3" w:rsidRDefault="00E86C16">
      <w:pPr>
        <w:spacing w:before="217" w:line="222" w:lineRule="auto"/>
        <w:rPr>
          <w:rFonts w:ascii="仿宋" w:eastAsia="仿宋" w:hAnsi="仿宋" w:cs="仿宋"/>
          <w:sz w:val="22"/>
          <w:szCs w:val="22"/>
        </w:rPr>
      </w:pPr>
      <w:r>
        <w:rPr>
          <w:rFonts w:ascii="仿宋" w:eastAsia="仿宋" w:hAnsi="仿宋" w:cs="仿宋"/>
          <w:spacing w:val="11"/>
          <w:sz w:val="22"/>
          <w:szCs w:val="22"/>
        </w:rPr>
        <w:t>4.</w:t>
      </w:r>
      <w:r>
        <w:rPr>
          <w:rFonts w:ascii="仿宋" w:eastAsia="仿宋" w:hAnsi="仿宋" w:cs="仿宋"/>
          <w:spacing w:val="-37"/>
          <w:sz w:val="22"/>
          <w:szCs w:val="22"/>
        </w:rPr>
        <w:t xml:space="preserve"> </w:t>
      </w:r>
      <w:r>
        <w:rPr>
          <w:rFonts w:ascii="仿宋" w:eastAsia="仿宋" w:hAnsi="仿宋" w:cs="仿宋"/>
          <w:spacing w:val="11"/>
          <w:sz w:val="22"/>
          <w:szCs w:val="22"/>
        </w:rPr>
        <w:t>神经内分泌因素</w:t>
      </w:r>
    </w:p>
    <w:p w:rsidR="00EA40A3" w:rsidRDefault="00E86C16">
      <w:pPr>
        <w:spacing w:before="176" w:line="245" w:lineRule="auto"/>
        <w:ind w:right="83" w:firstLine="459"/>
        <w:jc w:val="both"/>
        <w:rPr>
          <w:rFonts w:ascii="宋体" w:eastAsia="宋体" w:hAnsi="宋体" w:cs="宋体"/>
          <w:sz w:val="22"/>
          <w:szCs w:val="22"/>
        </w:rPr>
      </w:pPr>
      <w:r>
        <w:rPr>
          <w:rFonts w:ascii="宋体" w:eastAsia="宋体" w:hAnsi="宋体" w:cs="宋体"/>
          <w:spacing w:val="-10"/>
          <w:sz w:val="22"/>
          <w:szCs w:val="22"/>
        </w:rPr>
        <w:t>一般认为，细动脉的交感神经纤维兴奋性增强是本病发病的重要神经因素.</w:t>
      </w:r>
      <w:r>
        <w:rPr>
          <w:rFonts w:ascii="宋体" w:eastAsia="宋体" w:hAnsi="宋体" w:cs="宋体"/>
          <w:spacing w:val="15"/>
          <w:sz w:val="22"/>
          <w:szCs w:val="22"/>
        </w:rPr>
        <w:t xml:space="preserve"> </w:t>
      </w:r>
      <w:r>
        <w:rPr>
          <w:rFonts w:ascii="宋体" w:eastAsia="宋体" w:hAnsi="宋体" w:cs="宋体"/>
          <w:spacing w:val="-6"/>
          <w:sz w:val="22"/>
          <w:szCs w:val="22"/>
        </w:rPr>
        <w:t>但是，交感神经节后纤维有两类：①缩血管纤维，递质为神经肽</w:t>
      </w:r>
      <w:r>
        <w:rPr>
          <w:rFonts w:ascii="宋体" w:eastAsia="宋体" w:hAnsi="宋体" w:cs="宋体"/>
          <w:spacing w:val="-53"/>
          <w:sz w:val="22"/>
          <w:szCs w:val="22"/>
        </w:rPr>
        <w:t xml:space="preserve"> </w:t>
      </w:r>
      <w:r>
        <w:rPr>
          <w:rFonts w:ascii="宋体" w:eastAsia="宋体" w:hAnsi="宋体" w:cs="宋体"/>
          <w:spacing w:val="-6"/>
          <w:sz w:val="22"/>
          <w:szCs w:val="22"/>
        </w:rPr>
        <w:t>Y(neuropep-</w:t>
      </w:r>
      <w:r>
        <w:rPr>
          <w:rFonts w:ascii="宋体" w:eastAsia="宋体" w:hAnsi="宋体" w:cs="宋体"/>
          <w:sz w:val="22"/>
          <w:szCs w:val="22"/>
        </w:rPr>
        <w:t xml:space="preserve">  tide</w:t>
      </w:r>
      <w:r>
        <w:rPr>
          <w:rFonts w:ascii="宋体" w:eastAsia="宋体" w:hAnsi="宋体" w:cs="宋体"/>
          <w:spacing w:val="18"/>
          <w:sz w:val="22"/>
          <w:szCs w:val="22"/>
        </w:rPr>
        <w:t xml:space="preserve">  </w:t>
      </w:r>
      <w:r>
        <w:rPr>
          <w:rFonts w:ascii="宋体" w:eastAsia="宋体" w:hAnsi="宋体" w:cs="宋体"/>
          <w:sz w:val="22"/>
          <w:szCs w:val="22"/>
        </w:rPr>
        <w:t>Y</w:t>
      </w:r>
      <w:r>
        <w:rPr>
          <w:rFonts w:ascii="宋体" w:eastAsia="宋体" w:hAnsi="宋体" w:cs="宋体"/>
          <w:spacing w:val="4"/>
          <w:sz w:val="22"/>
          <w:szCs w:val="22"/>
        </w:rPr>
        <w:t>,</w:t>
      </w:r>
      <w:r>
        <w:rPr>
          <w:rFonts w:ascii="宋体" w:eastAsia="宋体" w:hAnsi="宋体" w:cs="宋体"/>
          <w:sz w:val="22"/>
          <w:szCs w:val="22"/>
        </w:rPr>
        <w:t>NPY</w:t>
      </w:r>
      <w:r>
        <w:rPr>
          <w:rFonts w:ascii="宋体" w:eastAsia="宋体" w:hAnsi="宋体" w:cs="宋体"/>
          <w:spacing w:val="4"/>
          <w:sz w:val="22"/>
          <w:szCs w:val="22"/>
        </w:rPr>
        <w:t>)</w:t>
      </w:r>
      <w:r>
        <w:rPr>
          <w:rFonts w:ascii="宋体" w:eastAsia="宋体" w:hAnsi="宋体" w:cs="宋体"/>
          <w:spacing w:val="-57"/>
          <w:sz w:val="22"/>
          <w:szCs w:val="22"/>
        </w:rPr>
        <w:t xml:space="preserve"> </w:t>
      </w:r>
      <w:r>
        <w:rPr>
          <w:rFonts w:ascii="宋体" w:eastAsia="宋体" w:hAnsi="宋体" w:cs="宋体"/>
          <w:spacing w:val="4"/>
          <w:sz w:val="22"/>
          <w:szCs w:val="22"/>
        </w:rPr>
        <w:t>及去甲肾上腺素；②扩血管纤维，递质为降钙素基因相关肽</w:t>
      </w:r>
      <w:r>
        <w:rPr>
          <w:rFonts w:ascii="宋体" w:eastAsia="宋体" w:hAnsi="宋体" w:cs="宋体"/>
          <w:sz w:val="22"/>
          <w:szCs w:val="22"/>
        </w:rPr>
        <w:t xml:space="preserve"> </w:t>
      </w:r>
      <w:r>
        <w:rPr>
          <w:rFonts w:ascii="宋体" w:eastAsia="宋体" w:hAnsi="宋体" w:cs="宋体"/>
          <w:spacing w:val="-11"/>
          <w:sz w:val="22"/>
          <w:szCs w:val="22"/>
        </w:rPr>
        <w:t>(</w:t>
      </w:r>
      <w:r>
        <w:rPr>
          <w:rFonts w:ascii="宋体" w:eastAsia="宋体" w:hAnsi="宋体" w:cs="宋体"/>
          <w:spacing w:val="-10"/>
          <w:sz w:val="22"/>
          <w:szCs w:val="22"/>
        </w:rPr>
        <w:t>calcitonin</w:t>
      </w:r>
      <w:r>
        <w:rPr>
          <w:rFonts w:ascii="宋体" w:eastAsia="宋体" w:hAnsi="宋体" w:cs="宋体"/>
          <w:spacing w:val="-1"/>
          <w:sz w:val="22"/>
          <w:szCs w:val="22"/>
        </w:rPr>
        <w:t xml:space="preserve"> </w:t>
      </w:r>
      <w:r>
        <w:rPr>
          <w:rFonts w:ascii="宋体" w:eastAsia="宋体" w:hAnsi="宋体" w:cs="宋体"/>
          <w:spacing w:val="-10"/>
          <w:sz w:val="22"/>
          <w:szCs w:val="22"/>
        </w:rPr>
        <w:t>gene</w:t>
      </w:r>
      <w:r>
        <w:rPr>
          <w:rFonts w:ascii="宋体" w:eastAsia="宋体" w:hAnsi="宋体" w:cs="宋体"/>
          <w:spacing w:val="-6"/>
          <w:sz w:val="22"/>
          <w:szCs w:val="22"/>
        </w:rPr>
        <w:t xml:space="preserve"> </w:t>
      </w:r>
      <w:r>
        <w:rPr>
          <w:rFonts w:ascii="宋体" w:eastAsia="宋体" w:hAnsi="宋体" w:cs="宋体"/>
          <w:spacing w:val="-10"/>
          <w:sz w:val="22"/>
          <w:szCs w:val="22"/>
        </w:rPr>
        <w:t>related</w:t>
      </w:r>
      <w:r>
        <w:rPr>
          <w:rFonts w:ascii="宋体" w:eastAsia="宋体" w:hAnsi="宋体" w:cs="宋体"/>
          <w:spacing w:val="-7"/>
          <w:sz w:val="22"/>
          <w:szCs w:val="22"/>
        </w:rPr>
        <w:t xml:space="preserve"> </w:t>
      </w:r>
      <w:r>
        <w:rPr>
          <w:rFonts w:ascii="宋体" w:eastAsia="宋体" w:hAnsi="宋体" w:cs="宋体"/>
          <w:spacing w:val="-10"/>
          <w:sz w:val="22"/>
          <w:szCs w:val="22"/>
        </w:rPr>
        <w:t>peptid</w:t>
      </w:r>
      <w:r>
        <w:rPr>
          <w:rFonts w:ascii="宋体" w:eastAsia="宋体" w:hAnsi="宋体" w:cs="宋体"/>
          <w:spacing w:val="-11"/>
          <w:sz w:val="22"/>
          <w:szCs w:val="22"/>
        </w:rPr>
        <w:t>e,CGRP)</w:t>
      </w:r>
      <w:r>
        <w:rPr>
          <w:rFonts w:ascii="宋体" w:eastAsia="宋体" w:hAnsi="宋体" w:cs="宋体"/>
          <w:spacing w:val="-33"/>
          <w:sz w:val="22"/>
          <w:szCs w:val="22"/>
        </w:rPr>
        <w:t xml:space="preserve"> </w:t>
      </w:r>
      <w:r>
        <w:rPr>
          <w:rFonts w:ascii="宋体" w:eastAsia="宋体" w:hAnsi="宋体" w:cs="宋体"/>
          <w:spacing w:val="-11"/>
          <w:sz w:val="22"/>
          <w:szCs w:val="22"/>
        </w:rPr>
        <w:t>及</w:t>
      </w:r>
      <w:r>
        <w:rPr>
          <w:rFonts w:ascii="宋体" w:eastAsia="宋体" w:hAnsi="宋体" w:cs="宋体"/>
          <w:spacing w:val="-63"/>
          <w:sz w:val="22"/>
          <w:szCs w:val="22"/>
        </w:rPr>
        <w:t xml:space="preserve"> </w:t>
      </w:r>
      <w:r>
        <w:rPr>
          <w:rFonts w:ascii="宋体" w:eastAsia="宋体" w:hAnsi="宋体" w:cs="宋体"/>
          <w:spacing w:val="-11"/>
          <w:sz w:val="22"/>
          <w:szCs w:val="22"/>
        </w:rPr>
        <w:t>P</w:t>
      </w:r>
      <w:r>
        <w:rPr>
          <w:rFonts w:ascii="宋体" w:eastAsia="宋体" w:hAnsi="宋体" w:cs="宋体"/>
          <w:spacing w:val="-25"/>
          <w:sz w:val="22"/>
          <w:szCs w:val="22"/>
        </w:rPr>
        <w:t xml:space="preserve"> </w:t>
      </w:r>
      <w:r>
        <w:rPr>
          <w:rFonts w:ascii="宋体" w:eastAsia="宋体" w:hAnsi="宋体" w:cs="宋体"/>
          <w:spacing w:val="-11"/>
          <w:sz w:val="22"/>
          <w:szCs w:val="22"/>
        </w:rPr>
        <w:t>物质。这两种纤维功能失衡，即</w:t>
      </w:r>
      <w:r>
        <w:rPr>
          <w:rFonts w:ascii="宋体" w:eastAsia="宋体" w:hAnsi="宋体" w:cs="宋体"/>
          <w:sz w:val="22"/>
          <w:szCs w:val="22"/>
        </w:rPr>
        <w:t xml:space="preserve"> </w:t>
      </w:r>
      <w:r>
        <w:rPr>
          <w:rFonts w:ascii="宋体" w:eastAsia="宋体" w:hAnsi="宋体" w:cs="宋体"/>
          <w:spacing w:val="-15"/>
          <w:sz w:val="22"/>
          <w:szCs w:val="22"/>
        </w:rPr>
        <w:t>前者功能强于后者时，才引起血压升高。</w:t>
      </w:r>
    </w:p>
    <w:p w:rsidR="00EA40A3" w:rsidRDefault="00E86C16">
      <w:pPr>
        <w:spacing w:before="220" w:line="223" w:lineRule="auto"/>
        <w:rPr>
          <w:rFonts w:ascii="仿宋" w:eastAsia="仿宋" w:hAnsi="仿宋" w:cs="仿宋"/>
          <w:sz w:val="22"/>
          <w:szCs w:val="22"/>
        </w:rPr>
      </w:pPr>
      <w:r>
        <w:rPr>
          <w:rFonts w:ascii="仿宋" w:eastAsia="仿宋" w:hAnsi="仿宋" w:cs="仿宋"/>
          <w:spacing w:val="10"/>
          <w:sz w:val="22"/>
          <w:szCs w:val="22"/>
        </w:rPr>
        <w:t>5.</w:t>
      </w:r>
      <w:r>
        <w:rPr>
          <w:rFonts w:ascii="仿宋" w:eastAsia="仿宋" w:hAnsi="仿宋" w:cs="仿宋"/>
          <w:spacing w:val="-48"/>
          <w:sz w:val="22"/>
          <w:szCs w:val="22"/>
        </w:rPr>
        <w:t xml:space="preserve"> </w:t>
      </w:r>
      <w:r>
        <w:rPr>
          <w:rFonts w:ascii="仿宋" w:eastAsia="仿宋" w:hAnsi="仿宋" w:cs="仿宋"/>
          <w:spacing w:val="10"/>
          <w:sz w:val="22"/>
          <w:szCs w:val="22"/>
        </w:rPr>
        <w:t>社会心理应激</w:t>
      </w:r>
    </w:p>
    <w:p w:rsidR="00EA40A3" w:rsidRDefault="00E86C16">
      <w:pPr>
        <w:spacing w:before="193" w:line="244" w:lineRule="auto"/>
        <w:ind w:firstLine="459"/>
        <w:jc w:val="both"/>
        <w:rPr>
          <w:rFonts w:ascii="宋体" w:eastAsia="宋体" w:hAnsi="宋体" w:cs="宋体"/>
          <w:sz w:val="22"/>
          <w:szCs w:val="22"/>
        </w:rPr>
      </w:pPr>
      <w:r>
        <w:rPr>
          <w:rFonts w:ascii="宋体" w:eastAsia="宋体" w:hAnsi="宋体" w:cs="宋体"/>
          <w:spacing w:val="-10"/>
          <w:sz w:val="22"/>
          <w:szCs w:val="22"/>
        </w:rPr>
        <w:t>社会心理应激与高血压发病有密切关系。应激性生活</w:t>
      </w:r>
      <w:r>
        <w:rPr>
          <w:rFonts w:ascii="宋体" w:eastAsia="宋体" w:hAnsi="宋体" w:cs="宋体"/>
          <w:spacing w:val="-11"/>
          <w:sz w:val="22"/>
          <w:szCs w:val="22"/>
        </w:rPr>
        <w:t>事件包括：父母早亡、</w:t>
      </w:r>
      <w:r>
        <w:rPr>
          <w:rFonts w:ascii="宋体" w:eastAsia="宋体" w:hAnsi="宋体" w:cs="宋体"/>
          <w:sz w:val="22"/>
          <w:szCs w:val="22"/>
        </w:rPr>
        <w:t xml:space="preserve"> </w:t>
      </w:r>
      <w:r>
        <w:rPr>
          <w:rFonts w:ascii="宋体" w:eastAsia="宋体" w:hAnsi="宋体" w:cs="宋体"/>
          <w:spacing w:val="-13"/>
          <w:sz w:val="22"/>
          <w:szCs w:val="22"/>
        </w:rPr>
        <w:t>失恋、丧偶、家庭成员车祸死亡、病残、家庭破裂、经济政治冲</w:t>
      </w:r>
      <w:r>
        <w:rPr>
          <w:rFonts w:ascii="宋体" w:eastAsia="宋体" w:hAnsi="宋体" w:cs="宋体"/>
          <w:spacing w:val="-14"/>
          <w:sz w:val="22"/>
          <w:szCs w:val="22"/>
        </w:rPr>
        <w:t>击等。遭受生活</w:t>
      </w:r>
      <w:r>
        <w:rPr>
          <w:rFonts w:ascii="宋体" w:eastAsia="宋体" w:hAnsi="宋体" w:cs="宋体"/>
          <w:sz w:val="22"/>
          <w:szCs w:val="22"/>
        </w:rPr>
        <w:t xml:space="preserve">  </w:t>
      </w:r>
      <w:r>
        <w:rPr>
          <w:rFonts w:ascii="宋体" w:eastAsia="宋体" w:hAnsi="宋体" w:cs="宋体"/>
          <w:spacing w:val="-14"/>
          <w:sz w:val="22"/>
          <w:szCs w:val="22"/>
        </w:rPr>
        <w:t>事件刺激者高血压患病率比对照组高。社会心理应激可改变体内激素平衡，从而</w:t>
      </w:r>
      <w:r>
        <w:rPr>
          <w:rFonts w:ascii="宋体" w:eastAsia="宋体" w:hAnsi="宋体" w:cs="宋体"/>
          <w:spacing w:val="4"/>
          <w:sz w:val="22"/>
          <w:szCs w:val="22"/>
        </w:rPr>
        <w:t xml:space="preserve">  </w:t>
      </w:r>
      <w:r>
        <w:rPr>
          <w:rFonts w:ascii="宋体" w:eastAsia="宋体" w:hAnsi="宋体" w:cs="宋体"/>
          <w:spacing w:val="-16"/>
          <w:sz w:val="22"/>
          <w:szCs w:val="22"/>
        </w:rPr>
        <w:t>影响所有代谢过程。</w:t>
      </w:r>
    </w:p>
    <w:p w:rsidR="00EA40A3" w:rsidRDefault="00E86C16">
      <w:pPr>
        <w:spacing w:before="224" w:line="221" w:lineRule="auto"/>
        <w:ind w:left="3"/>
        <w:outlineLvl w:val="6"/>
        <w:rPr>
          <w:rFonts w:ascii="黑体" w:eastAsia="黑体" w:hAnsi="黑体" w:cs="黑体"/>
          <w:sz w:val="22"/>
          <w:szCs w:val="22"/>
        </w:rPr>
      </w:pPr>
      <w:r>
        <w:rPr>
          <w:rFonts w:ascii="黑体" w:eastAsia="黑体" w:hAnsi="黑体" w:cs="黑体"/>
          <w:b/>
          <w:bCs/>
          <w:spacing w:val="5"/>
          <w:sz w:val="22"/>
          <w:szCs w:val="22"/>
        </w:rPr>
        <w:t>11.5.3</w:t>
      </w:r>
      <w:r>
        <w:rPr>
          <w:rFonts w:ascii="黑体" w:eastAsia="黑体" w:hAnsi="黑体" w:cs="黑体"/>
          <w:spacing w:val="55"/>
          <w:sz w:val="22"/>
          <w:szCs w:val="22"/>
        </w:rPr>
        <w:t xml:space="preserve">  </w:t>
      </w:r>
      <w:r>
        <w:rPr>
          <w:rFonts w:ascii="黑体" w:eastAsia="黑体" w:hAnsi="黑体" w:cs="黑体"/>
          <w:b/>
          <w:bCs/>
          <w:spacing w:val="5"/>
          <w:sz w:val="22"/>
          <w:szCs w:val="22"/>
        </w:rPr>
        <w:t>高血压的饮食预防</w:t>
      </w:r>
    </w:p>
    <w:p w:rsidR="00EA40A3" w:rsidRDefault="00E86C16">
      <w:pPr>
        <w:spacing w:before="191" w:line="241" w:lineRule="auto"/>
        <w:ind w:right="91" w:firstLine="459"/>
        <w:jc w:val="both"/>
        <w:rPr>
          <w:rFonts w:ascii="宋体" w:eastAsia="宋体" w:hAnsi="宋体" w:cs="宋体"/>
          <w:sz w:val="22"/>
          <w:szCs w:val="22"/>
        </w:rPr>
      </w:pPr>
      <w:r>
        <w:rPr>
          <w:rFonts w:ascii="宋体" w:eastAsia="宋体" w:hAnsi="宋体" w:cs="宋体"/>
          <w:spacing w:val="-7"/>
          <w:sz w:val="22"/>
          <w:szCs w:val="22"/>
        </w:rPr>
        <w:t>改变膳食结构，合理调配，是防治高血压的重要措施。利用许多食物的属</w:t>
      </w:r>
      <w:r>
        <w:rPr>
          <w:rFonts w:ascii="宋体" w:eastAsia="宋体" w:hAnsi="宋体" w:cs="宋体"/>
          <w:spacing w:val="11"/>
          <w:sz w:val="22"/>
          <w:szCs w:val="22"/>
        </w:rPr>
        <w:t xml:space="preserve"> </w:t>
      </w:r>
      <w:r>
        <w:rPr>
          <w:rFonts w:ascii="宋体" w:eastAsia="宋体" w:hAnsi="宋体" w:cs="宋体"/>
          <w:spacing w:val="-13"/>
          <w:sz w:val="22"/>
          <w:szCs w:val="22"/>
        </w:rPr>
        <w:t>性，辅助治疗高血压是食物疗法的重要内容。所有高血压患者，都应</w:t>
      </w:r>
      <w:r>
        <w:rPr>
          <w:rFonts w:ascii="宋体" w:eastAsia="宋体" w:hAnsi="宋体" w:cs="宋体"/>
          <w:spacing w:val="-14"/>
          <w:sz w:val="22"/>
          <w:szCs w:val="22"/>
        </w:rPr>
        <w:t>当重视食物</w:t>
      </w:r>
      <w:r>
        <w:rPr>
          <w:rFonts w:ascii="宋体" w:eastAsia="宋体" w:hAnsi="宋体" w:cs="宋体"/>
          <w:sz w:val="22"/>
          <w:szCs w:val="22"/>
        </w:rPr>
        <w:t xml:space="preserve"> </w:t>
      </w:r>
      <w:r>
        <w:rPr>
          <w:rFonts w:ascii="宋体" w:eastAsia="宋体" w:hAnsi="宋体" w:cs="宋体"/>
          <w:spacing w:val="-15"/>
          <w:sz w:val="22"/>
          <w:szCs w:val="22"/>
        </w:rPr>
        <w:t>疗法，以帮助恢复健康。</w:t>
      </w:r>
    </w:p>
    <w:p w:rsidR="00EA40A3" w:rsidRDefault="00E86C16">
      <w:pPr>
        <w:spacing w:before="206" w:line="222"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36"/>
          <w:sz w:val="22"/>
          <w:szCs w:val="22"/>
        </w:rPr>
        <w:t xml:space="preserve"> </w:t>
      </w:r>
      <w:r>
        <w:rPr>
          <w:rFonts w:ascii="仿宋" w:eastAsia="仿宋" w:hAnsi="仿宋" w:cs="仿宋"/>
          <w:spacing w:val="6"/>
          <w:sz w:val="22"/>
          <w:szCs w:val="22"/>
        </w:rPr>
        <w:t>限制能量摄入</w:t>
      </w:r>
    </w:p>
    <w:p w:rsidR="00EA40A3" w:rsidRDefault="00E86C16">
      <w:pPr>
        <w:spacing w:before="200" w:line="246" w:lineRule="auto"/>
        <w:ind w:right="98" w:firstLine="459"/>
        <w:jc w:val="both"/>
        <w:rPr>
          <w:rFonts w:ascii="宋体" w:eastAsia="宋体" w:hAnsi="宋体" w:cs="宋体"/>
          <w:sz w:val="22"/>
          <w:szCs w:val="22"/>
        </w:rPr>
      </w:pPr>
      <w:r>
        <w:rPr>
          <w:rFonts w:ascii="宋体" w:eastAsia="宋体" w:hAnsi="宋体" w:cs="宋体"/>
          <w:spacing w:val="-13"/>
          <w:sz w:val="22"/>
          <w:szCs w:val="22"/>
        </w:rPr>
        <w:t>高血压患者常合并有肥胖或超重。而肥胖和高血压两</w:t>
      </w:r>
      <w:r>
        <w:rPr>
          <w:rFonts w:ascii="宋体" w:eastAsia="宋体" w:hAnsi="宋体" w:cs="宋体"/>
          <w:spacing w:val="-14"/>
          <w:sz w:val="22"/>
          <w:szCs w:val="22"/>
        </w:rPr>
        <w:t>者均可使心脏工作负荷</w:t>
      </w:r>
      <w:r>
        <w:rPr>
          <w:rFonts w:ascii="宋体" w:eastAsia="宋体" w:hAnsi="宋体" w:cs="宋体"/>
          <w:sz w:val="22"/>
          <w:szCs w:val="22"/>
        </w:rPr>
        <w:t xml:space="preserve"> </w:t>
      </w:r>
      <w:r>
        <w:rPr>
          <w:rFonts w:ascii="宋体" w:eastAsia="宋体" w:hAnsi="宋体" w:cs="宋体"/>
          <w:spacing w:val="-13"/>
          <w:sz w:val="22"/>
          <w:szCs w:val="22"/>
        </w:rPr>
        <w:t>增加。因此，控制总能量摄入可使体重达到并维持在一个正常范</w:t>
      </w:r>
      <w:r>
        <w:rPr>
          <w:rFonts w:ascii="宋体" w:eastAsia="宋体" w:hAnsi="宋体" w:cs="宋体"/>
          <w:spacing w:val="-14"/>
          <w:sz w:val="22"/>
          <w:szCs w:val="22"/>
        </w:rPr>
        <w:t>围之内，对高血</w:t>
      </w:r>
      <w:r>
        <w:rPr>
          <w:rFonts w:ascii="宋体" w:eastAsia="宋体" w:hAnsi="宋体" w:cs="宋体"/>
          <w:sz w:val="22"/>
          <w:szCs w:val="22"/>
        </w:rPr>
        <w:t xml:space="preserve"> </w:t>
      </w:r>
      <w:r>
        <w:rPr>
          <w:rFonts w:ascii="宋体" w:eastAsia="宋体" w:hAnsi="宋体" w:cs="宋体"/>
          <w:spacing w:val="-13"/>
          <w:sz w:val="22"/>
          <w:szCs w:val="22"/>
        </w:rPr>
        <w:t>压病的防治十分重要。而每餐的能量也需要限制，饱餐之后可使高血压病患者的</w:t>
      </w:r>
      <w:r>
        <w:rPr>
          <w:rFonts w:ascii="宋体" w:eastAsia="宋体" w:hAnsi="宋体" w:cs="宋体"/>
          <w:sz w:val="22"/>
          <w:szCs w:val="22"/>
        </w:rPr>
        <w:t xml:space="preserve"> </w:t>
      </w:r>
      <w:r>
        <w:rPr>
          <w:rFonts w:ascii="宋体" w:eastAsia="宋体" w:hAnsi="宋体" w:cs="宋体"/>
          <w:spacing w:val="-14"/>
          <w:sz w:val="22"/>
          <w:szCs w:val="22"/>
        </w:rPr>
        <w:t>血管舒张调节功能降低，从而引起血压的显著波动。临床观察表明，多数患者的</w:t>
      </w:r>
      <w:r>
        <w:rPr>
          <w:rFonts w:ascii="宋体" w:eastAsia="宋体" w:hAnsi="宋体" w:cs="宋体"/>
          <w:spacing w:val="15"/>
          <w:sz w:val="22"/>
          <w:szCs w:val="22"/>
        </w:rPr>
        <w:t xml:space="preserve"> </w:t>
      </w:r>
      <w:r>
        <w:rPr>
          <w:rFonts w:ascii="宋体" w:eastAsia="宋体" w:hAnsi="宋体" w:cs="宋体"/>
          <w:spacing w:val="-13"/>
          <w:sz w:val="22"/>
          <w:szCs w:val="22"/>
        </w:rPr>
        <w:t>血压常随体重的减轻而下降，而血压变化不大的患者，其临床症</w:t>
      </w:r>
      <w:r>
        <w:rPr>
          <w:rFonts w:ascii="宋体" w:eastAsia="宋体" w:hAnsi="宋体" w:cs="宋体"/>
          <w:spacing w:val="-14"/>
          <w:sz w:val="22"/>
          <w:szCs w:val="22"/>
        </w:rPr>
        <w:t>状如疲乏和呼吸</w:t>
      </w:r>
      <w:r>
        <w:rPr>
          <w:rFonts w:ascii="宋体" w:eastAsia="宋体" w:hAnsi="宋体" w:cs="宋体"/>
          <w:sz w:val="22"/>
          <w:szCs w:val="22"/>
        </w:rPr>
        <w:t xml:space="preserve"> </w:t>
      </w:r>
      <w:r>
        <w:rPr>
          <w:rFonts w:ascii="宋体" w:eastAsia="宋体" w:hAnsi="宋体" w:cs="宋体"/>
          <w:spacing w:val="-16"/>
          <w:sz w:val="22"/>
          <w:szCs w:val="22"/>
        </w:rPr>
        <w:t>困难，也可得到显著的改善。</w:t>
      </w:r>
    </w:p>
    <w:p w:rsidR="00EA40A3" w:rsidRDefault="00E86C16">
      <w:pPr>
        <w:spacing w:before="221" w:line="224"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36"/>
          <w:sz w:val="22"/>
          <w:szCs w:val="22"/>
        </w:rPr>
        <w:t xml:space="preserve"> </w:t>
      </w:r>
      <w:r>
        <w:rPr>
          <w:rFonts w:ascii="仿宋" w:eastAsia="仿宋" w:hAnsi="仿宋" w:cs="仿宋"/>
          <w:spacing w:val="11"/>
          <w:sz w:val="22"/>
          <w:szCs w:val="22"/>
        </w:rPr>
        <w:t>适量蛋白质</w:t>
      </w:r>
    </w:p>
    <w:p w:rsidR="00EA40A3" w:rsidRDefault="00E86C16">
      <w:pPr>
        <w:spacing w:before="192" w:line="242" w:lineRule="auto"/>
        <w:ind w:right="83" w:firstLine="400"/>
        <w:jc w:val="both"/>
        <w:rPr>
          <w:rFonts w:ascii="宋体" w:eastAsia="宋体" w:hAnsi="宋体" w:cs="宋体"/>
          <w:sz w:val="22"/>
          <w:szCs w:val="22"/>
        </w:rPr>
      </w:pPr>
      <w:r>
        <w:rPr>
          <w:rFonts w:ascii="宋体" w:eastAsia="宋体" w:hAnsi="宋体" w:cs="宋体"/>
          <w:spacing w:val="-13"/>
          <w:sz w:val="22"/>
          <w:szCs w:val="22"/>
        </w:rPr>
        <w:t>以往对高血压病患者强调低蛋白饮食，但目前认为，除合并有慢性肾功能不</w:t>
      </w:r>
      <w:r>
        <w:rPr>
          <w:rFonts w:ascii="宋体" w:eastAsia="宋体" w:hAnsi="宋体" w:cs="宋体"/>
          <w:spacing w:val="9"/>
          <w:sz w:val="22"/>
          <w:szCs w:val="22"/>
        </w:rPr>
        <w:t xml:space="preserve"> </w:t>
      </w:r>
      <w:r>
        <w:rPr>
          <w:rFonts w:ascii="宋体" w:eastAsia="宋体" w:hAnsi="宋体" w:cs="宋体"/>
          <w:spacing w:val="-16"/>
          <w:sz w:val="22"/>
          <w:szCs w:val="22"/>
        </w:rPr>
        <w:t>全者外，</w:t>
      </w:r>
      <w:r>
        <w:rPr>
          <w:rFonts w:ascii="宋体" w:eastAsia="宋体" w:hAnsi="宋体" w:cs="宋体"/>
          <w:spacing w:val="5"/>
          <w:sz w:val="22"/>
          <w:szCs w:val="22"/>
        </w:rPr>
        <w:t xml:space="preserve"> </w:t>
      </w:r>
      <w:r>
        <w:rPr>
          <w:rFonts w:ascii="宋体" w:eastAsia="宋体" w:hAnsi="宋体" w:cs="宋体"/>
          <w:spacing w:val="-16"/>
          <w:sz w:val="22"/>
          <w:szCs w:val="22"/>
        </w:rPr>
        <w:t>一般不必严格限制蛋白质的摄入量。关于蛋白质的来源方面，鱼类蛋白</w:t>
      </w:r>
      <w:r>
        <w:rPr>
          <w:rFonts w:ascii="宋体" w:eastAsia="宋体" w:hAnsi="宋体" w:cs="宋体"/>
          <w:sz w:val="22"/>
          <w:szCs w:val="22"/>
        </w:rPr>
        <w:t xml:space="preserve"> </w:t>
      </w:r>
      <w:r>
        <w:rPr>
          <w:rFonts w:ascii="宋体" w:eastAsia="宋体" w:hAnsi="宋体" w:cs="宋体"/>
          <w:spacing w:val="-14"/>
          <w:sz w:val="22"/>
          <w:szCs w:val="22"/>
        </w:rPr>
        <w:t>可使高血压及脑中风的发生率降低，而大豆蛋白虽无降压作用，但也能防止中风</w:t>
      </w:r>
      <w:r>
        <w:rPr>
          <w:rFonts w:ascii="宋体" w:eastAsia="宋体" w:hAnsi="宋体" w:cs="宋体"/>
          <w:spacing w:val="8"/>
          <w:sz w:val="22"/>
          <w:szCs w:val="22"/>
        </w:rPr>
        <w:t xml:space="preserve"> </w:t>
      </w:r>
      <w:r>
        <w:rPr>
          <w:rFonts w:ascii="宋体" w:eastAsia="宋体" w:hAnsi="宋体" w:cs="宋体"/>
          <w:spacing w:val="-5"/>
          <w:sz w:val="22"/>
          <w:szCs w:val="22"/>
        </w:rPr>
        <w:t>的发生，这可能与氨基酸组成有关。应选优质蛋白，其中植物蛋白质可占</w:t>
      </w:r>
      <w:r>
        <w:rPr>
          <w:rFonts w:ascii="宋体" w:eastAsia="宋体" w:hAnsi="宋体" w:cs="宋体"/>
          <w:spacing w:val="-6"/>
          <w:sz w:val="22"/>
          <w:szCs w:val="22"/>
        </w:rPr>
        <w:t>50%,</w:t>
      </w:r>
    </w:p>
    <w:p w:rsidR="00EA40A3" w:rsidRDefault="00E86C16">
      <w:pPr>
        <w:spacing w:before="90"/>
        <w:ind w:left="140"/>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368</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footerReference w:type="default" r:id="rId299"/>
          <w:pgSz w:w="9220" w:h="13360"/>
          <w:pgMar w:top="400" w:right="919" w:bottom="400" w:left="919" w:header="0" w:footer="0" w:gutter="0"/>
          <w:cols w:space="720"/>
        </w:sectPr>
      </w:pPr>
    </w:p>
    <w:p w:rsidR="00EA40A3" w:rsidRDefault="00EA40A3">
      <w:pPr>
        <w:spacing w:line="297" w:lineRule="auto"/>
      </w:pPr>
    </w:p>
    <w:p w:rsidR="00EA40A3" w:rsidRDefault="00EA40A3">
      <w:pPr>
        <w:spacing w:line="29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6"/>
          <w:sz w:val="22"/>
          <w:szCs w:val="22"/>
        </w:rPr>
        <w:t>动物蛋白宜选用鱼、鸡、牛肉、鸡蛋、牛奶、瘦猪肉等。</w:t>
      </w:r>
    </w:p>
    <w:p w:rsidR="00EA40A3" w:rsidRDefault="00E86C16">
      <w:pPr>
        <w:spacing w:before="205" w:line="222" w:lineRule="auto"/>
        <w:rPr>
          <w:rFonts w:ascii="仿宋" w:eastAsia="仿宋" w:hAnsi="仿宋" w:cs="仿宋"/>
          <w:sz w:val="22"/>
          <w:szCs w:val="22"/>
        </w:rPr>
      </w:pPr>
      <w:r>
        <w:rPr>
          <w:rFonts w:ascii="仿宋" w:eastAsia="仿宋" w:hAnsi="仿宋" w:cs="仿宋"/>
          <w:spacing w:val="4"/>
          <w:sz w:val="22"/>
          <w:szCs w:val="22"/>
        </w:rPr>
        <w:t>3.</w:t>
      </w:r>
      <w:r>
        <w:rPr>
          <w:rFonts w:ascii="仿宋" w:eastAsia="仿宋" w:hAnsi="仿宋" w:cs="仿宋"/>
          <w:spacing w:val="-8"/>
          <w:sz w:val="22"/>
          <w:szCs w:val="22"/>
        </w:rPr>
        <w:t xml:space="preserve"> </w:t>
      </w:r>
      <w:r>
        <w:rPr>
          <w:rFonts w:ascii="仿宋" w:eastAsia="仿宋" w:hAnsi="仿宋" w:cs="仿宋"/>
          <w:spacing w:val="4"/>
          <w:sz w:val="22"/>
          <w:szCs w:val="22"/>
        </w:rPr>
        <w:t>限制脂类</w:t>
      </w:r>
    </w:p>
    <w:p w:rsidR="00EA40A3" w:rsidRDefault="00E86C16">
      <w:pPr>
        <w:spacing w:before="162" w:line="253" w:lineRule="auto"/>
        <w:ind w:right="68" w:firstLine="439"/>
        <w:jc w:val="both"/>
        <w:rPr>
          <w:rFonts w:ascii="宋体" w:eastAsia="宋体" w:hAnsi="宋体" w:cs="宋体"/>
          <w:sz w:val="22"/>
          <w:szCs w:val="22"/>
        </w:rPr>
      </w:pPr>
      <w:r>
        <w:rPr>
          <w:rFonts w:ascii="宋体" w:eastAsia="宋体" w:hAnsi="宋体" w:cs="宋体"/>
          <w:spacing w:val="-2"/>
          <w:sz w:val="22"/>
          <w:szCs w:val="22"/>
        </w:rPr>
        <w:t>减少脂肪，适当控制食物胆固醇(&lt;300mg/d)</w:t>
      </w:r>
      <w:r>
        <w:rPr>
          <w:rFonts w:ascii="宋体" w:eastAsia="宋体" w:hAnsi="宋体" w:cs="宋体"/>
          <w:spacing w:val="22"/>
          <w:sz w:val="22"/>
          <w:szCs w:val="22"/>
        </w:rPr>
        <w:t xml:space="preserve"> </w:t>
      </w:r>
      <w:r>
        <w:rPr>
          <w:rFonts w:ascii="宋体" w:eastAsia="宋体" w:hAnsi="宋体" w:cs="宋体"/>
          <w:spacing w:val="-2"/>
          <w:sz w:val="22"/>
          <w:szCs w:val="22"/>
        </w:rPr>
        <w:t>和饱</w:t>
      </w:r>
      <w:r>
        <w:rPr>
          <w:rFonts w:ascii="宋体" w:eastAsia="宋体" w:hAnsi="宋体" w:cs="宋体"/>
          <w:spacing w:val="-3"/>
          <w:sz w:val="22"/>
          <w:szCs w:val="22"/>
        </w:rPr>
        <w:t>和脂肪的摄人，同时患</w:t>
      </w:r>
      <w:r>
        <w:rPr>
          <w:rFonts w:ascii="宋体" w:eastAsia="宋体" w:hAnsi="宋体" w:cs="宋体"/>
          <w:sz w:val="22"/>
          <w:szCs w:val="22"/>
        </w:rPr>
        <w:t xml:space="preserve"> </w:t>
      </w:r>
      <w:r>
        <w:rPr>
          <w:rFonts w:ascii="宋体" w:eastAsia="宋体" w:hAnsi="宋体" w:cs="宋体"/>
          <w:spacing w:val="-13"/>
          <w:sz w:val="22"/>
          <w:szCs w:val="22"/>
        </w:rPr>
        <w:t>高脂血症及冠心病者，更应限制动物脂肪摄入，如长期食用高胆固醇食物，动物</w:t>
      </w:r>
      <w:r>
        <w:rPr>
          <w:rFonts w:ascii="宋体" w:eastAsia="宋体" w:hAnsi="宋体" w:cs="宋体"/>
          <w:spacing w:val="14"/>
          <w:sz w:val="22"/>
          <w:szCs w:val="22"/>
        </w:rPr>
        <w:t xml:space="preserve"> </w:t>
      </w:r>
      <w:r>
        <w:rPr>
          <w:rFonts w:ascii="宋体" w:eastAsia="宋体" w:hAnsi="宋体" w:cs="宋体"/>
          <w:spacing w:val="-12"/>
          <w:sz w:val="22"/>
          <w:szCs w:val="22"/>
        </w:rPr>
        <w:t>内脏、脑髓、蛋黄、肥肉、贝类、动物脂肪等，可引起高脂蛋白</w:t>
      </w:r>
      <w:r>
        <w:rPr>
          <w:rFonts w:ascii="宋体" w:eastAsia="宋体" w:hAnsi="宋体" w:cs="宋体"/>
          <w:spacing w:val="-13"/>
          <w:sz w:val="22"/>
          <w:szCs w:val="22"/>
        </w:rPr>
        <w:t>血症，促使脂质</w:t>
      </w:r>
      <w:r>
        <w:rPr>
          <w:rFonts w:ascii="宋体" w:eastAsia="宋体" w:hAnsi="宋体" w:cs="宋体"/>
          <w:sz w:val="22"/>
          <w:szCs w:val="22"/>
        </w:rPr>
        <w:t xml:space="preserve"> </w:t>
      </w:r>
      <w:r>
        <w:rPr>
          <w:rFonts w:ascii="宋体" w:eastAsia="宋体" w:hAnsi="宋体" w:cs="宋体"/>
          <w:spacing w:val="-3"/>
          <w:sz w:val="22"/>
          <w:szCs w:val="22"/>
        </w:rPr>
        <w:t>沉积，加重高血压。建议膳食脂肪供能量为20%。由于高血压是</w:t>
      </w:r>
      <w:r>
        <w:rPr>
          <w:rFonts w:ascii="宋体" w:eastAsia="宋体" w:hAnsi="宋体" w:cs="宋体"/>
          <w:spacing w:val="-4"/>
          <w:sz w:val="22"/>
          <w:szCs w:val="22"/>
        </w:rPr>
        <w:t>动脉粥样硬化</w:t>
      </w:r>
      <w:r>
        <w:rPr>
          <w:rFonts w:ascii="宋体" w:eastAsia="宋体" w:hAnsi="宋体" w:cs="宋体"/>
          <w:sz w:val="22"/>
          <w:szCs w:val="22"/>
        </w:rPr>
        <w:t xml:space="preserve"> </w:t>
      </w:r>
      <w:r>
        <w:rPr>
          <w:rFonts w:ascii="宋体" w:eastAsia="宋体" w:hAnsi="宋体" w:cs="宋体"/>
          <w:spacing w:val="-15"/>
          <w:sz w:val="22"/>
          <w:szCs w:val="22"/>
        </w:rPr>
        <w:t>的主要易患因素之一，故限制此类饮食也有助于预防缺血性心脏病。</w:t>
      </w:r>
    </w:p>
    <w:p w:rsidR="00EA40A3" w:rsidRDefault="00E86C16">
      <w:pPr>
        <w:spacing w:before="214" w:line="220" w:lineRule="auto"/>
        <w:rPr>
          <w:rFonts w:ascii="仿宋" w:eastAsia="仿宋" w:hAnsi="仿宋" w:cs="仿宋"/>
          <w:sz w:val="22"/>
          <w:szCs w:val="22"/>
        </w:rPr>
      </w:pPr>
      <w:r>
        <w:rPr>
          <w:rFonts w:ascii="仿宋" w:eastAsia="仿宋" w:hAnsi="仿宋" w:cs="仿宋"/>
          <w:spacing w:val="8"/>
          <w:sz w:val="22"/>
          <w:szCs w:val="22"/>
        </w:rPr>
        <w:t>4.</w:t>
      </w:r>
      <w:r>
        <w:rPr>
          <w:rFonts w:ascii="仿宋" w:eastAsia="仿宋" w:hAnsi="仿宋" w:cs="仿宋"/>
          <w:spacing w:val="-22"/>
          <w:sz w:val="22"/>
          <w:szCs w:val="22"/>
        </w:rPr>
        <w:t xml:space="preserve"> </w:t>
      </w:r>
      <w:r>
        <w:rPr>
          <w:rFonts w:ascii="仿宋" w:eastAsia="仿宋" w:hAnsi="仿宋" w:cs="仿宋"/>
          <w:spacing w:val="8"/>
          <w:sz w:val="22"/>
          <w:szCs w:val="22"/>
        </w:rPr>
        <w:t>多进食粗粮</w:t>
      </w:r>
    </w:p>
    <w:p w:rsidR="00EA40A3" w:rsidRDefault="00E86C16">
      <w:pPr>
        <w:spacing w:before="170" w:line="244" w:lineRule="auto"/>
        <w:ind w:right="101" w:firstLine="439"/>
        <w:rPr>
          <w:rFonts w:ascii="宋体" w:eastAsia="宋体" w:hAnsi="宋体" w:cs="宋体"/>
          <w:sz w:val="22"/>
          <w:szCs w:val="22"/>
        </w:rPr>
      </w:pPr>
      <w:r>
        <w:rPr>
          <w:rFonts w:ascii="宋体" w:eastAsia="宋体" w:hAnsi="宋体" w:cs="宋体"/>
          <w:spacing w:val="-13"/>
          <w:sz w:val="22"/>
          <w:szCs w:val="22"/>
        </w:rPr>
        <w:t>进食富含碳水化合物和膳食纤维的粗粮，如糙米、标准粉、玉米、小米等可</w:t>
      </w:r>
      <w:r>
        <w:rPr>
          <w:rFonts w:ascii="宋体" w:eastAsia="宋体" w:hAnsi="宋体" w:cs="宋体"/>
          <w:spacing w:val="6"/>
          <w:sz w:val="22"/>
          <w:szCs w:val="22"/>
        </w:rPr>
        <w:t xml:space="preserve"> </w:t>
      </w:r>
      <w:r>
        <w:rPr>
          <w:rFonts w:ascii="宋体" w:eastAsia="宋体" w:hAnsi="宋体" w:cs="宋体"/>
          <w:spacing w:val="-12"/>
          <w:sz w:val="22"/>
          <w:szCs w:val="22"/>
        </w:rPr>
        <w:t>促进肠蠕动，加速胆固醇排出，对防治高血压病有利</w:t>
      </w:r>
    </w:p>
    <w:p w:rsidR="00EA40A3" w:rsidRDefault="00E86C16">
      <w:pPr>
        <w:spacing w:before="197" w:line="222" w:lineRule="auto"/>
        <w:rPr>
          <w:rFonts w:ascii="仿宋" w:eastAsia="仿宋" w:hAnsi="仿宋" w:cs="仿宋"/>
          <w:sz w:val="22"/>
          <w:szCs w:val="22"/>
        </w:rPr>
      </w:pPr>
      <w:r>
        <w:rPr>
          <w:rFonts w:ascii="仿宋" w:eastAsia="仿宋" w:hAnsi="仿宋" w:cs="仿宋"/>
          <w:spacing w:val="11"/>
          <w:sz w:val="22"/>
          <w:szCs w:val="22"/>
        </w:rPr>
        <w:t>5.</w:t>
      </w:r>
      <w:r>
        <w:rPr>
          <w:rFonts w:ascii="仿宋" w:eastAsia="仿宋" w:hAnsi="仿宋" w:cs="仿宋"/>
          <w:spacing w:val="-17"/>
          <w:sz w:val="22"/>
          <w:szCs w:val="22"/>
        </w:rPr>
        <w:t xml:space="preserve"> </w:t>
      </w:r>
      <w:r>
        <w:rPr>
          <w:rFonts w:ascii="仿宋" w:eastAsia="仿宋" w:hAnsi="仿宋" w:cs="仿宋"/>
          <w:spacing w:val="11"/>
          <w:sz w:val="22"/>
          <w:szCs w:val="22"/>
        </w:rPr>
        <w:t>限制钠盐的摄入</w:t>
      </w:r>
    </w:p>
    <w:p w:rsidR="00EA40A3" w:rsidRDefault="00E86C16">
      <w:pPr>
        <w:spacing w:before="185" w:line="248" w:lineRule="auto"/>
        <w:ind w:right="61" w:firstLine="500"/>
        <w:jc w:val="both"/>
        <w:rPr>
          <w:rFonts w:ascii="宋体" w:eastAsia="宋体" w:hAnsi="宋体" w:cs="宋体"/>
          <w:sz w:val="22"/>
          <w:szCs w:val="22"/>
        </w:rPr>
      </w:pPr>
      <w:r>
        <w:rPr>
          <w:rFonts w:ascii="宋体" w:eastAsia="宋体" w:hAnsi="宋体" w:cs="宋体"/>
          <w:spacing w:val="-13"/>
          <w:sz w:val="22"/>
          <w:szCs w:val="22"/>
        </w:rPr>
        <w:t>首先，流行病学方面资料表明，高血压病的发</w:t>
      </w:r>
      <w:r>
        <w:rPr>
          <w:rFonts w:ascii="宋体" w:eastAsia="宋体" w:hAnsi="宋体" w:cs="宋体"/>
          <w:spacing w:val="-14"/>
          <w:sz w:val="22"/>
          <w:szCs w:val="22"/>
        </w:rPr>
        <w:t>病率与居民膳食中钠盐摄入量</w:t>
      </w:r>
      <w:r>
        <w:rPr>
          <w:rFonts w:ascii="宋体" w:eastAsia="宋体" w:hAnsi="宋体" w:cs="宋体"/>
          <w:sz w:val="22"/>
          <w:szCs w:val="22"/>
        </w:rPr>
        <w:t xml:space="preserve"> </w:t>
      </w:r>
      <w:r>
        <w:rPr>
          <w:rFonts w:ascii="宋体" w:eastAsia="宋体" w:hAnsi="宋体" w:cs="宋体"/>
          <w:spacing w:val="-13"/>
          <w:sz w:val="22"/>
          <w:szCs w:val="22"/>
        </w:rPr>
        <w:t>呈显著正相关。例如，阿拉斯加的爱斯基摩人食盐的摄入量极低</w:t>
      </w:r>
      <w:r>
        <w:rPr>
          <w:rFonts w:ascii="宋体" w:eastAsia="宋体" w:hAnsi="宋体" w:cs="宋体"/>
          <w:spacing w:val="-14"/>
          <w:sz w:val="22"/>
          <w:szCs w:val="22"/>
        </w:rPr>
        <w:t>，几乎未见高血</w:t>
      </w:r>
      <w:r>
        <w:rPr>
          <w:rFonts w:ascii="宋体" w:eastAsia="宋体" w:hAnsi="宋体" w:cs="宋体"/>
          <w:sz w:val="22"/>
          <w:szCs w:val="22"/>
        </w:rPr>
        <w:t xml:space="preserve"> </w:t>
      </w:r>
      <w:r>
        <w:rPr>
          <w:rFonts w:ascii="宋体" w:eastAsia="宋体" w:hAnsi="宋体" w:cs="宋体"/>
          <w:spacing w:val="-11"/>
          <w:sz w:val="22"/>
          <w:szCs w:val="22"/>
        </w:rPr>
        <w:t>压。相反，日本北部农村的居民平均每天摄入25g</w:t>
      </w:r>
      <w:r>
        <w:rPr>
          <w:rFonts w:ascii="宋体" w:eastAsia="宋体" w:hAnsi="宋体" w:cs="宋体"/>
          <w:spacing w:val="-38"/>
          <w:sz w:val="22"/>
          <w:szCs w:val="22"/>
        </w:rPr>
        <w:t xml:space="preserve"> </w:t>
      </w:r>
      <w:r>
        <w:rPr>
          <w:rFonts w:ascii="宋体" w:eastAsia="宋体" w:hAnsi="宋体" w:cs="宋体"/>
          <w:spacing w:val="-11"/>
          <w:sz w:val="22"/>
          <w:szCs w:val="22"/>
        </w:rPr>
        <w:t>以上的食盐，</w:t>
      </w:r>
      <w:r>
        <w:rPr>
          <w:rFonts w:ascii="宋体" w:eastAsia="宋体" w:hAnsi="宋体" w:cs="宋体"/>
          <w:spacing w:val="-12"/>
          <w:sz w:val="22"/>
          <w:szCs w:val="22"/>
        </w:rPr>
        <w:t>高血压的发生率</w:t>
      </w:r>
      <w:r>
        <w:rPr>
          <w:rFonts w:ascii="宋体" w:eastAsia="宋体" w:hAnsi="宋体" w:cs="宋体"/>
          <w:sz w:val="22"/>
          <w:szCs w:val="22"/>
        </w:rPr>
        <w:t xml:space="preserve"> </w:t>
      </w:r>
      <w:r>
        <w:rPr>
          <w:rFonts w:ascii="宋体" w:eastAsia="宋体" w:hAnsi="宋体" w:cs="宋体"/>
          <w:spacing w:val="-4"/>
          <w:sz w:val="22"/>
          <w:szCs w:val="22"/>
        </w:rPr>
        <w:t>几近40%。弗来明汉地区的调查显示，居民每天食盐量为8～13g,</w:t>
      </w:r>
      <w:r>
        <w:rPr>
          <w:rFonts w:ascii="宋体" w:eastAsia="宋体" w:hAnsi="宋体" w:cs="宋体"/>
          <w:spacing w:val="16"/>
          <w:sz w:val="22"/>
          <w:szCs w:val="22"/>
        </w:rPr>
        <w:t xml:space="preserve"> </w:t>
      </w:r>
      <w:r>
        <w:rPr>
          <w:rFonts w:ascii="宋体" w:eastAsia="宋体" w:hAnsi="宋体" w:cs="宋体"/>
          <w:spacing w:val="-4"/>
          <w:sz w:val="22"/>
          <w:szCs w:val="22"/>
        </w:rPr>
        <w:t>高血压的发</w:t>
      </w:r>
      <w:r>
        <w:rPr>
          <w:rFonts w:ascii="宋体" w:eastAsia="宋体" w:hAnsi="宋体" w:cs="宋体"/>
          <w:sz w:val="22"/>
          <w:szCs w:val="22"/>
        </w:rPr>
        <w:t xml:space="preserve"> </w:t>
      </w:r>
      <w:r>
        <w:rPr>
          <w:rFonts w:ascii="宋体" w:eastAsia="宋体" w:hAnsi="宋体" w:cs="宋体"/>
          <w:spacing w:val="4"/>
          <w:sz w:val="22"/>
          <w:szCs w:val="22"/>
        </w:rPr>
        <w:t>病率从20%增至24%～37%。其次，临</w:t>
      </w:r>
      <w:r>
        <w:rPr>
          <w:rFonts w:ascii="宋体" w:eastAsia="宋体" w:hAnsi="宋体" w:cs="宋体"/>
          <w:spacing w:val="3"/>
          <w:sz w:val="22"/>
          <w:szCs w:val="22"/>
        </w:rPr>
        <w:t>床观察表明，不少轻度高血压病人，只</w:t>
      </w:r>
      <w:r>
        <w:rPr>
          <w:rFonts w:ascii="宋体" w:eastAsia="宋体" w:hAnsi="宋体" w:cs="宋体"/>
          <w:sz w:val="22"/>
          <w:szCs w:val="22"/>
        </w:rPr>
        <w:t xml:space="preserve"> </w:t>
      </w:r>
      <w:r>
        <w:rPr>
          <w:rFonts w:ascii="宋体" w:eastAsia="宋体" w:hAnsi="宋体" w:cs="宋体"/>
          <w:spacing w:val="-13"/>
          <w:sz w:val="22"/>
          <w:szCs w:val="22"/>
        </w:rPr>
        <w:t>需中度限制钠盐摄入，即可使其血压降至正常范围，部分对盐敏感的个体，对低</w:t>
      </w:r>
      <w:r>
        <w:rPr>
          <w:rFonts w:ascii="宋体" w:eastAsia="宋体" w:hAnsi="宋体" w:cs="宋体"/>
          <w:spacing w:val="17"/>
          <w:sz w:val="22"/>
          <w:szCs w:val="22"/>
        </w:rPr>
        <w:t xml:space="preserve"> </w:t>
      </w:r>
      <w:r>
        <w:rPr>
          <w:rFonts w:ascii="宋体" w:eastAsia="宋体" w:hAnsi="宋体" w:cs="宋体"/>
          <w:spacing w:val="-13"/>
          <w:sz w:val="22"/>
          <w:szCs w:val="22"/>
        </w:rPr>
        <w:t>盐饮食反应尤佳。即使是重度或顽固性高血压病患者，低盐饮食也常可增加药物</w:t>
      </w:r>
      <w:r>
        <w:rPr>
          <w:rFonts w:ascii="宋体" w:eastAsia="宋体" w:hAnsi="宋体" w:cs="宋体"/>
          <w:spacing w:val="14"/>
          <w:sz w:val="22"/>
          <w:szCs w:val="22"/>
        </w:rPr>
        <w:t xml:space="preserve"> </w:t>
      </w:r>
      <w:r>
        <w:rPr>
          <w:rFonts w:ascii="宋体" w:eastAsia="宋体" w:hAnsi="宋体" w:cs="宋体"/>
          <w:spacing w:val="-7"/>
          <w:sz w:val="22"/>
          <w:szCs w:val="22"/>
        </w:rPr>
        <w:t>疗效，减少用药剂量。动物实验表明，钠盐摄入过多可使小鸡和大鼠形成高血</w:t>
      </w:r>
      <w:r>
        <w:rPr>
          <w:rFonts w:ascii="宋体" w:eastAsia="宋体" w:hAnsi="宋体" w:cs="宋体"/>
          <w:spacing w:val="16"/>
          <w:sz w:val="22"/>
          <w:szCs w:val="22"/>
        </w:rPr>
        <w:t xml:space="preserve"> </w:t>
      </w:r>
      <w:r>
        <w:rPr>
          <w:rFonts w:ascii="宋体" w:eastAsia="宋体" w:hAnsi="宋体" w:cs="宋体"/>
          <w:spacing w:val="-13"/>
          <w:sz w:val="22"/>
          <w:szCs w:val="22"/>
        </w:rPr>
        <w:t>压，血压增高的程度与盐量成正比。钠盐摄入过多引起高血压可能与细胞外液扩</w:t>
      </w:r>
      <w:r>
        <w:rPr>
          <w:rFonts w:ascii="宋体" w:eastAsia="宋体" w:hAnsi="宋体" w:cs="宋体"/>
          <w:spacing w:val="13"/>
          <w:sz w:val="22"/>
          <w:szCs w:val="22"/>
        </w:rPr>
        <w:t xml:space="preserve"> </w:t>
      </w:r>
      <w:r>
        <w:rPr>
          <w:rFonts w:ascii="宋体" w:eastAsia="宋体" w:hAnsi="宋体" w:cs="宋体"/>
          <w:spacing w:val="-13"/>
          <w:sz w:val="22"/>
          <w:szCs w:val="22"/>
        </w:rPr>
        <w:t>张，心排血量增加，组织过分灌注，以至造成周围血管阻力增加和血压增高。建</w:t>
      </w:r>
      <w:r>
        <w:rPr>
          <w:rFonts w:ascii="宋体" w:eastAsia="宋体" w:hAnsi="宋体" w:cs="宋体"/>
          <w:spacing w:val="12"/>
          <w:sz w:val="22"/>
          <w:szCs w:val="22"/>
        </w:rPr>
        <w:t xml:space="preserve"> </w:t>
      </w:r>
      <w:r>
        <w:rPr>
          <w:rFonts w:ascii="宋体" w:eastAsia="宋体" w:hAnsi="宋体" w:cs="宋体"/>
          <w:spacing w:val="-8"/>
          <w:sz w:val="22"/>
          <w:szCs w:val="22"/>
        </w:rPr>
        <w:t>议钠盐摄入量小于6g/d。</w:t>
      </w:r>
    </w:p>
    <w:p w:rsidR="00EA40A3" w:rsidRDefault="00E86C16">
      <w:pPr>
        <w:spacing w:before="279" w:line="221" w:lineRule="auto"/>
        <w:rPr>
          <w:rFonts w:ascii="仿宋" w:eastAsia="仿宋" w:hAnsi="仿宋" w:cs="仿宋"/>
          <w:sz w:val="22"/>
          <w:szCs w:val="22"/>
        </w:rPr>
      </w:pPr>
      <w:r>
        <w:rPr>
          <w:rFonts w:ascii="仿宋" w:eastAsia="仿宋" w:hAnsi="仿宋" w:cs="仿宋"/>
          <w:spacing w:val="14"/>
          <w:sz w:val="22"/>
          <w:szCs w:val="22"/>
        </w:rPr>
        <w:t>6.</w:t>
      </w:r>
      <w:r>
        <w:rPr>
          <w:rFonts w:ascii="仿宋" w:eastAsia="仿宋" w:hAnsi="仿宋" w:cs="仿宋"/>
          <w:spacing w:val="-31"/>
          <w:sz w:val="22"/>
          <w:szCs w:val="22"/>
        </w:rPr>
        <w:t xml:space="preserve"> </w:t>
      </w:r>
      <w:r>
        <w:rPr>
          <w:rFonts w:ascii="仿宋" w:eastAsia="仿宋" w:hAnsi="仿宋" w:cs="仿宋"/>
          <w:spacing w:val="14"/>
          <w:sz w:val="22"/>
          <w:szCs w:val="22"/>
        </w:rPr>
        <w:t>宜多食含钾、钙、镁的食物</w:t>
      </w:r>
    </w:p>
    <w:p w:rsidR="00EA40A3" w:rsidRDefault="00E86C16">
      <w:pPr>
        <w:spacing w:before="190" w:line="247" w:lineRule="auto"/>
        <w:ind w:firstLine="439"/>
        <w:jc w:val="both"/>
        <w:rPr>
          <w:rFonts w:ascii="宋体" w:eastAsia="宋体" w:hAnsi="宋体" w:cs="宋体"/>
          <w:sz w:val="22"/>
          <w:szCs w:val="22"/>
        </w:rPr>
      </w:pPr>
      <w:r>
        <w:rPr>
          <w:rFonts w:ascii="宋体" w:eastAsia="宋体" w:hAnsi="宋体" w:cs="宋体"/>
          <w:spacing w:val="-10"/>
          <w:sz w:val="22"/>
          <w:szCs w:val="22"/>
        </w:rPr>
        <w:t>钾在体内能缓解钠的有害作用，促进钠的排出，可以降压。流行病学表明，</w:t>
      </w:r>
      <w:r>
        <w:rPr>
          <w:rFonts w:ascii="宋体" w:eastAsia="宋体" w:hAnsi="宋体" w:cs="宋体"/>
          <w:spacing w:val="9"/>
          <w:sz w:val="22"/>
          <w:szCs w:val="22"/>
        </w:rPr>
        <w:t xml:space="preserve"> </w:t>
      </w:r>
      <w:r>
        <w:rPr>
          <w:rFonts w:ascii="宋体" w:eastAsia="宋体" w:hAnsi="宋体" w:cs="宋体"/>
          <w:spacing w:val="-7"/>
          <w:sz w:val="22"/>
          <w:szCs w:val="22"/>
        </w:rPr>
        <w:t>食物中钾摄入量与血压呈负相关，高钾可对抗高钠引起的高血压效应。钾的摄</w:t>
      </w:r>
      <w:r>
        <w:rPr>
          <w:rFonts w:ascii="宋体" w:eastAsia="宋体" w:hAnsi="宋体" w:cs="宋体"/>
          <w:spacing w:val="8"/>
          <w:sz w:val="22"/>
          <w:szCs w:val="22"/>
        </w:rPr>
        <w:t xml:space="preserve">  </w:t>
      </w:r>
      <w:r>
        <w:rPr>
          <w:rFonts w:ascii="宋体" w:eastAsia="宋体" w:hAnsi="宋体" w:cs="宋体"/>
          <w:spacing w:val="-13"/>
          <w:sz w:val="22"/>
          <w:szCs w:val="22"/>
        </w:rPr>
        <w:t>入，增加尿钠排泄与降低容量负荷。膳食钙摄入低的人群其高血压患病率明显增</w:t>
      </w:r>
      <w:r>
        <w:rPr>
          <w:rFonts w:ascii="宋体" w:eastAsia="宋体" w:hAnsi="宋体" w:cs="宋体"/>
          <w:sz w:val="22"/>
          <w:szCs w:val="22"/>
        </w:rPr>
        <w:t xml:space="preserve">  </w:t>
      </w:r>
      <w:r>
        <w:rPr>
          <w:rFonts w:ascii="宋体" w:eastAsia="宋体" w:hAnsi="宋体" w:cs="宋体"/>
          <w:spacing w:val="-10"/>
          <w:sz w:val="22"/>
          <w:szCs w:val="22"/>
        </w:rPr>
        <w:t>加，而每天摄入钙在1000mg</w:t>
      </w:r>
      <w:r>
        <w:rPr>
          <w:rFonts w:ascii="宋体" w:eastAsia="宋体" w:hAnsi="宋体" w:cs="宋体"/>
          <w:spacing w:val="12"/>
          <w:sz w:val="22"/>
          <w:szCs w:val="22"/>
        </w:rPr>
        <w:t xml:space="preserve"> </w:t>
      </w:r>
      <w:r>
        <w:rPr>
          <w:rFonts w:ascii="宋体" w:eastAsia="宋体" w:hAnsi="宋体" w:cs="宋体"/>
          <w:spacing w:val="-10"/>
          <w:sz w:val="22"/>
          <w:szCs w:val="22"/>
        </w:rPr>
        <w:t>以上的人，患高血压的危险性降低。</w:t>
      </w:r>
    </w:p>
    <w:p w:rsidR="00EA40A3" w:rsidRDefault="00E86C16">
      <w:pPr>
        <w:spacing w:before="41" w:line="252" w:lineRule="auto"/>
        <w:ind w:right="99" w:firstLine="439"/>
        <w:jc w:val="both"/>
        <w:rPr>
          <w:rFonts w:ascii="宋体" w:eastAsia="宋体" w:hAnsi="宋体" w:cs="宋体"/>
          <w:sz w:val="22"/>
          <w:szCs w:val="22"/>
        </w:rPr>
      </w:pPr>
      <w:r>
        <w:rPr>
          <w:rFonts w:ascii="宋体" w:eastAsia="宋体" w:hAnsi="宋体" w:cs="宋体"/>
          <w:spacing w:val="-13"/>
          <w:sz w:val="22"/>
          <w:szCs w:val="22"/>
        </w:rPr>
        <w:t>饮食钙摄入对高钠摄入的升压效应也具有拮抗作用。高钙的降压机理可能是</w:t>
      </w:r>
      <w:r>
        <w:rPr>
          <w:rFonts w:ascii="宋体" w:eastAsia="宋体" w:hAnsi="宋体" w:cs="宋体"/>
          <w:spacing w:val="8"/>
          <w:sz w:val="22"/>
          <w:szCs w:val="22"/>
        </w:rPr>
        <w:t xml:space="preserve"> </w:t>
      </w:r>
      <w:r>
        <w:rPr>
          <w:rFonts w:ascii="宋体" w:eastAsia="宋体" w:hAnsi="宋体" w:cs="宋体"/>
          <w:spacing w:val="-10"/>
          <w:sz w:val="22"/>
          <w:szCs w:val="22"/>
        </w:rPr>
        <w:t>提高NO</w:t>
      </w:r>
      <w:r>
        <w:rPr>
          <w:rFonts w:ascii="宋体" w:eastAsia="宋体" w:hAnsi="宋体" w:cs="宋体"/>
          <w:spacing w:val="31"/>
          <w:sz w:val="22"/>
          <w:szCs w:val="22"/>
        </w:rPr>
        <w:t xml:space="preserve"> </w:t>
      </w:r>
      <w:r>
        <w:rPr>
          <w:rFonts w:ascii="宋体" w:eastAsia="宋体" w:hAnsi="宋体" w:cs="宋体"/>
          <w:spacing w:val="-10"/>
          <w:sz w:val="22"/>
          <w:szCs w:val="22"/>
        </w:rPr>
        <w:t>介导的血管平滑肌的舒张作用。钙的降压机制可</w:t>
      </w:r>
      <w:r>
        <w:rPr>
          <w:rFonts w:ascii="宋体" w:eastAsia="宋体" w:hAnsi="宋体" w:cs="宋体"/>
          <w:spacing w:val="-11"/>
          <w:sz w:val="22"/>
          <w:szCs w:val="22"/>
        </w:rPr>
        <w:t>能还在于稳定细胞膜结</w:t>
      </w:r>
      <w:r>
        <w:rPr>
          <w:rFonts w:ascii="宋体" w:eastAsia="宋体" w:hAnsi="宋体" w:cs="宋体"/>
          <w:sz w:val="22"/>
          <w:szCs w:val="22"/>
        </w:rPr>
        <w:t xml:space="preserve"> </w:t>
      </w:r>
      <w:r>
        <w:rPr>
          <w:rFonts w:ascii="宋体" w:eastAsia="宋体" w:hAnsi="宋体" w:cs="宋体"/>
          <w:spacing w:val="-11"/>
          <w:sz w:val="22"/>
          <w:szCs w:val="22"/>
        </w:rPr>
        <w:t>构，控制膜离子通透性，使Ca*</w:t>
      </w:r>
      <w:r>
        <w:rPr>
          <w:rFonts w:ascii="宋体" w:eastAsia="宋体" w:hAnsi="宋体" w:cs="宋体"/>
          <w:spacing w:val="-47"/>
          <w:sz w:val="22"/>
          <w:szCs w:val="22"/>
        </w:rPr>
        <w:t xml:space="preserve"> </w:t>
      </w:r>
      <w:r>
        <w:rPr>
          <w:rFonts w:ascii="宋体" w:eastAsia="宋体" w:hAnsi="宋体" w:cs="宋体"/>
          <w:spacing w:val="-11"/>
          <w:sz w:val="22"/>
          <w:szCs w:val="22"/>
        </w:rPr>
        <w:t>不致大量进入细胞内；钙与钙调蛋白结合，激活</w:t>
      </w:r>
      <w:r>
        <w:rPr>
          <w:rFonts w:ascii="宋体" w:eastAsia="宋体" w:hAnsi="宋体" w:cs="宋体"/>
          <w:sz w:val="22"/>
          <w:szCs w:val="22"/>
        </w:rPr>
        <w:t xml:space="preserve"> 细胞膜钙泵，增加钙的外流，使细胞内钙浓度降低。</w:t>
      </w:r>
      <w:r>
        <w:rPr>
          <w:rFonts w:ascii="宋体" w:eastAsia="宋体" w:hAnsi="宋体" w:cs="宋体"/>
          <w:spacing w:val="-1"/>
          <w:sz w:val="22"/>
          <w:szCs w:val="22"/>
        </w:rPr>
        <w:t>防止血管平滑肌细胞内</w:t>
      </w:r>
      <w:r>
        <w:rPr>
          <w:rFonts w:ascii="宋体" w:eastAsia="宋体" w:hAnsi="宋体" w:cs="宋体"/>
          <w:sz w:val="22"/>
          <w:szCs w:val="22"/>
        </w:rPr>
        <w:t xml:space="preserve"> </w:t>
      </w:r>
      <w:r>
        <w:rPr>
          <w:rFonts w:ascii="宋体" w:eastAsia="宋体" w:hAnsi="宋体" w:cs="宋体"/>
          <w:spacing w:val="-6"/>
          <w:sz w:val="22"/>
          <w:szCs w:val="22"/>
        </w:rPr>
        <w:t>Ca²+的积聚就可防止血管的收缩，从而防止血压的升高。同时增加钙和钾的摄</w:t>
      </w:r>
    </w:p>
    <w:p w:rsidR="00EA40A3" w:rsidRDefault="00E86C16">
      <w:pPr>
        <w:spacing w:before="66"/>
        <w:ind w:right="9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369</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929" w:bottom="400" w:left="910"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9"/>
          <w:sz w:val="22"/>
          <w:szCs w:val="22"/>
        </w:rPr>
        <w:t>入，降低血压更为有效。</w:t>
      </w:r>
    </w:p>
    <w:p w:rsidR="00EA40A3" w:rsidRDefault="00E86C16">
      <w:pPr>
        <w:spacing w:before="51" w:line="246" w:lineRule="auto"/>
        <w:ind w:right="19" w:firstLine="419"/>
        <w:jc w:val="both"/>
        <w:rPr>
          <w:rFonts w:ascii="宋体" w:eastAsia="宋体" w:hAnsi="宋体" w:cs="宋体"/>
          <w:sz w:val="22"/>
          <w:szCs w:val="22"/>
        </w:rPr>
      </w:pPr>
      <w:r>
        <w:rPr>
          <w:rFonts w:ascii="宋体" w:eastAsia="宋体" w:hAnsi="宋体" w:cs="宋体"/>
          <w:spacing w:val="4"/>
          <w:sz w:val="22"/>
          <w:szCs w:val="22"/>
        </w:rPr>
        <w:t>研究还发现，镁离子可能通过影响必需脂肪酸和</w:t>
      </w:r>
      <w:r>
        <w:rPr>
          <w:rFonts w:ascii="宋体" w:eastAsia="宋体" w:hAnsi="宋体" w:cs="宋体"/>
          <w:spacing w:val="-43"/>
          <w:sz w:val="22"/>
          <w:szCs w:val="22"/>
        </w:rPr>
        <w:t xml:space="preserve"> </w:t>
      </w:r>
      <w:r>
        <w:rPr>
          <w:rFonts w:ascii="宋体" w:eastAsia="宋体" w:hAnsi="宋体" w:cs="宋体"/>
          <w:sz w:val="22"/>
          <w:szCs w:val="22"/>
        </w:rPr>
        <w:t>PG</w:t>
      </w:r>
      <w:r>
        <w:rPr>
          <w:rFonts w:ascii="宋体" w:eastAsia="宋体" w:hAnsi="宋体" w:cs="宋体"/>
          <w:spacing w:val="25"/>
          <w:sz w:val="22"/>
          <w:szCs w:val="22"/>
        </w:rPr>
        <w:t xml:space="preserve"> </w:t>
      </w:r>
      <w:r>
        <w:rPr>
          <w:rFonts w:ascii="宋体" w:eastAsia="宋体" w:hAnsi="宋体" w:cs="宋体"/>
          <w:spacing w:val="4"/>
          <w:sz w:val="22"/>
          <w:szCs w:val="22"/>
        </w:rPr>
        <w:t>代谢防治高血压。</w:t>
      </w:r>
      <w:r>
        <w:rPr>
          <w:rFonts w:ascii="宋体" w:eastAsia="宋体" w:hAnsi="宋体" w:cs="宋体"/>
          <w:sz w:val="22"/>
          <w:szCs w:val="22"/>
        </w:rPr>
        <w:t xml:space="preserve"> </w:t>
      </w:r>
      <w:r>
        <w:rPr>
          <w:rFonts w:ascii="宋体" w:eastAsia="宋体" w:hAnsi="宋体" w:cs="宋体"/>
          <w:spacing w:val="-12"/>
          <w:sz w:val="22"/>
          <w:szCs w:val="22"/>
        </w:rPr>
        <w:t>Mg²+是亚麻酸</w:t>
      </w:r>
      <w:r>
        <w:rPr>
          <w:rFonts w:ascii="宋体" w:eastAsia="宋体" w:hAnsi="宋体" w:cs="宋体"/>
          <w:spacing w:val="-28"/>
          <w:sz w:val="22"/>
          <w:szCs w:val="22"/>
        </w:rPr>
        <w:t xml:space="preserve"> </w:t>
      </w:r>
      <w:r>
        <w:rPr>
          <w:rFonts w:ascii="宋体" w:eastAsia="宋体" w:hAnsi="宋体" w:cs="宋体"/>
          <w:spacing w:val="-12"/>
          <w:sz w:val="22"/>
          <w:szCs w:val="22"/>
        </w:rPr>
        <w:t>(LA)</w:t>
      </w:r>
      <w:r>
        <w:rPr>
          <w:rFonts w:ascii="宋体" w:eastAsia="宋体" w:hAnsi="宋体" w:cs="宋体"/>
          <w:spacing w:val="87"/>
          <w:sz w:val="22"/>
          <w:szCs w:val="22"/>
        </w:rPr>
        <w:t xml:space="preserve"> </w:t>
      </w:r>
      <w:r>
        <w:rPr>
          <w:rFonts w:ascii="宋体" w:eastAsia="宋体" w:hAnsi="宋体" w:cs="宋体"/>
          <w:spacing w:val="-12"/>
          <w:sz w:val="22"/>
          <w:szCs w:val="22"/>
        </w:rPr>
        <w:t>转化生成γ-次亚</w:t>
      </w:r>
      <w:r>
        <w:rPr>
          <w:rFonts w:ascii="宋体" w:eastAsia="宋体" w:hAnsi="宋体" w:cs="宋体"/>
          <w:spacing w:val="-13"/>
          <w:sz w:val="22"/>
          <w:szCs w:val="22"/>
        </w:rPr>
        <w:t>麻酸</w:t>
      </w:r>
      <w:r>
        <w:rPr>
          <w:rFonts w:ascii="宋体" w:eastAsia="宋体" w:hAnsi="宋体" w:cs="宋体"/>
          <w:spacing w:val="-19"/>
          <w:sz w:val="22"/>
          <w:szCs w:val="22"/>
        </w:rPr>
        <w:t xml:space="preserve"> </w:t>
      </w:r>
      <w:r>
        <w:rPr>
          <w:rFonts w:ascii="宋体" w:eastAsia="宋体" w:hAnsi="宋体" w:cs="宋体"/>
          <w:spacing w:val="-13"/>
          <w:sz w:val="22"/>
          <w:szCs w:val="22"/>
        </w:rPr>
        <w:t>(</w:t>
      </w:r>
      <w:r>
        <w:rPr>
          <w:rFonts w:ascii="宋体" w:eastAsia="宋体" w:hAnsi="宋体" w:cs="宋体"/>
          <w:spacing w:val="-12"/>
          <w:sz w:val="22"/>
          <w:szCs w:val="22"/>
        </w:rPr>
        <w:t>GLA</w:t>
      </w:r>
      <w:r>
        <w:rPr>
          <w:rFonts w:ascii="宋体" w:eastAsia="宋体" w:hAnsi="宋体" w:cs="宋体"/>
          <w:spacing w:val="-13"/>
          <w:sz w:val="22"/>
          <w:szCs w:val="22"/>
        </w:rPr>
        <w:t>)</w:t>
      </w:r>
      <w:r>
        <w:rPr>
          <w:rFonts w:ascii="宋体" w:eastAsia="宋体" w:hAnsi="宋体" w:cs="宋体"/>
          <w:spacing w:val="23"/>
          <w:sz w:val="22"/>
          <w:szCs w:val="22"/>
        </w:rPr>
        <w:t xml:space="preserve">  </w:t>
      </w:r>
      <w:r>
        <w:rPr>
          <w:rFonts w:ascii="宋体" w:eastAsia="宋体" w:hAnsi="宋体" w:cs="宋体"/>
          <w:spacing w:val="-13"/>
          <w:sz w:val="22"/>
          <w:szCs w:val="22"/>
        </w:rPr>
        <w:t>限速酶——</w:t>
      </w:r>
      <w:r>
        <w:rPr>
          <w:rFonts w:ascii="宋体" w:eastAsia="宋体" w:hAnsi="宋体" w:cs="宋体"/>
          <w:spacing w:val="-45"/>
          <w:sz w:val="22"/>
          <w:szCs w:val="22"/>
        </w:rPr>
        <w:t xml:space="preserve"> </w:t>
      </w:r>
      <w:r>
        <w:rPr>
          <w:rFonts w:ascii="宋体" w:eastAsia="宋体" w:hAnsi="宋体" w:cs="宋体"/>
          <w:spacing w:val="-13"/>
          <w:sz w:val="22"/>
          <w:szCs w:val="22"/>
        </w:rPr>
        <w:t>δ-6去饱和酶的</w:t>
      </w:r>
      <w:r>
        <w:rPr>
          <w:rFonts w:ascii="宋体" w:eastAsia="宋体" w:hAnsi="宋体" w:cs="宋体"/>
          <w:sz w:val="22"/>
          <w:szCs w:val="22"/>
        </w:rPr>
        <w:t xml:space="preserve">  </w:t>
      </w:r>
      <w:r>
        <w:rPr>
          <w:rFonts w:ascii="宋体" w:eastAsia="宋体" w:hAnsi="宋体" w:cs="宋体"/>
          <w:spacing w:val="-8"/>
          <w:sz w:val="22"/>
          <w:szCs w:val="22"/>
        </w:rPr>
        <w:t>辅助因子，而二高γ-亚麻酸</w:t>
      </w:r>
      <w:r>
        <w:rPr>
          <w:rFonts w:ascii="宋体" w:eastAsia="宋体" w:hAnsi="宋体" w:cs="宋体"/>
          <w:spacing w:val="-11"/>
          <w:sz w:val="22"/>
          <w:szCs w:val="22"/>
        </w:rPr>
        <w:t xml:space="preserve"> </w:t>
      </w:r>
      <w:r>
        <w:rPr>
          <w:rFonts w:ascii="宋体" w:eastAsia="宋体" w:hAnsi="宋体" w:cs="宋体"/>
          <w:spacing w:val="-8"/>
          <w:sz w:val="22"/>
          <w:szCs w:val="22"/>
        </w:rPr>
        <w:t>(dihomogamma-linolenic</w:t>
      </w:r>
      <w:r>
        <w:rPr>
          <w:rFonts w:ascii="宋体" w:eastAsia="宋体" w:hAnsi="宋体" w:cs="宋体"/>
          <w:spacing w:val="8"/>
          <w:sz w:val="22"/>
          <w:szCs w:val="22"/>
        </w:rPr>
        <w:t xml:space="preserve"> </w:t>
      </w:r>
      <w:r>
        <w:rPr>
          <w:rFonts w:ascii="宋体" w:eastAsia="宋体" w:hAnsi="宋体" w:cs="宋体"/>
          <w:spacing w:val="-8"/>
          <w:sz w:val="22"/>
          <w:szCs w:val="22"/>
        </w:rPr>
        <w:t>acid,DGLA)</w:t>
      </w:r>
      <w:r>
        <w:rPr>
          <w:rFonts w:ascii="宋体" w:eastAsia="宋体" w:hAnsi="宋体" w:cs="宋体"/>
          <w:spacing w:val="-58"/>
          <w:sz w:val="22"/>
          <w:szCs w:val="22"/>
        </w:rPr>
        <w:t xml:space="preserve"> </w:t>
      </w:r>
      <w:r>
        <w:rPr>
          <w:rFonts w:ascii="宋体" w:eastAsia="宋体" w:hAnsi="宋体" w:cs="宋体"/>
          <w:spacing w:val="-8"/>
          <w:sz w:val="22"/>
          <w:szCs w:val="22"/>
        </w:rPr>
        <w:t>是一种具有</w:t>
      </w:r>
      <w:r>
        <w:rPr>
          <w:rFonts w:ascii="宋体" w:eastAsia="宋体" w:hAnsi="宋体" w:cs="宋体"/>
          <w:sz w:val="22"/>
          <w:szCs w:val="22"/>
        </w:rPr>
        <w:t xml:space="preserve">  </w:t>
      </w:r>
      <w:r>
        <w:rPr>
          <w:rFonts w:ascii="宋体" w:eastAsia="宋体" w:hAnsi="宋体" w:cs="宋体"/>
          <w:spacing w:val="-9"/>
          <w:sz w:val="22"/>
          <w:szCs w:val="22"/>
        </w:rPr>
        <w:t>扩张血管和抗凝作用的细胞因子——前列腺素E1(PGE1)</w:t>
      </w:r>
      <w:r>
        <w:rPr>
          <w:rFonts w:ascii="宋体" w:eastAsia="宋体" w:hAnsi="宋体" w:cs="宋体"/>
          <w:spacing w:val="55"/>
          <w:sz w:val="22"/>
          <w:szCs w:val="22"/>
        </w:rPr>
        <w:t xml:space="preserve">  </w:t>
      </w:r>
      <w:r>
        <w:rPr>
          <w:rFonts w:ascii="宋体" w:eastAsia="宋体" w:hAnsi="宋体" w:cs="宋体"/>
          <w:spacing w:val="-9"/>
          <w:sz w:val="22"/>
          <w:szCs w:val="22"/>
        </w:rPr>
        <w:t>的前体，如果缺镁就</w:t>
      </w:r>
      <w:r>
        <w:rPr>
          <w:rFonts w:ascii="宋体" w:eastAsia="宋体" w:hAnsi="宋体" w:cs="宋体"/>
          <w:spacing w:val="1"/>
          <w:sz w:val="22"/>
          <w:szCs w:val="22"/>
        </w:rPr>
        <w:t xml:space="preserve"> </w:t>
      </w:r>
      <w:r>
        <w:rPr>
          <w:rFonts w:ascii="宋体" w:eastAsia="宋体" w:hAnsi="宋体" w:cs="宋体"/>
          <w:spacing w:val="-7"/>
          <w:sz w:val="22"/>
          <w:szCs w:val="22"/>
        </w:rPr>
        <w:t>不能合成足够的</w:t>
      </w:r>
      <w:r>
        <w:rPr>
          <w:rFonts w:ascii="宋体" w:eastAsia="宋体" w:hAnsi="宋体" w:cs="宋体"/>
          <w:spacing w:val="-45"/>
          <w:sz w:val="22"/>
          <w:szCs w:val="22"/>
        </w:rPr>
        <w:t xml:space="preserve"> </w:t>
      </w:r>
      <w:r>
        <w:rPr>
          <w:rFonts w:ascii="宋体" w:eastAsia="宋体" w:hAnsi="宋体" w:cs="宋体"/>
          <w:spacing w:val="-7"/>
          <w:sz w:val="22"/>
          <w:szCs w:val="22"/>
        </w:rPr>
        <w:t>PGE1。</w:t>
      </w:r>
      <w:r>
        <w:rPr>
          <w:rFonts w:ascii="宋体" w:eastAsia="宋体" w:hAnsi="宋体" w:cs="宋体"/>
          <w:spacing w:val="68"/>
          <w:sz w:val="22"/>
          <w:szCs w:val="22"/>
        </w:rPr>
        <w:t xml:space="preserve"> </w:t>
      </w:r>
      <w:r>
        <w:rPr>
          <w:rFonts w:ascii="宋体" w:eastAsia="宋体" w:hAnsi="宋体" w:cs="宋体"/>
          <w:spacing w:val="-7"/>
          <w:sz w:val="22"/>
          <w:szCs w:val="22"/>
        </w:rPr>
        <w:t>另外，镁是天然的钙拮抗剂，可抑制钙通过钙通道内</w:t>
      </w:r>
      <w:r>
        <w:rPr>
          <w:rFonts w:ascii="宋体" w:eastAsia="宋体" w:hAnsi="宋体" w:cs="宋体"/>
          <w:sz w:val="22"/>
          <w:szCs w:val="22"/>
        </w:rPr>
        <w:t xml:space="preserve"> </w:t>
      </w:r>
      <w:r>
        <w:rPr>
          <w:rFonts w:ascii="宋体" w:eastAsia="宋体" w:hAnsi="宋体" w:cs="宋体"/>
          <w:spacing w:val="-14"/>
          <w:sz w:val="22"/>
          <w:szCs w:val="22"/>
        </w:rPr>
        <w:t>流，当镁缺乏时，这种抑制作用减弱，使钙内流增多。</w:t>
      </w:r>
    </w:p>
    <w:p w:rsidR="00EA40A3" w:rsidRDefault="00E86C16">
      <w:pPr>
        <w:spacing w:before="217" w:line="222" w:lineRule="auto"/>
        <w:rPr>
          <w:rFonts w:ascii="仿宋" w:eastAsia="仿宋" w:hAnsi="仿宋" w:cs="仿宋"/>
          <w:sz w:val="22"/>
          <w:szCs w:val="22"/>
        </w:rPr>
      </w:pPr>
      <w:r>
        <w:rPr>
          <w:rFonts w:ascii="仿宋" w:eastAsia="仿宋" w:hAnsi="仿宋" w:cs="仿宋"/>
          <w:spacing w:val="2"/>
          <w:sz w:val="22"/>
          <w:szCs w:val="22"/>
        </w:rPr>
        <w:t>7.</w:t>
      </w:r>
      <w:r>
        <w:rPr>
          <w:rFonts w:ascii="仿宋" w:eastAsia="仿宋" w:hAnsi="仿宋" w:cs="仿宋"/>
          <w:spacing w:val="16"/>
          <w:sz w:val="22"/>
          <w:szCs w:val="22"/>
        </w:rPr>
        <w:t xml:space="preserve"> </w:t>
      </w:r>
      <w:r>
        <w:rPr>
          <w:rFonts w:ascii="仿宋" w:eastAsia="仿宋" w:hAnsi="仿宋" w:cs="仿宋"/>
          <w:spacing w:val="2"/>
          <w:sz w:val="22"/>
          <w:szCs w:val="22"/>
        </w:rPr>
        <w:t>摄入富硒膳食</w:t>
      </w:r>
    </w:p>
    <w:p w:rsidR="00EA40A3" w:rsidRDefault="00E86C16">
      <w:pPr>
        <w:spacing w:before="196" w:line="236" w:lineRule="auto"/>
        <w:ind w:right="99" w:firstLine="419"/>
        <w:jc w:val="both"/>
        <w:rPr>
          <w:rFonts w:ascii="宋体" w:eastAsia="宋体" w:hAnsi="宋体" w:cs="宋体"/>
          <w:sz w:val="22"/>
          <w:szCs w:val="22"/>
        </w:rPr>
      </w:pPr>
      <w:r>
        <w:rPr>
          <w:rFonts w:ascii="宋体" w:eastAsia="宋体" w:hAnsi="宋体" w:cs="宋体"/>
          <w:spacing w:val="-4"/>
          <w:sz w:val="22"/>
          <w:szCs w:val="22"/>
        </w:rPr>
        <w:t>补硒可提高自发性高血压大鼠血浆GSH-Px</w:t>
      </w:r>
      <w:r>
        <w:rPr>
          <w:rFonts w:ascii="宋体" w:eastAsia="宋体" w:hAnsi="宋体" w:cs="宋体"/>
          <w:spacing w:val="55"/>
          <w:sz w:val="22"/>
          <w:szCs w:val="22"/>
        </w:rPr>
        <w:t xml:space="preserve"> </w:t>
      </w:r>
      <w:r>
        <w:rPr>
          <w:rFonts w:ascii="宋体" w:eastAsia="宋体" w:hAnsi="宋体" w:cs="宋体"/>
          <w:spacing w:val="-4"/>
          <w:sz w:val="22"/>
          <w:szCs w:val="22"/>
        </w:rPr>
        <w:t>活</w:t>
      </w:r>
      <w:r>
        <w:rPr>
          <w:rFonts w:ascii="宋体" w:eastAsia="宋体" w:hAnsi="宋体" w:cs="宋体"/>
          <w:spacing w:val="-5"/>
          <w:sz w:val="22"/>
          <w:szCs w:val="22"/>
        </w:rPr>
        <w:t>性，加速过氧化氢分解，从</w:t>
      </w:r>
      <w:r>
        <w:rPr>
          <w:rFonts w:ascii="宋体" w:eastAsia="宋体" w:hAnsi="宋体" w:cs="宋体"/>
          <w:sz w:val="22"/>
          <w:szCs w:val="22"/>
        </w:rPr>
        <w:t xml:space="preserve"> </w:t>
      </w:r>
      <w:r>
        <w:rPr>
          <w:rFonts w:ascii="宋体" w:eastAsia="宋体" w:hAnsi="宋体" w:cs="宋体"/>
          <w:spacing w:val="4"/>
          <w:sz w:val="22"/>
          <w:szCs w:val="22"/>
        </w:rPr>
        <w:t>而发挥保护细胞膜结构和功能的作用；同时提高细胞膜</w:t>
      </w:r>
      <w:r>
        <w:rPr>
          <w:rFonts w:ascii="宋体" w:eastAsia="宋体" w:hAnsi="宋体" w:cs="宋体"/>
          <w:spacing w:val="-48"/>
          <w:sz w:val="22"/>
          <w:szCs w:val="22"/>
        </w:rPr>
        <w:t xml:space="preserve"> </w:t>
      </w:r>
      <w:r>
        <w:rPr>
          <w:rFonts w:ascii="宋体" w:eastAsia="宋体" w:hAnsi="宋体" w:cs="宋体"/>
          <w:sz w:val="22"/>
          <w:szCs w:val="22"/>
        </w:rPr>
        <w:t>Na</w:t>
      </w:r>
      <w:r>
        <w:rPr>
          <w:rFonts w:ascii="宋体" w:eastAsia="宋体" w:hAnsi="宋体" w:cs="宋体"/>
          <w:spacing w:val="4"/>
          <w:sz w:val="22"/>
          <w:szCs w:val="22"/>
        </w:rPr>
        <w:t>+-K+-</w:t>
      </w:r>
      <w:r>
        <w:rPr>
          <w:rFonts w:ascii="宋体" w:eastAsia="宋体" w:hAnsi="宋体" w:cs="宋体"/>
          <w:sz w:val="22"/>
          <w:szCs w:val="22"/>
        </w:rPr>
        <w:t>ATP</w:t>
      </w:r>
      <w:r>
        <w:rPr>
          <w:rFonts w:ascii="宋体" w:eastAsia="宋体" w:hAnsi="宋体" w:cs="宋体"/>
          <w:spacing w:val="15"/>
          <w:sz w:val="22"/>
          <w:szCs w:val="22"/>
        </w:rPr>
        <w:t xml:space="preserve">  </w:t>
      </w:r>
      <w:r>
        <w:rPr>
          <w:rFonts w:ascii="宋体" w:eastAsia="宋体" w:hAnsi="宋体" w:cs="宋体"/>
          <w:spacing w:val="4"/>
          <w:sz w:val="22"/>
          <w:szCs w:val="22"/>
        </w:rPr>
        <w:t>酶和</w:t>
      </w:r>
      <w:r>
        <w:rPr>
          <w:rFonts w:ascii="宋体" w:eastAsia="宋体" w:hAnsi="宋体" w:cs="宋体"/>
          <w:spacing w:val="1"/>
          <w:sz w:val="22"/>
          <w:szCs w:val="22"/>
        </w:rPr>
        <w:t xml:space="preserve"> </w:t>
      </w:r>
      <w:r>
        <w:rPr>
          <w:rFonts w:ascii="宋体" w:eastAsia="宋体" w:hAnsi="宋体" w:cs="宋体"/>
          <w:spacing w:val="-4"/>
          <w:sz w:val="22"/>
          <w:szCs w:val="22"/>
        </w:rPr>
        <w:t>Ca²+-Mg²+-ATP</w:t>
      </w:r>
      <w:r>
        <w:rPr>
          <w:rFonts w:ascii="宋体" w:eastAsia="宋体" w:hAnsi="宋体" w:cs="宋体"/>
          <w:spacing w:val="19"/>
          <w:sz w:val="22"/>
          <w:szCs w:val="22"/>
        </w:rPr>
        <w:t xml:space="preserve"> </w:t>
      </w:r>
      <w:r>
        <w:rPr>
          <w:rFonts w:ascii="宋体" w:eastAsia="宋体" w:hAnsi="宋体" w:cs="宋体"/>
          <w:spacing w:val="-4"/>
          <w:sz w:val="22"/>
          <w:szCs w:val="22"/>
        </w:rPr>
        <w:t>酶活性，排出细胞内过剩的Ca²+和Na+,</w:t>
      </w:r>
      <w:r>
        <w:rPr>
          <w:rFonts w:ascii="宋体" w:eastAsia="宋体" w:hAnsi="宋体" w:cs="宋体"/>
          <w:spacing w:val="42"/>
          <w:sz w:val="22"/>
          <w:szCs w:val="22"/>
        </w:rPr>
        <w:t xml:space="preserve"> </w:t>
      </w:r>
      <w:r>
        <w:rPr>
          <w:rFonts w:ascii="宋体" w:eastAsia="宋体" w:hAnsi="宋体" w:cs="宋体"/>
          <w:spacing w:val="-4"/>
          <w:sz w:val="22"/>
          <w:szCs w:val="22"/>
        </w:rPr>
        <w:t>诱发血管平滑肌钠泵</w:t>
      </w:r>
      <w:r>
        <w:rPr>
          <w:rFonts w:ascii="宋体" w:eastAsia="宋体" w:hAnsi="宋体" w:cs="宋体"/>
          <w:sz w:val="22"/>
          <w:szCs w:val="22"/>
        </w:rPr>
        <w:t xml:space="preserve"> </w:t>
      </w:r>
      <w:r>
        <w:rPr>
          <w:rFonts w:ascii="宋体" w:eastAsia="宋体" w:hAnsi="宋体" w:cs="宋体"/>
          <w:spacing w:val="-10"/>
          <w:sz w:val="22"/>
          <w:szCs w:val="22"/>
        </w:rPr>
        <w:t>活性增高，促进内皮细胞生成NO,</w:t>
      </w:r>
      <w:r>
        <w:rPr>
          <w:rFonts w:ascii="宋体" w:eastAsia="宋体" w:hAnsi="宋体" w:cs="宋体"/>
          <w:spacing w:val="81"/>
          <w:sz w:val="22"/>
          <w:szCs w:val="22"/>
        </w:rPr>
        <w:t xml:space="preserve"> </w:t>
      </w:r>
      <w:r>
        <w:rPr>
          <w:rFonts w:ascii="宋体" w:eastAsia="宋体" w:hAnsi="宋体" w:cs="宋体"/>
          <w:spacing w:val="-10"/>
          <w:sz w:val="22"/>
          <w:szCs w:val="22"/>
        </w:rPr>
        <w:t>而产生舒血</w:t>
      </w:r>
      <w:r>
        <w:rPr>
          <w:rFonts w:ascii="宋体" w:eastAsia="宋体" w:hAnsi="宋体" w:cs="宋体"/>
          <w:spacing w:val="-11"/>
          <w:sz w:val="22"/>
          <w:szCs w:val="22"/>
        </w:rPr>
        <w:t>管效应。</w:t>
      </w:r>
    </w:p>
    <w:p w:rsidR="00EA40A3" w:rsidRDefault="00E86C16">
      <w:pPr>
        <w:spacing w:before="252" w:line="222" w:lineRule="auto"/>
        <w:rPr>
          <w:rFonts w:ascii="仿宋" w:eastAsia="仿宋" w:hAnsi="仿宋" w:cs="仿宋"/>
          <w:sz w:val="22"/>
          <w:szCs w:val="22"/>
        </w:rPr>
      </w:pPr>
      <w:r>
        <w:rPr>
          <w:rFonts w:ascii="仿宋" w:eastAsia="仿宋" w:hAnsi="仿宋" w:cs="仿宋"/>
          <w:spacing w:val="13"/>
          <w:sz w:val="22"/>
          <w:szCs w:val="22"/>
        </w:rPr>
        <w:t>8.</w:t>
      </w:r>
      <w:r>
        <w:rPr>
          <w:rFonts w:ascii="仿宋" w:eastAsia="仿宋" w:hAnsi="仿宋" w:cs="仿宋"/>
          <w:spacing w:val="-42"/>
          <w:sz w:val="22"/>
          <w:szCs w:val="22"/>
        </w:rPr>
        <w:t xml:space="preserve"> </w:t>
      </w:r>
      <w:r>
        <w:rPr>
          <w:rFonts w:ascii="仿宋" w:eastAsia="仿宋" w:hAnsi="仿宋" w:cs="仿宋"/>
          <w:spacing w:val="13"/>
          <w:sz w:val="22"/>
          <w:szCs w:val="22"/>
        </w:rPr>
        <w:t>注意维生素的补充</w:t>
      </w:r>
    </w:p>
    <w:p w:rsidR="00EA40A3" w:rsidRDefault="00E86C16">
      <w:pPr>
        <w:spacing w:before="195" w:line="248" w:lineRule="auto"/>
        <w:ind w:right="81" w:firstLine="419"/>
        <w:jc w:val="both"/>
        <w:rPr>
          <w:rFonts w:ascii="宋体" w:eastAsia="宋体" w:hAnsi="宋体" w:cs="宋体"/>
          <w:sz w:val="22"/>
          <w:szCs w:val="22"/>
        </w:rPr>
      </w:pPr>
      <w:r>
        <w:rPr>
          <w:rFonts w:ascii="宋体" w:eastAsia="宋体" w:hAnsi="宋体" w:cs="宋体"/>
          <w:spacing w:val="-6"/>
          <w:sz w:val="22"/>
          <w:szCs w:val="22"/>
        </w:rPr>
        <w:t>研究发现体内维生素C</w:t>
      </w:r>
      <w:r>
        <w:rPr>
          <w:rFonts w:ascii="宋体" w:eastAsia="宋体" w:hAnsi="宋体" w:cs="宋体"/>
          <w:spacing w:val="-9"/>
          <w:sz w:val="22"/>
          <w:szCs w:val="22"/>
        </w:rPr>
        <w:t xml:space="preserve"> </w:t>
      </w:r>
      <w:r>
        <w:rPr>
          <w:rFonts w:ascii="宋体" w:eastAsia="宋体" w:hAnsi="宋体" w:cs="宋体"/>
          <w:spacing w:val="-6"/>
          <w:sz w:val="22"/>
          <w:szCs w:val="22"/>
        </w:rPr>
        <w:t>的含量与血压呈负相关。维生素C</w:t>
      </w:r>
      <w:r>
        <w:rPr>
          <w:rFonts w:ascii="宋体" w:eastAsia="宋体" w:hAnsi="宋体" w:cs="宋体"/>
          <w:spacing w:val="-3"/>
          <w:sz w:val="22"/>
          <w:szCs w:val="22"/>
        </w:rPr>
        <w:t xml:space="preserve"> </w:t>
      </w:r>
      <w:r>
        <w:rPr>
          <w:rFonts w:ascii="宋体" w:eastAsia="宋体" w:hAnsi="宋体" w:cs="宋体"/>
          <w:spacing w:val="-6"/>
          <w:sz w:val="22"/>
          <w:szCs w:val="22"/>
        </w:rPr>
        <w:t>可能通过提高组</w:t>
      </w:r>
      <w:r>
        <w:rPr>
          <w:rFonts w:ascii="宋体" w:eastAsia="宋体" w:hAnsi="宋体" w:cs="宋体"/>
          <w:sz w:val="22"/>
          <w:szCs w:val="22"/>
        </w:rPr>
        <w:t xml:space="preserve"> </w:t>
      </w:r>
      <w:r>
        <w:rPr>
          <w:rFonts w:ascii="宋体" w:eastAsia="宋体" w:hAnsi="宋体" w:cs="宋体"/>
          <w:spacing w:val="-12"/>
          <w:sz w:val="22"/>
          <w:szCs w:val="22"/>
        </w:rPr>
        <w:t>织内谷胱甘肽和半胱氨酸含量水平、胰岛素敏感性以及增强抗氧化能力，减</w:t>
      </w:r>
      <w:r>
        <w:rPr>
          <w:rFonts w:ascii="宋体" w:eastAsia="宋体" w:hAnsi="宋体" w:cs="宋体"/>
          <w:spacing w:val="-13"/>
          <w:sz w:val="22"/>
          <w:szCs w:val="22"/>
        </w:rPr>
        <w:t>少体</w:t>
      </w:r>
      <w:r>
        <w:rPr>
          <w:rFonts w:ascii="宋体" w:eastAsia="宋体" w:hAnsi="宋体" w:cs="宋体"/>
          <w:sz w:val="22"/>
          <w:szCs w:val="22"/>
        </w:rPr>
        <w:t xml:space="preserve"> </w:t>
      </w:r>
      <w:r>
        <w:rPr>
          <w:rFonts w:ascii="宋体" w:eastAsia="宋体" w:hAnsi="宋体" w:cs="宋体"/>
          <w:spacing w:val="-7"/>
          <w:sz w:val="22"/>
          <w:szCs w:val="22"/>
        </w:rPr>
        <w:t>内醛类化合物，降低血压。而维生素E</w:t>
      </w:r>
      <w:r>
        <w:rPr>
          <w:rFonts w:ascii="宋体" w:eastAsia="宋体" w:hAnsi="宋体" w:cs="宋体"/>
          <w:spacing w:val="-6"/>
          <w:sz w:val="22"/>
          <w:szCs w:val="22"/>
        </w:rPr>
        <w:t xml:space="preserve"> </w:t>
      </w:r>
      <w:r>
        <w:rPr>
          <w:rFonts w:ascii="宋体" w:eastAsia="宋体" w:hAnsi="宋体" w:cs="宋体"/>
          <w:spacing w:val="-7"/>
          <w:sz w:val="22"/>
          <w:szCs w:val="22"/>
        </w:rPr>
        <w:t>可能通过阻止脂质过氧化作用，降低组</w:t>
      </w:r>
      <w:r>
        <w:rPr>
          <w:rFonts w:ascii="宋体" w:eastAsia="宋体" w:hAnsi="宋体" w:cs="宋体"/>
          <w:sz w:val="22"/>
          <w:szCs w:val="22"/>
        </w:rPr>
        <w:t xml:space="preserve"> </w:t>
      </w:r>
      <w:r>
        <w:rPr>
          <w:rFonts w:ascii="宋体" w:eastAsia="宋体" w:hAnsi="宋体" w:cs="宋体"/>
          <w:spacing w:val="-13"/>
          <w:sz w:val="22"/>
          <w:szCs w:val="22"/>
        </w:rPr>
        <w:t>织内醛类化合物的含量，降低细胞质游离钙离子浓度，使氧化应激而升高的血压</w:t>
      </w:r>
      <w:r>
        <w:rPr>
          <w:rFonts w:ascii="宋体" w:eastAsia="宋体" w:hAnsi="宋体" w:cs="宋体"/>
          <w:spacing w:val="13"/>
          <w:sz w:val="22"/>
          <w:szCs w:val="22"/>
        </w:rPr>
        <w:t xml:space="preserve"> </w:t>
      </w:r>
      <w:r>
        <w:rPr>
          <w:rFonts w:ascii="宋体" w:eastAsia="宋体" w:hAnsi="宋体" w:cs="宋体"/>
          <w:spacing w:val="-6"/>
          <w:sz w:val="22"/>
          <w:szCs w:val="22"/>
        </w:rPr>
        <w:t>降低。此外，维生素Ba在蛋氨酸转化生成半胱氨酸的反应中，作为酶的辅助因</w:t>
      </w:r>
      <w:r>
        <w:rPr>
          <w:rFonts w:ascii="宋体" w:eastAsia="宋体" w:hAnsi="宋体" w:cs="宋体"/>
          <w:sz w:val="22"/>
          <w:szCs w:val="22"/>
        </w:rPr>
        <w:t xml:space="preserve"> </w:t>
      </w:r>
      <w:r>
        <w:rPr>
          <w:rFonts w:ascii="宋体" w:eastAsia="宋体" w:hAnsi="宋体" w:cs="宋体"/>
          <w:spacing w:val="-6"/>
          <w:sz w:val="22"/>
          <w:szCs w:val="22"/>
        </w:rPr>
        <w:t>子发挥重要作用，补充维生素Ba能刺激这些酶的活性，增加内源性半</w:t>
      </w:r>
      <w:r>
        <w:rPr>
          <w:rFonts w:ascii="宋体" w:eastAsia="宋体" w:hAnsi="宋体" w:cs="宋体"/>
          <w:spacing w:val="-7"/>
          <w:sz w:val="22"/>
          <w:szCs w:val="22"/>
        </w:rPr>
        <w:t>胱氨酸的</w:t>
      </w:r>
      <w:r>
        <w:rPr>
          <w:rFonts w:ascii="宋体" w:eastAsia="宋体" w:hAnsi="宋体" w:cs="宋体"/>
          <w:sz w:val="22"/>
          <w:szCs w:val="22"/>
        </w:rPr>
        <w:t xml:space="preserve"> </w:t>
      </w:r>
      <w:r>
        <w:rPr>
          <w:rFonts w:ascii="宋体" w:eastAsia="宋体" w:hAnsi="宋体" w:cs="宋体"/>
          <w:spacing w:val="-7"/>
          <w:sz w:val="22"/>
          <w:szCs w:val="22"/>
        </w:rPr>
        <w:t>生成，有利于降低血压。维生素B</w:t>
      </w:r>
      <w:r>
        <w:rPr>
          <w:rFonts w:ascii="Calibri" w:eastAsia="Calibri" w:hAnsi="Calibri" w:cs="Calibri"/>
          <w:spacing w:val="-7"/>
          <w:sz w:val="22"/>
          <w:szCs w:val="22"/>
        </w:rPr>
        <w:t>₆</w:t>
      </w:r>
      <w:r>
        <w:rPr>
          <w:rFonts w:ascii="Calibri" w:eastAsia="Calibri" w:hAnsi="Calibri" w:cs="Calibri"/>
          <w:spacing w:val="3"/>
          <w:sz w:val="22"/>
          <w:szCs w:val="22"/>
        </w:rPr>
        <w:t xml:space="preserve"> </w:t>
      </w:r>
      <w:r>
        <w:rPr>
          <w:rFonts w:ascii="宋体" w:eastAsia="宋体" w:hAnsi="宋体" w:cs="宋体"/>
          <w:spacing w:val="-7"/>
          <w:sz w:val="22"/>
          <w:szCs w:val="22"/>
        </w:rPr>
        <w:t>降压作用可能还与它能够促进葡萄糖代谢从</w:t>
      </w:r>
      <w:r>
        <w:rPr>
          <w:rFonts w:ascii="宋体" w:eastAsia="宋体" w:hAnsi="宋体" w:cs="宋体"/>
          <w:sz w:val="22"/>
          <w:szCs w:val="22"/>
        </w:rPr>
        <w:t xml:space="preserve"> </w:t>
      </w:r>
      <w:r>
        <w:rPr>
          <w:rFonts w:ascii="宋体" w:eastAsia="宋体" w:hAnsi="宋体" w:cs="宋体"/>
          <w:spacing w:val="-18"/>
          <w:sz w:val="22"/>
          <w:szCs w:val="22"/>
        </w:rPr>
        <w:t>而减少醛类化合物的生成有关。</w:t>
      </w:r>
    </w:p>
    <w:p w:rsidR="00EA40A3" w:rsidRDefault="00E86C16">
      <w:pPr>
        <w:spacing w:before="228" w:line="223" w:lineRule="auto"/>
        <w:rPr>
          <w:rFonts w:ascii="仿宋" w:eastAsia="仿宋" w:hAnsi="仿宋" w:cs="仿宋"/>
          <w:sz w:val="22"/>
          <w:szCs w:val="22"/>
        </w:rPr>
      </w:pPr>
      <w:r>
        <w:rPr>
          <w:rFonts w:ascii="仿宋" w:eastAsia="仿宋" w:hAnsi="仿宋" w:cs="仿宋"/>
          <w:spacing w:val="-3"/>
          <w:sz w:val="22"/>
          <w:szCs w:val="22"/>
        </w:rPr>
        <w:t>9.</w:t>
      </w:r>
      <w:r>
        <w:rPr>
          <w:rFonts w:ascii="仿宋" w:eastAsia="仿宋" w:hAnsi="仿宋" w:cs="仿宋"/>
          <w:spacing w:val="18"/>
          <w:sz w:val="22"/>
          <w:szCs w:val="22"/>
        </w:rPr>
        <w:t xml:space="preserve"> </w:t>
      </w:r>
      <w:r>
        <w:rPr>
          <w:rFonts w:ascii="仿宋" w:eastAsia="仿宋" w:hAnsi="仿宋" w:cs="仿宋"/>
          <w:spacing w:val="-3"/>
          <w:sz w:val="22"/>
          <w:szCs w:val="22"/>
        </w:rPr>
        <w:t>饮茶戒烟酒</w:t>
      </w:r>
    </w:p>
    <w:p w:rsidR="00EA40A3" w:rsidRDefault="00E86C16">
      <w:pPr>
        <w:spacing w:before="204" w:line="246" w:lineRule="auto"/>
        <w:ind w:right="96" w:firstLine="419"/>
        <w:jc w:val="both"/>
        <w:rPr>
          <w:rFonts w:ascii="宋体" w:eastAsia="宋体" w:hAnsi="宋体" w:cs="宋体"/>
          <w:sz w:val="22"/>
          <w:szCs w:val="22"/>
        </w:rPr>
      </w:pPr>
      <w:r>
        <w:rPr>
          <w:rFonts w:ascii="宋体" w:eastAsia="宋体" w:hAnsi="宋体" w:cs="宋体"/>
          <w:spacing w:val="-13"/>
          <w:sz w:val="22"/>
          <w:szCs w:val="22"/>
        </w:rPr>
        <w:t>卷烟中尼古丁刺激心脏，使心跳加快、血管收缩、血压升高；导致钙盐、胆</w:t>
      </w:r>
      <w:r>
        <w:rPr>
          <w:rFonts w:ascii="宋体" w:eastAsia="宋体" w:hAnsi="宋体" w:cs="宋体"/>
          <w:spacing w:val="6"/>
          <w:sz w:val="22"/>
          <w:szCs w:val="22"/>
        </w:rPr>
        <w:t xml:space="preserve"> </w:t>
      </w:r>
      <w:r>
        <w:rPr>
          <w:rFonts w:ascii="宋体" w:eastAsia="宋体" w:hAnsi="宋体" w:cs="宋体"/>
          <w:spacing w:val="-7"/>
          <w:sz w:val="22"/>
          <w:szCs w:val="22"/>
        </w:rPr>
        <w:t>固醇等在血管壁上沉积，加速动脉硬化的形成。少量饮酒可扩张血管，活血通</w:t>
      </w:r>
      <w:r>
        <w:rPr>
          <w:rFonts w:ascii="宋体" w:eastAsia="宋体" w:hAnsi="宋体" w:cs="宋体"/>
          <w:spacing w:val="15"/>
          <w:sz w:val="22"/>
          <w:szCs w:val="22"/>
        </w:rPr>
        <w:t xml:space="preserve"> </w:t>
      </w:r>
      <w:r>
        <w:rPr>
          <w:rFonts w:ascii="宋体" w:eastAsia="宋体" w:hAnsi="宋体" w:cs="宋体"/>
          <w:spacing w:val="-7"/>
          <w:sz w:val="22"/>
          <w:szCs w:val="22"/>
        </w:rPr>
        <w:t>脉，增食欲，消疲劳。长期饮酒危害大，可诱发酒精性肝硬化，并加速动脉硬</w:t>
      </w:r>
      <w:r>
        <w:rPr>
          <w:rFonts w:ascii="宋体" w:eastAsia="宋体" w:hAnsi="宋体" w:cs="宋体"/>
          <w:spacing w:val="16"/>
          <w:sz w:val="22"/>
          <w:szCs w:val="22"/>
        </w:rPr>
        <w:t xml:space="preserve"> </w:t>
      </w:r>
      <w:r>
        <w:rPr>
          <w:rFonts w:ascii="宋体" w:eastAsia="宋体" w:hAnsi="宋体" w:cs="宋体"/>
          <w:spacing w:val="-13"/>
          <w:sz w:val="22"/>
          <w:szCs w:val="22"/>
        </w:rPr>
        <w:t>化。茶叶含有多种对防治高血压病有效成分，其中以绿茶最好。防治高血压应喝</w:t>
      </w:r>
      <w:r>
        <w:rPr>
          <w:rFonts w:ascii="宋体" w:eastAsia="宋体" w:hAnsi="宋体" w:cs="宋体"/>
          <w:spacing w:val="17"/>
          <w:sz w:val="22"/>
          <w:szCs w:val="22"/>
        </w:rPr>
        <w:t xml:space="preserve"> </w:t>
      </w:r>
      <w:r>
        <w:rPr>
          <w:rFonts w:ascii="宋体" w:eastAsia="宋体" w:hAnsi="宋体" w:cs="宋体"/>
          <w:spacing w:val="-16"/>
          <w:sz w:val="22"/>
          <w:szCs w:val="22"/>
        </w:rPr>
        <w:t>茶、戒烟、戒酒，</w:t>
      </w:r>
    </w:p>
    <w:p w:rsidR="00EA40A3" w:rsidRDefault="00E86C16">
      <w:pPr>
        <w:spacing w:before="211" w:line="220" w:lineRule="auto"/>
        <w:rPr>
          <w:rFonts w:ascii="仿宋" w:eastAsia="仿宋" w:hAnsi="仿宋" w:cs="仿宋"/>
          <w:sz w:val="22"/>
          <w:szCs w:val="22"/>
        </w:rPr>
      </w:pPr>
      <w:r>
        <w:rPr>
          <w:rFonts w:ascii="仿宋" w:eastAsia="仿宋" w:hAnsi="仿宋" w:cs="仿宋"/>
          <w:spacing w:val="12"/>
          <w:sz w:val="22"/>
          <w:szCs w:val="22"/>
        </w:rPr>
        <w:t>10.</w:t>
      </w:r>
      <w:r>
        <w:rPr>
          <w:rFonts w:ascii="仿宋" w:eastAsia="仿宋" w:hAnsi="仿宋" w:cs="仿宋"/>
          <w:spacing w:val="-2"/>
          <w:sz w:val="22"/>
          <w:szCs w:val="22"/>
        </w:rPr>
        <w:t xml:space="preserve"> </w:t>
      </w:r>
      <w:r>
        <w:rPr>
          <w:rFonts w:ascii="仿宋" w:eastAsia="仿宋" w:hAnsi="仿宋" w:cs="仿宋"/>
          <w:spacing w:val="12"/>
          <w:sz w:val="22"/>
          <w:szCs w:val="22"/>
        </w:rPr>
        <w:t>注意营养素与药物相互作用</w:t>
      </w:r>
    </w:p>
    <w:p w:rsidR="00EA40A3" w:rsidRDefault="00E86C16">
      <w:pPr>
        <w:spacing w:before="203" w:line="243" w:lineRule="auto"/>
        <w:ind w:firstLine="419"/>
        <w:jc w:val="both"/>
        <w:rPr>
          <w:rFonts w:ascii="宋体" w:eastAsia="宋体" w:hAnsi="宋体" w:cs="宋体"/>
          <w:sz w:val="22"/>
          <w:szCs w:val="22"/>
        </w:rPr>
      </w:pPr>
      <w:r>
        <w:rPr>
          <w:rFonts w:ascii="宋体" w:eastAsia="宋体" w:hAnsi="宋体" w:cs="宋体"/>
          <w:spacing w:val="-13"/>
          <w:sz w:val="22"/>
          <w:szCs w:val="22"/>
        </w:rPr>
        <w:t>在高血压的治疗过程中，还必须注意某些营养素与药物之间的相互作用。如</w:t>
      </w:r>
      <w:r>
        <w:rPr>
          <w:rFonts w:ascii="宋体" w:eastAsia="宋体" w:hAnsi="宋体" w:cs="宋体"/>
          <w:spacing w:val="6"/>
          <w:sz w:val="22"/>
          <w:szCs w:val="22"/>
        </w:rPr>
        <w:t xml:space="preserve">  </w:t>
      </w:r>
      <w:r>
        <w:rPr>
          <w:rFonts w:ascii="宋体" w:eastAsia="宋体" w:hAnsi="宋体" w:cs="宋体"/>
          <w:sz w:val="22"/>
          <w:szCs w:val="22"/>
        </w:rPr>
        <w:t>使用单胺氧化酶抑制剂(优降宁)治疗时，不宜进食含</w:t>
      </w:r>
      <w:r>
        <w:rPr>
          <w:rFonts w:ascii="宋体" w:eastAsia="宋体" w:hAnsi="宋体" w:cs="宋体"/>
          <w:spacing w:val="-1"/>
          <w:sz w:val="22"/>
          <w:szCs w:val="22"/>
        </w:rPr>
        <w:t>酪胺高的食物(如干酪、</w:t>
      </w:r>
      <w:r>
        <w:rPr>
          <w:rFonts w:ascii="宋体" w:eastAsia="宋体" w:hAnsi="宋体" w:cs="宋体"/>
          <w:sz w:val="22"/>
          <w:szCs w:val="22"/>
        </w:rPr>
        <w:t xml:space="preserve"> </w:t>
      </w:r>
      <w:r>
        <w:rPr>
          <w:rFonts w:ascii="宋体" w:eastAsia="宋体" w:hAnsi="宋体" w:cs="宋体"/>
          <w:spacing w:val="-13"/>
          <w:sz w:val="22"/>
          <w:szCs w:val="22"/>
        </w:rPr>
        <w:t>酸奶油、扁豆、蘑菇、腌肉或腌鱼、啤酒、红葡萄酒、鳄梨、香蕉、葡萄干</w:t>
      </w:r>
      <w:r>
        <w:rPr>
          <w:rFonts w:ascii="宋体" w:eastAsia="宋体" w:hAnsi="宋体" w:cs="宋体"/>
          <w:spacing w:val="-14"/>
          <w:sz w:val="22"/>
          <w:szCs w:val="22"/>
        </w:rPr>
        <w:t>等)。</w:t>
      </w:r>
      <w:r>
        <w:rPr>
          <w:rFonts w:ascii="宋体" w:eastAsia="宋体" w:hAnsi="宋体" w:cs="宋体"/>
          <w:sz w:val="22"/>
          <w:szCs w:val="22"/>
        </w:rPr>
        <w:t xml:space="preserve"> </w:t>
      </w:r>
      <w:r>
        <w:rPr>
          <w:rFonts w:ascii="宋体" w:eastAsia="宋体" w:hAnsi="宋体" w:cs="宋体"/>
          <w:spacing w:val="-12"/>
          <w:sz w:val="22"/>
          <w:szCs w:val="22"/>
        </w:rPr>
        <w:t>因酪胺能促使节后交感神经末梢释放去甲肾上腺素，引起血</w:t>
      </w:r>
      <w:r>
        <w:rPr>
          <w:rFonts w:ascii="宋体" w:eastAsia="宋体" w:hAnsi="宋体" w:cs="宋体"/>
          <w:spacing w:val="-13"/>
          <w:sz w:val="22"/>
          <w:szCs w:val="22"/>
        </w:rPr>
        <w:t>压急剧上升而发生高</w:t>
      </w:r>
    </w:p>
    <w:p w:rsidR="00EA40A3" w:rsidRDefault="00E86C16">
      <w:pPr>
        <w:spacing w:before="57"/>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370</w:t>
      </w:r>
      <w:r>
        <w:rPr>
          <w:rFonts w:ascii="宋体" w:eastAsia="宋体" w:hAnsi="宋体" w:cs="宋体"/>
          <w:spacing w:val="45"/>
          <w:sz w:val="18"/>
          <w:szCs w:val="18"/>
        </w:rPr>
        <w:t xml:space="preserve"> </w:t>
      </w:r>
      <w:r>
        <w:rPr>
          <w:rFonts w:ascii="宋体" w:eastAsia="宋体" w:hAnsi="宋体" w:cs="宋体"/>
          <w:spacing w:val="-28"/>
          <w:sz w:val="18"/>
          <w:szCs w:val="18"/>
        </w:rPr>
        <w:t>·</w:t>
      </w:r>
    </w:p>
    <w:p w:rsidR="00EA40A3" w:rsidRDefault="00EA40A3">
      <w:pPr>
        <w:sectPr w:rsidR="00EA40A3">
          <w:pgSz w:w="9220" w:h="13360"/>
          <w:pgMar w:top="400" w:right="1040" w:bottom="400" w:left="820" w:header="0" w:footer="0" w:gutter="0"/>
          <w:cols w:space="720"/>
        </w:sectPr>
      </w:pPr>
    </w:p>
    <w:p w:rsidR="00EA40A3" w:rsidRDefault="00EA40A3">
      <w:pPr>
        <w:spacing w:line="277" w:lineRule="auto"/>
      </w:pPr>
    </w:p>
    <w:p w:rsidR="00EA40A3" w:rsidRDefault="00EA40A3">
      <w:pPr>
        <w:spacing w:line="278" w:lineRule="auto"/>
      </w:pPr>
    </w:p>
    <w:p w:rsidR="00EA40A3" w:rsidRDefault="00E86C16">
      <w:pPr>
        <w:spacing w:before="71" w:line="237" w:lineRule="auto"/>
        <w:ind w:right="27"/>
        <w:jc w:val="both"/>
        <w:rPr>
          <w:rFonts w:ascii="宋体" w:eastAsia="宋体" w:hAnsi="宋体" w:cs="宋体"/>
          <w:sz w:val="22"/>
          <w:szCs w:val="22"/>
        </w:rPr>
      </w:pPr>
      <w:r>
        <w:rPr>
          <w:rFonts w:ascii="宋体" w:eastAsia="宋体" w:hAnsi="宋体" w:cs="宋体"/>
          <w:spacing w:val="-13"/>
          <w:sz w:val="22"/>
          <w:szCs w:val="22"/>
        </w:rPr>
        <w:t>血压危象的严重后果。又如，进行一般降压治疗的患者，不宜用天然</w:t>
      </w:r>
      <w:r>
        <w:rPr>
          <w:rFonts w:ascii="宋体" w:eastAsia="宋体" w:hAnsi="宋体" w:cs="宋体"/>
          <w:spacing w:val="-14"/>
          <w:sz w:val="22"/>
          <w:szCs w:val="22"/>
        </w:rPr>
        <w:t>甘草或含有</w:t>
      </w:r>
      <w:r>
        <w:rPr>
          <w:rFonts w:ascii="宋体" w:eastAsia="宋体" w:hAnsi="宋体" w:cs="宋体"/>
          <w:sz w:val="22"/>
          <w:szCs w:val="22"/>
        </w:rPr>
        <w:t xml:space="preserve"> </w:t>
      </w:r>
      <w:r>
        <w:rPr>
          <w:rFonts w:ascii="宋体" w:eastAsia="宋体" w:hAnsi="宋体" w:cs="宋体"/>
          <w:spacing w:val="-6"/>
          <w:sz w:val="22"/>
          <w:szCs w:val="22"/>
        </w:rPr>
        <w:t>甘草的药物(如治疗胃炎的甘链片)。因其中所含的甘草酸</w:t>
      </w:r>
      <w:r>
        <w:rPr>
          <w:rFonts w:ascii="宋体" w:eastAsia="宋体" w:hAnsi="宋体" w:cs="宋体"/>
          <w:spacing w:val="-7"/>
          <w:sz w:val="22"/>
          <w:szCs w:val="22"/>
        </w:rPr>
        <w:t>可引起低钾血症的钠</w:t>
      </w:r>
      <w:r>
        <w:rPr>
          <w:rFonts w:ascii="宋体" w:eastAsia="宋体" w:hAnsi="宋体" w:cs="宋体"/>
          <w:sz w:val="22"/>
          <w:szCs w:val="22"/>
        </w:rPr>
        <w:t xml:space="preserve"> 潴留。还有使用利尿剂容易引起电解质紊乱，故宜适当</w:t>
      </w:r>
      <w:r>
        <w:rPr>
          <w:rFonts w:ascii="宋体" w:eastAsia="宋体" w:hAnsi="宋体" w:cs="宋体"/>
          <w:spacing w:val="-1"/>
          <w:sz w:val="22"/>
          <w:szCs w:val="22"/>
        </w:rPr>
        <w:t>调整膳食中钠、钾的</w:t>
      </w:r>
      <w:r>
        <w:rPr>
          <w:rFonts w:ascii="宋体" w:eastAsia="宋体" w:hAnsi="宋体" w:cs="宋体"/>
          <w:sz w:val="22"/>
          <w:szCs w:val="22"/>
        </w:rPr>
        <w:t xml:space="preserve"> </w:t>
      </w:r>
      <w:r>
        <w:rPr>
          <w:rFonts w:ascii="宋体" w:eastAsia="宋体" w:hAnsi="宋体" w:cs="宋体"/>
          <w:spacing w:val="-21"/>
          <w:sz w:val="22"/>
          <w:szCs w:val="22"/>
        </w:rPr>
        <w:t>含量。</w:t>
      </w:r>
    </w:p>
    <w:p w:rsidR="00EA40A3" w:rsidRDefault="00E86C16">
      <w:pPr>
        <w:spacing w:before="65" w:line="239" w:lineRule="auto"/>
        <w:ind w:right="19" w:firstLine="399"/>
        <w:jc w:val="both"/>
        <w:rPr>
          <w:rFonts w:ascii="宋体" w:eastAsia="宋体" w:hAnsi="宋体" w:cs="宋体"/>
          <w:sz w:val="22"/>
          <w:szCs w:val="22"/>
        </w:rPr>
      </w:pPr>
      <w:r>
        <w:rPr>
          <w:rFonts w:ascii="宋体" w:eastAsia="宋体" w:hAnsi="宋体" w:cs="宋体"/>
          <w:spacing w:val="-12"/>
          <w:sz w:val="22"/>
          <w:szCs w:val="22"/>
        </w:rPr>
        <w:t>越来越多的证据表明高血压是遗传和环境因素共同作用导致的</w:t>
      </w:r>
      <w:r>
        <w:rPr>
          <w:rFonts w:ascii="宋体" w:eastAsia="宋体" w:hAnsi="宋体" w:cs="宋体"/>
          <w:spacing w:val="-13"/>
          <w:sz w:val="22"/>
          <w:szCs w:val="22"/>
        </w:rPr>
        <w:t>，饮食和生活</w:t>
      </w:r>
      <w:r>
        <w:rPr>
          <w:rFonts w:ascii="宋体" w:eastAsia="宋体" w:hAnsi="宋体" w:cs="宋体"/>
          <w:sz w:val="22"/>
          <w:szCs w:val="22"/>
        </w:rPr>
        <w:t xml:space="preserve"> </w:t>
      </w:r>
      <w:r>
        <w:rPr>
          <w:rFonts w:ascii="宋体" w:eastAsia="宋体" w:hAnsi="宋体" w:cs="宋体"/>
          <w:spacing w:val="-13"/>
          <w:sz w:val="22"/>
          <w:szCs w:val="22"/>
        </w:rPr>
        <w:t>方式能影响遗传基因的表现。各种营养因子包括必需脂肪酸及其代谢产物，类二</w:t>
      </w:r>
      <w:r>
        <w:rPr>
          <w:rFonts w:ascii="宋体" w:eastAsia="宋体" w:hAnsi="宋体" w:cs="宋体"/>
          <w:spacing w:val="15"/>
          <w:sz w:val="22"/>
          <w:szCs w:val="22"/>
        </w:rPr>
        <w:t xml:space="preserve"> </w:t>
      </w:r>
      <w:r>
        <w:rPr>
          <w:rFonts w:ascii="宋体" w:eastAsia="宋体" w:hAnsi="宋体" w:cs="宋体"/>
          <w:spacing w:val="-11"/>
          <w:sz w:val="22"/>
          <w:szCs w:val="22"/>
        </w:rPr>
        <w:t>十烷酸、</w:t>
      </w:r>
      <w:r>
        <w:rPr>
          <w:rFonts w:ascii="宋体" w:eastAsia="宋体" w:hAnsi="宋体" w:cs="宋体"/>
          <w:spacing w:val="-48"/>
          <w:sz w:val="22"/>
          <w:szCs w:val="22"/>
        </w:rPr>
        <w:t xml:space="preserve"> </w:t>
      </w:r>
      <w:r>
        <w:rPr>
          <w:rFonts w:ascii="宋体" w:eastAsia="宋体" w:hAnsi="宋体" w:cs="宋体"/>
          <w:spacing w:val="-11"/>
          <w:sz w:val="22"/>
          <w:szCs w:val="22"/>
        </w:rPr>
        <w:t>NO、ACE</w:t>
      </w:r>
      <w:r>
        <w:rPr>
          <w:rFonts w:ascii="宋体" w:eastAsia="宋体" w:hAnsi="宋体" w:cs="宋体"/>
          <w:spacing w:val="6"/>
          <w:sz w:val="22"/>
          <w:szCs w:val="22"/>
        </w:rPr>
        <w:t xml:space="preserve">  </w:t>
      </w:r>
      <w:r>
        <w:rPr>
          <w:rFonts w:ascii="宋体" w:eastAsia="宋体" w:hAnsi="宋体" w:cs="宋体"/>
          <w:spacing w:val="-11"/>
          <w:sz w:val="22"/>
          <w:szCs w:val="22"/>
        </w:rPr>
        <w:t>活性、自由基以及抗氧化剂均影响人类原发性高血压和胰岛</w:t>
      </w:r>
      <w:r>
        <w:rPr>
          <w:rFonts w:ascii="宋体" w:eastAsia="宋体" w:hAnsi="宋体" w:cs="宋体"/>
          <w:sz w:val="22"/>
          <w:szCs w:val="22"/>
        </w:rPr>
        <w:t xml:space="preserve"> </w:t>
      </w:r>
      <w:r>
        <w:rPr>
          <w:rFonts w:ascii="宋体" w:eastAsia="宋体" w:hAnsi="宋体" w:cs="宋体"/>
          <w:spacing w:val="-13"/>
          <w:sz w:val="22"/>
          <w:szCs w:val="22"/>
        </w:rPr>
        <w:t>素抵抗的发生，所以，长链多不饱和脂肪酸、精氨酸、各种微量元素、维生素合</w:t>
      </w:r>
      <w:r>
        <w:rPr>
          <w:rFonts w:ascii="宋体" w:eastAsia="宋体" w:hAnsi="宋体" w:cs="宋体"/>
          <w:spacing w:val="12"/>
          <w:sz w:val="22"/>
          <w:szCs w:val="22"/>
        </w:rPr>
        <w:t xml:space="preserve"> </w:t>
      </w:r>
      <w:r>
        <w:rPr>
          <w:rFonts w:ascii="宋体" w:eastAsia="宋体" w:hAnsi="宋体" w:cs="宋体"/>
          <w:spacing w:val="-12"/>
          <w:sz w:val="22"/>
          <w:szCs w:val="22"/>
        </w:rPr>
        <w:t>理搭配饮食有助于防治原发性高血压、胰岛素抵抗和其他代谢疾病。</w:t>
      </w:r>
    </w:p>
    <w:p w:rsidR="00EA40A3" w:rsidRDefault="00EA40A3">
      <w:pPr>
        <w:spacing w:line="258" w:lineRule="auto"/>
      </w:pPr>
    </w:p>
    <w:p w:rsidR="00EA40A3" w:rsidRDefault="00E86C16">
      <w:pPr>
        <w:spacing w:before="91" w:line="219" w:lineRule="auto"/>
        <w:ind w:left="2229"/>
        <w:rPr>
          <w:rFonts w:ascii="宋体" w:eastAsia="宋体" w:hAnsi="宋体" w:cs="宋体"/>
          <w:sz w:val="28"/>
          <w:szCs w:val="28"/>
        </w:rPr>
      </w:pPr>
      <w:r>
        <w:rPr>
          <w:rFonts w:ascii="宋体" w:eastAsia="宋体" w:hAnsi="宋体" w:cs="宋体"/>
          <w:spacing w:val="-5"/>
          <w:sz w:val="28"/>
          <w:szCs w:val="28"/>
        </w:rPr>
        <w:t>11.6</w:t>
      </w:r>
      <w:r>
        <w:rPr>
          <w:rFonts w:ascii="宋体" w:eastAsia="宋体" w:hAnsi="宋体" w:cs="宋体"/>
          <w:spacing w:val="131"/>
          <w:sz w:val="28"/>
          <w:szCs w:val="28"/>
        </w:rPr>
        <w:t xml:space="preserve"> </w:t>
      </w:r>
      <w:r>
        <w:rPr>
          <w:rFonts w:ascii="宋体" w:eastAsia="宋体" w:hAnsi="宋体" w:cs="宋体"/>
          <w:spacing w:val="-5"/>
          <w:sz w:val="28"/>
          <w:szCs w:val="28"/>
        </w:rPr>
        <w:t>营养与心血管疾病</w:t>
      </w:r>
    </w:p>
    <w:p w:rsidR="00EA40A3" w:rsidRDefault="00E86C16">
      <w:pPr>
        <w:spacing w:before="301" w:line="226" w:lineRule="auto"/>
        <w:ind w:right="24" w:firstLine="399"/>
        <w:rPr>
          <w:rFonts w:ascii="宋体" w:eastAsia="宋体" w:hAnsi="宋体" w:cs="宋体"/>
          <w:sz w:val="22"/>
          <w:szCs w:val="22"/>
        </w:rPr>
      </w:pPr>
      <w:r>
        <w:rPr>
          <w:rFonts w:ascii="宋体" w:eastAsia="宋体" w:hAnsi="宋体" w:cs="宋体"/>
          <w:spacing w:val="-10"/>
          <w:sz w:val="22"/>
          <w:szCs w:val="22"/>
        </w:rPr>
        <w:t>心血管疾病</w:t>
      </w:r>
      <w:r>
        <w:rPr>
          <w:rFonts w:ascii="宋体" w:eastAsia="宋体" w:hAnsi="宋体" w:cs="宋体"/>
          <w:spacing w:val="-44"/>
          <w:sz w:val="22"/>
          <w:szCs w:val="22"/>
        </w:rPr>
        <w:t xml:space="preserve"> </w:t>
      </w:r>
      <w:r>
        <w:rPr>
          <w:rFonts w:ascii="宋体" w:eastAsia="宋体" w:hAnsi="宋体" w:cs="宋体"/>
          <w:spacing w:val="-10"/>
          <w:sz w:val="22"/>
          <w:szCs w:val="22"/>
        </w:rPr>
        <w:t>(</w:t>
      </w:r>
      <w:r>
        <w:rPr>
          <w:rFonts w:ascii="宋体" w:eastAsia="宋体" w:hAnsi="宋体" w:cs="宋体"/>
          <w:spacing w:val="-9"/>
          <w:sz w:val="22"/>
          <w:szCs w:val="22"/>
        </w:rPr>
        <w:t>cardiovascular</w:t>
      </w:r>
      <w:r>
        <w:rPr>
          <w:rFonts w:ascii="宋体" w:eastAsia="宋体" w:hAnsi="宋体" w:cs="宋体"/>
          <w:spacing w:val="5"/>
          <w:sz w:val="22"/>
          <w:szCs w:val="22"/>
        </w:rPr>
        <w:t xml:space="preserve"> </w:t>
      </w:r>
      <w:r>
        <w:rPr>
          <w:rFonts w:ascii="宋体" w:eastAsia="宋体" w:hAnsi="宋体" w:cs="宋体"/>
          <w:spacing w:val="-9"/>
          <w:sz w:val="22"/>
          <w:szCs w:val="22"/>
        </w:rPr>
        <w:t>disease</w:t>
      </w:r>
      <w:r>
        <w:rPr>
          <w:rFonts w:ascii="宋体" w:eastAsia="宋体" w:hAnsi="宋体" w:cs="宋体"/>
          <w:spacing w:val="-10"/>
          <w:sz w:val="22"/>
          <w:szCs w:val="22"/>
        </w:rPr>
        <w:t>,</w:t>
      </w:r>
      <w:r>
        <w:rPr>
          <w:rFonts w:ascii="宋体" w:eastAsia="宋体" w:hAnsi="宋体" w:cs="宋体"/>
          <w:spacing w:val="-9"/>
          <w:sz w:val="22"/>
          <w:szCs w:val="22"/>
        </w:rPr>
        <w:t>CVD</w:t>
      </w:r>
      <w:r>
        <w:rPr>
          <w:rFonts w:ascii="宋体" w:eastAsia="宋体" w:hAnsi="宋体" w:cs="宋体"/>
          <w:spacing w:val="-10"/>
          <w:sz w:val="22"/>
          <w:szCs w:val="22"/>
        </w:rPr>
        <w:t>)</w:t>
      </w:r>
      <w:r>
        <w:rPr>
          <w:rFonts w:ascii="宋体" w:eastAsia="宋体" w:hAnsi="宋体" w:cs="宋体"/>
          <w:spacing w:val="-46"/>
          <w:sz w:val="22"/>
          <w:szCs w:val="22"/>
        </w:rPr>
        <w:t xml:space="preserve"> </w:t>
      </w:r>
      <w:r>
        <w:rPr>
          <w:rFonts w:ascii="宋体" w:eastAsia="宋体" w:hAnsi="宋体" w:cs="宋体"/>
          <w:spacing w:val="-10"/>
          <w:sz w:val="22"/>
          <w:szCs w:val="22"/>
        </w:rPr>
        <w:t>主要指冠心病</w:t>
      </w:r>
      <w:r>
        <w:rPr>
          <w:rFonts w:ascii="宋体" w:eastAsia="宋体" w:hAnsi="宋体" w:cs="宋体"/>
          <w:spacing w:val="-29"/>
          <w:sz w:val="22"/>
          <w:szCs w:val="22"/>
        </w:rPr>
        <w:t xml:space="preserve"> </w:t>
      </w:r>
      <w:r>
        <w:rPr>
          <w:rFonts w:ascii="宋体" w:eastAsia="宋体" w:hAnsi="宋体" w:cs="宋体"/>
          <w:spacing w:val="-10"/>
          <w:sz w:val="22"/>
          <w:szCs w:val="22"/>
        </w:rPr>
        <w:t>(</w:t>
      </w:r>
      <w:r>
        <w:rPr>
          <w:rFonts w:ascii="宋体" w:eastAsia="宋体" w:hAnsi="宋体" w:cs="宋体"/>
          <w:spacing w:val="-9"/>
          <w:sz w:val="22"/>
          <w:szCs w:val="22"/>
        </w:rPr>
        <w:t>c</w:t>
      </w:r>
      <w:r>
        <w:rPr>
          <w:rFonts w:ascii="宋体" w:eastAsia="宋体" w:hAnsi="宋体" w:cs="宋体"/>
          <w:spacing w:val="-10"/>
          <w:sz w:val="22"/>
          <w:szCs w:val="22"/>
        </w:rPr>
        <w:t>oronary</w:t>
      </w:r>
      <w:r>
        <w:rPr>
          <w:rFonts w:ascii="宋体" w:eastAsia="宋体" w:hAnsi="宋体" w:cs="宋体"/>
          <w:spacing w:val="-8"/>
          <w:sz w:val="22"/>
          <w:szCs w:val="22"/>
        </w:rPr>
        <w:t xml:space="preserve"> </w:t>
      </w:r>
      <w:r>
        <w:rPr>
          <w:rFonts w:ascii="宋体" w:eastAsia="宋体" w:hAnsi="宋体" w:cs="宋体"/>
          <w:spacing w:val="-10"/>
          <w:sz w:val="22"/>
          <w:szCs w:val="22"/>
        </w:rPr>
        <w:t>heart</w:t>
      </w:r>
      <w:r>
        <w:rPr>
          <w:rFonts w:ascii="宋体" w:eastAsia="宋体" w:hAnsi="宋体" w:cs="宋体"/>
          <w:sz w:val="22"/>
          <w:szCs w:val="22"/>
        </w:rPr>
        <w:t xml:space="preserve"> </w:t>
      </w:r>
      <w:r>
        <w:rPr>
          <w:rFonts w:ascii="宋体" w:eastAsia="宋体" w:hAnsi="宋体" w:cs="宋体"/>
          <w:spacing w:val="-12"/>
          <w:sz w:val="22"/>
          <w:szCs w:val="22"/>
        </w:rPr>
        <w:t>disease,CHD)、</w:t>
      </w:r>
      <w:r>
        <w:rPr>
          <w:rFonts w:ascii="宋体" w:eastAsia="宋体" w:hAnsi="宋体" w:cs="宋体"/>
          <w:spacing w:val="94"/>
          <w:sz w:val="22"/>
          <w:szCs w:val="22"/>
        </w:rPr>
        <w:t xml:space="preserve"> </w:t>
      </w:r>
      <w:r>
        <w:rPr>
          <w:rFonts w:ascii="宋体" w:eastAsia="宋体" w:hAnsi="宋体" w:cs="宋体"/>
          <w:spacing w:val="-12"/>
          <w:sz w:val="22"/>
          <w:szCs w:val="22"/>
        </w:rPr>
        <w:t>心肌梗死、心力衰竭、高脂血症、原发性高血压等临床</w:t>
      </w:r>
      <w:r>
        <w:rPr>
          <w:rFonts w:ascii="宋体" w:eastAsia="宋体" w:hAnsi="宋体" w:cs="宋体"/>
          <w:spacing w:val="-13"/>
          <w:sz w:val="22"/>
          <w:szCs w:val="22"/>
        </w:rPr>
        <w:t>疾病。</w:t>
      </w:r>
    </w:p>
    <w:p w:rsidR="00EA40A3" w:rsidRDefault="00E86C16">
      <w:pPr>
        <w:spacing w:before="191" w:line="221" w:lineRule="auto"/>
        <w:ind w:left="3"/>
        <w:outlineLvl w:val="6"/>
        <w:rPr>
          <w:rFonts w:ascii="黑体" w:eastAsia="黑体" w:hAnsi="黑体" w:cs="黑体"/>
          <w:sz w:val="22"/>
          <w:szCs w:val="22"/>
        </w:rPr>
      </w:pPr>
      <w:r>
        <w:rPr>
          <w:rFonts w:ascii="黑体" w:eastAsia="黑体" w:hAnsi="黑体" w:cs="黑体"/>
          <w:b/>
          <w:bCs/>
          <w:spacing w:val="8"/>
          <w:sz w:val="22"/>
          <w:szCs w:val="22"/>
        </w:rPr>
        <w:t>11.6.1</w:t>
      </w:r>
      <w:r>
        <w:rPr>
          <w:rFonts w:ascii="黑体" w:eastAsia="黑体" w:hAnsi="黑体" w:cs="黑体"/>
          <w:spacing w:val="12"/>
          <w:sz w:val="22"/>
          <w:szCs w:val="22"/>
        </w:rPr>
        <w:t xml:space="preserve">   </w:t>
      </w:r>
      <w:r>
        <w:rPr>
          <w:rFonts w:ascii="黑体" w:eastAsia="黑体" w:hAnsi="黑体" w:cs="黑体"/>
          <w:b/>
          <w:bCs/>
          <w:spacing w:val="8"/>
          <w:sz w:val="22"/>
          <w:szCs w:val="22"/>
        </w:rPr>
        <w:t>膳食因素和心血管疾病的关系</w:t>
      </w:r>
    </w:p>
    <w:p w:rsidR="00EA40A3" w:rsidRDefault="00E86C16">
      <w:pPr>
        <w:spacing w:before="241" w:line="223" w:lineRule="auto"/>
        <w:rPr>
          <w:rFonts w:ascii="仿宋" w:eastAsia="仿宋" w:hAnsi="仿宋" w:cs="仿宋"/>
          <w:sz w:val="22"/>
          <w:szCs w:val="22"/>
        </w:rPr>
      </w:pPr>
      <w:r>
        <w:rPr>
          <w:rFonts w:ascii="仿宋" w:eastAsia="仿宋" w:hAnsi="仿宋" w:cs="仿宋"/>
          <w:spacing w:val="10"/>
          <w:sz w:val="22"/>
          <w:szCs w:val="22"/>
        </w:rPr>
        <w:t>1.</w:t>
      </w:r>
      <w:r>
        <w:rPr>
          <w:rFonts w:ascii="仿宋" w:eastAsia="仿宋" w:hAnsi="仿宋" w:cs="仿宋"/>
          <w:spacing w:val="-25"/>
          <w:sz w:val="22"/>
          <w:szCs w:val="22"/>
        </w:rPr>
        <w:t xml:space="preserve"> </w:t>
      </w:r>
      <w:r>
        <w:rPr>
          <w:rFonts w:ascii="仿宋" w:eastAsia="仿宋" w:hAnsi="仿宋" w:cs="仿宋"/>
          <w:spacing w:val="10"/>
          <w:sz w:val="22"/>
          <w:szCs w:val="22"/>
        </w:rPr>
        <w:t>膳食脂类</w:t>
      </w:r>
    </w:p>
    <w:p w:rsidR="00EA40A3" w:rsidRDefault="00E86C16">
      <w:pPr>
        <w:spacing w:before="222" w:line="242" w:lineRule="auto"/>
        <w:ind w:firstLine="399"/>
        <w:rPr>
          <w:rFonts w:ascii="宋体" w:eastAsia="宋体" w:hAnsi="宋体" w:cs="宋体"/>
          <w:sz w:val="22"/>
          <w:szCs w:val="22"/>
        </w:rPr>
      </w:pPr>
      <w:r>
        <w:rPr>
          <w:rFonts w:ascii="宋体" w:eastAsia="宋体" w:hAnsi="宋体" w:cs="宋体"/>
          <w:spacing w:val="-12"/>
          <w:sz w:val="22"/>
          <w:szCs w:val="22"/>
        </w:rPr>
        <w:t>膳食脂类与心脑血管疾病的发生发展有着密切关系。摄入脂肪</w:t>
      </w:r>
      <w:r>
        <w:rPr>
          <w:rFonts w:ascii="宋体" w:eastAsia="宋体" w:hAnsi="宋体" w:cs="宋体"/>
          <w:spacing w:val="-13"/>
          <w:sz w:val="22"/>
          <w:szCs w:val="22"/>
        </w:rPr>
        <w:t>的量和质，尤</w:t>
      </w:r>
      <w:r>
        <w:rPr>
          <w:rFonts w:ascii="宋体" w:eastAsia="宋体" w:hAnsi="宋体" w:cs="宋体"/>
          <w:sz w:val="22"/>
          <w:szCs w:val="22"/>
        </w:rPr>
        <w:t xml:space="preserve"> </w:t>
      </w:r>
      <w:r>
        <w:rPr>
          <w:rFonts w:ascii="宋体" w:eastAsia="宋体" w:hAnsi="宋体" w:cs="宋体"/>
          <w:spacing w:val="-12"/>
          <w:sz w:val="22"/>
          <w:szCs w:val="22"/>
        </w:rPr>
        <w:t>其是其脂肪酸的构成都会影响到心血管疾病的发生。据报道，每日膳食中脂肪供</w:t>
      </w:r>
      <w:r>
        <w:rPr>
          <w:rFonts w:ascii="宋体" w:eastAsia="宋体" w:hAnsi="宋体" w:cs="宋体"/>
          <w:spacing w:val="6"/>
          <w:sz w:val="22"/>
          <w:szCs w:val="22"/>
        </w:rPr>
        <w:t xml:space="preserve"> </w:t>
      </w:r>
      <w:r>
        <w:rPr>
          <w:rFonts w:ascii="宋体" w:eastAsia="宋体" w:hAnsi="宋体" w:cs="宋体"/>
          <w:spacing w:val="-2"/>
          <w:sz w:val="22"/>
          <w:szCs w:val="22"/>
        </w:rPr>
        <w:t>给的能量如超过一</w:t>
      </w:r>
      <w:r>
        <w:rPr>
          <w:rFonts w:ascii="宋体" w:eastAsia="宋体" w:hAnsi="宋体" w:cs="宋体"/>
          <w:spacing w:val="-51"/>
          <w:sz w:val="22"/>
          <w:szCs w:val="22"/>
        </w:rPr>
        <w:t xml:space="preserve"> </w:t>
      </w:r>
      <w:r>
        <w:rPr>
          <w:rFonts w:ascii="宋体" w:eastAsia="宋体" w:hAnsi="宋体" w:cs="宋体"/>
          <w:spacing w:val="-2"/>
          <w:sz w:val="22"/>
          <w:szCs w:val="22"/>
        </w:rPr>
        <w:t>日总能量的30%,冠心病的患病率和死亡率则明显增高。饱</w:t>
      </w:r>
      <w:r>
        <w:rPr>
          <w:rFonts w:ascii="宋体" w:eastAsia="宋体" w:hAnsi="宋体" w:cs="宋体"/>
          <w:sz w:val="22"/>
          <w:szCs w:val="22"/>
        </w:rPr>
        <w:t xml:space="preserve"> </w:t>
      </w:r>
      <w:r>
        <w:rPr>
          <w:rFonts w:ascii="宋体" w:eastAsia="宋体" w:hAnsi="宋体" w:cs="宋体"/>
          <w:spacing w:val="-12"/>
          <w:sz w:val="22"/>
          <w:szCs w:val="22"/>
        </w:rPr>
        <w:t>和脂肪酸及胆固醇的摄入量与冠心病的发病率和死亡率则呈正相关。反式脂肪酸</w:t>
      </w:r>
      <w:r>
        <w:rPr>
          <w:rFonts w:ascii="宋体" w:eastAsia="宋体" w:hAnsi="宋体" w:cs="宋体"/>
          <w:spacing w:val="8"/>
          <w:sz w:val="22"/>
          <w:szCs w:val="22"/>
        </w:rPr>
        <w:t xml:space="preserve"> </w:t>
      </w:r>
      <w:r>
        <w:rPr>
          <w:rFonts w:ascii="宋体" w:eastAsia="宋体" w:hAnsi="宋体" w:cs="宋体"/>
          <w:spacing w:val="-13"/>
          <w:sz w:val="22"/>
          <w:szCs w:val="22"/>
        </w:rPr>
        <w:t>对心血管疾病的影响是近年来研究的热点之一。研究表明，反式脂肪酸不仅和饱</w:t>
      </w:r>
      <w:r>
        <w:rPr>
          <w:rFonts w:ascii="宋体" w:eastAsia="宋体" w:hAnsi="宋体" w:cs="宋体"/>
          <w:spacing w:val="3"/>
          <w:sz w:val="22"/>
          <w:szCs w:val="22"/>
        </w:rPr>
        <w:t xml:space="preserve"> </w:t>
      </w:r>
      <w:r>
        <w:rPr>
          <w:rFonts w:ascii="宋体" w:eastAsia="宋体" w:hAnsi="宋体" w:cs="宋体"/>
          <w:spacing w:val="-7"/>
          <w:sz w:val="22"/>
          <w:szCs w:val="22"/>
        </w:rPr>
        <w:t>和脂肪酸一样能增加低密度脂蛋白</w:t>
      </w:r>
      <w:r>
        <w:rPr>
          <w:rFonts w:ascii="宋体" w:eastAsia="宋体" w:hAnsi="宋体" w:cs="宋体"/>
          <w:spacing w:val="-27"/>
          <w:sz w:val="22"/>
          <w:szCs w:val="22"/>
        </w:rPr>
        <w:t xml:space="preserve"> </w:t>
      </w:r>
      <w:r>
        <w:rPr>
          <w:rFonts w:ascii="宋体" w:eastAsia="宋体" w:hAnsi="宋体" w:cs="宋体"/>
          <w:spacing w:val="-7"/>
          <w:sz w:val="22"/>
          <w:szCs w:val="22"/>
        </w:rPr>
        <w:t>(LDL),</w:t>
      </w:r>
      <w:r>
        <w:rPr>
          <w:rFonts w:ascii="宋体" w:eastAsia="宋体" w:hAnsi="宋体" w:cs="宋体"/>
          <w:spacing w:val="8"/>
          <w:sz w:val="22"/>
          <w:szCs w:val="22"/>
        </w:rPr>
        <w:t xml:space="preserve">  </w:t>
      </w:r>
      <w:r>
        <w:rPr>
          <w:rFonts w:ascii="宋体" w:eastAsia="宋体" w:hAnsi="宋体" w:cs="宋体"/>
          <w:spacing w:val="-7"/>
          <w:sz w:val="22"/>
          <w:szCs w:val="22"/>
        </w:rPr>
        <w:t>同时还引起高密度脂蛋白</w:t>
      </w:r>
      <w:r>
        <w:rPr>
          <w:rFonts w:ascii="宋体" w:eastAsia="宋体" w:hAnsi="宋体" w:cs="宋体"/>
          <w:spacing w:val="-9"/>
          <w:sz w:val="22"/>
          <w:szCs w:val="22"/>
        </w:rPr>
        <w:t xml:space="preserve"> </w:t>
      </w:r>
      <w:r>
        <w:rPr>
          <w:rFonts w:ascii="宋体" w:eastAsia="宋体" w:hAnsi="宋体" w:cs="宋体"/>
          <w:spacing w:val="-7"/>
          <w:sz w:val="22"/>
          <w:szCs w:val="22"/>
        </w:rPr>
        <w:t>(HDL)</w:t>
      </w:r>
      <w:r>
        <w:rPr>
          <w:rFonts w:ascii="宋体" w:eastAsia="宋体" w:hAnsi="宋体" w:cs="宋体"/>
          <w:sz w:val="22"/>
          <w:szCs w:val="22"/>
        </w:rPr>
        <w:t xml:space="preserve">  </w:t>
      </w:r>
      <w:r>
        <w:rPr>
          <w:rFonts w:ascii="宋体" w:eastAsia="宋体" w:hAnsi="宋体" w:cs="宋体"/>
          <w:spacing w:val="-13"/>
          <w:sz w:val="22"/>
          <w:szCs w:val="22"/>
        </w:rPr>
        <w:t>降低，经常摄入反式脂肪酸将增加患冠心病的危险。多不饱和脂</w:t>
      </w:r>
      <w:r>
        <w:rPr>
          <w:rFonts w:ascii="宋体" w:eastAsia="宋体" w:hAnsi="宋体" w:cs="宋体"/>
          <w:spacing w:val="-14"/>
          <w:sz w:val="22"/>
          <w:szCs w:val="22"/>
        </w:rPr>
        <w:t>肪酸则具有降血</w:t>
      </w:r>
      <w:r>
        <w:rPr>
          <w:rFonts w:ascii="宋体" w:eastAsia="宋体" w:hAnsi="宋体" w:cs="宋体"/>
          <w:sz w:val="22"/>
          <w:szCs w:val="22"/>
        </w:rPr>
        <w:t xml:space="preserve"> </w:t>
      </w:r>
      <w:r>
        <w:rPr>
          <w:rFonts w:ascii="宋体" w:eastAsia="宋体" w:hAnsi="宋体" w:cs="宋体"/>
          <w:spacing w:val="-12"/>
          <w:sz w:val="22"/>
          <w:szCs w:val="22"/>
        </w:rPr>
        <w:t>脂和防止动脉粥样硬化的作用。</w:t>
      </w:r>
      <w:r>
        <w:rPr>
          <w:rFonts w:ascii="宋体" w:eastAsia="宋体" w:hAnsi="宋体" w:cs="宋体"/>
          <w:spacing w:val="-9"/>
          <w:sz w:val="22"/>
          <w:szCs w:val="22"/>
        </w:rPr>
        <w:t xml:space="preserve"> </w:t>
      </w:r>
      <w:r>
        <w:rPr>
          <w:rFonts w:ascii="宋体" w:eastAsia="宋体" w:hAnsi="宋体" w:cs="宋体"/>
          <w:spacing w:val="-12"/>
          <w:sz w:val="22"/>
          <w:szCs w:val="22"/>
        </w:rPr>
        <w:t>w-6多不饱和脂肪酸如亚油酸不仅能够降低血清</w:t>
      </w:r>
      <w:r>
        <w:rPr>
          <w:rFonts w:ascii="宋体" w:eastAsia="宋体" w:hAnsi="宋体" w:cs="宋体"/>
          <w:sz w:val="22"/>
          <w:szCs w:val="22"/>
        </w:rPr>
        <w:t xml:space="preserve"> </w:t>
      </w:r>
      <w:r>
        <w:rPr>
          <w:rFonts w:ascii="宋体" w:eastAsia="宋体" w:hAnsi="宋体" w:cs="宋体"/>
          <w:spacing w:val="-8"/>
          <w:sz w:val="22"/>
          <w:szCs w:val="22"/>
        </w:rPr>
        <w:t>胆固醇，而且可以降低低密度脂蛋白胆固醇</w:t>
      </w:r>
      <w:r>
        <w:rPr>
          <w:rFonts w:ascii="宋体" w:eastAsia="宋体" w:hAnsi="宋体" w:cs="宋体"/>
          <w:spacing w:val="-10"/>
          <w:sz w:val="22"/>
          <w:szCs w:val="22"/>
        </w:rPr>
        <w:t xml:space="preserve"> </w:t>
      </w:r>
      <w:r>
        <w:rPr>
          <w:rFonts w:ascii="宋体" w:eastAsia="宋体" w:hAnsi="宋体" w:cs="宋体"/>
          <w:spacing w:val="-8"/>
          <w:sz w:val="22"/>
          <w:szCs w:val="22"/>
        </w:rPr>
        <w:t>(LDL-C),</w:t>
      </w:r>
      <w:r>
        <w:rPr>
          <w:rFonts w:ascii="宋体" w:eastAsia="宋体" w:hAnsi="宋体" w:cs="宋体"/>
          <w:spacing w:val="88"/>
          <w:sz w:val="22"/>
          <w:szCs w:val="22"/>
        </w:rPr>
        <w:t xml:space="preserve"> </w:t>
      </w:r>
      <w:r>
        <w:rPr>
          <w:rFonts w:ascii="宋体" w:eastAsia="宋体" w:hAnsi="宋体" w:cs="宋体"/>
          <w:spacing w:val="-8"/>
          <w:sz w:val="22"/>
          <w:szCs w:val="22"/>
        </w:rPr>
        <w:t>其作用机理一方</w:t>
      </w:r>
      <w:r>
        <w:rPr>
          <w:rFonts w:ascii="宋体" w:eastAsia="宋体" w:hAnsi="宋体" w:cs="宋体"/>
          <w:spacing w:val="-9"/>
          <w:sz w:val="22"/>
          <w:szCs w:val="22"/>
        </w:rPr>
        <w:t>面是亚</w:t>
      </w:r>
      <w:r>
        <w:rPr>
          <w:rFonts w:ascii="宋体" w:eastAsia="宋体" w:hAnsi="宋体" w:cs="宋体"/>
          <w:sz w:val="22"/>
          <w:szCs w:val="22"/>
        </w:rPr>
        <w:t xml:space="preserve"> </w:t>
      </w:r>
      <w:r>
        <w:rPr>
          <w:rFonts w:ascii="宋体" w:eastAsia="宋体" w:hAnsi="宋体" w:cs="宋体"/>
          <w:spacing w:val="-8"/>
          <w:sz w:val="22"/>
          <w:szCs w:val="22"/>
        </w:rPr>
        <w:t>油酸很可能增进LDL</w:t>
      </w:r>
      <w:r>
        <w:rPr>
          <w:rFonts w:ascii="宋体" w:eastAsia="宋体" w:hAnsi="宋体" w:cs="宋体"/>
          <w:spacing w:val="38"/>
          <w:sz w:val="22"/>
          <w:szCs w:val="22"/>
        </w:rPr>
        <w:t xml:space="preserve"> </w:t>
      </w:r>
      <w:r>
        <w:rPr>
          <w:rFonts w:ascii="宋体" w:eastAsia="宋体" w:hAnsi="宋体" w:cs="宋体"/>
          <w:spacing w:val="-8"/>
          <w:sz w:val="22"/>
          <w:szCs w:val="22"/>
        </w:rPr>
        <w:t>受体的活性，从而增加了血循环中LDL</w:t>
      </w:r>
      <w:r>
        <w:rPr>
          <w:rFonts w:ascii="宋体" w:eastAsia="宋体" w:hAnsi="宋体" w:cs="宋体"/>
          <w:spacing w:val="27"/>
          <w:sz w:val="22"/>
          <w:szCs w:val="22"/>
        </w:rPr>
        <w:t xml:space="preserve"> </w:t>
      </w:r>
      <w:r>
        <w:rPr>
          <w:rFonts w:ascii="宋体" w:eastAsia="宋体" w:hAnsi="宋体" w:cs="宋体"/>
          <w:spacing w:val="-8"/>
          <w:sz w:val="22"/>
          <w:szCs w:val="22"/>
        </w:rPr>
        <w:t>的清除量；另一方</w:t>
      </w:r>
      <w:r>
        <w:rPr>
          <w:rFonts w:ascii="宋体" w:eastAsia="宋体" w:hAnsi="宋体" w:cs="宋体"/>
          <w:sz w:val="22"/>
          <w:szCs w:val="22"/>
        </w:rPr>
        <w:t xml:space="preserve"> </w:t>
      </w:r>
      <w:r>
        <w:rPr>
          <w:rFonts w:ascii="宋体" w:eastAsia="宋体" w:hAnsi="宋体" w:cs="宋体"/>
          <w:spacing w:val="-7"/>
          <w:sz w:val="22"/>
          <w:szCs w:val="22"/>
        </w:rPr>
        <w:t>面，也与亚油酸在一定程度上限制了含apoB</w:t>
      </w:r>
      <w:r>
        <w:rPr>
          <w:rFonts w:ascii="宋体" w:eastAsia="宋体" w:hAnsi="宋体" w:cs="宋体"/>
          <w:spacing w:val="-41"/>
          <w:sz w:val="22"/>
          <w:szCs w:val="22"/>
        </w:rPr>
        <w:t xml:space="preserve"> </w:t>
      </w:r>
      <w:r>
        <w:rPr>
          <w:rFonts w:ascii="宋体" w:eastAsia="宋体" w:hAnsi="宋体" w:cs="宋体"/>
          <w:spacing w:val="-7"/>
          <w:sz w:val="22"/>
          <w:szCs w:val="22"/>
        </w:rPr>
        <w:t>脂蛋</w:t>
      </w:r>
      <w:r>
        <w:rPr>
          <w:rFonts w:ascii="宋体" w:eastAsia="宋体" w:hAnsi="宋体" w:cs="宋体"/>
          <w:spacing w:val="-8"/>
          <w:sz w:val="22"/>
          <w:szCs w:val="22"/>
        </w:rPr>
        <w:t>白的分泌有关。 w-3脂肪酸对</w:t>
      </w:r>
      <w:r>
        <w:rPr>
          <w:rFonts w:ascii="宋体" w:eastAsia="宋体" w:hAnsi="宋体" w:cs="宋体"/>
          <w:sz w:val="22"/>
          <w:szCs w:val="22"/>
        </w:rPr>
        <w:t xml:space="preserve"> </w:t>
      </w:r>
      <w:r>
        <w:rPr>
          <w:rFonts w:ascii="宋体" w:eastAsia="宋体" w:hAnsi="宋体" w:cs="宋体"/>
          <w:spacing w:val="-9"/>
          <w:sz w:val="22"/>
          <w:szCs w:val="22"/>
        </w:rPr>
        <w:t>血浆脂蛋白的主要作用是降低甘油三酯水平，其作用机理为w-3脂肪酸阻碍甘油</w:t>
      </w:r>
      <w:r>
        <w:rPr>
          <w:rFonts w:ascii="宋体" w:eastAsia="宋体" w:hAnsi="宋体" w:cs="宋体"/>
          <w:spacing w:val="5"/>
          <w:sz w:val="22"/>
          <w:szCs w:val="22"/>
        </w:rPr>
        <w:t xml:space="preserve"> </w:t>
      </w:r>
      <w:r>
        <w:rPr>
          <w:rFonts w:ascii="宋体" w:eastAsia="宋体" w:hAnsi="宋体" w:cs="宋体"/>
          <w:spacing w:val="-5"/>
          <w:sz w:val="22"/>
          <w:szCs w:val="22"/>
        </w:rPr>
        <w:t>三酯掺入到肝的VLDL</w:t>
      </w:r>
      <w:r>
        <w:rPr>
          <w:rFonts w:ascii="宋体" w:eastAsia="宋体" w:hAnsi="宋体" w:cs="宋体"/>
          <w:spacing w:val="73"/>
          <w:sz w:val="22"/>
          <w:szCs w:val="22"/>
        </w:rPr>
        <w:t xml:space="preserve"> </w:t>
      </w:r>
      <w:r>
        <w:rPr>
          <w:rFonts w:ascii="宋体" w:eastAsia="宋体" w:hAnsi="宋体" w:cs="宋体"/>
          <w:spacing w:val="-5"/>
          <w:sz w:val="22"/>
          <w:szCs w:val="22"/>
        </w:rPr>
        <w:t>颗粒中，因而导致分泌到血循环</w:t>
      </w:r>
      <w:r>
        <w:rPr>
          <w:rFonts w:ascii="宋体" w:eastAsia="宋体" w:hAnsi="宋体" w:cs="宋体"/>
          <w:spacing w:val="-6"/>
          <w:sz w:val="22"/>
          <w:szCs w:val="22"/>
        </w:rPr>
        <w:t>中的甘油三酯减少。单</w:t>
      </w:r>
      <w:r>
        <w:rPr>
          <w:rFonts w:ascii="宋体" w:eastAsia="宋体" w:hAnsi="宋体" w:cs="宋体"/>
          <w:sz w:val="22"/>
          <w:szCs w:val="22"/>
        </w:rPr>
        <w:t xml:space="preserve"> </w:t>
      </w:r>
      <w:r>
        <w:rPr>
          <w:rFonts w:ascii="宋体" w:eastAsia="宋体" w:hAnsi="宋体" w:cs="宋体"/>
          <w:spacing w:val="-17"/>
          <w:sz w:val="22"/>
          <w:szCs w:val="22"/>
        </w:rPr>
        <w:t>不饱和脂肪酸对降低心血管疾病也有着重要意义。</w:t>
      </w:r>
      <w:r>
        <w:rPr>
          <w:rFonts w:ascii="宋体" w:eastAsia="宋体" w:hAnsi="宋体" w:cs="宋体"/>
          <w:spacing w:val="44"/>
          <w:sz w:val="22"/>
          <w:szCs w:val="22"/>
        </w:rPr>
        <w:t xml:space="preserve"> </w:t>
      </w:r>
      <w:r>
        <w:rPr>
          <w:rFonts w:ascii="宋体" w:eastAsia="宋体" w:hAnsi="宋体" w:cs="宋体"/>
          <w:spacing w:val="-17"/>
          <w:sz w:val="22"/>
          <w:szCs w:val="22"/>
        </w:rPr>
        <w:t>一般认为单不饱和脂肪酸取代</w:t>
      </w:r>
      <w:r>
        <w:rPr>
          <w:rFonts w:ascii="宋体" w:eastAsia="宋体" w:hAnsi="宋体" w:cs="宋体"/>
          <w:sz w:val="22"/>
          <w:szCs w:val="22"/>
        </w:rPr>
        <w:t xml:space="preserve"> </w:t>
      </w:r>
      <w:r>
        <w:rPr>
          <w:rFonts w:ascii="宋体" w:eastAsia="宋体" w:hAnsi="宋体" w:cs="宋体"/>
          <w:spacing w:val="-7"/>
          <w:sz w:val="22"/>
          <w:szCs w:val="22"/>
        </w:rPr>
        <w:t>饱和脂肪酸可增加LDL</w:t>
      </w:r>
      <w:r>
        <w:rPr>
          <w:rFonts w:ascii="宋体" w:eastAsia="宋体" w:hAnsi="宋体" w:cs="宋体"/>
          <w:spacing w:val="26"/>
          <w:sz w:val="22"/>
          <w:szCs w:val="22"/>
        </w:rPr>
        <w:t xml:space="preserve"> </w:t>
      </w:r>
      <w:r>
        <w:rPr>
          <w:rFonts w:ascii="宋体" w:eastAsia="宋体" w:hAnsi="宋体" w:cs="宋体"/>
          <w:spacing w:val="-7"/>
          <w:sz w:val="22"/>
          <w:szCs w:val="22"/>
        </w:rPr>
        <w:t>受体的活性，从而</w:t>
      </w:r>
      <w:r>
        <w:rPr>
          <w:rFonts w:ascii="宋体" w:eastAsia="宋体" w:hAnsi="宋体" w:cs="宋体"/>
          <w:spacing w:val="-8"/>
          <w:sz w:val="22"/>
          <w:szCs w:val="22"/>
        </w:rPr>
        <w:t>使循环中</w:t>
      </w:r>
      <w:r>
        <w:rPr>
          <w:rFonts w:ascii="宋体" w:eastAsia="宋体" w:hAnsi="宋体" w:cs="宋体"/>
          <w:spacing w:val="-7"/>
          <w:sz w:val="22"/>
          <w:szCs w:val="22"/>
        </w:rPr>
        <w:t>LDL</w:t>
      </w:r>
      <w:r>
        <w:rPr>
          <w:rFonts w:ascii="宋体" w:eastAsia="宋体" w:hAnsi="宋体" w:cs="宋体"/>
          <w:spacing w:val="26"/>
          <w:sz w:val="22"/>
          <w:szCs w:val="22"/>
        </w:rPr>
        <w:t xml:space="preserve"> </w:t>
      </w:r>
      <w:r>
        <w:rPr>
          <w:rFonts w:ascii="宋体" w:eastAsia="宋体" w:hAnsi="宋体" w:cs="宋体"/>
          <w:spacing w:val="-8"/>
          <w:sz w:val="22"/>
          <w:szCs w:val="22"/>
        </w:rPr>
        <w:t>的清除加快，同时减少</w:t>
      </w:r>
      <w:r>
        <w:rPr>
          <w:rFonts w:ascii="宋体" w:eastAsia="宋体" w:hAnsi="宋体" w:cs="宋体"/>
          <w:sz w:val="22"/>
          <w:szCs w:val="22"/>
        </w:rPr>
        <w:t xml:space="preserve"> </w:t>
      </w:r>
      <w:r>
        <w:rPr>
          <w:rFonts w:ascii="宋体" w:eastAsia="宋体" w:hAnsi="宋体" w:cs="宋体"/>
          <w:spacing w:val="-3"/>
          <w:sz w:val="22"/>
          <w:szCs w:val="22"/>
        </w:rPr>
        <w:t>了VLDL</w:t>
      </w:r>
      <w:r>
        <w:rPr>
          <w:rFonts w:ascii="宋体" w:eastAsia="宋体" w:hAnsi="宋体" w:cs="宋体"/>
          <w:spacing w:val="73"/>
          <w:sz w:val="22"/>
          <w:szCs w:val="22"/>
        </w:rPr>
        <w:t xml:space="preserve"> </w:t>
      </w:r>
      <w:r>
        <w:rPr>
          <w:rFonts w:ascii="宋体" w:eastAsia="宋体" w:hAnsi="宋体" w:cs="宋体"/>
          <w:spacing w:val="-3"/>
          <w:sz w:val="22"/>
          <w:szCs w:val="22"/>
        </w:rPr>
        <w:t>残粒向LDL</w:t>
      </w:r>
      <w:r>
        <w:rPr>
          <w:rFonts w:ascii="宋体" w:eastAsia="宋体" w:hAnsi="宋体" w:cs="宋体"/>
          <w:spacing w:val="37"/>
          <w:sz w:val="22"/>
          <w:szCs w:val="22"/>
        </w:rPr>
        <w:t xml:space="preserve"> </w:t>
      </w:r>
      <w:r>
        <w:rPr>
          <w:rFonts w:ascii="宋体" w:eastAsia="宋体" w:hAnsi="宋体" w:cs="宋体"/>
          <w:spacing w:val="-3"/>
          <w:sz w:val="22"/>
          <w:szCs w:val="22"/>
        </w:rPr>
        <w:t>的转化，使血清LDL-C</w:t>
      </w:r>
      <w:r>
        <w:rPr>
          <w:rFonts w:ascii="宋体" w:eastAsia="宋体" w:hAnsi="宋体" w:cs="宋体"/>
          <w:spacing w:val="17"/>
          <w:sz w:val="22"/>
          <w:szCs w:val="22"/>
        </w:rPr>
        <w:t xml:space="preserve"> </w:t>
      </w:r>
      <w:r>
        <w:rPr>
          <w:rFonts w:ascii="宋体" w:eastAsia="宋体" w:hAnsi="宋体" w:cs="宋体"/>
          <w:spacing w:val="-3"/>
          <w:sz w:val="22"/>
          <w:szCs w:val="22"/>
        </w:rPr>
        <w:t>降低，</w:t>
      </w:r>
    </w:p>
    <w:p w:rsidR="00EA40A3" w:rsidRDefault="00E86C16">
      <w:pPr>
        <w:spacing w:before="305"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20"/>
          <w:sz w:val="22"/>
          <w:szCs w:val="22"/>
        </w:rPr>
        <w:t xml:space="preserve"> </w:t>
      </w:r>
      <w:r>
        <w:rPr>
          <w:rFonts w:ascii="仿宋" w:eastAsia="仿宋" w:hAnsi="仿宋" w:cs="仿宋"/>
          <w:spacing w:val="13"/>
          <w:sz w:val="22"/>
          <w:szCs w:val="22"/>
        </w:rPr>
        <w:t>其他营养素与心血管疾病</w:t>
      </w:r>
    </w:p>
    <w:p w:rsidR="00EA40A3" w:rsidRDefault="00E86C16">
      <w:pPr>
        <w:spacing w:before="211" w:line="219" w:lineRule="auto"/>
        <w:ind w:left="399"/>
        <w:rPr>
          <w:rFonts w:ascii="宋体" w:eastAsia="宋体" w:hAnsi="宋体" w:cs="宋体"/>
          <w:sz w:val="22"/>
          <w:szCs w:val="22"/>
        </w:rPr>
      </w:pPr>
      <w:r>
        <w:rPr>
          <w:rFonts w:ascii="宋体" w:eastAsia="宋体" w:hAnsi="宋体" w:cs="宋体"/>
          <w:spacing w:val="-12"/>
          <w:sz w:val="22"/>
          <w:szCs w:val="22"/>
        </w:rPr>
        <w:t>除了脂类与心血管疾病有着直接而密切的关系，膳食中的其他营养因素也与</w:t>
      </w:r>
    </w:p>
    <w:p w:rsidR="00EA40A3" w:rsidRDefault="00E86C16">
      <w:pPr>
        <w:spacing w:before="93"/>
        <w:ind w:right="45"/>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371</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000" w:bottom="400" w:left="930" w:header="0" w:footer="0" w:gutter="0"/>
          <w:cols w:space="720"/>
        </w:sectPr>
      </w:pPr>
    </w:p>
    <w:p w:rsidR="00EA40A3" w:rsidRDefault="00EA40A3">
      <w:pPr>
        <w:spacing w:line="284" w:lineRule="auto"/>
      </w:pPr>
    </w:p>
    <w:p w:rsidR="00EA40A3" w:rsidRDefault="00EA40A3">
      <w:pPr>
        <w:spacing w:line="284" w:lineRule="auto"/>
      </w:pPr>
    </w:p>
    <w:p w:rsidR="00EA40A3" w:rsidRDefault="00E86C16">
      <w:pPr>
        <w:spacing w:before="71" w:line="248" w:lineRule="auto"/>
        <w:ind w:right="119"/>
        <w:jc w:val="both"/>
        <w:rPr>
          <w:rFonts w:ascii="宋体" w:eastAsia="宋体" w:hAnsi="宋体" w:cs="宋体"/>
          <w:sz w:val="22"/>
          <w:szCs w:val="22"/>
        </w:rPr>
      </w:pPr>
      <w:r>
        <w:rPr>
          <w:rFonts w:ascii="宋体" w:eastAsia="宋体" w:hAnsi="宋体" w:cs="宋体"/>
          <w:spacing w:val="-13"/>
          <w:sz w:val="22"/>
          <w:szCs w:val="22"/>
        </w:rPr>
        <w:t>心血管疾病有关。例如，流行病学和临床及实验研究在不同地域、不同人群中都</w:t>
      </w:r>
      <w:r>
        <w:rPr>
          <w:rFonts w:ascii="宋体" w:eastAsia="宋体" w:hAnsi="宋体" w:cs="宋体"/>
          <w:spacing w:val="12"/>
          <w:sz w:val="22"/>
          <w:szCs w:val="22"/>
        </w:rPr>
        <w:t xml:space="preserve"> </w:t>
      </w:r>
      <w:r>
        <w:rPr>
          <w:rFonts w:ascii="宋体" w:eastAsia="宋体" w:hAnsi="宋体" w:cs="宋体"/>
          <w:spacing w:val="-10"/>
          <w:sz w:val="22"/>
          <w:szCs w:val="22"/>
        </w:rPr>
        <w:t>已证实，同型半胱氨酸</w:t>
      </w:r>
      <w:r>
        <w:rPr>
          <w:rFonts w:ascii="宋体" w:eastAsia="宋体" w:hAnsi="宋体" w:cs="宋体"/>
          <w:spacing w:val="1"/>
          <w:sz w:val="22"/>
          <w:szCs w:val="22"/>
        </w:rPr>
        <w:t xml:space="preserve"> </w:t>
      </w:r>
      <w:r>
        <w:rPr>
          <w:rFonts w:ascii="宋体" w:eastAsia="宋体" w:hAnsi="宋体" w:cs="宋体"/>
          <w:spacing w:val="-10"/>
          <w:sz w:val="22"/>
          <w:szCs w:val="22"/>
        </w:rPr>
        <w:t>(Hcy)</w:t>
      </w:r>
      <w:r>
        <w:rPr>
          <w:rFonts w:ascii="宋体" w:eastAsia="宋体" w:hAnsi="宋体" w:cs="宋体"/>
          <w:spacing w:val="77"/>
          <w:sz w:val="22"/>
          <w:szCs w:val="22"/>
        </w:rPr>
        <w:t xml:space="preserve"> </w:t>
      </w:r>
      <w:r>
        <w:rPr>
          <w:rFonts w:ascii="宋体" w:eastAsia="宋体" w:hAnsi="宋体" w:cs="宋体"/>
          <w:spacing w:val="-10"/>
          <w:sz w:val="22"/>
          <w:szCs w:val="22"/>
        </w:rPr>
        <w:t>含量是动脉粥样硬化、急性</w:t>
      </w:r>
      <w:r>
        <w:rPr>
          <w:rFonts w:ascii="宋体" w:eastAsia="宋体" w:hAnsi="宋体" w:cs="宋体"/>
          <w:spacing w:val="-11"/>
          <w:sz w:val="22"/>
          <w:szCs w:val="22"/>
        </w:rPr>
        <w:t>心肌梗死、脑卒中，</w:t>
      </w:r>
      <w:r>
        <w:rPr>
          <w:rFonts w:ascii="宋体" w:eastAsia="宋体" w:hAnsi="宋体" w:cs="宋体"/>
          <w:sz w:val="22"/>
          <w:szCs w:val="22"/>
        </w:rPr>
        <w:t xml:space="preserve"> </w:t>
      </w:r>
      <w:r>
        <w:rPr>
          <w:rFonts w:ascii="宋体" w:eastAsia="宋体" w:hAnsi="宋体" w:cs="宋体"/>
          <w:spacing w:val="-9"/>
          <w:sz w:val="22"/>
          <w:szCs w:val="22"/>
        </w:rPr>
        <w:t>冠状动脉病变以及与外周血管病变等发病的独立危险</w:t>
      </w:r>
      <w:r>
        <w:rPr>
          <w:rFonts w:ascii="宋体" w:eastAsia="宋体" w:hAnsi="宋体" w:cs="宋体"/>
          <w:spacing w:val="-10"/>
          <w:sz w:val="22"/>
          <w:szCs w:val="22"/>
        </w:rPr>
        <w:t>因子。</w:t>
      </w:r>
      <w:r>
        <w:rPr>
          <w:rFonts w:ascii="宋体" w:eastAsia="宋体" w:hAnsi="宋体" w:cs="宋体"/>
          <w:spacing w:val="10"/>
          <w:sz w:val="22"/>
          <w:szCs w:val="22"/>
        </w:rPr>
        <w:t xml:space="preserve"> </w:t>
      </w:r>
      <w:r>
        <w:rPr>
          <w:rFonts w:ascii="宋体" w:eastAsia="宋体" w:hAnsi="宋体" w:cs="宋体"/>
          <w:spacing w:val="-9"/>
          <w:sz w:val="22"/>
          <w:szCs w:val="22"/>
        </w:rPr>
        <w:t>Hcy</w:t>
      </w:r>
      <w:r>
        <w:rPr>
          <w:rFonts w:ascii="宋体" w:eastAsia="宋体" w:hAnsi="宋体" w:cs="宋体"/>
          <w:spacing w:val="-17"/>
          <w:sz w:val="22"/>
          <w:szCs w:val="22"/>
        </w:rPr>
        <w:t xml:space="preserve"> </w:t>
      </w:r>
      <w:r>
        <w:rPr>
          <w:rFonts w:ascii="宋体" w:eastAsia="宋体" w:hAnsi="宋体" w:cs="宋体"/>
          <w:spacing w:val="-10"/>
          <w:sz w:val="22"/>
          <w:szCs w:val="22"/>
        </w:rPr>
        <w:t>是蛋氨酸和半</w:t>
      </w:r>
      <w:r>
        <w:rPr>
          <w:rFonts w:ascii="宋体" w:eastAsia="宋体" w:hAnsi="宋体" w:cs="宋体"/>
          <w:sz w:val="22"/>
          <w:szCs w:val="22"/>
        </w:rPr>
        <w:t xml:space="preserve"> </w:t>
      </w:r>
      <w:r>
        <w:rPr>
          <w:rFonts w:ascii="宋体" w:eastAsia="宋体" w:hAnsi="宋体" w:cs="宋体"/>
          <w:spacing w:val="-6"/>
          <w:sz w:val="22"/>
          <w:szCs w:val="22"/>
        </w:rPr>
        <w:t>胱氨酸代谢过程中的中间产物，当体内Hcy</w:t>
      </w:r>
      <w:r>
        <w:rPr>
          <w:rFonts w:ascii="宋体" w:eastAsia="宋体" w:hAnsi="宋体" w:cs="宋体"/>
          <w:spacing w:val="11"/>
          <w:sz w:val="22"/>
          <w:szCs w:val="22"/>
        </w:rPr>
        <w:t xml:space="preserve"> </w:t>
      </w:r>
      <w:r>
        <w:rPr>
          <w:rFonts w:ascii="宋体" w:eastAsia="宋体" w:hAnsi="宋体" w:cs="宋体"/>
          <w:spacing w:val="-6"/>
          <w:sz w:val="22"/>
          <w:szCs w:val="22"/>
        </w:rPr>
        <w:t>代谢紊乱，浓度升高时会形成</w:t>
      </w:r>
      <w:r>
        <w:rPr>
          <w:rFonts w:ascii="宋体" w:eastAsia="宋体" w:hAnsi="宋体" w:cs="宋体"/>
          <w:spacing w:val="-60"/>
          <w:sz w:val="22"/>
          <w:szCs w:val="22"/>
        </w:rPr>
        <w:t xml:space="preserve"> </w:t>
      </w:r>
      <w:r>
        <w:rPr>
          <w:rFonts w:ascii="宋体" w:eastAsia="宋体" w:hAnsi="宋体" w:cs="宋体"/>
          <w:spacing w:val="-6"/>
          <w:sz w:val="22"/>
          <w:szCs w:val="22"/>
        </w:rPr>
        <w:t>Hcy</w:t>
      </w:r>
      <w:r>
        <w:rPr>
          <w:rFonts w:ascii="宋体" w:eastAsia="宋体" w:hAnsi="宋体" w:cs="宋体"/>
          <w:sz w:val="22"/>
          <w:szCs w:val="22"/>
        </w:rPr>
        <w:t xml:space="preserve"> </w:t>
      </w:r>
      <w:r>
        <w:rPr>
          <w:rFonts w:ascii="宋体" w:eastAsia="宋体" w:hAnsi="宋体" w:cs="宋体"/>
          <w:spacing w:val="-13"/>
          <w:sz w:val="22"/>
          <w:szCs w:val="22"/>
        </w:rPr>
        <w:t>巯基内酯，与低密度脂蛋白形成复合体，被巨噬细胞吞噬会形成堆积动脉粥样硬</w:t>
      </w:r>
      <w:r>
        <w:rPr>
          <w:rFonts w:ascii="宋体" w:eastAsia="宋体" w:hAnsi="宋体" w:cs="宋体"/>
          <w:spacing w:val="12"/>
          <w:sz w:val="22"/>
          <w:szCs w:val="22"/>
        </w:rPr>
        <w:t xml:space="preserve"> </w:t>
      </w:r>
      <w:r>
        <w:rPr>
          <w:rFonts w:ascii="宋体" w:eastAsia="宋体" w:hAnsi="宋体" w:cs="宋体"/>
          <w:spacing w:val="-10"/>
          <w:sz w:val="22"/>
          <w:szCs w:val="22"/>
        </w:rPr>
        <w:t>化斑块上的泡沫细胞。</w:t>
      </w:r>
      <w:r>
        <w:rPr>
          <w:rFonts w:ascii="宋体" w:eastAsia="宋体" w:hAnsi="宋体" w:cs="宋体"/>
          <w:spacing w:val="25"/>
          <w:sz w:val="22"/>
          <w:szCs w:val="22"/>
        </w:rPr>
        <w:t xml:space="preserve"> </w:t>
      </w:r>
      <w:r>
        <w:rPr>
          <w:rFonts w:ascii="宋体" w:eastAsia="宋体" w:hAnsi="宋体" w:cs="宋体"/>
          <w:spacing w:val="-10"/>
          <w:sz w:val="22"/>
          <w:szCs w:val="22"/>
        </w:rPr>
        <w:t>Hcy</w:t>
      </w:r>
      <w:r>
        <w:rPr>
          <w:rFonts w:ascii="宋体" w:eastAsia="宋体" w:hAnsi="宋体" w:cs="宋体"/>
          <w:spacing w:val="-6"/>
          <w:sz w:val="22"/>
          <w:szCs w:val="22"/>
        </w:rPr>
        <w:t xml:space="preserve"> </w:t>
      </w:r>
      <w:r>
        <w:rPr>
          <w:rFonts w:ascii="宋体" w:eastAsia="宋体" w:hAnsi="宋体" w:cs="宋体"/>
          <w:spacing w:val="-10"/>
          <w:sz w:val="22"/>
          <w:szCs w:val="22"/>
        </w:rPr>
        <w:t>还可自发氧化，导致内皮细胞的损伤和低密度脂蛋</w:t>
      </w:r>
      <w:r>
        <w:rPr>
          <w:rFonts w:ascii="宋体" w:eastAsia="宋体" w:hAnsi="宋体" w:cs="宋体"/>
          <w:sz w:val="22"/>
          <w:szCs w:val="22"/>
        </w:rPr>
        <w:t xml:space="preserve"> </w:t>
      </w:r>
      <w:r>
        <w:rPr>
          <w:rFonts w:ascii="宋体" w:eastAsia="宋体" w:hAnsi="宋体" w:cs="宋体"/>
          <w:spacing w:val="-7"/>
          <w:sz w:val="22"/>
          <w:szCs w:val="22"/>
        </w:rPr>
        <w:t>白的氧化，并可造成血管平滑肌持续性的收缩，加速动脉粥样</w:t>
      </w:r>
      <w:r>
        <w:rPr>
          <w:rFonts w:ascii="宋体" w:eastAsia="宋体" w:hAnsi="宋体" w:cs="宋体"/>
          <w:spacing w:val="-8"/>
          <w:sz w:val="22"/>
          <w:szCs w:val="22"/>
        </w:rPr>
        <w:t>硬化的过程。另</w:t>
      </w:r>
      <w:r>
        <w:rPr>
          <w:rFonts w:ascii="宋体" w:eastAsia="宋体" w:hAnsi="宋体" w:cs="宋体"/>
          <w:sz w:val="22"/>
          <w:szCs w:val="22"/>
        </w:rPr>
        <w:t xml:space="preserve"> </w:t>
      </w:r>
      <w:r>
        <w:rPr>
          <w:rFonts w:ascii="宋体" w:eastAsia="宋体" w:hAnsi="宋体" w:cs="宋体"/>
          <w:spacing w:val="-7"/>
          <w:sz w:val="22"/>
          <w:szCs w:val="22"/>
        </w:rPr>
        <w:t>外</w:t>
      </w:r>
      <w:r>
        <w:rPr>
          <w:rFonts w:ascii="宋体" w:eastAsia="宋体" w:hAnsi="宋体" w:cs="宋体"/>
          <w:spacing w:val="-58"/>
          <w:sz w:val="22"/>
          <w:szCs w:val="22"/>
        </w:rPr>
        <w:t xml:space="preserve"> </w:t>
      </w:r>
      <w:r>
        <w:rPr>
          <w:rFonts w:ascii="宋体" w:eastAsia="宋体" w:hAnsi="宋体" w:cs="宋体"/>
          <w:spacing w:val="-7"/>
          <w:sz w:val="22"/>
          <w:szCs w:val="22"/>
        </w:rPr>
        <w:t>，Hcy</w:t>
      </w:r>
      <w:r>
        <w:rPr>
          <w:rFonts w:ascii="宋体" w:eastAsia="宋体" w:hAnsi="宋体" w:cs="宋体"/>
          <w:spacing w:val="-17"/>
          <w:sz w:val="22"/>
          <w:szCs w:val="22"/>
        </w:rPr>
        <w:t xml:space="preserve"> </w:t>
      </w:r>
      <w:r>
        <w:rPr>
          <w:rFonts w:ascii="宋体" w:eastAsia="宋体" w:hAnsi="宋体" w:cs="宋体"/>
          <w:spacing w:val="-7"/>
          <w:sz w:val="22"/>
          <w:szCs w:val="22"/>
        </w:rPr>
        <w:t>在组织中蓄积，可导致胱硫醚β合成酶缺乏，</w:t>
      </w:r>
      <w:r>
        <w:rPr>
          <w:rFonts w:ascii="宋体" w:eastAsia="宋体" w:hAnsi="宋体" w:cs="宋体"/>
          <w:spacing w:val="-8"/>
          <w:sz w:val="22"/>
          <w:szCs w:val="22"/>
        </w:rPr>
        <w:t>会引起可遗传的基因失</w:t>
      </w:r>
      <w:r>
        <w:rPr>
          <w:rFonts w:ascii="宋体" w:eastAsia="宋体" w:hAnsi="宋体" w:cs="宋体"/>
          <w:sz w:val="22"/>
          <w:szCs w:val="22"/>
        </w:rPr>
        <w:t xml:space="preserve"> </w:t>
      </w:r>
      <w:r>
        <w:rPr>
          <w:rFonts w:ascii="宋体" w:eastAsia="宋体" w:hAnsi="宋体" w:cs="宋体"/>
          <w:spacing w:val="-13"/>
          <w:sz w:val="22"/>
          <w:szCs w:val="22"/>
        </w:rPr>
        <w:t>调。而影响蛋氨酸和半胱氨酸代谢的膳食因素不仅涉及膳食蛋白质，最为直接的</w:t>
      </w:r>
      <w:r>
        <w:rPr>
          <w:rFonts w:ascii="宋体" w:eastAsia="宋体" w:hAnsi="宋体" w:cs="宋体"/>
          <w:sz w:val="22"/>
          <w:szCs w:val="22"/>
        </w:rPr>
        <w:t xml:space="preserve"> </w:t>
      </w:r>
      <w:r>
        <w:rPr>
          <w:rFonts w:ascii="宋体" w:eastAsia="宋体" w:hAnsi="宋体" w:cs="宋体"/>
          <w:spacing w:val="-6"/>
          <w:sz w:val="22"/>
          <w:szCs w:val="22"/>
        </w:rPr>
        <w:t>还有维生素B、</w:t>
      </w:r>
      <w:r>
        <w:rPr>
          <w:rFonts w:ascii="宋体" w:eastAsia="宋体" w:hAnsi="宋体" w:cs="宋体"/>
          <w:spacing w:val="28"/>
          <w:sz w:val="22"/>
          <w:szCs w:val="22"/>
        </w:rPr>
        <w:t xml:space="preserve"> </w:t>
      </w:r>
      <w:r>
        <w:rPr>
          <w:rFonts w:ascii="宋体" w:eastAsia="宋体" w:hAnsi="宋体" w:cs="宋体"/>
          <w:spacing w:val="-6"/>
          <w:sz w:val="22"/>
          <w:szCs w:val="22"/>
        </w:rPr>
        <w:t>维生素Bn</w:t>
      </w:r>
      <w:r>
        <w:rPr>
          <w:rFonts w:ascii="Calibri" w:eastAsia="Calibri" w:hAnsi="Calibri" w:cs="Calibri"/>
          <w:spacing w:val="-6"/>
          <w:sz w:val="22"/>
          <w:szCs w:val="22"/>
        </w:rPr>
        <w:t>₂</w:t>
      </w:r>
      <w:r>
        <w:rPr>
          <w:rFonts w:ascii="宋体" w:eastAsia="宋体" w:hAnsi="宋体" w:cs="宋体"/>
          <w:spacing w:val="-6"/>
          <w:sz w:val="22"/>
          <w:szCs w:val="22"/>
        </w:rPr>
        <w:t>和叶酸(具体过程见第4章“微量营养素”)。</w:t>
      </w:r>
    </w:p>
    <w:p w:rsidR="00EA40A3" w:rsidRDefault="00E86C16">
      <w:pPr>
        <w:spacing w:before="255" w:line="221" w:lineRule="auto"/>
        <w:ind w:left="3"/>
        <w:outlineLvl w:val="6"/>
        <w:rPr>
          <w:rFonts w:ascii="黑体" w:eastAsia="黑体" w:hAnsi="黑体" w:cs="黑体"/>
          <w:sz w:val="22"/>
          <w:szCs w:val="22"/>
        </w:rPr>
      </w:pPr>
      <w:r>
        <w:rPr>
          <w:rFonts w:ascii="黑体" w:eastAsia="黑体" w:hAnsi="黑体" w:cs="黑体"/>
          <w:b/>
          <w:bCs/>
          <w:spacing w:val="8"/>
          <w:sz w:val="22"/>
          <w:szCs w:val="22"/>
        </w:rPr>
        <w:t>11.6.2</w:t>
      </w:r>
      <w:r>
        <w:rPr>
          <w:rFonts w:ascii="黑体" w:eastAsia="黑体" w:hAnsi="黑体" w:cs="黑体"/>
          <w:spacing w:val="16"/>
          <w:sz w:val="22"/>
          <w:szCs w:val="22"/>
        </w:rPr>
        <w:t xml:space="preserve">   </w:t>
      </w:r>
      <w:r>
        <w:rPr>
          <w:rFonts w:ascii="黑体" w:eastAsia="黑体" w:hAnsi="黑体" w:cs="黑体"/>
          <w:b/>
          <w:bCs/>
          <w:spacing w:val="8"/>
          <w:sz w:val="22"/>
          <w:szCs w:val="22"/>
        </w:rPr>
        <w:t>心血管疾病与其他疾病</w:t>
      </w:r>
    </w:p>
    <w:p w:rsidR="00EA40A3" w:rsidRDefault="00E86C16">
      <w:pPr>
        <w:spacing w:before="189" w:line="250" w:lineRule="auto"/>
        <w:ind w:right="153" w:firstLine="390"/>
        <w:jc w:val="both"/>
        <w:rPr>
          <w:rFonts w:ascii="宋体" w:eastAsia="宋体" w:hAnsi="宋体" w:cs="宋体"/>
          <w:sz w:val="22"/>
          <w:szCs w:val="22"/>
        </w:rPr>
      </w:pPr>
      <w:r>
        <w:rPr>
          <w:rFonts w:ascii="宋体" w:eastAsia="宋体" w:hAnsi="宋体" w:cs="宋体"/>
          <w:spacing w:val="-13"/>
          <w:sz w:val="22"/>
          <w:szCs w:val="22"/>
        </w:rPr>
        <w:t>血压升高是最重要的心血管病危险因素，研究表明脉压与冠心病和脑卒中发</w:t>
      </w:r>
      <w:r>
        <w:rPr>
          <w:rFonts w:ascii="宋体" w:eastAsia="宋体" w:hAnsi="宋体" w:cs="宋体"/>
          <w:spacing w:val="16"/>
          <w:sz w:val="22"/>
          <w:szCs w:val="22"/>
        </w:rPr>
        <w:t xml:space="preserve"> </w:t>
      </w:r>
      <w:r>
        <w:rPr>
          <w:rFonts w:ascii="宋体" w:eastAsia="宋体" w:hAnsi="宋体" w:cs="宋体"/>
          <w:spacing w:val="-9"/>
          <w:sz w:val="22"/>
          <w:szCs w:val="22"/>
        </w:rPr>
        <w:t>病之间存在显著关联，且独立于血压之外的其他危险因素。盐摄入量与CVD</w:t>
      </w:r>
      <w:r>
        <w:rPr>
          <w:rFonts w:ascii="宋体" w:eastAsia="宋体" w:hAnsi="宋体" w:cs="宋体"/>
          <w:spacing w:val="71"/>
          <w:sz w:val="22"/>
          <w:szCs w:val="22"/>
        </w:rPr>
        <w:t xml:space="preserve"> </w:t>
      </w:r>
      <w:r>
        <w:rPr>
          <w:rFonts w:ascii="宋体" w:eastAsia="宋体" w:hAnsi="宋体" w:cs="宋体"/>
          <w:spacing w:val="-9"/>
          <w:sz w:val="22"/>
          <w:szCs w:val="22"/>
        </w:rPr>
        <w:t>之</w:t>
      </w:r>
      <w:r>
        <w:rPr>
          <w:rFonts w:ascii="宋体" w:eastAsia="宋体" w:hAnsi="宋体" w:cs="宋体"/>
          <w:sz w:val="22"/>
          <w:szCs w:val="22"/>
        </w:rPr>
        <w:t xml:space="preserve"> </w:t>
      </w:r>
      <w:r>
        <w:rPr>
          <w:rFonts w:ascii="宋体" w:eastAsia="宋体" w:hAnsi="宋体" w:cs="宋体"/>
          <w:spacing w:val="-12"/>
          <w:sz w:val="22"/>
          <w:szCs w:val="22"/>
        </w:rPr>
        <w:t>间也有一定的联系，尤其是高血压患者，有研究</w:t>
      </w:r>
      <w:r>
        <w:rPr>
          <w:rFonts w:ascii="宋体" w:eastAsia="宋体" w:hAnsi="宋体" w:cs="宋体"/>
          <w:spacing w:val="-13"/>
          <w:sz w:val="22"/>
          <w:szCs w:val="22"/>
        </w:rPr>
        <w:t>表明高盐摄入量与高血压患者的</w:t>
      </w:r>
      <w:r>
        <w:rPr>
          <w:rFonts w:ascii="宋体" w:eastAsia="宋体" w:hAnsi="宋体" w:cs="宋体"/>
          <w:sz w:val="22"/>
          <w:szCs w:val="22"/>
        </w:rPr>
        <w:t xml:space="preserve"> </w:t>
      </w:r>
      <w:r>
        <w:rPr>
          <w:rFonts w:ascii="宋体" w:eastAsia="宋体" w:hAnsi="宋体" w:cs="宋体"/>
          <w:spacing w:val="-9"/>
          <w:sz w:val="22"/>
          <w:szCs w:val="22"/>
        </w:rPr>
        <w:t>左心室肥大</w:t>
      </w:r>
      <w:r>
        <w:rPr>
          <w:rFonts w:ascii="宋体" w:eastAsia="宋体" w:hAnsi="宋体" w:cs="宋体"/>
          <w:spacing w:val="-21"/>
          <w:sz w:val="22"/>
          <w:szCs w:val="22"/>
        </w:rPr>
        <w:t xml:space="preserve"> </w:t>
      </w:r>
      <w:r>
        <w:rPr>
          <w:rFonts w:ascii="宋体" w:eastAsia="宋体" w:hAnsi="宋体" w:cs="宋体"/>
          <w:spacing w:val="-9"/>
          <w:sz w:val="22"/>
          <w:szCs w:val="22"/>
        </w:rPr>
        <w:t>(LVH)</w:t>
      </w:r>
      <w:r>
        <w:rPr>
          <w:rFonts w:ascii="宋体" w:eastAsia="宋体" w:hAnsi="宋体" w:cs="宋体"/>
          <w:spacing w:val="23"/>
          <w:sz w:val="22"/>
          <w:szCs w:val="22"/>
        </w:rPr>
        <w:t xml:space="preserve">  </w:t>
      </w:r>
      <w:r>
        <w:rPr>
          <w:rFonts w:ascii="宋体" w:eastAsia="宋体" w:hAnsi="宋体" w:cs="宋体"/>
          <w:spacing w:val="-9"/>
          <w:sz w:val="22"/>
          <w:szCs w:val="22"/>
        </w:rPr>
        <w:t>有关，而LVH</w:t>
      </w:r>
      <w:r>
        <w:rPr>
          <w:rFonts w:ascii="宋体" w:eastAsia="宋体" w:hAnsi="宋体" w:cs="宋体"/>
          <w:spacing w:val="98"/>
          <w:sz w:val="22"/>
          <w:szCs w:val="22"/>
        </w:rPr>
        <w:t xml:space="preserve"> </w:t>
      </w:r>
      <w:r>
        <w:rPr>
          <w:rFonts w:ascii="宋体" w:eastAsia="宋体" w:hAnsi="宋体" w:cs="宋体"/>
          <w:spacing w:val="-9"/>
          <w:sz w:val="22"/>
          <w:szCs w:val="22"/>
        </w:rPr>
        <w:t>又增加心血管疾病的发病率和</w:t>
      </w:r>
      <w:r>
        <w:rPr>
          <w:rFonts w:ascii="宋体" w:eastAsia="宋体" w:hAnsi="宋体" w:cs="宋体"/>
          <w:spacing w:val="-10"/>
          <w:sz w:val="22"/>
          <w:szCs w:val="22"/>
        </w:rPr>
        <w:t>死亡率。</w:t>
      </w:r>
    </w:p>
    <w:p w:rsidR="00EA40A3" w:rsidRDefault="00E86C16">
      <w:pPr>
        <w:spacing w:before="40" w:line="241" w:lineRule="auto"/>
        <w:ind w:right="149" w:firstLine="390"/>
        <w:jc w:val="both"/>
        <w:rPr>
          <w:rFonts w:ascii="宋体" w:eastAsia="宋体" w:hAnsi="宋体" w:cs="宋体"/>
          <w:sz w:val="22"/>
          <w:szCs w:val="22"/>
        </w:rPr>
      </w:pPr>
      <w:r>
        <w:rPr>
          <w:rFonts w:ascii="宋体" w:eastAsia="宋体" w:hAnsi="宋体" w:cs="宋体"/>
          <w:spacing w:val="-13"/>
          <w:sz w:val="22"/>
          <w:szCs w:val="22"/>
        </w:rPr>
        <w:t>血脂异常显著增加缺血性心血管病发病的危险。高脂血症易诱发动脉</w:t>
      </w:r>
      <w:r>
        <w:rPr>
          <w:rFonts w:ascii="宋体" w:eastAsia="宋体" w:hAnsi="宋体" w:cs="宋体"/>
          <w:spacing w:val="-14"/>
          <w:sz w:val="22"/>
          <w:szCs w:val="22"/>
        </w:rPr>
        <w:t>粥样硬</w:t>
      </w:r>
      <w:r>
        <w:rPr>
          <w:rFonts w:ascii="宋体" w:eastAsia="宋体" w:hAnsi="宋体" w:cs="宋体"/>
          <w:sz w:val="22"/>
          <w:szCs w:val="22"/>
        </w:rPr>
        <w:t xml:space="preserve"> </w:t>
      </w:r>
      <w:r>
        <w:rPr>
          <w:rFonts w:ascii="宋体" w:eastAsia="宋体" w:hAnsi="宋体" w:cs="宋体"/>
          <w:spacing w:val="-7"/>
          <w:sz w:val="22"/>
          <w:szCs w:val="22"/>
        </w:rPr>
        <w:t>化，血清总胆固醇</w:t>
      </w:r>
      <w:r>
        <w:rPr>
          <w:rFonts w:ascii="宋体" w:eastAsia="宋体" w:hAnsi="宋体" w:cs="宋体"/>
          <w:spacing w:val="-3"/>
          <w:sz w:val="22"/>
          <w:szCs w:val="22"/>
        </w:rPr>
        <w:t xml:space="preserve"> </w:t>
      </w:r>
      <w:r>
        <w:rPr>
          <w:rFonts w:ascii="宋体" w:eastAsia="宋体" w:hAnsi="宋体" w:cs="宋体"/>
          <w:spacing w:val="-7"/>
          <w:sz w:val="22"/>
          <w:szCs w:val="22"/>
        </w:rPr>
        <w:t>(TC)、</w:t>
      </w:r>
      <w:r>
        <w:rPr>
          <w:rFonts w:ascii="宋体" w:eastAsia="宋体" w:hAnsi="宋体" w:cs="宋体"/>
          <w:spacing w:val="66"/>
          <w:sz w:val="22"/>
          <w:szCs w:val="22"/>
        </w:rPr>
        <w:t xml:space="preserve"> </w:t>
      </w:r>
      <w:r>
        <w:rPr>
          <w:rFonts w:ascii="宋体" w:eastAsia="宋体" w:hAnsi="宋体" w:cs="宋体"/>
          <w:spacing w:val="-7"/>
          <w:sz w:val="22"/>
          <w:szCs w:val="22"/>
        </w:rPr>
        <w:t>低密度脂蛋白胆固醇</w:t>
      </w:r>
      <w:r>
        <w:rPr>
          <w:rFonts w:ascii="宋体" w:eastAsia="宋体" w:hAnsi="宋体" w:cs="宋体"/>
          <w:spacing w:val="-2"/>
          <w:sz w:val="22"/>
          <w:szCs w:val="22"/>
        </w:rPr>
        <w:t xml:space="preserve"> </w:t>
      </w:r>
      <w:r>
        <w:rPr>
          <w:rFonts w:ascii="宋体" w:eastAsia="宋体" w:hAnsi="宋体" w:cs="宋体"/>
          <w:spacing w:val="-7"/>
          <w:sz w:val="22"/>
          <w:szCs w:val="22"/>
        </w:rPr>
        <w:t>(LDL-C)</w:t>
      </w:r>
      <w:r>
        <w:rPr>
          <w:rFonts w:ascii="宋体" w:eastAsia="宋体" w:hAnsi="宋体" w:cs="宋体"/>
          <w:spacing w:val="97"/>
          <w:sz w:val="22"/>
          <w:szCs w:val="22"/>
        </w:rPr>
        <w:t xml:space="preserve"> </w:t>
      </w:r>
      <w:r>
        <w:rPr>
          <w:rFonts w:ascii="宋体" w:eastAsia="宋体" w:hAnsi="宋体" w:cs="宋体"/>
          <w:spacing w:val="-7"/>
          <w:sz w:val="22"/>
          <w:szCs w:val="22"/>
        </w:rPr>
        <w:t>和非高密度胆固醇</w:t>
      </w:r>
      <w:r>
        <w:rPr>
          <w:rFonts w:ascii="宋体" w:eastAsia="宋体" w:hAnsi="宋体" w:cs="宋体"/>
          <w:sz w:val="22"/>
          <w:szCs w:val="22"/>
        </w:rPr>
        <w:t xml:space="preserve"> </w:t>
      </w:r>
      <w:r>
        <w:rPr>
          <w:rFonts w:ascii="宋体" w:eastAsia="宋体" w:hAnsi="宋体" w:cs="宋体"/>
          <w:spacing w:val="-12"/>
          <w:sz w:val="22"/>
          <w:szCs w:val="22"/>
        </w:rPr>
        <w:t>(HDL-C)</w:t>
      </w:r>
      <w:r>
        <w:rPr>
          <w:rFonts w:ascii="宋体" w:eastAsia="宋体" w:hAnsi="宋体" w:cs="宋体"/>
          <w:spacing w:val="17"/>
          <w:sz w:val="22"/>
          <w:szCs w:val="22"/>
        </w:rPr>
        <w:t xml:space="preserve">  </w:t>
      </w:r>
      <w:r>
        <w:rPr>
          <w:rFonts w:ascii="宋体" w:eastAsia="宋体" w:hAnsi="宋体" w:cs="宋体"/>
          <w:spacing w:val="-12"/>
          <w:sz w:val="22"/>
          <w:szCs w:val="22"/>
        </w:rPr>
        <w:t>升高显著增加缺血性心血管病发病的危险。</w:t>
      </w:r>
    </w:p>
    <w:p w:rsidR="00EA40A3" w:rsidRDefault="00E86C16">
      <w:pPr>
        <w:spacing w:before="50" w:line="245" w:lineRule="auto"/>
        <w:ind w:right="158" w:firstLine="390"/>
        <w:jc w:val="both"/>
        <w:rPr>
          <w:rFonts w:ascii="宋体" w:eastAsia="宋体" w:hAnsi="宋体" w:cs="宋体"/>
          <w:sz w:val="22"/>
          <w:szCs w:val="22"/>
        </w:rPr>
      </w:pPr>
      <w:r>
        <w:rPr>
          <w:rFonts w:ascii="宋体" w:eastAsia="宋体" w:hAnsi="宋体" w:cs="宋体"/>
          <w:spacing w:val="-12"/>
          <w:sz w:val="22"/>
          <w:szCs w:val="22"/>
        </w:rPr>
        <w:t>糖尿病是动脉粥样硬化性心血管病的重要危险因素。胰岛素依赖</w:t>
      </w:r>
      <w:r>
        <w:rPr>
          <w:rFonts w:ascii="宋体" w:eastAsia="宋体" w:hAnsi="宋体" w:cs="宋体"/>
          <w:spacing w:val="-13"/>
          <w:sz w:val="22"/>
          <w:szCs w:val="22"/>
        </w:rPr>
        <w:t>型和非胰岛</w:t>
      </w:r>
      <w:r>
        <w:rPr>
          <w:rFonts w:ascii="宋体" w:eastAsia="宋体" w:hAnsi="宋体" w:cs="宋体"/>
          <w:sz w:val="22"/>
          <w:szCs w:val="22"/>
        </w:rPr>
        <w:t xml:space="preserve"> </w:t>
      </w:r>
      <w:r>
        <w:rPr>
          <w:rFonts w:ascii="宋体" w:eastAsia="宋体" w:hAnsi="宋体" w:cs="宋体"/>
          <w:spacing w:val="-13"/>
          <w:sz w:val="22"/>
          <w:szCs w:val="22"/>
        </w:rPr>
        <w:t>素依赖型糖尿病都会更早更广泛地发生动脉粥样硬化，这是该病普遍性代谢紊乱</w:t>
      </w:r>
      <w:r>
        <w:rPr>
          <w:rFonts w:ascii="宋体" w:eastAsia="宋体" w:hAnsi="宋体" w:cs="宋体"/>
          <w:spacing w:val="15"/>
          <w:sz w:val="22"/>
          <w:szCs w:val="22"/>
        </w:rPr>
        <w:t xml:space="preserve"> </w:t>
      </w:r>
      <w:r>
        <w:rPr>
          <w:rFonts w:ascii="宋体" w:eastAsia="宋体" w:hAnsi="宋体" w:cs="宋体"/>
          <w:spacing w:val="-13"/>
          <w:sz w:val="22"/>
          <w:szCs w:val="22"/>
        </w:rPr>
        <w:t>的一部分，包括血脂异常和结缔组织的糖化。高胰岛素血症损害血管内皮。最近</w:t>
      </w:r>
      <w:r>
        <w:rPr>
          <w:rFonts w:ascii="宋体" w:eastAsia="宋体" w:hAnsi="宋体" w:cs="宋体"/>
          <w:spacing w:val="12"/>
          <w:sz w:val="22"/>
          <w:szCs w:val="22"/>
        </w:rPr>
        <w:t xml:space="preserve"> </w:t>
      </w:r>
      <w:r>
        <w:rPr>
          <w:rFonts w:ascii="宋体" w:eastAsia="宋体" w:hAnsi="宋体" w:cs="宋体"/>
          <w:spacing w:val="-9"/>
          <w:sz w:val="22"/>
          <w:szCs w:val="22"/>
        </w:rPr>
        <w:t>美国心脏协会</w:t>
      </w:r>
      <w:r>
        <w:rPr>
          <w:rFonts w:ascii="宋体" w:eastAsia="宋体" w:hAnsi="宋体" w:cs="宋体"/>
          <w:spacing w:val="-12"/>
          <w:sz w:val="22"/>
          <w:szCs w:val="22"/>
        </w:rPr>
        <w:t xml:space="preserve"> </w:t>
      </w:r>
      <w:r>
        <w:rPr>
          <w:rFonts w:ascii="宋体" w:eastAsia="宋体" w:hAnsi="宋体" w:cs="宋体"/>
          <w:spacing w:val="-9"/>
          <w:sz w:val="22"/>
          <w:szCs w:val="22"/>
        </w:rPr>
        <w:t>(AHA)</w:t>
      </w:r>
      <w:r>
        <w:rPr>
          <w:rFonts w:ascii="宋体" w:eastAsia="宋体" w:hAnsi="宋体" w:cs="宋体"/>
          <w:spacing w:val="24"/>
          <w:sz w:val="22"/>
          <w:szCs w:val="22"/>
        </w:rPr>
        <w:t xml:space="preserve">  </w:t>
      </w:r>
      <w:r>
        <w:rPr>
          <w:rFonts w:ascii="宋体" w:eastAsia="宋体" w:hAnsi="宋体" w:cs="宋体"/>
          <w:spacing w:val="-9"/>
          <w:sz w:val="22"/>
          <w:szCs w:val="22"/>
        </w:rPr>
        <w:t>已正式将糖尿病列为CVD</w:t>
      </w:r>
      <w:r>
        <w:rPr>
          <w:rFonts w:ascii="宋体" w:eastAsia="宋体" w:hAnsi="宋体" w:cs="宋体"/>
          <w:spacing w:val="66"/>
          <w:sz w:val="22"/>
          <w:szCs w:val="22"/>
        </w:rPr>
        <w:t xml:space="preserve"> </w:t>
      </w:r>
      <w:r>
        <w:rPr>
          <w:rFonts w:ascii="宋体" w:eastAsia="宋体" w:hAnsi="宋体" w:cs="宋体"/>
          <w:spacing w:val="-9"/>
          <w:sz w:val="22"/>
          <w:szCs w:val="22"/>
        </w:rPr>
        <w:t>的主要危险因子，如与高血压</w:t>
      </w:r>
      <w:r>
        <w:rPr>
          <w:rFonts w:ascii="宋体" w:eastAsia="宋体" w:hAnsi="宋体" w:cs="宋体"/>
          <w:sz w:val="22"/>
          <w:szCs w:val="22"/>
        </w:rPr>
        <w:t xml:space="preserve"> </w:t>
      </w:r>
      <w:r>
        <w:rPr>
          <w:rFonts w:ascii="宋体" w:eastAsia="宋体" w:hAnsi="宋体" w:cs="宋体"/>
          <w:spacing w:val="-16"/>
          <w:sz w:val="22"/>
          <w:szCs w:val="22"/>
        </w:rPr>
        <w:t>并存，</w:t>
      </w:r>
      <w:r>
        <w:rPr>
          <w:rFonts w:ascii="宋体" w:eastAsia="宋体" w:hAnsi="宋体" w:cs="宋体"/>
          <w:spacing w:val="-53"/>
          <w:sz w:val="22"/>
          <w:szCs w:val="22"/>
        </w:rPr>
        <w:t xml:space="preserve"> </w:t>
      </w:r>
      <w:r>
        <w:rPr>
          <w:rFonts w:ascii="宋体" w:eastAsia="宋体" w:hAnsi="宋体" w:cs="宋体"/>
          <w:spacing w:val="-16"/>
          <w:sz w:val="22"/>
          <w:szCs w:val="22"/>
        </w:rPr>
        <w:t>CVD</w:t>
      </w:r>
      <w:r>
        <w:rPr>
          <w:rFonts w:ascii="宋体" w:eastAsia="宋体" w:hAnsi="宋体" w:cs="宋体"/>
          <w:spacing w:val="77"/>
          <w:sz w:val="22"/>
          <w:szCs w:val="22"/>
        </w:rPr>
        <w:t xml:space="preserve"> </w:t>
      </w:r>
      <w:r>
        <w:rPr>
          <w:rFonts w:ascii="宋体" w:eastAsia="宋体" w:hAnsi="宋体" w:cs="宋体"/>
          <w:spacing w:val="-16"/>
          <w:sz w:val="22"/>
          <w:szCs w:val="22"/>
        </w:rPr>
        <w:t>的危险将大为增加。</w:t>
      </w:r>
    </w:p>
    <w:p w:rsidR="00EA40A3" w:rsidRDefault="00E86C16">
      <w:pPr>
        <w:spacing w:before="95" w:line="248" w:lineRule="auto"/>
        <w:ind w:firstLine="390"/>
        <w:jc w:val="both"/>
        <w:rPr>
          <w:rFonts w:ascii="宋体" w:eastAsia="宋体" w:hAnsi="宋体" w:cs="宋体"/>
          <w:sz w:val="22"/>
          <w:szCs w:val="22"/>
        </w:rPr>
      </w:pPr>
      <w:r>
        <w:rPr>
          <w:rFonts w:ascii="宋体" w:eastAsia="宋体" w:hAnsi="宋体" w:cs="宋体"/>
          <w:spacing w:val="-13"/>
          <w:sz w:val="22"/>
          <w:szCs w:val="22"/>
        </w:rPr>
        <w:t>超重和肥胖是心血管病死亡及总死亡的危险因素之一。肥胖病人的机体组织</w:t>
      </w:r>
      <w:r>
        <w:rPr>
          <w:rFonts w:ascii="宋体" w:eastAsia="宋体" w:hAnsi="宋体" w:cs="宋体"/>
          <w:spacing w:val="4"/>
          <w:sz w:val="22"/>
          <w:szCs w:val="22"/>
        </w:rPr>
        <w:t xml:space="preserve">  </w:t>
      </w:r>
      <w:r>
        <w:rPr>
          <w:rFonts w:ascii="宋体" w:eastAsia="宋体" w:hAnsi="宋体" w:cs="宋体"/>
          <w:spacing w:val="-13"/>
          <w:sz w:val="22"/>
          <w:szCs w:val="22"/>
        </w:rPr>
        <w:t>对游离脂肪酸的动员和利用减少，血中的游离脂肪酸积聚，血脂容量增高。肥胖</w:t>
      </w:r>
      <w:r>
        <w:rPr>
          <w:rFonts w:ascii="宋体" w:eastAsia="宋体" w:hAnsi="宋体" w:cs="宋体"/>
          <w:spacing w:val="6"/>
          <w:sz w:val="22"/>
          <w:szCs w:val="22"/>
        </w:rPr>
        <w:t xml:space="preserve">  </w:t>
      </w:r>
      <w:r>
        <w:rPr>
          <w:rFonts w:ascii="宋体" w:eastAsia="宋体" w:hAnsi="宋体" w:cs="宋体"/>
          <w:spacing w:val="-12"/>
          <w:sz w:val="22"/>
          <w:szCs w:val="22"/>
        </w:rPr>
        <w:t>病人空腹及餐后血浆胰岛素浓度常增高，约比正常人高一倍，而胰岛素有促进脂</w:t>
      </w:r>
      <w:r>
        <w:rPr>
          <w:rFonts w:ascii="宋体" w:eastAsia="宋体" w:hAnsi="宋体" w:cs="宋体"/>
          <w:sz w:val="22"/>
          <w:szCs w:val="22"/>
        </w:rPr>
        <w:t xml:space="preserve">  </w:t>
      </w:r>
      <w:r>
        <w:rPr>
          <w:rFonts w:ascii="宋体" w:eastAsia="宋体" w:hAnsi="宋体" w:cs="宋体"/>
          <w:spacing w:val="-13"/>
          <w:sz w:val="22"/>
          <w:szCs w:val="22"/>
        </w:rPr>
        <w:t>肪合成、抑制脂肪分解的作用，故肥胖者常出现高脂血症。进食过多的碳水化合</w:t>
      </w:r>
      <w:r>
        <w:rPr>
          <w:rFonts w:ascii="宋体" w:eastAsia="宋体" w:hAnsi="宋体" w:cs="宋体"/>
          <w:spacing w:val="6"/>
          <w:sz w:val="22"/>
          <w:szCs w:val="22"/>
        </w:rPr>
        <w:t xml:space="preserve">  </w:t>
      </w:r>
      <w:r>
        <w:rPr>
          <w:rFonts w:ascii="宋体" w:eastAsia="宋体" w:hAnsi="宋体" w:cs="宋体"/>
          <w:spacing w:val="-14"/>
          <w:sz w:val="22"/>
          <w:szCs w:val="22"/>
        </w:rPr>
        <w:t>物，则血浆甘油三酯水平增高更为明显。此外，肥胖者餐后血浆微粒澄清时间延，</w:t>
      </w:r>
      <w:r>
        <w:rPr>
          <w:rFonts w:ascii="宋体" w:eastAsia="宋体" w:hAnsi="宋体" w:cs="宋体"/>
          <w:spacing w:val="3"/>
          <w:sz w:val="22"/>
          <w:szCs w:val="22"/>
        </w:rPr>
        <w:t xml:space="preserve"> </w:t>
      </w:r>
      <w:r>
        <w:rPr>
          <w:rFonts w:ascii="宋体" w:eastAsia="宋体" w:hAnsi="宋体" w:cs="宋体"/>
          <w:spacing w:val="-14"/>
          <w:sz w:val="22"/>
          <w:szCs w:val="22"/>
        </w:rPr>
        <w:t>长，血中胆固醇也可升高。甘油三酯和胆固醇升高与肥胖程度成正比，形成的中</w:t>
      </w:r>
      <w:r>
        <w:rPr>
          <w:rFonts w:ascii="宋体" w:eastAsia="宋体" w:hAnsi="宋体" w:cs="宋体"/>
          <w:sz w:val="22"/>
          <w:szCs w:val="22"/>
        </w:rPr>
        <w:t xml:space="preserve">   </w:t>
      </w:r>
      <w:r>
        <w:rPr>
          <w:rFonts w:ascii="宋体" w:eastAsia="宋体" w:hAnsi="宋体" w:cs="宋体"/>
          <w:spacing w:val="-13"/>
          <w:sz w:val="22"/>
          <w:szCs w:val="22"/>
        </w:rPr>
        <w:t>心性肥胖也显著增加心血管病发病的风险。超重是引起大多数高血压和脂肪疾病</w:t>
      </w:r>
      <w:r>
        <w:rPr>
          <w:rFonts w:ascii="宋体" w:eastAsia="宋体" w:hAnsi="宋体" w:cs="宋体"/>
          <w:spacing w:val="9"/>
          <w:sz w:val="22"/>
          <w:szCs w:val="22"/>
        </w:rPr>
        <w:t xml:space="preserve">  </w:t>
      </w:r>
      <w:r>
        <w:rPr>
          <w:rFonts w:ascii="宋体" w:eastAsia="宋体" w:hAnsi="宋体" w:cs="宋体"/>
          <w:spacing w:val="-17"/>
          <w:sz w:val="22"/>
          <w:szCs w:val="22"/>
        </w:rPr>
        <w:t>的因素。</w:t>
      </w:r>
    </w:p>
    <w:p w:rsidR="00EA40A3" w:rsidRDefault="00E86C16">
      <w:pPr>
        <w:spacing w:before="214" w:line="221" w:lineRule="auto"/>
        <w:ind w:left="3"/>
        <w:outlineLvl w:val="6"/>
        <w:rPr>
          <w:rFonts w:ascii="黑体" w:eastAsia="黑体" w:hAnsi="黑体" w:cs="黑体"/>
          <w:sz w:val="22"/>
          <w:szCs w:val="22"/>
        </w:rPr>
      </w:pPr>
      <w:r>
        <w:rPr>
          <w:rFonts w:ascii="黑体" w:eastAsia="黑体" w:hAnsi="黑体" w:cs="黑体"/>
          <w:b/>
          <w:bCs/>
          <w:spacing w:val="7"/>
          <w:sz w:val="22"/>
          <w:szCs w:val="22"/>
        </w:rPr>
        <w:t>11.6.3</w:t>
      </w:r>
      <w:r>
        <w:rPr>
          <w:rFonts w:ascii="黑体" w:eastAsia="黑体" w:hAnsi="黑体" w:cs="黑体"/>
          <w:spacing w:val="37"/>
          <w:sz w:val="22"/>
          <w:szCs w:val="22"/>
        </w:rPr>
        <w:t xml:space="preserve">  </w:t>
      </w:r>
      <w:r>
        <w:rPr>
          <w:rFonts w:ascii="黑体" w:eastAsia="黑体" w:hAnsi="黑体" w:cs="黑体"/>
          <w:b/>
          <w:bCs/>
          <w:spacing w:val="7"/>
          <w:sz w:val="22"/>
          <w:szCs w:val="22"/>
        </w:rPr>
        <w:t>心血管疾病的饮食预防</w:t>
      </w:r>
    </w:p>
    <w:p w:rsidR="00EA40A3" w:rsidRDefault="00E86C16">
      <w:pPr>
        <w:spacing w:before="200" w:line="219" w:lineRule="auto"/>
        <w:ind w:left="390"/>
        <w:rPr>
          <w:rFonts w:ascii="宋体" w:eastAsia="宋体" w:hAnsi="宋体" w:cs="宋体"/>
          <w:sz w:val="22"/>
          <w:szCs w:val="22"/>
        </w:rPr>
      </w:pPr>
      <w:r>
        <w:rPr>
          <w:rFonts w:ascii="宋体" w:eastAsia="宋体" w:hAnsi="宋体" w:cs="宋体"/>
          <w:spacing w:val="-14"/>
          <w:sz w:val="22"/>
          <w:szCs w:val="22"/>
        </w:rPr>
        <w:t>心血管疾病与膳食因素有着密切的关系，需要从预防和治疗两方面考虑。</w:t>
      </w:r>
    </w:p>
    <w:p w:rsidR="00EA40A3" w:rsidRDefault="00EA40A3">
      <w:pPr>
        <w:spacing w:line="297" w:lineRule="auto"/>
      </w:pPr>
    </w:p>
    <w:p w:rsidR="00EA40A3" w:rsidRDefault="00E86C16">
      <w:pPr>
        <w:spacing w:before="56"/>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372</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970" w:bottom="400" w:left="829" w:header="0" w:footer="0" w:gutter="0"/>
          <w:cols w:space="720"/>
        </w:sectPr>
      </w:pPr>
    </w:p>
    <w:p w:rsidR="00EA40A3" w:rsidRDefault="00EA40A3">
      <w:pPr>
        <w:spacing w:line="355" w:lineRule="auto"/>
      </w:pPr>
    </w:p>
    <w:p w:rsidR="00EA40A3" w:rsidRDefault="00EA40A3">
      <w:pPr>
        <w:spacing w:line="355" w:lineRule="auto"/>
      </w:pPr>
    </w:p>
    <w:p w:rsidR="00EA40A3" w:rsidRDefault="00E86C16">
      <w:pPr>
        <w:spacing w:before="71" w:line="222"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26"/>
          <w:sz w:val="22"/>
          <w:szCs w:val="22"/>
        </w:rPr>
        <w:t xml:space="preserve"> </w:t>
      </w:r>
      <w:r>
        <w:rPr>
          <w:rFonts w:ascii="仿宋" w:eastAsia="仿宋" w:hAnsi="仿宋" w:cs="仿宋"/>
          <w:spacing w:val="8"/>
          <w:sz w:val="22"/>
          <w:szCs w:val="22"/>
        </w:rPr>
        <w:t>平衡膳食</w:t>
      </w:r>
    </w:p>
    <w:p w:rsidR="00EA40A3" w:rsidRDefault="00E86C16">
      <w:pPr>
        <w:spacing w:before="174" w:line="242" w:lineRule="auto"/>
        <w:ind w:right="93" w:firstLine="399"/>
        <w:jc w:val="both"/>
        <w:rPr>
          <w:rFonts w:ascii="宋体" w:eastAsia="宋体" w:hAnsi="宋体" w:cs="宋体"/>
          <w:sz w:val="22"/>
          <w:szCs w:val="22"/>
        </w:rPr>
      </w:pPr>
      <w:r>
        <w:rPr>
          <w:rFonts w:ascii="宋体" w:eastAsia="宋体" w:hAnsi="宋体" w:cs="宋体"/>
          <w:spacing w:val="4"/>
          <w:sz w:val="22"/>
          <w:szCs w:val="22"/>
        </w:rPr>
        <w:t>低脂饮食指脂肪占总热量的25</w:t>
      </w:r>
      <w:r>
        <w:rPr>
          <w:rFonts w:ascii="宋体" w:eastAsia="宋体" w:hAnsi="宋体" w:cs="宋体"/>
          <w:spacing w:val="12"/>
          <w:sz w:val="22"/>
          <w:szCs w:val="22"/>
        </w:rPr>
        <w:t xml:space="preserve"> </w:t>
      </w:r>
      <w:r>
        <w:rPr>
          <w:rFonts w:ascii="宋体" w:eastAsia="宋体" w:hAnsi="宋体" w:cs="宋体"/>
          <w:spacing w:val="4"/>
          <w:sz w:val="22"/>
          <w:szCs w:val="22"/>
        </w:rPr>
        <w:t>%～30</w:t>
      </w:r>
      <w:r>
        <w:rPr>
          <w:rFonts w:ascii="宋体" w:eastAsia="宋体" w:hAnsi="宋体" w:cs="宋体"/>
          <w:spacing w:val="12"/>
          <w:sz w:val="22"/>
          <w:szCs w:val="22"/>
        </w:rPr>
        <w:t xml:space="preserve"> </w:t>
      </w:r>
      <w:r>
        <w:rPr>
          <w:rFonts w:ascii="宋体" w:eastAsia="宋体" w:hAnsi="宋体" w:cs="宋体"/>
          <w:spacing w:val="4"/>
          <w:sz w:val="22"/>
          <w:szCs w:val="22"/>
        </w:rPr>
        <w:t>%,饱和脂肪酸不超过脂肪总量的</w:t>
      </w:r>
      <w:r>
        <w:rPr>
          <w:rFonts w:ascii="宋体" w:eastAsia="宋体" w:hAnsi="宋体" w:cs="宋体"/>
          <w:sz w:val="22"/>
          <w:szCs w:val="22"/>
        </w:rPr>
        <w:t xml:space="preserve"> 1/3,可以降低血脂水平，但不足以逆转动脉粥样硬化的斑块，而脂肪量小于</w:t>
      </w:r>
      <w:r>
        <w:rPr>
          <w:rFonts w:ascii="宋体" w:eastAsia="宋体" w:hAnsi="宋体" w:cs="宋体"/>
          <w:spacing w:val="2"/>
          <w:sz w:val="22"/>
          <w:szCs w:val="22"/>
        </w:rPr>
        <w:t xml:space="preserve"> </w:t>
      </w:r>
      <w:r>
        <w:rPr>
          <w:rFonts w:ascii="宋体" w:eastAsia="宋体" w:hAnsi="宋体" w:cs="宋体"/>
          <w:spacing w:val="-9"/>
          <w:sz w:val="22"/>
          <w:szCs w:val="22"/>
        </w:rPr>
        <w:t>20%的饮食，可使大多数患者的动脉粥样硬化病变逆转。</w:t>
      </w:r>
    </w:p>
    <w:p w:rsidR="00EA40A3" w:rsidRDefault="00E86C16">
      <w:pPr>
        <w:spacing w:before="207" w:line="222" w:lineRule="auto"/>
        <w:rPr>
          <w:rFonts w:ascii="仿宋" w:eastAsia="仿宋" w:hAnsi="仿宋" w:cs="仿宋"/>
          <w:sz w:val="22"/>
          <w:szCs w:val="22"/>
        </w:rPr>
      </w:pPr>
      <w:r>
        <w:rPr>
          <w:rFonts w:ascii="仿宋" w:eastAsia="仿宋" w:hAnsi="仿宋" w:cs="仿宋"/>
          <w:spacing w:val="7"/>
          <w:sz w:val="22"/>
          <w:szCs w:val="22"/>
        </w:rPr>
        <w:t>2.</w:t>
      </w:r>
      <w:r>
        <w:rPr>
          <w:rFonts w:ascii="仿宋" w:eastAsia="仿宋" w:hAnsi="仿宋" w:cs="仿宋"/>
          <w:spacing w:val="-19"/>
          <w:sz w:val="22"/>
          <w:szCs w:val="22"/>
        </w:rPr>
        <w:t xml:space="preserve"> </w:t>
      </w:r>
      <w:r>
        <w:rPr>
          <w:rFonts w:ascii="仿宋" w:eastAsia="仿宋" w:hAnsi="仿宋" w:cs="仿宋"/>
          <w:spacing w:val="7"/>
          <w:sz w:val="22"/>
          <w:szCs w:val="22"/>
        </w:rPr>
        <w:t>戒烟限酒</w:t>
      </w:r>
    </w:p>
    <w:p w:rsidR="00EA40A3" w:rsidRDefault="00E86C16">
      <w:pPr>
        <w:spacing w:before="197" w:line="242" w:lineRule="auto"/>
        <w:ind w:right="71" w:firstLine="399"/>
        <w:jc w:val="both"/>
        <w:rPr>
          <w:rFonts w:ascii="宋体" w:eastAsia="宋体" w:hAnsi="宋体" w:cs="宋体"/>
          <w:sz w:val="22"/>
          <w:szCs w:val="22"/>
        </w:rPr>
      </w:pPr>
      <w:r>
        <w:rPr>
          <w:rFonts w:ascii="宋体" w:eastAsia="宋体" w:hAnsi="宋体" w:cs="宋体"/>
          <w:spacing w:val="2"/>
          <w:sz w:val="22"/>
          <w:szCs w:val="22"/>
        </w:rPr>
        <w:t>有研究显示，吸烟对心血管的危害与吸烟指数(吸烟支数</w:t>
      </w:r>
      <w:r>
        <w:rPr>
          <w:rFonts w:ascii="宋体" w:eastAsia="宋体" w:hAnsi="宋体" w:cs="宋体"/>
          <w:spacing w:val="1"/>
          <w:sz w:val="22"/>
          <w:szCs w:val="22"/>
        </w:rPr>
        <w:t>/d×吸烟年限)</w:t>
      </w:r>
      <w:r>
        <w:rPr>
          <w:rFonts w:ascii="宋体" w:eastAsia="宋体" w:hAnsi="宋体" w:cs="宋体"/>
          <w:sz w:val="22"/>
          <w:szCs w:val="22"/>
        </w:rPr>
        <w:t xml:space="preserve"> </w:t>
      </w:r>
      <w:r>
        <w:rPr>
          <w:rFonts w:ascii="宋体" w:eastAsia="宋体" w:hAnsi="宋体" w:cs="宋体"/>
          <w:spacing w:val="-3"/>
          <w:sz w:val="22"/>
          <w:szCs w:val="22"/>
        </w:rPr>
        <w:t>的平方成正比，即吸烟量增大1倍，危害增加4倍；吸烟量增大2倍，危害要增</w:t>
      </w:r>
      <w:r>
        <w:rPr>
          <w:rFonts w:ascii="宋体" w:eastAsia="宋体" w:hAnsi="宋体" w:cs="宋体"/>
          <w:spacing w:val="1"/>
          <w:sz w:val="22"/>
          <w:szCs w:val="22"/>
        </w:rPr>
        <w:t xml:space="preserve"> </w:t>
      </w:r>
      <w:r>
        <w:rPr>
          <w:rFonts w:ascii="宋体" w:eastAsia="宋体" w:hAnsi="宋体" w:cs="宋体"/>
          <w:spacing w:val="4"/>
          <w:sz w:val="22"/>
          <w:szCs w:val="22"/>
        </w:rPr>
        <w:t>加9倍。而英国预防冠心病研究的结果提示，成功戒烟可使心血管事件减少</w:t>
      </w:r>
      <w:r>
        <w:rPr>
          <w:rFonts w:ascii="宋体" w:eastAsia="宋体" w:hAnsi="宋体" w:cs="宋体"/>
          <w:spacing w:val="5"/>
          <w:sz w:val="22"/>
          <w:szCs w:val="22"/>
        </w:rPr>
        <w:t xml:space="preserve"> </w:t>
      </w:r>
      <w:r>
        <w:rPr>
          <w:rFonts w:ascii="宋体" w:eastAsia="宋体" w:hAnsi="宋体" w:cs="宋体"/>
          <w:spacing w:val="3"/>
          <w:sz w:val="22"/>
          <w:szCs w:val="22"/>
        </w:rPr>
        <w:t>21%,并可明显降低其后2～4年的死亡率。</w:t>
      </w:r>
    </w:p>
    <w:p w:rsidR="00EA40A3" w:rsidRDefault="00E86C16">
      <w:pPr>
        <w:spacing w:before="63" w:line="236" w:lineRule="auto"/>
        <w:ind w:right="101" w:firstLine="399"/>
        <w:jc w:val="both"/>
        <w:rPr>
          <w:rFonts w:ascii="宋体" w:eastAsia="宋体" w:hAnsi="宋体" w:cs="宋体"/>
          <w:sz w:val="22"/>
          <w:szCs w:val="22"/>
        </w:rPr>
      </w:pPr>
      <w:r>
        <w:rPr>
          <w:rFonts w:ascii="宋体" w:eastAsia="宋体" w:hAnsi="宋体" w:cs="宋体"/>
          <w:spacing w:val="-12"/>
          <w:sz w:val="22"/>
          <w:szCs w:val="22"/>
        </w:rPr>
        <w:t>此外，酒精可兴奋大脑，增加交感张力，促使加压素释放，引</w:t>
      </w:r>
      <w:r>
        <w:rPr>
          <w:rFonts w:ascii="宋体" w:eastAsia="宋体" w:hAnsi="宋体" w:cs="宋体"/>
          <w:spacing w:val="-13"/>
          <w:sz w:val="22"/>
          <w:szCs w:val="22"/>
        </w:rPr>
        <w:t>起高血压，并</w:t>
      </w:r>
      <w:r>
        <w:rPr>
          <w:rFonts w:ascii="宋体" w:eastAsia="宋体" w:hAnsi="宋体" w:cs="宋体"/>
          <w:sz w:val="22"/>
          <w:szCs w:val="22"/>
        </w:rPr>
        <w:t xml:space="preserve"> </w:t>
      </w:r>
      <w:r>
        <w:rPr>
          <w:rFonts w:ascii="宋体" w:eastAsia="宋体" w:hAnsi="宋体" w:cs="宋体"/>
          <w:spacing w:val="-13"/>
          <w:sz w:val="22"/>
          <w:szCs w:val="22"/>
        </w:rPr>
        <w:t>可促进血小板的聚集与血栓形成，长期饮酒热量摄入增加，引起超重肥胖、高血</w:t>
      </w:r>
      <w:r>
        <w:rPr>
          <w:rFonts w:ascii="宋体" w:eastAsia="宋体" w:hAnsi="宋体" w:cs="宋体"/>
          <w:spacing w:val="12"/>
          <w:sz w:val="22"/>
          <w:szCs w:val="22"/>
        </w:rPr>
        <w:t xml:space="preserve"> </w:t>
      </w:r>
      <w:r>
        <w:rPr>
          <w:rFonts w:ascii="宋体" w:eastAsia="宋体" w:hAnsi="宋体" w:cs="宋体"/>
          <w:spacing w:val="-14"/>
          <w:sz w:val="22"/>
          <w:szCs w:val="22"/>
        </w:rPr>
        <w:t>糖和高血压。</w:t>
      </w:r>
    </w:p>
    <w:p w:rsidR="00EA40A3" w:rsidRDefault="00E86C16">
      <w:pPr>
        <w:spacing w:before="237" w:line="222" w:lineRule="auto"/>
        <w:rPr>
          <w:rFonts w:ascii="仿宋" w:eastAsia="仿宋" w:hAnsi="仿宋" w:cs="仿宋"/>
          <w:sz w:val="22"/>
          <w:szCs w:val="22"/>
        </w:rPr>
      </w:pPr>
      <w:r>
        <w:rPr>
          <w:rFonts w:ascii="仿宋" w:eastAsia="仿宋" w:hAnsi="仿宋" w:cs="仿宋"/>
          <w:spacing w:val="13"/>
          <w:sz w:val="22"/>
          <w:szCs w:val="22"/>
        </w:rPr>
        <w:t>3.</w:t>
      </w:r>
      <w:r>
        <w:rPr>
          <w:rFonts w:ascii="仿宋" w:eastAsia="仿宋" w:hAnsi="仿宋" w:cs="仿宋"/>
          <w:spacing w:val="-34"/>
          <w:sz w:val="22"/>
          <w:szCs w:val="22"/>
        </w:rPr>
        <w:t xml:space="preserve"> </w:t>
      </w:r>
      <w:r>
        <w:rPr>
          <w:rFonts w:ascii="仿宋" w:eastAsia="仿宋" w:hAnsi="仿宋" w:cs="仿宋"/>
          <w:spacing w:val="13"/>
          <w:sz w:val="22"/>
          <w:szCs w:val="22"/>
        </w:rPr>
        <w:t>适量体力活动</w:t>
      </w:r>
    </w:p>
    <w:p w:rsidR="00EA40A3" w:rsidRDefault="00E86C16">
      <w:pPr>
        <w:spacing w:before="195" w:line="241" w:lineRule="auto"/>
        <w:ind w:firstLine="399"/>
        <w:jc w:val="both"/>
        <w:rPr>
          <w:rFonts w:ascii="宋体" w:eastAsia="宋体" w:hAnsi="宋体" w:cs="宋体"/>
          <w:sz w:val="22"/>
          <w:szCs w:val="22"/>
        </w:rPr>
      </w:pPr>
      <w:r>
        <w:rPr>
          <w:rFonts w:ascii="宋体" w:eastAsia="宋体" w:hAnsi="宋体" w:cs="宋体"/>
          <w:spacing w:val="-12"/>
          <w:sz w:val="22"/>
          <w:szCs w:val="22"/>
        </w:rPr>
        <w:t>超重和肥胖的发生率在日益增加，如能坚持中等强度的有氧</w:t>
      </w:r>
      <w:r>
        <w:rPr>
          <w:rFonts w:ascii="宋体" w:eastAsia="宋体" w:hAnsi="宋体" w:cs="宋体"/>
          <w:spacing w:val="-13"/>
          <w:sz w:val="22"/>
          <w:szCs w:val="22"/>
        </w:rPr>
        <w:t>运动，对于缓解</w:t>
      </w:r>
      <w:r>
        <w:rPr>
          <w:rFonts w:ascii="宋体" w:eastAsia="宋体" w:hAnsi="宋体" w:cs="宋体"/>
          <w:sz w:val="22"/>
          <w:szCs w:val="22"/>
        </w:rPr>
        <w:t xml:space="preserve">  </w:t>
      </w:r>
      <w:r>
        <w:rPr>
          <w:rFonts w:ascii="宋体" w:eastAsia="宋体" w:hAnsi="宋体" w:cs="宋体"/>
          <w:spacing w:val="-10"/>
          <w:sz w:val="22"/>
          <w:szCs w:val="22"/>
        </w:rPr>
        <w:t>代谢综合征，预防冠心病的发生是十分重要的。有氧运动可降低血管外周阻力，</w:t>
      </w:r>
      <w:r>
        <w:rPr>
          <w:rFonts w:ascii="宋体" w:eastAsia="宋体" w:hAnsi="宋体" w:cs="宋体"/>
          <w:spacing w:val="8"/>
          <w:sz w:val="22"/>
          <w:szCs w:val="22"/>
        </w:rPr>
        <w:t xml:space="preserve"> </w:t>
      </w:r>
      <w:r>
        <w:rPr>
          <w:rFonts w:ascii="宋体" w:eastAsia="宋体" w:hAnsi="宋体" w:cs="宋体"/>
          <w:spacing w:val="-15"/>
          <w:sz w:val="22"/>
          <w:szCs w:val="22"/>
        </w:rPr>
        <w:t>增加心脏泵血量，增加细胞供氧量，降低血压、血脂、血糖，消除肥胖。</w:t>
      </w:r>
    </w:p>
    <w:p w:rsidR="00EA40A3" w:rsidRDefault="00E86C16">
      <w:pPr>
        <w:spacing w:before="206" w:line="220" w:lineRule="auto"/>
        <w:rPr>
          <w:rFonts w:ascii="仿宋" w:eastAsia="仿宋" w:hAnsi="仿宋" w:cs="仿宋"/>
          <w:sz w:val="22"/>
          <w:szCs w:val="22"/>
        </w:rPr>
      </w:pPr>
      <w:r>
        <w:rPr>
          <w:rFonts w:ascii="仿宋" w:eastAsia="仿宋" w:hAnsi="仿宋" w:cs="仿宋"/>
          <w:spacing w:val="14"/>
          <w:sz w:val="22"/>
          <w:szCs w:val="22"/>
        </w:rPr>
        <w:t>4.</w:t>
      </w:r>
      <w:r>
        <w:rPr>
          <w:rFonts w:ascii="仿宋" w:eastAsia="仿宋" w:hAnsi="仿宋" w:cs="仿宋"/>
          <w:spacing w:val="-9"/>
          <w:sz w:val="22"/>
          <w:szCs w:val="22"/>
        </w:rPr>
        <w:t xml:space="preserve"> </w:t>
      </w:r>
      <w:r>
        <w:rPr>
          <w:rFonts w:ascii="仿宋" w:eastAsia="仿宋" w:hAnsi="仿宋" w:cs="仿宋"/>
          <w:spacing w:val="14"/>
          <w:sz w:val="22"/>
          <w:szCs w:val="22"/>
        </w:rPr>
        <w:t>注意摄取一些功能性营养物质</w:t>
      </w:r>
    </w:p>
    <w:p w:rsidR="00EA40A3" w:rsidRDefault="00E86C16">
      <w:pPr>
        <w:spacing w:before="202" w:line="248" w:lineRule="auto"/>
        <w:ind w:right="96" w:firstLine="399"/>
        <w:jc w:val="both"/>
        <w:rPr>
          <w:rFonts w:ascii="宋体" w:eastAsia="宋体" w:hAnsi="宋体" w:cs="宋体"/>
          <w:sz w:val="22"/>
          <w:szCs w:val="22"/>
        </w:rPr>
      </w:pPr>
      <w:r>
        <w:rPr>
          <w:rFonts w:ascii="宋体" w:eastAsia="宋体" w:hAnsi="宋体" w:cs="宋体"/>
          <w:spacing w:val="-12"/>
          <w:sz w:val="22"/>
          <w:szCs w:val="22"/>
        </w:rPr>
        <w:t>在防止心血管疾病时，还应注意适量摄取一些含有功能性的营养物质</w:t>
      </w:r>
      <w:r>
        <w:rPr>
          <w:rFonts w:ascii="宋体" w:eastAsia="宋体" w:hAnsi="宋体" w:cs="宋体"/>
          <w:spacing w:val="-13"/>
          <w:sz w:val="22"/>
          <w:szCs w:val="22"/>
        </w:rPr>
        <w:t>。研究</w:t>
      </w:r>
      <w:r>
        <w:rPr>
          <w:rFonts w:ascii="宋体" w:eastAsia="宋体" w:hAnsi="宋体" w:cs="宋体"/>
          <w:sz w:val="22"/>
          <w:szCs w:val="22"/>
        </w:rPr>
        <w:t xml:space="preserve"> </w:t>
      </w:r>
      <w:r>
        <w:rPr>
          <w:rFonts w:ascii="宋体" w:eastAsia="宋体" w:hAnsi="宋体" w:cs="宋体"/>
          <w:spacing w:val="-3"/>
          <w:sz w:val="22"/>
          <w:szCs w:val="22"/>
        </w:rPr>
        <w:t>表明，辅酶Qo</w:t>
      </w:r>
      <w:r>
        <w:rPr>
          <w:rFonts w:ascii="宋体" w:eastAsia="宋体" w:hAnsi="宋体" w:cs="宋体"/>
          <w:spacing w:val="-2"/>
          <w:sz w:val="22"/>
          <w:szCs w:val="22"/>
        </w:rPr>
        <w:t xml:space="preserve"> </w:t>
      </w:r>
      <w:r>
        <w:rPr>
          <w:rFonts w:ascii="宋体" w:eastAsia="宋体" w:hAnsi="宋体" w:cs="宋体"/>
          <w:spacing w:val="-3"/>
          <w:sz w:val="22"/>
          <w:szCs w:val="22"/>
        </w:rPr>
        <w:t>可防治心血管疾病、高血压。在日本，每年约有1200万病人在</w:t>
      </w:r>
      <w:r>
        <w:rPr>
          <w:rFonts w:ascii="宋体" w:eastAsia="宋体" w:hAnsi="宋体" w:cs="宋体"/>
          <w:sz w:val="22"/>
          <w:szCs w:val="22"/>
        </w:rPr>
        <w:t xml:space="preserve"> </w:t>
      </w:r>
      <w:r>
        <w:rPr>
          <w:rFonts w:ascii="宋体" w:eastAsia="宋体" w:hAnsi="宋体" w:cs="宋体"/>
          <w:spacing w:val="-6"/>
          <w:sz w:val="22"/>
          <w:szCs w:val="22"/>
        </w:rPr>
        <w:t>医生指导下服用辅酶Qo,</w:t>
      </w:r>
      <w:r>
        <w:rPr>
          <w:rFonts w:ascii="宋体" w:eastAsia="宋体" w:hAnsi="宋体" w:cs="宋体"/>
          <w:spacing w:val="104"/>
          <w:sz w:val="22"/>
          <w:szCs w:val="22"/>
        </w:rPr>
        <w:t xml:space="preserve"> </w:t>
      </w:r>
      <w:r>
        <w:rPr>
          <w:rFonts w:ascii="宋体" w:eastAsia="宋体" w:hAnsi="宋体" w:cs="宋体"/>
          <w:spacing w:val="-6"/>
          <w:sz w:val="22"/>
          <w:szCs w:val="22"/>
        </w:rPr>
        <w:t>以治疗心脏病和高血压，防治溃疡病。富含辅酶Qio</w:t>
      </w:r>
      <w:r>
        <w:rPr>
          <w:rFonts w:ascii="宋体" w:eastAsia="宋体" w:hAnsi="宋体" w:cs="宋体"/>
          <w:sz w:val="22"/>
          <w:szCs w:val="22"/>
        </w:rPr>
        <w:t xml:space="preserve"> </w:t>
      </w:r>
      <w:r>
        <w:rPr>
          <w:rFonts w:ascii="宋体" w:eastAsia="宋体" w:hAnsi="宋体" w:cs="宋体"/>
          <w:spacing w:val="-13"/>
          <w:sz w:val="22"/>
          <w:szCs w:val="22"/>
        </w:rPr>
        <w:t>的食物有海鱼、牛肉、菠菜和花生；肉碱可帮助转运长链脂肪酸，防止脂肪蓄积</w:t>
      </w:r>
      <w:r>
        <w:rPr>
          <w:rFonts w:ascii="宋体" w:eastAsia="宋体" w:hAnsi="宋体" w:cs="宋体"/>
          <w:spacing w:val="17"/>
          <w:sz w:val="22"/>
          <w:szCs w:val="22"/>
        </w:rPr>
        <w:t xml:space="preserve"> </w:t>
      </w:r>
      <w:r>
        <w:rPr>
          <w:rFonts w:ascii="宋体" w:eastAsia="宋体" w:hAnsi="宋体" w:cs="宋体"/>
          <w:spacing w:val="-13"/>
          <w:sz w:val="22"/>
          <w:szCs w:val="22"/>
        </w:rPr>
        <w:t>于心脏、肝脏与骨骼肌中，降低血液中的胆固醇和甘油三酯的水平；牛磺酸具有</w:t>
      </w:r>
      <w:r>
        <w:rPr>
          <w:rFonts w:ascii="宋体" w:eastAsia="宋体" w:hAnsi="宋体" w:cs="宋体"/>
          <w:spacing w:val="14"/>
          <w:sz w:val="22"/>
          <w:szCs w:val="22"/>
        </w:rPr>
        <w:t xml:space="preserve"> </w:t>
      </w:r>
      <w:r>
        <w:rPr>
          <w:rFonts w:ascii="宋体" w:eastAsia="宋体" w:hAnsi="宋体" w:cs="宋体"/>
          <w:spacing w:val="-13"/>
          <w:sz w:val="22"/>
          <w:szCs w:val="22"/>
        </w:rPr>
        <w:t>膜稳定作用，抗脂质过氧化损伤，调节内皮舒张因子和收缩因子等活性物质合成</w:t>
      </w:r>
      <w:r>
        <w:rPr>
          <w:rFonts w:ascii="宋体" w:eastAsia="宋体" w:hAnsi="宋体" w:cs="宋体"/>
          <w:spacing w:val="13"/>
          <w:sz w:val="22"/>
          <w:szCs w:val="22"/>
        </w:rPr>
        <w:t xml:space="preserve"> </w:t>
      </w:r>
      <w:r>
        <w:rPr>
          <w:rFonts w:ascii="宋体" w:eastAsia="宋体" w:hAnsi="宋体" w:cs="宋体"/>
          <w:spacing w:val="-6"/>
          <w:sz w:val="22"/>
          <w:szCs w:val="22"/>
        </w:rPr>
        <w:t>释放等，此外，牛磺酸能够拮抗Hcy</w:t>
      </w:r>
      <w:r>
        <w:rPr>
          <w:rFonts w:ascii="宋体" w:eastAsia="宋体" w:hAnsi="宋体" w:cs="宋体"/>
          <w:spacing w:val="-13"/>
          <w:sz w:val="22"/>
          <w:szCs w:val="22"/>
        </w:rPr>
        <w:t xml:space="preserve"> </w:t>
      </w:r>
      <w:r>
        <w:rPr>
          <w:rFonts w:ascii="宋体" w:eastAsia="宋体" w:hAnsi="宋体" w:cs="宋体"/>
          <w:spacing w:val="-6"/>
          <w:sz w:val="22"/>
          <w:szCs w:val="22"/>
        </w:rPr>
        <w:t>诱导的心血管损伤、保护心血管等。其他</w:t>
      </w:r>
      <w:r>
        <w:rPr>
          <w:rFonts w:ascii="宋体" w:eastAsia="宋体" w:hAnsi="宋体" w:cs="宋体"/>
          <w:sz w:val="22"/>
          <w:szCs w:val="22"/>
        </w:rPr>
        <w:t xml:space="preserve"> </w:t>
      </w:r>
      <w:r>
        <w:rPr>
          <w:rFonts w:ascii="宋体" w:eastAsia="宋体" w:hAnsi="宋体" w:cs="宋体"/>
          <w:spacing w:val="-1"/>
          <w:sz w:val="22"/>
          <w:szCs w:val="22"/>
        </w:rPr>
        <w:t>相关的功能性的物质还包括生物类黄酮、</w:t>
      </w:r>
      <w:r>
        <w:rPr>
          <w:rFonts w:ascii="宋体" w:eastAsia="宋体" w:hAnsi="宋体" w:cs="宋体"/>
          <w:spacing w:val="47"/>
          <w:sz w:val="22"/>
          <w:szCs w:val="22"/>
        </w:rPr>
        <w:t xml:space="preserve"> </w:t>
      </w:r>
      <w:r>
        <w:rPr>
          <w:rFonts w:ascii="宋体" w:eastAsia="宋体" w:hAnsi="宋体" w:cs="宋体"/>
          <w:spacing w:val="-1"/>
          <w:sz w:val="22"/>
          <w:szCs w:val="22"/>
        </w:rPr>
        <w:t>一些活性多</w:t>
      </w:r>
      <w:r>
        <w:rPr>
          <w:rFonts w:ascii="宋体" w:eastAsia="宋体" w:hAnsi="宋体" w:cs="宋体"/>
          <w:spacing w:val="-2"/>
          <w:sz w:val="22"/>
          <w:szCs w:val="22"/>
        </w:rPr>
        <w:t>糖等(详见第3章和第5</w:t>
      </w:r>
      <w:r>
        <w:rPr>
          <w:rFonts w:ascii="宋体" w:eastAsia="宋体" w:hAnsi="宋体" w:cs="宋体"/>
          <w:sz w:val="22"/>
          <w:szCs w:val="22"/>
        </w:rPr>
        <w:t xml:space="preserve"> </w:t>
      </w:r>
      <w:r>
        <w:rPr>
          <w:rFonts w:ascii="宋体" w:eastAsia="宋体" w:hAnsi="宋体" w:cs="宋体"/>
          <w:spacing w:val="-15"/>
          <w:sz w:val="22"/>
          <w:szCs w:val="22"/>
        </w:rPr>
        <w:t>章)。</w:t>
      </w:r>
    </w:p>
    <w:p w:rsidR="00EA40A3" w:rsidRDefault="00EA40A3">
      <w:pPr>
        <w:spacing w:line="293" w:lineRule="auto"/>
      </w:pPr>
    </w:p>
    <w:p w:rsidR="00EA40A3" w:rsidRDefault="00E86C16">
      <w:pPr>
        <w:spacing w:before="88" w:line="219" w:lineRule="auto"/>
        <w:ind w:left="2399"/>
        <w:rPr>
          <w:rFonts w:ascii="宋体" w:eastAsia="宋体" w:hAnsi="宋体" w:cs="宋体"/>
          <w:sz w:val="27"/>
          <w:szCs w:val="27"/>
        </w:rPr>
      </w:pPr>
      <w:r>
        <w:rPr>
          <w:rFonts w:ascii="宋体" w:eastAsia="宋体" w:hAnsi="宋体" w:cs="宋体"/>
          <w:spacing w:val="-12"/>
          <w:sz w:val="27"/>
          <w:szCs w:val="27"/>
        </w:rPr>
        <w:t>11.7</w:t>
      </w:r>
      <w:r>
        <w:rPr>
          <w:rFonts w:ascii="宋体" w:eastAsia="宋体" w:hAnsi="宋体" w:cs="宋体"/>
          <w:spacing w:val="2"/>
          <w:sz w:val="27"/>
          <w:szCs w:val="27"/>
        </w:rPr>
        <w:t xml:space="preserve">   </w:t>
      </w:r>
      <w:r>
        <w:rPr>
          <w:rFonts w:ascii="宋体" w:eastAsia="宋体" w:hAnsi="宋体" w:cs="宋体"/>
          <w:spacing w:val="-12"/>
          <w:sz w:val="27"/>
          <w:szCs w:val="27"/>
        </w:rPr>
        <w:t>营养与糖尿病</w:t>
      </w:r>
    </w:p>
    <w:p w:rsidR="00EA40A3" w:rsidRDefault="00E86C16">
      <w:pPr>
        <w:spacing w:before="135" w:line="219" w:lineRule="auto"/>
        <w:ind w:left="3"/>
        <w:outlineLvl w:val="6"/>
        <w:rPr>
          <w:rFonts w:ascii="宋体" w:eastAsia="宋体" w:hAnsi="宋体" w:cs="宋体"/>
          <w:sz w:val="22"/>
          <w:szCs w:val="22"/>
        </w:rPr>
      </w:pPr>
      <w:r>
        <w:rPr>
          <w:rFonts w:ascii="宋体" w:eastAsia="宋体" w:hAnsi="宋体" w:cs="宋体"/>
          <w:b/>
          <w:bCs/>
          <w:spacing w:val="1"/>
          <w:sz w:val="22"/>
          <w:szCs w:val="22"/>
        </w:rPr>
        <w:t>11.7.1</w:t>
      </w:r>
      <w:r>
        <w:rPr>
          <w:rFonts w:ascii="宋体" w:eastAsia="宋体" w:hAnsi="宋体" w:cs="宋体"/>
          <w:spacing w:val="42"/>
          <w:sz w:val="22"/>
          <w:szCs w:val="22"/>
        </w:rPr>
        <w:t xml:space="preserve">  </w:t>
      </w:r>
      <w:r>
        <w:rPr>
          <w:rFonts w:ascii="宋体" w:eastAsia="宋体" w:hAnsi="宋体" w:cs="宋体"/>
          <w:b/>
          <w:bCs/>
          <w:spacing w:val="1"/>
          <w:sz w:val="22"/>
          <w:szCs w:val="22"/>
        </w:rPr>
        <w:t>糖尿病概述</w:t>
      </w:r>
    </w:p>
    <w:p w:rsidR="00EA40A3" w:rsidRDefault="00E86C16">
      <w:pPr>
        <w:spacing w:before="221" w:line="235" w:lineRule="auto"/>
        <w:ind w:right="101" w:firstLine="399"/>
        <w:rPr>
          <w:rFonts w:ascii="宋体" w:eastAsia="宋体" w:hAnsi="宋体" w:cs="宋体"/>
          <w:sz w:val="22"/>
          <w:szCs w:val="22"/>
        </w:rPr>
      </w:pPr>
      <w:r>
        <w:rPr>
          <w:rFonts w:ascii="宋体" w:eastAsia="宋体" w:hAnsi="宋体" w:cs="宋体"/>
          <w:spacing w:val="-12"/>
          <w:sz w:val="22"/>
          <w:szCs w:val="22"/>
        </w:rPr>
        <w:t>糖尿病是指胰岛素绝对或相对不足以及靶组织细胞对胰岛素</w:t>
      </w:r>
      <w:r>
        <w:rPr>
          <w:rFonts w:ascii="宋体" w:eastAsia="宋体" w:hAnsi="宋体" w:cs="宋体"/>
          <w:spacing w:val="-13"/>
          <w:sz w:val="22"/>
          <w:szCs w:val="22"/>
        </w:rPr>
        <w:t>敏感性降低，所</w:t>
      </w:r>
      <w:r>
        <w:rPr>
          <w:rFonts w:ascii="宋体" w:eastAsia="宋体" w:hAnsi="宋体" w:cs="宋体"/>
          <w:sz w:val="22"/>
          <w:szCs w:val="22"/>
        </w:rPr>
        <w:t xml:space="preserve"> </w:t>
      </w:r>
      <w:r>
        <w:rPr>
          <w:rFonts w:ascii="宋体" w:eastAsia="宋体" w:hAnsi="宋体" w:cs="宋体"/>
          <w:spacing w:val="-13"/>
          <w:sz w:val="22"/>
          <w:szCs w:val="22"/>
        </w:rPr>
        <w:t>导致的蛋白质、脂肪、水和电解质等一系列代谢紊乱综合征，以高血糖为主要共</w:t>
      </w:r>
    </w:p>
    <w:p w:rsidR="00EA40A3" w:rsidRDefault="00E86C16">
      <w:pPr>
        <w:spacing w:before="115"/>
        <w:ind w:right="12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373</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949" w:bottom="400" w:left="910" w:header="0" w:footer="0" w:gutter="0"/>
          <w:cols w:space="720"/>
        </w:sectPr>
      </w:pPr>
    </w:p>
    <w:p w:rsidR="00EA40A3" w:rsidRDefault="00EA40A3">
      <w:pPr>
        <w:spacing w:line="268" w:lineRule="auto"/>
      </w:pPr>
    </w:p>
    <w:p w:rsidR="00EA40A3" w:rsidRDefault="00EA40A3">
      <w:pPr>
        <w:spacing w:line="269" w:lineRule="auto"/>
      </w:pPr>
    </w:p>
    <w:p w:rsidR="00EA40A3" w:rsidRDefault="00E86C16">
      <w:pPr>
        <w:spacing w:before="68" w:line="263" w:lineRule="auto"/>
        <w:ind w:right="25"/>
        <w:jc w:val="both"/>
        <w:rPr>
          <w:rFonts w:ascii="宋体" w:eastAsia="宋体" w:hAnsi="宋体" w:cs="宋体"/>
        </w:rPr>
      </w:pPr>
      <w:r>
        <w:rPr>
          <w:rFonts w:ascii="宋体" w:eastAsia="宋体" w:hAnsi="宋体" w:cs="宋体"/>
          <w:spacing w:val="1"/>
        </w:rPr>
        <w:t>同标志。1996年美国糖尿病协会</w:t>
      </w:r>
      <w:r>
        <w:rPr>
          <w:rFonts w:ascii="宋体" w:eastAsia="宋体" w:hAnsi="宋体" w:cs="宋体"/>
          <w:spacing w:val="-15"/>
        </w:rPr>
        <w:t xml:space="preserve"> </w:t>
      </w:r>
      <w:r>
        <w:rPr>
          <w:rFonts w:ascii="宋体" w:eastAsia="宋体" w:hAnsi="宋体" w:cs="宋体"/>
          <w:spacing w:val="1"/>
        </w:rPr>
        <w:t>(</w:t>
      </w:r>
      <w:r>
        <w:rPr>
          <w:rFonts w:ascii="宋体" w:eastAsia="宋体" w:hAnsi="宋体" w:cs="宋体"/>
        </w:rPr>
        <w:t>ADA</w:t>
      </w:r>
      <w:r>
        <w:rPr>
          <w:rFonts w:ascii="宋体" w:eastAsia="宋体" w:hAnsi="宋体" w:cs="宋体"/>
          <w:spacing w:val="1"/>
        </w:rPr>
        <w:t>)</w:t>
      </w:r>
      <w:r>
        <w:rPr>
          <w:rFonts w:ascii="宋体" w:eastAsia="宋体" w:hAnsi="宋体" w:cs="宋体"/>
          <w:spacing w:val="45"/>
        </w:rPr>
        <w:t xml:space="preserve">  </w:t>
      </w:r>
      <w:r>
        <w:rPr>
          <w:rFonts w:ascii="宋体" w:eastAsia="宋体" w:hAnsi="宋体" w:cs="宋体"/>
          <w:spacing w:val="1"/>
        </w:rPr>
        <w:t>专家委员会对糖尿病的分类进行</w:t>
      </w:r>
      <w:r>
        <w:rPr>
          <w:rFonts w:ascii="宋体" w:eastAsia="宋体" w:hAnsi="宋体" w:cs="宋体"/>
        </w:rPr>
        <w:t xml:space="preserve">了修 </w:t>
      </w:r>
      <w:r>
        <w:rPr>
          <w:rFonts w:ascii="宋体" w:eastAsia="宋体" w:hAnsi="宋体" w:cs="宋体"/>
          <w:spacing w:val="-2"/>
        </w:rPr>
        <w:t>改，其主要的修改内容包括：将糖尿病分为I</w:t>
      </w:r>
      <w:r>
        <w:rPr>
          <w:rFonts w:ascii="宋体" w:eastAsia="宋体" w:hAnsi="宋体" w:cs="宋体"/>
          <w:spacing w:val="-16"/>
        </w:rPr>
        <w:t xml:space="preserve"> </w:t>
      </w:r>
      <w:r>
        <w:rPr>
          <w:rFonts w:ascii="宋体" w:eastAsia="宋体" w:hAnsi="宋体" w:cs="宋体"/>
          <w:spacing w:val="-2"/>
        </w:rPr>
        <w:t>型糖尿病、Ⅱ型糖尿病、特异型糖</w:t>
      </w:r>
      <w:r>
        <w:rPr>
          <w:rFonts w:ascii="宋体" w:eastAsia="宋体" w:hAnsi="宋体" w:cs="宋体"/>
        </w:rPr>
        <w:t xml:space="preserve"> </w:t>
      </w:r>
      <w:r>
        <w:rPr>
          <w:rFonts w:ascii="宋体" w:eastAsia="宋体" w:hAnsi="宋体" w:cs="宋体"/>
          <w:spacing w:val="1"/>
        </w:rPr>
        <w:t>尿病和妊娠糖尿病。糖尿病的主要形式是I</w:t>
      </w:r>
      <w:r>
        <w:rPr>
          <w:rFonts w:ascii="宋体" w:eastAsia="宋体" w:hAnsi="宋体" w:cs="宋体"/>
          <w:spacing w:val="-30"/>
        </w:rPr>
        <w:t xml:space="preserve"> </w:t>
      </w:r>
      <w:r>
        <w:rPr>
          <w:rFonts w:ascii="宋体" w:eastAsia="宋体" w:hAnsi="宋体" w:cs="宋体"/>
          <w:spacing w:val="1"/>
        </w:rPr>
        <w:t>型和Ⅱ型，80%以上的糖尿病人属于</w:t>
      </w:r>
      <w:r>
        <w:rPr>
          <w:rFonts w:ascii="宋体" w:eastAsia="宋体" w:hAnsi="宋体" w:cs="宋体"/>
        </w:rPr>
        <w:t xml:space="preserve"> </w:t>
      </w:r>
      <w:r>
        <w:rPr>
          <w:rFonts w:ascii="宋体" w:eastAsia="宋体" w:hAnsi="宋体" w:cs="宋体"/>
          <w:spacing w:val="-17"/>
        </w:rPr>
        <w:t>Ⅱ型。</w:t>
      </w:r>
    </w:p>
    <w:p w:rsidR="00EA40A3" w:rsidRDefault="00E86C16">
      <w:pPr>
        <w:spacing w:before="180" w:line="222" w:lineRule="auto"/>
        <w:ind w:left="3"/>
        <w:outlineLvl w:val="6"/>
        <w:rPr>
          <w:rFonts w:ascii="黑体" w:eastAsia="黑体" w:hAnsi="黑体" w:cs="黑体"/>
          <w:sz w:val="24"/>
          <w:szCs w:val="24"/>
        </w:rPr>
      </w:pPr>
      <w:r>
        <w:rPr>
          <w:rFonts w:ascii="黑体" w:eastAsia="黑体" w:hAnsi="黑体" w:cs="黑体"/>
          <w:b/>
          <w:bCs/>
          <w:spacing w:val="-5"/>
          <w:sz w:val="24"/>
          <w:szCs w:val="24"/>
        </w:rPr>
        <w:t>11.7.2</w:t>
      </w:r>
      <w:r>
        <w:rPr>
          <w:rFonts w:ascii="黑体" w:eastAsia="黑体" w:hAnsi="黑体" w:cs="黑体"/>
          <w:spacing w:val="51"/>
          <w:sz w:val="24"/>
          <w:szCs w:val="24"/>
        </w:rPr>
        <w:t xml:space="preserve">  </w:t>
      </w:r>
      <w:r>
        <w:rPr>
          <w:rFonts w:ascii="黑体" w:eastAsia="黑体" w:hAnsi="黑体" w:cs="黑体"/>
          <w:b/>
          <w:bCs/>
          <w:spacing w:val="-5"/>
          <w:sz w:val="24"/>
          <w:szCs w:val="24"/>
        </w:rPr>
        <w:t>导致糖尿病的因素</w:t>
      </w:r>
    </w:p>
    <w:p w:rsidR="00EA40A3" w:rsidRDefault="00E86C16">
      <w:pPr>
        <w:spacing w:before="193" w:line="237" w:lineRule="auto"/>
        <w:ind w:firstLine="430"/>
        <w:rPr>
          <w:rFonts w:ascii="宋体" w:eastAsia="宋体" w:hAnsi="宋体" w:cs="宋体"/>
        </w:rPr>
      </w:pPr>
      <w:r>
        <w:rPr>
          <w:rFonts w:ascii="宋体" w:eastAsia="宋体" w:hAnsi="宋体" w:cs="宋体"/>
          <w:spacing w:val="-7"/>
        </w:rPr>
        <w:t>糖尿病病因及发病机制十分复杂，目前尚未完全阐明，</w:t>
      </w:r>
      <w:r>
        <w:rPr>
          <w:rFonts w:ascii="宋体" w:eastAsia="宋体" w:hAnsi="宋体" w:cs="宋体"/>
          <w:spacing w:val="56"/>
        </w:rPr>
        <w:t xml:space="preserve"> </w:t>
      </w:r>
      <w:r>
        <w:rPr>
          <w:rFonts w:ascii="宋体" w:eastAsia="宋体" w:hAnsi="宋体" w:cs="宋体"/>
          <w:spacing w:val="-7"/>
        </w:rPr>
        <w:t>一般认为与遗传、</w:t>
      </w:r>
      <w:r>
        <w:rPr>
          <w:rFonts w:ascii="宋体" w:eastAsia="宋体" w:hAnsi="宋体" w:cs="宋体"/>
          <w:spacing w:val="-8"/>
        </w:rPr>
        <w:t>环</w:t>
      </w:r>
      <w:r>
        <w:rPr>
          <w:rFonts w:ascii="宋体" w:eastAsia="宋体" w:hAnsi="宋体" w:cs="宋体"/>
        </w:rPr>
        <w:t xml:space="preserve"> </w:t>
      </w:r>
      <w:r>
        <w:rPr>
          <w:rFonts w:ascii="宋体" w:eastAsia="宋体" w:hAnsi="宋体" w:cs="宋体"/>
          <w:spacing w:val="-4"/>
        </w:rPr>
        <w:t>境、饮食、其他疾病、身体状况等多种因素有关。</w:t>
      </w:r>
    </w:p>
    <w:p w:rsidR="00EA40A3" w:rsidRDefault="00E86C16">
      <w:pPr>
        <w:spacing w:before="68" w:line="225" w:lineRule="auto"/>
        <w:rPr>
          <w:rFonts w:ascii="楷体" w:eastAsia="楷体" w:hAnsi="楷体" w:cs="楷体"/>
        </w:rPr>
      </w:pPr>
      <w:r>
        <w:rPr>
          <w:rFonts w:ascii="楷体" w:eastAsia="楷体" w:hAnsi="楷体" w:cs="楷体"/>
          <w:spacing w:val="5"/>
        </w:rPr>
        <w:t>1)遗传因素</w:t>
      </w:r>
    </w:p>
    <w:p w:rsidR="00EA40A3" w:rsidRDefault="00E86C16">
      <w:pPr>
        <w:spacing w:before="56" w:line="247" w:lineRule="auto"/>
        <w:ind w:right="5" w:firstLine="430"/>
        <w:jc w:val="both"/>
        <w:rPr>
          <w:rFonts w:ascii="宋体" w:eastAsia="宋体" w:hAnsi="宋体" w:cs="宋体"/>
        </w:rPr>
      </w:pPr>
      <w:r>
        <w:rPr>
          <w:rFonts w:ascii="宋体" w:eastAsia="宋体" w:hAnsi="宋体" w:cs="宋体"/>
          <w:spacing w:val="-3"/>
        </w:rPr>
        <w:t>糖尿病是遗传性疾病，遗传学研究表明，糖尿病发病率在血统亲属中与非血</w:t>
      </w:r>
      <w:r>
        <w:rPr>
          <w:rFonts w:ascii="宋体" w:eastAsia="宋体" w:hAnsi="宋体" w:cs="宋体"/>
          <w:spacing w:val="6"/>
        </w:rPr>
        <w:t xml:space="preserve"> </w:t>
      </w:r>
      <w:r>
        <w:rPr>
          <w:rFonts w:ascii="宋体" w:eastAsia="宋体" w:hAnsi="宋体" w:cs="宋体"/>
          <w:spacing w:val="2"/>
        </w:rPr>
        <w:t>统亲属中有显著差异，前者较后者高出5倍。在糖尿病I</w:t>
      </w:r>
      <w:r>
        <w:rPr>
          <w:rFonts w:ascii="宋体" w:eastAsia="宋体" w:hAnsi="宋体" w:cs="宋体"/>
          <w:spacing w:val="-31"/>
        </w:rPr>
        <w:t xml:space="preserve"> </w:t>
      </w:r>
      <w:r>
        <w:rPr>
          <w:rFonts w:ascii="宋体" w:eastAsia="宋体" w:hAnsi="宋体" w:cs="宋体"/>
          <w:spacing w:val="2"/>
        </w:rPr>
        <w:t>型的病因中遗传因素的</w:t>
      </w:r>
      <w:r>
        <w:rPr>
          <w:rFonts w:ascii="宋体" w:eastAsia="宋体" w:hAnsi="宋体" w:cs="宋体"/>
        </w:rPr>
        <w:t xml:space="preserve"> </w:t>
      </w:r>
      <w:r>
        <w:rPr>
          <w:rFonts w:ascii="宋体" w:eastAsia="宋体" w:hAnsi="宋体" w:cs="宋体"/>
          <w:spacing w:val="12"/>
        </w:rPr>
        <w:t>重要性为50%,而在糖尿病Ⅱ型中其重要性达90%以上。</w:t>
      </w:r>
    </w:p>
    <w:p w:rsidR="00EA40A3" w:rsidRDefault="00E86C16">
      <w:pPr>
        <w:spacing w:before="65" w:line="225" w:lineRule="auto"/>
        <w:rPr>
          <w:rFonts w:ascii="楷体" w:eastAsia="楷体" w:hAnsi="楷体" w:cs="楷体"/>
        </w:rPr>
      </w:pPr>
      <w:r>
        <w:rPr>
          <w:rFonts w:ascii="楷体" w:eastAsia="楷体" w:hAnsi="楷体" w:cs="楷体"/>
          <w:spacing w:val="5"/>
        </w:rPr>
        <w:t>2)精神因素</w:t>
      </w:r>
    </w:p>
    <w:p w:rsidR="00EA40A3" w:rsidRDefault="00E86C16">
      <w:pPr>
        <w:spacing w:before="57" w:line="243" w:lineRule="auto"/>
        <w:ind w:right="16" w:firstLine="430"/>
        <w:jc w:val="both"/>
        <w:rPr>
          <w:rFonts w:ascii="宋体" w:eastAsia="宋体" w:hAnsi="宋体" w:cs="宋体"/>
        </w:rPr>
      </w:pPr>
      <w:r>
        <w:rPr>
          <w:rFonts w:ascii="宋体" w:eastAsia="宋体" w:hAnsi="宋体" w:cs="宋体"/>
          <w:spacing w:val="-3"/>
        </w:rPr>
        <w:t>糖尿病发生、发展中，通常伴随着会引起升高血糖激素的大量分泌，如生长</w:t>
      </w:r>
      <w:r>
        <w:rPr>
          <w:rFonts w:ascii="宋体" w:eastAsia="宋体" w:hAnsi="宋体" w:cs="宋体"/>
          <w:spacing w:val="7"/>
        </w:rPr>
        <w:t xml:space="preserve"> </w:t>
      </w:r>
      <w:r>
        <w:rPr>
          <w:rFonts w:ascii="宋体" w:eastAsia="宋体" w:hAnsi="宋体" w:cs="宋体"/>
          <w:spacing w:val="-2"/>
        </w:rPr>
        <w:t>激素、去甲肾上腺素、胰高血糖素及肾上腺皮质激素等精神的紧张</w:t>
      </w:r>
      <w:r>
        <w:rPr>
          <w:rFonts w:ascii="宋体" w:eastAsia="宋体" w:hAnsi="宋体" w:cs="宋体"/>
          <w:spacing w:val="-3"/>
        </w:rPr>
        <w:t>、情绪的激动</w:t>
      </w:r>
      <w:r>
        <w:rPr>
          <w:rFonts w:ascii="宋体" w:eastAsia="宋体" w:hAnsi="宋体" w:cs="宋体"/>
        </w:rPr>
        <w:t xml:space="preserve"> </w:t>
      </w:r>
      <w:r>
        <w:rPr>
          <w:rFonts w:ascii="宋体" w:eastAsia="宋体" w:hAnsi="宋体" w:cs="宋体"/>
          <w:spacing w:val="-5"/>
        </w:rPr>
        <w:t>及各种应激状态。</w:t>
      </w:r>
    </w:p>
    <w:p w:rsidR="00EA40A3" w:rsidRDefault="00E86C16">
      <w:pPr>
        <w:spacing w:before="65" w:line="222" w:lineRule="auto"/>
        <w:rPr>
          <w:rFonts w:ascii="楷体" w:eastAsia="楷体" w:hAnsi="楷体" w:cs="楷体"/>
        </w:rPr>
      </w:pPr>
      <w:r>
        <w:rPr>
          <w:rFonts w:ascii="楷体" w:eastAsia="楷体" w:hAnsi="楷体" w:cs="楷体"/>
          <w:spacing w:val="2"/>
        </w:rPr>
        <w:t>3)肥胖因素</w:t>
      </w:r>
    </w:p>
    <w:p w:rsidR="00EA40A3" w:rsidRDefault="00E86C16">
      <w:pPr>
        <w:spacing w:before="71" w:line="262" w:lineRule="auto"/>
        <w:ind w:right="19" w:firstLine="430"/>
        <w:jc w:val="both"/>
        <w:rPr>
          <w:rFonts w:ascii="宋体" w:eastAsia="宋体" w:hAnsi="宋体" w:cs="宋体"/>
        </w:rPr>
      </w:pPr>
      <w:r>
        <w:rPr>
          <w:rFonts w:ascii="宋体" w:eastAsia="宋体" w:hAnsi="宋体" w:cs="宋体"/>
          <w:spacing w:val="10"/>
        </w:rPr>
        <w:t>肥胖是糖尿病的一个重要诱发因，约有60%～80</w:t>
      </w:r>
      <w:r>
        <w:rPr>
          <w:rFonts w:ascii="宋体" w:eastAsia="宋体" w:hAnsi="宋体" w:cs="宋体"/>
          <w:spacing w:val="9"/>
        </w:rPr>
        <w:t>%的成年糖尿病患者在发</w:t>
      </w:r>
      <w:r>
        <w:rPr>
          <w:rFonts w:ascii="宋体" w:eastAsia="宋体" w:hAnsi="宋体" w:cs="宋体"/>
        </w:rPr>
        <w:t xml:space="preserve"> </w:t>
      </w:r>
      <w:r>
        <w:rPr>
          <w:rFonts w:ascii="宋体" w:eastAsia="宋体" w:hAnsi="宋体" w:cs="宋体"/>
          <w:spacing w:val="-2"/>
        </w:rPr>
        <w:t>病前均为肥胖者，肥胖的程度与糖尿病的发病率呈正</w:t>
      </w:r>
      <w:r>
        <w:rPr>
          <w:rFonts w:ascii="宋体" w:eastAsia="宋体" w:hAnsi="宋体" w:cs="宋体"/>
          <w:spacing w:val="-3"/>
        </w:rPr>
        <w:t>比。随着年龄增长，体力活</w:t>
      </w:r>
      <w:r>
        <w:rPr>
          <w:rFonts w:ascii="宋体" w:eastAsia="宋体" w:hAnsi="宋体" w:cs="宋体"/>
        </w:rPr>
        <w:t xml:space="preserve"> </w:t>
      </w:r>
      <w:r>
        <w:rPr>
          <w:rFonts w:ascii="宋体" w:eastAsia="宋体" w:hAnsi="宋体" w:cs="宋体"/>
          <w:spacing w:val="4"/>
        </w:rPr>
        <w:t>动逐渐减少时，人体肌肉与脂肪的比例也在改</w:t>
      </w:r>
      <w:r>
        <w:rPr>
          <w:rFonts w:ascii="宋体" w:eastAsia="宋体" w:hAnsi="宋体" w:cs="宋体"/>
          <w:spacing w:val="3"/>
        </w:rPr>
        <w:t>变。自25岁至75岁，肌肉组织逐</w:t>
      </w:r>
      <w:r>
        <w:rPr>
          <w:rFonts w:ascii="宋体" w:eastAsia="宋体" w:hAnsi="宋体" w:cs="宋体"/>
        </w:rPr>
        <w:t xml:space="preserve"> </w:t>
      </w:r>
      <w:r>
        <w:rPr>
          <w:rFonts w:ascii="宋体" w:eastAsia="宋体" w:hAnsi="宋体" w:cs="宋体"/>
          <w:spacing w:val="20"/>
        </w:rPr>
        <w:t>渐从体重的47%减少到36%,而脂肪由20%增加到36%,这是老年人，特别是</w:t>
      </w:r>
      <w:r>
        <w:rPr>
          <w:rFonts w:ascii="宋体" w:eastAsia="宋体" w:hAnsi="宋体" w:cs="宋体"/>
        </w:rPr>
        <w:t xml:space="preserve"> </w:t>
      </w:r>
      <w:r>
        <w:rPr>
          <w:rFonts w:ascii="宋体" w:eastAsia="宋体" w:hAnsi="宋体" w:cs="宋体"/>
          <w:spacing w:val="-3"/>
        </w:rPr>
        <w:t>肥胖多脂肪的老年人中糖尿病患者明显增多的主要原因之一。</w:t>
      </w:r>
    </w:p>
    <w:p w:rsidR="00EA40A3" w:rsidRDefault="00E86C16">
      <w:pPr>
        <w:spacing w:before="32" w:line="220" w:lineRule="auto"/>
        <w:rPr>
          <w:rFonts w:ascii="宋体" w:eastAsia="宋体" w:hAnsi="宋体" w:cs="宋体"/>
        </w:rPr>
      </w:pPr>
      <w:r>
        <w:rPr>
          <w:rFonts w:ascii="宋体" w:eastAsia="宋体" w:hAnsi="宋体" w:cs="宋体"/>
          <w:spacing w:val="-1"/>
        </w:rPr>
        <w:t>4)长期摄食过多</w:t>
      </w:r>
    </w:p>
    <w:p w:rsidR="00EA40A3" w:rsidRDefault="00E86C16">
      <w:pPr>
        <w:spacing w:before="80" w:line="242" w:lineRule="auto"/>
        <w:ind w:right="20" w:firstLine="430"/>
        <w:rPr>
          <w:rFonts w:ascii="宋体" w:eastAsia="宋体" w:hAnsi="宋体" w:cs="宋体"/>
        </w:rPr>
      </w:pPr>
      <w:r>
        <w:rPr>
          <w:rFonts w:ascii="宋体" w:eastAsia="宋体" w:hAnsi="宋体" w:cs="宋体"/>
          <w:spacing w:val="-3"/>
        </w:rPr>
        <w:t>饮食过多而不节制，营养过剩，使原已潜在有功能低下的胰岛素β细胞负担</w:t>
      </w:r>
      <w:r>
        <w:rPr>
          <w:rFonts w:ascii="宋体" w:eastAsia="宋体" w:hAnsi="宋体" w:cs="宋体"/>
          <w:spacing w:val="7"/>
        </w:rPr>
        <w:t xml:space="preserve"> </w:t>
      </w:r>
      <w:r>
        <w:rPr>
          <w:rFonts w:ascii="宋体" w:eastAsia="宋体" w:hAnsi="宋体" w:cs="宋体"/>
          <w:spacing w:val="-6"/>
        </w:rPr>
        <w:t>过重，而诱发糖尿病。</w:t>
      </w:r>
    </w:p>
    <w:p w:rsidR="00EA40A3" w:rsidRDefault="00E86C16">
      <w:pPr>
        <w:spacing w:before="26" w:line="224" w:lineRule="auto"/>
        <w:rPr>
          <w:rFonts w:ascii="楷体" w:eastAsia="楷体" w:hAnsi="楷体" w:cs="楷体"/>
        </w:rPr>
      </w:pPr>
      <w:r>
        <w:rPr>
          <w:rFonts w:ascii="楷体" w:eastAsia="楷体" w:hAnsi="楷体" w:cs="楷体"/>
          <w:spacing w:val="5"/>
        </w:rPr>
        <w:t>5)病毒感染</w:t>
      </w:r>
    </w:p>
    <w:p w:rsidR="00EA40A3" w:rsidRDefault="00E86C16">
      <w:pPr>
        <w:spacing w:before="80" w:line="256" w:lineRule="auto"/>
        <w:ind w:right="20" w:firstLine="430"/>
        <w:jc w:val="both"/>
        <w:rPr>
          <w:rFonts w:ascii="宋体" w:eastAsia="宋体" w:hAnsi="宋体" w:cs="宋体"/>
        </w:rPr>
      </w:pPr>
      <w:r>
        <w:rPr>
          <w:rFonts w:ascii="宋体" w:eastAsia="宋体" w:hAnsi="宋体" w:cs="宋体"/>
          <w:spacing w:val="-2"/>
        </w:rPr>
        <w:t>病毒感染是I</w:t>
      </w:r>
      <w:r>
        <w:rPr>
          <w:rFonts w:ascii="宋体" w:eastAsia="宋体" w:hAnsi="宋体" w:cs="宋体"/>
          <w:spacing w:val="-21"/>
        </w:rPr>
        <w:t xml:space="preserve"> </w:t>
      </w:r>
      <w:r>
        <w:rPr>
          <w:rFonts w:ascii="宋体" w:eastAsia="宋体" w:hAnsi="宋体" w:cs="宋体"/>
          <w:spacing w:val="-2"/>
        </w:rPr>
        <w:t>型糖尿病的重要环境因素。当具有糖尿病易感性的人</w:t>
      </w:r>
      <w:r>
        <w:rPr>
          <w:rFonts w:ascii="宋体" w:eastAsia="宋体" w:hAnsi="宋体" w:cs="宋体"/>
          <w:spacing w:val="-3"/>
        </w:rPr>
        <w:t>感染了脑</w:t>
      </w:r>
      <w:r>
        <w:rPr>
          <w:rFonts w:ascii="宋体" w:eastAsia="宋体" w:hAnsi="宋体" w:cs="宋体"/>
        </w:rPr>
        <w:t xml:space="preserve"> </w:t>
      </w:r>
      <w:r>
        <w:rPr>
          <w:rFonts w:ascii="宋体" w:eastAsia="宋体" w:hAnsi="宋体" w:cs="宋体"/>
          <w:spacing w:val="1"/>
        </w:rPr>
        <w:t>炎、心肌炎及柯萨奇B4</w:t>
      </w:r>
      <w:r>
        <w:rPr>
          <w:rFonts w:ascii="宋体" w:eastAsia="宋体" w:hAnsi="宋体" w:cs="宋体"/>
          <w:spacing w:val="-24"/>
        </w:rPr>
        <w:t xml:space="preserve"> </w:t>
      </w:r>
      <w:r>
        <w:rPr>
          <w:rFonts w:ascii="宋体" w:eastAsia="宋体" w:hAnsi="宋体" w:cs="宋体"/>
          <w:spacing w:val="1"/>
        </w:rPr>
        <w:t>病毒后，病毒可直接侵犯胰岛B</w:t>
      </w:r>
      <w:r>
        <w:rPr>
          <w:rFonts w:ascii="宋体" w:eastAsia="宋体" w:hAnsi="宋体" w:cs="宋体"/>
          <w:spacing w:val="-17"/>
        </w:rPr>
        <w:t xml:space="preserve"> </w:t>
      </w:r>
      <w:r>
        <w:rPr>
          <w:rFonts w:ascii="宋体" w:eastAsia="宋体" w:hAnsi="宋体" w:cs="宋体"/>
          <w:spacing w:val="1"/>
        </w:rPr>
        <w:t>细胞，使之发生急性炎</w:t>
      </w:r>
      <w:r>
        <w:rPr>
          <w:rFonts w:ascii="宋体" w:eastAsia="宋体" w:hAnsi="宋体" w:cs="宋体"/>
        </w:rPr>
        <w:t xml:space="preserve"> </w:t>
      </w:r>
      <w:r>
        <w:rPr>
          <w:rFonts w:ascii="宋体" w:eastAsia="宋体" w:hAnsi="宋体" w:cs="宋体"/>
          <w:spacing w:val="2"/>
        </w:rPr>
        <w:t>症、坏死而丧失功能；或病毒长期滞留在</w:t>
      </w:r>
      <w:r>
        <w:rPr>
          <w:rFonts w:ascii="宋体" w:eastAsia="宋体" w:hAnsi="宋体" w:cs="宋体"/>
          <w:spacing w:val="-29"/>
        </w:rPr>
        <w:t xml:space="preserve"> </w:t>
      </w:r>
      <w:r>
        <w:rPr>
          <w:rFonts w:ascii="宋体" w:eastAsia="宋体" w:hAnsi="宋体" w:cs="宋体"/>
          <w:spacing w:val="2"/>
        </w:rPr>
        <w:t>B</w:t>
      </w:r>
      <w:r>
        <w:rPr>
          <w:rFonts w:ascii="宋体" w:eastAsia="宋体" w:hAnsi="宋体" w:cs="宋体"/>
          <w:spacing w:val="-17"/>
        </w:rPr>
        <w:t xml:space="preserve"> </w:t>
      </w:r>
      <w:r>
        <w:rPr>
          <w:rFonts w:ascii="宋体" w:eastAsia="宋体" w:hAnsi="宋体" w:cs="宋体"/>
          <w:spacing w:val="2"/>
        </w:rPr>
        <w:t>细胞内，激发自身免疫系统，引起</w:t>
      </w:r>
      <w:r>
        <w:rPr>
          <w:rFonts w:ascii="宋体" w:eastAsia="宋体" w:hAnsi="宋体" w:cs="宋体"/>
        </w:rPr>
        <w:t xml:space="preserve"> </w:t>
      </w:r>
      <w:r>
        <w:rPr>
          <w:rFonts w:ascii="宋体" w:eastAsia="宋体" w:hAnsi="宋体" w:cs="宋体"/>
          <w:spacing w:val="1"/>
        </w:rPr>
        <w:t>体</w:t>
      </w:r>
      <w:r>
        <w:rPr>
          <w:rFonts w:ascii="宋体" w:eastAsia="宋体" w:hAnsi="宋体" w:cs="宋体"/>
          <w:spacing w:val="31"/>
        </w:rPr>
        <w:t xml:space="preserve"> </w:t>
      </w:r>
      <w:r>
        <w:rPr>
          <w:rFonts w:ascii="宋体" w:eastAsia="宋体" w:hAnsi="宋体" w:cs="宋体"/>
          <w:spacing w:val="1"/>
        </w:rPr>
        <w:t>内B</w:t>
      </w:r>
      <w:r>
        <w:rPr>
          <w:rFonts w:ascii="宋体" w:eastAsia="宋体" w:hAnsi="宋体" w:cs="宋体"/>
          <w:spacing w:val="-37"/>
        </w:rPr>
        <w:t xml:space="preserve"> </w:t>
      </w:r>
      <w:r>
        <w:rPr>
          <w:rFonts w:ascii="宋体" w:eastAsia="宋体" w:hAnsi="宋体" w:cs="宋体"/>
          <w:spacing w:val="1"/>
        </w:rPr>
        <w:t>淋巴细胞产生抗胰岛素细胞抗体，这种抗体使胰岛B</w:t>
      </w:r>
      <w:r>
        <w:rPr>
          <w:rFonts w:ascii="宋体" w:eastAsia="宋体" w:hAnsi="宋体" w:cs="宋体"/>
          <w:spacing w:val="-26"/>
        </w:rPr>
        <w:t xml:space="preserve"> </w:t>
      </w:r>
      <w:r>
        <w:rPr>
          <w:rFonts w:ascii="宋体" w:eastAsia="宋体" w:hAnsi="宋体" w:cs="宋体"/>
          <w:spacing w:val="1"/>
        </w:rPr>
        <w:t>细胞损伤破坏，造</w:t>
      </w:r>
      <w:r>
        <w:rPr>
          <w:rFonts w:ascii="宋体" w:eastAsia="宋体" w:hAnsi="宋体" w:cs="宋体"/>
        </w:rPr>
        <w:t xml:space="preserve"> </w:t>
      </w:r>
      <w:r>
        <w:rPr>
          <w:rFonts w:ascii="宋体" w:eastAsia="宋体" w:hAnsi="宋体" w:cs="宋体"/>
          <w:spacing w:val="-7"/>
        </w:rPr>
        <w:t>成胰岛素合成减少，引起糖尿病。</w:t>
      </w:r>
      <w:r>
        <w:rPr>
          <w:rFonts w:ascii="宋体" w:eastAsia="宋体" w:hAnsi="宋体" w:cs="宋体"/>
          <w:spacing w:val="41"/>
        </w:rPr>
        <w:t xml:space="preserve"> </w:t>
      </w:r>
      <w:r>
        <w:rPr>
          <w:rFonts w:ascii="宋体" w:eastAsia="宋体" w:hAnsi="宋体" w:cs="宋体"/>
          <w:spacing w:val="-7"/>
        </w:rPr>
        <w:t>一般病毒感染本身不会诱发Ⅱ型糖尿病，它仅</w:t>
      </w:r>
      <w:r>
        <w:rPr>
          <w:rFonts w:ascii="宋体" w:eastAsia="宋体" w:hAnsi="宋体" w:cs="宋体"/>
        </w:rPr>
        <w:t xml:space="preserve"> </w:t>
      </w:r>
      <w:r>
        <w:rPr>
          <w:rFonts w:ascii="宋体" w:eastAsia="宋体" w:hAnsi="宋体" w:cs="宋体"/>
          <w:spacing w:val="-5"/>
        </w:rPr>
        <w:t>可使隐性糖尿病外显，使化学性糖尿病转化为临床糖尿病。</w:t>
      </w:r>
    </w:p>
    <w:p w:rsidR="00EA40A3" w:rsidRDefault="00E86C16">
      <w:pPr>
        <w:spacing w:before="82" w:line="221" w:lineRule="auto"/>
        <w:rPr>
          <w:rFonts w:ascii="宋体" w:eastAsia="宋体" w:hAnsi="宋体" w:cs="宋体"/>
          <w:sz w:val="17"/>
          <w:szCs w:val="17"/>
        </w:rPr>
      </w:pPr>
      <w:r>
        <w:rPr>
          <w:rFonts w:ascii="宋体" w:eastAsia="宋体" w:hAnsi="宋体" w:cs="宋体"/>
          <w:spacing w:val="-6"/>
          <w:sz w:val="17"/>
          <w:szCs w:val="17"/>
        </w:rPr>
        <w:t>6</w:t>
      </w:r>
      <w:r>
        <w:rPr>
          <w:rFonts w:ascii="宋体" w:eastAsia="宋体" w:hAnsi="宋体" w:cs="宋体"/>
          <w:spacing w:val="-22"/>
          <w:sz w:val="17"/>
          <w:szCs w:val="17"/>
        </w:rPr>
        <w:t xml:space="preserve"> </w:t>
      </w:r>
      <w:r>
        <w:rPr>
          <w:rFonts w:ascii="宋体" w:eastAsia="宋体" w:hAnsi="宋体" w:cs="宋体"/>
          <w:spacing w:val="-6"/>
          <w:sz w:val="17"/>
          <w:szCs w:val="17"/>
        </w:rPr>
        <w:t>)</w:t>
      </w:r>
      <w:r>
        <w:rPr>
          <w:rFonts w:ascii="宋体" w:eastAsia="宋体" w:hAnsi="宋体" w:cs="宋体"/>
          <w:spacing w:val="-24"/>
          <w:sz w:val="17"/>
          <w:szCs w:val="17"/>
        </w:rPr>
        <w:t xml:space="preserve"> </w:t>
      </w:r>
      <w:r>
        <w:rPr>
          <w:rFonts w:ascii="宋体" w:eastAsia="宋体" w:hAnsi="宋体" w:cs="宋体"/>
          <w:spacing w:val="-6"/>
          <w:sz w:val="17"/>
          <w:szCs w:val="17"/>
        </w:rPr>
        <w:t>妊</w:t>
      </w:r>
      <w:r>
        <w:rPr>
          <w:rFonts w:ascii="宋体" w:eastAsia="宋体" w:hAnsi="宋体" w:cs="宋体"/>
          <w:spacing w:val="-23"/>
          <w:sz w:val="17"/>
          <w:szCs w:val="17"/>
        </w:rPr>
        <w:t xml:space="preserve"> </w:t>
      </w:r>
      <w:r>
        <w:rPr>
          <w:rFonts w:ascii="宋体" w:eastAsia="宋体" w:hAnsi="宋体" w:cs="宋体"/>
          <w:spacing w:val="-6"/>
          <w:sz w:val="17"/>
          <w:szCs w:val="17"/>
        </w:rPr>
        <w:t>娠</w:t>
      </w:r>
    </w:p>
    <w:p w:rsidR="00EA40A3" w:rsidRDefault="00E86C16">
      <w:pPr>
        <w:spacing w:before="115" w:line="255" w:lineRule="auto"/>
        <w:ind w:right="11" w:firstLine="430"/>
        <w:jc w:val="both"/>
        <w:rPr>
          <w:rFonts w:ascii="宋体" w:eastAsia="宋体" w:hAnsi="宋体" w:cs="宋体"/>
        </w:rPr>
      </w:pPr>
      <w:r>
        <w:rPr>
          <w:rFonts w:ascii="宋体" w:eastAsia="宋体" w:hAnsi="宋体" w:cs="宋体"/>
          <w:spacing w:val="-3"/>
        </w:rPr>
        <w:t>怀孕期间由于种种激素因素而产生抵抗胰岛素的作用，妊娠时胎盘会产生多</w:t>
      </w:r>
      <w:r>
        <w:rPr>
          <w:rFonts w:ascii="宋体" w:eastAsia="宋体" w:hAnsi="宋体" w:cs="宋体"/>
          <w:spacing w:val="17"/>
        </w:rPr>
        <w:t xml:space="preserve"> </w:t>
      </w:r>
      <w:r>
        <w:rPr>
          <w:rFonts w:ascii="宋体" w:eastAsia="宋体" w:hAnsi="宋体" w:cs="宋体"/>
          <w:spacing w:val="-2"/>
        </w:rPr>
        <w:t>种供胎儿发育生长的激素，这些激素对胎儿的健康成</w:t>
      </w:r>
      <w:r>
        <w:rPr>
          <w:rFonts w:ascii="宋体" w:eastAsia="宋体" w:hAnsi="宋体" w:cs="宋体"/>
          <w:spacing w:val="-3"/>
        </w:rPr>
        <w:t>长非常重要，但却可以阻断</w:t>
      </w:r>
      <w:r>
        <w:rPr>
          <w:rFonts w:ascii="宋体" w:eastAsia="宋体" w:hAnsi="宋体" w:cs="宋体"/>
        </w:rPr>
        <w:t xml:space="preserve"> </w:t>
      </w:r>
      <w:r>
        <w:rPr>
          <w:rFonts w:ascii="宋体" w:eastAsia="宋体" w:hAnsi="宋体" w:cs="宋体"/>
          <w:spacing w:val="-2"/>
        </w:rPr>
        <w:t>母亲体内的胰岛素作用，引发糖尿病。发生妊娠糖尿病的</w:t>
      </w:r>
      <w:r>
        <w:rPr>
          <w:rFonts w:ascii="宋体" w:eastAsia="宋体" w:hAnsi="宋体" w:cs="宋体"/>
          <w:spacing w:val="-3"/>
        </w:rPr>
        <w:t>患者将来出现Ⅱ型糖尿</w:t>
      </w:r>
    </w:p>
    <w:p w:rsidR="00EA40A3" w:rsidRDefault="00E86C16">
      <w:pPr>
        <w:spacing w:before="45"/>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374</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129" w:bottom="400" w:left="800" w:header="0" w:footer="0" w:gutter="0"/>
          <w:cols w:space="720"/>
        </w:sectPr>
      </w:pPr>
    </w:p>
    <w:p w:rsidR="00EA40A3" w:rsidRDefault="00EA40A3">
      <w:pPr>
        <w:spacing w:line="267" w:lineRule="auto"/>
      </w:pPr>
    </w:p>
    <w:p w:rsidR="00EA40A3" w:rsidRDefault="00EA40A3">
      <w:pPr>
        <w:spacing w:line="267" w:lineRule="auto"/>
      </w:pPr>
    </w:p>
    <w:p w:rsidR="00EA40A3" w:rsidRDefault="00E86C16">
      <w:pPr>
        <w:spacing w:before="72" w:line="220" w:lineRule="auto"/>
        <w:rPr>
          <w:rFonts w:ascii="宋体" w:eastAsia="宋体" w:hAnsi="宋体" w:cs="宋体"/>
          <w:sz w:val="22"/>
          <w:szCs w:val="22"/>
        </w:rPr>
      </w:pPr>
      <w:r>
        <w:rPr>
          <w:rFonts w:ascii="宋体" w:eastAsia="宋体" w:hAnsi="宋体" w:cs="宋体"/>
          <w:spacing w:val="-5"/>
          <w:sz w:val="22"/>
          <w:szCs w:val="22"/>
        </w:rPr>
        <w:t>病的危险很大(但与I</w:t>
      </w:r>
      <w:r>
        <w:rPr>
          <w:rFonts w:ascii="宋体" w:eastAsia="宋体" w:hAnsi="宋体" w:cs="宋体"/>
          <w:spacing w:val="-37"/>
          <w:sz w:val="22"/>
          <w:szCs w:val="22"/>
        </w:rPr>
        <w:t xml:space="preserve"> </w:t>
      </w:r>
      <w:r>
        <w:rPr>
          <w:rFonts w:ascii="宋体" w:eastAsia="宋体" w:hAnsi="宋体" w:cs="宋体"/>
          <w:spacing w:val="-5"/>
          <w:sz w:val="22"/>
          <w:szCs w:val="22"/>
        </w:rPr>
        <w:t>型糖尿病无关)。</w:t>
      </w:r>
    </w:p>
    <w:p w:rsidR="00EA40A3" w:rsidRDefault="00E86C16">
      <w:pPr>
        <w:spacing w:before="204" w:line="222" w:lineRule="auto"/>
        <w:ind w:left="3"/>
        <w:outlineLvl w:val="6"/>
        <w:rPr>
          <w:rFonts w:ascii="黑体" w:eastAsia="黑体" w:hAnsi="黑体" w:cs="黑体"/>
          <w:sz w:val="22"/>
          <w:szCs w:val="22"/>
        </w:rPr>
      </w:pPr>
      <w:bookmarkStart w:id="91" w:name="_bookmark95"/>
      <w:bookmarkEnd w:id="91"/>
      <w:r>
        <w:rPr>
          <w:rFonts w:ascii="黑体" w:eastAsia="黑体" w:hAnsi="黑体" w:cs="黑体"/>
          <w:b/>
          <w:bCs/>
          <w:spacing w:val="4"/>
          <w:sz w:val="22"/>
          <w:szCs w:val="22"/>
        </w:rPr>
        <w:t>11.7.3</w:t>
      </w:r>
      <w:r>
        <w:rPr>
          <w:rFonts w:ascii="黑体" w:eastAsia="黑体" w:hAnsi="黑体" w:cs="黑体"/>
          <w:spacing w:val="18"/>
          <w:sz w:val="22"/>
          <w:szCs w:val="22"/>
        </w:rPr>
        <w:t xml:space="preserve">   </w:t>
      </w:r>
      <w:r>
        <w:rPr>
          <w:rFonts w:ascii="黑体" w:eastAsia="黑体" w:hAnsi="黑体" w:cs="黑体"/>
          <w:b/>
          <w:bCs/>
          <w:spacing w:val="4"/>
          <w:sz w:val="22"/>
          <w:szCs w:val="22"/>
        </w:rPr>
        <w:t>糖尿病的危害</w:t>
      </w:r>
    </w:p>
    <w:p w:rsidR="00EA40A3" w:rsidRDefault="00E86C16">
      <w:pPr>
        <w:spacing w:before="199" w:line="246" w:lineRule="auto"/>
        <w:ind w:right="60" w:firstLine="440"/>
        <w:jc w:val="both"/>
        <w:rPr>
          <w:rFonts w:ascii="宋体" w:eastAsia="宋体" w:hAnsi="宋体" w:cs="宋体"/>
          <w:sz w:val="22"/>
          <w:szCs w:val="22"/>
        </w:rPr>
      </w:pPr>
      <w:r>
        <w:rPr>
          <w:rFonts w:ascii="宋体" w:eastAsia="宋体" w:hAnsi="宋体" w:cs="宋体"/>
          <w:spacing w:val="-13"/>
          <w:sz w:val="22"/>
          <w:szCs w:val="22"/>
        </w:rPr>
        <w:t>糖尿病临床上可以出现具有特征性症状群，如多尿、多饮、多食、消瘦等表</w:t>
      </w:r>
      <w:r>
        <w:rPr>
          <w:rFonts w:ascii="宋体" w:eastAsia="宋体" w:hAnsi="宋体" w:cs="宋体"/>
          <w:spacing w:val="17"/>
          <w:sz w:val="22"/>
          <w:szCs w:val="22"/>
        </w:rPr>
        <w:t xml:space="preserve"> </w:t>
      </w:r>
      <w:r>
        <w:rPr>
          <w:rFonts w:ascii="宋体" w:eastAsia="宋体" w:hAnsi="宋体" w:cs="宋体"/>
          <w:spacing w:val="-12"/>
          <w:sz w:val="22"/>
          <w:szCs w:val="22"/>
        </w:rPr>
        <w:t>现，即“三多一少”症状。糖尿病人体内脂肪减少，但脂</w:t>
      </w:r>
      <w:r>
        <w:rPr>
          <w:rFonts w:ascii="宋体" w:eastAsia="宋体" w:hAnsi="宋体" w:cs="宋体"/>
          <w:spacing w:val="-13"/>
          <w:sz w:val="22"/>
          <w:szCs w:val="22"/>
        </w:rPr>
        <w:t>肪酸氧化不彻底，从而</w:t>
      </w:r>
      <w:r>
        <w:rPr>
          <w:rFonts w:ascii="宋体" w:eastAsia="宋体" w:hAnsi="宋体" w:cs="宋体"/>
          <w:sz w:val="22"/>
          <w:szCs w:val="22"/>
        </w:rPr>
        <w:t xml:space="preserve"> </w:t>
      </w:r>
      <w:r>
        <w:rPr>
          <w:rFonts w:ascii="宋体" w:eastAsia="宋体" w:hAnsi="宋体" w:cs="宋体"/>
          <w:spacing w:val="-5"/>
          <w:sz w:val="22"/>
          <w:szCs w:val="22"/>
        </w:rPr>
        <w:t>导致酮体丙酮、β羧丁酸和乙酰乙酸的积累，血液</w:t>
      </w:r>
      <w:r>
        <w:rPr>
          <w:rFonts w:ascii="宋体" w:eastAsia="宋体" w:hAnsi="宋体" w:cs="宋体"/>
          <w:spacing w:val="-6"/>
          <w:sz w:val="22"/>
          <w:szCs w:val="22"/>
        </w:rPr>
        <w:t>中酮体升高会降低血液</w:t>
      </w:r>
      <w:r>
        <w:rPr>
          <w:rFonts w:ascii="宋体" w:eastAsia="宋体" w:hAnsi="宋体" w:cs="宋体"/>
          <w:spacing w:val="-5"/>
          <w:sz w:val="22"/>
          <w:szCs w:val="22"/>
        </w:rPr>
        <w:t>pH</w:t>
      </w:r>
      <w:r>
        <w:rPr>
          <w:rFonts w:ascii="宋体" w:eastAsia="宋体" w:hAnsi="宋体" w:cs="宋体"/>
          <w:spacing w:val="-6"/>
          <w:sz w:val="22"/>
          <w:szCs w:val="22"/>
        </w:rPr>
        <w:t>,</w:t>
      </w:r>
      <w:r>
        <w:rPr>
          <w:rFonts w:ascii="宋体" w:eastAsia="宋体" w:hAnsi="宋体" w:cs="宋体"/>
          <w:sz w:val="22"/>
          <w:szCs w:val="22"/>
        </w:rPr>
        <w:t xml:space="preserve">  </w:t>
      </w:r>
      <w:r>
        <w:rPr>
          <w:rFonts w:ascii="宋体" w:eastAsia="宋体" w:hAnsi="宋体" w:cs="宋体"/>
          <w:spacing w:val="-12"/>
          <w:sz w:val="22"/>
          <w:szCs w:val="22"/>
        </w:rPr>
        <w:t>导致酸中毒症。另外，糖尿病患者机体蛋白质流失和</w:t>
      </w:r>
      <w:r>
        <w:rPr>
          <w:rFonts w:ascii="宋体" w:eastAsia="宋体" w:hAnsi="宋体" w:cs="宋体"/>
          <w:spacing w:val="-13"/>
          <w:sz w:val="22"/>
          <w:szCs w:val="22"/>
        </w:rPr>
        <w:t>水解的增加，氨基酸脱氨基</w:t>
      </w:r>
      <w:r>
        <w:rPr>
          <w:rFonts w:ascii="宋体" w:eastAsia="宋体" w:hAnsi="宋体" w:cs="宋体"/>
          <w:sz w:val="22"/>
          <w:szCs w:val="22"/>
        </w:rPr>
        <w:t xml:space="preserve"> </w:t>
      </w:r>
      <w:r>
        <w:rPr>
          <w:rFonts w:ascii="宋体" w:eastAsia="宋体" w:hAnsi="宋体" w:cs="宋体"/>
          <w:spacing w:val="-13"/>
          <w:sz w:val="22"/>
          <w:szCs w:val="22"/>
        </w:rPr>
        <w:t>作用释放的氨，虽然可缓冲丙酮酸的积累，但由于氨本身就是细胞毒素，会使血</w:t>
      </w:r>
      <w:r>
        <w:rPr>
          <w:rFonts w:ascii="宋体" w:eastAsia="宋体" w:hAnsi="宋体" w:cs="宋体"/>
          <w:spacing w:val="2"/>
          <w:sz w:val="22"/>
          <w:szCs w:val="22"/>
        </w:rPr>
        <w:t xml:space="preserve"> </w:t>
      </w:r>
      <w:r>
        <w:rPr>
          <w:rFonts w:ascii="宋体" w:eastAsia="宋体" w:hAnsi="宋体" w:cs="宋体"/>
          <w:spacing w:val="-13"/>
          <w:sz w:val="22"/>
          <w:szCs w:val="22"/>
        </w:rPr>
        <w:t>液和尿中氨含量升高，促进尿素的合成，形成负氮平衡。</w:t>
      </w:r>
    </w:p>
    <w:p w:rsidR="00EA40A3" w:rsidRDefault="00E86C16">
      <w:pPr>
        <w:spacing w:before="82" w:line="246" w:lineRule="auto"/>
        <w:ind w:right="58" w:firstLine="440"/>
        <w:jc w:val="both"/>
        <w:rPr>
          <w:rFonts w:ascii="宋体" w:eastAsia="宋体" w:hAnsi="宋体" w:cs="宋体"/>
          <w:sz w:val="22"/>
          <w:szCs w:val="22"/>
        </w:rPr>
      </w:pPr>
      <w:r>
        <w:rPr>
          <w:rFonts w:ascii="宋体" w:eastAsia="宋体" w:hAnsi="宋体" w:cs="宋体"/>
          <w:spacing w:val="-12"/>
          <w:sz w:val="22"/>
          <w:szCs w:val="22"/>
        </w:rPr>
        <w:t>糖尿病如果得不到及早诊断、及早治疗，常常</w:t>
      </w:r>
      <w:r>
        <w:rPr>
          <w:rFonts w:ascii="宋体" w:eastAsia="宋体" w:hAnsi="宋体" w:cs="宋体"/>
          <w:spacing w:val="-13"/>
          <w:sz w:val="22"/>
          <w:szCs w:val="22"/>
        </w:rPr>
        <w:t>会发生急性、慢性并发症以及</w:t>
      </w:r>
      <w:r>
        <w:rPr>
          <w:rFonts w:ascii="宋体" w:eastAsia="宋体" w:hAnsi="宋体" w:cs="宋体"/>
          <w:sz w:val="22"/>
          <w:szCs w:val="22"/>
        </w:rPr>
        <w:t xml:space="preserve"> </w:t>
      </w:r>
      <w:r>
        <w:rPr>
          <w:rFonts w:ascii="宋体" w:eastAsia="宋体" w:hAnsi="宋体" w:cs="宋体"/>
          <w:spacing w:val="-12"/>
          <w:sz w:val="22"/>
          <w:szCs w:val="22"/>
        </w:rPr>
        <w:t>各种感染。急性并发症包括糖尿病酮症、糖尿病酮症</w:t>
      </w:r>
      <w:r>
        <w:rPr>
          <w:rFonts w:ascii="宋体" w:eastAsia="宋体" w:hAnsi="宋体" w:cs="宋体"/>
          <w:spacing w:val="-13"/>
          <w:sz w:val="22"/>
          <w:szCs w:val="22"/>
        </w:rPr>
        <w:t>酸中毒、糖尿病非酮症高渗</w:t>
      </w:r>
      <w:r>
        <w:rPr>
          <w:rFonts w:ascii="宋体" w:eastAsia="宋体" w:hAnsi="宋体" w:cs="宋体"/>
          <w:sz w:val="22"/>
          <w:szCs w:val="22"/>
        </w:rPr>
        <w:t xml:space="preserve"> </w:t>
      </w:r>
      <w:r>
        <w:rPr>
          <w:rFonts w:ascii="宋体" w:eastAsia="宋体" w:hAnsi="宋体" w:cs="宋体"/>
          <w:spacing w:val="-12"/>
          <w:sz w:val="22"/>
          <w:szCs w:val="22"/>
        </w:rPr>
        <w:t>性昏迷、糖尿病乳酸性酸中毒等。慢性并发症可导致心、脑</w:t>
      </w:r>
      <w:r>
        <w:rPr>
          <w:rFonts w:ascii="宋体" w:eastAsia="宋体" w:hAnsi="宋体" w:cs="宋体"/>
          <w:spacing w:val="-13"/>
          <w:sz w:val="22"/>
          <w:szCs w:val="22"/>
        </w:rPr>
        <w:t>血管动脉硬化，肾及</w:t>
      </w:r>
      <w:r>
        <w:rPr>
          <w:rFonts w:ascii="宋体" w:eastAsia="宋体" w:hAnsi="宋体" w:cs="宋体"/>
          <w:sz w:val="22"/>
          <w:szCs w:val="22"/>
        </w:rPr>
        <w:t xml:space="preserve"> </w:t>
      </w:r>
      <w:r>
        <w:rPr>
          <w:rFonts w:ascii="宋体" w:eastAsia="宋体" w:hAnsi="宋体" w:cs="宋体"/>
          <w:spacing w:val="-12"/>
          <w:sz w:val="22"/>
          <w:szCs w:val="22"/>
        </w:rPr>
        <w:t>视网膜微血管病变，神经病变和下肢坏疽等，糖尿病</w:t>
      </w:r>
      <w:r>
        <w:rPr>
          <w:rFonts w:ascii="宋体" w:eastAsia="宋体" w:hAnsi="宋体" w:cs="宋体"/>
          <w:spacing w:val="-13"/>
          <w:sz w:val="22"/>
          <w:szCs w:val="22"/>
        </w:rPr>
        <w:t>对人体的长期影响主要是造</w:t>
      </w:r>
      <w:r>
        <w:rPr>
          <w:rFonts w:ascii="宋体" w:eastAsia="宋体" w:hAnsi="宋体" w:cs="宋体"/>
          <w:sz w:val="22"/>
          <w:szCs w:val="22"/>
        </w:rPr>
        <w:t xml:space="preserve"> </w:t>
      </w:r>
      <w:r>
        <w:rPr>
          <w:rFonts w:ascii="宋体" w:eastAsia="宋体" w:hAnsi="宋体" w:cs="宋体"/>
          <w:spacing w:val="-12"/>
          <w:sz w:val="22"/>
          <w:szCs w:val="22"/>
        </w:rPr>
        <w:t>成各种器官的功能损伤，包括不断进展的血管性疾病和</w:t>
      </w:r>
      <w:r>
        <w:rPr>
          <w:rFonts w:ascii="宋体" w:eastAsia="宋体" w:hAnsi="宋体" w:cs="宋体"/>
          <w:spacing w:val="-13"/>
          <w:sz w:val="22"/>
          <w:szCs w:val="22"/>
        </w:rPr>
        <w:t>神经病变，糖尿病最严重</w:t>
      </w:r>
      <w:r>
        <w:rPr>
          <w:rFonts w:ascii="宋体" w:eastAsia="宋体" w:hAnsi="宋体" w:cs="宋体"/>
          <w:sz w:val="22"/>
          <w:szCs w:val="22"/>
        </w:rPr>
        <w:t xml:space="preserve"> </w:t>
      </w:r>
      <w:r>
        <w:rPr>
          <w:rFonts w:ascii="宋体" w:eastAsia="宋体" w:hAnsi="宋体" w:cs="宋体"/>
          <w:spacing w:val="-13"/>
          <w:sz w:val="22"/>
          <w:szCs w:val="22"/>
        </w:rPr>
        <w:t>的急性并发症是酮症酸中毒及高渗性昏迷，危害健康甚至生命。</w:t>
      </w:r>
    </w:p>
    <w:p w:rsidR="00EA40A3" w:rsidRDefault="00E86C16">
      <w:pPr>
        <w:spacing w:before="224" w:line="222" w:lineRule="auto"/>
        <w:ind w:left="3"/>
        <w:outlineLvl w:val="6"/>
        <w:rPr>
          <w:rFonts w:ascii="黑体" w:eastAsia="黑体" w:hAnsi="黑体" w:cs="黑体"/>
          <w:sz w:val="22"/>
          <w:szCs w:val="22"/>
        </w:rPr>
      </w:pPr>
      <w:r>
        <w:rPr>
          <w:rFonts w:ascii="黑体" w:eastAsia="黑体" w:hAnsi="黑体" w:cs="黑体"/>
          <w:b/>
          <w:bCs/>
          <w:spacing w:val="7"/>
          <w:sz w:val="22"/>
          <w:szCs w:val="22"/>
        </w:rPr>
        <w:t>11.7.4</w:t>
      </w:r>
      <w:r>
        <w:rPr>
          <w:rFonts w:ascii="黑体" w:eastAsia="黑体" w:hAnsi="黑体" w:cs="黑体"/>
          <w:spacing w:val="20"/>
          <w:sz w:val="22"/>
          <w:szCs w:val="22"/>
        </w:rPr>
        <w:t xml:space="preserve">   </w:t>
      </w:r>
      <w:r>
        <w:rPr>
          <w:rFonts w:ascii="黑体" w:eastAsia="黑体" w:hAnsi="黑体" w:cs="黑体"/>
          <w:b/>
          <w:bCs/>
          <w:spacing w:val="7"/>
          <w:sz w:val="22"/>
          <w:szCs w:val="22"/>
        </w:rPr>
        <w:t>糖尿病的饮食控制</w:t>
      </w:r>
    </w:p>
    <w:p w:rsidR="00EA40A3" w:rsidRDefault="00E86C16">
      <w:pPr>
        <w:spacing w:before="191" w:line="241" w:lineRule="auto"/>
        <w:ind w:right="60" w:firstLine="440"/>
        <w:jc w:val="both"/>
        <w:rPr>
          <w:rFonts w:ascii="宋体" w:eastAsia="宋体" w:hAnsi="宋体" w:cs="宋体"/>
          <w:sz w:val="22"/>
          <w:szCs w:val="22"/>
        </w:rPr>
      </w:pPr>
      <w:r>
        <w:rPr>
          <w:rFonts w:ascii="宋体" w:eastAsia="宋体" w:hAnsi="宋体" w:cs="宋体"/>
          <w:spacing w:val="-13"/>
          <w:sz w:val="22"/>
          <w:szCs w:val="22"/>
        </w:rPr>
        <w:t>饮食治疗在糖尿病综合治疗中占有重要地位，任何类型的糖尿病，不管病情</w:t>
      </w:r>
      <w:r>
        <w:rPr>
          <w:rFonts w:ascii="宋体" w:eastAsia="宋体" w:hAnsi="宋体" w:cs="宋体"/>
          <w:spacing w:val="17"/>
          <w:sz w:val="22"/>
          <w:szCs w:val="22"/>
        </w:rPr>
        <w:t xml:space="preserve"> </w:t>
      </w:r>
      <w:r>
        <w:rPr>
          <w:rFonts w:ascii="宋体" w:eastAsia="宋体" w:hAnsi="宋体" w:cs="宋体"/>
          <w:spacing w:val="-12"/>
          <w:sz w:val="22"/>
          <w:szCs w:val="22"/>
        </w:rPr>
        <w:t>轻重及有无并发症，是否采用口服药物或胰岛素治疗，</w:t>
      </w:r>
      <w:r>
        <w:rPr>
          <w:rFonts w:ascii="宋体" w:eastAsia="宋体" w:hAnsi="宋体" w:cs="宋体"/>
          <w:spacing w:val="-13"/>
          <w:sz w:val="22"/>
          <w:szCs w:val="22"/>
        </w:rPr>
        <w:t>都应长期坚持严格的饮食</w:t>
      </w:r>
      <w:r>
        <w:rPr>
          <w:rFonts w:ascii="宋体" w:eastAsia="宋体" w:hAnsi="宋体" w:cs="宋体"/>
          <w:sz w:val="22"/>
          <w:szCs w:val="22"/>
        </w:rPr>
        <w:t xml:space="preserve"> </w:t>
      </w:r>
      <w:r>
        <w:rPr>
          <w:rFonts w:ascii="宋体" w:eastAsia="宋体" w:hAnsi="宋体" w:cs="宋体"/>
          <w:spacing w:val="-16"/>
          <w:sz w:val="22"/>
          <w:szCs w:val="22"/>
        </w:rPr>
        <w:t>控制。</w:t>
      </w:r>
    </w:p>
    <w:p w:rsidR="00EA40A3" w:rsidRDefault="00E86C16">
      <w:pPr>
        <w:spacing w:before="213" w:line="221" w:lineRule="auto"/>
        <w:rPr>
          <w:rFonts w:ascii="仿宋" w:eastAsia="仿宋" w:hAnsi="仿宋" w:cs="仿宋"/>
          <w:sz w:val="22"/>
          <w:szCs w:val="22"/>
        </w:rPr>
      </w:pPr>
      <w:r>
        <w:rPr>
          <w:rFonts w:ascii="仿宋" w:eastAsia="仿宋" w:hAnsi="仿宋" w:cs="仿宋"/>
          <w:spacing w:val="14"/>
          <w:sz w:val="22"/>
          <w:szCs w:val="22"/>
        </w:rPr>
        <w:t>1.</w:t>
      </w:r>
      <w:r>
        <w:rPr>
          <w:rFonts w:ascii="仿宋" w:eastAsia="仿宋" w:hAnsi="仿宋" w:cs="仿宋"/>
          <w:spacing w:val="-2"/>
          <w:sz w:val="22"/>
          <w:szCs w:val="22"/>
        </w:rPr>
        <w:t xml:space="preserve"> </w:t>
      </w:r>
      <w:r>
        <w:rPr>
          <w:rFonts w:ascii="仿宋" w:eastAsia="仿宋" w:hAnsi="仿宋" w:cs="仿宋"/>
          <w:spacing w:val="14"/>
          <w:sz w:val="22"/>
          <w:szCs w:val="22"/>
        </w:rPr>
        <w:t>控制总能量和能量营养素间的比例</w:t>
      </w:r>
    </w:p>
    <w:p w:rsidR="00EA40A3" w:rsidRDefault="00E86C16">
      <w:pPr>
        <w:spacing w:before="209" w:line="239" w:lineRule="auto"/>
        <w:ind w:right="61" w:firstLine="440"/>
        <w:jc w:val="both"/>
        <w:rPr>
          <w:rFonts w:ascii="宋体" w:eastAsia="宋体" w:hAnsi="宋体" w:cs="宋体"/>
          <w:sz w:val="22"/>
          <w:szCs w:val="22"/>
        </w:rPr>
      </w:pPr>
      <w:r>
        <w:rPr>
          <w:rFonts w:ascii="宋体" w:eastAsia="宋体" w:hAnsi="宋体" w:cs="宋体"/>
          <w:spacing w:val="-13"/>
          <w:sz w:val="22"/>
          <w:szCs w:val="22"/>
        </w:rPr>
        <w:t>糖尿病饮食治疗的首要措施就是控制每日总能量，其要求是在成人足以维持</w:t>
      </w:r>
      <w:r>
        <w:rPr>
          <w:rFonts w:ascii="宋体" w:eastAsia="宋体" w:hAnsi="宋体" w:cs="宋体"/>
          <w:spacing w:val="16"/>
          <w:sz w:val="22"/>
          <w:szCs w:val="22"/>
        </w:rPr>
        <w:t xml:space="preserve"> </w:t>
      </w:r>
      <w:r>
        <w:rPr>
          <w:rFonts w:ascii="宋体" w:eastAsia="宋体" w:hAnsi="宋体" w:cs="宋体"/>
          <w:spacing w:val="-12"/>
          <w:sz w:val="22"/>
          <w:szCs w:val="22"/>
        </w:rPr>
        <w:t>合理的体重，在儿童应保证其正常的生长发育，对妊娠与哺乳者</w:t>
      </w:r>
      <w:r>
        <w:rPr>
          <w:rFonts w:ascii="宋体" w:eastAsia="宋体" w:hAnsi="宋体" w:cs="宋体"/>
          <w:spacing w:val="-13"/>
          <w:sz w:val="22"/>
          <w:szCs w:val="22"/>
        </w:rPr>
        <w:t>必须有充足的营</w:t>
      </w:r>
      <w:r>
        <w:rPr>
          <w:rFonts w:ascii="宋体" w:eastAsia="宋体" w:hAnsi="宋体" w:cs="宋体"/>
          <w:sz w:val="22"/>
          <w:szCs w:val="22"/>
        </w:rPr>
        <w:t xml:space="preserve"> </w:t>
      </w:r>
      <w:r>
        <w:rPr>
          <w:rFonts w:ascii="宋体" w:eastAsia="宋体" w:hAnsi="宋体" w:cs="宋体"/>
          <w:spacing w:val="-12"/>
          <w:sz w:val="22"/>
          <w:szCs w:val="22"/>
        </w:rPr>
        <w:t>养。糖尿病患者不但要控制主食，而且还包括对副食，</w:t>
      </w:r>
      <w:r>
        <w:rPr>
          <w:rFonts w:ascii="宋体" w:eastAsia="宋体" w:hAnsi="宋体" w:cs="宋体"/>
          <w:spacing w:val="-13"/>
          <w:sz w:val="22"/>
          <w:szCs w:val="22"/>
        </w:rPr>
        <w:t>特别是肉类、脂肪类等含</w:t>
      </w:r>
      <w:r>
        <w:rPr>
          <w:rFonts w:ascii="宋体" w:eastAsia="宋体" w:hAnsi="宋体" w:cs="宋体"/>
          <w:sz w:val="22"/>
          <w:szCs w:val="22"/>
        </w:rPr>
        <w:t xml:space="preserve"> </w:t>
      </w:r>
      <w:r>
        <w:rPr>
          <w:rFonts w:ascii="宋体" w:eastAsia="宋体" w:hAnsi="宋体" w:cs="宋体"/>
          <w:spacing w:val="-12"/>
          <w:sz w:val="22"/>
          <w:szCs w:val="22"/>
        </w:rPr>
        <w:t>热量较高的食品的综合控制，也就是使每天摄取的总热量保持在适宜的水平</w:t>
      </w:r>
      <w:r>
        <w:rPr>
          <w:rFonts w:ascii="宋体" w:eastAsia="宋体" w:hAnsi="宋体" w:cs="宋体"/>
          <w:spacing w:val="-13"/>
          <w:sz w:val="22"/>
          <w:szCs w:val="22"/>
        </w:rPr>
        <w:t>，以</w:t>
      </w:r>
      <w:r>
        <w:rPr>
          <w:rFonts w:ascii="宋体" w:eastAsia="宋体" w:hAnsi="宋体" w:cs="宋体"/>
          <w:sz w:val="22"/>
          <w:szCs w:val="22"/>
        </w:rPr>
        <w:t xml:space="preserve"> </w:t>
      </w:r>
      <w:r>
        <w:rPr>
          <w:rFonts w:ascii="宋体" w:eastAsia="宋体" w:hAnsi="宋体" w:cs="宋体"/>
          <w:spacing w:val="-15"/>
          <w:sz w:val="22"/>
          <w:szCs w:val="22"/>
        </w:rPr>
        <w:t>控制血糖和体重。</w:t>
      </w:r>
    </w:p>
    <w:p w:rsidR="00EA40A3" w:rsidRDefault="00E86C16">
      <w:pPr>
        <w:spacing w:before="97" w:line="230" w:lineRule="auto"/>
        <w:ind w:right="31" w:firstLine="440"/>
        <w:rPr>
          <w:rFonts w:ascii="宋体" w:eastAsia="宋体" w:hAnsi="宋体" w:cs="宋体"/>
          <w:sz w:val="22"/>
          <w:szCs w:val="22"/>
        </w:rPr>
      </w:pPr>
      <w:r>
        <w:rPr>
          <w:rFonts w:ascii="宋体" w:eastAsia="宋体" w:hAnsi="宋体" w:cs="宋体"/>
          <w:spacing w:val="-5"/>
          <w:sz w:val="22"/>
          <w:szCs w:val="22"/>
        </w:rPr>
        <w:t>糖尿病患者每日能量需要量可根据标准体重及工作强度确定(表11-1)。标</w:t>
      </w:r>
      <w:r>
        <w:rPr>
          <w:rFonts w:ascii="宋体" w:eastAsia="宋体" w:hAnsi="宋体" w:cs="宋体"/>
          <w:spacing w:val="12"/>
          <w:sz w:val="22"/>
          <w:szCs w:val="22"/>
        </w:rPr>
        <w:t xml:space="preserve"> </w:t>
      </w:r>
      <w:r>
        <w:rPr>
          <w:rFonts w:ascii="宋体" w:eastAsia="宋体" w:hAnsi="宋体" w:cs="宋体"/>
          <w:spacing w:val="-11"/>
          <w:sz w:val="22"/>
          <w:szCs w:val="22"/>
        </w:rPr>
        <w:t>准体重的简单估计法为</w:t>
      </w:r>
    </w:p>
    <w:p w:rsidR="00EA40A3" w:rsidRDefault="00E86C16">
      <w:pPr>
        <w:spacing w:before="55" w:line="214" w:lineRule="auto"/>
        <w:ind w:left="1020"/>
        <w:rPr>
          <w:rFonts w:ascii="宋体" w:eastAsia="宋体" w:hAnsi="宋体" w:cs="宋体"/>
          <w:sz w:val="22"/>
          <w:szCs w:val="22"/>
        </w:rPr>
      </w:pPr>
      <w:r>
        <w:rPr>
          <w:rFonts w:ascii="宋体" w:eastAsia="宋体" w:hAnsi="宋体" w:cs="宋体"/>
          <w:spacing w:val="-4"/>
          <w:sz w:val="22"/>
          <w:szCs w:val="22"/>
        </w:rPr>
        <w:t>标准体重</w:t>
      </w:r>
      <w:r>
        <w:rPr>
          <w:rFonts w:ascii="宋体" w:eastAsia="宋体" w:hAnsi="宋体" w:cs="宋体"/>
          <w:spacing w:val="-22"/>
          <w:sz w:val="22"/>
          <w:szCs w:val="22"/>
        </w:rPr>
        <w:t xml:space="preserve"> </w:t>
      </w:r>
      <w:r>
        <w:rPr>
          <w:rFonts w:ascii="宋体" w:eastAsia="宋体" w:hAnsi="宋体" w:cs="宋体"/>
          <w:spacing w:val="-4"/>
          <w:sz w:val="22"/>
          <w:szCs w:val="22"/>
        </w:rPr>
        <w:t>(kg)=</w:t>
      </w:r>
      <w:r>
        <w:rPr>
          <w:rFonts w:ascii="宋体" w:eastAsia="宋体" w:hAnsi="宋体" w:cs="宋体"/>
          <w:spacing w:val="13"/>
          <w:sz w:val="22"/>
          <w:szCs w:val="22"/>
        </w:rPr>
        <w:t xml:space="preserve">  </w:t>
      </w:r>
      <w:r>
        <w:rPr>
          <w:rFonts w:ascii="宋体" w:eastAsia="宋体" w:hAnsi="宋体" w:cs="宋体"/>
          <w:spacing w:val="-4"/>
          <w:sz w:val="22"/>
          <w:szCs w:val="22"/>
        </w:rPr>
        <w:t>身高</w:t>
      </w:r>
      <w:r>
        <w:rPr>
          <w:rFonts w:ascii="宋体" w:eastAsia="宋体" w:hAnsi="宋体" w:cs="宋体"/>
          <w:spacing w:val="-25"/>
          <w:sz w:val="22"/>
          <w:szCs w:val="22"/>
        </w:rPr>
        <w:t xml:space="preserve"> </w:t>
      </w:r>
      <w:r>
        <w:rPr>
          <w:rFonts w:ascii="宋体" w:eastAsia="宋体" w:hAnsi="宋体" w:cs="宋体"/>
          <w:spacing w:val="-4"/>
          <w:sz w:val="22"/>
          <w:szCs w:val="22"/>
        </w:rPr>
        <w:t>(cm)—100(35</w:t>
      </w:r>
      <w:r>
        <w:rPr>
          <w:rFonts w:ascii="宋体" w:eastAsia="宋体" w:hAnsi="宋体" w:cs="宋体"/>
          <w:spacing w:val="24"/>
          <w:sz w:val="22"/>
          <w:szCs w:val="22"/>
        </w:rPr>
        <w:t xml:space="preserve">  </w:t>
      </w:r>
      <w:r>
        <w:rPr>
          <w:rFonts w:ascii="宋体" w:eastAsia="宋体" w:hAnsi="宋体" w:cs="宋体"/>
          <w:spacing w:val="-4"/>
          <w:sz w:val="22"/>
          <w:szCs w:val="22"/>
        </w:rPr>
        <w:t>岁以下减105)</w:t>
      </w:r>
    </w:p>
    <w:p w:rsidR="00EA40A3" w:rsidRDefault="00E86C16">
      <w:pPr>
        <w:spacing w:before="83" w:line="246" w:lineRule="auto"/>
        <w:ind w:firstLine="440"/>
        <w:jc w:val="both"/>
        <w:rPr>
          <w:rFonts w:ascii="宋体" w:eastAsia="宋体" w:hAnsi="宋体" w:cs="宋体"/>
          <w:sz w:val="22"/>
          <w:szCs w:val="22"/>
        </w:rPr>
      </w:pPr>
      <w:r>
        <w:rPr>
          <w:rFonts w:ascii="宋体" w:eastAsia="宋体" w:hAnsi="宋体" w:cs="宋体"/>
          <w:spacing w:val="-12"/>
          <w:sz w:val="22"/>
          <w:szCs w:val="22"/>
        </w:rPr>
        <w:t>患者可按照实际体重判断自己属于肥胖、正常</w:t>
      </w:r>
      <w:r>
        <w:rPr>
          <w:rFonts w:ascii="宋体" w:eastAsia="宋体" w:hAnsi="宋体" w:cs="宋体"/>
          <w:spacing w:val="-13"/>
          <w:sz w:val="22"/>
          <w:szCs w:val="22"/>
        </w:rPr>
        <w:t>还是消瘦。根据体重状态和劳</w:t>
      </w:r>
      <w:r>
        <w:rPr>
          <w:rFonts w:ascii="宋体" w:eastAsia="宋体" w:hAnsi="宋体" w:cs="宋体"/>
          <w:sz w:val="22"/>
          <w:szCs w:val="22"/>
        </w:rPr>
        <w:t xml:space="preserve"> </w:t>
      </w:r>
      <w:r>
        <w:rPr>
          <w:rFonts w:ascii="宋体" w:eastAsia="宋体" w:hAnsi="宋体" w:cs="宋体"/>
          <w:spacing w:val="-11"/>
          <w:sz w:val="22"/>
          <w:szCs w:val="22"/>
        </w:rPr>
        <w:t>动强度选择每千克体重的热卡量并计算每日总热量。根据美国糖尿病</w:t>
      </w:r>
      <w:r>
        <w:rPr>
          <w:rFonts w:ascii="宋体" w:eastAsia="宋体" w:hAnsi="宋体" w:cs="宋体"/>
          <w:spacing w:val="-12"/>
          <w:sz w:val="22"/>
          <w:szCs w:val="22"/>
        </w:rPr>
        <w:t>学会建议，</w:t>
      </w:r>
      <w:r>
        <w:rPr>
          <w:rFonts w:ascii="宋体" w:eastAsia="宋体" w:hAnsi="宋体" w:cs="宋体"/>
          <w:sz w:val="22"/>
          <w:szCs w:val="22"/>
        </w:rPr>
        <w:t xml:space="preserve"> </w:t>
      </w:r>
      <w:r>
        <w:rPr>
          <w:rFonts w:ascii="宋体" w:eastAsia="宋体" w:hAnsi="宋体" w:cs="宋体"/>
          <w:spacing w:val="-5"/>
          <w:sz w:val="22"/>
          <w:szCs w:val="22"/>
        </w:rPr>
        <w:t>肥胖者最好按每日总热量摄入减少200</w:t>
      </w:r>
      <w:r>
        <w:rPr>
          <w:rFonts w:ascii="宋体" w:eastAsia="宋体" w:hAnsi="宋体" w:cs="宋体"/>
          <w:spacing w:val="-6"/>
          <w:sz w:val="22"/>
          <w:szCs w:val="22"/>
        </w:rPr>
        <w:t>～500</w:t>
      </w:r>
      <w:r>
        <w:rPr>
          <w:rFonts w:ascii="宋体" w:eastAsia="宋体" w:hAnsi="宋体" w:cs="宋体"/>
          <w:spacing w:val="-5"/>
          <w:sz w:val="22"/>
          <w:szCs w:val="22"/>
        </w:rPr>
        <w:t>kcal</w:t>
      </w:r>
      <w:r>
        <w:rPr>
          <w:rFonts w:ascii="宋体" w:eastAsia="宋体" w:hAnsi="宋体" w:cs="宋体"/>
          <w:spacing w:val="-6"/>
          <w:sz w:val="22"/>
          <w:szCs w:val="22"/>
        </w:rPr>
        <w:t>的要求逐渐减少，其减少量根</w:t>
      </w:r>
      <w:r>
        <w:rPr>
          <w:rFonts w:ascii="宋体" w:eastAsia="宋体" w:hAnsi="宋体" w:cs="宋体"/>
          <w:sz w:val="22"/>
          <w:szCs w:val="22"/>
        </w:rPr>
        <w:t xml:space="preserve"> </w:t>
      </w:r>
      <w:r>
        <w:rPr>
          <w:rFonts w:ascii="宋体" w:eastAsia="宋体" w:hAnsi="宋体" w:cs="宋体"/>
          <w:spacing w:val="-6"/>
          <w:sz w:val="22"/>
          <w:szCs w:val="22"/>
        </w:rPr>
        <w:t>据肥胖程度和患者的耐受能力而定。体重降低不宜过速过猛，以每月降低0.5~</w:t>
      </w:r>
      <w:r>
        <w:rPr>
          <w:rFonts w:ascii="宋体" w:eastAsia="宋体" w:hAnsi="宋体" w:cs="宋体"/>
          <w:spacing w:val="1"/>
          <w:sz w:val="22"/>
          <w:szCs w:val="22"/>
        </w:rPr>
        <w:t xml:space="preserve"> </w:t>
      </w:r>
      <w:r>
        <w:rPr>
          <w:rFonts w:ascii="宋体" w:eastAsia="宋体" w:hAnsi="宋体" w:cs="宋体"/>
          <w:spacing w:val="-11"/>
          <w:sz w:val="22"/>
          <w:szCs w:val="22"/>
        </w:rPr>
        <w:t>lkg</w:t>
      </w:r>
      <w:r>
        <w:rPr>
          <w:rFonts w:ascii="宋体" w:eastAsia="宋体" w:hAnsi="宋体" w:cs="宋体"/>
          <w:spacing w:val="-55"/>
          <w:sz w:val="22"/>
          <w:szCs w:val="22"/>
        </w:rPr>
        <w:t xml:space="preserve"> </w:t>
      </w:r>
      <w:r>
        <w:rPr>
          <w:rFonts w:ascii="宋体" w:eastAsia="宋体" w:hAnsi="宋体" w:cs="宋体"/>
          <w:spacing w:val="-11"/>
          <w:sz w:val="22"/>
          <w:szCs w:val="22"/>
        </w:rPr>
        <w:t>为宜，否则患者可因热量摄入不足而感乏力，不能坚持。儿童、孕妇、哺乳</w:t>
      </w:r>
      <w:r>
        <w:rPr>
          <w:rFonts w:ascii="宋体" w:eastAsia="宋体" w:hAnsi="宋体" w:cs="宋体"/>
          <w:sz w:val="22"/>
          <w:szCs w:val="22"/>
        </w:rPr>
        <w:t xml:space="preserve">  </w:t>
      </w:r>
      <w:r>
        <w:rPr>
          <w:rFonts w:ascii="宋体" w:eastAsia="宋体" w:hAnsi="宋体" w:cs="宋体"/>
          <w:spacing w:val="-4"/>
          <w:sz w:val="22"/>
          <w:szCs w:val="22"/>
        </w:rPr>
        <w:t>妇女及消耗性疾病者应适当增加热量。18岁以下青少年可参考以下公式计算：</w:t>
      </w:r>
    </w:p>
    <w:p w:rsidR="00EA40A3" w:rsidRDefault="00EA40A3">
      <w:pPr>
        <w:sectPr w:rsidR="00EA40A3">
          <w:footerReference w:type="default" r:id="rId300"/>
          <w:pgSz w:w="9220" w:h="13360"/>
          <w:pgMar w:top="400" w:right="970" w:bottom="1254" w:left="899" w:header="0" w:footer="1021" w:gutter="0"/>
          <w:cols w:space="720"/>
        </w:sectPr>
      </w:pPr>
    </w:p>
    <w:p w:rsidR="00EA40A3" w:rsidRDefault="00EA40A3">
      <w:pPr>
        <w:spacing w:line="278" w:lineRule="auto"/>
      </w:pPr>
    </w:p>
    <w:p w:rsidR="00EA40A3" w:rsidRDefault="00EA40A3">
      <w:pPr>
        <w:spacing w:line="279" w:lineRule="auto"/>
      </w:pPr>
    </w:p>
    <w:p w:rsidR="00EA40A3" w:rsidRDefault="00E86C16">
      <w:pPr>
        <w:spacing w:before="68" w:line="219" w:lineRule="auto"/>
        <w:rPr>
          <w:rFonts w:ascii="宋体" w:eastAsia="宋体" w:hAnsi="宋体" w:cs="宋体"/>
        </w:rPr>
      </w:pPr>
      <w:bookmarkStart w:id="92" w:name="_bookmark96"/>
      <w:bookmarkEnd w:id="92"/>
      <w:r>
        <w:rPr>
          <w:rFonts w:ascii="宋体" w:eastAsia="宋体" w:hAnsi="宋体" w:cs="宋体"/>
          <w:spacing w:val="-1"/>
        </w:rPr>
        <w:t>每天每千克理想体重所需热量</w:t>
      </w:r>
      <w:r>
        <w:rPr>
          <w:rFonts w:ascii="宋体" w:eastAsia="宋体" w:hAnsi="宋体" w:cs="宋体"/>
          <w:spacing w:val="-4"/>
        </w:rPr>
        <w:t xml:space="preserve"> </w:t>
      </w:r>
      <w:r>
        <w:rPr>
          <w:rFonts w:ascii="宋体" w:eastAsia="宋体" w:hAnsi="宋体" w:cs="宋体"/>
          <w:spacing w:val="-1"/>
        </w:rPr>
        <w:t>(cal)=</w:t>
      </w:r>
      <w:r>
        <w:rPr>
          <w:rFonts w:ascii="宋体" w:eastAsia="宋体" w:hAnsi="宋体" w:cs="宋体"/>
          <w:spacing w:val="60"/>
        </w:rPr>
        <w:t xml:space="preserve"> </w:t>
      </w:r>
      <w:r>
        <w:rPr>
          <w:rFonts w:ascii="宋体" w:eastAsia="宋体" w:hAnsi="宋体" w:cs="宋体"/>
          <w:spacing w:val="-1"/>
        </w:rPr>
        <w:t>年龄×1</w:t>
      </w:r>
      <w:r>
        <w:rPr>
          <w:rFonts w:ascii="宋体" w:eastAsia="宋体" w:hAnsi="宋体" w:cs="宋体"/>
          <w:spacing w:val="-2"/>
        </w:rPr>
        <w:t>00+900。</w:t>
      </w:r>
    </w:p>
    <w:p w:rsidR="00EA40A3" w:rsidRDefault="00EA40A3">
      <w:pPr>
        <w:spacing w:line="261" w:lineRule="auto"/>
      </w:pPr>
    </w:p>
    <w:p w:rsidR="00EA40A3" w:rsidRDefault="00E86C16">
      <w:pPr>
        <w:spacing w:before="68" w:line="207" w:lineRule="auto"/>
        <w:ind w:left="1812"/>
        <w:rPr>
          <w:rFonts w:ascii="宋体" w:eastAsia="宋体" w:hAnsi="宋体" w:cs="宋体"/>
        </w:rPr>
      </w:pPr>
      <w:r>
        <w:rPr>
          <w:rFonts w:ascii="黑体" w:eastAsia="黑体" w:hAnsi="黑体" w:cs="黑体"/>
          <w:b/>
          <w:bCs/>
          <w:spacing w:val="-8"/>
          <w:sz w:val="18"/>
          <w:szCs w:val="18"/>
        </w:rPr>
        <w:t>表11-1</w:t>
      </w:r>
      <w:r>
        <w:rPr>
          <w:rFonts w:ascii="黑体" w:eastAsia="黑体" w:hAnsi="黑体" w:cs="黑体"/>
          <w:spacing w:val="64"/>
          <w:sz w:val="18"/>
          <w:szCs w:val="18"/>
        </w:rPr>
        <w:t xml:space="preserve"> </w:t>
      </w:r>
      <w:r>
        <w:rPr>
          <w:rFonts w:ascii="黑体" w:eastAsia="黑体" w:hAnsi="黑体" w:cs="黑体"/>
          <w:b/>
          <w:bCs/>
          <w:spacing w:val="-8"/>
          <w:sz w:val="18"/>
          <w:szCs w:val="18"/>
        </w:rPr>
        <w:t>糖尿病患者每日每千克理想体重所需能量</w:t>
      </w:r>
      <w:r>
        <w:rPr>
          <w:rFonts w:ascii="黑体" w:eastAsia="黑体" w:hAnsi="黑体" w:cs="黑体"/>
          <w:spacing w:val="7"/>
          <w:sz w:val="18"/>
          <w:szCs w:val="18"/>
        </w:rPr>
        <w:t xml:space="preserve">   </w:t>
      </w:r>
      <w:r>
        <w:rPr>
          <w:rFonts w:ascii="宋体" w:eastAsia="宋体" w:hAnsi="宋体" w:cs="宋体"/>
          <w:spacing w:val="-8"/>
        </w:rPr>
        <w:t>(单位：kcal)</w:t>
      </w:r>
    </w:p>
    <w:tbl>
      <w:tblPr>
        <w:tblStyle w:val="TableNormal"/>
        <w:tblW w:w="7350" w:type="dxa"/>
        <w:tblInd w:w="6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190"/>
        <w:gridCol w:w="1658"/>
        <w:gridCol w:w="1694"/>
        <w:gridCol w:w="1808"/>
      </w:tblGrid>
      <w:tr w:rsidR="00EA40A3">
        <w:trPr>
          <w:trHeight w:val="332"/>
        </w:trPr>
        <w:tc>
          <w:tcPr>
            <w:tcW w:w="2190" w:type="dxa"/>
            <w:tcBorders>
              <w:top w:val="single" w:sz="4" w:space="0" w:color="000000"/>
              <w:bottom w:val="single" w:sz="4" w:space="0" w:color="000000"/>
            </w:tcBorders>
          </w:tcPr>
          <w:p w:rsidR="00EA40A3" w:rsidRDefault="00E86C16">
            <w:pPr>
              <w:spacing w:before="141" w:line="219" w:lineRule="auto"/>
              <w:ind w:left="789"/>
              <w:rPr>
                <w:rFonts w:ascii="宋体" w:eastAsia="宋体" w:hAnsi="宋体" w:cs="宋体"/>
                <w:sz w:val="16"/>
                <w:szCs w:val="16"/>
              </w:rPr>
            </w:pPr>
            <w:r>
              <w:rPr>
                <w:rFonts w:ascii="宋体" w:eastAsia="宋体" w:hAnsi="宋体" w:cs="宋体"/>
                <w:spacing w:val="-2"/>
                <w:sz w:val="16"/>
                <w:szCs w:val="16"/>
              </w:rPr>
              <w:t>劳动强度</w:t>
            </w:r>
          </w:p>
        </w:tc>
        <w:tc>
          <w:tcPr>
            <w:tcW w:w="1658" w:type="dxa"/>
            <w:tcBorders>
              <w:top w:val="single" w:sz="4" w:space="0" w:color="000000"/>
              <w:bottom w:val="single" w:sz="4" w:space="0" w:color="000000"/>
            </w:tcBorders>
          </w:tcPr>
          <w:p w:rsidR="00EA40A3" w:rsidRDefault="00E86C16">
            <w:pPr>
              <w:spacing w:before="131" w:line="219" w:lineRule="auto"/>
              <w:ind w:left="680"/>
              <w:rPr>
                <w:rFonts w:ascii="宋体" w:eastAsia="宋体" w:hAnsi="宋体" w:cs="宋体"/>
                <w:sz w:val="16"/>
                <w:szCs w:val="16"/>
              </w:rPr>
            </w:pPr>
            <w:r>
              <w:rPr>
                <w:rFonts w:ascii="宋体" w:eastAsia="宋体" w:hAnsi="宋体" w:cs="宋体"/>
                <w:spacing w:val="-3"/>
                <w:sz w:val="16"/>
                <w:szCs w:val="16"/>
              </w:rPr>
              <w:t>消瘦</w:t>
            </w:r>
          </w:p>
        </w:tc>
        <w:tc>
          <w:tcPr>
            <w:tcW w:w="1694" w:type="dxa"/>
            <w:tcBorders>
              <w:top w:val="single" w:sz="4" w:space="0" w:color="000000"/>
              <w:bottom w:val="single" w:sz="4" w:space="0" w:color="000000"/>
            </w:tcBorders>
          </w:tcPr>
          <w:p w:rsidR="00EA40A3" w:rsidRDefault="00E86C16">
            <w:pPr>
              <w:spacing w:before="132" w:line="220" w:lineRule="auto"/>
              <w:ind w:left="672"/>
              <w:rPr>
                <w:rFonts w:ascii="宋体" w:eastAsia="宋体" w:hAnsi="宋体" w:cs="宋体"/>
                <w:sz w:val="16"/>
                <w:szCs w:val="16"/>
              </w:rPr>
            </w:pPr>
            <w:r>
              <w:rPr>
                <w:rFonts w:ascii="宋体" w:eastAsia="宋体" w:hAnsi="宋体" w:cs="宋体"/>
                <w:spacing w:val="-3"/>
                <w:sz w:val="16"/>
                <w:szCs w:val="16"/>
              </w:rPr>
              <w:t>正常</w:t>
            </w:r>
          </w:p>
        </w:tc>
        <w:tc>
          <w:tcPr>
            <w:tcW w:w="1808" w:type="dxa"/>
            <w:tcBorders>
              <w:top w:val="single" w:sz="4" w:space="0" w:color="000000"/>
              <w:bottom w:val="single" w:sz="4" w:space="0" w:color="000000"/>
            </w:tcBorders>
          </w:tcPr>
          <w:p w:rsidR="00EA40A3" w:rsidRDefault="00E86C16">
            <w:pPr>
              <w:spacing w:before="90" w:line="219" w:lineRule="auto"/>
              <w:ind w:left="727"/>
              <w:rPr>
                <w:rFonts w:ascii="宋体" w:eastAsia="宋体" w:hAnsi="宋体" w:cs="宋体"/>
                <w:sz w:val="16"/>
                <w:szCs w:val="16"/>
              </w:rPr>
            </w:pPr>
            <w:r>
              <w:rPr>
                <w:rFonts w:ascii="宋体" w:eastAsia="宋体" w:hAnsi="宋体" w:cs="宋体"/>
                <w:spacing w:val="-2"/>
                <w:sz w:val="16"/>
                <w:szCs w:val="16"/>
              </w:rPr>
              <w:t>肥胖</w:t>
            </w:r>
          </w:p>
        </w:tc>
      </w:tr>
      <w:tr w:rsidR="00EA40A3">
        <w:trPr>
          <w:trHeight w:val="323"/>
        </w:trPr>
        <w:tc>
          <w:tcPr>
            <w:tcW w:w="2190" w:type="dxa"/>
            <w:tcBorders>
              <w:top w:val="single" w:sz="4" w:space="0" w:color="000000"/>
            </w:tcBorders>
          </w:tcPr>
          <w:p w:rsidR="00EA40A3" w:rsidRDefault="00E86C16">
            <w:pPr>
              <w:spacing w:before="89" w:line="219" w:lineRule="auto"/>
              <w:ind w:left="789"/>
              <w:rPr>
                <w:rFonts w:ascii="宋体" w:eastAsia="宋体" w:hAnsi="宋体" w:cs="宋体"/>
                <w:sz w:val="16"/>
                <w:szCs w:val="16"/>
              </w:rPr>
            </w:pPr>
            <w:r>
              <w:rPr>
                <w:rFonts w:ascii="宋体" w:eastAsia="宋体" w:hAnsi="宋体" w:cs="宋体"/>
                <w:spacing w:val="2"/>
                <w:sz w:val="16"/>
                <w:szCs w:val="16"/>
              </w:rPr>
              <w:t>卧床休息</w:t>
            </w:r>
          </w:p>
        </w:tc>
        <w:tc>
          <w:tcPr>
            <w:tcW w:w="1658" w:type="dxa"/>
            <w:tcBorders>
              <w:top w:val="single" w:sz="4" w:space="0" w:color="000000"/>
            </w:tcBorders>
          </w:tcPr>
          <w:p w:rsidR="00EA40A3" w:rsidRDefault="00E86C16">
            <w:pPr>
              <w:spacing w:before="130" w:line="183" w:lineRule="auto"/>
              <w:ind w:left="599"/>
              <w:rPr>
                <w:rFonts w:ascii="宋体" w:eastAsia="宋体" w:hAnsi="宋体" w:cs="宋体"/>
                <w:sz w:val="16"/>
                <w:szCs w:val="16"/>
              </w:rPr>
            </w:pPr>
            <w:r>
              <w:rPr>
                <w:rFonts w:ascii="宋体" w:eastAsia="宋体" w:hAnsi="宋体" w:cs="宋体"/>
                <w:spacing w:val="-2"/>
                <w:sz w:val="16"/>
                <w:szCs w:val="16"/>
              </w:rPr>
              <w:t>20～25</w:t>
            </w:r>
          </w:p>
        </w:tc>
        <w:tc>
          <w:tcPr>
            <w:tcW w:w="1694" w:type="dxa"/>
            <w:tcBorders>
              <w:top w:val="single" w:sz="4" w:space="0" w:color="000000"/>
            </w:tcBorders>
          </w:tcPr>
          <w:p w:rsidR="00EA40A3" w:rsidRDefault="00E86C16">
            <w:pPr>
              <w:spacing w:before="129" w:line="184" w:lineRule="auto"/>
              <w:ind w:left="591"/>
              <w:rPr>
                <w:rFonts w:ascii="宋体" w:eastAsia="宋体" w:hAnsi="宋体" w:cs="宋体"/>
                <w:sz w:val="16"/>
                <w:szCs w:val="16"/>
              </w:rPr>
            </w:pPr>
            <w:r>
              <w:rPr>
                <w:rFonts w:ascii="宋体" w:eastAsia="宋体" w:hAnsi="宋体" w:cs="宋体"/>
                <w:spacing w:val="-4"/>
                <w:sz w:val="16"/>
                <w:szCs w:val="16"/>
              </w:rPr>
              <w:t>15～20</w:t>
            </w:r>
          </w:p>
        </w:tc>
        <w:tc>
          <w:tcPr>
            <w:tcW w:w="1808" w:type="dxa"/>
            <w:tcBorders>
              <w:top w:val="single" w:sz="4" w:space="0" w:color="000000"/>
            </w:tcBorders>
          </w:tcPr>
          <w:p w:rsidR="00EA40A3" w:rsidRDefault="00E86C16">
            <w:pPr>
              <w:spacing w:before="129" w:line="184" w:lineRule="auto"/>
              <w:ind w:left="807"/>
              <w:rPr>
                <w:rFonts w:ascii="宋体" w:eastAsia="宋体" w:hAnsi="宋体" w:cs="宋体"/>
                <w:sz w:val="16"/>
                <w:szCs w:val="16"/>
              </w:rPr>
            </w:pPr>
            <w:r>
              <w:rPr>
                <w:rFonts w:ascii="宋体" w:eastAsia="宋体" w:hAnsi="宋体" w:cs="宋体"/>
                <w:spacing w:val="-5"/>
                <w:sz w:val="16"/>
                <w:szCs w:val="16"/>
              </w:rPr>
              <w:t>15</w:t>
            </w:r>
          </w:p>
        </w:tc>
      </w:tr>
      <w:tr w:rsidR="00EA40A3">
        <w:trPr>
          <w:trHeight w:val="313"/>
        </w:trPr>
        <w:tc>
          <w:tcPr>
            <w:tcW w:w="2190" w:type="dxa"/>
          </w:tcPr>
          <w:p w:rsidR="00EA40A3" w:rsidRDefault="00E86C16">
            <w:pPr>
              <w:spacing w:before="86" w:line="219" w:lineRule="auto"/>
              <w:ind w:left="710"/>
              <w:rPr>
                <w:rFonts w:ascii="宋体" w:eastAsia="宋体" w:hAnsi="宋体" w:cs="宋体"/>
                <w:sz w:val="16"/>
                <w:szCs w:val="16"/>
              </w:rPr>
            </w:pPr>
            <w:r>
              <w:rPr>
                <w:rFonts w:ascii="宋体" w:eastAsia="宋体" w:hAnsi="宋体" w:cs="宋体"/>
                <w:spacing w:val="-2"/>
                <w:sz w:val="16"/>
                <w:szCs w:val="16"/>
              </w:rPr>
              <w:t>轻体力劳动</w:t>
            </w:r>
          </w:p>
        </w:tc>
        <w:tc>
          <w:tcPr>
            <w:tcW w:w="1658" w:type="dxa"/>
          </w:tcPr>
          <w:p w:rsidR="00EA40A3" w:rsidRDefault="00E86C16">
            <w:pPr>
              <w:spacing w:before="127" w:line="183" w:lineRule="auto"/>
              <w:ind w:left="760"/>
              <w:rPr>
                <w:rFonts w:ascii="宋体" w:eastAsia="宋体" w:hAnsi="宋体" w:cs="宋体"/>
                <w:sz w:val="16"/>
                <w:szCs w:val="16"/>
              </w:rPr>
            </w:pPr>
            <w:r>
              <w:rPr>
                <w:rFonts w:ascii="宋体" w:eastAsia="宋体" w:hAnsi="宋体" w:cs="宋体"/>
                <w:spacing w:val="-3"/>
                <w:sz w:val="16"/>
                <w:szCs w:val="16"/>
              </w:rPr>
              <w:t>35</w:t>
            </w:r>
          </w:p>
        </w:tc>
        <w:tc>
          <w:tcPr>
            <w:tcW w:w="1694" w:type="dxa"/>
          </w:tcPr>
          <w:p w:rsidR="00EA40A3" w:rsidRDefault="00E86C16">
            <w:pPr>
              <w:spacing w:before="127" w:line="183" w:lineRule="auto"/>
              <w:ind w:left="752"/>
              <w:rPr>
                <w:rFonts w:ascii="宋体" w:eastAsia="宋体" w:hAnsi="宋体" w:cs="宋体"/>
                <w:sz w:val="16"/>
                <w:szCs w:val="16"/>
              </w:rPr>
            </w:pPr>
            <w:r>
              <w:rPr>
                <w:rFonts w:ascii="宋体" w:eastAsia="宋体" w:hAnsi="宋体" w:cs="宋体"/>
                <w:spacing w:val="-3"/>
                <w:sz w:val="16"/>
                <w:szCs w:val="16"/>
              </w:rPr>
              <w:t>30</w:t>
            </w:r>
          </w:p>
        </w:tc>
        <w:tc>
          <w:tcPr>
            <w:tcW w:w="1808" w:type="dxa"/>
          </w:tcPr>
          <w:p w:rsidR="00EA40A3" w:rsidRDefault="00E86C16">
            <w:pPr>
              <w:spacing w:before="127" w:line="183" w:lineRule="auto"/>
              <w:ind w:left="648"/>
              <w:rPr>
                <w:rFonts w:ascii="宋体" w:eastAsia="宋体" w:hAnsi="宋体" w:cs="宋体"/>
                <w:sz w:val="16"/>
                <w:szCs w:val="16"/>
              </w:rPr>
            </w:pPr>
            <w:r>
              <w:rPr>
                <w:rFonts w:ascii="宋体" w:eastAsia="宋体" w:hAnsi="宋体" w:cs="宋体"/>
                <w:spacing w:val="-2"/>
                <w:sz w:val="16"/>
                <w:szCs w:val="16"/>
              </w:rPr>
              <w:t>20～25</w:t>
            </w:r>
          </w:p>
        </w:tc>
      </w:tr>
      <w:tr w:rsidR="00EA40A3">
        <w:trPr>
          <w:trHeight w:val="308"/>
        </w:trPr>
        <w:tc>
          <w:tcPr>
            <w:tcW w:w="2190" w:type="dxa"/>
          </w:tcPr>
          <w:p w:rsidR="00EA40A3" w:rsidRDefault="00E86C16">
            <w:pPr>
              <w:spacing w:before="83" w:line="219" w:lineRule="auto"/>
              <w:ind w:left="630"/>
              <w:rPr>
                <w:rFonts w:ascii="宋体" w:eastAsia="宋体" w:hAnsi="宋体" w:cs="宋体"/>
                <w:sz w:val="16"/>
                <w:szCs w:val="16"/>
              </w:rPr>
            </w:pPr>
            <w:r>
              <w:rPr>
                <w:rFonts w:ascii="宋体" w:eastAsia="宋体" w:hAnsi="宋体" w:cs="宋体"/>
                <w:spacing w:val="1"/>
                <w:sz w:val="16"/>
                <w:szCs w:val="16"/>
              </w:rPr>
              <w:t>中等体力劳动</w:t>
            </w:r>
          </w:p>
        </w:tc>
        <w:tc>
          <w:tcPr>
            <w:tcW w:w="1658" w:type="dxa"/>
          </w:tcPr>
          <w:p w:rsidR="00EA40A3" w:rsidRDefault="00E86C16">
            <w:pPr>
              <w:spacing w:before="124" w:line="183" w:lineRule="auto"/>
              <w:ind w:left="760"/>
              <w:rPr>
                <w:rFonts w:ascii="宋体" w:eastAsia="宋体" w:hAnsi="宋体" w:cs="宋体"/>
                <w:sz w:val="16"/>
                <w:szCs w:val="16"/>
              </w:rPr>
            </w:pPr>
            <w:r>
              <w:rPr>
                <w:rFonts w:ascii="宋体" w:eastAsia="宋体" w:hAnsi="宋体" w:cs="宋体"/>
                <w:spacing w:val="-2"/>
                <w:sz w:val="16"/>
                <w:szCs w:val="16"/>
              </w:rPr>
              <w:t>40</w:t>
            </w:r>
          </w:p>
        </w:tc>
        <w:tc>
          <w:tcPr>
            <w:tcW w:w="1694" w:type="dxa"/>
          </w:tcPr>
          <w:p w:rsidR="00EA40A3" w:rsidRDefault="00E86C16">
            <w:pPr>
              <w:spacing w:before="124" w:line="183" w:lineRule="auto"/>
              <w:ind w:left="752"/>
              <w:rPr>
                <w:rFonts w:ascii="宋体" w:eastAsia="宋体" w:hAnsi="宋体" w:cs="宋体"/>
                <w:sz w:val="16"/>
                <w:szCs w:val="16"/>
              </w:rPr>
            </w:pPr>
            <w:r>
              <w:rPr>
                <w:rFonts w:ascii="宋体" w:eastAsia="宋体" w:hAnsi="宋体" w:cs="宋体"/>
                <w:spacing w:val="-3"/>
                <w:sz w:val="16"/>
                <w:szCs w:val="16"/>
              </w:rPr>
              <w:t>35</w:t>
            </w:r>
          </w:p>
        </w:tc>
        <w:tc>
          <w:tcPr>
            <w:tcW w:w="1808" w:type="dxa"/>
          </w:tcPr>
          <w:p w:rsidR="00EA40A3" w:rsidRDefault="00E86C16">
            <w:pPr>
              <w:spacing w:before="124" w:line="183" w:lineRule="auto"/>
              <w:ind w:left="807"/>
              <w:rPr>
                <w:rFonts w:ascii="宋体" w:eastAsia="宋体" w:hAnsi="宋体" w:cs="宋体"/>
                <w:sz w:val="16"/>
                <w:szCs w:val="16"/>
              </w:rPr>
            </w:pPr>
            <w:r>
              <w:rPr>
                <w:rFonts w:ascii="宋体" w:eastAsia="宋体" w:hAnsi="宋体" w:cs="宋体"/>
                <w:spacing w:val="-3"/>
                <w:sz w:val="16"/>
                <w:szCs w:val="16"/>
              </w:rPr>
              <w:t>30</w:t>
            </w:r>
          </w:p>
        </w:tc>
      </w:tr>
      <w:tr w:rsidR="00EA40A3">
        <w:trPr>
          <w:trHeight w:val="303"/>
        </w:trPr>
        <w:tc>
          <w:tcPr>
            <w:tcW w:w="2190" w:type="dxa"/>
            <w:tcBorders>
              <w:bottom w:val="single" w:sz="4" w:space="0" w:color="000000"/>
            </w:tcBorders>
          </w:tcPr>
          <w:p w:rsidR="00EA40A3" w:rsidRDefault="00E86C16">
            <w:pPr>
              <w:spacing w:before="85" w:line="219" w:lineRule="auto"/>
              <w:ind w:left="710"/>
              <w:rPr>
                <w:rFonts w:ascii="宋体" w:eastAsia="宋体" w:hAnsi="宋体" w:cs="宋体"/>
                <w:sz w:val="16"/>
                <w:szCs w:val="16"/>
              </w:rPr>
            </w:pPr>
            <w:r>
              <w:rPr>
                <w:rFonts w:ascii="宋体" w:eastAsia="宋体" w:hAnsi="宋体" w:cs="宋体"/>
                <w:spacing w:val="-2"/>
                <w:sz w:val="16"/>
                <w:szCs w:val="16"/>
              </w:rPr>
              <w:t>重体力劳动</w:t>
            </w:r>
          </w:p>
        </w:tc>
        <w:tc>
          <w:tcPr>
            <w:tcW w:w="1658" w:type="dxa"/>
            <w:tcBorders>
              <w:bottom w:val="single" w:sz="4" w:space="0" w:color="000000"/>
            </w:tcBorders>
          </w:tcPr>
          <w:p w:rsidR="00EA40A3" w:rsidRDefault="00E86C16">
            <w:pPr>
              <w:spacing w:before="126" w:line="183" w:lineRule="auto"/>
              <w:ind w:left="599"/>
              <w:rPr>
                <w:rFonts w:ascii="宋体" w:eastAsia="宋体" w:hAnsi="宋体" w:cs="宋体"/>
                <w:sz w:val="16"/>
                <w:szCs w:val="16"/>
              </w:rPr>
            </w:pPr>
            <w:r>
              <w:rPr>
                <w:rFonts w:ascii="宋体" w:eastAsia="宋体" w:hAnsi="宋体" w:cs="宋体"/>
                <w:spacing w:val="-1"/>
                <w:sz w:val="16"/>
                <w:szCs w:val="16"/>
              </w:rPr>
              <w:t>45～50</w:t>
            </w:r>
          </w:p>
        </w:tc>
        <w:tc>
          <w:tcPr>
            <w:tcW w:w="1694" w:type="dxa"/>
            <w:tcBorders>
              <w:bottom w:val="single" w:sz="4" w:space="0" w:color="000000"/>
            </w:tcBorders>
          </w:tcPr>
          <w:p w:rsidR="00EA40A3" w:rsidRDefault="00E86C16">
            <w:pPr>
              <w:spacing w:before="126" w:line="183" w:lineRule="auto"/>
              <w:ind w:left="752"/>
              <w:rPr>
                <w:rFonts w:ascii="宋体" w:eastAsia="宋体" w:hAnsi="宋体" w:cs="宋体"/>
                <w:sz w:val="16"/>
                <w:szCs w:val="16"/>
              </w:rPr>
            </w:pPr>
            <w:r>
              <w:rPr>
                <w:rFonts w:ascii="宋体" w:eastAsia="宋体" w:hAnsi="宋体" w:cs="宋体"/>
                <w:spacing w:val="-2"/>
                <w:sz w:val="16"/>
                <w:szCs w:val="16"/>
              </w:rPr>
              <w:t>40</w:t>
            </w:r>
          </w:p>
        </w:tc>
        <w:tc>
          <w:tcPr>
            <w:tcW w:w="1808" w:type="dxa"/>
            <w:tcBorders>
              <w:bottom w:val="single" w:sz="4" w:space="0" w:color="000000"/>
            </w:tcBorders>
          </w:tcPr>
          <w:p w:rsidR="00EA40A3" w:rsidRDefault="00E86C16">
            <w:pPr>
              <w:spacing w:before="126" w:line="183" w:lineRule="auto"/>
              <w:ind w:left="807"/>
              <w:rPr>
                <w:rFonts w:ascii="宋体" w:eastAsia="宋体" w:hAnsi="宋体" w:cs="宋体"/>
                <w:sz w:val="16"/>
                <w:szCs w:val="16"/>
              </w:rPr>
            </w:pPr>
            <w:r>
              <w:rPr>
                <w:rFonts w:ascii="宋体" w:eastAsia="宋体" w:hAnsi="宋体" w:cs="宋体"/>
                <w:spacing w:val="-3"/>
                <w:sz w:val="16"/>
                <w:szCs w:val="16"/>
              </w:rPr>
              <w:t>35</w:t>
            </w:r>
          </w:p>
        </w:tc>
      </w:tr>
    </w:tbl>
    <w:p w:rsidR="00EA40A3" w:rsidRDefault="00E86C16">
      <w:pPr>
        <w:spacing w:before="79" w:line="218" w:lineRule="auto"/>
        <w:ind w:left="419"/>
        <w:rPr>
          <w:rFonts w:ascii="宋体" w:eastAsia="宋体" w:hAnsi="宋体" w:cs="宋体"/>
          <w:sz w:val="15"/>
          <w:szCs w:val="15"/>
        </w:rPr>
      </w:pPr>
      <w:r>
        <w:rPr>
          <w:rFonts w:ascii="宋体" w:eastAsia="宋体" w:hAnsi="宋体" w:cs="宋体"/>
          <w:spacing w:val="-1"/>
          <w:sz w:val="15"/>
          <w:szCs w:val="15"/>
        </w:rPr>
        <w:t>注：1cal=4.184J</w:t>
      </w:r>
    </w:p>
    <w:p w:rsidR="00EA40A3" w:rsidRDefault="00EA40A3">
      <w:pPr>
        <w:spacing w:line="337" w:lineRule="auto"/>
      </w:pPr>
    </w:p>
    <w:p w:rsidR="00EA40A3" w:rsidRDefault="00E86C16">
      <w:pPr>
        <w:spacing w:before="68" w:line="251" w:lineRule="auto"/>
        <w:ind w:right="131" w:firstLine="419"/>
        <w:jc w:val="both"/>
        <w:rPr>
          <w:rFonts w:ascii="宋体" w:eastAsia="宋体" w:hAnsi="宋体" w:cs="宋体"/>
        </w:rPr>
      </w:pPr>
      <w:r>
        <w:rPr>
          <w:rFonts w:ascii="宋体" w:eastAsia="宋体" w:hAnsi="宋体" w:cs="宋体"/>
          <w:spacing w:val="-2"/>
        </w:rPr>
        <w:t>糖尿病病人注意控制碳水化合物、蛋白质和脂肪三大能量营养素的比例，分</w:t>
      </w:r>
      <w:r>
        <w:rPr>
          <w:rFonts w:ascii="宋体" w:eastAsia="宋体" w:hAnsi="宋体" w:cs="宋体"/>
          <w:spacing w:val="3"/>
        </w:rPr>
        <w:t xml:space="preserve"> </w:t>
      </w:r>
      <w:r>
        <w:rPr>
          <w:rFonts w:ascii="宋体" w:eastAsia="宋体" w:hAnsi="宋体" w:cs="宋体"/>
          <w:spacing w:val="19"/>
        </w:rPr>
        <w:t>别占总能量的50%～60%、10%～20%和20%～30%。糖尿病肾病患者蛋白质</w:t>
      </w:r>
      <w:r>
        <w:rPr>
          <w:rFonts w:ascii="宋体" w:eastAsia="宋体" w:hAnsi="宋体" w:cs="宋体"/>
          <w:spacing w:val="2"/>
        </w:rPr>
        <w:t xml:space="preserve"> </w:t>
      </w:r>
      <w:r>
        <w:rPr>
          <w:rFonts w:ascii="宋体" w:eastAsia="宋体" w:hAnsi="宋体" w:cs="宋体"/>
          <w:spacing w:val="4"/>
        </w:rPr>
        <w:t>的摄入量限制在每千克体重0.8g</w:t>
      </w:r>
      <w:r>
        <w:rPr>
          <w:rFonts w:ascii="宋体" w:eastAsia="宋体" w:hAnsi="宋体" w:cs="宋体"/>
          <w:spacing w:val="-23"/>
        </w:rPr>
        <w:t xml:space="preserve"> </w:t>
      </w:r>
      <w:r>
        <w:rPr>
          <w:rFonts w:ascii="宋体" w:eastAsia="宋体" w:hAnsi="宋体" w:cs="宋体"/>
          <w:spacing w:val="4"/>
        </w:rPr>
        <w:t>以内。摄入的脂类中饱和脂肪酸(如猪油、羊</w:t>
      </w:r>
      <w:r>
        <w:rPr>
          <w:rFonts w:ascii="宋体" w:eastAsia="宋体" w:hAnsi="宋体" w:cs="宋体"/>
        </w:rPr>
        <w:t xml:space="preserve"> </w:t>
      </w:r>
      <w:r>
        <w:rPr>
          <w:rFonts w:ascii="宋体" w:eastAsia="宋体" w:hAnsi="宋体" w:cs="宋体"/>
          <w:spacing w:val="9"/>
        </w:rPr>
        <w:t>油、牛油、乳油)应少于10%,多选择富含不饱和脂肪酸的食物。</w:t>
      </w:r>
    </w:p>
    <w:p w:rsidR="00EA40A3" w:rsidRDefault="00E86C16">
      <w:pPr>
        <w:spacing w:before="198" w:line="223" w:lineRule="auto"/>
        <w:rPr>
          <w:rFonts w:ascii="仿宋" w:eastAsia="仿宋" w:hAnsi="仿宋" w:cs="仿宋"/>
          <w:sz w:val="24"/>
          <w:szCs w:val="24"/>
        </w:rPr>
      </w:pPr>
      <w:r>
        <w:rPr>
          <w:rFonts w:ascii="仿宋" w:eastAsia="仿宋" w:hAnsi="仿宋" w:cs="仿宋"/>
          <w:spacing w:val="-3"/>
          <w:sz w:val="24"/>
          <w:szCs w:val="24"/>
        </w:rPr>
        <w:t>2.</w:t>
      </w:r>
      <w:r>
        <w:rPr>
          <w:rFonts w:ascii="仿宋" w:eastAsia="仿宋" w:hAnsi="仿宋" w:cs="仿宋"/>
          <w:spacing w:val="-41"/>
          <w:sz w:val="24"/>
          <w:szCs w:val="24"/>
        </w:rPr>
        <w:t xml:space="preserve"> </w:t>
      </w:r>
      <w:r>
        <w:rPr>
          <w:rFonts w:ascii="仿宋" w:eastAsia="仿宋" w:hAnsi="仿宋" w:cs="仿宋"/>
          <w:spacing w:val="-3"/>
          <w:sz w:val="24"/>
          <w:szCs w:val="24"/>
        </w:rPr>
        <w:t>定时定量进餐或少量多餐</w:t>
      </w:r>
    </w:p>
    <w:p w:rsidR="00EA40A3" w:rsidRDefault="00E86C16">
      <w:pPr>
        <w:spacing w:before="210" w:line="241" w:lineRule="auto"/>
        <w:ind w:right="161" w:firstLine="419"/>
        <w:jc w:val="both"/>
        <w:rPr>
          <w:rFonts w:ascii="宋体" w:eastAsia="宋体" w:hAnsi="宋体" w:cs="宋体"/>
        </w:rPr>
      </w:pPr>
      <w:r>
        <w:rPr>
          <w:rFonts w:ascii="宋体" w:eastAsia="宋体" w:hAnsi="宋体" w:cs="宋体"/>
          <w:spacing w:val="-3"/>
        </w:rPr>
        <w:t>定时定量进餐或少量多餐对糖尿病病人来说是一种很好的饮食习惯，可使血</w:t>
      </w:r>
      <w:r>
        <w:rPr>
          <w:rFonts w:ascii="宋体" w:eastAsia="宋体" w:hAnsi="宋体" w:cs="宋体"/>
          <w:spacing w:val="6"/>
        </w:rPr>
        <w:t xml:space="preserve"> </w:t>
      </w:r>
      <w:r>
        <w:rPr>
          <w:rFonts w:ascii="宋体" w:eastAsia="宋体" w:hAnsi="宋体" w:cs="宋体"/>
          <w:spacing w:val="-8"/>
        </w:rPr>
        <w:t>糖维持在基本正常的水平，即不高也不至于太低。</w:t>
      </w:r>
      <w:r>
        <w:rPr>
          <w:rFonts w:ascii="宋体" w:eastAsia="宋体" w:hAnsi="宋体" w:cs="宋体"/>
          <w:spacing w:val="40"/>
        </w:rPr>
        <w:t xml:space="preserve"> </w:t>
      </w:r>
      <w:r>
        <w:rPr>
          <w:rFonts w:ascii="宋体" w:eastAsia="宋体" w:hAnsi="宋体" w:cs="宋体"/>
          <w:spacing w:val="-8"/>
        </w:rPr>
        <w:t>一般如一</w:t>
      </w:r>
      <w:r>
        <w:rPr>
          <w:rFonts w:ascii="宋体" w:eastAsia="宋体" w:hAnsi="宋体" w:cs="宋体"/>
          <w:spacing w:val="-62"/>
        </w:rPr>
        <w:t xml:space="preserve"> </w:t>
      </w:r>
      <w:r>
        <w:rPr>
          <w:rFonts w:ascii="宋体" w:eastAsia="宋体" w:hAnsi="宋体" w:cs="宋体"/>
          <w:spacing w:val="-8"/>
        </w:rPr>
        <w:t>日三餐的热量安排</w:t>
      </w:r>
      <w:r>
        <w:rPr>
          <w:rFonts w:ascii="宋体" w:eastAsia="宋体" w:hAnsi="宋体" w:cs="宋体"/>
          <w:spacing w:val="-9"/>
        </w:rPr>
        <w:t>可</w:t>
      </w:r>
      <w:r>
        <w:rPr>
          <w:rFonts w:ascii="宋体" w:eastAsia="宋体" w:hAnsi="宋体" w:cs="宋体"/>
        </w:rPr>
        <w:t xml:space="preserve"> </w:t>
      </w:r>
      <w:r>
        <w:rPr>
          <w:rFonts w:ascii="宋体" w:eastAsia="宋体" w:hAnsi="宋体" w:cs="宋体"/>
          <w:spacing w:val="7"/>
        </w:rPr>
        <w:t>以早、午、晚各占1/3,也可以早餐占1/5,午、晚餐各占2/5。</w:t>
      </w:r>
    </w:p>
    <w:p w:rsidR="00EA40A3" w:rsidRDefault="00E86C16">
      <w:pPr>
        <w:spacing w:before="234" w:line="222" w:lineRule="auto"/>
        <w:rPr>
          <w:rFonts w:ascii="仿宋" w:eastAsia="仿宋" w:hAnsi="仿宋" w:cs="仿宋"/>
        </w:rPr>
      </w:pPr>
      <w:r>
        <w:rPr>
          <w:rFonts w:ascii="仿宋" w:eastAsia="仿宋" w:hAnsi="仿宋" w:cs="仿宋"/>
          <w:spacing w:val="11"/>
        </w:rPr>
        <w:t>3.</w:t>
      </w:r>
      <w:r>
        <w:rPr>
          <w:rFonts w:ascii="仿宋" w:eastAsia="仿宋" w:hAnsi="仿宋" w:cs="仿宋"/>
          <w:spacing w:val="47"/>
        </w:rPr>
        <w:t xml:space="preserve"> </w:t>
      </w:r>
      <w:r>
        <w:rPr>
          <w:rFonts w:ascii="仿宋" w:eastAsia="仿宋" w:hAnsi="仿宋" w:cs="仿宋"/>
          <w:spacing w:val="11"/>
        </w:rPr>
        <w:t>高膳食纤维饮食</w:t>
      </w:r>
    </w:p>
    <w:p w:rsidR="00EA40A3" w:rsidRDefault="00E86C16">
      <w:pPr>
        <w:spacing w:before="213" w:line="248" w:lineRule="auto"/>
        <w:ind w:right="145" w:firstLine="419"/>
        <w:jc w:val="both"/>
        <w:rPr>
          <w:rFonts w:ascii="宋体" w:eastAsia="宋体" w:hAnsi="宋体" w:cs="宋体"/>
        </w:rPr>
      </w:pPr>
      <w:r>
        <w:rPr>
          <w:rFonts w:ascii="宋体" w:eastAsia="宋体" w:hAnsi="宋体" w:cs="宋体"/>
          <w:spacing w:val="-3"/>
        </w:rPr>
        <w:t>在饮食中增加膳食纤维的含量，便于维持餐后血糖，而且还有降低体重和通</w:t>
      </w:r>
      <w:r>
        <w:rPr>
          <w:rFonts w:ascii="宋体" w:eastAsia="宋体" w:hAnsi="宋体" w:cs="宋体"/>
          <w:spacing w:val="6"/>
        </w:rPr>
        <w:t xml:space="preserve"> 便的作用。每日饮食中纤维素含量至少40g,</w:t>
      </w:r>
      <w:r>
        <w:rPr>
          <w:rFonts w:ascii="宋体" w:eastAsia="宋体" w:hAnsi="宋体" w:cs="宋体"/>
          <w:spacing w:val="13"/>
        </w:rPr>
        <w:t xml:space="preserve"> </w:t>
      </w:r>
      <w:r>
        <w:rPr>
          <w:rFonts w:ascii="宋体" w:eastAsia="宋体" w:hAnsi="宋体" w:cs="宋体"/>
          <w:spacing w:val="6"/>
        </w:rPr>
        <w:t>少吃精米、精面应粗细粮搭配食</w:t>
      </w:r>
      <w:r>
        <w:rPr>
          <w:rFonts w:ascii="宋体" w:eastAsia="宋体" w:hAnsi="宋体" w:cs="宋体"/>
        </w:rPr>
        <w:t xml:space="preserve"> </w:t>
      </w:r>
      <w:r>
        <w:rPr>
          <w:rFonts w:ascii="宋体" w:eastAsia="宋体" w:hAnsi="宋体" w:cs="宋体"/>
          <w:spacing w:val="-3"/>
        </w:rPr>
        <w:t>用。不过，对于注射胰岛素的病人，给予大量高纤维食物后应及时调整胰岛素剂</w:t>
      </w:r>
      <w:r>
        <w:rPr>
          <w:rFonts w:ascii="宋体" w:eastAsia="宋体" w:hAnsi="宋体" w:cs="宋体"/>
          <w:spacing w:val="16"/>
        </w:rPr>
        <w:t xml:space="preserve"> </w:t>
      </w:r>
      <w:r>
        <w:rPr>
          <w:rFonts w:ascii="宋体" w:eastAsia="宋体" w:hAnsi="宋体" w:cs="宋体"/>
          <w:spacing w:val="-2"/>
        </w:rPr>
        <w:t>量，以免发生低血糖。部分病人进食大量高纤维食物可能引起胃肠</w:t>
      </w:r>
      <w:r>
        <w:rPr>
          <w:rFonts w:ascii="宋体" w:eastAsia="宋体" w:hAnsi="宋体" w:cs="宋体"/>
          <w:spacing w:val="-3"/>
        </w:rPr>
        <w:t>道不适，可由</w:t>
      </w:r>
      <w:r>
        <w:rPr>
          <w:rFonts w:ascii="宋体" w:eastAsia="宋体" w:hAnsi="宋体" w:cs="宋体"/>
        </w:rPr>
        <w:t xml:space="preserve"> </w:t>
      </w:r>
      <w:r>
        <w:rPr>
          <w:rFonts w:ascii="宋体" w:eastAsia="宋体" w:hAnsi="宋体" w:cs="宋体"/>
          <w:spacing w:val="-7"/>
        </w:rPr>
        <w:t>小量开始，逐渐加量。</w:t>
      </w:r>
    </w:p>
    <w:p w:rsidR="00EA40A3" w:rsidRDefault="00E86C16">
      <w:pPr>
        <w:spacing w:before="256" w:line="223" w:lineRule="auto"/>
        <w:rPr>
          <w:rFonts w:ascii="仿宋" w:eastAsia="仿宋" w:hAnsi="仿宋" w:cs="仿宋"/>
        </w:rPr>
      </w:pPr>
      <w:r>
        <w:rPr>
          <w:rFonts w:ascii="仿宋" w:eastAsia="仿宋" w:hAnsi="仿宋" w:cs="仿宋"/>
          <w:spacing w:val="9"/>
        </w:rPr>
        <w:t>4.</w:t>
      </w:r>
      <w:r>
        <w:rPr>
          <w:rFonts w:ascii="仿宋" w:eastAsia="仿宋" w:hAnsi="仿宋" w:cs="仿宋"/>
          <w:spacing w:val="65"/>
        </w:rPr>
        <w:t xml:space="preserve"> </w:t>
      </w:r>
      <w:r>
        <w:rPr>
          <w:rFonts w:ascii="仿宋" w:eastAsia="仿宋" w:hAnsi="仿宋" w:cs="仿宋"/>
          <w:spacing w:val="9"/>
        </w:rPr>
        <w:t>减少钠盐的摄入</w:t>
      </w:r>
    </w:p>
    <w:p w:rsidR="00EA40A3" w:rsidRDefault="00E86C16">
      <w:pPr>
        <w:spacing w:before="215" w:line="234" w:lineRule="auto"/>
        <w:ind w:right="85" w:firstLine="419"/>
        <w:jc w:val="both"/>
        <w:rPr>
          <w:rFonts w:ascii="宋体" w:eastAsia="宋体" w:hAnsi="宋体" w:cs="宋体"/>
        </w:rPr>
      </w:pPr>
      <w:r>
        <w:rPr>
          <w:rFonts w:ascii="宋体" w:eastAsia="宋体" w:hAnsi="宋体" w:cs="宋体"/>
          <w:spacing w:val="-1"/>
        </w:rPr>
        <w:t>Ⅱ型糖尿病患者常有肥胖和高血压，而摄入过量的钠不利于高血压的防治。</w:t>
      </w:r>
      <w:r>
        <w:rPr>
          <w:rFonts w:ascii="宋体" w:eastAsia="宋体" w:hAnsi="宋体" w:cs="宋体"/>
          <w:spacing w:val="16"/>
        </w:rPr>
        <w:t xml:space="preserve"> </w:t>
      </w:r>
      <w:r>
        <w:rPr>
          <w:rFonts w:ascii="宋体" w:eastAsia="宋体" w:hAnsi="宋体" w:cs="宋体"/>
          <w:spacing w:val="-3"/>
        </w:rPr>
        <w:t>为了预防心脑血管并发症的发生，需限制饮食中钠的摄入，食盐应限制少于每天</w:t>
      </w:r>
      <w:r>
        <w:rPr>
          <w:rFonts w:ascii="宋体" w:eastAsia="宋体" w:hAnsi="宋体" w:cs="宋体"/>
          <w:spacing w:val="13"/>
        </w:rPr>
        <w:t xml:space="preserve"> </w:t>
      </w:r>
      <w:r>
        <w:rPr>
          <w:rFonts w:ascii="宋体" w:eastAsia="宋体" w:hAnsi="宋体" w:cs="宋体"/>
          <w:spacing w:val="-11"/>
        </w:rPr>
        <w:t>6g</w:t>
      </w:r>
      <w:r>
        <w:rPr>
          <w:rFonts w:ascii="宋体" w:eastAsia="宋体" w:hAnsi="宋体" w:cs="宋体"/>
          <w:spacing w:val="-43"/>
        </w:rPr>
        <w:t xml:space="preserve"> </w:t>
      </w:r>
      <w:r>
        <w:rPr>
          <w:rFonts w:ascii="宋体" w:eastAsia="宋体" w:hAnsi="宋体" w:cs="宋体"/>
          <w:spacing w:val="-11"/>
        </w:rPr>
        <w:t>以内。</w:t>
      </w:r>
    </w:p>
    <w:p w:rsidR="00EA40A3" w:rsidRDefault="00E86C16">
      <w:pPr>
        <w:spacing w:before="221" w:line="221" w:lineRule="auto"/>
        <w:rPr>
          <w:rFonts w:ascii="仿宋" w:eastAsia="仿宋" w:hAnsi="仿宋" w:cs="仿宋"/>
          <w:sz w:val="24"/>
          <w:szCs w:val="24"/>
        </w:rPr>
      </w:pPr>
      <w:r>
        <w:rPr>
          <w:rFonts w:ascii="仿宋" w:eastAsia="仿宋" w:hAnsi="仿宋" w:cs="仿宋"/>
          <w:spacing w:val="-3"/>
          <w:sz w:val="24"/>
          <w:szCs w:val="24"/>
        </w:rPr>
        <w:t>5.</w:t>
      </w:r>
      <w:r>
        <w:rPr>
          <w:rFonts w:ascii="仿宋" w:eastAsia="仿宋" w:hAnsi="仿宋" w:cs="仿宋"/>
          <w:spacing w:val="-28"/>
          <w:sz w:val="24"/>
          <w:szCs w:val="24"/>
        </w:rPr>
        <w:t xml:space="preserve"> </w:t>
      </w:r>
      <w:r>
        <w:rPr>
          <w:rFonts w:ascii="仿宋" w:eastAsia="仿宋" w:hAnsi="仿宋" w:cs="仿宋"/>
          <w:spacing w:val="-3"/>
          <w:sz w:val="24"/>
          <w:szCs w:val="24"/>
        </w:rPr>
        <w:t>补充各种维生素及微量元素</w:t>
      </w:r>
    </w:p>
    <w:p w:rsidR="00EA40A3" w:rsidRDefault="00E86C16">
      <w:pPr>
        <w:spacing w:before="216" w:line="254" w:lineRule="auto"/>
        <w:ind w:right="84" w:firstLine="419"/>
        <w:jc w:val="both"/>
        <w:rPr>
          <w:rFonts w:ascii="宋体" w:eastAsia="宋体" w:hAnsi="宋体" w:cs="宋体"/>
        </w:rPr>
      </w:pPr>
      <w:r>
        <w:rPr>
          <w:rFonts w:ascii="宋体" w:eastAsia="宋体" w:hAnsi="宋体" w:cs="宋体"/>
          <w:spacing w:val="-1"/>
        </w:rPr>
        <w:t>糖尿病病人和常人一样在选配每天的食物时，还必须摄入足够量的维生素。</w:t>
      </w:r>
      <w:r>
        <w:rPr>
          <w:rFonts w:ascii="宋体" w:eastAsia="宋体" w:hAnsi="宋体" w:cs="宋体"/>
          <w:spacing w:val="17"/>
        </w:rPr>
        <w:t xml:space="preserve"> </w:t>
      </w:r>
      <w:r>
        <w:rPr>
          <w:rFonts w:ascii="宋体" w:eastAsia="宋体" w:hAnsi="宋体" w:cs="宋体"/>
          <w:spacing w:val="-2"/>
        </w:rPr>
        <w:t>对于各种微量元素的补充也逐渐引起人们重视，如</w:t>
      </w:r>
      <w:r>
        <w:rPr>
          <w:rFonts w:ascii="宋体" w:eastAsia="宋体" w:hAnsi="宋体" w:cs="宋体"/>
          <w:spacing w:val="-3"/>
        </w:rPr>
        <w:t>有研究表明，饮食性补镁可增</w:t>
      </w:r>
      <w:r>
        <w:rPr>
          <w:rFonts w:ascii="宋体" w:eastAsia="宋体" w:hAnsi="宋体" w:cs="宋体"/>
        </w:rPr>
        <w:t xml:space="preserve"> </w:t>
      </w:r>
      <w:r>
        <w:rPr>
          <w:rFonts w:ascii="宋体" w:eastAsia="宋体" w:hAnsi="宋体" w:cs="宋体"/>
          <w:spacing w:val="3"/>
        </w:rPr>
        <w:t>加</w:t>
      </w:r>
      <w:r>
        <w:rPr>
          <w:rFonts w:ascii="宋体" w:eastAsia="宋体" w:hAnsi="宋体" w:cs="宋体"/>
          <w:spacing w:val="-41"/>
        </w:rPr>
        <w:t xml:space="preserve"> </w:t>
      </w:r>
      <w:r>
        <w:rPr>
          <w:rFonts w:ascii="宋体" w:eastAsia="宋体" w:hAnsi="宋体" w:cs="宋体"/>
          <w:spacing w:val="3"/>
        </w:rPr>
        <w:t>I</w:t>
      </w:r>
      <w:r>
        <w:rPr>
          <w:rFonts w:ascii="宋体" w:eastAsia="宋体" w:hAnsi="宋体" w:cs="宋体"/>
          <w:spacing w:val="-30"/>
        </w:rPr>
        <w:t xml:space="preserve"> </w:t>
      </w:r>
      <w:r>
        <w:rPr>
          <w:rFonts w:ascii="宋体" w:eastAsia="宋体" w:hAnsi="宋体" w:cs="宋体"/>
          <w:spacing w:val="3"/>
        </w:rPr>
        <w:t>型糖尿病病人B</w:t>
      </w:r>
      <w:r>
        <w:rPr>
          <w:rFonts w:ascii="宋体" w:eastAsia="宋体" w:hAnsi="宋体" w:cs="宋体"/>
          <w:spacing w:val="-17"/>
        </w:rPr>
        <w:t xml:space="preserve"> </w:t>
      </w:r>
      <w:r>
        <w:rPr>
          <w:rFonts w:ascii="宋体" w:eastAsia="宋体" w:hAnsi="宋体" w:cs="宋体"/>
          <w:spacing w:val="3"/>
        </w:rPr>
        <w:t>细胞对葡萄糖和精氨酸的应答，而增加胰岛素的分泌，有</w:t>
      </w:r>
    </w:p>
    <w:p w:rsidR="00EA40A3" w:rsidRDefault="00E86C16">
      <w:pPr>
        <w:spacing w:before="29"/>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376</w:t>
      </w:r>
      <w:r>
        <w:rPr>
          <w:rFonts w:ascii="宋体" w:eastAsia="宋体" w:hAnsi="宋体" w:cs="宋体"/>
          <w:spacing w:val="45"/>
          <w:sz w:val="18"/>
          <w:szCs w:val="18"/>
        </w:rPr>
        <w:t xml:space="preserve"> </w:t>
      </w:r>
      <w:r>
        <w:rPr>
          <w:rFonts w:ascii="宋体" w:eastAsia="宋体" w:hAnsi="宋体" w:cs="宋体"/>
          <w:spacing w:val="-28"/>
          <w:sz w:val="18"/>
          <w:szCs w:val="18"/>
        </w:rPr>
        <w:t>·</w:t>
      </w:r>
    </w:p>
    <w:p w:rsidR="00EA40A3" w:rsidRDefault="00EA40A3">
      <w:pPr>
        <w:sectPr w:rsidR="00EA40A3">
          <w:footerReference w:type="default" r:id="rId301"/>
          <w:pgSz w:w="9220" w:h="13360"/>
          <w:pgMar w:top="400" w:right="1020" w:bottom="400" w:left="780" w:header="0" w:footer="0" w:gutter="0"/>
          <w:cols w:space="720"/>
        </w:sectPr>
      </w:pPr>
    </w:p>
    <w:p w:rsidR="00EA40A3" w:rsidRDefault="00EA40A3">
      <w:pPr>
        <w:spacing w:line="281" w:lineRule="auto"/>
      </w:pPr>
    </w:p>
    <w:p w:rsidR="00EA40A3" w:rsidRDefault="00EA40A3">
      <w:pPr>
        <w:spacing w:line="282" w:lineRule="auto"/>
      </w:pPr>
    </w:p>
    <w:p w:rsidR="00EA40A3" w:rsidRDefault="00E86C16">
      <w:pPr>
        <w:spacing w:before="72" w:line="244" w:lineRule="auto"/>
        <w:rPr>
          <w:rFonts w:ascii="宋体" w:eastAsia="宋体" w:hAnsi="宋体" w:cs="宋体"/>
          <w:sz w:val="22"/>
          <w:szCs w:val="22"/>
        </w:rPr>
      </w:pPr>
      <w:bookmarkStart w:id="93" w:name="_bookmark98"/>
      <w:bookmarkStart w:id="94" w:name="_bookmark97"/>
      <w:bookmarkEnd w:id="93"/>
      <w:bookmarkEnd w:id="94"/>
      <w:r>
        <w:rPr>
          <w:rFonts w:ascii="宋体" w:eastAsia="宋体" w:hAnsi="宋体" w:cs="宋体"/>
          <w:spacing w:val="-10"/>
          <w:sz w:val="22"/>
          <w:szCs w:val="22"/>
        </w:rPr>
        <w:t>助于I</w:t>
      </w:r>
      <w:r>
        <w:rPr>
          <w:rFonts w:ascii="宋体" w:eastAsia="宋体" w:hAnsi="宋体" w:cs="宋体"/>
          <w:spacing w:val="-31"/>
          <w:sz w:val="22"/>
          <w:szCs w:val="22"/>
        </w:rPr>
        <w:t xml:space="preserve"> </w:t>
      </w:r>
      <w:r>
        <w:rPr>
          <w:rFonts w:ascii="宋体" w:eastAsia="宋体" w:hAnsi="宋体" w:cs="宋体"/>
          <w:spacing w:val="-10"/>
          <w:sz w:val="22"/>
          <w:szCs w:val="22"/>
        </w:rPr>
        <w:t>型病人代谢紊乱的改善。此外，还有糖尿病病人容易缺钙、缺铬等研究，</w:t>
      </w:r>
      <w:r>
        <w:rPr>
          <w:rFonts w:ascii="宋体" w:eastAsia="宋体" w:hAnsi="宋体" w:cs="宋体"/>
          <w:sz w:val="22"/>
          <w:szCs w:val="22"/>
        </w:rPr>
        <w:t xml:space="preserve"> </w:t>
      </w:r>
      <w:r>
        <w:rPr>
          <w:rFonts w:ascii="宋体" w:eastAsia="宋体" w:hAnsi="宋体" w:cs="宋体"/>
          <w:spacing w:val="-17"/>
          <w:sz w:val="22"/>
          <w:szCs w:val="22"/>
        </w:rPr>
        <w:t>均揭示糖尿病病人应适当补充各种微量元素。</w:t>
      </w:r>
    </w:p>
    <w:p w:rsidR="00EA40A3" w:rsidRDefault="00E86C16">
      <w:pPr>
        <w:spacing w:before="46" w:line="244" w:lineRule="auto"/>
        <w:ind w:right="60" w:firstLine="420"/>
        <w:jc w:val="both"/>
        <w:rPr>
          <w:rFonts w:ascii="宋体" w:eastAsia="宋体" w:hAnsi="宋体" w:cs="宋体"/>
          <w:sz w:val="22"/>
          <w:szCs w:val="22"/>
        </w:rPr>
      </w:pPr>
      <w:r>
        <w:rPr>
          <w:rFonts w:ascii="宋体" w:eastAsia="宋体" w:hAnsi="宋体" w:cs="宋体"/>
          <w:spacing w:val="-8"/>
          <w:sz w:val="22"/>
          <w:szCs w:val="22"/>
        </w:rPr>
        <w:t>此外，糖尿病患者每日摄入能量低于1</w:t>
      </w:r>
      <w:r>
        <w:rPr>
          <w:rFonts w:ascii="宋体" w:eastAsia="宋体" w:hAnsi="宋体" w:cs="宋体"/>
          <w:spacing w:val="-9"/>
          <w:sz w:val="22"/>
          <w:szCs w:val="22"/>
        </w:rPr>
        <w:t>200</w:t>
      </w:r>
      <w:r>
        <w:rPr>
          <w:rFonts w:ascii="宋体" w:eastAsia="宋体" w:hAnsi="宋体" w:cs="宋体"/>
          <w:spacing w:val="-8"/>
          <w:sz w:val="22"/>
          <w:szCs w:val="22"/>
        </w:rPr>
        <w:t>kcal</w:t>
      </w:r>
      <w:r>
        <w:rPr>
          <w:rFonts w:ascii="宋体" w:eastAsia="宋体" w:hAnsi="宋体" w:cs="宋体"/>
          <w:spacing w:val="-9"/>
          <w:sz w:val="22"/>
          <w:szCs w:val="22"/>
        </w:rPr>
        <w:t>,不摄入动物性食物，血糖控</w:t>
      </w:r>
      <w:r>
        <w:rPr>
          <w:rFonts w:ascii="宋体" w:eastAsia="宋体" w:hAnsi="宋体" w:cs="宋体"/>
          <w:sz w:val="22"/>
          <w:szCs w:val="22"/>
        </w:rPr>
        <w:t xml:space="preserve"> </w:t>
      </w:r>
      <w:r>
        <w:rPr>
          <w:rFonts w:ascii="宋体" w:eastAsia="宋体" w:hAnsi="宋体" w:cs="宋体"/>
          <w:spacing w:val="-13"/>
          <w:sz w:val="22"/>
          <w:szCs w:val="22"/>
        </w:rPr>
        <w:t>制不佳等时，可引起维生素及微量元素缺乏，应适当补充。糖尿</w:t>
      </w:r>
      <w:r>
        <w:rPr>
          <w:rFonts w:ascii="宋体" w:eastAsia="宋体" w:hAnsi="宋体" w:cs="宋体"/>
          <w:spacing w:val="-14"/>
          <w:sz w:val="22"/>
          <w:szCs w:val="22"/>
        </w:rPr>
        <w:t>病患者的饮食计</w:t>
      </w:r>
      <w:r>
        <w:rPr>
          <w:rFonts w:ascii="宋体" w:eastAsia="宋体" w:hAnsi="宋体" w:cs="宋体"/>
          <w:sz w:val="22"/>
          <w:szCs w:val="22"/>
        </w:rPr>
        <w:t xml:space="preserve"> </w:t>
      </w:r>
      <w:r>
        <w:rPr>
          <w:rFonts w:ascii="宋体" w:eastAsia="宋体" w:hAnsi="宋体" w:cs="宋体"/>
          <w:spacing w:val="-13"/>
          <w:sz w:val="22"/>
          <w:szCs w:val="22"/>
        </w:rPr>
        <w:t>划要注意营养平衡，其原则是以植物性食品为主，动物性食品为辅，多吃绿色蔬</w:t>
      </w:r>
      <w:r>
        <w:rPr>
          <w:rFonts w:ascii="宋体" w:eastAsia="宋体" w:hAnsi="宋体" w:cs="宋体"/>
          <w:spacing w:val="12"/>
          <w:sz w:val="22"/>
          <w:szCs w:val="22"/>
        </w:rPr>
        <w:t xml:space="preserve"> </w:t>
      </w:r>
      <w:r>
        <w:rPr>
          <w:rFonts w:ascii="宋体" w:eastAsia="宋体" w:hAnsi="宋体" w:cs="宋体"/>
          <w:spacing w:val="-16"/>
          <w:sz w:val="22"/>
          <w:szCs w:val="22"/>
        </w:rPr>
        <w:t>菜及高纤维素食品，不吃甜食。</w:t>
      </w:r>
    </w:p>
    <w:p w:rsidR="00EA40A3" w:rsidRDefault="00E86C16">
      <w:pPr>
        <w:spacing w:before="268" w:line="223" w:lineRule="auto"/>
        <w:rPr>
          <w:rFonts w:ascii="仿宋" w:eastAsia="仿宋" w:hAnsi="仿宋" w:cs="仿宋"/>
          <w:sz w:val="22"/>
          <w:szCs w:val="22"/>
        </w:rPr>
      </w:pPr>
      <w:r>
        <w:rPr>
          <w:rFonts w:ascii="仿宋" w:eastAsia="仿宋" w:hAnsi="仿宋" w:cs="仿宋"/>
          <w:spacing w:val="7"/>
          <w:sz w:val="22"/>
          <w:szCs w:val="22"/>
        </w:rPr>
        <w:t>6.</w:t>
      </w:r>
      <w:r>
        <w:rPr>
          <w:rFonts w:ascii="仿宋" w:eastAsia="仿宋" w:hAnsi="仿宋" w:cs="仿宋"/>
          <w:spacing w:val="-11"/>
          <w:sz w:val="22"/>
          <w:szCs w:val="22"/>
        </w:rPr>
        <w:t xml:space="preserve"> </w:t>
      </w:r>
      <w:r>
        <w:rPr>
          <w:rFonts w:ascii="仿宋" w:eastAsia="仿宋" w:hAnsi="仿宋" w:cs="仿宋"/>
          <w:spacing w:val="7"/>
          <w:sz w:val="22"/>
          <w:szCs w:val="22"/>
        </w:rPr>
        <w:t>良好的生活习惯</w:t>
      </w:r>
    </w:p>
    <w:p w:rsidR="00EA40A3" w:rsidRDefault="00E86C16">
      <w:pPr>
        <w:spacing w:before="226" w:line="243" w:lineRule="auto"/>
        <w:ind w:right="44" w:firstLine="420"/>
        <w:jc w:val="both"/>
        <w:rPr>
          <w:rFonts w:ascii="宋体" w:eastAsia="宋体" w:hAnsi="宋体" w:cs="宋体"/>
          <w:sz w:val="22"/>
          <w:szCs w:val="22"/>
        </w:rPr>
      </w:pPr>
      <w:r>
        <w:rPr>
          <w:rFonts w:ascii="宋体" w:eastAsia="宋体" w:hAnsi="宋体" w:cs="宋体"/>
          <w:spacing w:val="-6"/>
          <w:sz w:val="22"/>
          <w:szCs w:val="22"/>
        </w:rPr>
        <w:t>除注意膳食营养外，少饮酒，不吸烟对糖尿病患者来说是非常重要的。另</w:t>
      </w:r>
      <w:r>
        <w:rPr>
          <w:rFonts w:ascii="宋体" w:eastAsia="宋体" w:hAnsi="宋体" w:cs="宋体"/>
          <w:spacing w:val="6"/>
          <w:sz w:val="22"/>
          <w:szCs w:val="22"/>
        </w:rPr>
        <w:t xml:space="preserve"> </w:t>
      </w:r>
      <w:r>
        <w:rPr>
          <w:rFonts w:ascii="宋体" w:eastAsia="宋体" w:hAnsi="宋体" w:cs="宋体"/>
          <w:spacing w:val="-13"/>
          <w:sz w:val="22"/>
          <w:szCs w:val="22"/>
        </w:rPr>
        <w:t>外，锻炼也影响骨骼肌肉葡萄糖转运载体的调节，增加与胰岛素无关的转运载体</w:t>
      </w:r>
      <w:r>
        <w:rPr>
          <w:rFonts w:ascii="宋体" w:eastAsia="宋体" w:hAnsi="宋体" w:cs="宋体"/>
          <w:spacing w:val="13"/>
          <w:sz w:val="22"/>
          <w:szCs w:val="22"/>
        </w:rPr>
        <w:t xml:space="preserve"> </w:t>
      </w:r>
      <w:r>
        <w:rPr>
          <w:rFonts w:ascii="宋体" w:eastAsia="宋体" w:hAnsi="宋体" w:cs="宋体"/>
          <w:spacing w:val="-13"/>
          <w:sz w:val="22"/>
          <w:szCs w:val="22"/>
        </w:rPr>
        <w:t>的数量；锻炼还能使肌肉在不需要胰岛素与其受体结合的情况下</w:t>
      </w:r>
      <w:r>
        <w:rPr>
          <w:rFonts w:ascii="宋体" w:eastAsia="宋体" w:hAnsi="宋体" w:cs="宋体"/>
          <w:spacing w:val="-14"/>
          <w:sz w:val="22"/>
          <w:szCs w:val="22"/>
        </w:rPr>
        <w:t>利用葡萄糖，可</w:t>
      </w:r>
      <w:r>
        <w:rPr>
          <w:rFonts w:ascii="宋体" w:eastAsia="宋体" w:hAnsi="宋体" w:cs="宋体"/>
          <w:sz w:val="22"/>
          <w:szCs w:val="22"/>
        </w:rPr>
        <w:t xml:space="preserve"> </w:t>
      </w:r>
      <w:r>
        <w:rPr>
          <w:rFonts w:ascii="宋体" w:eastAsia="宋体" w:hAnsi="宋体" w:cs="宋体"/>
          <w:spacing w:val="-15"/>
          <w:sz w:val="22"/>
          <w:szCs w:val="22"/>
        </w:rPr>
        <w:t>减少机体对胰岛素需求。</w:t>
      </w:r>
    </w:p>
    <w:p w:rsidR="00EA40A3" w:rsidRDefault="00EA40A3">
      <w:pPr>
        <w:spacing w:line="310" w:lineRule="auto"/>
      </w:pPr>
    </w:p>
    <w:p w:rsidR="00EA40A3" w:rsidRDefault="00E86C16">
      <w:pPr>
        <w:spacing w:before="91" w:line="219" w:lineRule="auto"/>
        <w:ind w:left="2050"/>
        <w:rPr>
          <w:rFonts w:ascii="宋体" w:eastAsia="宋体" w:hAnsi="宋体" w:cs="宋体"/>
          <w:sz w:val="28"/>
          <w:szCs w:val="28"/>
        </w:rPr>
      </w:pPr>
      <w:r>
        <w:rPr>
          <w:rFonts w:ascii="宋体" w:eastAsia="宋体" w:hAnsi="宋体" w:cs="宋体"/>
          <w:spacing w:val="-4"/>
          <w:sz w:val="28"/>
          <w:szCs w:val="28"/>
        </w:rPr>
        <w:t>11.8</w:t>
      </w:r>
      <w:r>
        <w:rPr>
          <w:rFonts w:ascii="宋体" w:eastAsia="宋体" w:hAnsi="宋体" w:cs="宋体"/>
          <w:spacing w:val="121"/>
          <w:sz w:val="28"/>
          <w:szCs w:val="28"/>
        </w:rPr>
        <w:t xml:space="preserve"> </w:t>
      </w:r>
      <w:r>
        <w:rPr>
          <w:rFonts w:ascii="宋体" w:eastAsia="宋体" w:hAnsi="宋体" w:cs="宋体"/>
          <w:spacing w:val="-4"/>
          <w:sz w:val="28"/>
          <w:szCs w:val="28"/>
        </w:rPr>
        <w:t>膳食营养与基因表达</w:t>
      </w:r>
    </w:p>
    <w:p w:rsidR="00EA40A3" w:rsidRDefault="00EA40A3">
      <w:pPr>
        <w:spacing w:line="271" w:lineRule="auto"/>
      </w:pPr>
    </w:p>
    <w:p w:rsidR="00EA40A3" w:rsidRDefault="00E86C16">
      <w:pPr>
        <w:spacing w:before="71" w:line="247" w:lineRule="auto"/>
        <w:ind w:right="42" w:firstLine="420"/>
        <w:jc w:val="both"/>
        <w:rPr>
          <w:rFonts w:ascii="宋体" w:eastAsia="宋体" w:hAnsi="宋体" w:cs="宋体"/>
          <w:sz w:val="22"/>
          <w:szCs w:val="22"/>
        </w:rPr>
      </w:pPr>
      <w:r>
        <w:rPr>
          <w:rFonts w:ascii="宋体" w:eastAsia="宋体" w:hAnsi="宋体" w:cs="宋体"/>
          <w:spacing w:val="-13"/>
          <w:sz w:val="22"/>
          <w:szCs w:val="22"/>
        </w:rPr>
        <w:t>分子营养学是在分子水平研究营养与基因表达间的相互关系，阐明营养素或</w:t>
      </w:r>
      <w:r>
        <w:rPr>
          <w:rFonts w:ascii="宋体" w:eastAsia="宋体" w:hAnsi="宋体" w:cs="宋体"/>
          <w:spacing w:val="7"/>
          <w:sz w:val="22"/>
          <w:szCs w:val="22"/>
        </w:rPr>
        <w:t xml:space="preserve"> </w:t>
      </w:r>
      <w:r>
        <w:rPr>
          <w:rFonts w:ascii="宋体" w:eastAsia="宋体" w:hAnsi="宋体" w:cs="宋体"/>
          <w:spacing w:val="-13"/>
          <w:sz w:val="22"/>
          <w:szCs w:val="22"/>
        </w:rPr>
        <w:t>功能因子对人体生理机能的调控机理的科学。分子营养学一方面研究营养素对基</w:t>
      </w:r>
      <w:r>
        <w:rPr>
          <w:rFonts w:ascii="宋体" w:eastAsia="宋体" w:hAnsi="宋体" w:cs="宋体"/>
          <w:spacing w:val="12"/>
          <w:sz w:val="22"/>
          <w:szCs w:val="22"/>
        </w:rPr>
        <w:t xml:space="preserve"> </w:t>
      </w:r>
      <w:r>
        <w:rPr>
          <w:rFonts w:ascii="宋体" w:eastAsia="宋体" w:hAnsi="宋体" w:cs="宋体"/>
          <w:spacing w:val="-13"/>
          <w:sz w:val="22"/>
          <w:szCs w:val="22"/>
        </w:rPr>
        <w:t>因表达的调控作用，从而对营养素的生理功能进行更全面、更深入的认</w:t>
      </w:r>
      <w:r>
        <w:rPr>
          <w:rFonts w:ascii="宋体" w:eastAsia="宋体" w:hAnsi="宋体" w:cs="宋体"/>
          <w:spacing w:val="-14"/>
          <w:sz w:val="22"/>
          <w:szCs w:val="22"/>
        </w:rPr>
        <w:t>识；另一</w:t>
      </w:r>
      <w:r>
        <w:rPr>
          <w:rFonts w:ascii="宋体" w:eastAsia="宋体" w:hAnsi="宋体" w:cs="宋体"/>
          <w:sz w:val="22"/>
          <w:szCs w:val="22"/>
        </w:rPr>
        <w:t xml:space="preserve"> </w:t>
      </w:r>
      <w:r>
        <w:rPr>
          <w:rFonts w:ascii="宋体" w:eastAsia="宋体" w:hAnsi="宋体" w:cs="宋体"/>
          <w:spacing w:val="-13"/>
          <w:sz w:val="22"/>
          <w:szCs w:val="22"/>
        </w:rPr>
        <w:t>方面研究遗传因素对营养素消化、吸收、分布、代谢和排泄的影响，通</w:t>
      </w:r>
      <w:r>
        <w:rPr>
          <w:rFonts w:ascii="宋体" w:eastAsia="宋体" w:hAnsi="宋体" w:cs="宋体"/>
          <w:spacing w:val="-14"/>
          <w:sz w:val="22"/>
          <w:szCs w:val="22"/>
        </w:rPr>
        <w:t>过研究二</w:t>
      </w:r>
      <w:r>
        <w:rPr>
          <w:rFonts w:ascii="宋体" w:eastAsia="宋体" w:hAnsi="宋体" w:cs="宋体"/>
          <w:sz w:val="22"/>
          <w:szCs w:val="22"/>
        </w:rPr>
        <w:t xml:space="preserve"> </w:t>
      </w:r>
      <w:r>
        <w:rPr>
          <w:rFonts w:ascii="宋体" w:eastAsia="宋体" w:hAnsi="宋体" w:cs="宋体"/>
          <w:spacing w:val="-9"/>
          <w:sz w:val="22"/>
          <w:szCs w:val="22"/>
        </w:rPr>
        <w:t>者相互作用对生物体表型特征(如营养充足、</w:t>
      </w:r>
      <w:r>
        <w:rPr>
          <w:rFonts w:ascii="宋体" w:eastAsia="宋体" w:hAnsi="宋体" w:cs="宋体"/>
          <w:spacing w:val="-10"/>
          <w:sz w:val="22"/>
          <w:szCs w:val="22"/>
        </w:rPr>
        <w:t>营养缺乏、营养相关疾病、先天代</w:t>
      </w:r>
      <w:r>
        <w:rPr>
          <w:rFonts w:ascii="宋体" w:eastAsia="宋体" w:hAnsi="宋体" w:cs="宋体"/>
          <w:sz w:val="22"/>
          <w:szCs w:val="22"/>
        </w:rPr>
        <w:t xml:space="preserve"> </w:t>
      </w:r>
      <w:r>
        <w:rPr>
          <w:rFonts w:ascii="宋体" w:eastAsia="宋体" w:hAnsi="宋体" w:cs="宋体"/>
          <w:spacing w:val="-9"/>
          <w:sz w:val="22"/>
          <w:szCs w:val="22"/>
        </w:rPr>
        <w:t>谢性缺陷)影响的规律，从而针对不同基因型及其变异、营养素对基因表达的特</w:t>
      </w:r>
      <w:r>
        <w:rPr>
          <w:rFonts w:ascii="宋体" w:eastAsia="宋体" w:hAnsi="宋体" w:cs="宋体"/>
          <w:spacing w:val="1"/>
          <w:sz w:val="22"/>
          <w:szCs w:val="22"/>
        </w:rPr>
        <w:t xml:space="preserve"> </w:t>
      </w:r>
      <w:r>
        <w:rPr>
          <w:rFonts w:ascii="宋体" w:eastAsia="宋体" w:hAnsi="宋体" w:cs="宋体"/>
          <w:spacing w:val="-14"/>
          <w:sz w:val="22"/>
          <w:szCs w:val="22"/>
        </w:rPr>
        <w:t>异调节制定出营养素需要量和供给量标准。</w:t>
      </w:r>
    </w:p>
    <w:p w:rsidR="00EA40A3" w:rsidRDefault="00E86C16">
      <w:pPr>
        <w:spacing w:before="275" w:line="221" w:lineRule="auto"/>
        <w:ind w:left="3"/>
        <w:outlineLvl w:val="6"/>
        <w:rPr>
          <w:rFonts w:ascii="黑体" w:eastAsia="黑体" w:hAnsi="黑体" w:cs="黑体"/>
          <w:sz w:val="22"/>
          <w:szCs w:val="22"/>
        </w:rPr>
      </w:pPr>
      <w:r>
        <w:rPr>
          <w:rFonts w:ascii="黑体" w:eastAsia="黑体" w:hAnsi="黑体" w:cs="黑体"/>
          <w:b/>
          <w:bCs/>
          <w:spacing w:val="7"/>
          <w:sz w:val="22"/>
          <w:szCs w:val="22"/>
        </w:rPr>
        <w:t>11.8.1</w:t>
      </w:r>
      <w:r>
        <w:rPr>
          <w:rFonts w:ascii="黑体" w:eastAsia="黑体" w:hAnsi="黑体" w:cs="黑体"/>
          <w:spacing w:val="46"/>
          <w:sz w:val="22"/>
          <w:szCs w:val="22"/>
        </w:rPr>
        <w:t xml:space="preserve">  </w:t>
      </w:r>
      <w:r>
        <w:rPr>
          <w:rFonts w:ascii="黑体" w:eastAsia="黑体" w:hAnsi="黑体" w:cs="黑体"/>
          <w:b/>
          <w:bCs/>
          <w:spacing w:val="7"/>
          <w:sz w:val="22"/>
          <w:szCs w:val="22"/>
        </w:rPr>
        <w:t>营养素对基因表达的调控</w:t>
      </w:r>
    </w:p>
    <w:p w:rsidR="00EA40A3" w:rsidRDefault="00E86C16">
      <w:pPr>
        <w:spacing w:before="250" w:line="248" w:lineRule="auto"/>
        <w:ind w:right="57" w:firstLine="420"/>
        <w:jc w:val="both"/>
        <w:rPr>
          <w:rFonts w:ascii="宋体" w:eastAsia="宋体" w:hAnsi="宋体" w:cs="宋体"/>
          <w:sz w:val="22"/>
          <w:szCs w:val="22"/>
        </w:rPr>
      </w:pPr>
      <w:r>
        <w:rPr>
          <w:rFonts w:ascii="宋体" w:eastAsia="宋体" w:hAnsi="宋体" w:cs="宋体"/>
          <w:spacing w:val="-13"/>
          <w:sz w:val="22"/>
          <w:szCs w:val="22"/>
        </w:rPr>
        <w:t>几乎所有的营养素对基因的表达都有调节作用，它</w:t>
      </w:r>
      <w:r>
        <w:rPr>
          <w:rFonts w:ascii="宋体" w:eastAsia="宋体" w:hAnsi="宋体" w:cs="宋体"/>
          <w:spacing w:val="-14"/>
          <w:sz w:val="22"/>
          <w:szCs w:val="22"/>
        </w:rPr>
        <w:t>们直接或作为辅助因子催</w:t>
      </w:r>
      <w:r>
        <w:rPr>
          <w:rFonts w:ascii="宋体" w:eastAsia="宋体" w:hAnsi="宋体" w:cs="宋体"/>
          <w:sz w:val="22"/>
          <w:szCs w:val="22"/>
        </w:rPr>
        <w:t xml:space="preserve"> </w:t>
      </w:r>
      <w:r>
        <w:rPr>
          <w:rFonts w:ascii="宋体" w:eastAsia="宋体" w:hAnsi="宋体" w:cs="宋体"/>
          <w:spacing w:val="-6"/>
          <w:sz w:val="22"/>
          <w:szCs w:val="22"/>
        </w:rPr>
        <w:t>化体内的反应，构成大分子的底物，还可以作</w:t>
      </w:r>
      <w:r>
        <w:rPr>
          <w:rFonts w:ascii="宋体" w:eastAsia="宋体" w:hAnsi="宋体" w:cs="宋体"/>
          <w:spacing w:val="-7"/>
          <w:sz w:val="22"/>
          <w:szCs w:val="22"/>
        </w:rPr>
        <w:t>为信号分子或者改变大分子的结</w:t>
      </w:r>
      <w:r>
        <w:rPr>
          <w:rFonts w:ascii="宋体" w:eastAsia="宋体" w:hAnsi="宋体" w:cs="宋体"/>
          <w:sz w:val="22"/>
          <w:szCs w:val="22"/>
        </w:rPr>
        <w:t xml:space="preserve"> </w:t>
      </w:r>
      <w:r>
        <w:rPr>
          <w:rFonts w:ascii="宋体" w:eastAsia="宋体" w:hAnsi="宋体" w:cs="宋体"/>
          <w:spacing w:val="-13"/>
          <w:sz w:val="22"/>
          <w:szCs w:val="22"/>
        </w:rPr>
        <w:t>构，所有这些作用都可以导致特定基因转录和翻译上的变化。营养素对基因表达</w:t>
      </w:r>
      <w:r>
        <w:rPr>
          <w:rFonts w:ascii="宋体" w:eastAsia="宋体" w:hAnsi="宋体" w:cs="宋体"/>
          <w:spacing w:val="12"/>
          <w:sz w:val="22"/>
          <w:szCs w:val="22"/>
        </w:rPr>
        <w:t xml:space="preserve"> </w:t>
      </w:r>
      <w:r>
        <w:rPr>
          <w:rFonts w:ascii="宋体" w:eastAsia="宋体" w:hAnsi="宋体" w:cs="宋体"/>
          <w:spacing w:val="-22"/>
          <w:sz w:val="22"/>
          <w:szCs w:val="22"/>
        </w:rPr>
        <w:t>发生作用时有以下特点：</w:t>
      </w:r>
      <w:r>
        <w:rPr>
          <w:rFonts w:ascii="宋体" w:eastAsia="宋体" w:hAnsi="宋体" w:cs="宋体"/>
          <w:spacing w:val="54"/>
          <w:sz w:val="22"/>
          <w:szCs w:val="22"/>
        </w:rPr>
        <w:t xml:space="preserve"> </w:t>
      </w:r>
      <w:r>
        <w:rPr>
          <w:rFonts w:ascii="宋体" w:eastAsia="宋体" w:hAnsi="宋体" w:cs="宋体"/>
          <w:spacing w:val="-22"/>
          <w:sz w:val="22"/>
          <w:szCs w:val="22"/>
        </w:rPr>
        <w:t>一种营养素可调节多种基因的表达；</w:t>
      </w:r>
      <w:r>
        <w:rPr>
          <w:rFonts w:ascii="宋体" w:eastAsia="宋体" w:hAnsi="宋体" w:cs="宋体"/>
          <w:spacing w:val="53"/>
          <w:sz w:val="22"/>
          <w:szCs w:val="22"/>
        </w:rPr>
        <w:t xml:space="preserve"> </w:t>
      </w:r>
      <w:r>
        <w:rPr>
          <w:rFonts w:ascii="宋体" w:eastAsia="宋体" w:hAnsi="宋体" w:cs="宋体"/>
          <w:spacing w:val="-22"/>
          <w:sz w:val="22"/>
          <w:szCs w:val="22"/>
        </w:rPr>
        <w:t>一种基因表达又受</w:t>
      </w:r>
      <w:r>
        <w:rPr>
          <w:rFonts w:ascii="宋体" w:eastAsia="宋体" w:hAnsi="宋体" w:cs="宋体"/>
          <w:sz w:val="22"/>
          <w:szCs w:val="22"/>
        </w:rPr>
        <w:t xml:space="preserve"> </w:t>
      </w:r>
      <w:r>
        <w:rPr>
          <w:rFonts w:ascii="宋体" w:eastAsia="宋体" w:hAnsi="宋体" w:cs="宋体"/>
          <w:spacing w:val="-17"/>
          <w:sz w:val="22"/>
          <w:szCs w:val="22"/>
        </w:rPr>
        <w:t>多种营养素的调节；</w:t>
      </w:r>
      <w:r>
        <w:rPr>
          <w:rFonts w:ascii="宋体" w:eastAsia="宋体" w:hAnsi="宋体" w:cs="宋体"/>
          <w:spacing w:val="54"/>
          <w:sz w:val="22"/>
          <w:szCs w:val="22"/>
        </w:rPr>
        <w:t xml:space="preserve"> </w:t>
      </w:r>
      <w:r>
        <w:rPr>
          <w:rFonts w:ascii="宋体" w:eastAsia="宋体" w:hAnsi="宋体" w:cs="宋体"/>
          <w:spacing w:val="-17"/>
          <w:sz w:val="22"/>
          <w:szCs w:val="22"/>
        </w:rPr>
        <w:t>一种营养素不仅可对其本身代谢途径所</w:t>
      </w:r>
      <w:r>
        <w:rPr>
          <w:rFonts w:ascii="宋体" w:eastAsia="宋体" w:hAnsi="宋体" w:cs="宋体"/>
          <w:spacing w:val="-18"/>
          <w:sz w:val="22"/>
          <w:szCs w:val="22"/>
        </w:rPr>
        <w:t>涉及的基因表达进行</w:t>
      </w:r>
      <w:r>
        <w:rPr>
          <w:rFonts w:ascii="宋体" w:eastAsia="宋体" w:hAnsi="宋体" w:cs="宋体"/>
          <w:sz w:val="22"/>
          <w:szCs w:val="22"/>
        </w:rPr>
        <w:t xml:space="preserve"> </w:t>
      </w:r>
      <w:r>
        <w:rPr>
          <w:rFonts w:ascii="宋体" w:eastAsia="宋体" w:hAnsi="宋体" w:cs="宋体"/>
          <w:spacing w:val="-13"/>
          <w:sz w:val="22"/>
          <w:szCs w:val="22"/>
        </w:rPr>
        <w:t>调节，还可影响其他营养素代谢途径所涉及的基因表达；营养素不仅可影响细胞</w:t>
      </w:r>
      <w:r>
        <w:rPr>
          <w:rFonts w:ascii="宋体" w:eastAsia="宋体" w:hAnsi="宋体" w:cs="宋体"/>
          <w:spacing w:val="12"/>
          <w:sz w:val="22"/>
          <w:szCs w:val="22"/>
        </w:rPr>
        <w:t xml:space="preserve"> </w:t>
      </w:r>
      <w:r>
        <w:rPr>
          <w:rFonts w:ascii="宋体" w:eastAsia="宋体" w:hAnsi="宋体" w:cs="宋体"/>
          <w:spacing w:val="-13"/>
          <w:sz w:val="22"/>
          <w:szCs w:val="22"/>
        </w:rPr>
        <w:t>增殖、分化及机体生长发育相关基因表达，而且还可对致病基因的表达产生重要</w:t>
      </w:r>
      <w:r>
        <w:rPr>
          <w:rFonts w:ascii="宋体" w:eastAsia="宋体" w:hAnsi="宋体" w:cs="宋体"/>
          <w:spacing w:val="14"/>
          <w:sz w:val="22"/>
          <w:szCs w:val="22"/>
        </w:rPr>
        <w:t xml:space="preserve"> </w:t>
      </w:r>
      <w:r>
        <w:rPr>
          <w:rFonts w:ascii="宋体" w:eastAsia="宋体" w:hAnsi="宋体" w:cs="宋体"/>
          <w:spacing w:val="-17"/>
          <w:sz w:val="22"/>
          <w:szCs w:val="22"/>
        </w:rPr>
        <w:t>的调节作用。</w:t>
      </w:r>
    </w:p>
    <w:p w:rsidR="00EA40A3" w:rsidRDefault="00E86C16">
      <w:pPr>
        <w:spacing w:before="117" w:line="241" w:lineRule="auto"/>
        <w:ind w:right="44" w:firstLine="420"/>
        <w:jc w:val="both"/>
        <w:rPr>
          <w:rFonts w:ascii="宋体" w:eastAsia="宋体" w:hAnsi="宋体" w:cs="宋体"/>
          <w:sz w:val="22"/>
          <w:szCs w:val="22"/>
        </w:rPr>
      </w:pPr>
      <w:r>
        <w:rPr>
          <w:rFonts w:ascii="宋体" w:eastAsia="宋体" w:hAnsi="宋体" w:cs="宋体"/>
          <w:spacing w:val="-12"/>
          <w:sz w:val="22"/>
          <w:szCs w:val="22"/>
        </w:rPr>
        <w:t>营养素对基因表达的调控途径可以分为直接作用和间接</w:t>
      </w:r>
      <w:r>
        <w:rPr>
          <w:rFonts w:ascii="宋体" w:eastAsia="宋体" w:hAnsi="宋体" w:cs="宋体"/>
          <w:spacing w:val="-13"/>
          <w:sz w:val="22"/>
          <w:szCs w:val="22"/>
        </w:rPr>
        <w:t>作用两种。直接作用</w:t>
      </w:r>
      <w:r>
        <w:rPr>
          <w:rFonts w:ascii="宋体" w:eastAsia="宋体" w:hAnsi="宋体" w:cs="宋体"/>
          <w:sz w:val="22"/>
          <w:szCs w:val="22"/>
        </w:rPr>
        <w:t xml:space="preserve"> </w:t>
      </w:r>
      <w:r>
        <w:rPr>
          <w:rFonts w:ascii="宋体" w:eastAsia="宋体" w:hAnsi="宋体" w:cs="宋体"/>
          <w:spacing w:val="-13"/>
          <w:sz w:val="22"/>
          <w:szCs w:val="22"/>
        </w:rPr>
        <w:t>即营养素本身或其代谢产物可作为信号分子，作用于细胞表面受体或直接作用于</w:t>
      </w:r>
      <w:r>
        <w:rPr>
          <w:rFonts w:ascii="宋体" w:eastAsia="宋体" w:hAnsi="宋体" w:cs="宋体"/>
          <w:spacing w:val="16"/>
          <w:sz w:val="22"/>
          <w:szCs w:val="22"/>
        </w:rPr>
        <w:t xml:space="preserve"> </w:t>
      </w:r>
      <w:r>
        <w:rPr>
          <w:rFonts w:ascii="宋体" w:eastAsia="宋体" w:hAnsi="宋体" w:cs="宋体"/>
          <w:spacing w:val="-7"/>
          <w:sz w:val="22"/>
          <w:szCs w:val="22"/>
        </w:rPr>
        <w:t>细胞内受体，从而改变转录速度和特定mRNA</w:t>
      </w:r>
      <w:r>
        <w:rPr>
          <w:rFonts w:ascii="宋体" w:eastAsia="宋体" w:hAnsi="宋体" w:cs="宋体"/>
          <w:spacing w:val="21"/>
          <w:sz w:val="22"/>
          <w:szCs w:val="22"/>
        </w:rPr>
        <w:t xml:space="preserve">  </w:t>
      </w:r>
      <w:r>
        <w:rPr>
          <w:rFonts w:ascii="宋体" w:eastAsia="宋体" w:hAnsi="宋体" w:cs="宋体"/>
          <w:spacing w:val="-7"/>
          <w:sz w:val="22"/>
          <w:szCs w:val="22"/>
        </w:rPr>
        <w:t>的浓度。间接作用是通</w:t>
      </w:r>
      <w:r>
        <w:rPr>
          <w:rFonts w:ascii="宋体" w:eastAsia="宋体" w:hAnsi="宋体" w:cs="宋体"/>
          <w:spacing w:val="-8"/>
          <w:sz w:val="22"/>
          <w:szCs w:val="22"/>
        </w:rPr>
        <w:t>过次级调</w:t>
      </w:r>
    </w:p>
    <w:p w:rsidR="00EA40A3" w:rsidRDefault="00EA40A3">
      <w:pPr>
        <w:sectPr w:rsidR="00EA40A3">
          <w:footerReference w:type="default" r:id="rId302"/>
          <w:pgSz w:w="9220" w:h="13360"/>
          <w:pgMar w:top="400" w:right="959" w:bottom="1226" w:left="939" w:header="0" w:footer="1005" w:gutter="0"/>
          <w:cols w:space="720"/>
        </w:sectPr>
      </w:pPr>
    </w:p>
    <w:p w:rsidR="00EA40A3" w:rsidRDefault="00EA40A3">
      <w:pPr>
        <w:spacing w:line="288" w:lineRule="auto"/>
      </w:pPr>
    </w:p>
    <w:p w:rsidR="00EA40A3" w:rsidRDefault="00EA40A3">
      <w:pPr>
        <w:spacing w:line="288" w:lineRule="auto"/>
      </w:pPr>
    </w:p>
    <w:p w:rsidR="00EA40A3" w:rsidRDefault="00E86C16">
      <w:pPr>
        <w:spacing w:before="68" w:line="249" w:lineRule="auto"/>
        <w:jc w:val="both"/>
        <w:rPr>
          <w:rFonts w:ascii="宋体" w:eastAsia="宋体" w:hAnsi="宋体" w:cs="宋体"/>
        </w:rPr>
      </w:pPr>
      <w:r>
        <w:rPr>
          <w:rFonts w:ascii="宋体" w:eastAsia="宋体" w:hAnsi="宋体" w:cs="宋体"/>
        </w:rPr>
        <w:t>节因子对基因表达进行调节，涉及多种信号传递系统及激素和细胞因</w:t>
      </w:r>
      <w:r>
        <w:rPr>
          <w:rFonts w:ascii="宋体" w:eastAsia="宋体" w:hAnsi="宋体" w:cs="宋体"/>
          <w:spacing w:val="-1"/>
        </w:rPr>
        <w:t>子。此外，</w:t>
      </w:r>
      <w:r>
        <w:rPr>
          <w:rFonts w:ascii="宋体" w:eastAsia="宋体" w:hAnsi="宋体" w:cs="宋体"/>
        </w:rPr>
        <w:t xml:space="preserve"> </w:t>
      </w:r>
      <w:r>
        <w:rPr>
          <w:rFonts w:ascii="宋体" w:eastAsia="宋体" w:hAnsi="宋体" w:cs="宋体"/>
          <w:spacing w:val="3"/>
        </w:rPr>
        <w:t>营养素可在基因表达的所有水平(转录前、转录、转录后、翻译和翻译后共5个</w:t>
      </w:r>
      <w:r>
        <w:rPr>
          <w:rFonts w:ascii="宋体" w:eastAsia="宋体" w:hAnsi="宋体" w:cs="宋体"/>
          <w:spacing w:val="1"/>
        </w:rPr>
        <w:t xml:space="preserve">  </w:t>
      </w:r>
      <w:r>
        <w:rPr>
          <w:rFonts w:ascii="宋体" w:eastAsia="宋体" w:hAnsi="宋体" w:cs="宋体"/>
          <w:spacing w:val="2"/>
        </w:rPr>
        <w:t>水平)上对其进行调节。</w:t>
      </w:r>
    </w:p>
    <w:p w:rsidR="00EA40A3" w:rsidRDefault="00E86C16">
      <w:pPr>
        <w:spacing w:before="57" w:line="224" w:lineRule="auto"/>
        <w:rPr>
          <w:rFonts w:ascii="楷体" w:eastAsia="楷体" w:hAnsi="楷体" w:cs="楷体"/>
        </w:rPr>
      </w:pPr>
      <w:r>
        <w:rPr>
          <w:rFonts w:ascii="楷体" w:eastAsia="楷体" w:hAnsi="楷体" w:cs="楷体"/>
          <w:spacing w:val="-2"/>
        </w:rPr>
        <w:t>1)营养素和基因转录</w:t>
      </w:r>
    </w:p>
    <w:p w:rsidR="00EA40A3" w:rsidRDefault="00E86C16">
      <w:pPr>
        <w:spacing w:before="66" w:line="260" w:lineRule="auto"/>
        <w:ind w:right="70" w:firstLine="439"/>
        <w:rPr>
          <w:rFonts w:ascii="宋体" w:eastAsia="宋体" w:hAnsi="宋体" w:cs="宋体"/>
        </w:rPr>
      </w:pPr>
      <w:r>
        <w:rPr>
          <w:rFonts w:ascii="宋体" w:eastAsia="宋体" w:hAnsi="宋体" w:cs="宋体"/>
          <w:spacing w:val="-3"/>
        </w:rPr>
        <w:t>绝大多数营养素对基因表达的调节发生在转录水平上的。转录因子通</w:t>
      </w:r>
      <w:r>
        <w:rPr>
          <w:rFonts w:ascii="宋体" w:eastAsia="宋体" w:hAnsi="宋体" w:cs="宋体"/>
          <w:spacing w:val="-4"/>
        </w:rPr>
        <w:t>过修饰</w:t>
      </w:r>
      <w:r>
        <w:rPr>
          <w:rFonts w:ascii="宋体" w:eastAsia="宋体" w:hAnsi="宋体" w:cs="宋体"/>
        </w:rPr>
        <w:t xml:space="preserve"> </w:t>
      </w:r>
      <w:r>
        <w:rPr>
          <w:rFonts w:ascii="宋体" w:eastAsia="宋体" w:hAnsi="宋体" w:cs="宋体"/>
          <w:spacing w:val="-1"/>
        </w:rPr>
        <w:t>染色质或基因结构，上调或下调与</w:t>
      </w:r>
      <w:r>
        <w:rPr>
          <w:rFonts w:ascii="宋体" w:eastAsia="宋体" w:hAnsi="宋体" w:cs="宋体"/>
          <w:spacing w:val="-44"/>
        </w:rPr>
        <w:t xml:space="preserve"> </w:t>
      </w:r>
      <w:r>
        <w:rPr>
          <w:rFonts w:ascii="宋体" w:eastAsia="宋体" w:hAnsi="宋体" w:cs="宋体"/>
          <w:spacing w:val="-1"/>
        </w:rPr>
        <w:t>RNA</w:t>
      </w:r>
      <w:r>
        <w:rPr>
          <w:rFonts w:ascii="宋体" w:eastAsia="宋体" w:hAnsi="宋体" w:cs="宋体"/>
          <w:spacing w:val="5"/>
        </w:rPr>
        <w:t xml:space="preserve">  </w:t>
      </w:r>
      <w:r>
        <w:rPr>
          <w:rFonts w:ascii="宋体" w:eastAsia="宋体" w:hAnsi="宋体" w:cs="宋体"/>
          <w:spacing w:val="-1"/>
        </w:rPr>
        <w:t>聚合酶Ⅱ结合，因而</w:t>
      </w:r>
      <w:r>
        <w:rPr>
          <w:rFonts w:ascii="宋体" w:eastAsia="宋体" w:hAnsi="宋体" w:cs="宋体"/>
          <w:spacing w:val="-2"/>
        </w:rPr>
        <w:t>影响转录的启动，</w:t>
      </w:r>
      <w:r>
        <w:rPr>
          <w:rFonts w:ascii="宋体" w:eastAsia="宋体" w:hAnsi="宋体" w:cs="宋体"/>
          <w:spacing w:val="1"/>
        </w:rPr>
        <w:t xml:space="preserve"> </w:t>
      </w:r>
      <w:r>
        <w:rPr>
          <w:rFonts w:ascii="宋体" w:eastAsia="宋体" w:hAnsi="宋体" w:cs="宋体"/>
          <w:spacing w:val="-3"/>
        </w:rPr>
        <w:t>使基因表达增强</w:t>
      </w:r>
      <w:r>
        <w:rPr>
          <w:rFonts w:ascii="宋体" w:eastAsia="宋体" w:hAnsi="宋体" w:cs="宋体"/>
          <w:spacing w:val="-4"/>
        </w:rPr>
        <w:t>或沉默。如固醇调节元件结合蛋白</w:t>
      </w:r>
      <w:r>
        <w:rPr>
          <w:rFonts w:ascii="宋体" w:eastAsia="宋体" w:hAnsi="宋体" w:cs="宋体"/>
          <w:spacing w:val="-23"/>
        </w:rPr>
        <w:t xml:space="preserve"> </w:t>
      </w:r>
      <w:r>
        <w:rPr>
          <w:rFonts w:ascii="宋体" w:eastAsia="宋体" w:hAnsi="宋体" w:cs="宋体"/>
          <w:spacing w:val="-4"/>
        </w:rPr>
        <w:t>(</w:t>
      </w:r>
      <w:r>
        <w:rPr>
          <w:rFonts w:ascii="宋体" w:eastAsia="宋体" w:hAnsi="宋体" w:cs="宋体"/>
          <w:spacing w:val="-3"/>
        </w:rPr>
        <w:t>sterol</w:t>
      </w:r>
      <w:r>
        <w:rPr>
          <w:rFonts w:ascii="宋体" w:eastAsia="宋体" w:hAnsi="宋体" w:cs="宋体"/>
          <w:spacing w:val="-6"/>
        </w:rPr>
        <w:t xml:space="preserve"> </w:t>
      </w:r>
      <w:r>
        <w:rPr>
          <w:rFonts w:ascii="宋体" w:eastAsia="宋体" w:hAnsi="宋体" w:cs="宋体"/>
          <w:spacing w:val="-3"/>
        </w:rPr>
        <w:t>regulatory</w:t>
      </w:r>
      <w:r>
        <w:rPr>
          <w:rFonts w:ascii="宋体" w:eastAsia="宋体" w:hAnsi="宋体" w:cs="宋体"/>
        </w:rPr>
        <w:t xml:space="preserve"> </w:t>
      </w:r>
      <w:r>
        <w:rPr>
          <w:rFonts w:ascii="宋体" w:eastAsia="宋体" w:hAnsi="宋体" w:cs="宋体"/>
          <w:spacing w:val="-3"/>
        </w:rPr>
        <w:t>element</w:t>
      </w:r>
      <w:r>
        <w:rPr>
          <w:rFonts w:ascii="宋体" w:eastAsia="宋体" w:hAnsi="宋体" w:cs="宋体"/>
        </w:rPr>
        <w:t xml:space="preserve"> binding</w:t>
      </w:r>
      <w:r>
        <w:rPr>
          <w:rFonts w:ascii="宋体" w:eastAsia="宋体" w:hAnsi="宋体" w:cs="宋体"/>
          <w:spacing w:val="51"/>
        </w:rPr>
        <w:t xml:space="preserve"> </w:t>
      </w:r>
      <w:r>
        <w:rPr>
          <w:rFonts w:ascii="宋体" w:eastAsia="宋体" w:hAnsi="宋体" w:cs="宋体"/>
        </w:rPr>
        <w:t>protein,SREBP)</w:t>
      </w:r>
      <w:r>
        <w:rPr>
          <w:rFonts w:ascii="宋体" w:eastAsia="宋体" w:hAnsi="宋体" w:cs="宋体"/>
          <w:spacing w:val="-41"/>
        </w:rPr>
        <w:t xml:space="preserve"> </w:t>
      </w:r>
      <w:r>
        <w:rPr>
          <w:rFonts w:ascii="宋体" w:eastAsia="宋体" w:hAnsi="宋体" w:cs="宋体"/>
        </w:rPr>
        <w:t xml:space="preserve">释放速度的变化与胆固醇生成基因和脂类生成基因的 </w:t>
      </w:r>
      <w:r>
        <w:rPr>
          <w:rFonts w:ascii="宋体" w:eastAsia="宋体" w:hAnsi="宋体" w:cs="宋体"/>
          <w:spacing w:val="-3"/>
        </w:rPr>
        <w:t>转录变化平行。当内质网膜上胆固醇和多不饱和脂肪酸</w:t>
      </w:r>
      <w:r>
        <w:rPr>
          <w:rFonts w:ascii="宋体" w:eastAsia="宋体" w:hAnsi="宋体" w:cs="宋体"/>
          <w:spacing w:val="-4"/>
        </w:rPr>
        <w:t>浓度高时，</w:t>
      </w:r>
      <w:r>
        <w:rPr>
          <w:rFonts w:ascii="宋体" w:eastAsia="宋体" w:hAnsi="宋体" w:cs="宋体"/>
          <w:spacing w:val="15"/>
        </w:rPr>
        <w:t xml:space="preserve"> </w:t>
      </w:r>
      <w:r>
        <w:rPr>
          <w:rFonts w:ascii="宋体" w:eastAsia="宋体" w:hAnsi="宋体" w:cs="宋体"/>
          <w:spacing w:val="-3"/>
        </w:rPr>
        <w:t>SREBP</w:t>
      </w:r>
      <w:r>
        <w:rPr>
          <w:rFonts w:ascii="宋体" w:eastAsia="宋体" w:hAnsi="宋体" w:cs="宋体"/>
          <w:spacing w:val="1"/>
        </w:rPr>
        <w:t xml:space="preserve">  </w:t>
      </w:r>
      <w:r>
        <w:rPr>
          <w:rFonts w:ascii="宋体" w:eastAsia="宋体" w:hAnsi="宋体" w:cs="宋体"/>
          <w:spacing w:val="-4"/>
        </w:rPr>
        <w:t>的蛋</w:t>
      </w:r>
      <w:r>
        <w:rPr>
          <w:rFonts w:ascii="宋体" w:eastAsia="宋体" w:hAnsi="宋体" w:cs="宋体"/>
          <w:spacing w:val="1"/>
        </w:rPr>
        <w:t xml:space="preserve"> </w:t>
      </w:r>
      <w:r>
        <w:rPr>
          <w:rFonts w:ascii="宋体" w:eastAsia="宋体" w:hAnsi="宋体" w:cs="宋体"/>
          <w:spacing w:val="-3"/>
        </w:rPr>
        <w:t>白质水解速度就慢，但是随着内质网膜上胆固醇和多不饱和脂肪酸的耗空，成熟</w:t>
      </w:r>
      <w:r>
        <w:rPr>
          <w:rFonts w:ascii="宋体" w:eastAsia="宋体" w:hAnsi="宋体" w:cs="宋体"/>
          <w:spacing w:val="6"/>
        </w:rPr>
        <w:t xml:space="preserve"> </w:t>
      </w:r>
      <w:r>
        <w:rPr>
          <w:rFonts w:ascii="宋体" w:eastAsia="宋体" w:hAnsi="宋体" w:cs="宋体"/>
          <w:spacing w:val="-1"/>
        </w:rPr>
        <w:t>SREBP</w:t>
      </w:r>
      <w:r>
        <w:rPr>
          <w:rFonts w:ascii="宋体" w:eastAsia="宋体" w:hAnsi="宋体" w:cs="宋体"/>
          <w:spacing w:val="100"/>
        </w:rPr>
        <w:t xml:space="preserve"> </w:t>
      </w:r>
      <w:r>
        <w:rPr>
          <w:rFonts w:ascii="宋体" w:eastAsia="宋体" w:hAnsi="宋体" w:cs="宋体"/>
          <w:spacing w:val="-1"/>
        </w:rPr>
        <w:t>的释放速度加快。膳食多不饱和脂肪酸也能通过减少SREBP-1mRNA</w:t>
      </w:r>
      <w:r>
        <w:rPr>
          <w:rFonts w:ascii="宋体" w:eastAsia="宋体" w:hAnsi="宋体" w:cs="宋体"/>
          <w:spacing w:val="16"/>
        </w:rPr>
        <w:t xml:space="preserve">   </w:t>
      </w:r>
      <w:r>
        <w:rPr>
          <w:rFonts w:ascii="宋体" w:eastAsia="宋体" w:hAnsi="宋体" w:cs="宋体"/>
          <w:spacing w:val="-1"/>
        </w:rPr>
        <w:t>数</w:t>
      </w:r>
      <w:r>
        <w:rPr>
          <w:rFonts w:ascii="宋体" w:eastAsia="宋体" w:hAnsi="宋体" w:cs="宋体"/>
          <w:spacing w:val="1"/>
        </w:rPr>
        <w:t xml:space="preserve"> </w:t>
      </w:r>
      <w:r>
        <w:rPr>
          <w:rFonts w:ascii="宋体" w:eastAsia="宋体" w:hAnsi="宋体" w:cs="宋体"/>
        </w:rPr>
        <w:t>量来抑制肝脏</w:t>
      </w:r>
      <w:r>
        <w:rPr>
          <w:rFonts w:ascii="宋体" w:eastAsia="宋体" w:hAnsi="宋体" w:cs="宋体"/>
          <w:spacing w:val="-38"/>
        </w:rPr>
        <w:t xml:space="preserve"> </w:t>
      </w:r>
      <w:r>
        <w:rPr>
          <w:rFonts w:ascii="宋体" w:eastAsia="宋体" w:hAnsi="宋体" w:cs="宋体"/>
        </w:rPr>
        <w:t>SREBP-1</w:t>
      </w:r>
      <w:r>
        <w:rPr>
          <w:rFonts w:ascii="宋体" w:eastAsia="宋体" w:hAnsi="宋体" w:cs="宋体"/>
          <w:spacing w:val="39"/>
        </w:rPr>
        <w:t xml:space="preserve"> </w:t>
      </w:r>
      <w:r>
        <w:rPr>
          <w:rFonts w:ascii="宋体" w:eastAsia="宋体" w:hAnsi="宋体" w:cs="宋体"/>
        </w:rPr>
        <w:t xml:space="preserve">前体的合成。膳食营养素中的某些亲脂性因子及其代谢 </w:t>
      </w:r>
      <w:r>
        <w:rPr>
          <w:rFonts w:ascii="宋体" w:eastAsia="宋体" w:hAnsi="宋体" w:cs="宋体"/>
          <w:spacing w:val="3"/>
        </w:rPr>
        <w:t>产物，如脂肪酸和视黄醛衍生物，可以通过配体的激活来调节转录因子结合到</w:t>
      </w:r>
      <w:r>
        <w:rPr>
          <w:rFonts w:ascii="宋体" w:eastAsia="宋体" w:hAnsi="宋体" w:cs="宋体"/>
          <w:spacing w:val="11"/>
        </w:rPr>
        <w:t xml:space="preserve"> </w:t>
      </w:r>
      <w:r>
        <w:rPr>
          <w:rFonts w:ascii="宋体" w:eastAsia="宋体" w:hAnsi="宋体" w:cs="宋体"/>
        </w:rPr>
        <w:t>DNA</w:t>
      </w:r>
      <w:r>
        <w:rPr>
          <w:rFonts w:ascii="宋体" w:eastAsia="宋体" w:hAnsi="宋体" w:cs="宋体"/>
          <w:spacing w:val="94"/>
        </w:rPr>
        <w:t xml:space="preserve"> </w:t>
      </w:r>
      <w:r>
        <w:rPr>
          <w:rFonts w:ascii="宋体" w:eastAsia="宋体" w:hAnsi="宋体" w:cs="宋体"/>
          <w:spacing w:val="1"/>
        </w:rPr>
        <w:t>上的活性。膳食的营养成分还可通过调节细胞的氧化还原状态</w:t>
      </w:r>
      <w:r>
        <w:rPr>
          <w:rFonts w:ascii="宋体" w:eastAsia="宋体" w:hAnsi="宋体" w:cs="宋体"/>
        </w:rPr>
        <w:t>影响核内因 子与DNA</w:t>
      </w:r>
      <w:r>
        <w:rPr>
          <w:rFonts w:ascii="宋体" w:eastAsia="宋体" w:hAnsi="宋体" w:cs="宋体"/>
          <w:spacing w:val="4"/>
        </w:rPr>
        <w:t xml:space="preserve">  </w:t>
      </w:r>
      <w:r>
        <w:rPr>
          <w:rFonts w:ascii="宋体" w:eastAsia="宋体" w:hAnsi="宋体" w:cs="宋体"/>
        </w:rPr>
        <w:t>的结合活性。例如，维生素或者还原性谷胱甘</w:t>
      </w:r>
      <w:r>
        <w:rPr>
          <w:rFonts w:ascii="宋体" w:eastAsia="宋体" w:hAnsi="宋体" w:cs="宋体"/>
          <w:spacing w:val="-1"/>
        </w:rPr>
        <w:t>肽等抗氧化剂可以保护</w:t>
      </w:r>
      <w:r>
        <w:rPr>
          <w:rFonts w:ascii="宋体" w:eastAsia="宋体" w:hAnsi="宋体" w:cs="宋体"/>
        </w:rPr>
        <w:t xml:space="preserve"> </w:t>
      </w:r>
      <w:r>
        <w:rPr>
          <w:rFonts w:ascii="宋体" w:eastAsia="宋体" w:hAnsi="宋体" w:cs="宋体"/>
          <w:spacing w:val="-5"/>
        </w:rPr>
        <w:t>细胞防止氧化应激，进而阻止应激激酶途径的启动而发挥保护作用。</w:t>
      </w:r>
    </w:p>
    <w:p w:rsidR="00EA40A3" w:rsidRDefault="00E86C16">
      <w:pPr>
        <w:spacing w:before="52" w:line="219" w:lineRule="auto"/>
        <w:rPr>
          <w:rFonts w:ascii="宋体" w:eastAsia="宋体" w:hAnsi="宋体" w:cs="宋体"/>
        </w:rPr>
      </w:pPr>
      <w:r>
        <w:rPr>
          <w:rFonts w:ascii="宋体" w:eastAsia="宋体" w:hAnsi="宋体" w:cs="宋体"/>
          <w:spacing w:val="3"/>
        </w:rPr>
        <w:t>2)营养素与</w:t>
      </w:r>
      <w:r>
        <w:rPr>
          <w:rFonts w:ascii="宋体" w:eastAsia="宋体" w:hAnsi="宋体" w:cs="宋体"/>
          <w:spacing w:val="-48"/>
        </w:rPr>
        <w:t xml:space="preserve"> </w:t>
      </w:r>
      <w:r>
        <w:rPr>
          <w:rFonts w:ascii="宋体" w:eastAsia="宋体" w:hAnsi="宋体" w:cs="宋体"/>
        </w:rPr>
        <w:t>mRNA</w:t>
      </w:r>
      <w:r>
        <w:rPr>
          <w:rFonts w:ascii="宋体" w:eastAsia="宋体" w:hAnsi="宋体" w:cs="宋体"/>
          <w:spacing w:val="36"/>
        </w:rPr>
        <w:t xml:space="preserve">  </w:t>
      </w:r>
      <w:r>
        <w:rPr>
          <w:rFonts w:ascii="宋体" w:eastAsia="宋体" w:hAnsi="宋体" w:cs="宋体"/>
          <w:spacing w:val="3"/>
        </w:rPr>
        <w:t>的稳定性</w:t>
      </w:r>
    </w:p>
    <w:p w:rsidR="00EA40A3" w:rsidRDefault="00E86C16">
      <w:pPr>
        <w:spacing w:before="119" w:line="253" w:lineRule="auto"/>
        <w:ind w:right="73" w:firstLine="439"/>
        <w:jc w:val="both"/>
        <w:rPr>
          <w:rFonts w:ascii="宋体" w:eastAsia="宋体" w:hAnsi="宋体" w:cs="宋体"/>
        </w:rPr>
      </w:pPr>
      <w:r>
        <w:rPr>
          <w:rFonts w:ascii="宋体" w:eastAsia="宋体" w:hAnsi="宋体" w:cs="宋体"/>
          <w:spacing w:val="-3"/>
        </w:rPr>
        <w:t>当基因转录时，膳食成分控制许多转录产物的降解速度。这样的例子包括葡</w:t>
      </w:r>
      <w:r>
        <w:rPr>
          <w:rFonts w:ascii="宋体" w:eastAsia="宋体" w:hAnsi="宋体" w:cs="宋体"/>
        </w:rPr>
        <w:t xml:space="preserve"> 萄糖对脂肪酸和酶mRNA</w:t>
      </w:r>
      <w:r>
        <w:rPr>
          <w:rFonts w:ascii="宋体" w:eastAsia="宋体" w:hAnsi="宋体" w:cs="宋体"/>
          <w:spacing w:val="26"/>
        </w:rPr>
        <w:t xml:space="preserve">  </w:t>
      </w:r>
      <w:r>
        <w:rPr>
          <w:rFonts w:ascii="宋体" w:eastAsia="宋体" w:hAnsi="宋体" w:cs="宋体"/>
        </w:rPr>
        <w:t>的稳定作用、硒对谷</w:t>
      </w:r>
      <w:r>
        <w:rPr>
          <w:rFonts w:ascii="宋体" w:eastAsia="宋体" w:hAnsi="宋体" w:cs="宋体"/>
          <w:spacing w:val="-1"/>
        </w:rPr>
        <w:t>胱甘肽过氧化物酶</w:t>
      </w:r>
      <w:r>
        <w:rPr>
          <w:rFonts w:ascii="宋体" w:eastAsia="宋体" w:hAnsi="宋体" w:cs="宋体"/>
        </w:rPr>
        <w:t>mRNA</w:t>
      </w:r>
      <w:r>
        <w:rPr>
          <w:rFonts w:ascii="宋体" w:eastAsia="宋体" w:hAnsi="宋体" w:cs="宋体"/>
          <w:spacing w:val="31"/>
        </w:rPr>
        <w:t xml:space="preserve">  </w:t>
      </w:r>
      <w:r>
        <w:rPr>
          <w:rFonts w:ascii="宋体" w:eastAsia="宋体" w:hAnsi="宋体" w:cs="宋体"/>
          <w:spacing w:val="-1"/>
        </w:rPr>
        <w:t>的稳定</w:t>
      </w:r>
      <w:r>
        <w:rPr>
          <w:rFonts w:ascii="宋体" w:eastAsia="宋体" w:hAnsi="宋体" w:cs="宋体"/>
        </w:rPr>
        <w:t xml:space="preserve"> </w:t>
      </w:r>
      <w:r>
        <w:rPr>
          <w:rFonts w:ascii="宋体" w:eastAsia="宋体" w:hAnsi="宋体" w:cs="宋体"/>
          <w:spacing w:val="4"/>
        </w:rPr>
        <w:t>作用(硒缺乏会加速</w:t>
      </w:r>
      <w:r>
        <w:rPr>
          <w:rFonts w:ascii="宋体" w:eastAsia="宋体" w:hAnsi="宋体" w:cs="宋体"/>
        </w:rPr>
        <w:t>GSH</w:t>
      </w:r>
      <w:r>
        <w:rPr>
          <w:rFonts w:ascii="宋体" w:eastAsia="宋体" w:hAnsi="宋体" w:cs="宋体"/>
          <w:spacing w:val="4"/>
        </w:rPr>
        <w:t>-</w:t>
      </w:r>
      <w:r>
        <w:rPr>
          <w:rFonts w:ascii="宋体" w:eastAsia="宋体" w:hAnsi="宋体" w:cs="宋体"/>
        </w:rPr>
        <w:t>Px</w:t>
      </w:r>
      <w:r>
        <w:rPr>
          <w:rFonts w:ascii="宋体" w:eastAsia="宋体" w:hAnsi="宋体" w:cs="宋体"/>
          <w:spacing w:val="4"/>
        </w:rPr>
        <w:t>1</w:t>
      </w:r>
      <w:r>
        <w:rPr>
          <w:rFonts w:ascii="宋体" w:eastAsia="宋体" w:hAnsi="宋体" w:cs="宋体"/>
        </w:rPr>
        <w:t>mRNA</w:t>
      </w:r>
      <w:r>
        <w:rPr>
          <w:rFonts w:ascii="宋体" w:eastAsia="宋体" w:hAnsi="宋体" w:cs="宋体"/>
          <w:spacing w:val="13"/>
        </w:rPr>
        <w:t xml:space="preserve">    </w:t>
      </w:r>
      <w:r>
        <w:rPr>
          <w:rFonts w:ascii="宋体" w:eastAsia="宋体" w:hAnsi="宋体" w:cs="宋体"/>
          <w:spacing w:val="4"/>
        </w:rPr>
        <w:t>的降解)、铁对转铁蛋白</w:t>
      </w:r>
      <w:r>
        <w:rPr>
          <w:rFonts w:ascii="宋体" w:eastAsia="宋体" w:hAnsi="宋体" w:cs="宋体"/>
        </w:rPr>
        <w:t>mRNA</w:t>
      </w:r>
      <w:r>
        <w:rPr>
          <w:rFonts w:ascii="宋体" w:eastAsia="宋体" w:hAnsi="宋体" w:cs="宋体"/>
          <w:spacing w:val="32"/>
        </w:rPr>
        <w:t xml:space="preserve">  </w:t>
      </w:r>
      <w:r>
        <w:rPr>
          <w:rFonts w:ascii="宋体" w:eastAsia="宋体" w:hAnsi="宋体" w:cs="宋体"/>
          <w:spacing w:val="4"/>
        </w:rPr>
        <w:t>受体的去</w:t>
      </w:r>
      <w:r>
        <w:rPr>
          <w:rFonts w:ascii="宋体" w:eastAsia="宋体" w:hAnsi="宋体" w:cs="宋体"/>
          <w:spacing w:val="1"/>
        </w:rPr>
        <w:t xml:space="preserve"> </w:t>
      </w:r>
      <w:r>
        <w:rPr>
          <w:rFonts w:ascii="宋体" w:eastAsia="宋体" w:hAnsi="宋体" w:cs="宋体"/>
          <w:spacing w:val="-10"/>
        </w:rPr>
        <w:t>稳定作用等。</w:t>
      </w:r>
    </w:p>
    <w:p w:rsidR="00EA40A3" w:rsidRDefault="00E86C16">
      <w:pPr>
        <w:spacing w:before="56" w:line="224" w:lineRule="auto"/>
        <w:rPr>
          <w:rFonts w:ascii="楷体" w:eastAsia="楷体" w:hAnsi="楷体" w:cs="楷体"/>
        </w:rPr>
      </w:pPr>
      <w:r>
        <w:rPr>
          <w:rFonts w:ascii="楷体" w:eastAsia="楷体" w:hAnsi="楷体" w:cs="楷体"/>
          <w:spacing w:val="8"/>
        </w:rPr>
        <w:t>3)营养素和</w:t>
      </w:r>
      <w:r>
        <w:rPr>
          <w:rFonts w:ascii="楷体" w:eastAsia="楷体" w:hAnsi="楷体" w:cs="楷体"/>
        </w:rPr>
        <w:t>mRNA</w:t>
      </w:r>
      <w:r>
        <w:rPr>
          <w:rFonts w:ascii="楷体" w:eastAsia="楷体" w:hAnsi="楷体" w:cs="楷体"/>
          <w:spacing w:val="41"/>
        </w:rPr>
        <w:t xml:space="preserve">  </w:t>
      </w:r>
      <w:r>
        <w:rPr>
          <w:rFonts w:ascii="楷体" w:eastAsia="楷体" w:hAnsi="楷体" w:cs="楷体"/>
          <w:spacing w:val="8"/>
        </w:rPr>
        <w:t>的翻译</w:t>
      </w:r>
    </w:p>
    <w:p w:rsidR="00EA40A3" w:rsidRDefault="00E86C16">
      <w:pPr>
        <w:spacing w:before="91" w:line="258" w:lineRule="auto"/>
        <w:ind w:right="76" w:firstLine="439"/>
        <w:jc w:val="both"/>
        <w:rPr>
          <w:rFonts w:ascii="宋体" w:eastAsia="宋体" w:hAnsi="宋体" w:cs="宋体"/>
        </w:rPr>
      </w:pPr>
      <w:r>
        <w:rPr>
          <w:rFonts w:ascii="宋体" w:eastAsia="宋体" w:hAnsi="宋体" w:cs="宋体"/>
          <w:spacing w:val="1"/>
        </w:rPr>
        <w:t>膳食因素调控</w:t>
      </w:r>
      <w:r>
        <w:rPr>
          <w:rFonts w:ascii="宋体" w:eastAsia="宋体" w:hAnsi="宋体" w:cs="宋体"/>
        </w:rPr>
        <w:t>mRNA</w:t>
      </w:r>
      <w:r>
        <w:rPr>
          <w:rFonts w:ascii="宋体" w:eastAsia="宋体" w:hAnsi="宋体" w:cs="宋体"/>
          <w:spacing w:val="39"/>
        </w:rPr>
        <w:t xml:space="preserve">  </w:t>
      </w:r>
      <w:r>
        <w:rPr>
          <w:rFonts w:ascii="宋体" w:eastAsia="宋体" w:hAnsi="宋体" w:cs="宋体"/>
          <w:spacing w:val="1"/>
        </w:rPr>
        <w:t xml:space="preserve">的翻译是通过锁定核糖体的结合位点、改变核糖体对 </w:t>
      </w:r>
      <w:r>
        <w:rPr>
          <w:rFonts w:ascii="宋体" w:eastAsia="宋体" w:hAnsi="宋体" w:cs="宋体"/>
          <w:spacing w:val="-3"/>
        </w:rPr>
        <w:t>启动位点的亲和性或调控肽链延长的速率进行的。肽链的延长速度依赖于氨基酸</w:t>
      </w:r>
      <w:r>
        <w:rPr>
          <w:rFonts w:ascii="宋体" w:eastAsia="宋体" w:hAnsi="宋体" w:cs="宋体"/>
          <w:spacing w:val="2"/>
        </w:rPr>
        <w:t xml:space="preserve"> </w:t>
      </w:r>
      <w:r>
        <w:rPr>
          <w:rFonts w:ascii="宋体" w:eastAsia="宋体" w:hAnsi="宋体" w:cs="宋体"/>
          <w:spacing w:val="-3"/>
        </w:rPr>
        <w:t>的可利用率，某一氨基酸的短缺，尤其是必需氨基酸的短缺，可能就会减慢或终</w:t>
      </w:r>
      <w:r>
        <w:rPr>
          <w:rFonts w:ascii="宋体" w:eastAsia="宋体" w:hAnsi="宋体" w:cs="宋体"/>
          <w:spacing w:val="2"/>
        </w:rPr>
        <w:t xml:space="preserve"> </w:t>
      </w:r>
      <w:r>
        <w:rPr>
          <w:rFonts w:ascii="宋体" w:eastAsia="宋体" w:hAnsi="宋体" w:cs="宋体"/>
          <w:spacing w:val="1"/>
        </w:rPr>
        <w:t>止肽链的合成。其他营养素也会影响到</w:t>
      </w:r>
      <w:r>
        <w:rPr>
          <w:rFonts w:ascii="宋体" w:eastAsia="宋体" w:hAnsi="宋体" w:cs="宋体"/>
        </w:rPr>
        <w:t>mRNA</w:t>
      </w:r>
      <w:r>
        <w:rPr>
          <w:rFonts w:ascii="宋体" w:eastAsia="宋体" w:hAnsi="宋体" w:cs="宋体"/>
          <w:spacing w:val="38"/>
        </w:rPr>
        <w:t xml:space="preserve">  </w:t>
      </w:r>
      <w:r>
        <w:rPr>
          <w:rFonts w:ascii="宋体" w:eastAsia="宋体" w:hAnsi="宋体" w:cs="宋体"/>
          <w:spacing w:val="1"/>
        </w:rPr>
        <w:t>的翻译，如细胞内铁含量决定铁</w:t>
      </w:r>
      <w:r>
        <w:rPr>
          <w:rFonts w:ascii="宋体" w:eastAsia="宋体" w:hAnsi="宋体" w:cs="宋体"/>
        </w:rPr>
        <w:t xml:space="preserve"> </w:t>
      </w:r>
      <w:r>
        <w:rPr>
          <w:rFonts w:ascii="宋体" w:eastAsia="宋体" w:hAnsi="宋体" w:cs="宋体"/>
          <w:spacing w:val="-4"/>
        </w:rPr>
        <w:t>蛋</w:t>
      </w:r>
      <w:r>
        <w:rPr>
          <w:rFonts w:ascii="宋体" w:eastAsia="宋体" w:hAnsi="宋体" w:cs="宋体"/>
          <w:spacing w:val="15"/>
        </w:rPr>
        <w:t xml:space="preserve"> </w:t>
      </w:r>
      <w:r>
        <w:rPr>
          <w:rFonts w:ascii="宋体" w:eastAsia="宋体" w:hAnsi="宋体" w:cs="宋体"/>
          <w:spacing w:val="-4"/>
        </w:rPr>
        <w:t>白mRNA</w:t>
      </w:r>
      <w:r>
        <w:rPr>
          <w:rFonts w:ascii="宋体" w:eastAsia="宋体" w:hAnsi="宋体" w:cs="宋体"/>
          <w:spacing w:val="26"/>
        </w:rPr>
        <w:t xml:space="preserve">  </w:t>
      </w:r>
      <w:r>
        <w:rPr>
          <w:rFonts w:ascii="宋体" w:eastAsia="宋体" w:hAnsi="宋体" w:cs="宋体"/>
          <w:spacing w:val="-4"/>
        </w:rPr>
        <w:t>的翻译速度。当细胞铁含量降低时，铁蛋白结合到5'-端不翻译区</w:t>
      </w:r>
      <w:r>
        <w:rPr>
          <w:rFonts w:ascii="宋体" w:eastAsia="宋体" w:hAnsi="宋体" w:cs="宋体"/>
          <w:spacing w:val="-5"/>
        </w:rPr>
        <w:t>域</w:t>
      </w:r>
      <w:r>
        <w:rPr>
          <w:rFonts w:ascii="宋体" w:eastAsia="宋体" w:hAnsi="宋体" w:cs="宋体"/>
        </w:rPr>
        <w:t xml:space="preserve"> </w:t>
      </w:r>
      <w:r>
        <w:rPr>
          <w:rFonts w:ascii="宋体" w:eastAsia="宋体" w:hAnsi="宋体" w:cs="宋体"/>
          <w:spacing w:val="-3"/>
        </w:rPr>
        <w:t>主干环状结构上，抑制蛋白转录产物的翻译；当给细胞补充铁时，铁结合蛋白失</w:t>
      </w:r>
      <w:r>
        <w:rPr>
          <w:rFonts w:ascii="宋体" w:eastAsia="宋体" w:hAnsi="宋体" w:cs="宋体"/>
          <w:spacing w:val="4"/>
        </w:rPr>
        <w:t xml:space="preserve"> </w:t>
      </w:r>
      <w:r>
        <w:rPr>
          <w:rFonts w:ascii="宋体" w:eastAsia="宋体" w:hAnsi="宋体" w:cs="宋体"/>
          <w:spacing w:val="1"/>
        </w:rPr>
        <w:t>去与主干环状结构的亲和性，这反过来允许铁蛋白</w:t>
      </w:r>
      <w:r>
        <w:rPr>
          <w:rFonts w:ascii="宋体" w:eastAsia="宋体" w:hAnsi="宋体" w:cs="宋体"/>
        </w:rPr>
        <w:t>mRNA</w:t>
      </w:r>
      <w:r>
        <w:rPr>
          <w:rFonts w:ascii="宋体" w:eastAsia="宋体" w:hAnsi="宋体" w:cs="宋体"/>
          <w:spacing w:val="38"/>
        </w:rPr>
        <w:t xml:space="preserve">  </w:t>
      </w:r>
      <w:r>
        <w:rPr>
          <w:rFonts w:ascii="宋体" w:eastAsia="宋体" w:hAnsi="宋体" w:cs="宋体"/>
          <w:spacing w:val="1"/>
        </w:rPr>
        <w:t xml:space="preserve">的翻译，细胞内铁蛋 </w:t>
      </w:r>
      <w:r>
        <w:rPr>
          <w:rFonts w:ascii="宋体" w:eastAsia="宋体" w:hAnsi="宋体" w:cs="宋体"/>
          <w:spacing w:val="-5"/>
        </w:rPr>
        <w:t>白浓度增加，从而使铁的储存能力增加。</w:t>
      </w:r>
    </w:p>
    <w:p w:rsidR="00EA40A3" w:rsidRDefault="00E86C16">
      <w:pPr>
        <w:spacing w:before="63" w:line="220" w:lineRule="auto"/>
        <w:rPr>
          <w:rFonts w:ascii="楷体" w:eastAsia="楷体" w:hAnsi="楷体" w:cs="楷体"/>
        </w:rPr>
      </w:pPr>
      <w:r>
        <w:rPr>
          <w:rFonts w:ascii="楷体" w:eastAsia="楷体" w:hAnsi="楷体" w:cs="楷体"/>
          <w:spacing w:val="1"/>
        </w:rPr>
        <w:t>4)营养素和蛋白质的修饰后加工</w:t>
      </w:r>
    </w:p>
    <w:p w:rsidR="00EA40A3" w:rsidRDefault="00E86C16">
      <w:pPr>
        <w:spacing w:before="87" w:line="255" w:lineRule="auto"/>
        <w:ind w:firstLine="439"/>
        <w:jc w:val="both"/>
        <w:rPr>
          <w:rFonts w:ascii="宋体" w:eastAsia="宋体" w:hAnsi="宋体" w:cs="宋体"/>
        </w:rPr>
      </w:pPr>
      <w:r>
        <w:rPr>
          <w:rFonts w:ascii="宋体" w:eastAsia="宋体" w:hAnsi="宋体" w:cs="宋体"/>
          <w:spacing w:val="-3"/>
        </w:rPr>
        <w:t>某种维生素或矿物质辅助因子插入到蛋白质上，进而使无活性的脱辅</w:t>
      </w:r>
      <w:r>
        <w:rPr>
          <w:rFonts w:ascii="宋体" w:eastAsia="宋体" w:hAnsi="宋体" w:cs="宋体"/>
          <w:spacing w:val="-4"/>
        </w:rPr>
        <w:t>基酶转</w:t>
      </w:r>
      <w:r>
        <w:rPr>
          <w:rFonts w:ascii="宋体" w:eastAsia="宋体" w:hAnsi="宋体" w:cs="宋体"/>
        </w:rPr>
        <w:t xml:space="preserve"> </w:t>
      </w:r>
      <w:r>
        <w:rPr>
          <w:rFonts w:ascii="宋体" w:eastAsia="宋体" w:hAnsi="宋体" w:cs="宋体"/>
          <w:spacing w:val="4"/>
        </w:rPr>
        <w:t>变成有活性的全酶，是许多酶翻译后修饰的常见形式，如吡</w:t>
      </w:r>
      <w:r>
        <w:rPr>
          <w:rFonts w:ascii="宋体" w:eastAsia="宋体" w:hAnsi="宋体" w:cs="宋体"/>
          <w:spacing w:val="3"/>
        </w:rPr>
        <w:t>哆醛转移到转氨酶</w:t>
      </w:r>
      <w:r>
        <w:rPr>
          <w:rFonts w:ascii="宋体" w:eastAsia="宋体" w:hAnsi="宋体" w:cs="宋体"/>
        </w:rPr>
        <w:t xml:space="preserve"> </w:t>
      </w:r>
      <w:r>
        <w:rPr>
          <w:rFonts w:ascii="宋体" w:eastAsia="宋体" w:hAnsi="宋体" w:cs="宋体"/>
          <w:spacing w:val="-4"/>
        </w:rPr>
        <w:t>上、硫胺素转移到丙酮酸脱氢酶上、锌和铜激活超氧化物歧化酶</w:t>
      </w:r>
      <w:r>
        <w:rPr>
          <w:rFonts w:ascii="宋体" w:eastAsia="宋体" w:hAnsi="宋体" w:cs="宋体"/>
          <w:spacing w:val="-5"/>
        </w:rPr>
        <w:t>、锌结合到锌指</w:t>
      </w:r>
      <w:r>
        <w:rPr>
          <w:rFonts w:ascii="宋体" w:eastAsia="宋体" w:hAnsi="宋体" w:cs="宋体"/>
        </w:rPr>
        <w:t xml:space="preserve">  转录因子。然而，完整活性形式的转变并不是翻译后修饰的唯一方式</w:t>
      </w:r>
      <w:r>
        <w:rPr>
          <w:rFonts w:ascii="宋体" w:eastAsia="宋体" w:hAnsi="宋体" w:cs="宋体"/>
          <w:spacing w:val="-1"/>
        </w:rPr>
        <w:t>。实际上，</w:t>
      </w:r>
      <w:r>
        <w:rPr>
          <w:rFonts w:ascii="宋体" w:eastAsia="宋体" w:hAnsi="宋体" w:cs="宋体"/>
        </w:rPr>
        <w:t xml:space="preserve"> </w:t>
      </w:r>
      <w:r>
        <w:rPr>
          <w:rFonts w:ascii="宋体" w:eastAsia="宋体" w:hAnsi="宋体" w:cs="宋体"/>
          <w:spacing w:val="1"/>
        </w:rPr>
        <w:t>存在许多种翻译后蛋白质的修饰，包括磷酸化-去磷</w:t>
      </w:r>
      <w:r>
        <w:rPr>
          <w:rFonts w:ascii="宋体" w:eastAsia="宋体" w:hAnsi="宋体" w:cs="宋体"/>
        </w:rPr>
        <w:t>酸化、乙酰化、甲基化、糖</w:t>
      </w:r>
    </w:p>
    <w:p w:rsidR="00EA40A3" w:rsidRDefault="00E86C16">
      <w:pPr>
        <w:spacing w:before="57"/>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378</w:t>
      </w:r>
      <w:r>
        <w:rPr>
          <w:rFonts w:ascii="宋体" w:eastAsia="宋体" w:hAnsi="宋体" w:cs="宋体"/>
          <w:spacing w:val="49"/>
          <w:sz w:val="18"/>
          <w:szCs w:val="18"/>
        </w:rPr>
        <w:t xml:space="preserve"> </w:t>
      </w:r>
      <w:r>
        <w:rPr>
          <w:rFonts w:ascii="宋体" w:eastAsia="宋体" w:hAnsi="宋体" w:cs="宋体"/>
          <w:spacing w:val="-25"/>
          <w:sz w:val="18"/>
          <w:szCs w:val="18"/>
        </w:rPr>
        <w:t>·</w:t>
      </w:r>
    </w:p>
    <w:p w:rsidR="00EA40A3" w:rsidRDefault="00EA40A3">
      <w:pPr>
        <w:sectPr w:rsidR="00EA40A3">
          <w:footerReference w:type="default" r:id="rId303"/>
          <w:pgSz w:w="9220" w:h="13360"/>
          <w:pgMar w:top="400" w:right="1094" w:bottom="400" w:left="780" w:header="0" w:footer="0" w:gutter="0"/>
          <w:cols w:space="720"/>
        </w:sectPr>
      </w:pPr>
    </w:p>
    <w:p w:rsidR="00EA40A3" w:rsidRDefault="00EA40A3">
      <w:pPr>
        <w:spacing w:line="287" w:lineRule="auto"/>
      </w:pPr>
    </w:p>
    <w:p w:rsidR="00EA40A3" w:rsidRDefault="00EA40A3">
      <w:pPr>
        <w:spacing w:line="287" w:lineRule="auto"/>
      </w:pPr>
    </w:p>
    <w:p w:rsidR="00EA40A3" w:rsidRDefault="00E86C16">
      <w:pPr>
        <w:spacing w:before="71" w:line="219" w:lineRule="auto"/>
        <w:rPr>
          <w:rFonts w:ascii="宋体" w:eastAsia="宋体" w:hAnsi="宋体" w:cs="宋体"/>
          <w:sz w:val="22"/>
          <w:szCs w:val="22"/>
        </w:rPr>
      </w:pPr>
      <w:r>
        <w:rPr>
          <w:rFonts w:ascii="宋体" w:eastAsia="宋体" w:hAnsi="宋体" w:cs="宋体"/>
          <w:spacing w:val="-13"/>
          <w:sz w:val="22"/>
          <w:szCs w:val="22"/>
        </w:rPr>
        <w:t>基化，每一种过程都可能潜在地受膳食成分的调控。</w:t>
      </w:r>
    </w:p>
    <w:p w:rsidR="00EA40A3" w:rsidRDefault="00E86C16">
      <w:pPr>
        <w:spacing w:before="223" w:line="221" w:lineRule="auto"/>
        <w:ind w:left="3"/>
        <w:outlineLvl w:val="6"/>
        <w:rPr>
          <w:rFonts w:ascii="黑体" w:eastAsia="黑体" w:hAnsi="黑体" w:cs="黑体"/>
          <w:sz w:val="22"/>
          <w:szCs w:val="22"/>
        </w:rPr>
      </w:pPr>
      <w:r>
        <w:rPr>
          <w:rFonts w:ascii="黑体" w:eastAsia="黑体" w:hAnsi="黑体" w:cs="黑体"/>
          <w:b/>
          <w:bCs/>
          <w:spacing w:val="7"/>
          <w:sz w:val="22"/>
          <w:szCs w:val="22"/>
        </w:rPr>
        <w:t>11.8.2</w:t>
      </w:r>
      <w:r>
        <w:rPr>
          <w:rFonts w:ascii="黑体" w:eastAsia="黑体" w:hAnsi="黑体" w:cs="黑体"/>
          <w:spacing w:val="34"/>
          <w:sz w:val="22"/>
          <w:szCs w:val="22"/>
        </w:rPr>
        <w:t xml:space="preserve">   </w:t>
      </w:r>
      <w:r>
        <w:rPr>
          <w:rFonts w:ascii="黑体" w:eastAsia="黑体" w:hAnsi="黑体" w:cs="黑体"/>
          <w:b/>
          <w:bCs/>
          <w:spacing w:val="7"/>
          <w:sz w:val="22"/>
          <w:szCs w:val="22"/>
        </w:rPr>
        <w:t>营养素对基因表达的影响</w:t>
      </w:r>
    </w:p>
    <w:p w:rsidR="00EA40A3" w:rsidRDefault="00E86C16">
      <w:pPr>
        <w:spacing w:before="278" w:line="221" w:lineRule="auto"/>
        <w:rPr>
          <w:rFonts w:ascii="仿宋" w:eastAsia="仿宋" w:hAnsi="仿宋" w:cs="仿宋"/>
          <w:sz w:val="22"/>
          <w:szCs w:val="22"/>
        </w:rPr>
      </w:pPr>
      <w:r>
        <w:rPr>
          <w:rFonts w:ascii="仿宋" w:eastAsia="仿宋" w:hAnsi="仿宋" w:cs="仿宋"/>
          <w:spacing w:val="14"/>
          <w:sz w:val="22"/>
          <w:szCs w:val="22"/>
        </w:rPr>
        <w:t>1.</w:t>
      </w:r>
      <w:r>
        <w:rPr>
          <w:rFonts w:ascii="仿宋" w:eastAsia="仿宋" w:hAnsi="仿宋" w:cs="仿宋"/>
          <w:spacing w:val="-36"/>
          <w:sz w:val="22"/>
          <w:szCs w:val="22"/>
        </w:rPr>
        <w:t xml:space="preserve"> </w:t>
      </w:r>
      <w:r>
        <w:rPr>
          <w:rFonts w:ascii="仿宋" w:eastAsia="仿宋" w:hAnsi="仿宋" w:cs="仿宋"/>
          <w:spacing w:val="14"/>
          <w:sz w:val="22"/>
          <w:szCs w:val="22"/>
        </w:rPr>
        <w:t>碳水化合物含量对基因表达的调控</w:t>
      </w:r>
    </w:p>
    <w:p w:rsidR="00EA40A3" w:rsidRDefault="00E86C16">
      <w:pPr>
        <w:spacing w:before="200" w:line="244" w:lineRule="auto"/>
        <w:ind w:right="40" w:firstLine="450"/>
        <w:jc w:val="both"/>
        <w:rPr>
          <w:rFonts w:ascii="宋体" w:eastAsia="宋体" w:hAnsi="宋体" w:cs="宋体"/>
          <w:sz w:val="22"/>
          <w:szCs w:val="22"/>
        </w:rPr>
      </w:pPr>
      <w:r>
        <w:rPr>
          <w:rFonts w:ascii="宋体" w:eastAsia="宋体" w:hAnsi="宋体" w:cs="宋体"/>
          <w:spacing w:val="-13"/>
          <w:sz w:val="22"/>
          <w:szCs w:val="22"/>
        </w:rPr>
        <w:t>碳水化合物对许多基因的表达有调控作用，主要表现在碳水化合物在胃肠道</w:t>
      </w:r>
      <w:r>
        <w:rPr>
          <w:rFonts w:ascii="宋体" w:eastAsia="宋体" w:hAnsi="宋体" w:cs="宋体"/>
          <w:spacing w:val="17"/>
          <w:sz w:val="22"/>
          <w:szCs w:val="22"/>
        </w:rPr>
        <w:t xml:space="preserve"> </w:t>
      </w:r>
      <w:r>
        <w:rPr>
          <w:rFonts w:ascii="宋体" w:eastAsia="宋体" w:hAnsi="宋体" w:cs="宋体"/>
          <w:spacing w:val="-12"/>
          <w:sz w:val="22"/>
          <w:szCs w:val="22"/>
        </w:rPr>
        <w:t>被消化成葡萄糖并吸收入血以后，葡萄糖能够剌激脂肪组织、肝脏和胰岛β</w:t>
      </w:r>
      <w:r>
        <w:rPr>
          <w:rFonts w:ascii="宋体" w:eastAsia="宋体" w:hAnsi="宋体" w:cs="宋体"/>
          <w:spacing w:val="-13"/>
          <w:sz w:val="22"/>
          <w:szCs w:val="22"/>
        </w:rPr>
        <w:t>细胞</w:t>
      </w:r>
      <w:r>
        <w:rPr>
          <w:rFonts w:ascii="宋体" w:eastAsia="宋体" w:hAnsi="宋体" w:cs="宋体"/>
          <w:sz w:val="22"/>
          <w:szCs w:val="22"/>
        </w:rPr>
        <w:t xml:space="preserve"> </w:t>
      </w:r>
      <w:r>
        <w:rPr>
          <w:rFonts w:ascii="宋体" w:eastAsia="宋体" w:hAnsi="宋体" w:cs="宋体"/>
          <w:spacing w:val="-13"/>
          <w:sz w:val="22"/>
          <w:szCs w:val="22"/>
        </w:rPr>
        <w:t>中脂肪合成酶系和糖酵解酶基因的转录。现就研究较多的几个方面为例说明碳水</w:t>
      </w:r>
      <w:r>
        <w:rPr>
          <w:rFonts w:ascii="宋体" w:eastAsia="宋体" w:hAnsi="宋体" w:cs="宋体"/>
          <w:spacing w:val="13"/>
          <w:sz w:val="22"/>
          <w:szCs w:val="22"/>
        </w:rPr>
        <w:t xml:space="preserve"> </w:t>
      </w:r>
      <w:r>
        <w:rPr>
          <w:rFonts w:ascii="宋体" w:eastAsia="宋体" w:hAnsi="宋体" w:cs="宋体"/>
          <w:spacing w:val="-16"/>
          <w:sz w:val="22"/>
          <w:szCs w:val="22"/>
        </w:rPr>
        <w:t>化合物对基因表达的调控。</w:t>
      </w:r>
    </w:p>
    <w:p w:rsidR="00EA40A3" w:rsidRDefault="00E86C16">
      <w:pPr>
        <w:spacing w:before="68" w:line="245" w:lineRule="auto"/>
        <w:ind w:right="35" w:firstLine="450"/>
        <w:jc w:val="both"/>
        <w:rPr>
          <w:rFonts w:ascii="宋体" w:eastAsia="宋体" w:hAnsi="宋体" w:cs="宋体"/>
          <w:sz w:val="22"/>
          <w:szCs w:val="22"/>
        </w:rPr>
      </w:pPr>
      <w:r>
        <w:rPr>
          <w:rFonts w:ascii="宋体" w:eastAsia="宋体" w:hAnsi="宋体" w:cs="宋体"/>
          <w:spacing w:val="-7"/>
          <w:sz w:val="22"/>
          <w:szCs w:val="22"/>
        </w:rPr>
        <w:t>磷酸烯醇式丙酮酸羧激酶</w:t>
      </w:r>
      <w:r>
        <w:rPr>
          <w:rFonts w:ascii="宋体" w:eastAsia="宋体" w:hAnsi="宋体" w:cs="宋体"/>
          <w:spacing w:val="-17"/>
          <w:sz w:val="22"/>
          <w:szCs w:val="22"/>
        </w:rPr>
        <w:t xml:space="preserve"> </w:t>
      </w:r>
      <w:r>
        <w:rPr>
          <w:rFonts w:ascii="宋体" w:eastAsia="宋体" w:hAnsi="宋体" w:cs="宋体"/>
          <w:spacing w:val="-7"/>
          <w:sz w:val="22"/>
          <w:szCs w:val="22"/>
        </w:rPr>
        <w:t>(PEPCK)</w:t>
      </w:r>
      <w:r>
        <w:rPr>
          <w:rFonts w:ascii="宋体" w:eastAsia="宋体" w:hAnsi="宋体" w:cs="宋体"/>
          <w:spacing w:val="34"/>
          <w:sz w:val="22"/>
          <w:szCs w:val="22"/>
        </w:rPr>
        <w:t xml:space="preserve">  </w:t>
      </w:r>
      <w:r>
        <w:rPr>
          <w:rFonts w:ascii="宋体" w:eastAsia="宋体" w:hAnsi="宋体" w:cs="宋体"/>
          <w:spacing w:val="-7"/>
          <w:sz w:val="22"/>
          <w:szCs w:val="22"/>
        </w:rPr>
        <w:t>是肝和肾中糖原异生的关键酶，稳定</w:t>
      </w:r>
      <w:r>
        <w:rPr>
          <w:rFonts w:ascii="宋体" w:eastAsia="宋体" w:hAnsi="宋体" w:cs="宋体"/>
          <w:sz w:val="22"/>
          <w:szCs w:val="22"/>
        </w:rPr>
        <w:t xml:space="preserve"> </w:t>
      </w:r>
      <w:r>
        <w:rPr>
          <w:rFonts w:ascii="宋体" w:eastAsia="宋体" w:hAnsi="宋体" w:cs="宋体"/>
          <w:spacing w:val="-3"/>
          <w:sz w:val="22"/>
          <w:szCs w:val="22"/>
        </w:rPr>
        <w:t>的</w:t>
      </w:r>
      <w:r>
        <w:rPr>
          <w:rFonts w:ascii="宋体" w:eastAsia="宋体" w:hAnsi="宋体" w:cs="宋体"/>
          <w:spacing w:val="-59"/>
          <w:sz w:val="22"/>
          <w:szCs w:val="22"/>
        </w:rPr>
        <w:t xml:space="preserve"> </w:t>
      </w:r>
      <w:r>
        <w:rPr>
          <w:rFonts w:ascii="宋体" w:eastAsia="宋体" w:hAnsi="宋体" w:cs="宋体"/>
          <w:spacing w:val="-3"/>
          <w:sz w:val="22"/>
          <w:szCs w:val="22"/>
        </w:rPr>
        <w:t>PEPCK</w:t>
      </w:r>
      <w:r>
        <w:rPr>
          <w:rFonts w:ascii="宋体" w:eastAsia="宋体" w:hAnsi="宋体" w:cs="宋体"/>
          <w:spacing w:val="75"/>
          <w:sz w:val="22"/>
          <w:szCs w:val="22"/>
        </w:rPr>
        <w:t xml:space="preserve"> </w:t>
      </w:r>
      <w:r>
        <w:rPr>
          <w:rFonts w:ascii="宋体" w:eastAsia="宋体" w:hAnsi="宋体" w:cs="宋体"/>
          <w:spacing w:val="-3"/>
          <w:sz w:val="22"/>
          <w:szCs w:val="22"/>
        </w:rPr>
        <w:t>水平是保证动物(人)体内糖异生途径顺利进行的关键，而糖异生对</w:t>
      </w:r>
      <w:r>
        <w:rPr>
          <w:rFonts w:ascii="宋体" w:eastAsia="宋体" w:hAnsi="宋体" w:cs="宋体"/>
          <w:sz w:val="22"/>
          <w:szCs w:val="22"/>
        </w:rPr>
        <w:t xml:space="preserve"> </w:t>
      </w:r>
      <w:r>
        <w:rPr>
          <w:rFonts w:ascii="宋体" w:eastAsia="宋体" w:hAnsi="宋体" w:cs="宋体"/>
          <w:spacing w:val="-12"/>
          <w:sz w:val="22"/>
          <w:szCs w:val="22"/>
        </w:rPr>
        <w:t>机体暂时性血糖过低和大脑的供糖有极其重要的作用。研究发现，当动物进食</w:t>
      </w:r>
      <w:r>
        <w:rPr>
          <w:rFonts w:ascii="宋体" w:eastAsia="宋体" w:hAnsi="宋体" w:cs="宋体"/>
          <w:spacing w:val="-13"/>
          <w:sz w:val="22"/>
          <w:szCs w:val="22"/>
        </w:rPr>
        <w:t>大</w:t>
      </w:r>
      <w:r>
        <w:rPr>
          <w:rFonts w:ascii="宋体" w:eastAsia="宋体" w:hAnsi="宋体" w:cs="宋体"/>
          <w:sz w:val="22"/>
          <w:szCs w:val="22"/>
        </w:rPr>
        <w:t xml:space="preserve"> </w:t>
      </w:r>
      <w:r>
        <w:rPr>
          <w:rFonts w:ascii="宋体" w:eastAsia="宋体" w:hAnsi="宋体" w:cs="宋体"/>
          <w:spacing w:val="-9"/>
          <w:sz w:val="22"/>
          <w:szCs w:val="22"/>
        </w:rPr>
        <w:t>量碳水化合物时，肝中PEPCK</w:t>
      </w:r>
      <w:r>
        <w:rPr>
          <w:rFonts w:ascii="宋体" w:eastAsia="宋体" w:hAnsi="宋体" w:cs="宋体"/>
          <w:spacing w:val="103"/>
          <w:sz w:val="22"/>
          <w:szCs w:val="22"/>
        </w:rPr>
        <w:t xml:space="preserve"> </w:t>
      </w:r>
      <w:r>
        <w:rPr>
          <w:rFonts w:ascii="宋体" w:eastAsia="宋体" w:hAnsi="宋体" w:cs="宋体"/>
          <w:spacing w:val="-9"/>
          <w:sz w:val="22"/>
          <w:szCs w:val="22"/>
        </w:rPr>
        <w:t>基因的转录受到抑制，糖异生途径被关闭，这样</w:t>
      </w:r>
      <w:r>
        <w:rPr>
          <w:rFonts w:ascii="宋体" w:eastAsia="宋体" w:hAnsi="宋体" w:cs="宋体"/>
          <w:sz w:val="22"/>
          <w:szCs w:val="22"/>
        </w:rPr>
        <w:t xml:space="preserve"> </w:t>
      </w:r>
      <w:r>
        <w:rPr>
          <w:rFonts w:ascii="宋体" w:eastAsia="宋体" w:hAnsi="宋体" w:cs="宋体"/>
          <w:spacing w:val="-8"/>
          <w:sz w:val="22"/>
          <w:szCs w:val="22"/>
        </w:rPr>
        <w:t>可以保持血糖水平的稳定。碳水化合物影响PEPCK</w:t>
      </w:r>
      <w:r>
        <w:rPr>
          <w:rFonts w:ascii="宋体" w:eastAsia="宋体" w:hAnsi="宋体" w:cs="宋体"/>
          <w:spacing w:val="94"/>
          <w:sz w:val="22"/>
          <w:szCs w:val="22"/>
        </w:rPr>
        <w:t xml:space="preserve"> </w:t>
      </w:r>
      <w:r>
        <w:rPr>
          <w:rFonts w:ascii="宋体" w:eastAsia="宋体" w:hAnsi="宋体" w:cs="宋体"/>
          <w:spacing w:val="-8"/>
          <w:sz w:val="22"/>
          <w:szCs w:val="22"/>
        </w:rPr>
        <w:t>基因表达主要是通过与其启</w:t>
      </w:r>
    </w:p>
    <w:p w:rsidR="00EA40A3" w:rsidRDefault="00E86C16">
      <w:pPr>
        <w:spacing w:before="33" w:line="214" w:lineRule="auto"/>
        <w:rPr>
          <w:rFonts w:ascii="宋体" w:eastAsia="宋体" w:hAnsi="宋体" w:cs="宋体"/>
          <w:sz w:val="22"/>
          <w:szCs w:val="22"/>
        </w:rPr>
      </w:pPr>
      <w:r>
        <w:rPr>
          <w:rFonts w:ascii="宋体" w:eastAsia="宋体" w:hAnsi="宋体" w:cs="宋体"/>
          <w:spacing w:val="-3"/>
          <w:sz w:val="22"/>
          <w:szCs w:val="22"/>
        </w:rPr>
        <w:t>动子上主要的调控元件CRE(-87～-74bp)</w:t>
      </w:r>
      <w:r>
        <w:rPr>
          <w:rFonts w:ascii="宋体" w:eastAsia="宋体" w:hAnsi="宋体" w:cs="宋体"/>
          <w:spacing w:val="9"/>
          <w:sz w:val="22"/>
          <w:szCs w:val="22"/>
        </w:rPr>
        <w:t xml:space="preserve">    </w:t>
      </w:r>
      <w:r>
        <w:rPr>
          <w:rFonts w:ascii="宋体" w:eastAsia="宋体" w:hAnsi="宋体" w:cs="宋体"/>
          <w:spacing w:val="-3"/>
          <w:sz w:val="22"/>
          <w:szCs w:val="22"/>
        </w:rPr>
        <w:t>和</w:t>
      </w:r>
      <w:r>
        <w:rPr>
          <w:rFonts w:ascii="宋体" w:eastAsia="宋体" w:hAnsi="宋体" w:cs="宋体"/>
          <w:spacing w:val="-51"/>
          <w:sz w:val="22"/>
          <w:szCs w:val="22"/>
        </w:rPr>
        <w:t xml:space="preserve"> </w:t>
      </w:r>
      <w:r>
        <w:rPr>
          <w:rFonts w:ascii="宋体" w:eastAsia="宋体" w:hAnsi="宋体" w:cs="宋体"/>
          <w:spacing w:val="-3"/>
          <w:sz w:val="22"/>
          <w:szCs w:val="22"/>
        </w:rPr>
        <w:t>P3(I)(-248～-230bp)</w:t>
      </w:r>
      <w:r>
        <w:rPr>
          <w:rFonts w:ascii="宋体" w:eastAsia="宋体" w:hAnsi="宋体" w:cs="宋体"/>
          <w:spacing w:val="11"/>
          <w:sz w:val="22"/>
          <w:szCs w:val="22"/>
        </w:rPr>
        <w:t xml:space="preserve">    </w:t>
      </w:r>
      <w:r>
        <w:rPr>
          <w:rFonts w:ascii="宋体" w:eastAsia="宋体" w:hAnsi="宋体" w:cs="宋体"/>
          <w:spacing w:val="-3"/>
          <w:sz w:val="22"/>
          <w:szCs w:val="22"/>
        </w:rPr>
        <w:t>作</w:t>
      </w:r>
    </w:p>
    <w:p w:rsidR="00EA40A3" w:rsidRDefault="00E86C16">
      <w:pPr>
        <w:spacing w:before="51" w:line="220" w:lineRule="auto"/>
        <w:rPr>
          <w:rFonts w:ascii="宋体" w:eastAsia="宋体" w:hAnsi="宋体" w:cs="宋体"/>
          <w:sz w:val="22"/>
          <w:szCs w:val="22"/>
        </w:rPr>
      </w:pPr>
      <w:r>
        <w:rPr>
          <w:rFonts w:ascii="宋体" w:eastAsia="宋体" w:hAnsi="宋体" w:cs="宋体"/>
          <w:spacing w:val="-17"/>
          <w:sz w:val="22"/>
          <w:szCs w:val="22"/>
        </w:rPr>
        <w:t>用而实现的。</w:t>
      </w:r>
    </w:p>
    <w:p w:rsidR="00EA40A3" w:rsidRDefault="00E86C16">
      <w:pPr>
        <w:spacing w:before="89" w:line="245" w:lineRule="auto"/>
        <w:ind w:right="53" w:firstLine="450"/>
        <w:jc w:val="both"/>
        <w:rPr>
          <w:rFonts w:ascii="宋体" w:eastAsia="宋体" w:hAnsi="宋体" w:cs="宋体"/>
          <w:sz w:val="22"/>
          <w:szCs w:val="22"/>
        </w:rPr>
      </w:pPr>
      <w:r>
        <w:rPr>
          <w:rFonts w:ascii="宋体" w:eastAsia="宋体" w:hAnsi="宋体" w:cs="宋体"/>
          <w:spacing w:val="-11"/>
          <w:sz w:val="22"/>
          <w:szCs w:val="22"/>
        </w:rPr>
        <w:t>甲状腺素、碳水化合物和脂肪等对一种含硫蛋白S14</w:t>
      </w:r>
      <w:r>
        <w:rPr>
          <w:rFonts w:ascii="宋体" w:eastAsia="宋体" w:hAnsi="宋体" w:cs="宋体"/>
          <w:spacing w:val="-51"/>
          <w:sz w:val="22"/>
          <w:szCs w:val="22"/>
        </w:rPr>
        <w:t xml:space="preserve"> </w:t>
      </w:r>
      <w:r>
        <w:rPr>
          <w:rFonts w:ascii="宋体" w:eastAsia="宋体" w:hAnsi="宋体" w:cs="宋体"/>
          <w:spacing w:val="-11"/>
          <w:sz w:val="22"/>
          <w:szCs w:val="22"/>
        </w:rPr>
        <w:t>基因编码表达有明显的</w:t>
      </w:r>
      <w:r>
        <w:rPr>
          <w:rFonts w:ascii="宋体" w:eastAsia="宋体" w:hAnsi="宋体" w:cs="宋体"/>
          <w:sz w:val="22"/>
          <w:szCs w:val="22"/>
        </w:rPr>
        <w:t xml:space="preserve"> </w:t>
      </w:r>
      <w:r>
        <w:rPr>
          <w:rFonts w:ascii="宋体" w:eastAsia="宋体" w:hAnsi="宋体" w:cs="宋体"/>
          <w:spacing w:val="-12"/>
          <w:sz w:val="22"/>
          <w:szCs w:val="22"/>
        </w:rPr>
        <w:t>调节作用，并且与脂肪合成酶基因表达有明确的相关性，因此它在脂肪代谢方</w:t>
      </w:r>
      <w:r>
        <w:rPr>
          <w:rFonts w:ascii="宋体" w:eastAsia="宋体" w:hAnsi="宋体" w:cs="宋体"/>
          <w:spacing w:val="-13"/>
          <w:sz w:val="22"/>
          <w:szCs w:val="22"/>
        </w:rPr>
        <w:t>面</w:t>
      </w:r>
      <w:r>
        <w:rPr>
          <w:rFonts w:ascii="宋体" w:eastAsia="宋体" w:hAnsi="宋体" w:cs="宋体"/>
          <w:sz w:val="22"/>
          <w:szCs w:val="22"/>
        </w:rPr>
        <w:t xml:space="preserve"> </w:t>
      </w:r>
      <w:r>
        <w:rPr>
          <w:rFonts w:ascii="宋体" w:eastAsia="宋体" w:hAnsi="宋体" w:cs="宋体"/>
          <w:spacing w:val="-10"/>
          <w:sz w:val="22"/>
          <w:szCs w:val="22"/>
        </w:rPr>
        <w:t>起着重要作用。</w:t>
      </w:r>
      <w:r>
        <w:rPr>
          <w:rFonts w:ascii="宋体" w:eastAsia="宋体" w:hAnsi="宋体" w:cs="宋体"/>
          <w:spacing w:val="-20"/>
          <w:sz w:val="22"/>
          <w:szCs w:val="22"/>
        </w:rPr>
        <w:t xml:space="preserve"> </w:t>
      </w:r>
      <w:r>
        <w:rPr>
          <w:rFonts w:ascii="宋体" w:eastAsia="宋体" w:hAnsi="宋体" w:cs="宋体"/>
          <w:spacing w:val="-10"/>
          <w:sz w:val="22"/>
          <w:szCs w:val="22"/>
        </w:rPr>
        <w:t>S14</w:t>
      </w:r>
      <w:r>
        <w:rPr>
          <w:rFonts w:ascii="宋体" w:eastAsia="宋体" w:hAnsi="宋体" w:cs="宋体"/>
          <w:spacing w:val="-41"/>
          <w:sz w:val="22"/>
          <w:szCs w:val="22"/>
        </w:rPr>
        <w:t xml:space="preserve"> </w:t>
      </w:r>
      <w:r>
        <w:rPr>
          <w:rFonts w:ascii="宋体" w:eastAsia="宋体" w:hAnsi="宋体" w:cs="宋体"/>
          <w:spacing w:val="-10"/>
          <w:sz w:val="22"/>
          <w:szCs w:val="22"/>
        </w:rPr>
        <w:t>基因存在能对葡萄糖做出特异应答反应的元件(葡萄糖反</w:t>
      </w:r>
      <w:r>
        <w:rPr>
          <w:rFonts w:ascii="宋体" w:eastAsia="宋体" w:hAnsi="宋体" w:cs="宋体"/>
          <w:spacing w:val="-11"/>
          <w:sz w:val="22"/>
          <w:szCs w:val="22"/>
        </w:rPr>
        <w:t>应</w:t>
      </w:r>
      <w:r>
        <w:rPr>
          <w:rFonts w:ascii="宋体" w:eastAsia="宋体" w:hAnsi="宋体" w:cs="宋体"/>
          <w:sz w:val="22"/>
          <w:szCs w:val="22"/>
        </w:rPr>
        <w:t xml:space="preserve"> </w:t>
      </w:r>
      <w:r>
        <w:rPr>
          <w:rFonts w:ascii="宋体" w:eastAsia="宋体" w:hAnsi="宋体" w:cs="宋体"/>
          <w:spacing w:val="-8"/>
          <w:sz w:val="22"/>
          <w:szCs w:val="22"/>
        </w:rPr>
        <w:t>元件，位于启动子的1428～1457bp)。</w:t>
      </w:r>
      <w:r>
        <w:rPr>
          <w:rFonts w:ascii="宋体" w:eastAsia="宋体" w:hAnsi="宋体" w:cs="宋体"/>
          <w:spacing w:val="-43"/>
          <w:sz w:val="22"/>
          <w:szCs w:val="22"/>
        </w:rPr>
        <w:t xml:space="preserve"> </w:t>
      </w:r>
      <w:r>
        <w:rPr>
          <w:rFonts w:ascii="宋体" w:eastAsia="宋体" w:hAnsi="宋体" w:cs="宋体"/>
          <w:spacing w:val="-8"/>
          <w:sz w:val="22"/>
          <w:szCs w:val="22"/>
        </w:rPr>
        <w:t>因此，葡萄糖可以通过调节S14</w:t>
      </w:r>
      <w:r>
        <w:rPr>
          <w:rFonts w:ascii="宋体" w:eastAsia="宋体" w:hAnsi="宋体" w:cs="宋体"/>
          <w:spacing w:val="-50"/>
          <w:sz w:val="22"/>
          <w:szCs w:val="22"/>
        </w:rPr>
        <w:t xml:space="preserve"> </w:t>
      </w:r>
      <w:r>
        <w:rPr>
          <w:rFonts w:ascii="宋体" w:eastAsia="宋体" w:hAnsi="宋体" w:cs="宋体"/>
          <w:spacing w:val="-8"/>
          <w:sz w:val="22"/>
          <w:szCs w:val="22"/>
        </w:rPr>
        <w:t>基因的表</w:t>
      </w:r>
      <w:r>
        <w:rPr>
          <w:rFonts w:ascii="宋体" w:eastAsia="宋体" w:hAnsi="宋体" w:cs="宋体"/>
          <w:sz w:val="22"/>
          <w:szCs w:val="22"/>
        </w:rPr>
        <w:t xml:space="preserve"> </w:t>
      </w:r>
      <w:r>
        <w:rPr>
          <w:rFonts w:ascii="宋体" w:eastAsia="宋体" w:hAnsi="宋体" w:cs="宋体"/>
          <w:spacing w:val="-15"/>
          <w:sz w:val="22"/>
          <w:szCs w:val="22"/>
        </w:rPr>
        <w:t>达来对脂肪合成酶的基因表达进行调控。</w:t>
      </w:r>
    </w:p>
    <w:p w:rsidR="00EA40A3" w:rsidRDefault="00E86C16">
      <w:pPr>
        <w:spacing w:before="70" w:line="245" w:lineRule="auto"/>
        <w:ind w:right="39" w:firstLine="450"/>
        <w:jc w:val="both"/>
        <w:rPr>
          <w:rFonts w:ascii="宋体" w:eastAsia="宋体" w:hAnsi="宋体" w:cs="宋体"/>
          <w:sz w:val="22"/>
          <w:szCs w:val="22"/>
        </w:rPr>
      </w:pPr>
      <w:r>
        <w:rPr>
          <w:rFonts w:ascii="宋体" w:eastAsia="宋体" w:hAnsi="宋体" w:cs="宋体"/>
          <w:spacing w:val="-10"/>
          <w:sz w:val="22"/>
          <w:szCs w:val="22"/>
        </w:rPr>
        <w:t>葡萄糖-6-磷酸是启动脂肪酸合成酶FAS</w:t>
      </w:r>
      <w:r>
        <w:rPr>
          <w:rFonts w:ascii="宋体" w:eastAsia="宋体" w:hAnsi="宋体" w:cs="宋体"/>
          <w:spacing w:val="49"/>
          <w:sz w:val="22"/>
          <w:szCs w:val="22"/>
        </w:rPr>
        <w:t xml:space="preserve"> </w:t>
      </w:r>
      <w:r>
        <w:rPr>
          <w:rFonts w:ascii="宋体" w:eastAsia="宋体" w:hAnsi="宋体" w:cs="宋体"/>
          <w:spacing w:val="-10"/>
          <w:sz w:val="22"/>
          <w:szCs w:val="22"/>
        </w:rPr>
        <w:t>等基因表达的直接诱导因子。它是</w:t>
      </w:r>
      <w:r>
        <w:rPr>
          <w:rFonts w:ascii="宋体" w:eastAsia="宋体" w:hAnsi="宋体" w:cs="宋体"/>
          <w:sz w:val="22"/>
          <w:szCs w:val="22"/>
        </w:rPr>
        <w:t xml:space="preserve"> </w:t>
      </w:r>
      <w:r>
        <w:rPr>
          <w:rFonts w:ascii="宋体" w:eastAsia="宋体" w:hAnsi="宋体" w:cs="宋体"/>
          <w:spacing w:val="-12"/>
          <w:sz w:val="22"/>
          <w:szCs w:val="22"/>
        </w:rPr>
        <w:t>葡萄糖在葡萄糖激酶作用下形成的，是刺激基因表达的直接信号分子。而葡萄</w:t>
      </w:r>
      <w:r>
        <w:rPr>
          <w:rFonts w:ascii="宋体" w:eastAsia="宋体" w:hAnsi="宋体" w:cs="宋体"/>
          <w:spacing w:val="-13"/>
          <w:sz w:val="22"/>
          <w:szCs w:val="22"/>
        </w:rPr>
        <w:t>糖</w:t>
      </w:r>
      <w:r>
        <w:rPr>
          <w:rFonts w:ascii="宋体" w:eastAsia="宋体" w:hAnsi="宋体" w:cs="宋体"/>
          <w:sz w:val="22"/>
          <w:szCs w:val="22"/>
        </w:rPr>
        <w:t xml:space="preserve"> </w:t>
      </w:r>
      <w:r>
        <w:rPr>
          <w:rFonts w:ascii="宋体" w:eastAsia="宋体" w:hAnsi="宋体" w:cs="宋体"/>
          <w:spacing w:val="-12"/>
          <w:sz w:val="22"/>
          <w:szCs w:val="22"/>
        </w:rPr>
        <w:t>激酶的表达受胰岛素调控，因此胰岛素通过刺激葡萄糖激酶表达，加快葡萄糖代</w:t>
      </w:r>
      <w:r>
        <w:rPr>
          <w:rFonts w:ascii="宋体" w:eastAsia="宋体" w:hAnsi="宋体" w:cs="宋体"/>
          <w:sz w:val="22"/>
          <w:szCs w:val="22"/>
        </w:rPr>
        <w:t xml:space="preserve"> </w:t>
      </w:r>
      <w:r>
        <w:rPr>
          <w:rFonts w:ascii="宋体" w:eastAsia="宋体" w:hAnsi="宋体" w:cs="宋体"/>
          <w:spacing w:val="-17"/>
          <w:sz w:val="22"/>
          <w:szCs w:val="22"/>
        </w:rPr>
        <w:t>谢，从而对基因表达间接发挥作用。但胰岛素并不是必需的，</w:t>
      </w:r>
      <w:r>
        <w:rPr>
          <w:rFonts w:ascii="宋体" w:eastAsia="宋体" w:hAnsi="宋体" w:cs="宋体"/>
          <w:spacing w:val="63"/>
          <w:sz w:val="22"/>
          <w:szCs w:val="22"/>
        </w:rPr>
        <w:t xml:space="preserve"> </w:t>
      </w:r>
      <w:r>
        <w:rPr>
          <w:rFonts w:ascii="宋体" w:eastAsia="宋体" w:hAnsi="宋体" w:cs="宋体"/>
          <w:spacing w:val="-17"/>
          <w:sz w:val="22"/>
          <w:szCs w:val="22"/>
        </w:rPr>
        <w:t>一旦葡萄糖激酶数</w:t>
      </w:r>
      <w:r>
        <w:rPr>
          <w:rFonts w:ascii="宋体" w:eastAsia="宋体" w:hAnsi="宋体" w:cs="宋体"/>
          <w:sz w:val="22"/>
          <w:szCs w:val="22"/>
        </w:rPr>
        <w:t xml:space="preserve"> </w:t>
      </w:r>
      <w:r>
        <w:rPr>
          <w:rFonts w:ascii="宋体" w:eastAsia="宋体" w:hAnsi="宋体" w:cs="宋体"/>
          <w:spacing w:val="-14"/>
          <w:sz w:val="22"/>
          <w:szCs w:val="22"/>
        </w:rPr>
        <w:t>量和活性足够，在葡萄糖刺激基因转录中则不再需要胰岛素。</w:t>
      </w:r>
    </w:p>
    <w:p w:rsidR="00EA40A3" w:rsidRDefault="00E86C16">
      <w:pPr>
        <w:spacing w:before="248" w:line="223" w:lineRule="auto"/>
        <w:rPr>
          <w:rFonts w:ascii="仿宋" w:eastAsia="仿宋" w:hAnsi="仿宋" w:cs="仿宋"/>
          <w:sz w:val="22"/>
          <w:szCs w:val="22"/>
        </w:rPr>
      </w:pPr>
      <w:r>
        <w:rPr>
          <w:rFonts w:ascii="仿宋" w:eastAsia="仿宋" w:hAnsi="仿宋" w:cs="仿宋"/>
          <w:spacing w:val="14"/>
          <w:sz w:val="22"/>
          <w:szCs w:val="22"/>
        </w:rPr>
        <w:t>2.</w:t>
      </w:r>
      <w:r>
        <w:rPr>
          <w:rFonts w:ascii="仿宋" w:eastAsia="仿宋" w:hAnsi="仿宋" w:cs="仿宋"/>
          <w:spacing w:val="16"/>
          <w:sz w:val="22"/>
          <w:szCs w:val="22"/>
        </w:rPr>
        <w:t xml:space="preserve"> </w:t>
      </w:r>
      <w:r>
        <w:rPr>
          <w:rFonts w:ascii="仿宋" w:eastAsia="仿宋" w:hAnsi="仿宋" w:cs="仿宋"/>
          <w:spacing w:val="14"/>
          <w:sz w:val="22"/>
          <w:szCs w:val="22"/>
        </w:rPr>
        <w:t>蛋白质与氨基酸水平对基因表达的调控</w:t>
      </w:r>
    </w:p>
    <w:p w:rsidR="00EA40A3" w:rsidRDefault="00E86C16">
      <w:pPr>
        <w:spacing w:before="237" w:line="246" w:lineRule="auto"/>
        <w:ind w:firstLine="450"/>
        <w:jc w:val="both"/>
        <w:rPr>
          <w:rFonts w:ascii="宋体" w:eastAsia="宋体" w:hAnsi="宋体" w:cs="宋体"/>
          <w:sz w:val="22"/>
          <w:szCs w:val="22"/>
        </w:rPr>
      </w:pPr>
      <w:r>
        <w:rPr>
          <w:rFonts w:ascii="宋体" w:eastAsia="宋体" w:hAnsi="宋体" w:cs="宋体"/>
          <w:spacing w:val="-6"/>
          <w:sz w:val="22"/>
          <w:szCs w:val="22"/>
        </w:rPr>
        <w:t>膳食中蛋白质可能以功能蛋白的形式或者分解成氨基酸对基因表达进行调</w:t>
      </w:r>
      <w:r>
        <w:rPr>
          <w:rFonts w:ascii="宋体" w:eastAsia="宋体" w:hAnsi="宋体" w:cs="宋体"/>
          <w:spacing w:val="8"/>
          <w:sz w:val="22"/>
          <w:szCs w:val="22"/>
        </w:rPr>
        <w:t xml:space="preserve"> </w:t>
      </w:r>
      <w:r>
        <w:rPr>
          <w:rFonts w:ascii="宋体" w:eastAsia="宋体" w:hAnsi="宋体" w:cs="宋体"/>
          <w:spacing w:val="-6"/>
          <w:sz w:val="22"/>
          <w:szCs w:val="22"/>
        </w:rPr>
        <w:t>控。如亮氨酸能够调控细胞基因的表达。胰岛素样生长因子结合蛋白</w:t>
      </w:r>
      <w:r>
        <w:rPr>
          <w:rFonts w:ascii="宋体" w:eastAsia="宋体" w:hAnsi="宋体" w:cs="宋体"/>
          <w:spacing w:val="-47"/>
          <w:sz w:val="22"/>
          <w:szCs w:val="22"/>
        </w:rPr>
        <w:t xml:space="preserve"> </w:t>
      </w:r>
      <w:r>
        <w:rPr>
          <w:rFonts w:ascii="宋体" w:eastAsia="宋体" w:hAnsi="宋体" w:cs="宋体"/>
          <w:spacing w:val="-6"/>
          <w:sz w:val="22"/>
          <w:szCs w:val="22"/>
        </w:rPr>
        <w:t>(IGFBP-</w:t>
      </w:r>
      <w:r>
        <w:rPr>
          <w:rFonts w:ascii="宋体" w:eastAsia="宋体" w:hAnsi="宋体" w:cs="宋体"/>
          <w:sz w:val="22"/>
          <w:szCs w:val="22"/>
        </w:rPr>
        <w:t xml:space="preserve">  </w:t>
      </w:r>
      <w:r>
        <w:rPr>
          <w:rFonts w:ascii="宋体" w:eastAsia="宋体" w:hAnsi="宋体" w:cs="宋体"/>
          <w:spacing w:val="-7"/>
          <w:sz w:val="22"/>
          <w:szCs w:val="22"/>
        </w:rPr>
        <w:t>1)mRNA</w:t>
      </w:r>
      <w:r>
        <w:rPr>
          <w:rFonts w:ascii="宋体" w:eastAsia="宋体" w:hAnsi="宋体" w:cs="宋体"/>
          <w:spacing w:val="1"/>
          <w:sz w:val="22"/>
          <w:szCs w:val="22"/>
        </w:rPr>
        <w:t xml:space="preserve">   </w:t>
      </w:r>
      <w:r>
        <w:rPr>
          <w:rFonts w:ascii="宋体" w:eastAsia="宋体" w:hAnsi="宋体" w:cs="宋体"/>
          <w:spacing w:val="-7"/>
          <w:sz w:val="22"/>
          <w:szCs w:val="22"/>
        </w:rPr>
        <w:t>和蛋白在细胞中的基础水平很低，而当培养基中亮氨酸浓度下</w:t>
      </w:r>
      <w:r>
        <w:rPr>
          <w:rFonts w:ascii="宋体" w:eastAsia="宋体" w:hAnsi="宋体" w:cs="宋体"/>
          <w:spacing w:val="-8"/>
          <w:sz w:val="22"/>
          <w:szCs w:val="22"/>
        </w:rPr>
        <w:t>降时，</w:t>
      </w:r>
      <w:r>
        <w:rPr>
          <w:rFonts w:ascii="宋体" w:eastAsia="宋体" w:hAnsi="宋体" w:cs="宋体"/>
          <w:spacing w:val="1"/>
          <w:sz w:val="22"/>
          <w:szCs w:val="22"/>
        </w:rPr>
        <w:t xml:space="preserve"> </w:t>
      </w:r>
      <w:r>
        <w:rPr>
          <w:rFonts w:ascii="宋体" w:eastAsia="宋体" w:hAnsi="宋体" w:cs="宋体"/>
          <w:spacing w:val="-12"/>
          <w:sz w:val="22"/>
          <w:szCs w:val="22"/>
        </w:rPr>
        <w:t>其浓度迅速上升。另外，耗竭精氨酸、亮氨酸、胱氨酸和所有必需氨基酸均会导</w:t>
      </w:r>
      <w:r>
        <w:rPr>
          <w:rFonts w:ascii="宋体" w:eastAsia="宋体" w:hAnsi="宋体" w:cs="宋体"/>
          <w:spacing w:val="2"/>
          <w:sz w:val="22"/>
          <w:szCs w:val="22"/>
        </w:rPr>
        <w:t xml:space="preserve"> </w:t>
      </w:r>
      <w:r>
        <w:rPr>
          <w:rFonts w:ascii="宋体" w:eastAsia="宋体" w:hAnsi="宋体" w:cs="宋体"/>
          <w:spacing w:val="-7"/>
          <w:sz w:val="22"/>
          <w:szCs w:val="22"/>
        </w:rPr>
        <w:t>致</w:t>
      </w:r>
      <w:r>
        <w:rPr>
          <w:rFonts w:ascii="宋体" w:eastAsia="宋体" w:hAnsi="宋体" w:cs="宋体"/>
          <w:spacing w:val="-34"/>
          <w:sz w:val="22"/>
          <w:szCs w:val="22"/>
        </w:rPr>
        <w:t xml:space="preserve"> </w:t>
      </w:r>
      <w:r>
        <w:rPr>
          <w:rFonts w:ascii="宋体" w:eastAsia="宋体" w:hAnsi="宋体" w:cs="宋体"/>
          <w:spacing w:val="-7"/>
          <w:sz w:val="22"/>
          <w:szCs w:val="22"/>
        </w:rPr>
        <w:t>IGFBP-1</w:t>
      </w:r>
      <w:r>
        <w:rPr>
          <w:rFonts w:ascii="宋体" w:eastAsia="宋体" w:hAnsi="宋体" w:cs="宋体"/>
          <w:spacing w:val="49"/>
          <w:sz w:val="22"/>
          <w:szCs w:val="22"/>
        </w:rPr>
        <w:t xml:space="preserve">  </w:t>
      </w:r>
      <w:r>
        <w:rPr>
          <w:rFonts w:ascii="宋体" w:eastAsia="宋体" w:hAnsi="宋体" w:cs="宋体"/>
          <w:spacing w:val="-7"/>
          <w:sz w:val="22"/>
          <w:szCs w:val="22"/>
        </w:rPr>
        <w:t>mRNA和蛋白质的表达增加，并呈剂量依赖关系，从肝细胞培养基</w:t>
      </w:r>
      <w:r>
        <w:rPr>
          <w:rFonts w:ascii="宋体" w:eastAsia="宋体" w:hAnsi="宋体" w:cs="宋体"/>
          <w:sz w:val="22"/>
          <w:szCs w:val="22"/>
        </w:rPr>
        <w:t xml:space="preserve"> </w:t>
      </w:r>
      <w:r>
        <w:rPr>
          <w:rFonts w:ascii="宋体" w:eastAsia="宋体" w:hAnsi="宋体" w:cs="宋体"/>
          <w:spacing w:val="-9"/>
          <w:sz w:val="22"/>
          <w:szCs w:val="22"/>
        </w:rPr>
        <w:t>中除去色氨酸，</w:t>
      </w:r>
      <w:r>
        <w:rPr>
          <w:rFonts w:ascii="宋体" w:eastAsia="宋体" w:hAnsi="宋体" w:cs="宋体"/>
          <w:spacing w:val="-32"/>
          <w:sz w:val="22"/>
          <w:szCs w:val="22"/>
        </w:rPr>
        <w:t xml:space="preserve"> </w:t>
      </w:r>
      <w:r>
        <w:rPr>
          <w:rFonts w:ascii="宋体" w:eastAsia="宋体" w:hAnsi="宋体" w:cs="宋体"/>
          <w:spacing w:val="-9"/>
          <w:sz w:val="22"/>
          <w:szCs w:val="22"/>
        </w:rPr>
        <w:t>IGF-ImRNA</w:t>
      </w:r>
      <w:r>
        <w:rPr>
          <w:rFonts w:ascii="宋体" w:eastAsia="宋体" w:hAnsi="宋体" w:cs="宋体"/>
          <w:spacing w:val="3"/>
          <w:sz w:val="22"/>
          <w:szCs w:val="22"/>
        </w:rPr>
        <w:t xml:space="preserve">   </w:t>
      </w:r>
      <w:r>
        <w:rPr>
          <w:rFonts w:ascii="宋体" w:eastAsia="宋体" w:hAnsi="宋体" w:cs="宋体"/>
          <w:spacing w:val="-9"/>
          <w:sz w:val="22"/>
          <w:szCs w:val="22"/>
        </w:rPr>
        <w:t>水平及IGF-</w:t>
      </w:r>
      <w:r>
        <w:rPr>
          <w:rFonts w:ascii="宋体" w:eastAsia="宋体" w:hAnsi="宋体" w:cs="宋体"/>
          <w:spacing w:val="-10"/>
          <w:sz w:val="22"/>
          <w:szCs w:val="22"/>
        </w:rPr>
        <w:t>I</w:t>
      </w:r>
      <w:r>
        <w:rPr>
          <w:rFonts w:ascii="宋体" w:eastAsia="宋体" w:hAnsi="宋体" w:cs="宋体"/>
          <w:spacing w:val="-9"/>
          <w:sz w:val="22"/>
          <w:szCs w:val="22"/>
        </w:rPr>
        <w:t xml:space="preserve"> </w:t>
      </w:r>
      <w:r>
        <w:rPr>
          <w:rFonts w:ascii="宋体" w:eastAsia="宋体" w:hAnsi="宋体" w:cs="宋体"/>
          <w:spacing w:val="-10"/>
          <w:sz w:val="22"/>
          <w:szCs w:val="22"/>
        </w:rPr>
        <w:t>分泌量均降低。</w:t>
      </w:r>
    </w:p>
    <w:p w:rsidR="00EA40A3" w:rsidRDefault="00EA40A3">
      <w:pPr>
        <w:sectPr w:rsidR="00EA40A3">
          <w:footerReference w:type="default" r:id="rId304"/>
          <w:pgSz w:w="9220" w:h="13360"/>
          <w:pgMar w:top="400" w:right="979" w:bottom="1237" w:left="899" w:header="0" w:footer="1029" w:gutter="0"/>
          <w:cols w:space="720"/>
        </w:sectPr>
      </w:pPr>
    </w:p>
    <w:p w:rsidR="00EA40A3" w:rsidRDefault="00EA40A3"/>
    <w:p w:rsidR="00EA40A3" w:rsidRDefault="00EA40A3">
      <w:pPr>
        <w:spacing w:line="241" w:lineRule="auto"/>
      </w:pPr>
    </w:p>
    <w:p w:rsidR="00EA40A3" w:rsidRDefault="00EA40A3">
      <w:pPr>
        <w:spacing w:line="241" w:lineRule="auto"/>
      </w:pPr>
    </w:p>
    <w:p w:rsidR="00EA40A3" w:rsidRDefault="00E86C16">
      <w:pPr>
        <w:spacing w:before="71" w:line="223"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6"/>
          <w:sz w:val="22"/>
          <w:szCs w:val="22"/>
        </w:rPr>
        <w:t xml:space="preserve"> </w:t>
      </w:r>
      <w:r>
        <w:rPr>
          <w:rFonts w:ascii="仿宋" w:eastAsia="仿宋" w:hAnsi="仿宋" w:cs="仿宋"/>
          <w:spacing w:val="14"/>
          <w:sz w:val="22"/>
          <w:szCs w:val="22"/>
        </w:rPr>
        <w:t>脂肪对基因表达的调控</w:t>
      </w:r>
    </w:p>
    <w:p w:rsidR="00EA40A3" w:rsidRDefault="00E86C16">
      <w:pPr>
        <w:spacing w:before="164" w:line="250" w:lineRule="auto"/>
        <w:ind w:right="12" w:firstLine="399"/>
        <w:rPr>
          <w:rFonts w:ascii="宋体" w:eastAsia="宋体" w:hAnsi="宋体" w:cs="宋体"/>
          <w:sz w:val="22"/>
          <w:szCs w:val="22"/>
        </w:rPr>
      </w:pPr>
      <w:r>
        <w:rPr>
          <w:rFonts w:ascii="宋体" w:eastAsia="宋体" w:hAnsi="宋体" w:cs="宋体"/>
          <w:spacing w:val="-13"/>
          <w:sz w:val="22"/>
          <w:szCs w:val="22"/>
        </w:rPr>
        <w:t>膳食脂肪是所有生物生长和发育的重要营养素。除了作为供能物质和构成生</w:t>
      </w:r>
      <w:r>
        <w:rPr>
          <w:rFonts w:ascii="宋体" w:eastAsia="宋体" w:hAnsi="宋体" w:cs="宋体"/>
          <w:spacing w:val="7"/>
          <w:sz w:val="22"/>
          <w:szCs w:val="22"/>
        </w:rPr>
        <w:t xml:space="preserve"> </w:t>
      </w:r>
      <w:r>
        <w:rPr>
          <w:rFonts w:ascii="宋体" w:eastAsia="宋体" w:hAnsi="宋体" w:cs="宋体"/>
          <w:spacing w:val="-13"/>
          <w:sz w:val="22"/>
          <w:szCs w:val="22"/>
        </w:rPr>
        <w:t>物膜的成分以外，膳食脂肪还对基因表达有影响。通常，膳食脂肪是经水解变成</w:t>
      </w:r>
      <w:r>
        <w:rPr>
          <w:rFonts w:ascii="宋体" w:eastAsia="宋体" w:hAnsi="宋体" w:cs="宋体"/>
          <w:spacing w:val="13"/>
          <w:sz w:val="22"/>
          <w:szCs w:val="22"/>
        </w:rPr>
        <w:t xml:space="preserve"> </w:t>
      </w:r>
      <w:r>
        <w:rPr>
          <w:rFonts w:ascii="宋体" w:eastAsia="宋体" w:hAnsi="宋体" w:cs="宋体"/>
          <w:spacing w:val="-5"/>
          <w:sz w:val="22"/>
          <w:szCs w:val="22"/>
        </w:rPr>
        <w:t>脂肪酸而发挥作用的。尤其是n-3和n-6系列的多不饱和脂肪酸</w:t>
      </w:r>
      <w:r>
        <w:rPr>
          <w:rFonts w:ascii="宋体" w:eastAsia="宋体" w:hAnsi="宋体" w:cs="宋体"/>
          <w:spacing w:val="18"/>
          <w:sz w:val="22"/>
          <w:szCs w:val="22"/>
        </w:rPr>
        <w:t xml:space="preserve"> </w:t>
      </w:r>
      <w:r>
        <w:rPr>
          <w:rFonts w:ascii="宋体" w:eastAsia="宋体" w:hAnsi="宋体" w:cs="宋体"/>
          <w:spacing w:val="-5"/>
          <w:sz w:val="22"/>
          <w:szCs w:val="22"/>
        </w:rPr>
        <w:t>(PUFA)</w:t>
      </w:r>
      <w:r>
        <w:rPr>
          <w:rFonts w:ascii="宋体" w:eastAsia="宋体" w:hAnsi="宋体" w:cs="宋体"/>
          <w:spacing w:val="33"/>
          <w:sz w:val="22"/>
          <w:szCs w:val="22"/>
        </w:rPr>
        <w:t xml:space="preserve">  </w:t>
      </w:r>
      <w:r>
        <w:rPr>
          <w:rFonts w:ascii="宋体" w:eastAsia="宋体" w:hAnsi="宋体" w:cs="宋体"/>
          <w:spacing w:val="-5"/>
          <w:sz w:val="22"/>
          <w:szCs w:val="22"/>
        </w:rPr>
        <w:t>与基</w:t>
      </w:r>
      <w:r>
        <w:rPr>
          <w:rFonts w:ascii="宋体" w:eastAsia="宋体" w:hAnsi="宋体" w:cs="宋体"/>
          <w:spacing w:val="1"/>
          <w:sz w:val="22"/>
          <w:szCs w:val="22"/>
        </w:rPr>
        <w:t xml:space="preserve"> </w:t>
      </w:r>
      <w:r>
        <w:rPr>
          <w:rFonts w:ascii="宋体" w:eastAsia="宋体" w:hAnsi="宋体" w:cs="宋体"/>
          <w:spacing w:val="-16"/>
          <w:sz w:val="22"/>
          <w:szCs w:val="22"/>
        </w:rPr>
        <w:t>因调节之间的关系最为密切。</w:t>
      </w:r>
    </w:p>
    <w:p w:rsidR="00EA40A3" w:rsidRDefault="00E86C16">
      <w:pPr>
        <w:spacing w:before="27" w:line="254" w:lineRule="auto"/>
        <w:ind w:right="2" w:firstLine="399"/>
        <w:rPr>
          <w:rFonts w:ascii="宋体" w:eastAsia="宋体" w:hAnsi="宋体" w:cs="宋体"/>
          <w:sz w:val="22"/>
          <w:szCs w:val="22"/>
        </w:rPr>
      </w:pPr>
      <w:r>
        <w:rPr>
          <w:rFonts w:ascii="宋体" w:eastAsia="宋体" w:hAnsi="宋体" w:cs="宋体"/>
          <w:spacing w:val="-12"/>
          <w:sz w:val="22"/>
          <w:szCs w:val="22"/>
        </w:rPr>
        <w:t>脂肪被肝脂酶和脂蛋白酶水解以后产生的游离脂肪酸，可通过</w:t>
      </w:r>
      <w:r>
        <w:rPr>
          <w:rFonts w:ascii="宋体" w:eastAsia="宋体" w:hAnsi="宋体" w:cs="宋体"/>
          <w:spacing w:val="-13"/>
          <w:sz w:val="22"/>
          <w:szCs w:val="22"/>
        </w:rPr>
        <w:t>细胞膜转运载</w:t>
      </w:r>
      <w:r>
        <w:rPr>
          <w:rFonts w:ascii="宋体" w:eastAsia="宋体" w:hAnsi="宋体" w:cs="宋体"/>
          <w:sz w:val="22"/>
          <w:szCs w:val="22"/>
        </w:rPr>
        <w:t xml:space="preserve"> </w:t>
      </w:r>
      <w:r>
        <w:rPr>
          <w:rFonts w:ascii="宋体" w:eastAsia="宋体" w:hAnsi="宋体" w:cs="宋体"/>
          <w:spacing w:val="-8"/>
          <w:sz w:val="22"/>
          <w:szCs w:val="22"/>
        </w:rPr>
        <w:t>体进入细胞。在细胞内，大多数的脂肪酸与蛋白质</w:t>
      </w:r>
      <w:r>
        <w:rPr>
          <w:rFonts w:ascii="宋体" w:eastAsia="宋体" w:hAnsi="宋体" w:cs="宋体"/>
          <w:spacing w:val="-9"/>
          <w:sz w:val="22"/>
          <w:szCs w:val="22"/>
        </w:rPr>
        <w:t>，如脂肪酸结合蛋白</w:t>
      </w:r>
      <w:r>
        <w:rPr>
          <w:rFonts w:ascii="宋体" w:eastAsia="宋体" w:hAnsi="宋体" w:cs="宋体"/>
          <w:spacing w:val="-8"/>
          <w:sz w:val="22"/>
          <w:szCs w:val="22"/>
        </w:rPr>
        <w:t xml:space="preserve"> </w:t>
      </w:r>
      <w:r>
        <w:rPr>
          <w:rFonts w:ascii="宋体" w:eastAsia="宋体" w:hAnsi="宋体" w:cs="宋体"/>
          <w:spacing w:val="-9"/>
          <w:sz w:val="22"/>
          <w:szCs w:val="22"/>
        </w:rPr>
        <w:t>(</w:t>
      </w:r>
      <w:r>
        <w:rPr>
          <w:rFonts w:ascii="宋体" w:eastAsia="宋体" w:hAnsi="宋体" w:cs="宋体"/>
          <w:spacing w:val="-8"/>
          <w:sz w:val="22"/>
          <w:szCs w:val="22"/>
        </w:rPr>
        <w:t>fatty</w:t>
      </w:r>
      <w:r>
        <w:rPr>
          <w:rFonts w:ascii="宋体" w:eastAsia="宋体" w:hAnsi="宋体" w:cs="宋体"/>
          <w:sz w:val="22"/>
          <w:szCs w:val="22"/>
        </w:rPr>
        <w:t xml:space="preserve"> </w:t>
      </w:r>
      <w:r>
        <w:rPr>
          <w:rFonts w:ascii="宋体" w:eastAsia="宋体" w:hAnsi="宋体" w:cs="宋体"/>
          <w:spacing w:val="-11"/>
          <w:sz w:val="22"/>
          <w:szCs w:val="22"/>
        </w:rPr>
        <w:t>acid</w:t>
      </w:r>
      <w:r>
        <w:rPr>
          <w:rFonts w:ascii="宋体" w:eastAsia="宋体" w:hAnsi="宋体" w:cs="宋体"/>
          <w:spacing w:val="-3"/>
          <w:sz w:val="22"/>
          <w:szCs w:val="22"/>
        </w:rPr>
        <w:t xml:space="preserve"> </w:t>
      </w:r>
      <w:r>
        <w:rPr>
          <w:rFonts w:ascii="宋体" w:eastAsia="宋体" w:hAnsi="宋体" w:cs="宋体"/>
          <w:spacing w:val="-11"/>
          <w:sz w:val="22"/>
          <w:szCs w:val="22"/>
        </w:rPr>
        <w:t>binding</w:t>
      </w:r>
      <w:r>
        <w:rPr>
          <w:rFonts w:ascii="宋体" w:eastAsia="宋体" w:hAnsi="宋体" w:cs="宋体"/>
          <w:spacing w:val="-2"/>
          <w:sz w:val="22"/>
          <w:szCs w:val="22"/>
        </w:rPr>
        <w:t xml:space="preserve"> </w:t>
      </w:r>
      <w:r>
        <w:rPr>
          <w:rFonts w:ascii="宋体" w:eastAsia="宋体" w:hAnsi="宋体" w:cs="宋体"/>
          <w:spacing w:val="-11"/>
          <w:sz w:val="22"/>
          <w:szCs w:val="22"/>
        </w:rPr>
        <w:t>protein,FABP)</w:t>
      </w:r>
      <w:r>
        <w:rPr>
          <w:rFonts w:ascii="宋体" w:eastAsia="宋体" w:hAnsi="宋体" w:cs="宋体"/>
          <w:spacing w:val="-35"/>
          <w:sz w:val="22"/>
          <w:szCs w:val="22"/>
        </w:rPr>
        <w:t xml:space="preserve"> </w:t>
      </w:r>
      <w:r>
        <w:rPr>
          <w:rFonts w:ascii="宋体" w:eastAsia="宋体" w:hAnsi="宋体" w:cs="宋体"/>
          <w:spacing w:val="-11"/>
          <w:sz w:val="22"/>
          <w:szCs w:val="22"/>
        </w:rPr>
        <w:t>以非共价键形式结合，</w:t>
      </w:r>
      <w:r>
        <w:rPr>
          <w:rFonts w:ascii="宋体" w:eastAsia="宋体" w:hAnsi="宋体" w:cs="宋体"/>
          <w:spacing w:val="54"/>
          <w:sz w:val="22"/>
          <w:szCs w:val="22"/>
        </w:rPr>
        <w:t xml:space="preserve"> </w:t>
      </w:r>
      <w:r>
        <w:rPr>
          <w:rFonts w:ascii="宋体" w:eastAsia="宋体" w:hAnsi="宋体" w:cs="宋体"/>
          <w:spacing w:val="-11"/>
          <w:sz w:val="22"/>
          <w:szCs w:val="22"/>
        </w:rPr>
        <w:t>一部分经脂酰辅酶A(FA-</w:t>
      </w:r>
      <w:r>
        <w:rPr>
          <w:rFonts w:ascii="宋体" w:eastAsia="宋体" w:hAnsi="宋体" w:cs="宋体"/>
          <w:sz w:val="22"/>
          <w:szCs w:val="22"/>
        </w:rPr>
        <w:t xml:space="preserve">  </w:t>
      </w:r>
      <w:r>
        <w:rPr>
          <w:rFonts w:ascii="宋体" w:eastAsia="宋体" w:hAnsi="宋体" w:cs="宋体"/>
          <w:spacing w:val="-7"/>
          <w:sz w:val="22"/>
          <w:szCs w:val="22"/>
        </w:rPr>
        <w:t>CoA)</w:t>
      </w:r>
      <w:r>
        <w:rPr>
          <w:rFonts w:ascii="宋体" w:eastAsia="宋体" w:hAnsi="宋体" w:cs="宋体"/>
          <w:spacing w:val="36"/>
          <w:sz w:val="22"/>
          <w:szCs w:val="22"/>
        </w:rPr>
        <w:t xml:space="preserve"> </w:t>
      </w:r>
      <w:r>
        <w:rPr>
          <w:rFonts w:ascii="宋体" w:eastAsia="宋体" w:hAnsi="宋体" w:cs="宋体"/>
          <w:spacing w:val="-7"/>
          <w:sz w:val="22"/>
          <w:szCs w:val="22"/>
        </w:rPr>
        <w:t>合成酶催化形成FA-CoA;</w:t>
      </w:r>
      <w:r>
        <w:rPr>
          <w:rFonts w:ascii="宋体" w:eastAsia="宋体" w:hAnsi="宋体" w:cs="宋体"/>
          <w:spacing w:val="85"/>
          <w:sz w:val="22"/>
          <w:szCs w:val="22"/>
        </w:rPr>
        <w:t xml:space="preserve"> </w:t>
      </w:r>
      <w:r>
        <w:rPr>
          <w:rFonts w:ascii="宋体" w:eastAsia="宋体" w:hAnsi="宋体" w:cs="宋体"/>
          <w:spacing w:val="-8"/>
          <w:sz w:val="22"/>
          <w:szCs w:val="22"/>
        </w:rPr>
        <w:t>一部分仍以游离形式存在。</w:t>
      </w:r>
      <w:r>
        <w:rPr>
          <w:rFonts w:ascii="宋体" w:eastAsia="宋体" w:hAnsi="宋体" w:cs="宋体"/>
          <w:sz w:val="22"/>
          <w:szCs w:val="22"/>
        </w:rPr>
        <w:t xml:space="preserve"> </w:t>
      </w:r>
      <w:r>
        <w:rPr>
          <w:rFonts w:ascii="宋体" w:eastAsia="宋体" w:hAnsi="宋体" w:cs="宋体"/>
          <w:spacing w:val="-7"/>
          <w:sz w:val="22"/>
          <w:szCs w:val="22"/>
        </w:rPr>
        <w:t>FA</w:t>
      </w:r>
      <w:r>
        <w:rPr>
          <w:rFonts w:ascii="宋体" w:eastAsia="宋体" w:hAnsi="宋体" w:cs="宋体"/>
          <w:spacing w:val="-8"/>
          <w:sz w:val="22"/>
          <w:szCs w:val="22"/>
        </w:rPr>
        <w:t>-</w:t>
      </w:r>
      <w:r>
        <w:rPr>
          <w:rFonts w:ascii="宋体" w:eastAsia="宋体" w:hAnsi="宋体" w:cs="宋体"/>
          <w:spacing w:val="-7"/>
          <w:sz w:val="22"/>
          <w:szCs w:val="22"/>
        </w:rPr>
        <w:t>CoA</w:t>
      </w:r>
      <w:r>
        <w:rPr>
          <w:rFonts w:ascii="宋体" w:eastAsia="宋体" w:hAnsi="宋体" w:cs="宋体"/>
          <w:spacing w:val="65"/>
          <w:sz w:val="22"/>
          <w:szCs w:val="22"/>
        </w:rPr>
        <w:t xml:space="preserve"> </w:t>
      </w:r>
      <w:r>
        <w:rPr>
          <w:rFonts w:ascii="宋体" w:eastAsia="宋体" w:hAnsi="宋体" w:cs="宋体"/>
          <w:spacing w:val="-8"/>
          <w:sz w:val="22"/>
          <w:szCs w:val="22"/>
        </w:rPr>
        <w:t>和游离脂</w:t>
      </w:r>
      <w:r>
        <w:rPr>
          <w:rFonts w:ascii="宋体" w:eastAsia="宋体" w:hAnsi="宋体" w:cs="宋体"/>
          <w:sz w:val="22"/>
          <w:szCs w:val="22"/>
        </w:rPr>
        <w:t xml:space="preserve"> </w:t>
      </w:r>
      <w:r>
        <w:rPr>
          <w:rFonts w:ascii="宋体" w:eastAsia="宋体" w:hAnsi="宋体" w:cs="宋体"/>
          <w:spacing w:val="7"/>
          <w:sz w:val="22"/>
          <w:szCs w:val="22"/>
        </w:rPr>
        <w:t>肪酸虽然在细胞内的浓度很低(&lt;10μ</w:t>
      </w:r>
      <w:r>
        <w:rPr>
          <w:rFonts w:ascii="宋体" w:eastAsia="宋体" w:hAnsi="宋体" w:cs="宋体"/>
          <w:sz w:val="22"/>
          <w:szCs w:val="22"/>
        </w:rPr>
        <w:t>mol</w:t>
      </w:r>
      <w:r>
        <w:rPr>
          <w:rFonts w:ascii="宋体" w:eastAsia="宋体" w:hAnsi="宋体" w:cs="宋体"/>
          <w:spacing w:val="7"/>
          <w:sz w:val="22"/>
          <w:szCs w:val="22"/>
        </w:rPr>
        <w:t>/g),</w:t>
      </w:r>
      <w:r>
        <w:rPr>
          <w:rFonts w:ascii="宋体" w:eastAsia="宋体" w:hAnsi="宋体" w:cs="宋体"/>
          <w:spacing w:val="-18"/>
          <w:sz w:val="22"/>
          <w:szCs w:val="22"/>
        </w:rPr>
        <w:t xml:space="preserve"> </w:t>
      </w:r>
      <w:r>
        <w:rPr>
          <w:rFonts w:ascii="宋体" w:eastAsia="宋体" w:hAnsi="宋体" w:cs="宋体"/>
          <w:spacing w:val="7"/>
          <w:sz w:val="22"/>
          <w:szCs w:val="22"/>
        </w:rPr>
        <w:t>但却是调节基因表达的主要</w:t>
      </w:r>
      <w:r>
        <w:rPr>
          <w:rFonts w:ascii="宋体" w:eastAsia="宋体" w:hAnsi="宋体" w:cs="宋体"/>
          <w:sz w:val="22"/>
          <w:szCs w:val="22"/>
        </w:rPr>
        <w:t xml:space="preserve"> </w:t>
      </w:r>
      <w:r>
        <w:rPr>
          <w:rFonts w:ascii="宋体" w:eastAsia="宋体" w:hAnsi="宋体" w:cs="宋体"/>
          <w:spacing w:val="-18"/>
          <w:sz w:val="22"/>
          <w:szCs w:val="22"/>
        </w:rPr>
        <w:t>形式。</w:t>
      </w:r>
    </w:p>
    <w:p w:rsidR="00EA40A3" w:rsidRDefault="00E86C16">
      <w:pPr>
        <w:spacing w:before="17" w:line="246" w:lineRule="auto"/>
        <w:ind w:right="9" w:firstLine="399"/>
        <w:rPr>
          <w:rFonts w:ascii="宋体" w:eastAsia="宋体" w:hAnsi="宋体" w:cs="宋体"/>
          <w:sz w:val="22"/>
          <w:szCs w:val="22"/>
        </w:rPr>
      </w:pPr>
      <w:r>
        <w:rPr>
          <w:rFonts w:ascii="宋体" w:eastAsia="宋体" w:hAnsi="宋体" w:cs="宋体"/>
          <w:spacing w:val="-6"/>
          <w:sz w:val="22"/>
          <w:szCs w:val="22"/>
        </w:rPr>
        <w:t>体内的脂肪酸必须先转化为脂酰CoA</w:t>
      </w:r>
      <w:r>
        <w:rPr>
          <w:rFonts w:ascii="宋体" w:eastAsia="宋体" w:hAnsi="宋体" w:cs="宋体"/>
          <w:spacing w:val="26"/>
          <w:sz w:val="22"/>
          <w:szCs w:val="22"/>
        </w:rPr>
        <w:t xml:space="preserve"> </w:t>
      </w:r>
      <w:r>
        <w:rPr>
          <w:rFonts w:ascii="宋体" w:eastAsia="宋体" w:hAnsi="宋体" w:cs="宋体"/>
          <w:spacing w:val="-6"/>
          <w:sz w:val="22"/>
          <w:szCs w:val="22"/>
        </w:rPr>
        <w:t>后，经肉碱棕榈酰转移酶</w:t>
      </w:r>
      <w:r>
        <w:rPr>
          <w:rFonts w:ascii="宋体" w:eastAsia="宋体" w:hAnsi="宋体" w:cs="宋体"/>
          <w:spacing w:val="-8"/>
          <w:sz w:val="22"/>
          <w:szCs w:val="22"/>
        </w:rPr>
        <w:t xml:space="preserve"> </w:t>
      </w:r>
      <w:r>
        <w:rPr>
          <w:rFonts w:ascii="宋体" w:eastAsia="宋体" w:hAnsi="宋体" w:cs="宋体"/>
          <w:spacing w:val="-7"/>
          <w:sz w:val="22"/>
          <w:szCs w:val="22"/>
        </w:rPr>
        <w:t>(</w:t>
      </w:r>
      <w:r>
        <w:rPr>
          <w:rFonts w:ascii="宋体" w:eastAsia="宋体" w:hAnsi="宋体" w:cs="宋体"/>
          <w:spacing w:val="-6"/>
          <w:sz w:val="22"/>
          <w:szCs w:val="22"/>
        </w:rPr>
        <w:t>CPTI</w:t>
      </w:r>
      <w:r>
        <w:rPr>
          <w:rFonts w:ascii="宋体" w:eastAsia="宋体" w:hAnsi="宋体" w:cs="宋体"/>
          <w:spacing w:val="3"/>
          <w:sz w:val="22"/>
          <w:szCs w:val="22"/>
        </w:rPr>
        <w:t xml:space="preserve">  </w:t>
      </w:r>
      <w:r>
        <w:rPr>
          <w:rFonts w:ascii="宋体" w:eastAsia="宋体" w:hAnsi="宋体" w:cs="宋体"/>
          <w:spacing w:val="-7"/>
          <w:sz w:val="22"/>
          <w:szCs w:val="22"/>
        </w:rPr>
        <w:t>和</w:t>
      </w:r>
      <w:r>
        <w:rPr>
          <w:rFonts w:ascii="宋体" w:eastAsia="宋体" w:hAnsi="宋体" w:cs="宋体"/>
          <w:spacing w:val="1"/>
          <w:sz w:val="22"/>
          <w:szCs w:val="22"/>
        </w:rPr>
        <w:t xml:space="preserve"> </w:t>
      </w:r>
      <w:r>
        <w:rPr>
          <w:rFonts w:ascii="宋体" w:eastAsia="宋体" w:hAnsi="宋体" w:cs="宋体"/>
          <w:spacing w:val="-7"/>
          <w:sz w:val="22"/>
          <w:szCs w:val="22"/>
        </w:rPr>
        <w:t>CPTⅡ)</w:t>
      </w:r>
      <w:r>
        <w:rPr>
          <w:rFonts w:ascii="宋体" w:eastAsia="宋体" w:hAnsi="宋体" w:cs="宋体"/>
          <w:spacing w:val="123"/>
          <w:sz w:val="22"/>
          <w:szCs w:val="22"/>
        </w:rPr>
        <w:t xml:space="preserve"> </w:t>
      </w:r>
      <w:r>
        <w:rPr>
          <w:rFonts w:ascii="宋体" w:eastAsia="宋体" w:hAnsi="宋体" w:cs="宋体"/>
          <w:spacing w:val="-7"/>
          <w:sz w:val="22"/>
          <w:szCs w:val="22"/>
        </w:rPr>
        <w:t>转运才能够进入肝脏细胞进行氧化。在脂肪酸氧化过程中，包含可以</w:t>
      </w:r>
      <w:r>
        <w:rPr>
          <w:rFonts w:ascii="宋体" w:eastAsia="宋体" w:hAnsi="宋体" w:cs="宋体"/>
          <w:sz w:val="22"/>
          <w:szCs w:val="22"/>
        </w:rPr>
        <w:t xml:space="preserve"> </w:t>
      </w:r>
      <w:r>
        <w:rPr>
          <w:rFonts w:ascii="宋体" w:eastAsia="宋体" w:hAnsi="宋体" w:cs="宋体"/>
          <w:spacing w:val="-6"/>
          <w:sz w:val="22"/>
          <w:szCs w:val="22"/>
        </w:rPr>
        <w:t>节约机体葡萄糖的使用，生成酮体的途径。在此途径中3-羟基-3-甲基-戊二酰</w:t>
      </w:r>
      <w:r>
        <w:rPr>
          <w:rFonts w:ascii="宋体" w:eastAsia="宋体" w:hAnsi="宋体" w:cs="宋体"/>
          <w:sz w:val="22"/>
          <w:szCs w:val="22"/>
        </w:rPr>
        <w:t xml:space="preserve"> </w:t>
      </w:r>
      <w:r>
        <w:rPr>
          <w:rFonts w:ascii="宋体" w:eastAsia="宋体" w:hAnsi="宋体" w:cs="宋体"/>
          <w:spacing w:val="-6"/>
          <w:sz w:val="22"/>
          <w:szCs w:val="22"/>
        </w:rPr>
        <w:t>CoA(HMG-CoA)</w:t>
      </w:r>
      <w:r>
        <w:rPr>
          <w:rFonts w:ascii="宋体" w:eastAsia="宋体" w:hAnsi="宋体" w:cs="宋体"/>
          <w:spacing w:val="6"/>
          <w:sz w:val="22"/>
          <w:szCs w:val="22"/>
        </w:rPr>
        <w:t xml:space="preserve">    </w:t>
      </w:r>
      <w:r>
        <w:rPr>
          <w:rFonts w:ascii="宋体" w:eastAsia="宋体" w:hAnsi="宋体" w:cs="宋体"/>
          <w:spacing w:val="-6"/>
          <w:sz w:val="22"/>
          <w:szCs w:val="22"/>
        </w:rPr>
        <w:t>合成酶是其限速酶，发挥重要的作用。</w:t>
      </w:r>
      <w:r>
        <w:rPr>
          <w:rFonts w:ascii="宋体" w:eastAsia="宋体" w:hAnsi="宋体" w:cs="宋体"/>
          <w:spacing w:val="-7"/>
          <w:sz w:val="22"/>
          <w:szCs w:val="22"/>
        </w:rPr>
        <w:t>长链脂肪酸特别是多</w:t>
      </w:r>
      <w:r>
        <w:rPr>
          <w:rFonts w:ascii="宋体" w:eastAsia="宋体" w:hAnsi="宋体" w:cs="宋体"/>
          <w:spacing w:val="1"/>
          <w:sz w:val="22"/>
          <w:szCs w:val="22"/>
        </w:rPr>
        <w:t xml:space="preserve"> </w:t>
      </w:r>
      <w:r>
        <w:rPr>
          <w:rFonts w:ascii="宋体" w:eastAsia="宋体" w:hAnsi="宋体" w:cs="宋体"/>
          <w:spacing w:val="-7"/>
          <w:sz w:val="22"/>
          <w:szCs w:val="22"/>
        </w:rPr>
        <w:t>不饱和脂肪酸可以调节肝细胞中肉碱棕榈酰转移酶I(CPT</w:t>
      </w:r>
      <w:r>
        <w:rPr>
          <w:rFonts w:ascii="宋体" w:eastAsia="宋体" w:hAnsi="宋体" w:cs="宋体"/>
          <w:spacing w:val="35"/>
          <w:sz w:val="22"/>
          <w:szCs w:val="22"/>
        </w:rPr>
        <w:t xml:space="preserve">  </w:t>
      </w:r>
      <w:r>
        <w:rPr>
          <w:rFonts w:ascii="宋体" w:eastAsia="宋体" w:hAnsi="宋体" w:cs="宋体"/>
          <w:spacing w:val="-7"/>
          <w:sz w:val="22"/>
          <w:szCs w:val="22"/>
        </w:rPr>
        <w:t>I)</w:t>
      </w:r>
      <w:r>
        <w:rPr>
          <w:rFonts w:ascii="宋体" w:eastAsia="宋体" w:hAnsi="宋体" w:cs="宋体"/>
          <w:spacing w:val="-28"/>
          <w:sz w:val="22"/>
          <w:szCs w:val="22"/>
        </w:rPr>
        <w:t xml:space="preserve"> </w:t>
      </w:r>
      <w:r>
        <w:rPr>
          <w:rFonts w:ascii="宋体" w:eastAsia="宋体" w:hAnsi="宋体" w:cs="宋体"/>
          <w:spacing w:val="-7"/>
          <w:sz w:val="22"/>
          <w:szCs w:val="22"/>
        </w:rPr>
        <w:t>和</w:t>
      </w:r>
      <w:r>
        <w:rPr>
          <w:rFonts w:ascii="宋体" w:eastAsia="宋体" w:hAnsi="宋体" w:cs="宋体"/>
          <w:spacing w:val="-61"/>
          <w:sz w:val="22"/>
          <w:szCs w:val="22"/>
        </w:rPr>
        <w:t xml:space="preserve"> </w:t>
      </w:r>
      <w:r>
        <w:rPr>
          <w:rFonts w:ascii="宋体" w:eastAsia="宋体" w:hAnsi="宋体" w:cs="宋体"/>
          <w:spacing w:val="-7"/>
          <w:sz w:val="22"/>
          <w:szCs w:val="22"/>
        </w:rPr>
        <w:t>HMG-CoA</w:t>
      </w:r>
      <w:r>
        <w:rPr>
          <w:rFonts w:ascii="宋体" w:eastAsia="宋体" w:hAnsi="宋体" w:cs="宋体"/>
          <w:spacing w:val="27"/>
          <w:sz w:val="22"/>
          <w:szCs w:val="22"/>
        </w:rPr>
        <w:t xml:space="preserve">  </w:t>
      </w:r>
      <w:r>
        <w:rPr>
          <w:rFonts w:ascii="宋体" w:eastAsia="宋体" w:hAnsi="宋体" w:cs="宋体"/>
          <w:spacing w:val="-7"/>
          <w:sz w:val="22"/>
          <w:szCs w:val="22"/>
        </w:rPr>
        <w:t>合</w:t>
      </w:r>
      <w:r>
        <w:rPr>
          <w:rFonts w:ascii="宋体" w:eastAsia="宋体" w:hAnsi="宋体" w:cs="宋体"/>
          <w:sz w:val="22"/>
          <w:szCs w:val="22"/>
        </w:rPr>
        <w:t xml:space="preserve"> </w:t>
      </w:r>
      <w:r>
        <w:rPr>
          <w:rFonts w:ascii="宋体" w:eastAsia="宋体" w:hAnsi="宋体" w:cs="宋体"/>
          <w:spacing w:val="-7"/>
          <w:sz w:val="22"/>
          <w:szCs w:val="22"/>
        </w:rPr>
        <w:t>成酶的基因表达，使其mRNA</w:t>
      </w:r>
      <w:r>
        <w:rPr>
          <w:rFonts w:ascii="宋体" w:eastAsia="宋体" w:hAnsi="宋体" w:cs="宋体"/>
          <w:spacing w:val="22"/>
          <w:sz w:val="22"/>
          <w:szCs w:val="22"/>
        </w:rPr>
        <w:t xml:space="preserve">  </w:t>
      </w:r>
      <w:r>
        <w:rPr>
          <w:rFonts w:ascii="宋体" w:eastAsia="宋体" w:hAnsi="宋体" w:cs="宋体"/>
          <w:spacing w:val="-7"/>
          <w:sz w:val="22"/>
          <w:szCs w:val="22"/>
        </w:rPr>
        <w:t>的水平提高2～4倍。</w:t>
      </w:r>
    </w:p>
    <w:p w:rsidR="00EA40A3" w:rsidRDefault="00E86C16">
      <w:pPr>
        <w:spacing w:before="78"/>
        <w:ind w:right="9" w:firstLine="399"/>
        <w:rPr>
          <w:rFonts w:ascii="宋体" w:eastAsia="宋体" w:hAnsi="宋体" w:cs="宋体"/>
          <w:sz w:val="22"/>
          <w:szCs w:val="22"/>
        </w:rPr>
      </w:pPr>
      <w:r>
        <w:rPr>
          <w:rFonts w:ascii="宋体" w:eastAsia="宋体" w:hAnsi="宋体" w:cs="宋体"/>
          <w:spacing w:val="-5"/>
          <w:sz w:val="22"/>
          <w:szCs w:val="22"/>
        </w:rPr>
        <w:t>PUFA</w:t>
      </w:r>
      <w:r>
        <w:rPr>
          <w:rFonts w:ascii="宋体" w:eastAsia="宋体" w:hAnsi="宋体" w:cs="宋体"/>
          <w:spacing w:val="71"/>
          <w:sz w:val="22"/>
          <w:szCs w:val="22"/>
        </w:rPr>
        <w:t xml:space="preserve"> </w:t>
      </w:r>
      <w:r>
        <w:rPr>
          <w:rFonts w:ascii="宋体" w:eastAsia="宋体" w:hAnsi="宋体" w:cs="宋体"/>
          <w:spacing w:val="-5"/>
          <w:sz w:val="22"/>
          <w:szCs w:val="22"/>
        </w:rPr>
        <w:t>能抑制生脂基因的转录，同时又能诱导编码脂肪酸氧化和生热蛋白</w:t>
      </w:r>
      <w:r>
        <w:rPr>
          <w:rFonts w:ascii="宋体" w:eastAsia="宋体" w:hAnsi="宋体" w:cs="宋体"/>
          <w:sz w:val="22"/>
          <w:szCs w:val="22"/>
        </w:rPr>
        <w:t xml:space="preserve"> </w:t>
      </w:r>
      <w:r>
        <w:rPr>
          <w:rFonts w:ascii="宋体" w:eastAsia="宋体" w:hAnsi="宋体" w:cs="宋体"/>
          <w:spacing w:val="-16"/>
          <w:sz w:val="22"/>
          <w:szCs w:val="22"/>
        </w:rPr>
        <w:t>的基因进行转录。</w:t>
      </w:r>
      <w:r>
        <w:rPr>
          <w:rFonts w:ascii="宋体" w:eastAsia="宋体" w:hAnsi="宋体" w:cs="宋体"/>
          <w:spacing w:val="6"/>
          <w:sz w:val="22"/>
          <w:szCs w:val="22"/>
        </w:rPr>
        <w:t xml:space="preserve"> </w:t>
      </w:r>
      <w:r>
        <w:rPr>
          <w:rFonts w:ascii="宋体" w:eastAsia="宋体" w:hAnsi="宋体" w:cs="宋体"/>
          <w:spacing w:val="-16"/>
          <w:sz w:val="22"/>
          <w:szCs w:val="22"/>
        </w:rPr>
        <w:t>PUFA</w:t>
      </w:r>
      <w:r>
        <w:rPr>
          <w:rFonts w:ascii="宋体" w:eastAsia="宋体" w:hAnsi="宋体" w:cs="宋体"/>
          <w:spacing w:val="95"/>
          <w:sz w:val="22"/>
          <w:szCs w:val="22"/>
        </w:rPr>
        <w:t xml:space="preserve"> </w:t>
      </w:r>
      <w:r>
        <w:rPr>
          <w:rFonts w:ascii="宋体" w:eastAsia="宋体" w:hAnsi="宋体" w:cs="宋体"/>
          <w:spacing w:val="-16"/>
          <w:sz w:val="22"/>
          <w:szCs w:val="22"/>
        </w:rPr>
        <w:t>抑制生脂基因包括脂肪酸合成酶基因、</w:t>
      </w:r>
      <w:r>
        <w:rPr>
          <w:rFonts w:ascii="宋体" w:eastAsia="宋体" w:hAnsi="宋体" w:cs="宋体"/>
          <w:spacing w:val="-10"/>
          <w:sz w:val="22"/>
          <w:szCs w:val="22"/>
        </w:rPr>
        <w:t xml:space="preserve"> </w:t>
      </w:r>
      <w:r>
        <w:rPr>
          <w:rFonts w:ascii="宋体" w:eastAsia="宋体" w:hAnsi="宋体" w:cs="宋体"/>
          <w:spacing w:val="-16"/>
          <w:sz w:val="22"/>
          <w:szCs w:val="22"/>
        </w:rPr>
        <w:t>S14</w:t>
      </w:r>
      <w:r>
        <w:rPr>
          <w:rFonts w:ascii="宋体" w:eastAsia="宋体" w:hAnsi="宋体" w:cs="宋体"/>
          <w:spacing w:val="-40"/>
          <w:sz w:val="22"/>
          <w:szCs w:val="22"/>
        </w:rPr>
        <w:t xml:space="preserve"> </w:t>
      </w:r>
      <w:r>
        <w:rPr>
          <w:rFonts w:ascii="宋体" w:eastAsia="宋体" w:hAnsi="宋体" w:cs="宋体"/>
          <w:spacing w:val="-16"/>
          <w:sz w:val="22"/>
          <w:szCs w:val="22"/>
        </w:rPr>
        <w:t>基因等许多</w:t>
      </w:r>
    </w:p>
    <w:p w:rsidR="00EA40A3" w:rsidRDefault="00E86C16">
      <w:pPr>
        <w:spacing w:before="47" w:line="219" w:lineRule="auto"/>
        <w:rPr>
          <w:rFonts w:ascii="宋体" w:eastAsia="宋体" w:hAnsi="宋体" w:cs="宋体"/>
          <w:sz w:val="22"/>
          <w:szCs w:val="22"/>
        </w:rPr>
      </w:pPr>
      <w:r>
        <w:rPr>
          <w:rFonts w:ascii="宋体" w:eastAsia="宋体" w:hAnsi="宋体" w:cs="宋体"/>
          <w:spacing w:val="-7"/>
          <w:sz w:val="22"/>
          <w:szCs w:val="22"/>
        </w:rPr>
        <w:t>参与脂质的合成的基因。日粮中多不饱和脂肪酸使大</w:t>
      </w:r>
      <w:r>
        <w:rPr>
          <w:rFonts w:ascii="宋体" w:eastAsia="宋体" w:hAnsi="宋体" w:cs="宋体"/>
          <w:spacing w:val="-8"/>
          <w:sz w:val="22"/>
          <w:szCs w:val="22"/>
        </w:rPr>
        <w:t>鼠肝脏中</w:t>
      </w:r>
      <w:r>
        <w:rPr>
          <w:rFonts w:ascii="宋体" w:eastAsia="宋体" w:hAnsi="宋体" w:cs="宋体"/>
          <w:spacing w:val="-7"/>
          <w:sz w:val="22"/>
          <w:szCs w:val="22"/>
        </w:rPr>
        <w:t>FAS</w:t>
      </w:r>
      <w:r>
        <w:rPr>
          <w:rFonts w:ascii="宋体" w:eastAsia="宋体" w:hAnsi="宋体" w:cs="宋体"/>
          <w:spacing w:val="14"/>
          <w:sz w:val="22"/>
          <w:szCs w:val="22"/>
        </w:rPr>
        <w:t xml:space="preserve">   </w:t>
      </w:r>
      <w:r>
        <w:rPr>
          <w:rFonts w:ascii="宋体" w:eastAsia="宋体" w:hAnsi="宋体" w:cs="宋体"/>
          <w:spacing w:val="-7"/>
          <w:sz w:val="22"/>
          <w:szCs w:val="22"/>
        </w:rPr>
        <w:t>mRNA</w:t>
      </w:r>
      <w:r>
        <w:rPr>
          <w:rFonts w:ascii="宋体" w:eastAsia="宋体" w:hAnsi="宋体" w:cs="宋体"/>
          <w:spacing w:val="-8"/>
          <w:sz w:val="22"/>
          <w:szCs w:val="22"/>
        </w:rPr>
        <w:t>水平</w:t>
      </w:r>
    </w:p>
    <w:p w:rsidR="00EA40A3" w:rsidRDefault="00E86C16">
      <w:pPr>
        <w:spacing w:before="47" w:line="247" w:lineRule="auto"/>
        <w:ind w:right="20"/>
        <w:jc w:val="both"/>
        <w:rPr>
          <w:rFonts w:ascii="宋体" w:eastAsia="宋体" w:hAnsi="宋体" w:cs="宋体"/>
          <w:sz w:val="22"/>
          <w:szCs w:val="22"/>
        </w:rPr>
      </w:pPr>
      <w:r>
        <w:rPr>
          <w:rFonts w:ascii="宋体" w:eastAsia="宋体" w:hAnsi="宋体" w:cs="宋体"/>
          <w:sz w:val="22"/>
          <w:szCs w:val="22"/>
        </w:rPr>
        <w:t>降低了75%～90%,鱼油比红花油更有效。</w:t>
      </w:r>
      <w:r>
        <w:rPr>
          <w:rFonts w:ascii="宋体" w:eastAsia="宋体" w:hAnsi="宋体" w:cs="宋体"/>
          <w:spacing w:val="12"/>
          <w:sz w:val="22"/>
          <w:szCs w:val="22"/>
        </w:rPr>
        <w:t xml:space="preserve"> </w:t>
      </w:r>
      <w:r>
        <w:rPr>
          <w:rFonts w:ascii="宋体" w:eastAsia="宋体" w:hAnsi="宋体" w:cs="宋体"/>
          <w:sz w:val="22"/>
          <w:szCs w:val="22"/>
        </w:rPr>
        <w:t>PUFA</w:t>
      </w:r>
      <w:r>
        <w:rPr>
          <w:rFonts w:ascii="宋体" w:eastAsia="宋体" w:hAnsi="宋体" w:cs="宋体"/>
          <w:spacing w:val="95"/>
          <w:sz w:val="22"/>
          <w:szCs w:val="22"/>
        </w:rPr>
        <w:t xml:space="preserve"> </w:t>
      </w:r>
      <w:r>
        <w:rPr>
          <w:rFonts w:ascii="宋体" w:eastAsia="宋体" w:hAnsi="宋体" w:cs="宋体"/>
          <w:sz w:val="22"/>
          <w:szCs w:val="22"/>
        </w:rPr>
        <w:t xml:space="preserve">调节基因表达的机制包括过 </w:t>
      </w:r>
      <w:r>
        <w:rPr>
          <w:rFonts w:ascii="宋体" w:eastAsia="宋体" w:hAnsi="宋体" w:cs="宋体"/>
          <w:spacing w:val="-8"/>
          <w:sz w:val="22"/>
          <w:szCs w:val="22"/>
        </w:rPr>
        <w:t>氧化物酶体增生物激活受体</w:t>
      </w:r>
      <w:r>
        <w:rPr>
          <w:rFonts w:ascii="宋体" w:eastAsia="宋体" w:hAnsi="宋体" w:cs="宋体"/>
          <w:spacing w:val="-19"/>
          <w:sz w:val="22"/>
          <w:szCs w:val="22"/>
        </w:rPr>
        <w:t xml:space="preserve"> </w:t>
      </w:r>
      <w:r>
        <w:rPr>
          <w:rFonts w:ascii="宋体" w:eastAsia="宋体" w:hAnsi="宋体" w:cs="宋体"/>
          <w:spacing w:val="-8"/>
          <w:sz w:val="22"/>
          <w:szCs w:val="22"/>
        </w:rPr>
        <w:t>(PPAR)</w:t>
      </w:r>
      <w:r>
        <w:rPr>
          <w:rFonts w:ascii="宋体" w:eastAsia="宋体" w:hAnsi="宋体" w:cs="宋体"/>
          <w:spacing w:val="8"/>
          <w:sz w:val="22"/>
          <w:szCs w:val="22"/>
        </w:rPr>
        <w:t xml:space="preserve">  </w:t>
      </w:r>
      <w:r>
        <w:rPr>
          <w:rFonts w:ascii="宋体" w:eastAsia="宋体" w:hAnsi="宋体" w:cs="宋体"/>
          <w:spacing w:val="-8"/>
          <w:sz w:val="22"/>
          <w:szCs w:val="22"/>
        </w:rPr>
        <w:t>非依赖性或PUFA</w:t>
      </w:r>
      <w:r>
        <w:rPr>
          <w:rFonts w:ascii="宋体" w:eastAsia="宋体" w:hAnsi="宋体" w:cs="宋体"/>
          <w:spacing w:val="77"/>
          <w:sz w:val="22"/>
          <w:szCs w:val="22"/>
        </w:rPr>
        <w:t xml:space="preserve"> </w:t>
      </w:r>
      <w:r>
        <w:rPr>
          <w:rFonts w:ascii="宋体" w:eastAsia="宋体" w:hAnsi="宋体" w:cs="宋体"/>
          <w:spacing w:val="-8"/>
          <w:sz w:val="22"/>
          <w:szCs w:val="22"/>
        </w:rPr>
        <w:t>特异性调节机制和核受</w:t>
      </w:r>
      <w:r>
        <w:rPr>
          <w:rFonts w:ascii="宋体" w:eastAsia="宋体" w:hAnsi="宋体" w:cs="宋体"/>
          <w:sz w:val="22"/>
          <w:szCs w:val="22"/>
        </w:rPr>
        <w:t xml:space="preserve"> </w:t>
      </w:r>
      <w:r>
        <w:rPr>
          <w:rFonts w:ascii="宋体" w:eastAsia="宋体" w:hAnsi="宋体" w:cs="宋体"/>
          <w:spacing w:val="-10"/>
          <w:sz w:val="22"/>
          <w:szCs w:val="22"/>
        </w:rPr>
        <w:t>体转录因子</w:t>
      </w:r>
      <w:r>
        <w:rPr>
          <w:rFonts w:ascii="宋体" w:eastAsia="宋体" w:hAnsi="宋体" w:cs="宋体"/>
          <w:spacing w:val="-4"/>
          <w:sz w:val="22"/>
          <w:szCs w:val="22"/>
        </w:rPr>
        <w:t xml:space="preserve"> </w:t>
      </w:r>
      <w:r>
        <w:rPr>
          <w:rFonts w:ascii="宋体" w:eastAsia="宋体" w:hAnsi="宋体" w:cs="宋体"/>
          <w:spacing w:val="-10"/>
          <w:sz w:val="22"/>
          <w:szCs w:val="22"/>
        </w:rPr>
        <w:t>(PUFA-PPAR)</w:t>
      </w:r>
      <w:r>
        <w:rPr>
          <w:rFonts w:ascii="宋体" w:eastAsia="宋体" w:hAnsi="宋体" w:cs="宋体"/>
          <w:spacing w:val="5"/>
          <w:sz w:val="22"/>
          <w:szCs w:val="22"/>
        </w:rPr>
        <w:t xml:space="preserve">   </w:t>
      </w:r>
      <w:r>
        <w:rPr>
          <w:rFonts w:ascii="宋体" w:eastAsia="宋体" w:hAnsi="宋体" w:cs="宋体"/>
          <w:spacing w:val="-10"/>
          <w:sz w:val="22"/>
          <w:szCs w:val="22"/>
        </w:rPr>
        <w:t>依赖性的调节机制。</w:t>
      </w:r>
    </w:p>
    <w:p w:rsidR="00EA40A3" w:rsidRDefault="00E86C16">
      <w:pPr>
        <w:spacing w:before="49" w:line="219" w:lineRule="auto"/>
        <w:ind w:left="399"/>
        <w:rPr>
          <w:rFonts w:ascii="宋体" w:eastAsia="宋体" w:hAnsi="宋体" w:cs="宋体"/>
          <w:sz w:val="22"/>
          <w:szCs w:val="22"/>
        </w:rPr>
      </w:pPr>
      <w:r>
        <w:rPr>
          <w:rFonts w:ascii="宋体" w:eastAsia="宋体" w:hAnsi="宋体" w:cs="宋体"/>
          <w:spacing w:val="-12"/>
          <w:sz w:val="22"/>
          <w:szCs w:val="22"/>
        </w:rPr>
        <w:t>葡萄糖只有在葡萄糖转运蛋白的作用下进入细胞后才能进一步</w:t>
      </w:r>
      <w:r>
        <w:rPr>
          <w:rFonts w:ascii="宋体" w:eastAsia="宋体" w:hAnsi="宋体" w:cs="宋体"/>
          <w:spacing w:val="-13"/>
          <w:sz w:val="22"/>
          <w:szCs w:val="22"/>
        </w:rPr>
        <w:t>代谢。已知动</w:t>
      </w:r>
    </w:p>
    <w:p w:rsidR="00EA40A3" w:rsidRDefault="00E86C16">
      <w:pPr>
        <w:spacing w:before="38" w:line="216" w:lineRule="auto"/>
        <w:rPr>
          <w:rFonts w:ascii="宋体" w:eastAsia="宋体" w:hAnsi="宋体" w:cs="宋体"/>
          <w:sz w:val="22"/>
          <w:szCs w:val="22"/>
        </w:rPr>
      </w:pPr>
      <w:r>
        <w:rPr>
          <w:rFonts w:ascii="宋体" w:eastAsia="宋体" w:hAnsi="宋体" w:cs="宋体"/>
          <w:spacing w:val="-6"/>
          <w:sz w:val="22"/>
          <w:szCs w:val="22"/>
        </w:rPr>
        <w:t>物体内存在多种葡萄糖转运蛋白(从</w:t>
      </w:r>
      <w:r>
        <w:rPr>
          <w:rFonts w:ascii="宋体" w:eastAsia="宋体" w:hAnsi="宋体" w:cs="宋体"/>
          <w:spacing w:val="-59"/>
          <w:sz w:val="22"/>
          <w:szCs w:val="22"/>
        </w:rPr>
        <w:t xml:space="preserve"> </w:t>
      </w:r>
      <w:r>
        <w:rPr>
          <w:rFonts w:ascii="宋体" w:eastAsia="宋体" w:hAnsi="宋体" w:cs="宋体"/>
          <w:spacing w:val="-6"/>
          <w:sz w:val="22"/>
          <w:szCs w:val="22"/>
        </w:rPr>
        <w:t>GLUTl</w:t>
      </w:r>
      <w:r>
        <w:rPr>
          <w:rFonts w:ascii="宋体" w:eastAsia="宋体" w:hAnsi="宋体" w:cs="宋体"/>
          <w:spacing w:val="13"/>
          <w:sz w:val="22"/>
          <w:szCs w:val="22"/>
        </w:rPr>
        <w:t xml:space="preserve">  </w:t>
      </w:r>
      <w:r>
        <w:rPr>
          <w:rFonts w:ascii="宋体" w:eastAsia="宋体" w:hAnsi="宋体" w:cs="宋体"/>
          <w:spacing w:val="-6"/>
          <w:sz w:val="22"/>
          <w:szCs w:val="22"/>
        </w:rPr>
        <w:t>到</w:t>
      </w:r>
      <w:r>
        <w:rPr>
          <w:rFonts w:ascii="宋体" w:eastAsia="宋体" w:hAnsi="宋体" w:cs="宋体"/>
          <w:spacing w:val="-56"/>
          <w:sz w:val="22"/>
          <w:szCs w:val="22"/>
        </w:rPr>
        <w:t xml:space="preserve"> </w:t>
      </w:r>
      <w:r>
        <w:rPr>
          <w:rFonts w:ascii="宋体" w:eastAsia="宋体" w:hAnsi="宋体" w:cs="宋体"/>
          <w:spacing w:val="-6"/>
          <w:sz w:val="22"/>
          <w:szCs w:val="22"/>
        </w:rPr>
        <w:t>GLUT5,GLUT</w:t>
      </w:r>
      <w:r>
        <w:rPr>
          <w:rFonts w:ascii="宋体" w:eastAsia="宋体" w:hAnsi="宋体" w:cs="宋体"/>
          <w:spacing w:val="-7"/>
          <w:sz w:val="22"/>
          <w:szCs w:val="22"/>
        </w:rPr>
        <w:t>7)。</w:t>
      </w:r>
      <w:r>
        <w:rPr>
          <w:rFonts w:ascii="宋体" w:eastAsia="宋体" w:hAnsi="宋体" w:cs="宋体"/>
          <w:spacing w:val="3"/>
          <w:sz w:val="22"/>
          <w:szCs w:val="22"/>
        </w:rPr>
        <w:t xml:space="preserve">     </w:t>
      </w:r>
      <w:r>
        <w:rPr>
          <w:rFonts w:ascii="宋体" w:eastAsia="宋体" w:hAnsi="宋体" w:cs="宋体"/>
          <w:spacing w:val="-7"/>
          <w:sz w:val="22"/>
          <w:szCs w:val="22"/>
        </w:rPr>
        <w:t>编码这些</w:t>
      </w:r>
    </w:p>
    <w:p w:rsidR="00EA40A3" w:rsidRDefault="00E86C16">
      <w:pPr>
        <w:spacing w:before="43" w:line="244" w:lineRule="auto"/>
        <w:ind w:right="7"/>
        <w:jc w:val="both"/>
        <w:rPr>
          <w:rFonts w:ascii="宋体" w:eastAsia="宋体" w:hAnsi="宋体" w:cs="宋体"/>
          <w:sz w:val="22"/>
          <w:szCs w:val="22"/>
        </w:rPr>
      </w:pPr>
      <w:r>
        <w:rPr>
          <w:rFonts w:ascii="宋体" w:eastAsia="宋体" w:hAnsi="宋体" w:cs="宋体"/>
          <w:spacing w:val="-12"/>
          <w:sz w:val="22"/>
          <w:szCs w:val="22"/>
        </w:rPr>
        <w:t>蛋白质的基因的表达程度决定了葡萄糖进入细胞的数量。脂</w:t>
      </w:r>
      <w:r>
        <w:rPr>
          <w:rFonts w:ascii="宋体" w:eastAsia="宋体" w:hAnsi="宋体" w:cs="宋体"/>
          <w:spacing w:val="-13"/>
          <w:sz w:val="22"/>
          <w:szCs w:val="22"/>
        </w:rPr>
        <w:t>肪酸，特别是花生四</w:t>
      </w:r>
      <w:r>
        <w:rPr>
          <w:rFonts w:ascii="宋体" w:eastAsia="宋体" w:hAnsi="宋体" w:cs="宋体"/>
          <w:sz w:val="22"/>
          <w:szCs w:val="22"/>
        </w:rPr>
        <w:t xml:space="preserve"> </w:t>
      </w:r>
      <w:r>
        <w:rPr>
          <w:rFonts w:ascii="宋体" w:eastAsia="宋体" w:hAnsi="宋体" w:cs="宋体"/>
          <w:spacing w:val="-6"/>
          <w:sz w:val="22"/>
          <w:szCs w:val="22"/>
        </w:rPr>
        <w:t>烯酸是脂肪细胞葡萄糖转运系统的生理调节物。花</w:t>
      </w:r>
      <w:r>
        <w:rPr>
          <w:rFonts w:ascii="宋体" w:eastAsia="宋体" w:hAnsi="宋体" w:cs="宋体"/>
          <w:spacing w:val="-7"/>
          <w:sz w:val="22"/>
          <w:szCs w:val="22"/>
        </w:rPr>
        <w:t>生四烯酸可以抑制T</w:t>
      </w:r>
      <w:r>
        <w:rPr>
          <w:rFonts w:ascii="宋体" w:eastAsia="宋体" w:hAnsi="宋体" w:cs="宋体"/>
          <w:spacing w:val="-5"/>
          <w:sz w:val="22"/>
          <w:szCs w:val="22"/>
        </w:rPr>
        <w:t xml:space="preserve"> </w:t>
      </w:r>
      <w:r>
        <w:rPr>
          <w:rFonts w:ascii="宋体" w:eastAsia="宋体" w:hAnsi="宋体" w:cs="宋体"/>
          <w:spacing w:val="-7"/>
          <w:sz w:val="22"/>
          <w:szCs w:val="22"/>
        </w:rPr>
        <w:t>细胞中</w:t>
      </w:r>
      <w:r>
        <w:rPr>
          <w:rFonts w:ascii="宋体" w:eastAsia="宋体" w:hAnsi="宋体" w:cs="宋体"/>
          <w:sz w:val="22"/>
          <w:szCs w:val="22"/>
        </w:rPr>
        <w:t xml:space="preserve"> </w:t>
      </w:r>
      <w:r>
        <w:rPr>
          <w:rFonts w:ascii="宋体" w:eastAsia="宋体" w:hAnsi="宋体" w:cs="宋体"/>
          <w:spacing w:val="-7"/>
          <w:sz w:val="22"/>
          <w:szCs w:val="22"/>
        </w:rPr>
        <w:t>硬脂酰-CoA</w:t>
      </w:r>
      <w:r>
        <w:rPr>
          <w:rFonts w:ascii="宋体" w:eastAsia="宋体" w:hAnsi="宋体" w:cs="宋体"/>
          <w:spacing w:val="9"/>
          <w:sz w:val="22"/>
          <w:szCs w:val="22"/>
        </w:rPr>
        <w:t xml:space="preserve"> </w:t>
      </w:r>
      <w:r>
        <w:rPr>
          <w:rFonts w:ascii="宋体" w:eastAsia="宋体" w:hAnsi="宋体" w:cs="宋体"/>
          <w:spacing w:val="-7"/>
          <w:sz w:val="22"/>
          <w:szCs w:val="22"/>
        </w:rPr>
        <w:t>脱饱和酸、肝脏脂肪酸合成酶、3T3-L1</w:t>
      </w:r>
      <w:r>
        <w:rPr>
          <w:rFonts w:ascii="宋体" w:eastAsia="宋体" w:hAnsi="宋体" w:cs="宋体"/>
          <w:spacing w:val="-44"/>
          <w:sz w:val="22"/>
          <w:szCs w:val="22"/>
        </w:rPr>
        <w:t xml:space="preserve"> </w:t>
      </w:r>
      <w:r>
        <w:rPr>
          <w:rFonts w:ascii="宋体" w:eastAsia="宋体" w:hAnsi="宋体" w:cs="宋体"/>
          <w:spacing w:val="-7"/>
          <w:sz w:val="22"/>
          <w:szCs w:val="22"/>
        </w:rPr>
        <w:t>脂肪细胞中的GLUT4</w:t>
      </w:r>
      <w:r>
        <w:rPr>
          <w:rFonts w:ascii="宋体" w:eastAsia="宋体" w:hAnsi="宋体" w:cs="宋体"/>
          <w:spacing w:val="106"/>
          <w:sz w:val="22"/>
          <w:szCs w:val="22"/>
        </w:rPr>
        <w:t xml:space="preserve"> </w:t>
      </w:r>
      <w:r>
        <w:rPr>
          <w:rFonts w:ascii="宋体" w:eastAsia="宋体" w:hAnsi="宋体" w:cs="宋体"/>
          <w:spacing w:val="-7"/>
          <w:sz w:val="22"/>
          <w:szCs w:val="22"/>
        </w:rPr>
        <w:t>基因</w:t>
      </w:r>
      <w:r>
        <w:rPr>
          <w:rFonts w:ascii="宋体" w:eastAsia="宋体" w:hAnsi="宋体" w:cs="宋体"/>
          <w:sz w:val="22"/>
          <w:szCs w:val="22"/>
        </w:rPr>
        <w:t xml:space="preserve"> </w:t>
      </w:r>
      <w:r>
        <w:rPr>
          <w:rFonts w:ascii="宋体" w:eastAsia="宋体" w:hAnsi="宋体" w:cs="宋体"/>
          <w:spacing w:val="-20"/>
          <w:sz w:val="22"/>
          <w:szCs w:val="22"/>
        </w:rPr>
        <w:t>的转录率。</w:t>
      </w:r>
    </w:p>
    <w:p w:rsidR="00EA40A3" w:rsidRDefault="00E86C16">
      <w:pPr>
        <w:spacing w:before="234" w:line="219" w:lineRule="auto"/>
        <w:rPr>
          <w:rFonts w:ascii="仿宋" w:eastAsia="仿宋" w:hAnsi="仿宋" w:cs="仿宋"/>
          <w:sz w:val="22"/>
          <w:szCs w:val="22"/>
        </w:rPr>
      </w:pPr>
      <w:r>
        <w:rPr>
          <w:rFonts w:ascii="仿宋" w:eastAsia="仿宋" w:hAnsi="仿宋" w:cs="仿宋"/>
          <w:spacing w:val="15"/>
          <w:sz w:val="22"/>
          <w:szCs w:val="22"/>
        </w:rPr>
        <w:t>4.</w:t>
      </w:r>
      <w:r>
        <w:rPr>
          <w:rFonts w:ascii="仿宋" w:eastAsia="仿宋" w:hAnsi="仿宋" w:cs="仿宋"/>
          <w:spacing w:val="-47"/>
          <w:sz w:val="22"/>
          <w:szCs w:val="22"/>
        </w:rPr>
        <w:t xml:space="preserve"> </w:t>
      </w:r>
      <w:r>
        <w:rPr>
          <w:rFonts w:ascii="仿宋" w:eastAsia="仿宋" w:hAnsi="仿宋" w:cs="仿宋"/>
          <w:spacing w:val="15"/>
          <w:sz w:val="22"/>
          <w:szCs w:val="22"/>
        </w:rPr>
        <w:t>微量元素在基因表达中的调控作用</w:t>
      </w:r>
    </w:p>
    <w:p w:rsidR="00EA40A3" w:rsidRDefault="00E86C16">
      <w:pPr>
        <w:spacing w:before="172" w:line="244" w:lineRule="auto"/>
        <w:ind w:right="41" w:firstLine="399"/>
        <w:rPr>
          <w:rFonts w:ascii="宋体" w:eastAsia="宋体" w:hAnsi="宋体" w:cs="宋体"/>
          <w:sz w:val="22"/>
          <w:szCs w:val="22"/>
        </w:rPr>
      </w:pPr>
      <w:r>
        <w:rPr>
          <w:rFonts w:ascii="宋体" w:eastAsia="宋体" w:hAnsi="宋体" w:cs="宋体"/>
          <w:spacing w:val="-9"/>
          <w:sz w:val="22"/>
          <w:szCs w:val="22"/>
        </w:rPr>
        <w:t>(1)锌：锌是机体中重要的微量元素，它几乎参与生物体新陈</w:t>
      </w:r>
      <w:r>
        <w:rPr>
          <w:rFonts w:ascii="宋体" w:eastAsia="宋体" w:hAnsi="宋体" w:cs="宋体"/>
          <w:spacing w:val="-10"/>
          <w:sz w:val="22"/>
          <w:szCs w:val="22"/>
        </w:rPr>
        <w:t>代谢的各个方</w:t>
      </w:r>
      <w:r>
        <w:rPr>
          <w:rFonts w:ascii="宋体" w:eastAsia="宋体" w:hAnsi="宋体" w:cs="宋体"/>
          <w:sz w:val="22"/>
          <w:szCs w:val="22"/>
        </w:rPr>
        <w:t xml:space="preserve"> </w:t>
      </w:r>
      <w:r>
        <w:rPr>
          <w:rFonts w:ascii="宋体" w:eastAsia="宋体" w:hAnsi="宋体" w:cs="宋体"/>
          <w:spacing w:val="-14"/>
          <w:sz w:val="22"/>
          <w:szCs w:val="22"/>
        </w:rPr>
        <w:t>面。目前的研究表明，锌以间接或直接的形式参与基因的表达调控。</w:t>
      </w:r>
    </w:p>
    <w:p w:rsidR="00EA40A3" w:rsidRDefault="00E86C16">
      <w:pPr>
        <w:spacing w:before="30"/>
        <w:ind w:right="19" w:firstLine="399"/>
        <w:rPr>
          <w:rFonts w:ascii="Calibri" w:eastAsia="Calibri" w:hAnsi="Calibri" w:cs="Calibri"/>
          <w:sz w:val="22"/>
          <w:szCs w:val="22"/>
        </w:rPr>
      </w:pPr>
      <w:r>
        <w:rPr>
          <w:rFonts w:ascii="宋体" w:eastAsia="宋体" w:hAnsi="宋体" w:cs="宋体"/>
          <w:spacing w:val="-12"/>
          <w:sz w:val="22"/>
          <w:szCs w:val="22"/>
        </w:rPr>
        <w:t>锌参与基因表达的一种重要的方式是与核酸及组蛋白紧密结合从而</w:t>
      </w:r>
      <w:r>
        <w:rPr>
          <w:rFonts w:ascii="宋体" w:eastAsia="宋体" w:hAnsi="宋体" w:cs="宋体"/>
          <w:spacing w:val="-13"/>
          <w:sz w:val="22"/>
          <w:szCs w:val="22"/>
        </w:rPr>
        <w:t>稳定这些</w:t>
      </w:r>
      <w:r>
        <w:rPr>
          <w:rFonts w:ascii="宋体" w:eastAsia="宋体" w:hAnsi="宋体" w:cs="宋体"/>
          <w:sz w:val="22"/>
          <w:szCs w:val="22"/>
        </w:rPr>
        <w:t xml:space="preserve"> </w:t>
      </w:r>
      <w:r>
        <w:rPr>
          <w:rFonts w:ascii="宋体" w:eastAsia="宋体" w:hAnsi="宋体" w:cs="宋体"/>
          <w:spacing w:val="-5"/>
          <w:sz w:val="22"/>
          <w:szCs w:val="22"/>
        </w:rPr>
        <w:t>生物大分子的高级结构。缺锌可以改变组蛋白H</w:t>
      </w:r>
      <w:r>
        <w:rPr>
          <w:rFonts w:ascii="Calibri" w:eastAsia="Calibri" w:hAnsi="Calibri" w:cs="Calibri"/>
          <w:spacing w:val="-5"/>
          <w:sz w:val="22"/>
          <w:szCs w:val="22"/>
        </w:rPr>
        <w:t>₁</w:t>
      </w:r>
      <w:r>
        <w:rPr>
          <w:rFonts w:ascii="Calibri" w:eastAsia="Calibri" w:hAnsi="Calibri" w:cs="Calibri"/>
          <w:spacing w:val="9"/>
          <w:sz w:val="22"/>
          <w:szCs w:val="22"/>
        </w:rPr>
        <w:t xml:space="preserve">   </w:t>
      </w:r>
      <w:r>
        <w:rPr>
          <w:rFonts w:ascii="宋体" w:eastAsia="宋体" w:hAnsi="宋体" w:cs="宋体"/>
          <w:spacing w:val="-5"/>
          <w:sz w:val="22"/>
          <w:szCs w:val="22"/>
        </w:rPr>
        <w:t>的亚结构特性，使组蛋白H</w:t>
      </w:r>
      <w:r>
        <w:rPr>
          <w:rFonts w:ascii="Calibri" w:eastAsia="Calibri" w:hAnsi="Calibri" w:cs="Calibri"/>
          <w:spacing w:val="-5"/>
          <w:sz w:val="22"/>
          <w:szCs w:val="22"/>
        </w:rPr>
        <w:t>₁</w:t>
      </w:r>
    </w:p>
    <w:p w:rsidR="00EA40A3" w:rsidRDefault="00E86C16">
      <w:pPr>
        <w:spacing w:before="102"/>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380</w:t>
      </w:r>
      <w:r>
        <w:rPr>
          <w:rFonts w:ascii="宋体" w:eastAsia="宋体" w:hAnsi="宋体" w:cs="宋体"/>
          <w:spacing w:val="61"/>
          <w:w w:val="101"/>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305"/>
          <w:pgSz w:w="9220" w:h="13360"/>
          <w:pgMar w:top="400" w:right="1080" w:bottom="400" w:left="860" w:header="0" w:footer="0" w:gutter="0"/>
          <w:cols w:space="720"/>
        </w:sectPr>
      </w:pPr>
    </w:p>
    <w:p w:rsidR="00EA40A3" w:rsidRDefault="00EA40A3">
      <w:pPr>
        <w:spacing w:line="283" w:lineRule="auto"/>
      </w:pPr>
    </w:p>
    <w:p w:rsidR="00EA40A3" w:rsidRDefault="00EA40A3">
      <w:pPr>
        <w:spacing w:line="284" w:lineRule="auto"/>
      </w:pPr>
    </w:p>
    <w:p w:rsidR="00EA40A3" w:rsidRDefault="00E86C16">
      <w:pPr>
        <w:spacing w:before="69" w:line="259" w:lineRule="auto"/>
        <w:ind w:right="60"/>
        <w:jc w:val="both"/>
        <w:rPr>
          <w:rFonts w:ascii="宋体" w:eastAsia="宋体" w:hAnsi="宋体" w:cs="宋体"/>
        </w:rPr>
      </w:pPr>
      <w:r>
        <w:rPr>
          <w:rFonts w:ascii="宋体" w:eastAsia="宋体" w:hAnsi="宋体" w:cs="宋体"/>
          <w:spacing w:val="3"/>
        </w:rPr>
        <w:t>从染色质上脱去，而组蛋白H</w:t>
      </w:r>
      <w:r>
        <w:rPr>
          <w:rFonts w:ascii="Calibri" w:eastAsia="Calibri" w:hAnsi="Calibri" w:cs="Calibri"/>
          <w:spacing w:val="3"/>
        </w:rPr>
        <w:t>₁</w:t>
      </w:r>
      <w:r>
        <w:rPr>
          <w:rFonts w:ascii="Calibri" w:eastAsia="Calibri" w:hAnsi="Calibri" w:cs="Calibri"/>
          <w:spacing w:val="4"/>
        </w:rPr>
        <w:t xml:space="preserve">   </w:t>
      </w:r>
      <w:r>
        <w:rPr>
          <w:rFonts w:ascii="宋体" w:eastAsia="宋体" w:hAnsi="宋体" w:cs="宋体"/>
          <w:spacing w:val="3"/>
        </w:rPr>
        <w:t>的磷酸化与基因活化及蛋白质的合成密</w:t>
      </w:r>
      <w:r>
        <w:rPr>
          <w:rFonts w:ascii="宋体" w:eastAsia="宋体" w:hAnsi="宋体" w:cs="宋体"/>
          <w:spacing w:val="2"/>
        </w:rPr>
        <w:t>切相关。</w:t>
      </w:r>
      <w:r>
        <w:rPr>
          <w:rFonts w:ascii="宋体" w:eastAsia="宋体" w:hAnsi="宋体" w:cs="宋体"/>
          <w:spacing w:val="1"/>
        </w:rPr>
        <w:t xml:space="preserve"> </w:t>
      </w:r>
      <w:r>
        <w:rPr>
          <w:rFonts w:ascii="宋体" w:eastAsia="宋体" w:hAnsi="宋体" w:cs="宋体"/>
          <w:spacing w:val="2"/>
        </w:rPr>
        <w:t>体外实验表明，组蛋白H</w:t>
      </w:r>
      <w:r>
        <w:rPr>
          <w:rFonts w:ascii="Calibri" w:eastAsia="Calibri" w:hAnsi="Calibri" w:cs="Calibri"/>
          <w:spacing w:val="2"/>
        </w:rPr>
        <w:t>₁</w:t>
      </w:r>
      <w:r>
        <w:rPr>
          <w:rFonts w:ascii="Calibri" w:eastAsia="Calibri" w:hAnsi="Calibri" w:cs="Calibri"/>
          <w:spacing w:val="10"/>
        </w:rPr>
        <w:t xml:space="preserve">  </w:t>
      </w:r>
      <w:r>
        <w:rPr>
          <w:rFonts w:ascii="宋体" w:eastAsia="宋体" w:hAnsi="宋体" w:cs="宋体"/>
          <w:spacing w:val="2"/>
        </w:rPr>
        <w:t>的磷酸化必须有锌的激活才能完成。锌还可以键</w:t>
      </w:r>
      <w:r>
        <w:rPr>
          <w:rFonts w:ascii="宋体" w:eastAsia="宋体" w:hAnsi="宋体" w:cs="宋体"/>
          <w:spacing w:val="1"/>
        </w:rPr>
        <w:t>合在</w:t>
      </w:r>
      <w:r>
        <w:rPr>
          <w:rFonts w:ascii="宋体" w:eastAsia="宋体" w:hAnsi="宋体" w:cs="宋体"/>
        </w:rPr>
        <w:t xml:space="preserve"> DNA</w:t>
      </w:r>
      <w:r>
        <w:rPr>
          <w:rFonts w:ascii="宋体" w:eastAsia="宋体" w:hAnsi="宋体" w:cs="宋体"/>
          <w:spacing w:val="74"/>
        </w:rPr>
        <w:t xml:space="preserve"> </w:t>
      </w:r>
      <w:r>
        <w:rPr>
          <w:rFonts w:ascii="宋体" w:eastAsia="宋体" w:hAnsi="宋体" w:cs="宋体"/>
        </w:rPr>
        <w:t>骨架上，从而稳定DNA</w:t>
      </w:r>
      <w:r>
        <w:rPr>
          <w:rFonts w:ascii="宋体" w:eastAsia="宋体" w:hAnsi="宋体" w:cs="宋体"/>
          <w:spacing w:val="104"/>
        </w:rPr>
        <w:t xml:space="preserve"> </w:t>
      </w:r>
      <w:r>
        <w:rPr>
          <w:rFonts w:ascii="宋体" w:eastAsia="宋体" w:hAnsi="宋体" w:cs="宋体"/>
        </w:rPr>
        <w:t>的双螺旋结构。研究认为缺锌可以引起</w:t>
      </w:r>
      <w:r>
        <w:rPr>
          <w:rFonts w:ascii="宋体" w:eastAsia="宋体" w:hAnsi="宋体" w:cs="宋体"/>
          <w:spacing w:val="-60"/>
        </w:rPr>
        <w:t xml:space="preserve"> </w:t>
      </w:r>
      <w:r>
        <w:rPr>
          <w:rFonts w:ascii="宋体" w:eastAsia="宋体" w:hAnsi="宋体" w:cs="宋体"/>
        </w:rPr>
        <w:t>DNA</w:t>
      </w:r>
      <w:r>
        <w:rPr>
          <w:rFonts w:ascii="宋体" w:eastAsia="宋体" w:hAnsi="宋体" w:cs="宋体"/>
          <w:spacing w:val="4"/>
        </w:rPr>
        <w:t xml:space="preserve">  </w:t>
      </w:r>
      <w:r>
        <w:rPr>
          <w:rFonts w:ascii="宋体" w:eastAsia="宋体" w:hAnsi="宋体" w:cs="宋体"/>
        </w:rPr>
        <w:t>的氧</w:t>
      </w:r>
      <w:r>
        <w:rPr>
          <w:rFonts w:ascii="宋体" w:eastAsia="宋体" w:hAnsi="宋体" w:cs="宋体"/>
          <w:spacing w:val="1"/>
        </w:rPr>
        <w:t xml:space="preserve"> </w:t>
      </w:r>
      <w:r>
        <w:rPr>
          <w:rFonts w:ascii="宋体" w:eastAsia="宋体" w:hAnsi="宋体" w:cs="宋体"/>
          <w:spacing w:val="-8"/>
        </w:rPr>
        <w:t>化损伤。</w:t>
      </w:r>
    </w:p>
    <w:p w:rsidR="00EA40A3" w:rsidRDefault="00E86C16">
      <w:pPr>
        <w:spacing w:before="48" w:line="254" w:lineRule="auto"/>
        <w:ind w:firstLine="469"/>
        <w:jc w:val="both"/>
        <w:rPr>
          <w:rFonts w:ascii="宋体" w:eastAsia="宋体" w:hAnsi="宋体" w:cs="宋体"/>
        </w:rPr>
      </w:pPr>
      <w:r>
        <w:rPr>
          <w:rFonts w:ascii="宋体" w:eastAsia="宋体" w:hAnsi="宋体" w:cs="宋体"/>
          <w:spacing w:val="1"/>
        </w:rPr>
        <w:t>锌影响基因表达的另一种方式是其可能影响</w:t>
      </w:r>
      <w:r>
        <w:rPr>
          <w:rFonts w:ascii="宋体" w:eastAsia="宋体" w:hAnsi="宋体" w:cs="宋体"/>
          <w:spacing w:val="-46"/>
        </w:rPr>
        <w:t xml:space="preserve"> </w:t>
      </w:r>
      <w:r>
        <w:rPr>
          <w:rFonts w:ascii="宋体" w:eastAsia="宋体" w:hAnsi="宋体" w:cs="宋体"/>
        </w:rPr>
        <w:t>DNA</w:t>
      </w:r>
      <w:r>
        <w:rPr>
          <w:rFonts w:ascii="宋体" w:eastAsia="宋体" w:hAnsi="宋体" w:cs="宋体"/>
          <w:spacing w:val="10"/>
        </w:rPr>
        <w:t xml:space="preserve">  </w:t>
      </w:r>
      <w:r>
        <w:rPr>
          <w:rFonts w:ascii="宋体" w:eastAsia="宋体" w:hAnsi="宋体" w:cs="宋体"/>
          <w:spacing w:val="1"/>
        </w:rPr>
        <w:t>的复制过程。研究表明，</w:t>
      </w:r>
      <w:r>
        <w:rPr>
          <w:rFonts w:ascii="宋体" w:eastAsia="宋体" w:hAnsi="宋体" w:cs="宋体"/>
        </w:rPr>
        <w:t xml:space="preserve"> 核酸合成及降解的关键酶为依锌酶，日粮中不加锌大鼠细胞核中的DNA</w:t>
      </w:r>
      <w:r>
        <w:rPr>
          <w:rFonts w:ascii="宋体" w:eastAsia="宋体" w:hAnsi="宋体" w:cs="宋体"/>
          <w:spacing w:val="18"/>
        </w:rPr>
        <w:t xml:space="preserve">  </w:t>
      </w:r>
      <w:r>
        <w:rPr>
          <w:rFonts w:ascii="宋体" w:eastAsia="宋体" w:hAnsi="宋体" w:cs="宋体"/>
        </w:rPr>
        <w:t>聚合酶  活性明显低于对照组，当向缺锌大鼠饲料中添加适量锌元素可以使部分DNA</w:t>
      </w:r>
      <w:r>
        <w:rPr>
          <w:rFonts w:ascii="宋体" w:eastAsia="宋体" w:hAnsi="宋体" w:cs="宋体"/>
          <w:spacing w:val="11"/>
        </w:rPr>
        <w:t xml:space="preserve">  </w:t>
      </w:r>
      <w:r>
        <w:rPr>
          <w:rFonts w:ascii="宋体" w:eastAsia="宋体" w:hAnsi="宋体" w:cs="宋体"/>
        </w:rPr>
        <w:t xml:space="preserve">聚  </w:t>
      </w:r>
      <w:r>
        <w:rPr>
          <w:rFonts w:ascii="宋体" w:eastAsia="宋体" w:hAnsi="宋体" w:cs="宋体"/>
          <w:spacing w:val="-1"/>
        </w:rPr>
        <w:t>合酶活性得到恢复。人恶性类淋巴母细胞T</w:t>
      </w:r>
      <w:r>
        <w:rPr>
          <w:rFonts w:ascii="宋体" w:eastAsia="宋体" w:hAnsi="宋体" w:cs="宋体"/>
          <w:spacing w:val="3"/>
        </w:rPr>
        <w:t xml:space="preserve"> </w:t>
      </w:r>
      <w:r>
        <w:rPr>
          <w:rFonts w:ascii="宋体" w:eastAsia="宋体" w:hAnsi="宋体" w:cs="宋体"/>
          <w:spacing w:val="-1"/>
        </w:rPr>
        <w:t>辅助细胞系</w:t>
      </w:r>
      <w:r>
        <w:rPr>
          <w:rFonts w:ascii="宋体" w:eastAsia="宋体" w:hAnsi="宋体" w:cs="宋体"/>
          <w:spacing w:val="-25"/>
        </w:rPr>
        <w:t xml:space="preserve"> </w:t>
      </w:r>
      <w:r>
        <w:rPr>
          <w:rFonts w:ascii="宋体" w:eastAsia="宋体" w:hAnsi="宋体" w:cs="宋体"/>
          <w:spacing w:val="-1"/>
        </w:rPr>
        <w:t>(HUT-78)</w:t>
      </w:r>
      <w:r>
        <w:rPr>
          <w:rFonts w:ascii="宋体" w:eastAsia="宋体" w:hAnsi="宋体" w:cs="宋体"/>
          <w:spacing w:val="42"/>
        </w:rPr>
        <w:t xml:space="preserve">  </w:t>
      </w:r>
      <w:r>
        <w:rPr>
          <w:rFonts w:ascii="宋体" w:eastAsia="宋体" w:hAnsi="宋体" w:cs="宋体"/>
          <w:spacing w:val="-1"/>
        </w:rPr>
        <w:t>在锌缺乏和</w:t>
      </w:r>
      <w:r>
        <w:rPr>
          <w:rFonts w:ascii="宋体" w:eastAsia="宋体" w:hAnsi="宋体" w:cs="宋体"/>
        </w:rPr>
        <w:t xml:space="preserve">  </w:t>
      </w:r>
      <w:r>
        <w:rPr>
          <w:rFonts w:ascii="宋体" w:eastAsia="宋体" w:hAnsi="宋体" w:cs="宋体"/>
          <w:spacing w:val="5"/>
        </w:rPr>
        <w:t>锌充足基质中的倍增时间分别为59.8h</w:t>
      </w:r>
      <w:r>
        <w:rPr>
          <w:rFonts w:ascii="宋体" w:eastAsia="宋体" w:hAnsi="宋体" w:cs="宋体"/>
          <w:spacing w:val="-24"/>
        </w:rPr>
        <w:t xml:space="preserve"> </w:t>
      </w:r>
      <w:r>
        <w:rPr>
          <w:rFonts w:ascii="宋体" w:eastAsia="宋体" w:hAnsi="宋体" w:cs="宋体"/>
          <w:spacing w:val="5"/>
        </w:rPr>
        <w:t>和32.6h,</w:t>
      </w:r>
      <w:r>
        <w:rPr>
          <w:rFonts w:ascii="宋体" w:eastAsia="宋体" w:hAnsi="宋体" w:cs="宋体"/>
          <w:spacing w:val="1"/>
        </w:rPr>
        <w:t xml:space="preserve"> </w:t>
      </w:r>
      <w:r>
        <w:rPr>
          <w:rFonts w:ascii="宋体" w:eastAsia="宋体" w:hAnsi="宋体" w:cs="宋体"/>
          <w:spacing w:val="5"/>
        </w:rPr>
        <w:t>而且在锌缺乏基质中的</w:t>
      </w:r>
      <w:r>
        <w:rPr>
          <w:rFonts w:ascii="宋体" w:eastAsia="宋体" w:hAnsi="宋体" w:cs="宋体"/>
          <w:spacing w:val="-61"/>
        </w:rPr>
        <w:t xml:space="preserve"> </w:t>
      </w:r>
      <w:r>
        <w:rPr>
          <w:rFonts w:ascii="宋体" w:eastAsia="宋体" w:hAnsi="宋体" w:cs="宋体"/>
        </w:rPr>
        <w:t>DNA</w:t>
      </w:r>
    </w:p>
    <w:p w:rsidR="00EA40A3" w:rsidRDefault="00E86C16">
      <w:pPr>
        <w:spacing w:before="55" w:line="219" w:lineRule="auto"/>
        <w:rPr>
          <w:rFonts w:ascii="宋体" w:eastAsia="宋体" w:hAnsi="宋体" w:cs="宋体"/>
        </w:rPr>
      </w:pPr>
      <w:r>
        <w:rPr>
          <w:rFonts w:ascii="宋体" w:eastAsia="宋体" w:hAnsi="宋体" w:cs="宋体"/>
          <w:spacing w:val="-3"/>
        </w:rPr>
        <w:t>合成酶脱氧胸苷激酶 (TK)</w:t>
      </w:r>
      <w:r>
        <w:rPr>
          <w:rFonts w:ascii="宋体" w:eastAsia="宋体" w:hAnsi="宋体" w:cs="宋体"/>
          <w:spacing w:val="12"/>
        </w:rPr>
        <w:t xml:space="preserve">  </w:t>
      </w:r>
      <w:r>
        <w:rPr>
          <w:rFonts w:ascii="宋体" w:eastAsia="宋体" w:hAnsi="宋体" w:cs="宋体"/>
          <w:spacing w:val="-3"/>
        </w:rPr>
        <w:t>活性及TK-mRNA</w:t>
      </w:r>
      <w:r>
        <w:rPr>
          <w:rFonts w:ascii="宋体" w:eastAsia="宋体" w:hAnsi="宋体" w:cs="宋体"/>
          <w:spacing w:val="5"/>
        </w:rPr>
        <w:t xml:space="preserve">   </w:t>
      </w:r>
      <w:r>
        <w:rPr>
          <w:rFonts w:ascii="宋体" w:eastAsia="宋体" w:hAnsi="宋体" w:cs="宋体"/>
          <w:spacing w:val="-3"/>
        </w:rPr>
        <w:t>丰度均下降。</w:t>
      </w:r>
    </w:p>
    <w:p w:rsidR="00EA40A3" w:rsidRDefault="00E86C16">
      <w:pPr>
        <w:spacing w:before="94" w:line="256" w:lineRule="auto"/>
        <w:ind w:right="83" w:firstLine="469"/>
        <w:rPr>
          <w:rFonts w:ascii="宋体" w:eastAsia="宋体" w:hAnsi="宋体" w:cs="宋体"/>
        </w:rPr>
      </w:pPr>
      <w:r>
        <w:rPr>
          <w:rFonts w:ascii="宋体" w:eastAsia="宋体" w:hAnsi="宋体" w:cs="宋体"/>
          <w:spacing w:val="4"/>
        </w:rPr>
        <w:t>锌还以锌结合蛋白的形式参与基因的表达调控。锌结合蛋白是一类转录因</w:t>
      </w:r>
      <w:r>
        <w:rPr>
          <w:rFonts w:ascii="宋体" w:eastAsia="宋体" w:hAnsi="宋体" w:cs="宋体"/>
          <w:spacing w:val="2"/>
        </w:rPr>
        <w:t xml:space="preserve"> </w:t>
      </w:r>
      <w:r>
        <w:rPr>
          <w:rFonts w:ascii="宋体" w:eastAsia="宋体" w:hAnsi="宋体" w:cs="宋体"/>
          <w:spacing w:val="-2"/>
        </w:rPr>
        <w:t>子，能激活因子或增强子。</w:t>
      </w:r>
      <w:r>
        <w:rPr>
          <w:rFonts w:ascii="宋体" w:eastAsia="宋体" w:hAnsi="宋体" w:cs="宋体"/>
          <w:spacing w:val="-5"/>
        </w:rPr>
        <w:t xml:space="preserve"> </w:t>
      </w:r>
      <w:r>
        <w:rPr>
          <w:rFonts w:ascii="宋体" w:eastAsia="宋体" w:hAnsi="宋体" w:cs="宋体"/>
          <w:spacing w:val="-2"/>
        </w:rPr>
        <w:t>Zn²+在锌结合蛋白类转录因子的DNA</w:t>
      </w:r>
      <w:r>
        <w:rPr>
          <w:rFonts w:ascii="宋体" w:eastAsia="宋体" w:hAnsi="宋体" w:cs="宋体"/>
          <w:spacing w:val="104"/>
        </w:rPr>
        <w:t xml:space="preserve"> </w:t>
      </w:r>
      <w:r>
        <w:rPr>
          <w:rFonts w:ascii="宋体" w:eastAsia="宋体" w:hAnsi="宋体" w:cs="宋体"/>
          <w:spacing w:val="-2"/>
        </w:rPr>
        <w:t>结合区域如锌</w:t>
      </w:r>
      <w:r>
        <w:rPr>
          <w:rFonts w:ascii="宋体" w:eastAsia="宋体" w:hAnsi="宋体" w:cs="宋体"/>
        </w:rPr>
        <w:t xml:space="preserve"> </w:t>
      </w:r>
      <w:r>
        <w:rPr>
          <w:rFonts w:ascii="宋体" w:eastAsia="宋体" w:hAnsi="宋体" w:cs="宋体"/>
          <w:spacing w:val="-2"/>
        </w:rPr>
        <w:t>指、锌簇、锌扭的折叠中起着关键的作用。动物实验表</w:t>
      </w:r>
      <w:r>
        <w:rPr>
          <w:rFonts w:ascii="宋体" w:eastAsia="宋体" w:hAnsi="宋体" w:cs="宋体"/>
          <w:spacing w:val="-3"/>
        </w:rPr>
        <w:t>明，锌指蛋白在转录水平</w:t>
      </w:r>
      <w:r>
        <w:rPr>
          <w:rFonts w:ascii="宋体" w:eastAsia="宋体" w:hAnsi="宋体" w:cs="宋体"/>
        </w:rPr>
        <w:t xml:space="preserve"> </w:t>
      </w:r>
      <w:r>
        <w:rPr>
          <w:rFonts w:ascii="宋体" w:eastAsia="宋体" w:hAnsi="宋体" w:cs="宋体"/>
          <w:spacing w:val="-2"/>
        </w:rPr>
        <w:t>调控基因表达，缺锌动物体内锌指蛋白含量下降。另外还发现，锌水平影</w:t>
      </w:r>
      <w:r>
        <w:rPr>
          <w:rFonts w:ascii="宋体" w:eastAsia="宋体" w:hAnsi="宋体" w:cs="宋体"/>
          <w:spacing w:val="-3"/>
        </w:rPr>
        <w:t>响小鼠</w:t>
      </w:r>
      <w:r>
        <w:rPr>
          <w:rFonts w:ascii="宋体" w:eastAsia="宋体" w:hAnsi="宋体" w:cs="宋体"/>
        </w:rPr>
        <w:t xml:space="preserve"> </w:t>
      </w:r>
      <w:r>
        <w:rPr>
          <w:rFonts w:ascii="宋体" w:eastAsia="宋体" w:hAnsi="宋体" w:cs="宋体"/>
          <w:spacing w:val="-3"/>
        </w:rPr>
        <w:t>血浆和红细胞中的金属硫蛋白的水平，</w:t>
      </w:r>
      <w:r>
        <w:rPr>
          <w:rFonts w:ascii="宋体" w:eastAsia="宋体" w:hAnsi="宋体" w:cs="宋体"/>
          <w:spacing w:val="40"/>
        </w:rPr>
        <w:t xml:space="preserve"> </w:t>
      </w:r>
      <w:r>
        <w:rPr>
          <w:rFonts w:ascii="宋体" w:eastAsia="宋体" w:hAnsi="宋体" w:cs="宋体"/>
          <w:spacing w:val="-3"/>
        </w:rPr>
        <w:t>Zn</w:t>
      </w:r>
      <w:r>
        <w:rPr>
          <w:rFonts w:ascii="宋体" w:eastAsia="宋体" w:hAnsi="宋体" w:cs="宋体"/>
          <w:spacing w:val="-18"/>
        </w:rPr>
        <w:t xml:space="preserve"> </w:t>
      </w:r>
      <w:r>
        <w:rPr>
          <w:rFonts w:ascii="宋体" w:eastAsia="宋体" w:hAnsi="宋体" w:cs="宋体"/>
          <w:spacing w:val="-3"/>
        </w:rPr>
        <w:t>通过转录因子金属调节蛋白来调节金</w:t>
      </w:r>
      <w:r>
        <w:rPr>
          <w:rFonts w:ascii="宋体" w:eastAsia="宋体" w:hAnsi="宋体" w:cs="宋体"/>
        </w:rPr>
        <w:t xml:space="preserve"> </w:t>
      </w:r>
      <w:r>
        <w:rPr>
          <w:rFonts w:ascii="宋体" w:eastAsia="宋体" w:hAnsi="宋体" w:cs="宋体"/>
          <w:spacing w:val="-4"/>
        </w:rPr>
        <w:t>属硫蛋白</w:t>
      </w:r>
      <w:r>
        <w:rPr>
          <w:rFonts w:ascii="宋体" w:eastAsia="宋体" w:hAnsi="宋体" w:cs="宋体"/>
          <w:spacing w:val="-32"/>
        </w:rPr>
        <w:t xml:space="preserve"> </w:t>
      </w:r>
      <w:r>
        <w:rPr>
          <w:rFonts w:ascii="宋体" w:eastAsia="宋体" w:hAnsi="宋体" w:cs="宋体"/>
          <w:spacing w:val="-4"/>
        </w:rPr>
        <w:t>(MT)</w:t>
      </w:r>
      <w:r>
        <w:rPr>
          <w:rFonts w:ascii="宋体" w:eastAsia="宋体" w:hAnsi="宋体" w:cs="宋体"/>
          <w:spacing w:val="33"/>
        </w:rPr>
        <w:t xml:space="preserve">  </w:t>
      </w:r>
      <w:r>
        <w:rPr>
          <w:rFonts w:ascii="宋体" w:eastAsia="宋体" w:hAnsi="宋体" w:cs="宋体"/>
          <w:spacing w:val="-4"/>
        </w:rPr>
        <w:t>基因的转录水平。</w:t>
      </w:r>
    </w:p>
    <w:p w:rsidR="00EA40A3" w:rsidRDefault="00E86C16">
      <w:pPr>
        <w:spacing w:before="52" w:line="256" w:lineRule="auto"/>
        <w:ind w:firstLine="469"/>
        <w:rPr>
          <w:rFonts w:ascii="宋体" w:eastAsia="宋体" w:hAnsi="宋体" w:cs="宋体"/>
        </w:rPr>
      </w:pPr>
      <w:r>
        <w:rPr>
          <w:rFonts w:ascii="宋体" w:eastAsia="宋体" w:hAnsi="宋体" w:cs="宋体"/>
          <w:spacing w:val="10"/>
        </w:rPr>
        <w:t>(2)铜：铜是生物体内许多酶的辅助因子，这些</w:t>
      </w:r>
      <w:r>
        <w:rPr>
          <w:rFonts w:ascii="宋体" w:eastAsia="宋体" w:hAnsi="宋体" w:cs="宋体"/>
          <w:spacing w:val="9"/>
        </w:rPr>
        <w:t>酶包括细胞色素氧化酶、</w:t>
      </w:r>
      <w:r>
        <w:rPr>
          <w:rFonts w:ascii="宋体" w:eastAsia="宋体" w:hAnsi="宋体" w:cs="宋体"/>
        </w:rPr>
        <w:t xml:space="preserve"> Cu</w:t>
      </w:r>
      <w:r>
        <w:rPr>
          <w:rFonts w:ascii="宋体" w:eastAsia="宋体" w:hAnsi="宋体" w:cs="宋体"/>
          <w:spacing w:val="4"/>
        </w:rPr>
        <w:t>/</w:t>
      </w:r>
      <w:r>
        <w:rPr>
          <w:rFonts w:ascii="宋体" w:eastAsia="宋体" w:hAnsi="宋体" w:cs="宋体"/>
        </w:rPr>
        <w:t>Zn</w:t>
      </w:r>
      <w:r>
        <w:rPr>
          <w:rFonts w:ascii="宋体" w:eastAsia="宋体" w:hAnsi="宋体" w:cs="宋体"/>
          <w:spacing w:val="6"/>
        </w:rPr>
        <w:t xml:space="preserve"> </w:t>
      </w:r>
      <w:r>
        <w:rPr>
          <w:rFonts w:ascii="宋体" w:eastAsia="宋体" w:hAnsi="宋体" w:cs="宋体"/>
          <w:spacing w:val="4"/>
        </w:rPr>
        <w:t>超氧化物歧化酶等。动物实验表明，铜水平影响基因的表</w:t>
      </w:r>
      <w:r>
        <w:rPr>
          <w:rFonts w:ascii="宋体" w:eastAsia="宋体" w:hAnsi="宋体" w:cs="宋体"/>
          <w:spacing w:val="3"/>
        </w:rPr>
        <w:t>达。铜离子可</w:t>
      </w:r>
      <w:r>
        <w:rPr>
          <w:rFonts w:ascii="宋体" w:eastAsia="宋体" w:hAnsi="宋体" w:cs="宋体"/>
        </w:rPr>
        <w:t xml:space="preserve">  </w:t>
      </w:r>
      <w:r>
        <w:rPr>
          <w:rFonts w:ascii="宋体" w:eastAsia="宋体" w:hAnsi="宋体" w:cs="宋体"/>
          <w:spacing w:val="7"/>
        </w:rPr>
        <w:t>提高小鼠两种急性蛋白基因即血清-酸性糖蛋白基因和C-反应</w:t>
      </w:r>
      <w:r>
        <w:rPr>
          <w:rFonts w:ascii="宋体" w:eastAsia="宋体" w:hAnsi="宋体" w:cs="宋体"/>
          <w:spacing w:val="6"/>
        </w:rPr>
        <w:t>蛋白基因的稳定</w:t>
      </w:r>
      <w:r>
        <w:rPr>
          <w:rFonts w:ascii="宋体" w:eastAsia="宋体" w:hAnsi="宋体" w:cs="宋体"/>
        </w:rPr>
        <w:t xml:space="preserve">  </w:t>
      </w:r>
      <w:r>
        <w:rPr>
          <w:rFonts w:ascii="宋体" w:eastAsia="宋体" w:hAnsi="宋体" w:cs="宋体"/>
          <w:spacing w:val="7"/>
        </w:rPr>
        <w:t>性。铜缺乏可诱导肝脏脂肪酸合成酶基因的转录，增加脂肪酸合成酶</w:t>
      </w:r>
      <w:r>
        <w:rPr>
          <w:rFonts w:ascii="宋体" w:eastAsia="宋体" w:hAnsi="宋体" w:cs="宋体"/>
          <w:spacing w:val="-14"/>
        </w:rPr>
        <w:t xml:space="preserve"> </w:t>
      </w:r>
      <w:r>
        <w:rPr>
          <w:rFonts w:ascii="宋体" w:eastAsia="宋体" w:hAnsi="宋体" w:cs="宋体"/>
          <w:spacing w:val="7"/>
        </w:rPr>
        <w:t>(</w:t>
      </w:r>
      <w:r>
        <w:rPr>
          <w:rFonts w:ascii="宋体" w:eastAsia="宋体" w:hAnsi="宋体" w:cs="宋体"/>
        </w:rPr>
        <w:t>FAS</w:t>
      </w:r>
      <w:r>
        <w:rPr>
          <w:rFonts w:ascii="宋体" w:eastAsia="宋体" w:hAnsi="宋体" w:cs="宋体"/>
          <w:spacing w:val="6"/>
        </w:rPr>
        <w:t>)</w:t>
      </w:r>
      <w:r>
        <w:rPr>
          <w:rFonts w:ascii="宋体" w:eastAsia="宋体" w:hAnsi="宋体" w:cs="宋体"/>
        </w:rPr>
        <w:t xml:space="preserve">   mRNA</w:t>
      </w:r>
      <w:r>
        <w:rPr>
          <w:rFonts w:ascii="宋体" w:eastAsia="宋体" w:hAnsi="宋体" w:cs="宋体"/>
          <w:spacing w:val="28"/>
        </w:rPr>
        <w:t xml:space="preserve">  </w:t>
      </w:r>
      <w:r>
        <w:rPr>
          <w:rFonts w:ascii="宋体" w:eastAsia="宋体" w:hAnsi="宋体" w:cs="宋体"/>
          <w:spacing w:val="7"/>
        </w:rPr>
        <w:t>的量和</w:t>
      </w:r>
      <w:r>
        <w:rPr>
          <w:rFonts w:ascii="宋体" w:eastAsia="宋体" w:hAnsi="宋体" w:cs="宋体"/>
        </w:rPr>
        <w:t>FAS</w:t>
      </w:r>
      <w:r>
        <w:rPr>
          <w:rFonts w:ascii="宋体" w:eastAsia="宋体" w:hAnsi="宋体" w:cs="宋体"/>
          <w:spacing w:val="35"/>
        </w:rPr>
        <w:t xml:space="preserve"> </w:t>
      </w:r>
      <w:r>
        <w:rPr>
          <w:rFonts w:ascii="宋体" w:eastAsia="宋体" w:hAnsi="宋体" w:cs="宋体"/>
          <w:spacing w:val="7"/>
        </w:rPr>
        <w:t>基因的转录水平。铜缺乏诱导</w:t>
      </w:r>
      <w:r>
        <w:rPr>
          <w:rFonts w:ascii="宋体" w:eastAsia="宋体" w:hAnsi="宋体" w:cs="宋体"/>
        </w:rPr>
        <w:t>FAS</w:t>
      </w:r>
      <w:r>
        <w:rPr>
          <w:rFonts w:ascii="宋体" w:eastAsia="宋体" w:hAnsi="宋体" w:cs="宋体"/>
          <w:spacing w:val="65"/>
        </w:rPr>
        <w:t xml:space="preserve"> </w:t>
      </w:r>
      <w:r>
        <w:rPr>
          <w:rFonts w:ascii="宋体" w:eastAsia="宋体" w:hAnsi="宋体" w:cs="宋体"/>
          <w:spacing w:val="7"/>
        </w:rPr>
        <w:t>基因转录，增加核内成</w:t>
      </w:r>
      <w:r>
        <w:rPr>
          <w:rFonts w:ascii="宋体" w:eastAsia="宋体" w:hAnsi="宋体" w:cs="宋体"/>
        </w:rPr>
        <w:t xml:space="preserve">  </w:t>
      </w:r>
      <w:r>
        <w:rPr>
          <w:rFonts w:ascii="宋体" w:eastAsia="宋体" w:hAnsi="宋体" w:cs="宋体"/>
          <w:spacing w:val="-2"/>
        </w:rPr>
        <w:t>熟的转录因子固醇调控元件结合蛋白-1量和脂肪酸合成酶基</w:t>
      </w:r>
      <w:r>
        <w:rPr>
          <w:rFonts w:ascii="宋体" w:eastAsia="宋体" w:hAnsi="宋体" w:cs="宋体"/>
          <w:spacing w:val="-3"/>
        </w:rPr>
        <w:t>因。</w:t>
      </w:r>
    </w:p>
    <w:p w:rsidR="00EA40A3" w:rsidRDefault="00E86C16">
      <w:pPr>
        <w:spacing w:before="53" w:line="256" w:lineRule="auto"/>
        <w:ind w:right="94" w:firstLine="469"/>
        <w:rPr>
          <w:rFonts w:ascii="宋体" w:eastAsia="宋体" w:hAnsi="宋体" w:cs="宋体"/>
        </w:rPr>
      </w:pPr>
      <w:r>
        <w:rPr>
          <w:rFonts w:ascii="宋体" w:eastAsia="宋体" w:hAnsi="宋体" w:cs="宋体"/>
        </w:rPr>
        <w:t>(3)硒：硒参与机体内的抗氧化作用，与机体的免疫功能密切相关。动物体</w:t>
      </w:r>
      <w:r>
        <w:rPr>
          <w:rFonts w:ascii="宋体" w:eastAsia="宋体" w:hAnsi="宋体" w:cs="宋体"/>
          <w:spacing w:val="13"/>
        </w:rPr>
        <w:t xml:space="preserve"> </w:t>
      </w:r>
      <w:r>
        <w:rPr>
          <w:rFonts w:ascii="宋体" w:eastAsia="宋体" w:hAnsi="宋体" w:cs="宋体"/>
          <w:spacing w:val="-1"/>
        </w:rPr>
        <w:t>内的谷胱甘肽过氧化物酶</w:t>
      </w:r>
      <w:r>
        <w:rPr>
          <w:rFonts w:ascii="宋体" w:eastAsia="宋体" w:hAnsi="宋体" w:cs="宋体"/>
          <w:spacing w:val="-12"/>
        </w:rPr>
        <w:t xml:space="preserve"> </w:t>
      </w:r>
      <w:r>
        <w:rPr>
          <w:rFonts w:ascii="宋体" w:eastAsia="宋体" w:hAnsi="宋体" w:cs="宋体"/>
          <w:spacing w:val="-1"/>
        </w:rPr>
        <w:t>(GSH-Px)</w:t>
      </w:r>
      <w:r>
        <w:rPr>
          <w:rFonts w:ascii="宋体" w:eastAsia="宋体" w:hAnsi="宋体" w:cs="宋体"/>
          <w:spacing w:val="27"/>
        </w:rPr>
        <w:t xml:space="preserve">  </w:t>
      </w:r>
      <w:r>
        <w:rPr>
          <w:rFonts w:ascii="宋体" w:eastAsia="宋体" w:hAnsi="宋体" w:cs="宋体"/>
          <w:spacing w:val="-1"/>
        </w:rPr>
        <w:t>可以清除体内的过氧化物从而防止</w:t>
      </w:r>
      <w:r>
        <w:rPr>
          <w:rFonts w:ascii="宋体" w:eastAsia="宋体" w:hAnsi="宋体" w:cs="宋体"/>
          <w:spacing w:val="-2"/>
        </w:rPr>
        <w:t>机体受</w:t>
      </w:r>
      <w:r>
        <w:rPr>
          <w:rFonts w:ascii="宋体" w:eastAsia="宋体" w:hAnsi="宋体" w:cs="宋体"/>
          <w:spacing w:val="1"/>
        </w:rPr>
        <w:t xml:space="preserve"> </w:t>
      </w:r>
      <w:r>
        <w:rPr>
          <w:rFonts w:ascii="宋体" w:eastAsia="宋体" w:hAnsi="宋体" w:cs="宋体"/>
          <w:spacing w:val="-1"/>
        </w:rPr>
        <w:t>过氧化物的氧化，而谷胱甘肽过氧化物酶基因的表达与日粮中硒含量</w:t>
      </w:r>
      <w:r>
        <w:rPr>
          <w:rFonts w:ascii="宋体" w:eastAsia="宋体" w:hAnsi="宋体" w:cs="宋体"/>
          <w:spacing w:val="-2"/>
        </w:rPr>
        <w:t>密切相关。</w:t>
      </w:r>
      <w:r>
        <w:rPr>
          <w:rFonts w:ascii="宋体" w:eastAsia="宋体" w:hAnsi="宋体" w:cs="宋体"/>
        </w:rPr>
        <w:t xml:space="preserve"> </w:t>
      </w:r>
      <w:r>
        <w:rPr>
          <w:rFonts w:ascii="宋体" w:eastAsia="宋体" w:hAnsi="宋体" w:cs="宋体"/>
          <w:spacing w:val="10"/>
        </w:rPr>
        <w:t>在硒严重缺乏的情况下，肝脏和心脏中的细胞谷胱甘肽过氧化物酶的</w:t>
      </w:r>
      <w:r>
        <w:rPr>
          <w:rFonts w:ascii="宋体" w:eastAsia="宋体" w:hAnsi="宋体" w:cs="宋体"/>
          <w:spacing w:val="9"/>
        </w:rPr>
        <w:t>活力和</w:t>
      </w:r>
      <w:r>
        <w:rPr>
          <w:rFonts w:ascii="宋体" w:eastAsia="宋体" w:hAnsi="宋体" w:cs="宋体"/>
        </w:rPr>
        <w:t xml:space="preserve"> mRNA</w:t>
      </w:r>
      <w:r>
        <w:rPr>
          <w:rFonts w:ascii="宋体" w:eastAsia="宋体" w:hAnsi="宋体" w:cs="宋体"/>
          <w:spacing w:val="21"/>
        </w:rPr>
        <w:t xml:space="preserve">  </w:t>
      </w:r>
      <w:r>
        <w:rPr>
          <w:rFonts w:ascii="宋体" w:eastAsia="宋体" w:hAnsi="宋体" w:cs="宋体"/>
          <w:spacing w:val="10"/>
        </w:rPr>
        <w:t>的含量几乎为零；缺硒使中国小仓鼠卵巢中细胞谷胱甘肽</w:t>
      </w:r>
      <w:r>
        <w:rPr>
          <w:rFonts w:ascii="宋体" w:eastAsia="宋体" w:hAnsi="宋体" w:cs="宋体"/>
          <w:spacing w:val="9"/>
        </w:rPr>
        <w:t>过氧化物酶</w:t>
      </w:r>
      <w:r>
        <w:rPr>
          <w:rFonts w:ascii="宋体" w:eastAsia="宋体" w:hAnsi="宋体" w:cs="宋体"/>
        </w:rPr>
        <w:t xml:space="preserve"> </w:t>
      </w:r>
      <w:r>
        <w:rPr>
          <w:rFonts w:ascii="宋体" w:eastAsia="宋体" w:hAnsi="宋体" w:cs="宋体"/>
          <w:spacing w:val="-6"/>
        </w:rPr>
        <w:t>(GSH-Px1)</w:t>
      </w:r>
      <w:r>
        <w:rPr>
          <w:rFonts w:ascii="宋体" w:eastAsia="宋体" w:hAnsi="宋体" w:cs="宋体"/>
          <w:spacing w:val="29"/>
        </w:rPr>
        <w:t xml:space="preserve">  </w:t>
      </w:r>
      <w:r>
        <w:rPr>
          <w:rFonts w:ascii="宋体" w:eastAsia="宋体" w:hAnsi="宋体" w:cs="宋体"/>
          <w:spacing w:val="-6"/>
        </w:rPr>
        <w:t>的</w:t>
      </w:r>
      <w:r>
        <w:rPr>
          <w:rFonts w:ascii="宋体" w:eastAsia="宋体" w:hAnsi="宋体" w:cs="宋体"/>
          <w:spacing w:val="-39"/>
        </w:rPr>
        <w:t xml:space="preserve"> </w:t>
      </w:r>
      <w:r>
        <w:rPr>
          <w:rFonts w:ascii="宋体" w:eastAsia="宋体" w:hAnsi="宋体" w:cs="宋体"/>
          <w:spacing w:val="-6"/>
        </w:rPr>
        <w:t>mRNA</w:t>
      </w:r>
      <w:r>
        <w:rPr>
          <w:rFonts w:ascii="宋体" w:eastAsia="宋体" w:hAnsi="宋体" w:cs="宋体"/>
          <w:spacing w:val="26"/>
        </w:rPr>
        <w:t xml:space="preserve">  </w:t>
      </w:r>
      <w:r>
        <w:rPr>
          <w:rFonts w:ascii="宋体" w:eastAsia="宋体" w:hAnsi="宋体" w:cs="宋体"/>
          <w:spacing w:val="-6"/>
        </w:rPr>
        <w:t>含量急剧下降。</w:t>
      </w:r>
    </w:p>
    <w:p w:rsidR="00EA40A3" w:rsidRDefault="00E86C16">
      <w:pPr>
        <w:spacing w:before="55" w:line="257" w:lineRule="auto"/>
        <w:ind w:right="116" w:firstLine="469"/>
        <w:rPr>
          <w:rFonts w:ascii="宋体" w:eastAsia="宋体" w:hAnsi="宋体" w:cs="宋体"/>
        </w:rPr>
      </w:pPr>
      <w:r>
        <w:rPr>
          <w:rFonts w:ascii="宋体" w:eastAsia="宋体" w:hAnsi="宋体" w:cs="宋体"/>
        </w:rPr>
        <w:t>(4)铁：铁不仅参与动物体内的物质代谢过程，而且通过参</w:t>
      </w:r>
      <w:r>
        <w:rPr>
          <w:rFonts w:ascii="宋体" w:eastAsia="宋体" w:hAnsi="宋体" w:cs="宋体"/>
          <w:spacing w:val="-1"/>
        </w:rPr>
        <w:t>与载体组成转运</w:t>
      </w:r>
      <w:r>
        <w:rPr>
          <w:rFonts w:ascii="宋体" w:eastAsia="宋体" w:hAnsi="宋体" w:cs="宋体"/>
        </w:rPr>
        <w:t xml:space="preserve"> </w:t>
      </w:r>
      <w:r>
        <w:rPr>
          <w:rFonts w:ascii="宋体" w:eastAsia="宋体" w:hAnsi="宋体" w:cs="宋体"/>
          <w:spacing w:val="2"/>
        </w:rPr>
        <w:t>和储存营养素。铁元素对动物细胞内的两种基因即铁蛋白</w:t>
      </w:r>
      <w:r>
        <w:rPr>
          <w:rFonts w:ascii="宋体" w:eastAsia="宋体" w:hAnsi="宋体" w:cs="宋体"/>
          <w:spacing w:val="-8"/>
        </w:rPr>
        <w:t xml:space="preserve"> </w:t>
      </w:r>
      <w:r>
        <w:rPr>
          <w:rFonts w:ascii="宋体" w:eastAsia="宋体" w:hAnsi="宋体" w:cs="宋体"/>
          <w:spacing w:val="2"/>
        </w:rPr>
        <w:t>(</w:t>
      </w:r>
      <w:r>
        <w:rPr>
          <w:rFonts w:ascii="宋体" w:eastAsia="宋体" w:hAnsi="宋体" w:cs="宋体"/>
        </w:rPr>
        <w:t>Fn</w:t>
      </w:r>
      <w:r>
        <w:rPr>
          <w:rFonts w:ascii="宋体" w:eastAsia="宋体" w:hAnsi="宋体" w:cs="宋体"/>
          <w:spacing w:val="2"/>
        </w:rPr>
        <w:t>)</w:t>
      </w:r>
      <w:r>
        <w:rPr>
          <w:rFonts w:ascii="宋体" w:eastAsia="宋体" w:hAnsi="宋体" w:cs="宋体"/>
          <w:spacing w:val="70"/>
        </w:rPr>
        <w:t xml:space="preserve"> </w:t>
      </w:r>
      <w:r>
        <w:rPr>
          <w:rFonts w:ascii="宋体" w:eastAsia="宋体" w:hAnsi="宋体" w:cs="宋体"/>
          <w:spacing w:val="2"/>
        </w:rPr>
        <w:t>基因和转铁蛋</w:t>
      </w:r>
      <w:r>
        <w:rPr>
          <w:rFonts w:ascii="宋体" w:eastAsia="宋体" w:hAnsi="宋体" w:cs="宋体"/>
        </w:rPr>
        <w:t xml:space="preserve"> </w:t>
      </w:r>
      <w:r>
        <w:rPr>
          <w:rFonts w:ascii="宋体" w:eastAsia="宋体" w:hAnsi="宋体" w:cs="宋体"/>
          <w:spacing w:val="-2"/>
        </w:rPr>
        <w:t>白受体</w:t>
      </w:r>
      <w:r>
        <w:rPr>
          <w:rFonts w:ascii="宋体" w:eastAsia="宋体" w:hAnsi="宋体" w:cs="宋体"/>
          <w:spacing w:val="-8"/>
        </w:rPr>
        <w:t xml:space="preserve"> </w:t>
      </w:r>
      <w:r>
        <w:rPr>
          <w:rFonts w:ascii="宋体" w:eastAsia="宋体" w:hAnsi="宋体" w:cs="宋体"/>
          <w:spacing w:val="-2"/>
        </w:rPr>
        <w:t>(TfR)</w:t>
      </w:r>
      <w:r>
        <w:rPr>
          <w:rFonts w:ascii="宋体" w:eastAsia="宋体" w:hAnsi="宋体" w:cs="宋体"/>
          <w:spacing w:val="75"/>
        </w:rPr>
        <w:t xml:space="preserve"> </w:t>
      </w:r>
      <w:r>
        <w:rPr>
          <w:rFonts w:ascii="宋体" w:eastAsia="宋体" w:hAnsi="宋体" w:cs="宋体"/>
          <w:spacing w:val="-2"/>
        </w:rPr>
        <w:t>基因的表达具有重要的调控作用，这种调节是通过多种顺式作用</w:t>
      </w:r>
      <w:r>
        <w:rPr>
          <w:rFonts w:ascii="宋体" w:eastAsia="宋体" w:hAnsi="宋体" w:cs="宋体"/>
        </w:rPr>
        <w:t xml:space="preserve"> </w:t>
      </w:r>
      <w:r>
        <w:rPr>
          <w:rFonts w:ascii="宋体" w:eastAsia="宋体" w:hAnsi="宋体" w:cs="宋体"/>
          <w:spacing w:val="1"/>
        </w:rPr>
        <w:t>元件即</w:t>
      </w:r>
      <w:r>
        <w:rPr>
          <w:rFonts w:ascii="宋体" w:eastAsia="宋体" w:hAnsi="宋体" w:cs="宋体"/>
        </w:rPr>
        <w:t>Fe</w:t>
      </w:r>
      <w:r>
        <w:rPr>
          <w:rFonts w:ascii="宋体" w:eastAsia="宋体" w:hAnsi="宋体" w:cs="宋体"/>
          <w:spacing w:val="-35"/>
        </w:rPr>
        <w:t xml:space="preserve"> </w:t>
      </w:r>
      <w:r>
        <w:rPr>
          <w:rFonts w:ascii="宋体" w:eastAsia="宋体" w:hAnsi="宋体" w:cs="宋体"/>
          <w:spacing w:val="1"/>
        </w:rPr>
        <w:t>效应元件</w:t>
      </w:r>
      <w:r>
        <w:rPr>
          <w:rFonts w:ascii="宋体" w:eastAsia="宋体" w:hAnsi="宋体" w:cs="宋体"/>
          <w:spacing w:val="-14"/>
        </w:rPr>
        <w:t xml:space="preserve"> </w:t>
      </w:r>
      <w:r>
        <w:rPr>
          <w:rFonts w:ascii="宋体" w:eastAsia="宋体" w:hAnsi="宋体" w:cs="宋体"/>
          <w:spacing w:val="1"/>
        </w:rPr>
        <w:t>(</w:t>
      </w:r>
      <w:r>
        <w:rPr>
          <w:rFonts w:ascii="宋体" w:eastAsia="宋体" w:hAnsi="宋体" w:cs="宋体"/>
        </w:rPr>
        <w:t>IRE</w:t>
      </w:r>
      <w:r>
        <w:rPr>
          <w:rFonts w:ascii="宋体" w:eastAsia="宋体" w:hAnsi="宋体" w:cs="宋体"/>
          <w:spacing w:val="1"/>
        </w:rPr>
        <w:t>)</w:t>
      </w:r>
      <w:r>
        <w:rPr>
          <w:rFonts w:ascii="宋体" w:eastAsia="宋体" w:hAnsi="宋体" w:cs="宋体"/>
          <w:spacing w:val="86"/>
        </w:rPr>
        <w:t xml:space="preserve"> </w:t>
      </w:r>
      <w:r>
        <w:rPr>
          <w:rFonts w:ascii="宋体" w:eastAsia="宋体" w:hAnsi="宋体" w:cs="宋体"/>
          <w:spacing w:val="1"/>
        </w:rPr>
        <w:t>和一种反式作用蛋白即</w:t>
      </w:r>
      <w:r>
        <w:rPr>
          <w:rFonts w:ascii="宋体" w:eastAsia="宋体" w:hAnsi="宋体" w:cs="宋体"/>
        </w:rPr>
        <w:t>Fe</w:t>
      </w:r>
      <w:r>
        <w:rPr>
          <w:rFonts w:ascii="宋体" w:eastAsia="宋体" w:hAnsi="宋体" w:cs="宋体"/>
          <w:spacing w:val="-41"/>
        </w:rPr>
        <w:t xml:space="preserve"> </w:t>
      </w:r>
      <w:r>
        <w:rPr>
          <w:rFonts w:ascii="宋体" w:eastAsia="宋体" w:hAnsi="宋体" w:cs="宋体"/>
          <w:spacing w:val="1"/>
        </w:rPr>
        <w:t>效应元件结合蛋白</w:t>
      </w:r>
      <w:r>
        <w:rPr>
          <w:rFonts w:ascii="宋体" w:eastAsia="宋体" w:hAnsi="宋体" w:cs="宋体"/>
          <w:spacing w:val="-62"/>
        </w:rPr>
        <w:t xml:space="preserve"> </w:t>
      </w:r>
      <w:r>
        <w:rPr>
          <w:rFonts w:ascii="宋体" w:eastAsia="宋体" w:hAnsi="宋体" w:cs="宋体"/>
          <w:spacing w:val="1"/>
        </w:rPr>
        <w:t>(</w:t>
      </w:r>
      <w:r>
        <w:rPr>
          <w:rFonts w:ascii="宋体" w:eastAsia="宋体" w:hAnsi="宋体" w:cs="宋体"/>
        </w:rPr>
        <w:t>IRP</w:t>
      </w:r>
      <w:r>
        <w:rPr>
          <w:rFonts w:ascii="宋体" w:eastAsia="宋体" w:hAnsi="宋体" w:cs="宋体"/>
          <w:spacing w:val="1"/>
        </w:rPr>
        <w:t>)</w:t>
      </w:r>
      <w:r>
        <w:rPr>
          <w:rFonts w:ascii="宋体" w:eastAsia="宋体" w:hAnsi="宋体" w:cs="宋体"/>
        </w:rPr>
        <w:t xml:space="preserve"> </w:t>
      </w:r>
      <w:r>
        <w:rPr>
          <w:rFonts w:ascii="宋体" w:eastAsia="宋体" w:hAnsi="宋体" w:cs="宋体"/>
          <w:spacing w:val="-6"/>
        </w:rPr>
        <w:t>来进行的。</w:t>
      </w:r>
      <w:r>
        <w:rPr>
          <w:rFonts w:ascii="宋体" w:eastAsia="宋体" w:hAnsi="宋体" w:cs="宋体"/>
          <w:spacing w:val="30"/>
        </w:rPr>
        <w:t xml:space="preserve"> </w:t>
      </w:r>
      <w:r>
        <w:rPr>
          <w:rFonts w:ascii="宋体" w:eastAsia="宋体" w:hAnsi="宋体" w:cs="宋体"/>
          <w:spacing w:val="-6"/>
        </w:rPr>
        <w:t>IRP</w:t>
      </w:r>
      <w:r>
        <w:rPr>
          <w:rFonts w:ascii="宋体" w:eastAsia="宋体" w:hAnsi="宋体" w:cs="宋体"/>
        </w:rPr>
        <w:t xml:space="preserve"> </w:t>
      </w:r>
      <w:r>
        <w:rPr>
          <w:rFonts w:ascii="宋体" w:eastAsia="宋体" w:hAnsi="宋体" w:cs="宋体"/>
          <w:spacing w:val="-6"/>
        </w:rPr>
        <w:t>具有双重功能即顺乌头酸酶催化活性和调控基因表达的功能，而</w:t>
      </w:r>
      <w:r>
        <w:rPr>
          <w:rFonts w:ascii="宋体" w:eastAsia="宋体" w:hAnsi="宋体" w:cs="宋体"/>
        </w:rPr>
        <w:t xml:space="preserve"> </w:t>
      </w:r>
      <w:r>
        <w:rPr>
          <w:rFonts w:ascii="宋体" w:eastAsia="宋体" w:hAnsi="宋体" w:cs="宋体"/>
          <w:spacing w:val="1"/>
        </w:rPr>
        <w:t>细胞中的铁对</w:t>
      </w:r>
      <w:r>
        <w:rPr>
          <w:rFonts w:ascii="宋体" w:eastAsia="宋体" w:hAnsi="宋体" w:cs="宋体"/>
        </w:rPr>
        <w:t>IRP</w:t>
      </w:r>
      <w:r>
        <w:rPr>
          <w:rFonts w:ascii="宋体" w:eastAsia="宋体" w:hAnsi="宋体" w:cs="宋体"/>
          <w:spacing w:val="29"/>
        </w:rPr>
        <w:t xml:space="preserve"> </w:t>
      </w:r>
      <w:r>
        <w:rPr>
          <w:rFonts w:ascii="宋体" w:eastAsia="宋体" w:hAnsi="宋体" w:cs="宋体"/>
          <w:spacing w:val="1"/>
        </w:rPr>
        <w:t>的结构和功能起着决定作用，当细胞内铁含量充足时，</w:t>
      </w:r>
      <w:r>
        <w:rPr>
          <w:rFonts w:ascii="宋体" w:eastAsia="宋体" w:hAnsi="宋体" w:cs="宋体"/>
          <w:spacing w:val="15"/>
        </w:rPr>
        <w:t xml:space="preserve"> </w:t>
      </w:r>
      <w:r>
        <w:rPr>
          <w:rFonts w:ascii="宋体" w:eastAsia="宋体" w:hAnsi="宋体" w:cs="宋体"/>
        </w:rPr>
        <w:t>IRP 所结合的</w:t>
      </w:r>
      <w:r>
        <w:rPr>
          <w:rFonts w:ascii="宋体" w:eastAsia="宋体" w:hAnsi="宋体" w:cs="宋体"/>
          <w:spacing w:val="-7"/>
        </w:rPr>
        <w:t xml:space="preserve"> </w:t>
      </w:r>
      <w:r>
        <w:rPr>
          <w:rFonts w:ascii="宋体" w:eastAsia="宋体" w:hAnsi="宋体" w:cs="宋体"/>
        </w:rPr>
        <w:t>[Fe-S]</w:t>
      </w:r>
      <w:r>
        <w:rPr>
          <w:rFonts w:ascii="宋体" w:eastAsia="宋体" w:hAnsi="宋体" w:cs="宋体"/>
          <w:spacing w:val="25"/>
        </w:rPr>
        <w:t xml:space="preserve"> </w:t>
      </w:r>
      <w:r>
        <w:rPr>
          <w:rFonts w:ascii="宋体" w:eastAsia="宋体" w:hAnsi="宋体" w:cs="宋体"/>
        </w:rPr>
        <w:t>为</w:t>
      </w:r>
      <w:r>
        <w:rPr>
          <w:rFonts w:ascii="宋体" w:eastAsia="宋体" w:hAnsi="宋体" w:cs="宋体"/>
          <w:spacing w:val="-10"/>
        </w:rPr>
        <w:t xml:space="preserve"> </w:t>
      </w:r>
      <w:r>
        <w:rPr>
          <w:rFonts w:ascii="宋体" w:eastAsia="宋体" w:hAnsi="宋体" w:cs="宋体"/>
        </w:rPr>
        <w:t>[</w:t>
      </w:r>
      <w:r>
        <w:rPr>
          <w:rFonts w:ascii="宋体" w:eastAsia="宋体" w:hAnsi="宋体" w:cs="宋体"/>
          <w:spacing w:val="-43"/>
        </w:rPr>
        <w:t xml:space="preserve"> </w:t>
      </w:r>
      <w:r>
        <w:rPr>
          <w:rFonts w:ascii="宋体" w:eastAsia="宋体" w:hAnsi="宋体" w:cs="宋体"/>
        </w:rPr>
        <w:t>4Fe-4</w:t>
      </w:r>
      <w:r>
        <w:rPr>
          <w:rFonts w:ascii="宋体" w:eastAsia="宋体" w:hAnsi="宋体" w:cs="宋体"/>
          <w:spacing w:val="-1"/>
        </w:rPr>
        <w:t>S],</w:t>
      </w:r>
      <w:r>
        <w:rPr>
          <w:rFonts w:ascii="宋体" w:eastAsia="宋体" w:hAnsi="宋体" w:cs="宋体"/>
          <w:spacing w:val="-26"/>
        </w:rPr>
        <w:t xml:space="preserve"> </w:t>
      </w:r>
      <w:r>
        <w:rPr>
          <w:rFonts w:ascii="宋体" w:eastAsia="宋体" w:hAnsi="宋体" w:cs="宋体"/>
          <w:spacing w:val="-1"/>
        </w:rPr>
        <w:t>这时</w:t>
      </w:r>
      <w:r>
        <w:rPr>
          <w:rFonts w:ascii="宋体" w:eastAsia="宋体" w:hAnsi="宋体" w:cs="宋体"/>
        </w:rPr>
        <w:t xml:space="preserve">IRP </w:t>
      </w:r>
      <w:r>
        <w:rPr>
          <w:rFonts w:ascii="宋体" w:eastAsia="宋体" w:hAnsi="宋体" w:cs="宋体"/>
          <w:spacing w:val="-1"/>
        </w:rPr>
        <w:t>具酶活性而无翻译调控功能；当铁含</w:t>
      </w:r>
      <w:r>
        <w:rPr>
          <w:rFonts w:ascii="宋体" w:eastAsia="宋体" w:hAnsi="宋体" w:cs="宋体"/>
        </w:rPr>
        <w:t xml:space="preserve"> </w:t>
      </w:r>
      <w:r>
        <w:rPr>
          <w:rFonts w:ascii="宋体" w:eastAsia="宋体" w:hAnsi="宋体" w:cs="宋体"/>
          <w:spacing w:val="-4"/>
        </w:rPr>
        <w:t>量下降时，</w:t>
      </w:r>
      <w:r>
        <w:rPr>
          <w:rFonts w:ascii="宋体" w:eastAsia="宋体" w:hAnsi="宋体" w:cs="宋体"/>
          <w:spacing w:val="14"/>
        </w:rPr>
        <w:t xml:space="preserve"> </w:t>
      </w:r>
      <w:r>
        <w:rPr>
          <w:rFonts w:ascii="宋体" w:eastAsia="宋体" w:hAnsi="宋体" w:cs="宋体"/>
          <w:spacing w:val="-4"/>
        </w:rPr>
        <w:t>IRP</w:t>
      </w:r>
      <w:r>
        <w:rPr>
          <w:rFonts w:ascii="宋体" w:eastAsia="宋体" w:hAnsi="宋体" w:cs="宋体"/>
          <w:spacing w:val="-1"/>
        </w:rPr>
        <w:t xml:space="preserve"> </w:t>
      </w:r>
      <w:r>
        <w:rPr>
          <w:rFonts w:ascii="宋体" w:eastAsia="宋体" w:hAnsi="宋体" w:cs="宋体"/>
          <w:spacing w:val="-4"/>
        </w:rPr>
        <w:t>结合的</w:t>
      </w:r>
      <w:r>
        <w:rPr>
          <w:rFonts w:ascii="宋体" w:eastAsia="宋体" w:hAnsi="宋体" w:cs="宋体"/>
          <w:spacing w:val="-21"/>
        </w:rPr>
        <w:t xml:space="preserve"> </w:t>
      </w:r>
      <w:r>
        <w:rPr>
          <w:rFonts w:ascii="宋体" w:eastAsia="宋体" w:hAnsi="宋体" w:cs="宋体"/>
          <w:spacing w:val="-4"/>
        </w:rPr>
        <w:t>[Fe-S]</w:t>
      </w:r>
      <w:r>
        <w:rPr>
          <w:rFonts w:ascii="宋体" w:eastAsia="宋体" w:hAnsi="宋体" w:cs="宋体"/>
          <w:spacing w:val="16"/>
        </w:rPr>
        <w:t xml:space="preserve"> </w:t>
      </w:r>
      <w:r>
        <w:rPr>
          <w:rFonts w:ascii="宋体" w:eastAsia="宋体" w:hAnsi="宋体" w:cs="宋体"/>
          <w:spacing w:val="-4"/>
        </w:rPr>
        <w:t>变</w:t>
      </w:r>
      <w:r>
        <w:rPr>
          <w:rFonts w:ascii="宋体" w:eastAsia="宋体" w:hAnsi="宋体" w:cs="宋体"/>
          <w:spacing w:val="-41"/>
        </w:rPr>
        <w:t xml:space="preserve"> </w:t>
      </w:r>
      <w:r>
        <w:rPr>
          <w:rFonts w:ascii="宋体" w:eastAsia="宋体" w:hAnsi="宋体" w:cs="宋体"/>
          <w:spacing w:val="-4"/>
        </w:rPr>
        <w:t>为</w:t>
      </w:r>
      <w:r>
        <w:rPr>
          <w:rFonts w:ascii="宋体" w:eastAsia="宋体" w:hAnsi="宋体" w:cs="宋体"/>
          <w:spacing w:val="-10"/>
        </w:rPr>
        <w:t xml:space="preserve"> </w:t>
      </w:r>
      <w:r>
        <w:rPr>
          <w:rFonts w:ascii="宋体" w:eastAsia="宋体" w:hAnsi="宋体" w:cs="宋体"/>
          <w:spacing w:val="-4"/>
        </w:rPr>
        <w:t>[</w:t>
      </w:r>
      <w:r>
        <w:rPr>
          <w:rFonts w:ascii="宋体" w:eastAsia="宋体" w:hAnsi="宋体" w:cs="宋体"/>
          <w:spacing w:val="-39"/>
        </w:rPr>
        <w:t xml:space="preserve"> </w:t>
      </w:r>
      <w:r>
        <w:rPr>
          <w:rFonts w:ascii="宋体" w:eastAsia="宋体" w:hAnsi="宋体" w:cs="宋体"/>
          <w:spacing w:val="-5"/>
        </w:rPr>
        <w:t>3</w:t>
      </w:r>
      <w:r>
        <w:rPr>
          <w:rFonts w:ascii="宋体" w:eastAsia="宋体" w:hAnsi="宋体" w:cs="宋体"/>
          <w:spacing w:val="-4"/>
        </w:rPr>
        <w:t>Fe</w:t>
      </w:r>
      <w:r>
        <w:rPr>
          <w:rFonts w:ascii="宋体" w:eastAsia="宋体" w:hAnsi="宋体" w:cs="宋体"/>
          <w:spacing w:val="-5"/>
        </w:rPr>
        <w:t>-4S],</w:t>
      </w:r>
      <w:r>
        <w:rPr>
          <w:rFonts w:ascii="宋体" w:eastAsia="宋体" w:hAnsi="宋体" w:cs="宋体"/>
          <w:spacing w:val="-25"/>
        </w:rPr>
        <w:t xml:space="preserve"> </w:t>
      </w:r>
      <w:r>
        <w:rPr>
          <w:rFonts w:ascii="宋体" w:eastAsia="宋体" w:hAnsi="宋体" w:cs="宋体"/>
          <w:spacing w:val="-5"/>
        </w:rPr>
        <w:t>使其分子变构为无酶活性而具</w:t>
      </w:r>
    </w:p>
    <w:p w:rsidR="00EA40A3" w:rsidRDefault="00EA40A3">
      <w:pPr>
        <w:sectPr w:rsidR="00EA40A3">
          <w:footerReference w:type="default" r:id="rId306"/>
          <w:pgSz w:w="9220" w:h="13360"/>
          <w:pgMar w:top="400" w:right="954" w:bottom="1244" w:left="860" w:header="0" w:footer="1011" w:gutter="0"/>
          <w:cols w:space="720"/>
        </w:sectPr>
      </w:pPr>
    </w:p>
    <w:p w:rsidR="00EA40A3" w:rsidRDefault="00EA40A3">
      <w:pPr>
        <w:spacing w:line="262" w:lineRule="auto"/>
      </w:pPr>
    </w:p>
    <w:p w:rsidR="00EA40A3" w:rsidRDefault="00EA40A3">
      <w:pPr>
        <w:spacing w:line="262" w:lineRule="auto"/>
      </w:pPr>
    </w:p>
    <w:p w:rsidR="00EA40A3" w:rsidRDefault="00E86C16">
      <w:pPr>
        <w:spacing w:before="72" w:line="250" w:lineRule="auto"/>
        <w:ind w:right="38"/>
        <w:jc w:val="both"/>
        <w:rPr>
          <w:rFonts w:ascii="宋体" w:eastAsia="宋体" w:hAnsi="宋体" w:cs="宋体"/>
          <w:sz w:val="22"/>
          <w:szCs w:val="22"/>
        </w:rPr>
      </w:pPr>
      <w:r>
        <w:rPr>
          <w:rFonts w:ascii="宋体" w:eastAsia="宋体" w:hAnsi="宋体" w:cs="宋体"/>
          <w:spacing w:val="-3"/>
          <w:sz w:val="22"/>
          <w:szCs w:val="22"/>
        </w:rPr>
        <w:t>翻译调控功能，这种形式的IRP</w:t>
      </w:r>
      <w:r>
        <w:rPr>
          <w:rFonts w:ascii="宋体" w:eastAsia="宋体" w:hAnsi="宋体" w:cs="宋体"/>
          <w:sz w:val="22"/>
          <w:szCs w:val="22"/>
        </w:rPr>
        <w:t xml:space="preserve"> </w:t>
      </w:r>
      <w:r>
        <w:rPr>
          <w:rFonts w:ascii="宋体" w:eastAsia="宋体" w:hAnsi="宋体" w:cs="宋体"/>
          <w:spacing w:val="-3"/>
          <w:sz w:val="22"/>
          <w:szCs w:val="22"/>
        </w:rPr>
        <w:t>可以结合铁蛋白基因的mRNA</w:t>
      </w:r>
      <w:r>
        <w:rPr>
          <w:rFonts w:ascii="宋体" w:eastAsia="宋体" w:hAnsi="宋体" w:cs="宋体"/>
          <w:spacing w:val="1"/>
          <w:sz w:val="22"/>
          <w:szCs w:val="22"/>
        </w:rPr>
        <w:t xml:space="preserve">  </w:t>
      </w:r>
      <w:r>
        <w:rPr>
          <w:rFonts w:ascii="宋体" w:eastAsia="宋体" w:hAnsi="宋体" w:cs="宋体"/>
          <w:spacing w:val="-3"/>
          <w:sz w:val="22"/>
          <w:szCs w:val="22"/>
        </w:rPr>
        <w:t>5'-端非</w:t>
      </w:r>
      <w:r>
        <w:rPr>
          <w:rFonts w:ascii="宋体" w:eastAsia="宋体" w:hAnsi="宋体" w:cs="宋体"/>
          <w:spacing w:val="-4"/>
          <w:sz w:val="22"/>
          <w:szCs w:val="22"/>
        </w:rPr>
        <w:t>翻译区</w:t>
      </w:r>
      <w:r>
        <w:rPr>
          <w:rFonts w:ascii="宋体" w:eastAsia="宋体" w:hAnsi="宋体" w:cs="宋体"/>
          <w:spacing w:val="1"/>
          <w:sz w:val="22"/>
          <w:szCs w:val="22"/>
        </w:rPr>
        <w:t xml:space="preserve"> </w:t>
      </w:r>
      <w:r>
        <w:rPr>
          <w:rFonts w:ascii="宋体" w:eastAsia="宋体" w:hAnsi="宋体" w:cs="宋体"/>
          <w:spacing w:val="-3"/>
          <w:sz w:val="22"/>
          <w:szCs w:val="22"/>
        </w:rPr>
        <w:t>IRE,</w:t>
      </w:r>
      <w:r>
        <w:rPr>
          <w:rFonts w:ascii="宋体" w:eastAsia="宋体" w:hAnsi="宋体" w:cs="宋体"/>
          <w:spacing w:val="-10"/>
          <w:sz w:val="22"/>
          <w:szCs w:val="22"/>
        </w:rPr>
        <w:t xml:space="preserve"> </w:t>
      </w:r>
      <w:r>
        <w:rPr>
          <w:rFonts w:ascii="宋体" w:eastAsia="宋体" w:hAnsi="宋体" w:cs="宋体"/>
          <w:spacing w:val="-3"/>
          <w:sz w:val="22"/>
          <w:szCs w:val="22"/>
        </w:rPr>
        <w:t>形成抑制铁蛋白基因mRNA</w:t>
      </w:r>
      <w:r>
        <w:rPr>
          <w:rFonts w:ascii="宋体" w:eastAsia="宋体" w:hAnsi="宋体" w:cs="宋体"/>
          <w:spacing w:val="16"/>
          <w:sz w:val="22"/>
          <w:szCs w:val="22"/>
        </w:rPr>
        <w:t xml:space="preserve">  </w:t>
      </w:r>
      <w:r>
        <w:rPr>
          <w:rFonts w:ascii="宋体" w:eastAsia="宋体" w:hAnsi="宋体" w:cs="宋体"/>
          <w:spacing w:val="-3"/>
          <w:sz w:val="22"/>
          <w:szCs w:val="22"/>
        </w:rPr>
        <w:t>翻译起始的稳定的发夹结构，</w:t>
      </w:r>
      <w:r>
        <w:rPr>
          <w:rFonts w:ascii="宋体" w:eastAsia="宋体" w:hAnsi="宋体" w:cs="宋体"/>
          <w:spacing w:val="-4"/>
          <w:sz w:val="22"/>
          <w:szCs w:val="22"/>
        </w:rPr>
        <w:t>同时</w:t>
      </w:r>
      <w:r>
        <w:rPr>
          <w:rFonts w:ascii="宋体" w:eastAsia="宋体" w:hAnsi="宋体" w:cs="宋体"/>
          <w:spacing w:val="-3"/>
          <w:sz w:val="22"/>
          <w:szCs w:val="22"/>
        </w:rPr>
        <w:t>IRP</w:t>
      </w:r>
      <w:r>
        <w:rPr>
          <w:rFonts w:ascii="宋体" w:eastAsia="宋体" w:hAnsi="宋体" w:cs="宋体"/>
          <w:spacing w:val="-19"/>
          <w:sz w:val="22"/>
          <w:szCs w:val="22"/>
        </w:rPr>
        <w:t xml:space="preserve"> </w:t>
      </w:r>
      <w:r>
        <w:rPr>
          <w:rFonts w:ascii="宋体" w:eastAsia="宋体" w:hAnsi="宋体" w:cs="宋体"/>
          <w:spacing w:val="-4"/>
          <w:sz w:val="22"/>
          <w:szCs w:val="22"/>
        </w:rPr>
        <w:t>结合</w:t>
      </w:r>
      <w:r>
        <w:rPr>
          <w:rFonts w:ascii="宋体" w:eastAsia="宋体" w:hAnsi="宋体" w:cs="宋体"/>
          <w:sz w:val="22"/>
          <w:szCs w:val="22"/>
        </w:rPr>
        <w:t xml:space="preserve"> </w:t>
      </w:r>
      <w:r>
        <w:rPr>
          <w:rFonts w:ascii="宋体" w:eastAsia="宋体" w:hAnsi="宋体" w:cs="宋体"/>
          <w:spacing w:val="-5"/>
          <w:sz w:val="22"/>
          <w:szCs w:val="22"/>
        </w:rPr>
        <w:t>转铁蛋白mRNA3'-</w:t>
      </w:r>
      <w:r>
        <w:rPr>
          <w:rFonts w:ascii="宋体" w:eastAsia="宋体" w:hAnsi="宋体" w:cs="宋体"/>
          <w:spacing w:val="90"/>
          <w:sz w:val="22"/>
          <w:szCs w:val="22"/>
        </w:rPr>
        <w:t xml:space="preserve"> </w:t>
      </w:r>
      <w:r>
        <w:rPr>
          <w:rFonts w:ascii="宋体" w:eastAsia="宋体" w:hAnsi="宋体" w:cs="宋体"/>
          <w:spacing w:val="-5"/>
          <w:sz w:val="22"/>
          <w:szCs w:val="22"/>
        </w:rPr>
        <w:t>端IRE,</w:t>
      </w:r>
      <w:r>
        <w:rPr>
          <w:rFonts w:ascii="宋体" w:eastAsia="宋体" w:hAnsi="宋体" w:cs="宋体"/>
          <w:spacing w:val="31"/>
          <w:sz w:val="22"/>
          <w:szCs w:val="22"/>
        </w:rPr>
        <w:t xml:space="preserve"> </w:t>
      </w:r>
      <w:r>
        <w:rPr>
          <w:rFonts w:ascii="宋体" w:eastAsia="宋体" w:hAnsi="宋体" w:cs="宋体"/>
          <w:spacing w:val="-5"/>
          <w:sz w:val="22"/>
          <w:szCs w:val="22"/>
        </w:rPr>
        <w:t>增强转铁蛋白基因mRNA</w:t>
      </w:r>
      <w:r>
        <w:rPr>
          <w:rFonts w:ascii="宋体" w:eastAsia="宋体" w:hAnsi="宋体" w:cs="宋体"/>
          <w:spacing w:val="16"/>
          <w:sz w:val="22"/>
          <w:szCs w:val="22"/>
        </w:rPr>
        <w:t xml:space="preserve">  </w:t>
      </w:r>
      <w:r>
        <w:rPr>
          <w:rFonts w:ascii="宋体" w:eastAsia="宋体" w:hAnsi="宋体" w:cs="宋体"/>
          <w:spacing w:val="-5"/>
          <w:sz w:val="22"/>
          <w:szCs w:val="22"/>
        </w:rPr>
        <w:t>转录子的稳定性。</w:t>
      </w:r>
    </w:p>
    <w:p w:rsidR="00EA40A3" w:rsidRDefault="00E86C16">
      <w:pPr>
        <w:spacing w:before="47" w:line="245" w:lineRule="auto"/>
        <w:ind w:right="17" w:firstLine="450"/>
        <w:jc w:val="both"/>
        <w:rPr>
          <w:rFonts w:ascii="宋体" w:eastAsia="宋体" w:hAnsi="宋体" w:cs="宋体"/>
          <w:sz w:val="22"/>
          <w:szCs w:val="22"/>
        </w:rPr>
      </w:pPr>
      <w:r>
        <w:rPr>
          <w:rFonts w:ascii="宋体" w:eastAsia="宋体" w:hAnsi="宋体" w:cs="宋体"/>
          <w:spacing w:val="-7"/>
          <w:sz w:val="22"/>
          <w:szCs w:val="22"/>
        </w:rPr>
        <w:t>另有动物实验表明，饲粮中缺铁将导致小</w:t>
      </w:r>
      <w:r>
        <w:rPr>
          <w:rFonts w:ascii="宋体" w:eastAsia="宋体" w:hAnsi="宋体" w:cs="宋体"/>
          <w:spacing w:val="-8"/>
          <w:sz w:val="22"/>
          <w:szCs w:val="22"/>
        </w:rPr>
        <w:t>鼠肝脏转铁蛋白基因</w:t>
      </w:r>
      <w:r>
        <w:rPr>
          <w:rFonts w:ascii="宋体" w:eastAsia="宋体" w:hAnsi="宋体" w:cs="宋体"/>
          <w:spacing w:val="-7"/>
          <w:sz w:val="22"/>
          <w:szCs w:val="22"/>
        </w:rPr>
        <w:t>mRNA</w:t>
      </w:r>
      <w:r>
        <w:rPr>
          <w:rFonts w:ascii="宋体" w:eastAsia="宋体" w:hAnsi="宋体" w:cs="宋体"/>
          <w:spacing w:val="16"/>
          <w:sz w:val="22"/>
          <w:szCs w:val="22"/>
        </w:rPr>
        <w:t xml:space="preserve">  </w:t>
      </w:r>
      <w:r>
        <w:rPr>
          <w:rFonts w:ascii="宋体" w:eastAsia="宋体" w:hAnsi="宋体" w:cs="宋体"/>
          <w:spacing w:val="-8"/>
          <w:sz w:val="22"/>
          <w:szCs w:val="22"/>
        </w:rPr>
        <w:t>含量</w:t>
      </w:r>
      <w:r>
        <w:rPr>
          <w:rFonts w:ascii="宋体" w:eastAsia="宋体" w:hAnsi="宋体" w:cs="宋体"/>
          <w:sz w:val="22"/>
          <w:szCs w:val="22"/>
        </w:rPr>
        <w:t xml:space="preserve"> </w:t>
      </w:r>
      <w:r>
        <w:rPr>
          <w:rFonts w:ascii="宋体" w:eastAsia="宋体" w:hAnsi="宋体" w:cs="宋体"/>
          <w:spacing w:val="-4"/>
          <w:sz w:val="22"/>
          <w:szCs w:val="22"/>
        </w:rPr>
        <w:t>升高到正常水平的2.5倍。当饲粮中补铁后，转铁蛋白</w:t>
      </w:r>
      <w:r>
        <w:rPr>
          <w:rFonts w:ascii="宋体" w:eastAsia="宋体" w:hAnsi="宋体" w:cs="宋体"/>
          <w:spacing w:val="-5"/>
          <w:sz w:val="22"/>
          <w:szCs w:val="22"/>
        </w:rPr>
        <w:t>基因的</w:t>
      </w:r>
      <w:r>
        <w:rPr>
          <w:rFonts w:ascii="宋体" w:eastAsia="宋体" w:hAnsi="宋体" w:cs="宋体"/>
          <w:spacing w:val="-4"/>
          <w:sz w:val="22"/>
          <w:szCs w:val="22"/>
        </w:rPr>
        <w:t>mRNA</w:t>
      </w:r>
      <w:r>
        <w:rPr>
          <w:rFonts w:ascii="宋体" w:eastAsia="宋体" w:hAnsi="宋体" w:cs="宋体"/>
          <w:spacing w:val="21"/>
          <w:sz w:val="22"/>
          <w:szCs w:val="22"/>
        </w:rPr>
        <w:t xml:space="preserve">  </w:t>
      </w:r>
      <w:r>
        <w:rPr>
          <w:rFonts w:ascii="宋体" w:eastAsia="宋体" w:hAnsi="宋体" w:cs="宋体"/>
          <w:spacing w:val="-5"/>
          <w:sz w:val="22"/>
          <w:szCs w:val="22"/>
        </w:rPr>
        <w:t>的含量在</w:t>
      </w:r>
      <w:r>
        <w:rPr>
          <w:rFonts w:ascii="宋体" w:eastAsia="宋体" w:hAnsi="宋体" w:cs="宋体"/>
          <w:sz w:val="22"/>
          <w:szCs w:val="22"/>
        </w:rPr>
        <w:t xml:space="preserve"> </w:t>
      </w:r>
      <w:r>
        <w:rPr>
          <w:rFonts w:ascii="宋体" w:eastAsia="宋体" w:hAnsi="宋体" w:cs="宋体"/>
          <w:spacing w:val="-8"/>
          <w:sz w:val="22"/>
          <w:szCs w:val="22"/>
        </w:rPr>
        <w:t>3d</w:t>
      </w:r>
      <w:r>
        <w:rPr>
          <w:rFonts w:ascii="宋体" w:eastAsia="宋体" w:hAnsi="宋体" w:cs="宋体"/>
          <w:spacing w:val="-47"/>
          <w:sz w:val="22"/>
          <w:szCs w:val="22"/>
        </w:rPr>
        <w:t xml:space="preserve"> </w:t>
      </w:r>
      <w:r>
        <w:rPr>
          <w:rFonts w:ascii="宋体" w:eastAsia="宋体" w:hAnsi="宋体" w:cs="宋体"/>
          <w:spacing w:val="-8"/>
          <w:sz w:val="22"/>
          <w:szCs w:val="22"/>
        </w:rPr>
        <w:t>内恢复正常水平。长期摄入过量铁使小鼠胶原蛋白基因表达水平</w:t>
      </w:r>
      <w:r>
        <w:rPr>
          <w:rFonts w:ascii="宋体" w:eastAsia="宋体" w:hAnsi="宋体" w:cs="宋体"/>
          <w:spacing w:val="-9"/>
          <w:sz w:val="22"/>
          <w:szCs w:val="22"/>
        </w:rPr>
        <w:t>提高并导致</w:t>
      </w:r>
      <w:r>
        <w:rPr>
          <w:rFonts w:ascii="宋体" w:eastAsia="宋体" w:hAnsi="宋体" w:cs="宋体"/>
          <w:sz w:val="22"/>
          <w:szCs w:val="22"/>
        </w:rPr>
        <w:t xml:space="preserve"> </w:t>
      </w:r>
      <w:r>
        <w:rPr>
          <w:rFonts w:ascii="宋体" w:eastAsia="宋体" w:hAnsi="宋体" w:cs="宋体"/>
          <w:spacing w:val="-13"/>
          <w:sz w:val="22"/>
          <w:szCs w:val="22"/>
        </w:rPr>
        <w:t>肝脏纤维化。铁稳态调控机制与二价金属离子转运蛋白基因表达和非血红素铁吸</w:t>
      </w:r>
      <w:r>
        <w:rPr>
          <w:rFonts w:ascii="宋体" w:eastAsia="宋体" w:hAnsi="宋体" w:cs="宋体"/>
          <w:spacing w:val="12"/>
          <w:sz w:val="22"/>
          <w:szCs w:val="22"/>
        </w:rPr>
        <w:t xml:space="preserve"> </w:t>
      </w:r>
      <w:r>
        <w:rPr>
          <w:rFonts w:ascii="宋体" w:eastAsia="宋体" w:hAnsi="宋体" w:cs="宋体"/>
          <w:spacing w:val="-10"/>
          <w:sz w:val="22"/>
          <w:szCs w:val="22"/>
        </w:rPr>
        <w:t>收相关，高铁抑制转运蛋白mRNA</w:t>
      </w:r>
      <w:r>
        <w:rPr>
          <w:rFonts w:ascii="宋体" w:eastAsia="宋体" w:hAnsi="宋体" w:cs="宋体"/>
          <w:spacing w:val="17"/>
          <w:sz w:val="22"/>
          <w:szCs w:val="22"/>
        </w:rPr>
        <w:t xml:space="preserve">  </w:t>
      </w:r>
      <w:r>
        <w:rPr>
          <w:rFonts w:ascii="宋体" w:eastAsia="宋体" w:hAnsi="宋体" w:cs="宋体"/>
          <w:spacing w:val="-10"/>
          <w:sz w:val="22"/>
          <w:szCs w:val="22"/>
        </w:rPr>
        <w:t>基因表达和翻译。</w:t>
      </w:r>
    </w:p>
    <w:p w:rsidR="00EA40A3" w:rsidRDefault="00E86C16">
      <w:pPr>
        <w:spacing w:before="64" w:line="249" w:lineRule="auto"/>
        <w:ind w:firstLine="450"/>
        <w:jc w:val="both"/>
        <w:rPr>
          <w:rFonts w:ascii="宋体" w:eastAsia="宋体" w:hAnsi="宋体" w:cs="宋体"/>
          <w:sz w:val="22"/>
          <w:szCs w:val="22"/>
        </w:rPr>
      </w:pPr>
      <w:r>
        <w:rPr>
          <w:rFonts w:ascii="宋体" w:eastAsia="宋体" w:hAnsi="宋体" w:cs="宋体"/>
          <w:spacing w:val="-13"/>
          <w:sz w:val="22"/>
          <w:szCs w:val="22"/>
        </w:rPr>
        <w:t>(5)钴：钴元素对基因表达有调控作用。</w:t>
      </w:r>
      <w:r>
        <w:rPr>
          <w:rFonts w:ascii="宋体" w:eastAsia="宋体" w:hAnsi="宋体" w:cs="宋体"/>
          <w:spacing w:val="38"/>
          <w:sz w:val="22"/>
          <w:szCs w:val="22"/>
        </w:rPr>
        <w:t xml:space="preserve"> </w:t>
      </w:r>
      <w:r>
        <w:rPr>
          <w:rFonts w:ascii="宋体" w:eastAsia="宋体" w:hAnsi="宋体" w:cs="宋体"/>
          <w:spacing w:val="-13"/>
          <w:sz w:val="22"/>
          <w:szCs w:val="22"/>
        </w:rPr>
        <w:t>一些研究表明添</w:t>
      </w:r>
      <w:r>
        <w:rPr>
          <w:rFonts w:ascii="宋体" w:eastAsia="宋体" w:hAnsi="宋体" w:cs="宋体"/>
          <w:spacing w:val="-14"/>
          <w:sz w:val="22"/>
          <w:szCs w:val="22"/>
        </w:rPr>
        <w:t>加钴产生类似缺氧</w:t>
      </w:r>
      <w:r>
        <w:rPr>
          <w:rFonts w:ascii="宋体" w:eastAsia="宋体" w:hAnsi="宋体" w:cs="宋体"/>
          <w:sz w:val="22"/>
          <w:szCs w:val="22"/>
        </w:rPr>
        <w:t xml:space="preserve"> </w:t>
      </w:r>
      <w:r>
        <w:rPr>
          <w:rFonts w:ascii="宋体" w:eastAsia="宋体" w:hAnsi="宋体" w:cs="宋体"/>
          <w:spacing w:val="-12"/>
          <w:sz w:val="22"/>
          <w:szCs w:val="22"/>
        </w:rPr>
        <w:t>样的效应，在成骨细胞培养基中添加钴元素可以提高成骨细</w:t>
      </w:r>
      <w:r>
        <w:rPr>
          <w:rFonts w:ascii="宋体" w:eastAsia="宋体" w:hAnsi="宋体" w:cs="宋体"/>
          <w:spacing w:val="-13"/>
          <w:sz w:val="22"/>
          <w:szCs w:val="22"/>
        </w:rPr>
        <w:t>胞内血管内皮生长因</w:t>
      </w:r>
      <w:r>
        <w:rPr>
          <w:rFonts w:ascii="宋体" w:eastAsia="宋体" w:hAnsi="宋体" w:cs="宋体"/>
          <w:sz w:val="22"/>
          <w:szCs w:val="22"/>
        </w:rPr>
        <w:t xml:space="preserve"> </w:t>
      </w:r>
      <w:r>
        <w:rPr>
          <w:rFonts w:ascii="宋体" w:eastAsia="宋体" w:hAnsi="宋体" w:cs="宋体"/>
          <w:spacing w:val="-10"/>
          <w:sz w:val="22"/>
          <w:szCs w:val="22"/>
        </w:rPr>
        <w:t>子</w:t>
      </w:r>
      <w:r>
        <w:rPr>
          <w:rFonts w:ascii="宋体" w:eastAsia="宋体" w:hAnsi="宋体" w:cs="宋体"/>
          <w:spacing w:val="-11"/>
          <w:sz w:val="22"/>
          <w:szCs w:val="22"/>
        </w:rPr>
        <w:t xml:space="preserve"> </w:t>
      </w:r>
      <w:r>
        <w:rPr>
          <w:rFonts w:ascii="宋体" w:eastAsia="宋体" w:hAnsi="宋体" w:cs="宋体"/>
          <w:spacing w:val="-10"/>
          <w:sz w:val="22"/>
          <w:szCs w:val="22"/>
        </w:rPr>
        <w:t>(VEGF)</w:t>
      </w:r>
      <w:r>
        <w:rPr>
          <w:rFonts w:ascii="宋体" w:eastAsia="宋体" w:hAnsi="宋体" w:cs="宋体"/>
          <w:spacing w:val="23"/>
          <w:sz w:val="22"/>
          <w:szCs w:val="22"/>
        </w:rPr>
        <w:t xml:space="preserve">  </w:t>
      </w:r>
      <w:r>
        <w:rPr>
          <w:rFonts w:ascii="宋体" w:eastAsia="宋体" w:hAnsi="宋体" w:cs="宋体"/>
          <w:spacing w:val="-10"/>
          <w:sz w:val="22"/>
          <w:szCs w:val="22"/>
        </w:rPr>
        <w:t>基因的表达，其机制是因为钴通过结合在氧感受</w:t>
      </w:r>
      <w:r>
        <w:rPr>
          <w:rFonts w:ascii="宋体" w:eastAsia="宋体" w:hAnsi="宋体" w:cs="宋体"/>
          <w:spacing w:val="-11"/>
          <w:sz w:val="22"/>
          <w:szCs w:val="22"/>
        </w:rPr>
        <w:t>分子的血红素部分</w:t>
      </w:r>
      <w:r>
        <w:rPr>
          <w:rFonts w:ascii="宋体" w:eastAsia="宋体" w:hAnsi="宋体" w:cs="宋体"/>
          <w:spacing w:val="1"/>
          <w:sz w:val="22"/>
          <w:szCs w:val="22"/>
        </w:rPr>
        <w:t xml:space="preserve"> </w:t>
      </w:r>
      <w:r>
        <w:rPr>
          <w:rFonts w:ascii="宋体" w:eastAsia="宋体" w:hAnsi="宋体" w:cs="宋体"/>
          <w:spacing w:val="-8"/>
          <w:sz w:val="22"/>
          <w:szCs w:val="22"/>
        </w:rPr>
        <w:t>而导致缺氧，而低氧可以激活</w:t>
      </w:r>
      <w:r>
        <w:rPr>
          <w:rFonts w:ascii="宋体" w:eastAsia="宋体" w:hAnsi="宋体" w:cs="宋体"/>
          <w:spacing w:val="-59"/>
          <w:sz w:val="22"/>
          <w:szCs w:val="22"/>
        </w:rPr>
        <w:t xml:space="preserve"> </w:t>
      </w:r>
      <w:r>
        <w:rPr>
          <w:rFonts w:ascii="宋体" w:eastAsia="宋体" w:hAnsi="宋体" w:cs="宋体"/>
          <w:spacing w:val="-8"/>
          <w:sz w:val="22"/>
          <w:szCs w:val="22"/>
        </w:rPr>
        <w:t>VEFG</w:t>
      </w:r>
      <w:r>
        <w:rPr>
          <w:rFonts w:ascii="宋体" w:eastAsia="宋体" w:hAnsi="宋体" w:cs="宋体"/>
          <w:spacing w:val="64"/>
          <w:sz w:val="22"/>
          <w:szCs w:val="22"/>
        </w:rPr>
        <w:t xml:space="preserve"> </w:t>
      </w:r>
      <w:r>
        <w:rPr>
          <w:rFonts w:ascii="宋体" w:eastAsia="宋体" w:hAnsi="宋体" w:cs="宋体"/>
          <w:spacing w:val="-8"/>
          <w:sz w:val="22"/>
          <w:szCs w:val="22"/>
        </w:rPr>
        <w:t>基因</w:t>
      </w:r>
      <w:r>
        <w:rPr>
          <w:rFonts w:ascii="宋体" w:eastAsia="宋体" w:hAnsi="宋体" w:cs="宋体"/>
          <w:spacing w:val="-62"/>
          <w:sz w:val="22"/>
          <w:szCs w:val="22"/>
        </w:rPr>
        <w:t xml:space="preserve"> </w:t>
      </w:r>
      <w:r>
        <w:rPr>
          <w:rFonts w:ascii="宋体" w:eastAsia="宋体" w:hAnsi="宋体" w:cs="宋体"/>
          <w:spacing w:val="-8"/>
          <w:sz w:val="22"/>
          <w:szCs w:val="22"/>
        </w:rPr>
        <w:t>mRNA</w:t>
      </w:r>
      <w:r>
        <w:rPr>
          <w:rFonts w:ascii="宋体" w:eastAsia="宋体" w:hAnsi="宋体" w:cs="宋体"/>
          <w:spacing w:val="16"/>
          <w:sz w:val="22"/>
          <w:szCs w:val="22"/>
        </w:rPr>
        <w:t xml:space="preserve">  </w:t>
      </w:r>
      <w:r>
        <w:rPr>
          <w:rFonts w:ascii="宋体" w:eastAsia="宋体" w:hAnsi="宋体" w:cs="宋体"/>
          <w:spacing w:val="-8"/>
          <w:sz w:val="22"/>
          <w:szCs w:val="22"/>
        </w:rPr>
        <w:t>的</w:t>
      </w:r>
      <w:r>
        <w:rPr>
          <w:rFonts w:ascii="宋体" w:eastAsia="宋体" w:hAnsi="宋体" w:cs="宋体"/>
          <w:spacing w:val="-9"/>
          <w:sz w:val="22"/>
          <w:szCs w:val="22"/>
        </w:rPr>
        <w:t>表达。但钴对基因表达的调</w:t>
      </w:r>
      <w:r>
        <w:rPr>
          <w:rFonts w:ascii="宋体" w:eastAsia="宋体" w:hAnsi="宋体" w:cs="宋体"/>
          <w:spacing w:val="1"/>
          <w:sz w:val="22"/>
          <w:szCs w:val="22"/>
        </w:rPr>
        <w:t xml:space="preserve"> </w:t>
      </w:r>
      <w:r>
        <w:rPr>
          <w:rFonts w:ascii="宋体" w:eastAsia="宋体" w:hAnsi="宋体" w:cs="宋体"/>
          <w:spacing w:val="-9"/>
          <w:sz w:val="22"/>
          <w:szCs w:val="22"/>
        </w:rPr>
        <w:t>控还存在其他方式：缺氧可以通过缺氧诱导因子</w:t>
      </w:r>
      <w:r>
        <w:rPr>
          <w:rFonts w:ascii="宋体" w:eastAsia="宋体" w:hAnsi="宋体" w:cs="宋体"/>
          <w:spacing w:val="-12"/>
          <w:sz w:val="22"/>
          <w:szCs w:val="22"/>
        </w:rPr>
        <w:t xml:space="preserve"> </w:t>
      </w:r>
      <w:r>
        <w:rPr>
          <w:rFonts w:ascii="宋体" w:eastAsia="宋体" w:hAnsi="宋体" w:cs="宋体"/>
          <w:spacing w:val="-9"/>
          <w:sz w:val="22"/>
          <w:szCs w:val="22"/>
        </w:rPr>
        <w:t>(HIF-1)</w:t>
      </w:r>
      <w:r>
        <w:rPr>
          <w:rFonts w:ascii="宋体" w:eastAsia="宋体" w:hAnsi="宋体" w:cs="宋体"/>
          <w:spacing w:val="27"/>
          <w:sz w:val="22"/>
          <w:szCs w:val="22"/>
        </w:rPr>
        <w:t xml:space="preserve"> </w:t>
      </w:r>
      <w:r>
        <w:rPr>
          <w:rFonts w:ascii="宋体" w:eastAsia="宋体" w:hAnsi="宋体" w:cs="宋体"/>
          <w:spacing w:val="-9"/>
          <w:sz w:val="22"/>
          <w:szCs w:val="22"/>
        </w:rPr>
        <w:t>来激活平滑肌细胞中</w:t>
      </w:r>
      <w:r>
        <w:rPr>
          <w:rFonts w:ascii="宋体" w:eastAsia="宋体" w:hAnsi="宋体" w:cs="宋体"/>
          <w:sz w:val="22"/>
          <w:szCs w:val="22"/>
        </w:rPr>
        <w:t xml:space="preserve"> </w:t>
      </w:r>
      <w:r>
        <w:rPr>
          <w:rFonts w:ascii="宋体" w:eastAsia="宋体" w:hAnsi="宋体" w:cs="宋体"/>
          <w:spacing w:val="-7"/>
          <w:sz w:val="22"/>
          <w:szCs w:val="22"/>
        </w:rPr>
        <w:t>的血红素加氧酶基因1</w:t>
      </w:r>
      <w:r>
        <w:rPr>
          <w:rFonts w:ascii="宋体" w:eastAsia="宋体" w:hAnsi="宋体" w:cs="宋体"/>
          <w:spacing w:val="-13"/>
          <w:sz w:val="22"/>
          <w:szCs w:val="22"/>
        </w:rPr>
        <w:t xml:space="preserve"> </w:t>
      </w:r>
      <w:r>
        <w:rPr>
          <w:rFonts w:ascii="宋体" w:eastAsia="宋体" w:hAnsi="宋体" w:cs="宋体"/>
          <w:spacing w:val="-7"/>
          <w:sz w:val="22"/>
          <w:szCs w:val="22"/>
        </w:rPr>
        <w:t>(ho-1)</w:t>
      </w:r>
      <w:r>
        <w:rPr>
          <w:rFonts w:ascii="宋体" w:eastAsia="宋体" w:hAnsi="宋体" w:cs="宋体"/>
          <w:spacing w:val="-53"/>
          <w:sz w:val="22"/>
          <w:szCs w:val="22"/>
        </w:rPr>
        <w:t xml:space="preserve"> </w:t>
      </w:r>
      <w:r>
        <w:rPr>
          <w:rFonts w:ascii="宋体" w:eastAsia="宋体" w:hAnsi="宋体" w:cs="宋体"/>
          <w:spacing w:val="-7"/>
          <w:sz w:val="22"/>
          <w:szCs w:val="22"/>
        </w:rPr>
        <w:t>的表达</w:t>
      </w:r>
      <w:r>
        <w:rPr>
          <w:rFonts w:ascii="宋体" w:eastAsia="宋体" w:hAnsi="宋体" w:cs="宋体"/>
          <w:spacing w:val="-8"/>
          <w:sz w:val="22"/>
          <w:szCs w:val="22"/>
        </w:rPr>
        <w:t>，突变型的中国仓鼠卵细胞 (</w:t>
      </w:r>
      <w:r>
        <w:rPr>
          <w:rFonts w:ascii="宋体" w:eastAsia="宋体" w:hAnsi="宋体" w:cs="宋体"/>
          <w:spacing w:val="-7"/>
          <w:sz w:val="22"/>
          <w:szCs w:val="22"/>
        </w:rPr>
        <w:t>Kal</w:t>
      </w:r>
      <w:r>
        <w:rPr>
          <w:rFonts w:ascii="宋体" w:eastAsia="宋体" w:hAnsi="宋体" w:cs="宋体"/>
          <w:spacing w:val="-8"/>
          <w:sz w:val="22"/>
          <w:szCs w:val="22"/>
        </w:rPr>
        <w:t>3)</w:t>
      </w:r>
      <w:r>
        <w:rPr>
          <w:rFonts w:ascii="宋体" w:eastAsia="宋体" w:hAnsi="宋体" w:cs="宋体"/>
          <w:spacing w:val="17"/>
          <w:sz w:val="22"/>
          <w:szCs w:val="22"/>
        </w:rPr>
        <w:t xml:space="preserve"> </w:t>
      </w:r>
      <w:r>
        <w:rPr>
          <w:rFonts w:ascii="宋体" w:eastAsia="宋体" w:hAnsi="宋体" w:cs="宋体"/>
          <w:spacing w:val="-8"/>
          <w:sz w:val="22"/>
          <w:szCs w:val="22"/>
        </w:rPr>
        <w:t>内缺</w:t>
      </w:r>
      <w:r>
        <w:rPr>
          <w:rFonts w:ascii="宋体" w:eastAsia="宋体" w:hAnsi="宋体" w:cs="宋体"/>
          <w:sz w:val="22"/>
          <w:szCs w:val="22"/>
        </w:rPr>
        <w:t xml:space="preserve"> </w:t>
      </w:r>
      <w:r>
        <w:rPr>
          <w:rFonts w:ascii="宋体" w:eastAsia="宋体" w:hAnsi="宋体" w:cs="宋体"/>
          <w:spacing w:val="-10"/>
          <w:sz w:val="22"/>
          <w:szCs w:val="22"/>
        </w:rPr>
        <w:t>乏</w:t>
      </w:r>
      <w:r>
        <w:rPr>
          <w:rFonts w:ascii="宋体" w:eastAsia="宋体" w:hAnsi="宋体" w:cs="宋体"/>
          <w:spacing w:val="-42"/>
          <w:sz w:val="22"/>
          <w:szCs w:val="22"/>
        </w:rPr>
        <w:t xml:space="preserve"> </w:t>
      </w:r>
      <w:r>
        <w:rPr>
          <w:rFonts w:ascii="宋体" w:eastAsia="宋体" w:hAnsi="宋体" w:cs="宋体"/>
          <w:spacing w:val="-10"/>
          <w:sz w:val="22"/>
          <w:szCs w:val="22"/>
        </w:rPr>
        <w:t>HIF-1,</w:t>
      </w:r>
      <w:r>
        <w:rPr>
          <w:rFonts w:ascii="宋体" w:eastAsia="宋体" w:hAnsi="宋体" w:cs="宋体"/>
          <w:spacing w:val="-17"/>
          <w:sz w:val="22"/>
          <w:szCs w:val="22"/>
        </w:rPr>
        <w:t xml:space="preserve"> </w:t>
      </w:r>
      <w:r>
        <w:rPr>
          <w:rFonts w:ascii="宋体" w:eastAsia="宋体" w:hAnsi="宋体" w:cs="宋体"/>
          <w:spacing w:val="-10"/>
          <w:sz w:val="22"/>
          <w:szCs w:val="22"/>
        </w:rPr>
        <w:t>但在缺氧和添加氯化钴环境下，血红素</w:t>
      </w:r>
      <w:r>
        <w:rPr>
          <w:rFonts w:ascii="宋体" w:eastAsia="宋体" w:hAnsi="宋体" w:cs="宋体"/>
          <w:spacing w:val="-11"/>
          <w:sz w:val="22"/>
          <w:szCs w:val="22"/>
        </w:rPr>
        <w:t>加氧酶基因的表达水平同野生</w:t>
      </w:r>
      <w:r>
        <w:rPr>
          <w:rFonts w:ascii="宋体" w:eastAsia="宋体" w:hAnsi="宋体" w:cs="宋体"/>
          <w:sz w:val="22"/>
          <w:szCs w:val="22"/>
        </w:rPr>
        <w:t xml:space="preserve"> </w:t>
      </w:r>
      <w:r>
        <w:rPr>
          <w:rFonts w:ascii="宋体" w:eastAsia="宋体" w:hAnsi="宋体" w:cs="宋体"/>
          <w:spacing w:val="-7"/>
          <w:sz w:val="22"/>
          <w:szCs w:val="22"/>
        </w:rPr>
        <w:t>型中国仓鼠卵细胞相似。研究发现，在Kal3</w:t>
      </w:r>
      <w:r>
        <w:rPr>
          <w:rFonts w:ascii="宋体" w:eastAsia="宋体" w:hAnsi="宋体" w:cs="宋体"/>
          <w:spacing w:val="-65"/>
          <w:sz w:val="22"/>
          <w:szCs w:val="22"/>
        </w:rPr>
        <w:t xml:space="preserve"> </w:t>
      </w:r>
      <w:r>
        <w:rPr>
          <w:rFonts w:ascii="宋体" w:eastAsia="宋体" w:hAnsi="宋体" w:cs="宋体"/>
          <w:spacing w:val="-8"/>
          <w:sz w:val="22"/>
          <w:szCs w:val="22"/>
        </w:rPr>
        <w:t>细胞内，氯化钴可以激活荧光素酶</w:t>
      </w:r>
      <w:r>
        <w:rPr>
          <w:rFonts w:ascii="宋体" w:eastAsia="宋体" w:hAnsi="宋体" w:cs="宋体"/>
          <w:sz w:val="22"/>
          <w:szCs w:val="22"/>
        </w:rPr>
        <w:t xml:space="preserve"> </w:t>
      </w:r>
      <w:r>
        <w:rPr>
          <w:rFonts w:ascii="宋体" w:eastAsia="宋体" w:hAnsi="宋体" w:cs="宋体"/>
          <w:spacing w:val="-8"/>
          <w:sz w:val="22"/>
          <w:szCs w:val="22"/>
        </w:rPr>
        <w:t>报告基因的表达，而该报告基因由ho-1</w:t>
      </w:r>
      <w:r>
        <w:rPr>
          <w:rFonts w:ascii="宋体" w:eastAsia="宋体" w:hAnsi="宋体" w:cs="宋体"/>
          <w:spacing w:val="-40"/>
          <w:sz w:val="22"/>
          <w:szCs w:val="22"/>
        </w:rPr>
        <w:t xml:space="preserve"> </w:t>
      </w:r>
      <w:r>
        <w:rPr>
          <w:rFonts w:ascii="宋体" w:eastAsia="宋体" w:hAnsi="宋体" w:cs="宋体"/>
          <w:spacing w:val="-8"/>
          <w:sz w:val="22"/>
          <w:szCs w:val="22"/>
        </w:rPr>
        <w:t>基因的启动子所启动，这说明</w:t>
      </w:r>
      <w:r>
        <w:rPr>
          <w:rFonts w:ascii="宋体" w:eastAsia="宋体" w:hAnsi="宋体" w:cs="宋体"/>
          <w:spacing w:val="-9"/>
          <w:sz w:val="22"/>
          <w:szCs w:val="22"/>
        </w:rPr>
        <w:t>氯化钴可</w:t>
      </w:r>
      <w:r>
        <w:rPr>
          <w:rFonts w:ascii="宋体" w:eastAsia="宋体" w:hAnsi="宋体" w:cs="宋体"/>
          <w:sz w:val="22"/>
          <w:szCs w:val="22"/>
        </w:rPr>
        <w:t xml:space="preserve"> </w:t>
      </w:r>
      <w:r>
        <w:rPr>
          <w:rFonts w:ascii="宋体" w:eastAsia="宋体" w:hAnsi="宋体" w:cs="宋体"/>
          <w:spacing w:val="-11"/>
          <w:sz w:val="22"/>
          <w:szCs w:val="22"/>
        </w:rPr>
        <w:t>以激活ho-1</w:t>
      </w:r>
      <w:r>
        <w:rPr>
          <w:rFonts w:ascii="宋体" w:eastAsia="宋体" w:hAnsi="宋体" w:cs="宋体"/>
          <w:spacing w:val="-50"/>
          <w:sz w:val="22"/>
          <w:szCs w:val="22"/>
        </w:rPr>
        <w:t xml:space="preserve"> </w:t>
      </w:r>
      <w:r>
        <w:rPr>
          <w:rFonts w:ascii="宋体" w:eastAsia="宋体" w:hAnsi="宋体" w:cs="宋体"/>
          <w:spacing w:val="-11"/>
          <w:sz w:val="22"/>
          <w:szCs w:val="22"/>
        </w:rPr>
        <w:t>基因的启动子。</w:t>
      </w:r>
    </w:p>
    <w:p w:rsidR="00EA40A3" w:rsidRDefault="00E86C16">
      <w:pPr>
        <w:spacing w:before="37" w:line="247" w:lineRule="auto"/>
        <w:ind w:right="10" w:firstLine="450"/>
        <w:jc w:val="both"/>
        <w:rPr>
          <w:rFonts w:ascii="宋体" w:eastAsia="宋体" w:hAnsi="宋体" w:cs="宋体"/>
          <w:sz w:val="22"/>
          <w:szCs w:val="22"/>
        </w:rPr>
      </w:pPr>
      <w:r>
        <w:rPr>
          <w:rFonts w:ascii="宋体" w:eastAsia="宋体" w:hAnsi="宋体" w:cs="宋体"/>
          <w:spacing w:val="4"/>
          <w:sz w:val="22"/>
          <w:szCs w:val="22"/>
        </w:rPr>
        <w:t>(6)铬：铬对胰岛素有增强作用，铬可能通过增强胰岛素受体的数量和</w:t>
      </w:r>
      <w:r>
        <w:rPr>
          <w:rFonts w:ascii="宋体" w:eastAsia="宋体" w:hAnsi="宋体" w:cs="宋体"/>
          <w:sz w:val="22"/>
          <w:szCs w:val="22"/>
        </w:rPr>
        <w:t xml:space="preserve"> </w:t>
      </w:r>
      <w:r>
        <w:rPr>
          <w:rFonts w:ascii="宋体" w:eastAsia="宋体" w:hAnsi="宋体" w:cs="宋体"/>
          <w:spacing w:val="-6"/>
          <w:sz w:val="22"/>
          <w:szCs w:val="22"/>
        </w:rPr>
        <w:t>(或)提高胰岛素对受体的亲合力而影响胰岛素的活</w:t>
      </w:r>
      <w:r>
        <w:rPr>
          <w:rFonts w:ascii="宋体" w:eastAsia="宋体" w:hAnsi="宋体" w:cs="宋体"/>
          <w:spacing w:val="-7"/>
          <w:sz w:val="22"/>
          <w:szCs w:val="22"/>
        </w:rPr>
        <w:t>性。铬能够降低体脂肪的沉</w:t>
      </w:r>
      <w:r>
        <w:rPr>
          <w:rFonts w:ascii="宋体" w:eastAsia="宋体" w:hAnsi="宋体" w:cs="宋体"/>
          <w:sz w:val="22"/>
          <w:szCs w:val="22"/>
        </w:rPr>
        <w:t xml:space="preserve"> </w:t>
      </w:r>
      <w:r>
        <w:rPr>
          <w:rFonts w:ascii="宋体" w:eastAsia="宋体" w:hAnsi="宋体" w:cs="宋体"/>
          <w:spacing w:val="-13"/>
          <w:sz w:val="22"/>
          <w:szCs w:val="22"/>
        </w:rPr>
        <w:t>积已被证实，它降低胴体脂肪可能是通过提高生长激素基因来实现的，铬同样可</w:t>
      </w:r>
      <w:r>
        <w:rPr>
          <w:rFonts w:ascii="宋体" w:eastAsia="宋体" w:hAnsi="宋体" w:cs="宋体"/>
          <w:spacing w:val="13"/>
          <w:sz w:val="22"/>
          <w:szCs w:val="22"/>
        </w:rPr>
        <w:t xml:space="preserve"> </w:t>
      </w:r>
      <w:r>
        <w:rPr>
          <w:rFonts w:ascii="宋体" w:eastAsia="宋体" w:hAnsi="宋体" w:cs="宋体"/>
          <w:spacing w:val="-7"/>
          <w:sz w:val="22"/>
          <w:szCs w:val="22"/>
        </w:rPr>
        <w:t>以通过提高葡萄糖乳酸盐循环的基因表达来降低血浆乳酸水平。进一步试验表</w:t>
      </w:r>
      <w:r>
        <w:rPr>
          <w:rFonts w:ascii="宋体" w:eastAsia="宋体" w:hAnsi="宋体" w:cs="宋体"/>
          <w:spacing w:val="17"/>
          <w:sz w:val="22"/>
          <w:szCs w:val="22"/>
        </w:rPr>
        <w:t xml:space="preserve"> </w:t>
      </w:r>
      <w:r>
        <w:rPr>
          <w:rFonts w:ascii="宋体" w:eastAsia="宋体" w:hAnsi="宋体" w:cs="宋体"/>
          <w:spacing w:val="-5"/>
          <w:sz w:val="22"/>
          <w:szCs w:val="22"/>
        </w:rPr>
        <w:t>明，在给部分肝切除的大鼠投放铬时，在肝</w:t>
      </w:r>
      <w:r>
        <w:rPr>
          <w:rFonts w:ascii="宋体" w:eastAsia="宋体" w:hAnsi="宋体" w:cs="宋体"/>
          <w:spacing w:val="-6"/>
          <w:sz w:val="22"/>
          <w:szCs w:val="22"/>
        </w:rPr>
        <w:t>重生过程中诱导出一个70</w:t>
      </w:r>
      <w:r>
        <w:rPr>
          <w:rFonts w:ascii="宋体" w:eastAsia="宋体" w:hAnsi="宋体" w:cs="宋体"/>
          <w:spacing w:val="-5"/>
          <w:sz w:val="22"/>
          <w:szCs w:val="22"/>
        </w:rPr>
        <w:t>kDa</w:t>
      </w:r>
      <w:r>
        <w:rPr>
          <w:rFonts w:ascii="宋体" w:eastAsia="宋体" w:hAnsi="宋体" w:cs="宋体"/>
          <w:spacing w:val="-24"/>
          <w:sz w:val="22"/>
          <w:szCs w:val="22"/>
        </w:rPr>
        <w:t xml:space="preserve"> </w:t>
      </w:r>
      <w:r>
        <w:rPr>
          <w:rFonts w:ascii="宋体" w:eastAsia="宋体" w:hAnsi="宋体" w:cs="宋体"/>
          <w:spacing w:val="-6"/>
          <w:sz w:val="22"/>
          <w:szCs w:val="22"/>
        </w:rPr>
        <w:t>的高</w:t>
      </w:r>
      <w:r>
        <w:rPr>
          <w:rFonts w:ascii="宋体" w:eastAsia="宋体" w:hAnsi="宋体" w:cs="宋体"/>
          <w:sz w:val="22"/>
          <w:szCs w:val="22"/>
        </w:rPr>
        <w:t xml:space="preserve"> </w:t>
      </w:r>
      <w:r>
        <w:rPr>
          <w:rFonts w:ascii="宋体" w:eastAsia="宋体" w:hAnsi="宋体" w:cs="宋体"/>
          <w:spacing w:val="-9"/>
          <w:sz w:val="22"/>
          <w:szCs w:val="22"/>
        </w:rPr>
        <w:t>分子蛋白质。这种形式的铬在体外试验中可与DNA</w:t>
      </w:r>
      <w:r>
        <w:rPr>
          <w:rFonts w:ascii="宋体" w:eastAsia="宋体" w:hAnsi="宋体" w:cs="宋体"/>
          <w:spacing w:val="93"/>
          <w:sz w:val="22"/>
          <w:szCs w:val="22"/>
        </w:rPr>
        <w:t xml:space="preserve"> </w:t>
      </w:r>
      <w:r>
        <w:rPr>
          <w:rFonts w:ascii="宋体" w:eastAsia="宋体" w:hAnsi="宋体" w:cs="宋体"/>
          <w:spacing w:val="-9"/>
          <w:sz w:val="22"/>
          <w:szCs w:val="22"/>
        </w:rPr>
        <w:t>结合，并增加启动位点的数</w:t>
      </w:r>
      <w:r>
        <w:rPr>
          <w:rFonts w:ascii="宋体" w:eastAsia="宋体" w:hAnsi="宋体" w:cs="宋体"/>
          <w:sz w:val="22"/>
          <w:szCs w:val="22"/>
        </w:rPr>
        <w:t xml:space="preserve"> </w:t>
      </w:r>
      <w:r>
        <w:rPr>
          <w:rFonts w:ascii="宋体" w:eastAsia="宋体" w:hAnsi="宋体" w:cs="宋体"/>
          <w:spacing w:val="-11"/>
          <w:sz w:val="22"/>
          <w:szCs w:val="22"/>
        </w:rPr>
        <w:t>目，显著地刺激RNA</w:t>
      </w:r>
      <w:r>
        <w:rPr>
          <w:rFonts w:ascii="宋体" w:eastAsia="宋体" w:hAnsi="宋体" w:cs="宋体"/>
          <w:spacing w:val="93"/>
          <w:sz w:val="22"/>
          <w:szCs w:val="22"/>
        </w:rPr>
        <w:t xml:space="preserve"> </w:t>
      </w:r>
      <w:r>
        <w:rPr>
          <w:rFonts w:ascii="宋体" w:eastAsia="宋体" w:hAnsi="宋体" w:cs="宋体"/>
          <w:spacing w:val="-11"/>
          <w:sz w:val="22"/>
          <w:szCs w:val="22"/>
        </w:rPr>
        <w:t>的合成。</w:t>
      </w:r>
    </w:p>
    <w:p w:rsidR="00EA40A3" w:rsidRDefault="00E86C16">
      <w:pPr>
        <w:spacing w:before="40" w:line="245" w:lineRule="auto"/>
        <w:ind w:firstLine="450"/>
        <w:jc w:val="both"/>
        <w:rPr>
          <w:rFonts w:ascii="宋体" w:eastAsia="宋体" w:hAnsi="宋体" w:cs="宋体"/>
          <w:sz w:val="22"/>
          <w:szCs w:val="22"/>
        </w:rPr>
      </w:pPr>
      <w:r>
        <w:rPr>
          <w:rFonts w:ascii="宋体" w:eastAsia="宋体" w:hAnsi="宋体" w:cs="宋体"/>
          <w:spacing w:val="-9"/>
          <w:sz w:val="22"/>
          <w:szCs w:val="22"/>
        </w:rPr>
        <w:t>(7)锰：动物体内锰超氧化物歧化酶</w:t>
      </w:r>
      <w:r>
        <w:rPr>
          <w:rFonts w:ascii="宋体" w:eastAsia="宋体" w:hAnsi="宋体" w:cs="宋体"/>
          <w:spacing w:val="-29"/>
          <w:sz w:val="22"/>
          <w:szCs w:val="22"/>
        </w:rPr>
        <w:t xml:space="preserve"> </w:t>
      </w:r>
      <w:r>
        <w:rPr>
          <w:rFonts w:ascii="宋体" w:eastAsia="宋体" w:hAnsi="宋体" w:cs="宋体"/>
          <w:spacing w:val="-9"/>
          <w:sz w:val="22"/>
          <w:szCs w:val="22"/>
        </w:rPr>
        <w:t>(MnSOD)、</w:t>
      </w:r>
      <w:r>
        <w:rPr>
          <w:rFonts w:ascii="宋体" w:eastAsia="宋体" w:hAnsi="宋体" w:cs="宋体"/>
          <w:spacing w:val="28"/>
          <w:sz w:val="22"/>
          <w:szCs w:val="22"/>
        </w:rPr>
        <w:t xml:space="preserve">  </w:t>
      </w:r>
      <w:r>
        <w:rPr>
          <w:rFonts w:ascii="宋体" w:eastAsia="宋体" w:hAnsi="宋体" w:cs="宋体"/>
          <w:spacing w:val="-9"/>
          <w:sz w:val="22"/>
          <w:szCs w:val="22"/>
        </w:rPr>
        <w:t>精氨酸酶</w:t>
      </w:r>
      <w:r>
        <w:rPr>
          <w:rFonts w:ascii="宋体" w:eastAsia="宋体" w:hAnsi="宋体" w:cs="宋体"/>
          <w:spacing w:val="-10"/>
          <w:sz w:val="22"/>
          <w:szCs w:val="22"/>
        </w:rPr>
        <w:t>、丙酮酸羧化酶</w:t>
      </w:r>
      <w:r>
        <w:rPr>
          <w:rFonts w:ascii="宋体" w:eastAsia="宋体" w:hAnsi="宋体" w:cs="宋体"/>
          <w:spacing w:val="1"/>
          <w:sz w:val="22"/>
          <w:szCs w:val="22"/>
        </w:rPr>
        <w:t xml:space="preserve"> </w:t>
      </w:r>
      <w:r>
        <w:rPr>
          <w:rFonts w:ascii="宋体" w:eastAsia="宋体" w:hAnsi="宋体" w:cs="宋体"/>
          <w:spacing w:val="-13"/>
          <w:sz w:val="22"/>
          <w:szCs w:val="22"/>
        </w:rPr>
        <w:t>均为含锰酶，同时锰还能激活一些酶。试验证明，锰缺乏的大鼠其组织中的锰超</w:t>
      </w:r>
      <w:r>
        <w:rPr>
          <w:rFonts w:ascii="宋体" w:eastAsia="宋体" w:hAnsi="宋体" w:cs="宋体"/>
          <w:spacing w:val="12"/>
          <w:sz w:val="22"/>
          <w:szCs w:val="22"/>
        </w:rPr>
        <w:t xml:space="preserve"> </w:t>
      </w:r>
      <w:r>
        <w:rPr>
          <w:rFonts w:ascii="宋体" w:eastAsia="宋体" w:hAnsi="宋体" w:cs="宋体"/>
          <w:spacing w:val="-13"/>
          <w:sz w:val="22"/>
          <w:szCs w:val="22"/>
        </w:rPr>
        <w:t>氧化物歧化酶活性显著低于对照组的大鼠，其活性下降机制是一种转录阻断。锰</w:t>
      </w:r>
      <w:r>
        <w:rPr>
          <w:rFonts w:ascii="宋体" w:eastAsia="宋体" w:hAnsi="宋体" w:cs="宋体"/>
          <w:spacing w:val="11"/>
          <w:sz w:val="22"/>
          <w:szCs w:val="22"/>
        </w:rPr>
        <w:t xml:space="preserve"> </w:t>
      </w:r>
      <w:r>
        <w:rPr>
          <w:rFonts w:ascii="宋体" w:eastAsia="宋体" w:hAnsi="宋体" w:cs="宋体"/>
          <w:spacing w:val="-13"/>
          <w:sz w:val="22"/>
          <w:szCs w:val="22"/>
        </w:rPr>
        <w:t>除了可以特异性激活磷酸烯醇式丙酮酸羧基激酶、谷氨酸胺合成酶外，还可以直</w:t>
      </w:r>
      <w:r>
        <w:rPr>
          <w:rFonts w:ascii="宋体" w:eastAsia="宋体" w:hAnsi="宋体" w:cs="宋体"/>
          <w:spacing w:val="13"/>
          <w:sz w:val="22"/>
          <w:szCs w:val="22"/>
        </w:rPr>
        <w:t xml:space="preserve"> </w:t>
      </w:r>
      <w:r>
        <w:rPr>
          <w:rFonts w:ascii="宋体" w:eastAsia="宋体" w:hAnsi="宋体" w:cs="宋体"/>
          <w:spacing w:val="-14"/>
          <w:sz w:val="22"/>
          <w:szCs w:val="22"/>
        </w:rPr>
        <w:t>接妨碍胰腺的胰岛素的合成与分泌。</w:t>
      </w:r>
    </w:p>
    <w:p w:rsidR="00EA40A3" w:rsidRDefault="00E86C16">
      <w:pPr>
        <w:spacing w:before="35" w:line="246" w:lineRule="auto"/>
        <w:ind w:right="18" w:firstLine="450"/>
        <w:jc w:val="both"/>
        <w:rPr>
          <w:rFonts w:ascii="宋体" w:eastAsia="宋体" w:hAnsi="宋体" w:cs="宋体"/>
          <w:sz w:val="22"/>
          <w:szCs w:val="22"/>
        </w:rPr>
      </w:pPr>
      <w:r>
        <w:rPr>
          <w:rFonts w:ascii="宋体" w:eastAsia="宋体" w:hAnsi="宋体" w:cs="宋体"/>
          <w:spacing w:val="-10"/>
          <w:sz w:val="22"/>
          <w:szCs w:val="22"/>
        </w:rPr>
        <w:t>(8)碘：动物机体中大部分碘以激素或激素前体的形式存在于甲状腺。甲状</w:t>
      </w:r>
      <w:r>
        <w:rPr>
          <w:rFonts w:ascii="宋体" w:eastAsia="宋体" w:hAnsi="宋体" w:cs="宋体"/>
          <w:spacing w:val="18"/>
          <w:sz w:val="22"/>
          <w:szCs w:val="22"/>
        </w:rPr>
        <w:t xml:space="preserve"> </w:t>
      </w:r>
      <w:r>
        <w:rPr>
          <w:rFonts w:ascii="宋体" w:eastAsia="宋体" w:hAnsi="宋体" w:cs="宋体"/>
          <w:spacing w:val="-13"/>
          <w:sz w:val="22"/>
          <w:szCs w:val="22"/>
        </w:rPr>
        <w:t>腺激素以三碘甲腺原氨酸的形式直接作用于基因组中以调节细胞的功能，并在此</w:t>
      </w:r>
      <w:r>
        <w:rPr>
          <w:rFonts w:ascii="宋体" w:eastAsia="宋体" w:hAnsi="宋体" w:cs="宋体"/>
          <w:spacing w:val="12"/>
          <w:sz w:val="22"/>
          <w:szCs w:val="22"/>
        </w:rPr>
        <w:t xml:space="preserve"> </w:t>
      </w:r>
      <w:r>
        <w:rPr>
          <w:rFonts w:ascii="宋体" w:eastAsia="宋体" w:hAnsi="宋体" w:cs="宋体"/>
          <w:spacing w:val="-12"/>
          <w:sz w:val="22"/>
          <w:szCs w:val="22"/>
        </w:rPr>
        <w:t>处与甲状腺交换元件接触，经过在几个基因部位的一系列反应，开启或关闭与某</w:t>
      </w:r>
      <w:r>
        <w:rPr>
          <w:rFonts w:ascii="宋体" w:eastAsia="宋体" w:hAnsi="宋体" w:cs="宋体"/>
          <w:sz w:val="22"/>
          <w:szCs w:val="22"/>
        </w:rPr>
        <w:t xml:space="preserve"> </w:t>
      </w:r>
      <w:r>
        <w:rPr>
          <w:rFonts w:ascii="宋体" w:eastAsia="宋体" w:hAnsi="宋体" w:cs="宋体"/>
          <w:spacing w:val="-9"/>
          <w:sz w:val="22"/>
          <w:szCs w:val="22"/>
        </w:rPr>
        <w:t>些信使RNA</w:t>
      </w:r>
      <w:r>
        <w:rPr>
          <w:rFonts w:ascii="宋体" w:eastAsia="宋体" w:hAnsi="宋体" w:cs="宋体"/>
          <w:spacing w:val="93"/>
          <w:sz w:val="22"/>
          <w:szCs w:val="22"/>
        </w:rPr>
        <w:t xml:space="preserve"> </w:t>
      </w:r>
      <w:r>
        <w:rPr>
          <w:rFonts w:ascii="宋体" w:eastAsia="宋体" w:hAnsi="宋体" w:cs="宋体"/>
          <w:spacing w:val="-9"/>
          <w:sz w:val="22"/>
          <w:szCs w:val="22"/>
        </w:rPr>
        <w:t>合成有关基因的活性，从而控制与细胞功能有关的特殊蛋白质的合</w:t>
      </w:r>
      <w:r>
        <w:rPr>
          <w:rFonts w:ascii="宋体" w:eastAsia="宋体" w:hAnsi="宋体" w:cs="宋体"/>
          <w:sz w:val="22"/>
          <w:szCs w:val="22"/>
        </w:rPr>
        <w:t xml:space="preserve"> </w:t>
      </w:r>
      <w:r>
        <w:rPr>
          <w:rFonts w:ascii="宋体" w:eastAsia="宋体" w:hAnsi="宋体" w:cs="宋体"/>
          <w:spacing w:val="-13"/>
          <w:sz w:val="22"/>
          <w:szCs w:val="22"/>
        </w:rPr>
        <w:t>成与抑制。</w:t>
      </w:r>
    </w:p>
    <w:p w:rsidR="00EA40A3" w:rsidRDefault="00EA40A3">
      <w:pPr>
        <w:sectPr w:rsidR="00EA40A3">
          <w:footerReference w:type="default" r:id="rId307"/>
          <w:pgSz w:w="9220" w:h="13360"/>
          <w:pgMar w:top="400" w:right="1090" w:bottom="1307" w:left="829" w:header="0" w:footer="1099" w:gutter="0"/>
          <w:cols w:space="720"/>
        </w:sectPr>
      </w:pPr>
    </w:p>
    <w:p w:rsidR="00EA40A3" w:rsidRDefault="00EA40A3">
      <w:pPr>
        <w:spacing w:line="252" w:lineRule="auto"/>
      </w:pPr>
    </w:p>
    <w:p w:rsidR="00EA40A3" w:rsidRDefault="00EA40A3">
      <w:pPr>
        <w:spacing w:line="253" w:lineRule="auto"/>
      </w:pPr>
    </w:p>
    <w:p w:rsidR="00EA40A3" w:rsidRDefault="00EA40A3">
      <w:pPr>
        <w:spacing w:line="253" w:lineRule="auto"/>
      </w:pPr>
    </w:p>
    <w:p w:rsidR="00EA40A3" w:rsidRDefault="00E86C16">
      <w:pPr>
        <w:spacing w:before="71" w:line="219" w:lineRule="auto"/>
        <w:rPr>
          <w:rFonts w:ascii="仿宋" w:eastAsia="仿宋" w:hAnsi="仿宋" w:cs="仿宋"/>
          <w:sz w:val="22"/>
          <w:szCs w:val="22"/>
        </w:rPr>
      </w:pPr>
      <w:r>
        <w:rPr>
          <w:rFonts w:ascii="仿宋" w:eastAsia="仿宋" w:hAnsi="仿宋" w:cs="仿宋"/>
          <w:spacing w:val="14"/>
          <w:sz w:val="22"/>
          <w:szCs w:val="22"/>
        </w:rPr>
        <w:t>5.</w:t>
      </w:r>
      <w:r>
        <w:rPr>
          <w:rFonts w:ascii="仿宋" w:eastAsia="仿宋" w:hAnsi="仿宋" w:cs="仿宋"/>
          <w:spacing w:val="-36"/>
          <w:sz w:val="22"/>
          <w:szCs w:val="22"/>
        </w:rPr>
        <w:t xml:space="preserve"> </w:t>
      </w:r>
      <w:r>
        <w:rPr>
          <w:rFonts w:ascii="仿宋" w:eastAsia="仿宋" w:hAnsi="仿宋" w:cs="仿宋"/>
          <w:spacing w:val="14"/>
          <w:sz w:val="22"/>
          <w:szCs w:val="22"/>
        </w:rPr>
        <w:t>维生素在基因表达中的调控作用</w:t>
      </w:r>
    </w:p>
    <w:p w:rsidR="00EA40A3" w:rsidRDefault="00E86C16">
      <w:pPr>
        <w:spacing w:before="159" w:line="250" w:lineRule="auto"/>
        <w:ind w:right="81" w:firstLine="439"/>
        <w:jc w:val="both"/>
        <w:rPr>
          <w:rFonts w:ascii="宋体" w:eastAsia="宋体" w:hAnsi="宋体" w:cs="宋体"/>
          <w:sz w:val="22"/>
          <w:szCs w:val="22"/>
        </w:rPr>
      </w:pPr>
      <w:r>
        <w:rPr>
          <w:rFonts w:ascii="宋体" w:eastAsia="宋体" w:hAnsi="宋体" w:cs="宋体"/>
          <w:spacing w:val="-3"/>
          <w:sz w:val="22"/>
          <w:szCs w:val="22"/>
        </w:rPr>
        <w:t>(1)维生素A:</w:t>
      </w:r>
      <w:r>
        <w:rPr>
          <w:rFonts w:ascii="宋体" w:eastAsia="宋体" w:hAnsi="宋体" w:cs="宋体"/>
          <w:spacing w:val="38"/>
          <w:sz w:val="22"/>
          <w:szCs w:val="22"/>
        </w:rPr>
        <w:t xml:space="preserve"> </w:t>
      </w:r>
      <w:r>
        <w:rPr>
          <w:rFonts w:ascii="宋体" w:eastAsia="宋体" w:hAnsi="宋体" w:cs="宋体"/>
          <w:spacing w:val="-3"/>
          <w:sz w:val="22"/>
          <w:szCs w:val="22"/>
        </w:rPr>
        <w:t>缺乏维生素A</w:t>
      </w:r>
      <w:r>
        <w:rPr>
          <w:rFonts w:ascii="宋体" w:eastAsia="宋体" w:hAnsi="宋体" w:cs="宋体"/>
          <w:spacing w:val="2"/>
          <w:sz w:val="22"/>
          <w:szCs w:val="22"/>
        </w:rPr>
        <w:t xml:space="preserve"> </w:t>
      </w:r>
      <w:r>
        <w:rPr>
          <w:rFonts w:ascii="宋体" w:eastAsia="宋体" w:hAnsi="宋体" w:cs="宋体"/>
          <w:spacing w:val="-3"/>
          <w:sz w:val="22"/>
          <w:szCs w:val="22"/>
        </w:rPr>
        <w:t>的大鼠，饲以维生素A12h</w:t>
      </w:r>
      <w:r>
        <w:rPr>
          <w:rFonts w:ascii="宋体" w:eastAsia="宋体" w:hAnsi="宋体" w:cs="宋体"/>
          <w:spacing w:val="-28"/>
          <w:sz w:val="22"/>
          <w:szCs w:val="22"/>
        </w:rPr>
        <w:t xml:space="preserve"> </w:t>
      </w:r>
      <w:r>
        <w:rPr>
          <w:rFonts w:ascii="宋体" w:eastAsia="宋体" w:hAnsi="宋体" w:cs="宋体"/>
          <w:spacing w:val="-3"/>
          <w:sz w:val="22"/>
          <w:szCs w:val="22"/>
        </w:rPr>
        <w:t>后就能检测到聚腺</w:t>
      </w:r>
      <w:r>
        <w:rPr>
          <w:rFonts w:ascii="宋体" w:eastAsia="宋体" w:hAnsi="宋体" w:cs="宋体"/>
          <w:sz w:val="22"/>
          <w:szCs w:val="22"/>
        </w:rPr>
        <w:t xml:space="preserve"> </w:t>
      </w:r>
      <w:r>
        <w:rPr>
          <w:rFonts w:ascii="宋体" w:eastAsia="宋体" w:hAnsi="宋体" w:cs="宋体"/>
          <w:spacing w:val="-7"/>
          <w:sz w:val="22"/>
          <w:szCs w:val="22"/>
        </w:rPr>
        <w:t>苷酸mRNA</w:t>
      </w:r>
      <w:r>
        <w:rPr>
          <w:rFonts w:ascii="宋体" w:eastAsia="宋体" w:hAnsi="宋体" w:cs="宋体"/>
          <w:spacing w:val="21"/>
          <w:sz w:val="22"/>
          <w:szCs w:val="22"/>
        </w:rPr>
        <w:t xml:space="preserve">  </w:t>
      </w:r>
      <w:r>
        <w:rPr>
          <w:rFonts w:ascii="宋体" w:eastAsia="宋体" w:hAnsi="宋体" w:cs="宋体"/>
          <w:spacing w:val="-7"/>
          <w:sz w:val="22"/>
          <w:szCs w:val="22"/>
        </w:rPr>
        <w:t>的浓度增加，维生素A</w:t>
      </w:r>
      <w:r>
        <w:rPr>
          <w:rFonts w:ascii="宋体" w:eastAsia="宋体" w:hAnsi="宋体" w:cs="宋体"/>
          <w:spacing w:val="-9"/>
          <w:sz w:val="22"/>
          <w:szCs w:val="22"/>
        </w:rPr>
        <w:t xml:space="preserve"> </w:t>
      </w:r>
      <w:r>
        <w:rPr>
          <w:rFonts w:ascii="宋体" w:eastAsia="宋体" w:hAnsi="宋体" w:cs="宋体"/>
          <w:spacing w:val="-7"/>
          <w:sz w:val="22"/>
          <w:szCs w:val="22"/>
        </w:rPr>
        <w:t>视黄酶与细胞核的视黄</w:t>
      </w:r>
      <w:r>
        <w:rPr>
          <w:rFonts w:ascii="宋体" w:eastAsia="宋体" w:hAnsi="宋体" w:cs="宋体"/>
          <w:spacing w:val="-8"/>
          <w:sz w:val="22"/>
          <w:szCs w:val="22"/>
        </w:rPr>
        <w:t>酸受体结合可以调节</w:t>
      </w:r>
      <w:r>
        <w:rPr>
          <w:rFonts w:ascii="宋体" w:eastAsia="宋体" w:hAnsi="宋体" w:cs="宋体"/>
          <w:sz w:val="22"/>
          <w:szCs w:val="22"/>
        </w:rPr>
        <w:t xml:space="preserve"> </w:t>
      </w:r>
      <w:r>
        <w:rPr>
          <w:rFonts w:ascii="宋体" w:eastAsia="宋体" w:hAnsi="宋体" w:cs="宋体"/>
          <w:spacing w:val="-6"/>
          <w:sz w:val="22"/>
          <w:szCs w:val="22"/>
        </w:rPr>
        <w:t>特异基因的表达。视黄酸受体在结构上与固醇类激素受体</w:t>
      </w:r>
      <w:r>
        <w:rPr>
          <w:rFonts w:ascii="宋体" w:eastAsia="宋体" w:hAnsi="宋体" w:cs="宋体"/>
          <w:spacing w:val="-7"/>
          <w:sz w:val="22"/>
          <w:szCs w:val="22"/>
        </w:rPr>
        <w:t>和甲状腺激素受体相</w:t>
      </w:r>
      <w:r>
        <w:rPr>
          <w:rFonts w:ascii="宋体" w:eastAsia="宋体" w:hAnsi="宋体" w:cs="宋体"/>
          <w:sz w:val="22"/>
          <w:szCs w:val="22"/>
        </w:rPr>
        <w:t xml:space="preserve"> </w:t>
      </w:r>
      <w:r>
        <w:rPr>
          <w:rFonts w:ascii="宋体" w:eastAsia="宋体" w:hAnsi="宋体" w:cs="宋体"/>
          <w:spacing w:val="-10"/>
          <w:sz w:val="22"/>
          <w:szCs w:val="22"/>
        </w:rPr>
        <w:t>似，3种受体均是转录调节的配位激活因子。因此，生长激素基因上的甲状腺素</w:t>
      </w:r>
      <w:r>
        <w:rPr>
          <w:rFonts w:ascii="宋体" w:eastAsia="宋体" w:hAnsi="宋体" w:cs="宋体"/>
          <w:spacing w:val="18"/>
          <w:sz w:val="22"/>
          <w:szCs w:val="22"/>
        </w:rPr>
        <w:t xml:space="preserve"> </w:t>
      </w:r>
      <w:r>
        <w:rPr>
          <w:rFonts w:ascii="宋体" w:eastAsia="宋体" w:hAnsi="宋体" w:cs="宋体"/>
          <w:spacing w:val="-13"/>
          <w:sz w:val="22"/>
          <w:szCs w:val="22"/>
        </w:rPr>
        <w:t>调节区也是视黄酸受体的作用位点。用脂肪细胞体外培养研究发现，视黄酸和地</w:t>
      </w:r>
      <w:r>
        <w:rPr>
          <w:rFonts w:ascii="宋体" w:eastAsia="宋体" w:hAnsi="宋体" w:cs="宋体"/>
          <w:spacing w:val="12"/>
          <w:sz w:val="22"/>
          <w:szCs w:val="22"/>
        </w:rPr>
        <w:t xml:space="preserve"> </w:t>
      </w:r>
      <w:r>
        <w:rPr>
          <w:rFonts w:ascii="宋体" w:eastAsia="宋体" w:hAnsi="宋体" w:cs="宋体"/>
          <w:spacing w:val="-4"/>
          <w:sz w:val="22"/>
          <w:szCs w:val="22"/>
        </w:rPr>
        <w:t>塞米松(糖皮质激素)对S14</w:t>
      </w:r>
      <w:r>
        <w:rPr>
          <w:rFonts w:ascii="宋体" w:eastAsia="宋体" w:hAnsi="宋体" w:cs="宋体"/>
          <w:spacing w:val="-61"/>
          <w:sz w:val="22"/>
          <w:szCs w:val="22"/>
        </w:rPr>
        <w:t xml:space="preserve"> </w:t>
      </w:r>
      <w:r>
        <w:rPr>
          <w:rFonts w:ascii="宋体" w:eastAsia="宋体" w:hAnsi="宋体" w:cs="宋体"/>
          <w:spacing w:val="-4"/>
          <w:sz w:val="22"/>
          <w:szCs w:val="22"/>
        </w:rPr>
        <w:t>基因的表达均具有显著的促进作用，二者协同作</w:t>
      </w:r>
      <w:r>
        <w:rPr>
          <w:rFonts w:ascii="宋体" w:eastAsia="宋体" w:hAnsi="宋体" w:cs="宋体"/>
          <w:spacing w:val="-5"/>
          <w:sz w:val="22"/>
          <w:szCs w:val="22"/>
        </w:rPr>
        <w:t>用</w:t>
      </w:r>
      <w:r>
        <w:rPr>
          <w:rFonts w:ascii="宋体" w:eastAsia="宋体" w:hAnsi="宋体" w:cs="宋体"/>
          <w:sz w:val="22"/>
          <w:szCs w:val="22"/>
        </w:rPr>
        <w:t xml:space="preserve"> </w:t>
      </w:r>
      <w:r>
        <w:rPr>
          <w:rFonts w:ascii="宋体" w:eastAsia="宋体" w:hAnsi="宋体" w:cs="宋体"/>
          <w:spacing w:val="-6"/>
          <w:sz w:val="22"/>
          <w:szCs w:val="22"/>
        </w:rPr>
        <w:t>可提高S14</w:t>
      </w:r>
      <w:r>
        <w:rPr>
          <w:rFonts w:ascii="宋体" w:eastAsia="宋体" w:hAnsi="宋体" w:cs="宋体"/>
          <w:spacing w:val="28"/>
          <w:sz w:val="22"/>
          <w:szCs w:val="22"/>
        </w:rPr>
        <w:t xml:space="preserve">  </w:t>
      </w:r>
      <w:r>
        <w:rPr>
          <w:rFonts w:ascii="宋体" w:eastAsia="宋体" w:hAnsi="宋体" w:cs="宋体"/>
          <w:spacing w:val="-6"/>
          <w:sz w:val="22"/>
          <w:szCs w:val="22"/>
        </w:rPr>
        <w:t>mRNA</w:t>
      </w:r>
      <w:r>
        <w:rPr>
          <w:rFonts w:ascii="宋体" w:eastAsia="宋体" w:hAnsi="宋体" w:cs="宋体"/>
          <w:spacing w:val="-65"/>
          <w:sz w:val="22"/>
          <w:szCs w:val="22"/>
        </w:rPr>
        <w:t xml:space="preserve"> </w:t>
      </w:r>
      <w:r>
        <w:rPr>
          <w:rFonts w:ascii="宋体" w:eastAsia="宋体" w:hAnsi="宋体" w:cs="宋体"/>
          <w:spacing w:val="-6"/>
          <w:sz w:val="22"/>
          <w:szCs w:val="22"/>
        </w:rPr>
        <w:t>水平达200～300倍，协同作用发生在基因转录水平上。视黄</w:t>
      </w:r>
      <w:r>
        <w:rPr>
          <w:rFonts w:ascii="宋体" w:eastAsia="宋体" w:hAnsi="宋体" w:cs="宋体"/>
          <w:sz w:val="22"/>
          <w:szCs w:val="22"/>
        </w:rPr>
        <w:t xml:space="preserve"> 酸对脂肪酸合成酶和肌动蛋白基因表达没有影响，但</w:t>
      </w:r>
      <w:r>
        <w:rPr>
          <w:rFonts w:ascii="宋体" w:eastAsia="宋体" w:hAnsi="宋体" w:cs="宋体"/>
          <w:spacing w:val="-1"/>
          <w:sz w:val="22"/>
          <w:szCs w:val="22"/>
        </w:rPr>
        <w:t>可以使甘油磷酸脱氢酶</w:t>
      </w:r>
      <w:r>
        <w:rPr>
          <w:rFonts w:ascii="宋体" w:eastAsia="宋体" w:hAnsi="宋体" w:cs="宋体"/>
          <w:sz w:val="22"/>
          <w:szCs w:val="22"/>
        </w:rPr>
        <w:t xml:space="preserve"> </w:t>
      </w:r>
      <w:r>
        <w:rPr>
          <w:rFonts w:ascii="宋体" w:eastAsia="宋体" w:hAnsi="宋体" w:cs="宋体"/>
          <w:spacing w:val="-4"/>
          <w:sz w:val="22"/>
          <w:szCs w:val="22"/>
        </w:rPr>
        <w:t>mRNA</w:t>
      </w:r>
      <w:r>
        <w:rPr>
          <w:rFonts w:ascii="宋体" w:eastAsia="宋体" w:hAnsi="宋体" w:cs="宋体"/>
          <w:spacing w:val="16"/>
          <w:sz w:val="22"/>
          <w:szCs w:val="22"/>
        </w:rPr>
        <w:t xml:space="preserve">  </w:t>
      </w:r>
      <w:r>
        <w:rPr>
          <w:rFonts w:ascii="宋体" w:eastAsia="宋体" w:hAnsi="宋体" w:cs="宋体"/>
          <w:spacing w:val="-4"/>
          <w:sz w:val="22"/>
          <w:szCs w:val="22"/>
        </w:rPr>
        <w:t>水平降低75%。视黄酸可以促进肝脏、骨骼</w:t>
      </w:r>
      <w:r>
        <w:rPr>
          <w:rFonts w:ascii="宋体" w:eastAsia="宋体" w:hAnsi="宋体" w:cs="宋体"/>
          <w:spacing w:val="-5"/>
          <w:sz w:val="22"/>
          <w:szCs w:val="22"/>
        </w:rPr>
        <w:t>、肾脏和小肠碱性磷酸酶的</w:t>
      </w:r>
      <w:r>
        <w:rPr>
          <w:rFonts w:ascii="宋体" w:eastAsia="宋体" w:hAnsi="宋体" w:cs="宋体"/>
          <w:sz w:val="22"/>
          <w:szCs w:val="22"/>
        </w:rPr>
        <w:t xml:space="preserve"> </w:t>
      </w:r>
      <w:r>
        <w:rPr>
          <w:rFonts w:ascii="宋体" w:eastAsia="宋体" w:hAnsi="宋体" w:cs="宋体"/>
          <w:spacing w:val="-18"/>
          <w:sz w:val="22"/>
          <w:szCs w:val="22"/>
        </w:rPr>
        <w:t>表达。</w:t>
      </w:r>
    </w:p>
    <w:p w:rsidR="00EA40A3" w:rsidRDefault="00E86C16">
      <w:pPr>
        <w:spacing w:before="31" w:line="244" w:lineRule="auto"/>
        <w:ind w:right="99" w:firstLine="439"/>
        <w:jc w:val="both"/>
        <w:rPr>
          <w:rFonts w:ascii="宋体" w:eastAsia="宋体" w:hAnsi="宋体" w:cs="宋体"/>
          <w:sz w:val="22"/>
          <w:szCs w:val="22"/>
        </w:rPr>
      </w:pPr>
      <w:r>
        <w:rPr>
          <w:rFonts w:ascii="宋体" w:eastAsia="宋体" w:hAnsi="宋体" w:cs="宋体"/>
          <w:spacing w:val="-5"/>
          <w:sz w:val="22"/>
          <w:szCs w:val="22"/>
        </w:rPr>
        <w:t>(2)维生素D:</w:t>
      </w:r>
      <w:r>
        <w:rPr>
          <w:rFonts w:ascii="宋体" w:eastAsia="宋体" w:hAnsi="宋体" w:cs="宋体"/>
          <w:spacing w:val="24"/>
          <w:sz w:val="22"/>
          <w:szCs w:val="22"/>
        </w:rPr>
        <w:t xml:space="preserve"> </w:t>
      </w:r>
      <w:r>
        <w:rPr>
          <w:rFonts w:ascii="宋体" w:eastAsia="宋体" w:hAnsi="宋体" w:cs="宋体"/>
          <w:spacing w:val="-5"/>
          <w:sz w:val="22"/>
          <w:szCs w:val="22"/>
        </w:rPr>
        <w:t>维生素D</w:t>
      </w:r>
      <w:r>
        <w:rPr>
          <w:rFonts w:ascii="宋体" w:eastAsia="宋体" w:hAnsi="宋体" w:cs="宋体"/>
          <w:spacing w:val="-6"/>
          <w:sz w:val="22"/>
          <w:szCs w:val="22"/>
        </w:rPr>
        <w:t xml:space="preserve"> </w:t>
      </w:r>
      <w:r>
        <w:rPr>
          <w:rFonts w:ascii="宋体" w:eastAsia="宋体" w:hAnsi="宋体" w:cs="宋体"/>
          <w:spacing w:val="-5"/>
          <w:sz w:val="22"/>
          <w:szCs w:val="22"/>
        </w:rPr>
        <w:t>的主要生物活性形式是1,25-(OH)</w:t>
      </w:r>
      <w:r>
        <w:rPr>
          <w:rFonts w:ascii="Calibri" w:eastAsia="Calibri" w:hAnsi="Calibri" w:cs="Calibri"/>
          <w:spacing w:val="-5"/>
          <w:sz w:val="22"/>
          <w:szCs w:val="22"/>
        </w:rPr>
        <w:t>₂</w:t>
      </w:r>
      <w:r>
        <w:rPr>
          <w:rFonts w:ascii="宋体" w:eastAsia="宋体" w:hAnsi="宋体" w:cs="宋体"/>
          <w:spacing w:val="-5"/>
          <w:sz w:val="22"/>
          <w:szCs w:val="22"/>
        </w:rPr>
        <w:t>-D</w:t>
      </w:r>
      <w:r>
        <w:rPr>
          <w:rFonts w:ascii="宋体" w:eastAsia="宋体" w:hAnsi="宋体" w:cs="宋体"/>
          <w:spacing w:val="-6"/>
          <w:sz w:val="22"/>
          <w:szCs w:val="22"/>
        </w:rPr>
        <w:t>3,</w:t>
      </w:r>
      <w:r>
        <w:rPr>
          <w:rFonts w:ascii="宋体" w:eastAsia="宋体" w:hAnsi="宋体" w:cs="宋体"/>
          <w:spacing w:val="1"/>
          <w:sz w:val="22"/>
          <w:szCs w:val="22"/>
        </w:rPr>
        <w:t xml:space="preserve">  </w:t>
      </w:r>
      <w:r>
        <w:rPr>
          <w:rFonts w:ascii="宋体" w:eastAsia="宋体" w:hAnsi="宋体" w:cs="宋体"/>
          <w:spacing w:val="-6"/>
          <w:sz w:val="22"/>
          <w:szCs w:val="22"/>
        </w:rPr>
        <w:t>后者具有</w:t>
      </w:r>
      <w:r>
        <w:rPr>
          <w:rFonts w:ascii="宋体" w:eastAsia="宋体" w:hAnsi="宋体" w:cs="宋体"/>
          <w:spacing w:val="1"/>
          <w:sz w:val="22"/>
          <w:szCs w:val="22"/>
        </w:rPr>
        <w:t xml:space="preserve"> </w:t>
      </w:r>
      <w:r>
        <w:rPr>
          <w:rFonts w:ascii="宋体" w:eastAsia="宋体" w:hAnsi="宋体" w:cs="宋体"/>
          <w:spacing w:val="-13"/>
          <w:sz w:val="22"/>
          <w:szCs w:val="22"/>
        </w:rPr>
        <w:t>维持体内钙磷动态平衡，调节骨代谢和促进多种组织细胞生长、分化等多种生理</w:t>
      </w:r>
      <w:r>
        <w:rPr>
          <w:rFonts w:ascii="宋体" w:eastAsia="宋体" w:hAnsi="宋体" w:cs="宋体"/>
          <w:spacing w:val="11"/>
          <w:sz w:val="22"/>
          <w:szCs w:val="22"/>
        </w:rPr>
        <w:t xml:space="preserve"> </w:t>
      </w:r>
      <w:r>
        <w:rPr>
          <w:rFonts w:ascii="宋体" w:eastAsia="宋体" w:hAnsi="宋体" w:cs="宋体"/>
          <w:spacing w:val="-10"/>
          <w:sz w:val="22"/>
          <w:szCs w:val="22"/>
        </w:rPr>
        <w:t>功能。这些作用大部分是通过活化细胞核内受体，即维生素D</w:t>
      </w:r>
      <w:r>
        <w:rPr>
          <w:rFonts w:ascii="宋体" w:eastAsia="宋体" w:hAnsi="宋体" w:cs="宋体"/>
          <w:spacing w:val="-16"/>
          <w:sz w:val="22"/>
          <w:szCs w:val="22"/>
        </w:rPr>
        <w:t xml:space="preserve"> </w:t>
      </w:r>
      <w:r>
        <w:rPr>
          <w:rFonts w:ascii="宋体" w:eastAsia="宋体" w:hAnsi="宋体" w:cs="宋体"/>
          <w:spacing w:val="-10"/>
          <w:sz w:val="22"/>
          <w:szCs w:val="22"/>
        </w:rPr>
        <w:t>受体</w:t>
      </w:r>
      <w:r>
        <w:rPr>
          <w:rFonts w:ascii="宋体" w:eastAsia="宋体" w:hAnsi="宋体" w:cs="宋体"/>
          <w:spacing w:val="2"/>
          <w:sz w:val="22"/>
          <w:szCs w:val="22"/>
        </w:rPr>
        <w:t xml:space="preserve"> </w:t>
      </w:r>
      <w:r>
        <w:rPr>
          <w:rFonts w:ascii="宋体" w:eastAsia="宋体" w:hAnsi="宋体" w:cs="宋体"/>
          <w:spacing w:val="-10"/>
          <w:sz w:val="22"/>
          <w:szCs w:val="22"/>
        </w:rPr>
        <w:t>(VDR)</w:t>
      </w:r>
      <w:r>
        <w:rPr>
          <w:rFonts w:ascii="宋体" w:eastAsia="宋体" w:hAnsi="宋体" w:cs="宋体"/>
          <w:spacing w:val="-11"/>
          <w:sz w:val="22"/>
          <w:szCs w:val="22"/>
        </w:rPr>
        <w:t>,</w:t>
      </w:r>
      <w:r>
        <w:rPr>
          <w:rFonts w:ascii="宋体" w:eastAsia="宋体" w:hAnsi="宋体" w:cs="宋体"/>
          <w:spacing w:val="14"/>
          <w:sz w:val="22"/>
          <w:szCs w:val="22"/>
        </w:rPr>
        <w:t xml:space="preserve">  </w:t>
      </w:r>
      <w:r>
        <w:rPr>
          <w:rFonts w:ascii="宋体" w:eastAsia="宋体" w:hAnsi="宋体" w:cs="宋体"/>
          <w:spacing w:val="-11"/>
          <w:sz w:val="22"/>
          <w:szCs w:val="22"/>
        </w:rPr>
        <w:t>进</w:t>
      </w:r>
      <w:r>
        <w:rPr>
          <w:rFonts w:ascii="宋体" w:eastAsia="宋体" w:hAnsi="宋体" w:cs="宋体"/>
          <w:sz w:val="22"/>
          <w:szCs w:val="22"/>
        </w:rPr>
        <w:t xml:space="preserve"> </w:t>
      </w:r>
      <w:r>
        <w:rPr>
          <w:rFonts w:ascii="宋体" w:eastAsia="宋体" w:hAnsi="宋体" w:cs="宋体"/>
          <w:spacing w:val="-12"/>
          <w:sz w:val="22"/>
          <w:szCs w:val="22"/>
        </w:rPr>
        <w:t>而调节VDR.</w:t>
      </w:r>
      <w:r>
        <w:rPr>
          <w:rFonts w:ascii="宋体" w:eastAsia="宋体" w:hAnsi="宋体" w:cs="宋体"/>
          <w:spacing w:val="-3"/>
          <w:sz w:val="22"/>
          <w:szCs w:val="22"/>
        </w:rPr>
        <w:t xml:space="preserve"> </w:t>
      </w:r>
      <w:r>
        <w:rPr>
          <w:rFonts w:ascii="宋体" w:eastAsia="宋体" w:hAnsi="宋体" w:cs="宋体"/>
          <w:spacing w:val="-12"/>
          <w:sz w:val="22"/>
          <w:szCs w:val="22"/>
        </w:rPr>
        <w:t>靶基因的转录水平来实现的。</w:t>
      </w:r>
    </w:p>
    <w:p w:rsidR="00EA40A3" w:rsidRDefault="00E86C16">
      <w:pPr>
        <w:spacing w:before="38" w:line="244" w:lineRule="auto"/>
        <w:ind w:right="96" w:firstLine="439"/>
        <w:jc w:val="both"/>
        <w:rPr>
          <w:rFonts w:ascii="宋体" w:eastAsia="宋体" w:hAnsi="宋体" w:cs="宋体"/>
          <w:sz w:val="22"/>
          <w:szCs w:val="22"/>
        </w:rPr>
      </w:pPr>
      <w:r>
        <w:rPr>
          <w:rFonts w:ascii="宋体" w:eastAsia="宋体" w:hAnsi="宋体" w:cs="宋体"/>
          <w:spacing w:val="-8"/>
          <w:sz w:val="22"/>
          <w:szCs w:val="22"/>
        </w:rPr>
        <w:t>(3)维生素E:</w:t>
      </w:r>
      <w:r>
        <w:rPr>
          <w:rFonts w:ascii="宋体" w:eastAsia="宋体" w:hAnsi="宋体" w:cs="宋体"/>
          <w:spacing w:val="40"/>
          <w:sz w:val="22"/>
          <w:szCs w:val="22"/>
        </w:rPr>
        <w:t xml:space="preserve"> </w:t>
      </w:r>
      <w:r>
        <w:rPr>
          <w:rFonts w:ascii="宋体" w:eastAsia="宋体" w:hAnsi="宋体" w:cs="宋体"/>
          <w:spacing w:val="-8"/>
          <w:sz w:val="22"/>
          <w:szCs w:val="22"/>
        </w:rPr>
        <w:t>是动物必须从食物中摄取的微量营养素之一，具有重要的生</w:t>
      </w:r>
      <w:r>
        <w:rPr>
          <w:rFonts w:ascii="宋体" w:eastAsia="宋体" w:hAnsi="宋体" w:cs="宋体"/>
          <w:sz w:val="22"/>
          <w:szCs w:val="22"/>
        </w:rPr>
        <w:t xml:space="preserve"> </w:t>
      </w:r>
      <w:r>
        <w:rPr>
          <w:rFonts w:ascii="宋体" w:eastAsia="宋体" w:hAnsi="宋体" w:cs="宋体"/>
          <w:spacing w:val="-15"/>
          <w:sz w:val="22"/>
          <w:szCs w:val="22"/>
        </w:rPr>
        <w:t>物学功能。维生素E 缺乏会使过氧化物基因的表达上调。此外</w:t>
      </w:r>
      <w:r>
        <w:rPr>
          <w:rFonts w:ascii="宋体" w:eastAsia="宋体" w:hAnsi="宋体" w:cs="宋体"/>
          <w:spacing w:val="-16"/>
          <w:sz w:val="22"/>
          <w:szCs w:val="22"/>
        </w:rPr>
        <w:t>，α-生育酚能抑制</w:t>
      </w:r>
      <w:r>
        <w:rPr>
          <w:rFonts w:ascii="宋体" w:eastAsia="宋体" w:hAnsi="宋体" w:cs="宋体"/>
          <w:sz w:val="22"/>
          <w:szCs w:val="22"/>
        </w:rPr>
        <w:t xml:space="preserve"> </w:t>
      </w:r>
      <w:r>
        <w:rPr>
          <w:rFonts w:ascii="宋体" w:eastAsia="宋体" w:hAnsi="宋体" w:cs="宋体"/>
          <w:spacing w:val="-4"/>
          <w:sz w:val="22"/>
          <w:szCs w:val="22"/>
        </w:rPr>
        <w:t>CD36</w:t>
      </w:r>
      <w:r>
        <w:rPr>
          <w:rFonts w:ascii="宋体" w:eastAsia="宋体" w:hAnsi="宋体" w:cs="宋体"/>
          <w:spacing w:val="3"/>
          <w:sz w:val="22"/>
          <w:szCs w:val="22"/>
        </w:rPr>
        <w:t xml:space="preserve"> </w:t>
      </w:r>
      <w:r>
        <w:rPr>
          <w:rFonts w:ascii="宋体" w:eastAsia="宋体" w:hAnsi="宋体" w:cs="宋体"/>
          <w:spacing w:val="-4"/>
          <w:sz w:val="22"/>
          <w:szCs w:val="22"/>
        </w:rPr>
        <w:t>基因mRNA</w:t>
      </w:r>
      <w:r>
        <w:rPr>
          <w:rFonts w:ascii="宋体" w:eastAsia="宋体" w:hAnsi="宋体" w:cs="宋体"/>
          <w:spacing w:val="16"/>
          <w:sz w:val="22"/>
          <w:szCs w:val="22"/>
        </w:rPr>
        <w:t xml:space="preserve">  </w:t>
      </w:r>
      <w:r>
        <w:rPr>
          <w:rFonts w:ascii="宋体" w:eastAsia="宋体" w:hAnsi="宋体" w:cs="宋体"/>
          <w:spacing w:val="-4"/>
          <w:sz w:val="22"/>
          <w:szCs w:val="22"/>
        </w:rPr>
        <w:t>和蛋白质的表达，降低动脉平滑肌脂蛋白氧化，减少泡状细</w:t>
      </w:r>
      <w:r>
        <w:rPr>
          <w:rFonts w:ascii="宋体" w:eastAsia="宋体" w:hAnsi="宋体" w:cs="宋体"/>
          <w:spacing w:val="1"/>
          <w:sz w:val="22"/>
          <w:szCs w:val="22"/>
        </w:rPr>
        <w:t xml:space="preserve"> </w:t>
      </w:r>
      <w:r>
        <w:rPr>
          <w:rFonts w:ascii="宋体" w:eastAsia="宋体" w:hAnsi="宋体" w:cs="宋体"/>
          <w:spacing w:val="-14"/>
          <w:sz w:val="22"/>
          <w:szCs w:val="22"/>
        </w:rPr>
        <w:t>胞形成，具有抗动脉硬化作用。</w:t>
      </w:r>
    </w:p>
    <w:p w:rsidR="00EA40A3" w:rsidRDefault="00E86C16">
      <w:pPr>
        <w:spacing w:before="40" w:line="244" w:lineRule="auto"/>
        <w:ind w:right="51" w:firstLine="439"/>
        <w:jc w:val="both"/>
        <w:rPr>
          <w:rFonts w:ascii="宋体" w:eastAsia="宋体" w:hAnsi="宋体" w:cs="宋体"/>
          <w:sz w:val="22"/>
          <w:szCs w:val="22"/>
        </w:rPr>
      </w:pPr>
      <w:r>
        <w:rPr>
          <w:rFonts w:ascii="宋体" w:eastAsia="宋体" w:hAnsi="宋体" w:cs="宋体"/>
          <w:spacing w:val="1"/>
          <w:sz w:val="22"/>
          <w:szCs w:val="22"/>
        </w:rPr>
        <w:t>(4)维生素C:</w:t>
      </w:r>
      <w:r>
        <w:rPr>
          <w:rFonts w:ascii="宋体" w:eastAsia="宋体" w:hAnsi="宋体" w:cs="宋体"/>
          <w:spacing w:val="36"/>
          <w:sz w:val="22"/>
          <w:szCs w:val="22"/>
        </w:rPr>
        <w:t xml:space="preserve"> </w:t>
      </w:r>
      <w:r>
        <w:rPr>
          <w:rFonts w:ascii="宋体" w:eastAsia="宋体" w:hAnsi="宋体" w:cs="宋体"/>
          <w:spacing w:val="1"/>
          <w:sz w:val="22"/>
          <w:szCs w:val="22"/>
        </w:rPr>
        <w:t>缺乏维生素C</w:t>
      </w:r>
      <w:r>
        <w:rPr>
          <w:rFonts w:ascii="宋体" w:eastAsia="宋体" w:hAnsi="宋体" w:cs="宋体"/>
          <w:spacing w:val="-23"/>
          <w:sz w:val="22"/>
          <w:szCs w:val="22"/>
        </w:rPr>
        <w:t xml:space="preserve"> </w:t>
      </w:r>
      <w:r>
        <w:rPr>
          <w:rFonts w:ascii="宋体" w:eastAsia="宋体" w:hAnsi="宋体" w:cs="宋体"/>
          <w:spacing w:val="1"/>
          <w:sz w:val="22"/>
          <w:szCs w:val="22"/>
        </w:rPr>
        <w:t>时载脂蛋白A-I基因表达降低，载脂蛋白A</w:t>
      </w:r>
      <w:r>
        <w:rPr>
          <w:rFonts w:ascii="宋体" w:eastAsia="宋体" w:hAnsi="宋体" w:cs="宋体"/>
          <w:sz w:val="22"/>
          <w:szCs w:val="22"/>
        </w:rPr>
        <w:t xml:space="preserve">-I </w:t>
      </w:r>
      <w:r>
        <w:rPr>
          <w:rFonts w:ascii="宋体" w:eastAsia="宋体" w:hAnsi="宋体" w:cs="宋体"/>
          <w:spacing w:val="5"/>
          <w:sz w:val="22"/>
          <w:szCs w:val="22"/>
        </w:rPr>
        <w:t>浓度降低。维生素</w:t>
      </w:r>
      <w:r>
        <w:rPr>
          <w:rFonts w:ascii="宋体" w:eastAsia="宋体" w:hAnsi="宋体" w:cs="宋体"/>
          <w:spacing w:val="-53"/>
          <w:sz w:val="22"/>
          <w:szCs w:val="22"/>
        </w:rPr>
        <w:t xml:space="preserve"> </w:t>
      </w:r>
      <w:r>
        <w:rPr>
          <w:rFonts w:ascii="宋体" w:eastAsia="宋体" w:hAnsi="宋体" w:cs="宋体"/>
          <w:spacing w:val="5"/>
          <w:sz w:val="22"/>
          <w:szCs w:val="22"/>
        </w:rPr>
        <w:t>C</w:t>
      </w:r>
      <w:r>
        <w:rPr>
          <w:rFonts w:ascii="宋体" w:eastAsia="宋体" w:hAnsi="宋体" w:cs="宋体"/>
          <w:spacing w:val="7"/>
          <w:sz w:val="22"/>
          <w:szCs w:val="22"/>
        </w:rPr>
        <w:t xml:space="preserve"> </w:t>
      </w:r>
      <w:r>
        <w:rPr>
          <w:rFonts w:ascii="宋体" w:eastAsia="宋体" w:hAnsi="宋体" w:cs="宋体"/>
          <w:spacing w:val="5"/>
          <w:sz w:val="22"/>
          <w:szCs w:val="22"/>
        </w:rPr>
        <w:t>缺乏组肝脏中载脂蛋白A-</w:t>
      </w:r>
      <w:r>
        <w:rPr>
          <w:rFonts w:ascii="宋体" w:eastAsia="宋体" w:hAnsi="宋体" w:cs="宋体"/>
          <w:sz w:val="22"/>
          <w:szCs w:val="22"/>
        </w:rPr>
        <w:t>I</w:t>
      </w:r>
      <w:r>
        <w:rPr>
          <w:rFonts w:ascii="宋体" w:eastAsia="宋体" w:hAnsi="宋体" w:cs="宋体"/>
          <w:spacing w:val="39"/>
          <w:sz w:val="22"/>
          <w:szCs w:val="22"/>
        </w:rPr>
        <w:t xml:space="preserve">  </w:t>
      </w:r>
      <w:r>
        <w:rPr>
          <w:rFonts w:ascii="宋体" w:eastAsia="宋体" w:hAnsi="宋体" w:cs="宋体"/>
          <w:sz w:val="22"/>
          <w:szCs w:val="22"/>
        </w:rPr>
        <w:t>mRNA</w:t>
      </w:r>
      <w:r>
        <w:rPr>
          <w:rFonts w:ascii="宋体" w:eastAsia="宋体" w:hAnsi="宋体" w:cs="宋体"/>
          <w:spacing w:val="-64"/>
          <w:sz w:val="22"/>
          <w:szCs w:val="22"/>
        </w:rPr>
        <w:t xml:space="preserve"> </w:t>
      </w:r>
      <w:r>
        <w:rPr>
          <w:rFonts w:ascii="宋体" w:eastAsia="宋体" w:hAnsi="宋体" w:cs="宋体"/>
          <w:spacing w:val="5"/>
          <w:sz w:val="22"/>
          <w:szCs w:val="22"/>
        </w:rPr>
        <w:t>水平比正常组降低</w:t>
      </w:r>
      <w:r>
        <w:rPr>
          <w:rFonts w:ascii="宋体" w:eastAsia="宋体" w:hAnsi="宋体" w:cs="宋体"/>
          <w:sz w:val="22"/>
          <w:szCs w:val="22"/>
        </w:rPr>
        <w:t xml:space="preserve"> </w:t>
      </w:r>
      <w:r>
        <w:rPr>
          <w:rFonts w:ascii="宋体" w:eastAsia="宋体" w:hAnsi="宋体" w:cs="宋体"/>
          <w:spacing w:val="-2"/>
          <w:sz w:val="22"/>
          <w:szCs w:val="22"/>
        </w:rPr>
        <w:t>40%,其转录速率却没有明显改变，维生素C</w:t>
      </w:r>
      <w:r>
        <w:rPr>
          <w:rFonts w:ascii="宋体" w:eastAsia="宋体" w:hAnsi="宋体" w:cs="宋体"/>
          <w:spacing w:val="-9"/>
          <w:sz w:val="22"/>
          <w:szCs w:val="22"/>
        </w:rPr>
        <w:t xml:space="preserve"> </w:t>
      </w:r>
      <w:r>
        <w:rPr>
          <w:rFonts w:ascii="宋体" w:eastAsia="宋体" w:hAnsi="宋体" w:cs="宋体"/>
          <w:spacing w:val="-2"/>
          <w:sz w:val="22"/>
          <w:szCs w:val="22"/>
        </w:rPr>
        <w:t>是在转录后阶段影响载脂蛋白A-I</w:t>
      </w:r>
      <w:r>
        <w:rPr>
          <w:rFonts w:ascii="宋体" w:eastAsia="宋体" w:hAnsi="宋体" w:cs="宋体"/>
          <w:sz w:val="22"/>
          <w:szCs w:val="22"/>
        </w:rPr>
        <w:t xml:space="preserve"> </w:t>
      </w:r>
      <w:r>
        <w:rPr>
          <w:rFonts w:ascii="宋体" w:eastAsia="宋体" w:hAnsi="宋体" w:cs="宋体"/>
          <w:spacing w:val="-19"/>
          <w:sz w:val="22"/>
          <w:szCs w:val="22"/>
        </w:rPr>
        <w:t>基因表达的。</w:t>
      </w:r>
    </w:p>
    <w:p w:rsidR="00EA40A3" w:rsidRDefault="00E86C16">
      <w:pPr>
        <w:spacing w:before="35" w:line="241" w:lineRule="auto"/>
        <w:ind w:right="80" w:firstLine="439"/>
        <w:jc w:val="both"/>
        <w:rPr>
          <w:rFonts w:ascii="宋体" w:eastAsia="宋体" w:hAnsi="宋体" w:cs="宋体"/>
          <w:sz w:val="22"/>
          <w:szCs w:val="22"/>
        </w:rPr>
      </w:pPr>
      <w:r>
        <w:rPr>
          <w:rFonts w:ascii="宋体" w:eastAsia="宋体" w:hAnsi="宋体" w:cs="宋体"/>
          <w:spacing w:val="-9"/>
          <w:sz w:val="22"/>
          <w:szCs w:val="22"/>
        </w:rPr>
        <w:t>(5)生物素：也对基因表达有一定调控作用。当大鼠生物素缺乏</w:t>
      </w:r>
      <w:r>
        <w:rPr>
          <w:rFonts w:ascii="宋体" w:eastAsia="宋体" w:hAnsi="宋体" w:cs="宋体"/>
          <w:spacing w:val="-10"/>
          <w:sz w:val="22"/>
          <w:szCs w:val="22"/>
        </w:rPr>
        <w:t>时鸟氨酸转</w:t>
      </w:r>
      <w:r>
        <w:rPr>
          <w:rFonts w:ascii="宋体" w:eastAsia="宋体" w:hAnsi="宋体" w:cs="宋体"/>
          <w:sz w:val="22"/>
          <w:szCs w:val="22"/>
        </w:rPr>
        <w:t xml:space="preserve"> </w:t>
      </w:r>
      <w:r>
        <w:rPr>
          <w:rFonts w:ascii="宋体" w:eastAsia="宋体" w:hAnsi="宋体" w:cs="宋体"/>
          <w:spacing w:val="-8"/>
          <w:sz w:val="22"/>
          <w:szCs w:val="22"/>
        </w:rPr>
        <w:t>氨甲酰酶</w:t>
      </w:r>
      <w:r>
        <w:rPr>
          <w:rFonts w:ascii="宋体" w:eastAsia="宋体" w:hAnsi="宋体" w:cs="宋体"/>
          <w:spacing w:val="3"/>
          <w:sz w:val="22"/>
          <w:szCs w:val="22"/>
        </w:rPr>
        <w:t xml:space="preserve"> </w:t>
      </w:r>
      <w:r>
        <w:rPr>
          <w:rFonts w:ascii="宋体" w:eastAsia="宋体" w:hAnsi="宋体" w:cs="宋体"/>
          <w:spacing w:val="-8"/>
          <w:sz w:val="22"/>
          <w:szCs w:val="22"/>
        </w:rPr>
        <w:t>(OTC)</w:t>
      </w:r>
      <w:r>
        <w:rPr>
          <w:rFonts w:ascii="宋体" w:eastAsia="宋体" w:hAnsi="宋体" w:cs="宋体"/>
          <w:spacing w:val="3"/>
          <w:sz w:val="22"/>
          <w:szCs w:val="22"/>
        </w:rPr>
        <w:t xml:space="preserve">  </w:t>
      </w:r>
      <w:r>
        <w:rPr>
          <w:rFonts w:ascii="宋体" w:eastAsia="宋体" w:hAnsi="宋体" w:cs="宋体"/>
          <w:spacing w:val="-8"/>
          <w:sz w:val="22"/>
          <w:szCs w:val="22"/>
        </w:rPr>
        <w:t>活性明显低于生物素充分时，而且前者肝脏中的OTC</w:t>
      </w:r>
      <w:r>
        <w:rPr>
          <w:rFonts w:ascii="宋体" w:eastAsia="宋体" w:hAnsi="宋体" w:cs="宋体"/>
          <w:spacing w:val="69"/>
          <w:sz w:val="22"/>
          <w:szCs w:val="22"/>
        </w:rPr>
        <w:t xml:space="preserve"> </w:t>
      </w:r>
      <w:r>
        <w:rPr>
          <w:rFonts w:ascii="宋体" w:eastAsia="宋体" w:hAnsi="宋体" w:cs="宋体"/>
          <w:spacing w:val="-8"/>
          <w:sz w:val="22"/>
          <w:szCs w:val="22"/>
        </w:rPr>
        <w:t>基因表</w:t>
      </w:r>
      <w:r>
        <w:rPr>
          <w:rFonts w:ascii="宋体" w:eastAsia="宋体" w:hAnsi="宋体" w:cs="宋体"/>
          <w:sz w:val="22"/>
          <w:szCs w:val="22"/>
        </w:rPr>
        <w:t xml:space="preserve"> </w:t>
      </w:r>
      <w:r>
        <w:rPr>
          <w:rFonts w:ascii="宋体" w:eastAsia="宋体" w:hAnsi="宋体" w:cs="宋体"/>
          <w:spacing w:val="-6"/>
          <w:sz w:val="22"/>
          <w:szCs w:val="22"/>
        </w:rPr>
        <w:t>达比后者低。这一作用可能是OTCmRNA</w:t>
      </w:r>
      <w:r>
        <w:rPr>
          <w:rFonts w:ascii="宋体" w:eastAsia="宋体" w:hAnsi="宋体" w:cs="宋体"/>
          <w:spacing w:val="38"/>
          <w:sz w:val="22"/>
          <w:szCs w:val="22"/>
        </w:rPr>
        <w:t xml:space="preserve">   </w:t>
      </w:r>
      <w:r>
        <w:rPr>
          <w:rFonts w:ascii="宋体" w:eastAsia="宋体" w:hAnsi="宋体" w:cs="宋体"/>
          <w:spacing w:val="-6"/>
          <w:sz w:val="22"/>
          <w:szCs w:val="22"/>
        </w:rPr>
        <w:t>转录水平降低或OTCmRNA</w:t>
      </w:r>
      <w:r>
        <w:rPr>
          <w:rFonts w:ascii="宋体" w:eastAsia="宋体" w:hAnsi="宋体" w:cs="宋体"/>
          <w:spacing w:val="33"/>
          <w:sz w:val="22"/>
          <w:szCs w:val="22"/>
        </w:rPr>
        <w:t xml:space="preserve">   </w:t>
      </w:r>
      <w:r>
        <w:rPr>
          <w:rFonts w:ascii="宋体" w:eastAsia="宋体" w:hAnsi="宋体" w:cs="宋体"/>
          <w:spacing w:val="-6"/>
          <w:sz w:val="22"/>
          <w:szCs w:val="22"/>
        </w:rPr>
        <w:t>稳定性</w:t>
      </w:r>
    </w:p>
    <w:p w:rsidR="00EA40A3" w:rsidRDefault="00E86C16">
      <w:pPr>
        <w:spacing w:before="189" w:line="219" w:lineRule="auto"/>
        <w:rPr>
          <w:rFonts w:ascii="宋体" w:eastAsia="宋体" w:hAnsi="宋体" w:cs="宋体"/>
          <w:sz w:val="22"/>
          <w:szCs w:val="22"/>
        </w:rPr>
      </w:pPr>
      <w:r>
        <w:rPr>
          <w:rFonts w:ascii="宋体" w:eastAsia="宋体" w:hAnsi="宋体" w:cs="宋体"/>
          <w:spacing w:val="-19"/>
          <w:sz w:val="22"/>
          <w:szCs w:val="22"/>
        </w:rPr>
        <w:t>的降低所致。</w:t>
      </w:r>
    </w:p>
    <w:p w:rsidR="00EA40A3" w:rsidRDefault="00E86C16">
      <w:pPr>
        <w:spacing w:before="194" w:line="221" w:lineRule="auto"/>
        <w:ind w:left="3"/>
        <w:outlineLvl w:val="6"/>
        <w:rPr>
          <w:rFonts w:ascii="黑体" w:eastAsia="黑体" w:hAnsi="黑体" w:cs="黑体"/>
          <w:sz w:val="22"/>
          <w:szCs w:val="22"/>
        </w:rPr>
      </w:pPr>
      <w:r>
        <w:rPr>
          <w:rFonts w:ascii="黑体" w:eastAsia="黑体" w:hAnsi="黑体" w:cs="黑体"/>
          <w:b/>
          <w:bCs/>
          <w:spacing w:val="11"/>
          <w:sz w:val="22"/>
          <w:szCs w:val="22"/>
        </w:rPr>
        <w:t>11.8.3</w:t>
      </w:r>
      <w:r>
        <w:rPr>
          <w:rFonts w:ascii="黑体" w:eastAsia="黑体" w:hAnsi="黑体" w:cs="黑体"/>
          <w:spacing w:val="54"/>
          <w:sz w:val="22"/>
          <w:szCs w:val="22"/>
        </w:rPr>
        <w:t xml:space="preserve">  </w:t>
      </w:r>
      <w:r>
        <w:rPr>
          <w:rFonts w:ascii="黑体" w:eastAsia="黑体" w:hAnsi="黑体" w:cs="黑体"/>
          <w:b/>
          <w:bCs/>
          <w:spacing w:val="11"/>
          <w:sz w:val="22"/>
          <w:szCs w:val="22"/>
        </w:rPr>
        <w:t>基因多态性对营养素吸收、代谢和</w:t>
      </w:r>
      <w:r>
        <w:rPr>
          <w:rFonts w:ascii="黑体" w:eastAsia="黑体" w:hAnsi="黑体" w:cs="黑体"/>
          <w:b/>
          <w:bCs/>
          <w:spacing w:val="10"/>
          <w:sz w:val="22"/>
          <w:szCs w:val="22"/>
        </w:rPr>
        <w:t>利用的影响</w:t>
      </w:r>
    </w:p>
    <w:p w:rsidR="00EA40A3" w:rsidRDefault="00E86C16">
      <w:pPr>
        <w:spacing w:before="202" w:line="246" w:lineRule="auto"/>
        <w:ind w:firstLine="439"/>
        <w:jc w:val="both"/>
        <w:rPr>
          <w:rFonts w:ascii="宋体" w:eastAsia="宋体" w:hAnsi="宋体" w:cs="宋体"/>
          <w:sz w:val="22"/>
          <w:szCs w:val="22"/>
        </w:rPr>
      </w:pPr>
      <w:r>
        <w:rPr>
          <w:rFonts w:ascii="宋体" w:eastAsia="宋体" w:hAnsi="宋体" w:cs="宋体"/>
          <w:spacing w:val="-3"/>
          <w:sz w:val="22"/>
          <w:szCs w:val="22"/>
        </w:rPr>
        <w:t>在不同种类的生物体内DNA</w:t>
      </w:r>
      <w:r>
        <w:rPr>
          <w:rFonts w:ascii="宋体" w:eastAsia="宋体" w:hAnsi="宋体" w:cs="宋体"/>
          <w:spacing w:val="94"/>
          <w:sz w:val="22"/>
          <w:szCs w:val="22"/>
        </w:rPr>
        <w:t xml:space="preserve"> </w:t>
      </w:r>
      <w:r>
        <w:rPr>
          <w:rFonts w:ascii="宋体" w:eastAsia="宋体" w:hAnsi="宋体" w:cs="宋体"/>
          <w:spacing w:val="-3"/>
          <w:sz w:val="22"/>
          <w:szCs w:val="22"/>
        </w:rPr>
        <w:t>结构存在很大差异，而同种生物不同个体之</w:t>
      </w:r>
      <w:r>
        <w:rPr>
          <w:rFonts w:ascii="宋体" w:eastAsia="宋体" w:hAnsi="宋体" w:cs="宋体"/>
          <w:sz w:val="22"/>
          <w:szCs w:val="22"/>
        </w:rPr>
        <w:t xml:space="preserve">  </w:t>
      </w:r>
      <w:r>
        <w:rPr>
          <w:rFonts w:ascii="宋体" w:eastAsia="宋体" w:hAnsi="宋体" w:cs="宋体"/>
          <w:spacing w:val="-13"/>
          <w:sz w:val="22"/>
          <w:szCs w:val="22"/>
        </w:rPr>
        <w:t>间，DNA</w:t>
      </w:r>
      <w:r>
        <w:rPr>
          <w:rFonts w:ascii="宋体" w:eastAsia="宋体" w:hAnsi="宋体" w:cs="宋体"/>
          <w:spacing w:val="84"/>
          <w:sz w:val="22"/>
          <w:szCs w:val="22"/>
        </w:rPr>
        <w:t xml:space="preserve"> </w:t>
      </w:r>
      <w:r>
        <w:rPr>
          <w:rFonts w:ascii="宋体" w:eastAsia="宋体" w:hAnsi="宋体" w:cs="宋体"/>
          <w:spacing w:val="-13"/>
          <w:sz w:val="22"/>
          <w:szCs w:val="22"/>
        </w:rPr>
        <w:t>结构虽然具有很大的同源性，但也存在</w:t>
      </w:r>
      <w:r>
        <w:rPr>
          <w:rFonts w:ascii="宋体" w:eastAsia="宋体" w:hAnsi="宋体" w:cs="宋体"/>
          <w:spacing w:val="-14"/>
          <w:sz w:val="22"/>
          <w:szCs w:val="22"/>
        </w:rPr>
        <w:t>差异。</w:t>
      </w:r>
      <w:r>
        <w:rPr>
          <w:rFonts w:ascii="宋体" w:eastAsia="宋体" w:hAnsi="宋体" w:cs="宋体"/>
          <w:spacing w:val="-20"/>
          <w:sz w:val="22"/>
          <w:szCs w:val="22"/>
        </w:rPr>
        <w:t xml:space="preserve"> </w:t>
      </w:r>
      <w:r>
        <w:rPr>
          <w:rFonts w:ascii="宋体" w:eastAsia="宋体" w:hAnsi="宋体" w:cs="宋体"/>
          <w:spacing w:val="-13"/>
          <w:sz w:val="22"/>
          <w:szCs w:val="22"/>
        </w:rPr>
        <w:t>DNA</w:t>
      </w:r>
      <w:r>
        <w:rPr>
          <w:rFonts w:ascii="宋体" w:eastAsia="宋体" w:hAnsi="宋体" w:cs="宋体"/>
          <w:spacing w:val="84"/>
          <w:sz w:val="22"/>
          <w:szCs w:val="22"/>
        </w:rPr>
        <w:t xml:space="preserve"> </w:t>
      </w:r>
      <w:r>
        <w:rPr>
          <w:rFonts w:ascii="宋体" w:eastAsia="宋体" w:hAnsi="宋体" w:cs="宋体"/>
          <w:spacing w:val="-14"/>
          <w:sz w:val="22"/>
          <w:szCs w:val="22"/>
        </w:rPr>
        <w:t>结构的差异实质是</w:t>
      </w:r>
      <w:r>
        <w:rPr>
          <w:rFonts w:ascii="宋体" w:eastAsia="宋体" w:hAnsi="宋体" w:cs="宋体"/>
          <w:sz w:val="22"/>
          <w:szCs w:val="22"/>
        </w:rPr>
        <w:t xml:space="preserve">  </w:t>
      </w:r>
      <w:r>
        <w:rPr>
          <w:rFonts w:ascii="宋体" w:eastAsia="宋体" w:hAnsi="宋体" w:cs="宋体"/>
          <w:spacing w:val="-8"/>
          <w:sz w:val="22"/>
          <w:szCs w:val="22"/>
        </w:rPr>
        <w:t>DNA</w:t>
      </w:r>
      <w:r>
        <w:rPr>
          <w:rFonts w:ascii="宋体" w:eastAsia="宋体" w:hAnsi="宋体" w:cs="宋体"/>
          <w:spacing w:val="64"/>
          <w:sz w:val="22"/>
          <w:szCs w:val="22"/>
        </w:rPr>
        <w:t xml:space="preserve"> </w:t>
      </w:r>
      <w:r>
        <w:rPr>
          <w:rFonts w:ascii="宋体" w:eastAsia="宋体" w:hAnsi="宋体" w:cs="宋体"/>
          <w:spacing w:val="-8"/>
          <w:sz w:val="22"/>
          <w:szCs w:val="22"/>
        </w:rPr>
        <w:t>序列的某些碱基发生了突变，但由于突变多数发生在非基因序列</w:t>
      </w:r>
      <w:r>
        <w:rPr>
          <w:rFonts w:ascii="宋体" w:eastAsia="宋体" w:hAnsi="宋体" w:cs="宋体"/>
          <w:spacing w:val="-9"/>
          <w:sz w:val="22"/>
          <w:szCs w:val="22"/>
        </w:rPr>
        <w:t>，当某些</w:t>
      </w:r>
      <w:r>
        <w:rPr>
          <w:rFonts w:ascii="宋体" w:eastAsia="宋体" w:hAnsi="宋体" w:cs="宋体"/>
          <w:sz w:val="22"/>
          <w:szCs w:val="22"/>
        </w:rPr>
        <w:t xml:space="preserve">  </w:t>
      </w:r>
      <w:r>
        <w:rPr>
          <w:rFonts w:ascii="宋体" w:eastAsia="宋体" w:hAnsi="宋体" w:cs="宋体"/>
          <w:spacing w:val="-3"/>
          <w:sz w:val="22"/>
          <w:szCs w:val="22"/>
        </w:rPr>
        <w:t>核苷酸基突变在群体中的发生率超过1%时，称为基因多态性</w:t>
      </w:r>
      <w:r>
        <w:rPr>
          <w:rFonts w:ascii="宋体" w:eastAsia="宋体" w:hAnsi="宋体" w:cs="宋体"/>
          <w:spacing w:val="-11"/>
          <w:sz w:val="22"/>
          <w:szCs w:val="22"/>
        </w:rPr>
        <w:t xml:space="preserve"> </w:t>
      </w:r>
      <w:r>
        <w:rPr>
          <w:rFonts w:ascii="宋体" w:eastAsia="宋体" w:hAnsi="宋体" w:cs="宋体"/>
          <w:spacing w:val="-3"/>
          <w:sz w:val="22"/>
          <w:szCs w:val="22"/>
        </w:rPr>
        <w:t>(gene polymor-</w:t>
      </w:r>
      <w:r>
        <w:rPr>
          <w:rFonts w:ascii="宋体" w:eastAsia="宋体" w:hAnsi="宋体" w:cs="宋体"/>
          <w:sz w:val="22"/>
          <w:szCs w:val="22"/>
        </w:rPr>
        <w:t xml:space="preserve">  </w:t>
      </w:r>
      <w:r>
        <w:rPr>
          <w:rFonts w:ascii="宋体" w:eastAsia="宋体" w:hAnsi="宋体" w:cs="宋体"/>
          <w:spacing w:val="-5"/>
          <w:sz w:val="22"/>
          <w:szCs w:val="22"/>
        </w:rPr>
        <w:t>phism)</w:t>
      </w:r>
      <w:r>
        <w:rPr>
          <w:rFonts w:ascii="宋体" w:eastAsia="宋体" w:hAnsi="宋体" w:cs="宋体"/>
          <w:spacing w:val="-35"/>
          <w:sz w:val="22"/>
          <w:szCs w:val="22"/>
        </w:rPr>
        <w:t xml:space="preserve"> </w:t>
      </w:r>
      <w:r>
        <w:rPr>
          <w:rFonts w:ascii="宋体" w:eastAsia="宋体" w:hAnsi="宋体" w:cs="宋体"/>
          <w:spacing w:val="-5"/>
          <w:sz w:val="22"/>
          <w:szCs w:val="22"/>
        </w:rPr>
        <w:t>或遗传多态性。如果碱基突变，改变编码蛋白</w:t>
      </w:r>
      <w:r>
        <w:rPr>
          <w:rFonts w:ascii="宋体" w:eastAsia="宋体" w:hAnsi="宋体" w:cs="宋体"/>
          <w:spacing w:val="-6"/>
          <w:sz w:val="22"/>
          <w:szCs w:val="22"/>
        </w:rPr>
        <w:t>质、酶的氨基酸性质时，</w:t>
      </w:r>
      <w:r>
        <w:rPr>
          <w:rFonts w:ascii="宋体" w:eastAsia="宋体" w:hAnsi="宋体" w:cs="宋体"/>
          <w:sz w:val="22"/>
          <w:szCs w:val="22"/>
        </w:rPr>
        <w:t xml:space="preserve"> </w:t>
      </w:r>
      <w:r>
        <w:rPr>
          <w:rFonts w:ascii="宋体" w:eastAsia="宋体" w:hAnsi="宋体" w:cs="宋体"/>
          <w:spacing w:val="-12"/>
          <w:sz w:val="22"/>
          <w:szCs w:val="22"/>
        </w:rPr>
        <w:t>就会导致不同个体对营养素吸收、代谢和利用存在很大差异，</w:t>
      </w:r>
      <w:r>
        <w:rPr>
          <w:rFonts w:ascii="宋体" w:eastAsia="宋体" w:hAnsi="宋体" w:cs="宋体"/>
          <w:spacing w:val="-13"/>
          <w:sz w:val="22"/>
          <w:szCs w:val="22"/>
        </w:rPr>
        <w:t>并导致个体对营养</w:t>
      </w:r>
    </w:p>
    <w:p w:rsidR="00EA40A3" w:rsidRDefault="00EA40A3">
      <w:pPr>
        <w:sectPr w:rsidR="00EA40A3">
          <w:footerReference w:type="default" r:id="rId308"/>
          <w:pgSz w:w="9220" w:h="13360"/>
          <w:pgMar w:top="400" w:right="970" w:bottom="1234" w:left="890" w:header="0" w:footer="1001"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rPr>
          <w:rFonts w:ascii="宋体" w:eastAsia="宋体" w:hAnsi="宋体" w:cs="宋体"/>
          <w:sz w:val="22"/>
          <w:szCs w:val="22"/>
        </w:rPr>
      </w:pPr>
      <w:bookmarkStart w:id="95" w:name="_bookmark99"/>
      <w:bookmarkEnd w:id="95"/>
      <w:r>
        <w:rPr>
          <w:rFonts w:ascii="宋体" w:eastAsia="宋体" w:hAnsi="宋体" w:cs="宋体"/>
          <w:spacing w:val="-17"/>
          <w:sz w:val="22"/>
          <w:szCs w:val="22"/>
        </w:rPr>
        <w:t>素的需要不同，影响健康。</w:t>
      </w:r>
    </w:p>
    <w:p w:rsidR="00EA40A3" w:rsidRDefault="00E86C16">
      <w:pPr>
        <w:spacing w:before="214" w:line="220" w:lineRule="auto"/>
        <w:rPr>
          <w:rFonts w:ascii="仿宋" w:eastAsia="仿宋" w:hAnsi="仿宋" w:cs="仿宋"/>
          <w:sz w:val="22"/>
          <w:szCs w:val="22"/>
        </w:rPr>
      </w:pPr>
      <w:r>
        <w:rPr>
          <w:rFonts w:ascii="仿宋" w:eastAsia="仿宋" w:hAnsi="仿宋" w:cs="仿宋"/>
          <w:spacing w:val="15"/>
          <w:sz w:val="22"/>
          <w:szCs w:val="22"/>
        </w:rPr>
        <w:t>1.</w:t>
      </w:r>
      <w:r>
        <w:rPr>
          <w:rFonts w:ascii="仿宋" w:eastAsia="仿宋" w:hAnsi="仿宋" w:cs="仿宋"/>
          <w:spacing w:val="-22"/>
          <w:sz w:val="22"/>
          <w:szCs w:val="22"/>
        </w:rPr>
        <w:t xml:space="preserve"> </w:t>
      </w:r>
      <w:r>
        <w:rPr>
          <w:rFonts w:ascii="仿宋" w:eastAsia="仿宋" w:hAnsi="仿宋" w:cs="仿宋"/>
          <w:spacing w:val="15"/>
          <w:sz w:val="22"/>
          <w:szCs w:val="22"/>
        </w:rPr>
        <w:t>维生素D</w:t>
      </w:r>
      <w:r>
        <w:rPr>
          <w:rFonts w:ascii="仿宋" w:eastAsia="仿宋" w:hAnsi="仿宋" w:cs="仿宋"/>
          <w:spacing w:val="23"/>
          <w:sz w:val="22"/>
          <w:szCs w:val="22"/>
        </w:rPr>
        <w:t xml:space="preserve"> </w:t>
      </w:r>
      <w:r>
        <w:rPr>
          <w:rFonts w:ascii="仿宋" w:eastAsia="仿宋" w:hAnsi="仿宋" w:cs="仿宋"/>
          <w:spacing w:val="15"/>
          <w:sz w:val="22"/>
          <w:szCs w:val="22"/>
        </w:rPr>
        <w:t>受体基因多态性对钙吸收的影响</w:t>
      </w:r>
    </w:p>
    <w:p w:rsidR="00EA40A3" w:rsidRDefault="00E86C16">
      <w:pPr>
        <w:spacing w:before="181" w:line="247" w:lineRule="auto"/>
        <w:ind w:firstLine="439"/>
        <w:jc w:val="both"/>
        <w:rPr>
          <w:rFonts w:ascii="宋体" w:eastAsia="宋体" w:hAnsi="宋体" w:cs="宋体"/>
          <w:sz w:val="22"/>
          <w:szCs w:val="22"/>
        </w:rPr>
      </w:pPr>
      <w:r>
        <w:rPr>
          <w:rFonts w:ascii="宋体" w:eastAsia="宋体" w:hAnsi="宋体" w:cs="宋体"/>
          <w:spacing w:val="-14"/>
          <w:sz w:val="22"/>
          <w:szCs w:val="22"/>
        </w:rPr>
        <w:t>人类骨骼健康与钙的吸收利用有关。影响钙的吸收的因素很多，很重要的一</w:t>
      </w:r>
      <w:r>
        <w:rPr>
          <w:rFonts w:ascii="宋体" w:eastAsia="宋体" w:hAnsi="宋体" w:cs="宋体"/>
          <w:spacing w:val="6"/>
          <w:sz w:val="22"/>
          <w:szCs w:val="22"/>
        </w:rPr>
        <w:t xml:space="preserve">  </w:t>
      </w:r>
      <w:r>
        <w:rPr>
          <w:rFonts w:ascii="宋体" w:eastAsia="宋体" w:hAnsi="宋体" w:cs="宋体"/>
          <w:spacing w:val="-9"/>
          <w:sz w:val="22"/>
          <w:szCs w:val="22"/>
        </w:rPr>
        <w:t>个因素是受遗传因素的影响，其中由于维生素</w:t>
      </w:r>
      <w:r>
        <w:rPr>
          <w:rFonts w:ascii="宋体" w:eastAsia="宋体" w:hAnsi="宋体" w:cs="宋体"/>
          <w:spacing w:val="-58"/>
          <w:sz w:val="22"/>
          <w:szCs w:val="22"/>
        </w:rPr>
        <w:t xml:space="preserve"> </w:t>
      </w:r>
      <w:r>
        <w:rPr>
          <w:rFonts w:ascii="宋体" w:eastAsia="宋体" w:hAnsi="宋体" w:cs="宋体"/>
          <w:spacing w:val="-9"/>
          <w:sz w:val="22"/>
          <w:szCs w:val="22"/>
        </w:rPr>
        <w:t>D</w:t>
      </w:r>
      <w:r>
        <w:rPr>
          <w:rFonts w:ascii="宋体" w:eastAsia="宋体" w:hAnsi="宋体" w:cs="宋体"/>
          <w:spacing w:val="-25"/>
          <w:sz w:val="22"/>
          <w:szCs w:val="22"/>
        </w:rPr>
        <w:t xml:space="preserve"> </w:t>
      </w:r>
      <w:r>
        <w:rPr>
          <w:rFonts w:ascii="宋体" w:eastAsia="宋体" w:hAnsi="宋体" w:cs="宋体"/>
          <w:spacing w:val="-9"/>
          <w:sz w:val="22"/>
          <w:szCs w:val="22"/>
        </w:rPr>
        <w:t>受体</w:t>
      </w:r>
      <w:r>
        <w:rPr>
          <w:rFonts w:ascii="宋体" w:eastAsia="宋体" w:hAnsi="宋体" w:cs="宋体"/>
          <w:spacing w:val="-10"/>
          <w:sz w:val="22"/>
          <w:szCs w:val="22"/>
        </w:rPr>
        <w:t xml:space="preserve"> </w:t>
      </w:r>
      <w:r>
        <w:rPr>
          <w:rFonts w:ascii="宋体" w:eastAsia="宋体" w:hAnsi="宋体" w:cs="宋体"/>
          <w:spacing w:val="-9"/>
          <w:sz w:val="22"/>
          <w:szCs w:val="22"/>
        </w:rPr>
        <w:t>(VDR)</w:t>
      </w:r>
      <w:r>
        <w:rPr>
          <w:rFonts w:ascii="宋体" w:eastAsia="宋体" w:hAnsi="宋体" w:cs="宋体"/>
          <w:spacing w:val="23"/>
          <w:sz w:val="22"/>
          <w:szCs w:val="22"/>
        </w:rPr>
        <w:t xml:space="preserve">  </w:t>
      </w:r>
      <w:r>
        <w:rPr>
          <w:rFonts w:ascii="宋体" w:eastAsia="宋体" w:hAnsi="宋体" w:cs="宋体"/>
          <w:spacing w:val="-9"/>
          <w:sz w:val="22"/>
          <w:szCs w:val="22"/>
        </w:rPr>
        <w:t>基因多态性对钙</w:t>
      </w:r>
      <w:r>
        <w:rPr>
          <w:rFonts w:ascii="宋体" w:eastAsia="宋体" w:hAnsi="宋体" w:cs="宋体"/>
          <w:sz w:val="22"/>
          <w:szCs w:val="22"/>
        </w:rPr>
        <w:t xml:space="preserve">  </w:t>
      </w:r>
      <w:r>
        <w:rPr>
          <w:rFonts w:ascii="宋体" w:eastAsia="宋体" w:hAnsi="宋体" w:cs="宋体"/>
          <w:spacing w:val="-12"/>
          <w:sz w:val="22"/>
          <w:szCs w:val="22"/>
        </w:rPr>
        <w:t>吸收的影响，可能是影响钙吸收不同的遗传因素之一。VDR</w:t>
      </w:r>
      <w:r>
        <w:rPr>
          <w:rFonts w:ascii="宋体" w:eastAsia="宋体" w:hAnsi="宋体" w:cs="宋体"/>
          <w:spacing w:val="80"/>
          <w:sz w:val="22"/>
          <w:szCs w:val="22"/>
        </w:rPr>
        <w:t xml:space="preserve"> </w:t>
      </w:r>
      <w:r>
        <w:rPr>
          <w:rFonts w:ascii="宋体" w:eastAsia="宋体" w:hAnsi="宋体" w:cs="宋体"/>
          <w:spacing w:val="-12"/>
          <w:sz w:val="22"/>
          <w:szCs w:val="22"/>
        </w:rPr>
        <w:t>基因由于碱基突变，</w:t>
      </w:r>
      <w:r>
        <w:rPr>
          <w:rFonts w:ascii="宋体" w:eastAsia="宋体" w:hAnsi="宋体" w:cs="宋体"/>
          <w:sz w:val="22"/>
          <w:szCs w:val="22"/>
        </w:rPr>
        <w:t xml:space="preserve"> </w:t>
      </w:r>
      <w:r>
        <w:rPr>
          <w:rFonts w:ascii="宋体" w:eastAsia="宋体" w:hAnsi="宋体" w:cs="宋体"/>
          <w:spacing w:val="-6"/>
          <w:sz w:val="22"/>
          <w:szCs w:val="22"/>
        </w:rPr>
        <w:t>形成了3种基因型，即bb</w:t>
      </w:r>
      <w:r>
        <w:rPr>
          <w:rFonts w:ascii="宋体" w:eastAsia="宋体" w:hAnsi="宋体" w:cs="宋体"/>
          <w:spacing w:val="-52"/>
          <w:sz w:val="22"/>
          <w:szCs w:val="22"/>
        </w:rPr>
        <w:t xml:space="preserve"> </w:t>
      </w:r>
      <w:r>
        <w:rPr>
          <w:rFonts w:ascii="宋体" w:eastAsia="宋体" w:hAnsi="宋体" w:cs="宋体"/>
          <w:spacing w:val="-6"/>
          <w:sz w:val="22"/>
          <w:szCs w:val="22"/>
        </w:rPr>
        <w:t>基因型、</w:t>
      </w:r>
      <w:r>
        <w:rPr>
          <w:rFonts w:ascii="宋体" w:eastAsia="宋体" w:hAnsi="宋体" w:cs="宋体"/>
          <w:spacing w:val="-37"/>
          <w:sz w:val="22"/>
          <w:szCs w:val="22"/>
        </w:rPr>
        <w:t xml:space="preserve"> </w:t>
      </w:r>
      <w:r>
        <w:rPr>
          <w:rFonts w:ascii="宋体" w:eastAsia="宋体" w:hAnsi="宋体" w:cs="宋体"/>
          <w:spacing w:val="-6"/>
          <w:sz w:val="22"/>
          <w:szCs w:val="22"/>
        </w:rPr>
        <w:t>BB</w:t>
      </w:r>
      <w:r>
        <w:rPr>
          <w:rFonts w:ascii="宋体" w:eastAsia="宋体" w:hAnsi="宋体" w:cs="宋体"/>
          <w:spacing w:val="-16"/>
          <w:sz w:val="22"/>
          <w:szCs w:val="22"/>
        </w:rPr>
        <w:t xml:space="preserve"> </w:t>
      </w:r>
      <w:r>
        <w:rPr>
          <w:rFonts w:ascii="宋体" w:eastAsia="宋体" w:hAnsi="宋体" w:cs="宋体"/>
          <w:spacing w:val="-6"/>
          <w:sz w:val="22"/>
          <w:szCs w:val="22"/>
        </w:rPr>
        <w:t>基因型和Bb</w:t>
      </w:r>
      <w:r>
        <w:rPr>
          <w:rFonts w:ascii="宋体" w:eastAsia="宋体" w:hAnsi="宋体" w:cs="宋体"/>
          <w:spacing w:val="-17"/>
          <w:sz w:val="22"/>
          <w:szCs w:val="22"/>
        </w:rPr>
        <w:t xml:space="preserve"> </w:t>
      </w:r>
      <w:r>
        <w:rPr>
          <w:rFonts w:ascii="宋体" w:eastAsia="宋体" w:hAnsi="宋体" w:cs="宋体"/>
          <w:spacing w:val="-6"/>
          <w:sz w:val="22"/>
          <w:szCs w:val="22"/>
        </w:rPr>
        <w:t>基因型。携带有不同基因型</w:t>
      </w:r>
      <w:r>
        <w:rPr>
          <w:rFonts w:ascii="宋体" w:eastAsia="宋体" w:hAnsi="宋体" w:cs="宋体"/>
          <w:sz w:val="22"/>
          <w:szCs w:val="22"/>
        </w:rPr>
        <w:t xml:space="preserve">  </w:t>
      </w:r>
      <w:r>
        <w:rPr>
          <w:rFonts w:ascii="宋体" w:eastAsia="宋体" w:hAnsi="宋体" w:cs="宋体"/>
          <w:spacing w:val="-8"/>
          <w:sz w:val="22"/>
          <w:szCs w:val="22"/>
        </w:rPr>
        <w:t>的人其钙的吸收量是不同的，</w:t>
      </w:r>
      <w:r>
        <w:rPr>
          <w:rFonts w:ascii="宋体" w:eastAsia="宋体" w:hAnsi="宋体" w:cs="宋体"/>
          <w:spacing w:val="-1"/>
          <w:sz w:val="22"/>
          <w:szCs w:val="22"/>
        </w:rPr>
        <w:t xml:space="preserve"> </w:t>
      </w:r>
      <w:r>
        <w:rPr>
          <w:rFonts w:ascii="宋体" w:eastAsia="宋体" w:hAnsi="宋体" w:cs="宋体"/>
          <w:spacing w:val="-8"/>
          <w:sz w:val="22"/>
          <w:szCs w:val="22"/>
        </w:rPr>
        <w:t>bb</w:t>
      </w:r>
      <w:r>
        <w:rPr>
          <w:rFonts w:ascii="宋体" w:eastAsia="宋体" w:hAnsi="宋体" w:cs="宋体"/>
          <w:spacing w:val="-35"/>
          <w:sz w:val="22"/>
          <w:szCs w:val="22"/>
        </w:rPr>
        <w:t xml:space="preserve"> </w:t>
      </w:r>
      <w:r>
        <w:rPr>
          <w:rFonts w:ascii="宋体" w:eastAsia="宋体" w:hAnsi="宋体" w:cs="宋体"/>
          <w:spacing w:val="-8"/>
          <w:sz w:val="22"/>
          <w:szCs w:val="22"/>
        </w:rPr>
        <w:t>基因型是钙吸收较高的</w:t>
      </w:r>
      <w:r>
        <w:rPr>
          <w:rFonts w:ascii="宋体" w:eastAsia="宋体" w:hAnsi="宋体" w:cs="宋体"/>
          <w:spacing w:val="-9"/>
          <w:sz w:val="22"/>
          <w:szCs w:val="22"/>
        </w:rPr>
        <w:t>基因型，而</w:t>
      </w:r>
      <w:r>
        <w:rPr>
          <w:rFonts w:ascii="宋体" w:eastAsia="宋体" w:hAnsi="宋体" w:cs="宋体"/>
          <w:spacing w:val="-8"/>
          <w:sz w:val="22"/>
          <w:szCs w:val="22"/>
        </w:rPr>
        <w:t>BB</w:t>
      </w:r>
      <w:r>
        <w:rPr>
          <w:rFonts w:ascii="宋体" w:eastAsia="宋体" w:hAnsi="宋体" w:cs="宋体"/>
          <w:spacing w:val="-6"/>
          <w:sz w:val="22"/>
          <w:szCs w:val="22"/>
        </w:rPr>
        <w:t xml:space="preserve"> </w:t>
      </w:r>
      <w:r>
        <w:rPr>
          <w:rFonts w:ascii="宋体" w:eastAsia="宋体" w:hAnsi="宋体" w:cs="宋体"/>
          <w:spacing w:val="-9"/>
          <w:sz w:val="22"/>
          <w:szCs w:val="22"/>
        </w:rPr>
        <w:t>基因型</w:t>
      </w:r>
      <w:r>
        <w:rPr>
          <w:rFonts w:ascii="宋体" w:eastAsia="宋体" w:hAnsi="宋体" w:cs="宋体"/>
          <w:sz w:val="22"/>
          <w:szCs w:val="22"/>
        </w:rPr>
        <w:t xml:space="preserve"> </w:t>
      </w:r>
      <w:r>
        <w:rPr>
          <w:rFonts w:ascii="宋体" w:eastAsia="宋体" w:hAnsi="宋体" w:cs="宋体"/>
          <w:spacing w:val="-9"/>
          <w:sz w:val="22"/>
          <w:szCs w:val="22"/>
        </w:rPr>
        <w:t>的人其钙的吸收率要比其他两种基因型的人低，所以，针</w:t>
      </w:r>
      <w:r>
        <w:rPr>
          <w:rFonts w:ascii="宋体" w:eastAsia="宋体" w:hAnsi="宋体" w:cs="宋体"/>
          <w:spacing w:val="-10"/>
          <w:sz w:val="22"/>
          <w:szCs w:val="22"/>
        </w:rPr>
        <w:t>对</w:t>
      </w:r>
      <w:r>
        <w:rPr>
          <w:rFonts w:ascii="宋体" w:eastAsia="宋体" w:hAnsi="宋体" w:cs="宋体"/>
          <w:spacing w:val="-9"/>
          <w:sz w:val="22"/>
          <w:szCs w:val="22"/>
        </w:rPr>
        <w:t>BB</w:t>
      </w:r>
      <w:r>
        <w:rPr>
          <w:rFonts w:ascii="宋体" w:eastAsia="宋体" w:hAnsi="宋体" w:cs="宋体"/>
          <w:spacing w:val="-17"/>
          <w:sz w:val="22"/>
          <w:szCs w:val="22"/>
        </w:rPr>
        <w:t xml:space="preserve"> </w:t>
      </w:r>
      <w:r>
        <w:rPr>
          <w:rFonts w:ascii="宋体" w:eastAsia="宋体" w:hAnsi="宋体" w:cs="宋体"/>
          <w:spacing w:val="-10"/>
          <w:sz w:val="22"/>
          <w:szCs w:val="22"/>
        </w:rPr>
        <w:t>基因型人群，钙</w:t>
      </w:r>
      <w:r>
        <w:rPr>
          <w:rFonts w:ascii="宋体" w:eastAsia="宋体" w:hAnsi="宋体" w:cs="宋体"/>
          <w:sz w:val="22"/>
          <w:szCs w:val="22"/>
        </w:rPr>
        <w:t xml:space="preserve">  </w:t>
      </w:r>
      <w:r>
        <w:rPr>
          <w:rFonts w:ascii="宋体" w:eastAsia="宋体" w:hAnsi="宋体" w:cs="宋体"/>
          <w:spacing w:val="-12"/>
          <w:sz w:val="22"/>
          <w:szCs w:val="22"/>
        </w:rPr>
        <w:t>的推荐供给量</w:t>
      </w:r>
      <w:r>
        <w:rPr>
          <w:rFonts w:ascii="宋体" w:eastAsia="宋体" w:hAnsi="宋体" w:cs="宋体"/>
          <w:spacing w:val="-3"/>
          <w:sz w:val="22"/>
          <w:szCs w:val="22"/>
        </w:rPr>
        <w:t xml:space="preserve"> </w:t>
      </w:r>
      <w:r>
        <w:rPr>
          <w:rFonts w:ascii="宋体" w:eastAsia="宋体" w:hAnsi="宋体" w:cs="宋体"/>
          <w:spacing w:val="-12"/>
          <w:sz w:val="22"/>
          <w:szCs w:val="22"/>
        </w:rPr>
        <w:t>(RDA)</w:t>
      </w:r>
      <w:r>
        <w:rPr>
          <w:rFonts w:ascii="宋体" w:eastAsia="宋体" w:hAnsi="宋体" w:cs="宋体"/>
          <w:spacing w:val="14"/>
          <w:sz w:val="22"/>
          <w:szCs w:val="22"/>
        </w:rPr>
        <w:t xml:space="preserve">  </w:t>
      </w:r>
      <w:r>
        <w:rPr>
          <w:rFonts w:ascii="宋体" w:eastAsia="宋体" w:hAnsi="宋体" w:cs="宋体"/>
          <w:spacing w:val="-12"/>
          <w:sz w:val="22"/>
          <w:szCs w:val="22"/>
        </w:rPr>
        <w:t>要适当高一些。</w:t>
      </w:r>
    </w:p>
    <w:p w:rsidR="00EA40A3" w:rsidRDefault="00E86C16">
      <w:pPr>
        <w:spacing w:before="236" w:line="220" w:lineRule="auto"/>
        <w:rPr>
          <w:rFonts w:ascii="仿宋" w:eastAsia="仿宋" w:hAnsi="仿宋" w:cs="仿宋"/>
          <w:sz w:val="22"/>
          <w:szCs w:val="22"/>
        </w:rPr>
      </w:pPr>
      <w:r>
        <w:rPr>
          <w:rFonts w:ascii="仿宋" w:eastAsia="仿宋" w:hAnsi="仿宋" w:cs="仿宋"/>
          <w:spacing w:val="16"/>
          <w:sz w:val="22"/>
          <w:szCs w:val="22"/>
        </w:rPr>
        <w:t>2.</w:t>
      </w:r>
      <w:r>
        <w:rPr>
          <w:rFonts w:ascii="仿宋" w:eastAsia="仿宋" w:hAnsi="仿宋" w:cs="仿宋"/>
          <w:spacing w:val="-4"/>
          <w:sz w:val="22"/>
          <w:szCs w:val="22"/>
        </w:rPr>
        <w:t xml:space="preserve"> </w:t>
      </w:r>
      <w:r>
        <w:rPr>
          <w:rFonts w:ascii="仿宋" w:eastAsia="仿宋" w:hAnsi="仿宋" w:cs="仿宋"/>
          <w:spacing w:val="16"/>
          <w:sz w:val="22"/>
          <w:szCs w:val="22"/>
        </w:rPr>
        <w:t>亚甲基四氢叶酸还原酶基因多态性对叶酸需要量的影响</w:t>
      </w:r>
    </w:p>
    <w:p w:rsidR="00EA40A3" w:rsidRDefault="00E86C16">
      <w:pPr>
        <w:spacing w:before="209" w:line="249" w:lineRule="auto"/>
        <w:ind w:right="68" w:firstLine="439"/>
        <w:jc w:val="both"/>
        <w:rPr>
          <w:rFonts w:ascii="宋体" w:eastAsia="宋体" w:hAnsi="宋体" w:cs="宋体"/>
          <w:sz w:val="22"/>
          <w:szCs w:val="22"/>
        </w:rPr>
      </w:pPr>
      <w:r>
        <w:rPr>
          <w:rFonts w:ascii="宋体" w:eastAsia="宋体" w:hAnsi="宋体" w:cs="宋体"/>
          <w:spacing w:val="-7"/>
          <w:sz w:val="22"/>
          <w:szCs w:val="22"/>
        </w:rPr>
        <w:t>叶酸缺乏会导致胎儿神经系统发育障碍，出现神经管鞘闭锁不全等代谢疾</w:t>
      </w:r>
      <w:r>
        <w:rPr>
          <w:rFonts w:ascii="宋体" w:eastAsia="宋体" w:hAnsi="宋体" w:cs="宋体"/>
          <w:spacing w:val="12"/>
          <w:sz w:val="22"/>
          <w:szCs w:val="22"/>
        </w:rPr>
        <w:t xml:space="preserve"> </w:t>
      </w:r>
      <w:r>
        <w:rPr>
          <w:rFonts w:ascii="宋体" w:eastAsia="宋体" w:hAnsi="宋体" w:cs="宋体"/>
          <w:spacing w:val="-13"/>
          <w:sz w:val="22"/>
          <w:szCs w:val="22"/>
        </w:rPr>
        <w:t>病。研究发现，某些人群即使叶酸每日摄入量达到供给量标准，仍有部分个体发</w:t>
      </w:r>
      <w:r>
        <w:rPr>
          <w:rFonts w:ascii="宋体" w:eastAsia="宋体" w:hAnsi="宋体" w:cs="宋体"/>
          <w:spacing w:val="2"/>
          <w:sz w:val="22"/>
          <w:szCs w:val="22"/>
        </w:rPr>
        <w:t xml:space="preserve"> </w:t>
      </w:r>
      <w:r>
        <w:rPr>
          <w:rFonts w:ascii="宋体" w:eastAsia="宋体" w:hAnsi="宋体" w:cs="宋体"/>
          <w:spacing w:val="-12"/>
          <w:sz w:val="22"/>
          <w:szCs w:val="22"/>
        </w:rPr>
        <w:t>生叶酸缺乏症状。其原因是叶酸代谢发生了障碍。正常情况下，人体内亚甲基四</w:t>
      </w:r>
      <w:r>
        <w:rPr>
          <w:rFonts w:ascii="宋体" w:eastAsia="宋体" w:hAnsi="宋体" w:cs="宋体"/>
          <w:sz w:val="22"/>
          <w:szCs w:val="22"/>
        </w:rPr>
        <w:t xml:space="preserve"> </w:t>
      </w:r>
      <w:r>
        <w:rPr>
          <w:rFonts w:ascii="宋体" w:eastAsia="宋体" w:hAnsi="宋体" w:cs="宋体"/>
          <w:spacing w:val="-6"/>
          <w:sz w:val="22"/>
          <w:szCs w:val="22"/>
        </w:rPr>
        <w:t>氢叶酸还原酶</w:t>
      </w:r>
      <w:r>
        <w:rPr>
          <w:rFonts w:ascii="宋体" w:eastAsia="宋体" w:hAnsi="宋体" w:cs="宋体"/>
          <w:spacing w:val="-15"/>
          <w:sz w:val="22"/>
          <w:szCs w:val="22"/>
        </w:rPr>
        <w:t xml:space="preserve"> </w:t>
      </w:r>
      <w:r>
        <w:rPr>
          <w:rFonts w:ascii="宋体" w:eastAsia="宋体" w:hAnsi="宋体" w:cs="宋体"/>
          <w:spacing w:val="-6"/>
          <w:sz w:val="22"/>
          <w:szCs w:val="22"/>
        </w:rPr>
        <w:t>(MTHFR)</w:t>
      </w:r>
      <w:r>
        <w:rPr>
          <w:rFonts w:ascii="宋体" w:eastAsia="宋体" w:hAnsi="宋体" w:cs="宋体"/>
          <w:spacing w:val="9"/>
          <w:sz w:val="22"/>
          <w:szCs w:val="22"/>
        </w:rPr>
        <w:t xml:space="preserve">   </w:t>
      </w:r>
      <w:r>
        <w:rPr>
          <w:rFonts w:ascii="宋体" w:eastAsia="宋体" w:hAnsi="宋体" w:cs="宋体"/>
          <w:spacing w:val="-6"/>
          <w:sz w:val="22"/>
          <w:szCs w:val="22"/>
        </w:rPr>
        <w:t>将5,10-亚甲基四氢叶酸还原为5-甲基四氢叶酸，同</w:t>
      </w:r>
      <w:r>
        <w:rPr>
          <w:rFonts w:ascii="宋体" w:eastAsia="宋体" w:hAnsi="宋体" w:cs="宋体"/>
          <w:sz w:val="22"/>
          <w:szCs w:val="22"/>
        </w:rPr>
        <w:t xml:space="preserve"> </w:t>
      </w:r>
      <w:r>
        <w:rPr>
          <w:rFonts w:ascii="宋体" w:eastAsia="宋体" w:hAnsi="宋体" w:cs="宋体"/>
          <w:spacing w:val="-5"/>
          <w:sz w:val="22"/>
          <w:szCs w:val="22"/>
        </w:rPr>
        <w:t>时脱去一个甲基供体给同型半胱氨酸，从而合成蛋氨酸</w:t>
      </w:r>
      <w:r>
        <w:rPr>
          <w:rFonts w:ascii="宋体" w:eastAsia="宋体" w:hAnsi="宋体" w:cs="宋体"/>
          <w:spacing w:val="-6"/>
          <w:sz w:val="22"/>
          <w:szCs w:val="22"/>
        </w:rPr>
        <w:t>。但当</w:t>
      </w:r>
      <w:r>
        <w:rPr>
          <w:rFonts w:ascii="宋体" w:eastAsia="宋体" w:hAnsi="宋体" w:cs="宋体"/>
          <w:spacing w:val="-5"/>
          <w:sz w:val="22"/>
          <w:szCs w:val="22"/>
        </w:rPr>
        <w:t>MTHFR</w:t>
      </w:r>
      <w:r>
        <w:rPr>
          <w:rFonts w:ascii="宋体" w:eastAsia="宋体" w:hAnsi="宋体" w:cs="宋体"/>
          <w:spacing w:val="40"/>
          <w:sz w:val="22"/>
          <w:szCs w:val="22"/>
        </w:rPr>
        <w:t xml:space="preserve">  </w:t>
      </w:r>
      <w:r>
        <w:rPr>
          <w:rFonts w:ascii="宋体" w:eastAsia="宋体" w:hAnsi="宋体" w:cs="宋体"/>
          <w:spacing w:val="-6"/>
          <w:sz w:val="22"/>
          <w:szCs w:val="22"/>
        </w:rPr>
        <w:t>基因第</w:t>
      </w:r>
      <w:r>
        <w:rPr>
          <w:rFonts w:ascii="宋体" w:eastAsia="宋体" w:hAnsi="宋体" w:cs="宋体"/>
          <w:spacing w:val="1"/>
          <w:sz w:val="22"/>
          <w:szCs w:val="22"/>
        </w:rPr>
        <w:t xml:space="preserve"> </w:t>
      </w:r>
      <w:r>
        <w:rPr>
          <w:rFonts w:ascii="宋体" w:eastAsia="宋体" w:hAnsi="宋体" w:cs="宋体"/>
          <w:spacing w:val="-3"/>
          <w:sz w:val="22"/>
          <w:szCs w:val="22"/>
        </w:rPr>
        <w:t>677位的碱基发生了由C→T</w:t>
      </w:r>
      <w:r>
        <w:rPr>
          <w:rFonts w:ascii="宋体" w:eastAsia="宋体" w:hAnsi="宋体" w:cs="宋体"/>
          <w:spacing w:val="6"/>
          <w:sz w:val="22"/>
          <w:szCs w:val="22"/>
        </w:rPr>
        <w:t xml:space="preserve"> </w:t>
      </w:r>
      <w:r>
        <w:rPr>
          <w:rFonts w:ascii="宋体" w:eastAsia="宋体" w:hAnsi="宋体" w:cs="宋体"/>
          <w:spacing w:val="-3"/>
          <w:sz w:val="22"/>
          <w:szCs w:val="22"/>
        </w:rPr>
        <w:t>的突变，产生了该基因的3种等位</w:t>
      </w:r>
      <w:r>
        <w:rPr>
          <w:rFonts w:ascii="宋体" w:eastAsia="宋体" w:hAnsi="宋体" w:cs="宋体"/>
          <w:spacing w:val="-4"/>
          <w:sz w:val="22"/>
          <w:szCs w:val="22"/>
        </w:rPr>
        <w:t>基因多态性，即</w:t>
      </w:r>
      <w:r>
        <w:rPr>
          <w:rFonts w:ascii="宋体" w:eastAsia="宋体" w:hAnsi="宋体" w:cs="宋体"/>
          <w:sz w:val="22"/>
          <w:szCs w:val="22"/>
        </w:rPr>
        <w:t xml:space="preserve"> </w:t>
      </w:r>
      <w:r>
        <w:rPr>
          <w:rFonts w:ascii="宋体" w:eastAsia="宋体" w:hAnsi="宋体" w:cs="宋体"/>
          <w:spacing w:val="1"/>
          <w:sz w:val="22"/>
          <w:szCs w:val="22"/>
        </w:rPr>
        <w:t>C/C、C/T</w:t>
      </w:r>
      <w:r>
        <w:rPr>
          <w:rFonts w:ascii="宋体" w:eastAsia="宋体" w:hAnsi="宋体" w:cs="宋体"/>
          <w:spacing w:val="26"/>
          <w:sz w:val="22"/>
          <w:szCs w:val="22"/>
        </w:rPr>
        <w:t xml:space="preserve"> </w:t>
      </w:r>
      <w:r>
        <w:rPr>
          <w:rFonts w:ascii="宋体" w:eastAsia="宋体" w:hAnsi="宋体" w:cs="宋体"/>
          <w:spacing w:val="1"/>
          <w:sz w:val="22"/>
          <w:szCs w:val="22"/>
        </w:rPr>
        <w:t>和</w:t>
      </w:r>
      <w:r>
        <w:rPr>
          <w:rFonts w:ascii="宋体" w:eastAsia="宋体" w:hAnsi="宋体" w:cs="宋体"/>
          <w:spacing w:val="-51"/>
          <w:sz w:val="22"/>
          <w:szCs w:val="22"/>
        </w:rPr>
        <w:t xml:space="preserve"> </w:t>
      </w:r>
      <w:r>
        <w:rPr>
          <w:rFonts w:ascii="宋体" w:eastAsia="宋体" w:hAnsi="宋体" w:cs="宋体"/>
          <w:spacing w:val="1"/>
          <w:sz w:val="22"/>
          <w:szCs w:val="22"/>
        </w:rPr>
        <w:t>T/T3</w:t>
      </w:r>
      <w:r>
        <w:rPr>
          <w:rFonts w:ascii="宋体" w:eastAsia="宋体" w:hAnsi="宋体" w:cs="宋体"/>
          <w:spacing w:val="96"/>
          <w:sz w:val="22"/>
          <w:szCs w:val="22"/>
        </w:rPr>
        <w:t xml:space="preserve"> </w:t>
      </w:r>
      <w:r>
        <w:rPr>
          <w:rFonts w:ascii="宋体" w:eastAsia="宋体" w:hAnsi="宋体" w:cs="宋体"/>
          <w:spacing w:val="1"/>
          <w:sz w:val="22"/>
          <w:szCs w:val="22"/>
        </w:rPr>
        <w:t>种基因型；同时由</w:t>
      </w:r>
      <w:r>
        <w:rPr>
          <w:rFonts w:ascii="宋体" w:eastAsia="宋体" w:hAnsi="宋体" w:cs="宋体"/>
          <w:spacing w:val="-65"/>
          <w:sz w:val="22"/>
          <w:szCs w:val="22"/>
        </w:rPr>
        <w:t xml:space="preserve"> </w:t>
      </w:r>
      <w:r>
        <w:rPr>
          <w:rFonts w:ascii="宋体" w:eastAsia="宋体" w:hAnsi="宋体" w:cs="宋体"/>
          <w:spacing w:val="1"/>
          <w:sz w:val="22"/>
          <w:szCs w:val="22"/>
        </w:rPr>
        <w:t>C→T</w:t>
      </w:r>
      <w:r>
        <w:rPr>
          <w:rFonts w:ascii="宋体" w:eastAsia="宋体" w:hAnsi="宋体" w:cs="宋体"/>
          <w:spacing w:val="87"/>
          <w:sz w:val="22"/>
          <w:szCs w:val="22"/>
        </w:rPr>
        <w:t xml:space="preserve"> </w:t>
      </w:r>
      <w:r>
        <w:rPr>
          <w:rFonts w:ascii="宋体" w:eastAsia="宋体" w:hAnsi="宋体" w:cs="宋体"/>
          <w:spacing w:val="1"/>
          <w:sz w:val="22"/>
          <w:szCs w:val="22"/>
        </w:rPr>
        <w:t>的突变造成了该基因所</w:t>
      </w:r>
      <w:r>
        <w:rPr>
          <w:rFonts w:ascii="宋体" w:eastAsia="宋体" w:hAnsi="宋体" w:cs="宋体"/>
          <w:sz w:val="22"/>
          <w:szCs w:val="22"/>
        </w:rPr>
        <w:t xml:space="preserve">编码的 </w:t>
      </w:r>
      <w:r>
        <w:rPr>
          <w:rFonts w:ascii="宋体" w:eastAsia="宋体" w:hAnsi="宋体" w:cs="宋体"/>
          <w:spacing w:val="-8"/>
          <w:sz w:val="22"/>
          <w:szCs w:val="22"/>
        </w:rPr>
        <w:t>MTHFY</w:t>
      </w:r>
      <w:r>
        <w:rPr>
          <w:rFonts w:ascii="宋体" w:eastAsia="宋体" w:hAnsi="宋体" w:cs="宋体"/>
          <w:spacing w:val="45"/>
          <w:sz w:val="22"/>
          <w:szCs w:val="22"/>
        </w:rPr>
        <w:t xml:space="preserve">  </w:t>
      </w:r>
      <w:r>
        <w:rPr>
          <w:rFonts w:ascii="宋体" w:eastAsia="宋体" w:hAnsi="宋体" w:cs="宋体"/>
          <w:spacing w:val="-8"/>
          <w:sz w:val="22"/>
          <w:szCs w:val="22"/>
        </w:rPr>
        <w:t>中的氨基酸也发生了突变，即由丙氨酸</w:t>
      </w:r>
      <w:r>
        <w:rPr>
          <w:rFonts w:ascii="宋体" w:eastAsia="宋体" w:hAnsi="宋体" w:cs="宋体"/>
          <w:spacing w:val="-19"/>
          <w:sz w:val="22"/>
          <w:szCs w:val="22"/>
        </w:rPr>
        <w:t xml:space="preserve"> </w:t>
      </w:r>
      <w:r>
        <w:rPr>
          <w:rFonts w:ascii="宋体" w:eastAsia="宋体" w:hAnsi="宋体" w:cs="宋体"/>
          <w:spacing w:val="-8"/>
          <w:sz w:val="22"/>
          <w:szCs w:val="22"/>
        </w:rPr>
        <w:t>(Ala)→</w:t>
      </w:r>
      <w:r>
        <w:rPr>
          <w:rFonts w:ascii="宋体" w:eastAsia="宋体" w:hAnsi="宋体" w:cs="宋体"/>
          <w:spacing w:val="7"/>
          <w:sz w:val="22"/>
          <w:szCs w:val="22"/>
        </w:rPr>
        <w:t xml:space="preserve"> </w:t>
      </w:r>
      <w:r>
        <w:rPr>
          <w:rFonts w:ascii="宋体" w:eastAsia="宋体" w:hAnsi="宋体" w:cs="宋体"/>
          <w:spacing w:val="-8"/>
          <w:sz w:val="22"/>
          <w:szCs w:val="22"/>
        </w:rPr>
        <w:t>缬氨酸</w:t>
      </w:r>
      <w:r>
        <w:rPr>
          <w:rFonts w:ascii="宋体" w:eastAsia="宋体" w:hAnsi="宋体" w:cs="宋体"/>
          <w:sz w:val="22"/>
          <w:szCs w:val="22"/>
        </w:rPr>
        <w:t xml:space="preserve"> </w:t>
      </w:r>
      <w:r>
        <w:rPr>
          <w:rFonts w:ascii="宋体" w:eastAsia="宋体" w:hAnsi="宋体" w:cs="宋体"/>
          <w:spacing w:val="-8"/>
          <w:sz w:val="22"/>
          <w:szCs w:val="22"/>
        </w:rPr>
        <w:t>(Val),</w:t>
      </w:r>
      <w:r>
        <w:rPr>
          <w:rFonts w:ascii="宋体" w:eastAsia="宋体" w:hAnsi="宋体" w:cs="宋体"/>
          <w:spacing w:val="17"/>
          <w:sz w:val="22"/>
          <w:szCs w:val="22"/>
        </w:rPr>
        <w:t xml:space="preserve"> </w:t>
      </w:r>
      <w:r>
        <w:rPr>
          <w:rFonts w:ascii="宋体" w:eastAsia="宋体" w:hAnsi="宋体" w:cs="宋体"/>
          <w:spacing w:val="-8"/>
          <w:sz w:val="22"/>
          <w:szCs w:val="22"/>
        </w:rPr>
        <w:t>由此</w:t>
      </w:r>
      <w:r>
        <w:rPr>
          <w:rFonts w:ascii="宋体" w:eastAsia="宋体" w:hAnsi="宋体" w:cs="宋体"/>
          <w:sz w:val="22"/>
          <w:szCs w:val="22"/>
        </w:rPr>
        <w:t xml:space="preserve"> </w:t>
      </w:r>
      <w:r>
        <w:rPr>
          <w:rFonts w:ascii="宋体" w:eastAsia="宋体" w:hAnsi="宋体" w:cs="宋体"/>
          <w:spacing w:val="-10"/>
          <w:sz w:val="22"/>
          <w:szCs w:val="22"/>
        </w:rPr>
        <w:t>可产生该酶的3个相应表型，即野生型</w:t>
      </w:r>
      <w:r>
        <w:rPr>
          <w:rFonts w:ascii="宋体" w:eastAsia="宋体" w:hAnsi="宋体" w:cs="宋体"/>
          <w:spacing w:val="-13"/>
          <w:sz w:val="22"/>
          <w:szCs w:val="22"/>
        </w:rPr>
        <w:t xml:space="preserve"> </w:t>
      </w:r>
      <w:r>
        <w:rPr>
          <w:rFonts w:ascii="宋体" w:eastAsia="宋体" w:hAnsi="宋体" w:cs="宋体"/>
          <w:spacing w:val="-10"/>
          <w:sz w:val="22"/>
          <w:szCs w:val="22"/>
        </w:rPr>
        <w:t>(Ala/Ala)、</w:t>
      </w:r>
      <w:r>
        <w:rPr>
          <w:rFonts w:ascii="宋体" w:eastAsia="宋体" w:hAnsi="宋体" w:cs="宋体"/>
          <w:spacing w:val="55"/>
          <w:sz w:val="22"/>
          <w:szCs w:val="22"/>
        </w:rPr>
        <w:t xml:space="preserve"> </w:t>
      </w:r>
      <w:r>
        <w:rPr>
          <w:rFonts w:ascii="宋体" w:eastAsia="宋体" w:hAnsi="宋体" w:cs="宋体"/>
          <w:spacing w:val="-10"/>
          <w:sz w:val="22"/>
          <w:szCs w:val="22"/>
        </w:rPr>
        <w:t>杂合型 (Ala/</w:t>
      </w:r>
      <w:r>
        <w:rPr>
          <w:rFonts w:ascii="宋体" w:eastAsia="宋体" w:hAnsi="宋体" w:cs="宋体"/>
          <w:spacing w:val="2"/>
          <w:sz w:val="22"/>
          <w:szCs w:val="22"/>
        </w:rPr>
        <w:t xml:space="preserve"> </w:t>
      </w:r>
      <w:r>
        <w:rPr>
          <w:rFonts w:ascii="宋体" w:eastAsia="宋体" w:hAnsi="宋体" w:cs="宋体"/>
          <w:spacing w:val="-10"/>
          <w:sz w:val="22"/>
          <w:szCs w:val="22"/>
        </w:rPr>
        <w:t>Val)、</w:t>
      </w:r>
      <w:r>
        <w:rPr>
          <w:rFonts w:ascii="宋体" w:eastAsia="宋体" w:hAnsi="宋体" w:cs="宋体"/>
          <w:spacing w:val="-62"/>
          <w:sz w:val="22"/>
          <w:szCs w:val="22"/>
        </w:rPr>
        <w:t xml:space="preserve"> </w:t>
      </w:r>
      <w:r>
        <w:rPr>
          <w:rFonts w:ascii="宋体" w:eastAsia="宋体" w:hAnsi="宋体" w:cs="宋体"/>
          <w:spacing w:val="-10"/>
          <w:sz w:val="22"/>
          <w:szCs w:val="22"/>
        </w:rPr>
        <w:t>突变</w:t>
      </w:r>
      <w:r>
        <w:rPr>
          <w:rFonts w:ascii="宋体" w:eastAsia="宋体" w:hAnsi="宋体" w:cs="宋体"/>
          <w:sz w:val="22"/>
          <w:szCs w:val="22"/>
        </w:rPr>
        <w:t xml:space="preserve"> </w:t>
      </w:r>
      <w:r>
        <w:rPr>
          <w:rFonts w:ascii="宋体" w:eastAsia="宋体" w:hAnsi="宋体" w:cs="宋体"/>
          <w:spacing w:val="-8"/>
          <w:sz w:val="22"/>
          <w:szCs w:val="22"/>
        </w:rPr>
        <w:t>纯合型</w:t>
      </w:r>
      <w:r>
        <w:rPr>
          <w:rFonts w:ascii="宋体" w:eastAsia="宋体" w:hAnsi="宋体" w:cs="宋体"/>
          <w:spacing w:val="-29"/>
          <w:sz w:val="22"/>
          <w:szCs w:val="22"/>
        </w:rPr>
        <w:t xml:space="preserve"> </w:t>
      </w:r>
      <w:r>
        <w:rPr>
          <w:rFonts w:ascii="宋体" w:eastAsia="宋体" w:hAnsi="宋体" w:cs="宋体"/>
          <w:spacing w:val="-8"/>
          <w:sz w:val="22"/>
          <w:szCs w:val="22"/>
        </w:rPr>
        <w:t>(Val/Val)。</w:t>
      </w:r>
      <w:r>
        <w:rPr>
          <w:rFonts w:ascii="宋体" w:eastAsia="宋体" w:hAnsi="宋体" w:cs="宋体"/>
          <w:spacing w:val="34"/>
          <w:sz w:val="22"/>
          <w:szCs w:val="22"/>
        </w:rPr>
        <w:t xml:space="preserve"> </w:t>
      </w:r>
      <w:r>
        <w:rPr>
          <w:rFonts w:ascii="宋体" w:eastAsia="宋体" w:hAnsi="宋体" w:cs="宋体"/>
          <w:spacing w:val="-8"/>
          <w:sz w:val="22"/>
          <w:szCs w:val="22"/>
        </w:rPr>
        <w:t>这些突变增加了酶的热不稳定性，</w:t>
      </w:r>
      <w:r>
        <w:rPr>
          <w:rFonts w:ascii="宋体" w:eastAsia="宋体" w:hAnsi="宋体" w:cs="宋体"/>
          <w:spacing w:val="-9"/>
          <w:sz w:val="22"/>
          <w:szCs w:val="22"/>
        </w:rPr>
        <w:t>使其不能与</w:t>
      </w:r>
      <w:r>
        <w:rPr>
          <w:rFonts w:ascii="宋体" w:eastAsia="宋体" w:hAnsi="宋体" w:cs="宋体"/>
          <w:spacing w:val="-8"/>
          <w:sz w:val="22"/>
          <w:szCs w:val="22"/>
        </w:rPr>
        <w:t>MTHFY</w:t>
      </w:r>
      <w:r>
        <w:rPr>
          <w:rFonts w:ascii="宋体" w:eastAsia="宋体" w:hAnsi="宋体" w:cs="宋体"/>
          <w:spacing w:val="46"/>
          <w:sz w:val="22"/>
          <w:szCs w:val="22"/>
        </w:rPr>
        <w:t xml:space="preserve">  </w:t>
      </w:r>
      <w:r>
        <w:rPr>
          <w:rFonts w:ascii="宋体" w:eastAsia="宋体" w:hAnsi="宋体" w:cs="宋体"/>
          <w:spacing w:val="-9"/>
          <w:sz w:val="22"/>
          <w:szCs w:val="22"/>
        </w:rPr>
        <w:t>反</w:t>
      </w:r>
      <w:r>
        <w:rPr>
          <w:rFonts w:ascii="宋体" w:eastAsia="宋体" w:hAnsi="宋体" w:cs="宋体"/>
          <w:sz w:val="22"/>
          <w:szCs w:val="22"/>
        </w:rPr>
        <w:t xml:space="preserve"> </w:t>
      </w:r>
      <w:r>
        <w:rPr>
          <w:rFonts w:ascii="宋体" w:eastAsia="宋体" w:hAnsi="宋体" w:cs="宋体"/>
          <w:spacing w:val="-7"/>
          <w:sz w:val="22"/>
          <w:szCs w:val="22"/>
        </w:rPr>
        <w:t>应中的辅酶</w:t>
      </w:r>
      <w:r>
        <w:rPr>
          <w:rFonts w:ascii="宋体" w:eastAsia="宋体" w:hAnsi="宋体" w:cs="宋体"/>
          <w:spacing w:val="13"/>
          <w:sz w:val="22"/>
          <w:szCs w:val="22"/>
        </w:rPr>
        <w:t xml:space="preserve"> </w:t>
      </w:r>
      <w:r>
        <w:rPr>
          <w:rFonts w:ascii="宋体" w:eastAsia="宋体" w:hAnsi="宋体" w:cs="宋体"/>
          <w:spacing w:val="-7"/>
          <w:sz w:val="22"/>
          <w:szCs w:val="22"/>
        </w:rPr>
        <w:t>(FAD)</w:t>
      </w:r>
      <w:r>
        <w:rPr>
          <w:rFonts w:ascii="宋体" w:eastAsia="宋体" w:hAnsi="宋体" w:cs="宋体"/>
          <w:spacing w:val="3"/>
          <w:sz w:val="22"/>
          <w:szCs w:val="22"/>
        </w:rPr>
        <w:t xml:space="preserve">  </w:t>
      </w:r>
      <w:r>
        <w:rPr>
          <w:rFonts w:ascii="宋体" w:eastAsia="宋体" w:hAnsi="宋体" w:cs="宋体"/>
          <w:spacing w:val="-7"/>
          <w:sz w:val="22"/>
          <w:szCs w:val="22"/>
        </w:rPr>
        <w:t>结合，而使该酶活性降低，致使同型半胱氨酸向蛋氨酸的</w:t>
      </w:r>
      <w:r>
        <w:rPr>
          <w:rFonts w:ascii="宋体" w:eastAsia="宋体" w:hAnsi="宋体" w:cs="宋体"/>
          <w:spacing w:val="1"/>
          <w:sz w:val="22"/>
          <w:szCs w:val="22"/>
        </w:rPr>
        <w:t xml:space="preserve"> </w:t>
      </w:r>
      <w:r>
        <w:rPr>
          <w:rFonts w:ascii="宋体" w:eastAsia="宋体" w:hAnsi="宋体" w:cs="宋体"/>
          <w:spacing w:val="-13"/>
          <w:sz w:val="22"/>
          <w:szCs w:val="22"/>
        </w:rPr>
        <w:t>转化发生障碍，导致同型半胱氨酸在血中和尿中浓度增加，使得叶酸的需要量也</w:t>
      </w:r>
      <w:r>
        <w:rPr>
          <w:rFonts w:ascii="宋体" w:eastAsia="宋体" w:hAnsi="宋体" w:cs="宋体"/>
          <w:spacing w:val="6"/>
          <w:sz w:val="22"/>
          <w:szCs w:val="22"/>
        </w:rPr>
        <w:t xml:space="preserve"> </w:t>
      </w:r>
      <w:r>
        <w:rPr>
          <w:rFonts w:ascii="宋体" w:eastAsia="宋体" w:hAnsi="宋体" w:cs="宋体"/>
          <w:spacing w:val="-7"/>
          <w:sz w:val="22"/>
          <w:szCs w:val="22"/>
        </w:rPr>
        <w:t>发生了变化。携带有C/C</w:t>
      </w:r>
      <w:r>
        <w:rPr>
          <w:rFonts w:ascii="宋体" w:eastAsia="宋体" w:hAnsi="宋体" w:cs="宋体"/>
          <w:spacing w:val="15"/>
          <w:sz w:val="22"/>
          <w:szCs w:val="22"/>
        </w:rPr>
        <w:t xml:space="preserve"> </w:t>
      </w:r>
      <w:r>
        <w:rPr>
          <w:rFonts w:ascii="宋体" w:eastAsia="宋体" w:hAnsi="宋体" w:cs="宋体"/>
          <w:spacing w:val="-7"/>
          <w:sz w:val="22"/>
          <w:szCs w:val="22"/>
        </w:rPr>
        <w:t>基因型人群中血液中叶酸水平最高，携带C/T</w:t>
      </w:r>
      <w:r>
        <w:rPr>
          <w:rFonts w:ascii="宋体" w:eastAsia="宋体" w:hAnsi="宋体" w:cs="宋体"/>
          <w:spacing w:val="27"/>
          <w:sz w:val="22"/>
          <w:szCs w:val="22"/>
        </w:rPr>
        <w:t xml:space="preserve"> </w:t>
      </w:r>
      <w:r>
        <w:rPr>
          <w:rFonts w:ascii="宋体" w:eastAsia="宋体" w:hAnsi="宋体" w:cs="宋体"/>
          <w:spacing w:val="-7"/>
          <w:sz w:val="22"/>
          <w:szCs w:val="22"/>
        </w:rPr>
        <w:t>基因型</w:t>
      </w:r>
      <w:r>
        <w:rPr>
          <w:rFonts w:ascii="宋体" w:eastAsia="宋体" w:hAnsi="宋体" w:cs="宋体"/>
          <w:sz w:val="22"/>
          <w:szCs w:val="22"/>
        </w:rPr>
        <w:t xml:space="preserve"> </w:t>
      </w:r>
      <w:r>
        <w:rPr>
          <w:rFonts w:ascii="宋体" w:eastAsia="宋体" w:hAnsi="宋体" w:cs="宋体"/>
          <w:spacing w:val="-10"/>
          <w:sz w:val="22"/>
          <w:szCs w:val="22"/>
        </w:rPr>
        <w:t>者血中叶酸水平较高，而携带T/T</w:t>
      </w:r>
      <w:r>
        <w:rPr>
          <w:rFonts w:ascii="宋体" w:eastAsia="宋体" w:hAnsi="宋体" w:cs="宋体"/>
          <w:spacing w:val="15"/>
          <w:sz w:val="22"/>
          <w:szCs w:val="22"/>
        </w:rPr>
        <w:t xml:space="preserve"> </w:t>
      </w:r>
      <w:r>
        <w:rPr>
          <w:rFonts w:ascii="宋体" w:eastAsia="宋体" w:hAnsi="宋体" w:cs="宋体"/>
          <w:spacing w:val="-10"/>
          <w:sz w:val="22"/>
          <w:szCs w:val="22"/>
        </w:rPr>
        <w:t>基因型者血中的叶酸水平</w:t>
      </w:r>
      <w:r>
        <w:rPr>
          <w:rFonts w:ascii="宋体" w:eastAsia="宋体" w:hAnsi="宋体" w:cs="宋体"/>
          <w:spacing w:val="-11"/>
          <w:sz w:val="22"/>
          <w:szCs w:val="22"/>
        </w:rPr>
        <w:t>最低。</w:t>
      </w:r>
    </w:p>
    <w:p w:rsidR="00EA40A3" w:rsidRDefault="00E86C16">
      <w:pPr>
        <w:spacing w:before="120" w:line="243" w:lineRule="auto"/>
        <w:ind w:right="20" w:firstLine="439"/>
        <w:jc w:val="both"/>
        <w:rPr>
          <w:rFonts w:ascii="宋体" w:eastAsia="宋体" w:hAnsi="宋体" w:cs="宋体"/>
          <w:sz w:val="22"/>
          <w:szCs w:val="22"/>
        </w:rPr>
      </w:pPr>
      <w:r>
        <w:rPr>
          <w:rFonts w:ascii="宋体" w:eastAsia="宋体" w:hAnsi="宋体" w:cs="宋体"/>
          <w:spacing w:val="-8"/>
          <w:sz w:val="22"/>
          <w:szCs w:val="22"/>
        </w:rPr>
        <w:t>不同种族的人群的MTHFR3</w:t>
      </w:r>
      <w:r>
        <w:rPr>
          <w:rFonts w:ascii="宋体" w:eastAsia="宋体" w:hAnsi="宋体" w:cs="宋体"/>
          <w:spacing w:val="35"/>
          <w:sz w:val="22"/>
          <w:szCs w:val="22"/>
        </w:rPr>
        <w:t xml:space="preserve">  </w:t>
      </w:r>
      <w:r>
        <w:rPr>
          <w:rFonts w:ascii="宋体" w:eastAsia="宋体" w:hAnsi="宋体" w:cs="宋体"/>
          <w:spacing w:val="-8"/>
          <w:sz w:val="22"/>
          <w:szCs w:val="22"/>
        </w:rPr>
        <w:t>重基因多态性的分布频率不同，</w:t>
      </w:r>
      <w:r>
        <w:rPr>
          <w:rFonts w:ascii="宋体" w:eastAsia="宋体" w:hAnsi="宋体" w:cs="宋体"/>
          <w:spacing w:val="-9"/>
          <w:sz w:val="22"/>
          <w:szCs w:val="22"/>
        </w:rPr>
        <w:t>但目前所制定</w:t>
      </w:r>
      <w:r>
        <w:rPr>
          <w:rFonts w:ascii="宋体" w:eastAsia="宋体" w:hAnsi="宋体" w:cs="宋体"/>
          <w:sz w:val="22"/>
          <w:szCs w:val="22"/>
        </w:rPr>
        <w:t xml:space="preserve"> </w:t>
      </w:r>
      <w:r>
        <w:rPr>
          <w:rFonts w:ascii="宋体" w:eastAsia="宋体" w:hAnsi="宋体" w:cs="宋体"/>
          <w:spacing w:val="-11"/>
          <w:sz w:val="22"/>
          <w:szCs w:val="22"/>
        </w:rPr>
        <w:t>的叶酸推荐摄入量是针对一般人群并是在假设这些人群是正常的情况下制定的，</w:t>
      </w:r>
      <w:r>
        <w:rPr>
          <w:rFonts w:ascii="宋体" w:eastAsia="宋体" w:hAnsi="宋体" w:cs="宋体"/>
          <w:spacing w:val="13"/>
          <w:sz w:val="22"/>
          <w:szCs w:val="22"/>
        </w:rPr>
        <w:t xml:space="preserve"> </w:t>
      </w:r>
      <w:r>
        <w:rPr>
          <w:rFonts w:ascii="宋体" w:eastAsia="宋体" w:hAnsi="宋体" w:cs="宋体"/>
          <w:spacing w:val="-7"/>
          <w:sz w:val="22"/>
          <w:szCs w:val="22"/>
        </w:rPr>
        <w:t>而没有考虑T/T</w:t>
      </w:r>
      <w:r>
        <w:rPr>
          <w:rFonts w:ascii="宋体" w:eastAsia="宋体" w:hAnsi="宋体" w:cs="宋体"/>
          <w:spacing w:val="25"/>
          <w:sz w:val="22"/>
          <w:szCs w:val="22"/>
        </w:rPr>
        <w:t xml:space="preserve"> </w:t>
      </w:r>
      <w:r>
        <w:rPr>
          <w:rFonts w:ascii="宋体" w:eastAsia="宋体" w:hAnsi="宋体" w:cs="宋体"/>
          <w:spacing w:val="-7"/>
          <w:sz w:val="22"/>
          <w:szCs w:val="22"/>
        </w:rPr>
        <w:t>突变纯合型这部分个体的特殊需要，</w:t>
      </w:r>
      <w:r>
        <w:rPr>
          <w:rFonts w:ascii="宋体" w:eastAsia="宋体" w:hAnsi="宋体" w:cs="宋体"/>
          <w:spacing w:val="-8"/>
          <w:sz w:val="22"/>
          <w:szCs w:val="22"/>
        </w:rPr>
        <w:t>因此为避免叶酸缺乏造成</w:t>
      </w:r>
      <w:r>
        <w:rPr>
          <w:rFonts w:ascii="宋体" w:eastAsia="宋体" w:hAnsi="宋体" w:cs="宋体"/>
          <w:sz w:val="22"/>
          <w:szCs w:val="22"/>
        </w:rPr>
        <w:t xml:space="preserve"> </w:t>
      </w:r>
      <w:r>
        <w:rPr>
          <w:rFonts w:ascii="宋体" w:eastAsia="宋体" w:hAnsi="宋体" w:cs="宋体"/>
          <w:spacing w:val="-15"/>
          <w:sz w:val="22"/>
          <w:szCs w:val="22"/>
        </w:rPr>
        <w:t>危害，对这部分特殊人群应制定更高的叶酸供给量。</w:t>
      </w:r>
    </w:p>
    <w:p w:rsidR="00EA40A3" w:rsidRDefault="00E86C16">
      <w:pPr>
        <w:spacing w:before="206" w:line="220"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4"/>
          <w:sz w:val="22"/>
          <w:szCs w:val="22"/>
        </w:rPr>
        <w:t xml:space="preserve"> </w:t>
      </w:r>
      <w:r>
        <w:rPr>
          <w:rFonts w:ascii="仿宋" w:eastAsia="仿宋" w:hAnsi="仿宋" w:cs="仿宋"/>
          <w:spacing w:val="14"/>
          <w:sz w:val="22"/>
          <w:szCs w:val="22"/>
        </w:rPr>
        <w:t>载脂蛋白基因多态性对血脂代谢的影响</w:t>
      </w:r>
    </w:p>
    <w:p w:rsidR="00EA40A3" w:rsidRDefault="00E86C16">
      <w:pPr>
        <w:spacing w:before="220" w:line="244" w:lineRule="auto"/>
        <w:ind w:firstLine="439"/>
        <w:jc w:val="both"/>
        <w:rPr>
          <w:rFonts w:ascii="宋体" w:eastAsia="宋体" w:hAnsi="宋体" w:cs="宋体"/>
          <w:sz w:val="22"/>
          <w:szCs w:val="22"/>
        </w:rPr>
      </w:pPr>
      <w:r>
        <w:rPr>
          <w:rFonts w:ascii="宋体" w:eastAsia="宋体" w:hAnsi="宋体" w:cs="宋体"/>
          <w:spacing w:val="-13"/>
          <w:sz w:val="22"/>
          <w:szCs w:val="22"/>
        </w:rPr>
        <w:t>载脂蛋白是结合脂类并运输到机体各组织进行代谢和利用的蛋白质。大量研</w:t>
      </w:r>
      <w:r>
        <w:rPr>
          <w:rFonts w:ascii="宋体" w:eastAsia="宋体" w:hAnsi="宋体" w:cs="宋体"/>
          <w:spacing w:val="16"/>
          <w:sz w:val="22"/>
          <w:szCs w:val="22"/>
        </w:rPr>
        <w:t xml:space="preserve"> </w:t>
      </w:r>
      <w:r>
        <w:rPr>
          <w:rFonts w:ascii="宋体" w:eastAsia="宋体" w:hAnsi="宋体" w:cs="宋体"/>
          <w:spacing w:val="-13"/>
          <w:sz w:val="22"/>
          <w:szCs w:val="22"/>
        </w:rPr>
        <w:t>究发现载脂蛋白基因发生突变，形成不同等位基因型多态性，并进一步形成不同</w:t>
      </w:r>
      <w:r>
        <w:rPr>
          <w:rFonts w:ascii="宋体" w:eastAsia="宋体" w:hAnsi="宋体" w:cs="宋体"/>
          <w:spacing w:val="6"/>
          <w:sz w:val="22"/>
          <w:szCs w:val="22"/>
        </w:rPr>
        <w:t xml:space="preserve">  </w:t>
      </w:r>
      <w:r>
        <w:rPr>
          <w:rFonts w:ascii="宋体" w:eastAsia="宋体" w:hAnsi="宋体" w:cs="宋体"/>
          <w:spacing w:val="-13"/>
          <w:sz w:val="22"/>
          <w:szCs w:val="22"/>
        </w:rPr>
        <w:t>表型的载脂蛋白，可影响血脂代谢和利用，涉及脂类转运的载脂蛋白的基因多型</w:t>
      </w:r>
      <w:r>
        <w:rPr>
          <w:rFonts w:ascii="宋体" w:eastAsia="宋体" w:hAnsi="宋体" w:cs="宋体"/>
          <w:spacing w:val="3"/>
          <w:sz w:val="22"/>
          <w:szCs w:val="22"/>
        </w:rPr>
        <w:t xml:space="preserve">  </w:t>
      </w:r>
      <w:r>
        <w:rPr>
          <w:rFonts w:ascii="宋体" w:eastAsia="宋体" w:hAnsi="宋体" w:cs="宋体"/>
          <w:spacing w:val="-5"/>
          <w:sz w:val="22"/>
          <w:szCs w:val="22"/>
        </w:rPr>
        <w:t>性影响脂肪转运和代谢，如载脂蛋白E(APOE)</w:t>
      </w:r>
      <w:r>
        <w:rPr>
          <w:rFonts w:ascii="宋体" w:eastAsia="宋体" w:hAnsi="宋体" w:cs="宋体"/>
          <w:spacing w:val="18"/>
          <w:sz w:val="22"/>
          <w:szCs w:val="22"/>
        </w:rPr>
        <w:t xml:space="preserve">   </w:t>
      </w:r>
      <w:r>
        <w:rPr>
          <w:rFonts w:ascii="宋体" w:eastAsia="宋体" w:hAnsi="宋体" w:cs="宋体"/>
          <w:spacing w:val="-5"/>
          <w:sz w:val="22"/>
          <w:szCs w:val="22"/>
        </w:rPr>
        <w:t>的基因解码与血</w:t>
      </w:r>
      <w:r>
        <w:rPr>
          <w:rFonts w:ascii="宋体" w:eastAsia="宋体" w:hAnsi="宋体" w:cs="宋体"/>
          <w:spacing w:val="-6"/>
          <w:sz w:val="22"/>
          <w:szCs w:val="22"/>
        </w:rPr>
        <w:t>清脂肪水平。</w:t>
      </w:r>
    </w:p>
    <w:p w:rsidR="00EA40A3" w:rsidRDefault="00E86C16">
      <w:pPr>
        <w:spacing w:before="54"/>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384</w:t>
      </w:r>
      <w:r>
        <w:rPr>
          <w:rFonts w:ascii="宋体" w:eastAsia="宋体" w:hAnsi="宋体" w:cs="宋体"/>
          <w:spacing w:val="47"/>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309"/>
          <w:pgSz w:w="9220" w:h="13360"/>
          <w:pgMar w:top="400" w:right="1029" w:bottom="400" w:left="840" w:header="0" w:footer="0" w:gutter="0"/>
          <w:cols w:space="720"/>
        </w:sectPr>
      </w:pPr>
    </w:p>
    <w:p w:rsidR="00EA40A3" w:rsidRDefault="00EA40A3">
      <w:pPr>
        <w:spacing w:line="273" w:lineRule="auto"/>
      </w:pPr>
    </w:p>
    <w:p w:rsidR="00EA40A3" w:rsidRDefault="00EA40A3">
      <w:pPr>
        <w:spacing w:line="273" w:lineRule="auto"/>
      </w:pPr>
    </w:p>
    <w:p w:rsidR="00EA40A3" w:rsidRDefault="00E86C16">
      <w:pPr>
        <w:spacing w:before="68" w:line="246" w:lineRule="auto"/>
        <w:ind w:right="76"/>
        <w:rPr>
          <w:rFonts w:ascii="宋体" w:eastAsia="宋体" w:hAnsi="宋体" w:cs="宋体"/>
        </w:rPr>
      </w:pPr>
      <w:r>
        <w:rPr>
          <w:rFonts w:ascii="宋体" w:eastAsia="宋体" w:hAnsi="宋体" w:cs="宋体"/>
          <w:spacing w:val="1"/>
        </w:rPr>
        <w:t>基因解码脂肪/脂蛋白转化酶、磷酸二乙基对硝基苯基酯酶是重要的对氧磷脂酶</w:t>
      </w:r>
      <w:r>
        <w:rPr>
          <w:rFonts w:ascii="宋体" w:eastAsia="宋体" w:hAnsi="宋体" w:cs="宋体"/>
          <w:spacing w:val="7"/>
        </w:rPr>
        <w:t xml:space="preserve"> </w:t>
      </w:r>
      <w:r>
        <w:rPr>
          <w:rFonts w:ascii="宋体" w:eastAsia="宋体" w:hAnsi="宋体" w:cs="宋体"/>
          <w:spacing w:val="-1"/>
        </w:rPr>
        <w:t>(PON)、PON1</w:t>
      </w:r>
      <w:r>
        <w:rPr>
          <w:rFonts w:ascii="宋体" w:eastAsia="宋体" w:hAnsi="宋体" w:cs="宋体"/>
          <w:spacing w:val="50"/>
        </w:rPr>
        <w:t xml:space="preserve">  </w:t>
      </w:r>
      <w:r>
        <w:rPr>
          <w:rFonts w:ascii="宋体" w:eastAsia="宋体" w:hAnsi="宋体" w:cs="宋体"/>
          <w:spacing w:val="-1"/>
        </w:rPr>
        <w:t>和</w:t>
      </w:r>
      <w:r>
        <w:rPr>
          <w:rFonts w:ascii="宋体" w:eastAsia="宋体" w:hAnsi="宋体" w:cs="宋体"/>
          <w:spacing w:val="-37"/>
        </w:rPr>
        <w:t xml:space="preserve"> </w:t>
      </w:r>
      <w:r>
        <w:rPr>
          <w:rFonts w:ascii="宋体" w:eastAsia="宋体" w:hAnsi="宋体" w:cs="宋体"/>
          <w:spacing w:val="-1"/>
        </w:rPr>
        <w:t>PON2</w:t>
      </w:r>
      <w:r>
        <w:rPr>
          <w:rFonts w:ascii="宋体" w:eastAsia="宋体" w:hAnsi="宋体" w:cs="宋体"/>
          <w:spacing w:val="70"/>
        </w:rPr>
        <w:t xml:space="preserve"> </w:t>
      </w:r>
      <w:r>
        <w:rPr>
          <w:rFonts w:ascii="宋体" w:eastAsia="宋体" w:hAnsi="宋体" w:cs="宋体"/>
          <w:spacing w:val="-1"/>
        </w:rPr>
        <w:t>基因的多样性与酶活力有关，也与心血管疾病</w:t>
      </w:r>
      <w:r>
        <w:rPr>
          <w:rFonts w:ascii="宋体" w:eastAsia="宋体" w:hAnsi="宋体" w:cs="宋体"/>
          <w:spacing w:val="-20"/>
        </w:rPr>
        <w:t xml:space="preserve"> </w:t>
      </w:r>
      <w:r>
        <w:rPr>
          <w:rFonts w:ascii="宋体" w:eastAsia="宋体" w:hAnsi="宋体" w:cs="宋体"/>
          <w:spacing w:val="-1"/>
        </w:rPr>
        <w:t>(CVD</w:t>
      </w:r>
      <w:r>
        <w:rPr>
          <w:rFonts w:ascii="宋体" w:eastAsia="宋体" w:hAnsi="宋体" w:cs="宋体"/>
          <w:spacing w:val="-2"/>
        </w:rPr>
        <w:t>)</w:t>
      </w:r>
    </w:p>
    <w:p w:rsidR="00EA40A3" w:rsidRDefault="00E86C16">
      <w:pPr>
        <w:spacing w:before="63" w:line="263" w:lineRule="auto"/>
        <w:ind w:right="70"/>
        <w:rPr>
          <w:rFonts w:ascii="宋体" w:eastAsia="宋体" w:hAnsi="宋体" w:cs="宋体"/>
        </w:rPr>
      </w:pPr>
      <w:r>
        <w:rPr>
          <w:rFonts w:ascii="宋体" w:eastAsia="宋体" w:hAnsi="宋体" w:cs="宋体"/>
          <w:spacing w:val="11"/>
        </w:rPr>
        <w:t>的危险性有关。含蔬菜水果丰富的膳食可降低</w:t>
      </w:r>
      <w:r>
        <w:rPr>
          <w:rFonts w:ascii="宋体" w:eastAsia="宋体" w:hAnsi="宋体" w:cs="宋体"/>
        </w:rPr>
        <w:t>PON</w:t>
      </w:r>
      <w:r>
        <w:rPr>
          <w:rFonts w:ascii="宋体" w:eastAsia="宋体" w:hAnsi="宋体" w:cs="宋体"/>
          <w:spacing w:val="11"/>
        </w:rPr>
        <w:t>1</w:t>
      </w:r>
      <w:r>
        <w:rPr>
          <w:rFonts w:ascii="宋体" w:eastAsia="宋体" w:hAnsi="宋体" w:cs="宋体"/>
          <w:spacing w:val="2"/>
        </w:rPr>
        <w:t xml:space="preserve">  </w:t>
      </w:r>
      <w:r>
        <w:rPr>
          <w:rFonts w:ascii="宋体" w:eastAsia="宋体" w:hAnsi="宋体" w:cs="宋体"/>
          <w:spacing w:val="11"/>
        </w:rPr>
        <w:t>的活性，</w:t>
      </w:r>
      <w:r>
        <w:rPr>
          <w:rFonts w:ascii="宋体" w:eastAsia="宋体" w:hAnsi="宋体" w:cs="宋体"/>
          <w:spacing w:val="10"/>
        </w:rPr>
        <w:t>这种调节也有</w:t>
      </w:r>
      <w:r>
        <w:rPr>
          <w:rFonts w:ascii="宋体" w:eastAsia="宋体" w:hAnsi="宋体" w:cs="宋体"/>
        </w:rPr>
        <w:t xml:space="preserve"> PON</w:t>
      </w:r>
      <w:r>
        <w:rPr>
          <w:rFonts w:ascii="宋体" w:eastAsia="宋体" w:hAnsi="宋体" w:cs="宋体"/>
          <w:spacing w:val="6"/>
        </w:rPr>
        <w:t>1</w:t>
      </w:r>
      <w:r>
        <w:rPr>
          <w:rFonts w:ascii="宋体" w:eastAsia="宋体" w:hAnsi="宋体" w:cs="宋体"/>
          <w:spacing w:val="69"/>
        </w:rPr>
        <w:t xml:space="preserve"> </w:t>
      </w:r>
      <w:r>
        <w:rPr>
          <w:rFonts w:ascii="宋体" w:eastAsia="宋体" w:hAnsi="宋体" w:cs="宋体"/>
          <w:spacing w:val="6"/>
        </w:rPr>
        <w:t>基因型决定，从而影响高脂血症、动脉粥样硬化及心脑血管疾病</w:t>
      </w:r>
      <w:r>
        <w:rPr>
          <w:rFonts w:ascii="宋体" w:eastAsia="宋体" w:hAnsi="宋体" w:cs="宋体"/>
          <w:spacing w:val="5"/>
        </w:rPr>
        <w:t>的发病</w:t>
      </w:r>
      <w:r>
        <w:rPr>
          <w:rFonts w:ascii="宋体" w:eastAsia="宋体" w:hAnsi="宋体" w:cs="宋体"/>
        </w:rPr>
        <w:t xml:space="preserve"> </w:t>
      </w:r>
      <w:r>
        <w:rPr>
          <w:rFonts w:ascii="宋体" w:eastAsia="宋体" w:hAnsi="宋体" w:cs="宋体"/>
          <w:spacing w:val="2"/>
        </w:rPr>
        <w:t>率。动脉硬化是</w:t>
      </w:r>
      <w:r>
        <w:rPr>
          <w:rFonts w:ascii="宋体" w:eastAsia="宋体" w:hAnsi="宋体" w:cs="宋体"/>
        </w:rPr>
        <w:t>CVD</w:t>
      </w:r>
      <w:r>
        <w:rPr>
          <w:rFonts w:ascii="宋体" w:eastAsia="宋体" w:hAnsi="宋体" w:cs="宋体"/>
          <w:spacing w:val="76"/>
        </w:rPr>
        <w:t xml:space="preserve"> </w:t>
      </w:r>
      <w:r>
        <w:rPr>
          <w:rFonts w:ascii="宋体" w:eastAsia="宋体" w:hAnsi="宋体" w:cs="宋体"/>
          <w:spacing w:val="2"/>
        </w:rPr>
        <w:t>发病的关键因素，通常认为动</w:t>
      </w:r>
      <w:r>
        <w:rPr>
          <w:rFonts w:ascii="宋体" w:eastAsia="宋体" w:hAnsi="宋体" w:cs="宋体"/>
          <w:spacing w:val="1"/>
        </w:rPr>
        <w:t>脉硬化是脂肪转运和伴随慢</w:t>
      </w:r>
      <w:r>
        <w:rPr>
          <w:rFonts w:ascii="宋体" w:eastAsia="宋体" w:hAnsi="宋体" w:cs="宋体"/>
        </w:rPr>
        <w:t xml:space="preserve"> </w:t>
      </w:r>
      <w:r>
        <w:rPr>
          <w:rFonts w:ascii="宋体" w:eastAsia="宋体" w:hAnsi="宋体" w:cs="宋体"/>
          <w:spacing w:val="-2"/>
        </w:rPr>
        <w:t>性炎症的新陈代谢失调的综合征。</w:t>
      </w:r>
      <w:r>
        <w:rPr>
          <w:rFonts w:ascii="宋体" w:eastAsia="宋体" w:hAnsi="宋体" w:cs="宋体"/>
          <w:spacing w:val="11"/>
        </w:rPr>
        <w:t xml:space="preserve"> </w:t>
      </w:r>
      <w:r>
        <w:rPr>
          <w:rFonts w:ascii="宋体" w:eastAsia="宋体" w:hAnsi="宋体" w:cs="宋体"/>
          <w:spacing w:val="-2"/>
        </w:rPr>
        <w:t>CVD</w:t>
      </w:r>
      <w:r>
        <w:rPr>
          <w:rFonts w:ascii="宋体" w:eastAsia="宋体" w:hAnsi="宋体" w:cs="宋体"/>
          <w:spacing w:val="86"/>
        </w:rPr>
        <w:t xml:space="preserve"> </w:t>
      </w:r>
      <w:r>
        <w:rPr>
          <w:rFonts w:ascii="宋体" w:eastAsia="宋体" w:hAnsi="宋体" w:cs="宋体"/>
          <w:spacing w:val="-2"/>
        </w:rPr>
        <w:t>疾病过程中基因的翻译及翻译后</w:t>
      </w:r>
      <w:r>
        <w:rPr>
          <w:rFonts w:ascii="宋体" w:eastAsia="宋体" w:hAnsi="宋体" w:cs="宋体"/>
          <w:spacing w:val="-3"/>
        </w:rPr>
        <w:t>修饰水</w:t>
      </w:r>
      <w:r>
        <w:rPr>
          <w:rFonts w:ascii="宋体" w:eastAsia="宋体" w:hAnsi="宋体" w:cs="宋体"/>
        </w:rPr>
        <w:t xml:space="preserve"> </w:t>
      </w:r>
      <w:r>
        <w:rPr>
          <w:rFonts w:ascii="宋体" w:eastAsia="宋体" w:hAnsi="宋体" w:cs="宋体"/>
          <w:spacing w:val="-2"/>
        </w:rPr>
        <w:t>平均发生明显变化，提示基因的多型性的变化是深入研究心血管疾病发病</w:t>
      </w:r>
      <w:r>
        <w:rPr>
          <w:rFonts w:ascii="宋体" w:eastAsia="宋体" w:hAnsi="宋体" w:cs="宋体"/>
          <w:spacing w:val="-3"/>
        </w:rPr>
        <w:t>与防治</w:t>
      </w:r>
      <w:r>
        <w:rPr>
          <w:rFonts w:ascii="宋体" w:eastAsia="宋体" w:hAnsi="宋体" w:cs="宋体"/>
        </w:rPr>
        <w:t xml:space="preserve"> </w:t>
      </w:r>
      <w:r>
        <w:rPr>
          <w:rFonts w:ascii="宋体" w:eastAsia="宋体" w:hAnsi="宋体" w:cs="宋体"/>
          <w:spacing w:val="-8"/>
        </w:rPr>
        <w:t>机理的关键切入点，应予以高度重视。</w:t>
      </w:r>
    </w:p>
    <w:p w:rsidR="00EA40A3" w:rsidRDefault="00E86C16">
      <w:pPr>
        <w:spacing w:before="218" w:line="220" w:lineRule="auto"/>
        <w:rPr>
          <w:rFonts w:ascii="仿宋" w:eastAsia="仿宋" w:hAnsi="仿宋" w:cs="仿宋"/>
          <w:sz w:val="24"/>
          <w:szCs w:val="24"/>
        </w:rPr>
      </w:pPr>
      <w:r>
        <w:rPr>
          <w:rFonts w:ascii="仿宋" w:eastAsia="仿宋" w:hAnsi="仿宋" w:cs="仿宋"/>
          <w:spacing w:val="-2"/>
          <w:sz w:val="24"/>
          <w:szCs w:val="24"/>
        </w:rPr>
        <w:t>4.</w:t>
      </w:r>
      <w:r>
        <w:rPr>
          <w:rFonts w:ascii="仿宋" w:eastAsia="仿宋" w:hAnsi="仿宋" w:cs="仿宋"/>
          <w:spacing w:val="-36"/>
          <w:sz w:val="24"/>
          <w:szCs w:val="24"/>
        </w:rPr>
        <w:t xml:space="preserve"> </w:t>
      </w:r>
      <w:r>
        <w:rPr>
          <w:rFonts w:ascii="仿宋" w:eastAsia="仿宋" w:hAnsi="仿宋" w:cs="仿宋"/>
          <w:spacing w:val="-2"/>
          <w:sz w:val="24"/>
          <w:szCs w:val="24"/>
        </w:rPr>
        <w:t>基因多态性对血糖代谢的影响</w:t>
      </w:r>
    </w:p>
    <w:p w:rsidR="00EA40A3" w:rsidRDefault="00E86C16">
      <w:pPr>
        <w:spacing w:before="155" w:line="264" w:lineRule="auto"/>
        <w:ind w:right="79" w:firstLine="420"/>
        <w:jc w:val="both"/>
        <w:rPr>
          <w:rFonts w:ascii="宋体" w:eastAsia="宋体" w:hAnsi="宋体" w:cs="宋体"/>
        </w:rPr>
      </w:pPr>
      <w:r>
        <w:rPr>
          <w:rFonts w:ascii="宋体" w:eastAsia="宋体" w:hAnsi="宋体" w:cs="宋体"/>
          <w:spacing w:val="-6"/>
        </w:rPr>
        <w:t>糖尿病的易感性决定于免疫系统的编码基因。</w:t>
      </w:r>
      <w:r>
        <w:rPr>
          <w:rFonts w:ascii="宋体" w:eastAsia="宋体" w:hAnsi="宋体" w:cs="宋体"/>
          <w:spacing w:val="57"/>
        </w:rPr>
        <w:t xml:space="preserve"> </w:t>
      </w:r>
      <w:r>
        <w:rPr>
          <w:rFonts w:ascii="宋体" w:eastAsia="宋体" w:hAnsi="宋体" w:cs="宋体"/>
          <w:spacing w:val="-6"/>
        </w:rPr>
        <w:t>一些人病毒感染后易患I</w:t>
      </w:r>
      <w:r>
        <w:rPr>
          <w:rFonts w:ascii="宋体" w:eastAsia="宋体" w:hAnsi="宋体" w:cs="宋体"/>
          <w:spacing w:val="-30"/>
        </w:rPr>
        <w:t xml:space="preserve"> </w:t>
      </w:r>
      <w:r>
        <w:rPr>
          <w:rFonts w:ascii="宋体" w:eastAsia="宋体" w:hAnsi="宋体" w:cs="宋体"/>
          <w:spacing w:val="-6"/>
        </w:rPr>
        <w:t>型糖</w:t>
      </w:r>
      <w:r>
        <w:rPr>
          <w:rFonts w:ascii="宋体" w:eastAsia="宋体" w:hAnsi="宋体" w:cs="宋体"/>
        </w:rPr>
        <w:t xml:space="preserve"> </w:t>
      </w:r>
      <w:r>
        <w:rPr>
          <w:rFonts w:ascii="宋体" w:eastAsia="宋体" w:hAnsi="宋体" w:cs="宋体"/>
          <w:spacing w:val="-3"/>
        </w:rPr>
        <w:t>尿病，而有些则否。当各种免疫系统化合物编码基因发生突变时，免疫系统误认</w:t>
      </w:r>
      <w:r>
        <w:rPr>
          <w:rFonts w:ascii="宋体" w:eastAsia="宋体" w:hAnsi="宋体" w:cs="宋体"/>
          <w:spacing w:val="4"/>
        </w:rPr>
        <w:t xml:space="preserve"> </w:t>
      </w:r>
      <w:r>
        <w:rPr>
          <w:rFonts w:ascii="宋体" w:eastAsia="宋体" w:hAnsi="宋体" w:cs="宋体"/>
          <w:spacing w:val="-2"/>
        </w:rPr>
        <w:t>其自身的蛋白是外源蛋白，便产生抗体破坏，就出现</w:t>
      </w:r>
      <w:r>
        <w:rPr>
          <w:rFonts w:ascii="宋体" w:eastAsia="宋体" w:hAnsi="宋体" w:cs="宋体"/>
          <w:spacing w:val="-3"/>
        </w:rPr>
        <w:t>了自身免疫疾病。自免疫糖</w:t>
      </w:r>
      <w:r>
        <w:rPr>
          <w:rFonts w:ascii="宋体" w:eastAsia="宋体" w:hAnsi="宋体" w:cs="宋体"/>
        </w:rPr>
        <w:t xml:space="preserve"> </w:t>
      </w:r>
      <w:r>
        <w:rPr>
          <w:rFonts w:ascii="宋体" w:eastAsia="宋体" w:hAnsi="宋体" w:cs="宋体"/>
          <w:spacing w:val="1"/>
        </w:rPr>
        <w:t>尿病对胰岛β细胞的破坏与一个或多个编码组织相溶性复合物</w:t>
      </w:r>
      <w:r>
        <w:rPr>
          <w:rFonts w:ascii="宋体" w:eastAsia="宋体" w:hAnsi="宋体" w:cs="宋体"/>
          <w:spacing w:val="-6"/>
        </w:rPr>
        <w:t xml:space="preserve"> </w:t>
      </w:r>
      <w:r>
        <w:rPr>
          <w:rFonts w:ascii="宋体" w:eastAsia="宋体" w:hAnsi="宋体" w:cs="宋体"/>
        </w:rPr>
        <w:t>(histocompati- bility</w:t>
      </w:r>
      <w:r>
        <w:rPr>
          <w:rFonts w:ascii="宋体" w:eastAsia="宋体" w:hAnsi="宋体" w:cs="宋体"/>
          <w:spacing w:val="19"/>
        </w:rPr>
        <w:t xml:space="preserve">  </w:t>
      </w:r>
      <w:r>
        <w:rPr>
          <w:rFonts w:ascii="宋体" w:eastAsia="宋体" w:hAnsi="宋体" w:cs="宋体"/>
        </w:rPr>
        <w:t>complex</w:t>
      </w:r>
      <w:r>
        <w:rPr>
          <w:rFonts w:ascii="宋体" w:eastAsia="宋体" w:hAnsi="宋体" w:cs="宋体"/>
          <w:spacing w:val="1"/>
        </w:rPr>
        <w:t>,</w:t>
      </w:r>
      <w:r>
        <w:rPr>
          <w:rFonts w:ascii="宋体" w:eastAsia="宋体" w:hAnsi="宋体" w:cs="宋体"/>
        </w:rPr>
        <w:t>MHC</w:t>
      </w:r>
      <w:r>
        <w:rPr>
          <w:rFonts w:ascii="宋体" w:eastAsia="宋体" w:hAnsi="宋体" w:cs="宋体"/>
          <w:spacing w:val="1"/>
        </w:rPr>
        <w:t>)</w:t>
      </w:r>
      <w:r>
        <w:rPr>
          <w:rFonts w:ascii="宋体" w:eastAsia="宋体" w:hAnsi="宋体" w:cs="宋体"/>
          <w:spacing w:val="-51"/>
        </w:rPr>
        <w:t xml:space="preserve"> </w:t>
      </w:r>
      <w:r>
        <w:rPr>
          <w:rFonts w:ascii="宋体" w:eastAsia="宋体" w:hAnsi="宋体" w:cs="宋体"/>
          <w:spacing w:val="1"/>
        </w:rPr>
        <w:t>基因突变有关。有关基因位于6染色体，已发现有近2×</w:t>
      </w:r>
      <w:r>
        <w:rPr>
          <w:rFonts w:ascii="宋体" w:eastAsia="宋体" w:hAnsi="宋体" w:cs="宋体"/>
        </w:rPr>
        <w:t xml:space="preserve"> </w:t>
      </w:r>
      <w:r>
        <w:rPr>
          <w:rFonts w:ascii="宋体" w:eastAsia="宋体" w:hAnsi="宋体" w:cs="宋体"/>
          <w:spacing w:val="-8"/>
        </w:rPr>
        <w:t>10</w:t>
      </w:r>
      <w:r>
        <w:rPr>
          <w:rFonts w:ascii="Calibri" w:eastAsia="Calibri" w:hAnsi="Calibri" w:cs="Calibri"/>
          <w:spacing w:val="-8"/>
        </w:rPr>
        <w:t>⁶</w:t>
      </w:r>
      <w:r>
        <w:rPr>
          <w:rFonts w:ascii="宋体" w:eastAsia="宋体" w:hAnsi="宋体" w:cs="宋体"/>
          <w:spacing w:val="-8"/>
        </w:rPr>
        <w:t>个核苷酸突变。</w:t>
      </w:r>
    </w:p>
    <w:p w:rsidR="00EA40A3" w:rsidRDefault="00E86C16">
      <w:pPr>
        <w:spacing w:before="71" w:line="266" w:lineRule="auto"/>
        <w:ind w:firstLine="420"/>
        <w:jc w:val="both"/>
        <w:rPr>
          <w:rFonts w:ascii="宋体" w:eastAsia="宋体" w:hAnsi="宋体" w:cs="宋体"/>
        </w:rPr>
      </w:pPr>
      <w:r>
        <w:rPr>
          <w:rFonts w:ascii="宋体" w:eastAsia="宋体" w:hAnsi="宋体" w:cs="宋体"/>
        </w:rPr>
        <w:t>导致胰岛细胞失效的另一个可能因素是胰岛素的生物活性不足</w:t>
      </w:r>
      <w:r>
        <w:rPr>
          <w:rFonts w:ascii="宋体" w:eastAsia="宋体" w:hAnsi="宋体" w:cs="宋体"/>
          <w:spacing w:val="-1"/>
        </w:rPr>
        <w:t>。研究发现，</w:t>
      </w:r>
      <w:r>
        <w:rPr>
          <w:rFonts w:ascii="宋体" w:eastAsia="宋体" w:hAnsi="宋体" w:cs="宋体"/>
        </w:rPr>
        <w:t xml:space="preserve"> </w:t>
      </w:r>
      <w:r>
        <w:rPr>
          <w:rFonts w:ascii="宋体" w:eastAsia="宋体" w:hAnsi="宋体" w:cs="宋体"/>
          <w:spacing w:val="-3"/>
        </w:rPr>
        <w:t>人和小鼠胰岛素基因突变导致许多氨基酸替代，并影响胰岛素活性。研究家族性</w:t>
      </w:r>
      <w:r>
        <w:rPr>
          <w:rFonts w:ascii="宋体" w:eastAsia="宋体" w:hAnsi="宋体" w:cs="宋体"/>
          <w:spacing w:val="1"/>
        </w:rPr>
        <w:t xml:space="preserve">  </w:t>
      </w:r>
      <w:r>
        <w:rPr>
          <w:rFonts w:ascii="宋体" w:eastAsia="宋体" w:hAnsi="宋体" w:cs="宋体"/>
          <w:spacing w:val="-2"/>
        </w:rPr>
        <w:t>胰岛素基因异常时，观察到十个家族中均有一个点突</w:t>
      </w:r>
      <w:r>
        <w:rPr>
          <w:rFonts w:ascii="宋体" w:eastAsia="宋体" w:hAnsi="宋体" w:cs="宋体"/>
          <w:spacing w:val="-3"/>
        </w:rPr>
        <w:t>变，导致胰岛素原氨基酸改</w:t>
      </w:r>
      <w:r>
        <w:rPr>
          <w:rFonts w:ascii="宋体" w:eastAsia="宋体" w:hAnsi="宋体" w:cs="宋体"/>
        </w:rPr>
        <w:t xml:space="preserve">  </w:t>
      </w:r>
      <w:r>
        <w:rPr>
          <w:rFonts w:ascii="宋体" w:eastAsia="宋体" w:hAnsi="宋体" w:cs="宋体"/>
          <w:spacing w:val="3"/>
        </w:rPr>
        <w:t>变，6个突变导致A</w:t>
      </w:r>
      <w:r>
        <w:rPr>
          <w:rFonts w:ascii="宋体" w:eastAsia="宋体" w:hAnsi="宋体" w:cs="宋体"/>
          <w:spacing w:val="13"/>
        </w:rPr>
        <w:t xml:space="preserve"> </w:t>
      </w:r>
      <w:r>
        <w:rPr>
          <w:rFonts w:ascii="宋体" w:eastAsia="宋体" w:hAnsi="宋体" w:cs="宋体"/>
          <w:spacing w:val="3"/>
        </w:rPr>
        <w:t>或</w:t>
      </w:r>
      <w:r>
        <w:rPr>
          <w:rFonts w:ascii="宋体" w:eastAsia="宋体" w:hAnsi="宋体" w:cs="宋体"/>
          <w:spacing w:val="-54"/>
        </w:rPr>
        <w:t xml:space="preserve"> </w:t>
      </w:r>
      <w:r>
        <w:rPr>
          <w:rFonts w:ascii="宋体" w:eastAsia="宋体" w:hAnsi="宋体" w:cs="宋体"/>
          <w:spacing w:val="3"/>
        </w:rPr>
        <w:t>B</w:t>
      </w:r>
      <w:r>
        <w:rPr>
          <w:rFonts w:ascii="宋体" w:eastAsia="宋体" w:hAnsi="宋体" w:cs="宋体"/>
          <w:spacing w:val="-36"/>
        </w:rPr>
        <w:t xml:space="preserve"> </w:t>
      </w:r>
      <w:r>
        <w:rPr>
          <w:rFonts w:ascii="宋体" w:eastAsia="宋体" w:hAnsi="宋体" w:cs="宋体"/>
          <w:spacing w:val="3"/>
        </w:rPr>
        <w:t>链氨基酸改变，导致分泌胰岛素障碍。另外4个突变导</w:t>
      </w:r>
      <w:r>
        <w:rPr>
          <w:rFonts w:ascii="宋体" w:eastAsia="宋体" w:hAnsi="宋体" w:cs="宋体"/>
        </w:rPr>
        <w:t xml:space="preserve">  </w:t>
      </w:r>
      <w:r>
        <w:rPr>
          <w:rFonts w:ascii="宋体" w:eastAsia="宋体" w:hAnsi="宋体" w:cs="宋体"/>
          <w:spacing w:val="-1"/>
        </w:rPr>
        <w:t>致无法识别C</w:t>
      </w:r>
      <w:r>
        <w:rPr>
          <w:rFonts w:ascii="宋体" w:eastAsia="宋体" w:hAnsi="宋体" w:cs="宋体"/>
          <w:spacing w:val="-14"/>
        </w:rPr>
        <w:t xml:space="preserve"> </w:t>
      </w:r>
      <w:r>
        <w:rPr>
          <w:rFonts w:ascii="宋体" w:eastAsia="宋体" w:hAnsi="宋体" w:cs="宋体"/>
          <w:spacing w:val="-1"/>
        </w:rPr>
        <w:t>肽-A</w:t>
      </w:r>
      <w:r>
        <w:rPr>
          <w:rFonts w:ascii="宋体" w:eastAsia="宋体" w:hAnsi="宋体" w:cs="宋体"/>
          <w:spacing w:val="-19"/>
        </w:rPr>
        <w:t xml:space="preserve"> </w:t>
      </w:r>
      <w:r>
        <w:rPr>
          <w:rFonts w:ascii="宋体" w:eastAsia="宋体" w:hAnsi="宋体" w:cs="宋体"/>
          <w:spacing w:val="-1"/>
        </w:rPr>
        <w:t>链切割位点，并阻止其移动。</w:t>
      </w:r>
      <w:r>
        <w:rPr>
          <w:rFonts w:ascii="宋体" w:eastAsia="宋体" w:hAnsi="宋体" w:cs="宋体"/>
          <w:spacing w:val="5"/>
        </w:rPr>
        <w:t xml:space="preserve"> </w:t>
      </w:r>
      <w:r>
        <w:rPr>
          <w:rFonts w:ascii="宋体" w:eastAsia="宋体" w:hAnsi="宋体" w:cs="宋体"/>
          <w:spacing w:val="-1"/>
        </w:rPr>
        <w:t>C</w:t>
      </w:r>
      <w:r>
        <w:rPr>
          <w:rFonts w:ascii="宋体" w:eastAsia="宋体" w:hAnsi="宋体" w:cs="宋体"/>
          <w:spacing w:val="-3"/>
        </w:rPr>
        <w:t xml:space="preserve"> </w:t>
      </w:r>
      <w:r>
        <w:rPr>
          <w:rFonts w:ascii="宋体" w:eastAsia="宋体" w:hAnsi="宋体" w:cs="宋体"/>
          <w:spacing w:val="-1"/>
        </w:rPr>
        <w:t>肽没有</w:t>
      </w:r>
      <w:r>
        <w:rPr>
          <w:rFonts w:ascii="宋体" w:eastAsia="宋体" w:hAnsi="宋体" w:cs="宋体"/>
          <w:spacing w:val="-2"/>
        </w:rPr>
        <w:t>从胰岛素与其受体的</w:t>
      </w:r>
      <w:r>
        <w:rPr>
          <w:rFonts w:ascii="宋体" w:eastAsia="宋体" w:hAnsi="宋体" w:cs="宋体"/>
        </w:rPr>
        <w:t xml:space="preserve">  结合体切开，血液中胰岛素原含量高。胰岛素原是由胰岛分泌的大分子胰岛素，</w:t>
      </w:r>
      <w:r>
        <w:rPr>
          <w:rFonts w:ascii="宋体" w:eastAsia="宋体" w:hAnsi="宋体" w:cs="宋体"/>
          <w:spacing w:val="13"/>
        </w:rPr>
        <w:t xml:space="preserve"> </w:t>
      </w:r>
      <w:r>
        <w:rPr>
          <w:rFonts w:ascii="宋体" w:eastAsia="宋体" w:hAnsi="宋体" w:cs="宋体"/>
          <w:spacing w:val="4"/>
        </w:rPr>
        <w:t>当胰岛素到达目标组织，会裂解为胰岛素和C</w:t>
      </w:r>
      <w:r>
        <w:rPr>
          <w:rFonts w:ascii="宋体" w:eastAsia="宋体" w:hAnsi="宋体" w:cs="宋体"/>
          <w:spacing w:val="-4"/>
        </w:rPr>
        <w:t xml:space="preserve"> </w:t>
      </w:r>
      <w:r>
        <w:rPr>
          <w:rFonts w:ascii="宋体" w:eastAsia="宋体" w:hAnsi="宋体" w:cs="宋体"/>
          <w:spacing w:val="4"/>
        </w:rPr>
        <w:t>肽或C</w:t>
      </w:r>
      <w:r>
        <w:rPr>
          <w:rFonts w:ascii="宋体" w:eastAsia="宋体" w:hAnsi="宋体" w:cs="宋体"/>
          <w:spacing w:val="-4"/>
        </w:rPr>
        <w:t xml:space="preserve"> </w:t>
      </w:r>
      <w:r>
        <w:rPr>
          <w:rFonts w:ascii="宋体" w:eastAsia="宋体" w:hAnsi="宋体" w:cs="宋体"/>
          <w:spacing w:val="4"/>
        </w:rPr>
        <w:t>链，胰岛素原只有胰岛素</w:t>
      </w:r>
      <w:r>
        <w:rPr>
          <w:rFonts w:ascii="宋体" w:eastAsia="宋体" w:hAnsi="宋体" w:cs="宋体"/>
        </w:rPr>
        <w:t xml:space="preserve">  </w:t>
      </w:r>
      <w:r>
        <w:rPr>
          <w:rFonts w:ascii="宋体" w:eastAsia="宋体" w:hAnsi="宋体" w:cs="宋体"/>
          <w:spacing w:val="13"/>
        </w:rPr>
        <w:t>活性的1.7%～2.5%。</w:t>
      </w:r>
    </w:p>
    <w:p w:rsidR="00EA40A3" w:rsidRDefault="00E86C16">
      <w:pPr>
        <w:spacing w:before="58" w:line="262" w:lineRule="auto"/>
        <w:ind w:right="95" w:firstLine="420"/>
        <w:jc w:val="both"/>
        <w:rPr>
          <w:rFonts w:ascii="宋体" w:eastAsia="宋体" w:hAnsi="宋体" w:cs="宋体"/>
        </w:rPr>
      </w:pPr>
      <w:r>
        <w:rPr>
          <w:rFonts w:ascii="宋体" w:eastAsia="宋体" w:hAnsi="宋体" w:cs="宋体"/>
          <w:spacing w:val="-3"/>
        </w:rPr>
        <w:t>由上可知，分子营养学研究应当对传统营养学的知识进行系统整理、总结出</w:t>
      </w:r>
      <w:r>
        <w:rPr>
          <w:rFonts w:ascii="宋体" w:eastAsia="宋体" w:hAnsi="宋体" w:cs="宋体"/>
          <w:spacing w:val="13"/>
        </w:rPr>
        <w:t xml:space="preserve"> </w:t>
      </w:r>
      <w:r>
        <w:rPr>
          <w:rFonts w:ascii="宋体" w:eastAsia="宋体" w:hAnsi="宋体" w:cs="宋体"/>
          <w:spacing w:val="-2"/>
        </w:rPr>
        <w:t>营养调控的典型模型，建立营养素与基因表达有对应</w:t>
      </w:r>
      <w:r>
        <w:rPr>
          <w:rFonts w:ascii="宋体" w:eastAsia="宋体" w:hAnsi="宋体" w:cs="宋体"/>
          <w:spacing w:val="-3"/>
        </w:rPr>
        <w:t>关系的具体实例，再结合分</w:t>
      </w:r>
      <w:r>
        <w:rPr>
          <w:rFonts w:ascii="宋体" w:eastAsia="宋体" w:hAnsi="宋体" w:cs="宋体"/>
        </w:rPr>
        <w:t xml:space="preserve"> </w:t>
      </w:r>
      <w:r>
        <w:rPr>
          <w:rFonts w:ascii="宋体" w:eastAsia="宋体" w:hAnsi="宋体" w:cs="宋体"/>
          <w:spacing w:val="-2"/>
        </w:rPr>
        <w:t>子生物学的研究成果，筛选并认识决定重要经济形状</w:t>
      </w:r>
      <w:r>
        <w:rPr>
          <w:rFonts w:ascii="宋体" w:eastAsia="宋体" w:hAnsi="宋体" w:cs="宋体"/>
          <w:spacing w:val="-3"/>
        </w:rPr>
        <w:t>的或具有社会效益的特定基</w:t>
      </w:r>
      <w:r>
        <w:rPr>
          <w:rFonts w:ascii="宋体" w:eastAsia="宋体" w:hAnsi="宋体" w:cs="宋体"/>
        </w:rPr>
        <w:t xml:space="preserve"> </w:t>
      </w:r>
      <w:r>
        <w:rPr>
          <w:rFonts w:ascii="宋体" w:eastAsia="宋体" w:hAnsi="宋体" w:cs="宋体"/>
          <w:spacing w:val="-2"/>
        </w:rPr>
        <w:t>因的结构、性质、功能等属性，然后将这些知识应用</w:t>
      </w:r>
      <w:r>
        <w:rPr>
          <w:rFonts w:ascii="宋体" w:eastAsia="宋体" w:hAnsi="宋体" w:cs="宋体"/>
          <w:spacing w:val="-3"/>
        </w:rPr>
        <w:t>到营养因素如何调控人体健</w:t>
      </w:r>
      <w:r>
        <w:rPr>
          <w:rFonts w:ascii="宋体" w:eastAsia="宋体" w:hAnsi="宋体" w:cs="宋体"/>
        </w:rPr>
        <w:t xml:space="preserve"> </w:t>
      </w:r>
      <w:r>
        <w:rPr>
          <w:rFonts w:ascii="宋体" w:eastAsia="宋体" w:hAnsi="宋体" w:cs="宋体"/>
          <w:spacing w:val="-5"/>
        </w:rPr>
        <w:t>康和发病过程的基因组表达中。</w:t>
      </w:r>
    </w:p>
    <w:p w:rsidR="00EA40A3" w:rsidRDefault="00E86C16">
      <w:pPr>
        <w:spacing w:before="208" w:line="222" w:lineRule="auto"/>
        <w:ind w:left="3143"/>
        <w:rPr>
          <w:rFonts w:ascii="黑体" w:eastAsia="黑体" w:hAnsi="黑体" w:cs="黑体"/>
        </w:rPr>
      </w:pPr>
      <w:r>
        <w:rPr>
          <w:rFonts w:ascii="黑体" w:eastAsia="黑体" w:hAnsi="黑体" w:cs="黑体"/>
          <w:b/>
          <w:bCs/>
          <w:spacing w:val="-8"/>
        </w:rPr>
        <w:t>思</w:t>
      </w:r>
      <w:r>
        <w:rPr>
          <w:rFonts w:ascii="黑体" w:eastAsia="黑体" w:hAnsi="黑体" w:cs="黑体"/>
          <w:spacing w:val="93"/>
        </w:rPr>
        <w:t xml:space="preserve"> </w:t>
      </w:r>
      <w:r>
        <w:rPr>
          <w:rFonts w:ascii="黑体" w:eastAsia="黑体" w:hAnsi="黑体" w:cs="黑体"/>
          <w:b/>
          <w:bCs/>
          <w:spacing w:val="-8"/>
        </w:rPr>
        <w:t>考</w:t>
      </w:r>
      <w:r>
        <w:rPr>
          <w:rFonts w:ascii="黑体" w:eastAsia="黑体" w:hAnsi="黑体" w:cs="黑体"/>
          <w:spacing w:val="93"/>
        </w:rPr>
        <w:t xml:space="preserve"> </w:t>
      </w:r>
      <w:r>
        <w:rPr>
          <w:rFonts w:ascii="黑体" w:eastAsia="黑体" w:hAnsi="黑体" w:cs="黑体"/>
          <w:b/>
          <w:bCs/>
          <w:spacing w:val="-8"/>
        </w:rPr>
        <w:t>题</w:t>
      </w:r>
    </w:p>
    <w:p w:rsidR="00EA40A3" w:rsidRDefault="00E86C16">
      <w:pPr>
        <w:spacing w:before="239" w:line="220" w:lineRule="auto"/>
        <w:ind w:left="360"/>
        <w:rPr>
          <w:rFonts w:ascii="宋体" w:eastAsia="宋体" w:hAnsi="宋体" w:cs="宋体"/>
          <w:sz w:val="17"/>
          <w:szCs w:val="17"/>
        </w:rPr>
      </w:pPr>
      <w:r>
        <w:rPr>
          <w:rFonts w:ascii="宋体" w:eastAsia="宋体" w:hAnsi="宋体" w:cs="宋体"/>
          <w:spacing w:val="4"/>
          <w:sz w:val="17"/>
          <w:szCs w:val="17"/>
        </w:rPr>
        <w:t>1.</w:t>
      </w:r>
      <w:r>
        <w:rPr>
          <w:rFonts w:ascii="宋体" w:eastAsia="宋体" w:hAnsi="宋体" w:cs="宋体"/>
          <w:spacing w:val="-36"/>
          <w:sz w:val="17"/>
          <w:szCs w:val="17"/>
        </w:rPr>
        <w:t xml:space="preserve"> </w:t>
      </w:r>
      <w:r>
        <w:rPr>
          <w:rFonts w:ascii="宋体" w:eastAsia="宋体" w:hAnsi="宋体" w:cs="宋体"/>
          <w:spacing w:val="4"/>
          <w:sz w:val="17"/>
          <w:szCs w:val="17"/>
        </w:rPr>
        <w:t>免疫系统有何作用?</w:t>
      </w:r>
    </w:p>
    <w:p w:rsidR="00EA40A3" w:rsidRDefault="00E86C16">
      <w:pPr>
        <w:spacing w:before="77" w:line="219" w:lineRule="auto"/>
        <w:ind w:left="360"/>
        <w:rPr>
          <w:rFonts w:ascii="宋体" w:eastAsia="宋体" w:hAnsi="宋体" w:cs="宋体"/>
          <w:sz w:val="17"/>
          <w:szCs w:val="17"/>
        </w:rPr>
      </w:pPr>
      <w:r>
        <w:rPr>
          <w:rFonts w:ascii="宋体" w:eastAsia="宋体" w:hAnsi="宋体" w:cs="宋体"/>
          <w:spacing w:val="7"/>
          <w:sz w:val="17"/>
          <w:szCs w:val="17"/>
        </w:rPr>
        <w:t>2.</w:t>
      </w:r>
      <w:r>
        <w:rPr>
          <w:rFonts w:ascii="宋体" w:eastAsia="宋体" w:hAnsi="宋体" w:cs="宋体"/>
          <w:spacing w:val="-28"/>
          <w:sz w:val="17"/>
          <w:szCs w:val="17"/>
        </w:rPr>
        <w:t xml:space="preserve"> </w:t>
      </w:r>
      <w:r>
        <w:rPr>
          <w:rFonts w:ascii="宋体" w:eastAsia="宋体" w:hAnsi="宋体" w:cs="宋体"/>
          <w:spacing w:val="7"/>
          <w:sz w:val="17"/>
          <w:szCs w:val="17"/>
        </w:rPr>
        <w:t>蛋白质营养对免疫有何影响?</w:t>
      </w:r>
    </w:p>
    <w:p w:rsidR="00EA40A3" w:rsidRDefault="00E86C16">
      <w:pPr>
        <w:spacing w:before="77" w:line="219" w:lineRule="auto"/>
        <w:ind w:left="360"/>
        <w:rPr>
          <w:rFonts w:ascii="宋体" w:eastAsia="宋体" w:hAnsi="宋体" w:cs="宋体"/>
          <w:sz w:val="17"/>
          <w:szCs w:val="17"/>
        </w:rPr>
      </w:pPr>
      <w:r>
        <w:rPr>
          <w:rFonts w:ascii="宋体" w:eastAsia="宋体" w:hAnsi="宋体" w:cs="宋体"/>
          <w:spacing w:val="6"/>
          <w:sz w:val="17"/>
          <w:szCs w:val="17"/>
        </w:rPr>
        <w:t>3.</w:t>
      </w:r>
      <w:r>
        <w:rPr>
          <w:rFonts w:ascii="宋体" w:eastAsia="宋体" w:hAnsi="宋体" w:cs="宋体"/>
          <w:spacing w:val="-31"/>
          <w:sz w:val="17"/>
          <w:szCs w:val="17"/>
        </w:rPr>
        <w:t xml:space="preserve"> </w:t>
      </w:r>
      <w:r>
        <w:rPr>
          <w:rFonts w:ascii="宋体" w:eastAsia="宋体" w:hAnsi="宋体" w:cs="宋体"/>
          <w:spacing w:val="6"/>
          <w:sz w:val="17"/>
          <w:szCs w:val="17"/>
        </w:rPr>
        <w:t>如何改善机体免疫状况?</w:t>
      </w:r>
    </w:p>
    <w:p w:rsidR="00EA40A3" w:rsidRDefault="00E86C16">
      <w:pPr>
        <w:spacing w:before="79" w:line="219" w:lineRule="auto"/>
        <w:ind w:left="360"/>
        <w:rPr>
          <w:rFonts w:ascii="宋体" w:eastAsia="宋体" w:hAnsi="宋体" w:cs="宋体"/>
          <w:sz w:val="17"/>
          <w:szCs w:val="17"/>
        </w:rPr>
      </w:pPr>
      <w:r>
        <w:rPr>
          <w:rFonts w:ascii="宋体" w:eastAsia="宋体" w:hAnsi="宋体" w:cs="宋体"/>
          <w:spacing w:val="5"/>
          <w:sz w:val="17"/>
          <w:szCs w:val="17"/>
        </w:rPr>
        <w:t>4.</w:t>
      </w:r>
      <w:r>
        <w:rPr>
          <w:rFonts w:ascii="宋体" w:eastAsia="宋体" w:hAnsi="宋体" w:cs="宋体"/>
          <w:spacing w:val="-41"/>
          <w:sz w:val="17"/>
          <w:szCs w:val="17"/>
        </w:rPr>
        <w:t xml:space="preserve"> </w:t>
      </w:r>
      <w:r>
        <w:rPr>
          <w:rFonts w:ascii="宋体" w:eastAsia="宋体" w:hAnsi="宋体" w:cs="宋体"/>
          <w:spacing w:val="5"/>
          <w:sz w:val="17"/>
          <w:szCs w:val="17"/>
        </w:rPr>
        <w:t>抗氧化机制抗衰老的机理。</w:t>
      </w:r>
    </w:p>
    <w:p w:rsidR="00EA40A3" w:rsidRDefault="00E86C16">
      <w:pPr>
        <w:spacing w:before="78" w:line="219" w:lineRule="auto"/>
        <w:ind w:left="360"/>
        <w:rPr>
          <w:rFonts w:ascii="宋体" w:eastAsia="宋体" w:hAnsi="宋体" w:cs="宋体"/>
          <w:sz w:val="17"/>
          <w:szCs w:val="17"/>
        </w:rPr>
      </w:pPr>
      <w:r>
        <w:rPr>
          <w:rFonts w:ascii="宋体" w:eastAsia="宋体" w:hAnsi="宋体" w:cs="宋体"/>
          <w:spacing w:val="6"/>
          <w:sz w:val="17"/>
          <w:szCs w:val="17"/>
        </w:rPr>
        <w:t>5.</w:t>
      </w:r>
      <w:r>
        <w:rPr>
          <w:rFonts w:ascii="宋体" w:eastAsia="宋体" w:hAnsi="宋体" w:cs="宋体"/>
          <w:spacing w:val="-36"/>
          <w:sz w:val="17"/>
          <w:szCs w:val="17"/>
        </w:rPr>
        <w:t xml:space="preserve"> </w:t>
      </w:r>
      <w:r>
        <w:rPr>
          <w:rFonts w:ascii="宋体" w:eastAsia="宋体" w:hAnsi="宋体" w:cs="宋体"/>
          <w:spacing w:val="6"/>
          <w:sz w:val="17"/>
          <w:szCs w:val="17"/>
        </w:rPr>
        <w:t>简述食盐摄入过多引发高血压的机制。</w:t>
      </w:r>
    </w:p>
    <w:p w:rsidR="00EA40A3" w:rsidRDefault="00E86C16">
      <w:pPr>
        <w:spacing w:before="136"/>
        <w:ind w:right="111"/>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385</w:t>
      </w:r>
      <w:r>
        <w:rPr>
          <w:rFonts w:ascii="宋体" w:eastAsia="宋体" w:hAnsi="宋体" w:cs="宋体"/>
          <w:spacing w:val="54"/>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15" w:bottom="400" w:left="939" w:header="0" w:footer="0" w:gutter="0"/>
          <w:cols w:space="720"/>
        </w:sectPr>
      </w:pPr>
    </w:p>
    <w:p w:rsidR="00EA40A3" w:rsidRDefault="00EA40A3">
      <w:pPr>
        <w:spacing w:line="289" w:lineRule="auto"/>
      </w:pPr>
    </w:p>
    <w:p w:rsidR="00EA40A3" w:rsidRDefault="00EA40A3">
      <w:pPr>
        <w:spacing w:line="289" w:lineRule="auto"/>
      </w:pPr>
    </w:p>
    <w:p w:rsidR="00EA40A3" w:rsidRDefault="00E86C16">
      <w:pPr>
        <w:spacing w:before="55" w:line="219" w:lineRule="auto"/>
        <w:ind w:left="430"/>
        <w:rPr>
          <w:rFonts w:ascii="宋体" w:eastAsia="宋体" w:hAnsi="宋体" w:cs="宋体"/>
          <w:sz w:val="17"/>
          <w:szCs w:val="17"/>
        </w:rPr>
      </w:pPr>
      <w:r>
        <w:rPr>
          <w:rFonts w:ascii="宋体" w:eastAsia="宋体" w:hAnsi="宋体" w:cs="宋体"/>
          <w:spacing w:val="4"/>
          <w:sz w:val="17"/>
          <w:szCs w:val="17"/>
        </w:rPr>
        <w:t>6.</w:t>
      </w:r>
      <w:r>
        <w:rPr>
          <w:rFonts w:ascii="宋体" w:eastAsia="宋体" w:hAnsi="宋体" w:cs="宋体"/>
          <w:spacing w:val="-15"/>
          <w:sz w:val="17"/>
          <w:szCs w:val="17"/>
        </w:rPr>
        <w:t xml:space="preserve"> </w:t>
      </w:r>
      <w:r>
        <w:rPr>
          <w:rFonts w:ascii="宋体" w:eastAsia="宋体" w:hAnsi="宋体" w:cs="宋体"/>
          <w:spacing w:val="4"/>
          <w:sz w:val="17"/>
          <w:szCs w:val="17"/>
        </w:rPr>
        <w:t>高血压的饮食预防与治疗原则。</w:t>
      </w:r>
    </w:p>
    <w:p w:rsidR="00EA40A3" w:rsidRDefault="00E86C16">
      <w:pPr>
        <w:spacing w:before="88" w:line="219" w:lineRule="auto"/>
        <w:ind w:left="430"/>
        <w:rPr>
          <w:rFonts w:ascii="宋体" w:eastAsia="宋体" w:hAnsi="宋体" w:cs="宋体"/>
          <w:sz w:val="17"/>
          <w:szCs w:val="17"/>
        </w:rPr>
      </w:pPr>
      <w:r>
        <w:rPr>
          <w:rFonts w:ascii="宋体" w:eastAsia="宋体" w:hAnsi="宋体" w:cs="宋体"/>
          <w:spacing w:val="5"/>
          <w:sz w:val="17"/>
          <w:szCs w:val="17"/>
        </w:rPr>
        <w:t>7.</w:t>
      </w:r>
      <w:r>
        <w:rPr>
          <w:rFonts w:ascii="宋体" w:eastAsia="宋体" w:hAnsi="宋体" w:cs="宋体"/>
          <w:spacing w:val="-26"/>
          <w:sz w:val="17"/>
          <w:szCs w:val="17"/>
        </w:rPr>
        <w:t xml:space="preserve"> </w:t>
      </w:r>
      <w:r>
        <w:rPr>
          <w:rFonts w:ascii="宋体" w:eastAsia="宋体" w:hAnsi="宋体" w:cs="宋体"/>
          <w:spacing w:val="5"/>
          <w:sz w:val="17"/>
          <w:szCs w:val="17"/>
        </w:rPr>
        <w:t>主要营养素和冠心病发生的关系。</w:t>
      </w:r>
    </w:p>
    <w:p w:rsidR="00EA40A3" w:rsidRDefault="00E86C16">
      <w:pPr>
        <w:spacing w:before="88" w:line="219" w:lineRule="auto"/>
        <w:ind w:left="430"/>
        <w:rPr>
          <w:rFonts w:ascii="宋体" w:eastAsia="宋体" w:hAnsi="宋体" w:cs="宋体"/>
          <w:sz w:val="17"/>
          <w:szCs w:val="17"/>
        </w:rPr>
      </w:pPr>
      <w:r>
        <w:rPr>
          <w:rFonts w:ascii="宋体" w:eastAsia="宋体" w:hAnsi="宋体" w:cs="宋体"/>
          <w:spacing w:val="6"/>
          <w:sz w:val="17"/>
          <w:szCs w:val="17"/>
        </w:rPr>
        <w:t>8.</w:t>
      </w:r>
      <w:r>
        <w:rPr>
          <w:rFonts w:ascii="宋体" w:eastAsia="宋体" w:hAnsi="宋体" w:cs="宋体"/>
          <w:spacing w:val="-32"/>
          <w:sz w:val="17"/>
          <w:szCs w:val="17"/>
        </w:rPr>
        <w:t xml:space="preserve"> </w:t>
      </w:r>
      <w:r>
        <w:rPr>
          <w:rFonts w:ascii="宋体" w:eastAsia="宋体" w:hAnsi="宋体" w:cs="宋体"/>
          <w:spacing w:val="6"/>
          <w:sz w:val="17"/>
          <w:szCs w:val="17"/>
        </w:rPr>
        <w:t>冠心病的饮食预防治疗原则。</w:t>
      </w:r>
    </w:p>
    <w:p w:rsidR="00EA40A3" w:rsidRDefault="00EA40A3">
      <w:pPr>
        <w:spacing w:line="257" w:lineRule="auto"/>
      </w:pPr>
    </w:p>
    <w:p w:rsidR="00EA40A3" w:rsidRDefault="00E86C16">
      <w:pPr>
        <w:spacing w:before="68" w:line="225" w:lineRule="auto"/>
        <w:ind w:right="305"/>
        <w:jc w:val="right"/>
        <w:rPr>
          <w:rFonts w:ascii="楷体" w:eastAsia="楷体" w:hAnsi="楷体" w:cs="楷体"/>
        </w:rPr>
      </w:pPr>
      <w:r>
        <w:rPr>
          <w:rFonts w:ascii="楷体" w:eastAsia="楷体" w:hAnsi="楷体" w:cs="楷体"/>
          <w:spacing w:val="-5"/>
        </w:rPr>
        <w:t>(本章编写人：乐国伟)</w:t>
      </w:r>
    </w:p>
    <w:p w:rsidR="00EA40A3" w:rsidRDefault="00E86C16">
      <w:pPr>
        <w:spacing w:before="192" w:line="222" w:lineRule="auto"/>
        <w:ind w:left="3082"/>
        <w:rPr>
          <w:rFonts w:ascii="黑体" w:eastAsia="黑体" w:hAnsi="黑体" w:cs="黑体"/>
        </w:rPr>
      </w:pPr>
      <w:r>
        <w:rPr>
          <w:rFonts w:ascii="黑体" w:eastAsia="黑体" w:hAnsi="黑体" w:cs="黑体"/>
          <w:b/>
          <w:bCs/>
          <w:spacing w:val="-10"/>
        </w:rPr>
        <w:t>主要参考文献</w:t>
      </w:r>
    </w:p>
    <w:p w:rsidR="00EA40A3" w:rsidRDefault="00E86C16">
      <w:pPr>
        <w:spacing w:before="208" w:line="216" w:lineRule="auto"/>
        <w:rPr>
          <w:rFonts w:ascii="宋体" w:eastAsia="宋体" w:hAnsi="宋体" w:cs="宋体"/>
          <w:sz w:val="17"/>
          <w:szCs w:val="17"/>
        </w:rPr>
      </w:pPr>
      <w:r>
        <w:rPr>
          <w:rFonts w:ascii="宋体" w:eastAsia="宋体" w:hAnsi="宋体" w:cs="宋体"/>
          <w:spacing w:val="-1"/>
          <w:sz w:val="17"/>
          <w:szCs w:val="17"/>
        </w:rPr>
        <w:t>鲍曼</w:t>
      </w:r>
      <w:r>
        <w:rPr>
          <w:rFonts w:ascii="宋体" w:eastAsia="宋体" w:hAnsi="宋体" w:cs="宋体"/>
          <w:spacing w:val="-43"/>
          <w:sz w:val="17"/>
          <w:szCs w:val="17"/>
        </w:rPr>
        <w:t xml:space="preserve"> </w:t>
      </w:r>
      <w:r>
        <w:rPr>
          <w:rFonts w:ascii="宋体" w:eastAsia="宋体" w:hAnsi="宋体" w:cs="宋体"/>
          <w:spacing w:val="-1"/>
          <w:sz w:val="17"/>
          <w:szCs w:val="17"/>
        </w:rPr>
        <w:t>BA,</w:t>
      </w:r>
      <w:r>
        <w:rPr>
          <w:rFonts w:ascii="宋体" w:eastAsia="宋体" w:hAnsi="宋体" w:cs="宋体"/>
          <w:spacing w:val="82"/>
          <w:sz w:val="17"/>
          <w:szCs w:val="17"/>
        </w:rPr>
        <w:t xml:space="preserve"> </w:t>
      </w:r>
      <w:r>
        <w:rPr>
          <w:rFonts w:ascii="宋体" w:eastAsia="宋体" w:hAnsi="宋体" w:cs="宋体"/>
          <w:spacing w:val="-1"/>
          <w:sz w:val="17"/>
          <w:szCs w:val="17"/>
        </w:rPr>
        <w:t>拉塞尔RM2004.</w:t>
      </w:r>
      <w:r>
        <w:rPr>
          <w:rFonts w:ascii="宋体" w:eastAsia="宋体" w:hAnsi="宋体" w:cs="宋体"/>
          <w:spacing w:val="8"/>
          <w:sz w:val="17"/>
          <w:szCs w:val="17"/>
        </w:rPr>
        <w:t xml:space="preserve">   </w:t>
      </w:r>
      <w:r>
        <w:rPr>
          <w:rFonts w:ascii="宋体" w:eastAsia="宋体" w:hAnsi="宋体" w:cs="宋体"/>
          <w:spacing w:val="-1"/>
          <w:sz w:val="17"/>
          <w:szCs w:val="17"/>
        </w:rPr>
        <w:t>现代营养学.第8版.荫士安</w:t>
      </w:r>
      <w:r>
        <w:rPr>
          <w:rFonts w:ascii="宋体" w:eastAsia="宋体" w:hAnsi="宋体" w:cs="宋体"/>
          <w:spacing w:val="-2"/>
          <w:sz w:val="17"/>
          <w:szCs w:val="17"/>
        </w:rPr>
        <w:t>、汪之项主译.北京：化学工业出版社</w:t>
      </w:r>
    </w:p>
    <w:p w:rsidR="00EA40A3" w:rsidRDefault="00E86C16">
      <w:pPr>
        <w:spacing w:before="53" w:line="219" w:lineRule="auto"/>
        <w:rPr>
          <w:rFonts w:ascii="宋体" w:eastAsia="宋体" w:hAnsi="宋体" w:cs="宋体"/>
          <w:sz w:val="17"/>
          <w:szCs w:val="17"/>
        </w:rPr>
      </w:pPr>
      <w:r>
        <w:rPr>
          <w:rFonts w:ascii="宋体" w:eastAsia="宋体" w:hAnsi="宋体" w:cs="宋体"/>
          <w:spacing w:val="-3"/>
          <w:sz w:val="17"/>
          <w:szCs w:val="17"/>
        </w:rPr>
        <w:t>何志谦.1999.疾病营养学.北京：人民卫生出版社</w:t>
      </w:r>
    </w:p>
    <w:p w:rsidR="00EA40A3" w:rsidRDefault="00E86C16">
      <w:pPr>
        <w:spacing w:before="48" w:line="250" w:lineRule="exact"/>
        <w:rPr>
          <w:rFonts w:ascii="宋体" w:eastAsia="宋体" w:hAnsi="宋体" w:cs="宋体"/>
          <w:sz w:val="17"/>
          <w:szCs w:val="17"/>
        </w:rPr>
      </w:pPr>
      <w:r>
        <w:rPr>
          <w:rFonts w:ascii="宋体" w:eastAsia="宋体" w:hAnsi="宋体" w:cs="宋体"/>
          <w:spacing w:val="2"/>
          <w:position w:val="5"/>
          <w:sz w:val="17"/>
          <w:szCs w:val="17"/>
        </w:rPr>
        <w:t>何志谦.2001.人类营养学.第2版.北京：人</w:t>
      </w:r>
      <w:r>
        <w:rPr>
          <w:rFonts w:ascii="宋体" w:eastAsia="宋体" w:hAnsi="宋体" w:cs="宋体"/>
          <w:spacing w:val="1"/>
          <w:position w:val="5"/>
          <w:sz w:val="17"/>
          <w:szCs w:val="17"/>
        </w:rPr>
        <w:t>民卫生出版社</w:t>
      </w:r>
    </w:p>
    <w:p w:rsidR="00EA40A3" w:rsidRDefault="00E86C16">
      <w:pPr>
        <w:spacing w:before="1" w:line="219" w:lineRule="auto"/>
        <w:rPr>
          <w:rFonts w:ascii="宋体" w:eastAsia="宋体" w:hAnsi="宋体" w:cs="宋体"/>
          <w:sz w:val="17"/>
          <w:szCs w:val="17"/>
        </w:rPr>
      </w:pPr>
      <w:r>
        <w:rPr>
          <w:rFonts w:ascii="宋体" w:eastAsia="宋体" w:hAnsi="宋体" w:cs="宋体"/>
          <w:spacing w:val="-4"/>
          <w:sz w:val="17"/>
          <w:szCs w:val="17"/>
        </w:rPr>
        <w:t>黄承钰.2003.医学营养学.北京：人民卫生出版社</w:t>
      </w:r>
    </w:p>
    <w:p w:rsidR="00EA40A3" w:rsidRDefault="00E86C16">
      <w:pPr>
        <w:spacing w:before="47" w:line="250" w:lineRule="exact"/>
        <w:rPr>
          <w:rFonts w:ascii="宋体" w:eastAsia="宋体" w:hAnsi="宋体" w:cs="宋体"/>
          <w:sz w:val="17"/>
          <w:szCs w:val="17"/>
        </w:rPr>
      </w:pPr>
      <w:r>
        <w:rPr>
          <w:rFonts w:ascii="宋体" w:eastAsia="宋体" w:hAnsi="宋体" w:cs="宋体"/>
          <w:spacing w:val="-2"/>
          <w:position w:val="5"/>
          <w:sz w:val="17"/>
          <w:szCs w:val="17"/>
        </w:rPr>
        <w:t>齐格勒E</w:t>
      </w:r>
      <w:r>
        <w:rPr>
          <w:rFonts w:ascii="宋体" w:eastAsia="宋体" w:hAnsi="宋体" w:cs="宋体"/>
          <w:spacing w:val="3"/>
          <w:position w:val="5"/>
          <w:sz w:val="17"/>
          <w:szCs w:val="17"/>
        </w:rPr>
        <w:t xml:space="preserve">  </w:t>
      </w:r>
      <w:r>
        <w:rPr>
          <w:rFonts w:ascii="宋体" w:eastAsia="宋体" w:hAnsi="宋体" w:cs="宋体"/>
          <w:spacing w:val="-2"/>
          <w:position w:val="5"/>
          <w:sz w:val="17"/>
          <w:szCs w:val="17"/>
        </w:rPr>
        <w:t>E.1998.现代营养学.第7版.闻芝梅、陈君石主译.北京：人民出版社</w:t>
      </w:r>
    </w:p>
    <w:p w:rsidR="00EA40A3" w:rsidRDefault="00E86C16">
      <w:pPr>
        <w:spacing w:before="1" w:line="219" w:lineRule="auto"/>
        <w:rPr>
          <w:rFonts w:ascii="宋体" w:eastAsia="宋体" w:hAnsi="宋体" w:cs="宋体"/>
          <w:sz w:val="17"/>
          <w:szCs w:val="17"/>
        </w:rPr>
      </w:pPr>
      <w:r>
        <w:rPr>
          <w:rFonts w:ascii="宋体" w:eastAsia="宋体" w:hAnsi="宋体" w:cs="宋体"/>
          <w:spacing w:val="-3"/>
          <w:sz w:val="17"/>
          <w:szCs w:val="17"/>
        </w:rPr>
        <w:t>张爱珍.2000.医学营养学.北京：人民卫生出版社</w:t>
      </w:r>
    </w:p>
    <w:p w:rsidR="00EA40A3" w:rsidRDefault="00E86C16">
      <w:pPr>
        <w:spacing w:before="63" w:line="192" w:lineRule="auto"/>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Calder</w:t>
      </w:r>
      <w:r>
        <w:rPr>
          <w:rFonts w:ascii="Times New Roman" w:eastAsia="Times New Roman" w:hAnsi="Times New Roman" w:cs="Times New Roman"/>
          <w:spacing w:val="46"/>
          <w:sz w:val="17"/>
          <w:szCs w:val="17"/>
        </w:rPr>
        <w:t xml:space="preserve"> </w:t>
      </w:r>
      <w:r>
        <w:rPr>
          <w:rFonts w:ascii="Times New Roman" w:eastAsia="Times New Roman" w:hAnsi="Times New Roman" w:cs="Times New Roman"/>
          <w:spacing w:val="-1"/>
          <w:sz w:val="17"/>
          <w:szCs w:val="17"/>
        </w:rPr>
        <w:t>PC,Ficld</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CJ,Gill</w:t>
      </w:r>
      <w:r>
        <w:rPr>
          <w:rFonts w:ascii="Times New Roman" w:eastAsia="Times New Roman" w:hAnsi="Times New Roman" w:cs="Times New Roman"/>
          <w:spacing w:val="41"/>
          <w:w w:val="101"/>
          <w:sz w:val="17"/>
          <w:szCs w:val="17"/>
        </w:rPr>
        <w:t xml:space="preserve"> </w:t>
      </w:r>
      <w:r>
        <w:rPr>
          <w:rFonts w:ascii="Times New Roman" w:eastAsia="Times New Roman" w:hAnsi="Times New Roman" w:cs="Times New Roman"/>
          <w:spacing w:val="-1"/>
          <w:sz w:val="17"/>
          <w:szCs w:val="17"/>
        </w:rPr>
        <w:t>H</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1"/>
          <w:sz w:val="17"/>
          <w:szCs w:val="17"/>
        </w:rPr>
        <w:t>S</w:t>
      </w:r>
      <w:r>
        <w:rPr>
          <w:rFonts w:ascii="Times New Roman" w:eastAsia="Times New Roman" w:hAnsi="Times New Roman" w:cs="Times New Roman"/>
          <w:spacing w:val="41"/>
          <w:sz w:val="17"/>
          <w:szCs w:val="17"/>
        </w:rPr>
        <w:t xml:space="preserve"> </w:t>
      </w:r>
      <w:r>
        <w:rPr>
          <w:rFonts w:ascii="Times New Roman" w:eastAsia="Times New Roman" w:hAnsi="Times New Roman" w:cs="Times New Roman"/>
          <w:spacing w:val="-1"/>
          <w:sz w:val="17"/>
          <w:szCs w:val="17"/>
        </w:rPr>
        <w:t>2002.</w:t>
      </w:r>
      <w:r>
        <w:rPr>
          <w:rFonts w:ascii="Times New Roman" w:eastAsia="Times New Roman" w:hAnsi="Times New Roman" w:cs="Times New Roman"/>
          <w:spacing w:val="35"/>
          <w:w w:val="101"/>
          <w:sz w:val="17"/>
          <w:szCs w:val="17"/>
        </w:rPr>
        <w:t xml:space="preserve"> </w:t>
      </w:r>
      <w:r>
        <w:rPr>
          <w:rFonts w:ascii="Times New Roman" w:eastAsia="Times New Roman" w:hAnsi="Times New Roman" w:cs="Times New Roman"/>
          <w:spacing w:val="-1"/>
          <w:sz w:val="17"/>
          <w:szCs w:val="17"/>
        </w:rPr>
        <w:t>Nutrtion</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43"/>
          <w:w w:val="101"/>
          <w:sz w:val="17"/>
          <w:szCs w:val="17"/>
        </w:rPr>
        <w:t xml:space="preserve"> </w:t>
      </w:r>
      <w:r>
        <w:rPr>
          <w:rFonts w:ascii="Times New Roman" w:eastAsia="Times New Roman" w:hAnsi="Times New Roman" w:cs="Times New Roman"/>
          <w:spacing w:val="-1"/>
          <w:sz w:val="17"/>
          <w:szCs w:val="17"/>
        </w:rPr>
        <w:t>imrune.</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CAB</w:t>
      </w:r>
      <w:r>
        <w:rPr>
          <w:rFonts w:ascii="Times New Roman" w:eastAsia="Times New Roman" w:hAnsi="Times New Roman" w:cs="Times New Roman"/>
          <w:spacing w:val="43"/>
          <w:sz w:val="17"/>
          <w:szCs w:val="17"/>
        </w:rPr>
        <w:t xml:space="preserve"> </w:t>
      </w:r>
      <w:r>
        <w:rPr>
          <w:rFonts w:ascii="Times New Roman" w:eastAsia="Times New Roman" w:hAnsi="Times New Roman" w:cs="Times New Roman"/>
          <w:spacing w:val="-1"/>
          <w:sz w:val="17"/>
          <w:szCs w:val="17"/>
        </w:rPr>
        <w:t>International</w:t>
      </w:r>
    </w:p>
    <w:p w:rsidR="00EA40A3" w:rsidRDefault="00E86C16">
      <w:pPr>
        <w:spacing w:before="86" w:line="249" w:lineRule="auto"/>
        <w:ind w:left="190" w:right="47" w:hanging="190"/>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Wilson</w:t>
      </w:r>
      <w:r>
        <w:rPr>
          <w:rFonts w:ascii="Times New Roman" w:eastAsia="Times New Roman" w:hAnsi="Times New Roman" w:cs="Times New Roman"/>
          <w:spacing w:val="10"/>
          <w:w w:val="101"/>
          <w:sz w:val="17"/>
          <w:szCs w:val="17"/>
        </w:rPr>
        <w:t xml:space="preserve">  </w:t>
      </w:r>
      <w:r>
        <w:rPr>
          <w:rFonts w:ascii="Times New Roman" w:eastAsia="Times New Roman" w:hAnsi="Times New Roman" w:cs="Times New Roman"/>
          <w:spacing w:val="-1"/>
          <w:sz w:val="17"/>
          <w:szCs w:val="17"/>
        </w:rPr>
        <w:t>S.</w:t>
      </w:r>
      <w:r>
        <w:rPr>
          <w:rFonts w:ascii="Times New Roman" w:eastAsia="Times New Roman" w:hAnsi="Times New Roman" w:cs="Times New Roman"/>
          <w:spacing w:val="39"/>
          <w:sz w:val="17"/>
          <w:szCs w:val="17"/>
        </w:rPr>
        <w:t xml:space="preserve"> </w:t>
      </w:r>
      <w:r>
        <w:rPr>
          <w:rFonts w:ascii="Times New Roman" w:eastAsia="Times New Roman" w:hAnsi="Times New Roman" w:cs="Times New Roman"/>
          <w:spacing w:val="-1"/>
          <w:sz w:val="17"/>
          <w:szCs w:val="17"/>
        </w:rPr>
        <w:t>Jones</w:t>
      </w:r>
      <w:r>
        <w:rPr>
          <w:rFonts w:ascii="Times New Roman" w:eastAsia="Times New Roman" w:hAnsi="Times New Roman" w:cs="Times New Roman"/>
          <w:spacing w:val="38"/>
          <w:w w:val="101"/>
          <w:sz w:val="17"/>
          <w:szCs w:val="17"/>
        </w:rPr>
        <w:t xml:space="preserve"> </w:t>
      </w:r>
      <w:r>
        <w:rPr>
          <w:rFonts w:ascii="Times New Roman" w:eastAsia="Times New Roman" w:hAnsi="Times New Roman" w:cs="Times New Roman"/>
          <w:spacing w:val="-1"/>
          <w:sz w:val="17"/>
          <w:szCs w:val="17"/>
        </w:rPr>
        <w:t>L,Christine</w:t>
      </w:r>
      <w:r>
        <w:rPr>
          <w:rFonts w:ascii="Times New Roman" w:eastAsia="Times New Roman" w:hAnsi="Times New Roman" w:cs="Times New Roman"/>
          <w:spacing w:val="41"/>
          <w:sz w:val="17"/>
          <w:szCs w:val="17"/>
        </w:rPr>
        <w:t xml:space="preserve"> </w:t>
      </w:r>
      <w:r>
        <w:rPr>
          <w:rFonts w:ascii="Times New Roman" w:eastAsia="Times New Roman" w:hAnsi="Times New Roman" w:cs="Times New Roman"/>
          <w:spacing w:val="-1"/>
          <w:sz w:val="17"/>
          <w:szCs w:val="17"/>
        </w:rPr>
        <w:t>C</w:t>
      </w:r>
      <w:r>
        <w:rPr>
          <w:rFonts w:ascii="Times New Roman" w:eastAsia="Times New Roman" w:hAnsi="Times New Roman" w:cs="Times New Roman"/>
          <w:spacing w:val="41"/>
          <w:w w:val="101"/>
          <w:sz w:val="17"/>
          <w:szCs w:val="17"/>
        </w:rPr>
        <w:t xml:space="preserve"> </w:t>
      </w:r>
      <w:r>
        <w:rPr>
          <w:rFonts w:ascii="Times New Roman" w:eastAsia="Times New Roman" w:hAnsi="Times New Roman" w:cs="Times New Roman"/>
          <w:spacing w:val="-1"/>
          <w:sz w:val="17"/>
          <w:szCs w:val="17"/>
        </w:rPr>
        <w:t>et</w:t>
      </w:r>
      <w:r>
        <w:rPr>
          <w:rFonts w:ascii="Times New Roman" w:eastAsia="Times New Roman" w:hAnsi="Times New Roman" w:cs="Times New Roman"/>
          <w:spacing w:val="41"/>
          <w:sz w:val="17"/>
          <w:szCs w:val="17"/>
        </w:rPr>
        <w:t xml:space="preserve"> </w:t>
      </w:r>
      <w:r>
        <w:rPr>
          <w:rFonts w:ascii="Times New Roman" w:eastAsia="Times New Roman" w:hAnsi="Times New Roman" w:cs="Times New Roman"/>
          <w:spacing w:val="-1"/>
          <w:sz w:val="17"/>
          <w:szCs w:val="17"/>
        </w:rPr>
        <w:t>al.2002.</w:t>
      </w:r>
      <w:r>
        <w:rPr>
          <w:rFonts w:ascii="Times New Roman" w:eastAsia="Times New Roman" w:hAnsi="Times New Roman" w:cs="Times New Roman"/>
          <w:spacing w:val="41"/>
          <w:sz w:val="17"/>
          <w:szCs w:val="17"/>
        </w:rPr>
        <w:t xml:space="preserve"> </w:t>
      </w:r>
      <w:r>
        <w:rPr>
          <w:rFonts w:ascii="Times New Roman" w:eastAsia="Times New Roman" w:hAnsi="Times New Roman" w:cs="Times New Roman"/>
          <w:spacing w:val="-1"/>
          <w:sz w:val="17"/>
          <w:szCs w:val="17"/>
        </w:rPr>
        <w:t>Cancer</w:t>
      </w:r>
      <w:r>
        <w:rPr>
          <w:rFonts w:ascii="Times New Roman" w:eastAsia="Times New Roman" w:hAnsi="Times New Roman" w:cs="Times New Roman"/>
          <w:spacing w:val="40"/>
          <w:w w:val="101"/>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36"/>
          <w:w w:val="101"/>
          <w:sz w:val="17"/>
          <w:szCs w:val="17"/>
        </w:rPr>
        <w:t xml:space="preserve"> </w:t>
      </w:r>
      <w:r>
        <w:rPr>
          <w:rFonts w:ascii="Times New Roman" w:eastAsia="Times New Roman" w:hAnsi="Times New Roman" w:cs="Times New Roman"/>
          <w:spacing w:val="-1"/>
          <w:sz w:val="17"/>
          <w:szCs w:val="17"/>
        </w:rPr>
        <w:t>the</w:t>
      </w:r>
      <w:r>
        <w:rPr>
          <w:rFonts w:ascii="Times New Roman" w:eastAsia="Times New Roman" w:hAnsi="Times New Roman" w:cs="Times New Roman"/>
          <w:spacing w:val="41"/>
          <w:sz w:val="17"/>
          <w:szCs w:val="17"/>
        </w:rPr>
        <w:t xml:space="preserve"> </w:t>
      </w:r>
      <w:r>
        <w:rPr>
          <w:rFonts w:ascii="Times New Roman" w:eastAsia="Times New Roman" w:hAnsi="Times New Roman" w:cs="Times New Roman"/>
          <w:spacing w:val="-1"/>
          <w:sz w:val="17"/>
          <w:szCs w:val="17"/>
        </w:rPr>
        <w:t>environment:gene-enviroment</w:t>
      </w:r>
      <w:r>
        <w:rPr>
          <w:rFonts w:ascii="Times New Roman" w:eastAsia="Times New Roman" w:hAnsi="Times New Roman" w:cs="Times New Roman"/>
          <w:spacing w:val="39"/>
          <w:w w:val="102"/>
          <w:sz w:val="17"/>
          <w:szCs w:val="17"/>
        </w:rPr>
        <w:t xml:space="preserve"> </w:t>
      </w:r>
      <w:r>
        <w:rPr>
          <w:rFonts w:ascii="Times New Roman" w:eastAsia="Times New Roman" w:hAnsi="Times New Roman" w:cs="Times New Roman"/>
          <w:spacing w:val="-1"/>
          <w:sz w:val="17"/>
          <w:szCs w:val="17"/>
        </w:rPr>
        <w:t>interactions.</w:t>
      </w:r>
      <w:r>
        <w:rPr>
          <w:rFonts w:ascii="Times New Roman" w:eastAsia="Times New Roman" w:hAnsi="Times New Roman" w:cs="Times New Roman"/>
          <w:sz w:val="17"/>
          <w:szCs w:val="17"/>
        </w:rPr>
        <w:t xml:space="preserve"> Washington</w:t>
      </w:r>
      <w:r>
        <w:rPr>
          <w:rFonts w:ascii="Times New Roman" w:eastAsia="Times New Roman" w:hAnsi="Times New Roman" w:cs="Times New Roman"/>
          <w:spacing w:val="23"/>
          <w:w w:val="101"/>
          <w:sz w:val="17"/>
          <w:szCs w:val="17"/>
        </w:rPr>
        <w:t xml:space="preserve"> </w:t>
      </w:r>
      <w:r>
        <w:rPr>
          <w:rFonts w:ascii="Times New Roman" w:eastAsia="Times New Roman" w:hAnsi="Times New Roman" w:cs="Times New Roman"/>
          <w:sz w:val="17"/>
          <w:szCs w:val="17"/>
        </w:rPr>
        <w:t>DC</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National</w:t>
      </w:r>
      <w:r>
        <w:rPr>
          <w:rFonts w:ascii="Times New Roman" w:eastAsia="Times New Roman" w:hAnsi="Times New Roman" w:cs="Times New Roman"/>
          <w:spacing w:val="22"/>
          <w:sz w:val="17"/>
          <w:szCs w:val="17"/>
        </w:rPr>
        <w:t xml:space="preserve"> </w:t>
      </w:r>
      <w:r>
        <w:rPr>
          <w:rFonts w:ascii="Times New Roman" w:eastAsia="Times New Roman" w:hAnsi="Times New Roman" w:cs="Times New Roman"/>
          <w:sz w:val="17"/>
          <w:szCs w:val="17"/>
        </w:rPr>
        <w:t>A</w:t>
      </w:r>
      <w:r>
        <w:rPr>
          <w:rFonts w:ascii="Times New Roman" w:eastAsia="Times New Roman" w:hAnsi="Times New Roman" w:cs="Times New Roman"/>
          <w:spacing w:val="-1"/>
          <w:sz w:val="17"/>
          <w:szCs w:val="17"/>
        </w:rPr>
        <w:t>cademy</w:t>
      </w:r>
      <w:r>
        <w:rPr>
          <w:rFonts w:ascii="Times New Roman" w:eastAsia="Times New Roman" w:hAnsi="Times New Roman" w:cs="Times New Roman"/>
          <w:spacing w:val="23"/>
          <w:w w:val="102"/>
          <w:sz w:val="17"/>
          <w:szCs w:val="17"/>
        </w:rPr>
        <w:t xml:space="preserve"> </w:t>
      </w:r>
      <w:r>
        <w:rPr>
          <w:rFonts w:ascii="Times New Roman" w:eastAsia="Times New Roman" w:hAnsi="Times New Roman" w:cs="Times New Roman"/>
          <w:spacing w:val="-1"/>
          <w:sz w:val="17"/>
          <w:szCs w:val="17"/>
        </w:rPr>
        <w:t>Press</w:t>
      </w:r>
    </w:p>
    <w:p w:rsidR="00EA40A3" w:rsidRDefault="00E86C16">
      <w:pPr>
        <w:spacing w:before="174" w:line="243" w:lineRule="auto"/>
        <w:ind w:left="199" w:hanging="199"/>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Tapan</w:t>
      </w:r>
      <w:r>
        <w:rPr>
          <w:rFonts w:ascii="Times New Roman" w:eastAsia="Times New Roman" w:hAnsi="Times New Roman" w:cs="Times New Roman"/>
          <w:spacing w:val="27"/>
          <w:sz w:val="17"/>
          <w:szCs w:val="17"/>
        </w:rPr>
        <w:t xml:space="preserve"> </w:t>
      </w:r>
      <w:r>
        <w:rPr>
          <w:rFonts w:ascii="Times New Roman" w:eastAsia="Times New Roman" w:hAnsi="Times New Roman" w:cs="Times New Roman"/>
          <w:spacing w:val="-1"/>
          <w:sz w:val="17"/>
          <w:szCs w:val="17"/>
        </w:rPr>
        <w:t>K,</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pacing w:val="-1"/>
          <w:sz w:val="17"/>
          <w:szCs w:val="17"/>
        </w:rPr>
        <w:t>Norman</w:t>
      </w:r>
      <w:r>
        <w:rPr>
          <w:rFonts w:ascii="Times New Roman" w:eastAsia="Times New Roman" w:hAnsi="Times New Roman" w:cs="Times New Roman"/>
          <w:spacing w:val="14"/>
          <w:w w:val="101"/>
          <w:sz w:val="17"/>
          <w:szCs w:val="17"/>
        </w:rPr>
        <w:t xml:space="preserve"> </w:t>
      </w:r>
      <w:r>
        <w:rPr>
          <w:rFonts w:ascii="Times New Roman" w:eastAsia="Times New Roman" w:hAnsi="Times New Roman" w:cs="Times New Roman"/>
          <w:spacing w:val="-1"/>
          <w:sz w:val="17"/>
          <w:szCs w:val="17"/>
        </w:rPr>
        <w:t>JTemple,</w:t>
      </w:r>
      <w:r>
        <w:rPr>
          <w:rFonts w:ascii="Times New Roman" w:eastAsia="Times New Roman" w:hAnsi="Times New Roman" w:cs="Times New Roman"/>
          <w:spacing w:val="13"/>
          <w:w w:val="102"/>
          <w:sz w:val="17"/>
          <w:szCs w:val="17"/>
        </w:rPr>
        <w:t xml:space="preserve"> </w:t>
      </w:r>
      <w:r>
        <w:rPr>
          <w:rFonts w:ascii="Times New Roman" w:eastAsia="Times New Roman" w:hAnsi="Times New Roman" w:cs="Times New Roman"/>
          <w:spacing w:val="-1"/>
          <w:sz w:val="17"/>
          <w:szCs w:val="17"/>
        </w:rPr>
        <w:t>Manohar</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pacing w:val="-1"/>
          <w:sz w:val="17"/>
          <w:szCs w:val="17"/>
        </w:rPr>
        <w:t>L</w:t>
      </w:r>
      <w:r>
        <w:rPr>
          <w:rFonts w:ascii="Times New Roman" w:eastAsia="Times New Roman" w:hAnsi="Times New Roman" w:cs="Times New Roman"/>
          <w:spacing w:val="16"/>
          <w:w w:val="102"/>
          <w:sz w:val="17"/>
          <w:szCs w:val="17"/>
        </w:rPr>
        <w:t xml:space="preserve"> </w:t>
      </w:r>
      <w:r>
        <w:rPr>
          <w:rFonts w:ascii="Times New Roman" w:eastAsia="Times New Roman" w:hAnsi="Times New Roman" w:cs="Times New Roman"/>
          <w:spacing w:val="-1"/>
          <w:sz w:val="17"/>
          <w:szCs w:val="17"/>
        </w:rPr>
        <w:t>Garg.</w:t>
      </w:r>
      <w:r>
        <w:rPr>
          <w:rFonts w:ascii="Times New Roman" w:eastAsia="Times New Roman" w:hAnsi="Times New Roman" w:cs="Times New Roman"/>
          <w:spacing w:val="30"/>
          <w:w w:val="102"/>
          <w:sz w:val="17"/>
          <w:szCs w:val="17"/>
        </w:rPr>
        <w:t xml:space="preserve"> </w:t>
      </w:r>
      <w:r>
        <w:rPr>
          <w:rFonts w:ascii="Times New Roman" w:eastAsia="Times New Roman" w:hAnsi="Times New Roman" w:cs="Times New Roman"/>
          <w:spacing w:val="-1"/>
          <w:sz w:val="17"/>
          <w:szCs w:val="17"/>
        </w:rPr>
        <w:t>1999.Antioxidants</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pacing w:val="-1"/>
          <w:sz w:val="17"/>
          <w:szCs w:val="17"/>
        </w:rPr>
        <w:t>in</w:t>
      </w:r>
      <w:r>
        <w:rPr>
          <w:rFonts w:ascii="Times New Roman" w:eastAsia="Times New Roman" w:hAnsi="Times New Roman" w:cs="Times New Roman"/>
          <w:spacing w:val="11"/>
          <w:w w:val="102"/>
          <w:sz w:val="17"/>
          <w:szCs w:val="17"/>
        </w:rPr>
        <w:t xml:space="preserve"> </w:t>
      </w:r>
      <w:r>
        <w:rPr>
          <w:rFonts w:ascii="Times New Roman" w:eastAsia="Times New Roman" w:hAnsi="Times New Roman" w:cs="Times New Roman"/>
          <w:spacing w:val="-1"/>
          <w:sz w:val="17"/>
          <w:szCs w:val="17"/>
        </w:rPr>
        <w:t>human</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health</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disease.</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
          <w:sz w:val="17"/>
          <w:szCs w:val="17"/>
        </w:rPr>
        <w:t>Guildford</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pacing w:val="-1"/>
          <w:sz w:val="17"/>
          <w:szCs w:val="17"/>
        </w:rPr>
        <w:t>KingsLynn:CABI</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Publishing</w:t>
      </w:r>
    </w:p>
    <w:p w:rsidR="00EA40A3" w:rsidRDefault="00E86C16">
      <w:pPr>
        <w:spacing w:before="114" w:line="243" w:lineRule="auto"/>
        <w:ind w:right="924"/>
        <w:rPr>
          <w:rFonts w:ascii="Times New Roman" w:eastAsia="Times New Roman" w:hAnsi="Times New Roman" w:cs="Times New Roman"/>
          <w:sz w:val="17"/>
          <w:szCs w:val="17"/>
        </w:rPr>
      </w:pPr>
      <w:r>
        <w:rPr>
          <w:rFonts w:ascii="Times New Roman" w:eastAsia="Times New Roman" w:hAnsi="Times New Roman" w:cs="Times New Roman"/>
          <w:sz w:val="17"/>
          <w:szCs w:val="17"/>
        </w:rPr>
        <w:t>Tom</w:t>
      </w:r>
      <w:r>
        <w:rPr>
          <w:rFonts w:ascii="Times New Roman" w:eastAsia="Times New Roman" w:hAnsi="Times New Roman" w:cs="Times New Roman"/>
          <w:spacing w:val="21"/>
          <w:w w:val="102"/>
          <w:sz w:val="17"/>
          <w:szCs w:val="17"/>
        </w:rPr>
        <w:t xml:space="preserve"> </w:t>
      </w:r>
      <w:r>
        <w:rPr>
          <w:rFonts w:ascii="Times New Roman" w:eastAsia="Times New Roman" w:hAnsi="Times New Roman" w:cs="Times New Roman"/>
          <w:sz w:val="17"/>
          <w:szCs w:val="17"/>
        </w:rPr>
        <w:t>B</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2"/>
          <w:w w:val="101"/>
          <w:sz w:val="17"/>
          <w:szCs w:val="17"/>
        </w:rPr>
        <w:t xml:space="preserve"> </w:t>
      </w:r>
      <w:r>
        <w:rPr>
          <w:rFonts w:ascii="Times New Roman" w:eastAsia="Times New Roman" w:hAnsi="Times New Roman" w:cs="Times New Roman"/>
          <w:spacing w:val="-1"/>
          <w:sz w:val="17"/>
          <w:szCs w:val="17"/>
        </w:rPr>
        <w:t>2003.</w:t>
      </w:r>
      <w:r>
        <w:rPr>
          <w:rFonts w:ascii="Times New Roman" w:eastAsia="Times New Roman" w:hAnsi="Times New Roman" w:cs="Times New Roman"/>
          <w:sz w:val="17"/>
          <w:szCs w:val="17"/>
        </w:rPr>
        <w:t>Nutritional</w:t>
      </w:r>
      <w:r>
        <w:rPr>
          <w:rFonts w:ascii="Times New Roman" w:eastAsia="Times New Roman" w:hAnsi="Times New Roman" w:cs="Times New Roman"/>
          <w:spacing w:val="18"/>
          <w:w w:val="102"/>
          <w:sz w:val="17"/>
          <w:szCs w:val="17"/>
        </w:rPr>
        <w:t xml:space="preserve"> </w:t>
      </w:r>
      <w:r>
        <w:rPr>
          <w:rFonts w:ascii="Times New Roman" w:eastAsia="Times New Roman" w:hAnsi="Times New Roman" w:cs="Times New Roman"/>
          <w:sz w:val="17"/>
          <w:szCs w:val="17"/>
        </w:rPr>
        <w:t>biocheristry</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2"/>
          <w:w w:val="101"/>
          <w:sz w:val="17"/>
          <w:szCs w:val="17"/>
        </w:rPr>
        <w:t xml:space="preserve"> </w:t>
      </w:r>
      <w:r>
        <w:rPr>
          <w:rFonts w:ascii="Times New Roman" w:eastAsia="Times New Roman" w:hAnsi="Times New Roman" w:cs="Times New Roman"/>
          <w:spacing w:val="-1"/>
          <w:sz w:val="17"/>
          <w:szCs w:val="17"/>
        </w:rPr>
        <w:t>2</w:t>
      </w:r>
      <w:r>
        <w:rPr>
          <w:rFonts w:ascii="Times New Roman" w:eastAsia="Times New Roman" w:hAnsi="Times New Roman" w:cs="Times New Roman"/>
          <w:sz w:val="17"/>
          <w:szCs w:val="17"/>
        </w:rPr>
        <w:t>ed</w:t>
      </w:r>
      <w:r>
        <w:rPr>
          <w:rFonts w:ascii="Times New Roman" w:eastAsia="Times New Roman" w:hAnsi="Times New Roman" w:cs="Times New Roman"/>
          <w:spacing w:val="22"/>
          <w:w w:val="101"/>
          <w:sz w:val="17"/>
          <w:szCs w:val="17"/>
        </w:rPr>
        <w:t xml:space="preserve"> </w:t>
      </w:r>
      <w:r>
        <w:rPr>
          <w:rFonts w:ascii="Times New Roman" w:eastAsia="Times New Roman" w:hAnsi="Times New Roman" w:cs="Times New Roman"/>
          <w:sz w:val="17"/>
          <w:szCs w:val="17"/>
        </w:rPr>
        <w:t>Edit</w:t>
      </w:r>
      <w:r>
        <w:rPr>
          <w:rFonts w:ascii="Times New Roman" w:eastAsia="Times New Roman" w:hAnsi="Times New Roman" w:cs="Times New Roman"/>
          <w:spacing w:val="-1"/>
          <w:sz w:val="17"/>
          <w:szCs w:val="17"/>
        </w:rPr>
        <w:t>ion.</w:t>
      </w:r>
      <w:r>
        <w:rPr>
          <w:rFonts w:ascii="Times New Roman" w:eastAsia="Times New Roman" w:hAnsi="Times New Roman" w:cs="Times New Roman"/>
          <w:spacing w:val="29"/>
          <w:w w:val="101"/>
          <w:sz w:val="17"/>
          <w:szCs w:val="17"/>
        </w:rPr>
        <w:t xml:space="preserve"> </w:t>
      </w:r>
      <w:r>
        <w:rPr>
          <w:rFonts w:ascii="Times New Roman" w:eastAsia="Times New Roman" w:hAnsi="Times New Roman" w:cs="Times New Roman"/>
          <w:spacing w:val="-1"/>
          <w:sz w:val="17"/>
          <w:szCs w:val="17"/>
        </w:rPr>
        <w:t>San</w:t>
      </w:r>
      <w:r>
        <w:rPr>
          <w:rFonts w:ascii="Times New Roman" w:eastAsia="Times New Roman" w:hAnsi="Times New Roman" w:cs="Times New Roman"/>
          <w:spacing w:val="22"/>
          <w:sz w:val="17"/>
          <w:szCs w:val="17"/>
        </w:rPr>
        <w:t xml:space="preserve"> </w:t>
      </w:r>
      <w:r>
        <w:rPr>
          <w:rFonts w:ascii="Times New Roman" w:eastAsia="Times New Roman" w:hAnsi="Times New Roman" w:cs="Times New Roman"/>
          <w:spacing w:val="-1"/>
          <w:sz w:val="17"/>
          <w:szCs w:val="17"/>
        </w:rPr>
        <w:t>Dicgo,</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
          <w:sz w:val="17"/>
          <w:szCs w:val="17"/>
        </w:rPr>
        <w:t>New</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pacing w:val="-1"/>
          <w:sz w:val="17"/>
          <w:szCs w:val="17"/>
        </w:rPr>
        <w:t>York:</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pacing w:val="-1"/>
          <w:sz w:val="17"/>
          <w:szCs w:val="17"/>
        </w:rPr>
        <w:t>Academy</w:t>
      </w:r>
      <w:r>
        <w:rPr>
          <w:rFonts w:ascii="Times New Roman" w:eastAsia="Times New Roman" w:hAnsi="Times New Roman" w:cs="Times New Roman"/>
          <w:spacing w:val="21"/>
          <w:w w:val="102"/>
          <w:sz w:val="17"/>
          <w:szCs w:val="17"/>
        </w:rPr>
        <w:t xml:space="preserve"> </w:t>
      </w:r>
      <w:r>
        <w:rPr>
          <w:rFonts w:ascii="Times New Roman" w:eastAsia="Times New Roman" w:hAnsi="Times New Roman" w:cs="Times New Roman"/>
          <w:spacing w:val="-1"/>
          <w:sz w:val="17"/>
          <w:szCs w:val="17"/>
        </w:rPr>
        <w:t>Press</w:t>
      </w:r>
      <w:r>
        <w:rPr>
          <w:rFonts w:ascii="Times New Roman" w:eastAsia="Times New Roman" w:hAnsi="Times New Roman" w:cs="Times New Roman"/>
          <w:sz w:val="17"/>
          <w:szCs w:val="17"/>
        </w:rPr>
        <w:t xml:space="preserve"> ZempleniJ</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Daniel</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z w:val="17"/>
          <w:szCs w:val="17"/>
        </w:rPr>
        <w:t>H</w:t>
      </w:r>
      <w:r>
        <w:rPr>
          <w:rFonts w:ascii="Times New Roman" w:eastAsia="Times New Roman" w:hAnsi="Times New Roman" w:cs="Times New Roman"/>
          <w:spacing w:val="-1"/>
          <w:sz w:val="17"/>
          <w:szCs w:val="17"/>
        </w:rPr>
        <w:t>.</w:t>
      </w:r>
      <w:r>
        <w:rPr>
          <w:rFonts w:ascii="Times New Roman" w:eastAsia="Times New Roman" w:hAnsi="Times New Roman" w:cs="Times New Roman"/>
          <w:spacing w:val="18"/>
          <w:sz w:val="17"/>
          <w:szCs w:val="17"/>
        </w:rPr>
        <w:t xml:space="preserve"> </w:t>
      </w:r>
      <w:r>
        <w:rPr>
          <w:rFonts w:ascii="Times New Roman" w:eastAsia="Times New Roman" w:hAnsi="Times New Roman" w:cs="Times New Roman"/>
          <w:spacing w:val="-1"/>
          <w:sz w:val="17"/>
          <w:szCs w:val="17"/>
        </w:rPr>
        <w:t>2003.</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z w:val="17"/>
          <w:szCs w:val="17"/>
        </w:rPr>
        <w:t>Molccular</w:t>
      </w:r>
      <w:r>
        <w:rPr>
          <w:rFonts w:ascii="Times New Roman" w:eastAsia="Times New Roman" w:hAnsi="Times New Roman" w:cs="Times New Roman"/>
          <w:spacing w:val="14"/>
          <w:w w:val="101"/>
          <w:sz w:val="17"/>
          <w:szCs w:val="17"/>
        </w:rPr>
        <w:t xml:space="preserve"> </w:t>
      </w:r>
      <w:r>
        <w:rPr>
          <w:rFonts w:ascii="Times New Roman" w:eastAsia="Times New Roman" w:hAnsi="Times New Roman" w:cs="Times New Roman"/>
          <w:sz w:val="17"/>
          <w:szCs w:val="17"/>
        </w:rPr>
        <w:t>nutrtion</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z w:val="17"/>
          <w:szCs w:val="17"/>
        </w:rPr>
        <w:t>Guildford</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z w:val="17"/>
          <w:szCs w:val="17"/>
        </w:rPr>
        <w:t>an</w:t>
      </w:r>
      <w:r>
        <w:rPr>
          <w:rFonts w:ascii="Times New Roman" w:eastAsia="Times New Roman" w:hAnsi="Times New Roman" w:cs="Times New Roman"/>
          <w:spacing w:val="-1"/>
          <w:sz w:val="17"/>
          <w:szCs w:val="17"/>
        </w:rPr>
        <w:t>d</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pacing w:val="-1"/>
          <w:sz w:val="17"/>
          <w:szCs w:val="17"/>
        </w:rPr>
        <w:t>KingsLynn:CABI</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pacing w:val="-1"/>
          <w:sz w:val="17"/>
          <w:szCs w:val="17"/>
        </w:rPr>
        <w:t>Publishing</w:t>
      </w:r>
    </w:p>
    <w:p w:rsidR="00EA40A3" w:rsidRDefault="00EA40A3">
      <w:pPr>
        <w:sectPr w:rsidR="00EA40A3">
          <w:footerReference w:type="default" r:id="rId310"/>
          <w:pgSz w:w="9220" w:h="13360"/>
          <w:pgMar w:top="400" w:right="1069" w:bottom="1306" w:left="869" w:header="0" w:footer="1085" w:gutter="0"/>
          <w:cols w:space="720"/>
        </w:sectPr>
      </w:pPr>
    </w:p>
    <w:p w:rsidR="00EA40A3" w:rsidRDefault="00EA40A3">
      <w:pPr>
        <w:spacing w:line="276" w:lineRule="auto"/>
      </w:pPr>
    </w:p>
    <w:p w:rsidR="00EA40A3" w:rsidRDefault="00EA40A3">
      <w:pPr>
        <w:spacing w:line="277" w:lineRule="auto"/>
      </w:pPr>
    </w:p>
    <w:p w:rsidR="00EA40A3" w:rsidRDefault="00EA40A3">
      <w:pPr>
        <w:spacing w:line="277" w:lineRule="auto"/>
      </w:pPr>
    </w:p>
    <w:p w:rsidR="00EA40A3" w:rsidRDefault="00EA40A3">
      <w:pPr>
        <w:spacing w:line="277" w:lineRule="auto"/>
      </w:pPr>
    </w:p>
    <w:p w:rsidR="00EA40A3" w:rsidRDefault="00EA40A3">
      <w:pPr>
        <w:spacing w:line="277" w:lineRule="auto"/>
      </w:pPr>
    </w:p>
    <w:p w:rsidR="00EA40A3" w:rsidRDefault="00E86C16">
      <w:pPr>
        <w:spacing w:before="104" w:line="219" w:lineRule="auto"/>
        <w:ind w:left="2214"/>
        <w:rPr>
          <w:rFonts w:ascii="宋体" w:eastAsia="宋体" w:hAnsi="宋体" w:cs="宋体"/>
          <w:sz w:val="32"/>
          <w:szCs w:val="32"/>
        </w:rPr>
      </w:pPr>
      <w:r>
        <w:rPr>
          <w:rFonts w:ascii="宋体" w:eastAsia="宋体" w:hAnsi="宋体" w:cs="宋体"/>
          <w:b/>
          <w:bCs/>
          <w:spacing w:val="1"/>
          <w:sz w:val="32"/>
          <w:szCs w:val="32"/>
        </w:rPr>
        <w:t>第12章</w:t>
      </w:r>
      <w:r>
        <w:rPr>
          <w:rFonts w:ascii="宋体" w:eastAsia="宋体" w:hAnsi="宋体" w:cs="宋体"/>
          <w:spacing w:val="130"/>
          <w:sz w:val="32"/>
          <w:szCs w:val="32"/>
        </w:rPr>
        <w:t xml:space="preserve"> </w:t>
      </w:r>
      <w:r>
        <w:rPr>
          <w:rFonts w:ascii="宋体" w:eastAsia="宋体" w:hAnsi="宋体" w:cs="宋体"/>
          <w:b/>
          <w:bCs/>
          <w:spacing w:val="1"/>
          <w:sz w:val="32"/>
          <w:szCs w:val="32"/>
        </w:rPr>
        <w:t>社</w:t>
      </w:r>
      <w:r>
        <w:rPr>
          <w:rFonts w:ascii="宋体" w:eastAsia="宋体" w:hAnsi="宋体" w:cs="宋体"/>
          <w:spacing w:val="-30"/>
          <w:sz w:val="32"/>
          <w:szCs w:val="32"/>
        </w:rPr>
        <w:t xml:space="preserve"> </w:t>
      </w:r>
      <w:r>
        <w:rPr>
          <w:rFonts w:ascii="宋体" w:eastAsia="宋体" w:hAnsi="宋体" w:cs="宋体"/>
          <w:b/>
          <w:bCs/>
          <w:spacing w:val="1"/>
          <w:sz w:val="32"/>
          <w:szCs w:val="32"/>
        </w:rPr>
        <w:t>区</w:t>
      </w:r>
      <w:r>
        <w:rPr>
          <w:rFonts w:ascii="宋体" w:eastAsia="宋体" w:hAnsi="宋体" w:cs="宋体"/>
          <w:spacing w:val="-44"/>
          <w:sz w:val="32"/>
          <w:szCs w:val="32"/>
        </w:rPr>
        <w:t xml:space="preserve"> </w:t>
      </w:r>
      <w:r>
        <w:rPr>
          <w:rFonts w:ascii="宋体" w:eastAsia="宋体" w:hAnsi="宋体" w:cs="宋体"/>
          <w:b/>
          <w:bCs/>
          <w:spacing w:val="1"/>
          <w:sz w:val="32"/>
          <w:szCs w:val="32"/>
        </w:rPr>
        <w:t>营</w:t>
      </w:r>
      <w:r>
        <w:rPr>
          <w:rFonts w:ascii="宋体" w:eastAsia="宋体" w:hAnsi="宋体" w:cs="宋体"/>
          <w:spacing w:val="-53"/>
          <w:sz w:val="32"/>
          <w:szCs w:val="32"/>
        </w:rPr>
        <w:t xml:space="preserve"> </w:t>
      </w:r>
      <w:r>
        <w:rPr>
          <w:rFonts w:ascii="宋体" w:eastAsia="宋体" w:hAnsi="宋体" w:cs="宋体"/>
          <w:b/>
          <w:bCs/>
          <w:spacing w:val="1"/>
          <w:sz w:val="32"/>
          <w:szCs w:val="32"/>
        </w:rPr>
        <w:t>养</w:t>
      </w:r>
    </w:p>
    <w:p w:rsidR="00EA40A3" w:rsidRDefault="00EA40A3">
      <w:pPr>
        <w:spacing w:line="370" w:lineRule="auto"/>
      </w:pPr>
    </w:p>
    <w:p w:rsidR="00EA40A3" w:rsidRDefault="00E86C16">
      <w:pPr>
        <w:spacing w:before="75" w:line="221" w:lineRule="auto"/>
        <w:ind w:left="3163"/>
        <w:rPr>
          <w:rFonts w:ascii="黑体" w:eastAsia="黑体" w:hAnsi="黑体" w:cs="黑体"/>
          <w:sz w:val="23"/>
          <w:szCs w:val="23"/>
        </w:rPr>
      </w:pPr>
      <w:r>
        <w:rPr>
          <w:rFonts w:ascii="黑体" w:eastAsia="黑体" w:hAnsi="黑体" w:cs="黑体"/>
          <w:b/>
          <w:bCs/>
          <w:spacing w:val="22"/>
          <w:sz w:val="23"/>
          <w:szCs w:val="23"/>
        </w:rPr>
        <w:t>教学目标</w:t>
      </w:r>
    </w:p>
    <w:p w:rsidR="00EA40A3" w:rsidRDefault="00E86C16">
      <w:pPr>
        <w:spacing w:before="216" w:line="224" w:lineRule="auto"/>
        <w:ind w:left="429"/>
        <w:rPr>
          <w:rFonts w:ascii="楷体" w:eastAsia="楷体" w:hAnsi="楷体" w:cs="楷体"/>
          <w:sz w:val="23"/>
          <w:szCs w:val="23"/>
        </w:rPr>
      </w:pPr>
      <w:r>
        <w:rPr>
          <w:rFonts w:ascii="楷体" w:eastAsia="楷体" w:hAnsi="楷体" w:cs="楷体"/>
          <w:spacing w:val="-29"/>
          <w:sz w:val="23"/>
          <w:szCs w:val="23"/>
        </w:rPr>
        <w:t>·</w:t>
      </w:r>
      <w:r>
        <w:rPr>
          <w:rFonts w:ascii="楷体" w:eastAsia="楷体" w:hAnsi="楷体" w:cs="楷体"/>
          <w:spacing w:val="-69"/>
          <w:sz w:val="23"/>
          <w:szCs w:val="23"/>
        </w:rPr>
        <w:t xml:space="preserve"> </w:t>
      </w:r>
      <w:r>
        <w:rPr>
          <w:rFonts w:ascii="楷体" w:eastAsia="楷体" w:hAnsi="楷体" w:cs="楷体"/>
          <w:spacing w:val="-29"/>
          <w:sz w:val="23"/>
          <w:szCs w:val="23"/>
        </w:rPr>
        <w:t>了解社区营养的概念。</w:t>
      </w:r>
    </w:p>
    <w:p w:rsidR="00EA40A3" w:rsidRDefault="00E86C16">
      <w:pPr>
        <w:spacing w:before="18" w:line="223" w:lineRule="auto"/>
        <w:ind w:left="429"/>
        <w:rPr>
          <w:rFonts w:ascii="楷体" w:eastAsia="楷体" w:hAnsi="楷体" w:cs="楷体"/>
          <w:sz w:val="23"/>
          <w:szCs w:val="23"/>
        </w:rPr>
      </w:pPr>
      <w:r>
        <w:rPr>
          <w:rFonts w:ascii="楷体" w:eastAsia="楷体" w:hAnsi="楷体" w:cs="楷体"/>
          <w:spacing w:val="-26"/>
          <w:sz w:val="23"/>
          <w:szCs w:val="23"/>
        </w:rPr>
        <w:t>·</w:t>
      </w:r>
      <w:r>
        <w:rPr>
          <w:rFonts w:ascii="楷体" w:eastAsia="楷体" w:hAnsi="楷体" w:cs="楷体"/>
          <w:spacing w:val="-72"/>
          <w:sz w:val="23"/>
          <w:szCs w:val="23"/>
        </w:rPr>
        <w:t xml:space="preserve"> </w:t>
      </w:r>
      <w:r>
        <w:rPr>
          <w:rFonts w:ascii="楷体" w:eastAsia="楷体" w:hAnsi="楷体" w:cs="楷体"/>
          <w:spacing w:val="-26"/>
          <w:sz w:val="23"/>
          <w:szCs w:val="23"/>
        </w:rPr>
        <w:t>熟悉不同类型营养监测的作用和特点。</w:t>
      </w:r>
    </w:p>
    <w:p w:rsidR="00EA40A3" w:rsidRDefault="00E86C16">
      <w:pPr>
        <w:spacing w:before="24"/>
        <w:ind w:left="429"/>
        <w:rPr>
          <w:rFonts w:ascii="楷体" w:eastAsia="楷体" w:hAnsi="楷体" w:cs="楷体"/>
          <w:sz w:val="23"/>
          <w:szCs w:val="23"/>
        </w:rPr>
      </w:pPr>
      <w:r>
        <w:rPr>
          <w:rFonts w:ascii="楷体" w:eastAsia="楷体" w:hAnsi="楷体" w:cs="楷体"/>
          <w:spacing w:val="-26"/>
          <w:sz w:val="23"/>
          <w:szCs w:val="23"/>
        </w:rPr>
        <w:t>·</w:t>
      </w:r>
      <w:r>
        <w:rPr>
          <w:rFonts w:ascii="楷体" w:eastAsia="楷体" w:hAnsi="楷体" w:cs="楷体"/>
          <w:spacing w:val="-82"/>
          <w:sz w:val="23"/>
          <w:szCs w:val="23"/>
        </w:rPr>
        <w:t xml:space="preserve"> </w:t>
      </w:r>
      <w:r>
        <w:rPr>
          <w:rFonts w:ascii="楷体" w:eastAsia="楷体" w:hAnsi="楷体" w:cs="楷体"/>
          <w:spacing w:val="-26"/>
          <w:sz w:val="23"/>
          <w:szCs w:val="23"/>
        </w:rPr>
        <w:t>熟悉营养调查的基本方法。</w:t>
      </w:r>
    </w:p>
    <w:p w:rsidR="00EA40A3" w:rsidRDefault="00E86C16">
      <w:pPr>
        <w:spacing w:before="1" w:line="223" w:lineRule="auto"/>
        <w:ind w:left="429"/>
        <w:rPr>
          <w:rFonts w:ascii="楷体" w:eastAsia="楷体" w:hAnsi="楷体" w:cs="楷体"/>
          <w:sz w:val="23"/>
          <w:szCs w:val="23"/>
        </w:rPr>
      </w:pPr>
      <w:r>
        <w:rPr>
          <w:rFonts w:ascii="楷体" w:eastAsia="楷体" w:hAnsi="楷体" w:cs="楷体"/>
          <w:spacing w:val="-19"/>
          <w:sz w:val="23"/>
          <w:szCs w:val="23"/>
        </w:rPr>
        <w:t>·</w:t>
      </w:r>
      <w:r>
        <w:rPr>
          <w:rFonts w:ascii="楷体" w:eastAsia="楷体" w:hAnsi="楷体" w:cs="楷体"/>
          <w:spacing w:val="-69"/>
          <w:sz w:val="23"/>
          <w:szCs w:val="23"/>
        </w:rPr>
        <w:t xml:space="preserve"> </w:t>
      </w:r>
      <w:r>
        <w:rPr>
          <w:rFonts w:ascii="楷体" w:eastAsia="楷体" w:hAnsi="楷体" w:cs="楷体"/>
          <w:spacing w:val="-19"/>
          <w:sz w:val="23"/>
          <w:szCs w:val="23"/>
        </w:rPr>
        <w:t>掌握DRI</w:t>
      </w:r>
      <w:r>
        <w:rPr>
          <w:rFonts w:ascii="楷体" w:eastAsia="楷体" w:hAnsi="楷体" w:cs="楷体"/>
          <w:spacing w:val="-20"/>
          <w:sz w:val="23"/>
          <w:szCs w:val="23"/>
        </w:rPr>
        <w:t xml:space="preserve"> </w:t>
      </w:r>
      <w:r>
        <w:rPr>
          <w:rFonts w:ascii="楷体" w:eastAsia="楷体" w:hAnsi="楷体" w:cs="楷体"/>
          <w:spacing w:val="-19"/>
          <w:sz w:val="23"/>
          <w:szCs w:val="23"/>
        </w:rPr>
        <w:t>的内涵与应用。</w:t>
      </w:r>
    </w:p>
    <w:p w:rsidR="00EA40A3" w:rsidRDefault="00E86C16">
      <w:pPr>
        <w:spacing w:before="16" w:line="305" w:lineRule="exact"/>
        <w:ind w:left="429"/>
        <w:rPr>
          <w:rFonts w:ascii="楷体" w:eastAsia="楷体" w:hAnsi="楷体" w:cs="楷体"/>
          <w:sz w:val="23"/>
          <w:szCs w:val="23"/>
        </w:rPr>
      </w:pPr>
      <w:r>
        <w:rPr>
          <w:rFonts w:ascii="楷体" w:eastAsia="楷体" w:hAnsi="楷体" w:cs="楷体"/>
          <w:spacing w:val="-25"/>
          <w:position w:val="5"/>
          <w:sz w:val="23"/>
          <w:szCs w:val="23"/>
        </w:rPr>
        <w:t>·</w:t>
      </w:r>
      <w:r>
        <w:rPr>
          <w:rFonts w:ascii="楷体" w:eastAsia="楷体" w:hAnsi="楷体" w:cs="楷体"/>
          <w:spacing w:val="-69"/>
          <w:position w:val="5"/>
          <w:sz w:val="23"/>
          <w:szCs w:val="23"/>
        </w:rPr>
        <w:t xml:space="preserve"> </w:t>
      </w:r>
      <w:r>
        <w:rPr>
          <w:rFonts w:ascii="楷体" w:eastAsia="楷体" w:hAnsi="楷体" w:cs="楷体"/>
          <w:spacing w:val="-25"/>
          <w:position w:val="5"/>
          <w:sz w:val="23"/>
          <w:szCs w:val="23"/>
        </w:rPr>
        <w:t>了解合理的膳食结构，联系实际应用膳食指南。</w:t>
      </w:r>
    </w:p>
    <w:p w:rsidR="00EA40A3" w:rsidRDefault="00E86C16">
      <w:pPr>
        <w:spacing w:before="1" w:line="223" w:lineRule="auto"/>
        <w:ind w:left="429"/>
        <w:rPr>
          <w:rFonts w:ascii="楷体" w:eastAsia="楷体" w:hAnsi="楷体" w:cs="楷体"/>
          <w:sz w:val="23"/>
          <w:szCs w:val="23"/>
        </w:rPr>
      </w:pPr>
      <w:r>
        <w:rPr>
          <w:rFonts w:ascii="楷体" w:eastAsia="楷体" w:hAnsi="楷体" w:cs="楷体"/>
          <w:spacing w:val="-25"/>
          <w:sz w:val="23"/>
          <w:szCs w:val="23"/>
        </w:rPr>
        <w:t>·</w:t>
      </w:r>
      <w:r>
        <w:rPr>
          <w:rFonts w:ascii="楷体" w:eastAsia="楷体" w:hAnsi="楷体" w:cs="楷体"/>
          <w:spacing w:val="-81"/>
          <w:sz w:val="23"/>
          <w:szCs w:val="23"/>
        </w:rPr>
        <w:t xml:space="preserve"> </w:t>
      </w:r>
      <w:r>
        <w:rPr>
          <w:rFonts w:ascii="楷体" w:eastAsia="楷体" w:hAnsi="楷体" w:cs="楷体"/>
          <w:spacing w:val="-25"/>
          <w:sz w:val="23"/>
          <w:szCs w:val="23"/>
        </w:rPr>
        <w:t>掌握食谱编制的原则与方法。</w:t>
      </w:r>
    </w:p>
    <w:p w:rsidR="00EA40A3" w:rsidRDefault="00E86C16">
      <w:pPr>
        <w:spacing w:before="21" w:line="224" w:lineRule="auto"/>
        <w:ind w:left="429"/>
        <w:rPr>
          <w:rFonts w:ascii="楷体" w:eastAsia="楷体" w:hAnsi="楷体" w:cs="楷体"/>
          <w:sz w:val="23"/>
          <w:szCs w:val="23"/>
        </w:rPr>
      </w:pPr>
      <w:r>
        <w:rPr>
          <w:rFonts w:ascii="楷体" w:eastAsia="楷体" w:hAnsi="楷体" w:cs="楷体"/>
          <w:spacing w:val="-26"/>
          <w:sz w:val="23"/>
          <w:szCs w:val="23"/>
        </w:rPr>
        <w:t>·</w:t>
      </w:r>
      <w:r>
        <w:rPr>
          <w:rFonts w:ascii="楷体" w:eastAsia="楷体" w:hAnsi="楷体" w:cs="楷体"/>
          <w:spacing w:val="-78"/>
          <w:sz w:val="23"/>
          <w:szCs w:val="23"/>
        </w:rPr>
        <w:t xml:space="preserve"> </w:t>
      </w:r>
      <w:r>
        <w:rPr>
          <w:rFonts w:ascii="楷体" w:eastAsia="楷体" w:hAnsi="楷体" w:cs="楷体"/>
          <w:spacing w:val="-26"/>
          <w:sz w:val="23"/>
          <w:szCs w:val="23"/>
        </w:rPr>
        <w:t>掌握改善社区营养的主要宏观措施。</w:t>
      </w:r>
    </w:p>
    <w:p w:rsidR="00EA40A3" w:rsidRDefault="00EA40A3">
      <w:pPr>
        <w:spacing w:line="304" w:lineRule="auto"/>
      </w:pPr>
    </w:p>
    <w:p w:rsidR="00EA40A3" w:rsidRDefault="00E86C16">
      <w:pPr>
        <w:spacing w:before="74" w:line="246" w:lineRule="auto"/>
        <w:ind w:right="71" w:firstLine="429"/>
        <w:jc w:val="both"/>
        <w:rPr>
          <w:rFonts w:ascii="宋体" w:eastAsia="宋体" w:hAnsi="宋体" w:cs="宋体"/>
          <w:sz w:val="23"/>
          <w:szCs w:val="23"/>
        </w:rPr>
      </w:pPr>
      <w:r>
        <w:rPr>
          <w:rFonts w:ascii="宋体" w:eastAsia="宋体" w:hAnsi="宋体" w:cs="宋体"/>
          <w:spacing w:val="-19"/>
          <w:sz w:val="23"/>
          <w:szCs w:val="23"/>
        </w:rPr>
        <w:t>社区营养</w:t>
      </w:r>
      <w:r>
        <w:rPr>
          <w:rFonts w:ascii="宋体" w:eastAsia="宋体" w:hAnsi="宋体" w:cs="宋体"/>
          <w:spacing w:val="-15"/>
          <w:sz w:val="23"/>
          <w:szCs w:val="23"/>
        </w:rPr>
        <w:t xml:space="preserve"> </w:t>
      </w:r>
      <w:r>
        <w:rPr>
          <w:rFonts w:ascii="宋体" w:eastAsia="宋体" w:hAnsi="宋体" w:cs="宋体"/>
          <w:spacing w:val="-19"/>
          <w:sz w:val="23"/>
          <w:szCs w:val="23"/>
        </w:rPr>
        <w:t>(community</w:t>
      </w:r>
      <w:r>
        <w:rPr>
          <w:rFonts w:ascii="宋体" w:eastAsia="宋体" w:hAnsi="宋体" w:cs="宋体"/>
          <w:spacing w:val="-8"/>
          <w:sz w:val="23"/>
          <w:szCs w:val="23"/>
        </w:rPr>
        <w:t xml:space="preserve"> </w:t>
      </w:r>
      <w:r>
        <w:rPr>
          <w:rFonts w:ascii="宋体" w:eastAsia="宋体" w:hAnsi="宋体" w:cs="宋体"/>
          <w:spacing w:val="-19"/>
          <w:sz w:val="23"/>
          <w:szCs w:val="23"/>
        </w:rPr>
        <w:t>nutrition)</w:t>
      </w:r>
      <w:r>
        <w:rPr>
          <w:rFonts w:ascii="宋体" w:eastAsia="宋体" w:hAnsi="宋体" w:cs="宋体"/>
          <w:spacing w:val="-50"/>
          <w:sz w:val="23"/>
          <w:szCs w:val="23"/>
        </w:rPr>
        <w:t xml:space="preserve"> </w:t>
      </w:r>
      <w:r>
        <w:rPr>
          <w:rFonts w:ascii="宋体" w:eastAsia="宋体" w:hAnsi="宋体" w:cs="宋体"/>
          <w:spacing w:val="-19"/>
          <w:sz w:val="23"/>
          <w:szCs w:val="23"/>
        </w:rPr>
        <w:t>是以</w:t>
      </w:r>
      <w:r>
        <w:rPr>
          <w:rFonts w:ascii="宋体" w:eastAsia="宋体" w:hAnsi="宋体" w:cs="宋体"/>
          <w:spacing w:val="-20"/>
          <w:sz w:val="23"/>
          <w:szCs w:val="23"/>
        </w:rPr>
        <w:t>特定社会区域范围内的各种或某种人</w:t>
      </w:r>
      <w:r>
        <w:rPr>
          <w:rFonts w:ascii="宋体" w:eastAsia="宋体" w:hAnsi="宋体" w:cs="宋体"/>
          <w:sz w:val="23"/>
          <w:szCs w:val="23"/>
        </w:rPr>
        <w:t xml:space="preserve"> </w:t>
      </w:r>
      <w:r>
        <w:rPr>
          <w:rFonts w:ascii="宋体" w:eastAsia="宋体" w:hAnsi="宋体" w:cs="宋体"/>
          <w:spacing w:val="-17"/>
          <w:sz w:val="23"/>
          <w:szCs w:val="23"/>
        </w:rPr>
        <w:t>群为对象，从宏观上研究其实施合理营养与膳食的理论、方法以及相关制约因</w:t>
      </w:r>
      <w:r>
        <w:rPr>
          <w:rFonts w:ascii="宋体" w:eastAsia="宋体" w:hAnsi="宋体" w:cs="宋体"/>
          <w:spacing w:val="18"/>
          <w:sz w:val="23"/>
          <w:szCs w:val="23"/>
        </w:rPr>
        <w:t xml:space="preserve"> </w:t>
      </w:r>
      <w:r>
        <w:rPr>
          <w:rFonts w:ascii="宋体" w:eastAsia="宋体" w:hAnsi="宋体" w:cs="宋体"/>
          <w:spacing w:val="-22"/>
          <w:sz w:val="23"/>
          <w:szCs w:val="23"/>
        </w:rPr>
        <w:t>素。目的在于利用一切有利条件，使特定社区内人群膳食营养合理化，提高其营</w:t>
      </w:r>
      <w:r>
        <w:rPr>
          <w:rFonts w:ascii="宋体" w:eastAsia="宋体" w:hAnsi="宋体" w:cs="宋体"/>
          <w:spacing w:val="2"/>
          <w:sz w:val="23"/>
          <w:szCs w:val="23"/>
        </w:rPr>
        <w:t xml:space="preserve"> </w:t>
      </w:r>
      <w:r>
        <w:rPr>
          <w:rFonts w:ascii="宋体" w:eastAsia="宋体" w:hAnsi="宋体" w:cs="宋体"/>
          <w:spacing w:val="-22"/>
          <w:sz w:val="23"/>
          <w:szCs w:val="23"/>
        </w:rPr>
        <w:t>养水平和健康水平。社区营养的特点是：①以共同的政</w:t>
      </w:r>
      <w:r>
        <w:rPr>
          <w:rFonts w:ascii="宋体" w:eastAsia="宋体" w:hAnsi="宋体" w:cs="宋体"/>
          <w:spacing w:val="-23"/>
          <w:sz w:val="23"/>
          <w:szCs w:val="23"/>
        </w:rPr>
        <w:t>治、经济、文化及膳食习</w:t>
      </w:r>
      <w:r>
        <w:rPr>
          <w:rFonts w:ascii="宋体" w:eastAsia="宋体" w:hAnsi="宋体" w:cs="宋体"/>
          <w:sz w:val="23"/>
          <w:szCs w:val="23"/>
        </w:rPr>
        <w:t xml:space="preserve"> </w:t>
      </w:r>
      <w:r>
        <w:rPr>
          <w:rFonts w:ascii="宋体" w:eastAsia="宋体" w:hAnsi="宋体" w:cs="宋体"/>
          <w:spacing w:val="-23"/>
          <w:sz w:val="23"/>
          <w:szCs w:val="23"/>
        </w:rPr>
        <w:t>俗等划分人群范围，如以同一个居民点、乡镇、县区、省市甚至国家划分社区人</w:t>
      </w:r>
      <w:r>
        <w:rPr>
          <w:rFonts w:ascii="宋体" w:eastAsia="宋体" w:hAnsi="宋体" w:cs="宋体"/>
          <w:spacing w:val="2"/>
          <w:sz w:val="23"/>
          <w:szCs w:val="23"/>
        </w:rPr>
        <w:t xml:space="preserve"> </w:t>
      </w:r>
      <w:r>
        <w:rPr>
          <w:rFonts w:ascii="宋体" w:eastAsia="宋体" w:hAnsi="宋体" w:cs="宋体"/>
          <w:spacing w:val="-22"/>
          <w:sz w:val="23"/>
          <w:szCs w:val="23"/>
        </w:rPr>
        <w:t>群。②强调特定社区人群的综合性和整体性。③主要研究解决的膳食营养问题具</w:t>
      </w:r>
      <w:r>
        <w:rPr>
          <w:rFonts w:ascii="宋体" w:eastAsia="宋体" w:hAnsi="宋体" w:cs="宋体"/>
          <w:sz w:val="23"/>
          <w:szCs w:val="23"/>
        </w:rPr>
        <w:t xml:space="preserve"> </w:t>
      </w:r>
      <w:r>
        <w:rPr>
          <w:rFonts w:ascii="宋体" w:eastAsia="宋体" w:hAnsi="宋体" w:cs="宋体"/>
          <w:spacing w:val="-16"/>
          <w:sz w:val="23"/>
          <w:szCs w:val="23"/>
        </w:rPr>
        <w:t>有宏观性、实践性和社会性。既包括人群膳食营养需要与摄入、营养调查与评</w:t>
      </w:r>
      <w:r>
        <w:rPr>
          <w:rFonts w:ascii="宋体" w:eastAsia="宋体" w:hAnsi="宋体" w:cs="宋体"/>
          <w:spacing w:val="1"/>
          <w:sz w:val="23"/>
          <w:szCs w:val="23"/>
        </w:rPr>
        <w:t xml:space="preserve"> </w:t>
      </w:r>
      <w:r>
        <w:rPr>
          <w:rFonts w:ascii="宋体" w:eastAsia="宋体" w:hAnsi="宋体" w:cs="宋体"/>
          <w:spacing w:val="-17"/>
          <w:sz w:val="23"/>
          <w:szCs w:val="23"/>
        </w:rPr>
        <w:t>价、食物结构调整、膳食指导、营养监测等直接问题，也与食物经济、营养教</w:t>
      </w:r>
      <w:r>
        <w:rPr>
          <w:rFonts w:ascii="宋体" w:eastAsia="宋体" w:hAnsi="宋体" w:cs="宋体"/>
          <w:spacing w:val="5"/>
          <w:sz w:val="23"/>
          <w:szCs w:val="23"/>
        </w:rPr>
        <w:t xml:space="preserve"> </w:t>
      </w:r>
      <w:r>
        <w:rPr>
          <w:rFonts w:ascii="宋体" w:eastAsia="宋体" w:hAnsi="宋体" w:cs="宋体"/>
          <w:spacing w:val="-24"/>
          <w:sz w:val="23"/>
          <w:szCs w:val="23"/>
        </w:rPr>
        <w:t>育、饮食文化、营养保健政策与法规等间接因素有关。</w:t>
      </w:r>
    </w:p>
    <w:p w:rsidR="00EA40A3" w:rsidRDefault="00E86C16">
      <w:pPr>
        <w:spacing w:before="310" w:line="219" w:lineRule="auto"/>
        <w:ind w:left="2569"/>
        <w:rPr>
          <w:rFonts w:ascii="宋体" w:eastAsia="宋体" w:hAnsi="宋体" w:cs="宋体"/>
          <w:sz w:val="29"/>
          <w:szCs w:val="29"/>
        </w:rPr>
      </w:pPr>
      <w:r>
        <w:rPr>
          <w:rFonts w:ascii="宋体" w:eastAsia="宋体" w:hAnsi="宋体" w:cs="宋体"/>
          <w:spacing w:val="-10"/>
          <w:sz w:val="29"/>
          <w:szCs w:val="29"/>
        </w:rPr>
        <w:t>12.1</w:t>
      </w:r>
      <w:r>
        <w:rPr>
          <w:rFonts w:ascii="宋体" w:eastAsia="宋体" w:hAnsi="宋体" w:cs="宋体"/>
          <w:spacing w:val="128"/>
          <w:sz w:val="29"/>
          <w:szCs w:val="29"/>
        </w:rPr>
        <w:t xml:space="preserve"> </w:t>
      </w:r>
      <w:r>
        <w:rPr>
          <w:rFonts w:ascii="宋体" w:eastAsia="宋体" w:hAnsi="宋体" w:cs="宋体"/>
          <w:spacing w:val="-10"/>
          <w:sz w:val="29"/>
          <w:szCs w:val="29"/>
        </w:rPr>
        <w:t>营</w:t>
      </w:r>
      <w:r>
        <w:rPr>
          <w:rFonts w:ascii="宋体" w:eastAsia="宋体" w:hAnsi="宋体" w:cs="宋体"/>
          <w:spacing w:val="-54"/>
          <w:sz w:val="29"/>
          <w:szCs w:val="29"/>
        </w:rPr>
        <w:t xml:space="preserve"> </w:t>
      </w:r>
      <w:r>
        <w:rPr>
          <w:rFonts w:ascii="宋体" w:eastAsia="宋体" w:hAnsi="宋体" w:cs="宋体"/>
          <w:spacing w:val="-10"/>
          <w:sz w:val="29"/>
          <w:szCs w:val="29"/>
        </w:rPr>
        <w:t>养</w:t>
      </w:r>
      <w:r>
        <w:rPr>
          <w:rFonts w:ascii="宋体" w:eastAsia="宋体" w:hAnsi="宋体" w:cs="宋体"/>
          <w:spacing w:val="-55"/>
          <w:sz w:val="29"/>
          <w:szCs w:val="29"/>
        </w:rPr>
        <w:t xml:space="preserve"> </w:t>
      </w:r>
      <w:r>
        <w:rPr>
          <w:rFonts w:ascii="宋体" w:eastAsia="宋体" w:hAnsi="宋体" w:cs="宋体"/>
          <w:spacing w:val="-10"/>
          <w:sz w:val="29"/>
          <w:szCs w:val="29"/>
        </w:rPr>
        <w:t>监</w:t>
      </w:r>
      <w:r>
        <w:rPr>
          <w:rFonts w:ascii="宋体" w:eastAsia="宋体" w:hAnsi="宋体" w:cs="宋体"/>
          <w:spacing w:val="-54"/>
          <w:sz w:val="29"/>
          <w:szCs w:val="29"/>
        </w:rPr>
        <w:t xml:space="preserve"> </w:t>
      </w:r>
      <w:r>
        <w:rPr>
          <w:rFonts w:ascii="宋体" w:eastAsia="宋体" w:hAnsi="宋体" w:cs="宋体"/>
          <w:spacing w:val="-10"/>
          <w:sz w:val="29"/>
          <w:szCs w:val="29"/>
        </w:rPr>
        <w:t>测</w:t>
      </w:r>
    </w:p>
    <w:p w:rsidR="00EA40A3" w:rsidRDefault="00E86C16">
      <w:pPr>
        <w:spacing w:before="158" w:line="221" w:lineRule="auto"/>
        <w:ind w:left="3"/>
        <w:outlineLvl w:val="6"/>
        <w:rPr>
          <w:rFonts w:ascii="黑体" w:eastAsia="黑体" w:hAnsi="黑体" w:cs="黑体"/>
          <w:sz w:val="23"/>
          <w:szCs w:val="23"/>
        </w:rPr>
      </w:pPr>
      <w:r>
        <w:rPr>
          <w:rFonts w:ascii="黑体" w:eastAsia="黑体" w:hAnsi="黑体" w:cs="黑体"/>
          <w:b/>
          <w:bCs/>
          <w:spacing w:val="-2"/>
          <w:sz w:val="23"/>
          <w:szCs w:val="23"/>
        </w:rPr>
        <w:t>12.1.1</w:t>
      </w:r>
      <w:r>
        <w:rPr>
          <w:rFonts w:ascii="黑体" w:eastAsia="黑体" w:hAnsi="黑体" w:cs="黑体"/>
          <w:spacing w:val="22"/>
          <w:sz w:val="23"/>
          <w:szCs w:val="23"/>
        </w:rPr>
        <w:t xml:space="preserve">  </w:t>
      </w:r>
      <w:r>
        <w:rPr>
          <w:rFonts w:ascii="黑体" w:eastAsia="黑体" w:hAnsi="黑体" w:cs="黑体"/>
          <w:b/>
          <w:bCs/>
          <w:spacing w:val="-2"/>
          <w:sz w:val="23"/>
          <w:szCs w:val="23"/>
        </w:rPr>
        <w:t>营养监测概述</w:t>
      </w:r>
    </w:p>
    <w:p w:rsidR="00EA40A3" w:rsidRDefault="00E86C16">
      <w:pPr>
        <w:spacing w:before="246" w:line="221" w:lineRule="auto"/>
        <w:rPr>
          <w:rFonts w:ascii="仿宋" w:eastAsia="仿宋" w:hAnsi="仿宋" w:cs="仿宋"/>
          <w:sz w:val="23"/>
          <w:szCs w:val="23"/>
        </w:rPr>
      </w:pPr>
      <w:r>
        <w:rPr>
          <w:rFonts w:ascii="仿宋" w:eastAsia="仿宋" w:hAnsi="仿宋" w:cs="仿宋"/>
          <w:sz w:val="23"/>
          <w:szCs w:val="23"/>
        </w:rPr>
        <w:t>1. 营养监测的概念</w:t>
      </w:r>
    </w:p>
    <w:p w:rsidR="00EA40A3" w:rsidRDefault="00E86C16">
      <w:pPr>
        <w:spacing w:before="166" w:line="244" w:lineRule="auto"/>
        <w:ind w:firstLine="429"/>
        <w:jc w:val="both"/>
        <w:rPr>
          <w:rFonts w:ascii="宋体" w:eastAsia="宋体" w:hAnsi="宋体" w:cs="宋体"/>
          <w:sz w:val="23"/>
          <w:szCs w:val="23"/>
        </w:rPr>
      </w:pPr>
      <w:r>
        <w:rPr>
          <w:rFonts w:ascii="宋体" w:eastAsia="宋体" w:hAnsi="宋体" w:cs="宋体"/>
          <w:spacing w:val="-25"/>
          <w:sz w:val="23"/>
          <w:szCs w:val="23"/>
        </w:rPr>
        <w:t>营养监测</w:t>
      </w:r>
      <w:r>
        <w:rPr>
          <w:rFonts w:ascii="宋体" w:eastAsia="宋体" w:hAnsi="宋体" w:cs="宋体"/>
          <w:spacing w:val="3"/>
          <w:sz w:val="23"/>
          <w:szCs w:val="23"/>
        </w:rPr>
        <w:t xml:space="preserve"> </w:t>
      </w:r>
      <w:r>
        <w:rPr>
          <w:rFonts w:ascii="宋体" w:eastAsia="宋体" w:hAnsi="宋体" w:cs="宋体"/>
          <w:spacing w:val="-25"/>
          <w:sz w:val="23"/>
          <w:szCs w:val="23"/>
        </w:rPr>
        <w:t>(nutritional</w:t>
      </w:r>
      <w:r>
        <w:rPr>
          <w:rFonts w:ascii="宋体" w:eastAsia="宋体" w:hAnsi="宋体" w:cs="宋体"/>
          <w:spacing w:val="-11"/>
          <w:sz w:val="23"/>
          <w:szCs w:val="23"/>
        </w:rPr>
        <w:t xml:space="preserve"> </w:t>
      </w:r>
      <w:r>
        <w:rPr>
          <w:rFonts w:ascii="宋体" w:eastAsia="宋体" w:hAnsi="宋体" w:cs="宋体"/>
          <w:spacing w:val="-25"/>
          <w:sz w:val="23"/>
          <w:szCs w:val="23"/>
        </w:rPr>
        <w:t>surveillance)</w:t>
      </w:r>
      <w:r>
        <w:rPr>
          <w:rFonts w:ascii="宋体" w:eastAsia="宋体" w:hAnsi="宋体" w:cs="宋体"/>
          <w:spacing w:val="-44"/>
          <w:sz w:val="23"/>
          <w:szCs w:val="23"/>
        </w:rPr>
        <w:t xml:space="preserve"> </w:t>
      </w:r>
      <w:r>
        <w:rPr>
          <w:rFonts w:ascii="宋体" w:eastAsia="宋体" w:hAnsi="宋体" w:cs="宋体"/>
          <w:spacing w:val="-25"/>
          <w:sz w:val="23"/>
          <w:szCs w:val="23"/>
        </w:rPr>
        <w:t>的概念来源于疾病监测，主要是由于世</w:t>
      </w:r>
      <w:r>
        <w:rPr>
          <w:rFonts w:ascii="宋体" w:eastAsia="宋体" w:hAnsi="宋体" w:cs="宋体"/>
          <w:sz w:val="23"/>
          <w:szCs w:val="23"/>
        </w:rPr>
        <w:t xml:space="preserve"> </w:t>
      </w:r>
      <w:r>
        <w:rPr>
          <w:rFonts w:ascii="宋体" w:eastAsia="宋体" w:hAnsi="宋体" w:cs="宋体"/>
          <w:spacing w:val="-20"/>
          <w:sz w:val="23"/>
          <w:szCs w:val="23"/>
        </w:rPr>
        <w:t>界范围内存在营养不良的现象，如发展中国家由于蛋白质-热量缺乏而引起的营</w:t>
      </w:r>
      <w:r>
        <w:rPr>
          <w:rFonts w:ascii="宋体" w:eastAsia="宋体" w:hAnsi="宋体" w:cs="宋体"/>
          <w:spacing w:val="8"/>
          <w:sz w:val="23"/>
          <w:szCs w:val="23"/>
        </w:rPr>
        <w:t xml:space="preserve">  </w:t>
      </w:r>
      <w:r>
        <w:rPr>
          <w:rFonts w:ascii="宋体" w:eastAsia="宋体" w:hAnsi="宋体" w:cs="宋体"/>
          <w:spacing w:val="-24"/>
          <w:sz w:val="23"/>
          <w:szCs w:val="23"/>
        </w:rPr>
        <w:t>养不良、家庭中可用食物不足、缺乏必要的生活条件和保健服务等。这一概念刚</w:t>
      </w:r>
      <w:r>
        <w:rPr>
          <w:rFonts w:ascii="宋体" w:eastAsia="宋体" w:hAnsi="宋体" w:cs="宋体"/>
          <w:spacing w:val="6"/>
          <w:sz w:val="23"/>
          <w:szCs w:val="23"/>
        </w:rPr>
        <w:t xml:space="preserve">  </w:t>
      </w:r>
      <w:r>
        <w:rPr>
          <w:rFonts w:ascii="宋体" w:eastAsia="宋体" w:hAnsi="宋体" w:cs="宋体"/>
          <w:spacing w:val="-22"/>
          <w:sz w:val="23"/>
          <w:szCs w:val="23"/>
        </w:rPr>
        <w:t>刚被认识，逐渐形成了一些具体的工作方法，我国尚未系统开展社会营养监测工</w:t>
      </w:r>
      <w:r>
        <w:rPr>
          <w:rFonts w:ascii="宋体" w:eastAsia="宋体" w:hAnsi="宋体" w:cs="宋体"/>
          <w:sz w:val="23"/>
          <w:szCs w:val="23"/>
        </w:rPr>
        <w:t xml:space="preserve"> </w:t>
      </w:r>
      <w:r>
        <w:rPr>
          <w:rFonts w:ascii="宋体" w:eastAsia="宋体" w:hAnsi="宋体" w:cs="宋体"/>
          <w:spacing w:val="-14"/>
          <w:sz w:val="23"/>
          <w:szCs w:val="23"/>
        </w:rPr>
        <w:t>作，FAO、WHO、</w:t>
      </w:r>
      <w:r>
        <w:rPr>
          <w:rFonts w:ascii="宋体" w:eastAsia="宋体" w:hAnsi="宋体" w:cs="宋体"/>
          <w:spacing w:val="20"/>
          <w:sz w:val="23"/>
          <w:szCs w:val="23"/>
        </w:rPr>
        <w:t xml:space="preserve">   </w:t>
      </w:r>
      <w:r>
        <w:rPr>
          <w:rFonts w:ascii="宋体" w:eastAsia="宋体" w:hAnsi="宋体" w:cs="宋体"/>
          <w:spacing w:val="-14"/>
          <w:sz w:val="23"/>
          <w:szCs w:val="23"/>
        </w:rPr>
        <w:t>联合国儿童基金会 (UNICEF)</w:t>
      </w:r>
      <w:r>
        <w:rPr>
          <w:rFonts w:ascii="宋体" w:eastAsia="宋体" w:hAnsi="宋体" w:cs="宋体"/>
          <w:spacing w:val="9"/>
          <w:sz w:val="23"/>
          <w:szCs w:val="23"/>
        </w:rPr>
        <w:t xml:space="preserve">  </w:t>
      </w:r>
      <w:r>
        <w:rPr>
          <w:rFonts w:ascii="宋体" w:eastAsia="宋体" w:hAnsi="宋体" w:cs="宋体"/>
          <w:spacing w:val="-14"/>
          <w:sz w:val="23"/>
          <w:szCs w:val="23"/>
        </w:rPr>
        <w:t>等国际组织给出的定义是：</w:t>
      </w:r>
      <w:r>
        <w:rPr>
          <w:rFonts w:ascii="宋体" w:eastAsia="宋体" w:hAnsi="宋体" w:cs="宋体"/>
          <w:spacing w:val="1"/>
          <w:sz w:val="23"/>
          <w:szCs w:val="23"/>
        </w:rPr>
        <w:t xml:space="preserve"> </w:t>
      </w:r>
      <w:r>
        <w:rPr>
          <w:rFonts w:ascii="宋体" w:eastAsia="宋体" w:hAnsi="宋体" w:cs="宋体"/>
          <w:spacing w:val="-6"/>
          <w:sz w:val="23"/>
          <w:szCs w:val="23"/>
        </w:rPr>
        <w:t>社会营养监测(简称营养监测)是对人群(尤其是按社会经济状况划分的亚人</w:t>
      </w:r>
    </w:p>
    <w:p w:rsidR="00EA40A3" w:rsidRDefault="00E86C16">
      <w:pPr>
        <w:spacing w:before="92"/>
        <w:ind w:right="85"/>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387</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311"/>
          <w:pgSz w:w="9340" w:h="13440"/>
          <w:pgMar w:top="400" w:right="994" w:bottom="400" w:left="990" w:header="0" w:footer="0" w:gutter="0"/>
          <w:cols w:space="720"/>
        </w:sectPr>
      </w:pPr>
    </w:p>
    <w:p w:rsidR="00EA40A3" w:rsidRDefault="00EA40A3">
      <w:pPr>
        <w:spacing w:line="276" w:lineRule="auto"/>
      </w:pPr>
    </w:p>
    <w:p w:rsidR="00EA40A3" w:rsidRDefault="00EA40A3">
      <w:pPr>
        <w:spacing w:line="276" w:lineRule="auto"/>
      </w:pPr>
    </w:p>
    <w:p w:rsidR="00EA40A3" w:rsidRDefault="00E86C16">
      <w:pPr>
        <w:spacing w:before="72" w:line="236" w:lineRule="auto"/>
        <w:ind w:right="80"/>
        <w:rPr>
          <w:rFonts w:ascii="宋体" w:eastAsia="宋体" w:hAnsi="宋体" w:cs="宋体"/>
          <w:sz w:val="22"/>
          <w:szCs w:val="22"/>
        </w:rPr>
      </w:pPr>
      <w:r>
        <w:rPr>
          <w:rFonts w:ascii="宋体" w:eastAsia="宋体" w:hAnsi="宋体" w:cs="宋体"/>
          <w:spacing w:val="-10"/>
          <w:sz w:val="22"/>
          <w:szCs w:val="22"/>
        </w:rPr>
        <w:t>群)的营养状况进行连续动态地观察，针对营养问题制定计划，分析已制定的政</w:t>
      </w:r>
      <w:r>
        <w:rPr>
          <w:rFonts w:ascii="宋体" w:eastAsia="宋体" w:hAnsi="宋体" w:cs="宋体"/>
          <w:spacing w:val="18"/>
          <w:sz w:val="22"/>
          <w:szCs w:val="22"/>
        </w:rPr>
        <w:t xml:space="preserve"> </w:t>
      </w:r>
      <w:r>
        <w:rPr>
          <w:rFonts w:ascii="宋体" w:eastAsia="宋体" w:hAnsi="宋体" w:cs="宋体"/>
          <w:spacing w:val="-14"/>
          <w:sz w:val="22"/>
          <w:szCs w:val="22"/>
        </w:rPr>
        <w:t>策和计划所产生的影响，并预测其发展趋势。</w:t>
      </w:r>
    </w:p>
    <w:p w:rsidR="00EA40A3" w:rsidRDefault="00E86C16">
      <w:pPr>
        <w:spacing w:before="38" w:line="219" w:lineRule="auto"/>
        <w:ind w:left="430"/>
        <w:rPr>
          <w:rFonts w:ascii="宋体" w:eastAsia="宋体" w:hAnsi="宋体" w:cs="宋体"/>
          <w:sz w:val="22"/>
          <w:szCs w:val="22"/>
        </w:rPr>
      </w:pPr>
      <w:r>
        <w:rPr>
          <w:rFonts w:ascii="宋体" w:eastAsia="宋体" w:hAnsi="宋体" w:cs="宋体"/>
          <w:spacing w:val="-10"/>
          <w:sz w:val="22"/>
          <w:szCs w:val="22"/>
        </w:rPr>
        <w:t>营养监测活动因不同目的和工作内容而有所不同，可以划分为3类：</w:t>
      </w:r>
    </w:p>
    <w:p w:rsidR="00EA40A3" w:rsidRDefault="00E86C16">
      <w:pPr>
        <w:spacing w:before="56" w:line="244" w:lineRule="auto"/>
        <w:ind w:right="81" w:firstLine="430"/>
        <w:rPr>
          <w:rFonts w:ascii="宋体" w:eastAsia="宋体" w:hAnsi="宋体" w:cs="宋体"/>
          <w:sz w:val="22"/>
          <w:szCs w:val="22"/>
        </w:rPr>
      </w:pPr>
      <w:r>
        <w:rPr>
          <w:rFonts w:ascii="宋体" w:eastAsia="宋体" w:hAnsi="宋体" w:cs="宋体"/>
          <w:spacing w:val="-7"/>
          <w:sz w:val="22"/>
          <w:szCs w:val="22"/>
        </w:rPr>
        <w:t>(1)长期营养监测。对人群营养现状进行调查分析，以便制定计划(一般为</w:t>
      </w:r>
      <w:r>
        <w:rPr>
          <w:rFonts w:ascii="宋体" w:eastAsia="宋体" w:hAnsi="宋体" w:cs="宋体"/>
          <w:spacing w:val="7"/>
          <w:sz w:val="22"/>
          <w:szCs w:val="22"/>
        </w:rPr>
        <w:t xml:space="preserve"> </w:t>
      </w:r>
      <w:r>
        <w:rPr>
          <w:rFonts w:ascii="宋体" w:eastAsia="宋体" w:hAnsi="宋体" w:cs="宋体"/>
          <w:spacing w:val="-7"/>
          <w:sz w:val="22"/>
          <w:szCs w:val="22"/>
        </w:rPr>
        <w:t>国家级),分析这些计划对营养问题的影响，并预测将来的趋势。这种监测对信</w:t>
      </w:r>
      <w:r>
        <w:rPr>
          <w:rFonts w:ascii="宋体" w:eastAsia="宋体" w:hAnsi="宋体" w:cs="宋体"/>
          <w:spacing w:val="8"/>
          <w:sz w:val="22"/>
          <w:szCs w:val="22"/>
        </w:rPr>
        <w:t xml:space="preserve"> </w:t>
      </w:r>
      <w:r>
        <w:rPr>
          <w:rFonts w:ascii="宋体" w:eastAsia="宋体" w:hAnsi="宋体" w:cs="宋体"/>
          <w:spacing w:val="-13"/>
          <w:sz w:val="22"/>
          <w:szCs w:val="22"/>
        </w:rPr>
        <w:t>息的反应较慢，通常是通过专门针对改善营养和卫生的大规模国家规划，或通过</w:t>
      </w:r>
      <w:r>
        <w:rPr>
          <w:rFonts w:ascii="宋体" w:eastAsia="宋体" w:hAnsi="宋体" w:cs="宋体"/>
          <w:spacing w:val="12"/>
          <w:sz w:val="22"/>
          <w:szCs w:val="22"/>
        </w:rPr>
        <w:t xml:space="preserve"> </w:t>
      </w:r>
      <w:r>
        <w:rPr>
          <w:rFonts w:ascii="宋体" w:eastAsia="宋体" w:hAnsi="宋体" w:cs="宋体"/>
          <w:spacing w:val="-13"/>
          <w:sz w:val="22"/>
          <w:szCs w:val="22"/>
        </w:rPr>
        <w:t>全面的发展政策，以及两者兼存的方式来实现。</w:t>
      </w:r>
    </w:p>
    <w:p w:rsidR="00EA40A3" w:rsidRDefault="00E86C16">
      <w:pPr>
        <w:spacing w:before="37" w:line="244" w:lineRule="auto"/>
        <w:ind w:right="60" w:firstLine="430"/>
        <w:rPr>
          <w:rFonts w:ascii="宋体" w:eastAsia="宋体" w:hAnsi="宋体" w:cs="宋体"/>
          <w:sz w:val="22"/>
          <w:szCs w:val="22"/>
        </w:rPr>
      </w:pPr>
      <w:r>
        <w:rPr>
          <w:rFonts w:ascii="宋体" w:eastAsia="宋体" w:hAnsi="宋体" w:cs="宋体"/>
          <w:spacing w:val="-9"/>
          <w:sz w:val="22"/>
          <w:szCs w:val="22"/>
        </w:rPr>
        <w:t>(2)计划效果评价性监测。在实施了以改善营养或满足营养需要为目标的计</w:t>
      </w:r>
      <w:r>
        <w:rPr>
          <w:rFonts w:ascii="宋体" w:eastAsia="宋体" w:hAnsi="宋体" w:cs="宋体"/>
          <w:spacing w:val="4"/>
          <w:sz w:val="22"/>
          <w:szCs w:val="22"/>
        </w:rPr>
        <w:t xml:space="preserve"> </w:t>
      </w:r>
      <w:r>
        <w:rPr>
          <w:rFonts w:ascii="宋体" w:eastAsia="宋体" w:hAnsi="宋体" w:cs="宋体"/>
          <w:spacing w:val="-13"/>
          <w:sz w:val="22"/>
          <w:szCs w:val="22"/>
        </w:rPr>
        <w:t>划后，监测营养指标的变化。其主要目的是对制定的目标进行改进，或评价其是</w:t>
      </w:r>
      <w:r>
        <w:rPr>
          <w:rFonts w:ascii="宋体" w:eastAsia="宋体" w:hAnsi="宋体" w:cs="宋体"/>
          <w:spacing w:val="14"/>
          <w:sz w:val="22"/>
          <w:szCs w:val="22"/>
        </w:rPr>
        <w:t xml:space="preserve"> </w:t>
      </w:r>
      <w:r>
        <w:rPr>
          <w:rFonts w:ascii="宋体" w:eastAsia="宋体" w:hAnsi="宋体" w:cs="宋体"/>
          <w:spacing w:val="-13"/>
          <w:sz w:val="22"/>
          <w:szCs w:val="22"/>
        </w:rPr>
        <w:t>否需要修改措施，以便在实施阶段完善和完成计划。这种监测活动的反应比长期</w:t>
      </w:r>
      <w:r>
        <w:rPr>
          <w:rFonts w:ascii="宋体" w:eastAsia="宋体" w:hAnsi="宋体" w:cs="宋体"/>
          <w:spacing w:val="17"/>
          <w:sz w:val="22"/>
          <w:szCs w:val="22"/>
        </w:rPr>
        <w:t xml:space="preserve"> </w:t>
      </w:r>
      <w:r>
        <w:rPr>
          <w:rFonts w:ascii="宋体" w:eastAsia="宋体" w:hAnsi="宋体" w:cs="宋体"/>
          <w:spacing w:val="-15"/>
          <w:sz w:val="22"/>
          <w:szCs w:val="22"/>
        </w:rPr>
        <w:t>营养监测要快些。</w:t>
      </w:r>
    </w:p>
    <w:p w:rsidR="00EA40A3" w:rsidRDefault="00E86C16">
      <w:pPr>
        <w:spacing w:before="38" w:line="245" w:lineRule="auto"/>
        <w:ind w:right="79" w:firstLine="430"/>
        <w:rPr>
          <w:rFonts w:ascii="宋体" w:eastAsia="宋体" w:hAnsi="宋体" w:cs="宋体"/>
          <w:sz w:val="22"/>
          <w:szCs w:val="22"/>
        </w:rPr>
      </w:pPr>
      <w:r>
        <w:rPr>
          <w:rFonts w:ascii="宋体" w:eastAsia="宋体" w:hAnsi="宋体" w:cs="宋体"/>
          <w:spacing w:val="-10"/>
          <w:sz w:val="22"/>
          <w:szCs w:val="22"/>
        </w:rPr>
        <w:t>(3)及时报警和干预系统监测。为了预防或减轻正在发生的食物消费不足或</w:t>
      </w:r>
      <w:r>
        <w:rPr>
          <w:rFonts w:ascii="宋体" w:eastAsia="宋体" w:hAnsi="宋体" w:cs="宋体"/>
          <w:spacing w:val="18"/>
          <w:sz w:val="22"/>
          <w:szCs w:val="22"/>
        </w:rPr>
        <w:t xml:space="preserve"> </w:t>
      </w:r>
      <w:r>
        <w:rPr>
          <w:rFonts w:ascii="宋体" w:eastAsia="宋体" w:hAnsi="宋体" w:cs="宋体"/>
          <w:spacing w:val="-13"/>
          <w:sz w:val="22"/>
          <w:szCs w:val="22"/>
        </w:rPr>
        <w:t>营养摄入过量所采用的监测系统。这种监测不直接针对慢性食物消费不足、营养</w:t>
      </w:r>
      <w:r>
        <w:rPr>
          <w:rFonts w:ascii="宋体" w:eastAsia="宋体" w:hAnsi="宋体" w:cs="宋体"/>
          <w:spacing w:val="13"/>
          <w:sz w:val="22"/>
          <w:szCs w:val="22"/>
        </w:rPr>
        <w:t xml:space="preserve"> </w:t>
      </w:r>
      <w:r>
        <w:rPr>
          <w:rFonts w:ascii="宋体" w:eastAsia="宋体" w:hAnsi="宋体" w:cs="宋体"/>
          <w:spacing w:val="-13"/>
          <w:sz w:val="22"/>
          <w:szCs w:val="22"/>
        </w:rPr>
        <w:t>不良、过剩和失调，而是预防和减轻易染人群的短期营养恶化。其监测系统需要</w:t>
      </w:r>
      <w:r>
        <w:rPr>
          <w:rFonts w:ascii="宋体" w:eastAsia="宋体" w:hAnsi="宋体" w:cs="宋体"/>
          <w:spacing w:val="14"/>
          <w:sz w:val="22"/>
          <w:szCs w:val="22"/>
        </w:rPr>
        <w:t xml:space="preserve"> </w:t>
      </w:r>
      <w:r>
        <w:rPr>
          <w:rFonts w:ascii="宋体" w:eastAsia="宋体" w:hAnsi="宋体" w:cs="宋体"/>
          <w:spacing w:val="-13"/>
          <w:sz w:val="22"/>
          <w:szCs w:val="22"/>
        </w:rPr>
        <w:t>一个能对预测中发生的问题做出反应的机构，以便在食物减少或营养摄入过剩之</w:t>
      </w:r>
      <w:r>
        <w:rPr>
          <w:rFonts w:ascii="宋体" w:eastAsia="宋体" w:hAnsi="宋体" w:cs="宋体"/>
          <w:spacing w:val="12"/>
          <w:sz w:val="22"/>
          <w:szCs w:val="22"/>
        </w:rPr>
        <w:t xml:space="preserve"> </w:t>
      </w:r>
      <w:r>
        <w:rPr>
          <w:rFonts w:ascii="宋体" w:eastAsia="宋体" w:hAnsi="宋体" w:cs="宋体"/>
          <w:spacing w:val="-13"/>
          <w:sz w:val="22"/>
          <w:szCs w:val="22"/>
        </w:rPr>
        <w:t>前采取行动并进行干预，具有迅速行动，短期干预处理眼前问题的特点</w:t>
      </w:r>
      <w:r>
        <w:rPr>
          <w:rFonts w:ascii="宋体" w:eastAsia="宋体" w:hAnsi="宋体" w:cs="宋体"/>
          <w:spacing w:val="-14"/>
          <w:sz w:val="22"/>
          <w:szCs w:val="22"/>
        </w:rPr>
        <w:t>。</w:t>
      </w:r>
    </w:p>
    <w:p w:rsidR="00EA40A3" w:rsidRDefault="00E86C16">
      <w:pPr>
        <w:spacing w:before="267" w:line="220"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20"/>
          <w:sz w:val="22"/>
          <w:szCs w:val="22"/>
        </w:rPr>
        <w:t xml:space="preserve"> </w:t>
      </w:r>
      <w:r>
        <w:rPr>
          <w:rFonts w:ascii="仿宋" w:eastAsia="仿宋" w:hAnsi="仿宋" w:cs="仿宋"/>
          <w:spacing w:val="11"/>
          <w:sz w:val="22"/>
          <w:szCs w:val="22"/>
        </w:rPr>
        <w:t>营养监测的作用</w:t>
      </w:r>
    </w:p>
    <w:p w:rsidR="00EA40A3" w:rsidRDefault="00E86C16">
      <w:pPr>
        <w:spacing w:before="210" w:line="244" w:lineRule="auto"/>
        <w:ind w:right="72" w:firstLine="430"/>
        <w:jc w:val="both"/>
        <w:rPr>
          <w:rFonts w:ascii="宋体" w:eastAsia="宋体" w:hAnsi="宋体" w:cs="宋体"/>
          <w:sz w:val="22"/>
          <w:szCs w:val="22"/>
        </w:rPr>
      </w:pPr>
      <w:r>
        <w:rPr>
          <w:rFonts w:ascii="宋体" w:eastAsia="宋体" w:hAnsi="宋体" w:cs="宋体"/>
          <w:spacing w:val="-14"/>
          <w:sz w:val="22"/>
          <w:szCs w:val="22"/>
        </w:rPr>
        <w:t>(1)调查营养不良或过剩的原因。造成营养不良或过剩的原因，</w:t>
      </w:r>
      <w:r>
        <w:rPr>
          <w:rFonts w:ascii="宋体" w:eastAsia="宋体" w:hAnsi="宋体" w:cs="宋体"/>
          <w:spacing w:val="54"/>
          <w:sz w:val="22"/>
          <w:szCs w:val="22"/>
        </w:rPr>
        <w:t xml:space="preserve"> </w:t>
      </w:r>
      <w:r>
        <w:rPr>
          <w:rFonts w:ascii="宋体" w:eastAsia="宋体" w:hAnsi="宋体" w:cs="宋体"/>
          <w:spacing w:val="-14"/>
          <w:sz w:val="22"/>
          <w:szCs w:val="22"/>
        </w:rPr>
        <w:t>一是食</w:t>
      </w:r>
      <w:r>
        <w:rPr>
          <w:rFonts w:ascii="宋体" w:eastAsia="宋体" w:hAnsi="宋体" w:cs="宋体"/>
          <w:spacing w:val="-15"/>
          <w:sz w:val="22"/>
          <w:szCs w:val="22"/>
        </w:rPr>
        <w:t>物与</w:t>
      </w:r>
      <w:r>
        <w:rPr>
          <w:rFonts w:ascii="宋体" w:eastAsia="宋体" w:hAnsi="宋体" w:cs="宋体"/>
          <w:sz w:val="22"/>
          <w:szCs w:val="22"/>
        </w:rPr>
        <w:t xml:space="preserve"> </w:t>
      </w:r>
      <w:r>
        <w:rPr>
          <w:rFonts w:ascii="宋体" w:eastAsia="宋体" w:hAnsi="宋体" w:cs="宋体"/>
          <w:spacing w:val="-13"/>
          <w:sz w:val="22"/>
          <w:szCs w:val="22"/>
        </w:rPr>
        <w:t>非食物因素，前者很大程度上取决于膳食的摄取，后者常见于个人患病，两者均</w:t>
      </w:r>
      <w:r>
        <w:rPr>
          <w:rFonts w:ascii="宋体" w:eastAsia="宋体" w:hAnsi="宋体" w:cs="宋体"/>
          <w:spacing w:val="17"/>
          <w:sz w:val="22"/>
          <w:szCs w:val="22"/>
        </w:rPr>
        <w:t xml:space="preserve"> </w:t>
      </w:r>
      <w:r>
        <w:rPr>
          <w:rFonts w:ascii="宋体" w:eastAsia="宋体" w:hAnsi="宋体" w:cs="宋体"/>
          <w:spacing w:val="-13"/>
          <w:sz w:val="22"/>
          <w:szCs w:val="22"/>
        </w:rPr>
        <w:t>有一个共同的前提，就是经济收入状况；二是外界对家庭的影响因素和家庭内部</w:t>
      </w:r>
      <w:r>
        <w:rPr>
          <w:rFonts w:ascii="宋体" w:eastAsia="宋体" w:hAnsi="宋体" w:cs="宋体"/>
          <w:spacing w:val="15"/>
          <w:sz w:val="22"/>
          <w:szCs w:val="22"/>
        </w:rPr>
        <w:t xml:space="preserve"> </w:t>
      </w:r>
      <w:r>
        <w:rPr>
          <w:rFonts w:ascii="宋体" w:eastAsia="宋体" w:hAnsi="宋体" w:cs="宋体"/>
          <w:spacing w:val="-17"/>
          <w:sz w:val="22"/>
          <w:szCs w:val="22"/>
        </w:rPr>
        <w:t>的影响因素。</w:t>
      </w:r>
    </w:p>
    <w:p w:rsidR="00EA40A3" w:rsidRDefault="00E86C16">
      <w:pPr>
        <w:spacing w:before="41" w:line="246" w:lineRule="auto"/>
        <w:ind w:right="19" w:firstLine="430"/>
        <w:jc w:val="both"/>
        <w:rPr>
          <w:rFonts w:ascii="宋体" w:eastAsia="宋体" w:hAnsi="宋体" w:cs="宋体"/>
          <w:sz w:val="22"/>
          <w:szCs w:val="22"/>
        </w:rPr>
      </w:pPr>
      <w:r>
        <w:rPr>
          <w:rFonts w:ascii="宋体" w:eastAsia="宋体" w:hAnsi="宋体" w:cs="宋体"/>
          <w:spacing w:val="-9"/>
          <w:sz w:val="22"/>
          <w:szCs w:val="22"/>
        </w:rPr>
        <w:t>(2)营养水平是政府发展计划的目标和社会</w:t>
      </w:r>
      <w:r>
        <w:rPr>
          <w:rFonts w:ascii="宋体" w:eastAsia="宋体" w:hAnsi="宋体" w:cs="宋体"/>
          <w:spacing w:val="-10"/>
          <w:sz w:val="22"/>
          <w:szCs w:val="22"/>
        </w:rPr>
        <w:t>经济的指标。营养水平和健康是</w:t>
      </w:r>
      <w:r>
        <w:rPr>
          <w:rFonts w:ascii="宋体" w:eastAsia="宋体" w:hAnsi="宋体" w:cs="宋体"/>
          <w:sz w:val="22"/>
          <w:szCs w:val="22"/>
        </w:rPr>
        <w:t xml:space="preserve"> </w:t>
      </w:r>
      <w:r>
        <w:rPr>
          <w:rFonts w:ascii="宋体" w:eastAsia="宋体" w:hAnsi="宋体" w:cs="宋体"/>
          <w:spacing w:val="-12"/>
          <w:sz w:val="22"/>
          <w:szCs w:val="22"/>
        </w:rPr>
        <w:t>生活质量的一个间接指标。发展计划部门及经济工作者要寻求如健康状况、营</w:t>
      </w:r>
      <w:r>
        <w:rPr>
          <w:rFonts w:ascii="宋体" w:eastAsia="宋体" w:hAnsi="宋体" w:cs="宋体"/>
          <w:spacing w:val="-13"/>
          <w:sz w:val="22"/>
          <w:szCs w:val="22"/>
        </w:rPr>
        <w:t>养</w:t>
      </w:r>
      <w:r>
        <w:rPr>
          <w:rFonts w:ascii="宋体" w:eastAsia="宋体" w:hAnsi="宋体" w:cs="宋体"/>
          <w:sz w:val="22"/>
          <w:szCs w:val="22"/>
        </w:rPr>
        <w:t xml:space="preserve"> </w:t>
      </w:r>
      <w:r>
        <w:rPr>
          <w:rFonts w:ascii="宋体" w:eastAsia="宋体" w:hAnsi="宋体" w:cs="宋体"/>
          <w:spacing w:val="-11"/>
          <w:sz w:val="22"/>
          <w:szCs w:val="22"/>
        </w:rPr>
        <w:t>水平等社会指标，作为决定经济发展策略的指导，评价对人民生活质量的影响。</w:t>
      </w:r>
      <w:r>
        <w:rPr>
          <w:rFonts w:ascii="宋体" w:eastAsia="宋体" w:hAnsi="宋体" w:cs="宋体"/>
          <w:spacing w:val="4"/>
          <w:sz w:val="22"/>
          <w:szCs w:val="22"/>
        </w:rPr>
        <w:t xml:space="preserve"> </w:t>
      </w:r>
      <w:r>
        <w:rPr>
          <w:rFonts w:ascii="宋体" w:eastAsia="宋体" w:hAnsi="宋体" w:cs="宋体"/>
          <w:spacing w:val="-13"/>
          <w:sz w:val="22"/>
          <w:szCs w:val="22"/>
        </w:rPr>
        <w:t>依据营养监测数据信息，制定经济计划、营养和公共卫生计划。近年来，人们已</w:t>
      </w:r>
      <w:r>
        <w:rPr>
          <w:rFonts w:ascii="宋体" w:eastAsia="宋体" w:hAnsi="宋体" w:cs="宋体"/>
          <w:spacing w:val="17"/>
          <w:sz w:val="22"/>
          <w:szCs w:val="22"/>
        </w:rPr>
        <w:t xml:space="preserve"> </w:t>
      </w:r>
      <w:r>
        <w:rPr>
          <w:rFonts w:ascii="宋体" w:eastAsia="宋体" w:hAnsi="宋体" w:cs="宋体"/>
          <w:spacing w:val="-13"/>
          <w:sz w:val="22"/>
          <w:szCs w:val="22"/>
        </w:rPr>
        <w:t>将食品和营养水平列入“基本需要”及“人人享有卫生保健”的理念中。显然营</w:t>
      </w:r>
      <w:r>
        <w:rPr>
          <w:rFonts w:ascii="宋体" w:eastAsia="宋体" w:hAnsi="宋体" w:cs="宋体"/>
          <w:spacing w:val="17"/>
          <w:sz w:val="22"/>
          <w:szCs w:val="22"/>
        </w:rPr>
        <w:t xml:space="preserve"> </w:t>
      </w:r>
      <w:r>
        <w:rPr>
          <w:rFonts w:ascii="宋体" w:eastAsia="宋体" w:hAnsi="宋体" w:cs="宋体"/>
          <w:spacing w:val="-13"/>
          <w:sz w:val="22"/>
          <w:szCs w:val="22"/>
        </w:rPr>
        <w:t>养问题是其中的一个分支。</w:t>
      </w:r>
    </w:p>
    <w:p w:rsidR="00EA40A3" w:rsidRDefault="00E86C16">
      <w:pPr>
        <w:spacing w:before="41" w:line="246" w:lineRule="auto"/>
        <w:ind w:firstLine="430"/>
        <w:jc w:val="both"/>
        <w:rPr>
          <w:rFonts w:ascii="宋体" w:eastAsia="宋体" w:hAnsi="宋体" w:cs="宋体"/>
          <w:sz w:val="22"/>
          <w:szCs w:val="22"/>
        </w:rPr>
      </w:pPr>
      <w:r>
        <w:rPr>
          <w:rFonts w:ascii="宋体" w:eastAsia="宋体" w:hAnsi="宋体" w:cs="宋体"/>
          <w:spacing w:val="-3"/>
          <w:sz w:val="22"/>
          <w:szCs w:val="22"/>
        </w:rPr>
        <w:t>(3)制定保健战略的依据。20世纪70年代以来，营养在保健战略中的地位</w:t>
      </w:r>
      <w:r>
        <w:rPr>
          <w:rFonts w:ascii="宋体" w:eastAsia="宋体" w:hAnsi="宋体" w:cs="宋体"/>
          <w:spacing w:val="2"/>
          <w:sz w:val="22"/>
          <w:szCs w:val="22"/>
        </w:rPr>
        <w:t xml:space="preserve"> </w:t>
      </w:r>
      <w:r>
        <w:rPr>
          <w:rFonts w:ascii="宋体" w:eastAsia="宋体" w:hAnsi="宋体" w:cs="宋体"/>
          <w:spacing w:val="-7"/>
          <w:sz w:val="22"/>
          <w:szCs w:val="22"/>
        </w:rPr>
        <w:t>才得到确认，健康的和良好的营养状况是互相依存的，身体健康需要充足的食</w:t>
      </w:r>
      <w:r>
        <w:rPr>
          <w:rFonts w:ascii="宋体" w:eastAsia="宋体" w:hAnsi="宋体" w:cs="宋体"/>
          <w:spacing w:val="17"/>
          <w:sz w:val="22"/>
          <w:szCs w:val="22"/>
        </w:rPr>
        <w:t xml:space="preserve"> </w:t>
      </w:r>
      <w:r>
        <w:rPr>
          <w:rFonts w:ascii="宋体" w:eastAsia="宋体" w:hAnsi="宋体" w:cs="宋体"/>
          <w:spacing w:val="-13"/>
          <w:sz w:val="22"/>
          <w:szCs w:val="22"/>
        </w:rPr>
        <w:t>物。我国及许多国家制定了一些国民健康状况的卫生指标，如出生时或其他特定</w:t>
      </w:r>
      <w:r>
        <w:rPr>
          <w:rFonts w:ascii="宋体" w:eastAsia="宋体" w:hAnsi="宋体" w:cs="宋体"/>
          <w:spacing w:val="17"/>
          <w:sz w:val="22"/>
          <w:szCs w:val="22"/>
        </w:rPr>
        <w:t xml:space="preserve"> </w:t>
      </w:r>
      <w:r>
        <w:rPr>
          <w:rFonts w:ascii="宋体" w:eastAsia="宋体" w:hAnsi="宋体" w:cs="宋体"/>
          <w:spacing w:val="-12"/>
          <w:sz w:val="22"/>
          <w:szCs w:val="22"/>
        </w:rPr>
        <w:t>年龄的预期寿命、婴儿或儿童死亡率、出生体</w:t>
      </w:r>
      <w:r>
        <w:rPr>
          <w:rFonts w:ascii="宋体" w:eastAsia="宋体" w:hAnsi="宋体" w:cs="宋体"/>
          <w:spacing w:val="-13"/>
          <w:sz w:val="22"/>
          <w:szCs w:val="22"/>
        </w:rPr>
        <w:t>重、学龄前儿童营养状况、儿童身</w:t>
      </w:r>
      <w:r>
        <w:rPr>
          <w:rFonts w:ascii="宋体" w:eastAsia="宋体" w:hAnsi="宋体" w:cs="宋体"/>
          <w:sz w:val="22"/>
          <w:szCs w:val="22"/>
        </w:rPr>
        <w:t xml:space="preserve"> </w:t>
      </w:r>
      <w:r>
        <w:rPr>
          <w:rFonts w:ascii="宋体" w:eastAsia="宋体" w:hAnsi="宋体" w:cs="宋体"/>
          <w:spacing w:val="-10"/>
          <w:sz w:val="22"/>
          <w:szCs w:val="22"/>
        </w:rPr>
        <w:t>高等，这些指标可分为卫生政策指标、卫生保健指标、健</w:t>
      </w:r>
      <w:r>
        <w:rPr>
          <w:rFonts w:ascii="宋体" w:eastAsia="宋体" w:hAnsi="宋体" w:cs="宋体"/>
          <w:spacing w:val="-11"/>
          <w:sz w:val="22"/>
          <w:szCs w:val="22"/>
        </w:rPr>
        <w:t>康状况指标等几大类，</w:t>
      </w:r>
      <w:r>
        <w:rPr>
          <w:rFonts w:ascii="宋体" w:eastAsia="宋体" w:hAnsi="宋体" w:cs="宋体"/>
          <w:sz w:val="22"/>
          <w:szCs w:val="22"/>
        </w:rPr>
        <w:t xml:space="preserve"> </w:t>
      </w:r>
      <w:r>
        <w:rPr>
          <w:rFonts w:ascii="宋体" w:eastAsia="宋体" w:hAnsi="宋体" w:cs="宋体"/>
          <w:spacing w:val="-14"/>
          <w:sz w:val="22"/>
          <w:szCs w:val="22"/>
        </w:rPr>
        <w:t>营养监测包括了大多数这些指标。</w:t>
      </w:r>
    </w:p>
    <w:p w:rsidR="00EA40A3" w:rsidRDefault="00E86C16">
      <w:pPr>
        <w:spacing w:before="38" w:line="235" w:lineRule="auto"/>
        <w:ind w:right="80" w:firstLine="430"/>
        <w:jc w:val="both"/>
        <w:rPr>
          <w:rFonts w:ascii="宋体" w:eastAsia="宋体" w:hAnsi="宋体" w:cs="宋体"/>
          <w:sz w:val="22"/>
          <w:szCs w:val="22"/>
        </w:rPr>
      </w:pPr>
      <w:r>
        <w:rPr>
          <w:rFonts w:ascii="宋体" w:eastAsia="宋体" w:hAnsi="宋体" w:cs="宋体"/>
          <w:spacing w:val="-10"/>
          <w:sz w:val="22"/>
          <w:szCs w:val="22"/>
        </w:rPr>
        <w:t>(4)建立食物安全保障系统的依据。通过早期预警，密切关注国内外市场变</w:t>
      </w:r>
      <w:r>
        <w:rPr>
          <w:rFonts w:ascii="宋体" w:eastAsia="宋体" w:hAnsi="宋体" w:cs="宋体"/>
          <w:spacing w:val="18"/>
          <w:sz w:val="22"/>
          <w:szCs w:val="22"/>
        </w:rPr>
        <w:t xml:space="preserve"> </w:t>
      </w:r>
      <w:r>
        <w:rPr>
          <w:rFonts w:ascii="宋体" w:eastAsia="宋体" w:hAnsi="宋体" w:cs="宋体"/>
          <w:spacing w:val="-13"/>
          <w:sz w:val="22"/>
          <w:szCs w:val="22"/>
        </w:rPr>
        <w:t>化、重大自然灾害等对食物供给带来的影响，提前做好应对准备。</w:t>
      </w:r>
    </w:p>
    <w:p w:rsidR="00EA40A3" w:rsidRDefault="00E86C16">
      <w:pPr>
        <w:spacing w:before="145"/>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388</w:t>
      </w:r>
      <w:r>
        <w:rPr>
          <w:rFonts w:ascii="宋体" w:eastAsia="宋体" w:hAnsi="宋体" w:cs="宋体"/>
          <w:spacing w:val="52"/>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090" w:bottom="400" w:left="789" w:header="0" w:footer="0" w:gutter="0"/>
          <w:cols w:space="720"/>
        </w:sectPr>
      </w:pPr>
    </w:p>
    <w:p w:rsidR="00EA40A3" w:rsidRDefault="00825D12">
      <w:pPr>
        <w:spacing w:line="242" w:lineRule="auto"/>
      </w:pPr>
      <w:r>
        <w:rPr>
          <w:noProof/>
        </w:rPr>
        <w:lastRenderedPageBreak/>
        <mc:AlternateContent>
          <mc:Choice Requires="wps">
            <w:drawing>
              <wp:anchor distT="0" distB="0" distL="114300" distR="114300" simplePos="0" relativeHeight="251713536" behindDoc="0" locked="0" layoutInCell="0" allowOverlap="1">
                <wp:simplePos x="0" y="0"/>
                <wp:positionH relativeFrom="page">
                  <wp:posOffset>818515</wp:posOffset>
                </wp:positionH>
                <wp:positionV relativeFrom="page">
                  <wp:posOffset>4086860</wp:posOffset>
                </wp:positionV>
                <wp:extent cx="417195" cy="153670"/>
                <wp:effectExtent l="0" t="635" r="2540" b="0"/>
                <wp:wrapNone/>
                <wp:docPr id="1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pacing w:val="-12"/>
                                <w:sz w:val="17"/>
                                <w:szCs w:val="17"/>
                              </w:rPr>
                              <w:t>数据来源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60" type="#_x0000_t202" style="position:absolute;margin-left:64.45pt;margin-top:321.8pt;width:32.85pt;height:12.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eQtAIAALM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" o:allowincell="f" filled="f" stroked="f">
                <v:textbox inset="0,0,0,0">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pacing w:val="-12"/>
                          <w:sz w:val="17"/>
                          <w:szCs w:val="17"/>
                        </w:rPr>
                        <w:t>数据来源</w:t>
                      </w:r>
                    </w:p>
                  </w:txbxContent>
                </v:textbox>
                <w10:wrap anchorx="page" anchory="page"/>
              </v:shape>
            </w:pict>
          </mc:Fallback>
        </mc:AlternateContent>
      </w:r>
      <w:r>
        <w:rPr>
          <w:noProof/>
        </w:rPr>
        <mc:AlternateContent>
          <mc:Choice Requires="wps">
            <w:drawing>
              <wp:anchor distT="0" distB="0" distL="114300" distR="114300" simplePos="0" relativeHeight="251714560" behindDoc="0" locked="0" layoutInCell="0" allowOverlap="1">
                <wp:simplePos x="0" y="0"/>
                <wp:positionH relativeFrom="page">
                  <wp:posOffset>818515</wp:posOffset>
                </wp:positionH>
                <wp:positionV relativeFrom="page">
                  <wp:posOffset>4785360</wp:posOffset>
                </wp:positionV>
                <wp:extent cx="404495" cy="153670"/>
                <wp:effectExtent l="0" t="3810" r="0" b="4445"/>
                <wp:wrapNone/>
                <wp:docPr id="11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pacing w:val="-13"/>
                                <w:w w:val="95"/>
                                <w:sz w:val="17"/>
                                <w:szCs w:val="17"/>
                              </w:rPr>
                              <w:t>数据分析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1" type="#_x0000_t202" style="position:absolute;margin-left:64.45pt;margin-top:376.8pt;width:31.85pt;height:12.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XOtQIAALM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" o:allowincell="f" filled="f" stroked="f">
                <v:textbox inset="0,0,0,0">
                  <w:txbxContent>
                    <w:p w:rsidR="00E86C16" w:rsidRDefault="00E86C16">
                      <w:pPr>
                        <w:spacing w:before="20" w:line="219" w:lineRule="auto"/>
                        <w:ind w:left="20"/>
                        <w:rPr>
                          <w:rFonts w:ascii="宋体" w:eastAsia="宋体" w:hAnsi="宋体" w:cs="宋体"/>
                          <w:sz w:val="17"/>
                          <w:szCs w:val="17"/>
                        </w:rPr>
                      </w:pPr>
                      <w:r>
                        <w:rPr>
                          <w:rFonts w:ascii="宋体" w:eastAsia="宋体" w:hAnsi="宋体" w:cs="宋体"/>
                          <w:spacing w:val="-13"/>
                          <w:w w:val="95"/>
                          <w:sz w:val="17"/>
                          <w:szCs w:val="17"/>
                        </w:rPr>
                        <w:t>数据分析</w:t>
                      </w:r>
                    </w:p>
                  </w:txbxContent>
                </v:textbox>
                <w10:wrap anchorx="page" anchory="page"/>
              </v:shape>
            </w:pict>
          </mc:Fallback>
        </mc:AlternateContent>
      </w:r>
      <w:r>
        <w:rPr>
          <w:noProof/>
        </w:rPr>
        <mc:AlternateContent>
          <mc:Choice Requires="wps">
            <w:drawing>
              <wp:anchor distT="0" distB="0" distL="114300" distR="114300" simplePos="0" relativeHeight="251715584" behindDoc="0" locked="0" layoutInCell="0" allowOverlap="1">
                <wp:simplePos x="0" y="0"/>
                <wp:positionH relativeFrom="page">
                  <wp:posOffset>818515</wp:posOffset>
                </wp:positionH>
                <wp:positionV relativeFrom="page">
                  <wp:posOffset>5542280</wp:posOffset>
                </wp:positionV>
                <wp:extent cx="236855" cy="154940"/>
                <wp:effectExtent l="0" t="0" r="1905" b="0"/>
                <wp:wrapNone/>
                <wp:docPr id="1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21" w:lineRule="auto"/>
                              <w:ind w:left="20"/>
                              <w:rPr>
                                <w:rFonts w:ascii="宋体" w:eastAsia="宋体" w:hAnsi="宋体" w:cs="宋体"/>
                                <w:sz w:val="17"/>
                                <w:szCs w:val="17"/>
                              </w:rPr>
                            </w:pPr>
                            <w:r>
                              <w:rPr>
                                <w:rFonts w:ascii="宋体" w:eastAsia="宋体" w:hAnsi="宋体" w:cs="宋体"/>
                                <w:spacing w:val="-2"/>
                                <w:sz w:val="17"/>
                                <w:szCs w:val="17"/>
                              </w:rPr>
                              <w:t>用途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2" type="#_x0000_t202" style="position:absolute;margin-left:64.45pt;margin-top:436.4pt;width:18.65pt;height:12.2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dZtQIAALM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" o:allowincell="f" filled="f" stroked="f">
                <v:textbox inset="0,0,0,0">
                  <w:txbxContent>
                    <w:p w:rsidR="00E86C16" w:rsidRDefault="00E86C16">
                      <w:pPr>
                        <w:spacing w:before="19" w:line="221" w:lineRule="auto"/>
                        <w:ind w:left="20"/>
                        <w:rPr>
                          <w:rFonts w:ascii="宋体" w:eastAsia="宋体" w:hAnsi="宋体" w:cs="宋体"/>
                          <w:sz w:val="17"/>
                          <w:szCs w:val="17"/>
                        </w:rPr>
                      </w:pPr>
                      <w:r>
                        <w:rPr>
                          <w:rFonts w:ascii="宋体" w:eastAsia="宋体" w:hAnsi="宋体" w:cs="宋体"/>
                          <w:spacing w:val="-2"/>
                          <w:sz w:val="17"/>
                          <w:szCs w:val="17"/>
                        </w:rPr>
                        <w:t>用途</w:t>
                      </w:r>
                    </w:p>
                  </w:txbxContent>
                </v:textbox>
                <w10:wrap anchorx="page" anchory="page"/>
              </v:shape>
            </w:pict>
          </mc:Fallback>
        </mc:AlternateContent>
      </w:r>
    </w:p>
    <w:p w:rsidR="00EA40A3" w:rsidRDefault="00EA40A3">
      <w:pPr>
        <w:spacing w:line="242" w:lineRule="auto"/>
      </w:pPr>
    </w:p>
    <w:p w:rsidR="00EA40A3" w:rsidRDefault="00EA40A3">
      <w:pPr>
        <w:spacing w:line="243"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9"/>
          <w:sz w:val="22"/>
          <w:szCs w:val="22"/>
        </w:rPr>
        <w:t>12.1.2</w:t>
      </w:r>
      <w:r>
        <w:rPr>
          <w:rFonts w:ascii="黑体" w:eastAsia="黑体" w:hAnsi="黑体" w:cs="黑体"/>
          <w:spacing w:val="36"/>
          <w:sz w:val="22"/>
          <w:szCs w:val="22"/>
        </w:rPr>
        <w:t xml:space="preserve">  </w:t>
      </w:r>
      <w:r>
        <w:rPr>
          <w:rFonts w:ascii="黑体" w:eastAsia="黑体" w:hAnsi="黑体" w:cs="黑体"/>
          <w:b/>
          <w:bCs/>
          <w:spacing w:val="9"/>
          <w:sz w:val="22"/>
          <w:szCs w:val="22"/>
        </w:rPr>
        <w:t>制定保健和发展计划的营养监测</w:t>
      </w:r>
    </w:p>
    <w:p w:rsidR="00EA40A3" w:rsidRDefault="00E86C16">
      <w:pPr>
        <w:spacing w:before="264" w:line="226" w:lineRule="auto"/>
        <w:rPr>
          <w:rFonts w:ascii="仿宋" w:eastAsia="仿宋" w:hAnsi="仿宋" w:cs="仿宋"/>
          <w:sz w:val="22"/>
          <w:szCs w:val="22"/>
        </w:rPr>
      </w:pPr>
      <w:r>
        <w:rPr>
          <w:rFonts w:ascii="仿宋" w:eastAsia="仿宋" w:hAnsi="仿宋" w:cs="仿宋"/>
          <w:spacing w:val="-8"/>
          <w:sz w:val="22"/>
          <w:szCs w:val="22"/>
        </w:rPr>
        <w:t>1.</w:t>
      </w:r>
      <w:r>
        <w:rPr>
          <w:rFonts w:ascii="仿宋" w:eastAsia="仿宋" w:hAnsi="仿宋" w:cs="仿宋"/>
          <w:spacing w:val="46"/>
          <w:sz w:val="22"/>
          <w:szCs w:val="22"/>
        </w:rPr>
        <w:t xml:space="preserve"> </w:t>
      </w:r>
      <w:r>
        <w:rPr>
          <w:rFonts w:ascii="仿宋" w:eastAsia="仿宋" w:hAnsi="仿宋" w:cs="仿宋"/>
          <w:spacing w:val="-8"/>
          <w:sz w:val="22"/>
          <w:szCs w:val="22"/>
        </w:rPr>
        <w:t>目的</w:t>
      </w:r>
    </w:p>
    <w:p w:rsidR="00EA40A3" w:rsidRDefault="00E86C16">
      <w:pPr>
        <w:spacing w:before="148" w:line="248" w:lineRule="auto"/>
        <w:ind w:right="27" w:firstLine="359"/>
        <w:rPr>
          <w:rFonts w:ascii="宋体" w:eastAsia="宋体" w:hAnsi="宋体" w:cs="宋体"/>
          <w:sz w:val="22"/>
          <w:szCs w:val="22"/>
        </w:rPr>
      </w:pPr>
      <w:r>
        <w:rPr>
          <w:rFonts w:ascii="宋体" w:eastAsia="宋体" w:hAnsi="宋体" w:cs="宋体"/>
          <w:spacing w:val="-13"/>
          <w:sz w:val="22"/>
          <w:szCs w:val="22"/>
        </w:rPr>
        <w:t>此类营养监测可使有关部门在预防和减轻营养不良方面做出正确的决</w:t>
      </w:r>
      <w:r>
        <w:rPr>
          <w:rFonts w:ascii="宋体" w:eastAsia="宋体" w:hAnsi="宋体" w:cs="宋体"/>
          <w:spacing w:val="-14"/>
          <w:sz w:val="22"/>
          <w:szCs w:val="22"/>
        </w:rPr>
        <w:t>策。决</w:t>
      </w:r>
      <w:r>
        <w:rPr>
          <w:rFonts w:ascii="宋体" w:eastAsia="宋体" w:hAnsi="宋体" w:cs="宋体"/>
          <w:sz w:val="22"/>
          <w:szCs w:val="22"/>
        </w:rPr>
        <w:t xml:space="preserve"> </w:t>
      </w:r>
      <w:r>
        <w:rPr>
          <w:rFonts w:ascii="宋体" w:eastAsia="宋体" w:hAnsi="宋体" w:cs="宋体"/>
          <w:spacing w:val="-20"/>
          <w:sz w:val="22"/>
          <w:szCs w:val="22"/>
        </w:rPr>
        <w:t>策的内容包括：</w:t>
      </w:r>
    </w:p>
    <w:p w:rsidR="00EA40A3" w:rsidRDefault="00E86C16">
      <w:pPr>
        <w:spacing w:before="19"/>
        <w:ind w:right="38" w:firstLine="359"/>
        <w:rPr>
          <w:rFonts w:ascii="宋体" w:eastAsia="宋体" w:hAnsi="宋体" w:cs="宋体"/>
          <w:sz w:val="22"/>
          <w:szCs w:val="22"/>
        </w:rPr>
      </w:pPr>
      <w:r>
        <w:rPr>
          <w:rFonts w:ascii="宋体" w:eastAsia="宋体" w:hAnsi="宋体" w:cs="宋体"/>
          <w:spacing w:val="-10"/>
          <w:sz w:val="22"/>
          <w:szCs w:val="22"/>
        </w:rPr>
        <w:t>(1)根据现在的营养情况、发生的变化及其原因，确定是否需要修改现行的</w:t>
      </w:r>
      <w:r>
        <w:rPr>
          <w:rFonts w:ascii="宋体" w:eastAsia="宋体" w:hAnsi="宋体" w:cs="宋体"/>
          <w:spacing w:val="5"/>
          <w:sz w:val="22"/>
          <w:szCs w:val="22"/>
        </w:rPr>
        <w:t xml:space="preserve"> </w:t>
      </w:r>
      <w:r>
        <w:rPr>
          <w:rFonts w:ascii="宋体" w:eastAsia="宋体" w:hAnsi="宋体" w:cs="宋体"/>
          <w:spacing w:val="-16"/>
          <w:sz w:val="22"/>
          <w:szCs w:val="22"/>
        </w:rPr>
        <w:t>或已计划的措施方案。</w:t>
      </w:r>
    </w:p>
    <w:p w:rsidR="00EA40A3" w:rsidRDefault="00E86C16">
      <w:pPr>
        <w:spacing w:before="45" w:line="219" w:lineRule="auto"/>
        <w:ind w:left="359"/>
        <w:rPr>
          <w:rFonts w:ascii="宋体" w:eastAsia="宋体" w:hAnsi="宋体" w:cs="宋体"/>
          <w:sz w:val="22"/>
          <w:szCs w:val="22"/>
        </w:rPr>
      </w:pPr>
      <w:r>
        <w:rPr>
          <w:rFonts w:ascii="宋体" w:eastAsia="宋体" w:hAnsi="宋体" w:cs="宋体"/>
          <w:spacing w:val="-9"/>
          <w:sz w:val="22"/>
          <w:szCs w:val="22"/>
        </w:rPr>
        <w:t>(2)是否需要采取新的措施来改善营养，确定为哪些人采取这些</w:t>
      </w:r>
      <w:r>
        <w:rPr>
          <w:rFonts w:ascii="宋体" w:eastAsia="宋体" w:hAnsi="宋体" w:cs="宋体"/>
          <w:spacing w:val="-10"/>
          <w:sz w:val="22"/>
          <w:szCs w:val="22"/>
        </w:rPr>
        <w:t>措施。</w:t>
      </w:r>
    </w:p>
    <w:p w:rsidR="00EA40A3" w:rsidRDefault="00E86C16">
      <w:pPr>
        <w:spacing w:before="51" w:line="219" w:lineRule="auto"/>
        <w:ind w:left="359"/>
        <w:rPr>
          <w:rFonts w:ascii="宋体" w:eastAsia="宋体" w:hAnsi="宋体" w:cs="宋体"/>
          <w:sz w:val="22"/>
          <w:szCs w:val="22"/>
        </w:rPr>
      </w:pPr>
      <w:r>
        <w:rPr>
          <w:rFonts w:ascii="宋体" w:eastAsia="宋体" w:hAnsi="宋体" w:cs="宋体"/>
          <w:spacing w:val="-9"/>
          <w:sz w:val="22"/>
          <w:szCs w:val="22"/>
        </w:rPr>
        <w:t>(3)为了达到预期的营养效果，如何给计划制定目标。</w:t>
      </w:r>
    </w:p>
    <w:p w:rsidR="00EA40A3" w:rsidRDefault="00E86C16">
      <w:pPr>
        <w:spacing w:before="27" w:line="248" w:lineRule="auto"/>
        <w:ind w:right="4" w:firstLine="359"/>
        <w:rPr>
          <w:rFonts w:ascii="宋体" w:eastAsia="宋体" w:hAnsi="宋体" w:cs="宋体"/>
          <w:sz w:val="22"/>
          <w:szCs w:val="22"/>
        </w:rPr>
      </w:pPr>
      <w:r>
        <w:rPr>
          <w:rFonts w:ascii="宋体" w:eastAsia="宋体" w:hAnsi="宋体" w:cs="宋体"/>
          <w:spacing w:val="-13"/>
          <w:sz w:val="22"/>
          <w:szCs w:val="22"/>
        </w:rPr>
        <w:t>用这些内容制定国家发展计划和政策，全国或省级大规模的社会福利、食物</w:t>
      </w:r>
      <w:r>
        <w:rPr>
          <w:rFonts w:ascii="宋体" w:eastAsia="宋体" w:hAnsi="宋体" w:cs="宋体"/>
          <w:spacing w:val="18"/>
          <w:sz w:val="22"/>
          <w:szCs w:val="22"/>
        </w:rPr>
        <w:t xml:space="preserve"> </w:t>
      </w:r>
      <w:r>
        <w:rPr>
          <w:rFonts w:ascii="宋体" w:eastAsia="宋体" w:hAnsi="宋体" w:cs="宋体"/>
          <w:spacing w:val="-13"/>
          <w:sz w:val="22"/>
          <w:szCs w:val="22"/>
        </w:rPr>
        <w:t>供应和营养规划的指标，鉴定需要特别重视的某些问题等。</w:t>
      </w:r>
    </w:p>
    <w:p w:rsidR="00EA40A3" w:rsidRDefault="00E86C16">
      <w:pPr>
        <w:spacing w:before="199" w:line="223" w:lineRule="auto"/>
        <w:rPr>
          <w:rFonts w:ascii="仿宋" w:eastAsia="仿宋" w:hAnsi="仿宋" w:cs="仿宋"/>
          <w:sz w:val="22"/>
          <w:szCs w:val="22"/>
        </w:rPr>
      </w:pPr>
      <w:r>
        <w:rPr>
          <w:rFonts w:ascii="仿宋" w:eastAsia="仿宋" w:hAnsi="仿宋" w:cs="仿宋"/>
          <w:spacing w:val="11"/>
          <w:sz w:val="22"/>
          <w:szCs w:val="22"/>
        </w:rPr>
        <w:t>2.</w:t>
      </w:r>
      <w:r>
        <w:rPr>
          <w:rFonts w:ascii="仿宋" w:eastAsia="仿宋" w:hAnsi="仿宋" w:cs="仿宋"/>
          <w:spacing w:val="-20"/>
          <w:sz w:val="22"/>
          <w:szCs w:val="22"/>
        </w:rPr>
        <w:t xml:space="preserve"> </w:t>
      </w:r>
      <w:r>
        <w:rPr>
          <w:rFonts w:ascii="仿宋" w:eastAsia="仿宋" w:hAnsi="仿宋" w:cs="仿宋"/>
          <w:spacing w:val="11"/>
          <w:sz w:val="22"/>
          <w:szCs w:val="22"/>
        </w:rPr>
        <w:t>监测系统</w:t>
      </w:r>
    </w:p>
    <w:p w:rsidR="00EA40A3" w:rsidRDefault="00E86C16">
      <w:pPr>
        <w:spacing w:before="175" w:line="244" w:lineRule="auto"/>
        <w:ind w:firstLine="359"/>
        <w:rPr>
          <w:rFonts w:ascii="宋体" w:eastAsia="宋体" w:hAnsi="宋体" w:cs="宋体"/>
          <w:sz w:val="22"/>
          <w:szCs w:val="22"/>
        </w:rPr>
      </w:pPr>
      <w:r>
        <w:rPr>
          <w:rFonts w:ascii="宋体" w:eastAsia="宋体" w:hAnsi="宋体" w:cs="宋体"/>
          <w:spacing w:val="-12"/>
          <w:sz w:val="22"/>
          <w:szCs w:val="22"/>
        </w:rPr>
        <w:t>此类监测系统的机构设有三大部分：数据收集、数据分</w:t>
      </w:r>
      <w:r>
        <w:rPr>
          <w:rFonts w:ascii="宋体" w:eastAsia="宋体" w:hAnsi="宋体" w:cs="宋体"/>
          <w:spacing w:val="-13"/>
          <w:sz w:val="22"/>
          <w:szCs w:val="22"/>
        </w:rPr>
        <w:t>析和做出决策。这种</w:t>
      </w:r>
      <w:r>
        <w:rPr>
          <w:rFonts w:ascii="宋体" w:eastAsia="宋体" w:hAnsi="宋体" w:cs="宋体"/>
          <w:sz w:val="22"/>
          <w:szCs w:val="22"/>
        </w:rPr>
        <w:t xml:space="preserve"> </w:t>
      </w:r>
      <w:r>
        <w:rPr>
          <w:rFonts w:ascii="宋体" w:eastAsia="宋体" w:hAnsi="宋体" w:cs="宋体"/>
          <w:spacing w:val="-9"/>
          <w:sz w:val="22"/>
          <w:szCs w:val="22"/>
        </w:rPr>
        <w:t>组织形式见图12-1。</w:t>
      </w:r>
    </w:p>
    <w:p w:rsidR="00EA40A3" w:rsidRDefault="00EA40A3">
      <w:pPr>
        <w:spacing w:line="258" w:lineRule="auto"/>
      </w:pPr>
    </w:p>
    <w:p w:rsidR="00EA40A3" w:rsidRDefault="00825D12">
      <w:pPr>
        <w:spacing w:line="3300" w:lineRule="exact"/>
        <w:ind w:firstLine="1209"/>
        <w:textAlignment w:val="center"/>
      </w:pPr>
      <w:r>
        <w:rPr>
          <w:noProof/>
        </w:rPr>
        <mc:AlternateContent>
          <mc:Choice Requires="wpg">
            <w:drawing>
              <wp:inline distT="0" distB="0" distL="0" distR="0">
                <wp:extent cx="3543935" cy="2096135"/>
                <wp:effectExtent l="0" t="0" r="0" b="3810"/>
                <wp:docPr id="1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935" cy="2096135"/>
                          <a:chOff x="0" y="0"/>
                          <a:chExt cx="5580" cy="3301"/>
                        </a:xfrm>
                      </wpg:grpSpPr>
                      <pic:pic xmlns:pic="http://schemas.openxmlformats.org/drawingml/2006/picture">
                        <pic:nvPicPr>
                          <pic:cNvPr id="108" name="Picture 5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580" cy="3301"/>
                          </a:xfrm>
                          <a:prstGeom prst="rect">
                            <a:avLst/>
                          </a:prstGeom>
                          <a:noFill/>
                          <a:extLst>
                            <a:ext uri="{909E8E84-426E-40DD-AFC4-6F175D3DCCD1}">
                              <a14:hiddenFill xmlns:a14="http://schemas.microsoft.com/office/drawing/2010/main">
                                <a:solidFill>
                                  <a:srgbClr val="FFFFFF"/>
                                </a:solidFill>
                              </a14:hiddenFill>
                            </a:ext>
                          </a:extLst>
                        </pic:spPr>
                      </pic:pic>
                      <wps:wsp>
                        <wps:cNvPr id="109" name="Text Box 53"/>
                        <wps:cNvSpPr txBox="1">
                          <a:spLocks noChangeArrowheads="1"/>
                        </wps:cNvSpPr>
                        <wps:spPr bwMode="auto">
                          <a:xfrm>
                            <a:off x="160" y="106"/>
                            <a:ext cx="4327"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4" w:lineRule="auto"/>
                                <w:ind w:left="2859" w:right="548"/>
                                <w:rPr>
                                  <w:rFonts w:ascii="宋体" w:eastAsia="宋体" w:hAnsi="宋体" w:cs="宋体"/>
                                  <w:sz w:val="17"/>
                                  <w:szCs w:val="17"/>
                                </w:rPr>
                              </w:pPr>
                              <w:r>
                                <w:rPr>
                                  <w:rFonts w:ascii="宋体" w:eastAsia="宋体" w:hAnsi="宋体" w:cs="宋体"/>
                                  <w:spacing w:val="-18"/>
                                  <w:sz w:val="17"/>
                                  <w:szCs w:val="17"/>
                                </w:rPr>
                                <w:t>农业人口普查</w:t>
                              </w:r>
                              <w:r>
                                <w:rPr>
                                  <w:rFonts w:ascii="宋体" w:eastAsia="宋体" w:hAnsi="宋体" w:cs="宋体"/>
                                  <w:spacing w:val="4"/>
                                  <w:sz w:val="17"/>
                                  <w:szCs w:val="17"/>
                                </w:rPr>
                                <w:t xml:space="preserve"> </w:t>
                              </w:r>
                              <w:r>
                                <w:rPr>
                                  <w:rFonts w:ascii="宋体" w:eastAsia="宋体" w:hAnsi="宋体" w:cs="宋体"/>
                                  <w:spacing w:val="-14"/>
                                  <w:w w:val="98"/>
                                  <w:sz w:val="17"/>
                                  <w:szCs w:val="17"/>
                                </w:rPr>
                                <w:t>社会经济调查</w:t>
                              </w:r>
                              <w:r>
                                <w:rPr>
                                  <w:rFonts w:ascii="宋体" w:eastAsia="宋体" w:hAnsi="宋体" w:cs="宋体"/>
                                  <w:spacing w:val="1"/>
                                  <w:sz w:val="17"/>
                                  <w:szCs w:val="17"/>
                                </w:rPr>
                                <w:t xml:space="preserve"> </w:t>
                              </w:r>
                              <w:r>
                                <w:rPr>
                                  <w:rFonts w:ascii="宋体" w:eastAsia="宋体" w:hAnsi="宋体" w:cs="宋体"/>
                                  <w:spacing w:val="-12"/>
                                  <w:sz w:val="17"/>
                                  <w:szCs w:val="17"/>
                                </w:rPr>
                                <w:t>营养调查</w:t>
                              </w:r>
                            </w:p>
                            <w:p w:rsidR="00E86C16" w:rsidRDefault="00E86C16">
                              <w:pPr>
                                <w:spacing w:before="8" w:line="219" w:lineRule="auto"/>
                                <w:ind w:left="2859"/>
                                <w:rPr>
                                  <w:rFonts w:ascii="宋体" w:eastAsia="宋体" w:hAnsi="宋体" w:cs="宋体"/>
                                  <w:sz w:val="17"/>
                                  <w:szCs w:val="17"/>
                                </w:rPr>
                              </w:pPr>
                              <w:r>
                                <w:rPr>
                                  <w:rFonts w:ascii="宋体" w:eastAsia="宋体" w:hAnsi="宋体" w:cs="宋体"/>
                                  <w:spacing w:val="-11"/>
                                  <w:sz w:val="17"/>
                                  <w:szCs w:val="17"/>
                                </w:rPr>
                                <w:t>卫生信息</w:t>
                              </w:r>
                            </w:p>
                            <w:p w:rsidR="00E86C16" w:rsidRDefault="00E86C16">
                              <w:pPr>
                                <w:spacing w:before="288" w:line="219" w:lineRule="auto"/>
                                <w:ind w:right="2"/>
                                <w:jc w:val="right"/>
                                <w:rPr>
                                  <w:rFonts w:ascii="宋体" w:eastAsia="宋体" w:hAnsi="宋体" w:cs="宋体"/>
                                  <w:sz w:val="17"/>
                                  <w:szCs w:val="17"/>
                                </w:rPr>
                              </w:pPr>
                              <w:r>
                                <w:rPr>
                                  <w:rFonts w:ascii="宋体" w:eastAsia="宋体" w:hAnsi="宋体" w:cs="宋体"/>
                                  <w:spacing w:val="-15"/>
                                  <w:sz w:val="17"/>
                                  <w:szCs w:val="17"/>
                                </w:rPr>
                                <w:t>每月至每两年</w:t>
                              </w:r>
                            </w:p>
                            <w:p w:rsidR="00E86C16" w:rsidRDefault="00E86C16">
                              <w:pPr>
                                <w:spacing w:before="137" w:line="219" w:lineRule="auto"/>
                                <w:ind w:left="2369"/>
                                <w:rPr>
                                  <w:rFonts w:ascii="宋体" w:eastAsia="宋体" w:hAnsi="宋体" w:cs="宋体"/>
                                  <w:sz w:val="17"/>
                                  <w:szCs w:val="17"/>
                                </w:rPr>
                              </w:pPr>
                              <w:r>
                                <w:rPr>
                                  <w:rFonts w:ascii="宋体" w:eastAsia="宋体" w:hAnsi="宋体" w:cs="宋体"/>
                                  <w:spacing w:val="-14"/>
                                  <w:sz w:val="17"/>
                                  <w:szCs w:val="17"/>
                                </w:rPr>
                                <w:t>监测机构</w:t>
                              </w:r>
                            </w:p>
                            <w:p w:rsidR="00E86C16" w:rsidRDefault="00E86C16">
                              <w:pPr>
                                <w:spacing w:line="266" w:lineRule="auto"/>
                              </w:pPr>
                            </w:p>
                            <w:p w:rsidR="00E86C16" w:rsidRDefault="00E86C16">
                              <w:pPr>
                                <w:spacing w:line="266" w:lineRule="auto"/>
                              </w:pPr>
                            </w:p>
                            <w:p w:rsidR="00E86C16" w:rsidRDefault="00E86C16">
                              <w:pPr>
                                <w:spacing w:line="267" w:lineRule="auto"/>
                              </w:pPr>
                            </w:p>
                            <w:p w:rsidR="00E86C16" w:rsidRDefault="00E86C16">
                              <w:pPr>
                                <w:spacing w:before="55" w:line="207" w:lineRule="auto"/>
                                <w:ind w:left="20"/>
                                <w:rPr>
                                  <w:rFonts w:ascii="宋体" w:eastAsia="宋体" w:hAnsi="宋体" w:cs="宋体"/>
                                  <w:sz w:val="17"/>
                                  <w:szCs w:val="17"/>
                                </w:rPr>
                              </w:pPr>
                              <w:r>
                                <w:rPr>
                                  <w:rFonts w:ascii="宋体" w:eastAsia="宋体" w:hAnsi="宋体" w:cs="宋体"/>
                                  <w:spacing w:val="-25"/>
                                  <w:w w:val="97"/>
                                  <w:sz w:val="17"/>
                                  <w:szCs w:val="17"/>
                                </w:rPr>
                                <w:t>计划部门，如：</w:t>
                              </w:r>
                            </w:p>
                            <w:p w:rsidR="00E86C16" w:rsidRDefault="00E86C16">
                              <w:pPr>
                                <w:spacing w:line="203" w:lineRule="auto"/>
                                <w:ind w:left="20"/>
                                <w:rPr>
                                  <w:rFonts w:ascii="宋体" w:eastAsia="宋体" w:hAnsi="宋体" w:cs="宋体"/>
                                  <w:sz w:val="17"/>
                                  <w:szCs w:val="17"/>
                                </w:rPr>
                              </w:pPr>
                              <w:r>
                                <w:rPr>
                                  <w:rFonts w:ascii="宋体" w:eastAsia="宋体" w:hAnsi="宋体" w:cs="宋体"/>
                                  <w:spacing w:val="-14"/>
                                  <w:sz w:val="17"/>
                                  <w:szCs w:val="17"/>
                                </w:rPr>
                                <w:t>国家发展计划</w:t>
                              </w:r>
                            </w:p>
                            <w:p w:rsidR="00E86C16" w:rsidRDefault="00E86C16">
                              <w:pPr>
                                <w:spacing w:line="220" w:lineRule="auto"/>
                                <w:ind w:left="22"/>
                                <w:rPr>
                                  <w:rFonts w:ascii="宋体" w:eastAsia="宋体" w:hAnsi="宋体" w:cs="宋体"/>
                                  <w:sz w:val="17"/>
                                  <w:szCs w:val="17"/>
                                </w:rPr>
                              </w:pPr>
                              <w:r>
                                <w:rPr>
                                  <w:rFonts w:ascii="宋体" w:eastAsia="宋体" w:hAnsi="宋体" w:cs="宋体"/>
                                  <w:b/>
                                  <w:bCs/>
                                  <w:spacing w:val="-18"/>
                                  <w:sz w:val="17"/>
                                  <w:szCs w:val="17"/>
                                </w:rPr>
                                <w:t>项目的目标与监测</w:t>
                              </w:r>
                            </w:p>
                          </w:txbxContent>
                        </wps:txbx>
                        <wps:bodyPr rot="0" vert="horz" wrap="square" lIns="0" tIns="0" rIns="0" bIns="0" anchor="t" anchorCtr="0" upright="1">
                          <a:noAutofit/>
                        </wps:bodyPr>
                      </wps:wsp>
                      <wps:wsp>
                        <wps:cNvPr id="110" name="Text Box 54"/>
                        <wps:cNvSpPr txBox="1">
                          <a:spLocks noChangeArrowheads="1"/>
                        </wps:cNvSpPr>
                        <wps:spPr bwMode="auto">
                          <a:xfrm>
                            <a:off x="1910" y="127"/>
                            <a:ext cx="968"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06" w:lineRule="auto"/>
                                <w:ind w:left="20"/>
                                <w:rPr>
                                  <w:rFonts w:ascii="宋体" w:eastAsia="宋体" w:hAnsi="宋体" w:cs="宋体"/>
                                  <w:sz w:val="17"/>
                                  <w:szCs w:val="17"/>
                                </w:rPr>
                              </w:pPr>
                              <w:r>
                                <w:rPr>
                                  <w:rFonts w:ascii="宋体" w:eastAsia="宋体" w:hAnsi="宋体" w:cs="宋体"/>
                                  <w:spacing w:val="-12"/>
                                  <w:sz w:val="17"/>
                                  <w:szCs w:val="17"/>
                                </w:rPr>
                                <w:t>工作调查</w:t>
                              </w:r>
                            </w:p>
                            <w:p w:rsidR="00E86C16" w:rsidRDefault="00E86C16">
                              <w:pPr>
                                <w:spacing w:line="205" w:lineRule="auto"/>
                                <w:ind w:left="20"/>
                                <w:rPr>
                                  <w:rFonts w:ascii="宋体" w:eastAsia="宋体" w:hAnsi="宋体" w:cs="宋体"/>
                                  <w:sz w:val="17"/>
                                  <w:szCs w:val="17"/>
                                </w:rPr>
                              </w:pPr>
                              <w:r>
                                <w:rPr>
                                  <w:rFonts w:ascii="宋体" w:eastAsia="宋体" w:hAnsi="宋体" w:cs="宋体"/>
                                  <w:spacing w:val="-6"/>
                                  <w:sz w:val="17"/>
                                  <w:szCs w:val="17"/>
                                </w:rPr>
                                <w:t>门诊所</w:t>
                              </w:r>
                            </w:p>
                            <w:p w:rsidR="00E86C16" w:rsidRDefault="00E86C16">
                              <w:pPr>
                                <w:spacing w:before="1" w:line="213" w:lineRule="auto"/>
                                <w:ind w:left="20" w:right="20"/>
                                <w:rPr>
                                  <w:rFonts w:ascii="宋体" w:eastAsia="宋体" w:hAnsi="宋体" w:cs="宋体"/>
                                  <w:sz w:val="17"/>
                                  <w:szCs w:val="17"/>
                                </w:rPr>
                              </w:pPr>
                              <w:r>
                                <w:rPr>
                                  <w:rFonts w:ascii="宋体" w:eastAsia="宋体" w:hAnsi="宋体" w:cs="宋体"/>
                                  <w:spacing w:val="-13"/>
                                  <w:w w:val="98"/>
                                  <w:sz w:val="17"/>
                                  <w:szCs w:val="17"/>
                                </w:rPr>
                                <w:t>行政管理记录</w:t>
                              </w:r>
                              <w:r>
                                <w:rPr>
                                  <w:rFonts w:ascii="宋体" w:eastAsia="宋体" w:hAnsi="宋体" w:cs="宋体"/>
                                  <w:spacing w:val="4"/>
                                  <w:sz w:val="17"/>
                                  <w:szCs w:val="17"/>
                                </w:rPr>
                                <w:t xml:space="preserve"> </w:t>
                              </w:r>
                              <w:r>
                                <w:rPr>
                                  <w:rFonts w:ascii="宋体" w:eastAsia="宋体" w:hAnsi="宋体" w:cs="宋体"/>
                                  <w:spacing w:val="-3"/>
                                  <w:sz w:val="17"/>
                                  <w:szCs w:val="17"/>
                                </w:rPr>
                                <w:t>学校</w:t>
                              </w:r>
                            </w:p>
                          </w:txbxContent>
                        </wps:txbx>
                        <wps:bodyPr rot="0" vert="horz" wrap="square" lIns="0" tIns="0" rIns="0" bIns="0" anchor="t" anchorCtr="0" upright="1">
                          <a:noAutofit/>
                        </wps:bodyPr>
                      </wps:wsp>
                      <wps:wsp>
                        <wps:cNvPr id="111" name="Text Box 55"/>
                        <wps:cNvSpPr txBox="1">
                          <a:spLocks noChangeArrowheads="1"/>
                        </wps:cNvSpPr>
                        <wps:spPr bwMode="auto">
                          <a:xfrm>
                            <a:off x="2250" y="2586"/>
                            <a:ext cx="1005"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04" w:lineRule="auto"/>
                                <w:ind w:left="20"/>
                                <w:rPr>
                                  <w:rFonts w:ascii="宋体" w:eastAsia="宋体" w:hAnsi="宋体" w:cs="宋体"/>
                                  <w:sz w:val="17"/>
                                  <w:szCs w:val="17"/>
                                </w:rPr>
                              </w:pPr>
                              <w:r>
                                <w:rPr>
                                  <w:rFonts w:ascii="宋体" w:eastAsia="宋体" w:hAnsi="宋体" w:cs="宋体"/>
                                  <w:spacing w:val="-25"/>
                                  <w:w w:val="95"/>
                                  <w:sz w:val="17"/>
                                  <w:szCs w:val="17"/>
                                </w:rPr>
                                <w:t>有关部门，如：</w:t>
                              </w:r>
                            </w:p>
                            <w:p w:rsidR="00E86C16" w:rsidRDefault="00E86C16">
                              <w:pPr>
                                <w:spacing w:line="223" w:lineRule="auto"/>
                                <w:ind w:left="22" w:right="55"/>
                                <w:rPr>
                                  <w:rFonts w:ascii="宋体" w:eastAsia="宋体" w:hAnsi="宋体" w:cs="宋体"/>
                                  <w:sz w:val="17"/>
                                  <w:szCs w:val="17"/>
                                </w:rPr>
                              </w:pPr>
                              <w:r>
                                <w:rPr>
                                  <w:rFonts w:ascii="宋体" w:eastAsia="宋体" w:hAnsi="宋体" w:cs="宋体"/>
                                  <w:b/>
                                  <w:bCs/>
                                  <w:spacing w:val="-12"/>
                                  <w:w w:val="96"/>
                                  <w:sz w:val="17"/>
                                  <w:szCs w:val="17"/>
                                </w:rPr>
                                <w:t>食物分配规划</w:t>
                              </w:r>
                              <w:r>
                                <w:rPr>
                                  <w:rFonts w:ascii="宋体" w:eastAsia="宋体" w:hAnsi="宋体" w:cs="宋体"/>
                                  <w:spacing w:val="8"/>
                                  <w:sz w:val="17"/>
                                  <w:szCs w:val="17"/>
                                </w:rPr>
                                <w:t xml:space="preserve"> </w:t>
                              </w:r>
                              <w:r>
                                <w:rPr>
                                  <w:rFonts w:ascii="宋体" w:eastAsia="宋体" w:hAnsi="宋体" w:cs="宋体"/>
                                  <w:b/>
                                  <w:bCs/>
                                  <w:spacing w:val="-14"/>
                                  <w:w w:val="96"/>
                                  <w:sz w:val="17"/>
                                  <w:szCs w:val="17"/>
                                </w:rPr>
                                <w:t>卫生服务</w:t>
                              </w:r>
                            </w:p>
                          </w:txbxContent>
                        </wps:txbx>
                        <wps:bodyPr rot="0" vert="horz" wrap="square" lIns="0" tIns="0" rIns="0" bIns="0" anchor="t" anchorCtr="0" upright="1">
                          <a:noAutofit/>
                        </wps:bodyPr>
                      </wps:wsp>
                      <wps:wsp>
                        <wps:cNvPr id="112" name="Text Box 56"/>
                        <wps:cNvSpPr txBox="1">
                          <a:spLocks noChangeArrowheads="1"/>
                        </wps:cNvSpPr>
                        <wps:spPr bwMode="auto">
                          <a:xfrm>
                            <a:off x="4260" y="2787"/>
                            <a:ext cx="95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0" w:lineRule="auto"/>
                                <w:ind w:left="20"/>
                                <w:rPr>
                                  <w:rFonts w:ascii="宋体" w:eastAsia="宋体" w:hAnsi="宋体" w:cs="宋体"/>
                                  <w:sz w:val="17"/>
                                  <w:szCs w:val="17"/>
                                </w:rPr>
                              </w:pPr>
                              <w:r>
                                <w:rPr>
                                  <w:rFonts w:ascii="宋体" w:eastAsia="宋体" w:hAnsi="宋体" w:cs="宋体"/>
                                  <w:spacing w:val="-15"/>
                                  <w:sz w:val="17"/>
                                  <w:szCs w:val="17"/>
                                </w:rPr>
                                <w:t>发展系统设计</w:t>
                              </w:r>
                            </w:p>
                          </w:txbxContent>
                        </wps:txbx>
                        <wps:bodyPr rot="0" vert="horz" wrap="square" lIns="0" tIns="0" rIns="0" bIns="0" anchor="t" anchorCtr="0" upright="1">
                          <a:noAutofit/>
                        </wps:bodyPr>
                      </wps:wsp>
                    </wpg:wgp>
                  </a:graphicData>
                </a:graphic>
              </wp:inline>
            </w:drawing>
          </mc:Choice>
          <mc:Fallback>
            <w:pict>
              <v:group id="Group 51" o:spid="_x0000_s1063" style="width:279.05pt;height:165.05pt;mso-position-horizontal-relative:char;mso-position-vertical-relative:line" coordsize="5580,33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">
                <v:shape id="Picture 52" o:spid="_x0000_s1064" type="#_x0000_t75" style="position:absolute;width:5580;height:3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">
                  <v:imagedata r:id="rId313" o:title=""/>
                </v:shape>
                <v:shape id="Text Box 53" o:spid="_x0000_s1065" type="#_x0000_t202" style="position:absolute;left:160;top:106;width:4327;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E86C16" w:rsidRDefault="00E86C16">
                        <w:pPr>
                          <w:spacing w:before="20" w:line="214" w:lineRule="auto"/>
                          <w:ind w:left="2859" w:right="548"/>
                          <w:rPr>
                            <w:rFonts w:ascii="宋体" w:eastAsia="宋体" w:hAnsi="宋体" w:cs="宋体"/>
                            <w:sz w:val="17"/>
                            <w:szCs w:val="17"/>
                          </w:rPr>
                        </w:pPr>
                        <w:r>
                          <w:rPr>
                            <w:rFonts w:ascii="宋体" w:eastAsia="宋体" w:hAnsi="宋体" w:cs="宋体"/>
                            <w:spacing w:val="-18"/>
                            <w:sz w:val="17"/>
                            <w:szCs w:val="17"/>
                          </w:rPr>
                          <w:t>农业人口普查</w:t>
                        </w:r>
                        <w:r>
                          <w:rPr>
                            <w:rFonts w:ascii="宋体" w:eastAsia="宋体" w:hAnsi="宋体" w:cs="宋体"/>
                            <w:spacing w:val="4"/>
                            <w:sz w:val="17"/>
                            <w:szCs w:val="17"/>
                          </w:rPr>
                          <w:t xml:space="preserve"> </w:t>
                        </w:r>
                        <w:r>
                          <w:rPr>
                            <w:rFonts w:ascii="宋体" w:eastAsia="宋体" w:hAnsi="宋体" w:cs="宋体"/>
                            <w:spacing w:val="-14"/>
                            <w:w w:val="98"/>
                            <w:sz w:val="17"/>
                            <w:szCs w:val="17"/>
                          </w:rPr>
                          <w:t>社会经济调查</w:t>
                        </w:r>
                        <w:r>
                          <w:rPr>
                            <w:rFonts w:ascii="宋体" w:eastAsia="宋体" w:hAnsi="宋体" w:cs="宋体"/>
                            <w:spacing w:val="1"/>
                            <w:sz w:val="17"/>
                            <w:szCs w:val="17"/>
                          </w:rPr>
                          <w:t xml:space="preserve"> </w:t>
                        </w:r>
                        <w:r>
                          <w:rPr>
                            <w:rFonts w:ascii="宋体" w:eastAsia="宋体" w:hAnsi="宋体" w:cs="宋体"/>
                            <w:spacing w:val="-12"/>
                            <w:sz w:val="17"/>
                            <w:szCs w:val="17"/>
                          </w:rPr>
                          <w:t>营养调查</w:t>
                        </w:r>
                      </w:p>
                      <w:p w:rsidR="00E86C16" w:rsidRDefault="00E86C16">
                        <w:pPr>
                          <w:spacing w:before="8" w:line="219" w:lineRule="auto"/>
                          <w:ind w:left="2859"/>
                          <w:rPr>
                            <w:rFonts w:ascii="宋体" w:eastAsia="宋体" w:hAnsi="宋体" w:cs="宋体"/>
                            <w:sz w:val="17"/>
                            <w:szCs w:val="17"/>
                          </w:rPr>
                        </w:pPr>
                        <w:r>
                          <w:rPr>
                            <w:rFonts w:ascii="宋体" w:eastAsia="宋体" w:hAnsi="宋体" w:cs="宋体"/>
                            <w:spacing w:val="-11"/>
                            <w:sz w:val="17"/>
                            <w:szCs w:val="17"/>
                          </w:rPr>
                          <w:t>卫生信息</w:t>
                        </w:r>
                      </w:p>
                      <w:p w:rsidR="00E86C16" w:rsidRDefault="00E86C16">
                        <w:pPr>
                          <w:spacing w:before="288" w:line="219" w:lineRule="auto"/>
                          <w:ind w:right="2"/>
                          <w:jc w:val="right"/>
                          <w:rPr>
                            <w:rFonts w:ascii="宋体" w:eastAsia="宋体" w:hAnsi="宋体" w:cs="宋体"/>
                            <w:sz w:val="17"/>
                            <w:szCs w:val="17"/>
                          </w:rPr>
                        </w:pPr>
                        <w:r>
                          <w:rPr>
                            <w:rFonts w:ascii="宋体" w:eastAsia="宋体" w:hAnsi="宋体" w:cs="宋体"/>
                            <w:spacing w:val="-15"/>
                            <w:sz w:val="17"/>
                            <w:szCs w:val="17"/>
                          </w:rPr>
                          <w:t>每月至每两年</w:t>
                        </w:r>
                      </w:p>
                      <w:p w:rsidR="00E86C16" w:rsidRDefault="00E86C16">
                        <w:pPr>
                          <w:spacing w:before="137" w:line="219" w:lineRule="auto"/>
                          <w:ind w:left="2369"/>
                          <w:rPr>
                            <w:rFonts w:ascii="宋体" w:eastAsia="宋体" w:hAnsi="宋体" w:cs="宋体"/>
                            <w:sz w:val="17"/>
                            <w:szCs w:val="17"/>
                          </w:rPr>
                        </w:pPr>
                        <w:r>
                          <w:rPr>
                            <w:rFonts w:ascii="宋体" w:eastAsia="宋体" w:hAnsi="宋体" w:cs="宋体"/>
                            <w:spacing w:val="-14"/>
                            <w:sz w:val="17"/>
                            <w:szCs w:val="17"/>
                          </w:rPr>
                          <w:t>监测机构</w:t>
                        </w:r>
                      </w:p>
                      <w:p w:rsidR="00E86C16" w:rsidRDefault="00E86C16">
                        <w:pPr>
                          <w:spacing w:line="266" w:lineRule="auto"/>
                        </w:pPr>
                      </w:p>
                      <w:p w:rsidR="00E86C16" w:rsidRDefault="00E86C16">
                        <w:pPr>
                          <w:spacing w:line="266" w:lineRule="auto"/>
                        </w:pPr>
                      </w:p>
                      <w:p w:rsidR="00E86C16" w:rsidRDefault="00E86C16">
                        <w:pPr>
                          <w:spacing w:line="267" w:lineRule="auto"/>
                        </w:pPr>
                      </w:p>
                      <w:p w:rsidR="00E86C16" w:rsidRDefault="00E86C16">
                        <w:pPr>
                          <w:spacing w:before="55" w:line="207" w:lineRule="auto"/>
                          <w:ind w:left="20"/>
                          <w:rPr>
                            <w:rFonts w:ascii="宋体" w:eastAsia="宋体" w:hAnsi="宋体" w:cs="宋体"/>
                            <w:sz w:val="17"/>
                            <w:szCs w:val="17"/>
                          </w:rPr>
                        </w:pPr>
                        <w:r>
                          <w:rPr>
                            <w:rFonts w:ascii="宋体" w:eastAsia="宋体" w:hAnsi="宋体" w:cs="宋体"/>
                            <w:spacing w:val="-25"/>
                            <w:w w:val="97"/>
                            <w:sz w:val="17"/>
                            <w:szCs w:val="17"/>
                          </w:rPr>
                          <w:t>计划部门，如：</w:t>
                        </w:r>
                      </w:p>
                      <w:p w:rsidR="00E86C16" w:rsidRDefault="00E86C16">
                        <w:pPr>
                          <w:spacing w:line="203" w:lineRule="auto"/>
                          <w:ind w:left="20"/>
                          <w:rPr>
                            <w:rFonts w:ascii="宋体" w:eastAsia="宋体" w:hAnsi="宋体" w:cs="宋体"/>
                            <w:sz w:val="17"/>
                            <w:szCs w:val="17"/>
                          </w:rPr>
                        </w:pPr>
                        <w:r>
                          <w:rPr>
                            <w:rFonts w:ascii="宋体" w:eastAsia="宋体" w:hAnsi="宋体" w:cs="宋体"/>
                            <w:spacing w:val="-14"/>
                            <w:sz w:val="17"/>
                            <w:szCs w:val="17"/>
                          </w:rPr>
                          <w:t>国家发展计划</w:t>
                        </w:r>
                      </w:p>
                      <w:p w:rsidR="00E86C16" w:rsidRDefault="00E86C16">
                        <w:pPr>
                          <w:spacing w:line="220" w:lineRule="auto"/>
                          <w:ind w:left="22"/>
                          <w:rPr>
                            <w:rFonts w:ascii="宋体" w:eastAsia="宋体" w:hAnsi="宋体" w:cs="宋体"/>
                            <w:sz w:val="17"/>
                            <w:szCs w:val="17"/>
                          </w:rPr>
                        </w:pPr>
                        <w:r>
                          <w:rPr>
                            <w:rFonts w:ascii="宋体" w:eastAsia="宋体" w:hAnsi="宋体" w:cs="宋体"/>
                            <w:b/>
                            <w:bCs/>
                            <w:spacing w:val="-18"/>
                            <w:sz w:val="17"/>
                            <w:szCs w:val="17"/>
                          </w:rPr>
                          <w:t>项目的目标与监测</w:t>
                        </w:r>
                      </w:p>
                    </w:txbxContent>
                  </v:textbox>
                </v:shape>
                <v:shape id="Text Box 54" o:spid="_x0000_s1066" type="#_x0000_t202" style="position:absolute;left:1910;top:127;width:968;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E86C16" w:rsidRDefault="00E86C16">
                        <w:pPr>
                          <w:spacing w:before="20" w:line="206" w:lineRule="auto"/>
                          <w:ind w:left="20"/>
                          <w:rPr>
                            <w:rFonts w:ascii="宋体" w:eastAsia="宋体" w:hAnsi="宋体" w:cs="宋体"/>
                            <w:sz w:val="17"/>
                            <w:szCs w:val="17"/>
                          </w:rPr>
                        </w:pPr>
                        <w:r>
                          <w:rPr>
                            <w:rFonts w:ascii="宋体" w:eastAsia="宋体" w:hAnsi="宋体" w:cs="宋体"/>
                            <w:spacing w:val="-12"/>
                            <w:sz w:val="17"/>
                            <w:szCs w:val="17"/>
                          </w:rPr>
                          <w:t>工作调查</w:t>
                        </w:r>
                      </w:p>
                      <w:p w:rsidR="00E86C16" w:rsidRDefault="00E86C16">
                        <w:pPr>
                          <w:spacing w:line="205" w:lineRule="auto"/>
                          <w:ind w:left="20"/>
                          <w:rPr>
                            <w:rFonts w:ascii="宋体" w:eastAsia="宋体" w:hAnsi="宋体" w:cs="宋体"/>
                            <w:sz w:val="17"/>
                            <w:szCs w:val="17"/>
                          </w:rPr>
                        </w:pPr>
                        <w:r>
                          <w:rPr>
                            <w:rFonts w:ascii="宋体" w:eastAsia="宋体" w:hAnsi="宋体" w:cs="宋体"/>
                            <w:spacing w:val="-6"/>
                            <w:sz w:val="17"/>
                            <w:szCs w:val="17"/>
                          </w:rPr>
                          <w:t>门诊所</w:t>
                        </w:r>
                      </w:p>
                      <w:p w:rsidR="00E86C16" w:rsidRDefault="00E86C16">
                        <w:pPr>
                          <w:spacing w:before="1" w:line="213" w:lineRule="auto"/>
                          <w:ind w:left="20" w:right="20"/>
                          <w:rPr>
                            <w:rFonts w:ascii="宋体" w:eastAsia="宋体" w:hAnsi="宋体" w:cs="宋体"/>
                            <w:sz w:val="17"/>
                            <w:szCs w:val="17"/>
                          </w:rPr>
                        </w:pPr>
                        <w:r>
                          <w:rPr>
                            <w:rFonts w:ascii="宋体" w:eastAsia="宋体" w:hAnsi="宋体" w:cs="宋体"/>
                            <w:spacing w:val="-13"/>
                            <w:w w:val="98"/>
                            <w:sz w:val="17"/>
                            <w:szCs w:val="17"/>
                          </w:rPr>
                          <w:t>行政管理记录</w:t>
                        </w:r>
                        <w:r>
                          <w:rPr>
                            <w:rFonts w:ascii="宋体" w:eastAsia="宋体" w:hAnsi="宋体" w:cs="宋体"/>
                            <w:spacing w:val="4"/>
                            <w:sz w:val="17"/>
                            <w:szCs w:val="17"/>
                          </w:rPr>
                          <w:t xml:space="preserve"> </w:t>
                        </w:r>
                        <w:r>
                          <w:rPr>
                            <w:rFonts w:ascii="宋体" w:eastAsia="宋体" w:hAnsi="宋体" w:cs="宋体"/>
                            <w:spacing w:val="-3"/>
                            <w:sz w:val="17"/>
                            <w:szCs w:val="17"/>
                          </w:rPr>
                          <w:t>学校</w:t>
                        </w:r>
                      </w:p>
                    </w:txbxContent>
                  </v:textbox>
                </v:shape>
                <v:shape id="Text Box 55" o:spid="_x0000_s1067" type="#_x0000_t202" style="position:absolute;left:2250;top:2586;width:100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E86C16" w:rsidRDefault="00E86C16">
                        <w:pPr>
                          <w:spacing w:before="20" w:line="204" w:lineRule="auto"/>
                          <w:ind w:left="20"/>
                          <w:rPr>
                            <w:rFonts w:ascii="宋体" w:eastAsia="宋体" w:hAnsi="宋体" w:cs="宋体"/>
                            <w:sz w:val="17"/>
                            <w:szCs w:val="17"/>
                          </w:rPr>
                        </w:pPr>
                        <w:r>
                          <w:rPr>
                            <w:rFonts w:ascii="宋体" w:eastAsia="宋体" w:hAnsi="宋体" w:cs="宋体"/>
                            <w:spacing w:val="-25"/>
                            <w:w w:val="95"/>
                            <w:sz w:val="17"/>
                            <w:szCs w:val="17"/>
                          </w:rPr>
                          <w:t>有关部门，如：</w:t>
                        </w:r>
                      </w:p>
                      <w:p w:rsidR="00E86C16" w:rsidRDefault="00E86C16">
                        <w:pPr>
                          <w:spacing w:line="223" w:lineRule="auto"/>
                          <w:ind w:left="22" w:right="55"/>
                          <w:rPr>
                            <w:rFonts w:ascii="宋体" w:eastAsia="宋体" w:hAnsi="宋体" w:cs="宋体"/>
                            <w:sz w:val="17"/>
                            <w:szCs w:val="17"/>
                          </w:rPr>
                        </w:pPr>
                        <w:r>
                          <w:rPr>
                            <w:rFonts w:ascii="宋体" w:eastAsia="宋体" w:hAnsi="宋体" w:cs="宋体"/>
                            <w:b/>
                            <w:bCs/>
                            <w:spacing w:val="-12"/>
                            <w:w w:val="96"/>
                            <w:sz w:val="17"/>
                            <w:szCs w:val="17"/>
                          </w:rPr>
                          <w:t>食物分配规划</w:t>
                        </w:r>
                        <w:r>
                          <w:rPr>
                            <w:rFonts w:ascii="宋体" w:eastAsia="宋体" w:hAnsi="宋体" w:cs="宋体"/>
                            <w:spacing w:val="8"/>
                            <w:sz w:val="17"/>
                            <w:szCs w:val="17"/>
                          </w:rPr>
                          <w:t xml:space="preserve"> </w:t>
                        </w:r>
                        <w:r>
                          <w:rPr>
                            <w:rFonts w:ascii="宋体" w:eastAsia="宋体" w:hAnsi="宋体" w:cs="宋体"/>
                            <w:b/>
                            <w:bCs/>
                            <w:spacing w:val="-14"/>
                            <w:w w:val="96"/>
                            <w:sz w:val="17"/>
                            <w:szCs w:val="17"/>
                          </w:rPr>
                          <w:t>卫生服务</w:t>
                        </w:r>
                      </w:p>
                    </w:txbxContent>
                  </v:textbox>
                </v:shape>
                <v:shape id="Text Box 56" o:spid="_x0000_s1068" type="#_x0000_t202" style="position:absolute;left:4260;top:2787;width:95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E86C16" w:rsidRDefault="00E86C16">
                        <w:pPr>
                          <w:spacing w:before="20" w:line="220" w:lineRule="auto"/>
                          <w:ind w:left="20"/>
                          <w:rPr>
                            <w:rFonts w:ascii="宋体" w:eastAsia="宋体" w:hAnsi="宋体" w:cs="宋体"/>
                            <w:sz w:val="17"/>
                            <w:szCs w:val="17"/>
                          </w:rPr>
                        </w:pPr>
                        <w:r>
                          <w:rPr>
                            <w:rFonts w:ascii="宋体" w:eastAsia="宋体" w:hAnsi="宋体" w:cs="宋体"/>
                            <w:spacing w:val="-15"/>
                            <w:sz w:val="17"/>
                            <w:szCs w:val="17"/>
                          </w:rPr>
                          <w:t>发展系统设计</w:t>
                        </w:r>
                      </w:p>
                    </w:txbxContent>
                  </v:textbox>
                </v:shape>
                <w10:anchorlock/>
              </v:group>
            </w:pict>
          </mc:Fallback>
        </mc:AlternateContent>
      </w:r>
    </w:p>
    <w:p w:rsidR="00EA40A3" w:rsidRDefault="00E86C16">
      <w:pPr>
        <w:spacing w:before="228" w:line="220" w:lineRule="auto"/>
        <w:ind w:left="1390"/>
        <w:rPr>
          <w:rFonts w:ascii="宋体" w:eastAsia="宋体" w:hAnsi="宋体" w:cs="宋体"/>
          <w:sz w:val="17"/>
          <w:szCs w:val="17"/>
        </w:rPr>
      </w:pPr>
      <w:r>
        <w:rPr>
          <w:rFonts w:ascii="宋体" w:eastAsia="宋体" w:hAnsi="宋体" w:cs="宋体"/>
          <w:spacing w:val="7"/>
          <w:sz w:val="17"/>
          <w:szCs w:val="17"/>
        </w:rPr>
        <w:t>图12-</w:t>
      </w:r>
      <w:r>
        <w:rPr>
          <w:rFonts w:ascii="宋体" w:eastAsia="宋体" w:hAnsi="宋体" w:cs="宋体"/>
          <w:spacing w:val="-51"/>
          <w:sz w:val="17"/>
          <w:szCs w:val="17"/>
        </w:rPr>
        <w:t xml:space="preserve"> </w:t>
      </w:r>
      <w:r>
        <w:rPr>
          <w:rFonts w:ascii="宋体" w:eastAsia="宋体" w:hAnsi="宋体" w:cs="宋体"/>
          <w:spacing w:val="7"/>
          <w:sz w:val="17"/>
          <w:szCs w:val="17"/>
        </w:rPr>
        <w:t>1</w:t>
      </w:r>
      <w:r>
        <w:rPr>
          <w:rFonts w:ascii="宋体" w:eastAsia="宋体" w:hAnsi="宋体" w:cs="宋体"/>
          <w:spacing w:val="77"/>
          <w:sz w:val="17"/>
          <w:szCs w:val="17"/>
        </w:rPr>
        <w:t xml:space="preserve"> </w:t>
      </w:r>
      <w:r>
        <w:rPr>
          <w:rFonts w:ascii="宋体" w:eastAsia="宋体" w:hAnsi="宋体" w:cs="宋体"/>
          <w:spacing w:val="7"/>
          <w:sz w:val="17"/>
          <w:szCs w:val="17"/>
        </w:rPr>
        <w:t>用于制定保健及发展计划的监测系统示意</w:t>
      </w:r>
      <w:r>
        <w:rPr>
          <w:rFonts w:ascii="宋体" w:eastAsia="宋体" w:hAnsi="宋体" w:cs="宋体"/>
          <w:spacing w:val="6"/>
          <w:sz w:val="17"/>
          <w:szCs w:val="17"/>
        </w:rPr>
        <w:t>图</w:t>
      </w:r>
    </w:p>
    <w:p w:rsidR="00EA40A3" w:rsidRDefault="00E86C16">
      <w:pPr>
        <w:spacing w:before="65" w:line="218" w:lineRule="auto"/>
        <w:ind w:left="1209"/>
        <w:rPr>
          <w:rFonts w:ascii="宋体" w:eastAsia="宋体" w:hAnsi="宋体" w:cs="宋体"/>
          <w:sz w:val="17"/>
          <w:szCs w:val="17"/>
        </w:rPr>
      </w:pPr>
      <w:r>
        <w:rPr>
          <w:rFonts w:ascii="宋体" w:eastAsia="宋体" w:hAnsi="宋体" w:cs="宋体"/>
          <w:spacing w:val="-12"/>
          <w:sz w:val="17"/>
          <w:szCs w:val="17"/>
        </w:rPr>
        <w:t>资料来源：John</w:t>
      </w:r>
      <w:r>
        <w:rPr>
          <w:rFonts w:ascii="宋体" w:eastAsia="宋体" w:hAnsi="宋体" w:cs="宋体"/>
          <w:spacing w:val="-9"/>
          <w:sz w:val="17"/>
          <w:szCs w:val="17"/>
        </w:rPr>
        <w:t xml:space="preserve"> </w:t>
      </w:r>
      <w:r>
        <w:rPr>
          <w:rFonts w:ascii="宋体" w:eastAsia="宋体" w:hAnsi="宋体" w:cs="宋体"/>
          <w:spacing w:val="-12"/>
          <w:sz w:val="17"/>
          <w:szCs w:val="17"/>
        </w:rPr>
        <w:t>B</w:t>
      </w:r>
      <w:r>
        <w:rPr>
          <w:rFonts w:ascii="宋体" w:eastAsia="宋体" w:hAnsi="宋体" w:cs="宋体"/>
          <w:spacing w:val="-10"/>
          <w:sz w:val="17"/>
          <w:szCs w:val="17"/>
        </w:rPr>
        <w:t xml:space="preserve"> </w:t>
      </w:r>
      <w:r>
        <w:rPr>
          <w:rFonts w:ascii="宋体" w:eastAsia="宋体" w:hAnsi="宋体" w:cs="宋体"/>
          <w:spacing w:val="-12"/>
          <w:sz w:val="17"/>
          <w:szCs w:val="17"/>
        </w:rPr>
        <w:t>Mason</w:t>
      </w:r>
      <w:r>
        <w:rPr>
          <w:rFonts w:ascii="宋体" w:eastAsia="宋体" w:hAnsi="宋体" w:cs="宋体"/>
          <w:spacing w:val="-2"/>
          <w:sz w:val="17"/>
          <w:szCs w:val="17"/>
        </w:rPr>
        <w:t xml:space="preserve"> </w:t>
      </w:r>
      <w:r>
        <w:rPr>
          <w:rFonts w:ascii="宋体" w:eastAsia="宋体" w:hAnsi="宋体" w:cs="宋体"/>
          <w:spacing w:val="-12"/>
          <w:sz w:val="17"/>
          <w:szCs w:val="17"/>
        </w:rPr>
        <w:t>et</w:t>
      </w:r>
      <w:r>
        <w:rPr>
          <w:rFonts w:ascii="宋体" w:eastAsia="宋体" w:hAnsi="宋体" w:cs="宋体"/>
          <w:spacing w:val="-4"/>
          <w:sz w:val="17"/>
          <w:szCs w:val="17"/>
        </w:rPr>
        <w:t xml:space="preserve"> </w:t>
      </w:r>
      <w:r>
        <w:rPr>
          <w:rFonts w:ascii="宋体" w:eastAsia="宋体" w:hAnsi="宋体" w:cs="宋体"/>
          <w:spacing w:val="-12"/>
          <w:sz w:val="17"/>
          <w:szCs w:val="17"/>
        </w:rPr>
        <w:t>al.</w:t>
      </w:r>
      <w:r>
        <w:rPr>
          <w:rFonts w:ascii="宋体" w:eastAsia="宋体" w:hAnsi="宋体" w:cs="宋体"/>
          <w:spacing w:val="6"/>
          <w:sz w:val="17"/>
          <w:szCs w:val="17"/>
        </w:rPr>
        <w:t xml:space="preserve"> </w:t>
      </w:r>
      <w:r>
        <w:rPr>
          <w:rFonts w:ascii="宋体" w:eastAsia="宋体" w:hAnsi="宋体" w:cs="宋体"/>
          <w:spacing w:val="-12"/>
          <w:sz w:val="17"/>
          <w:szCs w:val="17"/>
        </w:rPr>
        <w:t>1</w:t>
      </w:r>
      <w:r>
        <w:rPr>
          <w:rFonts w:ascii="宋体" w:eastAsia="宋体" w:hAnsi="宋体" w:cs="宋体"/>
          <w:spacing w:val="-13"/>
          <w:sz w:val="17"/>
          <w:szCs w:val="17"/>
        </w:rPr>
        <w:t>994.</w:t>
      </w:r>
      <w:r>
        <w:rPr>
          <w:rFonts w:ascii="宋体" w:eastAsia="宋体" w:hAnsi="宋体" w:cs="宋体"/>
          <w:spacing w:val="-12"/>
          <w:sz w:val="17"/>
          <w:szCs w:val="17"/>
        </w:rPr>
        <w:t>Nutritional</w:t>
      </w:r>
      <w:r>
        <w:rPr>
          <w:rFonts w:ascii="宋体" w:eastAsia="宋体" w:hAnsi="宋体" w:cs="宋体"/>
          <w:spacing w:val="1"/>
          <w:sz w:val="17"/>
          <w:szCs w:val="17"/>
        </w:rPr>
        <w:t xml:space="preserve"> </w:t>
      </w:r>
      <w:r>
        <w:rPr>
          <w:rFonts w:ascii="宋体" w:eastAsia="宋体" w:hAnsi="宋体" w:cs="宋体"/>
          <w:spacing w:val="-12"/>
          <w:sz w:val="17"/>
          <w:szCs w:val="17"/>
        </w:rPr>
        <w:t>surveillance</w:t>
      </w:r>
      <w:r>
        <w:rPr>
          <w:rFonts w:ascii="宋体" w:eastAsia="宋体" w:hAnsi="宋体" w:cs="宋体"/>
          <w:spacing w:val="-13"/>
          <w:sz w:val="17"/>
          <w:szCs w:val="17"/>
        </w:rPr>
        <w:t>.</w:t>
      </w:r>
      <w:r>
        <w:rPr>
          <w:rFonts w:ascii="宋体" w:eastAsia="宋体" w:hAnsi="宋体" w:cs="宋体"/>
          <w:spacing w:val="-9"/>
          <w:sz w:val="17"/>
          <w:szCs w:val="17"/>
        </w:rPr>
        <w:t xml:space="preserve"> </w:t>
      </w:r>
      <w:r>
        <w:rPr>
          <w:rFonts w:ascii="宋体" w:eastAsia="宋体" w:hAnsi="宋体" w:cs="宋体"/>
          <w:spacing w:val="-12"/>
          <w:sz w:val="17"/>
          <w:szCs w:val="17"/>
        </w:rPr>
        <w:t>WHO</w:t>
      </w:r>
    </w:p>
    <w:p w:rsidR="00EA40A3" w:rsidRDefault="00EA40A3">
      <w:pPr>
        <w:spacing w:line="248" w:lineRule="auto"/>
      </w:pPr>
    </w:p>
    <w:p w:rsidR="00EA40A3" w:rsidRDefault="00E86C16">
      <w:pPr>
        <w:spacing w:before="72" w:line="219" w:lineRule="auto"/>
        <w:ind w:left="359"/>
        <w:rPr>
          <w:rFonts w:ascii="宋体" w:eastAsia="宋体" w:hAnsi="宋体" w:cs="宋体"/>
          <w:sz w:val="22"/>
          <w:szCs w:val="22"/>
        </w:rPr>
      </w:pPr>
      <w:r>
        <w:rPr>
          <w:rFonts w:ascii="宋体" w:eastAsia="宋体" w:hAnsi="宋体" w:cs="宋体"/>
          <w:spacing w:val="-15"/>
          <w:sz w:val="22"/>
          <w:szCs w:val="22"/>
        </w:rPr>
        <w:t>监测系统执行以下几个主要功能：</w:t>
      </w:r>
    </w:p>
    <w:p w:rsidR="00EA40A3" w:rsidRDefault="00E86C16">
      <w:pPr>
        <w:spacing w:before="1" w:line="219" w:lineRule="auto"/>
        <w:ind w:left="359"/>
        <w:rPr>
          <w:rFonts w:ascii="宋体" w:eastAsia="宋体" w:hAnsi="宋体" w:cs="宋体"/>
          <w:sz w:val="22"/>
          <w:szCs w:val="22"/>
        </w:rPr>
      </w:pPr>
      <w:r>
        <w:rPr>
          <w:rFonts w:ascii="宋体" w:eastAsia="宋体" w:hAnsi="宋体" w:cs="宋体"/>
          <w:spacing w:val="-4"/>
          <w:sz w:val="22"/>
          <w:szCs w:val="22"/>
        </w:rPr>
        <w:t>(1)保障数据来源(表格、设备、培训等)。</w:t>
      </w:r>
    </w:p>
    <w:p w:rsidR="00EA40A3" w:rsidRDefault="00E86C16">
      <w:pPr>
        <w:spacing w:before="49" w:line="219" w:lineRule="auto"/>
        <w:ind w:left="359"/>
        <w:rPr>
          <w:rFonts w:ascii="宋体" w:eastAsia="宋体" w:hAnsi="宋体" w:cs="宋体"/>
          <w:sz w:val="22"/>
          <w:szCs w:val="22"/>
        </w:rPr>
      </w:pPr>
      <w:r>
        <w:rPr>
          <w:rFonts w:ascii="宋体" w:eastAsia="宋体" w:hAnsi="宋体" w:cs="宋体"/>
          <w:spacing w:val="-7"/>
          <w:sz w:val="22"/>
          <w:szCs w:val="22"/>
        </w:rPr>
        <w:t>(2)组织数据的交流。</w:t>
      </w:r>
    </w:p>
    <w:p w:rsidR="00EA40A3" w:rsidRDefault="00E86C16">
      <w:pPr>
        <w:spacing w:before="49" w:line="219" w:lineRule="auto"/>
        <w:ind w:left="359"/>
        <w:rPr>
          <w:rFonts w:ascii="宋体" w:eastAsia="宋体" w:hAnsi="宋体" w:cs="宋体"/>
          <w:sz w:val="22"/>
          <w:szCs w:val="22"/>
        </w:rPr>
      </w:pPr>
      <w:r>
        <w:rPr>
          <w:rFonts w:ascii="宋体" w:eastAsia="宋体" w:hAnsi="宋体" w:cs="宋体"/>
          <w:spacing w:val="-8"/>
          <w:sz w:val="22"/>
          <w:szCs w:val="22"/>
        </w:rPr>
        <w:t>(3)分析与解释。</w:t>
      </w:r>
    </w:p>
    <w:p w:rsidR="00EA40A3" w:rsidRDefault="00E86C16">
      <w:pPr>
        <w:spacing w:before="49" w:line="219" w:lineRule="auto"/>
        <w:ind w:left="359"/>
        <w:rPr>
          <w:rFonts w:ascii="宋体" w:eastAsia="宋体" w:hAnsi="宋体" w:cs="宋体"/>
          <w:sz w:val="22"/>
          <w:szCs w:val="22"/>
        </w:rPr>
      </w:pPr>
      <w:r>
        <w:rPr>
          <w:rFonts w:ascii="宋体" w:eastAsia="宋体" w:hAnsi="宋体" w:cs="宋体"/>
          <w:spacing w:val="-7"/>
          <w:sz w:val="22"/>
          <w:szCs w:val="22"/>
        </w:rPr>
        <w:t>(4)与计划或规划部门联系。</w:t>
      </w:r>
    </w:p>
    <w:p w:rsidR="00EA40A3" w:rsidRDefault="00EA40A3">
      <w:pPr>
        <w:sectPr w:rsidR="00EA40A3">
          <w:footerReference w:type="default" r:id="rId314"/>
          <w:pgSz w:w="9220" w:h="13360"/>
          <w:pgMar w:top="400" w:right="1054" w:bottom="1269" w:left="950" w:header="0" w:footer="983" w:gutter="0"/>
          <w:cols w:space="720"/>
        </w:sectPr>
      </w:pPr>
    </w:p>
    <w:p w:rsidR="00EA40A3" w:rsidRDefault="00EA40A3">
      <w:pPr>
        <w:spacing w:line="281" w:lineRule="auto"/>
      </w:pPr>
    </w:p>
    <w:p w:rsidR="00EA40A3" w:rsidRDefault="00EA40A3">
      <w:pPr>
        <w:spacing w:line="282" w:lineRule="auto"/>
      </w:pPr>
    </w:p>
    <w:p w:rsidR="00EA40A3" w:rsidRDefault="00E86C16">
      <w:pPr>
        <w:spacing w:before="71" w:line="250" w:lineRule="auto"/>
        <w:ind w:left="120" w:firstLine="469"/>
        <w:jc w:val="both"/>
        <w:rPr>
          <w:rFonts w:ascii="宋体" w:eastAsia="宋体" w:hAnsi="宋体" w:cs="宋体"/>
          <w:sz w:val="22"/>
          <w:szCs w:val="22"/>
        </w:rPr>
      </w:pPr>
      <w:r>
        <w:rPr>
          <w:rFonts w:ascii="宋体" w:eastAsia="宋体" w:hAnsi="宋体" w:cs="宋体"/>
          <w:spacing w:val="-13"/>
          <w:sz w:val="22"/>
          <w:szCs w:val="22"/>
        </w:rPr>
        <w:t>通过行政途径收集数据，主要是与数据直接有关的部门。</w:t>
      </w:r>
      <w:r>
        <w:rPr>
          <w:rFonts w:ascii="宋体" w:eastAsia="宋体" w:hAnsi="宋体" w:cs="宋体"/>
          <w:spacing w:val="-14"/>
          <w:sz w:val="22"/>
          <w:szCs w:val="22"/>
        </w:rPr>
        <w:t>在卫生系统中，门</w:t>
      </w:r>
      <w:r>
        <w:rPr>
          <w:rFonts w:ascii="宋体" w:eastAsia="宋体" w:hAnsi="宋体" w:cs="宋体"/>
          <w:sz w:val="22"/>
          <w:szCs w:val="22"/>
        </w:rPr>
        <w:t xml:space="preserve"> </w:t>
      </w:r>
      <w:r>
        <w:rPr>
          <w:rFonts w:ascii="宋体" w:eastAsia="宋体" w:hAnsi="宋体" w:cs="宋体"/>
          <w:spacing w:val="4"/>
          <w:sz w:val="22"/>
          <w:szCs w:val="22"/>
        </w:rPr>
        <w:t>诊部收集资料(体重、年龄、疾病等),通过常规渠道(乡镇、县、地区、省)</w:t>
      </w:r>
      <w:r>
        <w:rPr>
          <w:rFonts w:ascii="宋体" w:eastAsia="宋体" w:hAnsi="宋体" w:cs="宋体"/>
          <w:spacing w:val="7"/>
          <w:sz w:val="22"/>
          <w:szCs w:val="22"/>
        </w:rPr>
        <w:t xml:space="preserve"> </w:t>
      </w:r>
      <w:r>
        <w:rPr>
          <w:rFonts w:ascii="宋体" w:eastAsia="宋体" w:hAnsi="宋体" w:cs="宋体"/>
          <w:spacing w:val="-4"/>
          <w:sz w:val="22"/>
          <w:szCs w:val="22"/>
        </w:rPr>
        <w:t>将这些结果送到分析中心。学校的资料(儿童身高等)由教师汇总，逐级传送</w:t>
      </w:r>
      <w:r>
        <w:rPr>
          <w:rFonts w:ascii="宋体" w:eastAsia="宋体" w:hAnsi="宋体" w:cs="宋体"/>
          <w:spacing w:val="-5"/>
          <w:sz w:val="22"/>
          <w:szCs w:val="22"/>
        </w:rPr>
        <w:t>。</w:t>
      </w:r>
      <w:r>
        <w:rPr>
          <w:rFonts w:ascii="宋体" w:eastAsia="宋体" w:hAnsi="宋体" w:cs="宋体"/>
          <w:sz w:val="22"/>
          <w:szCs w:val="22"/>
        </w:rPr>
        <w:t xml:space="preserve"> </w:t>
      </w:r>
      <w:r>
        <w:rPr>
          <w:rFonts w:ascii="宋体" w:eastAsia="宋体" w:hAnsi="宋体" w:cs="宋体"/>
          <w:spacing w:val="-14"/>
          <w:sz w:val="22"/>
          <w:szCs w:val="22"/>
        </w:rPr>
        <w:t>表格的修改、穿孔、处理及分析由营养情报系统集中进</w:t>
      </w:r>
      <w:r>
        <w:rPr>
          <w:rFonts w:ascii="宋体" w:eastAsia="宋体" w:hAnsi="宋体" w:cs="宋体"/>
          <w:spacing w:val="-15"/>
          <w:sz w:val="22"/>
          <w:szCs w:val="22"/>
        </w:rPr>
        <w:t>行。</w:t>
      </w:r>
    </w:p>
    <w:p w:rsidR="00EA40A3" w:rsidRDefault="00E86C16">
      <w:pPr>
        <w:spacing w:before="37" w:line="219" w:lineRule="auto"/>
        <w:ind w:left="550"/>
        <w:rPr>
          <w:rFonts w:ascii="宋体" w:eastAsia="宋体" w:hAnsi="宋体" w:cs="宋体"/>
          <w:sz w:val="22"/>
          <w:szCs w:val="22"/>
        </w:rPr>
      </w:pPr>
      <w:r>
        <w:rPr>
          <w:rFonts w:ascii="宋体" w:eastAsia="宋体" w:hAnsi="宋体" w:cs="宋体"/>
          <w:spacing w:val="-14"/>
          <w:sz w:val="22"/>
          <w:szCs w:val="22"/>
        </w:rPr>
        <w:t>监测系统包括：测量设备、调查图表、培训教材、计算机、印刷出版。</w:t>
      </w:r>
    </w:p>
    <w:p w:rsidR="00EA40A3" w:rsidRDefault="00E86C16">
      <w:pPr>
        <w:spacing w:before="197" w:line="222" w:lineRule="auto"/>
        <w:ind w:left="120"/>
        <w:rPr>
          <w:rFonts w:ascii="仿宋" w:eastAsia="仿宋" w:hAnsi="仿宋" w:cs="仿宋"/>
          <w:sz w:val="22"/>
          <w:szCs w:val="22"/>
        </w:rPr>
      </w:pPr>
      <w:r>
        <w:rPr>
          <w:rFonts w:ascii="仿宋" w:eastAsia="仿宋" w:hAnsi="仿宋" w:cs="仿宋"/>
          <w:spacing w:val="8"/>
          <w:sz w:val="22"/>
          <w:szCs w:val="22"/>
        </w:rPr>
        <w:t>3.</w:t>
      </w:r>
      <w:r>
        <w:rPr>
          <w:rFonts w:ascii="仿宋" w:eastAsia="仿宋" w:hAnsi="仿宋" w:cs="仿宋"/>
          <w:spacing w:val="-7"/>
          <w:sz w:val="22"/>
          <w:szCs w:val="22"/>
        </w:rPr>
        <w:t xml:space="preserve"> </w:t>
      </w:r>
      <w:r>
        <w:rPr>
          <w:rFonts w:ascii="仿宋" w:eastAsia="仿宋" w:hAnsi="仿宋" w:cs="仿宋"/>
          <w:spacing w:val="8"/>
          <w:sz w:val="22"/>
          <w:szCs w:val="22"/>
        </w:rPr>
        <w:t>数据来源与分类</w:t>
      </w:r>
    </w:p>
    <w:p w:rsidR="00EA40A3" w:rsidRDefault="00E86C16">
      <w:pPr>
        <w:spacing w:before="197" w:line="229" w:lineRule="auto"/>
        <w:ind w:left="120" w:right="59" w:firstLine="430"/>
        <w:rPr>
          <w:rFonts w:ascii="宋体" w:eastAsia="宋体" w:hAnsi="宋体" w:cs="宋体"/>
          <w:sz w:val="22"/>
          <w:szCs w:val="22"/>
        </w:rPr>
      </w:pPr>
      <w:r>
        <w:rPr>
          <w:rFonts w:ascii="宋体" w:eastAsia="宋体" w:hAnsi="宋体" w:cs="宋体"/>
          <w:spacing w:val="-6"/>
          <w:sz w:val="22"/>
          <w:szCs w:val="22"/>
        </w:rPr>
        <w:t>(1)数据来源。营养监测时所用数据大部分取自现成的行政报表和调查(表</w:t>
      </w:r>
      <w:r>
        <w:rPr>
          <w:rFonts w:ascii="宋体" w:eastAsia="宋体" w:hAnsi="宋体" w:cs="宋体"/>
          <w:spacing w:val="13"/>
          <w:sz w:val="22"/>
          <w:szCs w:val="22"/>
        </w:rPr>
        <w:t xml:space="preserve"> </w:t>
      </w:r>
      <w:r>
        <w:rPr>
          <w:rFonts w:ascii="宋体" w:eastAsia="宋体" w:hAnsi="宋体" w:cs="宋体"/>
          <w:spacing w:val="-5"/>
          <w:sz w:val="22"/>
          <w:szCs w:val="22"/>
        </w:rPr>
        <w:t>12-1),有时为了调查特殊问题需要收集特殊数据(表12-2)。</w:t>
      </w:r>
    </w:p>
    <w:p w:rsidR="00EA40A3" w:rsidRDefault="00EA40A3">
      <w:pPr>
        <w:spacing w:line="319" w:lineRule="auto"/>
      </w:pPr>
    </w:p>
    <w:p w:rsidR="00EA40A3" w:rsidRDefault="00E86C16">
      <w:pPr>
        <w:spacing w:before="58" w:line="221" w:lineRule="auto"/>
        <w:ind w:left="2132"/>
        <w:rPr>
          <w:rFonts w:ascii="黑体" w:eastAsia="黑体" w:hAnsi="黑体" w:cs="黑体"/>
          <w:sz w:val="18"/>
          <w:szCs w:val="18"/>
        </w:rPr>
      </w:pPr>
      <w:r>
        <w:rPr>
          <w:rFonts w:ascii="黑体" w:eastAsia="黑体" w:hAnsi="黑体" w:cs="黑体"/>
          <w:b/>
          <w:bCs/>
          <w:sz w:val="18"/>
          <w:szCs w:val="18"/>
        </w:rPr>
        <w:t>表12-1</w:t>
      </w:r>
      <w:r>
        <w:rPr>
          <w:rFonts w:ascii="黑体" w:eastAsia="黑体" w:hAnsi="黑体" w:cs="黑体"/>
          <w:spacing w:val="48"/>
          <w:sz w:val="18"/>
          <w:szCs w:val="18"/>
        </w:rPr>
        <w:t xml:space="preserve"> </w:t>
      </w:r>
      <w:r>
        <w:rPr>
          <w:rFonts w:ascii="黑体" w:eastAsia="黑体" w:hAnsi="黑体" w:cs="黑体"/>
          <w:b/>
          <w:bCs/>
          <w:sz w:val="18"/>
          <w:szCs w:val="18"/>
        </w:rPr>
        <w:t>在营养监测系统中一般资料来源</w:t>
      </w:r>
    </w:p>
    <w:p w:rsidR="00EA40A3" w:rsidRDefault="00EA40A3">
      <w:pPr>
        <w:spacing w:line="27" w:lineRule="exact"/>
      </w:pPr>
    </w:p>
    <w:tbl>
      <w:tblPr>
        <w:tblStyle w:val="TableNormal"/>
        <w:tblW w:w="741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56"/>
        <w:gridCol w:w="3361"/>
        <w:gridCol w:w="2293"/>
      </w:tblGrid>
      <w:tr w:rsidR="00EA40A3">
        <w:trPr>
          <w:trHeight w:val="704"/>
        </w:trPr>
        <w:tc>
          <w:tcPr>
            <w:tcW w:w="1756" w:type="dxa"/>
            <w:tcBorders>
              <w:top w:val="single" w:sz="4" w:space="0" w:color="000000"/>
              <w:bottom w:val="single" w:sz="4" w:space="0" w:color="000000"/>
            </w:tcBorders>
          </w:tcPr>
          <w:p w:rsidR="00EA40A3" w:rsidRDefault="00E86C16">
            <w:pPr>
              <w:spacing w:before="281" w:line="222" w:lineRule="auto"/>
              <w:ind w:left="750"/>
              <w:rPr>
                <w:rFonts w:ascii="宋体" w:eastAsia="宋体" w:hAnsi="宋体" w:cs="宋体"/>
                <w:sz w:val="15"/>
                <w:szCs w:val="15"/>
              </w:rPr>
            </w:pPr>
            <w:r>
              <w:rPr>
                <w:rFonts w:ascii="宋体" w:eastAsia="宋体" w:hAnsi="宋体" w:cs="宋体"/>
                <w:spacing w:val="-4"/>
                <w:sz w:val="15"/>
                <w:szCs w:val="15"/>
              </w:rPr>
              <w:t>来</w:t>
            </w:r>
            <w:r>
              <w:rPr>
                <w:rFonts w:ascii="宋体" w:eastAsia="宋体" w:hAnsi="宋体" w:cs="宋体"/>
                <w:spacing w:val="11"/>
                <w:sz w:val="15"/>
                <w:szCs w:val="15"/>
              </w:rPr>
              <w:t xml:space="preserve">    </w:t>
            </w:r>
            <w:r>
              <w:rPr>
                <w:rFonts w:ascii="宋体" w:eastAsia="宋体" w:hAnsi="宋体" w:cs="宋体"/>
                <w:spacing w:val="-4"/>
                <w:sz w:val="15"/>
                <w:szCs w:val="15"/>
              </w:rPr>
              <w:t>源</w:t>
            </w:r>
          </w:p>
        </w:tc>
        <w:tc>
          <w:tcPr>
            <w:tcW w:w="3361" w:type="dxa"/>
            <w:tcBorders>
              <w:top w:val="single" w:sz="4" w:space="0" w:color="000000"/>
              <w:bottom w:val="single" w:sz="4" w:space="0" w:color="000000"/>
            </w:tcBorders>
          </w:tcPr>
          <w:p w:rsidR="00EA40A3" w:rsidRDefault="00E86C16">
            <w:pPr>
              <w:spacing w:before="141" w:line="197" w:lineRule="auto"/>
              <w:ind w:left="2624" w:right="117" w:firstLine="476"/>
              <w:rPr>
                <w:rFonts w:ascii="宋体" w:eastAsia="宋体" w:hAnsi="宋体" w:cs="宋体"/>
                <w:sz w:val="15"/>
                <w:szCs w:val="15"/>
              </w:rPr>
            </w:pPr>
            <w:r>
              <w:rPr>
                <w:rFonts w:ascii="宋体" w:eastAsia="宋体" w:hAnsi="宋体" w:cs="宋体"/>
                <w:spacing w:val="-8"/>
                <w:sz w:val="15"/>
                <w:szCs w:val="15"/>
              </w:rPr>
              <w:t>数</w:t>
            </w:r>
            <w:r>
              <w:rPr>
                <w:rFonts w:ascii="宋体" w:eastAsia="宋体" w:hAnsi="宋体" w:cs="宋体"/>
                <w:sz w:val="15"/>
                <w:szCs w:val="15"/>
              </w:rPr>
              <w:t xml:space="preserve"> 变</w:t>
            </w:r>
          </w:p>
          <w:p w:rsidR="00EA40A3" w:rsidRDefault="00E86C16">
            <w:pPr>
              <w:spacing w:before="20" w:line="220" w:lineRule="auto"/>
              <w:ind w:left="1614"/>
              <w:rPr>
                <w:rFonts w:ascii="宋体" w:eastAsia="宋体" w:hAnsi="宋体" w:cs="宋体"/>
                <w:sz w:val="15"/>
                <w:szCs w:val="15"/>
              </w:rPr>
            </w:pPr>
            <w:r>
              <w:rPr>
                <w:rFonts w:ascii="宋体" w:eastAsia="宋体" w:hAnsi="宋体" w:cs="宋体"/>
                <w:spacing w:val="3"/>
                <w:sz w:val="15"/>
                <w:szCs w:val="15"/>
              </w:rPr>
              <w:t>实际的</w:t>
            </w:r>
          </w:p>
        </w:tc>
        <w:tc>
          <w:tcPr>
            <w:tcW w:w="2293" w:type="dxa"/>
            <w:tcBorders>
              <w:top w:val="single" w:sz="4" w:space="0" w:color="000000"/>
              <w:bottom w:val="single" w:sz="4" w:space="0" w:color="000000"/>
            </w:tcBorders>
          </w:tcPr>
          <w:p w:rsidR="00EA40A3" w:rsidRDefault="00EA40A3">
            <w:pPr>
              <w:spacing w:line="440" w:lineRule="auto"/>
            </w:pPr>
          </w:p>
          <w:p w:rsidR="00EA40A3" w:rsidRDefault="00E86C16">
            <w:pPr>
              <w:spacing w:before="49" w:line="221" w:lineRule="auto"/>
              <w:ind w:left="913"/>
              <w:rPr>
                <w:rFonts w:ascii="宋体" w:eastAsia="宋体" w:hAnsi="宋体" w:cs="宋体"/>
                <w:sz w:val="15"/>
                <w:szCs w:val="15"/>
              </w:rPr>
            </w:pPr>
            <w:r>
              <w:rPr>
                <w:rFonts w:ascii="宋体" w:eastAsia="宋体" w:hAnsi="宋体" w:cs="宋体"/>
                <w:spacing w:val="-2"/>
                <w:sz w:val="15"/>
                <w:szCs w:val="15"/>
              </w:rPr>
              <w:t>可能的</w:t>
            </w:r>
          </w:p>
        </w:tc>
      </w:tr>
      <w:tr w:rsidR="00EA40A3">
        <w:trPr>
          <w:trHeight w:val="1752"/>
        </w:trPr>
        <w:tc>
          <w:tcPr>
            <w:tcW w:w="1756" w:type="dxa"/>
            <w:tcBorders>
              <w:top w:val="single" w:sz="4" w:space="0" w:color="000000"/>
            </w:tcBorders>
          </w:tcPr>
          <w:p w:rsidR="00EA40A3" w:rsidRDefault="00E86C16">
            <w:pPr>
              <w:spacing w:before="107" w:line="220" w:lineRule="auto"/>
              <w:ind w:left="180"/>
              <w:rPr>
                <w:rFonts w:ascii="宋体" w:eastAsia="宋体" w:hAnsi="宋体" w:cs="宋体"/>
                <w:sz w:val="15"/>
                <w:szCs w:val="15"/>
              </w:rPr>
            </w:pPr>
            <w:r>
              <w:rPr>
                <w:rFonts w:ascii="宋体" w:eastAsia="宋体" w:hAnsi="宋体" w:cs="宋体"/>
                <w:spacing w:val="-2"/>
                <w:sz w:val="15"/>
                <w:szCs w:val="15"/>
              </w:rPr>
              <w:t>诊所</w:t>
            </w:r>
          </w:p>
          <w:p w:rsidR="00EA40A3" w:rsidRDefault="00E86C16">
            <w:pPr>
              <w:spacing w:before="191" w:line="221" w:lineRule="auto"/>
              <w:ind w:left="180"/>
              <w:rPr>
                <w:rFonts w:ascii="宋体" w:eastAsia="宋体" w:hAnsi="宋体" w:cs="宋体"/>
                <w:sz w:val="15"/>
                <w:szCs w:val="15"/>
              </w:rPr>
            </w:pPr>
            <w:r>
              <w:rPr>
                <w:rFonts w:ascii="宋体" w:eastAsia="宋体" w:hAnsi="宋体" w:cs="宋体"/>
                <w:spacing w:val="5"/>
                <w:sz w:val="15"/>
                <w:szCs w:val="15"/>
              </w:rPr>
              <w:t>(卫生人员)</w:t>
            </w:r>
          </w:p>
        </w:tc>
        <w:tc>
          <w:tcPr>
            <w:tcW w:w="3361" w:type="dxa"/>
            <w:tcBorders>
              <w:top w:val="single" w:sz="4" w:space="0" w:color="000000"/>
            </w:tcBorders>
          </w:tcPr>
          <w:p w:rsidR="00EA40A3" w:rsidRDefault="00E86C16">
            <w:pPr>
              <w:spacing w:before="107" w:line="219" w:lineRule="auto"/>
              <w:ind w:left="313"/>
              <w:rPr>
                <w:rFonts w:ascii="宋体" w:eastAsia="宋体" w:hAnsi="宋体" w:cs="宋体"/>
                <w:sz w:val="15"/>
                <w:szCs w:val="15"/>
              </w:rPr>
            </w:pPr>
            <w:r>
              <w:rPr>
                <w:rFonts w:ascii="宋体" w:eastAsia="宋体" w:hAnsi="宋体" w:cs="宋体"/>
                <w:spacing w:val="-1"/>
                <w:sz w:val="15"/>
                <w:szCs w:val="15"/>
              </w:rPr>
              <w:t>体重、身高、年龄</w:t>
            </w:r>
          </w:p>
          <w:p w:rsidR="00EA40A3" w:rsidRDefault="00E86C16">
            <w:pPr>
              <w:spacing w:before="192" w:line="219" w:lineRule="auto"/>
              <w:ind w:left="313"/>
              <w:rPr>
                <w:rFonts w:ascii="宋体" w:eastAsia="宋体" w:hAnsi="宋体" w:cs="宋体"/>
                <w:sz w:val="15"/>
                <w:szCs w:val="15"/>
              </w:rPr>
            </w:pPr>
            <w:r>
              <w:rPr>
                <w:rFonts w:ascii="宋体" w:eastAsia="宋体" w:hAnsi="宋体" w:cs="宋体"/>
                <w:spacing w:val="-2"/>
                <w:sz w:val="15"/>
                <w:szCs w:val="15"/>
              </w:rPr>
              <w:t>发病率</w:t>
            </w:r>
          </w:p>
          <w:p w:rsidR="00EA40A3" w:rsidRDefault="00E86C16">
            <w:pPr>
              <w:spacing w:before="152" w:line="340" w:lineRule="exact"/>
              <w:ind w:left="313"/>
              <w:rPr>
                <w:rFonts w:ascii="宋体" w:eastAsia="宋体" w:hAnsi="宋体" w:cs="宋体"/>
                <w:sz w:val="15"/>
                <w:szCs w:val="15"/>
              </w:rPr>
            </w:pPr>
            <w:r>
              <w:rPr>
                <w:rFonts w:ascii="宋体" w:eastAsia="宋体" w:hAnsi="宋体" w:cs="宋体"/>
                <w:spacing w:val="-2"/>
                <w:position w:val="14"/>
                <w:sz w:val="15"/>
                <w:szCs w:val="15"/>
              </w:rPr>
              <w:t>色疫接种记录</w:t>
            </w:r>
          </w:p>
          <w:p w:rsidR="00EA40A3" w:rsidRDefault="00E86C16">
            <w:pPr>
              <w:spacing w:line="220" w:lineRule="auto"/>
              <w:ind w:left="313"/>
              <w:rPr>
                <w:rFonts w:ascii="宋体" w:eastAsia="宋体" w:hAnsi="宋体" w:cs="宋体"/>
                <w:sz w:val="15"/>
                <w:szCs w:val="15"/>
              </w:rPr>
            </w:pPr>
            <w:r>
              <w:rPr>
                <w:rFonts w:ascii="宋体" w:eastAsia="宋体" w:hAnsi="宋体" w:cs="宋体"/>
                <w:spacing w:val="1"/>
                <w:sz w:val="15"/>
                <w:szCs w:val="15"/>
              </w:rPr>
              <w:t>出生体重</w:t>
            </w:r>
          </w:p>
          <w:p w:rsidR="00EA40A3" w:rsidRDefault="00E86C16">
            <w:pPr>
              <w:spacing w:before="186" w:line="229" w:lineRule="auto"/>
              <w:ind w:left="313"/>
              <w:rPr>
                <w:rFonts w:ascii="宋体" w:eastAsia="宋体" w:hAnsi="宋体" w:cs="宋体"/>
                <w:sz w:val="15"/>
                <w:szCs w:val="15"/>
              </w:rPr>
            </w:pPr>
            <w:r>
              <w:rPr>
                <w:rFonts w:ascii="宋体" w:eastAsia="宋体" w:hAnsi="宋体" w:cs="宋体"/>
                <w:spacing w:val="-2"/>
                <w:sz w:val="15"/>
                <w:szCs w:val="15"/>
              </w:rPr>
              <w:t>地址</w:t>
            </w:r>
          </w:p>
        </w:tc>
        <w:tc>
          <w:tcPr>
            <w:tcW w:w="2293" w:type="dxa"/>
            <w:tcBorders>
              <w:top w:val="single" w:sz="4" w:space="0" w:color="000000"/>
            </w:tcBorders>
          </w:tcPr>
          <w:p w:rsidR="00EA40A3" w:rsidRDefault="00E86C16">
            <w:pPr>
              <w:spacing w:before="107" w:line="219" w:lineRule="auto"/>
              <w:ind w:left="123"/>
              <w:rPr>
                <w:rFonts w:ascii="宋体" w:eastAsia="宋体" w:hAnsi="宋体" w:cs="宋体"/>
                <w:sz w:val="15"/>
                <w:szCs w:val="15"/>
              </w:rPr>
            </w:pPr>
            <w:r>
              <w:rPr>
                <w:rFonts w:ascii="宋体" w:eastAsia="宋体" w:hAnsi="宋体" w:cs="宋体"/>
                <w:spacing w:val="-2"/>
                <w:sz w:val="15"/>
                <w:szCs w:val="15"/>
              </w:rPr>
              <w:t>职业等</w:t>
            </w:r>
          </w:p>
          <w:p w:rsidR="00EA40A3" w:rsidRDefault="00E86C16">
            <w:pPr>
              <w:spacing w:before="192" w:line="220" w:lineRule="auto"/>
              <w:ind w:left="123"/>
              <w:rPr>
                <w:rFonts w:ascii="宋体" w:eastAsia="宋体" w:hAnsi="宋体" w:cs="宋体"/>
                <w:sz w:val="15"/>
                <w:szCs w:val="15"/>
              </w:rPr>
            </w:pPr>
            <w:r>
              <w:rPr>
                <w:rFonts w:ascii="宋体" w:eastAsia="宋体" w:hAnsi="宋体" w:cs="宋体"/>
                <w:spacing w:val="-1"/>
                <w:sz w:val="15"/>
                <w:szCs w:val="15"/>
              </w:rPr>
              <w:t>住家与诊所的距离</w:t>
            </w:r>
          </w:p>
        </w:tc>
      </w:tr>
      <w:tr w:rsidR="00EA40A3">
        <w:trPr>
          <w:trHeight w:val="698"/>
        </w:trPr>
        <w:tc>
          <w:tcPr>
            <w:tcW w:w="1756" w:type="dxa"/>
          </w:tcPr>
          <w:p w:rsidR="00EA40A3" w:rsidRDefault="00E86C16">
            <w:pPr>
              <w:spacing w:before="105" w:line="220" w:lineRule="auto"/>
              <w:ind w:left="180"/>
              <w:rPr>
                <w:rFonts w:ascii="宋体" w:eastAsia="宋体" w:hAnsi="宋体" w:cs="宋体"/>
                <w:sz w:val="15"/>
                <w:szCs w:val="15"/>
              </w:rPr>
            </w:pPr>
            <w:r>
              <w:rPr>
                <w:rFonts w:ascii="宋体" w:eastAsia="宋体" w:hAnsi="宋体" w:cs="宋体"/>
                <w:spacing w:val="-3"/>
                <w:sz w:val="15"/>
                <w:szCs w:val="15"/>
              </w:rPr>
              <w:t>学校</w:t>
            </w:r>
          </w:p>
        </w:tc>
        <w:tc>
          <w:tcPr>
            <w:tcW w:w="3361" w:type="dxa"/>
          </w:tcPr>
          <w:p w:rsidR="00EA40A3" w:rsidRDefault="00E86C16">
            <w:pPr>
              <w:spacing w:before="104" w:line="358" w:lineRule="exact"/>
              <w:ind w:left="313"/>
              <w:rPr>
                <w:rFonts w:ascii="宋体" w:eastAsia="宋体" w:hAnsi="宋体" w:cs="宋体"/>
                <w:sz w:val="15"/>
                <w:szCs w:val="15"/>
              </w:rPr>
            </w:pPr>
            <w:r>
              <w:rPr>
                <w:rFonts w:ascii="宋体" w:eastAsia="宋体" w:hAnsi="宋体" w:cs="宋体"/>
                <w:spacing w:val="-1"/>
                <w:position w:val="16"/>
                <w:sz w:val="15"/>
                <w:szCs w:val="15"/>
              </w:rPr>
              <w:t>体重、身高、年龄</w:t>
            </w:r>
          </w:p>
          <w:p w:rsidR="00EA40A3" w:rsidRDefault="00E86C16">
            <w:pPr>
              <w:spacing w:line="228" w:lineRule="auto"/>
              <w:ind w:left="313"/>
              <w:rPr>
                <w:rFonts w:ascii="宋体" w:eastAsia="宋体" w:hAnsi="宋体" w:cs="宋体"/>
                <w:sz w:val="15"/>
                <w:szCs w:val="15"/>
              </w:rPr>
            </w:pPr>
            <w:r>
              <w:rPr>
                <w:rFonts w:ascii="宋体" w:eastAsia="宋体" w:hAnsi="宋体" w:cs="宋体"/>
                <w:spacing w:val="-2"/>
                <w:sz w:val="15"/>
                <w:szCs w:val="15"/>
              </w:rPr>
              <w:t>地址</w:t>
            </w:r>
          </w:p>
        </w:tc>
        <w:tc>
          <w:tcPr>
            <w:tcW w:w="2293" w:type="dxa"/>
          </w:tcPr>
          <w:p w:rsidR="00EA40A3" w:rsidRDefault="00E86C16">
            <w:pPr>
              <w:spacing w:before="105" w:line="219" w:lineRule="auto"/>
              <w:ind w:left="123"/>
              <w:rPr>
                <w:rFonts w:ascii="宋体" w:eastAsia="宋体" w:hAnsi="宋体" w:cs="宋体"/>
                <w:sz w:val="15"/>
                <w:szCs w:val="15"/>
              </w:rPr>
            </w:pPr>
            <w:r>
              <w:rPr>
                <w:rFonts w:ascii="宋体" w:eastAsia="宋体" w:hAnsi="宋体" w:cs="宋体"/>
                <w:spacing w:val="-2"/>
                <w:sz w:val="15"/>
                <w:szCs w:val="15"/>
              </w:rPr>
              <w:t>职业等</w:t>
            </w:r>
          </w:p>
          <w:p w:rsidR="00EA40A3" w:rsidRDefault="00E86C16">
            <w:pPr>
              <w:spacing w:before="172" w:line="220" w:lineRule="auto"/>
              <w:ind w:left="123"/>
              <w:rPr>
                <w:rFonts w:ascii="宋体" w:eastAsia="宋体" w:hAnsi="宋体" w:cs="宋体"/>
                <w:sz w:val="15"/>
                <w:szCs w:val="15"/>
              </w:rPr>
            </w:pPr>
            <w:r>
              <w:rPr>
                <w:rFonts w:ascii="宋体" w:eastAsia="宋体" w:hAnsi="宋体" w:cs="宋体"/>
                <w:spacing w:val="-1"/>
                <w:sz w:val="15"/>
                <w:szCs w:val="15"/>
              </w:rPr>
              <w:t>住家与学校的距离</w:t>
            </w:r>
          </w:p>
        </w:tc>
      </w:tr>
      <w:tr w:rsidR="00EA40A3">
        <w:trPr>
          <w:trHeight w:val="695"/>
        </w:trPr>
        <w:tc>
          <w:tcPr>
            <w:tcW w:w="1756" w:type="dxa"/>
          </w:tcPr>
          <w:p w:rsidR="00EA40A3" w:rsidRDefault="00E86C16">
            <w:pPr>
              <w:spacing w:before="107" w:line="220" w:lineRule="auto"/>
              <w:ind w:left="180"/>
              <w:rPr>
                <w:rFonts w:ascii="宋体" w:eastAsia="宋体" w:hAnsi="宋体" w:cs="宋体"/>
                <w:sz w:val="15"/>
                <w:szCs w:val="15"/>
              </w:rPr>
            </w:pPr>
            <w:r>
              <w:rPr>
                <w:rFonts w:ascii="宋体" w:eastAsia="宋体" w:hAnsi="宋体" w:cs="宋体"/>
                <w:spacing w:val="-2"/>
                <w:sz w:val="15"/>
                <w:szCs w:val="15"/>
              </w:rPr>
              <w:t>行政登记</w:t>
            </w:r>
          </w:p>
        </w:tc>
        <w:tc>
          <w:tcPr>
            <w:tcW w:w="3361" w:type="dxa"/>
          </w:tcPr>
          <w:p w:rsidR="00EA40A3" w:rsidRDefault="00E86C16">
            <w:pPr>
              <w:spacing w:before="105" w:line="216" w:lineRule="auto"/>
              <w:ind w:left="313"/>
              <w:rPr>
                <w:rFonts w:ascii="宋体" w:eastAsia="宋体" w:hAnsi="宋体" w:cs="宋体"/>
                <w:sz w:val="15"/>
                <w:szCs w:val="15"/>
              </w:rPr>
            </w:pPr>
            <w:r>
              <w:rPr>
                <w:rFonts w:ascii="宋体" w:eastAsia="宋体" w:hAnsi="宋体" w:cs="宋体"/>
                <w:spacing w:val="-2"/>
                <w:sz w:val="15"/>
                <w:szCs w:val="15"/>
              </w:rPr>
              <w:t>,出生</w:t>
            </w:r>
          </w:p>
          <w:p w:rsidR="00EA40A3" w:rsidRDefault="00E86C16">
            <w:pPr>
              <w:spacing w:before="156" w:line="219" w:lineRule="auto"/>
              <w:ind w:left="313"/>
              <w:rPr>
                <w:rFonts w:ascii="宋体" w:eastAsia="宋体" w:hAnsi="宋体" w:cs="宋体"/>
                <w:sz w:val="15"/>
                <w:szCs w:val="15"/>
              </w:rPr>
            </w:pPr>
            <w:r>
              <w:rPr>
                <w:rFonts w:ascii="宋体" w:eastAsia="宋体" w:hAnsi="宋体" w:cs="宋体"/>
                <w:spacing w:val="-2"/>
                <w:sz w:val="15"/>
                <w:szCs w:val="15"/>
              </w:rPr>
              <w:t>儿童死亡率</w:t>
            </w:r>
          </w:p>
        </w:tc>
        <w:tc>
          <w:tcPr>
            <w:tcW w:w="2293" w:type="dxa"/>
          </w:tcPr>
          <w:p w:rsidR="00EA40A3" w:rsidRDefault="00E86C16">
            <w:pPr>
              <w:spacing w:before="107" w:line="219" w:lineRule="auto"/>
              <w:ind w:left="123"/>
              <w:rPr>
                <w:rFonts w:ascii="宋体" w:eastAsia="宋体" w:hAnsi="宋体" w:cs="宋体"/>
                <w:sz w:val="15"/>
                <w:szCs w:val="15"/>
              </w:rPr>
            </w:pPr>
            <w:r>
              <w:rPr>
                <w:rFonts w:ascii="宋体" w:eastAsia="宋体" w:hAnsi="宋体" w:cs="宋体"/>
                <w:spacing w:val="-2"/>
                <w:sz w:val="15"/>
                <w:szCs w:val="15"/>
              </w:rPr>
              <w:t>职业等</w:t>
            </w:r>
          </w:p>
          <w:p w:rsidR="00EA40A3" w:rsidRDefault="00E86C16">
            <w:pPr>
              <w:spacing w:before="172" w:line="221" w:lineRule="auto"/>
              <w:ind w:left="123"/>
              <w:rPr>
                <w:rFonts w:ascii="宋体" w:eastAsia="宋体" w:hAnsi="宋体" w:cs="宋体"/>
                <w:sz w:val="15"/>
                <w:szCs w:val="15"/>
              </w:rPr>
            </w:pPr>
            <w:r>
              <w:rPr>
                <w:rFonts w:ascii="宋体" w:eastAsia="宋体" w:hAnsi="宋体" w:cs="宋体"/>
                <w:spacing w:val="1"/>
                <w:sz w:val="15"/>
                <w:szCs w:val="15"/>
              </w:rPr>
              <w:t>出生体重</w:t>
            </w:r>
          </w:p>
        </w:tc>
      </w:tr>
      <w:tr w:rsidR="00EA40A3">
        <w:trPr>
          <w:trHeight w:val="700"/>
        </w:trPr>
        <w:tc>
          <w:tcPr>
            <w:tcW w:w="1756" w:type="dxa"/>
          </w:tcPr>
          <w:p w:rsidR="00EA40A3" w:rsidRDefault="00E86C16">
            <w:pPr>
              <w:spacing w:before="100" w:line="218" w:lineRule="auto"/>
              <w:ind w:left="180"/>
              <w:rPr>
                <w:rFonts w:ascii="宋体" w:eastAsia="宋体" w:hAnsi="宋体" w:cs="宋体"/>
                <w:sz w:val="15"/>
                <w:szCs w:val="15"/>
              </w:rPr>
            </w:pPr>
            <w:r>
              <w:rPr>
                <w:rFonts w:ascii="宋体" w:eastAsia="宋体" w:hAnsi="宋体" w:cs="宋体"/>
                <w:spacing w:val="-1"/>
                <w:sz w:val="15"/>
                <w:szCs w:val="15"/>
              </w:rPr>
              <w:t>零售物价报告</w:t>
            </w:r>
          </w:p>
        </w:tc>
        <w:tc>
          <w:tcPr>
            <w:tcW w:w="3361" w:type="dxa"/>
          </w:tcPr>
          <w:p w:rsidR="00EA40A3" w:rsidRDefault="00E86C16">
            <w:pPr>
              <w:spacing w:before="120" w:line="359" w:lineRule="exact"/>
              <w:ind w:left="313"/>
              <w:rPr>
                <w:rFonts w:ascii="宋体" w:eastAsia="宋体" w:hAnsi="宋体" w:cs="宋体"/>
                <w:sz w:val="15"/>
                <w:szCs w:val="15"/>
              </w:rPr>
            </w:pPr>
            <w:r>
              <w:rPr>
                <w:rFonts w:ascii="宋体" w:eastAsia="宋体" w:hAnsi="宋体" w:cs="宋体"/>
                <w:spacing w:val="-1"/>
                <w:position w:val="16"/>
                <w:sz w:val="15"/>
                <w:szCs w:val="15"/>
              </w:rPr>
              <w:t>食物市场售价</w:t>
            </w:r>
          </w:p>
          <w:p w:rsidR="00EA40A3" w:rsidRDefault="00E86C16">
            <w:pPr>
              <w:spacing w:line="228" w:lineRule="auto"/>
              <w:ind w:left="313"/>
              <w:rPr>
                <w:rFonts w:ascii="宋体" w:eastAsia="宋体" w:hAnsi="宋体" w:cs="宋体"/>
                <w:sz w:val="15"/>
                <w:szCs w:val="15"/>
              </w:rPr>
            </w:pPr>
            <w:r>
              <w:rPr>
                <w:rFonts w:ascii="宋体" w:eastAsia="宋体" w:hAnsi="宋体" w:cs="宋体"/>
                <w:spacing w:val="-2"/>
                <w:sz w:val="15"/>
                <w:szCs w:val="15"/>
              </w:rPr>
              <w:t>地址</w:t>
            </w:r>
          </w:p>
        </w:tc>
        <w:tc>
          <w:tcPr>
            <w:tcW w:w="2293" w:type="dxa"/>
          </w:tcPr>
          <w:p w:rsidR="00EA40A3" w:rsidRDefault="00E86C16">
            <w:pPr>
              <w:spacing w:before="112" w:line="349" w:lineRule="exact"/>
              <w:ind w:left="123"/>
              <w:rPr>
                <w:rFonts w:ascii="宋体" w:eastAsia="宋体" w:hAnsi="宋体" w:cs="宋体"/>
                <w:sz w:val="15"/>
                <w:szCs w:val="15"/>
              </w:rPr>
            </w:pPr>
            <w:r>
              <w:rPr>
                <w:rFonts w:ascii="宋体" w:eastAsia="宋体" w:hAnsi="宋体" w:cs="宋体"/>
                <w:spacing w:val="-2"/>
                <w:position w:val="15"/>
                <w:sz w:val="15"/>
                <w:szCs w:val="15"/>
              </w:rPr>
              <w:t>食物短缺</w:t>
            </w:r>
          </w:p>
          <w:p w:rsidR="00EA40A3" w:rsidRDefault="00E86C16">
            <w:pPr>
              <w:spacing w:line="218" w:lineRule="auto"/>
              <w:ind w:left="123"/>
              <w:rPr>
                <w:rFonts w:ascii="宋体" w:eastAsia="宋体" w:hAnsi="宋体" w:cs="宋体"/>
                <w:sz w:val="15"/>
                <w:szCs w:val="15"/>
              </w:rPr>
            </w:pPr>
            <w:r>
              <w:rPr>
                <w:rFonts w:ascii="宋体" w:eastAsia="宋体" w:hAnsi="宋体" w:cs="宋体"/>
                <w:spacing w:val="-2"/>
                <w:sz w:val="15"/>
                <w:szCs w:val="15"/>
              </w:rPr>
              <w:t>供应情况</w:t>
            </w:r>
          </w:p>
        </w:tc>
      </w:tr>
      <w:tr w:rsidR="00EA40A3">
        <w:trPr>
          <w:trHeight w:val="2451"/>
        </w:trPr>
        <w:tc>
          <w:tcPr>
            <w:tcW w:w="1756" w:type="dxa"/>
            <w:tcBorders>
              <w:bottom w:val="single" w:sz="4" w:space="0" w:color="000000"/>
            </w:tcBorders>
          </w:tcPr>
          <w:p w:rsidR="00EA40A3" w:rsidRDefault="00E86C16">
            <w:pPr>
              <w:spacing w:before="103" w:line="348" w:lineRule="exact"/>
              <w:ind w:left="180"/>
              <w:rPr>
                <w:rFonts w:ascii="宋体" w:eastAsia="宋体" w:hAnsi="宋体" w:cs="宋体"/>
                <w:sz w:val="15"/>
                <w:szCs w:val="15"/>
              </w:rPr>
            </w:pPr>
            <w:r>
              <w:rPr>
                <w:rFonts w:ascii="宋体" w:eastAsia="宋体" w:hAnsi="宋体" w:cs="宋体"/>
                <w:spacing w:val="-1"/>
                <w:position w:val="15"/>
                <w:sz w:val="15"/>
                <w:szCs w:val="15"/>
              </w:rPr>
              <w:t>人口调查-人口统计</w:t>
            </w:r>
          </w:p>
          <w:p w:rsidR="00EA40A3" w:rsidRDefault="00E86C16">
            <w:pPr>
              <w:spacing w:line="219" w:lineRule="auto"/>
              <w:ind w:left="180"/>
              <w:rPr>
                <w:rFonts w:ascii="宋体" w:eastAsia="宋体" w:hAnsi="宋体" w:cs="宋体"/>
                <w:sz w:val="15"/>
                <w:szCs w:val="15"/>
              </w:rPr>
            </w:pPr>
            <w:r>
              <w:rPr>
                <w:rFonts w:ascii="宋体" w:eastAsia="宋体" w:hAnsi="宋体" w:cs="宋体"/>
                <w:spacing w:val="-1"/>
                <w:sz w:val="15"/>
                <w:szCs w:val="15"/>
              </w:rPr>
              <w:t>居住条件，农业</w:t>
            </w:r>
          </w:p>
          <w:p w:rsidR="00EA40A3" w:rsidRDefault="00E86C16">
            <w:pPr>
              <w:spacing w:before="182" w:line="338" w:lineRule="exact"/>
              <w:ind w:left="180"/>
              <w:rPr>
                <w:rFonts w:ascii="宋体" w:eastAsia="宋体" w:hAnsi="宋体" w:cs="宋体"/>
                <w:sz w:val="15"/>
                <w:szCs w:val="15"/>
              </w:rPr>
            </w:pPr>
            <w:r>
              <w:rPr>
                <w:rFonts w:ascii="宋体" w:eastAsia="宋体" w:hAnsi="宋体" w:cs="宋体"/>
                <w:spacing w:val="-2"/>
                <w:position w:val="14"/>
                <w:sz w:val="15"/>
                <w:szCs w:val="15"/>
              </w:rPr>
              <w:t>家庭调查</w:t>
            </w:r>
          </w:p>
          <w:p w:rsidR="00EA40A3" w:rsidRDefault="00E86C16">
            <w:pPr>
              <w:spacing w:line="217" w:lineRule="auto"/>
              <w:ind w:left="180"/>
              <w:rPr>
                <w:rFonts w:ascii="宋体" w:eastAsia="宋体" w:hAnsi="宋体" w:cs="宋体"/>
                <w:sz w:val="15"/>
                <w:szCs w:val="15"/>
              </w:rPr>
            </w:pPr>
            <w:r>
              <w:rPr>
                <w:rFonts w:ascii="宋体" w:eastAsia="宋体" w:hAnsi="宋体" w:cs="宋体"/>
                <w:spacing w:val="-2"/>
                <w:sz w:val="15"/>
                <w:szCs w:val="15"/>
              </w:rPr>
              <w:t>农业报告</w:t>
            </w:r>
          </w:p>
          <w:p w:rsidR="00EA40A3" w:rsidRDefault="00E86C16">
            <w:pPr>
              <w:spacing w:before="163" w:line="218" w:lineRule="auto"/>
              <w:ind w:left="180"/>
              <w:rPr>
                <w:rFonts w:ascii="宋体" w:eastAsia="宋体" w:hAnsi="宋体" w:cs="宋体"/>
                <w:sz w:val="15"/>
                <w:szCs w:val="15"/>
              </w:rPr>
            </w:pPr>
            <w:r>
              <w:rPr>
                <w:rFonts w:ascii="宋体" w:eastAsia="宋体" w:hAnsi="宋体" w:cs="宋体"/>
                <w:spacing w:val="2"/>
                <w:sz w:val="15"/>
                <w:szCs w:val="15"/>
              </w:rPr>
              <w:t>乡村报告</w:t>
            </w:r>
          </w:p>
        </w:tc>
        <w:tc>
          <w:tcPr>
            <w:tcW w:w="3361" w:type="dxa"/>
            <w:tcBorders>
              <w:bottom w:val="single" w:sz="4" w:space="0" w:color="000000"/>
            </w:tcBorders>
          </w:tcPr>
          <w:p w:rsidR="00EA40A3" w:rsidRDefault="00E86C16">
            <w:pPr>
              <w:spacing w:before="92" w:line="221" w:lineRule="auto"/>
              <w:ind w:left="313"/>
              <w:rPr>
                <w:rFonts w:ascii="宋体" w:eastAsia="宋体" w:hAnsi="宋体" w:cs="宋体"/>
                <w:sz w:val="15"/>
                <w:szCs w:val="15"/>
              </w:rPr>
            </w:pPr>
            <w:r>
              <w:rPr>
                <w:rFonts w:ascii="宋体" w:eastAsia="宋体" w:hAnsi="宋体" w:cs="宋体"/>
                <w:spacing w:val="-2"/>
                <w:sz w:val="15"/>
                <w:szCs w:val="15"/>
              </w:rPr>
              <w:t>人口统计</w:t>
            </w:r>
          </w:p>
          <w:p w:rsidR="00EA40A3" w:rsidRDefault="00E86C16">
            <w:pPr>
              <w:spacing w:before="178" w:line="360" w:lineRule="exact"/>
              <w:ind w:left="313"/>
              <w:rPr>
                <w:rFonts w:ascii="宋体" w:eastAsia="宋体" w:hAnsi="宋体" w:cs="宋体"/>
                <w:sz w:val="15"/>
                <w:szCs w:val="15"/>
              </w:rPr>
            </w:pPr>
            <w:r>
              <w:rPr>
                <w:rFonts w:ascii="宋体" w:eastAsia="宋体" w:hAnsi="宋体" w:cs="宋体"/>
                <w:spacing w:val="2"/>
                <w:position w:val="16"/>
                <w:sz w:val="15"/>
                <w:szCs w:val="15"/>
              </w:rPr>
              <w:t>(社会经济，农业，环境变数)</w:t>
            </w:r>
          </w:p>
          <w:p w:rsidR="00EA40A3" w:rsidRDefault="00E86C16">
            <w:pPr>
              <w:spacing w:line="218" w:lineRule="auto"/>
              <w:ind w:left="313"/>
              <w:rPr>
                <w:rFonts w:ascii="宋体" w:eastAsia="宋体" w:hAnsi="宋体" w:cs="宋体"/>
                <w:sz w:val="15"/>
                <w:szCs w:val="15"/>
              </w:rPr>
            </w:pPr>
            <w:r>
              <w:rPr>
                <w:rFonts w:ascii="宋体" w:eastAsia="宋体" w:hAnsi="宋体" w:cs="宋体"/>
                <w:spacing w:val="-1"/>
                <w:sz w:val="15"/>
                <w:szCs w:val="15"/>
              </w:rPr>
              <w:t>社会经济变数</w:t>
            </w:r>
          </w:p>
          <w:p w:rsidR="00EA40A3" w:rsidRDefault="00E86C16">
            <w:pPr>
              <w:spacing w:before="162" w:line="340" w:lineRule="exact"/>
              <w:ind w:left="313"/>
              <w:rPr>
                <w:rFonts w:ascii="宋体" w:eastAsia="宋体" w:hAnsi="宋体" w:cs="宋体"/>
                <w:sz w:val="15"/>
                <w:szCs w:val="15"/>
              </w:rPr>
            </w:pPr>
            <w:r>
              <w:rPr>
                <w:rFonts w:ascii="宋体" w:eastAsia="宋体" w:hAnsi="宋体" w:cs="宋体"/>
                <w:spacing w:val="2"/>
                <w:position w:val="14"/>
                <w:sz w:val="15"/>
                <w:szCs w:val="15"/>
              </w:rPr>
              <w:t>农作物生产(收成、耕作面积)</w:t>
            </w:r>
          </w:p>
          <w:p w:rsidR="00EA40A3" w:rsidRDefault="00E86C16">
            <w:pPr>
              <w:spacing w:before="1" w:line="218" w:lineRule="auto"/>
              <w:ind w:left="313"/>
              <w:rPr>
                <w:rFonts w:ascii="宋体" w:eastAsia="宋体" w:hAnsi="宋体" w:cs="宋体"/>
                <w:sz w:val="15"/>
                <w:szCs w:val="15"/>
              </w:rPr>
            </w:pPr>
            <w:r>
              <w:rPr>
                <w:rFonts w:ascii="宋体" w:eastAsia="宋体" w:hAnsi="宋体" w:cs="宋体"/>
                <w:spacing w:val="-1"/>
                <w:sz w:val="15"/>
                <w:szCs w:val="15"/>
              </w:rPr>
              <w:t>服务机构、基层结构</w:t>
            </w:r>
          </w:p>
          <w:p w:rsidR="00EA40A3" w:rsidRDefault="00E86C16">
            <w:pPr>
              <w:spacing w:before="183" w:line="350" w:lineRule="exact"/>
              <w:ind w:left="313"/>
              <w:rPr>
                <w:rFonts w:ascii="宋体" w:eastAsia="宋体" w:hAnsi="宋体" w:cs="宋体"/>
                <w:sz w:val="15"/>
                <w:szCs w:val="15"/>
              </w:rPr>
            </w:pPr>
            <w:r>
              <w:rPr>
                <w:rFonts w:ascii="宋体" w:eastAsia="宋体" w:hAnsi="宋体" w:cs="宋体"/>
                <w:spacing w:val="-2"/>
                <w:position w:val="15"/>
                <w:sz w:val="15"/>
                <w:szCs w:val="15"/>
              </w:rPr>
              <w:t>卫生环境</w:t>
            </w:r>
          </w:p>
          <w:p w:rsidR="00EA40A3" w:rsidRDefault="00E86C16">
            <w:pPr>
              <w:spacing w:line="219" w:lineRule="auto"/>
              <w:ind w:left="313"/>
              <w:rPr>
                <w:rFonts w:ascii="宋体" w:eastAsia="宋体" w:hAnsi="宋体" w:cs="宋体"/>
                <w:sz w:val="15"/>
                <w:szCs w:val="15"/>
              </w:rPr>
            </w:pPr>
            <w:r>
              <w:rPr>
                <w:rFonts w:ascii="宋体" w:eastAsia="宋体" w:hAnsi="宋体" w:cs="宋体"/>
                <w:spacing w:val="-1"/>
                <w:sz w:val="15"/>
                <w:szCs w:val="15"/>
              </w:rPr>
              <w:t>距离数据</w:t>
            </w:r>
          </w:p>
        </w:tc>
        <w:tc>
          <w:tcPr>
            <w:tcW w:w="2293" w:type="dxa"/>
            <w:tcBorders>
              <w:bottom w:val="single" w:sz="4" w:space="0" w:color="000000"/>
            </w:tcBorders>
          </w:tcPr>
          <w:p w:rsidR="00EA40A3" w:rsidRDefault="00EA40A3">
            <w:pPr>
              <w:spacing w:line="252" w:lineRule="auto"/>
            </w:pPr>
          </w:p>
          <w:p w:rsidR="00EA40A3" w:rsidRDefault="00EA40A3">
            <w:pPr>
              <w:spacing w:line="253" w:lineRule="auto"/>
            </w:pPr>
          </w:p>
          <w:p w:rsidR="00EA40A3" w:rsidRDefault="00EA40A3">
            <w:pPr>
              <w:spacing w:line="253" w:lineRule="auto"/>
            </w:pPr>
          </w:p>
          <w:p w:rsidR="00EA40A3" w:rsidRDefault="00E86C16">
            <w:pPr>
              <w:spacing w:before="49" w:line="341" w:lineRule="exact"/>
              <w:ind w:left="123"/>
              <w:rPr>
                <w:rFonts w:ascii="宋体" w:eastAsia="宋体" w:hAnsi="宋体" w:cs="宋体"/>
                <w:sz w:val="15"/>
                <w:szCs w:val="15"/>
              </w:rPr>
            </w:pPr>
            <w:r>
              <w:rPr>
                <w:rFonts w:ascii="宋体" w:eastAsia="宋体" w:hAnsi="宋体" w:cs="宋体"/>
                <w:spacing w:val="-1"/>
                <w:position w:val="14"/>
                <w:sz w:val="15"/>
                <w:szCs w:val="15"/>
              </w:rPr>
              <w:t>体重、身高、年龄</w:t>
            </w:r>
          </w:p>
          <w:p w:rsidR="00EA40A3" w:rsidRDefault="00E86C16">
            <w:pPr>
              <w:spacing w:line="220" w:lineRule="auto"/>
              <w:ind w:left="123"/>
              <w:rPr>
                <w:rFonts w:ascii="宋体" w:eastAsia="宋体" w:hAnsi="宋体" w:cs="宋体"/>
                <w:sz w:val="15"/>
                <w:szCs w:val="15"/>
              </w:rPr>
            </w:pPr>
            <w:r>
              <w:rPr>
                <w:rFonts w:ascii="宋体" w:eastAsia="宋体" w:hAnsi="宋体" w:cs="宋体"/>
                <w:spacing w:val="-2"/>
                <w:sz w:val="15"/>
                <w:szCs w:val="15"/>
              </w:rPr>
              <w:t>农业资源</w:t>
            </w:r>
          </w:p>
        </w:tc>
      </w:tr>
    </w:tbl>
    <w:p w:rsidR="00EA40A3" w:rsidRDefault="00EA40A3"/>
    <w:p w:rsidR="00EA40A3" w:rsidRDefault="00EA40A3">
      <w:pPr>
        <w:sectPr w:rsidR="00EA40A3">
          <w:footerReference w:type="default" r:id="rId315"/>
          <w:pgSz w:w="9220" w:h="13360"/>
          <w:pgMar w:top="400" w:right="950" w:bottom="1284" w:left="809" w:header="0" w:footer="1051" w:gutter="0"/>
          <w:cols w:space="720"/>
        </w:sectPr>
      </w:pPr>
    </w:p>
    <w:p w:rsidR="00EA40A3" w:rsidRDefault="00EA40A3">
      <w:pPr>
        <w:spacing w:line="88" w:lineRule="exact"/>
      </w:pPr>
    </w:p>
    <w:p w:rsidR="00EA40A3" w:rsidRDefault="00EA40A3">
      <w:pPr>
        <w:sectPr w:rsidR="00EA40A3">
          <w:headerReference w:type="default" r:id="rId316"/>
          <w:footerReference w:type="default" r:id="rId317"/>
          <w:pgSz w:w="9220" w:h="13360"/>
          <w:pgMar w:top="1314" w:right="950" w:bottom="1216" w:left="840" w:header="1048" w:footer="995" w:gutter="0"/>
          <w:cols w:space="720" w:equalWidth="0">
            <w:col w:w="7430"/>
          </w:cols>
        </w:sectPr>
      </w:pPr>
    </w:p>
    <w:p w:rsidR="00EA40A3" w:rsidRDefault="00E86C16">
      <w:pPr>
        <w:spacing w:before="152" w:line="222" w:lineRule="auto"/>
        <w:ind w:left="699"/>
        <w:rPr>
          <w:rFonts w:ascii="宋体" w:eastAsia="宋体" w:hAnsi="宋体" w:cs="宋体"/>
          <w:sz w:val="16"/>
          <w:szCs w:val="16"/>
        </w:rPr>
      </w:pPr>
      <w:bookmarkStart w:id="96" w:name="_bookmark100"/>
      <w:bookmarkEnd w:id="96"/>
      <w:r>
        <w:rPr>
          <w:rFonts w:ascii="宋体" w:eastAsia="宋体" w:hAnsi="宋体" w:cs="宋体"/>
          <w:spacing w:val="-4"/>
          <w:sz w:val="16"/>
          <w:szCs w:val="16"/>
        </w:rPr>
        <w:t>来</w:t>
      </w:r>
      <w:r>
        <w:rPr>
          <w:rFonts w:ascii="宋体" w:eastAsia="宋体" w:hAnsi="宋体" w:cs="宋体"/>
          <w:spacing w:val="10"/>
          <w:sz w:val="16"/>
          <w:szCs w:val="16"/>
        </w:rPr>
        <w:t xml:space="preserve">    </w:t>
      </w:r>
      <w:r>
        <w:rPr>
          <w:rFonts w:ascii="宋体" w:eastAsia="宋体" w:hAnsi="宋体" w:cs="宋体"/>
          <w:spacing w:val="-4"/>
          <w:sz w:val="16"/>
          <w:szCs w:val="16"/>
        </w:rPr>
        <w:t>源</w:t>
      </w:r>
    </w:p>
    <w:p w:rsidR="00EA40A3" w:rsidRDefault="00E86C16">
      <w:pPr>
        <w:spacing w:line="14" w:lineRule="auto"/>
        <w:rPr>
          <w:sz w:val="2"/>
        </w:rPr>
      </w:pPr>
      <w:r>
        <w:rPr>
          <w:sz w:val="2"/>
          <w:szCs w:val="2"/>
        </w:rPr>
        <w:br w:type="column"/>
      </w:r>
    </w:p>
    <w:p w:rsidR="00EA40A3" w:rsidRDefault="00EA40A3">
      <w:pPr>
        <w:spacing w:line="288" w:lineRule="auto"/>
      </w:pPr>
    </w:p>
    <w:p w:rsidR="00EA40A3" w:rsidRDefault="00E86C16">
      <w:pPr>
        <w:spacing w:before="52" w:line="185" w:lineRule="auto"/>
        <w:rPr>
          <w:rFonts w:ascii="宋体" w:eastAsia="宋体" w:hAnsi="宋体" w:cs="宋体"/>
          <w:sz w:val="16"/>
          <w:szCs w:val="16"/>
        </w:rPr>
      </w:pPr>
      <w:r>
        <w:rPr>
          <w:rFonts w:ascii="宋体" w:eastAsia="宋体" w:hAnsi="宋体" w:cs="宋体"/>
          <w:spacing w:val="4"/>
          <w:sz w:val="16"/>
          <w:szCs w:val="16"/>
        </w:rPr>
        <w:t>实际的</w:t>
      </w:r>
    </w:p>
    <w:p w:rsidR="00EA40A3" w:rsidRDefault="00E86C16">
      <w:pPr>
        <w:spacing w:line="14" w:lineRule="auto"/>
        <w:rPr>
          <w:sz w:val="2"/>
        </w:rPr>
      </w:pPr>
      <w:r>
        <w:rPr>
          <w:sz w:val="2"/>
          <w:szCs w:val="2"/>
        </w:rPr>
        <w:br w:type="column"/>
      </w:r>
    </w:p>
    <w:p w:rsidR="00EA40A3" w:rsidRDefault="00E86C16">
      <w:pPr>
        <w:spacing w:before="30" w:line="221" w:lineRule="auto"/>
        <w:rPr>
          <w:rFonts w:ascii="宋体" w:eastAsia="宋体" w:hAnsi="宋体" w:cs="宋体"/>
          <w:sz w:val="16"/>
          <w:szCs w:val="16"/>
        </w:rPr>
      </w:pPr>
      <w:r>
        <w:rPr>
          <w:rFonts w:ascii="宋体" w:eastAsia="宋体" w:hAnsi="宋体" w:cs="宋体"/>
          <w:spacing w:val="-4"/>
          <w:sz w:val="16"/>
          <w:szCs w:val="16"/>
        </w:rPr>
        <w:t>变</w:t>
      </w:r>
      <w:r>
        <w:rPr>
          <w:rFonts w:ascii="宋体" w:eastAsia="宋体" w:hAnsi="宋体" w:cs="宋体"/>
          <w:spacing w:val="18"/>
          <w:sz w:val="16"/>
          <w:szCs w:val="16"/>
        </w:rPr>
        <w:t xml:space="preserve">   </w:t>
      </w:r>
      <w:r>
        <w:rPr>
          <w:rFonts w:ascii="宋体" w:eastAsia="宋体" w:hAnsi="宋体" w:cs="宋体"/>
          <w:spacing w:val="-4"/>
          <w:sz w:val="16"/>
          <w:szCs w:val="16"/>
        </w:rPr>
        <w:t>数</w:t>
      </w:r>
    </w:p>
    <w:p w:rsidR="00EA40A3" w:rsidRDefault="00E86C16">
      <w:pPr>
        <w:spacing w:before="120" w:line="184" w:lineRule="auto"/>
        <w:ind w:left="1630"/>
        <w:rPr>
          <w:rFonts w:ascii="宋体" w:eastAsia="宋体" w:hAnsi="宋体" w:cs="宋体"/>
          <w:sz w:val="16"/>
          <w:szCs w:val="16"/>
        </w:rPr>
      </w:pPr>
      <w:r>
        <w:rPr>
          <w:rFonts w:ascii="宋体" w:eastAsia="宋体" w:hAnsi="宋体" w:cs="宋体"/>
          <w:spacing w:val="-2"/>
          <w:sz w:val="16"/>
          <w:szCs w:val="16"/>
        </w:rPr>
        <w:t>可能的</w:t>
      </w:r>
    </w:p>
    <w:p w:rsidR="00EA40A3" w:rsidRDefault="00EA40A3">
      <w:pPr>
        <w:sectPr w:rsidR="00EA40A3">
          <w:type w:val="continuous"/>
          <w:pgSz w:w="9220" w:h="13360"/>
          <w:pgMar w:top="1314" w:right="950" w:bottom="1216" w:left="840" w:header="1048" w:footer="995" w:gutter="0"/>
          <w:cols w:num="3" w:space="720" w:equalWidth="0">
            <w:col w:w="3260" w:space="100"/>
            <w:col w:w="961" w:space="100"/>
            <w:col w:w="3010"/>
          </w:cols>
        </w:sectPr>
      </w:pPr>
    </w:p>
    <w:p w:rsidR="00EA40A3" w:rsidRDefault="00EA40A3">
      <w:pPr>
        <w:spacing w:line="37" w:lineRule="exact"/>
      </w:pPr>
    </w:p>
    <w:tbl>
      <w:tblPr>
        <w:tblStyle w:val="TableNormal"/>
        <w:tblW w:w="7349" w:type="dxa"/>
        <w:tblInd w:w="7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40"/>
        <w:gridCol w:w="2162"/>
        <w:gridCol w:w="3347"/>
      </w:tblGrid>
      <w:tr w:rsidR="00EA40A3">
        <w:trPr>
          <w:trHeight w:val="316"/>
        </w:trPr>
        <w:tc>
          <w:tcPr>
            <w:tcW w:w="1840" w:type="dxa"/>
            <w:tcBorders>
              <w:top w:val="single" w:sz="4" w:space="0" w:color="000000"/>
            </w:tcBorders>
          </w:tcPr>
          <w:p w:rsidR="00EA40A3" w:rsidRDefault="00E86C16">
            <w:pPr>
              <w:spacing w:before="81" w:line="219" w:lineRule="auto"/>
              <w:ind w:left="200"/>
              <w:rPr>
                <w:rFonts w:ascii="宋体" w:eastAsia="宋体" w:hAnsi="宋体" w:cs="宋体"/>
                <w:sz w:val="16"/>
                <w:szCs w:val="16"/>
              </w:rPr>
            </w:pPr>
            <w:r>
              <w:rPr>
                <w:rFonts w:ascii="宋体" w:eastAsia="宋体" w:hAnsi="宋体" w:cs="宋体"/>
                <w:spacing w:val="-3"/>
                <w:sz w:val="16"/>
                <w:szCs w:val="16"/>
              </w:rPr>
              <w:t>劳动部</w:t>
            </w:r>
            <w:r>
              <w:rPr>
                <w:rFonts w:ascii="宋体" w:eastAsia="宋体" w:hAnsi="宋体" w:cs="宋体"/>
                <w:spacing w:val="22"/>
                <w:sz w:val="16"/>
                <w:szCs w:val="16"/>
              </w:rPr>
              <w:t xml:space="preserve">  </w:t>
            </w:r>
            <w:r>
              <w:rPr>
                <w:rFonts w:ascii="宋体" w:eastAsia="宋体" w:hAnsi="宋体" w:cs="宋体"/>
                <w:spacing w:val="-3"/>
                <w:sz w:val="16"/>
                <w:szCs w:val="16"/>
              </w:rPr>
              <w:t>劳动力调查</w:t>
            </w:r>
          </w:p>
        </w:tc>
        <w:tc>
          <w:tcPr>
            <w:tcW w:w="2162" w:type="dxa"/>
            <w:tcBorders>
              <w:top w:val="single" w:sz="4" w:space="0" w:color="000000"/>
            </w:tcBorders>
          </w:tcPr>
          <w:p w:rsidR="00EA40A3" w:rsidRDefault="00E86C16">
            <w:pPr>
              <w:spacing w:before="81" w:line="219" w:lineRule="auto"/>
              <w:ind w:left="200"/>
              <w:rPr>
                <w:rFonts w:ascii="宋体" w:eastAsia="宋体" w:hAnsi="宋体" w:cs="宋体"/>
                <w:sz w:val="16"/>
                <w:szCs w:val="16"/>
              </w:rPr>
            </w:pPr>
            <w:r>
              <w:rPr>
                <w:rFonts w:ascii="宋体" w:eastAsia="宋体" w:hAnsi="宋体" w:cs="宋体"/>
                <w:spacing w:val="-2"/>
                <w:sz w:val="16"/>
                <w:szCs w:val="16"/>
              </w:rPr>
              <w:t>最低工资值</w:t>
            </w:r>
          </w:p>
        </w:tc>
        <w:tc>
          <w:tcPr>
            <w:tcW w:w="3347" w:type="dxa"/>
            <w:tcBorders>
              <w:top w:val="single" w:sz="4" w:space="0" w:color="000000"/>
            </w:tcBorders>
          </w:tcPr>
          <w:p w:rsidR="00EA40A3" w:rsidRDefault="00EA40A3"/>
        </w:tc>
      </w:tr>
      <w:tr w:rsidR="00EA40A3">
        <w:trPr>
          <w:trHeight w:val="312"/>
        </w:trPr>
        <w:tc>
          <w:tcPr>
            <w:tcW w:w="1840" w:type="dxa"/>
          </w:tcPr>
          <w:p w:rsidR="00EA40A3" w:rsidRDefault="00E86C16">
            <w:pPr>
              <w:spacing w:before="85" w:line="219" w:lineRule="auto"/>
              <w:ind w:left="150"/>
              <w:rPr>
                <w:rFonts w:ascii="宋体" w:eastAsia="宋体" w:hAnsi="宋体" w:cs="宋体"/>
                <w:sz w:val="16"/>
                <w:szCs w:val="16"/>
              </w:rPr>
            </w:pPr>
            <w:r>
              <w:rPr>
                <w:rFonts w:ascii="宋体" w:eastAsia="宋体" w:hAnsi="宋体" w:cs="宋体"/>
                <w:spacing w:val="-2"/>
                <w:sz w:val="16"/>
                <w:szCs w:val="16"/>
              </w:rPr>
              <w:t>非特定来源</w:t>
            </w:r>
          </w:p>
        </w:tc>
        <w:tc>
          <w:tcPr>
            <w:tcW w:w="2162" w:type="dxa"/>
          </w:tcPr>
          <w:p w:rsidR="00EA40A3" w:rsidRDefault="00E86C16">
            <w:pPr>
              <w:spacing w:before="85" w:line="219" w:lineRule="auto"/>
              <w:ind w:left="190"/>
              <w:rPr>
                <w:rFonts w:ascii="宋体" w:eastAsia="宋体" w:hAnsi="宋体" w:cs="宋体"/>
                <w:sz w:val="16"/>
                <w:szCs w:val="16"/>
              </w:rPr>
            </w:pPr>
            <w:r>
              <w:rPr>
                <w:rFonts w:ascii="宋体" w:eastAsia="宋体" w:hAnsi="宋体" w:cs="宋体"/>
                <w:spacing w:val="-2"/>
                <w:sz w:val="16"/>
                <w:szCs w:val="16"/>
              </w:rPr>
              <w:t>实际工资值</w:t>
            </w:r>
          </w:p>
        </w:tc>
        <w:tc>
          <w:tcPr>
            <w:tcW w:w="3347" w:type="dxa"/>
          </w:tcPr>
          <w:p w:rsidR="00EA40A3" w:rsidRDefault="00E86C16">
            <w:pPr>
              <w:spacing w:before="84" w:line="219" w:lineRule="auto"/>
              <w:ind w:left="1178"/>
              <w:rPr>
                <w:rFonts w:ascii="宋体" w:eastAsia="宋体" w:hAnsi="宋体" w:cs="宋体"/>
                <w:sz w:val="16"/>
                <w:szCs w:val="16"/>
              </w:rPr>
            </w:pPr>
            <w:r>
              <w:rPr>
                <w:rFonts w:ascii="宋体" w:eastAsia="宋体" w:hAnsi="宋体" w:cs="宋体"/>
                <w:spacing w:val="8"/>
                <w:sz w:val="16"/>
                <w:szCs w:val="16"/>
              </w:rPr>
              <w:t>服务机构、基层结构、</w:t>
            </w:r>
          </w:p>
        </w:tc>
      </w:tr>
      <w:tr w:rsidR="00EA40A3">
        <w:trPr>
          <w:trHeight w:val="312"/>
        </w:trPr>
        <w:tc>
          <w:tcPr>
            <w:tcW w:w="1840" w:type="dxa"/>
            <w:tcBorders>
              <w:bottom w:val="single" w:sz="4" w:space="0" w:color="000000"/>
            </w:tcBorders>
          </w:tcPr>
          <w:p w:rsidR="00EA40A3" w:rsidRDefault="00E86C16">
            <w:pPr>
              <w:spacing w:before="83" w:line="219" w:lineRule="auto"/>
              <w:ind w:left="150"/>
              <w:rPr>
                <w:rFonts w:ascii="宋体" w:eastAsia="宋体" w:hAnsi="宋体" w:cs="宋体"/>
                <w:sz w:val="16"/>
                <w:szCs w:val="16"/>
              </w:rPr>
            </w:pPr>
            <w:r>
              <w:rPr>
                <w:rFonts w:ascii="宋体" w:eastAsia="宋体" w:hAnsi="宋体" w:cs="宋体"/>
                <w:spacing w:val="3"/>
                <w:sz w:val="16"/>
                <w:szCs w:val="16"/>
              </w:rPr>
              <w:t>(即上述任何一种)</w:t>
            </w:r>
          </w:p>
        </w:tc>
        <w:tc>
          <w:tcPr>
            <w:tcW w:w="2162" w:type="dxa"/>
            <w:tcBorders>
              <w:bottom w:val="single" w:sz="4" w:space="0" w:color="000000"/>
            </w:tcBorders>
          </w:tcPr>
          <w:p w:rsidR="00EA40A3" w:rsidRDefault="00EA40A3"/>
        </w:tc>
        <w:tc>
          <w:tcPr>
            <w:tcW w:w="3347" w:type="dxa"/>
            <w:tcBorders>
              <w:bottom w:val="single" w:sz="4" w:space="0" w:color="000000"/>
            </w:tcBorders>
          </w:tcPr>
          <w:p w:rsidR="00EA40A3" w:rsidRDefault="00E86C16">
            <w:pPr>
              <w:spacing w:before="83" w:line="219" w:lineRule="auto"/>
              <w:ind w:left="1188"/>
              <w:rPr>
                <w:rFonts w:ascii="宋体" w:eastAsia="宋体" w:hAnsi="宋体" w:cs="宋体"/>
                <w:sz w:val="16"/>
                <w:szCs w:val="16"/>
              </w:rPr>
            </w:pPr>
            <w:r>
              <w:rPr>
                <w:rFonts w:ascii="宋体" w:eastAsia="宋体" w:hAnsi="宋体" w:cs="宋体"/>
                <w:spacing w:val="-1"/>
                <w:sz w:val="16"/>
                <w:szCs w:val="16"/>
              </w:rPr>
              <w:t>卫生环境、距离数据</w:t>
            </w:r>
          </w:p>
        </w:tc>
      </w:tr>
    </w:tbl>
    <w:p w:rsidR="00EA40A3" w:rsidRDefault="00E86C16">
      <w:pPr>
        <w:spacing w:before="100" w:line="218" w:lineRule="auto"/>
        <w:ind w:left="409"/>
        <w:rPr>
          <w:rFonts w:ascii="宋体" w:eastAsia="宋体" w:hAnsi="宋体" w:cs="宋体"/>
          <w:sz w:val="17"/>
          <w:szCs w:val="17"/>
        </w:rPr>
      </w:pPr>
      <w:r>
        <w:rPr>
          <w:rFonts w:ascii="宋体" w:eastAsia="宋体" w:hAnsi="宋体" w:cs="宋体"/>
          <w:spacing w:val="-15"/>
          <w:sz w:val="17"/>
          <w:szCs w:val="17"/>
        </w:rPr>
        <w:t>资料来源：</w:t>
      </w:r>
      <w:r>
        <w:rPr>
          <w:rFonts w:ascii="宋体" w:eastAsia="宋体" w:hAnsi="宋体" w:cs="宋体"/>
          <w:spacing w:val="-45"/>
          <w:sz w:val="17"/>
          <w:szCs w:val="17"/>
        </w:rPr>
        <w:t xml:space="preserve"> </w:t>
      </w:r>
      <w:r>
        <w:rPr>
          <w:rFonts w:ascii="宋体" w:eastAsia="宋体" w:hAnsi="宋体" w:cs="宋体"/>
          <w:spacing w:val="-14"/>
          <w:sz w:val="17"/>
          <w:szCs w:val="17"/>
        </w:rPr>
        <w:t>John</w:t>
      </w:r>
      <w:r>
        <w:rPr>
          <w:rFonts w:ascii="宋体" w:eastAsia="宋体" w:hAnsi="宋体" w:cs="宋体"/>
          <w:spacing w:val="-11"/>
          <w:sz w:val="17"/>
          <w:szCs w:val="17"/>
        </w:rPr>
        <w:t xml:space="preserve"> </w:t>
      </w:r>
      <w:r>
        <w:rPr>
          <w:rFonts w:ascii="宋体" w:eastAsia="宋体" w:hAnsi="宋体" w:cs="宋体"/>
          <w:spacing w:val="-14"/>
          <w:sz w:val="17"/>
          <w:szCs w:val="17"/>
        </w:rPr>
        <w:t>B</w:t>
      </w:r>
      <w:r>
        <w:rPr>
          <w:rFonts w:ascii="宋体" w:eastAsia="宋体" w:hAnsi="宋体" w:cs="宋体"/>
          <w:spacing w:val="-11"/>
          <w:sz w:val="17"/>
          <w:szCs w:val="17"/>
        </w:rPr>
        <w:t xml:space="preserve"> </w:t>
      </w:r>
      <w:r>
        <w:rPr>
          <w:rFonts w:ascii="宋体" w:eastAsia="宋体" w:hAnsi="宋体" w:cs="宋体"/>
          <w:spacing w:val="-14"/>
          <w:sz w:val="17"/>
          <w:szCs w:val="17"/>
        </w:rPr>
        <w:t>Mason</w:t>
      </w:r>
      <w:r>
        <w:rPr>
          <w:rFonts w:ascii="宋体" w:eastAsia="宋体" w:hAnsi="宋体" w:cs="宋体"/>
          <w:spacing w:val="-4"/>
          <w:sz w:val="17"/>
          <w:szCs w:val="17"/>
        </w:rPr>
        <w:t xml:space="preserve"> </w:t>
      </w:r>
      <w:r>
        <w:rPr>
          <w:rFonts w:ascii="宋体" w:eastAsia="宋体" w:hAnsi="宋体" w:cs="宋体"/>
          <w:spacing w:val="-14"/>
          <w:sz w:val="17"/>
          <w:szCs w:val="17"/>
        </w:rPr>
        <w:t>et</w:t>
      </w:r>
      <w:r>
        <w:rPr>
          <w:rFonts w:ascii="宋体" w:eastAsia="宋体" w:hAnsi="宋体" w:cs="宋体"/>
          <w:spacing w:val="-6"/>
          <w:sz w:val="17"/>
          <w:szCs w:val="17"/>
        </w:rPr>
        <w:t xml:space="preserve"> </w:t>
      </w:r>
      <w:r>
        <w:rPr>
          <w:rFonts w:ascii="宋体" w:eastAsia="宋体" w:hAnsi="宋体" w:cs="宋体"/>
          <w:spacing w:val="-14"/>
          <w:sz w:val="17"/>
          <w:szCs w:val="17"/>
        </w:rPr>
        <w:t>al</w:t>
      </w:r>
      <w:r>
        <w:rPr>
          <w:rFonts w:ascii="宋体" w:eastAsia="宋体" w:hAnsi="宋体" w:cs="宋体"/>
          <w:spacing w:val="-15"/>
          <w:sz w:val="17"/>
          <w:szCs w:val="17"/>
        </w:rPr>
        <w:t>.</w:t>
      </w:r>
      <w:r>
        <w:rPr>
          <w:rFonts w:ascii="宋体" w:eastAsia="宋体" w:hAnsi="宋体" w:cs="宋体"/>
          <w:spacing w:val="3"/>
          <w:sz w:val="17"/>
          <w:szCs w:val="17"/>
        </w:rPr>
        <w:t xml:space="preserve"> </w:t>
      </w:r>
      <w:r>
        <w:rPr>
          <w:rFonts w:ascii="宋体" w:eastAsia="宋体" w:hAnsi="宋体" w:cs="宋体"/>
          <w:spacing w:val="-15"/>
          <w:sz w:val="17"/>
          <w:szCs w:val="17"/>
        </w:rPr>
        <w:t>1994.</w:t>
      </w:r>
      <w:r>
        <w:rPr>
          <w:rFonts w:ascii="宋体" w:eastAsia="宋体" w:hAnsi="宋体" w:cs="宋体"/>
          <w:spacing w:val="-11"/>
          <w:sz w:val="17"/>
          <w:szCs w:val="17"/>
        </w:rPr>
        <w:t xml:space="preserve"> </w:t>
      </w:r>
      <w:r>
        <w:rPr>
          <w:rFonts w:ascii="宋体" w:eastAsia="宋体" w:hAnsi="宋体" w:cs="宋体"/>
          <w:spacing w:val="-14"/>
          <w:sz w:val="17"/>
          <w:szCs w:val="17"/>
        </w:rPr>
        <w:t>Nutritional</w:t>
      </w:r>
      <w:r>
        <w:rPr>
          <w:rFonts w:ascii="宋体" w:eastAsia="宋体" w:hAnsi="宋体" w:cs="宋体"/>
          <w:spacing w:val="-1"/>
          <w:sz w:val="17"/>
          <w:szCs w:val="17"/>
        </w:rPr>
        <w:t xml:space="preserve"> </w:t>
      </w:r>
      <w:r>
        <w:rPr>
          <w:rFonts w:ascii="宋体" w:eastAsia="宋体" w:hAnsi="宋体" w:cs="宋体"/>
          <w:spacing w:val="-14"/>
          <w:sz w:val="17"/>
          <w:szCs w:val="17"/>
        </w:rPr>
        <w:t>surveill</w:t>
      </w:r>
      <w:r>
        <w:rPr>
          <w:rFonts w:ascii="宋体" w:eastAsia="宋体" w:hAnsi="宋体" w:cs="宋体"/>
          <w:spacing w:val="-15"/>
          <w:sz w:val="17"/>
          <w:szCs w:val="17"/>
        </w:rPr>
        <w:t>ance.</w:t>
      </w:r>
      <w:r>
        <w:rPr>
          <w:rFonts w:ascii="宋体" w:eastAsia="宋体" w:hAnsi="宋体" w:cs="宋体"/>
          <w:spacing w:val="-11"/>
          <w:sz w:val="17"/>
          <w:szCs w:val="17"/>
        </w:rPr>
        <w:t xml:space="preserve"> </w:t>
      </w:r>
      <w:r>
        <w:rPr>
          <w:rFonts w:ascii="宋体" w:eastAsia="宋体" w:hAnsi="宋体" w:cs="宋体"/>
          <w:spacing w:val="-15"/>
          <w:sz w:val="17"/>
          <w:szCs w:val="17"/>
        </w:rPr>
        <w:t>WHO</w:t>
      </w:r>
    </w:p>
    <w:p w:rsidR="00EA40A3" w:rsidRDefault="00EA40A3">
      <w:pPr>
        <w:spacing w:line="320" w:lineRule="auto"/>
      </w:pPr>
    </w:p>
    <w:p w:rsidR="00EA40A3" w:rsidRDefault="00E86C16">
      <w:pPr>
        <w:spacing w:before="65" w:line="221" w:lineRule="auto"/>
        <w:ind w:left="2112"/>
        <w:rPr>
          <w:rFonts w:ascii="黑体" w:eastAsia="黑体" w:hAnsi="黑体" w:cs="黑体"/>
          <w:sz w:val="20"/>
          <w:szCs w:val="20"/>
        </w:rPr>
      </w:pPr>
      <w:r>
        <w:rPr>
          <w:rFonts w:ascii="黑体" w:eastAsia="黑体" w:hAnsi="黑体" w:cs="黑体"/>
          <w:b/>
          <w:bCs/>
          <w:spacing w:val="-18"/>
          <w:sz w:val="20"/>
          <w:szCs w:val="20"/>
        </w:rPr>
        <w:t>表12-2</w:t>
      </w:r>
      <w:r>
        <w:rPr>
          <w:rFonts w:ascii="黑体" w:eastAsia="黑体" w:hAnsi="黑体" w:cs="黑体"/>
          <w:spacing w:val="53"/>
          <w:sz w:val="20"/>
          <w:szCs w:val="20"/>
        </w:rPr>
        <w:t xml:space="preserve"> </w:t>
      </w:r>
      <w:r>
        <w:rPr>
          <w:rFonts w:ascii="黑体" w:eastAsia="黑体" w:hAnsi="黑体" w:cs="黑体"/>
          <w:b/>
          <w:bCs/>
          <w:spacing w:val="-18"/>
          <w:sz w:val="20"/>
          <w:szCs w:val="20"/>
        </w:rPr>
        <w:t>某些营养监测系统所用资料来源</w:t>
      </w:r>
    </w:p>
    <w:p w:rsidR="00EA40A3" w:rsidRDefault="00EA40A3">
      <w:pPr>
        <w:spacing w:line="22" w:lineRule="exact"/>
      </w:pPr>
    </w:p>
    <w:tbl>
      <w:tblPr>
        <w:tblStyle w:val="TableNormal"/>
        <w:tblW w:w="7360"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0"/>
        <w:gridCol w:w="923"/>
        <w:gridCol w:w="557"/>
        <w:gridCol w:w="780"/>
        <w:gridCol w:w="580"/>
        <w:gridCol w:w="584"/>
        <w:gridCol w:w="1393"/>
        <w:gridCol w:w="733"/>
        <w:gridCol w:w="870"/>
      </w:tblGrid>
      <w:tr w:rsidR="00EA40A3">
        <w:trPr>
          <w:trHeight w:val="713"/>
        </w:trPr>
        <w:tc>
          <w:tcPr>
            <w:tcW w:w="940" w:type="dxa"/>
            <w:tcBorders>
              <w:left w:val="nil"/>
              <w:right w:val="nil"/>
            </w:tcBorders>
          </w:tcPr>
          <w:p w:rsidR="00EA40A3" w:rsidRDefault="00E86C16">
            <w:pPr>
              <w:spacing w:before="282" w:line="220" w:lineRule="auto"/>
              <w:ind w:left="410"/>
              <w:rPr>
                <w:rFonts w:ascii="宋体" w:eastAsia="宋体" w:hAnsi="宋体" w:cs="宋体"/>
                <w:sz w:val="16"/>
                <w:szCs w:val="16"/>
              </w:rPr>
            </w:pPr>
            <w:r>
              <w:rPr>
                <w:rFonts w:ascii="宋体" w:eastAsia="宋体" w:hAnsi="宋体" w:cs="宋体"/>
                <w:spacing w:val="6"/>
                <w:sz w:val="16"/>
                <w:szCs w:val="16"/>
              </w:rPr>
              <w:t>国别</w:t>
            </w:r>
          </w:p>
        </w:tc>
        <w:tc>
          <w:tcPr>
            <w:tcW w:w="923" w:type="dxa"/>
            <w:tcBorders>
              <w:left w:val="nil"/>
              <w:right w:val="nil"/>
            </w:tcBorders>
          </w:tcPr>
          <w:p w:rsidR="00EA40A3" w:rsidRDefault="00E86C16">
            <w:pPr>
              <w:spacing w:before="200" w:line="255" w:lineRule="auto"/>
              <w:ind w:left="189" w:right="139" w:hanging="119"/>
              <w:rPr>
                <w:rFonts w:ascii="宋体" w:eastAsia="宋体" w:hAnsi="宋体" w:cs="宋体"/>
                <w:sz w:val="16"/>
                <w:szCs w:val="16"/>
              </w:rPr>
            </w:pPr>
            <w:r>
              <w:rPr>
                <w:rFonts w:ascii="宋体" w:eastAsia="宋体" w:hAnsi="宋体" w:cs="宋体"/>
                <w:spacing w:val="-2"/>
                <w:sz w:val="16"/>
                <w:szCs w:val="16"/>
              </w:rPr>
              <w:t>诊所/医务</w:t>
            </w:r>
            <w:r>
              <w:rPr>
                <w:rFonts w:ascii="宋体" w:eastAsia="宋体" w:hAnsi="宋体" w:cs="宋体"/>
                <w:spacing w:val="2"/>
                <w:sz w:val="16"/>
                <w:szCs w:val="16"/>
              </w:rPr>
              <w:t xml:space="preserve"> </w:t>
            </w:r>
            <w:r>
              <w:rPr>
                <w:rFonts w:ascii="宋体" w:eastAsia="宋体" w:hAnsi="宋体" w:cs="宋体"/>
                <w:spacing w:val="-2"/>
                <w:sz w:val="16"/>
                <w:szCs w:val="16"/>
              </w:rPr>
              <w:t>工作者</w:t>
            </w:r>
          </w:p>
        </w:tc>
        <w:tc>
          <w:tcPr>
            <w:tcW w:w="557" w:type="dxa"/>
            <w:tcBorders>
              <w:left w:val="nil"/>
              <w:right w:val="nil"/>
            </w:tcBorders>
          </w:tcPr>
          <w:p w:rsidR="00EA40A3" w:rsidRDefault="00E86C16">
            <w:pPr>
              <w:spacing w:before="282" w:line="220" w:lineRule="auto"/>
              <w:ind w:left="187"/>
              <w:rPr>
                <w:rFonts w:ascii="宋体" w:eastAsia="宋体" w:hAnsi="宋体" w:cs="宋体"/>
                <w:sz w:val="16"/>
                <w:szCs w:val="16"/>
              </w:rPr>
            </w:pPr>
            <w:r>
              <w:rPr>
                <w:rFonts w:ascii="宋体" w:eastAsia="宋体" w:hAnsi="宋体" w:cs="宋体"/>
                <w:spacing w:val="-3"/>
                <w:sz w:val="16"/>
                <w:szCs w:val="16"/>
              </w:rPr>
              <w:t>学校</w:t>
            </w:r>
          </w:p>
        </w:tc>
        <w:tc>
          <w:tcPr>
            <w:tcW w:w="780" w:type="dxa"/>
            <w:tcBorders>
              <w:left w:val="nil"/>
              <w:right w:val="nil"/>
            </w:tcBorders>
          </w:tcPr>
          <w:p w:rsidR="00EA40A3" w:rsidRDefault="00E86C16">
            <w:pPr>
              <w:spacing w:before="201" w:line="249" w:lineRule="auto"/>
              <w:ind w:left="60" w:right="73"/>
              <w:rPr>
                <w:rFonts w:ascii="宋体" w:eastAsia="宋体" w:hAnsi="宋体" w:cs="宋体"/>
                <w:sz w:val="16"/>
                <w:szCs w:val="16"/>
              </w:rPr>
            </w:pPr>
            <w:r>
              <w:rPr>
                <w:rFonts w:ascii="宋体" w:eastAsia="宋体" w:hAnsi="宋体" w:cs="宋体"/>
                <w:spacing w:val="1"/>
                <w:sz w:val="16"/>
                <w:szCs w:val="16"/>
              </w:rPr>
              <w:t xml:space="preserve">当地政府 </w:t>
            </w:r>
            <w:r>
              <w:rPr>
                <w:rFonts w:ascii="宋体" w:eastAsia="宋体" w:hAnsi="宋体" w:cs="宋体"/>
                <w:spacing w:val="-2"/>
                <w:sz w:val="16"/>
                <w:szCs w:val="16"/>
              </w:rPr>
              <w:t>行政记录</w:t>
            </w:r>
          </w:p>
        </w:tc>
        <w:tc>
          <w:tcPr>
            <w:tcW w:w="580" w:type="dxa"/>
            <w:tcBorders>
              <w:left w:val="nil"/>
              <w:right w:val="nil"/>
            </w:tcBorders>
          </w:tcPr>
          <w:p w:rsidR="00EA40A3" w:rsidRDefault="00E86C16">
            <w:pPr>
              <w:spacing w:before="193" w:line="250" w:lineRule="exact"/>
              <w:ind w:left="80"/>
              <w:rPr>
                <w:rFonts w:ascii="宋体" w:eastAsia="宋体" w:hAnsi="宋体" w:cs="宋体"/>
                <w:sz w:val="16"/>
                <w:szCs w:val="16"/>
              </w:rPr>
            </w:pPr>
            <w:r>
              <w:rPr>
                <w:rFonts w:ascii="宋体" w:eastAsia="宋体" w:hAnsi="宋体" w:cs="宋体"/>
                <w:spacing w:val="11"/>
                <w:position w:val="6"/>
                <w:sz w:val="16"/>
                <w:szCs w:val="16"/>
              </w:rPr>
              <w:t>人口</w:t>
            </w:r>
          </w:p>
          <w:p w:rsidR="00EA40A3" w:rsidRDefault="00E86C16">
            <w:pPr>
              <w:spacing w:line="221" w:lineRule="auto"/>
              <w:ind w:left="80"/>
              <w:rPr>
                <w:rFonts w:ascii="宋体" w:eastAsia="宋体" w:hAnsi="宋体" w:cs="宋体"/>
                <w:sz w:val="16"/>
                <w:szCs w:val="16"/>
              </w:rPr>
            </w:pPr>
            <w:r>
              <w:rPr>
                <w:rFonts w:ascii="宋体" w:eastAsia="宋体" w:hAnsi="宋体" w:cs="宋体"/>
                <w:spacing w:val="-2"/>
                <w:sz w:val="16"/>
                <w:szCs w:val="16"/>
              </w:rPr>
              <w:t>调查</w:t>
            </w:r>
          </w:p>
        </w:tc>
        <w:tc>
          <w:tcPr>
            <w:tcW w:w="584" w:type="dxa"/>
            <w:tcBorders>
              <w:left w:val="nil"/>
              <w:right w:val="nil"/>
            </w:tcBorders>
          </w:tcPr>
          <w:p w:rsidR="00EA40A3" w:rsidRDefault="00E86C16">
            <w:pPr>
              <w:spacing w:before="194" w:line="251" w:lineRule="auto"/>
              <w:ind w:left="180" w:right="88"/>
              <w:rPr>
                <w:rFonts w:ascii="宋体" w:eastAsia="宋体" w:hAnsi="宋体" w:cs="宋体"/>
                <w:sz w:val="16"/>
                <w:szCs w:val="16"/>
              </w:rPr>
            </w:pPr>
            <w:r>
              <w:rPr>
                <w:rFonts w:ascii="宋体" w:eastAsia="宋体" w:hAnsi="宋体" w:cs="宋体"/>
                <w:spacing w:val="-4"/>
                <w:sz w:val="16"/>
                <w:szCs w:val="16"/>
              </w:rPr>
              <w:t>农业</w:t>
            </w:r>
            <w:r>
              <w:rPr>
                <w:rFonts w:ascii="宋体" w:eastAsia="宋体" w:hAnsi="宋体" w:cs="宋体"/>
                <w:sz w:val="16"/>
                <w:szCs w:val="16"/>
              </w:rPr>
              <w:t xml:space="preserve"> </w:t>
            </w:r>
            <w:r>
              <w:rPr>
                <w:rFonts w:ascii="宋体" w:eastAsia="宋体" w:hAnsi="宋体" w:cs="宋体"/>
                <w:spacing w:val="-3"/>
                <w:sz w:val="16"/>
                <w:szCs w:val="16"/>
              </w:rPr>
              <w:t>报告</w:t>
            </w:r>
          </w:p>
        </w:tc>
        <w:tc>
          <w:tcPr>
            <w:tcW w:w="1393" w:type="dxa"/>
            <w:tcBorders>
              <w:left w:val="nil"/>
              <w:right w:val="nil"/>
            </w:tcBorders>
          </w:tcPr>
          <w:p w:rsidR="00EA40A3" w:rsidRDefault="00E86C16">
            <w:pPr>
              <w:spacing w:before="190" w:line="253" w:lineRule="auto"/>
              <w:ind w:left="96" w:right="183"/>
              <w:rPr>
                <w:rFonts w:ascii="宋体" w:eastAsia="宋体" w:hAnsi="宋体" w:cs="宋体"/>
                <w:sz w:val="16"/>
                <w:szCs w:val="16"/>
              </w:rPr>
            </w:pPr>
            <w:r>
              <w:rPr>
                <w:rFonts w:ascii="宋体" w:eastAsia="宋体" w:hAnsi="宋体" w:cs="宋体"/>
                <w:spacing w:val="-2"/>
                <w:sz w:val="16"/>
                <w:szCs w:val="16"/>
              </w:rPr>
              <w:t>社区称量零售价</w:t>
            </w:r>
            <w:r>
              <w:rPr>
                <w:rFonts w:ascii="宋体" w:eastAsia="宋体" w:hAnsi="宋体" w:cs="宋体"/>
                <w:spacing w:val="5"/>
                <w:sz w:val="16"/>
                <w:szCs w:val="16"/>
              </w:rPr>
              <w:t xml:space="preserve"> </w:t>
            </w:r>
            <w:r>
              <w:rPr>
                <w:rFonts w:ascii="宋体" w:eastAsia="宋体" w:hAnsi="宋体" w:cs="宋体"/>
                <w:spacing w:val="-2"/>
                <w:sz w:val="16"/>
                <w:szCs w:val="16"/>
              </w:rPr>
              <w:t>体重计划</w:t>
            </w:r>
            <w:r>
              <w:rPr>
                <w:rFonts w:ascii="宋体" w:eastAsia="宋体" w:hAnsi="宋体" w:cs="宋体"/>
                <w:spacing w:val="2"/>
                <w:sz w:val="16"/>
                <w:szCs w:val="16"/>
              </w:rPr>
              <w:t xml:space="preserve">  </w:t>
            </w:r>
            <w:r>
              <w:rPr>
                <w:rFonts w:ascii="宋体" w:eastAsia="宋体" w:hAnsi="宋体" w:cs="宋体"/>
                <w:spacing w:val="-2"/>
                <w:sz w:val="16"/>
                <w:szCs w:val="16"/>
              </w:rPr>
              <w:t>报告</w:t>
            </w:r>
          </w:p>
        </w:tc>
        <w:tc>
          <w:tcPr>
            <w:tcW w:w="733" w:type="dxa"/>
            <w:tcBorders>
              <w:left w:val="nil"/>
              <w:right w:val="nil"/>
            </w:tcBorders>
          </w:tcPr>
          <w:p w:rsidR="00EA40A3" w:rsidRDefault="00E86C16">
            <w:pPr>
              <w:spacing w:before="190" w:line="253" w:lineRule="exact"/>
              <w:ind w:left="183"/>
              <w:rPr>
                <w:rFonts w:ascii="宋体" w:eastAsia="宋体" w:hAnsi="宋体" w:cs="宋体"/>
                <w:sz w:val="16"/>
                <w:szCs w:val="16"/>
              </w:rPr>
            </w:pPr>
            <w:r>
              <w:rPr>
                <w:rFonts w:ascii="宋体" w:eastAsia="宋体" w:hAnsi="宋体" w:cs="宋体"/>
                <w:spacing w:val="3"/>
                <w:position w:val="6"/>
                <w:sz w:val="16"/>
                <w:szCs w:val="16"/>
              </w:rPr>
              <w:t>乡村</w:t>
            </w:r>
          </w:p>
          <w:p w:rsidR="00EA40A3" w:rsidRDefault="00E86C16">
            <w:pPr>
              <w:spacing w:line="221" w:lineRule="auto"/>
              <w:ind w:left="183"/>
              <w:rPr>
                <w:rFonts w:ascii="宋体" w:eastAsia="宋体" w:hAnsi="宋体" w:cs="宋体"/>
                <w:sz w:val="16"/>
                <w:szCs w:val="16"/>
              </w:rPr>
            </w:pPr>
            <w:r>
              <w:rPr>
                <w:rFonts w:ascii="宋体" w:eastAsia="宋体" w:hAnsi="宋体" w:cs="宋体"/>
                <w:spacing w:val="-2"/>
                <w:sz w:val="16"/>
                <w:szCs w:val="16"/>
              </w:rPr>
              <w:t>调查</w:t>
            </w:r>
          </w:p>
        </w:tc>
        <w:tc>
          <w:tcPr>
            <w:tcW w:w="870" w:type="dxa"/>
            <w:tcBorders>
              <w:left w:val="nil"/>
              <w:right w:val="nil"/>
            </w:tcBorders>
          </w:tcPr>
          <w:p w:rsidR="00EA40A3" w:rsidRDefault="00E86C16">
            <w:pPr>
              <w:spacing w:before="192" w:line="241" w:lineRule="exact"/>
              <w:ind w:left="230"/>
              <w:rPr>
                <w:rFonts w:ascii="宋体" w:eastAsia="宋体" w:hAnsi="宋体" w:cs="宋体"/>
                <w:sz w:val="16"/>
                <w:szCs w:val="16"/>
              </w:rPr>
            </w:pPr>
            <w:r>
              <w:rPr>
                <w:rFonts w:ascii="宋体" w:eastAsia="宋体" w:hAnsi="宋体" w:cs="宋体"/>
                <w:spacing w:val="-2"/>
                <w:position w:val="5"/>
                <w:sz w:val="16"/>
                <w:szCs w:val="16"/>
              </w:rPr>
              <w:t>家庭</w:t>
            </w:r>
          </w:p>
          <w:p w:rsidR="00EA40A3" w:rsidRDefault="00E86C16">
            <w:pPr>
              <w:spacing w:line="221" w:lineRule="auto"/>
              <w:ind w:left="230"/>
              <w:rPr>
                <w:rFonts w:ascii="宋体" w:eastAsia="宋体" w:hAnsi="宋体" w:cs="宋体"/>
                <w:sz w:val="16"/>
                <w:szCs w:val="16"/>
              </w:rPr>
            </w:pPr>
            <w:r>
              <w:rPr>
                <w:rFonts w:ascii="宋体" w:eastAsia="宋体" w:hAnsi="宋体" w:cs="宋体"/>
                <w:spacing w:val="-2"/>
                <w:sz w:val="16"/>
                <w:szCs w:val="16"/>
              </w:rPr>
              <w:t>调查</w:t>
            </w:r>
          </w:p>
        </w:tc>
      </w:tr>
      <w:tr w:rsidR="00EA40A3">
        <w:trPr>
          <w:trHeight w:val="2427"/>
        </w:trPr>
        <w:tc>
          <w:tcPr>
            <w:tcW w:w="940" w:type="dxa"/>
            <w:tcBorders>
              <w:left w:val="nil"/>
              <w:right w:val="nil"/>
            </w:tcBorders>
          </w:tcPr>
          <w:p w:rsidR="00EA40A3" w:rsidRDefault="00E86C16">
            <w:pPr>
              <w:spacing w:before="99" w:line="221" w:lineRule="auto"/>
              <w:ind w:left="230"/>
              <w:rPr>
                <w:rFonts w:ascii="宋体" w:eastAsia="宋体" w:hAnsi="宋体" w:cs="宋体"/>
                <w:sz w:val="16"/>
                <w:szCs w:val="16"/>
              </w:rPr>
            </w:pPr>
            <w:r>
              <w:rPr>
                <w:rFonts w:ascii="宋体" w:eastAsia="宋体" w:hAnsi="宋体" w:cs="宋体"/>
                <w:spacing w:val="5"/>
                <w:sz w:val="16"/>
                <w:szCs w:val="16"/>
              </w:rPr>
              <w:t>智利</w:t>
            </w:r>
          </w:p>
          <w:p w:rsidR="00EA40A3" w:rsidRDefault="00E86C16">
            <w:pPr>
              <w:spacing w:before="157" w:line="350" w:lineRule="exact"/>
              <w:ind w:left="230"/>
              <w:rPr>
                <w:rFonts w:ascii="宋体" w:eastAsia="宋体" w:hAnsi="宋体" w:cs="宋体"/>
                <w:sz w:val="16"/>
                <w:szCs w:val="16"/>
              </w:rPr>
            </w:pPr>
            <w:r>
              <w:rPr>
                <w:rFonts w:ascii="宋体" w:eastAsia="宋体" w:hAnsi="宋体" w:cs="宋体"/>
                <w:spacing w:val="-2"/>
                <w:position w:val="14"/>
                <w:sz w:val="16"/>
                <w:szCs w:val="16"/>
              </w:rPr>
              <w:t>哥伦比亚</w:t>
            </w:r>
          </w:p>
          <w:p w:rsidR="00EA40A3" w:rsidRDefault="00E86C16">
            <w:pPr>
              <w:spacing w:line="220" w:lineRule="auto"/>
              <w:ind w:left="70"/>
              <w:rPr>
                <w:rFonts w:ascii="宋体" w:eastAsia="宋体" w:hAnsi="宋体" w:cs="宋体"/>
                <w:sz w:val="16"/>
                <w:szCs w:val="16"/>
              </w:rPr>
            </w:pPr>
            <w:r>
              <w:rPr>
                <w:rFonts w:ascii="宋体" w:eastAsia="宋体" w:hAnsi="宋体" w:cs="宋体"/>
                <w:spacing w:val="2"/>
                <w:sz w:val="16"/>
                <w:szCs w:val="16"/>
              </w:rPr>
              <w:t>哥斯达黎加</w:t>
            </w:r>
          </w:p>
          <w:p w:rsidR="00EA40A3" w:rsidRDefault="00E86C16">
            <w:pPr>
              <w:spacing w:before="147" w:line="410" w:lineRule="auto"/>
              <w:ind w:left="230" w:right="134" w:hanging="80"/>
              <w:rPr>
                <w:rFonts w:ascii="宋体" w:eastAsia="宋体" w:hAnsi="宋体" w:cs="宋体"/>
                <w:sz w:val="16"/>
                <w:szCs w:val="16"/>
              </w:rPr>
            </w:pPr>
            <w:r>
              <w:rPr>
                <w:rFonts w:ascii="宋体" w:eastAsia="宋体" w:hAnsi="宋体" w:cs="宋体"/>
                <w:spacing w:val="3"/>
                <w:sz w:val="16"/>
                <w:szCs w:val="16"/>
              </w:rPr>
              <w:t>萨尔瓦多</w:t>
            </w:r>
            <w:r>
              <w:rPr>
                <w:rFonts w:ascii="宋体" w:eastAsia="宋体" w:hAnsi="宋体" w:cs="宋体"/>
                <w:spacing w:val="2"/>
                <w:sz w:val="16"/>
                <w:szCs w:val="16"/>
              </w:rPr>
              <w:t xml:space="preserve"> </w:t>
            </w:r>
            <w:r>
              <w:rPr>
                <w:rFonts w:ascii="宋体" w:eastAsia="宋体" w:hAnsi="宋体" w:cs="宋体"/>
                <w:spacing w:val="-2"/>
                <w:sz w:val="16"/>
                <w:szCs w:val="16"/>
              </w:rPr>
              <w:t>肯尼亚</w:t>
            </w:r>
          </w:p>
          <w:p w:rsidR="00EA40A3" w:rsidRDefault="00E86C16">
            <w:pPr>
              <w:spacing w:line="219" w:lineRule="auto"/>
              <w:ind w:left="230"/>
              <w:rPr>
                <w:rFonts w:ascii="宋体" w:eastAsia="宋体" w:hAnsi="宋体" w:cs="宋体"/>
                <w:sz w:val="16"/>
                <w:szCs w:val="16"/>
              </w:rPr>
            </w:pPr>
            <w:r>
              <w:rPr>
                <w:rFonts w:ascii="宋体" w:eastAsia="宋体" w:hAnsi="宋体" w:cs="宋体"/>
                <w:spacing w:val="-3"/>
                <w:sz w:val="16"/>
                <w:szCs w:val="16"/>
              </w:rPr>
              <w:t>菲律宾</w:t>
            </w:r>
          </w:p>
          <w:p w:rsidR="00EA40A3" w:rsidRDefault="00E86C16">
            <w:pPr>
              <w:spacing w:before="151" w:line="220" w:lineRule="auto"/>
              <w:ind w:left="150"/>
              <w:rPr>
                <w:rFonts w:ascii="宋体" w:eastAsia="宋体" w:hAnsi="宋体" w:cs="宋体"/>
                <w:sz w:val="16"/>
                <w:szCs w:val="16"/>
              </w:rPr>
            </w:pPr>
            <w:r>
              <w:rPr>
                <w:rFonts w:ascii="宋体" w:eastAsia="宋体" w:hAnsi="宋体" w:cs="宋体"/>
                <w:spacing w:val="-2"/>
                <w:sz w:val="16"/>
                <w:szCs w:val="16"/>
              </w:rPr>
              <w:t>斯里兰卡</w:t>
            </w:r>
          </w:p>
        </w:tc>
        <w:tc>
          <w:tcPr>
            <w:tcW w:w="923" w:type="dxa"/>
            <w:tcBorders>
              <w:left w:val="nil"/>
              <w:right w:val="nil"/>
            </w:tcBorders>
          </w:tcPr>
          <w:p w:rsidR="00EA40A3" w:rsidRDefault="00EA40A3">
            <w:pPr>
              <w:spacing w:line="247" w:lineRule="auto"/>
            </w:pPr>
          </w:p>
          <w:p w:rsidR="00EA40A3" w:rsidRDefault="00EA40A3">
            <w:pPr>
              <w:spacing w:line="248" w:lineRule="auto"/>
            </w:pPr>
          </w:p>
          <w:p w:rsidR="00EA40A3" w:rsidRDefault="00EA40A3">
            <w:pPr>
              <w:spacing w:line="248" w:lineRule="auto"/>
            </w:pPr>
          </w:p>
          <w:p w:rsidR="00EA40A3" w:rsidRDefault="00E86C16">
            <w:pPr>
              <w:spacing w:before="52" w:line="340" w:lineRule="exact"/>
              <w:ind w:left="290"/>
              <w:rPr>
                <w:rFonts w:ascii="宋体" w:eastAsia="宋体" w:hAnsi="宋体" w:cs="宋体"/>
                <w:sz w:val="16"/>
                <w:szCs w:val="16"/>
              </w:rPr>
            </w:pPr>
            <w:r>
              <w:rPr>
                <w:rFonts w:ascii="宋体" w:eastAsia="宋体" w:hAnsi="宋体" w:cs="宋体"/>
                <w:position w:val="13"/>
                <w:sz w:val="16"/>
                <w:szCs w:val="16"/>
              </w:rPr>
              <w:t>十</w:t>
            </w:r>
          </w:p>
          <w:p w:rsidR="00EA40A3" w:rsidRDefault="00E86C16">
            <w:pPr>
              <w:spacing w:line="220" w:lineRule="auto"/>
              <w:ind w:left="290"/>
              <w:rPr>
                <w:rFonts w:ascii="宋体" w:eastAsia="宋体" w:hAnsi="宋体" w:cs="宋体"/>
                <w:sz w:val="16"/>
                <w:szCs w:val="16"/>
              </w:rPr>
            </w:pPr>
            <w:r>
              <w:rPr>
                <w:rFonts w:ascii="宋体" w:eastAsia="宋体" w:hAnsi="宋体" w:cs="宋体"/>
                <w:sz w:val="16"/>
                <w:szCs w:val="16"/>
              </w:rPr>
              <w:t>十</w:t>
            </w:r>
          </w:p>
          <w:p w:rsidR="00EA40A3" w:rsidRDefault="00EA40A3">
            <w:pPr>
              <w:spacing w:line="267" w:lineRule="auto"/>
            </w:pPr>
          </w:p>
          <w:p w:rsidR="00EA40A3" w:rsidRDefault="00EA40A3">
            <w:pPr>
              <w:spacing w:line="267" w:lineRule="auto"/>
            </w:pPr>
          </w:p>
          <w:p w:rsidR="00EA40A3" w:rsidRDefault="00EA40A3">
            <w:pPr>
              <w:spacing w:line="267" w:lineRule="auto"/>
            </w:pPr>
          </w:p>
          <w:p w:rsidR="00EA40A3" w:rsidRDefault="00E86C16">
            <w:pPr>
              <w:spacing w:before="52" w:line="221" w:lineRule="auto"/>
              <w:ind w:left="299"/>
              <w:rPr>
                <w:rFonts w:ascii="宋体" w:eastAsia="宋体" w:hAnsi="宋体" w:cs="宋体"/>
                <w:sz w:val="16"/>
                <w:szCs w:val="16"/>
              </w:rPr>
            </w:pPr>
            <w:r>
              <w:rPr>
                <w:rFonts w:ascii="宋体" w:eastAsia="宋体" w:hAnsi="宋体" w:cs="宋体"/>
                <w:sz w:val="16"/>
                <w:szCs w:val="16"/>
              </w:rPr>
              <w:t>十</w:t>
            </w:r>
          </w:p>
        </w:tc>
        <w:tc>
          <w:tcPr>
            <w:tcW w:w="1337" w:type="dxa"/>
            <w:gridSpan w:val="2"/>
            <w:tcBorders>
              <w:left w:val="nil"/>
              <w:right w:val="nil"/>
            </w:tcBorders>
          </w:tcPr>
          <w:p w:rsidR="00EA40A3" w:rsidRDefault="00EA40A3">
            <w:pPr>
              <w:spacing w:line="395" w:lineRule="auto"/>
            </w:pPr>
          </w:p>
          <w:p w:rsidR="00EA40A3" w:rsidRDefault="00E86C16">
            <w:pPr>
              <w:spacing w:before="52" w:line="350" w:lineRule="exact"/>
              <w:ind w:left="867"/>
              <w:rPr>
                <w:rFonts w:ascii="宋体" w:eastAsia="宋体" w:hAnsi="宋体" w:cs="宋体"/>
                <w:sz w:val="16"/>
                <w:szCs w:val="16"/>
              </w:rPr>
            </w:pPr>
            <w:r>
              <w:rPr>
                <w:rFonts w:ascii="宋体" w:eastAsia="宋体" w:hAnsi="宋体" w:cs="宋体"/>
                <w:position w:val="14"/>
                <w:sz w:val="16"/>
                <w:szCs w:val="16"/>
              </w:rPr>
              <w:t>十</w:t>
            </w:r>
          </w:p>
          <w:p w:rsidR="00EA40A3" w:rsidRDefault="00E86C16">
            <w:pPr>
              <w:spacing w:line="220" w:lineRule="auto"/>
              <w:ind w:left="867"/>
              <w:rPr>
                <w:rFonts w:ascii="宋体" w:eastAsia="宋体" w:hAnsi="宋体" w:cs="宋体"/>
                <w:sz w:val="16"/>
                <w:szCs w:val="16"/>
              </w:rPr>
            </w:pPr>
            <w:r>
              <w:rPr>
                <w:rFonts w:ascii="宋体" w:eastAsia="宋体" w:hAnsi="宋体" w:cs="宋体"/>
                <w:sz w:val="16"/>
                <w:szCs w:val="16"/>
              </w:rPr>
              <w:t>十</w:t>
            </w:r>
          </w:p>
          <w:p w:rsidR="00EA40A3" w:rsidRDefault="00E86C16">
            <w:pPr>
              <w:spacing w:before="148" w:line="221" w:lineRule="auto"/>
              <w:ind w:left="867"/>
              <w:rPr>
                <w:rFonts w:ascii="宋体" w:eastAsia="宋体" w:hAnsi="宋体" w:cs="宋体"/>
                <w:sz w:val="16"/>
                <w:szCs w:val="16"/>
              </w:rPr>
            </w:pPr>
            <w:r>
              <w:rPr>
                <w:rFonts w:ascii="宋体" w:eastAsia="宋体" w:hAnsi="宋体" w:cs="宋体"/>
                <w:sz w:val="16"/>
                <w:szCs w:val="16"/>
              </w:rPr>
              <w:t>十</w:t>
            </w:r>
          </w:p>
          <w:p w:rsidR="00EA40A3" w:rsidRDefault="00EA40A3">
            <w:pPr>
              <w:spacing w:line="463" w:lineRule="auto"/>
            </w:pPr>
          </w:p>
          <w:p w:rsidR="00EA40A3" w:rsidRDefault="00E86C16">
            <w:pPr>
              <w:spacing w:before="52" w:line="221" w:lineRule="auto"/>
              <w:ind w:left="147"/>
              <w:rPr>
                <w:rFonts w:ascii="宋体" w:eastAsia="宋体" w:hAnsi="宋体" w:cs="宋体"/>
                <w:sz w:val="16"/>
                <w:szCs w:val="16"/>
              </w:rPr>
            </w:pPr>
            <w:r>
              <w:rPr>
                <w:rFonts w:ascii="宋体" w:eastAsia="宋体" w:hAnsi="宋体" w:cs="宋体"/>
                <w:sz w:val="16"/>
                <w:szCs w:val="16"/>
              </w:rPr>
              <w:t>十</w:t>
            </w:r>
          </w:p>
        </w:tc>
        <w:tc>
          <w:tcPr>
            <w:tcW w:w="580" w:type="dxa"/>
            <w:tcBorders>
              <w:left w:val="nil"/>
              <w:right w:val="nil"/>
            </w:tcBorders>
          </w:tcPr>
          <w:p w:rsidR="00EA40A3" w:rsidRDefault="00E86C16">
            <w:pPr>
              <w:spacing w:before="99" w:line="221" w:lineRule="auto"/>
              <w:ind w:left="180"/>
              <w:rPr>
                <w:rFonts w:ascii="宋体" w:eastAsia="宋体" w:hAnsi="宋体" w:cs="宋体"/>
                <w:sz w:val="16"/>
                <w:szCs w:val="16"/>
              </w:rPr>
            </w:pPr>
            <w:r>
              <w:rPr>
                <w:rFonts w:ascii="宋体" w:eastAsia="宋体" w:hAnsi="宋体" w:cs="宋体"/>
                <w:sz w:val="16"/>
                <w:szCs w:val="16"/>
              </w:rPr>
              <w:t>十</w:t>
            </w:r>
          </w:p>
          <w:p w:rsidR="00EA40A3" w:rsidRDefault="00EA40A3">
            <w:pPr>
              <w:spacing w:line="453" w:lineRule="auto"/>
            </w:pPr>
          </w:p>
          <w:p w:rsidR="00EA40A3" w:rsidRDefault="00E86C16">
            <w:pPr>
              <w:spacing w:before="52" w:line="340" w:lineRule="exact"/>
              <w:ind w:left="170"/>
              <w:rPr>
                <w:rFonts w:ascii="宋体" w:eastAsia="宋体" w:hAnsi="宋体" w:cs="宋体"/>
                <w:sz w:val="16"/>
                <w:szCs w:val="16"/>
              </w:rPr>
            </w:pPr>
            <w:r>
              <w:rPr>
                <w:rFonts w:ascii="宋体" w:eastAsia="宋体" w:hAnsi="宋体" w:cs="宋体"/>
                <w:position w:val="13"/>
                <w:sz w:val="16"/>
                <w:szCs w:val="16"/>
              </w:rPr>
              <w:t>十</w:t>
            </w:r>
          </w:p>
          <w:p w:rsidR="00EA40A3" w:rsidRDefault="00E86C16">
            <w:pPr>
              <w:spacing w:line="220" w:lineRule="auto"/>
              <w:ind w:left="170"/>
              <w:rPr>
                <w:rFonts w:ascii="宋体" w:eastAsia="宋体" w:hAnsi="宋体" w:cs="宋体"/>
                <w:sz w:val="16"/>
                <w:szCs w:val="16"/>
              </w:rPr>
            </w:pPr>
            <w:r>
              <w:rPr>
                <w:rFonts w:ascii="宋体" w:eastAsia="宋体" w:hAnsi="宋体" w:cs="宋体"/>
                <w:sz w:val="16"/>
                <w:szCs w:val="16"/>
              </w:rPr>
              <w:t>十</w:t>
            </w:r>
          </w:p>
        </w:tc>
        <w:tc>
          <w:tcPr>
            <w:tcW w:w="584" w:type="dxa"/>
            <w:tcBorders>
              <w:left w:val="nil"/>
              <w:right w:val="nil"/>
            </w:tcBorders>
          </w:tcPr>
          <w:p w:rsidR="00EA40A3" w:rsidRDefault="00EA40A3">
            <w:pPr>
              <w:spacing w:line="395" w:lineRule="auto"/>
            </w:pPr>
          </w:p>
          <w:p w:rsidR="00EA40A3" w:rsidRDefault="00E86C16">
            <w:pPr>
              <w:spacing w:before="52" w:line="221" w:lineRule="auto"/>
              <w:ind w:left="250"/>
              <w:rPr>
                <w:rFonts w:ascii="宋体" w:eastAsia="宋体" w:hAnsi="宋体" w:cs="宋体"/>
                <w:sz w:val="16"/>
                <w:szCs w:val="16"/>
              </w:rPr>
            </w:pPr>
            <w:r>
              <w:rPr>
                <w:rFonts w:ascii="宋体" w:eastAsia="宋体" w:hAnsi="宋体" w:cs="宋体"/>
                <w:sz w:val="16"/>
                <w:szCs w:val="16"/>
              </w:rPr>
              <w:t>十</w:t>
            </w:r>
          </w:p>
        </w:tc>
        <w:tc>
          <w:tcPr>
            <w:tcW w:w="2126" w:type="dxa"/>
            <w:gridSpan w:val="2"/>
            <w:tcBorders>
              <w:left w:val="nil"/>
              <w:right w:val="nil"/>
            </w:tcBorders>
          </w:tcPr>
          <w:p w:rsidR="00EA40A3" w:rsidRDefault="00EA40A3">
            <w:pPr>
              <w:spacing w:line="247" w:lineRule="auto"/>
            </w:pPr>
          </w:p>
          <w:p w:rsidR="00EA40A3" w:rsidRDefault="00EA40A3">
            <w:pPr>
              <w:spacing w:line="248" w:lineRule="auto"/>
            </w:pPr>
          </w:p>
          <w:p w:rsidR="00EA40A3" w:rsidRDefault="00EA40A3">
            <w:pPr>
              <w:spacing w:line="248" w:lineRule="auto"/>
            </w:pPr>
          </w:p>
          <w:p w:rsidR="00EA40A3" w:rsidRDefault="00E86C16">
            <w:pPr>
              <w:spacing w:before="52" w:line="340" w:lineRule="exact"/>
              <w:ind w:left="1026"/>
              <w:rPr>
                <w:rFonts w:ascii="宋体" w:eastAsia="宋体" w:hAnsi="宋体" w:cs="宋体"/>
                <w:sz w:val="16"/>
                <w:szCs w:val="16"/>
              </w:rPr>
            </w:pPr>
            <w:r>
              <w:rPr>
                <w:rFonts w:ascii="宋体" w:eastAsia="宋体" w:hAnsi="宋体" w:cs="宋体"/>
                <w:position w:val="13"/>
                <w:sz w:val="16"/>
                <w:szCs w:val="16"/>
              </w:rPr>
              <w:t>十</w:t>
            </w:r>
          </w:p>
          <w:p w:rsidR="00EA40A3" w:rsidRDefault="00E86C16">
            <w:pPr>
              <w:spacing w:line="220" w:lineRule="auto"/>
              <w:ind w:left="1126"/>
              <w:rPr>
                <w:rFonts w:ascii="宋体" w:eastAsia="宋体" w:hAnsi="宋体" w:cs="宋体"/>
                <w:sz w:val="16"/>
                <w:szCs w:val="16"/>
              </w:rPr>
            </w:pPr>
            <w:r>
              <w:rPr>
                <w:rFonts w:ascii="宋体" w:eastAsia="宋体" w:hAnsi="宋体" w:cs="宋体"/>
                <w:sz w:val="16"/>
                <w:szCs w:val="16"/>
              </w:rPr>
              <w:t>十</w:t>
            </w:r>
          </w:p>
        </w:tc>
        <w:tc>
          <w:tcPr>
            <w:tcW w:w="870" w:type="dxa"/>
            <w:tcBorders>
              <w:left w:val="nil"/>
              <w:right w:val="nil"/>
            </w:tcBorders>
          </w:tcPr>
          <w:p w:rsidR="00EA40A3" w:rsidRDefault="00EA40A3">
            <w:pPr>
              <w:spacing w:line="247" w:lineRule="auto"/>
            </w:pPr>
          </w:p>
          <w:p w:rsidR="00EA40A3" w:rsidRDefault="00EA40A3">
            <w:pPr>
              <w:spacing w:line="247" w:lineRule="auto"/>
            </w:pPr>
          </w:p>
          <w:p w:rsidR="00EA40A3" w:rsidRDefault="00EA40A3">
            <w:pPr>
              <w:spacing w:line="248" w:lineRule="auto"/>
            </w:pPr>
          </w:p>
          <w:p w:rsidR="00EA40A3" w:rsidRDefault="00E86C16">
            <w:pPr>
              <w:spacing w:before="52" w:line="221" w:lineRule="auto"/>
              <w:ind w:left="359"/>
              <w:rPr>
                <w:rFonts w:ascii="宋体" w:eastAsia="宋体" w:hAnsi="宋体" w:cs="宋体"/>
                <w:sz w:val="16"/>
                <w:szCs w:val="16"/>
              </w:rPr>
            </w:pPr>
            <w:r>
              <w:rPr>
                <w:rFonts w:ascii="宋体" w:eastAsia="宋体" w:hAnsi="宋体" w:cs="宋体"/>
                <w:sz w:val="16"/>
                <w:szCs w:val="16"/>
              </w:rPr>
              <w:t>十</w:t>
            </w:r>
          </w:p>
          <w:p w:rsidR="00EA40A3" w:rsidRDefault="00EA40A3">
            <w:pPr>
              <w:spacing w:line="443" w:lineRule="auto"/>
            </w:pPr>
          </w:p>
          <w:p w:rsidR="00EA40A3" w:rsidRDefault="00E86C16">
            <w:pPr>
              <w:spacing w:before="52" w:line="221" w:lineRule="auto"/>
              <w:ind w:left="310"/>
              <w:rPr>
                <w:rFonts w:ascii="宋体" w:eastAsia="宋体" w:hAnsi="宋体" w:cs="宋体"/>
                <w:sz w:val="16"/>
                <w:szCs w:val="16"/>
              </w:rPr>
            </w:pPr>
            <w:r>
              <w:rPr>
                <w:rFonts w:ascii="宋体" w:eastAsia="宋体" w:hAnsi="宋体" w:cs="宋体"/>
                <w:sz w:val="16"/>
                <w:szCs w:val="16"/>
              </w:rPr>
              <w:t>十</w:t>
            </w:r>
          </w:p>
          <w:p w:rsidR="00EA40A3" w:rsidRDefault="00EA40A3">
            <w:pPr>
              <w:spacing w:line="453" w:lineRule="auto"/>
            </w:pPr>
          </w:p>
          <w:p w:rsidR="00EA40A3" w:rsidRDefault="00E86C16">
            <w:pPr>
              <w:spacing w:before="52" w:line="221" w:lineRule="auto"/>
              <w:ind w:left="310"/>
              <w:rPr>
                <w:rFonts w:ascii="宋体" w:eastAsia="宋体" w:hAnsi="宋体" w:cs="宋体"/>
                <w:sz w:val="16"/>
                <w:szCs w:val="16"/>
              </w:rPr>
            </w:pPr>
            <w:r>
              <w:rPr>
                <w:rFonts w:ascii="宋体" w:eastAsia="宋体" w:hAnsi="宋体" w:cs="宋体"/>
                <w:sz w:val="16"/>
                <w:szCs w:val="16"/>
              </w:rPr>
              <w:t>十</w:t>
            </w:r>
          </w:p>
        </w:tc>
      </w:tr>
    </w:tbl>
    <w:p w:rsidR="00EA40A3" w:rsidRDefault="00E86C16">
      <w:pPr>
        <w:spacing w:before="100" w:line="218" w:lineRule="auto"/>
        <w:ind w:left="369"/>
        <w:rPr>
          <w:rFonts w:ascii="宋体" w:eastAsia="宋体" w:hAnsi="宋体" w:cs="宋体"/>
          <w:sz w:val="16"/>
          <w:szCs w:val="16"/>
        </w:rPr>
      </w:pPr>
      <w:r>
        <w:rPr>
          <w:rFonts w:ascii="宋体" w:eastAsia="宋体" w:hAnsi="宋体" w:cs="宋体"/>
          <w:spacing w:val="-2"/>
          <w:sz w:val="16"/>
          <w:szCs w:val="16"/>
        </w:rPr>
        <w:t>资料来源：</w:t>
      </w:r>
      <w:r>
        <w:rPr>
          <w:rFonts w:ascii="宋体" w:eastAsia="宋体" w:hAnsi="宋体" w:cs="宋体"/>
          <w:spacing w:val="-1"/>
          <w:sz w:val="16"/>
          <w:szCs w:val="16"/>
        </w:rPr>
        <w:t>John</w:t>
      </w:r>
      <w:r>
        <w:rPr>
          <w:rFonts w:ascii="宋体" w:eastAsia="宋体" w:hAnsi="宋体" w:cs="宋体"/>
          <w:spacing w:val="2"/>
          <w:sz w:val="16"/>
          <w:szCs w:val="16"/>
        </w:rPr>
        <w:t xml:space="preserve"> </w:t>
      </w:r>
      <w:r>
        <w:rPr>
          <w:rFonts w:ascii="宋体" w:eastAsia="宋体" w:hAnsi="宋体" w:cs="宋体"/>
          <w:spacing w:val="-1"/>
          <w:sz w:val="16"/>
          <w:szCs w:val="16"/>
        </w:rPr>
        <w:t>B</w:t>
      </w:r>
      <w:r>
        <w:rPr>
          <w:rFonts w:ascii="宋体" w:eastAsia="宋体" w:hAnsi="宋体" w:cs="宋体"/>
          <w:spacing w:val="1"/>
          <w:sz w:val="16"/>
          <w:szCs w:val="16"/>
        </w:rPr>
        <w:t xml:space="preserve"> </w:t>
      </w:r>
      <w:r>
        <w:rPr>
          <w:rFonts w:ascii="宋体" w:eastAsia="宋体" w:hAnsi="宋体" w:cs="宋体"/>
          <w:spacing w:val="-1"/>
          <w:sz w:val="16"/>
          <w:szCs w:val="16"/>
        </w:rPr>
        <w:t>Mason</w:t>
      </w:r>
      <w:r>
        <w:rPr>
          <w:rFonts w:ascii="宋体" w:eastAsia="宋体" w:hAnsi="宋体" w:cs="宋体"/>
          <w:spacing w:val="10"/>
          <w:sz w:val="16"/>
          <w:szCs w:val="16"/>
        </w:rPr>
        <w:t xml:space="preserve"> </w:t>
      </w:r>
      <w:r>
        <w:rPr>
          <w:rFonts w:ascii="宋体" w:eastAsia="宋体" w:hAnsi="宋体" w:cs="宋体"/>
          <w:spacing w:val="-1"/>
          <w:sz w:val="16"/>
          <w:szCs w:val="16"/>
        </w:rPr>
        <w:t>et</w:t>
      </w:r>
      <w:r>
        <w:rPr>
          <w:rFonts w:ascii="宋体" w:eastAsia="宋体" w:hAnsi="宋体" w:cs="宋体"/>
          <w:spacing w:val="7"/>
          <w:sz w:val="16"/>
          <w:szCs w:val="16"/>
        </w:rPr>
        <w:t xml:space="preserve"> </w:t>
      </w:r>
      <w:r>
        <w:rPr>
          <w:rFonts w:ascii="宋体" w:eastAsia="宋体" w:hAnsi="宋体" w:cs="宋体"/>
          <w:spacing w:val="-1"/>
          <w:sz w:val="16"/>
          <w:szCs w:val="16"/>
        </w:rPr>
        <w:t>al</w:t>
      </w:r>
      <w:r>
        <w:rPr>
          <w:rFonts w:ascii="宋体" w:eastAsia="宋体" w:hAnsi="宋体" w:cs="宋体"/>
          <w:spacing w:val="-2"/>
          <w:sz w:val="16"/>
          <w:szCs w:val="16"/>
        </w:rPr>
        <w:t>.</w:t>
      </w:r>
      <w:r>
        <w:rPr>
          <w:rFonts w:ascii="宋体" w:eastAsia="宋体" w:hAnsi="宋体" w:cs="宋体"/>
          <w:spacing w:val="18"/>
          <w:sz w:val="16"/>
          <w:szCs w:val="16"/>
        </w:rPr>
        <w:t xml:space="preserve"> </w:t>
      </w:r>
      <w:r>
        <w:rPr>
          <w:rFonts w:ascii="宋体" w:eastAsia="宋体" w:hAnsi="宋体" w:cs="宋体"/>
          <w:spacing w:val="-2"/>
          <w:sz w:val="16"/>
          <w:szCs w:val="16"/>
        </w:rPr>
        <w:t>1994.</w:t>
      </w:r>
      <w:r>
        <w:rPr>
          <w:rFonts w:ascii="宋体" w:eastAsia="宋体" w:hAnsi="宋体" w:cs="宋体"/>
          <w:spacing w:val="-1"/>
          <w:sz w:val="16"/>
          <w:szCs w:val="16"/>
        </w:rPr>
        <w:t>Nutritional</w:t>
      </w:r>
      <w:r>
        <w:rPr>
          <w:rFonts w:ascii="宋体" w:eastAsia="宋体" w:hAnsi="宋体" w:cs="宋体"/>
          <w:spacing w:val="13"/>
          <w:sz w:val="16"/>
          <w:szCs w:val="16"/>
        </w:rPr>
        <w:t xml:space="preserve"> </w:t>
      </w:r>
      <w:r>
        <w:rPr>
          <w:rFonts w:ascii="宋体" w:eastAsia="宋体" w:hAnsi="宋体" w:cs="宋体"/>
          <w:spacing w:val="-1"/>
          <w:sz w:val="16"/>
          <w:szCs w:val="16"/>
        </w:rPr>
        <w:t>surveillance</w:t>
      </w:r>
      <w:r>
        <w:rPr>
          <w:rFonts w:ascii="宋体" w:eastAsia="宋体" w:hAnsi="宋体" w:cs="宋体"/>
          <w:spacing w:val="-2"/>
          <w:sz w:val="16"/>
          <w:szCs w:val="16"/>
        </w:rPr>
        <w:t>.</w:t>
      </w:r>
      <w:r>
        <w:rPr>
          <w:rFonts w:ascii="宋体" w:eastAsia="宋体" w:hAnsi="宋体" w:cs="宋体"/>
          <w:spacing w:val="-1"/>
          <w:sz w:val="16"/>
          <w:szCs w:val="16"/>
        </w:rPr>
        <w:t>W</w:t>
      </w:r>
      <w:r>
        <w:rPr>
          <w:rFonts w:ascii="宋体" w:eastAsia="宋体" w:hAnsi="宋体" w:cs="宋体"/>
          <w:spacing w:val="-2"/>
          <w:sz w:val="16"/>
          <w:szCs w:val="16"/>
        </w:rPr>
        <w:t>HO</w:t>
      </w:r>
    </w:p>
    <w:p w:rsidR="00EA40A3" w:rsidRDefault="00EA40A3">
      <w:pPr>
        <w:spacing w:line="364" w:lineRule="auto"/>
      </w:pPr>
    </w:p>
    <w:p w:rsidR="00EA40A3" w:rsidRDefault="00E86C16">
      <w:pPr>
        <w:spacing w:before="66" w:line="279" w:lineRule="auto"/>
        <w:ind w:right="70" w:firstLine="469"/>
        <w:jc w:val="both"/>
        <w:rPr>
          <w:rFonts w:ascii="宋体" w:eastAsia="宋体" w:hAnsi="宋体" w:cs="宋体"/>
          <w:sz w:val="20"/>
          <w:szCs w:val="20"/>
        </w:rPr>
      </w:pPr>
      <w:r>
        <w:rPr>
          <w:rFonts w:ascii="宋体" w:eastAsia="宋体" w:hAnsi="宋体" w:cs="宋体"/>
          <w:spacing w:val="10"/>
          <w:sz w:val="20"/>
          <w:szCs w:val="20"/>
        </w:rPr>
        <w:t>(2)数据分类。在我国可分为两类：①行政数据。行政数据的来源有赖于现</w:t>
      </w:r>
      <w:r>
        <w:rPr>
          <w:rFonts w:ascii="宋体" w:eastAsia="宋体" w:hAnsi="宋体" w:cs="宋体"/>
          <w:spacing w:val="16"/>
          <w:sz w:val="20"/>
          <w:szCs w:val="20"/>
        </w:rPr>
        <w:t xml:space="preserve"> </w:t>
      </w:r>
      <w:r>
        <w:rPr>
          <w:rFonts w:ascii="宋体" w:eastAsia="宋体" w:hAnsi="宋体" w:cs="宋体"/>
          <w:spacing w:val="14"/>
          <w:sz w:val="20"/>
          <w:szCs w:val="20"/>
        </w:rPr>
        <w:t>有的服务机构，常为政府机构。行政数据比抽样调查数据的</w:t>
      </w:r>
      <w:r>
        <w:rPr>
          <w:rFonts w:ascii="宋体" w:eastAsia="宋体" w:hAnsi="宋体" w:cs="宋体"/>
          <w:spacing w:val="13"/>
          <w:sz w:val="20"/>
          <w:szCs w:val="20"/>
        </w:rPr>
        <w:t>范围更为广泛和分</w:t>
      </w:r>
      <w:r>
        <w:rPr>
          <w:rFonts w:ascii="宋体" w:eastAsia="宋体" w:hAnsi="宋体" w:cs="宋体"/>
          <w:sz w:val="20"/>
          <w:szCs w:val="20"/>
        </w:rPr>
        <w:t xml:space="preserve">  </w:t>
      </w:r>
      <w:r>
        <w:rPr>
          <w:rFonts w:ascii="宋体" w:eastAsia="宋体" w:hAnsi="宋体" w:cs="宋体"/>
          <w:spacing w:val="8"/>
          <w:sz w:val="20"/>
          <w:szCs w:val="20"/>
        </w:rPr>
        <w:t>散。其数据来源于卫生、学校、当地政府和农业等部门。如</w:t>
      </w:r>
      <w:r>
        <w:rPr>
          <w:rFonts w:ascii="宋体" w:eastAsia="宋体" w:hAnsi="宋体" w:cs="宋体"/>
          <w:spacing w:val="7"/>
          <w:sz w:val="20"/>
          <w:szCs w:val="20"/>
        </w:rPr>
        <w:t>体重、身高和年龄及</w:t>
      </w:r>
      <w:r>
        <w:rPr>
          <w:rFonts w:ascii="宋体" w:eastAsia="宋体" w:hAnsi="宋体" w:cs="宋体"/>
          <w:sz w:val="20"/>
          <w:szCs w:val="20"/>
        </w:rPr>
        <w:t xml:space="preserve">  </w:t>
      </w:r>
      <w:r>
        <w:rPr>
          <w:rFonts w:ascii="宋体" w:eastAsia="宋体" w:hAnsi="宋体" w:cs="宋体"/>
          <w:spacing w:val="8"/>
          <w:sz w:val="20"/>
          <w:szCs w:val="20"/>
        </w:rPr>
        <w:t>相互比值，出生体重，确诊疾病，农产品生产，食品深加工比值，</w:t>
      </w:r>
      <w:r>
        <w:rPr>
          <w:rFonts w:ascii="宋体" w:eastAsia="宋体" w:hAnsi="宋体" w:cs="宋体"/>
          <w:spacing w:val="7"/>
          <w:sz w:val="20"/>
          <w:szCs w:val="20"/>
        </w:rPr>
        <w:t>人均收入，恩</w:t>
      </w:r>
      <w:r>
        <w:rPr>
          <w:rFonts w:ascii="宋体" w:eastAsia="宋体" w:hAnsi="宋体" w:cs="宋体"/>
          <w:sz w:val="20"/>
          <w:szCs w:val="20"/>
        </w:rPr>
        <w:t xml:space="preserve">  </w:t>
      </w:r>
      <w:r>
        <w:rPr>
          <w:rFonts w:ascii="宋体" w:eastAsia="宋体" w:hAnsi="宋体" w:cs="宋体"/>
          <w:spacing w:val="8"/>
          <w:sz w:val="20"/>
          <w:szCs w:val="20"/>
        </w:rPr>
        <w:t>格尔系数，农村和城市居民平均寿命及差别，人口结构，死亡率，婴儿母乳哺育</w:t>
      </w:r>
      <w:r>
        <w:rPr>
          <w:rFonts w:ascii="宋体" w:eastAsia="宋体" w:hAnsi="宋体" w:cs="宋体"/>
          <w:spacing w:val="15"/>
          <w:sz w:val="20"/>
          <w:szCs w:val="20"/>
        </w:rPr>
        <w:t xml:space="preserve"> </w:t>
      </w:r>
      <w:r>
        <w:rPr>
          <w:rFonts w:ascii="宋体" w:eastAsia="宋体" w:hAnsi="宋体" w:cs="宋体"/>
          <w:spacing w:val="4"/>
          <w:sz w:val="20"/>
          <w:szCs w:val="20"/>
        </w:rPr>
        <w:t>率，营养缺乏发病率，“富贵病”发病率等。应由行政部门提供表格，</w:t>
      </w:r>
      <w:r>
        <w:rPr>
          <w:rFonts w:ascii="宋体" w:eastAsia="宋体" w:hAnsi="宋体" w:cs="宋体"/>
          <w:spacing w:val="3"/>
          <w:sz w:val="20"/>
          <w:szCs w:val="20"/>
        </w:rPr>
        <w:t>统一程序，</w:t>
      </w:r>
      <w:r>
        <w:rPr>
          <w:rFonts w:ascii="宋体" w:eastAsia="宋体" w:hAnsi="宋体" w:cs="宋体"/>
          <w:sz w:val="20"/>
          <w:szCs w:val="20"/>
        </w:rPr>
        <w:t xml:space="preserve"> </w:t>
      </w:r>
      <w:r>
        <w:rPr>
          <w:rFonts w:ascii="宋体" w:eastAsia="宋体" w:hAnsi="宋体" w:cs="宋体"/>
          <w:spacing w:val="8"/>
          <w:sz w:val="20"/>
          <w:szCs w:val="20"/>
        </w:rPr>
        <w:t>安排数据收集，对工作人员技术培训，提供设备并负责维修和标准校验，数据由</w:t>
      </w:r>
      <w:r>
        <w:rPr>
          <w:rFonts w:ascii="宋体" w:eastAsia="宋体" w:hAnsi="宋体" w:cs="宋体"/>
          <w:spacing w:val="2"/>
          <w:sz w:val="20"/>
          <w:szCs w:val="20"/>
        </w:rPr>
        <w:t xml:space="preserve"> </w:t>
      </w:r>
      <w:r>
        <w:rPr>
          <w:rFonts w:ascii="宋体" w:eastAsia="宋体" w:hAnsi="宋体" w:cs="宋体"/>
          <w:spacing w:val="10"/>
          <w:sz w:val="20"/>
          <w:szCs w:val="20"/>
        </w:rPr>
        <w:t>基层收集，然后上报省、国家。利用现有检查机构对所</w:t>
      </w:r>
      <w:r>
        <w:rPr>
          <w:rFonts w:ascii="宋体" w:eastAsia="宋体" w:hAnsi="宋体" w:cs="宋体"/>
          <w:spacing w:val="9"/>
          <w:sz w:val="20"/>
          <w:szCs w:val="20"/>
        </w:rPr>
        <w:t>收集数据进行质量管理。</w:t>
      </w:r>
      <w:r>
        <w:rPr>
          <w:rFonts w:ascii="宋体" w:eastAsia="宋体" w:hAnsi="宋体" w:cs="宋体"/>
          <w:sz w:val="20"/>
          <w:szCs w:val="20"/>
        </w:rPr>
        <w:t xml:space="preserve"> </w:t>
      </w:r>
      <w:r>
        <w:rPr>
          <w:rFonts w:ascii="宋体" w:eastAsia="宋体" w:hAnsi="宋体" w:cs="宋体"/>
          <w:spacing w:val="7"/>
          <w:sz w:val="20"/>
          <w:szCs w:val="20"/>
        </w:rPr>
        <w:t>②</w:t>
      </w:r>
      <w:r>
        <w:rPr>
          <w:rFonts w:ascii="宋体" w:eastAsia="宋体" w:hAnsi="宋体" w:cs="宋体"/>
          <w:spacing w:val="-64"/>
          <w:sz w:val="20"/>
          <w:szCs w:val="20"/>
        </w:rPr>
        <w:t xml:space="preserve"> </w:t>
      </w:r>
      <w:r>
        <w:rPr>
          <w:rFonts w:ascii="宋体" w:eastAsia="宋体" w:hAnsi="宋体" w:cs="宋体"/>
          <w:spacing w:val="7"/>
          <w:sz w:val="20"/>
          <w:szCs w:val="20"/>
        </w:rPr>
        <w:t>家庭抽样调查。由于大规模的营养调查需要大量的人力和费用，</w:t>
      </w:r>
      <w:r>
        <w:rPr>
          <w:rFonts w:ascii="宋体" w:eastAsia="宋体" w:hAnsi="宋体" w:cs="宋体"/>
          <w:spacing w:val="6"/>
          <w:sz w:val="20"/>
          <w:szCs w:val="20"/>
        </w:rPr>
        <w:t>实际中系统的</w:t>
      </w:r>
      <w:r>
        <w:rPr>
          <w:rFonts w:ascii="宋体" w:eastAsia="宋体" w:hAnsi="宋体" w:cs="宋体"/>
          <w:sz w:val="20"/>
          <w:szCs w:val="20"/>
        </w:rPr>
        <w:t xml:space="preserve">  </w:t>
      </w:r>
      <w:r>
        <w:rPr>
          <w:rFonts w:ascii="宋体" w:eastAsia="宋体" w:hAnsi="宋体" w:cs="宋体"/>
          <w:spacing w:val="14"/>
          <w:sz w:val="20"/>
          <w:szCs w:val="20"/>
        </w:rPr>
        <w:t>调查并不多。许多国家正在发展连续或常规的家庭抽样调查，集</w:t>
      </w:r>
      <w:r>
        <w:rPr>
          <w:rFonts w:ascii="宋体" w:eastAsia="宋体" w:hAnsi="宋体" w:cs="宋体"/>
          <w:spacing w:val="13"/>
          <w:sz w:val="20"/>
          <w:szCs w:val="20"/>
        </w:rPr>
        <w:t>中于特定主题</w:t>
      </w:r>
      <w:r>
        <w:rPr>
          <w:rFonts w:ascii="宋体" w:eastAsia="宋体" w:hAnsi="宋体" w:cs="宋体"/>
          <w:sz w:val="20"/>
          <w:szCs w:val="20"/>
        </w:rPr>
        <w:t xml:space="preserve">  </w:t>
      </w:r>
      <w:r>
        <w:rPr>
          <w:rFonts w:ascii="宋体" w:eastAsia="宋体" w:hAnsi="宋体" w:cs="宋体"/>
          <w:spacing w:val="10"/>
          <w:sz w:val="20"/>
          <w:szCs w:val="20"/>
        </w:rPr>
        <w:t>(食品供应量、各种食物消耗量、膳食结构),或者多重目的。对营养监测有价值</w:t>
      </w:r>
      <w:r>
        <w:rPr>
          <w:rFonts w:ascii="宋体" w:eastAsia="宋体" w:hAnsi="宋体" w:cs="宋体"/>
          <w:spacing w:val="3"/>
          <w:sz w:val="20"/>
          <w:szCs w:val="20"/>
        </w:rPr>
        <w:t xml:space="preserve">  </w:t>
      </w:r>
      <w:r>
        <w:rPr>
          <w:rFonts w:ascii="宋体" w:eastAsia="宋体" w:hAnsi="宋体" w:cs="宋体"/>
          <w:spacing w:val="8"/>
          <w:sz w:val="20"/>
          <w:szCs w:val="20"/>
        </w:rPr>
        <w:t>的调查内容有：购买食物数量的常规记录、食物消费</w:t>
      </w:r>
      <w:r>
        <w:rPr>
          <w:rFonts w:ascii="宋体" w:eastAsia="宋体" w:hAnsi="宋体" w:cs="宋体"/>
          <w:spacing w:val="7"/>
          <w:sz w:val="20"/>
          <w:szCs w:val="20"/>
        </w:rPr>
        <w:t>的时间和金额记录、家庭人</w:t>
      </w:r>
      <w:r>
        <w:rPr>
          <w:rFonts w:ascii="宋体" w:eastAsia="宋体" w:hAnsi="宋体" w:cs="宋体"/>
          <w:sz w:val="20"/>
          <w:szCs w:val="20"/>
        </w:rPr>
        <w:t xml:space="preserve">  </w:t>
      </w:r>
      <w:r>
        <w:rPr>
          <w:rFonts w:ascii="宋体" w:eastAsia="宋体" w:hAnsi="宋体" w:cs="宋体"/>
          <w:spacing w:val="9"/>
          <w:sz w:val="20"/>
          <w:szCs w:val="20"/>
        </w:rPr>
        <w:t>口特点、</w:t>
      </w:r>
      <w:r>
        <w:rPr>
          <w:rFonts w:ascii="宋体" w:eastAsia="宋体" w:hAnsi="宋体" w:cs="宋体"/>
          <w:spacing w:val="61"/>
          <w:sz w:val="20"/>
          <w:szCs w:val="20"/>
        </w:rPr>
        <w:t xml:space="preserve"> </w:t>
      </w:r>
      <w:r>
        <w:rPr>
          <w:rFonts w:ascii="宋体" w:eastAsia="宋体" w:hAnsi="宋体" w:cs="宋体"/>
          <w:spacing w:val="9"/>
          <w:sz w:val="20"/>
          <w:szCs w:val="20"/>
        </w:rPr>
        <w:t>一定时间内(1d、3d、1</w:t>
      </w:r>
      <w:r>
        <w:rPr>
          <w:rFonts w:ascii="宋体" w:eastAsia="宋体" w:hAnsi="宋体" w:cs="宋体"/>
          <w:spacing w:val="-18"/>
          <w:sz w:val="20"/>
          <w:szCs w:val="20"/>
        </w:rPr>
        <w:t xml:space="preserve"> </w:t>
      </w:r>
      <w:r>
        <w:rPr>
          <w:rFonts w:ascii="宋体" w:eastAsia="宋体" w:hAnsi="宋体" w:cs="宋体"/>
          <w:spacing w:val="9"/>
          <w:sz w:val="20"/>
          <w:szCs w:val="20"/>
        </w:rPr>
        <w:t>周)家庭成员摄入的食物数</w:t>
      </w:r>
      <w:r>
        <w:rPr>
          <w:rFonts w:ascii="宋体" w:eastAsia="宋体" w:hAnsi="宋体" w:cs="宋体"/>
          <w:spacing w:val="8"/>
          <w:sz w:val="20"/>
          <w:szCs w:val="20"/>
        </w:rPr>
        <w:t>量，将这些数据填</w:t>
      </w:r>
      <w:r>
        <w:rPr>
          <w:rFonts w:ascii="宋体" w:eastAsia="宋体" w:hAnsi="宋体" w:cs="宋体"/>
          <w:sz w:val="20"/>
          <w:szCs w:val="20"/>
        </w:rPr>
        <w:t xml:space="preserve">  </w:t>
      </w:r>
      <w:r>
        <w:rPr>
          <w:rFonts w:ascii="宋体" w:eastAsia="宋体" w:hAnsi="宋体" w:cs="宋体"/>
          <w:spacing w:val="10"/>
          <w:sz w:val="20"/>
          <w:szCs w:val="20"/>
        </w:rPr>
        <w:t>入标准营养调查表，并分析统计，按营养学特点做出客观解释和结论。取样时，</w:t>
      </w:r>
    </w:p>
    <w:p w:rsidR="00EA40A3" w:rsidRDefault="00EA40A3">
      <w:pPr>
        <w:sectPr w:rsidR="00EA40A3">
          <w:type w:val="continuous"/>
          <w:pgSz w:w="9220" w:h="13360"/>
          <w:pgMar w:top="1314" w:right="950" w:bottom="1216" w:left="840" w:header="1048" w:footer="995" w:gutter="0"/>
          <w:cols w:space="720" w:equalWidth="0">
            <w:col w:w="7430"/>
          </w:cols>
        </w:sectPr>
      </w:pPr>
    </w:p>
    <w:p w:rsidR="00EA40A3" w:rsidRDefault="00EA40A3">
      <w:pPr>
        <w:spacing w:line="286" w:lineRule="auto"/>
      </w:pPr>
    </w:p>
    <w:p w:rsidR="00EA40A3" w:rsidRDefault="00EA40A3">
      <w:pPr>
        <w:spacing w:line="286" w:lineRule="auto"/>
      </w:pPr>
    </w:p>
    <w:p w:rsidR="00EA40A3" w:rsidRDefault="00E86C16">
      <w:pPr>
        <w:spacing w:before="71" w:line="247" w:lineRule="auto"/>
        <w:ind w:right="118"/>
        <w:jc w:val="both"/>
        <w:rPr>
          <w:rFonts w:ascii="宋体" w:eastAsia="宋体" w:hAnsi="宋体" w:cs="宋体"/>
          <w:sz w:val="22"/>
          <w:szCs w:val="22"/>
        </w:rPr>
      </w:pPr>
      <w:r>
        <w:rPr>
          <w:rFonts w:ascii="宋体" w:eastAsia="宋体" w:hAnsi="宋体" w:cs="宋体"/>
          <w:spacing w:val="-3"/>
          <w:sz w:val="22"/>
          <w:szCs w:val="22"/>
        </w:rPr>
        <w:t>先选择特定的城乡，再将人群分组，每组按20</w:t>
      </w:r>
      <w:r>
        <w:rPr>
          <w:rFonts w:ascii="宋体" w:eastAsia="宋体" w:hAnsi="宋体" w:cs="宋体"/>
          <w:spacing w:val="-4"/>
          <w:sz w:val="22"/>
          <w:szCs w:val="22"/>
        </w:rPr>
        <w:t>00～10000户抽样调查，对统计</w:t>
      </w:r>
      <w:r>
        <w:rPr>
          <w:rFonts w:ascii="宋体" w:eastAsia="宋体" w:hAnsi="宋体" w:cs="宋体"/>
          <w:sz w:val="22"/>
          <w:szCs w:val="22"/>
        </w:rPr>
        <w:t xml:space="preserve"> </w:t>
      </w:r>
      <w:r>
        <w:rPr>
          <w:rFonts w:ascii="宋体" w:eastAsia="宋体" w:hAnsi="宋体" w:cs="宋体"/>
          <w:spacing w:val="-4"/>
          <w:sz w:val="22"/>
          <w:szCs w:val="22"/>
        </w:rPr>
        <w:t>员、监督员应进行技术培训。适用于家庭营养调查的表格见表12-3,使用时要</w:t>
      </w:r>
      <w:r>
        <w:rPr>
          <w:rFonts w:ascii="宋体" w:eastAsia="宋体" w:hAnsi="宋体" w:cs="宋体"/>
          <w:spacing w:val="14"/>
          <w:sz w:val="22"/>
          <w:szCs w:val="22"/>
        </w:rPr>
        <w:t xml:space="preserve"> </w:t>
      </w:r>
      <w:r>
        <w:rPr>
          <w:rFonts w:ascii="宋体" w:eastAsia="宋体" w:hAnsi="宋体" w:cs="宋体"/>
          <w:spacing w:val="-15"/>
          <w:sz w:val="22"/>
          <w:szCs w:val="22"/>
        </w:rPr>
        <w:t>特别注意选择有代表性的抽样家庭。</w:t>
      </w:r>
    </w:p>
    <w:p w:rsidR="00EA40A3" w:rsidRDefault="00EA40A3">
      <w:pPr>
        <w:spacing w:line="321" w:lineRule="auto"/>
      </w:pPr>
    </w:p>
    <w:p w:rsidR="00EA40A3" w:rsidRDefault="00E86C16">
      <w:pPr>
        <w:spacing w:before="62" w:line="222" w:lineRule="auto"/>
        <w:ind w:left="2722"/>
        <w:rPr>
          <w:rFonts w:ascii="黑体" w:eastAsia="黑体" w:hAnsi="黑体" w:cs="黑体"/>
          <w:sz w:val="19"/>
          <w:szCs w:val="19"/>
        </w:rPr>
      </w:pPr>
      <w:r>
        <w:rPr>
          <w:rFonts w:ascii="黑体" w:eastAsia="黑体" w:hAnsi="黑体" w:cs="黑体"/>
          <w:b/>
          <w:bCs/>
          <w:spacing w:val="-8"/>
          <w:sz w:val="19"/>
          <w:szCs w:val="19"/>
        </w:rPr>
        <w:t>表12-3</w:t>
      </w:r>
      <w:r>
        <w:rPr>
          <w:rFonts w:ascii="黑体" w:eastAsia="黑体" w:hAnsi="黑体" w:cs="黑体"/>
          <w:spacing w:val="47"/>
          <w:sz w:val="19"/>
          <w:szCs w:val="19"/>
        </w:rPr>
        <w:t xml:space="preserve"> </w:t>
      </w:r>
      <w:r>
        <w:rPr>
          <w:rFonts w:ascii="黑体" w:eastAsia="黑体" w:hAnsi="黑体" w:cs="黑体"/>
          <w:b/>
          <w:bCs/>
          <w:spacing w:val="-8"/>
          <w:sz w:val="19"/>
          <w:szCs w:val="19"/>
        </w:rPr>
        <w:t>膳食调查总结表</w:t>
      </w:r>
    </w:p>
    <w:p w:rsidR="00EA40A3" w:rsidRDefault="00E86C16">
      <w:pPr>
        <w:spacing w:before="73" w:line="229" w:lineRule="auto"/>
        <w:ind w:left="369"/>
        <w:rPr>
          <w:rFonts w:ascii="仿宋" w:eastAsia="仿宋" w:hAnsi="仿宋" w:cs="仿宋"/>
          <w:sz w:val="16"/>
          <w:szCs w:val="16"/>
        </w:rPr>
      </w:pPr>
      <w:r>
        <w:rPr>
          <w:rFonts w:ascii="宋体" w:eastAsia="宋体" w:hAnsi="宋体" w:cs="宋体"/>
          <w:spacing w:val="-4"/>
          <w:sz w:val="16"/>
          <w:szCs w:val="16"/>
        </w:rPr>
        <w:t>编号</w:t>
      </w:r>
      <w:r>
        <w:rPr>
          <w:rFonts w:ascii="宋体" w:eastAsia="宋体" w:hAnsi="宋体" w:cs="宋体"/>
          <w:spacing w:val="4"/>
          <w:sz w:val="16"/>
          <w:szCs w:val="16"/>
          <w:u w:val="single"/>
        </w:rPr>
        <w:t xml:space="preserve">     </w:t>
      </w:r>
      <w:r>
        <w:rPr>
          <w:rFonts w:ascii="宋体" w:eastAsia="宋体" w:hAnsi="宋体" w:cs="宋体"/>
          <w:spacing w:val="-4"/>
          <w:sz w:val="16"/>
          <w:szCs w:val="16"/>
        </w:rPr>
        <w:t>省</w:t>
      </w:r>
      <w:r>
        <w:rPr>
          <w:rFonts w:ascii="宋体" w:eastAsia="宋体" w:hAnsi="宋体" w:cs="宋体"/>
          <w:spacing w:val="-68"/>
          <w:sz w:val="16"/>
          <w:szCs w:val="16"/>
        </w:rPr>
        <w:t xml:space="preserve"> </w:t>
      </w:r>
      <w:r>
        <w:rPr>
          <w:rFonts w:ascii="宋体" w:eastAsia="宋体" w:hAnsi="宋体" w:cs="宋体"/>
          <w:spacing w:val="12"/>
          <w:sz w:val="16"/>
          <w:szCs w:val="16"/>
          <w:u w:val="single"/>
        </w:rPr>
        <w:t xml:space="preserve">    </w:t>
      </w:r>
      <w:r>
        <w:rPr>
          <w:rFonts w:ascii="宋体" w:eastAsia="宋体" w:hAnsi="宋体" w:cs="宋体"/>
          <w:spacing w:val="-78"/>
          <w:sz w:val="16"/>
          <w:szCs w:val="16"/>
        </w:rPr>
        <w:t xml:space="preserve"> </w:t>
      </w:r>
      <w:r>
        <w:rPr>
          <w:rFonts w:ascii="宋体" w:eastAsia="宋体" w:hAnsi="宋体" w:cs="宋体"/>
          <w:spacing w:val="-4"/>
          <w:sz w:val="16"/>
          <w:szCs w:val="16"/>
        </w:rPr>
        <w:t>市(县)</w:t>
      </w:r>
      <w:r>
        <w:rPr>
          <w:rFonts w:ascii="宋体" w:eastAsia="宋体" w:hAnsi="宋体" w:cs="宋体"/>
          <w:spacing w:val="-35"/>
          <w:sz w:val="16"/>
          <w:szCs w:val="16"/>
        </w:rPr>
        <w:t xml:space="preserve"> </w:t>
      </w:r>
      <w:r>
        <w:rPr>
          <w:rFonts w:ascii="宋体" w:eastAsia="宋体" w:hAnsi="宋体" w:cs="宋体"/>
          <w:spacing w:val="15"/>
          <w:sz w:val="16"/>
          <w:szCs w:val="16"/>
          <w:u w:val="single"/>
        </w:rPr>
        <w:t xml:space="preserve">    </w:t>
      </w:r>
      <w:r>
        <w:rPr>
          <w:rFonts w:ascii="宋体" w:eastAsia="宋体" w:hAnsi="宋体" w:cs="宋体"/>
          <w:spacing w:val="-80"/>
          <w:sz w:val="16"/>
          <w:szCs w:val="16"/>
        </w:rPr>
        <w:t xml:space="preserve"> </w:t>
      </w:r>
      <w:r>
        <w:rPr>
          <w:rFonts w:ascii="宋体" w:eastAsia="宋体" w:hAnsi="宋体" w:cs="宋体"/>
          <w:spacing w:val="-4"/>
          <w:sz w:val="16"/>
          <w:szCs w:val="16"/>
        </w:rPr>
        <w:t>区(乡)</w:t>
      </w:r>
      <w:r>
        <w:rPr>
          <w:rFonts w:ascii="宋体" w:eastAsia="宋体" w:hAnsi="宋体" w:cs="宋体"/>
          <w:spacing w:val="-15"/>
          <w:sz w:val="16"/>
          <w:szCs w:val="16"/>
        </w:rPr>
        <w:t xml:space="preserve"> </w:t>
      </w:r>
      <w:r>
        <w:rPr>
          <w:rFonts w:ascii="宋体" w:eastAsia="宋体" w:hAnsi="宋体" w:cs="宋体"/>
          <w:spacing w:val="10"/>
          <w:sz w:val="16"/>
          <w:szCs w:val="16"/>
          <w:u w:val="single"/>
        </w:rPr>
        <w:t xml:space="preserve">    </w:t>
      </w:r>
      <w:r>
        <w:rPr>
          <w:rFonts w:ascii="宋体" w:eastAsia="宋体" w:hAnsi="宋体" w:cs="宋体"/>
          <w:spacing w:val="-80"/>
          <w:sz w:val="16"/>
          <w:szCs w:val="16"/>
        </w:rPr>
        <w:t xml:space="preserve"> </w:t>
      </w:r>
      <w:r>
        <w:rPr>
          <w:rFonts w:ascii="宋体" w:eastAsia="宋体" w:hAnsi="宋体" w:cs="宋体"/>
          <w:spacing w:val="-4"/>
          <w:sz w:val="16"/>
          <w:szCs w:val="16"/>
        </w:rPr>
        <w:t>单</w:t>
      </w:r>
      <w:r>
        <w:rPr>
          <w:rFonts w:ascii="宋体" w:eastAsia="宋体" w:hAnsi="宋体" w:cs="宋体"/>
          <w:spacing w:val="-4"/>
          <w:sz w:val="16"/>
          <w:szCs w:val="16"/>
          <w:u w:val="single"/>
        </w:rPr>
        <w:t>位</w:t>
      </w:r>
      <w:r>
        <w:rPr>
          <w:rFonts w:ascii="宋体" w:eastAsia="宋体" w:hAnsi="宋体" w:cs="宋体"/>
          <w:spacing w:val="14"/>
          <w:sz w:val="16"/>
          <w:szCs w:val="16"/>
          <w:u w:val="single"/>
        </w:rPr>
        <w:t xml:space="preserve">    </w:t>
      </w:r>
      <w:r>
        <w:rPr>
          <w:rFonts w:ascii="仿宋" w:eastAsia="仿宋" w:hAnsi="仿宋" w:cs="仿宋"/>
          <w:spacing w:val="-4"/>
          <w:sz w:val="16"/>
          <w:szCs w:val="16"/>
        </w:rPr>
        <w:t>姓名</w:t>
      </w:r>
      <w:r>
        <w:rPr>
          <w:rFonts w:ascii="仿宋" w:eastAsia="仿宋" w:hAnsi="仿宋" w:cs="仿宋"/>
          <w:spacing w:val="1"/>
          <w:sz w:val="16"/>
          <w:szCs w:val="16"/>
          <w:u w:val="single"/>
        </w:rPr>
        <w:t xml:space="preserve">     </w:t>
      </w:r>
      <w:r>
        <w:rPr>
          <w:rFonts w:ascii="仿宋" w:eastAsia="仿宋" w:hAnsi="仿宋" w:cs="仿宋"/>
          <w:spacing w:val="18"/>
          <w:sz w:val="16"/>
          <w:szCs w:val="16"/>
        </w:rPr>
        <w:t xml:space="preserve">   </w:t>
      </w:r>
      <w:r>
        <w:rPr>
          <w:rFonts w:ascii="宋体" w:eastAsia="宋体" w:hAnsi="宋体" w:cs="宋体"/>
          <w:spacing w:val="-4"/>
          <w:sz w:val="16"/>
          <w:szCs w:val="16"/>
        </w:rPr>
        <w:t>调查日期</w:t>
      </w:r>
      <w:r>
        <w:rPr>
          <w:rFonts w:ascii="宋体" w:eastAsia="宋体" w:hAnsi="宋体" w:cs="宋体"/>
          <w:spacing w:val="-43"/>
          <w:sz w:val="16"/>
          <w:szCs w:val="16"/>
        </w:rPr>
        <w:t xml:space="preserve"> </w:t>
      </w:r>
      <w:r>
        <w:rPr>
          <w:rFonts w:ascii="宋体" w:eastAsia="宋体" w:hAnsi="宋体" w:cs="宋体"/>
          <w:spacing w:val="12"/>
          <w:sz w:val="16"/>
          <w:szCs w:val="16"/>
          <w:u w:val="single"/>
        </w:rPr>
        <w:t xml:space="preserve">    </w:t>
      </w:r>
      <w:r>
        <w:rPr>
          <w:rFonts w:ascii="宋体" w:eastAsia="宋体" w:hAnsi="宋体" w:cs="宋体"/>
          <w:spacing w:val="-78"/>
          <w:sz w:val="16"/>
          <w:szCs w:val="16"/>
        </w:rPr>
        <w:t xml:space="preserve"> </w:t>
      </w:r>
      <w:r>
        <w:rPr>
          <w:rFonts w:ascii="宋体" w:eastAsia="宋体" w:hAnsi="宋体" w:cs="宋体"/>
          <w:spacing w:val="-4"/>
          <w:sz w:val="16"/>
          <w:szCs w:val="16"/>
        </w:rPr>
        <w:t>年</w:t>
      </w:r>
      <w:r>
        <w:rPr>
          <w:rFonts w:ascii="宋体" w:eastAsia="宋体" w:hAnsi="宋体" w:cs="宋体"/>
          <w:spacing w:val="-76"/>
          <w:sz w:val="16"/>
          <w:szCs w:val="16"/>
        </w:rPr>
        <w:t xml:space="preserve"> </w:t>
      </w:r>
      <w:r>
        <w:rPr>
          <w:rFonts w:ascii="宋体" w:eastAsia="宋体" w:hAnsi="宋体" w:cs="宋体"/>
          <w:spacing w:val="7"/>
          <w:sz w:val="16"/>
          <w:szCs w:val="16"/>
          <w:u w:val="single"/>
        </w:rPr>
        <w:t xml:space="preserve">    </w:t>
      </w:r>
      <w:r>
        <w:rPr>
          <w:rFonts w:ascii="仿宋" w:eastAsia="仿宋" w:hAnsi="仿宋" w:cs="仿宋"/>
          <w:spacing w:val="-4"/>
          <w:sz w:val="16"/>
          <w:szCs w:val="16"/>
        </w:rPr>
        <w:t>月</w:t>
      </w:r>
      <w:r>
        <w:rPr>
          <w:rFonts w:ascii="仿宋" w:eastAsia="仿宋" w:hAnsi="仿宋" w:cs="仿宋"/>
          <w:spacing w:val="-68"/>
          <w:sz w:val="16"/>
          <w:szCs w:val="16"/>
        </w:rPr>
        <w:t xml:space="preserve"> </w:t>
      </w:r>
      <w:r>
        <w:rPr>
          <w:rFonts w:ascii="仿宋" w:eastAsia="仿宋" w:hAnsi="仿宋" w:cs="仿宋"/>
          <w:sz w:val="16"/>
          <w:szCs w:val="16"/>
          <w:u w:val="single"/>
        </w:rPr>
        <w:t xml:space="preserve"> </w:t>
      </w:r>
      <w:r>
        <w:rPr>
          <w:rFonts w:ascii="仿宋" w:eastAsia="仿宋" w:hAnsi="仿宋" w:cs="仿宋"/>
          <w:spacing w:val="-70"/>
          <w:sz w:val="16"/>
          <w:szCs w:val="16"/>
        </w:rPr>
        <w:t xml:space="preserve"> </w:t>
      </w:r>
      <w:r>
        <w:rPr>
          <w:rFonts w:ascii="仿宋" w:eastAsia="仿宋" w:hAnsi="仿宋" w:cs="仿宋"/>
          <w:sz w:val="16"/>
          <w:szCs w:val="16"/>
          <w:u w:val="single"/>
        </w:rPr>
        <w:t xml:space="preserve"> </w:t>
      </w:r>
      <w:r>
        <w:rPr>
          <w:rFonts w:ascii="仿宋" w:eastAsia="仿宋" w:hAnsi="仿宋" w:cs="仿宋"/>
          <w:spacing w:val="-26"/>
          <w:sz w:val="16"/>
          <w:szCs w:val="16"/>
        </w:rPr>
        <w:t xml:space="preserve"> </w:t>
      </w:r>
      <w:r>
        <w:rPr>
          <w:rFonts w:ascii="仿宋" w:eastAsia="仿宋" w:hAnsi="仿宋" w:cs="仿宋"/>
          <w:spacing w:val="-4"/>
          <w:sz w:val="16"/>
          <w:szCs w:val="16"/>
        </w:rPr>
        <w:t>日</w:t>
      </w:r>
    </w:p>
    <w:p w:rsidR="00EA40A3" w:rsidRDefault="00EA40A3">
      <w:pPr>
        <w:spacing w:line="94" w:lineRule="exact"/>
      </w:pPr>
    </w:p>
    <w:tbl>
      <w:tblPr>
        <w:tblStyle w:val="TableNormal"/>
        <w:tblW w:w="735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380"/>
        <w:gridCol w:w="377"/>
        <w:gridCol w:w="385"/>
        <w:gridCol w:w="1199"/>
        <w:gridCol w:w="1575"/>
        <w:gridCol w:w="1573"/>
        <w:gridCol w:w="870"/>
      </w:tblGrid>
      <w:tr w:rsidR="00EA40A3">
        <w:trPr>
          <w:trHeight w:val="882"/>
        </w:trPr>
        <w:tc>
          <w:tcPr>
            <w:tcW w:w="7359" w:type="dxa"/>
            <w:gridSpan w:val="7"/>
            <w:tcBorders>
              <w:top w:val="single" w:sz="4" w:space="0" w:color="000000"/>
              <w:bottom w:val="single" w:sz="4" w:space="0" w:color="000000"/>
            </w:tcBorders>
            <w:textDirection w:val="tbRlV"/>
          </w:tcPr>
          <w:p w:rsidR="00EA40A3" w:rsidRDefault="00825D12">
            <w:pPr>
              <w:spacing w:line="330" w:lineRule="auto"/>
            </w:pPr>
            <w:r>
              <w:rPr>
                <w:noProof/>
              </w:rPr>
              <mc:AlternateContent>
                <mc:Choice Requires="wps">
                  <w:drawing>
                    <wp:anchor distT="0" distB="0" distL="114300" distR="114300" simplePos="0" relativeHeight="251718656" behindDoc="0" locked="0" layoutInCell="1" allowOverlap="1">
                      <wp:simplePos x="0" y="0"/>
                      <wp:positionH relativeFrom="page">
                        <wp:posOffset>4267835</wp:posOffset>
                      </wp:positionH>
                      <wp:positionV relativeFrom="page">
                        <wp:posOffset>74295</wp:posOffset>
                      </wp:positionV>
                      <wp:extent cx="326390" cy="448310"/>
                      <wp:effectExtent l="0" t="1270" r="1270" b="0"/>
                      <wp:wrapNone/>
                      <wp:docPr id="10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471" w:lineRule="exact"/>
                                    <w:ind w:left="20"/>
                                    <w:rPr>
                                      <w:rFonts w:ascii="宋体" w:eastAsia="宋体" w:hAnsi="宋体" w:cs="宋体"/>
                                      <w:sz w:val="16"/>
                                      <w:szCs w:val="16"/>
                                    </w:rPr>
                                  </w:pPr>
                                  <w:r>
                                    <w:rPr>
                                      <w:rFonts w:ascii="宋体" w:eastAsia="宋体" w:hAnsi="宋体" w:cs="宋体"/>
                                      <w:spacing w:val="-5"/>
                                      <w:position w:val="24"/>
                                      <w:sz w:val="16"/>
                                      <w:szCs w:val="16"/>
                                    </w:rPr>
                                    <w:t>酱</w:t>
                                  </w:r>
                                  <w:r>
                                    <w:rPr>
                                      <w:rFonts w:ascii="宋体" w:eastAsia="宋体" w:hAnsi="宋体" w:cs="宋体"/>
                                      <w:spacing w:val="4"/>
                                      <w:position w:val="24"/>
                                      <w:sz w:val="16"/>
                                      <w:szCs w:val="16"/>
                                    </w:rPr>
                                    <w:t xml:space="preserve">  </w:t>
                                  </w:r>
                                  <w:r>
                                    <w:rPr>
                                      <w:rFonts w:ascii="宋体" w:eastAsia="宋体" w:hAnsi="宋体" w:cs="宋体"/>
                                      <w:spacing w:val="-5"/>
                                      <w:position w:val="24"/>
                                      <w:sz w:val="16"/>
                                      <w:szCs w:val="16"/>
                                    </w:rPr>
                                    <w:t>食</w:t>
                                  </w:r>
                                </w:p>
                                <w:p w:rsidR="00E86C16" w:rsidRDefault="00E86C16">
                                  <w:pPr>
                                    <w:spacing w:line="224" w:lineRule="auto"/>
                                    <w:ind w:left="20"/>
                                    <w:rPr>
                                      <w:rFonts w:ascii="黑体" w:eastAsia="黑体" w:hAnsi="黑体" w:cs="黑体"/>
                                      <w:sz w:val="16"/>
                                      <w:szCs w:val="16"/>
                                    </w:rPr>
                                  </w:pPr>
                                  <w:r>
                                    <w:rPr>
                                      <w:rFonts w:ascii="黑体" w:eastAsia="黑体" w:hAnsi="黑体" w:cs="黑体"/>
                                      <w:spacing w:val="-6"/>
                                      <w:sz w:val="16"/>
                                      <w:szCs w:val="16"/>
                                    </w:rPr>
                                    <w:t>油</w:t>
                                  </w:r>
                                  <w:r>
                                    <w:rPr>
                                      <w:rFonts w:ascii="黑体" w:eastAsia="黑体" w:hAnsi="黑体" w:cs="黑体"/>
                                      <w:sz w:val="16"/>
                                      <w:szCs w:val="16"/>
                                    </w:rPr>
                                    <w:t xml:space="preserve">  </w:t>
                                  </w:r>
                                  <w:r>
                                    <w:rPr>
                                      <w:rFonts w:ascii="黑体" w:eastAsia="黑体" w:hAnsi="黑体" w:cs="黑体"/>
                                      <w:spacing w:val="-6"/>
                                      <w:sz w:val="16"/>
                                      <w:szCs w:val="16"/>
                                    </w:rPr>
                                    <w:t>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9" type="#_x0000_t202" style="position:absolute;margin-left:336.05pt;margin-top:5.85pt;width:25.7pt;height:35.3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J7gswIAALM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" filled="f" stroked="f">
                      <v:textbox inset="0,0,0,0">
                        <w:txbxContent>
                          <w:p w:rsidR="00E86C16" w:rsidRDefault="00E86C16">
                            <w:pPr>
                              <w:spacing w:before="20" w:line="471" w:lineRule="exact"/>
                              <w:ind w:left="20"/>
                              <w:rPr>
                                <w:rFonts w:ascii="宋体" w:eastAsia="宋体" w:hAnsi="宋体" w:cs="宋体"/>
                                <w:sz w:val="16"/>
                                <w:szCs w:val="16"/>
                              </w:rPr>
                            </w:pPr>
                            <w:r>
                              <w:rPr>
                                <w:rFonts w:ascii="宋体" w:eastAsia="宋体" w:hAnsi="宋体" w:cs="宋体"/>
                                <w:spacing w:val="-5"/>
                                <w:position w:val="24"/>
                                <w:sz w:val="16"/>
                                <w:szCs w:val="16"/>
                              </w:rPr>
                              <w:t>酱</w:t>
                            </w:r>
                            <w:r>
                              <w:rPr>
                                <w:rFonts w:ascii="宋体" w:eastAsia="宋体" w:hAnsi="宋体" w:cs="宋体"/>
                                <w:spacing w:val="4"/>
                                <w:position w:val="24"/>
                                <w:sz w:val="16"/>
                                <w:szCs w:val="16"/>
                              </w:rPr>
                              <w:t xml:space="preserve">  </w:t>
                            </w:r>
                            <w:r>
                              <w:rPr>
                                <w:rFonts w:ascii="宋体" w:eastAsia="宋体" w:hAnsi="宋体" w:cs="宋体"/>
                                <w:spacing w:val="-5"/>
                                <w:position w:val="24"/>
                                <w:sz w:val="16"/>
                                <w:szCs w:val="16"/>
                              </w:rPr>
                              <w:t>食</w:t>
                            </w:r>
                          </w:p>
                          <w:p w:rsidR="00E86C16" w:rsidRDefault="00E86C16">
                            <w:pPr>
                              <w:spacing w:line="224" w:lineRule="auto"/>
                              <w:ind w:left="20"/>
                              <w:rPr>
                                <w:rFonts w:ascii="黑体" w:eastAsia="黑体" w:hAnsi="黑体" w:cs="黑体"/>
                                <w:sz w:val="16"/>
                                <w:szCs w:val="16"/>
                              </w:rPr>
                            </w:pPr>
                            <w:r>
                              <w:rPr>
                                <w:rFonts w:ascii="黑体" w:eastAsia="黑体" w:hAnsi="黑体" w:cs="黑体"/>
                                <w:spacing w:val="-6"/>
                                <w:sz w:val="16"/>
                                <w:szCs w:val="16"/>
                              </w:rPr>
                              <w:t>油</w:t>
                            </w:r>
                            <w:r>
                              <w:rPr>
                                <w:rFonts w:ascii="黑体" w:eastAsia="黑体" w:hAnsi="黑体" w:cs="黑体"/>
                                <w:sz w:val="16"/>
                                <w:szCs w:val="16"/>
                              </w:rPr>
                              <w:t xml:space="preserve">  </w:t>
                            </w:r>
                            <w:r>
                              <w:rPr>
                                <w:rFonts w:ascii="黑体" w:eastAsia="黑体" w:hAnsi="黑体" w:cs="黑体"/>
                                <w:spacing w:val="-6"/>
                                <w:sz w:val="16"/>
                                <w:szCs w:val="16"/>
                              </w:rPr>
                              <w:t>盐</w:t>
                            </w:r>
                          </w:p>
                        </w:txbxContent>
                      </v:textbox>
                      <w10:wrap anchorx="page" anchory="page"/>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page">
                        <wp:posOffset>95885</wp:posOffset>
                      </wp:positionH>
                      <wp:positionV relativeFrom="page">
                        <wp:posOffset>86360</wp:posOffset>
                      </wp:positionV>
                      <wp:extent cx="1266825" cy="425450"/>
                      <wp:effectExtent l="0" t="3810" r="3810" b="0"/>
                      <wp:wrapNone/>
                      <wp:docPr id="10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9" w:lineRule="auto"/>
                                    <w:ind w:left="20"/>
                                    <w:rPr>
                                      <w:rFonts w:ascii="宋体" w:eastAsia="宋体" w:hAnsi="宋体" w:cs="宋体"/>
                                      <w:sz w:val="16"/>
                                      <w:szCs w:val="16"/>
                                    </w:rPr>
                                  </w:pPr>
                                  <w:r>
                                    <w:rPr>
                                      <w:rFonts w:ascii="宋体" w:eastAsia="宋体" w:hAnsi="宋体" w:cs="宋体"/>
                                      <w:spacing w:val="-7"/>
                                      <w:sz w:val="16"/>
                                      <w:szCs w:val="16"/>
                                    </w:rPr>
                                    <w:t>项</w:t>
                                  </w:r>
                                  <w:r>
                                    <w:rPr>
                                      <w:rFonts w:ascii="宋体" w:eastAsia="宋体" w:hAnsi="宋体" w:cs="宋体"/>
                                      <w:spacing w:val="82"/>
                                      <w:sz w:val="16"/>
                                      <w:szCs w:val="16"/>
                                    </w:rPr>
                                    <w:t xml:space="preserve"> </w:t>
                                  </w:r>
                                  <w:r>
                                    <w:rPr>
                                      <w:rFonts w:ascii="宋体" w:eastAsia="宋体" w:hAnsi="宋体" w:cs="宋体"/>
                                      <w:spacing w:val="-7"/>
                                      <w:sz w:val="16"/>
                                      <w:szCs w:val="16"/>
                                    </w:rPr>
                                    <w:t>大</w:t>
                                  </w:r>
                                  <w:r>
                                    <w:rPr>
                                      <w:rFonts w:ascii="宋体" w:eastAsia="宋体" w:hAnsi="宋体" w:cs="宋体"/>
                                      <w:spacing w:val="68"/>
                                      <w:sz w:val="16"/>
                                      <w:szCs w:val="16"/>
                                    </w:rPr>
                                    <w:t xml:space="preserve"> </w:t>
                                  </w:r>
                                  <w:r>
                                    <w:rPr>
                                      <w:rFonts w:ascii="宋体" w:eastAsia="宋体" w:hAnsi="宋体" w:cs="宋体"/>
                                      <w:spacing w:val="-7"/>
                                      <w:sz w:val="16"/>
                                      <w:szCs w:val="16"/>
                                    </w:rPr>
                                    <w:t>面</w:t>
                                  </w:r>
                                  <w:r>
                                    <w:rPr>
                                      <w:rFonts w:ascii="宋体" w:eastAsia="宋体" w:hAnsi="宋体" w:cs="宋体"/>
                                      <w:spacing w:val="68"/>
                                      <w:w w:val="101"/>
                                      <w:sz w:val="16"/>
                                      <w:szCs w:val="16"/>
                                    </w:rPr>
                                    <w:t xml:space="preserve"> </w:t>
                                  </w:r>
                                  <w:r>
                                    <w:rPr>
                                      <w:rFonts w:ascii="宋体" w:eastAsia="宋体" w:hAnsi="宋体" w:cs="宋体"/>
                                      <w:spacing w:val="-7"/>
                                      <w:sz w:val="16"/>
                                      <w:szCs w:val="16"/>
                                    </w:rPr>
                                    <w:t>杂</w:t>
                                  </w:r>
                                  <w:r>
                                    <w:rPr>
                                      <w:rFonts w:ascii="宋体" w:eastAsia="宋体" w:hAnsi="宋体" w:cs="宋体"/>
                                      <w:spacing w:val="68"/>
                                      <w:sz w:val="16"/>
                                      <w:szCs w:val="16"/>
                                    </w:rPr>
                                    <w:t xml:space="preserve"> </w:t>
                                  </w:r>
                                  <w:r>
                                    <w:rPr>
                                      <w:rFonts w:ascii="宋体" w:eastAsia="宋体" w:hAnsi="宋体" w:cs="宋体"/>
                                      <w:spacing w:val="-7"/>
                                      <w:sz w:val="16"/>
                                      <w:szCs w:val="16"/>
                                    </w:rPr>
                                    <w:t>薯</w:t>
                                  </w:r>
                                  <w:r>
                                    <w:rPr>
                                      <w:rFonts w:ascii="宋体" w:eastAsia="宋体" w:hAnsi="宋体" w:cs="宋体"/>
                                      <w:spacing w:val="67"/>
                                      <w:sz w:val="16"/>
                                      <w:szCs w:val="16"/>
                                    </w:rPr>
                                    <w:t xml:space="preserve"> </w:t>
                                  </w:r>
                                  <w:r>
                                    <w:rPr>
                                      <w:rFonts w:ascii="宋体" w:eastAsia="宋体" w:hAnsi="宋体" w:cs="宋体"/>
                                      <w:spacing w:val="-7"/>
                                      <w:sz w:val="16"/>
                                      <w:szCs w:val="16"/>
                                    </w:rPr>
                                    <w:t>干</w:t>
                                  </w:r>
                                  <w:r>
                                    <w:rPr>
                                      <w:rFonts w:ascii="宋体" w:eastAsia="宋体" w:hAnsi="宋体" w:cs="宋体"/>
                                      <w:spacing w:val="54"/>
                                      <w:sz w:val="16"/>
                                      <w:szCs w:val="16"/>
                                    </w:rPr>
                                    <w:t xml:space="preserve"> </w:t>
                                  </w:r>
                                  <w:r>
                                    <w:rPr>
                                      <w:rFonts w:ascii="宋体" w:eastAsia="宋体" w:hAnsi="宋体" w:cs="宋体"/>
                                      <w:spacing w:val="-7"/>
                                      <w:sz w:val="16"/>
                                      <w:szCs w:val="16"/>
                                    </w:rPr>
                                    <w:t>豆</w:t>
                                  </w:r>
                                </w:p>
                                <w:p w:rsidR="00E86C16" w:rsidRDefault="00E86C16">
                                  <w:pPr>
                                    <w:spacing w:before="33" w:line="223" w:lineRule="auto"/>
                                    <w:ind w:left="20" w:right="20" w:firstLine="1520"/>
                                    <w:rPr>
                                      <w:rFonts w:ascii="宋体" w:eastAsia="宋体" w:hAnsi="宋体" w:cs="宋体"/>
                                      <w:sz w:val="16"/>
                                      <w:szCs w:val="16"/>
                                    </w:rPr>
                                  </w:pPr>
                                  <w:r>
                                    <w:rPr>
                                      <w:rFonts w:ascii="黑体" w:eastAsia="黑体" w:hAnsi="黑体" w:cs="黑体"/>
                                      <w:spacing w:val="-8"/>
                                      <w:sz w:val="16"/>
                                      <w:szCs w:val="16"/>
                                    </w:rPr>
                                    <w:t>豆</w:t>
                                  </w:r>
                                  <w:r>
                                    <w:rPr>
                                      <w:rFonts w:ascii="黑体" w:eastAsia="黑体" w:hAnsi="黑体" w:cs="黑体"/>
                                      <w:spacing w:val="49"/>
                                      <w:sz w:val="16"/>
                                      <w:szCs w:val="16"/>
                                    </w:rPr>
                                    <w:t xml:space="preserve"> </w:t>
                                  </w:r>
                                  <w:r>
                                    <w:rPr>
                                      <w:rFonts w:ascii="黑体" w:eastAsia="黑体" w:hAnsi="黑体" w:cs="黑体"/>
                                      <w:spacing w:val="-8"/>
                                      <w:sz w:val="16"/>
                                      <w:szCs w:val="16"/>
                                    </w:rPr>
                                    <w:t>制</w:t>
                                  </w:r>
                                  <w:r>
                                    <w:rPr>
                                      <w:rFonts w:ascii="黑体" w:eastAsia="黑体" w:hAnsi="黑体" w:cs="黑体"/>
                                      <w:sz w:val="16"/>
                                      <w:szCs w:val="16"/>
                                    </w:rPr>
                                    <w:t xml:space="preserve"> </w:t>
                                  </w:r>
                                  <w:r>
                                    <w:rPr>
                                      <w:rFonts w:ascii="宋体" w:eastAsia="宋体" w:hAnsi="宋体" w:cs="宋体"/>
                                      <w:spacing w:val="-13"/>
                                      <w:sz w:val="16"/>
                                      <w:szCs w:val="16"/>
                                    </w:rPr>
                                    <w:t>目</w:t>
                                  </w:r>
                                  <w:r>
                                    <w:rPr>
                                      <w:rFonts w:ascii="宋体" w:eastAsia="宋体" w:hAnsi="宋体" w:cs="宋体"/>
                                      <w:spacing w:val="5"/>
                                      <w:sz w:val="16"/>
                                      <w:szCs w:val="16"/>
                                    </w:rPr>
                                    <w:t xml:space="preserve">  </w:t>
                                  </w:r>
                                  <w:r>
                                    <w:rPr>
                                      <w:rFonts w:ascii="宋体" w:eastAsia="宋体" w:hAnsi="宋体" w:cs="宋体"/>
                                      <w:spacing w:val="-13"/>
                                      <w:sz w:val="16"/>
                                      <w:szCs w:val="16"/>
                                    </w:rPr>
                                    <w:t>米</w:t>
                                  </w:r>
                                  <w:r>
                                    <w:rPr>
                                      <w:rFonts w:ascii="宋体" w:eastAsia="宋体" w:hAnsi="宋体" w:cs="宋体"/>
                                      <w:spacing w:val="71"/>
                                      <w:sz w:val="16"/>
                                      <w:szCs w:val="16"/>
                                    </w:rPr>
                                    <w:t xml:space="preserve"> </w:t>
                                  </w:r>
                                  <w:r>
                                    <w:rPr>
                                      <w:rFonts w:ascii="宋体" w:eastAsia="宋体" w:hAnsi="宋体" w:cs="宋体"/>
                                      <w:spacing w:val="-13"/>
                                      <w:sz w:val="16"/>
                                      <w:szCs w:val="16"/>
                                    </w:rPr>
                                    <w:t>粉</w:t>
                                  </w:r>
                                  <w:r>
                                    <w:rPr>
                                      <w:rFonts w:ascii="宋体" w:eastAsia="宋体" w:hAnsi="宋体" w:cs="宋体"/>
                                      <w:spacing w:val="72"/>
                                      <w:sz w:val="16"/>
                                      <w:szCs w:val="16"/>
                                    </w:rPr>
                                    <w:t xml:space="preserve"> </w:t>
                                  </w:r>
                                  <w:r>
                                    <w:rPr>
                                      <w:rFonts w:ascii="宋体" w:eastAsia="宋体" w:hAnsi="宋体" w:cs="宋体"/>
                                      <w:spacing w:val="-13"/>
                                      <w:sz w:val="16"/>
                                      <w:szCs w:val="16"/>
                                    </w:rPr>
                                    <w:t>粮</w:t>
                                  </w:r>
                                  <w:r>
                                    <w:rPr>
                                      <w:rFonts w:ascii="宋体" w:eastAsia="宋体" w:hAnsi="宋体" w:cs="宋体"/>
                                      <w:spacing w:val="72"/>
                                      <w:sz w:val="16"/>
                                      <w:szCs w:val="16"/>
                                    </w:rPr>
                                    <w:t xml:space="preserve"> </w:t>
                                  </w:r>
                                  <w:r>
                                    <w:rPr>
                                      <w:rFonts w:ascii="宋体" w:eastAsia="宋体" w:hAnsi="宋体" w:cs="宋体"/>
                                      <w:spacing w:val="-13"/>
                                      <w:sz w:val="16"/>
                                      <w:szCs w:val="16"/>
                                    </w:rPr>
                                    <w:t>类</w:t>
                                  </w:r>
                                  <w:r>
                                    <w:rPr>
                                      <w:rFonts w:ascii="宋体" w:eastAsia="宋体" w:hAnsi="宋体" w:cs="宋体"/>
                                      <w:spacing w:val="72"/>
                                      <w:sz w:val="16"/>
                                      <w:szCs w:val="16"/>
                                    </w:rPr>
                                    <w:t xml:space="preserve"> </w:t>
                                  </w:r>
                                  <w:r>
                                    <w:rPr>
                                      <w:rFonts w:ascii="宋体" w:eastAsia="宋体" w:hAnsi="宋体" w:cs="宋体"/>
                                      <w:spacing w:val="-13"/>
                                      <w:sz w:val="16"/>
                                      <w:szCs w:val="16"/>
                                    </w:rPr>
                                    <w:t>类</w:t>
                                  </w:r>
                                  <w:r>
                                    <w:rPr>
                                      <w:rFonts w:ascii="宋体" w:eastAsia="宋体" w:hAnsi="宋体" w:cs="宋体"/>
                                      <w:spacing w:val="63"/>
                                      <w:sz w:val="16"/>
                                      <w:szCs w:val="16"/>
                                    </w:rPr>
                                    <w:t xml:space="preserve"> </w:t>
                                  </w:r>
                                  <w:r>
                                    <w:rPr>
                                      <w:rFonts w:ascii="宋体" w:eastAsia="宋体" w:hAnsi="宋体" w:cs="宋体"/>
                                      <w:spacing w:val="-13"/>
                                      <w:position w:val="2"/>
                                      <w:sz w:val="16"/>
                                      <w:szCs w:val="16"/>
                                    </w:rPr>
                                    <w:t>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70" type="#_x0000_t202" style="position:absolute;margin-left:7.55pt;margin-top:6.8pt;width:99.75pt;height:33.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pSswIAALQ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" filled="f" stroked="f">
                      <v:textbox inset="0,0,0,0">
                        <w:txbxContent>
                          <w:p w:rsidR="00E86C16" w:rsidRDefault="00E86C16">
                            <w:pPr>
                              <w:spacing w:before="19" w:line="219" w:lineRule="auto"/>
                              <w:ind w:left="20"/>
                              <w:rPr>
                                <w:rFonts w:ascii="宋体" w:eastAsia="宋体" w:hAnsi="宋体" w:cs="宋体"/>
                                <w:sz w:val="16"/>
                                <w:szCs w:val="16"/>
                              </w:rPr>
                            </w:pPr>
                            <w:r>
                              <w:rPr>
                                <w:rFonts w:ascii="宋体" w:eastAsia="宋体" w:hAnsi="宋体" w:cs="宋体"/>
                                <w:spacing w:val="-7"/>
                                <w:sz w:val="16"/>
                                <w:szCs w:val="16"/>
                              </w:rPr>
                              <w:t>项</w:t>
                            </w:r>
                            <w:r>
                              <w:rPr>
                                <w:rFonts w:ascii="宋体" w:eastAsia="宋体" w:hAnsi="宋体" w:cs="宋体"/>
                                <w:spacing w:val="82"/>
                                <w:sz w:val="16"/>
                                <w:szCs w:val="16"/>
                              </w:rPr>
                              <w:t xml:space="preserve"> </w:t>
                            </w:r>
                            <w:r>
                              <w:rPr>
                                <w:rFonts w:ascii="宋体" w:eastAsia="宋体" w:hAnsi="宋体" w:cs="宋体"/>
                                <w:spacing w:val="-7"/>
                                <w:sz w:val="16"/>
                                <w:szCs w:val="16"/>
                              </w:rPr>
                              <w:t>大</w:t>
                            </w:r>
                            <w:r>
                              <w:rPr>
                                <w:rFonts w:ascii="宋体" w:eastAsia="宋体" w:hAnsi="宋体" w:cs="宋体"/>
                                <w:spacing w:val="68"/>
                                <w:sz w:val="16"/>
                                <w:szCs w:val="16"/>
                              </w:rPr>
                              <w:t xml:space="preserve"> </w:t>
                            </w:r>
                            <w:r>
                              <w:rPr>
                                <w:rFonts w:ascii="宋体" w:eastAsia="宋体" w:hAnsi="宋体" w:cs="宋体"/>
                                <w:spacing w:val="-7"/>
                                <w:sz w:val="16"/>
                                <w:szCs w:val="16"/>
                              </w:rPr>
                              <w:t>面</w:t>
                            </w:r>
                            <w:r>
                              <w:rPr>
                                <w:rFonts w:ascii="宋体" w:eastAsia="宋体" w:hAnsi="宋体" w:cs="宋体"/>
                                <w:spacing w:val="68"/>
                                <w:w w:val="101"/>
                                <w:sz w:val="16"/>
                                <w:szCs w:val="16"/>
                              </w:rPr>
                              <w:t xml:space="preserve"> </w:t>
                            </w:r>
                            <w:r>
                              <w:rPr>
                                <w:rFonts w:ascii="宋体" w:eastAsia="宋体" w:hAnsi="宋体" w:cs="宋体"/>
                                <w:spacing w:val="-7"/>
                                <w:sz w:val="16"/>
                                <w:szCs w:val="16"/>
                              </w:rPr>
                              <w:t>杂</w:t>
                            </w:r>
                            <w:r>
                              <w:rPr>
                                <w:rFonts w:ascii="宋体" w:eastAsia="宋体" w:hAnsi="宋体" w:cs="宋体"/>
                                <w:spacing w:val="68"/>
                                <w:sz w:val="16"/>
                                <w:szCs w:val="16"/>
                              </w:rPr>
                              <w:t xml:space="preserve"> </w:t>
                            </w:r>
                            <w:r>
                              <w:rPr>
                                <w:rFonts w:ascii="宋体" w:eastAsia="宋体" w:hAnsi="宋体" w:cs="宋体"/>
                                <w:spacing w:val="-7"/>
                                <w:sz w:val="16"/>
                                <w:szCs w:val="16"/>
                              </w:rPr>
                              <w:t>薯</w:t>
                            </w:r>
                            <w:r>
                              <w:rPr>
                                <w:rFonts w:ascii="宋体" w:eastAsia="宋体" w:hAnsi="宋体" w:cs="宋体"/>
                                <w:spacing w:val="67"/>
                                <w:sz w:val="16"/>
                                <w:szCs w:val="16"/>
                              </w:rPr>
                              <w:t xml:space="preserve"> </w:t>
                            </w:r>
                            <w:r>
                              <w:rPr>
                                <w:rFonts w:ascii="宋体" w:eastAsia="宋体" w:hAnsi="宋体" w:cs="宋体"/>
                                <w:spacing w:val="-7"/>
                                <w:sz w:val="16"/>
                                <w:szCs w:val="16"/>
                              </w:rPr>
                              <w:t>干</w:t>
                            </w:r>
                            <w:r>
                              <w:rPr>
                                <w:rFonts w:ascii="宋体" w:eastAsia="宋体" w:hAnsi="宋体" w:cs="宋体"/>
                                <w:spacing w:val="54"/>
                                <w:sz w:val="16"/>
                                <w:szCs w:val="16"/>
                              </w:rPr>
                              <w:t xml:space="preserve"> </w:t>
                            </w:r>
                            <w:r>
                              <w:rPr>
                                <w:rFonts w:ascii="宋体" w:eastAsia="宋体" w:hAnsi="宋体" w:cs="宋体"/>
                                <w:spacing w:val="-7"/>
                                <w:sz w:val="16"/>
                                <w:szCs w:val="16"/>
                              </w:rPr>
                              <w:t>豆</w:t>
                            </w:r>
                          </w:p>
                          <w:p w:rsidR="00E86C16" w:rsidRDefault="00E86C16">
                            <w:pPr>
                              <w:spacing w:before="33" w:line="223" w:lineRule="auto"/>
                              <w:ind w:left="20" w:right="20" w:firstLine="1520"/>
                              <w:rPr>
                                <w:rFonts w:ascii="宋体" w:eastAsia="宋体" w:hAnsi="宋体" w:cs="宋体"/>
                                <w:sz w:val="16"/>
                                <w:szCs w:val="16"/>
                              </w:rPr>
                            </w:pPr>
                            <w:r>
                              <w:rPr>
                                <w:rFonts w:ascii="黑体" w:eastAsia="黑体" w:hAnsi="黑体" w:cs="黑体"/>
                                <w:spacing w:val="-8"/>
                                <w:sz w:val="16"/>
                                <w:szCs w:val="16"/>
                              </w:rPr>
                              <w:t>豆</w:t>
                            </w:r>
                            <w:r>
                              <w:rPr>
                                <w:rFonts w:ascii="黑体" w:eastAsia="黑体" w:hAnsi="黑体" w:cs="黑体"/>
                                <w:spacing w:val="49"/>
                                <w:sz w:val="16"/>
                                <w:szCs w:val="16"/>
                              </w:rPr>
                              <w:t xml:space="preserve"> </w:t>
                            </w:r>
                            <w:r>
                              <w:rPr>
                                <w:rFonts w:ascii="黑体" w:eastAsia="黑体" w:hAnsi="黑体" w:cs="黑体"/>
                                <w:spacing w:val="-8"/>
                                <w:sz w:val="16"/>
                                <w:szCs w:val="16"/>
                              </w:rPr>
                              <w:t>制</w:t>
                            </w:r>
                            <w:r>
                              <w:rPr>
                                <w:rFonts w:ascii="黑体" w:eastAsia="黑体" w:hAnsi="黑体" w:cs="黑体"/>
                                <w:sz w:val="16"/>
                                <w:szCs w:val="16"/>
                              </w:rPr>
                              <w:t xml:space="preserve"> </w:t>
                            </w:r>
                            <w:r>
                              <w:rPr>
                                <w:rFonts w:ascii="宋体" w:eastAsia="宋体" w:hAnsi="宋体" w:cs="宋体"/>
                                <w:spacing w:val="-13"/>
                                <w:sz w:val="16"/>
                                <w:szCs w:val="16"/>
                              </w:rPr>
                              <w:t>目</w:t>
                            </w:r>
                            <w:r>
                              <w:rPr>
                                <w:rFonts w:ascii="宋体" w:eastAsia="宋体" w:hAnsi="宋体" w:cs="宋体"/>
                                <w:spacing w:val="5"/>
                                <w:sz w:val="16"/>
                                <w:szCs w:val="16"/>
                              </w:rPr>
                              <w:t xml:space="preserve">  </w:t>
                            </w:r>
                            <w:r>
                              <w:rPr>
                                <w:rFonts w:ascii="宋体" w:eastAsia="宋体" w:hAnsi="宋体" w:cs="宋体"/>
                                <w:spacing w:val="-13"/>
                                <w:sz w:val="16"/>
                                <w:szCs w:val="16"/>
                              </w:rPr>
                              <w:t>米</w:t>
                            </w:r>
                            <w:r>
                              <w:rPr>
                                <w:rFonts w:ascii="宋体" w:eastAsia="宋体" w:hAnsi="宋体" w:cs="宋体"/>
                                <w:spacing w:val="71"/>
                                <w:sz w:val="16"/>
                                <w:szCs w:val="16"/>
                              </w:rPr>
                              <w:t xml:space="preserve"> </w:t>
                            </w:r>
                            <w:r>
                              <w:rPr>
                                <w:rFonts w:ascii="宋体" w:eastAsia="宋体" w:hAnsi="宋体" w:cs="宋体"/>
                                <w:spacing w:val="-13"/>
                                <w:sz w:val="16"/>
                                <w:szCs w:val="16"/>
                              </w:rPr>
                              <w:t>粉</w:t>
                            </w:r>
                            <w:r>
                              <w:rPr>
                                <w:rFonts w:ascii="宋体" w:eastAsia="宋体" w:hAnsi="宋体" w:cs="宋体"/>
                                <w:spacing w:val="72"/>
                                <w:sz w:val="16"/>
                                <w:szCs w:val="16"/>
                              </w:rPr>
                              <w:t xml:space="preserve"> </w:t>
                            </w:r>
                            <w:r>
                              <w:rPr>
                                <w:rFonts w:ascii="宋体" w:eastAsia="宋体" w:hAnsi="宋体" w:cs="宋体"/>
                                <w:spacing w:val="-13"/>
                                <w:sz w:val="16"/>
                                <w:szCs w:val="16"/>
                              </w:rPr>
                              <w:t>粮</w:t>
                            </w:r>
                            <w:r>
                              <w:rPr>
                                <w:rFonts w:ascii="宋体" w:eastAsia="宋体" w:hAnsi="宋体" w:cs="宋体"/>
                                <w:spacing w:val="72"/>
                                <w:sz w:val="16"/>
                                <w:szCs w:val="16"/>
                              </w:rPr>
                              <w:t xml:space="preserve"> </w:t>
                            </w:r>
                            <w:r>
                              <w:rPr>
                                <w:rFonts w:ascii="宋体" w:eastAsia="宋体" w:hAnsi="宋体" w:cs="宋体"/>
                                <w:spacing w:val="-13"/>
                                <w:sz w:val="16"/>
                                <w:szCs w:val="16"/>
                              </w:rPr>
                              <w:t>类</w:t>
                            </w:r>
                            <w:r>
                              <w:rPr>
                                <w:rFonts w:ascii="宋体" w:eastAsia="宋体" w:hAnsi="宋体" w:cs="宋体"/>
                                <w:spacing w:val="72"/>
                                <w:sz w:val="16"/>
                                <w:szCs w:val="16"/>
                              </w:rPr>
                              <w:t xml:space="preserve"> </w:t>
                            </w:r>
                            <w:r>
                              <w:rPr>
                                <w:rFonts w:ascii="宋体" w:eastAsia="宋体" w:hAnsi="宋体" w:cs="宋体"/>
                                <w:spacing w:val="-13"/>
                                <w:sz w:val="16"/>
                                <w:szCs w:val="16"/>
                              </w:rPr>
                              <w:t>类</w:t>
                            </w:r>
                            <w:r>
                              <w:rPr>
                                <w:rFonts w:ascii="宋体" w:eastAsia="宋体" w:hAnsi="宋体" w:cs="宋体"/>
                                <w:spacing w:val="63"/>
                                <w:sz w:val="16"/>
                                <w:szCs w:val="16"/>
                              </w:rPr>
                              <w:t xml:space="preserve"> </w:t>
                            </w:r>
                            <w:r>
                              <w:rPr>
                                <w:rFonts w:ascii="宋体" w:eastAsia="宋体" w:hAnsi="宋体" w:cs="宋体"/>
                                <w:spacing w:val="-13"/>
                                <w:position w:val="2"/>
                                <w:sz w:val="16"/>
                                <w:szCs w:val="16"/>
                              </w:rPr>
                              <w:t>品</w:t>
                            </w:r>
                          </w:p>
                        </w:txbxContent>
                      </v:textbox>
                      <w10:wrap anchorx="page" anchory="page"/>
                    </v:shape>
                  </w:pict>
                </mc:Fallback>
              </mc:AlternateContent>
            </w:r>
          </w:p>
          <w:p w:rsidR="00EA40A3" w:rsidRDefault="00EA40A3">
            <w:pPr>
              <w:spacing w:line="331" w:lineRule="auto"/>
            </w:pPr>
          </w:p>
          <w:p w:rsidR="00EA40A3" w:rsidRDefault="00E86C16">
            <w:pPr>
              <w:spacing w:before="57" w:line="216" w:lineRule="auto"/>
              <w:ind w:left="31"/>
              <w:rPr>
                <w:rFonts w:ascii="宋体" w:eastAsia="宋体" w:hAnsi="宋体" w:cs="宋体"/>
                <w:sz w:val="17"/>
                <w:szCs w:val="17"/>
              </w:rPr>
            </w:pPr>
            <w:r>
              <w:rPr>
                <w:rFonts w:ascii="宋体" w:eastAsia="宋体" w:hAnsi="宋体" w:cs="宋体"/>
                <w:spacing w:val="-11"/>
                <w:sz w:val="17"/>
                <w:szCs w:val="17"/>
              </w:rPr>
              <w:t>其他植物油</w:t>
            </w:r>
          </w:p>
          <w:p w:rsidR="00EA40A3" w:rsidRDefault="00E86C16">
            <w:pPr>
              <w:spacing w:before="104" w:line="272" w:lineRule="auto"/>
              <w:ind w:left="101" w:right="138" w:firstLine="45"/>
              <w:jc w:val="both"/>
              <w:rPr>
                <w:rFonts w:ascii="宋体" w:eastAsia="宋体" w:hAnsi="宋体" w:cs="宋体"/>
                <w:sz w:val="16"/>
                <w:szCs w:val="16"/>
              </w:rPr>
            </w:pPr>
            <w:r>
              <w:rPr>
                <w:rFonts w:ascii="宋体" w:eastAsia="宋体" w:hAnsi="宋体" w:cs="宋体"/>
                <w:spacing w:val="12"/>
                <w:position w:val="-6"/>
                <w:sz w:val="16"/>
                <w:szCs w:val="16"/>
              </w:rPr>
              <w:t>菜</w:t>
            </w:r>
            <w:r>
              <w:rPr>
                <w:rFonts w:ascii="宋体" w:eastAsia="宋体" w:hAnsi="宋体" w:cs="宋体"/>
                <w:spacing w:val="-36"/>
                <w:position w:val="-6"/>
                <w:sz w:val="16"/>
                <w:szCs w:val="16"/>
              </w:rPr>
              <w:t xml:space="preserve"> </w:t>
            </w:r>
            <w:r>
              <w:rPr>
                <w:rFonts w:ascii="宋体" w:eastAsia="宋体" w:hAnsi="宋体" w:cs="宋体"/>
                <w:spacing w:val="12"/>
                <w:position w:val="2"/>
                <w:sz w:val="17"/>
                <w:szCs w:val="17"/>
              </w:rPr>
              <w:t>籽油</w:t>
            </w:r>
            <w:r>
              <w:rPr>
                <w:rFonts w:ascii="宋体" w:eastAsia="宋体" w:hAnsi="宋体" w:cs="宋体"/>
                <w:position w:val="2"/>
                <w:sz w:val="17"/>
                <w:szCs w:val="17"/>
              </w:rPr>
              <w:t xml:space="preserve"> </w:t>
            </w:r>
            <w:r>
              <w:rPr>
                <w:rFonts w:ascii="宋体" w:eastAsia="宋体" w:hAnsi="宋体" w:cs="宋体"/>
                <w:spacing w:val="35"/>
                <w:sz w:val="17"/>
                <w:szCs w:val="17"/>
              </w:rPr>
              <w:t>动物油</w:t>
            </w:r>
            <w:r>
              <w:rPr>
                <w:rFonts w:ascii="宋体" w:eastAsia="宋体" w:hAnsi="宋体" w:cs="宋体"/>
                <w:sz w:val="17"/>
                <w:szCs w:val="17"/>
              </w:rPr>
              <w:t xml:space="preserve"> </w:t>
            </w:r>
            <w:r>
              <w:rPr>
                <w:rFonts w:ascii="宋体" w:eastAsia="宋体" w:hAnsi="宋体" w:cs="宋体"/>
                <w:spacing w:val="-10"/>
                <w:sz w:val="17"/>
                <w:szCs w:val="17"/>
              </w:rPr>
              <w:t>淀粉及糖</w:t>
            </w:r>
            <w:r>
              <w:rPr>
                <w:rFonts w:ascii="宋体" w:eastAsia="宋体" w:hAnsi="宋体" w:cs="宋体"/>
                <w:spacing w:val="1"/>
                <w:sz w:val="17"/>
                <w:szCs w:val="17"/>
              </w:rPr>
              <w:t xml:space="preserve"> </w:t>
            </w:r>
            <w:r>
              <w:rPr>
                <w:rFonts w:ascii="宋体" w:eastAsia="宋体" w:hAnsi="宋体" w:cs="宋体"/>
                <w:spacing w:val="17"/>
                <w:sz w:val="16"/>
                <w:szCs w:val="16"/>
              </w:rPr>
              <w:t>鱼</w:t>
            </w:r>
            <w:r>
              <w:rPr>
                <w:rFonts w:ascii="宋体" w:eastAsia="宋体" w:hAnsi="宋体" w:cs="宋体"/>
                <w:spacing w:val="-47"/>
                <w:sz w:val="16"/>
                <w:szCs w:val="16"/>
              </w:rPr>
              <w:t xml:space="preserve"> </w:t>
            </w:r>
            <w:r>
              <w:rPr>
                <w:rFonts w:ascii="宋体" w:eastAsia="宋体" w:hAnsi="宋体" w:cs="宋体"/>
                <w:spacing w:val="17"/>
                <w:position w:val="-1"/>
                <w:sz w:val="16"/>
                <w:szCs w:val="16"/>
              </w:rPr>
              <w:t>虾</w:t>
            </w:r>
            <w:r>
              <w:rPr>
                <w:rFonts w:ascii="宋体" w:eastAsia="宋体" w:hAnsi="宋体" w:cs="宋体"/>
                <w:spacing w:val="-30"/>
                <w:position w:val="-1"/>
                <w:sz w:val="16"/>
                <w:szCs w:val="16"/>
              </w:rPr>
              <w:t xml:space="preserve"> </w:t>
            </w:r>
            <w:r>
              <w:rPr>
                <w:rFonts w:ascii="宋体" w:eastAsia="宋体" w:hAnsi="宋体" w:cs="宋体"/>
                <w:spacing w:val="17"/>
                <w:position w:val="1"/>
                <w:sz w:val="16"/>
                <w:szCs w:val="16"/>
              </w:rPr>
              <w:t>类</w:t>
            </w:r>
          </w:p>
          <w:p w:rsidR="00EA40A3" w:rsidRDefault="00E86C16">
            <w:pPr>
              <w:spacing w:before="113" w:line="208" w:lineRule="auto"/>
              <w:ind w:left="148"/>
              <w:rPr>
                <w:rFonts w:ascii="宋体" w:eastAsia="宋体" w:hAnsi="宋体" w:cs="宋体"/>
                <w:sz w:val="16"/>
                <w:szCs w:val="16"/>
              </w:rPr>
            </w:pPr>
            <w:r>
              <w:rPr>
                <w:rFonts w:ascii="宋体" w:eastAsia="宋体" w:hAnsi="宋体" w:cs="宋体"/>
                <w:spacing w:val="32"/>
                <w:sz w:val="16"/>
                <w:szCs w:val="16"/>
              </w:rPr>
              <w:t>畜禽类</w:t>
            </w:r>
          </w:p>
          <w:p w:rsidR="00EA40A3" w:rsidRDefault="00825D12">
            <w:pPr>
              <w:spacing w:before="60" w:line="203" w:lineRule="auto"/>
              <w:ind w:left="117"/>
              <w:rPr>
                <w:rFonts w:ascii="宋体" w:eastAsia="宋体" w:hAnsi="宋体" w:cs="宋体"/>
                <w:sz w:val="16"/>
                <w:szCs w:val="16"/>
              </w:rPr>
            </w:pPr>
            <w:r>
              <w:rPr>
                <w:noProof/>
              </w:rPr>
              <mc:AlternateContent>
                <mc:Choice Requires="wps">
                  <w:drawing>
                    <wp:anchor distT="0" distB="0" distL="114300" distR="114300" simplePos="0" relativeHeight="251717632" behindDoc="0" locked="0" layoutInCell="1" allowOverlap="1">
                      <wp:simplePos x="0" y="0"/>
                      <wp:positionH relativeFrom="column">
                        <wp:posOffset>-213360</wp:posOffset>
                      </wp:positionH>
                      <wp:positionV relativeFrom="paragraph">
                        <wp:posOffset>360045</wp:posOffset>
                      </wp:positionV>
                      <wp:extent cx="139700" cy="129540"/>
                      <wp:effectExtent l="0" t="1270" r="0" b="2540"/>
                      <wp:wrapNone/>
                      <wp:docPr id="10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02" w:lineRule="auto"/>
                                    <w:ind w:left="20"/>
                                    <w:rPr>
                                      <w:rFonts w:ascii="仿宋" w:eastAsia="仿宋" w:hAnsi="仿宋" w:cs="仿宋"/>
                                      <w:sz w:val="16"/>
                                      <w:szCs w:val="16"/>
                                    </w:rPr>
                                  </w:pPr>
                                  <w:r>
                                    <w:rPr>
                                      <w:rFonts w:ascii="仿宋" w:eastAsia="仿宋" w:hAnsi="仿宋" w:cs="仿宋"/>
                                      <w:spacing w:val="3"/>
                                      <w:sz w:val="16"/>
                                      <w:szCs w:val="16"/>
                                    </w:rPr>
                                    <w:t>类</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71" type="#_x0000_t202" style="position:absolute;left:0;text-align:left;margin-left:-16.8pt;margin-top:28.35pt;width:11pt;height:1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" filled="f" stroked="f">
                      <v:textbox style="layout-flow:vertical-ideographic" inset="0,0,0,0">
                        <w:txbxContent>
                          <w:p w:rsidR="00E86C16" w:rsidRDefault="00E86C16">
                            <w:pPr>
                              <w:spacing w:before="19" w:line="202" w:lineRule="auto"/>
                              <w:ind w:left="20"/>
                              <w:rPr>
                                <w:rFonts w:ascii="仿宋" w:eastAsia="仿宋" w:hAnsi="仿宋" w:cs="仿宋"/>
                                <w:sz w:val="16"/>
                                <w:szCs w:val="16"/>
                              </w:rPr>
                            </w:pPr>
                            <w:r>
                              <w:rPr>
                                <w:rFonts w:ascii="仿宋" w:eastAsia="仿宋" w:hAnsi="仿宋" w:cs="仿宋"/>
                                <w:spacing w:val="3"/>
                                <w:sz w:val="16"/>
                                <w:szCs w:val="16"/>
                              </w:rPr>
                              <w:t>类</w:t>
                            </w:r>
                          </w:p>
                        </w:txbxContent>
                      </v:textbox>
                    </v:shape>
                  </w:pict>
                </mc:Fallback>
              </mc:AlternateContent>
            </w:r>
            <w:r w:rsidR="00E86C16">
              <w:rPr>
                <w:rFonts w:ascii="宋体" w:eastAsia="宋体" w:hAnsi="宋体" w:cs="宋体"/>
                <w:sz w:val="16"/>
                <w:szCs w:val="16"/>
              </w:rPr>
              <w:t>蛋</w:t>
            </w:r>
          </w:p>
          <w:p w:rsidR="00EA40A3" w:rsidRDefault="00E86C16">
            <w:pPr>
              <w:spacing w:before="144" w:line="207" w:lineRule="auto"/>
              <w:ind w:left="117"/>
              <w:rPr>
                <w:rFonts w:ascii="仿宋" w:eastAsia="仿宋" w:hAnsi="仿宋" w:cs="仿宋"/>
                <w:sz w:val="16"/>
                <w:szCs w:val="16"/>
              </w:rPr>
            </w:pPr>
            <w:r>
              <w:rPr>
                <w:rFonts w:ascii="宋体" w:eastAsia="宋体" w:hAnsi="宋体" w:cs="宋体"/>
                <w:spacing w:val="1"/>
                <w:sz w:val="16"/>
                <w:szCs w:val="16"/>
              </w:rPr>
              <w:t>乳</w:t>
            </w:r>
            <w:r>
              <w:rPr>
                <w:rFonts w:ascii="宋体" w:eastAsia="宋体" w:hAnsi="宋体" w:cs="宋体"/>
                <w:spacing w:val="23"/>
                <w:sz w:val="16"/>
                <w:szCs w:val="16"/>
              </w:rPr>
              <w:t xml:space="preserve">   </w:t>
            </w:r>
            <w:r>
              <w:rPr>
                <w:rFonts w:ascii="仿宋" w:eastAsia="仿宋" w:hAnsi="仿宋" w:cs="仿宋"/>
                <w:spacing w:val="1"/>
                <w:sz w:val="16"/>
                <w:szCs w:val="16"/>
              </w:rPr>
              <w:t>类</w:t>
            </w:r>
          </w:p>
          <w:p w:rsidR="00EA40A3" w:rsidRDefault="00E86C16">
            <w:pPr>
              <w:spacing w:before="153" w:line="306" w:lineRule="auto"/>
              <w:ind w:left="111" w:right="131" w:firstLine="36"/>
              <w:jc w:val="both"/>
              <w:rPr>
                <w:rFonts w:ascii="宋体" w:eastAsia="宋体" w:hAnsi="宋体" w:cs="宋体"/>
                <w:sz w:val="17"/>
                <w:szCs w:val="17"/>
              </w:rPr>
            </w:pPr>
            <w:r>
              <w:rPr>
                <w:rFonts w:ascii="宋体" w:eastAsia="宋体" w:hAnsi="宋体" w:cs="宋体"/>
                <w:spacing w:val="1"/>
                <w:sz w:val="16"/>
                <w:szCs w:val="16"/>
              </w:rPr>
              <w:t>硬</w:t>
            </w:r>
            <w:r>
              <w:rPr>
                <w:rFonts w:ascii="宋体" w:eastAsia="宋体" w:hAnsi="宋体" w:cs="宋体"/>
                <w:spacing w:val="-42"/>
                <w:sz w:val="16"/>
                <w:szCs w:val="16"/>
              </w:rPr>
              <w:t xml:space="preserve"> </w:t>
            </w:r>
            <w:r>
              <w:rPr>
                <w:rFonts w:ascii="宋体" w:eastAsia="宋体" w:hAnsi="宋体" w:cs="宋体"/>
                <w:spacing w:val="1"/>
                <w:sz w:val="16"/>
                <w:szCs w:val="16"/>
              </w:rPr>
              <w:t>壳</w:t>
            </w:r>
            <w:r>
              <w:rPr>
                <w:rFonts w:ascii="宋体" w:eastAsia="宋体" w:hAnsi="宋体" w:cs="宋体"/>
                <w:sz w:val="16"/>
                <w:szCs w:val="16"/>
              </w:rPr>
              <w:t xml:space="preserve"> </w:t>
            </w:r>
            <w:r>
              <w:rPr>
                <w:rFonts w:ascii="仿宋" w:eastAsia="仿宋" w:hAnsi="仿宋" w:cs="仿宋"/>
                <w:spacing w:val="1"/>
                <w:sz w:val="16"/>
                <w:szCs w:val="16"/>
              </w:rPr>
              <w:t>类</w:t>
            </w:r>
            <w:r>
              <w:rPr>
                <w:rFonts w:ascii="仿宋" w:eastAsia="仿宋" w:hAnsi="仿宋" w:cs="仿宋"/>
                <w:sz w:val="16"/>
                <w:szCs w:val="16"/>
              </w:rPr>
              <w:t xml:space="preserve"> </w:t>
            </w:r>
            <w:r>
              <w:rPr>
                <w:rFonts w:ascii="仿宋" w:eastAsia="仿宋" w:hAnsi="仿宋" w:cs="仿宋"/>
                <w:spacing w:val="4"/>
                <w:sz w:val="16"/>
                <w:szCs w:val="16"/>
              </w:rPr>
              <w:t>水</w:t>
            </w:r>
            <w:r>
              <w:rPr>
                <w:rFonts w:ascii="仿宋" w:eastAsia="仿宋" w:hAnsi="仿宋" w:cs="仿宋"/>
                <w:spacing w:val="18"/>
                <w:sz w:val="16"/>
                <w:szCs w:val="16"/>
              </w:rPr>
              <w:t xml:space="preserve">   </w:t>
            </w:r>
            <w:r>
              <w:rPr>
                <w:rFonts w:ascii="宋体" w:eastAsia="宋体" w:hAnsi="宋体" w:cs="宋体"/>
                <w:spacing w:val="4"/>
                <w:sz w:val="16"/>
                <w:szCs w:val="16"/>
              </w:rPr>
              <w:t>果</w:t>
            </w:r>
            <w:r>
              <w:rPr>
                <w:rFonts w:ascii="宋体" w:eastAsia="宋体" w:hAnsi="宋体" w:cs="宋体"/>
                <w:spacing w:val="2"/>
                <w:sz w:val="16"/>
                <w:szCs w:val="16"/>
              </w:rPr>
              <w:t xml:space="preserve"> </w:t>
            </w:r>
            <w:r>
              <w:rPr>
                <w:rFonts w:ascii="宋体" w:eastAsia="宋体" w:hAnsi="宋体" w:cs="宋体"/>
                <w:spacing w:val="8"/>
                <w:sz w:val="16"/>
                <w:szCs w:val="16"/>
              </w:rPr>
              <w:t>咸</w:t>
            </w:r>
            <w:r>
              <w:rPr>
                <w:rFonts w:ascii="宋体" w:eastAsia="宋体" w:hAnsi="宋体" w:cs="宋体"/>
                <w:spacing w:val="16"/>
                <w:sz w:val="16"/>
                <w:szCs w:val="16"/>
              </w:rPr>
              <w:t xml:space="preserve">   </w:t>
            </w:r>
            <w:r>
              <w:rPr>
                <w:rFonts w:ascii="宋体" w:eastAsia="宋体" w:hAnsi="宋体" w:cs="宋体"/>
                <w:spacing w:val="8"/>
                <w:sz w:val="16"/>
                <w:szCs w:val="16"/>
              </w:rPr>
              <w:t>菜</w:t>
            </w:r>
            <w:r>
              <w:rPr>
                <w:rFonts w:ascii="宋体" w:eastAsia="宋体" w:hAnsi="宋体" w:cs="宋体"/>
                <w:sz w:val="16"/>
                <w:szCs w:val="16"/>
              </w:rPr>
              <w:t xml:space="preserve"> </w:t>
            </w:r>
            <w:r>
              <w:rPr>
                <w:rFonts w:ascii="宋体" w:eastAsia="宋体" w:hAnsi="宋体" w:cs="宋体"/>
                <w:spacing w:val="26"/>
                <w:sz w:val="16"/>
                <w:szCs w:val="16"/>
              </w:rPr>
              <w:t>菌藻</w:t>
            </w:r>
            <w:r>
              <w:rPr>
                <w:rFonts w:ascii="宋体" w:eastAsia="宋体" w:hAnsi="宋体" w:cs="宋体"/>
                <w:spacing w:val="-30"/>
                <w:sz w:val="16"/>
                <w:szCs w:val="16"/>
              </w:rPr>
              <w:t xml:space="preserve"> </w:t>
            </w:r>
            <w:r>
              <w:rPr>
                <w:rFonts w:ascii="仿宋" w:eastAsia="仿宋" w:hAnsi="仿宋" w:cs="仿宋"/>
                <w:spacing w:val="26"/>
                <w:sz w:val="16"/>
                <w:szCs w:val="16"/>
              </w:rPr>
              <w:t>类</w:t>
            </w:r>
            <w:r>
              <w:rPr>
                <w:rFonts w:ascii="仿宋" w:eastAsia="仿宋" w:hAnsi="仿宋" w:cs="仿宋"/>
                <w:sz w:val="16"/>
                <w:szCs w:val="16"/>
              </w:rPr>
              <w:t xml:space="preserve"> </w:t>
            </w:r>
            <w:r>
              <w:rPr>
                <w:rFonts w:ascii="宋体" w:eastAsia="宋体" w:hAnsi="宋体" w:cs="宋体"/>
                <w:spacing w:val="7"/>
                <w:sz w:val="16"/>
                <w:szCs w:val="16"/>
              </w:rPr>
              <w:t>干</w:t>
            </w:r>
            <w:r>
              <w:rPr>
                <w:rFonts w:ascii="宋体" w:eastAsia="宋体" w:hAnsi="宋体" w:cs="宋体"/>
                <w:spacing w:val="16"/>
                <w:sz w:val="16"/>
                <w:szCs w:val="16"/>
              </w:rPr>
              <w:t xml:space="preserve">   </w:t>
            </w:r>
            <w:r>
              <w:rPr>
                <w:rFonts w:ascii="宋体" w:eastAsia="宋体" w:hAnsi="宋体" w:cs="宋体"/>
                <w:spacing w:val="7"/>
                <w:sz w:val="16"/>
                <w:szCs w:val="16"/>
              </w:rPr>
              <w:t>菜</w:t>
            </w:r>
            <w:r>
              <w:rPr>
                <w:rFonts w:ascii="宋体" w:eastAsia="宋体" w:hAnsi="宋体" w:cs="宋体"/>
                <w:spacing w:val="2"/>
                <w:sz w:val="16"/>
                <w:szCs w:val="16"/>
              </w:rPr>
              <w:t xml:space="preserve"> </w:t>
            </w:r>
            <w:r>
              <w:rPr>
                <w:rFonts w:ascii="宋体" w:eastAsia="宋体" w:hAnsi="宋体" w:cs="宋体"/>
                <w:spacing w:val="-12"/>
                <w:sz w:val="17"/>
                <w:szCs w:val="17"/>
              </w:rPr>
              <w:t>绿色蔬菜</w:t>
            </w:r>
            <w:r>
              <w:rPr>
                <w:rFonts w:ascii="宋体" w:eastAsia="宋体" w:hAnsi="宋体" w:cs="宋体"/>
                <w:sz w:val="17"/>
                <w:szCs w:val="17"/>
              </w:rPr>
              <w:t xml:space="preserve"> </w:t>
            </w:r>
            <w:r>
              <w:rPr>
                <w:rFonts w:ascii="宋体" w:eastAsia="宋体" w:hAnsi="宋体" w:cs="宋体"/>
                <w:spacing w:val="-11"/>
                <w:sz w:val="17"/>
                <w:szCs w:val="17"/>
              </w:rPr>
              <w:t>浅色蔬菜</w:t>
            </w:r>
          </w:p>
        </w:tc>
      </w:tr>
      <w:tr w:rsidR="00EA40A3">
        <w:trPr>
          <w:trHeight w:val="299"/>
        </w:trPr>
        <w:tc>
          <w:tcPr>
            <w:tcW w:w="7359" w:type="dxa"/>
            <w:gridSpan w:val="7"/>
            <w:tcBorders>
              <w:top w:val="single" w:sz="4" w:space="0" w:color="000000"/>
              <w:bottom w:val="single" w:sz="4" w:space="0" w:color="000000"/>
            </w:tcBorders>
          </w:tcPr>
          <w:p w:rsidR="00EA40A3" w:rsidRDefault="00E86C16">
            <w:pPr>
              <w:spacing w:before="59" w:line="214" w:lineRule="auto"/>
              <w:ind w:left="130"/>
              <w:rPr>
                <w:rFonts w:ascii="宋体" w:eastAsia="宋体" w:hAnsi="宋体" w:cs="宋体"/>
                <w:sz w:val="16"/>
                <w:szCs w:val="16"/>
              </w:rPr>
            </w:pPr>
            <w:r>
              <w:rPr>
                <w:rFonts w:ascii="宋体" w:eastAsia="宋体" w:hAnsi="宋体" w:cs="宋体"/>
                <w:spacing w:val="-2"/>
                <w:sz w:val="16"/>
                <w:szCs w:val="16"/>
              </w:rPr>
              <w:t>质量/g</w:t>
            </w:r>
          </w:p>
        </w:tc>
      </w:tr>
      <w:tr w:rsidR="00EA40A3">
        <w:trPr>
          <w:trHeight w:val="1969"/>
        </w:trPr>
        <w:tc>
          <w:tcPr>
            <w:tcW w:w="7359" w:type="dxa"/>
            <w:gridSpan w:val="7"/>
            <w:tcBorders>
              <w:top w:val="single" w:sz="4" w:space="0" w:color="000000"/>
              <w:bottom w:val="single" w:sz="8" w:space="0" w:color="000000"/>
            </w:tcBorders>
          </w:tcPr>
          <w:p w:rsidR="00EA40A3" w:rsidRDefault="00825D12">
            <w:pPr>
              <w:spacing w:before="74" w:line="372" w:lineRule="exact"/>
              <w:ind w:left="170"/>
            </w:pPr>
            <w:r>
              <w:rPr>
                <w:noProof/>
              </w:rPr>
              <mc:AlternateContent>
                <mc:Choice Requires="wps">
                  <w:drawing>
                    <wp:anchor distT="0" distB="0" distL="114300" distR="114300" simplePos="0" relativeHeight="251716608" behindDoc="0" locked="0" layoutInCell="1" allowOverlap="1">
                      <wp:simplePos x="0" y="0"/>
                      <wp:positionH relativeFrom="column">
                        <wp:posOffset>628015</wp:posOffset>
                      </wp:positionH>
                      <wp:positionV relativeFrom="paragraph">
                        <wp:posOffset>203835</wp:posOffset>
                      </wp:positionV>
                      <wp:extent cx="3663315" cy="190500"/>
                      <wp:effectExtent l="0" t="0" r="0" b="1905"/>
                      <wp:wrapNone/>
                      <wp:docPr id="10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3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34" w:lineRule="auto"/>
                                    <w:ind w:left="20"/>
                                    <w:rPr>
                                      <w:rFonts w:ascii="Times New Roman" w:eastAsia="Times New Roman" w:hAnsi="Times New Roman" w:cs="Times New Roman"/>
                                      <w:sz w:val="16"/>
                                      <w:szCs w:val="16"/>
                                    </w:rPr>
                                  </w:pPr>
                                  <w:r>
                                    <w:rPr>
                                      <w:rFonts w:ascii="Times New Roman" w:eastAsia="Times New Roman" w:hAnsi="Times New Roman" w:cs="Times New Roman"/>
                                      <w:sz w:val="16"/>
                                      <w:szCs w:val="16"/>
                                    </w:rPr>
                                    <w:t>/g</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position w:val="2"/>
                                      <w:sz w:val="22"/>
                                      <w:szCs w:val="22"/>
                                    </w:rPr>
                                    <w:t xml:space="preserve">/g     </w:t>
                                  </w:r>
                                  <w:r>
                                    <w:rPr>
                                      <w:rFonts w:ascii="Times New Roman" w:eastAsia="Times New Roman" w:hAnsi="Times New Roman" w:cs="Times New Roman"/>
                                      <w:sz w:val="16"/>
                                      <w:szCs w:val="16"/>
                                    </w:rPr>
                                    <w:t>/kcal</w:t>
                                  </w:r>
                                  <w:r>
                                    <w:rPr>
                                      <w:rFonts w:ascii="Times New Roman" w:eastAsia="Times New Roman" w:hAnsi="Times New Roman" w:cs="Times New Roman"/>
                                      <w:spacing w:val="4"/>
                                      <w:sz w:val="16"/>
                                      <w:szCs w:val="16"/>
                                    </w:rPr>
                                    <w:t xml:space="preserve">       </w:t>
                                  </w:r>
                                  <w:r>
                                    <w:rPr>
                                      <w:sz w:val="19"/>
                                      <w:szCs w:val="19"/>
                                    </w:rPr>
                                    <w:t>/g</w:t>
                                  </w:r>
                                  <w:r>
                                    <w:rPr>
                                      <w:spacing w:val="11"/>
                                      <w:sz w:val="19"/>
                                      <w:szCs w:val="19"/>
                                    </w:rPr>
                                    <w:t xml:space="preserve">    </w:t>
                                  </w:r>
                                  <w:r>
                                    <w:rPr>
                                      <w:rFonts w:ascii="Times New Roman" w:eastAsia="Times New Roman" w:hAnsi="Times New Roman" w:cs="Times New Roman"/>
                                      <w:sz w:val="16"/>
                                      <w:szCs w:val="16"/>
                                    </w:rPr>
                                    <w:t>/mg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3"/>
                                      <w:szCs w:val="13"/>
                                    </w:rPr>
                                    <w:t>mg</w:t>
                                  </w:r>
                                  <w:r>
                                    <w:rPr>
                                      <w:rFonts w:ascii="Times New Roman" w:eastAsia="Times New Roman" w:hAnsi="Times New Roman" w:cs="Times New Roman"/>
                                      <w:spacing w:val="4"/>
                                      <w:sz w:val="13"/>
                                      <w:szCs w:val="13"/>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/μg</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 xml:space="preserve">mg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72" type="#_x0000_t202" style="position:absolute;left:0;text-align:left;margin-left:49.45pt;margin-top:16.05pt;width:288.4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" filled="f" stroked="f">
                      <v:textbox inset="0,0,0,0">
                        <w:txbxContent>
                          <w:p w:rsidR="00E86C16" w:rsidRDefault="00E86C16">
                            <w:pPr>
                              <w:spacing w:before="19" w:line="234" w:lineRule="auto"/>
                              <w:ind w:left="20"/>
                              <w:rPr>
                                <w:rFonts w:ascii="Times New Roman" w:eastAsia="Times New Roman" w:hAnsi="Times New Roman" w:cs="Times New Roman"/>
                                <w:sz w:val="16"/>
                                <w:szCs w:val="16"/>
                              </w:rPr>
                            </w:pPr>
                            <w:r>
                              <w:rPr>
                                <w:rFonts w:ascii="Times New Roman" w:eastAsia="Times New Roman" w:hAnsi="Times New Roman" w:cs="Times New Roman"/>
                                <w:sz w:val="16"/>
                                <w:szCs w:val="16"/>
                              </w:rPr>
                              <w:t>/g</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z w:val="16"/>
                                <w:szCs w:val="16"/>
                              </w:rPr>
                              <w:t>/g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position w:val="2"/>
                                <w:sz w:val="22"/>
                                <w:szCs w:val="22"/>
                              </w:rPr>
                              <w:t xml:space="preserve">/g     </w:t>
                            </w:r>
                            <w:r>
                              <w:rPr>
                                <w:rFonts w:ascii="Times New Roman" w:eastAsia="Times New Roman" w:hAnsi="Times New Roman" w:cs="Times New Roman"/>
                                <w:sz w:val="16"/>
                                <w:szCs w:val="16"/>
                              </w:rPr>
                              <w:t>/kcal</w:t>
                            </w:r>
                            <w:r>
                              <w:rPr>
                                <w:rFonts w:ascii="Times New Roman" w:eastAsia="Times New Roman" w:hAnsi="Times New Roman" w:cs="Times New Roman"/>
                                <w:spacing w:val="4"/>
                                <w:sz w:val="16"/>
                                <w:szCs w:val="16"/>
                              </w:rPr>
                              <w:t xml:space="preserve">       </w:t>
                            </w:r>
                            <w:r>
                              <w:rPr>
                                <w:sz w:val="19"/>
                                <w:szCs w:val="19"/>
                              </w:rPr>
                              <w:t>/g</w:t>
                            </w:r>
                            <w:r>
                              <w:rPr>
                                <w:spacing w:val="11"/>
                                <w:sz w:val="19"/>
                                <w:szCs w:val="19"/>
                              </w:rPr>
                              <w:t xml:space="preserve">    </w:t>
                            </w:r>
                            <w:r>
                              <w:rPr>
                                <w:rFonts w:ascii="Times New Roman" w:eastAsia="Times New Roman" w:hAnsi="Times New Roman" w:cs="Times New Roman"/>
                                <w:sz w:val="16"/>
                                <w:szCs w:val="16"/>
                              </w:rPr>
                              <w:t>/mg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3"/>
                                <w:szCs w:val="13"/>
                              </w:rPr>
                              <w:t>mg</w:t>
                            </w:r>
                            <w:r>
                              <w:rPr>
                                <w:rFonts w:ascii="Times New Roman" w:eastAsia="Times New Roman" w:hAnsi="Times New Roman" w:cs="Times New Roman"/>
                                <w:spacing w:val="4"/>
                                <w:sz w:val="13"/>
                                <w:szCs w:val="13"/>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A</w:t>
                            </w:r>
                            <w:r>
                              <w:rPr>
                                <w:rFonts w:ascii="Times New Roman" w:eastAsia="Times New Roman" w:hAnsi="Times New Roman" w:cs="Times New Roman"/>
                                <w:spacing w:val="-1"/>
                                <w:sz w:val="16"/>
                                <w:szCs w:val="16"/>
                              </w:rPr>
                              <w:t>/μg</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 xml:space="preserve">mg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mg</w:t>
                            </w:r>
                          </w:p>
                        </w:txbxContent>
                      </v:textbox>
                    </v:shape>
                  </w:pict>
                </mc:Fallback>
              </mc:AlternateContent>
            </w:r>
            <w:r w:rsidR="00E86C16">
              <w:rPr>
                <w:rFonts w:ascii="宋体" w:eastAsia="宋体" w:hAnsi="宋体" w:cs="宋体"/>
                <w:spacing w:val="7"/>
                <w:position w:val="-5"/>
                <w:sz w:val="16"/>
                <w:szCs w:val="16"/>
              </w:rPr>
              <w:t>项</w:t>
            </w:r>
            <w:r w:rsidR="00E86C16">
              <w:rPr>
                <w:rFonts w:ascii="宋体" w:eastAsia="宋体" w:hAnsi="宋体" w:cs="宋体"/>
                <w:spacing w:val="78"/>
                <w:position w:val="-5"/>
                <w:sz w:val="16"/>
                <w:szCs w:val="16"/>
              </w:rPr>
              <w:t xml:space="preserve"> </w:t>
            </w:r>
            <w:r w:rsidR="00E86C16">
              <w:rPr>
                <w:rFonts w:ascii="宋体" w:eastAsia="宋体" w:hAnsi="宋体" w:cs="宋体"/>
                <w:spacing w:val="7"/>
                <w:position w:val="-5"/>
                <w:sz w:val="16"/>
                <w:szCs w:val="16"/>
              </w:rPr>
              <w:t>目</w:t>
            </w:r>
            <w:r w:rsidR="00E86C16">
              <w:rPr>
                <w:rFonts w:ascii="宋体" w:eastAsia="宋体" w:hAnsi="宋体" w:cs="宋体"/>
                <w:spacing w:val="8"/>
                <w:position w:val="-5"/>
                <w:sz w:val="16"/>
                <w:szCs w:val="16"/>
              </w:rPr>
              <w:t xml:space="preserve">   </w:t>
            </w:r>
            <w:r w:rsidR="00E86C16">
              <w:rPr>
                <w:rFonts w:ascii="宋体" w:eastAsia="宋体" w:hAnsi="宋体" w:cs="宋体"/>
                <w:spacing w:val="7"/>
                <w:position w:val="5"/>
                <w:sz w:val="16"/>
                <w:szCs w:val="16"/>
              </w:rPr>
              <w:t>蛋白质脂肪</w:t>
            </w:r>
            <w:r w:rsidR="00E86C16">
              <w:rPr>
                <w:rFonts w:ascii="宋体" w:eastAsia="宋体" w:hAnsi="宋体" w:cs="宋体"/>
                <w:spacing w:val="27"/>
                <w:position w:val="5"/>
                <w:sz w:val="16"/>
                <w:szCs w:val="16"/>
              </w:rPr>
              <w:t xml:space="preserve">  </w:t>
            </w:r>
            <w:r w:rsidR="00E86C16">
              <w:rPr>
                <w:rFonts w:ascii="仿宋" w:eastAsia="仿宋" w:hAnsi="仿宋" w:cs="仿宋"/>
                <w:spacing w:val="7"/>
                <w:position w:val="6"/>
                <w:sz w:val="16"/>
                <w:szCs w:val="16"/>
              </w:rPr>
              <w:t>糖</w:t>
            </w:r>
            <w:r w:rsidR="00E86C16">
              <w:rPr>
                <w:rFonts w:ascii="仿宋" w:eastAsia="仿宋" w:hAnsi="仿宋" w:cs="仿宋"/>
                <w:spacing w:val="23"/>
                <w:w w:val="101"/>
                <w:position w:val="6"/>
                <w:sz w:val="16"/>
                <w:szCs w:val="16"/>
              </w:rPr>
              <w:t xml:space="preserve">   </w:t>
            </w:r>
            <w:r w:rsidR="00E86C16">
              <w:rPr>
                <w:rFonts w:ascii="宋体" w:eastAsia="宋体" w:hAnsi="宋体" w:cs="宋体"/>
                <w:spacing w:val="7"/>
                <w:position w:val="5"/>
                <w:sz w:val="16"/>
                <w:szCs w:val="16"/>
              </w:rPr>
              <w:t>热量粗纤维</w:t>
            </w:r>
            <w:r w:rsidR="00E86C16">
              <w:rPr>
                <w:rFonts w:ascii="宋体" w:eastAsia="宋体" w:hAnsi="宋体" w:cs="宋体"/>
                <w:spacing w:val="34"/>
                <w:position w:val="5"/>
                <w:sz w:val="16"/>
                <w:szCs w:val="16"/>
              </w:rPr>
              <w:t xml:space="preserve">  </w:t>
            </w:r>
            <w:r w:rsidR="00E86C16">
              <w:rPr>
                <w:rFonts w:ascii="宋体" w:eastAsia="宋体" w:hAnsi="宋体" w:cs="宋体"/>
                <w:spacing w:val="7"/>
                <w:position w:val="5"/>
                <w:sz w:val="16"/>
                <w:szCs w:val="16"/>
              </w:rPr>
              <w:t>钙</w:t>
            </w:r>
            <w:r w:rsidR="00E86C16">
              <w:rPr>
                <w:rFonts w:ascii="宋体" w:eastAsia="宋体" w:hAnsi="宋体" w:cs="宋体"/>
                <w:position w:val="5"/>
                <w:sz w:val="16"/>
                <w:szCs w:val="16"/>
              </w:rPr>
              <w:t xml:space="preserve">    </w:t>
            </w:r>
            <w:r w:rsidR="00E86C16">
              <w:rPr>
                <w:rFonts w:ascii="宋体" w:eastAsia="宋体" w:hAnsi="宋体" w:cs="宋体"/>
                <w:spacing w:val="7"/>
                <w:position w:val="6"/>
                <w:sz w:val="16"/>
                <w:szCs w:val="16"/>
              </w:rPr>
              <w:t>磷</w:t>
            </w:r>
            <w:r w:rsidR="00E86C16">
              <w:rPr>
                <w:rFonts w:ascii="宋体" w:eastAsia="宋体" w:hAnsi="宋体" w:cs="宋体"/>
                <w:spacing w:val="12"/>
                <w:position w:val="6"/>
                <w:sz w:val="16"/>
                <w:szCs w:val="16"/>
              </w:rPr>
              <w:t xml:space="preserve">    </w:t>
            </w:r>
            <w:r w:rsidR="00E86C16">
              <w:rPr>
                <w:rFonts w:ascii="宋体" w:eastAsia="宋体" w:hAnsi="宋体" w:cs="宋体"/>
                <w:spacing w:val="7"/>
                <w:position w:val="6"/>
                <w:sz w:val="16"/>
                <w:szCs w:val="16"/>
              </w:rPr>
              <w:t>铁</w:t>
            </w:r>
            <w:r w:rsidR="00E86C16">
              <w:rPr>
                <w:rFonts w:ascii="宋体" w:eastAsia="宋体" w:hAnsi="宋体" w:cs="宋体"/>
                <w:spacing w:val="19"/>
                <w:position w:val="6"/>
                <w:sz w:val="16"/>
                <w:szCs w:val="16"/>
              </w:rPr>
              <w:t xml:space="preserve">  </w:t>
            </w:r>
            <w:r w:rsidR="00E86C16">
              <w:rPr>
                <w:rFonts w:ascii="宋体" w:eastAsia="宋体" w:hAnsi="宋体" w:cs="宋体"/>
                <w:spacing w:val="7"/>
                <w:position w:val="6"/>
                <w:sz w:val="16"/>
                <w:szCs w:val="16"/>
              </w:rPr>
              <w:t>维生素硫胺素核黄素尼</w:t>
            </w:r>
            <w:r w:rsidR="00E86C16">
              <w:rPr>
                <w:rFonts w:ascii="宋体" w:eastAsia="宋体" w:hAnsi="宋体" w:cs="宋体"/>
                <w:spacing w:val="6"/>
                <w:position w:val="6"/>
                <w:sz w:val="16"/>
                <w:szCs w:val="16"/>
              </w:rPr>
              <w:t>克酸</w:t>
            </w:r>
            <w:r w:rsidR="00E86C16">
              <w:rPr>
                <w:rFonts w:ascii="宋体" w:eastAsia="宋体" w:hAnsi="宋体" w:cs="宋体"/>
                <w:spacing w:val="-37"/>
                <w:position w:val="6"/>
                <w:sz w:val="16"/>
                <w:szCs w:val="16"/>
              </w:rPr>
              <w:t xml:space="preserve"> </w:t>
            </w:r>
            <w:r w:rsidR="00E86C16">
              <w:ruby>
                <w:rubyPr>
                  <w:rubyAlign w:val="left"/>
                  <w:hps w:val="16"/>
                  <w:hpsRaise w:val="10"/>
                  <w:hpsBaseText w:val="21"/>
                  <w:lid w:val="zh-CN"/>
                </w:rubyPr>
                <w:rt>
                  <w:r w:rsidR="00E86C16">
                    <w:rPr>
                      <w:rFonts w:ascii="仿宋" w:eastAsia="仿宋" w:hAnsi="仿宋" w:cs="仿宋"/>
                      <w:spacing w:val="-11"/>
                      <w:position w:val="5"/>
                      <w:sz w:val="16"/>
                      <w:szCs w:val="16"/>
                    </w:rPr>
                    <w:t>抗</w:t>
                  </w:r>
                </w:rt>
                <w:rubyBase>
                  <w:r w:rsidR="00E86C16">
                    <w:rPr>
                      <w:rFonts w:ascii="宋体" w:eastAsia="宋体" w:hAnsi="宋体" w:cs="宋体"/>
                      <w:spacing w:val="2"/>
                      <w:position w:val="-5"/>
                      <w:sz w:val="16"/>
                      <w:szCs w:val="16"/>
                    </w:rPr>
                    <w:t>血</w:t>
                  </w:r>
                </w:rubyBase>
              </w:ruby>
            </w:r>
            <w:r w:rsidR="00E86C16">
              <w:ruby>
                <w:rubyPr>
                  <w:rubyAlign w:val="left"/>
                  <w:hps w:val="16"/>
                  <w:hpsRaise w:val="10"/>
                  <w:hpsBaseText w:val="21"/>
                  <w:lid w:val="zh-CN"/>
                </w:rubyPr>
                <w:rt>
                  <w:r w:rsidR="00E86C16">
                    <w:rPr>
                      <w:rFonts w:ascii="仿宋" w:eastAsia="仿宋" w:hAnsi="仿宋" w:cs="仿宋"/>
                      <w:spacing w:val="12"/>
                      <w:position w:val="5"/>
                      <w:sz w:val="16"/>
                      <w:szCs w:val="16"/>
                    </w:rPr>
                    <w:t>坏</w:t>
                  </w:r>
                </w:rt>
                <w:rubyBase>
                  <w:r w:rsidR="00E86C16">
                    <w:rPr>
                      <w:rFonts w:ascii="宋体" w:eastAsia="宋体" w:hAnsi="宋体" w:cs="宋体"/>
                      <w:position w:val="-5"/>
                      <w:sz w:val="16"/>
                      <w:szCs w:val="16"/>
                    </w:rPr>
                    <w:t>酸</w:t>
                  </w:r>
                </w:rubyBase>
              </w:ruby>
            </w:r>
          </w:p>
          <w:p w:rsidR="00EA40A3" w:rsidRDefault="00E86C16">
            <w:pPr>
              <w:tabs>
                <w:tab w:val="left" w:pos="6964"/>
              </w:tabs>
              <w:spacing w:before="105"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u w:val="single"/>
              </w:rPr>
              <w:tab/>
              <w:t>/mg</w:t>
            </w:r>
          </w:p>
          <w:p w:rsidR="00EA40A3" w:rsidRDefault="00E86C16">
            <w:pPr>
              <w:spacing w:before="145" w:line="241" w:lineRule="exact"/>
              <w:ind w:left="130"/>
              <w:rPr>
                <w:rFonts w:ascii="仿宋" w:eastAsia="仿宋" w:hAnsi="仿宋" w:cs="仿宋"/>
                <w:sz w:val="16"/>
                <w:szCs w:val="16"/>
              </w:rPr>
            </w:pPr>
            <w:r>
              <w:rPr>
                <w:rFonts w:ascii="仿宋" w:eastAsia="仿宋" w:hAnsi="仿宋" w:cs="仿宋"/>
                <w:spacing w:val="-2"/>
                <w:position w:val="5"/>
                <w:sz w:val="16"/>
                <w:szCs w:val="16"/>
              </w:rPr>
              <w:t>平均每人</w:t>
            </w:r>
          </w:p>
          <w:p w:rsidR="00EA40A3" w:rsidRDefault="00E86C16">
            <w:pPr>
              <w:spacing w:line="219" w:lineRule="auto"/>
              <w:rPr>
                <w:rFonts w:ascii="宋体" w:eastAsia="宋体" w:hAnsi="宋体" w:cs="宋体"/>
                <w:sz w:val="16"/>
                <w:szCs w:val="16"/>
              </w:rPr>
            </w:pPr>
            <w:r>
              <w:rPr>
                <w:rFonts w:ascii="宋体" w:eastAsia="宋体" w:hAnsi="宋体" w:cs="宋体"/>
                <w:spacing w:val="-1"/>
                <w:sz w:val="16"/>
                <w:szCs w:val="16"/>
              </w:rPr>
              <w:t>每日摄入量</w:t>
            </w:r>
          </w:p>
          <w:p w:rsidR="00EA40A3" w:rsidRDefault="00E86C16">
            <w:pPr>
              <w:spacing w:before="174" w:line="277" w:lineRule="exact"/>
              <w:ind w:left="170"/>
              <w:rPr>
                <w:rFonts w:ascii="Times New Roman" w:eastAsia="Times New Roman" w:hAnsi="Times New Roman" w:cs="Times New Roman"/>
                <w:sz w:val="16"/>
                <w:szCs w:val="16"/>
              </w:rPr>
            </w:pPr>
            <w:r>
              <w:rPr>
                <w:rFonts w:ascii="Times New Roman" w:eastAsia="Times New Roman" w:hAnsi="Times New Roman" w:cs="Times New Roman"/>
                <w:spacing w:val="-1"/>
                <w:position w:val="12"/>
                <w:sz w:val="16"/>
                <w:szCs w:val="16"/>
              </w:rPr>
              <w:t>RNI</w:t>
            </w:r>
          </w:p>
          <w:p w:rsidR="00EA40A3" w:rsidRDefault="00E86C16">
            <w:pPr>
              <w:spacing w:line="221" w:lineRule="auto"/>
              <w:rPr>
                <w:rFonts w:ascii="宋体" w:eastAsia="宋体" w:hAnsi="宋体" w:cs="宋体"/>
                <w:sz w:val="16"/>
                <w:szCs w:val="16"/>
              </w:rPr>
            </w:pPr>
            <w:r>
              <w:rPr>
                <w:rFonts w:ascii="宋体" w:eastAsia="宋体" w:hAnsi="宋体" w:cs="宋体"/>
                <w:spacing w:val="8"/>
                <w:sz w:val="16"/>
                <w:szCs w:val="16"/>
              </w:rPr>
              <w:t>比较/%</w:t>
            </w:r>
          </w:p>
        </w:tc>
      </w:tr>
      <w:tr w:rsidR="00EA40A3">
        <w:trPr>
          <w:trHeight w:val="543"/>
        </w:trPr>
        <w:tc>
          <w:tcPr>
            <w:tcW w:w="7359" w:type="dxa"/>
            <w:gridSpan w:val="7"/>
            <w:tcBorders>
              <w:top w:val="single" w:sz="8" w:space="0" w:color="000000"/>
              <w:bottom w:val="single" w:sz="4" w:space="0" w:color="000000"/>
            </w:tcBorders>
          </w:tcPr>
          <w:p w:rsidR="00EA40A3" w:rsidRDefault="00E86C16">
            <w:pPr>
              <w:spacing w:before="55" w:line="252" w:lineRule="exact"/>
              <w:ind w:left="170"/>
              <w:rPr>
                <w:rFonts w:ascii="宋体" w:eastAsia="宋体" w:hAnsi="宋体" w:cs="宋体"/>
                <w:sz w:val="16"/>
                <w:szCs w:val="16"/>
              </w:rPr>
            </w:pPr>
            <w:r>
              <w:rPr>
                <w:rFonts w:ascii="宋体" w:eastAsia="宋体" w:hAnsi="宋体" w:cs="宋体"/>
                <w:spacing w:val="-2"/>
                <w:position w:val="7"/>
                <w:sz w:val="16"/>
                <w:szCs w:val="16"/>
              </w:rPr>
              <w:t>评价</w:t>
            </w:r>
          </w:p>
          <w:p w:rsidR="00EA40A3" w:rsidRDefault="00E86C16">
            <w:pPr>
              <w:spacing w:line="220" w:lineRule="auto"/>
              <w:ind w:left="170"/>
              <w:rPr>
                <w:rFonts w:ascii="宋体" w:eastAsia="宋体" w:hAnsi="宋体" w:cs="宋体"/>
                <w:sz w:val="16"/>
                <w:szCs w:val="16"/>
              </w:rPr>
            </w:pPr>
            <w:r>
              <w:rPr>
                <w:rFonts w:ascii="宋体" w:eastAsia="宋体" w:hAnsi="宋体" w:cs="宋体"/>
                <w:spacing w:val="-3"/>
                <w:sz w:val="16"/>
                <w:szCs w:val="16"/>
              </w:rPr>
              <w:t>级别</w:t>
            </w:r>
          </w:p>
        </w:tc>
      </w:tr>
      <w:tr w:rsidR="00EA40A3">
        <w:trPr>
          <w:trHeight w:val="299"/>
        </w:trPr>
        <w:tc>
          <w:tcPr>
            <w:tcW w:w="1380" w:type="dxa"/>
            <w:vMerge w:val="restart"/>
            <w:tcBorders>
              <w:top w:val="single" w:sz="4" w:space="0" w:color="000000"/>
              <w:bottom w:val="nil"/>
            </w:tcBorders>
          </w:tcPr>
          <w:p w:rsidR="00EA40A3" w:rsidRDefault="00EA40A3">
            <w:pPr>
              <w:spacing w:line="314" w:lineRule="auto"/>
            </w:pPr>
          </w:p>
          <w:p w:rsidR="00EA40A3" w:rsidRDefault="00EA40A3">
            <w:pPr>
              <w:spacing w:line="314" w:lineRule="auto"/>
            </w:pPr>
          </w:p>
          <w:p w:rsidR="00EA40A3" w:rsidRDefault="00E86C16">
            <w:pPr>
              <w:spacing w:before="52" w:line="220" w:lineRule="auto"/>
              <w:ind w:left="450"/>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18"/>
                <w:sz w:val="16"/>
                <w:szCs w:val="16"/>
              </w:rPr>
              <w:t xml:space="preserve">  </w:t>
            </w:r>
            <w:r>
              <w:rPr>
                <w:rFonts w:ascii="宋体" w:eastAsia="宋体" w:hAnsi="宋体" w:cs="宋体"/>
                <w:spacing w:val="-5"/>
                <w:sz w:val="16"/>
                <w:szCs w:val="16"/>
              </w:rPr>
              <w:t>目</w:t>
            </w:r>
          </w:p>
        </w:tc>
        <w:tc>
          <w:tcPr>
            <w:tcW w:w="377" w:type="dxa"/>
            <w:tcBorders>
              <w:top w:val="single" w:sz="4" w:space="0" w:color="000000"/>
            </w:tcBorders>
          </w:tcPr>
          <w:p w:rsidR="00EA40A3" w:rsidRDefault="00EA40A3"/>
        </w:tc>
        <w:tc>
          <w:tcPr>
            <w:tcW w:w="385" w:type="dxa"/>
            <w:tcBorders>
              <w:top w:val="single" w:sz="4" w:space="0" w:color="000000"/>
            </w:tcBorders>
          </w:tcPr>
          <w:p w:rsidR="00EA40A3" w:rsidRDefault="00EA40A3"/>
        </w:tc>
        <w:tc>
          <w:tcPr>
            <w:tcW w:w="1199" w:type="dxa"/>
            <w:tcBorders>
              <w:top w:val="single" w:sz="4" w:space="0" w:color="000000"/>
            </w:tcBorders>
          </w:tcPr>
          <w:p w:rsidR="00EA40A3" w:rsidRDefault="00E86C16">
            <w:pPr>
              <w:spacing w:before="104" w:line="220" w:lineRule="auto"/>
              <w:ind w:left="97"/>
              <w:rPr>
                <w:rFonts w:ascii="宋体" w:eastAsia="宋体" w:hAnsi="宋体" w:cs="宋体"/>
                <w:sz w:val="16"/>
                <w:szCs w:val="16"/>
              </w:rPr>
            </w:pPr>
            <w:r>
              <w:rPr>
                <w:rFonts w:ascii="宋体" w:eastAsia="宋体" w:hAnsi="宋体" w:cs="宋体"/>
                <w:spacing w:val="-3"/>
                <w:sz w:val="16"/>
                <w:szCs w:val="16"/>
              </w:rPr>
              <w:t>能量食物</w:t>
            </w:r>
          </w:p>
        </w:tc>
        <w:tc>
          <w:tcPr>
            <w:tcW w:w="1575" w:type="dxa"/>
            <w:tcBorders>
              <w:top w:val="single" w:sz="4" w:space="0" w:color="000000"/>
            </w:tcBorders>
          </w:tcPr>
          <w:p w:rsidR="00EA40A3" w:rsidRDefault="00E86C16">
            <w:pPr>
              <w:spacing w:before="123" w:line="203" w:lineRule="auto"/>
              <w:ind w:left="598"/>
              <w:rPr>
                <w:rFonts w:ascii="宋体" w:eastAsia="宋体" w:hAnsi="宋体" w:cs="宋体"/>
                <w:sz w:val="16"/>
                <w:szCs w:val="16"/>
              </w:rPr>
            </w:pPr>
            <w:r>
              <w:rPr>
                <w:rFonts w:ascii="宋体" w:eastAsia="宋体" w:hAnsi="宋体" w:cs="宋体"/>
                <w:spacing w:val="-2"/>
                <w:sz w:val="16"/>
                <w:szCs w:val="16"/>
              </w:rPr>
              <w:t>能量营养素</w:t>
            </w:r>
          </w:p>
        </w:tc>
        <w:tc>
          <w:tcPr>
            <w:tcW w:w="1573" w:type="dxa"/>
            <w:tcBorders>
              <w:top w:val="single" w:sz="4" w:space="0" w:color="000000"/>
            </w:tcBorders>
          </w:tcPr>
          <w:p w:rsidR="00EA40A3" w:rsidRDefault="00E86C16">
            <w:pPr>
              <w:spacing w:before="123" w:line="202" w:lineRule="auto"/>
              <w:ind w:left="573"/>
              <w:rPr>
                <w:rFonts w:ascii="宋体" w:eastAsia="宋体" w:hAnsi="宋体" w:cs="宋体"/>
                <w:sz w:val="16"/>
                <w:szCs w:val="16"/>
              </w:rPr>
            </w:pPr>
            <w:r>
              <w:rPr>
                <w:rFonts w:ascii="宋体" w:eastAsia="宋体" w:hAnsi="宋体" w:cs="宋体"/>
                <w:spacing w:val="-3"/>
                <w:sz w:val="16"/>
                <w:szCs w:val="16"/>
              </w:rPr>
              <w:t>蛋白质</w:t>
            </w:r>
          </w:p>
        </w:tc>
        <w:tc>
          <w:tcPr>
            <w:tcW w:w="870" w:type="dxa"/>
            <w:tcBorders>
              <w:top w:val="single" w:sz="4" w:space="0" w:color="000000"/>
            </w:tcBorders>
          </w:tcPr>
          <w:p w:rsidR="00EA40A3" w:rsidRDefault="00E86C16">
            <w:pPr>
              <w:spacing w:before="114" w:line="213" w:lineRule="auto"/>
              <w:ind w:left="251"/>
              <w:rPr>
                <w:rFonts w:ascii="宋体" w:eastAsia="宋体" w:hAnsi="宋体" w:cs="宋体"/>
                <w:sz w:val="16"/>
                <w:szCs w:val="16"/>
              </w:rPr>
            </w:pPr>
            <w:r>
              <w:rPr>
                <w:rFonts w:ascii="宋体" w:eastAsia="宋体" w:hAnsi="宋体" w:cs="宋体"/>
                <w:spacing w:val="-2"/>
                <w:sz w:val="16"/>
                <w:szCs w:val="16"/>
              </w:rPr>
              <w:t>脂肪</w:t>
            </w:r>
          </w:p>
        </w:tc>
      </w:tr>
      <w:tr w:rsidR="00EA40A3">
        <w:trPr>
          <w:trHeight w:val="309"/>
        </w:trPr>
        <w:tc>
          <w:tcPr>
            <w:tcW w:w="1380" w:type="dxa"/>
            <w:vMerge/>
            <w:tcBorders>
              <w:top w:val="nil"/>
              <w:bottom w:val="nil"/>
            </w:tcBorders>
          </w:tcPr>
          <w:p w:rsidR="00EA40A3" w:rsidRDefault="00EA40A3"/>
        </w:tc>
        <w:tc>
          <w:tcPr>
            <w:tcW w:w="377" w:type="dxa"/>
            <w:tcBorders>
              <w:bottom w:val="single" w:sz="4" w:space="0" w:color="000000"/>
            </w:tcBorders>
          </w:tcPr>
          <w:p w:rsidR="00EA40A3" w:rsidRDefault="00EA40A3"/>
        </w:tc>
        <w:tc>
          <w:tcPr>
            <w:tcW w:w="385" w:type="dxa"/>
            <w:tcBorders>
              <w:bottom w:val="single" w:sz="4" w:space="0" w:color="000000"/>
            </w:tcBorders>
          </w:tcPr>
          <w:p w:rsidR="00EA40A3" w:rsidRDefault="00EA40A3"/>
        </w:tc>
        <w:tc>
          <w:tcPr>
            <w:tcW w:w="1199" w:type="dxa"/>
            <w:tcBorders>
              <w:bottom w:val="single" w:sz="4" w:space="0" w:color="000000"/>
            </w:tcBorders>
          </w:tcPr>
          <w:p w:rsidR="00EA40A3" w:rsidRDefault="00E86C16">
            <w:pPr>
              <w:spacing w:before="53" w:line="219" w:lineRule="auto"/>
              <w:ind w:left="97"/>
              <w:rPr>
                <w:rFonts w:ascii="宋体" w:eastAsia="宋体" w:hAnsi="宋体" w:cs="宋体"/>
                <w:sz w:val="16"/>
                <w:szCs w:val="16"/>
              </w:rPr>
            </w:pPr>
            <w:r>
              <w:rPr>
                <w:rFonts w:ascii="宋体" w:eastAsia="宋体" w:hAnsi="宋体" w:cs="宋体"/>
                <w:spacing w:val="-2"/>
                <w:sz w:val="16"/>
                <w:szCs w:val="16"/>
              </w:rPr>
              <w:t>来源分布</w:t>
            </w:r>
          </w:p>
        </w:tc>
        <w:tc>
          <w:tcPr>
            <w:tcW w:w="1575" w:type="dxa"/>
            <w:tcBorders>
              <w:bottom w:val="single" w:sz="4" w:space="0" w:color="000000"/>
            </w:tcBorders>
          </w:tcPr>
          <w:p w:rsidR="00EA40A3" w:rsidRDefault="00E86C16">
            <w:pPr>
              <w:spacing w:before="53" w:line="219" w:lineRule="auto"/>
              <w:ind w:left="679"/>
              <w:rPr>
                <w:rFonts w:ascii="宋体" w:eastAsia="宋体" w:hAnsi="宋体" w:cs="宋体"/>
                <w:sz w:val="16"/>
                <w:szCs w:val="16"/>
              </w:rPr>
            </w:pPr>
            <w:r>
              <w:rPr>
                <w:rFonts w:ascii="宋体" w:eastAsia="宋体" w:hAnsi="宋体" w:cs="宋体"/>
                <w:spacing w:val="-2"/>
                <w:sz w:val="16"/>
                <w:szCs w:val="16"/>
              </w:rPr>
              <w:t>来源分布</w:t>
            </w:r>
          </w:p>
        </w:tc>
        <w:tc>
          <w:tcPr>
            <w:tcW w:w="1573" w:type="dxa"/>
            <w:tcBorders>
              <w:bottom w:val="single" w:sz="4" w:space="0" w:color="000000"/>
            </w:tcBorders>
          </w:tcPr>
          <w:p w:rsidR="00EA40A3" w:rsidRDefault="00E86C16">
            <w:pPr>
              <w:spacing w:before="43" w:line="219" w:lineRule="auto"/>
              <w:ind w:left="483"/>
              <w:rPr>
                <w:rFonts w:ascii="宋体" w:eastAsia="宋体" w:hAnsi="宋体" w:cs="宋体"/>
                <w:sz w:val="16"/>
                <w:szCs w:val="16"/>
              </w:rPr>
            </w:pPr>
            <w:r>
              <w:rPr>
                <w:rFonts w:ascii="宋体" w:eastAsia="宋体" w:hAnsi="宋体" w:cs="宋体"/>
                <w:spacing w:val="-2"/>
                <w:sz w:val="16"/>
                <w:szCs w:val="16"/>
              </w:rPr>
              <w:t>来源分布</w:t>
            </w:r>
          </w:p>
        </w:tc>
        <w:tc>
          <w:tcPr>
            <w:tcW w:w="870" w:type="dxa"/>
            <w:vMerge w:val="restart"/>
            <w:tcBorders>
              <w:bottom w:val="nil"/>
            </w:tcBorders>
            <w:textDirection w:val="tbRlV"/>
          </w:tcPr>
          <w:p w:rsidR="00EA40A3" w:rsidRDefault="00825D12">
            <w:pPr>
              <w:spacing w:before="179" w:line="399" w:lineRule="exact"/>
              <w:ind w:left="699"/>
              <w:rPr>
                <w:rFonts w:ascii="宋体" w:eastAsia="宋体" w:hAnsi="宋体" w:cs="宋体"/>
                <w:sz w:val="17"/>
                <w:szCs w:val="17"/>
              </w:rPr>
            </w:pPr>
            <w:r>
              <w:rPr>
                <w:noProof/>
              </w:rPr>
              <mc:AlternateContent>
                <mc:Choice Requires="wps">
                  <w:drawing>
                    <wp:anchor distT="0" distB="0" distL="114300" distR="114300" simplePos="0" relativeHeight="251719680" behindDoc="0" locked="0" layoutInCell="1" allowOverlap="1">
                      <wp:simplePos x="0" y="0"/>
                      <wp:positionH relativeFrom="page">
                        <wp:posOffset>58420</wp:posOffset>
                      </wp:positionH>
                      <wp:positionV relativeFrom="page">
                        <wp:posOffset>27940</wp:posOffset>
                      </wp:positionV>
                      <wp:extent cx="427990" cy="146050"/>
                      <wp:effectExtent l="0" t="0" r="3810" b="0"/>
                      <wp:wrapNone/>
                      <wp:docPr id="10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19" w:line="219" w:lineRule="auto"/>
                                    <w:ind w:left="20"/>
                                    <w:rPr>
                                      <w:rFonts w:ascii="宋体" w:eastAsia="宋体" w:hAnsi="宋体" w:cs="宋体"/>
                                      <w:sz w:val="16"/>
                                      <w:szCs w:val="16"/>
                                    </w:rPr>
                                  </w:pPr>
                                  <w:r>
                                    <w:rPr>
                                      <w:rFonts w:ascii="宋体" w:eastAsia="宋体" w:hAnsi="宋体" w:cs="宋体"/>
                                      <w:spacing w:val="-2"/>
                                      <w:sz w:val="16"/>
                                      <w:szCs w:val="16"/>
                                    </w:rPr>
                                    <w:t>来源分布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73" type="#_x0000_t202" style="position:absolute;left:0;text-align:left;margin-left:4.6pt;margin-top:2.2pt;width:33.7pt;height:1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" filled="f" stroked="f">
                      <v:textbox inset="0,0,0,0">
                        <w:txbxContent>
                          <w:p w:rsidR="00E86C16" w:rsidRDefault="00E86C16">
                            <w:pPr>
                              <w:spacing w:before="19" w:line="219" w:lineRule="auto"/>
                              <w:ind w:left="20"/>
                              <w:rPr>
                                <w:rFonts w:ascii="宋体" w:eastAsia="宋体" w:hAnsi="宋体" w:cs="宋体"/>
                                <w:sz w:val="16"/>
                                <w:szCs w:val="16"/>
                              </w:rPr>
                            </w:pPr>
                            <w:r>
                              <w:rPr>
                                <w:rFonts w:ascii="宋体" w:eastAsia="宋体" w:hAnsi="宋体" w:cs="宋体"/>
                                <w:spacing w:val="-2"/>
                                <w:sz w:val="16"/>
                                <w:szCs w:val="16"/>
                              </w:rPr>
                              <w:t>来源分布</w:t>
                            </w:r>
                          </w:p>
                        </w:txbxContent>
                      </v:textbox>
                      <w10:wrap anchorx="page" anchory="page"/>
                    </v:shape>
                  </w:pict>
                </mc:Fallback>
              </mc:AlternateContent>
            </w:r>
            <w:r w:rsidR="00E86C16">
              <w:rPr>
                <w:rFonts w:ascii="宋体" w:eastAsia="宋体" w:hAnsi="宋体" w:cs="宋体"/>
                <w:position w:val="17"/>
                <w:sz w:val="17"/>
                <w:szCs w:val="17"/>
              </w:rPr>
              <w:t>植物</w:t>
            </w:r>
          </w:p>
          <w:p w:rsidR="00EA40A3" w:rsidRDefault="00E86C16">
            <w:pPr>
              <w:spacing w:line="216" w:lineRule="auto"/>
              <w:ind w:left="698"/>
              <w:rPr>
                <w:rFonts w:ascii="宋体" w:eastAsia="宋体" w:hAnsi="宋体" w:cs="宋体"/>
                <w:sz w:val="17"/>
                <w:szCs w:val="17"/>
              </w:rPr>
            </w:pPr>
            <w:r>
              <w:rPr>
                <w:rFonts w:ascii="宋体" w:eastAsia="宋体" w:hAnsi="宋体" w:cs="宋体"/>
                <w:sz w:val="17"/>
                <w:szCs w:val="17"/>
              </w:rPr>
              <w:t>动物</w:t>
            </w:r>
          </w:p>
        </w:tc>
      </w:tr>
      <w:tr w:rsidR="00EA40A3">
        <w:trPr>
          <w:trHeight w:val="1081"/>
        </w:trPr>
        <w:tc>
          <w:tcPr>
            <w:tcW w:w="1380" w:type="dxa"/>
            <w:vMerge/>
            <w:tcBorders>
              <w:top w:val="nil"/>
              <w:bottom w:val="single" w:sz="6" w:space="0" w:color="000000"/>
            </w:tcBorders>
          </w:tcPr>
          <w:p w:rsidR="00EA40A3" w:rsidRDefault="00EA40A3"/>
        </w:tc>
        <w:tc>
          <w:tcPr>
            <w:tcW w:w="377" w:type="dxa"/>
            <w:tcBorders>
              <w:top w:val="single" w:sz="4" w:space="0" w:color="000000"/>
              <w:bottom w:val="single" w:sz="6" w:space="0" w:color="000000"/>
            </w:tcBorders>
            <w:textDirection w:val="tbRlV"/>
          </w:tcPr>
          <w:p w:rsidR="00EA40A3" w:rsidRDefault="00E86C16">
            <w:pPr>
              <w:spacing w:before="117" w:line="216" w:lineRule="auto"/>
              <w:ind w:left="365"/>
              <w:rPr>
                <w:rFonts w:ascii="宋体" w:eastAsia="宋体" w:hAnsi="宋体" w:cs="宋体"/>
                <w:sz w:val="17"/>
                <w:szCs w:val="17"/>
              </w:rPr>
            </w:pPr>
            <w:r>
              <w:rPr>
                <w:rFonts w:ascii="宋体" w:eastAsia="宋体" w:hAnsi="宋体" w:cs="宋体"/>
                <w:sz w:val="17"/>
                <w:szCs w:val="17"/>
              </w:rPr>
              <w:t>谷类</w:t>
            </w:r>
          </w:p>
        </w:tc>
        <w:tc>
          <w:tcPr>
            <w:tcW w:w="385" w:type="dxa"/>
            <w:tcBorders>
              <w:top w:val="single" w:sz="4" w:space="0" w:color="000000"/>
              <w:bottom w:val="single" w:sz="6" w:space="0" w:color="000000"/>
            </w:tcBorders>
            <w:textDirection w:val="tbRlV"/>
          </w:tcPr>
          <w:p w:rsidR="00EA40A3" w:rsidRDefault="00E86C16">
            <w:pPr>
              <w:spacing w:before="97" w:line="216" w:lineRule="auto"/>
              <w:ind w:left="371"/>
              <w:rPr>
                <w:rFonts w:ascii="宋体" w:eastAsia="宋体" w:hAnsi="宋体" w:cs="宋体"/>
                <w:sz w:val="17"/>
                <w:szCs w:val="17"/>
              </w:rPr>
            </w:pPr>
            <w:r>
              <w:rPr>
                <w:rFonts w:ascii="宋体" w:eastAsia="宋体" w:hAnsi="宋体" w:cs="宋体"/>
                <w:sz w:val="17"/>
                <w:szCs w:val="17"/>
              </w:rPr>
              <w:t>薯类</w:t>
            </w:r>
          </w:p>
        </w:tc>
        <w:tc>
          <w:tcPr>
            <w:tcW w:w="1199" w:type="dxa"/>
            <w:tcBorders>
              <w:top w:val="single" w:sz="4" w:space="0" w:color="000000"/>
              <w:bottom w:val="single" w:sz="6" w:space="0" w:color="000000"/>
            </w:tcBorders>
            <w:textDirection w:val="tbRlV"/>
          </w:tcPr>
          <w:p w:rsidR="00EA40A3" w:rsidRDefault="00E86C16">
            <w:pPr>
              <w:spacing w:before="105" w:line="406" w:lineRule="exact"/>
              <w:ind w:left="149"/>
              <w:rPr>
                <w:rFonts w:ascii="宋体" w:eastAsia="宋体" w:hAnsi="宋体" w:cs="宋体"/>
                <w:sz w:val="17"/>
                <w:szCs w:val="17"/>
              </w:rPr>
            </w:pPr>
            <w:r>
              <w:rPr>
                <w:rFonts w:ascii="宋体" w:eastAsia="宋体" w:hAnsi="宋体" w:cs="宋体"/>
                <w:spacing w:val="-11"/>
                <w:position w:val="18"/>
                <w:sz w:val="17"/>
                <w:szCs w:val="17"/>
              </w:rPr>
              <w:t>动物性食物</w:t>
            </w:r>
          </w:p>
          <w:p w:rsidR="00EA40A3" w:rsidRDefault="00E86C16">
            <w:pPr>
              <w:spacing w:line="216" w:lineRule="auto"/>
              <w:ind w:left="80"/>
              <w:rPr>
                <w:rFonts w:ascii="宋体" w:eastAsia="宋体" w:hAnsi="宋体" w:cs="宋体"/>
                <w:sz w:val="17"/>
                <w:szCs w:val="17"/>
              </w:rPr>
            </w:pPr>
            <w:r>
              <w:rPr>
                <w:rFonts w:ascii="宋体" w:eastAsia="宋体" w:hAnsi="宋体" w:cs="宋体"/>
                <w:spacing w:val="-13"/>
                <w:sz w:val="17"/>
                <w:szCs w:val="17"/>
              </w:rPr>
              <w:t>其他植物食物</w:t>
            </w:r>
          </w:p>
          <w:p w:rsidR="00EA40A3" w:rsidRDefault="00E86C16">
            <w:pPr>
              <w:spacing w:before="190" w:line="216" w:lineRule="auto"/>
              <w:ind w:left="382"/>
              <w:rPr>
                <w:rFonts w:ascii="宋体" w:eastAsia="宋体" w:hAnsi="宋体" w:cs="宋体"/>
                <w:sz w:val="17"/>
                <w:szCs w:val="17"/>
              </w:rPr>
            </w:pPr>
            <w:r>
              <w:rPr>
                <w:rFonts w:ascii="宋体" w:eastAsia="宋体" w:hAnsi="宋体" w:cs="宋体"/>
                <w:spacing w:val="-6"/>
                <w:sz w:val="17"/>
                <w:szCs w:val="17"/>
              </w:rPr>
              <w:t>豆类</w:t>
            </w:r>
          </w:p>
        </w:tc>
        <w:tc>
          <w:tcPr>
            <w:tcW w:w="1575" w:type="dxa"/>
            <w:tcBorders>
              <w:top w:val="single" w:sz="4" w:space="0" w:color="000000"/>
              <w:bottom w:val="single" w:sz="6" w:space="0" w:color="000000"/>
            </w:tcBorders>
            <w:textDirection w:val="tbRlV"/>
          </w:tcPr>
          <w:p w:rsidR="00EA40A3" w:rsidRDefault="00E86C16">
            <w:pPr>
              <w:spacing w:before="115" w:line="217" w:lineRule="auto"/>
              <w:ind w:left="386"/>
              <w:rPr>
                <w:rFonts w:ascii="宋体" w:eastAsia="宋体" w:hAnsi="宋体" w:cs="宋体"/>
                <w:sz w:val="17"/>
                <w:szCs w:val="17"/>
              </w:rPr>
            </w:pPr>
            <w:r>
              <w:rPr>
                <w:rFonts w:ascii="宋体" w:eastAsia="宋体" w:hAnsi="宋体" w:cs="宋体"/>
                <w:spacing w:val="-6"/>
                <w:sz w:val="17"/>
                <w:szCs w:val="17"/>
              </w:rPr>
              <w:t>脂肪</w:t>
            </w:r>
          </w:p>
          <w:p w:rsidR="00EA40A3" w:rsidRDefault="00E86C16">
            <w:pPr>
              <w:spacing w:before="184" w:line="216" w:lineRule="auto"/>
              <w:ind w:left="150"/>
              <w:rPr>
                <w:rFonts w:ascii="宋体" w:eastAsia="宋体" w:hAnsi="宋体" w:cs="宋体"/>
                <w:sz w:val="17"/>
                <w:szCs w:val="17"/>
              </w:rPr>
            </w:pPr>
            <w:r>
              <w:rPr>
                <w:rFonts w:ascii="宋体" w:eastAsia="宋体" w:hAnsi="宋体" w:cs="宋体"/>
                <w:spacing w:val="-11"/>
                <w:sz w:val="17"/>
                <w:szCs w:val="17"/>
              </w:rPr>
              <w:t>碳水化合物</w:t>
            </w:r>
          </w:p>
          <w:p w:rsidR="00EA40A3" w:rsidRDefault="00E86C16">
            <w:pPr>
              <w:spacing w:before="195" w:line="216" w:lineRule="auto"/>
              <w:ind w:left="303"/>
              <w:rPr>
                <w:rFonts w:ascii="黑体" w:eastAsia="黑体" w:hAnsi="黑体" w:cs="黑体"/>
                <w:sz w:val="17"/>
                <w:szCs w:val="17"/>
              </w:rPr>
            </w:pPr>
            <w:r>
              <w:rPr>
                <w:rFonts w:ascii="黑体" w:eastAsia="黑体" w:hAnsi="黑体" w:cs="黑体"/>
                <w:spacing w:val="-7"/>
                <w:sz w:val="17"/>
                <w:szCs w:val="17"/>
              </w:rPr>
              <w:t>蛋白质</w:t>
            </w:r>
          </w:p>
          <w:p w:rsidR="00EA40A3" w:rsidRDefault="00E86C16">
            <w:pPr>
              <w:spacing w:before="184" w:line="217" w:lineRule="auto"/>
              <w:ind w:left="150"/>
              <w:rPr>
                <w:rFonts w:ascii="宋体" w:eastAsia="宋体" w:hAnsi="宋体" w:cs="宋体"/>
                <w:sz w:val="17"/>
                <w:szCs w:val="17"/>
              </w:rPr>
            </w:pPr>
            <w:r>
              <w:rPr>
                <w:rFonts w:ascii="宋体" w:eastAsia="宋体" w:hAnsi="宋体" w:cs="宋体"/>
                <w:spacing w:val="-11"/>
                <w:sz w:val="17"/>
                <w:szCs w:val="17"/>
              </w:rPr>
              <w:t>纯能量食物</w:t>
            </w:r>
          </w:p>
        </w:tc>
        <w:tc>
          <w:tcPr>
            <w:tcW w:w="1573" w:type="dxa"/>
            <w:tcBorders>
              <w:top w:val="single" w:sz="4" w:space="0" w:color="000000"/>
              <w:bottom w:val="single" w:sz="6" w:space="0" w:color="000000"/>
            </w:tcBorders>
            <w:textDirection w:val="tbRlV"/>
          </w:tcPr>
          <w:p w:rsidR="00EA40A3" w:rsidRDefault="00E86C16">
            <w:pPr>
              <w:spacing w:before="108" w:line="217" w:lineRule="auto"/>
              <w:ind w:left="158"/>
              <w:rPr>
                <w:rFonts w:ascii="宋体" w:eastAsia="宋体" w:hAnsi="宋体" w:cs="宋体"/>
                <w:sz w:val="17"/>
                <w:szCs w:val="17"/>
              </w:rPr>
            </w:pPr>
            <w:r>
              <w:rPr>
                <w:rFonts w:ascii="宋体" w:eastAsia="宋体" w:hAnsi="宋体" w:cs="宋体"/>
                <w:spacing w:val="-9"/>
                <w:sz w:val="17"/>
                <w:szCs w:val="17"/>
              </w:rPr>
              <w:t>动物性食物</w:t>
            </w:r>
          </w:p>
          <w:p w:rsidR="00EA40A3" w:rsidRDefault="00E86C16">
            <w:pPr>
              <w:spacing w:before="184" w:line="216" w:lineRule="auto"/>
              <w:ind w:left="70"/>
              <w:rPr>
                <w:rFonts w:ascii="宋体" w:eastAsia="宋体" w:hAnsi="宋体" w:cs="宋体"/>
                <w:sz w:val="17"/>
                <w:szCs w:val="17"/>
              </w:rPr>
            </w:pPr>
            <w:r>
              <w:rPr>
                <w:rFonts w:ascii="宋体" w:eastAsia="宋体" w:hAnsi="宋体" w:cs="宋体"/>
                <w:spacing w:val="-11"/>
                <w:sz w:val="17"/>
                <w:szCs w:val="17"/>
              </w:rPr>
              <w:t>其他植物食物</w:t>
            </w:r>
          </w:p>
          <w:p w:rsidR="00EA40A3" w:rsidRDefault="00E86C16">
            <w:pPr>
              <w:spacing w:before="195" w:line="216" w:lineRule="auto"/>
              <w:ind w:left="372"/>
              <w:rPr>
                <w:rFonts w:ascii="宋体" w:eastAsia="宋体" w:hAnsi="宋体" w:cs="宋体"/>
                <w:sz w:val="17"/>
                <w:szCs w:val="17"/>
              </w:rPr>
            </w:pPr>
            <w:r>
              <w:rPr>
                <w:rFonts w:ascii="宋体" w:eastAsia="宋体" w:hAnsi="宋体" w:cs="宋体"/>
                <w:sz w:val="17"/>
                <w:szCs w:val="17"/>
              </w:rPr>
              <w:t>豆类</w:t>
            </w:r>
          </w:p>
          <w:p w:rsidR="00EA40A3" w:rsidRDefault="00E86C16">
            <w:pPr>
              <w:spacing w:before="180" w:line="216" w:lineRule="auto"/>
              <w:ind w:left="375"/>
              <w:rPr>
                <w:rFonts w:ascii="宋体" w:eastAsia="宋体" w:hAnsi="宋体" w:cs="宋体"/>
                <w:sz w:val="17"/>
                <w:szCs w:val="17"/>
              </w:rPr>
            </w:pPr>
            <w:r>
              <w:rPr>
                <w:rFonts w:ascii="宋体" w:eastAsia="宋体" w:hAnsi="宋体" w:cs="宋体"/>
                <w:sz w:val="17"/>
                <w:szCs w:val="17"/>
              </w:rPr>
              <w:t>谷类</w:t>
            </w:r>
          </w:p>
        </w:tc>
        <w:tc>
          <w:tcPr>
            <w:tcW w:w="870" w:type="dxa"/>
            <w:vMerge/>
            <w:tcBorders>
              <w:top w:val="nil"/>
              <w:bottom w:val="single" w:sz="6" w:space="0" w:color="000000"/>
            </w:tcBorders>
            <w:textDirection w:val="tbRlV"/>
          </w:tcPr>
          <w:p w:rsidR="00EA40A3" w:rsidRDefault="00EA40A3"/>
        </w:tc>
      </w:tr>
      <w:tr w:rsidR="00EA40A3">
        <w:trPr>
          <w:trHeight w:val="613"/>
        </w:trPr>
        <w:tc>
          <w:tcPr>
            <w:tcW w:w="7359" w:type="dxa"/>
            <w:gridSpan w:val="7"/>
            <w:tcBorders>
              <w:top w:val="single" w:sz="6" w:space="0" w:color="000000"/>
              <w:bottom w:val="single" w:sz="8" w:space="0" w:color="000000"/>
            </w:tcBorders>
          </w:tcPr>
          <w:p w:rsidR="00EA40A3" w:rsidRDefault="00E86C16">
            <w:pPr>
              <w:spacing w:before="61" w:line="319" w:lineRule="exact"/>
              <w:ind w:left="280"/>
              <w:rPr>
                <w:rFonts w:ascii="宋体" w:eastAsia="宋体" w:hAnsi="宋体" w:cs="宋体"/>
                <w:sz w:val="16"/>
                <w:szCs w:val="16"/>
              </w:rPr>
            </w:pPr>
            <w:r>
              <w:rPr>
                <w:rFonts w:ascii="宋体" w:eastAsia="宋体" w:hAnsi="宋体" w:cs="宋体"/>
                <w:spacing w:val="-6"/>
                <w:position w:val="12"/>
                <w:sz w:val="16"/>
                <w:szCs w:val="16"/>
              </w:rPr>
              <w:t>摄人量/kcal</w:t>
            </w:r>
          </w:p>
          <w:p w:rsidR="00EA40A3" w:rsidRDefault="00E86C16">
            <w:pPr>
              <w:spacing w:line="220" w:lineRule="auto"/>
              <w:ind w:left="170"/>
              <w:rPr>
                <w:rFonts w:ascii="宋体" w:eastAsia="宋体" w:hAnsi="宋体" w:cs="宋体"/>
                <w:sz w:val="16"/>
                <w:szCs w:val="16"/>
              </w:rPr>
            </w:pPr>
            <w:r>
              <w:rPr>
                <w:rFonts w:ascii="宋体" w:eastAsia="宋体" w:hAnsi="宋体" w:cs="宋体"/>
                <w:spacing w:val="6"/>
                <w:sz w:val="16"/>
                <w:szCs w:val="16"/>
              </w:rPr>
              <w:t>占总摄入量/%</w:t>
            </w:r>
          </w:p>
        </w:tc>
      </w:tr>
    </w:tbl>
    <w:p w:rsidR="00EA40A3" w:rsidRDefault="00E86C16">
      <w:pPr>
        <w:spacing w:before="75" w:line="219" w:lineRule="auto"/>
        <w:ind w:left="320"/>
        <w:rPr>
          <w:rFonts w:ascii="宋体" w:eastAsia="宋体" w:hAnsi="宋体" w:cs="宋体"/>
          <w:sz w:val="16"/>
          <w:szCs w:val="16"/>
        </w:rPr>
      </w:pPr>
      <w:r>
        <w:rPr>
          <w:rFonts w:ascii="宋体" w:eastAsia="宋体" w:hAnsi="宋体" w:cs="宋体"/>
          <w:spacing w:val="4"/>
          <w:sz w:val="16"/>
          <w:szCs w:val="16"/>
        </w:rPr>
        <w:t>资料来源：蔡美琴.2001.医学营养学.上海：上海科技文献出版社</w:t>
      </w:r>
    </w:p>
    <w:p w:rsidR="00EA40A3" w:rsidRDefault="00EA40A3">
      <w:pPr>
        <w:spacing w:line="256" w:lineRule="auto"/>
      </w:pPr>
    </w:p>
    <w:p w:rsidR="00EA40A3" w:rsidRDefault="00EA40A3">
      <w:pPr>
        <w:spacing w:line="257"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9"/>
          <w:sz w:val="22"/>
          <w:szCs w:val="22"/>
        </w:rPr>
        <w:t>12.1.3</w:t>
      </w:r>
      <w:r>
        <w:rPr>
          <w:rFonts w:ascii="黑体" w:eastAsia="黑体" w:hAnsi="黑体" w:cs="黑体"/>
          <w:spacing w:val="53"/>
          <w:sz w:val="22"/>
          <w:szCs w:val="22"/>
        </w:rPr>
        <w:t xml:space="preserve">  </w:t>
      </w:r>
      <w:r>
        <w:rPr>
          <w:rFonts w:ascii="黑体" w:eastAsia="黑体" w:hAnsi="黑体" w:cs="黑体"/>
          <w:b/>
          <w:bCs/>
          <w:spacing w:val="9"/>
          <w:sz w:val="22"/>
          <w:szCs w:val="22"/>
        </w:rPr>
        <w:t>计划管理和评价的营养监测</w:t>
      </w:r>
    </w:p>
    <w:p w:rsidR="00EA40A3" w:rsidRDefault="00E86C16">
      <w:pPr>
        <w:spacing w:before="234" w:line="226" w:lineRule="auto"/>
        <w:rPr>
          <w:rFonts w:ascii="仿宋" w:eastAsia="仿宋" w:hAnsi="仿宋" w:cs="仿宋"/>
          <w:sz w:val="22"/>
          <w:szCs w:val="22"/>
        </w:rPr>
      </w:pPr>
      <w:r>
        <w:rPr>
          <w:rFonts w:ascii="仿宋" w:eastAsia="仿宋" w:hAnsi="仿宋" w:cs="仿宋"/>
          <w:spacing w:val="-9"/>
          <w:sz w:val="22"/>
          <w:szCs w:val="22"/>
        </w:rPr>
        <w:t>1.</w:t>
      </w:r>
      <w:r>
        <w:rPr>
          <w:rFonts w:ascii="仿宋" w:eastAsia="仿宋" w:hAnsi="仿宋" w:cs="仿宋"/>
          <w:spacing w:val="-15"/>
          <w:sz w:val="22"/>
          <w:szCs w:val="22"/>
        </w:rPr>
        <w:t xml:space="preserve"> </w:t>
      </w:r>
      <w:r>
        <w:rPr>
          <w:rFonts w:ascii="仿宋" w:eastAsia="仿宋" w:hAnsi="仿宋" w:cs="仿宋"/>
          <w:spacing w:val="-9"/>
          <w:sz w:val="22"/>
          <w:szCs w:val="22"/>
        </w:rPr>
        <w:t>目的</w:t>
      </w:r>
    </w:p>
    <w:p w:rsidR="00EA40A3" w:rsidRDefault="00E86C16">
      <w:pPr>
        <w:spacing w:before="198" w:line="250" w:lineRule="auto"/>
        <w:ind w:right="92" w:firstLine="410"/>
        <w:jc w:val="both"/>
        <w:rPr>
          <w:rFonts w:ascii="宋体" w:eastAsia="宋体" w:hAnsi="宋体" w:cs="宋体"/>
          <w:sz w:val="22"/>
          <w:szCs w:val="22"/>
        </w:rPr>
      </w:pPr>
      <w:r>
        <w:rPr>
          <w:rFonts w:ascii="宋体" w:eastAsia="宋体" w:hAnsi="宋体" w:cs="宋体"/>
          <w:spacing w:val="-13"/>
          <w:sz w:val="22"/>
          <w:szCs w:val="22"/>
        </w:rPr>
        <w:t>这种方法主要是对计划实施过程中的监测和营养状况改变结果的监测。如是</w:t>
      </w:r>
      <w:r>
        <w:rPr>
          <w:rFonts w:ascii="宋体" w:eastAsia="宋体" w:hAnsi="宋体" w:cs="宋体"/>
          <w:spacing w:val="18"/>
          <w:sz w:val="22"/>
          <w:szCs w:val="22"/>
        </w:rPr>
        <w:t xml:space="preserve"> </w:t>
      </w:r>
      <w:r>
        <w:rPr>
          <w:rFonts w:ascii="宋体" w:eastAsia="宋体" w:hAnsi="宋体" w:cs="宋体"/>
          <w:spacing w:val="-7"/>
          <w:sz w:val="22"/>
          <w:szCs w:val="22"/>
        </w:rPr>
        <w:t>否严格按照现行程序管理，更改或制定新的程序，延续计划，用较少的食物资</w:t>
      </w:r>
      <w:r>
        <w:rPr>
          <w:rFonts w:ascii="宋体" w:eastAsia="宋体" w:hAnsi="宋体" w:cs="宋体"/>
          <w:spacing w:val="2"/>
          <w:sz w:val="22"/>
          <w:szCs w:val="22"/>
        </w:rPr>
        <w:t xml:space="preserve"> </w:t>
      </w:r>
      <w:r>
        <w:rPr>
          <w:rFonts w:ascii="宋体" w:eastAsia="宋体" w:hAnsi="宋体" w:cs="宋体"/>
          <w:spacing w:val="-12"/>
          <w:sz w:val="22"/>
          <w:szCs w:val="22"/>
        </w:rPr>
        <w:t>源、经费维持相同的结果，将良好的计划扩展到</w:t>
      </w:r>
      <w:r>
        <w:rPr>
          <w:rFonts w:ascii="宋体" w:eastAsia="宋体" w:hAnsi="宋体" w:cs="宋体"/>
          <w:spacing w:val="-13"/>
          <w:sz w:val="22"/>
          <w:szCs w:val="22"/>
        </w:rPr>
        <w:t>新的不同地区，研究计划活动与</w:t>
      </w:r>
      <w:r>
        <w:rPr>
          <w:rFonts w:ascii="宋体" w:eastAsia="宋体" w:hAnsi="宋体" w:cs="宋体"/>
          <w:sz w:val="22"/>
          <w:szCs w:val="22"/>
        </w:rPr>
        <w:t xml:space="preserve"> </w:t>
      </w:r>
      <w:r>
        <w:rPr>
          <w:rFonts w:ascii="宋体" w:eastAsia="宋体" w:hAnsi="宋体" w:cs="宋体"/>
          <w:spacing w:val="-15"/>
          <w:sz w:val="22"/>
          <w:szCs w:val="22"/>
        </w:rPr>
        <w:t>效果的因果关系，以编制新的计划调整目前的计划。</w:t>
      </w:r>
    </w:p>
    <w:p w:rsidR="00EA40A3" w:rsidRDefault="00E86C16">
      <w:pPr>
        <w:spacing w:before="82"/>
        <w:ind w:left="130"/>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392</w:t>
      </w:r>
      <w:r>
        <w:rPr>
          <w:rFonts w:ascii="宋体" w:eastAsia="宋体" w:hAnsi="宋体" w:cs="宋体"/>
          <w:spacing w:val="61"/>
          <w:w w:val="101"/>
          <w:sz w:val="16"/>
          <w:szCs w:val="16"/>
        </w:rPr>
        <w:t xml:space="preserve"> </w:t>
      </w:r>
      <w:r>
        <w:rPr>
          <w:rFonts w:ascii="宋体" w:eastAsia="宋体" w:hAnsi="宋体" w:cs="宋体"/>
          <w:spacing w:val="-15"/>
          <w:sz w:val="16"/>
          <w:szCs w:val="16"/>
        </w:rPr>
        <w:t>·</w:t>
      </w:r>
    </w:p>
    <w:p w:rsidR="00EA40A3" w:rsidRDefault="00EA40A3">
      <w:pPr>
        <w:sectPr w:rsidR="00EA40A3">
          <w:headerReference w:type="default" r:id="rId318"/>
          <w:footerReference w:type="default" r:id="rId319"/>
          <w:pgSz w:w="9220" w:h="13360"/>
          <w:pgMar w:top="400" w:right="990" w:bottom="400" w:left="869" w:header="0" w:footer="0" w:gutter="0"/>
          <w:cols w:space="720"/>
        </w:sectPr>
      </w:pPr>
    </w:p>
    <w:p w:rsidR="00EA40A3" w:rsidRDefault="00EA40A3">
      <w:pPr>
        <w:spacing w:line="256" w:lineRule="auto"/>
      </w:pPr>
    </w:p>
    <w:p w:rsidR="00EA40A3" w:rsidRDefault="00EA40A3">
      <w:pPr>
        <w:spacing w:line="256" w:lineRule="auto"/>
      </w:pPr>
    </w:p>
    <w:p w:rsidR="00EA40A3" w:rsidRDefault="00EA40A3">
      <w:pPr>
        <w:spacing w:line="257" w:lineRule="auto"/>
      </w:pPr>
    </w:p>
    <w:p w:rsidR="00EA40A3" w:rsidRDefault="00E86C16">
      <w:pPr>
        <w:spacing w:before="71" w:line="221"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17"/>
          <w:sz w:val="22"/>
          <w:szCs w:val="22"/>
        </w:rPr>
        <w:t xml:space="preserve"> </w:t>
      </w:r>
      <w:r>
        <w:rPr>
          <w:rFonts w:ascii="仿宋" w:eastAsia="仿宋" w:hAnsi="仿宋" w:cs="仿宋"/>
          <w:spacing w:val="12"/>
          <w:sz w:val="22"/>
          <w:szCs w:val="22"/>
        </w:rPr>
        <w:t>营养和保健计划的评价监测</w:t>
      </w:r>
    </w:p>
    <w:p w:rsidR="00EA40A3" w:rsidRDefault="00E86C16">
      <w:pPr>
        <w:spacing w:before="179" w:line="247" w:lineRule="auto"/>
        <w:ind w:right="139" w:firstLine="449"/>
        <w:rPr>
          <w:rFonts w:ascii="宋体" w:eastAsia="宋体" w:hAnsi="宋体" w:cs="宋体"/>
          <w:sz w:val="22"/>
          <w:szCs w:val="22"/>
        </w:rPr>
      </w:pPr>
      <w:r>
        <w:rPr>
          <w:rFonts w:ascii="宋体" w:eastAsia="宋体" w:hAnsi="宋体" w:cs="宋体"/>
          <w:spacing w:val="-9"/>
          <w:sz w:val="22"/>
          <w:szCs w:val="22"/>
        </w:rPr>
        <w:t>以蛋白质-热量营养不良为例，改善这类营养</w:t>
      </w:r>
      <w:r>
        <w:rPr>
          <w:rFonts w:ascii="宋体" w:eastAsia="宋体" w:hAnsi="宋体" w:cs="宋体"/>
          <w:spacing w:val="-10"/>
          <w:sz w:val="22"/>
          <w:szCs w:val="22"/>
        </w:rPr>
        <w:t>不良的措施是制定合宜的膳食</w:t>
      </w:r>
      <w:r>
        <w:rPr>
          <w:rFonts w:ascii="宋体" w:eastAsia="宋体" w:hAnsi="宋体" w:cs="宋体"/>
          <w:sz w:val="22"/>
          <w:szCs w:val="22"/>
        </w:rPr>
        <w:t xml:space="preserve"> </w:t>
      </w:r>
      <w:r>
        <w:rPr>
          <w:rFonts w:ascii="宋体" w:eastAsia="宋体" w:hAnsi="宋体" w:cs="宋体"/>
          <w:spacing w:val="-11"/>
          <w:sz w:val="22"/>
          <w:szCs w:val="22"/>
        </w:rPr>
        <w:t>计划，提出计划目的，并且列出评价监测指标，见表12-4。</w:t>
      </w:r>
    </w:p>
    <w:p w:rsidR="00EA40A3" w:rsidRDefault="00EA40A3">
      <w:pPr>
        <w:spacing w:line="308" w:lineRule="auto"/>
      </w:pPr>
    </w:p>
    <w:p w:rsidR="00EA40A3" w:rsidRDefault="00E86C16">
      <w:pPr>
        <w:spacing w:before="56" w:line="221" w:lineRule="auto"/>
        <w:ind w:left="2162"/>
        <w:rPr>
          <w:rFonts w:ascii="黑体" w:eastAsia="黑体" w:hAnsi="黑体" w:cs="黑体"/>
          <w:sz w:val="17"/>
          <w:szCs w:val="17"/>
        </w:rPr>
      </w:pPr>
      <w:r>
        <w:rPr>
          <w:rFonts w:ascii="黑体" w:eastAsia="黑体" w:hAnsi="黑体" w:cs="黑体"/>
          <w:b/>
          <w:bCs/>
          <w:spacing w:val="7"/>
          <w:sz w:val="17"/>
          <w:szCs w:val="17"/>
        </w:rPr>
        <w:t>表12-4</w:t>
      </w:r>
      <w:r>
        <w:rPr>
          <w:rFonts w:ascii="黑体" w:eastAsia="黑体" w:hAnsi="黑体" w:cs="黑体"/>
          <w:spacing w:val="75"/>
          <w:sz w:val="17"/>
          <w:szCs w:val="17"/>
        </w:rPr>
        <w:t xml:space="preserve"> </w:t>
      </w:r>
      <w:r>
        <w:rPr>
          <w:rFonts w:ascii="黑体" w:eastAsia="黑体" w:hAnsi="黑体" w:cs="黑体"/>
          <w:b/>
          <w:bCs/>
          <w:spacing w:val="7"/>
          <w:sz w:val="17"/>
          <w:szCs w:val="17"/>
        </w:rPr>
        <w:t>儿童营养和保健计划的评价监测</w:t>
      </w:r>
    </w:p>
    <w:p w:rsidR="00EA40A3" w:rsidRDefault="00EA40A3">
      <w:pPr>
        <w:spacing w:line="38" w:lineRule="exact"/>
      </w:pPr>
    </w:p>
    <w:tbl>
      <w:tblPr>
        <w:tblStyle w:val="TableNormal"/>
        <w:tblW w:w="7389"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301"/>
        <w:gridCol w:w="2237"/>
        <w:gridCol w:w="1882"/>
        <w:gridCol w:w="1969"/>
      </w:tblGrid>
      <w:tr w:rsidR="00EA40A3">
        <w:trPr>
          <w:trHeight w:val="644"/>
        </w:trPr>
        <w:tc>
          <w:tcPr>
            <w:tcW w:w="3538" w:type="dxa"/>
            <w:gridSpan w:val="2"/>
            <w:tcBorders>
              <w:top w:val="single" w:sz="4" w:space="0" w:color="000000"/>
              <w:bottom w:val="single" w:sz="4" w:space="0" w:color="000000"/>
              <w:right w:val="nil"/>
            </w:tcBorders>
          </w:tcPr>
          <w:p w:rsidR="00EA40A3" w:rsidRDefault="00E86C16">
            <w:pPr>
              <w:spacing w:before="241" w:line="222" w:lineRule="auto"/>
              <w:ind w:left="529"/>
              <w:rPr>
                <w:rFonts w:ascii="宋体" w:eastAsia="宋体" w:hAnsi="宋体" w:cs="宋体"/>
                <w:sz w:val="16"/>
                <w:szCs w:val="16"/>
              </w:rPr>
            </w:pPr>
            <w:r>
              <w:rPr>
                <w:rFonts w:ascii="宋体" w:eastAsia="宋体" w:hAnsi="宋体" w:cs="宋体"/>
                <w:spacing w:val="-8"/>
                <w:sz w:val="16"/>
                <w:szCs w:val="16"/>
              </w:rPr>
              <w:t>规划类别</w:t>
            </w:r>
            <w:r>
              <w:rPr>
                <w:rFonts w:ascii="宋体" w:eastAsia="宋体" w:hAnsi="宋体" w:cs="宋体"/>
                <w:spacing w:val="7"/>
                <w:sz w:val="16"/>
                <w:szCs w:val="16"/>
              </w:rPr>
              <w:t xml:space="preserve">           </w:t>
            </w:r>
            <w:r>
              <w:rPr>
                <w:rFonts w:ascii="宋体" w:eastAsia="宋体" w:hAnsi="宋体" w:cs="宋体"/>
                <w:spacing w:val="-8"/>
                <w:sz w:val="16"/>
                <w:szCs w:val="16"/>
              </w:rPr>
              <w:t>目</w:t>
            </w:r>
            <w:r>
              <w:rPr>
                <w:rFonts w:ascii="宋体" w:eastAsia="宋体" w:hAnsi="宋体" w:cs="宋体"/>
                <w:spacing w:val="16"/>
                <w:sz w:val="16"/>
                <w:szCs w:val="16"/>
              </w:rPr>
              <w:t xml:space="preserve">    </w:t>
            </w:r>
            <w:r>
              <w:rPr>
                <w:rFonts w:ascii="宋体" w:eastAsia="宋体" w:hAnsi="宋体" w:cs="宋体"/>
                <w:spacing w:val="-8"/>
                <w:sz w:val="16"/>
                <w:szCs w:val="16"/>
              </w:rPr>
              <w:t>标</w:t>
            </w:r>
          </w:p>
        </w:tc>
        <w:tc>
          <w:tcPr>
            <w:tcW w:w="3851" w:type="dxa"/>
            <w:gridSpan w:val="2"/>
            <w:tcBorders>
              <w:top w:val="single" w:sz="4" w:space="0" w:color="000000"/>
              <w:left w:val="nil"/>
              <w:bottom w:val="single" w:sz="4" w:space="0" w:color="000000"/>
            </w:tcBorders>
          </w:tcPr>
          <w:p w:rsidR="00EA40A3" w:rsidRDefault="00E86C16">
            <w:pPr>
              <w:spacing w:before="131" w:line="220" w:lineRule="auto"/>
              <w:ind w:left="1611"/>
              <w:rPr>
                <w:rFonts w:ascii="宋体" w:eastAsia="宋体" w:hAnsi="宋体" w:cs="宋体"/>
                <w:sz w:val="16"/>
                <w:szCs w:val="16"/>
              </w:rPr>
            </w:pPr>
            <w:r>
              <w:rPr>
                <w:rFonts w:ascii="宋体" w:eastAsia="宋体" w:hAnsi="宋体" w:cs="宋体"/>
                <w:spacing w:val="-5"/>
                <w:sz w:val="16"/>
                <w:szCs w:val="16"/>
              </w:rPr>
              <w:t>指</w:t>
            </w:r>
            <w:r>
              <w:rPr>
                <w:rFonts w:ascii="宋体" w:eastAsia="宋体" w:hAnsi="宋体" w:cs="宋体"/>
                <w:spacing w:val="2"/>
                <w:sz w:val="16"/>
                <w:szCs w:val="16"/>
              </w:rPr>
              <w:t xml:space="preserve">   </w:t>
            </w:r>
            <w:r>
              <w:rPr>
                <w:rFonts w:ascii="宋体" w:eastAsia="宋体" w:hAnsi="宋体" w:cs="宋体"/>
                <w:spacing w:val="-5"/>
                <w:sz w:val="16"/>
                <w:szCs w:val="16"/>
              </w:rPr>
              <w:t>标</w:t>
            </w:r>
          </w:p>
          <w:p w:rsidR="00EA40A3" w:rsidRDefault="00E86C16">
            <w:pPr>
              <w:spacing w:before="107" w:line="218" w:lineRule="auto"/>
              <w:ind w:left="171"/>
              <w:rPr>
                <w:rFonts w:ascii="宋体" w:eastAsia="宋体" w:hAnsi="宋体" w:cs="宋体"/>
                <w:sz w:val="16"/>
                <w:szCs w:val="16"/>
              </w:rPr>
            </w:pPr>
            <w:r>
              <w:rPr>
                <w:rFonts w:ascii="宋体" w:eastAsia="宋体" w:hAnsi="宋体" w:cs="宋体"/>
                <w:spacing w:val="-1"/>
                <w:sz w:val="16"/>
                <w:szCs w:val="16"/>
              </w:rPr>
              <w:t>在评价中广泛应用推荐不常用——主要用于研究工作</w:t>
            </w:r>
          </w:p>
        </w:tc>
      </w:tr>
      <w:tr w:rsidR="00EA40A3">
        <w:trPr>
          <w:trHeight w:val="344"/>
        </w:trPr>
        <w:tc>
          <w:tcPr>
            <w:tcW w:w="3538" w:type="dxa"/>
            <w:gridSpan w:val="2"/>
            <w:tcBorders>
              <w:top w:val="single" w:sz="4" w:space="0" w:color="000000"/>
            </w:tcBorders>
          </w:tcPr>
          <w:p w:rsidR="00EA40A3" w:rsidRDefault="00E86C16">
            <w:pPr>
              <w:spacing w:before="127" w:line="219" w:lineRule="auto"/>
              <w:ind w:left="1419"/>
              <w:rPr>
                <w:rFonts w:ascii="宋体" w:eastAsia="宋体" w:hAnsi="宋体" w:cs="宋体"/>
                <w:sz w:val="16"/>
                <w:szCs w:val="16"/>
              </w:rPr>
            </w:pPr>
            <w:r>
              <w:rPr>
                <w:rFonts w:ascii="宋体" w:eastAsia="宋体" w:hAnsi="宋体" w:cs="宋体"/>
                <w:spacing w:val="-1"/>
                <w:sz w:val="16"/>
                <w:szCs w:val="16"/>
              </w:rPr>
              <w:t>减少蛋白质-能量营养不良</w:t>
            </w:r>
          </w:p>
        </w:tc>
        <w:tc>
          <w:tcPr>
            <w:tcW w:w="1882" w:type="dxa"/>
            <w:tcBorders>
              <w:top w:val="single" w:sz="4" w:space="0" w:color="000000"/>
            </w:tcBorders>
          </w:tcPr>
          <w:p w:rsidR="00EA40A3" w:rsidRDefault="00E86C16">
            <w:pPr>
              <w:spacing w:before="77" w:line="219" w:lineRule="auto"/>
              <w:ind w:left="101"/>
              <w:rPr>
                <w:rFonts w:ascii="宋体" w:eastAsia="宋体" w:hAnsi="宋体" w:cs="宋体"/>
                <w:sz w:val="16"/>
                <w:szCs w:val="16"/>
              </w:rPr>
            </w:pPr>
            <w:r>
              <w:rPr>
                <w:rFonts w:ascii="宋体" w:eastAsia="宋体" w:hAnsi="宋体" w:cs="宋体"/>
                <w:spacing w:val="-2"/>
                <w:position w:val="-1"/>
                <w:sz w:val="16"/>
                <w:szCs w:val="16"/>
              </w:rPr>
              <w:t>体重和身高</w:t>
            </w:r>
            <w:r>
              <w:rPr>
                <w:rFonts w:ascii="宋体" w:eastAsia="宋体" w:hAnsi="宋体" w:cs="宋体"/>
                <w:spacing w:val="15"/>
                <w:position w:val="-1"/>
                <w:sz w:val="16"/>
                <w:szCs w:val="16"/>
              </w:rPr>
              <w:t xml:space="preserve">  </w:t>
            </w:r>
            <w:r>
              <w:rPr>
                <w:rFonts w:ascii="宋体" w:eastAsia="宋体" w:hAnsi="宋体" w:cs="宋体"/>
                <w:spacing w:val="-2"/>
                <w:position w:val="1"/>
                <w:sz w:val="16"/>
                <w:szCs w:val="16"/>
              </w:rPr>
              <w:t>身高/年龄</w:t>
            </w:r>
          </w:p>
        </w:tc>
        <w:tc>
          <w:tcPr>
            <w:tcW w:w="1969" w:type="dxa"/>
            <w:tcBorders>
              <w:top w:val="single" w:sz="4" w:space="0" w:color="000000"/>
            </w:tcBorders>
          </w:tcPr>
          <w:p w:rsidR="00EA40A3" w:rsidRDefault="00E86C16">
            <w:pPr>
              <w:spacing w:before="77" w:line="232" w:lineRule="auto"/>
              <w:ind w:left="84"/>
              <w:rPr>
                <w:rFonts w:ascii="宋体" w:eastAsia="宋体" w:hAnsi="宋体" w:cs="宋体"/>
                <w:sz w:val="16"/>
                <w:szCs w:val="16"/>
              </w:rPr>
            </w:pPr>
            <w:r>
              <w:rPr>
                <w:rFonts w:ascii="宋体" w:eastAsia="宋体" w:hAnsi="宋体" w:cs="宋体"/>
                <w:spacing w:val="-3"/>
                <w:position w:val="1"/>
                <w:sz w:val="16"/>
                <w:szCs w:val="16"/>
              </w:rPr>
              <w:t>临床症状</w:t>
            </w:r>
            <w:r>
              <w:rPr>
                <w:rFonts w:ascii="宋体" w:eastAsia="宋体" w:hAnsi="宋体" w:cs="宋体"/>
                <w:position w:val="1"/>
                <w:sz w:val="16"/>
                <w:szCs w:val="16"/>
              </w:rPr>
              <w:t xml:space="preserve">    </w:t>
            </w:r>
            <w:r>
              <w:rPr>
                <w:rFonts w:ascii="宋体" w:eastAsia="宋体" w:hAnsi="宋体" w:cs="宋体"/>
                <w:spacing w:val="-3"/>
                <w:position w:val="-1"/>
                <w:sz w:val="16"/>
                <w:szCs w:val="16"/>
              </w:rPr>
              <w:t>膳食摄人</w:t>
            </w:r>
          </w:p>
        </w:tc>
      </w:tr>
      <w:tr w:rsidR="00EA40A3">
        <w:trPr>
          <w:trHeight w:val="260"/>
        </w:trPr>
        <w:tc>
          <w:tcPr>
            <w:tcW w:w="3538" w:type="dxa"/>
            <w:gridSpan w:val="2"/>
          </w:tcPr>
          <w:p w:rsidR="00EA40A3" w:rsidRDefault="00EA40A3"/>
        </w:tc>
        <w:tc>
          <w:tcPr>
            <w:tcW w:w="1882" w:type="dxa"/>
          </w:tcPr>
          <w:p w:rsidR="00EA40A3" w:rsidRDefault="00E86C16">
            <w:pPr>
              <w:spacing w:before="62" w:line="220" w:lineRule="auto"/>
              <w:ind w:left="101"/>
              <w:rPr>
                <w:rFonts w:ascii="宋体" w:eastAsia="宋体" w:hAnsi="宋体" w:cs="宋体"/>
                <w:sz w:val="16"/>
                <w:szCs w:val="16"/>
              </w:rPr>
            </w:pPr>
            <w:r>
              <w:rPr>
                <w:rFonts w:ascii="宋体" w:eastAsia="宋体" w:hAnsi="宋体" w:cs="宋体"/>
                <w:spacing w:val="-1"/>
                <w:sz w:val="16"/>
                <w:szCs w:val="16"/>
              </w:rPr>
              <w:t>体重/年龄</w:t>
            </w:r>
            <w:r>
              <w:rPr>
                <w:rFonts w:ascii="宋体" w:eastAsia="宋体" w:hAnsi="宋体" w:cs="宋体"/>
                <w:spacing w:val="10"/>
                <w:sz w:val="16"/>
                <w:szCs w:val="16"/>
              </w:rPr>
              <w:t xml:space="preserve">   </w:t>
            </w:r>
            <w:r>
              <w:rPr>
                <w:rFonts w:ascii="宋体" w:eastAsia="宋体" w:hAnsi="宋体" w:cs="宋体"/>
                <w:spacing w:val="-1"/>
                <w:sz w:val="16"/>
                <w:szCs w:val="16"/>
              </w:rPr>
              <w:t>体重/身高</w:t>
            </w:r>
          </w:p>
        </w:tc>
        <w:tc>
          <w:tcPr>
            <w:tcW w:w="1969" w:type="dxa"/>
          </w:tcPr>
          <w:p w:rsidR="00EA40A3" w:rsidRDefault="00E86C16">
            <w:pPr>
              <w:spacing w:before="62" w:line="220" w:lineRule="auto"/>
              <w:ind w:left="99"/>
              <w:rPr>
                <w:rFonts w:ascii="宋体" w:eastAsia="宋体" w:hAnsi="宋体" w:cs="宋体"/>
                <w:sz w:val="16"/>
                <w:szCs w:val="16"/>
              </w:rPr>
            </w:pPr>
            <w:r>
              <w:rPr>
                <w:rFonts w:ascii="宋体" w:eastAsia="宋体" w:hAnsi="宋体" w:cs="宋体"/>
                <w:spacing w:val="-2"/>
                <w:sz w:val="16"/>
                <w:szCs w:val="16"/>
              </w:rPr>
              <w:t>臂肢围</w:t>
            </w:r>
            <w:r>
              <w:rPr>
                <w:rFonts w:ascii="宋体" w:eastAsia="宋体" w:hAnsi="宋体" w:cs="宋体"/>
                <w:spacing w:val="13"/>
                <w:sz w:val="16"/>
                <w:szCs w:val="16"/>
              </w:rPr>
              <w:t xml:space="preserve">     </w:t>
            </w:r>
            <w:r>
              <w:rPr>
                <w:rFonts w:ascii="宋体" w:eastAsia="宋体" w:hAnsi="宋体" w:cs="宋体"/>
                <w:spacing w:val="-2"/>
                <w:sz w:val="16"/>
                <w:szCs w:val="16"/>
              </w:rPr>
              <w:t>皮褶厚度</w:t>
            </w:r>
          </w:p>
        </w:tc>
      </w:tr>
      <w:tr w:rsidR="00EA40A3">
        <w:trPr>
          <w:trHeight w:val="294"/>
        </w:trPr>
        <w:tc>
          <w:tcPr>
            <w:tcW w:w="1301" w:type="dxa"/>
            <w:tcBorders>
              <w:right w:val="nil"/>
            </w:tcBorders>
          </w:tcPr>
          <w:p w:rsidR="00EA40A3" w:rsidRDefault="00E86C16">
            <w:pPr>
              <w:spacing w:before="43" w:line="219" w:lineRule="auto"/>
              <w:ind w:left="49"/>
              <w:rPr>
                <w:rFonts w:ascii="宋体" w:eastAsia="宋体" w:hAnsi="宋体" w:cs="宋体"/>
                <w:sz w:val="16"/>
                <w:szCs w:val="16"/>
              </w:rPr>
            </w:pPr>
            <w:r>
              <w:rPr>
                <w:rFonts w:ascii="宋体" w:eastAsia="宋体" w:hAnsi="宋体" w:cs="宋体"/>
                <w:spacing w:val="1"/>
                <w:sz w:val="16"/>
                <w:szCs w:val="16"/>
              </w:rPr>
              <w:t>学龄前儿童计划</w:t>
            </w:r>
          </w:p>
        </w:tc>
        <w:tc>
          <w:tcPr>
            <w:tcW w:w="2237" w:type="dxa"/>
            <w:tcBorders>
              <w:left w:val="nil"/>
            </w:tcBorders>
          </w:tcPr>
          <w:p w:rsidR="00EA40A3" w:rsidRDefault="00E86C16">
            <w:pPr>
              <w:spacing w:before="93" w:line="219" w:lineRule="auto"/>
              <w:ind w:left="118"/>
              <w:rPr>
                <w:rFonts w:ascii="宋体" w:eastAsia="宋体" w:hAnsi="宋体" w:cs="宋体"/>
                <w:sz w:val="16"/>
                <w:szCs w:val="16"/>
              </w:rPr>
            </w:pPr>
            <w:r>
              <w:rPr>
                <w:rFonts w:ascii="宋体" w:eastAsia="宋体" w:hAnsi="宋体" w:cs="宋体"/>
                <w:spacing w:val="-1"/>
                <w:sz w:val="16"/>
                <w:szCs w:val="16"/>
              </w:rPr>
              <w:t>减少发病率</w:t>
            </w:r>
          </w:p>
        </w:tc>
        <w:tc>
          <w:tcPr>
            <w:tcW w:w="1882" w:type="dxa"/>
          </w:tcPr>
          <w:p w:rsidR="00EA40A3" w:rsidRDefault="00E86C16">
            <w:pPr>
              <w:spacing w:before="93" w:line="219" w:lineRule="auto"/>
              <w:ind w:left="101"/>
              <w:rPr>
                <w:rFonts w:ascii="宋体" w:eastAsia="宋体" w:hAnsi="宋体" w:cs="宋体"/>
                <w:sz w:val="16"/>
                <w:szCs w:val="16"/>
              </w:rPr>
            </w:pPr>
            <w:r>
              <w:rPr>
                <w:rFonts w:ascii="宋体" w:eastAsia="宋体" w:hAnsi="宋体" w:cs="宋体"/>
                <w:spacing w:val="-1"/>
                <w:sz w:val="16"/>
                <w:szCs w:val="16"/>
              </w:rPr>
              <w:t>A/B发病率</w:t>
            </w:r>
          </w:p>
        </w:tc>
        <w:tc>
          <w:tcPr>
            <w:tcW w:w="1969" w:type="dxa"/>
          </w:tcPr>
          <w:p w:rsidR="00EA40A3" w:rsidRDefault="00EA40A3"/>
        </w:tc>
      </w:tr>
      <w:tr w:rsidR="00EA40A3">
        <w:trPr>
          <w:trHeight w:val="275"/>
        </w:trPr>
        <w:tc>
          <w:tcPr>
            <w:tcW w:w="3538" w:type="dxa"/>
            <w:gridSpan w:val="2"/>
          </w:tcPr>
          <w:p w:rsidR="00EA40A3" w:rsidRDefault="00EA40A3"/>
        </w:tc>
        <w:tc>
          <w:tcPr>
            <w:tcW w:w="1882" w:type="dxa"/>
          </w:tcPr>
          <w:p w:rsidR="00EA40A3" w:rsidRDefault="00E86C16">
            <w:pPr>
              <w:spacing w:before="49" w:line="219" w:lineRule="auto"/>
              <w:ind w:left="101"/>
              <w:rPr>
                <w:rFonts w:ascii="宋体" w:eastAsia="宋体" w:hAnsi="宋体" w:cs="宋体"/>
                <w:sz w:val="16"/>
                <w:szCs w:val="16"/>
              </w:rPr>
            </w:pPr>
            <w:r>
              <w:rPr>
                <w:rFonts w:ascii="宋体" w:eastAsia="宋体" w:hAnsi="宋体" w:cs="宋体"/>
                <w:spacing w:val="-2"/>
                <w:sz w:val="16"/>
                <w:szCs w:val="16"/>
              </w:rPr>
              <w:t>发作次数</w:t>
            </w:r>
          </w:p>
        </w:tc>
        <w:tc>
          <w:tcPr>
            <w:tcW w:w="1969" w:type="dxa"/>
          </w:tcPr>
          <w:p w:rsidR="00EA40A3" w:rsidRDefault="00EA40A3"/>
        </w:tc>
      </w:tr>
      <w:tr w:rsidR="00EA40A3">
        <w:trPr>
          <w:trHeight w:val="274"/>
        </w:trPr>
        <w:tc>
          <w:tcPr>
            <w:tcW w:w="3538" w:type="dxa"/>
            <w:gridSpan w:val="2"/>
            <w:tcBorders>
              <w:bottom w:val="single" w:sz="4" w:space="0" w:color="000000"/>
            </w:tcBorders>
          </w:tcPr>
          <w:p w:rsidR="00EA40A3" w:rsidRDefault="00E86C16">
            <w:pPr>
              <w:spacing w:before="74" w:line="219" w:lineRule="auto"/>
              <w:ind w:left="1419"/>
              <w:rPr>
                <w:rFonts w:ascii="宋体" w:eastAsia="宋体" w:hAnsi="宋体" w:cs="宋体"/>
                <w:sz w:val="16"/>
                <w:szCs w:val="16"/>
              </w:rPr>
            </w:pPr>
            <w:r>
              <w:rPr>
                <w:rFonts w:ascii="宋体" w:eastAsia="宋体" w:hAnsi="宋体" w:cs="宋体"/>
                <w:spacing w:val="-1"/>
                <w:sz w:val="16"/>
                <w:szCs w:val="16"/>
              </w:rPr>
              <w:t>减少婴儿死亡率</w:t>
            </w:r>
          </w:p>
        </w:tc>
        <w:tc>
          <w:tcPr>
            <w:tcW w:w="1882" w:type="dxa"/>
            <w:tcBorders>
              <w:bottom w:val="single" w:sz="4" w:space="0" w:color="000000"/>
            </w:tcBorders>
          </w:tcPr>
          <w:p w:rsidR="00EA40A3" w:rsidRDefault="00E86C16">
            <w:pPr>
              <w:spacing w:before="84" w:line="219" w:lineRule="auto"/>
              <w:ind w:left="101"/>
              <w:rPr>
                <w:rFonts w:ascii="宋体" w:eastAsia="宋体" w:hAnsi="宋体" w:cs="宋体"/>
                <w:sz w:val="16"/>
                <w:szCs w:val="16"/>
              </w:rPr>
            </w:pPr>
            <w:r>
              <w:rPr>
                <w:rFonts w:ascii="宋体" w:eastAsia="宋体" w:hAnsi="宋体" w:cs="宋体"/>
                <w:spacing w:val="3"/>
                <w:sz w:val="16"/>
                <w:szCs w:val="16"/>
              </w:rPr>
              <w:t>持续时间</w:t>
            </w:r>
          </w:p>
        </w:tc>
        <w:tc>
          <w:tcPr>
            <w:tcW w:w="1969" w:type="dxa"/>
            <w:tcBorders>
              <w:bottom w:val="single" w:sz="4" w:space="0" w:color="000000"/>
            </w:tcBorders>
          </w:tcPr>
          <w:p w:rsidR="00EA40A3" w:rsidRDefault="00E86C16">
            <w:pPr>
              <w:spacing w:before="84" w:line="219" w:lineRule="auto"/>
              <w:ind w:left="89"/>
              <w:rPr>
                <w:rFonts w:ascii="宋体" w:eastAsia="宋体" w:hAnsi="宋体" w:cs="宋体"/>
                <w:sz w:val="16"/>
                <w:szCs w:val="16"/>
              </w:rPr>
            </w:pPr>
            <w:r>
              <w:rPr>
                <w:rFonts w:ascii="宋体" w:eastAsia="宋体" w:hAnsi="宋体" w:cs="宋体"/>
                <w:spacing w:val="-2"/>
                <w:sz w:val="16"/>
                <w:szCs w:val="16"/>
              </w:rPr>
              <w:t>婴幼儿死亡率</w:t>
            </w:r>
          </w:p>
        </w:tc>
      </w:tr>
      <w:tr w:rsidR="00EA40A3">
        <w:trPr>
          <w:trHeight w:val="1237"/>
        </w:trPr>
        <w:tc>
          <w:tcPr>
            <w:tcW w:w="1301" w:type="dxa"/>
            <w:tcBorders>
              <w:top w:val="single" w:sz="4" w:space="0" w:color="000000"/>
              <w:bottom w:val="single" w:sz="4" w:space="0" w:color="000000"/>
              <w:right w:val="nil"/>
            </w:tcBorders>
          </w:tcPr>
          <w:p w:rsidR="00EA40A3" w:rsidRDefault="00EA40A3">
            <w:pPr>
              <w:spacing w:line="242" w:lineRule="auto"/>
            </w:pPr>
          </w:p>
          <w:p w:rsidR="00EA40A3" w:rsidRDefault="00EA40A3">
            <w:pPr>
              <w:spacing w:line="242" w:lineRule="auto"/>
            </w:pPr>
          </w:p>
          <w:p w:rsidR="00EA40A3" w:rsidRDefault="00E86C16">
            <w:pPr>
              <w:spacing w:before="52" w:line="219" w:lineRule="auto"/>
              <w:ind w:left="209"/>
              <w:rPr>
                <w:rFonts w:ascii="宋体" w:eastAsia="宋体" w:hAnsi="宋体" w:cs="宋体"/>
                <w:sz w:val="16"/>
                <w:szCs w:val="16"/>
              </w:rPr>
            </w:pPr>
            <w:r>
              <w:rPr>
                <w:rFonts w:ascii="宋体" w:eastAsia="宋体" w:hAnsi="宋体" w:cs="宋体"/>
                <w:spacing w:val="1"/>
                <w:sz w:val="16"/>
                <w:szCs w:val="16"/>
              </w:rPr>
              <w:t>学校供膳计划</w:t>
            </w:r>
          </w:p>
        </w:tc>
        <w:tc>
          <w:tcPr>
            <w:tcW w:w="2237" w:type="dxa"/>
            <w:tcBorders>
              <w:top w:val="single" w:sz="4" w:space="0" w:color="000000"/>
              <w:left w:val="nil"/>
              <w:bottom w:val="single" w:sz="4" w:space="0" w:color="000000"/>
            </w:tcBorders>
          </w:tcPr>
          <w:p w:rsidR="00EA40A3" w:rsidRDefault="00E86C16">
            <w:pPr>
              <w:spacing w:before="110" w:line="219" w:lineRule="auto"/>
              <w:ind w:left="118"/>
              <w:rPr>
                <w:rFonts w:ascii="宋体" w:eastAsia="宋体" w:hAnsi="宋体" w:cs="宋体"/>
                <w:sz w:val="16"/>
                <w:szCs w:val="16"/>
              </w:rPr>
            </w:pPr>
            <w:r>
              <w:rPr>
                <w:rFonts w:ascii="宋体" w:eastAsia="宋体" w:hAnsi="宋体" w:cs="宋体"/>
                <w:spacing w:val="-2"/>
                <w:sz w:val="16"/>
                <w:szCs w:val="16"/>
              </w:rPr>
              <w:t>改善营养状况</w:t>
            </w:r>
          </w:p>
          <w:p w:rsidR="00EA40A3" w:rsidRDefault="00E86C16">
            <w:pPr>
              <w:spacing w:before="99" w:line="330" w:lineRule="exact"/>
              <w:ind w:left="118"/>
              <w:rPr>
                <w:rFonts w:ascii="宋体" w:eastAsia="宋体" w:hAnsi="宋体" w:cs="宋体"/>
                <w:sz w:val="16"/>
                <w:szCs w:val="16"/>
              </w:rPr>
            </w:pPr>
            <w:r>
              <w:rPr>
                <w:rFonts w:ascii="宋体" w:eastAsia="宋体" w:hAnsi="宋体" w:cs="宋体"/>
                <w:spacing w:val="-1"/>
                <w:position w:val="13"/>
                <w:sz w:val="16"/>
                <w:szCs w:val="16"/>
              </w:rPr>
              <w:t>提高入学和到校人数</w:t>
            </w:r>
          </w:p>
          <w:p w:rsidR="00EA40A3" w:rsidRDefault="00E86C16">
            <w:pPr>
              <w:spacing w:line="219" w:lineRule="auto"/>
              <w:ind w:left="118"/>
              <w:rPr>
                <w:rFonts w:ascii="宋体" w:eastAsia="宋体" w:hAnsi="宋体" w:cs="宋体"/>
                <w:sz w:val="16"/>
                <w:szCs w:val="16"/>
              </w:rPr>
            </w:pPr>
            <w:r>
              <w:rPr>
                <w:rFonts w:ascii="宋体" w:eastAsia="宋体" w:hAnsi="宋体" w:cs="宋体"/>
                <w:spacing w:val="-2"/>
                <w:sz w:val="16"/>
                <w:szCs w:val="16"/>
              </w:rPr>
              <w:t>改进学校教学质量</w:t>
            </w:r>
          </w:p>
          <w:p w:rsidR="00EA40A3" w:rsidRDefault="00E86C16">
            <w:pPr>
              <w:spacing w:before="120" w:line="219" w:lineRule="auto"/>
              <w:ind w:left="118"/>
              <w:rPr>
                <w:rFonts w:ascii="宋体" w:eastAsia="宋体" w:hAnsi="宋体" w:cs="宋体"/>
                <w:sz w:val="16"/>
                <w:szCs w:val="16"/>
              </w:rPr>
            </w:pPr>
            <w:r>
              <w:rPr>
                <w:rFonts w:ascii="宋体" w:eastAsia="宋体" w:hAnsi="宋体" w:cs="宋体"/>
                <w:spacing w:val="-1"/>
                <w:sz w:val="16"/>
                <w:szCs w:val="16"/>
              </w:rPr>
              <w:t>收入转移：增加食物摄入</w:t>
            </w:r>
          </w:p>
        </w:tc>
        <w:tc>
          <w:tcPr>
            <w:tcW w:w="1882" w:type="dxa"/>
            <w:tcBorders>
              <w:top w:val="single" w:sz="4" w:space="0" w:color="000000"/>
              <w:bottom w:val="single" w:sz="4" w:space="0" w:color="000000"/>
            </w:tcBorders>
          </w:tcPr>
          <w:p w:rsidR="00EA40A3" w:rsidRDefault="00E86C16">
            <w:pPr>
              <w:spacing w:before="110" w:line="277" w:lineRule="auto"/>
              <w:ind w:left="51" w:right="240"/>
              <w:rPr>
                <w:rFonts w:ascii="宋体" w:eastAsia="宋体" w:hAnsi="宋体" w:cs="宋体"/>
                <w:sz w:val="16"/>
                <w:szCs w:val="16"/>
              </w:rPr>
            </w:pPr>
            <w:r>
              <w:rPr>
                <w:rFonts w:ascii="宋体" w:eastAsia="宋体" w:hAnsi="宋体" w:cs="宋体"/>
                <w:spacing w:val="-2"/>
                <w:sz w:val="16"/>
                <w:szCs w:val="16"/>
              </w:rPr>
              <w:t>身高和体重的纵向测量</w:t>
            </w:r>
            <w:r>
              <w:rPr>
                <w:rFonts w:ascii="宋体" w:eastAsia="宋体" w:hAnsi="宋体" w:cs="宋体"/>
                <w:spacing w:val="8"/>
                <w:sz w:val="16"/>
                <w:szCs w:val="16"/>
              </w:rPr>
              <w:t xml:space="preserve"> </w:t>
            </w:r>
            <w:r>
              <w:rPr>
                <w:rFonts w:ascii="宋体" w:eastAsia="宋体" w:hAnsi="宋体" w:cs="宋体"/>
                <w:spacing w:val="-1"/>
                <w:sz w:val="16"/>
                <w:szCs w:val="16"/>
              </w:rPr>
              <w:t>入学和到校人数记录</w:t>
            </w:r>
          </w:p>
        </w:tc>
        <w:tc>
          <w:tcPr>
            <w:tcW w:w="1969" w:type="dxa"/>
            <w:tcBorders>
              <w:top w:val="single" w:sz="4" w:space="0" w:color="000000"/>
              <w:bottom w:val="single" w:sz="4" w:space="0" w:color="000000"/>
            </w:tcBorders>
          </w:tcPr>
          <w:p w:rsidR="00EA40A3" w:rsidRDefault="00E86C16">
            <w:pPr>
              <w:spacing w:before="100" w:line="219" w:lineRule="auto"/>
              <w:ind w:left="89"/>
              <w:rPr>
                <w:rFonts w:ascii="宋体" w:eastAsia="宋体" w:hAnsi="宋体" w:cs="宋体"/>
                <w:sz w:val="16"/>
                <w:szCs w:val="16"/>
              </w:rPr>
            </w:pPr>
            <w:r>
              <w:rPr>
                <w:rFonts w:ascii="宋体" w:eastAsia="宋体" w:hAnsi="宋体" w:cs="宋体"/>
                <w:spacing w:val="-1"/>
                <w:sz w:val="16"/>
                <w:szCs w:val="16"/>
              </w:rPr>
              <w:t>其他人测量和生化检验</w:t>
            </w:r>
          </w:p>
          <w:p w:rsidR="00EA40A3" w:rsidRDefault="00EA40A3">
            <w:pPr>
              <w:spacing w:line="375" w:lineRule="auto"/>
            </w:pPr>
          </w:p>
          <w:p w:rsidR="00EA40A3" w:rsidRDefault="00E86C16">
            <w:pPr>
              <w:spacing w:before="52" w:line="219" w:lineRule="auto"/>
              <w:ind w:left="89"/>
              <w:rPr>
                <w:rFonts w:ascii="宋体" w:eastAsia="宋体" w:hAnsi="宋体" w:cs="宋体"/>
                <w:sz w:val="16"/>
                <w:szCs w:val="16"/>
              </w:rPr>
            </w:pPr>
            <w:r>
              <w:rPr>
                <w:rFonts w:ascii="宋体" w:eastAsia="宋体" w:hAnsi="宋体" w:cs="宋体"/>
                <w:spacing w:val="-2"/>
                <w:sz w:val="16"/>
                <w:szCs w:val="16"/>
              </w:rPr>
              <w:t>教学质量检查</w:t>
            </w:r>
          </w:p>
          <w:p w:rsidR="00EA40A3" w:rsidRDefault="00E86C16">
            <w:pPr>
              <w:spacing w:before="130" w:line="219" w:lineRule="auto"/>
              <w:ind w:left="89"/>
              <w:rPr>
                <w:rFonts w:ascii="宋体" w:eastAsia="宋体" w:hAnsi="宋体" w:cs="宋体"/>
                <w:sz w:val="16"/>
                <w:szCs w:val="16"/>
              </w:rPr>
            </w:pPr>
            <w:r>
              <w:rPr>
                <w:rFonts w:ascii="宋体" w:eastAsia="宋体" w:hAnsi="宋体" w:cs="宋体"/>
                <w:spacing w:val="-1"/>
                <w:sz w:val="16"/>
                <w:szCs w:val="16"/>
              </w:rPr>
              <w:t>支出、收人、消费</w:t>
            </w:r>
          </w:p>
        </w:tc>
      </w:tr>
      <w:tr w:rsidR="00EA40A3">
        <w:trPr>
          <w:trHeight w:val="609"/>
        </w:trPr>
        <w:tc>
          <w:tcPr>
            <w:tcW w:w="1301" w:type="dxa"/>
            <w:tcBorders>
              <w:top w:val="single" w:sz="4" w:space="0" w:color="000000"/>
              <w:bottom w:val="single" w:sz="4" w:space="0" w:color="000000"/>
              <w:right w:val="nil"/>
            </w:tcBorders>
          </w:tcPr>
          <w:p w:rsidR="00EA40A3" w:rsidRDefault="00E86C16">
            <w:pPr>
              <w:spacing w:before="233" w:line="219" w:lineRule="auto"/>
              <w:ind w:left="209"/>
              <w:rPr>
                <w:rFonts w:ascii="宋体" w:eastAsia="宋体" w:hAnsi="宋体" w:cs="宋体"/>
                <w:sz w:val="16"/>
                <w:szCs w:val="16"/>
              </w:rPr>
            </w:pPr>
            <w:r>
              <w:rPr>
                <w:rFonts w:ascii="宋体" w:eastAsia="宋体" w:hAnsi="宋体" w:cs="宋体"/>
                <w:spacing w:val="1"/>
                <w:sz w:val="16"/>
                <w:szCs w:val="16"/>
              </w:rPr>
              <w:t>营养加餐计划</w:t>
            </w:r>
          </w:p>
        </w:tc>
        <w:tc>
          <w:tcPr>
            <w:tcW w:w="2237" w:type="dxa"/>
            <w:tcBorders>
              <w:top w:val="single" w:sz="4" w:space="0" w:color="000000"/>
              <w:left w:val="nil"/>
              <w:bottom w:val="single" w:sz="4" w:space="0" w:color="000000"/>
            </w:tcBorders>
          </w:tcPr>
          <w:p w:rsidR="00EA40A3" w:rsidRDefault="00E86C16">
            <w:pPr>
              <w:spacing w:before="103" w:line="219" w:lineRule="auto"/>
              <w:ind w:left="118"/>
              <w:rPr>
                <w:rFonts w:ascii="宋体" w:eastAsia="宋体" w:hAnsi="宋体" w:cs="宋体"/>
                <w:sz w:val="16"/>
                <w:szCs w:val="16"/>
              </w:rPr>
            </w:pPr>
            <w:r>
              <w:rPr>
                <w:rFonts w:ascii="宋体" w:eastAsia="宋体" w:hAnsi="宋体" w:cs="宋体"/>
                <w:spacing w:val="-2"/>
                <w:sz w:val="16"/>
                <w:szCs w:val="16"/>
              </w:rPr>
              <w:t>提高生产率</w:t>
            </w:r>
          </w:p>
          <w:p w:rsidR="00EA40A3" w:rsidRDefault="00E86C16">
            <w:pPr>
              <w:spacing w:before="120" w:line="219" w:lineRule="auto"/>
              <w:ind w:left="118"/>
              <w:rPr>
                <w:rFonts w:ascii="宋体" w:eastAsia="宋体" w:hAnsi="宋体" w:cs="宋体"/>
                <w:sz w:val="16"/>
                <w:szCs w:val="16"/>
              </w:rPr>
            </w:pPr>
            <w:r>
              <w:rPr>
                <w:rFonts w:ascii="宋体" w:eastAsia="宋体" w:hAnsi="宋体" w:cs="宋体"/>
                <w:spacing w:val="-1"/>
                <w:sz w:val="16"/>
                <w:szCs w:val="16"/>
              </w:rPr>
              <w:t>收入转移：增加食物摄入</w:t>
            </w:r>
          </w:p>
        </w:tc>
        <w:tc>
          <w:tcPr>
            <w:tcW w:w="1882" w:type="dxa"/>
            <w:tcBorders>
              <w:top w:val="single" w:sz="4" w:space="0" w:color="000000"/>
              <w:bottom w:val="single" w:sz="4" w:space="0" w:color="000000"/>
            </w:tcBorders>
          </w:tcPr>
          <w:p w:rsidR="00EA40A3" w:rsidRDefault="00E86C16">
            <w:pPr>
              <w:spacing w:before="94" w:line="220" w:lineRule="auto"/>
              <w:ind w:left="51"/>
              <w:rPr>
                <w:rFonts w:ascii="宋体" w:eastAsia="宋体" w:hAnsi="宋体" w:cs="宋体"/>
                <w:sz w:val="16"/>
                <w:szCs w:val="16"/>
              </w:rPr>
            </w:pPr>
            <w:r>
              <w:rPr>
                <w:rFonts w:ascii="宋体" w:eastAsia="宋体" w:hAnsi="宋体" w:cs="宋体"/>
                <w:spacing w:val="-1"/>
                <w:sz w:val="16"/>
                <w:szCs w:val="16"/>
              </w:rPr>
              <w:t>A/B家庭支出调查</w:t>
            </w:r>
          </w:p>
        </w:tc>
        <w:tc>
          <w:tcPr>
            <w:tcW w:w="1969" w:type="dxa"/>
            <w:tcBorders>
              <w:top w:val="single" w:sz="4" w:space="0" w:color="000000"/>
              <w:bottom w:val="single" w:sz="4" w:space="0" w:color="000000"/>
            </w:tcBorders>
          </w:tcPr>
          <w:p w:rsidR="00EA40A3" w:rsidRDefault="00E86C16">
            <w:pPr>
              <w:spacing w:before="93" w:line="310" w:lineRule="exact"/>
              <w:ind w:left="89"/>
              <w:rPr>
                <w:rFonts w:ascii="宋体" w:eastAsia="宋体" w:hAnsi="宋体" w:cs="宋体"/>
                <w:sz w:val="16"/>
                <w:szCs w:val="16"/>
              </w:rPr>
            </w:pPr>
            <w:r>
              <w:rPr>
                <w:rFonts w:ascii="宋体" w:eastAsia="宋体" w:hAnsi="宋体" w:cs="宋体"/>
                <w:spacing w:val="-2"/>
                <w:position w:val="11"/>
                <w:sz w:val="16"/>
                <w:szCs w:val="16"/>
              </w:rPr>
              <w:t>体力活动</w:t>
            </w:r>
          </w:p>
          <w:p w:rsidR="00EA40A3" w:rsidRDefault="00E86C16">
            <w:pPr>
              <w:spacing w:line="219" w:lineRule="auto"/>
              <w:ind w:left="89"/>
              <w:rPr>
                <w:rFonts w:ascii="宋体" w:eastAsia="宋体" w:hAnsi="宋体" w:cs="宋体"/>
                <w:sz w:val="16"/>
                <w:szCs w:val="16"/>
              </w:rPr>
            </w:pPr>
            <w:r>
              <w:rPr>
                <w:rFonts w:ascii="宋体" w:eastAsia="宋体" w:hAnsi="宋体" w:cs="宋体"/>
                <w:spacing w:val="-2"/>
                <w:sz w:val="16"/>
                <w:szCs w:val="16"/>
              </w:rPr>
              <w:t>热量消耗</w:t>
            </w:r>
          </w:p>
        </w:tc>
      </w:tr>
      <w:tr w:rsidR="00EA40A3">
        <w:trPr>
          <w:trHeight w:val="609"/>
        </w:trPr>
        <w:tc>
          <w:tcPr>
            <w:tcW w:w="1301" w:type="dxa"/>
            <w:tcBorders>
              <w:top w:val="single" w:sz="4" w:space="0" w:color="000000"/>
              <w:bottom w:val="single" w:sz="4" w:space="0" w:color="000000"/>
              <w:right w:val="nil"/>
            </w:tcBorders>
          </w:tcPr>
          <w:p w:rsidR="00EA40A3" w:rsidRDefault="00E86C16">
            <w:pPr>
              <w:spacing w:before="234" w:line="219" w:lineRule="auto"/>
              <w:ind w:left="359"/>
              <w:rPr>
                <w:rFonts w:ascii="宋体" w:eastAsia="宋体" w:hAnsi="宋体" w:cs="宋体"/>
                <w:sz w:val="16"/>
                <w:szCs w:val="16"/>
              </w:rPr>
            </w:pPr>
            <w:r>
              <w:rPr>
                <w:rFonts w:ascii="宋体" w:eastAsia="宋体" w:hAnsi="宋体" w:cs="宋体"/>
                <w:spacing w:val="-2"/>
                <w:sz w:val="16"/>
                <w:szCs w:val="16"/>
              </w:rPr>
              <w:t>紧急救济</w:t>
            </w:r>
          </w:p>
        </w:tc>
        <w:tc>
          <w:tcPr>
            <w:tcW w:w="2237" w:type="dxa"/>
            <w:tcBorders>
              <w:top w:val="single" w:sz="4" w:space="0" w:color="000000"/>
              <w:left w:val="nil"/>
              <w:bottom w:val="single" w:sz="4" w:space="0" w:color="000000"/>
            </w:tcBorders>
          </w:tcPr>
          <w:p w:rsidR="00EA40A3" w:rsidRDefault="00E86C16">
            <w:pPr>
              <w:spacing w:before="94" w:line="219" w:lineRule="auto"/>
              <w:ind w:left="118"/>
              <w:rPr>
                <w:rFonts w:ascii="宋体" w:eastAsia="宋体" w:hAnsi="宋体" w:cs="宋体"/>
                <w:sz w:val="16"/>
                <w:szCs w:val="16"/>
              </w:rPr>
            </w:pPr>
            <w:r>
              <w:rPr>
                <w:rFonts w:ascii="宋体" w:eastAsia="宋体" w:hAnsi="宋体" w:cs="宋体"/>
                <w:spacing w:val="-1"/>
                <w:sz w:val="16"/>
                <w:szCs w:val="16"/>
              </w:rPr>
              <w:t>康复：儿童</w:t>
            </w:r>
          </w:p>
          <w:p w:rsidR="00EA40A3" w:rsidRDefault="00E86C16">
            <w:pPr>
              <w:spacing w:before="130" w:line="219" w:lineRule="auto"/>
              <w:ind w:left="118"/>
              <w:rPr>
                <w:rFonts w:ascii="宋体" w:eastAsia="宋体" w:hAnsi="宋体" w:cs="宋体"/>
                <w:sz w:val="16"/>
                <w:szCs w:val="16"/>
              </w:rPr>
            </w:pPr>
            <w:r>
              <w:rPr>
                <w:rFonts w:ascii="宋体" w:eastAsia="宋体" w:hAnsi="宋体" w:cs="宋体"/>
                <w:spacing w:val="-1"/>
                <w:sz w:val="16"/>
                <w:szCs w:val="16"/>
              </w:rPr>
              <w:t>康复：成人</w:t>
            </w:r>
          </w:p>
        </w:tc>
        <w:tc>
          <w:tcPr>
            <w:tcW w:w="1882" w:type="dxa"/>
            <w:tcBorders>
              <w:top w:val="single" w:sz="4" w:space="0" w:color="000000"/>
              <w:bottom w:val="single" w:sz="4" w:space="0" w:color="000000"/>
            </w:tcBorders>
          </w:tcPr>
          <w:p w:rsidR="00EA40A3" w:rsidRDefault="00E86C16">
            <w:pPr>
              <w:spacing w:before="104" w:line="311" w:lineRule="exact"/>
              <w:ind w:left="51"/>
              <w:rPr>
                <w:rFonts w:ascii="宋体" w:eastAsia="宋体" w:hAnsi="宋体" w:cs="宋体"/>
                <w:sz w:val="16"/>
                <w:szCs w:val="16"/>
              </w:rPr>
            </w:pPr>
            <w:r>
              <w:rPr>
                <w:rFonts w:ascii="宋体" w:eastAsia="宋体" w:hAnsi="宋体" w:cs="宋体"/>
                <w:position w:val="11"/>
                <w:sz w:val="16"/>
                <w:szCs w:val="16"/>
              </w:rPr>
              <w:t>临床症状人体测量</w:t>
            </w:r>
          </w:p>
          <w:p w:rsidR="00EA40A3" w:rsidRDefault="00E86C16">
            <w:pPr>
              <w:spacing w:line="220" w:lineRule="auto"/>
              <w:ind w:left="51"/>
              <w:rPr>
                <w:rFonts w:ascii="宋体" w:eastAsia="宋体" w:hAnsi="宋体" w:cs="宋体"/>
                <w:sz w:val="16"/>
                <w:szCs w:val="16"/>
              </w:rPr>
            </w:pPr>
            <w:r>
              <w:rPr>
                <w:rFonts w:ascii="宋体" w:eastAsia="宋体" w:hAnsi="宋体" w:cs="宋体"/>
                <w:spacing w:val="-2"/>
                <w:sz w:val="16"/>
                <w:szCs w:val="16"/>
              </w:rPr>
              <w:t>体重增加</w:t>
            </w:r>
          </w:p>
        </w:tc>
        <w:tc>
          <w:tcPr>
            <w:tcW w:w="1969" w:type="dxa"/>
            <w:tcBorders>
              <w:top w:val="single" w:sz="4" w:space="0" w:color="000000"/>
              <w:bottom w:val="single" w:sz="4" w:space="0" w:color="000000"/>
            </w:tcBorders>
          </w:tcPr>
          <w:p w:rsidR="00EA40A3" w:rsidRDefault="00EA40A3"/>
        </w:tc>
      </w:tr>
      <w:tr w:rsidR="00EA40A3">
        <w:trPr>
          <w:trHeight w:val="614"/>
        </w:trPr>
        <w:tc>
          <w:tcPr>
            <w:tcW w:w="1301" w:type="dxa"/>
            <w:tcBorders>
              <w:top w:val="single" w:sz="4" w:space="0" w:color="000000"/>
              <w:bottom w:val="single" w:sz="4" w:space="0" w:color="000000"/>
              <w:right w:val="nil"/>
            </w:tcBorders>
          </w:tcPr>
          <w:p w:rsidR="00EA40A3" w:rsidRDefault="00E86C16">
            <w:pPr>
              <w:spacing w:before="234" w:line="219" w:lineRule="auto"/>
              <w:ind w:left="49"/>
              <w:rPr>
                <w:rFonts w:ascii="宋体" w:eastAsia="宋体" w:hAnsi="宋体" w:cs="宋体"/>
                <w:sz w:val="16"/>
                <w:szCs w:val="16"/>
              </w:rPr>
            </w:pPr>
            <w:r>
              <w:rPr>
                <w:rFonts w:ascii="宋体" w:eastAsia="宋体" w:hAnsi="宋体" w:cs="宋体"/>
                <w:spacing w:val="-1"/>
                <w:sz w:val="16"/>
                <w:szCs w:val="16"/>
              </w:rPr>
              <w:t>母亲的补充供膳</w:t>
            </w:r>
          </w:p>
        </w:tc>
        <w:tc>
          <w:tcPr>
            <w:tcW w:w="2237" w:type="dxa"/>
            <w:tcBorders>
              <w:top w:val="single" w:sz="4" w:space="0" w:color="000000"/>
              <w:left w:val="nil"/>
              <w:bottom w:val="single" w:sz="4" w:space="0" w:color="000000"/>
            </w:tcBorders>
          </w:tcPr>
          <w:p w:rsidR="00EA40A3" w:rsidRDefault="00E86C16">
            <w:pPr>
              <w:spacing w:before="126" w:line="259" w:lineRule="auto"/>
              <w:ind w:left="257" w:right="44" w:hanging="139"/>
              <w:rPr>
                <w:rFonts w:ascii="宋体" w:eastAsia="宋体" w:hAnsi="宋体" w:cs="宋体"/>
                <w:sz w:val="16"/>
                <w:szCs w:val="16"/>
              </w:rPr>
            </w:pPr>
            <w:r>
              <w:rPr>
                <w:rFonts w:ascii="宋体" w:eastAsia="宋体" w:hAnsi="宋体" w:cs="宋体"/>
                <w:spacing w:val="-1"/>
                <w:sz w:val="16"/>
                <w:szCs w:val="16"/>
              </w:rPr>
              <w:t>减少：分娩危险、低体重出生</w:t>
            </w:r>
            <w:r>
              <w:rPr>
                <w:rFonts w:ascii="宋体" w:eastAsia="宋体" w:hAnsi="宋体" w:cs="宋体"/>
                <w:spacing w:val="5"/>
                <w:sz w:val="16"/>
                <w:szCs w:val="16"/>
              </w:rPr>
              <w:t xml:space="preserve"> </w:t>
            </w:r>
            <w:r>
              <w:rPr>
                <w:rFonts w:ascii="宋体" w:eastAsia="宋体" w:hAnsi="宋体" w:cs="宋体"/>
                <w:spacing w:val="-1"/>
                <w:sz w:val="16"/>
                <w:szCs w:val="16"/>
              </w:rPr>
              <w:t>婴儿、继而婴儿死亡率</w:t>
            </w:r>
          </w:p>
        </w:tc>
        <w:tc>
          <w:tcPr>
            <w:tcW w:w="1882" w:type="dxa"/>
            <w:tcBorders>
              <w:top w:val="single" w:sz="4" w:space="0" w:color="000000"/>
              <w:bottom w:val="single" w:sz="4" w:space="0" w:color="000000"/>
            </w:tcBorders>
          </w:tcPr>
          <w:p w:rsidR="00EA40A3" w:rsidRDefault="00E86C16">
            <w:pPr>
              <w:spacing w:before="136" w:line="220" w:lineRule="auto"/>
              <w:ind w:left="51"/>
              <w:rPr>
                <w:rFonts w:ascii="宋体" w:eastAsia="宋体" w:hAnsi="宋体" w:cs="宋体"/>
                <w:sz w:val="16"/>
                <w:szCs w:val="16"/>
              </w:rPr>
            </w:pPr>
            <w:r>
              <w:rPr>
                <w:rFonts w:ascii="宋体" w:eastAsia="宋体" w:hAnsi="宋体" w:cs="宋体"/>
                <w:spacing w:val="2"/>
                <w:sz w:val="16"/>
                <w:szCs w:val="16"/>
              </w:rPr>
              <w:t>孕期体重增加</w:t>
            </w:r>
          </w:p>
          <w:p w:rsidR="00EA40A3" w:rsidRDefault="00E86C16">
            <w:pPr>
              <w:spacing w:before="68" w:line="219" w:lineRule="auto"/>
              <w:ind w:left="51"/>
              <w:rPr>
                <w:rFonts w:ascii="宋体" w:eastAsia="宋体" w:hAnsi="宋体" w:cs="宋体"/>
                <w:sz w:val="16"/>
                <w:szCs w:val="16"/>
              </w:rPr>
            </w:pPr>
            <w:r>
              <w:rPr>
                <w:rFonts w:ascii="宋体" w:eastAsia="宋体" w:hAnsi="宋体" w:cs="宋体"/>
                <w:spacing w:val="1"/>
                <w:sz w:val="16"/>
                <w:szCs w:val="16"/>
              </w:rPr>
              <w:t>出生婴儿体重增加</w:t>
            </w:r>
          </w:p>
        </w:tc>
        <w:tc>
          <w:tcPr>
            <w:tcW w:w="1969" w:type="dxa"/>
            <w:tcBorders>
              <w:top w:val="single" w:sz="4" w:space="0" w:color="000000"/>
              <w:bottom w:val="single" w:sz="4" w:space="0" w:color="000000"/>
            </w:tcBorders>
          </w:tcPr>
          <w:p w:rsidR="00EA40A3" w:rsidRDefault="00E86C16">
            <w:pPr>
              <w:spacing w:before="115" w:line="270" w:lineRule="exact"/>
              <w:ind w:left="89"/>
              <w:rPr>
                <w:rFonts w:ascii="宋体" w:eastAsia="宋体" w:hAnsi="宋体" w:cs="宋体"/>
                <w:sz w:val="16"/>
                <w:szCs w:val="16"/>
              </w:rPr>
            </w:pPr>
            <w:r>
              <w:rPr>
                <w:rFonts w:ascii="宋体" w:eastAsia="宋体" w:hAnsi="宋体" w:cs="宋体"/>
                <w:position w:val="8"/>
                <w:sz w:val="16"/>
                <w:szCs w:val="16"/>
              </w:rPr>
              <w:t>围产期和(或)婴儿死</w:t>
            </w:r>
          </w:p>
          <w:p w:rsidR="00EA40A3" w:rsidRDefault="00E86C16">
            <w:pPr>
              <w:spacing w:line="219" w:lineRule="auto"/>
              <w:ind w:left="239"/>
              <w:rPr>
                <w:rFonts w:ascii="宋体" w:eastAsia="宋体" w:hAnsi="宋体" w:cs="宋体"/>
                <w:sz w:val="16"/>
                <w:szCs w:val="16"/>
              </w:rPr>
            </w:pPr>
            <w:r>
              <w:rPr>
                <w:rFonts w:ascii="宋体" w:eastAsia="宋体" w:hAnsi="宋体" w:cs="宋体"/>
                <w:spacing w:val="-2"/>
                <w:sz w:val="16"/>
                <w:szCs w:val="16"/>
              </w:rPr>
              <w:t>亡率</w:t>
            </w:r>
          </w:p>
        </w:tc>
      </w:tr>
    </w:tbl>
    <w:p w:rsidR="00EA40A3" w:rsidRDefault="00E86C16">
      <w:pPr>
        <w:spacing w:before="100" w:line="218" w:lineRule="auto"/>
        <w:ind w:left="390"/>
        <w:rPr>
          <w:rFonts w:ascii="宋体" w:eastAsia="宋体" w:hAnsi="宋体" w:cs="宋体"/>
          <w:sz w:val="16"/>
          <w:szCs w:val="16"/>
        </w:rPr>
      </w:pPr>
      <w:r>
        <w:rPr>
          <w:rFonts w:ascii="宋体" w:eastAsia="宋体" w:hAnsi="宋体" w:cs="宋体"/>
          <w:spacing w:val="-4"/>
          <w:sz w:val="16"/>
          <w:szCs w:val="16"/>
        </w:rPr>
        <w:t>资料来源：</w:t>
      </w:r>
      <w:r>
        <w:rPr>
          <w:rFonts w:ascii="宋体" w:eastAsia="宋体" w:hAnsi="宋体" w:cs="宋体"/>
          <w:spacing w:val="-3"/>
          <w:sz w:val="16"/>
          <w:szCs w:val="16"/>
        </w:rPr>
        <w:t>John</w:t>
      </w:r>
      <w:r>
        <w:rPr>
          <w:rFonts w:ascii="宋体" w:eastAsia="宋体" w:hAnsi="宋体" w:cs="宋体"/>
          <w:sz w:val="16"/>
          <w:szCs w:val="16"/>
        </w:rPr>
        <w:t xml:space="preserve"> </w:t>
      </w:r>
      <w:r>
        <w:rPr>
          <w:rFonts w:ascii="宋体" w:eastAsia="宋体" w:hAnsi="宋体" w:cs="宋体"/>
          <w:spacing w:val="-3"/>
          <w:sz w:val="16"/>
          <w:szCs w:val="16"/>
        </w:rPr>
        <w:t>B</w:t>
      </w:r>
      <w:r>
        <w:rPr>
          <w:rFonts w:ascii="宋体" w:eastAsia="宋体" w:hAnsi="宋体" w:cs="宋体"/>
          <w:spacing w:val="-1"/>
          <w:sz w:val="16"/>
          <w:szCs w:val="16"/>
        </w:rPr>
        <w:t xml:space="preserve"> </w:t>
      </w:r>
      <w:r>
        <w:rPr>
          <w:rFonts w:ascii="宋体" w:eastAsia="宋体" w:hAnsi="宋体" w:cs="宋体"/>
          <w:spacing w:val="-3"/>
          <w:sz w:val="16"/>
          <w:szCs w:val="16"/>
        </w:rPr>
        <w:t>Mason</w:t>
      </w:r>
      <w:r>
        <w:rPr>
          <w:rFonts w:ascii="宋体" w:eastAsia="宋体" w:hAnsi="宋体" w:cs="宋体"/>
          <w:spacing w:val="7"/>
          <w:sz w:val="16"/>
          <w:szCs w:val="16"/>
        </w:rPr>
        <w:t xml:space="preserve"> </w:t>
      </w:r>
      <w:r>
        <w:rPr>
          <w:rFonts w:ascii="宋体" w:eastAsia="宋体" w:hAnsi="宋体" w:cs="宋体"/>
          <w:spacing w:val="-3"/>
          <w:sz w:val="16"/>
          <w:szCs w:val="16"/>
        </w:rPr>
        <w:t>et</w:t>
      </w:r>
      <w:r>
        <w:rPr>
          <w:rFonts w:ascii="宋体" w:eastAsia="宋体" w:hAnsi="宋体" w:cs="宋体"/>
          <w:spacing w:val="5"/>
          <w:sz w:val="16"/>
          <w:szCs w:val="16"/>
        </w:rPr>
        <w:t xml:space="preserve"> </w:t>
      </w:r>
      <w:r>
        <w:rPr>
          <w:rFonts w:ascii="宋体" w:eastAsia="宋体" w:hAnsi="宋体" w:cs="宋体"/>
          <w:spacing w:val="-3"/>
          <w:sz w:val="16"/>
          <w:szCs w:val="16"/>
        </w:rPr>
        <w:t>al</w:t>
      </w:r>
      <w:r>
        <w:rPr>
          <w:rFonts w:ascii="宋体" w:eastAsia="宋体" w:hAnsi="宋体" w:cs="宋体"/>
          <w:spacing w:val="-4"/>
          <w:sz w:val="16"/>
          <w:szCs w:val="16"/>
        </w:rPr>
        <w:t>.</w:t>
      </w:r>
      <w:r>
        <w:rPr>
          <w:rFonts w:ascii="宋体" w:eastAsia="宋体" w:hAnsi="宋体" w:cs="宋体"/>
          <w:spacing w:val="16"/>
          <w:sz w:val="16"/>
          <w:szCs w:val="16"/>
        </w:rPr>
        <w:t xml:space="preserve"> </w:t>
      </w:r>
      <w:r>
        <w:rPr>
          <w:rFonts w:ascii="宋体" w:eastAsia="宋体" w:hAnsi="宋体" w:cs="宋体"/>
          <w:spacing w:val="-4"/>
          <w:sz w:val="16"/>
          <w:szCs w:val="16"/>
        </w:rPr>
        <w:t>1994.</w:t>
      </w:r>
      <w:r>
        <w:rPr>
          <w:rFonts w:ascii="宋体" w:eastAsia="宋体" w:hAnsi="宋体" w:cs="宋体"/>
          <w:spacing w:val="-3"/>
          <w:sz w:val="16"/>
          <w:szCs w:val="16"/>
        </w:rPr>
        <w:t>Nutritional</w:t>
      </w:r>
      <w:r>
        <w:rPr>
          <w:rFonts w:ascii="宋体" w:eastAsia="宋体" w:hAnsi="宋体" w:cs="宋体"/>
          <w:spacing w:val="11"/>
          <w:sz w:val="16"/>
          <w:szCs w:val="16"/>
        </w:rPr>
        <w:t xml:space="preserve"> </w:t>
      </w:r>
      <w:r>
        <w:rPr>
          <w:rFonts w:ascii="宋体" w:eastAsia="宋体" w:hAnsi="宋体" w:cs="宋体"/>
          <w:spacing w:val="-3"/>
          <w:sz w:val="16"/>
          <w:szCs w:val="16"/>
        </w:rPr>
        <w:t>surveillanc</w:t>
      </w:r>
      <w:r>
        <w:rPr>
          <w:rFonts w:ascii="宋体" w:eastAsia="宋体" w:hAnsi="宋体" w:cs="宋体"/>
          <w:spacing w:val="-4"/>
          <w:sz w:val="16"/>
          <w:szCs w:val="16"/>
        </w:rPr>
        <w:t>e.</w:t>
      </w:r>
      <w:r>
        <w:rPr>
          <w:rFonts w:ascii="宋体" w:eastAsia="宋体" w:hAnsi="宋体" w:cs="宋体"/>
          <w:spacing w:val="-1"/>
          <w:sz w:val="16"/>
          <w:szCs w:val="16"/>
        </w:rPr>
        <w:t xml:space="preserve"> </w:t>
      </w:r>
      <w:r>
        <w:rPr>
          <w:rFonts w:ascii="宋体" w:eastAsia="宋体" w:hAnsi="宋体" w:cs="宋体"/>
          <w:spacing w:val="-4"/>
          <w:sz w:val="16"/>
          <w:szCs w:val="16"/>
        </w:rPr>
        <w:t>WHO</w:t>
      </w:r>
    </w:p>
    <w:p w:rsidR="00EA40A3" w:rsidRDefault="00E86C16">
      <w:pPr>
        <w:spacing w:before="292" w:line="250" w:lineRule="auto"/>
        <w:ind w:right="121" w:firstLine="449"/>
        <w:jc w:val="both"/>
        <w:rPr>
          <w:rFonts w:ascii="宋体" w:eastAsia="宋体" w:hAnsi="宋体" w:cs="宋体"/>
          <w:sz w:val="22"/>
          <w:szCs w:val="22"/>
        </w:rPr>
      </w:pPr>
      <w:r>
        <w:rPr>
          <w:rFonts w:ascii="宋体" w:eastAsia="宋体" w:hAnsi="宋体" w:cs="宋体"/>
          <w:spacing w:val="-12"/>
          <w:sz w:val="22"/>
          <w:szCs w:val="22"/>
        </w:rPr>
        <w:t>在许多种类的人体测量指标中，体重、身高对营养和保健计划</w:t>
      </w:r>
      <w:r>
        <w:rPr>
          <w:rFonts w:ascii="宋体" w:eastAsia="宋体" w:hAnsi="宋体" w:cs="宋体"/>
          <w:spacing w:val="-13"/>
          <w:sz w:val="22"/>
          <w:szCs w:val="22"/>
        </w:rPr>
        <w:t>更为重要和敏</w:t>
      </w:r>
      <w:r>
        <w:rPr>
          <w:rFonts w:ascii="宋体" w:eastAsia="宋体" w:hAnsi="宋体" w:cs="宋体"/>
          <w:sz w:val="22"/>
          <w:szCs w:val="22"/>
        </w:rPr>
        <w:t xml:space="preserve"> </w:t>
      </w:r>
      <w:r>
        <w:rPr>
          <w:rFonts w:ascii="宋体" w:eastAsia="宋体" w:hAnsi="宋体" w:cs="宋体"/>
          <w:spacing w:val="-12"/>
          <w:sz w:val="22"/>
          <w:szCs w:val="22"/>
        </w:rPr>
        <w:t>感，特别是同一儿童在不同年龄时期的测量，从统计学意义上，身高比体重的增</w:t>
      </w:r>
      <w:r>
        <w:rPr>
          <w:rFonts w:ascii="宋体" w:eastAsia="宋体" w:hAnsi="宋体" w:cs="宋体"/>
          <w:spacing w:val="16"/>
          <w:sz w:val="22"/>
          <w:szCs w:val="22"/>
        </w:rPr>
        <w:t xml:space="preserve"> </w:t>
      </w:r>
      <w:r>
        <w:rPr>
          <w:rFonts w:ascii="宋体" w:eastAsia="宋体" w:hAnsi="宋体" w:cs="宋体"/>
          <w:spacing w:val="-6"/>
          <w:sz w:val="22"/>
          <w:szCs w:val="22"/>
        </w:rPr>
        <w:t>加更为敏感。有些指标，如死亡率和发病率(单位时间内新发生的病例)不是</w:t>
      </w:r>
      <w:r>
        <w:rPr>
          <w:rFonts w:ascii="宋体" w:eastAsia="宋体" w:hAnsi="宋体" w:cs="宋体"/>
          <w:spacing w:val="-7"/>
          <w:sz w:val="22"/>
          <w:szCs w:val="22"/>
        </w:rPr>
        <w:t>改</w:t>
      </w:r>
      <w:r>
        <w:rPr>
          <w:rFonts w:ascii="宋体" w:eastAsia="宋体" w:hAnsi="宋体" w:cs="宋体"/>
          <w:sz w:val="22"/>
          <w:szCs w:val="22"/>
        </w:rPr>
        <w:t xml:space="preserve"> </w:t>
      </w:r>
      <w:r>
        <w:rPr>
          <w:rFonts w:ascii="宋体" w:eastAsia="宋体" w:hAnsi="宋体" w:cs="宋体"/>
          <w:spacing w:val="-13"/>
          <w:sz w:val="22"/>
          <w:szCs w:val="22"/>
        </w:rPr>
        <w:t>善营养的敏感指标，衡量这类指标不易察觉计划和干</w:t>
      </w:r>
      <w:r>
        <w:rPr>
          <w:rFonts w:ascii="宋体" w:eastAsia="宋体" w:hAnsi="宋体" w:cs="宋体"/>
          <w:spacing w:val="-14"/>
          <w:sz w:val="22"/>
          <w:szCs w:val="22"/>
        </w:rPr>
        <w:t>预措施的作用。</w:t>
      </w:r>
    </w:p>
    <w:p w:rsidR="00EA40A3" w:rsidRDefault="00E86C16">
      <w:pPr>
        <w:spacing w:before="51" w:line="245" w:lineRule="auto"/>
        <w:ind w:right="141" w:firstLine="449"/>
        <w:jc w:val="both"/>
        <w:rPr>
          <w:rFonts w:ascii="宋体" w:eastAsia="宋体" w:hAnsi="宋体" w:cs="宋体"/>
          <w:sz w:val="22"/>
          <w:szCs w:val="22"/>
        </w:rPr>
      </w:pPr>
      <w:r>
        <w:rPr>
          <w:rFonts w:ascii="宋体" w:eastAsia="宋体" w:hAnsi="宋体" w:cs="宋体"/>
          <w:spacing w:val="-13"/>
          <w:sz w:val="22"/>
          <w:szCs w:val="22"/>
        </w:rPr>
        <w:t>计划管理和评价的营养监测，其组织系统由计划种类、建立管理结构的方式</w:t>
      </w:r>
      <w:r>
        <w:rPr>
          <w:rFonts w:ascii="宋体" w:eastAsia="宋体" w:hAnsi="宋体" w:cs="宋体"/>
          <w:spacing w:val="6"/>
          <w:sz w:val="22"/>
          <w:szCs w:val="22"/>
        </w:rPr>
        <w:t xml:space="preserve"> </w:t>
      </w:r>
      <w:r>
        <w:rPr>
          <w:rFonts w:ascii="宋体" w:eastAsia="宋体" w:hAnsi="宋体" w:cs="宋体"/>
          <w:spacing w:val="-6"/>
          <w:sz w:val="22"/>
          <w:szCs w:val="22"/>
        </w:rPr>
        <w:t>以及评价原因所决定。在所有情况下，评价机构都必须与评</w:t>
      </w:r>
      <w:r>
        <w:rPr>
          <w:rFonts w:ascii="宋体" w:eastAsia="宋体" w:hAnsi="宋体" w:cs="宋体"/>
          <w:spacing w:val="-7"/>
          <w:sz w:val="22"/>
          <w:szCs w:val="22"/>
        </w:rPr>
        <w:t>价计划的管理相联</w:t>
      </w:r>
      <w:r>
        <w:rPr>
          <w:rFonts w:ascii="宋体" w:eastAsia="宋体" w:hAnsi="宋体" w:cs="宋体"/>
          <w:sz w:val="22"/>
          <w:szCs w:val="22"/>
        </w:rPr>
        <w:t xml:space="preserve"> </w:t>
      </w:r>
      <w:r>
        <w:rPr>
          <w:rFonts w:ascii="宋体" w:eastAsia="宋体" w:hAnsi="宋体" w:cs="宋体"/>
          <w:spacing w:val="-6"/>
          <w:sz w:val="22"/>
          <w:szCs w:val="22"/>
        </w:rPr>
        <w:t>系，许多常规计划(如营养保健)是全国、全省规模的，有些计划则可下放</w:t>
      </w:r>
      <w:r>
        <w:rPr>
          <w:rFonts w:ascii="宋体" w:eastAsia="宋体" w:hAnsi="宋体" w:cs="宋体"/>
          <w:spacing w:val="-7"/>
          <w:sz w:val="22"/>
          <w:szCs w:val="22"/>
        </w:rPr>
        <w:t>到地</w:t>
      </w:r>
      <w:r>
        <w:rPr>
          <w:rFonts w:ascii="宋体" w:eastAsia="宋体" w:hAnsi="宋体" w:cs="宋体"/>
          <w:sz w:val="22"/>
          <w:szCs w:val="22"/>
        </w:rPr>
        <w:t xml:space="preserve"> </w:t>
      </w:r>
      <w:r>
        <w:rPr>
          <w:rFonts w:ascii="宋体" w:eastAsia="宋体" w:hAnsi="宋体" w:cs="宋体"/>
          <w:spacing w:val="-3"/>
          <w:sz w:val="22"/>
          <w:szCs w:val="22"/>
        </w:rPr>
        <w:t>县等下级部门(如膳食计划),当地可实施对贫困地区营养缺乏的学龄前儿童进</w:t>
      </w:r>
      <w:r>
        <w:rPr>
          <w:rFonts w:ascii="宋体" w:eastAsia="宋体" w:hAnsi="宋体" w:cs="宋体"/>
          <w:spacing w:val="2"/>
          <w:sz w:val="22"/>
          <w:szCs w:val="22"/>
        </w:rPr>
        <w:t xml:space="preserve"> </w:t>
      </w:r>
      <w:r>
        <w:rPr>
          <w:rFonts w:ascii="宋体" w:eastAsia="宋体" w:hAnsi="宋体" w:cs="宋体"/>
          <w:spacing w:val="-16"/>
          <w:sz w:val="22"/>
          <w:szCs w:val="22"/>
        </w:rPr>
        <w:t>行的供膳计划，并筛选受益人群。</w:t>
      </w:r>
    </w:p>
    <w:p w:rsidR="00EA40A3" w:rsidRDefault="00E86C16">
      <w:pPr>
        <w:spacing w:before="99"/>
        <w:ind w:right="39" w:firstLine="449"/>
        <w:rPr>
          <w:rFonts w:ascii="宋体" w:eastAsia="宋体" w:hAnsi="宋体" w:cs="宋体"/>
          <w:sz w:val="22"/>
          <w:szCs w:val="22"/>
        </w:rPr>
      </w:pPr>
      <w:r>
        <w:rPr>
          <w:rFonts w:ascii="宋体" w:eastAsia="宋体" w:hAnsi="宋体" w:cs="宋体"/>
          <w:spacing w:val="-3"/>
          <w:sz w:val="22"/>
          <w:szCs w:val="22"/>
        </w:rPr>
        <w:t>计划管理和评价的营养监测，其收集数据的原则方法与12.1.2基本一致。</w:t>
      </w:r>
      <w:r>
        <w:rPr>
          <w:rFonts w:ascii="宋体" w:eastAsia="宋体" w:hAnsi="宋体" w:cs="宋体"/>
          <w:spacing w:val="4"/>
          <w:sz w:val="22"/>
          <w:szCs w:val="22"/>
        </w:rPr>
        <w:t xml:space="preserve"> </w:t>
      </w:r>
      <w:r>
        <w:rPr>
          <w:rFonts w:ascii="宋体" w:eastAsia="宋体" w:hAnsi="宋体" w:cs="宋体"/>
          <w:spacing w:val="-8"/>
          <w:sz w:val="22"/>
          <w:szCs w:val="22"/>
        </w:rPr>
        <w:t>但要监测的人群一般较少，抽样数量有限，可从制</w:t>
      </w:r>
      <w:r>
        <w:rPr>
          <w:rFonts w:ascii="宋体" w:eastAsia="宋体" w:hAnsi="宋体" w:cs="宋体"/>
          <w:spacing w:val="-9"/>
          <w:sz w:val="22"/>
          <w:szCs w:val="22"/>
        </w:rPr>
        <w:t>定计划过程中取得数据(如从</w:t>
      </w:r>
    </w:p>
    <w:p w:rsidR="00EA40A3" w:rsidRDefault="00EA40A3">
      <w:pPr>
        <w:sectPr w:rsidR="00EA40A3">
          <w:footerReference w:type="default" r:id="rId320"/>
          <w:pgSz w:w="9220" w:h="13360"/>
          <w:pgMar w:top="400" w:right="860" w:bottom="1166" w:left="930" w:header="0" w:footer="945" w:gutter="0"/>
          <w:cols w:space="720"/>
        </w:sectPr>
      </w:pPr>
    </w:p>
    <w:p w:rsidR="00EA40A3" w:rsidRDefault="00EA40A3">
      <w:pPr>
        <w:spacing w:line="295" w:lineRule="auto"/>
      </w:pPr>
    </w:p>
    <w:p w:rsidR="00EA40A3" w:rsidRDefault="00EA40A3">
      <w:pPr>
        <w:spacing w:line="295" w:lineRule="auto"/>
      </w:pPr>
    </w:p>
    <w:p w:rsidR="00EA40A3" w:rsidRDefault="00E86C16">
      <w:pPr>
        <w:spacing w:before="72" w:line="216" w:lineRule="auto"/>
        <w:rPr>
          <w:rFonts w:ascii="宋体" w:eastAsia="宋体" w:hAnsi="宋体" w:cs="宋体"/>
          <w:sz w:val="22"/>
          <w:szCs w:val="22"/>
        </w:rPr>
      </w:pPr>
      <w:r>
        <w:rPr>
          <w:rFonts w:ascii="宋体" w:eastAsia="宋体" w:hAnsi="宋体" w:cs="宋体"/>
          <w:spacing w:val="-9"/>
          <w:sz w:val="22"/>
          <w:szCs w:val="22"/>
        </w:rPr>
        <w:t>接受补助食物的儿童),还必须包括最新进展数据。</w:t>
      </w:r>
    </w:p>
    <w:p w:rsidR="00EA40A3" w:rsidRDefault="00E86C16">
      <w:pPr>
        <w:spacing w:before="221" w:line="222" w:lineRule="auto"/>
        <w:ind w:left="3"/>
        <w:outlineLvl w:val="6"/>
        <w:rPr>
          <w:rFonts w:ascii="黑体" w:eastAsia="黑体" w:hAnsi="黑体" w:cs="黑体"/>
          <w:sz w:val="22"/>
          <w:szCs w:val="22"/>
        </w:rPr>
      </w:pPr>
      <w:bookmarkStart w:id="97" w:name="_bookmark101"/>
      <w:bookmarkEnd w:id="97"/>
      <w:r>
        <w:rPr>
          <w:rFonts w:ascii="黑体" w:eastAsia="黑体" w:hAnsi="黑体" w:cs="黑体"/>
          <w:b/>
          <w:bCs/>
          <w:spacing w:val="5"/>
          <w:sz w:val="22"/>
          <w:szCs w:val="22"/>
        </w:rPr>
        <w:t>12.1.4</w:t>
      </w:r>
      <w:r>
        <w:rPr>
          <w:rFonts w:ascii="黑体" w:eastAsia="黑体" w:hAnsi="黑体" w:cs="黑体"/>
          <w:spacing w:val="16"/>
          <w:sz w:val="22"/>
          <w:szCs w:val="22"/>
        </w:rPr>
        <w:t xml:space="preserve">   </w:t>
      </w:r>
      <w:r>
        <w:rPr>
          <w:rFonts w:ascii="黑体" w:eastAsia="黑体" w:hAnsi="黑体" w:cs="黑体"/>
          <w:b/>
          <w:bCs/>
          <w:spacing w:val="5"/>
          <w:sz w:val="22"/>
          <w:szCs w:val="22"/>
        </w:rPr>
        <w:t>及时报警和干预</w:t>
      </w:r>
    </w:p>
    <w:p w:rsidR="00EA40A3" w:rsidRDefault="00EA40A3">
      <w:pPr>
        <w:spacing w:line="280" w:lineRule="auto"/>
      </w:pPr>
    </w:p>
    <w:p w:rsidR="00EA40A3" w:rsidRDefault="00E86C16">
      <w:pPr>
        <w:spacing w:before="71" w:line="222" w:lineRule="auto"/>
        <w:rPr>
          <w:rFonts w:ascii="宋体" w:eastAsia="宋体" w:hAnsi="宋体" w:cs="宋体"/>
          <w:sz w:val="22"/>
          <w:szCs w:val="22"/>
        </w:rPr>
      </w:pPr>
      <w:r>
        <w:rPr>
          <w:rFonts w:ascii="宋体" w:eastAsia="宋体" w:hAnsi="宋体" w:cs="宋体"/>
          <w:spacing w:val="-7"/>
          <w:sz w:val="22"/>
          <w:szCs w:val="22"/>
        </w:rPr>
        <w:t>1.</w:t>
      </w:r>
      <w:r>
        <w:rPr>
          <w:rFonts w:ascii="宋体" w:eastAsia="宋体" w:hAnsi="宋体" w:cs="宋体"/>
          <w:spacing w:val="5"/>
          <w:sz w:val="22"/>
          <w:szCs w:val="22"/>
        </w:rPr>
        <w:t xml:space="preserve"> </w:t>
      </w:r>
      <w:r>
        <w:rPr>
          <w:rFonts w:ascii="宋体" w:eastAsia="宋体" w:hAnsi="宋体" w:cs="宋体"/>
          <w:spacing w:val="-7"/>
          <w:sz w:val="22"/>
          <w:szCs w:val="22"/>
        </w:rPr>
        <w:t>目的</w:t>
      </w:r>
    </w:p>
    <w:p w:rsidR="00EA40A3" w:rsidRDefault="00E86C16">
      <w:pPr>
        <w:spacing w:before="181" w:line="241" w:lineRule="auto"/>
        <w:ind w:right="93" w:firstLine="430"/>
        <w:jc w:val="both"/>
        <w:rPr>
          <w:rFonts w:ascii="宋体" w:eastAsia="宋体" w:hAnsi="宋体" w:cs="宋体"/>
          <w:sz w:val="22"/>
          <w:szCs w:val="22"/>
        </w:rPr>
      </w:pPr>
      <w:r>
        <w:rPr>
          <w:rFonts w:ascii="宋体" w:eastAsia="宋体" w:hAnsi="宋体" w:cs="宋体"/>
          <w:spacing w:val="-13"/>
          <w:sz w:val="22"/>
          <w:szCs w:val="22"/>
        </w:rPr>
        <w:t>及时报警和干预主要包括预定或适时采取干预措施以及获取实施</w:t>
      </w:r>
      <w:r>
        <w:rPr>
          <w:rFonts w:ascii="宋体" w:eastAsia="宋体" w:hAnsi="宋体" w:cs="宋体"/>
          <w:spacing w:val="-14"/>
          <w:sz w:val="22"/>
          <w:szCs w:val="22"/>
        </w:rPr>
        <w:t>中所必备的</w:t>
      </w:r>
      <w:r>
        <w:rPr>
          <w:rFonts w:ascii="宋体" w:eastAsia="宋体" w:hAnsi="宋体" w:cs="宋体"/>
          <w:sz w:val="22"/>
          <w:szCs w:val="22"/>
        </w:rPr>
        <w:t xml:space="preserve"> </w:t>
      </w:r>
      <w:r>
        <w:rPr>
          <w:rFonts w:ascii="宋体" w:eastAsia="宋体" w:hAnsi="宋体" w:cs="宋体"/>
          <w:spacing w:val="-7"/>
          <w:sz w:val="22"/>
          <w:szCs w:val="22"/>
        </w:rPr>
        <w:t>数据。目的是针对局部短期的营养恶化、地区性季节性(如干旱洪涝)的严重食</w:t>
      </w:r>
      <w:r>
        <w:rPr>
          <w:rFonts w:ascii="宋体" w:eastAsia="宋体" w:hAnsi="宋体" w:cs="宋体"/>
          <w:spacing w:val="14"/>
          <w:sz w:val="22"/>
          <w:szCs w:val="22"/>
        </w:rPr>
        <w:t xml:space="preserve"> </w:t>
      </w:r>
      <w:r>
        <w:rPr>
          <w:rFonts w:ascii="宋体" w:eastAsia="宋体" w:hAnsi="宋体" w:cs="宋体"/>
          <w:spacing w:val="-13"/>
          <w:sz w:val="22"/>
          <w:szCs w:val="22"/>
        </w:rPr>
        <w:t>物短缺或某些营养素摄入过量，防止及缓解这些</w:t>
      </w:r>
      <w:r>
        <w:rPr>
          <w:rFonts w:ascii="宋体" w:eastAsia="宋体" w:hAnsi="宋体" w:cs="宋体"/>
          <w:spacing w:val="-14"/>
          <w:sz w:val="22"/>
          <w:szCs w:val="22"/>
        </w:rPr>
        <w:t>情况的发生。</w:t>
      </w:r>
    </w:p>
    <w:p w:rsidR="00EA40A3" w:rsidRDefault="00E86C16">
      <w:pPr>
        <w:spacing w:before="46" w:line="244" w:lineRule="auto"/>
        <w:ind w:right="92" w:firstLine="430"/>
        <w:jc w:val="both"/>
        <w:rPr>
          <w:rFonts w:ascii="宋体" w:eastAsia="宋体" w:hAnsi="宋体" w:cs="宋体"/>
          <w:sz w:val="22"/>
          <w:szCs w:val="22"/>
        </w:rPr>
      </w:pPr>
      <w:r>
        <w:rPr>
          <w:rFonts w:ascii="宋体" w:eastAsia="宋体" w:hAnsi="宋体" w:cs="宋体"/>
          <w:spacing w:val="-13"/>
          <w:sz w:val="22"/>
          <w:szCs w:val="22"/>
        </w:rPr>
        <w:t>当下列三种情况同时存在时，制定报警和干预是</w:t>
      </w:r>
      <w:r>
        <w:rPr>
          <w:rFonts w:ascii="宋体" w:eastAsia="宋体" w:hAnsi="宋体" w:cs="宋体"/>
          <w:spacing w:val="-14"/>
          <w:sz w:val="22"/>
          <w:szCs w:val="22"/>
        </w:rPr>
        <w:t>有价值的：①间歇性严重食</w:t>
      </w:r>
      <w:r>
        <w:rPr>
          <w:rFonts w:ascii="宋体" w:eastAsia="宋体" w:hAnsi="宋体" w:cs="宋体"/>
          <w:sz w:val="22"/>
          <w:szCs w:val="22"/>
        </w:rPr>
        <w:t xml:space="preserve"> </w:t>
      </w:r>
      <w:r>
        <w:rPr>
          <w:rFonts w:ascii="宋体" w:eastAsia="宋体" w:hAnsi="宋体" w:cs="宋体"/>
          <w:spacing w:val="-13"/>
          <w:sz w:val="22"/>
          <w:szCs w:val="22"/>
        </w:rPr>
        <w:t>物短缺或营养过剩引起的某种营养失调的危险影响着一些人群。②现有食物资源</w:t>
      </w:r>
      <w:r>
        <w:rPr>
          <w:rFonts w:ascii="宋体" w:eastAsia="宋体" w:hAnsi="宋体" w:cs="宋体"/>
          <w:spacing w:val="2"/>
          <w:sz w:val="22"/>
          <w:szCs w:val="22"/>
        </w:rPr>
        <w:t xml:space="preserve"> </w:t>
      </w:r>
      <w:r>
        <w:rPr>
          <w:rFonts w:ascii="宋体" w:eastAsia="宋体" w:hAnsi="宋体" w:cs="宋体"/>
          <w:spacing w:val="-7"/>
          <w:sz w:val="22"/>
          <w:szCs w:val="22"/>
        </w:rPr>
        <w:t>和组织机构对预防短缺或过剩的干预是有效的。③缺少进行干预的适宜数据和</w:t>
      </w:r>
      <w:r>
        <w:rPr>
          <w:rFonts w:ascii="宋体" w:eastAsia="宋体" w:hAnsi="宋体" w:cs="宋体"/>
          <w:spacing w:val="14"/>
          <w:sz w:val="22"/>
          <w:szCs w:val="22"/>
        </w:rPr>
        <w:t xml:space="preserve"> </w:t>
      </w:r>
      <w:r>
        <w:rPr>
          <w:rFonts w:ascii="宋体" w:eastAsia="宋体" w:hAnsi="宋体" w:cs="宋体"/>
          <w:spacing w:val="-16"/>
          <w:sz w:val="22"/>
          <w:szCs w:val="22"/>
        </w:rPr>
        <w:t>信息。</w:t>
      </w:r>
    </w:p>
    <w:p w:rsidR="00EA40A3" w:rsidRDefault="00E86C16">
      <w:pPr>
        <w:spacing w:before="218" w:line="222" w:lineRule="auto"/>
        <w:rPr>
          <w:rFonts w:ascii="仿宋" w:eastAsia="仿宋" w:hAnsi="仿宋" w:cs="仿宋"/>
          <w:sz w:val="22"/>
          <w:szCs w:val="22"/>
        </w:rPr>
      </w:pPr>
      <w:r>
        <w:rPr>
          <w:rFonts w:ascii="仿宋" w:eastAsia="仿宋" w:hAnsi="仿宋" w:cs="仿宋"/>
          <w:spacing w:val="10"/>
          <w:sz w:val="22"/>
          <w:szCs w:val="22"/>
        </w:rPr>
        <w:t>2.</w:t>
      </w:r>
      <w:r>
        <w:rPr>
          <w:rFonts w:ascii="仿宋" w:eastAsia="仿宋" w:hAnsi="仿宋" w:cs="仿宋"/>
          <w:spacing w:val="-18"/>
          <w:sz w:val="22"/>
          <w:szCs w:val="22"/>
        </w:rPr>
        <w:t xml:space="preserve"> </w:t>
      </w:r>
      <w:r>
        <w:rPr>
          <w:rFonts w:ascii="仿宋" w:eastAsia="仿宋" w:hAnsi="仿宋" w:cs="仿宋"/>
          <w:spacing w:val="10"/>
          <w:sz w:val="22"/>
          <w:szCs w:val="22"/>
        </w:rPr>
        <w:t>干预的内容</w:t>
      </w:r>
    </w:p>
    <w:p w:rsidR="00EA40A3" w:rsidRDefault="00E86C16">
      <w:pPr>
        <w:spacing w:before="206" w:line="231" w:lineRule="auto"/>
        <w:ind w:right="99" w:firstLine="430"/>
        <w:rPr>
          <w:rFonts w:ascii="宋体" w:eastAsia="宋体" w:hAnsi="宋体" w:cs="宋体"/>
          <w:sz w:val="22"/>
          <w:szCs w:val="22"/>
        </w:rPr>
      </w:pPr>
      <w:r>
        <w:rPr>
          <w:rFonts w:ascii="宋体" w:eastAsia="宋体" w:hAnsi="宋体" w:cs="宋体"/>
          <w:spacing w:val="-13"/>
          <w:sz w:val="22"/>
          <w:szCs w:val="22"/>
        </w:rPr>
        <w:t>及时报警和干预是一种弥补短期营养恶化的措施。</w:t>
      </w:r>
      <w:r>
        <w:rPr>
          <w:rFonts w:ascii="宋体" w:eastAsia="宋体" w:hAnsi="宋体" w:cs="宋体"/>
          <w:spacing w:val="-14"/>
          <w:sz w:val="22"/>
          <w:szCs w:val="22"/>
        </w:rPr>
        <w:t>解决问题的长久方法，是</w:t>
      </w:r>
      <w:r>
        <w:rPr>
          <w:rFonts w:ascii="宋体" w:eastAsia="宋体" w:hAnsi="宋体" w:cs="宋体"/>
          <w:sz w:val="22"/>
          <w:szCs w:val="22"/>
        </w:rPr>
        <w:t xml:space="preserve"> </w:t>
      </w:r>
      <w:r>
        <w:rPr>
          <w:rFonts w:ascii="宋体" w:eastAsia="宋体" w:hAnsi="宋体" w:cs="宋体"/>
          <w:spacing w:val="-10"/>
          <w:sz w:val="22"/>
          <w:szCs w:val="22"/>
        </w:rPr>
        <w:t>应消除造成营养短期恶化的根本原因。通常干预有4种情况：</w:t>
      </w:r>
    </w:p>
    <w:p w:rsidR="00EA40A3" w:rsidRDefault="00E86C16">
      <w:pPr>
        <w:spacing w:before="60" w:line="234" w:lineRule="auto"/>
        <w:ind w:firstLine="430"/>
        <w:rPr>
          <w:rFonts w:ascii="宋体" w:eastAsia="宋体" w:hAnsi="宋体" w:cs="宋体"/>
          <w:sz w:val="22"/>
          <w:szCs w:val="22"/>
        </w:rPr>
      </w:pPr>
      <w:r>
        <w:rPr>
          <w:rFonts w:ascii="宋体" w:eastAsia="宋体" w:hAnsi="宋体" w:cs="宋体"/>
          <w:spacing w:val="-7"/>
          <w:sz w:val="22"/>
          <w:szCs w:val="22"/>
        </w:rPr>
        <w:t>(1)用于预防引起食物生产和消费不足的原因。因早涝灾减产，需要种子、</w:t>
      </w:r>
      <w:r>
        <w:rPr>
          <w:rFonts w:ascii="宋体" w:eastAsia="宋体" w:hAnsi="宋体" w:cs="宋体"/>
          <w:spacing w:val="6"/>
          <w:sz w:val="22"/>
          <w:szCs w:val="22"/>
        </w:rPr>
        <w:t xml:space="preserve"> </w:t>
      </w:r>
      <w:r>
        <w:rPr>
          <w:rFonts w:ascii="宋体" w:eastAsia="宋体" w:hAnsi="宋体" w:cs="宋体"/>
          <w:spacing w:val="-14"/>
          <w:sz w:val="22"/>
          <w:szCs w:val="22"/>
        </w:rPr>
        <w:t>化肥、农药和设备等，农产品跌价，政府给予补贴。</w:t>
      </w:r>
    </w:p>
    <w:p w:rsidR="00EA40A3" w:rsidRDefault="00E86C16">
      <w:pPr>
        <w:spacing w:before="40" w:line="241" w:lineRule="auto"/>
        <w:ind w:right="89" w:firstLine="430"/>
        <w:rPr>
          <w:rFonts w:ascii="宋体" w:eastAsia="宋体" w:hAnsi="宋体" w:cs="宋体"/>
          <w:sz w:val="22"/>
          <w:szCs w:val="22"/>
        </w:rPr>
      </w:pPr>
      <w:r>
        <w:rPr>
          <w:rFonts w:ascii="宋体" w:eastAsia="宋体" w:hAnsi="宋体" w:cs="宋体"/>
          <w:spacing w:val="-9"/>
          <w:sz w:val="22"/>
          <w:szCs w:val="22"/>
        </w:rPr>
        <w:t>(2)克服继发性影响。如收入降低、食物涨</w:t>
      </w:r>
      <w:r>
        <w:rPr>
          <w:rFonts w:ascii="宋体" w:eastAsia="宋体" w:hAnsi="宋体" w:cs="宋体"/>
          <w:spacing w:val="-10"/>
          <w:sz w:val="22"/>
          <w:szCs w:val="22"/>
        </w:rPr>
        <w:t>价、食物库存减少等。在食物消</w:t>
      </w:r>
      <w:r>
        <w:rPr>
          <w:rFonts w:ascii="宋体" w:eastAsia="宋体" w:hAnsi="宋体" w:cs="宋体"/>
          <w:sz w:val="22"/>
          <w:szCs w:val="22"/>
        </w:rPr>
        <w:t xml:space="preserve"> </w:t>
      </w:r>
      <w:r>
        <w:rPr>
          <w:rFonts w:ascii="宋体" w:eastAsia="宋体" w:hAnsi="宋体" w:cs="宋体"/>
          <w:spacing w:val="-13"/>
          <w:sz w:val="22"/>
          <w:szCs w:val="22"/>
        </w:rPr>
        <w:t>费尚未大量减少之前，即应实施干预，如粮价补贴、调运粮食、副食等，实施食</w:t>
      </w:r>
      <w:r>
        <w:rPr>
          <w:rFonts w:ascii="宋体" w:eastAsia="宋体" w:hAnsi="宋体" w:cs="宋体"/>
          <w:spacing w:val="3"/>
          <w:sz w:val="22"/>
          <w:szCs w:val="22"/>
        </w:rPr>
        <w:t xml:space="preserve"> </w:t>
      </w:r>
      <w:r>
        <w:rPr>
          <w:rFonts w:ascii="宋体" w:eastAsia="宋体" w:hAnsi="宋体" w:cs="宋体"/>
          <w:spacing w:val="-15"/>
          <w:sz w:val="22"/>
          <w:szCs w:val="22"/>
        </w:rPr>
        <w:t>物和供膳计划、恢复计划等。</w:t>
      </w:r>
    </w:p>
    <w:p w:rsidR="00EA40A3" w:rsidRDefault="00E86C16">
      <w:pPr>
        <w:spacing w:before="39" w:line="244" w:lineRule="auto"/>
        <w:ind w:right="82" w:firstLine="430"/>
        <w:rPr>
          <w:rFonts w:ascii="宋体" w:eastAsia="宋体" w:hAnsi="宋体" w:cs="宋体"/>
          <w:sz w:val="22"/>
          <w:szCs w:val="22"/>
        </w:rPr>
      </w:pPr>
      <w:r>
        <w:rPr>
          <w:rFonts w:ascii="宋体" w:eastAsia="宋体" w:hAnsi="宋体" w:cs="宋体"/>
          <w:spacing w:val="-9"/>
          <w:sz w:val="22"/>
          <w:szCs w:val="22"/>
        </w:rPr>
        <w:t>(3)预防营养强化食品、膳食补充剂或高蛋白、高脂肪、高</w:t>
      </w:r>
      <w:r>
        <w:rPr>
          <w:rFonts w:ascii="宋体" w:eastAsia="宋体" w:hAnsi="宋体" w:cs="宋体"/>
          <w:spacing w:val="-10"/>
          <w:sz w:val="22"/>
          <w:szCs w:val="22"/>
        </w:rPr>
        <w:t>糖膳食的过量供</w:t>
      </w:r>
      <w:r>
        <w:rPr>
          <w:rFonts w:ascii="宋体" w:eastAsia="宋体" w:hAnsi="宋体" w:cs="宋体"/>
          <w:sz w:val="22"/>
          <w:szCs w:val="22"/>
        </w:rPr>
        <w:t xml:space="preserve"> </w:t>
      </w:r>
      <w:r>
        <w:rPr>
          <w:rFonts w:ascii="宋体" w:eastAsia="宋体" w:hAnsi="宋体" w:cs="宋体"/>
          <w:spacing w:val="-9"/>
          <w:sz w:val="22"/>
          <w:szCs w:val="22"/>
        </w:rPr>
        <w:t>应和摄取，根据可耐受最高摄入量</w:t>
      </w:r>
      <w:r>
        <w:rPr>
          <w:rFonts w:ascii="宋体" w:eastAsia="宋体" w:hAnsi="宋体" w:cs="宋体"/>
          <w:spacing w:val="-2"/>
          <w:sz w:val="22"/>
          <w:szCs w:val="22"/>
        </w:rPr>
        <w:t xml:space="preserve"> </w:t>
      </w:r>
      <w:r>
        <w:rPr>
          <w:rFonts w:ascii="宋体" w:eastAsia="宋体" w:hAnsi="宋体" w:cs="宋体"/>
          <w:spacing w:val="-9"/>
          <w:sz w:val="22"/>
          <w:szCs w:val="22"/>
        </w:rPr>
        <w:t>(UL)</w:t>
      </w:r>
      <w:r>
        <w:rPr>
          <w:rFonts w:ascii="宋体" w:eastAsia="宋体" w:hAnsi="宋体" w:cs="宋体"/>
          <w:spacing w:val="97"/>
          <w:sz w:val="22"/>
          <w:szCs w:val="22"/>
        </w:rPr>
        <w:t xml:space="preserve"> </w:t>
      </w:r>
      <w:r>
        <w:rPr>
          <w:rFonts w:ascii="宋体" w:eastAsia="宋体" w:hAnsi="宋体" w:cs="宋体"/>
          <w:spacing w:val="-9"/>
          <w:sz w:val="22"/>
          <w:szCs w:val="22"/>
        </w:rPr>
        <w:t>进行早期报警。如限制营养强化食品</w:t>
      </w:r>
      <w:r>
        <w:rPr>
          <w:rFonts w:ascii="宋体" w:eastAsia="宋体" w:hAnsi="宋体" w:cs="宋体"/>
          <w:sz w:val="22"/>
          <w:szCs w:val="22"/>
        </w:rPr>
        <w:t xml:space="preserve"> </w:t>
      </w:r>
      <w:r>
        <w:rPr>
          <w:rFonts w:ascii="宋体" w:eastAsia="宋体" w:hAnsi="宋体" w:cs="宋体"/>
          <w:spacing w:val="-13"/>
          <w:sz w:val="22"/>
          <w:szCs w:val="22"/>
        </w:rPr>
        <w:t>和膳食补充剂的供应，控制“三高”膳食的摄入，改变膳食结构，用动物试验确</w:t>
      </w:r>
      <w:r>
        <w:rPr>
          <w:rFonts w:ascii="宋体" w:eastAsia="宋体" w:hAnsi="宋体" w:cs="宋体"/>
          <w:spacing w:val="10"/>
          <w:sz w:val="22"/>
          <w:szCs w:val="22"/>
        </w:rPr>
        <w:t xml:space="preserve"> </w:t>
      </w:r>
      <w:r>
        <w:rPr>
          <w:rFonts w:ascii="宋体" w:eastAsia="宋体" w:hAnsi="宋体" w:cs="宋体"/>
          <w:spacing w:val="-15"/>
          <w:sz w:val="22"/>
          <w:szCs w:val="22"/>
        </w:rPr>
        <w:t>认营养素或食物成分可能对人体产生的不良反应。</w:t>
      </w:r>
    </w:p>
    <w:p w:rsidR="00EA40A3" w:rsidRDefault="00E86C16">
      <w:pPr>
        <w:spacing w:before="37" w:line="236" w:lineRule="auto"/>
        <w:ind w:right="81" w:firstLine="430"/>
        <w:rPr>
          <w:rFonts w:ascii="宋体" w:eastAsia="宋体" w:hAnsi="宋体" w:cs="宋体"/>
          <w:sz w:val="22"/>
          <w:szCs w:val="22"/>
        </w:rPr>
      </w:pPr>
      <w:r>
        <w:rPr>
          <w:rFonts w:ascii="宋体" w:eastAsia="宋体" w:hAnsi="宋体" w:cs="宋体"/>
          <w:spacing w:val="-9"/>
          <w:sz w:val="22"/>
          <w:szCs w:val="22"/>
        </w:rPr>
        <w:t>(4)减轻或解除长期不良影响，提出避免再度发生食物短缺或</w:t>
      </w:r>
      <w:r>
        <w:rPr>
          <w:rFonts w:ascii="宋体" w:eastAsia="宋体" w:hAnsi="宋体" w:cs="宋体"/>
          <w:spacing w:val="-10"/>
          <w:sz w:val="22"/>
          <w:szCs w:val="22"/>
        </w:rPr>
        <w:t>营养素摄入过</w:t>
      </w:r>
      <w:r>
        <w:rPr>
          <w:rFonts w:ascii="宋体" w:eastAsia="宋体" w:hAnsi="宋体" w:cs="宋体"/>
          <w:sz w:val="22"/>
          <w:szCs w:val="22"/>
        </w:rPr>
        <w:t xml:space="preserve"> </w:t>
      </w:r>
      <w:r>
        <w:rPr>
          <w:rFonts w:ascii="宋体" w:eastAsia="宋体" w:hAnsi="宋体" w:cs="宋体"/>
          <w:spacing w:val="-13"/>
          <w:sz w:val="22"/>
          <w:szCs w:val="22"/>
        </w:rPr>
        <w:t>量的措施，如营养教育、食品强化、膳食指南以及营</w:t>
      </w:r>
      <w:r>
        <w:rPr>
          <w:rFonts w:ascii="宋体" w:eastAsia="宋体" w:hAnsi="宋体" w:cs="宋体"/>
          <w:spacing w:val="-14"/>
          <w:sz w:val="22"/>
          <w:szCs w:val="22"/>
        </w:rPr>
        <w:t>养恢复方案等。</w:t>
      </w:r>
    </w:p>
    <w:p w:rsidR="00EA40A3" w:rsidRDefault="00E86C16">
      <w:pPr>
        <w:spacing w:before="38" w:line="219" w:lineRule="auto"/>
        <w:ind w:left="430"/>
        <w:rPr>
          <w:rFonts w:ascii="宋体" w:eastAsia="宋体" w:hAnsi="宋体" w:cs="宋体"/>
          <w:sz w:val="22"/>
          <w:szCs w:val="22"/>
        </w:rPr>
      </w:pPr>
      <w:r>
        <w:rPr>
          <w:rFonts w:ascii="宋体" w:eastAsia="宋体" w:hAnsi="宋体" w:cs="宋体"/>
          <w:spacing w:val="-10"/>
          <w:sz w:val="22"/>
          <w:szCs w:val="22"/>
        </w:rPr>
        <w:t>及时报警和干预的监测系统和数据来源参见12.1.2。</w:t>
      </w:r>
    </w:p>
    <w:p w:rsidR="00EA40A3" w:rsidRDefault="00EA40A3">
      <w:pPr>
        <w:spacing w:line="277" w:lineRule="auto"/>
      </w:pPr>
    </w:p>
    <w:p w:rsidR="00EA40A3" w:rsidRDefault="00E86C16">
      <w:pPr>
        <w:spacing w:before="94" w:line="219" w:lineRule="auto"/>
        <w:ind w:left="2570"/>
        <w:rPr>
          <w:rFonts w:ascii="宋体" w:eastAsia="宋体" w:hAnsi="宋体" w:cs="宋体"/>
          <w:sz w:val="29"/>
          <w:szCs w:val="29"/>
        </w:rPr>
      </w:pPr>
      <w:r>
        <w:rPr>
          <w:rFonts w:ascii="宋体" w:eastAsia="宋体" w:hAnsi="宋体" w:cs="宋体"/>
          <w:spacing w:val="-10"/>
          <w:sz w:val="29"/>
          <w:szCs w:val="29"/>
        </w:rPr>
        <w:t>12.2</w:t>
      </w:r>
      <w:r>
        <w:rPr>
          <w:rFonts w:ascii="宋体" w:eastAsia="宋体" w:hAnsi="宋体" w:cs="宋体"/>
          <w:spacing w:val="117"/>
          <w:sz w:val="29"/>
          <w:szCs w:val="29"/>
        </w:rPr>
        <w:t xml:space="preserve"> </w:t>
      </w:r>
      <w:r>
        <w:rPr>
          <w:rFonts w:ascii="宋体" w:eastAsia="宋体" w:hAnsi="宋体" w:cs="宋体"/>
          <w:spacing w:val="-10"/>
          <w:sz w:val="29"/>
          <w:szCs w:val="29"/>
        </w:rPr>
        <w:t>营</w:t>
      </w:r>
      <w:r>
        <w:rPr>
          <w:rFonts w:ascii="宋体" w:eastAsia="宋体" w:hAnsi="宋体" w:cs="宋体"/>
          <w:spacing w:val="-54"/>
          <w:sz w:val="29"/>
          <w:szCs w:val="29"/>
        </w:rPr>
        <w:t xml:space="preserve"> </w:t>
      </w:r>
      <w:r>
        <w:rPr>
          <w:rFonts w:ascii="宋体" w:eastAsia="宋体" w:hAnsi="宋体" w:cs="宋体"/>
          <w:spacing w:val="-10"/>
          <w:sz w:val="29"/>
          <w:szCs w:val="29"/>
        </w:rPr>
        <w:t>养</w:t>
      </w:r>
      <w:r>
        <w:rPr>
          <w:rFonts w:ascii="宋体" w:eastAsia="宋体" w:hAnsi="宋体" w:cs="宋体"/>
          <w:spacing w:val="-53"/>
          <w:sz w:val="29"/>
          <w:szCs w:val="29"/>
        </w:rPr>
        <w:t xml:space="preserve"> </w:t>
      </w:r>
      <w:r>
        <w:rPr>
          <w:rFonts w:ascii="宋体" w:eastAsia="宋体" w:hAnsi="宋体" w:cs="宋体"/>
          <w:spacing w:val="-10"/>
          <w:sz w:val="29"/>
          <w:szCs w:val="29"/>
        </w:rPr>
        <w:t>调</w:t>
      </w:r>
      <w:r>
        <w:rPr>
          <w:rFonts w:ascii="宋体" w:eastAsia="宋体" w:hAnsi="宋体" w:cs="宋体"/>
          <w:spacing w:val="-52"/>
          <w:sz w:val="29"/>
          <w:szCs w:val="29"/>
        </w:rPr>
        <w:t xml:space="preserve"> </w:t>
      </w:r>
      <w:r>
        <w:rPr>
          <w:rFonts w:ascii="宋体" w:eastAsia="宋体" w:hAnsi="宋体" w:cs="宋体"/>
          <w:spacing w:val="-10"/>
          <w:sz w:val="29"/>
          <w:szCs w:val="29"/>
        </w:rPr>
        <w:t>查</w:t>
      </w:r>
    </w:p>
    <w:p w:rsidR="00EA40A3" w:rsidRDefault="00EA40A3">
      <w:pPr>
        <w:spacing w:line="256" w:lineRule="auto"/>
      </w:pPr>
    </w:p>
    <w:p w:rsidR="00EA40A3" w:rsidRDefault="00E86C16">
      <w:pPr>
        <w:spacing w:before="73" w:line="239" w:lineRule="auto"/>
        <w:ind w:firstLine="430"/>
        <w:jc w:val="both"/>
        <w:rPr>
          <w:rFonts w:ascii="宋体" w:eastAsia="宋体" w:hAnsi="宋体" w:cs="宋体"/>
          <w:sz w:val="22"/>
          <w:szCs w:val="22"/>
        </w:rPr>
      </w:pPr>
      <w:r>
        <w:rPr>
          <w:rFonts w:ascii="宋体" w:eastAsia="宋体" w:hAnsi="宋体" w:cs="宋体"/>
          <w:spacing w:val="-12"/>
          <w:sz w:val="22"/>
          <w:szCs w:val="22"/>
        </w:rPr>
        <w:t>营养调查</w:t>
      </w:r>
      <w:r>
        <w:rPr>
          <w:rFonts w:ascii="宋体" w:eastAsia="宋体" w:hAnsi="宋体" w:cs="宋体"/>
          <w:spacing w:val="-21"/>
          <w:sz w:val="22"/>
          <w:szCs w:val="22"/>
        </w:rPr>
        <w:t xml:space="preserve"> </w:t>
      </w:r>
      <w:r>
        <w:rPr>
          <w:rFonts w:ascii="宋体" w:eastAsia="宋体" w:hAnsi="宋体" w:cs="宋体"/>
          <w:spacing w:val="-12"/>
          <w:sz w:val="22"/>
          <w:szCs w:val="22"/>
        </w:rPr>
        <w:t>(nutritional</w:t>
      </w:r>
      <w:r>
        <w:rPr>
          <w:rFonts w:ascii="宋体" w:eastAsia="宋体" w:hAnsi="宋体" w:cs="宋体"/>
          <w:sz w:val="22"/>
          <w:szCs w:val="22"/>
        </w:rPr>
        <w:t xml:space="preserve"> </w:t>
      </w:r>
      <w:r>
        <w:rPr>
          <w:rFonts w:ascii="宋体" w:eastAsia="宋体" w:hAnsi="宋体" w:cs="宋体"/>
          <w:spacing w:val="-12"/>
          <w:sz w:val="22"/>
          <w:szCs w:val="22"/>
        </w:rPr>
        <w:t>survey)</w:t>
      </w:r>
      <w:r>
        <w:rPr>
          <w:rFonts w:ascii="宋体" w:eastAsia="宋体" w:hAnsi="宋体" w:cs="宋体"/>
          <w:spacing w:val="-22"/>
          <w:sz w:val="22"/>
          <w:szCs w:val="22"/>
        </w:rPr>
        <w:t xml:space="preserve"> </w:t>
      </w:r>
      <w:r>
        <w:rPr>
          <w:rFonts w:ascii="宋体" w:eastAsia="宋体" w:hAnsi="宋体" w:cs="宋体"/>
          <w:spacing w:val="-12"/>
          <w:sz w:val="22"/>
          <w:szCs w:val="22"/>
        </w:rPr>
        <w:t>目的是调研</w:t>
      </w:r>
      <w:r>
        <w:rPr>
          <w:rFonts w:ascii="宋体" w:eastAsia="宋体" w:hAnsi="宋体" w:cs="宋体"/>
          <w:spacing w:val="-13"/>
          <w:sz w:val="22"/>
          <w:szCs w:val="22"/>
        </w:rPr>
        <w:t>特定人群或个人的膳食摄入量、</w:t>
      </w:r>
      <w:r>
        <w:rPr>
          <w:rFonts w:ascii="宋体" w:eastAsia="宋体" w:hAnsi="宋体" w:cs="宋体"/>
          <w:sz w:val="22"/>
          <w:szCs w:val="22"/>
        </w:rPr>
        <w:t xml:space="preserve"> </w:t>
      </w:r>
      <w:r>
        <w:rPr>
          <w:rFonts w:ascii="宋体" w:eastAsia="宋体" w:hAnsi="宋体" w:cs="宋体"/>
          <w:spacing w:val="-13"/>
          <w:sz w:val="22"/>
          <w:szCs w:val="22"/>
        </w:rPr>
        <w:t>膳食组成、营养状态、体质与健康、生活消费以及经济水平，为改善人群营养和</w:t>
      </w:r>
      <w:r>
        <w:rPr>
          <w:rFonts w:ascii="宋体" w:eastAsia="宋体" w:hAnsi="宋体" w:cs="宋体"/>
          <w:spacing w:val="5"/>
          <w:sz w:val="22"/>
          <w:szCs w:val="22"/>
        </w:rPr>
        <w:t xml:space="preserve">  </w:t>
      </w:r>
      <w:r>
        <w:rPr>
          <w:rFonts w:ascii="宋体" w:eastAsia="宋体" w:hAnsi="宋体" w:cs="宋体"/>
          <w:spacing w:val="-10"/>
          <w:sz w:val="22"/>
          <w:szCs w:val="22"/>
        </w:rPr>
        <w:t>健康状况、进行营养监测、制定营养政策提供基础资料，也为食物的生产消费</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2"/>
          <w:sz w:val="22"/>
          <w:szCs w:val="22"/>
        </w:rPr>
        <w:t>营养缺乏病或过剩的防治提供科学依据。我国于1959年、198</w:t>
      </w:r>
      <w:r>
        <w:rPr>
          <w:rFonts w:ascii="宋体" w:eastAsia="宋体" w:hAnsi="宋体" w:cs="宋体"/>
          <w:spacing w:val="1"/>
          <w:sz w:val="22"/>
          <w:szCs w:val="22"/>
        </w:rPr>
        <w:t>2年、1992年、</w:t>
      </w:r>
      <w:r>
        <w:rPr>
          <w:rFonts w:ascii="宋体" w:eastAsia="宋体" w:hAnsi="宋体" w:cs="宋体"/>
          <w:sz w:val="22"/>
          <w:szCs w:val="22"/>
        </w:rPr>
        <w:t xml:space="preserve"> </w:t>
      </w:r>
      <w:r>
        <w:rPr>
          <w:rFonts w:ascii="宋体" w:eastAsia="宋体" w:hAnsi="宋体" w:cs="宋体"/>
          <w:spacing w:val="-6"/>
          <w:sz w:val="22"/>
          <w:szCs w:val="22"/>
        </w:rPr>
        <w:t>2002年分别进行过4次全国性的营养调查。</w:t>
      </w:r>
    </w:p>
    <w:p w:rsidR="00EA40A3" w:rsidRDefault="00E86C16">
      <w:pPr>
        <w:spacing w:before="122"/>
        <w:ind w:left="150"/>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394</w:t>
      </w:r>
      <w:r>
        <w:rPr>
          <w:rFonts w:ascii="宋体" w:eastAsia="宋体" w:hAnsi="宋体" w:cs="宋体"/>
          <w:spacing w:val="62"/>
          <w:sz w:val="16"/>
          <w:szCs w:val="16"/>
        </w:rPr>
        <w:t xml:space="preserve"> </w:t>
      </w:r>
      <w:r>
        <w:rPr>
          <w:rFonts w:ascii="宋体" w:eastAsia="宋体" w:hAnsi="宋体" w:cs="宋体"/>
          <w:spacing w:val="-15"/>
          <w:sz w:val="16"/>
          <w:szCs w:val="16"/>
        </w:rPr>
        <w:t>·</w:t>
      </w:r>
    </w:p>
    <w:p w:rsidR="00EA40A3" w:rsidRDefault="00EA40A3">
      <w:pPr>
        <w:sectPr w:rsidR="00EA40A3">
          <w:footerReference w:type="default" r:id="rId321"/>
          <w:pgSz w:w="9220" w:h="13360"/>
          <w:pgMar w:top="400" w:right="1120" w:bottom="400" w:left="749" w:header="0" w:footer="0" w:gutter="0"/>
          <w:cols w:space="720"/>
        </w:sectPr>
      </w:pPr>
    </w:p>
    <w:p w:rsidR="00EA40A3" w:rsidRDefault="00EA40A3">
      <w:pPr>
        <w:spacing w:line="291" w:lineRule="auto"/>
      </w:pPr>
    </w:p>
    <w:p w:rsidR="00EA40A3" w:rsidRDefault="00EA40A3">
      <w:pPr>
        <w:spacing w:line="291" w:lineRule="auto"/>
      </w:pPr>
    </w:p>
    <w:p w:rsidR="00EA40A3" w:rsidRDefault="00E86C16">
      <w:pPr>
        <w:spacing w:before="71" w:line="247" w:lineRule="auto"/>
        <w:ind w:right="54" w:firstLine="430"/>
        <w:jc w:val="both"/>
        <w:rPr>
          <w:rFonts w:ascii="宋体" w:eastAsia="宋体" w:hAnsi="宋体" w:cs="宋体"/>
          <w:sz w:val="22"/>
          <w:szCs w:val="22"/>
        </w:rPr>
      </w:pPr>
      <w:r>
        <w:rPr>
          <w:rFonts w:ascii="宋体" w:eastAsia="宋体" w:hAnsi="宋体" w:cs="宋体"/>
          <w:spacing w:val="-16"/>
          <w:sz w:val="22"/>
          <w:szCs w:val="22"/>
        </w:rPr>
        <w:t>一般地，营养调查包括膳食调查、人体营养状况的生化检验和体格</w:t>
      </w:r>
      <w:r>
        <w:rPr>
          <w:rFonts w:ascii="宋体" w:eastAsia="宋体" w:hAnsi="宋体" w:cs="宋体"/>
          <w:spacing w:val="-17"/>
          <w:sz w:val="22"/>
          <w:szCs w:val="22"/>
        </w:rPr>
        <w:t>检查。这</w:t>
      </w:r>
      <w:r>
        <w:rPr>
          <w:rFonts w:ascii="宋体" w:eastAsia="宋体" w:hAnsi="宋体" w:cs="宋体"/>
          <w:sz w:val="22"/>
          <w:szCs w:val="22"/>
        </w:rPr>
        <w:t xml:space="preserve"> </w:t>
      </w:r>
      <w:r>
        <w:rPr>
          <w:rFonts w:ascii="宋体" w:eastAsia="宋体" w:hAnsi="宋体" w:cs="宋体"/>
          <w:spacing w:val="-14"/>
          <w:sz w:val="22"/>
          <w:szCs w:val="22"/>
        </w:rPr>
        <w:t>三个部分由表及里，各具特点，又相互联系，能够比较全面地反映人群的营养和</w:t>
      </w:r>
      <w:r>
        <w:rPr>
          <w:rFonts w:ascii="宋体" w:eastAsia="宋体" w:hAnsi="宋体" w:cs="宋体"/>
          <w:spacing w:val="15"/>
          <w:sz w:val="22"/>
          <w:szCs w:val="22"/>
        </w:rPr>
        <w:t xml:space="preserve"> </w:t>
      </w:r>
      <w:r>
        <w:rPr>
          <w:rFonts w:ascii="宋体" w:eastAsia="宋体" w:hAnsi="宋体" w:cs="宋体"/>
          <w:spacing w:val="-15"/>
          <w:sz w:val="22"/>
          <w:szCs w:val="22"/>
        </w:rPr>
        <w:t>健康状况，进而反映其生活质量。</w:t>
      </w:r>
    </w:p>
    <w:p w:rsidR="00EA40A3" w:rsidRDefault="00E86C16">
      <w:pPr>
        <w:spacing w:before="166" w:line="222" w:lineRule="auto"/>
        <w:ind w:left="3"/>
        <w:outlineLvl w:val="6"/>
        <w:rPr>
          <w:rFonts w:ascii="黑体" w:eastAsia="黑体" w:hAnsi="黑体" w:cs="黑体"/>
          <w:sz w:val="25"/>
          <w:szCs w:val="25"/>
        </w:rPr>
      </w:pPr>
      <w:r>
        <w:rPr>
          <w:rFonts w:ascii="黑体" w:eastAsia="黑体" w:hAnsi="黑体" w:cs="黑体"/>
          <w:b/>
          <w:bCs/>
          <w:spacing w:val="-10"/>
          <w:sz w:val="25"/>
          <w:szCs w:val="25"/>
        </w:rPr>
        <w:t>12.2.1</w:t>
      </w:r>
      <w:r>
        <w:rPr>
          <w:rFonts w:ascii="黑体" w:eastAsia="黑体" w:hAnsi="黑体" w:cs="黑体"/>
          <w:spacing w:val="30"/>
          <w:sz w:val="25"/>
          <w:szCs w:val="25"/>
        </w:rPr>
        <w:t xml:space="preserve">  </w:t>
      </w:r>
      <w:r>
        <w:rPr>
          <w:rFonts w:ascii="黑体" w:eastAsia="黑体" w:hAnsi="黑体" w:cs="黑体"/>
          <w:b/>
          <w:bCs/>
          <w:spacing w:val="-10"/>
          <w:sz w:val="25"/>
          <w:szCs w:val="25"/>
        </w:rPr>
        <w:t>膳食调查</w:t>
      </w:r>
    </w:p>
    <w:p w:rsidR="00EA40A3" w:rsidRDefault="00E86C16">
      <w:pPr>
        <w:spacing w:before="178" w:line="246" w:lineRule="auto"/>
        <w:ind w:right="15" w:firstLine="430"/>
        <w:jc w:val="both"/>
        <w:rPr>
          <w:rFonts w:ascii="宋体" w:eastAsia="宋体" w:hAnsi="宋体" w:cs="宋体"/>
          <w:sz w:val="22"/>
          <w:szCs w:val="22"/>
        </w:rPr>
      </w:pPr>
      <w:r>
        <w:rPr>
          <w:rFonts w:ascii="宋体" w:eastAsia="宋体" w:hAnsi="宋体" w:cs="宋体"/>
          <w:spacing w:val="-13"/>
          <w:sz w:val="22"/>
          <w:szCs w:val="22"/>
        </w:rPr>
        <w:t>膳食调查是通过对特定人群或个体的每人每日各种食物摄入量的调查，</w:t>
      </w:r>
      <w:r>
        <w:rPr>
          <w:rFonts w:ascii="宋体" w:eastAsia="宋体" w:hAnsi="宋体" w:cs="宋体"/>
          <w:spacing w:val="-14"/>
          <w:sz w:val="22"/>
          <w:szCs w:val="22"/>
        </w:rPr>
        <w:t>计算</w:t>
      </w:r>
      <w:r>
        <w:rPr>
          <w:rFonts w:ascii="宋体" w:eastAsia="宋体" w:hAnsi="宋体" w:cs="宋体"/>
          <w:sz w:val="22"/>
          <w:szCs w:val="22"/>
        </w:rPr>
        <w:t xml:space="preserve"> </w:t>
      </w:r>
      <w:r>
        <w:rPr>
          <w:rFonts w:ascii="宋体" w:eastAsia="宋体" w:hAnsi="宋体" w:cs="宋体"/>
          <w:spacing w:val="-13"/>
          <w:sz w:val="22"/>
          <w:szCs w:val="22"/>
        </w:rPr>
        <w:t>出每人每日各种营养素摄入量和各种营养素之间的相互比例关系，根据被调查者</w:t>
      </w:r>
      <w:r>
        <w:rPr>
          <w:rFonts w:ascii="宋体" w:eastAsia="宋体" w:hAnsi="宋体" w:cs="宋体"/>
          <w:spacing w:val="13"/>
          <w:sz w:val="22"/>
          <w:szCs w:val="22"/>
        </w:rPr>
        <w:t xml:space="preserve"> </w:t>
      </w:r>
      <w:r>
        <w:rPr>
          <w:rFonts w:ascii="宋体" w:eastAsia="宋体" w:hAnsi="宋体" w:cs="宋体"/>
          <w:spacing w:val="-13"/>
          <w:sz w:val="22"/>
          <w:szCs w:val="22"/>
        </w:rPr>
        <w:t>的工作消耗、生活环境以及维持机体正常生理活动的特殊需要，与膳食营养素参</w:t>
      </w:r>
      <w:r>
        <w:rPr>
          <w:rFonts w:ascii="宋体" w:eastAsia="宋体" w:hAnsi="宋体" w:cs="宋体"/>
          <w:spacing w:val="13"/>
          <w:sz w:val="22"/>
          <w:szCs w:val="22"/>
        </w:rPr>
        <w:t xml:space="preserve"> </w:t>
      </w:r>
      <w:r>
        <w:rPr>
          <w:rFonts w:ascii="宋体" w:eastAsia="宋体" w:hAnsi="宋体" w:cs="宋体"/>
          <w:spacing w:val="-10"/>
          <w:sz w:val="22"/>
          <w:szCs w:val="22"/>
        </w:rPr>
        <w:t>考摄入量</w:t>
      </w:r>
      <w:r>
        <w:rPr>
          <w:rFonts w:ascii="宋体" w:eastAsia="宋体" w:hAnsi="宋体" w:cs="宋体"/>
          <w:spacing w:val="-3"/>
          <w:sz w:val="22"/>
          <w:szCs w:val="22"/>
        </w:rPr>
        <w:t xml:space="preserve"> </w:t>
      </w:r>
      <w:r>
        <w:rPr>
          <w:rFonts w:ascii="宋体" w:eastAsia="宋体" w:hAnsi="宋体" w:cs="宋体"/>
          <w:spacing w:val="-10"/>
          <w:sz w:val="22"/>
          <w:szCs w:val="22"/>
        </w:rPr>
        <w:t>(DRI)</w:t>
      </w:r>
      <w:r>
        <w:rPr>
          <w:rFonts w:ascii="宋体" w:eastAsia="宋体" w:hAnsi="宋体" w:cs="宋体"/>
          <w:spacing w:val="37"/>
          <w:sz w:val="22"/>
          <w:szCs w:val="22"/>
        </w:rPr>
        <w:t xml:space="preserve"> </w:t>
      </w:r>
      <w:r>
        <w:rPr>
          <w:rFonts w:ascii="宋体" w:eastAsia="宋体" w:hAnsi="宋体" w:cs="宋体"/>
          <w:spacing w:val="-10"/>
          <w:sz w:val="22"/>
          <w:szCs w:val="22"/>
        </w:rPr>
        <w:t>进行比较，从而了解其摄入营养素的种类、数量以及配比是否</w:t>
      </w:r>
      <w:r>
        <w:rPr>
          <w:rFonts w:ascii="宋体" w:eastAsia="宋体" w:hAnsi="宋体" w:cs="宋体"/>
          <w:sz w:val="22"/>
          <w:szCs w:val="22"/>
        </w:rPr>
        <w:t xml:space="preserve"> </w:t>
      </w:r>
      <w:r>
        <w:rPr>
          <w:rFonts w:ascii="宋体" w:eastAsia="宋体" w:hAnsi="宋体" w:cs="宋体"/>
          <w:spacing w:val="-15"/>
          <w:sz w:val="22"/>
          <w:szCs w:val="22"/>
        </w:rPr>
        <w:t>合理的一种方法。</w:t>
      </w:r>
    </w:p>
    <w:p w:rsidR="00EA40A3" w:rsidRDefault="00E86C16">
      <w:pPr>
        <w:spacing w:before="78" w:line="241" w:lineRule="auto"/>
        <w:ind w:firstLine="430"/>
        <w:jc w:val="both"/>
        <w:rPr>
          <w:rFonts w:ascii="宋体" w:eastAsia="宋体" w:hAnsi="宋体" w:cs="宋体"/>
          <w:sz w:val="22"/>
          <w:szCs w:val="22"/>
        </w:rPr>
      </w:pPr>
      <w:r>
        <w:rPr>
          <w:rFonts w:ascii="宋体" w:eastAsia="宋体" w:hAnsi="宋体" w:cs="宋体"/>
          <w:spacing w:val="-7"/>
          <w:sz w:val="22"/>
          <w:szCs w:val="22"/>
        </w:rPr>
        <w:t>膳食调查通常用3种方法，即称重法、记账法和24h</w:t>
      </w:r>
      <w:r>
        <w:rPr>
          <w:rFonts w:ascii="宋体" w:eastAsia="宋体" w:hAnsi="宋体" w:cs="宋体"/>
          <w:spacing w:val="-63"/>
          <w:sz w:val="22"/>
          <w:szCs w:val="22"/>
        </w:rPr>
        <w:t xml:space="preserve"> </w:t>
      </w:r>
      <w:r>
        <w:rPr>
          <w:rFonts w:ascii="宋体" w:eastAsia="宋体" w:hAnsi="宋体" w:cs="宋体"/>
          <w:spacing w:val="-7"/>
          <w:sz w:val="22"/>
          <w:szCs w:val="22"/>
        </w:rPr>
        <w:t>个人膳食询问法。调查</w:t>
      </w:r>
      <w:r>
        <w:rPr>
          <w:rFonts w:ascii="宋体" w:eastAsia="宋体" w:hAnsi="宋体" w:cs="宋体"/>
          <w:sz w:val="22"/>
          <w:szCs w:val="22"/>
        </w:rPr>
        <w:t xml:space="preserve"> </w:t>
      </w:r>
      <w:r>
        <w:rPr>
          <w:rFonts w:ascii="宋体" w:eastAsia="宋体" w:hAnsi="宋体" w:cs="宋体"/>
          <w:spacing w:val="-12"/>
          <w:sz w:val="22"/>
          <w:szCs w:val="22"/>
        </w:rPr>
        <w:t>者可根据当地的具体情况进行选择，这些调查方</w:t>
      </w:r>
      <w:r>
        <w:rPr>
          <w:rFonts w:ascii="宋体" w:eastAsia="宋体" w:hAnsi="宋体" w:cs="宋体"/>
          <w:spacing w:val="-13"/>
          <w:sz w:val="22"/>
          <w:szCs w:val="22"/>
        </w:rPr>
        <w:t>法均用于群体、散居户和个体的</w:t>
      </w:r>
      <w:r>
        <w:rPr>
          <w:rFonts w:ascii="宋体" w:eastAsia="宋体" w:hAnsi="宋体" w:cs="宋体"/>
          <w:sz w:val="22"/>
          <w:szCs w:val="22"/>
        </w:rPr>
        <w:t xml:space="preserve"> </w:t>
      </w:r>
      <w:r>
        <w:rPr>
          <w:rFonts w:ascii="宋体" w:eastAsia="宋体" w:hAnsi="宋体" w:cs="宋体"/>
          <w:spacing w:val="-16"/>
          <w:sz w:val="22"/>
          <w:szCs w:val="22"/>
        </w:rPr>
        <w:t>膳食调查。</w:t>
      </w:r>
    </w:p>
    <w:p w:rsidR="00EA40A3" w:rsidRDefault="00E86C16">
      <w:pPr>
        <w:spacing w:before="203" w:line="221" w:lineRule="auto"/>
        <w:rPr>
          <w:rFonts w:ascii="仿宋" w:eastAsia="仿宋" w:hAnsi="仿宋" w:cs="仿宋"/>
          <w:sz w:val="22"/>
          <w:szCs w:val="22"/>
        </w:rPr>
      </w:pPr>
      <w:r>
        <w:rPr>
          <w:rFonts w:ascii="仿宋" w:eastAsia="仿宋" w:hAnsi="仿宋" w:cs="仿宋"/>
          <w:spacing w:val="4"/>
          <w:sz w:val="22"/>
          <w:szCs w:val="22"/>
        </w:rPr>
        <w:t>1.</w:t>
      </w:r>
      <w:r>
        <w:rPr>
          <w:rFonts w:ascii="仿宋" w:eastAsia="仿宋" w:hAnsi="仿宋" w:cs="仿宋"/>
          <w:spacing w:val="-37"/>
          <w:sz w:val="22"/>
          <w:szCs w:val="22"/>
        </w:rPr>
        <w:t xml:space="preserve"> </w:t>
      </w:r>
      <w:r>
        <w:rPr>
          <w:rFonts w:ascii="仿宋" w:eastAsia="仿宋" w:hAnsi="仿宋" w:cs="仿宋"/>
          <w:spacing w:val="4"/>
          <w:sz w:val="22"/>
          <w:szCs w:val="22"/>
        </w:rPr>
        <w:t>称重法</w:t>
      </w:r>
    </w:p>
    <w:p w:rsidR="00EA40A3" w:rsidRDefault="00E86C16">
      <w:pPr>
        <w:spacing w:before="198" w:line="247" w:lineRule="auto"/>
        <w:ind w:right="3" w:firstLine="430"/>
        <w:jc w:val="both"/>
        <w:rPr>
          <w:rFonts w:ascii="宋体" w:eastAsia="宋体" w:hAnsi="宋体" w:cs="宋体"/>
          <w:sz w:val="22"/>
          <w:szCs w:val="22"/>
        </w:rPr>
      </w:pPr>
      <w:r>
        <w:rPr>
          <w:rFonts w:ascii="宋体" w:eastAsia="宋体" w:hAnsi="宋体" w:cs="宋体"/>
          <w:spacing w:val="-13"/>
          <w:sz w:val="22"/>
          <w:szCs w:val="22"/>
        </w:rPr>
        <w:t>称重法是将被调查者每日每餐各种食物的消耗量都逐项称量记录，统计每餐</w:t>
      </w:r>
      <w:r>
        <w:rPr>
          <w:rFonts w:ascii="宋体" w:eastAsia="宋体" w:hAnsi="宋体" w:cs="宋体"/>
          <w:spacing w:val="16"/>
          <w:sz w:val="22"/>
          <w:szCs w:val="22"/>
        </w:rPr>
        <w:t xml:space="preserve"> </w:t>
      </w:r>
      <w:r>
        <w:rPr>
          <w:rFonts w:ascii="宋体" w:eastAsia="宋体" w:hAnsi="宋体" w:cs="宋体"/>
          <w:spacing w:val="-12"/>
          <w:sz w:val="22"/>
          <w:szCs w:val="22"/>
        </w:rPr>
        <w:t>的就餐人数，</w:t>
      </w:r>
      <w:r>
        <w:rPr>
          <w:rFonts w:ascii="宋体" w:eastAsia="宋体" w:hAnsi="宋体" w:cs="宋体"/>
          <w:spacing w:val="30"/>
          <w:sz w:val="22"/>
          <w:szCs w:val="22"/>
        </w:rPr>
        <w:t xml:space="preserve"> </w:t>
      </w:r>
      <w:r>
        <w:rPr>
          <w:rFonts w:ascii="宋体" w:eastAsia="宋体" w:hAnsi="宋体" w:cs="宋体"/>
          <w:spacing w:val="-12"/>
          <w:sz w:val="22"/>
          <w:szCs w:val="22"/>
        </w:rPr>
        <w:t>一</w:t>
      </w:r>
      <w:r>
        <w:rPr>
          <w:rFonts w:ascii="宋体" w:eastAsia="宋体" w:hAnsi="宋体" w:cs="宋体"/>
          <w:spacing w:val="-64"/>
          <w:sz w:val="22"/>
          <w:szCs w:val="22"/>
        </w:rPr>
        <w:t xml:space="preserve"> </w:t>
      </w:r>
      <w:r>
        <w:rPr>
          <w:rFonts w:ascii="宋体" w:eastAsia="宋体" w:hAnsi="宋体" w:cs="宋体"/>
          <w:spacing w:val="-12"/>
          <w:sz w:val="22"/>
          <w:szCs w:val="22"/>
        </w:rPr>
        <w:t>日各餐的结果之和，即为每人每日总摄食量，再按《食物成分</w:t>
      </w:r>
      <w:r>
        <w:rPr>
          <w:rFonts w:ascii="宋体" w:eastAsia="宋体" w:hAnsi="宋体" w:cs="宋体"/>
          <w:sz w:val="22"/>
          <w:szCs w:val="22"/>
        </w:rPr>
        <w:t xml:space="preserve"> </w:t>
      </w:r>
      <w:r>
        <w:rPr>
          <w:rFonts w:ascii="宋体" w:eastAsia="宋体" w:hAnsi="宋体" w:cs="宋体"/>
          <w:spacing w:val="-8"/>
          <w:sz w:val="22"/>
          <w:szCs w:val="22"/>
        </w:rPr>
        <w:t>表》中每100g</w:t>
      </w:r>
      <w:r>
        <w:rPr>
          <w:rFonts w:ascii="宋体" w:eastAsia="宋体" w:hAnsi="宋体" w:cs="宋体"/>
          <w:spacing w:val="-44"/>
          <w:sz w:val="22"/>
          <w:szCs w:val="22"/>
        </w:rPr>
        <w:t xml:space="preserve"> </w:t>
      </w:r>
      <w:r>
        <w:rPr>
          <w:rFonts w:ascii="宋体" w:eastAsia="宋体" w:hAnsi="宋体" w:cs="宋体"/>
          <w:spacing w:val="-8"/>
          <w:sz w:val="22"/>
          <w:szCs w:val="22"/>
        </w:rPr>
        <w:t>食物可食部所含各种营养素折算加在一起即为每人每日营养素摄</w:t>
      </w:r>
      <w:r>
        <w:rPr>
          <w:rFonts w:ascii="宋体" w:eastAsia="宋体" w:hAnsi="宋体" w:cs="宋体"/>
          <w:sz w:val="22"/>
          <w:szCs w:val="22"/>
        </w:rPr>
        <w:t xml:space="preserve"> </w:t>
      </w:r>
      <w:r>
        <w:rPr>
          <w:rFonts w:ascii="宋体" w:eastAsia="宋体" w:hAnsi="宋体" w:cs="宋体"/>
          <w:spacing w:val="-23"/>
          <w:sz w:val="22"/>
          <w:szCs w:val="22"/>
        </w:rPr>
        <w:t>入量。</w:t>
      </w:r>
    </w:p>
    <w:p w:rsidR="00EA40A3" w:rsidRDefault="00E86C16">
      <w:pPr>
        <w:spacing w:before="45" w:line="219" w:lineRule="auto"/>
        <w:ind w:left="430"/>
        <w:rPr>
          <w:rFonts w:ascii="宋体" w:eastAsia="宋体" w:hAnsi="宋体" w:cs="宋体"/>
          <w:sz w:val="22"/>
          <w:szCs w:val="22"/>
        </w:rPr>
      </w:pPr>
      <w:r>
        <w:rPr>
          <w:rFonts w:ascii="宋体" w:eastAsia="宋体" w:hAnsi="宋体" w:cs="宋体"/>
          <w:spacing w:val="-17"/>
          <w:sz w:val="22"/>
          <w:szCs w:val="22"/>
        </w:rPr>
        <w:t>称重法的调查步骤为：</w:t>
      </w:r>
    </w:p>
    <w:p w:rsidR="00EA40A3" w:rsidRDefault="00E86C16">
      <w:pPr>
        <w:spacing w:before="49" w:line="219" w:lineRule="auto"/>
        <w:ind w:left="430"/>
        <w:rPr>
          <w:rFonts w:ascii="宋体" w:eastAsia="宋体" w:hAnsi="宋体" w:cs="宋体"/>
          <w:sz w:val="22"/>
          <w:szCs w:val="22"/>
        </w:rPr>
      </w:pPr>
      <w:r>
        <w:rPr>
          <w:rFonts w:ascii="宋体" w:eastAsia="宋体" w:hAnsi="宋体" w:cs="宋体"/>
          <w:spacing w:val="-9"/>
          <w:sz w:val="22"/>
          <w:szCs w:val="22"/>
        </w:rPr>
        <w:t>(1)称取每餐食物的生重、熟重和剩余熟重。</w:t>
      </w:r>
    </w:p>
    <w:p w:rsidR="00EA40A3" w:rsidRDefault="00E86C16">
      <w:pPr>
        <w:spacing w:before="39" w:line="219" w:lineRule="auto"/>
        <w:ind w:left="430"/>
        <w:rPr>
          <w:rFonts w:ascii="宋体" w:eastAsia="宋体" w:hAnsi="宋体" w:cs="宋体"/>
          <w:sz w:val="22"/>
          <w:szCs w:val="22"/>
        </w:rPr>
      </w:pPr>
      <w:r>
        <w:rPr>
          <w:rFonts w:ascii="宋体" w:eastAsia="宋体" w:hAnsi="宋体" w:cs="宋体"/>
          <w:spacing w:val="-6"/>
          <w:sz w:val="22"/>
          <w:szCs w:val="22"/>
        </w:rPr>
        <w:t>(2)计算生熟折合率，</w:t>
      </w:r>
    </w:p>
    <w:p w:rsidR="00EA40A3" w:rsidRDefault="00E86C16">
      <w:pPr>
        <w:spacing w:before="39" w:line="219" w:lineRule="auto"/>
        <w:ind w:left="430"/>
        <w:rPr>
          <w:rFonts w:ascii="宋体" w:eastAsia="宋体" w:hAnsi="宋体" w:cs="宋体"/>
          <w:sz w:val="22"/>
          <w:szCs w:val="22"/>
        </w:rPr>
      </w:pPr>
      <w:r>
        <w:rPr>
          <w:rFonts w:ascii="宋体" w:eastAsia="宋体" w:hAnsi="宋体" w:cs="宋体"/>
          <w:spacing w:val="-6"/>
          <w:sz w:val="22"/>
          <w:szCs w:val="22"/>
        </w:rPr>
        <w:t>(3)记录每餐就餐人数。</w:t>
      </w:r>
    </w:p>
    <w:p w:rsidR="00EA40A3" w:rsidRDefault="00E86C16">
      <w:pPr>
        <w:spacing w:before="40" w:line="219" w:lineRule="auto"/>
        <w:ind w:left="430"/>
        <w:rPr>
          <w:rFonts w:ascii="宋体" w:eastAsia="宋体" w:hAnsi="宋体" w:cs="宋体"/>
          <w:sz w:val="22"/>
          <w:szCs w:val="22"/>
        </w:rPr>
      </w:pPr>
      <w:r>
        <w:rPr>
          <w:rFonts w:ascii="宋体" w:eastAsia="宋体" w:hAnsi="宋体" w:cs="宋体"/>
          <w:spacing w:val="-10"/>
          <w:sz w:val="22"/>
          <w:szCs w:val="22"/>
        </w:rPr>
        <w:t>(4)计算每人每日摄入的各种熟食质量和生食物质量。</w:t>
      </w:r>
    </w:p>
    <w:p w:rsidR="00EA40A3" w:rsidRDefault="00E86C16">
      <w:pPr>
        <w:spacing w:before="39" w:line="219" w:lineRule="auto"/>
        <w:ind w:left="430"/>
        <w:rPr>
          <w:rFonts w:ascii="宋体" w:eastAsia="宋体" w:hAnsi="宋体" w:cs="宋体"/>
          <w:sz w:val="22"/>
          <w:szCs w:val="22"/>
        </w:rPr>
      </w:pPr>
      <w:r>
        <w:rPr>
          <w:rFonts w:ascii="宋体" w:eastAsia="宋体" w:hAnsi="宋体" w:cs="宋体"/>
          <w:spacing w:val="-9"/>
          <w:sz w:val="22"/>
          <w:szCs w:val="22"/>
        </w:rPr>
        <w:t>(5)统计每人每日各项食物消耗量以及所摄入的各种营养素数量</w:t>
      </w:r>
      <w:r>
        <w:rPr>
          <w:rFonts w:ascii="宋体" w:eastAsia="宋体" w:hAnsi="宋体" w:cs="宋体"/>
          <w:spacing w:val="-10"/>
          <w:sz w:val="22"/>
          <w:szCs w:val="22"/>
        </w:rPr>
        <w:t>。</w:t>
      </w:r>
    </w:p>
    <w:p w:rsidR="00EA40A3" w:rsidRDefault="00E86C16">
      <w:pPr>
        <w:spacing w:before="69" w:line="231" w:lineRule="auto"/>
        <w:ind w:firstLine="430"/>
        <w:rPr>
          <w:rFonts w:ascii="宋体" w:eastAsia="宋体" w:hAnsi="宋体" w:cs="宋体"/>
          <w:sz w:val="22"/>
          <w:szCs w:val="22"/>
        </w:rPr>
      </w:pPr>
      <w:r>
        <w:rPr>
          <w:rFonts w:ascii="宋体" w:eastAsia="宋体" w:hAnsi="宋体" w:cs="宋体"/>
          <w:spacing w:val="-17"/>
          <w:sz w:val="22"/>
          <w:szCs w:val="22"/>
        </w:rPr>
        <w:t>该方法比较准确地反映出被调查者的膳食摄入状况，</w:t>
      </w:r>
      <w:r>
        <w:rPr>
          <w:rFonts w:ascii="宋体" w:eastAsia="宋体" w:hAnsi="宋体" w:cs="宋体"/>
          <w:spacing w:val="-18"/>
          <w:sz w:val="22"/>
          <w:szCs w:val="22"/>
        </w:rPr>
        <w:t>但费时费人力，</w:t>
      </w:r>
      <w:r>
        <w:rPr>
          <w:rFonts w:ascii="宋体" w:eastAsia="宋体" w:hAnsi="宋体" w:cs="宋体"/>
          <w:spacing w:val="51"/>
          <w:sz w:val="22"/>
          <w:szCs w:val="22"/>
        </w:rPr>
        <w:t xml:space="preserve"> </w:t>
      </w:r>
      <w:r>
        <w:rPr>
          <w:rFonts w:ascii="宋体" w:eastAsia="宋体" w:hAnsi="宋体" w:cs="宋体"/>
          <w:spacing w:val="-18"/>
          <w:sz w:val="22"/>
          <w:szCs w:val="22"/>
        </w:rPr>
        <w:t>一般不</w:t>
      </w:r>
      <w:r>
        <w:rPr>
          <w:rFonts w:ascii="宋体" w:eastAsia="宋体" w:hAnsi="宋体" w:cs="宋体"/>
          <w:sz w:val="22"/>
          <w:szCs w:val="22"/>
        </w:rPr>
        <w:t xml:space="preserve"> </w:t>
      </w:r>
      <w:r>
        <w:rPr>
          <w:rFonts w:ascii="宋体" w:eastAsia="宋体" w:hAnsi="宋体" w:cs="宋体"/>
          <w:spacing w:val="-16"/>
          <w:sz w:val="22"/>
          <w:szCs w:val="22"/>
        </w:rPr>
        <w:t>宜作大规模的调查。</w:t>
      </w:r>
    </w:p>
    <w:p w:rsidR="00EA40A3" w:rsidRDefault="00E86C16">
      <w:pPr>
        <w:spacing w:before="221" w:line="225" w:lineRule="auto"/>
        <w:rPr>
          <w:rFonts w:ascii="仿宋" w:eastAsia="仿宋" w:hAnsi="仿宋" w:cs="仿宋"/>
          <w:sz w:val="22"/>
          <w:szCs w:val="22"/>
        </w:rPr>
      </w:pPr>
      <w:r>
        <w:rPr>
          <w:rFonts w:ascii="仿宋" w:eastAsia="仿宋" w:hAnsi="仿宋" w:cs="仿宋"/>
          <w:sz w:val="22"/>
          <w:szCs w:val="22"/>
        </w:rPr>
        <w:t>2.</w:t>
      </w:r>
      <w:r>
        <w:rPr>
          <w:rFonts w:ascii="仿宋" w:eastAsia="仿宋" w:hAnsi="仿宋" w:cs="仿宋"/>
          <w:spacing w:val="-17"/>
          <w:sz w:val="22"/>
          <w:szCs w:val="22"/>
        </w:rPr>
        <w:t xml:space="preserve"> </w:t>
      </w:r>
      <w:r>
        <w:rPr>
          <w:rFonts w:ascii="仿宋" w:eastAsia="仿宋" w:hAnsi="仿宋" w:cs="仿宋"/>
          <w:sz w:val="22"/>
          <w:szCs w:val="22"/>
        </w:rPr>
        <w:t>记账法</w:t>
      </w:r>
    </w:p>
    <w:p w:rsidR="00EA40A3" w:rsidRDefault="00E86C16">
      <w:pPr>
        <w:spacing w:before="191" w:line="235" w:lineRule="auto"/>
        <w:ind w:right="17" w:firstLine="430"/>
        <w:rPr>
          <w:rFonts w:ascii="宋体" w:eastAsia="宋体" w:hAnsi="宋体" w:cs="宋体"/>
          <w:sz w:val="22"/>
          <w:szCs w:val="22"/>
        </w:rPr>
      </w:pPr>
      <w:r>
        <w:rPr>
          <w:rFonts w:ascii="宋体" w:eastAsia="宋体" w:hAnsi="宋体" w:cs="宋体"/>
          <w:spacing w:val="-13"/>
          <w:sz w:val="22"/>
          <w:szCs w:val="22"/>
        </w:rPr>
        <w:t>对建有膳食账目的团体人群通过查阅一定时期的食物消耗总量，统计该时期</w:t>
      </w:r>
      <w:r>
        <w:rPr>
          <w:rFonts w:ascii="宋体" w:eastAsia="宋体" w:hAnsi="宋体" w:cs="宋体"/>
          <w:spacing w:val="1"/>
          <w:sz w:val="22"/>
          <w:szCs w:val="22"/>
        </w:rPr>
        <w:t xml:space="preserve"> </w:t>
      </w:r>
      <w:r>
        <w:rPr>
          <w:rFonts w:ascii="宋体" w:eastAsia="宋体" w:hAnsi="宋体" w:cs="宋体"/>
          <w:spacing w:val="-13"/>
          <w:sz w:val="22"/>
          <w:szCs w:val="22"/>
        </w:rPr>
        <w:t>的进餐人数，计算出每人每日各种食物的摄入量，再按《食物成分表》计算出各</w:t>
      </w:r>
      <w:r>
        <w:rPr>
          <w:rFonts w:ascii="宋体" w:eastAsia="宋体" w:hAnsi="宋体" w:cs="宋体"/>
          <w:spacing w:val="13"/>
          <w:sz w:val="22"/>
          <w:szCs w:val="22"/>
        </w:rPr>
        <w:t xml:space="preserve"> </w:t>
      </w:r>
      <w:r>
        <w:rPr>
          <w:rFonts w:ascii="宋体" w:eastAsia="宋体" w:hAnsi="宋体" w:cs="宋体"/>
          <w:spacing w:val="-16"/>
          <w:sz w:val="22"/>
          <w:szCs w:val="22"/>
        </w:rPr>
        <w:t>种营养素的摄入量、</w:t>
      </w:r>
    </w:p>
    <w:p w:rsidR="00EA40A3" w:rsidRDefault="00E86C16">
      <w:pPr>
        <w:spacing w:before="69" w:line="219" w:lineRule="auto"/>
        <w:ind w:left="430"/>
        <w:rPr>
          <w:rFonts w:ascii="宋体" w:eastAsia="宋体" w:hAnsi="宋体" w:cs="宋体"/>
          <w:sz w:val="22"/>
          <w:szCs w:val="22"/>
        </w:rPr>
      </w:pPr>
      <w:r>
        <w:rPr>
          <w:rFonts w:ascii="宋体" w:eastAsia="宋体" w:hAnsi="宋体" w:cs="宋体"/>
          <w:spacing w:val="-19"/>
          <w:sz w:val="22"/>
          <w:szCs w:val="22"/>
        </w:rPr>
        <w:t>记账法的调查步骤为：</w:t>
      </w:r>
    </w:p>
    <w:p w:rsidR="00EA40A3" w:rsidRDefault="00E86C16">
      <w:pPr>
        <w:spacing w:before="47" w:line="236" w:lineRule="auto"/>
        <w:ind w:right="17" w:firstLine="430"/>
        <w:rPr>
          <w:rFonts w:ascii="宋体" w:eastAsia="宋体" w:hAnsi="宋体" w:cs="宋体"/>
          <w:sz w:val="22"/>
          <w:szCs w:val="22"/>
        </w:rPr>
      </w:pPr>
      <w:r>
        <w:rPr>
          <w:rFonts w:ascii="宋体" w:eastAsia="宋体" w:hAnsi="宋体" w:cs="宋体"/>
          <w:spacing w:val="-9"/>
          <w:sz w:val="22"/>
          <w:szCs w:val="22"/>
        </w:rPr>
        <w:t>(1)逐日查对购买食物的发票和账目，把每日的同</w:t>
      </w:r>
      <w:r>
        <w:rPr>
          <w:rFonts w:ascii="宋体" w:eastAsia="宋体" w:hAnsi="宋体" w:cs="宋体"/>
          <w:spacing w:val="-10"/>
          <w:sz w:val="22"/>
          <w:szCs w:val="22"/>
        </w:rPr>
        <w:t>类食物量累加，得到一定</w:t>
      </w:r>
      <w:r>
        <w:rPr>
          <w:rFonts w:ascii="宋体" w:eastAsia="宋体" w:hAnsi="宋体" w:cs="宋体"/>
          <w:sz w:val="22"/>
          <w:szCs w:val="22"/>
        </w:rPr>
        <w:t xml:space="preserve"> </w:t>
      </w:r>
      <w:r>
        <w:rPr>
          <w:rFonts w:ascii="宋体" w:eastAsia="宋体" w:hAnsi="宋体" w:cs="宋体"/>
          <w:spacing w:val="-15"/>
          <w:sz w:val="22"/>
          <w:szCs w:val="22"/>
        </w:rPr>
        <w:t>时期内各种食物的消耗量。</w:t>
      </w:r>
    </w:p>
    <w:p w:rsidR="00EA40A3" w:rsidRDefault="00E86C16">
      <w:pPr>
        <w:spacing w:before="39" w:line="219" w:lineRule="auto"/>
        <w:ind w:left="430"/>
        <w:rPr>
          <w:rFonts w:ascii="宋体" w:eastAsia="宋体" w:hAnsi="宋体" w:cs="宋体"/>
          <w:sz w:val="22"/>
          <w:szCs w:val="22"/>
        </w:rPr>
      </w:pPr>
      <w:r>
        <w:rPr>
          <w:rFonts w:ascii="宋体" w:eastAsia="宋体" w:hAnsi="宋体" w:cs="宋体"/>
          <w:spacing w:val="-8"/>
          <w:sz w:val="22"/>
          <w:szCs w:val="22"/>
        </w:rPr>
        <w:t>(2)查出该时期内用膳总人数。</w:t>
      </w:r>
    </w:p>
    <w:p w:rsidR="00EA40A3" w:rsidRDefault="00E86C16">
      <w:pPr>
        <w:spacing w:before="95"/>
        <w:ind w:right="17"/>
        <w:jc w:val="right"/>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395</w:t>
      </w:r>
      <w:r>
        <w:rPr>
          <w:rFonts w:ascii="宋体" w:eastAsia="宋体" w:hAnsi="宋体" w:cs="宋体"/>
          <w:spacing w:val="47"/>
          <w:sz w:val="18"/>
          <w:szCs w:val="18"/>
        </w:rPr>
        <w:t xml:space="preserve"> </w:t>
      </w:r>
      <w:r>
        <w:rPr>
          <w:rFonts w:ascii="宋体" w:eastAsia="宋体" w:hAnsi="宋体" w:cs="宋体"/>
          <w:spacing w:val="-27"/>
          <w:sz w:val="18"/>
          <w:szCs w:val="18"/>
        </w:rPr>
        <w:t>·</w:t>
      </w:r>
    </w:p>
    <w:p w:rsidR="00EA40A3" w:rsidRDefault="00EA40A3">
      <w:pPr>
        <w:sectPr w:rsidR="00EA40A3">
          <w:pgSz w:w="9220" w:h="13360"/>
          <w:pgMar w:top="400" w:right="1008" w:bottom="400" w:left="930" w:header="0" w:footer="0" w:gutter="0"/>
          <w:cols w:space="720"/>
        </w:sectPr>
      </w:pPr>
    </w:p>
    <w:p w:rsidR="00EA40A3" w:rsidRDefault="00EA40A3">
      <w:pPr>
        <w:spacing w:line="292" w:lineRule="auto"/>
      </w:pPr>
    </w:p>
    <w:p w:rsidR="00EA40A3" w:rsidRDefault="00EA40A3">
      <w:pPr>
        <w:spacing w:line="292" w:lineRule="auto"/>
      </w:pPr>
    </w:p>
    <w:p w:rsidR="00EA40A3" w:rsidRDefault="00E86C16">
      <w:pPr>
        <w:spacing w:before="71" w:line="219" w:lineRule="auto"/>
        <w:ind w:left="150"/>
        <w:rPr>
          <w:rFonts w:ascii="宋体" w:eastAsia="宋体" w:hAnsi="宋体" w:cs="宋体"/>
          <w:sz w:val="22"/>
          <w:szCs w:val="22"/>
        </w:rPr>
      </w:pPr>
      <w:r>
        <w:rPr>
          <w:rFonts w:ascii="宋体" w:eastAsia="宋体" w:hAnsi="宋体" w:cs="宋体"/>
          <w:spacing w:val="-10"/>
          <w:sz w:val="22"/>
          <w:szCs w:val="22"/>
        </w:rPr>
        <w:t>(3)计算每人每日食物消耗量，并计算出各种营养素的摄人量。</w:t>
      </w:r>
    </w:p>
    <w:p w:rsidR="00EA40A3" w:rsidRDefault="00E86C16">
      <w:pPr>
        <w:spacing w:before="47" w:line="236" w:lineRule="auto"/>
        <w:ind w:right="391" w:firstLine="150"/>
        <w:rPr>
          <w:rFonts w:ascii="宋体" w:eastAsia="宋体" w:hAnsi="宋体" w:cs="宋体"/>
          <w:sz w:val="22"/>
          <w:szCs w:val="22"/>
        </w:rPr>
      </w:pPr>
      <w:r>
        <w:rPr>
          <w:rFonts w:ascii="宋体" w:eastAsia="宋体" w:hAnsi="宋体" w:cs="宋体"/>
          <w:spacing w:val="-18"/>
          <w:sz w:val="22"/>
          <w:szCs w:val="22"/>
        </w:rPr>
        <w:t>此法所需人力少，可进行全年四季的调查，</w:t>
      </w:r>
      <w:r>
        <w:rPr>
          <w:rFonts w:ascii="宋体" w:eastAsia="宋体" w:hAnsi="宋体" w:cs="宋体"/>
          <w:spacing w:val="50"/>
          <w:sz w:val="22"/>
          <w:szCs w:val="22"/>
        </w:rPr>
        <w:t xml:space="preserve"> </w:t>
      </w:r>
      <w:r>
        <w:rPr>
          <w:rFonts w:ascii="宋体" w:eastAsia="宋体" w:hAnsi="宋体" w:cs="宋体"/>
          <w:spacing w:val="-18"/>
          <w:sz w:val="22"/>
          <w:szCs w:val="22"/>
        </w:rPr>
        <w:t>一般每个季</w:t>
      </w:r>
      <w:r>
        <w:rPr>
          <w:rFonts w:ascii="宋体" w:eastAsia="宋体" w:hAnsi="宋体" w:cs="宋体"/>
          <w:spacing w:val="-19"/>
          <w:sz w:val="22"/>
          <w:szCs w:val="22"/>
        </w:rPr>
        <w:t>度调查一个月就能较</w:t>
      </w:r>
      <w:r>
        <w:rPr>
          <w:rFonts w:ascii="宋体" w:eastAsia="宋体" w:hAnsi="宋体" w:cs="宋体"/>
          <w:sz w:val="22"/>
          <w:szCs w:val="22"/>
        </w:rPr>
        <w:t xml:space="preserve"> </w:t>
      </w:r>
      <w:r>
        <w:rPr>
          <w:rFonts w:ascii="宋体" w:eastAsia="宋体" w:hAnsi="宋体" w:cs="宋体"/>
          <w:spacing w:val="-17"/>
          <w:sz w:val="22"/>
          <w:szCs w:val="22"/>
        </w:rPr>
        <w:t>好地反映出全年的营养状况。</w:t>
      </w:r>
    </w:p>
    <w:p w:rsidR="00EA40A3" w:rsidRDefault="00E86C16">
      <w:pPr>
        <w:spacing w:before="197" w:line="222" w:lineRule="auto"/>
        <w:rPr>
          <w:rFonts w:ascii="仿宋" w:eastAsia="仿宋" w:hAnsi="仿宋" w:cs="仿宋"/>
          <w:sz w:val="22"/>
          <w:szCs w:val="22"/>
        </w:rPr>
      </w:pPr>
      <w:r>
        <w:rPr>
          <w:rFonts w:ascii="仿宋" w:eastAsia="仿宋" w:hAnsi="仿宋" w:cs="仿宋"/>
          <w:spacing w:val="8"/>
          <w:sz w:val="22"/>
          <w:szCs w:val="22"/>
        </w:rPr>
        <w:t>3.24h</w:t>
      </w:r>
      <w:r>
        <w:rPr>
          <w:rFonts w:ascii="仿宋" w:eastAsia="仿宋" w:hAnsi="仿宋" w:cs="仿宋"/>
          <w:spacing w:val="67"/>
          <w:sz w:val="22"/>
          <w:szCs w:val="22"/>
        </w:rPr>
        <w:t xml:space="preserve"> </w:t>
      </w:r>
      <w:r>
        <w:rPr>
          <w:rFonts w:ascii="仿宋" w:eastAsia="仿宋" w:hAnsi="仿宋" w:cs="仿宋"/>
          <w:spacing w:val="8"/>
          <w:sz w:val="22"/>
          <w:szCs w:val="22"/>
        </w:rPr>
        <w:t>个人膳食询问法</w:t>
      </w:r>
    </w:p>
    <w:p w:rsidR="00EA40A3" w:rsidRDefault="00E86C16">
      <w:pPr>
        <w:spacing w:before="196" w:line="219" w:lineRule="auto"/>
        <w:ind w:left="150"/>
        <w:rPr>
          <w:rFonts w:ascii="宋体" w:eastAsia="宋体" w:hAnsi="宋体" w:cs="宋体"/>
          <w:sz w:val="22"/>
          <w:szCs w:val="22"/>
        </w:rPr>
      </w:pPr>
      <w:r>
        <w:rPr>
          <w:rFonts w:ascii="宋体" w:eastAsia="宋体" w:hAnsi="宋体" w:cs="宋体"/>
          <w:spacing w:val="-12"/>
          <w:sz w:val="22"/>
          <w:szCs w:val="22"/>
        </w:rPr>
        <w:t>该法是获得个人食物摄入量资料的一个非常有用</w:t>
      </w:r>
      <w:r>
        <w:rPr>
          <w:rFonts w:ascii="宋体" w:eastAsia="宋体" w:hAnsi="宋体" w:cs="宋体"/>
          <w:spacing w:val="-13"/>
          <w:sz w:val="22"/>
          <w:szCs w:val="22"/>
        </w:rPr>
        <w:t>的方法。不管是大型全国膳</w:t>
      </w:r>
    </w:p>
    <w:p w:rsidR="00EA40A3" w:rsidRDefault="00E86C16">
      <w:pPr>
        <w:spacing w:before="39"/>
        <w:rPr>
          <w:rFonts w:ascii="宋体" w:eastAsia="宋体" w:hAnsi="宋体" w:cs="宋体"/>
          <w:sz w:val="22"/>
          <w:szCs w:val="22"/>
        </w:rPr>
      </w:pPr>
      <w:r>
        <w:rPr>
          <w:rFonts w:ascii="宋体" w:eastAsia="宋体" w:hAnsi="宋体" w:cs="宋体"/>
          <w:spacing w:val="-7"/>
          <w:sz w:val="22"/>
          <w:szCs w:val="22"/>
        </w:rPr>
        <w:t>食摄入量调查还是小型研究，都采用这一方法来估计个人的膳食和营养素摄入</w:t>
      </w:r>
      <w:r>
        <w:rPr>
          <w:rFonts w:ascii="宋体" w:eastAsia="宋体" w:hAnsi="宋体" w:cs="宋体"/>
          <w:spacing w:val="8"/>
          <w:sz w:val="22"/>
          <w:szCs w:val="22"/>
        </w:rPr>
        <w:t xml:space="preserve">  </w:t>
      </w:r>
      <w:r>
        <w:rPr>
          <w:rFonts w:ascii="宋体" w:eastAsia="宋体" w:hAnsi="宋体" w:cs="宋体"/>
          <w:spacing w:val="-8"/>
          <w:sz w:val="22"/>
          <w:szCs w:val="22"/>
        </w:rPr>
        <w:t>量。由于调查目的、条件、环境不同，24h</w:t>
      </w:r>
      <w:r>
        <w:rPr>
          <w:rFonts w:ascii="宋体" w:eastAsia="宋体" w:hAnsi="宋体" w:cs="宋体"/>
          <w:spacing w:val="-53"/>
          <w:sz w:val="22"/>
          <w:szCs w:val="22"/>
        </w:rPr>
        <w:t xml:space="preserve"> </w:t>
      </w:r>
      <w:r>
        <w:rPr>
          <w:rFonts w:ascii="宋体" w:eastAsia="宋体" w:hAnsi="宋体" w:cs="宋体"/>
          <w:spacing w:val="-8"/>
          <w:sz w:val="22"/>
          <w:szCs w:val="22"/>
        </w:rPr>
        <w:t>询问法也有所不同。该法简便易行，</w:t>
      </w:r>
      <w:r>
        <w:rPr>
          <w:rFonts w:ascii="宋体" w:eastAsia="宋体" w:hAnsi="宋体" w:cs="宋体"/>
          <w:sz w:val="22"/>
          <w:szCs w:val="22"/>
        </w:rPr>
        <w:t xml:space="preserve"> </w:t>
      </w:r>
      <w:r>
        <w:rPr>
          <w:rFonts w:ascii="宋体" w:eastAsia="宋体" w:hAnsi="宋体" w:cs="宋体"/>
          <w:spacing w:val="-14"/>
          <w:sz w:val="22"/>
          <w:szCs w:val="22"/>
        </w:rPr>
        <w:t>是通过被调查者的回忆得到的资料，为估计数据，但不太准确。</w:t>
      </w:r>
    </w:p>
    <w:p w:rsidR="00EA40A3" w:rsidRDefault="00E86C16">
      <w:pPr>
        <w:spacing w:before="42" w:line="219" w:lineRule="auto"/>
        <w:ind w:left="150"/>
        <w:rPr>
          <w:rFonts w:ascii="宋体" w:eastAsia="宋体" w:hAnsi="宋体" w:cs="宋体"/>
          <w:sz w:val="22"/>
          <w:szCs w:val="22"/>
        </w:rPr>
      </w:pPr>
      <w:r>
        <w:rPr>
          <w:rFonts w:ascii="宋体" w:eastAsia="宋体" w:hAnsi="宋体" w:cs="宋体"/>
          <w:spacing w:val="-12"/>
          <w:sz w:val="22"/>
          <w:szCs w:val="22"/>
        </w:rPr>
        <w:t>24h</w:t>
      </w:r>
      <w:r>
        <w:rPr>
          <w:rFonts w:ascii="宋体" w:eastAsia="宋体" w:hAnsi="宋体" w:cs="宋体"/>
          <w:spacing w:val="-45"/>
          <w:sz w:val="22"/>
          <w:szCs w:val="22"/>
        </w:rPr>
        <w:t xml:space="preserve"> </w:t>
      </w:r>
      <w:r>
        <w:rPr>
          <w:rFonts w:ascii="宋体" w:eastAsia="宋体" w:hAnsi="宋体" w:cs="宋体"/>
          <w:spacing w:val="-12"/>
          <w:sz w:val="22"/>
          <w:szCs w:val="22"/>
        </w:rPr>
        <w:t>个人膳食询问法的一般调查步骤为：</w:t>
      </w:r>
    </w:p>
    <w:p w:rsidR="00EA40A3" w:rsidRDefault="00E86C16">
      <w:pPr>
        <w:spacing w:before="78" w:line="236" w:lineRule="auto"/>
        <w:ind w:right="366" w:firstLine="150"/>
        <w:rPr>
          <w:rFonts w:ascii="宋体" w:eastAsia="宋体" w:hAnsi="宋体" w:cs="宋体"/>
          <w:sz w:val="22"/>
          <w:szCs w:val="22"/>
        </w:rPr>
      </w:pPr>
      <w:r>
        <w:rPr>
          <w:rFonts w:ascii="宋体" w:eastAsia="宋体" w:hAnsi="宋体" w:cs="宋体"/>
          <w:spacing w:val="-9"/>
          <w:sz w:val="22"/>
          <w:szCs w:val="22"/>
        </w:rPr>
        <w:t>(1)比较详细地了解被调查者的食物构成种类、每日进餐次数和时间、粗</w:t>
      </w:r>
      <w:r>
        <w:rPr>
          <w:rFonts w:ascii="宋体" w:eastAsia="宋体" w:hAnsi="宋体" w:cs="宋体"/>
          <w:spacing w:val="-10"/>
          <w:sz w:val="22"/>
          <w:szCs w:val="22"/>
        </w:rPr>
        <w:t>细</w:t>
      </w:r>
      <w:r>
        <w:rPr>
          <w:rFonts w:ascii="宋体" w:eastAsia="宋体" w:hAnsi="宋体" w:cs="宋体"/>
          <w:sz w:val="22"/>
          <w:szCs w:val="22"/>
        </w:rPr>
        <w:t xml:space="preserve"> </w:t>
      </w:r>
      <w:r>
        <w:rPr>
          <w:rFonts w:ascii="宋体" w:eastAsia="宋体" w:hAnsi="宋体" w:cs="宋体"/>
          <w:spacing w:val="-14"/>
          <w:sz w:val="22"/>
          <w:szCs w:val="22"/>
        </w:rPr>
        <w:t>搭配情况。了解食物的加工烹调方法、储存条件和时间等。</w:t>
      </w:r>
    </w:p>
    <w:p w:rsidR="00EA40A3" w:rsidRDefault="00E86C16">
      <w:pPr>
        <w:spacing w:before="37" w:line="236" w:lineRule="auto"/>
        <w:ind w:right="347" w:firstLine="150"/>
        <w:rPr>
          <w:rFonts w:ascii="宋体" w:eastAsia="宋体" w:hAnsi="宋体" w:cs="宋体"/>
          <w:sz w:val="22"/>
          <w:szCs w:val="22"/>
        </w:rPr>
      </w:pPr>
      <w:r>
        <w:rPr>
          <w:rFonts w:ascii="宋体" w:eastAsia="宋体" w:hAnsi="宋体" w:cs="宋体"/>
          <w:spacing w:val="-2"/>
          <w:sz w:val="22"/>
          <w:szCs w:val="22"/>
        </w:rPr>
        <w:t>(2)要求被调查者回顾和描述24h</w:t>
      </w:r>
      <w:r>
        <w:rPr>
          <w:rFonts w:ascii="宋体" w:eastAsia="宋体" w:hAnsi="宋体" w:cs="宋体"/>
          <w:spacing w:val="1"/>
          <w:sz w:val="22"/>
          <w:szCs w:val="22"/>
        </w:rPr>
        <w:t xml:space="preserve"> </w:t>
      </w:r>
      <w:r>
        <w:rPr>
          <w:rFonts w:ascii="宋体" w:eastAsia="宋体" w:hAnsi="宋体" w:cs="宋体"/>
          <w:spacing w:val="-2"/>
          <w:sz w:val="22"/>
          <w:szCs w:val="22"/>
        </w:rPr>
        <w:t>(调查的前一整天)内摄入的全部食物的</w:t>
      </w:r>
      <w:r>
        <w:rPr>
          <w:rFonts w:ascii="宋体" w:eastAsia="宋体" w:hAnsi="宋体" w:cs="宋体"/>
          <w:sz w:val="22"/>
          <w:szCs w:val="22"/>
        </w:rPr>
        <w:t xml:space="preserve"> </w:t>
      </w:r>
      <w:r>
        <w:rPr>
          <w:rFonts w:ascii="宋体" w:eastAsia="宋体" w:hAnsi="宋体" w:cs="宋体"/>
          <w:spacing w:val="-14"/>
          <w:sz w:val="22"/>
          <w:szCs w:val="22"/>
        </w:rPr>
        <w:t>种类和数量。</w:t>
      </w:r>
    </w:p>
    <w:p w:rsidR="00EA40A3" w:rsidRDefault="00E86C16">
      <w:pPr>
        <w:spacing w:before="40" w:line="236" w:lineRule="auto"/>
        <w:ind w:right="269" w:firstLine="150"/>
        <w:rPr>
          <w:rFonts w:ascii="宋体" w:eastAsia="宋体" w:hAnsi="宋体" w:cs="宋体"/>
          <w:sz w:val="22"/>
          <w:szCs w:val="22"/>
        </w:rPr>
      </w:pPr>
      <w:r>
        <w:rPr>
          <w:rFonts w:ascii="宋体" w:eastAsia="宋体" w:hAnsi="宋体" w:cs="宋体"/>
          <w:spacing w:val="3"/>
          <w:sz w:val="22"/>
          <w:szCs w:val="22"/>
        </w:rPr>
        <w:t>(3)一年内对同一个人调查6次，对每2个月中1日的食物消费进行回顾。</w:t>
      </w:r>
      <w:r>
        <w:rPr>
          <w:rFonts w:ascii="宋体" w:eastAsia="宋体" w:hAnsi="宋体" w:cs="宋体"/>
          <w:spacing w:val="17"/>
          <w:sz w:val="22"/>
          <w:szCs w:val="22"/>
        </w:rPr>
        <w:t xml:space="preserve"> </w:t>
      </w:r>
      <w:r>
        <w:rPr>
          <w:rFonts w:ascii="宋体" w:eastAsia="宋体" w:hAnsi="宋体" w:cs="宋体"/>
          <w:spacing w:val="-15"/>
          <w:sz w:val="22"/>
          <w:szCs w:val="22"/>
        </w:rPr>
        <w:t>调查表可通过谈话、询问方式填写。</w:t>
      </w:r>
    </w:p>
    <w:p w:rsidR="00EA40A3" w:rsidRDefault="00E86C16">
      <w:pPr>
        <w:spacing w:before="37" w:line="219" w:lineRule="auto"/>
        <w:ind w:left="150"/>
        <w:rPr>
          <w:rFonts w:ascii="宋体" w:eastAsia="宋体" w:hAnsi="宋体" w:cs="宋体"/>
          <w:sz w:val="22"/>
          <w:szCs w:val="22"/>
        </w:rPr>
      </w:pPr>
      <w:r>
        <w:rPr>
          <w:rFonts w:ascii="宋体" w:eastAsia="宋体" w:hAnsi="宋体" w:cs="宋体"/>
          <w:spacing w:val="-9"/>
          <w:sz w:val="22"/>
          <w:szCs w:val="22"/>
        </w:rPr>
        <w:t>(4)营养素摄入量的计算方法与称重法相同。</w:t>
      </w:r>
    </w:p>
    <w:p w:rsidR="00EA40A3" w:rsidRDefault="00E86C16">
      <w:pPr>
        <w:spacing w:before="215" w:line="221" w:lineRule="auto"/>
        <w:rPr>
          <w:rFonts w:ascii="仿宋" w:eastAsia="仿宋" w:hAnsi="仿宋" w:cs="仿宋"/>
          <w:sz w:val="22"/>
          <w:szCs w:val="22"/>
        </w:rPr>
      </w:pPr>
      <w:r>
        <w:rPr>
          <w:rFonts w:ascii="仿宋" w:eastAsia="仿宋" w:hAnsi="仿宋" w:cs="仿宋"/>
          <w:spacing w:val="13"/>
          <w:sz w:val="22"/>
          <w:szCs w:val="22"/>
        </w:rPr>
        <w:t>4.</w:t>
      </w:r>
      <w:r>
        <w:rPr>
          <w:rFonts w:ascii="仿宋" w:eastAsia="仿宋" w:hAnsi="仿宋" w:cs="仿宋"/>
          <w:spacing w:val="-41"/>
          <w:sz w:val="22"/>
          <w:szCs w:val="22"/>
        </w:rPr>
        <w:t xml:space="preserve"> </w:t>
      </w:r>
      <w:r>
        <w:rPr>
          <w:rFonts w:ascii="仿宋" w:eastAsia="仿宋" w:hAnsi="仿宋" w:cs="仿宋"/>
          <w:spacing w:val="13"/>
          <w:sz w:val="22"/>
          <w:szCs w:val="22"/>
        </w:rPr>
        <w:t>膳食营养评价</w:t>
      </w:r>
    </w:p>
    <w:p w:rsidR="00EA40A3" w:rsidRDefault="00E86C16">
      <w:pPr>
        <w:spacing w:before="178" w:line="226" w:lineRule="auto"/>
        <w:rPr>
          <w:rFonts w:ascii="楷体" w:eastAsia="楷体" w:hAnsi="楷体" w:cs="楷体"/>
          <w:sz w:val="22"/>
          <w:szCs w:val="22"/>
        </w:rPr>
      </w:pPr>
      <w:r>
        <w:rPr>
          <w:rFonts w:ascii="楷体" w:eastAsia="楷体" w:hAnsi="楷体" w:cs="楷体"/>
          <w:spacing w:val="-3"/>
          <w:sz w:val="22"/>
          <w:szCs w:val="22"/>
        </w:rPr>
        <w:t>1)资料整理</w:t>
      </w:r>
    </w:p>
    <w:p w:rsidR="00EA40A3" w:rsidRDefault="00E86C16">
      <w:pPr>
        <w:spacing w:before="72" w:line="229" w:lineRule="auto"/>
        <w:ind w:right="369" w:firstLine="150"/>
        <w:rPr>
          <w:rFonts w:ascii="宋体" w:eastAsia="宋体" w:hAnsi="宋体" w:cs="宋体"/>
          <w:sz w:val="22"/>
          <w:szCs w:val="22"/>
        </w:rPr>
      </w:pPr>
      <w:r>
        <w:rPr>
          <w:rFonts w:ascii="宋体" w:eastAsia="宋体" w:hAnsi="宋体" w:cs="宋体"/>
          <w:spacing w:val="1"/>
          <w:sz w:val="22"/>
          <w:szCs w:val="22"/>
        </w:rPr>
        <w:t>无论使用何种调查方法获得的资料都要进行以</w:t>
      </w:r>
      <w:r>
        <w:rPr>
          <w:rFonts w:ascii="宋体" w:eastAsia="宋体" w:hAnsi="宋体" w:cs="宋体"/>
          <w:sz w:val="22"/>
          <w:szCs w:val="22"/>
        </w:rPr>
        <w:t xml:space="preserve">下计算，并将结果填入表 </w:t>
      </w:r>
      <w:r>
        <w:rPr>
          <w:rFonts w:ascii="宋体" w:eastAsia="宋体" w:hAnsi="宋体" w:cs="宋体"/>
          <w:spacing w:val="-8"/>
          <w:sz w:val="22"/>
          <w:szCs w:val="22"/>
        </w:rPr>
        <w:t>12-3,以评价膳食营养水平。</w:t>
      </w:r>
    </w:p>
    <w:p w:rsidR="00EA40A3" w:rsidRDefault="00E86C16">
      <w:pPr>
        <w:spacing w:before="55" w:line="219" w:lineRule="auto"/>
        <w:ind w:left="150"/>
        <w:rPr>
          <w:rFonts w:ascii="宋体" w:eastAsia="宋体" w:hAnsi="宋体" w:cs="宋体"/>
          <w:sz w:val="22"/>
          <w:szCs w:val="22"/>
        </w:rPr>
      </w:pPr>
      <w:r>
        <w:rPr>
          <w:rFonts w:ascii="宋体" w:eastAsia="宋体" w:hAnsi="宋体" w:cs="宋体"/>
          <w:spacing w:val="-7"/>
          <w:sz w:val="22"/>
          <w:szCs w:val="22"/>
        </w:rPr>
        <w:t>(1)每人每日各类食物的摄入量。</w:t>
      </w:r>
    </w:p>
    <w:p w:rsidR="00EA40A3" w:rsidRDefault="00E86C16">
      <w:pPr>
        <w:spacing w:before="39" w:line="219" w:lineRule="auto"/>
        <w:ind w:left="150"/>
        <w:rPr>
          <w:rFonts w:ascii="宋体" w:eastAsia="宋体" w:hAnsi="宋体" w:cs="宋体"/>
          <w:sz w:val="22"/>
          <w:szCs w:val="22"/>
        </w:rPr>
      </w:pPr>
      <w:r>
        <w:rPr>
          <w:rFonts w:ascii="宋体" w:eastAsia="宋体" w:hAnsi="宋体" w:cs="宋体"/>
          <w:spacing w:val="-9"/>
          <w:sz w:val="22"/>
          <w:szCs w:val="22"/>
        </w:rPr>
        <w:t>(2)每人每日各种营养素的摄入量。</w:t>
      </w:r>
    </w:p>
    <w:p w:rsidR="00EA40A3" w:rsidRDefault="00E86C16">
      <w:pPr>
        <w:spacing w:before="38" w:line="219" w:lineRule="auto"/>
        <w:ind w:left="150"/>
        <w:rPr>
          <w:rFonts w:ascii="宋体" w:eastAsia="宋体" w:hAnsi="宋体" w:cs="宋体"/>
          <w:sz w:val="22"/>
          <w:szCs w:val="22"/>
        </w:rPr>
      </w:pPr>
      <w:r>
        <w:rPr>
          <w:rFonts w:ascii="宋体" w:eastAsia="宋体" w:hAnsi="宋体" w:cs="宋体"/>
          <w:spacing w:val="-5"/>
          <w:sz w:val="22"/>
          <w:szCs w:val="22"/>
        </w:rPr>
        <w:t>(3)每人每日营养素推荐摄入量</w:t>
      </w:r>
      <w:r>
        <w:rPr>
          <w:rFonts w:ascii="宋体" w:eastAsia="宋体" w:hAnsi="宋体" w:cs="宋体"/>
          <w:spacing w:val="-23"/>
          <w:sz w:val="22"/>
          <w:szCs w:val="22"/>
        </w:rPr>
        <w:t xml:space="preserve"> </w:t>
      </w:r>
      <w:r>
        <w:rPr>
          <w:rFonts w:ascii="宋体" w:eastAsia="宋体" w:hAnsi="宋体" w:cs="宋体"/>
          <w:spacing w:val="-5"/>
          <w:sz w:val="22"/>
          <w:szCs w:val="22"/>
        </w:rPr>
        <w:t>(RNI)。</w:t>
      </w:r>
    </w:p>
    <w:p w:rsidR="00EA40A3" w:rsidRDefault="00E86C16">
      <w:pPr>
        <w:spacing w:before="40" w:line="219" w:lineRule="auto"/>
        <w:ind w:left="150"/>
        <w:rPr>
          <w:rFonts w:ascii="宋体" w:eastAsia="宋体" w:hAnsi="宋体" w:cs="宋体"/>
          <w:sz w:val="22"/>
          <w:szCs w:val="22"/>
        </w:rPr>
      </w:pPr>
      <w:r>
        <w:rPr>
          <w:rFonts w:ascii="宋体" w:eastAsia="宋体" w:hAnsi="宋体" w:cs="宋体"/>
          <w:spacing w:val="-4"/>
          <w:sz w:val="22"/>
          <w:szCs w:val="22"/>
        </w:rPr>
        <w:t>(4)每人每日营养素摄入量占RNI</w:t>
      </w:r>
      <w:r>
        <w:rPr>
          <w:rFonts w:ascii="宋体" w:eastAsia="宋体" w:hAnsi="宋体" w:cs="宋体"/>
          <w:spacing w:val="6"/>
          <w:sz w:val="22"/>
          <w:szCs w:val="22"/>
        </w:rPr>
        <w:t xml:space="preserve"> </w:t>
      </w:r>
      <w:r>
        <w:rPr>
          <w:rFonts w:ascii="宋体" w:eastAsia="宋体" w:hAnsi="宋体" w:cs="宋体"/>
          <w:spacing w:val="-4"/>
          <w:sz w:val="22"/>
          <w:szCs w:val="22"/>
        </w:rPr>
        <w:t>的百分数</w:t>
      </w:r>
      <w:r>
        <w:rPr>
          <w:rFonts w:ascii="宋体" w:eastAsia="宋体" w:hAnsi="宋体" w:cs="宋体"/>
          <w:spacing w:val="-5"/>
          <w:sz w:val="22"/>
          <w:szCs w:val="22"/>
        </w:rPr>
        <w:t>。</w:t>
      </w:r>
    </w:p>
    <w:p w:rsidR="00EA40A3" w:rsidRDefault="00E86C16">
      <w:pPr>
        <w:spacing w:before="38" w:line="219" w:lineRule="auto"/>
        <w:ind w:left="150"/>
        <w:rPr>
          <w:rFonts w:ascii="宋体" w:eastAsia="宋体" w:hAnsi="宋体" w:cs="宋体"/>
          <w:sz w:val="22"/>
          <w:szCs w:val="22"/>
        </w:rPr>
      </w:pPr>
      <w:r>
        <w:rPr>
          <w:rFonts w:ascii="宋体" w:eastAsia="宋体" w:hAnsi="宋体" w:cs="宋体"/>
          <w:spacing w:val="-9"/>
          <w:sz w:val="22"/>
          <w:szCs w:val="22"/>
        </w:rPr>
        <w:t>(5)食物能量、蛋白质、脂肪的来源及分布。</w:t>
      </w:r>
    </w:p>
    <w:p w:rsidR="00EA40A3" w:rsidRDefault="00E86C16">
      <w:pPr>
        <w:spacing w:before="45" w:line="223" w:lineRule="auto"/>
        <w:rPr>
          <w:rFonts w:ascii="楷体" w:eastAsia="楷体" w:hAnsi="楷体" w:cs="楷体"/>
          <w:sz w:val="22"/>
          <w:szCs w:val="22"/>
        </w:rPr>
      </w:pPr>
      <w:r>
        <w:rPr>
          <w:rFonts w:ascii="楷体" w:eastAsia="楷体" w:hAnsi="楷体" w:cs="楷体"/>
          <w:spacing w:val="-1"/>
          <w:sz w:val="22"/>
          <w:szCs w:val="22"/>
        </w:rPr>
        <w:t>2)膳食营养评价</w:t>
      </w:r>
    </w:p>
    <w:p w:rsidR="00EA40A3" w:rsidRDefault="00E86C16">
      <w:pPr>
        <w:spacing w:before="68" w:line="218" w:lineRule="auto"/>
        <w:ind w:left="150"/>
        <w:rPr>
          <w:rFonts w:ascii="宋体" w:eastAsia="宋体" w:hAnsi="宋体" w:cs="宋体"/>
          <w:sz w:val="22"/>
          <w:szCs w:val="22"/>
        </w:rPr>
      </w:pPr>
      <w:r>
        <w:rPr>
          <w:rFonts w:ascii="宋体" w:eastAsia="宋体" w:hAnsi="宋体" w:cs="宋体"/>
          <w:spacing w:val="-10"/>
          <w:sz w:val="22"/>
          <w:szCs w:val="22"/>
        </w:rPr>
        <w:t>将调查资料整理的结果同我国RNI</w:t>
      </w:r>
      <w:r>
        <w:rPr>
          <w:rFonts w:ascii="宋体" w:eastAsia="宋体" w:hAnsi="宋体" w:cs="宋体"/>
          <w:spacing w:val="13"/>
          <w:sz w:val="22"/>
          <w:szCs w:val="22"/>
        </w:rPr>
        <w:t xml:space="preserve"> </w:t>
      </w:r>
      <w:r>
        <w:rPr>
          <w:rFonts w:ascii="宋体" w:eastAsia="宋体" w:hAnsi="宋体" w:cs="宋体"/>
          <w:spacing w:val="-10"/>
          <w:sz w:val="22"/>
          <w:szCs w:val="22"/>
        </w:rPr>
        <w:t>比较，对膳食营养作出评价。</w:t>
      </w:r>
    </w:p>
    <w:p w:rsidR="00EA40A3" w:rsidRDefault="00E86C16">
      <w:pPr>
        <w:spacing w:before="52" w:line="219" w:lineRule="auto"/>
        <w:ind w:left="150"/>
        <w:rPr>
          <w:rFonts w:ascii="宋体" w:eastAsia="宋体" w:hAnsi="宋体" w:cs="宋体"/>
          <w:sz w:val="22"/>
          <w:szCs w:val="22"/>
        </w:rPr>
      </w:pPr>
      <w:r>
        <w:rPr>
          <w:rFonts w:ascii="宋体" w:eastAsia="宋体" w:hAnsi="宋体" w:cs="宋体"/>
          <w:spacing w:val="-3"/>
          <w:sz w:val="22"/>
          <w:szCs w:val="22"/>
        </w:rPr>
        <w:t>(1)食物构成我国目前以谷类食物为主食，蔬菜为副食，搭配有少量豆制</w:t>
      </w:r>
    </w:p>
    <w:p w:rsidR="00EA40A3" w:rsidRDefault="00E86C16">
      <w:pPr>
        <w:spacing w:before="37" w:line="241" w:lineRule="auto"/>
        <w:ind w:right="101"/>
        <w:rPr>
          <w:rFonts w:ascii="宋体" w:eastAsia="宋体" w:hAnsi="宋体" w:cs="宋体"/>
          <w:sz w:val="22"/>
          <w:szCs w:val="22"/>
        </w:rPr>
      </w:pPr>
      <w:r>
        <w:rPr>
          <w:rFonts w:ascii="宋体" w:eastAsia="宋体" w:hAnsi="宋体" w:cs="宋体"/>
          <w:spacing w:val="-13"/>
          <w:sz w:val="22"/>
          <w:szCs w:val="22"/>
        </w:rPr>
        <w:t>品和动物性食品。这种膳食含有人体所需要的各种营养素，在一般情况下可满足</w:t>
      </w:r>
      <w:r>
        <w:rPr>
          <w:rFonts w:ascii="宋体" w:eastAsia="宋体" w:hAnsi="宋体" w:cs="宋体"/>
          <w:spacing w:val="13"/>
          <w:sz w:val="22"/>
          <w:szCs w:val="22"/>
        </w:rPr>
        <w:t xml:space="preserve"> </w:t>
      </w:r>
      <w:r>
        <w:rPr>
          <w:rFonts w:ascii="宋体" w:eastAsia="宋体" w:hAnsi="宋体" w:cs="宋体"/>
          <w:spacing w:val="-13"/>
          <w:sz w:val="22"/>
          <w:szCs w:val="22"/>
        </w:rPr>
        <w:t>人体的需要。但在特殊生理条件下需要进一步提高，如儿童在生长</w:t>
      </w:r>
      <w:r>
        <w:rPr>
          <w:rFonts w:ascii="宋体" w:eastAsia="宋体" w:hAnsi="宋体" w:cs="宋体"/>
          <w:spacing w:val="-14"/>
          <w:sz w:val="22"/>
          <w:szCs w:val="22"/>
        </w:rPr>
        <w:t>发育时期应当</w:t>
      </w:r>
      <w:r>
        <w:rPr>
          <w:rFonts w:ascii="宋体" w:eastAsia="宋体" w:hAnsi="宋体" w:cs="宋体"/>
          <w:sz w:val="22"/>
          <w:szCs w:val="22"/>
        </w:rPr>
        <w:t xml:space="preserve"> </w:t>
      </w:r>
      <w:r>
        <w:rPr>
          <w:rFonts w:ascii="宋体" w:eastAsia="宋体" w:hAnsi="宋体" w:cs="宋体"/>
          <w:spacing w:val="-14"/>
          <w:sz w:val="22"/>
          <w:szCs w:val="22"/>
        </w:rPr>
        <w:t>有充足的蛋白质、维生素和矿物质，并提供多样化的膳食。</w:t>
      </w:r>
    </w:p>
    <w:p w:rsidR="00EA40A3" w:rsidRDefault="00E86C16">
      <w:pPr>
        <w:spacing w:before="40" w:line="219" w:lineRule="auto"/>
        <w:ind w:left="150"/>
        <w:rPr>
          <w:rFonts w:ascii="宋体" w:eastAsia="宋体" w:hAnsi="宋体" w:cs="宋体"/>
          <w:sz w:val="22"/>
          <w:szCs w:val="22"/>
        </w:rPr>
      </w:pPr>
      <w:r>
        <w:rPr>
          <w:rFonts w:ascii="宋体" w:eastAsia="宋体" w:hAnsi="宋体" w:cs="宋体"/>
          <w:sz w:val="22"/>
          <w:szCs w:val="22"/>
        </w:rPr>
        <w:t>(2)营养素摄入量占RNI</w:t>
      </w:r>
      <w:r>
        <w:rPr>
          <w:rFonts w:ascii="宋体" w:eastAsia="宋体" w:hAnsi="宋体" w:cs="宋体"/>
          <w:spacing w:val="11"/>
          <w:sz w:val="22"/>
          <w:szCs w:val="22"/>
        </w:rPr>
        <w:t xml:space="preserve"> </w:t>
      </w:r>
      <w:r>
        <w:rPr>
          <w:rFonts w:ascii="宋体" w:eastAsia="宋体" w:hAnsi="宋体" w:cs="宋体"/>
          <w:sz w:val="22"/>
          <w:szCs w:val="22"/>
        </w:rPr>
        <w:t>和</w:t>
      </w:r>
      <w:r>
        <w:rPr>
          <w:rFonts w:ascii="宋体" w:eastAsia="宋体" w:hAnsi="宋体" w:cs="宋体"/>
          <w:spacing w:val="-60"/>
          <w:sz w:val="22"/>
          <w:szCs w:val="22"/>
        </w:rPr>
        <w:t xml:space="preserve"> </w:t>
      </w:r>
      <w:r>
        <w:rPr>
          <w:rFonts w:ascii="宋体" w:eastAsia="宋体" w:hAnsi="宋体" w:cs="宋体"/>
          <w:sz w:val="22"/>
          <w:szCs w:val="22"/>
        </w:rPr>
        <w:t>AI</w:t>
      </w:r>
      <w:r>
        <w:rPr>
          <w:rFonts w:ascii="宋体" w:eastAsia="宋体" w:hAnsi="宋体" w:cs="宋体"/>
          <w:spacing w:val="-38"/>
          <w:sz w:val="22"/>
          <w:szCs w:val="22"/>
        </w:rPr>
        <w:t xml:space="preserve"> </w:t>
      </w:r>
      <w:r>
        <w:rPr>
          <w:rFonts w:ascii="宋体" w:eastAsia="宋体" w:hAnsi="宋体" w:cs="宋体"/>
          <w:sz w:val="22"/>
          <w:szCs w:val="22"/>
        </w:rPr>
        <w:t>的百分数在各种营养素中能量摄入量与需</w:t>
      </w:r>
    </w:p>
    <w:p w:rsidR="00EA40A3" w:rsidRDefault="00E86C16">
      <w:pPr>
        <w:spacing w:before="39" w:line="235" w:lineRule="auto"/>
        <w:ind w:right="95"/>
        <w:rPr>
          <w:rFonts w:ascii="宋体" w:eastAsia="宋体" w:hAnsi="宋体" w:cs="宋体"/>
          <w:sz w:val="22"/>
          <w:szCs w:val="22"/>
        </w:rPr>
      </w:pPr>
      <w:r>
        <w:rPr>
          <w:rFonts w:ascii="宋体" w:eastAsia="宋体" w:hAnsi="宋体" w:cs="宋体"/>
          <w:spacing w:val="-6"/>
          <w:sz w:val="22"/>
          <w:szCs w:val="22"/>
        </w:rPr>
        <w:t>要量的差别不大，其他营养素的供给量为需要量的1.5～2倍。能量虽然不是营</w:t>
      </w:r>
      <w:r>
        <w:rPr>
          <w:rFonts w:ascii="宋体" w:eastAsia="宋体" w:hAnsi="宋体" w:cs="宋体"/>
          <w:sz w:val="22"/>
          <w:szCs w:val="22"/>
        </w:rPr>
        <w:t xml:space="preserve"> </w:t>
      </w:r>
      <w:r>
        <w:rPr>
          <w:rFonts w:ascii="宋体" w:eastAsia="宋体" w:hAnsi="宋体" w:cs="宋体"/>
          <w:spacing w:val="-13"/>
          <w:sz w:val="22"/>
          <w:szCs w:val="22"/>
        </w:rPr>
        <w:t>养素，但它是几种生热营养素的综合表现，对人体影响较大，应当首先考虑。成</w:t>
      </w:r>
    </w:p>
    <w:p w:rsidR="00EA40A3" w:rsidRDefault="00E86C16">
      <w:pPr>
        <w:spacing w:before="93"/>
        <w:ind w:left="150"/>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396</w:t>
      </w:r>
      <w:r>
        <w:rPr>
          <w:rFonts w:ascii="宋体" w:eastAsia="宋体" w:hAnsi="宋体" w:cs="宋体"/>
          <w:spacing w:val="61"/>
          <w:w w:val="101"/>
          <w:sz w:val="16"/>
          <w:szCs w:val="16"/>
        </w:rPr>
        <w:t xml:space="preserve"> </w:t>
      </w:r>
      <w:r>
        <w:rPr>
          <w:rFonts w:ascii="宋体" w:eastAsia="宋体" w:hAnsi="宋体" w:cs="宋体"/>
          <w:spacing w:val="-15"/>
          <w:sz w:val="16"/>
          <w:szCs w:val="16"/>
        </w:rPr>
        <w:t>·</w:t>
      </w:r>
    </w:p>
    <w:p w:rsidR="00EA40A3" w:rsidRDefault="00EA40A3">
      <w:pPr>
        <w:sectPr w:rsidR="00EA40A3">
          <w:pgSz w:w="9220" w:h="13360"/>
          <w:pgMar w:top="400" w:right="1089" w:bottom="400" w:left="769" w:header="0" w:footer="0" w:gutter="0"/>
          <w:cols w:space="720"/>
        </w:sectPr>
      </w:pPr>
    </w:p>
    <w:p w:rsidR="00EA40A3" w:rsidRDefault="00EA40A3">
      <w:pPr>
        <w:spacing w:line="270" w:lineRule="auto"/>
      </w:pPr>
    </w:p>
    <w:p w:rsidR="00EA40A3" w:rsidRDefault="00EA40A3">
      <w:pPr>
        <w:spacing w:line="270" w:lineRule="auto"/>
      </w:pPr>
    </w:p>
    <w:p w:rsidR="00EA40A3" w:rsidRDefault="00E86C16">
      <w:pPr>
        <w:spacing w:before="65" w:line="261" w:lineRule="auto"/>
        <w:ind w:left="100" w:right="1" w:firstLine="9"/>
        <w:jc w:val="both"/>
        <w:rPr>
          <w:rFonts w:ascii="宋体" w:eastAsia="宋体" w:hAnsi="宋体" w:cs="宋体"/>
          <w:sz w:val="20"/>
          <w:szCs w:val="20"/>
        </w:rPr>
      </w:pPr>
      <w:r>
        <w:rPr>
          <w:rFonts w:ascii="宋体" w:eastAsia="宋体" w:hAnsi="宋体" w:cs="宋体"/>
          <w:spacing w:val="18"/>
          <w:sz w:val="20"/>
          <w:szCs w:val="20"/>
        </w:rPr>
        <w:t>年人能量的摄入量占</w:t>
      </w:r>
      <w:r>
        <w:rPr>
          <w:rFonts w:ascii="宋体" w:eastAsia="宋体" w:hAnsi="宋体" w:cs="宋体"/>
          <w:sz w:val="20"/>
          <w:szCs w:val="20"/>
        </w:rPr>
        <w:t>RNI</w:t>
      </w:r>
      <w:r>
        <w:rPr>
          <w:rFonts w:ascii="宋体" w:eastAsia="宋体" w:hAnsi="宋体" w:cs="宋体"/>
          <w:spacing w:val="66"/>
          <w:sz w:val="20"/>
          <w:szCs w:val="20"/>
        </w:rPr>
        <w:t xml:space="preserve"> </w:t>
      </w:r>
      <w:r>
        <w:rPr>
          <w:rFonts w:ascii="宋体" w:eastAsia="宋体" w:hAnsi="宋体" w:cs="宋体"/>
          <w:spacing w:val="18"/>
          <w:sz w:val="20"/>
          <w:szCs w:val="20"/>
        </w:rPr>
        <w:t>的80%以上可以为正常，低于80%为摄入不足，摄入</w:t>
      </w:r>
      <w:r>
        <w:rPr>
          <w:rFonts w:ascii="宋体" w:eastAsia="宋体" w:hAnsi="宋体" w:cs="宋体"/>
          <w:sz w:val="20"/>
          <w:szCs w:val="20"/>
        </w:rPr>
        <w:t xml:space="preserve"> </w:t>
      </w:r>
      <w:r>
        <w:rPr>
          <w:rFonts w:ascii="宋体" w:eastAsia="宋体" w:hAnsi="宋体" w:cs="宋体"/>
          <w:spacing w:val="12"/>
          <w:sz w:val="20"/>
          <w:szCs w:val="20"/>
        </w:rPr>
        <w:t>量长期超过</w:t>
      </w:r>
      <w:r>
        <w:rPr>
          <w:rFonts w:ascii="Times New Roman" w:eastAsia="Times New Roman" w:hAnsi="Times New Roman" w:cs="Times New Roman"/>
          <w:sz w:val="20"/>
          <w:szCs w:val="20"/>
        </w:rPr>
        <w:t>RNI</w:t>
      </w:r>
      <w:r>
        <w:rPr>
          <w:rFonts w:ascii="Times New Roman" w:eastAsia="Times New Roman" w:hAnsi="Times New Roman" w:cs="Times New Roman"/>
          <w:spacing w:val="39"/>
          <w:sz w:val="20"/>
          <w:szCs w:val="20"/>
        </w:rPr>
        <w:t xml:space="preserve"> </w:t>
      </w:r>
      <w:r>
        <w:rPr>
          <w:rFonts w:ascii="宋体" w:eastAsia="宋体" w:hAnsi="宋体" w:cs="宋体"/>
          <w:spacing w:val="12"/>
          <w:sz w:val="20"/>
          <w:szCs w:val="20"/>
        </w:rPr>
        <w:t>的30%或更高是无益有害的。儿童的能量摄入</w:t>
      </w:r>
      <w:r>
        <w:rPr>
          <w:rFonts w:ascii="宋体" w:eastAsia="宋体" w:hAnsi="宋体" w:cs="宋体"/>
          <w:spacing w:val="11"/>
          <w:sz w:val="20"/>
          <w:szCs w:val="20"/>
        </w:rPr>
        <w:t>量占</w:t>
      </w:r>
      <w:r>
        <w:rPr>
          <w:rFonts w:ascii="Times New Roman" w:eastAsia="Times New Roman" w:hAnsi="Times New Roman" w:cs="Times New Roman"/>
          <w:sz w:val="20"/>
          <w:szCs w:val="20"/>
        </w:rPr>
        <w:t>RNI</w:t>
      </w:r>
      <w:r>
        <w:rPr>
          <w:rFonts w:ascii="Times New Roman" w:eastAsia="Times New Roman" w:hAnsi="Times New Roman" w:cs="Times New Roman"/>
          <w:spacing w:val="39"/>
          <w:sz w:val="20"/>
          <w:szCs w:val="20"/>
        </w:rPr>
        <w:t xml:space="preserve"> </w:t>
      </w:r>
      <w:r>
        <w:rPr>
          <w:rFonts w:ascii="宋体" w:eastAsia="宋体" w:hAnsi="宋体" w:cs="宋体"/>
          <w:spacing w:val="11"/>
          <w:sz w:val="20"/>
          <w:szCs w:val="20"/>
        </w:rPr>
        <w:t>的</w:t>
      </w:r>
      <w:r>
        <w:rPr>
          <w:rFonts w:ascii="宋体" w:eastAsia="宋体" w:hAnsi="宋体" w:cs="宋体"/>
          <w:spacing w:val="-32"/>
          <w:sz w:val="20"/>
          <w:szCs w:val="20"/>
        </w:rPr>
        <w:t xml:space="preserve"> </w:t>
      </w:r>
      <w:r>
        <w:rPr>
          <w:rFonts w:ascii="宋体" w:eastAsia="宋体" w:hAnsi="宋体" w:cs="宋体"/>
          <w:spacing w:val="11"/>
          <w:sz w:val="20"/>
          <w:szCs w:val="20"/>
        </w:rPr>
        <w:t>9</w:t>
      </w:r>
      <w:r>
        <w:rPr>
          <w:rFonts w:ascii="宋体" w:eastAsia="宋体" w:hAnsi="宋体" w:cs="宋体"/>
          <w:spacing w:val="-32"/>
          <w:sz w:val="20"/>
          <w:szCs w:val="20"/>
        </w:rPr>
        <w:t xml:space="preserve"> </w:t>
      </w:r>
      <w:r>
        <w:rPr>
          <w:rFonts w:ascii="宋体" w:eastAsia="宋体" w:hAnsi="宋体" w:cs="宋体"/>
          <w:spacing w:val="11"/>
          <w:sz w:val="20"/>
          <w:szCs w:val="20"/>
        </w:rPr>
        <w:t>0</w:t>
      </w:r>
      <w:r>
        <w:rPr>
          <w:rFonts w:ascii="宋体" w:eastAsia="宋体" w:hAnsi="宋体" w:cs="宋体"/>
          <w:spacing w:val="-38"/>
          <w:sz w:val="20"/>
          <w:szCs w:val="20"/>
        </w:rPr>
        <w:t xml:space="preserve"> </w:t>
      </w:r>
      <w:r>
        <w:rPr>
          <w:rFonts w:ascii="宋体" w:eastAsia="宋体" w:hAnsi="宋体" w:cs="宋体"/>
          <w:spacing w:val="11"/>
          <w:sz w:val="20"/>
          <w:szCs w:val="20"/>
        </w:rPr>
        <w:t>%</w:t>
      </w:r>
      <w:r>
        <w:rPr>
          <w:rFonts w:ascii="宋体" w:eastAsia="宋体" w:hAnsi="宋体" w:cs="宋体"/>
          <w:sz w:val="20"/>
          <w:szCs w:val="20"/>
        </w:rPr>
        <w:t xml:space="preserve"> </w:t>
      </w:r>
      <w:r>
        <w:rPr>
          <w:rFonts w:ascii="宋体" w:eastAsia="宋体" w:hAnsi="宋体" w:cs="宋体"/>
          <w:spacing w:val="14"/>
          <w:sz w:val="20"/>
          <w:szCs w:val="20"/>
        </w:rPr>
        <w:t>以上为正常，低于80%为不足。</w:t>
      </w:r>
    </w:p>
    <w:p w:rsidR="00EA40A3" w:rsidRDefault="00E86C16">
      <w:pPr>
        <w:spacing w:before="69" w:line="262" w:lineRule="auto"/>
        <w:ind w:left="60" w:right="7" w:firstLine="439"/>
        <w:jc w:val="both"/>
        <w:rPr>
          <w:rFonts w:ascii="宋体" w:eastAsia="宋体" w:hAnsi="宋体" w:cs="宋体"/>
          <w:sz w:val="20"/>
          <w:szCs w:val="20"/>
        </w:rPr>
      </w:pPr>
      <w:r>
        <w:rPr>
          <w:rFonts w:ascii="宋体" w:eastAsia="宋体" w:hAnsi="宋体" w:cs="宋体"/>
          <w:spacing w:val="26"/>
          <w:sz w:val="20"/>
          <w:szCs w:val="20"/>
        </w:rPr>
        <w:t>膳食能量的构成一般为，蛋白质供给的能量占10%～15%,脂肪占20%~</w:t>
      </w:r>
      <w:r>
        <w:rPr>
          <w:rFonts w:ascii="宋体" w:eastAsia="宋体" w:hAnsi="宋体" w:cs="宋体"/>
          <w:spacing w:val="18"/>
          <w:sz w:val="20"/>
          <w:szCs w:val="20"/>
        </w:rPr>
        <w:t xml:space="preserve"> </w:t>
      </w:r>
      <w:r>
        <w:rPr>
          <w:rFonts w:ascii="宋体" w:eastAsia="宋体" w:hAnsi="宋体" w:cs="宋体"/>
          <w:spacing w:val="21"/>
          <w:sz w:val="20"/>
          <w:szCs w:val="20"/>
        </w:rPr>
        <w:t>30%(其中饱和脂肪酸的能量不应超过总能量的10%),其余的能量由碳水化合</w:t>
      </w:r>
      <w:r>
        <w:rPr>
          <w:rFonts w:ascii="宋体" w:eastAsia="宋体" w:hAnsi="宋体" w:cs="宋体"/>
          <w:spacing w:val="10"/>
          <w:sz w:val="20"/>
          <w:szCs w:val="20"/>
        </w:rPr>
        <w:t xml:space="preserve"> </w:t>
      </w:r>
      <w:r>
        <w:rPr>
          <w:rFonts w:ascii="宋体" w:eastAsia="宋体" w:hAnsi="宋体" w:cs="宋体"/>
          <w:spacing w:val="15"/>
          <w:sz w:val="20"/>
          <w:szCs w:val="20"/>
        </w:rPr>
        <w:t>物提供，这样的配比较为合适。在生活消费水平</w:t>
      </w:r>
      <w:r>
        <w:rPr>
          <w:rFonts w:ascii="宋体" w:eastAsia="宋体" w:hAnsi="宋体" w:cs="宋体"/>
          <w:spacing w:val="14"/>
          <w:sz w:val="20"/>
          <w:szCs w:val="20"/>
        </w:rPr>
        <w:t>低，动物性食物和豆类摄入少</w:t>
      </w:r>
      <w:r>
        <w:rPr>
          <w:rFonts w:ascii="宋体" w:eastAsia="宋体" w:hAnsi="宋体" w:cs="宋体"/>
          <w:sz w:val="20"/>
          <w:szCs w:val="20"/>
        </w:rPr>
        <w:t xml:space="preserve"> </w:t>
      </w:r>
      <w:r>
        <w:rPr>
          <w:rFonts w:ascii="宋体" w:eastAsia="宋体" w:hAnsi="宋体" w:cs="宋体"/>
          <w:spacing w:val="17"/>
          <w:sz w:val="20"/>
          <w:szCs w:val="20"/>
        </w:rPr>
        <w:t>时，谷类、薯类摄取量相对较多，此类食物的能量占总能量的比例</w:t>
      </w:r>
      <w:r>
        <w:rPr>
          <w:rFonts w:ascii="宋体" w:eastAsia="宋体" w:hAnsi="宋体" w:cs="宋体"/>
          <w:spacing w:val="16"/>
          <w:sz w:val="20"/>
          <w:szCs w:val="20"/>
        </w:rPr>
        <w:t>高(&gt;70%),</w:t>
      </w:r>
      <w:r>
        <w:rPr>
          <w:rFonts w:ascii="宋体" w:eastAsia="宋体" w:hAnsi="宋体" w:cs="宋体"/>
          <w:sz w:val="20"/>
          <w:szCs w:val="20"/>
        </w:rPr>
        <w:t xml:space="preserve"> </w:t>
      </w:r>
      <w:r>
        <w:rPr>
          <w:rFonts w:ascii="宋体" w:eastAsia="宋体" w:hAnsi="宋体" w:cs="宋体"/>
          <w:spacing w:val="6"/>
          <w:sz w:val="20"/>
          <w:szCs w:val="20"/>
        </w:rPr>
        <w:t>很容易产生蛋白质不足和某些维生素、矿物质的缺乏现象。</w:t>
      </w:r>
    </w:p>
    <w:p w:rsidR="00EA40A3" w:rsidRDefault="00E86C16">
      <w:pPr>
        <w:spacing w:before="77" w:line="268" w:lineRule="auto"/>
        <w:ind w:left="50" w:right="48" w:firstLine="439"/>
        <w:jc w:val="both"/>
        <w:rPr>
          <w:rFonts w:ascii="宋体" w:eastAsia="宋体" w:hAnsi="宋体" w:cs="宋体"/>
          <w:sz w:val="20"/>
          <w:szCs w:val="20"/>
        </w:rPr>
      </w:pPr>
      <w:r>
        <w:rPr>
          <w:rFonts w:ascii="宋体" w:eastAsia="宋体" w:hAnsi="宋体" w:cs="宋体"/>
          <w:spacing w:val="3"/>
          <w:sz w:val="20"/>
          <w:szCs w:val="20"/>
        </w:rPr>
        <w:t>蛋白质的营养状况评价，首先要看摄入量是否满足，然后分析品质状况。</w:t>
      </w:r>
      <w:r>
        <w:rPr>
          <w:rFonts w:ascii="宋体" w:eastAsia="宋体" w:hAnsi="宋体" w:cs="宋体"/>
          <w:spacing w:val="50"/>
          <w:sz w:val="20"/>
          <w:szCs w:val="20"/>
        </w:rPr>
        <w:t xml:space="preserve"> </w:t>
      </w:r>
      <w:r>
        <w:rPr>
          <w:rFonts w:ascii="宋体" w:eastAsia="宋体" w:hAnsi="宋体" w:cs="宋体"/>
          <w:spacing w:val="3"/>
          <w:sz w:val="20"/>
          <w:szCs w:val="20"/>
        </w:rPr>
        <w:t>一</w:t>
      </w:r>
      <w:r>
        <w:rPr>
          <w:rFonts w:ascii="宋体" w:eastAsia="宋体" w:hAnsi="宋体" w:cs="宋体"/>
          <w:sz w:val="20"/>
          <w:szCs w:val="20"/>
        </w:rPr>
        <w:t xml:space="preserve"> </w:t>
      </w:r>
      <w:r>
        <w:rPr>
          <w:rFonts w:ascii="宋体" w:eastAsia="宋体" w:hAnsi="宋体" w:cs="宋体"/>
          <w:spacing w:val="19"/>
          <w:sz w:val="20"/>
          <w:szCs w:val="20"/>
        </w:rPr>
        <w:t>般来说，动物性蛋白质和豆类蛋白质应占全部蛋白质的30%以上，低于10%就</w:t>
      </w:r>
      <w:r>
        <w:rPr>
          <w:rFonts w:ascii="宋体" w:eastAsia="宋体" w:hAnsi="宋体" w:cs="宋体"/>
          <w:spacing w:val="4"/>
          <w:sz w:val="20"/>
          <w:szCs w:val="20"/>
        </w:rPr>
        <w:t xml:space="preserve"> </w:t>
      </w:r>
      <w:r>
        <w:rPr>
          <w:rFonts w:ascii="宋体" w:eastAsia="宋体" w:hAnsi="宋体" w:cs="宋体"/>
          <w:spacing w:val="8"/>
          <w:sz w:val="20"/>
          <w:szCs w:val="20"/>
        </w:rPr>
        <w:t>认为是差的。我国膳食中蛋白质的来源之一是谷类，其中赖氨酸、苏氨酸等为限</w:t>
      </w:r>
      <w:r>
        <w:rPr>
          <w:rFonts w:ascii="宋体" w:eastAsia="宋体" w:hAnsi="宋体" w:cs="宋体"/>
          <w:spacing w:val="10"/>
          <w:sz w:val="20"/>
          <w:szCs w:val="20"/>
        </w:rPr>
        <w:t xml:space="preserve"> </w:t>
      </w:r>
      <w:r>
        <w:rPr>
          <w:rFonts w:ascii="宋体" w:eastAsia="宋体" w:hAnsi="宋体" w:cs="宋体"/>
          <w:spacing w:val="8"/>
          <w:sz w:val="20"/>
          <w:szCs w:val="20"/>
        </w:rPr>
        <w:t>制性氨基酸，应通过摄入动物性食物和豆类，互补搭配，提高膳食蛋白质的生物</w:t>
      </w:r>
      <w:r>
        <w:rPr>
          <w:rFonts w:ascii="宋体" w:eastAsia="宋体" w:hAnsi="宋体" w:cs="宋体"/>
          <w:spacing w:val="9"/>
          <w:sz w:val="20"/>
          <w:szCs w:val="20"/>
        </w:rPr>
        <w:t xml:space="preserve"> </w:t>
      </w:r>
      <w:r>
        <w:rPr>
          <w:rFonts w:ascii="宋体" w:eastAsia="宋体" w:hAnsi="宋体" w:cs="宋体"/>
          <w:spacing w:val="16"/>
          <w:sz w:val="20"/>
          <w:szCs w:val="20"/>
        </w:rPr>
        <w:t xml:space="preserve">价。当能量供应充足时，蛋白质摄入量在供给量的80%以上，多数成年人不致 </w:t>
      </w:r>
      <w:r>
        <w:rPr>
          <w:rFonts w:ascii="宋体" w:eastAsia="宋体" w:hAnsi="宋体" w:cs="宋体"/>
          <w:spacing w:val="6"/>
          <w:sz w:val="20"/>
          <w:szCs w:val="20"/>
        </w:rPr>
        <w:t>产生缺乏症，长期低于这一水平可能使部分儿童出现缺乏症状。</w:t>
      </w:r>
    </w:p>
    <w:p w:rsidR="00EA40A3" w:rsidRDefault="00E86C16">
      <w:pPr>
        <w:spacing w:before="51" w:line="258" w:lineRule="auto"/>
        <w:ind w:left="60" w:firstLine="400"/>
        <w:jc w:val="both"/>
        <w:rPr>
          <w:rFonts w:ascii="宋体" w:eastAsia="宋体" w:hAnsi="宋体" w:cs="宋体"/>
          <w:sz w:val="20"/>
          <w:szCs w:val="20"/>
        </w:rPr>
      </w:pPr>
      <w:r>
        <w:rPr>
          <w:rFonts w:ascii="宋体" w:eastAsia="宋体" w:hAnsi="宋体" w:cs="宋体"/>
          <w:spacing w:val="4"/>
          <w:sz w:val="20"/>
          <w:szCs w:val="20"/>
        </w:rPr>
        <w:t>在进行膳食营养评价时，应当考虑到被调查者的工作和生活环</w:t>
      </w:r>
      <w:r>
        <w:rPr>
          <w:rFonts w:ascii="宋体" w:eastAsia="宋体" w:hAnsi="宋体" w:cs="宋体"/>
          <w:spacing w:val="3"/>
          <w:sz w:val="20"/>
          <w:szCs w:val="20"/>
        </w:rPr>
        <w:t>境的特殊需要，</w:t>
      </w:r>
      <w:r>
        <w:rPr>
          <w:rFonts w:ascii="宋体" w:eastAsia="宋体" w:hAnsi="宋体" w:cs="宋体"/>
          <w:sz w:val="20"/>
          <w:szCs w:val="20"/>
        </w:rPr>
        <w:t xml:space="preserve"> </w:t>
      </w:r>
      <w:r>
        <w:rPr>
          <w:rFonts w:ascii="宋体" w:eastAsia="宋体" w:hAnsi="宋体" w:cs="宋体"/>
          <w:spacing w:val="1"/>
          <w:sz w:val="20"/>
          <w:szCs w:val="20"/>
        </w:rPr>
        <w:t>如高温、寒冷、高海拔、噪声、接触有害化学物质等特殊环境下的作业者需要。</w:t>
      </w:r>
    </w:p>
    <w:p w:rsidR="00EA40A3" w:rsidRDefault="00E86C16">
      <w:pPr>
        <w:spacing w:before="193" w:line="223" w:lineRule="auto"/>
        <w:ind w:left="70"/>
        <w:rPr>
          <w:rFonts w:ascii="黑体" w:eastAsia="黑体" w:hAnsi="黑体" w:cs="黑体"/>
          <w:sz w:val="20"/>
          <w:szCs w:val="20"/>
        </w:rPr>
      </w:pPr>
      <w:r>
        <w:rPr>
          <w:rFonts w:ascii="黑体" w:eastAsia="黑体" w:hAnsi="黑体" w:cs="黑体"/>
          <w:spacing w:val="-4"/>
          <w:sz w:val="20"/>
          <w:szCs w:val="20"/>
        </w:rPr>
        <w:t>12.2.2</w:t>
      </w:r>
      <w:r>
        <w:rPr>
          <w:rFonts w:ascii="黑体" w:eastAsia="黑体" w:hAnsi="黑体" w:cs="黑体"/>
          <w:spacing w:val="12"/>
          <w:sz w:val="20"/>
          <w:szCs w:val="20"/>
        </w:rPr>
        <w:t xml:space="preserve">   </w:t>
      </w:r>
      <w:r>
        <w:rPr>
          <w:rFonts w:ascii="黑体" w:eastAsia="黑体" w:hAnsi="黑体" w:cs="黑体"/>
          <w:spacing w:val="-4"/>
          <w:sz w:val="20"/>
          <w:szCs w:val="20"/>
        </w:rPr>
        <w:t>体</w:t>
      </w:r>
      <w:r>
        <w:rPr>
          <w:rFonts w:ascii="黑体" w:eastAsia="黑体" w:hAnsi="黑体" w:cs="黑体"/>
          <w:spacing w:val="-31"/>
          <w:sz w:val="20"/>
          <w:szCs w:val="20"/>
        </w:rPr>
        <w:t xml:space="preserve"> </w:t>
      </w:r>
      <w:r>
        <w:rPr>
          <w:rFonts w:ascii="黑体" w:eastAsia="黑体" w:hAnsi="黑体" w:cs="黑体"/>
          <w:spacing w:val="-4"/>
          <w:sz w:val="20"/>
          <w:szCs w:val="20"/>
        </w:rPr>
        <w:t>格</w:t>
      </w:r>
      <w:r>
        <w:rPr>
          <w:rFonts w:ascii="黑体" w:eastAsia="黑体" w:hAnsi="黑体" w:cs="黑体"/>
          <w:spacing w:val="-36"/>
          <w:sz w:val="20"/>
          <w:szCs w:val="20"/>
        </w:rPr>
        <w:t xml:space="preserve"> </w:t>
      </w:r>
      <w:r>
        <w:rPr>
          <w:rFonts w:ascii="黑体" w:eastAsia="黑体" w:hAnsi="黑体" w:cs="黑体"/>
          <w:spacing w:val="-4"/>
          <w:sz w:val="20"/>
          <w:szCs w:val="20"/>
        </w:rPr>
        <w:t>检</w:t>
      </w:r>
      <w:r>
        <w:rPr>
          <w:rFonts w:ascii="黑体" w:eastAsia="黑体" w:hAnsi="黑体" w:cs="黑体"/>
          <w:spacing w:val="-33"/>
          <w:sz w:val="20"/>
          <w:szCs w:val="20"/>
        </w:rPr>
        <w:t xml:space="preserve"> </w:t>
      </w:r>
      <w:r>
        <w:rPr>
          <w:rFonts w:ascii="黑体" w:eastAsia="黑体" w:hAnsi="黑体" w:cs="黑体"/>
          <w:spacing w:val="-4"/>
          <w:sz w:val="20"/>
          <w:szCs w:val="20"/>
        </w:rPr>
        <w:t>查</w:t>
      </w:r>
    </w:p>
    <w:p w:rsidR="00EA40A3" w:rsidRDefault="00E86C16">
      <w:pPr>
        <w:spacing w:before="236" w:line="255" w:lineRule="auto"/>
        <w:ind w:left="40" w:right="70" w:firstLine="430"/>
        <w:jc w:val="both"/>
        <w:rPr>
          <w:rFonts w:ascii="宋体" w:eastAsia="宋体" w:hAnsi="宋体" w:cs="宋体"/>
          <w:sz w:val="20"/>
          <w:szCs w:val="20"/>
        </w:rPr>
      </w:pPr>
      <w:r>
        <w:rPr>
          <w:rFonts w:ascii="宋体" w:eastAsia="宋体" w:hAnsi="宋体" w:cs="宋体"/>
          <w:spacing w:val="7"/>
          <w:sz w:val="20"/>
          <w:szCs w:val="20"/>
        </w:rPr>
        <w:t>营养状况的体格检查，就是观察受检者因为机体内长期缺乏某种或数种营养</w:t>
      </w:r>
      <w:r>
        <w:rPr>
          <w:rFonts w:ascii="宋体" w:eastAsia="宋体" w:hAnsi="宋体" w:cs="宋体"/>
          <w:spacing w:val="17"/>
          <w:sz w:val="20"/>
          <w:szCs w:val="20"/>
        </w:rPr>
        <w:t xml:space="preserve"> </w:t>
      </w:r>
      <w:r>
        <w:rPr>
          <w:rFonts w:ascii="宋体" w:eastAsia="宋体" w:hAnsi="宋体" w:cs="宋体"/>
          <w:spacing w:val="7"/>
          <w:sz w:val="20"/>
          <w:szCs w:val="20"/>
        </w:rPr>
        <w:t>素，以及摄入不足而引起的生长发育不良等一系列临床症状和体征。体格检查通</w:t>
      </w:r>
      <w:r>
        <w:rPr>
          <w:rFonts w:ascii="宋体" w:eastAsia="宋体" w:hAnsi="宋体" w:cs="宋体"/>
          <w:spacing w:val="11"/>
          <w:sz w:val="20"/>
          <w:szCs w:val="20"/>
        </w:rPr>
        <w:t xml:space="preserve"> </w:t>
      </w:r>
      <w:r>
        <w:rPr>
          <w:rFonts w:ascii="宋体" w:eastAsia="宋体" w:hAnsi="宋体" w:cs="宋体"/>
          <w:spacing w:val="6"/>
          <w:sz w:val="20"/>
          <w:szCs w:val="20"/>
        </w:rPr>
        <w:t>常包括体格检查、某些有关的生理功能检查和缺乏症征检查。</w:t>
      </w:r>
    </w:p>
    <w:p w:rsidR="00EA40A3" w:rsidRDefault="00E86C16">
      <w:pPr>
        <w:spacing w:before="189" w:line="220" w:lineRule="auto"/>
        <w:ind w:left="60"/>
        <w:rPr>
          <w:rFonts w:ascii="仿宋" w:eastAsia="仿宋" w:hAnsi="仿宋" w:cs="仿宋"/>
          <w:sz w:val="20"/>
          <w:szCs w:val="20"/>
        </w:rPr>
      </w:pPr>
      <w:r>
        <w:rPr>
          <w:rFonts w:ascii="仿宋" w:eastAsia="仿宋" w:hAnsi="仿宋" w:cs="仿宋"/>
          <w:spacing w:val="-11"/>
          <w:sz w:val="20"/>
          <w:szCs w:val="20"/>
        </w:rPr>
        <w:t>1.</w:t>
      </w:r>
      <w:r>
        <w:rPr>
          <w:rFonts w:ascii="仿宋" w:eastAsia="仿宋" w:hAnsi="仿宋" w:cs="仿宋"/>
          <w:spacing w:val="-27"/>
          <w:sz w:val="20"/>
          <w:szCs w:val="20"/>
        </w:rPr>
        <w:t xml:space="preserve"> </w:t>
      </w:r>
      <w:r>
        <w:rPr>
          <w:rFonts w:ascii="仿宋" w:eastAsia="仿宋" w:hAnsi="仿宋" w:cs="仿宋"/>
          <w:spacing w:val="-11"/>
          <w:sz w:val="20"/>
          <w:szCs w:val="20"/>
        </w:rPr>
        <w:t>体</w:t>
      </w:r>
      <w:r>
        <w:rPr>
          <w:rFonts w:ascii="仿宋" w:eastAsia="仿宋" w:hAnsi="仿宋" w:cs="仿宋"/>
          <w:spacing w:val="-28"/>
          <w:sz w:val="20"/>
          <w:szCs w:val="20"/>
        </w:rPr>
        <w:t xml:space="preserve"> </w:t>
      </w:r>
      <w:r>
        <w:rPr>
          <w:rFonts w:ascii="仿宋" w:eastAsia="仿宋" w:hAnsi="仿宋" w:cs="仿宋"/>
          <w:spacing w:val="-11"/>
          <w:sz w:val="20"/>
          <w:szCs w:val="20"/>
        </w:rPr>
        <w:t>格</w:t>
      </w:r>
      <w:r>
        <w:rPr>
          <w:rFonts w:ascii="仿宋" w:eastAsia="仿宋" w:hAnsi="仿宋" w:cs="仿宋"/>
          <w:spacing w:val="-27"/>
          <w:sz w:val="20"/>
          <w:szCs w:val="20"/>
        </w:rPr>
        <w:t xml:space="preserve"> </w:t>
      </w:r>
      <w:r>
        <w:rPr>
          <w:rFonts w:ascii="仿宋" w:eastAsia="仿宋" w:hAnsi="仿宋" w:cs="仿宋"/>
          <w:spacing w:val="-11"/>
          <w:sz w:val="20"/>
          <w:szCs w:val="20"/>
        </w:rPr>
        <w:t>检</w:t>
      </w:r>
      <w:r>
        <w:rPr>
          <w:rFonts w:ascii="仿宋" w:eastAsia="仿宋" w:hAnsi="仿宋" w:cs="仿宋"/>
          <w:spacing w:val="-26"/>
          <w:sz w:val="20"/>
          <w:szCs w:val="20"/>
        </w:rPr>
        <w:t xml:space="preserve"> </w:t>
      </w:r>
      <w:r>
        <w:rPr>
          <w:rFonts w:ascii="仿宋" w:eastAsia="仿宋" w:hAnsi="仿宋" w:cs="仿宋"/>
          <w:spacing w:val="-11"/>
          <w:sz w:val="20"/>
          <w:szCs w:val="20"/>
        </w:rPr>
        <w:t>查</w:t>
      </w:r>
    </w:p>
    <w:p w:rsidR="00EA40A3" w:rsidRDefault="00E86C16">
      <w:pPr>
        <w:spacing w:before="244" w:line="234" w:lineRule="auto"/>
        <w:ind w:left="20" w:right="91" w:firstLine="430"/>
        <w:rPr>
          <w:rFonts w:ascii="宋体" w:eastAsia="宋体" w:hAnsi="宋体" w:cs="宋体"/>
          <w:sz w:val="20"/>
          <w:szCs w:val="20"/>
        </w:rPr>
      </w:pPr>
      <w:r>
        <w:rPr>
          <w:rFonts w:ascii="宋体" w:eastAsia="宋体" w:hAnsi="宋体" w:cs="宋体"/>
          <w:spacing w:val="14"/>
          <w:sz w:val="20"/>
          <w:szCs w:val="20"/>
        </w:rPr>
        <w:t>身体的生长发育和正常体形的维持受遗传影响，也受营养等环境因素的影</w:t>
      </w:r>
      <w:r>
        <w:rPr>
          <w:rFonts w:ascii="宋体" w:eastAsia="宋体" w:hAnsi="宋体" w:cs="宋体"/>
          <w:sz w:val="20"/>
          <w:szCs w:val="20"/>
        </w:rPr>
        <w:t xml:space="preserve"> </w:t>
      </w:r>
      <w:r>
        <w:rPr>
          <w:rFonts w:ascii="宋体" w:eastAsia="宋体" w:hAnsi="宋体" w:cs="宋体"/>
          <w:spacing w:val="-3"/>
          <w:sz w:val="20"/>
          <w:szCs w:val="20"/>
        </w:rPr>
        <w:t>响。</w:t>
      </w:r>
      <w:r>
        <w:rPr>
          <w:rFonts w:ascii="宋体" w:eastAsia="宋体" w:hAnsi="宋体" w:cs="宋体"/>
          <w:spacing w:val="-16"/>
          <w:sz w:val="20"/>
          <w:szCs w:val="20"/>
        </w:rPr>
        <w:t xml:space="preserve"> </w:t>
      </w:r>
      <w:r>
        <w:rPr>
          <w:rFonts w:ascii="宋体" w:eastAsia="宋体" w:hAnsi="宋体" w:cs="宋体"/>
          <w:spacing w:val="-3"/>
          <w:sz w:val="20"/>
          <w:szCs w:val="20"/>
        </w:rPr>
        <w:t>一般要测量以下指标：</w:t>
      </w:r>
    </w:p>
    <w:p w:rsidR="00EA40A3" w:rsidRDefault="00EA40A3">
      <w:pPr>
        <w:sectPr w:rsidR="00EA40A3">
          <w:footerReference w:type="default" r:id="rId322"/>
          <w:pgSz w:w="9220" w:h="13360"/>
          <w:pgMar w:top="400" w:right="930" w:bottom="1250" w:left="899" w:header="0" w:footer="1068" w:gutter="0"/>
          <w:cols w:space="720" w:equalWidth="0">
            <w:col w:w="7390"/>
          </w:cols>
        </w:sectPr>
      </w:pPr>
    </w:p>
    <w:p w:rsidR="00EA40A3" w:rsidRDefault="00E86C16">
      <w:pPr>
        <w:spacing w:before="43" w:line="222" w:lineRule="auto"/>
        <w:ind w:left="30"/>
        <w:rPr>
          <w:rFonts w:ascii="仿宋" w:eastAsia="仿宋" w:hAnsi="仿宋" w:cs="仿宋"/>
          <w:sz w:val="20"/>
          <w:szCs w:val="20"/>
        </w:rPr>
      </w:pPr>
      <w:r>
        <w:rPr>
          <w:rFonts w:ascii="仿宋" w:eastAsia="仿宋" w:hAnsi="仿宋" w:cs="仿宋"/>
          <w:spacing w:val="21"/>
          <w:sz w:val="20"/>
          <w:szCs w:val="20"/>
        </w:rPr>
        <w:t>1)体重</w:t>
      </w:r>
    </w:p>
    <w:p w:rsidR="00EA40A3" w:rsidRDefault="00E86C16">
      <w:pPr>
        <w:spacing w:before="81" w:line="219" w:lineRule="auto"/>
        <w:ind w:left="450"/>
        <w:rPr>
          <w:rFonts w:ascii="宋体" w:eastAsia="宋体" w:hAnsi="宋体" w:cs="宋体"/>
          <w:sz w:val="20"/>
          <w:szCs w:val="20"/>
        </w:rPr>
      </w:pPr>
      <w:r>
        <w:rPr>
          <w:rFonts w:ascii="宋体" w:eastAsia="宋体" w:hAnsi="宋体" w:cs="宋体"/>
          <w:spacing w:val="3"/>
          <w:sz w:val="20"/>
          <w:szCs w:val="20"/>
        </w:rPr>
        <w:t>我国常用的标准体重计算公式为：</w:t>
      </w:r>
    </w:p>
    <w:p w:rsidR="00EA40A3" w:rsidRDefault="00E86C16">
      <w:pPr>
        <w:spacing w:before="40" w:line="212" w:lineRule="auto"/>
        <w:ind w:left="1060"/>
        <w:rPr>
          <w:rFonts w:ascii="Times New Roman" w:eastAsia="Times New Roman" w:hAnsi="Times New Roman" w:cs="Times New Roman"/>
          <w:sz w:val="20"/>
          <w:szCs w:val="20"/>
        </w:rPr>
      </w:pPr>
      <w:r>
        <w:rPr>
          <w:rFonts w:ascii="Times New Roman" w:eastAsia="Times New Roman" w:hAnsi="Times New Roman" w:cs="Times New Roman"/>
          <w:sz w:val="20"/>
          <w:szCs w:val="20"/>
        </w:rPr>
        <w:t>Broca</w:t>
      </w:r>
      <w:r>
        <w:rPr>
          <w:rFonts w:ascii="Times New Roman" w:eastAsia="Times New Roman" w:hAnsi="Times New Roman" w:cs="Times New Roman"/>
          <w:spacing w:val="22"/>
          <w:sz w:val="20"/>
          <w:szCs w:val="20"/>
        </w:rPr>
        <w:t xml:space="preserve"> </w:t>
      </w:r>
      <w:r>
        <w:rPr>
          <w:rFonts w:ascii="宋体" w:eastAsia="宋体" w:hAnsi="宋体" w:cs="宋体"/>
          <w:spacing w:val="7"/>
          <w:sz w:val="20"/>
          <w:szCs w:val="20"/>
        </w:rPr>
        <w:t>改良式</w:t>
      </w:r>
      <w:r>
        <w:rPr>
          <w:rFonts w:ascii="宋体" w:eastAsia="宋体" w:hAnsi="宋体" w:cs="宋体"/>
          <w:spacing w:val="1"/>
          <w:sz w:val="20"/>
          <w:szCs w:val="20"/>
        </w:rPr>
        <w:t xml:space="preserve">  </w:t>
      </w:r>
      <w:r>
        <w:rPr>
          <w:rFonts w:ascii="宋体" w:eastAsia="宋体" w:hAnsi="宋体" w:cs="宋体"/>
          <w:spacing w:val="7"/>
          <w:sz w:val="20"/>
          <w:szCs w:val="20"/>
        </w:rPr>
        <w:t>标准体重</w:t>
      </w:r>
      <w:r>
        <w:rPr>
          <w:rFonts w:ascii="宋体" w:eastAsia="宋体" w:hAnsi="宋体" w:cs="宋体"/>
          <w:spacing w:val="1"/>
          <w:sz w:val="20"/>
          <w:szCs w:val="20"/>
        </w:rPr>
        <w:t xml:space="preserve"> </w:t>
      </w:r>
      <w:r>
        <w:rPr>
          <w:rFonts w:ascii="Times New Roman" w:eastAsia="Times New Roman" w:hAnsi="Times New Roman" w:cs="Times New Roman"/>
          <w:spacing w:val="7"/>
          <w:sz w:val="20"/>
          <w:szCs w:val="20"/>
        </w:rPr>
        <w:t>(</w:t>
      </w:r>
      <w:r>
        <w:rPr>
          <w:rFonts w:ascii="Times New Roman" w:eastAsia="Times New Roman" w:hAnsi="Times New Roman" w:cs="Times New Roman"/>
          <w:sz w:val="20"/>
          <w:szCs w:val="20"/>
        </w:rPr>
        <w:t>kg</w:t>
      </w:r>
      <w:r>
        <w:rPr>
          <w:rFonts w:ascii="Times New Roman" w:eastAsia="Times New Roman" w:hAnsi="Times New Roman" w:cs="Times New Roman"/>
          <w:spacing w:val="7"/>
          <w:sz w:val="20"/>
          <w:szCs w:val="20"/>
        </w:rPr>
        <w:t>)=</w:t>
      </w:r>
    </w:p>
    <w:p w:rsidR="00EA40A3" w:rsidRDefault="00E86C16">
      <w:pPr>
        <w:spacing w:before="106" w:line="214" w:lineRule="auto"/>
        <w:ind w:right="174"/>
        <w:jc w:val="right"/>
        <w:rPr>
          <w:rFonts w:ascii="宋体" w:eastAsia="宋体" w:hAnsi="宋体" w:cs="宋体"/>
          <w:sz w:val="20"/>
          <w:szCs w:val="20"/>
        </w:rPr>
      </w:pPr>
      <w:r>
        <w:rPr>
          <w:rFonts w:ascii="宋体" w:eastAsia="宋体" w:hAnsi="宋体" w:cs="宋体"/>
          <w:spacing w:val="5"/>
          <w:sz w:val="20"/>
          <w:szCs w:val="20"/>
        </w:rPr>
        <w:t>平田公式     标准体重</w:t>
      </w:r>
      <w:r>
        <w:rPr>
          <w:rFonts w:ascii="宋体" w:eastAsia="宋体" w:hAnsi="宋体" w:cs="宋体"/>
          <w:spacing w:val="4"/>
          <w:sz w:val="20"/>
          <w:szCs w:val="20"/>
        </w:rPr>
        <w:t xml:space="preserve"> </w:t>
      </w:r>
      <w:r>
        <w:rPr>
          <w:rFonts w:ascii="宋体" w:eastAsia="宋体" w:hAnsi="宋体" w:cs="宋体"/>
          <w:spacing w:val="5"/>
          <w:sz w:val="20"/>
          <w:szCs w:val="20"/>
        </w:rPr>
        <w:t>(</w:t>
      </w:r>
      <w:r>
        <w:rPr>
          <w:rFonts w:ascii="宋体" w:eastAsia="宋体" w:hAnsi="宋体" w:cs="宋体"/>
          <w:sz w:val="20"/>
          <w:szCs w:val="20"/>
        </w:rPr>
        <w:t>kg</w:t>
      </w:r>
      <w:r>
        <w:rPr>
          <w:rFonts w:ascii="宋体" w:eastAsia="宋体" w:hAnsi="宋体" w:cs="宋体"/>
          <w:spacing w:val="5"/>
          <w:sz w:val="20"/>
          <w:szCs w:val="20"/>
        </w:rPr>
        <w:t>)=</w:t>
      </w:r>
    </w:p>
    <w:p w:rsidR="00EA40A3" w:rsidRDefault="00E86C16">
      <w:pPr>
        <w:spacing w:before="35" w:line="184" w:lineRule="auto"/>
        <w:ind w:left="10"/>
        <w:rPr>
          <w:rFonts w:ascii="宋体" w:eastAsia="宋体" w:hAnsi="宋体" w:cs="宋体"/>
          <w:sz w:val="20"/>
          <w:szCs w:val="20"/>
        </w:rPr>
      </w:pPr>
      <w:r>
        <w:rPr>
          <w:rFonts w:ascii="宋体" w:eastAsia="宋体" w:hAnsi="宋体" w:cs="宋体"/>
          <w:spacing w:val="13"/>
          <w:sz w:val="20"/>
          <w:szCs w:val="20"/>
        </w:rPr>
        <w:t>2)身高、胸围及体格营养指数</w:t>
      </w:r>
    </w:p>
    <w:p w:rsidR="00EA40A3" w:rsidRDefault="00E86C16">
      <w:pPr>
        <w:spacing w:line="14" w:lineRule="auto"/>
        <w:rPr>
          <w:sz w:val="2"/>
        </w:rPr>
      </w:pPr>
      <w:r>
        <w:rPr>
          <w:sz w:val="2"/>
          <w:szCs w:val="2"/>
        </w:rPr>
        <w:br w:type="column"/>
      </w:r>
    </w:p>
    <w:p w:rsidR="00EA40A3" w:rsidRDefault="00EA40A3">
      <w:pPr>
        <w:spacing w:line="285" w:lineRule="auto"/>
      </w:pPr>
    </w:p>
    <w:p w:rsidR="00EA40A3" w:rsidRDefault="00EA40A3">
      <w:pPr>
        <w:spacing w:line="286" w:lineRule="auto"/>
      </w:pPr>
    </w:p>
    <w:p w:rsidR="00EA40A3" w:rsidRDefault="00E86C16">
      <w:pPr>
        <w:spacing w:before="66" w:line="212" w:lineRule="auto"/>
        <w:rPr>
          <w:rFonts w:ascii="宋体" w:eastAsia="宋体" w:hAnsi="宋体" w:cs="宋体"/>
          <w:sz w:val="20"/>
          <w:szCs w:val="20"/>
        </w:rPr>
      </w:pPr>
      <w:r>
        <w:rPr>
          <w:rFonts w:ascii="宋体" w:eastAsia="宋体" w:hAnsi="宋体" w:cs="宋体"/>
          <w:spacing w:val="-2"/>
          <w:sz w:val="20"/>
          <w:szCs w:val="20"/>
        </w:rPr>
        <w:t>身高</w:t>
      </w:r>
      <w:r>
        <w:rPr>
          <w:rFonts w:ascii="宋体" w:eastAsia="宋体" w:hAnsi="宋体" w:cs="宋体"/>
          <w:spacing w:val="9"/>
          <w:sz w:val="20"/>
          <w:szCs w:val="20"/>
        </w:rPr>
        <w:t xml:space="preserve"> </w:t>
      </w:r>
      <w:r>
        <w:rPr>
          <w:rFonts w:ascii="Times New Roman" w:eastAsia="Times New Roman" w:hAnsi="Times New Roman" w:cs="Times New Roman"/>
          <w:spacing w:val="-2"/>
          <w:sz w:val="20"/>
          <w:szCs w:val="20"/>
        </w:rPr>
        <w:t>(cm)-</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pacing w:val="-2"/>
          <w:sz w:val="20"/>
          <w:szCs w:val="20"/>
        </w:rPr>
        <w:t>105</w:t>
      </w:r>
      <w:r>
        <w:rPr>
          <w:rFonts w:ascii="宋体" w:eastAsia="宋体" w:hAnsi="宋体" w:cs="宋体"/>
          <w:spacing w:val="-2"/>
          <w:sz w:val="20"/>
          <w:szCs w:val="20"/>
        </w:rPr>
        <w:t>。</w:t>
      </w:r>
    </w:p>
    <w:p w:rsidR="00EA40A3" w:rsidRDefault="00E86C16">
      <w:pPr>
        <w:spacing w:before="107" w:line="219" w:lineRule="auto"/>
        <w:ind w:left="89"/>
        <w:rPr>
          <w:rFonts w:ascii="宋体" w:eastAsia="宋体" w:hAnsi="宋体" w:cs="宋体"/>
          <w:sz w:val="20"/>
          <w:szCs w:val="20"/>
        </w:rPr>
      </w:pPr>
      <w:r>
        <w:rPr>
          <w:rFonts w:ascii="宋体" w:eastAsia="宋体" w:hAnsi="宋体" w:cs="宋体"/>
          <w:spacing w:val="-1"/>
          <w:sz w:val="20"/>
          <w:szCs w:val="20"/>
        </w:rPr>
        <w:t>[身高</w:t>
      </w:r>
      <w:r>
        <w:rPr>
          <w:rFonts w:ascii="宋体" w:eastAsia="宋体" w:hAnsi="宋体" w:cs="宋体"/>
          <w:spacing w:val="9"/>
          <w:sz w:val="20"/>
          <w:szCs w:val="20"/>
        </w:rPr>
        <w:t xml:space="preserve"> </w:t>
      </w:r>
      <w:r>
        <w:rPr>
          <w:rFonts w:ascii="宋体" w:eastAsia="宋体" w:hAnsi="宋体" w:cs="宋体"/>
          <w:spacing w:val="-1"/>
          <w:sz w:val="20"/>
          <w:szCs w:val="20"/>
        </w:rPr>
        <w:t>(cm)-100]×0.9。</w:t>
      </w:r>
    </w:p>
    <w:p w:rsidR="00EA40A3" w:rsidRDefault="00EA40A3">
      <w:pPr>
        <w:sectPr w:rsidR="00EA40A3">
          <w:type w:val="continuous"/>
          <w:pgSz w:w="9220" w:h="13360"/>
          <w:pgMar w:top="400" w:right="930" w:bottom="1250" w:left="899" w:header="0" w:footer="1068" w:gutter="0"/>
          <w:cols w:num="2" w:space="720" w:equalWidth="0">
            <w:col w:w="4021" w:space="100"/>
            <w:col w:w="3270"/>
          </w:cols>
        </w:sectPr>
      </w:pPr>
    </w:p>
    <w:p w:rsidR="00EA40A3" w:rsidRDefault="00E86C16">
      <w:pPr>
        <w:spacing w:before="129" w:line="237" w:lineRule="auto"/>
        <w:ind w:left="20" w:right="129" w:firstLine="410"/>
        <w:rPr>
          <w:rFonts w:ascii="宋体" w:eastAsia="宋体" w:hAnsi="宋体" w:cs="宋体"/>
          <w:sz w:val="20"/>
          <w:szCs w:val="20"/>
        </w:rPr>
      </w:pPr>
      <w:r>
        <w:rPr>
          <w:rFonts w:ascii="宋体" w:eastAsia="宋体" w:hAnsi="宋体" w:cs="宋体"/>
          <w:spacing w:val="23"/>
          <w:sz w:val="20"/>
          <w:szCs w:val="20"/>
        </w:rPr>
        <w:t>用于学龄以后各年龄的评价标准：正常范围18.5～22.9,轻度消瘦17~</w:t>
      </w:r>
      <w:r>
        <w:rPr>
          <w:rFonts w:ascii="宋体" w:eastAsia="宋体" w:hAnsi="宋体" w:cs="宋体"/>
          <w:spacing w:val="1"/>
          <w:sz w:val="20"/>
          <w:szCs w:val="20"/>
        </w:rPr>
        <w:t xml:space="preserve"> </w:t>
      </w:r>
      <w:r>
        <w:rPr>
          <w:rFonts w:ascii="宋体" w:eastAsia="宋体" w:hAnsi="宋体" w:cs="宋体"/>
          <w:spacing w:val="19"/>
          <w:sz w:val="20"/>
          <w:szCs w:val="20"/>
        </w:rPr>
        <w:t>18.4,中度消瘦16～16.9,重度消瘦&lt;16,超重23～24.9,肥胖25～29.9。</w:t>
      </w:r>
    </w:p>
    <w:p w:rsidR="00EA40A3" w:rsidRDefault="00E86C16">
      <w:pPr>
        <w:spacing w:before="70" w:line="440" w:lineRule="exact"/>
        <w:ind w:firstLine="2479"/>
        <w:textAlignment w:val="center"/>
      </w:pPr>
      <w:r>
        <w:rPr>
          <w:noProof/>
        </w:rPr>
        <w:drawing>
          <wp:inline distT="0" distB="0" distL="0" distR="0">
            <wp:extent cx="1485900" cy="27940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323"/>
                    <a:stretch>
                      <a:fillRect/>
                    </a:stretch>
                  </pic:blipFill>
                  <pic:spPr>
                    <a:xfrm>
                      <a:off x="0" y="0"/>
                      <a:ext cx="1485922" cy="279449"/>
                    </a:xfrm>
                    <a:prstGeom prst="rect">
                      <a:avLst/>
                    </a:prstGeom>
                  </pic:spPr>
                </pic:pic>
              </a:graphicData>
            </a:graphic>
          </wp:inline>
        </w:drawing>
      </w:r>
    </w:p>
    <w:p w:rsidR="00EA40A3" w:rsidRDefault="00E86C16">
      <w:pPr>
        <w:spacing w:before="58" w:line="219" w:lineRule="auto"/>
        <w:ind w:left="390"/>
        <w:rPr>
          <w:rFonts w:ascii="宋体" w:eastAsia="宋体" w:hAnsi="宋体" w:cs="宋体"/>
          <w:sz w:val="20"/>
          <w:szCs w:val="20"/>
        </w:rPr>
      </w:pPr>
      <w:r>
        <w:rPr>
          <w:rFonts w:ascii="宋体" w:eastAsia="宋体" w:hAnsi="宋体" w:cs="宋体"/>
          <w:spacing w:val="3"/>
          <w:sz w:val="20"/>
          <w:szCs w:val="20"/>
        </w:rPr>
        <w:t>标准值：50～55。</w:t>
      </w:r>
    </w:p>
    <w:p w:rsidR="00EA40A3" w:rsidRDefault="00E86C16">
      <w:pPr>
        <w:spacing w:before="44" w:line="220" w:lineRule="auto"/>
        <w:rPr>
          <w:rFonts w:ascii="宋体" w:eastAsia="宋体" w:hAnsi="宋体" w:cs="宋体"/>
          <w:sz w:val="20"/>
          <w:szCs w:val="20"/>
        </w:rPr>
      </w:pPr>
      <w:r>
        <w:rPr>
          <w:rFonts w:ascii="宋体" w:eastAsia="宋体" w:hAnsi="宋体" w:cs="宋体"/>
          <w:spacing w:val="-12"/>
          <w:sz w:val="20"/>
          <w:szCs w:val="20"/>
        </w:rPr>
        <w:t>3)</w:t>
      </w:r>
      <w:r>
        <w:rPr>
          <w:rFonts w:ascii="宋体" w:eastAsia="宋体" w:hAnsi="宋体" w:cs="宋体"/>
          <w:spacing w:val="71"/>
          <w:sz w:val="20"/>
          <w:szCs w:val="20"/>
        </w:rPr>
        <w:t xml:space="preserve"> </w:t>
      </w:r>
      <w:r>
        <w:rPr>
          <w:rFonts w:ascii="宋体" w:eastAsia="宋体" w:hAnsi="宋体" w:cs="宋体"/>
          <w:spacing w:val="-12"/>
          <w:sz w:val="20"/>
          <w:szCs w:val="20"/>
        </w:rPr>
        <w:t>皮脂厚度</w:t>
      </w:r>
    </w:p>
    <w:p w:rsidR="00EA40A3" w:rsidRDefault="00E86C16">
      <w:pPr>
        <w:spacing w:before="121" w:line="184" w:lineRule="auto"/>
        <w:ind w:left="410"/>
        <w:rPr>
          <w:rFonts w:ascii="宋体" w:eastAsia="宋体" w:hAnsi="宋体" w:cs="宋体"/>
          <w:sz w:val="20"/>
          <w:szCs w:val="20"/>
        </w:rPr>
      </w:pPr>
      <w:r>
        <w:rPr>
          <w:rFonts w:ascii="宋体" w:eastAsia="宋体" w:hAnsi="宋体" w:cs="宋体"/>
          <w:spacing w:val="7"/>
          <w:sz w:val="20"/>
          <w:szCs w:val="20"/>
        </w:rPr>
        <w:t>测量一定部位的皮褶厚度可以表示或计算体内脂肪量。用皮褶计测量。如三</w:t>
      </w:r>
    </w:p>
    <w:p w:rsidR="00EA40A3" w:rsidRDefault="00EA40A3">
      <w:pPr>
        <w:sectPr w:rsidR="00EA40A3">
          <w:type w:val="continuous"/>
          <w:pgSz w:w="9220" w:h="13360"/>
          <w:pgMar w:top="400" w:right="930" w:bottom="1250" w:left="899" w:header="0" w:footer="1068" w:gutter="0"/>
          <w:cols w:space="720" w:equalWidth="0">
            <w:col w:w="7390"/>
          </w:cols>
        </w:sectPr>
      </w:pPr>
    </w:p>
    <w:p w:rsidR="00EA40A3" w:rsidRDefault="00EA40A3">
      <w:pPr>
        <w:spacing w:line="261" w:lineRule="auto"/>
      </w:pPr>
    </w:p>
    <w:p w:rsidR="00EA40A3" w:rsidRDefault="00EA40A3">
      <w:pPr>
        <w:spacing w:line="261" w:lineRule="auto"/>
      </w:pPr>
    </w:p>
    <w:p w:rsidR="00EA40A3" w:rsidRDefault="00E86C16">
      <w:pPr>
        <w:spacing w:before="69" w:line="256" w:lineRule="auto"/>
        <w:ind w:left="89" w:right="95"/>
        <w:jc w:val="both"/>
        <w:rPr>
          <w:rFonts w:ascii="宋体" w:eastAsia="宋体" w:hAnsi="宋体" w:cs="宋体"/>
        </w:rPr>
      </w:pPr>
      <w:r>
        <w:rPr>
          <w:rFonts w:ascii="宋体" w:eastAsia="宋体" w:hAnsi="宋体" w:cs="宋体"/>
          <w:spacing w:val="5"/>
        </w:rPr>
        <w:t>头肌皮脂厚度标准值为：男12.5</w:t>
      </w:r>
      <w:r>
        <w:rPr>
          <w:rFonts w:ascii="宋体" w:eastAsia="宋体" w:hAnsi="宋体" w:cs="宋体"/>
        </w:rPr>
        <w:t>mm</w:t>
      </w:r>
      <w:r>
        <w:rPr>
          <w:rFonts w:ascii="宋体" w:eastAsia="宋体" w:hAnsi="宋体" w:cs="宋体"/>
          <w:spacing w:val="5"/>
        </w:rPr>
        <w:t>,</w:t>
      </w:r>
      <w:r>
        <w:rPr>
          <w:rFonts w:ascii="宋体" w:eastAsia="宋体" w:hAnsi="宋体" w:cs="宋体"/>
          <w:spacing w:val="7"/>
        </w:rPr>
        <w:t xml:space="preserve">  </w:t>
      </w:r>
      <w:r>
        <w:rPr>
          <w:rFonts w:ascii="宋体" w:eastAsia="宋体" w:hAnsi="宋体" w:cs="宋体"/>
          <w:spacing w:val="5"/>
        </w:rPr>
        <w:t>女16.5</w:t>
      </w:r>
      <w:r>
        <w:rPr>
          <w:rFonts w:ascii="宋体" w:eastAsia="宋体" w:hAnsi="宋体" w:cs="宋体"/>
        </w:rPr>
        <w:t>mm</w:t>
      </w:r>
      <w:r>
        <w:rPr>
          <w:rFonts w:ascii="宋体" w:eastAsia="宋体" w:hAnsi="宋体" w:cs="宋体"/>
          <w:spacing w:val="5"/>
        </w:rPr>
        <w:t>,</w:t>
      </w:r>
      <w:r>
        <w:rPr>
          <w:rFonts w:ascii="宋体" w:eastAsia="宋体" w:hAnsi="宋体" w:cs="宋体"/>
          <w:spacing w:val="4"/>
        </w:rPr>
        <w:t xml:space="preserve">  </w:t>
      </w:r>
      <w:r>
        <w:rPr>
          <w:rFonts w:ascii="宋体" w:eastAsia="宋体" w:hAnsi="宋体" w:cs="宋体"/>
          <w:spacing w:val="5"/>
        </w:rPr>
        <w:t>测量值为标准值的90%以上</w:t>
      </w:r>
      <w:r>
        <w:rPr>
          <w:rFonts w:ascii="宋体" w:eastAsia="宋体" w:hAnsi="宋体" w:cs="宋体"/>
        </w:rPr>
        <w:t xml:space="preserve"> </w:t>
      </w:r>
      <w:r>
        <w:rPr>
          <w:rFonts w:ascii="宋体" w:eastAsia="宋体" w:hAnsi="宋体" w:cs="宋体"/>
          <w:spacing w:val="13"/>
        </w:rPr>
        <w:t>为正常，80%～90%为轻度营养不良，60%～80%为中度营养不良，&lt;60%为重</w:t>
      </w:r>
      <w:r>
        <w:rPr>
          <w:rFonts w:ascii="宋体" w:eastAsia="宋体" w:hAnsi="宋体" w:cs="宋体"/>
          <w:spacing w:val="18"/>
        </w:rPr>
        <w:t xml:space="preserve"> </w:t>
      </w:r>
      <w:r>
        <w:rPr>
          <w:rFonts w:ascii="宋体" w:eastAsia="宋体" w:hAnsi="宋体" w:cs="宋体"/>
          <w:spacing w:val="-12"/>
        </w:rPr>
        <w:t>度营养不良。</w:t>
      </w:r>
    </w:p>
    <w:p w:rsidR="00EA40A3" w:rsidRDefault="00E86C16">
      <w:pPr>
        <w:spacing w:before="60" w:line="219" w:lineRule="auto"/>
        <w:ind w:left="89"/>
        <w:rPr>
          <w:rFonts w:ascii="宋体" w:eastAsia="宋体" w:hAnsi="宋体" w:cs="宋体"/>
        </w:rPr>
      </w:pPr>
      <w:r>
        <w:rPr>
          <w:rFonts w:ascii="宋体" w:eastAsia="宋体" w:hAnsi="宋体" w:cs="宋体"/>
          <w:spacing w:val="9"/>
        </w:rPr>
        <w:t>4)体质指数</w:t>
      </w:r>
    </w:p>
    <w:p w:rsidR="00EA40A3" w:rsidRDefault="00E86C16">
      <w:pPr>
        <w:spacing w:before="30" w:line="219" w:lineRule="auto"/>
        <w:ind w:left="500"/>
        <w:rPr>
          <w:rFonts w:ascii="宋体" w:eastAsia="宋体" w:hAnsi="宋体" w:cs="宋体"/>
        </w:rPr>
      </w:pPr>
      <w:r>
        <w:rPr>
          <w:rFonts w:ascii="宋体" w:eastAsia="宋体" w:hAnsi="宋体" w:cs="宋体"/>
          <w:spacing w:val="1"/>
        </w:rPr>
        <w:t>见11.3.2。</w:t>
      </w:r>
    </w:p>
    <w:p w:rsidR="00EA40A3" w:rsidRDefault="00E86C16">
      <w:pPr>
        <w:spacing w:before="79" w:line="219" w:lineRule="auto"/>
        <w:ind w:left="500"/>
        <w:rPr>
          <w:rFonts w:ascii="宋体" w:eastAsia="宋体" w:hAnsi="宋体" w:cs="宋体"/>
        </w:rPr>
      </w:pPr>
      <w:r>
        <w:rPr>
          <w:rFonts w:ascii="宋体" w:eastAsia="宋体" w:hAnsi="宋体" w:cs="宋体"/>
          <w:spacing w:val="-4"/>
        </w:rPr>
        <w:t>除此之外，体格检查中还可以测量顶-臀高及坐高、头围、上臂围等指标。</w:t>
      </w:r>
    </w:p>
    <w:p w:rsidR="00EA40A3" w:rsidRDefault="00E86C16">
      <w:pPr>
        <w:spacing w:before="50" w:line="255" w:lineRule="auto"/>
        <w:ind w:left="89" w:right="91" w:firstLine="410"/>
        <w:rPr>
          <w:rFonts w:ascii="宋体" w:eastAsia="宋体" w:hAnsi="宋体" w:cs="宋体"/>
        </w:rPr>
      </w:pPr>
      <w:r>
        <w:rPr>
          <w:rFonts w:ascii="宋体" w:eastAsia="宋体" w:hAnsi="宋体" w:cs="宋体"/>
          <w:spacing w:val="-4"/>
        </w:rPr>
        <w:t>上述指标中身高和体重较为全面地反映了蛋白</w:t>
      </w:r>
      <w:r>
        <w:rPr>
          <w:rFonts w:ascii="宋体" w:eastAsia="宋体" w:hAnsi="宋体" w:cs="宋体"/>
          <w:spacing w:val="-5"/>
        </w:rPr>
        <w:t>质、能量及矿物质的摄取、利</w:t>
      </w:r>
      <w:r>
        <w:rPr>
          <w:rFonts w:ascii="宋体" w:eastAsia="宋体" w:hAnsi="宋体" w:cs="宋体"/>
        </w:rPr>
        <w:t xml:space="preserve"> </w:t>
      </w:r>
      <w:r>
        <w:rPr>
          <w:rFonts w:ascii="宋体" w:eastAsia="宋体" w:hAnsi="宋体" w:cs="宋体"/>
          <w:spacing w:val="-3"/>
        </w:rPr>
        <w:t>用和储备情况，反映了机体、肌肉、内脏的发育和潜在能力。当能量和蛋白质供</w:t>
      </w:r>
      <w:r>
        <w:rPr>
          <w:rFonts w:ascii="宋体" w:eastAsia="宋体" w:hAnsi="宋体" w:cs="宋体"/>
          <w:spacing w:val="11"/>
        </w:rPr>
        <w:t xml:space="preserve"> </w:t>
      </w:r>
      <w:r>
        <w:rPr>
          <w:rFonts w:ascii="宋体" w:eastAsia="宋体" w:hAnsi="宋体" w:cs="宋体"/>
          <w:spacing w:val="-3"/>
        </w:rPr>
        <w:t>应不足或过量时，体重的变化比身高更为灵敏，因此常作为了解蛋白质和能量营</w:t>
      </w:r>
      <w:r>
        <w:rPr>
          <w:rFonts w:ascii="宋体" w:eastAsia="宋体" w:hAnsi="宋体" w:cs="宋体"/>
          <w:spacing w:val="17"/>
        </w:rPr>
        <w:t xml:space="preserve"> </w:t>
      </w:r>
      <w:r>
        <w:rPr>
          <w:rFonts w:ascii="宋体" w:eastAsia="宋体" w:hAnsi="宋体" w:cs="宋体"/>
          <w:spacing w:val="-3"/>
        </w:rPr>
        <w:t>养状况的重要观察指标。体内脂肪含量与能量供给关系十分密切。测定皮下脂肪</w:t>
      </w:r>
      <w:r>
        <w:rPr>
          <w:rFonts w:ascii="宋体" w:eastAsia="宋体" w:hAnsi="宋体" w:cs="宋体"/>
          <w:spacing w:val="14"/>
        </w:rPr>
        <w:t xml:space="preserve"> </w:t>
      </w:r>
      <w:r>
        <w:rPr>
          <w:rFonts w:ascii="宋体" w:eastAsia="宋体" w:hAnsi="宋体" w:cs="宋体"/>
          <w:spacing w:val="-1"/>
        </w:rPr>
        <w:t>厚度的方法简便易行，被WHO</w:t>
      </w:r>
      <w:r>
        <w:rPr>
          <w:rFonts w:ascii="宋体" w:eastAsia="宋体" w:hAnsi="宋体" w:cs="宋体"/>
          <w:spacing w:val="28"/>
        </w:rPr>
        <w:t xml:space="preserve">  </w:t>
      </w:r>
      <w:r>
        <w:rPr>
          <w:rFonts w:ascii="宋体" w:eastAsia="宋体" w:hAnsi="宋体" w:cs="宋体"/>
          <w:spacing w:val="-1"/>
        </w:rPr>
        <w:t>列为营养调查的</w:t>
      </w:r>
      <w:r>
        <w:rPr>
          <w:rFonts w:ascii="宋体" w:eastAsia="宋体" w:hAnsi="宋体" w:cs="宋体"/>
          <w:spacing w:val="-2"/>
        </w:rPr>
        <w:t>必测项目。</w:t>
      </w:r>
    </w:p>
    <w:p w:rsidR="00EA40A3" w:rsidRDefault="00E86C16">
      <w:pPr>
        <w:spacing w:before="230" w:line="222" w:lineRule="auto"/>
        <w:ind w:left="89"/>
        <w:rPr>
          <w:rFonts w:ascii="仿宋" w:eastAsia="仿宋" w:hAnsi="仿宋" w:cs="仿宋"/>
        </w:rPr>
      </w:pPr>
      <w:r>
        <w:rPr>
          <w:rFonts w:ascii="仿宋" w:eastAsia="仿宋" w:hAnsi="仿宋" w:cs="仿宋"/>
          <w:spacing w:val="16"/>
        </w:rPr>
        <w:t>2.</w:t>
      </w:r>
      <w:r>
        <w:rPr>
          <w:rFonts w:ascii="仿宋" w:eastAsia="仿宋" w:hAnsi="仿宋" w:cs="仿宋"/>
          <w:spacing w:val="-35"/>
        </w:rPr>
        <w:t xml:space="preserve"> </w:t>
      </w:r>
      <w:r>
        <w:rPr>
          <w:rFonts w:ascii="仿宋" w:eastAsia="仿宋" w:hAnsi="仿宋" w:cs="仿宋"/>
          <w:spacing w:val="16"/>
        </w:rPr>
        <w:t>症状和体征</w:t>
      </w:r>
    </w:p>
    <w:p w:rsidR="00EA40A3" w:rsidRDefault="00E86C16">
      <w:pPr>
        <w:spacing w:before="207" w:line="259" w:lineRule="auto"/>
        <w:ind w:left="89" w:firstLine="410"/>
        <w:jc w:val="both"/>
        <w:rPr>
          <w:rFonts w:ascii="宋体" w:eastAsia="宋体" w:hAnsi="宋体" w:cs="宋体"/>
        </w:rPr>
      </w:pPr>
      <w:r>
        <w:rPr>
          <w:rFonts w:ascii="宋体" w:eastAsia="宋体" w:hAnsi="宋体" w:cs="宋体"/>
          <w:spacing w:val="-3"/>
        </w:rPr>
        <w:t>营养缺乏病的发生是一个渐进的过程，最先是摄入量的不足或者机体处于某</w:t>
      </w:r>
      <w:r>
        <w:rPr>
          <w:rFonts w:ascii="宋体" w:eastAsia="宋体" w:hAnsi="宋体" w:cs="宋体"/>
          <w:spacing w:val="9"/>
        </w:rPr>
        <w:t xml:space="preserve">  </w:t>
      </w:r>
      <w:r>
        <w:rPr>
          <w:rFonts w:ascii="宋体" w:eastAsia="宋体" w:hAnsi="宋体" w:cs="宋体"/>
          <w:spacing w:val="-2"/>
        </w:rPr>
        <w:t>种应激状态使需要量明显增加，造成体内营养水平的下降。如果营养素的供</w:t>
      </w:r>
      <w:r>
        <w:rPr>
          <w:rFonts w:ascii="宋体" w:eastAsia="宋体" w:hAnsi="宋体" w:cs="宋体"/>
          <w:spacing w:val="-3"/>
        </w:rPr>
        <w:t>应持</w:t>
      </w:r>
      <w:r>
        <w:rPr>
          <w:rFonts w:ascii="宋体" w:eastAsia="宋体" w:hAnsi="宋体" w:cs="宋体"/>
        </w:rPr>
        <w:t xml:space="preserve"> </w:t>
      </w:r>
      <w:r>
        <w:rPr>
          <w:rFonts w:ascii="宋体" w:eastAsia="宋体" w:hAnsi="宋体" w:cs="宋体"/>
          <w:spacing w:val="-3"/>
        </w:rPr>
        <w:t>续得不到满足则会进一步引起组织缺乏，使一些生化代谢发生紊乱、生理功能受</w:t>
      </w:r>
      <w:r>
        <w:rPr>
          <w:rFonts w:ascii="宋体" w:eastAsia="宋体" w:hAnsi="宋体" w:cs="宋体"/>
          <w:spacing w:val="6"/>
        </w:rPr>
        <w:t xml:space="preserve">  </w:t>
      </w:r>
      <w:r>
        <w:rPr>
          <w:rFonts w:ascii="宋体" w:eastAsia="宋体" w:hAnsi="宋体" w:cs="宋体"/>
          <w:spacing w:val="-1"/>
        </w:rPr>
        <w:t>到影响，最后导致病理形态上的异常改变和损伤，此时就</w:t>
      </w:r>
      <w:r>
        <w:rPr>
          <w:rFonts w:ascii="宋体" w:eastAsia="宋体" w:hAnsi="宋体" w:cs="宋体"/>
          <w:spacing w:val="-2"/>
        </w:rPr>
        <w:t>表现出临床缺乏体征。</w:t>
      </w:r>
      <w:r>
        <w:rPr>
          <w:rFonts w:ascii="宋体" w:eastAsia="宋体" w:hAnsi="宋体" w:cs="宋体"/>
        </w:rPr>
        <w:t xml:space="preserve"> </w:t>
      </w:r>
      <w:r>
        <w:rPr>
          <w:rFonts w:ascii="宋体" w:eastAsia="宋体" w:hAnsi="宋体" w:cs="宋体"/>
          <w:spacing w:val="-3"/>
        </w:rPr>
        <w:t>但营养缺乏病的症状及体征往往比较复杂，轻度的营养缺乏病不太典型，检查时</w:t>
      </w:r>
      <w:r>
        <w:rPr>
          <w:rFonts w:ascii="宋体" w:eastAsia="宋体" w:hAnsi="宋体" w:cs="宋体"/>
          <w:spacing w:val="8"/>
        </w:rPr>
        <w:t xml:space="preserve">  </w:t>
      </w:r>
      <w:r>
        <w:rPr>
          <w:rFonts w:ascii="宋体" w:eastAsia="宋体" w:hAnsi="宋体" w:cs="宋体"/>
          <w:spacing w:val="-3"/>
        </w:rPr>
        <w:t>应注意观察不要遗漏，还有些症状及体征是非特异性的，其他因素也可引起，应</w:t>
      </w:r>
      <w:r>
        <w:rPr>
          <w:rFonts w:ascii="宋体" w:eastAsia="宋体" w:hAnsi="宋体" w:cs="宋体"/>
          <w:spacing w:val="6"/>
        </w:rPr>
        <w:t xml:space="preserve">  </w:t>
      </w:r>
      <w:r>
        <w:rPr>
          <w:rFonts w:ascii="宋体" w:eastAsia="宋体" w:hAnsi="宋体" w:cs="宋体"/>
          <w:spacing w:val="-3"/>
        </w:rPr>
        <w:t>仔细鉴别诊断，检查者对受检者体格情况一般营养素缺乏病的症状和体征逐项检</w:t>
      </w:r>
      <w:r>
        <w:rPr>
          <w:rFonts w:ascii="宋体" w:eastAsia="宋体" w:hAnsi="宋体" w:cs="宋体"/>
          <w:spacing w:val="6"/>
        </w:rPr>
        <w:t xml:space="preserve">  </w:t>
      </w:r>
      <w:r>
        <w:rPr>
          <w:rFonts w:ascii="宋体" w:eastAsia="宋体" w:hAnsi="宋体" w:cs="宋体"/>
        </w:rPr>
        <w:t>查，并对照参考表12-5。检查完毕，检查者对受检者的营养状况作出准确诊断，</w:t>
      </w:r>
      <w:r>
        <w:rPr>
          <w:rFonts w:ascii="宋体" w:eastAsia="宋体" w:hAnsi="宋体" w:cs="宋体"/>
          <w:spacing w:val="4"/>
        </w:rPr>
        <w:t xml:space="preserve"> </w:t>
      </w:r>
      <w:r>
        <w:rPr>
          <w:rFonts w:ascii="宋体" w:eastAsia="宋体" w:hAnsi="宋体" w:cs="宋体"/>
          <w:spacing w:val="-5"/>
        </w:rPr>
        <w:t>确定其是否正常或存在何种营养缺乏病。</w:t>
      </w:r>
    </w:p>
    <w:p w:rsidR="00EA40A3" w:rsidRDefault="00E86C16">
      <w:pPr>
        <w:spacing w:before="121" w:line="231" w:lineRule="auto"/>
        <w:ind w:left="89" w:right="93" w:firstLine="410"/>
        <w:rPr>
          <w:rFonts w:ascii="宋体" w:eastAsia="宋体" w:hAnsi="宋体" w:cs="宋体"/>
        </w:rPr>
      </w:pPr>
      <w:r>
        <w:rPr>
          <w:rFonts w:ascii="宋体" w:eastAsia="宋体" w:hAnsi="宋体" w:cs="宋体"/>
          <w:spacing w:val="4"/>
        </w:rPr>
        <w:t>有关营养素摄入过量可能产生不良作用所表现出的症状和体征，资料非常</w:t>
      </w:r>
      <w:r>
        <w:rPr>
          <w:rFonts w:ascii="宋体" w:eastAsia="宋体" w:hAnsi="宋体" w:cs="宋体"/>
          <w:spacing w:val="2"/>
        </w:rPr>
        <w:t xml:space="preserve"> </w:t>
      </w:r>
      <w:r>
        <w:rPr>
          <w:rFonts w:ascii="宋体" w:eastAsia="宋体" w:hAnsi="宋体" w:cs="宋体"/>
          <w:spacing w:val="-6"/>
        </w:rPr>
        <w:t>少。今后应注意调查其有价值的症状和体征。</w:t>
      </w:r>
    </w:p>
    <w:p w:rsidR="00EA40A3" w:rsidRDefault="00EA40A3">
      <w:pPr>
        <w:spacing w:line="317" w:lineRule="auto"/>
      </w:pPr>
    </w:p>
    <w:p w:rsidR="00EA40A3" w:rsidRDefault="00E86C16">
      <w:pPr>
        <w:spacing w:before="60" w:line="221" w:lineRule="auto"/>
        <w:ind w:left="2482"/>
        <w:rPr>
          <w:rFonts w:ascii="黑体" w:eastAsia="黑体" w:hAnsi="黑体" w:cs="黑体"/>
          <w:sz w:val="18"/>
          <w:szCs w:val="18"/>
        </w:rPr>
      </w:pPr>
      <w:r>
        <w:rPr>
          <w:rFonts w:ascii="黑体" w:eastAsia="黑体" w:hAnsi="黑体" w:cs="黑体"/>
          <w:b/>
          <w:bCs/>
          <w:spacing w:val="-4"/>
          <w:sz w:val="18"/>
          <w:szCs w:val="18"/>
        </w:rPr>
        <w:t>表12-5</w:t>
      </w:r>
      <w:r>
        <w:rPr>
          <w:rFonts w:ascii="黑体" w:eastAsia="黑体" w:hAnsi="黑体" w:cs="黑体"/>
          <w:spacing w:val="91"/>
          <w:sz w:val="18"/>
          <w:szCs w:val="18"/>
        </w:rPr>
        <w:t xml:space="preserve"> </w:t>
      </w:r>
      <w:r>
        <w:rPr>
          <w:rFonts w:ascii="黑体" w:eastAsia="黑体" w:hAnsi="黑体" w:cs="黑体"/>
          <w:b/>
          <w:bCs/>
          <w:spacing w:val="-4"/>
          <w:sz w:val="18"/>
          <w:szCs w:val="18"/>
        </w:rPr>
        <w:t>营养调查有价值的体征</w:t>
      </w:r>
    </w:p>
    <w:p w:rsidR="00EA40A3" w:rsidRDefault="00EA40A3">
      <w:pPr>
        <w:spacing w:line="26" w:lineRule="exact"/>
      </w:pPr>
    </w:p>
    <w:tbl>
      <w:tblPr>
        <w:tblStyle w:val="TableNormal"/>
        <w:tblW w:w="737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588"/>
        <w:gridCol w:w="2672"/>
        <w:gridCol w:w="3110"/>
      </w:tblGrid>
      <w:tr w:rsidR="00EA40A3">
        <w:trPr>
          <w:trHeight w:val="632"/>
        </w:trPr>
        <w:tc>
          <w:tcPr>
            <w:tcW w:w="1588" w:type="dxa"/>
            <w:tcBorders>
              <w:top w:val="single" w:sz="4" w:space="0" w:color="000000"/>
              <w:bottom w:val="single" w:sz="4" w:space="0" w:color="000000"/>
            </w:tcBorders>
          </w:tcPr>
          <w:p w:rsidR="00EA40A3" w:rsidRDefault="00E86C16">
            <w:pPr>
              <w:spacing w:before="121" w:line="310" w:lineRule="exact"/>
              <w:ind w:left="910"/>
              <w:rPr>
                <w:rFonts w:ascii="宋体" w:eastAsia="宋体" w:hAnsi="宋体" w:cs="宋体"/>
                <w:sz w:val="16"/>
                <w:szCs w:val="16"/>
              </w:rPr>
            </w:pPr>
            <w:r>
              <w:rPr>
                <w:rFonts w:ascii="宋体" w:eastAsia="宋体" w:hAnsi="宋体" w:cs="宋体"/>
                <w:spacing w:val="-3"/>
                <w:position w:val="11"/>
                <w:sz w:val="16"/>
                <w:szCs w:val="16"/>
              </w:rPr>
              <w:t>部位</w:t>
            </w:r>
          </w:p>
          <w:p w:rsidR="00EA40A3" w:rsidRDefault="00E86C16">
            <w:pPr>
              <w:spacing w:line="219" w:lineRule="auto"/>
              <w:ind w:left="659"/>
              <w:rPr>
                <w:rFonts w:ascii="宋体" w:eastAsia="宋体" w:hAnsi="宋体" w:cs="宋体"/>
                <w:sz w:val="16"/>
                <w:szCs w:val="16"/>
              </w:rPr>
            </w:pPr>
            <w:r>
              <w:rPr>
                <w:rFonts w:ascii="宋体" w:eastAsia="宋体" w:hAnsi="宋体" w:cs="宋体"/>
                <w:spacing w:val="-3"/>
                <w:sz w:val="16"/>
                <w:szCs w:val="16"/>
              </w:rPr>
              <w:t>头发</w:t>
            </w:r>
          </w:p>
        </w:tc>
        <w:tc>
          <w:tcPr>
            <w:tcW w:w="2672" w:type="dxa"/>
            <w:tcBorders>
              <w:top w:val="single" w:sz="4" w:space="0" w:color="000000"/>
              <w:bottom w:val="single" w:sz="4" w:space="0" w:color="000000"/>
            </w:tcBorders>
          </w:tcPr>
          <w:p w:rsidR="00EA40A3" w:rsidRDefault="00E86C16">
            <w:pPr>
              <w:spacing w:before="111" w:line="330" w:lineRule="exact"/>
              <w:ind w:left="1172"/>
              <w:rPr>
                <w:rFonts w:ascii="宋体" w:eastAsia="宋体" w:hAnsi="宋体" w:cs="宋体"/>
                <w:sz w:val="16"/>
                <w:szCs w:val="16"/>
              </w:rPr>
            </w:pPr>
            <w:r>
              <w:rPr>
                <w:rFonts w:ascii="宋体" w:eastAsia="宋体" w:hAnsi="宋体" w:cs="宋体"/>
                <w:spacing w:val="-4"/>
                <w:position w:val="13"/>
                <w:sz w:val="16"/>
                <w:szCs w:val="16"/>
              </w:rPr>
              <w:t>体</w:t>
            </w:r>
            <w:r>
              <w:rPr>
                <w:rFonts w:ascii="宋体" w:eastAsia="宋体" w:hAnsi="宋体" w:cs="宋体"/>
                <w:spacing w:val="3"/>
                <w:position w:val="13"/>
                <w:sz w:val="16"/>
                <w:szCs w:val="16"/>
              </w:rPr>
              <w:t xml:space="preserve">    </w:t>
            </w:r>
            <w:r>
              <w:rPr>
                <w:rFonts w:ascii="宋体" w:eastAsia="宋体" w:hAnsi="宋体" w:cs="宋体"/>
                <w:spacing w:val="-4"/>
                <w:position w:val="13"/>
                <w:sz w:val="16"/>
                <w:szCs w:val="16"/>
              </w:rPr>
              <w:t>征</w:t>
            </w:r>
          </w:p>
          <w:p w:rsidR="00EA40A3" w:rsidRDefault="00E86C16">
            <w:pPr>
              <w:spacing w:line="219" w:lineRule="auto"/>
              <w:ind w:left="371"/>
              <w:rPr>
                <w:rFonts w:ascii="宋体" w:eastAsia="宋体" w:hAnsi="宋体" w:cs="宋体"/>
                <w:sz w:val="16"/>
                <w:szCs w:val="16"/>
              </w:rPr>
            </w:pPr>
            <w:r>
              <w:rPr>
                <w:rFonts w:ascii="宋体" w:eastAsia="宋体" w:hAnsi="宋体" w:cs="宋体"/>
                <w:spacing w:val="1"/>
                <w:sz w:val="16"/>
                <w:szCs w:val="16"/>
              </w:rPr>
              <w:t>失去光泽，稀少</w:t>
            </w:r>
          </w:p>
        </w:tc>
        <w:tc>
          <w:tcPr>
            <w:tcW w:w="3110" w:type="dxa"/>
            <w:tcBorders>
              <w:top w:val="single" w:sz="4" w:space="0" w:color="000000"/>
              <w:bottom w:val="single" w:sz="4" w:space="0" w:color="000000"/>
            </w:tcBorders>
          </w:tcPr>
          <w:p w:rsidR="00EA40A3" w:rsidRDefault="00E86C16">
            <w:pPr>
              <w:spacing w:before="121" w:line="310" w:lineRule="exact"/>
              <w:ind w:left="540"/>
              <w:rPr>
                <w:rFonts w:ascii="宋体" w:eastAsia="宋体" w:hAnsi="宋体" w:cs="宋体"/>
                <w:sz w:val="16"/>
                <w:szCs w:val="16"/>
              </w:rPr>
            </w:pPr>
            <w:r>
              <w:rPr>
                <w:rFonts w:ascii="宋体" w:eastAsia="宋体" w:hAnsi="宋体" w:cs="宋体"/>
                <w:spacing w:val="-1"/>
                <w:position w:val="11"/>
                <w:sz w:val="16"/>
                <w:szCs w:val="16"/>
              </w:rPr>
              <w:t>有关的障碍或营养素缺乏</w:t>
            </w:r>
          </w:p>
          <w:p w:rsidR="00EA40A3" w:rsidRDefault="00E86C16">
            <w:pPr>
              <w:spacing w:line="219" w:lineRule="auto"/>
              <w:ind w:left="540"/>
              <w:rPr>
                <w:rFonts w:ascii="宋体" w:eastAsia="宋体" w:hAnsi="宋体" w:cs="宋体"/>
                <w:sz w:val="16"/>
                <w:szCs w:val="16"/>
              </w:rPr>
            </w:pPr>
            <w:r>
              <w:rPr>
                <w:rFonts w:ascii="宋体" w:eastAsia="宋体" w:hAnsi="宋体" w:cs="宋体"/>
                <w:spacing w:val="2"/>
                <w:sz w:val="16"/>
                <w:szCs w:val="16"/>
              </w:rPr>
              <w:t>维生素A或蛋白质</w:t>
            </w:r>
          </w:p>
        </w:tc>
      </w:tr>
      <w:tr w:rsidR="00EA40A3">
        <w:trPr>
          <w:trHeight w:val="299"/>
        </w:trPr>
        <w:tc>
          <w:tcPr>
            <w:tcW w:w="1588" w:type="dxa"/>
            <w:tcBorders>
              <w:top w:val="single" w:sz="4" w:space="0" w:color="000000"/>
              <w:bottom w:val="single" w:sz="4" w:space="0" w:color="000000"/>
            </w:tcBorders>
          </w:tcPr>
          <w:p w:rsidR="00EA40A3" w:rsidRDefault="00E86C16">
            <w:pPr>
              <w:spacing w:before="69" w:line="219" w:lineRule="auto"/>
              <w:ind w:left="659"/>
              <w:rPr>
                <w:rFonts w:ascii="宋体" w:eastAsia="宋体" w:hAnsi="宋体" w:cs="宋体"/>
                <w:sz w:val="16"/>
                <w:szCs w:val="16"/>
              </w:rPr>
            </w:pPr>
            <w:r>
              <w:rPr>
                <w:rFonts w:ascii="宋体" w:eastAsia="宋体" w:hAnsi="宋体" w:cs="宋体"/>
                <w:spacing w:val="-2"/>
                <w:sz w:val="16"/>
                <w:szCs w:val="16"/>
              </w:rPr>
              <w:t>面部</w:t>
            </w:r>
          </w:p>
        </w:tc>
        <w:tc>
          <w:tcPr>
            <w:tcW w:w="2672" w:type="dxa"/>
            <w:tcBorders>
              <w:top w:val="single" w:sz="4" w:space="0" w:color="000000"/>
              <w:bottom w:val="single" w:sz="4" w:space="0" w:color="000000"/>
            </w:tcBorders>
          </w:tcPr>
          <w:p w:rsidR="00EA40A3" w:rsidRDefault="00E86C16">
            <w:pPr>
              <w:spacing w:before="99" w:line="219" w:lineRule="auto"/>
              <w:ind w:left="371"/>
              <w:rPr>
                <w:rFonts w:ascii="宋体" w:eastAsia="宋体" w:hAnsi="宋体" w:cs="宋体"/>
                <w:sz w:val="16"/>
                <w:szCs w:val="16"/>
              </w:rPr>
            </w:pPr>
            <w:r>
              <w:rPr>
                <w:rFonts w:ascii="宋体" w:eastAsia="宋体" w:hAnsi="宋体" w:cs="宋体"/>
                <w:spacing w:val="-1"/>
                <w:sz w:val="16"/>
                <w:szCs w:val="16"/>
              </w:rPr>
              <w:t>鼻唇窝溢脂皮炎</w:t>
            </w:r>
          </w:p>
        </w:tc>
        <w:tc>
          <w:tcPr>
            <w:tcW w:w="3110" w:type="dxa"/>
            <w:tcBorders>
              <w:top w:val="single" w:sz="4" w:space="0" w:color="000000"/>
              <w:bottom w:val="single" w:sz="4" w:space="0" w:color="000000"/>
            </w:tcBorders>
          </w:tcPr>
          <w:p w:rsidR="00EA40A3" w:rsidRDefault="00E86C16">
            <w:pPr>
              <w:spacing w:before="99" w:line="219" w:lineRule="auto"/>
              <w:ind w:left="540"/>
              <w:rPr>
                <w:rFonts w:ascii="宋体" w:eastAsia="宋体" w:hAnsi="宋体" w:cs="宋体"/>
                <w:sz w:val="16"/>
                <w:szCs w:val="16"/>
              </w:rPr>
            </w:pPr>
            <w:r>
              <w:rPr>
                <w:rFonts w:ascii="宋体" w:eastAsia="宋体" w:hAnsi="宋体" w:cs="宋体"/>
                <w:spacing w:val="-2"/>
                <w:sz w:val="16"/>
                <w:szCs w:val="16"/>
              </w:rPr>
              <w:t>核黄素</w:t>
            </w:r>
          </w:p>
        </w:tc>
      </w:tr>
      <w:tr w:rsidR="00EA40A3">
        <w:trPr>
          <w:trHeight w:val="907"/>
        </w:trPr>
        <w:tc>
          <w:tcPr>
            <w:tcW w:w="1588" w:type="dxa"/>
            <w:tcBorders>
              <w:top w:val="single" w:sz="4" w:space="0" w:color="000000"/>
              <w:bottom w:val="single" w:sz="4" w:space="0" w:color="000000"/>
            </w:tcBorders>
          </w:tcPr>
          <w:p w:rsidR="00EA40A3" w:rsidRDefault="00EA40A3">
            <w:pPr>
              <w:spacing w:line="331" w:lineRule="auto"/>
            </w:pPr>
          </w:p>
          <w:p w:rsidR="00EA40A3" w:rsidRDefault="00E86C16">
            <w:pPr>
              <w:spacing w:before="52" w:line="224" w:lineRule="auto"/>
              <w:ind w:left="739"/>
              <w:rPr>
                <w:rFonts w:ascii="宋体" w:eastAsia="宋体" w:hAnsi="宋体" w:cs="宋体"/>
                <w:sz w:val="16"/>
                <w:szCs w:val="16"/>
              </w:rPr>
            </w:pPr>
            <w:r>
              <w:rPr>
                <w:rFonts w:ascii="宋体" w:eastAsia="宋体" w:hAnsi="宋体" w:cs="宋体"/>
                <w:sz w:val="16"/>
                <w:szCs w:val="16"/>
              </w:rPr>
              <w:t>眼</w:t>
            </w:r>
          </w:p>
        </w:tc>
        <w:tc>
          <w:tcPr>
            <w:tcW w:w="2672" w:type="dxa"/>
            <w:tcBorders>
              <w:top w:val="single" w:sz="4" w:space="0" w:color="000000"/>
              <w:bottom w:val="single" w:sz="4" w:space="0" w:color="000000"/>
            </w:tcBorders>
          </w:tcPr>
          <w:p w:rsidR="00EA40A3" w:rsidRDefault="00E86C16">
            <w:pPr>
              <w:spacing w:before="31" w:line="220" w:lineRule="auto"/>
              <w:ind w:left="371"/>
              <w:rPr>
                <w:rFonts w:ascii="宋体" w:eastAsia="宋体" w:hAnsi="宋体" w:cs="宋体"/>
                <w:sz w:val="16"/>
                <w:szCs w:val="16"/>
              </w:rPr>
            </w:pPr>
            <w:r>
              <w:rPr>
                <w:rFonts w:ascii="宋体" w:eastAsia="宋体" w:hAnsi="宋体" w:cs="宋体"/>
                <w:spacing w:val="5"/>
                <w:sz w:val="16"/>
                <w:szCs w:val="16"/>
              </w:rPr>
              <w:t>结膜苍白</w:t>
            </w:r>
          </w:p>
          <w:p w:rsidR="00EA40A3" w:rsidRDefault="00E86C16">
            <w:pPr>
              <w:spacing w:before="58" w:line="248" w:lineRule="exact"/>
              <w:ind w:left="371"/>
              <w:rPr>
                <w:rFonts w:ascii="宋体" w:eastAsia="宋体" w:hAnsi="宋体" w:cs="宋体"/>
                <w:sz w:val="15"/>
                <w:szCs w:val="15"/>
              </w:rPr>
            </w:pPr>
            <w:r>
              <w:rPr>
                <w:rFonts w:ascii="宋体" w:eastAsia="宋体" w:hAnsi="宋体" w:cs="宋体"/>
                <w:spacing w:val="8"/>
                <w:position w:val="7"/>
                <w:sz w:val="15"/>
                <w:szCs w:val="15"/>
              </w:rPr>
              <w:t>毕托氏斑，结膜干燥</w:t>
            </w:r>
          </w:p>
          <w:p w:rsidR="00EA40A3" w:rsidRDefault="00E86C16">
            <w:pPr>
              <w:spacing w:line="229" w:lineRule="auto"/>
              <w:ind w:left="371"/>
              <w:rPr>
                <w:rFonts w:ascii="宋体" w:eastAsia="宋体" w:hAnsi="宋体" w:cs="宋体"/>
                <w:sz w:val="15"/>
                <w:szCs w:val="15"/>
              </w:rPr>
            </w:pPr>
            <w:r>
              <w:rPr>
                <w:rFonts w:ascii="宋体" w:eastAsia="宋体" w:hAnsi="宋体" w:cs="宋体"/>
                <w:spacing w:val="9"/>
                <w:sz w:val="15"/>
                <w:szCs w:val="15"/>
              </w:rPr>
              <w:t>角膜干燥，角膜软化</w:t>
            </w:r>
          </w:p>
          <w:p w:rsidR="00EA40A3" w:rsidRDefault="00E86C16">
            <w:pPr>
              <w:spacing w:before="32" w:line="196" w:lineRule="auto"/>
              <w:ind w:left="371"/>
              <w:rPr>
                <w:rFonts w:ascii="宋体" w:eastAsia="宋体" w:hAnsi="宋体" w:cs="宋体"/>
                <w:sz w:val="15"/>
                <w:szCs w:val="15"/>
              </w:rPr>
            </w:pPr>
            <w:r>
              <w:rPr>
                <w:rFonts w:ascii="宋体" w:eastAsia="宋体" w:hAnsi="宋体" w:cs="宋体"/>
                <w:spacing w:val="7"/>
                <w:sz w:val="15"/>
                <w:szCs w:val="15"/>
              </w:rPr>
              <w:t>脸缘炎</w:t>
            </w:r>
          </w:p>
        </w:tc>
        <w:tc>
          <w:tcPr>
            <w:tcW w:w="3110" w:type="dxa"/>
            <w:tcBorders>
              <w:top w:val="single" w:sz="4" w:space="0" w:color="000000"/>
              <w:bottom w:val="single" w:sz="4" w:space="0" w:color="000000"/>
            </w:tcBorders>
          </w:tcPr>
          <w:p w:rsidR="00EA40A3" w:rsidRDefault="00E86C16">
            <w:pPr>
              <w:spacing w:before="21" w:line="249" w:lineRule="exact"/>
              <w:ind w:left="540"/>
              <w:rPr>
                <w:rFonts w:ascii="宋体" w:eastAsia="宋体" w:hAnsi="宋体" w:cs="宋体"/>
                <w:sz w:val="16"/>
                <w:szCs w:val="16"/>
              </w:rPr>
            </w:pPr>
            <w:r>
              <w:rPr>
                <w:rFonts w:ascii="宋体" w:eastAsia="宋体" w:hAnsi="宋体" w:cs="宋体"/>
                <w:spacing w:val="5"/>
                <w:position w:val="6"/>
                <w:sz w:val="16"/>
                <w:szCs w:val="16"/>
              </w:rPr>
              <w:t>贫血(例如铁)</w:t>
            </w:r>
          </w:p>
          <w:p w:rsidR="00EA40A3" w:rsidRDefault="00E86C16">
            <w:pPr>
              <w:spacing w:line="219" w:lineRule="auto"/>
              <w:ind w:left="540"/>
              <w:rPr>
                <w:rFonts w:ascii="宋体" w:eastAsia="宋体" w:hAnsi="宋体" w:cs="宋体"/>
                <w:sz w:val="16"/>
                <w:szCs w:val="16"/>
              </w:rPr>
            </w:pPr>
            <w:r>
              <w:rPr>
                <w:rFonts w:ascii="宋体" w:eastAsia="宋体" w:hAnsi="宋体" w:cs="宋体"/>
                <w:spacing w:val="-2"/>
                <w:sz w:val="16"/>
                <w:szCs w:val="16"/>
              </w:rPr>
              <w:t>维生素A</w:t>
            </w:r>
          </w:p>
          <w:p w:rsidR="00EA40A3" w:rsidRDefault="00E86C16">
            <w:pPr>
              <w:spacing w:before="269" w:line="204" w:lineRule="auto"/>
              <w:ind w:left="540"/>
              <w:rPr>
                <w:rFonts w:ascii="宋体" w:eastAsia="宋体" w:hAnsi="宋体" w:cs="宋体"/>
                <w:sz w:val="16"/>
                <w:szCs w:val="16"/>
              </w:rPr>
            </w:pPr>
            <w:r>
              <w:rPr>
                <w:rFonts w:ascii="宋体" w:eastAsia="宋体" w:hAnsi="宋体" w:cs="宋体"/>
                <w:spacing w:val="-2"/>
                <w:sz w:val="16"/>
                <w:szCs w:val="16"/>
              </w:rPr>
              <w:t>核黄素</w:t>
            </w:r>
          </w:p>
        </w:tc>
      </w:tr>
      <w:tr w:rsidR="00EA40A3">
        <w:trPr>
          <w:trHeight w:val="309"/>
        </w:trPr>
        <w:tc>
          <w:tcPr>
            <w:tcW w:w="1588" w:type="dxa"/>
            <w:tcBorders>
              <w:top w:val="single" w:sz="4" w:space="0" w:color="000000"/>
              <w:bottom w:val="single" w:sz="4" w:space="0" w:color="000000"/>
            </w:tcBorders>
          </w:tcPr>
          <w:p w:rsidR="00EA40A3" w:rsidRDefault="00E86C16">
            <w:pPr>
              <w:spacing w:before="86" w:line="224" w:lineRule="auto"/>
              <w:ind w:left="739"/>
              <w:rPr>
                <w:rFonts w:ascii="宋体" w:eastAsia="宋体" w:hAnsi="宋体" w:cs="宋体"/>
                <w:sz w:val="16"/>
                <w:szCs w:val="16"/>
              </w:rPr>
            </w:pPr>
            <w:r>
              <w:rPr>
                <w:rFonts w:ascii="宋体" w:eastAsia="宋体" w:hAnsi="宋体" w:cs="宋体"/>
                <w:sz w:val="16"/>
                <w:szCs w:val="16"/>
              </w:rPr>
              <w:t>唇</w:t>
            </w:r>
          </w:p>
        </w:tc>
        <w:tc>
          <w:tcPr>
            <w:tcW w:w="2672" w:type="dxa"/>
            <w:tcBorders>
              <w:top w:val="single" w:sz="4" w:space="0" w:color="000000"/>
              <w:bottom w:val="single" w:sz="4" w:space="0" w:color="000000"/>
            </w:tcBorders>
          </w:tcPr>
          <w:p w:rsidR="00EA40A3" w:rsidRDefault="00E86C16">
            <w:pPr>
              <w:spacing w:before="82" w:line="219" w:lineRule="auto"/>
              <w:ind w:left="371"/>
              <w:rPr>
                <w:rFonts w:ascii="宋体" w:eastAsia="宋体" w:hAnsi="宋体" w:cs="宋体"/>
                <w:sz w:val="16"/>
                <w:szCs w:val="16"/>
              </w:rPr>
            </w:pPr>
            <w:r>
              <w:rPr>
                <w:rFonts w:ascii="宋体" w:eastAsia="宋体" w:hAnsi="宋体" w:cs="宋体"/>
                <w:sz w:val="16"/>
                <w:szCs w:val="16"/>
              </w:rPr>
              <w:t>口角炎，口角结痂，唇炎</w:t>
            </w:r>
          </w:p>
        </w:tc>
        <w:tc>
          <w:tcPr>
            <w:tcW w:w="3110" w:type="dxa"/>
            <w:tcBorders>
              <w:top w:val="single" w:sz="4" w:space="0" w:color="000000"/>
              <w:bottom w:val="single" w:sz="4" w:space="0" w:color="000000"/>
            </w:tcBorders>
          </w:tcPr>
          <w:p w:rsidR="00EA40A3" w:rsidRDefault="00E86C16">
            <w:pPr>
              <w:spacing w:before="83" w:line="219" w:lineRule="auto"/>
              <w:ind w:left="540"/>
              <w:rPr>
                <w:rFonts w:ascii="宋体" w:eastAsia="宋体" w:hAnsi="宋体" w:cs="宋体"/>
                <w:sz w:val="16"/>
                <w:szCs w:val="16"/>
              </w:rPr>
            </w:pPr>
            <w:r>
              <w:rPr>
                <w:rFonts w:ascii="宋体" w:eastAsia="宋体" w:hAnsi="宋体" w:cs="宋体"/>
                <w:spacing w:val="-2"/>
                <w:sz w:val="16"/>
                <w:szCs w:val="16"/>
              </w:rPr>
              <w:t>核黄素</w:t>
            </w:r>
          </w:p>
        </w:tc>
      </w:tr>
      <w:tr w:rsidR="00EA40A3">
        <w:trPr>
          <w:trHeight w:val="543"/>
        </w:trPr>
        <w:tc>
          <w:tcPr>
            <w:tcW w:w="1588" w:type="dxa"/>
            <w:tcBorders>
              <w:top w:val="single" w:sz="4" w:space="0" w:color="000000"/>
              <w:bottom w:val="single" w:sz="4" w:space="0" w:color="000000"/>
            </w:tcBorders>
          </w:tcPr>
          <w:p w:rsidR="00EA40A3" w:rsidRDefault="00E86C16">
            <w:pPr>
              <w:spacing w:before="195" w:line="220" w:lineRule="auto"/>
              <w:ind w:left="739"/>
              <w:rPr>
                <w:rFonts w:ascii="宋体" w:eastAsia="宋体" w:hAnsi="宋体" w:cs="宋体"/>
                <w:sz w:val="16"/>
                <w:szCs w:val="16"/>
              </w:rPr>
            </w:pPr>
            <w:r>
              <w:rPr>
                <w:rFonts w:ascii="宋体" w:eastAsia="宋体" w:hAnsi="宋体" w:cs="宋体"/>
                <w:sz w:val="16"/>
                <w:szCs w:val="16"/>
              </w:rPr>
              <w:t>舌</w:t>
            </w:r>
          </w:p>
        </w:tc>
        <w:tc>
          <w:tcPr>
            <w:tcW w:w="2672" w:type="dxa"/>
            <w:tcBorders>
              <w:top w:val="single" w:sz="4" w:space="0" w:color="000000"/>
              <w:bottom w:val="single" w:sz="4" w:space="0" w:color="000000"/>
            </w:tcBorders>
          </w:tcPr>
          <w:p w:rsidR="00EA40A3" w:rsidRDefault="00E86C16">
            <w:pPr>
              <w:spacing w:before="84" w:line="250" w:lineRule="exact"/>
              <w:ind w:left="371"/>
              <w:rPr>
                <w:rFonts w:ascii="宋体" w:eastAsia="宋体" w:hAnsi="宋体" w:cs="宋体"/>
                <w:sz w:val="16"/>
                <w:szCs w:val="16"/>
              </w:rPr>
            </w:pPr>
            <w:r>
              <w:rPr>
                <w:rFonts w:ascii="宋体" w:eastAsia="宋体" w:hAnsi="宋体" w:cs="宋体"/>
                <w:spacing w:val="-1"/>
                <w:position w:val="6"/>
                <w:sz w:val="16"/>
                <w:szCs w:val="16"/>
              </w:rPr>
              <w:t>舌色猩红及牛肉红</w:t>
            </w:r>
          </w:p>
          <w:p w:rsidR="00EA40A3" w:rsidRDefault="00E86C16">
            <w:pPr>
              <w:spacing w:line="219" w:lineRule="auto"/>
              <w:ind w:left="371"/>
              <w:rPr>
                <w:rFonts w:ascii="宋体" w:eastAsia="宋体" w:hAnsi="宋体" w:cs="宋体"/>
                <w:sz w:val="16"/>
                <w:szCs w:val="16"/>
              </w:rPr>
            </w:pPr>
            <w:r>
              <w:rPr>
                <w:rFonts w:ascii="宋体" w:eastAsia="宋体" w:hAnsi="宋体" w:cs="宋体"/>
                <w:spacing w:val="-2"/>
                <w:sz w:val="16"/>
                <w:szCs w:val="16"/>
              </w:rPr>
              <w:t>舌色紫红</w:t>
            </w:r>
          </w:p>
        </w:tc>
        <w:tc>
          <w:tcPr>
            <w:tcW w:w="3110" w:type="dxa"/>
            <w:tcBorders>
              <w:top w:val="single" w:sz="4" w:space="0" w:color="000000"/>
              <w:bottom w:val="single" w:sz="4" w:space="0" w:color="000000"/>
            </w:tcBorders>
          </w:tcPr>
          <w:p w:rsidR="00EA40A3" w:rsidRDefault="00E86C16">
            <w:pPr>
              <w:spacing w:before="85" w:line="221" w:lineRule="auto"/>
              <w:ind w:left="540"/>
              <w:rPr>
                <w:rFonts w:ascii="宋体" w:eastAsia="宋体" w:hAnsi="宋体" w:cs="宋体"/>
                <w:sz w:val="16"/>
                <w:szCs w:val="16"/>
              </w:rPr>
            </w:pPr>
            <w:r>
              <w:rPr>
                <w:rFonts w:ascii="宋体" w:eastAsia="宋体" w:hAnsi="宋体" w:cs="宋体"/>
                <w:spacing w:val="-2"/>
                <w:sz w:val="16"/>
                <w:szCs w:val="16"/>
              </w:rPr>
              <w:t>烟酸</w:t>
            </w:r>
          </w:p>
          <w:p w:rsidR="00EA40A3" w:rsidRDefault="00E86C16">
            <w:pPr>
              <w:spacing w:before="47" w:line="219" w:lineRule="auto"/>
              <w:ind w:left="540"/>
              <w:rPr>
                <w:rFonts w:ascii="宋体" w:eastAsia="宋体" w:hAnsi="宋体" w:cs="宋体"/>
                <w:sz w:val="16"/>
                <w:szCs w:val="16"/>
              </w:rPr>
            </w:pPr>
            <w:r>
              <w:rPr>
                <w:rFonts w:ascii="宋体" w:eastAsia="宋体" w:hAnsi="宋体" w:cs="宋体"/>
                <w:spacing w:val="-2"/>
                <w:sz w:val="16"/>
                <w:szCs w:val="16"/>
              </w:rPr>
              <w:t>核黄素</w:t>
            </w:r>
          </w:p>
        </w:tc>
      </w:tr>
    </w:tbl>
    <w:p w:rsidR="00EA40A3" w:rsidRDefault="00EA40A3">
      <w:pPr>
        <w:spacing w:line="299" w:lineRule="auto"/>
      </w:pPr>
    </w:p>
    <w:p w:rsidR="00EA40A3" w:rsidRDefault="00E86C16">
      <w:pPr>
        <w:spacing w:before="59"/>
        <w:ind w:left="89"/>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398</w:t>
      </w:r>
      <w:r>
        <w:rPr>
          <w:rFonts w:ascii="宋体" w:eastAsia="宋体" w:hAnsi="宋体" w:cs="宋体"/>
          <w:spacing w:val="45"/>
          <w:sz w:val="18"/>
          <w:szCs w:val="18"/>
        </w:rPr>
        <w:t xml:space="preserve"> </w:t>
      </w:r>
      <w:r>
        <w:rPr>
          <w:rFonts w:ascii="宋体" w:eastAsia="宋体" w:hAnsi="宋体" w:cs="宋体"/>
          <w:spacing w:val="-28"/>
          <w:sz w:val="18"/>
          <w:szCs w:val="18"/>
        </w:rPr>
        <w:t>·</w:t>
      </w:r>
    </w:p>
    <w:p w:rsidR="00EA40A3" w:rsidRDefault="00EA40A3">
      <w:pPr>
        <w:sectPr w:rsidR="00EA40A3">
          <w:footerReference w:type="default" r:id="rId324"/>
          <w:pgSz w:w="9220" w:h="13360"/>
          <w:pgMar w:top="400" w:right="994" w:bottom="400" w:left="780" w:header="0" w:footer="0" w:gutter="0"/>
          <w:cols w:space="720"/>
        </w:sectPr>
      </w:pPr>
    </w:p>
    <w:p w:rsidR="00EA40A3" w:rsidRDefault="00EA40A3">
      <w:pPr>
        <w:spacing w:line="41" w:lineRule="exact"/>
      </w:pPr>
    </w:p>
    <w:tbl>
      <w:tblPr>
        <w:tblStyle w:val="TableNormal"/>
        <w:tblW w:w="734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569"/>
        <w:gridCol w:w="2908"/>
        <w:gridCol w:w="2863"/>
      </w:tblGrid>
      <w:tr w:rsidR="00EA40A3">
        <w:trPr>
          <w:trHeight w:val="355"/>
        </w:trPr>
        <w:tc>
          <w:tcPr>
            <w:tcW w:w="1569" w:type="dxa"/>
            <w:tcBorders>
              <w:top w:val="single" w:sz="4" w:space="0" w:color="000000"/>
              <w:bottom w:val="single" w:sz="4" w:space="0" w:color="000000"/>
            </w:tcBorders>
          </w:tcPr>
          <w:p w:rsidR="00EA40A3" w:rsidRDefault="00E86C16">
            <w:pPr>
              <w:spacing w:before="151" w:line="219" w:lineRule="auto"/>
              <w:ind w:left="849"/>
              <w:rPr>
                <w:rFonts w:ascii="宋体" w:eastAsia="宋体" w:hAnsi="宋体" w:cs="宋体"/>
                <w:sz w:val="16"/>
                <w:szCs w:val="16"/>
              </w:rPr>
            </w:pPr>
            <w:r>
              <w:rPr>
                <w:rFonts w:ascii="宋体" w:eastAsia="宋体" w:hAnsi="宋体" w:cs="宋体"/>
                <w:spacing w:val="-3"/>
                <w:sz w:val="16"/>
                <w:szCs w:val="16"/>
              </w:rPr>
              <w:t>部位</w:t>
            </w:r>
          </w:p>
        </w:tc>
        <w:tc>
          <w:tcPr>
            <w:tcW w:w="2908" w:type="dxa"/>
            <w:tcBorders>
              <w:top w:val="single" w:sz="4" w:space="0" w:color="000000"/>
              <w:bottom w:val="single" w:sz="4" w:space="0" w:color="000000"/>
            </w:tcBorders>
          </w:tcPr>
          <w:p w:rsidR="00EA40A3" w:rsidRDefault="00E86C16">
            <w:pPr>
              <w:spacing w:before="101" w:line="221" w:lineRule="auto"/>
              <w:ind w:left="1200"/>
              <w:rPr>
                <w:rFonts w:ascii="宋体" w:eastAsia="宋体" w:hAnsi="宋体" w:cs="宋体"/>
                <w:sz w:val="16"/>
                <w:szCs w:val="16"/>
              </w:rPr>
            </w:pPr>
            <w:r>
              <w:rPr>
                <w:rFonts w:ascii="宋体" w:eastAsia="宋体" w:hAnsi="宋体" w:cs="宋体"/>
                <w:spacing w:val="-4"/>
                <w:sz w:val="16"/>
                <w:szCs w:val="16"/>
              </w:rPr>
              <w:t>体</w:t>
            </w:r>
            <w:r>
              <w:rPr>
                <w:rFonts w:ascii="宋体" w:eastAsia="宋体" w:hAnsi="宋体" w:cs="宋体"/>
                <w:spacing w:val="18"/>
                <w:sz w:val="16"/>
                <w:szCs w:val="16"/>
              </w:rPr>
              <w:t xml:space="preserve">   </w:t>
            </w:r>
            <w:r>
              <w:rPr>
                <w:rFonts w:ascii="宋体" w:eastAsia="宋体" w:hAnsi="宋体" w:cs="宋体"/>
                <w:spacing w:val="-4"/>
                <w:sz w:val="16"/>
                <w:szCs w:val="16"/>
              </w:rPr>
              <w:t>征</w:t>
            </w:r>
          </w:p>
        </w:tc>
        <w:tc>
          <w:tcPr>
            <w:tcW w:w="2863" w:type="dxa"/>
            <w:tcBorders>
              <w:top w:val="single" w:sz="4" w:space="0" w:color="000000"/>
              <w:bottom w:val="single" w:sz="4" w:space="0" w:color="000000"/>
            </w:tcBorders>
          </w:tcPr>
          <w:p w:rsidR="00EA40A3" w:rsidRDefault="00E86C16">
            <w:pPr>
              <w:spacing w:before="101" w:line="219" w:lineRule="auto"/>
              <w:ind w:left="302"/>
              <w:rPr>
                <w:rFonts w:ascii="宋体" w:eastAsia="宋体" w:hAnsi="宋体" w:cs="宋体"/>
                <w:sz w:val="16"/>
                <w:szCs w:val="16"/>
              </w:rPr>
            </w:pPr>
            <w:r>
              <w:rPr>
                <w:rFonts w:ascii="宋体" w:eastAsia="宋体" w:hAnsi="宋体" w:cs="宋体"/>
                <w:spacing w:val="-1"/>
                <w:sz w:val="16"/>
                <w:szCs w:val="16"/>
              </w:rPr>
              <w:t>有关的障碍或营养素缺乏</w:t>
            </w:r>
          </w:p>
        </w:tc>
      </w:tr>
      <w:tr w:rsidR="00EA40A3">
        <w:trPr>
          <w:trHeight w:val="299"/>
        </w:trPr>
        <w:tc>
          <w:tcPr>
            <w:tcW w:w="1569" w:type="dxa"/>
            <w:tcBorders>
              <w:top w:val="single" w:sz="4" w:space="0" w:color="000000"/>
              <w:bottom w:val="single" w:sz="4" w:space="0" w:color="000000"/>
            </w:tcBorders>
          </w:tcPr>
          <w:p w:rsidR="00EA40A3" w:rsidRDefault="00E86C16">
            <w:pPr>
              <w:spacing w:before="69" w:line="223" w:lineRule="auto"/>
              <w:ind w:left="719"/>
              <w:rPr>
                <w:rFonts w:ascii="宋体" w:eastAsia="宋体" w:hAnsi="宋体" w:cs="宋体"/>
                <w:sz w:val="16"/>
                <w:szCs w:val="16"/>
              </w:rPr>
            </w:pPr>
            <w:r>
              <w:rPr>
                <w:rFonts w:ascii="宋体" w:eastAsia="宋体" w:hAnsi="宋体" w:cs="宋体"/>
                <w:sz w:val="16"/>
                <w:szCs w:val="16"/>
              </w:rPr>
              <w:t>齿</w:t>
            </w:r>
          </w:p>
        </w:tc>
        <w:tc>
          <w:tcPr>
            <w:tcW w:w="2908" w:type="dxa"/>
            <w:tcBorders>
              <w:top w:val="single" w:sz="4" w:space="0" w:color="000000"/>
              <w:bottom w:val="single" w:sz="4" w:space="0" w:color="000000"/>
            </w:tcBorders>
          </w:tcPr>
          <w:p w:rsidR="00EA40A3" w:rsidRDefault="00E86C16">
            <w:pPr>
              <w:spacing w:before="67" w:line="220" w:lineRule="auto"/>
              <w:ind w:left="380"/>
              <w:rPr>
                <w:rFonts w:ascii="宋体" w:eastAsia="宋体" w:hAnsi="宋体" w:cs="宋体"/>
                <w:sz w:val="16"/>
                <w:szCs w:val="16"/>
              </w:rPr>
            </w:pPr>
            <w:r>
              <w:rPr>
                <w:rFonts w:ascii="宋体" w:eastAsia="宋体" w:hAnsi="宋体" w:cs="宋体"/>
                <w:spacing w:val="-2"/>
                <w:sz w:val="16"/>
                <w:szCs w:val="16"/>
              </w:rPr>
              <w:t>斑釉齿</w:t>
            </w:r>
          </w:p>
        </w:tc>
        <w:tc>
          <w:tcPr>
            <w:tcW w:w="2863" w:type="dxa"/>
            <w:tcBorders>
              <w:top w:val="single" w:sz="4" w:space="0" w:color="000000"/>
              <w:bottom w:val="single" w:sz="4" w:space="0" w:color="000000"/>
            </w:tcBorders>
          </w:tcPr>
          <w:p w:rsidR="00EA40A3" w:rsidRDefault="00E86C16">
            <w:pPr>
              <w:spacing w:before="66" w:line="219" w:lineRule="auto"/>
              <w:ind w:left="302"/>
              <w:rPr>
                <w:rFonts w:ascii="宋体" w:eastAsia="宋体" w:hAnsi="宋体" w:cs="宋体"/>
                <w:sz w:val="16"/>
                <w:szCs w:val="16"/>
              </w:rPr>
            </w:pPr>
            <w:r>
              <w:rPr>
                <w:rFonts w:ascii="宋体" w:eastAsia="宋体" w:hAnsi="宋体" w:cs="宋体"/>
                <w:spacing w:val="5"/>
                <w:sz w:val="16"/>
                <w:szCs w:val="16"/>
              </w:rPr>
              <w:t>氟过多</w:t>
            </w:r>
          </w:p>
        </w:tc>
      </w:tr>
      <w:tr w:rsidR="00EA40A3">
        <w:trPr>
          <w:trHeight w:val="290"/>
        </w:trPr>
        <w:tc>
          <w:tcPr>
            <w:tcW w:w="1569" w:type="dxa"/>
            <w:tcBorders>
              <w:top w:val="single" w:sz="4" w:space="0" w:color="000000"/>
              <w:bottom w:val="single" w:sz="4" w:space="0" w:color="000000"/>
            </w:tcBorders>
          </w:tcPr>
          <w:p w:rsidR="00EA40A3" w:rsidRDefault="00E86C16">
            <w:pPr>
              <w:spacing w:before="70" w:line="222" w:lineRule="auto"/>
              <w:ind w:left="639"/>
              <w:rPr>
                <w:rFonts w:ascii="宋体" w:eastAsia="宋体" w:hAnsi="宋体" w:cs="宋体"/>
                <w:sz w:val="16"/>
                <w:szCs w:val="16"/>
              </w:rPr>
            </w:pPr>
            <w:r>
              <w:rPr>
                <w:rFonts w:ascii="宋体" w:eastAsia="宋体" w:hAnsi="宋体" w:cs="宋体"/>
                <w:spacing w:val="-2"/>
                <w:sz w:val="16"/>
                <w:szCs w:val="16"/>
              </w:rPr>
              <w:t>齿龈</w:t>
            </w:r>
          </w:p>
        </w:tc>
        <w:tc>
          <w:tcPr>
            <w:tcW w:w="2908" w:type="dxa"/>
            <w:tcBorders>
              <w:top w:val="single" w:sz="4" w:space="0" w:color="000000"/>
              <w:bottom w:val="single" w:sz="4" w:space="0" w:color="000000"/>
            </w:tcBorders>
          </w:tcPr>
          <w:p w:rsidR="00EA40A3" w:rsidRDefault="00E86C16">
            <w:pPr>
              <w:spacing w:before="67" w:line="219" w:lineRule="auto"/>
              <w:ind w:left="380"/>
              <w:rPr>
                <w:rFonts w:ascii="宋体" w:eastAsia="宋体" w:hAnsi="宋体" w:cs="宋体"/>
                <w:sz w:val="16"/>
                <w:szCs w:val="16"/>
              </w:rPr>
            </w:pPr>
            <w:r>
              <w:rPr>
                <w:rFonts w:ascii="宋体" w:eastAsia="宋体" w:hAnsi="宋体" w:cs="宋体"/>
                <w:spacing w:val="7"/>
                <w:sz w:val="16"/>
                <w:szCs w:val="16"/>
              </w:rPr>
              <w:t>松肿</w:t>
            </w:r>
          </w:p>
        </w:tc>
        <w:tc>
          <w:tcPr>
            <w:tcW w:w="2863" w:type="dxa"/>
            <w:tcBorders>
              <w:top w:val="single" w:sz="4" w:space="0" w:color="000000"/>
              <w:bottom w:val="single" w:sz="4" w:space="0" w:color="000000"/>
            </w:tcBorders>
          </w:tcPr>
          <w:p w:rsidR="00EA40A3" w:rsidRDefault="00E86C16">
            <w:pPr>
              <w:spacing w:before="67" w:line="219" w:lineRule="auto"/>
              <w:ind w:left="302"/>
              <w:rPr>
                <w:rFonts w:ascii="宋体" w:eastAsia="宋体" w:hAnsi="宋体" w:cs="宋体"/>
                <w:sz w:val="16"/>
                <w:szCs w:val="16"/>
              </w:rPr>
            </w:pPr>
            <w:r>
              <w:rPr>
                <w:rFonts w:ascii="宋体" w:eastAsia="宋体" w:hAnsi="宋体" w:cs="宋体"/>
                <w:spacing w:val="-2"/>
                <w:sz w:val="16"/>
                <w:szCs w:val="16"/>
              </w:rPr>
              <w:t>抗坏血酸</w:t>
            </w:r>
          </w:p>
        </w:tc>
      </w:tr>
      <w:tr w:rsidR="00EA40A3">
        <w:trPr>
          <w:trHeight w:val="539"/>
        </w:trPr>
        <w:tc>
          <w:tcPr>
            <w:tcW w:w="1569" w:type="dxa"/>
            <w:tcBorders>
              <w:top w:val="single" w:sz="4" w:space="0" w:color="000000"/>
              <w:bottom w:val="single" w:sz="4" w:space="0" w:color="000000"/>
            </w:tcBorders>
          </w:tcPr>
          <w:p w:rsidR="00EA40A3" w:rsidRDefault="00E86C16">
            <w:pPr>
              <w:spacing w:before="188" w:line="221" w:lineRule="auto"/>
              <w:ind w:left="639"/>
              <w:rPr>
                <w:rFonts w:ascii="宋体" w:eastAsia="宋体" w:hAnsi="宋体" w:cs="宋体"/>
                <w:sz w:val="16"/>
                <w:szCs w:val="16"/>
              </w:rPr>
            </w:pPr>
            <w:r>
              <w:rPr>
                <w:rFonts w:ascii="宋体" w:eastAsia="宋体" w:hAnsi="宋体" w:cs="宋体"/>
                <w:spacing w:val="-2"/>
                <w:sz w:val="16"/>
                <w:szCs w:val="16"/>
              </w:rPr>
              <w:t>腺体</w:t>
            </w:r>
          </w:p>
        </w:tc>
        <w:tc>
          <w:tcPr>
            <w:tcW w:w="2908" w:type="dxa"/>
            <w:tcBorders>
              <w:top w:val="single" w:sz="4" w:space="0" w:color="000000"/>
              <w:bottom w:val="single" w:sz="4" w:space="0" w:color="000000"/>
            </w:tcBorders>
          </w:tcPr>
          <w:p w:rsidR="00EA40A3" w:rsidRDefault="00E86C16">
            <w:pPr>
              <w:spacing w:before="87" w:line="270" w:lineRule="exact"/>
              <w:ind w:left="380"/>
              <w:rPr>
                <w:rFonts w:ascii="宋体" w:eastAsia="宋体" w:hAnsi="宋体" w:cs="宋体"/>
                <w:sz w:val="16"/>
                <w:szCs w:val="16"/>
              </w:rPr>
            </w:pPr>
            <w:r>
              <w:rPr>
                <w:rFonts w:ascii="宋体" w:eastAsia="宋体" w:hAnsi="宋体" w:cs="宋体"/>
                <w:spacing w:val="1"/>
                <w:position w:val="8"/>
                <w:sz w:val="16"/>
                <w:szCs w:val="16"/>
              </w:rPr>
              <w:t>甲状腺肿大</w:t>
            </w:r>
          </w:p>
          <w:p w:rsidR="00EA40A3" w:rsidRDefault="00E86C16">
            <w:pPr>
              <w:spacing w:line="208" w:lineRule="auto"/>
              <w:ind w:left="380"/>
              <w:rPr>
                <w:rFonts w:ascii="宋体" w:eastAsia="宋体" w:hAnsi="宋体" w:cs="宋体"/>
                <w:sz w:val="16"/>
                <w:szCs w:val="16"/>
              </w:rPr>
            </w:pPr>
            <w:r>
              <w:rPr>
                <w:rFonts w:ascii="宋体" w:eastAsia="宋体" w:hAnsi="宋体" w:cs="宋体"/>
                <w:spacing w:val="-2"/>
                <w:sz w:val="16"/>
                <w:szCs w:val="16"/>
              </w:rPr>
              <w:t>腮腺肿大</w:t>
            </w:r>
          </w:p>
        </w:tc>
        <w:tc>
          <w:tcPr>
            <w:tcW w:w="2863" w:type="dxa"/>
            <w:tcBorders>
              <w:top w:val="single" w:sz="4" w:space="0" w:color="000000"/>
              <w:bottom w:val="single" w:sz="4" w:space="0" w:color="000000"/>
            </w:tcBorders>
          </w:tcPr>
          <w:p w:rsidR="00EA40A3" w:rsidRDefault="00E86C16">
            <w:pPr>
              <w:spacing w:before="88" w:line="221" w:lineRule="auto"/>
              <w:ind w:left="302"/>
              <w:rPr>
                <w:rFonts w:ascii="宋体" w:eastAsia="宋体" w:hAnsi="宋体" w:cs="宋体"/>
                <w:sz w:val="16"/>
                <w:szCs w:val="16"/>
              </w:rPr>
            </w:pPr>
            <w:r>
              <w:rPr>
                <w:rFonts w:ascii="宋体" w:eastAsia="宋体" w:hAnsi="宋体" w:cs="宋体"/>
                <w:sz w:val="16"/>
                <w:szCs w:val="16"/>
              </w:rPr>
              <w:t>碘</w:t>
            </w:r>
          </w:p>
          <w:p w:rsidR="00EA40A3" w:rsidRDefault="00E86C16">
            <w:pPr>
              <w:spacing w:before="68" w:line="220" w:lineRule="auto"/>
              <w:ind w:left="302"/>
              <w:rPr>
                <w:rFonts w:ascii="宋体" w:eastAsia="宋体" w:hAnsi="宋体" w:cs="宋体"/>
                <w:sz w:val="16"/>
                <w:szCs w:val="16"/>
              </w:rPr>
            </w:pPr>
            <w:r>
              <w:rPr>
                <w:rFonts w:ascii="宋体" w:eastAsia="宋体" w:hAnsi="宋体" w:cs="宋体"/>
                <w:spacing w:val="-2"/>
                <w:sz w:val="16"/>
                <w:szCs w:val="16"/>
              </w:rPr>
              <w:t>饥饿</w:t>
            </w:r>
          </w:p>
        </w:tc>
      </w:tr>
      <w:tr w:rsidR="00EA40A3">
        <w:trPr>
          <w:trHeight w:val="998"/>
        </w:trPr>
        <w:tc>
          <w:tcPr>
            <w:tcW w:w="1569" w:type="dxa"/>
            <w:tcBorders>
              <w:top w:val="single" w:sz="4" w:space="0" w:color="000000"/>
              <w:bottom w:val="single" w:sz="4" w:space="0" w:color="000000"/>
            </w:tcBorders>
          </w:tcPr>
          <w:p w:rsidR="00EA40A3" w:rsidRDefault="00EA40A3">
            <w:pPr>
              <w:spacing w:line="364" w:lineRule="auto"/>
            </w:pPr>
          </w:p>
          <w:p w:rsidR="00EA40A3" w:rsidRDefault="00E86C16">
            <w:pPr>
              <w:spacing w:before="52" w:line="220" w:lineRule="auto"/>
              <w:ind w:left="639"/>
              <w:rPr>
                <w:rFonts w:ascii="宋体" w:eastAsia="宋体" w:hAnsi="宋体" w:cs="宋体"/>
                <w:sz w:val="16"/>
                <w:szCs w:val="16"/>
              </w:rPr>
            </w:pPr>
            <w:r>
              <w:rPr>
                <w:rFonts w:ascii="宋体" w:eastAsia="宋体" w:hAnsi="宋体" w:cs="宋体"/>
                <w:spacing w:val="-3"/>
                <w:sz w:val="16"/>
                <w:szCs w:val="16"/>
              </w:rPr>
              <w:t>皮肤</w:t>
            </w:r>
          </w:p>
        </w:tc>
        <w:tc>
          <w:tcPr>
            <w:tcW w:w="2908" w:type="dxa"/>
            <w:tcBorders>
              <w:top w:val="single" w:sz="4" w:space="0" w:color="000000"/>
              <w:bottom w:val="single" w:sz="4" w:space="0" w:color="000000"/>
            </w:tcBorders>
          </w:tcPr>
          <w:p w:rsidR="00EA40A3" w:rsidRDefault="00E86C16">
            <w:pPr>
              <w:spacing w:before="67" w:line="253" w:lineRule="exact"/>
              <w:ind w:left="380"/>
              <w:rPr>
                <w:rFonts w:ascii="宋体" w:eastAsia="宋体" w:hAnsi="宋体" w:cs="宋体"/>
                <w:sz w:val="16"/>
                <w:szCs w:val="16"/>
              </w:rPr>
            </w:pPr>
            <w:r>
              <w:rPr>
                <w:rFonts w:ascii="宋体" w:eastAsia="宋体" w:hAnsi="宋体" w:cs="宋体"/>
                <w:spacing w:val="-1"/>
                <w:position w:val="7"/>
                <w:sz w:val="16"/>
                <w:szCs w:val="16"/>
              </w:rPr>
              <w:t>干燥，毛囊角化</w:t>
            </w:r>
          </w:p>
          <w:p w:rsidR="00EA40A3" w:rsidRDefault="00E86C16">
            <w:pPr>
              <w:spacing w:line="222" w:lineRule="auto"/>
              <w:ind w:left="380"/>
              <w:rPr>
                <w:rFonts w:ascii="宋体" w:eastAsia="宋体" w:hAnsi="宋体" w:cs="宋体"/>
                <w:sz w:val="16"/>
                <w:szCs w:val="16"/>
              </w:rPr>
            </w:pPr>
            <w:r>
              <w:rPr>
                <w:rFonts w:ascii="宋体" w:eastAsia="宋体" w:hAnsi="宋体" w:cs="宋体"/>
                <w:spacing w:val="5"/>
                <w:sz w:val="16"/>
                <w:szCs w:val="16"/>
              </w:rPr>
              <w:t>出血点(瘀点)</w:t>
            </w:r>
          </w:p>
          <w:p w:rsidR="00EA40A3" w:rsidRDefault="00E86C16">
            <w:pPr>
              <w:spacing w:before="65" w:line="220" w:lineRule="auto"/>
              <w:ind w:left="380"/>
              <w:rPr>
                <w:rFonts w:ascii="宋体" w:eastAsia="宋体" w:hAnsi="宋体" w:cs="宋体"/>
                <w:sz w:val="16"/>
                <w:szCs w:val="16"/>
              </w:rPr>
            </w:pPr>
            <w:r>
              <w:rPr>
                <w:rFonts w:ascii="宋体" w:eastAsia="宋体" w:hAnsi="宋体" w:cs="宋体"/>
                <w:spacing w:val="-1"/>
                <w:sz w:val="16"/>
                <w:szCs w:val="16"/>
              </w:rPr>
              <w:t>癞皮病皮炎</w:t>
            </w:r>
          </w:p>
          <w:p w:rsidR="00EA40A3" w:rsidRDefault="00E86C16">
            <w:pPr>
              <w:spacing w:before="58" w:line="196" w:lineRule="auto"/>
              <w:ind w:left="380"/>
              <w:rPr>
                <w:rFonts w:ascii="宋体" w:eastAsia="宋体" w:hAnsi="宋体" w:cs="宋体"/>
                <w:sz w:val="16"/>
                <w:szCs w:val="16"/>
              </w:rPr>
            </w:pPr>
            <w:r>
              <w:rPr>
                <w:rFonts w:ascii="宋体" w:eastAsia="宋体" w:hAnsi="宋体" w:cs="宋体"/>
                <w:spacing w:val="1"/>
                <w:sz w:val="16"/>
                <w:szCs w:val="16"/>
              </w:rPr>
              <w:t>阴囊与会阴皮炎</w:t>
            </w:r>
          </w:p>
        </w:tc>
        <w:tc>
          <w:tcPr>
            <w:tcW w:w="2863" w:type="dxa"/>
            <w:tcBorders>
              <w:top w:val="single" w:sz="4" w:space="0" w:color="000000"/>
              <w:bottom w:val="single" w:sz="4" w:space="0" w:color="000000"/>
            </w:tcBorders>
          </w:tcPr>
          <w:p w:rsidR="00EA40A3" w:rsidRDefault="00E86C16">
            <w:pPr>
              <w:spacing w:before="68" w:line="230" w:lineRule="exact"/>
              <w:ind w:left="302"/>
              <w:rPr>
                <w:rFonts w:ascii="宋体" w:eastAsia="宋体" w:hAnsi="宋体" w:cs="宋体"/>
                <w:sz w:val="16"/>
                <w:szCs w:val="16"/>
              </w:rPr>
            </w:pPr>
            <w:r>
              <w:rPr>
                <w:rFonts w:ascii="宋体" w:eastAsia="宋体" w:hAnsi="宋体" w:cs="宋体"/>
                <w:spacing w:val="-2"/>
                <w:position w:val="5"/>
                <w:sz w:val="16"/>
                <w:szCs w:val="16"/>
              </w:rPr>
              <w:t>维生素A</w:t>
            </w:r>
          </w:p>
          <w:p w:rsidR="00EA40A3" w:rsidRDefault="00E86C16">
            <w:pPr>
              <w:spacing w:line="219" w:lineRule="auto"/>
              <w:ind w:left="302"/>
              <w:rPr>
                <w:rFonts w:ascii="宋体" w:eastAsia="宋体" w:hAnsi="宋体" w:cs="宋体"/>
                <w:sz w:val="16"/>
                <w:szCs w:val="16"/>
              </w:rPr>
            </w:pPr>
            <w:r>
              <w:rPr>
                <w:rFonts w:ascii="宋体" w:eastAsia="宋体" w:hAnsi="宋体" w:cs="宋体"/>
                <w:spacing w:val="-2"/>
                <w:sz w:val="16"/>
                <w:szCs w:val="16"/>
              </w:rPr>
              <w:t>抗坏血酸</w:t>
            </w:r>
          </w:p>
          <w:p w:rsidR="00EA40A3" w:rsidRDefault="00E86C16">
            <w:pPr>
              <w:spacing w:before="90" w:line="221" w:lineRule="auto"/>
              <w:ind w:left="302"/>
              <w:rPr>
                <w:rFonts w:ascii="宋体" w:eastAsia="宋体" w:hAnsi="宋体" w:cs="宋体"/>
                <w:sz w:val="16"/>
                <w:szCs w:val="16"/>
              </w:rPr>
            </w:pPr>
            <w:r>
              <w:rPr>
                <w:rFonts w:ascii="宋体" w:eastAsia="宋体" w:hAnsi="宋体" w:cs="宋体"/>
                <w:spacing w:val="-2"/>
                <w:sz w:val="16"/>
                <w:szCs w:val="16"/>
              </w:rPr>
              <w:t>烟酸</w:t>
            </w:r>
          </w:p>
          <w:p w:rsidR="00EA40A3" w:rsidRDefault="00E86C16">
            <w:pPr>
              <w:spacing w:before="57" w:line="196" w:lineRule="auto"/>
              <w:ind w:left="302"/>
              <w:rPr>
                <w:rFonts w:ascii="宋体" w:eastAsia="宋体" w:hAnsi="宋体" w:cs="宋体"/>
                <w:sz w:val="16"/>
                <w:szCs w:val="16"/>
              </w:rPr>
            </w:pPr>
            <w:r>
              <w:rPr>
                <w:rFonts w:ascii="宋体" w:eastAsia="宋体" w:hAnsi="宋体" w:cs="宋体"/>
                <w:spacing w:val="-2"/>
                <w:sz w:val="16"/>
                <w:szCs w:val="16"/>
              </w:rPr>
              <w:t>核黄素</w:t>
            </w:r>
          </w:p>
        </w:tc>
      </w:tr>
      <w:tr w:rsidR="00EA40A3">
        <w:trPr>
          <w:trHeight w:val="290"/>
        </w:trPr>
        <w:tc>
          <w:tcPr>
            <w:tcW w:w="1569" w:type="dxa"/>
            <w:tcBorders>
              <w:top w:val="single" w:sz="4" w:space="0" w:color="000000"/>
              <w:bottom w:val="single" w:sz="4" w:space="0" w:color="000000"/>
            </w:tcBorders>
          </w:tcPr>
          <w:p w:rsidR="00EA40A3" w:rsidRDefault="00E86C16">
            <w:pPr>
              <w:spacing w:before="71" w:line="221" w:lineRule="auto"/>
              <w:ind w:left="559"/>
              <w:rPr>
                <w:rFonts w:ascii="宋体" w:eastAsia="宋体" w:hAnsi="宋体" w:cs="宋体"/>
                <w:sz w:val="16"/>
                <w:szCs w:val="16"/>
              </w:rPr>
            </w:pPr>
            <w:r>
              <w:rPr>
                <w:rFonts w:ascii="宋体" w:eastAsia="宋体" w:hAnsi="宋体" w:cs="宋体"/>
                <w:spacing w:val="-5"/>
                <w:sz w:val="16"/>
                <w:szCs w:val="16"/>
              </w:rPr>
              <w:t>指</w:t>
            </w:r>
            <w:r>
              <w:rPr>
                <w:rFonts w:ascii="宋体" w:eastAsia="宋体" w:hAnsi="宋体" w:cs="宋体"/>
                <w:spacing w:val="27"/>
                <w:w w:val="101"/>
                <w:sz w:val="16"/>
                <w:szCs w:val="16"/>
              </w:rPr>
              <w:t xml:space="preserve">  </w:t>
            </w:r>
            <w:r>
              <w:rPr>
                <w:rFonts w:ascii="宋体" w:eastAsia="宋体" w:hAnsi="宋体" w:cs="宋体"/>
                <w:spacing w:val="-5"/>
                <w:sz w:val="16"/>
                <w:szCs w:val="16"/>
              </w:rPr>
              <w:t>甲</w:t>
            </w:r>
          </w:p>
        </w:tc>
        <w:tc>
          <w:tcPr>
            <w:tcW w:w="2908" w:type="dxa"/>
            <w:tcBorders>
              <w:top w:val="single" w:sz="4" w:space="0" w:color="000000"/>
              <w:bottom w:val="single" w:sz="4" w:space="0" w:color="000000"/>
            </w:tcBorders>
          </w:tcPr>
          <w:p w:rsidR="00EA40A3" w:rsidRDefault="00E86C16">
            <w:pPr>
              <w:spacing w:before="70" w:line="219" w:lineRule="auto"/>
              <w:ind w:left="380"/>
              <w:rPr>
                <w:rFonts w:ascii="宋体" w:eastAsia="宋体" w:hAnsi="宋体" w:cs="宋体"/>
                <w:sz w:val="16"/>
                <w:szCs w:val="16"/>
              </w:rPr>
            </w:pPr>
            <w:r>
              <w:rPr>
                <w:rFonts w:ascii="宋体" w:eastAsia="宋体" w:hAnsi="宋体" w:cs="宋体"/>
                <w:spacing w:val="5"/>
                <w:sz w:val="16"/>
                <w:szCs w:val="16"/>
              </w:rPr>
              <w:t>反甲(舟状甲)</w:t>
            </w:r>
          </w:p>
        </w:tc>
        <w:tc>
          <w:tcPr>
            <w:tcW w:w="2863" w:type="dxa"/>
            <w:tcBorders>
              <w:top w:val="single" w:sz="4" w:space="0" w:color="000000"/>
              <w:bottom w:val="single" w:sz="4" w:space="0" w:color="000000"/>
            </w:tcBorders>
          </w:tcPr>
          <w:p w:rsidR="00EA40A3" w:rsidRDefault="00E86C16">
            <w:pPr>
              <w:spacing w:before="71" w:line="221" w:lineRule="auto"/>
              <w:ind w:left="302"/>
              <w:rPr>
                <w:rFonts w:ascii="宋体" w:eastAsia="宋体" w:hAnsi="宋体" w:cs="宋体"/>
                <w:sz w:val="16"/>
                <w:szCs w:val="16"/>
              </w:rPr>
            </w:pPr>
            <w:r>
              <w:rPr>
                <w:rFonts w:ascii="宋体" w:eastAsia="宋体" w:hAnsi="宋体" w:cs="宋体"/>
                <w:sz w:val="16"/>
                <w:szCs w:val="16"/>
              </w:rPr>
              <w:t>铁</w:t>
            </w:r>
          </w:p>
        </w:tc>
      </w:tr>
      <w:tr w:rsidR="00EA40A3">
        <w:trPr>
          <w:trHeight w:val="919"/>
        </w:trPr>
        <w:tc>
          <w:tcPr>
            <w:tcW w:w="1569" w:type="dxa"/>
            <w:tcBorders>
              <w:top w:val="single" w:sz="4" w:space="0" w:color="000000"/>
              <w:bottom w:val="single" w:sz="4" w:space="0" w:color="000000"/>
            </w:tcBorders>
          </w:tcPr>
          <w:p w:rsidR="00EA40A3" w:rsidRDefault="00EA40A3">
            <w:pPr>
              <w:spacing w:line="327" w:lineRule="auto"/>
            </w:pPr>
          </w:p>
          <w:p w:rsidR="00EA40A3" w:rsidRDefault="00E86C16">
            <w:pPr>
              <w:spacing w:before="52" w:line="220" w:lineRule="auto"/>
              <w:ind w:left="480"/>
              <w:rPr>
                <w:rFonts w:ascii="宋体" w:eastAsia="宋体" w:hAnsi="宋体" w:cs="宋体"/>
                <w:sz w:val="16"/>
                <w:szCs w:val="16"/>
              </w:rPr>
            </w:pPr>
            <w:r>
              <w:rPr>
                <w:rFonts w:ascii="宋体" w:eastAsia="宋体" w:hAnsi="宋体" w:cs="宋体"/>
                <w:spacing w:val="-2"/>
                <w:sz w:val="16"/>
                <w:szCs w:val="16"/>
              </w:rPr>
              <w:t>皮下组织</w:t>
            </w:r>
          </w:p>
        </w:tc>
        <w:tc>
          <w:tcPr>
            <w:tcW w:w="2908" w:type="dxa"/>
            <w:tcBorders>
              <w:top w:val="single" w:sz="4" w:space="0" w:color="000000"/>
              <w:bottom w:val="single" w:sz="4" w:space="0" w:color="000000"/>
            </w:tcBorders>
          </w:tcPr>
          <w:p w:rsidR="00EA40A3" w:rsidRDefault="00E86C16">
            <w:pPr>
              <w:spacing w:before="150" w:line="219" w:lineRule="auto"/>
              <w:ind w:left="380"/>
              <w:rPr>
                <w:rFonts w:ascii="宋体" w:eastAsia="宋体" w:hAnsi="宋体" w:cs="宋体"/>
                <w:sz w:val="16"/>
                <w:szCs w:val="16"/>
              </w:rPr>
            </w:pPr>
            <w:r>
              <w:rPr>
                <w:rFonts w:ascii="宋体" w:eastAsia="宋体" w:hAnsi="宋体" w:cs="宋体"/>
                <w:spacing w:val="7"/>
                <w:sz w:val="16"/>
                <w:szCs w:val="16"/>
              </w:rPr>
              <w:t>水肿</w:t>
            </w:r>
          </w:p>
          <w:p w:rsidR="00EA40A3" w:rsidRDefault="00E86C16">
            <w:pPr>
              <w:spacing w:before="70" w:line="250" w:lineRule="exact"/>
              <w:ind w:left="380"/>
              <w:rPr>
                <w:rFonts w:ascii="宋体" w:eastAsia="宋体" w:hAnsi="宋体" w:cs="宋体"/>
                <w:sz w:val="16"/>
                <w:szCs w:val="16"/>
              </w:rPr>
            </w:pPr>
            <w:r>
              <w:rPr>
                <w:rFonts w:ascii="宋体" w:eastAsia="宋体" w:hAnsi="宋体" w:cs="宋体"/>
                <w:spacing w:val="3"/>
                <w:position w:val="6"/>
                <w:sz w:val="16"/>
                <w:szCs w:val="16"/>
              </w:rPr>
              <w:t>脂肪减少</w:t>
            </w:r>
          </w:p>
          <w:p w:rsidR="00EA40A3" w:rsidRDefault="00E86C16">
            <w:pPr>
              <w:spacing w:line="220" w:lineRule="auto"/>
              <w:ind w:left="380"/>
              <w:rPr>
                <w:rFonts w:ascii="宋体" w:eastAsia="宋体" w:hAnsi="宋体" w:cs="宋体"/>
                <w:sz w:val="16"/>
                <w:szCs w:val="16"/>
              </w:rPr>
            </w:pPr>
            <w:r>
              <w:rPr>
                <w:rFonts w:ascii="宋体" w:eastAsia="宋体" w:hAnsi="宋体" w:cs="宋体"/>
                <w:spacing w:val="3"/>
                <w:sz w:val="16"/>
                <w:szCs w:val="16"/>
              </w:rPr>
              <w:t>脂肪增多</w:t>
            </w:r>
          </w:p>
        </w:tc>
        <w:tc>
          <w:tcPr>
            <w:tcW w:w="2863" w:type="dxa"/>
            <w:tcBorders>
              <w:top w:val="single" w:sz="4" w:space="0" w:color="000000"/>
              <w:bottom w:val="single" w:sz="4" w:space="0" w:color="000000"/>
            </w:tcBorders>
          </w:tcPr>
          <w:p w:rsidR="00EA40A3" w:rsidRDefault="00E86C16">
            <w:pPr>
              <w:spacing w:before="161" w:line="250" w:lineRule="exact"/>
              <w:ind w:left="302"/>
              <w:rPr>
                <w:rFonts w:ascii="宋体" w:eastAsia="宋体" w:hAnsi="宋体" w:cs="宋体"/>
                <w:sz w:val="16"/>
                <w:szCs w:val="16"/>
              </w:rPr>
            </w:pPr>
            <w:r>
              <w:rPr>
                <w:rFonts w:ascii="宋体" w:eastAsia="宋体" w:hAnsi="宋体" w:cs="宋体"/>
                <w:spacing w:val="6"/>
                <w:position w:val="6"/>
                <w:sz w:val="16"/>
                <w:szCs w:val="16"/>
              </w:rPr>
              <w:t>蛋白质</w:t>
            </w:r>
          </w:p>
          <w:p w:rsidR="00EA40A3" w:rsidRDefault="00E86C16">
            <w:pPr>
              <w:spacing w:line="220" w:lineRule="auto"/>
              <w:ind w:left="302"/>
              <w:rPr>
                <w:rFonts w:ascii="宋体" w:eastAsia="宋体" w:hAnsi="宋体" w:cs="宋体"/>
                <w:sz w:val="16"/>
                <w:szCs w:val="16"/>
              </w:rPr>
            </w:pPr>
            <w:r>
              <w:rPr>
                <w:rFonts w:ascii="宋体" w:eastAsia="宋体" w:hAnsi="宋体" w:cs="宋体"/>
                <w:spacing w:val="-2"/>
                <w:sz w:val="16"/>
                <w:szCs w:val="16"/>
              </w:rPr>
              <w:t>饥饿</w:t>
            </w:r>
          </w:p>
          <w:p w:rsidR="00EA40A3" w:rsidRDefault="00E86C16">
            <w:pPr>
              <w:spacing w:before="66" w:line="219" w:lineRule="auto"/>
              <w:ind w:left="302"/>
              <w:rPr>
                <w:rFonts w:ascii="宋体" w:eastAsia="宋体" w:hAnsi="宋体" w:cs="宋体"/>
                <w:sz w:val="16"/>
                <w:szCs w:val="16"/>
              </w:rPr>
            </w:pPr>
            <w:r>
              <w:rPr>
                <w:rFonts w:ascii="宋体" w:eastAsia="宋体" w:hAnsi="宋体" w:cs="宋体"/>
                <w:spacing w:val="-2"/>
                <w:sz w:val="16"/>
                <w:szCs w:val="16"/>
              </w:rPr>
              <w:t>肥胖</w:t>
            </w:r>
          </w:p>
        </w:tc>
      </w:tr>
      <w:tr w:rsidR="00EA40A3">
        <w:trPr>
          <w:trHeight w:val="1388"/>
        </w:trPr>
        <w:tc>
          <w:tcPr>
            <w:tcW w:w="1569" w:type="dxa"/>
            <w:tcBorders>
              <w:top w:val="single" w:sz="4" w:space="0" w:color="000000"/>
              <w:bottom w:val="single" w:sz="4" w:space="0" w:color="000000"/>
            </w:tcBorders>
          </w:tcPr>
          <w:p w:rsidR="00EA40A3" w:rsidRDefault="00EA40A3">
            <w:pPr>
              <w:spacing w:line="293" w:lineRule="auto"/>
            </w:pPr>
          </w:p>
          <w:p w:rsidR="00EA40A3" w:rsidRDefault="00EA40A3">
            <w:pPr>
              <w:spacing w:line="293" w:lineRule="auto"/>
            </w:pPr>
          </w:p>
          <w:p w:rsidR="00EA40A3" w:rsidRDefault="00E86C16">
            <w:pPr>
              <w:spacing w:before="52" w:line="219" w:lineRule="auto"/>
              <w:ind w:left="399"/>
              <w:rPr>
                <w:rFonts w:ascii="宋体" w:eastAsia="宋体" w:hAnsi="宋体" w:cs="宋体"/>
                <w:sz w:val="16"/>
                <w:szCs w:val="16"/>
              </w:rPr>
            </w:pPr>
            <w:r>
              <w:rPr>
                <w:rFonts w:ascii="宋体" w:eastAsia="宋体" w:hAnsi="宋体" w:cs="宋体"/>
                <w:spacing w:val="-1"/>
                <w:sz w:val="16"/>
                <w:szCs w:val="16"/>
              </w:rPr>
              <w:t>肌肉和骨骼</w:t>
            </w:r>
          </w:p>
        </w:tc>
        <w:tc>
          <w:tcPr>
            <w:tcW w:w="2908" w:type="dxa"/>
            <w:tcBorders>
              <w:top w:val="single" w:sz="4" w:space="0" w:color="000000"/>
              <w:bottom w:val="single" w:sz="4" w:space="0" w:color="000000"/>
            </w:tcBorders>
          </w:tcPr>
          <w:p w:rsidR="00EA40A3" w:rsidRDefault="00E86C16">
            <w:pPr>
              <w:spacing w:before="121" w:line="219" w:lineRule="auto"/>
              <w:ind w:left="380"/>
              <w:rPr>
                <w:rFonts w:ascii="宋体" w:eastAsia="宋体" w:hAnsi="宋体" w:cs="宋体"/>
                <w:sz w:val="16"/>
                <w:szCs w:val="16"/>
              </w:rPr>
            </w:pPr>
            <w:r>
              <w:rPr>
                <w:rFonts w:ascii="宋体" w:eastAsia="宋体" w:hAnsi="宋体" w:cs="宋体"/>
                <w:spacing w:val="-1"/>
                <w:sz w:val="16"/>
                <w:szCs w:val="16"/>
              </w:rPr>
              <w:t>肌肉消耗</w:t>
            </w:r>
          </w:p>
          <w:p w:rsidR="00EA40A3" w:rsidRDefault="00E86C16">
            <w:pPr>
              <w:spacing w:before="70" w:line="219" w:lineRule="auto"/>
              <w:ind w:left="380"/>
              <w:rPr>
                <w:rFonts w:ascii="宋体" w:eastAsia="宋体" w:hAnsi="宋体" w:cs="宋体"/>
                <w:sz w:val="16"/>
                <w:szCs w:val="16"/>
              </w:rPr>
            </w:pPr>
            <w:r>
              <w:rPr>
                <w:rFonts w:ascii="宋体" w:eastAsia="宋体" w:hAnsi="宋体" w:cs="宋体"/>
                <w:spacing w:val="-1"/>
                <w:sz w:val="16"/>
                <w:szCs w:val="16"/>
              </w:rPr>
              <w:t>颅骨软化，方头，骨骺肿大</w:t>
            </w:r>
          </w:p>
          <w:p w:rsidR="00EA40A3" w:rsidRDefault="00E86C16">
            <w:pPr>
              <w:spacing w:before="49" w:line="272" w:lineRule="auto"/>
              <w:ind w:left="380" w:right="295"/>
              <w:rPr>
                <w:rFonts w:ascii="宋体" w:eastAsia="宋体" w:hAnsi="宋体" w:cs="宋体"/>
                <w:sz w:val="16"/>
                <w:szCs w:val="16"/>
              </w:rPr>
            </w:pPr>
            <w:r>
              <w:rPr>
                <w:rFonts w:ascii="宋体" w:eastAsia="宋体" w:hAnsi="宋体" w:cs="宋体"/>
                <w:spacing w:val="-1"/>
                <w:sz w:val="16"/>
                <w:szCs w:val="16"/>
              </w:rPr>
              <w:t>前卤未闭，下腿弯曲，膝盖靠紧</w:t>
            </w:r>
            <w:r>
              <w:rPr>
                <w:rFonts w:ascii="宋体" w:eastAsia="宋体" w:hAnsi="宋体" w:cs="宋体"/>
                <w:spacing w:val="4"/>
                <w:sz w:val="16"/>
                <w:szCs w:val="16"/>
              </w:rPr>
              <w:t xml:space="preserve"> </w:t>
            </w:r>
            <w:r>
              <w:rPr>
                <w:rFonts w:ascii="宋体" w:eastAsia="宋体" w:hAnsi="宋体" w:cs="宋体"/>
                <w:spacing w:val="3"/>
                <w:sz w:val="16"/>
                <w:szCs w:val="16"/>
              </w:rPr>
              <w:t>串珠肋</w:t>
            </w:r>
          </w:p>
          <w:p w:rsidR="00EA40A3" w:rsidRDefault="00E86C16">
            <w:pPr>
              <w:spacing w:before="68" w:line="219" w:lineRule="auto"/>
              <w:ind w:left="380"/>
              <w:rPr>
                <w:rFonts w:ascii="宋体" w:eastAsia="宋体" w:hAnsi="宋体" w:cs="宋体"/>
                <w:sz w:val="16"/>
                <w:szCs w:val="16"/>
              </w:rPr>
            </w:pPr>
            <w:r>
              <w:rPr>
                <w:rFonts w:ascii="宋体" w:eastAsia="宋体" w:hAnsi="宋体" w:cs="宋体"/>
                <w:spacing w:val="-1"/>
                <w:sz w:val="16"/>
                <w:szCs w:val="16"/>
              </w:rPr>
              <w:t>肌肉、骨骼出血</w:t>
            </w:r>
          </w:p>
        </w:tc>
        <w:tc>
          <w:tcPr>
            <w:tcW w:w="2863" w:type="dxa"/>
            <w:tcBorders>
              <w:top w:val="single" w:sz="4" w:space="0" w:color="000000"/>
              <w:bottom w:val="single" w:sz="4" w:space="0" w:color="000000"/>
            </w:tcBorders>
          </w:tcPr>
          <w:p w:rsidR="00EA40A3" w:rsidRDefault="00E86C16">
            <w:pPr>
              <w:spacing w:before="131" w:line="270" w:lineRule="exact"/>
              <w:ind w:left="302"/>
              <w:rPr>
                <w:rFonts w:ascii="宋体" w:eastAsia="宋体" w:hAnsi="宋体" w:cs="宋体"/>
                <w:sz w:val="16"/>
                <w:szCs w:val="16"/>
              </w:rPr>
            </w:pPr>
            <w:r>
              <w:rPr>
                <w:rFonts w:ascii="宋体" w:eastAsia="宋体" w:hAnsi="宋体" w:cs="宋体"/>
                <w:spacing w:val="-1"/>
                <w:position w:val="8"/>
                <w:sz w:val="16"/>
                <w:szCs w:val="16"/>
              </w:rPr>
              <w:t>饥饿，营养不良</w:t>
            </w:r>
          </w:p>
          <w:p w:rsidR="00EA40A3" w:rsidRDefault="00E86C16">
            <w:pPr>
              <w:spacing w:line="219" w:lineRule="auto"/>
              <w:ind w:left="302"/>
              <w:rPr>
                <w:rFonts w:ascii="宋体" w:eastAsia="宋体" w:hAnsi="宋体" w:cs="宋体"/>
                <w:sz w:val="16"/>
                <w:szCs w:val="16"/>
              </w:rPr>
            </w:pPr>
            <w:r>
              <w:rPr>
                <w:rFonts w:ascii="宋体" w:eastAsia="宋体" w:hAnsi="宋体" w:cs="宋体"/>
                <w:spacing w:val="-2"/>
                <w:sz w:val="16"/>
                <w:szCs w:val="16"/>
              </w:rPr>
              <w:t>维生素D</w:t>
            </w:r>
          </w:p>
          <w:p w:rsidR="00EA40A3" w:rsidRDefault="00EA40A3">
            <w:pPr>
              <w:spacing w:line="273" w:lineRule="auto"/>
            </w:pPr>
          </w:p>
          <w:p w:rsidR="00EA40A3" w:rsidRDefault="00E86C16">
            <w:pPr>
              <w:spacing w:before="52" w:line="253" w:lineRule="exact"/>
              <w:ind w:left="302"/>
              <w:rPr>
                <w:rFonts w:ascii="宋体" w:eastAsia="宋体" w:hAnsi="宋体" w:cs="宋体"/>
                <w:sz w:val="16"/>
                <w:szCs w:val="16"/>
              </w:rPr>
            </w:pPr>
            <w:r>
              <w:rPr>
                <w:rFonts w:ascii="宋体" w:eastAsia="宋体" w:hAnsi="宋体" w:cs="宋体"/>
                <w:spacing w:val="-1"/>
                <w:position w:val="7"/>
                <w:sz w:val="16"/>
                <w:szCs w:val="16"/>
              </w:rPr>
              <w:t>维生素D,抗坏血酸</w:t>
            </w:r>
          </w:p>
          <w:p w:rsidR="00EA40A3" w:rsidRDefault="00E86C16">
            <w:pPr>
              <w:spacing w:line="219" w:lineRule="auto"/>
              <w:ind w:left="302"/>
              <w:rPr>
                <w:rFonts w:ascii="宋体" w:eastAsia="宋体" w:hAnsi="宋体" w:cs="宋体"/>
                <w:sz w:val="16"/>
                <w:szCs w:val="16"/>
              </w:rPr>
            </w:pPr>
            <w:r>
              <w:rPr>
                <w:rFonts w:ascii="宋体" w:eastAsia="宋体" w:hAnsi="宋体" w:cs="宋体"/>
                <w:spacing w:val="-2"/>
                <w:sz w:val="16"/>
                <w:szCs w:val="16"/>
              </w:rPr>
              <w:t>抗坏血酸</w:t>
            </w:r>
          </w:p>
        </w:tc>
      </w:tr>
      <w:tr w:rsidR="00EA40A3">
        <w:trPr>
          <w:trHeight w:val="354"/>
        </w:trPr>
        <w:tc>
          <w:tcPr>
            <w:tcW w:w="1569" w:type="dxa"/>
            <w:tcBorders>
              <w:top w:val="single" w:sz="4" w:space="0" w:color="000000"/>
            </w:tcBorders>
          </w:tcPr>
          <w:p w:rsidR="00EA40A3" w:rsidRDefault="00E86C16">
            <w:pPr>
              <w:spacing w:before="134" w:line="221" w:lineRule="auto"/>
              <w:ind w:left="480"/>
              <w:rPr>
                <w:rFonts w:ascii="宋体" w:eastAsia="宋体" w:hAnsi="宋体" w:cs="宋体"/>
                <w:sz w:val="16"/>
                <w:szCs w:val="16"/>
              </w:rPr>
            </w:pPr>
            <w:r>
              <w:rPr>
                <w:rFonts w:ascii="宋体" w:eastAsia="宋体" w:hAnsi="宋体" w:cs="宋体"/>
                <w:spacing w:val="-2"/>
                <w:sz w:val="16"/>
                <w:szCs w:val="16"/>
              </w:rPr>
              <w:t>消化系统</w:t>
            </w:r>
          </w:p>
        </w:tc>
        <w:tc>
          <w:tcPr>
            <w:tcW w:w="2908" w:type="dxa"/>
            <w:tcBorders>
              <w:top w:val="single" w:sz="4" w:space="0" w:color="000000"/>
            </w:tcBorders>
          </w:tcPr>
          <w:p w:rsidR="00EA40A3" w:rsidRDefault="00E86C16">
            <w:pPr>
              <w:spacing w:before="154" w:line="220" w:lineRule="auto"/>
              <w:ind w:left="380"/>
              <w:rPr>
                <w:rFonts w:ascii="宋体" w:eastAsia="宋体" w:hAnsi="宋体" w:cs="宋体"/>
                <w:sz w:val="16"/>
                <w:szCs w:val="16"/>
              </w:rPr>
            </w:pPr>
            <w:r>
              <w:rPr>
                <w:rFonts w:ascii="宋体" w:eastAsia="宋体" w:hAnsi="宋体" w:cs="宋体"/>
                <w:spacing w:val="-2"/>
                <w:sz w:val="16"/>
                <w:szCs w:val="16"/>
              </w:rPr>
              <w:t>肝肿大</w:t>
            </w:r>
          </w:p>
        </w:tc>
        <w:tc>
          <w:tcPr>
            <w:tcW w:w="2863" w:type="dxa"/>
            <w:tcBorders>
              <w:top w:val="single" w:sz="4" w:space="0" w:color="000000"/>
            </w:tcBorders>
          </w:tcPr>
          <w:p w:rsidR="00EA40A3" w:rsidRDefault="00E86C16">
            <w:pPr>
              <w:spacing w:before="173" w:line="208" w:lineRule="auto"/>
              <w:ind w:left="302"/>
              <w:rPr>
                <w:rFonts w:ascii="宋体" w:eastAsia="宋体" w:hAnsi="宋体" w:cs="宋体"/>
                <w:sz w:val="16"/>
                <w:szCs w:val="16"/>
              </w:rPr>
            </w:pPr>
            <w:r>
              <w:rPr>
                <w:rFonts w:ascii="宋体" w:eastAsia="宋体" w:hAnsi="宋体" w:cs="宋体"/>
                <w:spacing w:val="-2"/>
                <w:sz w:val="16"/>
                <w:szCs w:val="16"/>
              </w:rPr>
              <w:t>蛋白质—热量</w:t>
            </w:r>
          </w:p>
        </w:tc>
      </w:tr>
      <w:tr w:rsidR="00EA40A3">
        <w:trPr>
          <w:trHeight w:val="1329"/>
        </w:trPr>
        <w:tc>
          <w:tcPr>
            <w:tcW w:w="1569" w:type="dxa"/>
          </w:tcPr>
          <w:p w:rsidR="00EA40A3" w:rsidRDefault="00E86C16">
            <w:pPr>
              <w:spacing w:before="59" w:line="219" w:lineRule="auto"/>
              <w:ind w:left="480"/>
              <w:rPr>
                <w:rFonts w:ascii="宋体" w:eastAsia="宋体" w:hAnsi="宋体" w:cs="宋体"/>
                <w:sz w:val="16"/>
                <w:szCs w:val="16"/>
              </w:rPr>
            </w:pPr>
            <w:r>
              <w:rPr>
                <w:rFonts w:ascii="宋体" w:eastAsia="宋体" w:hAnsi="宋体" w:cs="宋体"/>
                <w:spacing w:val="-2"/>
                <w:sz w:val="16"/>
                <w:szCs w:val="16"/>
              </w:rPr>
              <w:t>神经系统</w:t>
            </w:r>
          </w:p>
        </w:tc>
        <w:tc>
          <w:tcPr>
            <w:tcW w:w="2908" w:type="dxa"/>
          </w:tcPr>
          <w:p w:rsidR="00EA40A3" w:rsidRDefault="00E86C16">
            <w:pPr>
              <w:spacing w:before="38" w:line="280" w:lineRule="exact"/>
              <w:ind w:left="380"/>
              <w:rPr>
                <w:rFonts w:ascii="宋体" w:eastAsia="宋体" w:hAnsi="宋体" w:cs="宋体"/>
                <w:sz w:val="16"/>
                <w:szCs w:val="16"/>
              </w:rPr>
            </w:pPr>
            <w:r>
              <w:rPr>
                <w:rFonts w:ascii="宋体" w:eastAsia="宋体" w:hAnsi="宋体" w:cs="宋体"/>
                <w:spacing w:val="-1"/>
                <w:position w:val="9"/>
                <w:sz w:val="16"/>
                <w:szCs w:val="16"/>
              </w:rPr>
              <w:t>精神性运动的改变</w:t>
            </w:r>
          </w:p>
          <w:p w:rsidR="00EA40A3" w:rsidRDefault="00E86C16">
            <w:pPr>
              <w:spacing w:line="218" w:lineRule="auto"/>
              <w:ind w:left="380"/>
              <w:rPr>
                <w:rFonts w:ascii="宋体" w:eastAsia="宋体" w:hAnsi="宋体" w:cs="宋体"/>
                <w:sz w:val="16"/>
                <w:szCs w:val="16"/>
              </w:rPr>
            </w:pPr>
            <w:r>
              <w:rPr>
                <w:rFonts w:ascii="宋体" w:eastAsia="宋体" w:hAnsi="宋体" w:cs="宋体"/>
                <w:spacing w:val="-2"/>
                <w:sz w:val="16"/>
                <w:szCs w:val="16"/>
              </w:rPr>
              <w:t>精神错乱</w:t>
            </w:r>
          </w:p>
          <w:p w:rsidR="00EA40A3" w:rsidRDefault="00E86C16">
            <w:pPr>
              <w:spacing w:before="71" w:line="219" w:lineRule="auto"/>
              <w:ind w:left="380"/>
              <w:rPr>
                <w:rFonts w:ascii="宋体" w:eastAsia="宋体" w:hAnsi="宋体" w:cs="宋体"/>
                <w:sz w:val="16"/>
                <w:szCs w:val="16"/>
              </w:rPr>
            </w:pPr>
            <w:r>
              <w:rPr>
                <w:rFonts w:ascii="宋体" w:eastAsia="宋体" w:hAnsi="宋体" w:cs="宋体"/>
                <w:spacing w:val="-1"/>
                <w:sz w:val="16"/>
                <w:szCs w:val="16"/>
              </w:rPr>
              <w:t>损失感觉，肌肉无力</w:t>
            </w:r>
          </w:p>
          <w:p w:rsidR="00EA40A3" w:rsidRDefault="00E86C16">
            <w:pPr>
              <w:spacing w:before="40" w:line="271" w:lineRule="auto"/>
              <w:ind w:left="380" w:right="293"/>
              <w:rPr>
                <w:rFonts w:ascii="宋体" w:eastAsia="宋体" w:hAnsi="宋体" w:cs="宋体"/>
                <w:sz w:val="16"/>
                <w:szCs w:val="16"/>
              </w:rPr>
            </w:pPr>
            <w:r>
              <w:rPr>
                <w:rFonts w:ascii="宋体" w:eastAsia="宋体" w:hAnsi="宋体" w:cs="宋体"/>
                <w:spacing w:val="-1"/>
                <w:sz w:val="16"/>
                <w:szCs w:val="16"/>
              </w:rPr>
              <w:t>位置感丧失，振动感丧失，膝融</w:t>
            </w:r>
            <w:r>
              <w:rPr>
                <w:rFonts w:ascii="宋体" w:eastAsia="宋体" w:hAnsi="宋体" w:cs="宋体"/>
                <w:spacing w:val="6"/>
                <w:sz w:val="16"/>
                <w:szCs w:val="16"/>
              </w:rPr>
              <w:t xml:space="preserve"> </w:t>
            </w:r>
            <w:r>
              <w:rPr>
                <w:rFonts w:ascii="宋体" w:eastAsia="宋体" w:hAnsi="宋体" w:cs="宋体"/>
                <w:spacing w:val="-1"/>
                <w:sz w:val="16"/>
                <w:szCs w:val="16"/>
              </w:rPr>
              <w:t>与跟腱反射消失，腓肠肌触痛</w:t>
            </w:r>
          </w:p>
        </w:tc>
        <w:tc>
          <w:tcPr>
            <w:tcW w:w="2863" w:type="dxa"/>
          </w:tcPr>
          <w:p w:rsidR="00EA40A3" w:rsidRDefault="00E86C16">
            <w:pPr>
              <w:spacing w:before="69" w:line="260" w:lineRule="exact"/>
              <w:ind w:left="302"/>
              <w:rPr>
                <w:rFonts w:ascii="宋体" w:eastAsia="宋体" w:hAnsi="宋体" w:cs="宋体"/>
                <w:sz w:val="16"/>
                <w:szCs w:val="16"/>
              </w:rPr>
            </w:pPr>
            <w:r>
              <w:rPr>
                <w:rFonts w:ascii="宋体" w:eastAsia="宋体" w:hAnsi="宋体" w:cs="宋体"/>
                <w:spacing w:val="-2"/>
                <w:position w:val="7"/>
                <w:sz w:val="16"/>
                <w:szCs w:val="16"/>
              </w:rPr>
              <w:t>蛋白质一热量</w:t>
            </w:r>
          </w:p>
          <w:p w:rsidR="00EA40A3" w:rsidRDefault="00E86C16">
            <w:pPr>
              <w:spacing w:line="219" w:lineRule="auto"/>
              <w:ind w:left="302"/>
              <w:rPr>
                <w:rFonts w:ascii="宋体" w:eastAsia="宋体" w:hAnsi="宋体" w:cs="宋体"/>
                <w:sz w:val="16"/>
                <w:szCs w:val="16"/>
              </w:rPr>
            </w:pPr>
            <w:r>
              <w:rPr>
                <w:rFonts w:ascii="宋体" w:eastAsia="宋体" w:hAnsi="宋体" w:cs="宋体"/>
                <w:spacing w:val="-1"/>
                <w:sz w:val="16"/>
                <w:szCs w:val="16"/>
              </w:rPr>
              <w:t>硫胺素，烟酸</w:t>
            </w:r>
          </w:p>
        </w:tc>
      </w:tr>
      <w:tr w:rsidR="00EA40A3">
        <w:trPr>
          <w:trHeight w:val="359"/>
        </w:trPr>
        <w:tc>
          <w:tcPr>
            <w:tcW w:w="1569" w:type="dxa"/>
            <w:tcBorders>
              <w:bottom w:val="single" w:sz="4" w:space="0" w:color="000000"/>
            </w:tcBorders>
          </w:tcPr>
          <w:p w:rsidR="00EA40A3" w:rsidRDefault="00E86C16">
            <w:pPr>
              <w:spacing w:before="101" w:line="220" w:lineRule="auto"/>
              <w:ind w:left="639"/>
              <w:rPr>
                <w:rFonts w:ascii="宋体" w:eastAsia="宋体" w:hAnsi="宋体" w:cs="宋体"/>
                <w:sz w:val="16"/>
                <w:szCs w:val="16"/>
              </w:rPr>
            </w:pPr>
            <w:r>
              <w:rPr>
                <w:rFonts w:ascii="宋体" w:eastAsia="宋体" w:hAnsi="宋体" w:cs="宋体"/>
                <w:spacing w:val="-3"/>
                <w:sz w:val="16"/>
                <w:szCs w:val="16"/>
              </w:rPr>
              <w:t>心脏</w:t>
            </w:r>
          </w:p>
        </w:tc>
        <w:tc>
          <w:tcPr>
            <w:tcW w:w="2908" w:type="dxa"/>
            <w:tcBorders>
              <w:bottom w:val="single" w:sz="4" w:space="0" w:color="000000"/>
            </w:tcBorders>
          </w:tcPr>
          <w:p w:rsidR="00EA40A3" w:rsidRDefault="00E86C16">
            <w:pPr>
              <w:spacing w:before="101" w:line="220" w:lineRule="auto"/>
              <w:ind w:left="380"/>
              <w:rPr>
                <w:rFonts w:ascii="宋体" w:eastAsia="宋体" w:hAnsi="宋体" w:cs="宋体"/>
                <w:sz w:val="16"/>
                <w:szCs w:val="16"/>
              </w:rPr>
            </w:pPr>
            <w:r>
              <w:rPr>
                <w:rFonts w:ascii="宋体" w:eastAsia="宋体" w:hAnsi="宋体" w:cs="宋体"/>
                <w:spacing w:val="-2"/>
                <w:sz w:val="16"/>
                <w:szCs w:val="16"/>
              </w:rPr>
              <w:t>心脏扩大，心动过速</w:t>
            </w:r>
          </w:p>
        </w:tc>
        <w:tc>
          <w:tcPr>
            <w:tcW w:w="2863" w:type="dxa"/>
            <w:tcBorders>
              <w:bottom w:val="single" w:sz="4" w:space="0" w:color="000000"/>
            </w:tcBorders>
          </w:tcPr>
          <w:p w:rsidR="00EA40A3" w:rsidRDefault="00E86C16">
            <w:pPr>
              <w:spacing w:before="100" w:line="219" w:lineRule="auto"/>
              <w:ind w:left="302"/>
              <w:rPr>
                <w:rFonts w:ascii="宋体" w:eastAsia="宋体" w:hAnsi="宋体" w:cs="宋体"/>
                <w:sz w:val="16"/>
                <w:szCs w:val="16"/>
              </w:rPr>
            </w:pPr>
            <w:r>
              <w:rPr>
                <w:rFonts w:ascii="宋体" w:eastAsia="宋体" w:hAnsi="宋体" w:cs="宋体"/>
                <w:spacing w:val="-2"/>
                <w:sz w:val="16"/>
                <w:szCs w:val="16"/>
              </w:rPr>
              <w:t>硫胺素</w:t>
            </w:r>
          </w:p>
        </w:tc>
      </w:tr>
    </w:tbl>
    <w:p w:rsidR="00EA40A3" w:rsidRDefault="00E86C16">
      <w:pPr>
        <w:spacing w:before="101" w:line="234" w:lineRule="auto"/>
        <w:ind w:left="358" w:right="26" w:hanging="19"/>
        <w:rPr>
          <w:rFonts w:ascii="宋体" w:eastAsia="宋体" w:hAnsi="宋体" w:cs="宋体"/>
          <w:sz w:val="17"/>
          <w:szCs w:val="17"/>
        </w:rPr>
      </w:pPr>
      <w:r>
        <w:rPr>
          <w:rFonts w:ascii="宋体" w:eastAsia="宋体" w:hAnsi="宋体" w:cs="宋体"/>
          <w:spacing w:val="-2"/>
          <w:sz w:val="17"/>
          <w:szCs w:val="17"/>
        </w:rPr>
        <w:t>资料来源：蔡美琴.2001.医学营养学.上海：上海科学技术文献出版社；李静.1993.人体营养与</w:t>
      </w:r>
      <w:r>
        <w:rPr>
          <w:rFonts w:ascii="宋体" w:eastAsia="宋体" w:hAnsi="宋体" w:cs="宋体"/>
          <w:spacing w:val="13"/>
          <w:sz w:val="17"/>
          <w:szCs w:val="17"/>
        </w:rPr>
        <w:t xml:space="preserve"> </w:t>
      </w:r>
      <w:r>
        <w:rPr>
          <w:rFonts w:ascii="宋体" w:eastAsia="宋体" w:hAnsi="宋体" w:cs="宋体"/>
          <w:spacing w:val="-8"/>
          <w:sz w:val="17"/>
          <w:szCs w:val="17"/>
        </w:rPr>
        <w:t>社会营养学.北京：中国轻工业出版社</w:t>
      </w:r>
    </w:p>
    <w:p w:rsidR="00EA40A3" w:rsidRDefault="00EA40A3">
      <w:pPr>
        <w:spacing w:line="354" w:lineRule="auto"/>
      </w:pPr>
    </w:p>
    <w:p w:rsidR="00EA40A3" w:rsidRDefault="00E86C16">
      <w:pPr>
        <w:spacing w:before="81" w:line="222" w:lineRule="auto"/>
        <w:ind w:left="13"/>
        <w:outlineLvl w:val="6"/>
        <w:rPr>
          <w:rFonts w:ascii="黑体" w:eastAsia="黑体" w:hAnsi="黑体" w:cs="黑体"/>
          <w:sz w:val="25"/>
          <w:szCs w:val="25"/>
        </w:rPr>
      </w:pPr>
      <w:r>
        <w:rPr>
          <w:rFonts w:ascii="黑体" w:eastAsia="黑体" w:hAnsi="黑体" w:cs="黑体"/>
          <w:b/>
          <w:bCs/>
          <w:spacing w:val="-10"/>
          <w:sz w:val="25"/>
          <w:szCs w:val="25"/>
        </w:rPr>
        <w:t>12.2.3</w:t>
      </w:r>
      <w:r>
        <w:rPr>
          <w:rFonts w:ascii="黑体" w:eastAsia="黑体" w:hAnsi="黑体" w:cs="黑体"/>
          <w:spacing w:val="124"/>
          <w:sz w:val="25"/>
          <w:szCs w:val="25"/>
        </w:rPr>
        <w:t xml:space="preserve"> </w:t>
      </w:r>
      <w:r>
        <w:rPr>
          <w:rFonts w:ascii="黑体" w:eastAsia="黑体" w:hAnsi="黑体" w:cs="黑体"/>
          <w:b/>
          <w:bCs/>
          <w:spacing w:val="-10"/>
          <w:sz w:val="25"/>
          <w:szCs w:val="25"/>
        </w:rPr>
        <w:t>生化检验</w:t>
      </w:r>
    </w:p>
    <w:p w:rsidR="00EA40A3" w:rsidRDefault="00E86C16">
      <w:pPr>
        <w:spacing w:before="180" w:line="253" w:lineRule="auto"/>
        <w:ind w:left="9" w:right="51" w:firstLine="430"/>
        <w:jc w:val="both"/>
        <w:rPr>
          <w:rFonts w:ascii="宋体" w:eastAsia="宋体" w:hAnsi="宋体" w:cs="宋体"/>
        </w:rPr>
      </w:pPr>
      <w:r>
        <w:rPr>
          <w:rFonts w:ascii="宋体" w:eastAsia="宋体" w:hAnsi="宋体" w:cs="宋体"/>
          <w:spacing w:val="-3"/>
        </w:rPr>
        <w:t>生化检验在评价人体营养状况中具有重要地位，特别是在出现营养失调症状</w:t>
      </w:r>
      <w:r>
        <w:rPr>
          <w:rFonts w:ascii="宋体" w:eastAsia="宋体" w:hAnsi="宋体" w:cs="宋体"/>
          <w:spacing w:val="16"/>
        </w:rPr>
        <w:t xml:space="preserve"> </w:t>
      </w:r>
      <w:r>
        <w:rPr>
          <w:rFonts w:ascii="宋体" w:eastAsia="宋体" w:hAnsi="宋体" w:cs="宋体"/>
          <w:spacing w:val="-2"/>
        </w:rPr>
        <w:t>之前，即所谓亚临床状态时，生化检查就可及时反映出机体营养缺乏或过</w:t>
      </w:r>
      <w:r>
        <w:rPr>
          <w:rFonts w:ascii="宋体" w:eastAsia="宋体" w:hAnsi="宋体" w:cs="宋体"/>
          <w:spacing w:val="-3"/>
        </w:rPr>
        <w:t>量的程</w:t>
      </w:r>
      <w:r>
        <w:rPr>
          <w:rFonts w:ascii="宋体" w:eastAsia="宋体" w:hAnsi="宋体" w:cs="宋体"/>
        </w:rPr>
        <w:t xml:space="preserve"> </w:t>
      </w:r>
      <w:r>
        <w:rPr>
          <w:rFonts w:ascii="宋体" w:eastAsia="宋体" w:hAnsi="宋体" w:cs="宋体"/>
          <w:spacing w:val="-3"/>
        </w:rPr>
        <w:t>度。评价营养状况的生化测定方法较多，基本上可以分为测定血液及尿液中营养</w:t>
      </w:r>
      <w:r>
        <w:rPr>
          <w:rFonts w:ascii="宋体" w:eastAsia="宋体" w:hAnsi="宋体" w:cs="宋体"/>
          <w:spacing w:val="13"/>
        </w:rPr>
        <w:t xml:space="preserve"> </w:t>
      </w:r>
      <w:r>
        <w:rPr>
          <w:rFonts w:ascii="宋体" w:eastAsia="宋体" w:hAnsi="宋体" w:cs="宋体"/>
          <w:spacing w:val="-4"/>
        </w:rPr>
        <w:t>素的含量、排出速率、相应的代谢产物以及测定与某些营养素有关的酶活力等。</w:t>
      </w:r>
    </w:p>
    <w:p w:rsidR="00EA40A3" w:rsidRDefault="00E86C16">
      <w:pPr>
        <w:spacing w:before="56" w:line="257" w:lineRule="auto"/>
        <w:ind w:left="9" w:right="42" w:firstLine="430"/>
        <w:jc w:val="both"/>
        <w:rPr>
          <w:rFonts w:ascii="宋体" w:eastAsia="宋体" w:hAnsi="宋体" w:cs="宋体"/>
        </w:rPr>
      </w:pPr>
      <w:r>
        <w:rPr>
          <w:rFonts w:ascii="宋体" w:eastAsia="宋体" w:hAnsi="宋体" w:cs="宋体"/>
          <w:spacing w:val="7"/>
        </w:rPr>
        <w:t>我国人体营养水平生化检验常用诊断参考指标及临界值列于表12-</w:t>
      </w:r>
      <w:r>
        <w:rPr>
          <w:rFonts w:ascii="宋体" w:eastAsia="宋体" w:hAnsi="宋体" w:cs="宋体"/>
          <w:spacing w:val="6"/>
        </w:rPr>
        <w:t>6,供参</w:t>
      </w:r>
      <w:r>
        <w:rPr>
          <w:rFonts w:ascii="宋体" w:eastAsia="宋体" w:hAnsi="宋体" w:cs="宋体"/>
        </w:rPr>
        <w:t xml:space="preserve"> </w:t>
      </w:r>
      <w:r>
        <w:rPr>
          <w:rFonts w:ascii="宋体" w:eastAsia="宋体" w:hAnsi="宋体" w:cs="宋体"/>
          <w:spacing w:val="4"/>
        </w:rPr>
        <w:t>考应用。由于受民族、体质、环境因素等多方面影响，这些方法和数据也是相</w:t>
      </w:r>
      <w:r>
        <w:rPr>
          <w:rFonts w:ascii="宋体" w:eastAsia="宋体" w:hAnsi="宋体" w:cs="宋体"/>
          <w:spacing w:val="10"/>
        </w:rPr>
        <w:t xml:space="preserve"> </w:t>
      </w:r>
      <w:r>
        <w:rPr>
          <w:rFonts w:ascii="宋体" w:eastAsia="宋体" w:hAnsi="宋体" w:cs="宋体"/>
          <w:spacing w:val="-15"/>
        </w:rPr>
        <w:t>对的。</w:t>
      </w:r>
    </w:p>
    <w:p w:rsidR="00EA40A3" w:rsidRDefault="00E86C16">
      <w:pPr>
        <w:spacing w:before="83"/>
        <w:ind w:right="99"/>
        <w:jc w:val="right"/>
        <w:rPr>
          <w:rFonts w:ascii="宋体" w:eastAsia="宋体" w:hAnsi="宋体" w:cs="宋体"/>
          <w:sz w:val="17"/>
          <w:szCs w:val="17"/>
        </w:rPr>
      </w:pPr>
      <w:r>
        <w:rPr>
          <w:rFonts w:ascii="宋体" w:eastAsia="宋体" w:hAnsi="宋体" w:cs="宋体"/>
          <w:spacing w:val="-14"/>
          <w:sz w:val="17"/>
          <w:szCs w:val="17"/>
        </w:rPr>
        <w:t>·399</w:t>
      </w:r>
      <w:r>
        <w:rPr>
          <w:rFonts w:ascii="宋体" w:eastAsia="宋体" w:hAnsi="宋体" w:cs="宋体"/>
          <w:spacing w:val="68"/>
          <w:w w:val="101"/>
          <w:sz w:val="17"/>
          <w:szCs w:val="17"/>
        </w:rPr>
        <w:t xml:space="preserve"> </w:t>
      </w:r>
      <w:r>
        <w:rPr>
          <w:rFonts w:ascii="宋体" w:eastAsia="宋体" w:hAnsi="宋体" w:cs="宋体"/>
          <w:spacing w:val="-14"/>
          <w:sz w:val="17"/>
          <w:szCs w:val="17"/>
        </w:rPr>
        <w:t>·</w:t>
      </w:r>
    </w:p>
    <w:p w:rsidR="00EA40A3" w:rsidRDefault="00EA40A3">
      <w:pPr>
        <w:sectPr w:rsidR="00EA40A3">
          <w:headerReference w:type="default" r:id="rId325"/>
          <w:pgSz w:w="9330" w:h="13440"/>
          <w:pgMar w:top="1213" w:right="1059" w:bottom="400" w:left="930" w:header="998" w:footer="0" w:gutter="0"/>
          <w:cols w:space="720"/>
        </w:sectPr>
      </w:pPr>
    </w:p>
    <w:p w:rsidR="00EA40A3" w:rsidRDefault="00E86C16">
      <w:pPr>
        <w:spacing w:before="111" w:line="194" w:lineRule="auto"/>
        <w:ind w:left="320"/>
        <w:rPr>
          <w:rFonts w:ascii="宋体" w:eastAsia="宋体" w:hAnsi="宋体" w:cs="宋体"/>
          <w:sz w:val="17"/>
          <w:szCs w:val="17"/>
        </w:rPr>
      </w:pPr>
      <w:r>
        <w:rPr>
          <w:rFonts w:ascii="宋体" w:eastAsia="宋体" w:hAnsi="宋体" w:cs="宋体"/>
          <w:spacing w:val="-2"/>
          <w:sz w:val="17"/>
          <w:szCs w:val="17"/>
        </w:rPr>
        <w:lastRenderedPageBreak/>
        <w:t>营养水平</w:t>
      </w:r>
      <w:r>
        <w:rPr>
          <w:rFonts w:ascii="宋体" w:eastAsia="宋体" w:hAnsi="宋体" w:cs="宋体"/>
          <w:spacing w:val="3"/>
          <w:sz w:val="17"/>
          <w:szCs w:val="17"/>
        </w:rPr>
        <w:t xml:space="preserve">                           </w:t>
      </w:r>
      <w:r>
        <w:rPr>
          <w:rFonts w:ascii="宋体" w:eastAsia="宋体" w:hAnsi="宋体" w:cs="宋体"/>
          <w:spacing w:val="-2"/>
          <w:sz w:val="17"/>
          <w:szCs w:val="17"/>
        </w:rPr>
        <w:t>生化检验诊断参考指标及临界值</w:t>
      </w:r>
    </w:p>
    <w:tbl>
      <w:tblPr>
        <w:tblStyle w:val="TableNormal"/>
        <w:tblW w:w="742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64"/>
        <w:gridCol w:w="6265"/>
      </w:tblGrid>
      <w:tr w:rsidR="00EA40A3">
        <w:trPr>
          <w:trHeight w:val="2472"/>
        </w:trPr>
        <w:tc>
          <w:tcPr>
            <w:tcW w:w="1164" w:type="dxa"/>
            <w:tcBorders>
              <w:top w:val="single" w:sz="4" w:space="0" w:color="000000"/>
              <w:bottom w:val="single" w:sz="4" w:space="0" w:color="000000"/>
            </w:tcBorders>
          </w:tcPr>
          <w:p w:rsidR="00EA40A3" w:rsidRDefault="00EA40A3">
            <w:pPr>
              <w:spacing w:line="272" w:lineRule="auto"/>
            </w:pPr>
          </w:p>
          <w:p w:rsidR="00EA40A3" w:rsidRDefault="00EA40A3">
            <w:pPr>
              <w:spacing w:line="272" w:lineRule="auto"/>
            </w:pPr>
          </w:p>
          <w:p w:rsidR="00EA40A3" w:rsidRDefault="00EA40A3">
            <w:pPr>
              <w:spacing w:line="273" w:lineRule="auto"/>
            </w:pPr>
          </w:p>
          <w:p w:rsidR="00EA40A3" w:rsidRDefault="00EA40A3">
            <w:pPr>
              <w:spacing w:line="273" w:lineRule="auto"/>
            </w:pPr>
          </w:p>
          <w:p w:rsidR="00EA40A3" w:rsidRDefault="00E86C16">
            <w:pPr>
              <w:spacing w:before="55" w:line="220" w:lineRule="auto"/>
              <w:ind w:left="489"/>
              <w:rPr>
                <w:rFonts w:ascii="宋体" w:eastAsia="宋体" w:hAnsi="宋体" w:cs="宋体"/>
                <w:sz w:val="17"/>
                <w:szCs w:val="17"/>
              </w:rPr>
            </w:pPr>
            <w:r>
              <w:rPr>
                <w:rFonts w:ascii="宋体" w:eastAsia="宋体" w:hAnsi="宋体" w:cs="宋体"/>
                <w:spacing w:val="6"/>
                <w:sz w:val="17"/>
                <w:szCs w:val="17"/>
              </w:rPr>
              <w:t>蛋白质</w:t>
            </w:r>
          </w:p>
        </w:tc>
        <w:tc>
          <w:tcPr>
            <w:tcW w:w="6265" w:type="dxa"/>
            <w:tcBorders>
              <w:top w:val="single" w:sz="4" w:space="0" w:color="000000"/>
              <w:bottom w:val="single" w:sz="4" w:space="0" w:color="000000"/>
            </w:tcBorders>
          </w:tcPr>
          <w:p w:rsidR="00EA40A3" w:rsidRDefault="00E86C16">
            <w:pPr>
              <w:spacing w:before="176" w:line="260" w:lineRule="exact"/>
              <w:ind w:left="295"/>
              <w:rPr>
                <w:rFonts w:ascii="宋体" w:eastAsia="宋体" w:hAnsi="宋体" w:cs="宋体"/>
                <w:sz w:val="17"/>
                <w:szCs w:val="17"/>
              </w:rPr>
            </w:pPr>
            <w:r>
              <w:rPr>
                <w:rFonts w:ascii="宋体" w:eastAsia="宋体" w:hAnsi="宋体" w:cs="宋体"/>
                <w:spacing w:val="4"/>
                <w:position w:val="6"/>
                <w:sz w:val="17"/>
                <w:szCs w:val="17"/>
              </w:rPr>
              <w:t>1.血清总蛋白&gt;60g/I.</w:t>
            </w:r>
          </w:p>
          <w:p w:rsidR="00EA40A3" w:rsidRDefault="00E86C16">
            <w:pPr>
              <w:spacing w:line="213" w:lineRule="auto"/>
              <w:ind w:left="295"/>
              <w:rPr>
                <w:rFonts w:ascii="宋体" w:eastAsia="宋体" w:hAnsi="宋体" w:cs="宋体"/>
                <w:sz w:val="17"/>
                <w:szCs w:val="17"/>
              </w:rPr>
            </w:pPr>
            <w:r>
              <w:rPr>
                <w:rFonts w:ascii="宋体" w:eastAsia="宋体" w:hAnsi="宋体" w:cs="宋体"/>
                <w:spacing w:val="3"/>
                <w:sz w:val="17"/>
                <w:szCs w:val="17"/>
              </w:rPr>
              <w:t>2.血清蛋白&gt;3.6g/L</w:t>
            </w:r>
          </w:p>
          <w:p w:rsidR="00EA40A3" w:rsidRDefault="00E86C16">
            <w:pPr>
              <w:spacing w:before="62" w:line="214" w:lineRule="auto"/>
              <w:ind w:left="295"/>
              <w:rPr>
                <w:rFonts w:ascii="宋体" w:eastAsia="宋体" w:hAnsi="宋体" w:cs="宋体"/>
                <w:sz w:val="17"/>
                <w:szCs w:val="17"/>
              </w:rPr>
            </w:pPr>
            <w:r>
              <w:rPr>
                <w:rFonts w:ascii="宋体" w:eastAsia="宋体" w:hAnsi="宋体" w:cs="宋体"/>
                <w:spacing w:val="2"/>
                <w:sz w:val="17"/>
                <w:szCs w:val="17"/>
              </w:rPr>
              <w:t>3.血清球蛋白&gt;1.3g/L</w:t>
            </w:r>
          </w:p>
          <w:p w:rsidR="00EA40A3" w:rsidRDefault="00E86C16">
            <w:pPr>
              <w:spacing w:before="59" w:line="221" w:lineRule="auto"/>
              <w:ind w:left="295"/>
              <w:rPr>
                <w:rFonts w:ascii="宋体" w:eastAsia="宋体" w:hAnsi="宋体" w:cs="宋体"/>
                <w:sz w:val="17"/>
                <w:szCs w:val="17"/>
              </w:rPr>
            </w:pPr>
            <w:r>
              <w:rPr>
                <w:rFonts w:ascii="宋体" w:eastAsia="宋体" w:hAnsi="宋体" w:cs="宋体"/>
                <w:spacing w:val="9"/>
                <w:sz w:val="17"/>
                <w:szCs w:val="17"/>
              </w:rPr>
              <w:t>4.</w:t>
            </w:r>
            <w:r>
              <w:rPr>
                <w:rFonts w:ascii="宋体" w:eastAsia="宋体" w:hAnsi="宋体" w:cs="宋体"/>
                <w:spacing w:val="-30"/>
                <w:sz w:val="17"/>
                <w:szCs w:val="17"/>
              </w:rPr>
              <w:t xml:space="preserve"> </w:t>
            </w:r>
            <w:r>
              <w:rPr>
                <w:rFonts w:ascii="宋体" w:eastAsia="宋体" w:hAnsi="宋体" w:cs="宋体"/>
                <w:spacing w:val="9"/>
                <w:sz w:val="17"/>
                <w:szCs w:val="17"/>
              </w:rPr>
              <w:t>白/球(A/G)1.5～2.5:1</w:t>
            </w:r>
          </w:p>
          <w:p w:rsidR="00EA40A3" w:rsidRDefault="00E86C16">
            <w:pPr>
              <w:spacing w:before="56" w:line="219" w:lineRule="auto"/>
              <w:ind w:left="295"/>
              <w:rPr>
                <w:rFonts w:ascii="宋体" w:eastAsia="宋体" w:hAnsi="宋体" w:cs="宋体"/>
                <w:sz w:val="17"/>
                <w:szCs w:val="17"/>
              </w:rPr>
            </w:pPr>
            <w:r>
              <w:rPr>
                <w:rFonts w:ascii="宋体" w:eastAsia="宋体" w:hAnsi="宋体" w:cs="宋体"/>
                <w:spacing w:val="-1"/>
                <w:sz w:val="17"/>
                <w:szCs w:val="17"/>
              </w:rPr>
              <w:t>5.空腹血中氨基酸总量/必需氨基酸量&gt;2</w:t>
            </w:r>
          </w:p>
          <w:p w:rsidR="00EA40A3" w:rsidRDefault="00E86C16">
            <w:pPr>
              <w:spacing w:before="69" w:line="220" w:lineRule="auto"/>
              <w:ind w:left="295"/>
              <w:rPr>
                <w:rFonts w:ascii="宋体" w:eastAsia="宋体" w:hAnsi="宋体" w:cs="宋体"/>
                <w:sz w:val="17"/>
                <w:szCs w:val="17"/>
              </w:rPr>
            </w:pPr>
            <w:r>
              <w:rPr>
                <w:rFonts w:ascii="宋体" w:eastAsia="宋体" w:hAnsi="宋体" w:cs="宋体"/>
                <w:spacing w:val="-1"/>
                <w:sz w:val="17"/>
                <w:szCs w:val="17"/>
              </w:rPr>
              <w:t>6.血液比重&gt;1.015</w:t>
            </w:r>
          </w:p>
          <w:p w:rsidR="00EA40A3" w:rsidRDefault="00E86C16">
            <w:pPr>
              <w:spacing w:before="17" w:line="219" w:lineRule="auto"/>
              <w:ind w:left="295"/>
              <w:rPr>
                <w:rFonts w:ascii="宋体" w:eastAsia="宋体" w:hAnsi="宋体" w:cs="宋体"/>
                <w:sz w:val="17"/>
                <w:szCs w:val="17"/>
              </w:rPr>
            </w:pPr>
            <w:r>
              <w:rPr>
                <w:rFonts w:ascii="宋体" w:eastAsia="宋体" w:hAnsi="宋体" w:cs="宋体"/>
                <w:spacing w:val="4"/>
                <w:sz w:val="17"/>
                <w:szCs w:val="17"/>
              </w:rPr>
              <w:t>7.尿羟脯氨酸系数(</w:t>
            </w:r>
            <w:r>
              <w:rPr>
                <w:rFonts w:ascii="宋体" w:eastAsia="宋体" w:hAnsi="宋体" w:cs="宋体"/>
                <w:sz w:val="17"/>
                <w:szCs w:val="17"/>
              </w:rPr>
              <w:t>mmol</w:t>
            </w:r>
            <w:r>
              <w:rPr>
                <w:rFonts w:ascii="宋体" w:eastAsia="宋体" w:hAnsi="宋体" w:cs="宋体"/>
                <w:spacing w:val="4"/>
                <w:sz w:val="17"/>
                <w:szCs w:val="17"/>
              </w:rPr>
              <w:t>/L尿肌酐系数)&gt;2.0～2.5</w:t>
            </w:r>
          </w:p>
          <w:p w:rsidR="00EA40A3" w:rsidRDefault="00E86C16">
            <w:pPr>
              <w:spacing w:before="52" w:line="260" w:lineRule="exact"/>
              <w:ind w:left="295"/>
              <w:rPr>
                <w:rFonts w:ascii="宋体" w:eastAsia="宋体" w:hAnsi="宋体" w:cs="宋体"/>
                <w:sz w:val="17"/>
                <w:szCs w:val="17"/>
              </w:rPr>
            </w:pPr>
            <w:r>
              <w:rPr>
                <w:rFonts w:ascii="宋体" w:eastAsia="宋体" w:hAnsi="宋体" w:cs="宋体"/>
                <w:spacing w:val="10"/>
                <w:position w:val="6"/>
                <w:sz w:val="17"/>
                <w:szCs w:val="17"/>
              </w:rPr>
              <w:t>8.游离氨基酸4～6</w:t>
            </w:r>
            <w:r>
              <w:rPr>
                <w:rFonts w:ascii="宋体" w:eastAsia="宋体" w:hAnsi="宋体" w:cs="宋体"/>
                <w:position w:val="6"/>
                <w:sz w:val="17"/>
                <w:szCs w:val="17"/>
              </w:rPr>
              <w:t>mg</w:t>
            </w:r>
            <w:r>
              <w:rPr>
                <w:rFonts w:ascii="宋体" w:eastAsia="宋体" w:hAnsi="宋体" w:cs="宋体"/>
                <w:spacing w:val="10"/>
                <w:position w:val="6"/>
                <w:sz w:val="17"/>
                <w:szCs w:val="17"/>
              </w:rPr>
              <w:t>/L(血浆),6.5～9.0</w:t>
            </w:r>
            <w:r>
              <w:rPr>
                <w:rFonts w:ascii="宋体" w:eastAsia="宋体" w:hAnsi="宋体" w:cs="宋体"/>
                <w:position w:val="6"/>
                <w:sz w:val="17"/>
                <w:szCs w:val="17"/>
              </w:rPr>
              <w:t>mg</w:t>
            </w:r>
            <w:r>
              <w:rPr>
                <w:rFonts w:ascii="宋体" w:eastAsia="宋体" w:hAnsi="宋体" w:cs="宋体"/>
                <w:spacing w:val="9"/>
                <w:position w:val="6"/>
                <w:sz w:val="17"/>
                <w:szCs w:val="17"/>
              </w:rPr>
              <w:t>/L(</w:t>
            </w:r>
            <w:r>
              <w:rPr>
                <w:rFonts w:ascii="宋体" w:eastAsia="宋体" w:hAnsi="宋体" w:cs="宋体"/>
                <w:position w:val="6"/>
                <w:sz w:val="17"/>
                <w:szCs w:val="17"/>
              </w:rPr>
              <w:t>RBC</w:t>
            </w:r>
            <w:r>
              <w:rPr>
                <w:rFonts w:ascii="宋体" w:eastAsia="宋体" w:hAnsi="宋体" w:cs="宋体"/>
                <w:spacing w:val="9"/>
                <w:position w:val="6"/>
                <w:sz w:val="17"/>
                <w:szCs w:val="17"/>
              </w:rPr>
              <w:t>)</w:t>
            </w:r>
          </w:p>
          <w:p w:rsidR="00EA40A3" w:rsidRDefault="00E86C16">
            <w:pPr>
              <w:spacing w:before="1" w:line="213" w:lineRule="auto"/>
              <w:ind w:left="295"/>
              <w:rPr>
                <w:rFonts w:ascii="宋体" w:eastAsia="宋体" w:hAnsi="宋体" w:cs="宋体"/>
                <w:sz w:val="17"/>
                <w:szCs w:val="17"/>
              </w:rPr>
            </w:pPr>
            <w:r>
              <w:rPr>
                <w:rFonts w:ascii="宋体" w:eastAsia="宋体" w:hAnsi="宋体" w:cs="宋体"/>
                <w:spacing w:val="13"/>
                <w:sz w:val="17"/>
                <w:szCs w:val="17"/>
              </w:rPr>
              <w:t>9.每日必然损失N(</w:t>
            </w:r>
            <w:r>
              <w:rPr>
                <w:rFonts w:ascii="宋体" w:eastAsia="宋体" w:hAnsi="宋体" w:cs="宋体"/>
                <w:sz w:val="17"/>
                <w:szCs w:val="17"/>
              </w:rPr>
              <w:t>ONL</w:t>
            </w:r>
            <w:r>
              <w:rPr>
                <w:rFonts w:ascii="宋体" w:eastAsia="宋体" w:hAnsi="宋体" w:cs="宋体"/>
                <w:spacing w:val="13"/>
                <w:sz w:val="17"/>
                <w:szCs w:val="17"/>
              </w:rPr>
              <w:t>),男54</w:t>
            </w:r>
            <w:r>
              <w:rPr>
                <w:rFonts w:ascii="宋体" w:eastAsia="宋体" w:hAnsi="宋体" w:cs="宋体"/>
                <w:sz w:val="17"/>
                <w:szCs w:val="17"/>
              </w:rPr>
              <w:t>mg</w:t>
            </w:r>
            <w:r>
              <w:rPr>
                <w:rFonts w:ascii="宋体" w:eastAsia="宋体" w:hAnsi="宋体" w:cs="宋体"/>
                <w:spacing w:val="13"/>
                <w:sz w:val="17"/>
                <w:szCs w:val="17"/>
              </w:rPr>
              <w:t>/</w:t>
            </w:r>
            <w:r>
              <w:rPr>
                <w:rFonts w:ascii="宋体" w:eastAsia="宋体" w:hAnsi="宋体" w:cs="宋体"/>
                <w:sz w:val="17"/>
                <w:szCs w:val="17"/>
              </w:rPr>
              <w:t>kg</w:t>
            </w:r>
            <w:r>
              <w:rPr>
                <w:rFonts w:ascii="宋体" w:eastAsia="宋体" w:hAnsi="宋体" w:cs="宋体"/>
                <w:spacing w:val="13"/>
                <w:sz w:val="17"/>
                <w:szCs w:val="17"/>
              </w:rPr>
              <w:t>、女55</w:t>
            </w:r>
            <w:r>
              <w:rPr>
                <w:rFonts w:ascii="宋体" w:eastAsia="宋体" w:hAnsi="宋体" w:cs="宋体"/>
                <w:sz w:val="17"/>
                <w:szCs w:val="17"/>
              </w:rPr>
              <w:t>mg</w:t>
            </w:r>
            <w:r>
              <w:rPr>
                <w:rFonts w:ascii="宋体" w:eastAsia="宋体" w:hAnsi="宋体" w:cs="宋体"/>
                <w:spacing w:val="13"/>
                <w:sz w:val="17"/>
                <w:szCs w:val="17"/>
              </w:rPr>
              <w:t>/</w:t>
            </w:r>
            <w:r>
              <w:rPr>
                <w:rFonts w:ascii="宋体" w:eastAsia="宋体" w:hAnsi="宋体" w:cs="宋体"/>
                <w:sz w:val="17"/>
                <w:szCs w:val="17"/>
              </w:rPr>
              <w:t>kg</w:t>
            </w:r>
          </w:p>
        </w:tc>
      </w:tr>
      <w:tr w:rsidR="00EA40A3">
        <w:trPr>
          <w:trHeight w:val="1998"/>
        </w:trPr>
        <w:tc>
          <w:tcPr>
            <w:tcW w:w="1164" w:type="dxa"/>
            <w:tcBorders>
              <w:top w:val="single" w:sz="4" w:space="0" w:color="000000"/>
              <w:bottom w:val="single" w:sz="4" w:space="0" w:color="000000"/>
            </w:tcBorders>
          </w:tcPr>
          <w:p w:rsidR="00EA40A3" w:rsidRDefault="00EA40A3">
            <w:pPr>
              <w:spacing w:line="286" w:lineRule="auto"/>
            </w:pPr>
          </w:p>
          <w:p w:rsidR="00EA40A3" w:rsidRDefault="00EA40A3">
            <w:pPr>
              <w:spacing w:line="287" w:lineRule="auto"/>
            </w:pPr>
          </w:p>
          <w:p w:rsidR="00EA40A3" w:rsidRDefault="00EA40A3">
            <w:pPr>
              <w:spacing w:line="287" w:lineRule="auto"/>
            </w:pPr>
          </w:p>
          <w:p w:rsidR="00EA40A3" w:rsidRDefault="00E86C16">
            <w:pPr>
              <w:spacing w:before="55" w:line="221" w:lineRule="auto"/>
              <w:ind w:left="659"/>
              <w:rPr>
                <w:rFonts w:ascii="宋体" w:eastAsia="宋体" w:hAnsi="宋体" w:cs="宋体"/>
                <w:sz w:val="17"/>
                <w:szCs w:val="17"/>
              </w:rPr>
            </w:pPr>
            <w:r>
              <w:rPr>
                <w:rFonts w:ascii="宋体" w:eastAsia="宋体" w:hAnsi="宋体" w:cs="宋体"/>
                <w:spacing w:val="-2"/>
                <w:sz w:val="17"/>
                <w:szCs w:val="17"/>
              </w:rPr>
              <w:t>血脂</w:t>
            </w:r>
          </w:p>
        </w:tc>
        <w:tc>
          <w:tcPr>
            <w:tcW w:w="6265" w:type="dxa"/>
            <w:tcBorders>
              <w:top w:val="single" w:sz="4" w:space="0" w:color="000000"/>
              <w:bottom w:val="single" w:sz="4" w:space="0" w:color="000000"/>
            </w:tcBorders>
          </w:tcPr>
          <w:p w:rsidR="00EA40A3" w:rsidRDefault="00E86C16">
            <w:pPr>
              <w:spacing w:before="204" w:line="214" w:lineRule="auto"/>
              <w:ind w:left="295"/>
              <w:rPr>
                <w:rFonts w:ascii="宋体" w:eastAsia="宋体" w:hAnsi="宋体" w:cs="宋体"/>
                <w:sz w:val="17"/>
                <w:szCs w:val="17"/>
              </w:rPr>
            </w:pPr>
            <w:r>
              <w:rPr>
                <w:rFonts w:ascii="宋体" w:eastAsia="宋体" w:hAnsi="宋体" w:cs="宋体"/>
                <w:spacing w:val="1"/>
                <w:sz w:val="17"/>
                <w:szCs w:val="17"/>
              </w:rPr>
              <w:t>1.总脂4500～7000</w:t>
            </w:r>
            <w:r>
              <w:rPr>
                <w:rFonts w:ascii="宋体" w:eastAsia="宋体" w:hAnsi="宋体" w:cs="宋体"/>
                <w:sz w:val="17"/>
                <w:szCs w:val="17"/>
              </w:rPr>
              <w:t>mg</w:t>
            </w:r>
            <w:r>
              <w:rPr>
                <w:rFonts w:ascii="宋体" w:eastAsia="宋体" w:hAnsi="宋体" w:cs="宋体"/>
                <w:spacing w:val="1"/>
                <w:sz w:val="17"/>
                <w:szCs w:val="17"/>
              </w:rPr>
              <w:t>/L</w:t>
            </w:r>
          </w:p>
          <w:p w:rsidR="00EA40A3" w:rsidRDefault="00E86C16">
            <w:pPr>
              <w:spacing w:before="52" w:line="214" w:lineRule="auto"/>
              <w:ind w:left="295"/>
              <w:rPr>
                <w:rFonts w:ascii="宋体" w:eastAsia="宋体" w:hAnsi="宋体" w:cs="宋体"/>
                <w:sz w:val="17"/>
                <w:szCs w:val="17"/>
              </w:rPr>
            </w:pPr>
            <w:r>
              <w:rPr>
                <w:rFonts w:ascii="宋体" w:eastAsia="宋体" w:hAnsi="宋体" w:cs="宋体"/>
                <w:spacing w:val="-1"/>
                <w:sz w:val="17"/>
                <w:szCs w:val="17"/>
              </w:rPr>
              <w:t>2.甘油三酯200～1100mg/L</w:t>
            </w:r>
          </w:p>
          <w:p w:rsidR="00EA40A3" w:rsidRDefault="00E86C16">
            <w:pPr>
              <w:spacing w:before="69" w:line="260" w:lineRule="exact"/>
              <w:ind w:left="295"/>
              <w:rPr>
                <w:rFonts w:ascii="宋体" w:eastAsia="宋体" w:hAnsi="宋体" w:cs="宋体"/>
                <w:sz w:val="17"/>
                <w:szCs w:val="17"/>
              </w:rPr>
            </w:pPr>
            <w:r>
              <w:rPr>
                <w:rFonts w:ascii="宋体" w:eastAsia="宋体" w:hAnsi="宋体" w:cs="宋体"/>
                <w:spacing w:val="-4"/>
                <w:position w:val="6"/>
                <w:sz w:val="17"/>
                <w:szCs w:val="17"/>
              </w:rPr>
              <w:t>3.</w:t>
            </w:r>
            <w:r>
              <w:rPr>
                <w:rFonts w:ascii="宋体" w:eastAsia="宋体" w:hAnsi="宋体" w:cs="宋体"/>
                <w:spacing w:val="-40"/>
                <w:position w:val="6"/>
                <w:sz w:val="17"/>
                <w:szCs w:val="17"/>
              </w:rPr>
              <w:t xml:space="preserve"> </w:t>
            </w:r>
            <w:r>
              <w:rPr>
                <w:rFonts w:ascii="宋体" w:eastAsia="宋体" w:hAnsi="宋体" w:cs="宋体"/>
                <w:spacing w:val="-4"/>
                <w:position w:val="6"/>
                <w:sz w:val="17"/>
                <w:szCs w:val="17"/>
              </w:rPr>
              <w:t>α-脂蛋白30%～40%</w:t>
            </w:r>
          </w:p>
          <w:p w:rsidR="00EA40A3" w:rsidRDefault="00E86C16">
            <w:pPr>
              <w:spacing w:line="220" w:lineRule="auto"/>
              <w:ind w:left="295"/>
              <w:rPr>
                <w:rFonts w:ascii="宋体" w:eastAsia="宋体" w:hAnsi="宋体" w:cs="宋体"/>
                <w:sz w:val="17"/>
                <w:szCs w:val="17"/>
              </w:rPr>
            </w:pPr>
            <w:r>
              <w:rPr>
                <w:rFonts w:ascii="宋体" w:eastAsia="宋体" w:hAnsi="宋体" w:cs="宋体"/>
                <w:spacing w:val="-4"/>
                <w:sz w:val="17"/>
                <w:szCs w:val="17"/>
              </w:rPr>
              <w:t>4.</w:t>
            </w:r>
            <w:r>
              <w:rPr>
                <w:rFonts w:ascii="宋体" w:eastAsia="宋体" w:hAnsi="宋体" w:cs="宋体"/>
                <w:spacing w:val="-36"/>
                <w:sz w:val="17"/>
                <w:szCs w:val="17"/>
              </w:rPr>
              <w:t xml:space="preserve"> </w:t>
            </w:r>
            <w:r>
              <w:rPr>
                <w:rFonts w:ascii="宋体" w:eastAsia="宋体" w:hAnsi="宋体" w:cs="宋体"/>
                <w:spacing w:val="-4"/>
                <w:sz w:val="17"/>
                <w:szCs w:val="17"/>
              </w:rPr>
              <w:t>β-脂蛋白60%～70%</w:t>
            </w:r>
          </w:p>
          <w:p w:rsidR="00EA40A3" w:rsidRDefault="00E86C16">
            <w:pPr>
              <w:spacing w:before="31" w:line="266" w:lineRule="exact"/>
              <w:ind w:left="295"/>
              <w:rPr>
                <w:rFonts w:ascii="宋体" w:eastAsia="宋体" w:hAnsi="宋体" w:cs="宋体"/>
                <w:sz w:val="17"/>
                <w:szCs w:val="17"/>
              </w:rPr>
            </w:pPr>
            <w:r>
              <w:rPr>
                <w:rFonts w:ascii="宋体" w:eastAsia="宋体" w:hAnsi="宋体" w:cs="宋体"/>
                <w:spacing w:val="2"/>
                <w:position w:val="7"/>
                <w:sz w:val="17"/>
                <w:szCs w:val="17"/>
              </w:rPr>
              <w:t>5.胆固醇1100～2000</w:t>
            </w:r>
            <w:r>
              <w:rPr>
                <w:rFonts w:ascii="宋体" w:eastAsia="宋体" w:hAnsi="宋体" w:cs="宋体"/>
                <w:position w:val="7"/>
                <w:sz w:val="17"/>
                <w:szCs w:val="17"/>
              </w:rPr>
              <w:t>mg</w:t>
            </w:r>
            <w:r>
              <w:rPr>
                <w:rFonts w:ascii="宋体" w:eastAsia="宋体" w:hAnsi="宋体" w:cs="宋体"/>
                <w:spacing w:val="2"/>
                <w:position w:val="7"/>
                <w:sz w:val="17"/>
                <w:szCs w:val="17"/>
              </w:rPr>
              <w:t>/1.</w:t>
            </w:r>
            <w:r>
              <w:rPr>
                <w:rFonts w:ascii="宋体" w:eastAsia="宋体" w:hAnsi="宋体" w:cs="宋体"/>
                <w:spacing w:val="-46"/>
                <w:position w:val="7"/>
                <w:sz w:val="17"/>
                <w:szCs w:val="17"/>
              </w:rPr>
              <w:t xml:space="preserve"> </w:t>
            </w:r>
            <w:r>
              <w:rPr>
                <w:rFonts w:ascii="宋体" w:eastAsia="宋体" w:hAnsi="宋体" w:cs="宋体"/>
                <w:spacing w:val="2"/>
                <w:position w:val="7"/>
                <w:sz w:val="17"/>
                <w:szCs w:val="17"/>
              </w:rPr>
              <w:t>(其中</w:t>
            </w:r>
            <w:r>
              <w:rPr>
                <w:rFonts w:ascii="宋体" w:eastAsia="宋体" w:hAnsi="宋体" w:cs="宋体"/>
                <w:spacing w:val="1"/>
                <w:position w:val="7"/>
                <w:sz w:val="17"/>
                <w:szCs w:val="17"/>
              </w:rPr>
              <w:t>胆固醇酯70%～75%)</w:t>
            </w:r>
          </w:p>
          <w:p w:rsidR="00EA40A3" w:rsidRDefault="00E86C16">
            <w:pPr>
              <w:spacing w:line="220" w:lineRule="auto"/>
              <w:ind w:left="295"/>
              <w:rPr>
                <w:rFonts w:ascii="宋体" w:eastAsia="宋体" w:hAnsi="宋体" w:cs="宋体"/>
                <w:sz w:val="17"/>
                <w:szCs w:val="17"/>
              </w:rPr>
            </w:pPr>
            <w:r>
              <w:rPr>
                <w:rFonts w:ascii="宋体" w:eastAsia="宋体" w:hAnsi="宋体" w:cs="宋体"/>
                <w:spacing w:val="-1"/>
                <w:sz w:val="17"/>
                <w:szCs w:val="17"/>
              </w:rPr>
              <w:t>6.游离脂酸0.2～0.6mmol/L</w:t>
            </w:r>
          </w:p>
          <w:p w:rsidR="00EA40A3" w:rsidRDefault="00E86C16">
            <w:pPr>
              <w:spacing w:before="61" w:line="214" w:lineRule="auto"/>
              <w:ind w:left="295"/>
              <w:rPr>
                <w:rFonts w:ascii="宋体" w:eastAsia="宋体" w:hAnsi="宋体" w:cs="宋体"/>
                <w:sz w:val="17"/>
                <w:szCs w:val="17"/>
              </w:rPr>
            </w:pPr>
            <w:r>
              <w:rPr>
                <w:rFonts w:ascii="宋体" w:eastAsia="宋体" w:hAnsi="宋体" w:cs="宋体"/>
                <w:spacing w:val="10"/>
                <w:sz w:val="17"/>
                <w:szCs w:val="17"/>
              </w:rPr>
              <w:t>7.血酮&lt;2</w:t>
            </w:r>
            <w:r>
              <w:rPr>
                <w:rFonts w:ascii="宋体" w:eastAsia="宋体" w:hAnsi="宋体" w:cs="宋体"/>
                <w:sz w:val="17"/>
                <w:szCs w:val="17"/>
              </w:rPr>
              <w:t>mg</w:t>
            </w:r>
            <w:r>
              <w:rPr>
                <w:rFonts w:ascii="宋体" w:eastAsia="宋体" w:hAnsi="宋体" w:cs="宋体"/>
                <w:spacing w:val="10"/>
                <w:sz w:val="17"/>
                <w:szCs w:val="17"/>
              </w:rPr>
              <w:t>/</w:t>
            </w:r>
            <w:r>
              <w:rPr>
                <w:rFonts w:ascii="宋体" w:eastAsia="宋体" w:hAnsi="宋体" w:cs="宋体"/>
                <w:sz w:val="17"/>
                <w:szCs w:val="17"/>
              </w:rPr>
              <w:t>dl</w:t>
            </w:r>
          </w:p>
        </w:tc>
      </w:tr>
      <w:tr w:rsidR="00EA40A3">
        <w:trPr>
          <w:trHeight w:val="603"/>
        </w:trPr>
        <w:tc>
          <w:tcPr>
            <w:tcW w:w="1164" w:type="dxa"/>
            <w:vMerge w:val="restart"/>
            <w:tcBorders>
              <w:top w:val="single" w:sz="4" w:space="0" w:color="000000"/>
              <w:bottom w:val="nil"/>
            </w:tcBorders>
          </w:tcPr>
          <w:p w:rsidR="00EA40A3" w:rsidRDefault="00EA40A3">
            <w:pPr>
              <w:spacing w:line="453" w:lineRule="auto"/>
            </w:pPr>
          </w:p>
          <w:p w:rsidR="00EA40A3" w:rsidRDefault="00E86C16">
            <w:pPr>
              <w:spacing w:before="56" w:line="267" w:lineRule="auto"/>
              <w:ind w:left="399" w:right="158" w:firstLine="89"/>
              <w:rPr>
                <w:rFonts w:ascii="宋体" w:eastAsia="宋体" w:hAnsi="宋体" w:cs="宋体"/>
                <w:sz w:val="17"/>
                <w:szCs w:val="17"/>
              </w:rPr>
            </w:pPr>
            <w:r>
              <w:rPr>
                <w:rFonts w:ascii="宋体" w:eastAsia="宋体" w:hAnsi="宋体" w:cs="宋体"/>
                <w:spacing w:val="-2"/>
                <w:sz w:val="17"/>
                <w:szCs w:val="17"/>
              </w:rPr>
              <w:t>钙、磷</w:t>
            </w:r>
            <w:r>
              <w:rPr>
                <w:rFonts w:ascii="宋体" w:eastAsia="宋体" w:hAnsi="宋体" w:cs="宋体"/>
                <w:sz w:val="17"/>
                <w:szCs w:val="17"/>
              </w:rPr>
              <w:t xml:space="preserve"> </w:t>
            </w:r>
            <w:r>
              <w:rPr>
                <w:rFonts w:ascii="宋体" w:eastAsia="宋体" w:hAnsi="宋体" w:cs="宋体"/>
                <w:spacing w:val="2"/>
                <w:sz w:val="17"/>
                <w:szCs w:val="17"/>
              </w:rPr>
              <w:t>维生素D</w:t>
            </w:r>
          </w:p>
        </w:tc>
        <w:tc>
          <w:tcPr>
            <w:tcW w:w="6265" w:type="dxa"/>
            <w:tcBorders>
              <w:top w:val="single" w:sz="4" w:space="0" w:color="000000"/>
            </w:tcBorders>
          </w:tcPr>
          <w:p w:rsidR="00EA40A3" w:rsidRDefault="00E86C16">
            <w:pPr>
              <w:spacing w:before="126" w:line="214" w:lineRule="auto"/>
              <w:ind w:left="295"/>
              <w:rPr>
                <w:rFonts w:ascii="宋体" w:eastAsia="宋体" w:hAnsi="宋体" w:cs="宋体"/>
                <w:sz w:val="17"/>
                <w:szCs w:val="17"/>
              </w:rPr>
            </w:pPr>
            <w:r>
              <w:rPr>
                <w:rFonts w:ascii="宋体" w:eastAsia="宋体" w:hAnsi="宋体" w:cs="宋体"/>
                <w:spacing w:val="2"/>
                <w:sz w:val="17"/>
                <w:szCs w:val="17"/>
              </w:rPr>
              <w:t>1.血清钙90～110</w:t>
            </w:r>
            <w:r>
              <w:rPr>
                <w:rFonts w:ascii="宋体" w:eastAsia="宋体" w:hAnsi="宋体" w:cs="宋体"/>
                <w:sz w:val="17"/>
                <w:szCs w:val="17"/>
              </w:rPr>
              <w:t>mg</w:t>
            </w:r>
            <w:r>
              <w:rPr>
                <w:rFonts w:ascii="宋体" w:eastAsia="宋体" w:hAnsi="宋体" w:cs="宋体"/>
                <w:spacing w:val="2"/>
                <w:sz w:val="17"/>
                <w:szCs w:val="17"/>
              </w:rPr>
              <w:t>/L(其中游离钙45～55</w:t>
            </w:r>
            <w:r>
              <w:rPr>
                <w:rFonts w:ascii="宋体" w:eastAsia="宋体" w:hAnsi="宋体" w:cs="宋体"/>
                <w:sz w:val="17"/>
                <w:szCs w:val="17"/>
              </w:rPr>
              <w:t>mg</w:t>
            </w:r>
            <w:r>
              <w:rPr>
                <w:rFonts w:ascii="宋体" w:eastAsia="宋体" w:hAnsi="宋体" w:cs="宋体"/>
                <w:spacing w:val="2"/>
                <w:sz w:val="17"/>
                <w:szCs w:val="17"/>
              </w:rPr>
              <w:t>/L)</w:t>
            </w:r>
          </w:p>
          <w:p w:rsidR="00EA40A3" w:rsidRDefault="00E86C16">
            <w:pPr>
              <w:spacing w:before="53" w:line="214" w:lineRule="auto"/>
              <w:ind w:left="295"/>
              <w:rPr>
                <w:rFonts w:ascii="宋体" w:eastAsia="宋体" w:hAnsi="宋体" w:cs="宋体"/>
                <w:sz w:val="17"/>
                <w:szCs w:val="17"/>
              </w:rPr>
            </w:pPr>
            <w:r>
              <w:rPr>
                <w:rFonts w:ascii="宋体" w:eastAsia="宋体" w:hAnsi="宋体" w:cs="宋体"/>
                <w:sz w:val="17"/>
                <w:szCs w:val="17"/>
              </w:rPr>
              <w:t>2.血清无机磷：儿童40～60mg/L、成人30～50mg/1</w:t>
            </w:r>
          </w:p>
        </w:tc>
      </w:tr>
      <w:tr w:rsidR="00EA40A3">
        <w:trPr>
          <w:trHeight w:val="786"/>
        </w:trPr>
        <w:tc>
          <w:tcPr>
            <w:tcW w:w="1164" w:type="dxa"/>
            <w:vMerge/>
            <w:tcBorders>
              <w:top w:val="nil"/>
              <w:bottom w:val="single" w:sz="4" w:space="0" w:color="000000"/>
            </w:tcBorders>
          </w:tcPr>
          <w:p w:rsidR="00EA40A3" w:rsidRDefault="00EA40A3"/>
        </w:tc>
        <w:tc>
          <w:tcPr>
            <w:tcW w:w="6265" w:type="dxa"/>
            <w:tcBorders>
              <w:bottom w:val="single" w:sz="4" w:space="0" w:color="000000"/>
            </w:tcBorders>
          </w:tcPr>
          <w:p w:rsidR="00EA40A3" w:rsidRDefault="00E86C16">
            <w:pPr>
              <w:spacing w:before="64" w:line="214" w:lineRule="auto"/>
              <w:ind w:left="295"/>
              <w:rPr>
                <w:rFonts w:ascii="宋体" w:eastAsia="宋体" w:hAnsi="宋体" w:cs="宋体"/>
                <w:sz w:val="17"/>
                <w:szCs w:val="17"/>
              </w:rPr>
            </w:pPr>
            <w:r>
              <w:rPr>
                <w:rFonts w:ascii="宋体" w:eastAsia="宋体" w:hAnsi="宋体" w:cs="宋体"/>
                <w:spacing w:val="4"/>
                <w:sz w:val="17"/>
                <w:szCs w:val="17"/>
              </w:rPr>
              <w:t>3.血清</w:t>
            </w:r>
            <w:r>
              <w:rPr>
                <w:rFonts w:ascii="宋体" w:eastAsia="宋体" w:hAnsi="宋体" w:cs="宋体"/>
                <w:sz w:val="17"/>
                <w:szCs w:val="17"/>
              </w:rPr>
              <w:t>Ca</w:t>
            </w:r>
            <w:r>
              <w:rPr>
                <w:rFonts w:ascii="宋体" w:eastAsia="宋体" w:hAnsi="宋体" w:cs="宋体"/>
                <w:spacing w:val="4"/>
                <w:sz w:val="17"/>
                <w:szCs w:val="17"/>
              </w:rPr>
              <w:t>×p&gt;30～40</w:t>
            </w:r>
          </w:p>
          <w:p w:rsidR="00EA40A3" w:rsidRDefault="00E86C16">
            <w:pPr>
              <w:spacing w:before="37" w:line="219" w:lineRule="auto"/>
              <w:ind w:left="295"/>
              <w:rPr>
                <w:rFonts w:ascii="宋体" w:eastAsia="宋体" w:hAnsi="宋体" w:cs="宋体"/>
                <w:sz w:val="17"/>
                <w:szCs w:val="17"/>
              </w:rPr>
            </w:pPr>
            <w:r>
              <w:rPr>
                <w:rFonts w:ascii="宋体" w:eastAsia="宋体" w:hAnsi="宋体" w:cs="宋体"/>
                <w:sz w:val="17"/>
                <w:szCs w:val="17"/>
              </w:rPr>
              <w:t>4.血清碱性磷酸酶：成人1.5～4.0、儿童5～</w:t>
            </w:r>
            <w:r>
              <w:rPr>
                <w:rFonts w:ascii="宋体" w:eastAsia="宋体" w:hAnsi="宋体" w:cs="宋体"/>
                <w:spacing w:val="-1"/>
                <w:sz w:val="17"/>
                <w:szCs w:val="17"/>
              </w:rPr>
              <w:t>15菩氏单位</w:t>
            </w:r>
          </w:p>
          <w:p w:rsidR="00EA40A3" w:rsidRDefault="00E86C16">
            <w:pPr>
              <w:spacing w:before="52" w:line="214" w:lineRule="auto"/>
              <w:ind w:left="295"/>
              <w:rPr>
                <w:rFonts w:ascii="宋体" w:eastAsia="宋体" w:hAnsi="宋体" w:cs="宋体"/>
                <w:sz w:val="17"/>
                <w:szCs w:val="17"/>
              </w:rPr>
            </w:pPr>
            <w:r>
              <w:rPr>
                <w:rFonts w:ascii="宋体" w:eastAsia="宋体" w:hAnsi="宋体" w:cs="宋体"/>
                <w:spacing w:val="7"/>
                <w:sz w:val="17"/>
                <w:szCs w:val="17"/>
              </w:rPr>
              <w:t>5.血浆25-</w:t>
            </w:r>
            <w:r>
              <w:rPr>
                <w:rFonts w:ascii="宋体" w:eastAsia="宋体" w:hAnsi="宋体" w:cs="宋体"/>
                <w:sz w:val="17"/>
                <w:szCs w:val="17"/>
              </w:rPr>
              <w:t>OH</w:t>
            </w:r>
            <w:r>
              <w:rPr>
                <w:rFonts w:ascii="宋体" w:eastAsia="宋体" w:hAnsi="宋体" w:cs="宋体"/>
                <w:spacing w:val="7"/>
                <w:sz w:val="17"/>
                <w:szCs w:val="17"/>
              </w:rPr>
              <w:t>-D3,10～30μg/L,1,25(</w:t>
            </w:r>
            <w:r>
              <w:rPr>
                <w:rFonts w:ascii="宋体" w:eastAsia="宋体" w:hAnsi="宋体" w:cs="宋体"/>
                <w:sz w:val="17"/>
                <w:szCs w:val="17"/>
              </w:rPr>
              <w:t>OH</w:t>
            </w:r>
            <w:r>
              <w:rPr>
                <w:rFonts w:ascii="宋体" w:eastAsia="宋体" w:hAnsi="宋体" w:cs="宋体"/>
                <w:spacing w:val="7"/>
                <w:sz w:val="17"/>
                <w:szCs w:val="17"/>
              </w:rPr>
              <w:t>)</w:t>
            </w:r>
            <w:r>
              <w:rPr>
                <w:rFonts w:ascii="Calibri" w:eastAsia="Calibri" w:hAnsi="Calibri" w:cs="Calibri"/>
                <w:spacing w:val="7"/>
                <w:sz w:val="17"/>
                <w:szCs w:val="17"/>
              </w:rPr>
              <w:t>₂</w:t>
            </w:r>
            <w:r>
              <w:rPr>
                <w:rFonts w:ascii="宋体" w:eastAsia="宋体" w:hAnsi="宋体" w:cs="宋体"/>
                <w:spacing w:val="7"/>
                <w:sz w:val="17"/>
                <w:szCs w:val="17"/>
              </w:rPr>
              <w:t>-D</w:t>
            </w:r>
            <w:r>
              <w:rPr>
                <w:rFonts w:ascii="Calibri" w:eastAsia="Calibri" w:hAnsi="Calibri" w:cs="Calibri"/>
                <w:spacing w:val="7"/>
                <w:sz w:val="17"/>
                <w:szCs w:val="17"/>
              </w:rPr>
              <w:t>₃</w:t>
            </w:r>
            <w:r>
              <w:rPr>
                <w:rFonts w:ascii="宋体" w:eastAsia="宋体" w:hAnsi="宋体" w:cs="宋体"/>
                <w:spacing w:val="7"/>
                <w:sz w:val="17"/>
                <w:szCs w:val="17"/>
              </w:rPr>
              <w:t>,30～60</w:t>
            </w:r>
            <w:r>
              <w:rPr>
                <w:rFonts w:ascii="宋体" w:eastAsia="宋体" w:hAnsi="宋体" w:cs="宋体"/>
                <w:sz w:val="17"/>
                <w:szCs w:val="17"/>
              </w:rPr>
              <w:t>ng</w:t>
            </w:r>
            <w:r>
              <w:rPr>
                <w:rFonts w:ascii="宋体" w:eastAsia="宋体" w:hAnsi="宋体" w:cs="宋体"/>
                <w:spacing w:val="7"/>
                <w:sz w:val="17"/>
                <w:szCs w:val="17"/>
              </w:rPr>
              <w:t>/L</w:t>
            </w:r>
          </w:p>
        </w:tc>
      </w:tr>
      <w:tr w:rsidR="00EA40A3">
        <w:trPr>
          <w:trHeight w:val="2237"/>
        </w:trPr>
        <w:tc>
          <w:tcPr>
            <w:tcW w:w="1164" w:type="dxa"/>
            <w:tcBorders>
              <w:top w:val="single" w:sz="4" w:space="0" w:color="000000"/>
              <w:bottom w:val="single" w:sz="4" w:space="0" w:color="000000"/>
            </w:tcBorders>
          </w:tcPr>
          <w:p w:rsidR="00EA40A3" w:rsidRDefault="00EA40A3">
            <w:pPr>
              <w:spacing w:line="245" w:lineRule="auto"/>
            </w:pPr>
          </w:p>
          <w:p w:rsidR="00EA40A3" w:rsidRDefault="00EA40A3">
            <w:pPr>
              <w:spacing w:line="245" w:lineRule="auto"/>
            </w:pPr>
          </w:p>
          <w:p w:rsidR="00EA40A3" w:rsidRDefault="00EA40A3">
            <w:pPr>
              <w:spacing w:line="246" w:lineRule="auto"/>
            </w:pPr>
          </w:p>
          <w:p w:rsidR="00EA40A3" w:rsidRDefault="00EA40A3">
            <w:pPr>
              <w:spacing w:line="246" w:lineRule="auto"/>
            </w:pPr>
          </w:p>
          <w:p w:rsidR="00EA40A3" w:rsidRDefault="00E86C16">
            <w:pPr>
              <w:spacing w:before="55" w:line="221" w:lineRule="auto"/>
              <w:ind w:left="829"/>
              <w:rPr>
                <w:rFonts w:ascii="宋体" w:eastAsia="宋体" w:hAnsi="宋体" w:cs="宋体"/>
                <w:sz w:val="17"/>
                <w:szCs w:val="17"/>
              </w:rPr>
            </w:pPr>
            <w:r>
              <w:rPr>
                <w:rFonts w:ascii="宋体" w:eastAsia="宋体" w:hAnsi="宋体" w:cs="宋体"/>
                <w:sz w:val="17"/>
                <w:szCs w:val="17"/>
              </w:rPr>
              <w:t>铁</w:t>
            </w:r>
          </w:p>
        </w:tc>
        <w:tc>
          <w:tcPr>
            <w:tcW w:w="6265" w:type="dxa"/>
            <w:tcBorders>
              <w:top w:val="single" w:sz="4" w:space="0" w:color="000000"/>
              <w:bottom w:val="single" w:sz="4" w:space="0" w:color="000000"/>
            </w:tcBorders>
          </w:tcPr>
          <w:p w:rsidR="00EA40A3" w:rsidRDefault="00E86C16">
            <w:pPr>
              <w:spacing w:before="177" w:line="214" w:lineRule="auto"/>
              <w:ind w:left="295"/>
              <w:rPr>
                <w:rFonts w:ascii="宋体" w:eastAsia="宋体" w:hAnsi="宋体" w:cs="宋体"/>
                <w:sz w:val="17"/>
                <w:szCs w:val="17"/>
              </w:rPr>
            </w:pPr>
            <w:r>
              <w:rPr>
                <w:rFonts w:ascii="宋体" w:eastAsia="宋体" w:hAnsi="宋体" w:cs="宋体"/>
                <w:spacing w:val="3"/>
                <w:sz w:val="17"/>
                <w:szCs w:val="17"/>
              </w:rPr>
              <w:t>1.全血血红蛋白浓度(g/L),成人(男)&gt;130、成人(女)&gt;120、儿童&gt;120、6岁以</w:t>
            </w:r>
          </w:p>
          <w:p w:rsidR="00EA40A3" w:rsidRDefault="00E86C16">
            <w:pPr>
              <w:spacing w:before="78" w:line="219" w:lineRule="auto"/>
              <w:ind w:left="506"/>
              <w:rPr>
                <w:rFonts w:ascii="宋体" w:eastAsia="宋体" w:hAnsi="宋体" w:cs="宋体"/>
                <w:sz w:val="17"/>
                <w:szCs w:val="17"/>
              </w:rPr>
            </w:pPr>
            <w:r>
              <w:rPr>
                <w:rFonts w:ascii="宋体" w:eastAsia="宋体" w:hAnsi="宋体" w:cs="宋体"/>
                <w:sz w:val="17"/>
                <w:szCs w:val="17"/>
              </w:rPr>
              <w:t>下小儿及孕妇&gt;110</w:t>
            </w:r>
          </w:p>
          <w:p w:rsidR="00EA40A3" w:rsidRDefault="00E86C16">
            <w:pPr>
              <w:spacing w:before="27" w:line="275" w:lineRule="exact"/>
              <w:ind w:left="295"/>
              <w:rPr>
                <w:rFonts w:ascii="宋体" w:eastAsia="宋体" w:hAnsi="宋体" w:cs="宋体"/>
                <w:sz w:val="17"/>
                <w:szCs w:val="17"/>
              </w:rPr>
            </w:pPr>
            <w:r>
              <w:rPr>
                <w:rFonts w:ascii="宋体" w:eastAsia="宋体" w:hAnsi="宋体" w:cs="宋体"/>
                <w:spacing w:val="1"/>
                <w:position w:val="7"/>
                <w:sz w:val="17"/>
                <w:szCs w:val="17"/>
              </w:rPr>
              <w:t>2.血清运铁蛋白饱和度，成人&gt;16%、儿童&gt;7～10%</w:t>
            </w:r>
          </w:p>
          <w:p w:rsidR="00EA40A3" w:rsidRDefault="00E86C16">
            <w:pPr>
              <w:spacing w:line="213" w:lineRule="auto"/>
              <w:ind w:left="295"/>
              <w:rPr>
                <w:rFonts w:ascii="宋体" w:eastAsia="宋体" w:hAnsi="宋体" w:cs="宋体"/>
                <w:sz w:val="17"/>
                <w:szCs w:val="17"/>
              </w:rPr>
            </w:pPr>
            <w:r>
              <w:rPr>
                <w:rFonts w:ascii="宋体" w:eastAsia="宋体" w:hAnsi="宋体" w:cs="宋体"/>
                <w:spacing w:val="14"/>
                <w:sz w:val="17"/>
                <w:szCs w:val="17"/>
              </w:rPr>
              <w:t>3.血清铁蛋白&gt;10～12</w:t>
            </w:r>
            <w:r>
              <w:rPr>
                <w:rFonts w:ascii="宋体" w:eastAsia="宋体" w:hAnsi="宋体" w:cs="宋体"/>
                <w:sz w:val="17"/>
                <w:szCs w:val="17"/>
              </w:rPr>
              <w:t>mg</w:t>
            </w:r>
            <w:r>
              <w:rPr>
                <w:rFonts w:ascii="宋体" w:eastAsia="宋体" w:hAnsi="宋体" w:cs="宋体"/>
                <w:spacing w:val="14"/>
                <w:sz w:val="17"/>
                <w:szCs w:val="17"/>
              </w:rPr>
              <w:t>/L</w:t>
            </w:r>
          </w:p>
          <w:p w:rsidR="00EA40A3" w:rsidRDefault="00E86C16">
            <w:pPr>
              <w:spacing w:before="46" w:line="252" w:lineRule="auto"/>
              <w:ind w:left="295" w:right="1224"/>
              <w:rPr>
                <w:rFonts w:ascii="宋体" w:eastAsia="宋体" w:hAnsi="宋体" w:cs="宋体"/>
                <w:sz w:val="17"/>
                <w:szCs w:val="17"/>
              </w:rPr>
            </w:pPr>
            <w:r>
              <w:rPr>
                <w:rFonts w:ascii="宋体" w:eastAsia="宋体" w:hAnsi="宋体" w:cs="宋体"/>
                <w:spacing w:val="19"/>
                <w:sz w:val="17"/>
                <w:szCs w:val="17"/>
              </w:rPr>
              <w:t>4.血液红细胞压积(</w:t>
            </w:r>
            <w:r>
              <w:rPr>
                <w:rFonts w:ascii="宋体" w:eastAsia="宋体" w:hAnsi="宋体" w:cs="宋体"/>
                <w:sz w:val="17"/>
                <w:szCs w:val="17"/>
              </w:rPr>
              <w:t>HCT</w:t>
            </w:r>
            <w:r>
              <w:rPr>
                <w:rFonts w:ascii="宋体" w:eastAsia="宋体" w:hAnsi="宋体" w:cs="宋体"/>
                <w:spacing w:val="19"/>
                <w:sz w:val="17"/>
                <w:szCs w:val="17"/>
              </w:rPr>
              <w:t>或</w:t>
            </w:r>
            <w:r>
              <w:rPr>
                <w:rFonts w:ascii="宋体" w:eastAsia="宋体" w:hAnsi="宋体" w:cs="宋体"/>
                <w:sz w:val="17"/>
                <w:szCs w:val="17"/>
              </w:rPr>
              <w:t>PCV</w:t>
            </w:r>
            <w:r>
              <w:rPr>
                <w:rFonts w:ascii="宋体" w:eastAsia="宋体" w:hAnsi="宋体" w:cs="宋体"/>
                <w:spacing w:val="19"/>
                <w:sz w:val="17"/>
                <w:szCs w:val="17"/>
              </w:rPr>
              <w:t>),男40%～50%、女37%～48%</w:t>
            </w:r>
            <w:r>
              <w:rPr>
                <w:rFonts w:ascii="宋体" w:eastAsia="宋体" w:hAnsi="宋体" w:cs="宋体"/>
                <w:spacing w:val="8"/>
                <w:sz w:val="17"/>
                <w:szCs w:val="17"/>
              </w:rPr>
              <w:t xml:space="preserve"> </w:t>
            </w:r>
            <w:r>
              <w:rPr>
                <w:rFonts w:ascii="宋体" w:eastAsia="宋体" w:hAnsi="宋体" w:cs="宋体"/>
                <w:spacing w:val="11"/>
                <w:sz w:val="17"/>
                <w:szCs w:val="17"/>
              </w:rPr>
              <w:t>5.红细胞游离原卟啉&lt;70</w:t>
            </w:r>
            <w:r>
              <w:rPr>
                <w:rFonts w:ascii="宋体" w:eastAsia="宋体" w:hAnsi="宋体" w:cs="宋体"/>
                <w:sz w:val="17"/>
                <w:szCs w:val="17"/>
              </w:rPr>
              <w:t>mg</w:t>
            </w:r>
            <w:r>
              <w:rPr>
                <w:rFonts w:ascii="宋体" w:eastAsia="宋体" w:hAnsi="宋体" w:cs="宋体"/>
                <w:spacing w:val="11"/>
                <w:sz w:val="17"/>
                <w:szCs w:val="17"/>
              </w:rPr>
              <w:t>/</w:t>
            </w:r>
            <w:r>
              <w:rPr>
                <w:rFonts w:ascii="宋体" w:eastAsia="宋体" w:hAnsi="宋体" w:cs="宋体"/>
                <w:sz w:val="17"/>
                <w:szCs w:val="17"/>
              </w:rPr>
              <w:t>L</w:t>
            </w:r>
            <w:r>
              <w:rPr>
                <w:rFonts w:ascii="宋体" w:eastAsia="宋体" w:hAnsi="宋体" w:cs="宋体"/>
                <w:spacing w:val="25"/>
                <w:sz w:val="17"/>
                <w:szCs w:val="17"/>
              </w:rPr>
              <w:t xml:space="preserve"> </w:t>
            </w:r>
            <w:r>
              <w:rPr>
                <w:rFonts w:ascii="宋体" w:eastAsia="宋体" w:hAnsi="宋体" w:cs="宋体"/>
                <w:sz w:val="17"/>
                <w:szCs w:val="17"/>
              </w:rPr>
              <w:t>RBC</w:t>
            </w:r>
          </w:p>
          <w:p w:rsidR="00EA40A3" w:rsidRDefault="00E86C16">
            <w:pPr>
              <w:spacing w:before="59" w:line="220" w:lineRule="auto"/>
              <w:ind w:left="295"/>
              <w:rPr>
                <w:rFonts w:ascii="宋体" w:eastAsia="宋体" w:hAnsi="宋体" w:cs="宋体"/>
                <w:sz w:val="17"/>
                <w:szCs w:val="17"/>
              </w:rPr>
            </w:pPr>
            <w:r>
              <w:rPr>
                <w:rFonts w:ascii="宋体" w:eastAsia="宋体" w:hAnsi="宋体" w:cs="宋体"/>
                <w:spacing w:val="5"/>
                <w:sz w:val="17"/>
                <w:szCs w:val="17"/>
              </w:rPr>
              <w:t>6.平均红细胞体积(</w:t>
            </w:r>
            <w:r>
              <w:rPr>
                <w:rFonts w:ascii="宋体" w:eastAsia="宋体" w:hAnsi="宋体" w:cs="宋体"/>
                <w:sz w:val="17"/>
                <w:szCs w:val="17"/>
              </w:rPr>
              <w:t>MCV</w:t>
            </w:r>
            <w:r>
              <w:rPr>
                <w:rFonts w:ascii="宋体" w:eastAsia="宋体" w:hAnsi="宋体" w:cs="宋体"/>
                <w:spacing w:val="5"/>
                <w:sz w:val="17"/>
                <w:szCs w:val="17"/>
              </w:rPr>
              <w:t>)</w:t>
            </w:r>
            <w:r>
              <w:rPr>
                <w:rFonts w:ascii="宋体" w:eastAsia="宋体" w:hAnsi="宋体" w:cs="宋体"/>
                <w:spacing w:val="15"/>
                <w:sz w:val="17"/>
                <w:szCs w:val="17"/>
              </w:rPr>
              <w:t xml:space="preserve">  </w:t>
            </w:r>
            <w:r>
              <w:rPr>
                <w:rFonts w:ascii="宋体" w:eastAsia="宋体" w:hAnsi="宋体" w:cs="宋体"/>
                <w:spacing w:val="5"/>
                <w:sz w:val="17"/>
                <w:szCs w:val="17"/>
              </w:rPr>
              <w:t>80～90μm³</w:t>
            </w:r>
          </w:p>
          <w:p w:rsidR="00EA40A3" w:rsidRDefault="00E86C16">
            <w:pPr>
              <w:spacing w:before="51" w:line="214" w:lineRule="auto"/>
              <w:ind w:left="295"/>
              <w:rPr>
                <w:rFonts w:ascii="宋体" w:eastAsia="宋体" w:hAnsi="宋体" w:cs="宋体"/>
                <w:sz w:val="17"/>
                <w:szCs w:val="17"/>
              </w:rPr>
            </w:pPr>
            <w:r>
              <w:rPr>
                <w:rFonts w:ascii="宋体" w:eastAsia="宋体" w:hAnsi="宋体" w:cs="宋体"/>
                <w:sz w:val="17"/>
                <w:szCs w:val="17"/>
              </w:rPr>
              <w:t>7.平均红细胞血红蛋白量(MCH)</w:t>
            </w:r>
            <w:r>
              <w:rPr>
                <w:rFonts w:ascii="宋体" w:eastAsia="宋体" w:hAnsi="宋体" w:cs="宋体"/>
                <w:spacing w:val="7"/>
                <w:sz w:val="17"/>
                <w:szCs w:val="17"/>
              </w:rPr>
              <w:t xml:space="preserve">  </w:t>
            </w:r>
            <w:r>
              <w:rPr>
                <w:rFonts w:ascii="宋体" w:eastAsia="宋体" w:hAnsi="宋体" w:cs="宋体"/>
                <w:sz w:val="17"/>
                <w:szCs w:val="17"/>
              </w:rPr>
              <w:t>26～32μg</w:t>
            </w:r>
          </w:p>
        </w:tc>
      </w:tr>
      <w:tr w:rsidR="00EA40A3">
        <w:trPr>
          <w:trHeight w:val="1079"/>
        </w:trPr>
        <w:tc>
          <w:tcPr>
            <w:tcW w:w="1164" w:type="dxa"/>
            <w:tcBorders>
              <w:top w:val="single" w:sz="4" w:space="0" w:color="000000"/>
              <w:bottom w:val="single" w:sz="4" w:space="0" w:color="000000"/>
            </w:tcBorders>
          </w:tcPr>
          <w:p w:rsidR="00EA40A3" w:rsidRDefault="00EA40A3">
            <w:pPr>
              <w:spacing w:line="408" w:lineRule="auto"/>
            </w:pPr>
          </w:p>
          <w:p w:rsidR="00EA40A3" w:rsidRDefault="00E86C16">
            <w:pPr>
              <w:spacing w:before="56" w:line="220" w:lineRule="auto"/>
              <w:ind w:left="829"/>
              <w:rPr>
                <w:rFonts w:ascii="宋体" w:eastAsia="宋体" w:hAnsi="宋体" w:cs="宋体"/>
                <w:sz w:val="17"/>
                <w:szCs w:val="17"/>
              </w:rPr>
            </w:pPr>
            <w:r>
              <w:rPr>
                <w:rFonts w:ascii="宋体" w:eastAsia="宋体" w:hAnsi="宋体" w:cs="宋体"/>
                <w:sz w:val="17"/>
                <w:szCs w:val="17"/>
              </w:rPr>
              <w:t>锌</w:t>
            </w:r>
          </w:p>
        </w:tc>
        <w:tc>
          <w:tcPr>
            <w:tcW w:w="6265" w:type="dxa"/>
            <w:tcBorders>
              <w:top w:val="single" w:sz="4" w:space="0" w:color="000000"/>
              <w:bottom w:val="single" w:sz="4" w:space="0" w:color="000000"/>
            </w:tcBorders>
          </w:tcPr>
          <w:p w:rsidR="00EA40A3" w:rsidRDefault="00E86C16">
            <w:pPr>
              <w:spacing w:before="120" w:line="214" w:lineRule="auto"/>
              <w:ind w:left="295"/>
              <w:rPr>
                <w:rFonts w:ascii="宋体" w:eastAsia="宋体" w:hAnsi="宋体" w:cs="宋体"/>
                <w:sz w:val="17"/>
                <w:szCs w:val="17"/>
              </w:rPr>
            </w:pPr>
            <w:r>
              <w:rPr>
                <w:rFonts w:ascii="宋体" w:eastAsia="宋体" w:hAnsi="宋体" w:cs="宋体"/>
                <w:sz w:val="17"/>
                <w:szCs w:val="17"/>
              </w:rPr>
              <w:t>1.发锌125～250μg/g(各地暂用：临界</w:t>
            </w:r>
            <w:r>
              <w:rPr>
                <w:rFonts w:ascii="宋体" w:eastAsia="宋体" w:hAnsi="宋体" w:cs="宋体"/>
                <w:spacing w:val="-1"/>
                <w:sz w:val="17"/>
                <w:szCs w:val="17"/>
              </w:rPr>
              <w:t>缺乏&lt;110</w:t>
            </w:r>
            <w:r>
              <w:rPr>
                <w:rFonts w:ascii="宋体" w:eastAsia="宋体" w:hAnsi="宋体" w:cs="宋体"/>
                <w:sz w:val="17"/>
                <w:szCs w:val="17"/>
              </w:rPr>
              <w:t>mg</w:t>
            </w:r>
            <w:r>
              <w:rPr>
                <w:rFonts w:ascii="宋体" w:eastAsia="宋体" w:hAnsi="宋体" w:cs="宋体"/>
                <w:spacing w:val="-1"/>
                <w:sz w:val="17"/>
                <w:szCs w:val="17"/>
              </w:rPr>
              <w:t>/g,绝对缺乏&lt;70μg/g</w:t>
            </w:r>
          </w:p>
          <w:p w:rsidR="00EA40A3" w:rsidRDefault="00E86C16">
            <w:pPr>
              <w:spacing w:before="52" w:line="214" w:lineRule="auto"/>
              <w:ind w:left="295"/>
              <w:rPr>
                <w:rFonts w:ascii="宋体" w:eastAsia="宋体" w:hAnsi="宋体" w:cs="宋体"/>
                <w:sz w:val="17"/>
                <w:szCs w:val="17"/>
              </w:rPr>
            </w:pPr>
            <w:r>
              <w:rPr>
                <w:rFonts w:ascii="宋体" w:eastAsia="宋体" w:hAnsi="宋体" w:cs="宋体"/>
                <w:spacing w:val="-1"/>
                <w:sz w:val="17"/>
                <w:szCs w:val="17"/>
              </w:rPr>
              <w:t>2.血浆锌800～1100μg/L</w:t>
            </w:r>
          </w:p>
          <w:p w:rsidR="00EA40A3" w:rsidRDefault="00E86C16">
            <w:pPr>
              <w:spacing w:before="72" w:line="214" w:lineRule="auto"/>
              <w:ind w:left="295"/>
              <w:rPr>
                <w:rFonts w:ascii="宋体" w:eastAsia="宋体" w:hAnsi="宋体" w:cs="宋体"/>
                <w:sz w:val="17"/>
                <w:szCs w:val="17"/>
              </w:rPr>
            </w:pPr>
            <w:r>
              <w:rPr>
                <w:rFonts w:ascii="宋体" w:eastAsia="宋体" w:hAnsi="宋体" w:cs="宋体"/>
                <w:spacing w:val="1"/>
                <w:sz w:val="17"/>
                <w:szCs w:val="17"/>
              </w:rPr>
              <w:t>3.血红胞锌12～14</w:t>
            </w:r>
            <w:r>
              <w:rPr>
                <w:rFonts w:ascii="宋体" w:eastAsia="宋体" w:hAnsi="宋体" w:cs="宋体"/>
                <w:sz w:val="17"/>
                <w:szCs w:val="17"/>
              </w:rPr>
              <w:t>mg</w:t>
            </w:r>
            <w:r>
              <w:rPr>
                <w:rFonts w:ascii="宋体" w:eastAsia="宋体" w:hAnsi="宋体" w:cs="宋体"/>
                <w:spacing w:val="1"/>
                <w:sz w:val="17"/>
                <w:szCs w:val="17"/>
              </w:rPr>
              <w:t>/L</w:t>
            </w:r>
          </w:p>
          <w:p w:rsidR="00EA40A3" w:rsidRDefault="00E86C16">
            <w:pPr>
              <w:spacing w:before="58" w:line="199" w:lineRule="auto"/>
              <w:ind w:left="295"/>
              <w:rPr>
                <w:rFonts w:ascii="宋体" w:eastAsia="宋体" w:hAnsi="宋体" w:cs="宋体"/>
                <w:sz w:val="17"/>
                <w:szCs w:val="17"/>
              </w:rPr>
            </w:pPr>
            <w:r>
              <w:rPr>
                <w:rFonts w:ascii="宋体" w:eastAsia="宋体" w:hAnsi="宋体" w:cs="宋体"/>
                <w:spacing w:val="-1"/>
                <w:sz w:val="17"/>
                <w:szCs w:val="17"/>
              </w:rPr>
              <w:t>4.血清碱性磷酶活性，见上</w:t>
            </w:r>
          </w:p>
        </w:tc>
      </w:tr>
      <w:tr w:rsidR="00EA40A3">
        <w:trPr>
          <w:trHeight w:val="644"/>
        </w:trPr>
        <w:tc>
          <w:tcPr>
            <w:tcW w:w="1164" w:type="dxa"/>
            <w:tcBorders>
              <w:top w:val="single" w:sz="4" w:space="0" w:color="000000"/>
              <w:bottom w:val="single" w:sz="4" w:space="0" w:color="000000"/>
            </w:tcBorders>
          </w:tcPr>
          <w:p w:rsidR="00EA40A3" w:rsidRDefault="00E86C16">
            <w:pPr>
              <w:spacing w:before="247" w:line="219" w:lineRule="auto"/>
              <w:ind w:left="399"/>
              <w:rPr>
                <w:rFonts w:ascii="宋体" w:eastAsia="宋体" w:hAnsi="宋体" w:cs="宋体"/>
                <w:sz w:val="17"/>
                <w:szCs w:val="17"/>
              </w:rPr>
            </w:pPr>
            <w:r>
              <w:rPr>
                <w:rFonts w:ascii="宋体" w:eastAsia="宋体" w:hAnsi="宋体" w:cs="宋体"/>
                <w:spacing w:val="-3"/>
                <w:sz w:val="17"/>
                <w:szCs w:val="17"/>
              </w:rPr>
              <w:t>维生素A</w:t>
            </w:r>
          </w:p>
        </w:tc>
        <w:tc>
          <w:tcPr>
            <w:tcW w:w="6265" w:type="dxa"/>
            <w:tcBorders>
              <w:top w:val="single" w:sz="4" w:space="0" w:color="000000"/>
              <w:bottom w:val="single" w:sz="4" w:space="0" w:color="000000"/>
            </w:tcBorders>
          </w:tcPr>
          <w:p w:rsidR="00EA40A3" w:rsidRDefault="00E86C16">
            <w:pPr>
              <w:spacing w:before="131" w:line="250" w:lineRule="exact"/>
              <w:ind w:left="205"/>
              <w:rPr>
                <w:rFonts w:ascii="宋体" w:eastAsia="宋体" w:hAnsi="宋体" w:cs="宋体"/>
                <w:sz w:val="17"/>
                <w:szCs w:val="17"/>
              </w:rPr>
            </w:pPr>
            <w:r>
              <w:rPr>
                <w:rFonts w:ascii="宋体" w:eastAsia="宋体" w:hAnsi="宋体" w:cs="宋体"/>
                <w:position w:val="6"/>
                <w:sz w:val="17"/>
                <w:szCs w:val="17"/>
              </w:rPr>
              <w:t>1.血清视黄醇，儿童&gt;300μg/L、成人&gt;400μg/L</w:t>
            </w:r>
          </w:p>
          <w:p w:rsidR="00EA40A3" w:rsidRDefault="00E86C16">
            <w:pPr>
              <w:spacing w:line="213" w:lineRule="auto"/>
              <w:ind w:left="195"/>
              <w:rPr>
                <w:rFonts w:ascii="宋体" w:eastAsia="宋体" w:hAnsi="宋体" w:cs="宋体"/>
                <w:sz w:val="17"/>
                <w:szCs w:val="17"/>
              </w:rPr>
            </w:pPr>
            <w:r>
              <w:rPr>
                <w:rFonts w:ascii="宋体" w:eastAsia="宋体" w:hAnsi="宋体" w:cs="宋体"/>
                <w:spacing w:val="-1"/>
                <w:sz w:val="17"/>
                <w:szCs w:val="17"/>
              </w:rPr>
              <w:t>2.血清胡萝卜素，&gt;800μg/L</w:t>
            </w:r>
          </w:p>
        </w:tc>
      </w:tr>
    </w:tbl>
    <w:p w:rsidR="00EA40A3" w:rsidRDefault="00E86C16">
      <w:pPr>
        <w:spacing w:before="259"/>
        <w:ind w:left="170"/>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9"/>
          <w:sz w:val="18"/>
          <w:szCs w:val="18"/>
        </w:rPr>
        <w:t xml:space="preserve"> </w:t>
      </w:r>
      <w:r>
        <w:rPr>
          <w:rFonts w:ascii="宋体" w:eastAsia="宋体" w:hAnsi="宋体" w:cs="宋体"/>
          <w:spacing w:val="-28"/>
          <w:sz w:val="18"/>
          <w:szCs w:val="18"/>
        </w:rPr>
        <w:t>400</w:t>
      </w:r>
      <w:r>
        <w:rPr>
          <w:rFonts w:ascii="宋体" w:eastAsia="宋体" w:hAnsi="宋体" w:cs="宋体"/>
          <w:spacing w:val="42"/>
          <w:sz w:val="18"/>
          <w:szCs w:val="18"/>
        </w:rPr>
        <w:t xml:space="preserve"> </w:t>
      </w:r>
      <w:r>
        <w:rPr>
          <w:rFonts w:ascii="宋体" w:eastAsia="宋体" w:hAnsi="宋体" w:cs="宋体"/>
          <w:spacing w:val="-28"/>
          <w:sz w:val="18"/>
          <w:szCs w:val="18"/>
        </w:rPr>
        <w:t>·</w:t>
      </w:r>
    </w:p>
    <w:p w:rsidR="00EA40A3" w:rsidRDefault="00EA40A3">
      <w:pPr>
        <w:sectPr w:rsidR="00EA40A3">
          <w:headerReference w:type="default" r:id="rId326"/>
          <w:pgSz w:w="9220" w:h="13360"/>
          <w:pgMar w:top="1574" w:right="990" w:bottom="400" w:left="800" w:header="1334" w:footer="0" w:gutter="0"/>
          <w:cols w:space="720"/>
        </w:sectPr>
      </w:pPr>
    </w:p>
    <w:p w:rsidR="00EA40A3" w:rsidRDefault="00E86C16">
      <w:pPr>
        <w:spacing w:before="142" w:line="204" w:lineRule="auto"/>
        <w:ind w:left="330"/>
        <w:rPr>
          <w:rFonts w:ascii="宋体" w:eastAsia="宋体" w:hAnsi="宋体" w:cs="宋体"/>
          <w:sz w:val="17"/>
          <w:szCs w:val="17"/>
        </w:rPr>
      </w:pPr>
      <w:r>
        <w:rPr>
          <w:rFonts w:ascii="宋体" w:eastAsia="宋体" w:hAnsi="宋体" w:cs="宋体"/>
          <w:spacing w:val="-2"/>
          <w:sz w:val="17"/>
          <w:szCs w:val="17"/>
        </w:rPr>
        <w:lastRenderedPageBreak/>
        <w:t>营养水平</w:t>
      </w:r>
      <w:r>
        <w:rPr>
          <w:rFonts w:ascii="宋体" w:eastAsia="宋体" w:hAnsi="宋体" w:cs="宋体"/>
          <w:sz w:val="17"/>
          <w:szCs w:val="17"/>
        </w:rPr>
        <w:t xml:space="preserve">                          </w:t>
      </w:r>
      <w:r>
        <w:rPr>
          <w:rFonts w:ascii="宋体" w:eastAsia="宋体" w:hAnsi="宋体" w:cs="宋体"/>
          <w:spacing w:val="-2"/>
          <w:sz w:val="17"/>
          <w:szCs w:val="17"/>
        </w:rPr>
        <w:t>生化检验诊断参考指标及临界值</w:t>
      </w:r>
    </w:p>
    <w:tbl>
      <w:tblPr>
        <w:tblStyle w:val="TableNormal"/>
        <w:tblW w:w="733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46"/>
        <w:gridCol w:w="806"/>
        <w:gridCol w:w="1623"/>
        <w:gridCol w:w="1803"/>
        <w:gridCol w:w="1852"/>
      </w:tblGrid>
      <w:tr w:rsidR="00EA40A3">
        <w:trPr>
          <w:trHeight w:val="1032"/>
        </w:trPr>
        <w:tc>
          <w:tcPr>
            <w:tcW w:w="1246" w:type="dxa"/>
            <w:tcBorders>
              <w:top w:val="single" w:sz="4" w:space="0" w:color="000000"/>
            </w:tcBorders>
          </w:tcPr>
          <w:p w:rsidR="00EA40A3" w:rsidRDefault="00EA40A3">
            <w:pPr>
              <w:spacing w:line="384" w:lineRule="auto"/>
            </w:pPr>
          </w:p>
          <w:p w:rsidR="00EA40A3" w:rsidRDefault="00E86C16">
            <w:pPr>
              <w:spacing w:before="55" w:line="219" w:lineRule="auto"/>
              <w:ind w:left="280"/>
              <w:rPr>
                <w:rFonts w:ascii="Calibri" w:eastAsia="Calibri" w:hAnsi="Calibri" w:cs="Calibri"/>
                <w:sz w:val="17"/>
                <w:szCs w:val="17"/>
              </w:rPr>
            </w:pPr>
            <w:r>
              <w:rPr>
                <w:rFonts w:ascii="宋体" w:eastAsia="宋体" w:hAnsi="宋体" w:cs="宋体"/>
                <w:spacing w:val="21"/>
                <w:sz w:val="17"/>
                <w:szCs w:val="17"/>
              </w:rPr>
              <w:t>维生素B</w:t>
            </w:r>
            <w:r>
              <w:rPr>
                <w:rFonts w:ascii="Calibri" w:eastAsia="Calibri" w:hAnsi="Calibri" w:cs="Calibri"/>
                <w:spacing w:val="21"/>
                <w:sz w:val="17"/>
                <w:szCs w:val="17"/>
              </w:rPr>
              <w:t>₁</w:t>
            </w:r>
          </w:p>
        </w:tc>
        <w:tc>
          <w:tcPr>
            <w:tcW w:w="806" w:type="dxa"/>
            <w:tcBorders>
              <w:top w:val="single" w:sz="4" w:space="0" w:color="000000"/>
            </w:tcBorders>
          </w:tcPr>
          <w:p w:rsidR="00EA40A3" w:rsidRDefault="00E86C16">
            <w:pPr>
              <w:spacing w:before="73" w:line="523" w:lineRule="exact"/>
              <w:ind w:left="244"/>
              <w:rPr>
                <w:rFonts w:ascii="宋体" w:eastAsia="宋体" w:hAnsi="宋体" w:cs="宋体"/>
                <w:sz w:val="17"/>
                <w:szCs w:val="17"/>
              </w:rPr>
            </w:pPr>
            <w:r>
              <w:rPr>
                <w:rFonts w:ascii="宋体" w:eastAsia="宋体" w:hAnsi="宋体" w:cs="宋体"/>
                <w:spacing w:val="2"/>
                <w:position w:val="27"/>
                <w:sz w:val="17"/>
                <w:szCs w:val="17"/>
              </w:rPr>
              <w:t>24h尿</w:t>
            </w:r>
          </w:p>
          <w:p w:rsidR="00EA40A3" w:rsidRDefault="00E86C16">
            <w:pPr>
              <w:spacing w:line="213" w:lineRule="auto"/>
              <w:ind w:left="164"/>
              <w:rPr>
                <w:rFonts w:ascii="宋体" w:eastAsia="宋体" w:hAnsi="宋体" w:cs="宋体"/>
                <w:sz w:val="17"/>
                <w:szCs w:val="17"/>
              </w:rPr>
            </w:pPr>
            <w:r>
              <w:rPr>
                <w:rFonts w:ascii="宋体" w:eastAsia="宋体" w:hAnsi="宋体" w:cs="宋体"/>
                <w:spacing w:val="-2"/>
                <w:sz w:val="17"/>
                <w:szCs w:val="17"/>
              </w:rPr>
              <w:t>&gt;100μg</w:t>
            </w:r>
          </w:p>
        </w:tc>
        <w:tc>
          <w:tcPr>
            <w:tcW w:w="1623" w:type="dxa"/>
            <w:tcBorders>
              <w:top w:val="single" w:sz="4" w:space="0" w:color="000000"/>
            </w:tcBorders>
          </w:tcPr>
          <w:p w:rsidR="00EA40A3" w:rsidRDefault="00E86C16">
            <w:pPr>
              <w:spacing w:before="72" w:line="219" w:lineRule="auto"/>
              <w:ind w:left="528"/>
              <w:rPr>
                <w:rFonts w:ascii="宋体" w:eastAsia="宋体" w:hAnsi="宋体" w:cs="宋体"/>
                <w:sz w:val="17"/>
                <w:szCs w:val="17"/>
              </w:rPr>
            </w:pPr>
            <w:r>
              <w:rPr>
                <w:rFonts w:ascii="宋体" w:eastAsia="宋体" w:hAnsi="宋体" w:cs="宋体"/>
                <w:spacing w:val="-1"/>
                <w:sz w:val="17"/>
                <w:szCs w:val="17"/>
              </w:rPr>
              <w:t>4h负荷尿</w:t>
            </w:r>
          </w:p>
          <w:p w:rsidR="00EA40A3" w:rsidRDefault="00E86C16">
            <w:pPr>
              <w:spacing w:before="42" w:line="214" w:lineRule="auto"/>
              <w:ind w:left="488"/>
              <w:rPr>
                <w:rFonts w:ascii="宋体" w:eastAsia="宋体" w:hAnsi="宋体" w:cs="宋体"/>
                <w:sz w:val="17"/>
                <w:szCs w:val="17"/>
              </w:rPr>
            </w:pPr>
            <w:r>
              <w:rPr>
                <w:rFonts w:ascii="宋体" w:eastAsia="宋体" w:hAnsi="宋体" w:cs="宋体"/>
                <w:spacing w:val="6"/>
                <w:sz w:val="17"/>
                <w:szCs w:val="17"/>
              </w:rPr>
              <w:t>(5</w:t>
            </w:r>
            <w:r>
              <w:rPr>
                <w:rFonts w:ascii="宋体" w:eastAsia="宋体" w:hAnsi="宋体" w:cs="宋体"/>
                <w:sz w:val="17"/>
                <w:szCs w:val="17"/>
              </w:rPr>
              <w:t>mg</w:t>
            </w:r>
            <w:r>
              <w:rPr>
                <w:rFonts w:ascii="宋体" w:eastAsia="宋体" w:hAnsi="宋体" w:cs="宋体"/>
                <w:spacing w:val="6"/>
                <w:sz w:val="17"/>
                <w:szCs w:val="17"/>
              </w:rPr>
              <w:t>负荷)</w:t>
            </w:r>
          </w:p>
          <w:p w:rsidR="00EA40A3" w:rsidRDefault="00E86C16">
            <w:pPr>
              <w:spacing w:before="72" w:line="214" w:lineRule="auto"/>
              <w:ind w:left="618"/>
              <w:rPr>
                <w:rFonts w:ascii="宋体" w:eastAsia="宋体" w:hAnsi="宋体" w:cs="宋体"/>
                <w:sz w:val="17"/>
                <w:szCs w:val="17"/>
              </w:rPr>
            </w:pPr>
            <w:r>
              <w:rPr>
                <w:rFonts w:ascii="宋体" w:eastAsia="宋体" w:hAnsi="宋体" w:cs="宋体"/>
                <w:spacing w:val="-2"/>
                <w:sz w:val="17"/>
                <w:szCs w:val="17"/>
              </w:rPr>
              <w:t>&gt;80μg</w:t>
            </w:r>
          </w:p>
        </w:tc>
        <w:tc>
          <w:tcPr>
            <w:tcW w:w="1803" w:type="dxa"/>
            <w:tcBorders>
              <w:top w:val="single" w:sz="4" w:space="0" w:color="000000"/>
            </w:tcBorders>
          </w:tcPr>
          <w:p w:rsidR="00EA40A3" w:rsidRDefault="00E86C16">
            <w:pPr>
              <w:spacing w:before="66" w:line="520" w:lineRule="exact"/>
              <w:ind w:left="265"/>
              <w:rPr>
                <w:rFonts w:ascii="宋体" w:eastAsia="宋体" w:hAnsi="宋体" w:cs="宋体"/>
                <w:sz w:val="17"/>
                <w:szCs w:val="17"/>
              </w:rPr>
            </w:pPr>
            <w:r>
              <w:rPr>
                <w:rFonts w:ascii="宋体" w:eastAsia="宋体" w:hAnsi="宋体" w:cs="宋体"/>
                <w:spacing w:val="-1"/>
                <w:position w:val="27"/>
                <w:sz w:val="17"/>
                <w:szCs w:val="17"/>
              </w:rPr>
              <w:t>任意一次尿/g肌酐</w:t>
            </w:r>
          </w:p>
          <w:p w:rsidR="00EA40A3" w:rsidRDefault="00E86C16">
            <w:pPr>
              <w:spacing w:line="213" w:lineRule="auto"/>
              <w:ind w:left="725"/>
              <w:rPr>
                <w:rFonts w:ascii="宋体" w:eastAsia="宋体" w:hAnsi="宋体" w:cs="宋体"/>
                <w:sz w:val="17"/>
                <w:szCs w:val="17"/>
              </w:rPr>
            </w:pPr>
            <w:r>
              <w:rPr>
                <w:rFonts w:ascii="宋体" w:eastAsia="宋体" w:hAnsi="宋体" w:cs="宋体"/>
                <w:spacing w:val="-2"/>
                <w:sz w:val="17"/>
                <w:szCs w:val="17"/>
              </w:rPr>
              <w:t>&gt;66pg</w:t>
            </w:r>
          </w:p>
        </w:tc>
        <w:tc>
          <w:tcPr>
            <w:tcW w:w="1852" w:type="dxa"/>
            <w:tcBorders>
              <w:top w:val="single" w:sz="4" w:space="0" w:color="000000"/>
            </w:tcBorders>
          </w:tcPr>
          <w:p w:rsidR="00EA40A3" w:rsidRDefault="00E86C16">
            <w:pPr>
              <w:spacing w:before="85" w:line="234" w:lineRule="auto"/>
              <w:ind w:left="832"/>
              <w:rPr>
                <w:rFonts w:ascii="宋体" w:eastAsia="宋体" w:hAnsi="宋体" w:cs="宋体"/>
                <w:sz w:val="17"/>
                <w:szCs w:val="17"/>
              </w:rPr>
            </w:pPr>
            <w:r>
              <w:rPr>
                <w:rFonts w:ascii="宋体" w:eastAsia="宋体" w:hAnsi="宋体" w:cs="宋体"/>
                <w:sz w:val="17"/>
                <w:szCs w:val="17"/>
              </w:rPr>
              <w:t>血</w:t>
            </w:r>
          </w:p>
          <w:p w:rsidR="00EA40A3" w:rsidRDefault="00E86C16">
            <w:pPr>
              <w:spacing w:before="282" w:line="244" w:lineRule="auto"/>
              <w:ind w:left="452" w:right="195" w:hanging="260"/>
              <w:rPr>
                <w:rFonts w:ascii="宋体" w:eastAsia="宋体" w:hAnsi="宋体" w:cs="宋体"/>
                <w:sz w:val="17"/>
                <w:szCs w:val="17"/>
              </w:rPr>
            </w:pPr>
            <w:r>
              <w:rPr>
                <w:rFonts w:ascii="宋体" w:eastAsia="宋体" w:hAnsi="宋体" w:cs="宋体"/>
                <w:sz w:val="17"/>
                <w:szCs w:val="17"/>
              </w:rPr>
              <w:t>RBC</w:t>
            </w:r>
            <w:r>
              <w:rPr>
                <w:rFonts w:ascii="宋体" w:eastAsia="宋体" w:hAnsi="宋体" w:cs="宋体"/>
                <w:spacing w:val="2"/>
                <w:sz w:val="17"/>
                <w:szCs w:val="17"/>
              </w:rPr>
              <w:t>转羟乙醛酶活力</w:t>
            </w:r>
            <w:r>
              <w:rPr>
                <w:rFonts w:ascii="宋体" w:eastAsia="宋体" w:hAnsi="宋体" w:cs="宋体"/>
                <w:spacing w:val="4"/>
                <w:sz w:val="17"/>
                <w:szCs w:val="17"/>
              </w:rPr>
              <w:t xml:space="preserve"> </w:t>
            </w:r>
            <w:r>
              <w:rPr>
                <w:rFonts w:ascii="宋体" w:eastAsia="宋体" w:hAnsi="宋体" w:cs="宋体"/>
                <w:spacing w:val="-1"/>
                <w:sz w:val="17"/>
                <w:szCs w:val="17"/>
              </w:rPr>
              <w:t>TPP效应&lt;16%</w:t>
            </w:r>
          </w:p>
        </w:tc>
      </w:tr>
      <w:tr w:rsidR="00EA40A3">
        <w:trPr>
          <w:trHeight w:val="238"/>
        </w:trPr>
        <w:tc>
          <w:tcPr>
            <w:tcW w:w="1246" w:type="dxa"/>
            <w:tcBorders>
              <w:bottom w:val="single" w:sz="4" w:space="0" w:color="000000"/>
            </w:tcBorders>
          </w:tcPr>
          <w:p w:rsidR="00EA40A3" w:rsidRDefault="00E86C16">
            <w:pPr>
              <w:spacing w:before="40" w:line="215" w:lineRule="auto"/>
              <w:ind w:left="370"/>
              <w:rPr>
                <w:rFonts w:ascii="宋体" w:eastAsia="宋体" w:hAnsi="宋体" w:cs="宋体"/>
                <w:sz w:val="17"/>
                <w:szCs w:val="17"/>
              </w:rPr>
            </w:pPr>
            <w:r>
              <w:rPr>
                <w:rFonts w:ascii="宋体" w:eastAsia="宋体" w:hAnsi="宋体" w:cs="宋体"/>
                <w:spacing w:val="-3"/>
                <w:sz w:val="17"/>
                <w:szCs w:val="17"/>
              </w:rPr>
              <w:t>维生素B</w:t>
            </w:r>
          </w:p>
        </w:tc>
        <w:tc>
          <w:tcPr>
            <w:tcW w:w="806" w:type="dxa"/>
            <w:tcBorders>
              <w:bottom w:val="single" w:sz="4" w:space="0" w:color="000000"/>
            </w:tcBorders>
          </w:tcPr>
          <w:p w:rsidR="00EA40A3" w:rsidRDefault="00E86C16">
            <w:pPr>
              <w:spacing w:before="74" w:line="189" w:lineRule="auto"/>
              <w:ind w:left="164"/>
              <w:rPr>
                <w:rFonts w:ascii="宋体" w:eastAsia="宋体" w:hAnsi="宋体" w:cs="宋体"/>
                <w:sz w:val="16"/>
                <w:szCs w:val="16"/>
              </w:rPr>
            </w:pPr>
            <w:r>
              <w:rPr>
                <w:rFonts w:ascii="宋体" w:eastAsia="宋体" w:hAnsi="宋体" w:cs="宋体"/>
                <w:spacing w:val="3"/>
                <w:sz w:val="16"/>
                <w:szCs w:val="16"/>
              </w:rPr>
              <w:t>&gt;120μg</w:t>
            </w:r>
          </w:p>
        </w:tc>
        <w:tc>
          <w:tcPr>
            <w:tcW w:w="1623" w:type="dxa"/>
            <w:tcBorders>
              <w:bottom w:val="single" w:sz="4" w:space="0" w:color="000000"/>
            </w:tcBorders>
          </w:tcPr>
          <w:p w:rsidR="00EA40A3" w:rsidRDefault="00E86C16">
            <w:pPr>
              <w:spacing w:before="64" w:line="188" w:lineRule="auto"/>
              <w:ind w:left="568"/>
              <w:rPr>
                <w:rFonts w:ascii="宋体" w:eastAsia="宋体" w:hAnsi="宋体" w:cs="宋体"/>
                <w:sz w:val="17"/>
                <w:szCs w:val="17"/>
              </w:rPr>
            </w:pPr>
            <w:r>
              <w:rPr>
                <w:rFonts w:ascii="宋体" w:eastAsia="宋体" w:hAnsi="宋体" w:cs="宋体"/>
                <w:spacing w:val="-2"/>
                <w:sz w:val="17"/>
                <w:szCs w:val="17"/>
              </w:rPr>
              <w:t>&gt;800μg</w:t>
            </w:r>
          </w:p>
        </w:tc>
        <w:tc>
          <w:tcPr>
            <w:tcW w:w="1803" w:type="dxa"/>
            <w:tcBorders>
              <w:bottom w:val="single" w:sz="4" w:space="0" w:color="000000"/>
            </w:tcBorders>
          </w:tcPr>
          <w:p w:rsidR="00EA40A3" w:rsidRDefault="00E86C16">
            <w:pPr>
              <w:spacing w:before="54" w:line="199" w:lineRule="auto"/>
              <w:ind w:left="725"/>
              <w:rPr>
                <w:rFonts w:ascii="宋体" w:eastAsia="宋体" w:hAnsi="宋体" w:cs="宋体"/>
                <w:sz w:val="17"/>
                <w:szCs w:val="17"/>
              </w:rPr>
            </w:pPr>
            <w:r>
              <w:rPr>
                <w:rFonts w:ascii="宋体" w:eastAsia="宋体" w:hAnsi="宋体" w:cs="宋体"/>
                <w:spacing w:val="-2"/>
                <w:sz w:val="17"/>
                <w:szCs w:val="17"/>
              </w:rPr>
              <w:t>&gt;80gg</w:t>
            </w:r>
          </w:p>
        </w:tc>
        <w:tc>
          <w:tcPr>
            <w:tcW w:w="1852" w:type="dxa"/>
            <w:tcBorders>
              <w:bottom w:val="single" w:sz="4" w:space="0" w:color="000000"/>
            </w:tcBorders>
          </w:tcPr>
          <w:p w:rsidR="00EA40A3" w:rsidRDefault="00E86C16">
            <w:pPr>
              <w:spacing w:before="34" w:line="214" w:lineRule="auto"/>
              <w:ind w:left="412"/>
              <w:rPr>
                <w:rFonts w:ascii="宋体" w:eastAsia="宋体" w:hAnsi="宋体" w:cs="宋体"/>
                <w:sz w:val="17"/>
                <w:szCs w:val="17"/>
              </w:rPr>
            </w:pPr>
            <w:r>
              <w:rPr>
                <w:rFonts w:ascii="宋体" w:eastAsia="宋体" w:hAnsi="宋体" w:cs="宋体"/>
                <w:spacing w:val="-2"/>
                <w:sz w:val="17"/>
                <w:szCs w:val="17"/>
              </w:rPr>
              <w:t>&gt;140gg</w:t>
            </w:r>
            <w:r>
              <w:rPr>
                <w:rFonts w:ascii="宋体" w:eastAsia="宋体" w:hAnsi="宋体" w:cs="宋体"/>
                <w:spacing w:val="10"/>
                <w:sz w:val="17"/>
                <w:szCs w:val="17"/>
              </w:rPr>
              <w:t xml:space="preserve"> </w:t>
            </w:r>
            <w:r>
              <w:rPr>
                <w:rFonts w:ascii="宋体" w:eastAsia="宋体" w:hAnsi="宋体" w:cs="宋体"/>
                <w:spacing w:val="-2"/>
                <w:sz w:val="17"/>
                <w:szCs w:val="17"/>
              </w:rPr>
              <w:t>/LRBC</w:t>
            </w:r>
          </w:p>
        </w:tc>
      </w:tr>
      <w:tr w:rsidR="00EA40A3">
        <w:trPr>
          <w:trHeight w:val="269"/>
        </w:trPr>
        <w:tc>
          <w:tcPr>
            <w:tcW w:w="1246" w:type="dxa"/>
            <w:tcBorders>
              <w:top w:val="single" w:sz="4" w:space="0" w:color="000000"/>
              <w:bottom w:val="single" w:sz="4" w:space="0" w:color="000000"/>
            </w:tcBorders>
          </w:tcPr>
          <w:p w:rsidR="00EA40A3" w:rsidRDefault="00E86C16">
            <w:pPr>
              <w:spacing w:before="93" w:line="191" w:lineRule="auto"/>
              <w:ind w:left="200"/>
              <w:rPr>
                <w:rFonts w:ascii="宋体" w:eastAsia="宋体" w:hAnsi="宋体" w:cs="宋体"/>
                <w:sz w:val="17"/>
                <w:szCs w:val="17"/>
              </w:rPr>
            </w:pPr>
            <w:r>
              <w:rPr>
                <w:rFonts w:ascii="宋体" w:eastAsia="宋体" w:hAnsi="宋体" w:cs="宋体"/>
                <w:spacing w:val="4"/>
                <w:sz w:val="17"/>
                <w:szCs w:val="17"/>
              </w:rPr>
              <w:t>烟酸(N'-</w:t>
            </w:r>
            <w:r>
              <w:rPr>
                <w:rFonts w:ascii="宋体" w:eastAsia="宋体" w:hAnsi="宋体" w:cs="宋体"/>
                <w:sz w:val="17"/>
                <w:szCs w:val="17"/>
              </w:rPr>
              <w:t>Me</w:t>
            </w:r>
            <w:r>
              <w:rPr>
                <w:rFonts w:ascii="宋体" w:eastAsia="宋体" w:hAnsi="宋体" w:cs="宋体"/>
                <w:spacing w:val="4"/>
                <w:sz w:val="17"/>
                <w:szCs w:val="17"/>
              </w:rPr>
              <w:t>)</w:t>
            </w:r>
          </w:p>
        </w:tc>
        <w:tc>
          <w:tcPr>
            <w:tcW w:w="806" w:type="dxa"/>
            <w:tcBorders>
              <w:top w:val="single" w:sz="4" w:space="0" w:color="000000"/>
              <w:bottom w:val="single" w:sz="4" w:space="0" w:color="000000"/>
            </w:tcBorders>
          </w:tcPr>
          <w:p w:rsidR="00EA40A3" w:rsidRDefault="00E86C16">
            <w:pPr>
              <w:spacing w:before="120" w:line="161" w:lineRule="auto"/>
              <w:ind w:left="204"/>
              <w:rPr>
                <w:rFonts w:ascii="宋体" w:eastAsia="宋体" w:hAnsi="宋体" w:cs="宋体"/>
                <w:sz w:val="17"/>
                <w:szCs w:val="17"/>
              </w:rPr>
            </w:pPr>
            <w:r>
              <w:rPr>
                <w:rFonts w:ascii="宋体" w:eastAsia="宋体" w:hAnsi="宋体" w:cs="宋体"/>
                <w:spacing w:val="-2"/>
                <w:sz w:val="17"/>
                <w:szCs w:val="17"/>
              </w:rPr>
              <w:t>&gt;1.5mg</w:t>
            </w:r>
          </w:p>
        </w:tc>
        <w:tc>
          <w:tcPr>
            <w:tcW w:w="1623" w:type="dxa"/>
            <w:tcBorders>
              <w:top w:val="single" w:sz="4" w:space="0" w:color="000000"/>
              <w:bottom w:val="single" w:sz="4" w:space="0" w:color="000000"/>
            </w:tcBorders>
          </w:tcPr>
          <w:p w:rsidR="00EA40A3" w:rsidRDefault="00E86C16">
            <w:pPr>
              <w:spacing w:before="86" w:line="198" w:lineRule="auto"/>
              <w:ind w:left="88"/>
              <w:rPr>
                <w:rFonts w:ascii="宋体" w:eastAsia="宋体" w:hAnsi="宋体" w:cs="宋体"/>
                <w:sz w:val="17"/>
                <w:szCs w:val="17"/>
              </w:rPr>
            </w:pPr>
            <w:r>
              <w:rPr>
                <w:rFonts w:ascii="宋体" w:eastAsia="宋体" w:hAnsi="宋体" w:cs="宋体"/>
                <w:spacing w:val="3"/>
                <w:sz w:val="17"/>
                <w:szCs w:val="17"/>
              </w:rPr>
              <w:t>&gt;2.5</w:t>
            </w:r>
            <w:r>
              <w:rPr>
                <w:rFonts w:ascii="宋体" w:eastAsia="宋体" w:hAnsi="宋体" w:cs="宋体"/>
                <w:sz w:val="17"/>
                <w:szCs w:val="17"/>
              </w:rPr>
              <w:t>mg</w:t>
            </w:r>
            <w:r>
              <w:rPr>
                <w:rFonts w:ascii="宋体" w:eastAsia="宋体" w:hAnsi="宋体" w:cs="宋体"/>
                <w:spacing w:val="3"/>
                <w:sz w:val="17"/>
                <w:szCs w:val="17"/>
              </w:rPr>
              <w:t>(5</w:t>
            </w:r>
            <w:r>
              <w:rPr>
                <w:rFonts w:ascii="宋体" w:eastAsia="宋体" w:hAnsi="宋体" w:cs="宋体"/>
                <w:sz w:val="17"/>
                <w:szCs w:val="17"/>
              </w:rPr>
              <w:t>mg</w:t>
            </w:r>
            <w:r>
              <w:rPr>
                <w:rFonts w:ascii="宋体" w:eastAsia="宋体" w:hAnsi="宋体" w:cs="宋体"/>
                <w:spacing w:val="3"/>
                <w:sz w:val="17"/>
                <w:szCs w:val="17"/>
              </w:rPr>
              <w:t>负荷)</w:t>
            </w:r>
          </w:p>
        </w:tc>
        <w:tc>
          <w:tcPr>
            <w:tcW w:w="1803" w:type="dxa"/>
            <w:tcBorders>
              <w:top w:val="single" w:sz="4" w:space="0" w:color="000000"/>
              <w:bottom w:val="single" w:sz="4" w:space="0" w:color="000000"/>
            </w:tcBorders>
          </w:tcPr>
          <w:p w:rsidR="00EA40A3" w:rsidRDefault="00E86C16">
            <w:pPr>
              <w:spacing w:before="110" w:line="172" w:lineRule="auto"/>
              <w:ind w:left="635"/>
              <w:rPr>
                <w:rFonts w:ascii="宋体" w:eastAsia="宋体" w:hAnsi="宋体" w:cs="宋体"/>
                <w:sz w:val="17"/>
                <w:szCs w:val="17"/>
              </w:rPr>
            </w:pPr>
            <w:r>
              <w:rPr>
                <w:rFonts w:ascii="宋体" w:eastAsia="宋体" w:hAnsi="宋体" w:cs="宋体"/>
                <w:spacing w:val="-2"/>
                <w:sz w:val="17"/>
                <w:szCs w:val="17"/>
              </w:rPr>
              <w:t>&gt;1.6mg</w:t>
            </w:r>
          </w:p>
        </w:tc>
        <w:tc>
          <w:tcPr>
            <w:tcW w:w="1852" w:type="dxa"/>
            <w:tcBorders>
              <w:top w:val="single" w:sz="4" w:space="0" w:color="000000"/>
              <w:bottom w:val="single" w:sz="4" w:space="0" w:color="000000"/>
            </w:tcBorders>
          </w:tcPr>
          <w:p w:rsidR="00EA40A3" w:rsidRDefault="00EA40A3"/>
        </w:tc>
      </w:tr>
      <w:tr w:rsidR="00EA40A3">
        <w:trPr>
          <w:trHeight w:val="528"/>
        </w:trPr>
        <w:tc>
          <w:tcPr>
            <w:tcW w:w="1246" w:type="dxa"/>
            <w:tcBorders>
              <w:top w:val="single" w:sz="4" w:space="0" w:color="000000"/>
              <w:bottom w:val="single" w:sz="4" w:space="0" w:color="000000"/>
            </w:tcBorders>
          </w:tcPr>
          <w:p w:rsidR="00EA40A3" w:rsidRDefault="00E86C16">
            <w:pPr>
              <w:spacing w:before="93" w:line="219" w:lineRule="auto"/>
              <w:ind w:left="370"/>
              <w:rPr>
                <w:rFonts w:ascii="宋体" w:eastAsia="宋体" w:hAnsi="宋体" w:cs="宋体"/>
                <w:sz w:val="17"/>
                <w:szCs w:val="17"/>
              </w:rPr>
            </w:pPr>
            <w:r>
              <w:rPr>
                <w:rFonts w:ascii="宋体" w:eastAsia="宋体" w:hAnsi="宋体" w:cs="宋体"/>
                <w:spacing w:val="-3"/>
                <w:sz w:val="17"/>
                <w:szCs w:val="17"/>
              </w:rPr>
              <w:t>维生素C</w:t>
            </w:r>
          </w:p>
        </w:tc>
        <w:tc>
          <w:tcPr>
            <w:tcW w:w="806" w:type="dxa"/>
            <w:tcBorders>
              <w:top w:val="single" w:sz="4" w:space="0" w:color="000000"/>
              <w:bottom w:val="single" w:sz="4" w:space="0" w:color="000000"/>
            </w:tcBorders>
          </w:tcPr>
          <w:p w:rsidR="00EA40A3" w:rsidRDefault="00E86C16">
            <w:pPr>
              <w:spacing w:before="87" w:line="214" w:lineRule="auto"/>
              <w:ind w:left="244"/>
              <w:rPr>
                <w:rFonts w:ascii="宋体" w:eastAsia="宋体" w:hAnsi="宋体" w:cs="宋体"/>
                <w:sz w:val="17"/>
                <w:szCs w:val="17"/>
              </w:rPr>
            </w:pPr>
            <w:r>
              <w:rPr>
                <w:rFonts w:ascii="宋体" w:eastAsia="宋体" w:hAnsi="宋体" w:cs="宋体"/>
                <w:spacing w:val="-2"/>
                <w:sz w:val="17"/>
                <w:szCs w:val="17"/>
              </w:rPr>
              <w:t>&gt;10mg</w:t>
            </w:r>
          </w:p>
        </w:tc>
        <w:tc>
          <w:tcPr>
            <w:tcW w:w="1623" w:type="dxa"/>
            <w:tcBorders>
              <w:top w:val="single" w:sz="4" w:space="0" w:color="000000"/>
              <w:bottom w:val="single" w:sz="4" w:space="0" w:color="000000"/>
            </w:tcBorders>
          </w:tcPr>
          <w:p w:rsidR="00EA40A3" w:rsidRDefault="00E86C16">
            <w:pPr>
              <w:spacing w:before="87" w:line="214" w:lineRule="auto"/>
              <w:ind w:left="598"/>
              <w:rPr>
                <w:rFonts w:ascii="宋体" w:eastAsia="宋体" w:hAnsi="宋体" w:cs="宋体"/>
                <w:sz w:val="17"/>
                <w:szCs w:val="17"/>
              </w:rPr>
            </w:pPr>
            <w:r>
              <w:rPr>
                <w:rFonts w:ascii="宋体" w:eastAsia="宋体" w:hAnsi="宋体" w:cs="宋体"/>
                <w:spacing w:val="-3"/>
                <w:sz w:val="17"/>
                <w:szCs w:val="17"/>
              </w:rPr>
              <w:t>&gt;3mg</w:t>
            </w:r>
          </w:p>
          <w:p w:rsidR="00EA40A3" w:rsidRDefault="00E86C16">
            <w:pPr>
              <w:spacing w:before="63" w:line="196" w:lineRule="auto"/>
              <w:ind w:left="398"/>
              <w:rPr>
                <w:rFonts w:ascii="宋体" w:eastAsia="宋体" w:hAnsi="宋体" w:cs="宋体"/>
                <w:sz w:val="17"/>
                <w:szCs w:val="17"/>
              </w:rPr>
            </w:pPr>
            <w:r>
              <w:rPr>
                <w:rFonts w:ascii="宋体" w:eastAsia="宋体" w:hAnsi="宋体" w:cs="宋体"/>
                <w:spacing w:val="6"/>
                <w:sz w:val="17"/>
                <w:szCs w:val="17"/>
              </w:rPr>
              <w:t>(500</w:t>
            </w:r>
            <w:r>
              <w:rPr>
                <w:rFonts w:ascii="宋体" w:eastAsia="宋体" w:hAnsi="宋体" w:cs="宋体"/>
                <w:sz w:val="17"/>
                <w:szCs w:val="17"/>
              </w:rPr>
              <w:t>mg</w:t>
            </w:r>
            <w:r>
              <w:rPr>
                <w:rFonts w:ascii="宋体" w:eastAsia="宋体" w:hAnsi="宋体" w:cs="宋体"/>
                <w:spacing w:val="6"/>
                <w:sz w:val="17"/>
                <w:szCs w:val="17"/>
              </w:rPr>
              <w:t>口服)</w:t>
            </w:r>
          </w:p>
        </w:tc>
        <w:tc>
          <w:tcPr>
            <w:tcW w:w="1803" w:type="dxa"/>
            <w:tcBorders>
              <w:top w:val="single" w:sz="4" w:space="0" w:color="000000"/>
              <w:bottom w:val="single" w:sz="4" w:space="0" w:color="000000"/>
            </w:tcBorders>
          </w:tcPr>
          <w:p w:rsidR="00EA40A3" w:rsidRDefault="00E86C16">
            <w:pPr>
              <w:spacing w:before="77" w:line="214" w:lineRule="auto"/>
              <w:ind w:left="725"/>
              <w:rPr>
                <w:rFonts w:ascii="宋体" w:eastAsia="宋体" w:hAnsi="宋体" w:cs="宋体"/>
                <w:sz w:val="17"/>
                <w:szCs w:val="17"/>
              </w:rPr>
            </w:pPr>
            <w:r>
              <w:rPr>
                <w:rFonts w:ascii="宋体" w:eastAsia="宋体" w:hAnsi="宋体" w:cs="宋体"/>
                <w:spacing w:val="-2"/>
                <w:sz w:val="17"/>
                <w:szCs w:val="17"/>
              </w:rPr>
              <w:t>&gt;10mg</w:t>
            </w:r>
          </w:p>
        </w:tc>
        <w:tc>
          <w:tcPr>
            <w:tcW w:w="1852" w:type="dxa"/>
            <w:tcBorders>
              <w:top w:val="single" w:sz="4" w:space="0" w:color="000000"/>
              <w:bottom w:val="single" w:sz="4" w:space="0" w:color="000000"/>
            </w:tcBorders>
          </w:tcPr>
          <w:p w:rsidR="00EA40A3" w:rsidRDefault="00E86C16">
            <w:pPr>
              <w:spacing w:before="77" w:line="214" w:lineRule="auto"/>
              <w:ind w:left="492"/>
              <w:rPr>
                <w:rFonts w:ascii="宋体" w:eastAsia="宋体" w:hAnsi="宋体" w:cs="宋体"/>
                <w:sz w:val="17"/>
                <w:szCs w:val="17"/>
              </w:rPr>
            </w:pPr>
            <w:r>
              <w:rPr>
                <w:rFonts w:ascii="宋体" w:eastAsia="宋体" w:hAnsi="宋体" w:cs="宋体"/>
                <w:spacing w:val="-2"/>
                <w:sz w:val="17"/>
                <w:szCs w:val="17"/>
              </w:rPr>
              <w:t>&gt;3mg/L血浆</w:t>
            </w:r>
          </w:p>
        </w:tc>
      </w:tr>
      <w:tr w:rsidR="00EA40A3">
        <w:trPr>
          <w:trHeight w:val="562"/>
        </w:trPr>
        <w:tc>
          <w:tcPr>
            <w:tcW w:w="1246" w:type="dxa"/>
            <w:tcBorders>
              <w:top w:val="single" w:sz="4" w:space="0" w:color="000000"/>
              <w:bottom w:val="single" w:sz="4" w:space="0" w:color="000000"/>
              <w:right w:val="nil"/>
            </w:tcBorders>
          </w:tcPr>
          <w:p w:rsidR="00EA40A3" w:rsidRDefault="00E86C16">
            <w:pPr>
              <w:spacing w:before="205" w:line="219" w:lineRule="auto"/>
              <w:ind w:left="500"/>
              <w:rPr>
                <w:rFonts w:ascii="宋体" w:eastAsia="宋体" w:hAnsi="宋体" w:cs="宋体"/>
                <w:sz w:val="17"/>
                <w:szCs w:val="17"/>
              </w:rPr>
            </w:pPr>
            <w:r>
              <w:rPr>
                <w:rFonts w:ascii="宋体" w:eastAsia="宋体" w:hAnsi="宋体" w:cs="宋体"/>
                <w:spacing w:val="3"/>
                <w:sz w:val="17"/>
                <w:szCs w:val="17"/>
              </w:rPr>
              <w:t>叶酸</w:t>
            </w:r>
          </w:p>
        </w:tc>
        <w:tc>
          <w:tcPr>
            <w:tcW w:w="6084" w:type="dxa"/>
            <w:gridSpan w:val="4"/>
            <w:tcBorders>
              <w:top w:val="single" w:sz="4" w:space="0" w:color="000000"/>
              <w:left w:val="nil"/>
              <w:bottom w:val="single" w:sz="4" w:space="0" w:color="000000"/>
            </w:tcBorders>
          </w:tcPr>
          <w:p w:rsidR="00EA40A3" w:rsidRDefault="00E86C16">
            <w:pPr>
              <w:spacing w:before="88" w:line="243" w:lineRule="auto"/>
              <w:ind w:left="4544" w:right="423" w:firstLine="169"/>
              <w:rPr>
                <w:rFonts w:ascii="宋体" w:eastAsia="宋体" w:hAnsi="宋体" w:cs="宋体"/>
                <w:sz w:val="17"/>
                <w:szCs w:val="17"/>
              </w:rPr>
            </w:pPr>
            <w:r>
              <w:rPr>
                <w:rFonts w:ascii="宋体" w:eastAsia="宋体" w:hAnsi="宋体" w:cs="宋体"/>
                <w:spacing w:val="1"/>
                <w:sz w:val="17"/>
                <w:szCs w:val="17"/>
              </w:rPr>
              <w:t>&gt;3μg/L血浆</w:t>
            </w:r>
            <w:r>
              <w:rPr>
                <w:rFonts w:ascii="宋体" w:eastAsia="宋体" w:hAnsi="宋体" w:cs="宋体"/>
                <w:spacing w:val="2"/>
                <w:sz w:val="17"/>
                <w:szCs w:val="17"/>
              </w:rPr>
              <w:t xml:space="preserve"> </w:t>
            </w:r>
            <w:r>
              <w:rPr>
                <w:rFonts w:ascii="宋体" w:eastAsia="宋体" w:hAnsi="宋体" w:cs="宋体"/>
                <w:spacing w:val="-1"/>
                <w:sz w:val="17"/>
                <w:szCs w:val="17"/>
              </w:rPr>
              <w:t>&gt;0.16pg/mLRBC</w:t>
            </w:r>
          </w:p>
        </w:tc>
      </w:tr>
    </w:tbl>
    <w:p w:rsidR="00EA40A3" w:rsidRDefault="00E86C16">
      <w:pPr>
        <w:spacing w:before="91" w:line="231" w:lineRule="auto"/>
        <w:ind w:left="669" w:right="76" w:hanging="319"/>
        <w:rPr>
          <w:rFonts w:ascii="宋体" w:eastAsia="宋体" w:hAnsi="宋体" w:cs="宋体"/>
          <w:sz w:val="19"/>
          <w:szCs w:val="19"/>
        </w:rPr>
      </w:pPr>
      <w:r>
        <w:rPr>
          <w:rFonts w:ascii="宋体" w:eastAsia="宋体" w:hAnsi="宋体" w:cs="宋体"/>
          <w:spacing w:val="-22"/>
          <w:sz w:val="19"/>
          <w:szCs w:val="19"/>
        </w:rPr>
        <w:t>资料来源：蔡美琴.2001.医学营养学.上海：上海科学技术文献出版社；李静。1993.人体营养与</w:t>
      </w:r>
      <w:r>
        <w:rPr>
          <w:rFonts w:ascii="宋体" w:eastAsia="宋体" w:hAnsi="宋体" w:cs="宋体"/>
          <w:spacing w:val="18"/>
          <w:sz w:val="19"/>
          <w:szCs w:val="19"/>
        </w:rPr>
        <w:t xml:space="preserve"> </w:t>
      </w:r>
      <w:r>
        <w:rPr>
          <w:rFonts w:ascii="宋体" w:eastAsia="宋体" w:hAnsi="宋体" w:cs="宋体"/>
          <w:spacing w:val="-22"/>
          <w:w w:val="98"/>
          <w:sz w:val="19"/>
          <w:szCs w:val="19"/>
        </w:rPr>
        <w:t>社会营养学.北京：中国轻工业出版社</w:t>
      </w:r>
    </w:p>
    <w:p w:rsidR="00EA40A3" w:rsidRDefault="00EA40A3">
      <w:pPr>
        <w:spacing w:line="281" w:lineRule="auto"/>
      </w:pPr>
    </w:p>
    <w:p w:rsidR="00EA40A3" w:rsidRDefault="00E86C16">
      <w:pPr>
        <w:spacing w:before="72" w:line="250" w:lineRule="auto"/>
        <w:ind w:firstLine="440"/>
        <w:jc w:val="both"/>
        <w:rPr>
          <w:rFonts w:ascii="宋体" w:eastAsia="宋体" w:hAnsi="宋体" w:cs="宋体"/>
          <w:sz w:val="22"/>
          <w:szCs w:val="22"/>
        </w:rPr>
      </w:pPr>
      <w:r>
        <w:rPr>
          <w:rFonts w:ascii="宋体" w:eastAsia="宋体" w:hAnsi="宋体" w:cs="宋体"/>
          <w:spacing w:val="-10"/>
          <w:sz w:val="22"/>
          <w:szCs w:val="22"/>
        </w:rPr>
        <w:t>在进行生化测定时，取样的种类、方式、时间及保存运输均是十分重要的，</w:t>
      </w:r>
      <w:r>
        <w:rPr>
          <w:rFonts w:ascii="宋体" w:eastAsia="宋体" w:hAnsi="宋体" w:cs="宋体"/>
          <w:sz w:val="22"/>
          <w:szCs w:val="22"/>
        </w:rPr>
        <w:t xml:space="preserve"> </w:t>
      </w:r>
      <w:r>
        <w:rPr>
          <w:rFonts w:ascii="宋体" w:eastAsia="宋体" w:hAnsi="宋体" w:cs="宋体"/>
          <w:spacing w:val="-11"/>
          <w:sz w:val="22"/>
          <w:szCs w:val="22"/>
        </w:rPr>
        <w:t>所取的样品应能够反映受检者的营养素摄入水平，而且还考虑到样品容易取得。</w:t>
      </w:r>
      <w:r>
        <w:rPr>
          <w:rFonts w:ascii="宋体" w:eastAsia="宋体" w:hAnsi="宋体" w:cs="宋体"/>
          <w:spacing w:val="4"/>
          <w:sz w:val="22"/>
          <w:szCs w:val="22"/>
        </w:rPr>
        <w:t xml:space="preserve"> </w:t>
      </w:r>
      <w:r>
        <w:rPr>
          <w:rFonts w:ascii="宋体" w:eastAsia="宋体" w:hAnsi="宋体" w:cs="宋体"/>
          <w:spacing w:val="-4"/>
          <w:sz w:val="22"/>
          <w:szCs w:val="22"/>
        </w:rPr>
        <w:t>目前，最常取用的样品是血液及尿液，但毛发、指甲及某些体液(如汗液、唾</w:t>
      </w:r>
      <w:r>
        <w:rPr>
          <w:rFonts w:ascii="宋体" w:eastAsia="宋体" w:hAnsi="宋体" w:cs="宋体"/>
          <w:spacing w:val="7"/>
          <w:sz w:val="22"/>
          <w:szCs w:val="22"/>
        </w:rPr>
        <w:t xml:space="preserve">  </w:t>
      </w:r>
      <w:r>
        <w:rPr>
          <w:rFonts w:ascii="宋体" w:eastAsia="宋体" w:hAnsi="宋体" w:cs="宋体"/>
          <w:spacing w:val="-10"/>
          <w:sz w:val="22"/>
          <w:szCs w:val="22"/>
        </w:rPr>
        <w:t>液、胃液等)也可用于测定某些特定营养素的营养状态。</w:t>
      </w:r>
    </w:p>
    <w:p w:rsidR="00EA40A3" w:rsidRDefault="00EA40A3"/>
    <w:p w:rsidR="00EA40A3" w:rsidRDefault="00E86C16">
      <w:pPr>
        <w:spacing w:before="91" w:line="219" w:lineRule="auto"/>
        <w:ind w:left="1050"/>
        <w:rPr>
          <w:rFonts w:ascii="宋体" w:eastAsia="宋体" w:hAnsi="宋体" w:cs="宋体"/>
          <w:sz w:val="28"/>
          <w:szCs w:val="28"/>
        </w:rPr>
      </w:pPr>
      <w:r>
        <w:rPr>
          <w:rFonts w:ascii="宋体" w:eastAsia="宋体" w:hAnsi="宋体" w:cs="宋体"/>
          <w:spacing w:val="-3"/>
          <w:sz w:val="28"/>
          <w:szCs w:val="28"/>
        </w:rPr>
        <w:t>12.3</w:t>
      </w:r>
      <w:r>
        <w:rPr>
          <w:rFonts w:ascii="宋体" w:eastAsia="宋体" w:hAnsi="宋体" w:cs="宋体"/>
          <w:spacing w:val="148"/>
          <w:sz w:val="28"/>
          <w:szCs w:val="28"/>
        </w:rPr>
        <w:t xml:space="preserve"> </w:t>
      </w:r>
      <w:r>
        <w:rPr>
          <w:rFonts w:ascii="宋体" w:eastAsia="宋体" w:hAnsi="宋体" w:cs="宋体"/>
          <w:spacing w:val="-3"/>
          <w:sz w:val="28"/>
          <w:szCs w:val="28"/>
        </w:rPr>
        <w:t>膳食营养素参考摄入量的制定与应用</w:t>
      </w:r>
    </w:p>
    <w:p w:rsidR="00EA40A3" w:rsidRDefault="00E86C16">
      <w:pPr>
        <w:spacing w:before="300" w:line="221" w:lineRule="auto"/>
        <w:ind w:left="3"/>
        <w:outlineLvl w:val="6"/>
        <w:rPr>
          <w:rFonts w:ascii="黑体" w:eastAsia="黑体" w:hAnsi="黑体" w:cs="黑体"/>
          <w:sz w:val="22"/>
          <w:szCs w:val="22"/>
        </w:rPr>
      </w:pPr>
      <w:r>
        <w:rPr>
          <w:rFonts w:ascii="黑体" w:eastAsia="黑体" w:hAnsi="黑体" w:cs="黑体"/>
          <w:b/>
          <w:bCs/>
          <w:spacing w:val="6"/>
          <w:sz w:val="22"/>
          <w:szCs w:val="22"/>
        </w:rPr>
        <w:t>12.3.1</w:t>
      </w:r>
      <w:r>
        <w:rPr>
          <w:rFonts w:ascii="黑体" w:eastAsia="黑体" w:hAnsi="黑体" w:cs="黑体"/>
          <w:spacing w:val="46"/>
          <w:sz w:val="22"/>
          <w:szCs w:val="22"/>
        </w:rPr>
        <w:t xml:space="preserve">  </w:t>
      </w:r>
      <w:r>
        <w:rPr>
          <w:rFonts w:ascii="黑体" w:eastAsia="黑体" w:hAnsi="黑体" w:cs="黑体"/>
          <w:b/>
          <w:bCs/>
          <w:spacing w:val="6"/>
          <w:sz w:val="22"/>
          <w:szCs w:val="22"/>
        </w:rPr>
        <w:t>膳食营养素参考摄入量</w:t>
      </w:r>
    </w:p>
    <w:p w:rsidR="00EA40A3" w:rsidRDefault="00E86C16">
      <w:pPr>
        <w:spacing w:before="258" w:line="221"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8"/>
          <w:sz w:val="22"/>
          <w:szCs w:val="22"/>
        </w:rPr>
        <w:t xml:space="preserve"> </w:t>
      </w:r>
      <w:r>
        <w:rPr>
          <w:rFonts w:ascii="仿宋" w:eastAsia="仿宋" w:hAnsi="仿宋" w:cs="仿宋"/>
          <w:spacing w:val="12"/>
          <w:sz w:val="22"/>
          <w:szCs w:val="22"/>
        </w:rPr>
        <w:t>营养需要量与膳食营养供给量</w:t>
      </w:r>
    </w:p>
    <w:p w:rsidR="00EA40A3" w:rsidRDefault="00E86C16">
      <w:pPr>
        <w:spacing w:before="183" w:line="247" w:lineRule="auto"/>
        <w:ind w:right="20" w:firstLine="440"/>
        <w:jc w:val="both"/>
        <w:rPr>
          <w:rFonts w:ascii="宋体" w:eastAsia="宋体" w:hAnsi="宋体" w:cs="宋体"/>
          <w:sz w:val="22"/>
          <w:szCs w:val="22"/>
        </w:rPr>
      </w:pPr>
      <w:r>
        <w:rPr>
          <w:rFonts w:ascii="宋体" w:eastAsia="宋体" w:hAnsi="宋体" w:cs="宋体"/>
          <w:spacing w:val="-10"/>
          <w:sz w:val="22"/>
          <w:szCs w:val="22"/>
        </w:rPr>
        <w:t>营养(生理)需要量</w:t>
      </w:r>
      <w:r>
        <w:rPr>
          <w:rFonts w:ascii="宋体" w:eastAsia="宋体" w:hAnsi="宋体" w:cs="宋体"/>
          <w:spacing w:val="-19"/>
          <w:sz w:val="22"/>
          <w:szCs w:val="22"/>
        </w:rPr>
        <w:t xml:space="preserve"> </w:t>
      </w:r>
      <w:r>
        <w:rPr>
          <w:rFonts w:ascii="宋体" w:eastAsia="宋体" w:hAnsi="宋体" w:cs="宋体"/>
          <w:spacing w:val="-10"/>
          <w:sz w:val="22"/>
          <w:szCs w:val="22"/>
        </w:rPr>
        <w:t>(nutritional</w:t>
      </w:r>
      <w:r>
        <w:rPr>
          <w:rFonts w:ascii="宋体" w:eastAsia="宋体" w:hAnsi="宋体" w:cs="宋体"/>
          <w:spacing w:val="-11"/>
          <w:sz w:val="22"/>
          <w:szCs w:val="22"/>
        </w:rPr>
        <w:t xml:space="preserve"> </w:t>
      </w:r>
      <w:r>
        <w:rPr>
          <w:rFonts w:ascii="宋体" w:eastAsia="宋体" w:hAnsi="宋体" w:cs="宋体"/>
          <w:spacing w:val="-10"/>
          <w:sz w:val="22"/>
          <w:szCs w:val="22"/>
        </w:rPr>
        <w:t>requirement)</w:t>
      </w:r>
      <w:r>
        <w:rPr>
          <w:rFonts w:ascii="宋体" w:eastAsia="宋体" w:hAnsi="宋体" w:cs="宋体"/>
          <w:spacing w:val="-41"/>
          <w:sz w:val="22"/>
          <w:szCs w:val="22"/>
        </w:rPr>
        <w:t xml:space="preserve"> </w:t>
      </w:r>
      <w:r>
        <w:rPr>
          <w:rFonts w:ascii="宋体" w:eastAsia="宋体" w:hAnsi="宋体" w:cs="宋体"/>
          <w:spacing w:val="-10"/>
          <w:sz w:val="22"/>
          <w:szCs w:val="22"/>
        </w:rPr>
        <w:t>是指维持人体正常生理功能</w:t>
      </w:r>
      <w:r>
        <w:rPr>
          <w:rFonts w:ascii="宋体" w:eastAsia="宋体" w:hAnsi="宋体" w:cs="宋体"/>
          <w:sz w:val="22"/>
          <w:szCs w:val="22"/>
        </w:rPr>
        <w:t xml:space="preserve"> </w:t>
      </w:r>
      <w:r>
        <w:rPr>
          <w:rFonts w:ascii="宋体" w:eastAsia="宋体" w:hAnsi="宋体" w:cs="宋体"/>
          <w:spacing w:val="-14"/>
          <w:sz w:val="22"/>
          <w:szCs w:val="22"/>
        </w:rPr>
        <w:t>所需要的营养素数量，摄人量低于该数量会对机体产生不良影响；或者说能满足</w:t>
      </w:r>
      <w:r>
        <w:rPr>
          <w:rFonts w:ascii="宋体" w:eastAsia="宋体" w:hAnsi="宋体" w:cs="宋体"/>
          <w:spacing w:val="3"/>
          <w:sz w:val="22"/>
          <w:szCs w:val="22"/>
        </w:rPr>
        <w:t xml:space="preserve">  </w:t>
      </w:r>
      <w:r>
        <w:rPr>
          <w:rFonts w:ascii="宋体" w:eastAsia="宋体" w:hAnsi="宋体" w:cs="宋体"/>
          <w:spacing w:val="-10"/>
          <w:sz w:val="22"/>
          <w:szCs w:val="22"/>
        </w:rPr>
        <w:t>身体维持生命、发育、生长、妊娠及哺乳所需营养素的最低量，无安全缓冲限</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13"/>
          <w:sz w:val="22"/>
          <w:szCs w:val="22"/>
        </w:rPr>
        <w:t>为满足这一数量，人体必须摄入足够的食物以提供能量、蛋白质、矿物质及维生</w:t>
      </w:r>
      <w:r>
        <w:rPr>
          <w:rFonts w:ascii="宋体" w:eastAsia="宋体" w:hAnsi="宋体" w:cs="宋体"/>
          <w:spacing w:val="1"/>
          <w:sz w:val="22"/>
          <w:szCs w:val="22"/>
        </w:rPr>
        <w:t xml:space="preserve">  </w:t>
      </w:r>
      <w:r>
        <w:rPr>
          <w:rFonts w:ascii="宋体" w:eastAsia="宋体" w:hAnsi="宋体" w:cs="宋体"/>
          <w:spacing w:val="-13"/>
          <w:sz w:val="22"/>
          <w:szCs w:val="22"/>
        </w:rPr>
        <w:t>素。显然，每个健康人体对于营养素的需要量是特定的，因膳食种类、体重、身</w:t>
      </w:r>
      <w:r>
        <w:rPr>
          <w:rFonts w:ascii="宋体" w:eastAsia="宋体" w:hAnsi="宋体" w:cs="宋体"/>
          <w:spacing w:val="4"/>
          <w:sz w:val="22"/>
          <w:szCs w:val="22"/>
        </w:rPr>
        <w:t xml:space="preserve">  </w:t>
      </w:r>
      <w:r>
        <w:rPr>
          <w:rFonts w:ascii="宋体" w:eastAsia="宋体" w:hAnsi="宋体" w:cs="宋体"/>
          <w:spacing w:val="-13"/>
          <w:sz w:val="22"/>
          <w:szCs w:val="22"/>
        </w:rPr>
        <w:t>高、年龄、性别、生理状态和体力活动而有所不同，必须考虑存在着个体差</w:t>
      </w:r>
      <w:r>
        <w:rPr>
          <w:rFonts w:ascii="宋体" w:eastAsia="宋体" w:hAnsi="宋体" w:cs="宋体"/>
          <w:spacing w:val="-14"/>
          <w:sz w:val="22"/>
          <w:szCs w:val="22"/>
        </w:rPr>
        <w:t>异。</w:t>
      </w:r>
    </w:p>
    <w:p w:rsidR="00EA40A3" w:rsidRDefault="00E86C16">
      <w:pPr>
        <w:spacing w:before="95" w:line="254" w:lineRule="auto"/>
        <w:ind w:right="20" w:firstLine="440"/>
        <w:jc w:val="both"/>
        <w:rPr>
          <w:rFonts w:ascii="宋体" w:eastAsia="宋体" w:hAnsi="宋体" w:cs="宋体"/>
          <w:sz w:val="22"/>
          <w:szCs w:val="22"/>
        </w:rPr>
      </w:pPr>
      <w:r>
        <w:rPr>
          <w:rFonts w:ascii="宋体" w:eastAsia="宋体" w:hAnsi="宋体" w:cs="宋体"/>
          <w:spacing w:val="-5"/>
          <w:sz w:val="22"/>
          <w:szCs w:val="22"/>
        </w:rPr>
        <w:t>每日膳食中营养素供给量</w:t>
      </w:r>
      <w:r>
        <w:rPr>
          <w:rFonts w:ascii="宋体" w:eastAsia="宋体" w:hAnsi="宋体" w:cs="宋体"/>
          <w:spacing w:val="-29"/>
          <w:sz w:val="22"/>
          <w:szCs w:val="22"/>
        </w:rPr>
        <w:t xml:space="preserve"> </w:t>
      </w:r>
      <w:r>
        <w:rPr>
          <w:rFonts w:ascii="宋体" w:eastAsia="宋体" w:hAnsi="宋体" w:cs="宋体"/>
          <w:spacing w:val="-5"/>
          <w:sz w:val="22"/>
          <w:szCs w:val="22"/>
        </w:rPr>
        <w:t>(recommended</w:t>
      </w:r>
      <w:r>
        <w:rPr>
          <w:rFonts w:ascii="宋体" w:eastAsia="宋体" w:hAnsi="宋体" w:cs="宋体"/>
          <w:spacing w:val="11"/>
          <w:sz w:val="22"/>
          <w:szCs w:val="22"/>
        </w:rPr>
        <w:t xml:space="preserve"> </w:t>
      </w:r>
      <w:r>
        <w:rPr>
          <w:rFonts w:ascii="宋体" w:eastAsia="宋体" w:hAnsi="宋体" w:cs="宋体"/>
          <w:spacing w:val="-5"/>
          <w:sz w:val="22"/>
          <w:szCs w:val="22"/>
        </w:rPr>
        <w:t>dietary</w:t>
      </w:r>
      <w:r>
        <w:rPr>
          <w:rFonts w:ascii="宋体" w:eastAsia="宋体" w:hAnsi="宋体" w:cs="宋体"/>
          <w:spacing w:val="8"/>
          <w:sz w:val="22"/>
          <w:szCs w:val="22"/>
        </w:rPr>
        <w:t xml:space="preserve"> </w:t>
      </w:r>
      <w:r>
        <w:rPr>
          <w:rFonts w:ascii="宋体" w:eastAsia="宋体" w:hAnsi="宋体" w:cs="宋体"/>
          <w:spacing w:val="-5"/>
          <w:sz w:val="22"/>
          <w:szCs w:val="22"/>
        </w:rPr>
        <w:t>allowance,RDA)</w:t>
      </w:r>
      <w:r>
        <w:rPr>
          <w:rFonts w:ascii="宋体" w:eastAsia="宋体" w:hAnsi="宋体" w:cs="宋体"/>
          <w:spacing w:val="-58"/>
          <w:sz w:val="22"/>
          <w:szCs w:val="22"/>
        </w:rPr>
        <w:t xml:space="preserve"> </w:t>
      </w:r>
      <w:r>
        <w:rPr>
          <w:rFonts w:ascii="宋体" w:eastAsia="宋体" w:hAnsi="宋体" w:cs="宋体"/>
          <w:spacing w:val="-5"/>
          <w:sz w:val="22"/>
          <w:szCs w:val="22"/>
        </w:rPr>
        <w:t>是以</w:t>
      </w:r>
      <w:r>
        <w:rPr>
          <w:rFonts w:ascii="宋体" w:eastAsia="宋体" w:hAnsi="宋体" w:cs="宋体"/>
          <w:spacing w:val="-6"/>
          <w:sz w:val="22"/>
          <w:szCs w:val="22"/>
        </w:rPr>
        <w:t>正</w:t>
      </w:r>
      <w:r>
        <w:rPr>
          <w:rFonts w:ascii="宋体" w:eastAsia="宋体" w:hAnsi="宋体" w:cs="宋体"/>
          <w:sz w:val="22"/>
          <w:szCs w:val="22"/>
        </w:rPr>
        <w:t xml:space="preserve"> </w:t>
      </w:r>
      <w:r>
        <w:rPr>
          <w:rFonts w:ascii="宋体" w:eastAsia="宋体" w:hAnsi="宋体" w:cs="宋体"/>
          <w:spacing w:val="-4"/>
          <w:sz w:val="22"/>
          <w:szCs w:val="22"/>
        </w:rPr>
        <w:t>常营养(生理)需要量为参考，考虑了人群间个体差异、饮食习惯、应激状态、</w:t>
      </w:r>
      <w:r>
        <w:rPr>
          <w:rFonts w:ascii="宋体" w:eastAsia="宋体" w:hAnsi="宋体" w:cs="宋体"/>
          <w:spacing w:val="9"/>
          <w:sz w:val="22"/>
          <w:szCs w:val="22"/>
        </w:rPr>
        <w:t xml:space="preserve"> </w:t>
      </w:r>
      <w:r>
        <w:rPr>
          <w:rFonts w:ascii="宋体" w:eastAsia="宋体" w:hAnsi="宋体" w:cs="宋体"/>
          <w:spacing w:val="-13"/>
          <w:sz w:val="22"/>
          <w:szCs w:val="22"/>
        </w:rPr>
        <w:t>食物生产、社会发展等多方面因素，而制定的膳食中必需含有的能量等各种营养</w:t>
      </w:r>
      <w:r>
        <w:rPr>
          <w:rFonts w:ascii="宋体" w:eastAsia="宋体" w:hAnsi="宋体" w:cs="宋体"/>
          <w:spacing w:val="1"/>
          <w:sz w:val="22"/>
          <w:szCs w:val="22"/>
        </w:rPr>
        <w:t xml:space="preserve">  </w:t>
      </w:r>
      <w:r>
        <w:rPr>
          <w:rFonts w:ascii="宋体" w:eastAsia="宋体" w:hAnsi="宋体" w:cs="宋体"/>
          <w:spacing w:val="-6"/>
          <w:sz w:val="22"/>
          <w:szCs w:val="22"/>
        </w:rPr>
        <w:t>素的数量，膳食营养供给量要略高于营养(生理)需要量</w:t>
      </w:r>
      <w:r>
        <w:rPr>
          <w:rFonts w:ascii="宋体" w:eastAsia="宋体" w:hAnsi="宋体" w:cs="宋体"/>
          <w:spacing w:val="-7"/>
          <w:sz w:val="22"/>
          <w:szCs w:val="22"/>
        </w:rPr>
        <w:t>，以保证群体中绝大多</w:t>
      </w:r>
      <w:r>
        <w:rPr>
          <w:rFonts w:ascii="宋体" w:eastAsia="宋体" w:hAnsi="宋体" w:cs="宋体"/>
          <w:sz w:val="22"/>
          <w:szCs w:val="22"/>
        </w:rPr>
        <w:t xml:space="preserve"> </w:t>
      </w:r>
      <w:r>
        <w:rPr>
          <w:rFonts w:ascii="宋体" w:eastAsia="宋体" w:hAnsi="宋体" w:cs="宋体"/>
          <w:spacing w:val="-12"/>
          <w:sz w:val="22"/>
          <w:szCs w:val="22"/>
        </w:rPr>
        <w:t>数人都能获得所需的营养素。这是一种为保证正常人群健康而提</w:t>
      </w:r>
      <w:r>
        <w:rPr>
          <w:rFonts w:ascii="宋体" w:eastAsia="宋体" w:hAnsi="宋体" w:cs="宋体"/>
          <w:spacing w:val="-13"/>
          <w:sz w:val="22"/>
          <w:szCs w:val="22"/>
        </w:rPr>
        <w:t>出的膳食质量指</w:t>
      </w:r>
      <w:r>
        <w:rPr>
          <w:rFonts w:ascii="宋体" w:eastAsia="宋体" w:hAnsi="宋体" w:cs="宋体"/>
          <w:sz w:val="22"/>
          <w:szCs w:val="22"/>
        </w:rPr>
        <w:t xml:space="preserve"> </w:t>
      </w:r>
      <w:r>
        <w:rPr>
          <w:rFonts w:ascii="宋体" w:eastAsia="宋体" w:hAnsi="宋体" w:cs="宋体"/>
          <w:spacing w:val="-13"/>
          <w:sz w:val="22"/>
          <w:szCs w:val="22"/>
        </w:rPr>
        <w:t>标，是为人群取得良好营养状况而设计的膳食营养准则。</w:t>
      </w:r>
    </w:p>
    <w:p w:rsidR="00EA40A3" w:rsidRDefault="00E86C16">
      <w:pPr>
        <w:spacing w:before="57"/>
        <w:ind w:right="96"/>
        <w:jc w:val="right"/>
        <w:rPr>
          <w:rFonts w:ascii="宋体" w:eastAsia="宋体" w:hAnsi="宋体" w:cs="宋体"/>
          <w:sz w:val="19"/>
          <w:szCs w:val="19"/>
        </w:rPr>
      </w:pPr>
      <w:r>
        <w:rPr>
          <w:rFonts w:ascii="宋体" w:eastAsia="宋体" w:hAnsi="宋体" w:cs="宋体"/>
          <w:spacing w:val="-31"/>
          <w:sz w:val="19"/>
          <w:szCs w:val="19"/>
        </w:rPr>
        <w:t>·</w:t>
      </w:r>
      <w:r>
        <w:rPr>
          <w:rFonts w:ascii="宋体" w:eastAsia="宋体" w:hAnsi="宋体" w:cs="宋体"/>
          <w:spacing w:val="-10"/>
          <w:sz w:val="19"/>
          <w:szCs w:val="19"/>
        </w:rPr>
        <w:t xml:space="preserve"> </w:t>
      </w:r>
      <w:r>
        <w:rPr>
          <w:rFonts w:ascii="宋体" w:eastAsia="宋体" w:hAnsi="宋体" w:cs="宋体"/>
          <w:spacing w:val="-31"/>
          <w:sz w:val="19"/>
          <w:szCs w:val="19"/>
        </w:rPr>
        <w:t>401</w:t>
      </w:r>
      <w:r>
        <w:rPr>
          <w:rFonts w:ascii="宋体" w:eastAsia="宋体" w:hAnsi="宋体" w:cs="宋体"/>
          <w:spacing w:val="42"/>
          <w:sz w:val="19"/>
          <w:szCs w:val="19"/>
        </w:rPr>
        <w:t xml:space="preserve"> </w:t>
      </w:r>
      <w:r>
        <w:rPr>
          <w:rFonts w:ascii="宋体" w:eastAsia="宋体" w:hAnsi="宋体" w:cs="宋体"/>
          <w:spacing w:val="-31"/>
          <w:sz w:val="19"/>
          <w:szCs w:val="19"/>
        </w:rPr>
        <w:t>·</w:t>
      </w:r>
    </w:p>
    <w:p w:rsidR="00EA40A3" w:rsidRDefault="00EA40A3">
      <w:pPr>
        <w:sectPr w:rsidR="00EA40A3">
          <w:headerReference w:type="default" r:id="rId327"/>
          <w:pgSz w:w="9340" w:h="13440"/>
          <w:pgMar w:top="1355" w:right="999" w:bottom="400" w:left="969" w:header="1078" w:footer="0" w:gutter="0"/>
          <w:cols w:space="720"/>
        </w:sectPr>
      </w:pPr>
    </w:p>
    <w:p w:rsidR="00EA40A3" w:rsidRDefault="00EA40A3">
      <w:pPr>
        <w:spacing w:line="309" w:lineRule="auto"/>
      </w:pPr>
    </w:p>
    <w:p w:rsidR="00EA40A3" w:rsidRDefault="00EA40A3">
      <w:pPr>
        <w:spacing w:line="309" w:lineRule="auto"/>
      </w:pPr>
    </w:p>
    <w:p w:rsidR="00EA40A3" w:rsidRDefault="00E86C16">
      <w:pPr>
        <w:spacing w:before="71" w:line="251" w:lineRule="auto"/>
        <w:ind w:right="49" w:firstLine="429"/>
        <w:jc w:val="both"/>
        <w:rPr>
          <w:rFonts w:ascii="宋体" w:eastAsia="宋体" w:hAnsi="宋体" w:cs="宋体"/>
          <w:sz w:val="22"/>
          <w:szCs w:val="22"/>
        </w:rPr>
      </w:pPr>
      <w:r>
        <w:rPr>
          <w:rFonts w:ascii="宋体" w:eastAsia="宋体" w:hAnsi="宋体" w:cs="宋体"/>
          <w:spacing w:val="-1"/>
          <w:sz w:val="22"/>
          <w:szCs w:val="22"/>
        </w:rPr>
        <w:t>我国在20世纪50～90年代一直使用不同版本的RDA,</w:t>
      </w:r>
      <w:r>
        <w:rPr>
          <w:rFonts w:ascii="宋体" w:eastAsia="宋体" w:hAnsi="宋体" w:cs="宋体"/>
          <w:spacing w:val="123"/>
          <w:sz w:val="22"/>
          <w:szCs w:val="22"/>
        </w:rPr>
        <w:t xml:space="preserve"> </w:t>
      </w:r>
      <w:r>
        <w:rPr>
          <w:rFonts w:ascii="宋体" w:eastAsia="宋体" w:hAnsi="宋体" w:cs="宋体"/>
          <w:spacing w:val="-1"/>
          <w:sz w:val="22"/>
          <w:szCs w:val="22"/>
        </w:rPr>
        <w:t>并以防治营养缺乏</w:t>
      </w:r>
      <w:r>
        <w:rPr>
          <w:rFonts w:ascii="宋体" w:eastAsia="宋体" w:hAnsi="宋体" w:cs="宋体"/>
          <w:sz w:val="22"/>
          <w:szCs w:val="22"/>
        </w:rPr>
        <w:t xml:space="preserve"> </w:t>
      </w:r>
      <w:r>
        <w:rPr>
          <w:rFonts w:ascii="宋体" w:eastAsia="宋体" w:hAnsi="宋体" w:cs="宋体"/>
          <w:spacing w:val="-12"/>
          <w:sz w:val="22"/>
          <w:szCs w:val="22"/>
        </w:rPr>
        <w:t>病为主要目标。但随着经济发展、食品工业进步、膳食模式的改变，出现了某些</w:t>
      </w:r>
      <w:r>
        <w:rPr>
          <w:rFonts w:ascii="宋体" w:eastAsia="宋体" w:hAnsi="宋体" w:cs="宋体"/>
          <w:sz w:val="22"/>
          <w:szCs w:val="22"/>
        </w:rPr>
        <w:t xml:space="preserve"> </w:t>
      </w:r>
      <w:r>
        <w:rPr>
          <w:rFonts w:ascii="宋体" w:eastAsia="宋体" w:hAnsi="宋体" w:cs="宋体"/>
          <w:spacing w:val="-9"/>
          <w:sz w:val="22"/>
          <w:szCs w:val="22"/>
        </w:rPr>
        <w:t>慢性病高发问题，加之有关营养素需要量研究的新进展，都对RDA</w:t>
      </w:r>
      <w:r>
        <w:rPr>
          <w:rFonts w:ascii="宋体" w:eastAsia="宋体" w:hAnsi="宋体" w:cs="宋体"/>
          <w:spacing w:val="70"/>
          <w:sz w:val="22"/>
          <w:szCs w:val="22"/>
        </w:rPr>
        <w:t xml:space="preserve"> </w:t>
      </w:r>
      <w:r>
        <w:rPr>
          <w:rFonts w:ascii="宋体" w:eastAsia="宋体" w:hAnsi="宋体" w:cs="宋体"/>
          <w:spacing w:val="-9"/>
          <w:sz w:val="22"/>
          <w:szCs w:val="22"/>
        </w:rPr>
        <w:t>提出了新的</w:t>
      </w:r>
      <w:r>
        <w:rPr>
          <w:rFonts w:ascii="宋体" w:eastAsia="宋体" w:hAnsi="宋体" w:cs="宋体"/>
          <w:sz w:val="22"/>
          <w:szCs w:val="22"/>
        </w:rPr>
        <w:t xml:space="preserve"> </w:t>
      </w:r>
      <w:r>
        <w:rPr>
          <w:rFonts w:ascii="宋体" w:eastAsia="宋体" w:hAnsi="宋体" w:cs="宋体"/>
          <w:spacing w:val="-13"/>
          <w:sz w:val="22"/>
          <w:szCs w:val="22"/>
        </w:rPr>
        <w:t>修改要求。</w:t>
      </w:r>
    </w:p>
    <w:p w:rsidR="00EA40A3" w:rsidRDefault="00E86C16">
      <w:pPr>
        <w:spacing w:before="225" w:line="221" w:lineRule="auto"/>
        <w:rPr>
          <w:rFonts w:ascii="仿宋" w:eastAsia="仿宋" w:hAnsi="仿宋" w:cs="仿宋"/>
          <w:sz w:val="22"/>
          <w:szCs w:val="22"/>
        </w:rPr>
      </w:pPr>
      <w:r>
        <w:rPr>
          <w:rFonts w:ascii="仿宋" w:eastAsia="仿宋" w:hAnsi="仿宋" w:cs="仿宋"/>
          <w:spacing w:val="13"/>
          <w:sz w:val="22"/>
          <w:szCs w:val="22"/>
        </w:rPr>
        <w:t>2.</w:t>
      </w:r>
      <w:r>
        <w:rPr>
          <w:rFonts w:ascii="仿宋" w:eastAsia="仿宋" w:hAnsi="仿宋" w:cs="仿宋"/>
          <w:spacing w:val="-8"/>
          <w:sz w:val="22"/>
          <w:szCs w:val="22"/>
        </w:rPr>
        <w:t xml:space="preserve"> </w:t>
      </w:r>
      <w:r>
        <w:rPr>
          <w:rFonts w:ascii="仿宋" w:eastAsia="仿宋" w:hAnsi="仿宋" w:cs="仿宋"/>
          <w:spacing w:val="13"/>
          <w:sz w:val="22"/>
          <w:szCs w:val="22"/>
        </w:rPr>
        <w:t>膳食营养素参考摄入量</w:t>
      </w:r>
    </w:p>
    <w:p w:rsidR="00EA40A3" w:rsidRDefault="00E86C16">
      <w:pPr>
        <w:spacing w:before="155" w:line="251" w:lineRule="auto"/>
        <w:ind w:right="38" w:firstLine="429"/>
        <w:jc w:val="both"/>
        <w:rPr>
          <w:rFonts w:ascii="宋体" w:eastAsia="宋体" w:hAnsi="宋体" w:cs="宋体"/>
          <w:sz w:val="22"/>
          <w:szCs w:val="22"/>
        </w:rPr>
      </w:pPr>
      <w:r>
        <w:rPr>
          <w:rFonts w:ascii="宋体" w:eastAsia="宋体" w:hAnsi="宋体" w:cs="宋体"/>
          <w:spacing w:val="-9"/>
          <w:sz w:val="22"/>
          <w:szCs w:val="22"/>
        </w:rPr>
        <w:t>膳食营养素参考摄入量</w:t>
      </w:r>
      <w:r>
        <w:rPr>
          <w:rFonts w:ascii="宋体" w:eastAsia="宋体" w:hAnsi="宋体" w:cs="宋体"/>
          <w:spacing w:val="-16"/>
          <w:sz w:val="22"/>
          <w:szCs w:val="22"/>
        </w:rPr>
        <w:t xml:space="preserve"> </w:t>
      </w:r>
      <w:r>
        <w:rPr>
          <w:rFonts w:ascii="宋体" w:eastAsia="宋体" w:hAnsi="宋体" w:cs="宋体"/>
          <w:spacing w:val="-9"/>
          <w:sz w:val="22"/>
          <w:szCs w:val="22"/>
        </w:rPr>
        <w:t>(dietary</w:t>
      </w:r>
      <w:r>
        <w:rPr>
          <w:rFonts w:ascii="宋体" w:eastAsia="宋体" w:hAnsi="宋体" w:cs="宋体"/>
          <w:spacing w:val="-4"/>
          <w:sz w:val="22"/>
          <w:szCs w:val="22"/>
        </w:rPr>
        <w:t xml:space="preserve"> </w:t>
      </w:r>
      <w:r>
        <w:rPr>
          <w:rFonts w:ascii="宋体" w:eastAsia="宋体" w:hAnsi="宋体" w:cs="宋体"/>
          <w:spacing w:val="-9"/>
          <w:sz w:val="22"/>
          <w:szCs w:val="22"/>
        </w:rPr>
        <w:t>reference</w:t>
      </w:r>
      <w:r>
        <w:rPr>
          <w:rFonts w:ascii="宋体" w:eastAsia="宋体" w:hAnsi="宋体" w:cs="宋体"/>
          <w:spacing w:val="11"/>
          <w:sz w:val="22"/>
          <w:szCs w:val="22"/>
        </w:rPr>
        <w:t xml:space="preserve"> </w:t>
      </w:r>
      <w:r>
        <w:rPr>
          <w:rFonts w:ascii="宋体" w:eastAsia="宋体" w:hAnsi="宋体" w:cs="宋体"/>
          <w:spacing w:val="-9"/>
          <w:sz w:val="22"/>
          <w:szCs w:val="22"/>
        </w:rPr>
        <w:t>intake,DRI)</w:t>
      </w:r>
      <w:r>
        <w:rPr>
          <w:rFonts w:ascii="宋体" w:eastAsia="宋体" w:hAnsi="宋体" w:cs="宋体"/>
          <w:spacing w:val="-54"/>
          <w:sz w:val="22"/>
          <w:szCs w:val="22"/>
        </w:rPr>
        <w:t xml:space="preserve"> </w:t>
      </w:r>
      <w:r>
        <w:rPr>
          <w:rFonts w:ascii="宋体" w:eastAsia="宋体" w:hAnsi="宋体" w:cs="宋体"/>
          <w:spacing w:val="-9"/>
          <w:sz w:val="22"/>
          <w:szCs w:val="22"/>
        </w:rPr>
        <w:t>是在RDA</w:t>
      </w:r>
      <w:r>
        <w:rPr>
          <w:rFonts w:ascii="宋体" w:eastAsia="宋体" w:hAnsi="宋体" w:cs="宋体"/>
          <w:spacing w:val="77"/>
          <w:sz w:val="22"/>
          <w:szCs w:val="22"/>
        </w:rPr>
        <w:t xml:space="preserve"> </w:t>
      </w:r>
      <w:r>
        <w:rPr>
          <w:rFonts w:ascii="宋体" w:eastAsia="宋体" w:hAnsi="宋体" w:cs="宋体"/>
          <w:spacing w:val="-9"/>
          <w:sz w:val="22"/>
          <w:szCs w:val="22"/>
        </w:rPr>
        <w:t>基础建</w:t>
      </w:r>
      <w:r>
        <w:rPr>
          <w:rFonts w:ascii="宋体" w:eastAsia="宋体" w:hAnsi="宋体" w:cs="宋体"/>
          <w:sz w:val="22"/>
          <w:szCs w:val="22"/>
        </w:rPr>
        <w:t xml:space="preserve"> </w:t>
      </w:r>
      <w:r>
        <w:rPr>
          <w:rFonts w:ascii="宋体" w:eastAsia="宋体" w:hAnsi="宋体" w:cs="宋体"/>
          <w:spacing w:val="1"/>
          <w:sz w:val="22"/>
          <w:szCs w:val="22"/>
        </w:rPr>
        <w:t>立起来的，并代替</w:t>
      </w:r>
      <w:r>
        <w:rPr>
          <w:rFonts w:ascii="宋体" w:eastAsia="宋体" w:hAnsi="宋体" w:cs="宋体"/>
          <w:sz w:val="22"/>
          <w:szCs w:val="22"/>
        </w:rPr>
        <w:t>RDA</w:t>
      </w:r>
      <w:r>
        <w:rPr>
          <w:rFonts w:ascii="宋体" w:eastAsia="宋体" w:hAnsi="宋体" w:cs="宋体"/>
          <w:spacing w:val="88"/>
          <w:sz w:val="22"/>
          <w:szCs w:val="22"/>
        </w:rPr>
        <w:t xml:space="preserve"> </w:t>
      </w:r>
      <w:r>
        <w:rPr>
          <w:rFonts w:ascii="宋体" w:eastAsia="宋体" w:hAnsi="宋体" w:cs="宋体"/>
          <w:spacing w:val="1"/>
          <w:sz w:val="22"/>
          <w:szCs w:val="22"/>
        </w:rPr>
        <w:t>的每日平均膳食营养素摄入量的参考值，包括4项内</w:t>
      </w:r>
      <w:r>
        <w:rPr>
          <w:rFonts w:ascii="宋体" w:eastAsia="宋体" w:hAnsi="宋体" w:cs="宋体"/>
          <w:sz w:val="22"/>
          <w:szCs w:val="22"/>
        </w:rPr>
        <w:t xml:space="preserve"> </w:t>
      </w:r>
      <w:r>
        <w:rPr>
          <w:rFonts w:ascii="宋体" w:eastAsia="宋体" w:hAnsi="宋体" w:cs="宋体"/>
          <w:spacing w:val="-9"/>
          <w:sz w:val="22"/>
          <w:szCs w:val="22"/>
        </w:rPr>
        <w:t>容：①平均需要量 (EAR);②</w:t>
      </w:r>
      <w:r>
        <w:rPr>
          <w:rFonts w:ascii="宋体" w:eastAsia="宋体" w:hAnsi="宋体" w:cs="宋体"/>
          <w:spacing w:val="9"/>
          <w:sz w:val="22"/>
          <w:szCs w:val="22"/>
        </w:rPr>
        <w:t xml:space="preserve">  </w:t>
      </w:r>
      <w:r>
        <w:rPr>
          <w:rFonts w:ascii="宋体" w:eastAsia="宋体" w:hAnsi="宋体" w:cs="宋体"/>
          <w:spacing w:val="-9"/>
          <w:sz w:val="22"/>
          <w:szCs w:val="22"/>
        </w:rPr>
        <w:t>推荐摄入量 (RNI);③</w:t>
      </w:r>
      <w:r>
        <w:rPr>
          <w:rFonts w:ascii="宋体" w:eastAsia="宋体" w:hAnsi="宋体" w:cs="宋体"/>
          <w:spacing w:val="88"/>
          <w:sz w:val="22"/>
          <w:szCs w:val="22"/>
        </w:rPr>
        <w:t xml:space="preserve"> </w:t>
      </w:r>
      <w:r>
        <w:rPr>
          <w:rFonts w:ascii="宋体" w:eastAsia="宋体" w:hAnsi="宋体" w:cs="宋体"/>
          <w:spacing w:val="-9"/>
          <w:sz w:val="22"/>
          <w:szCs w:val="22"/>
        </w:rPr>
        <w:t>适</w:t>
      </w:r>
      <w:r>
        <w:rPr>
          <w:rFonts w:ascii="宋体" w:eastAsia="宋体" w:hAnsi="宋体" w:cs="宋体"/>
          <w:spacing w:val="-10"/>
          <w:sz w:val="22"/>
          <w:szCs w:val="22"/>
        </w:rPr>
        <w:t>宜摄入量</w:t>
      </w:r>
      <w:r>
        <w:rPr>
          <w:rFonts w:ascii="宋体" w:eastAsia="宋体" w:hAnsi="宋体" w:cs="宋体"/>
          <w:spacing w:val="-19"/>
          <w:sz w:val="22"/>
          <w:szCs w:val="22"/>
        </w:rPr>
        <w:t xml:space="preserve"> </w:t>
      </w:r>
      <w:r>
        <w:rPr>
          <w:rFonts w:ascii="宋体" w:eastAsia="宋体" w:hAnsi="宋体" w:cs="宋体"/>
          <w:spacing w:val="-10"/>
          <w:sz w:val="22"/>
          <w:szCs w:val="22"/>
        </w:rPr>
        <w:t>(</w:t>
      </w:r>
      <w:r>
        <w:rPr>
          <w:rFonts w:ascii="宋体" w:eastAsia="宋体" w:hAnsi="宋体" w:cs="宋体"/>
          <w:spacing w:val="-9"/>
          <w:sz w:val="22"/>
          <w:szCs w:val="22"/>
        </w:rPr>
        <w:t>AI</w:t>
      </w:r>
      <w:r>
        <w:rPr>
          <w:rFonts w:ascii="宋体" w:eastAsia="宋体" w:hAnsi="宋体" w:cs="宋体"/>
          <w:spacing w:val="-10"/>
          <w:sz w:val="22"/>
          <w:szCs w:val="22"/>
        </w:rPr>
        <w:t>);④</w:t>
      </w:r>
      <w:r>
        <w:rPr>
          <w:rFonts w:ascii="宋体" w:eastAsia="宋体" w:hAnsi="宋体" w:cs="宋体"/>
          <w:spacing w:val="58"/>
          <w:sz w:val="22"/>
          <w:szCs w:val="22"/>
        </w:rPr>
        <w:t xml:space="preserve"> </w:t>
      </w:r>
      <w:r>
        <w:rPr>
          <w:rFonts w:ascii="宋体" w:eastAsia="宋体" w:hAnsi="宋体" w:cs="宋体"/>
          <w:spacing w:val="-10"/>
          <w:sz w:val="22"/>
          <w:szCs w:val="22"/>
        </w:rPr>
        <w:t>可</w:t>
      </w:r>
      <w:r>
        <w:rPr>
          <w:rFonts w:ascii="宋体" w:eastAsia="宋体" w:hAnsi="宋体" w:cs="宋体"/>
          <w:sz w:val="22"/>
          <w:szCs w:val="22"/>
        </w:rPr>
        <w:t xml:space="preserve"> </w:t>
      </w:r>
      <w:r>
        <w:rPr>
          <w:rFonts w:ascii="宋体" w:eastAsia="宋体" w:hAnsi="宋体" w:cs="宋体"/>
          <w:spacing w:val="-11"/>
          <w:sz w:val="22"/>
          <w:szCs w:val="22"/>
        </w:rPr>
        <w:t>耐受最高摄入量</w:t>
      </w:r>
      <w:r>
        <w:rPr>
          <w:rFonts w:ascii="宋体" w:eastAsia="宋体" w:hAnsi="宋体" w:cs="宋体"/>
          <w:spacing w:val="-2"/>
          <w:sz w:val="22"/>
          <w:szCs w:val="22"/>
        </w:rPr>
        <w:t xml:space="preserve"> </w:t>
      </w:r>
      <w:r>
        <w:rPr>
          <w:rFonts w:ascii="宋体" w:eastAsia="宋体" w:hAnsi="宋体" w:cs="宋体"/>
          <w:spacing w:val="-11"/>
          <w:sz w:val="22"/>
          <w:szCs w:val="22"/>
        </w:rPr>
        <w:t>(UL)。</w:t>
      </w:r>
    </w:p>
    <w:p w:rsidR="00EA40A3" w:rsidRDefault="00E86C16">
      <w:pPr>
        <w:spacing w:before="54" w:line="219" w:lineRule="auto"/>
        <w:ind w:left="429"/>
        <w:rPr>
          <w:rFonts w:ascii="仿宋" w:eastAsia="仿宋" w:hAnsi="仿宋" w:cs="仿宋"/>
          <w:sz w:val="22"/>
          <w:szCs w:val="22"/>
        </w:rPr>
      </w:pPr>
      <w:r>
        <w:rPr>
          <w:rFonts w:ascii="仿宋" w:eastAsia="仿宋" w:hAnsi="仿宋" w:cs="仿宋"/>
          <w:spacing w:val="-14"/>
          <w:sz w:val="22"/>
          <w:szCs w:val="22"/>
        </w:rPr>
        <w:t>膳食营养素参考摄入量的概念已在绪论中论述。</w:t>
      </w:r>
    </w:p>
    <w:p w:rsidR="00EA40A3" w:rsidRDefault="00E86C16">
      <w:pPr>
        <w:spacing w:before="180" w:line="221" w:lineRule="auto"/>
        <w:rPr>
          <w:rFonts w:ascii="仿宋" w:eastAsia="仿宋" w:hAnsi="仿宋" w:cs="仿宋"/>
          <w:sz w:val="22"/>
          <w:szCs w:val="22"/>
        </w:rPr>
      </w:pPr>
      <w:r>
        <w:rPr>
          <w:rFonts w:ascii="仿宋" w:eastAsia="仿宋" w:hAnsi="仿宋" w:cs="仿宋"/>
          <w:spacing w:val="14"/>
          <w:sz w:val="22"/>
          <w:szCs w:val="22"/>
        </w:rPr>
        <w:t>3.</w:t>
      </w:r>
      <w:r>
        <w:rPr>
          <w:rFonts w:ascii="仿宋" w:eastAsia="仿宋" w:hAnsi="仿宋" w:cs="仿宋"/>
          <w:spacing w:val="-25"/>
          <w:sz w:val="22"/>
          <w:szCs w:val="22"/>
        </w:rPr>
        <w:t xml:space="preserve"> </w:t>
      </w:r>
      <w:r>
        <w:rPr>
          <w:rFonts w:ascii="仿宋" w:eastAsia="仿宋" w:hAnsi="仿宋" w:cs="仿宋"/>
          <w:spacing w:val="14"/>
          <w:sz w:val="22"/>
          <w:szCs w:val="22"/>
        </w:rPr>
        <w:t>膳食营养素参考摄入量的制定方法</w:t>
      </w:r>
    </w:p>
    <w:p w:rsidR="00EA40A3" w:rsidRDefault="00E86C16">
      <w:pPr>
        <w:spacing w:before="208" w:line="245" w:lineRule="auto"/>
        <w:ind w:firstLine="429"/>
        <w:rPr>
          <w:rFonts w:ascii="宋体" w:eastAsia="宋体" w:hAnsi="宋体" w:cs="宋体"/>
          <w:sz w:val="22"/>
          <w:szCs w:val="22"/>
        </w:rPr>
      </w:pPr>
      <w:r>
        <w:rPr>
          <w:rFonts w:ascii="宋体" w:eastAsia="宋体" w:hAnsi="宋体" w:cs="宋体"/>
          <w:spacing w:val="-4"/>
          <w:sz w:val="22"/>
          <w:szCs w:val="22"/>
        </w:rPr>
        <w:t>DRI</w:t>
      </w:r>
      <w:r>
        <w:rPr>
          <w:rFonts w:ascii="宋体" w:eastAsia="宋体" w:hAnsi="宋体" w:cs="宋体"/>
          <w:spacing w:val="10"/>
          <w:sz w:val="22"/>
          <w:szCs w:val="22"/>
        </w:rPr>
        <w:t xml:space="preserve"> </w:t>
      </w:r>
      <w:r>
        <w:rPr>
          <w:rFonts w:ascii="宋体" w:eastAsia="宋体" w:hAnsi="宋体" w:cs="宋体"/>
          <w:spacing w:val="-4"/>
          <w:sz w:val="22"/>
          <w:szCs w:val="22"/>
        </w:rPr>
        <w:t>的制定是通过对人体进行全面的生理、生化测定而得出的，确定DRI</w:t>
      </w:r>
      <w:r>
        <w:rPr>
          <w:rFonts w:ascii="宋体" w:eastAsia="宋体" w:hAnsi="宋体" w:cs="宋体"/>
          <w:sz w:val="22"/>
          <w:szCs w:val="22"/>
        </w:rPr>
        <w:t xml:space="preserve">  </w:t>
      </w:r>
      <w:r>
        <w:rPr>
          <w:rFonts w:ascii="宋体" w:eastAsia="宋体" w:hAnsi="宋体" w:cs="宋体"/>
          <w:spacing w:val="-11"/>
          <w:sz w:val="22"/>
          <w:szCs w:val="22"/>
        </w:rPr>
        <w:t>的每一个指标都要作大量的工作，如在有代表性人群中，以特定年龄组为对象，</w:t>
      </w:r>
      <w:r>
        <w:rPr>
          <w:rFonts w:ascii="宋体" w:eastAsia="宋体" w:hAnsi="宋体" w:cs="宋体"/>
          <w:spacing w:val="13"/>
          <w:sz w:val="22"/>
          <w:szCs w:val="22"/>
        </w:rPr>
        <w:t xml:space="preserve"> </w:t>
      </w:r>
      <w:r>
        <w:rPr>
          <w:rFonts w:ascii="宋体" w:eastAsia="宋体" w:hAnsi="宋体" w:cs="宋体"/>
          <w:spacing w:val="-13"/>
          <w:sz w:val="22"/>
          <w:szCs w:val="22"/>
        </w:rPr>
        <w:t>求出其平均需要量，再按每一年龄组内的统计学上的个体差异，求测健康人群所</w:t>
      </w:r>
      <w:r>
        <w:rPr>
          <w:rFonts w:ascii="宋体" w:eastAsia="宋体" w:hAnsi="宋体" w:cs="宋体"/>
          <w:spacing w:val="1"/>
          <w:sz w:val="22"/>
          <w:szCs w:val="22"/>
        </w:rPr>
        <w:t xml:space="preserve"> </w:t>
      </w:r>
      <w:r>
        <w:rPr>
          <w:rFonts w:ascii="宋体" w:eastAsia="宋体" w:hAnsi="宋体" w:cs="宋体"/>
          <w:spacing w:val="-13"/>
          <w:sz w:val="22"/>
          <w:szCs w:val="22"/>
        </w:rPr>
        <w:t>需要增加的营养素数量。这些数值有些是在人体直接测定而来，有些则由于研究</w:t>
      </w:r>
      <w:r>
        <w:rPr>
          <w:rFonts w:ascii="宋体" w:eastAsia="宋体" w:hAnsi="宋体" w:cs="宋体"/>
          <w:spacing w:val="5"/>
          <w:sz w:val="22"/>
          <w:szCs w:val="22"/>
        </w:rPr>
        <w:t xml:space="preserve"> </w:t>
      </w:r>
      <w:r>
        <w:rPr>
          <w:rFonts w:ascii="宋体" w:eastAsia="宋体" w:hAnsi="宋体" w:cs="宋体"/>
          <w:spacing w:val="-19"/>
          <w:sz w:val="22"/>
          <w:szCs w:val="22"/>
        </w:rPr>
        <w:t>技术、人道主义等原因，间接推测估计而来，</w:t>
      </w:r>
      <w:r>
        <w:rPr>
          <w:rFonts w:ascii="宋体" w:eastAsia="宋体" w:hAnsi="宋体" w:cs="宋体"/>
          <w:spacing w:val="63"/>
          <w:sz w:val="22"/>
          <w:szCs w:val="22"/>
        </w:rPr>
        <w:t xml:space="preserve"> </w:t>
      </w:r>
      <w:r>
        <w:rPr>
          <w:rFonts w:ascii="宋体" w:eastAsia="宋体" w:hAnsi="宋体" w:cs="宋体"/>
          <w:spacing w:val="-19"/>
          <w:sz w:val="22"/>
          <w:szCs w:val="22"/>
        </w:rPr>
        <w:t>一般通过以下方法而获得：</w:t>
      </w:r>
    </w:p>
    <w:p w:rsidR="00EA40A3" w:rsidRDefault="00E86C16">
      <w:pPr>
        <w:spacing w:before="62" w:line="236" w:lineRule="auto"/>
        <w:ind w:right="77" w:firstLine="429"/>
        <w:rPr>
          <w:rFonts w:ascii="宋体" w:eastAsia="宋体" w:hAnsi="宋体" w:cs="宋体"/>
          <w:sz w:val="22"/>
          <w:szCs w:val="22"/>
        </w:rPr>
      </w:pPr>
      <w:r>
        <w:rPr>
          <w:rFonts w:ascii="宋体" w:eastAsia="宋体" w:hAnsi="宋体" w:cs="宋体"/>
          <w:spacing w:val="-3"/>
          <w:sz w:val="22"/>
          <w:szCs w:val="22"/>
        </w:rPr>
        <w:t>(1)在正常的健康人群中收集食物消费种类、数量及</w:t>
      </w:r>
      <w:r>
        <w:rPr>
          <w:rFonts w:ascii="宋体" w:eastAsia="宋体" w:hAnsi="宋体" w:cs="宋体"/>
          <w:spacing w:val="-4"/>
          <w:sz w:val="22"/>
          <w:szCs w:val="22"/>
        </w:rPr>
        <w:t>营养素摄入量的数据</w:t>
      </w:r>
      <w:r>
        <w:rPr>
          <w:rFonts w:ascii="宋体" w:eastAsia="宋体" w:hAnsi="宋体" w:cs="宋体"/>
          <w:sz w:val="22"/>
          <w:szCs w:val="22"/>
        </w:rPr>
        <w:t xml:space="preserve"> </w:t>
      </w:r>
      <w:r>
        <w:rPr>
          <w:rFonts w:ascii="宋体" w:eastAsia="宋体" w:hAnsi="宋体" w:cs="宋体"/>
          <w:spacing w:val="-12"/>
          <w:sz w:val="22"/>
          <w:szCs w:val="22"/>
        </w:rPr>
        <w:t>资料。</w:t>
      </w:r>
    </w:p>
    <w:p w:rsidR="00EA40A3" w:rsidRDefault="00E86C16">
      <w:pPr>
        <w:spacing w:before="36" w:line="235" w:lineRule="auto"/>
        <w:ind w:right="80" w:firstLine="429"/>
        <w:rPr>
          <w:rFonts w:ascii="宋体" w:eastAsia="宋体" w:hAnsi="宋体" w:cs="宋体"/>
          <w:sz w:val="22"/>
          <w:szCs w:val="22"/>
        </w:rPr>
      </w:pPr>
      <w:r>
        <w:rPr>
          <w:rFonts w:ascii="宋体" w:eastAsia="宋体" w:hAnsi="宋体" w:cs="宋体"/>
          <w:spacing w:val="-10"/>
          <w:sz w:val="22"/>
          <w:szCs w:val="22"/>
        </w:rPr>
        <w:t>(2)用生物化学方法研究特定营养在组织中的浓度及饱和度，分子功能适应</w:t>
      </w:r>
      <w:r>
        <w:rPr>
          <w:rFonts w:ascii="宋体" w:eastAsia="宋体" w:hAnsi="宋体" w:cs="宋体"/>
          <w:spacing w:val="8"/>
          <w:sz w:val="22"/>
          <w:szCs w:val="22"/>
        </w:rPr>
        <w:t xml:space="preserve"> </w:t>
      </w:r>
      <w:r>
        <w:rPr>
          <w:rFonts w:ascii="宋体" w:eastAsia="宋体" w:hAnsi="宋体" w:cs="宋体"/>
          <w:spacing w:val="-12"/>
          <w:sz w:val="22"/>
          <w:szCs w:val="22"/>
        </w:rPr>
        <w:t>状况，研究通过合理膳食等方法增加营养食物后的效</w:t>
      </w:r>
      <w:r>
        <w:rPr>
          <w:rFonts w:ascii="宋体" w:eastAsia="宋体" w:hAnsi="宋体" w:cs="宋体"/>
          <w:spacing w:val="-13"/>
          <w:sz w:val="22"/>
          <w:szCs w:val="22"/>
        </w:rPr>
        <w:t>果改变。</w:t>
      </w:r>
    </w:p>
    <w:p w:rsidR="00EA40A3" w:rsidRDefault="00E86C16">
      <w:pPr>
        <w:spacing w:before="41" w:line="219" w:lineRule="auto"/>
        <w:ind w:left="429"/>
        <w:rPr>
          <w:rFonts w:ascii="宋体" w:eastAsia="宋体" w:hAnsi="宋体" w:cs="宋体"/>
          <w:sz w:val="22"/>
          <w:szCs w:val="22"/>
        </w:rPr>
      </w:pPr>
      <w:r>
        <w:rPr>
          <w:rFonts w:ascii="宋体" w:eastAsia="宋体" w:hAnsi="宋体" w:cs="宋体"/>
          <w:spacing w:val="-10"/>
          <w:sz w:val="22"/>
          <w:szCs w:val="22"/>
        </w:rPr>
        <w:t>(3)用流行病学方法观察特定人群营养现状以及改进后的效果。</w:t>
      </w:r>
    </w:p>
    <w:p w:rsidR="00EA40A3" w:rsidRDefault="00E86C16">
      <w:pPr>
        <w:spacing w:before="39" w:line="219" w:lineRule="auto"/>
        <w:ind w:left="429"/>
        <w:rPr>
          <w:rFonts w:ascii="宋体" w:eastAsia="宋体" w:hAnsi="宋体" w:cs="宋体"/>
          <w:sz w:val="22"/>
          <w:szCs w:val="22"/>
        </w:rPr>
      </w:pPr>
      <w:r>
        <w:rPr>
          <w:rFonts w:ascii="宋体" w:eastAsia="宋体" w:hAnsi="宋体" w:cs="宋体"/>
          <w:spacing w:val="-10"/>
          <w:sz w:val="22"/>
          <w:szCs w:val="22"/>
        </w:rPr>
        <w:t>(4)以平衡试验确定特定营养物质的状态与摄入</w:t>
      </w:r>
      <w:r>
        <w:rPr>
          <w:rFonts w:ascii="宋体" w:eastAsia="宋体" w:hAnsi="宋体" w:cs="宋体"/>
          <w:spacing w:val="-11"/>
          <w:sz w:val="22"/>
          <w:szCs w:val="22"/>
        </w:rPr>
        <w:t>量两者之间的关系，</w:t>
      </w:r>
    </w:p>
    <w:p w:rsidR="00EA40A3" w:rsidRDefault="00E86C16">
      <w:pPr>
        <w:spacing w:before="38" w:line="219" w:lineRule="auto"/>
        <w:ind w:left="429"/>
        <w:rPr>
          <w:rFonts w:ascii="宋体" w:eastAsia="宋体" w:hAnsi="宋体" w:cs="宋体"/>
          <w:sz w:val="22"/>
          <w:szCs w:val="22"/>
        </w:rPr>
      </w:pPr>
      <w:r>
        <w:rPr>
          <w:rFonts w:ascii="宋体" w:eastAsia="宋体" w:hAnsi="宋体" w:cs="宋体"/>
          <w:spacing w:val="-9"/>
          <w:sz w:val="22"/>
          <w:szCs w:val="22"/>
        </w:rPr>
        <w:t>(5)对营养缺乏病例进行研究，通过耗空和</w:t>
      </w:r>
      <w:r>
        <w:rPr>
          <w:rFonts w:ascii="宋体" w:eastAsia="宋体" w:hAnsi="宋体" w:cs="宋体"/>
          <w:spacing w:val="-10"/>
          <w:sz w:val="22"/>
          <w:szCs w:val="22"/>
        </w:rPr>
        <w:t>补充试验，对特定受试者，按最</w:t>
      </w:r>
    </w:p>
    <w:p w:rsidR="00EA40A3" w:rsidRDefault="00E86C16">
      <w:pPr>
        <w:spacing w:before="39" w:line="236" w:lineRule="auto"/>
        <w:ind w:right="82"/>
        <w:rPr>
          <w:rFonts w:ascii="宋体" w:eastAsia="宋体" w:hAnsi="宋体" w:cs="宋体"/>
          <w:sz w:val="22"/>
          <w:szCs w:val="22"/>
        </w:rPr>
      </w:pPr>
      <w:r>
        <w:rPr>
          <w:rFonts w:ascii="宋体" w:eastAsia="宋体" w:hAnsi="宋体" w:cs="宋体"/>
          <w:spacing w:val="-13"/>
          <w:sz w:val="22"/>
          <w:szCs w:val="22"/>
        </w:rPr>
        <w:t>低限度供给特定营养素，使之处于低的或轻度缺乏的状态，再补充定量的该种特</w:t>
      </w:r>
      <w:r>
        <w:rPr>
          <w:rFonts w:ascii="宋体" w:eastAsia="宋体" w:hAnsi="宋体" w:cs="宋体"/>
          <w:spacing w:val="1"/>
          <w:sz w:val="22"/>
          <w:szCs w:val="22"/>
        </w:rPr>
        <w:t xml:space="preserve"> </w:t>
      </w:r>
      <w:r>
        <w:rPr>
          <w:rFonts w:ascii="宋体" w:eastAsia="宋体" w:hAnsi="宋体" w:cs="宋体"/>
          <w:spacing w:val="-14"/>
          <w:sz w:val="22"/>
          <w:szCs w:val="22"/>
        </w:rPr>
        <w:t>定营养素，观察改善状况。</w:t>
      </w:r>
    </w:p>
    <w:p w:rsidR="00EA40A3" w:rsidRDefault="00E86C16">
      <w:pPr>
        <w:spacing w:before="39" w:line="219" w:lineRule="auto"/>
        <w:ind w:left="429"/>
        <w:rPr>
          <w:rFonts w:ascii="宋体" w:eastAsia="宋体" w:hAnsi="宋体" w:cs="宋体"/>
          <w:sz w:val="22"/>
          <w:szCs w:val="22"/>
        </w:rPr>
      </w:pPr>
      <w:r>
        <w:rPr>
          <w:rFonts w:ascii="宋体" w:eastAsia="宋体" w:hAnsi="宋体" w:cs="宋体"/>
          <w:spacing w:val="-10"/>
          <w:sz w:val="22"/>
          <w:szCs w:val="22"/>
        </w:rPr>
        <w:t>(6)进行动物试验，并将动物试验的数据资料，外推到人体的需要量上。</w:t>
      </w:r>
    </w:p>
    <w:p w:rsidR="00EA40A3" w:rsidRDefault="00E86C16">
      <w:pPr>
        <w:spacing w:before="38" w:line="235" w:lineRule="auto"/>
        <w:ind w:right="80" w:firstLine="429"/>
        <w:rPr>
          <w:rFonts w:ascii="宋体" w:eastAsia="宋体" w:hAnsi="宋体" w:cs="宋体"/>
          <w:sz w:val="22"/>
          <w:szCs w:val="22"/>
        </w:rPr>
      </w:pPr>
      <w:r>
        <w:rPr>
          <w:rFonts w:ascii="宋体" w:eastAsia="宋体" w:hAnsi="宋体" w:cs="宋体"/>
          <w:spacing w:val="-10"/>
          <w:sz w:val="22"/>
          <w:szCs w:val="22"/>
        </w:rPr>
        <w:t>(7)由毒理学实验所得最大无作用剂量及人体食用膳食以外的强化食品与膳</w:t>
      </w:r>
      <w:r>
        <w:rPr>
          <w:rFonts w:ascii="宋体" w:eastAsia="宋体" w:hAnsi="宋体" w:cs="宋体"/>
          <w:spacing w:val="8"/>
          <w:sz w:val="22"/>
          <w:szCs w:val="22"/>
        </w:rPr>
        <w:t xml:space="preserve"> </w:t>
      </w:r>
      <w:r>
        <w:rPr>
          <w:rFonts w:ascii="宋体" w:eastAsia="宋体" w:hAnsi="宋体" w:cs="宋体"/>
          <w:spacing w:val="-10"/>
          <w:sz w:val="22"/>
          <w:szCs w:val="22"/>
        </w:rPr>
        <w:t>食补充剂的观察结果，作为提出UL</w:t>
      </w:r>
      <w:r>
        <w:rPr>
          <w:rFonts w:ascii="宋体" w:eastAsia="宋体" w:hAnsi="宋体" w:cs="宋体"/>
          <w:spacing w:val="34"/>
          <w:sz w:val="22"/>
          <w:szCs w:val="22"/>
        </w:rPr>
        <w:t xml:space="preserve"> </w:t>
      </w:r>
      <w:r>
        <w:rPr>
          <w:rFonts w:ascii="宋体" w:eastAsia="宋体" w:hAnsi="宋体" w:cs="宋体"/>
          <w:spacing w:val="-10"/>
          <w:sz w:val="22"/>
          <w:szCs w:val="22"/>
        </w:rPr>
        <w:t>的基础。</w:t>
      </w:r>
    </w:p>
    <w:p w:rsidR="00EA40A3" w:rsidRDefault="00E86C16">
      <w:pPr>
        <w:spacing w:before="40" w:line="235" w:lineRule="auto"/>
        <w:ind w:right="82" w:firstLine="429"/>
        <w:rPr>
          <w:rFonts w:ascii="宋体" w:eastAsia="宋体" w:hAnsi="宋体" w:cs="宋体"/>
          <w:sz w:val="22"/>
          <w:szCs w:val="22"/>
        </w:rPr>
      </w:pPr>
      <w:r>
        <w:rPr>
          <w:rFonts w:ascii="宋体" w:eastAsia="宋体" w:hAnsi="宋体" w:cs="宋体"/>
          <w:spacing w:val="-10"/>
          <w:sz w:val="22"/>
          <w:szCs w:val="22"/>
        </w:rPr>
        <w:t>(8)根据影响各种营养素吸收利用和活性形式转变的因素，结合各国上述特</w:t>
      </w:r>
      <w:r>
        <w:rPr>
          <w:rFonts w:ascii="宋体" w:eastAsia="宋体" w:hAnsi="宋体" w:cs="宋体"/>
          <w:spacing w:val="6"/>
          <w:sz w:val="22"/>
          <w:szCs w:val="22"/>
        </w:rPr>
        <w:t xml:space="preserve"> </w:t>
      </w:r>
      <w:r>
        <w:rPr>
          <w:rFonts w:ascii="宋体" w:eastAsia="宋体" w:hAnsi="宋体" w:cs="宋体"/>
          <w:spacing w:val="-9"/>
          <w:sz w:val="22"/>
          <w:szCs w:val="22"/>
        </w:rPr>
        <w:t>点，考虑提出DRI</w:t>
      </w:r>
      <w:r>
        <w:rPr>
          <w:rFonts w:ascii="宋体" w:eastAsia="宋体" w:hAnsi="宋体" w:cs="宋体"/>
          <w:spacing w:val="5"/>
          <w:sz w:val="22"/>
          <w:szCs w:val="22"/>
        </w:rPr>
        <w:t xml:space="preserve"> </w:t>
      </w:r>
      <w:r>
        <w:rPr>
          <w:rFonts w:ascii="宋体" w:eastAsia="宋体" w:hAnsi="宋体" w:cs="宋体"/>
          <w:spacing w:val="-9"/>
          <w:sz w:val="22"/>
          <w:szCs w:val="22"/>
        </w:rPr>
        <w:t>的有效性。</w:t>
      </w:r>
    </w:p>
    <w:p w:rsidR="00EA40A3" w:rsidRDefault="00E86C16">
      <w:pPr>
        <w:spacing w:before="119" w:line="236" w:lineRule="auto"/>
        <w:ind w:right="50" w:firstLine="429"/>
        <w:rPr>
          <w:rFonts w:ascii="宋体" w:eastAsia="宋体" w:hAnsi="宋体" w:cs="宋体"/>
          <w:sz w:val="22"/>
          <w:szCs w:val="22"/>
        </w:rPr>
      </w:pPr>
      <w:r>
        <w:rPr>
          <w:rFonts w:ascii="宋体" w:eastAsia="宋体" w:hAnsi="宋体" w:cs="宋体"/>
          <w:spacing w:val="-5"/>
          <w:sz w:val="22"/>
          <w:szCs w:val="22"/>
        </w:rPr>
        <w:t>新制定的DRI</w:t>
      </w:r>
      <w:r>
        <w:rPr>
          <w:rFonts w:ascii="宋体" w:eastAsia="宋体" w:hAnsi="宋体" w:cs="宋体"/>
          <w:spacing w:val="-26"/>
          <w:sz w:val="22"/>
          <w:szCs w:val="22"/>
        </w:rPr>
        <w:t xml:space="preserve"> </w:t>
      </w:r>
      <w:r>
        <w:rPr>
          <w:rFonts w:ascii="宋体" w:eastAsia="宋体" w:hAnsi="宋体" w:cs="宋体"/>
          <w:spacing w:val="-5"/>
          <w:sz w:val="22"/>
          <w:szCs w:val="22"/>
        </w:rPr>
        <w:t>指标，将预防营养缺乏病的传统重点扩展到帮助个体和人</w:t>
      </w:r>
      <w:r>
        <w:rPr>
          <w:rFonts w:ascii="宋体" w:eastAsia="宋体" w:hAnsi="宋体" w:cs="宋体"/>
          <w:spacing w:val="-6"/>
          <w:sz w:val="22"/>
          <w:szCs w:val="22"/>
        </w:rPr>
        <w:t>群</w:t>
      </w:r>
      <w:r>
        <w:rPr>
          <w:rFonts w:ascii="宋体" w:eastAsia="宋体" w:hAnsi="宋体" w:cs="宋体"/>
          <w:sz w:val="22"/>
          <w:szCs w:val="22"/>
        </w:rPr>
        <w:t xml:space="preserve"> </w:t>
      </w:r>
      <w:r>
        <w:rPr>
          <w:rFonts w:ascii="宋体" w:eastAsia="宋体" w:hAnsi="宋体" w:cs="宋体"/>
          <w:spacing w:val="-13"/>
          <w:sz w:val="22"/>
          <w:szCs w:val="22"/>
        </w:rPr>
        <w:t>安全地摄入各种营养素，预防与营养有关的慢性病方面。</w:t>
      </w:r>
    </w:p>
    <w:p w:rsidR="00EA40A3" w:rsidRDefault="00EA40A3">
      <w:pPr>
        <w:sectPr w:rsidR="00EA40A3">
          <w:headerReference w:type="default" r:id="rId328"/>
          <w:footerReference w:type="default" r:id="rId329"/>
          <w:pgSz w:w="9370" w:h="13460"/>
          <w:pgMar w:top="400" w:right="1100" w:bottom="1314" w:left="939" w:header="0" w:footer="1081" w:gutter="0"/>
          <w:cols w:space="720"/>
        </w:sectPr>
      </w:pPr>
    </w:p>
    <w:p w:rsidR="00EA40A3" w:rsidRDefault="00EA40A3">
      <w:pPr>
        <w:spacing w:line="242" w:lineRule="auto"/>
      </w:pPr>
    </w:p>
    <w:p w:rsidR="00EA40A3" w:rsidRDefault="00EA40A3">
      <w:pPr>
        <w:spacing w:line="242" w:lineRule="auto"/>
      </w:pPr>
    </w:p>
    <w:p w:rsidR="00EA40A3" w:rsidRDefault="00EA40A3">
      <w:pPr>
        <w:spacing w:line="243" w:lineRule="auto"/>
      </w:pPr>
    </w:p>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10"/>
          <w:sz w:val="22"/>
          <w:szCs w:val="22"/>
        </w:rPr>
        <w:t>12.3.2</w:t>
      </w:r>
      <w:r>
        <w:rPr>
          <w:rFonts w:ascii="黑体" w:eastAsia="黑体" w:hAnsi="黑体" w:cs="黑体"/>
          <w:spacing w:val="9"/>
          <w:sz w:val="22"/>
          <w:szCs w:val="22"/>
        </w:rPr>
        <w:t xml:space="preserve">   </w:t>
      </w:r>
      <w:r>
        <w:rPr>
          <w:rFonts w:ascii="黑体" w:eastAsia="黑体" w:hAnsi="黑体" w:cs="黑体"/>
          <w:b/>
          <w:bCs/>
          <w:spacing w:val="10"/>
          <w:sz w:val="22"/>
          <w:szCs w:val="22"/>
        </w:rPr>
        <w:t>膳食营养素参考摄入量的应用</w:t>
      </w:r>
    </w:p>
    <w:p w:rsidR="00EA40A3" w:rsidRDefault="00E86C16">
      <w:pPr>
        <w:spacing w:before="181" w:line="245" w:lineRule="auto"/>
        <w:ind w:right="79" w:firstLine="410"/>
        <w:jc w:val="both"/>
        <w:rPr>
          <w:rFonts w:ascii="宋体" w:eastAsia="宋体" w:hAnsi="宋体" w:cs="宋体"/>
          <w:sz w:val="22"/>
          <w:szCs w:val="22"/>
        </w:rPr>
      </w:pPr>
      <w:r>
        <w:rPr>
          <w:rFonts w:ascii="宋体" w:eastAsia="宋体" w:hAnsi="宋体" w:cs="宋体"/>
          <w:spacing w:val="-12"/>
          <w:sz w:val="22"/>
          <w:szCs w:val="22"/>
        </w:rPr>
        <w:t>由于食物生产、经济收入、气候环境、民族、生</w:t>
      </w:r>
      <w:r>
        <w:rPr>
          <w:rFonts w:ascii="宋体" w:eastAsia="宋体" w:hAnsi="宋体" w:cs="宋体"/>
          <w:spacing w:val="-13"/>
          <w:sz w:val="22"/>
          <w:szCs w:val="22"/>
        </w:rPr>
        <w:t>活习惯等的不同，不同国家</w:t>
      </w:r>
      <w:r>
        <w:rPr>
          <w:rFonts w:ascii="宋体" w:eastAsia="宋体" w:hAnsi="宋体" w:cs="宋体"/>
          <w:sz w:val="22"/>
          <w:szCs w:val="22"/>
        </w:rPr>
        <w:t xml:space="preserve"> </w:t>
      </w:r>
      <w:r>
        <w:rPr>
          <w:rFonts w:ascii="宋体" w:eastAsia="宋体" w:hAnsi="宋体" w:cs="宋体"/>
          <w:spacing w:val="-2"/>
          <w:sz w:val="22"/>
          <w:szCs w:val="22"/>
        </w:rPr>
        <w:t>和地区之间的DRI</w:t>
      </w:r>
      <w:r>
        <w:rPr>
          <w:rFonts w:ascii="宋体" w:eastAsia="宋体" w:hAnsi="宋体" w:cs="宋体"/>
          <w:spacing w:val="-17"/>
          <w:sz w:val="22"/>
          <w:szCs w:val="22"/>
        </w:rPr>
        <w:t xml:space="preserve"> </w:t>
      </w:r>
      <w:r>
        <w:rPr>
          <w:rFonts w:ascii="宋体" w:eastAsia="宋体" w:hAnsi="宋体" w:cs="宋体"/>
          <w:spacing w:val="-2"/>
          <w:sz w:val="22"/>
          <w:szCs w:val="22"/>
        </w:rPr>
        <w:t>也有所区别。附录1是我国营养学会2000年制定的膳食营养</w:t>
      </w:r>
      <w:r>
        <w:rPr>
          <w:rFonts w:ascii="宋体" w:eastAsia="宋体" w:hAnsi="宋体" w:cs="宋体"/>
          <w:sz w:val="22"/>
          <w:szCs w:val="22"/>
        </w:rPr>
        <w:t xml:space="preserve"> </w:t>
      </w:r>
      <w:r>
        <w:rPr>
          <w:rFonts w:ascii="宋体" w:eastAsia="宋体" w:hAnsi="宋体" w:cs="宋体"/>
          <w:spacing w:val="-7"/>
          <w:sz w:val="22"/>
          <w:szCs w:val="22"/>
        </w:rPr>
        <w:t>素参考摄入量，主要为人群或个体的健康服务，从宏观上指导食物的生产与分</w:t>
      </w:r>
      <w:r>
        <w:rPr>
          <w:rFonts w:ascii="宋体" w:eastAsia="宋体" w:hAnsi="宋体" w:cs="宋体"/>
          <w:spacing w:val="16"/>
          <w:sz w:val="22"/>
          <w:szCs w:val="22"/>
        </w:rPr>
        <w:t xml:space="preserve"> </w:t>
      </w:r>
      <w:r>
        <w:rPr>
          <w:rFonts w:ascii="宋体" w:eastAsia="宋体" w:hAnsi="宋体" w:cs="宋体"/>
          <w:spacing w:val="-6"/>
          <w:sz w:val="22"/>
          <w:szCs w:val="22"/>
        </w:rPr>
        <w:t>配，指导特殊生理和职业人群的膳食计划和配给，并作为营养性治疗、营养监</w:t>
      </w:r>
      <w:r>
        <w:rPr>
          <w:rFonts w:ascii="宋体" w:eastAsia="宋体" w:hAnsi="宋体" w:cs="宋体"/>
          <w:spacing w:val="2"/>
          <w:sz w:val="22"/>
          <w:szCs w:val="22"/>
        </w:rPr>
        <w:t xml:space="preserve"> </w:t>
      </w:r>
      <w:r>
        <w:rPr>
          <w:rFonts w:ascii="宋体" w:eastAsia="宋体" w:hAnsi="宋体" w:cs="宋体"/>
          <w:spacing w:val="-15"/>
          <w:sz w:val="22"/>
          <w:szCs w:val="22"/>
        </w:rPr>
        <w:t>测、食品工业开发新产品、食品营养标签等的依据。</w:t>
      </w:r>
    </w:p>
    <w:p w:rsidR="00EA40A3" w:rsidRDefault="00E86C16">
      <w:pPr>
        <w:spacing w:before="229" w:line="222" w:lineRule="auto"/>
        <w:rPr>
          <w:rFonts w:ascii="仿宋" w:eastAsia="仿宋" w:hAnsi="仿宋" w:cs="仿宋"/>
          <w:sz w:val="22"/>
          <w:szCs w:val="22"/>
        </w:rPr>
      </w:pPr>
      <w:r>
        <w:rPr>
          <w:rFonts w:ascii="仿宋" w:eastAsia="仿宋" w:hAnsi="仿宋" w:cs="仿宋"/>
          <w:spacing w:val="13"/>
          <w:sz w:val="22"/>
          <w:szCs w:val="22"/>
        </w:rPr>
        <w:t>1.</w:t>
      </w:r>
      <w:r>
        <w:rPr>
          <w:rFonts w:ascii="仿宋" w:eastAsia="仿宋" w:hAnsi="仿宋" w:cs="仿宋"/>
          <w:spacing w:val="-33"/>
          <w:sz w:val="22"/>
          <w:szCs w:val="22"/>
        </w:rPr>
        <w:t xml:space="preserve"> </w:t>
      </w:r>
      <w:r>
        <w:rPr>
          <w:rFonts w:ascii="仿宋" w:eastAsia="仿宋" w:hAnsi="仿宋" w:cs="仿宋"/>
          <w:spacing w:val="13"/>
          <w:sz w:val="22"/>
          <w:szCs w:val="22"/>
        </w:rPr>
        <w:t>平均需要量</w:t>
      </w:r>
    </w:p>
    <w:p w:rsidR="00EA40A3" w:rsidRDefault="00E86C16">
      <w:pPr>
        <w:spacing w:before="196"/>
        <w:ind w:right="100" w:firstLine="410"/>
        <w:jc w:val="both"/>
        <w:rPr>
          <w:rFonts w:ascii="宋体" w:eastAsia="宋体" w:hAnsi="宋体" w:cs="宋体"/>
          <w:sz w:val="22"/>
          <w:szCs w:val="22"/>
        </w:rPr>
      </w:pPr>
      <w:r>
        <w:rPr>
          <w:rFonts w:ascii="宋体" w:eastAsia="宋体" w:hAnsi="宋体" w:cs="宋体"/>
          <w:spacing w:val="-13"/>
          <w:sz w:val="22"/>
          <w:szCs w:val="22"/>
        </w:rPr>
        <w:t>平均需要量是某一个特定人群的平均需要量，主要用于计划和评价群体的膳</w:t>
      </w:r>
      <w:r>
        <w:rPr>
          <w:rFonts w:ascii="宋体" w:eastAsia="宋体" w:hAnsi="宋体" w:cs="宋体"/>
          <w:spacing w:val="17"/>
          <w:sz w:val="22"/>
          <w:szCs w:val="22"/>
        </w:rPr>
        <w:t xml:space="preserve"> </w:t>
      </w:r>
      <w:r>
        <w:rPr>
          <w:rFonts w:ascii="宋体" w:eastAsia="宋体" w:hAnsi="宋体" w:cs="宋体"/>
          <w:spacing w:val="-8"/>
          <w:sz w:val="22"/>
          <w:szCs w:val="22"/>
        </w:rPr>
        <w:t>食。根据某一年龄、性别组中摄入量低于EAR</w:t>
      </w:r>
      <w:r>
        <w:rPr>
          <w:rFonts w:ascii="宋体" w:eastAsia="宋体" w:hAnsi="宋体" w:cs="宋体"/>
          <w:spacing w:val="65"/>
          <w:sz w:val="22"/>
          <w:szCs w:val="22"/>
        </w:rPr>
        <w:t xml:space="preserve"> </w:t>
      </w:r>
      <w:r>
        <w:rPr>
          <w:rFonts w:ascii="宋体" w:eastAsia="宋体" w:hAnsi="宋体" w:cs="宋体"/>
          <w:spacing w:val="-8"/>
          <w:sz w:val="22"/>
          <w:szCs w:val="22"/>
        </w:rPr>
        <w:t>个体的百分比来</w:t>
      </w:r>
      <w:r>
        <w:rPr>
          <w:rFonts w:ascii="宋体" w:eastAsia="宋体" w:hAnsi="宋体" w:cs="宋体"/>
          <w:spacing w:val="-9"/>
          <w:sz w:val="22"/>
          <w:szCs w:val="22"/>
        </w:rPr>
        <w:t>评估群体中摄入</w:t>
      </w:r>
      <w:r>
        <w:rPr>
          <w:rFonts w:ascii="宋体" w:eastAsia="宋体" w:hAnsi="宋体" w:cs="宋体"/>
          <w:sz w:val="22"/>
          <w:szCs w:val="22"/>
        </w:rPr>
        <w:t xml:space="preserve"> </w:t>
      </w:r>
      <w:r>
        <w:rPr>
          <w:rFonts w:ascii="宋体" w:eastAsia="宋体" w:hAnsi="宋体" w:cs="宋体"/>
          <w:spacing w:val="-13"/>
          <w:sz w:val="22"/>
          <w:szCs w:val="22"/>
        </w:rPr>
        <w:t>不足的发生率，评价其营养素摄入情况是否适宜</w:t>
      </w:r>
      <w:r>
        <w:rPr>
          <w:rFonts w:ascii="宋体" w:eastAsia="宋体" w:hAnsi="宋体" w:cs="宋体"/>
          <w:spacing w:val="-14"/>
          <w:sz w:val="22"/>
          <w:szCs w:val="22"/>
        </w:rPr>
        <w:t>。</w:t>
      </w:r>
    </w:p>
    <w:p w:rsidR="00EA40A3" w:rsidRDefault="00E86C16">
      <w:pPr>
        <w:spacing w:before="63" w:line="245" w:lineRule="auto"/>
        <w:ind w:right="96" w:firstLine="410"/>
        <w:jc w:val="both"/>
        <w:rPr>
          <w:rFonts w:ascii="宋体" w:eastAsia="宋体" w:hAnsi="宋体" w:cs="宋体"/>
          <w:sz w:val="22"/>
          <w:szCs w:val="22"/>
        </w:rPr>
      </w:pPr>
      <w:r>
        <w:rPr>
          <w:rFonts w:ascii="宋体" w:eastAsia="宋体" w:hAnsi="宋体" w:cs="宋体"/>
          <w:spacing w:val="-7"/>
          <w:sz w:val="22"/>
          <w:szCs w:val="22"/>
        </w:rPr>
        <w:t>EAR</w:t>
      </w:r>
      <w:r>
        <w:rPr>
          <w:rFonts w:ascii="宋体" w:eastAsia="宋体" w:hAnsi="宋体" w:cs="宋体"/>
          <w:spacing w:val="45"/>
          <w:sz w:val="22"/>
          <w:szCs w:val="22"/>
        </w:rPr>
        <w:t xml:space="preserve"> </w:t>
      </w:r>
      <w:r>
        <w:rPr>
          <w:rFonts w:ascii="宋体" w:eastAsia="宋体" w:hAnsi="宋体" w:cs="宋体"/>
          <w:spacing w:val="-7"/>
          <w:sz w:val="22"/>
          <w:szCs w:val="22"/>
        </w:rPr>
        <w:t>也可作为计划或制定人群推荐摄入量的基础。如果个体摄</w:t>
      </w:r>
      <w:r>
        <w:rPr>
          <w:rFonts w:ascii="宋体" w:eastAsia="宋体" w:hAnsi="宋体" w:cs="宋体"/>
          <w:spacing w:val="-8"/>
          <w:sz w:val="22"/>
          <w:szCs w:val="22"/>
        </w:rPr>
        <w:t>入量呈常态</w:t>
      </w:r>
      <w:r>
        <w:rPr>
          <w:rFonts w:ascii="宋体" w:eastAsia="宋体" w:hAnsi="宋体" w:cs="宋体"/>
          <w:sz w:val="22"/>
          <w:szCs w:val="22"/>
        </w:rPr>
        <w:t xml:space="preserve"> </w:t>
      </w:r>
      <w:r>
        <w:rPr>
          <w:rFonts w:ascii="宋体" w:eastAsia="宋体" w:hAnsi="宋体" w:cs="宋体"/>
          <w:spacing w:val="-11"/>
          <w:sz w:val="22"/>
          <w:szCs w:val="22"/>
        </w:rPr>
        <w:t>分布，</w:t>
      </w:r>
      <w:r>
        <w:rPr>
          <w:rFonts w:ascii="宋体" w:eastAsia="宋体" w:hAnsi="宋体" w:cs="宋体"/>
          <w:spacing w:val="-13"/>
          <w:sz w:val="22"/>
          <w:szCs w:val="22"/>
        </w:rPr>
        <w:t xml:space="preserve"> </w:t>
      </w:r>
      <w:r>
        <w:rPr>
          <w:rFonts w:ascii="宋体" w:eastAsia="宋体" w:hAnsi="宋体" w:cs="宋体"/>
          <w:spacing w:val="-11"/>
          <w:sz w:val="22"/>
          <w:szCs w:val="22"/>
        </w:rPr>
        <w:t>一个人群组的目标摄入量可以根据EAR</w:t>
      </w:r>
      <w:r>
        <w:rPr>
          <w:rFonts w:ascii="宋体" w:eastAsia="宋体" w:hAnsi="宋体" w:cs="宋体"/>
          <w:spacing w:val="66"/>
          <w:sz w:val="22"/>
          <w:szCs w:val="22"/>
        </w:rPr>
        <w:t xml:space="preserve"> </w:t>
      </w:r>
      <w:r>
        <w:rPr>
          <w:rFonts w:ascii="宋体" w:eastAsia="宋体" w:hAnsi="宋体" w:cs="宋体"/>
          <w:spacing w:val="-11"/>
          <w:sz w:val="22"/>
          <w:szCs w:val="22"/>
        </w:rPr>
        <w:t>和摄入量的变异来估计。为</w:t>
      </w:r>
      <w:r>
        <w:rPr>
          <w:rFonts w:ascii="宋体" w:eastAsia="宋体" w:hAnsi="宋体" w:cs="宋体"/>
          <w:spacing w:val="-12"/>
          <w:sz w:val="22"/>
          <w:szCs w:val="22"/>
        </w:rPr>
        <w:t>了保</w:t>
      </w:r>
      <w:r>
        <w:rPr>
          <w:rFonts w:ascii="宋体" w:eastAsia="宋体" w:hAnsi="宋体" w:cs="宋体"/>
          <w:sz w:val="22"/>
          <w:szCs w:val="22"/>
        </w:rPr>
        <w:t xml:space="preserve"> </w:t>
      </w:r>
      <w:r>
        <w:rPr>
          <w:rFonts w:ascii="宋体" w:eastAsia="宋体" w:hAnsi="宋体" w:cs="宋体"/>
          <w:spacing w:val="6"/>
          <w:sz w:val="22"/>
          <w:szCs w:val="22"/>
        </w:rPr>
        <w:t>证摄入量低于</w:t>
      </w:r>
      <w:r>
        <w:rPr>
          <w:rFonts w:ascii="宋体" w:eastAsia="宋体" w:hAnsi="宋体" w:cs="宋体"/>
          <w:sz w:val="22"/>
          <w:szCs w:val="22"/>
        </w:rPr>
        <w:t>EAR</w:t>
      </w:r>
      <w:r>
        <w:rPr>
          <w:rFonts w:ascii="宋体" w:eastAsia="宋体" w:hAnsi="宋体" w:cs="宋体"/>
          <w:spacing w:val="84"/>
          <w:sz w:val="22"/>
          <w:szCs w:val="22"/>
        </w:rPr>
        <w:t xml:space="preserve"> </w:t>
      </w:r>
      <w:r>
        <w:rPr>
          <w:rFonts w:ascii="宋体" w:eastAsia="宋体" w:hAnsi="宋体" w:cs="宋体"/>
          <w:spacing w:val="6"/>
          <w:sz w:val="22"/>
          <w:szCs w:val="22"/>
        </w:rPr>
        <w:t>的个体少于2%～3%,推荐摄入量的平均值应在</w:t>
      </w:r>
      <w:r>
        <w:rPr>
          <w:rFonts w:ascii="宋体" w:eastAsia="宋体" w:hAnsi="宋体" w:cs="宋体"/>
          <w:sz w:val="22"/>
          <w:szCs w:val="22"/>
        </w:rPr>
        <w:t>EAR</w:t>
      </w:r>
      <w:r>
        <w:rPr>
          <w:rFonts w:ascii="宋体" w:eastAsia="宋体" w:hAnsi="宋体" w:cs="宋体"/>
          <w:spacing w:val="66"/>
          <w:sz w:val="22"/>
          <w:szCs w:val="22"/>
        </w:rPr>
        <w:t xml:space="preserve"> </w:t>
      </w:r>
      <w:r>
        <w:rPr>
          <w:rFonts w:ascii="宋体" w:eastAsia="宋体" w:hAnsi="宋体" w:cs="宋体"/>
          <w:spacing w:val="6"/>
          <w:sz w:val="22"/>
          <w:szCs w:val="22"/>
        </w:rPr>
        <w:t>加两</w:t>
      </w:r>
      <w:r>
        <w:rPr>
          <w:rFonts w:ascii="宋体" w:eastAsia="宋体" w:hAnsi="宋体" w:cs="宋体"/>
          <w:sz w:val="22"/>
          <w:szCs w:val="22"/>
        </w:rPr>
        <w:t xml:space="preserve"> </w:t>
      </w:r>
      <w:r>
        <w:rPr>
          <w:rFonts w:ascii="宋体" w:eastAsia="宋体" w:hAnsi="宋体" w:cs="宋体"/>
          <w:spacing w:val="-13"/>
          <w:sz w:val="22"/>
          <w:szCs w:val="22"/>
        </w:rPr>
        <w:t>个标准差以上。针对个体，可以检查其摄入不足的可能性。如某个体的摄入量低</w:t>
      </w:r>
      <w:r>
        <w:rPr>
          <w:rFonts w:ascii="宋体" w:eastAsia="宋体" w:hAnsi="宋体" w:cs="宋体"/>
          <w:spacing w:val="17"/>
          <w:sz w:val="22"/>
          <w:szCs w:val="22"/>
        </w:rPr>
        <w:t xml:space="preserve"> </w:t>
      </w:r>
      <w:r>
        <w:rPr>
          <w:rFonts w:ascii="宋体" w:eastAsia="宋体" w:hAnsi="宋体" w:cs="宋体"/>
          <w:spacing w:val="-10"/>
          <w:sz w:val="22"/>
          <w:szCs w:val="22"/>
        </w:rPr>
        <w:t>于EAR</w:t>
      </w:r>
      <w:r>
        <w:rPr>
          <w:rFonts w:ascii="宋体" w:eastAsia="宋体" w:hAnsi="宋体" w:cs="宋体"/>
          <w:spacing w:val="61"/>
          <w:sz w:val="22"/>
          <w:szCs w:val="22"/>
        </w:rPr>
        <w:t xml:space="preserve"> </w:t>
      </w:r>
      <w:r>
        <w:rPr>
          <w:rFonts w:ascii="宋体" w:eastAsia="宋体" w:hAnsi="宋体" w:cs="宋体"/>
          <w:spacing w:val="-10"/>
          <w:sz w:val="22"/>
          <w:szCs w:val="22"/>
        </w:rPr>
        <w:t>减两个标准差，则可以肯定不能达到该个体需要量。</w:t>
      </w:r>
    </w:p>
    <w:p w:rsidR="00EA40A3" w:rsidRDefault="00E86C16">
      <w:pPr>
        <w:spacing w:before="207" w:line="222" w:lineRule="auto"/>
        <w:rPr>
          <w:rFonts w:ascii="仿宋" w:eastAsia="仿宋" w:hAnsi="仿宋" w:cs="仿宋"/>
          <w:sz w:val="22"/>
          <w:szCs w:val="22"/>
        </w:rPr>
      </w:pPr>
      <w:r>
        <w:rPr>
          <w:rFonts w:ascii="仿宋" w:eastAsia="仿宋" w:hAnsi="仿宋" w:cs="仿宋"/>
          <w:spacing w:val="9"/>
          <w:sz w:val="22"/>
          <w:szCs w:val="22"/>
        </w:rPr>
        <w:t>2.</w:t>
      </w:r>
      <w:r>
        <w:rPr>
          <w:rFonts w:ascii="仿宋" w:eastAsia="仿宋" w:hAnsi="仿宋" w:cs="仿宋"/>
          <w:spacing w:val="-35"/>
          <w:sz w:val="22"/>
          <w:szCs w:val="22"/>
        </w:rPr>
        <w:t xml:space="preserve"> </w:t>
      </w:r>
      <w:r>
        <w:rPr>
          <w:rFonts w:ascii="仿宋" w:eastAsia="仿宋" w:hAnsi="仿宋" w:cs="仿宋"/>
          <w:spacing w:val="9"/>
          <w:sz w:val="22"/>
          <w:szCs w:val="22"/>
        </w:rPr>
        <w:t>推荐摄入量</w:t>
      </w:r>
    </w:p>
    <w:p w:rsidR="00EA40A3" w:rsidRDefault="00E86C16">
      <w:pPr>
        <w:spacing w:before="195" w:line="244" w:lineRule="auto"/>
        <w:ind w:right="81" w:firstLine="410"/>
        <w:jc w:val="both"/>
        <w:rPr>
          <w:rFonts w:ascii="宋体" w:eastAsia="宋体" w:hAnsi="宋体" w:cs="宋体"/>
          <w:sz w:val="22"/>
          <w:szCs w:val="22"/>
        </w:rPr>
      </w:pPr>
      <w:r>
        <w:rPr>
          <w:rFonts w:ascii="宋体" w:eastAsia="宋体" w:hAnsi="宋体" w:cs="宋体"/>
          <w:spacing w:val="-13"/>
          <w:sz w:val="22"/>
          <w:szCs w:val="22"/>
        </w:rPr>
        <w:t>推荐摄入量是个体适宜营养素摄入水平的参考值，是健康个体膳食摄入营养</w:t>
      </w:r>
      <w:r>
        <w:rPr>
          <w:rFonts w:ascii="宋体" w:eastAsia="宋体" w:hAnsi="宋体" w:cs="宋体"/>
          <w:spacing w:val="17"/>
          <w:sz w:val="22"/>
          <w:szCs w:val="22"/>
        </w:rPr>
        <w:t xml:space="preserve"> </w:t>
      </w:r>
      <w:r>
        <w:rPr>
          <w:rFonts w:ascii="宋体" w:eastAsia="宋体" w:hAnsi="宋体" w:cs="宋体"/>
          <w:spacing w:val="-9"/>
          <w:sz w:val="22"/>
          <w:szCs w:val="22"/>
        </w:rPr>
        <w:t>素的目标。</w:t>
      </w:r>
      <w:r>
        <w:rPr>
          <w:rFonts w:ascii="宋体" w:eastAsia="宋体" w:hAnsi="宋体" w:cs="宋体"/>
          <w:spacing w:val="-14"/>
          <w:sz w:val="22"/>
          <w:szCs w:val="22"/>
        </w:rPr>
        <w:t xml:space="preserve"> </w:t>
      </w:r>
      <w:r>
        <w:rPr>
          <w:rFonts w:ascii="宋体" w:eastAsia="宋体" w:hAnsi="宋体" w:cs="宋体"/>
          <w:spacing w:val="-9"/>
          <w:sz w:val="22"/>
          <w:szCs w:val="22"/>
        </w:rPr>
        <w:t>RNI</w:t>
      </w:r>
      <w:r>
        <w:rPr>
          <w:rFonts w:ascii="宋体" w:eastAsia="宋体" w:hAnsi="宋体" w:cs="宋体"/>
          <w:spacing w:val="-3"/>
          <w:sz w:val="22"/>
          <w:szCs w:val="22"/>
        </w:rPr>
        <w:t xml:space="preserve"> </w:t>
      </w:r>
      <w:r>
        <w:rPr>
          <w:rFonts w:ascii="宋体" w:eastAsia="宋体" w:hAnsi="宋体" w:cs="宋体"/>
          <w:spacing w:val="-9"/>
          <w:sz w:val="22"/>
          <w:szCs w:val="22"/>
        </w:rPr>
        <w:t>不是评价个体或群体膳食质量的标准，也不是为群体作膳食计</w:t>
      </w:r>
      <w:r>
        <w:rPr>
          <w:rFonts w:ascii="宋体" w:eastAsia="宋体" w:hAnsi="宋体" w:cs="宋体"/>
          <w:sz w:val="22"/>
          <w:szCs w:val="22"/>
        </w:rPr>
        <w:t xml:space="preserve"> </w:t>
      </w:r>
      <w:r>
        <w:rPr>
          <w:rFonts w:ascii="宋体" w:eastAsia="宋体" w:hAnsi="宋体" w:cs="宋体"/>
          <w:spacing w:val="-7"/>
          <w:sz w:val="22"/>
          <w:szCs w:val="22"/>
        </w:rPr>
        <w:t>划的根据。当某个体的营养素摄入量低于其RNI</w:t>
      </w:r>
      <w:r>
        <w:rPr>
          <w:rFonts w:ascii="宋体" w:eastAsia="宋体" w:hAnsi="宋体" w:cs="宋体"/>
          <w:spacing w:val="42"/>
          <w:sz w:val="22"/>
          <w:szCs w:val="22"/>
        </w:rPr>
        <w:t xml:space="preserve"> </w:t>
      </w:r>
      <w:r>
        <w:rPr>
          <w:rFonts w:ascii="宋体" w:eastAsia="宋体" w:hAnsi="宋体" w:cs="宋体"/>
          <w:spacing w:val="-7"/>
          <w:sz w:val="22"/>
          <w:szCs w:val="22"/>
        </w:rPr>
        <w:t>时，并不一定表明该个体未达</w:t>
      </w:r>
      <w:r>
        <w:rPr>
          <w:rFonts w:ascii="宋体" w:eastAsia="宋体" w:hAnsi="宋体" w:cs="宋体"/>
          <w:sz w:val="22"/>
          <w:szCs w:val="22"/>
        </w:rPr>
        <w:t xml:space="preserve"> </w:t>
      </w:r>
      <w:r>
        <w:rPr>
          <w:rFonts w:ascii="宋体" w:eastAsia="宋体" w:hAnsi="宋体" w:cs="宋体"/>
          <w:spacing w:val="-17"/>
          <w:sz w:val="22"/>
          <w:szCs w:val="22"/>
        </w:rPr>
        <w:t>到适宜营养状态。</w:t>
      </w:r>
    </w:p>
    <w:p w:rsidR="00EA40A3" w:rsidRDefault="00E86C16">
      <w:pPr>
        <w:spacing w:before="77" w:line="245" w:lineRule="auto"/>
        <w:ind w:right="80" w:firstLine="410"/>
        <w:jc w:val="both"/>
        <w:rPr>
          <w:rFonts w:ascii="宋体" w:eastAsia="宋体" w:hAnsi="宋体" w:cs="宋体"/>
          <w:sz w:val="22"/>
          <w:szCs w:val="22"/>
        </w:rPr>
      </w:pPr>
      <w:r>
        <w:rPr>
          <w:rFonts w:ascii="宋体" w:eastAsia="宋体" w:hAnsi="宋体" w:cs="宋体"/>
          <w:sz w:val="22"/>
          <w:szCs w:val="22"/>
        </w:rPr>
        <w:t>RNI</w:t>
      </w:r>
      <w:r>
        <w:rPr>
          <w:rFonts w:ascii="宋体" w:eastAsia="宋体" w:hAnsi="宋体" w:cs="宋体"/>
          <w:spacing w:val="2"/>
          <w:sz w:val="22"/>
          <w:szCs w:val="22"/>
        </w:rPr>
        <w:t xml:space="preserve"> </w:t>
      </w:r>
      <w:r>
        <w:rPr>
          <w:rFonts w:ascii="宋体" w:eastAsia="宋体" w:hAnsi="宋体" w:cs="宋体"/>
          <w:spacing w:val="1"/>
          <w:sz w:val="22"/>
          <w:szCs w:val="22"/>
        </w:rPr>
        <w:t>在评价个体营养素摄入量方面的作用有限。如某个体的摄入量低于</w:t>
      </w:r>
      <w:r>
        <w:rPr>
          <w:rFonts w:ascii="宋体" w:eastAsia="宋体" w:hAnsi="宋体" w:cs="宋体"/>
          <w:sz w:val="22"/>
          <w:szCs w:val="22"/>
        </w:rPr>
        <w:t xml:space="preserve"> </w:t>
      </w:r>
      <w:r>
        <w:rPr>
          <w:rFonts w:ascii="宋体" w:eastAsia="宋体" w:hAnsi="宋体" w:cs="宋体"/>
          <w:spacing w:val="-5"/>
          <w:sz w:val="22"/>
          <w:szCs w:val="22"/>
        </w:rPr>
        <w:t>RNI,</w:t>
      </w:r>
      <w:r>
        <w:rPr>
          <w:rFonts w:ascii="宋体" w:eastAsia="宋体" w:hAnsi="宋体" w:cs="宋体"/>
          <w:spacing w:val="37"/>
          <w:sz w:val="22"/>
          <w:szCs w:val="22"/>
        </w:rPr>
        <w:t xml:space="preserve"> </w:t>
      </w:r>
      <w:r>
        <w:rPr>
          <w:rFonts w:ascii="宋体" w:eastAsia="宋体" w:hAnsi="宋体" w:cs="宋体"/>
          <w:spacing w:val="-5"/>
          <w:sz w:val="22"/>
          <w:szCs w:val="22"/>
        </w:rPr>
        <w:t>可以认为有摄入不足的危险；如果某个体的平均摄入量达到或超过RNI,</w:t>
      </w:r>
      <w:r>
        <w:rPr>
          <w:rFonts w:ascii="宋体" w:eastAsia="宋体" w:hAnsi="宋体" w:cs="宋体"/>
          <w:sz w:val="22"/>
          <w:szCs w:val="22"/>
        </w:rPr>
        <w:t xml:space="preserve"> </w:t>
      </w:r>
      <w:r>
        <w:rPr>
          <w:rFonts w:ascii="宋体" w:eastAsia="宋体" w:hAnsi="宋体" w:cs="宋体"/>
          <w:spacing w:val="-13"/>
          <w:sz w:val="22"/>
          <w:szCs w:val="22"/>
        </w:rPr>
        <w:t>可以认为该个体没有摄入不足的危险。膳食摄入量或其他任何单一指标都不能作</w:t>
      </w:r>
      <w:r>
        <w:rPr>
          <w:rFonts w:ascii="宋体" w:eastAsia="宋体" w:hAnsi="宋体" w:cs="宋体"/>
          <w:spacing w:val="17"/>
          <w:sz w:val="22"/>
          <w:szCs w:val="22"/>
        </w:rPr>
        <w:t xml:space="preserve"> </w:t>
      </w:r>
      <w:r>
        <w:rPr>
          <w:rFonts w:ascii="宋体" w:eastAsia="宋体" w:hAnsi="宋体" w:cs="宋体"/>
          <w:spacing w:val="-6"/>
          <w:sz w:val="22"/>
          <w:szCs w:val="22"/>
        </w:rPr>
        <w:t>为评价个体营养状况的根据。摄入量经常低于RNI</w:t>
      </w:r>
      <w:r>
        <w:rPr>
          <w:rFonts w:ascii="宋体" w:eastAsia="宋体" w:hAnsi="宋体" w:cs="宋体"/>
          <w:spacing w:val="8"/>
          <w:sz w:val="22"/>
          <w:szCs w:val="22"/>
        </w:rPr>
        <w:t xml:space="preserve"> </w:t>
      </w:r>
      <w:r>
        <w:rPr>
          <w:rFonts w:ascii="宋体" w:eastAsia="宋体" w:hAnsi="宋体" w:cs="宋体"/>
          <w:spacing w:val="-6"/>
          <w:sz w:val="22"/>
          <w:szCs w:val="22"/>
        </w:rPr>
        <w:t>可能提示需要进一步用生化</w:t>
      </w:r>
      <w:r>
        <w:rPr>
          <w:rFonts w:ascii="宋体" w:eastAsia="宋体" w:hAnsi="宋体" w:cs="宋体"/>
          <w:sz w:val="22"/>
          <w:szCs w:val="22"/>
        </w:rPr>
        <w:t xml:space="preserve"> </w:t>
      </w:r>
      <w:r>
        <w:rPr>
          <w:rFonts w:ascii="宋体" w:eastAsia="宋体" w:hAnsi="宋体" w:cs="宋体"/>
          <w:spacing w:val="-15"/>
          <w:sz w:val="22"/>
          <w:szCs w:val="22"/>
        </w:rPr>
        <w:t>试验或临床检查来评价其营养状况。</w:t>
      </w:r>
    </w:p>
    <w:p w:rsidR="00EA40A3" w:rsidRDefault="00E86C16">
      <w:pPr>
        <w:spacing w:before="72" w:line="232" w:lineRule="auto"/>
        <w:ind w:right="97" w:firstLine="410"/>
        <w:jc w:val="both"/>
        <w:rPr>
          <w:rFonts w:ascii="宋体" w:eastAsia="宋体" w:hAnsi="宋体" w:cs="宋体"/>
          <w:sz w:val="22"/>
          <w:szCs w:val="22"/>
        </w:rPr>
      </w:pPr>
      <w:r>
        <w:rPr>
          <w:rFonts w:ascii="宋体" w:eastAsia="宋体" w:hAnsi="宋体" w:cs="宋体"/>
          <w:spacing w:val="-12"/>
          <w:sz w:val="22"/>
          <w:szCs w:val="22"/>
        </w:rPr>
        <w:t>应当指出，对个别身高、体重超过此参考范围较</w:t>
      </w:r>
      <w:r>
        <w:rPr>
          <w:rFonts w:ascii="宋体" w:eastAsia="宋体" w:hAnsi="宋体" w:cs="宋体"/>
          <w:spacing w:val="-13"/>
          <w:sz w:val="22"/>
          <w:szCs w:val="22"/>
        </w:rPr>
        <w:t>多的个体，可能需按每千克</w:t>
      </w:r>
      <w:r>
        <w:rPr>
          <w:rFonts w:ascii="宋体" w:eastAsia="宋体" w:hAnsi="宋体" w:cs="宋体"/>
          <w:sz w:val="22"/>
          <w:szCs w:val="22"/>
        </w:rPr>
        <w:t xml:space="preserve"> </w:t>
      </w:r>
      <w:r>
        <w:rPr>
          <w:rFonts w:ascii="宋体" w:eastAsia="宋体" w:hAnsi="宋体" w:cs="宋体"/>
          <w:spacing w:val="-9"/>
          <w:sz w:val="22"/>
          <w:szCs w:val="22"/>
        </w:rPr>
        <w:t>体重的需要量调整其RNI。</w:t>
      </w:r>
    </w:p>
    <w:p w:rsidR="00EA40A3" w:rsidRDefault="00E86C16">
      <w:pPr>
        <w:spacing w:before="196" w:line="223" w:lineRule="auto"/>
        <w:rPr>
          <w:rFonts w:ascii="仿宋" w:eastAsia="仿宋" w:hAnsi="仿宋" w:cs="仿宋"/>
          <w:sz w:val="22"/>
          <w:szCs w:val="22"/>
        </w:rPr>
      </w:pPr>
      <w:r>
        <w:rPr>
          <w:rFonts w:ascii="仿宋" w:eastAsia="仿宋" w:hAnsi="仿宋" w:cs="仿宋"/>
          <w:spacing w:val="11"/>
          <w:sz w:val="22"/>
          <w:szCs w:val="22"/>
        </w:rPr>
        <w:t>3.</w:t>
      </w:r>
      <w:r>
        <w:rPr>
          <w:rFonts w:ascii="仿宋" w:eastAsia="仿宋" w:hAnsi="仿宋" w:cs="仿宋"/>
          <w:spacing w:val="-48"/>
          <w:sz w:val="22"/>
          <w:szCs w:val="22"/>
        </w:rPr>
        <w:t xml:space="preserve"> </w:t>
      </w:r>
      <w:r>
        <w:rPr>
          <w:rFonts w:ascii="仿宋" w:eastAsia="仿宋" w:hAnsi="仿宋" w:cs="仿宋"/>
          <w:spacing w:val="11"/>
          <w:sz w:val="22"/>
          <w:szCs w:val="22"/>
        </w:rPr>
        <w:t>适宜摄入量</w:t>
      </w:r>
    </w:p>
    <w:p w:rsidR="00EA40A3" w:rsidRDefault="00E86C16">
      <w:pPr>
        <w:spacing w:before="204" w:line="244" w:lineRule="auto"/>
        <w:ind w:firstLine="410"/>
        <w:jc w:val="both"/>
        <w:rPr>
          <w:rFonts w:ascii="宋体" w:eastAsia="宋体" w:hAnsi="宋体" w:cs="宋体"/>
          <w:sz w:val="22"/>
          <w:szCs w:val="22"/>
        </w:rPr>
      </w:pPr>
      <w:r>
        <w:rPr>
          <w:rFonts w:ascii="宋体" w:eastAsia="宋体" w:hAnsi="宋体" w:cs="宋体"/>
          <w:spacing w:val="-12"/>
          <w:sz w:val="22"/>
          <w:szCs w:val="22"/>
        </w:rPr>
        <w:t>适宜摄入量是根据某一人群或亚人群能够维持一定营养状态的平均营养素摄</w:t>
      </w:r>
      <w:r>
        <w:rPr>
          <w:rFonts w:ascii="宋体" w:eastAsia="宋体" w:hAnsi="宋体" w:cs="宋体"/>
          <w:spacing w:val="3"/>
          <w:sz w:val="22"/>
          <w:szCs w:val="22"/>
        </w:rPr>
        <w:t xml:space="preserve"> </w:t>
      </w:r>
      <w:r>
        <w:rPr>
          <w:rFonts w:ascii="宋体" w:eastAsia="宋体" w:hAnsi="宋体" w:cs="宋体"/>
          <w:spacing w:val="-17"/>
          <w:sz w:val="22"/>
          <w:szCs w:val="22"/>
        </w:rPr>
        <w:t>入量，是通过对群体而不是个体的观察或实验研究得到的数据。</w:t>
      </w:r>
      <w:r>
        <w:rPr>
          <w:rFonts w:ascii="宋体" w:eastAsia="宋体" w:hAnsi="宋体" w:cs="宋体"/>
          <w:spacing w:val="-2"/>
          <w:sz w:val="22"/>
          <w:szCs w:val="22"/>
        </w:rPr>
        <w:t xml:space="preserve"> </w:t>
      </w:r>
      <w:r>
        <w:rPr>
          <w:rFonts w:ascii="宋体" w:eastAsia="宋体" w:hAnsi="宋体" w:cs="宋体"/>
          <w:spacing w:val="-17"/>
          <w:sz w:val="22"/>
          <w:szCs w:val="22"/>
        </w:rPr>
        <w:t>AI</w:t>
      </w:r>
      <w:r>
        <w:rPr>
          <w:rFonts w:ascii="宋体" w:eastAsia="宋体" w:hAnsi="宋体" w:cs="宋体"/>
          <w:spacing w:val="-49"/>
          <w:sz w:val="22"/>
          <w:szCs w:val="22"/>
        </w:rPr>
        <w:t xml:space="preserve"> </w:t>
      </w:r>
      <w:r>
        <w:rPr>
          <w:rFonts w:ascii="宋体" w:eastAsia="宋体" w:hAnsi="宋体" w:cs="宋体"/>
          <w:spacing w:val="-17"/>
          <w:sz w:val="22"/>
          <w:szCs w:val="22"/>
        </w:rPr>
        <w:t>主要用于个体</w:t>
      </w:r>
      <w:r>
        <w:rPr>
          <w:rFonts w:ascii="宋体" w:eastAsia="宋体" w:hAnsi="宋体" w:cs="宋体"/>
          <w:sz w:val="22"/>
          <w:szCs w:val="22"/>
        </w:rPr>
        <w:t xml:space="preserve">  </w:t>
      </w:r>
      <w:r>
        <w:rPr>
          <w:rFonts w:ascii="宋体" w:eastAsia="宋体" w:hAnsi="宋体" w:cs="宋体"/>
          <w:spacing w:val="-11"/>
          <w:sz w:val="22"/>
          <w:szCs w:val="22"/>
        </w:rPr>
        <w:t>的营养素摄入目标，也用于限制过多摄入的标准。当健康个体摄入量达到AI</w:t>
      </w:r>
      <w:r>
        <w:rPr>
          <w:rFonts w:ascii="宋体" w:eastAsia="宋体" w:hAnsi="宋体" w:cs="宋体"/>
          <w:spacing w:val="-56"/>
          <w:sz w:val="22"/>
          <w:szCs w:val="22"/>
        </w:rPr>
        <w:t xml:space="preserve"> </w:t>
      </w:r>
      <w:r>
        <w:rPr>
          <w:rFonts w:ascii="宋体" w:eastAsia="宋体" w:hAnsi="宋体" w:cs="宋体"/>
          <w:spacing w:val="-11"/>
          <w:sz w:val="22"/>
          <w:szCs w:val="22"/>
        </w:rPr>
        <w:t>时，</w:t>
      </w:r>
      <w:r>
        <w:rPr>
          <w:rFonts w:ascii="宋体" w:eastAsia="宋体" w:hAnsi="宋体" w:cs="宋体"/>
          <w:sz w:val="22"/>
          <w:szCs w:val="22"/>
        </w:rPr>
        <w:t xml:space="preserve"> </w:t>
      </w:r>
      <w:r>
        <w:rPr>
          <w:rFonts w:ascii="宋体" w:eastAsia="宋体" w:hAnsi="宋体" w:cs="宋体"/>
          <w:spacing w:val="-15"/>
          <w:sz w:val="22"/>
          <w:szCs w:val="22"/>
        </w:rPr>
        <w:t>出现营养缺乏的危险性很小。如长期摄入超过AI值，则有可能产生不良反应。</w:t>
      </w:r>
    </w:p>
    <w:p w:rsidR="00EA40A3" w:rsidRDefault="00E86C16">
      <w:pPr>
        <w:spacing w:before="113"/>
        <w:ind w:right="13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4"/>
          <w:sz w:val="17"/>
          <w:szCs w:val="17"/>
        </w:rPr>
        <w:t xml:space="preserve"> </w:t>
      </w:r>
      <w:r>
        <w:rPr>
          <w:rFonts w:ascii="宋体" w:eastAsia="宋体" w:hAnsi="宋体" w:cs="宋体"/>
          <w:spacing w:val="-23"/>
          <w:sz w:val="17"/>
          <w:szCs w:val="17"/>
        </w:rPr>
        <w:t>403</w:t>
      </w:r>
      <w:r>
        <w:rPr>
          <w:rFonts w:ascii="宋体" w:eastAsia="宋体" w:hAnsi="宋体" w:cs="宋体"/>
          <w:spacing w:val="47"/>
          <w:w w:val="101"/>
          <w:sz w:val="17"/>
          <w:szCs w:val="17"/>
        </w:rPr>
        <w:t xml:space="preserve"> </w:t>
      </w:r>
      <w:r>
        <w:rPr>
          <w:rFonts w:ascii="宋体" w:eastAsia="宋体" w:hAnsi="宋体" w:cs="宋体"/>
          <w:spacing w:val="-23"/>
          <w:sz w:val="17"/>
          <w:szCs w:val="17"/>
        </w:rPr>
        <w:t>·</w:t>
      </w:r>
    </w:p>
    <w:p w:rsidR="00EA40A3" w:rsidRDefault="00EA40A3">
      <w:pPr>
        <w:sectPr w:rsidR="00EA40A3">
          <w:footerReference w:type="default" r:id="rId330"/>
          <w:pgSz w:w="9220" w:h="13360"/>
          <w:pgMar w:top="400" w:right="930" w:bottom="400" w:left="930" w:header="0" w:footer="0" w:gutter="0"/>
          <w:cols w:space="720"/>
        </w:sectPr>
      </w:pPr>
    </w:p>
    <w:p w:rsidR="00EA40A3" w:rsidRDefault="00EA40A3">
      <w:pPr>
        <w:spacing w:line="246" w:lineRule="auto"/>
      </w:pPr>
    </w:p>
    <w:p w:rsidR="00EA40A3" w:rsidRDefault="00EA40A3">
      <w:pPr>
        <w:spacing w:line="246" w:lineRule="auto"/>
      </w:pPr>
    </w:p>
    <w:p w:rsidR="00EA40A3" w:rsidRDefault="00EA40A3">
      <w:pPr>
        <w:spacing w:line="246" w:lineRule="auto"/>
      </w:pPr>
    </w:p>
    <w:p w:rsidR="00EA40A3" w:rsidRDefault="00E86C16">
      <w:pPr>
        <w:spacing w:before="75" w:line="222" w:lineRule="auto"/>
        <w:rPr>
          <w:rFonts w:ascii="仿宋" w:eastAsia="仿宋" w:hAnsi="仿宋" w:cs="仿宋"/>
          <w:sz w:val="23"/>
          <w:szCs w:val="23"/>
        </w:rPr>
      </w:pPr>
      <w:bookmarkStart w:id="99" w:name="_bookmark103"/>
      <w:bookmarkEnd w:id="99"/>
      <w:r>
        <w:rPr>
          <w:rFonts w:ascii="仿宋" w:eastAsia="仿宋" w:hAnsi="仿宋" w:cs="仿宋"/>
          <w:spacing w:val="6"/>
          <w:sz w:val="23"/>
          <w:szCs w:val="23"/>
        </w:rPr>
        <w:t>4.</w:t>
      </w:r>
      <w:r>
        <w:rPr>
          <w:rFonts w:ascii="仿宋" w:eastAsia="仿宋" w:hAnsi="仿宋" w:cs="仿宋"/>
          <w:spacing w:val="-56"/>
          <w:sz w:val="23"/>
          <w:szCs w:val="23"/>
        </w:rPr>
        <w:t xml:space="preserve"> </w:t>
      </w:r>
      <w:r>
        <w:rPr>
          <w:rFonts w:ascii="仿宋" w:eastAsia="仿宋" w:hAnsi="仿宋" w:cs="仿宋"/>
          <w:spacing w:val="6"/>
          <w:sz w:val="23"/>
          <w:szCs w:val="23"/>
        </w:rPr>
        <w:t>可耐受最高摄入量</w:t>
      </w:r>
    </w:p>
    <w:p w:rsidR="00EA40A3" w:rsidRDefault="00E86C16">
      <w:pPr>
        <w:spacing w:before="165" w:line="238" w:lineRule="auto"/>
        <w:ind w:right="8" w:firstLine="459"/>
        <w:jc w:val="both"/>
        <w:rPr>
          <w:rFonts w:ascii="宋体" w:eastAsia="宋体" w:hAnsi="宋体" w:cs="宋体"/>
          <w:sz w:val="23"/>
          <w:szCs w:val="23"/>
        </w:rPr>
      </w:pPr>
      <w:r>
        <w:rPr>
          <w:rFonts w:ascii="宋体" w:eastAsia="宋体" w:hAnsi="宋体" w:cs="宋体"/>
          <w:spacing w:val="-23"/>
          <w:sz w:val="23"/>
          <w:szCs w:val="23"/>
        </w:rPr>
        <w:t>可耐受最高摄入量是营养素或食物成分的每日摄入量的安全上限，是一个健</w:t>
      </w:r>
      <w:r>
        <w:rPr>
          <w:rFonts w:ascii="宋体" w:eastAsia="宋体" w:hAnsi="宋体" w:cs="宋体"/>
          <w:spacing w:val="16"/>
          <w:sz w:val="23"/>
          <w:szCs w:val="23"/>
        </w:rPr>
        <w:t xml:space="preserve"> </w:t>
      </w:r>
      <w:r>
        <w:rPr>
          <w:rFonts w:ascii="宋体" w:eastAsia="宋体" w:hAnsi="宋体" w:cs="宋体"/>
          <w:spacing w:val="-21"/>
          <w:w w:val="99"/>
          <w:sz w:val="23"/>
          <w:szCs w:val="23"/>
        </w:rPr>
        <w:t>康人群中几乎所有个体都不会产生不良反应的最高摄入水平。</w:t>
      </w:r>
      <w:r>
        <w:rPr>
          <w:rFonts w:ascii="宋体" w:eastAsia="宋体" w:hAnsi="宋体" w:cs="宋体"/>
          <w:spacing w:val="-6"/>
          <w:sz w:val="23"/>
          <w:szCs w:val="23"/>
        </w:rPr>
        <w:t xml:space="preserve"> </w:t>
      </w:r>
      <w:r>
        <w:rPr>
          <w:rFonts w:ascii="宋体" w:eastAsia="宋体" w:hAnsi="宋体" w:cs="宋体"/>
          <w:spacing w:val="-21"/>
          <w:w w:val="99"/>
          <w:sz w:val="23"/>
          <w:szCs w:val="23"/>
        </w:rPr>
        <w:t>UL</w:t>
      </w:r>
      <w:r>
        <w:rPr>
          <w:rFonts w:ascii="宋体" w:eastAsia="宋体" w:hAnsi="宋体" w:cs="宋体"/>
          <w:spacing w:val="19"/>
          <w:sz w:val="23"/>
          <w:szCs w:val="23"/>
        </w:rPr>
        <w:t xml:space="preserve"> </w:t>
      </w:r>
      <w:r>
        <w:rPr>
          <w:rFonts w:ascii="宋体" w:eastAsia="宋体" w:hAnsi="宋体" w:cs="宋体"/>
          <w:spacing w:val="-21"/>
          <w:w w:val="99"/>
          <w:sz w:val="23"/>
          <w:szCs w:val="23"/>
        </w:rPr>
        <w:t>主要用于检查</w:t>
      </w:r>
      <w:r>
        <w:rPr>
          <w:rFonts w:ascii="宋体" w:eastAsia="宋体" w:hAnsi="宋体" w:cs="宋体"/>
          <w:sz w:val="23"/>
          <w:szCs w:val="23"/>
        </w:rPr>
        <w:t xml:space="preserve"> </w:t>
      </w:r>
      <w:r>
        <w:rPr>
          <w:rFonts w:ascii="宋体" w:eastAsia="宋体" w:hAnsi="宋体" w:cs="宋体"/>
          <w:spacing w:val="-14"/>
          <w:sz w:val="23"/>
          <w:szCs w:val="23"/>
        </w:rPr>
        <w:t>个体摄入量是否过高，避免发生中毒。当摄入量低于UL</w:t>
      </w:r>
      <w:r>
        <w:rPr>
          <w:rFonts w:ascii="宋体" w:eastAsia="宋体" w:hAnsi="宋体" w:cs="宋体"/>
          <w:spacing w:val="18"/>
          <w:sz w:val="23"/>
          <w:szCs w:val="23"/>
        </w:rPr>
        <w:t xml:space="preserve"> </w:t>
      </w:r>
      <w:r>
        <w:rPr>
          <w:rFonts w:ascii="宋体" w:eastAsia="宋体" w:hAnsi="宋体" w:cs="宋体"/>
          <w:spacing w:val="-14"/>
          <w:sz w:val="23"/>
          <w:szCs w:val="23"/>
        </w:rPr>
        <w:t>时，不会产生不良</w:t>
      </w:r>
      <w:r>
        <w:rPr>
          <w:rFonts w:ascii="宋体" w:eastAsia="宋体" w:hAnsi="宋体" w:cs="宋体"/>
          <w:spacing w:val="-15"/>
          <w:sz w:val="23"/>
          <w:szCs w:val="23"/>
        </w:rPr>
        <w:t>反</w:t>
      </w:r>
      <w:r>
        <w:rPr>
          <w:rFonts w:ascii="宋体" w:eastAsia="宋体" w:hAnsi="宋体" w:cs="宋体"/>
          <w:sz w:val="23"/>
          <w:szCs w:val="23"/>
        </w:rPr>
        <w:t xml:space="preserve"> </w:t>
      </w:r>
      <w:r>
        <w:rPr>
          <w:rFonts w:ascii="宋体" w:eastAsia="宋体" w:hAnsi="宋体" w:cs="宋体"/>
          <w:spacing w:val="-20"/>
          <w:sz w:val="23"/>
          <w:szCs w:val="23"/>
        </w:rPr>
        <w:t>应，当摄入量超过UL</w:t>
      </w:r>
      <w:r>
        <w:rPr>
          <w:rFonts w:ascii="宋体" w:eastAsia="宋体" w:hAnsi="宋体" w:cs="宋体"/>
          <w:spacing w:val="8"/>
          <w:sz w:val="23"/>
          <w:szCs w:val="23"/>
        </w:rPr>
        <w:t xml:space="preserve"> </w:t>
      </w:r>
      <w:r>
        <w:rPr>
          <w:rFonts w:ascii="宋体" w:eastAsia="宋体" w:hAnsi="宋体" w:cs="宋体"/>
          <w:spacing w:val="-20"/>
          <w:sz w:val="23"/>
          <w:szCs w:val="23"/>
        </w:rPr>
        <w:t>时，发生不良反应的危险性增加。</w:t>
      </w:r>
      <w:r>
        <w:rPr>
          <w:rFonts w:ascii="宋体" w:eastAsia="宋体" w:hAnsi="宋体" w:cs="宋体"/>
          <w:spacing w:val="-5"/>
          <w:sz w:val="23"/>
          <w:szCs w:val="23"/>
        </w:rPr>
        <w:t xml:space="preserve"> </w:t>
      </w:r>
      <w:r>
        <w:rPr>
          <w:rFonts w:ascii="宋体" w:eastAsia="宋体" w:hAnsi="宋体" w:cs="宋体"/>
          <w:spacing w:val="-20"/>
          <w:sz w:val="23"/>
          <w:szCs w:val="23"/>
        </w:rPr>
        <w:t>UL</w:t>
      </w:r>
      <w:r>
        <w:rPr>
          <w:rFonts w:ascii="宋体" w:eastAsia="宋体" w:hAnsi="宋体" w:cs="宋体"/>
          <w:spacing w:val="29"/>
          <w:sz w:val="23"/>
          <w:szCs w:val="23"/>
        </w:rPr>
        <w:t xml:space="preserve"> </w:t>
      </w:r>
      <w:r>
        <w:rPr>
          <w:rFonts w:ascii="宋体" w:eastAsia="宋体" w:hAnsi="宋体" w:cs="宋体"/>
          <w:spacing w:val="-20"/>
          <w:sz w:val="23"/>
          <w:szCs w:val="23"/>
        </w:rPr>
        <w:t>对健康人群中最敏</w:t>
      </w:r>
      <w:r>
        <w:rPr>
          <w:rFonts w:ascii="宋体" w:eastAsia="宋体" w:hAnsi="宋体" w:cs="宋体"/>
          <w:sz w:val="23"/>
          <w:szCs w:val="23"/>
        </w:rPr>
        <w:t xml:space="preserve"> </w:t>
      </w:r>
      <w:r>
        <w:rPr>
          <w:rFonts w:ascii="宋体" w:eastAsia="宋体" w:hAnsi="宋体" w:cs="宋体"/>
          <w:spacing w:val="-19"/>
          <w:sz w:val="23"/>
          <w:szCs w:val="23"/>
        </w:rPr>
        <w:t>感的成员似乎也不至于造成危险，所以不能用UL</w:t>
      </w:r>
      <w:r>
        <w:rPr>
          <w:rFonts w:ascii="宋体" w:eastAsia="宋体" w:hAnsi="宋体" w:cs="宋体"/>
          <w:spacing w:val="8"/>
          <w:sz w:val="23"/>
          <w:szCs w:val="23"/>
        </w:rPr>
        <w:t xml:space="preserve"> </w:t>
      </w:r>
      <w:r>
        <w:rPr>
          <w:rFonts w:ascii="宋体" w:eastAsia="宋体" w:hAnsi="宋体" w:cs="宋体"/>
          <w:spacing w:val="-19"/>
          <w:sz w:val="23"/>
          <w:szCs w:val="23"/>
        </w:rPr>
        <w:t>评估人</w:t>
      </w:r>
      <w:r>
        <w:rPr>
          <w:rFonts w:ascii="宋体" w:eastAsia="宋体" w:hAnsi="宋体" w:cs="宋体"/>
          <w:spacing w:val="-20"/>
          <w:sz w:val="23"/>
          <w:szCs w:val="23"/>
        </w:rPr>
        <w:t>群发生不良反应的危险</w:t>
      </w:r>
      <w:r>
        <w:rPr>
          <w:rFonts w:ascii="宋体" w:eastAsia="宋体" w:hAnsi="宋体" w:cs="宋体"/>
          <w:sz w:val="23"/>
          <w:szCs w:val="23"/>
        </w:rPr>
        <w:t xml:space="preserve"> </w:t>
      </w:r>
      <w:r>
        <w:rPr>
          <w:rFonts w:ascii="宋体" w:eastAsia="宋体" w:hAnsi="宋体" w:cs="宋体"/>
          <w:spacing w:val="-20"/>
          <w:sz w:val="23"/>
          <w:szCs w:val="23"/>
        </w:rPr>
        <w:t>性。由于人们食用营养素类强化食品和膳食补充剂日益增多，有必要引入UL</w:t>
      </w:r>
      <w:r>
        <w:rPr>
          <w:rFonts w:ascii="宋体" w:eastAsia="宋体" w:hAnsi="宋体" w:cs="宋体"/>
          <w:spacing w:val="37"/>
          <w:sz w:val="23"/>
          <w:szCs w:val="23"/>
        </w:rPr>
        <w:t xml:space="preserve"> </w:t>
      </w:r>
      <w:r>
        <w:rPr>
          <w:rFonts w:ascii="宋体" w:eastAsia="宋体" w:hAnsi="宋体" w:cs="宋体"/>
          <w:spacing w:val="-20"/>
          <w:sz w:val="23"/>
          <w:szCs w:val="23"/>
        </w:rPr>
        <w:t>指</w:t>
      </w:r>
      <w:r>
        <w:rPr>
          <w:rFonts w:ascii="宋体" w:eastAsia="宋体" w:hAnsi="宋体" w:cs="宋体"/>
          <w:sz w:val="23"/>
          <w:szCs w:val="23"/>
        </w:rPr>
        <w:t xml:space="preserve"> </w:t>
      </w:r>
      <w:r>
        <w:rPr>
          <w:rFonts w:ascii="宋体" w:eastAsia="宋体" w:hAnsi="宋体" w:cs="宋体"/>
          <w:spacing w:val="-22"/>
          <w:sz w:val="23"/>
          <w:szCs w:val="23"/>
        </w:rPr>
        <w:t>导安全消费，在大多数情况下，</w:t>
      </w:r>
      <w:r>
        <w:rPr>
          <w:rFonts w:ascii="宋体" w:eastAsia="宋体" w:hAnsi="宋体" w:cs="宋体"/>
          <w:spacing w:val="-6"/>
          <w:sz w:val="23"/>
          <w:szCs w:val="23"/>
        </w:rPr>
        <w:t xml:space="preserve"> </w:t>
      </w:r>
      <w:r>
        <w:rPr>
          <w:rFonts w:ascii="宋体" w:eastAsia="宋体" w:hAnsi="宋体" w:cs="宋体"/>
          <w:spacing w:val="-22"/>
          <w:sz w:val="23"/>
          <w:szCs w:val="23"/>
        </w:rPr>
        <w:t>UL</w:t>
      </w:r>
      <w:r>
        <w:rPr>
          <w:rFonts w:ascii="宋体" w:eastAsia="宋体" w:hAnsi="宋体" w:cs="宋体"/>
          <w:spacing w:val="9"/>
          <w:sz w:val="23"/>
          <w:szCs w:val="23"/>
        </w:rPr>
        <w:t xml:space="preserve"> </w:t>
      </w:r>
      <w:r>
        <w:rPr>
          <w:rFonts w:ascii="宋体" w:eastAsia="宋体" w:hAnsi="宋体" w:cs="宋体"/>
          <w:spacing w:val="-22"/>
          <w:sz w:val="23"/>
          <w:szCs w:val="23"/>
        </w:rPr>
        <w:t>包括膳食、强化食品和添</w:t>
      </w:r>
      <w:r>
        <w:rPr>
          <w:rFonts w:ascii="宋体" w:eastAsia="宋体" w:hAnsi="宋体" w:cs="宋体"/>
          <w:spacing w:val="-23"/>
          <w:sz w:val="23"/>
          <w:szCs w:val="23"/>
        </w:rPr>
        <w:t>加剂等各种来源的</w:t>
      </w:r>
      <w:r>
        <w:rPr>
          <w:rFonts w:ascii="宋体" w:eastAsia="宋体" w:hAnsi="宋体" w:cs="宋体"/>
          <w:sz w:val="23"/>
          <w:szCs w:val="23"/>
        </w:rPr>
        <w:t xml:space="preserve"> </w:t>
      </w:r>
      <w:r>
        <w:rPr>
          <w:rFonts w:ascii="宋体" w:eastAsia="宋体" w:hAnsi="宋体" w:cs="宋体"/>
          <w:spacing w:val="-22"/>
          <w:sz w:val="23"/>
          <w:szCs w:val="23"/>
        </w:rPr>
        <w:t>营养素之和。</w:t>
      </w:r>
    </w:p>
    <w:p w:rsidR="00EA40A3" w:rsidRDefault="00EA40A3">
      <w:pPr>
        <w:spacing w:line="287" w:lineRule="auto"/>
      </w:pPr>
    </w:p>
    <w:p w:rsidR="00EA40A3" w:rsidRDefault="00E86C16">
      <w:pPr>
        <w:spacing w:before="91" w:line="220" w:lineRule="auto"/>
        <w:ind w:left="2060"/>
        <w:rPr>
          <w:rFonts w:ascii="宋体" w:eastAsia="宋体" w:hAnsi="宋体" w:cs="宋体"/>
          <w:sz w:val="28"/>
          <w:szCs w:val="28"/>
        </w:rPr>
      </w:pPr>
      <w:r>
        <w:rPr>
          <w:rFonts w:ascii="宋体" w:eastAsia="宋体" w:hAnsi="宋体" w:cs="宋体"/>
          <w:spacing w:val="-4"/>
          <w:sz w:val="28"/>
          <w:szCs w:val="28"/>
        </w:rPr>
        <w:t>12.4</w:t>
      </w:r>
      <w:r>
        <w:rPr>
          <w:rFonts w:ascii="宋体" w:eastAsia="宋体" w:hAnsi="宋体" w:cs="宋体"/>
          <w:spacing w:val="5"/>
          <w:sz w:val="28"/>
          <w:szCs w:val="28"/>
        </w:rPr>
        <w:t xml:space="preserve">  </w:t>
      </w:r>
      <w:r>
        <w:rPr>
          <w:rFonts w:ascii="宋体" w:eastAsia="宋体" w:hAnsi="宋体" w:cs="宋体"/>
          <w:spacing w:val="-4"/>
          <w:sz w:val="28"/>
          <w:szCs w:val="28"/>
        </w:rPr>
        <w:t>膳食结构与膳食指南</w:t>
      </w:r>
    </w:p>
    <w:p w:rsidR="00EA40A3" w:rsidRDefault="00E86C16">
      <w:pPr>
        <w:spacing w:before="140" w:line="222" w:lineRule="auto"/>
        <w:ind w:left="3"/>
        <w:outlineLvl w:val="6"/>
        <w:rPr>
          <w:rFonts w:ascii="黑体" w:eastAsia="黑体" w:hAnsi="黑体" w:cs="黑体"/>
          <w:sz w:val="23"/>
          <w:szCs w:val="23"/>
        </w:rPr>
      </w:pPr>
      <w:r>
        <w:rPr>
          <w:rFonts w:ascii="黑体" w:eastAsia="黑体" w:hAnsi="黑体" w:cs="黑体"/>
          <w:b/>
          <w:bCs/>
          <w:spacing w:val="-1"/>
          <w:sz w:val="23"/>
          <w:szCs w:val="23"/>
        </w:rPr>
        <w:t>12.4.1</w:t>
      </w:r>
      <w:r>
        <w:rPr>
          <w:rFonts w:ascii="黑体" w:eastAsia="黑体" w:hAnsi="黑体" w:cs="黑体"/>
          <w:spacing w:val="5"/>
          <w:sz w:val="23"/>
          <w:szCs w:val="23"/>
        </w:rPr>
        <w:t xml:space="preserve">  </w:t>
      </w:r>
      <w:r>
        <w:rPr>
          <w:rFonts w:ascii="黑体" w:eastAsia="黑体" w:hAnsi="黑体" w:cs="黑体"/>
          <w:b/>
          <w:bCs/>
          <w:spacing w:val="-1"/>
          <w:sz w:val="23"/>
          <w:szCs w:val="23"/>
        </w:rPr>
        <w:t>膳食结构</w:t>
      </w:r>
    </w:p>
    <w:p w:rsidR="00EA40A3" w:rsidRDefault="00E86C16">
      <w:pPr>
        <w:spacing w:before="255" w:line="222" w:lineRule="auto"/>
        <w:rPr>
          <w:rFonts w:ascii="仿宋" w:eastAsia="仿宋" w:hAnsi="仿宋" w:cs="仿宋"/>
          <w:sz w:val="23"/>
          <w:szCs w:val="23"/>
        </w:rPr>
      </w:pPr>
      <w:r>
        <w:rPr>
          <w:rFonts w:ascii="仿宋" w:eastAsia="仿宋" w:hAnsi="仿宋" w:cs="仿宋"/>
          <w:spacing w:val="4"/>
          <w:sz w:val="23"/>
          <w:szCs w:val="23"/>
        </w:rPr>
        <w:t>1.</w:t>
      </w:r>
      <w:r>
        <w:rPr>
          <w:rFonts w:ascii="仿宋" w:eastAsia="仿宋" w:hAnsi="仿宋" w:cs="仿宋"/>
          <w:spacing w:val="-40"/>
          <w:sz w:val="23"/>
          <w:szCs w:val="23"/>
        </w:rPr>
        <w:t xml:space="preserve"> </w:t>
      </w:r>
      <w:r>
        <w:rPr>
          <w:rFonts w:ascii="仿宋" w:eastAsia="仿宋" w:hAnsi="仿宋" w:cs="仿宋"/>
          <w:spacing w:val="4"/>
          <w:sz w:val="23"/>
          <w:szCs w:val="23"/>
        </w:rPr>
        <w:t>膳食结构的概念及类型</w:t>
      </w:r>
    </w:p>
    <w:p w:rsidR="00EA40A3" w:rsidRDefault="00E86C16">
      <w:pPr>
        <w:spacing w:before="178" w:line="237" w:lineRule="auto"/>
        <w:ind w:firstLine="459"/>
        <w:rPr>
          <w:rFonts w:ascii="宋体" w:eastAsia="宋体" w:hAnsi="宋体" w:cs="宋体"/>
          <w:sz w:val="23"/>
          <w:szCs w:val="23"/>
        </w:rPr>
      </w:pPr>
      <w:r>
        <w:rPr>
          <w:rFonts w:ascii="宋体" w:eastAsia="宋体" w:hAnsi="宋体" w:cs="宋体"/>
          <w:spacing w:val="-17"/>
          <w:sz w:val="23"/>
          <w:szCs w:val="23"/>
        </w:rPr>
        <w:t>膳食结构</w:t>
      </w:r>
      <w:r>
        <w:rPr>
          <w:rFonts w:ascii="宋体" w:eastAsia="宋体" w:hAnsi="宋体" w:cs="宋体"/>
          <w:spacing w:val="-20"/>
          <w:sz w:val="23"/>
          <w:szCs w:val="23"/>
        </w:rPr>
        <w:t xml:space="preserve"> </w:t>
      </w:r>
      <w:r>
        <w:rPr>
          <w:rFonts w:ascii="宋体" w:eastAsia="宋体" w:hAnsi="宋体" w:cs="宋体"/>
          <w:spacing w:val="-17"/>
          <w:sz w:val="23"/>
          <w:szCs w:val="23"/>
        </w:rPr>
        <w:t>(dietary</w:t>
      </w:r>
      <w:r>
        <w:rPr>
          <w:rFonts w:ascii="宋体" w:eastAsia="宋体" w:hAnsi="宋体" w:cs="宋体"/>
          <w:spacing w:val="-16"/>
          <w:sz w:val="23"/>
          <w:szCs w:val="23"/>
        </w:rPr>
        <w:t xml:space="preserve"> </w:t>
      </w:r>
      <w:r>
        <w:rPr>
          <w:rFonts w:ascii="宋体" w:eastAsia="宋体" w:hAnsi="宋体" w:cs="宋体"/>
          <w:spacing w:val="-17"/>
          <w:sz w:val="23"/>
          <w:szCs w:val="23"/>
        </w:rPr>
        <w:t>pattern)指</w:t>
      </w:r>
      <w:r>
        <w:rPr>
          <w:rFonts w:ascii="宋体" w:eastAsia="宋体" w:hAnsi="宋体" w:cs="宋体"/>
          <w:spacing w:val="-18"/>
          <w:sz w:val="23"/>
          <w:szCs w:val="23"/>
        </w:rPr>
        <w:t>一定时期内特定人群膳食中动植物等食品的</w:t>
      </w:r>
      <w:r>
        <w:rPr>
          <w:rFonts w:ascii="宋体" w:eastAsia="宋体" w:hAnsi="宋体" w:cs="宋体"/>
          <w:sz w:val="23"/>
          <w:szCs w:val="23"/>
        </w:rPr>
        <w:t xml:space="preserve"> </w:t>
      </w:r>
      <w:r>
        <w:rPr>
          <w:rFonts w:ascii="宋体" w:eastAsia="宋体" w:hAnsi="宋体" w:cs="宋体"/>
          <w:spacing w:val="-22"/>
          <w:sz w:val="23"/>
          <w:szCs w:val="23"/>
        </w:rPr>
        <w:t>消费种类、数量及比例关系，它与国家的食物生产加工、人群经济收入、饮食习</w:t>
      </w:r>
      <w:r>
        <w:rPr>
          <w:rFonts w:ascii="宋体" w:eastAsia="宋体" w:hAnsi="宋体" w:cs="宋体"/>
          <w:spacing w:val="8"/>
          <w:sz w:val="23"/>
          <w:szCs w:val="23"/>
        </w:rPr>
        <w:t xml:space="preserve"> </w:t>
      </w:r>
      <w:r>
        <w:rPr>
          <w:rFonts w:ascii="宋体" w:eastAsia="宋体" w:hAnsi="宋体" w:cs="宋体"/>
          <w:spacing w:val="-22"/>
          <w:sz w:val="23"/>
          <w:szCs w:val="23"/>
        </w:rPr>
        <w:t>俗、身体素质等有关。膳食结构反映了人群营养水平，</w:t>
      </w:r>
      <w:r>
        <w:rPr>
          <w:rFonts w:ascii="宋体" w:eastAsia="宋体" w:hAnsi="宋体" w:cs="宋体"/>
          <w:spacing w:val="-23"/>
          <w:sz w:val="23"/>
          <w:szCs w:val="23"/>
        </w:rPr>
        <w:t>是衡量其生活水平和经济</w:t>
      </w:r>
      <w:r>
        <w:rPr>
          <w:rFonts w:ascii="宋体" w:eastAsia="宋体" w:hAnsi="宋体" w:cs="宋体"/>
          <w:sz w:val="23"/>
          <w:szCs w:val="23"/>
        </w:rPr>
        <w:t xml:space="preserve"> </w:t>
      </w:r>
      <w:r>
        <w:rPr>
          <w:rFonts w:ascii="宋体" w:eastAsia="宋体" w:hAnsi="宋体" w:cs="宋体"/>
          <w:spacing w:val="-14"/>
          <w:sz w:val="23"/>
          <w:szCs w:val="23"/>
        </w:rPr>
        <w:t>发达程度的标志之一</w:t>
      </w:r>
    </w:p>
    <w:p w:rsidR="00EA40A3" w:rsidRDefault="00E86C16">
      <w:pPr>
        <w:spacing w:before="65" w:line="222" w:lineRule="auto"/>
        <w:ind w:right="6" w:firstLine="459"/>
        <w:rPr>
          <w:rFonts w:ascii="宋体" w:eastAsia="宋体" w:hAnsi="宋体" w:cs="宋体"/>
          <w:sz w:val="23"/>
          <w:szCs w:val="23"/>
        </w:rPr>
      </w:pPr>
      <w:r>
        <w:rPr>
          <w:rFonts w:ascii="宋体" w:eastAsia="宋体" w:hAnsi="宋体" w:cs="宋体"/>
          <w:spacing w:val="-5"/>
          <w:sz w:val="23"/>
          <w:szCs w:val="23"/>
        </w:rPr>
        <w:t>根据这一概念，目前世界各国的膳食结构大体上</w:t>
      </w:r>
      <w:r>
        <w:rPr>
          <w:rFonts w:ascii="宋体" w:eastAsia="宋体" w:hAnsi="宋体" w:cs="宋体"/>
          <w:spacing w:val="-6"/>
          <w:sz w:val="23"/>
          <w:szCs w:val="23"/>
        </w:rPr>
        <w:t>可划分为以下3种基本</w:t>
      </w:r>
      <w:r>
        <w:rPr>
          <w:rFonts w:ascii="宋体" w:eastAsia="宋体" w:hAnsi="宋体" w:cs="宋体"/>
          <w:sz w:val="23"/>
          <w:szCs w:val="23"/>
        </w:rPr>
        <w:t xml:space="preserve"> </w:t>
      </w:r>
      <w:r>
        <w:rPr>
          <w:rFonts w:ascii="宋体" w:eastAsia="宋体" w:hAnsi="宋体" w:cs="宋体"/>
          <w:spacing w:val="-24"/>
          <w:sz w:val="23"/>
          <w:szCs w:val="23"/>
        </w:rPr>
        <w:t>类型：</w:t>
      </w:r>
    </w:p>
    <w:p w:rsidR="00EA40A3" w:rsidRDefault="00E86C16">
      <w:pPr>
        <w:spacing w:before="61" w:line="239" w:lineRule="auto"/>
        <w:ind w:right="6" w:firstLine="459"/>
        <w:rPr>
          <w:rFonts w:ascii="宋体" w:eastAsia="宋体" w:hAnsi="宋体" w:cs="宋体"/>
          <w:sz w:val="23"/>
          <w:szCs w:val="23"/>
        </w:rPr>
      </w:pPr>
      <w:r>
        <w:rPr>
          <w:rFonts w:ascii="宋体" w:eastAsia="宋体" w:hAnsi="宋体" w:cs="宋体"/>
          <w:spacing w:val="-18"/>
          <w:sz w:val="23"/>
          <w:szCs w:val="23"/>
        </w:rPr>
        <w:t>(1)植物性和动物性食品消费量比较均衡，</w:t>
      </w:r>
      <w:r>
        <w:rPr>
          <w:rFonts w:ascii="宋体" w:eastAsia="宋体" w:hAnsi="宋体" w:cs="宋体"/>
          <w:spacing w:val="-19"/>
          <w:sz w:val="23"/>
          <w:szCs w:val="23"/>
        </w:rPr>
        <w:t>能量、蛋白质、脂肪摄入量基本</w:t>
      </w:r>
      <w:r>
        <w:rPr>
          <w:rFonts w:ascii="宋体" w:eastAsia="宋体" w:hAnsi="宋体" w:cs="宋体"/>
          <w:sz w:val="23"/>
          <w:szCs w:val="23"/>
        </w:rPr>
        <w:t xml:space="preserve"> </w:t>
      </w:r>
      <w:r>
        <w:rPr>
          <w:rFonts w:ascii="宋体" w:eastAsia="宋体" w:hAnsi="宋体" w:cs="宋体"/>
          <w:spacing w:val="-16"/>
          <w:sz w:val="23"/>
          <w:szCs w:val="23"/>
        </w:rPr>
        <w:t>上符合营养标准，膳食结构较为合理，以日本为代表。1990～2002年，日</w:t>
      </w:r>
      <w:r>
        <w:rPr>
          <w:rFonts w:ascii="宋体" w:eastAsia="宋体" w:hAnsi="宋体" w:cs="宋体"/>
          <w:spacing w:val="-17"/>
          <w:sz w:val="23"/>
          <w:szCs w:val="23"/>
        </w:rPr>
        <w:t>本谷</w:t>
      </w:r>
      <w:r>
        <w:rPr>
          <w:rFonts w:ascii="宋体" w:eastAsia="宋体" w:hAnsi="宋体" w:cs="宋体"/>
          <w:sz w:val="23"/>
          <w:szCs w:val="23"/>
        </w:rPr>
        <w:t xml:space="preserve">  </w:t>
      </w:r>
      <w:r>
        <w:rPr>
          <w:rFonts w:ascii="宋体" w:eastAsia="宋体" w:hAnsi="宋体" w:cs="宋体"/>
          <w:spacing w:val="-12"/>
          <w:sz w:val="23"/>
          <w:szCs w:val="23"/>
        </w:rPr>
        <w:t>物、薯类、食糖、酒精饮料等消费有所下降，日本人均谷物消费量由118.6kg</w:t>
      </w:r>
      <w:r>
        <w:rPr>
          <w:rFonts w:ascii="宋体" w:eastAsia="宋体" w:hAnsi="宋体" w:cs="宋体"/>
          <w:spacing w:val="4"/>
          <w:sz w:val="23"/>
          <w:szCs w:val="23"/>
        </w:rPr>
        <w:t xml:space="preserve"> 降至113.8</w:t>
      </w:r>
      <w:r>
        <w:rPr>
          <w:rFonts w:ascii="宋体" w:eastAsia="宋体" w:hAnsi="宋体" w:cs="宋体"/>
          <w:sz w:val="23"/>
          <w:szCs w:val="23"/>
        </w:rPr>
        <w:t>kg</w:t>
      </w:r>
      <w:r>
        <w:rPr>
          <w:rFonts w:ascii="宋体" w:eastAsia="宋体" w:hAnsi="宋体" w:cs="宋体"/>
          <w:spacing w:val="4"/>
          <w:sz w:val="23"/>
          <w:szCs w:val="23"/>
        </w:rPr>
        <w:t>,</w:t>
      </w:r>
      <w:r>
        <w:rPr>
          <w:rFonts w:ascii="宋体" w:eastAsia="宋体" w:hAnsi="宋体" w:cs="宋体"/>
          <w:spacing w:val="-33"/>
          <w:sz w:val="23"/>
          <w:szCs w:val="23"/>
        </w:rPr>
        <w:t xml:space="preserve"> </w:t>
      </w:r>
      <w:r>
        <w:rPr>
          <w:rFonts w:ascii="宋体" w:eastAsia="宋体" w:hAnsi="宋体" w:cs="宋体"/>
          <w:spacing w:val="4"/>
          <w:sz w:val="23"/>
          <w:szCs w:val="23"/>
        </w:rPr>
        <w:t>薯类由37.6</w:t>
      </w:r>
      <w:r>
        <w:rPr>
          <w:rFonts w:ascii="宋体" w:eastAsia="宋体" w:hAnsi="宋体" w:cs="宋体"/>
          <w:sz w:val="23"/>
          <w:szCs w:val="23"/>
        </w:rPr>
        <w:t>kg</w:t>
      </w:r>
      <w:r>
        <w:rPr>
          <w:rFonts w:ascii="宋体" w:eastAsia="宋体" w:hAnsi="宋体" w:cs="宋体"/>
          <w:spacing w:val="-38"/>
          <w:sz w:val="23"/>
          <w:szCs w:val="23"/>
        </w:rPr>
        <w:t xml:space="preserve"> </w:t>
      </w:r>
      <w:r>
        <w:rPr>
          <w:rFonts w:ascii="宋体" w:eastAsia="宋体" w:hAnsi="宋体" w:cs="宋体"/>
          <w:spacing w:val="4"/>
          <w:sz w:val="23"/>
          <w:szCs w:val="23"/>
        </w:rPr>
        <w:t>降至34.1</w:t>
      </w:r>
      <w:r>
        <w:rPr>
          <w:rFonts w:ascii="宋体" w:eastAsia="宋体" w:hAnsi="宋体" w:cs="宋体"/>
          <w:sz w:val="23"/>
          <w:szCs w:val="23"/>
        </w:rPr>
        <w:t>kg</w:t>
      </w:r>
      <w:r>
        <w:rPr>
          <w:rFonts w:ascii="宋体" w:eastAsia="宋体" w:hAnsi="宋体" w:cs="宋体"/>
          <w:spacing w:val="4"/>
          <w:sz w:val="23"/>
          <w:szCs w:val="23"/>
        </w:rPr>
        <w:t>,</w:t>
      </w:r>
      <w:r>
        <w:rPr>
          <w:rFonts w:ascii="宋体" w:eastAsia="宋体" w:hAnsi="宋体" w:cs="宋体"/>
          <w:spacing w:val="-13"/>
          <w:sz w:val="23"/>
          <w:szCs w:val="23"/>
        </w:rPr>
        <w:t xml:space="preserve"> </w:t>
      </w:r>
      <w:r>
        <w:rPr>
          <w:rFonts w:ascii="宋体" w:eastAsia="宋体" w:hAnsi="宋体" w:cs="宋体"/>
          <w:spacing w:val="4"/>
          <w:sz w:val="23"/>
          <w:szCs w:val="23"/>
        </w:rPr>
        <w:t>食糖和甜味剂由33.8</w:t>
      </w:r>
      <w:r>
        <w:rPr>
          <w:rFonts w:ascii="宋体" w:eastAsia="宋体" w:hAnsi="宋体" w:cs="宋体"/>
          <w:sz w:val="23"/>
          <w:szCs w:val="23"/>
        </w:rPr>
        <w:t>kg</w:t>
      </w:r>
      <w:r>
        <w:rPr>
          <w:rFonts w:ascii="宋体" w:eastAsia="宋体" w:hAnsi="宋体" w:cs="宋体"/>
          <w:spacing w:val="-38"/>
          <w:sz w:val="23"/>
          <w:szCs w:val="23"/>
        </w:rPr>
        <w:t xml:space="preserve"> </w:t>
      </w:r>
      <w:r>
        <w:rPr>
          <w:rFonts w:ascii="宋体" w:eastAsia="宋体" w:hAnsi="宋体" w:cs="宋体"/>
          <w:spacing w:val="4"/>
          <w:sz w:val="23"/>
          <w:szCs w:val="23"/>
        </w:rPr>
        <w:t>降</w:t>
      </w:r>
      <w:r>
        <w:rPr>
          <w:rFonts w:ascii="宋体" w:eastAsia="宋体" w:hAnsi="宋体" w:cs="宋体"/>
          <w:spacing w:val="3"/>
          <w:sz w:val="23"/>
          <w:szCs w:val="23"/>
        </w:rPr>
        <w:t>至</w:t>
      </w:r>
      <w:r>
        <w:rPr>
          <w:rFonts w:ascii="宋体" w:eastAsia="宋体" w:hAnsi="宋体" w:cs="宋体"/>
          <w:sz w:val="23"/>
          <w:szCs w:val="23"/>
        </w:rPr>
        <w:t xml:space="preserve"> </w:t>
      </w:r>
      <w:r>
        <w:rPr>
          <w:rFonts w:ascii="宋体" w:eastAsia="宋体" w:hAnsi="宋体" w:cs="宋体"/>
          <w:spacing w:val="-9"/>
          <w:sz w:val="23"/>
          <w:szCs w:val="23"/>
        </w:rPr>
        <w:t>22.4kg,酒精饮料由71.2kg降至51.8kg,</w:t>
      </w:r>
      <w:r>
        <w:rPr>
          <w:rFonts w:ascii="宋体" w:eastAsia="宋体" w:hAnsi="宋体" w:cs="宋体"/>
          <w:spacing w:val="-43"/>
          <w:sz w:val="23"/>
          <w:szCs w:val="23"/>
        </w:rPr>
        <w:t xml:space="preserve"> </w:t>
      </w:r>
      <w:r>
        <w:rPr>
          <w:rFonts w:ascii="宋体" w:eastAsia="宋体" w:hAnsi="宋体" w:cs="宋体"/>
          <w:spacing w:val="-9"/>
          <w:sz w:val="23"/>
          <w:szCs w:val="23"/>
        </w:rPr>
        <w:t>肉类、植物油、水果</w:t>
      </w:r>
      <w:r>
        <w:rPr>
          <w:rFonts w:ascii="宋体" w:eastAsia="宋体" w:hAnsi="宋体" w:cs="宋体"/>
          <w:spacing w:val="-10"/>
          <w:sz w:val="23"/>
          <w:szCs w:val="23"/>
        </w:rPr>
        <w:t>消费增长，鱼类</w:t>
      </w:r>
      <w:r>
        <w:rPr>
          <w:rFonts w:ascii="宋体" w:eastAsia="宋体" w:hAnsi="宋体" w:cs="宋体"/>
          <w:sz w:val="23"/>
          <w:szCs w:val="23"/>
        </w:rPr>
        <w:t xml:space="preserve"> </w:t>
      </w:r>
      <w:r>
        <w:rPr>
          <w:rFonts w:ascii="宋体" w:eastAsia="宋体" w:hAnsi="宋体" w:cs="宋体"/>
          <w:spacing w:val="-7"/>
          <w:sz w:val="23"/>
          <w:szCs w:val="23"/>
        </w:rPr>
        <w:t>消费下降，但仍保持较高水平，肉类由38kg增至43.9kg,</w:t>
      </w:r>
      <w:r>
        <w:rPr>
          <w:rFonts w:ascii="宋体" w:eastAsia="宋体" w:hAnsi="宋体" w:cs="宋体"/>
          <w:spacing w:val="-24"/>
          <w:sz w:val="23"/>
          <w:szCs w:val="23"/>
        </w:rPr>
        <w:t xml:space="preserve"> </w:t>
      </w:r>
      <w:r>
        <w:rPr>
          <w:rFonts w:ascii="宋体" w:eastAsia="宋体" w:hAnsi="宋体" w:cs="宋体"/>
          <w:spacing w:val="-7"/>
          <w:sz w:val="23"/>
          <w:szCs w:val="23"/>
        </w:rPr>
        <w:t>植物油由11.8kg增</w:t>
      </w:r>
      <w:r>
        <w:rPr>
          <w:rFonts w:ascii="宋体" w:eastAsia="宋体" w:hAnsi="宋体" w:cs="宋体"/>
          <w:sz w:val="23"/>
          <w:szCs w:val="23"/>
        </w:rPr>
        <w:t xml:space="preserve"> </w:t>
      </w:r>
      <w:r>
        <w:rPr>
          <w:rFonts w:ascii="宋体" w:eastAsia="宋体" w:hAnsi="宋体" w:cs="宋体"/>
          <w:spacing w:val="-4"/>
          <w:sz w:val="23"/>
          <w:szCs w:val="23"/>
        </w:rPr>
        <w:t>至14.1kg,</w:t>
      </w:r>
      <w:r>
        <w:rPr>
          <w:rFonts w:ascii="宋体" w:eastAsia="宋体" w:hAnsi="宋体" w:cs="宋体"/>
          <w:spacing w:val="-33"/>
          <w:sz w:val="23"/>
          <w:szCs w:val="23"/>
        </w:rPr>
        <w:t xml:space="preserve"> </w:t>
      </w:r>
      <w:r>
        <w:rPr>
          <w:rFonts w:ascii="宋体" w:eastAsia="宋体" w:hAnsi="宋体" w:cs="宋体"/>
          <w:spacing w:val="-4"/>
          <w:sz w:val="23"/>
          <w:szCs w:val="23"/>
        </w:rPr>
        <w:t>水果由49.7kg增至56.3kg,</w:t>
      </w:r>
      <w:r>
        <w:rPr>
          <w:rFonts w:ascii="宋体" w:eastAsia="宋体" w:hAnsi="宋体" w:cs="宋体"/>
          <w:spacing w:val="-53"/>
          <w:sz w:val="23"/>
          <w:szCs w:val="23"/>
        </w:rPr>
        <w:t xml:space="preserve"> </w:t>
      </w:r>
      <w:r>
        <w:rPr>
          <w:rFonts w:ascii="宋体" w:eastAsia="宋体" w:hAnsi="宋体" w:cs="宋体"/>
          <w:spacing w:val="-4"/>
          <w:sz w:val="23"/>
          <w:szCs w:val="23"/>
        </w:rPr>
        <w:t>鱼类由71.9kg降</w:t>
      </w:r>
      <w:r>
        <w:rPr>
          <w:rFonts w:ascii="宋体" w:eastAsia="宋体" w:hAnsi="宋体" w:cs="宋体"/>
          <w:spacing w:val="-5"/>
          <w:sz w:val="23"/>
          <w:szCs w:val="23"/>
        </w:rPr>
        <w:t>至66.3</w:t>
      </w:r>
      <w:r>
        <w:rPr>
          <w:rFonts w:ascii="宋体" w:eastAsia="宋体" w:hAnsi="宋体" w:cs="宋体"/>
          <w:spacing w:val="-4"/>
          <w:sz w:val="23"/>
          <w:szCs w:val="23"/>
        </w:rPr>
        <w:t>kg</w:t>
      </w:r>
      <w:r>
        <w:rPr>
          <w:rFonts w:ascii="宋体" w:eastAsia="宋体" w:hAnsi="宋体" w:cs="宋体"/>
          <w:spacing w:val="-5"/>
          <w:sz w:val="23"/>
          <w:szCs w:val="23"/>
        </w:rPr>
        <w:t>,</w:t>
      </w:r>
      <w:r>
        <w:rPr>
          <w:rFonts w:ascii="宋体" w:eastAsia="宋体" w:hAnsi="宋体" w:cs="宋体"/>
          <w:spacing w:val="-33"/>
          <w:sz w:val="23"/>
          <w:szCs w:val="23"/>
        </w:rPr>
        <w:t xml:space="preserve"> </w:t>
      </w:r>
      <w:r>
        <w:rPr>
          <w:rFonts w:ascii="宋体" w:eastAsia="宋体" w:hAnsi="宋体" w:cs="宋体"/>
          <w:spacing w:val="-5"/>
          <w:sz w:val="23"/>
          <w:szCs w:val="23"/>
        </w:rPr>
        <w:t>鱼贝类食</w:t>
      </w:r>
      <w:r>
        <w:rPr>
          <w:rFonts w:ascii="宋体" w:eastAsia="宋体" w:hAnsi="宋体" w:cs="宋体"/>
          <w:sz w:val="23"/>
          <w:szCs w:val="23"/>
        </w:rPr>
        <w:t xml:space="preserve"> </w:t>
      </w:r>
      <w:r>
        <w:rPr>
          <w:rFonts w:ascii="宋体" w:eastAsia="宋体" w:hAnsi="宋体" w:cs="宋体"/>
          <w:spacing w:val="-8"/>
          <w:sz w:val="23"/>
          <w:szCs w:val="23"/>
        </w:rPr>
        <w:t>用量较大。奶类、大豆、蛋类基本稳定，2002年人均消费量分</w:t>
      </w:r>
      <w:r>
        <w:rPr>
          <w:rFonts w:ascii="宋体" w:eastAsia="宋体" w:hAnsi="宋体" w:cs="宋体"/>
          <w:spacing w:val="-9"/>
          <w:sz w:val="23"/>
          <w:szCs w:val="23"/>
        </w:rPr>
        <w:t>别为67.1</w:t>
      </w:r>
      <w:r>
        <w:rPr>
          <w:rFonts w:ascii="宋体" w:eastAsia="宋体" w:hAnsi="宋体" w:cs="宋体"/>
          <w:spacing w:val="-8"/>
          <w:sz w:val="23"/>
          <w:szCs w:val="23"/>
        </w:rPr>
        <w:t>kg</w:t>
      </w:r>
      <w:r>
        <w:rPr>
          <w:rFonts w:ascii="宋体" w:eastAsia="宋体" w:hAnsi="宋体" w:cs="宋体"/>
          <w:spacing w:val="-9"/>
          <w:sz w:val="23"/>
          <w:szCs w:val="23"/>
        </w:rPr>
        <w:t>、</w:t>
      </w:r>
      <w:r>
        <w:rPr>
          <w:rFonts w:ascii="宋体" w:eastAsia="宋体" w:hAnsi="宋体" w:cs="宋体"/>
          <w:sz w:val="23"/>
          <w:szCs w:val="23"/>
        </w:rPr>
        <w:t xml:space="preserve"> </w:t>
      </w:r>
      <w:r>
        <w:rPr>
          <w:rFonts w:ascii="宋体" w:eastAsia="宋体" w:hAnsi="宋体" w:cs="宋体"/>
          <w:spacing w:val="-14"/>
          <w:sz w:val="23"/>
          <w:szCs w:val="23"/>
        </w:rPr>
        <w:t>8.81kg、19.1kg。动物性蛋白质占蛋白质总量的一半，而水产品蛋白质又占动</w:t>
      </w:r>
      <w:r>
        <w:rPr>
          <w:rFonts w:ascii="宋体" w:eastAsia="宋体" w:hAnsi="宋体" w:cs="宋体"/>
          <w:spacing w:val="14"/>
          <w:sz w:val="23"/>
          <w:szCs w:val="23"/>
        </w:rPr>
        <w:t xml:space="preserve"> </w:t>
      </w:r>
      <w:r>
        <w:rPr>
          <w:rFonts w:ascii="宋体" w:eastAsia="宋体" w:hAnsi="宋体" w:cs="宋体"/>
          <w:spacing w:val="-16"/>
          <w:sz w:val="23"/>
          <w:szCs w:val="23"/>
        </w:rPr>
        <w:t>物蛋白质的一半，这是日本膳食结构的一大优势，在发达国家中</w:t>
      </w:r>
      <w:r>
        <w:rPr>
          <w:rFonts w:ascii="宋体" w:eastAsia="宋体" w:hAnsi="宋体" w:cs="宋体"/>
          <w:spacing w:val="-17"/>
          <w:sz w:val="23"/>
          <w:szCs w:val="23"/>
        </w:rPr>
        <w:t>是特有的。能</w:t>
      </w:r>
      <w:r>
        <w:rPr>
          <w:rFonts w:ascii="宋体" w:eastAsia="宋体" w:hAnsi="宋体" w:cs="宋体"/>
          <w:sz w:val="23"/>
          <w:szCs w:val="23"/>
        </w:rPr>
        <w:t xml:space="preserve"> </w:t>
      </w:r>
      <w:r>
        <w:rPr>
          <w:rFonts w:ascii="宋体" w:eastAsia="宋体" w:hAnsi="宋体" w:cs="宋体"/>
          <w:spacing w:val="-11"/>
          <w:sz w:val="23"/>
          <w:szCs w:val="23"/>
        </w:rPr>
        <w:t>量、脂肪的供给水平低于欧美发达国家，2002年每人日能量为2761.1kcal,蛋</w:t>
      </w:r>
      <w:r>
        <w:rPr>
          <w:rFonts w:ascii="宋体" w:eastAsia="宋体" w:hAnsi="宋体" w:cs="宋体"/>
          <w:spacing w:val="18"/>
          <w:sz w:val="23"/>
          <w:szCs w:val="23"/>
        </w:rPr>
        <w:t xml:space="preserve"> </w:t>
      </w:r>
      <w:r>
        <w:rPr>
          <w:rFonts w:ascii="宋体" w:eastAsia="宋体" w:hAnsi="宋体" w:cs="宋体"/>
          <w:spacing w:val="-12"/>
          <w:sz w:val="23"/>
          <w:szCs w:val="23"/>
        </w:rPr>
        <w:t>白质91.8g,</w:t>
      </w:r>
      <w:r>
        <w:rPr>
          <w:rFonts w:ascii="宋体" w:eastAsia="宋体" w:hAnsi="宋体" w:cs="宋体"/>
          <w:spacing w:val="-43"/>
          <w:sz w:val="23"/>
          <w:szCs w:val="23"/>
        </w:rPr>
        <w:t xml:space="preserve"> </w:t>
      </w:r>
      <w:r>
        <w:rPr>
          <w:rFonts w:ascii="宋体" w:eastAsia="宋体" w:hAnsi="宋体" w:cs="宋体"/>
          <w:spacing w:val="-12"/>
          <w:sz w:val="23"/>
          <w:szCs w:val="23"/>
        </w:rPr>
        <w:t>脂肪84.6g,</w:t>
      </w:r>
      <w:r>
        <w:rPr>
          <w:rFonts w:ascii="宋体" w:eastAsia="宋体" w:hAnsi="宋体" w:cs="宋体"/>
          <w:spacing w:val="-32"/>
          <w:sz w:val="23"/>
          <w:szCs w:val="23"/>
        </w:rPr>
        <w:t xml:space="preserve"> </w:t>
      </w:r>
      <w:r>
        <w:rPr>
          <w:rFonts w:ascii="宋体" w:eastAsia="宋体" w:hAnsi="宋体" w:cs="宋体"/>
          <w:spacing w:val="-12"/>
          <w:sz w:val="23"/>
          <w:szCs w:val="23"/>
        </w:rPr>
        <w:t>能量、蛋白质摄入量长期保持</w:t>
      </w:r>
      <w:r>
        <w:rPr>
          <w:rFonts w:ascii="宋体" w:eastAsia="宋体" w:hAnsi="宋体" w:cs="宋体"/>
          <w:spacing w:val="-13"/>
          <w:sz w:val="23"/>
          <w:szCs w:val="23"/>
        </w:rPr>
        <w:t>稳定。能量构成中，碳</w:t>
      </w:r>
      <w:r>
        <w:rPr>
          <w:rFonts w:ascii="宋体" w:eastAsia="宋体" w:hAnsi="宋体" w:cs="宋体"/>
          <w:sz w:val="23"/>
          <w:szCs w:val="23"/>
        </w:rPr>
        <w:t xml:space="preserve"> </w:t>
      </w:r>
      <w:r>
        <w:rPr>
          <w:rFonts w:ascii="宋体" w:eastAsia="宋体" w:hAnsi="宋体" w:cs="宋体"/>
          <w:spacing w:val="4"/>
          <w:sz w:val="23"/>
          <w:szCs w:val="23"/>
        </w:rPr>
        <w:t>水化合物占59.2%,脂肪占26%,蛋白质</w:t>
      </w:r>
      <w:r>
        <w:rPr>
          <w:rFonts w:ascii="宋体" w:eastAsia="宋体" w:hAnsi="宋体" w:cs="宋体"/>
          <w:spacing w:val="3"/>
          <w:sz w:val="23"/>
          <w:szCs w:val="23"/>
        </w:rPr>
        <w:t>占14.8%,基本合理，既保留了东方</w:t>
      </w:r>
      <w:r>
        <w:rPr>
          <w:rFonts w:ascii="宋体" w:eastAsia="宋体" w:hAnsi="宋体" w:cs="宋体"/>
          <w:sz w:val="23"/>
          <w:szCs w:val="23"/>
        </w:rPr>
        <w:t xml:space="preserve"> </w:t>
      </w:r>
      <w:r>
        <w:rPr>
          <w:rFonts w:ascii="宋体" w:eastAsia="宋体" w:hAnsi="宋体" w:cs="宋体"/>
          <w:spacing w:val="-24"/>
          <w:sz w:val="23"/>
          <w:szCs w:val="23"/>
        </w:rPr>
        <w:t>人膳食的一些特点，同时又吸取了西方膳食的一</w:t>
      </w:r>
      <w:r>
        <w:rPr>
          <w:rFonts w:ascii="宋体" w:eastAsia="宋体" w:hAnsi="宋体" w:cs="宋体"/>
          <w:spacing w:val="-25"/>
          <w:sz w:val="23"/>
          <w:szCs w:val="23"/>
        </w:rPr>
        <w:t>些长处。</w:t>
      </w:r>
    </w:p>
    <w:p w:rsidR="00EA40A3" w:rsidRDefault="00E86C16">
      <w:pPr>
        <w:spacing w:before="171"/>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2"/>
          <w:sz w:val="17"/>
          <w:szCs w:val="17"/>
        </w:rPr>
        <w:t xml:space="preserve"> </w:t>
      </w:r>
      <w:r>
        <w:rPr>
          <w:rFonts w:ascii="宋体" w:eastAsia="宋体" w:hAnsi="宋体" w:cs="宋体"/>
          <w:spacing w:val="-22"/>
          <w:sz w:val="17"/>
          <w:szCs w:val="17"/>
        </w:rPr>
        <w:t>404</w:t>
      </w:r>
      <w:r>
        <w:rPr>
          <w:rFonts w:ascii="宋体" w:eastAsia="宋体" w:hAnsi="宋体" w:cs="宋体"/>
          <w:spacing w:val="50"/>
          <w:sz w:val="17"/>
          <w:szCs w:val="17"/>
        </w:rPr>
        <w:t xml:space="preserve"> </w:t>
      </w:r>
      <w:r>
        <w:rPr>
          <w:rFonts w:ascii="宋体" w:eastAsia="宋体" w:hAnsi="宋体" w:cs="宋体"/>
          <w:spacing w:val="-22"/>
          <w:sz w:val="17"/>
          <w:szCs w:val="17"/>
        </w:rPr>
        <w:t>·</w:t>
      </w:r>
    </w:p>
    <w:p w:rsidR="00EA40A3" w:rsidRDefault="00EA40A3">
      <w:pPr>
        <w:sectPr w:rsidR="00EA40A3">
          <w:pgSz w:w="9220" w:h="13360"/>
          <w:pgMar w:top="400" w:right="1103" w:bottom="400" w:left="800" w:header="0" w:footer="0" w:gutter="0"/>
          <w:cols w:space="720"/>
        </w:sectPr>
      </w:pPr>
    </w:p>
    <w:p w:rsidR="00EA40A3" w:rsidRDefault="00EA40A3">
      <w:pPr>
        <w:spacing w:line="285" w:lineRule="auto"/>
      </w:pPr>
    </w:p>
    <w:p w:rsidR="00EA40A3" w:rsidRDefault="00EA40A3">
      <w:pPr>
        <w:spacing w:line="286" w:lineRule="auto"/>
      </w:pPr>
    </w:p>
    <w:p w:rsidR="00EA40A3" w:rsidRDefault="00E86C16">
      <w:pPr>
        <w:spacing w:before="71" w:line="249" w:lineRule="auto"/>
        <w:ind w:left="59" w:right="69" w:firstLine="470"/>
        <w:jc w:val="both"/>
        <w:rPr>
          <w:rFonts w:ascii="宋体" w:eastAsia="宋体" w:hAnsi="宋体" w:cs="宋体"/>
          <w:sz w:val="22"/>
          <w:szCs w:val="22"/>
        </w:rPr>
      </w:pPr>
      <w:r>
        <w:rPr>
          <w:rFonts w:ascii="宋体" w:eastAsia="宋体" w:hAnsi="宋体" w:cs="宋体"/>
          <w:spacing w:val="-9"/>
          <w:sz w:val="22"/>
          <w:szCs w:val="22"/>
        </w:rPr>
        <w:t>(2)高能量、高脂肪、高蛋白质的膳食结构</w:t>
      </w:r>
      <w:r>
        <w:rPr>
          <w:rFonts w:ascii="宋体" w:eastAsia="宋体" w:hAnsi="宋体" w:cs="宋体"/>
          <w:spacing w:val="-10"/>
          <w:sz w:val="22"/>
          <w:szCs w:val="22"/>
        </w:rPr>
        <w:t>，以欧美国家为代表。特点是谷</w:t>
      </w:r>
      <w:r>
        <w:rPr>
          <w:rFonts w:ascii="宋体" w:eastAsia="宋体" w:hAnsi="宋体" w:cs="宋体"/>
          <w:sz w:val="22"/>
          <w:szCs w:val="22"/>
        </w:rPr>
        <w:t xml:space="preserve"> </w:t>
      </w:r>
      <w:r>
        <w:rPr>
          <w:rFonts w:ascii="宋体" w:eastAsia="宋体" w:hAnsi="宋体" w:cs="宋体"/>
          <w:spacing w:val="-5"/>
          <w:sz w:val="22"/>
          <w:szCs w:val="22"/>
        </w:rPr>
        <w:t>物消费量少，按人平均每年仅60～70kg,</w:t>
      </w:r>
      <w:r>
        <w:rPr>
          <w:rFonts w:ascii="宋体" w:eastAsia="宋体" w:hAnsi="宋体" w:cs="宋体"/>
          <w:spacing w:val="-14"/>
          <w:sz w:val="22"/>
          <w:szCs w:val="22"/>
        </w:rPr>
        <w:t xml:space="preserve"> </w:t>
      </w:r>
      <w:r>
        <w:rPr>
          <w:rFonts w:ascii="宋体" w:eastAsia="宋体" w:hAnsi="宋体" w:cs="宋体"/>
          <w:spacing w:val="-5"/>
          <w:sz w:val="22"/>
          <w:szCs w:val="22"/>
        </w:rPr>
        <w:t>动物性</w:t>
      </w:r>
      <w:r>
        <w:rPr>
          <w:rFonts w:ascii="宋体" w:eastAsia="宋体" w:hAnsi="宋体" w:cs="宋体"/>
          <w:spacing w:val="-6"/>
          <w:sz w:val="22"/>
          <w:szCs w:val="22"/>
        </w:rPr>
        <w:t>食品占很大比例，肉类人均年</w:t>
      </w:r>
      <w:r>
        <w:rPr>
          <w:rFonts w:ascii="宋体" w:eastAsia="宋体" w:hAnsi="宋体" w:cs="宋体"/>
          <w:sz w:val="22"/>
          <w:szCs w:val="22"/>
        </w:rPr>
        <w:t xml:space="preserve"> </w:t>
      </w:r>
      <w:r>
        <w:rPr>
          <w:rFonts w:ascii="宋体" w:eastAsia="宋体" w:hAnsi="宋体" w:cs="宋体"/>
          <w:spacing w:val="-2"/>
          <w:sz w:val="22"/>
          <w:szCs w:val="22"/>
        </w:rPr>
        <w:t>消费量为100kg左右，奶及奶制品达10</w:t>
      </w:r>
      <w:r>
        <w:rPr>
          <w:rFonts w:ascii="宋体" w:eastAsia="宋体" w:hAnsi="宋体" w:cs="宋体"/>
          <w:spacing w:val="-3"/>
          <w:sz w:val="22"/>
          <w:szCs w:val="22"/>
        </w:rPr>
        <w:t>0～150</w:t>
      </w:r>
      <w:r>
        <w:rPr>
          <w:rFonts w:ascii="宋体" w:eastAsia="宋体" w:hAnsi="宋体" w:cs="宋体"/>
          <w:spacing w:val="-2"/>
          <w:sz w:val="22"/>
          <w:szCs w:val="22"/>
        </w:rPr>
        <w:t>kg</w:t>
      </w:r>
      <w:r>
        <w:rPr>
          <w:rFonts w:ascii="宋体" w:eastAsia="宋体" w:hAnsi="宋体" w:cs="宋体"/>
          <w:spacing w:val="-3"/>
          <w:sz w:val="22"/>
          <w:szCs w:val="22"/>
        </w:rPr>
        <w:t>,</w:t>
      </w:r>
      <w:r>
        <w:rPr>
          <w:rFonts w:ascii="宋体" w:eastAsia="宋体" w:hAnsi="宋体" w:cs="宋体"/>
          <w:spacing w:val="-24"/>
          <w:sz w:val="22"/>
          <w:szCs w:val="22"/>
        </w:rPr>
        <w:t xml:space="preserve"> </w:t>
      </w:r>
      <w:r>
        <w:rPr>
          <w:rFonts w:ascii="宋体" w:eastAsia="宋体" w:hAnsi="宋体" w:cs="宋体"/>
          <w:spacing w:val="-3"/>
          <w:sz w:val="22"/>
          <w:szCs w:val="22"/>
        </w:rPr>
        <w:t>食糖和水果吃得多，人均年</w:t>
      </w:r>
      <w:r>
        <w:rPr>
          <w:rFonts w:ascii="宋体" w:eastAsia="宋体" w:hAnsi="宋体" w:cs="宋体"/>
          <w:sz w:val="22"/>
          <w:szCs w:val="22"/>
        </w:rPr>
        <w:t xml:space="preserve"> </w:t>
      </w:r>
      <w:r>
        <w:rPr>
          <w:rFonts w:ascii="宋体" w:eastAsia="宋体" w:hAnsi="宋体" w:cs="宋体"/>
          <w:spacing w:val="-1"/>
          <w:sz w:val="22"/>
          <w:szCs w:val="22"/>
        </w:rPr>
        <w:t>消费量分别达到40～60kg</w:t>
      </w:r>
      <w:r>
        <w:rPr>
          <w:rFonts w:ascii="宋体" w:eastAsia="宋体" w:hAnsi="宋体" w:cs="宋体"/>
          <w:spacing w:val="-44"/>
          <w:sz w:val="22"/>
          <w:szCs w:val="22"/>
        </w:rPr>
        <w:t xml:space="preserve"> </w:t>
      </w:r>
      <w:r>
        <w:rPr>
          <w:rFonts w:ascii="宋体" w:eastAsia="宋体" w:hAnsi="宋体" w:cs="宋体"/>
          <w:spacing w:val="-1"/>
          <w:sz w:val="22"/>
          <w:szCs w:val="22"/>
        </w:rPr>
        <w:t>和70～80kg,</w:t>
      </w:r>
      <w:r>
        <w:rPr>
          <w:rFonts w:ascii="宋体" w:eastAsia="宋体" w:hAnsi="宋体" w:cs="宋体"/>
          <w:spacing w:val="-14"/>
          <w:sz w:val="22"/>
          <w:szCs w:val="22"/>
        </w:rPr>
        <w:t xml:space="preserve"> </w:t>
      </w:r>
      <w:r>
        <w:rPr>
          <w:rFonts w:ascii="宋体" w:eastAsia="宋体" w:hAnsi="宋体" w:cs="宋体"/>
          <w:spacing w:val="-2"/>
          <w:sz w:val="22"/>
          <w:szCs w:val="22"/>
        </w:rPr>
        <w:t>营养素过量。2000年，美国人均日摄</w:t>
      </w:r>
      <w:r>
        <w:rPr>
          <w:rFonts w:ascii="宋体" w:eastAsia="宋体" w:hAnsi="宋体" w:cs="宋体"/>
          <w:sz w:val="22"/>
          <w:szCs w:val="22"/>
        </w:rPr>
        <w:t xml:space="preserve"> </w:t>
      </w:r>
      <w:r>
        <w:rPr>
          <w:rFonts w:ascii="宋体" w:eastAsia="宋体" w:hAnsi="宋体" w:cs="宋体"/>
          <w:spacing w:val="-3"/>
          <w:sz w:val="22"/>
          <w:szCs w:val="22"/>
        </w:rPr>
        <w:t>入能量3772.1kcal,</w:t>
      </w:r>
      <w:r>
        <w:rPr>
          <w:rFonts w:ascii="宋体" w:eastAsia="宋体" w:hAnsi="宋体" w:cs="宋体"/>
          <w:spacing w:val="-50"/>
          <w:sz w:val="22"/>
          <w:szCs w:val="22"/>
        </w:rPr>
        <w:t xml:space="preserve"> </w:t>
      </w:r>
      <w:r>
        <w:rPr>
          <w:rFonts w:ascii="宋体" w:eastAsia="宋体" w:hAnsi="宋体" w:cs="宋体"/>
          <w:spacing w:val="-3"/>
          <w:sz w:val="22"/>
          <w:szCs w:val="22"/>
        </w:rPr>
        <w:t>蛋白质114.0g,</w:t>
      </w:r>
      <w:r>
        <w:rPr>
          <w:rFonts w:ascii="宋体" w:eastAsia="宋体" w:hAnsi="宋体" w:cs="宋体"/>
          <w:spacing w:val="-28"/>
          <w:sz w:val="22"/>
          <w:szCs w:val="22"/>
        </w:rPr>
        <w:t xml:space="preserve"> </w:t>
      </w:r>
      <w:r>
        <w:rPr>
          <w:rFonts w:ascii="宋体" w:eastAsia="宋体" w:hAnsi="宋体" w:cs="宋体"/>
          <w:spacing w:val="-3"/>
          <w:sz w:val="22"/>
          <w:szCs w:val="22"/>
        </w:rPr>
        <w:t>脂肪151.3g,</w:t>
      </w:r>
      <w:r>
        <w:rPr>
          <w:rFonts w:ascii="宋体" w:eastAsia="宋体" w:hAnsi="宋体" w:cs="宋体"/>
          <w:spacing w:val="2"/>
          <w:sz w:val="22"/>
          <w:szCs w:val="22"/>
        </w:rPr>
        <w:t xml:space="preserve"> </w:t>
      </w:r>
      <w:r>
        <w:rPr>
          <w:rFonts w:ascii="宋体" w:eastAsia="宋体" w:hAnsi="宋体" w:cs="宋体"/>
          <w:spacing w:val="-3"/>
          <w:sz w:val="22"/>
          <w:szCs w:val="22"/>
        </w:rPr>
        <w:t>在能量构成中，碳水化合物</w:t>
      </w:r>
      <w:r>
        <w:rPr>
          <w:rFonts w:ascii="宋体" w:eastAsia="宋体" w:hAnsi="宋体" w:cs="宋体"/>
          <w:sz w:val="22"/>
          <w:szCs w:val="22"/>
        </w:rPr>
        <w:t xml:space="preserve"> </w:t>
      </w:r>
      <w:r>
        <w:rPr>
          <w:rFonts w:ascii="宋体" w:eastAsia="宋体" w:hAnsi="宋体" w:cs="宋体"/>
          <w:spacing w:val="11"/>
          <w:sz w:val="22"/>
          <w:szCs w:val="22"/>
        </w:rPr>
        <w:t>降至48.4%,蛋白质占15.2%,而脂肪比例达33.3%,英国的能量构成几乎与</w:t>
      </w:r>
      <w:r>
        <w:rPr>
          <w:rFonts w:ascii="宋体" w:eastAsia="宋体" w:hAnsi="宋体" w:cs="宋体"/>
          <w:spacing w:val="16"/>
          <w:sz w:val="22"/>
          <w:szCs w:val="22"/>
        </w:rPr>
        <w:t xml:space="preserve"> </w:t>
      </w:r>
      <w:r>
        <w:rPr>
          <w:rFonts w:ascii="宋体" w:eastAsia="宋体" w:hAnsi="宋体" w:cs="宋体"/>
          <w:spacing w:val="-12"/>
          <w:sz w:val="22"/>
          <w:szCs w:val="22"/>
        </w:rPr>
        <w:t>美国相同。这种“三高”的膳食结构，虽具有质量好、营</w:t>
      </w:r>
      <w:r>
        <w:rPr>
          <w:rFonts w:ascii="宋体" w:eastAsia="宋体" w:hAnsi="宋体" w:cs="宋体"/>
          <w:spacing w:val="-13"/>
          <w:sz w:val="22"/>
          <w:szCs w:val="22"/>
        </w:rPr>
        <w:t>养丰富的优点，但也带</w:t>
      </w:r>
      <w:r>
        <w:rPr>
          <w:rFonts w:ascii="宋体" w:eastAsia="宋体" w:hAnsi="宋体" w:cs="宋体"/>
          <w:sz w:val="22"/>
          <w:szCs w:val="22"/>
        </w:rPr>
        <w:t xml:space="preserve"> </w:t>
      </w:r>
      <w:r>
        <w:rPr>
          <w:rFonts w:ascii="宋体" w:eastAsia="宋体" w:hAnsi="宋体" w:cs="宋体"/>
          <w:spacing w:val="-9"/>
          <w:sz w:val="22"/>
          <w:szCs w:val="22"/>
        </w:rPr>
        <w:t>来肥胖病、心血管病等不良后果，几乎2/3的美国人超重或肥胖。营养过剩的弊</w:t>
      </w:r>
      <w:r>
        <w:rPr>
          <w:rFonts w:ascii="宋体" w:eastAsia="宋体" w:hAnsi="宋体" w:cs="宋体"/>
          <w:spacing w:val="3"/>
          <w:sz w:val="22"/>
          <w:szCs w:val="22"/>
        </w:rPr>
        <w:t xml:space="preserve"> </w:t>
      </w:r>
      <w:r>
        <w:rPr>
          <w:rFonts w:ascii="宋体" w:eastAsia="宋体" w:hAnsi="宋体" w:cs="宋体"/>
          <w:spacing w:val="-6"/>
          <w:sz w:val="22"/>
          <w:szCs w:val="22"/>
        </w:rPr>
        <w:t>端已引起人们的普遍关注，美国2005年的膳食指南强调，在选择食物时吃多种</w:t>
      </w:r>
      <w:r>
        <w:rPr>
          <w:rFonts w:ascii="宋体" w:eastAsia="宋体" w:hAnsi="宋体" w:cs="宋体"/>
          <w:spacing w:val="10"/>
          <w:sz w:val="22"/>
          <w:szCs w:val="22"/>
        </w:rPr>
        <w:t xml:space="preserve"> </w:t>
      </w:r>
      <w:r>
        <w:rPr>
          <w:rFonts w:ascii="宋体" w:eastAsia="宋体" w:hAnsi="宋体" w:cs="宋体"/>
          <w:spacing w:val="-12"/>
          <w:sz w:val="22"/>
          <w:szCs w:val="22"/>
        </w:rPr>
        <w:t>营养素密集的食物和饮料，限制摄入含有高脂肪、高胆固</w:t>
      </w:r>
      <w:r>
        <w:rPr>
          <w:rFonts w:ascii="宋体" w:eastAsia="宋体" w:hAnsi="宋体" w:cs="宋体"/>
          <w:spacing w:val="-13"/>
          <w:sz w:val="22"/>
          <w:szCs w:val="22"/>
        </w:rPr>
        <w:t>醇、高糖、高盐和酒精</w:t>
      </w:r>
      <w:r>
        <w:rPr>
          <w:rFonts w:ascii="宋体" w:eastAsia="宋体" w:hAnsi="宋体" w:cs="宋体"/>
          <w:sz w:val="22"/>
          <w:szCs w:val="22"/>
        </w:rPr>
        <w:t xml:space="preserve"> </w:t>
      </w:r>
      <w:r>
        <w:rPr>
          <w:rFonts w:ascii="宋体" w:eastAsia="宋体" w:hAnsi="宋体" w:cs="宋体"/>
          <w:spacing w:val="-6"/>
          <w:sz w:val="22"/>
          <w:szCs w:val="22"/>
        </w:rPr>
        <w:t>的食物，并增加蔬莱、水果和谷类(特别是粗全谷类制品)的摄入量。</w:t>
      </w:r>
    </w:p>
    <w:p w:rsidR="00EA40A3" w:rsidRDefault="00E86C16">
      <w:pPr>
        <w:spacing w:before="41" w:line="246" w:lineRule="auto"/>
        <w:ind w:left="59" w:right="40" w:firstLine="470"/>
        <w:jc w:val="both"/>
        <w:rPr>
          <w:rFonts w:ascii="宋体" w:eastAsia="宋体" w:hAnsi="宋体" w:cs="宋体"/>
          <w:sz w:val="22"/>
          <w:szCs w:val="22"/>
        </w:rPr>
      </w:pPr>
      <w:r>
        <w:rPr>
          <w:rFonts w:ascii="宋体" w:eastAsia="宋体" w:hAnsi="宋体" w:cs="宋体"/>
          <w:spacing w:val="-9"/>
          <w:sz w:val="22"/>
          <w:szCs w:val="22"/>
        </w:rPr>
        <w:t>(3)能量基本上满足人体需要，但食物质量不高，蛋白质和脂肪较少，尤其</w:t>
      </w:r>
      <w:r>
        <w:rPr>
          <w:rFonts w:ascii="宋体" w:eastAsia="宋体" w:hAnsi="宋体" w:cs="宋体"/>
          <w:spacing w:val="14"/>
          <w:sz w:val="22"/>
          <w:szCs w:val="22"/>
        </w:rPr>
        <w:t xml:space="preserve"> </w:t>
      </w:r>
      <w:r>
        <w:rPr>
          <w:rFonts w:ascii="宋体" w:eastAsia="宋体" w:hAnsi="宋体" w:cs="宋体"/>
          <w:sz w:val="22"/>
          <w:szCs w:val="22"/>
        </w:rPr>
        <w:t>是动物性食品提供的营养素不足，以素食为主，以印度、非洲等为代表。据</w:t>
      </w:r>
      <w:r>
        <w:rPr>
          <w:rFonts w:ascii="宋体" w:eastAsia="宋体" w:hAnsi="宋体" w:cs="宋体"/>
          <w:spacing w:val="11"/>
          <w:sz w:val="22"/>
          <w:szCs w:val="22"/>
        </w:rPr>
        <w:t xml:space="preserve"> </w:t>
      </w:r>
      <w:r>
        <w:rPr>
          <w:rFonts w:ascii="宋体" w:eastAsia="宋体" w:hAnsi="宋体" w:cs="宋体"/>
          <w:spacing w:val="-2"/>
          <w:sz w:val="22"/>
          <w:szCs w:val="22"/>
        </w:rPr>
        <w:t>FAO</w:t>
      </w:r>
      <w:r>
        <w:rPr>
          <w:rFonts w:ascii="宋体" w:eastAsia="宋体" w:hAnsi="宋体" w:cs="宋体"/>
          <w:spacing w:val="67"/>
          <w:sz w:val="22"/>
          <w:szCs w:val="22"/>
        </w:rPr>
        <w:t xml:space="preserve"> </w:t>
      </w:r>
      <w:r>
        <w:rPr>
          <w:rFonts w:ascii="宋体" w:eastAsia="宋体" w:hAnsi="宋体" w:cs="宋体"/>
          <w:spacing w:val="-2"/>
          <w:sz w:val="22"/>
          <w:szCs w:val="22"/>
        </w:rPr>
        <w:t>统计，2000年，印度人均日摄入能量为2427.9kcal,</w:t>
      </w:r>
      <w:r>
        <w:rPr>
          <w:rFonts w:ascii="宋体" w:eastAsia="宋体" w:hAnsi="宋体" w:cs="宋体"/>
          <w:spacing w:val="-63"/>
          <w:sz w:val="22"/>
          <w:szCs w:val="22"/>
        </w:rPr>
        <w:t xml:space="preserve"> </w:t>
      </w:r>
      <w:r>
        <w:rPr>
          <w:rFonts w:ascii="宋体" w:eastAsia="宋体" w:hAnsi="宋体" w:cs="宋体"/>
          <w:spacing w:val="-2"/>
          <w:sz w:val="22"/>
          <w:szCs w:val="22"/>
        </w:rPr>
        <w:t>蛋白质57.1g,</w:t>
      </w:r>
      <w:r>
        <w:rPr>
          <w:rFonts w:ascii="宋体" w:eastAsia="宋体" w:hAnsi="宋体" w:cs="宋体"/>
          <w:spacing w:val="-8"/>
          <w:sz w:val="22"/>
          <w:szCs w:val="22"/>
        </w:rPr>
        <w:t xml:space="preserve"> </w:t>
      </w:r>
      <w:r>
        <w:rPr>
          <w:rFonts w:ascii="宋体" w:eastAsia="宋体" w:hAnsi="宋体" w:cs="宋体"/>
          <w:spacing w:val="-2"/>
          <w:sz w:val="22"/>
          <w:szCs w:val="22"/>
        </w:rPr>
        <w:t>脂肪</w:t>
      </w:r>
      <w:r>
        <w:rPr>
          <w:rFonts w:ascii="宋体" w:eastAsia="宋体" w:hAnsi="宋体" w:cs="宋体"/>
          <w:sz w:val="22"/>
          <w:szCs w:val="22"/>
        </w:rPr>
        <w:t xml:space="preserve"> </w:t>
      </w:r>
      <w:r>
        <w:rPr>
          <w:rFonts w:ascii="宋体" w:eastAsia="宋体" w:hAnsi="宋体" w:cs="宋体"/>
          <w:spacing w:val="-8"/>
          <w:sz w:val="22"/>
          <w:szCs w:val="22"/>
        </w:rPr>
        <w:t>47.9g,</w:t>
      </w:r>
      <w:r>
        <w:rPr>
          <w:rFonts w:ascii="宋体" w:eastAsia="宋体" w:hAnsi="宋体" w:cs="宋体"/>
          <w:spacing w:val="-18"/>
          <w:sz w:val="22"/>
          <w:szCs w:val="22"/>
        </w:rPr>
        <w:t xml:space="preserve"> </w:t>
      </w:r>
      <w:r>
        <w:rPr>
          <w:rFonts w:ascii="宋体" w:eastAsia="宋体" w:hAnsi="宋体" w:cs="宋体"/>
          <w:spacing w:val="-8"/>
          <w:sz w:val="22"/>
          <w:szCs w:val="22"/>
        </w:rPr>
        <w:t>而且许多居民绝大部分营养素来自植物性食品。至于目前仍面临饥饿和</w:t>
      </w:r>
      <w:r>
        <w:rPr>
          <w:rFonts w:ascii="宋体" w:eastAsia="宋体" w:hAnsi="宋体" w:cs="宋体"/>
          <w:sz w:val="22"/>
          <w:szCs w:val="22"/>
        </w:rPr>
        <w:t xml:space="preserve"> </w:t>
      </w:r>
      <w:r>
        <w:rPr>
          <w:rFonts w:ascii="宋体" w:eastAsia="宋体" w:hAnsi="宋体" w:cs="宋体"/>
          <w:spacing w:val="-12"/>
          <w:sz w:val="22"/>
          <w:szCs w:val="22"/>
        </w:rPr>
        <w:t>营养不良威胁的非洲等地区的一些国家，首先是要解</w:t>
      </w:r>
      <w:r>
        <w:rPr>
          <w:rFonts w:ascii="宋体" w:eastAsia="宋体" w:hAnsi="宋体" w:cs="宋体"/>
          <w:spacing w:val="-13"/>
          <w:sz w:val="22"/>
          <w:szCs w:val="22"/>
        </w:rPr>
        <w:t>决温饱问题，进而全面提高</w:t>
      </w:r>
      <w:r>
        <w:rPr>
          <w:rFonts w:ascii="宋体" w:eastAsia="宋体" w:hAnsi="宋体" w:cs="宋体"/>
          <w:sz w:val="22"/>
          <w:szCs w:val="22"/>
        </w:rPr>
        <w:t xml:space="preserve"> </w:t>
      </w:r>
      <w:r>
        <w:rPr>
          <w:rFonts w:ascii="宋体" w:eastAsia="宋体" w:hAnsi="宋体" w:cs="宋体"/>
          <w:spacing w:val="-1"/>
          <w:sz w:val="22"/>
          <w:szCs w:val="22"/>
        </w:rPr>
        <w:t>营养水平.</w:t>
      </w:r>
    </w:p>
    <w:p w:rsidR="00EA40A3" w:rsidRDefault="00E86C16">
      <w:pPr>
        <w:spacing w:before="288" w:line="223" w:lineRule="auto"/>
        <w:ind w:left="59"/>
        <w:rPr>
          <w:rFonts w:ascii="仿宋" w:eastAsia="仿宋" w:hAnsi="仿宋" w:cs="仿宋"/>
          <w:sz w:val="22"/>
          <w:szCs w:val="22"/>
        </w:rPr>
      </w:pPr>
      <w:r>
        <w:rPr>
          <w:rFonts w:ascii="仿宋" w:eastAsia="仿宋" w:hAnsi="仿宋" w:cs="仿宋"/>
          <w:spacing w:val="3"/>
          <w:sz w:val="22"/>
          <w:szCs w:val="22"/>
        </w:rPr>
        <w:t>2.</w:t>
      </w:r>
      <w:r>
        <w:rPr>
          <w:rFonts w:ascii="仿宋" w:eastAsia="仿宋" w:hAnsi="仿宋" w:cs="仿宋"/>
          <w:spacing w:val="56"/>
          <w:sz w:val="22"/>
          <w:szCs w:val="22"/>
        </w:rPr>
        <w:t xml:space="preserve"> </w:t>
      </w:r>
      <w:r>
        <w:rPr>
          <w:rFonts w:ascii="仿宋" w:eastAsia="仿宋" w:hAnsi="仿宋" w:cs="仿宋"/>
          <w:spacing w:val="3"/>
          <w:sz w:val="22"/>
          <w:szCs w:val="22"/>
        </w:rPr>
        <w:t>我国的膳食结构</w:t>
      </w:r>
    </w:p>
    <w:p w:rsidR="00EA40A3" w:rsidRDefault="00E86C16">
      <w:pPr>
        <w:spacing w:before="182" w:line="225" w:lineRule="auto"/>
        <w:ind w:left="59"/>
        <w:rPr>
          <w:rFonts w:ascii="楷体" w:eastAsia="楷体" w:hAnsi="楷体" w:cs="楷体"/>
          <w:sz w:val="22"/>
          <w:szCs w:val="22"/>
        </w:rPr>
      </w:pPr>
      <w:r>
        <w:rPr>
          <w:rFonts w:ascii="楷体" w:eastAsia="楷体" w:hAnsi="楷体" w:cs="楷体"/>
          <w:spacing w:val="1"/>
          <w:sz w:val="22"/>
          <w:szCs w:val="22"/>
        </w:rPr>
        <w:t>1)食物消费情况</w:t>
      </w:r>
    </w:p>
    <w:p w:rsidR="00EA40A3" w:rsidRDefault="00E86C16">
      <w:pPr>
        <w:spacing w:before="54" w:line="248" w:lineRule="auto"/>
        <w:ind w:left="59" w:firstLine="470"/>
        <w:jc w:val="both"/>
        <w:rPr>
          <w:rFonts w:ascii="宋体" w:eastAsia="宋体" w:hAnsi="宋体" w:cs="宋体"/>
          <w:sz w:val="22"/>
          <w:szCs w:val="22"/>
        </w:rPr>
      </w:pPr>
      <w:r>
        <w:rPr>
          <w:rFonts w:ascii="宋体" w:eastAsia="宋体" w:hAnsi="宋体" w:cs="宋体"/>
          <w:spacing w:val="-11"/>
          <w:sz w:val="22"/>
          <w:szCs w:val="22"/>
        </w:rPr>
        <w:t>目前，我国城乡居民膳食质量明显提高，能量及蛋白质摄入得到基本满足，</w:t>
      </w:r>
      <w:r>
        <w:rPr>
          <w:rFonts w:ascii="宋体" w:eastAsia="宋体" w:hAnsi="宋体" w:cs="宋体"/>
          <w:spacing w:val="1"/>
          <w:sz w:val="22"/>
          <w:szCs w:val="22"/>
        </w:rPr>
        <w:t xml:space="preserve"> </w:t>
      </w:r>
      <w:r>
        <w:rPr>
          <w:rFonts w:ascii="宋体" w:eastAsia="宋体" w:hAnsi="宋体" w:cs="宋体"/>
          <w:spacing w:val="-12"/>
          <w:sz w:val="22"/>
          <w:szCs w:val="22"/>
        </w:rPr>
        <w:t>谷类、薯类消费量减少，肉、禽、蛋等动物性食物消费量明显</w:t>
      </w:r>
      <w:r>
        <w:rPr>
          <w:rFonts w:ascii="宋体" w:eastAsia="宋体" w:hAnsi="宋体" w:cs="宋体"/>
          <w:spacing w:val="-13"/>
          <w:sz w:val="22"/>
          <w:szCs w:val="22"/>
        </w:rPr>
        <w:t>增加，优质蛋白比</w:t>
      </w:r>
      <w:r>
        <w:rPr>
          <w:rFonts w:ascii="宋体" w:eastAsia="宋体" w:hAnsi="宋体" w:cs="宋体"/>
          <w:sz w:val="22"/>
          <w:szCs w:val="22"/>
        </w:rPr>
        <w:t xml:space="preserve">  </w:t>
      </w:r>
      <w:r>
        <w:rPr>
          <w:rFonts w:ascii="宋体" w:eastAsia="宋体" w:hAnsi="宋体" w:cs="宋体"/>
          <w:spacing w:val="-4"/>
          <w:sz w:val="22"/>
          <w:szCs w:val="22"/>
        </w:rPr>
        <w:t>例上升。与1992年相比，城乡居民动物性食物分别由人均每日消费210g</w:t>
      </w:r>
      <w:r>
        <w:rPr>
          <w:rFonts w:ascii="宋体" w:eastAsia="宋体" w:hAnsi="宋体" w:cs="宋体"/>
          <w:spacing w:val="-48"/>
          <w:sz w:val="22"/>
          <w:szCs w:val="22"/>
        </w:rPr>
        <w:t xml:space="preserve"> </w:t>
      </w:r>
      <w:r>
        <w:rPr>
          <w:rFonts w:ascii="宋体" w:eastAsia="宋体" w:hAnsi="宋体" w:cs="宋体"/>
          <w:spacing w:val="-4"/>
          <w:sz w:val="22"/>
          <w:szCs w:val="22"/>
        </w:rPr>
        <w:t>和69g</w:t>
      </w:r>
      <w:r>
        <w:rPr>
          <w:rFonts w:ascii="宋体" w:eastAsia="宋体" w:hAnsi="宋体" w:cs="宋体"/>
          <w:sz w:val="22"/>
          <w:szCs w:val="22"/>
        </w:rPr>
        <w:t xml:space="preserve">  </w:t>
      </w:r>
      <w:r>
        <w:rPr>
          <w:rFonts w:ascii="宋体" w:eastAsia="宋体" w:hAnsi="宋体" w:cs="宋体"/>
          <w:spacing w:val="-8"/>
          <w:sz w:val="22"/>
          <w:szCs w:val="22"/>
        </w:rPr>
        <w:t>上升到248g</w:t>
      </w:r>
      <w:r>
        <w:rPr>
          <w:rFonts w:ascii="宋体" w:eastAsia="宋体" w:hAnsi="宋体" w:cs="宋体"/>
          <w:spacing w:val="-43"/>
          <w:sz w:val="22"/>
          <w:szCs w:val="22"/>
        </w:rPr>
        <w:t xml:space="preserve"> </w:t>
      </w:r>
      <w:r>
        <w:rPr>
          <w:rFonts w:ascii="宋体" w:eastAsia="宋体" w:hAnsi="宋体" w:cs="宋体"/>
          <w:spacing w:val="-8"/>
          <w:sz w:val="22"/>
          <w:szCs w:val="22"/>
        </w:rPr>
        <w:t>和126g,</w:t>
      </w:r>
      <w:r>
        <w:rPr>
          <w:rFonts w:ascii="宋体" w:eastAsia="宋体" w:hAnsi="宋体" w:cs="宋体"/>
          <w:spacing w:val="-18"/>
          <w:sz w:val="22"/>
          <w:szCs w:val="22"/>
        </w:rPr>
        <w:t xml:space="preserve"> </w:t>
      </w:r>
      <w:r>
        <w:rPr>
          <w:rFonts w:ascii="宋体" w:eastAsia="宋体" w:hAnsi="宋体" w:cs="宋体"/>
          <w:spacing w:val="-8"/>
          <w:sz w:val="22"/>
          <w:szCs w:val="22"/>
        </w:rPr>
        <w:t>农村居民膳食结构趋向合理，优质蛋白质占蛋白质总量的</w:t>
      </w:r>
      <w:r>
        <w:rPr>
          <w:rFonts w:ascii="宋体" w:eastAsia="宋体" w:hAnsi="宋体" w:cs="宋体"/>
          <w:sz w:val="22"/>
          <w:szCs w:val="22"/>
        </w:rPr>
        <w:t xml:space="preserve">  </w:t>
      </w:r>
      <w:r>
        <w:rPr>
          <w:rFonts w:ascii="宋体" w:eastAsia="宋体" w:hAnsi="宋体" w:cs="宋体"/>
          <w:spacing w:val="9"/>
          <w:sz w:val="22"/>
          <w:szCs w:val="22"/>
        </w:rPr>
        <w:t>比例从17%增加到31%、脂肪供能比由19%增加到28%,碳水</w:t>
      </w:r>
      <w:r>
        <w:rPr>
          <w:rFonts w:ascii="宋体" w:eastAsia="宋体" w:hAnsi="宋体" w:cs="宋体"/>
          <w:spacing w:val="8"/>
          <w:sz w:val="22"/>
          <w:szCs w:val="22"/>
        </w:rPr>
        <w:t>化合物供能比由</w:t>
      </w:r>
      <w:r>
        <w:rPr>
          <w:rFonts w:ascii="宋体" w:eastAsia="宋体" w:hAnsi="宋体" w:cs="宋体"/>
          <w:sz w:val="22"/>
          <w:szCs w:val="22"/>
        </w:rPr>
        <w:t xml:space="preserve">  70%下降到61%。这种变化与经济发展呈一定的关系，但城市居民肉类及油脂</w:t>
      </w:r>
      <w:r>
        <w:rPr>
          <w:rFonts w:ascii="宋体" w:eastAsia="宋体" w:hAnsi="宋体" w:cs="宋体"/>
          <w:spacing w:val="5"/>
          <w:sz w:val="22"/>
          <w:szCs w:val="22"/>
        </w:rPr>
        <w:t xml:space="preserve">  </w:t>
      </w:r>
      <w:r>
        <w:rPr>
          <w:rFonts w:ascii="宋体" w:eastAsia="宋体" w:hAnsi="宋体" w:cs="宋体"/>
          <w:spacing w:val="1"/>
          <w:sz w:val="22"/>
          <w:szCs w:val="22"/>
        </w:rPr>
        <w:t>消费过多，谷类消费偏低。奶类、豆类制品消费量过低是全</w:t>
      </w:r>
      <w:r>
        <w:rPr>
          <w:rFonts w:ascii="宋体" w:eastAsia="宋体" w:hAnsi="宋体" w:cs="宋体"/>
          <w:sz w:val="22"/>
          <w:szCs w:val="22"/>
        </w:rPr>
        <w:t xml:space="preserve">国普遍存在的问 </w:t>
      </w:r>
      <w:r>
        <w:rPr>
          <w:rFonts w:ascii="宋体" w:eastAsia="宋体" w:hAnsi="宋体" w:cs="宋体"/>
          <w:spacing w:val="-2"/>
          <w:sz w:val="22"/>
          <w:szCs w:val="22"/>
        </w:rPr>
        <w:t>题(表12-7).</w:t>
      </w:r>
    </w:p>
    <w:p w:rsidR="00EA40A3" w:rsidRDefault="00EA40A3">
      <w:pPr>
        <w:spacing w:line="357" w:lineRule="auto"/>
      </w:pPr>
    </w:p>
    <w:p w:rsidR="00EA40A3" w:rsidRDefault="00E86C16">
      <w:pPr>
        <w:spacing w:before="56" w:line="214" w:lineRule="auto"/>
        <w:ind w:left="702"/>
        <w:rPr>
          <w:rFonts w:ascii="宋体" w:eastAsia="宋体" w:hAnsi="宋体" w:cs="宋体"/>
          <w:sz w:val="17"/>
          <w:szCs w:val="17"/>
        </w:rPr>
      </w:pPr>
      <w:r>
        <w:rPr>
          <w:rFonts w:ascii="宋体" w:eastAsia="宋体" w:hAnsi="宋体" w:cs="宋体"/>
          <w:b/>
          <w:bCs/>
          <w:spacing w:val="-3"/>
          <w:sz w:val="17"/>
          <w:szCs w:val="17"/>
        </w:rPr>
        <w:t>表12-71982、1992、2002年全国城乡居民的食物摄</w:t>
      </w:r>
      <w:r>
        <w:rPr>
          <w:rFonts w:ascii="宋体" w:eastAsia="宋体" w:hAnsi="宋体" w:cs="宋体"/>
          <w:b/>
          <w:bCs/>
          <w:spacing w:val="-4"/>
          <w:sz w:val="17"/>
          <w:szCs w:val="17"/>
        </w:rPr>
        <w:t>入量</w:t>
      </w:r>
      <w:r>
        <w:rPr>
          <w:rFonts w:ascii="宋体" w:eastAsia="宋体" w:hAnsi="宋体" w:cs="宋体"/>
          <w:spacing w:val="17"/>
          <w:sz w:val="17"/>
          <w:szCs w:val="17"/>
        </w:rPr>
        <w:t xml:space="preserve">  </w:t>
      </w:r>
      <w:r>
        <w:rPr>
          <w:rFonts w:ascii="宋体" w:eastAsia="宋体" w:hAnsi="宋体" w:cs="宋体"/>
          <w:b/>
          <w:bCs/>
          <w:spacing w:val="-4"/>
          <w:sz w:val="17"/>
          <w:szCs w:val="17"/>
        </w:rPr>
        <w:t>[单位：g/(标准人</w:t>
      </w:r>
      <w:r>
        <w:rPr>
          <w:rFonts w:ascii="宋体" w:eastAsia="宋体" w:hAnsi="宋体" w:cs="宋体"/>
          <w:spacing w:val="-18"/>
          <w:sz w:val="17"/>
          <w:szCs w:val="17"/>
        </w:rPr>
        <w:t xml:space="preserve"> </w:t>
      </w:r>
      <w:r>
        <w:rPr>
          <w:rFonts w:ascii="宋体" w:eastAsia="宋体" w:hAnsi="宋体" w:cs="宋体"/>
          <w:b/>
          <w:bCs/>
          <w:spacing w:val="-4"/>
          <w:sz w:val="17"/>
          <w:szCs w:val="17"/>
        </w:rPr>
        <w:t>·d)</w:t>
      </w:r>
    </w:p>
    <w:p w:rsidR="00EA40A3" w:rsidRDefault="00EA40A3">
      <w:pPr>
        <w:spacing w:line="59" w:lineRule="exact"/>
      </w:pP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85"/>
        <w:gridCol w:w="654"/>
        <w:gridCol w:w="639"/>
        <w:gridCol w:w="665"/>
        <w:gridCol w:w="660"/>
        <w:gridCol w:w="665"/>
        <w:gridCol w:w="679"/>
        <w:gridCol w:w="641"/>
        <w:gridCol w:w="634"/>
        <w:gridCol w:w="827"/>
      </w:tblGrid>
      <w:tr w:rsidR="00EA40A3">
        <w:trPr>
          <w:trHeight w:val="601"/>
        </w:trPr>
        <w:tc>
          <w:tcPr>
            <w:tcW w:w="1285" w:type="dxa"/>
            <w:tcBorders>
              <w:top w:val="single" w:sz="4" w:space="0" w:color="000000"/>
              <w:bottom w:val="single" w:sz="4" w:space="0" w:color="000000"/>
              <w:right w:val="nil"/>
            </w:tcBorders>
          </w:tcPr>
          <w:p w:rsidR="00EA40A3" w:rsidRDefault="00E86C16">
            <w:pPr>
              <w:spacing w:before="222" w:line="220" w:lineRule="auto"/>
              <w:ind w:left="659"/>
              <w:rPr>
                <w:rFonts w:ascii="宋体" w:eastAsia="宋体" w:hAnsi="宋体" w:cs="宋体"/>
                <w:sz w:val="17"/>
                <w:szCs w:val="17"/>
              </w:rPr>
            </w:pPr>
            <w:r>
              <w:rPr>
                <w:rFonts w:ascii="宋体" w:eastAsia="宋体" w:hAnsi="宋体" w:cs="宋体"/>
                <w:spacing w:val="-5"/>
                <w:sz w:val="17"/>
                <w:szCs w:val="17"/>
              </w:rPr>
              <w:t>项 目</w:t>
            </w:r>
          </w:p>
        </w:tc>
        <w:tc>
          <w:tcPr>
            <w:tcW w:w="1958" w:type="dxa"/>
            <w:gridSpan w:val="3"/>
            <w:tcBorders>
              <w:top w:val="single" w:sz="4" w:space="0" w:color="000000"/>
              <w:left w:val="nil"/>
              <w:bottom w:val="single" w:sz="4" w:space="0" w:color="000000"/>
              <w:right w:val="nil"/>
            </w:tcBorders>
          </w:tcPr>
          <w:p w:rsidR="00EA40A3" w:rsidRDefault="00E86C16">
            <w:pPr>
              <w:spacing w:before="102" w:line="219" w:lineRule="auto"/>
              <w:ind w:left="614"/>
              <w:rPr>
                <w:rFonts w:ascii="宋体" w:eastAsia="宋体" w:hAnsi="宋体" w:cs="宋体"/>
                <w:sz w:val="17"/>
                <w:szCs w:val="17"/>
              </w:rPr>
            </w:pPr>
            <w:r>
              <w:rPr>
                <w:rFonts w:ascii="宋体" w:eastAsia="宋体" w:hAnsi="宋体" w:cs="宋体"/>
                <w:spacing w:val="-2"/>
                <w:sz w:val="17"/>
                <w:szCs w:val="17"/>
              </w:rPr>
              <w:t>城乡合计</w:t>
            </w:r>
          </w:p>
          <w:p w:rsidR="00EA40A3" w:rsidRDefault="00E86C16">
            <w:pPr>
              <w:spacing w:before="98" w:line="216" w:lineRule="auto"/>
              <w:ind w:left="184"/>
              <w:rPr>
                <w:rFonts w:ascii="宋体" w:eastAsia="宋体" w:hAnsi="宋体" w:cs="宋体"/>
                <w:sz w:val="17"/>
                <w:szCs w:val="17"/>
              </w:rPr>
            </w:pPr>
            <w:r>
              <w:rPr>
                <w:rFonts w:ascii="宋体" w:eastAsia="宋体" w:hAnsi="宋体" w:cs="宋体"/>
                <w:sz w:val="17"/>
                <w:szCs w:val="17"/>
              </w:rPr>
              <w:t>1982年1992年2002年</w:t>
            </w:r>
          </w:p>
        </w:tc>
        <w:tc>
          <w:tcPr>
            <w:tcW w:w="2004" w:type="dxa"/>
            <w:gridSpan w:val="3"/>
            <w:tcBorders>
              <w:top w:val="single" w:sz="4" w:space="0" w:color="000000"/>
              <w:left w:val="nil"/>
              <w:bottom w:val="single" w:sz="4" w:space="0" w:color="000000"/>
              <w:right w:val="nil"/>
            </w:tcBorders>
          </w:tcPr>
          <w:p w:rsidR="00EA40A3" w:rsidRDefault="00E86C16">
            <w:pPr>
              <w:spacing w:before="72" w:line="219" w:lineRule="auto"/>
              <w:ind w:left="826"/>
              <w:rPr>
                <w:rFonts w:ascii="宋体" w:eastAsia="宋体" w:hAnsi="宋体" w:cs="宋体"/>
                <w:sz w:val="17"/>
                <w:szCs w:val="17"/>
              </w:rPr>
            </w:pPr>
            <w:r>
              <w:rPr>
                <w:rFonts w:ascii="宋体" w:eastAsia="宋体" w:hAnsi="宋体" w:cs="宋体"/>
                <w:spacing w:val="-2"/>
                <w:sz w:val="17"/>
                <w:szCs w:val="17"/>
              </w:rPr>
              <w:t>城市</w:t>
            </w:r>
          </w:p>
          <w:p w:rsidR="00EA40A3" w:rsidRDefault="00E86C16">
            <w:pPr>
              <w:spacing w:before="128" w:line="216" w:lineRule="auto"/>
              <w:ind w:left="136"/>
              <w:rPr>
                <w:rFonts w:ascii="宋体" w:eastAsia="宋体" w:hAnsi="宋体" w:cs="宋体"/>
                <w:sz w:val="17"/>
                <w:szCs w:val="17"/>
              </w:rPr>
            </w:pPr>
            <w:r>
              <w:rPr>
                <w:rFonts w:ascii="宋体" w:eastAsia="宋体" w:hAnsi="宋体" w:cs="宋体"/>
                <w:sz w:val="17"/>
                <w:szCs w:val="17"/>
              </w:rPr>
              <w:t>1982年1992年2002年</w:t>
            </w:r>
          </w:p>
        </w:tc>
        <w:tc>
          <w:tcPr>
            <w:tcW w:w="2102" w:type="dxa"/>
            <w:gridSpan w:val="3"/>
            <w:tcBorders>
              <w:top w:val="single" w:sz="4" w:space="0" w:color="000000"/>
              <w:left w:val="nil"/>
              <w:bottom w:val="single" w:sz="4" w:space="0" w:color="000000"/>
            </w:tcBorders>
          </w:tcPr>
          <w:p w:rsidR="00EA40A3" w:rsidRDefault="00E86C16">
            <w:pPr>
              <w:spacing w:before="90" w:line="219" w:lineRule="auto"/>
              <w:ind w:left="822"/>
              <w:rPr>
                <w:rFonts w:ascii="宋体" w:eastAsia="宋体" w:hAnsi="宋体" w:cs="宋体"/>
                <w:sz w:val="17"/>
                <w:szCs w:val="17"/>
              </w:rPr>
            </w:pPr>
            <w:r>
              <w:rPr>
                <w:rFonts w:ascii="宋体" w:eastAsia="宋体" w:hAnsi="宋体" w:cs="宋体"/>
                <w:spacing w:val="-2"/>
                <w:sz w:val="17"/>
                <w:szCs w:val="17"/>
              </w:rPr>
              <w:t>农村</w:t>
            </w:r>
          </w:p>
          <w:p w:rsidR="00EA40A3" w:rsidRDefault="00E86C16">
            <w:pPr>
              <w:spacing w:before="99" w:line="219" w:lineRule="auto"/>
              <w:ind w:left="82"/>
              <w:rPr>
                <w:rFonts w:ascii="宋体" w:eastAsia="宋体" w:hAnsi="宋体" w:cs="宋体"/>
                <w:sz w:val="17"/>
                <w:szCs w:val="17"/>
              </w:rPr>
            </w:pPr>
            <w:r>
              <w:rPr>
                <w:rFonts w:ascii="宋体" w:eastAsia="宋体" w:hAnsi="宋体" w:cs="宋体"/>
                <w:sz w:val="17"/>
                <w:szCs w:val="17"/>
              </w:rPr>
              <w:t>1982年1992年2002年</w:t>
            </w:r>
          </w:p>
        </w:tc>
      </w:tr>
      <w:tr w:rsidR="00EA40A3">
        <w:trPr>
          <w:trHeight w:val="334"/>
        </w:trPr>
        <w:tc>
          <w:tcPr>
            <w:tcW w:w="1285" w:type="dxa"/>
            <w:tcBorders>
              <w:top w:val="single" w:sz="4" w:space="0" w:color="000000"/>
            </w:tcBorders>
          </w:tcPr>
          <w:p w:rsidR="00EA40A3" w:rsidRDefault="00E86C16">
            <w:pPr>
              <w:spacing w:before="91" w:line="219" w:lineRule="auto"/>
              <w:ind w:left="150"/>
              <w:rPr>
                <w:rFonts w:ascii="宋体" w:eastAsia="宋体" w:hAnsi="宋体" w:cs="宋体"/>
                <w:sz w:val="17"/>
                <w:szCs w:val="17"/>
              </w:rPr>
            </w:pPr>
            <w:r>
              <w:rPr>
                <w:rFonts w:ascii="宋体" w:eastAsia="宋体" w:hAnsi="宋体" w:cs="宋体"/>
                <w:spacing w:val="3"/>
                <w:sz w:val="17"/>
                <w:szCs w:val="17"/>
              </w:rPr>
              <w:t>米及其制品</w:t>
            </w:r>
          </w:p>
        </w:tc>
        <w:tc>
          <w:tcPr>
            <w:tcW w:w="654" w:type="dxa"/>
            <w:tcBorders>
              <w:top w:val="single" w:sz="4" w:space="0" w:color="000000"/>
            </w:tcBorders>
          </w:tcPr>
          <w:p w:rsidR="00EA40A3" w:rsidRDefault="00E86C16">
            <w:pPr>
              <w:spacing w:before="133" w:line="184" w:lineRule="auto"/>
              <w:ind w:left="134"/>
              <w:rPr>
                <w:rFonts w:ascii="宋体" w:eastAsia="宋体" w:hAnsi="宋体" w:cs="宋体"/>
                <w:sz w:val="17"/>
                <w:szCs w:val="17"/>
              </w:rPr>
            </w:pPr>
            <w:r>
              <w:rPr>
                <w:rFonts w:ascii="宋体" w:eastAsia="宋体" w:hAnsi="宋体" w:cs="宋体"/>
                <w:spacing w:val="-2"/>
                <w:sz w:val="17"/>
                <w:szCs w:val="17"/>
              </w:rPr>
              <w:t>217.0</w:t>
            </w:r>
          </w:p>
        </w:tc>
        <w:tc>
          <w:tcPr>
            <w:tcW w:w="639" w:type="dxa"/>
            <w:tcBorders>
              <w:top w:val="single" w:sz="4" w:space="0" w:color="000000"/>
            </w:tcBorders>
          </w:tcPr>
          <w:p w:rsidR="00EA40A3" w:rsidRDefault="00E86C16">
            <w:pPr>
              <w:spacing w:before="134" w:line="183" w:lineRule="auto"/>
              <w:ind w:left="110"/>
              <w:rPr>
                <w:rFonts w:ascii="宋体" w:eastAsia="宋体" w:hAnsi="宋体" w:cs="宋体"/>
                <w:sz w:val="17"/>
                <w:szCs w:val="17"/>
              </w:rPr>
            </w:pPr>
            <w:r>
              <w:rPr>
                <w:rFonts w:ascii="宋体" w:eastAsia="宋体" w:hAnsi="宋体" w:cs="宋体"/>
                <w:spacing w:val="-2"/>
                <w:sz w:val="17"/>
                <w:szCs w:val="17"/>
              </w:rPr>
              <w:t>226.7</w:t>
            </w:r>
          </w:p>
        </w:tc>
        <w:tc>
          <w:tcPr>
            <w:tcW w:w="665" w:type="dxa"/>
            <w:tcBorders>
              <w:top w:val="single" w:sz="4" w:space="0" w:color="000000"/>
            </w:tcBorders>
          </w:tcPr>
          <w:p w:rsidR="00EA40A3" w:rsidRDefault="00E86C16">
            <w:pPr>
              <w:spacing w:before="134" w:line="183" w:lineRule="auto"/>
              <w:ind w:left="121"/>
              <w:rPr>
                <w:rFonts w:ascii="宋体" w:eastAsia="宋体" w:hAnsi="宋体" w:cs="宋体"/>
                <w:sz w:val="17"/>
                <w:szCs w:val="17"/>
              </w:rPr>
            </w:pPr>
            <w:r>
              <w:rPr>
                <w:rFonts w:ascii="宋体" w:eastAsia="宋体" w:hAnsi="宋体" w:cs="宋体"/>
                <w:spacing w:val="-2"/>
                <w:sz w:val="17"/>
                <w:szCs w:val="17"/>
              </w:rPr>
              <w:t>239.9</w:t>
            </w:r>
          </w:p>
        </w:tc>
        <w:tc>
          <w:tcPr>
            <w:tcW w:w="660" w:type="dxa"/>
            <w:tcBorders>
              <w:top w:val="single" w:sz="4" w:space="0" w:color="000000"/>
            </w:tcBorders>
          </w:tcPr>
          <w:p w:rsidR="00EA40A3" w:rsidRDefault="00E86C16">
            <w:pPr>
              <w:spacing w:before="133" w:line="184" w:lineRule="auto"/>
              <w:ind w:left="136"/>
              <w:rPr>
                <w:rFonts w:ascii="宋体" w:eastAsia="宋体" w:hAnsi="宋体" w:cs="宋体"/>
                <w:sz w:val="17"/>
                <w:szCs w:val="17"/>
              </w:rPr>
            </w:pPr>
            <w:r>
              <w:rPr>
                <w:rFonts w:ascii="宋体" w:eastAsia="宋体" w:hAnsi="宋体" w:cs="宋体"/>
                <w:spacing w:val="-2"/>
                <w:sz w:val="17"/>
                <w:szCs w:val="17"/>
              </w:rPr>
              <w:t>217.0</w:t>
            </w:r>
          </w:p>
        </w:tc>
        <w:tc>
          <w:tcPr>
            <w:tcW w:w="665" w:type="dxa"/>
            <w:tcBorders>
              <w:top w:val="single" w:sz="4" w:space="0" w:color="000000"/>
            </w:tcBorders>
          </w:tcPr>
          <w:p w:rsidR="00EA40A3" w:rsidRDefault="00E86C16">
            <w:pPr>
              <w:spacing w:before="133" w:line="184" w:lineRule="auto"/>
              <w:ind w:left="116"/>
              <w:rPr>
                <w:rFonts w:ascii="宋体" w:eastAsia="宋体" w:hAnsi="宋体" w:cs="宋体"/>
                <w:sz w:val="17"/>
                <w:szCs w:val="17"/>
              </w:rPr>
            </w:pPr>
            <w:r>
              <w:rPr>
                <w:rFonts w:ascii="宋体" w:eastAsia="宋体" w:hAnsi="宋体" w:cs="宋体"/>
                <w:spacing w:val="-2"/>
                <w:sz w:val="17"/>
                <w:szCs w:val="17"/>
              </w:rPr>
              <w:t>223.1</w:t>
            </w:r>
          </w:p>
        </w:tc>
        <w:tc>
          <w:tcPr>
            <w:tcW w:w="679" w:type="dxa"/>
            <w:tcBorders>
              <w:top w:val="single" w:sz="4" w:space="0" w:color="000000"/>
            </w:tcBorders>
          </w:tcPr>
          <w:p w:rsidR="00EA40A3" w:rsidRDefault="00E86C16">
            <w:pPr>
              <w:spacing w:before="133" w:line="184" w:lineRule="auto"/>
              <w:ind w:left="151"/>
              <w:rPr>
                <w:rFonts w:ascii="宋体" w:eastAsia="宋体" w:hAnsi="宋体" w:cs="宋体"/>
                <w:sz w:val="17"/>
                <w:szCs w:val="17"/>
              </w:rPr>
            </w:pPr>
            <w:r>
              <w:rPr>
                <w:rFonts w:ascii="宋体" w:eastAsia="宋体" w:hAnsi="宋体" w:cs="宋体"/>
                <w:spacing w:val="-2"/>
                <w:sz w:val="17"/>
                <w:szCs w:val="17"/>
              </w:rPr>
              <w:t>217.8</w:t>
            </w:r>
          </w:p>
        </w:tc>
        <w:tc>
          <w:tcPr>
            <w:tcW w:w="641" w:type="dxa"/>
            <w:tcBorders>
              <w:top w:val="single" w:sz="4" w:space="0" w:color="000000"/>
            </w:tcBorders>
          </w:tcPr>
          <w:p w:rsidR="00EA40A3" w:rsidRDefault="00E86C16">
            <w:pPr>
              <w:spacing w:before="133" w:line="184" w:lineRule="auto"/>
              <w:ind w:left="123"/>
              <w:rPr>
                <w:rFonts w:ascii="宋体" w:eastAsia="宋体" w:hAnsi="宋体" w:cs="宋体"/>
                <w:sz w:val="17"/>
                <w:szCs w:val="17"/>
              </w:rPr>
            </w:pPr>
            <w:r>
              <w:rPr>
                <w:rFonts w:ascii="宋体" w:eastAsia="宋体" w:hAnsi="宋体" w:cs="宋体"/>
                <w:spacing w:val="-2"/>
                <w:sz w:val="17"/>
                <w:szCs w:val="17"/>
              </w:rPr>
              <w:t>217.0</w:t>
            </w:r>
          </w:p>
        </w:tc>
        <w:tc>
          <w:tcPr>
            <w:tcW w:w="634" w:type="dxa"/>
            <w:tcBorders>
              <w:top w:val="single" w:sz="4" w:space="0" w:color="000000"/>
            </w:tcBorders>
          </w:tcPr>
          <w:p w:rsidR="00EA40A3" w:rsidRDefault="00E86C16">
            <w:pPr>
              <w:spacing w:before="134" w:line="183" w:lineRule="auto"/>
              <w:ind w:left="112"/>
              <w:rPr>
                <w:rFonts w:ascii="宋体" w:eastAsia="宋体" w:hAnsi="宋体" w:cs="宋体"/>
                <w:sz w:val="17"/>
                <w:szCs w:val="17"/>
              </w:rPr>
            </w:pPr>
            <w:r>
              <w:rPr>
                <w:rFonts w:ascii="宋体" w:eastAsia="宋体" w:hAnsi="宋体" w:cs="宋体"/>
                <w:spacing w:val="-2"/>
                <w:sz w:val="17"/>
                <w:szCs w:val="17"/>
              </w:rPr>
              <w:t>255.8</w:t>
            </w:r>
          </w:p>
        </w:tc>
        <w:tc>
          <w:tcPr>
            <w:tcW w:w="827" w:type="dxa"/>
            <w:tcBorders>
              <w:top w:val="single" w:sz="4" w:space="0" w:color="000000"/>
            </w:tcBorders>
          </w:tcPr>
          <w:p w:rsidR="00EA40A3" w:rsidRDefault="00E86C16">
            <w:pPr>
              <w:spacing w:before="134" w:line="183" w:lineRule="auto"/>
              <w:ind w:left="117"/>
              <w:rPr>
                <w:rFonts w:ascii="宋体" w:eastAsia="宋体" w:hAnsi="宋体" w:cs="宋体"/>
                <w:sz w:val="17"/>
                <w:szCs w:val="17"/>
              </w:rPr>
            </w:pPr>
            <w:r>
              <w:rPr>
                <w:rFonts w:ascii="宋体" w:eastAsia="宋体" w:hAnsi="宋体" w:cs="宋体"/>
                <w:spacing w:val="-2"/>
                <w:sz w:val="17"/>
                <w:szCs w:val="17"/>
              </w:rPr>
              <w:t>248.4</w:t>
            </w:r>
          </w:p>
        </w:tc>
      </w:tr>
      <w:tr w:rsidR="00EA40A3">
        <w:trPr>
          <w:trHeight w:val="322"/>
        </w:trPr>
        <w:tc>
          <w:tcPr>
            <w:tcW w:w="1285" w:type="dxa"/>
          </w:tcPr>
          <w:p w:rsidR="00EA40A3" w:rsidRDefault="00E86C16">
            <w:pPr>
              <w:spacing w:before="87" w:line="220" w:lineRule="auto"/>
              <w:ind w:left="299"/>
              <w:rPr>
                <w:rFonts w:ascii="宋体" w:eastAsia="宋体" w:hAnsi="宋体" w:cs="宋体"/>
                <w:sz w:val="17"/>
                <w:szCs w:val="17"/>
              </w:rPr>
            </w:pPr>
            <w:r>
              <w:rPr>
                <w:rFonts w:ascii="宋体" w:eastAsia="宋体" w:hAnsi="宋体" w:cs="宋体"/>
                <w:spacing w:val="3"/>
                <w:sz w:val="17"/>
                <w:szCs w:val="17"/>
              </w:rPr>
              <w:t>面及其制品</w:t>
            </w:r>
          </w:p>
        </w:tc>
        <w:tc>
          <w:tcPr>
            <w:tcW w:w="654" w:type="dxa"/>
          </w:tcPr>
          <w:p w:rsidR="00EA40A3" w:rsidRDefault="00E86C16">
            <w:pPr>
              <w:spacing w:before="129" w:line="184" w:lineRule="auto"/>
              <w:ind w:left="134"/>
              <w:rPr>
                <w:rFonts w:ascii="宋体" w:eastAsia="宋体" w:hAnsi="宋体" w:cs="宋体"/>
                <w:sz w:val="17"/>
                <w:szCs w:val="17"/>
              </w:rPr>
            </w:pPr>
            <w:r>
              <w:rPr>
                <w:rFonts w:ascii="宋体" w:eastAsia="宋体" w:hAnsi="宋体" w:cs="宋体"/>
                <w:spacing w:val="-4"/>
                <w:sz w:val="17"/>
                <w:szCs w:val="17"/>
              </w:rPr>
              <w:t>189.2</w:t>
            </w:r>
          </w:p>
        </w:tc>
        <w:tc>
          <w:tcPr>
            <w:tcW w:w="639" w:type="dxa"/>
          </w:tcPr>
          <w:p w:rsidR="00EA40A3" w:rsidRDefault="00E86C16">
            <w:pPr>
              <w:spacing w:before="119" w:line="184" w:lineRule="auto"/>
              <w:ind w:left="110"/>
              <w:rPr>
                <w:rFonts w:ascii="宋体" w:eastAsia="宋体" w:hAnsi="宋体" w:cs="宋体"/>
                <w:sz w:val="17"/>
                <w:szCs w:val="17"/>
              </w:rPr>
            </w:pPr>
            <w:r>
              <w:rPr>
                <w:rFonts w:ascii="宋体" w:eastAsia="宋体" w:hAnsi="宋体" w:cs="宋体"/>
                <w:spacing w:val="-4"/>
                <w:sz w:val="17"/>
                <w:szCs w:val="17"/>
              </w:rPr>
              <w:t>178.7</w:t>
            </w:r>
          </w:p>
        </w:tc>
        <w:tc>
          <w:tcPr>
            <w:tcW w:w="665" w:type="dxa"/>
          </w:tcPr>
          <w:p w:rsidR="00EA40A3" w:rsidRDefault="00E86C16">
            <w:pPr>
              <w:spacing w:before="129" w:line="184" w:lineRule="auto"/>
              <w:ind w:left="121"/>
              <w:rPr>
                <w:rFonts w:ascii="宋体" w:eastAsia="宋体" w:hAnsi="宋体" w:cs="宋体"/>
                <w:sz w:val="17"/>
                <w:szCs w:val="17"/>
              </w:rPr>
            </w:pPr>
            <w:r>
              <w:rPr>
                <w:rFonts w:ascii="宋体" w:eastAsia="宋体" w:hAnsi="宋体" w:cs="宋体"/>
                <w:spacing w:val="-4"/>
                <w:sz w:val="17"/>
                <w:szCs w:val="17"/>
              </w:rPr>
              <w:t>138.5</w:t>
            </w:r>
          </w:p>
        </w:tc>
        <w:tc>
          <w:tcPr>
            <w:tcW w:w="660" w:type="dxa"/>
          </w:tcPr>
          <w:p w:rsidR="00EA40A3" w:rsidRDefault="00E86C16">
            <w:pPr>
              <w:spacing w:before="129" w:line="184" w:lineRule="auto"/>
              <w:ind w:left="136"/>
              <w:rPr>
                <w:rFonts w:ascii="宋体" w:eastAsia="宋体" w:hAnsi="宋体" w:cs="宋体"/>
                <w:sz w:val="17"/>
                <w:szCs w:val="17"/>
              </w:rPr>
            </w:pPr>
            <w:r>
              <w:rPr>
                <w:rFonts w:ascii="宋体" w:eastAsia="宋体" w:hAnsi="宋体" w:cs="宋体"/>
                <w:spacing w:val="-2"/>
                <w:sz w:val="17"/>
                <w:szCs w:val="17"/>
              </w:rPr>
              <w:t>218.0</w:t>
            </w:r>
          </w:p>
        </w:tc>
        <w:tc>
          <w:tcPr>
            <w:tcW w:w="665" w:type="dxa"/>
          </w:tcPr>
          <w:p w:rsidR="00EA40A3" w:rsidRDefault="00E86C16">
            <w:pPr>
              <w:spacing w:before="129" w:line="184" w:lineRule="auto"/>
              <w:ind w:left="116"/>
              <w:rPr>
                <w:rFonts w:ascii="宋体" w:eastAsia="宋体" w:hAnsi="宋体" w:cs="宋体"/>
                <w:sz w:val="17"/>
                <w:szCs w:val="17"/>
              </w:rPr>
            </w:pPr>
            <w:r>
              <w:rPr>
                <w:rFonts w:ascii="宋体" w:eastAsia="宋体" w:hAnsi="宋体" w:cs="宋体"/>
                <w:spacing w:val="-4"/>
                <w:sz w:val="17"/>
                <w:szCs w:val="17"/>
              </w:rPr>
              <w:t>165.3</w:t>
            </w:r>
          </w:p>
        </w:tc>
        <w:tc>
          <w:tcPr>
            <w:tcW w:w="679" w:type="dxa"/>
          </w:tcPr>
          <w:p w:rsidR="00EA40A3" w:rsidRDefault="00E86C16">
            <w:pPr>
              <w:spacing w:before="119" w:line="184" w:lineRule="auto"/>
              <w:ind w:left="151"/>
              <w:rPr>
                <w:rFonts w:ascii="宋体" w:eastAsia="宋体" w:hAnsi="宋体" w:cs="宋体"/>
                <w:sz w:val="17"/>
                <w:szCs w:val="17"/>
              </w:rPr>
            </w:pPr>
            <w:r>
              <w:rPr>
                <w:rFonts w:ascii="宋体" w:eastAsia="宋体" w:hAnsi="宋体" w:cs="宋体"/>
                <w:spacing w:val="-4"/>
                <w:sz w:val="17"/>
                <w:szCs w:val="17"/>
              </w:rPr>
              <w:t>132.0</w:t>
            </w:r>
          </w:p>
        </w:tc>
        <w:tc>
          <w:tcPr>
            <w:tcW w:w="641" w:type="dxa"/>
          </w:tcPr>
          <w:p w:rsidR="00EA40A3" w:rsidRDefault="00E86C16">
            <w:pPr>
              <w:spacing w:before="129" w:line="184" w:lineRule="auto"/>
              <w:ind w:left="123"/>
              <w:rPr>
                <w:rFonts w:ascii="宋体" w:eastAsia="宋体" w:hAnsi="宋体" w:cs="宋体"/>
                <w:sz w:val="17"/>
                <w:szCs w:val="17"/>
              </w:rPr>
            </w:pPr>
            <w:r>
              <w:rPr>
                <w:rFonts w:ascii="宋体" w:eastAsia="宋体" w:hAnsi="宋体" w:cs="宋体"/>
                <w:spacing w:val="-4"/>
                <w:sz w:val="17"/>
                <w:szCs w:val="17"/>
              </w:rPr>
              <w:t>177.0</w:t>
            </w:r>
          </w:p>
        </w:tc>
        <w:tc>
          <w:tcPr>
            <w:tcW w:w="634" w:type="dxa"/>
          </w:tcPr>
          <w:p w:rsidR="00EA40A3" w:rsidRDefault="00E86C16">
            <w:pPr>
              <w:spacing w:before="129" w:line="184" w:lineRule="auto"/>
              <w:ind w:left="112"/>
              <w:rPr>
                <w:rFonts w:ascii="宋体" w:eastAsia="宋体" w:hAnsi="宋体" w:cs="宋体"/>
                <w:sz w:val="17"/>
                <w:szCs w:val="17"/>
              </w:rPr>
            </w:pPr>
            <w:r>
              <w:rPr>
                <w:rFonts w:ascii="宋体" w:eastAsia="宋体" w:hAnsi="宋体" w:cs="宋体"/>
                <w:spacing w:val="-4"/>
                <w:sz w:val="17"/>
                <w:szCs w:val="17"/>
              </w:rPr>
              <w:t>189.1</w:t>
            </w:r>
          </w:p>
        </w:tc>
        <w:tc>
          <w:tcPr>
            <w:tcW w:w="827" w:type="dxa"/>
          </w:tcPr>
          <w:p w:rsidR="00EA40A3" w:rsidRDefault="00E86C16">
            <w:pPr>
              <w:spacing w:before="139" w:line="184" w:lineRule="auto"/>
              <w:ind w:left="117"/>
              <w:rPr>
                <w:rFonts w:ascii="宋体" w:eastAsia="宋体" w:hAnsi="宋体" w:cs="宋体"/>
                <w:sz w:val="17"/>
                <w:szCs w:val="17"/>
              </w:rPr>
            </w:pPr>
            <w:r>
              <w:rPr>
                <w:rFonts w:ascii="宋体" w:eastAsia="宋体" w:hAnsi="宋体" w:cs="宋体"/>
                <w:spacing w:val="-4"/>
                <w:sz w:val="17"/>
                <w:szCs w:val="17"/>
              </w:rPr>
              <w:t>141.0</w:t>
            </w:r>
          </w:p>
        </w:tc>
      </w:tr>
      <w:tr w:rsidR="00EA40A3">
        <w:trPr>
          <w:trHeight w:val="283"/>
        </w:trPr>
        <w:tc>
          <w:tcPr>
            <w:tcW w:w="1285" w:type="dxa"/>
            <w:tcBorders>
              <w:bottom w:val="single" w:sz="4" w:space="0" w:color="000000"/>
            </w:tcBorders>
          </w:tcPr>
          <w:p w:rsidR="00EA40A3" w:rsidRDefault="00E86C16">
            <w:pPr>
              <w:spacing w:before="75" w:line="219" w:lineRule="auto"/>
              <w:ind w:left="319"/>
              <w:rPr>
                <w:rFonts w:ascii="宋体" w:eastAsia="宋体" w:hAnsi="宋体" w:cs="宋体"/>
                <w:sz w:val="17"/>
                <w:szCs w:val="17"/>
              </w:rPr>
            </w:pPr>
            <w:r>
              <w:rPr>
                <w:rFonts w:ascii="宋体" w:eastAsia="宋体" w:hAnsi="宋体" w:cs="宋体"/>
                <w:spacing w:val="-2"/>
                <w:sz w:val="17"/>
                <w:szCs w:val="17"/>
              </w:rPr>
              <w:t>其他谷类</w:t>
            </w:r>
          </w:p>
        </w:tc>
        <w:tc>
          <w:tcPr>
            <w:tcW w:w="654" w:type="dxa"/>
            <w:tcBorders>
              <w:bottom w:val="single" w:sz="4" w:space="0" w:color="000000"/>
            </w:tcBorders>
          </w:tcPr>
          <w:p w:rsidR="00EA40A3" w:rsidRDefault="00E86C16">
            <w:pPr>
              <w:spacing w:before="128" w:line="168" w:lineRule="auto"/>
              <w:ind w:left="134"/>
              <w:rPr>
                <w:rFonts w:ascii="宋体" w:eastAsia="宋体" w:hAnsi="宋体" w:cs="宋体"/>
                <w:sz w:val="17"/>
                <w:szCs w:val="17"/>
              </w:rPr>
            </w:pPr>
            <w:r>
              <w:rPr>
                <w:rFonts w:ascii="宋体" w:eastAsia="宋体" w:hAnsi="宋体" w:cs="宋体"/>
                <w:spacing w:val="-4"/>
                <w:sz w:val="17"/>
                <w:szCs w:val="17"/>
              </w:rPr>
              <w:t>103.5</w:t>
            </w:r>
          </w:p>
        </w:tc>
        <w:tc>
          <w:tcPr>
            <w:tcW w:w="639" w:type="dxa"/>
            <w:tcBorders>
              <w:bottom w:val="single" w:sz="4" w:space="0" w:color="000000"/>
            </w:tcBorders>
          </w:tcPr>
          <w:p w:rsidR="00EA40A3" w:rsidRDefault="00E86C16">
            <w:pPr>
              <w:spacing w:before="108" w:line="183" w:lineRule="auto"/>
              <w:ind w:left="160"/>
              <w:rPr>
                <w:rFonts w:ascii="宋体" w:eastAsia="宋体" w:hAnsi="宋体" w:cs="宋体"/>
                <w:sz w:val="17"/>
                <w:szCs w:val="17"/>
              </w:rPr>
            </w:pPr>
            <w:r>
              <w:rPr>
                <w:rFonts w:ascii="宋体" w:eastAsia="宋体" w:hAnsi="宋体" w:cs="宋体"/>
                <w:spacing w:val="-2"/>
                <w:sz w:val="17"/>
                <w:szCs w:val="17"/>
              </w:rPr>
              <w:t>34.5</w:t>
            </w:r>
          </w:p>
        </w:tc>
        <w:tc>
          <w:tcPr>
            <w:tcW w:w="665" w:type="dxa"/>
            <w:tcBorders>
              <w:bottom w:val="single" w:sz="4" w:space="0" w:color="000000"/>
            </w:tcBorders>
          </w:tcPr>
          <w:p w:rsidR="00EA40A3" w:rsidRDefault="00E86C16">
            <w:pPr>
              <w:spacing w:before="129" w:line="167" w:lineRule="auto"/>
              <w:ind w:left="121"/>
              <w:rPr>
                <w:rFonts w:ascii="宋体" w:eastAsia="宋体" w:hAnsi="宋体" w:cs="宋体"/>
                <w:sz w:val="17"/>
                <w:szCs w:val="17"/>
              </w:rPr>
            </w:pPr>
            <w:r>
              <w:rPr>
                <w:rFonts w:ascii="宋体" w:eastAsia="宋体" w:hAnsi="宋体" w:cs="宋体"/>
                <w:spacing w:val="-2"/>
                <w:sz w:val="17"/>
                <w:szCs w:val="17"/>
              </w:rPr>
              <w:t>23.3</w:t>
            </w:r>
          </w:p>
        </w:tc>
        <w:tc>
          <w:tcPr>
            <w:tcW w:w="660" w:type="dxa"/>
            <w:tcBorders>
              <w:bottom w:val="single" w:sz="4" w:space="0" w:color="000000"/>
            </w:tcBorders>
          </w:tcPr>
          <w:p w:rsidR="00EA40A3" w:rsidRDefault="00E86C16">
            <w:pPr>
              <w:spacing w:before="138" w:line="157" w:lineRule="auto"/>
              <w:ind w:left="176"/>
              <w:rPr>
                <w:rFonts w:ascii="宋体" w:eastAsia="宋体" w:hAnsi="宋体" w:cs="宋体"/>
                <w:sz w:val="17"/>
                <w:szCs w:val="17"/>
              </w:rPr>
            </w:pPr>
            <w:r>
              <w:rPr>
                <w:rFonts w:ascii="宋体" w:eastAsia="宋体" w:hAnsi="宋体" w:cs="宋体"/>
                <w:spacing w:val="-2"/>
                <w:sz w:val="17"/>
                <w:szCs w:val="17"/>
              </w:rPr>
              <w:t>24.0</w:t>
            </w:r>
          </w:p>
        </w:tc>
        <w:tc>
          <w:tcPr>
            <w:tcW w:w="665" w:type="dxa"/>
            <w:tcBorders>
              <w:bottom w:val="single" w:sz="4" w:space="0" w:color="000000"/>
            </w:tcBorders>
          </w:tcPr>
          <w:p w:rsidR="00EA40A3" w:rsidRDefault="00E86C16">
            <w:pPr>
              <w:spacing w:before="108" w:line="184" w:lineRule="auto"/>
              <w:ind w:left="166"/>
              <w:rPr>
                <w:rFonts w:ascii="宋体" w:eastAsia="宋体" w:hAnsi="宋体" w:cs="宋体"/>
                <w:sz w:val="17"/>
                <w:szCs w:val="17"/>
              </w:rPr>
            </w:pPr>
            <w:r>
              <w:rPr>
                <w:rFonts w:ascii="宋体" w:eastAsia="宋体" w:hAnsi="宋体" w:cs="宋体"/>
                <w:spacing w:val="-4"/>
                <w:sz w:val="17"/>
                <w:szCs w:val="17"/>
              </w:rPr>
              <w:t>17.0</w:t>
            </w:r>
          </w:p>
        </w:tc>
        <w:tc>
          <w:tcPr>
            <w:tcW w:w="679" w:type="dxa"/>
            <w:tcBorders>
              <w:bottom w:val="single" w:sz="4" w:space="0" w:color="000000"/>
            </w:tcBorders>
          </w:tcPr>
          <w:p w:rsidR="00EA40A3" w:rsidRDefault="00E86C16">
            <w:pPr>
              <w:spacing w:before="138" w:line="157" w:lineRule="auto"/>
              <w:ind w:left="151"/>
              <w:rPr>
                <w:rFonts w:ascii="宋体" w:eastAsia="宋体" w:hAnsi="宋体" w:cs="宋体"/>
                <w:sz w:val="17"/>
                <w:szCs w:val="17"/>
              </w:rPr>
            </w:pPr>
            <w:r>
              <w:rPr>
                <w:rFonts w:ascii="宋体" w:eastAsia="宋体" w:hAnsi="宋体" w:cs="宋体"/>
                <w:spacing w:val="-4"/>
                <w:sz w:val="17"/>
                <w:szCs w:val="17"/>
              </w:rPr>
              <w:t>16.3</w:t>
            </w:r>
          </w:p>
        </w:tc>
        <w:tc>
          <w:tcPr>
            <w:tcW w:w="641" w:type="dxa"/>
            <w:tcBorders>
              <w:bottom w:val="single" w:sz="4" w:space="0" w:color="000000"/>
            </w:tcBorders>
          </w:tcPr>
          <w:p w:rsidR="00EA40A3" w:rsidRDefault="00E86C16">
            <w:pPr>
              <w:spacing w:before="118" w:line="179" w:lineRule="auto"/>
              <w:ind w:left="123"/>
              <w:rPr>
                <w:rFonts w:ascii="宋体" w:eastAsia="宋体" w:hAnsi="宋体" w:cs="宋体"/>
                <w:sz w:val="17"/>
                <w:szCs w:val="17"/>
              </w:rPr>
            </w:pPr>
            <w:r>
              <w:rPr>
                <w:rFonts w:ascii="宋体" w:eastAsia="宋体" w:hAnsi="宋体" w:cs="宋体"/>
                <w:spacing w:val="-4"/>
                <w:sz w:val="17"/>
                <w:szCs w:val="17"/>
              </w:rPr>
              <w:t>137.0</w:t>
            </w:r>
          </w:p>
        </w:tc>
        <w:tc>
          <w:tcPr>
            <w:tcW w:w="634" w:type="dxa"/>
            <w:tcBorders>
              <w:bottom w:val="single" w:sz="4" w:space="0" w:color="000000"/>
            </w:tcBorders>
          </w:tcPr>
          <w:p w:rsidR="00EA40A3" w:rsidRDefault="00E86C16">
            <w:pPr>
              <w:spacing w:before="129" w:line="167" w:lineRule="auto"/>
              <w:ind w:left="151"/>
              <w:rPr>
                <w:rFonts w:ascii="宋体" w:eastAsia="宋体" w:hAnsi="宋体" w:cs="宋体"/>
                <w:sz w:val="17"/>
                <w:szCs w:val="17"/>
              </w:rPr>
            </w:pPr>
            <w:r>
              <w:rPr>
                <w:rFonts w:ascii="宋体" w:eastAsia="宋体" w:hAnsi="宋体" w:cs="宋体"/>
                <w:spacing w:val="-2"/>
                <w:sz w:val="17"/>
                <w:szCs w:val="17"/>
              </w:rPr>
              <w:t>40.9</w:t>
            </w:r>
          </w:p>
        </w:tc>
        <w:tc>
          <w:tcPr>
            <w:tcW w:w="827" w:type="dxa"/>
            <w:tcBorders>
              <w:bottom w:val="single" w:sz="4" w:space="0" w:color="000000"/>
            </w:tcBorders>
          </w:tcPr>
          <w:p w:rsidR="00EA40A3" w:rsidRDefault="00E86C16">
            <w:pPr>
              <w:spacing w:before="138" w:line="157" w:lineRule="auto"/>
              <w:ind w:left="117"/>
              <w:rPr>
                <w:rFonts w:ascii="宋体" w:eastAsia="宋体" w:hAnsi="宋体" w:cs="宋体"/>
                <w:sz w:val="17"/>
                <w:szCs w:val="17"/>
              </w:rPr>
            </w:pPr>
            <w:r>
              <w:rPr>
                <w:rFonts w:ascii="宋体" w:eastAsia="宋体" w:hAnsi="宋体" w:cs="宋体"/>
                <w:spacing w:val="-2"/>
                <w:sz w:val="17"/>
                <w:szCs w:val="17"/>
              </w:rPr>
              <w:t>25.9</w:t>
            </w:r>
          </w:p>
        </w:tc>
      </w:tr>
    </w:tbl>
    <w:p w:rsidR="00EA40A3" w:rsidRDefault="00EA40A3"/>
    <w:p w:rsidR="00EA40A3" w:rsidRDefault="00EA40A3">
      <w:pPr>
        <w:sectPr w:rsidR="00EA40A3">
          <w:footerReference w:type="default" r:id="rId331"/>
          <w:pgSz w:w="9220" w:h="13360"/>
          <w:pgMar w:top="400" w:right="950" w:bottom="1244" w:left="840" w:header="0" w:footer="1011" w:gutter="0"/>
          <w:cols w:space="720"/>
        </w:sectPr>
      </w:pPr>
    </w:p>
    <w:p w:rsidR="00EA40A3" w:rsidRDefault="00EA40A3">
      <w:pPr>
        <w:spacing w:line="278" w:lineRule="auto"/>
      </w:pPr>
    </w:p>
    <w:p w:rsidR="00EA40A3" w:rsidRDefault="00EA40A3">
      <w:pPr>
        <w:spacing w:line="278" w:lineRule="auto"/>
      </w:pPr>
    </w:p>
    <w:p w:rsidR="00EA40A3" w:rsidRDefault="00E86C16">
      <w:pPr>
        <w:spacing w:before="68" w:line="224" w:lineRule="auto"/>
        <w:ind w:right="327"/>
        <w:jc w:val="right"/>
        <w:rPr>
          <w:rFonts w:ascii="仿宋" w:eastAsia="仿宋" w:hAnsi="仿宋" w:cs="仿宋"/>
        </w:rPr>
      </w:pPr>
      <w:r>
        <w:rPr>
          <w:rFonts w:ascii="仿宋" w:eastAsia="仿宋" w:hAnsi="仿宋" w:cs="仿宋"/>
          <w:spacing w:val="-12"/>
        </w:rPr>
        <w:t>续表</w:t>
      </w:r>
    </w:p>
    <w:p w:rsidR="00EA40A3" w:rsidRDefault="00EA40A3">
      <w:pPr>
        <w:spacing w:line="21" w:lineRule="auto"/>
        <w:rPr>
          <w:sz w:val="2"/>
        </w:rPr>
      </w:pPr>
    </w:p>
    <w:tbl>
      <w:tblPr>
        <w:tblStyle w:val="TableNormal"/>
        <w:tblW w:w="7329"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40"/>
        <w:gridCol w:w="1353"/>
        <w:gridCol w:w="624"/>
        <w:gridCol w:w="662"/>
        <w:gridCol w:w="665"/>
        <w:gridCol w:w="657"/>
        <w:gridCol w:w="2128"/>
      </w:tblGrid>
      <w:tr w:rsidR="00EA40A3">
        <w:trPr>
          <w:trHeight w:val="644"/>
        </w:trPr>
        <w:tc>
          <w:tcPr>
            <w:tcW w:w="1240" w:type="dxa"/>
            <w:tcBorders>
              <w:top w:val="single" w:sz="4" w:space="0" w:color="000000"/>
              <w:bottom w:val="single" w:sz="4" w:space="0" w:color="000000"/>
            </w:tcBorders>
          </w:tcPr>
          <w:p w:rsidR="00EA40A3" w:rsidRDefault="00E86C16">
            <w:pPr>
              <w:spacing w:before="242" w:line="220" w:lineRule="auto"/>
              <w:ind w:left="609"/>
              <w:rPr>
                <w:rFonts w:ascii="宋体" w:eastAsia="宋体" w:hAnsi="宋体" w:cs="宋体"/>
                <w:sz w:val="16"/>
                <w:szCs w:val="16"/>
              </w:rPr>
            </w:pPr>
            <w:r>
              <w:rPr>
                <w:rFonts w:ascii="宋体" w:eastAsia="宋体" w:hAnsi="宋体" w:cs="宋体"/>
                <w:spacing w:val="-5"/>
                <w:sz w:val="16"/>
                <w:szCs w:val="16"/>
              </w:rPr>
              <w:t>项</w:t>
            </w:r>
            <w:r>
              <w:rPr>
                <w:rFonts w:ascii="宋体" w:eastAsia="宋体" w:hAnsi="宋体" w:cs="宋体"/>
                <w:spacing w:val="-4"/>
                <w:sz w:val="16"/>
                <w:szCs w:val="16"/>
              </w:rPr>
              <w:t xml:space="preserve"> </w:t>
            </w:r>
            <w:r>
              <w:rPr>
                <w:rFonts w:ascii="宋体" w:eastAsia="宋体" w:hAnsi="宋体" w:cs="宋体"/>
                <w:spacing w:val="-5"/>
                <w:sz w:val="16"/>
                <w:szCs w:val="16"/>
              </w:rPr>
              <w:t>目</w:t>
            </w:r>
          </w:p>
        </w:tc>
        <w:tc>
          <w:tcPr>
            <w:tcW w:w="1353" w:type="dxa"/>
            <w:tcBorders>
              <w:top w:val="single" w:sz="4" w:space="0" w:color="000000"/>
              <w:bottom w:val="single" w:sz="4" w:space="0" w:color="000000"/>
            </w:tcBorders>
          </w:tcPr>
          <w:p w:rsidR="00EA40A3" w:rsidRDefault="00E86C16">
            <w:pPr>
              <w:spacing w:before="140" w:line="289" w:lineRule="auto"/>
              <w:ind w:left="139" w:right="69" w:firstLine="510"/>
              <w:rPr>
                <w:rFonts w:ascii="宋体" w:eastAsia="宋体" w:hAnsi="宋体" w:cs="宋体"/>
                <w:sz w:val="16"/>
                <w:szCs w:val="16"/>
              </w:rPr>
            </w:pPr>
            <w:r>
              <w:rPr>
                <w:rFonts w:ascii="宋体" w:eastAsia="宋体" w:hAnsi="宋体" w:cs="宋体"/>
                <w:spacing w:val="-2"/>
                <w:sz w:val="16"/>
                <w:szCs w:val="16"/>
              </w:rPr>
              <w:t>城乡合计</w:t>
            </w:r>
            <w:r>
              <w:rPr>
                <w:rFonts w:ascii="宋体" w:eastAsia="宋体" w:hAnsi="宋体" w:cs="宋体"/>
                <w:sz w:val="16"/>
                <w:szCs w:val="16"/>
              </w:rPr>
              <w:t xml:space="preserve"> 1982年1992年</w:t>
            </w:r>
          </w:p>
        </w:tc>
        <w:tc>
          <w:tcPr>
            <w:tcW w:w="624" w:type="dxa"/>
            <w:tcBorders>
              <w:top w:val="single" w:sz="4" w:space="0" w:color="000000"/>
              <w:bottom w:val="single" w:sz="4" w:space="0" w:color="000000"/>
            </w:tcBorders>
          </w:tcPr>
          <w:p w:rsidR="00EA40A3" w:rsidRDefault="00EA40A3">
            <w:pPr>
              <w:spacing w:line="397" w:lineRule="auto"/>
            </w:pPr>
          </w:p>
          <w:p w:rsidR="00EA40A3" w:rsidRDefault="00E86C16">
            <w:pPr>
              <w:spacing w:before="52" w:line="219" w:lineRule="auto"/>
              <w:ind w:left="77"/>
              <w:rPr>
                <w:rFonts w:ascii="宋体" w:eastAsia="宋体" w:hAnsi="宋体" w:cs="宋体"/>
                <w:sz w:val="16"/>
                <w:szCs w:val="16"/>
              </w:rPr>
            </w:pPr>
            <w:r>
              <w:rPr>
                <w:rFonts w:ascii="宋体" w:eastAsia="宋体" w:hAnsi="宋体" w:cs="宋体"/>
                <w:spacing w:val="-2"/>
                <w:sz w:val="16"/>
                <w:szCs w:val="16"/>
              </w:rPr>
              <w:t>2002年</w:t>
            </w:r>
          </w:p>
        </w:tc>
        <w:tc>
          <w:tcPr>
            <w:tcW w:w="662" w:type="dxa"/>
            <w:tcBorders>
              <w:top w:val="single" w:sz="4" w:space="0" w:color="000000"/>
              <w:bottom w:val="single" w:sz="4" w:space="0" w:color="000000"/>
            </w:tcBorders>
          </w:tcPr>
          <w:p w:rsidR="00EA40A3" w:rsidRDefault="00EA40A3">
            <w:pPr>
              <w:spacing w:line="387" w:lineRule="auto"/>
            </w:pPr>
          </w:p>
          <w:p w:rsidR="00EA40A3" w:rsidRDefault="00E86C16">
            <w:pPr>
              <w:spacing w:before="52" w:line="219" w:lineRule="auto"/>
              <w:ind w:left="83"/>
              <w:rPr>
                <w:rFonts w:ascii="宋体" w:eastAsia="宋体" w:hAnsi="宋体" w:cs="宋体"/>
                <w:sz w:val="16"/>
                <w:szCs w:val="16"/>
              </w:rPr>
            </w:pPr>
            <w:r>
              <w:rPr>
                <w:rFonts w:ascii="宋体" w:eastAsia="宋体" w:hAnsi="宋体" w:cs="宋体"/>
                <w:spacing w:val="1"/>
                <w:sz w:val="16"/>
                <w:szCs w:val="16"/>
              </w:rPr>
              <w:t>1982年</w:t>
            </w:r>
          </w:p>
        </w:tc>
        <w:tc>
          <w:tcPr>
            <w:tcW w:w="665" w:type="dxa"/>
            <w:tcBorders>
              <w:top w:val="single" w:sz="4" w:space="0" w:color="000000"/>
              <w:bottom w:val="single" w:sz="4" w:space="0" w:color="000000"/>
            </w:tcBorders>
          </w:tcPr>
          <w:p w:rsidR="00EA40A3" w:rsidRDefault="00E86C16">
            <w:pPr>
              <w:spacing w:before="131" w:line="320" w:lineRule="exact"/>
              <w:ind w:left="181"/>
              <w:rPr>
                <w:rFonts w:ascii="宋体" w:eastAsia="宋体" w:hAnsi="宋体" w:cs="宋体"/>
                <w:sz w:val="16"/>
                <w:szCs w:val="16"/>
              </w:rPr>
            </w:pPr>
            <w:r>
              <w:rPr>
                <w:rFonts w:ascii="宋体" w:eastAsia="宋体" w:hAnsi="宋体" w:cs="宋体"/>
                <w:spacing w:val="-2"/>
                <w:position w:val="12"/>
                <w:sz w:val="16"/>
                <w:szCs w:val="16"/>
              </w:rPr>
              <w:t>城市</w:t>
            </w:r>
          </w:p>
          <w:p w:rsidR="00EA40A3" w:rsidRDefault="00E86C16">
            <w:pPr>
              <w:spacing w:line="219" w:lineRule="auto"/>
              <w:ind w:left="100"/>
              <w:rPr>
                <w:rFonts w:ascii="宋体" w:eastAsia="宋体" w:hAnsi="宋体" w:cs="宋体"/>
                <w:sz w:val="16"/>
                <w:szCs w:val="16"/>
              </w:rPr>
            </w:pPr>
            <w:r>
              <w:rPr>
                <w:rFonts w:ascii="宋体" w:eastAsia="宋体" w:hAnsi="宋体" w:cs="宋体"/>
                <w:spacing w:val="1"/>
                <w:sz w:val="16"/>
                <w:szCs w:val="16"/>
              </w:rPr>
              <w:t>1992年</w:t>
            </w:r>
          </w:p>
        </w:tc>
        <w:tc>
          <w:tcPr>
            <w:tcW w:w="657" w:type="dxa"/>
            <w:tcBorders>
              <w:top w:val="single" w:sz="4" w:space="0" w:color="000000"/>
              <w:bottom w:val="single" w:sz="4" w:space="0" w:color="000000"/>
            </w:tcBorders>
          </w:tcPr>
          <w:p w:rsidR="00EA40A3" w:rsidRDefault="00EA40A3">
            <w:pPr>
              <w:spacing w:line="397" w:lineRule="auto"/>
            </w:pPr>
          </w:p>
          <w:p w:rsidR="00EA40A3" w:rsidRDefault="00E86C16">
            <w:pPr>
              <w:spacing w:before="52" w:line="219" w:lineRule="auto"/>
              <w:ind w:left="86"/>
              <w:rPr>
                <w:rFonts w:ascii="宋体" w:eastAsia="宋体" w:hAnsi="宋体" w:cs="宋体"/>
                <w:sz w:val="16"/>
                <w:szCs w:val="16"/>
              </w:rPr>
            </w:pPr>
            <w:r>
              <w:rPr>
                <w:rFonts w:ascii="宋体" w:eastAsia="宋体" w:hAnsi="宋体" w:cs="宋体"/>
                <w:spacing w:val="-2"/>
                <w:sz w:val="16"/>
                <w:szCs w:val="16"/>
              </w:rPr>
              <w:t>2002年</w:t>
            </w:r>
          </w:p>
        </w:tc>
        <w:tc>
          <w:tcPr>
            <w:tcW w:w="2128" w:type="dxa"/>
            <w:tcBorders>
              <w:top w:val="single" w:sz="4" w:space="0" w:color="000000"/>
              <w:bottom w:val="single" w:sz="4" w:space="0" w:color="000000"/>
            </w:tcBorders>
          </w:tcPr>
          <w:p w:rsidR="00EA40A3" w:rsidRDefault="00E86C16">
            <w:pPr>
              <w:spacing w:before="110" w:line="219" w:lineRule="auto"/>
              <w:ind w:left="839"/>
              <w:rPr>
                <w:rFonts w:ascii="宋体" w:eastAsia="宋体" w:hAnsi="宋体" w:cs="宋体"/>
                <w:sz w:val="16"/>
                <w:szCs w:val="16"/>
              </w:rPr>
            </w:pPr>
            <w:r>
              <w:rPr>
                <w:rFonts w:ascii="宋体" w:eastAsia="宋体" w:hAnsi="宋体" w:cs="宋体"/>
                <w:spacing w:val="-2"/>
                <w:sz w:val="16"/>
                <w:szCs w:val="16"/>
              </w:rPr>
              <w:t>农村</w:t>
            </w:r>
          </w:p>
          <w:p w:rsidR="00EA40A3" w:rsidRDefault="00E86C16">
            <w:pPr>
              <w:spacing w:before="151" w:line="219" w:lineRule="auto"/>
              <w:ind w:left="108"/>
              <w:rPr>
                <w:rFonts w:ascii="宋体" w:eastAsia="宋体" w:hAnsi="宋体" w:cs="宋体"/>
                <w:sz w:val="16"/>
                <w:szCs w:val="16"/>
              </w:rPr>
            </w:pPr>
            <w:r>
              <w:rPr>
                <w:rFonts w:ascii="宋体" w:eastAsia="宋体" w:hAnsi="宋体" w:cs="宋体"/>
                <w:sz w:val="16"/>
                <w:szCs w:val="16"/>
              </w:rPr>
              <w:t>1982年1992年2002年</w:t>
            </w:r>
          </w:p>
        </w:tc>
      </w:tr>
      <w:tr w:rsidR="00EA40A3">
        <w:trPr>
          <w:trHeight w:val="315"/>
        </w:trPr>
        <w:tc>
          <w:tcPr>
            <w:tcW w:w="1240" w:type="dxa"/>
            <w:tcBorders>
              <w:top w:val="single" w:sz="4" w:space="0" w:color="000000"/>
            </w:tcBorders>
          </w:tcPr>
          <w:p w:rsidR="00EA40A3" w:rsidRDefault="00E86C16">
            <w:pPr>
              <w:spacing w:before="77" w:line="219" w:lineRule="auto"/>
              <w:ind w:left="609"/>
              <w:rPr>
                <w:rFonts w:ascii="宋体" w:eastAsia="宋体" w:hAnsi="宋体" w:cs="宋体"/>
                <w:sz w:val="16"/>
                <w:szCs w:val="16"/>
              </w:rPr>
            </w:pPr>
            <w:r>
              <w:rPr>
                <w:rFonts w:ascii="宋体" w:eastAsia="宋体" w:hAnsi="宋体" w:cs="宋体"/>
                <w:spacing w:val="-2"/>
                <w:sz w:val="16"/>
                <w:szCs w:val="16"/>
              </w:rPr>
              <w:t>薯类</w:t>
            </w:r>
          </w:p>
        </w:tc>
        <w:tc>
          <w:tcPr>
            <w:tcW w:w="1353" w:type="dxa"/>
            <w:tcBorders>
              <w:top w:val="single" w:sz="4" w:space="0" w:color="000000"/>
            </w:tcBorders>
          </w:tcPr>
          <w:p w:rsidR="00EA40A3" w:rsidRDefault="00E86C16">
            <w:pPr>
              <w:spacing w:before="117" w:line="184" w:lineRule="auto"/>
              <w:ind w:left="139"/>
              <w:rPr>
                <w:rFonts w:ascii="宋体" w:eastAsia="宋体" w:hAnsi="宋体" w:cs="宋体"/>
                <w:sz w:val="16"/>
                <w:szCs w:val="16"/>
              </w:rPr>
            </w:pPr>
            <w:r>
              <w:rPr>
                <w:rFonts w:ascii="宋体" w:eastAsia="宋体" w:hAnsi="宋体" w:cs="宋体"/>
                <w:spacing w:val="-3"/>
                <w:sz w:val="16"/>
                <w:szCs w:val="16"/>
              </w:rPr>
              <w:t>179.9</w:t>
            </w:r>
            <w:r>
              <w:rPr>
                <w:rFonts w:ascii="宋体" w:eastAsia="宋体" w:hAnsi="宋体" w:cs="宋体"/>
                <w:spacing w:val="2"/>
                <w:sz w:val="16"/>
                <w:szCs w:val="16"/>
              </w:rPr>
              <w:t xml:space="preserve">    </w:t>
            </w:r>
            <w:r>
              <w:rPr>
                <w:rFonts w:ascii="宋体" w:eastAsia="宋体" w:hAnsi="宋体" w:cs="宋体"/>
                <w:spacing w:val="-3"/>
                <w:sz w:val="16"/>
                <w:szCs w:val="16"/>
              </w:rPr>
              <w:t>86.6</w:t>
            </w:r>
          </w:p>
        </w:tc>
        <w:tc>
          <w:tcPr>
            <w:tcW w:w="624" w:type="dxa"/>
            <w:tcBorders>
              <w:top w:val="single" w:sz="4" w:space="0" w:color="000000"/>
            </w:tcBorders>
          </w:tcPr>
          <w:p w:rsidR="00EA40A3" w:rsidRDefault="00E86C16">
            <w:pPr>
              <w:spacing w:before="118" w:line="183" w:lineRule="auto"/>
              <w:ind w:left="156"/>
              <w:rPr>
                <w:rFonts w:ascii="宋体" w:eastAsia="宋体" w:hAnsi="宋体" w:cs="宋体"/>
                <w:sz w:val="16"/>
                <w:szCs w:val="16"/>
              </w:rPr>
            </w:pPr>
            <w:r>
              <w:rPr>
                <w:rFonts w:ascii="宋体" w:eastAsia="宋体" w:hAnsi="宋体" w:cs="宋体"/>
                <w:spacing w:val="-2"/>
                <w:sz w:val="16"/>
                <w:szCs w:val="16"/>
              </w:rPr>
              <w:t>49.5</w:t>
            </w:r>
          </w:p>
        </w:tc>
        <w:tc>
          <w:tcPr>
            <w:tcW w:w="662" w:type="dxa"/>
            <w:tcBorders>
              <w:top w:val="single" w:sz="4" w:space="0" w:color="000000"/>
            </w:tcBorders>
          </w:tcPr>
          <w:p w:rsidR="00EA40A3" w:rsidRDefault="00E86C16">
            <w:pPr>
              <w:spacing w:before="118" w:line="183" w:lineRule="auto"/>
              <w:ind w:left="242"/>
              <w:rPr>
                <w:rFonts w:ascii="宋体" w:eastAsia="宋体" w:hAnsi="宋体" w:cs="宋体"/>
                <w:sz w:val="16"/>
                <w:szCs w:val="16"/>
              </w:rPr>
            </w:pPr>
            <w:r>
              <w:rPr>
                <w:rFonts w:ascii="宋体" w:eastAsia="宋体" w:hAnsi="宋体" w:cs="宋体"/>
                <w:spacing w:val="-2"/>
                <w:sz w:val="16"/>
                <w:szCs w:val="16"/>
              </w:rPr>
              <w:t>66.0</w:t>
            </w:r>
          </w:p>
        </w:tc>
        <w:tc>
          <w:tcPr>
            <w:tcW w:w="665" w:type="dxa"/>
            <w:tcBorders>
              <w:top w:val="single" w:sz="4" w:space="0" w:color="000000"/>
            </w:tcBorders>
          </w:tcPr>
          <w:p w:rsidR="00EA40A3" w:rsidRDefault="00E86C16">
            <w:pPr>
              <w:spacing w:before="118" w:line="183" w:lineRule="auto"/>
              <w:ind w:left="181"/>
              <w:rPr>
                <w:rFonts w:ascii="宋体" w:eastAsia="宋体" w:hAnsi="宋体" w:cs="宋体"/>
                <w:sz w:val="16"/>
                <w:szCs w:val="16"/>
              </w:rPr>
            </w:pPr>
            <w:r>
              <w:rPr>
                <w:rFonts w:ascii="宋体" w:eastAsia="宋体" w:hAnsi="宋体" w:cs="宋体"/>
                <w:spacing w:val="-2"/>
                <w:sz w:val="16"/>
                <w:szCs w:val="16"/>
              </w:rPr>
              <w:t>46.0</w:t>
            </w:r>
          </w:p>
        </w:tc>
        <w:tc>
          <w:tcPr>
            <w:tcW w:w="657" w:type="dxa"/>
            <w:tcBorders>
              <w:top w:val="single" w:sz="4" w:space="0" w:color="000000"/>
            </w:tcBorders>
          </w:tcPr>
          <w:p w:rsidR="00EA40A3" w:rsidRDefault="00E86C16">
            <w:pPr>
              <w:spacing w:before="117" w:line="184" w:lineRule="auto"/>
              <w:ind w:left="166"/>
              <w:rPr>
                <w:rFonts w:ascii="宋体" w:eastAsia="宋体" w:hAnsi="宋体" w:cs="宋体"/>
                <w:sz w:val="16"/>
                <w:szCs w:val="16"/>
              </w:rPr>
            </w:pPr>
            <w:r>
              <w:rPr>
                <w:rFonts w:ascii="宋体" w:eastAsia="宋体" w:hAnsi="宋体" w:cs="宋体"/>
                <w:spacing w:val="-2"/>
                <w:sz w:val="16"/>
                <w:szCs w:val="16"/>
              </w:rPr>
              <w:t>31.9</w:t>
            </w:r>
          </w:p>
        </w:tc>
        <w:tc>
          <w:tcPr>
            <w:tcW w:w="2128" w:type="dxa"/>
            <w:tcBorders>
              <w:top w:val="single" w:sz="4" w:space="0" w:color="000000"/>
            </w:tcBorders>
          </w:tcPr>
          <w:p w:rsidR="00EA40A3" w:rsidRDefault="00E86C16">
            <w:pPr>
              <w:spacing w:before="117" w:line="184" w:lineRule="auto"/>
              <w:ind w:left="108"/>
              <w:rPr>
                <w:rFonts w:ascii="宋体" w:eastAsia="宋体" w:hAnsi="宋体" w:cs="宋体"/>
                <w:sz w:val="16"/>
                <w:szCs w:val="16"/>
              </w:rPr>
            </w:pPr>
            <w:r>
              <w:rPr>
                <w:rFonts w:ascii="宋体" w:eastAsia="宋体" w:hAnsi="宋体" w:cs="宋体"/>
                <w:spacing w:val="-3"/>
                <w:sz w:val="16"/>
                <w:szCs w:val="16"/>
              </w:rPr>
              <w:t>228.0</w:t>
            </w:r>
            <w:r>
              <w:rPr>
                <w:rFonts w:ascii="宋体" w:eastAsia="宋体" w:hAnsi="宋体" w:cs="宋体"/>
                <w:spacing w:val="21"/>
                <w:w w:val="101"/>
                <w:sz w:val="16"/>
                <w:szCs w:val="16"/>
              </w:rPr>
              <w:t xml:space="preserve">   </w:t>
            </w:r>
            <w:r>
              <w:rPr>
                <w:rFonts w:ascii="宋体" w:eastAsia="宋体" w:hAnsi="宋体" w:cs="宋体"/>
                <w:spacing w:val="-3"/>
                <w:sz w:val="16"/>
                <w:szCs w:val="16"/>
              </w:rPr>
              <w:t>108.0</w:t>
            </w:r>
            <w:r>
              <w:rPr>
                <w:rFonts w:ascii="宋体" w:eastAsia="宋体" w:hAnsi="宋体" w:cs="宋体"/>
                <w:spacing w:val="22"/>
                <w:w w:val="101"/>
                <w:sz w:val="16"/>
                <w:szCs w:val="16"/>
              </w:rPr>
              <w:t xml:space="preserve">   </w:t>
            </w:r>
            <w:r>
              <w:rPr>
                <w:rFonts w:ascii="宋体" w:eastAsia="宋体" w:hAnsi="宋体" w:cs="宋体"/>
                <w:spacing w:val="-3"/>
                <w:sz w:val="16"/>
                <w:szCs w:val="16"/>
              </w:rPr>
              <w:t>56.2</w:t>
            </w:r>
          </w:p>
        </w:tc>
      </w:tr>
      <w:tr w:rsidR="00EA40A3">
        <w:trPr>
          <w:trHeight w:val="315"/>
        </w:trPr>
        <w:tc>
          <w:tcPr>
            <w:tcW w:w="1240" w:type="dxa"/>
          </w:tcPr>
          <w:p w:rsidR="00EA40A3" w:rsidRDefault="00E86C16">
            <w:pPr>
              <w:spacing w:before="81" w:line="219" w:lineRule="auto"/>
              <w:ind w:left="450"/>
              <w:rPr>
                <w:rFonts w:ascii="宋体" w:eastAsia="宋体" w:hAnsi="宋体" w:cs="宋体"/>
                <w:sz w:val="16"/>
                <w:szCs w:val="16"/>
              </w:rPr>
            </w:pPr>
            <w:r>
              <w:rPr>
                <w:rFonts w:ascii="宋体" w:eastAsia="宋体" w:hAnsi="宋体" w:cs="宋体"/>
                <w:spacing w:val="-2"/>
                <w:sz w:val="16"/>
                <w:szCs w:val="16"/>
              </w:rPr>
              <w:t>干豆类</w:t>
            </w:r>
          </w:p>
        </w:tc>
        <w:tc>
          <w:tcPr>
            <w:tcW w:w="1353" w:type="dxa"/>
          </w:tcPr>
          <w:p w:rsidR="00EA40A3" w:rsidRDefault="00E86C16">
            <w:pPr>
              <w:spacing w:before="123" w:line="183" w:lineRule="auto"/>
              <w:ind w:left="300"/>
              <w:rPr>
                <w:rFonts w:ascii="宋体" w:eastAsia="宋体" w:hAnsi="宋体" w:cs="宋体"/>
                <w:sz w:val="16"/>
                <w:szCs w:val="16"/>
              </w:rPr>
            </w:pPr>
            <w:r>
              <w:rPr>
                <w:rFonts w:ascii="宋体" w:eastAsia="宋体" w:hAnsi="宋体" w:cs="宋体"/>
                <w:spacing w:val="-3"/>
                <w:sz w:val="16"/>
                <w:szCs w:val="16"/>
              </w:rPr>
              <w:t>8.9</w:t>
            </w:r>
            <w:r>
              <w:rPr>
                <w:rFonts w:ascii="宋体" w:eastAsia="宋体" w:hAnsi="宋体" w:cs="宋体"/>
                <w:spacing w:val="10"/>
                <w:sz w:val="16"/>
                <w:szCs w:val="16"/>
              </w:rPr>
              <w:t xml:space="preserve">    </w:t>
            </w:r>
            <w:r>
              <w:rPr>
                <w:rFonts w:ascii="宋体" w:eastAsia="宋体" w:hAnsi="宋体" w:cs="宋体"/>
                <w:spacing w:val="-3"/>
                <w:sz w:val="16"/>
                <w:szCs w:val="16"/>
              </w:rPr>
              <w:t>3.3</w:t>
            </w:r>
          </w:p>
        </w:tc>
        <w:tc>
          <w:tcPr>
            <w:tcW w:w="624" w:type="dxa"/>
          </w:tcPr>
          <w:p w:rsidR="00EA40A3" w:rsidRDefault="00E86C16">
            <w:pPr>
              <w:spacing w:before="123" w:line="183" w:lineRule="auto"/>
              <w:ind w:left="196"/>
              <w:rPr>
                <w:rFonts w:ascii="宋体" w:eastAsia="宋体" w:hAnsi="宋体" w:cs="宋体"/>
                <w:sz w:val="16"/>
                <w:szCs w:val="16"/>
              </w:rPr>
            </w:pPr>
            <w:r>
              <w:rPr>
                <w:rFonts w:ascii="宋体" w:eastAsia="宋体" w:hAnsi="宋体" w:cs="宋体"/>
                <w:spacing w:val="-2"/>
                <w:sz w:val="16"/>
                <w:szCs w:val="16"/>
              </w:rPr>
              <w:t>4.2</w:t>
            </w:r>
          </w:p>
        </w:tc>
        <w:tc>
          <w:tcPr>
            <w:tcW w:w="662" w:type="dxa"/>
          </w:tcPr>
          <w:p w:rsidR="00EA40A3" w:rsidRDefault="00E86C16">
            <w:pPr>
              <w:spacing w:before="123" w:line="184" w:lineRule="auto"/>
              <w:ind w:left="323"/>
              <w:rPr>
                <w:rFonts w:ascii="宋体" w:eastAsia="宋体" w:hAnsi="宋体" w:cs="宋体"/>
                <w:sz w:val="16"/>
                <w:szCs w:val="16"/>
              </w:rPr>
            </w:pPr>
            <w:r>
              <w:rPr>
                <w:rFonts w:ascii="宋体" w:eastAsia="宋体" w:hAnsi="宋体" w:cs="宋体"/>
                <w:spacing w:val="-2"/>
                <w:sz w:val="16"/>
                <w:szCs w:val="16"/>
              </w:rPr>
              <w:t>6.1</w:t>
            </w:r>
          </w:p>
        </w:tc>
        <w:tc>
          <w:tcPr>
            <w:tcW w:w="665" w:type="dxa"/>
          </w:tcPr>
          <w:p w:rsidR="00EA40A3" w:rsidRDefault="00E86C16">
            <w:pPr>
              <w:spacing w:before="123" w:line="183" w:lineRule="auto"/>
              <w:ind w:left="221"/>
              <w:rPr>
                <w:rFonts w:ascii="宋体" w:eastAsia="宋体" w:hAnsi="宋体" w:cs="宋体"/>
                <w:sz w:val="16"/>
                <w:szCs w:val="16"/>
              </w:rPr>
            </w:pPr>
            <w:r>
              <w:rPr>
                <w:rFonts w:ascii="宋体" w:eastAsia="宋体" w:hAnsi="宋体" w:cs="宋体"/>
                <w:spacing w:val="-2"/>
                <w:sz w:val="16"/>
                <w:szCs w:val="16"/>
              </w:rPr>
              <w:t>2.3</w:t>
            </w:r>
          </w:p>
        </w:tc>
        <w:tc>
          <w:tcPr>
            <w:tcW w:w="657" w:type="dxa"/>
          </w:tcPr>
          <w:p w:rsidR="00EA40A3" w:rsidRDefault="00E86C16">
            <w:pPr>
              <w:spacing w:before="123" w:line="183" w:lineRule="auto"/>
              <w:ind w:left="205"/>
              <w:rPr>
                <w:rFonts w:ascii="宋体" w:eastAsia="宋体" w:hAnsi="宋体" w:cs="宋体"/>
                <w:sz w:val="16"/>
                <w:szCs w:val="16"/>
              </w:rPr>
            </w:pPr>
            <w:r>
              <w:rPr>
                <w:rFonts w:ascii="宋体" w:eastAsia="宋体" w:hAnsi="宋体" w:cs="宋体"/>
                <w:spacing w:val="-2"/>
                <w:sz w:val="16"/>
                <w:szCs w:val="16"/>
              </w:rPr>
              <w:t>2.6</w:t>
            </w:r>
          </w:p>
        </w:tc>
        <w:tc>
          <w:tcPr>
            <w:tcW w:w="2128" w:type="dxa"/>
          </w:tcPr>
          <w:p w:rsidR="00EA40A3" w:rsidRDefault="00E86C16">
            <w:pPr>
              <w:spacing w:before="123" w:line="184" w:lineRule="auto"/>
              <w:ind w:left="189"/>
              <w:rPr>
                <w:rFonts w:ascii="宋体" w:eastAsia="宋体" w:hAnsi="宋体" w:cs="宋体"/>
                <w:sz w:val="16"/>
                <w:szCs w:val="16"/>
              </w:rPr>
            </w:pPr>
            <w:r>
              <w:rPr>
                <w:rFonts w:ascii="宋体" w:eastAsia="宋体" w:hAnsi="宋体" w:cs="宋体"/>
                <w:spacing w:val="-3"/>
                <w:sz w:val="16"/>
                <w:szCs w:val="16"/>
              </w:rPr>
              <w:t>10.1</w:t>
            </w:r>
            <w:r>
              <w:rPr>
                <w:rFonts w:ascii="宋体" w:eastAsia="宋体" w:hAnsi="宋体" w:cs="宋体"/>
                <w:spacing w:val="17"/>
                <w:sz w:val="16"/>
                <w:szCs w:val="16"/>
              </w:rPr>
              <w:t xml:space="preserve">    </w:t>
            </w:r>
            <w:r>
              <w:rPr>
                <w:rFonts w:ascii="宋体" w:eastAsia="宋体" w:hAnsi="宋体" w:cs="宋体"/>
                <w:spacing w:val="-3"/>
                <w:sz w:val="16"/>
                <w:szCs w:val="16"/>
              </w:rPr>
              <w:t>4.0</w:t>
            </w:r>
            <w:r>
              <w:rPr>
                <w:rFonts w:ascii="宋体" w:eastAsia="宋体" w:hAnsi="宋体" w:cs="宋体"/>
                <w:spacing w:val="14"/>
                <w:sz w:val="16"/>
                <w:szCs w:val="16"/>
              </w:rPr>
              <w:t xml:space="preserve">    </w:t>
            </w:r>
            <w:r>
              <w:rPr>
                <w:rFonts w:ascii="宋体" w:eastAsia="宋体" w:hAnsi="宋体" w:cs="宋体"/>
                <w:spacing w:val="-3"/>
                <w:sz w:val="16"/>
                <w:szCs w:val="16"/>
              </w:rPr>
              <w:t>4.8</w:t>
            </w:r>
          </w:p>
        </w:tc>
      </w:tr>
      <w:tr w:rsidR="00EA40A3">
        <w:trPr>
          <w:trHeight w:val="303"/>
        </w:trPr>
        <w:tc>
          <w:tcPr>
            <w:tcW w:w="1240" w:type="dxa"/>
          </w:tcPr>
          <w:p w:rsidR="00EA40A3" w:rsidRDefault="00E86C16">
            <w:pPr>
              <w:spacing w:before="78" w:line="220" w:lineRule="auto"/>
              <w:ind w:left="450"/>
              <w:rPr>
                <w:rFonts w:ascii="宋体" w:eastAsia="宋体" w:hAnsi="宋体" w:cs="宋体"/>
                <w:sz w:val="16"/>
                <w:szCs w:val="16"/>
              </w:rPr>
            </w:pPr>
            <w:r>
              <w:rPr>
                <w:rFonts w:ascii="宋体" w:eastAsia="宋体" w:hAnsi="宋体" w:cs="宋体"/>
                <w:spacing w:val="5"/>
                <w:sz w:val="16"/>
                <w:szCs w:val="16"/>
              </w:rPr>
              <w:t>豆制品</w:t>
            </w:r>
          </w:p>
        </w:tc>
        <w:tc>
          <w:tcPr>
            <w:tcW w:w="1353" w:type="dxa"/>
          </w:tcPr>
          <w:p w:rsidR="00EA40A3" w:rsidRDefault="00E86C16">
            <w:pPr>
              <w:spacing w:before="117" w:line="184" w:lineRule="auto"/>
              <w:ind w:left="300"/>
              <w:rPr>
                <w:rFonts w:ascii="宋体" w:eastAsia="宋体" w:hAnsi="宋体" w:cs="宋体"/>
                <w:sz w:val="16"/>
                <w:szCs w:val="16"/>
              </w:rPr>
            </w:pPr>
            <w:r>
              <w:rPr>
                <w:rFonts w:ascii="宋体" w:eastAsia="宋体" w:hAnsi="宋体" w:cs="宋体"/>
                <w:spacing w:val="-5"/>
                <w:sz w:val="16"/>
                <w:szCs w:val="16"/>
              </w:rPr>
              <w:t>1.5</w:t>
            </w:r>
            <w:r>
              <w:rPr>
                <w:rFonts w:ascii="宋体" w:eastAsia="宋体" w:hAnsi="宋体" w:cs="宋体"/>
                <w:spacing w:val="13"/>
                <w:sz w:val="16"/>
                <w:szCs w:val="16"/>
              </w:rPr>
              <w:t xml:space="preserve">    </w:t>
            </w:r>
            <w:r>
              <w:rPr>
                <w:rFonts w:ascii="宋体" w:eastAsia="宋体" w:hAnsi="宋体" w:cs="宋体"/>
                <w:spacing w:val="-5"/>
                <w:sz w:val="16"/>
                <w:szCs w:val="16"/>
              </w:rPr>
              <w:t>7.9</w:t>
            </w:r>
          </w:p>
        </w:tc>
        <w:tc>
          <w:tcPr>
            <w:tcW w:w="624" w:type="dxa"/>
          </w:tcPr>
          <w:p w:rsidR="00EA40A3" w:rsidRDefault="00E86C16">
            <w:pPr>
              <w:spacing w:before="117" w:line="184" w:lineRule="auto"/>
              <w:ind w:left="156"/>
              <w:rPr>
                <w:rFonts w:ascii="宋体" w:eastAsia="宋体" w:hAnsi="宋体" w:cs="宋体"/>
                <w:sz w:val="16"/>
                <w:szCs w:val="16"/>
              </w:rPr>
            </w:pPr>
            <w:r>
              <w:rPr>
                <w:rFonts w:ascii="宋体" w:eastAsia="宋体" w:hAnsi="宋体" w:cs="宋体"/>
                <w:spacing w:val="-4"/>
                <w:sz w:val="16"/>
                <w:szCs w:val="16"/>
              </w:rPr>
              <w:t>11.8</w:t>
            </w:r>
          </w:p>
        </w:tc>
        <w:tc>
          <w:tcPr>
            <w:tcW w:w="662" w:type="dxa"/>
          </w:tcPr>
          <w:p w:rsidR="00EA40A3" w:rsidRDefault="00E86C16">
            <w:pPr>
              <w:spacing w:before="118" w:line="183" w:lineRule="auto"/>
              <w:ind w:left="323"/>
              <w:rPr>
                <w:rFonts w:ascii="宋体" w:eastAsia="宋体" w:hAnsi="宋体" w:cs="宋体"/>
                <w:sz w:val="16"/>
                <w:szCs w:val="16"/>
              </w:rPr>
            </w:pPr>
            <w:r>
              <w:rPr>
                <w:rFonts w:ascii="宋体" w:eastAsia="宋体" w:hAnsi="宋体" w:cs="宋体"/>
                <w:spacing w:val="-2"/>
                <w:sz w:val="16"/>
                <w:szCs w:val="16"/>
              </w:rPr>
              <w:t>8.2</w:t>
            </w:r>
          </w:p>
        </w:tc>
        <w:tc>
          <w:tcPr>
            <w:tcW w:w="665" w:type="dxa"/>
          </w:tcPr>
          <w:p w:rsidR="00EA40A3" w:rsidRDefault="00E86C16">
            <w:pPr>
              <w:spacing w:before="117" w:line="184" w:lineRule="auto"/>
              <w:ind w:left="260"/>
              <w:rPr>
                <w:rFonts w:ascii="宋体" w:eastAsia="宋体" w:hAnsi="宋体" w:cs="宋体"/>
                <w:sz w:val="16"/>
                <w:szCs w:val="16"/>
              </w:rPr>
            </w:pPr>
            <w:r>
              <w:rPr>
                <w:rFonts w:ascii="宋体" w:eastAsia="宋体" w:hAnsi="宋体" w:cs="宋体"/>
                <w:spacing w:val="-5"/>
                <w:sz w:val="16"/>
                <w:szCs w:val="16"/>
              </w:rPr>
              <w:t>11</w:t>
            </w:r>
          </w:p>
        </w:tc>
        <w:tc>
          <w:tcPr>
            <w:tcW w:w="657" w:type="dxa"/>
          </w:tcPr>
          <w:p w:rsidR="00EA40A3" w:rsidRDefault="00E86C16">
            <w:pPr>
              <w:spacing w:before="117" w:line="184" w:lineRule="auto"/>
              <w:ind w:left="166"/>
              <w:rPr>
                <w:rFonts w:ascii="宋体" w:eastAsia="宋体" w:hAnsi="宋体" w:cs="宋体"/>
                <w:sz w:val="16"/>
                <w:szCs w:val="16"/>
              </w:rPr>
            </w:pPr>
            <w:r>
              <w:rPr>
                <w:rFonts w:ascii="宋体" w:eastAsia="宋体" w:hAnsi="宋体" w:cs="宋体"/>
                <w:spacing w:val="-4"/>
                <w:sz w:val="16"/>
                <w:szCs w:val="16"/>
              </w:rPr>
              <w:t>12.9</w:t>
            </w:r>
          </w:p>
        </w:tc>
        <w:tc>
          <w:tcPr>
            <w:tcW w:w="2128" w:type="dxa"/>
          </w:tcPr>
          <w:p w:rsidR="00EA40A3" w:rsidRDefault="00E86C16">
            <w:pPr>
              <w:spacing w:before="117" w:line="184" w:lineRule="auto"/>
              <w:ind w:left="269"/>
              <w:rPr>
                <w:rFonts w:ascii="宋体" w:eastAsia="宋体" w:hAnsi="宋体" w:cs="宋体"/>
                <w:sz w:val="16"/>
                <w:szCs w:val="16"/>
              </w:rPr>
            </w:pPr>
            <w:r>
              <w:rPr>
                <w:rFonts w:ascii="宋体" w:eastAsia="宋体" w:hAnsi="宋体" w:cs="宋体"/>
                <w:spacing w:val="-3"/>
                <w:sz w:val="16"/>
                <w:szCs w:val="16"/>
              </w:rPr>
              <w:t>2.9</w:t>
            </w:r>
            <w:r>
              <w:rPr>
                <w:rFonts w:ascii="宋体" w:eastAsia="宋体" w:hAnsi="宋体" w:cs="宋体"/>
                <w:spacing w:val="14"/>
                <w:sz w:val="16"/>
                <w:szCs w:val="16"/>
              </w:rPr>
              <w:t xml:space="preserve">    </w:t>
            </w:r>
            <w:r>
              <w:rPr>
                <w:rFonts w:ascii="宋体" w:eastAsia="宋体" w:hAnsi="宋体" w:cs="宋体"/>
                <w:spacing w:val="-3"/>
                <w:sz w:val="16"/>
                <w:szCs w:val="16"/>
              </w:rPr>
              <w:t>6.2</w:t>
            </w:r>
            <w:r>
              <w:rPr>
                <w:rFonts w:ascii="宋体" w:eastAsia="宋体" w:hAnsi="宋体" w:cs="宋体"/>
                <w:spacing w:val="14"/>
                <w:sz w:val="16"/>
                <w:szCs w:val="16"/>
              </w:rPr>
              <w:t xml:space="preserve">    </w:t>
            </w:r>
            <w:r>
              <w:rPr>
                <w:rFonts w:ascii="宋体" w:eastAsia="宋体" w:hAnsi="宋体" w:cs="宋体"/>
                <w:spacing w:val="-3"/>
                <w:sz w:val="16"/>
                <w:szCs w:val="16"/>
              </w:rPr>
              <w:t>11.4</w:t>
            </w:r>
          </w:p>
        </w:tc>
      </w:tr>
      <w:tr w:rsidR="00EA40A3">
        <w:trPr>
          <w:trHeight w:val="304"/>
        </w:trPr>
        <w:tc>
          <w:tcPr>
            <w:tcW w:w="1240" w:type="dxa"/>
          </w:tcPr>
          <w:p w:rsidR="00EA40A3" w:rsidRDefault="00E86C16">
            <w:pPr>
              <w:spacing w:before="74" w:line="219" w:lineRule="auto"/>
              <w:ind w:left="289"/>
              <w:rPr>
                <w:rFonts w:ascii="宋体" w:eastAsia="宋体" w:hAnsi="宋体" w:cs="宋体"/>
                <w:sz w:val="16"/>
                <w:szCs w:val="16"/>
              </w:rPr>
            </w:pPr>
            <w:r>
              <w:rPr>
                <w:rFonts w:ascii="宋体" w:eastAsia="宋体" w:hAnsi="宋体" w:cs="宋体"/>
                <w:spacing w:val="-2"/>
                <w:sz w:val="16"/>
                <w:szCs w:val="16"/>
              </w:rPr>
              <w:t>深色蔬菜</w:t>
            </w:r>
          </w:p>
        </w:tc>
        <w:tc>
          <w:tcPr>
            <w:tcW w:w="1353" w:type="dxa"/>
          </w:tcPr>
          <w:p w:rsidR="00EA40A3" w:rsidRDefault="00E86C16">
            <w:pPr>
              <w:spacing w:before="114" w:line="184" w:lineRule="auto"/>
              <w:ind w:left="219"/>
              <w:rPr>
                <w:rFonts w:ascii="宋体" w:eastAsia="宋体" w:hAnsi="宋体" w:cs="宋体"/>
                <w:sz w:val="16"/>
                <w:szCs w:val="16"/>
              </w:rPr>
            </w:pPr>
            <w:r>
              <w:rPr>
                <w:rFonts w:ascii="宋体" w:eastAsia="宋体" w:hAnsi="宋体" w:cs="宋体"/>
                <w:spacing w:val="-3"/>
                <w:sz w:val="16"/>
                <w:szCs w:val="16"/>
              </w:rPr>
              <w:t>79.3</w:t>
            </w:r>
            <w:r>
              <w:rPr>
                <w:rFonts w:ascii="宋体" w:eastAsia="宋体" w:hAnsi="宋体" w:cs="宋体"/>
                <w:spacing w:val="13"/>
                <w:sz w:val="16"/>
                <w:szCs w:val="16"/>
              </w:rPr>
              <w:t xml:space="preserve">   </w:t>
            </w:r>
            <w:r>
              <w:rPr>
                <w:rFonts w:ascii="宋体" w:eastAsia="宋体" w:hAnsi="宋体" w:cs="宋体"/>
                <w:spacing w:val="-3"/>
                <w:sz w:val="16"/>
                <w:szCs w:val="16"/>
              </w:rPr>
              <w:t>102.0</w:t>
            </w:r>
          </w:p>
        </w:tc>
        <w:tc>
          <w:tcPr>
            <w:tcW w:w="624" w:type="dxa"/>
          </w:tcPr>
          <w:p w:rsidR="00EA40A3" w:rsidRDefault="00E86C16">
            <w:pPr>
              <w:spacing w:before="114" w:line="184" w:lineRule="auto"/>
              <w:ind w:left="156"/>
              <w:rPr>
                <w:rFonts w:ascii="宋体" w:eastAsia="宋体" w:hAnsi="宋体" w:cs="宋体"/>
                <w:sz w:val="16"/>
                <w:szCs w:val="16"/>
              </w:rPr>
            </w:pPr>
            <w:r>
              <w:rPr>
                <w:rFonts w:ascii="宋体" w:eastAsia="宋体" w:hAnsi="宋体" w:cs="宋体"/>
                <w:spacing w:val="-2"/>
                <w:sz w:val="16"/>
                <w:szCs w:val="16"/>
              </w:rPr>
              <w:t>91.5</w:t>
            </w:r>
          </w:p>
        </w:tc>
        <w:tc>
          <w:tcPr>
            <w:tcW w:w="662" w:type="dxa"/>
          </w:tcPr>
          <w:p w:rsidR="00EA40A3" w:rsidRDefault="00E86C16">
            <w:pPr>
              <w:spacing w:before="115" w:line="183" w:lineRule="auto"/>
              <w:ind w:left="242"/>
              <w:rPr>
                <w:rFonts w:ascii="宋体" w:eastAsia="宋体" w:hAnsi="宋体" w:cs="宋体"/>
                <w:sz w:val="16"/>
                <w:szCs w:val="16"/>
              </w:rPr>
            </w:pPr>
            <w:r>
              <w:rPr>
                <w:rFonts w:ascii="宋体" w:eastAsia="宋体" w:hAnsi="宋体" w:cs="宋体"/>
                <w:spacing w:val="-2"/>
                <w:sz w:val="16"/>
                <w:szCs w:val="16"/>
              </w:rPr>
              <w:t>68.0</w:t>
            </w:r>
          </w:p>
        </w:tc>
        <w:tc>
          <w:tcPr>
            <w:tcW w:w="665" w:type="dxa"/>
          </w:tcPr>
          <w:p w:rsidR="00EA40A3" w:rsidRDefault="00E86C16">
            <w:pPr>
              <w:spacing w:before="114" w:line="184" w:lineRule="auto"/>
              <w:ind w:left="181"/>
              <w:rPr>
                <w:rFonts w:ascii="宋体" w:eastAsia="宋体" w:hAnsi="宋体" w:cs="宋体"/>
                <w:sz w:val="16"/>
                <w:szCs w:val="16"/>
              </w:rPr>
            </w:pPr>
            <w:r>
              <w:rPr>
                <w:rFonts w:ascii="宋体" w:eastAsia="宋体" w:hAnsi="宋体" w:cs="宋体"/>
                <w:spacing w:val="-2"/>
                <w:sz w:val="16"/>
                <w:szCs w:val="16"/>
              </w:rPr>
              <w:t>98.1</w:t>
            </w:r>
          </w:p>
        </w:tc>
        <w:tc>
          <w:tcPr>
            <w:tcW w:w="657" w:type="dxa"/>
          </w:tcPr>
          <w:p w:rsidR="00EA40A3" w:rsidRDefault="00E86C16">
            <w:pPr>
              <w:spacing w:before="114" w:line="184" w:lineRule="auto"/>
              <w:ind w:left="166"/>
              <w:rPr>
                <w:rFonts w:ascii="宋体" w:eastAsia="宋体" w:hAnsi="宋体" w:cs="宋体"/>
                <w:sz w:val="16"/>
                <w:szCs w:val="16"/>
              </w:rPr>
            </w:pPr>
            <w:r>
              <w:rPr>
                <w:rFonts w:ascii="宋体" w:eastAsia="宋体" w:hAnsi="宋体" w:cs="宋体"/>
                <w:spacing w:val="-2"/>
                <w:sz w:val="16"/>
                <w:szCs w:val="16"/>
              </w:rPr>
              <w:t>88.1</w:t>
            </w:r>
          </w:p>
        </w:tc>
        <w:tc>
          <w:tcPr>
            <w:tcW w:w="2128" w:type="dxa"/>
          </w:tcPr>
          <w:p w:rsidR="00EA40A3" w:rsidRDefault="00E86C16">
            <w:pPr>
              <w:spacing w:before="114" w:line="184" w:lineRule="auto"/>
              <w:ind w:left="189"/>
              <w:rPr>
                <w:rFonts w:ascii="宋体" w:eastAsia="宋体" w:hAnsi="宋体" w:cs="宋体"/>
                <w:sz w:val="16"/>
                <w:szCs w:val="16"/>
              </w:rPr>
            </w:pPr>
            <w:r>
              <w:rPr>
                <w:rFonts w:ascii="宋体" w:eastAsia="宋体" w:hAnsi="宋体" w:cs="宋体"/>
                <w:spacing w:val="-3"/>
                <w:sz w:val="16"/>
                <w:szCs w:val="16"/>
              </w:rPr>
              <w:t>84.0</w:t>
            </w:r>
            <w:r>
              <w:rPr>
                <w:rFonts w:ascii="宋体" w:eastAsia="宋体" w:hAnsi="宋体" w:cs="宋体"/>
                <w:spacing w:val="21"/>
                <w:sz w:val="16"/>
                <w:szCs w:val="16"/>
              </w:rPr>
              <w:t xml:space="preserve">   </w:t>
            </w:r>
            <w:r>
              <w:rPr>
                <w:rFonts w:ascii="宋体" w:eastAsia="宋体" w:hAnsi="宋体" w:cs="宋体"/>
                <w:spacing w:val="-3"/>
                <w:sz w:val="16"/>
                <w:szCs w:val="16"/>
              </w:rPr>
              <w:t>107.1</w:t>
            </w:r>
            <w:r>
              <w:rPr>
                <w:rFonts w:ascii="宋体" w:eastAsia="宋体" w:hAnsi="宋体" w:cs="宋体"/>
                <w:spacing w:val="23"/>
                <w:sz w:val="16"/>
                <w:szCs w:val="16"/>
              </w:rPr>
              <w:t xml:space="preserve">   </w:t>
            </w:r>
            <w:r>
              <w:rPr>
                <w:rFonts w:ascii="宋体" w:eastAsia="宋体" w:hAnsi="宋体" w:cs="宋体"/>
                <w:spacing w:val="-3"/>
                <w:sz w:val="16"/>
                <w:szCs w:val="16"/>
              </w:rPr>
              <w:t>92.8</w:t>
            </w:r>
          </w:p>
        </w:tc>
      </w:tr>
      <w:tr w:rsidR="00EA40A3">
        <w:trPr>
          <w:trHeight w:val="315"/>
        </w:trPr>
        <w:tc>
          <w:tcPr>
            <w:tcW w:w="1240" w:type="dxa"/>
          </w:tcPr>
          <w:p w:rsidR="00EA40A3" w:rsidRDefault="00E86C16">
            <w:pPr>
              <w:spacing w:before="80" w:line="219" w:lineRule="auto"/>
              <w:ind w:left="289"/>
              <w:rPr>
                <w:rFonts w:ascii="宋体" w:eastAsia="宋体" w:hAnsi="宋体" w:cs="宋体"/>
                <w:sz w:val="16"/>
                <w:szCs w:val="16"/>
              </w:rPr>
            </w:pPr>
            <w:r>
              <w:rPr>
                <w:rFonts w:ascii="宋体" w:eastAsia="宋体" w:hAnsi="宋体" w:cs="宋体"/>
                <w:spacing w:val="-2"/>
                <w:sz w:val="16"/>
                <w:szCs w:val="16"/>
              </w:rPr>
              <w:t>浅色蔬菜</w:t>
            </w:r>
          </w:p>
        </w:tc>
        <w:tc>
          <w:tcPr>
            <w:tcW w:w="1353" w:type="dxa"/>
          </w:tcPr>
          <w:p w:rsidR="00EA40A3" w:rsidRDefault="00E86C16">
            <w:pPr>
              <w:spacing w:before="121" w:line="183" w:lineRule="auto"/>
              <w:ind w:left="139"/>
              <w:rPr>
                <w:rFonts w:ascii="宋体" w:eastAsia="宋体" w:hAnsi="宋体" w:cs="宋体"/>
                <w:sz w:val="16"/>
                <w:szCs w:val="16"/>
              </w:rPr>
            </w:pPr>
            <w:r>
              <w:rPr>
                <w:rFonts w:ascii="宋体" w:eastAsia="宋体" w:hAnsi="宋体" w:cs="宋体"/>
                <w:spacing w:val="-2"/>
                <w:sz w:val="16"/>
                <w:szCs w:val="16"/>
              </w:rPr>
              <w:t>236.8</w:t>
            </w:r>
            <w:r>
              <w:rPr>
                <w:rFonts w:ascii="宋体" w:eastAsia="宋体" w:hAnsi="宋体" w:cs="宋体"/>
                <w:spacing w:val="14"/>
                <w:sz w:val="16"/>
                <w:szCs w:val="16"/>
              </w:rPr>
              <w:t xml:space="preserve">   </w:t>
            </w:r>
            <w:r>
              <w:rPr>
                <w:rFonts w:ascii="宋体" w:eastAsia="宋体" w:hAnsi="宋体" w:cs="宋体"/>
                <w:spacing w:val="-2"/>
                <w:sz w:val="16"/>
                <w:szCs w:val="16"/>
              </w:rPr>
              <w:t>208.3</w:t>
            </w:r>
          </w:p>
        </w:tc>
        <w:tc>
          <w:tcPr>
            <w:tcW w:w="624" w:type="dxa"/>
          </w:tcPr>
          <w:p w:rsidR="00EA40A3" w:rsidRDefault="00E86C16">
            <w:pPr>
              <w:spacing w:before="121" w:line="184" w:lineRule="auto"/>
              <w:ind w:left="117"/>
              <w:rPr>
                <w:rFonts w:ascii="宋体" w:eastAsia="宋体" w:hAnsi="宋体" w:cs="宋体"/>
                <w:sz w:val="16"/>
                <w:szCs w:val="16"/>
              </w:rPr>
            </w:pPr>
            <w:r>
              <w:rPr>
                <w:rFonts w:ascii="宋体" w:eastAsia="宋体" w:hAnsi="宋体" w:cs="宋体"/>
                <w:spacing w:val="-3"/>
                <w:sz w:val="16"/>
                <w:szCs w:val="16"/>
              </w:rPr>
              <w:t>183.7</w:t>
            </w:r>
          </w:p>
        </w:tc>
        <w:tc>
          <w:tcPr>
            <w:tcW w:w="662" w:type="dxa"/>
          </w:tcPr>
          <w:p w:rsidR="00EA40A3" w:rsidRDefault="00E86C16">
            <w:pPr>
              <w:spacing w:before="121" w:line="183" w:lineRule="auto"/>
              <w:ind w:left="162"/>
              <w:rPr>
                <w:rFonts w:ascii="宋体" w:eastAsia="宋体" w:hAnsi="宋体" w:cs="宋体"/>
                <w:sz w:val="16"/>
                <w:szCs w:val="16"/>
              </w:rPr>
            </w:pPr>
            <w:r>
              <w:rPr>
                <w:rFonts w:ascii="宋体" w:eastAsia="宋体" w:hAnsi="宋体" w:cs="宋体"/>
                <w:spacing w:val="-2"/>
                <w:sz w:val="16"/>
                <w:szCs w:val="16"/>
              </w:rPr>
              <w:t>234.0</w:t>
            </w:r>
          </w:p>
        </w:tc>
        <w:tc>
          <w:tcPr>
            <w:tcW w:w="665" w:type="dxa"/>
          </w:tcPr>
          <w:p w:rsidR="00EA40A3" w:rsidRDefault="00E86C16">
            <w:pPr>
              <w:spacing w:before="121" w:line="184" w:lineRule="auto"/>
              <w:ind w:left="141"/>
              <w:rPr>
                <w:rFonts w:ascii="宋体" w:eastAsia="宋体" w:hAnsi="宋体" w:cs="宋体"/>
                <w:sz w:val="16"/>
                <w:szCs w:val="16"/>
              </w:rPr>
            </w:pPr>
            <w:r>
              <w:rPr>
                <w:rFonts w:ascii="宋体" w:eastAsia="宋体" w:hAnsi="宋体" w:cs="宋体"/>
                <w:spacing w:val="-2"/>
                <w:sz w:val="16"/>
                <w:szCs w:val="16"/>
              </w:rPr>
              <w:t>221.2</w:t>
            </w:r>
          </w:p>
        </w:tc>
        <w:tc>
          <w:tcPr>
            <w:tcW w:w="657" w:type="dxa"/>
          </w:tcPr>
          <w:p w:rsidR="00EA40A3" w:rsidRDefault="00E86C16">
            <w:pPr>
              <w:spacing w:before="121" w:line="184" w:lineRule="auto"/>
              <w:ind w:left="126"/>
              <w:rPr>
                <w:rFonts w:ascii="宋体" w:eastAsia="宋体" w:hAnsi="宋体" w:cs="宋体"/>
                <w:sz w:val="16"/>
                <w:szCs w:val="16"/>
              </w:rPr>
            </w:pPr>
            <w:r>
              <w:rPr>
                <w:rFonts w:ascii="宋体" w:eastAsia="宋体" w:hAnsi="宋体" w:cs="宋体"/>
                <w:spacing w:val="-3"/>
                <w:sz w:val="16"/>
                <w:szCs w:val="16"/>
              </w:rPr>
              <w:t>163.8</w:t>
            </w:r>
          </w:p>
        </w:tc>
        <w:tc>
          <w:tcPr>
            <w:tcW w:w="2128" w:type="dxa"/>
          </w:tcPr>
          <w:p w:rsidR="00EA40A3" w:rsidRDefault="00E86C16">
            <w:pPr>
              <w:spacing w:before="121" w:line="184" w:lineRule="auto"/>
              <w:ind w:left="108"/>
              <w:rPr>
                <w:rFonts w:ascii="宋体" w:eastAsia="宋体" w:hAnsi="宋体" w:cs="宋体"/>
                <w:sz w:val="16"/>
                <w:szCs w:val="16"/>
              </w:rPr>
            </w:pPr>
            <w:r>
              <w:rPr>
                <w:rFonts w:ascii="宋体" w:eastAsia="宋体" w:hAnsi="宋体" w:cs="宋体"/>
                <w:spacing w:val="-3"/>
                <w:sz w:val="16"/>
                <w:szCs w:val="16"/>
              </w:rPr>
              <w:t>238.0</w:t>
            </w:r>
            <w:r>
              <w:rPr>
                <w:rFonts w:ascii="宋体" w:eastAsia="宋体" w:hAnsi="宋体" w:cs="宋体"/>
                <w:spacing w:val="20"/>
                <w:sz w:val="16"/>
                <w:szCs w:val="16"/>
              </w:rPr>
              <w:t xml:space="preserve">   </w:t>
            </w:r>
            <w:r>
              <w:rPr>
                <w:rFonts w:ascii="宋体" w:eastAsia="宋体" w:hAnsi="宋体" w:cs="宋体"/>
                <w:spacing w:val="-3"/>
                <w:sz w:val="16"/>
                <w:szCs w:val="16"/>
              </w:rPr>
              <w:t>199.6</w:t>
            </w:r>
            <w:r>
              <w:rPr>
                <w:rFonts w:ascii="宋体" w:eastAsia="宋体" w:hAnsi="宋体" w:cs="宋体"/>
                <w:spacing w:val="23"/>
                <w:sz w:val="16"/>
                <w:szCs w:val="16"/>
              </w:rPr>
              <w:t xml:space="preserve">   </w:t>
            </w:r>
            <w:r>
              <w:rPr>
                <w:rFonts w:ascii="宋体" w:eastAsia="宋体" w:hAnsi="宋体" w:cs="宋体"/>
                <w:spacing w:val="-3"/>
                <w:sz w:val="16"/>
                <w:szCs w:val="16"/>
              </w:rPr>
              <w:t>191.3</w:t>
            </w:r>
          </w:p>
        </w:tc>
      </w:tr>
      <w:tr w:rsidR="00EA40A3">
        <w:trPr>
          <w:trHeight w:val="310"/>
        </w:trPr>
        <w:tc>
          <w:tcPr>
            <w:tcW w:w="1240" w:type="dxa"/>
          </w:tcPr>
          <w:p w:rsidR="00EA40A3" w:rsidRDefault="00E86C16">
            <w:pPr>
              <w:spacing w:before="85" w:line="219" w:lineRule="auto"/>
              <w:ind w:left="609"/>
              <w:rPr>
                <w:rFonts w:ascii="宋体" w:eastAsia="宋体" w:hAnsi="宋体" w:cs="宋体"/>
                <w:sz w:val="16"/>
                <w:szCs w:val="16"/>
              </w:rPr>
            </w:pPr>
            <w:r>
              <w:rPr>
                <w:rFonts w:ascii="宋体" w:eastAsia="宋体" w:hAnsi="宋体" w:cs="宋体"/>
                <w:spacing w:val="-2"/>
                <w:sz w:val="16"/>
                <w:szCs w:val="16"/>
              </w:rPr>
              <w:t>腌菜</w:t>
            </w:r>
          </w:p>
        </w:tc>
        <w:tc>
          <w:tcPr>
            <w:tcW w:w="1353" w:type="dxa"/>
          </w:tcPr>
          <w:p w:rsidR="00EA40A3" w:rsidRDefault="00E86C16">
            <w:pPr>
              <w:spacing w:before="125" w:line="184" w:lineRule="auto"/>
              <w:ind w:left="219"/>
              <w:rPr>
                <w:rFonts w:ascii="宋体" w:eastAsia="宋体" w:hAnsi="宋体" w:cs="宋体"/>
                <w:sz w:val="16"/>
                <w:szCs w:val="16"/>
              </w:rPr>
            </w:pPr>
            <w:r>
              <w:rPr>
                <w:rFonts w:ascii="宋体" w:eastAsia="宋体" w:hAnsi="宋体" w:cs="宋体"/>
                <w:spacing w:val="-4"/>
                <w:sz w:val="16"/>
                <w:szCs w:val="16"/>
              </w:rPr>
              <w:t>14.0</w:t>
            </w:r>
            <w:r>
              <w:rPr>
                <w:rFonts w:ascii="宋体" w:eastAsia="宋体" w:hAnsi="宋体" w:cs="宋体"/>
                <w:spacing w:val="13"/>
                <w:sz w:val="16"/>
                <w:szCs w:val="16"/>
              </w:rPr>
              <w:t xml:space="preserve">    </w:t>
            </w:r>
            <w:r>
              <w:rPr>
                <w:rFonts w:ascii="宋体" w:eastAsia="宋体" w:hAnsi="宋体" w:cs="宋体"/>
                <w:spacing w:val="-4"/>
                <w:sz w:val="16"/>
                <w:szCs w:val="16"/>
              </w:rPr>
              <w:t>9.7</w:t>
            </w:r>
          </w:p>
        </w:tc>
        <w:tc>
          <w:tcPr>
            <w:tcW w:w="624" w:type="dxa"/>
          </w:tcPr>
          <w:p w:rsidR="00EA40A3" w:rsidRDefault="00E86C16">
            <w:pPr>
              <w:spacing w:before="125" w:line="184" w:lineRule="auto"/>
              <w:ind w:left="156"/>
              <w:rPr>
                <w:rFonts w:ascii="宋体" w:eastAsia="宋体" w:hAnsi="宋体" w:cs="宋体"/>
                <w:sz w:val="16"/>
                <w:szCs w:val="16"/>
              </w:rPr>
            </w:pPr>
            <w:r>
              <w:rPr>
                <w:rFonts w:ascii="宋体" w:eastAsia="宋体" w:hAnsi="宋体" w:cs="宋体"/>
                <w:spacing w:val="-4"/>
                <w:sz w:val="16"/>
                <w:szCs w:val="16"/>
              </w:rPr>
              <w:t>10.3</w:t>
            </w:r>
          </w:p>
        </w:tc>
        <w:tc>
          <w:tcPr>
            <w:tcW w:w="662" w:type="dxa"/>
          </w:tcPr>
          <w:p w:rsidR="00EA40A3" w:rsidRDefault="00E86C16">
            <w:pPr>
              <w:spacing w:before="125" w:line="184" w:lineRule="auto"/>
              <w:ind w:left="242"/>
              <w:rPr>
                <w:rFonts w:ascii="宋体" w:eastAsia="宋体" w:hAnsi="宋体" w:cs="宋体"/>
                <w:sz w:val="16"/>
                <w:szCs w:val="16"/>
              </w:rPr>
            </w:pPr>
            <w:r>
              <w:rPr>
                <w:rFonts w:ascii="宋体" w:eastAsia="宋体" w:hAnsi="宋体" w:cs="宋体"/>
                <w:spacing w:val="-4"/>
                <w:sz w:val="16"/>
                <w:szCs w:val="16"/>
              </w:rPr>
              <w:t>12.1</w:t>
            </w:r>
          </w:p>
        </w:tc>
        <w:tc>
          <w:tcPr>
            <w:tcW w:w="665" w:type="dxa"/>
          </w:tcPr>
          <w:p w:rsidR="00EA40A3" w:rsidRDefault="00E86C16">
            <w:pPr>
              <w:spacing w:before="126" w:line="183" w:lineRule="auto"/>
              <w:ind w:left="221"/>
              <w:rPr>
                <w:rFonts w:ascii="宋体" w:eastAsia="宋体" w:hAnsi="宋体" w:cs="宋体"/>
                <w:sz w:val="16"/>
                <w:szCs w:val="16"/>
              </w:rPr>
            </w:pPr>
            <w:r>
              <w:rPr>
                <w:rFonts w:ascii="宋体" w:eastAsia="宋体" w:hAnsi="宋体" w:cs="宋体"/>
                <w:spacing w:val="-2"/>
                <w:sz w:val="16"/>
                <w:szCs w:val="16"/>
              </w:rPr>
              <w:t>8.0</w:t>
            </w:r>
          </w:p>
        </w:tc>
        <w:tc>
          <w:tcPr>
            <w:tcW w:w="657" w:type="dxa"/>
          </w:tcPr>
          <w:p w:rsidR="00EA40A3" w:rsidRDefault="00E86C16">
            <w:pPr>
              <w:spacing w:before="126" w:line="183" w:lineRule="auto"/>
              <w:ind w:left="205"/>
              <w:rPr>
                <w:rFonts w:ascii="宋体" w:eastAsia="宋体" w:hAnsi="宋体" w:cs="宋体"/>
                <w:sz w:val="16"/>
                <w:szCs w:val="16"/>
              </w:rPr>
            </w:pPr>
            <w:r>
              <w:rPr>
                <w:rFonts w:ascii="宋体" w:eastAsia="宋体" w:hAnsi="宋体" w:cs="宋体"/>
                <w:spacing w:val="-2"/>
                <w:sz w:val="16"/>
                <w:szCs w:val="16"/>
              </w:rPr>
              <w:t>8.4</w:t>
            </w:r>
          </w:p>
        </w:tc>
        <w:tc>
          <w:tcPr>
            <w:tcW w:w="2128" w:type="dxa"/>
          </w:tcPr>
          <w:p w:rsidR="00EA40A3" w:rsidRDefault="00E86C16">
            <w:pPr>
              <w:spacing w:before="125" w:line="184" w:lineRule="auto"/>
              <w:ind w:left="189"/>
              <w:rPr>
                <w:rFonts w:ascii="宋体" w:eastAsia="宋体" w:hAnsi="宋体" w:cs="宋体"/>
                <w:sz w:val="16"/>
                <w:szCs w:val="16"/>
              </w:rPr>
            </w:pPr>
            <w:r>
              <w:rPr>
                <w:rFonts w:ascii="宋体" w:eastAsia="宋体" w:hAnsi="宋体" w:cs="宋体"/>
                <w:spacing w:val="-5"/>
                <w:sz w:val="16"/>
                <w:szCs w:val="16"/>
              </w:rPr>
              <w:t>14.8</w:t>
            </w:r>
            <w:r>
              <w:rPr>
                <w:rFonts w:ascii="宋体" w:eastAsia="宋体" w:hAnsi="宋体" w:cs="宋体"/>
                <w:spacing w:val="9"/>
                <w:sz w:val="16"/>
                <w:szCs w:val="16"/>
              </w:rPr>
              <w:t xml:space="preserve">    </w:t>
            </w:r>
            <w:r>
              <w:rPr>
                <w:rFonts w:ascii="宋体" w:eastAsia="宋体" w:hAnsi="宋体" w:cs="宋体"/>
                <w:spacing w:val="-5"/>
                <w:sz w:val="16"/>
                <w:szCs w:val="16"/>
              </w:rPr>
              <w:t>10.8</w:t>
            </w:r>
            <w:r>
              <w:rPr>
                <w:rFonts w:ascii="宋体" w:eastAsia="宋体" w:hAnsi="宋体" w:cs="宋体"/>
                <w:spacing w:val="7"/>
                <w:sz w:val="16"/>
                <w:szCs w:val="16"/>
              </w:rPr>
              <w:t xml:space="preserve">    </w:t>
            </w:r>
            <w:r>
              <w:rPr>
                <w:rFonts w:ascii="宋体" w:eastAsia="宋体" w:hAnsi="宋体" w:cs="宋体"/>
                <w:spacing w:val="-5"/>
                <w:sz w:val="16"/>
                <w:szCs w:val="16"/>
              </w:rPr>
              <w:t>11.0</w:t>
            </w:r>
          </w:p>
        </w:tc>
      </w:tr>
      <w:tr w:rsidR="00EA40A3">
        <w:trPr>
          <w:trHeight w:val="305"/>
        </w:trPr>
        <w:tc>
          <w:tcPr>
            <w:tcW w:w="1240" w:type="dxa"/>
          </w:tcPr>
          <w:p w:rsidR="00EA40A3" w:rsidRDefault="00E86C16">
            <w:pPr>
              <w:spacing w:before="75" w:line="219" w:lineRule="auto"/>
              <w:ind w:left="609"/>
              <w:rPr>
                <w:rFonts w:ascii="宋体" w:eastAsia="宋体" w:hAnsi="宋体" w:cs="宋体"/>
                <w:sz w:val="16"/>
                <w:szCs w:val="16"/>
              </w:rPr>
            </w:pPr>
            <w:r>
              <w:rPr>
                <w:rFonts w:ascii="宋体" w:eastAsia="宋体" w:hAnsi="宋体" w:cs="宋体"/>
                <w:spacing w:val="-3"/>
                <w:sz w:val="16"/>
                <w:szCs w:val="16"/>
              </w:rPr>
              <w:t>水果</w:t>
            </w:r>
          </w:p>
        </w:tc>
        <w:tc>
          <w:tcPr>
            <w:tcW w:w="1353" w:type="dxa"/>
          </w:tcPr>
          <w:p w:rsidR="00EA40A3" w:rsidRDefault="00E86C16">
            <w:pPr>
              <w:spacing w:before="116" w:line="183" w:lineRule="auto"/>
              <w:ind w:left="219"/>
              <w:rPr>
                <w:rFonts w:ascii="宋体" w:eastAsia="宋体" w:hAnsi="宋体" w:cs="宋体"/>
                <w:sz w:val="16"/>
                <w:szCs w:val="16"/>
              </w:rPr>
            </w:pPr>
            <w:r>
              <w:rPr>
                <w:rFonts w:ascii="宋体" w:eastAsia="宋体" w:hAnsi="宋体" w:cs="宋体"/>
                <w:spacing w:val="-2"/>
                <w:sz w:val="16"/>
                <w:szCs w:val="16"/>
              </w:rPr>
              <w:t>37.4</w:t>
            </w:r>
            <w:r>
              <w:rPr>
                <w:rFonts w:ascii="宋体" w:eastAsia="宋体" w:hAnsi="宋体" w:cs="宋体"/>
                <w:spacing w:val="26"/>
                <w:w w:val="101"/>
                <w:sz w:val="16"/>
                <w:szCs w:val="16"/>
              </w:rPr>
              <w:t xml:space="preserve">   </w:t>
            </w:r>
            <w:r>
              <w:rPr>
                <w:rFonts w:ascii="宋体" w:eastAsia="宋体" w:hAnsi="宋体" w:cs="宋体"/>
                <w:spacing w:val="-2"/>
                <w:sz w:val="16"/>
                <w:szCs w:val="16"/>
              </w:rPr>
              <w:t>49.2</w:t>
            </w:r>
          </w:p>
        </w:tc>
        <w:tc>
          <w:tcPr>
            <w:tcW w:w="624" w:type="dxa"/>
          </w:tcPr>
          <w:p w:rsidR="00EA40A3" w:rsidRDefault="00E86C16">
            <w:pPr>
              <w:spacing w:before="116" w:line="183" w:lineRule="auto"/>
              <w:ind w:left="156"/>
              <w:rPr>
                <w:rFonts w:ascii="宋体" w:eastAsia="宋体" w:hAnsi="宋体" w:cs="宋体"/>
                <w:sz w:val="16"/>
                <w:szCs w:val="16"/>
              </w:rPr>
            </w:pPr>
            <w:r>
              <w:rPr>
                <w:rFonts w:ascii="宋体" w:eastAsia="宋体" w:hAnsi="宋体" w:cs="宋体"/>
                <w:spacing w:val="-2"/>
                <w:sz w:val="16"/>
                <w:szCs w:val="16"/>
              </w:rPr>
              <w:t>45.7</w:t>
            </w:r>
          </w:p>
        </w:tc>
        <w:tc>
          <w:tcPr>
            <w:tcW w:w="662" w:type="dxa"/>
          </w:tcPr>
          <w:p w:rsidR="00EA40A3" w:rsidRDefault="00E86C16">
            <w:pPr>
              <w:spacing w:before="116" w:line="183" w:lineRule="auto"/>
              <w:ind w:left="242"/>
              <w:rPr>
                <w:rFonts w:ascii="宋体" w:eastAsia="宋体" w:hAnsi="宋体" w:cs="宋体"/>
                <w:sz w:val="16"/>
                <w:szCs w:val="16"/>
              </w:rPr>
            </w:pPr>
            <w:r>
              <w:rPr>
                <w:rFonts w:ascii="宋体" w:eastAsia="宋体" w:hAnsi="宋体" w:cs="宋体"/>
                <w:spacing w:val="-2"/>
                <w:sz w:val="16"/>
                <w:szCs w:val="16"/>
              </w:rPr>
              <w:t>68.3</w:t>
            </w:r>
          </w:p>
        </w:tc>
        <w:tc>
          <w:tcPr>
            <w:tcW w:w="665" w:type="dxa"/>
          </w:tcPr>
          <w:p w:rsidR="00EA40A3" w:rsidRDefault="00E86C16">
            <w:pPr>
              <w:spacing w:before="116" w:line="184" w:lineRule="auto"/>
              <w:ind w:left="181"/>
              <w:rPr>
                <w:rFonts w:ascii="宋体" w:eastAsia="宋体" w:hAnsi="宋体" w:cs="宋体"/>
                <w:sz w:val="16"/>
                <w:szCs w:val="16"/>
              </w:rPr>
            </w:pPr>
            <w:r>
              <w:rPr>
                <w:rFonts w:ascii="宋体" w:eastAsia="宋体" w:hAnsi="宋体" w:cs="宋体"/>
                <w:spacing w:val="-2"/>
                <w:sz w:val="16"/>
                <w:szCs w:val="16"/>
              </w:rPr>
              <w:t>80.1</w:t>
            </w:r>
          </w:p>
        </w:tc>
        <w:tc>
          <w:tcPr>
            <w:tcW w:w="657" w:type="dxa"/>
          </w:tcPr>
          <w:p w:rsidR="00EA40A3" w:rsidRDefault="00E86C16">
            <w:pPr>
              <w:spacing w:before="116" w:line="183" w:lineRule="auto"/>
              <w:ind w:left="166"/>
              <w:rPr>
                <w:rFonts w:ascii="宋体" w:eastAsia="宋体" w:hAnsi="宋体" w:cs="宋体"/>
                <w:sz w:val="16"/>
                <w:szCs w:val="16"/>
              </w:rPr>
            </w:pPr>
            <w:r>
              <w:rPr>
                <w:rFonts w:ascii="宋体" w:eastAsia="宋体" w:hAnsi="宋体" w:cs="宋体"/>
                <w:spacing w:val="-2"/>
                <w:sz w:val="16"/>
                <w:szCs w:val="16"/>
              </w:rPr>
              <w:t>69.3</w:t>
            </w:r>
          </w:p>
        </w:tc>
        <w:tc>
          <w:tcPr>
            <w:tcW w:w="2128" w:type="dxa"/>
          </w:tcPr>
          <w:p w:rsidR="00EA40A3" w:rsidRDefault="00E86C16">
            <w:pPr>
              <w:spacing w:before="116" w:line="183" w:lineRule="auto"/>
              <w:ind w:left="189"/>
              <w:rPr>
                <w:rFonts w:ascii="宋体" w:eastAsia="宋体" w:hAnsi="宋体" w:cs="宋体"/>
                <w:sz w:val="16"/>
                <w:szCs w:val="16"/>
              </w:rPr>
            </w:pPr>
            <w:r>
              <w:rPr>
                <w:rFonts w:ascii="宋体" w:eastAsia="宋体" w:hAnsi="宋体" w:cs="宋体"/>
                <w:spacing w:val="-3"/>
                <w:sz w:val="16"/>
                <w:szCs w:val="16"/>
              </w:rPr>
              <w:t>24.4</w:t>
            </w:r>
            <w:r>
              <w:rPr>
                <w:rFonts w:ascii="宋体" w:eastAsia="宋体" w:hAnsi="宋体" w:cs="宋体"/>
                <w:spacing w:val="7"/>
                <w:sz w:val="16"/>
                <w:szCs w:val="16"/>
              </w:rPr>
              <w:t xml:space="preserve">    </w:t>
            </w:r>
            <w:r>
              <w:rPr>
                <w:rFonts w:ascii="宋体" w:eastAsia="宋体" w:hAnsi="宋体" w:cs="宋体"/>
                <w:spacing w:val="-3"/>
                <w:sz w:val="16"/>
                <w:szCs w:val="16"/>
              </w:rPr>
              <w:t>32.0</w:t>
            </w:r>
            <w:r>
              <w:rPr>
                <w:rFonts w:ascii="宋体" w:eastAsia="宋体" w:hAnsi="宋体" w:cs="宋体"/>
                <w:spacing w:val="4"/>
                <w:sz w:val="16"/>
                <w:szCs w:val="16"/>
              </w:rPr>
              <w:t xml:space="preserve">    </w:t>
            </w:r>
            <w:r>
              <w:rPr>
                <w:rFonts w:ascii="宋体" w:eastAsia="宋体" w:hAnsi="宋体" w:cs="宋体"/>
                <w:spacing w:val="-3"/>
                <w:sz w:val="16"/>
                <w:szCs w:val="16"/>
              </w:rPr>
              <w:t>36.6</w:t>
            </w:r>
          </w:p>
        </w:tc>
      </w:tr>
      <w:tr w:rsidR="00EA40A3">
        <w:trPr>
          <w:trHeight w:val="308"/>
        </w:trPr>
        <w:tc>
          <w:tcPr>
            <w:tcW w:w="1240" w:type="dxa"/>
          </w:tcPr>
          <w:p w:rsidR="00EA40A3" w:rsidRDefault="00E86C16">
            <w:pPr>
              <w:spacing w:before="81" w:line="220" w:lineRule="auto"/>
              <w:ind w:left="609"/>
              <w:rPr>
                <w:rFonts w:ascii="宋体" w:eastAsia="宋体" w:hAnsi="宋体" w:cs="宋体"/>
                <w:sz w:val="16"/>
                <w:szCs w:val="16"/>
              </w:rPr>
            </w:pPr>
            <w:r>
              <w:rPr>
                <w:rFonts w:ascii="宋体" w:eastAsia="宋体" w:hAnsi="宋体" w:cs="宋体"/>
                <w:spacing w:val="-3"/>
                <w:sz w:val="16"/>
                <w:szCs w:val="16"/>
              </w:rPr>
              <w:t>坚果</w:t>
            </w:r>
          </w:p>
        </w:tc>
        <w:tc>
          <w:tcPr>
            <w:tcW w:w="1353" w:type="dxa"/>
          </w:tcPr>
          <w:p w:rsidR="00EA40A3" w:rsidRDefault="00E86C16">
            <w:pPr>
              <w:spacing w:before="120" w:line="184" w:lineRule="auto"/>
              <w:ind w:left="300"/>
              <w:rPr>
                <w:rFonts w:ascii="宋体" w:eastAsia="宋体" w:hAnsi="宋体" w:cs="宋体"/>
                <w:sz w:val="16"/>
                <w:szCs w:val="16"/>
              </w:rPr>
            </w:pPr>
            <w:r>
              <w:rPr>
                <w:rFonts w:ascii="宋体" w:eastAsia="宋体" w:hAnsi="宋体" w:cs="宋体"/>
                <w:spacing w:val="-3"/>
                <w:sz w:val="16"/>
                <w:szCs w:val="16"/>
              </w:rPr>
              <w:t>2.2</w:t>
            </w:r>
            <w:r>
              <w:rPr>
                <w:rFonts w:ascii="宋体" w:eastAsia="宋体" w:hAnsi="宋体" w:cs="宋体"/>
                <w:spacing w:val="10"/>
                <w:sz w:val="16"/>
                <w:szCs w:val="16"/>
              </w:rPr>
              <w:t xml:space="preserve">    </w:t>
            </w:r>
            <w:r>
              <w:rPr>
                <w:rFonts w:ascii="宋体" w:eastAsia="宋体" w:hAnsi="宋体" w:cs="宋体"/>
                <w:spacing w:val="-3"/>
                <w:sz w:val="16"/>
                <w:szCs w:val="16"/>
              </w:rPr>
              <w:t>3.1</w:t>
            </w:r>
          </w:p>
        </w:tc>
        <w:tc>
          <w:tcPr>
            <w:tcW w:w="624" w:type="dxa"/>
          </w:tcPr>
          <w:p w:rsidR="00EA40A3" w:rsidRDefault="00E86C16">
            <w:pPr>
              <w:spacing w:before="121" w:line="183" w:lineRule="auto"/>
              <w:ind w:left="196"/>
              <w:rPr>
                <w:rFonts w:ascii="宋体" w:eastAsia="宋体" w:hAnsi="宋体" w:cs="宋体"/>
                <w:sz w:val="16"/>
                <w:szCs w:val="16"/>
              </w:rPr>
            </w:pPr>
            <w:r>
              <w:rPr>
                <w:rFonts w:ascii="宋体" w:eastAsia="宋体" w:hAnsi="宋体" w:cs="宋体"/>
                <w:spacing w:val="-3"/>
                <w:sz w:val="16"/>
                <w:szCs w:val="16"/>
              </w:rPr>
              <w:t>3.9</w:t>
            </w:r>
          </w:p>
        </w:tc>
        <w:tc>
          <w:tcPr>
            <w:tcW w:w="662" w:type="dxa"/>
          </w:tcPr>
          <w:p w:rsidR="00EA40A3" w:rsidRDefault="00E86C16">
            <w:pPr>
              <w:spacing w:before="121" w:line="183" w:lineRule="auto"/>
              <w:ind w:left="323"/>
              <w:rPr>
                <w:rFonts w:ascii="宋体" w:eastAsia="宋体" w:hAnsi="宋体" w:cs="宋体"/>
                <w:sz w:val="16"/>
                <w:szCs w:val="16"/>
              </w:rPr>
            </w:pPr>
            <w:r>
              <w:rPr>
                <w:rFonts w:ascii="宋体" w:eastAsia="宋体" w:hAnsi="宋体" w:cs="宋体"/>
                <w:spacing w:val="-3"/>
                <w:sz w:val="16"/>
                <w:szCs w:val="16"/>
              </w:rPr>
              <w:t>3.5</w:t>
            </w:r>
          </w:p>
        </w:tc>
        <w:tc>
          <w:tcPr>
            <w:tcW w:w="665" w:type="dxa"/>
          </w:tcPr>
          <w:p w:rsidR="00EA40A3" w:rsidRDefault="00E86C16">
            <w:pPr>
              <w:spacing w:before="121" w:line="183" w:lineRule="auto"/>
              <w:ind w:left="221"/>
              <w:rPr>
                <w:rFonts w:ascii="宋体" w:eastAsia="宋体" w:hAnsi="宋体" w:cs="宋体"/>
                <w:sz w:val="16"/>
                <w:szCs w:val="16"/>
              </w:rPr>
            </w:pPr>
            <w:r>
              <w:rPr>
                <w:rFonts w:ascii="宋体" w:eastAsia="宋体" w:hAnsi="宋体" w:cs="宋体"/>
                <w:spacing w:val="-3"/>
                <w:sz w:val="16"/>
                <w:szCs w:val="16"/>
              </w:rPr>
              <w:t>3.4</w:t>
            </w:r>
          </w:p>
        </w:tc>
        <w:tc>
          <w:tcPr>
            <w:tcW w:w="657" w:type="dxa"/>
          </w:tcPr>
          <w:p w:rsidR="00EA40A3" w:rsidRDefault="00E86C16">
            <w:pPr>
              <w:spacing w:before="121" w:line="183" w:lineRule="auto"/>
              <w:ind w:left="205"/>
              <w:rPr>
                <w:rFonts w:ascii="宋体" w:eastAsia="宋体" w:hAnsi="宋体" w:cs="宋体"/>
                <w:sz w:val="16"/>
                <w:szCs w:val="16"/>
              </w:rPr>
            </w:pPr>
            <w:r>
              <w:rPr>
                <w:rFonts w:ascii="宋体" w:eastAsia="宋体" w:hAnsi="宋体" w:cs="宋体"/>
                <w:spacing w:val="-3"/>
                <w:sz w:val="16"/>
                <w:szCs w:val="16"/>
              </w:rPr>
              <w:t>5.4</w:t>
            </w:r>
          </w:p>
        </w:tc>
        <w:tc>
          <w:tcPr>
            <w:tcW w:w="2128" w:type="dxa"/>
          </w:tcPr>
          <w:p w:rsidR="00EA40A3" w:rsidRDefault="00E86C16">
            <w:pPr>
              <w:spacing w:before="120" w:line="184" w:lineRule="auto"/>
              <w:ind w:left="269"/>
              <w:rPr>
                <w:rFonts w:ascii="宋体" w:eastAsia="宋体" w:hAnsi="宋体" w:cs="宋体"/>
                <w:sz w:val="16"/>
                <w:szCs w:val="16"/>
              </w:rPr>
            </w:pPr>
            <w:r>
              <w:rPr>
                <w:rFonts w:ascii="宋体" w:eastAsia="宋体" w:hAnsi="宋体" w:cs="宋体"/>
                <w:spacing w:val="-4"/>
                <w:sz w:val="16"/>
                <w:szCs w:val="16"/>
              </w:rPr>
              <w:t>1.7</w:t>
            </w:r>
            <w:r>
              <w:rPr>
                <w:rFonts w:ascii="宋体" w:eastAsia="宋体" w:hAnsi="宋体" w:cs="宋体"/>
                <w:spacing w:val="17"/>
                <w:sz w:val="16"/>
                <w:szCs w:val="16"/>
              </w:rPr>
              <w:t xml:space="preserve">    </w:t>
            </w:r>
            <w:r>
              <w:rPr>
                <w:rFonts w:ascii="宋体" w:eastAsia="宋体" w:hAnsi="宋体" w:cs="宋体"/>
                <w:spacing w:val="-4"/>
                <w:sz w:val="16"/>
                <w:szCs w:val="16"/>
              </w:rPr>
              <w:t>3.0</w:t>
            </w:r>
            <w:r>
              <w:rPr>
                <w:rFonts w:ascii="宋体" w:eastAsia="宋体" w:hAnsi="宋体" w:cs="宋体"/>
                <w:spacing w:val="15"/>
                <w:sz w:val="16"/>
                <w:szCs w:val="16"/>
              </w:rPr>
              <w:t xml:space="preserve">    </w:t>
            </w:r>
            <w:r>
              <w:rPr>
                <w:rFonts w:ascii="宋体" w:eastAsia="宋体" w:hAnsi="宋体" w:cs="宋体"/>
                <w:spacing w:val="-4"/>
                <w:sz w:val="16"/>
                <w:szCs w:val="16"/>
              </w:rPr>
              <w:t>3.3</w:t>
            </w:r>
          </w:p>
        </w:tc>
      </w:tr>
      <w:tr w:rsidR="00EA40A3">
        <w:trPr>
          <w:trHeight w:val="310"/>
        </w:trPr>
        <w:tc>
          <w:tcPr>
            <w:tcW w:w="1240" w:type="dxa"/>
          </w:tcPr>
          <w:p w:rsidR="00EA40A3" w:rsidRDefault="00E86C16">
            <w:pPr>
              <w:spacing w:before="82" w:line="219" w:lineRule="auto"/>
              <w:ind w:left="450"/>
              <w:rPr>
                <w:rFonts w:ascii="宋体" w:eastAsia="宋体" w:hAnsi="宋体" w:cs="宋体"/>
                <w:sz w:val="16"/>
                <w:szCs w:val="16"/>
              </w:rPr>
            </w:pPr>
            <w:r>
              <w:rPr>
                <w:rFonts w:ascii="宋体" w:eastAsia="宋体" w:hAnsi="宋体" w:cs="宋体"/>
                <w:spacing w:val="2"/>
                <w:sz w:val="16"/>
                <w:szCs w:val="16"/>
              </w:rPr>
              <w:t>畜禽类</w:t>
            </w:r>
          </w:p>
        </w:tc>
        <w:tc>
          <w:tcPr>
            <w:tcW w:w="1353" w:type="dxa"/>
          </w:tcPr>
          <w:p w:rsidR="00EA40A3" w:rsidRDefault="00E86C16">
            <w:pPr>
              <w:spacing w:before="123" w:line="183" w:lineRule="auto"/>
              <w:ind w:left="219"/>
              <w:rPr>
                <w:rFonts w:ascii="宋体" w:eastAsia="宋体" w:hAnsi="宋体" w:cs="宋体"/>
                <w:sz w:val="16"/>
                <w:szCs w:val="16"/>
              </w:rPr>
            </w:pPr>
            <w:r>
              <w:rPr>
                <w:rFonts w:ascii="宋体" w:eastAsia="宋体" w:hAnsi="宋体" w:cs="宋体"/>
                <w:spacing w:val="-3"/>
                <w:sz w:val="16"/>
                <w:szCs w:val="16"/>
              </w:rPr>
              <w:t>34.2</w:t>
            </w:r>
            <w:r>
              <w:rPr>
                <w:rFonts w:ascii="宋体" w:eastAsia="宋体" w:hAnsi="宋体" w:cs="宋体"/>
                <w:spacing w:val="28"/>
                <w:sz w:val="16"/>
                <w:szCs w:val="16"/>
              </w:rPr>
              <w:t xml:space="preserve">   </w:t>
            </w:r>
            <w:r>
              <w:rPr>
                <w:rFonts w:ascii="宋体" w:eastAsia="宋体" w:hAnsi="宋体" w:cs="宋体"/>
                <w:spacing w:val="-3"/>
                <w:sz w:val="16"/>
                <w:szCs w:val="16"/>
              </w:rPr>
              <w:t>58.9</w:t>
            </w:r>
          </w:p>
        </w:tc>
        <w:tc>
          <w:tcPr>
            <w:tcW w:w="624" w:type="dxa"/>
          </w:tcPr>
          <w:p w:rsidR="00EA40A3" w:rsidRDefault="00E86C16">
            <w:pPr>
              <w:spacing w:before="123" w:line="183" w:lineRule="auto"/>
              <w:ind w:left="156"/>
              <w:rPr>
                <w:rFonts w:ascii="宋体" w:eastAsia="宋体" w:hAnsi="宋体" w:cs="宋体"/>
                <w:sz w:val="16"/>
                <w:szCs w:val="16"/>
              </w:rPr>
            </w:pPr>
            <w:r>
              <w:rPr>
                <w:rFonts w:ascii="宋体" w:eastAsia="宋体" w:hAnsi="宋体" w:cs="宋体"/>
                <w:spacing w:val="-2"/>
                <w:sz w:val="16"/>
                <w:szCs w:val="16"/>
              </w:rPr>
              <w:t>79.5</w:t>
            </w:r>
          </w:p>
        </w:tc>
        <w:tc>
          <w:tcPr>
            <w:tcW w:w="662" w:type="dxa"/>
          </w:tcPr>
          <w:p w:rsidR="00EA40A3" w:rsidRDefault="00E86C16">
            <w:pPr>
              <w:spacing w:before="123" w:line="183" w:lineRule="auto"/>
              <w:ind w:left="242"/>
              <w:rPr>
                <w:rFonts w:ascii="宋体" w:eastAsia="宋体" w:hAnsi="宋体" w:cs="宋体"/>
                <w:sz w:val="16"/>
                <w:szCs w:val="16"/>
              </w:rPr>
            </w:pPr>
            <w:r>
              <w:rPr>
                <w:rFonts w:ascii="宋体" w:eastAsia="宋体" w:hAnsi="宋体" w:cs="宋体"/>
                <w:spacing w:val="-2"/>
                <w:sz w:val="16"/>
                <w:szCs w:val="16"/>
              </w:rPr>
              <w:t>62.0</w:t>
            </w:r>
          </w:p>
        </w:tc>
        <w:tc>
          <w:tcPr>
            <w:tcW w:w="665" w:type="dxa"/>
          </w:tcPr>
          <w:p w:rsidR="00EA40A3" w:rsidRDefault="00E86C16">
            <w:pPr>
              <w:spacing w:before="122" w:line="184" w:lineRule="auto"/>
              <w:ind w:left="141"/>
              <w:rPr>
                <w:rFonts w:ascii="宋体" w:eastAsia="宋体" w:hAnsi="宋体" w:cs="宋体"/>
                <w:sz w:val="16"/>
                <w:szCs w:val="16"/>
              </w:rPr>
            </w:pPr>
            <w:r>
              <w:rPr>
                <w:rFonts w:ascii="宋体" w:eastAsia="宋体" w:hAnsi="宋体" w:cs="宋体"/>
                <w:spacing w:val="-3"/>
                <w:sz w:val="16"/>
                <w:szCs w:val="16"/>
              </w:rPr>
              <w:t>100.5</w:t>
            </w:r>
          </w:p>
        </w:tc>
        <w:tc>
          <w:tcPr>
            <w:tcW w:w="657" w:type="dxa"/>
          </w:tcPr>
          <w:p w:rsidR="00EA40A3" w:rsidRDefault="00E86C16">
            <w:pPr>
              <w:spacing w:before="122" w:line="184" w:lineRule="auto"/>
              <w:ind w:left="126"/>
              <w:rPr>
                <w:rFonts w:ascii="宋体" w:eastAsia="宋体" w:hAnsi="宋体" w:cs="宋体"/>
                <w:sz w:val="16"/>
                <w:szCs w:val="16"/>
              </w:rPr>
            </w:pPr>
            <w:r>
              <w:rPr>
                <w:rFonts w:ascii="宋体" w:eastAsia="宋体" w:hAnsi="宋体" w:cs="宋体"/>
                <w:spacing w:val="-3"/>
                <w:sz w:val="16"/>
                <w:szCs w:val="16"/>
              </w:rPr>
              <w:t>104.4</w:t>
            </w:r>
          </w:p>
        </w:tc>
        <w:tc>
          <w:tcPr>
            <w:tcW w:w="2128" w:type="dxa"/>
          </w:tcPr>
          <w:p w:rsidR="00EA40A3" w:rsidRDefault="00E86C16">
            <w:pPr>
              <w:spacing w:before="123" w:line="183" w:lineRule="auto"/>
              <w:ind w:left="189"/>
              <w:rPr>
                <w:rFonts w:ascii="宋体" w:eastAsia="宋体" w:hAnsi="宋体" w:cs="宋体"/>
                <w:sz w:val="16"/>
                <w:szCs w:val="16"/>
              </w:rPr>
            </w:pPr>
            <w:r>
              <w:rPr>
                <w:rFonts w:ascii="宋体" w:eastAsia="宋体" w:hAnsi="宋体" w:cs="宋体"/>
                <w:spacing w:val="-2"/>
                <w:sz w:val="16"/>
                <w:szCs w:val="16"/>
              </w:rPr>
              <w:t>22.5</w:t>
            </w:r>
            <w:r>
              <w:rPr>
                <w:rFonts w:ascii="宋体" w:eastAsia="宋体" w:hAnsi="宋体" w:cs="宋体"/>
                <w:spacing w:val="4"/>
                <w:sz w:val="16"/>
                <w:szCs w:val="16"/>
              </w:rPr>
              <w:t xml:space="preserve">    </w:t>
            </w:r>
            <w:r>
              <w:rPr>
                <w:rFonts w:ascii="宋体" w:eastAsia="宋体" w:hAnsi="宋体" w:cs="宋体"/>
                <w:spacing w:val="-2"/>
                <w:sz w:val="16"/>
                <w:szCs w:val="16"/>
              </w:rPr>
              <w:t>37.6</w:t>
            </w:r>
            <w:r>
              <w:rPr>
                <w:rFonts w:ascii="宋体" w:eastAsia="宋体" w:hAnsi="宋体" w:cs="宋体"/>
                <w:spacing w:val="5"/>
                <w:sz w:val="16"/>
                <w:szCs w:val="16"/>
              </w:rPr>
              <w:t xml:space="preserve">    </w:t>
            </w:r>
            <w:r>
              <w:rPr>
                <w:rFonts w:ascii="宋体" w:eastAsia="宋体" w:hAnsi="宋体" w:cs="宋体"/>
                <w:spacing w:val="-2"/>
                <w:sz w:val="16"/>
                <w:szCs w:val="16"/>
              </w:rPr>
              <w:t>69.9</w:t>
            </w:r>
          </w:p>
        </w:tc>
      </w:tr>
      <w:tr w:rsidR="00EA40A3">
        <w:trPr>
          <w:trHeight w:val="309"/>
        </w:trPr>
        <w:tc>
          <w:tcPr>
            <w:tcW w:w="1240" w:type="dxa"/>
          </w:tcPr>
          <w:p w:rsidR="00EA40A3" w:rsidRDefault="00E86C16">
            <w:pPr>
              <w:spacing w:before="83" w:line="220" w:lineRule="auto"/>
              <w:ind w:left="300"/>
              <w:rPr>
                <w:rFonts w:ascii="宋体" w:eastAsia="宋体" w:hAnsi="宋体" w:cs="宋体"/>
                <w:sz w:val="16"/>
                <w:szCs w:val="16"/>
              </w:rPr>
            </w:pPr>
            <w:r>
              <w:rPr>
                <w:rFonts w:ascii="宋体" w:eastAsia="宋体" w:hAnsi="宋体" w:cs="宋体"/>
                <w:spacing w:val="3"/>
                <w:sz w:val="16"/>
                <w:szCs w:val="16"/>
              </w:rPr>
              <w:t>奶及其制品</w:t>
            </w:r>
          </w:p>
        </w:tc>
        <w:tc>
          <w:tcPr>
            <w:tcW w:w="1353" w:type="dxa"/>
          </w:tcPr>
          <w:p w:rsidR="00EA40A3" w:rsidRDefault="00E86C16">
            <w:pPr>
              <w:spacing w:before="123" w:line="184" w:lineRule="auto"/>
              <w:ind w:left="300"/>
              <w:rPr>
                <w:rFonts w:ascii="宋体" w:eastAsia="宋体" w:hAnsi="宋体" w:cs="宋体"/>
                <w:sz w:val="16"/>
                <w:szCs w:val="16"/>
              </w:rPr>
            </w:pPr>
            <w:r>
              <w:rPr>
                <w:rFonts w:ascii="宋体" w:eastAsia="宋体" w:hAnsi="宋体" w:cs="宋体"/>
                <w:spacing w:val="-3"/>
                <w:sz w:val="16"/>
                <w:szCs w:val="16"/>
              </w:rPr>
              <w:t>8.1</w:t>
            </w:r>
            <w:r>
              <w:rPr>
                <w:rFonts w:ascii="宋体" w:eastAsia="宋体" w:hAnsi="宋体" w:cs="宋体"/>
                <w:spacing w:val="25"/>
                <w:sz w:val="16"/>
                <w:szCs w:val="16"/>
              </w:rPr>
              <w:t xml:space="preserve">   </w:t>
            </w:r>
            <w:r>
              <w:rPr>
                <w:rFonts w:ascii="宋体" w:eastAsia="宋体" w:hAnsi="宋体" w:cs="宋体"/>
                <w:spacing w:val="-3"/>
                <w:sz w:val="16"/>
                <w:szCs w:val="16"/>
              </w:rPr>
              <w:t>14.9</w:t>
            </w:r>
          </w:p>
        </w:tc>
        <w:tc>
          <w:tcPr>
            <w:tcW w:w="624" w:type="dxa"/>
          </w:tcPr>
          <w:p w:rsidR="00EA40A3" w:rsidRDefault="00E86C16">
            <w:pPr>
              <w:spacing w:before="123" w:line="183" w:lineRule="auto"/>
              <w:ind w:left="156"/>
              <w:rPr>
                <w:rFonts w:ascii="宋体" w:eastAsia="宋体" w:hAnsi="宋体" w:cs="宋体"/>
                <w:sz w:val="16"/>
                <w:szCs w:val="16"/>
              </w:rPr>
            </w:pPr>
            <w:r>
              <w:rPr>
                <w:rFonts w:ascii="宋体" w:eastAsia="宋体" w:hAnsi="宋体" w:cs="宋体"/>
                <w:spacing w:val="-2"/>
                <w:sz w:val="16"/>
                <w:szCs w:val="16"/>
              </w:rPr>
              <w:t>26.3</w:t>
            </w:r>
          </w:p>
        </w:tc>
        <w:tc>
          <w:tcPr>
            <w:tcW w:w="662" w:type="dxa"/>
          </w:tcPr>
          <w:p w:rsidR="00EA40A3" w:rsidRDefault="00E86C16">
            <w:pPr>
              <w:spacing w:before="123" w:line="183" w:lineRule="auto"/>
              <w:ind w:left="323"/>
              <w:rPr>
                <w:rFonts w:ascii="宋体" w:eastAsia="宋体" w:hAnsi="宋体" w:cs="宋体"/>
                <w:sz w:val="16"/>
                <w:szCs w:val="16"/>
              </w:rPr>
            </w:pPr>
            <w:r>
              <w:rPr>
                <w:rFonts w:ascii="宋体" w:eastAsia="宋体" w:hAnsi="宋体" w:cs="宋体"/>
                <w:spacing w:val="-2"/>
                <w:sz w:val="16"/>
                <w:szCs w:val="16"/>
              </w:rPr>
              <w:t>9.9</w:t>
            </w:r>
          </w:p>
        </w:tc>
        <w:tc>
          <w:tcPr>
            <w:tcW w:w="665" w:type="dxa"/>
          </w:tcPr>
          <w:p w:rsidR="00EA40A3" w:rsidRDefault="00E86C16">
            <w:pPr>
              <w:spacing w:before="123" w:line="184" w:lineRule="auto"/>
              <w:ind w:left="181"/>
              <w:rPr>
                <w:rFonts w:ascii="宋体" w:eastAsia="宋体" w:hAnsi="宋体" w:cs="宋体"/>
                <w:sz w:val="16"/>
                <w:szCs w:val="16"/>
              </w:rPr>
            </w:pPr>
            <w:r>
              <w:rPr>
                <w:rFonts w:ascii="宋体" w:eastAsia="宋体" w:hAnsi="宋体" w:cs="宋体"/>
                <w:spacing w:val="-2"/>
                <w:sz w:val="16"/>
                <w:szCs w:val="16"/>
              </w:rPr>
              <w:t>36.1</w:t>
            </w:r>
          </w:p>
        </w:tc>
        <w:tc>
          <w:tcPr>
            <w:tcW w:w="657" w:type="dxa"/>
          </w:tcPr>
          <w:p w:rsidR="00EA40A3" w:rsidRDefault="00E86C16">
            <w:pPr>
              <w:spacing w:before="123" w:line="183" w:lineRule="auto"/>
              <w:ind w:left="166"/>
              <w:rPr>
                <w:rFonts w:ascii="宋体" w:eastAsia="宋体" w:hAnsi="宋体" w:cs="宋体"/>
                <w:sz w:val="16"/>
                <w:szCs w:val="16"/>
              </w:rPr>
            </w:pPr>
            <w:r>
              <w:rPr>
                <w:rFonts w:ascii="宋体" w:eastAsia="宋体" w:hAnsi="宋体" w:cs="宋体"/>
                <w:spacing w:val="-2"/>
                <w:sz w:val="16"/>
                <w:szCs w:val="16"/>
              </w:rPr>
              <w:t>65.8</w:t>
            </w:r>
          </w:p>
        </w:tc>
        <w:tc>
          <w:tcPr>
            <w:tcW w:w="2128" w:type="dxa"/>
          </w:tcPr>
          <w:p w:rsidR="00EA40A3" w:rsidRDefault="00E86C16">
            <w:pPr>
              <w:spacing w:before="123" w:line="184" w:lineRule="auto"/>
              <w:ind w:left="269"/>
              <w:rPr>
                <w:rFonts w:ascii="宋体" w:eastAsia="宋体" w:hAnsi="宋体" w:cs="宋体"/>
                <w:sz w:val="16"/>
                <w:szCs w:val="16"/>
              </w:rPr>
            </w:pPr>
            <w:r>
              <w:rPr>
                <w:rFonts w:ascii="宋体" w:eastAsia="宋体" w:hAnsi="宋体" w:cs="宋体"/>
                <w:spacing w:val="-4"/>
                <w:sz w:val="16"/>
                <w:szCs w:val="16"/>
              </w:rPr>
              <w:t>7.3</w:t>
            </w:r>
            <w:r>
              <w:rPr>
                <w:rFonts w:ascii="宋体" w:eastAsia="宋体" w:hAnsi="宋体" w:cs="宋体"/>
                <w:spacing w:val="16"/>
                <w:sz w:val="16"/>
                <w:szCs w:val="16"/>
              </w:rPr>
              <w:t xml:space="preserve">    </w:t>
            </w:r>
            <w:r>
              <w:rPr>
                <w:rFonts w:ascii="宋体" w:eastAsia="宋体" w:hAnsi="宋体" w:cs="宋体"/>
                <w:spacing w:val="-4"/>
                <w:sz w:val="16"/>
                <w:szCs w:val="16"/>
              </w:rPr>
              <w:t>3.8</w:t>
            </w:r>
            <w:r>
              <w:rPr>
                <w:rFonts w:ascii="宋体" w:eastAsia="宋体" w:hAnsi="宋体" w:cs="宋体"/>
                <w:spacing w:val="15"/>
                <w:sz w:val="16"/>
                <w:szCs w:val="16"/>
              </w:rPr>
              <w:t xml:space="preserve">    </w:t>
            </w:r>
            <w:r>
              <w:rPr>
                <w:rFonts w:ascii="宋体" w:eastAsia="宋体" w:hAnsi="宋体" w:cs="宋体"/>
                <w:spacing w:val="-4"/>
                <w:sz w:val="16"/>
                <w:szCs w:val="16"/>
              </w:rPr>
              <w:t>11.2</w:t>
            </w:r>
          </w:p>
        </w:tc>
      </w:tr>
      <w:tr w:rsidR="00EA40A3">
        <w:trPr>
          <w:trHeight w:val="309"/>
        </w:trPr>
        <w:tc>
          <w:tcPr>
            <w:tcW w:w="1240" w:type="dxa"/>
          </w:tcPr>
          <w:p w:rsidR="00EA40A3" w:rsidRDefault="00E86C16">
            <w:pPr>
              <w:spacing w:before="84" w:line="220" w:lineRule="auto"/>
              <w:ind w:left="300"/>
              <w:rPr>
                <w:rFonts w:ascii="宋体" w:eastAsia="宋体" w:hAnsi="宋体" w:cs="宋体"/>
                <w:sz w:val="16"/>
                <w:szCs w:val="16"/>
              </w:rPr>
            </w:pPr>
            <w:r>
              <w:rPr>
                <w:rFonts w:ascii="宋体" w:eastAsia="宋体" w:hAnsi="宋体" w:cs="宋体"/>
                <w:spacing w:val="3"/>
                <w:sz w:val="16"/>
                <w:szCs w:val="16"/>
              </w:rPr>
              <w:t>蛋及其制品</w:t>
            </w:r>
          </w:p>
        </w:tc>
        <w:tc>
          <w:tcPr>
            <w:tcW w:w="1353" w:type="dxa"/>
          </w:tcPr>
          <w:p w:rsidR="00EA40A3" w:rsidRDefault="00E86C16">
            <w:pPr>
              <w:spacing w:before="123" w:line="184" w:lineRule="auto"/>
              <w:ind w:left="300"/>
              <w:rPr>
                <w:rFonts w:ascii="宋体" w:eastAsia="宋体" w:hAnsi="宋体" w:cs="宋体"/>
                <w:sz w:val="16"/>
                <w:szCs w:val="16"/>
              </w:rPr>
            </w:pPr>
            <w:r>
              <w:rPr>
                <w:rFonts w:ascii="宋体" w:eastAsia="宋体" w:hAnsi="宋体" w:cs="宋体"/>
                <w:spacing w:val="-4"/>
                <w:sz w:val="16"/>
                <w:szCs w:val="16"/>
              </w:rPr>
              <w:t>7.3</w:t>
            </w:r>
            <w:r>
              <w:rPr>
                <w:rFonts w:ascii="宋体" w:eastAsia="宋体" w:hAnsi="宋体" w:cs="宋体"/>
                <w:sz w:val="16"/>
                <w:szCs w:val="16"/>
              </w:rPr>
              <w:t xml:space="preserve">    </w:t>
            </w:r>
            <w:r>
              <w:rPr>
                <w:rFonts w:ascii="宋体" w:eastAsia="宋体" w:hAnsi="宋体" w:cs="宋体"/>
                <w:spacing w:val="-4"/>
                <w:sz w:val="16"/>
                <w:szCs w:val="16"/>
              </w:rPr>
              <w:t>16.0</w:t>
            </w:r>
          </w:p>
        </w:tc>
        <w:tc>
          <w:tcPr>
            <w:tcW w:w="624" w:type="dxa"/>
          </w:tcPr>
          <w:p w:rsidR="00EA40A3" w:rsidRDefault="00E86C16">
            <w:pPr>
              <w:spacing w:before="124" w:line="183" w:lineRule="auto"/>
              <w:ind w:left="156"/>
              <w:rPr>
                <w:rFonts w:ascii="宋体" w:eastAsia="宋体" w:hAnsi="宋体" w:cs="宋体"/>
                <w:sz w:val="16"/>
                <w:szCs w:val="16"/>
              </w:rPr>
            </w:pPr>
            <w:r>
              <w:rPr>
                <w:rFonts w:ascii="宋体" w:eastAsia="宋体" w:hAnsi="宋体" w:cs="宋体"/>
                <w:spacing w:val="-2"/>
                <w:sz w:val="16"/>
                <w:szCs w:val="16"/>
              </w:rPr>
              <w:t>23.6</w:t>
            </w:r>
          </w:p>
        </w:tc>
        <w:tc>
          <w:tcPr>
            <w:tcW w:w="662" w:type="dxa"/>
          </w:tcPr>
          <w:p w:rsidR="00EA40A3" w:rsidRDefault="00E86C16">
            <w:pPr>
              <w:spacing w:before="123" w:line="184" w:lineRule="auto"/>
              <w:ind w:left="242"/>
              <w:rPr>
                <w:rFonts w:ascii="宋体" w:eastAsia="宋体" w:hAnsi="宋体" w:cs="宋体"/>
                <w:sz w:val="16"/>
                <w:szCs w:val="16"/>
              </w:rPr>
            </w:pPr>
            <w:r>
              <w:rPr>
                <w:rFonts w:ascii="宋体" w:eastAsia="宋体" w:hAnsi="宋体" w:cs="宋体"/>
                <w:spacing w:val="-4"/>
                <w:sz w:val="16"/>
                <w:szCs w:val="16"/>
              </w:rPr>
              <w:t>15.5</w:t>
            </w:r>
          </w:p>
        </w:tc>
        <w:tc>
          <w:tcPr>
            <w:tcW w:w="665" w:type="dxa"/>
          </w:tcPr>
          <w:p w:rsidR="00EA40A3" w:rsidRDefault="00E86C16">
            <w:pPr>
              <w:spacing w:before="124" w:line="183" w:lineRule="auto"/>
              <w:ind w:left="181"/>
              <w:rPr>
                <w:rFonts w:ascii="宋体" w:eastAsia="宋体" w:hAnsi="宋体" w:cs="宋体"/>
                <w:sz w:val="16"/>
                <w:szCs w:val="16"/>
              </w:rPr>
            </w:pPr>
            <w:r>
              <w:rPr>
                <w:rFonts w:ascii="宋体" w:eastAsia="宋体" w:hAnsi="宋体" w:cs="宋体"/>
                <w:spacing w:val="-2"/>
                <w:sz w:val="16"/>
                <w:szCs w:val="16"/>
              </w:rPr>
              <w:t>29.4</w:t>
            </w:r>
          </w:p>
        </w:tc>
        <w:tc>
          <w:tcPr>
            <w:tcW w:w="657" w:type="dxa"/>
          </w:tcPr>
          <w:p w:rsidR="00EA40A3" w:rsidRDefault="00E86C16">
            <w:pPr>
              <w:spacing w:before="124" w:line="183" w:lineRule="auto"/>
              <w:ind w:left="166"/>
              <w:rPr>
                <w:rFonts w:ascii="宋体" w:eastAsia="宋体" w:hAnsi="宋体" w:cs="宋体"/>
                <w:sz w:val="16"/>
                <w:szCs w:val="16"/>
              </w:rPr>
            </w:pPr>
            <w:r>
              <w:rPr>
                <w:rFonts w:ascii="宋体" w:eastAsia="宋体" w:hAnsi="宋体" w:cs="宋体"/>
                <w:spacing w:val="-2"/>
                <w:sz w:val="16"/>
                <w:szCs w:val="16"/>
              </w:rPr>
              <w:t>33.2</w:t>
            </w:r>
          </w:p>
        </w:tc>
        <w:tc>
          <w:tcPr>
            <w:tcW w:w="2128" w:type="dxa"/>
          </w:tcPr>
          <w:p w:rsidR="00EA40A3" w:rsidRDefault="00E86C16">
            <w:pPr>
              <w:spacing w:before="123" w:line="184" w:lineRule="auto"/>
              <w:ind w:left="269"/>
              <w:rPr>
                <w:rFonts w:ascii="宋体" w:eastAsia="宋体" w:hAnsi="宋体" w:cs="宋体"/>
                <w:sz w:val="16"/>
                <w:szCs w:val="16"/>
              </w:rPr>
            </w:pPr>
            <w:r>
              <w:rPr>
                <w:rFonts w:ascii="宋体" w:eastAsia="宋体" w:hAnsi="宋体" w:cs="宋体"/>
                <w:spacing w:val="-3"/>
                <w:sz w:val="16"/>
                <w:szCs w:val="16"/>
              </w:rPr>
              <w:t>3.8</w:t>
            </w:r>
            <w:r>
              <w:rPr>
                <w:rFonts w:ascii="宋体" w:eastAsia="宋体" w:hAnsi="宋体" w:cs="宋体"/>
                <w:spacing w:val="14"/>
                <w:sz w:val="16"/>
                <w:szCs w:val="16"/>
              </w:rPr>
              <w:t xml:space="preserve">    </w:t>
            </w:r>
            <w:r>
              <w:rPr>
                <w:rFonts w:ascii="宋体" w:eastAsia="宋体" w:hAnsi="宋体" w:cs="宋体"/>
                <w:spacing w:val="-3"/>
                <w:sz w:val="16"/>
                <w:szCs w:val="16"/>
              </w:rPr>
              <w:t>8.8</w:t>
            </w:r>
            <w:r>
              <w:rPr>
                <w:rFonts w:ascii="宋体" w:eastAsia="宋体" w:hAnsi="宋体" w:cs="宋体"/>
                <w:spacing w:val="14"/>
                <w:sz w:val="16"/>
                <w:szCs w:val="16"/>
              </w:rPr>
              <w:t xml:space="preserve">    </w:t>
            </w:r>
            <w:r>
              <w:rPr>
                <w:rFonts w:ascii="宋体" w:eastAsia="宋体" w:hAnsi="宋体" w:cs="宋体"/>
                <w:spacing w:val="-3"/>
                <w:sz w:val="16"/>
                <w:szCs w:val="16"/>
              </w:rPr>
              <w:t>19.9</w:t>
            </w:r>
          </w:p>
        </w:tc>
      </w:tr>
      <w:tr w:rsidR="00EA40A3">
        <w:trPr>
          <w:trHeight w:val="324"/>
        </w:trPr>
        <w:tc>
          <w:tcPr>
            <w:tcW w:w="1240" w:type="dxa"/>
          </w:tcPr>
          <w:p w:rsidR="00EA40A3" w:rsidRDefault="00E86C16">
            <w:pPr>
              <w:spacing w:before="84" w:line="219" w:lineRule="auto"/>
              <w:ind w:left="450"/>
              <w:rPr>
                <w:rFonts w:ascii="宋体" w:eastAsia="宋体" w:hAnsi="宋体" w:cs="宋体"/>
                <w:sz w:val="16"/>
                <w:szCs w:val="16"/>
              </w:rPr>
            </w:pPr>
            <w:r>
              <w:rPr>
                <w:rFonts w:ascii="宋体" w:eastAsia="宋体" w:hAnsi="宋体" w:cs="宋体"/>
                <w:spacing w:val="-2"/>
                <w:sz w:val="16"/>
                <w:szCs w:val="16"/>
              </w:rPr>
              <w:t>鱼虾类</w:t>
            </w:r>
          </w:p>
        </w:tc>
        <w:tc>
          <w:tcPr>
            <w:tcW w:w="1353" w:type="dxa"/>
          </w:tcPr>
          <w:p w:rsidR="00EA40A3" w:rsidRDefault="00E86C16">
            <w:pPr>
              <w:spacing w:before="134" w:line="184" w:lineRule="auto"/>
              <w:ind w:left="219"/>
              <w:rPr>
                <w:rFonts w:ascii="宋体" w:eastAsia="宋体" w:hAnsi="宋体" w:cs="宋体"/>
                <w:sz w:val="16"/>
                <w:szCs w:val="16"/>
              </w:rPr>
            </w:pPr>
            <w:r>
              <w:rPr>
                <w:rFonts w:ascii="宋体" w:eastAsia="宋体" w:hAnsi="宋体" w:cs="宋体"/>
                <w:spacing w:val="-4"/>
                <w:sz w:val="16"/>
                <w:szCs w:val="16"/>
              </w:rPr>
              <w:t>11.1</w:t>
            </w:r>
            <w:r>
              <w:rPr>
                <w:rFonts w:ascii="宋体" w:eastAsia="宋体" w:hAnsi="宋体" w:cs="宋体"/>
                <w:spacing w:val="3"/>
                <w:sz w:val="16"/>
                <w:szCs w:val="16"/>
              </w:rPr>
              <w:t xml:space="preserve">    </w:t>
            </w:r>
            <w:r>
              <w:rPr>
                <w:rFonts w:ascii="宋体" w:eastAsia="宋体" w:hAnsi="宋体" w:cs="宋体"/>
                <w:spacing w:val="-4"/>
                <w:sz w:val="16"/>
                <w:szCs w:val="16"/>
              </w:rPr>
              <w:t>27.5</w:t>
            </w:r>
          </w:p>
        </w:tc>
        <w:tc>
          <w:tcPr>
            <w:tcW w:w="624" w:type="dxa"/>
          </w:tcPr>
          <w:p w:rsidR="00EA40A3" w:rsidRDefault="00E86C16">
            <w:pPr>
              <w:spacing w:before="124" w:line="184" w:lineRule="auto"/>
              <w:ind w:left="156"/>
              <w:rPr>
                <w:rFonts w:ascii="宋体" w:eastAsia="宋体" w:hAnsi="宋体" w:cs="宋体"/>
                <w:sz w:val="16"/>
                <w:szCs w:val="16"/>
              </w:rPr>
            </w:pPr>
            <w:r>
              <w:rPr>
                <w:rFonts w:ascii="宋体" w:eastAsia="宋体" w:hAnsi="宋体" w:cs="宋体"/>
                <w:spacing w:val="-2"/>
                <w:sz w:val="16"/>
                <w:szCs w:val="16"/>
              </w:rPr>
              <w:t>30.1</w:t>
            </w:r>
          </w:p>
        </w:tc>
        <w:tc>
          <w:tcPr>
            <w:tcW w:w="662" w:type="dxa"/>
          </w:tcPr>
          <w:p w:rsidR="00EA40A3" w:rsidRDefault="00E86C16">
            <w:pPr>
              <w:spacing w:before="134" w:line="184" w:lineRule="auto"/>
              <w:ind w:left="242"/>
              <w:rPr>
                <w:rFonts w:ascii="宋体" w:eastAsia="宋体" w:hAnsi="宋体" w:cs="宋体"/>
                <w:sz w:val="16"/>
                <w:szCs w:val="16"/>
              </w:rPr>
            </w:pPr>
            <w:r>
              <w:rPr>
                <w:rFonts w:ascii="宋体" w:eastAsia="宋体" w:hAnsi="宋体" w:cs="宋体"/>
                <w:spacing w:val="-2"/>
                <w:sz w:val="16"/>
                <w:szCs w:val="16"/>
              </w:rPr>
              <w:t>21.6</w:t>
            </w:r>
          </w:p>
        </w:tc>
        <w:tc>
          <w:tcPr>
            <w:tcW w:w="665" w:type="dxa"/>
          </w:tcPr>
          <w:p w:rsidR="00EA40A3" w:rsidRDefault="00E86C16">
            <w:pPr>
              <w:spacing w:before="166" w:line="182" w:lineRule="auto"/>
              <w:ind w:left="181"/>
              <w:rPr>
                <w:rFonts w:ascii="宋体" w:eastAsia="宋体" w:hAnsi="宋体" w:cs="宋体"/>
                <w:sz w:val="16"/>
                <w:szCs w:val="16"/>
              </w:rPr>
            </w:pPr>
            <w:r>
              <w:rPr>
                <w:rFonts w:ascii="宋体" w:eastAsia="宋体" w:hAnsi="宋体" w:cs="宋体"/>
                <w:spacing w:val="-2"/>
                <w:sz w:val="16"/>
                <w:szCs w:val="16"/>
              </w:rPr>
              <w:t>44.2</w:t>
            </w:r>
          </w:p>
        </w:tc>
        <w:tc>
          <w:tcPr>
            <w:tcW w:w="657" w:type="dxa"/>
          </w:tcPr>
          <w:p w:rsidR="00EA40A3" w:rsidRDefault="00E86C16">
            <w:pPr>
              <w:spacing w:before="166" w:line="182" w:lineRule="auto"/>
              <w:ind w:left="166"/>
              <w:rPr>
                <w:rFonts w:ascii="宋体" w:eastAsia="宋体" w:hAnsi="宋体" w:cs="宋体"/>
                <w:sz w:val="16"/>
                <w:szCs w:val="16"/>
              </w:rPr>
            </w:pPr>
            <w:r>
              <w:rPr>
                <w:rFonts w:ascii="宋体" w:eastAsia="宋体" w:hAnsi="宋体" w:cs="宋体"/>
                <w:spacing w:val="-2"/>
                <w:sz w:val="16"/>
                <w:szCs w:val="16"/>
              </w:rPr>
              <w:t>44.9</w:t>
            </w:r>
          </w:p>
        </w:tc>
        <w:tc>
          <w:tcPr>
            <w:tcW w:w="2128" w:type="dxa"/>
          </w:tcPr>
          <w:p w:rsidR="00EA40A3" w:rsidRDefault="00E86C16">
            <w:pPr>
              <w:spacing w:before="155" w:line="194" w:lineRule="auto"/>
              <w:ind w:left="269"/>
              <w:rPr>
                <w:rFonts w:ascii="宋体" w:eastAsia="宋体" w:hAnsi="宋体" w:cs="宋体"/>
                <w:sz w:val="16"/>
                <w:szCs w:val="16"/>
              </w:rPr>
            </w:pPr>
            <w:r>
              <w:rPr>
                <w:rFonts w:ascii="宋体" w:eastAsia="宋体" w:hAnsi="宋体" w:cs="宋体"/>
                <w:spacing w:val="-3"/>
                <w:sz w:val="16"/>
                <w:szCs w:val="16"/>
              </w:rPr>
              <w:t>6.6</w:t>
            </w:r>
            <w:r>
              <w:rPr>
                <w:rFonts w:ascii="宋体" w:eastAsia="宋体" w:hAnsi="宋体" w:cs="宋体"/>
                <w:spacing w:val="4"/>
                <w:sz w:val="16"/>
                <w:szCs w:val="16"/>
              </w:rPr>
              <w:t xml:space="preserve">    </w:t>
            </w:r>
            <w:r>
              <w:rPr>
                <w:rFonts w:ascii="宋体" w:eastAsia="宋体" w:hAnsi="宋体" w:cs="宋体"/>
                <w:spacing w:val="-3"/>
                <w:sz w:val="16"/>
                <w:szCs w:val="16"/>
              </w:rPr>
              <w:t>19.2</w:t>
            </w:r>
            <w:r>
              <w:rPr>
                <w:rFonts w:ascii="宋体" w:eastAsia="宋体" w:hAnsi="宋体" w:cs="宋体"/>
                <w:spacing w:val="7"/>
                <w:sz w:val="16"/>
                <w:szCs w:val="16"/>
              </w:rPr>
              <w:t xml:space="preserve">    </w:t>
            </w:r>
            <w:r>
              <w:rPr>
                <w:rFonts w:ascii="宋体" w:eastAsia="宋体" w:hAnsi="宋体" w:cs="宋体"/>
                <w:spacing w:val="-3"/>
                <w:sz w:val="16"/>
                <w:szCs w:val="16"/>
              </w:rPr>
              <w:t>24.4</w:t>
            </w:r>
          </w:p>
        </w:tc>
      </w:tr>
      <w:tr w:rsidR="00EA40A3">
        <w:trPr>
          <w:trHeight w:val="315"/>
        </w:trPr>
        <w:tc>
          <w:tcPr>
            <w:tcW w:w="1240" w:type="dxa"/>
          </w:tcPr>
          <w:p w:rsidR="00EA40A3" w:rsidRDefault="00E86C16">
            <w:pPr>
              <w:spacing w:before="60" w:line="219" w:lineRule="auto"/>
              <w:ind w:left="450"/>
              <w:rPr>
                <w:rFonts w:ascii="宋体" w:eastAsia="宋体" w:hAnsi="宋体" w:cs="宋体"/>
                <w:sz w:val="16"/>
                <w:szCs w:val="16"/>
              </w:rPr>
            </w:pPr>
            <w:r>
              <w:rPr>
                <w:rFonts w:ascii="宋体" w:eastAsia="宋体" w:hAnsi="宋体" w:cs="宋体"/>
                <w:spacing w:val="5"/>
                <w:sz w:val="16"/>
                <w:szCs w:val="16"/>
              </w:rPr>
              <w:t>植物油</w:t>
            </w:r>
          </w:p>
        </w:tc>
        <w:tc>
          <w:tcPr>
            <w:tcW w:w="1353" w:type="dxa"/>
          </w:tcPr>
          <w:p w:rsidR="00EA40A3" w:rsidRDefault="00E86C16">
            <w:pPr>
              <w:spacing w:before="140" w:line="184" w:lineRule="auto"/>
              <w:ind w:left="219"/>
              <w:rPr>
                <w:rFonts w:ascii="宋体" w:eastAsia="宋体" w:hAnsi="宋体" w:cs="宋体"/>
                <w:sz w:val="16"/>
                <w:szCs w:val="16"/>
              </w:rPr>
            </w:pPr>
            <w:r>
              <w:rPr>
                <w:rFonts w:ascii="宋体" w:eastAsia="宋体" w:hAnsi="宋体" w:cs="宋体"/>
                <w:spacing w:val="-4"/>
                <w:sz w:val="16"/>
                <w:szCs w:val="16"/>
              </w:rPr>
              <w:t>12.9</w:t>
            </w:r>
            <w:r>
              <w:rPr>
                <w:rFonts w:ascii="宋体" w:eastAsia="宋体" w:hAnsi="宋体" w:cs="宋体"/>
                <w:spacing w:val="3"/>
                <w:sz w:val="16"/>
                <w:szCs w:val="16"/>
              </w:rPr>
              <w:t xml:space="preserve">    </w:t>
            </w:r>
            <w:r>
              <w:rPr>
                <w:rFonts w:ascii="宋体" w:eastAsia="宋体" w:hAnsi="宋体" w:cs="宋体"/>
                <w:spacing w:val="-4"/>
                <w:sz w:val="16"/>
                <w:szCs w:val="16"/>
              </w:rPr>
              <w:t>22.4</w:t>
            </w:r>
          </w:p>
        </w:tc>
        <w:tc>
          <w:tcPr>
            <w:tcW w:w="624" w:type="dxa"/>
          </w:tcPr>
          <w:p w:rsidR="00EA40A3" w:rsidRDefault="00E86C16">
            <w:pPr>
              <w:spacing w:before="141" w:line="183" w:lineRule="auto"/>
              <w:ind w:left="156"/>
              <w:rPr>
                <w:rFonts w:ascii="宋体" w:eastAsia="宋体" w:hAnsi="宋体" w:cs="宋体"/>
                <w:sz w:val="16"/>
                <w:szCs w:val="16"/>
              </w:rPr>
            </w:pPr>
            <w:r>
              <w:rPr>
                <w:rFonts w:ascii="宋体" w:eastAsia="宋体" w:hAnsi="宋体" w:cs="宋体"/>
                <w:spacing w:val="-2"/>
                <w:sz w:val="16"/>
                <w:szCs w:val="16"/>
              </w:rPr>
              <w:t>32.7</w:t>
            </w:r>
          </w:p>
        </w:tc>
        <w:tc>
          <w:tcPr>
            <w:tcW w:w="662" w:type="dxa"/>
          </w:tcPr>
          <w:p w:rsidR="00EA40A3" w:rsidRDefault="00E86C16">
            <w:pPr>
              <w:spacing w:before="150" w:line="184" w:lineRule="auto"/>
              <w:ind w:left="242"/>
              <w:rPr>
                <w:rFonts w:ascii="宋体" w:eastAsia="宋体" w:hAnsi="宋体" w:cs="宋体"/>
                <w:sz w:val="16"/>
                <w:szCs w:val="16"/>
              </w:rPr>
            </w:pPr>
            <w:r>
              <w:rPr>
                <w:rFonts w:ascii="宋体" w:eastAsia="宋体" w:hAnsi="宋体" w:cs="宋体"/>
                <w:spacing w:val="-2"/>
                <w:sz w:val="16"/>
                <w:szCs w:val="16"/>
              </w:rPr>
              <w:t>21.2</w:t>
            </w:r>
          </w:p>
        </w:tc>
        <w:tc>
          <w:tcPr>
            <w:tcW w:w="665" w:type="dxa"/>
          </w:tcPr>
          <w:p w:rsidR="00EA40A3" w:rsidRDefault="00E86C16">
            <w:pPr>
              <w:spacing w:before="121" w:line="183" w:lineRule="auto"/>
              <w:ind w:left="181"/>
              <w:rPr>
                <w:rFonts w:ascii="宋体" w:eastAsia="宋体" w:hAnsi="宋体" w:cs="宋体"/>
                <w:sz w:val="16"/>
                <w:szCs w:val="16"/>
              </w:rPr>
            </w:pPr>
            <w:r>
              <w:rPr>
                <w:rFonts w:ascii="宋体" w:eastAsia="宋体" w:hAnsi="宋体" w:cs="宋体"/>
                <w:spacing w:val="-2"/>
                <w:sz w:val="16"/>
                <w:szCs w:val="16"/>
              </w:rPr>
              <w:t>32.4</w:t>
            </w:r>
          </w:p>
        </w:tc>
        <w:tc>
          <w:tcPr>
            <w:tcW w:w="657" w:type="dxa"/>
          </w:tcPr>
          <w:p w:rsidR="00EA40A3" w:rsidRDefault="00E86C16">
            <w:pPr>
              <w:spacing w:before="121" w:line="183" w:lineRule="auto"/>
              <w:ind w:left="166"/>
              <w:rPr>
                <w:rFonts w:ascii="宋体" w:eastAsia="宋体" w:hAnsi="宋体" w:cs="宋体"/>
                <w:sz w:val="16"/>
                <w:szCs w:val="16"/>
              </w:rPr>
            </w:pPr>
            <w:r>
              <w:rPr>
                <w:rFonts w:ascii="宋体" w:eastAsia="宋体" w:hAnsi="宋体" w:cs="宋体"/>
                <w:spacing w:val="-2"/>
                <w:sz w:val="16"/>
                <w:szCs w:val="16"/>
              </w:rPr>
              <w:t>40.2</w:t>
            </w:r>
          </w:p>
        </w:tc>
        <w:tc>
          <w:tcPr>
            <w:tcW w:w="2128" w:type="dxa"/>
          </w:tcPr>
          <w:p w:rsidR="00EA40A3" w:rsidRDefault="00E86C16">
            <w:pPr>
              <w:spacing w:before="121" w:line="195" w:lineRule="auto"/>
              <w:ind w:left="269"/>
              <w:rPr>
                <w:rFonts w:ascii="宋体" w:eastAsia="宋体" w:hAnsi="宋体" w:cs="宋体"/>
                <w:sz w:val="16"/>
                <w:szCs w:val="16"/>
              </w:rPr>
            </w:pPr>
            <w:r>
              <w:rPr>
                <w:rFonts w:ascii="宋体" w:eastAsia="宋体" w:hAnsi="宋体" w:cs="宋体"/>
                <w:spacing w:val="-3"/>
                <w:position w:val="-1"/>
                <w:sz w:val="16"/>
                <w:szCs w:val="16"/>
              </w:rPr>
              <w:t>9.3</w:t>
            </w:r>
            <w:r>
              <w:rPr>
                <w:rFonts w:ascii="宋体" w:eastAsia="宋体" w:hAnsi="宋体" w:cs="宋体"/>
                <w:spacing w:val="4"/>
                <w:position w:val="-1"/>
                <w:sz w:val="16"/>
                <w:szCs w:val="16"/>
              </w:rPr>
              <w:t xml:space="preserve">    </w:t>
            </w:r>
            <w:r>
              <w:rPr>
                <w:rFonts w:ascii="宋体" w:eastAsia="宋体" w:hAnsi="宋体" w:cs="宋体"/>
                <w:spacing w:val="-3"/>
                <w:sz w:val="16"/>
                <w:szCs w:val="16"/>
              </w:rPr>
              <w:t>17.1</w:t>
            </w:r>
            <w:r>
              <w:rPr>
                <w:rFonts w:ascii="宋体" w:eastAsia="宋体" w:hAnsi="宋体" w:cs="宋体"/>
                <w:spacing w:val="7"/>
                <w:sz w:val="16"/>
                <w:szCs w:val="16"/>
              </w:rPr>
              <w:t xml:space="preserve">    </w:t>
            </w:r>
            <w:r>
              <w:rPr>
                <w:rFonts w:ascii="宋体" w:eastAsia="宋体" w:hAnsi="宋体" w:cs="宋体"/>
                <w:spacing w:val="-3"/>
                <w:sz w:val="16"/>
                <w:szCs w:val="16"/>
              </w:rPr>
              <w:t>29.9</w:t>
            </w:r>
          </w:p>
        </w:tc>
      </w:tr>
      <w:tr w:rsidR="00EA40A3">
        <w:trPr>
          <w:trHeight w:val="299"/>
        </w:trPr>
        <w:tc>
          <w:tcPr>
            <w:tcW w:w="1240" w:type="dxa"/>
          </w:tcPr>
          <w:p w:rsidR="00EA40A3" w:rsidRDefault="00E86C16">
            <w:pPr>
              <w:spacing w:before="66" w:line="220" w:lineRule="auto"/>
              <w:ind w:left="450"/>
              <w:rPr>
                <w:rFonts w:ascii="宋体" w:eastAsia="宋体" w:hAnsi="宋体" w:cs="宋体"/>
                <w:sz w:val="16"/>
                <w:szCs w:val="16"/>
              </w:rPr>
            </w:pPr>
            <w:r>
              <w:rPr>
                <w:rFonts w:ascii="宋体" w:eastAsia="宋体" w:hAnsi="宋体" w:cs="宋体"/>
                <w:spacing w:val="5"/>
                <w:sz w:val="16"/>
                <w:szCs w:val="16"/>
              </w:rPr>
              <w:t>动物油</w:t>
            </w:r>
          </w:p>
        </w:tc>
        <w:tc>
          <w:tcPr>
            <w:tcW w:w="1353" w:type="dxa"/>
          </w:tcPr>
          <w:p w:rsidR="00EA40A3" w:rsidRDefault="00E86C16">
            <w:pPr>
              <w:spacing w:before="105" w:line="184" w:lineRule="auto"/>
              <w:ind w:left="300"/>
              <w:rPr>
                <w:rFonts w:ascii="宋体" w:eastAsia="宋体" w:hAnsi="宋体" w:cs="宋体"/>
                <w:sz w:val="16"/>
                <w:szCs w:val="16"/>
              </w:rPr>
            </w:pPr>
            <w:r>
              <w:rPr>
                <w:rFonts w:ascii="宋体" w:eastAsia="宋体" w:hAnsi="宋体" w:cs="宋体"/>
                <w:spacing w:val="-3"/>
                <w:sz w:val="16"/>
                <w:szCs w:val="16"/>
              </w:rPr>
              <w:t>5.3</w:t>
            </w:r>
            <w:r>
              <w:rPr>
                <w:rFonts w:ascii="宋体" w:eastAsia="宋体" w:hAnsi="宋体" w:cs="宋体"/>
                <w:spacing w:val="10"/>
                <w:sz w:val="16"/>
                <w:szCs w:val="16"/>
              </w:rPr>
              <w:t xml:space="preserve">    </w:t>
            </w:r>
            <w:r>
              <w:rPr>
                <w:rFonts w:ascii="宋体" w:eastAsia="宋体" w:hAnsi="宋体" w:cs="宋体"/>
                <w:spacing w:val="-3"/>
                <w:sz w:val="16"/>
                <w:szCs w:val="16"/>
              </w:rPr>
              <w:t>7.1</w:t>
            </w:r>
          </w:p>
        </w:tc>
        <w:tc>
          <w:tcPr>
            <w:tcW w:w="624" w:type="dxa"/>
          </w:tcPr>
          <w:p w:rsidR="00EA40A3" w:rsidRDefault="00E86C16">
            <w:pPr>
              <w:spacing w:before="106" w:line="183" w:lineRule="auto"/>
              <w:ind w:left="196"/>
              <w:rPr>
                <w:rFonts w:ascii="宋体" w:eastAsia="宋体" w:hAnsi="宋体" w:cs="宋体"/>
                <w:sz w:val="16"/>
                <w:szCs w:val="16"/>
              </w:rPr>
            </w:pPr>
            <w:r>
              <w:rPr>
                <w:rFonts w:ascii="宋体" w:eastAsia="宋体" w:hAnsi="宋体" w:cs="宋体"/>
                <w:spacing w:val="-2"/>
                <w:sz w:val="16"/>
                <w:szCs w:val="16"/>
              </w:rPr>
              <w:t>8.7</w:t>
            </w:r>
          </w:p>
        </w:tc>
        <w:tc>
          <w:tcPr>
            <w:tcW w:w="662" w:type="dxa"/>
          </w:tcPr>
          <w:p w:rsidR="00EA40A3" w:rsidRDefault="00E86C16">
            <w:pPr>
              <w:spacing w:before="106" w:line="183" w:lineRule="auto"/>
              <w:ind w:left="323"/>
              <w:rPr>
                <w:rFonts w:ascii="宋体" w:eastAsia="宋体" w:hAnsi="宋体" w:cs="宋体"/>
                <w:sz w:val="16"/>
                <w:szCs w:val="16"/>
              </w:rPr>
            </w:pPr>
            <w:r>
              <w:rPr>
                <w:rFonts w:ascii="宋体" w:eastAsia="宋体" w:hAnsi="宋体" w:cs="宋体"/>
                <w:spacing w:val="-2"/>
                <w:sz w:val="16"/>
                <w:szCs w:val="16"/>
              </w:rPr>
              <w:t>4.6</w:t>
            </w:r>
          </w:p>
        </w:tc>
        <w:tc>
          <w:tcPr>
            <w:tcW w:w="665" w:type="dxa"/>
          </w:tcPr>
          <w:p w:rsidR="00EA40A3" w:rsidRDefault="00E86C16">
            <w:pPr>
              <w:spacing w:before="106" w:line="183" w:lineRule="auto"/>
              <w:ind w:left="221"/>
              <w:rPr>
                <w:rFonts w:ascii="宋体" w:eastAsia="宋体" w:hAnsi="宋体" w:cs="宋体"/>
                <w:sz w:val="16"/>
                <w:szCs w:val="16"/>
              </w:rPr>
            </w:pPr>
            <w:r>
              <w:rPr>
                <w:rFonts w:ascii="宋体" w:eastAsia="宋体" w:hAnsi="宋体" w:cs="宋体"/>
                <w:spacing w:val="-2"/>
                <w:sz w:val="16"/>
                <w:szCs w:val="16"/>
              </w:rPr>
              <w:t>4.5</w:t>
            </w:r>
          </w:p>
        </w:tc>
        <w:tc>
          <w:tcPr>
            <w:tcW w:w="657" w:type="dxa"/>
          </w:tcPr>
          <w:p w:rsidR="00EA40A3" w:rsidRDefault="00E86C16">
            <w:pPr>
              <w:spacing w:before="106" w:line="183" w:lineRule="auto"/>
              <w:ind w:left="205"/>
              <w:rPr>
                <w:rFonts w:ascii="宋体" w:eastAsia="宋体" w:hAnsi="宋体" w:cs="宋体"/>
                <w:sz w:val="16"/>
                <w:szCs w:val="16"/>
              </w:rPr>
            </w:pPr>
            <w:r>
              <w:rPr>
                <w:rFonts w:ascii="宋体" w:eastAsia="宋体" w:hAnsi="宋体" w:cs="宋体"/>
                <w:spacing w:val="-3"/>
                <w:sz w:val="16"/>
                <w:szCs w:val="16"/>
              </w:rPr>
              <w:t>3.8</w:t>
            </w:r>
          </w:p>
        </w:tc>
        <w:tc>
          <w:tcPr>
            <w:tcW w:w="2128" w:type="dxa"/>
          </w:tcPr>
          <w:p w:rsidR="00EA40A3" w:rsidRDefault="00E86C16">
            <w:pPr>
              <w:spacing w:before="106" w:line="195" w:lineRule="auto"/>
              <w:ind w:left="269"/>
              <w:rPr>
                <w:rFonts w:ascii="宋体" w:eastAsia="宋体" w:hAnsi="宋体" w:cs="宋体"/>
                <w:sz w:val="16"/>
                <w:szCs w:val="16"/>
              </w:rPr>
            </w:pPr>
            <w:r>
              <w:rPr>
                <w:rFonts w:ascii="宋体" w:eastAsia="宋体" w:hAnsi="宋体" w:cs="宋体"/>
                <w:spacing w:val="-3"/>
                <w:sz w:val="16"/>
                <w:szCs w:val="16"/>
              </w:rPr>
              <w:t>5.6</w:t>
            </w:r>
            <w:r>
              <w:rPr>
                <w:rFonts w:ascii="宋体" w:eastAsia="宋体" w:hAnsi="宋体" w:cs="宋体"/>
                <w:spacing w:val="14"/>
                <w:sz w:val="16"/>
                <w:szCs w:val="16"/>
              </w:rPr>
              <w:t xml:space="preserve">    </w:t>
            </w:r>
            <w:r>
              <w:rPr>
                <w:rFonts w:ascii="宋体" w:eastAsia="宋体" w:hAnsi="宋体" w:cs="宋体"/>
                <w:spacing w:val="-3"/>
                <w:sz w:val="16"/>
                <w:szCs w:val="16"/>
              </w:rPr>
              <w:t>8.5</w:t>
            </w:r>
            <w:r>
              <w:rPr>
                <w:rFonts w:ascii="宋体" w:eastAsia="宋体" w:hAnsi="宋体" w:cs="宋体"/>
                <w:spacing w:val="14"/>
                <w:sz w:val="16"/>
                <w:szCs w:val="16"/>
              </w:rPr>
              <w:t xml:space="preserve">    </w:t>
            </w:r>
            <w:r>
              <w:rPr>
                <w:rFonts w:ascii="宋体" w:eastAsia="宋体" w:hAnsi="宋体" w:cs="宋体"/>
                <w:spacing w:val="-3"/>
                <w:position w:val="-1"/>
                <w:sz w:val="16"/>
                <w:szCs w:val="16"/>
              </w:rPr>
              <w:t>10.5</w:t>
            </w:r>
          </w:p>
        </w:tc>
      </w:tr>
      <w:tr w:rsidR="00EA40A3">
        <w:trPr>
          <w:trHeight w:val="305"/>
        </w:trPr>
        <w:tc>
          <w:tcPr>
            <w:tcW w:w="1240" w:type="dxa"/>
          </w:tcPr>
          <w:p w:rsidR="00EA40A3" w:rsidRDefault="00E86C16">
            <w:pPr>
              <w:spacing w:before="76" w:line="219" w:lineRule="auto"/>
              <w:ind w:left="289"/>
              <w:rPr>
                <w:rFonts w:ascii="宋体" w:eastAsia="宋体" w:hAnsi="宋体" w:cs="宋体"/>
                <w:sz w:val="16"/>
                <w:szCs w:val="16"/>
              </w:rPr>
            </w:pPr>
            <w:r>
              <w:rPr>
                <w:rFonts w:ascii="宋体" w:eastAsia="宋体" w:hAnsi="宋体" w:cs="宋体"/>
                <w:spacing w:val="-2"/>
                <w:sz w:val="16"/>
                <w:szCs w:val="16"/>
              </w:rPr>
              <w:t>糖、淀粉</w:t>
            </w:r>
          </w:p>
        </w:tc>
        <w:tc>
          <w:tcPr>
            <w:tcW w:w="1353" w:type="dxa"/>
          </w:tcPr>
          <w:p w:rsidR="00EA40A3" w:rsidRDefault="00E86C16">
            <w:pPr>
              <w:spacing w:before="117" w:line="183" w:lineRule="auto"/>
              <w:ind w:left="300"/>
              <w:rPr>
                <w:rFonts w:ascii="宋体" w:eastAsia="宋体" w:hAnsi="宋体" w:cs="宋体"/>
                <w:sz w:val="16"/>
                <w:szCs w:val="16"/>
              </w:rPr>
            </w:pPr>
            <w:r>
              <w:rPr>
                <w:rFonts w:ascii="宋体" w:eastAsia="宋体" w:hAnsi="宋体" w:cs="宋体"/>
                <w:spacing w:val="-3"/>
                <w:sz w:val="16"/>
                <w:szCs w:val="16"/>
              </w:rPr>
              <w:t>5.4</w:t>
            </w:r>
            <w:r>
              <w:rPr>
                <w:rFonts w:ascii="宋体" w:eastAsia="宋体" w:hAnsi="宋体" w:cs="宋体"/>
                <w:spacing w:val="10"/>
                <w:sz w:val="16"/>
                <w:szCs w:val="16"/>
              </w:rPr>
              <w:t xml:space="preserve">    </w:t>
            </w:r>
            <w:r>
              <w:rPr>
                <w:rFonts w:ascii="宋体" w:eastAsia="宋体" w:hAnsi="宋体" w:cs="宋体"/>
                <w:spacing w:val="-3"/>
                <w:sz w:val="16"/>
                <w:szCs w:val="16"/>
              </w:rPr>
              <w:t>4.7</w:t>
            </w:r>
          </w:p>
        </w:tc>
        <w:tc>
          <w:tcPr>
            <w:tcW w:w="624" w:type="dxa"/>
          </w:tcPr>
          <w:p w:rsidR="00EA40A3" w:rsidRDefault="00E86C16">
            <w:pPr>
              <w:spacing w:before="117" w:line="183" w:lineRule="auto"/>
              <w:ind w:left="196"/>
              <w:rPr>
                <w:rFonts w:ascii="宋体" w:eastAsia="宋体" w:hAnsi="宋体" w:cs="宋体"/>
                <w:sz w:val="16"/>
                <w:szCs w:val="16"/>
              </w:rPr>
            </w:pPr>
            <w:r>
              <w:rPr>
                <w:rFonts w:ascii="宋体" w:eastAsia="宋体" w:hAnsi="宋体" w:cs="宋体"/>
                <w:spacing w:val="-2"/>
                <w:sz w:val="16"/>
                <w:szCs w:val="16"/>
              </w:rPr>
              <w:t>4.4</w:t>
            </w:r>
          </w:p>
        </w:tc>
        <w:tc>
          <w:tcPr>
            <w:tcW w:w="662" w:type="dxa"/>
          </w:tcPr>
          <w:p w:rsidR="00EA40A3" w:rsidRDefault="00E86C16">
            <w:pPr>
              <w:spacing w:before="116" w:line="184" w:lineRule="auto"/>
              <w:ind w:left="242"/>
              <w:rPr>
                <w:rFonts w:ascii="宋体" w:eastAsia="宋体" w:hAnsi="宋体" w:cs="宋体"/>
                <w:sz w:val="16"/>
                <w:szCs w:val="16"/>
              </w:rPr>
            </w:pPr>
            <w:r>
              <w:rPr>
                <w:rFonts w:ascii="宋体" w:eastAsia="宋体" w:hAnsi="宋体" w:cs="宋体"/>
                <w:spacing w:val="-4"/>
                <w:sz w:val="16"/>
                <w:szCs w:val="16"/>
              </w:rPr>
              <w:t>10.7</w:t>
            </w:r>
          </w:p>
        </w:tc>
        <w:tc>
          <w:tcPr>
            <w:tcW w:w="665" w:type="dxa"/>
          </w:tcPr>
          <w:p w:rsidR="00EA40A3" w:rsidRDefault="00E86C16">
            <w:pPr>
              <w:spacing w:before="118" w:line="182" w:lineRule="auto"/>
              <w:ind w:left="221"/>
              <w:rPr>
                <w:rFonts w:ascii="宋体" w:eastAsia="宋体" w:hAnsi="宋体" w:cs="宋体"/>
                <w:sz w:val="16"/>
                <w:szCs w:val="16"/>
              </w:rPr>
            </w:pPr>
            <w:r>
              <w:rPr>
                <w:rFonts w:ascii="宋体" w:eastAsia="宋体" w:hAnsi="宋体" w:cs="宋体"/>
                <w:spacing w:val="-3"/>
                <w:sz w:val="16"/>
                <w:szCs w:val="16"/>
              </w:rPr>
              <w:t>7.7</w:t>
            </w:r>
          </w:p>
        </w:tc>
        <w:tc>
          <w:tcPr>
            <w:tcW w:w="657" w:type="dxa"/>
          </w:tcPr>
          <w:p w:rsidR="00EA40A3" w:rsidRDefault="00E86C16">
            <w:pPr>
              <w:spacing w:before="117" w:line="183" w:lineRule="auto"/>
              <w:ind w:left="205"/>
              <w:rPr>
                <w:rFonts w:ascii="宋体" w:eastAsia="宋体" w:hAnsi="宋体" w:cs="宋体"/>
                <w:sz w:val="16"/>
                <w:szCs w:val="16"/>
              </w:rPr>
            </w:pPr>
            <w:r>
              <w:rPr>
                <w:rFonts w:ascii="宋体" w:eastAsia="宋体" w:hAnsi="宋体" w:cs="宋体"/>
                <w:spacing w:val="-3"/>
                <w:sz w:val="16"/>
                <w:szCs w:val="16"/>
              </w:rPr>
              <w:t>5.2</w:t>
            </w:r>
          </w:p>
        </w:tc>
        <w:tc>
          <w:tcPr>
            <w:tcW w:w="2128" w:type="dxa"/>
          </w:tcPr>
          <w:p w:rsidR="00EA40A3" w:rsidRDefault="00E86C16">
            <w:pPr>
              <w:spacing w:before="116" w:line="184" w:lineRule="auto"/>
              <w:ind w:left="269"/>
              <w:rPr>
                <w:rFonts w:ascii="宋体" w:eastAsia="宋体" w:hAnsi="宋体" w:cs="宋体"/>
                <w:sz w:val="16"/>
                <w:szCs w:val="16"/>
              </w:rPr>
            </w:pPr>
            <w:r>
              <w:rPr>
                <w:rFonts w:ascii="宋体" w:eastAsia="宋体" w:hAnsi="宋体" w:cs="宋体"/>
                <w:spacing w:val="-3"/>
                <w:sz w:val="16"/>
                <w:szCs w:val="16"/>
              </w:rPr>
              <w:t>3.1</w:t>
            </w:r>
            <w:r>
              <w:rPr>
                <w:rFonts w:ascii="宋体" w:eastAsia="宋体" w:hAnsi="宋体" w:cs="宋体"/>
                <w:spacing w:val="15"/>
                <w:sz w:val="16"/>
                <w:szCs w:val="16"/>
              </w:rPr>
              <w:t xml:space="preserve">    </w:t>
            </w:r>
            <w:r>
              <w:rPr>
                <w:rFonts w:ascii="宋体" w:eastAsia="宋体" w:hAnsi="宋体" w:cs="宋体"/>
                <w:spacing w:val="-3"/>
                <w:sz w:val="16"/>
                <w:szCs w:val="16"/>
              </w:rPr>
              <w:t>3.0</w:t>
            </w:r>
            <w:r>
              <w:rPr>
                <w:rFonts w:ascii="宋体" w:eastAsia="宋体" w:hAnsi="宋体" w:cs="宋体"/>
                <w:spacing w:val="15"/>
                <w:sz w:val="16"/>
                <w:szCs w:val="16"/>
              </w:rPr>
              <w:t xml:space="preserve">    </w:t>
            </w:r>
            <w:r>
              <w:rPr>
                <w:rFonts w:ascii="宋体" w:eastAsia="宋体" w:hAnsi="宋体" w:cs="宋体"/>
                <w:spacing w:val="-3"/>
                <w:sz w:val="16"/>
                <w:szCs w:val="16"/>
              </w:rPr>
              <w:t>4.1</w:t>
            </w:r>
          </w:p>
        </w:tc>
      </w:tr>
      <w:tr w:rsidR="00EA40A3">
        <w:trPr>
          <w:trHeight w:val="315"/>
        </w:trPr>
        <w:tc>
          <w:tcPr>
            <w:tcW w:w="1240" w:type="dxa"/>
          </w:tcPr>
          <w:p w:rsidR="00EA40A3" w:rsidRDefault="00E86C16">
            <w:pPr>
              <w:spacing w:before="92" w:line="220" w:lineRule="auto"/>
              <w:ind w:left="609"/>
              <w:rPr>
                <w:rFonts w:ascii="宋体" w:eastAsia="宋体" w:hAnsi="宋体" w:cs="宋体"/>
                <w:sz w:val="16"/>
                <w:szCs w:val="16"/>
              </w:rPr>
            </w:pPr>
            <w:r>
              <w:rPr>
                <w:rFonts w:ascii="宋体" w:eastAsia="宋体" w:hAnsi="宋体" w:cs="宋体"/>
                <w:spacing w:val="-2"/>
                <w:sz w:val="16"/>
                <w:szCs w:val="16"/>
              </w:rPr>
              <w:t>食盐</w:t>
            </w:r>
          </w:p>
        </w:tc>
        <w:tc>
          <w:tcPr>
            <w:tcW w:w="1353" w:type="dxa"/>
          </w:tcPr>
          <w:p w:rsidR="00EA40A3" w:rsidRDefault="00E86C16">
            <w:pPr>
              <w:spacing w:before="132" w:line="184" w:lineRule="auto"/>
              <w:ind w:left="219"/>
              <w:rPr>
                <w:rFonts w:ascii="宋体" w:eastAsia="宋体" w:hAnsi="宋体" w:cs="宋体"/>
                <w:sz w:val="16"/>
                <w:szCs w:val="16"/>
              </w:rPr>
            </w:pPr>
            <w:r>
              <w:rPr>
                <w:rFonts w:ascii="宋体" w:eastAsia="宋体" w:hAnsi="宋体" w:cs="宋体"/>
                <w:spacing w:val="-4"/>
                <w:sz w:val="16"/>
                <w:szCs w:val="16"/>
              </w:rPr>
              <w:t>12.7</w:t>
            </w:r>
            <w:r>
              <w:rPr>
                <w:rFonts w:ascii="宋体" w:eastAsia="宋体" w:hAnsi="宋体" w:cs="宋体"/>
                <w:spacing w:val="2"/>
                <w:sz w:val="16"/>
                <w:szCs w:val="16"/>
              </w:rPr>
              <w:t xml:space="preserve">    </w:t>
            </w:r>
            <w:r>
              <w:rPr>
                <w:rFonts w:ascii="宋体" w:eastAsia="宋体" w:hAnsi="宋体" w:cs="宋体"/>
                <w:spacing w:val="-4"/>
                <w:sz w:val="16"/>
                <w:szCs w:val="16"/>
              </w:rPr>
              <w:t>13.9</w:t>
            </w:r>
          </w:p>
        </w:tc>
        <w:tc>
          <w:tcPr>
            <w:tcW w:w="624" w:type="dxa"/>
          </w:tcPr>
          <w:p w:rsidR="00EA40A3" w:rsidRDefault="00E86C16">
            <w:pPr>
              <w:spacing w:before="132" w:line="184" w:lineRule="auto"/>
              <w:ind w:left="156"/>
              <w:rPr>
                <w:rFonts w:ascii="宋体" w:eastAsia="宋体" w:hAnsi="宋体" w:cs="宋体"/>
                <w:sz w:val="16"/>
                <w:szCs w:val="16"/>
              </w:rPr>
            </w:pPr>
            <w:r>
              <w:rPr>
                <w:rFonts w:ascii="宋体" w:eastAsia="宋体" w:hAnsi="宋体" w:cs="宋体"/>
                <w:spacing w:val="-4"/>
                <w:sz w:val="16"/>
                <w:szCs w:val="16"/>
              </w:rPr>
              <w:t>12.0</w:t>
            </w:r>
          </w:p>
        </w:tc>
        <w:tc>
          <w:tcPr>
            <w:tcW w:w="662" w:type="dxa"/>
          </w:tcPr>
          <w:p w:rsidR="00EA40A3" w:rsidRDefault="00E86C16">
            <w:pPr>
              <w:spacing w:before="132" w:line="184" w:lineRule="auto"/>
              <w:ind w:left="242"/>
              <w:rPr>
                <w:rFonts w:ascii="宋体" w:eastAsia="宋体" w:hAnsi="宋体" w:cs="宋体"/>
                <w:sz w:val="16"/>
                <w:szCs w:val="16"/>
              </w:rPr>
            </w:pPr>
            <w:r>
              <w:rPr>
                <w:rFonts w:ascii="宋体" w:eastAsia="宋体" w:hAnsi="宋体" w:cs="宋体"/>
                <w:spacing w:val="-4"/>
                <w:sz w:val="16"/>
                <w:szCs w:val="16"/>
              </w:rPr>
              <w:t>11.4</w:t>
            </w:r>
          </w:p>
        </w:tc>
        <w:tc>
          <w:tcPr>
            <w:tcW w:w="665" w:type="dxa"/>
          </w:tcPr>
          <w:p w:rsidR="00EA40A3" w:rsidRDefault="00E86C16">
            <w:pPr>
              <w:spacing w:before="132" w:line="184" w:lineRule="auto"/>
              <w:ind w:left="181"/>
              <w:rPr>
                <w:rFonts w:ascii="宋体" w:eastAsia="宋体" w:hAnsi="宋体" w:cs="宋体"/>
                <w:sz w:val="16"/>
                <w:szCs w:val="16"/>
              </w:rPr>
            </w:pPr>
            <w:r>
              <w:rPr>
                <w:rFonts w:ascii="宋体" w:eastAsia="宋体" w:hAnsi="宋体" w:cs="宋体"/>
                <w:spacing w:val="-4"/>
                <w:sz w:val="16"/>
                <w:szCs w:val="16"/>
              </w:rPr>
              <w:t>13.3</w:t>
            </w:r>
          </w:p>
        </w:tc>
        <w:tc>
          <w:tcPr>
            <w:tcW w:w="657" w:type="dxa"/>
          </w:tcPr>
          <w:p w:rsidR="00EA40A3" w:rsidRDefault="00E86C16">
            <w:pPr>
              <w:spacing w:before="132" w:line="184" w:lineRule="auto"/>
              <w:ind w:left="166"/>
              <w:rPr>
                <w:rFonts w:ascii="宋体" w:eastAsia="宋体" w:hAnsi="宋体" w:cs="宋体"/>
                <w:sz w:val="16"/>
                <w:szCs w:val="16"/>
              </w:rPr>
            </w:pPr>
            <w:r>
              <w:rPr>
                <w:rFonts w:ascii="宋体" w:eastAsia="宋体" w:hAnsi="宋体" w:cs="宋体"/>
                <w:spacing w:val="-4"/>
                <w:sz w:val="16"/>
                <w:szCs w:val="16"/>
              </w:rPr>
              <w:t>10.9</w:t>
            </w:r>
          </w:p>
        </w:tc>
        <w:tc>
          <w:tcPr>
            <w:tcW w:w="2128" w:type="dxa"/>
          </w:tcPr>
          <w:p w:rsidR="00EA40A3" w:rsidRDefault="00E86C16">
            <w:pPr>
              <w:spacing w:before="132" w:line="184" w:lineRule="auto"/>
              <w:ind w:left="189"/>
              <w:rPr>
                <w:rFonts w:ascii="宋体" w:eastAsia="宋体" w:hAnsi="宋体" w:cs="宋体"/>
                <w:sz w:val="16"/>
                <w:szCs w:val="16"/>
              </w:rPr>
            </w:pPr>
            <w:r>
              <w:rPr>
                <w:rFonts w:ascii="宋体" w:eastAsia="宋体" w:hAnsi="宋体" w:cs="宋体"/>
                <w:spacing w:val="-5"/>
                <w:sz w:val="16"/>
                <w:szCs w:val="16"/>
              </w:rPr>
              <w:t>13.2</w:t>
            </w:r>
            <w:r>
              <w:rPr>
                <w:rFonts w:ascii="宋体" w:eastAsia="宋体" w:hAnsi="宋体" w:cs="宋体"/>
                <w:spacing w:val="9"/>
                <w:sz w:val="16"/>
                <w:szCs w:val="16"/>
              </w:rPr>
              <w:t xml:space="preserve">    </w:t>
            </w:r>
            <w:r>
              <w:rPr>
                <w:rFonts w:ascii="宋体" w:eastAsia="宋体" w:hAnsi="宋体" w:cs="宋体"/>
                <w:spacing w:val="-5"/>
                <w:sz w:val="16"/>
                <w:szCs w:val="16"/>
              </w:rPr>
              <w:t>13.9</w:t>
            </w:r>
            <w:r>
              <w:rPr>
                <w:rFonts w:ascii="宋体" w:eastAsia="宋体" w:hAnsi="宋体" w:cs="宋体"/>
                <w:spacing w:val="7"/>
                <w:sz w:val="16"/>
                <w:szCs w:val="16"/>
              </w:rPr>
              <w:t xml:space="preserve">    </w:t>
            </w:r>
            <w:r>
              <w:rPr>
                <w:rFonts w:ascii="宋体" w:eastAsia="宋体" w:hAnsi="宋体" w:cs="宋体"/>
                <w:spacing w:val="-5"/>
                <w:sz w:val="16"/>
                <w:szCs w:val="16"/>
              </w:rPr>
              <w:t>12.4</w:t>
            </w:r>
          </w:p>
        </w:tc>
      </w:tr>
      <w:tr w:rsidR="00EA40A3">
        <w:trPr>
          <w:trHeight w:val="314"/>
        </w:trPr>
        <w:tc>
          <w:tcPr>
            <w:tcW w:w="1240" w:type="dxa"/>
            <w:tcBorders>
              <w:bottom w:val="single" w:sz="4" w:space="0" w:color="000000"/>
            </w:tcBorders>
          </w:tcPr>
          <w:p w:rsidR="00EA40A3" w:rsidRDefault="00E86C16">
            <w:pPr>
              <w:spacing w:before="87" w:line="221" w:lineRule="auto"/>
              <w:ind w:left="609"/>
              <w:rPr>
                <w:rFonts w:ascii="宋体" w:eastAsia="宋体" w:hAnsi="宋体" w:cs="宋体"/>
                <w:sz w:val="16"/>
                <w:szCs w:val="16"/>
              </w:rPr>
            </w:pPr>
            <w:r>
              <w:rPr>
                <w:rFonts w:ascii="宋体" w:eastAsia="宋体" w:hAnsi="宋体" w:cs="宋体"/>
                <w:spacing w:val="8"/>
                <w:sz w:val="16"/>
                <w:szCs w:val="16"/>
              </w:rPr>
              <w:t>酱油</w:t>
            </w:r>
          </w:p>
        </w:tc>
        <w:tc>
          <w:tcPr>
            <w:tcW w:w="1353" w:type="dxa"/>
            <w:tcBorders>
              <w:bottom w:val="single" w:sz="4" w:space="0" w:color="000000"/>
            </w:tcBorders>
          </w:tcPr>
          <w:p w:rsidR="00EA40A3" w:rsidRDefault="00E86C16">
            <w:pPr>
              <w:spacing w:before="126" w:line="184" w:lineRule="auto"/>
              <w:ind w:left="219"/>
              <w:rPr>
                <w:rFonts w:ascii="宋体" w:eastAsia="宋体" w:hAnsi="宋体" w:cs="宋体"/>
                <w:sz w:val="16"/>
                <w:szCs w:val="16"/>
              </w:rPr>
            </w:pPr>
            <w:r>
              <w:rPr>
                <w:rFonts w:ascii="宋体" w:eastAsia="宋体" w:hAnsi="宋体" w:cs="宋体"/>
                <w:spacing w:val="-4"/>
                <w:sz w:val="16"/>
                <w:szCs w:val="16"/>
              </w:rPr>
              <w:t>14.2</w:t>
            </w:r>
            <w:r>
              <w:rPr>
                <w:rFonts w:ascii="宋体" w:eastAsia="宋体" w:hAnsi="宋体" w:cs="宋体"/>
                <w:spacing w:val="2"/>
                <w:sz w:val="16"/>
                <w:szCs w:val="16"/>
              </w:rPr>
              <w:t xml:space="preserve">    </w:t>
            </w:r>
            <w:r>
              <w:rPr>
                <w:rFonts w:ascii="宋体" w:eastAsia="宋体" w:hAnsi="宋体" w:cs="宋体"/>
                <w:spacing w:val="-4"/>
                <w:sz w:val="16"/>
                <w:szCs w:val="16"/>
              </w:rPr>
              <w:t>12.6</w:t>
            </w:r>
          </w:p>
        </w:tc>
        <w:tc>
          <w:tcPr>
            <w:tcW w:w="624" w:type="dxa"/>
            <w:tcBorders>
              <w:bottom w:val="single" w:sz="4" w:space="0" w:color="000000"/>
            </w:tcBorders>
          </w:tcPr>
          <w:p w:rsidR="00EA40A3" w:rsidRDefault="00E86C16">
            <w:pPr>
              <w:spacing w:before="127" w:line="183" w:lineRule="auto"/>
              <w:ind w:left="196"/>
              <w:rPr>
                <w:rFonts w:ascii="宋体" w:eastAsia="宋体" w:hAnsi="宋体" w:cs="宋体"/>
                <w:sz w:val="16"/>
                <w:szCs w:val="16"/>
              </w:rPr>
            </w:pPr>
            <w:r>
              <w:rPr>
                <w:rFonts w:ascii="宋体" w:eastAsia="宋体" w:hAnsi="宋体" w:cs="宋体"/>
                <w:spacing w:val="-2"/>
                <w:sz w:val="16"/>
                <w:szCs w:val="16"/>
              </w:rPr>
              <w:t>9.0</w:t>
            </w:r>
          </w:p>
        </w:tc>
        <w:tc>
          <w:tcPr>
            <w:tcW w:w="662" w:type="dxa"/>
            <w:tcBorders>
              <w:bottom w:val="single" w:sz="4" w:space="0" w:color="000000"/>
            </w:tcBorders>
          </w:tcPr>
          <w:p w:rsidR="00EA40A3" w:rsidRDefault="00E86C16">
            <w:pPr>
              <w:spacing w:before="127" w:line="183" w:lineRule="auto"/>
              <w:ind w:left="242"/>
              <w:rPr>
                <w:rFonts w:ascii="宋体" w:eastAsia="宋体" w:hAnsi="宋体" w:cs="宋体"/>
                <w:sz w:val="16"/>
                <w:szCs w:val="16"/>
              </w:rPr>
            </w:pPr>
            <w:r>
              <w:rPr>
                <w:rFonts w:ascii="宋体" w:eastAsia="宋体" w:hAnsi="宋体" w:cs="宋体"/>
                <w:spacing w:val="-2"/>
                <w:sz w:val="16"/>
                <w:szCs w:val="16"/>
              </w:rPr>
              <w:t>32.5</w:t>
            </w:r>
          </w:p>
        </w:tc>
        <w:tc>
          <w:tcPr>
            <w:tcW w:w="665" w:type="dxa"/>
            <w:tcBorders>
              <w:bottom w:val="single" w:sz="4" w:space="0" w:color="000000"/>
            </w:tcBorders>
          </w:tcPr>
          <w:p w:rsidR="00EA40A3" w:rsidRDefault="00E86C16">
            <w:pPr>
              <w:spacing w:before="126" w:line="184" w:lineRule="auto"/>
              <w:ind w:left="181"/>
              <w:rPr>
                <w:rFonts w:ascii="宋体" w:eastAsia="宋体" w:hAnsi="宋体" w:cs="宋体"/>
                <w:sz w:val="16"/>
                <w:szCs w:val="16"/>
              </w:rPr>
            </w:pPr>
            <w:r>
              <w:rPr>
                <w:rFonts w:ascii="宋体" w:eastAsia="宋体" w:hAnsi="宋体" w:cs="宋体"/>
                <w:spacing w:val="-4"/>
                <w:sz w:val="16"/>
                <w:szCs w:val="16"/>
              </w:rPr>
              <w:t>15.9</w:t>
            </w:r>
          </w:p>
        </w:tc>
        <w:tc>
          <w:tcPr>
            <w:tcW w:w="657" w:type="dxa"/>
            <w:tcBorders>
              <w:bottom w:val="single" w:sz="4" w:space="0" w:color="000000"/>
            </w:tcBorders>
          </w:tcPr>
          <w:p w:rsidR="00EA40A3" w:rsidRDefault="00E86C16">
            <w:pPr>
              <w:spacing w:before="126" w:line="184" w:lineRule="auto"/>
              <w:ind w:left="166"/>
              <w:rPr>
                <w:rFonts w:ascii="宋体" w:eastAsia="宋体" w:hAnsi="宋体" w:cs="宋体"/>
                <w:sz w:val="16"/>
                <w:szCs w:val="16"/>
              </w:rPr>
            </w:pPr>
            <w:r>
              <w:rPr>
                <w:rFonts w:ascii="宋体" w:eastAsia="宋体" w:hAnsi="宋体" w:cs="宋体"/>
                <w:spacing w:val="-4"/>
                <w:sz w:val="16"/>
                <w:szCs w:val="16"/>
              </w:rPr>
              <w:t>10.7</w:t>
            </w:r>
          </w:p>
        </w:tc>
        <w:tc>
          <w:tcPr>
            <w:tcW w:w="2128" w:type="dxa"/>
            <w:tcBorders>
              <w:bottom w:val="single" w:sz="4" w:space="0" w:color="000000"/>
            </w:tcBorders>
          </w:tcPr>
          <w:p w:rsidR="00EA40A3" w:rsidRDefault="00E86C16">
            <w:pPr>
              <w:spacing w:before="126" w:line="184" w:lineRule="auto"/>
              <w:ind w:left="269"/>
              <w:rPr>
                <w:rFonts w:ascii="宋体" w:eastAsia="宋体" w:hAnsi="宋体" w:cs="宋体"/>
                <w:sz w:val="16"/>
                <w:szCs w:val="16"/>
              </w:rPr>
            </w:pPr>
            <w:r>
              <w:rPr>
                <w:rFonts w:ascii="宋体" w:eastAsia="宋体" w:hAnsi="宋体" w:cs="宋体"/>
                <w:spacing w:val="-4"/>
                <w:sz w:val="16"/>
                <w:szCs w:val="16"/>
              </w:rPr>
              <w:t>6.5</w:t>
            </w:r>
            <w:r>
              <w:rPr>
                <w:rFonts w:ascii="宋体" w:eastAsia="宋体" w:hAnsi="宋体" w:cs="宋体"/>
                <w:spacing w:val="6"/>
                <w:sz w:val="16"/>
                <w:szCs w:val="16"/>
              </w:rPr>
              <w:t xml:space="preserve">    </w:t>
            </w:r>
            <w:r>
              <w:rPr>
                <w:rFonts w:ascii="宋体" w:eastAsia="宋体" w:hAnsi="宋体" w:cs="宋体"/>
                <w:spacing w:val="-4"/>
                <w:sz w:val="16"/>
                <w:szCs w:val="16"/>
              </w:rPr>
              <w:t>10.6</w:t>
            </w:r>
            <w:r>
              <w:rPr>
                <w:rFonts w:ascii="宋体" w:eastAsia="宋体" w:hAnsi="宋体" w:cs="宋体"/>
                <w:spacing w:val="7"/>
                <w:sz w:val="16"/>
                <w:szCs w:val="16"/>
              </w:rPr>
              <w:t xml:space="preserve">    </w:t>
            </w:r>
            <w:r>
              <w:rPr>
                <w:rFonts w:ascii="宋体" w:eastAsia="宋体" w:hAnsi="宋体" w:cs="宋体"/>
                <w:spacing w:val="-4"/>
                <w:sz w:val="16"/>
                <w:szCs w:val="16"/>
              </w:rPr>
              <w:t>8.4</w:t>
            </w:r>
          </w:p>
        </w:tc>
      </w:tr>
    </w:tbl>
    <w:p w:rsidR="00EA40A3" w:rsidRDefault="00E86C16">
      <w:pPr>
        <w:spacing w:before="121" w:line="219" w:lineRule="auto"/>
        <w:ind w:left="369"/>
        <w:rPr>
          <w:rFonts w:ascii="宋体" w:eastAsia="宋体" w:hAnsi="宋体" w:cs="宋体"/>
          <w:sz w:val="16"/>
          <w:szCs w:val="16"/>
        </w:rPr>
      </w:pPr>
      <w:r>
        <w:rPr>
          <w:rFonts w:ascii="宋体" w:eastAsia="宋体" w:hAnsi="宋体" w:cs="宋体"/>
          <w:spacing w:val="5"/>
          <w:sz w:val="16"/>
          <w:szCs w:val="16"/>
        </w:rPr>
        <w:t>注：标准人指从事轻体力活动的18岁男子(下同)</w:t>
      </w:r>
    </w:p>
    <w:p w:rsidR="00EA40A3" w:rsidRDefault="00E86C16">
      <w:pPr>
        <w:spacing w:before="59" w:line="219" w:lineRule="auto"/>
        <w:ind w:left="369"/>
        <w:rPr>
          <w:rFonts w:ascii="宋体" w:eastAsia="宋体" w:hAnsi="宋体" w:cs="宋体"/>
          <w:sz w:val="16"/>
          <w:szCs w:val="16"/>
        </w:rPr>
      </w:pPr>
      <w:r>
        <w:rPr>
          <w:rFonts w:ascii="宋体" w:eastAsia="宋体" w:hAnsi="宋体" w:cs="宋体"/>
          <w:spacing w:val="2"/>
          <w:sz w:val="16"/>
          <w:szCs w:val="16"/>
        </w:rPr>
        <w:t>资料来源：葛可佑等.</w:t>
      </w:r>
      <w:r>
        <w:rPr>
          <w:rFonts w:ascii="宋体" w:eastAsia="宋体" w:hAnsi="宋体" w:cs="宋体"/>
          <w:spacing w:val="23"/>
          <w:sz w:val="16"/>
          <w:szCs w:val="16"/>
        </w:rPr>
        <w:t xml:space="preserve"> </w:t>
      </w:r>
      <w:r>
        <w:rPr>
          <w:rFonts w:ascii="宋体" w:eastAsia="宋体" w:hAnsi="宋体" w:cs="宋体"/>
          <w:spacing w:val="2"/>
          <w:sz w:val="16"/>
          <w:szCs w:val="16"/>
        </w:rPr>
        <w:t>1996.卫生研究，卫生部等.2004.中国</w:t>
      </w:r>
      <w:r>
        <w:rPr>
          <w:rFonts w:ascii="宋体" w:eastAsia="宋体" w:hAnsi="宋体" w:cs="宋体"/>
          <w:spacing w:val="1"/>
          <w:sz w:val="16"/>
          <w:szCs w:val="16"/>
        </w:rPr>
        <w:t>居民营养与健康现状</w:t>
      </w:r>
    </w:p>
    <w:p w:rsidR="00EA40A3" w:rsidRDefault="00E86C16">
      <w:pPr>
        <w:spacing w:before="290" w:line="224" w:lineRule="auto"/>
        <w:rPr>
          <w:rFonts w:ascii="楷体" w:eastAsia="楷体" w:hAnsi="楷体" w:cs="楷体"/>
        </w:rPr>
      </w:pPr>
      <w:r>
        <w:rPr>
          <w:rFonts w:ascii="楷体" w:eastAsia="楷体" w:hAnsi="楷体" w:cs="楷体"/>
          <w:spacing w:val="5"/>
        </w:rPr>
        <w:t>2)膳食营养素摄入量</w:t>
      </w:r>
    </w:p>
    <w:p w:rsidR="00EA40A3" w:rsidRDefault="00E86C16">
      <w:pPr>
        <w:spacing w:before="58" w:line="260" w:lineRule="auto"/>
        <w:ind w:firstLine="459"/>
        <w:rPr>
          <w:rFonts w:ascii="宋体" w:eastAsia="宋体" w:hAnsi="宋体" w:cs="宋体"/>
        </w:rPr>
      </w:pPr>
      <w:r>
        <w:rPr>
          <w:rFonts w:ascii="宋体" w:eastAsia="宋体" w:hAnsi="宋体" w:cs="宋体"/>
          <w:spacing w:val="3"/>
        </w:rPr>
        <w:t>从表12-8看出，目前我国城乡居民温饱问题已基本得到解决，获得了适量</w:t>
      </w:r>
      <w:r>
        <w:rPr>
          <w:rFonts w:ascii="宋体" w:eastAsia="宋体" w:hAnsi="宋体" w:cs="宋体"/>
          <w:spacing w:val="14"/>
        </w:rPr>
        <w:t xml:space="preserve"> </w:t>
      </w:r>
      <w:r>
        <w:rPr>
          <w:rFonts w:ascii="宋体" w:eastAsia="宋体" w:hAnsi="宋体" w:cs="宋体"/>
        </w:rPr>
        <w:t>的食物，膳食、营养状况有了明显改善，营养不良和营养缺乏患病率继续下降，</w:t>
      </w:r>
      <w:r>
        <w:rPr>
          <w:rFonts w:ascii="宋体" w:eastAsia="宋体" w:hAnsi="宋体" w:cs="宋体"/>
          <w:spacing w:val="4"/>
        </w:rPr>
        <w:t xml:space="preserve"> </w:t>
      </w:r>
      <w:r>
        <w:rPr>
          <w:rFonts w:ascii="宋体" w:eastAsia="宋体" w:hAnsi="宋体" w:cs="宋体"/>
          <w:spacing w:val="3"/>
        </w:rPr>
        <w:t>同时面临营养缺乏与营养失衡的双重挑战。每标准人日摄入能量基本达到</w:t>
      </w:r>
      <w:r>
        <w:rPr>
          <w:rFonts w:ascii="宋体" w:eastAsia="宋体" w:hAnsi="宋体" w:cs="宋体"/>
          <w:spacing w:val="-49"/>
        </w:rPr>
        <w:t xml:space="preserve"> </w:t>
      </w:r>
      <w:r>
        <w:rPr>
          <w:rFonts w:ascii="宋体" w:eastAsia="宋体" w:hAnsi="宋体" w:cs="宋体"/>
        </w:rPr>
        <w:t xml:space="preserve">RNI  </w:t>
      </w:r>
      <w:r>
        <w:rPr>
          <w:rFonts w:ascii="宋体" w:eastAsia="宋体" w:hAnsi="宋体" w:cs="宋体"/>
          <w:spacing w:val="3"/>
        </w:rPr>
        <w:t>水平。蛋白质接近</w:t>
      </w:r>
      <w:r>
        <w:rPr>
          <w:rFonts w:ascii="宋体" w:eastAsia="宋体" w:hAnsi="宋体" w:cs="宋体"/>
          <w:spacing w:val="-38"/>
        </w:rPr>
        <w:t xml:space="preserve"> </w:t>
      </w:r>
      <w:r>
        <w:rPr>
          <w:rFonts w:ascii="宋体" w:eastAsia="宋体" w:hAnsi="宋体" w:cs="宋体"/>
        </w:rPr>
        <w:t>RNI</w:t>
      </w:r>
      <w:r>
        <w:rPr>
          <w:rFonts w:ascii="宋体" w:eastAsia="宋体" w:hAnsi="宋体" w:cs="宋体"/>
          <w:spacing w:val="3"/>
        </w:rPr>
        <w:t>,</w:t>
      </w:r>
      <w:r>
        <w:rPr>
          <w:rFonts w:ascii="宋体" w:eastAsia="宋体" w:hAnsi="宋体" w:cs="宋体"/>
          <w:spacing w:val="62"/>
        </w:rPr>
        <w:t xml:space="preserve"> </w:t>
      </w:r>
      <w:r>
        <w:rPr>
          <w:rFonts w:ascii="宋体" w:eastAsia="宋体" w:hAnsi="宋体" w:cs="宋体"/>
          <w:spacing w:val="3"/>
        </w:rPr>
        <w:t>略应提高，应增加豆类及豆制品消费量。脂肪城乡差</w:t>
      </w:r>
      <w:r>
        <w:rPr>
          <w:rFonts w:ascii="宋体" w:eastAsia="宋体" w:hAnsi="宋体" w:cs="宋体"/>
        </w:rPr>
        <w:t xml:space="preserve">  </w:t>
      </w:r>
      <w:r>
        <w:rPr>
          <w:rFonts w:ascii="宋体" w:eastAsia="宋体" w:hAnsi="宋体" w:cs="宋体"/>
          <w:spacing w:val="-3"/>
        </w:rPr>
        <w:t>别较大，但从营养需要看农村人口虽然摄入脂肪较少也不至于产生脂肪缺乏的问</w:t>
      </w:r>
      <w:r>
        <w:rPr>
          <w:rFonts w:ascii="宋体" w:eastAsia="宋体" w:hAnsi="宋体" w:cs="宋体"/>
          <w:spacing w:val="4"/>
        </w:rPr>
        <w:t xml:space="preserve">  </w:t>
      </w:r>
      <w:r>
        <w:rPr>
          <w:rFonts w:ascii="宋体" w:eastAsia="宋体" w:hAnsi="宋体" w:cs="宋体"/>
          <w:spacing w:val="-3"/>
        </w:rPr>
        <w:t>题。维生素中抗坏血酸摄入充足，硫胺素尚好，视黄醇当量和核黄素偏低，应适</w:t>
      </w:r>
      <w:r>
        <w:rPr>
          <w:rFonts w:ascii="宋体" w:eastAsia="宋体" w:hAnsi="宋体" w:cs="宋体"/>
          <w:spacing w:val="6"/>
        </w:rPr>
        <w:t xml:space="preserve">  </w:t>
      </w:r>
      <w:r>
        <w:rPr>
          <w:rFonts w:ascii="宋体" w:eastAsia="宋体" w:hAnsi="宋体" w:cs="宋体"/>
          <w:spacing w:val="7"/>
        </w:rPr>
        <w:t>当增加有色蔬菜和动物性食物。矿物质中以钙的缺乏最为显著，仅达</w:t>
      </w:r>
      <w:r>
        <w:rPr>
          <w:rFonts w:ascii="宋体" w:eastAsia="宋体" w:hAnsi="宋体" w:cs="宋体"/>
          <w:spacing w:val="-54"/>
        </w:rPr>
        <w:t xml:space="preserve"> </w:t>
      </w:r>
      <w:r>
        <w:rPr>
          <w:rFonts w:ascii="宋体" w:eastAsia="宋体" w:hAnsi="宋体" w:cs="宋体"/>
        </w:rPr>
        <w:t>RNI</w:t>
      </w:r>
      <w:r>
        <w:rPr>
          <w:rFonts w:ascii="宋体" w:eastAsia="宋体" w:hAnsi="宋体" w:cs="宋体"/>
          <w:spacing w:val="46"/>
        </w:rPr>
        <w:t xml:space="preserve"> </w:t>
      </w:r>
      <w:r>
        <w:rPr>
          <w:rFonts w:ascii="宋体" w:eastAsia="宋体" w:hAnsi="宋体" w:cs="宋体"/>
          <w:spacing w:val="6"/>
        </w:rPr>
        <w:t>的</w:t>
      </w:r>
      <w:r>
        <w:rPr>
          <w:rFonts w:ascii="宋体" w:eastAsia="宋体" w:hAnsi="宋体" w:cs="宋体"/>
        </w:rPr>
        <w:t xml:space="preserve">  50%左右，提倡增加奶及奶制品的消费。铁的摄入从表面上看是充足的，但膳食</w:t>
      </w:r>
      <w:r>
        <w:rPr>
          <w:rFonts w:ascii="宋体" w:eastAsia="宋体" w:hAnsi="宋体" w:cs="宋体"/>
          <w:spacing w:val="6"/>
        </w:rPr>
        <w:t xml:space="preserve">  </w:t>
      </w:r>
      <w:r>
        <w:rPr>
          <w:rFonts w:ascii="宋体" w:eastAsia="宋体" w:hAnsi="宋体" w:cs="宋体"/>
          <w:spacing w:val="-3"/>
        </w:rPr>
        <w:t>中植物性食物来源的非血红素铁较多，吸收率低，成为危害我国妇女和儿童患缺</w:t>
      </w:r>
      <w:r>
        <w:rPr>
          <w:rFonts w:ascii="宋体" w:eastAsia="宋体" w:hAnsi="宋体" w:cs="宋体"/>
          <w:spacing w:val="6"/>
        </w:rPr>
        <w:t xml:space="preserve">  </w:t>
      </w:r>
      <w:r>
        <w:rPr>
          <w:rFonts w:ascii="宋体" w:eastAsia="宋体" w:hAnsi="宋体" w:cs="宋体"/>
          <w:spacing w:val="3"/>
        </w:rPr>
        <w:t>铁性贫血的主要原因，因此，除改善食物构成外，采用适当铁强化食品是必要</w:t>
      </w:r>
      <w:r>
        <w:rPr>
          <w:rFonts w:ascii="宋体" w:eastAsia="宋体" w:hAnsi="宋体" w:cs="宋体"/>
          <w:spacing w:val="8"/>
        </w:rPr>
        <w:t xml:space="preserve">  </w:t>
      </w:r>
      <w:r>
        <w:rPr>
          <w:rFonts w:ascii="宋体" w:eastAsia="宋体" w:hAnsi="宋体" w:cs="宋体"/>
          <w:spacing w:val="4"/>
        </w:rPr>
        <w:t>的。铁、维生素A</w:t>
      </w:r>
      <w:r>
        <w:rPr>
          <w:rFonts w:ascii="宋体" w:eastAsia="宋体" w:hAnsi="宋体" w:cs="宋体"/>
          <w:spacing w:val="-9"/>
        </w:rPr>
        <w:t xml:space="preserve"> </w:t>
      </w:r>
      <w:r>
        <w:rPr>
          <w:rFonts w:ascii="宋体" w:eastAsia="宋体" w:hAnsi="宋体" w:cs="宋体"/>
          <w:spacing w:val="4"/>
        </w:rPr>
        <w:t>等微量营养素缺乏是我国城乡居民普遍存在</w:t>
      </w:r>
      <w:r>
        <w:rPr>
          <w:rFonts w:ascii="宋体" w:eastAsia="宋体" w:hAnsi="宋体" w:cs="宋体"/>
          <w:spacing w:val="3"/>
        </w:rPr>
        <w:t>的问题，我国居</w:t>
      </w:r>
      <w:r>
        <w:rPr>
          <w:rFonts w:ascii="宋体" w:eastAsia="宋体" w:hAnsi="宋体" w:cs="宋体"/>
        </w:rPr>
        <w:t xml:space="preserve">  </w:t>
      </w:r>
      <w:r>
        <w:rPr>
          <w:rFonts w:ascii="宋体" w:eastAsia="宋体" w:hAnsi="宋体" w:cs="宋体"/>
          <w:spacing w:val="11"/>
        </w:rPr>
        <w:t>民贫血患病率平均为15.2%;2岁以内婴幼儿、60岁以上老人、育龄妇女贫血</w:t>
      </w:r>
    </w:p>
    <w:p w:rsidR="00EA40A3" w:rsidRDefault="00E86C16">
      <w:pPr>
        <w:spacing w:before="154"/>
        <w:ind w:left="140"/>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406</w:t>
      </w:r>
      <w:r>
        <w:rPr>
          <w:rFonts w:ascii="宋体" w:eastAsia="宋体" w:hAnsi="宋体" w:cs="宋体"/>
          <w:spacing w:val="62"/>
          <w:sz w:val="16"/>
          <w:szCs w:val="16"/>
        </w:rPr>
        <w:t xml:space="preserve"> </w:t>
      </w:r>
      <w:r>
        <w:rPr>
          <w:rFonts w:ascii="宋体" w:eastAsia="宋体" w:hAnsi="宋体" w:cs="宋体"/>
          <w:spacing w:val="-14"/>
          <w:sz w:val="16"/>
          <w:szCs w:val="16"/>
        </w:rPr>
        <w:t>·</w:t>
      </w:r>
    </w:p>
    <w:p w:rsidR="00EA40A3" w:rsidRDefault="00EA40A3">
      <w:pPr>
        <w:sectPr w:rsidR="00EA40A3">
          <w:footerReference w:type="default" r:id="rId332"/>
          <w:pgSz w:w="9220" w:h="13360"/>
          <w:pgMar w:top="400" w:right="1014" w:bottom="400" w:left="849" w:header="0" w:footer="0" w:gutter="0"/>
          <w:cols w:space="720"/>
        </w:sectPr>
      </w:pPr>
    </w:p>
    <w:p w:rsidR="00EA40A3" w:rsidRDefault="00EA40A3">
      <w:pPr>
        <w:spacing w:line="268" w:lineRule="auto"/>
      </w:pPr>
    </w:p>
    <w:p w:rsidR="00EA40A3" w:rsidRDefault="00EA40A3">
      <w:pPr>
        <w:spacing w:line="268" w:lineRule="auto"/>
      </w:pPr>
    </w:p>
    <w:p w:rsidR="00EA40A3" w:rsidRDefault="00E86C16">
      <w:pPr>
        <w:spacing w:before="68" w:line="259" w:lineRule="auto"/>
        <w:ind w:right="105"/>
        <w:jc w:val="both"/>
        <w:rPr>
          <w:rFonts w:ascii="宋体" w:eastAsia="宋体" w:hAnsi="宋体" w:cs="宋体"/>
        </w:rPr>
      </w:pPr>
      <w:r>
        <w:rPr>
          <w:rFonts w:ascii="宋体" w:eastAsia="宋体" w:hAnsi="宋体" w:cs="宋体"/>
          <w:spacing w:val="22"/>
        </w:rPr>
        <w:t>患病率分别为24</w:t>
      </w:r>
      <w:r>
        <w:rPr>
          <w:rFonts w:ascii="宋体" w:eastAsia="宋体" w:hAnsi="宋体" w:cs="宋体"/>
          <w:spacing w:val="-63"/>
        </w:rPr>
        <w:t xml:space="preserve"> </w:t>
      </w:r>
      <w:r>
        <w:rPr>
          <w:rFonts w:ascii="宋体" w:eastAsia="宋体" w:hAnsi="宋体" w:cs="宋体"/>
          <w:spacing w:val="22"/>
        </w:rPr>
        <w:t>.2%、21</w:t>
      </w:r>
      <w:r>
        <w:rPr>
          <w:rFonts w:ascii="宋体" w:eastAsia="宋体" w:hAnsi="宋体" w:cs="宋体"/>
          <w:spacing w:val="-63"/>
        </w:rPr>
        <w:t xml:space="preserve"> </w:t>
      </w:r>
      <w:r>
        <w:rPr>
          <w:rFonts w:ascii="宋体" w:eastAsia="宋体" w:hAnsi="宋体" w:cs="宋体"/>
          <w:spacing w:val="22"/>
        </w:rPr>
        <w:t>.5%和20</w:t>
      </w:r>
      <w:r>
        <w:rPr>
          <w:rFonts w:ascii="宋体" w:eastAsia="宋体" w:hAnsi="宋体" w:cs="宋体"/>
          <w:spacing w:val="-63"/>
        </w:rPr>
        <w:t xml:space="preserve"> </w:t>
      </w:r>
      <w:r>
        <w:rPr>
          <w:rFonts w:ascii="宋体" w:eastAsia="宋体" w:hAnsi="宋体" w:cs="宋体"/>
          <w:spacing w:val="22"/>
        </w:rPr>
        <w:t>.6%;3～12</w:t>
      </w:r>
      <w:r>
        <w:rPr>
          <w:rFonts w:ascii="宋体" w:eastAsia="宋体" w:hAnsi="宋体" w:cs="宋体"/>
          <w:spacing w:val="21"/>
        </w:rPr>
        <w:t>岁儿童维生素</w:t>
      </w:r>
      <w:r>
        <w:rPr>
          <w:rFonts w:ascii="宋体" w:eastAsia="宋体" w:hAnsi="宋体" w:cs="宋体"/>
          <w:spacing w:val="-45"/>
        </w:rPr>
        <w:t xml:space="preserve"> </w:t>
      </w:r>
      <w:r>
        <w:rPr>
          <w:rFonts w:ascii="宋体" w:eastAsia="宋体" w:hAnsi="宋体" w:cs="宋体"/>
          <w:spacing w:val="21"/>
        </w:rPr>
        <w:t>A</w:t>
      </w:r>
      <w:r>
        <w:rPr>
          <w:rFonts w:ascii="宋体" w:eastAsia="宋体" w:hAnsi="宋体" w:cs="宋体"/>
          <w:spacing w:val="41"/>
        </w:rPr>
        <w:t xml:space="preserve"> </w:t>
      </w:r>
      <w:r>
        <w:rPr>
          <w:rFonts w:ascii="宋体" w:eastAsia="宋体" w:hAnsi="宋体" w:cs="宋体"/>
          <w:spacing w:val="21"/>
        </w:rPr>
        <w:t>缺乏率为</w:t>
      </w:r>
      <w:r>
        <w:rPr>
          <w:rFonts w:ascii="宋体" w:eastAsia="宋体" w:hAnsi="宋体" w:cs="宋体"/>
        </w:rPr>
        <w:t xml:space="preserve"> </w:t>
      </w:r>
      <w:r>
        <w:rPr>
          <w:rFonts w:ascii="宋体" w:eastAsia="宋体" w:hAnsi="宋体" w:cs="宋体"/>
          <w:spacing w:val="23"/>
        </w:rPr>
        <w:t>9.3%,其中，城市为3.0%,农村为11.2%;维生素A</w:t>
      </w:r>
      <w:r>
        <w:rPr>
          <w:rFonts w:ascii="宋体" w:eastAsia="宋体" w:hAnsi="宋体" w:cs="宋体"/>
          <w:spacing w:val="16"/>
        </w:rPr>
        <w:t xml:space="preserve"> </w:t>
      </w:r>
      <w:r>
        <w:rPr>
          <w:rFonts w:ascii="宋体" w:eastAsia="宋体" w:hAnsi="宋体" w:cs="宋体"/>
          <w:spacing w:val="23"/>
        </w:rPr>
        <w:t>边缘缺乏率为45.</w:t>
      </w:r>
      <w:r>
        <w:rPr>
          <w:rFonts w:ascii="宋体" w:eastAsia="宋体" w:hAnsi="宋体" w:cs="宋体"/>
          <w:spacing w:val="-61"/>
        </w:rPr>
        <w:t xml:space="preserve"> </w:t>
      </w:r>
      <w:r>
        <w:rPr>
          <w:rFonts w:ascii="宋体" w:eastAsia="宋体" w:hAnsi="宋体" w:cs="宋体"/>
          <w:spacing w:val="23"/>
        </w:rPr>
        <w:t>1%,</w:t>
      </w:r>
      <w:r>
        <w:rPr>
          <w:rFonts w:ascii="宋体" w:eastAsia="宋体" w:hAnsi="宋体" w:cs="宋体"/>
        </w:rPr>
        <w:t xml:space="preserve"> </w:t>
      </w:r>
      <w:r>
        <w:rPr>
          <w:rFonts w:ascii="宋体" w:eastAsia="宋体" w:hAnsi="宋体" w:cs="宋体"/>
          <w:spacing w:val="15"/>
        </w:rPr>
        <w:t>其中，城市为29.0%,农村为49.6%。</w:t>
      </w:r>
    </w:p>
    <w:p w:rsidR="00EA40A3" w:rsidRDefault="00EA40A3">
      <w:pPr>
        <w:spacing w:line="301" w:lineRule="auto"/>
      </w:pPr>
    </w:p>
    <w:p w:rsidR="00EA40A3" w:rsidRDefault="00E86C16">
      <w:pPr>
        <w:spacing w:before="58" w:line="221" w:lineRule="auto"/>
        <w:ind w:left="782"/>
        <w:rPr>
          <w:rFonts w:ascii="黑体" w:eastAsia="黑体" w:hAnsi="黑体" w:cs="黑体"/>
          <w:sz w:val="18"/>
          <w:szCs w:val="18"/>
        </w:rPr>
      </w:pPr>
      <w:r>
        <w:rPr>
          <w:rFonts w:ascii="黑体" w:eastAsia="黑体" w:hAnsi="黑体" w:cs="黑体"/>
          <w:b/>
          <w:bCs/>
          <w:spacing w:val="-1"/>
          <w:sz w:val="18"/>
          <w:szCs w:val="18"/>
        </w:rPr>
        <w:t>表12-8</w:t>
      </w:r>
      <w:r>
        <w:rPr>
          <w:rFonts w:ascii="黑体" w:eastAsia="黑体" w:hAnsi="黑体" w:cs="黑体"/>
          <w:spacing w:val="65"/>
          <w:sz w:val="18"/>
          <w:szCs w:val="18"/>
        </w:rPr>
        <w:t xml:space="preserve"> </w:t>
      </w:r>
      <w:r>
        <w:rPr>
          <w:rFonts w:ascii="黑体" w:eastAsia="黑体" w:hAnsi="黑体" w:cs="黑体"/>
          <w:b/>
          <w:bCs/>
          <w:spacing w:val="-1"/>
          <w:sz w:val="18"/>
          <w:szCs w:val="18"/>
        </w:rPr>
        <w:t>1982、1992、2002年全国城乡居民平均每标准人</w:t>
      </w:r>
      <w:r>
        <w:rPr>
          <w:rFonts w:ascii="黑体" w:eastAsia="黑体" w:hAnsi="黑体" w:cs="黑体"/>
          <w:b/>
          <w:bCs/>
          <w:spacing w:val="-2"/>
          <w:sz w:val="18"/>
          <w:szCs w:val="18"/>
        </w:rPr>
        <w:t>日营养素的摄入量</w:t>
      </w:r>
    </w:p>
    <w:p w:rsidR="00EA40A3" w:rsidRDefault="00EA40A3">
      <w:pPr>
        <w:spacing w:line="46" w:lineRule="exact"/>
      </w:pPr>
    </w:p>
    <w:tbl>
      <w:tblPr>
        <w:tblStyle w:val="TableNormal"/>
        <w:tblW w:w="7370" w:type="dxa"/>
        <w:tblInd w:w="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325"/>
        <w:gridCol w:w="1914"/>
        <w:gridCol w:w="1945"/>
        <w:gridCol w:w="1377"/>
        <w:gridCol w:w="809"/>
      </w:tblGrid>
      <w:tr w:rsidR="00EA40A3">
        <w:trPr>
          <w:trHeight w:val="634"/>
        </w:trPr>
        <w:tc>
          <w:tcPr>
            <w:tcW w:w="1325" w:type="dxa"/>
            <w:tcBorders>
              <w:top w:val="single" w:sz="4" w:space="0" w:color="000000"/>
              <w:bottom w:val="single" w:sz="4" w:space="0" w:color="000000"/>
              <w:right w:val="nil"/>
            </w:tcBorders>
          </w:tcPr>
          <w:p w:rsidR="00EA40A3" w:rsidRDefault="00E86C16">
            <w:pPr>
              <w:spacing w:before="232" w:line="220" w:lineRule="auto"/>
              <w:ind w:left="729"/>
              <w:rPr>
                <w:rFonts w:ascii="宋体" w:eastAsia="宋体" w:hAnsi="宋体" w:cs="宋体"/>
                <w:sz w:val="17"/>
                <w:szCs w:val="17"/>
              </w:rPr>
            </w:pPr>
            <w:r>
              <w:rPr>
                <w:rFonts w:ascii="宋体" w:eastAsia="宋体" w:hAnsi="宋体" w:cs="宋体"/>
                <w:spacing w:val="-5"/>
                <w:sz w:val="17"/>
                <w:szCs w:val="17"/>
              </w:rPr>
              <w:t>项 目</w:t>
            </w:r>
          </w:p>
        </w:tc>
        <w:tc>
          <w:tcPr>
            <w:tcW w:w="1914" w:type="dxa"/>
            <w:tcBorders>
              <w:top w:val="single" w:sz="4" w:space="0" w:color="000000"/>
              <w:left w:val="nil"/>
              <w:bottom w:val="single" w:sz="4" w:space="0" w:color="000000"/>
              <w:right w:val="nil"/>
            </w:tcBorders>
          </w:tcPr>
          <w:p w:rsidR="00EA40A3" w:rsidRDefault="00E86C16">
            <w:pPr>
              <w:spacing w:before="132" w:line="219" w:lineRule="auto"/>
              <w:ind w:left="664"/>
              <w:rPr>
                <w:rFonts w:ascii="宋体" w:eastAsia="宋体" w:hAnsi="宋体" w:cs="宋体"/>
                <w:sz w:val="17"/>
                <w:szCs w:val="17"/>
              </w:rPr>
            </w:pPr>
            <w:r>
              <w:rPr>
                <w:rFonts w:ascii="宋体" w:eastAsia="宋体" w:hAnsi="宋体" w:cs="宋体"/>
                <w:spacing w:val="-2"/>
                <w:sz w:val="17"/>
                <w:szCs w:val="17"/>
              </w:rPr>
              <w:t>城乡合计</w:t>
            </w:r>
          </w:p>
          <w:p w:rsidR="00EA40A3" w:rsidRDefault="00E86C16">
            <w:pPr>
              <w:spacing w:before="117" w:line="198" w:lineRule="auto"/>
              <w:ind w:left="105"/>
              <w:rPr>
                <w:rFonts w:ascii="宋体" w:eastAsia="宋体" w:hAnsi="宋体" w:cs="宋体"/>
                <w:sz w:val="17"/>
                <w:szCs w:val="17"/>
              </w:rPr>
            </w:pPr>
            <w:r>
              <w:rPr>
                <w:rFonts w:ascii="宋体" w:eastAsia="宋体" w:hAnsi="宋体" w:cs="宋体"/>
                <w:sz w:val="17"/>
                <w:szCs w:val="17"/>
              </w:rPr>
              <w:t>1982年1992年2002年</w:t>
            </w:r>
          </w:p>
        </w:tc>
        <w:tc>
          <w:tcPr>
            <w:tcW w:w="1945" w:type="dxa"/>
            <w:tcBorders>
              <w:top w:val="single" w:sz="4" w:space="0" w:color="000000"/>
              <w:left w:val="nil"/>
              <w:bottom w:val="single" w:sz="4" w:space="0" w:color="000000"/>
              <w:right w:val="nil"/>
            </w:tcBorders>
          </w:tcPr>
          <w:p w:rsidR="00EA40A3" w:rsidRDefault="00E86C16">
            <w:pPr>
              <w:spacing w:before="102" w:line="219" w:lineRule="auto"/>
              <w:ind w:left="880"/>
              <w:rPr>
                <w:rFonts w:ascii="宋体" w:eastAsia="宋体" w:hAnsi="宋体" w:cs="宋体"/>
                <w:sz w:val="17"/>
                <w:szCs w:val="17"/>
              </w:rPr>
            </w:pPr>
            <w:r>
              <w:rPr>
                <w:rFonts w:ascii="宋体" w:eastAsia="宋体" w:hAnsi="宋体" w:cs="宋体"/>
                <w:spacing w:val="-2"/>
                <w:sz w:val="17"/>
                <w:szCs w:val="17"/>
              </w:rPr>
              <w:t>城市</w:t>
            </w:r>
          </w:p>
          <w:p w:rsidR="00EA40A3" w:rsidRDefault="00E86C16">
            <w:pPr>
              <w:spacing w:before="137" w:line="209" w:lineRule="auto"/>
              <w:ind w:left="140"/>
              <w:rPr>
                <w:rFonts w:ascii="宋体" w:eastAsia="宋体" w:hAnsi="宋体" w:cs="宋体"/>
                <w:sz w:val="17"/>
                <w:szCs w:val="17"/>
              </w:rPr>
            </w:pPr>
            <w:r>
              <w:rPr>
                <w:rFonts w:ascii="宋体" w:eastAsia="宋体" w:hAnsi="宋体" w:cs="宋体"/>
                <w:sz w:val="17"/>
                <w:szCs w:val="17"/>
              </w:rPr>
              <w:t>1982年1992年2002年</w:t>
            </w:r>
          </w:p>
        </w:tc>
        <w:tc>
          <w:tcPr>
            <w:tcW w:w="2186" w:type="dxa"/>
            <w:gridSpan w:val="2"/>
            <w:tcBorders>
              <w:top w:val="single" w:sz="4" w:space="0" w:color="000000"/>
              <w:left w:val="nil"/>
              <w:bottom w:val="single" w:sz="4" w:space="0" w:color="000000"/>
            </w:tcBorders>
          </w:tcPr>
          <w:p w:rsidR="00EA40A3" w:rsidRDefault="00E86C16">
            <w:pPr>
              <w:spacing w:before="100" w:line="219" w:lineRule="auto"/>
              <w:ind w:left="905"/>
              <w:rPr>
                <w:rFonts w:ascii="宋体" w:eastAsia="宋体" w:hAnsi="宋体" w:cs="宋体"/>
                <w:sz w:val="17"/>
                <w:szCs w:val="17"/>
              </w:rPr>
            </w:pPr>
            <w:r>
              <w:rPr>
                <w:rFonts w:ascii="宋体" w:eastAsia="宋体" w:hAnsi="宋体" w:cs="宋体"/>
                <w:spacing w:val="-2"/>
                <w:sz w:val="17"/>
                <w:szCs w:val="17"/>
              </w:rPr>
              <w:t>农村</w:t>
            </w:r>
          </w:p>
          <w:p w:rsidR="00EA40A3" w:rsidRDefault="00E86C16">
            <w:pPr>
              <w:spacing w:before="109" w:line="219" w:lineRule="auto"/>
              <w:ind w:left="186"/>
              <w:rPr>
                <w:rFonts w:ascii="宋体" w:eastAsia="宋体" w:hAnsi="宋体" w:cs="宋体"/>
                <w:sz w:val="17"/>
                <w:szCs w:val="17"/>
              </w:rPr>
            </w:pPr>
            <w:r>
              <w:rPr>
                <w:rFonts w:ascii="宋体" w:eastAsia="宋体" w:hAnsi="宋体" w:cs="宋体"/>
                <w:sz w:val="17"/>
                <w:szCs w:val="17"/>
              </w:rPr>
              <w:t>1982年1992年2002年</w:t>
            </w:r>
          </w:p>
        </w:tc>
      </w:tr>
      <w:tr w:rsidR="00EA40A3">
        <w:trPr>
          <w:trHeight w:val="318"/>
        </w:trPr>
        <w:tc>
          <w:tcPr>
            <w:tcW w:w="7370" w:type="dxa"/>
            <w:gridSpan w:val="5"/>
            <w:tcBorders>
              <w:top w:val="single" w:sz="4" w:space="0" w:color="000000"/>
            </w:tcBorders>
          </w:tcPr>
          <w:p w:rsidR="00EA40A3" w:rsidRDefault="00E86C16">
            <w:pPr>
              <w:spacing w:before="68" w:line="221" w:lineRule="auto"/>
              <w:ind w:left="300"/>
              <w:rPr>
                <w:rFonts w:ascii="宋体" w:eastAsia="宋体" w:hAnsi="宋体" w:cs="宋体"/>
                <w:sz w:val="17"/>
                <w:szCs w:val="17"/>
              </w:rPr>
            </w:pPr>
            <w:r>
              <w:rPr>
                <w:rFonts w:ascii="宋体" w:eastAsia="宋体" w:hAnsi="宋体" w:cs="宋体"/>
                <w:spacing w:val="-1"/>
                <w:position w:val="1"/>
                <w:sz w:val="17"/>
                <w:szCs w:val="17"/>
              </w:rPr>
              <w:t>能量/kcal</w:t>
            </w:r>
            <w:r>
              <w:rPr>
                <w:rFonts w:ascii="宋体" w:eastAsia="宋体" w:hAnsi="宋体" w:cs="宋体"/>
                <w:spacing w:val="2"/>
                <w:position w:val="1"/>
                <w:sz w:val="17"/>
                <w:szCs w:val="17"/>
              </w:rPr>
              <w:t xml:space="preserve">    </w:t>
            </w:r>
            <w:r>
              <w:rPr>
                <w:rFonts w:ascii="宋体" w:eastAsia="宋体" w:hAnsi="宋体" w:cs="宋体"/>
                <w:spacing w:val="-1"/>
                <w:sz w:val="17"/>
                <w:szCs w:val="17"/>
              </w:rPr>
              <w:t>2491.3</w:t>
            </w:r>
            <w:r>
              <w:rPr>
                <w:rFonts w:ascii="宋体" w:eastAsia="宋体" w:hAnsi="宋体" w:cs="宋体"/>
                <w:spacing w:val="44"/>
                <w:sz w:val="17"/>
                <w:szCs w:val="17"/>
              </w:rPr>
              <w:t xml:space="preserve"> </w:t>
            </w:r>
            <w:r>
              <w:rPr>
                <w:rFonts w:ascii="宋体" w:eastAsia="宋体" w:hAnsi="宋体" w:cs="宋体"/>
                <w:spacing w:val="-1"/>
                <w:sz w:val="17"/>
                <w:szCs w:val="17"/>
              </w:rPr>
              <w:t>2328.3</w:t>
            </w:r>
            <w:r>
              <w:rPr>
                <w:rFonts w:ascii="宋体" w:eastAsia="宋体" w:hAnsi="宋体" w:cs="宋体"/>
                <w:spacing w:val="23"/>
                <w:sz w:val="17"/>
                <w:szCs w:val="17"/>
              </w:rPr>
              <w:t xml:space="preserve"> </w:t>
            </w:r>
            <w:r>
              <w:rPr>
                <w:rFonts w:ascii="宋体" w:eastAsia="宋体" w:hAnsi="宋体" w:cs="宋体"/>
                <w:spacing w:val="-1"/>
                <w:sz w:val="17"/>
                <w:szCs w:val="17"/>
              </w:rPr>
              <w:t>2253.5</w:t>
            </w:r>
            <w:r>
              <w:rPr>
                <w:rFonts w:ascii="宋体" w:eastAsia="宋体" w:hAnsi="宋体" w:cs="宋体"/>
                <w:spacing w:val="24"/>
                <w:sz w:val="17"/>
                <w:szCs w:val="17"/>
              </w:rPr>
              <w:t xml:space="preserve">  </w:t>
            </w:r>
            <w:r>
              <w:rPr>
                <w:rFonts w:ascii="宋体" w:eastAsia="宋体" w:hAnsi="宋体" w:cs="宋体"/>
                <w:spacing w:val="-1"/>
                <w:sz w:val="17"/>
                <w:szCs w:val="17"/>
              </w:rPr>
              <w:t>2450.0</w:t>
            </w:r>
            <w:r>
              <w:rPr>
                <w:rFonts w:ascii="宋体" w:eastAsia="宋体" w:hAnsi="宋体" w:cs="宋体"/>
                <w:spacing w:val="55"/>
                <w:sz w:val="17"/>
                <w:szCs w:val="17"/>
              </w:rPr>
              <w:t xml:space="preserve"> </w:t>
            </w:r>
            <w:r>
              <w:rPr>
                <w:rFonts w:ascii="宋体" w:eastAsia="宋体" w:hAnsi="宋体" w:cs="宋体"/>
                <w:spacing w:val="-1"/>
                <w:sz w:val="17"/>
                <w:szCs w:val="17"/>
              </w:rPr>
              <w:t>2394.6</w:t>
            </w:r>
            <w:r>
              <w:rPr>
                <w:rFonts w:ascii="宋体" w:eastAsia="宋体" w:hAnsi="宋体" w:cs="宋体"/>
                <w:spacing w:val="23"/>
                <w:sz w:val="17"/>
                <w:szCs w:val="17"/>
              </w:rPr>
              <w:t xml:space="preserve"> </w:t>
            </w:r>
            <w:r>
              <w:rPr>
                <w:rFonts w:ascii="宋体" w:eastAsia="宋体" w:hAnsi="宋体" w:cs="宋体"/>
                <w:spacing w:val="-1"/>
                <w:sz w:val="17"/>
                <w:szCs w:val="17"/>
              </w:rPr>
              <w:t>2137.5</w:t>
            </w:r>
            <w:r>
              <w:rPr>
                <w:rFonts w:ascii="宋体" w:eastAsia="宋体" w:hAnsi="宋体" w:cs="宋体"/>
                <w:spacing w:val="29"/>
                <w:sz w:val="17"/>
                <w:szCs w:val="17"/>
              </w:rPr>
              <w:t xml:space="preserve">  </w:t>
            </w:r>
            <w:r>
              <w:rPr>
                <w:rFonts w:ascii="宋体" w:eastAsia="宋体" w:hAnsi="宋体" w:cs="宋体"/>
                <w:spacing w:val="-1"/>
                <w:sz w:val="17"/>
                <w:szCs w:val="17"/>
              </w:rPr>
              <w:t>2509.0</w:t>
            </w:r>
            <w:r>
              <w:rPr>
                <w:rFonts w:ascii="宋体" w:eastAsia="宋体" w:hAnsi="宋体" w:cs="宋体"/>
                <w:spacing w:val="5"/>
                <w:sz w:val="17"/>
                <w:szCs w:val="17"/>
              </w:rPr>
              <w:t xml:space="preserve">  </w:t>
            </w:r>
            <w:r>
              <w:rPr>
                <w:rFonts w:ascii="宋体" w:eastAsia="宋体" w:hAnsi="宋体" w:cs="宋体"/>
                <w:spacing w:val="-1"/>
                <w:sz w:val="17"/>
                <w:szCs w:val="17"/>
              </w:rPr>
              <w:t>2294.0</w:t>
            </w:r>
            <w:r>
              <w:rPr>
                <w:rFonts w:ascii="宋体" w:eastAsia="宋体" w:hAnsi="宋体" w:cs="宋体"/>
                <w:spacing w:val="4"/>
                <w:sz w:val="17"/>
                <w:szCs w:val="17"/>
              </w:rPr>
              <w:t xml:space="preserve">  </w:t>
            </w:r>
            <w:r>
              <w:rPr>
                <w:rFonts w:ascii="宋体" w:eastAsia="宋体" w:hAnsi="宋体" w:cs="宋体"/>
                <w:spacing w:val="-1"/>
                <w:sz w:val="17"/>
                <w:szCs w:val="17"/>
              </w:rPr>
              <w:t>2297.9</w:t>
            </w:r>
          </w:p>
        </w:tc>
      </w:tr>
      <w:tr w:rsidR="00EA40A3">
        <w:trPr>
          <w:trHeight w:val="324"/>
        </w:trPr>
        <w:tc>
          <w:tcPr>
            <w:tcW w:w="1325" w:type="dxa"/>
          </w:tcPr>
          <w:p w:rsidR="00EA40A3" w:rsidRDefault="00E86C16">
            <w:pPr>
              <w:spacing w:before="78" w:line="218" w:lineRule="auto"/>
              <w:ind w:left="809"/>
              <w:rPr>
                <w:rFonts w:ascii="宋体" w:eastAsia="宋体" w:hAnsi="宋体" w:cs="宋体"/>
                <w:sz w:val="17"/>
                <w:szCs w:val="17"/>
              </w:rPr>
            </w:pPr>
            <w:r>
              <w:rPr>
                <w:rFonts w:ascii="宋体" w:eastAsia="宋体" w:hAnsi="宋体" w:cs="宋体"/>
                <w:spacing w:val="-2"/>
                <w:sz w:val="17"/>
                <w:szCs w:val="17"/>
              </w:rPr>
              <w:t>/kJ</w:t>
            </w:r>
          </w:p>
        </w:tc>
        <w:tc>
          <w:tcPr>
            <w:tcW w:w="1914" w:type="dxa"/>
          </w:tcPr>
          <w:p w:rsidR="00EA40A3" w:rsidRDefault="00E86C16">
            <w:pPr>
              <w:spacing w:before="122" w:line="184" w:lineRule="auto"/>
              <w:ind w:left="94"/>
              <w:rPr>
                <w:rFonts w:ascii="宋体" w:eastAsia="宋体" w:hAnsi="宋体" w:cs="宋体"/>
                <w:sz w:val="17"/>
                <w:szCs w:val="17"/>
              </w:rPr>
            </w:pPr>
            <w:r>
              <w:rPr>
                <w:rFonts w:ascii="宋体" w:eastAsia="宋体" w:hAnsi="宋体" w:cs="宋体"/>
                <w:spacing w:val="-1"/>
                <w:sz w:val="17"/>
                <w:szCs w:val="17"/>
              </w:rPr>
              <w:t>10423.59740.39428.8</w:t>
            </w:r>
          </w:p>
        </w:tc>
        <w:tc>
          <w:tcPr>
            <w:tcW w:w="1945" w:type="dxa"/>
          </w:tcPr>
          <w:p w:rsidR="00EA40A3" w:rsidRDefault="00E86C16">
            <w:pPr>
              <w:spacing w:before="122" w:line="184" w:lineRule="auto"/>
              <w:ind w:left="151"/>
              <w:rPr>
                <w:rFonts w:ascii="宋体" w:eastAsia="宋体" w:hAnsi="宋体" w:cs="宋体"/>
                <w:sz w:val="17"/>
                <w:szCs w:val="17"/>
              </w:rPr>
            </w:pPr>
            <w:r>
              <w:rPr>
                <w:rFonts w:ascii="宋体" w:eastAsia="宋体" w:hAnsi="宋体" w:cs="宋体"/>
                <w:spacing w:val="-1"/>
                <w:sz w:val="17"/>
                <w:szCs w:val="17"/>
              </w:rPr>
              <w:t>10250.810019.08943.2</w:t>
            </w:r>
          </w:p>
        </w:tc>
        <w:tc>
          <w:tcPr>
            <w:tcW w:w="1377" w:type="dxa"/>
          </w:tcPr>
          <w:p w:rsidR="00EA40A3" w:rsidRDefault="00E86C16">
            <w:pPr>
              <w:spacing w:before="122" w:line="184" w:lineRule="auto"/>
              <w:ind w:left="116"/>
              <w:rPr>
                <w:rFonts w:ascii="宋体" w:eastAsia="宋体" w:hAnsi="宋体" w:cs="宋体"/>
                <w:sz w:val="17"/>
                <w:szCs w:val="17"/>
              </w:rPr>
            </w:pPr>
            <w:r>
              <w:rPr>
                <w:rFonts w:ascii="宋体" w:eastAsia="宋体" w:hAnsi="宋体" w:cs="宋体"/>
                <w:spacing w:val="-2"/>
                <w:sz w:val="17"/>
                <w:szCs w:val="17"/>
              </w:rPr>
              <w:t>10497.79598.1</w:t>
            </w:r>
          </w:p>
        </w:tc>
        <w:tc>
          <w:tcPr>
            <w:tcW w:w="809" w:type="dxa"/>
          </w:tcPr>
          <w:p w:rsidR="00EA40A3" w:rsidRDefault="00E86C16">
            <w:pPr>
              <w:spacing w:before="122" w:line="184" w:lineRule="auto"/>
              <w:ind w:left="118"/>
              <w:rPr>
                <w:rFonts w:ascii="宋体" w:eastAsia="宋体" w:hAnsi="宋体" w:cs="宋体"/>
                <w:sz w:val="17"/>
                <w:szCs w:val="17"/>
              </w:rPr>
            </w:pPr>
            <w:r>
              <w:rPr>
                <w:rFonts w:ascii="宋体" w:eastAsia="宋体" w:hAnsi="宋体" w:cs="宋体"/>
                <w:spacing w:val="-2"/>
                <w:sz w:val="17"/>
                <w:szCs w:val="17"/>
              </w:rPr>
              <w:t>9614.2</w:t>
            </w:r>
          </w:p>
        </w:tc>
      </w:tr>
      <w:tr w:rsidR="00EA40A3">
        <w:trPr>
          <w:trHeight w:val="319"/>
        </w:trPr>
        <w:tc>
          <w:tcPr>
            <w:tcW w:w="1325" w:type="dxa"/>
          </w:tcPr>
          <w:p w:rsidR="00EA40A3" w:rsidRDefault="00E86C16">
            <w:pPr>
              <w:spacing w:before="80" w:line="214" w:lineRule="auto"/>
              <w:ind w:left="390"/>
              <w:rPr>
                <w:rFonts w:ascii="宋体" w:eastAsia="宋体" w:hAnsi="宋体" w:cs="宋体"/>
                <w:sz w:val="17"/>
                <w:szCs w:val="17"/>
              </w:rPr>
            </w:pPr>
            <w:r>
              <w:rPr>
                <w:rFonts w:ascii="宋体" w:eastAsia="宋体" w:hAnsi="宋体" w:cs="宋体"/>
                <w:spacing w:val="-3"/>
                <w:sz w:val="17"/>
                <w:szCs w:val="17"/>
              </w:rPr>
              <w:t>蛋白质/g</w:t>
            </w:r>
          </w:p>
        </w:tc>
        <w:tc>
          <w:tcPr>
            <w:tcW w:w="1914" w:type="dxa"/>
          </w:tcPr>
          <w:p w:rsidR="00EA40A3" w:rsidRDefault="00E86C16">
            <w:pPr>
              <w:spacing w:before="119" w:line="194" w:lineRule="auto"/>
              <w:ind w:left="125"/>
              <w:rPr>
                <w:rFonts w:ascii="宋体" w:eastAsia="宋体" w:hAnsi="宋体" w:cs="宋体"/>
                <w:sz w:val="17"/>
                <w:szCs w:val="17"/>
              </w:rPr>
            </w:pPr>
            <w:r>
              <w:rPr>
                <w:rFonts w:ascii="宋体" w:eastAsia="宋体" w:hAnsi="宋体" w:cs="宋体"/>
                <w:spacing w:val="-2"/>
                <w:position w:val="1"/>
                <w:sz w:val="17"/>
                <w:szCs w:val="17"/>
              </w:rPr>
              <w:t>66.7</w:t>
            </w:r>
            <w:r>
              <w:rPr>
                <w:rFonts w:ascii="宋体" w:eastAsia="宋体" w:hAnsi="宋体" w:cs="宋体"/>
                <w:spacing w:val="24"/>
                <w:position w:val="1"/>
                <w:sz w:val="17"/>
                <w:szCs w:val="17"/>
              </w:rPr>
              <w:t xml:space="preserve">   </w:t>
            </w:r>
            <w:r>
              <w:rPr>
                <w:rFonts w:ascii="宋体" w:eastAsia="宋体" w:hAnsi="宋体" w:cs="宋体"/>
                <w:spacing w:val="-2"/>
                <w:position w:val="-1"/>
                <w:sz w:val="17"/>
                <w:szCs w:val="17"/>
              </w:rPr>
              <w:t>68.0</w:t>
            </w:r>
            <w:r>
              <w:rPr>
                <w:rFonts w:ascii="宋体" w:eastAsia="宋体" w:hAnsi="宋体" w:cs="宋体"/>
                <w:spacing w:val="18"/>
                <w:position w:val="-1"/>
                <w:sz w:val="17"/>
                <w:szCs w:val="17"/>
              </w:rPr>
              <w:t xml:space="preserve">   </w:t>
            </w:r>
            <w:r>
              <w:rPr>
                <w:rFonts w:ascii="宋体" w:eastAsia="宋体" w:hAnsi="宋体" w:cs="宋体"/>
                <w:spacing w:val="-2"/>
                <w:sz w:val="17"/>
                <w:szCs w:val="17"/>
              </w:rPr>
              <w:t>66.1</w:t>
            </w:r>
          </w:p>
        </w:tc>
        <w:tc>
          <w:tcPr>
            <w:tcW w:w="1945" w:type="dxa"/>
          </w:tcPr>
          <w:p w:rsidR="00EA40A3" w:rsidRDefault="00E86C16">
            <w:pPr>
              <w:spacing w:before="118" w:line="184" w:lineRule="auto"/>
              <w:ind w:left="261"/>
              <w:rPr>
                <w:rFonts w:ascii="宋体" w:eastAsia="宋体" w:hAnsi="宋体" w:cs="宋体"/>
                <w:sz w:val="17"/>
                <w:szCs w:val="17"/>
              </w:rPr>
            </w:pPr>
            <w:r>
              <w:rPr>
                <w:rFonts w:ascii="宋体" w:eastAsia="宋体" w:hAnsi="宋体" w:cs="宋体"/>
                <w:spacing w:val="-3"/>
                <w:sz w:val="17"/>
                <w:szCs w:val="17"/>
              </w:rPr>
              <w:t>66.8</w:t>
            </w:r>
            <w:r>
              <w:rPr>
                <w:rFonts w:ascii="宋体" w:eastAsia="宋体" w:hAnsi="宋体" w:cs="宋体"/>
                <w:spacing w:val="44"/>
                <w:sz w:val="17"/>
                <w:szCs w:val="17"/>
              </w:rPr>
              <w:t xml:space="preserve">  </w:t>
            </w:r>
            <w:r>
              <w:rPr>
                <w:rFonts w:ascii="宋体" w:eastAsia="宋体" w:hAnsi="宋体" w:cs="宋体"/>
                <w:spacing w:val="-3"/>
                <w:sz w:val="17"/>
                <w:szCs w:val="17"/>
              </w:rPr>
              <w:t>75.1</w:t>
            </w:r>
            <w:r>
              <w:rPr>
                <w:rFonts w:ascii="宋体" w:eastAsia="宋体" w:hAnsi="宋体" w:cs="宋体"/>
                <w:spacing w:val="11"/>
                <w:sz w:val="17"/>
                <w:szCs w:val="17"/>
              </w:rPr>
              <w:t xml:space="preserve">   </w:t>
            </w:r>
            <w:r>
              <w:rPr>
                <w:rFonts w:ascii="宋体" w:eastAsia="宋体" w:hAnsi="宋体" w:cs="宋体"/>
                <w:spacing w:val="-3"/>
                <w:sz w:val="17"/>
                <w:szCs w:val="17"/>
              </w:rPr>
              <w:t>69.1</w:t>
            </w:r>
          </w:p>
        </w:tc>
        <w:tc>
          <w:tcPr>
            <w:tcW w:w="1377" w:type="dxa"/>
          </w:tcPr>
          <w:p w:rsidR="00EA40A3" w:rsidRDefault="00E86C16">
            <w:pPr>
              <w:spacing w:before="119" w:line="194" w:lineRule="auto"/>
              <w:ind w:left="246"/>
              <w:rPr>
                <w:rFonts w:ascii="宋体" w:eastAsia="宋体" w:hAnsi="宋体" w:cs="宋体"/>
                <w:sz w:val="17"/>
                <w:szCs w:val="17"/>
              </w:rPr>
            </w:pPr>
            <w:r>
              <w:rPr>
                <w:rFonts w:ascii="宋体" w:eastAsia="宋体" w:hAnsi="宋体" w:cs="宋体"/>
                <w:spacing w:val="-2"/>
                <w:position w:val="-1"/>
                <w:sz w:val="17"/>
                <w:szCs w:val="17"/>
              </w:rPr>
              <w:t>66.6</w:t>
            </w:r>
            <w:r>
              <w:rPr>
                <w:rFonts w:ascii="宋体" w:eastAsia="宋体" w:hAnsi="宋体" w:cs="宋体"/>
                <w:spacing w:val="11"/>
                <w:position w:val="-1"/>
                <w:sz w:val="17"/>
                <w:szCs w:val="17"/>
              </w:rPr>
              <w:t xml:space="preserve">   </w:t>
            </w:r>
            <w:r>
              <w:rPr>
                <w:rFonts w:ascii="宋体" w:eastAsia="宋体" w:hAnsi="宋体" w:cs="宋体"/>
                <w:spacing w:val="-2"/>
                <w:position w:val="1"/>
                <w:sz w:val="17"/>
                <w:szCs w:val="17"/>
              </w:rPr>
              <w:t>64.3</w:t>
            </w:r>
          </w:p>
        </w:tc>
        <w:tc>
          <w:tcPr>
            <w:tcW w:w="809" w:type="dxa"/>
          </w:tcPr>
          <w:p w:rsidR="00EA40A3" w:rsidRDefault="00E86C16">
            <w:pPr>
              <w:spacing w:before="149" w:line="183" w:lineRule="auto"/>
              <w:ind w:left="118"/>
              <w:rPr>
                <w:rFonts w:ascii="宋体" w:eastAsia="宋体" w:hAnsi="宋体" w:cs="宋体"/>
                <w:sz w:val="17"/>
                <w:szCs w:val="17"/>
              </w:rPr>
            </w:pPr>
            <w:r>
              <w:rPr>
                <w:rFonts w:ascii="宋体" w:eastAsia="宋体" w:hAnsi="宋体" w:cs="宋体"/>
                <w:spacing w:val="-2"/>
                <w:sz w:val="17"/>
                <w:szCs w:val="17"/>
              </w:rPr>
              <w:t>64.9</w:t>
            </w:r>
          </w:p>
        </w:tc>
      </w:tr>
      <w:tr w:rsidR="00EA40A3">
        <w:trPr>
          <w:trHeight w:val="303"/>
        </w:trPr>
        <w:tc>
          <w:tcPr>
            <w:tcW w:w="1325" w:type="dxa"/>
          </w:tcPr>
          <w:p w:rsidR="00EA40A3" w:rsidRDefault="00E86C16">
            <w:pPr>
              <w:spacing w:before="51" w:line="214" w:lineRule="auto"/>
              <w:ind w:left="459"/>
              <w:rPr>
                <w:rFonts w:ascii="宋体" w:eastAsia="宋体" w:hAnsi="宋体" w:cs="宋体"/>
                <w:sz w:val="17"/>
                <w:szCs w:val="17"/>
              </w:rPr>
            </w:pPr>
            <w:r>
              <w:rPr>
                <w:rFonts w:ascii="宋体" w:eastAsia="宋体" w:hAnsi="宋体" w:cs="宋体"/>
                <w:spacing w:val="-2"/>
                <w:sz w:val="17"/>
                <w:szCs w:val="17"/>
              </w:rPr>
              <w:t>脂肪/g</w:t>
            </w:r>
          </w:p>
        </w:tc>
        <w:tc>
          <w:tcPr>
            <w:tcW w:w="1914" w:type="dxa"/>
          </w:tcPr>
          <w:p w:rsidR="00EA40A3" w:rsidRDefault="00E86C16">
            <w:pPr>
              <w:spacing w:before="99" w:line="195" w:lineRule="auto"/>
              <w:ind w:left="125"/>
              <w:rPr>
                <w:rFonts w:ascii="宋体" w:eastAsia="宋体" w:hAnsi="宋体" w:cs="宋体"/>
                <w:sz w:val="17"/>
                <w:szCs w:val="17"/>
              </w:rPr>
            </w:pPr>
            <w:r>
              <w:rPr>
                <w:rFonts w:ascii="宋体" w:eastAsia="宋体" w:hAnsi="宋体" w:cs="宋体"/>
                <w:spacing w:val="-3"/>
                <w:position w:val="1"/>
                <w:sz w:val="17"/>
                <w:szCs w:val="17"/>
              </w:rPr>
              <w:t>48.1</w:t>
            </w:r>
            <w:r>
              <w:rPr>
                <w:rFonts w:ascii="宋体" w:eastAsia="宋体" w:hAnsi="宋体" w:cs="宋体"/>
                <w:spacing w:val="27"/>
                <w:position w:val="1"/>
                <w:sz w:val="17"/>
                <w:szCs w:val="17"/>
              </w:rPr>
              <w:t xml:space="preserve">   </w:t>
            </w:r>
            <w:r>
              <w:rPr>
                <w:rFonts w:ascii="宋体" w:eastAsia="宋体" w:hAnsi="宋体" w:cs="宋体"/>
                <w:spacing w:val="-3"/>
                <w:position w:val="-1"/>
                <w:sz w:val="17"/>
                <w:szCs w:val="17"/>
              </w:rPr>
              <w:t>58.3</w:t>
            </w:r>
            <w:r>
              <w:rPr>
                <w:rFonts w:ascii="宋体" w:eastAsia="宋体" w:hAnsi="宋体" w:cs="宋体"/>
                <w:spacing w:val="18"/>
                <w:position w:val="-1"/>
                <w:sz w:val="17"/>
                <w:szCs w:val="17"/>
              </w:rPr>
              <w:t xml:space="preserve">   </w:t>
            </w:r>
            <w:r>
              <w:rPr>
                <w:rFonts w:ascii="宋体" w:eastAsia="宋体" w:hAnsi="宋体" w:cs="宋体"/>
                <w:spacing w:val="-3"/>
                <w:sz w:val="17"/>
                <w:szCs w:val="17"/>
              </w:rPr>
              <w:t>76.2</w:t>
            </w:r>
          </w:p>
        </w:tc>
        <w:tc>
          <w:tcPr>
            <w:tcW w:w="1945" w:type="dxa"/>
          </w:tcPr>
          <w:p w:rsidR="00EA40A3" w:rsidRDefault="00E86C16">
            <w:pPr>
              <w:spacing w:before="120" w:line="194" w:lineRule="auto"/>
              <w:ind w:left="261"/>
              <w:rPr>
                <w:rFonts w:ascii="宋体" w:eastAsia="宋体" w:hAnsi="宋体" w:cs="宋体"/>
                <w:sz w:val="17"/>
                <w:szCs w:val="17"/>
              </w:rPr>
            </w:pPr>
            <w:r>
              <w:rPr>
                <w:rFonts w:ascii="宋体" w:eastAsia="宋体" w:hAnsi="宋体" w:cs="宋体"/>
                <w:spacing w:val="-3"/>
                <w:sz w:val="17"/>
                <w:szCs w:val="17"/>
              </w:rPr>
              <w:t>68.3</w:t>
            </w:r>
            <w:r>
              <w:rPr>
                <w:rFonts w:ascii="宋体" w:eastAsia="宋体" w:hAnsi="宋体" w:cs="宋体"/>
                <w:spacing w:val="44"/>
                <w:sz w:val="17"/>
                <w:szCs w:val="17"/>
              </w:rPr>
              <w:t xml:space="preserve">  </w:t>
            </w:r>
            <w:r>
              <w:rPr>
                <w:rFonts w:ascii="宋体" w:eastAsia="宋体" w:hAnsi="宋体" w:cs="宋体"/>
                <w:spacing w:val="-3"/>
                <w:sz w:val="17"/>
                <w:szCs w:val="17"/>
              </w:rPr>
              <w:t>77.7</w:t>
            </w:r>
            <w:r>
              <w:rPr>
                <w:rFonts w:ascii="宋体" w:eastAsia="宋体" w:hAnsi="宋体" w:cs="宋体"/>
                <w:spacing w:val="18"/>
                <w:sz w:val="17"/>
                <w:szCs w:val="17"/>
              </w:rPr>
              <w:t xml:space="preserve">   </w:t>
            </w:r>
            <w:r>
              <w:rPr>
                <w:rFonts w:ascii="宋体" w:eastAsia="宋体" w:hAnsi="宋体" w:cs="宋体"/>
                <w:spacing w:val="-3"/>
                <w:sz w:val="17"/>
                <w:szCs w:val="17"/>
              </w:rPr>
              <w:t>85.6</w:t>
            </w:r>
          </w:p>
        </w:tc>
        <w:tc>
          <w:tcPr>
            <w:tcW w:w="1377" w:type="dxa"/>
          </w:tcPr>
          <w:p w:rsidR="00EA40A3" w:rsidRDefault="00E86C16">
            <w:pPr>
              <w:spacing w:before="140" w:line="176" w:lineRule="auto"/>
              <w:ind w:left="246"/>
              <w:rPr>
                <w:rFonts w:ascii="宋体" w:eastAsia="宋体" w:hAnsi="宋体" w:cs="宋体"/>
                <w:sz w:val="17"/>
                <w:szCs w:val="17"/>
              </w:rPr>
            </w:pPr>
            <w:r>
              <w:rPr>
                <w:rFonts w:ascii="宋体" w:eastAsia="宋体" w:hAnsi="宋体" w:cs="宋体"/>
                <w:spacing w:val="-2"/>
                <w:sz w:val="17"/>
                <w:szCs w:val="17"/>
              </w:rPr>
              <w:t>39.6</w:t>
            </w:r>
            <w:r>
              <w:rPr>
                <w:rFonts w:ascii="宋体" w:eastAsia="宋体" w:hAnsi="宋体" w:cs="宋体"/>
                <w:spacing w:val="11"/>
                <w:sz w:val="17"/>
                <w:szCs w:val="17"/>
              </w:rPr>
              <w:t xml:space="preserve">   </w:t>
            </w:r>
            <w:r>
              <w:rPr>
                <w:rFonts w:ascii="宋体" w:eastAsia="宋体" w:hAnsi="宋体" w:cs="宋体"/>
                <w:spacing w:val="-2"/>
                <w:sz w:val="17"/>
                <w:szCs w:val="17"/>
              </w:rPr>
              <w:t>48.3</w:t>
            </w:r>
          </w:p>
        </w:tc>
        <w:tc>
          <w:tcPr>
            <w:tcW w:w="809" w:type="dxa"/>
          </w:tcPr>
          <w:p w:rsidR="00EA40A3" w:rsidRDefault="00E86C16">
            <w:pPr>
              <w:spacing w:before="130" w:line="183" w:lineRule="auto"/>
              <w:ind w:left="118"/>
              <w:rPr>
                <w:rFonts w:ascii="宋体" w:eastAsia="宋体" w:hAnsi="宋体" w:cs="宋体"/>
                <w:sz w:val="17"/>
                <w:szCs w:val="17"/>
              </w:rPr>
            </w:pPr>
            <w:r>
              <w:rPr>
                <w:rFonts w:ascii="宋体" w:eastAsia="宋体" w:hAnsi="宋体" w:cs="宋体"/>
                <w:spacing w:val="-3"/>
                <w:sz w:val="17"/>
                <w:szCs w:val="17"/>
              </w:rPr>
              <w:t>72.6</w:t>
            </w:r>
          </w:p>
        </w:tc>
      </w:tr>
      <w:tr w:rsidR="00EA40A3">
        <w:trPr>
          <w:trHeight w:val="295"/>
        </w:trPr>
        <w:tc>
          <w:tcPr>
            <w:tcW w:w="1325" w:type="dxa"/>
          </w:tcPr>
          <w:p w:rsidR="00EA40A3" w:rsidRDefault="00E86C16">
            <w:pPr>
              <w:spacing w:before="48" w:line="214" w:lineRule="auto"/>
              <w:ind w:left="219"/>
              <w:rPr>
                <w:rFonts w:ascii="宋体" w:eastAsia="宋体" w:hAnsi="宋体" w:cs="宋体"/>
                <w:sz w:val="17"/>
                <w:szCs w:val="17"/>
              </w:rPr>
            </w:pPr>
            <w:r>
              <w:rPr>
                <w:rFonts w:ascii="宋体" w:eastAsia="宋体" w:hAnsi="宋体" w:cs="宋体"/>
                <w:spacing w:val="-1"/>
                <w:sz w:val="17"/>
                <w:szCs w:val="17"/>
              </w:rPr>
              <w:t>膳食纤维/g</w:t>
            </w:r>
          </w:p>
        </w:tc>
        <w:tc>
          <w:tcPr>
            <w:tcW w:w="1914" w:type="dxa"/>
          </w:tcPr>
          <w:p w:rsidR="00EA40A3" w:rsidRDefault="00E86C16">
            <w:pPr>
              <w:spacing w:before="97" w:line="193" w:lineRule="auto"/>
              <w:ind w:left="164"/>
              <w:rPr>
                <w:rFonts w:ascii="宋体" w:eastAsia="宋体" w:hAnsi="宋体" w:cs="宋体"/>
                <w:sz w:val="17"/>
                <w:szCs w:val="17"/>
              </w:rPr>
            </w:pPr>
            <w:r>
              <w:rPr>
                <w:rFonts w:ascii="宋体" w:eastAsia="宋体" w:hAnsi="宋体" w:cs="宋体"/>
                <w:spacing w:val="-4"/>
                <w:position w:val="2"/>
                <w:sz w:val="17"/>
                <w:szCs w:val="17"/>
              </w:rPr>
              <w:t>8.1</w:t>
            </w:r>
            <w:r>
              <w:rPr>
                <w:rFonts w:ascii="宋体" w:eastAsia="宋体" w:hAnsi="宋体" w:cs="宋体"/>
                <w:spacing w:val="8"/>
                <w:position w:val="2"/>
                <w:sz w:val="17"/>
                <w:szCs w:val="17"/>
              </w:rPr>
              <w:t xml:space="preserve">    </w:t>
            </w:r>
            <w:r>
              <w:rPr>
                <w:rFonts w:ascii="宋体" w:eastAsia="宋体" w:hAnsi="宋体" w:cs="宋体"/>
                <w:spacing w:val="-4"/>
                <w:sz w:val="17"/>
                <w:szCs w:val="17"/>
              </w:rPr>
              <w:t>13.3</w:t>
            </w:r>
            <w:r>
              <w:rPr>
                <w:rFonts w:ascii="宋体" w:eastAsia="宋体" w:hAnsi="宋体" w:cs="宋体"/>
                <w:spacing w:val="18"/>
                <w:sz w:val="17"/>
                <w:szCs w:val="17"/>
              </w:rPr>
              <w:t xml:space="preserve">   </w:t>
            </w:r>
            <w:r>
              <w:rPr>
                <w:rFonts w:ascii="宋体" w:eastAsia="宋体" w:hAnsi="宋体" w:cs="宋体"/>
                <w:spacing w:val="-4"/>
                <w:sz w:val="17"/>
                <w:szCs w:val="17"/>
              </w:rPr>
              <w:t>12.0</w:t>
            </w:r>
          </w:p>
        </w:tc>
        <w:tc>
          <w:tcPr>
            <w:tcW w:w="1945" w:type="dxa"/>
          </w:tcPr>
          <w:p w:rsidR="00EA40A3" w:rsidRDefault="00E86C16">
            <w:pPr>
              <w:spacing w:before="88" w:line="224" w:lineRule="auto"/>
              <w:ind w:left="250"/>
              <w:rPr>
                <w:rFonts w:ascii="宋体" w:eastAsia="宋体" w:hAnsi="宋体" w:cs="宋体"/>
                <w:sz w:val="17"/>
                <w:szCs w:val="17"/>
              </w:rPr>
            </w:pPr>
            <w:r>
              <w:rPr>
                <w:rFonts w:ascii="宋体" w:eastAsia="宋体" w:hAnsi="宋体" w:cs="宋体"/>
                <w:spacing w:val="-5"/>
                <w:sz w:val="17"/>
                <w:szCs w:val="17"/>
              </w:rPr>
              <w:t>6.8</w:t>
            </w:r>
            <w:r>
              <w:rPr>
                <w:rFonts w:ascii="宋体" w:eastAsia="宋体" w:hAnsi="宋体" w:cs="宋体"/>
                <w:spacing w:val="2"/>
                <w:sz w:val="17"/>
                <w:szCs w:val="17"/>
              </w:rPr>
              <w:t xml:space="preserve">    </w:t>
            </w:r>
            <w:r>
              <w:rPr>
                <w:rFonts w:ascii="宋体" w:eastAsia="宋体" w:hAnsi="宋体" w:cs="宋体"/>
                <w:spacing w:val="-5"/>
                <w:sz w:val="17"/>
                <w:szCs w:val="17"/>
              </w:rPr>
              <w:t>11.6</w:t>
            </w:r>
            <w:r>
              <w:rPr>
                <w:rFonts w:ascii="宋体" w:eastAsia="宋体" w:hAnsi="宋体" w:cs="宋体"/>
                <w:spacing w:val="25"/>
                <w:sz w:val="17"/>
                <w:szCs w:val="17"/>
              </w:rPr>
              <w:t xml:space="preserve">   </w:t>
            </w:r>
            <w:r>
              <w:rPr>
                <w:rFonts w:ascii="宋体" w:eastAsia="宋体" w:hAnsi="宋体" w:cs="宋体"/>
                <w:spacing w:val="-5"/>
                <w:sz w:val="17"/>
                <w:szCs w:val="17"/>
              </w:rPr>
              <w:t>1].2</w:t>
            </w:r>
          </w:p>
        </w:tc>
        <w:tc>
          <w:tcPr>
            <w:tcW w:w="1377" w:type="dxa"/>
          </w:tcPr>
          <w:p w:rsidR="00EA40A3" w:rsidRDefault="00E86C16">
            <w:pPr>
              <w:spacing w:before="127" w:line="182" w:lineRule="auto"/>
              <w:ind w:left="325"/>
              <w:rPr>
                <w:rFonts w:ascii="宋体" w:eastAsia="宋体" w:hAnsi="宋体" w:cs="宋体"/>
                <w:sz w:val="17"/>
                <w:szCs w:val="17"/>
              </w:rPr>
            </w:pPr>
            <w:r>
              <w:rPr>
                <w:rFonts w:ascii="宋体" w:eastAsia="宋体" w:hAnsi="宋体" w:cs="宋体"/>
                <w:spacing w:val="-4"/>
                <w:sz w:val="17"/>
                <w:szCs w:val="17"/>
              </w:rPr>
              <w:t>8.7</w:t>
            </w:r>
            <w:r>
              <w:rPr>
                <w:rFonts w:ascii="宋体" w:eastAsia="宋体" w:hAnsi="宋体" w:cs="宋体"/>
                <w:spacing w:val="14"/>
                <w:sz w:val="17"/>
                <w:szCs w:val="17"/>
              </w:rPr>
              <w:t xml:space="preserve">   </w:t>
            </w:r>
            <w:r>
              <w:rPr>
                <w:rFonts w:ascii="宋体" w:eastAsia="宋体" w:hAnsi="宋体" w:cs="宋体"/>
                <w:spacing w:val="-4"/>
                <w:sz w:val="17"/>
                <w:szCs w:val="17"/>
              </w:rPr>
              <w:t>14.1</w:t>
            </w:r>
          </w:p>
        </w:tc>
        <w:tc>
          <w:tcPr>
            <w:tcW w:w="809" w:type="dxa"/>
          </w:tcPr>
          <w:p w:rsidR="00EA40A3" w:rsidRDefault="00E86C16">
            <w:pPr>
              <w:spacing w:before="116" w:line="184" w:lineRule="auto"/>
              <w:ind w:left="118"/>
              <w:rPr>
                <w:rFonts w:ascii="宋体" w:eastAsia="宋体" w:hAnsi="宋体" w:cs="宋体"/>
                <w:sz w:val="17"/>
                <w:szCs w:val="17"/>
              </w:rPr>
            </w:pPr>
            <w:r>
              <w:rPr>
                <w:rFonts w:ascii="宋体" w:eastAsia="宋体" w:hAnsi="宋体" w:cs="宋体"/>
                <w:spacing w:val="-4"/>
                <w:sz w:val="17"/>
                <w:szCs w:val="17"/>
              </w:rPr>
              <w:t>12.4</w:t>
            </w:r>
          </w:p>
        </w:tc>
      </w:tr>
      <w:tr w:rsidR="00EA40A3">
        <w:trPr>
          <w:trHeight w:val="324"/>
        </w:trPr>
        <w:tc>
          <w:tcPr>
            <w:tcW w:w="1325" w:type="dxa"/>
          </w:tcPr>
          <w:p w:rsidR="00EA40A3" w:rsidRDefault="00E86C16">
            <w:pPr>
              <w:spacing w:before="53" w:line="214" w:lineRule="auto"/>
              <w:ind w:left="170"/>
              <w:rPr>
                <w:rFonts w:ascii="宋体" w:eastAsia="宋体" w:hAnsi="宋体" w:cs="宋体"/>
                <w:sz w:val="17"/>
                <w:szCs w:val="17"/>
              </w:rPr>
            </w:pPr>
            <w:r>
              <w:rPr>
                <w:rFonts w:ascii="宋体" w:eastAsia="宋体" w:hAnsi="宋体" w:cs="宋体"/>
                <w:spacing w:val="-9"/>
                <w:sz w:val="17"/>
                <w:szCs w:val="17"/>
              </w:rPr>
              <w:t>视黄醇当量/μg</w:t>
            </w:r>
          </w:p>
        </w:tc>
        <w:tc>
          <w:tcPr>
            <w:tcW w:w="1914" w:type="dxa"/>
          </w:tcPr>
          <w:p w:rsidR="00EA40A3" w:rsidRDefault="00E86C16">
            <w:pPr>
              <w:spacing w:before="121" w:line="195" w:lineRule="auto"/>
              <w:ind w:left="85"/>
              <w:rPr>
                <w:rFonts w:ascii="宋体" w:eastAsia="宋体" w:hAnsi="宋体" w:cs="宋体"/>
                <w:sz w:val="17"/>
                <w:szCs w:val="17"/>
              </w:rPr>
            </w:pPr>
            <w:r>
              <w:rPr>
                <w:rFonts w:ascii="宋体" w:eastAsia="宋体" w:hAnsi="宋体" w:cs="宋体"/>
                <w:spacing w:val="-2"/>
                <w:sz w:val="17"/>
                <w:szCs w:val="17"/>
              </w:rPr>
              <w:t>119.5</w:t>
            </w:r>
            <w:r>
              <w:rPr>
                <w:rFonts w:ascii="宋体" w:eastAsia="宋体" w:hAnsi="宋体" w:cs="宋体"/>
                <w:spacing w:val="42"/>
                <w:sz w:val="17"/>
                <w:szCs w:val="17"/>
              </w:rPr>
              <w:t xml:space="preserve">  </w:t>
            </w:r>
            <w:r>
              <w:rPr>
                <w:rFonts w:ascii="宋体" w:eastAsia="宋体" w:hAnsi="宋体" w:cs="宋体"/>
                <w:spacing w:val="-2"/>
                <w:sz w:val="17"/>
                <w:szCs w:val="17"/>
              </w:rPr>
              <w:t>476.0</w:t>
            </w:r>
            <w:r>
              <w:rPr>
                <w:rFonts w:ascii="宋体" w:eastAsia="宋体" w:hAnsi="宋体" w:cs="宋体"/>
                <w:spacing w:val="40"/>
                <w:sz w:val="17"/>
                <w:szCs w:val="17"/>
              </w:rPr>
              <w:t xml:space="preserve">  </w:t>
            </w:r>
            <w:r>
              <w:rPr>
                <w:rFonts w:ascii="宋体" w:eastAsia="宋体" w:hAnsi="宋体" w:cs="宋体"/>
                <w:spacing w:val="-2"/>
                <w:sz w:val="17"/>
                <w:szCs w:val="17"/>
              </w:rPr>
              <w:t>478.8</w:t>
            </w:r>
          </w:p>
        </w:tc>
        <w:tc>
          <w:tcPr>
            <w:tcW w:w="1945" w:type="dxa"/>
          </w:tcPr>
          <w:p w:rsidR="00EA40A3" w:rsidRDefault="00E86C16">
            <w:pPr>
              <w:spacing w:before="121" w:line="195" w:lineRule="auto"/>
              <w:ind w:left="171"/>
              <w:rPr>
                <w:rFonts w:ascii="宋体" w:eastAsia="宋体" w:hAnsi="宋体" w:cs="宋体"/>
                <w:sz w:val="17"/>
                <w:szCs w:val="17"/>
              </w:rPr>
            </w:pPr>
            <w:r>
              <w:rPr>
                <w:rFonts w:ascii="宋体" w:eastAsia="宋体" w:hAnsi="宋体" w:cs="宋体"/>
                <w:spacing w:val="-3"/>
                <w:position w:val="1"/>
                <w:sz w:val="17"/>
                <w:szCs w:val="17"/>
              </w:rPr>
              <w:t>147.3</w:t>
            </w:r>
            <w:r>
              <w:rPr>
                <w:rFonts w:ascii="宋体" w:eastAsia="宋体" w:hAnsi="宋体" w:cs="宋体"/>
                <w:spacing w:val="31"/>
                <w:position w:val="1"/>
                <w:sz w:val="17"/>
                <w:szCs w:val="17"/>
              </w:rPr>
              <w:t xml:space="preserve">  </w:t>
            </w:r>
            <w:r>
              <w:rPr>
                <w:rFonts w:ascii="宋体" w:eastAsia="宋体" w:hAnsi="宋体" w:cs="宋体"/>
                <w:spacing w:val="-3"/>
                <w:sz w:val="17"/>
                <w:szCs w:val="17"/>
              </w:rPr>
              <w:t>605.5</w:t>
            </w:r>
            <w:r>
              <w:rPr>
                <w:rFonts w:ascii="宋体" w:eastAsia="宋体" w:hAnsi="宋体" w:cs="宋体"/>
                <w:spacing w:val="36"/>
                <w:w w:val="101"/>
                <w:sz w:val="17"/>
                <w:szCs w:val="17"/>
              </w:rPr>
              <w:t xml:space="preserve">  </w:t>
            </w:r>
            <w:r>
              <w:rPr>
                <w:rFonts w:ascii="宋体" w:eastAsia="宋体" w:hAnsi="宋体" w:cs="宋体"/>
                <w:spacing w:val="-3"/>
                <w:sz w:val="17"/>
                <w:szCs w:val="17"/>
              </w:rPr>
              <w:t>552.8</w:t>
            </w:r>
          </w:p>
        </w:tc>
        <w:tc>
          <w:tcPr>
            <w:tcW w:w="1377" w:type="dxa"/>
          </w:tcPr>
          <w:p w:rsidR="00EA40A3" w:rsidRDefault="00E86C16">
            <w:pPr>
              <w:spacing w:before="141" w:line="195" w:lineRule="auto"/>
              <w:ind w:left="155"/>
              <w:rPr>
                <w:rFonts w:ascii="宋体" w:eastAsia="宋体" w:hAnsi="宋体" w:cs="宋体"/>
                <w:sz w:val="17"/>
                <w:szCs w:val="17"/>
              </w:rPr>
            </w:pPr>
            <w:r>
              <w:rPr>
                <w:rFonts w:ascii="宋体" w:eastAsia="宋体" w:hAnsi="宋体" w:cs="宋体"/>
                <w:spacing w:val="-3"/>
                <w:sz w:val="17"/>
                <w:szCs w:val="17"/>
              </w:rPr>
              <w:t>107.8</w:t>
            </w:r>
            <w:r>
              <w:rPr>
                <w:rFonts w:ascii="宋体" w:eastAsia="宋体" w:hAnsi="宋体" w:cs="宋体"/>
                <w:spacing w:val="44"/>
                <w:sz w:val="17"/>
                <w:szCs w:val="17"/>
              </w:rPr>
              <w:t xml:space="preserve">  </w:t>
            </w:r>
            <w:r>
              <w:rPr>
                <w:rFonts w:ascii="宋体" w:eastAsia="宋体" w:hAnsi="宋体" w:cs="宋体"/>
                <w:spacing w:val="-3"/>
                <w:sz w:val="17"/>
                <w:szCs w:val="17"/>
              </w:rPr>
              <w:t>409.0</w:t>
            </w:r>
          </w:p>
        </w:tc>
        <w:tc>
          <w:tcPr>
            <w:tcW w:w="809" w:type="dxa"/>
          </w:tcPr>
          <w:p w:rsidR="00EA40A3" w:rsidRDefault="00E86C16">
            <w:pPr>
              <w:spacing w:before="142" w:line="183" w:lineRule="auto"/>
              <w:ind w:left="118"/>
              <w:rPr>
                <w:rFonts w:ascii="宋体" w:eastAsia="宋体" w:hAnsi="宋体" w:cs="宋体"/>
                <w:sz w:val="17"/>
                <w:szCs w:val="17"/>
              </w:rPr>
            </w:pPr>
            <w:r>
              <w:rPr>
                <w:rFonts w:ascii="宋体" w:eastAsia="宋体" w:hAnsi="宋体" w:cs="宋体"/>
                <w:spacing w:val="-1"/>
                <w:sz w:val="17"/>
                <w:szCs w:val="17"/>
              </w:rPr>
              <w:t>450.3</w:t>
            </w:r>
          </w:p>
        </w:tc>
      </w:tr>
      <w:tr w:rsidR="00EA40A3">
        <w:trPr>
          <w:trHeight w:val="304"/>
        </w:trPr>
        <w:tc>
          <w:tcPr>
            <w:tcW w:w="1325" w:type="dxa"/>
          </w:tcPr>
          <w:p w:rsidR="00EA40A3" w:rsidRDefault="00E86C16">
            <w:pPr>
              <w:spacing w:before="59" w:line="214" w:lineRule="auto"/>
              <w:ind w:left="300"/>
              <w:rPr>
                <w:rFonts w:ascii="宋体" w:eastAsia="宋体" w:hAnsi="宋体" w:cs="宋体"/>
                <w:sz w:val="17"/>
                <w:szCs w:val="17"/>
              </w:rPr>
            </w:pPr>
            <w:r>
              <w:rPr>
                <w:rFonts w:ascii="宋体" w:eastAsia="宋体" w:hAnsi="宋体" w:cs="宋体"/>
                <w:spacing w:val="-1"/>
                <w:sz w:val="17"/>
                <w:szCs w:val="17"/>
              </w:rPr>
              <w:t>硫胺素/mg</w:t>
            </w:r>
          </w:p>
        </w:tc>
        <w:tc>
          <w:tcPr>
            <w:tcW w:w="1914" w:type="dxa"/>
          </w:tcPr>
          <w:p w:rsidR="00EA40A3" w:rsidRDefault="00E86C16">
            <w:pPr>
              <w:spacing w:before="108" w:line="194" w:lineRule="auto"/>
              <w:ind w:left="164"/>
              <w:rPr>
                <w:rFonts w:ascii="宋体" w:eastAsia="宋体" w:hAnsi="宋体" w:cs="宋体"/>
                <w:sz w:val="17"/>
                <w:szCs w:val="17"/>
              </w:rPr>
            </w:pPr>
            <w:r>
              <w:rPr>
                <w:rFonts w:ascii="宋体" w:eastAsia="宋体" w:hAnsi="宋体" w:cs="宋体"/>
                <w:spacing w:val="-5"/>
                <w:position w:val="1"/>
                <w:sz w:val="17"/>
                <w:szCs w:val="17"/>
              </w:rPr>
              <w:t>2.5</w:t>
            </w:r>
            <w:r>
              <w:rPr>
                <w:rFonts w:ascii="宋体" w:eastAsia="宋体" w:hAnsi="宋体" w:cs="宋体"/>
                <w:spacing w:val="19"/>
                <w:position w:val="1"/>
                <w:sz w:val="17"/>
                <w:szCs w:val="17"/>
              </w:rPr>
              <w:t xml:space="preserve">    </w:t>
            </w:r>
            <w:r>
              <w:rPr>
                <w:rFonts w:ascii="宋体" w:eastAsia="宋体" w:hAnsi="宋体" w:cs="宋体"/>
                <w:spacing w:val="-5"/>
                <w:sz w:val="17"/>
                <w:szCs w:val="17"/>
              </w:rPr>
              <w:t>1.2</w:t>
            </w:r>
            <w:r>
              <w:rPr>
                <w:rFonts w:ascii="宋体" w:eastAsia="宋体" w:hAnsi="宋体" w:cs="宋体"/>
                <w:spacing w:val="3"/>
                <w:sz w:val="17"/>
                <w:szCs w:val="17"/>
              </w:rPr>
              <w:t xml:space="preserve">    </w:t>
            </w:r>
            <w:r>
              <w:rPr>
                <w:rFonts w:ascii="宋体" w:eastAsia="宋体" w:hAnsi="宋体" w:cs="宋体"/>
                <w:spacing w:val="-5"/>
                <w:sz w:val="17"/>
                <w:szCs w:val="17"/>
              </w:rPr>
              <w:t>1.0</w:t>
            </w:r>
          </w:p>
        </w:tc>
        <w:tc>
          <w:tcPr>
            <w:tcW w:w="1945" w:type="dxa"/>
          </w:tcPr>
          <w:p w:rsidR="00EA40A3" w:rsidRDefault="00E86C16">
            <w:pPr>
              <w:spacing w:before="107" w:line="195" w:lineRule="auto"/>
              <w:ind w:left="240"/>
              <w:rPr>
                <w:rFonts w:ascii="宋体" w:eastAsia="宋体" w:hAnsi="宋体" w:cs="宋体"/>
                <w:sz w:val="17"/>
                <w:szCs w:val="17"/>
              </w:rPr>
            </w:pPr>
            <w:r>
              <w:rPr>
                <w:rFonts w:ascii="宋体" w:eastAsia="宋体" w:hAnsi="宋体" w:cs="宋体"/>
                <w:spacing w:val="-5"/>
                <w:sz w:val="17"/>
                <w:szCs w:val="17"/>
              </w:rPr>
              <w:t>2.1</w:t>
            </w:r>
            <w:r>
              <w:rPr>
                <w:rFonts w:ascii="宋体" w:eastAsia="宋体" w:hAnsi="宋体" w:cs="宋体"/>
                <w:spacing w:val="14"/>
                <w:sz w:val="17"/>
                <w:szCs w:val="17"/>
              </w:rPr>
              <w:t xml:space="preserve">    </w:t>
            </w:r>
            <w:r>
              <w:rPr>
                <w:rFonts w:ascii="宋体" w:eastAsia="宋体" w:hAnsi="宋体" w:cs="宋体"/>
                <w:spacing w:val="-5"/>
                <w:sz w:val="17"/>
                <w:szCs w:val="17"/>
              </w:rPr>
              <w:t>1.1</w:t>
            </w:r>
            <w:r>
              <w:rPr>
                <w:rFonts w:ascii="宋体" w:eastAsia="宋体" w:hAnsi="宋体" w:cs="宋体"/>
                <w:spacing w:val="1"/>
                <w:sz w:val="17"/>
                <w:szCs w:val="17"/>
              </w:rPr>
              <w:t xml:space="preserve">    </w:t>
            </w:r>
            <w:r>
              <w:rPr>
                <w:rFonts w:ascii="宋体" w:eastAsia="宋体" w:hAnsi="宋体" w:cs="宋体"/>
                <w:spacing w:val="-5"/>
                <w:sz w:val="17"/>
                <w:szCs w:val="17"/>
              </w:rPr>
              <w:t>1.0</w:t>
            </w:r>
          </w:p>
        </w:tc>
        <w:tc>
          <w:tcPr>
            <w:tcW w:w="1377" w:type="dxa"/>
          </w:tcPr>
          <w:p w:rsidR="00EA40A3" w:rsidRDefault="00E86C16">
            <w:pPr>
              <w:spacing w:before="117" w:line="195" w:lineRule="auto"/>
              <w:ind w:left="325"/>
              <w:rPr>
                <w:rFonts w:ascii="宋体" w:eastAsia="宋体" w:hAnsi="宋体" w:cs="宋体"/>
                <w:sz w:val="17"/>
                <w:szCs w:val="17"/>
              </w:rPr>
            </w:pPr>
            <w:r>
              <w:rPr>
                <w:rFonts w:ascii="宋体" w:eastAsia="宋体" w:hAnsi="宋体" w:cs="宋体"/>
                <w:spacing w:val="-4"/>
                <w:sz w:val="17"/>
                <w:szCs w:val="17"/>
              </w:rPr>
              <w:t>2.6</w:t>
            </w:r>
            <w:r>
              <w:rPr>
                <w:rFonts w:ascii="宋体" w:eastAsia="宋体" w:hAnsi="宋体" w:cs="宋体"/>
                <w:spacing w:val="26"/>
                <w:sz w:val="17"/>
                <w:szCs w:val="17"/>
              </w:rPr>
              <w:t xml:space="preserve">   </w:t>
            </w:r>
            <w:r>
              <w:rPr>
                <w:rFonts w:ascii="宋体" w:eastAsia="宋体" w:hAnsi="宋体" w:cs="宋体"/>
                <w:spacing w:val="-4"/>
                <w:sz w:val="17"/>
                <w:szCs w:val="17"/>
              </w:rPr>
              <w:t>1.2</w:t>
            </w:r>
          </w:p>
        </w:tc>
        <w:tc>
          <w:tcPr>
            <w:tcW w:w="809" w:type="dxa"/>
          </w:tcPr>
          <w:p w:rsidR="00EA40A3" w:rsidRDefault="00E86C16">
            <w:pPr>
              <w:spacing w:before="128" w:line="184" w:lineRule="auto"/>
              <w:ind w:left="118"/>
              <w:rPr>
                <w:rFonts w:ascii="宋体" w:eastAsia="宋体" w:hAnsi="宋体" w:cs="宋体"/>
                <w:sz w:val="17"/>
                <w:szCs w:val="17"/>
              </w:rPr>
            </w:pPr>
            <w:r>
              <w:rPr>
                <w:rFonts w:ascii="宋体" w:eastAsia="宋体" w:hAnsi="宋体" w:cs="宋体"/>
                <w:spacing w:val="-5"/>
                <w:sz w:val="17"/>
                <w:szCs w:val="17"/>
              </w:rPr>
              <w:t>1.0</w:t>
            </w:r>
          </w:p>
        </w:tc>
      </w:tr>
      <w:tr w:rsidR="00EA40A3">
        <w:trPr>
          <w:trHeight w:val="310"/>
        </w:trPr>
        <w:tc>
          <w:tcPr>
            <w:tcW w:w="1325" w:type="dxa"/>
          </w:tcPr>
          <w:p w:rsidR="00EA40A3" w:rsidRDefault="00E86C16">
            <w:pPr>
              <w:spacing w:before="65" w:line="214" w:lineRule="auto"/>
              <w:ind w:left="300"/>
              <w:rPr>
                <w:rFonts w:ascii="宋体" w:eastAsia="宋体" w:hAnsi="宋体" w:cs="宋体"/>
                <w:sz w:val="17"/>
                <w:szCs w:val="17"/>
              </w:rPr>
            </w:pPr>
            <w:r>
              <w:rPr>
                <w:rFonts w:ascii="宋体" w:eastAsia="宋体" w:hAnsi="宋体" w:cs="宋体"/>
                <w:spacing w:val="-2"/>
                <w:sz w:val="17"/>
                <w:szCs w:val="17"/>
              </w:rPr>
              <w:t>核黄素/mg</w:t>
            </w:r>
          </w:p>
        </w:tc>
        <w:tc>
          <w:tcPr>
            <w:tcW w:w="1914" w:type="dxa"/>
          </w:tcPr>
          <w:p w:rsidR="00EA40A3" w:rsidRDefault="00E86C16">
            <w:pPr>
              <w:spacing w:before="124" w:line="183" w:lineRule="auto"/>
              <w:ind w:left="164"/>
              <w:rPr>
                <w:rFonts w:ascii="宋体" w:eastAsia="宋体" w:hAnsi="宋体" w:cs="宋体"/>
                <w:sz w:val="17"/>
                <w:szCs w:val="17"/>
              </w:rPr>
            </w:pPr>
            <w:r>
              <w:rPr>
                <w:rFonts w:ascii="宋体" w:eastAsia="宋体" w:hAnsi="宋体" w:cs="宋体"/>
                <w:spacing w:val="-3"/>
                <w:sz w:val="17"/>
                <w:szCs w:val="17"/>
              </w:rPr>
              <w:t>0.9</w:t>
            </w:r>
            <w:r>
              <w:rPr>
                <w:rFonts w:ascii="宋体" w:eastAsia="宋体" w:hAnsi="宋体" w:cs="宋体"/>
                <w:spacing w:val="19"/>
                <w:sz w:val="17"/>
                <w:szCs w:val="17"/>
              </w:rPr>
              <w:t xml:space="preserve">    </w:t>
            </w:r>
            <w:r>
              <w:rPr>
                <w:rFonts w:ascii="宋体" w:eastAsia="宋体" w:hAnsi="宋体" w:cs="宋体"/>
                <w:spacing w:val="-3"/>
                <w:sz w:val="17"/>
                <w:szCs w:val="17"/>
              </w:rPr>
              <w:t>0.8</w:t>
            </w:r>
            <w:r>
              <w:rPr>
                <w:rFonts w:ascii="宋体" w:eastAsia="宋体" w:hAnsi="宋体" w:cs="宋体"/>
                <w:spacing w:val="1"/>
                <w:sz w:val="17"/>
                <w:szCs w:val="17"/>
              </w:rPr>
              <w:t xml:space="preserve">    </w:t>
            </w:r>
            <w:r>
              <w:rPr>
                <w:rFonts w:ascii="宋体" w:eastAsia="宋体" w:hAnsi="宋体" w:cs="宋体"/>
                <w:spacing w:val="-3"/>
                <w:sz w:val="17"/>
                <w:szCs w:val="17"/>
              </w:rPr>
              <w:t>0.8</w:t>
            </w:r>
          </w:p>
        </w:tc>
        <w:tc>
          <w:tcPr>
            <w:tcW w:w="1945" w:type="dxa"/>
          </w:tcPr>
          <w:p w:rsidR="00EA40A3" w:rsidRDefault="00E86C16">
            <w:pPr>
              <w:spacing w:before="124" w:line="194" w:lineRule="auto"/>
              <w:ind w:left="240"/>
              <w:rPr>
                <w:rFonts w:ascii="宋体" w:eastAsia="宋体" w:hAnsi="宋体" w:cs="宋体"/>
                <w:sz w:val="17"/>
                <w:szCs w:val="17"/>
              </w:rPr>
            </w:pPr>
            <w:r>
              <w:rPr>
                <w:rFonts w:ascii="宋体" w:eastAsia="宋体" w:hAnsi="宋体" w:cs="宋体"/>
                <w:spacing w:val="-3"/>
                <w:sz w:val="17"/>
                <w:szCs w:val="17"/>
              </w:rPr>
              <w:t>0.8</w:t>
            </w:r>
            <w:r>
              <w:rPr>
                <w:rFonts w:ascii="宋体" w:eastAsia="宋体" w:hAnsi="宋体" w:cs="宋体"/>
                <w:spacing w:val="14"/>
                <w:sz w:val="17"/>
                <w:szCs w:val="17"/>
              </w:rPr>
              <w:t xml:space="preserve">    </w:t>
            </w:r>
            <w:r>
              <w:rPr>
                <w:rFonts w:ascii="宋体" w:eastAsia="宋体" w:hAnsi="宋体" w:cs="宋体"/>
                <w:spacing w:val="-3"/>
                <w:sz w:val="17"/>
                <w:szCs w:val="17"/>
              </w:rPr>
              <w:t>0.9</w:t>
            </w:r>
            <w:r>
              <w:rPr>
                <w:rFonts w:ascii="宋体" w:eastAsia="宋体" w:hAnsi="宋体" w:cs="宋体"/>
                <w:spacing w:val="26"/>
                <w:sz w:val="17"/>
                <w:szCs w:val="17"/>
              </w:rPr>
              <w:t xml:space="preserve">   </w:t>
            </w:r>
            <w:r>
              <w:rPr>
                <w:rFonts w:ascii="宋体" w:eastAsia="宋体" w:hAnsi="宋体" w:cs="宋体"/>
                <w:spacing w:val="-3"/>
                <w:sz w:val="17"/>
                <w:szCs w:val="17"/>
              </w:rPr>
              <w:t>0.9</w:t>
            </w:r>
          </w:p>
        </w:tc>
        <w:tc>
          <w:tcPr>
            <w:tcW w:w="1377" w:type="dxa"/>
          </w:tcPr>
          <w:p w:rsidR="00EA40A3" w:rsidRDefault="00E86C16">
            <w:pPr>
              <w:spacing w:before="135" w:line="190" w:lineRule="auto"/>
              <w:ind w:left="325"/>
              <w:rPr>
                <w:rFonts w:ascii="宋体" w:eastAsia="宋体" w:hAnsi="宋体" w:cs="宋体"/>
                <w:sz w:val="17"/>
                <w:szCs w:val="17"/>
              </w:rPr>
            </w:pPr>
            <w:r>
              <w:rPr>
                <w:rFonts w:ascii="宋体" w:eastAsia="宋体" w:hAnsi="宋体" w:cs="宋体"/>
                <w:spacing w:val="-3"/>
                <w:sz w:val="17"/>
                <w:szCs w:val="17"/>
              </w:rPr>
              <w:t>0.9</w:t>
            </w:r>
            <w:r>
              <w:rPr>
                <w:rFonts w:ascii="宋体" w:eastAsia="宋体" w:hAnsi="宋体" w:cs="宋体"/>
                <w:spacing w:val="27"/>
                <w:sz w:val="17"/>
                <w:szCs w:val="17"/>
              </w:rPr>
              <w:t xml:space="preserve">   </w:t>
            </w:r>
            <w:r>
              <w:rPr>
                <w:rFonts w:ascii="宋体" w:eastAsia="宋体" w:hAnsi="宋体" w:cs="宋体"/>
                <w:spacing w:val="-3"/>
                <w:sz w:val="17"/>
                <w:szCs w:val="17"/>
              </w:rPr>
              <w:t>0.7</w:t>
            </w:r>
          </w:p>
        </w:tc>
        <w:tc>
          <w:tcPr>
            <w:tcW w:w="809" w:type="dxa"/>
          </w:tcPr>
          <w:p w:rsidR="00EA40A3" w:rsidRDefault="00E86C16">
            <w:pPr>
              <w:spacing w:before="134" w:line="183" w:lineRule="auto"/>
              <w:ind w:left="118"/>
              <w:rPr>
                <w:rFonts w:ascii="宋体" w:eastAsia="宋体" w:hAnsi="宋体" w:cs="宋体"/>
                <w:sz w:val="17"/>
                <w:szCs w:val="17"/>
              </w:rPr>
            </w:pPr>
            <w:r>
              <w:rPr>
                <w:rFonts w:ascii="宋体" w:eastAsia="宋体" w:hAnsi="宋体" w:cs="宋体"/>
                <w:spacing w:val="-2"/>
                <w:sz w:val="17"/>
                <w:szCs w:val="17"/>
              </w:rPr>
              <w:t>0.7</w:t>
            </w:r>
          </w:p>
        </w:tc>
      </w:tr>
      <w:tr w:rsidR="00EA40A3">
        <w:trPr>
          <w:trHeight w:val="310"/>
        </w:trPr>
        <w:tc>
          <w:tcPr>
            <w:tcW w:w="1325" w:type="dxa"/>
          </w:tcPr>
          <w:p w:rsidR="00EA40A3" w:rsidRDefault="00E86C16">
            <w:pPr>
              <w:spacing w:before="55" w:line="214" w:lineRule="auto"/>
              <w:ind w:left="130"/>
              <w:rPr>
                <w:rFonts w:ascii="宋体" w:eastAsia="宋体" w:hAnsi="宋体" w:cs="宋体"/>
                <w:sz w:val="17"/>
                <w:szCs w:val="17"/>
              </w:rPr>
            </w:pPr>
            <w:r>
              <w:rPr>
                <w:rFonts w:ascii="宋体" w:eastAsia="宋体" w:hAnsi="宋体" w:cs="宋体"/>
                <w:spacing w:val="-1"/>
                <w:sz w:val="17"/>
                <w:szCs w:val="17"/>
              </w:rPr>
              <w:t>抗坏血酸/mg</w:t>
            </w:r>
          </w:p>
        </w:tc>
        <w:tc>
          <w:tcPr>
            <w:tcW w:w="1914" w:type="dxa"/>
          </w:tcPr>
          <w:p w:rsidR="00EA40A3" w:rsidRDefault="00E86C16">
            <w:pPr>
              <w:spacing w:before="93" w:line="195" w:lineRule="auto"/>
              <w:ind w:left="85"/>
              <w:rPr>
                <w:rFonts w:ascii="宋体" w:eastAsia="宋体" w:hAnsi="宋体" w:cs="宋体"/>
                <w:sz w:val="17"/>
                <w:szCs w:val="17"/>
              </w:rPr>
            </w:pPr>
            <w:r>
              <w:rPr>
                <w:rFonts w:ascii="宋体" w:eastAsia="宋体" w:hAnsi="宋体" w:cs="宋体"/>
                <w:spacing w:val="-4"/>
                <w:position w:val="2"/>
                <w:sz w:val="17"/>
                <w:szCs w:val="17"/>
              </w:rPr>
              <w:t>129.4</w:t>
            </w:r>
            <w:r>
              <w:rPr>
                <w:rFonts w:ascii="宋体" w:eastAsia="宋体" w:hAnsi="宋体" w:cs="宋体"/>
                <w:spacing w:val="47"/>
                <w:position w:val="2"/>
                <w:sz w:val="17"/>
                <w:szCs w:val="17"/>
              </w:rPr>
              <w:t xml:space="preserve">  </w:t>
            </w:r>
            <w:r>
              <w:rPr>
                <w:rFonts w:ascii="宋体" w:eastAsia="宋体" w:hAnsi="宋体" w:cs="宋体"/>
                <w:spacing w:val="-4"/>
                <w:position w:val="-1"/>
                <w:sz w:val="17"/>
                <w:szCs w:val="17"/>
              </w:rPr>
              <w:t>100.2</w:t>
            </w:r>
            <w:r>
              <w:rPr>
                <w:rFonts w:ascii="宋体" w:eastAsia="宋体" w:hAnsi="宋体" w:cs="宋体"/>
                <w:spacing w:val="3"/>
                <w:position w:val="-1"/>
                <w:sz w:val="17"/>
                <w:szCs w:val="17"/>
              </w:rPr>
              <w:t xml:space="preserve">   </w:t>
            </w:r>
            <w:r>
              <w:rPr>
                <w:rFonts w:ascii="宋体" w:eastAsia="宋体" w:hAnsi="宋体" w:cs="宋体"/>
                <w:spacing w:val="-4"/>
                <w:position w:val="-1"/>
                <w:sz w:val="17"/>
                <w:szCs w:val="17"/>
              </w:rPr>
              <w:t>89.8</w:t>
            </w:r>
          </w:p>
        </w:tc>
        <w:tc>
          <w:tcPr>
            <w:tcW w:w="1945" w:type="dxa"/>
          </w:tcPr>
          <w:p w:rsidR="00EA40A3" w:rsidRDefault="00E86C16">
            <w:pPr>
              <w:spacing w:before="124" w:line="194" w:lineRule="auto"/>
              <w:ind w:left="171"/>
              <w:rPr>
                <w:rFonts w:ascii="宋体" w:eastAsia="宋体" w:hAnsi="宋体" w:cs="宋体"/>
                <w:sz w:val="17"/>
                <w:szCs w:val="17"/>
              </w:rPr>
            </w:pPr>
            <w:r>
              <w:rPr>
                <w:rFonts w:ascii="宋体" w:eastAsia="宋体" w:hAnsi="宋体" w:cs="宋体"/>
                <w:spacing w:val="-3"/>
                <w:sz w:val="17"/>
                <w:szCs w:val="17"/>
              </w:rPr>
              <w:t>109.0</w:t>
            </w:r>
            <w:r>
              <w:rPr>
                <w:rFonts w:ascii="宋体" w:eastAsia="宋体" w:hAnsi="宋体" w:cs="宋体"/>
                <w:spacing w:val="5"/>
                <w:sz w:val="17"/>
                <w:szCs w:val="17"/>
              </w:rPr>
              <w:t xml:space="preserve">   </w:t>
            </w:r>
            <w:r>
              <w:rPr>
                <w:rFonts w:ascii="宋体" w:eastAsia="宋体" w:hAnsi="宋体" w:cs="宋体"/>
                <w:spacing w:val="-3"/>
                <w:sz w:val="17"/>
                <w:szCs w:val="17"/>
              </w:rPr>
              <w:t>95.6</w:t>
            </w:r>
            <w:r>
              <w:rPr>
                <w:rFonts w:ascii="宋体" w:eastAsia="宋体" w:hAnsi="宋体" w:cs="宋体"/>
                <w:spacing w:val="10"/>
                <w:sz w:val="17"/>
                <w:szCs w:val="17"/>
              </w:rPr>
              <w:t xml:space="preserve">   </w:t>
            </w:r>
            <w:r>
              <w:rPr>
                <w:rFonts w:ascii="宋体" w:eastAsia="宋体" w:hAnsi="宋体" w:cs="宋体"/>
                <w:spacing w:val="-3"/>
                <w:sz w:val="17"/>
                <w:szCs w:val="17"/>
              </w:rPr>
              <w:t>83.1</w:t>
            </w:r>
          </w:p>
        </w:tc>
        <w:tc>
          <w:tcPr>
            <w:tcW w:w="1377" w:type="dxa"/>
          </w:tcPr>
          <w:p w:rsidR="00EA40A3" w:rsidRDefault="00E86C16">
            <w:pPr>
              <w:spacing w:before="133" w:line="184" w:lineRule="auto"/>
              <w:ind w:left="155"/>
              <w:rPr>
                <w:rFonts w:ascii="宋体" w:eastAsia="宋体" w:hAnsi="宋体" w:cs="宋体"/>
                <w:sz w:val="17"/>
                <w:szCs w:val="17"/>
              </w:rPr>
            </w:pPr>
            <w:r>
              <w:rPr>
                <w:rFonts w:ascii="宋体" w:eastAsia="宋体" w:hAnsi="宋体" w:cs="宋体"/>
                <w:spacing w:val="-4"/>
                <w:sz w:val="17"/>
                <w:szCs w:val="17"/>
              </w:rPr>
              <w:t>138.0</w:t>
            </w:r>
            <w:r>
              <w:rPr>
                <w:rFonts w:ascii="宋体" w:eastAsia="宋体" w:hAnsi="宋体" w:cs="宋体"/>
                <w:spacing w:val="44"/>
                <w:sz w:val="17"/>
                <w:szCs w:val="17"/>
              </w:rPr>
              <w:t xml:space="preserve">  </w:t>
            </w:r>
            <w:r>
              <w:rPr>
                <w:rFonts w:ascii="宋体" w:eastAsia="宋体" w:hAnsi="宋体" w:cs="宋体"/>
                <w:spacing w:val="-4"/>
                <w:sz w:val="17"/>
                <w:szCs w:val="17"/>
              </w:rPr>
              <w:t>102.6</w:t>
            </w:r>
          </w:p>
        </w:tc>
        <w:tc>
          <w:tcPr>
            <w:tcW w:w="809" w:type="dxa"/>
          </w:tcPr>
          <w:p w:rsidR="00EA40A3" w:rsidRDefault="00E86C16">
            <w:pPr>
              <w:spacing w:before="134" w:line="183" w:lineRule="auto"/>
              <w:ind w:left="118"/>
              <w:rPr>
                <w:rFonts w:ascii="宋体" w:eastAsia="宋体" w:hAnsi="宋体" w:cs="宋体"/>
                <w:sz w:val="17"/>
                <w:szCs w:val="17"/>
              </w:rPr>
            </w:pPr>
            <w:r>
              <w:rPr>
                <w:rFonts w:ascii="宋体" w:eastAsia="宋体" w:hAnsi="宋体" w:cs="宋体"/>
                <w:spacing w:val="-2"/>
                <w:sz w:val="17"/>
                <w:szCs w:val="17"/>
              </w:rPr>
              <w:t>92.3</w:t>
            </w:r>
          </w:p>
        </w:tc>
      </w:tr>
      <w:tr w:rsidR="00EA40A3">
        <w:trPr>
          <w:trHeight w:val="318"/>
        </w:trPr>
        <w:tc>
          <w:tcPr>
            <w:tcW w:w="1325" w:type="dxa"/>
          </w:tcPr>
          <w:p w:rsidR="00EA40A3" w:rsidRDefault="00E86C16">
            <w:pPr>
              <w:spacing w:before="65" w:line="214" w:lineRule="auto"/>
              <w:ind w:left="439"/>
              <w:rPr>
                <w:rFonts w:ascii="宋体" w:eastAsia="宋体" w:hAnsi="宋体" w:cs="宋体"/>
                <w:sz w:val="17"/>
                <w:szCs w:val="17"/>
              </w:rPr>
            </w:pPr>
            <w:r>
              <w:rPr>
                <w:rFonts w:ascii="宋体" w:eastAsia="宋体" w:hAnsi="宋体" w:cs="宋体"/>
                <w:spacing w:val="-2"/>
                <w:sz w:val="17"/>
                <w:szCs w:val="17"/>
              </w:rPr>
              <w:t>钙/mg</w:t>
            </w:r>
          </w:p>
        </w:tc>
        <w:tc>
          <w:tcPr>
            <w:tcW w:w="1914" w:type="dxa"/>
          </w:tcPr>
          <w:p w:rsidR="00EA40A3" w:rsidRDefault="00E86C16">
            <w:pPr>
              <w:spacing w:before="114" w:line="194" w:lineRule="auto"/>
              <w:ind w:left="85"/>
              <w:rPr>
                <w:rFonts w:ascii="宋体" w:eastAsia="宋体" w:hAnsi="宋体" w:cs="宋体"/>
                <w:sz w:val="17"/>
                <w:szCs w:val="17"/>
              </w:rPr>
            </w:pPr>
            <w:r>
              <w:rPr>
                <w:rFonts w:ascii="宋体" w:eastAsia="宋体" w:hAnsi="宋体" w:cs="宋体"/>
                <w:spacing w:val="-2"/>
                <w:sz w:val="17"/>
                <w:szCs w:val="17"/>
              </w:rPr>
              <w:t>694.5</w:t>
            </w:r>
            <w:r>
              <w:rPr>
                <w:rFonts w:ascii="宋体" w:eastAsia="宋体" w:hAnsi="宋体" w:cs="宋体"/>
                <w:spacing w:val="39"/>
                <w:w w:val="101"/>
                <w:sz w:val="17"/>
                <w:szCs w:val="17"/>
              </w:rPr>
              <w:t xml:space="preserve">  </w:t>
            </w:r>
            <w:r>
              <w:rPr>
                <w:rFonts w:ascii="宋体" w:eastAsia="宋体" w:hAnsi="宋体" w:cs="宋体"/>
                <w:spacing w:val="-2"/>
                <w:sz w:val="17"/>
                <w:szCs w:val="17"/>
              </w:rPr>
              <w:t>405.4</w:t>
            </w:r>
            <w:r>
              <w:rPr>
                <w:rFonts w:ascii="宋体" w:eastAsia="宋体" w:hAnsi="宋体" w:cs="宋体"/>
                <w:spacing w:val="40"/>
                <w:sz w:val="17"/>
                <w:szCs w:val="17"/>
              </w:rPr>
              <w:t xml:space="preserve">  </w:t>
            </w:r>
            <w:r>
              <w:rPr>
                <w:rFonts w:ascii="宋体" w:eastAsia="宋体" w:hAnsi="宋体" w:cs="宋体"/>
                <w:spacing w:val="-2"/>
                <w:sz w:val="17"/>
                <w:szCs w:val="17"/>
              </w:rPr>
              <w:t>390.6</w:t>
            </w:r>
          </w:p>
        </w:tc>
        <w:tc>
          <w:tcPr>
            <w:tcW w:w="1945" w:type="dxa"/>
          </w:tcPr>
          <w:p w:rsidR="00EA40A3" w:rsidRDefault="00E86C16">
            <w:pPr>
              <w:spacing w:before="124" w:line="183" w:lineRule="auto"/>
              <w:ind w:left="171"/>
              <w:rPr>
                <w:rFonts w:ascii="宋体" w:eastAsia="宋体" w:hAnsi="宋体" w:cs="宋体"/>
                <w:sz w:val="17"/>
                <w:szCs w:val="17"/>
              </w:rPr>
            </w:pPr>
            <w:r>
              <w:rPr>
                <w:rFonts w:ascii="宋体" w:eastAsia="宋体" w:hAnsi="宋体" w:cs="宋体"/>
                <w:spacing w:val="-2"/>
                <w:sz w:val="17"/>
                <w:szCs w:val="17"/>
              </w:rPr>
              <w:t>563.0</w:t>
            </w:r>
            <w:r>
              <w:rPr>
                <w:rFonts w:ascii="宋体" w:eastAsia="宋体" w:hAnsi="宋体" w:cs="宋体"/>
                <w:spacing w:val="26"/>
                <w:sz w:val="17"/>
                <w:szCs w:val="17"/>
              </w:rPr>
              <w:t xml:space="preserve">  </w:t>
            </w:r>
            <w:r>
              <w:rPr>
                <w:rFonts w:ascii="宋体" w:eastAsia="宋体" w:hAnsi="宋体" w:cs="宋体"/>
                <w:spacing w:val="-2"/>
                <w:position w:val="1"/>
                <w:sz w:val="17"/>
                <w:szCs w:val="17"/>
              </w:rPr>
              <w:t>457.9</w:t>
            </w:r>
            <w:r>
              <w:rPr>
                <w:rFonts w:ascii="宋体" w:eastAsia="宋体" w:hAnsi="宋体" w:cs="宋体"/>
                <w:spacing w:val="36"/>
                <w:position w:val="1"/>
                <w:sz w:val="17"/>
                <w:szCs w:val="17"/>
              </w:rPr>
              <w:t xml:space="preserve">  </w:t>
            </w:r>
            <w:r>
              <w:rPr>
                <w:rFonts w:ascii="宋体" w:eastAsia="宋体" w:hAnsi="宋体" w:cs="宋体"/>
                <w:spacing w:val="-2"/>
                <w:position w:val="-1"/>
                <w:sz w:val="17"/>
                <w:szCs w:val="17"/>
              </w:rPr>
              <w:t>439.3</w:t>
            </w:r>
          </w:p>
        </w:tc>
        <w:tc>
          <w:tcPr>
            <w:tcW w:w="1377" w:type="dxa"/>
          </w:tcPr>
          <w:p w:rsidR="00EA40A3" w:rsidRDefault="00E86C16">
            <w:pPr>
              <w:spacing w:before="144" w:line="183" w:lineRule="auto"/>
              <w:ind w:left="155"/>
              <w:rPr>
                <w:rFonts w:ascii="宋体" w:eastAsia="宋体" w:hAnsi="宋体" w:cs="宋体"/>
                <w:sz w:val="17"/>
                <w:szCs w:val="17"/>
              </w:rPr>
            </w:pPr>
            <w:r>
              <w:rPr>
                <w:rFonts w:ascii="宋体" w:eastAsia="宋体" w:hAnsi="宋体" w:cs="宋体"/>
                <w:spacing w:val="-2"/>
                <w:sz w:val="17"/>
                <w:szCs w:val="17"/>
              </w:rPr>
              <w:t>750.0</w:t>
            </w:r>
            <w:r>
              <w:rPr>
                <w:rFonts w:ascii="宋体" w:eastAsia="宋体" w:hAnsi="宋体" w:cs="宋体"/>
                <w:spacing w:val="38"/>
                <w:sz w:val="17"/>
                <w:szCs w:val="17"/>
              </w:rPr>
              <w:t xml:space="preserve">  </w:t>
            </w:r>
            <w:r>
              <w:rPr>
                <w:rFonts w:ascii="宋体" w:eastAsia="宋体" w:hAnsi="宋体" w:cs="宋体"/>
                <w:spacing w:val="-2"/>
                <w:sz w:val="17"/>
                <w:szCs w:val="17"/>
              </w:rPr>
              <w:t>378.2</w:t>
            </w:r>
          </w:p>
        </w:tc>
        <w:tc>
          <w:tcPr>
            <w:tcW w:w="809" w:type="dxa"/>
          </w:tcPr>
          <w:p w:rsidR="00EA40A3" w:rsidRDefault="00E86C16">
            <w:pPr>
              <w:spacing w:before="144" w:line="184" w:lineRule="auto"/>
              <w:ind w:left="118"/>
              <w:rPr>
                <w:rFonts w:ascii="宋体" w:eastAsia="宋体" w:hAnsi="宋体" w:cs="宋体"/>
                <w:sz w:val="17"/>
                <w:szCs w:val="17"/>
              </w:rPr>
            </w:pPr>
            <w:r>
              <w:rPr>
                <w:rFonts w:ascii="宋体" w:eastAsia="宋体" w:hAnsi="宋体" w:cs="宋体"/>
                <w:spacing w:val="-2"/>
                <w:sz w:val="17"/>
                <w:szCs w:val="17"/>
              </w:rPr>
              <w:t>371.8</w:t>
            </w:r>
          </w:p>
        </w:tc>
      </w:tr>
      <w:tr w:rsidR="00EA40A3">
        <w:trPr>
          <w:trHeight w:val="300"/>
        </w:trPr>
        <w:tc>
          <w:tcPr>
            <w:tcW w:w="1325" w:type="dxa"/>
          </w:tcPr>
          <w:p w:rsidR="00EA40A3" w:rsidRDefault="00E86C16">
            <w:pPr>
              <w:spacing w:before="67" w:line="214" w:lineRule="auto"/>
              <w:ind w:left="459"/>
              <w:rPr>
                <w:rFonts w:ascii="宋体" w:eastAsia="宋体" w:hAnsi="宋体" w:cs="宋体"/>
                <w:sz w:val="17"/>
                <w:szCs w:val="17"/>
              </w:rPr>
            </w:pPr>
            <w:r>
              <w:rPr>
                <w:rFonts w:ascii="宋体" w:eastAsia="宋体" w:hAnsi="宋体" w:cs="宋体"/>
                <w:spacing w:val="-2"/>
                <w:sz w:val="17"/>
                <w:szCs w:val="17"/>
              </w:rPr>
              <w:t>铁/mg</w:t>
            </w:r>
          </w:p>
        </w:tc>
        <w:tc>
          <w:tcPr>
            <w:tcW w:w="1914" w:type="dxa"/>
          </w:tcPr>
          <w:p w:rsidR="00EA40A3" w:rsidRDefault="00E86C16">
            <w:pPr>
              <w:spacing w:before="117" w:line="177" w:lineRule="auto"/>
              <w:ind w:left="125"/>
              <w:rPr>
                <w:rFonts w:ascii="宋体" w:eastAsia="宋体" w:hAnsi="宋体" w:cs="宋体"/>
                <w:sz w:val="17"/>
                <w:szCs w:val="17"/>
              </w:rPr>
            </w:pPr>
            <w:r>
              <w:rPr>
                <w:rFonts w:ascii="宋体" w:eastAsia="宋体" w:hAnsi="宋体" w:cs="宋体"/>
                <w:spacing w:val="-3"/>
                <w:position w:val="1"/>
                <w:sz w:val="17"/>
                <w:szCs w:val="17"/>
              </w:rPr>
              <w:t>37.3</w:t>
            </w:r>
            <w:r>
              <w:rPr>
                <w:rFonts w:ascii="宋体" w:eastAsia="宋体" w:hAnsi="宋体" w:cs="宋体"/>
                <w:spacing w:val="28"/>
                <w:position w:val="1"/>
                <w:sz w:val="17"/>
                <w:szCs w:val="17"/>
              </w:rPr>
              <w:t xml:space="preserve">   </w:t>
            </w:r>
            <w:r>
              <w:rPr>
                <w:rFonts w:ascii="宋体" w:eastAsia="宋体" w:hAnsi="宋体" w:cs="宋体"/>
                <w:spacing w:val="-3"/>
                <w:sz w:val="17"/>
                <w:szCs w:val="17"/>
              </w:rPr>
              <w:t>23.4</w:t>
            </w:r>
            <w:r>
              <w:rPr>
                <w:rFonts w:ascii="宋体" w:eastAsia="宋体" w:hAnsi="宋体" w:cs="宋体"/>
                <w:spacing w:val="14"/>
                <w:sz w:val="17"/>
                <w:szCs w:val="17"/>
              </w:rPr>
              <w:t xml:space="preserve">   </w:t>
            </w:r>
            <w:r>
              <w:rPr>
                <w:rFonts w:ascii="宋体" w:eastAsia="宋体" w:hAnsi="宋体" w:cs="宋体"/>
                <w:spacing w:val="-3"/>
                <w:position w:val="-1"/>
                <w:sz w:val="17"/>
                <w:szCs w:val="17"/>
              </w:rPr>
              <w:t>23.3</w:t>
            </w:r>
          </w:p>
        </w:tc>
        <w:tc>
          <w:tcPr>
            <w:tcW w:w="1945" w:type="dxa"/>
          </w:tcPr>
          <w:p w:rsidR="00EA40A3" w:rsidRDefault="00E86C16">
            <w:pPr>
              <w:spacing w:before="116" w:line="194" w:lineRule="auto"/>
              <w:ind w:left="171"/>
              <w:rPr>
                <w:rFonts w:ascii="宋体" w:eastAsia="宋体" w:hAnsi="宋体" w:cs="宋体"/>
                <w:sz w:val="17"/>
                <w:szCs w:val="17"/>
              </w:rPr>
            </w:pPr>
            <w:r>
              <w:rPr>
                <w:rFonts w:ascii="宋体" w:eastAsia="宋体" w:hAnsi="宋体" w:cs="宋体"/>
                <w:spacing w:val="-3"/>
                <w:sz w:val="17"/>
                <w:szCs w:val="17"/>
              </w:rPr>
              <w:t>34.2</w:t>
            </w:r>
            <w:r>
              <w:rPr>
                <w:rFonts w:ascii="宋体" w:eastAsia="宋体" w:hAnsi="宋体" w:cs="宋体"/>
                <w:spacing w:val="2"/>
                <w:sz w:val="17"/>
                <w:szCs w:val="17"/>
              </w:rPr>
              <w:t xml:space="preserve">    </w:t>
            </w:r>
            <w:r>
              <w:rPr>
                <w:rFonts w:ascii="宋体" w:eastAsia="宋体" w:hAnsi="宋体" w:cs="宋体"/>
                <w:spacing w:val="-3"/>
                <w:sz w:val="17"/>
                <w:szCs w:val="17"/>
              </w:rPr>
              <w:t>25.5</w:t>
            </w:r>
            <w:r>
              <w:rPr>
                <w:rFonts w:ascii="宋体" w:eastAsia="宋体" w:hAnsi="宋体" w:cs="宋体"/>
                <w:spacing w:val="11"/>
                <w:sz w:val="17"/>
                <w:szCs w:val="17"/>
              </w:rPr>
              <w:t xml:space="preserve">   </w:t>
            </w:r>
            <w:r>
              <w:rPr>
                <w:rFonts w:ascii="宋体" w:eastAsia="宋体" w:hAnsi="宋体" w:cs="宋体"/>
                <w:spacing w:val="-3"/>
                <w:sz w:val="17"/>
                <w:szCs w:val="17"/>
              </w:rPr>
              <w:t>23.8</w:t>
            </w:r>
          </w:p>
        </w:tc>
        <w:tc>
          <w:tcPr>
            <w:tcW w:w="1377" w:type="dxa"/>
          </w:tcPr>
          <w:p w:rsidR="00EA40A3" w:rsidRDefault="00E86C16">
            <w:pPr>
              <w:spacing w:before="137" w:line="177" w:lineRule="auto"/>
              <w:ind w:left="246"/>
              <w:rPr>
                <w:rFonts w:ascii="宋体" w:eastAsia="宋体" w:hAnsi="宋体" w:cs="宋体"/>
                <w:sz w:val="17"/>
                <w:szCs w:val="17"/>
              </w:rPr>
            </w:pPr>
            <w:r>
              <w:rPr>
                <w:rFonts w:ascii="宋体" w:eastAsia="宋体" w:hAnsi="宋体" w:cs="宋体"/>
                <w:spacing w:val="-3"/>
                <w:sz w:val="17"/>
                <w:szCs w:val="17"/>
              </w:rPr>
              <w:t>38.6</w:t>
            </w:r>
            <w:r>
              <w:rPr>
                <w:rFonts w:ascii="宋体" w:eastAsia="宋体" w:hAnsi="宋体" w:cs="宋体"/>
                <w:spacing w:val="13"/>
                <w:sz w:val="17"/>
                <w:szCs w:val="17"/>
              </w:rPr>
              <w:t xml:space="preserve">   </w:t>
            </w:r>
            <w:r>
              <w:rPr>
                <w:rFonts w:ascii="宋体" w:eastAsia="宋体" w:hAnsi="宋体" w:cs="宋体"/>
                <w:spacing w:val="-3"/>
                <w:sz w:val="17"/>
                <w:szCs w:val="17"/>
              </w:rPr>
              <w:t>22.4</w:t>
            </w:r>
          </w:p>
        </w:tc>
        <w:tc>
          <w:tcPr>
            <w:tcW w:w="809" w:type="dxa"/>
          </w:tcPr>
          <w:p w:rsidR="00EA40A3" w:rsidRDefault="00E86C16">
            <w:pPr>
              <w:spacing w:before="125" w:line="184" w:lineRule="auto"/>
              <w:ind w:left="118"/>
              <w:rPr>
                <w:rFonts w:ascii="宋体" w:eastAsia="宋体" w:hAnsi="宋体" w:cs="宋体"/>
                <w:sz w:val="17"/>
                <w:szCs w:val="17"/>
              </w:rPr>
            </w:pPr>
            <w:r>
              <w:rPr>
                <w:rFonts w:ascii="宋体" w:eastAsia="宋体" w:hAnsi="宋体" w:cs="宋体"/>
                <w:spacing w:val="-2"/>
                <w:sz w:val="17"/>
                <w:szCs w:val="17"/>
              </w:rPr>
              <w:t>23.1</w:t>
            </w:r>
          </w:p>
        </w:tc>
      </w:tr>
      <w:tr w:rsidR="00EA40A3">
        <w:trPr>
          <w:trHeight w:val="281"/>
        </w:trPr>
        <w:tc>
          <w:tcPr>
            <w:tcW w:w="1325" w:type="dxa"/>
            <w:tcBorders>
              <w:bottom w:val="single" w:sz="4" w:space="0" w:color="000000"/>
            </w:tcBorders>
          </w:tcPr>
          <w:p w:rsidR="00EA40A3" w:rsidRDefault="00E86C16">
            <w:pPr>
              <w:spacing w:before="47" w:line="214" w:lineRule="auto"/>
              <w:ind w:left="430"/>
              <w:rPr>
                <w:rFonts w:ascii="宋体" w:eastAsia="宋体" w:hAnsi="宋体" w:cs="宋体"/>
                <w:sz w:val="17"/>
                <w:szCs w:val="17"/>
              </w:rPr>
            </w:pPr>
            <w:r>
              <w:rPr>
                <w:rFonts w:ascii="宋体" w:eastAsia="宋体" w:hAnsi="宋体" w:cs="宋体"/>
                <w:spacing w:val="-2"/>
                <w:sz w:val="17"/>
                <w:szCs w:val="17"/>
              </w:rPr>
              <w:t>磷/mg</w:t>
            </w:r>
          </w:p>
        </w:tc>
        <w:tc>
          <w:tcPr>
            <w:tcW w:w="1914" w:type="dxa"/>
            <w:tcBorders>
              <w:bottom w:val="single" w:sz="4" w:space="0" w:color="000000"/>
            </w:tcBorders>
          </w:tcPr>
          <w:p w:rsidR="00EA40A3" w:rsidRDefault="00E86C16">
            <w:pPr>
              <w:spacing w:before="95" w:line="184" w:lineRule="auto"/>
              <w:ind w:left="45"/>
              <w:rPr>
                <w:rFonts w:ascii="宋体" w:eastAsia="宋体" w:hAnsi="宋体" w:cs="宋体"/>
                <w:sz w:val="17"/>
                <w:szCs w:val="17"/>
              </w:rPr>
            </w:pPr>
            <w:r>
              <w:rPr>
                <w:rFonts w:ascii="宋体" w:eastAsia="宋体" w:hAnsi="宋体" w:cs="宋体"/>
                <w:spacing w:val="-3"/>
                <w:sz w:val="17"/>
                <w:szCs w:val="17"/>
              </w:rPr>
              <w:t>1623.2</w:t>
            </w:r>
            <w:r>
              <w:rPr>
                <w:rFonts w:ascii="宋体" w:eastAsia="宋体" w:hAnsi="宋体" w:cs="宋体"/>
                <w:spacing w:val="89"/>
                <w:w w:val="101"/>
                <w:sz w:val="17"/>
                <w:szCs w:val="17"/>
              </w:rPr>
              <w:t xml:space="preserve"> </w:t>
            </w:r>
            <w:r>
              <w:rPr>
                <w:rFonts w:ascii="宋体" w:eastAsia="宋体" w:hAnsi="宋体" w:cs="宋体"/>
                <w:spacing w:val="-3"/>
                <w:sz w:val="17"/>
                <w:szCs w:val="17"/>
              </w:rPr>
              <w:t>1057.8</w:t>
            </w:r>
            <w:r>
              <w:rPr>
                <w:rFonts w:ascii="宋体" w:eastAsia="宋体" w:hAnsi="宋体" w:cs="宋体"/>
                <w:spacing w:val="24"/>
                <w:sz w:val="17"/>
                <w:szCs w:val="17"/>
              </w:rPr>
              <w:t xml:space="preserve">  </w:t>
            </w:r>
            <w:r>
              <w:rPr>
                <w:rFonts w:ascii="宋体" w:eastAsia="宋体" w:hAnsi="宋体" w:cs="宋体"/>
                <w:spacing w:val="-3"/>
                <w:sz w:val="17"/>
                <w:szCs w:val="17"/>
              </w:rPr>
              <w:t>980.3</w:t>
            </w:r>
          </w:p>
        </w:tc>
        <w:tc>
          <w:tcPr>
            <w:tcW w:w="1945" w:type="dxa"/>
            <w:tcBorders>
              <w:bottom w:val="single" w:sz="4" w:space="0" w:color="000000"/>
            </w:tcBorders>
          </w:tcPr>
          <w:p w:rsidR="00EA40A3" w:rsidRDefault="00E86C16">
            <w:pPr>
              <w:spacing w:before="96" w:line="157" w:lineRule="auto"/>
              <w:ind w:left="90"/>
              <w:rPr>
                <w:rFonts w:ascii="宋体" w:eastAsia="宋体" w:hAnsi="宋体" w:cs="宋体"/>
                <w:sz w:val="17"/>
                <w:szCs w:val="17"/>
              </w:rPr>
            </w:pPr>
            <w:r>
              <w:rPr>
                <w:rFonts w:ascii="宋体" w:eastAsia="宋体" w:hAnsi="宋体" w:cs="宋体"/>
                <w:spacing w:val="-3"/>
                <w:sz w:val="17"/>
                <w:szCs w:val="17"/>
              </w:rPr>
              <w:t>1574.0</w:t>
            </w:r>
            <w:r>
              <w:rPr>
                <w:rFonts w:ascii="宋体" w:eastAsia="宋体" w:hAnsi="宋体" w:cs="宋体"/>
                <w:spacing w:val="7"/>
                <w:sz w:val="17"/>
                <w:szCs w:val="17"/>
              </w:rPr>
              <w:t xml:space="preserve">  </w:t>
            </w:r>
            <w:r>
              <w:rPr>
                <w:rFonts w:ascii="宋体" w:eastAsia="宋体" w:hAnsi="宋体" w:cs="宋体"/>
                <w:spacing w:val="-3"/>
                <w:position w:val="2"/>
                <w:sz w:val="17"/>
                <w:szCs w:val="17"/>
              </w:rPr>
              <w:t>1077.4</w:t>
            </w:r>
            <w:r>
              <w:rPr>
                <w:rFonts w:ascii="宋体" w:eastAsia="宋体" w:hAnsi="宋体" w:cs="宋体"/>
                <w:spacing w:val="20"/>
                <w:position w:val="2"/>
                <w:sz w:val="17"/>
                <w:szCs w:val="17"/>
              </w:rPr>
              <w:t xml:space="preserve">  </w:t>
            </w:r>
            <w:r>
              <w:rPr>
                <w:rFonts w:ascii="宋体" w:eastAsia="宋体" w:hAnsi="宋体" w:cs="宋体"/>
                <w:spacing w:val="-3"/>
                <w:position w:val="-2"/>
                <w:sz w:val="17"/>
                <w:szCs w:val="17"/>
              </w:rPr>
              <w:t>975.1</w:t>
            </w:r>
          </w:p>
        </w:tc>
        <w:tc>
          <w:tcPr>
            <w:tcW w:w="1377" w:type="dxa"/>
            <w:tcBorders>
              <w:bottom w:val="single" w:sz="4" w:space="0" w:color="000000"/>
            </w:tcBorders>
          </w:tcPr>
          <w:p w:rsidR="00EA40A3" w:rsidRDefault="00E86C16">
            <w:pPr>
              <w:spacing w:before="96" w:line="157" w:lineRule="auto"/>
              <w:ind w:left="76"/>
              <w:rPr>
                <w:rFonts w:ascii="宋体" w:eastAsia="宋体" w:hAnsi="宋体" w:cs="宋体"/>
                <w:sz w:val="17"/>
                <w:szCs w:val="17"/>
              </w:rPr>
            </w:pPr>
            <w:r>
              <w:rPr>
                <w:rFonts w:ascii="宋体" w:eastAsia="宋体" w:hAnsi="宋体" w:cs="宋体"/>
                <w:spacing w:val="-3"/>
                <w:position w:val="-2"/>
                <w:sz w:val="17"/>
                <w:szCs w:val="17"/>
              </w:rPr>
              <w:t>1644.0</w:t>
            </w:r>
            <w:r>
              <w:rPr>
                <w:rFonts w:ascii="宋体" w:eastAsia="宋体" w:hAnsi="宋体" w:cs="宋体"/>
                <w:spacing w:val="19"/>
                <w:position w:val="-2"/>
                <w:sz w:val="17"/>
                <w:szCs w:val="17"/>
              </w:rPr>
              <w:t xml:space="preserve">  </w:t>
            </w:r>
            <w:r>
              <w:rPr>
                <w:rFonts w:ascii="宋体" w:eastAsia="宋体" w:hAnsi="宋体" w:cs="宋体"/>
                <w:spacing w:val="-3"/>
                <w:position w:val="2"/>
                <w:sz w:val="17"/>
                <w:szCs w:val="17"/>
              </w:rPr>
              <w:t>1047.6</w:t>
            </w:r>
          </w:p>
        </w:tc>
        <w:tc>
          <w:tcPr>
            <w:tcW w:w="809" w:type="dxa"/>
            <w:tcBorders>
              <w:bottom w:val="single" w:sz="4" w:space="0" w:color="000000"/>
            </w:tcBorders>
          </w:tcPr>
          <w:p w:rsidR="00EA40A3" w:rsidRDefault="00E86C16">
            <w:pPr>
              <w:spacing w:before="95" w:line="184" w:lineRule="auto"/>
              <w:ind w:left="118"/>
              <w:rPr>
                <w:rFonts w:ascii="宋体" w:eastAsia="宋体" w:hAnsi="宋体" w:cs="宋体"/>
                <w:sz w:val="17"/>
                <w:szCs w:val="17"/>
              </w:rPr>
            </w:pPr>
            <w:r>
              <w:rPr>
                <w:rFonts w:ascii="宋体" w:eastAsia="宋体" w:hAnsi="宋体" w:cs="宋体"/>
                <w:spacing w:val="-2"/>
                <w:sz w:val="17"/>
                <w:szCs w:val="17"/>
              </w:rPr>
              <w:t>982.1</w:t>
            </w:r>
          </w:p>
        </w:tc>
      </w:tr>
    </w:tbl>
    <w:p w:rsidR="00EA40A3" w:rsidRDefault="00E86C16">
      <w:pPr>
        <w:spacing w:before="131" w:line="583" w:lineRule="exact"/>
        <w:ind w:left="340"/>
        <w:rPr>
          <w:rFonts w:ascii="宋体" w:eastAsia="宋体" w:hAnsi="宋体" w:cs="宋体"/>
          <w:sz w:val="17"/>
          <w:szCs w:val="17"/>
        </w:rPr>
      </w:pPr>
      <w:r>
        <w:rPr>
          <w:rFonts w:ascii="宋体" w:eastAsia="宋体" w:hAnsi="宋体" w:cs="宋体"/>
          <w:position w:val="32"/>
          <w:sz w:val="17"/>
          <w:szCs w:val="17"/>
        </w:rPr>
        <w:t>资料来源：葛可佑等.</w:t>
      </w:r>
      <w:r>
        <w:rPr>
          <w:rFonts w:ascii="宋体" w:eastAsia="宋体" w:hAnsi="宋体" w:cs="宋体"/>
          <w:spacing w:val="20"/>
          <w:position w:val="32"/>
          <w:sz w:val="17"/>
          <w:szCs w:val="17"/>
        </w:rPr>
        <w:t xml:space="preserve"> </w:t>
      </w:r>
      <w:r>
        <w:rPr>
          <w:rFonts w:ascii="宋体" w:eastAsia="宋体" w:hAnsi="宋体" w:cs="宋体"/>
          <w:position w:val="32"/>
          <w:sz w:val="17"/>
          <w:szCs w:val="17"/>
        </w:rPr>
        <w:t>1996.卫生研究.卫生部等.2004</w:t>
      </w:r>
      <w:r>
        <w:rPr>
          <w:rFonts w:ascii="宋体" w:eastAsia="宋体" w:hAnsi="宋体" w:cs="宋体"/>
          <w:spacing w:val="-1"/>
          <w:position w:val="32"/>
          <w:sz w:val="17"/>
          <w:szCs w:val="17"/>
        </w:rPr>
        <w:t>.中国居民营养与健康现状</w:t>
      </w:r>
    </w:p>
    <w:p w:rsidR="00EA40A3" w:rsidRDefault="00E86C16">
      <w:pPr>
        <w:spacing w:before="1" w:line="227" w:lineRule="auto"/>
        <w:rPr>
          <w:rFonts w:ascii="楷体" w:eastAsia="楷体" w:hAnsi="楷体" w:cs="楷体"/>
        </w:rPr>
      </w:pPr>
      <w:r>
        <w:rPr>
          <w:rFonts w:ascii="楷体" w:eastAsia="楷体" w:hAnsi="楷体" w:cs="楷体"/>
          <w:spacing w:val="14"/>
        </w:rPr>
        <w:t>3)膳食结构</w:t>
      </w:r>
    </w:p>
    <w:p w:rsidR="00EA40A3" w:rsidRDefault="00E86C16">
      <w:pPr>
        <w:spacing w:before="35" w:line="222" w:lineRule="auto"/>
        <w:ind w:left="1642"/>
        <w:rPr>
          <w:rFonts w:ascii="黑体" w:eastAsia="黑体" w:hAnsi="黑体" w:cs="黑体"/>
        </w:rPr>
      </w:pPr>
      <w:r>
        <w:rPr>
          <w:rFonts w:ascii="黑体" w:eastAsia="黑体" w:hAnsi="黑体" w:cs="黑体"/>
          <w:b/>
          <w:bCs/>
          <w:spacing w:val="-14"/>
        </w:rPr>
        <w:t>表12-91992与2002年全国城乡居民</w:t>
      </w:r>
      <w:r>
        <w:rPr>
          <w:rFonts w:ascii="黑体" w:eastAsia="黑体" w:hAnsi="黑体" w:cs="黑体"/>
          <w:b/>
          <w:bCs/>
          <w:spacing w:val="-15"/>
        </w:rPr>
        <w:t>膳食结构比较</w:t>
      </w:r>
    </w:p>
    <w:p w:rsidR="00EA40A3" w:rsidRDefault="00EA40A3">
      <w:pPr>
        <w:spacing w:line="38" w:lineRule="exact"/>
      </w:pPr>
    </w:p>
    <w:tbl>
      <w:tblPr>
        <w:tblStyle w:val="TableNormal"/>
        <w:tblW w:w="7319" w:type="dxa"/>
        <w:tblInd w:w="1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635"/>
        <w:gridCol w:w="720"/>
        <w:gridCol w:w="817"/>
        <w:gridCol w:w="848"/>
        <w:gridCol w:w="827"/>
        <w:gridCol w:w="798"/>
        <w:gridCol w:w="674"/>
      </w:tblGrid>
      <w:tr w:rsidR="00EA40A3">
        <w:trPr>
          <w:trHeight w:val="343"/>
        </w:trPr>
        <w:tc>
          <w:tcPr>
            <w:tcW w:w="2635" w:type="dxa"/>
            <w:vMerge w:val="restart"/>
            <w:tcBorders>
              <w:top w:val="single" w:sz="4" w:space="0" w:color="000000"/>
              <w:bottom w:val="nil"/>
            </w:tcBorders>
          </w:tcPr>
          <w:p w:rsidR="00EA40A3" w:rsidRDefault="00E86C16">
            <w:pPr>
              <w:spacing w:before="232" w:line="220" w:lineRule="auto"/>
              <w:ind w:left="1130"/>
              <w:rPr>
                <w:rFonts w:ascii="宋体" w:eastAsia="宋体" w:hAnsi="宋体" w:cs="宋体"/>
                <w:sz w:val="17"/>
                <w:szCs w:val="17"/>
              </w:rPr>
            </w:pPr>
            <w:r>
              <w:rPr>
                <w:rFonts w:ascii="宋体" w:eastAsia="宋体" w:hAnsi="宋体" w:cs="宋体"/>
                <w:spacing w:val="-5"/>
                <w:sz w:val="17"/>
                <w:szCs w:val="17"/>
              </w:rPr>
              <w:t>项 目</w:t>
            </w:r>
          </w:p>
        </w:tc>
        <w:tc>
          <w:tcPr>
            <w:tcW w:w="1537" w:type="dxa"/>
            <w:gridSpan w:val="2"/>
            <w:tcBorders>
              <w:top w:val="single" w:sz="4" w:space="0" w:color="000000"/>
              <w:bottom w:val="single" w:sz="4" w:space="0" w:color="000000"/>
            </w:tcBorders>
          </w:tcPr>
          <w:p w:rsidR="00EA40A3" w:rsidRDefault="00E86C16">
            <w:pPr>
              <w:spacing w:before="132" w:line="219" w:lineRule="auto"/>
              <w:ind w:left="414"/>
              <w:rPr>
                <w:rFonts w:ascii="宋体" w:eastAsia="宋体" w:hAnsi="宋体" w:cs="宋体"/>
                <w:sz w:val="17"/>
                <w:szCs w:val="17"/>
              </w:rPr>
            </w:pPr>
            <w:r>
              <w:rPr>
                <w:rFonts w:ascii="宋体" w:eastAsia="宋体" w:hAnsi="宋体" w:cs="宋体"/>
                <w:spacing w:val="-2"/>
                <w:sz w:val="17"/>
                <w:szCs w:val="17"/>
              </w:rPr>
              <w:t>城乡合计</w:t>
            </w:r>
          </w:p>
        </w:tc>
        <w:tc>
          <w:tcPr>
            <w:tcW w:w="1675" w:type="dxa"/>
            <w:gridSpan w:val="2"/>
            <w:tcBorders>
              <w:top w:val="single" w:sz="4" w:space="0" w:color="000000"/>
              <w:bottom w:val="single" w:sz="4" w:space="0" w:color="000000"/>
            </w:tcBorders>
          </w:tcPr>
          <w:p w:rsidR="00EA40A3" w:rsidRDefault="00E86C16">
            <w:pPr>
              <w:spacing w:before="142" w:line="218" w:lineRule="auto"/>
              <w:ind w:left="698"/>
              <w:rPr>
                <w:rFonts w:ascii="宋体" w:eastAsia="宋体" w:hAnsi="宋体" w:cs="宋体"/>
                <w:sz w:val="17"/>
                <w:szCs w:val="17"/>
              </w:rPr>
            </w:pPr>
            <w:r>
              <w:rPr>
                <w:rFonts w:ascii="宋体" w:eastAsia="宋体" w:hAnsi="宋体" w:cs="宋体"/>
                <w:spacing w:val="-2"/>
                <w:sz w:val="17"/>
                <w:szCs w:val="17"/>
              </w:rPr>
              <w:t>城市</w:t>
            </w:r>
          </w:p>
        </w:tc>
        <w:tc>
          <w:tcPr>
            <w:tcW w:w="1472" w:type="dxa"/>
            <w:gridSpan w:val="2"/>
            <w:tcBorders>
              <w:top w:val="single" w:sz="4" w:space="0" w:color="000000"/>
              <w:bottom w:val="single" w:sz="4" w:space="0" w:color="000000"/>
            </w:tcBorders>
          </w:tcPr>
          <w:p w:rsidR="00EA40A3" w:rsidRDefault="00E86C16">
            <w:pPr>
              <w:spacing w:before="120" w:line="219" w:lineRule="auto"/>
              <w:ind w:left="602"/>
              <w:rPr>
                <w:rFonts w:ascii="宋体" w:eastAsia="宋体" w:hAnsi="宋体" w:cs="宋体"/>
                <w:sz w:val="17"/>
                <w:szCs w:val="17"/>
              </w:rPr>
            </w:pPr>
            <w:r>
              <w:rPr>
                <w:rFonts w:ascii="宋体" w:eastAsia="宋体" w:hAnsi="宋体" w:cs="宋体"/>
                <w:spacing w:val="-2"/>
                <w:sz w:val="17"/>
                <w:szCs w:val="17"/>
              </w:rPr>
              <w:t>农村</w:t>
            </w:r>
          </w:p>
        </w:tc>
      </w:tr>
      <w:tr w:rsidR="00EA40A3">
        <w:trPr>
          <w:trHeight w:val="268"/>
        </w:trPr>
        <w:tc>
          <w:tcPr>
            <w:tcW w:w="2635" w:type="dxa"/>
            <w:vMerge/>
            <w:tcBorders>
              <w:top w:val="nil"/>
              <w:bottom w:val="single" w:sz="4" w:space="0" w:color="000000"/>
            </w:tcBorders>
          </w:tcPr>
          <w:p w:rsidR="00EA40A3" w:rsidRDefault="00EA40A3"/>
        </w:tc>
        <w:tc>
          <w:tcPr>
            <w:tcW w:w="720" w:type="dxa"/>
            <w:tcBorders>
              <w:top w:val="single" w:sz="4" w:space="0" w:color="000000"/>
              <w:bottom w:val="single" w:sz="4" w:space="0" w:color="000000"/>
            </w:tcBorders>
          </w:tcPr>
          <w:p w:rsidR="00EA40A3" w:rsidRDefault="00E86C16">
            <w:pPr>
              <w:spacing w:before="88" w:line="195" w:lineRule="auto"/>
              <w:ind w:left="84"/>
              <w:rPr>
                <w:rFonts w:ascii="宋体" w:eastAsia="宋体" w:hAnsi="宋体" w:cs="宋体"/>
                <w:sz w:val="17"/>
                <w:szCs w:val="17"/>
              </w:rPr>
            </w:pPr>
            <w:r>
              <w:rPr>
                <w:rFonts w:ascii="宋体" w:eastAsia="宋体" w:hAnsi="宋体" w:cs="宋体"/>
                <w:spacing w:val="1"/>
                <w:sz w:val="17"/>
                <w:szCs w:val="17"/>
              </w:rPr>
              <w:t>1992年</w:t>
            </w:r>
          </w:p>
        </w:tc>
        <w:tc>
          <w:tcPr>
            <w:tcW w:w="817" w:type="dxa"/>
            <w:tcBorders>
              <w:top w:val="single" w:sz="4" w:space="0" w:color="000000"/>
              <w:bottom w:val="single" w:sz="4" w:space="0" w:color="000000"/>
            </w:tcBorders>
          </w:tcPr>
          <w:p w:rsidR="00EA40A3" w:rsidRDefault="00E86C16">
            <w:pPr>
              <w:spacing w:before="59" w:line="219" w:lineRule="auto"/>
              <w:ind w:left="124"/>
              <w:rPr>
                <w:rFonts w:ascii="宋体" w:eastAsia="宋体" w:hAnsi="宋体" w:cs="宋体"/>
                <w:sz w:val="17"/>
                <w:szCs w:val="17"/>
              </w:rPr>
            </w:pPr>
            <w:r>
              <w:rPr>
                <w:rFonts w:ascii="宋体" w:eastAsia="宋体" w:hAnsi="宋体" w:cs="宋体"/>
                <w:spacing w:val="-2"/>
                <w:sz w:val="17"/>
                <w:szCs w:val="17"/>
              </w:rPr>
              <w:t>2002年</w:t>
            </w:r>
          </w:p>
        </w:tc>
        <w:tc>
          <w:tcPr>
            <w:tcW w:w="848" w:type="dxa"/>
            <w:tcBorders>
              <w:top w:val="single" w:sz="4" w:space="0" w:color="000000"/>
              <w:bottom w:val="single" w:sz="4" w:space="0" w:color="000000"/>
            </w:tcBorders>
          </w:tcPr>
          <w:p w:rsidR="00EA40A3" w:rsidRDefault="00E86C16">
            <w:pPr>
              <w:spacing w:before="79" w:line="205" w:lineRule="auto"/>
              <w:ind w:left="198"/>
              <w:rPr>
                <w:rFonts w:ascii="宋体" w:eastAsia="宋体" w:hAnsi="宋体" w:cs="宋体"/>
                <w:sz w:val="17"/>
                <w:szCs w:val="17"/>
              </w:rPr>
            </w:pPr>
            <w:r>
              <w:rPr>
                <w:rFonts w:ascii="宋体" w:eastAsia="宋体" w:hAnsi="宋体" w:cs="宋体"/>
                <w:spacing w:val="1"/>
                <w:sz w:val="17"/>
                <w:szCs w:val="17"/>
              </w:rPr>
              <w:t>1992年</w:t>
            </w:r>
          </w:p>
        </w:tc>
        <w:tc>
          <w:tcPr>
            <w:tcW w:w="827" w:type="dxa"/>
            <w:tcBorders>
              <w:top w:val="single" w:sz="4" w:space="0" w:color="000000"/>
              <w:bottom w:val="single" w:sz="4" w:space="0" w:color="000000"/>
            </w:tcBorders>
          </w:tcPr>
          <w:p w:rsidR="00EA40A3" w:rsidRDefault="00E86C16">
            <w:pPr>
              <w:spacing w:before="88" w:line="195" w:lineRule="auto"/>
              <w:ind w:left="139"/>
              <w:rPr>
                <w:rFonts w:ascii="宋体" w:eastAsia="宋体" w:hAnsi="宋体" w:cs="宋体"/>
                <w:sz w:val="17"/>
                <w:szCs w:val="17"/>
              </w:rPr>
            </w:pPr>
            <w:r>
              <w:rPr>
                <w:rFonts w:ascii="宋体" w:eastAsia="宋体" w:hAnsi="宋体" w:cs="宋体"/>
                <w:spacing w:val="-2"/>
                <w:sz w:val="17"/>
                <w:szCs w:val="17"/>
              </w:rPr>
              <w:t>2002年</w:t>
            </w:r>
          </w:p>
        </w:tc>
        <w:tc>
          <w:tcPr>
            <w:tcW w:w="798" w:type="dxa"/>
            <w:tcBorders>
              <w:top w:val="single" w:sz="4" w:space="0" w:color="000000"/>
              <w:bottom w:val="single" w:sz="4" w:space="0" w:color="000000"/>
            </w:tcBorders>
          </w:tcPr>
          <w:p w:rsidR="00EA40A3" w:rsidRDefault="00E86C16">
            <w:pPr>
              <w:spacing w:before="79" w:line="205" w:lineRule="auto"/>
              <w:ind w:left="192"/>
              <w:rPr>
                <w:rFonts w:ascii="宋体" w:eastAsia="宋体" w:hAnsi="宋体" w:cs="宋体"/>
                <w:sz w:val="17"/>
                <w:szCs w:val="17"/>
              </w:rPr>
            </w:pPr>
            <w:r>
              <w:rPr>
                <w:rFonts w:ascii="宋体" w:eastAsia="宋体" w:hAnsi="宋体" w:cs="宋体"/>
                <w:spacing w:val="1"/>
                <w:sz w:val="17"/>
                <w:szCs w:val="17"/>
              </w:rPr>
              <w:t>1992年</w:t>
            </w:r>
          </w:p>
        </w:tc>
        <w:tc>
          <w:tcPr>
            <w:tcW w:w="674" w:type="dxa"/>
            <w:tcBorders>
              <w:top w:val="single" w:sz="4" w:space="0" w:color="000000"/>
              <w:bottom w:val="single" w:sz="4" w:space="0" w:color="000000"/>
            </w:tcBorders>
          </w:tcPr>
          <w:p w:rsidR="00EA40A3" w:rsidRDefault="00E86C16">
            <w:pPr>
              <w:spacing w:before="88" w:line="195" w:lineRule="auto"/>
              <w:ind w:left="95"/>
              <w:rPr>
                <w:rFonts w:ascii="宋体" w:eastAsia="宋体" w:hAnsi="宋体" w:cs="宋体"/>
                <w:sz w:val="17"/>
                <w:szCs w:val="17"/>
              </w:rPr>
            </w:pPr>
            <w:r>
              <w:rPr>
                <w:rFonts w:ascii="宋体" w:eastAsia="宋体" w:hAnsi="宋体" w:cs="宋体"/>
                <w:spacing w:val="-2"/>
                <w:sz w:val="17"/>
                <w:szCs w:val="17"/>
              </w:rPr>
              <w:t>2002年</w:t>
            </w:r>
          </w:p>
        </w:tc>
      </w:tr>
      <w:tr w:rsidR="00EA40A3">
        <w:trPr>
          <w:trHeight w:val="338"/>
        </w:trPr>
        <w:tc>
          <w:tcPr>
            <w:tcW w:w="2635" w:type="dxa"/>
            <w:tcBorders>
              <w:top w:val="single" w:sz="4" w:space="0" w:color="000000"/>
            </w:tcBorders>
          </w:tcPr>
          <w:p w:rsidR="00EA40A3" w:rsidRDefault="00E86C16">
            <w:pPr>
              <w:spacing w:before="99" w:line="219" w:lineRule="auto"/>
              <w:ind w:left="529"/>
              <w:rPr>
                <w:rFonts w:ascii="宋体" w:eastAsia="宋体" w:hAnsi="宋体" w:cs="宋体"/>
                <w:sz w:val="17"/>
                <w:szCs w:val="17"/>
              </w:rPr>
            </w:pPr>
            <w:r>
              <w:rPr>
                <w:rFonts w:ascii="宋体" w:eastAsia="宋体" w:hAnsi="宋体" w:cs="宋体"/>
                <w:spacing w:val="-1"/>
                <w:sz w:val="17"/>
                <w:szCs w:val="17"/>
              </w:rPr>
              <w:t>谷类食物供能比例/%</w:t>
            </w:r>
          </w:p>
        </w:tc>
        <w:tc>
          <w:tcPr>
            <w:tcW w:w="720" w:type="dxa"/>
            <w:tcBorders>
              <w:top w:val="single" w:sz="4" w:space="0" w:color="000000"/>
            </w:tcBorders>
          </w:tcPr>
          <w:p w:rsidR="00EA40A3" w:rsidRDefault="00E86C16">
            <w:pPr>
              <w:spacing w:before="144" w:line="183" w:lineRule="auto"/>
              <w:ind w:left="174"/>
              <w:rPr>
                <w:rFonts w:ascii="宋体" w:eastAsia="宋体" w:hAnsi="宋体" w:cs="宋体"/>
                <w:sz w:val="17"/>
                <w:szCs w:val="17"/>
              </w:rPr>
            </w:pPr>
            <w:r>
              <w:rPr>
                <w:rFonts w:ascii="宋体" w:eastAsia="宋体" w:hAnsi="宋体" w:cs="宋体"/>
                <w:spacing w:val="-2"/>
                <w:sz w:val="17"/>
                <w:szCs w:val="17"/>
              </w:rPr>
              <w:t>66.8</w:t>
            </w:r>
          </w:p>
        </w:tc>
        <w:tc>
          <w:tcPr>
            <w:tcW w:w="817" w:type="dxa"/>
            <w:tcBorders>
              <w:top w:val="single" w:sz="4" w:space="0" w:color="000000"/>
            </w:tcBorders>
          </w:tcPr>
          <w:p w:rsidR="00EA40A3" w:rsidRDefault="00E86C16">
            <w:pPr>
              <w:spacing w:before="144" w:line="183" w:lineRule="auto"/>
              <w:ind w:left="244"/>
              <w:rPr>
                <w:rFonts w:ascii="宋体" w:eastAsia="宋体" w:hAnsi="宋体" w:cs="宋体"/>
                <w:sz w:val="17"/>
                <w:szCs w:val="17"/>
              </w:rPr>
            </w:pPr>
            <w:r>
              <w:rPr>
                <w:rFonts w:ascii="宋体" w:eastAsia="宋体" w:hAnsi="宋体" w:cs="宋体"/>
                <w:spacing w:val="-2"/>
                <w:sz w:val="17"/>
                <w:szCs w:val="17"/>
              </w:rPr>
              <w:t>57.0</w:t>
            </w:r>
          </w:p>
        </w:tc>
        <w:tc>
          <w:tcPr>
            <w:tcW w:w="848" w:type="dxa"/>
            <w:tcBorders>
              <w:top w:val="single" w:sz="4" w:space="0" w:color="000000"/>
            </w:tcBorders>
          </w:tcPr>
          <w:p w:rsidR="00EA40A3" w:rsidRDefault="00E86C16">
            <w:pPr>
              <w:spacing w:before="144" w:line="183" w:lineRule="auto"/>
              <w:ind w:left="247"/>
              <w:rPr>
                <w:rFonts w:ascii="宋体" w:eastAsia="宋体" w:hAnsi="宋体" w:cs="宋体"/>
                <w:sz w:val="17"/>
                <w:szCs w:val="17"/>
              </w:rPr>
            </w:pPr>
            <w:r>
              <w:rPr>
                <w:rFonts w:ascii="宋体" w:eastAsia="宋体" w:hAnsi="宋体" w:cs="宋体"/>
                <w:spacing w:val="-2"/>
                <w:sz w:val="17"/>
                <w:szCs w:val="17"/>
              </w:rPr>
              <w:t>57.4</w:t>
            </w:r>
          </w:p>
        </w:tc>
        <w:tc>
          <w:tcPr>
            <w:tcW w:w="827" w:type="dxa"/>
            <w:tcBorders>
              <w:top w:val="single" w:sz="4" w:space="0" w:color="000000"/>
            </w:tcBorders>
          </w:tcPr>
          <w:p w:rsidR="00EA40A3" w:rsidRDefault="00E86C16">
            <w:pPr>
              <w:spacing w:before="164" w:line="183" w:lineRule="auto"/>
              <w:ind w:left="239"/>
              <w:rPr>
                <w:rFonts w:ascii="宋体" w:eastAsia="宋体" w:hAnsi="宋体" w:cs="宋体"/>
                <w:sz w:val="17"/>
                <w:szCs w:val="17"/>
              </w:rPr>
            </w:pPr>
            <w:r>
              <w:rPr>
                <w:rFonts w:ascii="宋体" w:eastAsia="宋体" w:hAnsi="宋体" w:cs="宋体"/>
                <w:spacing w:val="-2"/>
                <w:sz w:val="17"/>
                <w:szCs w:val="17"/>
              </w:rPr>
              <w:t>47.4</w:t>
            </w:r>
          </w:p>
        </w:tc>
        <w:tc>
          <w:tcPr>
            <w:tcW w:w="798" w:type="dxa"/>
            <w:tcBorders>
              <w:top w:val="single" w:sz="4" w:space="0" w:color="000000"/>
            </w:tcBorders>
          </w:tcPr>
          <w:p w:rsidR="00EA40A3" w:rsidRDefault="00E86C16">
            <w:pPr>
              <w:spacing w:before="154" w:line="184" w:lineRule="auto"/>
              <w:ind w:left="282"/>
              <w:rPr>
                <w:rFonts w:ascii="宋体" w:eastAsia="宋体" w:hAnsi="宋体" w:cs="宋体"/>
                <w:sz w:val="17"/>
                <w:szCs w:val="17"/>
              </w:rPr>
            </w:pPr>
            <w:r>
              <w:rPr>
                <w:rFonts w:ascii="宋体" w:eastAsia="宋体" w:hAnsi="宋体" w:cs="宋体"/>
                <w:spacing w:val="-3"/>
                <w:sz w:val="17"/>
                <w:szCs w:val="17"/>
              </w:rPr>
              <w:t>71.7</w:t>
            </w:r>
          </w:p>
        </w:tc>
        <w:tc>
          <w:tcPr>
            <w:tcW w:w="674" w:type="dxa"/>
            <w:tcBorders>
              <w:top w:val="single" w:sz="4" w:space="0" w:color="000000"/>
            </w:tcBorders>
          </w:tcPr>
          <w:p w:rsidR="00EA40A3" w:rsidRDefault="00E86C16">
            <w:pPr>
              <w:spacing w:before="154" w:line="183" w:lineRule="auto"/>
              <w:ind w:left="164"/>
              <w:rPr>
                <w:rFonts w:ascii="宋体" w:eastAsia="宋体" w:hAnsi="宋体" w:cs="宋体"/>
                <w:sz w:val="17"/>
                <w:szCs w:val="17"/>
              </w:rPr>
            </w:pPr>
            <w:r>
              <w:rPr>
                <w:rFonts w:ascii="宋体" w:eastAsia="宋体" w:hAnsi="宋体" w:cs="宋体"/>
                <w:spacing w:val="-2"/>
                <w:sz w:val="17"/>
                <w:szCs w:val="17"/>
              </w:rPr>
              <w:t>60.7</w:t>
            </w:r>
          </w:p>
        </w:tc>
      </w:tr>
      <w:tr w:rsidR="00EA40A3">
        <w:trPr>
          <w:trHeight w:val="308"/>
        </w:trPr>
        <w:tc>
          <w:tcPr>
            <w:tcW w:w="2635" w:type="dxa"/>
          </w:tcPr>
          <w:p w:rsidR="00EA40A3" w:rsidRDefault="00E86C16">
            <w:pPr>
              <w:spacing w:before="61" w:line="219" w:lineRule="auto"/>
              <w:ind w:left="449"/>
              <w:rPr>
                <w:rFonts w:ascii="宋体" w:eastAsia="宋体" w:hAnsi="宋体" w:cs="宋体"/>
                <w:sz w:val="17"/>
                <w:szCs w:val="17"/>
              </w:rPr>
            </w:pPr>
            <w:r>
              <w:rPr>
                <w:rFonts w:ascii="宋体" w:eastAsia="宋体" w:hAnsi="宋体" w:cs="宋体"/>
                <w:spacing w:val="-1"/>
                <w:sz w:val="17"/>
                <w:szCs w:val="17"/>
              </w:rPr>
              <w:t>动物性食物供能比例/%</w:t>
            </w:r>
          </w:p>
        </w:tc>
        <w:tc>
          <w:tcPr>
            <w:tcW w:w="720" w:type="dxa"/>
          </w:tcPr>
          <w:p w:rsidR="00EA40A3" w:rsidRDefault="00E86C16">
            <w:pPr>
              <w:spacing w:before="116" w:line="183" w:lineRule="auto"/>
              <w:ind w:left="214"/>
              <w:rPr>
                <w:rFonts w:ascii="宋体" w:eastAsia="宋体" w:hAnsi="宋体" w:cs="宋体"/>
                <w:sz w:val="17"/>
                <w:szCs w:val="17"/>
              </w:rPr>
            </w:pPr>
            <w:r>
              <w:rPr>
                <w:rFonts w:ascii="宋体" w:eastAsia="宋体" w:hAnsi="宋体" w:cs="宋体"/>
                <w:spacing w:val="-2"/>
                <w:sz w:val="17"/>
                <w:szCs w:val="17"/>
              </w:rPr>
              <w:t>9.3</w:t>
            </w:r>
          </w:p>
        </w:tc>
        <w:tc>
          <w:tcPr>
            <w:tcW w:w="817" w:type="dxa"/>
          </w:tcPr>
          <w:p w:rsidR="00EA40A3" w:rsidRDefault="00E86C16">
            <w:pPr>
              <w:spacing w:before="125" w:line="184" w:lineRule="auto"/>
              <w:ind w:left="244"/>
              <w:rPr>
                <w:rFonts w:ascii="宋体" w:eastAsia="宋体" w:hAnsi="宋体" w:cs="宋体"/>
                <w:sz w:val="17"/>
                <w:szCs w:val="17"/>
              </w:rPr>
            </w:pPr>
            <w:r>
              <w:rPr>
                <w:rFonts w:ascii="宋体" w:eastAsia="宋体" w:hAnsi="宋体" w:cs="宋体"/>
                <w:spacing w:val="-4"/>
                <w:sz w:val="17"/>
                <w:szCs w:val="17"/>
              </w:rPr>
              <w:t>13.7</w:t>
            </w:r>
          </w:p>
        </w:tc>
        <w:tc>
          <w:tcPr>
            <w:tcW w:w="848" w:type="dxa"/>
          </w:tcPr>
          <w:p w:rsidR="00EA40A3" w:rsidRDefault="00E86C16">
            <w:pPr>
              <w:spacing w:before="115" w:line="184" w:lineRule="auto"/>
              <w:ind w:left="247"/>
              <w:rPr>
                <w:rFonts w:ascii="宋体" w:eastAsia="宋体" w:hAnsi="宋体" w:cs="宋体"/>
                <w:sz w:val="17"/>
                <w:szCs w:val="17"/>
              </w:rPr>
            </w:pPr>
            <w:r>
              <w:rPr>
                <w:rFonts w:ascii="宋体" w:eastAsia="宋体" w:hAnsi="宋体" w:cs="宋体"/>
                <w:spacing w:val="-4"/>
                <w:sz w:val="17"/>
                <w:szCs w:val="17"/>
              </w:rPr>
              <w:t>15.2</w:t>
            </w:r>
          </w:p>
        </w:tc>
        <w:tc>
          <w:tcPr>
            <w:tcW w:w="827" w:type="dxa"/>
          </w:tcPr>
          <w:p w:rsidR="00EA40A3" w:rsidRDefault="00E86C16">
            <w:pPr>
              <w:spacing w:before="125" w:line="184" w:lineRule="auto"/>
              <w:ind w:left="239"/>
              <w:rPr>
                <w:rFonts w:ascii="宋体" w:eastAsia="宋体" w:hAnsi="宋体" w:cs="宋体"/>
                <w:sz w:val="17"/>
                <w:szCs w:val="17"/>
              </w:rPr>
            </w:pPr>
            <w:r>
              <w:rPr>
                <w:rFonts w:ascii="宋体" w:eastAsia="宋体" w:hAnsi="宋体" w:cs="宋体"/>
                <w:spacing w:val="-4"/>
                <w:sz w:val="17"/>
                <w:szCs w:val="17"/>
              </w:rPr>
              <w:t>19.2</w:t>
            </w:r>
          </w:p>
        </w:tc>
        <w:tc>
          <w:tcPr>
            <w:tcW w:w="798" w:type="dxa"/>
          </w:tcPr>
          <w:p w:rsidR="00EA40A3" w:rsidRDefault="00E86C16">
            <w:pPr>
              <w:spacing w:before="106" w:line="183" w:lineRule="auto"/>
              <w:ind w:left="362"/>
              <w:rPr>
                <w:rFonts w:ascii="宋体" w:eastAsia="宋体" w:hAnsi="宋体" w:cs="宋体"/>
                <w:sz w:val="17"/>
                <w:szCs w:val="17"/>
              </w:rPr>
            </w:pPr>
            <w:r>
              <w:rPr>
                <w:rFonts w:ascii="宋体" w:eastAsia="宋体" w:hAnsi="宋体" w:cs="宋体"/>
                <w:spacing w:val="-2"/>
                <w:sz w:val="17"/>
                <w:szCs w:val="17"/>
              </w:rPr>
              <w:t>6.2</w:t>
            </w:r>
          </w:p>
        </w:tc>
        <w:tc>
          <w:tcPr>
            <w:tcW w:w="674" w:type="dxa"/>
          </w:tcPr>
          <w:p w:rsidR="00EA40A3" w:rsidRDefault="00E86C16">
            <w:pPr>
              <w:spacing w:before="96" w:line="184" w:lineRule="auto"/>
              <w:ind w:left="164"/>
              <w:rPr>
                <w:rFonts w:ascii="宋体" w:eastAsia="宋体" w:hAnsi="宋体" w:cs="宋体"/>
                <w:sz w:val="17"/>
                <w:szCs w:val="17"/>
              </w:rPr>
            </w:pPr>
            <w:r>
              <w:rPr>
                <w:rFonts w:ascii="宋体" w:eastAsia="宋体" w:hAnsi="宋体" w:cs="宋体"/>
                <w:spacing w:val="-4"/>
                <w:sz w:val="17"/>
                <w:szCs w:val="17"/>
              </w:rPr>
              <w:t>11.6</w:t>
            </w:r>
          </w:p>
        </w:tc>
      </w:tr>
      <w:tr w:rsidR="00EA40A3">
        <w:trPr>
          <w:trHeight w:val="283"/>
        </w:trPr>
        <w:tc>
          <w:tcPr>
            <w:tcW w:w="2635" w:type="dxa"/>
            <w:tcBorders>
              <w:bottom w:val="single" w:sz="4" w:space="0" w:color="000000"/>
            </w:tcBorders>
          </w:tcPr>
          <w:p w:rsidR="00EA40A3" w:rsidRDefault="00E86C16">
            <w:pPr>
              <w:spacing w:before="74" w:line="219" w:lineRule="auto"/>
              <w:ind w:left="699"/>
              <w:rPr>
                <w:rFonts w:ascii="宋体" w:eastAsia="宋体" w:hAnsi="宋体" w:cs="宋体"/>
                <w:sz w:val="17"/>
                <w:szCs w:val="17"/>
              </w:rPr>
            </w:pPr>
            <w:r>
              <w:rPr>
                <w:rFonts w:ascii="宋体" w:eastAsia="宋体" w:hAnsi="宋体" w:cs="宋体"/>
                <w:spacing w:val="-1"/>
                <w:sz w:val="17"/>
                <w:szCs w:val="17"/>
              </w:rPr>
              <w:t>脂肪供能比例/%</w:t>
            </w:r>
          </w:p>
        </w:tc>
        <w:tc>
          <w:tcPr>
            <w:tcW w:w="720" w:type="dxa"/>
            <w:tcBorders>
              <w:bottom w:val="single" w:sz="4" w:space="0" w:color="000000"/>
            </w:tcBorders>
          </w:tcPr>
          <w:p w:rsidR="00EA40A3" w:rsidRDefault="00E86C16">
            <w:pPr>
              <w:spacing w:before="108" w:line="183" w:lineRule="auto"/>
              <w:ind w:left="174"/>
              <w:rPr>
                <w:rFonts w:ascii="宋体" w:eastAsia="宋体" w:hAnsi="宋体" w:cs="宋体"/>
                <w:sz w:val="17"/>
                <w:szCs w:val="17"/>
              </w:rPr>
            </w:pPr>
            <w:r>
              <w:rPr>
                <w:rFonts w:ascii="宋体" w:eastAsia="宋体" w:hAnsi="宋体" w:cs="宋体"/>
                <w:spacing w:val="-2"/>
                <w:sz w:val="17"/>
                <w:szCs w:val="17"/>
              </w:rPr>
              <w:t>22.0</w:t>
            </w:r>
          </w:p>
        </w:tc>
        <w:tc>
          <w:tcPr>
            <w:tcW w:w="817" w:type="dxa"/>
            <w:tcBorders>
              <w:bottom w:val="single" w:sz="4" w:space="0" w:color="000000"/>
            </w:tcBorders>
          </w:tcPr>
          <w:p w:rsidR="00EA40A3" w:rsidRDefault="00E86C16">
            <w:pPr>
              <w:spacing w:before="119" w:line="178" w:lineRule="auto"/>
              <w:ind w:left="244"/>
              <w:rPr>
                <w:rFonts w:ascii="宋体" w:eastAsia="宋体" w:hAnsi="宋体" w:cs="宋体"/>
                <w:sz w:val="17"/>
                <w:szCs w:val="17"/>
              </w:rPr>
            </w:pPr>
            <w:r>
              <w:rPr>
                <w:rFonts w:ascii="宋体" w:eastAsia="宋体" w:hAnsi="宋体" w:cs="宋体"/>
                <w:spacing w:val="-2"/>
                <w:sz w:val="17"/>
                <w:szCs w:val="17"/>
              </w:rPr>
              <w:t>29.8</w:t>
            </w:r>
          </w:p>
        </w:tc>
        <w:tc>
          <w:tcPr>
            <w:tcW w:w="848" w:type="dxa"/>
            <w:tcBorders>
              <w:bottom w:val="single" w:sz="4" w:space="0" w:color="000000"/>
            </w:tcBorders>
          </w:tcPr>
          <w:p w:rsidR="00EA40A3" w:rsidRDefault="00E86C16">
            <w:pPr>
              <w:spacing w:before="119" w:line="178" w:lineRule="auto"/>
              <w:ind w:left="247"/>
              <w:rPr>
                <w:rFonts w:ascii="宋体" w:eastAsia="宋体" w:hAnsi="宋体" w:cs="宋体"/>
                <w:sz w:val="17"/>
                <w:szCs w:val="17"/>
              </w:rPr>
            </w:pPr>
            <w:r>
              <w:rPr>
                <w:rFonts w:ascii="宋体" w:eastAsia="宋体" w:hAnsi="宋体" w:cs="宋体"/>
                <w:spacing w:val="-2"/>
                <w:sz w:val="17"/>
                <w:szCs w:val="17"/>
              </w:rPr>
              <w:t>28.4</w:t>
            </w:r>
          </w:p>
        </w:tc>
        <w:tc>
          <w:tcPr>
            <w:tcW w:w="827" w:type="dxa"/>
            <w:tcBorders>
              <w:bottom w:val="single" w:sz="4" w:space="0" w:color="000000"/>
            </w:tcBorders>
          </w:tcPr>
          <w:p w:rsidR="00EA40A3" w:rsidRDefault="00E86C16">
            <w:pPr>
              <w:spacing w:before="138" w:line="157" w:lineRule="auto"/>
              <w:ind w:left="239"/>
              <w:rPr>
                <w:rFonts w:ascii="宋体" w:eastAsia="宋体" w:hAnsi="宋体" w:cs="宋体"/>
                <w:sz w:val="17"/>
                <w:szCs w:val="17"/>
              </w:rPr>
            </w:pPr>
            <w:r>
              <w:rPr>
                <w:rFonts w:ascii="宋体" w:eastAsia="宋体" w:hAnsi="宋体" w:cs="宋体"/>
                <w:spacing w:val="-2"/>
                <w:sz w:val="17"/>
                <w:szCs w:val="17"/>
              </w:rPr>
              <w:t>35.4</w:t>
            </w:r>
          </w:p>
        </w:tc>
        <w:tc>
          <w:tcPr>
            <w:tcW w:w="798" w:type="dxa"/>
            <w:tcBorders>
              <w:bottom w:val="single" w:sz="4" w:space="0" w:color="000000"/>
            </w:tcBorders>
          </w:tcPr>
          <w:p w:rsidR="00EA40A3" w:rsidRDefault="00E86C16">
            <w:pPr>
              <w:spacing w:before="118" w:line="179" w:lineRule="auto"/>
              <w:ind w:left="282"/>
              <w:rPr>
                <w:rFonts w:ascii="宋体" w:eastAsia="宋体" w:hAnsi="宋体" w:cs="宋体"/>
                <w:sz w:val="17"/>
                <w:szCs w:val="17"/>
              </w:rPr>
            </w:pPr>
            <w:r>
              <w:rPr>
                <w:rFonts w:ascii="宋体" w:eastAsia="宋体" w:hAnsi="宋体" w:cs="宋体"/>
                <w:spacing w:val="-4"/>
                <w:sz w:val="17"/>
                <w:szCs w:val="17"/>
              </w:rPr>
              <w:t>18.6</w:t>
            </w:r>
          </w:p>
        </w:tc>
        <w:tc>
          <w:tcPr>
            <w:tcW w:w="674" w:type="dxa"/>
            <w:tcBorders>
              <w:bottom w:val="single" w:sz="4" w:space="0" w:color="000000"/>
            </w:tcBorders>
          </w:tcPr>
          <w:p w:rsidR="00EA40A3" w:rsidRDefault="00E86C16">
            <w:pPr>
              <w:spacing w:before="129" w:line="167" w:lineRule="auto"/>
              <w:ind w:left="164"/>
              <w:rPr>
                <w:rFonts w:ascii="宋体" w:eastAsia="宋体" w:hAnsi="宋体" w:cs="宋体"/>
                <w:sz w:val="17"/>
                <w:szCs w:val="17"/>
              </w:rPr>
            </w:pPr>
            <w:r>
              <w:rPr>
                <w:rFonts w:ascii="宋体" w:eastAsia="宋体" w:hAnsi="宋体" w:cs="宋体"/>
                <w:spacing w:val="-2"/>
                <w:sz w:val="17"/>
                <w:szCs w:val="17"/>
              </w:rPr>
              <w:t>27.7</w:t>
            </w:r>
          </w:p>
        </w:tc>
      </w:tr>
    </w:tbl>
    <w:p w:rsidR="00EA40A3" w:rsidRDefault="00E86C16">
      <w:pPr>
        <w:spacing w:before="102" w:line="219" w:lineRule="auto"/>
        <w:ind w:left="360"/>
        <w:rPr>
          <w:rFonts w:ascii="宋体" w:eastAsia="宋体" w:hAnsi="宋体" w:cs="宋体"/>
          <w:sz w:val="17"/>
          <w:szCs w:val="17"/>
        </w:rPr>
      </w:pPr>
      <w:r>
        <w:rPr>
          <w:rFonts w:ascii="宋体" w:eastAsia="宋体" w:hAnsi="宋体" w:cs="宋体"/>
          <w:sz w:val="17"/>
          <w:szCs w:val="17"/>
        </w:rPr>
        <w:t>资料来源：卫生部等.2004.中国居民营养与健康现状</w:t>
      </w:r>
    </w:p>
    <w:p w:rsidR="00EA40A3" w:rsidRDefault="00EA40A3">
      <w:pPr>
        <w:spacing w:line="347" w:lineRule="auto"/>
      </w:pPr>
    </w:p>
    <w:p w:rsidR="00EA40A3" w:rsidRDefault="00E86C16">
      <w:pPr>
        <w:spacing w:before="69" w:line="254" w:lineRule="auto"/>
        <w:ind w:right="136" w:firstLine="430"/>
        <w:jc w:val="both"/>
        <w:rPr>
          <w:rFonts w:ascii="宋体" w:eastAsia="宋体" w:hAnsi="宋体" w:cs="宋体"/>
        </w:rPr>
      </w:pPr>
      <w:r>
        <w:rPr>
          <w:rFonts w:ascii="宋体" w:eastAsia="宋体" w:hAnsi="宋体" w:cs="宋体"/>
          <w:spacing w:val="3"/>
        </w:rPr>
        <w:t>表12-9表明，我国人群的膳食结构正在得到改善。膳食仍以谷类为主，但</w:t>
      </w:r>
      <w:r>
        <w:rPr>
          <w:rFonts w:ascii="宋体" w:eastAsia="宋体" w:hAnsi="宋体" w:cs="宋体"/>
          <w:spacing w:val="15"/>
        </w:rPr>
        <w:t xml:space="preserve"> </w:t>
      </w:r>
      <w:r>
        <w:rPr>
          <w:rFonts w:ascii="宋体" w:eastAsia="宋体" w:hAnsi="宋体" w:cs="宋体"/>
          <w:spacing w:val="-2"/>
        </w:rPr>
        <w:t>来自谷类食物的能量下降，薯类也下降，来自动物性食</w:t>
      </w:r>
      <w:r>
        <w:rPr>
          <w:rFonts w:ascii="宋体" w:eastAsia="宋体" w:hAnsi="宋体" w:cs="宋体"/>
          <w:spacing w:val="-3"/>
        </w:rPr>
        <w:t>物、纯能量食物及其他食</w:t>
      </w:r>
      <w:r>
        <w:rPr>
          <w:rFonts w:ascii="宋体" w:eastAsia="宋体" w:hAnsi="宋体" w:cs="宋体"/>
        </w:rPr>
        <w:t xml:space="preserve"> </w:t>
      </w:r>
      <w:r>
        <w:rPr>
          <w:rFonts w:ascii="宋体" w:eastAsia="宋体" w:hAnsi="宋体" w:cs="宋体"/>
          <w:spacing w:val="6"/>
        </w:rPr>
        <w:t>物的能量比例明显上升。2002年城市居民每人每日油脂消费量由1992年的37g</w:t>
      </w:r>
      <w:r>
        <w:rPr>
          <w:rFonts w:ascii="宋体" w:eastAsia="宋体" w:hAnsi="宋体" w:cs="宋体"/>
          <w:spacing w:val="3"/>
        </w:rPr>
        <w:t xml:space="preserve"> </w:t>
      </w:r>
      <w:r>
        <w:rPr>
          <w:rFonts w:ascii="宋体" w:eastAsia="宋体" w:hAnsi="宋体" w:cs="宋体"/>
          <w:spacing w:val="15"/>
        </w:rPr>
        <w:t>增加到44g,</w:t>
      </w:r>
      <w:r>
        <w:rPr>
          <w:rFonts w:ascii="宋体" w:eastAsia="宋体" w:hAnsi="宋体" w:cs="宋体"/>
          <w:spacing w:val="-4"/>
        </w:rPr>
        <w:t xml:space="preserve"> </w:t>
      </w:r>
      <w:r>
        <w:rPr>
          <w:rFonts w:ascii="宋体" w:eastAsia="宋体" w:hAnsi="宋体" w:cs="宋体"/>
          <w:spacing w:val="15"/>
        </w:rPr>
        <w:t>脂肪供能比达到35%,超过世界卫生组织推荐的30%的上限</w:t>
      </w:r>
      <w:r>
        <w:rPr>
          <w:rFonts w:ascii="宋体" w:eastAsia="宋体" w:hAnsi="宋体" w:cs="宋体"/>
          <w:spacing w:val="14"/>
        </w:rPr>
        <w:t>。城</w:t>
      </w:r>
      <w:r>
        <w:rPr>
          <w:rFonts w:ascii="宋体" w:eastAsia="宋体" w:hAnsi="宋体" w:cs="宋体"/>
        </w:rPr>
        <w:t xml:space="preserve"> </w:t>
      </w:r>
      <w:r>
        <w:rPr>
          <w:rFonts w:ascii="宋体" w:eastAsia="宋体" w:hAnsi="宋体" w:cs="宋体"/>
          <w:spacing w:val="12"/>
        </w:rPr>
        <w:t>市居民谷类食物供能比仅为47%,明显低于55%～65%的合理范围。</w:t>
      </w:r>
    </w:p>
    <w:p w:rsidR="00EA40A3" w:rsidRDefault="00EA40A3">
      <w:pPr>
        <w:sectPr w:rsidR="00EA40A3">
          <w:footerReference w:type="default" r:id="rId333"/>
          <w:pgSz w:w="9220" w:h="13360"/>
          <w:pgMar w:top="400" w:right="959" w:bottom="1284" w:left="849" w:header="0" w:footer="1051" w:gutter="0"/>
          <w:cols w:space="720"/>
        </w:sectPr>
      </w:pPr>
    </w:p>
    <w:p w:rsidR="00EA40A3" w:rsidRDefault="00EA40A3">
      <w:pPr>
        <w:spacing w:line="266" w:lineRule="auto"/>
      </w:pPr>
    </w:p>
    <w:p w:rsidR="00EA40A3" w:rsidRDefault="00EA40A3">
      <w:pPr>
        <w:spacing w:line="266" w:lineRule="auto"/>
      </w:pPr>
    </w:p>
    <w:p w:rsidR="00EA40A3" w:rsidRDefault="00E86C16">
      <w:pPr>
        <w:spacing w:before="75" w:line="237" w:lineRule="auto"/>
        <w:ind w:right="99" w:firstLine="399"/>
        <w:jc w:val="both"/>
        <w:rPr>
          <w:rFonts w:ascii="宋体" w:eastAsia="宋体" w:hAnsi="宋体" w:cs="宋体"/>
          <w:sz w:val="23"/>
          <w:szCs w:val="23"/>
        </w:rPr>
      </w:pPr>
      <w:r>
        <w:rPr>
          <w:rFonts w:ascii="宋体" w:eastAsia="宋体" w:hAnsi="宋体" w:cs="宋体"/>
          <w:spacing w:val="-23"/>
          <w:sz w:val="23"/>
          <w:szCs w:val="23"/>
        </w:rPr>
        <w:t>未来我国膳食结构调整的主要方面是，增加牛</w:t>
      </w:r>
      <w:r>
        <w:rPr>
          <w:rFonts w:ascii="宋体" w:eastAsia="宋体" w:hAnsi="宋体" w:cs="宋体"/>
          <w:spacing w:val="-24"/>
          <w:sz w:val="23"/>
          <w:szCs w:val="23"/>
        </w:rPr>
        <w:t>、羊、禽、水产、蔬菜水果尤</w:t>
      </w:r>
      <w:r>
        <w:rPr>
          <w:rFonts w:ascii="宋体" w:eastAsia="宋体" w:hAnsi="宋体" w:cs="宋体"/>
          <w:sz w:val="23"/>
          <w:szCs w:val="23"/>
        </w:rPr>
        <w:t xml:space="preserve"> </w:t>
      </w:r>
      <w:r>
        <w:rPr>
          <w:rFonts w:ascii="宋体" w:eastAsia="宋体" w:hAnsi="宋体" w:cs="宋体"/>
          <w:spacing w:val="-23"/>
          <w:sz w:val="23"/>
          <w:szCs w:val="23"/>
        </w:rPr>
        <w:t>其是奶类和豆类的生产，努力开发及合理利用新的食物资源；针对城镇人</w:t>
      </w:r>
      <w:r>
        <w:rPr>
          <w:rFonts w:ascii="宋体" w:eastAsia="宋体" w:hAnsi="宋体" w:cs="宋体"/>
          <w:spacing w:val="-24"/>
          <w:sz w:val="23"/>
          <w:szCs w:val="23"/>
        </w:rPr>
        <w:t>口与农</w:t>
      </w:r>
      <w:r>
        <w:rPr>
          <w:rFonts w:ascii="宋体" w:eastAsia="宋体" w:hAnsi="宋体" w:cs="宋体"/>
          <w:sz w:val="23"/>
          <w:szCs w:val="23"/>
        </w:rPr>
        <w:t xml:space="preserve"> </w:t>
      </w:r>
      <w:r>
        <w:rPr>
          <w:rFonts w:ascii="宋体" w:eastAsia="宋体" w:hAnsi="宋体" w:cs="宋体"/>
          <w:spacing w:val="-23"/>
          <w:sz w:val="23"/>
          <w:szCs w:val="23"/>
        </w:rPr>
        <w:t>村人口、东南沿海与西北地区、富裕户与贫困户之间日益增大的差距</w:t>
      </w:r>
      <w:r>
        <w:rPr>
          <w:rFonts w:ascii="宋体" w:eastAsia="宋体" w:hAnsi="宋体" w:cs="宋体"/>
          <w:spacing w:val="-24"/>
          <w:sz w:val="23"/>
          <w:szCs w:val="23"/>
        </w:rPr>
        <w:t>，重点改善</w:t>
      </w:r>
      <w:r>
        <w:rPr>
          <w:rFonts w:ascii="宋体" w:eastAsia="宋体" w:hAnsi="宋体" w:cs="宋体"/>
          <w:sz w:val="23"/>
          <w:szCs w:val="23"/>
        </w:rPr>
        <w:t xml:space="preserve"> </w:t>
      </w:r>
      <w:r>
        <w:rPr>
          <w:rFonts w:ascii="宋体" w:eastAsia="宋体" w:hAnsi="宋体" w:cs="宋体"/>
          <w:spacing w:val="-24"/>
          <w:sz w:val="23"/>
          <w:szCs w:val="23"/>
        </w:rPr>
        <w:t>贫困人群食物的生产消费和营养保障，防止营养过剩导致的疾病；食品工业中要</w:t>
      </w:r>
      <w:r>
        <w:rPr>
          <w:rFonts w:ascii="宋体" w:eastAsia="宋体" w:hAnsi="宋体" w:cs="宋体"/>
          <w:spacing w:val="9"/>
          <w:sz w:val="23"/>
          <w:szCs w:val="23"/>
        </w:rPr>
        <w:t xml:space="preserve"> </w:t>
      </w:r>
      <w:r>
        <w:rPr>
          <w:rFonts w:ascii="宋体" w:eastAsia="宋体" w:hAnsi="宋体" w:cs="宋体"/>
          <w:spacing w:val="-17"/>
          <w:sz w:val="23"/>
          <w:szCs w:val="23"/>
        </w:rPr>
        <w:t>大力发展符合营养卫生标准的营养强化食品，如断奶食品、儿童辅助食品及补</w:t>
      </w:r>
      <w:r>
        <w:rPr>
          <w:rFonts w:ascii="宋体" w:eastAsia="宋体" w:hAnsi="宋体" w:cs="宋体"/>
          <w:spacing w:val="2"/>
          <w:sz w:val="23"/>
          <w:szCs w:val="23"/>
        </w:rPr>
        <w:t xml:space="preserve"> </w:t>
      </w:r>
      <w:r>
        <w:rPr>
          <w:rFonts w:ascii="宋体" w:eastAsia="宋体" w:hAnsi="宋体" w:cs="宋体"/>
          <w:spacing w:val="-23"/>
          <w:sz w:val="23"/>
          <w:szCs w:val="23"/>
        </w:rPr>
        <w:t>铁、补钙食品等；进行营养教育，制定营养法规。</w:t>
      </w:r>
    </w:p>
    <w:p w:rsidR="00EA40A3" w:rsidRDefault="00E86C16">
      <w:pPr>
        <w:spacing w:before="223" w:line="222" w:lineRule="auto"/>
        <w:ind w:left="3"/>
        <w:outlineLvl w:val="6"/>
        <w:rPr>
          <w:rFonts w:ascii="黑体" w:eastAsia="黑体" w:hAnsi="黑体" w:cs="黑体"/>
          <w:sz w:val="23"/>
          <w:szCs w:val="23"/>
        </w:rPr>
      </w:pPr>
      <w:r>
        <w:rPr>
          <w:rFonts w:ascii="黑体" w:eastAsia="黑体" w:hAnsi="黑体" w:cs="黑体"/>
          <w:b/>
          <w:bCs/>
          <w:sz w:val="23"/>
          <w:szCs w:val="23"/>
        </w:rPr>
        <w:t>12.4.2</w:t>
      </w:r>
      <w:r>
        <w:rPr>
          <w:rFonts w:ascii="黑体" w:eastAsia="黑体" w:hAnsi="黑体" w:cs="黑体"/>
          <w:spacing w:val="5"/>
          <w:sz w:val="23"/>
          <w:szCs w:val="23"/>
        </w:rPr>
        <w:t xml:space="preserve">   </w:t>
      </w:r>
      <w:r>
        <w:rPr>
          <w:rFonts w:ascii="黑体" w:eastAsia="黑体" w:hAnsi="黑体" w:cs="黑体"/>
          <w:b/>
          <w:bCs/>
          <w:sz w:val="23"/>
          <w:szCs w:val="23"/>
        </w:rPr>
        <w:t>膳食指南</w:t>
      </w:r>
    </w:p>
    <w:p w:rsidR="00EA40A3" w:rsidRDefault="00E86C16">
      <w:pPr>
        <w:spacing w:before="235" w:line="222" w:lineRule="auto"/>
        <w:rPr>
          <w:rFonts w:ascii="仿宋" w:eastAsia="仿宋" w:hAnsi="仿宋" w:cs="仿宋"/>
          <w:sz w:val="23"/>
          <w:szCs w:val="23"/>
        </w:rPr>
      </w:pPr>
      <w:r>
        <w:rPr>
          <w:rFonts w:ascii="仿宋" w:eastAsia="仿宋" w:hAnsi="仿宋" w:cs="仿宋"/>
          <w:spacing w:val="4"/>
          <w:sz w:val="23"/>
          <w:szCs w:val="23"/>
        </w:rPr>
        <w:t>1.</w:t>
      </w:r>
      <w:r>
        <w:rPr>
          <w:rFonts w:ascii="仿宋" w:eastAsia="仿宋" w:hAnsi="仿宋" w:cs="仿宋"/>
          <w:spacing w:val="-56"/>
          <w:sz w:val="23"/>
          <w:szCs w:val="23"/>
        </w:rPr>
        <w:t xml:space="preserve"> </w:t>
      </w:r>
      <w:r>
        <w:rPr>
          <w:rFonts w:ascii="仿宋" w:eastAsia="仿宋" w:hAnsi="仿宋" w:cs="仿宋"/>
          <w:spacing w:val="4"/>
          <w:sz w:val="23"/>
          <w:szCs w:val="23"/>
        </w:rPr>
        <w:t>膳食指南的概念</w:t>
      </w:r>
    </w:p>
    <w:p w:rsidR="00EA40A3" w:rsidRDefault="00E86C16">
      <w:pPr>
        <w:spacing w:before="178" w:line="236" w:lineRule="auto"/>
        <w:ind w:right="89" w:firstLine="399"/>
        <w:rPr>
          <w:rFonts w:ascii="宋体" w:eastAsia="宋体" w:hAnsi="宋体" w:cs="宋体"/>
          <w:sz w:val="23"/>
          <w:szCs w:val="23"/>
        </w:rPr>
      </w:pPr>
      <w:r>
        <w:rPr>
          <w:rFonts w:ascii="宋体" w:eastAsia="宋体" w:hAnsi="宋体" w:cs="宋体"/>
          <w:spacing w:val="-19"/>
          <w:sz w:val="23"/>
          <w:szCs w:val="23"/>
        </w:rPr>
        <w:t>膳食指南</w:t>
      </w:r>
      <w:r>
        <w:rPr>
          <w:rFonts w:ascii="宋体" w:eastAsia="宋体" w:hAnsi="宋体" w:cs="宋体"/>
          <w:spacing w:val="-20"/>
          <w:sz w:val="23"/>
          <w:szCs w:val="23"/>
        </w:rPr>
        <w:t xml:space="preserve"> </w:t>
      </w:r>
      <w:r>
        <w:rPr>
          <w:rFonts w:ascii="宋体" w:eastAsia="宋体" w:hAnsi="宋体" w:cs="宋体"/>
          <w:spacing w:val="-19"/>
          <w:sz w:val="23"/>
          <w:szCs w:val="23"/>
        </w:rPr>
        <w:t>(dietary</w:t>
      </w:r>
      <w:r>
        <w:rPr>
          <w:rFonts w:ascii="宋体" w:eastAsia="宋体" w:hAnsi="宋体" w:cs="宋体"/>
          <w:spacing w:val="-13"/>
          <w:sz w:val="23"/>
          <w:szCs w:val="23"/>
        </w:rPr>
        <w:t xml:space="preserve"> </w:t>
      </w:r>
      <w:r>
        <w:rPr>
          <w:rFonts w:ascii="宋体" w:eastAsia="宋体" w:hAnsi="宋体" w:cs="宋体"/>
          <w:spacing w:val="-19"/>
          <w:sz w:val="23"/>
          <w:szCs w:val="23"/>
        </w:rPr>
        <w:t>guideline)</w:t>
      </w:r>
      <w:r>
        <w:rPr>
          <w:rFonts w:ascii="宋体" w:eastAsia="宋体" w:hAnsi="宋体" w:cs="宋体"/>
          <w:spacing w:val="-55"/>
          <w:sz w:val="23"/>
          <w:szCs w:val="23"/>
        </w:rPr>
        <w:t xml:space="preserve"> </w:t>
      </w:r>
      <w:r>
        <w:rPr>
          <w:rFonts w:ascii="宋体" w:eastAsia="宋体" w:hAnsi="宋体" w:cs="宋体"/>
          <w:spacing w:val="-19"/>
          <w:sz w:val="23"/>
          <w:szCs w:val="23"/>
        </w:rPr>
        <w:t>是依据营养学理论，结合社区人群实际情况</w:t>
      </w:r>
      <w:r>
        <w:rPr>
          <w:rFonts w:ascii="宋体" w:eastAsia="宋体" w:hAnsi="宋体" w:cs="宋体"/>
          <w:sz w:val="23"/>
          <w:szCs w:val="23"/>
        </w:rPr>
        <w:t xml:space="preserve"> </w:t>
      </w:r>
      <w:r>
        <w:rPr>
          <w:rFonts w:ascii="宋体" w:eastAsia="宋体" w:hAnsi="宋体" w:cs="宋体"/>
          <w:spacing w:val="-23"/>
          <w:sz w:val="23"/>
          <w:szCs w:val="23"/>
        </w:rPr>
        <w:t>制定的，是教育社区人群采用平衡膳食，摄取合理营养促进健康的指导性意见。</w:t>
      </w:r>
    </w:p>
    <w:p w:rsidR="00EA40A3" w:rsidRDefault="00E86C16">
      <w:pPr>
        <w:spacing w:before="45" w:line="237" w:lineRule="auto"/>
        <w:ind w:firstLine="399"/>
        <w:rPr>
          <w:rFonts w:ascii="宋体" w:eastAsia="宋体" w:hAnsi="宋体" w:cs="宋体"/>
          <w:sz w:val="23"/>
          <w:szCs w:val="23"/>
        </w:rPr>
      </w:pPr>
      <w:r>
        <w:rPr>
          <w:rFonts w:ascii="宋体" w:eastAsia="宋体" w:hAnsi="宋体" w:cs="宋体"/>
          <w:spacing w:val="-19"/>
          <w:sz w:val="23"/>
          <w:szCs w:val="23"/>
        </w:rPr>
        <w:t>1980年，美国制定了第一版《美国人口的膳食指南》之后，多次修订再版</w:t>
      </w:r>
      <w:r>
        <w:rPr>
          <w:rFonts w:ascii="宋体" w:eastAsia="宋体" w:hAnsi="宋体" w:cs="宋体"/>
          <w:spacing w:val="-20"/>
          <w:sz w:val="23"/>
          <w:szCs w:val="23"/>
        </w:rPr>
        <w:t>，</w:t>
      </w:r>
      <w:r>
        <w:rPr>
          <w:rFonts w:ascii="宋体" w:eastAsia="宋体" w:hAnsi="宋体" w:cs="宋体"/>
          <w:sz w:val="23"/>
          <w:szCs w:val="23"/>
        </w:rPr>
        <w:t xml:space="preserve"> </w:t>
      </w:r>
      <w:r>
        <w:rPr>
          <w:rFonts w:ascii="宋体" w:eastAsia="宋体" w:hAnsi="宋体" w:cs="宋体"/>
          <w:spacing w:val="-19"/>
          <w:sz w:val="23"/>
          <w:szCs w:val="23"/>
        </w:rPr>
        <w:t>2005年版膳食指南中，强调在所需热量内保证充足的营养素，特别是铁、</w:t>
      </w:r>
      <w:r>
        <w:rPr>
          <w:rFonts w:ascii="宋体" w:eastAsia="宋体" w:hAnsi="宋体" w:cs="宋体"/>
          <w:spacing w:val="-20"/>
          <w:sz w:val="23"/>
          <w:szCs w:val="23"/>
        </w:rPr>
        <w:t>叶酸、</w:t>
      </w:r>
      <w:r>
        <w:rPr>
          <w:rFonts w:ascii="宋体" w:eastAsia="宋体" w:hAnsi="宋体" w:cs="宋体"/>
          <w:sz w:val="23"/>
          <w:szCs w:val="23"/>
        </w:rPr>
        <w:t xml:space="preserve"> </w:t>
      </w:r>
      <w:r>
        <w:rPr>
          <w:rFonts w:ascii="宋体" w:eastAsia="宋体" w:hAnsi="宋体" w:cs="宋体"/>
          <w:spacing w:val="-13"/>
          <w:sz w:val="23"/>
          <w:szCs w:val="23"/>
        </w:rPr>
        <w:t>维生素D、维生素Bz,</w:t>
      </w:r>
      <w:r>
        <w:rPr>
          <w:rFonts w:ascii="宋体" w:eastAsia="宋体" w:hAnsi="宋体" w:cs="宋体"/>
          <w:spacing w:val="23"/>
          <w:sz w:val="23"/>
          <w:szCs w:val="23"/>
        </w:rPr>
        <w:t xml:space="preserve"> </w:t>
      </w:r>
      <w:r>
        <w:rPr>
          <w:rFonts w:ascii="宋体" w:eastAsia="宋体" w:hAnsi="宋体" w:cs="宋体"/>
          <w:spacing w:val="-13"/>
          <w:sz w:val="23"/>
          <w:szCs w:val="23"/>
        </w:rPr>
        <w:t>经常吃高纤维的水果、蔬</w:t>
      </w:r>
      <w:r>
        <w:rPr>
          <w:rFonts w:ascii="宋体" w:eastAsia="宋体" w:hAnsi="宋体" w:cs="宋体"/>
          <w:spacing w:val="-14"/>
          <w:sz w:val="23"/>
          <w:szCs w:val="23"/>
        </w:rPr>
        <w:t>菜和全谷，少吃含大量饱和脂</w:t>
      </w:r>
      <w:r>
        <w:rPr>
          <w:rFonts w:ascii="宋体" w:eastAsia="宋体" w:hAnsi="宋体" w:cs="宋体"/>
          <w:sz w:val="23"/>
          <w:szCs w:val="23"/>
        </w:rPr>
        <w:t xml:space="preserve"> </w:t>
      </w:r>
      <w:r>
        <w:rPr>
          <w:rFonts w:ascii="宋体" w:eastAsia="宋体" w:hAnsi="宋体" w:cs="宋体"/>
          <w:spacing w:val="-20"/>
          <w:sz w:val="23"/>
          <w:szCs w:val="23"/>
        </w:rPr>
        <w:t>肪酸、反式脂肪酸的食物，多吃富含钾的食物和限制盐的摄入。通</w:t>
      </w:r>
      <w:r>
        <w:rPr>
          <w:rFonts w:ascii="宋体" w:eastAsia="宋体" w:hAnsi="宋体" w:cs="宋体"/>
          <w:spacing w:val="-21"/>
          <w:sz w:val="23"/>
          <w:szCs w:val="23"/>
        </w:rPr>
        <w:t>过调整饮食、</w:t>
      </w:r>
      <w:r>
        <w:rPr>
          <w:rFonts w:ascii="宋体" w:eastAsia="宋体" w:hAnsi="宋体" w:cs="宋体"/>
          <w:sz w:val="23"/>
          <w:szCs w:val="23"/>
        </w:rPr>
        <w:t xml:space="preserve"> </w:t>
      </w:r>
      <w:r>
        <w:rPr>
          <w:rFonts w:ascii="宋体" w:eastAsia="宋体" w:hAnsi="宋体" w:cs="宋体"/>
          <w:spacing w:val="-23"/>
          <w:sz w:val="23"/>
          <w:szCs w:val="23"/>
        </w:rPr>
        <w:t>加强运动、控制体重和关注食品安全来预防慢性疾病。</w:t>
      </w:r>
    </w:p>
    <w:p w:rsidR="00EA40A3" w:rsidRDefault="00E86C16">
      <w:pPr>
        <w:spacing w:before="206" w:line="223" w:lineRule="auto"/>
        <w:rPr>
          <w:rFonts w:ascii="仿宋" w:eastAsia="仿宋" w:hAnsi="仿宋" w:cs="仿宋"/>
          <w:sz w:val="23"/>
          <w:szCs w:val="23"/>
        </w:rPr>
      </w:pPr>
      <w:r>
        <w:rPr>
          <w:rFonts w:ascii="仿宋" w:eastAsia="仿宋" w:hAnsi="仿宋" w:cs="仿宋"/>
          <w:spacing w:val="4"/>
          <w:sz w:val="23"/>
          <w:szCs w:val="23"/>
        </w:rPr>
        <w:t>2.</w:t>
      </w:r>
      <w:r>
        <w:rPr>
          <w:rFonts w:ascii="仿宋" w:eastAsia="仿宋" w:hAnsi="仿宋" w:cs="仿宋"/>
          <w:spacing w:val="-45"/>
          <w:sz w:val="23"/>
          <w:szCs w:val="23"/>
        </w:rPr>
        <w:t xml:space="preserve"> </w:t>
      </w:r>
      <w:r>
        <w:rPr>
          <w:rFonts w:ascii="仿宋" w:eastAsia="仿宋" w:hAnsi="仿宋" w:cs="仿宋"/>
          <w:spacing w:val="4"/>
          <w:sz w:val="23"/>
          <w:szCs w:val="23"/>
        </w:rPr>
        <w:t>我国的膳食指南</w:t>
      </w:r>
    </w:p>
    <w:p w:rsidR="00EA40A3" w:rsidRDefault="00E86C16">
      <w:pPr>
        <w:spacing w:before="201" w:line="228" w:lineRule="auto"/>
        <w:ind w:right="20" w:firstLine="399"/>
        <w:rPr>
          <w:rFonts w:ascii="宋体" w:eastAsia="宋体" w:hAnsi="宋体" w:cs="宋体"/>
          <w:sz w:val="23"/>
          <w:szCs w:val="23"/>
        </w:rPr>
      </w:pPr>
      <w:r>
        <w:rPr>
          <w:rFonts w:ascii="宋体" w:eastAsia="宋体" w:hAnsi="宋体" w:cs="宋体"/>
          <w:spacing w:val="-19"/>
          <w:sz w:val="23"/>
          <w:szCs w:val="23"/>
        </w:rPr>
        <w:t>1997年，中国营养学会针对我国居民的膳食需要及膳食中存在的主要缺陷</w:t>
      </w:r>
      <w:r>
        <w:rPr>
          <w:rFonts w:ascii="宋体" w:eastAsia="宋体" w:hAnsi="宋体" w:cs="宋体"/>
          <w:spacing w:val="-20"/>
          <w:sz w:val="23"/>
          <w:szCs w:val="23"/>
        </w:rPr>
        <w:t>，</w:t>
      </w:r>
      <w:r>
        <w:rPr>
          <w:rFonts w:ascii="宋体" w:eastAsia="宋体" w:hAnsi="宋体" w:cs="宋体"/>
          <w:sz w:val="23"/>
          <w:szCs w:val="23"/>
        </w:rPr>
        <w:t xml:space="preserve"> </w:t>
      </w:r>
      <w:r>
        <w:rPr>
          <w:rFonts w:ascii="宋体" w:eastAsia="宋体" w:hAnsi="宋体" w:cs="宋体"/>
          <w:spacing w:val="-23"/>
          <w:sz w:val="23"/>
          <w:szCs w:val="23"/>
        </w:rPr>
        <w:t>制定了《中国居民膳食指南》,主要内容是：</w:t>
      </w:r>
    </w:p>
    <w:p w:rsidR="00EA40A3" w:rsidRDefault="00E86C16">
      <w:pPr>
        <w:spacing w:before="18" w:line="223" w:lineRule="auto"/>
        <w:rPr>
          <w:rFonts w:ascii="楷体" w:eastAsia="楷体" w:hAnsi="楷体" w:cs="楷体"/>
          <w:sz w:val="23"/>
          <w:szCs w:val="23"/>
        </w:rPr>
      </w:pPr>
      <w:r>
        <w:rPr>
          <w:rFonts w:ascii="楷体" w:eastAsia="楷体" w:hAnsi="楷体" w:cs="楷体"/>
          <w:spacing w:val="-12"/>
          <w:sz w:val="23"/>
          <w:szCs w:val="23"/>
        </w:rPr>
        <w:t>1)食物多样、谷类为主</w:t>
      </w:r>
    </w:p>
    <w:p w:rsidR="00EA40A3" w:rsidRDefault="00E86C16">
      <w:pPr>
        <w:spacing w:before="66" w:line="230" w:lineRule="auto"/>
        <w:ind w:right="100" w:firstLine="399"/>
        <w:rPr>
          <w:rFonts w:ascii="宋体" w:eastAsia="宋体" w:hAnsi="宋体" w:cs="宋体"/>
          <w:sz w:val="23"/>
          <w:szCs w:val="23"/>
        </w:rPr>
      </w:pPr>
      <w:r>
        <w:rPr>
          <w:rFonts w:ascii="宋体" w:eastAsia="宋体" w:hAnsi="宋体" w:cs="宋体"/>
          <w:spacing w:val="-16"/>
          <w:sz w:val="23"/>
          <w:szCs w:val="23"/>
        </w:rPr>
        <w:t>平衡膳食必须由多种食物组成，才能满足人体各种营养需要，达</w:t>
      </w:r>
      <w:r>
        <w:rPr>
          <w:rFonts w:ascii="宋体" w:eastAsia="宋体" w:hAnsi="宋体" w:cs="宋体"/>
          <w:spacing w:val="-17"/>
          <w:sz w:val="23"/>
          <w:szCs w:val="23"/>
        </w:rPr>
        <w:t>到合理营</w:t>
      </w:r>
      <w:r>
        <w:rPr>
          <w:rFonts w:ascii="宋体" w:eastAsia="宋体" w:hAnsi="宋体" w:cs="宋体"/>
          <w:sz w:val="23"/>
          <w:szCs w:val="23"/>
        </w:rPr>
        <w:t xml:space="preserve"> </w:t>
      </w:r>
      <w:r>
        <w:rPr>
          <w:rFonts w:ascii="宋体" w:eastAsia="宋体" w:hAnsi="宋体" w:cs="宋体"/>
          <w:spacing w:val="-24"/>
          <w:sz w:val="23"/>
          <w:szCs w:val="23"/>
        </w:rPr>
        <w:t>养、促进健康的目的。</w:t>
      </w:r>
    </w:p>
    <w:p w:rsidR="00EA40A3" w:rsidRDefault="00E86C16">
      <w:pPr>
        <w:spacing w:before="49" w:line="235" w:lineRule="auto"/>
        <w:ind w:firstLine="399"/>
        <w:rPr>
          <w:rFonts w:ascii="宋体" w:eastAsia="宋体" w:hAnsi="宋体" w:cs="宋体"/>
          <w:sz w:val="23"/>
          <w:szCs w:val="23"/>
        </w:rPr>
      </w:pPr>
      <w:r>
        <w:rPr>
          <w:rFonts w:ascii="宋体" w:eastAsia="宋体" w:hAnsi="宋体" w:cs="宋体"/>
          <w:spacing w:val="-23"/>
          <w:sz w:val="23"/>
          <w:szCs w:val="23"/>
        </w:rPr>
        <w:t>多种食物应包括谷类及薯类、动物性食物、豆类及其制品、蔬菜和水果、纯</w:t>
      </w:r>
      <w:r>
        <w:rPr>
          <w:rFonts w:ascii="宋体" w:eastAsia="宋体" w:hAnsi="宋体" w:cs="宋体"/>
          <w:spacing w:val="3"/>
          <w:sz w:val="23"/>
          <w:szCs w:val="23"/>
        </w:rPr>
        <w:t xml:space="preserve">  </w:t>
      </w:r>
      <w:r>
        <w:rPr>
          <w:rFonts w:ascii="宋体" w:eastAsia="宋体" w:hAnsi="宋体" w:cs="宋体"/>
          <w:spacing w:val="-23"/>
          <w:sz w:val="23"/>
          <w:szCs w:val="23"/>
        </w:rPr>
        <w:t>能量食物五大类。谷类食物是中国传统膳食的主体。提出谷类为</w:t>
      </w:r>
      <w:r>
        <w:rPr>
          <w:rFonts w:ascii="宋体" w:eastAsia="宋体" w:hAnsi="宋体" w:cs="宋体"/>
          <w:spacing w:val="-24"/>
          <w:sz w:val="23"/>
          <w:szCs w:val="23"/>
        </w:rPr>
        <w:t>主是为了提醒人</w:t>
      </w:r>
      <w:r>
        <w:rPr>
          <w:rFonts w:ascii="宋体" w:eastAsia="宋体" w:hAnsi="宋体" w:cs="宋体"/>
          <w:sz w:val="23"/>
          <w:szCs w:val="23"/>
        </w:rPr>
        <w:t xml:space="preserve">  </w:t>
      </w:r>
      <w:r>
        <w:rPr>
          <w:rFonts w:ascii="宋体" w:eastAsia="宋体" w:hAnsi="宋体" w:cs="宋体"/>
          <w:spacing w:val="-20"/>
          <w:sz w:val="23"/>
          <w:szCs w:val="23"/>
        </w:rPr>
        <w:t>们保持我国膳食的良好传统，防止发达国家膳食的弊端。另外要注</w:t>
      </w:r>
      <w:r>
        <w:rPr>
          <w:rFonts w:ascii="宋体" w:eastAsia="宋体" w:hAnsi="宋体" w:cs="宋体"/>
          <w:spacing w:val="-21"/>
          <w:sz w:val="23"/>
          <w:szCs w:val="23"/>
        </w:rPr>
        <w:t>意粗细搭配，</w:t>
      </w:r>
      <w:r>
        <w:rPr>
          <w:rFonts w:ascii="宋体" w:eastAsia="宋体" w:hAnsi="宋体" w:cs="宋体"/>
          <w:sz w:val="23"/>
          <w:szCs w:val="23"/>
        </w:rPr>
        <w:t xml:space="preserve"> </w:t>
      </w:r>
      <w:r>
        <w:rPr>
          <w:rFonts w:ascii="宋体" w:eastAsia="宋体" w:hAnsi="宋体" w:cs="宋体"/>
          <w:spacing w:val="-23"/>
          <w:sz w:val="23"/>
          <w:szCs w:val="23"/>
        </w:rPr>
        <w:t>经常吃一些粗粮、杂粮等，稻米、小麦不要碾磨太精。</w:t>
      </w:r>
    </w:p>
    <w:p w:rsidR="00EA40A3" w:rsidRDefault="00E86C16">
      <w:pPr>
        <w:spacing w:before="31" w:line="222" w:lineRule="auto"/>
        <w:rPr>
          <w:rFonts w:ascii="楷体" w:eastAsia="楷体" w:hAnsi="楷体" w:cs="楷体"/>
          <w:sz w:val="23"/>
          <w:szCs w:val="23"/>
        </w:rPr>
      </w:pPr>
      <w:r>
        <w:rPr>
          <w:rFonts w:ascii="楷体" w:eastAsia="楷体" w:hAnsi="楷体" w:cs="楷体"/>
          <w:spacing w:val="-14"/>
          <w:sz w:val="23"/>
          <w:szCs w:val="23"/>
        </w:rPr>
        <w:t>2)多吃蔬菜、水果和薯类</w:t>
      </w:r>
    </w:p>
    <w:p w:rsidR="00EA40A3" w:rsidRDefault="00E86C16">
      <w:pPr>
        <w:spacing w:before="68" w:line="237" w:lineRule="auto"/>
        <w:ind w:right="85" w:firstLine="399"/>
        <w:rPr>
          <w:rFonts w:ascii="宋体" w:eastAsia="宋体" w:hAnsi="宋体" w:cs="宋体"/>
          <w:sz w:val="23"/>
          <w:szCs w:val="23"/>
        </w:rPr>
      </w:pPr>
      <w:r>
        <w:rPr>
          <w:rFonts w:ascii="宋体" w:eastAsia="宋体" w:hAnsi="宋体" w:cs="宋体"/>
          <w:spacing w:val="-23"/>
          <w:sz w:val="23"/>
          <w:szCs w:val="23"/>
        </w:rPr>
        <w:t>红、黄、绿等深色蔬菜中维生素含量超过浅色蔬菜和一般水果，有些水果维</w:t>
      </w:r>
      <w:r>
        <w:rPr>
          <w:rFonts w:ascii="宋体" w:eastAsia="宋体" w:hAnsi="宋体" w:cs="宋体"/>
          <w:spacing w:val="6"/>
          <w:sz w:val="23"/>
          <w:szCs w:val="23"/>
        </w:rPr>
        <w:t xml:space="preserve"> </w:t>
      </w:r>
      <w:r>
        <w:rPr>
          <w:rFonts w:ascii="宋体" w:eastAsia="宋体" w:hAnsi="宋体" w:cs="宋体"/>
          <w:spacing w:val="-17"/>
          <w:sz w:val="23"/>
          <w:szCs w:val="23"/>
        </w:rPr>
        <w:t>生素及一些微量元素的含量不如新鲜蔬菜，但水果含有的葡萄糖、果糖、柠檬</w:t>
      </w:r>
      <w:r>
        <w:rPr>
          <w:rFonts w:ascii="宋体" w:eastAsia="宋体" w:hAnsi="宋体" w:cs="宋体"/>
          <w:spacing w:val="16"/>
          <w:sz w:val="23"/>
          <w:szCs w:val="23"/>
        </w:rPr>
        <w:t xml:space="preserve"> </w:t>
      </w:r>
      <w:r>
        <w:rPr>
          <w:rFonts w:ascii="宋体" w:eastAsia="宋体" w:hAnsi="宋体" w:cs="宋体"/>
          <w:spacing w:val="-16"/>
          <w:sz w:val="23"/>
          <w:szCs w:val="23"/>
        </w:rPr>
        <w:t>酸、苹果酸、果胶等物质又比蔬菜丰富。红黄色水果是维生素</w:t>
      </w:r>
      <w:r>
        <w:rPr>
          <w:rFonts w:ascii="宋体" w:eastAsia="宋体" w:hAnsi="宋体" w:cs="宋体"/>
          <w:spacing w:val="-17"/>
          <w:sz w:val="23"/>
          <w:szCs w:val="23"/>
        </w:rPr>
        <w:t>C</w:t>
      </w:r>
      <w:r>
        <w:rPr>
          <w:rFonts w:ascii="宋体" w:eastAsia="宋体" w:hAnsi="宋体" w:cs="宋体"/>
          <w:spacing w:val="-23"/>
          <w:sz w:val="23"/>
          <w:szCs w:val="23"/>
        </w:rPr>
        <w:t xml:space="preserve"> </w:t>
      </w:r>
      <w:r>
        <w:rPr>
          <w:rFonts w:ascii="宋体" w:eastAsia="宋体" w:hAnsi="宋体" w:cs="宋体"/>
          <w:spacing w:val="-17"/>
          <w:sz w:val="23"/>
          <w:szCs w:val="23"/>
        </w:rPr>
        <w:t>和胡萝卜素的</w:t>
      </w:r>
      <w:r>
        <w:rPr>
          <w:rFonts w:ascii="宋体" w:eastAsia="宋体" w:hAnsi="宋体" w:cs="宋体"/>
          <w:sz w:val="23"/>
          <w:szCs w:val="23"/>
        </w:rPr>
        <w:t xml:space="preserve"> </w:t>
      </w:r>
      <w:r>
        <w:rPr>
          <w:rFonts w:ascii="宋体" w:eastAsia="宋体" w:hAnsi="宋体" w:cs="宋体"/>
          <w:spacing w:val="-23"/>
          <w:sz w:val="23"/>
          <w:szCs w:val="23"/>
        </w:rPr>
        <w:t>丰富来源。薯类含有丰富的淀粉、膳食纤维以及多种维生素和矿物质。</w:t>
      </w:r>
      <w:r>
        <w:rPr>
          <w:rFonts w:ascii="宋体" w:eastAsia="宋体" w:hAnsi="宋体" w:cs="宋体"/>
          <w:spacing w:val="-24"/>
          <w:sz w:val="23"/>
          <w:szCs w:val="23"/>
        </w:rPr>
        <w:t>应当鼓励</w:t>
      </w:r>
      <w:r>
        <w:rPr>
          <w:rFonts w:ascii="宋体" w:eastAsia="宋体" w:hAnsi="宋体" w:cs="宋体"/>
          <w:sz w:val="23"/>
          <w:szCs w:val="23"/>
        </w:rPr>
        <w:t xml:space="preserve"> </w:t>
      </w:r>
      <w:r>
        <w:rPr>
          <w:rFonts w:ascii="宋体" w:eastAsia="宋体" w:hAnsi="宋体" w:cs="宋体"/>
          <w:spacing w:val="-24"/>
          <w:sz w:val="23"/>
          <w:szCs w:val="23"/>
        </w:rPr>
        <w:t>多吃这些薯类。</w:t>
      </w:r>
    </w:p>
    <w:p w:rsidR="00EA40A3" w:rsidRDefault="00E86C16">
      <w:pPr>
        <w:spacing w:before="68" w:line="229" w:lineRule="auto"/>
        <w:ind w:right="97" w:firstLine="399"/>
        <w:rPr>
          <w:rFonts w:ascii="宋体" w:eastAsia="宋体" w:hAnsi="宋体" w:cs="宋体"/>
          <w:sz w:val="23"/>
          <w:szCs w:val="23"/>
        </w:rPr>
      </w:pPr>
      <w:r>
        <w:rPr>
          <w:rFonts w:ascii="宋体" w:eastAsia="宋体" w:hAnsi="宋体" w:cs="宋体"/>
          <w:spacing w:val="-23"/>
          <w:sz w:val="23"/>
          <w:szCs w:val="23"/>
        </w:rPr>
        <w:t>含丰富蔬菜、水果和薯类的膳食，对保持心血管健康、增强抗病能力、减少</w:t>
      </w:r>
      <w:r>
        <w:rPr>
          <w:rFonts w:ascii="宋体" w:eastAsia="宋体" w:hAnsi="宋体" w:cs="宋体"/>
          <w:spacing w:val="15"/>
          <w:sz w:val="23"/>
          <w:szCs w:val="23"/>
        </w:rPr>
        <w:t xml:space="preserve"> </w:t>
      </w:r>
      <w:r>
        <w:rPr>
          <w:rFonts w:ascii="宋体" w:eastAsia="宋体" w:hAnsi="宋体" w:cs="宋体"/>
          <w:spacing w:val="-22"/>
          <w:w w:val="99"/>
          <w:sz w:val="23"/>
          <w:szCs w:val="23"/>
        </w:rPr>
        <w:t>儿童发生干眼病的危险及预防某些癌症等方面，起着十分重要的作用。</w:t>
      </w:r>
    </w:p>
    <w:p w:rsidR="00EA40A3" w:rsidRDefault="00E86C16">
      <w:pPr>
        <w:spacing w:before="42"/>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2"/>
          <w:sz w:val="17"/>
          <w:szCs w:val="17"/>
        </w:rPr>
        <w:t xml:space="preserve"> </w:t>
      </w:r>
      <w:r>
        <w:rPr>
          <w:rFonts w:ascii="宋体" w:eastAsia="宋体" w:hAnsi="宋体" w:cs="宋体"/>
          <w:spacing w:val="-22"/>
          <w:sz w:val="17"/>
          <w:szCs w:val="17"/>
        </w:rPr>
        <w:t>408</w:t>
      </w:r>
      <w:r>
        <w:rPr>
          <w:rFonts w:ascii="宋体" w:eastAsia="宋体" w:hAnsi="宋体" w:cs="宋体"/>
          <w:spacing w:val="50"/>
          <w:sz w:val="17"/>
          <w:szCs w:val="17"/>
        </w:rPr>
        <w:t xml:space="preserve"> </w:t>
      </w:r>
      <w:r>
        <w:rPr>
          <w:rFonts w:ascii="宋体" w:eastAsia="宋体" w:hAnsi="宋体" w:cs="宋体"/>
          <w:spacing w:val="-22"/>
          <w:sz w:val="17"/>
          <w:szCs w:val="17"/>
        </w:rPr>
        <w:t>·</w:t>
      </w:r>
    </w:p>
    <w:p w:rsidR="00EA40A3" w:rsidRDefault="00EA40A3">
      <w:pPr>
        <w:sectPr w:rsidR="00EA40A3">
          <w:footerReference w:type="default" r:id="rId334"/>
          <w:pgSz w:w="9220" w:h="13360"/>
          <w:pgMar w:top="400" w:right="1015" w:bottom="400" w:left="860" w:header="0" w:footer="0" w:gutter="0"/>
          <w:cols w:space="720"/>
        </w:sectPr>
      </w:pPr>
    </w:p>
    <w:p w:rsidR="00EA40A3" w:rsidRDefault="00EA40A3">
      <w:pPr>
        <w:spacing w:line="312" w:lineRule="auto"/>
      </w:pPr>
    </w:p>
    <w:p w:rsidR="00EA40A3" w:rsidRDefault="00EA40A3">
      <w:pPr>
        <w:spacing w:line="312" w:lineRule="auto"/>
      </w:pPr>
    </w:p>
    <w:p w:rsidR="00EA40A3" w:rsidRDefault="00E86C16">
      <w:pPr>
        <w:spacing w:before="68" w:line="225" w:lineRule="auto"/>
        <w:rPr>
          <w:rFonts w:ascii="楷体" w:eastAsia="楷体" w:hAnsi="楷体" w:cs="楷体"/>
        </w:rPr>
      </w:pPr>
      <w:bookmarkStart w:id="100" w:name="_bookmark104"/>
      <w:bookmarkStart w:id="101" w:name="_bookmark105"/>
      <w:bookmarkEnd w:id="100"/>
      <w:bookmarkEnd w:id="101"/>
      <w:r>
        <w:rPr>
          <w:rFonts w:ascii="楷体" w:eastAsia="楷体" w:hAnsi="楷体" w:cs="楷体"/>
          <w:spacing w:val="3"/>
        </w:rPr>
        <w:t>3)常吃奶类、豆类或其制品</w:t>
      </w:r>
    </w:p>
    <w:p w:rsidR="00EA40A3" w:rsidRDefault="00E86C16">
      <w:pPr>
        <w:spacing w:before="28" w:line="256" w:lineRule="auto"/>
        <w:ind w:firstLine="419"/>
        <w:jc w:val="both"/>
        <w:rPr>
          <w:rFonts w:ascii="宋体" w:eastAsia="宋体" w:hAnsi="宋体" w:cs="宋体"/>
        </w:rPr>
      </w:pPr>
      <w:r>
        <w:rPr>
          <w:rFonts w:ascii="宋体" w:eastAsia="宋体" w:hAnsi="宋体" w:cs="宋体"/>
          <w:spacing w:val="-2"/>
        </w:rPr>
        <w:t>奶类除含丰富的优质蛋白质和维生素外，含钙量较高，且钙利用率也很高，</w:t>
      </w:r>
      <w:r>
        <w:rPr>
          <w:rFonts w:ascii="宋体" w:eastAsia="宋体" w:hAnsi="宋体" w:cs="宋体"/>
          <w:spacing w:val="8"/>
        </w:rPr>
        <w:t xml:space="preserve"> </w:t>
      </w:r>
      <w:r>
        <w:rPr>
          <w:rFonts w:ascii="宋体" w:eastAsia="宋体" w:hAnsi="宋体" w:cs="宋体"/>
          <w:spacing w:val="-3"/>
        </w:rPr>
        <w:t>是天然钙质的极好来源。给儿童、青少年补钙可以提高其骨密度</w:t>
      </w:r>
      <w:r>
        <w:rPr>
          <w:rFonts w:ascii="宋体" w:eastAsia="宋体" w:hAnsi="宋体" w:cs="宋体"/>
          <w:spacing w:val="-4"/>
        </w:rPr>
        <w:t>，从而延缓其发</w:t>
      </w:r>
      <w:r>
        <w:rPr>
          <w:rFonts w:ascii="宋体" w:eastAsia="宋体" w:hAnsi="宋体" w:cs="宋体"/>
        </w:rPr>
        <w:t xml:space="preserve">  </w:t>
      </w:r>
      <w:r>
        <w:rPr>
          <w:rFonts w:ascii="宋体" w:eastAsia="宋体" w:hAnsi="宋体" w:cs="宋体"/>
          <w:spacing w:val="-2"/>
        </w:rPr>
        <w:t>生骨质疏松的年龄；给老年人补钙也可能减缓其</w:t>
      </w:r>
      <w:r>
        <w:rPr>
          <w:rFonts w:ascii="宋体" w:eastAsia="宋体" w:hAnsi="宋体" w:cs="宋体"/>
          <w:spacing w:val="-3"/>
        </w:rPr>
        <w:t>骨质丢失的速度。豆类是我国的</w:t>
      </w:r>
      <w:r>
        <w:rPr>
          <w:rFonts w:ascii="宋体" w:eastAsia="宋体" w:hAnsi="宋体" w:cs="宋体"/>
        </w:rPr>
        <w:t xml:space="preserve"> </w:t>
      </w:r>
      <w:r>
        <w:rPr>
          <w:rFonts w:ascii="宋体" w:eastAsia="宋体" w:hAnsi="宋体" w:cs="宋体"/>
          <w:spacing w:val="2"/>
        </w:rPr>
        <w:t>传统食品，含丰富的优质蛋白质、不饱和脂肪酸，钙及维生素B、</w:t>
      </w:r>
      <w:r>
        <w:rPr>
          <w:rFonts w:ascii="宋体" w:eastAsia="宋体" w:hAnsi="宋体" w:cs="宋体"/>
          <w:spacing w:val="74"/>
        </w:rPr>
        <w:t xml:space="preserve"> </w:t>
      </w:r>
      <w:r>
        <w:rPr>
          <w:rFonts w:ascii="宋体" w:eastAsia="宋体" w:hAnsi="宋体" w:cs="宋体"/>
          <w:spacing w:val="2"/>
        </w:rPr>
        <w:t>维生素</w:t>
      </w:r>
      <w:r>
        <w:rPr>
          <w:rFonts w:ascii="宋体" w:eastAsia="宋体" w:hAnsi="宋体" w:cs="宋体"/>
          <w:spacing w:val="-54"/>
        </w:rPr>
        <w:t xml:space="preserve"> </w:t>
      </w:r>
      <w:r>
        <w:rPr>
          <w:rFonts w:ascii="宋体" w:eastAsia="宋体" w:hAnsi="宋体" w:cs="宋体"/>
          <w:spacing w:val="2"/>
        </w:rPr>
        <w:t>B2、</w:t>
      </w:r>
      <w:r>
        <w:rPr>
          <w:rFonts w:ascii="宋体" w:eastAsia="宋体" w:hAnsi="宋体" w:cs="宋体"/>
        </w:rPr>
        <w:t xml:space="preserve"> </w:t>
      </w:r>
      <w:r>
        <w:rPr>
          <w:rFonts w:ascii="宋体" w:eastAsia="宋体" w:hAnsi="宋体" w:cs="宋体"/>
          <w:spacing w:val="-3"/>
        </w:rPr>
        <w:t>烟酸等。为提高农村人口的蛋白质摄入量及防止城市中过多消费肉类带来的不利</w:t>
      </w:r>
      <w:r>
        <w:rPr>
          <w:rFonts w:ascii="宋体" w:eastAsia="宋体" w:hAnsi="宋体" w:cs="宋体"/>
        </w:rPr>
        <w:t xml:space="preserve">  </w:t>
      </w:r>
      <w:r>
        <w:rPr>
          <w:rFonts w:ascii="宋体" w:eastAsia="宋体" w:hAnsi="宋体" w:cs="宋体"/>
          <w:spacing w:val="-4"/>
        </w:rPr>
        <w:t>影响，应大力提倡豆类，特别是大豆及其制品的生产和</w:t>
      </w:r>
      <w:r>
        <w:rPr>
          <w:rFonts w:ascii="宋体" w:eastAsia="宋体" w:hAnsi="宋体" w:cs="宋体"/>
          <w:spacing w:val="-5"/>
        </w:rPr>
        <w:t>消费。</w:t>
      </w:r>
    </w:p>
    <w:p w:rsidR="00EA40A3" w:rsidRDefault="00E86C16">
      <w:pPr>
        <w:spacing w:before="102" w:line="220" w:lineRule="auto"/>
        <w:rPr>
          <w:rFonts w:ascii="楷体" w:eastAsia="楷体" w:hAnsi="楷体" w:cs="楷体"/>
        </w:rPr>
      </w:pPr>
      <w:r>
        <w:rPr>
          <w:rFonts w:ascii="楷体" w:eastAsia="楷体" w:hAnsi="楷体" w:cs="楷体"/>
          <w:spacing w:val="1"/>
        </w:rPr>
        <w:t>4)经常吃适量鱼、禽、蛋、瘦肉，少吃肥肉和荤油</w:t>
      </w:r>
    </w:p>
    <w:p w:rsidR="00EA40A3" w:rsidRDefault="00E86C16">
      <w:pPr>
        <w:spacing w:before="75" w:line="255" w:lineRule="auto"/>
        <w:ind w:right="77" w:firstLine="419"/>
        <w:rPr>
          <w:rFonts w:ascii="宋体" w:eastAsia="宋体" w:hAnsi="宋体" w:cs="宋体"/>
        </w:rPr>
      </w:pPr>
      <w:r>
        <w:rPr>
          <w:rFonts w:ascii="宋体" w:eastAsia="宋体" w:hAnsi="宋体" w:cs="宋体"/>
          <w:spacing w:val="-3"/>
        </w:rPr>
        <w:t>鱼、禽、蛋、瘦肉等动物性食物是优质蛋白质、脂溶性维生素和</w:t>
      </w:r>
      <w:r>
        <w:rPr>
          <w:rFonts w:ascii="宋体" w:eastAsia="宋体" w:hAnsi="宋体" w:cs="宋体"/>
          <w:spacing w:val="-4"/>
        </w:rPr>
        <w:t>矿物质的良</w:t>
      </w:r>
      <w:r>
        <w:rPr>
          <w:rFonts w:ascii="宋体" w:eastAsia="宋体" w:hAnsi="宋体" w:cs="宋体"/>
        </w:rPr>
        <w:t xml:space="preserve"> </w:t>
      </w:r>
      <w:r>
        <w:rPr>
          <w:rFonts w:ascii="宋体" w:eastAsia="宋体" w:hAnsi="宋体" w:cs="宋体"/>
          <w:spacing w:val="3"/>
        </w:rPr>
        <w:t>好来源。我国相当一部分城市和绝大多数农村居民平均吃动物性食物的量还</w:t>
      </w:r>
      <w:r>
        <w:rPr>
          <w:rFonts w:ascii="宋体" w:eastAsia="宋体" w:hAnsi="宋体" w:cs="宋体"/>
          <w:spacing w:val="2"/>
        </w:rPr>
        <w:t>不</w:t>
      </w:r>
      <w:r>
        <w:rPr>
          <w:rFonts w:ascii="宋体" w:eastAsia="宋体" w:hAnsi="宋体" w:cs="宋体"/>
        </w:rPr>
        <w:t xml:space="preserve"> </w:t>
      </w:r>
      <w:r>
        <w:rPr>
          <w:rFonts w:ascii="宋体" w:eastAsia="宋体" w:hAnsi="宋体" w:cs="宋体"/>
          <w:spacing w:val="-3"/>
        </w:rPr>
        <w:t>够，应适当增加摄入量。但部分大城市居民食用动物性食物过多，</w:t>
      </w:r>
      <w:r>
        <w:rPr>
          <w:rFonts w:ascii="宋体" w:eastAsia="宋体" w:hAnsi="宋体" w:cs="宋体"/>
          <w:spacing w:val="-4"/>
        </w:rPr>
        <w:t>吃谷类和蔬菜</w:t>
      </w:r>
      <w:r>
        <w:rPr>
          <w:rFonts w:ascii="宋体" w:eastAsia="宋体" w:hAnsi="宋体" w:cs="宋体"/>
        </w:rPr>
        <w:t xml:space="preserve"> </w:t>
      </w:r>
      <w:r>
        <w:rPr>
          <w:rFonts w:ascii="宋体" w:eastAsia="宋体" w:hAnsi="宋体" w:cs="宋体"/>
          <w:spacing w:val="-3"/>
        </w:rPr>
        <w:t>不足，这对健康不利。肥肉和荤油为高能量和高脂肪食物，摄入过多往往会引起</w:t>
      </w:r>
      <w:r>
        <w:rPr>
          <w:rFonts w:ascii="宋体" w:eastAsia="宋体" w:hAnsi="宋体" w:cs="宋体"/>
          <w:spacing w:val="12"/>
        </w:rPr>
        <w:t xml:space="preserve"> </w:t>
      </w:r>
      <w:r>
        <w:rPr>
          <w:rFonts w:ascii="宋体" w:eastAsia="宋体" w:hAnsi="宋体" w:cs="宋体"/>
          <w:spacing w:val="-5"/>
        </w:rPr>
        <w:t>肥胖，还是某些慢性病的危险因素，应当少吃。</w:t>
      </w:r>
    </w:p>
    <w:p w:rsidR="00EA40A3" w:rsidRDefault="00E86C16">
      <w:pPr>
        <w:spacing w:before="93" w:line="220" w:lineRule="auto"/>
        <w:rPr>
          <w:rFonts w:ascii="楷体" w:eastAsia="楷体" w:hAnsi="楷体" w:cs="楷体"/>
        </w:rPr>
      </w:pPr>
      <w:r>
        <w:rPr>
          <w:rFonts w:ascii="楷体" w:eastAsia="楷体" w:hAnsi="楷体" w:cs="楷体"/>
          <w:spacing w:val="2"/>
        </w:rPr>
        <w:t>5)食量与体力活动要平衡，保持适宜体重</w:t>
      </w:r>
    </w:p>
    <w:p w:rsidR="00EA40A3" w:rsidRDefault="00E86C16">
      <w:pPr>
        <w:spacing w:before="77" w:line="255" w:lineRule="auto"/>
        <w:ind w:right="74" w:firstLine="419"/>
        <w:rPr>
          <w:rFonts w:ascii="宋体" w:eastAsia="宋体" w:hAnsi="宋体" w:cs="宋体"/>
        </w:rPr>
      </w:pPr>
      <w:r>
        <w:rPr>
          <w:rFonts w:ascii="宋体" w:eastAsia="宋体" w:hAnsi="宋体" w:cs="宋体"/>
          <w:spacing w:val="-3"/>
        </w:rPr>
        <w:t>进食量与体力活动是控制体重的两个主要因素，人们需要保持食量与能量</w:t>
      </w:r>
      <w:r>
        <w:rPr>
          <w:rFonts w:ascii="宋体" w:eastAsia="宋体" w:hAnsi="宋体" w:cs="宋体"/>
          <w:spacing w:val="-4"/>
        </w:rPr>
        <w:t>消</w:t>
      </w:r>
      <w:r>
        <w:rPr>
          <w:rFonts w:ascii="宋体" w:eastAsia="宋体" w:hAnsi="宋体" w:cs="宋体"/>
        </w:rPr>
        <w:t xml:space="preserve"> </w:t>
      </w:r>
      <w:r>
        <w:rPr>
          <w:rFonts w:ascii="宋体" w:eastAsia="宋体" w:hAnsi="宋体" w:cs="宋体"/>
          <w:spacing w:val="-3"/>
        </w:rPr>
        <w:t>耗之间的平衡。体重过高或过低都是不健康的表现，可造成抵抗力下</w:t>
      </w:r>
      <w:r>
        <w:rPr>
          <w:rFonts w:ascii="宋体" w:eastAsia="宋体" w:hAnsi="宋体" w:cs="宋体"/>
          <w:spacing w:val="-4"/>
        </w:rPr>
        <w:t>降，易患某</w:t>
      </w:r>
      <w:r>
        <w:rPr>
          <w:rFonts w:ascii="宋体" w:eastAsia="宋体" w:hAnsi="宋体" w:cs="宋体"/>
        </w:rPr>
        <w:t xml:space="preserve"> </w:t>
      </w:r>
      <w:r>
        <w:rPr>
          <w:rFonts w:ascii="宋体" w:eastAsia="宋体" w:hAnsi="宋体" w:cs="宋体"/>
          <w:spacing w:val="-3"/>
        </w:rPr>
        <w:t>些疾病，如老年人的慢性病或儿童的传染病等。经常运动会增强心血管和呼吸系</w:t>
      </w:r>
      <w:r>
        <w:rPr>
          <w:rFonts w:ascii="宋体" w:eastAsia="宋体" w:hAnsi="宋体" w:cs="宋体"/>
          <w:spacing w:val="3"/>
        </w:rPr>
        <w:t xml:space="preserve"> </w:t>
      </w:r>
      <w:r>
        <w:rPr>
          <w:rFonts w:ascii="宋体" w:eastAsia="宋体" w:hAnsi="宋体" w:cs="宋体"/>
          <w:spacing w:val="-3"/>
        </w:rPr>
        <w:t>统的功能，保持良好的生理状态、提高工作效率、调节食欲、强壮骨骼、预防骨</w:t>
      </w:r>
      <w:r>
        <w:rPr>
          <w:rFonts w:ascii="宋体" w:eastAsia="宋体" w:hAnsi="宋体" w:cs="宋体"/>
          <w:spacing w:val="15"/>
        </w:rPr>
        <w:t xml:space="preserve"> </w:t>
      </w:r>
      <w:r>
        <w:rPr>
          <w:rFonts w:ascii="宋体" w:eastAsia="宋体" w:hAnsi="宋体" w:cs="宋体"/>
          <w:spacing w:val="-8"/>
        </w:rPr>
        <w:t>质疏松。</w:t>
      </w:r>
    </w:p>
    <w:p w:rsidR="00EA40A3" w:rsidRDefault="00E86C16">
      <w:pPr>
        <w:spacing w:before="82" w:line="247" w:lineRule="auto"/>
        <w:ind w:right="1" w:firstLine="419"/>
        <w:rPr>
          <w:rFonts w:ascii="宋体" w:eastAsia="宋体" w:hAnsi="宋体" w:cs="宋体"/>
        </w:rPr>
      </w:pPr>
      <w:r>
        <w:rPr>
          <w:rFonts w:ascii="宋体" w:eastAsia="宋体" w:hAnsi="宋体" w:cs="宋体"/>
          <w:spacing w:val="7"/>
        </w:rPr>
        <w:t>三餐分配要合理。</w:t>
      </w:r>
      <w:r>
        <w:rPr>
          <w:rFonts w:ascii="宋体" w:eastAsia="宋体" w:hAnsi="宋体" w:cs="宋体"/>
          <w:spacing w:val="60"/>
        </w:rPr>
        <w:t xml:space="preserve"> </w:t>
      </w:r>
      <w:r>
        <w:rPr>
          <w:rFonts w:ascii="宋体" w:eastAsia="宋体" w:hAnsi="宋体" w:cs="宋体"/>
          <w:spacing w:val="7"/>
        </w:rPr>
        <w:t>一般早、中、晚餐的能量分别占总能量的30%、40%、</w:t>
      </w:r>
      <w:r>
        <w:rPr>
          <w:rFonts w:ascii="宋体" w:eastAsia="宋体" w:hAnsi="宋体" w:cs="宋体"/>
        </w:rPr>
        <w:t xml:space="preserve"> </w:t>
      </w:r>
      <w:r>
        <w:rPr>
          <w:rFonts w:ascii="宋体" w:eastAsia="宋体" w:hAnsi="宋体" w:cs="宋体"/>
          <w:spacing w:val="4"/>
        </w:rPr>
        <w:t>30%为宜。</w:t>
      </w:r>
    </w:p>
    <w:p w:rsidR="00EA40A3" w:rsidRDefault="00E86C16">
      <w:pPr>
        <w:spacing w:before="72" w:line="223" w:lineRule="auto"/>
        <w:rPr>
          <w:rFonts w:ascii="楷体" w:eastAsia="楷体" w:hAnsi="楷体" w:cs="楷体"/>
        </w:rPr>
      </w:pPr>
      <w:r>
        <w:rPr>
          <w:rFonts w:ascii="楷体" w:eastAsia="楷体" w:hAnsi="楷体" w:cs="楷体"/>
          <w:spacing w:val="3"/>
        </w:rPr>
        <w:t>6)吃清淡少盐的膳食</w:t>
      </w:r>
    </w:p>
    <w:p w:rsidR="00EA40A3" w:rsidRDefault="00E86C16">
      <w:pPr>
        <w:spacing w:before="80" w:line="242" w:lineRule="auto"/>
        <w:ind w:right="75" w:firstLine="419"/>
        <w:rPr>
          <w:rFonts w:ascii="宋体" w:eastAsia="宋体" w:hAnsi="宋体" w:cs="宋体"/>
        </w:rPr>
      </w:pPr>
      <w:r>
        <w:rPr>
          <w:rFonts w:ascii="宋体" w:eastAsia="宋体" w:hAnsi="宋体" w:cs="宋体"/>
          <w:spacing w:val="-3"/>
        </w:rPr>
        <w:t>吃清淡膳食有利于健康，即不要太油腻，不要太咸，不要过多的动物性食物</w:t>
      </w:r>
      <w:r>
        <w:rPr>
          <w:rFonts w:ascii="宋体" w:eastAsia="宋体" w:hAnsi="宋体" w:cs="宋体"/>
          <w:spacing w:val="8"/>
        </w:rPr>
        <w:t xml:space="preserve"> </w:t>
      </w:r>
      <w:r>
        <w:rPr>
          <w:rFonts w:ascii="宋体" w:eastAsia="宋体" w:hAnsi="宋体" w:cs="宋体"/>
          <w:spacing w:val="-9"/>
        </w:rPr>
        <w:t>和油炸、烟熏食物。</w:t>
      </w:r>
    </w:p>
    <w:p w:rsidR="00EA40A3" w:rsidRDefault="00E86C16">
      <w:pPr>
        <w:spacing w:before="64" w:line="229" w:lineRule="auto"/>
        <w:rPr>
          <w:rFonts w:ascii="楷体" w:eastAsia="楷体" w:hAnsi="楷体" w:cs="楷体"/>
        </w:rPr>
      </w:pPr>
      <w:r>
        <w:rPr>
          <w:rFonts w:ascii="楷体" w:eastAsia="楷体" w:hAnsi="楷体" w:cs="楷体"/>
          <w:spacing w:val="5"/>
        </w:rPr>
        <w:t>7)如饮酒应限量</w:t>
      </w:r>
    </w:p>
    <w:p w:rsidR="00EA40A3" w:rsidRDefault="00E86C16">
      <w:pPr>
        <w:spacing w:before="75" w:line="250" w:lineRule="auto"/>
        <w:ind w:right="95" w:firstLine="419"/>
        <w:rPr>
          <w:rFonts w:ascii="宋体" w:eastAsia="宋体" w:hAnsi="宋体" w:cs="宋体"/>
        </w:rPr>
      </w:pPr>
      <w:r>
        <w:rPr>
          <w:rFonts w:ascii="宋体" w:eastAsia="宋体" w:hAnsi="宋体" w:cs="宋体"/>
          <w:spacing w:val="-3"/>
        </w:rPr>
        <w:t>高度酒含能量高，不含其他营养素。过量饮酒对个</w:t>
      </w:r>
      <w:r>
        <w:rPr>
          <w:rFonts w:ascii="宋体" w:eastAsia="宋体" w:hAnsi="宋体" w:cs="宋体"/>
          <w:spacing w:val="-4"/>
        </w:rPr>
        <w:t>人健康和社会安定都是有</w:t>
      </w:r>
      <w:r>
        <w:rPr>
          <w:rFonts w:ascii="宋体" w:eastAsia="宋体" w:hAnsi="宋体" w:cs="宋体"/>
        </w:rPr>
        <w:t xml:space="preserve"> </w:t>
      </w:r>
      <w:r>
        <w:rPr>
          <w:rFonts w:ascii="宋体" w:eastAsia="宋体" w:hAnsi="宋体" w:cs="宋体"/>
          <w:spacing w:val="-5"/>
        </w:rPr>
        <w:t>害的。应严禁酗酒，若饮酒可少量饮用低度酒，青少年不应饮酒。</w:t>
      </w:r>
    </w:p>
    <w:p w:rsidR="00EA40A3" w:rsidRDefault="00E86C16">
      <w:pPr>
        <w:spacing w:before="48" w:line="223" w:lineRule="auto"/>
        <w:rPr>
          <w:rFonts w:ascii="楷体" w:eastAsia="楷体" w:hAnsi="楷体" w:cs="楷体"/>
        </w:rPr>
      </w:pPr>
      <w:r>
        <w:rPr>
          <w:rFonts w:ascii="楷体" w:eastAsia="楷体" w:hAnsi="楷体" w:cs="楷体"/>
          <w:spacing w:val="3"/>
        </w:rPr>
        <w:t>8)吃清洁卫生、不变质的食物</w:t>
      </w:r>
    </w:p>
    <w:p w:rsidR="00EA40A3" w:rsidRDefault="00E86C16">
      <w:pPr>
        <w:spacing w:before="94" w:line="257" w:lineRule="auto"/>
        <w:ind w:right="84" w:firstLine="419"/>
        <w:rPr>
          <w:rFonts w:ascii="宋体" w:eastAsia="宋体" w:hAnsi="宋体" w:cs="宋体"/>
        </w:rPr>
      </w:pPr>
      <w:r>
        <w:rPr>
          <w:rFonts w:ascii="宋体" w:eastAsia="宋体" w:hAnsi="宋体" w:cs="宋体"/>
          <w:spacing w:val="3"/>
        </w:rPr>
        <w:t>1992年，根据我国的膳食指南并且结合膳食结构，中国营养学会进</w:t>
      </w:r>
      <w:r>
        <w:rPr>
          <w:rFonts w:ascii="宋体" w:eastAsia="宋体" w:hAnsi="宋体" w:cs="宋体"/>
          <w:spacing w:val="2"/>
        </w:rPr>
        <w:t>一步提</w:t>
      </w:r>
      <w:r>
        <w:rPr>
          <w:rFonts w:ascii="宋体" w:eastAsia="宋体" w:hAnsi="宋体" w:cs="宋体"/>
        </w:rPr>
        <w:t xml:space="preserve"> 出了《中国居民平衡膳食宝塔》,将平衡膳食的原则转化成消费者每</w:t>
      </w:r>
      <w:r>
        <w:rPr>
          <w:rFonts w:ascii="宋体" w:eastAsia="宋体" w:hAnsi="宋体" w:cs="宋体"/>
          <w:spacing w:val="-1"/>
        </w:rPr>
        <w:t>日应吃食物</w:t>
      </w:r>
      <w:r>
        <w:rPr>
          <w:rFonts w:ascii="宋体" w:eastAsia="宋体" w:hAnsi="宋体" w:cs="宋体"/>
        </w:rPr>
        <w:t xml:space="preserve"> 的种类及相应的数量，并以直观的宝塔形式表现出来，便于人们理解</w:t>
      </w:r>
      <w:r>
        <w:rPr>
          <w:rFonts w:ascii="宋体" w:eastAsia="宋体" w:hAnsi="宋体" w:cs="宋体"/>
          <w:spacing w:val="-1"/>
        </w:rPr>
        <w:t>和应用(见</w:t>
      </w:r>
      <w:r>
        <w:rPr>
          <w:rFonts w:ascii="宋体" w:eastAsia="宋体" w:hAnsi="宋体" w:cs="宋体"/>
        </w:rPr>
        <w:t xml:space="preserve"> 图12-2)。塔基表示谷类及其制品的膳食份数，中部为蔬菜、水果、动物性食品</w:t>
      </w:r>
      <w:r>
        <w:rPr>
          <w:rFonts w:ascii="宋体" w:eastAsia="宋体" w:hAnsi="宋体" w:cs="宋体"/>
          <w:spacing w:val="5"/>
        </w:rPr>
        <w:t xml:space="preserve"> </w:t>
      </w:r>
      <w:r>
        <w:rPr>
          <w:rFonts w:ascii="宋体" w:eastAsia="宋体" w:hAnsi="宋体" w:cs="宋体"/>
          <w:spacing w:val="-3"/>
        </w:rPr>
        <w:t>的份数，塔尖为油脂、糖的份数，体积和份数由下至上依次减少，金</w:t>
      </w:r>
      <w:r>
        <w:rPr>
          <w:rFonts w:ascii="宋体" w:eastAsia="宋体" w:hAnsi="宋体" w:cs="宋体"/>
          <w:spacing w:val="-4"/>
        </w:rPr>
        <w:t>字塔图被认</w:t>
      </w:r>
      <w:r>
        <w:rPr>
          <w:rFonts w:ascii="宋体" w:eastAsia="宋体" w:hAnsi="宋体" w:cs="宋体"/>
        </w:rPr>
        <w:t xml:space="preserve"> </w:t>
      </w:r>
      <w:r>
        <w:rPr>
          <w:rFonts w:ascii="宋体" w:eastAsia="宋体" w:hAnsi="宋体" w:cs="宋体"/>
          <w:spacing w:val="-3"/>
        </w:rPr>
        <w:t>为形象地表达了膳食指南的三个关键，即多样、平衡和适量，已成为一种有效的</w:t>
      </w:r>
      <w:r>
        <w:rPr>
          <w:rFonts w:ascii="宋体" w:eastAsia="宋体" w:hAnsi="宋体" w:cs="宋体"/>
        </w:rPr>
        <w:t xml:space="preserve"> </w:t>
      </w:r>
      <w:r>
        <w:rPr>
          <w:rFonts w:ascii="宋体" w:eastAsia="宋体" w:hAnsi="宋体" w:cs="宋体"/>
          <w:spacing w:val="-8"/>
        </w:rPr>
        <w:t>营养教育工具广泛使用。</w:t>
      </w:r>
    </w:p>
    <w:p w:rsidR="00EA40A3" w:rsidRDefault="00EA40A3">
      <w:pPr>
        <w:sectPr w:rsidR="00EA40A3">
          <w:footerReference w:type="default" r:id="rId335"/>
          <w:pgSz w:w="9220" w:h="13360"/>
          <w:pgMar w:top="400" w:right="913" w:bottom="1244" w:left="970" w:header="0" w:footer="1011" w:gutter="0"/>
          <w:cols w:space="720"/>
        </w:sectPr>
      </w:pPr>
    </w:p>
    <w:p w:rsidR="00EA40A3" w:rsidRDefault="00EA40A3">
      <w:pPr>
        <w:spacing w:line="306" w:lineRule="auto"/>
      </w:pPr>
    </w:p>
    <w:p w:rsidR="00EA40A3" w:rsidRDefault="00EA40A3">
      <w:pPr>
        <w:spacing w:line="307" w:lineRule="auto"/>
      </w:pPr>
    </w:p>
    <w:p w:rsidR="00EA40A3" w:rsidRDefault="00EA40A3">
      <w:pPr>
        <w:spacing w:line="307" w:lineRule="auto"/>
      </w:pPr>
    </w:p>
    <w:p w:rsidR="00EA40A3" w:rsidRDefault="00E86C16">
      <w:pPr>
        <w:spacing w:before="55" w:line="214" w:lineRule="auto"/>
        <w:ind w:left="3890"/>
        <w:rPr>
          <w:rFonts w:ascii="宋体" w:eastAsia="宋体" w:hAnsi="宋体" w:cs="宋体"/>
          <w:sz w:val="17"/>
          <w:szCs w:val="17"/>
        </w:rPr>
      </w:pPr>
      <w:r>
        <w:rPr>
          <w:noProof/>
        </w:rPr>
        <w:drawing>
          <wp:anchor distT="0" distB="0" distL="0" distR="0" simplePos="0" relativeHeight="251721728" behindDoc="1" locked="0" layoutInCell="1" allowOverlap="1">
            <wp:simplePos x="0" y="0"/>
            <wp:positionH relativeFrom="column">
              <wp:posOffset>838200</wp:posOffset>
            </wp:positionH>
            <wp:positionV relativeFrom="paragraph">
              <wp:posOffset>-130810</wp:posOffset>
            </wp:positionV>
            <wp:extent cx="1803400" cy="24003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336"/>
                    <a:stretch>
                      <a:fillRect/>
                    </a:stretch>
                  </pic:blipFill>
                  <pic:spPr>
                    <a:xfrm>
                      <a:off x="0" y="0"/>
                      <a:ext cx="1803364" cy="2400278"/>
                    </a:xfrm>
                    <a:prstGeom prst="rect">
                      <a:avLst/>
                    </a:prstGeom>
                  </pic:spPr>
                </pic:pic>
              </a:graphicData>
            </a:graphic>
          </wp:anchor>
        </w:drawing>
      </w:r>
      <w:r>
        <w:rPr>
          <w:rFonts w:ascii="宋体" w:eastAsia="宋体" w:hAnsi="宋体" w:cs="宋体"/>
          <w:spacing w:val="-10"/>
          <w:sz w:val="17"/>
          <w:szCs w:val="17"/>
        </w:rPr>
        <w:t>油脂类25g(0.5两)</w:t>
      </w:r>
    </w:p>
    <w:p w:rsidR="00EA40A3" w:rsidRDefault="00EA40A3">
      <w:pPr>
        <w:spacing w:line="348" w:lineRule="auto"/>
      </w:pPr>
    </w:p>
    <w:p w:rsidR="00EA40A3" w:rsidRDefault="00E86C16">
      <w:pPr>
        <w:spacing w:before="52" w:line="208" w:lineRule="auto"/>
        <w:ind w:left="3890"/>
        <w:rPr>
          <w:rFonts w:ascii="宋体" w:eastAsia="宋体" w:hAnsi="宋体" w:cs="宋体"/>
          <w:sz w:val="16"/>
          <w:szCs w:val="16"/>
        </w:rPr>
      </w:pPr>
      <w:r>
        <w:rPr>
          <w:rFonts w:ascii="宋体" w:eastAsia="宋体" w:hAnsi="宋体" w:cs="宋体"/>
          <w:spacing w:val="-8"/>
          <w:sz w:val="16"/>
          <w:szCs w:val="16"/>
        </w:rPr>
        <w:t>奶类及奶制品100g(2两)</w:t>
      </w:r>
    </w:p>
    <w:p w:rsidR="00EA40A3" w:rsidRDefault="00E86C16">
      <w:pPr>
        <w:spacing w:line="213" w:lineRule="auto"/>
        <w:ind w:left="3890"/>
        <w:rPr>
          <w:rFonts w:ascii="宋体" w:eastAsia="宋体" w:hAnsi="宋体" w:cs="宋体"/>
          <w:sz w:val="16"/>
          <w:szCs w:val="16"/>
        </w:rPr>
      </w:pPr>
      <w:r>
        <w:rPr>
          <w:rFonts w:ascii="宋体" w:eastAsia="宋体" w:hAnsi="宋体" w:cs="宋体"/>
          <w:spacing w:val="-7"/>
          <w:sz w:val="16"/>
          <w:szCs w:val="16"/>
        </w:rPr>
        <w:t>豆类及豆制品50g(1两)</w:t>
      </w:r>
    </w:p>
    <w:p w:rsidR="00EA40A3" w:rsidRDefault="00E86C16">
      <w:pPr>
        <w:spacing w:before="225" w:line="215" w:lineRule="auto"/>
        <w:ind w:left="4029" w:right="1410"/>
        <w:rPr>
          <w:rFonts w:ascii="宋体" w:eastAsia="宋体" w:hAnsi="宋体" w:cs="宋体"/>
          <w:sz w:val="17"/>
          <w:szCs w:val="17"/>
        </w:rPr>
      </w:pPr>
      <w:r>
        <w:rPr>
          <w:rFonts w:ascii="宋体" w:eastAsia="宋体" w:hAnsi="宋体" w:cs="宋体"/>
          <w:spacing w:val="-13"/>
          <w:sz w:val="17"/>
          <w:szCs w:val="17"/>
        </w:rPr>
        <w:t>畜禽肉类50~100g(1两至2两)</w:t>
      </w:r>
      <w:r>
        <w:rPr>
          <w:rFonts w:ascii="宋体" w:eastAsia="宋体" w:hAnsi="宋体" w:cs="宋体"/>
          <w:spacing w:val="2"/>
          <w:sz w:val="17"/>
          <w:szCs w:val="17"/>
        </w:rPr>
        <w:t xml:space="preserve"> </w:t>
      </w:r>
      <w:r>
        <w:rPr>
          <w:rFonts w:ascii="宋体" w:eastAsia="宋体" w:hAnsi="宋体" w:cs="宋体"/>
          <w:spacing w:val="-14"/>
          <w:sz w:val="17"/>
          <w:szCs w:val="17"/>
        </w:rPr>
        <w:t>鱼虾类50g(1两)</w:t>
      </w:r>
    </w:p>
    <w:p w:rsidR="00EA40A3" w:rsidRDefault="00E86C16">
      <w:pPr>
        <w:spacing w:before="3" w:line="214" w:lineRule="auto"/>
        <w:ind w:left="4029"/>
        <w:rPr>
          <w:rFonts w:ascii="宋体" w:eastAsia="宋体" w:hAnsi="宋体" w:cs="宋体"/>
          <w:sz w:val="17"/>
          <w:szCs w:val="17"/>
        </w:rPr>
      </w:pPr>
      <w:r>
        <w:rPr>
          <w:rFonts w:ascii="宋体" w:eastAsia="宋体" w:hAnsi="宋体" w:cs="宋体"/>
          <w:spacing w:val="-14"/>
          <w:sz w:val="17"/>
          <w:szCs w:val="17"/>
        </w:rPr>
        <w:t>蛋类25~50g(0.5两至1两)</w:t>
      </w:r>
    </w:p>
    <w:p w:rsidR="00EA40A3" w:rsidRDefault="00EA40A3">
      <w:pPr>
        <w:spacing w:line="247" w:lineRule="auto"/>
      </w:pPr>
    </w:p>
    <w:p w:rsidR="00EA40A3" w:rsidRDefault="00E86C16">
      <w:pPr>
        <w:spacing w:before="55" w:line="215" w:lineRule="auto"/>
        <w:ind w:left="4150" w:right="1371"/>
        <w:rPr>
          <w:rFonts w:ascii="宋体" w:eastAsia="宋体" w:hAnsi="宋体" w:cs="宋体"/>
          <w:sz w:val="17"/>
          <w:szCs w:val="17"/>
        </w:rPr>
      </w:pPr>
      <w:r>
        <w:rPr>
          <w:rFonts w:ascii="宋体" w:eastAsia="宋体" w:hAnsi="宋体" w:cs="宋体"/>
          <w:spacing w:val="-13"/>
          <w:sz w:val="17"/>
          <w:szCs w:val="17"/>
        </w:rPr>
        <w:t>蔬菜类400~500g(8两至1斤)</w:t>
      </w:r>
      <w:r>
        <w:rPr>
          <w:rFonts w:ascii="宋体" w:eastAsia="宋体" w:hAnsi="宋体" w:cs="宋体"/>
          <w:spacing w:val="6"/>
          <w:sz w:val="17"/>
          <w:szCs w:val="17"/>
        </w:rPr>
        <w:t xml:space="preserve"> </w:t>
      </w:r>
      <w:r>
        <w:rPr>
          <w:rFonts w:ascii="宋体" w:eastAsia="宋体" w:hAnsi="宋体" w:cs="宋体"/>
          <w:spacing w:val="-13"/>
          <w:sz w:val="17"/>
          <w:szCs w:val="17"/>
        </w:rPr>
        <w:t>水果类100~200g(2两至4两)</w:t>
      </w:r>
    </w:p>
    <w:p w:rsidR="00EA40A3" w:rsidRDefault="00EA40A3">
      <w:pPr>
        <w:spacing w:line="474" w:lineRule="auto"/>
      </w:pPr>
    </w:p>
    <w:p w:rsidR="00EA40A3" w:rsidRDefault="00E86C16">
      <w:pPr>
        <w:spacing w:before="56" w:line="214" w:lineRule="auto"/>
        <w:ind w:left="4219"/>
        <w:rPr>
          <w:rFonts w:ascii="宋体" w:eastAsia="宋体" w:hAnsi="宋体" w:cs="宋体"/>
          <w:sz w:val="17"/>
          <w:szCs w:val="17"/>
        </w:rPr>
      </w:pPr>
      <w:r>
        <w:rPr>
          <w:rFonts w:ascii="宋体" w:eastAsia="宋体" w:hAnsi="宋体" w:cs="宋体"/>
          <w:spacing w:val="-13"/>
          <w:sz w:val="17"/>
          <w:szCs w:val="17"/>
        </w:rPr>
        <w:t>谷类300~500g(6两至1斤)</w:t>
      </w:r>
    </w:p>
    <w:p w:rsidR="00EA40A3" w:rsidRDefault="00EA40A3">
      <w:pPr>
        <w:spacing w:line="259" w:lineRule="auto"/>
      </w:pPr>
    </w:p>
    <w:p w:rsidR="00EA40A3" w:rsidRDefault="00EA40A3">
      <w:pPr>
        <w:spacing w:line="260" w:lineRule="auto"/>
      </w:pPr>
    </w:p>
    <w:p w:rsidR="00EA40A3" w:rsidRDefault="00E86C16">
      <w:pPr>
        <w:spacing w:before="69" w:line="210" w:lineRule="auto"/>
        <w:ind w:left="2020"/>
        <w:rPr>
          <w:rFonts w:ascii="宋体" w:eastAsia="宋体" w:hAnsi="宋体" w:cs="宋体"/>
        </w:rPr>
      </w:pPr>
      <w:r>
        <w:rPr>
          <w:rFonts w:ascii="宋体" w:eastAsia="宋体" w:hAnsi="宋体" w:cs="宋体"/>
          <w:spacing w:val="-19"/>
        </w:rPr>
        <w:t>图12-2</w:t>
      </w:r>
      <w:r>
        <w:rPr>
          <w:rFonts w:ascii="宋体" w:eastAsia="宋体" w:hAnsi="宋体" w:cs="宋体"/>
          <w:spacing w:val="63"/>
        </w:rPr>
        <w:t xml:space="preserve"> </w:t>
      </w:r>
      <w:r>
        <w:rPr>
          <w:rFonts w:ascii="宋体" w:eastAsia="宋体" w:hAnsi="宋体" w:cs="宋体"/>
          <w:spacing w:val="-19"/>
        </w:rPr>
        <w:t>中国居民平衡膳食宝塔(一日量)</w:t>
      </w:r>
    </w:p>
    <w:p w:rsidR="00EA40A3" w:rsidRDefault="00E86C16">
      <w:pPr>
        <w:spacing w:before="1" w:line="218" w:lineRule="auto"/>
        <w:ind w:left="2589"/>
        <w:rPr>
          <w:rFonts w:ascii="宋体" w:eastAsia="宋体" w:hAnsi="宋体" w:cs="宋体"/>
        </w:rPr>
      </w:pPr>
      <w:r>
        <w:rPr>
          <w:rFonts w:ascii="宋体" w:eastAsia="宋体" w:hAnsi="宋体" w:cs="宋体"/>
          <w:spacing w:val="-24"/>
          <w:w w:val="91"/>
        </w:rPr>
        <w:t>资料来源：中国营养学会.1997</w:t>
      </w:r>
    </w:p>
    <w:p w:rsidR="00EA40A3" w:rsidRDefault="00EA40A3">
      <w:pPr>
        <w:spacing w:line="455" w:lineRule="auto"/>
      </w:pPr>
    </w:p>
    <w:p w:rsidR="00EA40A3" w:rsidRDefault="00E86C16">
      <w:pPr>
        <w:spacing w:before="98" w:line="219" w:lineRule="auto"/>
        <w:ind w:left="2600"/>
        <w:rPr>
          <w:rFonts w:ascii="宋体" w:eastAsia="宋体" w:hAnsi="宋体" w:cs="宋体"/>
          <w:sz w:val="30"/>
          <w:szCs w:val="30"/>
        </w:rPr>
      </w:pPr>
      <w:r>
        <w:rPr>
          <w:rFonts w:ascii="宋体" w:eastAsia="宋体" w:hAnsi="宋体" w:cs="宋体"/>
          <w:spacing w:val="-9"/>
          <w:sz w:val="30"/>
          <w:szCs w:val="30"/>
        </w:rPr>
        <w:t>12.5</w:t>
      </w:r>
      <w:r>
        <w:rPr>
          <w:rFonts w:ascii="宋体" w:eastAsia="宋体" w:hAnsi="宋体" w:cs="宋体"/>
          <w:spacing w:val="64"/>
          <w:sz w:val="30"/>
          <w:szCs w:val="30"/>
        </w:rPr>
        <w:t xml:space="preserve"> </w:t>
      </w:r>
      <w:r>
        <w:rPr>
          <w:rFonts w:ascii="宋体" w:eastAsia="宋体" w:hAnsi="宋体" w:cs="宋体"/>
          <w:spacing w:val="-9"/>
          <w:sz w:val="30"/>
          <w:szCs w:val="30"/>
        </w:rPr>
        <w:t>食</w:t>
      </w:r>
      <w:r>
        <w:rPr>
          <w:rFonts w:ascii="宋体" w:eastAsia="宋体" w:hAnsi="宋体" w:cs="宋体"/>
          <w:spacing w:val="-63"/>
          <w:sz w:val="30"/>
          <w:szCs w:val="30"/>
        </w:rPr>
        <w:t xml:space="preserve"> </w:t>
      </w:r>
      <w:r>
        <w:rPr>
          <w:rFonts w:ascii="宋体" w:eastAsia="宋体" w:hAnsi="宋体" w:cs="宋体"/>
          <w:spacing w:val="-9"/>
          <w:sz w:val="30"/>
          <w:szCs w:val="30"/>
        </w:rPr>
        <w:t>谱</w:t>
      </w:r>
      <w:r>
        <w:rPr>
          <w:rFonts w:ascii="宋体" w:eastAsia="宋体" w:hAnsi="宋体" w:cs="宋体"/>
          <w:spacing w:val="-61"/>
          <w:sz w:val="30"/>
          <w:szCs w:val="30"/>
        </w:rPr>
        <w:t xml:space="preserve"> </w:t>
      </w:r>
      <w:r>
        <w:rPr>
          <w:rFonts w:ascii="宋体" w:eastAsia="宋体" w:hAnsi="宋体" w:cs="宋体"/>
          <w:spacing w:val="-9"/>
          <w:sz w:val="30"/>
          <w:szCs w:val="30"/>
        </w:rPr>
        <w:t>编</w:t>
      </w:r>
      <w:r>
        <w:rPr>
          <w:rFonts w:ascii="宋体" w:eastAsia="宋体" w:hAnsi="宋体" w:cs="宋体"/>
          <w:spacing w:val="-61"/>
          <w:sz w:val="30"/>
          <w:szCs w:val="30"/>
        </w:rPr>
        <w:t xml:space="preserve"> </w:t>
      </w:r>
      <w:r>
        <w:rPr>
          <w:rFonts w:ascii="宋体" w:eastAsia="宋体" w:hAnsi="宋体" w:cs="宋体"/>
          <w:spacing w:val="-9"/>
          <w:sz w:val="30"/>
          <w:szCs w:val="30"/>
        </w:rPr>
        <w:t>制</w:t>
      </w:r>
    </w:p>
    <w:p w:rsidR="00EA40A3" w:rsidRDefault="00E86C16">
      <w:pPr>
        <w:spacing w:before="266" w:line="221" w:lineRule="auto"/>
        <w:ind w:left="3"/>
        <w:outlineLvl w:val="6"/>
        <w:rPr>
          <w:rFonts w:ascii="黑体" w:eastAsia="黑体" w:hAnsi="黑体" w:cs="黑体"/>
          <w:sz w:val="24"/>
          <w:szCs w:val="24"/>
        </w:rPr>
      </w:pPr>
      <w:r>
        <w:rPr>
          <w:rFonts w:ascii="黑体" w:eastAsia="黑体" w:hAnsi="黑体" w:cs="黑体"/>
          <w:b/>
          <w:bCs/>
          <w:spacing w:val="-5"/>
          <w:sz w:val="24"/>
          <w:szCs w:val="24"/>
        </w:rPr>
        <w:t>12.5.1</w:t>
      </w:r>
      <w:r>
        <w:rPr>
          <w:rFonts w:ascii="黑体" w:eastAsia="黑体" w:hAnsi="黑体" w:cs="黑体"/>
          <w:spacing w:val="30"/>
          <w:sz w:val="24"/>
          <w:szCs w:val="24"/>
        </w:rPr>
        <w:t xml:space="preserve">  </w:t>
      </w:r>
      <w:r>
        <w:rPr>
          <w:rFonts w:ascii="黑体" w:eastAsia="黑体" w:hAnsi="黑体" w:cs="黑体"/>
          <w:b/>
          <w:bCs/>
          <w:spacing w:val="-5"/>
          <w:sz w:val="24"/>
          <w:szCs w:val="24"/>
        </w:rPr>
        <w:t>食谱编制的目的和原则</w:t>
      </w:r>
    </w:p>
    <w:p w:rsidR="00EA40A3" w:rsidRDefault="00E86C16">
      <w:pPr>
        <w:spacing w:before="182" w:line="258" w:lineRule="auto"/>
        <w:ind w:firstLine="419"/>
        <w:rPr>
          <w:rFonts w:ascii="宋体" w:eastAsia="宋体" w:hAnsi="宋体" w:cs="宋体"/>
        </w:rPr>
      </w:pPr>
      <w:r>
        <w:rPr>
          <w:rFonts w:ascii="宋体" w:eastAsia="宋体" w:hAnsi="宋体" w:cs="宋体"/>
          <w:spacing w:val="2"/>
        </w:rPr>
        <w:t>食谱</w:t>
      </w:r>
      <w:r>
        <w:rPr>
          <w:rFonts w:ascii="宋体" w:eastAsia="宋体" w:hAnsi="宋体" w:cs="宋体"/>
          <w:spacing w:val="-27"/>
        </w:rPr>
        <w:t xml:space="preserve"> </w:t>
      </w:r>
      <w:r>
        <w:rPr>
          <w:rFonts w:ascii="宋体" w:eastAsia="宋体" w:hAnsi="宋体" w:cs="宋体"/>
          <w:spacing w:val="2"/>
        </w:rPr>
        <w:t>(</w:t>
      </w:r>
      <w:r>
        <w:rPr>
          <w:rFonts w:ascii="宋体" w:eastAsia="宋体" w:hAnsi="宋体" w:cs="宋体"/>
        </w:rPr>
        <w:t>recipe</w:t>
      </w:r>
      <w:r>
        <w:rPr>
          <w:rFonts w:ascii="宋体" w:eastAsia="宋体" w:hAnsi="宋体" w:cs="宋体"/>
          <w:spacing w:val="2"/>
        </w:rPr>
        <w:t>)</w:t>
      </w:r>
      <w:r>
        <w:rPr>
          <w:rFonts w:ascii="宋体" w:eastAsia="宋体" w:hAnsi="宋体" w:cs="宋体"/>
          <w:spacing w:val="-49"/>
        </w:rPr>
        <w:t xml:space="preserve"> </w:t>
      </w:r>
      <w:r>
        <w:rPr>
          <w:rFonts w:ascii="宋体" w:eastAsia="宋体" w:hAnsi="宋体" w:cs="宋体"/>
          <w:spacing w:val="2"/>
        </w:rPr>
        <w:t>是反映膳食的食物配制及烹调方法的一种简明的文字形式，</w:t>
      </w:r>
      <w:r>
        <w:rPr>
          <w:rFonts w:ascii="宋体" w:eastAsia="宋体" w:hAnsi="宋体" w:cs="宋体"/>
        </w:rPr>
        <w:t xml:space="preserve"> </w:t>
      </w:r>
      <w:r>
        <w:rPr>
          <w:rFonts w:ascii="宋体" w:eastAsia="宋体" w:hAnsi="宋体" w:cs="宋体"/>
          <w:spacing w:val="-3"/>
        </w:rPr>
        <w:t>内容包括食物的种类、数量以及要制成的菜肴名称和烹调方法，</w:t>
      </w:r>
      <w:r>
        <w:rPr>
          <w:rFonts w:ascii="宋体" w:eastAsia="宋体" w:hAnsi="宋体" w:cs="宋体"/>
          <w:spacing w:val="-4"/>
        </w:rPr>
        <w:t>每日或几日均可</w:t>
      </w:r>
      <w:r>
        <w:rPr>
          <w:rFonts w:ascii="宋体" w:eastAsia="宋体" w:hAnsi="宋体" w:cs="宋体"/>
        </w:rPr>
        <w:t xml:space="preserve">  </w:t>
      </w:r>
      <w:r>
        <w:rPr>
          <w:rFonts w:ascii="宋体" w:eastAsia="宋体" w:hAnsi="宋体" w:cs="宋体"/>
          <w:spacing w:val="-3"/>
        </w:rPr>
        <w:t>编制一次。编制食谱的目的，是为了保证人体对能量和各种营养素的需要</w:t>
      </w:r>
      <w:r>
        <w:rPr>
          <w:rFonts w:ascii="宋体" w:eastAsia="宋体" w:hAnsi="宋体" w:cs="宋体"/>
          <w:spacing w:val="-4"/>
        </w:rPr>
        <w:t>，并据</w:t>
      </w:r>
      <w:r>
        <w:rPr>
          <w:rFonts w:ascii="宋体" w:eastAsia="宋体" w:hAnsi="宋体" w:cs="宋体"/>
        </w:rPr>
        <w:t xml:space="preserve">  </w:t>
      </w:r>
      <w:r>
        <w:rPr>
          <w:rFonts w:ascii="宋体" w:eastAsia="宋体" w:hAnsi="宋体" w:cs="宋体"/>
          <w:spacing w:val="-3"/>
        </w:rPr>
        <w:t>此将食物原料配制成可口的饭菜，适当地分配在一天的各个餐次中。</w:t>
      </w:r>
      <w:r>
        <w:rPr>
          <w:rFonts w:ascii="宋体" w:eastAsia="宋体" w:hAnsi="宋体" w:cs="宋体"/>
          <w:spacing w:val="-4"/>
        </w:rPr>
        <w:t>编制食谱是</w:t>
      </w:r>
      <w:r>
        <w:rPr>
          <w:rFonts w:ascii="宋体" w:eastAsia="宋体" w:hAnsi="宋体" w:cs="宋体"/>
        </w:rPr>
        <w:t xml:space="preserve">  </w:t>
      </w:r>
      <w:r>
        <w:rPr>
          <w:rFonts w:ascii="宋体" w:eastAsia="宋体" w:hAnsi="宋体" w:cs="宋体"/>
          <w:spacing w:val="-3"/>
        </w:rPr>
        <w:t>有计划地调配膳食，保证膳食多样化和合理平衡膳食制度的重要手段，</w:t>
      </w:r>
      <w:r>
        <w:rPr>
          <w:rFonts w:ascii="宋体" w:eastAsia="宋体" w:hAnsi="宋体" w:cs="宋体"/>
          <w:spacing w:val="-4"/>
        </w:rPr>
        <w:t>从营养学</w:t>
      </w:r>
      <w:r>
        <w:rPr>
          <w:rFonts w:ascii="宋体" w:eastAsia="宋体" w:hAnsi="宋体" w:cs="宋体"/>
        </w:rPr>
        <w:t xml:space="preserve">  </w:t>
      </w:r>
      <w:r>
        <w:rPr>
          <w:rFonts w:ascii="宋体" w:eastAsia="宋体" w:hAnsi="宋体" w:cs="宋体"/>
          <w:spacing w:val="-3"/>
        </w:rPr>
        <w:t>角度来看，是使食谱食物的质和量方面符合合理的营养原则，组成</w:t>
      </w:r>
      <w:r>
        <w:rPr>
          <w:rFonts w:ascii="宋体" w:eastAsia="宋体" w:hAnsi="宋体" w:cs="宋体"/>
          <w:spacing w:val="-4"/>
        </w:rPr>
        <w:t>平衡膳食，满</w:t>
      </w:r>
      <w:r>
        <w:rPr>
          <w:rFonts w:ascii="宋体" w:eastAsia="宋体" w:hAnsi="宋体" w:cs="宋体"/>
        </w:rPr>
        <w:t xml:space="preserve">  </w:t>
      </w:r>
      <w:r>
        <w:rPr>
          <w:rFonts w:ascii="宋体" w:eastAsia="宋体" w:hAnsi="宋体" w:cs="宋体"/>
          <w:spacing w:val="-4"/>
        </w:rPr>
        <w:t>足用餐者每日需要的能量和各种营养素，防止营养素过</w:t>
      </w:r>
      <w:r>
        <w:rPr>
          <w:rFonts w:ascii="宋体" w:eastAsia="宋体" w:hAnsi="宋体" w:cs="宋体"/>
          <w:spacing w:val="-5"/>
        </w:rPr>
        <w:t>剩或缺乏。</w:t>
      </w:r>
    </w:p>
    <w:p w:rsidR="00EA40A3" w:rsidRDefault="00E86C16">
      <w:pPr>
        <w:spacing w:before="79" w:line="244" w:lineRule="auto"/>
        <w:ind w:right="95" w:firstLine="419"/>
        <w:rPr>
          <w:rFonts w:ascii="宋体" w:eastAsia="宋体" w:hAnsi="宋体" w:cs="宋体"/>
        </w:rPr>
      </w:pPr>
      <w:r>
        <w:rPr>
          <w:rFonts w:ascii="宋体" w:eastAsia="宋体" w:hAnsi="宋体" w:cs="宋体"/>
          <w:spacing w:val="-3"/>
        </w:rPr>
        <w:t>另外，对不宜采用普通膳食食谱者，还可分别编</w:t>
      </w:r>
      <w:r>
        <w:rPr>
          <w:rFonts w:ascii="宋体" w:eastAsia="宋体" w:hAnsi="宋体" w:cs="宋体"/>
          <w:spacing w:val="-4"/>
        </w:rPr>
        <w:t>制调剂膳食食谱、要素膳食</w:t>
      </w:r>
      <w:r>
        <w:rPr>
          <w:rFonts w:ascii="宋体" w:eastAsia="宋体" w:hAnsi="宋体" w:cs="宋体"/>
        </w:rPr>
        <w:t xml:space="preserve"> </w:t>
      </w:r>
      <w:r>
        <w:rPr>
          <w:rFonts w:ascii="宋体" w:eastAsia="宋体" w:hAnsi="宋体" w:cs="宋体"/>
          <w:spacing w:val="-3"/>
        </w:rPr>
        <w:t>食谱、素膳食谱、流质膳食食谱等，以满足他们特殊生理、饮</w:t>
      </w:r>
      <w:r>
        <w:rPr>
          <w:rFonts w:ascii="宋体" w:eastAsia="宋体" w:hAnsi="宋体" w:cs="宋体"/>
          <w:spacing w:val="-4"/>
        </w:rPr>
        <w:t>食习俗、特殊职业</w:t>
      </w:r>
      <w:r>
        <w:rPr>
          <w:rFonts w:ascii="宋体" w:eastAsia="宋体" w:hAnsi="宋体" w:cs="宋体"/>
        </w:rPr>
        <w:t xml:space="preserve"> </w:t>
      </w:r>
      <w:r>
        <w:rPr>
          <w:rFonts w:ascii="宋体" w:eastAsia="宋体" w:hAnsi="宋体" w:cs="宋体"/>
          <w:spacing w:val="-11"/>
        </w:rPr>
        <w:t>的需要。</w:t>
      </w:r>
    </w:p>
    <w:p w:rsidR="00EA40A3" w:rsidRDefault="00E86C16">
      <w:pPr>
        <w:spacing w:before="79" w:line="219" w:lineRule="auto"/>
        <w:ind w:left="419"/>
        <w:rPr>
          <w:rFonts w:ascii="宋体" w:eastAsia="宋体" w:hAnsi="宋体" w:cs="宋体"/>
        </w:rPr>
      </w:pPr>
      <w:r>
        <w:rPr>
          <w:rFonts w:ascii="宋体" w:eastAsia="宋体" w:hAnsi="宋体" w:cs="宋体"/>
          <w:spacing w:val="-6"/>
        </w:rPr>
        <w:t>食谱编制的原则有：</w:t>
      </w:r>
    </w:p>
    <w:p w:rsidR="00EA40A3" w:rsidRDefault="00E86C16">
      <w:pPr>
        <w:spacing w:before="39" w:line="242" w:lineRule="auto"/>
        <w:ind w:right="88" w:firstLine="419"/>
        <w:rPr>
          <w:rFonts w:ascii="宋体" w:eastAsia="宋体" w:hAnsi="宋体" w:cs="宋体"/>
        </w:rPr>
      </w:pPr>
      <w:r>
        <w:rPr>
          <w:rFonts w:ascii="宋体" w:eastAsia="宋体" w:hAnsi="宋体" w:cs="宋体"/>
        </w:rPr>
        <w:t xml:space="preserve">(1)按照中国营养学会制定的《中国居民膳食营养素参考摄入量》所规定的 </w:t>
      </w:r>
      <w:r>
        <w:rPr>
          <w:rFonts w:ascii="宋体" w:eastAsia="宋体" w:hAnsi="宋体" w:cs="宋体"/>
          <w:spacing w:val="-5"/>
        </w:rPr>
        <w:t>能量和各种营养素的数量来选择食物原料。</w:t>
      </w:r>
    </w:p>
    <w:p w:rsidR="00EA40A3" w:rsidRDefault="00E86C16">
      <w:pPr>
        <w:spacing w:before="50" w:line="242" w:lineRule="auto"/>
        <w:ind w:right="88" w:firstLine="419"/>
        <w:rPr>
          <w:rFonts w:ascii="宋体" w:eastAsia="宋体" w:hAnsi="宋体" w:cs="宋体"/>
        </w:rPr>
      </w:pPr>
      <w:r>
        <w:rPr>
          <w:rFonts w:ascii="宋体" w:eastAsia="宋体" w:hAnsi="宋体" w:cs="宋体"/>
        </w:rPr>
        <w:t xml:space="preserve">(2)按季节及市场食物的变动情况、膳食者的消费水平、食堂设备和厨师的 </w:t>
      </w:r>
      <w:r>
        <w:rPr>
          <w:rFonts w:ascii="宋体" w:eastAsia="宋体" w:hAnsi="宋体" w:cs="宋体"/>
          <w:spacing w:val="-5"/>
        </w:rPr>
        <w:t>技术能力，应尽可能以分量少、品种多的方式进行食物调配。</w:t>
      </w:r>
    </w:p>
    <w:p w:rsidR="00EA40A3" w:rsidRDefault="00E86C16">
      <w:pPr>
        <w:spacing w:before="286"/>
        <w:ind w:left="150"/>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410</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337"/>
          <w:pgSz w:w="9220" w:h="13370"/>
          <w:pgMar w:top="400" w:right="1034" w:bottom="400" w:left="849" w:header="0" w:footer="0" w:gutter="0"/>
          <w:cols w:space="720"/>
        </w:sectPr>
      </w:pPr>
    </w:p>
    <w:p w:rsidR="00EA40A3" w:rsidRDefault="00EA40A3">
      <w:pPr>
        <w:spacing w:line="296" w:lineRule="auto"/>
      </w:pPr>
    </w:p>
    <w:p w:rsidR="00EA40A3" w:rsidRDefault="00EA40A3">
      <w:pPr>
        <w:spacing w:line="297" w:lineRule="auto"/>
      </w:pPr>
    </w:p>
    <w:p w:rsidR="00EA40A3" w:rsidRDefault="00E86C16">
      <w:pPr>
        <w:spacing w:before="72" w:line="239" w:lineRule="auto"/>
        <w:ind w:right="107" w:firstLine="420"/>
        <w:rPr>
          <w:rFonts w:ascii="宋体" w:eastAsia="宋体" w:hAnsi="宋体" w:cs="宋体"/>
          <w:sz w:val="22"/>
          <w:szCs w:val="22"/>
        </w:rPr>
      </w:pPr>
      <w:bookmarkStart w:id="102" w:name="_bookmark106"/>
      <w:bookmarkEnd w:id="102"/>
      <w:r>
        <w:rPr>
          <w:rFonts w:ascii="宋体" w:eastAsia="宋体" w:hAnsi="宋体" w:cs="宋体"/>
          <w:spacing w:val="-9"/>
          <w:sz w:val="22"/>
          <w:szCs w:val="22"/>
        </w:rPr>
        <w:t>(3)烹调方式应能使主、副食的感官性状良好和符合多样化的要求，尽量适</w:t>
      </w:r>
      <w:r>
        <w:rPr>
          <w:rFonts w:ascii="宋体" w:eastAsia="宋体" w:hAnsi="宋体" w:cs="宋体"/>
          <w:spacing w:val="3"/>
          <w:sz w:val="22"/>
          <w:szCs w:val="22"/>
        </w:rPr>
        <w:t xml:space="preserve"> </w:t>
      </w:r>
      <w:r>
        <w:rPr>
          <w:rFonts w:ascii="宋体" w:eastAsia="宋体" w:hAnsi="宋体" w:cs="宋体"/>
          <w:spacing w:val="-14"/>
          <w:sz w:val="22"/>
          <w:szCs w:val="22"/>
        </w:rPr>
        <w:t>应进食者的饮食习惯、民族习惯和地方习惯以及特殊需</w:t>
      </w:r>
      <w:r>
        <w:rPr>
          <w:rFonts w:ascii="宋体" w:eastAsia="宋体" w:hAnsi="宋体" w:cs="宋体"/>
          <w:spacing w:val="-15"/>
          <w:sz w:val="22"/>
          <w:szCs w:val="22"/>
        </w:rPr>
        <w:t>要。</w:t>
      </w:r>
    </w:p>
    <w:p w:rsidR="00EA40A3" w:rsidRDefault="00E86C16">
      <w:pPr>
        <w:spacing w:before="48" w:line="250" w:lineRule="auto"/>
        <w:ind w:right="86" w:firstLine="420"/>
        <w:rPr>
          <w:rFonts w:ascii="宋体" w:eastAsia="宋体" w:hAnsi="宋体" w:cs="宋体"/>
          <w:sz w:val="22"/>
          <w:szCs w:val="22"/>
        </w:rPr>
      </w:pPr>
      <w:r>
        <w:rPr>
          <w:rFonts w:ascii="宋体" w:eastAsia="宋体" w:hAnsi="宋体" w:cs="宋体"/>
          <w:spacing w:val="-8"/>
          <w:sz w:val="22"/>
          <w:szCs w:val="22"/>
        </w:rPr>
        <w:t>(4)根据进食者的体力活动强度、生理和生活规律安排</w:t>
      </w:r>
      <w:r>
        <w:rPr>
          <w:rFonts w:ascii="宋体" w:eastAsia="宋体" w:hAnsi="宋体" w:cs="宋体"/>
          <w:spacing w:val="-9"/>
          <w:sz w:val="22"/>
          <w:szCs w:val="22"/>
        </w:rPr>
        <w:t>进餐的次数和时间，</w:t>
      </w:r>
      <w:r>
        <w:rPr>
          <w:rFonts w:ascii="宋体" w:eastAsia="宋体" w:hAnsi="宋体" w:cs="宋体"/>
          <w:sz w:val="22"/>
          <w:szCs w:val="22"/>
        </w:rPr>
        <w:t xml:space="preserve"> </w:t>
      </w:r>
      <w:r>
        <w:rPr>
          <w:rFonts w:ascii="宋体" w:eastAsia="宋体" w:hAnsi="宋体" w:cs="宋体"/>
          <w:spacing w:val="-12"/>
          <w:sz w:val="22"/>
          <w:szCs w:val="22"/>
        </w:rPr>
        <w:t>应将全天的食物适当地分配到各餐中去。每餐要努力</w:t>
      </w:r>
      <w:r>
        <w:rPr>
          <w:rFonts w:ascii="宋体" w:eastAsia="宋体" w:hAnsi="宋体" w:cs="宋体"/>
          <w:spacing w:val="-13"/>
          <w:sz w:val="22"/>
          <w:szCs w:val="22"/>
        </w:rPr>
        <w:t>做到既有饱腹感，又有舒适</w:t>
      </w:r>
      <w:r>
        <w:rPr>
          <w:rFonts w:ascii="宋体" w:eastAsia="宋体" w:hAnsi="宋体" w:cs="宋体"/>
          <w:sz w:val="22"/>
          <w:szCs w:val="22"/>
        </w:rPr>
        <w:t xml:space="preserve"> </w:t>
      </w:r>
      <w:r>
        <w:rPr>
          <w:rFonts w:ascii="宋体" w:eastAsia="宋体" w:hAnsi="宋体" w:cs="宋体"/>
          <w:spacing w:val="-15"/>
          <w:sz w:val="22"/>
          <w:szCs w:val="22"/>
        </w:rPr>
        <w:t>感，营养物质各餐分配也要恰当，不可一餐过</w:t>
      </w:r>
      <w:r>
        <w:rPr>
          <w:rFonts w:ascii="宋体" w:eastAsia="宋体" w:hAnsi="宋体" w:cs="宋体"/>
          <w:spacing w:val="-16"/>
          <w:sz w:val="22"/>
          <w:szCs w:val="22"/>
        </w:rPr>
        <w:t>多，</w:t>
      </w:r>
      <w:r>
        <w:rPr>
          <w:rFonts w:ascii="宋体" w:eastAsia="宋体" w:hAnsi="宋体" w:cs="宋体"/>
          <w:spacing w:val="-1"/>
          <w:sz w:val="22"/>
          <w:szCs w:val="22"/>
        </w:rPr>
        <w:t xml:space="preserve"> </w:t>
      </w:r>
      <w:r>
        <w:rPr>
          <w:rFonts w:ascii="宋体" w:eastAsia="宋体" w:hAnsi="宋体" w:cs="宋体"/>
          <w:spacing w:val="-16"/>
          <w:sz w:val="22"/>
          <w:szCs w:val="22"/>
        </w:rPr>
        <w:t>一餐过少，或者一周食谱中前</w:t>
      </w:r>
      <w:r>
        <w:rPr>
          <w:rFonts w:ascii="宋体" w:eastAsia="宋体" w:hAnsi="宋体" w:cs="宋体"/>
          <w:sz w:val="22"/>
          <w:szCs w:val="22"/>
        </w:rPr>
        <w:t xml:space="preserve"> </w:t>
      </w:r>
      <w:r>
        <w:rPr>
          <w:rFonts w:ascii="宋体" w:eastAsia="宋体" w:hAnsi="宋体" w:cs="宋体"/>
          <w:spacing w:val="-4"/>
          <w:sz w:val="22"/>
          <w:szCs w:val="22"/>
        </w:rPr>
        <w:t>5天清淡，后2天丰盛。</w:t>
      </w:r>
    </w:p>
    <w:p w:rsidR="00EA40A3" w:rsidRDefault="00E86C16">
      <w:pPr>
        <w:spacing w:before="225" w:line="221" w:lineRule="auto"/>
        <w:ind w:left="3"/>
        <w:outlineLvl w:val="6"/>
        <w:rPr>
          <w:rFonts w:ascii="黑体" w:eastAsia="黑体" w:hAnsi="黑体" w:cs="黑体"/>
          <w:sz w:val="22"/>
          <w:szCs w:val="22"/>
        </w:rPr>
      </w:pPr>
      <w:r>
        <w:rPr>
          <w:rFonts w:ascii="黑体" w:eastAsia="黑体" w:hAnsi="黑体" w:cs="黑体"/>
          <w:b/>
          <w:bCs/>
          <w:spacing w:val="8"/>
          <w:sz w:val="22"/>
          <w:szCs w:val="22"/>
        </w:rPr>
        <w:t>12.5.2</w:t>
      </w:r>
      <w:r>
        <w:rPr>
          <w:rFonts w:ascii="黑体" w:eastAsia="黑体" w:hAnsi="黑体" w:cs="黑体"/>
          <w:spacing w:val="7"/>
          <w:sz w:val="22"/>
          <w:szCs w:val="22"/>
        </w:rPr>
        <w:t xml:space="preserve">   </w:t>
      </w:r>
      <w:r>
        <w:rPr>
          <w:rFonts w:ascii="黑体" w:eastAsia="黑体" w:hAnsi="黑体" w:cs="黑体"/>
          <w:b/>
          <w:bCs/>
          <w:spacing w:val="8"/>
          <w:sz w:val="22"/>
          <w:szCs w:val="22"/>
        </w:rPr>
        <w:t>食谱编制的步骤与实例</w:t>
      </w:r>
    </w:p>
    <w:p w:rsidR="00EA40A3" w:rsidRDefault="00E86C16">
      <w:pPr>
        <w:spacing w:before="180" w:line="219" w:lineRule="auto"/>
        <w:ind w:left="420"/>
        <w:rPr>
          <w:rFonts w:ascii="宋体" w:eastAsia="宋体" w:hAnsi="宋体" w:cs="宋体"/>
          <w:sz w:val="22"/>
          <w:szCs w:val="22"/>
        </w:rPr>
      </w:pPr>
      <w:r>
        <w:rPr>
          <w:rFonts w:ascii="宋体" w:eastAsia="宋体" w:hAnsi="宋体" w:cs="宋体"/>
          <w:spacing w:val="-14"/>
          <w:sz w:val="22"/>
          <w:szCs w:val="22"/>
        </w:rPr>
        <w:t>目前编制食谱的基本方法有计算法、食品交换法和计算机食谱编制</w:t>
      </w:r>
      <w:r>
        <w:rPr>
          <w:rFonts w:ascii="宋体" w:eastAsia="宋体" w:hAnsi="宋体" w:cs="宋体"/>
          <w:spacing w:val="-15"/>
          <w:sz w:val="22"/>
          <w:szCs w:val="22"/>
        </w:rPr>
        <w:t>法。</w:t>
      </w:r>
    </w:p>
    <w:p w:rsidR="00EA40A3" w:rsidRDefault="00E86C16">
      <w:pPr>
        <w:spacing w:before="51" w:line="248" w:lineRule="auto"/>
        <w:ind w:right="25" w:firstLine="420"/>
        <w:rPr>
          <w:rFonts w:ascii="宋体" w:eastAsia="宋体" w:hAnsi="宋体" w:cs="宋体"/>
          <w:sz w:val="22"/>
          <w:szCs w:val="22"/>
        </w:rPr>
      </w:pPr>
      <w:r>
        <w:rPr>
          <w:rFonts w:ascii="宋体" w:eastAsia="宋体" w:hAnsi="宋体" w:cs="宋体"/>
          <w:spacing w:val="-6"/>
          <w:sz w:val="22"/>
          <w:szCs w:val="22"/>
        </w:rPr>
        <w:t>计算法是食谱编制最早采用的一种方法，也是其他两种食谱编制方法的基</w:t>
      </w:r>
      <w:r>
        <w:rPr>
          <w:rFonts w:ascii="宋体" w:eastAsia="宋体" w:hAnsi="宋体" w:cs="宋体"/>
          <w:sz w:val="22"/>
          <w:szCs w:val="22"/>
        </w:rPr>
        <w:t xml:space="preserve"> </w:t>
      </w:r>
      <w:r>
        <w:rPr>
          <w:rFonts w:ascii="宋体" w:eastAsia="宋体" w:hAnsi="宋体" w:cs="宋体"/>
          <w:spacing w:val="-12"/>
          <w:sz w:val="22"/>
          <w:szCs w:val="22"/>
        </w:rPr>
        <w:t>础。它主要是根据就餐者的营养素需要情况，根据膳食组</w:t>
      </w:r>
      <w:r>
        <w:rPr>
          <w:rFonts w:ascii="宋体" w:eastAsia="宋体" w:hAnsi="宋体" w:cs="宋体"/>
          <w:spacing w:val="-13"/>
          <w:sz w:val="22"/>
          <w:szCs w:val="22"/>
        </w:rPr>
        <w:t>成，计算蛋白质、脂肪</w:t>
      </w:r>
      <w:r>
        <w:rPr>
          <w:rFonts w:ascii="宋体" w:eastAsia="宋体" w:hAnsi="宋体" w:cs="宋体"/>
          <w:sz w:val="22"/>
          <w:szCs w:val="22"/>
        </w:rPr>
        <w:t xml:space="preserve"> </w:t>
      </w:r>
      <w:r>
        <w:rPr>
          <w:rFonts w:ascii="宋体" w:eastAsia="宋体" w:hAnsi="宋体" w:cs="宋体"/>
          <w:spacing w:val="-7"/>
          <w:sz w:val="22"/>
          <w:szCs w:val="22"/>
        </w:rPr>
        <w:t>和碳水化合物的摄入量，参考每日维生素、矿物质摄入量，查阅食物营养成分</w:t>
      </w:r>
      <w:r>
        <w:rPr>
          <w:rFonts w:ascii="宋体" w:eastAsia="宋体" w:hAnsi="宋体" w:cs="宋体"/>
          <w:spacing w:val="3"/>
          <w:sz w:val="22"/>
          <w:szCs w:val="22"/>
        </w:rPr>
        <w:t xml:space="preserve">  </w:t>
      </w:r>
      <w:r>
        <w:rPr>
          <w:rFonts w:ascii="宋体" w:eastAsia="宋体" w:hAnsi="宋体" w:cs="宋体"/>
          <w:spacing w:val="-10"/>
          <w:sz w:val="22"/>
          <w:szCs w:val="22"/>
        </w:rPr>
        <w:t>表，选定食物种类和数量的方法。食品交换法是根据不同能量需要，按蛋白质、</w:t>
      </w:r>
      <w:r>
        <w:rPr>
          <w:rFonts w:ascii="宋体" w:eastAsia="宋体" w:hAnsi="宋体" w:cs="宋体"/>
          <w:sz w:val="22"/>
          <w:szCs w:val="22"/>
        </w:rPr>
        <w:t xml:space="preserve"> </w:t>
      </w:r>
      <w:r>
        <w:rPr>
          <w:rFonts w:ascii="宋体" w:eastAsia="宋体" w:hAnsi="宋体" w:cs="宋体"/>
          <w:spacing w:val="-12"/>
          <w:sz w:val="22"/>
          <w:szCs w:val="22"/>
        </w:rPr>
        <w:t>脂肪和碳水化合物的比例，计算出各类食物的交换份</w:t>
      </w:r>
      <w:r>
        <w:rPr>
          <w:rFonts w:ascii="宋体" w:eastAsia="宋体" w:hAnsi="宋体" w:cs="宋体"/>
          <w:spacing w:val="-13"/>
          <w:sz w:val="22"/>
          <w:szCs w:val="22"/>
        </w:rPr>
        <w:t>数，并按每份食物等值交换</w:t>
      </w:r>
      <w:r>
        <w:rPr>
          <w:rFonts w:ascii="宋体" w:eastAsia="宋体" w:hAnsi="宋体" w:cs="宋体"/>
          <w:sz w:val="22"/>
          <w:szCs w:val="22"/>
        </w:rPr>
        <w:t xml:space="preserve"> </w:t>
      </w:r>
      <w:r>
        <w:rPr>
          <w:rFonts w:ascii="宋体" w:eastAsia="宋体" w:hAnsi="宋体" w:cs="宋体"/>
          <w:spacing w:val="-12"/>
          <w:sz w:val="22"/>
          <w:szCs w:val="22"/>
        </w:rPr>
        <w:t>选择，再将这些食物分配到一日三餐中，即得到营养食谱</w:t>
      </w:r>
      <w:r>
        <w:rPr>
          <w:rFonts w:ascii="宋体" w:eastAsia="宋体" w:hAnsi="宋体" w:cs="宋体"/>
          <w:spacing w:val="-13"/>
          <w:sz w:val="22"/>
          <w:szCs w:val="22"/>
        </w:rPr>
        <w:t>。计算机食谱编制法是</w:t>
      </w:r>
      <w:r>
        <w:rPr>
          <w:rFonts w:ascii="宋体" w:eastAsia="宋体" w:hAnsi="宋体" w:cs="宋体"/>
          <w:sz w:val="22"/>
          <w:szCs w:val="22"/>
        </w:rPr>
        <w:t xml:space="preserve"> </w:t>
      </w:r>
      <w:r>
        <w:rPr>
          <w:rFonts w:ascii="宋体" w:eastAsia="宋体" w:hAnsi="宋体" w:cs="宋体"/>
          <w:spacing w:val="-12"/>
          <w:sz w:val="22"/>
          <w:szCs w:val="22"/>
        </w:rPr>
        <w:t>使用一系列营养软件，利用食物成分数据库进行膳食营养素含量</w:t>
      </w:r>
      <w:r>
        <w:rPr>
          <w:rFonts w:ascii="宋体" w:eastAsia="宋体" w:hAnsi="宋体" w:cs="宋体"/>
          <w:spacing w:val="-13"/>
          <w:sz w:val="22"/>
          <w:szCs w:val="22"/>
        </w:rPr>
        <w:t>的计算、膳食营</w:t>
      </w:r>
      <w:r>
        <w:rPr>
          <w:rFonts w:ascii="宋体" w:eastAsia="宋体" w:hAnsi="宋体" w:cs="宋体"/>
          <w:sz w:val="22"/>
          <w:szCs w:val="22"/>
        </w:rPr>
        <w:t xml:space="preserve"> </w:t>
      </w:r>
      <w:r>
        <w:rPr>
          <w:rFonts w:ascii="宋体" w:eastAsia="宋体" w:hAnsi="宋体" w:cs="宋体"/>
          <w:spacing w:val="-12"/>
          <w:sz w:val="22"/>
          <w:szCs w:val="22"/>
        </w:rPr>
        <w:t>养结构分析、食谱编制等，现在大多数营养工作部门</w:t>
      </w:r>
      <w:r>
        <w:rPr>
          <w:rFonts w:ascii="宋体" w:eastAsia="宋体" w:hAnsi="宋体" w:cs="宋体"/>
          <w:spacing w:val="-13"/>
          <w:sz w:val="22"/>
          <w:szCs w:val="22"/>
        </w:rPr>
        <w:t>已越来越普遍使用。以食谱</w:t>
      </w:r>
      <w:r>
        <w:rPr>
          <w:rFonts w:ascii="宋体" w:eastAsia="宋体" w:hAnsi="宋体" w:cs="宋体"/>
          <w:sz w:val="22"/>
          <w:szCs w:val="22"/>
        </w:rPr>
        <w:t xml:space="preserve"> </w:t>
      </w:r>
      <w:r>
        <w:rPr>
          <w:rFonts w:ascii="宋体" w:eastAsia="宋体" w:hAnsi="宋体" w:cs="宋体"/>
          <w:spacing w:val="-11"/>
          <w:sz w:val="22"/>
          <w:szCs w:val="22"/>
        </w:rPr>
        <w:t>编制的计算法为例，其步骤如下</w:t>
      </w:r>
    </w:p>
    <w:p w:rsidR="00EA40A3" w:rsidRDefault="00E86C16">
      <w:pPr>
        <w:spacing w:before="77" w:line="227" w:lineRule="auto"/>
        <w:rPr>
          <w:rFonts w:ascii="楷体" w:eastAsia="楷体" w:hAnsi="楷体" w:cs="楷体"/>
          <w:sz w:val="22"/>
          <w:szCs w:val="22"/>
        </w:rPr>
      </w:pPr>
      <w:r>
        <w:rPr>
          <w:rFonts w:ascii="楷体" w:eastAsia="楷体" w:hAnsi="楷体" w:cs="楷体"/>
          <w:spacing w:val="-2"/>
          <w:sz w:val="22"/>
          <w:szCs w:val="22"/>
        </w:rPr>
        <w:t>1)确定能量摄入量</w:t>
      </w:r>
    </w:p>
    <w:p w:rsidR="00EA40A3" w:rsidRDefault="00E86C16">
      <w:pPr>
        <w:spacing w:before="41" w:line="244" w:lineRule="auto"/>
        <w:ind w:right="107" w:firstLine="420"/>
        <w:rPr>
          <w:rFonts w:ascii="宋体" w:eastAsia="宋体" w:hAnsi="宋体" w:cs="宋体"/>
          <w:sz w:val="22"/>
          <w:szCs w:val="22"/>
        </w:rPr>
      </w:pPr>
      <w:r>
        <w:rPr>
          <w:rFonts w:ascii="宋体" w:eastAsia="宋体" w:hAnsi="宋体" w:cs="宋体"/>
          <w:spacing w:val="-13"/>
          <w:sz w:val="22"/>
          <w:szCs w:val="22"/>
        </w:rPr>
        <w:t>能量摄入量的确定，主要是根据就餐者的性别、年龄、劳动强度、身体状况</w:t>
      </w:r>
      <w:r>
        <w:rPr>
          <w:rFonts w:ascii="宋体" w:eastAsia="宋体" w:hAnsi="宋体" w:cs="宋体"/>
          <w:spacing w:val="16"/>
          <w:sz w:val="22"/>
          <w:szCs w:val="22"/>
        </w:rPr>
        <w:t xml:space="preserve"> </w:t>
      </w:r>
      <w:r>
        <w:rPr>
          <w:rFonts w:ascii="宋体" w:eastAsia="宋体" w:hAnsi="宋体" w:cs="宋体"/>
          <w:spacing w:val="-6"/>
          <w:sz w:val="22"/>
          <w:szCs w:val="22"/>
        </w:rPr>
        <w:t>等，通过DRI</w:t>
      </w:r>
      <w:r>
        <w:rPr>
          <w:rFonts w:ascii="宋体" w:eastAsia="宋体" w:hAnsi="宋体" w:cs="宋体"/>
          <w:spacing w:val="-4"/>
          <w:sz w:val="22"/>
          <w:szCs w:val="22"/>
        </w:rPr>
        <w:t xml:space="preserve"> </w:t>
      </w:r>
      <w:r>
        <w:rPr>
          <w:rFonts w:ascii="宋体" w:eastAsia="宋体" w:hAnsi="宋体" w:cs="宋体"/>
          <w:spacing w:val="-6"/>
          <w:sz w:val="22"/>
          <w:szCs w:val="22"/>
        </w:rPr>
        <w:t>查得。也可以通过能量消耗法计算，即根据人体维持基础代谢所</w:t>
      </w:r>
      <w:r>
        <w:rPr>
          <w:rFonts w:ascii="宋体" w:eastAsia="宋体" w:hAnsi="宋体" w:cs="宋体"/>
          <w:sz w:val="22"/>
          <w:szCs w:val="22"/>
        </w:rPr>
        <w:t xml:space="preserve"> </w:t>
      </w:r>
      <w:r>
        <w:rPr>
          <w:rFonts w:ascii="宋体" w:eastAsia="宋体" w:hAnsi="宋体" w:cs="宋体"/>
          <w:spacing w:val="-12"/>
          <w:sz w:val="22"/>
          <w:szCs w:val="22"/>
        </w:rPr>
        <w:t>需要的能量、食物特殊动力作用所消耗的能量、体力</w:t>
      </w:r>
      <w:r>
        <w:rPr>
          <w:rFonts w:ascii="宋体" w:eastAsia="宋体" w:hAnsi="宋体" w:cs="宋体"/>
          <w:spacing w:val="-13"/>
          <w:sz w:val="22"/>
          <w:szCs w:val="22"/>
        </w:rPr>
        <w:t>活动所消耗的能量计算人体</w:t>
      </w:r>
      <w:r>
        <w:rPr>
          <w:rFonts w:ascii="宋体" w:eastAsia="宋体" w:hAnsi="宋体" w:cs="宋体"/>
          <w:sz w:val="22"/>
          <w:szCs w:val="22"/>
        </w:rPr>
        <w:t xml:space="preserve"> </w:t>
      </w:r>
      <w:r>
        <w:rPr>
          <w:rFonts w:ascii="宋体" w:eastAsia="宋体" w:hAnsi="宋体" w:cs="宋体"/>
          <w:spacing w:val="-16"/>
          <w:sz w:val="22"/>
          <w:szCs w:val="22"/>
        </w:rPr>
        <w:t>所需要的能量。</w:t>
      </w:r>
    </w:p>
    <w:p w:rsidR="00EA40A3" w:rsidRDefault="00E86C16">
      <w:pPr>
        <w:spacing w:before="58" w:line="220" w:lineRule="auto"/>
        <w:rPr>
          <w:rFonts w:ascii="楷体" w:eastAsia="楷体" w:hAnsi="楷体" w:cs="楷体"/>
          <w:sz w:val="22"/>
          <w:szCs w:val="22"/>
        </w:rPr>
      </w:pPr>
      <w:r>
        <w:rPr>
          <w:rFonts w:ascii="楷体" w:eastAsia="楷体" w:hAnsi="楷体" w:cs="楷体"/>
          <w:spacing w:val="-8"/>
          <w:sz w:val="22"/>
          <w:szCs w:val="22"/>
        </w:rPr>
        <w:t>2)根据膳食组成，计算蛋白质、脂肪和碳水化合物每日的摄入量</w:t>
      </w:r>
    </w:p>
    <w:p w:rsidR="00EA40A3" w:rsidRDefault="00E86C16">
      <w:pPr>
        <w:spacing w:before="45" w:line="247" w:lineRule="auto"/>
        <w:ind w:right="104" w:firstLine="420"/>
        <w:rPr>
          <w:rFonts w:ascii="宋体" w:eastAsia="宋体" w:hAnsi="宋体" w:cs="宋体"/>
          <w:sz w:val="22"/>
          <w:szCs w:val="22"/>
        </w:rPr>
      </w:pPr>
      <w:r>
        <w:rPr>
          <w:rFonts w:ascii="宋体" w:eastAsia="宋体" w:hAnsi="宋体" w:cs="宋体"/>
          <w:spacing w:val="22"/>
          <w:sz w:val="22"/>
          <w:szCs w:val="22"/>
        </w:rPr>
        <w:t>我国目前建议每人每日的普通膳食组成为蛋白质10%～15%、脂肪</w:t>
      </w:r>
      <w:r>
        <w:rPr>
          <w:rFonts w:ascii="宋体" w:eastAsia="宋体" w:hAnsi="宋体" w:cs="宋体"/>
          <w:spacing w:val="8"/>
          <w:sz w:val="22"/>
          <w:szCs w:val="22"/>
        </w:rPr>
        <w:t xml:space="preserve"> </w:t>
      </w:r>
      <w:r>
        <w:rPr>
          <w:rFonts w:ascii="宋体" w:eastAsia="宋体" w:hAnsi="宋体" w:cs="宋体"/>
          <w:spacing w:val="5"/>
          <w:sz w:val="22"/>
          <w:szCs w:val="22"/>
        </w:rPr>
        <w:t>20%～30%、碳水化合物55%～65%。根据膳食组成及三大产热营养素的能量</w:t>
      </w:r>
      <w:r>
        <w:rPr>
          <w:rFonts w:ascii="宋体" w:eastAsia="宋体" w:hAnsi="宋体" w:cs="宋体"/>
          <w:spacing w:val="17"/>
          <w:sz w:val="22"/>
          <w:szCs w:val="22"/>
        </w:rPr>
        <w:t xml:space="preserve"> </w:t>
      </w:r>
      <w:r>
        <w:rPr>
          <w:rFonts w:ascii="宋体" w:eastAsia="宋体" w:hAnsi="宋体" w:cs="宋体"/>
          <w:spacing w:val="-14"/>
          <w:sz w:val="22"/>
          <w:szCs w:val="22"/>
        </w:rPr>
        <w:t>系数，计算蛋白质、脂肪和碳水化合物的每日摄入量。</w:t>
      </w:r>
    </w:p>
    <w:p w:rsidR="00EA40A3" w:rsidRDefault="00E86C16">
      <w:pPr>
        <w:spacing w:before="39" w:line="228" w:lineRule="auto"/>
        <w:rPr>
          <w:rFonts w:ascii="楷体" w:eastAsia="楷体" w:hAnsi="楷体" w:cs="楷体"/>
          <w:sz w:val="22"/>
          <w:szCs w:val="22"/>
        </w:rPr>
      </w:pPr>
      <w:r>
        <w:rPr>
          <w:rFonts w:ascii="楷体" w:eastAsia="楷体" w:hAnsi="楷体" w:cs="楷体"/>
          <w:spacing w:val="-8"/>
          <w:sz w:val="22"/>
          <w:szCs w:val="22"/>
        </w:rPr>
        <w:t>3)大致选定一</w:t>
      </w:r>
      <w:r>
        <w:rPr>
          <w:rFonts w:ascii="楷体" w:eastAsia="楷体" w:hAnsi="楷体" w:cs="楷体"/>
          <w:spacing w:val="-48"/>
          <w:sz w:val="22"/>
          <w:szCs w:val="22"/>
        </w:rPr>
        <w:t xml:space="preserve"> </w:t>
      </w:r>
      <w:r>
        <w:rPr>
          <w:rFonts w:ascii="楷体" w:eastAsia="楷体" w:hAnsi="楷体" w:cs="楷体"/>
          <w:spacing w:val="-8"/>
          <w:sz w:val="22"/>
          <w:szCs w:val="22"/>
        </w:rPr>
        <w:t>日食物的种类和数量</w:t>
      </w:r>
    </w:p>
    <w:p w:rsidR="00EA40A3" w:rsidRDefault="00E86C16">
      <w:pPr>
        <w:spacing w:before="41" w:line="244" w:lineRule="auto"/>
        <w:ind w:firstLine="420"/>
        <w:rPr>
          <w:rFonts w:ascii="宋体" w:eastAsia="宋体" w:hAnsi="宋体" w:cs="宋体"/>
          <w:sz w:val="22"/>
          <w:szCs w:val="22"/>
        </w:rPr>
      </w:pPr>
      <w:r>
        <w:rPr>
          <w:rFonts w:ascii="宋体" w:eastAsia="宋体" w:hAnsi="宋体" w:cs="宋体"/>
          <w:spacing w:val="-10"/>
          <w:sz w:val="22"/>
          <w:szCs w:val="22"/>
        </w:rPr>
        <w:t>根据以上计算的各种生热营养素摄入量，参考每日维生素、矿物质摄入量，</w:t>
      </w:r>
      <w:r>
        <w:rPr>
          <w:rFonts w:ascii="宋体" w:eastAsia="宋体" w:hAnsi="宋体" w:cs="宋体"/>
          <w:spacing w:val="18"/>
          <w:sz w:val="22"/>
          <w:szCs w:val="22"/>
        </w:rPr>
        <w:t xml:space="preserve"> </w:t>
      </w:r>
      <w:r>
        <w:rPr>
          <w:rFonts w:ascii="宋体" w:eastAsia="宋体" w:hAnsi="宋体" w:cs="宋体"/>
          <w:spacing w:val="-12"/>
          <w:sz w:val="22"/>
          <w:szCs w:val="22"/>
        </w:rPr>
        <w:t>查阅食物营养成分表，大致选定一日食物的种类和数量。</w:t>
      </w:r>
      <w:r>
        <w:rPr>
          <w:rFonts w:ascii="宋体" w:eastAsia="宋体" w:hAnsi="宋体" w:cs="宋体"/>
          <w:spacing w:val="-13"/>
          <w:sz w:val="22"/>
          <w:szCs w:val="22"/>
        </w:rPr>
        <w:t>先确定以生热营养素为</w:t>
      </w:r>
      <w:r>
        <w:rPr>
          <w:rFonts w:ascii="宋体" w:eastAsia="宋体" w:hAnsi="宋体" w:cs="宋体"/>
          <w:sz w:val="22"/>
          <w:szCs w:val="22"/>
        </w:rPr>
        <w:t xml:space="preserve">  </w:t>
      </w:r>
      <w:r>
        <w:rPr>
          <w:rFonts w:ascii="宋体" w:eastAsia="宋体" w:hAnsi="宋体" w:cs="宋体"/>
          <w:spacing w:val="-13"/>
          <w:sz w:val="22"/>
          <w:szCs w:val="22"/>
        </w:rPr>
        <w:t>主的食物，如谷物、肉类、蛋、油脂等，再确定蔬菜、水果等以供给维生素、矿</w:t>
      </w:r>
      <w:r>
        <w:rPr>
          <w:rFonts w:ascii="宋体" w:eastAsia="宋体" w:hAnsi="宋体" w:cs="宋体"/>
          <w:spacing w:val="1"/>
          <w:sz w:val="22"/>
          <w:szCs w:val="22"/>
        </w:rPr>
        <w:t xml:space="preserve">  </w:t>
      </w:r>
      <w:r>
        <w:rPr>
          <w:rFonts w:ascii="宋体" w:eastAsia="宋体" w:hAnsi="宋体" w:cs="宋体"/>
          <w:spacing w:val="-14"/>
          <w:sz w:val="22"/>
          <w:szCs w:val="22"/>
        </w:rPr>
        <w:t>物质、膳食纤维为主的食物。</w:t>
      </w:r>
      <w:r>
        <w:rPr>
          <w:rFonts w:ascii="宋体" w:eastAsia="宋体" w:hAnsi="宋体" w:cs="宋体"/>
          <w:spacing w:val="38"/>
          <w:sz w:val="22"/>
          <w:szCs w:val="22"/>
        </w:rPr>
        <w:t xml:space="preserve"> </w:t>
      </w:r>
      <w:r>
        <w:rPr>
          <w:rFonts w:ascii="宋体" w:eastAsia="宋体" w:hAnsi="宋体" w:cs="宋体"/>
          <w:spacing w:val="-14"/>
          <w:sz w:val="22"/>
          <w:szCs w:val="22"/>
        </w:rPr>
        <w:t>一般成人一</w:t>
      </w:r>
      <w:r>
        <w:rPr>
          <w:rFonts w:ascii="宋体" w:eastAsia="宋体" w:hAnsi="宋体" w:cs="宋体"/>
          <w:spacing w:val="-66"/>
          <w:sz w:val="22"/>
          <w:szCs w:val="22"/>
        </w:rPr>
        <w:t xml:space="preserve"> </w:t>
      </w:r>
      <w:r>
        <w:rPr>
          <w:rFonts w:ascii="宋体" w:eastAsia="宋体" w:hAnsi="宋体" w:cs="宋体"/>
          <w:spacing w:val="-14"/>
          <w:sz w:val="22"/>
          <w:szCs w:val="22"/>
        </w:rPr>
        <w:t>日食物的种类和数量约为：粮谷500g、</w:t>
      </w:r>
      <w:r>
        <w:rPr>
          <w:rFonts w:ascii="宋体" w:eastAsia="宋体" w:hAnsi="宋体" w:cs="宋体"/>
          <w:sz w:val="22"/>
          <w:szCs w:val="22"/>
        </w:rPr>
        <w:t xml:space="preserve"> </w:t>
      </w:r>
      <w:r>
        <w:rPr>
          <w:rFonts w:ascii="宋体" w:eastAsia="宋体" w:hAnsi="宋体" w:cs="宋体"/>
          <w:spacing w:val="5"/>
          <w:sz w:val="22"/>
          <w:szCs w:val="22"/>
        </w:rPr>
        <w:t>动物性食物50～150g、大豆及其制品50g、蔬</w:t>
      </w:r>
      <w:r>
        <w:rPr>
          <w:rFonts w:ascii="宋体" w:eastAsia="宋体" w:hAnsi="宋体" w:cs="宋体"/>
          <w:spacing w:val="4"/>
          <w:sz w:val="22"/>
          <w:szCs w:val="22"/>
        </w:rPr>
        <w:t>菜(绿叶菜占1/2)300～500g、</w:t>
      </w:r>
      <w:r>
        <w:rPr>
          <w:rFonts w:ascii="宋体" w:eastAsia="宋体" w:hAnsi="宋体" w:cs="宋体"/>
          <w:sz w:val="22"/>
          <w:szCs w:val="22"/>
        </w:rPr>
        <w:t xml:space="preserve"> </w:t>
      </w:r>
      <w:r>
        <w:rPr>
          <w:rFonts w:ascii="宋体" w:eastAsia="宋体" w:hAnsi="宋体" w:cs="宋体"/>
          <w:spacing w:val="-5"/>
          <w:sz w:val="22"/>
          <w:szCs w:val="22"/>
        </w:rPr>
        <w:t>植物油20g</w:t>
      </w:r>
      <w:r>
        <w:rPr>
          <w:rFonts w:ascii="宋体" w:eastAsia="宋体" w:hAnsi="宋体" w:cs="宋体"/>
          <w:spacing w:val="-53"/>
          <w:sz w:val="22"/>
          <w:szCs w:val="22"/>
        </w:rPr>
        <w:t xml:space="preserve"> </w:t>
      </w:r>
      <w:r>
        <w:rPr>
          <w:rFonts w:ascii="宋体" w:eastAsia="宋体" w:hAnsi="宋体" w:cs="宋体"/>
          <w:spacing w:val="-5"/>
          <w:sz w:val="22"/>
          <w:szCs w:val="22"/>
        </w:rPr>
        <w:t>左右。</w:t>
      </w:r>
    </w:p>
    <w:p w:rsidR="00EA40A3" w:rsidRDefault="00E86C16">
      <w:pPr>
        <w:spacing w:before="100" w:line="225" w:lineRule="auto"/>
        <w:rPr>
          <w:rFonts w:ascii="楷体" w:eastAsia="楷体" w:hAnsi="楷体" w:cs="楷体"/>
          <w:sz w:val="22"/>
          <w:szCs w:val="22"/>
        </w:rPr>
      </w:pPr>
      <w:r>
        <w:rPr>
          <w:rFonts w:ascii="楷体" w:eastAsia="楷体" w:hAnsi="楷体" w:cs="楷体"/>
          <w:spacing w:val="-1"/>
          <w:sz w:val="22"/>
          <w:szCs w:val="22"/>
        </w:rPr>
        <w:t>4)三餐的能量分配比例</w:t>
      </w:r>
    </w:p>
    <w:p w:rsidR="00EA40A3" w:rsidRDefault="00E86C16">
      <w:pPr>
        <w:spacing w:before="31" w:line="216" w:lineRule="auto"/>
        <w:ind w:left="420"/>
        <w:rPr>
          <w:rFonts w:ascii="宋体" w:eastAsia="宋体" w:hAnsi="宋体" w:cs="宋体"/>
          <w:sz w:val="22"/>
          <w:szCs w:val="22"/>
        </w:rPr>
      </w:pPr>
      <w:r>
        <w:rPr>
          <w:rFonts w:ascii="宋体" w:eastAsia="宋体" w:hAnsi="宋体" w:cs="宋体"/>
          <w:spacing w:val="4"/>
          <w:sz w:val="22"/>
          <w:szCs w:val="22"/>
        </w:rPr>
        <w:t>早餐：占全天能量总摄入量的25%～30%,并要有足够的优质蛋白质和脂</w:t>
      </w:r>
    </w:p>
    <w:p w:rsidR="00EA40A3" w:rsidRDefault="00E86C16">
      <w:pPr>
        <w:spacing w:before="91" w:line="241" w:lineRule="auto"/>
        <w:ind w:right="103"/>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411</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pgSz w:w="9340" w:h="13440"/>
          <w:pgMar w:top="400" w:right="933" w:bottom="400" w:left="1030" w:header="0" w:footer="0" w:gutter="0"/>
          <w:cols w:space="720"/>
        </w:sectPr>
      </w:pPr>
    </w:p>
    <w:p w:rsidR="00EA40A3" w:rsidRDefault="00EA40A3">
      <w:pPr>
        <w:spacing w:line="288" w:lineRule="auto"/>
      </w:pPr>
    </w:p>
    <w:p w:rsidR="00EA40A3" w:rsidRDefault="00EA40A3">
      <w:pPr>
        <w:spacing w:line="288" w:lineRule="auto"/>
      </w:pPr>
    </w:p>
    <w:p w:rsidR="00EA40A3" w:rsidRDefault="00E86C16">
      <w:pPr>
        <w:spacing w:before="69" w:line="219" w:lineRule="auto"/>
        <w:ind w:left="119"/>
        <w:rPr>
          <w:rFonts w:ascii="宋体" w:eastAsia="宋体" w:hAnsi="宋体" w:cs="宋体"/>
        </w:rPr>
      </w:pPr>
      <w:r>
        <w:rPr>
          <w:rFonts w:ascii="宋体" w:eastAsia="宋体" w:hAnsi="宋体" w:cs="宋体"/>
          <w:spacing w:val="-5"/>
        </w:rPr>
        <w:t>肪。因为上午活动量较大，工作效率高，消耗的能</w:t>
      </w:r>
      <w:r>
        <w:rPr>
          <w:rFonts w:ascii="宋体" w:eastAsia="宋体" w:hAnsi="宋体" w:cs="宋体"/>
          <w:spacing w:val="-6"/>
        </w:rPr>
        <w:t>量和营养素比例也大。</w:t>
      </w:r>
    </w:p>
    <w:p w:rsidR="00EA40A3" w:rsidRDefault="00E86C16">
      <w:pPr>
        <w:spacing w:before="49" w:line="247" w:lineRule="auto"/>
        <w:ind w:left="109" w:right="76" w:firstLine="419"/>
        <w:rPr>
          <w:rFonts w:ascii="宋体" w:eastAsia="宋体" w:hAnsi="宋体" w:cs="宋体"/>
        </w:rPr>
      </w:pPr>
      <w:r>
        <w:rPr>
          <w:rFonts w:ascii="宋体" w:eastAsia="宋体" w:hAnsi="宋体" w:cs="宋体"/>
          <w:spacing w:val="6"/>
        </w:rPr>
        <w:t>午餐：在三餐中摄入营养素最多，占全天总能量的40%。要保证碳水化合</w:t>
      </w:r>
      <w:r>
        <w:rPr>
          <w:rFonts w:ascii="宋体" w:eastAsia="宋体" w:hAnsi="宋体" w:cs="宋体"/>
          <w:spacing w:val="14"/>
        </w:rPr>
        <w:t xml:space="preserve"> </w:t>
      </w:r>
      <w:r>
        <w:rPr>
          <w:rFonts w:ascii="宋体" w:eastAsia="宋体" w:hAnsi="宋体" w:cs="宋体"/>
          <w:spacing w:val="-7"/>
        </w:rPr>
        <w:t>物、蛋白质、脂肪的摄入量。</w:t>
      </w:r>
    </w:p>
    <w:p w:rsidR="00EA40A3" w:rsidRDefault="00E86C16">
      <w:pPr>
        <w:spacing w:before="58" w:line="249" w:lineRule="auto"/>
        <w:ind w:left="99" w:right="75" w:firstLine="430"/>
        <w:rPr>
          <w:rFonts w:ascii="宋体" w:eastAsia="宋体" w:hAnsi="宋体" w:cs="宋体"/>
        </w:rPr>
      </w:pPr>
      <w:r>
        <w:rPr>
          <w:rFonts w:ascii="宋体" w:eastAsia="宋体" w:hAnsi="宋体" w:cs="宋体"/>
          <w:spacing w:val="9"/>
        </w:rPr>
        <w:t>晚餐：占全天总能量的30%～35%。要多配蔬菜、水果和易消化、饱腹感</w:t>
      </w:r>
      <w:r>
        <w:rPr>
          <w:rFonts w:ascii="宋体" w:eastAsia="宋体" w:hAnsi="宋体" w:cs="宋体"/>
          <w:spacing w:val="12"/>
        </w:rPr>
        <w:t xml:space="preserve"> </w:t>
      </w:r>
      <w:r>
        <w:rPr>
          <w:rFonts w:ascii="宋体" w:eastAsia="宋体" w:hAnsi="宋体" w:cs="宋体"/>
          <w:spacing w:val="-3"/>
        </w:rPr>
        <w:t>强的食物，高蛋白质、高脂肪的食物不宜过量，以免影响消化和睡眠，并减少体</w:t>
      </w:r>
      <w:r>
        <w:rPr>
          <w:rFonts w:ascii="宋体" w:eastAsia="宋体" w:hAnsi="宋体" w:cs="宋体"/>
          <w:spacing w:val="12"/>
        </w:rPr>
        <w:t xml:space="preserve"> </w:t>
      </w:r>
      <w:r>
        <w:rPr>
          <w:rFonts w:ascii="宋体" w:eastAsia="宋体" w:hAnsi="宋体" w:cs="宋体"/>
          <w:spacing w:val="-5"/>
        </w:rPr>
        <w:t>脂的积蓄。</w:t>
      </w:r>
    </w:p>
    <w:p w:rsidR="00EA40A3" w:rsidRDefault="00E86C16">
      <w:pPr>
        <w:spacing w:before="58" w:line="225" w:lineRule="auto"/>
        <w:ind w:left="109"/>
        <w:rPr>
          <w:rFonts w:ascii="楷体" w:eastAsia="楷体" w:hAnsi="楷体" w:cs="楷体"/>
        </w:rPr>
      </w:pPr>
      <w:r>
        <w:rPr>
          <w:rFonts w:ascii="楷体" w:eastAsia="楷体" w:hAnsi="楷体" w:cs="楷体"/>
          <w:spacing w:val="4"/>
        </w:rPr>
        <w:t>5)三餐中各种食物的分配</w:t>
      </w:r>
    </w:p>
    <w:p w:rsidR="00EA40A3" w:rsidRDefault="00E86C16">
      <w:pPr>
        <w:spacing w:before="42" w:line="254" w:lineRule="auto"/>
        <w:ind w:left="99" w:firstLine="400"/>
        <w:rPr>
          <w:rFonts w:ascii="宋体" w:eastAsia="宋体" w:hAnsi="宋体" w:cs="宋体"/>
        </w:rPr>
      </w:pPr>
      <w:r>
        <w:rPr>
          <w:rFonts w:ascii="宋体" w:eastAsia="宋体" w:hAnsi="宋体" w:cs="宋体"/>
          <w:spacing w:val="9"/>
        </w:rPr>
        <w:t>如果三餐的总能量为12.54</w:t>
      </w:r>
      <w:r>
        <w:rPr>
          <w:rFonts w:ascii="宋体" w:eastAsia="宋体" w:hAnsi="宋体" w:cs="宋体"/>
        </w:rPr>
        <w:t>MJ</w:t>
      </w:r>
      <w:r>
        <w:rPr>
          <w:rFonts w:ascii="宋体" w:eastAsia="宋体" w:hAnsi="宋体" w:cs="宋体"/>
          <w:spacing w:val="9"/>
        </w:rPr>
        <w:t>(3000</w:t>
      </w:r>
      <w:r>
        <w:rPr>
          <w:rFonts w:ascii="宋体" w:eastAsia="宋体" w:hAnsi="宋体" w:cs="宋体"/>
        </w:rPr>
        <w:t>kcal</w:t>
      </w:r>
      <w:r>
        <w:rPr>
          <w:rFonts w:ascii="宋体" w:eastAsia="宋体" w:hAnsi="宋体" w:cs="宋体"/>
          <w:spacing w:val="9"/>
        </w:rPr>
        <w:t>),</w:t>
      </w:r>
      <w:r>
        <w:rPr>
          <w:rFonts w:ascii="宋体" w:eastAsia="宋体" w:hAnsi="宋体" w:cs="宋体"/>
          <w:spacing w:val="3"/>
        </w:rPr>
        <w:t xml:space="preserve">  </w:t>
      </w:r>
      <w:r>
        <w:rPr>
          <w:rFonts w:ascii="宋体" w:eastAsia="宋体" w:hAnsi="宋体" w:cs="宋体"/>
          <w:spacing w:val="9"/>
        </w:rPr>
        <w:t>分配</w:t>
      </w:r>
      <w:r>
        <w:rPr>
          <w:rFonts w:ascii="宋体" w:eastAsia="宋体" w:hAnsi="宋体" w:cs="宋体"/>
          <w:spacing w:val="8"/>
        </w:rPr>
        <w:t>比例确定为早餐为30%、</w:t>
      </w:r>
      <w:r>
        <w:rPr>
          <w:rFonts w:ascii="宋体" w:eastAsia="宋体" w:hAnsi="宋体" w:cs="宋体"/>
        </w:rPr>
        <w:t xml:space="preserve"> </w:t>
      </w:r>
      <w:r>
        <w:rPr>
          <w:rFonts w:ascii="仿宋" w:eastAsia="仿宋" w:hAnsi="仿宋" w:cs="仿宋"/>
          <w:spacing w:val="17"/>
        </w:rPr>
        <w:t>午餐50%、晚餐20%(其中碳水化合物、蛋白质</w:t>
      </w:r>
      <w:r>
        <w:rPr>
          <w:rFonts w:ascii="仿宋" w:eastAsia="仿宋" w:hAnsi="仿宋" w:cs="仿宋"/>
          <w:spacing w:val="16"/>
        </w:rPr>
        <w:t>和脂肪提供能量依次为65%、</w:t>
      </w:r>
      <w:r>
        <w:rPr>
          <w:rFonts w:ascii="仿宋" w:eastAsia="仿宋" w:hAnsi="仿宋" w:cs="仿宋"/>
        </w:rPr>
        <w:t xml:space="preserve"> </w:t>
      </w:r>
      <w:r>
        <w:rPr>
          <w:rFonts w:ascii="宋体" w:eastAsia="宋体" w:hAnsi="宋体" w:cs="宋体"/>
          <w:spacing w:val="6"/>
        </w:rPr>
        <w:t>12%和23%),根据三餐分配比例，将食物分配到各餐中的计算步骤如下：</w:t>
      </w:r>
    </w:p>
    <w:p w:rsidR="00EA40A3" w:rsidRDefault="00E86C16">
      <w:pPr>
        <w:spacing w:before="57" w:line="219" w:lineRule="auto"/>
        <w:ind w:left="509"/>
        <w:rPr>
          <w:rFonts w:ascii="宋体" w:eastAsia="宋体" w:hAnsi="宋体" w:cs="宋体"/>
        </w:rPr>
      </w:pPr>
      <w:r>
        <w:rPr>
          <w:rFonts w:ascii="宋体" w:eastAsia="宋体" w:hAnsi="宋体" w:cs="宋体"/>
          <w:spacing w:val="-1"/>
        </w:rPr>
        <w:t>(1)首先计算碳水化合物、脂肪和蛋白质分配到早、午、晚餐中的数量。</w:t>
      </w:r>
    </w:p>
    <w:p w:rsidR="00EA40A3" w:rsidRDefault="00E86C16">
      <w:pPr>
        <w:spacing w:before="51" w:line="219" w:lineRule="auto"/>
        <w:ind w:left="500"/>
        <w:rPr>
          <w:rFonts w:ascii="宋体" w:eastAsia="宋体" w:hAnsi="宋体" w:cs="宋体"/>
        </w:rPr>
      </w:pPr>
      <w:r>
        <w:rPr>
          <w:rFonts w:ascii="宋体" w:eastAsia="宋体" w:hAnsi="宋体" w:cs="宋体"/>
          <w:spacing w:val="-8"/>
        </w:rPr>
        <w:t>碳水化合物：</w:t>
      </w:r>
    </w:p>
    <w:p w:rsidR="00EA40A3" w:rsidRDefault="00E86C16">
      <w:pPr>
        <w:spacing w:before="37" w:line="212" w:lineRule="auto"/>
        <w:ind w:left="509"/>
        <w:rPr>
          <w:rFonts w:ascii="Times New Roman" w:eastAsia="Times New Roman" w:hAnsi="Times New Roman" w:cs="Times New Roman"/>
        </w:rPr>
      </w:pPr>
      <w:r>
        <w:rPr>
          <w:rFonts w:ascii="宋体" w:eastAsia="宋体" w:hAnsi="宋体" w:cs="宋体"/>
          <w:spacing w:val="-2"/>
        </w:rPr>
        <w:t>早餐</w:t>
      </w:r>
      <w:r>
        <w:rPr>
          <w:rFonts w:ascii="宋体" w:eastAsia="宋体" w:hAnsi="宋体" w:cs="宋体"/>
          <w:spacing w:val="98"/>
        </w:rPr>
        <w:t xml:space="preserve"> </w:t>
      </w:r>
      <w:r>
        <w:rPr>
          <w:rFonts w:ascii="宋体" w:eastAsia="宋体" w:hAnsi="宋体" w:cs="宋体"/>
          <w:spacing w:val="-2"/>
        </w:rPr>
        <w:t>12540×65%÷16.7×30%=146</w:t>
      </w:r>
      <w:r>
        <w:rPr>
          <w:rFonts w:ascii="宋体" w:eastAsia="宋体" w:hAnsi="宋体" w:cs="宋体"/>
          <w:spacing w:val="14"/>
        </w:rPr>
        <w:t xml:space="preserve">    </w:t>
      </w:r>
      <w:r>
        <w:rPr>
          <w:rFonts w:ascii="Times New Roman" w:eastAsia="Times New Roman" w:hAnsi="Times New Roman" w:cs="Times New Roman"/>
          <w:spacing w:val="-2"/>
        </w:rPr>
        <w:t>(g)</w:t>
      </w:r>
    </w:p>
    <w:p w:rsidR="00EA40A3" w:rsidRDefault="00E86C16">
      <w:pPr>
        <w:spacing w:before="69" w:line="212" w:lineRule="auto"/>
        <w:ind w:left="479"/>
        <w:rPr>
          <w:rFonts w:ascii="Times New Roman" w:eastAsia="Times New Roman" w:hAnsi="Times New Roman" w:cs="Times New Roman"/>
        </w:rPr>
      </w:pPr>
      <w:r>
        <w:rPr>
          <w:rFonts w:ascii="宋体" w:eastAsia="宋体" w:hAnsi="宋体" w:cs="宋体"/>
          <w:spacing w:val="-1"/>
        </w:rPr>
        <w:t>午餐</w:t>
      </w:r>
      <w:r>
        <w:rPr>
          <w:rFonts w:ascii="宋体" w:eastAsia="宋体" w:hAnsi="宋体" w:cs="宋体"/>
          <w:spacing w:val="111"/>
        </w:rPr>
        <w:t xml:space="preserve"> </w:t>
      </w:r>
      <w:r>
        <w:rPr>
          <w:rFonts w:ascii="宋体" w:eastAsia="宋体" w:hAnsi="宋体" w:cs="宋体"/>
          <w:spacing w:val="-1"/>
        </w:rPr>
        <w:t>12540×65%÷16.7×50%=244</w:t>
      </w:r>
      <w:r>
        <w:rPr>
          <w:rFonts w:ascii="宋体" w:eastAsia="宋体" w:hAnsi="宋体" w:cs="宋体"/>
          <w:spacing w:val="9"/>
        </w:rPr>
        <w:t xml:space="preserve">    </w:t>
      </w:r>
      <w:r>
        <w:rPr>
          <w:rFonts w:ascii="Times New Roman" w:eastAsia="Times New Roman" w:hAnsi="Times New Roman" w:cs="Times New Roman"/>
          <w:spacing w:val="-1"/>
        </w:rPr>
        <w:t>(g)</w:t>
      </w:r>
    </w:p>
    <w:p w:rsidR="00EA40A3" w:rsidRDefault="00E86C16">
      <w:pPr>
        <w:spacing w:before="68" w:line="212" w:lineRule="auto"/>
        <w:ind w:left="509"/>
        <w:rPr>
          <w:rFonts w:ascii="Times New Roman" w:eastAsia="Times New Roman" w:hAnsi="Times New Roman" w:cs="Times New Roman"/>
        </w:rPr>
      </w:pPr>
      <w:r>
        <w:rPr>
          <w:rFonts w:ascii="仿宋" w:eastAsia="仿宋" w:hAnsi="仿宋" w:cs="仿宋"/>
          <w:spacing w:val="-1"/>
        </w:rPr>
        <w:t>晚餐</w:t>
      </w:r>
      <w:r>
        <w:rPr>
          <w:rFonts w:ascii="仿宋" w:eastAsia="仿宋" w:hAnsi="仿宋" w:cs="仿宋"/>
          <w:spacing w:val="80"/>
        </w:rPr>
        <w:t xml:space="preserve"> </w:t>
      </w:r>
      <w:r>
        <w:rPr>
          <w:rFonts w:ascii="仿宋" w:eastAsia="仿宋" w:hAnsi="仿宋" w:cs="仿宋"/>
          <w:spacing w:val="-1"/>
        </w:rPr>
        <w:t>12540×65%÷16.7×20%=97</w:t>
      </w:r>
      <w:r>
        <w:rPr>
          <w:rFonts w:ascii="仿宋" w:eastAsia="仿宋" w:hAnsi="仿宋" w:cs="仿宋"/>
          <w:spacing w:val="15"/>
        </w:rPr>
        <w:t xml:space="preserve">    </w:t>
      </w:r>
      <w:r>
        <w:rPr>
          <w:rFonts w:ascii="Times New Roman" w:eastAsia="Times New Roman" w:hAnsi="Times New Roman" w:cs="Times New Roman"/>
          <w:spacing w:val="-1"/>
        </w:rPr>
        <w:t>(g)</w:t>
      </w:r>
    </w:p>
    <w:p w:rsidR="00EA40A3" w:rsidRDefault="00E86C16">
      <w:pPr>
        <w:spacing w:before="64" w:line="220" w:lineRule="auto"/>
        <w:ind w:left="489"/>
        <w:rPr>
          <w:rFonts w:ascii="宋体" w:eastAsia="宋体" w:hAnsi="宋体" w:cs="宋体"/>
        </w:rPr>
      </w:pPr>
      <w:r>
        <w:rPr>
          <w:rFonts w:ascii="宋体" w:eastAsia="宋体" w:hAnsi="宋体" w:cs="宋体"/>
          <w:spacing w:val="-12"/>
        </w:rPr>
        <w:t>蛋白质：</w:t>
      </w:r>
    </w:p>
    <w:p w:rsidR="00EA40A3" w:rsidRDefault="00E86C16">
      <w:pPr>
        <w:spacing w:before="45" w:line="212" w:lineRule="auto"/>
        <w:ind w:left="469"/>
        <w:rPr>
          <w:rFonts w:ascii="Times New Roman" w:eastAsia="Times New Roman" w:hAnsi="Times New Roman" w:cs="Times New Roman"/>
        </w:rPr>
      </w:pPr>
      <w:r>
        <w:rPr>
          <w:rFonts w:ascii="宋体" w:eastAsia="宋体" w:hAnsi="宋体" w:cs="宋体"/>
          <w:spacing w:val="-1"/>
        </w:rPr>
        <w:t>早餐</w:t>
      </w:r>
      <w:r>
        <w:rPr>
          <w:rFonts w:ascii="宋体" w:eastAsia="宋体" w:hAnsi="宋体" w:cs="宋体"/>
          <w:spacing w:val="110"/>
        </w:rPr>
        <w:t xml:space="preserve"> </w:t>
      </w:r>
      <w:r>
        <w:rPr>
          <w:rFonts w:ascii="宋体" w:eastAsia="宋体" w:hAnsi="宋体" w:cs="宋体"/>
          <w:spacing w:val="-1"/>
        </w:rPr>
        <w:t>12540×12%÷16.7×30%=27</w:t>
      </w:r>
      <w:r>
        <w:rPr>
          <w:rFonts w:ascii="宋体" w:eastAsia="宋体" w:hAnsi="宋体" w:cs="宋体"/>
          <w:spacing w:val="13"/>
        </w:rPr>
        <w:t xml:space="preserve">    </w:t>
      </w:r>
      <w:r>
        <w:rPr>
          <w:rFonts w:ascii="Times New Roman" w:eastAsia="Times New Roman" w:hAnsi="Times New Roman" w:cs="Times New Roman"/>
          <w:spacing w:val="-1"/>
        </w:rPr>
        <w:t>(g)</w:t>
      </w:r>
    </w:p>
    <w:p w:rsidR="00EA40A3" w:rsidRDefault="00E86C16">
      <w:pPr>
        <w:spacing w:before="69" w:line="212" w:lineRule="auto"/>
        <w:ind w:left="469"/>
        <w:rPr>
          <w:rFonts w:ascii="Times New Roman" w:eastAsia="Times New Roman" w:hAnsi="Times New Roman" w:cs="Times New Roman"/>
        </w:rPr>
      </w:pPr>
      <w:r>
        <w:rPr>
          <w:rFonts w:ascii="宋体" w:eastAsia="宋体" w:hAnsi="宋体" w:cs="宋体"/>
          <w:spacing w:val="-1"/>
        </w:rPr>
        <w:t>午餐</w:t>
      </w:r>
      <w:r>
        <w:rPr>
          <w:rFonts w:ascii="宋体" w:eastAsia="宋体" w:hAnsi="宋体" w:cs="宋体"/>
          <w:spacing w:val="100"/>
        </w:rPr>
        <w:t xml:space="preserve"> </w:t>
      </w:r>
      <w:r>
        <w:rPr>
          <w:rFonts w:ascii="宋体" w:eastAsia="宋体" w:hAnsi="宋体" w:cs="宋体"/>
          <w:spacing w:val="-1"/>
        </w:rPr>
        <w:t>12540×12%÷16.7×50%=45</w:t>
      </w:r>
      <w:r>
        <w:rPr>
          <w:rFonts w:ascii="宋体" w:eastAsia="宋体" w:hAnsi="宋体" w:cs="宋体"/>
          <w:spacing w:val="15"/>
        </w:rPr>
        <w:t xml:space="preserve">    </w:t>
      </w:r>
      <w:r>
        <w:rPr>
          <w:rFonts w:ascii="Times New Roman" w:eastAsia="Times New Roman" w:hAnsi="Times New Roman" w:cs="Times New Roman"/>
          <w:spacing w:val="-1"/>
        </w:rPr>
        <w:t>(g)</w:t>
      </w:r>
    </w:p>
    <w:p w:rsidR="00EA40A3" w:rsidRDefault="00E86C16">
      <w:pPr>
        <w:spacing w:before="69" w:line="212" w:lineRule="auto"/>
        <w:ind w:left="469"/>
        <w:rPr>
          <w:rFonts w:ascii="Times New Roman" w:eastAsia="Times New Roman" w:hAnsi="Times New Roman" w:cs="Times New Roman"/>
        </w:rPr>
      </w:pPr>
      <w:r>
        <w:rPr>
          <w:rFonts w:ascii="宋体" w:eastAsia="宋体" w:hAnsi="宋体" w:cs="宋体"/>
          <w:spacing w:val="-1"/>
        </w:rPr>
        <w:t>晚餐</w:t>
      </w:r>
      <w:r>
        <w:rPr>
          <w:rFonts w:ascii="宋体" w:eastAsia="宋体" w:hAnsi="宋体" w:cs="宋体"/>
          <w:spacing w:val="100"/>
        </w:rPr>
        <w:t xml:space="preserve"> </w:t>
      </w:r>
      <w:r>
        <w:rPr>
          <w:rFonts w:ascii="宋体" w:eastAsia="宋体" w:hAnsi="宋体" w:cs="宋体"/>
          <w:spacing w:val="-1"/>
        </w:rPr>
        <w:t>12540×12%÷16.7×20%=18</w:t>
      </w:r>
      <w:r>
        <w:rPr>
          <w:rFonts w:ascii="宋体" w:eastAsia="宋体" w:hAnsi="宋体" w:cs="宋体"/>
          <w:spacing w:val="15"/>
        </w:rPr>
        <w:t xml:space="preserve">    </w:t>
      </w:r>
      <w:r>
        <w:rPr>
          <w:rFonts w:ascii="Times New Roman" w:eastAsia="Times New Roman" w:hAnsi="Times New Roman" w:cs="Times New Roman"/>
          <w:spacing w:val="-1"/>
        </w:rPr>
        <w:t>(g)</w:t>
      </w:r>
    </w:p>
    <w:p w:rsidR="00EA40A3" w:rsidRDefault="00E86C16">
      <w:pPr>
        <w:spacing w:before="73" w:line="220" w:lineRule="auto"/>
        <w:ind w:left="479"/>
        <w:rPr>
          <w:rFonts w:ascii="宋体" w:eastAsia="宋体" w:hAnsi="宋体" w:cs="宋体"/>
        </w:rPr>
      </w:pPr>
      <w:r>
        <w:rPr>
          <w:rFonts w:ascii="宋体" w:eastAsia="宋体" w:hAnsi="宋体" w:cs="宋体"/>
          <w:spacing w:val="-13"/>
        </w:rPr>
        <w:t>脂肪：</w:t>
      </w:r>
    </w:p>
    <w:p w:rsidR="00EA40A3" w:rsidRDefault="00E86C16">
      <w:pPr>
        <w:spacing w:before="45" w:line="212" w:lineRule="auto"/>
        <w:ind w:left="459"/>
        <w:rPr>
          <w:rFonts w:ascii="Times New Roman" w:eastAsia="Times New Roman" w:hAnsi="Times New Roman" w:cs="Times New Roman"/>
        </w:rPr>
      </w:pPr>
      <w:r>
        <w:rPr>
          <w:rFonts w:ascii="宋体" w:eastAsia="宋体" w:hAnsi="宋体" w:cs="宋体"/>
          <w:spacing w:val="-1"/>
        </w:rPr>
        <w:t>早餐</w:t>
      </w:r>
      <w:r>
        <w:rPr>
          <w:rFonts w:ascii="宋体" w:eastAsia="宋体" w:hAnsi="宋体" w:cs="宋体"/>
          <w:spacing w:val="100"/>
        </w:rPr>
        <w:t xml:space="preserve"> </w:t>
      </w:r>
      <w:r>
        <w:rPr>
          <w:rFonts w:ascii="宋体" w:eastAsia="宋体" w:hAnsi="宋体" w:cs="宋体"/>
          <w:spacing w:val="-1"/>
        </w:rPr>
        <w:t>12540×23%÷37.6×30%=23</w:t>
      </w:r>
      <w:r>
        <w:rPr>
          <w:rFonts w:ascii="宋体" w:eastAsia="宋体" w:hAnsi="宋体" w:cs="宋体"/>
          <w:spacing w:val="15"/>
        </w:rPr>
        <w:t xml:space="preserve">    </w:t>
      </w:r>
      <w:r>
        <w:rPr>
          <w:rFonts w:ascii="Times New Roman" w:eastAsia="Times New Roman" w:hAnsi="Times New Roman" w:cs="Times New Roman"/>
          <w:spacing w:val="-1"/>
        </w:rPr>
        <w:t>(g)</w:t>
      </w:r>
    </w:p>
    <w:p w:rsidR="00EA40A3" w:rsidRDefault="00E86C16">
      <w:pPr>
        <w:spacing w:before="59" w:line="212" w:lineRule="auto"/>
        <w:ind w:left="469"/>
        <w:rPr>
          <w:rFonts w:ascii="Times New Roman" w:eastAsia="Times New Roman" w:hAnsi="Times New Roman" w:cs="Times New Roman"/>
        </w:rPr>
      </w:pPr>
      <w:r>
        <w:rPr>
          <w:rFonts w:ascii="宋体" w:eastAsia="宋体" w:hAnsi="宋体" w:cs="宋体"/>
          <w:spacing w:val="-2"/>
        </w:rPr>
        <w:t>午餐</w:t>
      </w:r>
      <w:r>
        <w:rPr>
          <w:rFonts w:ascii="宋体" w:eastAsia="宋体" w:hAnsi="宋体" w:cs="宋体"/>
          <w:spacing w:val="5"/>
        </w:rPr>
        <w:t xml:space="preserve">  </w:t>
      </w:r>
      <w:r>
        <w:rPr>
          <w:rFonts w:ascii="宋体" w:eastAsia="宋体" w:hAnsi="宋体" w:cs="宋体"/>
          <w:spacing w:val="-2"/>
        </w:rPr>
        <w:t>12540×23%÷37.6×50%=38</w:t>
      </w:r>
      <w:r>
        <w:rPr>
          <w:rFonts w:ascii="宋体" w:eastAsia="宋体" w:hAnsi="宋体" w:cs="宋体"/>
          <w:spacing w:val="16"/>
        </w:rPr>
        <w:t xml:space="preserve">    </w:t>
      </w:r>
      <w:r>
        <w:rPr>
          <w:rFonts w:ascii="Times New Roman" w:eastAsia="Times New Roman" w:hAnsi="Times New Roman" w:cs="Times New Roman"/>
          <w:spacing w:val="-2"/>
        </w:rPr>
        <w:t>(g)</w:t>
      </w:r>
    </w:p>
    <w:p w:rsidR="00EA40A3" w:rsidRDefault="00E86C16">
      <w:pPr>
        <w:spacing w:before="69" w:line="212" w:lineRule="auto"/>
        <w:ind w:left="469"/>
        <w:rPr>
          <w:rFonts w:ascii="Times New Roman" w:eastAsia="Times New Roman" w:hAnsi="Times New Roman" w:cs="Times New Roman"/>
        </w:rPr>
      </w:pPr>
      <w:r>
        <w:rPr>
          <w:rFonts w:ascii="仿宋" w:eastAsia="仿宋" w:hAnsi="仿宋" w:cs="仿宋"/>
          <w:spacing w:val="-1"/>
        </w:rPr>
        <w:t>晚餐</w:t>
      </w:r>
      <w:r>
        <w:rPr>
          <w:rFonts w:ascii="仿宋" w:eastAsia="仿宋" w:hAnsi="仿宋" w:cs="仿宋"/>
          <w:spacing w:val="91"/>
        </w:rPr>
        <w:t xml:space="preserve"> </w:t>
      </w:r>
      <w:r>
        <w:rPr>
          <w:rFonts w:ascii="仿宋" w:eastAsia="仿宋" w:hAnsi="仿宋" w:cs="仿宋"/>
          <w:spacing w:val="-1"/>
        </w:rPr>
        <w:t>12540×23%÷37.6×20%=16</w:t>
      </w:r>
      <w:r>
        <w:rPr>
          <w:rFonts w:ascii="仿宋" w:eastAsia="仿宋" w:hAnsi="仿宋" w:cs="仿宋"/>
          <w:spacing w:val="13"/>
        </w:rPr>
        <w:t xml:space="preserve">    </w:t>
      </w:r>
      <w:r>
        <w:rPr>
          <w:rFonts w:ascii="Times New Roman" w:eastAsia="Times New Roman" w:hAnsi="Times New Roman" w:cs="Times New Roman"/>
          <w:spacing w:val="-1"/>
        </w:rPr>
        <w:t>(g)</w:t>
      </w:r>
    </w:p>
    <w:p w:rsidR="00EA40A3" w:rsidRDefault="00E86C16">
      <w:pPr>
        <w:spacing w:before="84" w:line="245" w:lineRule="auto"/>
        <w:ind w:left="40" w:right="113" w:firstLine="429"/>
        <w:rPr>
          <w:rFonts w:ascii="宋体" w:eastAsia="宋体" w:hAnsi="宋体" w:cs="宋体"/>
        </w:rPr>
      </w:pPr>
      <w:r>
        <w:rPr>
          <w:rFonts w:ascii="宋体" w:eastAsia="宋体" w:hAnsi="宋体" w:cs="宋体"/>
          <w:spacing w:val="1"/>
        </w:rPr>
        <w:t>(2)计算主食摄入量。由于我国食物结构是以碳水化合物</w:t>
      </w:r>
      <w:r>
        <w:rPr>
          <w:rFonts w:ascii="宋体" w:eastAsia="宋体" w:hAnsi="宋体" w:cs="宋体"/>
        </w:rPr>
        <w:t xml:space="preserve">和植物蛋白质为主 </w:t>
      </w:r>
      <w:r>
        <w:rPr>
          <w:rFonts w:ascii="宋体" w:eastAsia="宋体" w:hAnsi="宋体" w:cs="宋体"/>
          <w:spacing w:val="-6"/>
        </w:rPr>
        <w:t>提供能量和蛋白质，应先计算主食摄入量。</w:t>
      </w:r>
    </w:p>
    <w:p w:rsidR="00EA40A3" w:rsidRDefault="00E86C16">
      <w:pPr>
        <w:spacing w:before="27" w:line="256" w:lineRule="auto"/>
        <w:ind w:left="40" w:right="125" w:firstLine="419"/>
        <w:rPr>
          <w:rFonts w:ascii="宋体" w:eastAsia="宋体" w:hAnsi="宋体" w:cs="宋体"/>
        </w:rPr>
      </w:pPr>
      <w:r>
        <w:rPr>
          <w:rFonts w:ascii="宋体" w:eastAsia="宋体" w:hAnsi="宋体" w:cs="宋体"/>
          <w:spacing w:val="2"/>
        </w:rPr>
        <w:t>计算时先将蔬菜类固定，300～500</w:t>
      </w:r>
      <w:r>
        <w:rPr>
          <w:rFonts w:ascii="Times New Roman" w:eastAsia="Times New Roman" w:hAnsi="Times New Roman" w:cs="Times New Roman"/>
          <w:spacing w:val="2"/>
        </w:rPr>
        <w:t>g</w:t>
      </w:r>
      <w:r>
        <w:rPr>
          <w:rFonts w:ascii="Times New Roman" w:eastAsia="Times New Roman" w:hAnsi="Times New Roman" w:cs="Times New Roman"/>
          <w:spacing w:val="8"/>
        </w:rPr>
        <w:t xml:space="preserve"> </w:t>
      </w:r>
      <w:r>
        <w:rPr>
          <w:rFonts w:ascii="宋体" w:eastAsia="宋体" w:hAnsi="宋体" w:cs="宋体"/>
          <w:spacing w:val="2"/>
        </w:rPr>
        <w:t>蔬</w:t>
      </w:r>
      <w:r>
        <w:rPr>
          <w:rFonts w:ascii="宋体" w:eastAsia="宋体" w:hAnsi="宋体" w:cs="宋体"/>
          <w:spacing w:val="1"/>
        </w:rPr>
        <w:t>菜可提供碳水化合物15</w:t>
      </w:r>
      <w:r>
        <w:rPr>
          <w:rFonts w:ascii="Times New Roman" w:eastAsia="Times New Roman" w:hAnsi="Times New Roman" w:cs="Times New Roman"/>
          <w:spacing w:val="1"/>
        </w:rPr>
        <w:t>g,</w:t>
      </w:r>
      <w:r>
        <w:rPr>
          <w:rFonts w:ascii="Times New Roman" w:eastAsia="Times New Roman" w:hAnsi="Times New Roman" w:cs="Times New Roman"/>
          <w:spacing w:val="3"/>
        </w:rPr>
        <w:t xml:space="preserve">   </w:t>
      </w:r>
      <w:r>
        <w:rPr>
          <w:rFonts w:ascii="宋体" w:eastAsia="宋体" w:hAnsi="宋体" w:cs="宋体"/>
          <w:spacing w:val="1"/>
        </w:rPr>
        <w:t>固定蔬菜</w:t>
      </w:r>
      <w:r>
        <w:rPr>
          <w:rFonts w:ascii="宋体" w:eastAsia="宋体" w:hAnsi="宋体" w:cs="宋体"/>
          <w:spacing w:val="2"/>
        </w:rPr>
        <w:t xml:space="preserve"> </w:t>
      </w:r>
      <w:r>
        <w:rPr>
          <w:rFonts w:ascii="宋体" w:eastAsia="宋体" w:hAnsi="宋体" w:cs="宋体"/>
          <w:spacing w:val="-2"/>
        </w:rPr>
        <w:t>提供的碳水化合物后，剩下的碳水化合物就由主食供给，可依据下列公式计</w:t>
      </w:r>
      <w:r>
        <w:rPr>
          <w:rFonts w:ascii="宋体" w:eastAsia="宋体" w:hAnsi="宋体" w:cs="宋体"/>
          <w:spacing w:val="-3"/>
        </w:rPr>
        <w:t>算</w:t>
      </w:r>
    </w:p>
    <w:p w:rsidR="00EA40A3" w:rsidRDefault="00EA40A3">
      <w:pPr>
        <w:spacing w:line="310" w:lineRule="auto"/>
      </w:pPr>
    </w:p>
    <w:p w:rsidR="00EA40A3" w:rsidRDefault="00825D12">
      <w:pPr>
        <w:spacing w:before="69" w:line="245" w:lineRule="auto"/>
        <w:ind w:left="450" w:right="139" w:firstLine="4129"/>
        <w:rPr>
          <w:rFonts w:ascii="宋体" w:eastAsia="宋体" w:hAnsi="宋体" w:cs="宋体"/>
        </w:rPr>
      </w:pPr>
      <w:r>
        <w:rPr>
          <w:noProof/>
        </w:rPr>
        <mc:AlternateContent>
          <mc:Choice Requires="wps">
            <w:drawing>
              <wp:anchor distT="0" distB="0" distL="114300" distR="114300" simplePos="0" relativeHeight="251722752" behindDoc="0" locked="0" layoutInCell="1" allowOverlap="1">
                <wp:simplePos x="0" y="0"/>
                <wp:positionH relativeFrom="column">
                  <wp:posOffset>-6350</wp:posOffset>
                </wp:positionH>
                <wp:positionV relativeFrom="paragraph">
                  <wp:posOffset>-120650</wp:posOffset>
                </wp:positionV>
                <wp:extent cx="4461510" cy="252095"/>
                <wp:effectExtent l="3175" t="0" r="2540" b="0"/>
                <wp:wrapNone/>
                <wp:docPr id="10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5" w:lineRule="auto"/>
                              <w:ind w:left="20"/>
                              <w:rPr>
                                <w:rFonts w:ascii="宋体" w:eastAsia="宋体" w:hAnsi="宋体" w:cs="宋体"/>
                              </w:rPr>
                            </w:pPr>
                            <w:r>
                              <w:rPr>
                                <w:rFonts w:ascii="宋体" w:eastAsia="宋体" w:hAnsi="宋体" w:cs="宋体"/>
                                <w:position w:val="-3"/>
                              </w:rPr>
                              <w:t>未知食物的质量(g)=</w:t>
                            </w:r>
                            <w:r>
                              <w:rPr>
                                <w:rFonts w:ascii="宋体" w:eastAsia="宋体" w:hAnsi="宋体" w:cs="宋体"/>
                                <w:spacing w:val="30"/>
                                <w:position w:val="-3"/>
                              </w:rPr>
                              <w:t xml:space="preserve"> </w:t>
                            </w:r>
                            <w:r>
                              <w:rPr>
                                <w:rFonts w:ascii="宋体" w:eastAsia="宋体" w:hAnsi="宋体" w:cs="宋体"/>
                                <w:position w:val="-3"/>
                              </w:rPr>
                              <w:t>食物成分表中食物质量(g)×</w:t>
                            </w:r>
                            <w:r>
                              <w:rPr>
                                <w:rFonts w:ascii="宋体" w:eastAsia="宋体" w:hAnsi="宋体" w:cs="宋体"/>
                                <w:spacing w:val="8"/>
                                <w:position w:val="-3"/>
                              </w:rPr>
                              <w:t xml:space="preserve">   </w:t>
                            </w:r>
                            <w:r>
                              <w:rPr>
                                <w:rFonts w:ascii="宋体" w:eastAsia="宋体" w:hAnsi="宋体" w:cs="宋体"/>
                                <w:position w:val="7"/>
                              </w:rPr>
                              <w:t>已知营养素的含量(%)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74" type="#_x0000_t202" style="position:absolute;left:0;text-align:left;margin-left:-.5pt;margin-top:-9.5pt;width:351.3pt;height:19.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btsg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" filled="f" stroked="f">
                <v:textbox inset="0,0,0,0">
                  <w:txbxContent>
                    <w:p w:rsidR="00E86C16" w:rsidRDefault="00E86C16">
                      <w:pPr>
                        <w:spacing w:before="20" w:line="225" w:lineRule="auto"/>
                        <w:ind w:left="20"/>
                        <w:rPr>
                          <w:rFonts w:ascii="宋体" w:eastAsia="宋体" w:hAnsi="宋体" w:cs="宋体"/>
                        </w:rPr>
                      </w:pPr>
                      <w:r>
                        <w:rPr>
                          <w:rFonts w:ascii="宋体" w:eastAsia="宋体" w:hAnsi="宋体" w:cs="宋体"/>
                          <w:position w:val="-3"/>
                        </w:rPr>
                        <w:t>未知食物的质量(g)=</w:t>
                      </w:r>
                      <w:r>
                        <w:rPr>
                          <w:rFonts w:ascii="宋体" w:eastAsia="宋体" w:hAnsi="宋体" w:cs="宋体"/>
                          <w:spacing w:val="30"/>
                          <w:position w:val="-3"/>
                        </w:rPr>
                        <w:t xml:space="preserve"> </w:t>
                      </w:r>
                      <w:r>
                        <w:rPr>
                          <w:rFonts w:ascii="宋体" w:eastAsia="宋体" w:hAnsi="宋体" w:cs="宋体"/>
                          <w:position w:val="-3"/>
                        </w:rPr>
                        <w:t>食物成分表中食物质量(g)×</w:t>
                      </w:r>
                      <w:r>
                        <w:rPr>
                          <w:rFonts w:ascii="宋体" w:eastAsia="宋体" w:hAnsi="宋体" w:cs="宋体"/>
                          <w:spacing w:val="8"/>
                          <w:position w:val="-3"/>
                        </w:rPr>
                        <w:t xml:space="preserve">   </w:t>
                      </w:r>
                      <w:r>
                        <w:rPr>
                          <w:rFonts w:ascii="宋体" w:eastAsia="宋体" w:hAnsi="宋体" w:cs="宋体"/>
                          <w:position w:val="7"/>
                        </w:rPr>
                        <w:t>已知营养素的含量(%)</w:t>
                      </w:r>
                    </w:p>
                  </w:txbxContent>
                </v:textbox>
              </v:shape>
            </w:pict>
          </mc:Fallback>
        </mc:AlternateContent>
      </w:r>
      <w:r w:rsidR="00E86C16">
        <w:rPr>
          <w:rFonts w:ascii="宋体" w:eastAsia="宋体" w:hAnsi="宋体" w:cs="宋体"/>
          <w:spacing w:val="6"/>
        </w:rPr>
        <w:t xml:space="preserve">食物成分表中营养素含量(%) </w:t>
      </w:r>
      <w:r w:rsidR="00E86C16">
        <w:rPr>
          <w:rFonts w:ascii="宋体" w:eastAsia="宋体" w:hAnsi="宋体" w:cs="宋体"/>
          <w:spacing w:val="11"/>
        </w:rPr>
        <w:t>例如主食选大米，则需要量为：大米质量=(244-</w:t>
      </w:r>
      <w:r w:rsidR="00E86C16">
        <w:rPr>
          <w:rFonts w:ascii="宋体" w:eastAsia="宋体" w:hAnsi="宋体" w:cs="宋体"/>
          <w:spacing w:val="10"/>
        </w:rPr>
        <w:t>15)×100÷76=301(g)</w:t>
      </w:r>
    </w:p>
    <w:p w:rsidR="00EA40A3" w:rsidRDefault="00E86C16">
      <w:pPr>
        <w:spacing w:before="47" w:line="250" w:lineRule="auto"/>
        <w:ind w:left="9" w:right="155" w:firstLine="410"/>
        <w:rPr>
          <w:rFonts w:ascii="宋体" w:eastAsia="宋体" w:hAnsi="宋体" w:cs="宋体"/>
        </w:rPr>
      </w:pPr>
      <w:r>
        <w:rPr>
          <w:rFonts w:ascii="宋体" w:eastAsia="宋体" w:hAnsi="宋体" w:cs="宋体"/>
          <w:spacing w:val="3"/>
        </w:rPr>
        <w:t>午餐主食大米约需300g,</w:t>
      </w:r>
      <w:r>
        <w:rPr>
          <w:rFonts w:ascii="宋体" w:eastAsia="宋体" w:hAnsi="宋体" w:cs="宋体"/>
          <w:spacing w:val="-4"/>
        </w:rPr>
        <w:t xml:space="preserve"> </w:t>
      </w:r>
      <w:r>
        <w:rPr>
          <w:rFonts w:ascii="宋体" w:eastAsia="宋体" w:hAnsi="宋体" w:cs="宋体"/>
          <w:spacing w:val="3"/>
        </w:rPr>
        <w:t>再以300g</w:t>
      </w:r>
      <w:r>
        <w:rPr>
          <w:rFonts w:ascii="宋体" w:eastAsia="宋体" w:hAnsi="宋体" w:cs="宋体"/>
          <w:spacing w:val="-59"/>
        </w:rPr>
        <w:t xml:space="preserve"> </w:t>
      </w:r>
      <w:r>
        <w:rPr>
          <w:rFonts w:ascii="宋体" w:eastAsia="宋体" w:hAnsi="宋体" w:cs="宋体"/>
          <w:spacing w:val="3"/>
        </w:rPr>
        <w:t>大米的基数</w:t>
      </w:r>
      <w:r>
        <w:rPr>
          <w:rFonts w:ascii="宋体" w:eastAsia="宋体" w:hAnsi="宋体" w:cs="宋体"/>
          <w:spacing w:val="2"/>
        </w:rPr>
        <w:t>，计算蛋白质和脂肪。查食</w:t>
      </w:r>
      <w:r>
        <w:rPr>
          <w:rFonts w:ascii="宋体" w:eastAsia="宋体" w:hAnsi="宋体" w:cs="宋体"/>
        </w:rPr>
        <w:t xml:space="preserve"> </w:t>
      </w:r>
      <w:r>
        <w:rPr>
          <w:rFonts w:ascii="宋体" w:eastAsia="宋体" w:hAnsi="宋体" w:cs="宋体"/>
          <w:spacing w:val="5"/>
        </w:rPr>
        <w:t>物成分表知每100</w:t>
      </w:r>
      <w:r>
        <w:rPr>
          <w:rFonts w:ascii="Times New Roman" w:eastAsia="Times New Roman" w:hAnsi="Times New Roman" w:cs="Times New Roman"/>
          <w:spacing w:val="5"/>
        </w:rPr>
        <w:t>g</w:t>
      </w:r>
      <w:r>
        <w:rPr>
          <w:rFonts w:ascii="Times New Roman" w:eastAsia="Times New Roman" w:hAnsi="Times New Roman" w:cs="Times New Roman"/>
          <w:spacing w:val="-12"/>
        </w:rPr>
        <w:t xml:space="preserve"> </w:t>
      </w:r>
      <w:r>
        <w:rPr>
          <w:rFonts w:ascii="宋体" w:eastAsia="宋体" w:hAnsi="宋体" w:cs="宋体"/>
          <w:spacing w:val="5"/>
        </w:rPr>
        <w:t>大米含蛋白质8</w:t>
      </w:r>
      <w:r>
        <w:rPr>
          <w:rFonts w:ascii="Times New Roman" w:eastAsia="Times New Roman" w:hAnsi="Times New Roman" w:cs="Times New Roman"/>
          <w:spacing w:val="5"/>
        </w:rPr>
        <w:t>g</w:t>
      </w:r>
      <w:r>
        <w:rPr>
          <w:rFonts w:ascii="宋体" w:eastAsia="宋体" w:hAnsi="宋体" w:cs="宋体"/>
          <w:spacing w:val="5"/>
        </w:rPr>
        <w:t>、脂</w:t>
      </w:r>
      <w:r>
        <w:rPr>
          <w:rFonts w:ascii="宋体" w:eastAsia="宋体" w:hAnsi="宋体" w:cs="宋体"/>
          <w:spacing w:val="-47"/>
        </w:rPr>
        <w:t xml:space="preserve"> </w:t>
      </w:r>
      <w:r>
        <w:rPr>
          <w:rFonts w:ascii="宋体" w:eastAsia="宋体" w:hAnsi="宋体" w:cs="宋体"/>
          <w:spacing w:val="5"/>
        </w:rPr>
        <w:t>肪</w:t>
      </w:r>
      <w:r>
        <w:rPr>
          <w:rFonts w:ascii="宋体" w:eastAsia="宋体" w:hAnsi="宋体" w:cs="宋体"/>
          <w:spacing w:val="-46"/>
        </w:rPr>
        <w:t xml:space="preserve"> </w:t>
      </w:r>
      <w:r>
        <w:rPr>
          <w:rFonts w:ascii="宋体" w:eastAsia="宋体" w:hAnsi="宋体" w:cs="宋体"/>
          <w:spacing w:val="5"/>
        </w:rPr>
        <w:t>2</w:t>
      </w:r>
      <w:r>
        <w:rPr>
          <w:rFonts w:ascii="Times New Roman" w:eastAsia="Times New Roman" w:hAnsi="Times New Roman" w:cs="Times New Roman"/>
          <w:spacing w:val="5"/>
        </w:rPr>
        <w:t>g,</w:t>
      </w:r>
      <w:r>
        <w:rPr>
          <w:rFonts w:ascii="Times New Roman" w:eastAsia="Times New Roman" w:hAnsi="Times New Roman" w:cs="Times New Roman"/>
        </w:rPr>
        <w:t xml:space="preserve">   </w:t>
      </w:r>
      <w:r>
        <w:rPr>
          <w:rFonts w:ascii="宋体" w:eastAsia="宋体" w:hAnsi="宋体" w:cs="宋体"/>
          <w:spacing w:val="5"/>
        </w:rPr>
        <w:t>蛋白质含量</w:t>
      </w:r>
      <w:r>
        <w:rPr>
          <w:rFonts w:ascii="宋体" w:eastAsia="宋体" w:hAnsi="宋体" w:cs="宋体"/>
          <w:spacing w:val="4"/>
        </w:rPr>
        <w:t>为：8×3=24</w:t>
      </w:r>
      <w:r>
        <w:rPr>
          <w:rFonts w:ascii="宋体" w:eastAsia="宋体" w:hAnsi="宋体" w:cs="宋体"/>
          <w:spacing w:val="-1"/>
        </w:rPr>
        <w:t xml:space="preserve"> </w:t>
      </w:r>
      <w:r>
        <w:rPr>
          <w:rFonts w:ascii="Times New Roman" w:eastAsia="Times New Roman" w:hAnsi="Times New Roman" w:cs="Times New Roman"/>
          <w:spacing w:val="4"/>
        </w:rPr>
        <w:t>(g),</w:t>
      </w:r>
      <w:r>
        <w:rPr>
          <w:rFonts w:ascii="Times New Roman" w:eastAsia="Times New Roman" w:hAnsi="Times New Roman" w:cs="Times New Roman"/>
        </w:rPr>
        <w:t xml:space="preserve">   </w:t>
      </w:r>
      <w:r>
        <w:rPr>
          <w:rFonts w:ascii="宋体" w:eastAsia="宋体" w:hAnsi="宋体" w:cs="宋体"/>
          <w:spacing w:val="4"/>
        </w:rPr>
        <w:t>脂肪含量为：2×3=6</w:t>
      </w:r>
      <w:r>
        <w:rPr>
          <w:rFonts w:ascii="宋体" w:eastAsia="宋体" w:hAnsi="宋体" w:cs="宋体"/>
          <w:spacing w:val="-22"/>
        </w:rPr>
        <w:t xml:space="preserve"> </w:t>
      </w:r>
      <w:r>
        <w:rPr>
          <w:rFonts w:ascii="宋体" w:eastAsia="宋体" w:hAnsi="宋体" w:cs="宋体"/>
          <w:spacing w:val="4"/>
        </w:rPr>
        <w:t>(g)。</w:t>
      </w:r>
    </w:p>
    <w:p w:rsidR="00EA40A3" w:rsidRDefault="00E86C16">
      <w:pPr>
        <w:spacing w:before="73" w:line="233" w:lineRule="auto"/>
        <w:ind w:right="144" w:firstLine="459"/>
        <w:rPr>
          <w:rFonts w:ascii="宋体" w:eastAsia="宋体" w:hAnsi="宋体" w:cs="宋体"/>
        </w:rPr>
      </w:pPr>
      <w:r>
        <w:rPr>
          <w:rFonts w:ascii="宋体" w:eastAsia="宋体" w:hAnsi="宋体" w:cs="宋体"/>
        </w:rPr>
        <w:t>(3)最后进行副食的选择计算。主食提供的蛋白质和脂肪算出后，依据需要</w:t>
      </w:r>
      <w:r>
        <w:rPr>
          <w:rFonts w:ascii="宋体" w:eastAsia="宋体" w:hAnsi="宋体" w:cs="宋体"/>
          <w:spacing w:val="4"/>
        </w:rPr>
        <w:t xml:space="preserve"> </w:t>
      </w:r>
      <w:r>
        <w:rPr>
          <w:rFonts w:ascii="宋体" w:eastAsia="宋体" w:hAnsi="宋体" w:cs="宋体"/>
          <w:spacing w:val="-5"/>
        </w:rPr>
        <w:t>量，其不足部分由副食补充。</w:t>
      </w:r>
    </w:p>
    <w:p w:rsidR="00EA40A3" w:rsidRDefault="00E86C16">
      <w:pPr>
        <w:spacing w:before="94" w:line="214" w:lineRule="auto"/>
        <w:ind w:left="419"/>
        <w:rPr>
          <w:rFonts w:ascii="宋体" w:eastAsia="宋体" w:hAnsi="宋体" w:cs="宋体"/>
        </w:rPr>
      </w:pPr>
      <w:r>
        <w:rPr>
          <w:rFonts w:ascii="宋体" w:eastAsia="宋体" w:hAnsi="宋体" w:cs="宋体"/>
          <w:spacing w:val="-7"/>
        </w:rPr>
        <w:t>蔬菜中的蛋白质含量除豆类外，</w:t>
      </w:r>
      <w:r>
        <w:rPr>
          <w:rFonts w:ascii="宋体" w:eastAsia="宋体" w:hAnsi="宋体" w:cs="宋体"/>
          <w:spacing w:val="61"/>
        </w:rPr>
        <w:t xml:space="preserve"> </w:t>
      </w:r>
      <w:r>
        <w:rPr>
          <w:rFonts w:ascii="宋体" w:eastAsia="宋体" w:hAnsi="宋体" w:cs="宋体"/>
          <w:spacing w:val="-7"/>
        </w:rPr>
        <w:t>一般都很低。为</w:t>
      </w:r>
      <w:r>
        <w:rPr>
          <w:rFonts w:ascii="宋体" w:eastAsia="宋体" w:hAnsi="宋体" w:cs="宋体"/>
          <w:spacing w:val="-8"/>
        </w:rPr>
        <w:t>计算方便，</w:t>
      </w:r>
      <w:r>
        <w:rPr>
          <w:rFonts w:ascii="宋体" w:eastAsia="宋体" w:hAnsi="宋体" w:cs="宋体"/>
          <w:spacing w:val="62"/>
        </w:rPr>
        <w:t xml:space="preserve"> </w:t>
      </w:r>
      <w:r>
        <w:rPr>
          <w:rFonts w:ascii="宋体" w:eastAsia="宋体" w:hAnsi="宋体" w:cs="宋体"/>
          <w:spacing w:val="-8"/>
        </w:rPr>
        <w:t>一般以100g</w:t>
      </w:r>
      <w:r>
        <w:rPr>
          <w:rFonts w:ascii="宋体" w:eastAsia="宋体" w:hAnsi="宋体" w:cs="宋体"/>
          <w:spacing w:val="-58"/>
        </w:rPr>
        <w:t xml:space="preserve"> </w:t>
      </w:r>
      <w:r>
        <w:rPr>
          <w:rFonts w:ascii="宋体" w:eastAsia="宋体" w:hAnsi="宋体" w:cs="宋体"/>
          <w:spacing w:val="-8"/>
        </w:rPr>
        <w:t>蔬</w:t>
      </w:r>
    </w:p>
    <w:p w:rsidR="00EA40A3" w:rsidRDefault="00E86C16">
      <w:pPr>
        <w:spacing w:before="74" w:line="241" w:lineRule="auto"/>
        <w:ind w:left="130"/>
        <w:rPr>
          <w:rFonts w:ascii="宋体" w:eastAsia="宋体" w:hAnsi="宋体" w:cs="宋体"/>
          <w:sz w:val="14"/>
          <w:szCs w:val="14"/>
        </w:rPr>
      </w:pPr>
      <w:r>
        <w:rPr>
          <w:rFonts w:ascii="宋体" w:eastAsia="宋体" w:hAnsi="宋体" w:cs="宋体"/>
          <w:spacing w:val="-12"/>
          <w:sz w:val="14"/>
          <w:szCs w:val="14"/>
        </w:rPr>
        <w:t>·</w:t>
      </w:r>
      <w:r>
        <w:rPr>
          <w:rFonts w:ascii="宋体" w:eastAsia="宋体" w:hAnsi="宋体" w:cs="宋体"/>
          <w:spacing w:val="38"/>
          <w:w w:val="101"/>
          <w:sz w:val="14"/>
          <w:szCs w:val="14"/>
        </w:rPr>
        <w:t xml:space="preserve"> </w:t>
      </w:r>
      <w:r>
        <w:rPr>
          <w:rFonts w:ascii="宋体" w:eastAsia="宋体" w:hAnsi="宋体" w:cs="宋体"/>
          <w:spacing w:val="-12"/>
          <w:sz w:val="14"/>
          <w:szCs w:val="14"/>
        </w:rPr>
        <w:t>412</w:t>
      </w:r>
      <w:r>
        <w:rPr>
          <w:rFonts w:ascii="宋体" w:eastAsia="宋体" w:hAnsi="宋体" w:cs="宋体"/>
          <w:spacing w:val="8"/>
          <w:sz w:val="14"/>
          <w:szCs w:val="14"/>
        </w:rPr>
        <w:t xml:space="preserve">  </w:t>
      </w:r>
      <w:r>
        <w:rPr>
          <w:rFonts w:ascii="宋体" w:eastAsia="宋体" w:hAnsi="宋体" w:cs="宋体"/>
          <w:spacing w:val="-12"/>
          <w:sz w:val="14"/>
          <w:szCs w:val="14"/>
        </w:rPr>
        <w:t>·</w:t>
      </w:r>
    </w:p>
    <w:p w:rsidR="00EA40A3" w:rsidRDefault="00EA40A3">
      <w:pPr>
        <w:sectPr w:rsidR="00EA40A3">
          <w:pgSz w:w="9220" w:h="13360"/>
          <w:pgMar w:top="400" w:right="1004" w:bottom="400" w:left="780" w:header="0" w:footer="0" w:gutter="0"/>
          <w:cols w:space="720"/>
        </w:sectPr>
      </w:pPr>
    </w:p>
    <w:p w:rsidR="00EA40A3" w:rsidRDefault="00EA40A3">
      <w:pPr>
        <w:spacing w:line="264" w:lineRule="auto"/>
      </w:pPr>
    </w:p>
    <w:p w:rsidR="00EA40A3" w:rsidRDefault="00EA40A3">
      <w:pPr>
        <w:spacing w:line="265" w:lineRule="auto"/>
      </w:pPr>
    </w:p>
    <w:p w:rsidR="00EA40A3" w:rsidRDefault="00E86C16">
      <w:pPr>
        <w:spacing w:before="69" w:line="214" w:lineRule="auto"/>
        <w:ind w:left="20"/>
        <w:rPr>
          <w:rFonts w:ascii="宋体" w:eastAsia="宋体" w:hAnsi="宋体" w:cs="宋体"/>
        </w:rPr>
      </w:pPr>
      <w:r>
        <w:rPr>
          <w:rFonts w:ascii="宋体" w:eastAsia="宋体" w:hAnsi="宋体" w:cs="宋体"/>
          <w:spacing w:val="4"/>
        </w:rPr>
        <w:t>菜中含蛋白质2g</w:t>
      </w:r>
      <w:r>
        <w:rPr>
          <w:rFonts w:ascii="宋体" w:eastAsia="宋体" w:hAnsi="宋体" w:cs="宋体"/>
          <w:spacing w:val="-46"/>
        </w:rPr>
        <w:t xml:space="preserve"> </w:t>
      </w:r>
      <w:r>
        <w:rPr>
          <w:rFonts w:ascii="宋体" w:eastAsia="宋体" w:hAnsi="宋体" w:cs="宋体"/>
          <w:spacing w:val="4"/>
        </w:rPr>
        <w:t>计，如选用400g</w:t>
      </w:r>
      <w:r>
        <w:rPr>
          <w:rFonts w:ascii="宋体" w:eastAsia="宋体" w:hAnsi="宋体" w:cs="宋体"/>
          <w:spacing w:val="-58"/>
        </w:rPr>
        <w:t xml:space="preserve"> </w:t>
      </w:r>
      <w:r>
        <w:rPr>
          <w:rFonts w:ascii="宋体" w:eastAsia="宋体" w:hAnsi="宋体" w:cs="宋体"/>
          <w:spacing w:val="4"/>
        </w:rPr>
        <w:t>蔬菜，则400g</w:t>
      </w:r>
      <w:r>
        <w:rPr>
          <w:rFonts w:ascii="宋体" w:eastAsia="宋体" w:hAnsi="宋体" w:cs="宋体"/>
          <w:spacing w:val="-59"/>
        </w:rPr>
        <w:t xml:space="preserve"> </w:t>
      </w:r>
      <w:r>
        <w:rPr>
          <w:rFonts w:ascii="宋体" w:eastAsia="宋体" w:hAnsi="宋体" w:cs="宋体"/>
          <w:spacing w:val="4"/>
        </w:rPr>
        <w:t>蔬菜含8g</w:t>
      </w:r>
      <w:r>
        <w:rPr>
          <w:rFonts w:ascii="宋体" w:eastAsia="宋体" w:hAnsi="宋体" w:cs="宋体"/>
          <w:spacing w:val="-48"/>
        </w:rPr>
        <w:t xml:space="preserve"> </w:t>
      </w:r>
      <w:r>
        <w:rPr>
          <w:rFonts w:ascii="宋体" w:eastAsia="宋体" w:hAnsi="宋体" w:cs="宋体"/>
          <w:spacing w:val="4"/>
        </w:rPr>
        <w:t>蛋白质。</w:t>
      </w:r>
    </w:p>
    <w:p w:rsidR="00EA40A3" w:rsidRDefault="00E86C16">
      <w:pPr>
        <w:spacing w:before="96" w:line="214" w:lineRule="auto"/>
        <w:ind w:left="479"/>
        <w:rPr>
          <w:rFonts w:ascii="宋体" w:eastAsia="宋体" w:hAnsi="宋体" w:cs="宋体"/>
        </w:rPr>
      </w:pPr>
      <w:r>
        <w:rPr>
          <w:rFonts w:ascii="宋体" w:eastAsia="宋体" w:hAnsi="宋体" w:cs="宋体"/>
          <w:spacing w:val="11"/>
        </w:rPr>
        <w:t>蛋白质的需要量为：45-24-8=13</w:t>
      </w:r>
      <w:r>
        <w:rPr>
          <w:rFonts w:ascii="宋体" w:eastAsia="宋体" w:hAnsi="宋体" w:cs="宋体"/>
          <w:spacing w:val="-9"/>
        </w:rPr>
        <w:t xml:space="preserve"> </w:t>
      </w:r>
      <w:r>
        <w:rPr>
          <w:rFonts w:ascii="宋体" w:eastAsia="宋体" w:hAnsi="宋体" w:cs="宋体"/>
          <w:spacing w:val="11"/>
        </w:rPr>
        <w:t>(g)</w:t>
      </w:r>
    </w:p>
    <w:p w:rsidR="00EA40A3" w:rsidRDefault="00E86C16">
      <w:pPr>
        <w:spacing w:before="49" w:line="257" w:lineRule="auto"/>
        <w:ind w:left="20" w:firstLine="459"/>
        <w:rPr>
          <w:rFonts w:ascii="宋体" w:eastAsia="宋体" w:hAnsi="宋体" w:cs="宋体"/>
        </w:rPr>
      </w:pPr>
      <w:r>
        <w:rPr>
          <w:rFonts w:ascii="宋体" w:eastAsia="宋体" w:hAnsi="宋体" w:cs="宋体"/>
          <w:spacing w:val="-1"/>
        </w:rPr>
        <w:t>剩余13g</w:t>
      </w:r>
      <w:r>
        <w:rPr>
          <w:rFonts w:ascii="宋体" w:eastAsia="宋体" w:hAnsi="宋体" w:cs="宋体"/>
          <w:spacing w:val="-49"/>
        </w:rPr>
        <w:t xml:space="preserve"> </w:t>
      </w:r>
      <w:r>
        <w:rPr>
          <w:rFonts w:ascii="宋体" w:eastAsia="宋体" w:hAnsi="宋体" w:cs="宋体"/>
          <w:spacing w:val="-1"/>
        </w:rPr>
        <w:t>蛋白质，选择只含蛋白质和脂肪而不含碳水化合物</w:t>
      </w:r>
      <w:r>
        <w:rPr>
          <w:rFonts w:ascii="宋体" w:eastAsia="宋体" w:hAnsi="宋体" w:cs="宋体"/>
          <w:spacing w:val="-2"/>
        </w:rPr>
        <w:t>的肉、蛋类。为</w:t>
      </w:r>
      <w:r>
        <w:rPr>
          <w:rFonts w:ascii="宋体" w:eastAsia="宋体" w:hAnsi="宋体" w:cs="宋体"/>
        </w:rPr>
        <w:t xml:space="preserve"> </w:t>
      </w:r>
      <w:r>
        <w:rPr>
          <w:rFonts w:ascii="宋体" w:eastAsia="宋体" w:hAnsi="宋体" w:cs="宋体"/>
          <w:spacing w:val="6"/>
        </w:rPr>
        <w:t>便于计算，肉类蛋白质量估计为其质量的1/5,即肉类质量为瘦肉类蛋白质的5</w:t>
      </w:r>
      <w:r>
        <w:rPr>
          <w:rFonts w:ascii="宋体" w:eastAsia="宋体" w:hAnsi="宋体" w:cs="宋体"/>
          <w:spacing w:val="5"/>
        </w:rPr>
        <w:t xml:space="preserve">  </w:t>
      </w:r>
      <w:r>
        <w:rPr>
          <w:rFonts w:ascii="宋体" w:eastAsia="宋体" w:hAnsi="宋体" w:cs="宋体"/>
          <w:spacing w:val="-5"/>
        </w:rPr>
        <w:t>倍；肉类所含脂肪，</w:t>
      </w:r>
      <w:r>
        <w:rPr>
          <w:rFonts w:ascii="宋体" w:eastAsia="宋体" w:hAnsi="宋体" w:cs="宋体"/>
          <w:spacing w:val="65"/>
        </w:rPr>
        <w:t xml:space="preserve"> </w:t>
      </w:r>
      <w:r>
        <w:rPr>
          <w:rFonts w:ascii="宋体" w:eastAsia="宋体" w:hAnsi="宋体" w:cs="宋体"/>
          <w:spacing w:val="-5"/>
        </w:rPr>
        <w:t>一般瘦猪肉的脂肪量约为其蛋白质的1.5倍，即将它的蛋白</w:t>
      </w:r>
      <w:r>
        <w:rPr>
          <w:rFonts w:ascii="宋体" w:eastAsia="宋体" w:hAnsi="宋体" w:cs="宋体"/>
        </w:rPr>
        <w:t xml:space="preserve">  </w:t>
      </w:r>
      <w:r>
        <w:rPr>
          <w:rFonts w:ascii="宋体" w:eastAsia="宋体" w:hAnsi="宋体" w:cs="宋体"/>
          <w:spacing w:val="2"/>
        </w:rPr>
        <w:t>质质量加上1/2。因此所需瘦猪肉质量为：13×5=65</w:t>
      </w:r>
      <w:r>
        <w:rPr>
          <w:rFonts w:ascii="宋体" w:eastAsia="宋体" w:hAnsi="宋体" w:cs="宋体"/>
          <w:spacing w:val="-8"/>
        </w:rPr>
        <w:t xml:space="preserve"> </w:t>
      </w:r>
      <w:r>
        <w:rPr>
          <w:rFonts w:ascii="宋体" w:eastAsia="宋体" w:hAnsi="宋体" w:cs="宋体"/>
          <w:spacing w:val="2"/>
        </w:rPr>
        <w:t>(g),</w:t>
      </w:r>
      <w:r>
        <w:rPr>
          <w:rFonts w:ascii="宋体" w:eastAsia="宋体" w:hAnsi="宋体" w:cs="宋体"/>
          <w:spacing w:val="40"/>
        </w:rPr>
        <w:t xml:space="preserve"> </w:t>
      </w:r>
      <w:r>
        <w:rPr>
          <w:rFonts w:ascii="宋体" w:eastAsia="宋体" w:hAnsi="宋体" w:cs="宋体"/>
          <w:spacing w:val="2"/>
        </w:rPr>
        <w:t>瘦猪肉含脂肪</w:t>
      </w:r>
      <w:r>
        <w:rPr>
          <w:rFonts w:ascii="宋体" w:eastAsia="宋体" w:hAnsi="宋体" w:cs="宋体"/>
          <w:spacing w:val="1"/>
        </w:rPr>
        <w:t>量为：</w:t>
      </w:r>
      <w:r>
        <w:rPr>
          <w:rFonts w:ascii="宋体" w:eastAsia="宋体" w:hAnsi="宋体" w:cs="宋体"/>
        </w:rPr>
        <w:t xml:space="preserve"> </w:t>
      </w:r>
      <w:r>
        <w:rPr>
          <w:rFonts w:ascii="Times New Roman" w:eastAsia="Times New Roman" w:hAnsi="Times New Roman" w:cs="Times New Roman"/>
          <w:spacing w:val="-2"/>
        </w:rPr>
        <w:t>13×1.5=19.5(g)</w:t>
      </w:r>
      <w:r>
        <w:rPr>
          <w:rFonts w:ascii="宋体" w:eastAsia="宋体" w:hAnsi="宋体" w:cs="宋体"/>
          <w:spacing w:val="-2"/>
        </w:rPr>
        <w:t>。</w:t>
      </w:r>
    </w:p>
    <w:p w:rsidR="00EA40A3" w:rsidRDefault="00E86C16">
      <w:pPr>
        <w:spacing w:before="87" w:line="247" w:lineRule="auto"/>
        <w:ind w:left="20" w:right="57" w:firstLine="459"/>
        <w:rPr>
          <w:rFonts w:ascii="宋体" w:eastAsia="宋体" w:hAnsi="宋体" w:cs="宋体"/>
        </w:rPr>
      </w:pPr>
      <w:r>
        <w:rPr>
          <w:rFonts w:ascii="宋体" w:eastAsia="宋体" w:hAnsi="宋体" w:cs="宋体"/>
          <w:spacing w:val="6"/>
        </w:rPr>
        <w:t>午餐的脂肪需要量为38g,</w:t>
      </w:r>
      <w:r>
        <w:rPr>
          <w:rFonts w:ascii="宋体" w:eastAsia="宋体" w:hAnsi="宋体" w:cs="宋体"/>
          <w:spacing w:val="-7"/>
        </w:rPr>
        <w:t xml:space="preserve"> </w:t>
      </w:r>
      <w:r>
        <w:rPr>
          <w:rFonts w:ascii="宋体" w:eastAsia="宋体" w:hAnsi="宋体" w:cs="宋体"/>
          <w:spacing w:val="6"/>
        </w:rPr>
        <w:t>减去瘦猪肉及主食中含脂肪量，为38-19.5-6=</w:t>
      </w:r>
      <w:r>
        <w:rPr>
          <w:rFonts w:ascii="宋体" w:eastAsia="宋体" w:hAnsi="宋体" w:cs="宋体"/>
        </w:rPr>
        <w:t xml:space="preserve"> </w:t>
      </w:r>
      <w:r>
        <w:rPr>
          <w:rFonts w:ascii="宋体" w:eastAsia="宋体" w:hAnsi="宋体" w:cs="宋体"/>
          <w:spacing w:val="-11"/>
        </w:rPr>
        <w:t>12.5(g)。</w:t>
      </w:r>
      <w:r>
        <w:rPr>
          <w:rFonts w:ascii="宋体" w:eastAsia="宋体" w:hAnsi="宋体" w:cs="宋体"/>
          <w:spacing w:val="27"/>
        </w:rPr>
        <w:t xml:space="preserve"> </w:t>
      </w:r>
      <w:r>
        <w:rPr>
          <w:rFonts w:ascii="宋体" w:eastAsia="宋体" w:hAnsi="宋体" w:cs="宋体"/>
          <w:spacing w:val="-11"/>
        </w:rPr>
        <w:t>其脂肪需要量的差额由植物油补充。</w:t>
      </w:r>
    </w:p>
    <w:p w:rsidR="00EA40A3" w:rsidRDefault="00E86C16">
      <w:pPr>
        <w:spacing w:before="44" w:line="215" w:lineRule="auto"/>
        <w:ind w:left="479"/>
        <w:rPr>
          <w:rFonts w:ascii="仿宋" w:eastAsia="仿宋" w:hAnsi="仿宋" w:cs="仿宋"/>
        </w:rPr>
      </w:pPr>
      <w:r>
        <w:rPr>
          <w:rFonts w:ascii="仿宋" w:eastAsia="仿宋" w:hAnsi="仿宋" w:cs="仿宋"/>
          <w:spacing w:val="2"/>
        </w:rPr>
        <w:t>通过计算，确定选择副食为瘦猪肉75g、</w:t>
      </w:r>
      <w:r>
        <w:rPr>
          <w:rFonts w:ascii="仿宋" w:eastAsia="仿宋" w:hAnsi="仿宋" w:cs="仿宋"/>
          <w:spacing w:val="-60"/>
        </w:rPr>
        <w:t xml:space="preserve"> </w:t>
      </w:r>
      <w:r>
        <w:rPr>
          <w:rFonts w:ascii="仿宋" w:eastAsia="仿宋" w:hAnsi="仿宋" w:cs="仿宋"/>
          <w:spacing w:val="2"/>
        </w:rPr>
        <w:t>白菜250g、芥菜150g、豆</w:t>
      </w:r>
      <w:r>
        <w:rPr>
          <w:rFonts w:ascii="仿宋" w:eastAsia="仿宋" w:hAnsi="仿宋" w:cs="仿宋"/>
          <w:spacing w:val="1"/>
        </w:rPr>
        <w:t>油10g。</w:t>
      </w:r>
    </w:p>
    <w:p w:rsidR="00EA40A3" w:rsidRDefault="00E86C16">
      <w:pPr>
        <w:spacing w:before="88" w:line="218" w:lineRule="auto"/>
        <w:ind w:left="479"/>
        <w:rPr>
          <w:rFonts w:ascii="仿宋" w:eastAsia="仿宋" w:hAnsi="仿宋" w:cs="仿宋"/>
        </w:rPr>
      </w:pPr>
      <w:r>
        <w:rPr>
          <w:rFonts w:ascii="仿宋" w:eastAsia="仿宋" w:hAnsi="仿宋" w:cs="仿宋"/>
          <w:spacing w:val="-7"/>
        </w:rPr>
        <w:t>两个常食菜种为炒白菜、炒芥菜。</w:t>
      </w:r>
    </w:p>
    <w:p w:rsidR="00EA40A3" w:rsidRDefault="00E86C16">
      <w:pPr>
        <w:spacing w:before="47" w:line="261" w:lineRule="auto"/>
        <w:ind w:left="20" w:right="55" w:firstLine="459"/>
        <w:rPr>
          <w:rFonts w:ascii="宋体" w:eastAsia="宋体" w:hAnsi="宋体" w:cs="宋体"/>
        </w:rPr>
      </w:pPr>
      <w:r>
        <w:rPr>
          <w:rFonts w:ascii="宋体" w:eastAsia="宋体" w:hAnsi="宋体" w:cs="宋体"/>
          <w:spacing w:val="7"/>
        </w:rPr>
        <w:t>确定食物的种类和数量后，再将每一种食物的营养素含量(根据食物成分</w:t>
      </w:r>
      <w:r>
        <w:rPr>
          <w:rFonts w:ascii="宋体" w:eastAsia="宋体" w:hAnsi="宋体" w:cs="宋体"/>
        </w:rPr>
        <w:t xml:space="preserve"> </w:t>
      </w:r>
      <w:r>
        <w:rPr>
          <w:rFonts w:ascii="宋体" w:eastAsia="宋体" w:hAnsi="宋体" w:cs="宋体"/>
          <w:spacing w:val="7"/>
        </w:rPr>
        <w:t>表),填入到食物营养素记录表，计算主副食中提供的营养素含量，与</w:t>
      </w:r>
      <w:r>
        <w:rPr>
          <w:rFonts w:ascii="宋体" w:eastAsia="宋体" w:hAnsi="宋体" w:cs="宋体"/>
          <w:spacing w:val="-56"/>
        </w:rPr>
        <w:t xml:space="preserve"> </w:t>
      </w:r>
      <w:r>
        <w:rPr>
          <w:rFonts w:ascii="宋体" w:eastAsia="宋体" w:hAnsi="宋体" w:cs="宋体"/>
        </w:rPr>
        <w:t>DRI</w:t>
      </w:r>
      <w:r>
        <w:rPr>
          <w:rFonts w:ascii="宋体" w:eastAsia="宋体" w:hAnsi="宋体" w:cs="宋体"/>
          <w:spacing w:val="34"/>
        </w:rPr>
        <w:t xml:space="preserve"> </w:t>
      </w:r>
      <w:r>
        <w:rPr>
          <w:rFonts w:ascii="宋体" w:eastAsia="宋体" w:hAnsi="宋体" w:cs="宋体"/>
          <w:spacing w:val="7"/>
        </w:rPr>
        <w:t>比</w:t>
      </w:r>
      <w:r>
        <w:rPr>
          <w:rFonts w:ascii="宋体" w:eastAsia="宋体" w:hAnsi="宋体" w:cs="宋体"/>
        </w:rPr>
        <w:t xml:space="preserve"> </w:t>
      </w:r>
      <w:r>
        <w:rPr>
          <w:rFonts w:ascii="宋体" w:eastAsia="宋体" w:hAnsi="宋体" w:cs="宋体"/>
          <w:spacing w:val="-2"/>
        </w:rPr>
        <w:t>较，见表12-10。</w:t>
      </w:r>
    </w:p>
    <w:p w:rsidR="00EA40A3" w:rsidRDefault="00EA40A3">
      <w:pPr>
        <w:spacing w:line="256" w:lineRule="auto"/>
      </w:pPr>
    </w:p>
    <w:p w:rsidR="00EA40A3" w:rsidRDefault="00E86C16">
      <w:pPr>
        <w:spacing w:before="68" w:line="221" w:lineRule="auto"/>
        <w:ind w:left="2572"/>
        <w:rPr>
          <w:rFonts w:ascii="黑体" w:eastAsia="黑体" w:hAnsi="黑体" w:cs="黑体"/>
        </w:rPr>
      </w:pPr>
      <w:r>
        <w:rPr>
          <w:rFonts w:ascii="黑体" w:eastAsia="黑体" w:hAnsi="黑体" w:cs="黑体"/>
          <w:b/>
          <w:bCs/>
          <w:spacing w:val="-19"/>
          <w:w w:val="96"/>
        </w:rPr>
        <w:t>表12-10</w:t>
      </w:r>
      <w:r>
        <w:rPr>
          <w:rFonts w:ascii="黑体" w:eastAsia="黑体" w:hAnsi="黑体" w:cs="黑体"/>
          <w:spacing w:val="63"/>
        </w:rPr>
        <w:t xml:space="preserve"> </w:t>
      </w:r>
      <w:r>
        <w:rPr>
          <w:rFonts w:ascii="黑体" w:eastAsia="黑体" w:hAnsi="黑体" w:cs="黑体"/>
          <w:b/>
          <w:bCs/>
          <w:spacing w:val="-19"/>
          <w:w w:val="96"/>
        </w:rPr>
        <w:t>食物营养素记录表</w:t>
      </w:r>
    </w:p>
    <w:p w:rsidR="00EA40A3" w:rsidRDefault="00EA40A3">
      <w:pPr>
        <w:spacing w:line="30" w:lineRule="exact"/>
      </w:pPr>
    </w:p>
    <w:tbl>
      <w:tblPr>
        <w:tblStyle w:val="TableNormal"/>
        <w:tblW w:w="733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491"/>
        <w:gridCol w:w="926"/>
        <w:gridCol w:w="841"/>
        <w:gridCol w:w="948"/>
        <w:gridCol w:w="1005"/>
        <w:gridCol w:w="832"/>
        <w:gridCol w:w="1296"/>
      </w:tblGrid>
      <w:tr w:rsidR="00EA40A3">
        <w:trPr>
          <w:trHeight w:val="364"/>
        </w:trPr>
        <w:tc>
          <w:tcPr>
            <w:tcW w:w="1491" w:type="dxa"/>
            <w:tcBorders>
              <w:top w:val="single" w:sz="4" w:space="0" w:color="000000"/>
              <w:bottom w:val="single" w:sz="4" w:space="0" w:color="000000"/>
            </w:tcBorders>
          </w:tcPr>
          <w:p w:rsidR="00EA40A3" w:rsidRDefault="00E86C16">
            <w:pPr>
              <w:spacing w:before="101" w:line="220" w:lineRule="auto"/>
              <w:ind w:left="369"/>
              <w:rPr>
                <w:rFonts w:ascii="宋体" w:eastAsia="宋体" w:hAnsi="宋体" w:cs="宋体"/>
                <w:sz w:val="16"/>
                <w:szCs w:val="16"/>
              </w:rPr>
            </w:pPr>
            <w:r>
              <w:rPr>
                <w:rFonts w:ascii="宋体" w:eastAsia="宋体" w:hAnsi="宋体" w:cs="宋体"/>
                <w:spacing w:val="-4"/>
                <w:sz w:val="16"/>
                <w:szCs w:val="16"/>
              </w:rPr>
              <w:t>类</w:t>
            </w:r>
            <w:r>
              <w:rPr>
                <w:rFonts w:ascii="宋体" w:eastAsia="宋体" w:hAnsi="宋体" w:cs="宋体"/>
                <w:spacing w:val="8"/>
                <w:sz w:val="16"/>
                <w:szCs w:val="16"/>
              </w:rPr>
              <w:t xml:space="preserve">    </w:t>
            </w:r>
            <w:r>
              <w:rPr>
                <w:rFonts w:ascii="宋体" w:eastAsia="宋体" w:hAnsi="宋体" w:cs="宋体"/>
                <w:spacing w:val="-4"/>
                <w:sz w:val="16"/>
                <w:szCs w:val="16"/>
              </w:rPr>
              <w:t>别</w:t>
            </w:r>
          </w:p>
        </w:tc>
        <w:tc>
          <w:tcPr>
            <w:tcW w:w="926" w:type="dxa"/>
            <w:tcBorders>
              <w:top w:val="single" w:sz="4" w:space="0" w:color="000000"/>
              <w:bottom w:val="single" w:sz="4" w:space="0" w:color="000000"/>
            </w:tcBorders>
          </w:tcPr>
          <w:p w:rsidR="00EA40A3" w:rsidRDefault="00E86C16">
            <w:pPr>
              <w:spacing w:before="102" w:line="220" w:lineRule="auto"/>
              <w:ind w:left="139"/>
              <w:rPr>
                <w:rFonts w:ascii="宋体" w:eastAsia="宋体" w:hAnsi="宋体" w:cs="宋体"/>
                <w:sz w:val="16"/>
                <w:szCs w:val="16"/>
              </w:rPr>
            </w:pPr>
            <w:r>
              <w:rPr>
                <w:rFonts w:ascii="宋体" w:eastAsia="宋体" w:hAnsi="宋体" w:cs="宋体"/>
                <w:spacing w:val="-2"/>
                <w:sz w:val="16"/>
                <w:szCs w:val="16"/>
              </w:rPr>
              <w:t>食物名称</w:t>
            </w:r>
          </w:p>
        </w:tc>
        <w:tc>
          <w:tcPr>
            <w:tcW w:w="841" w:type="dxa"/>
            <w:tcBorders>
              <w:top w:val="single" w:sz="4" w:space="0" w:color="000000"/>
              <w:bottom w:val="single" w:sz="4" w:space="0" w:color="000000"/>
            </w:tcBorders>
          </w:tcPr>
          <w:p w:rsidR="00EA40A3" w:rsidRDefault="00E86C16">
            <w:pPr>
              <w:spacing w:before="96" w:line="214" w:lineRule="auto"/>
              <w:ind w:left="162"/>
              <w:rPr>
                <w:rFonts w:ascii="宋体" w:eastAsia="宋体" w:hAnsi="宋体" w:cs="宋体"/>
                <w:sz w:val="16"/>
                <w:szCs w:val="16"/>
              </w:rPr>
            </w:pPr>
            <w:r>
              <w:rPr>
                <w:rFonts w:ascii="宋体" w:eastAsia="宋体" w:hAnsi="宋体" w:cs="宋体"/>
                <w:spacing w:val="-2"/>
                <w:sz w:val="16"/>
                <w:szCs w:val="16"/>
              </w:rPr>
              <w:t>质量/g</w:t>
            </w:r>
          </w:p>
        </w:tc>
        <w:tc>
          <w:tcPr>
            <w:tcW w:w="948" w:type="dxa"/>
            <w:tcBorders>
              <w:top w:val="single" w:sz="4" w:space="0" w:color="000000"/>
              <w:bottom w:val="single" w:sz="4" w:space="0" w:color="000000"/>
            </w:tcBorders>
          </w:tcPr>
          <w:p w:rsidR="00EA40A3" w:rsidRDefault="00E86C16">
            <w:pPr>
              <w:spacing w:before="100" w:line="218" w:lineRule="auto"/>
              <w:ind w:left="211"/>
              <w:rPr>
                <w:rFonts w:ascii="宋体" w:eastAsia="宋体" w:hAnsi="宋体" w:cs="宋体"/>
                <w:sz w:val="16"/>
                <w:szCs w:val="16"/>
              </w:rPr>
            </w:pPr>
            <w:r>
              <w:rPr>
                <w:rFonts w:ascii="宋体" w:eastAsia="宋体" w:hAnsi="宋体" w:cs="宋体"/>
                <w:spacing w:val="-3"/>
                <w:sz w:val="16"/>
                <w:szCs w:val="16"/>
              </w:rPr>
              <w:t>能量/kJ</w:t>
            </w:r>
          </w:p>
        </w:tc>
        <w:tc>
          <w:tcPr>
            <w:tcW w:w="1005" w:type="dxa"/>
            <w:tcBorders>
              <w:top w:val="single" w:sz="4" w:space="0" w:color="000000"/>
              <w:bottom w:val="single" w:sz="4" w:space="0" w:color="000000"/>
            </w:tcBorders>
          </w:tcPr>
          <w:p w:rsidR="00EA40A3" w:rsidRDefault="00E86C16">
            <w:pPr>
              <w:spacing w:before="96" w:line="214" w:lineRule="auto"/>
              <w:ind w:left="193"/>
              <w:rPr>
                <w:rFonts w:ascii="宋体" w:eastAsia="宋体" w:hAnsi="宋体" w:cs="宋体"/>
                <w:sz w:val="16"/>
                <w:szCs w:val="16"/>
              </w:rPr>
            </w:pPr>
            <w:r>
              <w:rPr>
                <w:rFonts w:ascii="宋体" w:eastAsia="宋体" w:hAnsi="宋体" w:cs="宋体"/>
                <w:spacing w:val="-2"/>
                <w:sz w:val="16"/>
                <w:szCs w:val="16"/>
              </w:rPr>
              <w:t>蛋白质/g</w:t>
            </w:r>
          </w:p>
        </w:tc>
        <w:tc>
          <w:tcPr>
            <w:tcW w:w="832" w:type="dxa"/>
            <w:tcBorders>
              <w:top w:val="single" w:sz="4" w:space="0" w:color="000000"/>
              <w:bottom w:val="single" w:sz="4" w:space="0" w:color="000000"/>
            </w:tcBorders>
          </w:tcPr>
          <w:p w:rsidR="00EA40A3" w:rsidRDefault="00E86C16">
            <w:pPr>
              <w:spacing w:before="96" w:line="214" w:lineRule="auto"/>
              <w:ind w:left="188"/>
              <w:rPr>
                <w:rFonts w:ascii="宋体" w:eastAsia="宋体" w:hAnsi="宋体" w:cs="宋体"/>
                <w:sz w:val="16"/>
                <w:szCs w:val="16"/>
              </w:rPr>
            </w:pPr>
            <w:r>
              <w:rPr>
                <w:rFonts w:ascii="宋体" w:eastAsia="宋体" w:hAnsi="宋体" w:cs="宋体"/>
                <w:spacing w:val="-2"/>
                <w:sz w:val="16"/>
                <w:szCs w:val="16"/>
              </w:rPr>
              <w:t>脂肪/g</w:t>
            </w:r>
          </w:p>
        </w:tc>
        <w:tc>
          <w:tcPr>
            <w:tcW w:w="1296" w:type="dxa"/>
            <w:tcBorders>
              <w:top w:val="single" w:sz="4" w:space="0" w:color="000000"/>
              <w:bottom w:val="single" w:sz="4" w:space="0" w:color="000000"/>
            </w:tcBorders>
          </w:tcPr>
          <w:p w:rsidR="00EA40A3" w:rsidRDefault="00E86C16">
            <w:pPr>
              <w:spacing w:before="96" w:line="214" w:lineRule="auto"/>
              <w:ind w:left="176"/>
              <w:rPr>
                <w:rFonts w:ascii="宋体" w:eastAsia="宋体" w:hAnsi="宋体" w:cs="宋体"/>
                <w:sz w:val="16"/>
                <w:szCs w:val="16"/>
              </w:rPr>
            </w:pPr>
            <w:r>
              <w:rPr>
                <w:rFonts w:ascii="宋体" w:eastAsia="宋体" w:hAnsi="宋体" w:cs="宋体"/>
                <w:spacing w:val="-1"/>
                <w:sz w:val="16"/>
                <w:szCs w:val="16"/>
              </w:rPr>
              <w:t>碳水化合物/g</w:t>
            </w:r>
          </w:p>
        </w:tc>
      </w:tr>
      <w:tr w:rsidR="00EA40A3">
        <w:trPr>
          <w:trHeight w:val="339"/>
        </w:trPr>
        <w:tc>
          <w:tcPr>
            <w:tcW w:w="1491" w:type="dxa"/>
            <w:tcBorders>
              <w:top w:val="single" w:sz="4" w:space="0" w:color="000000"/>
              <w:bottom w:val="single" w:sz="4" w:space="0" w:color="000000"/>
            </w:tcBorders>
          </w:tcPr>
          <w:p w:rsidR="00EA40A3" w:rsidRDefault="00E86C16">
            <w:pPr>
              <w:spacing w:before="88" w:line="220" w:lineRule="auto"/>
              <w:ind w:left="560"/>
              <w:rPr>
                <w:rFonts w:ascii="宋体" w:eastAsia="宋体" w:hAnsi="宋体" w:cs="宋体"/>
                <w:sz w:val="16"/>
                <w:szCs w:val="16"/>
              </w:rPr>
            </w:pPr>
            <w:r>
              <w:rPr>
                <w:rFonts w:ascii="宋体" w:eastAsia="宋体" w:hAnsi="宋体" w:cs="宋体"/>
                <w:spacing w:val="-2"/>
                <w:sz w:val="16"/>
                <w:szCs w:val="16"/>
              </w:rPr>
              <w:t>主食</w:t>
            </w:r>
          </w:p>
        </w:tc>
        <w:tc>
          <w:tcPr>
            <w:tcW w:w="926" w:type="dxa"/>
            <w:tcBorders>
              <w:top w:val="single" w:sz="4" w:space="0" w:color="000000"/>
              <w:bottom w:val="single" w:sz="4" w:space="0" w:color="000000"/>
            </w:tcBorders>
          </w:tcPr>
          <w:p w:rsidR="00EA40A3" w:rsidRDefault="00E86C16">
            <w:pPr>
              <w:spacing w:before="87" w:line="219" w:lineRule="auto"/>
              <w:ind w:left="139"/>
              <w:rPr>
                <w:rFonts w:ascii="宋体" w:eastAsia="宋体" w:hAnsi="宋体" w:cs="宋体"/>
                <w:sz w:val="16"/>
                <w:szCs w:val="16"/>
              </w:rPr>
            </w:pPr>
            <w:r>
              <w:rPr>
                <w:rFonts w:ascii="宋体" w:eastAsia="宋体" w:hAnsi="宋体" w:cs="宋体"/>
                <w:spacing w:val="-3"/>
                <w:sz w:val="16"/>
                <w:szCs w:val="16"/>
              </w:rPr>
              <w:t>大米</w:t>
            </w:r>
          </w:p>
        </w:tc>
        <w:tc>
          <w:tcPr>
            <w:tcW w:w="841" w:type="dxa"/>
            <w:tcBorders>
              <w:top w:val="single" w:sz="4" w:space="0" w:color="000000"/>
              <w:bottom w:val="single" w:sz="4" w:space="0" w:color="000000"/>
            </w:tcBorders>
          </w:tcPr>
          <w:p w:rsidR="00EA40A3" w:rsidRDefault="00E86C16">
            <w:pPr>
              <w:spacing w:before="128" w:line="183" w:lineRule="auto"/>
              <w:ind w:left="282"/>
              <w:rPr>
                <w:rFonts w:ascii="宋体" w:eastAsia="宋体" w:hAnsi="宋体" w:cs="宋体"/>
                <w:sz w:val="16"/>
                <w:szCs w:val="16"/>
              </w:rPr>
            </w:pPr>
            <w:r>
              <w:rPr>
                <w:rFonts w:ascii="宋体" w:eastAsia="宋体" w:hAnsi="宋体" w:cs="宋体"/>
                <w:spacing w:val="-3"/>
                <w:sz w:val="16"/>
                <w:szCs w:val="16"/>
              </w:rPr>
              <w:t>300</w:t>
            </w:r>
          </w:p>
        </w:tc>
        <w:tc>
          <w:tcPr>
            <w:tcW w:w="948" w:type="dxa"/>
            <w:tcBorders>
              <w:top w:val="single" w:sz="4" w:space="0" w:color="000000"/>
              <w:bottom w:val="single" w:sz="4" w:space="0" w:color="000000"/>
            </w:tcBorders>
          </w:tcPr>
          <w:p w:rsidR="00EA40A3" w:rsidRDefault="00E86C16">
            <w:pPr>
              <w:spacing w:before="128" w:line="183" w:lineRule="auto"/>
              <w:ind w:left="331"/>
              <w:rPr>
                <w:rFonts w:ascii="宋体" w:eastAsia="宋体" w:hAnsi="宋体" w:cs="宋体"/>
                <w:sz w:val="16"/>
                <w:szCs w:val="16"/>
              </w:rPr>
            </w:pPr>
            <w:r>
              <w:rPr>
                <w:rFonts w:ascii="宋体" w:eastAsia="宋体" w:hAnsi="宋体" w:cs="宋体"/>
                <w:spacing w:val="-2"/>
                <w:sz w:val="16"/>
                <w:szCs w:val="16"/>
              </w:rPr>
              <w:t>4368</w:t>
            </w:r>
          </w:p>
        </w:tc>
        <w:tc>
          <w:tcPr>
            <w:tcW w:w="1005" w:type="dxa"/>
            <w:tcBorders>
              <w:top w:val="single" w:sz="4" w:space="0" w:color="000000"/>
              <w:bottom w:val="single" w:sz="4" w:space="0" w:color="000000"/>
            </w:tcBorders>
          </w:tcPr>
          <w:p w:rsidR="00EA40A3" w:rsidRDefault="00E86C16">
            <w:pPr>
              <w:spacing w:before="128" w:line="183" w:lineRule="auto"/>
              <w:ind w:left="433"/>
              <w:rPr>
                <w:rFonts w:ascii="宋体" w:eastAsia="宋体" w:hAnsi="宋体" w:cs="宋体"/>
                <w:sz w:val="16"/>
                <w:szCs w:val="16"/>
              </w:rPr>
            </w:pPr>
            <w:r>
              <w:rPr>
                <w:rFonts w:ascii="宋体" w:eastAsia="宋体" w:hAnsi="宋体" w:cs="宋体"/>
                <w:spacing w:val="-3"/>
                <w:sz w:val="16"/>
                <w:szCs w:val="16"/>
              </w:rPr>
              <w:t>24</w:t>
            </w:r>
          </w:p>
        </w:tc>
        <w:tc>
          <w:tcPr>
            <w:tcW w:w="832" w:type="dxa"/>
            <w:tcBorders>
              <w:top w:val="single" w:sz="4" w:space="0" w:color="000000"/>
              <w:bottom w:val="single" w:sz="4" w:space="0" w:color="000000"/>
            </w:tcBorders>
          </w:tcPr>
          <w:p w:rsidR="00EA40A3" w:rsidRDefault="00E86C16">
            <w:pPr>
              <w:spacing w:before="128" w:line="183" w:lineRule="auto"/>
              <w:ind w:left="309"/>
              <w:rPr>
                <w:rFonts w:ascii="宋体" w:eastAsia="宋体" w:hAnsi="宋体" w:cs="宋体"/>
                <w:sz w:val="16"/>
                <w:szCs w:val="16"/>
              </w:rPr>
            </w:pPr>
            <w:r>
              <w:rPr>
                <w:rFonts w:ascii="宋体" w:eastAsia="宋体" w:hAnsi="宋体" w:cs="宋体"/>
                <w:spacing w:val="-2"/>
                <w:sz w:val="16"/>
                <w:szCs w:val="16"/>
              </w:rPr>
              <w:t>4.2</w:t>
            </w:r>
          </w:p>
        </w:tc>
        <w:tc>
          <w:tcPr>
            <w:tcW w:w="1296" w:type="dxa"/>
            <w:tcBorders>
              <w:top w:val="single" w:sz="4" w:space="0" w:color="000000"/>
              <w:bottom w:val="single" w:sz="4" w:space="0" w:color="000000"/>
            </w:tcBorders>
          </w:tcPr>
          <w:p w:rsidR="00EA40A3" w:rsidRDefault="00E86C16">
            <w:pPr>
              <w:spacing w:before="128" w:line="183" w:lineRule="auto"/>
              <w:ind w:left="536"/>
              <w:rPr>
                <w:rFonts w:ascii="宋体" w:eastAsia="宋体" w:hAnsi="宋体" w:cs="宋体"/>
                <w:sz w:val="16"/>
                <w:szCs w:val="16"/>
              </w:rPr>
            </w:pPr>
            <w:r>
              <w:rPr>
                <w:rFonts w:ascii="宋体" w:eastAsia="宋体" w:hAnsi="宋体" w:cs="宋体"/>
                <w:spacing w:val="-2"/>
                <w:sz w:val="16"/>
                <w:szCs w:val="16"/>
              </w:rPr>
              <w:t>228</w:t>
            </w:r>
          </w:p>
        </w:tc>
      </w:tr>
      <w:tr w:rsidR="00EA40A3">
        <w:trPr>
          <w:trHeight w:val="319"/>
        </w:trPr>
        <w:tc>
          <w:tcPr>
            <w:tcW w:w="1491" w:type="dxa"/>
            <w:vMerge w:val="restart"/>
            <w:tcBorders>
              <w:top w:val="single" w:sz="4" w:space="0" w:color="000000"/>
              <w:bottom w:val="nil"/>
            </w:tcBorders>
          </w:tcPr>
          <w:p w:rsidR="00EA40A3" w:rsidRDefault="00EA40A3">
            <w:pPr>
              <w:spacing w:line="251" w:lineRule="auto"/>
            </w:pPr>
          </w:p>
          <w:p w:rsidR="00EA40A3" w:rsidRDefault="00EA40A3">
            <w:pPr>
              <w:spacing w:line="252" w:lineRule="auto"/>
            </w:pPr>
          </w:p>
          <w:p w:rsidR="00EA40A3" w:rsidRDefault="00E86C16">
            <w:pPr>
              <w:spacing w:before="52" w:line="219" w:lineRule="auto"/>
              <w:ind w:left="560"/>
              <w:rPr>
                <w:rFonts w:ascii="宋体" w:eastAsia="宋体" w:hAnsi="宋体" w:cs="宋体"/>
                <w:sz w:val="16"/>
                <w:szCs w:val="16"/>
              </w:rPr>
            </w:pPr>
            <w:r>
              <w:rPr>
                <w:rFonts w:ascii="宋体" w:eastAsia="宋体" w:hAnsi="宋体" w:cs="宋体"/>
                <w:spacing w:val="-3"/>
                <w:sz w:val="16"/>
                <w:szCs w:val="16"/>
              </w:rPr>
              <w:t>副食</w:t>
            </w:r>
          </w:p>
        </w:tc>
        <w:tc>
          <w:tcPr>
            <w:tcW w:w="926" w:type="dxa"/>
            <w:tcBorders>
              <w:top w:val="single" w:sz="4" w:space="0" w:color="000000"/>
            </w:tcBorders>
          </w:tcPr>
          <w:p w:rsidR="00EA40A3" w:rsidRDefault="00E86C16">
            <w:pPr>
              <w:spacing w:before="78" w:line="219" w:lineRule="auto"/>
              <w:ind w:left="139"/>
              <w:rPr>
                <w:rFonts w:ascii="宋体" w:eastAsia="宋体" w:hAnsi="宋体" w:cs="宋体"/>
                <w:sz w:val="16"/>
                <w:szCs w:val="16"/>
              </w:rPr>
            </w:pPr>
            <w:r>
              <w:rPr>
                <w:rFonts w:ascii="宋体" w:eastAsia="宋体" w:hAnsi="宋体" w:cs="宋体"/>
                <w:spacing w:val="5"/>
                <w:sz w:val="16"/>
                <w:szCs w:val="16"/>
              </w:rPr>
              <w:t>瘦猪肉</w:t>
            </w:r>
          </w:p>
        </w:tc>
        <w:tc>
          <w:tcPr>
            <w:tcW w:w="841" w:type="dxa"/>
            <w:tcBorders>
              <w:top w:val="single" w:sz="4" w:space="0" w:color="000000"/>
            </w:tcBorders>
          </w:tcPr>
          <w:p w:rsidR="00EA40A3" w:rsidRDefault="00E86C16">
            <w:pPr>
              <w:spacing w:before="120" w:line="182" w:lineRule="auto"/>
              <w:ind w:left="322"/>
              <w:rPr>
                <w:rFonts w:ascii="宋体" w:eastAsia="宋体" w:hAnsi="宋体" w:cs="宋体"/>
                <w:sz w:val="16"/>
                <w:szCs w:val="16"/>
              </w:rPr>
            </w:pPr>
            <w:r>
              <w:rPr>
                <w:rFonts w:ascii="宋体" w:eastAsia="宋体" w:hAnsi="宋体" w:cs="宋体"/>
                <w:spacing w:val="-3"/>
                <w:sz w:val="16"/>
                <w:szCs w:val="16"/>
              </w:rPr>
              <w:t>75</w:t>
            </w:r>
          </w:p>
        </w:tc>
        <w:tc>
          <w:tcPr>
            <w:tcW w:w="948" w:type="dxa"/>
            <w:tcBorders>
              <w:top w:val="single" w:sz="4" w:space="0" w:color="000000"/>
            </w:tcBorders>
          </w:tcPr>
          <w:p w:rsidR="00EA40A3" w:rsidRDefault="00E86C16">
            <w:pPr>
              <w:spacing w:before="119" w:line="184" w:lineRule="auto"/>
              <w:ind w:left="331"/>
              <w:rPr>
                <w:rFonts w:ascii="宋体" w:eastAsia="宋体" w:hAnsi="宋体" w:cs="宋体"/>
                <w:sz w:val="16"/>
                <w:szCs w:val="16"/>
              </w:rPr>
            </w:pPr>
            <w:r>
              <w:rPr>
                <w:rFonts w:ascii="宋体" w:eastAsia="宋体" w:hAnsi="宋体" w:cs="宋体"/>
                <w:spacing w:val="-4"/>
                <w:sz w:val="16"/>
                <w:szCs w:val="16"/>
              </w:rPr>
              <w:t>1112</w:t>
            </w:r>
          </w:p>
        </w:tc>
        <w:tc>
          <w:tcPr>
            <w:tcW w:w="1005" w:type="dxa"/>
            <w:tcBorders>
              <w:top w:val="single" w:sz="4" w:space="0" w:color="000000"/>
            </w:tcBorders>
          </w:tcPr>
          <w:p w:rsidR="00EA40A3" w:rsidRDefault="00E86C16">
            <w:pPr>
              <w:spacing w:before="119" w:line="184" w:lineRule="auto"/>
              <w:ind w:left="354"/>
              <w:rPr>
                <w:rFonts w:ascii="宋体" w:eastAsia="宋体" w:hAnsi="宋体" w:cs="宋体"/>
                <w:sz w:val="16"/>
                <w:szCs w:val="16"/>
              </w:rPr>
            </w:pPr>
            <w:r>
              <w:rPr>
                <w:rFonts w:ascii="宋体" w:eastAsia="宋体" w:hAnsi="宋体" w:cs="宋体"/>
                <w:spacing w:val="-4"/>
                <w:sz w:val="16"/>
                <w:szCs w:val="16"/>
              </w:rPr>
              <w:t>12.5</w:t>
            </w:r>
          </w:p>
        </w:tc>
        <w:tc>
          <w:tcPr>
            <w:tcW w:w="832" w:type="dxa"/>
            <w:tcBorders>
              <w:top w:val="single" w:sz="4" w:space="0" w:color="000000"/>
            </w:tcBorders>
          </w:tcPr>
          <w:p w:rsidR="00EA40A3" w:rsidRDefault="00E86C16">
            <w:pPr>
              <w:spacing w:before="119" w:line="183" w:lineRule="auto"/>
              <w:ind w:left="349"/>
              <w:rPr>
                <w:rFonts w:ascii="宋体" w:eastAsia="宋体" w:hAnsi="宋体" w:cs="宋体"/>
                <w:sz w:val="16"/>
                <w:szCs w:val="16"/>
              </w:rPr>
            </w:pPr>
            <w:r>
              <w:rPr>
                <w:rFonts w:ascii="宋体" w:eastAsia="宋体" w:hAnsi="宋体" w:cs="宋体"/>
                <w:spacing w:val="-3"/>
                <w:sz w:val="16"/>
                <w:szCs w:val="16"/>
              </w:rPr>
              <w:t>24</w:t>
            </w:r>
          </w:p>
        </w:tc>
        <w:tc>
          <w:tcPr>
            <w:tcW w:w="1296" w:type="dxa"/>
            <w:tcBorders>
              <w:top w:val="single" w:sz="4" w:space="0" w:color="000000"/>
            </w:tcBorders>
          </w:tcPr>
          <w:p w:rsidR="00EA40A3" w:rsidRDefault="00E86C16">
            <w:pPr>
              <w:spacing w:before="119" w:line="183" w:lineRule="auto"/>
              <w:ind w:left="616"/>
              <w:rPr>
                <w:rFonts w:ascii="宋体" w:eastAsia="宋体" w:hAnsi="宋体" w:cs="宋体"/>
                <w:sz w:val="16"/>
                <w:szCs w:val="16"/>
              </w:rPr>
            </w:pPr>
            <w:r>
              <w:rPr>
                <w:rFonts w:ascii="宋体" w:eastAsia="宋体" w:hAnsi="宋体" w:cs="宋体"/>
                <w:sz w:val="16"/>
                <w:szCs w:val="16"/>
              </w:rPr>
              <w:t>0</w:t>
            </w:r>
          </w:p>
        </w:tc>
      </w:tr>
      <w:tr w:rsidR="00EA40A3">
        <w:trPr>
          <w:trHeight w:val="328"/>
        </w:trPr>
        <w:tc>
          <w:tcPr>
            <w:tcW w:w="1491" w:type="dxa"/>
            <w:vMerge/>
            <w:tcBorders>
              <w:top w:val="nil"/>
              <w:bottom w:val="nil"/>
            </w:tcBorders>
          </w:tcPr>
          <w:p w:rsidR="00EA40A3" w:rsidRDefault="00EA40A3"/>
        </w:tc>
        <w:tc>
          <w:tcPr>
            <w:tcW w:w="926" w:type="dxa"/>
          </w:tcPr>
          <w:p w:rsidR="00EA40A3" w:rsidRDefault="00E86C16">
            <w:pPr>
              <w:spacing w:before="89" w:line="219" w:lineRule="auto"/>
              <w:ind w:left="139"/>
              <w:rPr>
                <w:rFonts w:ascii="宋体" w:eastAsia="宋体" w:hAnsi="宋体" w:cs="宋体"/>
                <w:sz w:val="16"/>
                <w:szCs w:val="16"/>
              </w:rPr>
            </w:pPr>
            <w:r>
              <w:rPr>
                <w:rFonts w:ascii="宋体" w:eastAsia="宋体" w:hAnsi="宋体" w:cs="宋体"/>
                <w:spacing w:val="-15"/>
                <w:sz w:val="16"/>
                <w:szCs w:val="16"/>
              </w:rPr>
              <w:t>白</w:t>
            </w:r>
            <w:r>
              <w:rPr>
                <w:rFonts w:ascii="宋体" w:eastAsia="宋体" w:hAnsi="宋体" w:cs="宋体"/>
                <w:spacing w:val="21"/>
                <w:sz w:val="16"/>
                <w:szCs w:val="16"/>
              </w:rPr>
              <w:t xml:space="preserve">  </w:t>
            </w:r>
            <w:r>
              <w:rPr>
                <w:rFonts w:ascii="宋体" w:eastAsia="宋体" w:hAnsi="宋体" w:cs="宋体"/>
                <w:spacing w:val="-15"/>
                <w:sz w:val="16"/>
                <w:szCs w:val="16"/>
              </w:rPr>
              <w:t>菜</w:t>
            </w:r>
          </w:p>
        </w:tc>
        <w:tc>
          <w:tcPr>
            <w:tcW w:w="841" w:type="dxa"/>
          </w:tcPr>
          <w:p w:rsidR="00EA40A3" w:rsidRDefault="00E86C16">
            <w:pPr>
              <w:spacing w:before="140" w:line="183" w:lineRule="auto"/>
              <w:ind w:left="282"/>
              <w:rPr>
                <w:rFonts w:ascii="宋体" w:eastAsia="宋体" w:hAnsi="宋体" w:cs="宋体"/>
                <w:sz w:val="16"/>
                <w:szCs w:val="16"/>
              </w:rPr>
            </w:pPr>
            <w:r>
              <w:rPr>
                <w:rFonts w:ascii="宋体" w:eastAsia="宋体" w:hAnsi="宋体" w:cs="宋体"/>
                <w:spacing w:val="-2"/>
                <w:sz w:val="16"/>
                <w:szCs w:val="16"/>
              </w:rPr>
              <w:t>250</w:t>
            </w:r>
          </w:p>
        </w:tc>
        <w:tc>
          <w:tcPr>
            <w:tcW w:w="948" w:type="dxa"/>
          </w:tcPr>
          <w:p w:rsidR="00EA40A3" w:rsidRDefault="00E86C16">
            <w:pPr>
              <w:spacing w:before="130" w:line="184" w:lineRule="auto"/>
              <w:ind w:left="372"/>
              <w:rPr>
                <w:rFonts w:ascii="宋体" w:eastAsia="宋体" w:hAnsi="宋体" w:cs="宋体"/>
                <w:sz w:val="16"/>
                <w:szCs w:val="16"/>
              </w:rPr>
            </w:pPr>
            <w:r>
              <w:rPr>
                <w:rFonts w:ascii="宋体" w:eastAsia="宋体" w:hAnsi="宋体" w:cs="宋体"/>
                <w:spacing w:val="-5"/>
                <w:sz w:val="16"/>
                <w:szCs w:val="16"/>
              </w:rPr>
              <w:t>109</w:t>
            </w:r>
          </w:p>
        </w:tc>
        <w:tc>
          <w:tcPr>
            <w:tcW w:w="1005" w:type="dxa"/>
          </w:tcPr>
          <w:p w:rsidR="00EA40A3" w:rsidRDefault="00E86C16">
            <w:pPr>
              <w:spacing w:before="120" w:line="184" w:lineRule="auto"/>
              <w:ind w:left="393"/>
              <w:rPr>
                <w:rFonts w:ascii="宋体" w:eastAsia="宋体" w:hAnsi="宋体" w:cs="宋体"/>
                <w:sz w:val="16"/>
                <w:szCs w:val="16"/>
              </w:rPr>
            </w:pPr>
            <w:r>
              <w:rPr>
                <w:rFonts w:ascii="宋体" w:eastAsia="宋体" w:hAnsi="宋体" w:cs="宋体"/>
                <w:spacing w:val="-5"/>
                <w:sz w:val="16"/>
                <w:szCs w:val="16"/>
              </w:rPr>
              <w:t>1.8</w:t>
            </w:r>
          </w:p>
        </w:tc>
        <w:tc>
          <w:tcPr>
            <w:tcW w:w="832" w:type="dxa"/>
          </w:tcPr>
          <w:p w:rsidR="00EA40A3" w:rsidRDefault="00E86C16">
            <w:pPr>
              <w:spacing w:before="120" w:line="183" w:lineRule="auto"/>
              <w:ind w:left="309"/>
              <w:rPr>
                <w:rFonts w:ascii="宋体" w:eastAsia="宋体" w:hAnsi="宋体" w:cs="宋体"/>
                <w:sz w:val="16"/>
                <w:szCs w:val="16"/>
              </w:rPr>
            </w:pPr>
            <w:r>
              <w:rPr>
                <w:rFonts w:ascii="宋体" w:eastAsia="宋体" w:hAnsi="宋体" w:cs="宋体"/>
                <w:spacing w:val="-2"/>
                <w:sz w:val="16"/>
                <w:szCs w:val="16"/>
              </w:rPr>
              <w:t>0.3</w:t>
            </w:r>
          </w:p>
        </w:tc>
        <w:tc>
          <w:tcPr>
            <w:tcW w:w="1296" w:type="dxa"/>
          </w:tcPr>
          <w:p w:rsidR="00EA40A3" w:rsidRDefault="00E86C16">
            <w:pPr>
              <w:spacing w:before="130" w:line="183" w:lineRule="auto"/>
              <w:ind w:left="616"/>
              <w:rPr>
                <w:rFonts w:ascii="宋体" w:eastAsia="宋体" w:hAnsi="宋体" w:cs="宋体"/>
                <w:sz w:val="16"/>
                <w:szCs w:val="16"/>
              </w:rPr>
            </w:pPr>
            <w:r>
              <w:rPr>
                <w:rFonts w:ascii="宋体" w:eastAsia="宋体" w:hAnsi="宋体" w:cs="宋体"/>
                <w:sz w:val="16"/>
                <w:szCs w:val="16"/>
              </w:rPr>
              <w:t>4</w:t>
            </w:r>
          </w:p>
        </w:tc>
      </w:tr>
      <w:tr w:rsidR="00EA40A3">
        <w:trPr>
          <w:trHeight w:val="306"/>
        </w:trPr>
        <w:tc>
          <w:tcPr>
            <w:tcW w:w="1491" w:type="dxa"/>
            <w:vMerge/>
            <w:tcBorders>
              <w:top w:val="nil"/>
              <w:bottom w:val="nil"/>
            </w:tcBorders>
          </w:tcPr>
          <w:p w:rsidR="00EA40A3" w:rsidRDefault="00EA40A3"/>
        </w:tc>
        <w:tc>
          <w:tcPr>
            <w:tcW w:w="926" w:type="dxa"/>
          </w:tcPr>
          <w:p w:rsidR="00EA40A3" w:rsidRDefault="00E86C16">
            <w:pPr>
              <w:spacing w:before="80" w:line="219" w:lineRule="auto"/>
              <w:ind w:left="139"/>
              <w:rPr>
                <w:rFonts w:ascii="宋体" w:eastAsia="宋体" w:hAnsi="宋体" w:cs="宋体"/>
                <w:sz w:val="16"/>
                <w:szCs w:val="16"/>
              </w:rPr>
            </w:pPr>
            <w:r>
              <w:rPr>
                <w:rFonts w:ascii="宋体" w:eastAsia="宋体" w:hAnsi="宋体" w:cs="宋体"/>
                <w:spacing w:val="-3"/>
                <w:sz w:val="16"/>
                <w:szCs w:val="16"/>
              </w:rPr>
              <w:t>芥菜</w:t>
            </w:r>
          </w:p>
        </w:tc>
        <w:tc>
          <w:tcPr>
            <w:tcW w:w="841" w:type="dxa"/>
          </w:tcPr>
          <w:p w:rsidR="00EA40A3" w:rsidRDefault="00E86C16">
            <w:pPr>
              <w:spacing w:before="132" w:line="184" w:lineRule="auto"/>
              <w:ind w:left="282"/>
              <w:rPr>
                <w:rFonts w:ascii="宋体" w:eastAsia="宋体" w:hAnsi="宋体" w:cs="宋体"/>
                <w:sz w:val="16"/>
                <w:szCs w:val="16"/>
              </w:rPr>
            </w:pPr>
            <w:r>
              <w:rPr>
                <w:rFonts w:ascii="宋体" w:eastAsia="宋体" w:hAnsi="宋体" w:cs="宋体"/>
                <w:spacing w:val="-5"/>
                <w:sz w:val="16"/>
                <w:szCs w:val="16"/>
              </w:rPr>
              <w:t>150</w:t>
            </w:r>
          </w:p>
        </w:tc>
        <w:tc>
          <w:tcPr>
            <w:tcW w:w="948" w:type="dxa"/>
          </w:tcPr>
          <w:p w:rsidR="00EA40A3" w:rsidRDefault="00E86C16">
            <w:pPr>
              <w:spacing w:before="122" w:line="184" w:lineRule="auto"/>
              <w:ind w:left="372"/>
              <w:rPr>
                <w:rFonts w:ascii="宋体" w:eastAsia="宋体" w:hAnsi="宋体" w:cs="宋体"/>
                <w:sz w:val="16"/>
                <w:szCs w:val="16"/>
              </w:rPr>
            </w:pPr>
            <w:r>
              <w:rPr>
                <w:rFonts w:ascii="宋体" w:eastAsia="宋体" w:hAnsi="宋体" w:cs="宋体"/>
                <w:spacing w:val="-5"/>
                <w:sz w:val="16"/>
                <w:szCs w:val="16"/>
              </w:rPr>
              <w:t>117</w:t>
            </w:r>
          </w:p>
        </w:tc>
        <w:tc>
          <w:tcPr>
            <w:tcW w:w="1005" w:type="dxa"/>
          </w:tcPr>
          <w:p w:rsidR="00EA40A3" w:rsidRDefault="00E86C16">
            <w:pPr>
              <w:spacing w:before="112" w:line="183" w:lineRule="auto"/>
              <w:ind w:left="393"/>
              <w:rPr>
                <w:rFonts w:ascii="宋体" w:eastAsia="宋体" w:hAnsi="宋体" w:cs="宋体"/>
                <w:sz w:val="16"/>
                <w:szCs w:val="16"/>
              </w:rPr>
            </w:pPr>
            <w:r>
              <w:rPr>
                <w:rFonts w:ascii="宋体" w:eastAsia="宋体" w:hAnsi="宋体" w:cs="宋体"/>
                <w:spacing w:val="-3"/>
                <w:sz w:val="16"/>
                <w:szCs w:val="16"/>
              </w:rPr>
              <w:t>3.3</w:t>
            </w:r>
          </w:p>
        </w:tc>
        <w:tc>
          <w:tcPr>
            <w:tcW w:w="832" w:type="dxa"/>
          </w:tcPr>
          <w:p w:rsidR="00EA40A3" w:rsidRDefault="00E86C16">
            <w:pPr>
              <w:spacing w:before="112" w:line="183" w:lineRule="auto"/>
              <w:ind w:left="309"/>
              <w:rPr>
                <w:rFonts w:ascii="宋体" w:eastAsia="宋体" w:hAnsi="宋体" w:cs="宋体"/>
                <w:sz w:val="16"/>
                <w:szCs w:val="16"/>
              </w:rPr>
            </w:pPr>
            <w:r>
              <w:rPr>
                <w:rFonts w:ascii="宋体" w:eastAsia="宋体" w:hAnsi="宋体" w:cs="宋体"/>
                <w:spacing w:val="-2"/>
                <w:sz w:val="16"/>
                <w:szCs w:val="16"/>
              </w:rPr>
              <w:t>0.4</w:t>
            </w:r>
          </w:p>
        </w:tc>
        <w:tc>
          <w:tcPr>
            <w:tcW w:w="1296" w:type="dxa"/>
          </w:tcPr>
          <w:p w:rsidR="00EA40A3" w:rsidRDefault="00E86C16">
            <w:pPr>
              <w:spacing w:before="112" w:line="183" w:lineRule="auto"/>
              <w:ind w:left="616"/>
              <w:rPr>
                <w:rFonts w:ascii="宋体" w:eastAsia="宋体" w:hAnsi="宋体" w:cs="宋体"/>
                <w:sz w:val="16"/>
                <w:szCs w:val="16"/>
              </w:rPr>
            </w:pPr>
            <w:r>
              <w:rPr>
                <w:rFonts w:ascii="宋体" w:eastAsia="宋体" w:hAnsi="宋体" w:cs="宋体"/>
                <w:sz w:val="16"/>
                <w:szCs w:val="16"/>
              </w:rPr>
              <w:t>3</w:t>
            </w:r>
          </w:p>
        </w:tc>
      </w:tr>
      <w:tr w:rsidR="00EA40A3">
        <w:trPr>
          <w:trHeight w:val="282"/>
        </w:trPr>
        <w:tc>
          <w:tcPr>
            <w:tcW w:w="1491" w:type="dxa"/>
            <w:vMerge/>
            <w:tcBorders>
              <w:top w:val="nil"/>
              <w:bottom w:val="single" w:sz="4" w:space="0" w:color="000000"/>
            </w:tcBorders>
          </w:tcPr>
          <w:p w:rsidR="00EA40A3" w:rsidRDefault="00EA40A3"/>
        </w:tc>
        <w:tc>
          <w:tcPr>
            <w:tcW w:w="926" w:type="dxa"/>
            <w:tcBorders>
              <w:bottom w:val="single" w:sz="4" w:space="0" w:color="000000"/>
            </w:tcBorders>
          </w:tcPr>
          <w:p w:rsidR="00EA40A3" w:rsidRDefault="00E86C16">
            <w:pPr>
              <w:spacing w:before="69" w:line="224" w:lineRule="auto"/>
              <w:ind w:left="139"/>
              <w:rPr>
                <w:rFonts w:ascii="宋体" w:eastAsia="宋体" w:hAnsi="宋体" w:cs="宋体"/>
                <w:sz w:val="16"/>
                <w:szCs w:val="16"/>
              </w:rPr>
            </w:pPr>
            <w:r>
              <w:rPr>
                <w:rFonts w:ascii="宋体" w:eastAsia="宋体" w:hAnsi="宋体" w:cs="宋体"/>
                <w:spacing w:val="8"/>
                <w:sz w:val="16"/>
                <w:szCs w:val="16"/>
              </w:rPr>
              <w:t>豆油</w:t>
            </w:r>
          </w:p>
        </w:tc>
        <w:tc>
          <w:tcPr>
            <w:tcW w:w="841" w:type="dxa"/>
            <w:tcBorders>
              <w:bottom w:val="single" w:sz="4" w:space="0" w:color="000000"/>
            </w:tcBorders>
          </w:tcPr>
          <w:p w:rsidR="00EA40A3" w:rsidRDefault="00E86C16">
            <w:pPr>
              <w:spacing w:before="106" w:line="184" w:lineRule="auto"/>
              <w:ind w:left="322"/>
              <w:rPr>
                <w:rFonts w:ascii="宋体" w:eastAsia="宋体" w:hAnsi="宋体" w:cs="宋体"/>
                <w:sz w:val="16"/>
                <w:szCs w:val="16"/>
              </w:rPr>
            </w:pPr>
            <w:r>
              <w:rPr>
                <w:rFonts w:ascii="宋体" w:eastAsia="宋体" w:hAnsi="宋体" w:cs="宋体"/>
                <w:spacing w:val="-5"/>
                <w:sz w:val="16"/>
                <w:szCs w:val="16"/>
              </w:rPr>
              <w:t>10</w:t>
            </w:r>
          </w:p>
        </w:tc>
        <w:tc>
          <w:tcPr>
            <w:tcW w:w="948" w:type="dxa"/>
            <w:tcBorders>
              <w:bottom w:val="single" w:sz="4" w:space="0" w:color="000000"/>
            </w:tcBorders>
          </w:tcPr>
          <w:p w:rsidR="00EA40A3" w:rsidRDefault="00E86C16">
            <w:pPr>
              <w:spacing w:before="106" w:line="183" w:lineRule="auto"/>
              <w:ind w:left="372"/>
              <w:rPr>
                <w:rFonts w:ascii="宋体" w:eastAsia="宋体" w:hAnsi="宋体" w:cs="宋体"/>
                <w:sz w:val="16"/>
                <w:szCs w:val="16"/>
              </w:rPr>
            </w:pPr>
            <w:r>
              <w:rPr>
                <w:rFonts w:ascii="宋体" w:eastAsia="宋体" w:hAnsi="宋体" w:cs="宋体"/>
                <w:spacing w:val="-3"/>
                <w:sz w:val="16"/>
                <w:szCs w:val="16"/>
              </w:rPr>
              <w:t>376</w:t>
            </w:r>
          </w:p>
        </w:tc>
        <w:tc>
          <w:tcPr>
            <w:tcW w:w="1005" w:type="dxa"/>
            <w:tcBorders>
              <w:bottom w:val="single" w:sz="4" w:space="0" w:color="000000"/>
            </w:tcBorders>
          </w:tcPr>
          <w:p w:rsidR="00EA40A3" w:rsidRDefault="00EA40A3"/>
        </w:tc>
        <w:tc>
          <w:tcPr>
            <w:tcW w:w="832" w:type="dxa"/>
            <w:tcBorders>
              <w:bottom w:val="single" w:sz="4" w:space="0" w:color="000000"/>
            </w:tcBorders>
          </w:tcPr>
          <w:p w:rsidR="00EA40A3" w:rsidRDefault="00E86C16">
            <w:pPr>
              <w:spacing w:before="106" w:line="184" w:lineRule="auto"/>
              <w:ind w:left="349"/>
              <w:rPr>
                <w:rFonts w:ascii="宋体" w:eastAsia="宋体" w:hAnsi="宋体" w:cs="宋体"/>
                <w:sz w:val="16"/>
                <w:szCs w:val="16"/>
              </w:rPr>
            </w:pPr>
            <w:r>
              <w:rPr>
                <w:rFonts w:ascii="宋体" w:eastAsia="宋体" w:hAnsi="宋体" w:cs="宋体"/>
                <w:spacing w:val="-5"/>
                <w:sz w:val="16"/>
                <w:szCs w:val="16"/>
              </w:rPr>
              <w:t>10</w:t>
            </w:r>
          </w:p>
        </w:tc>
        <w:tc>
          <w:tcPr>
            <w:tcW w:w="1296" w:type="dxa"/>
            <w:tcBorders>
              <w:bottom w:val="single" w:sz="4" w:space="0" w:color="000000"/>
            </w:tcBorders>
          </w:tcPr>
          <w:p w:rsidR="00EA40A3" w:rsidRDefault="00EA40A3"/>
        </w:tc>
      </w:tr>
      <w:tr w:rsidR="00EA40A3">
        <w:trPr>
          <w:trHeight w:val="349"/>
        </w:trPr>
        <w:tc>
          <w:tcPr>
            <w:tcW w:w="1491" w:type="dxa"/>
            <w:tcBorders>
              <w:top w:val="single" w:sz="4" w:space="0" w:color="000000"/>
            </w:tcBorders>
          </w:tcPr>
          <w:p w:rsidR="00EA40A3" w:rsidRDefault="00E86C16">
            <w:pPr>
              <w:spacing w:before="103" w:line="219" w:lineRule="auto"/>
              <w:ind w:left="89"/>
              <w:rPr>
                <w:rFonts w:ascii="宋体" w:eastAsia="宋体" w:hAnsi="宋体" w:cs="宋体"/>
                <w:sz w:val="16"/>
                <w:szCs w:val="16"/>
              </w:rPr>
            </w:pPr>
            <w:r>
              <w:rPr>
                <w:rFonts w:ascii="宋体" w:eastAsia="宋体" w:hAnsi="宋体" w:cs="宋体"/>
                <w:spacing w:val="-1"/>
                <w:sz w:val="16"/>
                <w:szCs w:val="16"/>
              </w:rPr>
              <w:t>食物营养量总和</w:t>
            </w:r>
          </w:p>
        </w:tc>
        <w:tc>
          <w:tcPr>
            <w:tcW w:w="926" w:type="dxa"/>
            <w:tcBorders>
              <w:top w:val="single" w:sz="4" w:space="0" w:color="000000"/>
            </w:tcBorders>
          </w:tcPr>
          <w:p w:rsidR="00EA40A3" w:rsidRDefault="00EA40A3"/>
        </w:tc>
        <w:tc>
          <w:tcPr>
            <w:tcW w:w="841" w:type="dxa"/>
            <w:tcBorders>
              <w:top w:val="single" w:sz="4" w:space="0" w:color="000000"/>
            </w:tcBorders>
          </w:tcPr>
          <w:p w:rsidR="00EA40A3" w:rsidRDefault="00EA40A3"/>
        </w:tc>
        <w:tc>
          <w:tcPr>
            <w:tcW w:w="948" w:type="dxa"/>
            <w:tcBorders>
              <w:top w:val="single" w:sz="4" w:space="0" w:color="000000"/>
            </w:tcBorders>
          </w:tcPr>
          <w:p w:rsidR="00EA40A3" w:rsidRDefault="00E86C16">
            <w:pPr>
              <w:spacing w:before="144" w:line="183" w:lineRule="auto"/>
              <w:ind w:left="331"/>
              <w:rPr>
                <w:rFonts w:ascii="宋体" w:eastAsia="宋体" w:hAnsi="宋体" w:cs="宋体"/>
                <w:sz w:val="16"/>
                <w:szCs w:val="16"/>
              </w:rPr>
            </w:pPr>
            <w:r>
              <w:rPr>
                <w:rFonts w:ascii="宋体" w:eastAsia="宋体" w:hAnsi="宋体" w:cs="宋体"/>
                <w:spacing w:val="-2"/>
                <w:sz w:val="16"/>
                <w:szCs w:val="16"/>
              </w:rPr>
              <w:t>6082</w:t>
            </w:r>
          </w:p>
        </w:tc>
        <w:tc>
          <w:tcPr>
            <w:tcW w:w="1005" w:type="dxa"/>
            <w:tcBorders>
              <w:top w:val="single" w:sz="4" w:space="0" w:color="000000"/>
            </w:tcBorders>
          </w:tcPr>
          <w:p w:rsidR="00EA40A3" w:rsidRDefault="00E86C16">
            <w:pPr>
              <w:spacing w:before="144" w:line="184" w:lineRule="auto"/>
              <w:ind w:left="354"/>
              <w:rPr>
                <w:rFonts w:ascii="宋体" w:eastAsia="宋体" w:hAnsi="宋体" w:cs="宋体"/>
                <w:sz w:val="16"/>
                <w:szCs w:val="16"/>
              </w:rPr>
            </w:pPr>
            <w:r>
              <w:rPr>
                <w:rFonts w:ascii="宋体" w:eastAsia="宋体" w:hAnsi="宋体" w:cs="宋体"/>
                <w:spacing w:val="-2"/>
                <w:sz w:val="16"/>
                <w:szCs w:val="16"/>
              </w:rPr>
              <w:t>41.6</w:t>
            </w:r>
          </w:p>
        </w:tc>
        <w:tc>
          <w:tcPr>
            <w:tcW w:w="832" w:type="dxa"/>
            <w:tcBorders>
              <w:top w:val="single" w:sz="4" w:space="0" w:color="000000"/>
            </w:tcBorders>
          </w:tcPr>
          <w:p w:rsidR="00EA40A3" w:rsidRDefault="00E86C16">
            <w:pPr>
              <w:spacing w:before="144" w:line="183" w:lineRule="auto"/>
              <w:ind w:left="268"/>
              <w:rPr>
                <w:rFonts w:ascii="宋体" w:eastAsia="宋体" w:hAnsi="宋体" w:cs="宋体"/>
                <w:sz w:val="16"/>
                <w:szCs w:val="16"/>
              </w:rPr>
            </w:pPr>
            <w:r>
              <w:rPr>
                <w:rFonts w:ascii="宋体" w:eastAsia="宋体" w:hAnsi="宋体" w:cs="宋体"/>
                <w:spacing w:val="-2"/>
                <w:sz w:val="16"/>
                <w:szCs w:val="16"/>
              </w:rPr>
              <w:t>38.9</w:t>
            </w:r>
          </w:p>
        </w:tc>
        <w:tc>
          <w:tcPr>
            <w:tcW w:w="1296" w:type="dxa"/>
            <w:tcBorders>
              <w:top w:val="single" w:sz="4" w:space="0" w:color="000000"/>
            </w:tcBorders>
          </w:tcPr>
          <w:p w:rsidR="00EA40A3" w:rsidRDefault="00E86C16">
            <w:pPr>
              <w:spacing w:before="144" w:line="183" w:lineRule="auto"/>
              <w:ind w:left="536"/>
              <w:rPr>
                <w:rFonts w:ascii="宋体" w:eastAsia="宋体" w:hAnsi="宋体" w:cs="宋体"/>
                <w:sz w:val="16"/>
                <w:szCs w:val="16"/>
              </w:rPr>
            </w:pPr>
            <w:r>
              <w:rPr>
                <w:rFonts w:ascii="宋体" w:eastAsia="宋体" w:hAnsi="宋体" w:cs="宋体"/>
                <w:spacing w:val="-2"/>
                <w:sz w:val="16"/>
                <w:szCs w:val="16"/>
              </w:rPr>
              <w:t>235</w:t>
            </w:r>
          </w:p>
        </w:tc>
      </w:tr>
      <w:tr w:rsidR="00EA40A3">
        <w:trPr>
          <w:trHeight w:val="339"/>
        </w:trPr>
        <w:tc>
          <w:tcPr>
            <w:tcW w:w="1491" w:type="dxa"/>
          </w:tcPr>
          <w:p w:rsidR="00EA40A3" w:rsidRDefault="00E86C16">
            <w:pPr>
              <w:spacing w:before="104" w:line="219" w:lineRule="auto"/>
              <w:ind w:left="89"/>
              <w:rPr>
                <w:rFonts w:ascii="宋体" w:eastAsia="宋体" w:hAnsi="宋体" w:cs="宋体"/>
                <w:sz w:val="16"/>
                <w:szCs w:val="16"/>
              </w:rPr>
            </w:pPr>
            <w:r>
              <w:rPr>
                <w:rFonts w:ascii="宋体" w:eastAsia="宋体" w:hAnsi="宋体" w:cs="宋体"/>
                <w:spacing w:val="-2"/>
                <w:sz w:val="16"/>
                <w:szCs w:val="16"/>
              </w:rPr>
              <w:t>营养素摄入量标准</w:t>
            </w:r>
          </w:p>
        </w:tc>
        <w:tc>
          <w:tcPr>
            <w:tcW w:w="926" w:type="dxa"/>
          </w:tcPr>
          <w:p w:rsidR="00EA40A3" w:rsidRDefault="00EA40A3"/>
        </w:tc>
        <w:tc>
          <w:tcPr>
            <w:tcW w:w="841" w:type="dxa"/>
          </w:tcPr>
          <w:p w:rsidR="00EA40A3" w:rsidRDefault="00EA40A3"/>
        </w:tc>
        <w:tc>
          <w:tcPr>
            <w:tcW w:w="948" w:type="dxa"/>
          </w:tcPr>
          <w:p w:rsidR="00EA40A3" w:rsidRDefault="00E86C16">
            <w:pPr>
              <w:spacing w:before="145" w:line="183" w:lineRule="auto"/>
              <w:ind w:left="331"/>
              <w:rPr>
                <w:rFonts w:ascii="宋体" w:eastAsia="宋体" w:hAnsi="宋体" w:cs="宋体"/>
                <w:sz w:val="16"/>
                <w:szCs w:val="16"/>
              </w:rPr>
            </w:pPr>
            <w:r>
              <w:rPr>
                <w:rFonts w:ascii="宋体" w:eastAsia="宋体" w:hAnsi="宋体" w:cs="宋体"/>
                <w:spacing w:val="-2"/>
                <w:sz w:val="16"/>
                <w:szCs w:val="16"/>
              </w:rPr>
              <w:t>6270</w:t>
            </w:r>
          </w:p>
        </w:tc>
        <w:tc>
          <w:tcPr>
            <w:tcW w:w="1005" w:type="dxa"/>
          </w:tcPr>
          <w:p w:rsidR="00EA40A3" w:rsidRDefault="00E86C16">
            <w:pPr>
              <w:spacing w:before="145" w:line="183" w:lineRule="auto"/>
              <w:ind w:left="433"/>
              <w:rPr>
                <w:rFonts w:ascii="宋体" w:eastAsia="宋体" w:hAnsi="宋体" w:cs="宋体"/>
                <w:sz w:val="16"/>
                <w:szCs w:val="16"/>
              </w:rPr>
            </w:pPr>
            <w:r>
              <w:rPr>
                <w:rFonts w:ascii="宋体" w:eastAsia="宋体" w:hAnsi="宋体" w:cs="宋体"/>
                <w:spacing w:val="-2"/>
                <w:sz w:val="16"/>
                <w:szCs w:val="16"/>
              </w:rPr>
              <w:t>45</w:t>
            </w:r>
          </w:p>
        </w:tc>
        <w:tc>
          <w:tcPr>
            <w:tcW w:w="832" w:type="dxa"/>
          </w:tcPr>
          <w:p w:rsidR="00EA40A3" w:rsidRDefault="00E86C16">
            <w:pPr>
              <w:spacing w:before="145" w:line="183" w:lineRule="auto"/>
              <w:ind w:left="349"/>
              <w:rPr>
                <w:rFonts w:ascii="宋体" w:eastAsia="宋体" w:hAnsi="宋体" w:cs="宋体"/>
                <w:sz w:val="16"/>
                <w:szCs w:val="16"/>
              </w:rPr>
            </w:pPr>
            <w:r>
              <w:rPr>
                <w:rFonts w:ascii="宋体" w:eastAsia="宋体" w:hAnsi="宋体" w:cs="宋体"/>
                <w:spacing w:val="-3"/>
                <w:sz w:val="16"/>
                <w:szCs w:val="16"/>
              </w:rPr>
              <w:t>38</w:t>
            </w:r>
          </w:p>
        </w:tc>
        <w:tc>
          <w:tcPr>
            <w:tcW w:w="1296" w:type="dxa"/>
          </w:tcPr>
          <w:p w:rsidR="00EA40A3" w:rsidRDefault="00E86C16">
            <w:pPr>
              <w:spacing w:before="145" w:line="183" w:lineRule="auto"/>
              <w:ind w:left="536"/>
              <w:rPr>
                <w:rFonts w:ascii="宋体" w:eastAsia="宋体" w:hAnsi="宋体" w:cs="宋体"/>
                <w:sz w:val="16"/>
                <w:szCs w:val="16"/>
              </w:rPr>
            </w:pPr>
            <w:r>
              <w:rPr>
                <w:rFonts w:ascii="宋体" w:eastAsia="宋体" w:hAnsi="宋体" w:cs="宋体"/>
                <w:spacing w:val="-2"/>
                <w:sz w:val="16"/>
                <w:szCs w:val="16"/>
              </w:rPr>
              <w:t>240</w:t>
            </w:r>
          </w:p>
        </w:tc>
      </w:tr>
      <w:tr w:rsidR="00EA40A3">
        <w:trPr>
          <w:trHeight w:val="324"/>
        </w:trPr>
        <w:tc>
          <w:tcPr>
            <w:tcW w:w="1491" w:type="dxa"/>
            <w:tcBorders>
              <w:bottom w:val="single" w:sz="4" w:space="0" w:color="000000"/>
            </w:tcBorders>
          </w:tcPr>
          <w:p w:rsidR="00EA40A3" w:rsidRDefault="00E86C16">
            <w:pPr>
              <w:spacing w:before="96" w:line="220" w:lineRule="auto"/>
              <w:ind w:left="89"/>
              <w:rPr>
                <w:rFonts w:ascii="宋体" w:eastAsia="宋体" w:hAnsi="宋体" w:cs="宋体"/>
                <w:sz w:val="16"/>
                <w:szCs w:val="16"/>
              </w:rPr>
            </w:pPr>
            <w:r>
              <w:rPr>
                <w:rFonts w:ascii="宋体" w:eastAsia="宋体" w:hAnsi="宋体" w:cs="宋体"/>
                <w:spacing w:val="-2"/>
                <w:sz w:val="16"/>
                <w:szCs w:val="16"/>
              </w:rPr>
              <w:t>与摄入量标准比较</w:t>
            </w:r>
          </w:p>
        </w:tc>
        <w:tc>
          <w:tcPr>
            <w:tcW w:w="926" w:type="dxa"/>
            <w:tcBorders>
              <w:bottom w:val="single" w:sz="4" w:space="0" w:color="000000"/>
            </w:tcBorders>
          </w:tcPr>
          <w:p w:rsidR="00EA40A3" w:rsidRDefault="00EA40A3"/>
        </w:tc>
        <w:tc>
          <w:tcPr>
            <w:tcW w:w="841" w:type="dxa"/>
            <w:tcBorders>
              <w:bottom w:val="single" w:sz="4" w:space="0" w:color="000000"/>
            </w:tcBorders>
          </w:tcPr>
          <w:p w:rsidR="00EA40A3" w:rsidRDefault="00EA40A3"/>
        </w:tc>
        <w:tc>
          <w:tcPr>
            <w:tcW w:w="948" w:type="dxa"/>
            <w:tcBorders>
              <w:bottom w:val="single" w:sz="4" w:space="0" w:color="000000"/>
            </w:tcBorders>
          </w:tcPr>
          <w:p w:rsidR="00EA40A3" w:rsidRDefault="00E86C16">
            <w:pPr>
              <w:spacing w:before="136" w:line="183" w:lineRule="auto"/>
              <w:ind w:left="251"/>
              <w:rPr>
                <w:rFonts w:ascii="宋体" w:eastAsia="宋体" w:hAnsi="宋体" w:cs="宋体"/>
                <w:sz w:val="16"/>
                <w:szCs w:val="16"/>
              </w:rPr>
            </w:pPr>
            <w:r>
              <w:rPr>
                <w:rFonts w:ascii="宋体" w:eastAsia="宋体" w:hAnsi="宋体" w:cs="宋体"/>
                <w:spacing w:val="-1"/>
                <w:sz w:val="16"/>
                <w:szCs w:val="16"/>
              </w:rPr>
              <w:t>—3.0%</w:t>
            </w:r>
          </w:p>
        </w:tc>
        <w:tc>
          <w:tcPr>
            <w:tcW w:w="1005" w:type="dxa"/>
            <w:tcBorders>
              <w:bottom w:val="single" w:sz="4" w:space="0" w:color="000000"/>
            </w:tcBorders>
          </w:tcPr>
          <w:p w:rsidR="00EA40A3" w:rsidRDefault="00E86C16">
            <w:pPr>
              <w:spacing w:before="136" w:line="183" w:lineRule="auto"/>
              <w:ind w:left="314"/>
              <w:rPr>
                <w:rFonts w:ascii="宋体" w:eastAsia="宋体" w:hAnsi="宋体" w:cs="宋体"/>
                <w:sz w:val="16"/>
                <w:szCs w:val="16"/>
              </w:rPr>
            </w:pPr>
            <w:r>
              <w:rPr>
                <w:rFonts w:ascii="宋体" w:eastAsia="宋体" w:hAnsi="宋体" w:cs="宋体"/>
                <w:spacing w:val="-1"/>
                <w:sz w:val="16"/>
                <w:szCs w:val="16"/>
              </w:rPr>
              <w:t>-7.6%</w:t>
            </w:r>
          </w:p>
        </w:tc>
        <w:tc>
          <w:tcPr>
            <w:tcW w:w="832" w:type="dxa"/>
            <w:tcBorders>
              <w:bottom w:val="single" w:sz="4" w:space="0" w:color="000000"/>
            </w:tcBorders>
          </w:tcPr>
          <w:p w:rsidR="00EA40A3" w:rsidRDefault="00E86C16">
            <w:pPr>
              <w:spacing w:before="136" w:line="183" w:lineRule="auto"/>
              <w:ind w:left="268"/>
              <w:rPr>
                <w:rFonts w:ascii="宋体" w:eastAsia="宋体" w:hAnsi="宋体" w:cs="宋体"/>
                <w:sz w:val="16"/>
                <w:szCs w:val="16"/>
              </w:rPr>
            </w:pPr>
            <w:r>
              <w:rPr>
                <w:rFonts w:ascii="宋体" w:eastAsia="宋体" w:hAnsi="宋体" w:cs="宋体"/>
                <w:spacing w:val="-3"/>
                <w:sz w:val="16"/>
                <w:szCs w:val="16"/>
              </w:rPr>
              <w:t>2.4%</w:t>
            </w:r>
          </w:p>
        </w:tc>
        <w:tc>
          <w:tcPr>
            <w:tcW w:w="1296" w:type="dxa"/>
            <w:tcBorders>
              <w:bottom w:val="single" w:sz="4" w:space="0" w:color="000000"/>
            </w:tcBorders>
          </w:tcPr>
          <w:p w:rsidR="00EA40A3" w:rsidRDefault="00E86C16">
            <w:pPr>
              <w:spacing w:before="136" w:line="184" w:lineRule="auto"/>
              <w:ind w:left="457"/>
              <w:rPr>
                <w:rFonts w:ascii="宋体" w:eastAsia="宋体" w:hAnsi="宋体" w:cs="宋体"/>
                <w:sz w:val="16"/>
                <w:szCs w:val="16"/>
              </w:rPr>
            </w:pPr>
            <w:r>
              <w:rPr>
                <w:rFonts w:ascii="宋体" w:eastAsia="宋体" w:hAnsi="宋体" w:cs="宋体"/>
                <w:sz w:val="16"/>
                <w:szCs w:val="16"/>
              </w:rPr>
              <w:t>-2.1%</w:t>
            </w:r>
          </w:p>
        </w:tc>
      </w:tr>
    </w:tbl>
    <w:p w:rsidR="00EA40A3" w:rsidRDefault="00E86C16">
      <w:pPr>
        <w:spacing w:before="130" w:line="219" w:lineRule="auto"/>
        <w:ind w:left="349"/>
        <w:rPr>
          <w:rFonts w:ascii="宋体" w:eastAsia="宋体" w:hAnsi="宋体" w:cs="宋体"/>
          <w:sz w:val="16"/>
          <w:szCs w:val="16"/>
        </w:rPr>
      </w:pPr>
      <w:r>
        <w:rPr>
          <w:rFonts w:ascii="宋体" w:eastAsia="宋体" w:hAnsi="宋体" w:cs="宋体"/>
          <w:spacing w:val="5"/>
          <w:sz w:val="16"/>
          <w:szCs w:val="16"/>
        </w:rPr>
        <w:t>资料来源：王尔茂.2004.食品营养与卫生.北京：科学出版社</w:t>
      </w:r>
    </w:p>
    <w:p w:rsidR="00EA40A3" w:rsidRDefault="00EA40A3">
      <w:pPr>
        <w:spacing w:line="251" w:lineRule="auto"/>
      </w:pPr>
    </w:p>
    <w:p w:rsidR="00EA40A3" w:rsidRDefault="00E86C16">
      <w:pPr>
        <w:spacing w:before="69" w:line="251" w:lineRule="auto"/>
        <w:ind w:left="20" w:right="57" w:firstLine="419"/>
        <w:rPr>
          <w:rFonts w:ascii="宋体" w:eastAsia="宋体" w:hAnsi="宋体" w:cs="宋体"/>
        </w:rPr>
      </w:pPr>
      <w:r>
        <w:rPr>
          <w:rFonts w:ascii="宋体" w:eastAsia="宋体" w:hAnsi="宋体" w:cs="宋体"/>
          <w:spacing w:val="-2"/>
        </w:rPr>
        <w:t>在计算集体食堂时，可乘以预定份数，即可得出需要的食品原料总量，提供</w:t>
      </w:r>
      <w:r>
        <w:rPr>
          <w:rFonts w:ascii="宋体" w:eastAsia="宋体" w:hAnsi="宋体" w:cs="宋体"/>
          <w:spacing w:val="12"/>
        </w:rPr>
        <w:t xml:space="preserve"> </w:t>
      </w:r>
      <w:r>
        <w:rPr>
          <w:rFonts w:ascii="宋体" w:eastAsia="宋体" w:hAnsi="宋体" w:cs="宋体"/>
          <w:spacing w:val="-6"/>
        </w:rPr>
        <w:t>出符合一定标准的多人次的营养食谱。</w:t>
      </w:r>
    </w:p>
    <w:p w:rsidR="00EA40A3" w:rsidRDefault="00E86C16">
      <w:pPr>
        <w:spacing w:before="59" w:line="218" w:lineRule="auto"/>
        <w:ind w:left="20"/>
        <w:rPr>
          <w:rFonts w:ascii="宋体" w:eastAsia="宋体" w:hAnsi="宋体" w:cs="宋体"/>
        </w:rPr>
      </w:pPr>
      <w:r>
        <w:rPr>
          <w:rFonts w:ascii="宋体" w:eastAsia="宋体" w:hAnsi="宋体" w:cs="宋体"/>
          <w:spacing w:val="3"/>
        </w:rPr>
        <w:t>6)对每日膳食食谱的营养评价</w:t>
      </w:r>
    </w:p>
    <w:p w:rsidR="00EA40A3" w:rsidRDefault="00E86C16">
      <w:pPr>
        <w:spacing w:before="53" w:line="262" w:lineRule="auto"/>
        <w:ind w:left="20" w:right="76" w:firstLine="410"/>
        <w:jc w:val="both"/>
        <w:rPr>
          <w:rFonts w:ascii="宋体" w:eastAsia="宋体" w:hAnsi="宋体" w:cs="宋体"/>
        </w:rPr>
      </w:pPr>
      <w:r>
        <w:rPr>
          <w:rFonts w:ascii="宋体" w:eastAsia="宋体" w:hAnsi="宋体" w:cs="宋体"/>
          <w:spacing w:val="4"/>
        </w:rPr>
        <w:t>每日膳食食谱的营养评价是以膳食中营养素含量占</w:t>
      </w:r>
      <w:r>
        <w:rPr>
          <w:rFonts w:ascii="宋体" w:eastAsia="宋体" w:hAnsi="宋体" w:cs="宋体"/>
        </w:rPr>
        <w:t>DRI</w:t>
      </w:r>
      <w:r>
        <w:rPr>
          <w:rFonts w:ascii="宋体" w:eastAsia="宋体" w:hAnsi="宋体" w:cs="宋体"/>
          <w:spacing w:val="27"/>
        </w:rPr>
        <w:t xml:space="preserve"> </w:t>
      </w:r>
      <w:r>
        <w:rPr>
          <w:rFonts w:ascii="宋体" w:eastAsia="宋体" w:hAnsi="宋体" w:cs="宋体"/>
          <w:spacing w:val="4"/>
        </w:rPr>
        <w:t>标准的百分比来评</w:t>
      </w:r>
      <w:r>
        <w:rPr>
          <w:rFonts w:ascii="宋体" w:eastAsia="宋体" w:hAnsi="宋体" w:cs="宋体"/>
        </w:rPr>
        <w:t xml:space="preserve"> </w:t>
      </w:r>
      <w:r>
        <w:rPr>
          <w:rFonts w:ascii="宋体" w:eastAsia="宋体" w:hAnsi="宋体" w:cs="宋体"/>
          <w:spacing w:val="-3"/>
        </w:rPr>
        <w:t>价的。膳食中各种营养素的含量不一定必须达到摄入量值的百分之百，因为所定</w:t>
      </w:r>
      <w:r>
        <w:rPr>
          <w:rFonts w:ascii="宋体" w:eastAsia="宋体" w:hAnsi="宋体" w:cs="宋体"/>
          <w:spacing w:val="17"/>
        </w:rPr>
        <w:t xml:space="preserve"> </w:t>
      </w:r>
      <w:r>
        <w:rPr>
          <w:rFonts w:ascii="宋体" w:eastAsia="宋体" w:hAnsi="宋体" w:cs="宋体"/>
          <w:spacing w:val="-3"/>
        </w:rPr>
        <w:t>的摄入量标准比一般平均需要量高一些。在各种营养素中，能量摄入量与需要量</w:t>
      </w:r>
      <w:r>
        <w:rPr>
          <w:rFonts w:ascii="宋体" w:eastAsia="宋体" w:hAnsi="宋体" w:cs="宋体"/>
          <w:spacing w:val="12"/>
        </w:rPr>
        <w:t xml:space="preserve"> </w:t>
      </w:r>
      <w:r>
        <w:rPr>
          <w:rFonts w:ascii="宋体" w:eastAsia="宋体" w:hAnsi="宋体" w:cs="宋体"/>
          <w:spacing w:val="-7"/>
        </w:rPr>
        <w:t>差别不大，故在评价膳食时，首先考虑能量。</w:t>
      </w:r>
      <w:r>
        <w:rPr>
          <w:rFonts w:ascii="宋体" w:eastAsia="宋体" w:hAnsi="宋体" w:cs="宋体"/>
          <w:spacing w:val="55"/>
        </w:rPr>
        <w:t xml:space="preserve"> </w:t>
      </w:r>
      <w:r>
        <w:rPr>
          <w:rFonts w:ascii="宋体" w:eastAsia="宋体" w:hAnsi="宋体" w:cs="宋体"/>
          <w:spacing w:val="-7"/>
        </w:rPr>
        <w:t>一般能量摄取量为推荐摄入量值的</w:t>
      </w:r>
      <w:r>
        <w:rPr>
          <w:rFonts w:ascii="宋体" w:eastAsia="宋体" w:hAnsi="宋体" w:cs="宋体"/>
        </w:rPr>
        <w:t xml:space="preserve"> </w:t>
      </w:r>
      <w:r>
        <w:rPr>
          <w:rFonts w:ascii="宋体" w:eastAsia="宋体" w:hAnsi="宋体" w:cs="宋体"/>
          <w:spacing w:val="9"/>
        </w:rPr>
        <w:t>90%以上可认为正常，低于90%为摄入不足。其他营养素摄取量如在参考摄入</w:t>
      </w:r>
    </w:p>
    <w:p w:rsidR="00EA40A3" w:rsidRDefault="00EA40A3">
      <w:pPr>
        <w:sectPr w:rsidR="00EA40A3">
          <w:footerReference w:type="default" r:id="rId338"/>
          <w:pgSz w:w="9220" w:h="13360"/>
          <w:pgMar w:top="400" w:right="935" w:bottom="1267" w:left="910" w:header="0" w:footer="1059" w:gutter="0"/>
          <w:cols w:space="720"/>
        </w:sectPr>
      </w:pPr>
    </w:p>
    <w:p w:rsidR="00EA40A3" w:rsidRDefault="00EA40A3">
      <w:pPr>
        <w:spacing w:line="256" w:lineRule="auto"/>
      </w:pPr>
    </w:p>
    <w:p w:rsidR="00EA40A3" w:rsidRDefault="00EA40A3">
      <w:pPr>
        <w:spacing w:line="257" w:lineRule="auto"/>
      </w:pPr>
    </w:p>
    <w:p w:rsidR="00EA40A3" w:rsidRDefault="00E86C16">
      <w:pPr>
        <w:spacing w:before="72" w:line="241" w:lineRule="auto"/>
        <w:ind w:right="79"/>
        <w:jc w:val="both"/>
        <w:rPr>
          <w:rFonts w:ascii="宋体" w:eastAsia="宋体" w:hAnsi="宋体" w:cs="宋体"/>
          <w:sz w:val="22"/>
          <w:szCs w:val="22"/>
        </w:rPr>
      </w:pPr>
      <w:r>
        <w:rPr>
          <w:rFonts w:ascii="宋体" w:eastAsia="宋体" w:hAnsi="宋体" w:cs="宋体"/>
          <w:spacing w:val="-8"/>
          <w:sz w:val="22"/>
          <w:szCs w:val="22"/>
        </w:rPr>
        <w:t>量值的80%以上，</w:t>
      </w:r>
      <w:r>
        <w:rPr>
          <w:rFonts w:ascii="宋体" w:eastAsia="宋体" w:hAnsi="宋体" w:cs="宋体"/>
          <w:spacing w:val="58"/>
          <w:sz w:val="22"/>
          <w:szCs w:val="22"/>
        </w:rPr>
        <w:t xml:space="preserve"> </w:t>
      </w:r>
      <w:r>
        <w:rPr>
          <w:rFonts w:ascii="宋体" w:eastAsia="宋体" w:hAnsi="宋体" w:cs="宋体"/>
          <w:spacing w:val="-8"/>
          <w:sz w:val="22"/>
          <w:szCs w:val="22"/>
        </w:rPr>
        <w:t>一般可保证大多数人不致发生营养素缺</w:t>
      </w:r>
      <w:r>
        <w:rPr>
          <w:rFonts w:ascii="宋体" w:eastAsia="宋体" w:hAnsi="宋体" w:cs="宋体"/>
          <w:spacing w:val="-9"/>
          <w:sz w:val="22"/>
          <w:szCs w:val="22"/>
        </w:rPr>
        <w:t>乏；长期低于这个水</w:t>
      </w:r>
      <w:r>
        <w:rPr>
          <w:rFonts w:ascii="宋体" w:eastAsia="宋体" w:hAnsi="宋体" w:cs="宋体"/>
          <w:sz w:val="22"/>
          <w:szCs w:val="22"/>
        </w:rPr>
        <w:t xml:space="preserve"> </w:t>
      </w:r>
      <w:r>
        <w:rPr>
          <w:rFonts w:ascii="宋体" w:eastAsia="宋体" w:hAnsi="宋体" w:cs="宋体"/>
          <w:spacing w:val="-4"/>
          <w:sz w:val="22"/>
          <w:szCs w:val="22"/>
        </w:rPr>
        <w:t>平可能使一部分人体内储存降低，有的甚至出现营养缺乏症状；低于60%则可</w:t>
      </w:r>
      <w:r>
        <w:rPr>
          <w:rFonts w:ascii="宋体" w:eastAsia="宋体" w:hAnsi="宋体" w:cs="宋体"/>
          <w:spacing w:val="18"/>
          <w:sz w:val="22"/>
          <w:szCs w:val="22"/>
        </w:rPr>
        <w:t xml:space="preserve"> </w:t>
      </w:r>
      <w:r>
        <w:rPr>
          <w:rFonts w:ascii="宋体" w:eastAsia="宋体" w:hAnsi="宋体" w:cs="宋体"/>
          <w:spacing w:val="-16"/>
          <w:sz w:val="22"/>
          <w:szCs w:val="22"/>
        </w:rPr>
        <w:t>认为营养素的严重不足，需要修改食谱或补充加餐。</w:t>
      </w:r>
    </w:p>
    <w:p w:rsidR="00EA40A3" w:rsidRDefault="00EA40A3">
      <w:pPr>
        <w:spacing w:line="261" w:lineRule="auto"/>
      </w:pPr>
    </w:p>
    <w:p w:rsidR="00EA40A3" w:rsidRDefault="00E86C16">
      <w:pPr>
        <w:spacing w:before="88" w:line="219" w:lineRule="auto"/>
        <w:ind w:left="1789"/>
        <w:rPr>
          <w:rFonts w:ascii="宋体" w:eastAsia="宋体" w:hAnsi="宋体" w:cs="宋体"/>
          <w:sz w:val="27"/>
          <w:szCs w:val="27"/>
        </w:rPr>
      </w:pPr>
      <w:r>
        <w:rPr>
          <w:rFonts w:ascii="宋体" w:eastAsia="宋体" w:hAnsi="宋体" w:cs="宋体"/>
          <w:spacing w:val="2"/>
          <w:sz w:val="27"/>
          <w:szCs w:val="27"/>
        </w:rPr>
        <w:t>12.6</w:t>
      </w:r>
      <w:r>
        <w:rPr>
          <w:rFonts w:ascii="宋体" w:eastAsia="宋体" w:hAnsi="宋体" w:cs="宋体"/>
          <w:spacing w:val="5"/>
          <w:sz w:val="27"/>
          <w:szCs w:val="27"/>
        </w:rPr>
        <w:t xml:space="preserve">  </w:t>
      </w:r>
      <w:r>
        <w:rPr>
          <w:rFonts w:ascii="宋体" w:eastAsia="宋体" w:hAnsi="宋体" w:cs="宋体"/>
          <w:spacing w:val="2"/>
          <w:sz w:val="27"/>
          <w:szCs w:val="27"/>
        </w:rPr>
        <w:t>改善社区营养的宏观措施</w:t>
      </w:r>
    </w:p>
    <w:p w:rsidR="00EA40A3" w:rsidRDefault="00E86C16">
      <w:pPr>
        <w:spacing w:before="162" w:line="221" w:lineRule="auto"/>
        <w:ind w:left="3"/>
        <w:outlineLvl w:val="6"/>
        <w:rPr>
          <w:rFonts w:ascii="黑体" w:eastAsia="黑体" w:hAnsi="黑体" w:cs="黑体"/>
          <w:sz w:val="22"/>
          <w:szCs w:val="22"/>
        </w:rPr>
      </w:pPr>
      <w:r>
        <w:rPr>
          <w:rFonts w:ascii="黑体" w:eastAsia="黑体" w:hAnsi="黑体" w:cs="黑体"/>
          <w:b/>
          <w:bCs/>
          <w:spacing w:val="9"/>
          <w:sz w:val="22"/>
          <w:szCs w:val="22"/>
        </w:rPr>
        <w:t>12.6.1</w:t>
      </w:r>
      <w:r>
        <w:rPr>
          <w:rFonts w:ascii="黑体" w:eastAsia="黑体" w:hAnsi="黑体" w:cs="黑体"/>
          <w:spacing w:val="34"/>
          <w:sz w:val="22"/>
          <w:szCs w:val="22"/>
        </w:rPr>
        <w:t xml:space="preserve">  </w:t>
      </w:r>
      <w:r>
        <w:rPr>
          <w:rFonts w:ascii="黑体" w:eastAsia="黑体" w:hAnsi="黑体" w:cs="黑体"/>
          <w:b/>
          <w:bCs/>
          <w:spacing w:val="9"/>
          <w:sz w:val="22"/>
          <w:szCs w:val="22"/>
        </w:rPr>
        <w:t>落实并全面实现《中国食物与营养发展纲要》</w:t>
      </w:r>
    </w:p>
    <w:p w:rsidR="00EA40A3" w:rsidRDefault="00E86C16">
      <w:pPr>
        <w:spacing w:before="192" w:line="235" w:lineRule="auto"/>
        <w:ind w:right="81" w:firstLine="309"/>
        <w:jc w:val="both"/>
        <w:rPr>
          <w:rFonts w:ascii="宋体" w:eastAsia="宋体" w:hAnsi="宋体" w:cs="宋体"/>
          <w:sz w:val="22"/>
          <w:szCs w:val="22"/>
        </w:rPr>
      </w:pPr>
      <w:r>
        <w:rPr>
          <w:rFonts w:ascii="宋体" w:eastAsia="宋体" w:hAnsi="宋体" w:cs="宋体"/>
          <w:spacing w:val="-3"/>
          <w:sz w:val="22"/>
          <w:szCs w:val="22"/>
        </w:rPr>
        <w:t>《中国食物与营养发展纲要(2001～2010年)》是结合我国实际制定的，包</w:t>
      </w:r>
      <w:r>
        <w:rPr>
          <w:rFonts w:ascii="宋体" w:eastAsia="宋体" w:hAnsi="宋体" w:cs="宋体"/>
          <w:sz w:val="22"/>
          <w:szCs w:val="22"/>
        </w:rPr>
        <w:t xml:space="preserve"> </w:t>
      </w:r>
      <w:r>
        <w:rPr>
          <w:rFonts w:ascii="宋体" w:eastAsia="宋体" w:hAnsi="宋体" w:cs="宋体"/>
          <w:spacing w:val="-7"/>
          <w:sz w:val="22"/>
          <w:szCs w:val="22"/>
        </w:rPr>
        <w:t>括了我国食物与营养发展的指导思想、原则、发展目标，优先发展的领域、地</w:t>
      </w:r>
      <w:r>
        <w:rPr>
          <w:rFonts w:ascii="宋体" w:eastAsia="宋体" w:hAnsi="宋体" w:cs="宋体"/>
          <w:spacing w:val="5"/>
          <w:sz w:val="22"/>
          <w:szCs w:val="22"/>
        </w:rPr>
        <w:t xml:space="preserve"> </w:t>
      </w:r>
      <w:r>
        <w:rPr>
          <w:rFonts w:ascii="宋体" w:eastAsia="宋体" w:hAnsi="宋体" w:cs="宋体"/>
          <w:spacing w:val="-14"/>
          <w:sz w:val="22"/>
          <w:szCs w:val="22"/>
        </w:rPr>
        <w:t>区、人群以及有关政策措施，体现出新时期人们对营养和健康的追求。</w:t>
      </w:r>
    </w:p>
    <w:p w:rsidR="00EA40A3" w:rsidRDefault="00E86C16">
      <w:pPr>
        <w:spacing w:before="227" w:line="222" w:lineRule="auto"/>
        <w:rPr>
          <w:rFonts w:ascii="仿宋" w:eastAsia="仿宋" w:hAnsi="仿宋" w:cs="仿宋"/>
          <w:sz w:val="22"/>
          <w:szCs w:val="22"/>
        </w:rPr>
      </w:pPr>
      <w:r>
        <w:rPr>
          <w:rFonts w:ascii="仿宋" w:eastAsia="仿宋" w:hAnsi="仿宋" w:cs="仿宋"/>
          <w:spacing w:val="12"/>
          <w:sz w:val="22"/>
          <w:szCs w:val="22"/>
        </w:rPr>
        <w:t>1.</w:t>
      </w:r>
      <w:r>
        <w:rPr>
          <w:rFonts w:ascii="仿宋" w:eastAsia="仿宋" w:hAnsi="仿宋" w:cs="仿宋"/>
          <w:spacing w:val="-26"/>
          <w:sz w:val="22"/>
          <w:szCs w:val="22"/>
        </w:rPr>
        <w:t xml:space="preserve"> </w:t>
      </w:r>
      <w:r>
        <w:rPr>
          <w:rFonts w:ascii="仿宋" w:eastAsia="仿宋" w:hAnsi="仿宋" w:cs="仿宋"/>
          <w:spacing w:val="12"/>
          <w:sz w:val="22"/>
          <w:szCs w:val="22"/>
        </w:rPr>
        <w:t>指导思想、基本原则和目标</w:t>
      </w:r>
    </w:p>
    <w:p w:rsidR="00EA40A3" w:rsidRDefault="00E86C16">
      <w:pPr>
        <w:spacing w:before="189" w:line="247" w:lineRule="auto"/>
        <w:ind w:firstLine="419"/>
        <w:jc w:val="both"/>
        <w:rPr>
          <w:rFonts w:ascii="Times New Roman" w:eastAsia="Times New Roman" w:hAnsi="Times New Roman" w:cs="Times New Roman"/>
          <w:sz w:val="22"/>
          <w:szCs w:val="22"/>
        </w:rPr>
      </w:pPr>
      <w:r>
        <w:rPr>
          <w:rFonts w:ascii="宋体" w:eastAsia="宋体" w:hAnsi="宋体" w:cs="宋体"/>
          <w:spacing w:val="-7"/>
          <w:sz w:val="22"/>
          <w:szCs w:val="22"/>
        </w:rPr>
        <w:t>我国食物与营养发展的指导思想是适应人民生活水平提高和营养改善的要</w:t>
      </w:r>
      <w:r>
        <w:rPr>
          <w:rFonts w:ascii="宋体" w:eastAsia="宋体" w:hAnsi="宋体" w:cs="宋体"/>
          <w:spacing w:val="13"/>
          <w:sz w:val="22"/>
          <w:szCs w:val="22"/>
        </w:rPr>
        <w:t xml:space="preserve"> </w:t>
      </w:r>
      <w:r>
        <w:rPr>
          <w:rFonts w:ascii="宋体" w:eastAsia="宋体" w:hAnsi="宋体" w:cs="宋体"/>
          <w:spacing w:val="-11"/>
          <w:sz w:val="22"/>
          <w:szCs w:val="22"/>
        </w:rPr>
        <w:t>求，为提高民族素质，动员全社会力量，建设现代食物生产、加工和市场体系，</w:t>
      </w:r>
      <w:r>
        <w:rPr>
          <w:rFonts w:ascii="宋体" w:eastAsia="宋体" w:hAnsi="宋体" w:cs="宋体"/>
          <w:spacing w:val="13"/>
          <w:sz w:val="22"/>
          <w:szCs w:val="22"/>
        </w:rPr>
        <w:t xml:space="preserve"> </w:t>
      </w:r>
      <w:r>
        <w:rPr>
          <w:rFonts w:ascii="宋体" w:eastAsia="宋体" w:hAnsi="宋体" w:cs="宋体"/>
          <w:spacing w:val="-13"/>
          <w:sz w:val="22"/>
          <w:szCs w:val="22"/>
        </w:rPr>
        <w:t>调整引导我国食物结构向营养、卫生、科学、合理方向发展，提高我国食物消费</w:t>
      </w:r>
      <w:r>
        <w:rPr>
          <w:rFonts w:ascii="宋体" w:eastAsia="宋体" w:hAnsi="宋体" w:cs="宋体"/>
          <w:spacing w:val="6"/>
          <w:sz w:val="22"/>
          <w:szCs w:val="22"/>
        </w:rPr>
        <w:t xml:space="preserve"> </w:t>
      </w:r>
      <w:r>
        <w:rPr>
          <w:rFonts w:ascii="宋体" w:eastAsia="宋体" w:hAnsi="宋体" w:cs="宋体"/>
          <w:spacing w:val="-13"/>
          <w:sz w:val="22"/>
          <w:szCs w:val="22"/>
        </w:rPr>
        <w:t>与营养水平。基本原则是坚持食物生产与消费协调发展，食物资源利用与保护相</w:t>
      </w:r>
      <w:r>
        <w:rPr>
          <w:rFonts w:ascii="宋体" w:eastAsia="宋体" w:hAnsi="宋体" w:cs="宋体"/>
          <w:spacing w:val="11"/>
          <w:sz w:val="22"/>
          <w:szCs w:val="22"/>
        </w:rPr>
        <w:t xml:space="preserve"> </w:t>
      </w:r>
      <w:r>
        <w:rPr>
          <w:rFonts w:ascii="宋体" w:eastAsia="宋体" w:hAnsi="宋体" w:cs="宋体"/>
          <w:spacing w:val="-12"/>
          <w:sz w:val="22"/>
          <w:szCs w:val="22"/>
        </w:rPr>
        <w:t>结合，食物质量与安全卫生相结合，优化食物结构与</w:t>
      </w:r>
      <w:r>
        <w:rPr>
          <w:rFonts w:ascii="宋体" w:eastAsia="宋体" w:hAnsi="宋体" w:cs="宋体"/>
          <w:spacing w:val="-13"/>
          <w:sz w:val="22"/>
          <w:szCs w:val="22"/>
        </w:rPr>
        <w:t>预防疾病相结合。总体目标</w:t>
      </w:r>
      <w:r>
        <w:rPr>
          <w:rFonts w:ascii="宋体" w:eastAsia="宋体" w:hAnsi="宋体" w:cs="宋体"/>
          <w:sz w:val="22"/>
          <w:szCs w:val="22"/>
        </w:rPr>
        <w:t xml:space="preserve"> </w:t>
      </w:r>
      <w:r>
        <w:rPr>
          <w:rFonts w:ascii="宋体" w:eastAsia="宋体" w:hAnsi="宋体" w:cs="宋体"/>
          <w:spacing w:val="-5"/>
          <w:sz w:val="22"/>
          <w:szCs w:val="22"/>
        </w:rPr>
        <w:t>是到2010年，全国人均每年主要食物摄入量达</w:t>
      </w:r>
      <w:r>
        <w:rPr>
          <w:rFonts w:ascii="宋体" w:eastAsia="宋体" w:hAnsi="宋体" w:cs="宋体"/>
          <w:spacing w:val="-6"/>
          <w:sz w:val="22"/>
          <w:szCs w:val="22"/>
        </w:rPr>
        <w:t>到，口粮155</w:t>
      </w:r>
      <w:r>
        <w:rPr>
          <w:rFonts w:ascii="宋体" w:eastAsia="宋体" w:hAnsi="宋体" w:cs="宋体"/>
          <w:spacing w:val="-5"/>
          <w:sz w:val="22"/>
          <w:szCs w:val="22"/>
        </w:rPr>
        <w:t>kg</w:t>
      </w:r>
      <w:r>
        <w:rPr>
          <w:rFonts w:ascii="宋体" w:eastAsia="宋体" w:hAnsi="宋体" w:cs="宋体"/>
          <w:spacing w:val="-6"/>
          <w:sz w:val="22"/>
          <w:szCs w:val="22"/>
        </w:rPr>
        <w:t>、</w:t>
      </w:r>
      <w:r>
        <w:rPr>
          <w:rFonts w:ascii="宋体" w:eastAsia="宋体" w:hAnsi="宋体" w:cs="宋体"/>
          <w:spacing w:val="-58"/>
          <w:sz w:val="22"/>
          <w:szCs w:val="22"/>
        </w:rPr>
        <w:t xml:space="preserve"> </w:t>
      </w:r>
      <w:r>
        <w:rPr>
          <w:rFonts w:ascii="宋体" w:eastAsia="宋体" w:hAnsi="宋体" w:cs="宋体"/>
          <w:spacing w:val="-6"/>
          <w:sz w:val="22"/>
          <w:szCs w:val="22"/>
        </w:rPr>
        <w:t>豆类13</w:t>
      </w:r>
      <w:r>
        <w:rPr>
          <w:rFonts w:ascii="宋体" w:eastAsia="宋体" w:hAnsi="宋体" w:cs="宋体"/>
          <w:spacing w:val="-5"/>
          <w:sz w:val="22"/>
          <w:szCs w:val="22"/>
        </w:rPr>
        <w:t>kg</w:t>
      </w:r>
      <w:r>
        <w:rPr>
          <w:rFonts w:ascii="宋体" w:eastAsia="宋体" w:hAnsi="宋体" w:cs="宋体"/>
          <w:spacing w:val="-6"/>
          <w:sz w:val="22"/>
          <w:szCs w:val="22"/>
        </w:rPr>
        <w:t>、</w:t>
      </w:r>
      <w:r>
        <w:rPr>
          <w:rFonts w:ascii="宋体" w:eastAsia="宋体" w:hAnsi="宋体" w:cs="宋体"/>
          <w:spacing w:val="-63"/>
          <w:sz w:val="22"/>
          <w:szCs w:val="22"/>
        </w:rPr>
        <w:t xml:space="preserve"> </w:t>
      </w:r>
      <w:r>
        <w:rPr>
          <w:rFonts w:ascii="宋体" w:eastAsia="宋体" w:hAnsi="宋体" w:cs="宋体"/>
          <w:spacing w:val="-6"/>
          <w:sz w:val="22"/>
          <w:szCs w:val="22"/>
        </w:rPr>
        <w:t>蔬</w:t>
      </w:r>
      <w:r>
        <w:rPr>
          <w:rFonts w:ascii="宋体" w:eastAsia="宋体" w:hAnsi="宋体" w:cs="宋体"/>
          <w:sz w:val="22"/>
          <w:szCs w:val="22"/>
        </w:rPr>
        <w:t xml:space="preserve"> </w:t>
      </w:r>
      <w:r>
        <w:rPr>
          <w:rFonts w:ascii="宋体" w:eastAsia="宋体" w:hAnsi="宋体" w:cs="宋体"/>
          <w:spacing w:val="-5"/>
          <w:sz w:val="22"/>
          <w:szCs w:val="22"/>
        </w:rPr>
        <w:t>菜147kg、水果38kg、食用植物油10kg、</w:t>
      </w:r>
      <w:r>
        <w:rPr>
          <w:rFonts w:ascii="宋体" w:eastAsia="宋体" w:hAnsi="宋体" w:cs="宋体"/>
          <w:spacing w:val="-56"/>
          <w:sz w:val="22"/>
          <w:szCs w:val="22"/>
        </w:rPr>
        <w:t xml:space="preserve"> </w:t>
      </w:r>
      <w:r>
        <w:rPr>
          <w:rFonts w:ascii="宋体" w:eastAsia="宋体" w:hAnsi="宋体" w:cs="宋体"/>
          <w:spacing w:val="-5"/>
          <w:sz w:val="22"/>
          <w:szCs w:val="22"/>
        </w:rPr>
        <w:t>食糖9kg、</w:t>
      </w:r>
      <w:r>
        <w:rPr>
          <w:rFonts w:ascii="宋体" w:eastAsia="宋体" w:hAnsi="宋体" w:cs="宋体"/>
          <w:spacing w:val="-46"/>
          <w:sz w:val="22"/>
          <w:szCs w:val="22"/>
        </w:rPr>
        <w:t xml:space="preserve"> </w:t>
      </w:r>
      <w:r>
        <w:rPr>
          <w:rFonts w:ascii="宋体" w:eastAsia="宋体" w:hAnsi="宋体" w:cs="宋体"/>
          <w:spacing w:val="-5"/>
          <w:sz w:val="22"/>
          <w:szCs w:val="22"/>
        </w:rPr>
        <w:t>肉类28kg、</w:t>
      </w:r>
      <w:r>
        <w:rPr>
          <w:rFonts w:ascii="宋体" w:eastAsia="宋体" w:hAnsi="宋体" w:cs="宋体"/>
          <w:spacing w:val="-57"/>
          <w:sz w:val="22"/>
          <w:szCs w:val="22"/>
        </w:rPr>
        <w:t xml:space="preserve"> </w:t>
      </w:r>
      <w:r>
        <w:rPr>
          <w:rFonts w:ascii="宋体" w:eastAsia="宋体" w:hAnsi="宋体" w:cs="宋体"/>
          <w:spacing w:val="-5"/>
          <w:sz w:val="22"/>
          <w:szCs w:val="22"/>
        </w:rPr>
        <w:t>蛋类15kg、</w:t>
      </w:r>
      <w:r>
        <w:rPr>
          <w:rFonts w:ascii="宋体" w:eastAsia="宋体" w:hAnsi="宋体" w:cs="宋体"/>
          <w:spacing w:val="-58"/>
          <w:sz w:val="22"/>
          <w:szCs w:val="22"/>
        </w:rPr>
        <w:t xml:space="preserve"> </w:t>
      </w:r>
      <w:r>
        <w:rPr>
          <w:rFonts w:ascii="宋体" w:eastAsia="宋体" w:hAnsi="宋体" w:cs="宋体"/>
          <w:spacing w:val="-5"/>
          <w:sz w:val="22"/>
          <w:szCs w:val="22"/>
        </w:rPr>
        <w:t>奶</w:t>
      </w:r>
      <w:r>
        <w:rPr>
          <w:rFonts w:ascii="宋体" w:eastAsia="宋体" w:hAnsi="宋体" w:cs="宋体"/>
          <w:sz w:val="22"/>
          <w:szCs w:val="22"/>
        </w:rPr>
        <w:t xml:space="preserve"> </w:t>
      </w:r>
      <w:r>
        <w:rPr>
          <w:rFonts w:ascii="宋体" w:eastAsia="宋体" w:hAnsi="宋体" w:cs="宋体"/>
          <w:spacing w:val="-4"/>
          <w:sz w:val="22"/>
          <w:szCs w:val="22"/>
        </w:rPr>
        <w:t>类16kg、水产品16kg;</w:t>
      </w:r>
      <w:r>
        <w:rPr>
          <w:rFonts w:ascii="宋体" w:eastAsia="宋体" w:hAnsi="宋体" w:cs="宋体"/>
          <w:spacing w:val="-24"/>
          <w:sz w:val="22"/>
          <w:szCs w:val="22"/>
        </w:rPr>
        <w:t xml:space="preserve"> </w:t>
      </w:r>
      <w:r>
        <w:rPr>
          <w:rFonts w:ascii="宋体" w:eastAsia="宋体" w:hAnsi="宋体" w:cs="宋体"/>
          <w:spacing w:val="-4"/>
          <w:sz w:val="22"/>
          <w:szCs w:val="22"/>
        </w:rPr>
        <w:t>人均每日摄入能量2300kcal</w:t>
      </w:r>
      <w:r>
        <w:rPr>
          <w:rFonts w:ascii="宋体" w:eastAsia="宋体" w:hAnsi="宋体" w:cs="宋体"/>
          <w:spacing w:val="-5"/>
          <w:sz w:val="22"/>
          <w:szCs w:val="22"/>
        </w:rPr>
        <w:t>、蛋白质77g、脂肪70g、钙</w:t>
      </w:r>
      <w:r>
        <w:rPr>
          <w:rFonts w:ascii="宋体" w:eastAsia="宋体" w:hAnsi="宋体" w:cs="宋体"/>
          <w:sz w:val="22"/>
          <w:szCs w:val="22"/>
        </w:rPr>
        <w:t xml:space="preserve"> </w:t>
      </w:r>
      <w:r>
        <w:rPr>
          <w:rFonts w:ascii="宋体" w:eastAsia="宋体" w:hAnsi="宋体" w:cs="宋体"/>
          <w:spacing w:val="-5"/>
          <w:sz w:val="22"/>
          <w:szCs w:val="22"/>
        </w:rPr>
        <w:t>580mg、</w:t>
      </w:r>
      <w:r>
        <w:rPr>
          <w:rFonts w:ascii="宋体" w:eastAsia="宋体" w:hAnsi="宋体" w:cs="宋体"/>
          <w:spacing w:val="-10"/>
          <w:sz w:val="22"/>
          <w:szCs w:val="22"/>
        </w:rPr>
        <w:t xml:space="preserve"> </w:t>
      </w:r>
      <w:r>
        <w:rPr>
          <w:rFonts w:ascii="宋体" w:eastAsia="宋体" w:hAnsi="宋体" w:cs="宋体"/>
          <w:spacing w:val="-5"/>
          <w:sz w:val="22"/>
          <w:szCs w:val="22"/>
        </w:rPr>
        <w:t>铁23mg、</w:t>
      </w:r>
      <w:r>
        <w:rPr>
          <w:rFonts w:ascii="宋体" w:eastAsia="宋体" w:hAnsi="宋体" w:cs="宋体"/>
          <w:spacing w:val="20"/>
          <w:sz w:val="22"/>
          <w:szCs w:val="22"/>
        </w:rPr>
        <w:t xml:space="preserve"> </w:t>
      </w:r>
      <w:r>
        <w:rPr>
          <w:rFonts w:ascii="宋体" w:eastAsia="宋体" w:hAnsi="宋体" w:cs="宋体"/>
          <w:spacing w:val="-5"/>
          <w:sz w:val="22"/>
          <w:szCs w:val="22"/>
        </w:rPr>
        <w:t>锌</w:t>
      </w:r>
      <w:r>
        <w:rPr>
          <w:rFonts w:ascii="宋体" w:eastAsia="宋体" w:hAnsi="宋体" w:cs="宋体"/>
          <w:spacing w:val="-35"/>
          <w:sz w:val="22"/>
          <w:szCs w:val="22"/>
        </w:rPr>
        <w:t xml:space="preserve"> </w:t>
      </w:r>
      <w:r>
        <w:rPr>
          <w:rFonts w:ascii="宋体" w:eastAsia="宋体" w:hAnsi="宋体" w:cs="宋体"/>
          <w:spacing w:val="-5"/>
          <w:sz w:val="22"/>
          <w:szCs w:val="22"/>
        </w:rPr>
        <w:t>1</w:t>
      </w:r>
      <w:r>
        <w:rPr>
          <w:rFonts w:ascii="宋体" w:eastAsia="宋体" w:hAnsi="宋体" w:cs="宋体"/>
          <w:spacing w:val="-48"/>
          <w:sz w:val="22"/>
          <w:szCs w:val="22"/>
        </w:rPr>
        <w:t xml:space="preserve"> </w:t>
      </w:r>
      <w:r>
        <w:rPr>
          <w:rFonts w:ascii="宋体" w:eastAsia="宋体" w:hAnsi="宋体" w:cs="宋体"/>
          <w:spacing w:val="-5"/>
          <w:sz w:val="22"/>
          <w:szCs w:val="22"/>
        </w:rPr>
        <w:t>2mg、</w:t>
      </w:r>
      <w:r>
        <w:rPr>
          <w:rFonts w:ascii="宋体" w:eastAsia="宋体" w:hAnsi="宋体" w:cs="宋体"/>
          <w:spacing w:val="1"/>
          <w:sz w:val="22"/>
          <w:szCs w:val="22"/>
        </w:rPr>
        <w:t xml:space="preserve"> </w:t>
      </w:r>
      <w:r>
        <w:rPr>
          <w:rFonts w:ascii="宋体" w:eastAsia="宋体" w:hAnsi="宋体" w:cs="宋体"/>
          <w:spacing w:val="-5"/>
          <w:sz w:val="22"/>
          <w:szCs w:val="22"/>
        </w:rPr>
        <w:t>维生素</w:t>
      </w:r>
      <w:r>
        <w:rPr>
          <w:rFonts w:ascii="宋体" w:eastAsia="宋体" w:hAnsi="宋体" w:cs="宋体"/>
          <w:spacing w:val="-21"/>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₁</w:t>
      </w:r>
      <w:r>
        <w:rPr>
          <w:rFonts w:ascii="宋体" w:eastAsia="宋体" w:hAnsi="宋体" w:cs="宋体"/>
          <w:spacing w:val="-5"/>
          <w:sz w:val="22"/>
          <w:szCs w:val="22"/>
        </w:rPr>
        <w:t>1.2mg、</w:t>
      </w:r>
      <w:r>
        <w:rPr>
          <w:rFonts w:ascii="宋体" w:eastAsia="宋体" w:hAnsi="宋体" w:cs="宋体"/>
          <w:spacing w:val="100"/>
          <w:sz w:val="22"/>
          <w:szCs w:val="22"/>
        </w:rPr>
        <w:t xml:space="preserve"> </w:t>
      </w:r>
      <w:r>
        <w:rPr>
          <w:rFonts w:ascii="宋体" w:eastAsia="宋体" w:hAnsi="宋体" w:cs="宋体"/>
          <w:spacing w:val="-5"/>
          <w:sz w:val="22"/>
          <w:szCs w:val="22"/>
        </w:rPr>
        <w:t>维生素</w:t>
      </w:r>
      <w:r>
        <w:rPr>
          <w:rFonts w:ascii="宋体" w:eastAsia="宋体" w:hAnsi="宋体" w:cs="宋体"/>
          <w:spacing w:val="-30"/>
          <w:sz w:val="22"/>
          <w:szCs w:val="22"/>
        </w:rPr>
        <w:t xml:space="preserve"> </w:t>
      </w:r>
      <w:r>
        <w:rPr>
          <w:rFonts w:ascii="宋体" w:eastAsia="宋体" w:hAnsi="宋体" w:cs="宋体"/>
          <w:spacing w:val="-5"/>
          <w:sz w:val="22"/>
          <w:szCs w:val="22"/>
        </w:rPr>
        <w:t>B</w:t>
      </w:r>
      <w:r>
        <w:rPr>
          <w:rFonts w:ascii="Calibri" w:eastAsia="Calibri" w:hAnsi="Calibri" w:cs="Calibri"/>
          <w:spacing w:val="-5"/>
          <w:sz w:val="22"/>
          <w:szCs w:val="22"/>
        </w:rPr>
        <w:t>₂</w:t>
      </w:r>
      <w:r>
        <w:rPr>
          <w:rFonts w:ascii="宋体" w:eastAsia="宋体" w:hAnsi="宋体" w:cs="宋体"/>
          <w:spacing w:val="-5"/>
          <w:sz w:val="22"/>
          <w:szCs w:val="22"/>
        </w:rPr>
        <w:t>1</w:t>
      </w:r>
      <w:r>
        <w:rPr>
          <w:rFonts w:ascii="宋体" w:eastAsia="宋体" w:hAnsi="宋体" w:cs="宋体"/>
          <w:spacing w:val="-6"/>
          <w:sz w:val="22"/>
          <w:szCs w:val="22"/>
        </w:rPr>
        <w:t>.4</w:t>
      </w:r>
      <w:r>
        <w:rPr>
          <w:rFonts w:ascii="宋体" w:eastAsia="宋体" w:hAnsi="宋体" w:cs="宋体"/>
          <w:spacing w:val="-5"/>
          <w:sz w:val="22"/>
          <w:szCs w:val="22"/>
        </w:rPr>
        <w:t>mg</w:t>
      </w:r>
      <w:r>
        <w:rPr>
          <w:rFonts w:ascii="宋体" w:eastAsia="宋体" w:hAnsi="宋体" w:cs="宋体"/>
          <w:spacing w:val="-6"/>
          <w:sz w:val="22"/>
          <w:szCs w:val="22"/>
        </w:rPr>
        <w:t>、</w:t>
      </w:r>
      <w:r>
        <w:rPr>
          <w:rFonts w:ascii="宋体" w:eastAsia="宋体" w:hAnsi="宋体" w:cs="宋体"/>
          <w:spacing w:val="105"/>
          <w:sz w:val="22"/>
          <w:szCs w:val="22"/>
        </w:rPr>
        <w:t xml:space="preserve"> </w:t>
      </w:r>
      <w:r>
        <w:rPr>
          <w:rFonts w:ascii="宋体" w:eastAsia="宋体" w:hAnsi="宋体" w:cs="宋体"/>
          <w:spacing w:val="-6"/>
          <w:sz w:val="22"/>
          <w:szCs w:val="22"/>
        </w:rPr>
        <w:t>维生素</w:t>
      </w:r>
      <w:r>
        <w:rPr>
          <w:rFonts w:ascii="宋体" w:eastAsia="宋体" w:hAnsi="宋体" w:cs="宋体"/>
          <w:sz w:val="22"/>
          <w:szCs w:val="22"/>
        </w:rPr>
        <w:t xml:space="preserve"> </w:t>
      </w:r>
      <w:r>
        <w:rPr>
          <w:rFonts w:ascii="Times New Roman" w:eastAsia="Times New Roman" w:hAnsi="Times New Roman" w:cs="Times New Roman"/>
          <w:spacing w:val="1"/>
          <w:sz w:val="22"/>
          <w:szCs w:val="22"/>
        </w:rPr>
        <w:t>A</w:t>
      </w:r>
      <w:r>
        <w:rPr>
          <w:rFonts w:ascii="Times New Roman" w:eastAsia="Times New Roman" w:hAnsi="Times New Roman" w:cs="Times New Roman"/>
          <w:spacing w:val="8"/>
          <w:sz w:val="22"/>
          <w:szCs w:val="22"/>
        </w:rPr>
        <w:t xml:space="preserve"> </w:t>
      </w:r>
      <w:r>
        <w:rPr>
          <w:rFonts w:ascii="Times New Roman" w:eastAsia="Times New Roman" w:hAnsi="Times New Roman" w:cs="Times New Roman"/>
          <w:spacing w:val="1"/>
          <w:sz w:val="22"/>
          <w:szCs w:val="22"/>
        </w:rPr>
        <w:t>755</w:t>
      </w:r>
      <w:r>
        <w:rPr>
          <w:rFonts w:ascii="Times New Roman" w:eastAsia="Times New Roman" w:hAnsi="Times New Roman" w:cs="Times New Roman"/>
          <w:sz w:val="22"/>
          <w:szCs w:val="22"/>
        </w:rPr>
        <w:t>mg</w:t>
      </w:r>
      <w:r>
        <w:rPr>
          <w:rFonts w:ascii="Times New Roman" w:eastAsia="Times New Roman" w:hAnsi="Times New Roman" w:cs="Times New Roman"/>
          <w:spacing w:val="1"/>
          <w:sz w:val="22"/>
          <w:szCs w:val="22"/>
        </w:rPr>
        <w:t>.</w:t>
      </w:r>
    </w:p>
    <w:p w:rsidR="00EA40A3" w:rsidRDefault="00E86C16">
      <w:pPr>
        <w:spacing w:before="307" w:line="222" w:lineRule="auto"/>
        <w:rPr>
          <w:rFonts w:ascii="仿宋" w:eastAsia="仿宋" w:hAnsi="仿宋" w:cs="仿宋"/>
          <w:sz w:val="22"/>
          <w:szCs w:val="22"/>
        </w:rPr>
      </w:pPr>
      <w:r>
        <w:rPr>
          <w:rFonts w:ascii="仿宋" w:eastAsia="仿宋" w:hAnsi="仿宋" w:cs="仿宋"/>
          <w:spacing w:val="12"/>
          <w:sz w:val="22"/>
          <w:szCs w:val="22"/>
        </w:rPr>
        <w:t>2.</w:t>
      </w:r>
      <w:r>
        <w:rPr>
          <w:rFonts w:ascii="仿宋" w:eastAsia="仿宋" w:hAnsi="仿宋" w:cs="仿宋"/>
          <w:spacing w:val="-22"/>
          <w:sz w:val="22"/>
          <w:szCs w:val="22"/>
        </w:rPr>
        <w:t xml:space="preserve"> </w:t>
      </w:r>
      <w:r>
        <w:rPr>
          <w:rFonts w:ascii="仿宋" w:eastAsia="仿宋" w:hAnsi="仿宋" w:cs="仿宋"/>
          <w:spacing w:val="12"/>
          <w:sz w:val="22"/>
          <w:szCs w:val="22"/>
        </w:rPr>
        <w:t>重点领域、地区与人群</w:t>
      </w:r>
    </w:p>
    <w:p w:rsidR="00EA40A3" w:rsidRDefault="00E86C16">
      <w:pPr>
        <w:spacing w:before="198" w:line="245" w:lineRule="auto"/>
        <w:ind w:right="73" w:firstLine="419"/>
        <w:jc w:val="both"/>
        <w:rPr>
          <w:rFonts w:ascii="宋体" w:eastAsia="宋体" w:hAnsi="宋体" w:cs="宋体"/>
          <w:sz w:val="22"/>
          <w:szCs w:val="22"/>
        </w:rPr>
      </w:pPr>
      <w:r>
        <w:rPr>
          <w:rFonts w:ascii="宋体" w:eastAsia="宋体" w:hAnsi="宋体" w:cs="宋体"/>
          <w:spacing w:val="-13"/>
          <w:sz w:val="22"/>
          <w:szCs w:val="22"/>
        </w:rPr>
        <w:t>重点领域是加快发展奶类、大豆的生产，提高消费水平，优先支持对主食的</w:t>
      </w:r>
      <w:r>
        <w:rPr>
          <w:rFonts w:ascii="宋体" w:eastAsia="宋体" w:hAnsi="宋体" w:cs="宋体"/>
          <w:spacing w:val="4"/>
          <w:sz w:val="22"/>
          <w:szCs w:val="22"/>
        </w:rPr>
        <w:t xml:space="preserve"> </w:t>
      </w:r>
      <w:r>
        <w:rPr>
          <w:rFonts w:ascii="宋体" w:eastAsia="宋体" w:hAnsi="宋体" w:cs="宋体"/>
          <w:spacing w:val="-13"/>
          <w:sz w:val="22"/>
          <w:szCs w:val="22"/>
        </w:rPr>
        <w:t>加工，加快食物营养强化和大宗农产品加工转化。重点地区是改善农村特别是西</w:t>
      </w:r>
      <w:r>
        <w:rPr>
          <w:rFonts w:ascii="宋体" w:eastAsia="宋体" w:hAnsi="宋体" w:cs="宋体"/>
          <w:spacing w:val="10"/>
          <w:sz w:val="22"/>
          <w:szCs w:val="22"/>
        </w:rPr>
        <w:t xml:space="preserve"> </w:t>
      </w:r>
      <w:r>
        <w:rPr>
          <w:rFonts w:ascii="宋体" w:eastAsia="宋体" w:hAnsi="宋体" w:cs="宋体"/>
          <w:spacing w:val="-13"/>
          <w:sz w:val="22"/>
          <w:szCs w:val="22"/>
        </w:rPr>
        <w:t>部农村地区的营养状况，提高农民收入和消费水平。重点人群是少年儿童、妇幼</w:t>
      </w:r>
      <w:r>
        <w:rPr>
          <w:rFonts w:ascii="宋体" w:eastAsia="宋体" w:hAnsi="宋体" w:cs="宋体"/>
          <w:spacing w:val="6"/>
          <w:sz w:val="22"/>
          <w:szCs w:val="22"/>
        </w:rPr>
        <w:t xml:space="preserve"> </w:t>
      </w:r>
      <w:r>
        <w:rPr>
          <w:rFonts w:ascii="宋体" w:eastAsia="宋体" w:hAnsi="宋体" w:cs="宋体"/>
          <w:spacing w:val="-13"/>
          <w:sz w:val="22"/>
          <w:szCs w:val="22"/>
        </w:rPr>
        <w:t>和老年人群体，保障这些群体的营养供给，满足其特殊需要，减少营养不足和营</w:t>
      </w:r>
      <w:r>
        <w:rPr>
          <w:rFonts w:ascii="宋体" w:eastAsia="宋体" w:hAnsi="宋体" w:cs="宋体"/>
          <w:spacing w:val="7"/>
          <w:sz w:val="22"/>
          <w:szCs w:val="22"/>
        </w:rPr>
        <w:t xml:space="preserve"> </w:t>
      </w:r>
      <w:r>
        <w:rPr>
          <w:rFonts w:ascii="宋体" w:eastAsia="宋体" w:hAnsi="宋体" w:cs="宋体"/>
          <w:spacing w:val="-18"/>
          <w:sz w:val="22"/>
          <w:szCs w:val="22"/>
        </w:rPr>
        <w:t>养不平衡问题。</w:t>
      </w:r>
    </w:p>
    <w:p w:rsidR="00EA40A3" w:rsidRDefault="00E86C16">
      <w:pPr>
        <w:spacing w:before="208" w:line="222" w:lineRule="auto"/>
        <w:rPr>
          <w:rFonts w:ascii="仿宋" w:eastAsia="仿宋" w:hAnsi="仿宋" w:cs="仿宋"/>
          <w:sz w:val="22"/>
          <w:szCs w:val="22"/>
        </w:rPr>
      </w:pPr>
      <w:r>
        <w:rPr>
          <w:rFonts w:ascii="仿宋" w:eastAsia="仿宋" w:hAnsi="仿宋" w:cs="仿宋"/>
          <w:spacing w:val="9"/>
          <w:sz w:val="22"/>
          <w:szCs w:val="22"/>
        </w:rPr>
        <w:t>3.</w:t>
      </w:r>
      <w:r>
        <w:rPr>
          <w:rFonts w:ascii="仿宋" w:eastAsia="仿宋" w:hAnsi="仿宋" w:cs="仿宋"/>
          <w:spacing w:val="-36"/>
          <w:sz w:val="22"/>
          <w:szCs w:val="22"/>
        </w:rPr>
        <w:t xml:space="preserve"> </w:t>
      </w:r>
      <w:r>
        <w:rPr>
          <w:rFonts w:ascii="仿宋" w:eastAsia="仿宋" w:hAnsi="仿宋" w:cs="仿宋"/>
          <w:spacing w:val="9"/>
          <w:sz w:val="22"/>
          <w:szCs w:val="22"/>
        </w:rPr>
        <w:t>各项政策措施</w:t>
      </w:r>
    </w:p>
    <w:p w:rsidR="00EA40A3" w:rsidRDefault="00E86C16">
      <w:pPr>
        <w:spacing w:before="185" w:line="247" w:lineRule="auto"/>
        <w:ind w:right="77" w:firstLine="419"/>
        <w:jc w:val="both"/>
        <w:rPr>
          <w:rFonts w:ascii="宋体" w:eastAsia="宋体" w:hAnsi="宋体" w:cs="宋体"/>
          <w:sz w:val="22"/>
          <w:szCs w:val="22"/>
        </w:rPr>
      </w:pPr>
      <w:r>
        <w:rPr>
          <w:rFonts w:ascii="宋体" w:eastAsia="宋体" w:hAnsi="宋体" w:cs="宋体"/>
          <w:spacing w:val="-7"/>
          <w:sz w:val="22"/>
          <w:szCs w:val="22"/>
        </w:rPr>
        <w:t>调整食物结构，提高食物综合供给能力；加强法制建设，保</w:t>
      </w:r>
      <w:r>
        <w:rPr>
          <w:rFonts w:ascii="宋体" w:eastAsia="宋体" w:hAnsi="宋体" w:cs="宋体"/>
          <w:spacing w:val="-8"/>
          <w:sz w:val="22"/>
          <w:szCs w:val="22"/>
        </w:rPr>
        <w:t>护食物资源环</w:t>
      </w:r>
      <w:r>
        <w:rPr>
          <w:rFonts w:ascii="宋体" w:eastAsia="宋体" w:hAnsi="宋体" w:cs="宋体"/>
          <w:sz w:val="22"/>
          <w:szCs w:val="22"/>
        </w:rPr>
        <w:t xml:space="preserve"> </w:t>
      </w:r>
      <w:r>
        <w:rPr>
          <w:rFonts w:ascii="宋体" w:eastAsia="宋体" w:hAnsi="宋体" w:cs="宋体"/>
          <w:spacing w:val="-7"/>
          <w:sz w:val="22"/>
          <w:szCs w:val="22"/>
        </w:rPr>
        <w:t>境；依靠科技进步，提高全民营养意识；改善居民营养结构，保障我国食物安</w:t>
      </w:r>
      <w:r>
        <w:rPr>
          <w:rFonts w:ascii="宋体" w:eastAsia="宋体" w:hAnsi="宋体" w:cs="宋体"/>
          <w:spacing w:val="9"/>
          <w:sz w:val="22"/>
          <w:szCs w:val="22"/>
        </w:rPr>
        <w:t xml:space="preserve"> </w:t>
      </w:r>
      <w:r>
        <w:rPr>
          <w:rFonts w:ascii="宋体" w:eastAsia="宋体" w:hAnsi="宋体" w:cs="宋体"/>
          <w:spacing w:val="-16"/>
          <w:sz w:val="22"/>
          <w:szCs w:val="22"/>
        </w:rPr>
        <w:t>全；加强对食物与营养的领导。</w:t>
      </w:r>
    </w:p>
    <w:p w:rsidR="00EA40A3" w:rsidRDefault="00EA40A3">
      <w:pPr>
        <w:sectPr w:rsidR="00EA40A3">
          <w:footerReference w:type="default" r:id="rId339"/>
          <w:pgSz w:w="9220" w:h="13360"/>
          <w:pgMar w:top="400" w:right="1020" w:bottom="1336" w:left="869" w:header="0" w:footer="1114" w:gutter="0"/>
          <w:cols w:space="720"/>
        </w:sectPr>
      </w:pPr>
    </w:p>
    <w:p w:rsidR="00EA40A3" w:rsidRDefault="00EA40A3">
      <w:pPr>
        <w:spacing w:line="248" w:lineRule="auto"/>
      </w:pPr>
    </w:p>
    <w:p w:rsidR="00EA40A3" w:rsidRDefault="00EA40A3">
      <w:pPr>
        <w:spacing w:line="248" w:lineRule="auto"/>
      </w:pPr>
    </w:p>
    <w:p w:rsidR="00EA40A3" w:rsidRDefault="00EA40A3">
      <w:pPr>
        <w:spacing w:line="248" w:lineRule="auto"/>
      </w:pPr>
    </w:p>
    <w:p w:rsidR="00EA40A3" w:rsidRDefault="00E86C16">
      <w:pPr>
        <w:spacing w:before="75" w:line="221" w:lineRule="auto"/>
        <w:ind w:left="3"/>
        <w:outlineLvl w:val="6"/>
        <w:rPr>
          <w:rFonts w:ascii="黑体" w:eastAsia="黑体" w:hAnsi="黑体" w:cs="黑体"/>
          <w:sz w:val="23"/>
          <w:szCs w:val="23"/>
        </w:rPr>
      </w:pPr>
      <w:r>
        <w:rPr>
          <w:rFonts w:ascii="黑体" w:eastAsia="黑体" w:hAnsi="黑体" w:cs="黑体"/>
          <w:b/>
          <w:bCs/>
          <w:spacing w:val="-2"/>
          <w:sz w:val="23"/>
          <w:szCs w:val="23"/>
        </w:rPr>
        <w:t>12.6.2</w:t>
      </w:r>
      <w:r>
        <w:rPr>
          <w:rFonts w:ascii="黑体" w:eastAsia="黑体" w:hAnsi="黑体" w:cs="黑体"/>
          <w:spacing w:val="24"/>
          <w:sz w:val="23"/>
          <w:szCs w:val="23"/>
        </w:rPr>
        <w:t xml:space="preserve">  </w:t>
      </w:r>
      <w:r>
        <w:rPr>
          <w:rFonts w:ascii="黑体" w:eastAsia="黑体" w:hAnsi="黑体" w:cs="黑体"/>
          <w:b/>
          <w:bCs/>
          <w:spacing w:val="-2"/>
          <w:sz w:val="23"/>
          <w:szCs w:val="23"/>
        </w:rPr>
        <w:t>大力发展食品工业</w:t>
      </w:r>
    </w:p>
    <w:p w:rsidR="00EA40A3" w:rsidRDefault="00E86C16">
      <w:pPr>
        <w:spacing w:before="168" w:line="236" w:lineRule="auto"/>
        <w:ind w:right="93" w:firstLine="410"/>
        <w:jc w:val="both"/>
        <w:rPr>
          <w:rFonts w:ascii="宋体" w:eastAsia="宋体" w:hAnsi="宋体" w:cs="宋体"/>
          <w:sz w:val="23"/>
          <w:szCs w:val="23"/>
        </w:rPr>
      </w:pPr>
      <w:r>
        <w:rPr>
          <w:rFonts w:ascii="宋体" w:eastAsia="宋体" w:hAnsi="宋体" w:cs="宋体"/>
          <w:spacing w:val="-15"/>
          <w:sz w:val="23"/>
          <w:szCs w:val="23"/>
        </w:rPr>
        <w:t>1995年我国企业普查结果表明，食品工业总产值居各</w:t>
      </w:r>
      <w:r>
        <w:rPr>
          <w:rFonts w:ascii="宋体" w:eastAsia="宋体" w:hAnsi="宋体" w:cs="宋体"/>
          <w:spacing w:val="-16"/>
          <w:sz w:val="23"/>
          <w:szCs w:val="23"/>
        </w:rPr>
        <w:t>工业部门之首，食品</w:t>
      </w:r>
      <w:r>
        <w:rPr>
          <w:rFonts w:ascii="宋体" w:eastAsia="宋体" w:hAnsi="宋体" w:cs="宋体"/>
          <w:sz w:val="23"/>
          <w:szCs w:val="23"/>
        </w:rPr>
        <w:t xml:space="preserve"> </w:t>
      </w:r>
      <w:r>
        <w:rPr>
          <w:rFonts w:ascii="宋体" w:eastAsia="宋体" w:hAnsi="宋体" w:cs="宋体"/>
          <w:spacing w:val="-23"/>
          <w:sz w:val="23"/>
          <w:szCs w:val="23"/>
        </w:rPr>
        <w:t>工业在国民经济建设中发挥着越来越重要的作用，对提高人民膳食营养水平、调</w:t>
      </w:r>
      <w:r>
        <w:rPr>
          <w:rFonts w:ascii="宋体" w:eastAsia="宋体" w:hAnsi="宋体" w:cs="宋体"/>
          <w:spacing w:val="1"/>
          <w:sz w:val="23"/>
          <w:szCs w:val="23"/>
        </w:rPr>
        <w:t xml:space="preserve"> </w:t>
      </w:r>
      <w:r>
        <w:rPr>
          <w:rFonts w:ascii="宋体" w:eastAsia="宋体" w:hAnsi="宋体" w:cs="宋体"/>
          <w:spacing w:val="-23"/>
          <w:sz w:val="23"/>
          <w:szCs w:val="23"/>
        </w:rPr>
        <w:t>整食物结构、提高食物营养成分的利用率、调节食物生产和消费的矛</w:t>
      </w:r>
      <w:r>
        <w:rPr>
          <w:rFonts w:ascii="宋体" w:eastAsia="宋体" w:hAnsi="宋体" w:cs="宋体"/>
          <w:spacing w:val="-24"/>
          <w:sz w:val="23"/>
          <w:szCs w:val="23"/>
        </w:rPr>
        <w:t>盾等也具有</w:t>
      </w:r>
      <w:r>
        <w:rPr>
          <w:rFonts w:ascii="宋体" w:eastAsia="宋体" w:hAnsi="宋体" w:cs="宋体"/>
          <w:sz w:val="23"/>
          <w:szCs w:val="23"/>
        </w:rPr>
        <w:t xml:space="preserve"> </w:t>
      </w:r>
      <w:r>
        <w:rPr>
          <w:rFonts w:ascii="宋体" w:eastAsia="宋体" w:hAnsi="宋体" w:cs="宋体"/>
          <w:spacing w:val="-27"/>
          <w:sz w:val="23"/>
          <w:szCs w:val="23"/>
        </w:rPr>
        <w:t>十分重要的影响。</w:t>
      </w:r>
    </w:p>
    <w:p w:rsidR="00EA40A3" w:rsidRDefault="00E86C16">
      <w:pPr>
        <w:spacing w:before="172" w:line="256" w:lineRule="auto"/>
        <w:ind w:left="410" w:right="153" w:hanging="410"/>
        <w:rPr>
          <w:rFonts w:ascii="仿宋" w:eastAsia="仿宋" w:hAnsi="仿宋" w:cs="仿宋"/>
          <w:sz w:val="23"/>
          <w:szCs w:val="23"/>
        </w:rPr>
      </w:pPr>
      <w:r>
        <w:rPr>
          <w:rFonts w:ascii="仿宋" w:eastAsia="仿宋" w:hAnsi="仿宋" w:cs="仿宋"/>
          <w:spacing w:val="7"/>
          <w:sz w:val="23"/>
          <w:szCs w:val="23"/>
        </w:rPr>
        <w:t>1.</w:t>
      </w:r>
      <w:r>
        <w:rPr>
          <w:rFonts w:ascii="仿宋" w:eastAsia="仿宋" w:hAnsi="仿宋" w:cs="仿宋"/>
          <w:spacing w:val="-30"/>
          <w:sz w:val="23"/>
          <w:szCs w:val="23"/>
        </w:rPr>
        <w:t xml:space="preserve"> </w:t>
      </w:r>
      <w:r>
        <w:rPr>
          <w:rFonts w:ascii="仿宋" w:eastAsia="仿宋" w:hAnsi="仿宋" w:cs="仿宋"/>
          <w:spacing w:val="7"/>
          <w:sz w:val="23"/>
          <w:szCs w:val="23"/>
        </w:rPr>
        <w:t>城乡居民生活水平的逐步提高，对工业食</w:t>
      </w:r>
      <w:r>
        <w:rPr>
          <w:rFonts w:ascii="仿宋" w:eastAsia="仿宋" w:hAnsi="仿宋" w:cs="仿宋"/>
          <w:spacing w:val="6"/>
          <w:sz w:val="23"/>
          <w:szCs w:val="23"/>
        </w:rPr>
        <w:t>品的质量、品种、特色等</w:t>
      </w:r>
      <w:r>
        <w:rPr>
          <w:rFonts w:ascii="仿宋" w:eastAsia="仿宋" w:hAnsi="仿宋" w:cs="仿宋"/>
          <w:sz w:val="23"/>
          <w:szCs w:val="23"/>
        </w:rPr>
        <w:t xml:space="preserve"> </w:t>
      </w:r>
      <w:r>
        <w:rPr>
          <w:rFonts w:ascii="仿宋" w:eastAsia="仿宋" w:hAnsi="仿宋" w:cs="仿宋"/>
          <w:spacing w:val="3"/>
          <w:sz w:val="23"/>
          <w:szCs w:val="23"/>
        </w:rPr>
        <w:t>方面提出了新的要求</w:t>
      </w:r>
    </w:p>
    <w:p w:rsidR="00EA40A3" w:rsidRDefault="00E86C16">
      <w:pPr>
        <w:spacing w:before="166" w:line="230" w:lineRule="auto"/>
        <w:ind w:right="98" w:firstLine="410"/>
        <w:jc w:val="both"/>
        <w:rPr>
          <w:rFonts w:ascii="宋体" w:eastAsia="宋体" w:hAnsi="宋体" w:cs="宋体"/>
          <w:sz w:val="23"/>
          <w:szCs w:val="23"/>
        </w:rPr>
      </w:pPr>
      <w:r>
        <w:rPr>
          <w:rFonts w:ascii="宋体" w:eastAsia="宋体" w:hAnsi="宋体" w:cs="宋体"/>
          <w:spacing w:val="-23"/>
          <w:sz w:val="23"/>
          <w:szCs w:val="23"/>
        </w:rPr>
        <w:t>在小康社会，人们对工业食品的主要需求已从“量”的满足，转向“质”的</w:t>
      </w:r>
      <w:r>
        <w:rPr>
          <w:rFonts w:ascii="宋体" w:eastAsia="宋体" w:hAnsi="宋体" w:cs="宋体"/>
          <w:spacing w:val="4"/>
          <w:sz w:val="23"/>
          <w:szCs w:val="23"/>
        </w:rPr>
        <w:t xml:space="preserve"> </w:t>
      </w:r>
      <w:r>
        <w:rPr>
          <w:rFonts w:ascii="宋体" w:eastAsia="宋体" w:hAnsi="宋体" w:cs="宋体"/>
          <w:spacing w:val="-23"/>
          <w:sz w:val="23"/>
          <w:szCs w:val="23"/>
        </w:rPr>
        <w:t>提高，城乡食物消费处于由温饱型向小康型过渡的时期，其特点表</w:t>
      </w:r>
      <w:r>
        <w:rPr>
          <w:rFonts w:ascii="宋体" w:eastAsia="宋体" w:hAnsi="宋体" w:cs="宋体"/>
          <w:spacing w:val="-24"/>
          <w:sz w:val="23"/>
          <w:szCs w:val="23"/>
        </w:rPr>
        <w:t>现为：安全卫</w:t>
      </w:r>
      <w:r>
        <w:rPr>
          <w:rFonts w:ascii="宋体" w:eastAsia="宋体" w:hAnsi="宋体" w:cs="宋体"/>
          <w:sz w:val="23"/>
          <w:szCs w:val="23"/>
        </w:rPr>
        <w:t xml:space="preserve"> </w:t>
      </w:r>
      <w:r>
        <w:rPr>
          <w:rFonts w:ascii="宋体" w:eastAsia="宋体" w:hAnsi="宋体" w:cs="宋体"/>
          <w:spacing w:val="-23"/>
          <w:sz w:val="23"/>
          <w:szCs w:val="23"/>
        </w:rPr>
        <w:t>生、营养科学合理、品种丰富多样、食用方便、体现中国食文化。因此</w:t>
      </w:r>
      <w:r>
        <w:rPr>
          <w:rFonts w:ascii="宋体" w:eastAsia="宋体" w:hAnsi="宋体" w:cs="宋体"/>
          <w:spacing w:val="-24"/>
          <w:sz w:val="23"/>
          <w:szCs w:val="23"/>
        </w:rPr>
        <w:t>，食品工</w:t>
      </w:r>
      <w:r>
        <w:rPr>
          <w:rFonts w:ascii="宋体" w:eastAsia="宋体" w:hAnsi="宋体" w:cs="宋体"/>
          <w:sz w:val="23"/>
          <w:szCs w:val="23"/>
        </w:rPr>
        <w:t xml:space="preserve"> </w:t>
      </w:r>
      <w:r>
        <w:rPr>
          <w:rFonts w:ascii="宋体" w:eastAsia="宋体" w:hAnsi="宋体" w:cs="宋体"/>
          <w:spacing w:val="-23"/>
          <w:sz w:val="23"/>
          <w:szCs w:val="23"/>
        </w:rPr>
        <w:t>业产品结构调整的方向必须明确，企业应从这种食品消费需求的趋势中，科</w:t>
      </w:r>
      <w:r>
        <w:rPr>
          <w:rFonts w:ascii="宋体" w:eastAsia="宋体" w:hAnsi="宋体" w:cs="宋体"/>
          <w:spacing w:val="-24"/>
          <w:sz w:val="23"/>
          <w:szCs w:val="23"/>
        </w:rPr>
        <w:t>学定</w:t>
      </w:r>
      <w:r>
        <w:rPr>
          <w:rFonts w:ascii="宋体" w:eastAsia="宋体" w:hAnsi="宋体" w:cs="宋体"/>
          <w:sz w:val="23"/>
          <w:szCs w:val="23"/>
        </w:rPr>
        <w:t xml:space="preserve"> </w:t>
      </w:r>
      <w:r>
        <w:rPr>
          <w:rFonts w:ascii="宋体" w:eastAsia="宋体" w:hAnsi="宋体" w:cs="宋体"/>
          <w:spacing w:val="-26"/>
          <w:sz w:val="23"/>
          <w:szCs w:val="23"/>
        </w:rPr>
        <w:t>位，合理发展。</w:t>
      </w:r>
    </w:p>
    <w:p w:rsidR="00EA40A3" w:rsidRDefault="00E86C16">
      <w:pPr>
        <w:spacing w:before="262" w:line="221" w:lineRule="auto"/>
        <w:rPr>
          <w:rFonts w:ascii="仿宋" w:eastAsia="仿宋" w:hAnsi="仿宋" w:cs="仿宋"/>
          <w:sz w:val="23"/>
          <w:szCs w:val="23"/>
        </w:rPr>
      </w:pPr>
      <w:r>
        <w:rPr>
          <w:rFonts w:ascii="仿宋" w:eastAsia="仿宋" w:hAnsi="仿宋" w:cs="仿宋"/>
          <w:spacing w:val="7"/>
          <w:sz w:val="23"/>
          <w:szCs w:val="23"/>
        </w:rPr>
        <w:t>2.</w:t>
      </w:r>
      <w:r>
        <w:rPr>
          <w:rFonts w:ascii="仿宋" w:eastAsia="仿宋" w:hAnsi="仿宋" w:cs="仿宋"/>
          <w:spacing w:val="-25"/>
          <w:sz w:val="23"/>
          <w:szCs w:val="23"/>
        </w:rPr>
        <w:t xml:space="preserve"> </w:t>
      </w:r>
      <w:r>
        <w:rPr>
          <w:rFonts w:ascii="仿宋" w:eastAsia="仿宋" w:hAnsi="仿宋" w:cs="仿宋"/>
          <w:spacing w:val="7"/>
          <w:sz w:val="23"/>
          <w:szCs w:val="23"/>
        </w:rPr>
        <w:t>提高传统主食品和畜产食品的工业化水平，实现膳食营养</w:t>
      </w:r>
      <w:r>
        <w:rPr>
          <w:rFonts w:ascii="仿宋" w:eastAsia="仿宋" w:hAnsi="仿宋" w:cs="仿宋"/>
          <w:spacing w:val="6"/>
          <w:sz w:val="23"/>
          <w:szCs w:val="23"/>
        </w:rPr>
        <w:t>的新目标</w:t>
      </w:r>
    </w:p>
    <w:p w:rsidR="00EA40A3" w:rsidRDefault="00E86C16">
      <w:pPr>
        <w:spacing w:before="171" w:line="237" w:lineRule="auto"/>
        <w:ind w:firstLine="410"/>
        <w:jc w:val="both"/>
        <w:rPr>
          <w:rFonts w:ascii="宋体" w:eastAsia="宋体" w:hAnsi="宋体" w:cs="宋体"/>
          <w:sz w:val="23"/>
          <w:szCs w:val="23"/>
        </w:rPr>
      </w:pPr>
      <w:r>
        <w:rPr>
          <w:rFonts w:ascii="宋体" w:eastAsia="宋体" w:hAnsi="宋体" w:cs="宋体"/>
          <w:spacing w:val="-19"/>
          <w:sz w:val="23"/>
          <w:szCs w:val="23"/>
        </w:rPr>
        <w:t>全国食品工业2010年发展规划提出，近年，我国人民膳食营养水平应达到：</w:t>
      </w:r>
      <w:r>
        <w:rPr>
          <w:rFonts w:ascii="宋体" w:eastAsia="宋体" w:hAnsi="宋体" w:cs="宋体"/>
          <w:spacing w:val="9"/>
          <w:sz w:val="23"/>
          <w:szCs w:val="23"/>
        </w:rPr>
        <w:t xml:space="preserve"> </w:t>
      </w:r>
      <w:r>
        <w:rPr>
          <w:rFonts w:ascii="宋体" w:eastAsia="宋体" w:hAnsi="宋体" w:cs="宋体"/>
          <w:spacing w:val="-11"/>
          <w:sz w:val="23"/>
          <w:szCs w:val="23"/>
        </w:rPr>
        <w:t>人均每日供给热量2450kcal、蛋白质73g</w:t>
      </w:r>
      <w:r>
        <w:rPr>
          <w:rFonts w:ascii="宋体" w:eastAsia="宋体" w:hAnsi="宋体" w:cs="宋体"/>
          <w:spacing w:val="-6"/>
          <w:sz w:val="23"/>
          <w:szCs w:val="23"/>
        </w:rPr>
        <w:t xml:space="preserve"> </w:t>
      </w:r>
      <w:r>
        <w:rPr>
          <w:rFonts w:ascii="宋体" w:eastAsia="宋体" w:hAnsi="宋体" w:cs="宋体"/>
          <w:spacing w:val="-11"/>
          <w:sz w:val="23"/>
          <w:szCs w:val="23"/>
        </w:rPr>
        <w:t>(其中动物性蛋白占35%)、脂肪63g,</w:t>
      </w:r>
      <w:r>
        <w:rPr>
          <w:rFonts w:ascii="宋体" w:eastAsia="宋体" w:hAnsi="宋体" w:cs="宋体"/>
          <w:sz w:val="23"/>
          <w:szCs w:val="23"/>
        </w:rPr>
        <w:t xml:space="preserve">  </w:t>
      </w:r>
      <w:r>
        <w:rPr>
          <w:rFonts w:ascii="宋体" w:eastAsia="宋体" w:hAnsi="宋体" w:cs="宋体"/>
          <w:spacing w:val="-11"/>
          <w:sz w:val="23"/>
          <w:szCs w:val="23"/>
        </w:rPr>
        <w:t>2010年人均每日供给热量2600kcal、蛋白质77g</w:t>
      </w:r>
      <w:r>
        <w:rPr>
          <w:rFonts w:ascii="宋体" w:eastAsia="宋体" w:hAnsi="宋体" w:cs="宋体"/>
          <w:spacing w:val="8"/>
          <w:sz w:val="23"/>
          <w:szCs w:val="23"/>
        </w:rPr>
        <w:t xml:space="preserve"> </w:t>
      </w:r>
      <w:r>
        <w:rPr>
          <w:rFonts w:ascii="宋体" w:eastAsia="宋体" w:hAnsi="宋体" w:cs="宋体"/>
          <w:spacing w:val="-11"/>
          <w:sz w:val="23"/>
          <w:szCs w:val="23"/>
        </w:rPr>
        <w:t>(其中动物性蛋白占35%)、脂</w:t>
      </w:r>
      <w:r>
        <w:rPr>
          <w:rFonts w:ascii="宋体" w:eastAsia="宋体" w:hAnsi="宋体" w:cs="宋体"/>
          <w:sz w:val="23"/>
          <w:szCs w:val="23"/>
        </w:rPr>
        <w:t xml:space="preserve">  </w:t>
      </w:r>
      <w:r>
        <w:rPr>
          <w:rFonts w:ascii="宋体" w:eastAsia="宋体" w:hAnsi="宋体" w:cs="宋体"/>
          <w:spacing w:val="-20"/>
          <w:sz w:val="23"/>
          <w:szCs w:val="23"/>
        </w:rPr>
        <w:t>肪65g。为实现这一</w:t>
      </w:r>
      <w:r>
        <w:rPr>
          <w:rFonts w:ascii="宋体" w:eastAsia="宋体" w:hAnsi="宋体" w:cs="宋体"/>
          <w:spacing w:val="-60"/>
          <w:sz w:val="23"/>
          <w:szCs w:val="23"/>
        </w:rPr>
        <w:t xml:space="preserve"> </w:t>
      </w:r>
      <w:r>
        <w:rPr>
          <w:rFonts w:ascii="宋体" w:eastAsia="宋体" w:hAnsi="宋体" w:cs="宋体"/>
          <w:spacing w:val="-20"/>
          <w:sz w:val="23"/>
          <w:szCs w:val="23"/>
        </w:rPr>
        <w:t>目标，食品工业要加快米、面方便制品加工，大豆加工，淀</w:t>
      </w:r>
      <w:r>
        <w:rPr>
          <w:rFonts w:ascii="宋体" w:eastAsia="宋体" w:hAnsi="宋体" w:cs="宋体"/>
          <w:sz w:val="23"/>
          <w:szCs w:val="23"/>
        </w:rPr>
        <w:t xml:space="preserve"> </w:t>
      </w:r>
      <w:r>
        <w:rPr>
          <w:rFonts w:ascii="宋体" w:eastAsia="宋体" w:hAnsi="宋体" w:cs="宋体"/>
          <w:spacing w:val="-23"/>
          <w:sz w:val="23"/>
          <w:szCs w:val="23"/>
        </w:rPr>
        <w:t>粉衍生物加工，油脂加工，肉类，乳类及水产食品加工，促进营养烹饪</w:t>
      </w:r>
      <w:r>
        <w:rPr>
          <w:rFonts w:ascii="宋体" w:eastAsia="宋体" w:hAnsi="宋体" w:cs="宋体"/>
          <w:spacing w:val="-24"/>
          <w:sz w:val="23"/>
          <w:szCs w:val="23"/>
        </w:rPr>
        <w:t>食品向工</w:t>
      </w:r>
      <w:r>
        <w:rPr>
          <w:rFonts w:ascii="宋体" w:eastAsia="宋体" w:hAnsi="宋体" w:cs="宋体"/>
          <w:sz w:val="23"/>
          <w:szCs w:val="23"/>
        </w:rPr>
        <w:t xml:space="preserve">  </w:t>
      </w:r>
      <w:r>
        <w:rPr>
          <w:rFonts w:ascii="宋体" w:eastAsia="宋体" w:hAnsi="宋体" w:cs="宋体"/>
          <w:spacing w:val="-27"/>
          <w:sz w:val="23"/>
          <w:szCs w:val="23"/>
        </w:rPr>
        <w:t>业化发展。</w:t>
      </w:r>
    </w:p>
    <w:p w:rsidR="00EA40A3" w:rsidRDefault="00E86C16">
      <w:pPr>
        <w:spacing w:before="212" w:line="221" w:lineRule="auto"/>
        <w:rPr>
          <w:rFonts w:ascii="仿宋" w:eastAsia="仿宋" w:hAnsi="仿宋" w:cs="仿宋"/>
          <w:sz w:val="23"/>
          <w:szCs w:val="23"/>
        </w:rPr>
      </w:pPr>
      <w:r>
        <w:rPr>
          <w:rFonts w:ascii="仿宋" w:eastAsia="仿宋" w:hAnsi="仿宋" w:cs="仿宋"/>
          <w:spacing w:val="4"/>
          <w:sz w:val="23"/>
          <w:szCs w:val="23"/>
        </w:rPr>
        <w:t>3.</w:t>
      </w:r>
      <w:r>
        <w:rPr>
          <w:rFonts w:ascii="仿宋" w:eastAsia="仿宋" w:hAnsi="仿宋" w:cs="仿宋"/>
          <w:spacing w:val="-47"/>
          <w:sz w:val="23"/>
          <w:szCs w:val="23"/>
        </w:rPr>
        <w:t xml:space="preserve"> </w:t>
      </w:r>
      <w:r>
        <w:rPr>
          <w:rFonts w:ascii="仿宋" w:eastAsia="仿宋" w:hAnsi="仿宋" w:cs="仿宋"/>
          <w:spacing w:val="4"/>
          <w:sz w:val="23"/>
          <w:szCs w:val="23"/>
        </w:rPr>
        <w:t>积极发展营养保健食品</w:t>
      </w:r>
    </w:p>
    <w:p w:rsidR="00EA40A3" w:rsidRDefault="00E86C16">
      <w:pPr>
        <w:spacing w:before="196" w:line="238" w:lineRule="auto"/>
        <w:ind w:right="73" w:firstLine="410"/>
        <w:jc w:val="both"/>
        <w:rPr>
          <w:rFonts w:ascii="宋体" w:eastAsia="宋体" w:hAnsi="宋体" w:cs="宋体"/>
          <w:sz w:val="23"/>
          <w:szCs w:val="23"/>
        </w:rPr>
      </w:pPr>
      <w:r>
        <w:rPr>
          <w:rFonts w:ascii="宋体" w:eastAsia="宋体" w:hAnsi="宋体" w:cs="宋体"/>
          <w:spacing w:val="-17"/>
          <w:sz w:val="23"/>
          <w:szCs w:val="23"/>
        </w:rPr>
        <w:t>推广主食营养强化，在米、面制品中添加人群普遍缺少的维生素和微量元</w:t>
      </w:r>
      <w:r>
        <w:rPr>
          <w:rFonts w:ascii="宋体" w:eastAsia="宋体" w:hAnsi="宋体" w:cs="宋体"/>
          <w:spacing w:val="12"/>
          <w:sz w:val="23"/>
          <w:szCs w:val="23"/>
        </w:rPr>
        <w:t xml:space="preserve"> </w:t>
      </w:r>
      <w:r>
        <w:rPr>
          <w:rFonts w:ascii="宋体" w:eastAsia="宋体" w:hAnsi="宋体" w:cs="宋体"/>
          <w:spacing w:val="-17"/>
          <w:sz w:val="23"/>
          <w:szCs w:val="23"/>
        </w:rPr>
        <w:t>素，在食用油中添加维生素A</w:t>
      </w:r>
      <w:r>
        <w:rPr>
          <w:rFonts w:ascii="宋体" w:eastAsia="宋体" w:hAnsi="宋体" w:cs="宋体"/>
          <w:spacing w:val="-4"/>
          <w:sz w:val="23"/>
          <w:szCs w:val="23"/>
        </w:rPr>
        <w:t xml:space="preserve"> </w:t>
      </w:r>
      <w:r>
        <w:rPr>
          <w:rFonts w:ascii="宋体" w:eastAsia="宋体" w:hAnsi="宋体" w:cs="宋体"/>
          <w:spacing w:val="-17"/>
          <w:sz w:val="23"/>
          <w:szCs w:val="23"/>
        </w:rPr>
        <w:t>等，在乳中强化钙、铁、锌及维生素。针对老年</w:t>
      </w:r>
      <w:r>
        <w:rPr>
          <w:rFonts w:ascii="宋体" w:eastAsia="宋体" w:hAnsi="宋体" w:cs="宋体"/>
          <w:sz w:val="23"/>
          <w:szCs w:val="23"/>
        </w:rPr>
        <w:t xml:space="preserve"> </w:t>
      </w:r>
      <w:r>
        <w:rPr>
          <w:rFonts w:ascii="宋体" w:eastAsia="宋体" w:hAnsi="宋体" w:cs="宋体"/>
          <w:spacing w:val="-24"/>
          <w:sz w:val="23"/>
          <w:szCs w:val="23"/>
        </w:rPr>
        <w:t>人比例上升，老年慢性病高发的特点，着重开发易消化、低盐、低糖、高膳食纤</w:t>
      </w:r>
      <w:r>
        <w:rPr>
          <w:rFonts w:ascii="宋体" w:eastAsia="宋体" w:hAnsi="宋体" w:cs="宋体"/>
          <w:spacing w:val="7"/>
          <w:sz w:val="23"/>
          <w:szCs w:val="23"/>
        </w:rPr>
        <w:t xml:space="preserve"> </w:t>
      </w:r>
      <w:r>
        <w:rPr>
          <w:rFonts w:ascii="宋体" w:eastAsia="宋体" w:hAnsi="宋体" w:cs="宋体"/>
          <w:spacing w:val="-19"/>
          <w:sz w:val="23"/>
          <w:szCs w:val="23"/>
        </w:rPr>
        <w:t>维、高蛋白以及增强免疫力、缓解衰老的食品。开发推广用于4～24月龄婴幼儿</w:t>
      </w:r>
      <w:r>
        <w:rPr>
          <w:rFonts w:ascii="宋体" w:eastAsia="宋体" w:hAnsi="宋体" w:cs="宋体"/>
          <w:spacing w:val="17"/>
          <w:sz w:val="23"/>
          <w:szCs w:val="23"/>
        </w:rPr>
        <w:t xml:space="preserve"> </w:t>
      </w:r>
      <w:r>
        <w:rPr>
          <w:rFonts w:ascii="宋体" w:eastAsia="宋体" w:hAnsi="宋体" w:cs="宋体"/>
          <w:spacing w:val="-22"/>
          <w:sz w:val="23"/>
          <w:szCs w:val="23"/>
        </w:rPr>
        <w:t>的营养补充食品、特色儿童奶、学生奶、营养餐等，提高下</w:t>
      </w:r>
      <w:r>
        <w:rPr>
          <w:rFonts w:ascii="宋体" w:eastAsia="宋体" w:hAnsi="宋体" w:cs="宋体"/>
          <w:spacing w:val="-23"/>
          <w:sz w:val="23"/>
          <w:szCs w:val="23"/>
        </w:rPr>
        <w:t>一代的身体素质。在</w:t>
      </w:r>
      <w:r>
        <w:rPr>
          <w:rFonts w:ascii="宋体" w:eastAsia="宋体" w:hAnsi="宋体" w:cs="宋体"/>
          <w:sz w:val="23"/>
          <w:szCs w:val="23"/>
        </w:rPr>
        <w:t xml:space="preserve"> </w:t>
      </w:r>
      <w:r>
        <w:rPr>
          <w:rFonts w:ascii="宋体" w:eastAsia="宋体" w:hAnsi="宋体" w:cs="宋体"/>
          <w:spacing w:val="-22"/>
          <w:sz w:val="23"/>
          <w:szCs w:val="23"/>
        </w:rPr>
        <w:t>充分利用各地资源优势的基础上，不断发展无污染、无</w:t>
      </w:r>
      <w:r>
        <w:rPr>
          <w:rFonts w:ascii="宋体" w:eastAsia="宋体" w:hAnsi="宋体" w:cs="宋体"/>
          <w:spacing w:val="-23"/>
          <w:sz w:val="23"/>
          <w:szCs w:val="23"/>
        </w:rPr>
        <w:t>公害的安全、优质、营养</w:t>
      </w:r>
      <w:r>
        <w:rPr>
          <w:rFonts w:ascii="宋体" w:eastAsia="宋体" w:hAnsi="宋体" w:cs="宋体"/>
          <w:sz w:val="23"/>
          <w:szCs w:val="23"/>
        </w:rPr>
        <w:t xml:space="preserve"> </w:t>
      </w:r>
      <w:r>
        <w:rPr>
          <w:rFonts w:ascii="宋体" w:eastAsia="宋体" w:hAnsi="宋体" w:cs="宋体"/>
          <w:spacing w:val="-24"/>
          <w:sz w:val="23"/>
          <w:szCs w:val="23"/>
        </w:rPr>
        <w:t>的绿色食品，扩大绿色食品的生产规模。</w:t>
      </w:r>
    </w:p>
    <w:p w:rsidR="00EA40A3" w:rsidRDefault="00E86C16">
      <w:pPr>
        <w:spacing w:before="201" w:line="221" w:lineRule="auto"/>
        <w:ind w:left="3"/>
        <w:outlineLvl w:val="6"/>
        <w:rPr>
          <w:rFonts w:ascii="黑体" w:eastAsia="黑体" w:hAnsi="黑体" w:cs="黑体"/>
          <w:sz w:val="23"/>
          <w:szCs w:val="23"/>
        </w:rPr>
      </w:pPr>
      <w:r>
        <w:rPr>
          <w:rFonts w:ascii="黑体" w:eastAsia="黑体" w:hAnsi="黑体" w:cs="黑体"/>
          <w:b/>
          <w:bCs/>
          <w:spacing w:val="-1"/>
          <w:sz w:val="23"/>
          <w:szCs w:val="23"/>
        </w:rPr>
        <w:t>12.6.3</w:t>
      </w:r>
      <w:r>
        <w:rPr>
          <w:rFonts w:ascii="黑体" w:eastAsia="黑体" w:hAnsi="黑体" w:cs="黑体"/>
          <w:spacing w:val="14"/>
          <w:sz w:val="23"/>
          <w:szCs w:val="23"/>
        </w:rPr>
        <w:t xml:space="preserve">  </w:t>
      </w:r>
      <w:r>
        <w:rPr>
          <w:rFonts w:ascii="黑体" w:eastAsia="黑体" w:hAnsi="黑体" w:cs="黑体"/>
          <w:b/>
          <w:bCs/>
          <w:spacing w:val="-1"/>
          <w:sz w:val="23"/>
          <w:szCs w:val="23"/>
        </w:rPr>
        <w:t>实行食品营养标签</w:t>
      </w:r>
    </w:p>
    <w:p w:rsidR="00EA40A3" w:rsidRDefault="00E86C16">
      <w:pPr>
        <w:spacing w:before="200" w:line="223" w:lineRule="auto"/>
        <w:ind w:right="76" w:firstLine="410"/>
        <w:jc w:val="both"/>
        <w:rPr>
          <w:rFonts w:ascii="宋体" w:eastAsia="宋体" w:hAnsi="宋体" w:cs="宋体"/>
          <w:sz w:val="23"/>
          <w:szCs w:val="23"/>
        </w:rPr>
      </w:pPr>
      <w:r>
        <w:rPr>
          <w:rFonts w:ascii="宋体" w:eastAsia="宋体" w:hAnsi="宋体" w:cs="宋体"/>
          <w:spacing w:val="-21"/>
          <w:sz w:val="23"/>
          <w:szCs w:val="23"/>
        </w:rPr>
        <w:t>食品营养标签</w:t>
      </w:r>
      <w:r>
        <w:rPr>
          <w:rFonts w:ascii="宋体" w:eastAsia="宋体" w:hAnsi="宋体" w:cs="宋体"/>
          <w:spacing w:val="-14"/>
          <w:sz w:val="23"/>
          <w:szCs w:val="23"/>
        </w:rPr>
        <w:t xml:space="preserve"> </w:t>
      </w:r>
      <w:r>
        <w:rPr>
          <w:rFonts w:ascii="宋体" w:eastAsia="宋体" w:hAnsi="宋体" w:cs="宋体"/>
          <w:spacing w:val="-21"/>
          <w:sz w:val="23"/>
          <w:szCs w:val="23"/>
        </w:rPr>
        <w:t>(food</w:t>
      </w:r>
      <w:r>
        <w:rPr>
          <w:rFonts w:ascii="宋体" w:eastAsia="宋体" w:hAnsi="宋体" w:cs="宋体"/>
          <w:spacing w:val="-18"/>
          <w:sz w:val="23"/>
          <w:szCs w:val="23"/>
        </w:rPr>
        <w:t xml:space="preserve"> </w:t>
      </w:r>
      <w:r>
        <w:rPr>
          <w:rFonts w:ascii="宋体" w:eastAsia="宋体" w:hAnsi="宋体" w:cs="宋体"/>
          <w:spacing w:val="-21"/>
          <w:sz w:val="23"/>
          <w:szCs w:val="23"/>
        </w:rPr>
        <w:t>nutrition</w:t>
      </w:r>
      <w:r>
        <w:rPr>
          <w:rFonts w:ascii="宋体" w:eastAsia="宋体" w:hAnsi="宋体" w:cs="宋体"/>
          <w:spacing w:val="-5"/>
          <w:sz w:val="23"/>
          <w:szCs w:val="23"/>
        </w:rPr>
        <w:t xml:space="preserve"> </w:t>
      </w:r>
      <w:r>
        <w:rPr>
          <w:rFonts w:ascii="宋体" w:eastAsia="宋体" w:hAnsi="宋体" w:cs="宋体"/>
          <w:spacing w:val="-21"/>
          <w:sz w:val="23"/>
          <w:szCs w:val="23"/>
        </w:rPr>
        <w:t>label)</w:t>
      </w:r>
      <w:r>
        <w:rPr>
          <w:rFonts w:ascii="宋体" w:eastAsia="宋体" w:hAnsi="宋体" w:cs="宋体"/>
          <w:spacing w:val="-55"/>
          <w:sz w:val="23"/>
          <w:szCs w:val="23"/>
        </w:rPr>
        <w:t xml:space="preserve"> </w:t>
      </w:r>
      <w:r>
        <w:rPr>
          <w:rFonts w:ascii="宋体" w:eastAsia="宋体" w:hAnsi="宋体" w:cs="宋体"/>
          <w:spacing w:val="-21"/>
          <w:sz w:val="23"/>
          <w:szCs w:val="23"/>
        </w:rPr>
        <w:t>表达了</w:t>
      </w:r>
      <w:r>
        <w:rPr>
          <w:rFonts w:ascii="宋体" w:eastAsia="宋体" w:hAnsi="宋体" w:cs="宋体"/>
          <w:spacing w:val="-22"/>
          <w:sz w:val="23"/>
          <w:szCs w:val="23"/>
        </w:rPr>
        <w:t>一个食品的基本营养特性和营</w:t>
      </w:r>
      <w:r>
        <w:rPr>
          <w:rFonts w:ascii="宋体" w:eastAsia="宋体" w:hAnsi="宋体" w:cs="宋体"/>
          <w:sz w:val="23"/>
          <w:szCs w:val="23"/>
        </w:rPr>
        <w:t xml:space="preserve"> </w:t>
      </w:r>
      <w:r>
        <w:rPr>
          <w:rFonts w:ascii="宋体" w:eastAsia="宋体" w:hAnsi="宋体" w:cs="宋体"/>
          <w:spacing w:val="-22"/>
          <w:sz w:val="23"/>
          <w:szCs w:val="23"/>
        </w:rPr>
        <w:t>养信息，是消费者了解食品的营养组分和特征的来源</w:t>
      </w:r>
      <w:r>
        <w:rPr>
          <w:rFonts w:ascii="宋体" w:eastAsia="宋体" w:hAnsi="宋体" w:cs="宋体"/>
          <w:spacing w:val="-23"/>
          <w:sz w:val="23"/>
          <w:szCs w:val="23"/>
        </w:rPr>
        <w:t>。美国、欧盟的食品营养标</w:t>
      </w:r>
      <w:r>
        <w:rPr>
          <w:rFonts w:ascii="宋体" w:eastAsia="宋体" w:hAnsi="宋体" w:cs="宋体"/>
          <w:sz w:val="23"/>
          <w:szCs w:val="23"/>
        </w:rPr>
        <w:t xml:space="preserve"> </w:t>
      </w:r>
      <w:r>
        <w:rPr>
          <w:rFonts w:ascii="宋体" w:eastAsia="宋体" w:hAnsi="宋体" w:cs="宋体"/>
          <w:spacing w:val="-25"/>
          <w:sz w:val="23"/>
          <w:szCs w:val="23"/>
        </w:rPr>
        <w:t>签主要内容包括：</w:t>
      </w:r>
    </w:p>
    <w:p w:rsidR="00EA40A3" w:rsidRDefault="00EA40A3">
      <w:pPr>
        <w:sectPr w:rsidR="00EA40A3">
          <w:footerReference w:type="default" r:id="rId340"/>
          <w:pgSz w:w="9220" w:h="13360"/>
          <w:pgMar w:top="400" w:right="935" w:bottom="1216" w:left="939" w:header="0" w:footer="995" w:gutter="0"/>
          <w:cols w:space="720"/>
        </w:sectPr>
      </w:pPr>
    </w:p>
    <w:p w:rsidR="00EA40A3" w:rsidRDefault="00EA40A3">
      <w:pPr>
        <w:spacing w:line="294" w:lineRule="auto"/>
      </w:pPr>
    </w:p>
    <w:p w:rsidR="00EA40A3" w:rsidRDefault="00EA40A3">
      <w:pPr>
        <w:spacing w:line="295" w:lineRule="auto"/>
      </w:pPr>
    </w:p>
    <w:p w:rsidR="00EA40A3" w:rsidRDefault="00E86C16">
      <w:pPr>
        <w:spacing w:before="72" w:line="242" w:lineRule="auto"/>
        <w:ind w:right="186" w:firstLine="439"/>
        <w:rPr>
          <w:rFonts w:ascii="宋体" w:eastAsia="宋体" w:hAnsi="宋体" w:cs="宋体"/>
          <w:sz w:val="22"/>
          <w:szCs w:val="22"/>
        </w:rPr>
      </w:pPr>
      <w:bookmarkStart w:id="103" w:name="_bookmark107"/>
      <w:bookmarkEnd w:id="103"/>
      <w:r>
        <w:rPr>
          <w:rFonts w:ascii="宋体" w:eastAsia="宋体" w:hAnsi="宋体" w:cs="宋体"/>
          <w:spacing w:val="-6"/>
          <w:sz w:val="22"/>
          <w:szCs w:val="22"/>
        </w:rPr>
        <w:t>(1)专门用于营养标签的“营养素参考数值”</w:t>
      </w:r>
      <w:r>
        <w:rPr>
          <w:rFonts w:ascii="宋体" w:eastAsia="宋体" w:hAnsi="宋体" w:cs="宋体"/>
          <w:spacing w:val="-62"/>
          <w:sz w:val="22"/>
          <w:szCs w:val="22"/>
        </w:rPr>
        <w:t xml:space="preserve"> </w:t>
      </w:r>
      <w:r>
        <w:rPr>
          <w:rFonts w:ascii="宋体" w:eastAsia="宋体" w:hAnsi="宋体" w:cs="宋体"/>
          <w:spacing w:val="-6"/>
          <w:sz w:val="22"/>
          <w:szCs w:val="22"/>
        </w:rPr>
        <w:t>(NRV),</w:t>
      </w:r>
      <w:r>
        <w:rPr>
          <w:rFonts w:ascii="宋体" w:eastAsia="宋体" w:hAnsi="宋体" w:cs="宋体"/>
          <w:spacing w:val="28"/>
          <w:sz w:val="22"/>
          <w:szCs w:val="22"/>
        </w:rPr>
        <w:t xml:space="preserve">  </w:t>
      </w:r>
      <w:r>
        <w:rPr>
          <w:rFonts w:ascii="宋体" w:eastAsia="宋体" w:hAnsi="宋体" w:cs="宋体"/>
          <w:spacing w:val="-6"/>
          <w:sz w:val="22"/>
          <w:szCs w:val="22"/>
        </w:rPr>
        <w:t>该值并不直接使用</w:t>
      </w:r>
      <w:r>
        <w:rPr>
          <w:rFonts w:ascii="宋体" w:eastAsia="宋体" w:hAnsi="宋体" w:cs="宋体"/>
          <w:spacing w:val="1"/>
          <w:sz w:val="22"/>
          <w:szCs w:val="22"/>
        </w:rPr>
        <w:t xml:space="preserve"> </w:t>
      </w:r>
      <w:r>
        <w:rPr>
          <w:rFonts w:ascii="宋体" w:eastAsia="宋体" w:hAnsi="宋体" w:cs="宋体"/>
          <w:sz w:val="22"/>
          <w:szCs w:val="22"/>
        </w:rPr>
        <w:t>DRI</w:t>
      </w:r>
      <w:r>
        <w:rPr>
          <w:rFonts w:ascii="宋体" w:eastAsia="宋体" w:hAnsi="宋体" w:cs="宋体"/>
          <w:spacing w:val="-26"/>
          <w:sz w:val="22"/>
          <w:szCs w:val="22"/>
        </w:rPr>
        <w:t xml:space="preserve"> </w:t>
      </w:r>
      <w:r>
        <w:rPr>
          <w:rFonts w:ascii="宋体" w:eastAsia="宋体" w:hAnsi="宋体" w:cs="宋体"/>
          <w:sz w:val="22"/>
          <w:szCs w:val="22"/>
        </w:rPr>
        <w:t>中的任何数据，我国也应研究、制定和完成食品标签专</w:t>
      </w:r>
      <w:r>
        <w:rPr>
          <w:rFonts w:ascii="宋体" w:eastAsia="宋体" w:hAnsi="宋体" w:cs="宋体"/>
          <w:spacing w:val="-1"/>
          <w:sz w:val="22"/>
          <w:szCs w:val="22"/>
        </w:rPr>
        <w:t>用的营养素参考</w:t>
      </w:r>
      <w:r>
        <w:rPr>
          <w:rFonts w:ascii="宋体" w:eastAsia="宋体" w:hAnsi="宋体" w:cs="宋体"/>
          <w:sz w:val="22"/>
          <w:szCs w:val="22"/>
        </w:rPr>
        <w:t xml:space="preserve"> </w:t>
      </w:r>
      <w:r>
        <w:rPr>
          <w:rFonts w:ascii="宋体" w:eastAsia="宋体" w:hAnsi="宋体" w:cs="宋体"/>
          <w:spacing w:val="-16"/>
          <w:sz w:val="22"/>
          <w:szCs w:val="22"/>
        </w:rPr>
        <w:t>数值。</w:t>
      </w:r>
    </w:p>
    <w:p w:rsidR="00EA40A3" w:rsidRDefault="00E86C16">
      <w:pPr>
        <w:spacing w:before="38" w:line="241" w:lineRule="auto"/>
        <w:ind w:right="204" w:firstLine="439"/>
        <w:rPr>
          <w:rFonts w:ascii="宋体" w:eastAsia="宋体" w:hAnsi="宋体" w:cs="宋体"/>
          <w:sz w:val="22"/>
          <w:szCs w:val="22"/>
        </w:rPr>
      </w:pPr>
      <w:r>
        <w:rPr>
          <w:rFonts w:ascii="宋体" w:eastAsia="宋体" w:hAnsi="宋体" w:cs="宋体"/>
          <w:spacing w:val="-10"/>
          <w:sz w:val="22"/>
          <w:szCs w:val="22"/>
        </w:rPr>
        <w:t>(2)强制标示营养成分。这些强制的、要求在普通食品中标示的营养素是</w:t>
      </w:r>
      <w:r>
        <w:rPr>
          <w:rFonts w:ascii="宋体" w:eastAsia="宋体" w:hAnsi="宋体" w:cs="宋体"/>
          <w:spacing w:val="-11"/>
          <w:sz w:val="22"/>
          <w:szCs w:val="22"/>
        </w:rPr>
        <w:t>基</w:t>
      </w:r>
      <w:r>
        <w:rPr>
          <w:rFonts w:ascii="宋体" w:eastAsia="宋体" w:hAnsi="宋体" w:cs="宋体"/>
          <w:sz w:val="22"/>
          <w:szCs w:val="22"/>
        </w:rPr>
        <w:t xml:space="preserve"> </w:t>
      </w:r>
      <w:r>
        <w:rPr>
          <w:rFonts w:ascii="宋体" w:eastAsia="宋体" w:hAnsi="宋体" w:cs="宋体"/>
          <w:spacing w:val="-14"/>
          <w:sz w:val="22"/>
          <w:szCs w:val="22"/>
        </w:rPr>
        <w:t>于本国居民健康状况和慢性疾病发生率等来制定的，包括了国家对人群某些营养</w:t>
      </w:r>
      <w:r>
        <w:rPr>
          <w:rFonts w:ascii="宋体" w:eastAsia="宋体" w:hAnsi="宋体" w:cs="宋体"/>
          <w:spacing w:val="18"/>
          <w:sz w:val="22"/>
          <w:szCs w:val="22"/>
        </w:rPr>
        <w:t xml:space="preserve"> </w:t>
      </w:r>
      <w:r>
        <w:rPr>
          <w:rFonts w:ascii="宋体" w:eastAsia="宋体" w:hAnsi="宋体" w:cs="宋体"/>
          <w:spacing w:val="-14"/>
          <w:sz w:val="22"/>
          <w:szCs w:val="22"/>
        </w:rPr>
        <w:t>素的重视和鼓励，对不良膳食行为的纠正和限制的目的。</w:t>
      </w:r>
    </w:p>
    <w:p w:rsidR="00EA40A3" w:rsidRDefault="00E86C16">
      <w:pPr>
        <w:spacing w:before="40" w:line="243" w:lineRule="auto"/>
        <w:ind w:right="203" w:firstLine="439"/>
        <w:rPr>
          <w:rFonts w:ascii="宋体" w:eastAsia="宋体" w:hAnsi="宋体" w:cs="宋体"/>
          <w:sz w:val="22"/>
          <w:szCs w:val="22"/>
        </w:rPr>
      </w:pPr>
      <w:r>
        <w:rPr>
          <w:rFonts w:ascii="宋体" w:eastAsia="宋体" w:hAnsi="宋体" w:cs="宋体"/>
          <w:spacing w:val="-4"/>
          <w:sz w:val="22"/>
          <w:szCs w:val="22"/>
        </w:rPr>
        <w:t>(3)营养素定义和标示。营养素的名称有化学名、结构名、顺序名以及俗</w:t>
      </w:r>
      <w:r>
        <w:rPr>
          <w:rFonts w:ascii="宋体" w:eastAsia="宋体" w:hAnsi="宋体" w:cs="宋体"/>
          <w:spacing w:val="10"/>
          <w:sz w:val="22"/>
          <w:szCs w:val="22"/>
        </w:rPr>
        <w:t xml:space="preserve"> </w:t>
      </w:r>
      <w:r>
        <w:rPr>
          <w:rFonts w:ascii="宋体" w:eastAsia="宋体" w:hAnsi="宋体" w:cs="宋体"/>
          <w:spacing w:val="-14"/>
          <w:sz w:val="22"/>
          <w:szCs w:val="22"/>
        </w:rPr>
        <w:t>名。为了规范和统一，规定标签上可以使用的营养素名称，将利于消费者的理解</w:t>
      </w:r>
      <w:r>
        <w:rPr>
          <w:rFonts w:ascii="宋体" w:eastAsia="宋体" w:hAnsi="宋体" w:cs="宋体"/>
          <w:spacing w:val="8"/>
          <w:sz w:val="22"/>
          <w:szCs w:val="22"/>
        </w:rPr>
        <w:t xml:space="preserve"> </w:t>
      </w:r>
      <w:r>
        <w:rPr>
          <w:rFonts w:ascii="宋体" w:eastAsia="宋体" w:hAnsi="宋体" w:cs="宋体"/>
          <w:spacing w:val="-14"/>
          <w:sz w:val="22"/>
          <w:szCs w:val="22"/>
        </w:rPr>
        <w:t>鉴别、监督者的管理和国内外贸易中的互换。许多国家的营养标签标示中，基本</w:t>
      </w:r>
      <w:r>
        <w:rPr>
          <w:rFonts w:ascii="宋体" w:eastAsia="宋体" w:hAnsi="宋体" w:cs="宋体"/>
          <w:spacing w:val="18"/>
          <w:sz w:val="22"/>
          <w:szCs w:val="22"/>
        </w:rPr>
        <w:t xml:space="preserve"> </w:t>
      </w:r>
      <w:r>
        <w:rPr>
          <w:rFonts w:ascii="宋体" w:eastAsia="宋体" w:hAnsi="宋体" w:cs="宋体"/>
          <w:spacing w:val="-17"/>
          <w:sz w:val="22"/>
          <w:szCs w:val="22"/>
        </w:rPr>
        <w:t>上采用实际数值的标注方法。</w:t>
      </w:r>
    </w:p>
    <w:p w:rsidR="00EA40A3" w:rsidRDefault="00E86C16">
      <w:pPr>
        <w:spacing w:before="38" w:line="241" w:lineRule="auto"/>
        <w:ind w:right="143" w:firstLine="439"/>
        <w:rPr>
          <w:rFonts w:ascii="宋体" w:eastAsia="宋体" w:hAnsi="宋体" w:cs="宋体"/>
          <w:sz w:val="22"/>
          <w:szCs w:val="22"/>
        </w:rPr>
      </w:pPr>
      <w:r>
        <w:rPr>
          <w:rFonts w:ascii="宋体" w:eastAsia="宋体" w:hAnsi="宋体" w:cs="宋体"/>
          <w:spacing w:val="-11"/>
          <w:sz w:val="22"/>
          <w:szCs w:val="22"/>
        </w:rPr>
        <w:t>(4)营养声称和营养知识指南。营养声称和营养知识指南</w:t>
      </w:r>
      <w:r>
        <w:rPr>
          <w:rFonts w:ascii="宋体" w:eastAsia="宋体" w:hAnsi="宋体" w:cs="宋体"/>
          <w:spacing w:val="-12"/>
          <w:sz w:val="22"/>
          <w:szCs w:val="22"/>
        </w:rPr>
        <w:t>作为食品营养属性</w:t>
      </w:r>
      <w:r>
        <w:rPr>
          <w:rFonts w:ascii="宋体" w:eastAsia="宋体" w:hAnsi="宋体" w:cs="宋体"/>
          <w:sz w:val="22"/>
          <w:szCs w:val="22"/>
        </w:rPr>
        <w:t xml:space="preserve">  </w:t>
      </w:r>
      <w:r>
        <w:rPr>
          <w:rFonts w:ascii="宋体" w:eastAsia="宋体" w:hAnsi="宋体" w:cs="宋体"/>
          <w:spacing w:val="-11"/>
          <w:sz w:val="22"/>
          <w:szCs w:val="22"/>
        </w:rPr>
        <w:t>的说明和营养教育的工具，越来越受到消费者、生产者和管理者的</w:t>
      </w:r>
      <w:r>
        <w:rPr>
          <w:rFonts w:ascii="宋体" w:eastAsia="宋体" w:hAnsi="宋体" w:cs="宋体"/>
          <w:spacing w:val="-12"/>
          <w:sz w:val="22"/>
          <w:szCs w:val="22"/>
        </w:rPr>
        <w:t>青睐。目前，</w:t>
      </w:r>
      <w:r>
        <w:rPr>
          <w:rFonts w:ascii="宋体" w:eastAsia="宋体" w:hAnsi="宋体" w:cs="宋体"/>
          <w:sz w:val="22"/>
          <w:szCs w:val="22"/>
        </w:rPr>
        <w:t xml:space="preserve"> </w:t>
      </w:r>
      <w:r>
        <w:rPr>
          <w:rFonts w:ascii="宋体" w:eastAsia="宋体" w:hAnsi="宋体" w:cs="宋体"/>
          <w:spacing w:val="-17"/>
          <w:sz w:val="22"/>
          <w:szCs w:val="22"/>
        </w:rPr>
        <w:t>几乎所有国家在营养中都有了这种形式。</w:t>
      </w:r>
    </w:p>
    <w:p w:rsidR="00EA40A3" w:rsidRDefault="00E86C16">
      <w:pPr>
        <w:spacing w:before="37" w:line="248" w:lineRule="auto"/>
        <w:ind w:firstLine="439"/>
        <w:rPr>
          <w:rFonts w:ascii="宋体" w:eastAsia="宋体" w:hAnsi="宋体" w:cs="宋体"/>
          <w:sz w:val="22"/>
          <w:szCs w:val="22"/>
        </w:rPr>
      </w:pPr>
      <w:r>
        <w:rPr>
          <w:rFonts w:ascii="宋体" w:eastAsia="宋体" w:hAnsi="宋体" w:cs="宋体"/>
          <w:spacing w:val="2"/>
          <w:sz w:val="22"/>
          <w:szCs w:val="22"/>
        </w:rPr>
        <w:t>20世纪40年代，英国出现了世界上第一个营养标签，对“富含维生素C”</w:t>
      </w:r>
      <w:r>
        <w:rPr>
          <w:rFonts w:ascii="宋体" w:eastAsia="宋体" w:hAnsi="宋体" w:cs="宋体"/>
          <w:spacing w:val="14"/>
          <w:sz w:val="22"/>
          <w:szCs w:val="22"/>
        </w:rPr>
        <w:t xml:space="preserve"> </w:t>
      </w:r>
      <w:r>
        <w:rPr>
          <w:rFonts w:ascii="宋体" w:eastAsia="宋体" w:hAnsi="宋体" w:cs="宋体"/>
          <w:spacing w:val="-11"/>
          <w:sz w:val="22"/>
          <w:szCs w:val="22"/>
        </w:rPr>
        <w:t>的标识宣传做出规定。现在，食品营养标签已经成为消费者了解食品营养特性，</w:t>
      </w:r>
      <w:r>
        <w:rPr>
          <w:rFonts w:ascii="宋体" w:eastAsia="宋体" w:hAnsi="宋体" w:cs="宋体"/>
          <w:spacing w:val="6"/>
          <w:sz w:val="22"/>
          <w:szCs w:val="22"/>
        </w:rPr>
        <w:t xml:space="preserve">  </w:t>
      </w:r>
      <w:r>
        <w:rPr>
          <w:rFonts w:ascii="宋体" w:eastAsia="宋体" w:hAnsi="宋体" w:cs="宋体"/>
          <w:spacing w:val="-13"/>
          <w:sz w:val="22"/>
          <w:szCs w:val="22"/>
        </w:rPr>
        <w:t>正确选择食品的一种基本工具，是保证食品质量，规范食品生产经营行</w:t>
      </w:r>
      <w:r>
        <w:rPr>
          <w:rFonts w:ascii="宋体" w:eastAsia="宋体" w:hAnsi="宋体" w:cs="宋体"/>
          <w:spacing w:val="-14"/>
          <w:sz w:val="22"/>
          <w:szCs w:val="22"/>
        </w:rPr>
        <w:t>为和食品</w:t>
      </w:r>
      <w:r>
        <w:rPr>
          <w:rFonts w:ascii="宋体" w:eastAsia="宋体" w:hAnsi="宋体" w:cs="宋体"/>
          <w:sz w:val="22"/>
          <w:szCs w:val="22"/>
        </w:rPr>
        <w:t xml:space="preserve">   </w:t>
      </w:r>
      <w:r>
        <w:rPr>
          <w:rFonts w:ascii="宋体" w:eastAsia="宋体" w:hAnsi="宋体" w:cs="宋体"/>
          <w:spacing w:val="-14"/>
          <w:sz w:val="22"/>
          <w:szCs w:val="22"/>
        </w:rPr>
        <w:t>国际贸易的重要手段，也是对消费者进行营养知识宣教的主流途径之一。我国卫</w:t>
      </w:r>
      <w:r>
        <w:rPr>
          <w:rFonts w:ascii="宋体" w:eastAsia="宋体" w:hAnsi="宋体" w:cs="宋体"/>
          <w:spacing w:val="3"/>
          <w:sz w:val="22"/>
          <w:szCs w:val="22"/>
        </w:rPr>
        <w:t xml:space="preserve">   </w:t>
      </w:r>
      <w:r>
        <w:rPr>
          <w:rFonts w:ascii="宋体" w:eastAsia="宋体" w:hAnsi="宋体" w:cs="宋体"/>
          <w:spacing w:val="-10"/>
          <w:sz w:val="22"/>
          <w:szCs w:val="22"/>
        </w:rPr>
        <w:t>生部制定的《食品营养标签标准》和《食品营养标签管</w:t>
      </w:r>
      <w:r>
        <w:rPr>
          <w:rFonts w:ascii="宋体" w:eastAsia="宋体" w:hAnsi="宋体" w:cs="宋体"/>
          <w:spacing w:val="-11"/>
          <w:sz w:val="22"/>
          <w:szCs w:val="22"/>
        </w:rPr>
        <w:t>理办法》,正在向社会各</w:t>
      </w:r>
      <w:r>
        <w:rPr>
          <w:rFonts w:ascii="宋体" w:eastAsia="宋体" w:hAnsi="宋体" w:cs="宋体"/>
          <w:sz w:val="22"/>
          <w:szCs w:val="22"/>
        </w:rPr>
        <w:t xml:space="preserve">   </w:t>
      </w:r>
      <w:r>
        <w:rPr>
          <w:rFonts w:ascii="宋体" w:eastAsia="宋体" w:hAnsi="宋体" w:cs="宋体"/>
          <w:spacing w:val="-14"/>
          <w:sz w:val="22"/>
          <w:szCs w:val="22"/>
        </w:rPr>
        <w:t>界公开征求意见，同时，还应提供配套的一系列技术规范，例如各类食品的营养</w:t>
      </w:r>
      <w:r>
        <w:rPr>
          <w:rFonts w:ascii="宋体" w:eastAsia="宋体" w:hAnsi="宋体" w:cs="宋体"/>
          <w:spacing w:val="6"/>
          <w:sz w:val="22"/>
          <w:szCs w:val="22"/>
        </w:rPr>
        <w:t xml:space="preserve">   </w:t>
      </w:r>
      <w:r>
        <w:rPr>
          <w:rFonts w:ascii="宋体" w:eastAsia="宋体" w:hAnsi="宋体" w:cs="宋体"/>
          <w:spacing w:val="-13"/>
          <w:sz w:val="22"/>
          <w:szCs w:val="22"/>
        </w:rPr>
        <w:t>标签检验方法、质量控制参考物、数值和营养素标识的准则、判断标准、膳食参</w:t>
      </w:r>
      <w:r>
        <w:rPr>
          <w:rFonts w:ascii="宋体" w:eastAsia="宋体" w:hAnsi="宋体" w:cs="宋体"/>
          <w:spacing w:val="1"/>
          <w:sz w:val="22"/>
          <w:szCs w:val="22"/>
        </w:rPr>
        <w:t xml:space="preserve">   </w:t>
      </w:r>
      <w:r>
        <w:rPr>
          <w:rFonts w:ascii="宋体" w:eastAsia="宋体" w:hAnsi="宋体" w:cs="宋体"/>
          <w:spacing w:val="-15"/>
          <w:sz w:val="22"/>
          <w:szCs w:val="22"/>
        </w:rPr>
        <w:t>考摄入量应用规则等，这对保障食品营养标签的正确执行和实施至关重要。</w:t>
      </w:r>
    </w:p>
    <w:p w:rsidR="00EA40A3" w:rsidRDefault="00EA40A3"/>
    <w:p w:rsidR="00EA40A3" w:rsidRDefault="00E86C16">
      <w:pPr>
        <w:spacing w:before="72" w:line="221" w:lineRule="auto"/>
        <w:ind w:left="3"/>
        <w:outlineLvl w:val="6"/>
        <w:rPr>
          <w:rFonts w:ascii="黑体" w:eastAsia="黑体" w:hAnsi="黑体" w:cs="黑体"/>
          <w:sz w:val="22"/>
          <w:szCs w:val="22"/>
        </w:rPr>
      </w:pPr>
      <w:r>
        <w:rPr>
          <w:rFonts w:ascii="黑体" w:eastAsia="黑体" w:hAnsi="黑体" w:cs="黑体"/>
          <w:b/>
          <w:bCs/>
          <w:spacing w:val="7"/>
          <w:sz w:val="22"/>
          <w:szCs w:val="22"/>
        </w:rPr>
        <w:t>12.6.4</w:t>
      </w:r>
      <w:r>
        <w:rPr>
          <w:rFonts w:ascii="黑体" w:eastAsia="黑体" w:hAnsi="黑体" w:cs="黑体"/>
          <w:spacing w:val="15"/>
          <w:sz w:val="22"/>
          <w:szCs w:val="22"/>
        </w:rPr>
        <w:t xml:space="preserve">   </w:t>
      </w:r>
      <w:r>
        <w:rPr>
          <w:rFonts w:ascii="黑体" w:eastAsia="黑体" w:hAnsi="黑体" w:cs="黑体"/>
          <w:b/>
          <w:bCs/>
          <w:spacing w:val="7"/>
          <w:sz w:val="22"/>
          <w:szCs w:val="22"/>
        </w:rPr>
        <w:t>加强营养教育、宣传和立法</w:t>
      </w:r>
    </w:p>
    <w:p w:rsidR="00EA40A3" w:rsidRDefault="00E86C16">
      <w:pPr>
        <w:spacing w:before="202" w:line="247" w:lineRule="auto"/>
        <w:ind w:right="203" w:firstLine="439"/>
        <w:rPr>
          <w:rFonts w:ascii="宋体" w:eastAsia="宋体" w:hAnsi="宋体" w:cs="宋体"/>
          <w:sz w:val="22"/>
          <w:szCs w:val="22"/>
        </w:rPr>
      </w:pPr>
      <w:r>
        <w:rPr>
          <w:rFonts w:ascii="宋体" w:eastAsia="宋体" w:hAnsi="宋体" w:cs="宋体"/>
          <w:spacing w:val="-14"/>
          <w:sz w:val="22"/>
          <w:szCs w:val="22"/>
        </w:rPr>
        <w:t>营养教育、宣传和立法主要是传授关于食物选择会怎样影响人们的身体健康</w:t>
      </w:r>
      <w:r>
        <w:rPr>
          <w:rFonts w:ascii="宋体" w:eastAsia="宋体" w:hAnsi="宋体" w:cs="宋体"/>
          <w:spacing w:val="10"/>
          <w:sz w:val="22"/>
          <w:szCs w:val="22"/>
        </w:rPr>
        <w:t xml:space="preserve"> </w:t>
      </w:r>
      <w:r>
        <w:rPr>
          <w:rFonts w:ascii="宋体" w:eastAsia="宋体" w:hAnsi="宋体" w:cs="宋体"/>
          <w:spacing w:val="-14"/>
          <w:sz w:val="22"/>
          <w:szCs w:val="22"/>
        </w:rPr>
        <w:t>的正确知识，倡导平衡膳食与健康生活方式，促使人们将营养知识用于日常生活</w:t>
      </w:r>
      <w:r>
        <w:rPr>
          <w:rFonts w:ascii="宋体" w:eastAsia="宋体" w:hAnsi="宋体" w:cs="宋体"/>
          <w:spacing w:val="17"/>
          <w:sz w:val="22"/>
          <w:szCs w:val="22"/>
        </w:rPr>
        <w:t xml:space="preserve"> </w:t>
      </w:r>
      <w:r>
        <w:rPr>
          <w:rFonts w:ascii="宋体" w:eastAsia="宋体" w:hAnsi="宋体" w:cs="宋体"/>
          <w:spacing w:val="-13"/>
          <w:sz w:val="22"/>
          <w:szCs w:val="22"/>
        </w:rPr>
        <w:t>中，提高居民自我保健意识和能力；并且明示</w:t>
      </w:r>
      <w:r>
        <w:rPr>
          <w:rFonts w:ascii="宋体" w:eastAsia="宋体" w:hAnsi="宋体" w:cs="宋体"/>
          <w:spacing w:val="-14"/>
          <w:sz w:val="22"/>
          <w:szCs w:val="22"/>
        </w:rPr>
        <w:t>国家和政府改善国民营养状况的行</w:t>
      </w:r>
      <w:r>
        <w:rPr>
          <w:rFonts w:ascii="宋体" w:eastAsia="宋体" w:hAnsi="宋体" w:cs="宋体"/>
          <w:sz w:val="22"/>
          <w:szCs w:val="22"/>
        </w:rPr>
        <w:t xml:space="preserve"> </w:t>
      </w:r>
      <w:r>
        <w:rPr>
          <w:rFonts w:ascii="宋体" w:eastAsia="宋体" w:hAnsi="宋体" w:cs="宋体"/>
          <w:spacing w:val="-7"/>
          <w:sz w:val="22"/>
          <w:szCs w:val="22"/>
        </w:rPr>
        <w:t>为，明确相关人员的义务和责任。实际上，许多人的营养不良并非</w:t>
      </w:r>
      <w:r>
        <w:rPr>
          <w:rFonts w:ascii="宋体" w:eastAsia="宋体" w:hAnsi="宋体" w:cs="宋体"/>
          <w:spacing w:val="-8"/>
          <w:sz w:val="22"/>
          <w:szCs w:val="22"/>
        </w:rPr>
        <w:t>由于经济原</w:t>
      </w:r>
      <w:r>
        <w:rPr>
          <w:rFonts w:ascii="宋体" w:eastAsia="宋体" w:hAnsi="宋体" w:cs="宋体"/>
          <w:sz w:val="22"/>
          <w:szCs w:val="22"/>
        </w:rPr>
        <w:t xml:space="preserve"> </w:t>
      </w:r>
      <w:r>
        <w:rPr>
          <w:rFonts w:ascii="宋体" w:eastAsia="宋体" w:hAnsi="宋体" w:cs="宋体"/>
          <w:spacing w:val="-10"/>
          <w:sz w:val="22"/>
          <w:szCs w:val="22"/>
        </w:rPr>
        <w:t>因，而是由于缺乏正确的营养知识造成的。我国的营养教育、宣传和执法队</w:t>
      </w:r>
      <w:r>
        <w:rPr>
          <w:rFonts w:ascii="宋体" w:eastAsia="宋体" w:hAnsi="宋体" w:cs="宋体"/>
          <w:spacing w:val="-11"/>
          <w:sz w:val="22"/>
          <w:szCs w:val="22"/>
        </w:rPr>
        <w:t>伍</w:t>
      </w:r>
      <w:r>
        <w:rPr>
          <w:rFonts w:ascii="宋体" w:eastAsia="宋体" w:hAnsi="宋体" w:cs="宋体"/>
          <w:sz w:val="22"/>
          <w:szCs w:val="22"/>
        </w:rPr>
        <w:t xml:space="preserve">  </w:t>
      </w:r>
      <w:r>
        <w:rPr>
          <w:rFonts w:ascii="宋体" w:eastAsia="宋体" w:hAnsi="宋体" w:cs="宋体"/>
          <w:spacing w:val="-14"/>
          <w:sz w:val="22"/>
          <w:szCs w:val="22"/>
        </w:rPr>
        <w:t>由政府、学校、医疗等职业性组织、食品企业、新闻媒体和社会工作者组成。今</w:t>
      </w:r>
      <w:r>
        <w:rPr>
          <w:rFonts w:ascii="宋体" w:eastAsia="宋体" w:hAnsi="宋体" w:cs="宋体"/>
          <w:spacing w:val="17"/>
          <w:sz w:val="22"/>
          <w:szCs w:val="22"/>
        </w:rPr>
        <w:t xml:space="preserve"> </w:t>
      </w:r>
      <w:r>
        <w:rPr>
          <w:rFonts w:ascii="宋体" w:eastAsia="宋体" w:hAnsi="宋体" w:cs="宋体"/>
          <w:spacing w:val="-18"/>
          <w:sz w:val="22"/>
          <w:szCs w:val="22"/>
        </w:rPr>
        <w:t>后的主要工作内容是：</w:t>
      </w:r>
    </w:p>
    <w:p w:rsidR="00EA40A3" w:rsidRDefault="00E86C16">
      <w:pPr>
        <w:spacing w:before="205" w:line="221" w:lineRule="auto"/>
        <w:rPr>
          <w:rFonts w:ascii="仿宋" w:eastAsia="仿宋" w:hAnsi="仿宋" w:cs="仿宋"/>
          <w:sz w:val="22"/>
          <w:szCs w:val="22"/>
        </w:rPr>
      </w:pPr>
      <w:r>
        <w:rPr>
          <w:rFonts w:ascii="仿宋" w:eastAsia="仿宋" w:hAnsi="仿宋" w:cs="仿宋"/>
          <w:spacing w:val="6"/>
          <w:sz w:val="22"/>
          <w:szCs w:val="22"/>
        </w:rPr>
        <w:t>1.</w:t>
      </w:r>
      <w:r>
        <w:rPr>
          <w:rFonts w:ascii="仿宋" w:eastAsia="仿宋" w:hAnsi="仿宋" w:cs="仿宋"/>
          <w:spacing w:val="-45"/>
          <w:sz w:val="22"/>
          <w:szCs w:val="22"/>
        </w:rPr>
        <w:t xml:space="preserve"> </w:t>
      </w:r>
      <w:r>
        <w:rPr>
          <w:rFonts w:ascii="仿宋" w:eastAsia="仿宋" w:hAnsi="仿宋" w:cs="仿宋"/>
          <w:spacing w:val="6"/>
          <w:sz w:val="22"/>
          <w:szCs w:val="22"/>
        </w:rPr>
        <w:t>加速人才培养</w:t>
      </w:r>
    </w:p>
    <w:p w:rsidR="00EA40A3" w:rsidRDefault="00E86C16">
      <w:pPr>
        <w:spacing w:before="232" w:line="243" w:lineRule="auto"/>
        <w:ind w:right="183" w:firstLine="439"/>
        <w:jc w:val="both"/>
        <w:rPr>
          <w:rFonts w:ascii="宋体" w:eastAsia="宋体" w:hAnsi="宋体" w:cs="宋体"/>
          <w:sz w:val="22"/>
          <w:szCs w:val="22"/>
        </w:rPr>
      </w:pPr>
      <w:r>
        <w:rPr>
          <w:rFonts w:ascii="宋体" w:eastAsia="宋体" w:hAnsi="宋体" w:cs="宋体"/>
          <w:spacing w:val="-13"/>
          <w:sz w:val="22"/>
          <w:szCs w:val="22"/>
        </w:rPr>
        <w:t>在办好高等和职技院校有关营养类专业教育的同时，通过各种形式发展</w:t>
      </w:r>
      <w:r>
        <w:rPr>
          <w:rFonts w:ascii="宋体" w:eastAsia="宋体" w:hAnsi="宋体" w:cs="宋体"/>
          <w:spacing w:val="-14"/>
          <w:sz w:val="22"/>
          <w:szCs w:val="22"/>
        </w:rPr>
        <w:t>营养</w:t>
      </w:r>
      <w:r>
        <w:rPr>
          <w:rFonts w:ascii="宋体" w:eastAsia="宋体" w:hAnsi="宋体" w:cs="宋体"/>
          <w:sz w:val="22"/>
          <w:szCs w:val="22"/>
        </w:rPr>
        <w:t xml:space="preserve"> </w:t>
      </w:r>
      <w:r>
        <w:rPr>
          <w:rFonts w:ascii="宋体" w:eastAsia="宋体" w:hAnsi="宋体" w:cs="宋体"/>
          <w:spacing w:val="-13"/>
          <w:sz w:val="22"/>
          <w:szCs w:val="22"/>
        </w:rPr>
        <w:t>学教育，在临床医学、农业、食品、烹饪、商业、卫生等院校开设有关营养科学</w:t>
      </w:r>
      <w:r>
        <w:rPr>
          <w:rFonts w:ascii="宋体" w:eastAsia="宋体" w:hAnsi="宋体" w:cs="宋体"/>
          <w:spacing w:val="5"/>
          <w:sz w:val="22"/>
          <w:szCs w:val="22"/>
        </w:rPr>
        <w:t xml:space="preserve"> </w:t>
      </w:r>
      <w:r>
        <w:rPr>
          <w:rFonts w:ascii="宋体" w:eastAsia="宋体" w:hAnsi="宋体" w:cs="宋体"/>
          <w:spacing w:val="-13"/>
          <w:sz w:val="22"/>
          <w:szCs w:val="22"/>
        </w:rPr>
        <w:t>课。将营养知识纳入中小学的教育内容，教学计划要安排一定课时的营养知识教</w:t>
      </w:r>
      <w:r>
        <w:rPr>
          <w:rFonts w:ascii="宋体" w:eastAsia="宋体" w:hAnsi="宋体" w:cs="宋体"/>
          <w:spacing w:val="2"/>
          <w:sz w:val="22"/>
          <w:szCs w:val="22"/>
        </w:rPr>
        <w:t xml:space="preserve"> </w:t>
      </w:r>
      <w:r>
        <w:rPr>
          <w:rFonts w:ascii="宋体" w:eastAsia="宋体" w:hAnsi="宋体" w:cs="宋体"/>
          <w:spacing w:val="-13"/>
          <w:sz w:val="22"/>
          <w:szCs w:val="22"/>
        </w:rPr>
        <w:t>育，使学生懂得平衡膳食的原则，培养良好的饮食习惯，提高自我</w:t>
      </w:r>
      <w:r>
        <w:rPr>
          <w:rFonts w:ascii="宋体" w:eastAsia="宋体" w:hAnsi="宋体" w:cs="宋体"/>
          <w:spacing w:val="-14"/>
          <w:sz w:val="22"/>
          <w:szCs w:val="22"/>
        </w:rPr>
        <w:t>保健能力。</w:t>
      </w:r>
    </w:p>
    <w:p w:rsidR="00EA40A3" w:rsidRDefault="00E86C16">
      <w:pPr>
        <w:spacing w:before="55"/>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416</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341"/>
          <w:pgSz w:w="9220" w:h="13360"/>
          <w:pgMar w:top="400" w:right="956" w:bottom="400" w:left="809" w:header="0" w:footer="0" w:gutter="0"/>
          <w:cols w:space="720"/>
        </w:sectPr>
      </w:pPr>
    </w:p>
    <w:p w:rsidR="00EA40A3" w:rsidRDefault="00EA40A3">
      <w:pPr>
        <w:spacing w:line="341" w:lineRule="auto"/>
      </w:pPr>
    </w:p>
    <w:p w:rsidR="00EA40A3" w:rsidRDefault="00EA40A3">
      <w:pPr>
        <w:spacing w:line="341" w:lineRule="auto"/>
      </w:pPr>
    </w:p>
    <w:p w:rsidR="00EA40A3" w:rsidRDefault="00E86C16">
      <w:pPr>
        <w:spacing w:before="78" w:line="219" w:lineRule="auto"/>
        <w:ind w:left="109"/>
        <w:rPr>
          <w:rFonts w:ascii="仿宋" w:eastAsia="仿宋" w:hAnsi="仿宋" w:cs="仿宋"/>
          <w:sz w:val="24"/>
          <w:szCs w:val="24"/>
        </w:rPr>
      </w:pPr>
      <w:r>
        <w:rPr>
          <w:rFonts w:ascii="仿宋" w:eastAsia="仿宋" w:hAnsi="仿宋" w:cs="仿宋"/>
          <w:spacing w:val="-1"/>
          <w:sz w:val="24"/>
          <w:szCs w:val="24"/>
        </w:rPr>
        <w:t>2.</w:t>
      </w:r>
      <w:r>
        <w:rPr>
          <w:rFonts w:ascii="仿宋" w:eastAsia="仿宋" w:hAnsi="仿宋" w:cs="仿宋"/>
          <w:spacing w:val="-59"/>
          <w:sz w:val="24"/>
          <w:szCs w:val="24"/>
        </w:rPr>
        <w:t xml:space="preserve"> </w:t>
      </w:r>
      <w:r>
        <w:rPr>
          <w:rFonts w:ascii="仿宋" w:eastAsia="仿宋" w:hAnsi="仿宋" w:cs="仿宋"/>
          <w:spacing w:val="-1"/>
          <w:sz w:val="24"/>
          <w:szCs w:val="24"/>
        </w:rPr>
        <w:t>培训在职营养专业人员，在更广泛的领域</w:t>
      </w:r>
      <w:r>
        <w:rPr>
          <w:rFonts w:ascii="仿宋" w:eastAsia="仿宋" w:hAnsi="仿宋" w:cs="仿宋"/>
          <w:spacing w:val="-2"/>
          <w:sz w:val="24"/>
          <w:szCs w:val="24"/>
        </w:rPr>
        <w:t>发挥作用</w:t>
      </w:r>
    </w:p>
    <w:p w:rsidR="00EA40A3" w:rsidRDefault="00E86C16">
      <w:pPr>
        <w:spacing w:before="180" w:line="259" w:lineRule="auto"/>
        <w:ind w:left="109" w:right="16" w:firstLine="419"/>
        <w:jc w:val="both"/>
        <w:rPr>
          <w:rFonts w:ascii="宋体" w:eastAsia="宋体" w:hAnsi="宋体" w:cs="宋体"/>
        </w:rPr>
      </w:pPr>
      <w:r>
        <w:rPr>
          <w:rFonts w:ascii="宋体" w:eastAsia="宋体" w:hAnsi="宋体" w:cs="宋体"/>
          <w:spacing w:val="-2"/>
        </w:rPr>
        <w:t>制定培训计划和作出相应的规定，使营养人才得到合理的使用</w:t>
      </w:r>
      <w:r>
        <w:rPr>
          <w:rFonts w:ascii="宋体" w:eastAsia="宋体" w:hAnsi="宋体" w:cs="宋体"/>
          <w:spacing w:val="-3"/>
        </w:rPr>
        <w:t>。有计划地对</w:t>
      </w:r>
      <w:r>
        <w:rPr>
          <w:rFonts w:ascii="宋体" w:eastAsia="宋体" w:hAnsi="宋体" w:cs="宋体"/>
        </w:rPr>
        <w:t xml:space="preserve"> </w:t>
      </w:r>
      <w:r>
        <w:rPr>
          <w:rFonts w:ascii="宋体" w:eastAsia="宋体" w:hAnsi="宋体" w:cs="宋体"/>
          <w:spacing w:val="-2"/>
        </w:rPr>
        <w:t>从事临床医学、农业、商业、食品、烹饪、卫生、计划等部门的有关人员进行营</w:t>
      </w:r>
      <w:r>
        <w:rPr>
          <w:rFonts w:ascii="宋体" w:eastAsia="宋体" w:hAnsi="宋体" w:cs="宋体"/>
          <w:spacing w:val="2"/>
        </w:rPr>
        <w:t xml:space="preserve"> </w:t>
      </w:r>
      <w:r>
        <w:rPr>
          <w:rFonts w:ascii="宋体" w:eastAsia="宋体" w:hAnsi="宋体" w:cs="宋体"/>
          <w:spacing w:val="-2"/>
        </w:rPr>
        <w:t>养知识培训。建立注册营养师、注册营养技师制度，营养师的工作内容相当</w:t>
      </w:r>
      <w:r>
        <w:rPr>
          <w:rFonts w:ascii="宋体" w:eastAsia="宋体" w:hAnsi="宋体" w:cs="宋体"/>
          <w:spacing w:val="-3"/>
        </w:rPr>
        <w:t>多元</w:t>
      </w:r>
      <w:r>
        <w:rPr>
          <w:rFonts w:ascii="宋体" w:eastAsia="宋体" w:hAnsi="宋体" w:cs="宋体"/>
        </w:rPr>
        <w:t xml:space="preserve"> </w:t>
      </w:r>
      <w:r>
        <w:rPr>
          <w:rFonts w:ascii="宋体" w:eastAsia="宋体" w:hAnsi="宋体" w:cs="宋体"/>
          <w:spacing w:val="-2"/>
        </w:rPr>
        <w:t>化，见表12-11。</w:t>
      </w:r>
    </w:p>
    <w:p w:rsidR="00EA40A3" w:rsidRDefault="00EA40A3">
      <w:pPr>
        <w:spacing w:line="285" w:lineRule="auto"/>
      </w:pPr>
    </w:p>
    <w:p w:rsidR="00EA40A3" w:rsidRDefault="00E86C16">
      <w:pPr>
        <w:spacing w:before="68" w:line="221" w:lineRule="auto"/>
        <w:ind w:left="2632"/>
        <w:rPr>
          <w:rFonts w:ascii="黑体" w:eastAsia="黑体" w:hAnsi="黑体" w:cs="黑体"/>
        </w:rPr>
      </w:pPr>
      <w:r>
        <w:rPr>
          <w:rFonts w:ascii="黑体" w:eastAsia="黑体" w:hAnsi="黑体" w:cs="黑体"/>
          <w:b/>
          <w:bCs/>
          <w:spacing w:val="-24"/>
        </w:rPr>
        <w:t>表12-11</w:t>
      </w:r>
      <w:r>
        <w:rPr>
          <w:rFonts w:ascii="黑体" w:eastAsia="黑体" w:hAnsi="黑体" w:cs="黑体"/>
          <w:spacing w:val="54"/>
        </w:rPr>
        <w:t xml:space="preserve"> </w:t>
      </w:r>
      <w:r>
        <w:rPr>
          <w:rFonts w:ascii="黑体" w:eastAsia="黑体" w:hAnsi="黑体" w:cs="黑体"/>
          <w:b/>
          <w:bCs/>
          <w:spacing w:val="-24"/>
        </w:rPr>
        <w:t>营养师的工作领域</w:t>
      </w:r>
    </w:p>
    <w:tbl>
      <w:tblPr>
        <w:tblStyle w:val="TableNormal"/>
        <w:tblW w:w="7410" w:type="dxa"/>
        <w:tblInd w:w="0" w:type="dxa"/>
        <w:tblBorders>
          <w:top w:val="none" w:sz="8" w:space="0" w:color="000000"/>
          <w:left w:val="none" w:sz="8" w:space="0" w:color="000000"/>
          <w:bottom w:val="none" w:sz="8" w:space="0" w:color="000000"/>
          <w:right w:val="none" w:sz="8" w:space="0" w:color="000000"/>
          <w:insideH w:val="none" w:sz="8" w:space="0" w:color="000000"/>
          <w:insideV w:val="none" w:sz="8" w:space="0" w:color="000000"/>
        </w:tblBorders>
        <w:tblLayout w:type="fixed"/>
        <w:tblLook w:val="04A0" w:firstRow="1" w:lastRow="0" w:firstColumn="1" w:lastColumn="0" w:noHBand="0" w:noVBand="1"/>
      </w:tblPr>
      <w:tblGrid>
        <w:gridCol w:w="884"/>
        <w:gridCol w:w="6526"/>
      </w:tblGrid>
      <w:tr w:rsidR="00EA40A3">
        <w:trPr>
          <w:trHeight w:val="334"/>
        </w:trPr>
        <w:tc>
          <w:tcPr>
            <w:tcW w:w="7410" w:type="dxa"/>
            <w:gridSpan w:val="2"/>
            <w:tcBorders>
              <w:top w:val="single" w:sz="4" w:space="0" w:color="000000"/>
              <w:left w:val="nil"/>
              <w:bottom w:val="single" w:sz="4" w:space="0" w:color="000000"/>
              <w:right w:val="nil"/>
            </w:tcBorders>
          </w:tcPr>
          <w:p w:rsidR="00EA40A3" w:rsidRDefault="00E86C16">
            <w:pPr>
              <w:spacing w:before="131" w:line="211" w:lineRule="auto"/>
              <w:ind w:left="159"/>
              <w:rPr>
                <w:rFonts w:ascii="宋体" w:eastAsia="宋体" w:hAnsi="宋体" w:cs="宋体"/>
                <w:sz w:val="16"/>
                <w:szCs w:val="16"/>
              </w:rPr>
            </w:pPr>
            <w:r>
              <w:rPr>
                <w:rFonts w:ascii="宋体" w:eastAsia="宋体" w:hAnsi="宋体" w:cs="宋体"/>
                <w:position w:val="1"/>
                <w:sz w:val="16"/>
                <w:szCs w:val="16"/>
              </w:rPr>
              <w:t>职业类别</w:t>
            </w:r>
            <w:r>
              <w:rPr>
                <w:rFonts w:ascii="宋体" w:eastAsia="宋体" w:hAnsi="宋体" w:cs="宋体"/>
                <w:spacing w:val="2"/>
                <w:position w:val="1"/>
                <w:sz w:val="16"/>
                <w:szCs w:val="16"/>
              </w:rPr>
              <w:t xml:space="preserve">                                   </w:t>
            </w:r>
            <w:r>
              <w:rPr>
                <w:rFonts w:ascii="宋体" w:eastAsia="宋体" w:hAnsi="宋体" w:cs="宋体"/>
                <w:position w:val="-1"/>
                <w:sz w:val="16"/>
                <w:szCs w:val="16"/>
              </w:rPr>
              <w:t>主要工作内容</w:t>
            </w:r>
          </w:p>
        </w:tc>
      </w:tr>
      <w:tr w:rsidR="00EA40A3">
        <w:trPr>
          <w:trHeight w:val="2388"/>
        </w:trPr>
        <w:tc>
          <w:tcPr>
            <w:tcW w:w="884" w:type="dxa"/>
            <w:tcBorders>
              <w:top w:val="single" w:sz="4" w:space="0" w:color="000000"/>
              <w:left w:val="nil"/>
            </w:tcBorders>
          </w:tcPr>
          <w:p w:rsidR="00EA40A3" w:rsidRDefault="00EA40A3">
            <w:pPr>
              <w:spacing w:line="256" w:lineRule="auto"/>
            </w:pPr>
          </w:p>
          <w:p w:rsidR="00EA40A3" w:rsidRDefault="00EA40A3">
            <w:pPr>
              <w:spacing w:line="256" w:lineRule="auto"/>
            </w:pPr>
          </w:p>
          <w:p w:rsidR="00EA40A3" w:rsidRDefault="00E86C16">
            <w:pPr>
              <w:spacing w:before="52" w:line="254" w:lineRule="auto"/>
              <w:ind w:left="309" w:right="76" w:hanging="150"/>
              <w:rPr>
                <w:rFonts w:ascii="宋体" w:eastAsia="宋体" w:hAnsi="宋体" w:cs="宋体"/>
                <w:sz w:val="16"/>
                <w:szCs w:val="16"/>
              </w:rPr>
            </w:pPr>
            <w:r>
              <w:rPr>
                <w:rFonts w:ascii="宋体" w:eastAsia="宋体" w:hAnsi="宋体" w:cs="宋体"/>
                <w:spacing w:val="1"/>
                <w:sz w:val="16"/>
                <w:szCs w:val="16"/>
              </w:rPr>
              <w:t>医院营养</w:t>
            </w:r>
            <w:r>
              <w:rPr>
                <w:rFonts w:ascii="宋体" w:eastAsia="宋体" w:hAnsi="宋体" w:cs="宋体"/>
                <w:spacing w:val="2"/>
                <w:sz w:val="16"/>
                <w:szCs w:val="16"/>
              </w:rPr>
              <w:t xml:space="preserve"> </w:t>
            </w:r>
            <w:r>
              <w:rPr>
                <w:rFonts w:ascii="宋体" w:eastAsia="宋体" w:hAnsi="宋体" w:cs="宋体"/>
                <w:sz w:val="16"/>
                <w:szCs w:val="16"/>
              </w:rPr>
              <w:t>师</w:t>
            </w:r>
          </w:p>
          <w:p w:rsidR="00EA40A3" w:rsidRDefault="00EA40A3">
            <w:pPr>
              <w:spacing w:line="336" w:lineRule="auto"/>
            </w:pPr>
          </w:p>
          <w:p w:rsidR="00EA40A3" w:rsidRDefault="00EA40A3">
            <w:pPr>
              <w:spacing w:line="337" w:lineRule="auto"/>
            </w:pPr>
          </w:p>
          <w:p w:rsidR="00EA40A3" w:rsidRDefault="00E86C16">
            <w:pPr>
              <w:spacing w:before="52" w:line="254" w:lineRule="auto"/>
              <w:ind w:left="319" w:right="76" w:hanging="160"/>
              <w:rPr>
                <w:rFonts w:ascii="宋体" w:eastAsia="宋体" w:hAnsi="宋体" w:cs="宋体"/>
                <w:sz w:val="16"/>
                <w:szCs w:val="16"/>
              </w:rPr>
            </w:pPr>
            <w:r>
              <w:rPr>
                <w:rFonts w:ascii="宋体" w:eastAsia="宋体" w:hAnsi="宋体" w:cs="宋体"/>
                <w:spacing w:val="1"/>
                <w:sz w:val="16"/>
                <w:szCs w:val="16"/>
              </w:rPr>
              <w:t>团体膳食</w:t>
            </w:r>
            <w:r>
              <w:rPr>
                <w:rFonts w:ascii="宋体" w:eastAsia="宋体" w:hAnsi="宋体" w:cs="宋体"/>
                <w:spacing w:val="2"/>
                <w:sz w:val="16"/>
                <w:szCs w:val="16"/>
              </w:rPr>
              <w:t xml:space="preserve"> </w:t>
            </w:r>
            <w:r>
              <w:rPr>
                <w:rFonts w:ascii="宋体" w:eastAsia="宋体" w:hAnsi="宋体" w:cs="宋体"/>
                <w:spacing w:val="-3"/>
                <w:sz w:val="16"/>
                <w:szCs w:val="16"/>
              </w:rPr>
              <w:t>营养师</w:t>
            </w:r>
          </w:p>
        </w:tc>
        <w:tc>
          <w:tcPr>
            <w:tcW w:w="6526" w:type="dxa"/>
            <w:tcBorders>
              <w:top w:val="single" w:sz="4" w:space="0" w:color="000000"/>
              <w:right w:val="nil"/>
            </w:tcBorders>
          </w:tcPr>
          <w:p w:rsidR="00EA40A3" w:rsidRDefault="00E86C16">
            <w:pPr>
              <w:spacing w:before="163" w:line="287" w:lineRule="auto"/>
              <w:ind w:left="225" w:right="25" w:hanging="139"/>
              <w:rPr>
                <w:rFonts w:ascii="宋体" w:eastAsia="宋体" w:hAnsi="宋体" w:cs="宋体"/>
                <w:sz w:val="16"/>
                <w:szCs w:val="16"/>
              </w:rPr>
            </w:pPr>
            <w:r>
              <w:rPr>
                <w:rFonts w:ascii="宋体" w:eastAsia="宋体" w:hAnsi="宋体" w:cs="宋体"/>
                <w:sz w:val="16"/>
                <w:szCs w:val="16"/>
              </w:rPr>
              <w:t>营养咨询门诊，提供患者饮食上的咨询与菜单的设计，又可细分为以下两种：①临床咨询营</w:t>
            </w:r>
            <w:r>
              <w:rPr>
                <w:rFonts w:ascii="宋体" w:eastAsia="宋体" w:hAnsi="宋体" w:cs="宋体"/>
                <w:spacing w:val="9"/>
                <w:sz w:val="16"/>
                <w:szCs w:val="16"/>
              </w:rPr>
              <w:t xml:space="preserve"> </w:t>
            </w:r>
            <w:r>
              <w:rPr>
                <w:rFonts w:ascii="宋体" w:eastAsia="宋体" w:hAnsi="宋体" w:cs="宋体"/>
                <w:spacing w:val="3"/>
                <w:sz w:val="16"/>
                <w:szCs w:val="16"/>
              </w:rPr>
              <w:t>养师。是医院整体医疗团队的一员，工作内容为住院患者的营养评估及</w:t>
            </w:r>
            <w:r>
              <w:rPr>
                <w:rFonts w:ascii="宋体" w:eastAsia="宋体" w:hAnsi="宋体" w:cs="宋体"/>
                <w:spacing w:val="2"/>
                <w:sz w:val="16"/>
                <w:szCs w:val="16"/>
              </w:rPr>
              <w:t>访视、出院患者</w:t>
            </w:r>
            <w:r>
              <w:rPr>
                <w:rFonts w:ascii="宋体" w:eastAsia="宋体" w:hAnsi="宋体" w:cs="宋体"/>
                <w:sz w:val="16"/>
                <w:szCs w:val="16"/>
              </w:rPr>
              <w:t xml:space="preserve">  </w:t>
            </w:r>
            <w:r>
              <w:rPr>
                <w:rFonts w:ascii="宋体" w:eastAsia="宋体" w:hAnsi="宋体" w:cs="宋体"/>
                <w:spacing w:val="3"/>
                <w:sz w:val="16"/>
                <w:szCs w:val="16"/>
              </w:rPr>
              <w:t>的饮食指导和一般民众的营养咨询及对院内医疗人员营养课程的教学。</w:t>
            </w:r>
            <w:r>
              <w:rPr>
                <w:rFonts w:ascii="宋体" w:eastAsia="宋体" w:hAnsi="宋体" w:cs="宋体"/>
                <w:spacing w:val="2"/>
                <w:sz w:val="16"/>
                <w:szCs w:val="16"/>
              </w:rPr>
              <w:t>②膳食管理营养</w:t>
            </w:r>
            <w:r>
              <w:rPr>
                <w:rFonts w:ascii="宋体" w:eastAsia="宋体" w:hAnsi="宋体" w:cs="宋体"/>
                <w:sz w:val="16"/>
                <w:szCs w:val="16"/>
              </w:rPr>
              <w:t xml:space="preserve">  </w:t>
            </w:r>
            <w:r>
              <w:rPr>
                <w:rFonts w:ascii="宋体" w:eastAsia="宋体" w:hAnsi="宋体" w:cs="宋体"/>
                <w:spacing w:val="1"/>
                <w:sz w:val="16"/>
                <w:szCs w:val="16"/>
              </w:rPr>
              <w:t>师。着重于伙食的管理、病患及员工的菜单设计、食物成本与分量的控制、监</w:t>
            </w:r>
            <w:r>
              <w:rPr>
                <w:rFonts w:ascii="宋体" w:eastAsia="宋体" w:hAnsi="宋体" w:cs="宋体"/>
                <w:sz w:val="16"/>
                <w:szCs w:val="16"/>
              </w:rPr>
              <w:t xml:space="preserve">督餐饮的制 </w:t>
            </w:r>
            <w:r>
              <w:rPr>
                <w:rFonts w:ascii="宋体" w:eastAsia="宋体" w:hAnsi="宋体" w:cs="宋体"/>
                <w:spacing w:val="-1"/>
                <w:sz w:val="16"/>
                <w:szCs w:val="16"/>
              </w:rPr>
              <w:t>备、食品的安全性、厨房卫生的维护等</w:t>
            </w:r>
          </w:p>
          <w:p w:rsidR="00EA40A3" w:rsidRDefault="00E86C16">
            <w:pPr>
              <w:spacing w:before="189" w:line="242" w:lineRule="auto"/>
              <w:ind w:left="225" w:right="37" w:hanging="150"/>
              <w:rPr>
                <w:rFonts w:ascii="宋体" w:eastAsia="宋体" w:hAnsi="宋体" w:cs="宋体"/>
                <w:sz w:val="16"/>
                <w:szCs w:val="16"/>
              </w:rPr>
            </w:pPr>
            <w:r>
              <w:rPr>
                <w:rFonts w:ascii="宋体" w:eastAsia="宋体" w:hAnsi="宋体" w:cs="宋体"/>
                <w:sz w:val="16"/>
                <w:szCs w:val="16"/>
              </w:rPr>
              <w:t>大型工厂、机关团体、部队和学校，需聘请营养师安排平日的膳食。工作内容着重于菜单的</w:t>
            </w:r>
            <w:r>
              <w:rPr>
                <w:rFonts w:ascii="宋体" w:eastAsia="宋体" w:hAnsi="宋体" w:cs="宋体"/>
                <w:spacing w:val="11"/>
                <w:sz w:val="16"/>
                <w:szCs w:val="16"/>
              </w:rPr>
              <w:t xml:space="preserve"> </w:t>
            </w:r>
            <w:r>
              <w:rPr>
                <w:rFonts w:ascii="宋体" w:eastAsia="宋体" w:hAnsi="宋体" w:cs="宋体"/>
                <w:sz w:val="16"/>
                <w:szCs w:val="16"/>
              </w:rPr>
              <w:t>营养设计、食物采购储存管理、膳食的准备和供应督导，菜色的</w:t>
            </w:r>
            <w:r>
              <w:rPr>
                <w:rFonts w:ascii="宋体" w:eastAsia="宋体" w:hAnsi="宋体" w:cs="宋体"/>
                <w:spacing w:val="-1"/>
                <w:sz w:val="16"/>
                <w:szCs w:val="16"/>
              </w:rPr>
              <w:t>搭配、食物成本控制、监</w:t>
            </w:r>
          </w:p>
          <w:p w:rsidR="00EA40A3" w:rsidRDefault="00E86C16">
            <w:pPr>
              <w:spacing w:before="110" w:line="219" w:lineRule="auto"/>
              <w:ind w:left="225"/>
              <w:rPr>
                <w:rFonts w:ascii="宋体" w:eastAsia="宋体" w:hAnsi="宋体" w:cs="宋体"/>
                <w:sz w:val="16"/>
                <w:szCs w:val="16"/>
              </w:rPr>
            </w:pPr>
            <w:r>
              <w:rPr>
                <w:rFonts w:ascii="宋体" w:eastAsia="宋体" w:hAnsi="宋体" w:cs="宋体"/>
                <w:spacing w:val="-1"/>
                <w:sz w:val="16"/>
                <w:szCs w:val="16"/>
              </w:rPr>
              <w:t>督餐饮卫生、营养午餐的研究开发工作</w:t>
            </w:r>
          </w:p>
        </w:tc>
      </w:tr>
      <w:tr w:rsidR="00EA40A3">
        <w:trPr>
          <w:trHeight w:val="1019"/>
        </w:trPr>
        <w:tc>
          <w:tcPr>
            <w:tcW w:w="7410" w:type="dxa"/>
            <w:gridSpan w:val="2"/>
            <w:tcBorders>
              <w:left w:val="nil"/>
              <w:right w:val="nil"/>
            </w:tcBorders>
          </w:tcPr>
          <w:p w:rsidR="00EA40A3" w:rsidRDefault="00E86C16">
            <w:pPr>
              <w:spacing w:before="109" w:line="254" w:lineRule="auto"/>
              <w:ind w:left="329" w:right="122" w:hanging="210"/>
              <w:rPr>
                <w:rFonts w:ascii="宋体" w:eastAsia="宋体" w:hAnsi="宋体" w:cs="宋体"/>
                <w:sz w:val="16"/>
                <w:szCs w:val="16"/>
              </w:rPr>
            </w:pPr>
            <w:r>
              <w:rPr>
                <w:rFonts w:ascii="宋体" w:eastAsia="宋体" w:hAnsi="宋体" w:cs="宋体"/>
                <w:spacing w:val="3"/>
                <w:sz w:val="16"/>
                <w:szCs w:val="16"/>
              </w:rPr>
              <w:t>健身美容对客户进行营养方面的规划与咨询，量身设计完善的菜单，并兼顾热量控制与营</w:t>
            </w:r>
            <w:r>
              <w:rPr>
                <w:rFonts w:ascii="宋体" w:eastAsia="宋体" w:hAnsi="宋体" w:cs="宋体"/>
                <w:spacing w:val="2"/>
                <w:sz w:val="16"/>
                <w:szCs w:val="16"/>
              </w:rPr>
              <w:t>养均衡，减</w:t>
            </w:r>
            <w:r>
              <w:rPr>
                <w:rFonts w:ascii="宋体" w:eastAsia="宋体" w:hAnsi="宋体" w:cs="宋体"/>
                <w:sz w:val="16"/>
                <w:szCs w:val="16"/>
              </w:rPr>
              <w:t xml:space="preserve"> 营养师</w:t>
            </w:r>
            <w:r>
              <w:rPr>
                <w:rFonts w:ascii="宋体" w:eastAsia="宋体" w:hAnsi="宋体" w:cs="宋体"/>
                <w:spacing w:val="2"/>
                <w:sz w:val="16"/>
                <w:szCs w:val="16"/>
              </w:rPr>
              <w:t xml:space="preserve">   </w:t>
            </w:r>
            <w:r>
              <w:rPr>
                <w:rFonts w:ascii="宋体" w:eastAsia="宋体" w:hAnsi="宋体" w:cs="宋体"/>
                <w:sz w:val="16"/>
                <w:szCs w:val="16"/>
              </w:rPr>
              <w:t>轻体重并确保健康。这类营养师除具备专业</w:t>
            </w:r>
            <w:r>
              <w:rPr>
                <w:rFonts w:ascii="宋体" w:eastAsia="宋体" w:hAnsi="宋体" w:cs="宋体"/>
                <w:spacing w:val="-1"/>
                <w:sz w:val="16"/>
                <w:szCs w:val="16"/>
              </w:rPr>
              <w:t>知识外，人际关系的处理也是必备的条件</w:t>
            </w:r>
          </w:p>
          <w:p w:rsidR="00EA40A3" w:rsidRDefault="00E86C16">
            <w:pPr>
              <w:spacing w:before="260" w:line="219" w:lineRule="auto"/>
              <w:ind w:left="210"/>
              <w:rPr>
                <w:rFonts w:ascii="宋体" w:eastAsia="宋体" w:hAnsi="宋体" w:cs="宋体"/>
                <w:sz w:val="16"/>
                <w:szCs w:val="16"/>
              </w:rPr>
            </w:pPr>
            <w:r>
              <w:rPr>
                <w:rFonts w:ascii="宋体" w:eastAsia="宋体" w:hAnsi="宋体" w:cs="宋体"/>
                <w:spacing w:val="2"/>
                <w:sz w:val="16"/>
                <w:szCs w:val="16"/>
              </w:rPr>
              <w:t>餐饮企业对厨师和服务人员进行营养指导，设计健康营养又美昧的食谱和菜谱，推广营养健康的饮食</w:t>
            </w:r>
          </w:p>
        </w:tc>
      </w:tr>
      <w:tr w:rsidR="00EA40A3">
        <w:trPr>
          <w:trHeight w:val="2336"/>
        </w:trPr>
        <w:tc>
          <w:tcPr>
            <w:tcW w:w="884" w:type="dxa"/>
            <w:tcBorders>
              <w:left w:val="nil"/>
            </w:tcBorders>
          </w:tcPr>
          <w:p w:rsidR="00EA40A3" w:rsidRDefault="00E86C16">
            <w:pPr>
              <w:spacing w:before="60" w:line="219" w:lineRule="auto"/>
              <w:ind w:left="320"/>
              <w:rPr>
                <w:rFonts w:ascii="宋体" w:eastAsia="宋体" w:hAnsi="宋体" w:cs="宋体"/>
                <w:sz w:val="16"/>
                <w:szCs w:val="16"/>
              </w:rPr>
            </w:pPr>
            <w:r>
              <w:rPr>
                <w:rFonts w:ascii="宋体" w:eastAsia="宋体" w:hAnsi="宋体" w:cs="宋体"/>
                <w:spacing w:val="-2"/>
                <w:sz w:val="16"/>
                <w:szCs w:val="16"/>
              </w:rPr>
              <w:t>营养师</w:t>
            </w:r>
          </w:p>
          <w:p w:rsidR="00EA40A3" w:rsidRDefault="00EA40A3">
            <w:pPr>
              <w:spacing w:line="375" w:lineRule="auto"/>
            </w:pPr>
          </w:p>
          <w:p w:rsidR="00EA40A3" w:rsidRDefault="00E86C16">
            <w:pPr>
              <w:spacing w:before="52" w:line="248" w:lineRule="auto"/>
              <w:ind w:left="309" w:right="105" w:hanging="190"/>
              <w:rPr>
                <w:rFonts w:ascii="宋体" w:eastAsia="宋体" w:hAnsi="宋体" w:cs="宋体"/>
                <w:sz w:val="16"/>
                <w:szCs w:val="16"/>
              </w:rPr>
            </w:pPr>
            <w:r>
              <w:rPr>
                <w:rFonts w:ascii="宋体" w:eastAsia="宋体" w:hAnsi="宋体" w:cs="宋体"/>
                <w:spacing w:val="-2"/>
                <w:sz w:val="16"/>
                <w:szCs w:val="16"/>
              </w:rPr>
              <w:t>食品企业</w:t>
            </w:r>
            <w:r>
              <w:rPr>
                <w:rFonts w:ascii="宋体" w:eastAsia="宋体" w:hAnsi="宋体" w:cs="宋体"/>
                <w:sz w:val="16"/>
                <w:szCs w:val="16"/>
              </w:rPr>
              <w:t xml:space="preserve"> </w:t>
            </w:r>
            <w:r>
              <w:rPr>
                <w:rFonts w:ascii="宋体" w:eastAsia="宋体" w:hAnsi="宋体" w:cs="宋体"/>
                <w:spacing w:val="-4"/>
                <w:sz w:val="16"/>
                <w:szCs w:val="16"/>
              </w:rPr>
              <w:t>营养师</w:t>
            </w:r>
          </w:p>
          <w:p w:rsidR="00EA40A3" w:rsidRDefault="00EA40A3">
            <w:pPr>
              <w:spacing w:line="257" w:lineRule="auto"/>
            </w:pPr>
          </w:p>
          <w:p w:rsidR="00EA40A3" w:rsidRDefault="00EA40A3">
            <w:pPr>
              <w:spacing w:line="258" w:lineRule="auto"/>
            </w:pPr>
          </w:p>
          <w:p w:rsidR="00EA40A3" w:rsidRDefault="00E86C16">
            <w:pPr>
              <w:spacing w:before="52" w:line="248" w:lineRule="auto"/>
              <w:ind w:left="219" w:right="161" w:hanging="130"/>
              <w:rPr>
                <w:rFonts w:ascii="宋体" w:eastAsia="宋体" w:hAnsi="宋体" w:cs="宋体"/>
                <w:sz w:val="16"/>
                <w:szCs w:val="16"/>
              </w:rPr>
            </w:pPr>
            <w:r>
              <w:rPr>
                <w:rFonts w:ascii="宋体" w:eastAsia="宋体" w:hAnsi="宋体" w:cs="宋体"/>
                <w:spacing w:val="-2"/>
                <w:sz w:val="16"/>
                <w:szCs w:val="16"/>
              </w:rPr>
              <w:t>社区营养</w:t>
            </w:r>
            <w:r>
              <w:rPr>
                <w:rFonts w:ascii="宋体" w:eastAsia="宋体" w:hAnsi="宋体" w:cs="宋体"/>
                <w:sz w:val="16"/>
                <w:szCs w:val="16"/>
              </w:rPr>
              <w:t xml:space="preserve"> 师</w:t>
            </w:r>
          </w:p>
        </w:tc>
        <w:tc>
          <w:tcPr>
            <w:tcW w:w="6526" w:type="dxa"/>
            <w:tcBorders>
              <w:right w:val="nil"/>
            </w:tcBorders>
          </w:tcPr>
          <w:p w:rsidR="00EA40A3" w:rsidRDefault="00E86C16">
            <w:pPr>
              <w:spacing w:before="60" w:line="220" w:lineRule="auto"/>
              <w:ind w:left="250"/>
              <w:rPr>
                <w:rFonts w:ascii="宋体" w:eastAsia="宋体" w:hAnsi="宋体" w:cs="宋体"/>
                <w:sz w:val="16"/>
                <w:szCs w:val="16"/>
              </w:rPr>
            </w:pPr>
            <w:r>
              <w:rPr>
                <w:rFonts w:ascii="宋体" w:eastAsia="宋体" w:hAnsi="宋体" w:cs="宋体"/>
                <w:spacing w:val="-1"/>
                <w:sz w:val="16"/>
                <w:szCs w:val="16"/>
              </w:rPr>
              <w:t>新风尚</w:t>
            </w:r>
          </w:p>
          <w:p w:rsidR="00EA40A3" w:rsidRDefault="00E86C16">
            <w:pPr>
              <w:spacing w:before="280" w:line="269" w:lineRule="auto"/>
              <w:ind w:left="196" w:right="49" w:hanging="130"/>
              <w:rPr>
                <w:rFonts w:ascii="宋体" w:eastAsia="宋体" w:hAnsi="宋体" w:cs="宋体"/>
                <w:sz w:val="16"/>
                <w:szCs w:val="16"/>
              </w:rPr>
            </w:pPr>
            <w:r>
              <w:rPr>
                <w:rFonts w:ascii="宋体" w:eastAsia="宋体" w:hAnsi="宋体" w:cs="宋体"/>
                <w:sz w:val="16"/>
                <w:szCs w:val="16"/>
              </w:rPr>
              <w:t>负责新产品的开发、推广、行销、企划，包括食品营养成分的分析，以及研究市场上同类产</w:t>
            </w:r>
            <w:r>
              <w:rPr>
                <w:rFonts w:ascii="宋体" w:eastAsia="宋体" w:hAnsi="宋体" w:cs="宋体"/>
                <w:spacing w:val="9"/>
                <w:sz w:val="16"/>
                <w:szCs w:val="16"/>
              </w:rPr>
              <w:t xml:space="preserve"> </w:t>
            </w:r>
            <w:r>
              <w:rPr>
                <w:rFonts w:ascii="宋体" w:eastAsia="宋体" w:hAnsi="宋体" w:cs="宋体"/>
                <w:sz w:val="16"/>
                <w:szCs w:val="16"/>
              </w:rPr>
              <w:t>品的优劣，并加以改进超越。这类营养师对于食品市场潜在的竞争性非常敏感，有助于提</w:t>
            </w:r>
            <w:r>
              <w:rPr>
                <w:rFonts w:ascii="宋体" w:eastAsia="宋体" w:hAnsi="宋体" w:cs="宋体"/>
                <w:spacing w:val="6"/>
                <w:sz w:val="16"/>
                <w:szCs w:val="16"/>
              </w:rPr>
              <w:t xml:space="preserve"> </w:t>
            </w:r>
            <w:r>
              <w:rPr>
                <w:rFonts w:ascii="宋体" w:eastAsia="宋体" w:hAnsi="宋体" w:cs="宋体"/>
                <w:spacing w:val="1"/>
                <w:sz w:val="16"/>
                <w:szCs w:val="16"/>
              </w:rPr>
              <w:t>升食品企业的竞争力</w:t>
            </w:r>
          </w:p>
          <w:p w:rsidR="00EA40A3" w:rsidRDefault="00EA40A3">
            <w:pPr>
              <w:spacing w:line="255" w:lineRule="auto"/>
            </w:pPr>
          </w:p>
          <w:p w:rsidR="00EA40A3" w:rsidRDefault="00E86C16">
            <w:pPr>
              <w:spacing w:before="52" w:line="269" w:lineRule="auto"/>
              <w:ind w:left="195" w:right="77" w:hanging="140"/>
              <w:rPr>
                <w:rFonts w:ascii="宋体" w:eastAsia="宋体" w:hAnsi="宋体" w:cs="宋体"/>
                <w:sz w:val="16"/>
                <w:szCs w:val="16"/>
              </w:rPr>
            </w:pPr>
            <w:r>
              <w:rPr>
                <w:rFonts w:ascii="宋体" w:eastAsia="宋体" w:hAnsi="宋体" w:cs="宋体"/>
                <w:sz w:val="16"/>
                <w:szCs w:val="16"/>
              </w:rPr>
              <w:t>主要从事公共营养保健方案之教育推广与咨询，提供主管机关营养问题之</w:t>
            </w:r>
            <w:r>
              <w:rPr>
                <w:rFonts w:ascii="宋体" w:eastAsia="宋体" w:hAnsi="宋体" w:cs="宋体"/>
                <w:spacing w:val="-1"/>
                <w:sz w:val="16"/>
                <w:szCs w:val="16"/>
              </w:rPr>
              <w:t>评估，相关资料统</w:t>
            </w:r>
            <w:r>
              <w:rPr>
                <w:rFonts w:ascii="宋体" w:eastAsia="宋体" w:hAnsi="宋体" w:cs="宋体"/>
                <w:sz w:val="16"/>
                <w:szCs w:val="16"/>
              </w:rPr>
              <w:t xml:space="preserve"> 计与分析，同时必须经常开办并讲授营养课程，以协助一般民众了解各种</w:t>
            </w:r>
            <w:r>
              <w:rPr>
                <w:rFonts w:ascii="宋体" w:eastAsia="宋体" w:hAnsi="宋体" w:cs="宋体"/>
                <w:spacing w:val="-1"/>
                <w:sz w:val="16"/>
                <w:szCs w:val="16"/>
              </w:rPr>
              <w:t>饮食与营养方面</w:t>
            </w:r>
            <w:r>
              <w:rPr>
                <w:rFonts w:ascii="宋体" w:eastAsia="宋体" w:hAnsi="宋体" w:cs="宋体"/>
                <w:sz w:val="16"/>
                <w:szCs w:val="16"/>
              </w:rPr>
              <w:t xml:space="preserve"> 的知识。这类营养师有时须配合研究机构进行营养调查</w:t>
            </w:r>
          </w:p>
        </w:tc>
      </w:tr>
      <w:tr w:rsidR="00EA40A3">
        <w:trPr>
          <w:trHeight w:val="1872"/>
        </w:trPr>
        <w:tc>
          <w:tcPr>
            <w:tcW w:w="7410" w:type="dxa"/>
            <w:gridSpan w:val="2"/>
            <w:tcBorders>
              <w:left w:val="nil"/>
              <w:bottom w:val="single" w:sz="4" w:space="0" w:color="000000"/>
              <w:right w:val="nil"/>
            </w:tcBorders>
          </w:tcPr>
          <w:p w:rsidR="00EA40A3" w:rsidRDefault="00E86C16">
            <w:pPr>
              <w:spacing w:before="143" w:line="266" w:lineRule="auto"/>
              <w:ind w:left="209" w:right="167" w:hanging="120"/>
              <w:rPr>
                <w:rFonts w:ascii="宋体" w:eastAsia="宋体" w:hAnsi="宋体" w:cs="宋体"/>
                <w:sz w:val="16"/>
                <w:szCs w:val="16"/>
              </w:rPr>
            </w:pPr>
            <w:r>
              <w:rPr>
                <w:rFonts w:ascii="宋体" w:eastAsia="宋体" w:hAnsi="宋体" w:cs="宋体"/>
                <w:spacing w:val="3"/>
                <w:sz w:val="16"/>
                <w:szCs w:val="16"/>
              </w:rPr>
              <w:t>传播营养通过传播媒介向公众清楚、准确、有效地传播</w:t>
            </w:r>
            <w:r>
              <w:rPr>
                <w:rFonts w:ascii="宋体" w:eastAsia="宋体" w:hAnsi="宋体" w:cs="宋体"/>
                <w:spacing w:val="2"/>
                <w:sz w:val="16"/>
                <w:szCs w:val="16"/>
              </w:rPr>
              <w:t>营养知识和营养信息。进行公众的营养教育和</w:t>
            </w:r>
            <w:r>
              <w:rPr>
                <w:rFonts w:ascii="宋体" w:eastAsia="宋体" w:hAnsi="宋体" w:cs="宋体"/>
                <w:sz w:val="16"/>
                <w:szCs w:val="16"/>
              </w:rPr>
              <w:t xml:space="preserve"> </w:t>
            </w:r>
            <w:r>
              <w:rPr>
                <w:rFonts w:ascii="宋体" w:eastAsia="宋体" w:hAnsi="宋体" w:cs="宋体"/>
                <w:spacing w:val="3"/>
                <w:sz w:val="16"/>
                <w:szCs w:val="16"/>
              </w:rPr>
              <w:t>师</w:t>
            </w:r>
            <w:r>
              <w:rPr>
                <w:rFonts w:ascii="宋体" w:eastAsia="宋体" w:hAnsi="宋体" w:cs="宋体"/>
                <w:spacing w:val="1"/>
                <w:sz w:val="16"/>
                <w:szCs w:val="16"/>
              </w:rPr>
              <w:t xml:space="preserve">        </w:t>
            </w:r>
            <w:r>
              <w:rPr>
                <w:rFonts w:ascii="宋体" w:eastAsia="宋体" w:hAnsi="宋体" w:cs="宋体"/>
                <w:spacing w:val="3"/>
                <w:sz w:val="16"/>
                <w:szCs w:val="16"/>
              </w:rPr>
              <w:t>膳食指导</w:t>
            </w:r>
          </w:p>
          <w:p w:rsidR="00EA40A3" w:rsidRDefault="00E86C16">
            <w:pPr>
              <w:spacing w:before="159" w:line="260" w:lineRule="auto"/>
              <w:ind w:left="210" w:right="157" w:hanging="130"/>
              <w:rPr>
                <w:rFonts w:ascii="宋体" w:eastAsia="宋体" w:hAnsi="宋体" w:cs="宋体"/>
                <w:sz w:val="16"/>
                <w:szCs w:val="16"/>
              </w:rPr>
            </w:pPr>
            <w:r>
              <w:rPr>
                <w:rFonts w:ascii="宋体" w:eastAsia="宋体" w:hAnsi="宋体" w:cs="宋体"/>
                <w:spacing w:val="3"/>
                <w:sz w:val="16"/>
                <w:szCs w:val="16"/>
              </w:rPr>
              <w:t>运动营养指导专业运动员选择适宜的食品和饮料及摄取时间。指导对健康和运动有益的膳食补充品的</w:t>
            </w:r>
            <w:r>
              <w:rPr>
                <w:rFonts w:ascii="宋体" w:eastAsia="宋体" w:hAnsi="宋体" w:cs="宋体"/>
                <w:sz w:val="16"/>
                <w:szCs w:val="16"/>
              </w:rPr>
              <w:t xml:space="preserve"> </w:t>
            </w:r>
            <w:r>
              <w:rPr>
                <w:rFonts w:ascii="宋体" w:eastAsia="宋体" w:hAnsi="宋体" w:cs="宋体"/>
                <w:spacing w:val="1"/>
                <w:sz w:val="16"/>
                <w:szCs w:val="16"/>
              </w:rPr>
              <w:t>师</w:t>
            </w:r>
            <w:r>
              <w:rPr>
                <w:rFonts w:ascii="宋体" w:eastAsia="宋体" w:hAnsi="宋体" w:cs="宋体"/>
                <w:spacing w:val="3"/>
                <w:sz w:val="16"/>
                <w:szCs w:val="16"/>
              </w:rPr>
              <w:t xml:space="preserve">       </w:t>
            </w:r>
            <w:r>
              <w:rPr>
                <w:rFonts w:ascii="宋体" w:eastAsia="宋体" w:hAnsi="宋体" w:cs="宋体"/>
                <w:spacing w:val="1"/>
                <w:sz w:val="16"/>
                <w:szCs w:val="16"/>
              </w:rPr>
              <w:t>选择，来增强体力，提高运动成绩和体力恢复，获得竞争优势</w:t>
            </w:r>
          </w:p>
          <w:p w:rsidR="00EA40A3" w:rsidRDefault="00E86C16">
            <w:pPr>
              <w:spacing w:before="169" w:line="233" w:lineRule="auto"/>
              <w:ind w:left="40"/>
              <w:rPr>
                <w:rFonts w:ascii="宋体" w:eastAsia="宋体" w:hAnsi="宋体" w:cs="宋体"/>
                <w:sz w:val="16"/>
                <w:szCs w:val="16"/>
              </w:rPr>
            </w:pPr>
            <w:r>
              <w:rPr>
                <w:rFonts w:ascii="宋体" w:eastAsia="宋体" w:hAnsi="宋体" w:cs="宋体"/>
                <w:position w:val="-2"/>
                <w:sz w:val="16"/>
                <w:szCs w:val="16"/>
              </w:rPr>
              <w:t>私人营</w:t>
            </w:r>
            <w:r>
              <w:rPr>
                <w:rFonts w:ascii="宋体" w:eastAsia="宋体" w:hAnsi="宋体" w:cs="宋体"/>
                <w:spacing w:val="19"/>
                <w:position w:val="-2"/>
                <w:sz w:val="16"/>
                <w:szCs w:val="16"/>
              </w:rPr>
              <w:t xml:space="preserve">    </w:t>
            </w:r>
            <w:r>
              <w:rPr>
                <w:rFonts w:ascii="宋体" w:eastAsia="宋体" w:hAnsi="宋体" w:cs="宋体"/>
                <w:sz w:val="16"/>
                <w:szCs w:val="16"/>
              </w:rPr>
              <w:t>根据服务对象的身体、经济状况，制定适宜饮食方式、合理的</w:t>
            </w:r>
            <w:r>
              <w:rPr>
                <w:rFonts w:ascii="宋体" w:eastAsia="宋体" w:hAnsi="宋体" w:cs="宋体"/>
                <w:spacing w:val="-1"/>
                <w:sz w:val="16"/>
                <w:szCs w:val="16"/>
              </w:rPr>
              <w:t>膳食搭配、科学选择食物和膳</w:t>
            </w:r>
          </w:p>
          <w:p w:rsidR="00EA40A3" w:rsidRDefault="00E86C16">
            <w:pPr>
              <w:spacing w:before="58" w:line="220" w:lineRule="auto"/>
              <w:ind w:left="219"/>
              <w:rPr>
                <w:rFonts w:ascii="宋体" w:eastAsia="宋体" w:hAnsi="宋体" w:cs="宋体"/>
                <w:sz w:val="16"/>
                <w:szCs w:val="16"/>
              </w:rPr>
            </w:pPr>
            <w:r>
              <w:rPr>
                <w:rFonts w:ascii="宋体" w:eastAsia="宋体" w:hAnsi="宋体" w:cs="宋体"/>
                <w:spacing w:val="1"/>
                <w:sz w:val="16"/>
                <w:szCs w:val="16"/>
              </w:rPr>
              <w:t>养师</w:t>
            </w:r>
            <w:r>
              <w:rPr>
                <w:rFonts w:ascii="宋体" w:eastAsia="宋体" w:hAnsi="宋体" w:cs="宋体"/>
                <w:spacing w:val="11"/>
                <w:sz w:val="16"/>
                <w:szCs w:val="16"/>
              </w:rPr>
              <w:t xml:space="preserve">      </w:t>
            </w:r>
            <w:r>
              <w:rPr>
                <w:rFonts w:ascii="宋体" w:eastAsia="宋体" w:hAnsi="宋体" w:cs="宋体"/>
                <w:spacing w:val="1"/>
                <w:sz w:val="16"/>
                <w:szCs w:val="16"/>
              </w:rPr>
              <w:t>食补充品</w:t>
            </w:r>
          </w:p>
        </w:tc>
      </w:tr>
    </w:tbl>
    <w:p w:rsidR="00EA40A3" w:rsidRDefault="00E86C16">
      <w:pPr>
        <w:spacing w:before="141" w:line="219" w:lineRule="auto"/>
        <w:ind w:left="210"/>
        <w:rPr>
          <w:rFonts w:ascii="宋体" w:eastAsia="宋体" w:hAnsi="宋体" w:cs="宋体"/>
          <w:sz w:val="16"/>
          <w:szCs w:val="16"/>
        </w:rPr>
      </w:pPr>
      <w:r>
        <w:rPr>
          <w:rFonts w:ascii="宋体" w:eastAsia="宋体" w:hAnsi="宋体" w:cs="宋体"/>
          <w:spacing w:val="4"/>
          <w:sz w:val="16"/>
          <w:szCs w:val="16"/>
        </w:rPr>
        <w:t>资料来源：柴巍中等.2004.国外营养教育和营养师发</w:t>
      </w:r>
      <w:r>
        <w:rPr>
          <w:rFonts w:ascii="宋体" w:eastAsia="宋体" w:hAnsi="宋体" w:cs="宋体"/>
          <w:spacing w:val="3"/>
          <w:sz w:val="16"/>
          <w:szCs w:val="16"/>
        </w:rPr>
        <w:t>展概况.中国食物与营养，(12):11～13</w:t>
      </w:r>
    </w:p>
    <w:p w:rsidR="00EA40A3" w:rsidRDefault="00EA40A3">
      <w:pPr>
        <w:spacing w:line="337" w:lineRule="auto"/>
      </w:pPr>
    </w:p>
    <w:p w:rsidR="00EA40A3" w:rsidRDefault="00E86C16">
      <w:pPr>
        <w:spacing w:before="59"/>
        <w:ind w:right="107"/>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417</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pgSz w:w="9220" w:h="13360"/>
          <w:pgMar w:top="400" w:right="1049" w:bottom="400" w:left="760" w:header="0" w:footer="0" w:gutter="0"/>
          <w:cols w:space="720"/>
        </w:sectPr>
      </w:pPr>
    </w:p>
    <w:p w:rsidR="00EA40A3" w:rsidRDefault="00EA40A3">
      <w:pPr>
        <w:spacing w:line="344" w:lineRule="auto"/>
      </w:pPr>
    </w:p>
    <w:p w:rsidR="00EA40A3" w:rsidRDefault="00EA40A3">
      <w:pPr>
        <w:spacing w:line="345" w:lineRule="auto"/>
      </w:pPr>
    </w:p>
    <w:p w:rsidR="00EA40A3" w:rsidRDefault="00E86C16">
      <w:pPr>
        <w:spacing w:before="71" w:line="220" w:lineRule="auto"/>
        <w:rPr>
          <w:rFonts w:ascii="仿宋" w:eastAsia="仿宋" w:hAnsi="仿宋" w:cs="仿宋"/>
          <w:sz w:val="22"/>
          <w:szCs w:val="22"/>
        </w:rPr>
      </w:pPr>
      <w:r>
        <w:rPr>
          <w:rFonts w:ascii="仿宋" w:eastAsia="仿宋" w:hAnsi="仿宋" w:cs="仿宋"/>
          <w:spacing w:val="16"/>
          <w:sz w:val="22"/>
          <w:szCs w:val="22"/>
        </w:rPr>
        <w:t>3.</w:t>
      </w:r>
      <w:r>
        <w:rPr>
          <w:rFonts w:ascii="仿宋" w:eastAsia="仿宋" w:hAnsi="仿宋" w:cs="仿宋"/>
          <w:spacing w:val="-34"/>
          <w:sz w:val="22"/>
          <w:szCs w:val="22"/>
        </w:rPr>
        <w:t xml:space="preserve"> </w:t>
      </w:r>
      <w:r>
        <w:rPr>
          <w:rFonts w:ascii="仿宋" w:eastAsia="仿宋" w:hAnsi="仿宋" w:cs="仿宋"/>
          <w:spacing w:val="16"/>
          <w:sz w:val="22"/>
          <w:szCs w:val="22"/>
        </w:rPr>
        <w:t>利用各种宣传媒介，将营养工作纳入到初级卫生保健服务中</w:t>
      </w:r>
    </w:p>
    <w:p w:rsidR="00EA40A3" w:rsidRDefault="00E86C16">
      <w:pPr>
        <w:spacing w:before="182" w:line="246" w:lineRule="auto"/>
        <w:ind w:right="101" w:firstLine="410"/>
        <w:jc w:val="both"/>
        <w:rPr>
          <w:rFonts w:ascii="宋体" w:eastAsia="宋体" w:hAnsi="宋体" w:cs="宋体"/>
          <w:sz w:val="22"/>
          <w:szCs w:val="22"/>
        </w:rPr>
      </w:pPr>
      <w:r>
        <w:rPr>
          <w:rFonts w:ascii="宋体" w:eastAsia="宋体" w:hAnsi="宋体" w:cs="宋体"/>
          <w:spacing w:val="-13"/>
          <w:sz w:val="22"/>
          <w:szCs w:val="22"/>
        </w:rPr>
        <w:t>提高初级卫生保健人员的营养知识水平，并通过他们指导居民因地制宜，合</w:t>
      </w:r>
      <w:r>
        <w:rPr>
          <w:rFonts w:ascii="宋体" w:eastAsia="宋体" w:hAnsi="宋体" w:cs="宋体"/>
          <w:spacing w:val="6"/>
          <w:sz w:val="22"/>
          <w:szCs w:val="22"/>
        </w:rPr>
        <w:t xml:space="preserve"> </w:t>
      </w:r>
      <w:r>
        <w:rPr>
          <w:rFonts w:ascii="宋体" w:eastAsia="宋体" w:hAnsi="宋体" w:cs="宋体"/>
          <w:spacing w:val="-13"/>
          <w:sz w:val="22"/>
          <w:szCs w:val="22"/>
        </w:rPr>
        <w:t>理利用当地食物资源改善营养状况。广泛开展群众的营养宣传教育活动，推荐合</w:t>
      </w:r>
      <w:r>
        <w:rPr>
          <w:rFonts w:ascii="宋体" w:eastAsia="宋体" w:hAnsi="宋体" w:cs="宋体"/>
          <w:spacing w:val="2"/>
          <w:sz w:val="22"/>
          <w:szCs w:val="22"/>
        </w:rPr>
        <w:t xml:space="preserve"> </w:t>
      </w:r>
      <w:r>
        <w:rPr>
          <w:rFonts w:ascii="宋体" w:eastAsia="宋体" w:hAnsi="宋体" w:cs="宋体"/>
          <w:spacing w:val="-14"/>
          <w:sz w:val="22"/>
          <w:szCs w:val="22"/>
        </w:rPr>
        <w:t>理的膳食模式和健康的生活方式，纠正不良饮食习惯。</w:t>
      </w:r>
    </w:p>
    <w:p w:rsidR="00EA40A3" w:rsidRDefault="00E86C16">
      <w:pPr>
        <w:spacing w:before="196" w:line="221" w:lineRule="auto"/>
        <w:rPr>
          <w:rFonts w:ascii="仿宋" w:eastAsia="仿宋" w:hAnsi="仿宋" w:cs="仿宋"/>
          <w:sz w:val="22"/>
          <w:szCs w:val="22"/>
        </w:rPr>
      </w:pPr>
      <w:r>
        <w:rPr>
          <w:rFonts w:ascii="仿宋" w:eastAsia="仿宋" w:hAnsi="仿宋" w:cs="仿宋"/>
          <w:spacing w:val="9"/>
          <w:sz w:val="22"/>
          <w:szCs w:val="22"/>
        </w:rPr>
        <w:t>4.</w:t>
      </w:r>
      <w:r>
        <w:rPr>
          <w:rFonts w:ascii="仿宋" w:eastAsia="仿宋" w:hAnsi="仿宋" w:cs="仿宋"/>
          <w:spacing w:val="-31"/>
          <w:sz w:val="22"/>
          <w:szCs w:val="22"/>
        </w:rPr>
        <w:t xml:space="preserve"> </w:t>
      </w:r>
      <w:r>
        <w:rPr>
          <w:rFonts w:ascii="仿宋" w:eastAsia="仿宋" w:hAnsi="仿宋" w:cs="仿宋"/>
          <w:spacing w:val="9"/>
          <w:sz w:val="22"/>
          <w:szCs w:val="22"/>
        </w:rPr>
        <w:t>营养立法</w:t>
      </w:r>
    </w:p>
    <w:p w:rsidR="00EA40A3" w:rsidRDefault="00E86C16">
      <w:pPr>
        <w:spacing w:before="212" w:line="247" w:lineRule="auto"/>
        <w:ind w:firstLine="410"/>
        <w:jc w:val="both"/>
        <w:rPr>
          <w:rFonts w:ascii="宋体" w:eastAsia="宋体" w:hAnsi="宋体" w:cs="宋体"/>
          <w:sz w:val="22"/>
          <w:szCs w:val="22"/>
        </w:rPr>
      </w:pPr>
      <w:r>
        <w:rPr>
          <w:rFonts w:ascii="宋体" w:eastAsia="宋体" w:hAnsi="宋体" w:cs="宋体"/>
          <w:spacing w:val="-10"/>
          <w:sz w:val="22"/>
          <w:szCs w:val="22"/>
        </w:rPr>
        <w:t>许多国家很早就意识到营养立法对改善国民营养和国家长远发展的重要性。</w:t>
      </w:r>
      <w:r>
        <w:rPr>
          <w:rFonts w:ascii="宋体" w:eastAsia="宋体" w:hAnsi="宋体" w:cs="宋体"/>
          <w:spacing w:val="8"/>
          <w:sz w:val="22"/>
          <w:szCs w:val="22"/>
        </w:rPr>
        <w:t xml:space="preserve"> </w:t>
      </w:r>
      <w:r>
        <w:rPr>
          <w:rFonts w:ascii="宋体" w:eastAsia="宋体" w:hAnsi="宋体" w:cs="宋体"/>
          <w:spacing w:val="-17"/>
          <w:sz w:val="22"/>
          <w:szCs w:val="22"/>
        </w:rPr>
        <w:t>美国于1946年开始先后颁布了《国家学生午餐法》</w:t>
      </w:r>
      <w:r>
        <w:rPr>
          <w:rFonts w:ascii="宋体" w:eastAsia="宋体" w:hAnsi="宋体" w:cs="宋体"/>
          <w:spacing w:val="-18"/>
          <w:sz w:val="22"/>
          <w:szCs w:val="22"/>
        </w:rPr>
        <w:t>、《国家学生早餐法》、《全国</w:t>
      </w:r>
      <w:r>
        <w:rPr>
          <w:rFonts w:ascii="宋体" w:eastAsia="宋体" w:hAnsi="宋体" w:cs="宋体"/>
          <w:sz w:val="22"/>
          <w:szCs w:val="22"/>
        </w:rPr>
        <w:t xml:space="preserve"> </w:t>
      </w:r>
      <w:r>
        <w:rPr>
          <w:rFonts w:ascii="宋体" w:eastAsia="宋体" w:hAnsi="宋体" w:cs="宋体"/>
          <w:spacing w:val="-12"/>
          <w:sz w:val="22"/>
          <w:szCs w:val="22"/>
        </w:rPr>
        <w:t>营养监测及相关研究法》等，日本从1947年开始先后颁布了《营养师法》</w:t>
      </w:r>
      <w:r>
        <w:rPr>
          <w:rFonts w:ascii="宋体" w:eastAsia="宋体" w:hAnsi="宋体" w:cs="宋体"/>
          <w:spacing w:val="-13"/>
          <w:sz w:val="22"/>
          <w:szCs w:val="22"/>
        </w:rPr>
        <w:t>、《营</w:t>
      </w:r>
      <w:r>
        <w:rPr>
          <w:rFonts w:ascii="宋体" w:eastAsia="宋体" w:hAnsi="宋体" w:cs="宋体"/>
          <w:sz w:val="22"/>
          <w:szCs w:val="22"/>
        </w:rPr>
        <w:t xml:space="preserve">  </w:t>
      </w:r>
      <w:r>
        <w:rPr>
          <w:rFonts w:ascii="宋体" w:eastAsia="宋体" w:hAnsi="宋体" w:cs="宋体"/>
          <w:spacing w:val="-19"/>
          <w:sz w:val="22"/>
          <w:szCs w:val="22"/>
        </w:rPr>
        <w:t>养改善法》、《学校供餐法》等。我国也应开展营养立法工作，其内容包括建设营</w:t>
      </w:r>
      <w:r>
        <w:rPr>
          <w:rFonts w:ascii="宋体" w:eastAsia="宋体" w:hAnsi="宋体" w:cs="宋体"/>
          <w:spacing w:val="8"/>
          <w:sz w:val="22"/>
          <w:szCs w:val="22"/>
        </w:rPr>
        <w:t xml:space="preserve">  </w:t>
      </w:r>
      <w:r>
        <w:rPr>
          <w:rFonts w:ascii="宋体" w:eastAsia="宋体" w:hAnsi="宋体" w:cs="宋体"/>
          <w:spacing w:val="-13"/>
          <w:sz w:val="22"/>
          <w:szCs w:val="22"/>
        </w:rPr>
        <w:t>养专业人才队伍、营养调查与营养监测、食品营养标签、学生营养午餐等，这将</w:t>
      </w:r>
      <w:r>
        <w:rPr>
          <w:rFonts w:ascii="宋体" w:eastAsia="宋体" w:hAnsi="宋体" w:cs="宋体"/>
          <w:spacing w:val="1"/>
          <w:sz w:val="22"/>
          <w:szCs w:val="22"/>
        </w:rPr>
        <w:t xml:space="preserve">  </w:t>
      </w:r>
      <w:r>
        <w:rPr>
          <w:rFonts w:ascii="宋体" w:eastAsia="宋体" w:hAnsi="宋体" w:cs="宋体"/>
          <w:spacing w:val="-13"/>
          <w:sz w:val="22"/>
          <w:szCs w:val="22"/>
        </w:rPr>
        <w:t>对增强国民体质，减少营养不良和失衡，减少与膳食相关疾病，实现协调发展起</w:t>
      </w:r>
      <w:r>
        <w:rPr>
          <w:rFonts w:ascii="宋体" w:eastAsia="宋体" w:hAnsi="宋体" w:cs="宋体"/>
          <w:spacing w:val="1"/>
          <w:sz w:val="22"/>
          <w:szCs w:val="22"/>
        </w:rPr>
        <w:t xml:space="preserve">  </w:t>
      </w:r>
      <w:r>
        <w:rPr>
          <w:rFonts w:ascii="宋体" w:eastAsia="宋体" w:hAnsi="宋体" w:cs="宋体"/>
          <w:spacing w:val="-16"/>
          <w:sz w:val="22"/>
          <w:szCs w:val="22"/>
        </w:rPr>
        <w:t>重要作用。</w:t>
      </w:r>
    </w:p>
    <w:p w:rsidR="00EA40A3" w:rsidRDefault="00E86C16">
      <w:pPr>
        <w:spacing w:before="202" w:line="221" w:lineRule="auto"/>
        <w:ind w:left="3"/>
        <w:outlineLvl w:val="6"/>
        <w:rPr>
          <w:rFonts w:ascii="黑体" w:eastAsia="黑体" w:hAnsi="黑体" w:cs="黑体"/>
          <w:sz w:val="25"/>
          <w:szCs w:val="25"/>
        </w:rPr>
      </w:pPr>
      <w:r>
        <w:rPr>
          <w:rFonts w:ascii="黑体" w:eastAsia="黑体" w:hAnsi="黑体" w:cs="黑体"/>
          <w:b/>
          <w:bCs/>
          <w:spacing w:val="-13"/>
          <w:sz w:val="25"/>
          <w:szCs w:val="25"/>
        </w:rPr>
        <w:t>12.6.5</w:t>
      </w:r>
      <w:r>
        <w:rPr>
          <w:rFonts w:ascii="黑体" w:eastAsia="黑体" w:hAnsi="黑体" w:cs="黑体"/>
          <w:spacing w:val="24"/>
          <w:sz w:val="25"/>
          <w:szCs w:val="25"/>
        </w:rPr>
        <w:t xml:space="preserve">  </w:t>
      </w:r>
      <w:r>
        <w:rPr>
          <w:rFonts w:ascii="黑体" w:eastAsia="黑体" w:hAnsi="黑体" w:cs="黑体"/>
          <w:b/>
          <w:bCs/>
          <w:spacing w:val="-13"/>
          <w:sz w:val="25"/>
          <w:szCs w:val="25"/>
        </w:rPr>
        <w:t>开发新的食物资源</w:t>
      </w:r>
    </w:p>
    <w:p w:rsidR="00EA40A3" w:rsidRDefault="00E86C16">
      <w:pPr>
        <w:spacing w:before="184" w:line="252" w:lineRule="auto"/>
        <w:ind w:right="101" w:firstLine="410"/>
        <w:rPr>
          <w:rFonts w:ascii="宋体" w:eastAsia="宋体" w:hAnsi="宋体" w:cs="宋体"/>
          <w:sz w:val="22"/>
          <w:szCs w:val="22"/>
        </w:rPr>
      </w:pPr>
      <w:r>
        <w:rPr>
          <w:rFonts w:ascii="宋体" w:eastAsia="宋体" w:hAnsi="宋体" w:cs="宋体"/>
          <w:spacing w:val="-13"/>
          <w:sz w:val="22"/>
          <w:szCs w:val="22"/>
        </w:rPr>
        <w:t>随着我国人口结构变化，经济发展，人们食物消费需求以及营养水平的不断</w:t>
      </w:r>
      <w:r>
        <w:rPr>
          <w:rFonts w:ascii="宋体" w:eastAsia="宋体" w:hAnsi="宋体" w:cs="宋体"/>
          <w:spacing w:val="6"/>
          <w:sz w:val="22"/>
          <w:szCs w:val="22"/>
        </w:rPr>
        <w:t xml:space="preserve"> </w:t>
      </w:r>
      <w:r>
        <w:rPr>
          <w:rFonts w:ascii="宋体" w:eastAsia="宋体" w:hAnsi="宋体" w:cs="宋体"/>
          <w:spacing w:val="-13"/>
          <w:sz w:val="22"/>
          <w:szCs w:val="22"/>
        </w:rPr>
        <w:t>提高，食物生产加工的总供给与总需求矛盾将持续存在。同时，我国动植物资源</w:t>
      </w:r>
      <w:r>
        <w:rPr>
          <w:rFonts w:ascii="宋体" w:eastAsia="宋体" w:hAnsi="宋体" w:cs="宋体"/>
          <w:spacing w:val="2"/>
          <w:sz w:val="22"/>
          <w:szCs w:val="22"/>
        </w:rPr>
        <w:t xml:space="preserve"> </w:t>
      </w:r>
      <w:r>
        <w:rPr>
          <w:rFonts w:ascii="宋体" w:eastAsia="宋体" w:hAnsi="宋体" w:cs="宋体"/>
          <w:spacing w:val="-13"/>
          <w:sz w:val="22"/>
          <w:szCs w:val="22"/>
        </w:rPr>
        <w:t>极为丰富，应用新科学新技术发掘和利用各类动植物资源、副产品潜力很大。</w:t>
      </w:r>
    </w:p>
    <w:p w:rsidR="00EA40A3" w:rsidRDefault="00E86C16">
      <w:pPr>
        <w:spacing w:before="18" w:line="224" w:lineRule="auto"/>
        <w:rPr>
          <w:rFonts w:ascii="楷体" w:eastAsia="楷体" w:hAnsi="楷体" w:cs="楷体"/>
          <w:sz w:val="22"/>
          <w:szCs w:val="22"/>
        </w:rPr>
      </w:pPr>
      <w:r>
        <w:rPr>
          <w:rFonts w:ascii="楷体" w:eastAsia="楷体" w:hAnsi="楷体" w:cs="楷体"/>
          <w:spacing w:val="-5"/>
          <w:sz w:val="22"/>
          <w:szCs w:val="22"/>
        </w:rPr>
        <w:t>1)增加蛋白质营养源</w:t>
      </w:r>
    </w:p>
    <w:p w:rsidR="00EA40A3" w:rsidRDefault="00E86C16">
      <w:pPr>
        <w:spacing w:before="57" w:line="245" w:lineRule="auto"/>
        <w:ind w:firstLine="410"/>
        <w:rPr>
          <w:rFonts w:ascii="宋体" w:eastAsia="宋体" w:hAnsi="宋体" w:cs="宋体"/>
          <w:sz w:val="22"/>
          <w:szCs w:val="22"/>
        </w:rPr>
      </w:pPr>
      <w:r>
        <w:rPr>
          <w:rFonts w:ascii="宋体" w:eastAsia="宋体" w:hAnsi="宋体" w:cs="宋体"/>
          <w:spacing w:val="-14"/>
          <w:sz w:val="22"/>
          <w:szCs w:val="22"/>
        </w:rPr>
        <w:t>应用现代遗传育种技术培育高蛋白小麦、玉米、水稻等粮谷作物新品种；扩</w:t>
      </w:r>
      <w:r>
        <w:rPr>
          <w:rFonts w:ascii="宋体" w:eastAsia="宋体" w:hAnsi="宋体" w:cs="宋体"/>
          <w:spacing w:val="5"/>
          <w:sz w:val="22"/>
          <w:szCs w:val="22"/>
        </w:rPr>
        <w:t xml:space="preserve">  </w:t>
      </w:r>
      <w:r>
        <w:rPr>
          <w:rFonts w:ascii="宋体" w:eastAsia="宋体" w:hAnsi="宋体" w:cs="宋体"/>
          <w:spacing w:val="-13"/>
          <w:sz w:val="22"/>
          <w:szCs w:val="22"/>
        </w:rPr>
        <w:t>大大豆的生产，加工分离大豆蛋白；进一步开发利用草原、草山和草坡资源，多</w:t>
      </w:r>
      <w:r>
        <w:rPr>
          <w:rFonts w:ascii="宋体" w:eastAsia="宋体" w:hAnsi="宋体" w:cs="宋体"/>
          <w:spacing w:val="6"/>
          <w:sz w:val="22"/>
          <w:szCs w:val="22"/>
        </w:rPr>
        <w:t xml:space="preserve">  </w:t>
      </w:r>
      <w:r>
        <w:rPr>
          <w:rFonts w:ascii="宋体" w:eastAsia="宋体" w:hAnsi="宋体" w:cs="宋体"/>
          <w:spacing w:val="-10"/>
          <w:sz w:val="22"/>
          <w:szCs w:val="22"/>
        </w:rPr>
        <w:t>种豆科牧草，发展草食畜牧业；从工农业副产品中获取蛋白质，如从油料饼粕</w:t>
      </w:r>
      <w:r>
        <w:rPr>
          <w:rFonts w:ascii="宋体" w:eastAsia="宋体" w:hAnsi="宋体" w:cs="宋体"/>
          <w:spacing w:val="-11"/>
          <w:sz w:val="22"/>
          <w:szCs w:val="22"/>
        </w:rPr>
        <w:t>、</w:t>
      </w:r>
      <w:r>
        <w:rPr>
          <w:rFonts w:ascii="宋体" w:eastAsia="宋体" w:hAnsi="宋体" w:cs="宋体"/>
          <w:sz w:val="22"/>
          <w:szCs w:val="22"/>
        </w:rPr>
        <w:t xml:space="preserve"> </w:t>
      </w:r>
      <w:r>
        <w:rPr>
          <w:rFonts w:ascii="宋体" w:eastAsia="宋体" w:hAnsi="宋体" w:cs="宋体"/>
          <w:spacing w:val="-7"/>
          <w:sz w:val="22"/>
          <w:szCs w:val="22"/>
        </w:rPr>
        <w:t>家畜屠宰废弃物(血液等)、酿造业糟渣、淀粉工业废渣等中提取蛋白质，开发</w:t>
      </w:r>
      <w:r>
        <w:rPr>
          <w:rFonts w:ascii="宋体" w:eastAsia="宋体" w:hAnsi="宋体" w:cs="宋体"/>
          <w:spacing w:val="6"/>
          <w:sz w:val="22"/>
          <w:szCs w:val="22"/>
        </w:rPr>
        <w:t xml:space="preserve">  </w:t>
      </w:r>
      <w:r>
        <w:rPr>
          <w:rFonts w:ascii="宋体" w:eastAsia="宋体" w:hAnsi="宋体" w:cs="宋体"/>
          <w:spacing w:val="-14"/>
          <w:sz w:val="22"/>
          <w:szCs w:val="22"/>
        </w:rPr>
        <w:t>生产单细胞蛋白质、食用菌等。</w:t>
      </w:r>
    </w:p>
    <w:p w:rsidR="00EA40A3" w:rsidRDefault="00E86C16">
      <w:pPr>
        <w:spacing w:before="67" w:line="226" w:lineRule="auto"/>
        <w:rPr>
          <w:rFonts w:ascii="楷体" w:eastAsia="楷体" w:hAnsi="楷体" w:cs="楷体"/>
          <w:sz w:val="22"/>
          <w:szCs w:val="22"/>
        </w:rPr>
      </w:pPr>
      <w:r>
        <w:rPr>
          <w:rFonts w:ascii="楷体" w:eastAsia="楷体" w:hAnsi="楷体" w:cs="楷体"/>
          <w:spacing w:val="-3"/>
          <w:sz w:val="22"/>
          <w:szCs w:val="22"/>
        </w:rPr>
        <w:t>2)野生植物资源的开发</w:t>
      </w:r>
    </w:p>
    <w:p w:rsidR="00EA40A3" w:rsidRDefault="00E86C16">
      <w:pPr>
        <w:spacing w:before="63" w:line="246" w:lineRule="auto"/>
        <w:ind w:firstLine="410"/>
        <w:jc w:val="both"/>
        <w:rPr>
          <w:rFonts w:ascii="宋体" w:eastAsia="宋体" w:hAnsi="宋体" w:cs="宋体"/>
          <w:sz w:val="22"/>
          <w:szCs w:val="22"/>
        </w:rPr>
      </w:pPr>
      <w:r>
        <w:rPr>
          <w:rFonts w:ascii="宋体" w:eastAsia="宋体" w:hAnsi="宋体" w:cs="宋体"/>
          <w:spacing w:val="-3"/>
          <w:sz w:val="22"/>
          <w:szCs w:val="22"/>
        </w:rPr>
        <w:t>我国野生植物资源根据食品工业用途可分为：淀粉植物(野燕麦、蕨等</w:t>
      </w:r>
      <w:r>
        <w:rPr>
          <w:rFonts w:ascii="宋体" w:eastAsia="宋体" w:hAnsi="宋体" w:cs="宋体"/>
          <w:spacing w:val="-4"/>
          <w:sz w:val="22"/>
          <w:szCs w:val="22"/>
        </w:rPr>
        <w:t>)、</w:t>
      </w:r>
      <w:r>
        <w:rPr>
          <w:rFonts w:ascii="宋体" w:eastAsia="宋体" w:hAnsi="宋体" w:cs="宋体"/>
          <w:sz w:val="22"/>
          <w:szCs w:val="22"/>
        </w:rPr>
        <w:t xml:space="preserve"> </w:t>
      </w:r>
      <w:r>
        <w:rPr>
          <w:rFonts w:ascii="宋体" w:eastAsia="宋体" w:hAnsi="宋体" w:cs="宋体"/>
          <w:spacing w:val="-7"/>
          <w:sz w:val="22"/>
          <w:szCs w:val="22"/>
        </w:rPr>
        <w:t>蛋白质植物(各类食用菌等)、油脂植物(油橄榄、胡桃、香榧等)、维生素饮料</w:t>
      </w:r>
      <w:r>
        <w:rPr>
          <w:rFonts w:ascii="宋体" w:eastAsia="宋体" w:hAnsi="宋体" w:cs="宋体"/>
          <w:spacing w:val="9"/>
          <w:sz w:val="22"/>
          <w:szCs w:val="22"/>
        </w:rPr>
        <w:t xml:space="preserve">  </w:t>
      </w:r>
      <w:r>
        <w:rPr>
          <w:rFonts w:ascii="宋体" w:eastAsia="宋体" w:hAnsi="宋体" w:cs="宋体"/>
          <w:spacing w:val="-6"/>
          <w:sz w:val="22"/>
          <w:szCs w:val="22"/>
        </w:rPr>
        <w:t>植物(刺梨、沙棘、山葡萄等)、蜜源植物(苜</w:t>
      </w:r>
      <w:r>
        <w:rPr>
          <w:rFonts w:ascii="宋体" w:eastAsia="宋体" w:hAnsi="宋体" w:cs="宋体"/>
          <w:spacing w:val="-7"/>
          <w:sz w:val="22"/>
          <w:szCs w:val="22"/>
        </w:rPr>
        <w:t>蓿、白水苏、大叶桉等)、菜用植</w:t>
      </w:r>
      <w:r>
        <w:rPr>
          <w:rFonts w:ascii="宋体" w:eastAsia="宋体" w:hAnsi="宋体" w:cs="宋体"/>
          <w:sz w:val="22"/>
          <w:szCs w:val="22"/>
        </w:rPr>
        <w:t xml:space="preserve">  </w:t>
      </w:r>
      <w:r>
        <w:rPr>
          <w:rFonts w:ascii="宋体" w:eastAsia="宋体" w:hAnsi="宋体" w:cs="宋体"/>
          <w:spacing w:val="-1"/>
          <w:sz w:val="22"/>
          <w:szCs w:val="22"/>
        </w:rPr>
        <w:t>物(蕨菜、绿苋、薇菜等),在注重生态环境保护的同时，开发利用这类资源，</w:t>
      </w:r>
      <w:r>
        <w:rPr>
          <w:rFonts w:ascii="宋体" w:eastAsia="宋体" w:hAnsi="宋体" w:cs="宋体"/>
          <w:spacing w:val="13"/>
          <w:sz w:val="22"/>
          <w:szCs w:val="22"/>
        </w:rPr>
        <w:t xml:space="preserve"> </w:t>
      </w:r>
      <w:r>
        <w:rPr>
          <w:rFonts w:ascii="宋体" w:eastAsia="宋体" w:hAnsi="宋体" w:cs="宋体"/>
          <w:spacing w:val="-13"/>
          <w:sz w:val="22"/>
          <w:szCs w:val="22"/>
        </w:rPr>
        <w:t>既可扩大食品工业用原料，又能增加营养素，尤其是维生素、微量元素和生物活</w:t>
      </w:r>
      <w:r>
        <w:rPr>
          <w:rFonts w:ascii="宋体" w:eastAsia="宋体" w:hAnsi="宋体" w:cs="宋体"/>
          <w:spacing w:val="1"/>
          <w:sz w:val="22"/>
          <w:szCs w:val="22"/>
        </w:rPr>
        <w:t xml:space="preserve">  </w:t>
      </w:r>
      <w:r>
        <w:rPr>
          <w:rFonts w:ascii="宋体" w:eastAsia="宋体" w:hAnsi="宋体" w:cs="宋体"/>
          <w:spacing w:val="-7"/>
          <w:sz w:val="22"/>
          <w:szCs w:val="22"/>
        </w:rPr>
        <w:t>性物质的供给.</w:t>
      </w:r>
    </w:p>
    <w:p w:rsidR="00EA40A3" w:rsidRDefault="00E86C16">
      <w:pPr>
        <w:spacing w:before="35" w:line="223" w:lineRule="auto"/>
        <w:rPr>
          <w:rFonts w:ascii="楷体" w:eastAsia="楷体" w:hAnsi="楷体" w:cs="楷体"/>
          <w:sz w:val="22"/>
          <w:szCs w:val="22"/>
        </w:rPr>
      </w:pPr>
      <w:r>
        <w:rPr>
          <w:rFonts w:ascii="楷体" w:eastAsia="楷体" w:hAnsi="楷体" w:cs="楷体"/>
          <w:spacing w:val="-4"/>
          <w:sz w:val="22"/>
          <w:szCs w:val="22"/>
        </w:rPr>
        <w:t>3)合理和综合利用农副产品</w:t>
      </w:r>
    </w:p>
    <w:p w:rsidR="00EA40A3" w:rsidRDefault="00E86C16">
      <w:pPr>
        <w:spacing w:before="88" w:line="247" w:lineRule="auto"/>
        <w:ind w:right="73" w:firstLine="410"/>
        <w:jc w:val="both"/>
        <w:rPr>
          <w:rFonts w:ascii="宋体" w:eastAsia="宋体" w:hAnsi="宋体" w:cs="宋体"/>
          <w:sz w:val="22"/>
          <w:szCs w:val="22"/>
        </w:rPr>
      </w:pPr>
      <w:r>
        <w:rPr>
          <w:rFonts w:ascii="宋体" w:eastAsia="宋体" w:hAnsi="宋体" w:cs="宋体"/>
          <w:spacing w:val="-12"/>
          <w:sz w:val="22"/>
          <w:szCs w:val="22"/>
        </w:rPr>
        <w:t>对农副产品进行深加工和综合利用，是开发营养源、降低成本、增加收益的</w:t>
      </w:r>
      <w:r>
        <w:rPr>
          <w:rFonts w:ascii="宋体" w:eastAsia="宋体" w:hAnsi="宋体" w:cs="宋体"/>
          <w:spacing w:val="1"/>
          <w:sz w:val="22"/>
          <w:szCs w:val="22"/>
        </w:rPr>
        <w:t xml:space="preserve"> </w:t>
      </w:r>
      <w:r>
        <w:rPr>
          <w:rFonts w:ascii="宋体" w:eastAsia="宋体" w:hAnsi="宋体" w:cs="宋体"/>
          <w:spacing w:val="-12"/>
          <w:sz w:val="22"/>
          <w:szCs w:val="22"/>
        </w:rPr>
        <w:t>重要措施，除从农副产品中获取蛋白质外，还要用生</w:t>
      </w:r>
      <w:r>
        <w:rPr>
          <w:rFonts w:ascii="宋体" w:eastAsia="宋体" w:hAnsi="宋体" w:cs="宋体"/>
          <w:spacing w:val="-13"/>
          <w:sz w:val="22"/>
          <w:szCs w:val="22"/>
        </w:rPr>
        <w:t>物工程和食品工程技术，对</w:t>
      </w:r>
      <w:r>
        <w:rPr>
          <w:rFonts w:ascii="宋体" w:eastAsia="宋体" w:hAnsi="宋体" w:cs="宋体"/>
          <w:sz w:val="22"/>
          <w:szCs w:val="22"/>
        </w:rPr>
        <w:t xml:space="preserve"> </w:t>
      </w:r>
      <w:r>
        <w:rPr>
          <w:rFonts w:ascii="宋体" w:eastAsia="宋体" w:hAnsi="宋体" w:cs="宋体"/>
          <w:spacing w:val="-12"/>
          <w:sz w:val="22"/>
          <w:szCs w:val="22"/>
        </w:rPr>
        <w:t>农作物秸秆、谷胚、糠麸、酒糟、动物屠宰副产品、绿色</w:t>
      </w:r>
      <w:r>
        <w:rPr>
          <w:rFonts w:ascii="宋体" w:eastAsia="宋体" w:hAnsi="宋体" w:cs="宋体"/>
          <w:spacing w:val="-13"/>
          <w:sz w:val="22"/>
          <w:szCs w:val="22"/>
        </w:rPr>
        <w:t>叶枝和牧草、水产品副</w:t>
      </w:r>
    </w:p>
    <w:p w:rsidR="00EA40A3" w:rsidRDefault="00E86C16">
      <w:pPr>
        <w:spacing w:before="44"/>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418</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pgSz w:w="9220" w:h="13360"/>
          <w:pgMar w:top="400" w:right="930" w:bottom="400" w:left="939" w:header="0" w:footer="0" w:gutter="0"/>
          <w:cols w:space="720"/>
        </w:sectPr>
      </w:pPr>
    </w:p>
    <w:p w:rsidR="00EA40A3" w:rsidRDefault="00EA40A3">
      <w:pPr>
        <w:spacing w:line="258" w:lineRule="auto"/>
      </w:pPr>
    </w:p>
    <w:p w:rsidR="00EA40A3" w:rsidRDefault="00EA40A3">
      <w:pPr>
        <w:spacing w:line="259" w:lineRule="auto"/>
      </w:pPr>
    </w:p>
    <w:p w:rsidR="00EA40A3" w:rsidRDefault="00E86C16">
      <w:pPr>
        <w:spacing w:before="68" w:line="219" w:lineRule="auto"/>
        <w:rPr>
          <w:rFonts w:ascii="宋体" w:eastAsia="宋体" w:hAnsi="宋体" w:cs="宋体"/>
        </w:rPr>
      </w:pPr>
      <w:r>
        <w:rPr>
          <w:rFonts w:ascii="宋体" w:eastAsia="宋体" w:hAnsi="宋体" w:cs="宋体"/>
          <w:spacing w:val="-3"/>
        </w:rPr>
        <w:t>产物等进行综合利用，提取各种营养素和一些生物活性物质，其潜力很大。</w:t>
      </w:r>
    </w:p>
    <w:p w:rsidR="00EA40A3" w:rsidRDefault="00E86C16">
      <w:pPr>
        <w:spacing w:before="217" w:line="222" w:lineRule="auto"/>
        <w:ind w:left="3193"/>
        <w:rPr>
          <w:rFonts w:ascii="黑体" w:eastAsia="黑体" w:hAnsi="黑体" w:cs="黑体"/>
        </w:rPr>
      </w:pPr>
      <w:bookmarkStart w:id="104" w:name="_bookmark108"/>
      <w:bookmarkEnd w:id="104"/>
      <w:r>
        <w:rPr>
          <w:rFonts w:ascii="黑体" w:eastAsia="黑体" w:hAnsi="黑体" w:cs="黑体"/>
          <w:b/>
          <w:bCs/>
          <w:spacing w:val="-8"/>
        </w:rPr>
        <w:t>思</w:t>
      </w:r>
      <w:r>
        <w:rPr>
          <w:rFonts w:ascii="黑体" w:eastAsia="黑体" w:hAnsi="黑体" w:cs="黑体"/>
          <w:spacing w:val="73"/>
        </w:rPr>
        <w:t xml:space="preserve"> </w:t>
      </w:r>
      <w:r>
        <w:rPr>
          <w:rFonts w:ascii="黑体" w:eastAsia="黑体" w:hAnsi="黑体" w:cs="黑体"/>
          <w:b/>
          <w:bCs/>
          <w:spacing w:val="-8"/>
        </w:rPr>
        <w:t>考</w:t>
      </w:r>
      <w:r>
        <w:rPr>
          <w:rFonts w:ascii="黑体" w:eastAsia="黑体" w:hAnsi="黑体" w:cs="黑体"/>
          <w:spacing w:val="4"/>
        </w:rPr>
        <w:t xml:space="preserve">  </w:t>
      </w:r>
      <w:r>
        <w:rPr>
          <w:rFonts w:ascii="黑体" w:eastAsia="黑体" w:hAnsi="黑体" w:cs="黑体"/>
          <w:b/>
          <w:bCs/>
          <w:spacing w:val="-8"/>
        </w:rPr>
        <w:t>题</w:t>
      </w:r>
    </w:p>
    <w:p w:rsidR="00EA40A3" w:rsidRDefault="00E86C16">
      <w:pPr>
        <w:spacing w:before="218" w:line="280" w:lineRule="exact"/>
        <w:ind w:left="410"/>
        <w:rPr>
          <w:rFonts w:ascii="宋体" w:eastAsia="宋体" w:hAnsi="宋体" w:cs="宋体"/>
          <w:sz w:val="17"/>
          <w:szCs w:val="17"/>
        </w:rPr>
      </w:pPr>
      <w:r>
        <w:rPr>
          <w:rFonts w:ascii="宋体" w:eastAsia="宋体" w:hAnsi="宋体" w:cs="宋体"/>
          <w:spacing w:val="9"/>
          <w:position w:val="8"/>
          <w:sz w:val="17"/>
          <w:szCs w:val="17"/>
        </w:rPr>
        <w:t>1.简述社区营养的概念和特点。</w:t>
      </w:r>
    </w:p>
    <w:p w:rsidR="00EA40A3" w:rsidRDefault="00E86C16">
      <w:pPr>
        <w:spacing w:line="218" w:lineRule="auto"/>
        <w:ind w:left="410"/>
        <w:rPr>
          <w:rFonts w:ascii="宋体" w:eastAsia="宋体" w:hAnsi="宋体" w:cs="宋体"/>
          <w:sz w:val="17"/>
          <w:szCs w:val="17"/>
        </w:rPr>
      </w:pPr>
      <w:r>
        <w:rPr>
          <w:rFonts w:ascii="宋体" w:eastAsia="宋体" w:hAnsi="宋体" w:cs="宋体"/>
          <w:spacing w:val="9"/>
          <w:sz w:val="17"/>
          <w:szCs w:val="17"/>
        </w:rPr>
        <w:t>2.简述营养监测的概念和作用。</w:t>
      </w:r>
    </w:p>
    <w:p w:rsidR="00EA40A3" w:rsidRDefault="00E86C16">
      <w:pPr>
        <w:spacing w:before="78" w:line="219" w:lineRule="auto"/>
        <w:ind w:left="410"/>
        <w:rPr>
          <w:rFonts w:ascii="宋体" w:eastAsia="宋体" w:hAnsi="宋体" w:cs="宋体"/>
          <w:sz w:val="17"/>
          <w:szCs w:val="17"/>
        </w:rPr>
      </w:pPr>
      <w:r>
        <w:rPr>
          <w:rFonts w:ascii="宋体" w:eastAsia="宋体" w:hAnsi="宋体" w:cs="宋体"/>
          <w:spacing w:val="9"/>
          <w:sz w:val="17"/>
          <w:szCs w:val="17"/>
        </w:rPr>
        <w:t>3.几种主要营养监测的特点是什么?</w:t>
      </w:r>
    </w:p>
    <w:p w:rsidR="00EA40A3" w:rsidRDefault="00E86C16">
      <w:pPr>
        <w:spacing w:before="78" w:line="219" w:lineRule="auto"/>
        <w:ind w:left="410"/>
        <w:rPr>
          <w:rFonts w:ascii="宋体" w:eastAsia="宋体" w:hAnsi="宋体" w:cs="宋体"/>
          <w:sz w:val="17"/>
          <w:szCs w:val="17"/>
        </w:rPr>
      </w:pPr>
      <w:r>
        <w:rPr>
          <w:rFonts w:ascii="宋体" w:eastAsia="宋体" w:hAnsi="宋体" w:cs="宋体"/>
          <w:spacing w:val="9"/>
          <w:sz w:val="17"/>
          <w:szCs w:val="17"/>
        </w:rPr>
        <w:t>4.营养调查的基本方法及内容是什么?</w:t>
      </w:r>
    </w:p>
    <w:p w:rsidR="00EA40A3" w:rsidRDefault="00E86C16">
      <w:pPr>
        <w:spacing w:before="78" w:line="218" w:lineRule="auto"/>
        <w:ind w:left="410"/>
        <w:rPr>
          <w:rFonts w:ascii="宋体" w:eastAsia="宋体" w:hAnsi="宋体" w:cs="宋体"/>
          <w:sz w:val="17"/>
          <w:szCs w:val="17"/>
        </w:rPr>
      </w:pPr>
      <w:r>
        <w:rPr>
          <w:rFonts w:ascii="宋体" w:eastAsia="宋体" w:hAnsi="宋体" w:cs="宋体"/>
          <w:spacing w:val="7"/>
          <w:sz w:val="17"/>
          <w:szCs w:val="17"/>
        </w:rPr>
        <w:t>5.</w:t>
      </w:r>
      <w:r>
        <w:rPr>
          <w:rFonts w:ascii="宋体" w:eastAsia="宋体" w:hAnsi="宋体" w:cs="宋体"/>
          <w:spacing w:val="-44"/>
          <w:sz w:val="17"/>
          <w:szCs w:val="17"/>
        </w:rPr>
        <w:t xml:space="preserve"> </w:t>
      </w:r>
      <w:r>
        <w:rPr>
          <w:rFonts w:ascii="宋体" w:eastAsia="宋体" w:hAnsi="宋体" w:cs="宋体"/>
          <w:spacing w:val="7"/>
          <w:sz w:val="17"/>
          <w:szCs w:val="17"/>
        </w:rPr>
        <w:t>怎样评价膳食营养状况?</w:t>
      </w:r>
    </w:p>
    <w:p w:rsidR="00EA40A3" w:rsidRDefault="00E86C16">
      <w:pPr>
        <w:spacing w:before="80" w:line="262" w:lineRule="auto"/>
        <w:ind w:left="410" w:right="2195"/>
        <w:rPr>
          <w:rFonts w:ascii="宋体" w:eastAsia="宋体" w:hAnsi="宋体" w:cs="宋体"/>
          <w:sz w:val="17"/>
          <w:szCs w:val="17"/>
        </w:rPr>
      </w:pPr>
      <w:r>
        <w:rPr>
          <w:rFonts w:ascii="宋体" w:eastAsia="宋体" w:hAnsi="宋体" w:cs="宋体"/>
          <w:spacing w:val="8"/>
          <w:sz w:val="17"/>
          <w:szCs w:val="17"/>
        </w:rPr>
        <w:t>6.</w:t>
      </w:r>
      <w:r>
        <w:rPr>
          <w:rFonts w:ascii="宋体" w:eastAsia="宋体" w:hAnsi="宋体" w:cs="宋体"/>
          <w:spacing w:val="-48"/>
          <w:sz w:val="17"/>
          <w:szCs w:val="17"/>
        </w:rPr>
        <w:t xml:space="preserve"> </w:t>
      </w:r>
      <w:r>
        <w:rPr>
          <w:rFonts w:ascii="宋体" w:eastAsia="宋体" w:hAnsi="宋体" w:cs="宋体"/>
          <w:spacing w:val="8"/>
          <w:sz w:val="17"/>
          <w:szCs w:val="17"/>
        </w:rPr>
        <w:t>简述营养需要量与膳食营养素参考摄入量的内涵与区别。</w:t>
      </w:r>
      <w:r>
        <w:rPr>
          <w:rFonts w:ascii="宋体" w:eastAsia="宋体" w:hAnsi="宋体" w:cs="宋体"/>
          <w:sz w:val="17"/>
          <w:szCs w:val="17"/>
        </w:rPr>
        <w:t xml:space="preserve"> </w:t>
      </w:r>
      <w:r>
        <w:rPr>
          <w:rFonts w:ascii="宋体" w:eastAsia="宋体" w:hAnsi="宋体" w:cs="宋体"/>
          <w:spacing w:val="12"/>
          <w:sz w:val="17"/>
          <w:szCs w:val="17"/>
        </w:rPr>
        <w:t>7.怎样联系实际应用</w:t>
      </w:r>
      <w:r>
        <w:rPr>
          <w:rFonts w:ascii="宋体" w:eastAsia="宋体" w:hAnsi="宋体" w:cs="宋体"/>
          <w:sz w:val="17"/>
          <w:szCs w:val="17"/>
        </w:rPr>
        <w:t>DRI</w:t>
      </w:r>
      <w:r>
        <w:rPr>
          <w:rFonts w:ascii="宋体" w:eastAsia="宋体" w:hAnsi="宋体" w:cs="宋体"/>
          <w:spacing w:val="12"/>
          <w:sz w:val="17"/>
          <w:szCs w:val="17"/>
        </w:rPr>
        <w:t>?</w:t>
      </w:r>
    </w:p>
    <w:p w:rsidR="00EA40A3" w:rsidRDefault="00E86C16">
      <w:pPr>
        <w:spacing w:before="77" w:line="219" w:lineRule="auto"/>
        <w:ind w:left="410"/>
        <w:rPr>
          <w:rFonts w:ascii="宋体" w:eastAsia="宋体" w:hAnsi="宋体" w:cs="宋体"/>
          <w:sz w:val="17"/>
          <w:szCs w:val="17"/>
        </w:rPr>
      </w:pPr>
      <w:r>
        <w:rPr>
          <w:rFonts w:ascii="宋体" w:eastAsia="宋体" w:hAnsi="宋体" w:cs="宋体"/>
          <w:spacing w:val="7"/>
          <w:sz w:val="17"/>
          <w:szCs w:val="17"/>
        </w:rPr>
        <w:t>8.</w:t>
      </w:r>
      <w:r>
        <w:rPr>
          <w:rFonts w:ascii="宋体" w:eastAsia="宋体" w:hAnsi="宋体" w:cs="宋体"/>
          <w:spacing w:val="-37"/>
          <w:sz w:val="17"/>
          <w:szCs w:val="17"/>
        </w:rPr>
        <w:t xml:space="preserve"> </w:t>
      </w:r>
      <w:r>
        <w:rPr>
          <w:rFonts w:ascii="宋体" w:eastAsia="宋体" w:hAnsi="宋体" w:cs="宋体"/>
          <w:spacing w:val="7"/>
          <w:sz w:val="17"/>
          <w:szCs w:val="17"/>
        </w:rPr>
        <w:t>了解国内外几种基本的膳食结构，并分析其优缺点。</w:t>
      </w:r>
    </w:p>
    <w:p w:rsidR="00EA40A3" w:rsidRDefault="00E86C16">
      <w:pPr>
        <w:spacing w:before="79" w:line="262" w:lineRule="auto"/>
        <w:ind w:left="410" w:right="4431"/>
        <w:rPr>
          <w:rFonts w:ascii="宋体" w:eastAsia="宋体" w:hAnsi="宋体" w:cs="宋体"/>
          <w:sz w:val="17"/>
          <w:szCs w:val="17"/>
        </w:rPr>
      </w:pPr>
      <w:r>
        <w:rPr>
          <w:rFonts w:ascii="宋体" w:eastAsia="宋体" w:hAnsi="宋体" w:cs="宋体"/>
          <w:spacing w:val="7"/>
          <w:sz w:val="17"/>
          <w:szCs w:val="17"/>
        </w:rPr>
        <w:t>9.</w:t>
      </w:r>
      <w:r>
        <w:rPr>
          <w:rFonts w:ascii="宋体" w:eastAsia="宋体" w:hAnsi="宋体" w:cs="宋体"/>
          <w:spacing w:val="-48"/>
          <w:sz w:val="17"/>
          <w:szCs w:val="17"/>
        </w:rPr>
        <w:t xml:space="preserve"> </w:t>
      </w:r>
      <w:r>
        <w:rPr>
          <w:rFonts w:ascii="宋体" w:eastAsia="宋体" w:hAnsi="宋体" w:cs="宋体"/>
          <w:spacing w:val="7"/>
          <w:sz w:val="17"/>
          <w:szCs w:val="17"/>
        </w:rPr>
        <w:t>我国膳食指南的要旨是什么?</w:t>
      </w:r>
      <w:r>
        <w:rPr>
          <w:rFonts w:ascii="宋体" w:eastAsia="宋体" w:hAnsi="宋体" w:cs="宋体"/>
          <w:sz w:val="17"/>
          <w:szCs w:val="17"/>
        </w:rPr>
        <w:t xml:space="preserve"> </w:t>
      </w:r>
      <w:r>
        <w:rPr>
          <w:rFonts w:ascii="宋体" w:eastAsia="宋体" w:hAnsi="宋体" w:cs="宋体"/>
          <w:spacing w:val="5"/>
          <w:sz w:val="17"/>
          <w:szCs w:val="17"/>
        </w:rPr>
        <w:t>10.</w:t>
      </w:r>
      <w:r>
        <w:rPr>
          <w:rFonts w:ascii="宋体" w:eastAsia="宋体" w:hAnsi="宋体" w:cs="宋体"/>
          <w:spacing w:val="-48"/>
          <w:sz w:val="17"/>
          <w:szCs w:val="17"/>
        </w:rPr>
        <w:t xml:space="preserve"> </w:t>
      </w:r>
      <w:r>
        <w:rPr>
          <w:rFonts w:ascii="宋体" w:eastAsia="宋体" w:hAnsi="宋体" w:cs="宋体"/>
          <w:spacing w:val="5"/>
          <w:sz w:val="17"/>
          <w:szCs w:val="17"/>
        </w:rPr>
        <w:t>怎样应用平衡膳食宝塔?</w:t>
      </w:r>
    </w:p>
    <w:p w:rsidR="00EA40A3" w:rsidRDefault="00E86C16">
      <w:pPr>
        <w:spacing w:before="78" w:line="219" w:lineRule="auto"/>
        <w:ind w:left="410"/>
        <w:rPr>
          <w:rFonts w:ascii="宋体" w:eastAsia="宋体" w:hAnsi="宋体" w:cs="宋体"/>
          <w:sz w:val="17"/>
          <w:szCs w:val="17"/>
        </w:rPr>
      </w:pPr>
      <w:r>
        <w:rPr>
          <w:rFonts w:ascii="宋体" w:eastAsia="宋体" w:hAnsi="宋体" w:cs="宋体"/>
          <w:spacing w:val="6"/>
          <w:sz w:val="17"/>
          <w:szCs w:val="17"/>
        </w:rPr>
        <w:t>11.</w:t>
      </w:r>
      <w:r>
        <w:rPr>
          <w:rFonts w:ascii="宋体" w:eastAsia="宋体" w:hAnsi="宋体" w:cs="宋体"/>
          <w:spacing w:val="-50"/>
          <w:sz w:val="17"/>
          <w:szCs w:val="17"/>
        </w:rPr>
        <w:t xml:space="preserve"> </w:t>
      </w:r>
      <w:r>
        <w:rPr>
          <w:rFonts w:ascii="宋体" w:eastAsia="宋体" w:hAnsi="宋体" w:cs="宋体"/>
          <w:spacing w:val="6"/>
          <w:sz w:val="17"/>
          <w:szCs w:val="17"/>
        </w:rPr>
        <w:t>食谱编制的原则与步骤是什么?</w:t>
      </w:r>
    </w:p>
    <w:p w:rsidR="00EA40A3" w:rsidRDefault="00E86C16">
      <w:pPr>
        <w:spacing w:before="79" w:line="219" w:lineRule="auto"/>
        <w:ind w:left="410"/>
        <w:rPr>
          <w:rFonts w:ascii="宋体" w:eastAsia="宋体" w:hAnsi="宋体" w:cs="宋体"/>
          <w:sz w:val="17"/>
          <w:szCs w:val="17"/>
        </w:rPr>
      </w:pPr>
      <w:r>
        <w:rPr>
          <w:rFonts w:ascii="宋体" w:eastAsia="宋体" w:hAnsi="宋体" w:cs="宋体"/>
          <w:spacing w:val="6"/>
          <w:sz w:val="17"/>
          <w:szCs w:val="17"/>
        </w:rPr>
        <w:t>12.</w:t>
      </w:r>
      <w:r>
        <w:rPr>
          <w:rFonts w:ascii="宋体" w:eastAsia="宋体" w:hAnsi="宋体" w:cs="宋体"/>
          <w:spacing w:val="-46"/>
          <w:sz w:val="17"/>
          <w:szCs w:val="17"/>
        </w:rPr>
        <w:t xml:space="preserve"> </w:t>
      </w:r>
      <w:r>
        <w:rPr>
          <w:rFonts w:ascii="宋体" w:eastAsia="宋体" w:hAnsi="宋体" w:cs="宋体"/>
          <w:spacing w:val="6"/>
          <w:sz w:val="17"/>
          <w:szCs w:val="17"/>
        </w:rPr>
        <w:t>改善社区营养的宏观措施是什么?</w:t>
      </w:r>
    </w:p>
    <w:p w:rsidR="00EA40A3" w:rsidRDefault="00EA40A3">
      <w:pPr>
        <w:spacing w:line="344" w:lineRule="auto"/>
      </w:pPr>
    </w:p>
    <w:p w:rsidR="00EA40A3" w:rsidRDefault="00E86C16">
      <w:pPr>
        <w:spacing w:before="69" w:line="224" w:lineRule="auto"/>
        <w:ind w:left="4860"/>
        <w:rPr>
          <w:rFonts w:ascii="楷体" w:eastAsia="楷体" w:hAnsi="楷体" w:cs="楷体"/>
        </w:rPr>
      </w:pPr>
      <w:r>
        <w:rPr>
          <w:rFonts w:ascii="楷体" w:eastAsia="楷体" w:hAnsi="楷体" w:cs="楷体"/>
          <w:spacing w:val="-5"/>
        </w:rPr>
        <w:t>(本章编写人：余群力)</w:t>
      </w:r>
    </w:p>
    <w:p w:rsidR="00EA40A3" w:rsidRDefault="00E86C16">
      <w:pPr>
        <w:spacing w:before="215" w:line="222" w:lineRule="auto"/>
        <w:ind w:left="3082"/>
        <w:rPr>
          <w:rFonts w:ascii="黑体" w:eastAsia="黑体" w:hAnsi="黑体" w:cs="黑体"/>
        </w:rPr>
      </w:pPr>
      <w:r>
        <w:rPr>
          <w:rFonts w:ascii="黑体" w:eastAsia="黑体" w:hAnsi="黑体" w:cs="黑体"/>
          <w:b/>
          <w:bCs/>
          <w:spacing w:val="-10"/>
        </w:rPr>
        <w:t>主要参考文献</w:t>
      </w:r>
    </w:p>
    <w:p w:rsidR="00EA40A3" w:rsidRDefault="00E86C16">
      <w:pPr>
        <w:spacing w:before="209" w:line="219" w:lineRule="auto"/>
        <w:rPr>
          <w:rFonts w:ascii="宋体" w:eastAsia="宋体" w:hAnsi="宋体" w:cs="宋体"/>
          <w:sz w:val="17"/>
          <w:szCs w:val="17"/>
        </w:rPr>
      </w:pPr>
      <w:r>
        <w:rPr>
          <w:rFonts w:ascii="宋体" w:eastAsia="宋体" w:hAnsi="宋体" w:cs="宋体"/>
          <w:spacing w:val="-4"/>
          <w:sz w:val="17"/>
          <w:szCs w:val="17"/>
        </w:rPr>
        <w:t>蔡美琴.2001.医学营养学.上海：上海科学技术文献出版</w:t>
      </w:r>
      <w:r>
        <w:rPr>
          <w:rFonts w:ascii="宋体" w:eastAsia="宋体" w:hAnsi="宋体" w:cs="宋体"/>
          <w:spacing w:val="-5"/>
          <w:sz w:val="17"/>
          <w:szCs w:val="17"/>
        </w:rPr>
        <w:t>社.111～126</w:t>
      </w:r>
    </w:p>
    <w:p w:rsidR="00EA40A3" w:rsidRDefault="00E86C16">
      <w:pPr>
        <w:spacing w:before="50" w:line="219" w:lineRule="auto"/>
        <w:rPr>
          <w:rFonts w:ascii="宋体" w:eastAsia="宋体" w:hAnsi="宋体" w:cs="宋体"/>
          <w:sz w:val="17"/>
          <w:szCs w:val="17"/>
        </w:rPr>
      </w:pPr>
      <w:r>
        <w:rPr>
          <w:rFonts w:ascii="宋体" w:eastAsia="宋体" w:hAnsi="宋体" w:cs="宋体"/>
          <w:spacing w:val="-7"/>
          <w:sz w:val="17"/>
          <w:szCs w:val="17"/>
        </w:rPr>
        <w:t>柴魏中等.</w:t>
      </w:r>
      <w:r>
        <w:rPr>
          <w:rFonts w:ascii="宋体" w:eastAsia="宋体" w:hAnsi="宋体" w:cs="宋体"/>
          <w:spacing w:val="4"/>
          <w:sz w:val="17"/>
          <w:szCs w:val="17"/>
        </w:rPr>
        <w:t xml:space="preserve"> </w:t>
      </w:r>
      <w:r>
        <w:rPr>
          <w:rFonts w:ascii="宋体" w:eastAsia="宋体" w:hAnsi="宋体" w:cs="宋体"/>
          <w:spacing w:val="-7"/>
          <w:sz w:val="17"/>
          <w:szCs w:val="17"/>
        </w:rPr>
        <w:t>2004.国外营养教育和营养师发展概况.中国食物与营养，(12):1</w:t>
      </w:r>
      <w:r>
        <w:rPr>
          <w:rFonts w:ascii="宋体" w:eastAsia="宋体" w:hAnsi="宋体" w:cs="宋体"/>
          <w:spacing w:val="-8"/>
          <w:sz w:val="17"/>
          <w:szCs w:val="17"/>
        </w:rPr>
        <w:t>1～13</w:t>
      </w:r>
    </w:p>
    <w:p w:rsidR="00EA40A3" w:rsidRDefault="00E86C16">
      <w:pPr>
        <w:spacing w:before="47" w:line="246" w:lineRule="auto"/>
        <w:ind w:left="179" w:right="14" w:hanging="179"/>
        <w:rPr>
          <w:rFonts w:ascii="宋体" w:eastAsia="宋体" w:hAnsi="宋体" w:cs="宋体"/>
          <w:sz w:val="17"/>
          <w:szCs w:val="17"/>
        </w:rPr>
      </w:pPr>
      <w:r>
        <w:rPr>
          <w:rFonts w:ascii="宋体" w:eastAsia="宋体" w:hAnsi="宋体" w:cs="宋体"/>
          <w:spacing w:val="-4"/>
          <w:sz w:val="17"/>
          <w:szCs w:val="17"/>
        </w:rPr>
        <w:t>黄圣明.2003.食品工业要为居民提供方便、营养食品.中国农产品加工业年鉴(20</w:t>
      </w:r>
      <w:r>
        <w:rPr>
          <w:rFonts w:ascii="宋体" w:eastAsia="宋体" w:hAnsi="宋体" w:cs="宋体"/>
          <w:spacing w:val="-5"/>
          <w:sz w:val="17"/>
          <w:szCs w:val="17"/>
        </w:rPr>
        <w:t>02).北京：中国农业</w:t>
      </w:r>
      <w:r>
        <w:rPr>
          <w:rFonts w:ascii="宋体" w:eastAsia="宋体" w:hAnsi="宋体" w:cs="宋体"/>
          <w:sz w:val="17"/>
          <w:szCs w:val="17"/>
        </w:rPr>
        <w:t xml:space="preserve"> </w:t>
      </w:r>
      <w:r>
        <w:rPr>
          <w:rFonts w:ascii="宋体" w:eastAsia="宋体" w:hAnsi="宋体" w:cs="宋体"/>
          <w:spacing w:val="-3"/>
          <w:sz w:val="17"/>
          <w:szCs w:val="17"/>
        </w:rPr>
        <w:t>出版社.23～27</w:t>
      </w:r>
    </w:p>
    <w:p w:rsidR="00EA40A3" w:rsidRDefault="00E86C16">
      <w:pPr>
        <w:spacing w:before="87" w:line="260" w:lineRule="exact"/>
        <w:rPr>
          <w:rFonts w:ascii="宋体" w:eastAsia="宋体" w:hAnsi="宋体" w:cs="宋体"/>
          <w:sz w:val="17"/>
          <w:szCs w:val="17"/>
        </w:rPr>
      </w:pPr>
      <w:r>
        <w:rPr>
          <w:rFonts w:ascii="宋体" w:eastAsia="宋体" w:hAnsi="宋体" w:cs="宋体"/>
          <w:spacing w:val="-5"/>
          <w:position w:val="6"/>
          <w:sz w:val="17"/>
          <w:szCs w:val="17"/>
        </w:rPr>
        <w:t>李静.1993.人体营养与社会营养学.北京：中国轻工业出版社.</w:t>
      </w:r>
      <w:r>
        <w:rPr>
          <w:rFonts w:ascii="宋体" w:eastAsia="宋体" w:hAnsi="宋体" w:cs="宋体"/>
          <w:spacing w:val="16"/>
          <w:position w:val="6"/>
          <w:sz w:val="17"/>
          <w:szCs w:val="17"/>
        </w:rPr>
        <w:t xml:space="preserve"> </w:t>
      </w:r>
      <w:r>
        <w:rPr>
          <w:rFonts w:ascii="宋体" w:eastAsia="宋体" w:hAnsi="宋体" w:cs="宋体"/>
          <w:spacing w:val="-5"/>
          <w:position w:val="6"/>
          <w:sz w:val="17"/>
          <w:szCs w:val="17"/>
        </w:rPr>
        <w:t>362～370</w:t>
      </w:r>
    </w:p>
    <w:p w:rsidR="00EA40A3" w:rsidRDefault="00E86C16">
      <w:pPr>
        <w:spacing w:before="1" w:line="218" w:lineRule="auto"/>
        <w:rPr>
          <w:rFonts w:ascii="宋体" w:eastAsia="宋体" w:hAnsi="宋体" w:cs="宋体"/>
          <w:sz w:val="17"/>
          <w:szCs w:val="17"/>
        </w:rPr>
      </w:pPr>
      <w:r>
        <w:rPr>
          <w:rFonts w:ascii="宋体" w:eastAsia="宋体" w:hAnsi="宋体" w:cs="宋体"/>
          <w:spacing w:val="-5"/>
          <w:sz w:val="17"/>
          <w:szCs w:val="17"/>
        </w:rPr>
        <w:t>王尔茂.</w:t>
      </w:r>
      <w:r>
        <w:rPr>
          <w:rFonts w:ascii="宋体" w:eastAsia="宋体" w:hAnsi="宋体" w:cs="宋体"/>
          <w:spacing w:val="21"/>
          <w:sz w:val="17"/>
          <w:szCs w:val="17"/>
        </w:rPr>
        <w:t xml:space="preserve"> </w:t>
      </w:r>
      <w:r>
        <w:rPr>
          <w:rFonts w:ascii="宋体" w:eastAsia="宋体" w:hAnsi="宋体" w:cs="宋体"/>
          <w:spacing w:val="-5"/>
          <w:sz w:val="17"/>
          <w:szCs w:val="17"/>
        </w:rPr>
        <w:t>2004.食品与营养卫生.北京：科学出版社.84～90</w:t>
      </w:r>
    </w:p>
    <w:p w:rsidR="00EA40A3" w:rsidRDefault="00E86C16">
      <w:pPr>
        <w:spacing w:before="59" w:line="219" w:lineRule="auto"/>
        <w:rPr>
          <w:rFonts w:ascii="宋体" w:eastAsia="宋体" w:hAnsi="宋体" w:cs="宋体"/>
          <w:sz w:val="17"/>
          <w:szCs w:val="17"/>
        </w:rPr>
      </w:pPr>
      <w:r>
        <w:rPr>
          <w:rFonts w:ascii="宋体" w:eastAsia="宋体" w:hAnsi="宋体" w:cs="宋体"/>
          <w:spacing w:val="-9"/>
          <w:sz w:val="17"/>
          <w:szCs w:val="17"/>
        </w:rPr>
        <w:t>卫生部等.</w:t>
      </w:r>
      <w:r>
        <w:rPr>
          <w:rFonts w:ascii="宋体" w:eastAsia="宋体" w:hAnsi="宋体" w:cs="宋体"/>
          <w:spacing w:val="10"/>
          <w:sz w:val="17"/>
          <w:szCs w:val="17"/>
        </w:rPr>
        <w:t xml:space="preserve"> </w:t>
      </w:r>
      <w:r>
        <w:rPr>
          <w:rFonts w:ascii="宋体" w:eastAsia="宋体" w:hAnsi="宋体" w:cs="宋体"/>
          <w:spacing w:val="-9"/>
          <w:sz w:val="17"/>
          <w:szCs w:val="17"/>
        </w:rPr>
        <w:t>2004.中国居民营养与健康现状</w:t>
      </w:r>
    </w:p>
    <w:p w:rsidR="00EA40A3" w:rsidRDefault="00E86C16">
      <w:pPr>
        <w:spacing w:before="59" w:line="250" w:lineRule="auto"/>
        <w:ind w:right="889"/>
        <w:rPr>
          <w:rFonts w:ascii="宋体" w:eastAsia="宋体" w:hAnsi="宋体" w:cs="宋体"/>
          <w:sz w:val="17"/>
          <w:szCs w:val="17"/>
        </w:rPr>
      </w:pPr>
      <w:r>
        <w:rPr>
          <w:rFonts w:ascii="宋体" w:eastAsia="宋体" w:hAnsi="宋体" w:cs="宋体"/>
          <w:spacing w:val="-5"/>
          <w:sz w:val="17"/>
          <w:szCs w:val="17"/>
        </w:rPr>
        <w:t>翟凤英等.1996.24小时个人膳食询问法在中国营养调查中的应用.卫生研究，(25):51～53</w:t>
      </w:r>
      <w:r>
        <w:rPr>
          <w:rFonts w:ascii="宋体" w:eastAsia="宋体" w:hAnsi="宋体" w:cs="宋体"/>
          <w:sz w:val="17"/>
          <w:szCs w:val="17"/>
        </w:rPr>
        <w:t xml:space="preserve"> </w:t>
      </w:r>
      <w:r>
        <w:rPr>
          <w:rFonts w:ascii="宋体" w:eastAsia="宋体" w:hAnsi="宋体" w:cs="宋体"/>
          <w:spacing w:val="-7"/>
          <w:sz w:val="17"/>
          <w:szCs w:val="17"/>
        </w:rPr>
        <w:t>中国营养学会.1997.中国居民膳食指南及平衡膳食宝塔</w:t>
      </w:r>
    </w:p>
    <w:p w:rsidR="00EA40A3" w:rsidRDefault="00E86C16">
      <w:pPr>
        <w:spacing w:before="58" w:line="219" w:lineRule="auto"/>
        <w:rPr>
          <w:rFonts w:ascii="宋体" w:eastAsia="宋体" w:hAnsi="宋体" w:cs="宋体"/>
          <w:sz w:val="17"/>
          <w:szCs w:val="17"/>
        </w:rPr>
      </w:pPr>
      <w:r>
        <w:rPr>
          <w:rFonts w:ascii="宋体" w:eastAsia="宋体" w:hAnsi="宋体" w:cs="宋体"/>
          <w:spacing w:val="-7"/>
          <w:sz w:val="17"/>
          <w:szCs w:val="17"/>
        </w:rPr>
        <w:t>中国营养学会.2000.中国居民膳食营养素参考摄人量.北京：中国轻工业出版社.7～15</w:t>
      </w:r>
    </w:p>
    <w:p w:rsidR="00EA40A3" w:rsidRDefault="00E86C16">
      <w:pPr>
        <w:spacing w:before="67" w:line="247" w:lineRule="auto"/>
        <w:ind w:left="179" w:hanging="179"/>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Allison</w:t>
      </w:r>
      <w:r>
        <w:rPr>
          <w:rFonts w:ascii="Times New Roman" w:eastAsia="Times New Roman" w:hAnsi="Times New Roman" w:cs="Times New Roman"/>
          <w:spacing w:val="11"/>
          <w:w w:val="101"/>
          <w:sz w:val="17"/>
          <w:szCs w:val="17"/>
        </w:rPr>
        <w:t xml:space="preserve"> </w:t>
      </w:r>
      <w:r>
        <w:rPr>
          <w:rFonts w:ascii="Times New Roman" w:eastAsia="Times New Roman" w:hAnsi="Times New Roman" w:cs="Times New Roman"/>
          <w:spacing w:val="-1"/>
          <w:sz w:val="17"/>
          <w:szCs w:val="17"/>
        </w:rPr>
        <w:t>A</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Tates.</w:t>
      </w:r>
      <w:r>
        <w:rPr>
          <w:rFonts w:ascii="Times New Roman" w:eastAsia="Times New Roman" w:hAnsi="Times New Roman" w:cs="Times New Roman"/>
          <w:spacing w:val="19"/>
          <w:w w:val="101"/>
          <w:sz w:val="17"/>
          <w:szCs w:val="17"/>
        </w:rPr>
        <w:t xml:space="preserve"> </w:t>
      </w:r>
      <w:r>
        <w:rPr>
          <w:rFonts w:ascii="Times New Roman" w:eastAsia="Times New Roman" w:hAnsi="Times New Roman" w:cs="Times New Roman"/>
          <w:spacing w:val="-1"/>
          <w:sz w:val="17"/>
          <w:szCs w:val="17"/>
        </w:rPr>
        <w:t>1998.</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Process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development</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dietary</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reference</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1"/>
          <w:sz w:val="17"/>
          <w:szCs w:val="17"/>
        </w:rPr>
        <w:t>intakes:</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1"/>
          <w:sz w:val="17"/>
          <w:szCs w:val="17"/>
        </w:rPr>
        <w:t>Basis,need</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application</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z w:val="17"/>
          <w:szCs w:val="17"/>
        </w:rPr>
        <w:t xml:space="preserve"> recommended</w:t>
      </w:r>
      <w:r>
        <w:rPr>
          <w:rFonts w:ascii="Times New Roman" w:eastAsia="Times New Roman" w:hAnsi="Times New Roman" w:cs="Times New Roman"/>
          <w:spacing w:val="33"/>
          <w:w w:val="101"/>
          <w:sz w:val="17"/>
          <w:szCs w:val="17"/>
        </w:rPr>
        <w:t xml:space="preserve"> </w:t>
      </w:r>
      <w:r>
        <w:rPr>
          <w:rFonts w:ascii="Times New Roman" w:eastAsia="Times New Roman" w:hAnsi="Times New Roman" w:cs="Times New Roman"/>
          <w:sz w:val="17"/>
          <w:szCs w:val="17"/>
        </w:rPr>
        <w:t>dietary</w:t>
      </w:r>
      <w:r>
        <w:rPr>
          <w:rFonts w:ascii="Times New Roman" w:eastAsia="Times New Roman" w:hAnsi="Times New Roman" w:cs="Times New Roman"/>
          <w:spacing w:val="34"/>
          <w:w w:val="101"/>
          <w:sz w:val="17"/>
          <w:szCs w:val="17"/>
        </w:rPr>
        <w:t xml:space="preserve"> </w:t>
      </w:r>
      <w:r>
        <w:rPr>
          <w:rFonts w:ascii="Times New Roman" w:eastAsia="Times New Roman" w:hAnsi="Times New Roman" w:cs="Times New Roman"/>
          <w:sz w:val="17"/>
          <w:szCs w:val="17"/>
        </w:rPr>
        <w:t>allowances</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6"/>
          <w:sz w:val="17"/>
          <w:szCs w:val="17"/>
        </w:rPr>
        <w:t xml:space="preserve"> </w:t>
      </w:r>
      <w:r>
        <w:rPr>
          <w:rFonts w:ascii="Times New Roman" w:eastAsia="Times New Roman" w:hAnsi="Times New Roman" w:cs="Times New Roman"/>
          <w:sz w:val="17"/>
          <w:szCs w:val="17"/>
        </w:rPr>
        <w:t>Nutrition</w:t>
      </w:r>
      <w:r>
        <w:rPr>
          <w:rFonts w:ascii="Times New Roman" w:eastAsia="Times New Roman" w:hAnsi="Times New Roman" w:cs="Times New Roman"/>
          <w:spacing w:val="31"/>
          <w:w w:val="101"/>
          <w:sz w:val="17"/>
          <w:szCs w:val="17"/>
        </w:rPr>
        <w:t xml:space="preserve"> </w:t>
      </w:r>
      <w:r>
        <w:rPr>
          <w:rFonts w:ascii="Times New Roman" w:eastAsia="Times New Roman" w:hAnsi="Times New Roman" w:cs="Times New Roman"/>
          <w:sz w:val="17"/>
          <w:szCs w:val="17"/>
        </w:rPr>
        <w:t>Reviews</w:t>
      </w:r>
      <w:r>
        <w:rPr>
          <w:rFonts w:ascii="Times New Roman" w:eastAsia="Times New Roman" w:hAnsi="Times New Roman" w:cs="Times New Roman"/>
          <w:spacing w:val="-1"/>
          <w:sz w:val="17"/>
          <w:szCs w:val="17"/>
        </w:rPr>
        <w:t>,(56):S5</w:t>
      </w:r>
      <w:r>
        <w:rPr>
          <w:rFonts w:ascii="宋体" w:eastAsia="宋体" w:hAnsi="宋体" w:cs="宋体"/>
          <w:spacing w:val="-1"/>
          <w:sz w:val="17"/>
          <w:szCs w:val="17"/>
        </w:rPr>
        <w:t>～</w:t>
      </w:r>
      <w:r>
        <w:rPr>
          <w:rFonts w:ascii="Times New Roman" w:eastAsia="Times New Roman" w:hAnsi="Times New Roman" w:cs="Times New Roman"/>
          <w:spacing w:val="-1"/>
          <w:sz w:val="17"/>
          <w:szCs w:val="17"/>
        </w:rPr>
        <w:t>9</w:t>
      </w:r>
    </w:p>
    <w:p w:rsidR="00EA40A3" w:rsidRDefault="00E86C16">
      <w:pPr>
        <w:spacing w:before="150" w:line="230" w:lineRule="auto"/>
        <w:ind w:left="178" w:right="15" w:hanging="179"/>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Beaton</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G</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H</w:t>
      </w:r>
      <w:r>
        <w:rPr>
          <w:rFonts w:ascii="Times New Roman" w:eastAsia="Times New Roman" w:hAnsi="Times New Roman" w:cs="Times New Roman"/>
          <w:spacing w:val="-2"/>
          <w:sz w:val="17"/>
          <w:szCs w:val="17"/>
        </w:rPr>
        <w:t>.</w:t>
      </w:r>
      <w:r>
        <w:rPr>
          <w:rFonts w:ascii="Times New Roman" w:eastAsia="Times New Roman" w:hAnsi="Times New Roman" w:cs="Times New Roman"/>
          <w:spacing w:val="19"/>
          <w:w w:val="101"/>
          <w:sz w:val="17"/>
          <w:szCs w:val="17"/>
        </w:rPr>
        <w:t xml:space="preserve"> </w:t>
      </w:r>
      <w:r>
        <w:rPr>
          <w:rFonts w:ascii="Times New Roman" w:eastAsia="Times New Roman" w:hAnsi="Times New Roman" w:cs="Times New Roman"/>
          <w:spacing w:val="-2"/>
          <w:sz w:val="17"/>
          <w:szCs w:val="17"/>
        </w:rPr>
        <w:t>1994.</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Approaches</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to</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analysis</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dietary</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data</w:t>
      </w:r>
      <w:r>
        <w:rPr>
          <w:rFonts w:ascii="Times New Roman" w:eastAsia="Times New Roman" w:hAnsi="Times New Roman" w:cs="Times New Roman"/>
          <w:spacing w:val="-2"/>
          <w:sz w:val="17"/>
          <w:szCs w:val="17"/>
        </w:rPr>
        <w:t>,</w:t>
      </w:r>
      <w:r>
        <w:rPr>
          <w:rFonts w:ascii="Times New Roman" w:eastAsia="Times New Roman" w:hAnsi="Times New Roman" w:cs="Times New Roman"/>
          <w:spacing w:val="-1"/>
          <w:sz w:val="17"/>
          <w:szCs w:val="17"/>
        </w:rPr>
        <w:t>relatio</w:t>
      </w:r>
      <w:r>
        <w:rPr>
          <w:rFonts w:ascii="Times New Roman" w:eastAsia="Times New Roman" w:hAnsi="Times New Roman" w:cs="Times New Roman"/>
          <w:spacing w:val="-2"/>
          <w:sz w:val="17"/>
          <w:szCs w:val="17"/>
        </w:rPr>
        <w:t>nship</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2"/>
          <w:sz w:val="17"/>
          <w:szCs w:val="17"/>
        </w:rPr>
        <w:t>between</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planned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analyses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2"/>
          <w:sz w:val="17"/>
          <w:szCs w:val="17"/>
        </w:rPr>
        <w:t>and</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2"/>
          <w:sz w:val="17"/>
          <w:szCs w:val="17"/>
        </w:rPr>
        <w:t>choice</w:t>
      </w:r>
      <w:r>
        <w:rPr>
          <w:rFonts w:ascii="Times New Roman" w:eastAsia="Times New Roman" w:hAnsi="Times New Roman" w:cs="Times New Roman"/>
          <w:sz w:val="17"/>
          <w:szCs w:val="17"/>
        </w:rPr>
        <w:t xml:space="preserve"> of</w:t>
      </w:r>
      <w:r>
        <w:rPr>
          <w:rFonts w:ascii="Times New Roman" w:eastAsia="Times New Roman" w:hAnsi="Times New Roman" w:cs="Times New Roman"/>
          <w:spacing w:val="10"/>
          <w:w w:val="102"/>
          <w:sz w:val="17"/>
          <w:szCs w:val="17"/>
        </w:rPr>
        <w:t xml:space="preserve">   </w:t>
      </w:r>
      <w:r>
        <w:rPr>
          <w:rFonts w:ascii="Times New Roman" w:eastAsia="Times New Roman" w:hAnsi="Times New Roman" w:cs="Times New Roman"/>
          <w:sz w:val="17"/>
          <w:szCs w:val="17"/>
        </w:rPr>
        <w:t>methodology.</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z w:val="17"/>
          <w:szCs w:val="17"/>
        </w:rPr>
        <w:t>AmJclin</w:t>
      </w:r>
      <w:r>
        <w:rPr>
          <w:rFonts w:ascii="Times New Roman" w:eastAsia="Times New Roman" w:hAnsi="Times New Roman" w:cs="Times New Roman"/>
          <w:spacing w:val="12"/>
          <w:w w:val="102"/>
          <w:sz w:val="17"/>
          <w:szCs w:val="17"/>
        </w:rPr>
        <w:t xml:space="preserve">   </w:t>
      </w:r>
      <w:r>
        <w:rPr>
          <w:rFonts w:ascii="Times New Roman" w:eastAsia="Times New Roman" w:hAnsi="Times New Roman" w:cs="Times New Roman"/>
          <w:sz w:val="17"/>
          <w:szCs w:val="17"/>
        </w:rPr>
        <w:t>Nutr,5(9):2536</w:t>
      </w:r>
      <w:r>
        <w:rPr>
          <w:rFonts w:ascii="宋体" w:eastAsia="宋体" w:hAnsi="宋体" w:cs="宋体"/>
          <w:sz w:val="17"/>
          <w:szCs w:val="17"/>
        </w:rPr>
        <w:t>～</w:t>
      </w:r>
      <w:r>
        <w:rPr>
          <w:rFonts w:ascii="Times New Roman" w:eastAsia="Times New Roman" w:hAnsi="Times New Roman" w:cs="Times New Roman"/>
          <w:sz w:val="17"/>
          <w:szCs w:val="17"/>
        </w:rPr>
        <w:t>2610</w:t>
      </w:r>
    </w:p>
    <w:p w:rsidR="00EA40A3" w:rsidRDefault="00E86C16">
      <w:pPr>
        <w:spacing w:before="121" w:line="236" w:lineRule="auto"/>
        <w:ind w:left="179" w:right="13" w:hanging="179"/>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Block</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2"/>
          <w:sz w:val="17"/>
          <w:szCs w:val="17"/>
        </w:rPr>
        <w:t>G.</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pacing w:val="-2"/>
          <w:sz w:val="17"/>
          <w:szCs w:val="17"/>
        </w:rPr>
        <w:t>1993.</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2"/>
          <w:sz w:val="17"/>
          <w:szCs w:val="17"/>
        </w:rPr>
        <w:t>Impact</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of</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2"/>
          <w:sz w:val="17"/>
          <w:szCs w:val="17"/>
        </w:rPr>
        <w:t>new</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2"/>
          <w:sz w:val="17"/>
          <w:szCs w:val="17"/>
        </w:rPr>
        <w:t>research</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on</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optimal</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health</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on</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2"/>
          <w:sz w:val="17"/>
          <w:szCs w:val="17"/>
        </w:rPr>
        <w:t>the</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2"/>
          <w:sz w:val="17"/>
          <w:szCs w:val="17"/>
        </w:rPr>
        <w:t>RDAs.</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2"/>
          <w:sz w:val="17"/>
          <w:szCs w:val="17"/>
        </w:rPr>
        <w:t>In</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2"/>
          <w:sz w:val="17"/>
          <w:szCs w:val="17"/>
        </w:rPr>
        <w:t>proceedings</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of</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2"/>
          <w:sz w:val="17"/>
          <w:szCs w:val="17"/>
        </w:rPr>
        <w:t>a</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workshop</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on</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2"/>
          <w:sz w:val="17"/>
          <w:szCs w:val="17"/>
        </w:rPr>
        <w:t>fu-</w:t>
      </w:r>
      <w:r>
        <w:rPr>
          <w:rFonts w:ascii="Times New Roman" w:eastAsia="Times New Roman" w:hAnsi="Times New Roman" w:cs="Times New Roman"/>
          <w:sz w:val="17"/>
          <w:szCs w:val="17"/>
        </w:rPr>
        <w:t xml:space="preserve"> ture</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z w:val="17"/>
          <w:szCs w:val="17"/>
        </w:rPr>
        <w:t>recommended</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z w:val="17"/>
          <w:szCs w:val="17"/>
        </w:rPr>
        <w:t>dietary</w:t>
      </w:r>
      <w:r>
        <w:rPr>
          <w:rFonts w:ascii="Times New Roman" w:eastAsia="Times New Roman" w:hAnsi="Times New Roman" w:cs="Times New Roman"/>
          <w:spacing w:val="18"/>
          <w:w w:val="101"/>
          <w:sz w:val="17"/>
          <w:szCs w:val="17"/>
        </w:rPr>
        <w:t xml:space="preserve"> </w:t>
      </w:r>
      <w:r>
        <w:rPr>
          <w:rFonts w:ascii="Times New Roman" w:eastAsia="Times New Roman" w:hAnsi="Times New Roman" w:cs="Times New Roman"/>
          <w:sz w:val="17"/>
          <w:szCs w:val="17"/>
        </w:rPr>
        <w:t>allowances</w:t>
      </w:r>
      <w:r>
        <w:rPr>
          <w:rFonts w:ascii="Times New Roman" w:eastAsia="Times New Roman" w:hAnsi="Times New Roman" w:cs="Times New Roman"/>
          <w:spacing w:val="-1"/>
          <w:sz w:val="17"/>
          <w:szCs w:val="17"/>
        </w:rPr>
        <w:t>.</w:t>
      </w:r>
      <w:r>
        <w:rPr>
          <w:rFonts w:ascii="Times New Roman" w:eastAsia="Times New Roman" w:hAnsi="Times New Roman" w:cs="Times New Roman"/>
          <w:spacing w:val="15"/>
          <w:w w:val="101"/>
          <w:sz w:val="17"/>
          <w:szCs w:val="17"/>
        </w:rPr>
        <w:t xml:space="preserve"> </w:t>
      </w:r>
      <w:r>
        <w:rPr>
          <w:rFonts w:ascii="Times New Roman" w:eastAsia="Times New Roman" w:hAnsi="Times New Roman" w:cs="Times New Roman"/>
          <w:sz w:val="17"/>
          <w:szCs w:val="17"/>
        </w:rPr>
        <w:t>Rutgers</w:t>
      </w:r>
      <w:r>
        <w:rPr>
          <w:rFonts w:ascii="Times New Roman" w:eastAsia="Times New Roman" w:hAnsi="Times New Roman" w:cs="Times New Roman"/>
          <w:spacing w:val="-1"/>
          <w:sz w:val="17"/>
          <w:szCs w:val="17"/>
        </w:rPr>
        <w:t>,new</w:t>
      </w:r>
      <w:r>
        <w:rPr>
          <w:rFonts w:ascii="Times New Roman" w:eastAsia="Times New Roman" w:hAnsi="Times New Roman" w:cs="Times New Roman"/>
          <w:spacing w:val="15"/>
          <w:w w:val="101"/>
          <w:sz w:val="17"/>
          <w:szCs w:val="17"/>
        </w:rPr>
        <w:t xml:space="preserve"> </w:t>
      </w:r>
      <w:r>
        <w:rPr>
          <w:rFonts w:ascii="Times New Roman" w:eastAsia="Times New Roman" w:hAnsi="Times New Roman" w:cs="Times New Roman"/>
          <w:spacing w:val="-1"/>
          <w:sz w:val="17"/>
          <w:szCs w:val="17"/>
        </w:rPr>
        <w:t>Brunswick:NJ.</w:t>
      </w:r>
      <w:r>
        <w:rPr>
          <w:rFonts w:ascii="Times New Roman" w:eastAsia="Times New Roman" w:hAnsi="Times New Roman" w:cs="Times New Roman"/>
          <w:spacing w:val="15"/>
          <w:w w:val="101"/>
          <w:sz w:val="17"/>
          <w:szCs w:val="17"/>
        </w:rPr>
        <w:t xml:space="preserve"> </w:t>
      </w:r>
      <w:r>
        <w:rPr>
          <w:rFonts w:ascii="Times New Roman" w:eastAsia="Times New Roman" w:hAnsi="Times New Roman" w:cs="Times New Roman"/>
          <w:spacing w:val="-1"/>
          <w:sz w:val="17"/>
          <w:szCs w:val="17"/>
        </w:rPr>
        <w:t>45</w:t>
      </w:r>
      <w:r>
        <w:rPr>
          <w:rFonts w:ascii="宋体" w:eastAsia="宋体" w:hAnsi="宋体" w:cs="宋体"/>
          <w:spacing w:val="-1"/>
          <w:sz w:val="17"/>
          <w:szCs w:val="17"/>
        </w:rPr>
        <w:t>～</w:t>
      </w:r>
      <w:r>
        <w:rPr>
          <w:rFonts w:ascii="Times New Roman" w:eastAsia="Times New Roman" w:hAnsi="Times New Roman" w:cs="Times New Roman"/>
          <w:spacing w:val="-1"/>
          <w:sz w:val="17"/>
          <w:szCs w:val="17"/>
        </w:rPr>
        <w:t>55</w:t>
      </w:r>
    </w:p>
    <w:p w:rsidR="00EA40A3" w:rsidRDefault="00E86C16">
      <w:pPr>
        <w:spacing w:before="110" w:line="244" w:lineRule="auto"/>
        <w:ind w:left="178" w:right="6" w:hanging="179"/>
        <w:rPr>
          <w:rFonts w:ascii="Times New Roman" w:eastAsia="Times New Roman" w:hAnsi="Times New Roman" w:cs="Times New Roman"/>
          <w:sz w:val="17"/>
          <w:szCs w:val="17"/>
        </w:rPr>
      </w:pPr>
      <w:r>
        <w:rPr>
          <w:rFonts w:ascii="Times New Roman" w:eastAsia="Times New Roman" w:hAnsi="Times New Roman" w:cs="Times New Roman"/>
          <w:sz w:val="17"/>
          <w:szCs w:val="17"/>
        </w:rPr>
        <w:t>Centers</w:t>
      </w:r>
      <w:r>
        <w:rPr>
          <w:rFonts w:ascii="Times New Roman" w:eastAsia="Times New Roman" w:hAnsi="Times New Roman" w:cs="Times New Roman"/>
          <w:spacing w:val="24"/>
          <w:w w:val="101"/>
          <w:sz w:val="17"/>
          <w:szCs w:val="17"/>
        </w:rPr>
        <w:t xml:space="preserve"> </w:t>
      </w:r>
      <w:r>
        <w:rPr>
          <w:rFonts w:ascii="Times New Roman" w:eastAsia="Times New Roman" w:hAnsi="Times New Roman" w:cs="Times New Roman"/>
          <w:sz w:val="17"/>
          <w:szCs w:val="17"/>
        </w:rPr>
        <w:t>for</w:t>
      </w:r>
      <w:r>
        <w:rPr>
          <w:rFonts w:ascii="Times New Roman" w:eastAsia="Times New Roman" w:hAnsi="Times New Roman" w:cs="Times New Roman"/>
          <w:spacing w:val="19"/>
          <w:w w:val="101"/>
          <w:sz w:val="17"/>
          <w:szCs w:val="17"/>
        </w:rPr>
        <w:t xml:space="preserve"> </w:t>
      </w:r>
      <w:r>
        <w:rPr>
          <w:rFonts w:ascii="Times New Roman" w:eastAsia="Times New Roman" w:hAnsi="Times New Roman" w:cs="Times New Roman"/>
          <w:sz w:val="17"/>
          <w:szCs w:val="17"/>
        </w:rPr>
        <w:t>Disease</w:t>
      </w:r>
      <w:r>
        <w:rPr>
          <w:rFonts w:ascii="Times New Roman" w:eastAsia="Times New Roman" w:hAnsi="Times New Roman" w:cs="Times New Roman"/>
          <w:spacing w:val="23"/>
          <w:w w:val="102"/>
          <w:sz w:val="17"/>
          <w:szCs w:val="17"/>
        </w:rPr>
        <w:t xml:space="preserve"> </w:t>
      </w:r>
      <w:r>
        <w:rPr>
          <w:rFonts w:ascii="Times New Roman" w:eastAsia="Times New Roman" w:hAnsi="Times New Roman" w:cs="Times New Roman"/>
          <w:sz w:val="17"/>
          <w:szCs w:val="17"/>
        </w:rPr>
        <w:t>Control</w:t>
      </w:r>
      <w:r>
        <w:rPr>
          <w:rFonts w:ascii="Times New Roman" w:eastAsia="Times New Roman" w:hAnsi="Times New Roman" w:cs="Times New Roman"/>
          <w:spacing w:val="-1"/>
          <w:sz w:val="17"/>
          <w:szCs w:val="17"/>
        </w:rPr>
        <w:t>.</w:t>
      </w:r>
      <w:r>
        <w:rPr>
          <w:rFonts w:ascii="Times New Roman" w:eastAsia="Times New Roman" w:hAnsi="Times New Roman" w:cs="Times New Roman"/>
          <w:spacing w:val="37"/>
          <w:w w:val="101"/>
          <w:sz w:val="17"/>
          <w:szCs w:val="17"/>
        </w:rPr>
        <w:t xml:space="preserve"> </w:t>
      </w:r>
      <w:r>
        <w:rPr>
          <w:rFonts w:ascii="Times New Roman" w:eastAsia="Times New Roman" w:hAnsi="Times New Roman" w:cs="Times New Roman"/>
          <w:spacing w:val="-1"/>
          <w:sz w:val="17"/>
          <w:szCs w:val="17"/>
        </w:rPr>
        <w:t>1991.</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z w:val="17"/>
          <w:szCs w:val="17"/>
        </w:rPr>
        <w:t>National</w:t>
      </w:r>
      <w:r>
        <w:rPr>
          <w:rFonts w:ascii="Times New Roman" w:eastAsia="Times New Roman" w:hAnsi="Times New Roman" w:cs="Times New Roman"/>
          <w:spacing w:val="18"/>
          <w:w w:val="102"/>
          <w:sz w:val="17"/>
          <w:szCs w:val="17"/>
        </w:rPr>
        <w:t xml:space="preserve"> </w:t>
      </w:r>
      <w:r>
        <w:rPr>
          <w:rFonts w:ascii="Times New Roman" w:eastAsia="Times New Roman" w:hAnsi="Times New Roman" w:cs="Times New Roman"/>
          <w:sz w:val="17"/>
          <w:szCs w:val="17"/>
        </w:rPr>
        <w:t>nut</w:t>
      </w:r>
      <w:r>
        <w:rPr>
          <w:rFonts w:ascii="Times New Roman" w:eastAsia="Times New Roman" w:hAnsi="Times New Roman" w:cs="Times New Roman"/>
          <w:spacing w:val="-1"/>
          <w:sz w:val="17"/>
          <w:szCs w:val="17"/>
        </w:rPr>
        <w:t>rition</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pacing w:val="-1"/>
          <w:sz w:val="17"/>
          <w:szCs w:val="17"/>
        </w:rPr>
        <w:t>monitoring</w:t>
      </w:r>
      <w:r>
        <w:rPr>
          <w:rFonts w:ascii="Times New Roman" w:eastAsia="Times New Roman" w:hAnsi="Times New Roman" w:cs="Times New Roman"/>
          <w:spacing w:val="24"/>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18"/>
          <w:w w:val="101"/>
          <w:sz w:val="17"/>
          <w:szCs w:val="17"/>
        </w:rPr>
        <w:t xml:space="preserve"> </w:t>
      </w:r>
      <w:r>
        <w:rPr>
          <w:rFonts w:ascii="Times New Roman" w:eastAsia="Times New Roman" w:hAnsi="Times New Roman" w:cs="Times New Roman"/>
          <w:spacing w:val="-1"/>
          <w:sz w:val="17"/>
          <w:szCs w:val="17"/>
        </w:rPr>
        <w:t>related</w:t>
      </w:r>
      <w:r>
        <w:rPr>
          <w:rFonts w:ascii="Times New Roman" w:eastAsia="Times New Roman" w:hAnsi="Times New Roman" w:cs="Times New Roman"/>
          <w:spacing w:val="18"/>
          <w:w w:val="102"/>
          <w:sz w:val="17"/>
          <w:szCs w:val="17"/>
        </w:rPr>
        <w:t xml:space="preserve"> </w:t>
      </w:r>
      <w:r>
        <w:rPr>
          <w:rFonts w:ascii="Times New Roman" w:eastAsia="Times New Roman" w:hAnsi="Times New Roman" w:cs="Times New Roman"/>
          <w:spacing w:val="-1"/>
          <w:sz w:val="17"/>
          <w:szCs w:val="17"/>
        </w:rPr>
        <w:t>research</w:t>
      </w:r>
      <w:r>
        <w:rPr>
          <w:rFonts w:ascii="Times New Roman" w:eastAsia="Times New Roman" w:hAnsi="Times New Roman" w:cs="Times New Roman"/>
          <w:spacing w:val="17"/>
          <w:w w:val="101"/>
          <w:sz w:val="17"/>
          <w:szCs w:val="17"/>
        </w:rPr>
        <w:t xml:space="preserve"> </w:t>
      </w:r>
      <w:r>
        <w:rPr>
          <w:rFonts w:ascii="Times New Roman" w:eastAsia="Times New Roman" w:hAnsi="Times New Roman" w:cs="Times New Roman"/>
          <w:spacing w:val="-1"/>
          <w:sz w:val="17"/>
          <w:szCs w:val="17"/>
        </w:rPr>
        <w:t>plan.</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pacing w:val="-1"/>
          <w:sz w:val="17"/>
          <w:szCs w:val="17"/>
        </w:rPr>
        <w:t>Atlanta,GA:</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US</w:t>
      </w:r>
      <w:r>
        <w:rPr>
          <w:rFonts w:ascii="Times New Roman" w:eastAsia="Times New Roman" w:hAnsi="Times New Roman" w:cs="Times New Roman"/>
          <w:spacing w:val="20"/>
          <w:sz w:val="17"/>
          <w:szCs w:val="17"/>
        </w:rPr>
        <w:t xml:space="preserve"> </w:t>
      </w:r>
      <w:r>
        <w:rPr>
          <w:rFonts w:ascii="Times New Roman" w:eastAsia="Times New Roman" w:hAnsi="Times New Roman" w:cs="Times New Roman"/>
          <w:spacing w:val="-2"/>
          <w:sz w:val="17"/>
          <w:szCs w:val="17"/>
        </w:rPr>
        <w:t>Department</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of</w:t>
      </w:r>
      <w:r>
        <w:rPr>
          <w:rFonts w:ascii="Times New Roman" w:eastAsia="Times New Roman" w:hAnsi="Times New Roman" w:cs="Times New Roman"/>
          <w:spacing w:val="-15"/>
          <w:sz w:val="17"/>
          <w:szCs w:val="17"/>
        </w:rPr>
        <w:t xml:space="preserve"> </w:t>
      </w:r>
      <w:r>
        <w:rPr>
          <w:rFonts w:ascii="Times New Roman" w:eastAsia="Times New Roman" w:hAnsi="Times New Roman" w:cs="Times New Roman"/>
          <w:spacing w:val="-2"/>
          <w:sz w:val="17"/>
          <w:szCs w:val="17"/>
        </w:rPr>
        <w:t>Health</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and</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2"/>
          <w:sz w:val="17"/>
          <w:szCs w:val="17"/>
        </w:rPr>
        <w:t>Human</w:t>
      </w:r>
      <w:r>
        <w:rPr>
          <w:rFonts w:ascii="Times New Roman" w:eastAsia="Times New Roman" w:hAnsi="Times New Roman" w:cs="Times New Roman"/>
          <w:spacing w:val="10"/>
          <w:w w:val="101"/>
          <w:sz w:val="17"/>
          <w:szCs w:val="17"/>
        </w:rPr>
        <w:t xml:space="preserve"> </w:t>
      </w:r>
      <w:r>
        <w:rPr>
          <w:rFonts w:ascii="Times New Roman" w:eastAsia="Times New Roman" w:hAnsi="Times New Roman" w:cs="Times New Roman"/>
          <w:spacing w:val="-2"/>
          <w:sz w:val="17"/>
          <w:szCs w:val="17"/>
        </w:rPr>
        <w:t>Services</w:t>
      </w:r>
    </w:p>
    <w:p w:rsidR="00EA40A3" w:rsidRDefault="00E86C16">
      <w:pPr>
        <w:spacing w:before="123" w:line="192" w:lineRule="auto"/>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DGAC</w:t>
      </w:r>
      <w:r>
        <w:rPr>
          <w:rFonts w:ascii="Times New Roman" w:eastAsia="Times New Roman" w:hAnsi="Times New Roman" w:cs="Times New Roman"/>
          <w:spacing w:val="-2"/>
          <w:sz w:val="17"/>
          <w:szCs w:val="17"/>
        </w:rPr>
        <w:t>.</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2"/>
          <w:sz w:val="17"/>
          <w:szCs w:val="17"/>
        </w:rPr>
        <w:t>2005.</w:t>
      </w:r>
      <w:r>
        <w:rPr>
          <w:rFonts w:ascii="Times New Roman" w:eastAsia="Times New Roman" w:hAnsi="Times New Roman" w:cs="Times New Roman"/>
          <w:spacing w:val="-1"/>
          <w:sz w:val="17"/>
          <w:szCs w:val="17"/>
        </w:rPr>
        <w:t>Dietary</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1"/>
          <w:sz w:val="17"/>
          <w:szCs w:val="17"/>
        </w:rPr>
        <w:t>guideline</w:t>
      </w:r>
      <w:r>
        <w:rPr>
          <w:rFonts w:ascii="Times New Roman" w:eastAsia="Times New Roman" w:hAnsi="Times New Roman" w:cs="Times New Roman"/>
          <w:spacing w:val="-2"/>
          <w:sz w:val="17"/>
          <w:szCs w:val="17"/>
        </w:rPr>
        <w:t>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2"/>
          <w:sz w:val="17"/>
          <w:szCs w:val="17"/>
        </w:rPr>
        <w:t>for</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2"/>
          <w:sz w:val="17"/>
          <w:szCs w:val="17"/>
        </w:rPr>
        <w:t>American</w:t>
      </w:r>
    </w:p>
    <w:p w:rsidR="00EA40A3" w:rsidRDefault="00E86C16">
      <w:pPr>
        <w:spacing w:before="104" w:line="192"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Ekhard</w:t>
      </w:r>
      <w:r>
        <w:rPr>
          <w:rFonts w:ascii="Times New Roman" w:eastAsia="Times New Roman" w:hAnsi="Times New Roman" w:cs="Times New Roman"/>
          <w:spacing w:val="31"/>
          <w:sz w:val="17"/>
          <w:szCs w:val="17"/>
        </w:rPr>
        <w:t xml:space="preserve"> </w:t>
      </w:r>
      <w:r>
        <w:rPr>
          <w:rFonts w:ascii="Times New Roman" w:eastAsia="Times New Roman" w:hAnsi="Times New Roman" w:cs="Times New Roman"/>
          <w:sz w:val="17"/>
          <w:szCs w:val="17"/>
        </w:rPr>
        <w:t>E</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1998.</w:t>
      </w:r>
      <w:r>
        <w:rPr>
          <w:rFonts w:ascii="Times New Roman" w:eastAsia="Times New Roman" w:hAnsi="Times New Roman" w:cs="Times New Roman"/>
          <w:spacing w:val="30"/>
          <w:w w:val="101"/>
          <w:sz w:val="17"/>
          <w:szCs w:val="17"/>
        </w:rPr>
        <w:t xml:space="preserve"> </w:t>
      </w:r>
      <w:r>
        <w:rPr>
          <w:rFonts w:ascii="Times New Roman" w:eastAsia="Times New Roman" w:hAnsi="Times New Roman" w:cs="Times New Roman"/>
          <w:sz w:val="17"/>
          <w:szCs w:val="17"/>
        </w:rPr>
        <w:t>Ziegler</w:t>
      </w:r>
      <w:r>
        <w:rPr>
          <w:rFonts w:ascii="Times New Roman" w:eastAsia="Times New Roman" w:hAnsi="Times New Roman" w:cs="Times New Roman"/>
          <w:spacing w:val="26"/>
          <w:w w:val="101"/>
          <w:sz w:val="17"/>
          <w:szCs w:val="17"/>
        </w:rPr>
        <w:t xml:space="preserve"> </w:t>
      </w:r>
      <w:r>
        <w:rPr>
          <w:rFonts w:ascii="Times New Roman" w:eastAsia="Times New Roman" w:hAnsi="Times New Roman" w:cs="Times New Roman"/>
          <w:sz w:val="17"/>
          <w:szCs w:val="17"/>
        </w:rPr>
        <w:t>present</w:t>
      </w:r>
      <w:r>
        <w:rPr>
          <w:rFonts w:ascii="Times New Roman" w:eastAsia="Times New Roman" w:hAnsi="Times New Roman" w:cs="Times New Roman"/>
          <w:spacing w:val="29"/>
          <w:sz w:val="17"/>
          <w:szCs w:val="17"/>
        </w:rPr>
        <w:t xml:space="preserve"> </w:t>
      </w:r>
      <w:r>
        <w:rPr>
          <w:rFonts w:ascii="Times New Roman" w:eastAsia="Times New Roman" w:hAnsi="Times New Roman" w:cs="Times New Roman"/>
          <w:sz w:val="17"/>
          <w:szCs w:val="17"/>
        </w:rPr>
        <w:t>kn</w:t>
      </w:r>
      <w:r>
        <w:rPr>
          <w:rFonts w:ascii="Times New Roman" w:eastAsia="Times New Roman" w:hAnsi="Times New Roman" w:cs="Times New Roman"/>
          <w:spacing w:val="-1"/>
          <w:sz w:val="17"/>
          <w:szCs w:val="17"/>
        </w:rPr>
        <w:t>owledge</w:t>
      </w:r>
      <w:r>
        <w:rPr>
          <w:rFonts w:ascii="Times New Roman" w:eastAsia="Times New Roman" w:hAnsi="Times New Roman" w:cs="Times New Roman"/>
          <w:spacing w:val="33"/>
          <w:sz w:val="17"/>
          <w:szCs w:val="17"/>
        </w:rPr>
        <w:t xml:space="preserve"> </w:t>
      </w:r>
      <w:r>
        <w:rPr>
          <w:rFonts w:ascii="Times New Roman" w:eastAsia="Times New Roman" w:hAnsi="Times New Roman" w:cs="Times New Roman"/>
          <w:spacing w:val="-1"/>
          <w:sz w:val="17"/>
          <w:szCs w:val="17"/>
        </w:rPr>
        <w:t>in</w:t>
      </w:r>
      <w:r>
        <w:rPr>
          <w:rFonts w:ascii="Times New Roman" w:eastAsia="Times New Roman" w:hAnsi="Times New Roman" w:cs="Times New Roman"/>
          <w:spacing w:val="29"/>
          <w:sz w:val="17"/>
          <w:szCs w:val="17"/>
        </w:rPr>
        <w:t xml:space="preserve"> </w:t>
      </w:r>
      <w:r>
        <w:rPr>
          <w:rFonts w:ascii="Times New Roman" w:eastAsia="Times New Roman" w:hAnsi="Times New Roman" w:cs="Times New Roman"/>
          <w:spacing w:val="-1"/>
          <w:sz w:val="17"/>
          <w:szCs w:val="17"/>
        </w:rPr>
        <w:t>nutrition.</w:t>
      </w:r>
      <w:r>
        <w:rPr>
          <w:rFonts w:ascii="Times New Roman" w:eastAsia="Times New Roman" w:hAnsi="Times New Roman" w:cs="Times New Roman"/>
          <w:spacing w:val="30"/>
          <w:sz w:val="17"/>
          <w:szCs w:val="17"/>
        </w:rPr>
        <w:t xml:space="preserve"> </w:t>
      </w:r>
      <w:r>
        <w:rPr>
          <w:rFonts w:ascii="Times New Roman" w:eastAsia="Times New Roman" w:hAnsi="Times New Roman" w:cs="Times New Roman"/>
          <w:spacing w:val="-1"/>
          <w:sz w:val="17"/>
          <w:szCs w:val="17"/>
        </w:rPr>
        <w:t>Washington</w:t>
      </w:r>
      <w:r>
        <w:rPr>
          <w:rFonts w:ascii="Times New Roman" w:eastAsia="Times New Roman" w:hAnsi="Times New Roman" w:cs="Times New Roman"/>
          <w:spacing w:val="31"/>
          <w:sz w:val="17"/>
          <w:szCs w:val="17"/>
        </w:rPr>
        <w:t xml:space="preserve"> </w:t>
      </w:r>
      <w:r>
        <w:rPr>
          <w:rFonts w:ascii="Times New Roman" w:eastAsia="Times New Roman" w:hAnsi="Times New Roman" w:cs="Times New Roman"/>
          <w:spacing w:val="-1"/>
          <w:sz w:val="17"/>
          <w:szCs w:val="17"/>
        </w:rPr>
        <w:t>DC:ISI</w:t>
      </w:r>
      <w:r>
        <w:rPr>
          <w:rFonts w:ascii="Times New Roman" w:eastAsia="Times New Roman" w:hAnsi="Times New Roman" w:cs="Times New Roman"/>
          <w:spacing w:val="30"/>
          <w:w w:val="102"/>
          <w:sz w:val="17"/>
          <w:szCs w:val="17"/>
        </w:rPr>
        <w:t xml:space="preserve"> </w:t>
      </w:r>
      <w:r>
        <w:rPr>
          <w:rFonts w:ascii="Times New Roman" w:eastAsia="Times New Roman" w:hAnsi="Times New Roman" w:cs="Times New Roman"/>
          <w:spacing w:val="-1"/>
          <w:sz w:val="17"/>
          <w:szCs w:val="17"/>
        </w:rPr>
        <w:t>Press</w:t>
      </w:r>
    </w:p>
    <w:p w:rsidR="00EA40A3" w:rsidRDefault="00E86C16">
      <w:pPr>
        <w:spacing w:before="104" w:line="192" w:lineRule="auto"/>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Ha</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pacing w:val="-1"/>
          <w:sz w:val="17"/>
          <w:szCs w:val="17"/>
        </w:rPr>
        <w:t>Hug</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1"/>
          <w:sz w:val="17"/>
          <w:szCs w:val="17"/>
        </w:rPr>
        <w:t>Khoi.</w:t>
      </w:r>
      <w:r>
        <w:rPr>
          <w:rFonts w:ascii="Times New Roman" w:eastAsia="Times New Roman" w:hAnsi="Times New Roman" w:cs="Times New Roman"/>
          <w:spacing w:val="19"/>
          <w:w w:val="101"/>
          <w:sz w:val="17"/>
          <w:szCs w:val="17"/>
        </w:rPr>
        <w:t xml:space="preserve"> </w:t>
      </w:r>
      <w:r>
        <w:rPr>
          <w:rFonts w:ascii="Times New Roman" w:eastAsia="Times New Roman" w:hAnsi="Times New Roman" w:cs="Times New Roman"/>
          <w:spacing w:val="-1"/>
          <w:sz w:val="17"/>
          <w:szCs w:val="17"/>
        </w:rPr>
        <w:t>1998.</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Development</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vietnamese</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recommended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dietary</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allowances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their use</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pacing w:val="-1"/>
          <w:sz w:val="17"/>
          <w:szCs w:val="17"/>
        </w:rPr>
        <w:t>for</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the</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na-</w:t>
      </w:r>
    </w:p>
    <w:p w:rsidR="00EA40A3" w:rsidRDefault="00EA40A3">
      <w:pPr>
        <w:sectPr w:rsidR="00EA40A3">
          <w:footerReference w:type="default" r:id="rId342"/>
          <w:pgSz w:w="9220" w:h="13360"/>
          <w:pgMar w:top="400" w:right="1110" w:bottom="1236" w:left="829" w:header="0" w:footer="1015" w:gutter="0"/>
          <w:cols w:space="720"/>
        </w:sectPr>
      </w:pPr>
    </w:p>
    <w:p w:rsidR="00EA40A3" w:rsidRDefault="00EA40A3">
      <w:pPr>
        <w:spacing w:line="254" w:lineRule="auto"/>
      </w:pPr>
    </w:p>
    <w:p w:rsidR="00EA40A3" w:rsidRDefault="00EA40A3">
      <w:pPr>
        <w:spacing w:line="255" w:lineRule="auto"/>
      </w:pPr>
    </w:p>
    <w:p w:rsidR="00EA40A3" w:rsidRDefault="00E86C16">
      <w:pPr>
        <w:spacing w:before="55" w:line="212" w:lineRule="auto"/>
        <w:ind w:left="69"/>
        <w:rPr>
          <w:rFonts w:ascii="Times New Roman" w:eastAsia="Times New Roman" w:hAnsi="Times New Roman" w:cs="Times New Roman"/>
          <w:sz w:val="17"/>
          <w:szCs w:val="17"/>
        </w:rPr>
      </w:pPr>
      <w:r>
        <w:rPr>
          <w:rFonts w:ascii="Times New Roman" w:eastAsia="Times New Roman" w:hAnsi="Times New Roman" w:cs="Times New Roman"/>
          <w:sz w:val="17"/>
          <w:szCs w:val="17"/>
        </w:rPr>
        <w:t>tional</w:t>
      </w:r>
      <w:r>
        <w:rPr>
          <w:rFonts w:ascii="Times New Roman" w:eastAsia="Times New Roman" w:hAnsi="Times New Roman" w:cs="Times New Roman"/>
          <w:spacing w:val="14"/>
          <w:w w:val="102"/>
          <w:sz w:val="17"/>
          <w:szCs w:val="17"/>
        </w:rPr>
        <w:t xml:space="preserve"> </w:t>
      </w:r>
      <w:r>
        <w:rPr>
          <w:rFonts w:ascii="Times New Roman" w:eastAsia="Times New Roman" w:hAnsi="Times New Roman" w:cs="Times New Roman"/>
          <w:sz w:val="17"/>
          <w:szCs w:val="17"/>
        </w:rPr>
        <w:t>plan</w:t>
      </w:r>
      <w:r>
        <w:rPr>
          <w:rFonts w:ascii="Times New Roman" w:eastAsia="Times New Roman" w:hAnsi="Times New Roman" w:cs="Times New Roman"/>
          <w:spacing w:val="20"/>
          <w:w w:val="102"/>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z w:val="17"/>
          <w:szCs w:val="17"/>
        </w:rPr>
        <w:t>action</w:t>
      </w:r>
      <w:r>
        <w:rPr>
          <w:rFonts w:ascii="Times New Roman" w:eastAsia="Times New Roman" w:hAnsi="Times New Roman" w:cs="Times New Roman"/>
          <w:spacing w:val="22"/>
          <w:w w:val="101"/>
          <w:sz w:val="17"/>
          <w:szCs w:val="17"/>
        </w:rPr>
        <w:t xml:space="preserve"> </w:t>
      </w:r>
      <w:r>
        <w:rPr>
          <w:rFonts w:ascii="Times New Roman" w:eastAsia="Times New Roman" w:hAnsi="Times New Roman" w:cs="Times New Roman"/>
          <w:sz w:val="17"/>
          <w:szCs w:val="17"/>
        </w:rPr>
        <w:t>for</w:t>
      </w:r>
      <w:r>
        <w:rPr>
          <w:rFonts w:ascii="Times New Roman" w:eastAsia="Times New Roman" w:hAnsi="Times New Roman" w:cs="Times New Roman"/>
          <w:spacing w:val="15"/>
          <w:sz w:val="17"/>
          <w:szCs w:val="17"/>
        </w:rPr>
        <w:t xml:space="preserve"> </w:t>
      </w:r>
      <w:r>
        <w:rPr>
          <w:rFonts w:ascii="Times New Roman" w:eastAsia="Times New Roman" w:hAnsi="Times New Roman" w:cs="Times New Roman"/>
          <w:sz w:val="17"/>
          <w:szCs w:val="17"/>
        </w:rPr>
        <w:t>nutrition.</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z w:val="17"/>
          <w:szCs w:val="17"/>
        </w:rPr>
        <w:t>Nutrition</w:t>
      </w:r>
      <w:r>
        <w:rPr>
          <w:rFonts w:ascii="Times New Roman" w:eastAsia="Times New Roman" w:hAnsi="Times New Roman" w:cs="Times New Roman"/>
          <w:spacing w:val="18"/>
          <w:sz w:val="17"/>
          <w:szCs w:val="17"/>
        </w:rPr>
        <w:t xml:space="preserve"> </w:t>
      </w:r>
      <w:r>
        <w:rPr>
          <w:rFonts w:ascii="Times New Roman" w:eastAsia="Times New Roman" w:hAnsi="Times New Roman" w:cs="Times New Roman"/>
          <w:sz w:val="17"/>
          <w:szCs w:val="17"/>
        </w:rPr>
        <w:t>Reviews,56:S25</w:t>
      </w:r>
      <w:r>
        <w:rPr>
          <w:rFonts w:ascii="宋体" w:eastAsia="宋体" w:hAnsi="宋体" w:cs="宋体"/>
          <w:spacing w:val="-1"/>
          <w:sz w:val="17"/>
          <w:szCs w:val="17"/>
        </w:rPr>
        <w:t>～</w:t>
      </w:r>
      <w:r>
        <w:rPr>
          <w:rFonts w:ascii="Times New Roman" w:eastAsia="Times New Roman" w:hAnsi="Times New Roman" w:cs="Times New Roman"/>
          <w:spacing w:val="-1"/>
          <w:sz w:val="17"/>
          <w:szCs w:val="17"/>
        </w:rPr>
        <w:t>828</w:t>
      </w:r>
    </w:p>
    <w:p w:rsidR="00EA40A3" w:rsidRDefault="00E86C16">
      <w:pPr>
        <w:spacing w:before="90" w:line="192"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Japanese</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Ministry</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z w:val="17"/>
          <w:szCs w:val="17"/>
        </w:rPr>
        <w:t>Health</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and</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z w:val="17"/>
          <w:szCs w:val="17"/>
        </w:rPr>
        <w:t>Wel</w:t>
      </w:r>
      <w:r>
        <w:rPr>
          <w:rFonts w:ascii="Times New Roman" w:eastAsia="Times New Roman" w:hAnsi="Times New Roman" w:cs="Times New Roman"/>
          <w:spacing w:val="-1"/>
          <w:sz w:val="17"/>
          <w:szCs w:val="17"/>
        </w:rPr>
        <w:t>fare.</w:t>
      </w:r>
      <w:r>
        <w:rPr>
          <w:rFonts w:ascii="Times New Roman" w:eastAsia="Times New Roman" w:hAnsi="Times New Roman" w:cs="Times New Roman"/>
          <w:spacing w:val="23"/>
          <w:sz w:val="17"/>
          <w:szCs w:val="17"/>
        </w:rPr>
        <w:t xml:space="preserve"> </w:t>
      </w:r>
      <w:r>
        <w:rPr>
          <w:rFonts w:ascii="Times New Roman" w:eastAsia="Times New Roman" w:hAnsi="Times New Roman" w:cs="Times New Roman"/>
          <w:spacing w:val="-1"/>
          <w:sz w:val="17"/>
          <w:szCs w:val="17"/>
        </w:rPr>
        <w:t>1990.</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1"/>
          <w:sz w:val="17"/>
          <w:szCs w:val="17"/>
        </w:rPr>
        <w:t>Dietary</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guidelines</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pacing w:val="-1"/>
          <w:sz w:val="17"/>
          <w:szCs w:val="17"/>
        </w:rPr>
        <w:t>for</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preventing</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pacing w:val="-1"/>
          <w:sz w:val="17"/>
          <w:szCs w:val="17"/>
        </w:rPr>
        <w:t>chronic</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pacing w:val="-1"/>
          <w:sz w:val="17"/>
          <w:szCs w:val="17"/>
        </w:rPr>
        <w:t>disease.</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Tokyo:</w:t>
      </w:r>
    </w:p>
    <w:p w:rsidR="00EA40A3" w:rsidRDefault="00E86C16">
      <w:pPr>
        <w:spacing w:before="107" w:line="192" w:lineRule="auto"/>
        <w:ind w:left="69"/>
        <w:rPr>
          <w:rFonts w:ascii="Times New Roman" w:eastAsia="Times New Roman" w:hAnsi="Times New Roman" w:cs="Times New Roman"/>
          <w:sz w:val="17"/>
          <w:szCs w:val="17"/>
        </w:rPr>
      </w:pPr>
      <w:r>
        <w:rPr>
          <w:rFonts w:ascii="Times New Roman" w:eastAsia="Times New Roman" w:hAnsi="Times New Roman" w:cs="Times New Roman"/>
          <w:spacing w:val="-4"/>
          <w:sz w:val="17"/>
          <w:szCs w:val="17"/>
        </w:rPr>
        <w:t>Health</w:t>
      </w:r>
      <w:r>
        <w:rPr>
          <w:rFonts w:ascii="Times New Roman" w:eastAsia="Times New Roman" w:hAnsi="Times New Roman" w:cs="Times New Roman"/>
          <w:spacing w:val="16"/>
          <w:w w:val="101"/>
          <w:sz w:val="17"/>
          <w:szCs w:val="17"/>
        </w:rPr>
        <w:t xml:space="preserve"> </w:t>
      </w:r>
      <w:r>
        <w:rPr>
          <w:rFonts w:ascii="Times New Roman" w:eastAsia="Times New Roman" w:hAnsi="Times New Roman" w:cs="Times New Roman"/>
          <w:spacing w:val="-4"/>
          <w:sz w:val="17"/>
          <w:szCs w:val="17"/>
        </w:rPr>
        <w:t>Services</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4"/>
          <w:sz w:val="17"/>
          <w:szCs w:val="17"/>
        </w:rPr>
        <w:t>Bureau</w:t>
      </w:r>
    </w:p>
    <w:p w:rsidR="00EA40A3" w:rsidRDefault="00E86C16">
      <w:pPr>
        <w:spacing w:before="113" w:line="192" w:lineRule="auto"/>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John</w:t>
      </w:r>
      <w:r>
        <w:rPr>
          <w:rFonts w:ascii="Times New Roman" w:eastAsia="Times New Roman" w:hAnsi="Times New Roman" w:cs="Times New Roman"/>
          <w:spacing w:val="12"/>
          <w:w w:val="102"/>
          <w:sz w:val="17"/>
          <w:szCs w:val="17"/>
        </w:rPr>
        <w:t xml:space="preserve"> </w:t>
      </w:r>
      <w:r>
        <w:rPr>
          <w:rFonts w:ascii="Times New Roman" w:eastAsia="Times New Roman" w:hAnsi="Times New Roman" w:cs="Times New Roman"/>
          <w:spacing w:val="-1"/>
          <w:sz w:val="17"/>
          <w:szCs w:val="17"/>
        </w:rPr>
        <w:t>B</w:t>
      </w:r>
      <w:r>
        <w:rPr>
          <w:rFonts w:ascii="Times New Roman" w:eastAsia="Times New Roman" w:hAnsi="Times New Roman" w:cs="Times New Roman"/>
          <w:spacing w:val="12"/>
          <w:w w:val="102"/>
          <w:sz w:val="17"/>
          <w:szCs w:val="17"/>
        </w:rPr>
        <w:t xml:space="preserve"> </w:t>
      </w:r>
      <w:r>
        <w:rPr>
          <w:rFonts w:ascii="Times New Roman" w:eastAsia="Times New Roman" w:hAnsi="Times New Roman" w:cs="Times New Roman"/>
          <w:spacing w:val="-1"/>
          <w:sz w:val="17"/>
          <w:szCs w:val="17"/>
        </w:rPr>
        <w:t>Mason</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et</w:t>
      </w:r>
      <w:r>
        <w:rPr>
          <w:rFonts w:ascii="Times New Roman" w:eastAsia="Times New Roman" w:hAnsi="Times New Roman" w:cs="Times New Roman"/>
          <w:spacing w:val="15"/>
          <w:w w:val="101"/>
          <w:sz w:val="17"/>
          <w:szCs w:val="17"/>
        </w:rPr>
        <w:t xml:space="preserve"> </w:t>
      </w:r>
      <w:r>
        <w:rPr>
          <w:rFonts w:ascii="Times New Roman" w:eastAsia="Times New Roman" w:hAnsi="Times New Roman" w:cs="Times New Roman"/>
          <w:spacing w:val="-1"/>
          <w:sz w:val="17"/>
          <w:szCs w:val="17"/>
        </w:rPr>
        <w:t>al.</w:t>
      </w:r>
      <w:r>
        <w:rPr>
          <w:rFonts w:ascii="Times New Roman" w:eastAsia="Times New Roman" w:hAnsi="Times New Roman" w:cs="Times New Roman"/>
          <w:spacing w:val="30"/>
          <w:sz w:val="17"/>
          <w:szCs w:val="17"/>
        </w:rPr>
        <w:t xml:space="preserve"> </w:t>
      </w:r>
      <w:r>
        <w:rPr>
          <w:rFonts w:ascii="Times New Roman" w:eastAsia="Times New Roman" w:hAnsi="Times New Roman" w:cs="Times New Roman"/>
          <w:spacing w:val="-2"/>
          <w:sz w:val="17"/>
          <w:szCs w:val="17"/>
        </w:rPr>
        <w:t>1994.</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Nutritional</w:t>
      </w:r>
      <w:r>
        <w:rPr>
          <w:rFonts w:ascii="Times New Roman" w:eastAsia="Times New Roman" w:hAnsi="Times New Roman" w:cs="Times New Roman"/>
          <w:spacing w:val="18"/>
          <w:w w:val="101"/>
          <w:sz w:val="17"/>
          <w:szCs w:val="17"/>
        </w:rPr>
        <w:t xml:space="preserve"> </w:t>
      </w:r>
      <w:r>
        <w:rPr>
          <w:rFonts w:ascii="Times New Roman" w:eastAsia="Times New Roman" w:hAnsi="Times New Roman" w:cs="Times New Roman"/>
          <w:spacing w:val="-1"/>
          <w:sz w:val="17"/>
          <w:szCs w:val="17"/>
        </w:rPr>
        <w:t>surveillance</w:t>
      </w:r>
      <w:r>
        <w:rPr>
          <w:rFonts w:ascii="Times New Roman" w:eastAsia="Times New Roman" w:hAnsi="Times New Roman" w:cs="Times New Roman"/>
          <w:spacing w:val="-2"/>
          <w:sz w:val="17"/>
          <w:szCs w:val="17"/>
        </w:rPr>
        <w:t>.</w:t>
      </w:r>
      <w:r>
        <w:rPr>
          <w:rFonts w:ascii="Times New Roman" w:eastAsia="Times New Roman" w:hAnsi="Times New Roman" w:cs="Times New Roman"/>
          <w:spacing w:val="12"/>
          <w:sz w:val="17"/>
          <w:szCs w:val="17"/>
        </w:rPr>
        <w:t xml:space="preserve"> </w:t>
      </w:r>
      <w:r>
        <w:rPr>
          <w:rFonts w:ascii="Times New Roman" w:eastAsia="Times New Roman" w:hAnsi="Times New Roman" w:cs="Times New Roman"/>
          <w:spacing w:val="-1"/>
          <w:sz w:val="17"/>
          <w:szCs w:val="17"/>
        </w:rPr>
        <w:t>WHO</w:t>
      </w:r>
    </w:p>
    <w:p w:rsidR="00EA40A3" w:rsidRDefault="00E86C16">
      <w:pPr>
        <w:spacing w:before="60" w:line="192" w:lineRule="auto"/>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Lewis</w:t>
      </w:r>
      <w:r>
        <w:rPr>
          <w:rFonts w:ascii="Times New Roman" w:eastAsia="Times New Roman" w:hAnsi="Times New Roman" w:cs="Times New Roman"/>
          <w:spacing w:val="46"/>
          <w:sz w:val="17"/>
          <w:szCs w:val="17"/>
        </w:rPr>
        <w:t xml:space="preserve"> </w:t>
      </w:r>
      <w:r>
        <w:rPr>
          <w:rFonts w:ascii="Times New Roman" w:eastAsia="Times New Roman" w:hAnsi="Times New Roman" w:cs="Times New Roman"/>
          <w:spacing w:val="-1"/>
          <w:sz w:val="17"/>
          <w:szCs w:val="17"/>
        </w:rPr>
        <w:t>C1.</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1994.</w:t>
      </w:r>
      <w:r>
        <w:rPr>
          <w:rFonts w:ascii="Times New Roman" w:eastAsia="Times New Roman" w:hAnsi="Times New Roman" w:cs="Times New Roman"/>
          <w:spacing w:val="30"/>
          <w:sz w:val="17"/>
          <w:szCs w:val="17"/>
        </w:rPr>
        <w:t xml:space="preserve"> </w:t>
      </w:r>
      <w:r>
        <w:rPr>
          <w:rFonts w:ascii="Times New Roman" w:eastAsia="Times New Roman" w:hAnsi="Times New Roman" w:cs="Times New Roman"/>
          <w:spacing w:val="-1"/>
          <w:sz w:val="17"/>
          <w:szCs w:val="17"/>
        </w:rPr>
        <w:t>Healthy</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pacing w:val="-1"/>
          <w:sz w:val="17"/>
          <w:szCs w:val="17"/>
        </w:rPr>
        <w:t>people</w:t>
      </w:r>
      <w:r>
        <w:rPr>
          <w:rFonts w:ascii="Times New Roman" w:eastAsia="Times New Roman" w:hAnsi="Times New Roman" w:cs="Times New Roman"/>
          <w:spacing w:val="29"/>
          <w:w w:val="101"/>
          <w:sz w:val="17"/>
          <w:szCs w:val="17"/>
        </w:rPr>
        <w:t xml:space="preserve"> </w:t>
      </w:r>
      <w:r>
        <w:rPr>
          <w:rFonts w:ascii="Times New Roman" w:eastAsia="Times New Roman" w:hAnsi="Times New Roman" w:cs="Times New Roman"/>
          <w:spacing w:val="-1"/>
          <w:sz w:val="17"/>
          <w:szCs w:val="17"/>
        </w:rPr>
        <w:t>2000:report</w:t>
      </w:r>
      <w:r>
        <w:rPr>
          <w:rFonts w:ascii="Times New Roman" w:eastAsia="Times New Roman" w:hAnsi="Times New Roman" w:cs="Times New Roman"/>
          <w:spacing w:val="31"/>
          <w:w w:val="101"/>
          <w:sz w:val="17"/>
          <w:szCs w:val="17"/>
        </w:rPr>
        <w:t xml:space="preserve"> </w:t>
      </w:r>
      <w:r>
        <w:rPr>
          <w:rFonts w:ascii="Times New Roman" w:eastAsia="Times New Roman" w:hAnsi="Times New Roman" w:cs="Times New Roman"/>
          <w:spacing w:val="-1"/>
          <w:sz w:val="17"/>
          <w:szCs w:val="17"/>
        </w:rPr>
        <w:t>on</w:t>
      </w:r>
      <w:r>
        <w:rPr>
          <w:rFonts w:ascii="Times New Roman" w:eastAsia="Times New Roman" w:hAnsi="Times New Roman" w:cs="Times New Roman"/>
          <w:spacing w:val="27"/>
          <w:w w:val="101"/>
          <w:sz w:val="17"/>
          <w:szCs w:val="17"/>
        </w:rPr>
        <w:t xml:space="preserve"> </w:t>
      </w:r>
      <w:r>
        <w:rPr>
          <w:rFonts w:ascii="Times New Roman" w:eastAsia="Times New Roman" w:hAnsi="Times New Roman" w:cs="Times New Roman"/>
          <w:spacing w:val="-1"/>
          <w:sz w:val="17"/>
          <w:szCs w:val="17"/>
        </w:rPr>
        <w:t>the</w:t>
      </w:r>
      <w:r>
        <w:rPr>
          <w:rFonts w:ascii="Times New Roman" w:eastAsia="Times New Roman" w:hAnsi="Times New Roman" w:cs="Times New Roman"/>
          <w:spacing w:val="1"/>
          <w:sz w:val="17"/>
          <w:szCs w:val="17"/>
        </w:rPr>
        <w:t xml:space="preserve">  </w:t>
      </w:r>
      <w:r>
        <w:rPr>
          <w:rFonts w:ascii="Times New Roman" w:eastAsia="Times New Roman" w:hAnsi="Times New Roman" w:cs="Times New Roman"/>
          <w:spacing w:val="-1"/>
          <w:sz w:val="17"/>
          <w:szCs w:val="17"/>
        </w:rPr>
        <w:t>1994</w:t>
      </w:r>
      <w:r>
        <w:rPr>
          <w:rFonts w:ascii="Times New Roman" w:eastAsia="Times New Roman" w:hAnsi="Times New Roman" w:cs="Times New Roman"/>
          <w:spacing w:val="28"/>
          <w:w w:val="101"/>
          <w:sz w:val="17"/>
          <w:szCs w:val="17"/>
        </w:rPr>
        <w:t xml:space="preserve"> </w:t>
      </w:r>
      <w:r>
        <w:rPr>
          <w:rFonts w:ascii="Times New Roman" w:eastAsia="Times New Roman" w:hAnsi="Times New Roman" w:cs="Times New Roman"/>
          <w:spacing w:val="-1"/>
          <w:sz w:val="17"/>
          <w:szCs w:val="17"/>
        </w:rPr>
        <w:t>nutrition</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pacing w:val="-1"/>
          <w:sz w:val="17"/>
          <w:szCs w:val="17"/>
        </w:rPr>
        <w:t>progress</w:t>
      </w:r>
      <w:r>
        <w:rPr>
          <w:rFonts w:ascii="Times New Roman" w:eastAsia="Times New Roman" w:hAnsi="Times New Roman" w:cs="Times New Roman"/>
          <w:spacing w:val="27"/>
          <w:sz w:val="17"/>
          <w:szCs w:val="17"/>
        </w:rPr>
        <w:t xml:space="preserve"> </w:t>
      </w:r>
      <w:r>
        <w:rPr>
          <w:rFonts w:ascii="Times New Roman" w:eastAsia="Times New Roman" w:hAnsi="Times New Roman" w:cs="Times New Roman"/>
          <w:spacing w:val="-1"/>
          <w:sz w:val="17"/>
          <w:szCs w:val="17"/>
        </w:rPr>
        <w:t>review.</w:t>
      </w:r>
      <w:r>
        <w:rPr>
          <w:rFonts w:ascii="Times New Roman" w:eastAsia="Times New Roman" w:hAnsi="Times New Roman" w:cs="Times New Roman"/>
          <w:spacing w:val="24"/>
          <w:sz w:val="17"/>
          <w:szCs w:val="17"/>
        </w:rPr>
        <w:t xml:space="preserve"> </w:t>
      </w:r>
      <w:r>
        <w:rPr>
          <w:rFonts w:ascii="Times New Roman" w:eastAsia="Times New Roman" w:hAnsi="Times New Roman" w:cs="Times New Roman"/>
          <w:spacing w:val="-1"/>
          <w:sz w:val="17"/>
          <w:szCs w:val="17"/>
        </w:rPr>
        <w:t>Nutr</w:t>
      </w:r>
      <w:r>
        <w:rPr>
          <w:rFonts w:ascii="Times New Roman" w:eastAsia="Times New Roman" w:hAnsi="Times New Roman" w:cs="Times New Roman"/>
          <w:spacing w:val="30"/>
          <w:sz w:val="17"/>
          <w:szCs w:val="17"/>
        </w:rPr>
        <w:t xml:space="preserve"> </w:t>
      </w:r>
      <w:r>
        <w:rPr>
          <w:rFonts w:ascii="Times New Roman" w:eastAsia="Times New Roman" w:hAnsi="Times New Roman" w:cs="Times New Roman"/>
          <w:spacing w:val="-1"/>
          <w:sz w:val="17"/>
          <w:szCs w:val="17"/>
        </w:rPr>
        <w:t>Today,29:6~</w:t>
      </w:r>
    </w:p>
    <w:p w:rsidR="00EA40A3" w:rsidRDefault="00E86C16">
      <w:pPr>
        <w:spacing w:before="130" w:line="184" w:lineRule="auto"/>
        <w:ind w:left="69"/>
        <w:rPr>
          <w:rFonts w:ascii="宋体" w:eastAsia="宋体" w:hAnsi="宋体" w:cs="宋体"/>
          <w:sz w:val="17"/>
          <w:szCs w:val="17"/>
        </w:rPr>
      </w:pPr>
      <w:r>
        <w:rPr>
          <w:rFonts w:ascii="宋体" w:eastAsia="宋体" w:hAnsi="宋体" w:cs="宋体"/>
          <w:spacing w:val="-5"/>
          <w:sz w:val="17"/>
          <w:szCs w:val="17"/>
        </w:rPr>
        <w:t>14</w:t>
      </w:r>
    </w:p>
    <w:p w:rsidR="00EA40A3" w:rsidRDefault="00E86C16">
      <w:pPr>
        <w:spacing w:before="75" w:line="247" w:lineRule="auto"/>
        <w:ind w:left="69" w:right="25" w:hanging="69"/>
        <w:rPr>
          <w:rFonts w:ascii="Times New Roman" w:eastAsia="Times New Roman" w:hAnsi="Times New Roman" w:cs="Times New Roman"/>
          <w:sz w:val="17"/>
          <w:szCs w:val="17"/>
        </w:rPr>
      </w:pPr>
      <w:r>
        <w:rPr>
          <w:rFonts w:ascii="Times New Roman" w:eastAsia="Times New Roman" w:hAnsi="Times New Roman" w:cs="Times New Roman"/>
          <w:sz w:val="17"/>
          <w:szCs w:val="17"/>
        </w:rPr>
        <w:t>Life</w:t>
      </w:r>
      <w:r>
        <w:rPr>
          <w:rFonts w:ascii="Times New Roman" w:eastAsia="Times New Roman" w:hAnsi="Times New Roman" w:cs="Times New Roman"/>
          <w:spacing w:val="10"/>
          <w:w w:val="101"/>
          <w:sz w:val="17"/>
          <w:szCs w:val="17"/>
        </w:rPr>
        <w:t xml:space="preserve"> </w:t>
      </w:r>
      <w:r>
        <w:rPr>
          <w:rFonts w:ascii="Times New Roman" w:eastAsia="Times New Roman" w:hAnsi="Times New Roman" w:cs="Times New Roman"/>
          <w:sz w:val="17"/>
          <w:szCs w:val="17"/>
        </w:rPr>
        <w:t>Science</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z w:val="17"/>
          <w:szCs w:val="17"/>
        </w:rPr>
        <w:t>Research</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Office</w:t>
      </w:r>
      <w:r>
        <w:rPr>
          <w:rFonts w:ascii="Times New Roman" w:eastAsia="Times New Roman" w:hAnsi="Times New Roman" w:cs="Times New Roman"/>
          <w:spacing w:val="-1"/>
          <w:sz w:val="17"/>
          <w:szCs w:val="17"/>
        </w:rPr>
        <w:t>.1990.</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z w:val="17"/>
          <w:szCs w:val="17"/>
        </w:rPr>
        <w:t>Core</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z w:val="17"/>
          <w:szCs w:val="17"/>
        </w:rPr>
        <w:t>indicators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of</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z w:val="17"/>
          <w:szCs w:val="17"/>
        </w:rPr>
        <w:t>nu</w:t>
      </w:r>
      <w:r>
        <w:rPr>
          <w:rFonts w:ascii="Times New Roman" w:eastAsia="Times New Roman" w:hAnsi="Times New Roman" w:cs="Times New Roman"/>
          <w:spacing w:val="-1"/>
          <w:sz w:val="17"/>
          <w:szCs w:val="17"/>
        </w:rPr>
        <w:t>tritional</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state</w:t>
      </w:r>
      <w:r>
        <w:rPr>
          <w:rFonts w:ascii="Times New Roman" w:eastAsia="Times New Roman" w:hAnsi="Times New Roman" w:cs="Times New Roman"/>
          <w:spacing w:val="7"/>
          <w:sz w:val="17"/>
          <w:szCs w:val="17"/>
        </w:rPr>
        <w:t xml:space="preserve"> </w:t>
      </w:r>
      <w:r>
        <w:rPr>
          <w:rFonts w:ascii="Times New Roman" w:eastAsia="Times New Roman" w:hAnsi="Times New Roman" w:cs="Times New Roman"/>
          <w:spacing w:val="-1"/>
          <w:sz w:val="17"/>
          <w:szCs w:val="17"/>
        </w:rPr>
        <w:t>for</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1"/>
          <w:sz w:val="17"/>
          <w:szCs w:val="17"/>
        </w:rPr>
        <w:t>difficult-to-sample</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population.</w:t>
      </w:r>
      <w:r>
        <w:rPr>
          <w:rFonts w:ascii="Times New Roman" w:eastAsia="Times New Roman" w:hAnsi="Times New Roman" w:cs="Times New Roman"/>
          <w:spacing w:val="4"/>
          <w:sz w:val="17"/>
          <w:szCs w:val="17"/>
        </w:rPr>
        <w:t xml:space="preserve"> </w:t>
      </w:r>
      <w:r>
        <w:rPr>
          <w:rFonts w:ascii="Times New Roman" w:eastAsia="Times New Roman" w:hAnsi="Times New Roman" w:cs="Times New Roman"/>
          <w:spacing w:val="-1"/>
          <w:sz w:val="17"/>
          <w:szCs w:val="17"/>
        </w:rPr>
        <w:t>J</w:t>
      </w:r>
      <w:r>
        <w:rPr>
          <w:rFonts w:ascii="Times New Roman" w:eastAsia="Times New Roman" w:hAnsi="Times New Roman" w:cs="Times New Roman"/>
          <w:sz w:val="17"/>
          <w:szCs w:val="17"/>
        </w:rPr>
        <w:t xml:space="preserve"> Nutr,120(suppl):1554</w:t>
      </w:r>
      <w:r>
        <w:rPr>
          <w:rFonts w:ascii="宋体" w:eastAsia="宋体" w:hAnsi="宋体" w:cs="宋体"/>
          <w:sz w:val="17"/>
          <w:szCs w:val="17"/>
        </w:rPr>
        <w:t>～</w:t>
      </w:r>
      <w:r>
        <w:rPr>
          <w:rFonts w:ascii="Times New Roman" w:eastAsia="Times New Roman" w:hAnsi="Times New Roman" w:cs="Times New Roman"/>
          <w:sz w:val="17"/>
          <w:szCs w:val="17"/>
        </w:rPr>
        <w:t>1600</w:t>
      </w:r>
    </w:p>
    <w:p w:rsidR="00EA40A3" w:rsidRDefault="00E86C16">
      <w:pPr>
        <w:spacing w:before="90" w:line="262" w:lineRule="auto"/>
        <w:ind w:left="69" w:right="20" w:hanging="69"/>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US</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Department</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Agriculture</w:t>
      </w:r>
      <w:r>
        <w:rPr>
          <w:rFonts w:ascii="Times New Roman" w:eastAsia="Times New Roman" w:hAnsi="Times New Roman" w:cs="Times New Roman"/>
          <w:spacing w:val="-2"/>
          <w:sz w:val="17"/>
          <w:szCs w:val="17"/>
        </w:rPr>
        <w:t>,</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US</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Department</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pacing w:val="-1"/>
          <w:sz w:val="17"/>
          <w:szCs w:val="17"/>
        </w:rPr>
        <w:t>Health</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Human</w:t>
      </w:r>
      <w:r>
        <w:rPr>
          <w:rFonts w:ascii="Times New Roman" w:eastAsia="Times New Roman" w:hAnsi="Times New Roman" w:cs="Times New Roman"/>
          <w:spacing w:val="11"/>
          <w:sz w:val="17"/>
          <w:szCs w:val="17"/>
        </w:rPr>
        <w:t xml:space="preserve"> </w:t>
      </w:r>
      <w:r>
        <w:rPr>
          <w:rFonts w:ascii="Times New Roman" w:eastAsia="Times New Roman" w:hAnsi="Times New Roman" w:cs="Times New Roman"/>
          <w:spacing w:val="-1"/>
          <w:sz w:val="17"/>
          <w:szCs w:val="17"/>
        </w:rPr>
        <w:t>Service</w:t>
      </w:r>
      <w:r>
        <w:rPr>
          <w:rFonts w:ascii="Times New Roman" w:eastAsia="Times New Roman" w:hAnsi="Times New Roman" w:cs="Times New Roman"/>
          <w:spacing w:val="-2"/>
          <w:sz w:val="17"/>
          <w:szCs w:val="17"/>
        </w:rPr>
        <w:t>s.</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pacing w:val="-2"/>
          <w:sz w:val="17"/>
          <w:szCs w:val="17"/>
        </w:rPr>
        <w:t>1995.</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2"/>
          <w:sz w:val="17"/>
          <w:szCs w:val="17"/>
        </w:rPr>
        <w:t>Dietary</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2"/>
          <w:sz w:val="17"/>
          <w:szCs w:val="17"/>
        </w:rPr>
        <w:t>guidelines</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pacing w:val="-2"/>
          <w:sz w:val="17"/>
          <w:szCs w:val="17"/>
        </w:rPr>
        <w:t>for</w:t>
      </w:r>
      <w:r>
        <w:rPr>
          <w:rFonts w:ascii="Times New Roman" w:eastAsia="Times New Roman" w:hAnsi="Times New Roman" w:cs="Times New Roman"/>
          <w:sz w:val="17"/>
          <w:szCs w:val="17"/>
        </w:rPr>
        <w:t xml:space="preserve"> Americans</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1"/>
          <w:w w:val="102"/>
          <w:sz w:val="17"/>
          <w:szCs w:val="17"/>
        </w:rPr>
        <w:t xml:space="preserve"> </w:t>
      </w:r>
      <w:r>
        <w:rPr>
          <w:rFonts w:ascii="Times New Roman" w:eastAsia="Times New Roman" w:hAnsi="Times New Roman" w:cs="Times New Roman"/>
          <w:spacing w:val="-1"/>
          <w:sz w:val="17"/>
          <w:szCs w:val="17"/>
        </w:rPr>
        <w:t>4</w:t>
      </w:r>
      <w:r>
        <w:rPr>
          <w:rFonts w:ascii="Times New Roman" w:eastAsia="Times New Roman" w:hAnsi="Times New Roman" w:cs="Times New Roman"/>
          <w:sz w:val="17"/>
          <w:szCs w:val="17"/>
        </w:rPr>
        <w:t>th</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z w:val="17"/>
          <w:szCs w:val="17"/>
        </w:rPr>
        <w:t>ed</w:t>
      </w:r>
      <w:r>
        <w:rPr>
          <w:rFonts w:ascii="Times New Roman" w:eastAsia="Times New Roman" w:hAnsi="Times New Roman" w:cs="Times New Roman"/>
          <w:spacing w:val="-1"/>
          <w:sz w:val="17"/>
          <w:szCs w:val="17"/>
        </w:rPr>
        <w:t>.</w:t>
      </w:r>
      <w:r>
        <w:rPr>
          <w:rFonts w:ascii="Times New Roman" w:eastAsia="Times New Roman" w:hAnsi="Times New Roman" w:cs="Times New Roman"/>
          <w:spacing w:val="21"/>
          <w:sz w:val="17"/>
          <w:szCs w:val="17"/>
        </w:rPr>
        <w:t xml:space="preserve"> </w:t>
      </w:r>
      <w:r>
        <w:rPr>
          <w:rFonts w:ascii="Times New Roman" w:eastAsia="Times New Roman" w:hAnsi="Times New Roman" w:cs="Times New Roman"/>
          <w:sz w:val="17"/>
          <w:szCs w:val="17"/>
        </w:rPr>
        <w:t>Washingt</w:t>
      </w:r>
      <w:r>
        <w:rPr>
          <w:rFonts w:ascii="Times New Roman" w:eastAsia="Times New Roman" w:hAnsi="Times New Roman" w:cs="Times New Roman"/>
          <w:spacing w:val="-1"/>
          <w:sz w:val="17"/>
          <w:szCs w:val="17"/>
        </w:rPr>
        <w:t>on</w:t>
      </w:r>
      <w:r>
        <w:rPr>
          <w:rFonts w:ascii="Times New Roman" w:eastAsia="Times New Roman" w:hAnsi="Times New Roman" w:cs="Times New Roman"/>
          <w:spacing w:val="22"/>
          <w:sz w:val="17"/>
          <w:szCs w:val="17"/>
        </w:rPr>
        <w:t xml:space="preserve"> </w:t>
      </w:r>
      <w:r>
        <w:rPr>
          <w:rFonts w:ascii="Times New Roman" w:eastAsia="Times New Roman" w:hAnsi="Times New Roman" w:cs="Times New Roman"/>
          <w:spacing w:val="-1"/>
          <w:sz w:val="17"/>
          <w:szCs w:val="17"/>
        </w:rPr>
        <w:t>DC:US</w:t>
      </w:r>
      <w:r>
        <w:rPr>
          <w:rFonts w:ascii="Times New Roman" w:eastAsia="Times New Roman" w:hAnsi="Times New Roman" w:cs="Times New Roman"/>
          <w:spacing w:val="25"/>
          <w:sz w:val="17"/>
          <w:szCs w:val="17"/>
        </w:rPr>
        <w:t xml:space="preserve"> </w:t>
      </w:r>
      <w:r>
        <w:rPr>
          <w:rFonts w:ascii="Times New Roman" w:eastAsia="Times New Roman" w:hAnsi="Times New Roman" w:cs="Times New Roman"/>
          <w:spacing w:val="-1"/>
          <w:sz w:val="17"/>
          <w:szCs w:val="17"/>
        </w:rPr>
        <w:t>Goverment</w:t>
      </w:r>
      <w:r>
        <w:rPr>
          <w:rFonts w:ascii="Times New Roman" w:eastAsia="Times New Roman" w:hAnsi="Times New Roman" w:cs="Times New Roman"/>
          <w:spacing w:val="21"/>
          <w:w w:val="101"/>
          <w:sz w:val="17"/>
          <w:szCs w:val="17"/>
        </w:rPr>
        <w:t xml:space="preserve"> </w:t>
      </w:r>
      <w:r>
        <w:rPr>
          <w:rFonts w:ascii="Times New Roman" w:eastAsia="Times New Roman" w:hAnsi="Times New Roman" w:cs="Times New Roman"/>
          <w:spacing w:val="-1"/>
          <w:sz w:val="17"/>
          <w:szCs w:val="17"/>
        </w:rPr>
        <w:t>Printing</w:t>
      </w:r>
      <w:r>
        <w:rPr>
          <w:rFonts w:ascii="Times New Roman" w:eastAsia="Times New Roman" w:hAnsi="Times New Roman" w:cs="Times New Roman"/>
          <w:spacing w:val="25"/>
          <w:w w:val="101"/>
          <w:sz w:val="17"/>
          <w:szCs w:val="17"/>
        </w:rPr>
        <w:t xml:space="preserve"> </w:t>
      </w:r>
      <w:r>
        <w:rPr>
          <w:rFonts w:ascii="Times New Roman" w:eastAsia="Times New Roman" w:hAnsi="Times New Roman" w:cs="Times New Roman"/>
          <w:spacing w:val="-1"/>
          <w:sz w:val="17"/>
          <w:szCs w:val="17"/>
        </w:rPr>
        <w:t>Office</w:t>
      </w:r>
    </w:p>
    <w:p w:rsidR="00EA40A3" w:rsidRDefault="00E86C16">
      <w:pPr>
        <w:spacing w:before="94" w:line="247" w:lineRule="auto"/>
        <w:ind w:left="69" w:hanging="69"/>
        <w:rPr>
          <w:rFonts w:ascii="Times New Roman" w:eastAsia="Times New Roman" w:hAnsi="Times New Roman" w:cs="Times New Roman"/>
          <w:sz w:val="17"/>
          <w:szCs w:val="17"/>
        </w:rPr>
      </w:pPr>
      <w:r>
        <w:rPr>
          <w:rFonts w:ascii="Times New Roman" w:eastAsia="Times New Roman" w:hAnsi="Times New Roman" w:cs="Times New Roman"/>
          <w:sz w:val="17"/>
          <w:szCs w:val="17"/>
        </w:rPr>
        <w:t>Week</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z w:val="17"/>
          <w:szCs w:val="17"/>
        </w:rPr>
        <w:t>M</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z w:val="17"/>
          <w:szCs w:val="17"/>
        </w:rPr>
        <w:t>F</w:t>
      </w:r>
      <w:r>
        <w:rPr>
          <w:rFonts w:ascii="Times New Roman" w:eastAsia="Times New Roman" w:hAnsi="Times New Roman" w:cs="Times New Roman"/>
          <w:spacing w:val="-1"/>
          <w:sz w:val="17"/>
          <w:szCs w:val="17"/>
        </w:rPr>
        <w:t>.1992.</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z w:val="17"/>
          <w:szCs w:val="17"/>
        </w:rPr>
        <w:t>Computer</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assisted</w:t>
      </w:r>
      <w:r>
        <w:rPr>
          <w:rFonts w:ascii="Times New Roman" w:eastAsia="Times New Roman" w:hAnsi="Times New Roman" w:cs="Times New Roman"/>
          <w:spacing w:val="22"/>
          <w:sz w:val="17"/>
          <w:szCs w:val="17"/>
        </w:rPr>
        <w:t xml:space="preserve"> </w:t>
      </w:r>
      <w:r>
        <w:rPr>
          <w:rFonts w:ascii="Times New Roman" w:eastAsia="Times New Roman" w:hAnsi="Times New Roman" w:cs="Times New Roman"/>
          <w:sz w:val="17"/>
          <w:szCs w:val="17"/>
        </w:rPr>
        <w:t>survey</w:t>
      </w:r>
      <w:r>
        <w:rPr>
          <w:rFonts w:ascii="Times New Roman" w:eastAsia="Times New Roman" w:hAnsi="Times New Roman" w:cs="Times New Roman"/>
          <w:spacing w:val="19"/>
          <w:sz w:val="17"/>
          <w:szCs w:val="17"/>
        </w:rPr>
        <w:t xml:space="preserve"> </w:t>
      </w:r>
      <w:r>
        <w:rPr>
          <w:rFonts w:ascii="Times New Roman" w:eastAsia="Times New Roman" w:hAnsi="Times New Roman" w:cs="Times New Roman"/>
          <w:sz w:val="17"/>
          <w:szCs w:val="17"/>
        </w:rPr>
        <w:t>information</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z w:val="17"/>
          <w:szCs w:val="17"/>
        </w:rPr>
        <w:t>collec</w:t>
      </w:r>
      <w:r>
        <w:rPr>
          <w:rFonts w:ascii="Times New Roman" w:eastAsia="Times New Roman" w:hAnsi="Times New Roman" w:cs="Times New Roman"/>
          <w:spacing w:val="-1"/>
          <w:sz w:val="17"/>
          <w:szCs w:val="17"/>
        </w:rPr>
        <w:t>tion,a</w:t>
      </w:r>
      <w:r>
        <w:rPr>
          <w:rFonts w:ascii="Times New Roman" w:eastAsia="Times New Roman" w:hAnsi="Times New Roman" w:cs="Times New Roman"/>
          <w:spacing w:val="15"/>
          <w:w w:val="101"/>
          <w:sz w:val="17"/>
          <w:szCs w:val="17"/>
        </w:rPr>
        <w:t xml:space="preserve"> </w:t>
      </w:r>
      <w:r>
        <w:rPr>
          <w:rFonts w:ascii="Times New Roman" w:eastAsia="Times New Roman" w:hAnsi="Times New Roman" w:cs="Times New Roman"/>
          <w:spacing w:val="-1"/>
          <w:sz w:val="17"/>
          <w:szCs w:val="17"/>
        </w:rPr>
        <w:t>review</w:t>
      </w:r>
      <w:r>
        <w:rPr>
          <w:rFonts w:ascii="Times New Roman" w:eastAsia="Times New Roman" w:hAnsi="Times New Roman" w:cs="Times New Roman"/>
          <w:spacing w:val="20"/>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spacing w:val="-1"/>
          <w:sz w:val="17"/>
          <w:szCs w:val="17"/>
        </w:rPr>
        <w:t>CASIC</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methods</w:t>
      </w:r>
      <w:r>
        <w:rPr>
          <w:rFonts w:ascii="Times New Roman" w:eastAsia="Times New Roman" w:hAnsi="Times New Roman" w:cs="Times New Roman"/>
          <w:spacing w:val="20"/>
          <w:w w:val="101"/>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pacing w:val="-1"/>
          <w:sz w:val="17"/>
          <w:szCs w:val="17"/>
        </w:rPr>
        <w:t>their</w:t>
      </w:r>
      <w:r>
        <w:rPr>
          <w:rFonts w:ascii="Times New Roman" w:eastAsia="Times New Roman" w:hAnsi="Times New Roman" w:cs="Times New Roman"/>
          <w:sz w:val="17"/>
          <w:szCs w:val="17"/>
        </w:rPr>
        <w:t xml:space="preserve"> implications</w:t>
      </w:r>
      <w:r>
        <w:rPr>
          <w:rFonts w:ascii="Times New Roman" w:eastAsia="Times New Roman" w:hAnsi="Times New Roman" w:cs="Times New Roman"/>
          <w:spacing w:val="16"/>
          <w:w w:val="101"/>
          <w:sz w:val="17"/>
          <w:szCs w:val="17"/>
        </w:rPr>
        <w:t xml:space="preserve"> </w:t>
      </w:r>
      <w:r>
        <w:rPr>
          <w:rFonts w:ascii="Times New Roman" w:eastAsia="Times New Roman" w:hAnsi="Times New Roman" w:cs="Times New Roman"/>
          <w:sz w:val="17"/>
          <w:szCs w:val="17"/>
        </w:rPr>
        <w:t>for</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z w:val="17"/>
          <w:szCs w:val="17"/>
        </w:rPr>
        <w:t>survey</w:t>
      </w:r>
      <w:r>
        <w:rPr>
          <w:rFonts w:ascii="Times New Roman" w:eastAsia="Times New Roman" w:hAnsi="Times New Roman" w:cs="Times New Roman"/>
          <w:spacing w:val="15"/>
          <w:w w:val="102"/>
          <w:sz w:val="17"/>
          <w:szCs w:val="17"/>
        </w:rPr>
        <w:t xml:space="preserve"> </w:t>
      </w:r>
      <w:r>
        <w:rPr>
          <w:rFonts w:ascii="Times New Roman" w:eastAsia="Times New Roman" w:hAnsi="Times New Roman" w:cs="Times New Roman"/>
          <w:sz w:val="17"/>
          <w:szCs w:val="17"/>
        </w:rPr>
        <w:t>operations</w:t>
      </w:r>
      <w:r>
        <w:rPr>
          <w:rFonts w:ascii="Times New Roman" w:eastAsia="Times New Roman" w:hAnsi="Times New Roman" w:cs="Times New Roman"/>
          <w:spacing w:val="-1"/>
          <w:sz w:val="17"/>
          <w:szCs w:val="17"/>
        </w:rPr>
        <w:t>.</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z w:val="17"/>
          <w:szCs w:val="17"/>
        </w:rPr>
        <w:t>J</w:t>
      </w:r>
      <w:r>
        <w:rPr>
          <w:rFonts w:ascii="Times New Roman" w:eastAsia="Times New Roman" w:hAnsi="Times New Roman" w:cs="Times New Roman"/>
          <w:spacing w:val="-1"/>
          <w:sz w:val="17"/>
          <w:szCs w:val="17"/>
        </w:rPr>
        <w:t>ournal</w:t>
      </w:r>
      <w:r>
        <w:rPr>
          <w:rFonts w:ascii="Times New Roman" w:eastAsia="Times New Roman" w:hAnsi="Times New Roman" w:cs="Times New Roman"/>
          <w:spacing w:val="16"/>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Official</w:t>
      </w:r>
      <w:r>
        <w:rPr>
          <w:rFonts w:ascii="Times New Roman" w:eastAsia="Times New Roman" w:hAnsi="Times New Roman" w:cs="Times New Roman"/>
          <w:spacing w:val="21"/>
          <w:w w:val="101"/>
          <w:sz w:val="17"/>
          <w:szCs w:val="17"/>
        </w:rPr>
        <w:t xml:space="preserve"> </w:t>
      </w:r>
      <w:r>
        <w:rPr>
          <w:rFonts w:ascii="Times New Roman" w:eastAsia="Times New Roman" w:hAnsi="Times New Roman" w:cs="Times New Roman"/>
          <w:spacing w:val="-1"/>
          <w:sz w:val="17"/>
          <w:szCs w:val="17"/>
        </w:rPr>
        <w:t>Statistics,8:447</w:t>
      </w:r>
      <w:r>
        <w:rPr>
          <w:rFonts w:ascii="宋体" w:eastAsia="宋体" w:hAnsi="宋体" w:cs="宋体"/>
          <w:spacing w:val="-1"/>
          <w:sz w:val="17"/>
          <w:szCs w:val="17"/>
        </w:rPr>
        <w:t>～</w:t>
      </w:r>
      <w:r>
        <w:rPr>
          <w:rFonts w:ascii="Times New Roman" w:eastAsia="Times New Roman" w:hAnsi="Times New Roman" w:cs="Times New Roman"/>
          <w:spacing w:val="-1"/>
          <w:sz w:val="17"/>
          <w:szCs w:val="17"/>
        </w:rPr>
        <w:t>461</w:t>
      </w:r>
    </w:p>
    <w:p w:rsidR="00EA40A3" w:rsidRDefault="00E86C16">
      <w:pPr>
        <w:spacing w:before="91" w:line="192"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t>WHO</w:t>
      </w:r>
      <w:r>
        <w:rPr>
          <w:rFonts w:ascii="Times New Roman" w:eastAsia="Times New Roman" w:hAnsi="Times New Roman" w:cs="Times New Roman"/>
          <w:spacing w:val="-1"/>
          <w:sz w:val="17"/>
          <w:szCs w:val="17"/>
        </w:rPr>
        <w:t>.</w:t>
      </w:r>
      <w:r>
        <w:rPr>
          <w:rFonts w:ascii="Times New Roman" w:eastAsia="Times New Roman" w:hAnsi="Times New Roman" w:cs="Times New Roman"/>
          <w:spacing w:val="41"/>
          <w:w w:val="101"/>
          <w:sz w:val="17"/>
          <w:szCs w:val="17"/>
        </w:rPr>
        <w:t xml:space="preserve"> </w:t>
      </w:r>
      <w:r>
        <w:rPr>
          <w:rFonts w:ascii="Times New Roman" w:eastAsia="Times New Roman" w:hAnsi="Times New Roman" w:cs="Times New Roman"/>
          <w:spacing w:val="-1"/>
          <w:sz w:val="17"/>
          <w:szCs w:val="17"/>
        </w:rPr>
        <w:t>1990.</w:t>
      </w:r>
      <w:r>
        <w:rPr>
          <w:rFonts w:ascii="Times New Roman" w:eastAsia="Times New Roman" w:hAnsi="Times New Roman" w:cs="Times New Roman"/>
          <w:spacing w:val="24"/>
          <w:w w:val="102"/>
          <w:sz w:val="17"/>
          <w:szCs w:val="17"/>
        </w:rPr>
        <w:t xml:space="preserve"> </w:t>
      </w:r>
      <w:r>
        <w:rPr>
          <w:rFonts w:ascii="Times New Roman" w:eastAsia="Times New Roman" w:hAnsi="Times New Roman" w:cs="Times New Roman"/>
          <w:sz w:val="17"/>
          <w:szCs w:val="17"/>
        </w:rPr>
        <w:t>Diet</w:t>
      </w:r>
      <w:r>
        <w:rPr>
          <w:rFonts w:ascii="Times New Roman" w:eastAsia="Times New Roman" w:hAnsi="Times New Roman" w:cs="Times New Roman"/>
          <w:spacing w:val="-1"/>
          <w:sz w:val="17"/>
          <w:szCs w:val="17"/>
        </w:rPr>
        <w:t>,</w:t>
      </w:r>
      <w:r>
        <w:rPr>
          <w:rFonts w:ascii="Times New Roman" w:eastAsia="Times New Roman" w:hAnsi="Times New Roman" w:cs="Times New Roman"/>
          <w:sz w:val="17"/>
          <w:szCs w:val="17"/>
        </w:rPr>
        <w:t>nutrition</w:t>
      </w:r>
      <w:r>
        <w:rPr>
          <w:rFonts w:ascii="Times New Roman" w:eastAsia="Times New Roman" w:hAnsi="Times New Roman" w:cs="Times New Roman"/>
          <w:spacing w:val="28"/>
          <w:sz w:val="17"/>
          <w:szCs w:val="17"/>
        </w:rPr>
        <w:t xml:space="preserve"> </w:t>
      </w:r>
      <w:r>
        <w:rPr>
          <w:rFonts w:ascii="Times New Roman" w:eastAsia="Times New Roman" w:hAnsi="Times New Roman" w:cs="Times New Roman"/>
          <w:sz w:val="17"/>
          <w:szCs w:val="17"/>
        </w:rPr>
        <w:t>and</w:t>
      </w:r>
      <w:r>
        <w:rPr>
          <w:rFonts w:ascii="Times New Roman" w:eastAsia="Times New Roman" w:hAnsi="Times New Roman" w:cs="Times New Roman"/>
          <w:spacing w:val="21"/>
          <w:sz w:val="17"/>
          <w:szCs w:val="17"/>
        </w:rPr>
        <w:t xml:space="preserve"> </w:t>
      </w:r>
      <w:r>
        <w:rPr>
          <w:rFonts w:ascii="Times New Roman" w:eastAsia="Times New Roman" w:hAnsi="Times New Roman" w:cs="Times New Roman"/>
          <w:sz w:val="17"/>
          <w:szCs w:val="17"/>
        </w:rPr>
        <w:t>preve</w:t>
      </w:r>
      <w:r>
        <w:rPr>
          <w:rFonts w:ascii="Times New Roman" w:eastAsia="Times New Roman" w:hAnsi="Times New Roman" w:cs="Times New Roman"/>
          <w:spacing w:val="-1"/>
          <w:sz w:val="17"/>
          <w:szCs w:val="17"/>
        </w:rPr>
        <w:t>ntion</w:t>
      </w:r>
      <w:r>
        <w:rPr>
          <w:rFonts w:ascii="Times New Roman" w:eastAsia="Times New Roman" w:hAnsi="Times New Roman" w:cs="Times New Roman"/>
          <w:spacing w:val="27"/>
          <w:w w:val="102"/>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pacing w:val="-1"/>
          <w:sz w:val="17"/>
          <w:szCs w:val="17"/>
        </w:rPr>
        <w:t>chronic</w:t>
      </w:r>
      <w:r>
        <w:rPr>
          <w:rFonts w:ascii="Times New Roman" w:eastAsia="Times New Roman" w:hAnsi="Times New Roman" w:cs="Times New Roman"/>
          <w:spacing w:val="27"/>
          <w:w w:val="102"/>
          <w:sz w:val="17"/>
          <w:szCs w:val="17"/>
        </w:rPr>
        <w:t xml:space="preserve"> </w:t>
      </w:r>
      <w:r>
        <w:rPr>
          <w:rFonts w:ascii="Times New Roman" w:eastAsia="Times New Roman" w:hAnsi="Times New Roman" w:cs="Times New Roman"/>
          <w:spacing w:val="-1"/>
          <w:sz w:val="17"/>
          <w:szCs w:val="17"/>
        </w:rPr>
        <w:t>diseases.</w:t>
      </w:r>
      <w:r>
        <w:rPr>
          <w:rFonts w:ascii="Times New Roman" w:eastAsia="Times New Roman" w:hAnsi="Times New Roman" w:cs="Times New Roman"/>
          <w:spacing w:val="27"/>
          <w:w w:val="102"/>
          <w:sz w:val="17"/>
          <w:szCs w:val="17"/>
        </w:rPr>
        <w:t xml:space="preserve"> </w:t>
      </w:r>
      <w:r>
        <w:rPr>
          <w:rFonts w:ascii="Times New Roman" w:eastAsia="Times New Roman" w:hAnsi="Times New Roman" w:cs="Times New Roman"/>
          <w:spacing w:val="-1"/>
          <w:sz w:val="17"/>
          <w:szCs w:val="17"/>
        </w:rPr>
        <w:t>Geneva:WHO</w:t>
      </w:r>
    </w:p>
    <w:p w:rsidR="00EA40A3" w:rsidRDefault="00E86C16">
      <w:pPr>
        <w:spacing w:before="94" w:line="241" w:lineRule="auto"/>
        <w:ind w:left="69" w:right="20" w:hanging="69"/>
        <w:rPr>
          <w:rFonts w:ascii="Times New Roman" w:eastAsia="Times New Roman" w:hAnsi="Times New Roman" w:cs="Times New Roman"/>
          <w:sz w:val="17"/>
          <w:szCs w:val="17"/>
        </w:rPr>
      </w:pPr>
      <w:r>
        <w:rPr>
          <w:rFonts w:ascii="Times New Roman" w:eastAsia="Times New Roman" w:hAnsi="Times New Roman" w:cs="Times New Roman"/>
          <w:sz w:val="17"/>
          <w:szCs w:val="17"/>
        </w:rPr>
        <w:t>Stamler</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Jet</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z w:val="17"/>
          <w:szCs w:val="17"/>
        </w:rPr>
        <w:t>al</w:t>
      </w:r>
      <w:r>
        <w:rPr>
          <w:rFonts w:ascii="Times New Roman" w:eastAsia="Times New Roman" w:hAnsi="Times New Roman" w:cs="Times New Roman"/>
          <w:spacing w:val="-1"/>
          <w:sz w:val="17"/>
          <w:szCs w:val="17"/>
        </w:rPr>
        <w:t>.</w:t>
      </w:r>
      <w:r>
        <w:rPr>
          <w:rFonts w:ascii="Times New Roman" w:eastAsia="Times New Roman" w:hAnsi="Times New Roman" w:cs="Times New Roman"/>
          <w:spacing w:val="11"/>
          <w:w w:val="102"/>
          <w:sz w:val="17"/>
          <w:szCs w:val="17"/>
        </w:rPr>
        <w:t xml:space="preserve"> </w:t>
      </w:r>
      <w:r>
        <w:rPr>
          <w:rFonts w:ascii="Times New Roman" w:eastAsia="Times New Roman" w:hAnsi="Times New Roman" w:cs="Times New Roman"/>
          <w:spacing w:val="-1"/>
          <w:sz w:val="17"/>
          <w:szCs w:val="17"/>
        </w:rPr>
        <w:t>2003.</w:t>
      </w:r>
      <w:r>
        <w:rPr>
          <w:rFonts w:ascii="Times New Roman" w:eastAsia="Times New Roman" w:hAnsi="Times New Roman" w:cs="Times New Roman"/>
          <w:spacing w:val="6"/>
          <w:sz w:val="17"/>
          <w:szCs w:val="17"/>
        </w:rPr>
        <w:t xml:space="preserve"> </w:t>
      </w:r>
      <w:r>
        <w:rPr>
          <w:rFonts w:ascii="Times New Roman" w:eastAsia="Times New Roman" w:hAnsi="Times New Roman" w:cs="Times New Roman"/>
          <w:sz w:val="17"/>
          <w:szCs w:val="17"/>
        </w:rPr>
        <w:t>Nutrient</w:t>
      </w:r>
      <w:r>
        <w:rPr>
          <w:rFonts w:ascii="Times New Roman" w:eastAsia="Times New Roman" w:hAnsi="Times New Roman" w:cs="Times New Roman"/>
          <w:spacing w:val="12"/>
          <w:w w:val="101"/>
          <w:sz w:val="17"/>
          <w:szCs w:val="17"/>
        </w:rPr>
        <w:t xml:space="preserve"> </w:t>
      </w:r>
      <w:r>
        <w:rPr>
          <w:rFonts w:ascii="Times New Roman" w:eastAsia="Times New Roman" w:hAnsi="Times New Roman" w:cs="Times New Roman"/>
          <w:sz w:val="17"/>
          <w:szCs w:val="17"/>
        </w:rPr>
        <w:t>intak</w:t>
      </w:r>
      <w:r>
        <w:rPr>
          <w:rFonts w:ascii="Times New Roman" w:eastAsia="Times New Roman" w:hAnsi="Times New Roman" w:cs="Times New Roman"/>
          <w:spacing w:val="-1"/>
          <w:sz w:val="17"/>
          <w:szCs w:val="17"/>
        </w:rPr>
        <w:t>es</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pacing w:val="-1"/>
          <w:sz w:val="17"/>
          <w:szCs w:val="17"/>
        </w:rPr>
        <w:t>of</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middle</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pacing w:val="-1"/>
          <w:sz w:val="17"/>
          <w:szCs w:val="17"/>
        </w:rPr>
        <w:t>age</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pacing w:val="-1"/>
          <w:sz w:val="17"/>
          <w:szCs w:val="17"/>
        </w:rPr>
        <w:t>men</w:t>
      </w:r>
      <w:r>
        <w:rPr>
          <w:rFonts w:ascii="Times New Roman" w:eastAsia="Times New Roman" w:hAnsi="Times New Roman" w:cs="Times New Roman"/>
          <w:spacing w:val="15"/>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pacing w:val="8"/>
          <w:sz w:val="17"/>
          <w:szCs w:val="17"/>
        </w:rPr>
        <w:t xml:space="preserve"> </w:t>
      </w:r>
      <w:r>
        <w:rPr>
          <w:rFonts w:ascii="Times New Roman" w:eastAsia="Times New Roman" w:hAnsi="Times New Roman" w:cs="Times New Roman"/>
          <w:spacing w:val="-1"/>
          <w:sz w:val="17"/>
          <w:szCs w:val="17"/>
        </w:rPr>
        <w:t>women</w:t>
      </w:r>
      <w:r>
        <w:rPr>
          <w:rFonts w:ascii="Times New Roman" w:eastAsia="Times New Roman" w:hAnsi="Times New Roman" w:cs="Times New Roman"/>
          <w:spacing w:val="13"/>
          <w:w w:val="101"/>
          <w:sz w:val="17"/>
          <w:szCs w:val="17"/>
        </w:rPr>
        <w:t xml:space="preserve"> </w:t>
      </w:r>
      <w:r>
        <w:rPr>
          <w:rFonts w:ascii="Times New Roman" w:eastAsia="Times New Roman" w:hAnsi="Times New Roman" w:cs="Times New Roman"/>
          <w:spacing w:val="-1"/>
          <w:sz w:val="17"/>
          <w:szCs w:val="17"/>
        </w:rPr>
        <w:t>in</w:t>
      </w:r>
      <w:r>
        <w:rPr>
          <w:rFonts w:ascii="Times New Roman" w:eastAsia="Times New Roman" w:hAnsi="Times New Roman" w:cs="Times New Roman"/>
          <w:spacing w:val="14"/>
          <w:w w:val="101"/>
          <w:sz w:val="17"/>
          <w:szCs w:val="17"/>
        </w:rPr>
        <w:t xml:space="preserve"> </w:t>
      </w:r>
      <w:r>
        <w:rPr>
          <w:rFonts w:ascii="Times New Roman" w:eastAsia="Times New Roman" w:hAnsi="Times New Roman" w:cs="Times New Roman"/>
          <w:spacing w:val="-1"/>
          <w:sz w:val="17"/>
          <w:szCs w:val="17"/>
        </w:rPr>
        <w:t>China,</w:t>
      </w:r>
      <w:r>
        <w:rPr>
          <w:rFonts w:ascii="Times New Roman" w:eastAsia="Times New Roman" w:hAnsi="Times New Roman" w:cs="Times New Roman"/>
          <w:spacing w:val="11"/>
          <w:w w:val="101"/>
          <w:sz w:val="17"/>
          <w:szCs w:val="17"/>
        </w:rPr>
        <w:t xml:space="preserve"> </w:t>
      </w:r>
      <w:r>
        <w:rPr>
          <w:rFonts w:ascii="Times New Roman" w:eastAsia="Times New Roman" w:hAnsi="Times New Roman" w:cs="Times New Roman"/>
          <w:spacing w:val="-1"/>
          <w:sz w:val="17"/>
          <w:szCs w:val="17"/>
        </w:rPr>
        <w:t>Japan,United</w:t>
      </w:r>
      <w:r>
        <w:rPr>
          <w:rFonts w:ascii="Times New Roman" w:eastAsia="Times New Roman" w:hAnsi="Times New Roman" w:cs="Times New Roman"/>
          <w:spacing w:val="10"/>
          <w:w w:val="102"/>
          <w:sz w:val="17"/>
          <w:szCs w:val="17"/>
        </w:rPr>
        <w:t xml:space="preserve"> </w:t>
      </w:r>
      <w:r>
        <w:rPr>
          <w:rFonts w:ascii="Times New Roman" w:eastAsia="Times New Roman" w:hAnsi="Times New Roman" w:cs="Times New Roman"/>
          <w:spacing w:val="-1"/>
          <w:sz w:val="17"/>
          <w:szCs w:val="17"/>
        </w:rPr>
        <w:t>Kindom</w:t>
      </w:r>
      <w:r>
        <w:rPr>
          <w:rFonts w:ascii="Times New Roman" w:eastAsia="Times New Roman" w:hAnsi="Times New Roman" w:cs="Times New Roman"/>
          <w:spacing w:val="14"/>
          <w:sz w:val="17"/>
          <w:szCs w:val="17"/>
        </w:rPr>
        <w:t xml:space="preserve"> </w:t>
      </w:r>
      <w:r>
        <w:rPr>
          <w:rFonts w:ascii="Times New Roman" w:eastAsia="Times New Roman" w:hAnsi="Times New Roman" w:cs="Times New Roman"/>
          <w:spacing w:val="-1"/>
          <w:sz w:val="17"/>
          <w:szCs w:val="17"/>
        </w:rPr>
        <w:t>and</w:t>
      </w:r>
      <w:r>
        <w:rPr>
          <w:rFonts w:ascii="Times New Roman" w:eastAsia="Times New Roman" w:hAnsi="Times New Roman" w:cs="Times New Roman"/>
          <w:sz w:val="17"/>
          <w:szCs w:val="17"/>
        </w:rPr>
        <w:t xml:space="preserve"> </w:t>
      </w:r>
      <w:r>
        <w:rPr>
          <w:rFonts w:ascii="Times New Roman" w:eastAsia="Times New Roman" w:hAnsi="Times New Roman" w:cs="Times New Roman"/>
          <w:spacing w:val="-1"/>
          <w:sz w:val="17"/>
          <w:szCs w:val="17"/>
        </w:rPr>
        <w:t>United</w:t>
      </w:r>
      <w:r>
        <w:rPr>
          <w:rFonts w:ascii="Times New Roman" w:eastAsia="Times New Roman" w:hAnsi="Times New Roman" w:cs="Times New Roman"/>
          <w:spacing w:val="42"/>
          <w:w w:val="102"/>
          <w:sz w:val="17"/>
          <w:szCs w:val="17"/>
        </w:rPr>
        <w:t xml:space="preserve"> </w:t>
      </w:r>
      <w:r>
        <w:rPr>
          <w:rFonts w:ascii="Times New Roman" w:eastAsia="Times New Roman" w:hAnsi="Times New Roman" w:cs="Times New Roman"/>
          <w:spacing w:val="-1"/>
          <w:sz w:val="17"/>
          <w:szCs w:val="17"/>
        </w:rPr>
        <w:t>States</w:t>
      </w:r>
      <w:r>
        <w:rPr>
          <w:rFonts w:ascii="Times New Roman" w:eastAsia="Times New Roman" w:hAnsi="Times New Roman" w:cs="Times New Roman"/>
          <w:spacing w:val="33"/>
          <w:sz w:val="17"/>
          <w:szCs w:val="17"/>
        </w:rPr>
        <w:t xml:space="preserve"> </w:t>
      </w:r>
      <w:r>
        <w:rPr>
          <w:rFonts w:ascii="Times New Roman" w:eastAsia="Times New Roman" w:hAnsi="Times New Roman" w:cs="Times New Roman"/>
          <w:spacing w:val="-1"/>
          <w:sz w:val="17"/>
          <w:szCs w:val="17"/>
        </w:rPr>
        <w:t>in</w:t>
      </w:r>
      <w:r>
        <w:rPr>
          <w:rFonts w:ascii="Times New Roman" w:eastAsia="Times New Roman" w:hAnsi="Times New Roman" w:cs="Times New Roman"/>
          <w:spacing w:val="29"/>
          <w:w w:val="102"/>
          <w:sz w:val="17"/>
          <w:szCs w:val="17"/>
        </w:rPr>
        <w:t xml:space="preserve"> </w:t>
      </w:r>
      <w:r>
        <w:rPr>
          <w:rFonts w:ascii="Times New Roman" w:eastAsia="Times New Roman" w:hAnsi="Times New Roman" w:cs="Times New Roman"/>
          <w:spacing w:val="-1"/>
          <w:sz w:val="17"/>
          <w:szCs w:val="17"/>
        </w:rPr>
        <w:t>the</w:t>
      </w:r>
      <w:r>
        <w:rPr>
          <w:rFonts w:ascii="Times New Roman" w:eastAsia="Times New Roman" w:hAnsi="Times New Roman" w:cs="Times New Roman"/>
          <w:spacing w:val="33"/>
          <w:sz w:val="17"/>
          <w:szCs w:val="17"/>
        </w:rPr>
        <w:t xml:space="preserve"> </w:t>
      </w:r>
      <w:r>
        <w:rPr>
          <w:rFonts w:ascii="Times New Roman" w:eastAsia="Times New Roman" w:hAnsi="Times New Roman" w:cs="Times New Roman"/>
          <w:spacing w:val="-1"/>
          <w:sz w:val="17"/>
          <w:szCs w:val="17"/>
        </w:rPr>
        <w:t>late</w:t>
      </w:r>
      <w:r>
        <w:rPr>
          <w:rFonts w:ascii="Times New Roman" w:eastAsia="Times New Roman" w:hAnsi="Times New Roman" w:cs="Times New Roman"/>
          <w:spacing w:val="2"/>
          <w:sz w:val="17"/>
          <w:szCs w:val="17"/>
        </w:rPr>
        <w:t xml:space="preserve">  </w:t>
      </w:r>
      <w:r>
        <w:rPr>
          <w:rFonts w:ascii="Times New Roman" w:eastAsia="Times New Roman" w:hAnsi="Times New Roman" w:cs="Times New Roman"/>
          <w:spacing w:val="-1"/>
          <w:sz w:val="17"/>
          <w:szCs w:val="17"/>
        </w:rPr>
        <w:t>1990s:The</w:t>
      </w:r>
      <w:r>
        <w:rPr>
          <w:rFonts w:ascii="Times New Roman" w:eastAsia="Times New Roman" w:hAnsi="Times New Roman" w:cs="Times New Roman"/>
          <w:spacing w:val="34"/>
          <w:w w:val="102"/>
          <w:sz w:val="17"/>
          <w:szCs w:val="17"/>
        </w:rPr>
        <w:t xml:space="preserve"> </w:t>
      </w:r>
      <w:r>
        <w:rPr>
          <w:rFonts w:ascii="Times New Roman" w:eastAsia="Times New Roman" w:hAnsi="Times New Roman" w:cs="Times New Roman"/>
          <w:spacing w:val="-1"/>
          <w:sz w:val="17"/>
          <w:szCs w:val="17"/>
        </w:rPr>
        <w:t>intermap</w:t>
      </w:r>
      <w:r>
        <w:rPr>
          <w:rFonts w:ascii="Times New Roman" w:eastAsia="Times New Roman" w:hAnsi="Times New Roman" w:cs="Times New Roman"/>
          <w:spacing w:val="36"/>
          <w:w w:val="101"/>
          <w:sz w:val="17"/>
          <w:szCs w:val="17"/>
        </w:rPr>
        <w:t xml:space="preserve"> </w:t>
      </w:r>
      <w:r>
        <w:rPr>
          <w:rFonts w:ascii="Times New Roman" w:eastAsia="Times New Roman" w:hAnsi="Times New Roman" w:cs="Times New Roman"/>
          <w:spacing w:val="-1"/>
          <w:sz w:val="17"/>
          <w:szCs w:val="17"/>
        </w:rPr>
        <w:t>study.</w:t>
      </w:r>
      <w:r>
        <w:rPr>
          <w:rFonts w:ascii="Times New Roman" w:eastAsia="Times New Roman" w:hAnsi="Times New Roman" w:cs="Times New Roman"/>
          <w:spacing w:val="31"/>
          <w:w w:val="101"/>
          <w:sz w:val="17"/>
          <w:szCs w:val="17"/>
        </w:rPr>
        <w:t xml:space="preserve"> </w:t>
      </w:r>
      <w:r>
        <w:rPr>
          <w:rFonts w:ascii="Times New Roman" w:eastAsia="Times New Roman" w:hAnsi="Times New Roman" w:cs="Times New Roman"/>
          <w:spacing w:val="-1"/>
          <w:sz w:val="17"/>
          <w:szCs w:val="17"/>
        </w:rPr>
        <w:t>J</w:t>
      </w:r>
      <w:r>
        <w:rPr>
          <w:rFonts w:ascii="Times New Roman" w:eastAsia="Times New Roman" w:hAnsi="Times New Roman" w:cs="Times New Roman"/>
          <w:spacing w:val="31"/>
          <w:sz w:val="17"/>
          <w:szCs w:val="17"/>
        </w:rPr>
        <w:t xml:space="preserve"> </w:t>
      </w:r>
      <w:r>
        <w:rPr>
          <w:rFonts w:ascii="Times New Roman" w:eastAsia="Times New Roman" w:hAnsi="Times New Roman" w:cs="Times New Roman"/>
          <w:spacing w:val="-1"/>
          <w:sz w:val="17"/>
          <w:szCs w:val="17"/>
        </w:rPr>
        <w:t>Human</w:t>
      </w:r>
      <w:r>
        <w:rPr>
          <w:rFonts w:ascii="Times New Roman" w:eastAsia="Times New Roman" w:hAnsi="Times New Roman" w:cs="Times New Roman"/>
          <w:spacing w:val="31"/>
          <w:sz w:val="17"/>
          <w:szCs w:val="17"/>
        </w:rPr>
        <w:t xml:space="preserve"> </w:t>
      </w:r>
      <w:r>
        <w:rPr>
          <w:rFonts w:ascii="Times New Roman" w:eastAsia="Times New Roman" w:hAnsi="Times New Roman" w:cs="Times New Roman"/>
          <w:spacing w:val="-1"/>
          <w:sz w:val="17"/>
          <w:szCs w:val="17"/>
        </w:rPr>
        <w:t>Hypertension,17:623</w:t>
      </w:r>
      <w:r>
        <w:rPr>
          <w:rFonts w:ascii="宋体" w:eastAsia="宋体" w:hAnsi="宋体" w:cs="宋体"/>
          <w:spacing w:val="-1"/>
          <w:sz w:val="17"/>
          <w:szCs w:val="17"/>
        </w:rPr>
        <w:t>～</w:t>
      </w:r>
      <w:r>
        <w:rPr>
          <w:rFonts w:ascii="Times New Roman" w:eastAsia="Times New Roman" w:hAnsi="Times New Roman" w:cs="Times New Roman"/>
          <w:spacing w:val="-1"/>
          <w:sz w:val="17"/>
          <w:szCs w:val="17"/>
        </w:rPr>
        <w:t>628</w:t>
      </w:r>
    </w:p>
    <w:p w:rsidR="00EA40A3" w:rsidRDefault="00EA40A3">
      <w:pPr>
        <w:sectPr w:rsidR="00EA40A3">
          <w:footerReference w:type="default" r:id="rId343"/>
          <w:pgSz w:w="9220" w:h="13360"/>
          <w:pgMar w:top="400" w:right="970" w:bottom="1306" w:left="959" w:header="0" w:footer="1085" w:gutter="0"/>
          <w:cols w:space="720"/>
        </w:sectPr>
      </w:pPr>
    </w:p>
    <w:p w:rsidR="00EA40A3" w:rsidRDefault="00825D12">
      <w:pPr>
        <w:spacing w:line="159" w:lineRule="exact"/>
      </w:pPr>
      <w:r>
        <w:rPr>
          <w:noProof/>
        </w:rPr>
        <w:lastRenderedPageBreak/>
        <mc:AlternateContent>
          <mc:Choice Requires="wps">
            <w:drawing>
              <wp:anchor distT="0" distB="0" distL="114300" distR="114300" simplePos="0" relativeHeight="251723776" behindDoc="1" locked="0" layoutInCell="0" allowOverlap="1">
                <wp:simplePos x="0" y="0"/>
                <wp:positionH relativeFrom="page">
                  <wp:posOffset>1403350</wp:posOffset>
                </wp:positionH>
                <wp:positionV relativeFrom="page">
                  <wp:posOffset>2225040</wp:posOffset>
                </wp:positionV>
                <wp:extent cx="2940685" cy="6350"/>
                <wp:effectExtent l="12700" t="5715" r="8890" b="6985"/>
                <wp:wrapNone/>
                <wp:docPr id="10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685" cy="6350"/>
                        </a:xfrm>
                        <a:custGeom>
                          <a:avLst/>
                          <a:gdLst>
                            <a:gd name="T0" fmla="*/ 0 w 4631"/>
                            <a:gd name="T1" fmla="*/ 5 h 10"/>
                            <a:gd name="T2" fmla="*/ 4630 w 4631"/>
                            <a:gd name="T3" fmla="*/ 5 h 10"/>
                            <a:gd name="T4" fmla="*/ 0 w 4631"/>
                            <a:gd name="T5" fmla="*/ 5 h 10"/>
                            <a:gd name="T6" fmla="*/ 4630 w 4631"/>
                            <a:gd name="T7" fmla="*/ 5 h 10"/>
                          </a:gdLst>
                          <a:ahLst/>
                          <a:cxnLst>
                            <a:cxn ang="0">
                              <a:pos x="T0" y="T1"/>
                            </a:cxn>
                            <a:cxn ang="0">
                              <a:pos x="T2" y="T3"/>
                            </a:cxn>
                            <a:cxn ang="0">
                              <a:pos x="T4" y="T5"/>
                            </a:cxn>
                            <a:cxn ang="0">
                              <a:pos x="T6" y="T7"/>
                            </a:cxn>
                          </a:cxnLst>
                          <a:rect l="0" t="0" r="r" b="b"/>
                          <a:pathLst>
                            <a:path w="4631" h="10">
                              <a:moveTo>
                                <a:pt x="0" y="5"/>
                              </a:moveTo>
                              <a:lnTo>
                                <a:pt x="4630" y="5"/>
                              </a:lnTo>
                              <a:moveTo>
                                <a:pt x="0" y="5"/>
                              </a:moveTo>
                              <a:lnTo>
                                <a:pt x="463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6216D" id="AutoShape 63" o:spid="_x0000_s1026" style="position:absolute;left:0;text-align:left;margin-left:110.5pt;margin-top:175.2pt;width:231.55pt;height:.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" o:allowincell="f" path="m,5r4630,m,5r4630,e" filled="f" strokeweight=".5pt">
                <v:stroke miterlimit="10" joinstyle="miter"/>
                <v:path o:connecttype="custom" o:connectlocs="0,3175;2940050,3175;0,3175;2940050,3175" o:connectangles="0,0,0,0"/>
                <w10:wrap anchorx="page" anchory="page"/>
              </v:shape>
            </w:pict>
          </mc:Fallback>
        </mc:AlternateContent>
      </w:r>
      <w:r>
        <w:rPr>
          <w:noProof/>
        </w:rPr>
        <mc:AlternateContent>
          <mc:Choice Requires="wps">
            <w:drawing>
              <wp:anchor distT="0" distB="0" distL="114300" distR="114300" simplePos="0" relativeHeight="251724800" behindDoc="0" locked="0" layoutInCell="0" allowOverlap="1">
                <wp:simplePos x="0" y="0"/>
                <wp:positionH relativeFrom="page">
                  <wp:posOffset>539115</wp:posOffset>
                </wp:positionH>
                <wp:positionV relativeFrom="page">
                  <wp:posOffset>2402840</wp:posOffset>
                </wp:positionV>
                <wp:extent cx="4674235" cy="6350"/>
                <wp:effectExtent l="5715" t="2540" r="6350" b="10160"/>
                <wp:wrapNone/>
                <wp:docPr id="9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4235" cy="6350"/>
                        </a:xfrm>
                        <a:custGeom>
                          <a:avLst/>
                          <a:gdLst>
                            <a:gd name="T0" fmla="*/ 0 w 7360"/>
                            <a:gd name="T1" fmla="*/ 5 h 10"/>
                            <a:gd name="T2" fmla="*/ 1360 w 7360"/>
                            <a:gd name="T3" fmla="*/ 5 h 10"/>
                            <a:gd name="T4" fmla="*/ 5990 w 7360"/>
                            <a:gd name="T5" fmla="*/ 5 h 10"/>
                            <a:gd name="T6" fmla="*/ 7360 w 7360"/>
                            <a:gd name="T7" fmla="*/ 5 h 10"/>
                            <a:gd name="T8" fmla="*/ 1360 w 7360"/>
                            <a:gd name="T9" fmla="*/ 5 h 10"/>
                            <a:gd name="T10" fmla="*/ 5990 w 7360"/>
                            <a:gd name="T11" fmla="*/ 5 h 10"/>
                            <a:gd name="T12" fmla="*/ 0 w 7360"/>
                            <a:gd name="T13" fmla="*/ 5 h 10"/>
                            <a:gd name="T14" fmla="*/ 1360 w 7360"/>
                            <a:gd name="T15" fmla="*/ 5 h 10"/>
                            <a:gd name="T16" fmla="*/ 1360 w 7360"/>
                            <a:gd name="T17" fmla="*/ 5 h 10"/>
                            <a:gd name="T18" fmla="*/ 2919 w 7360"/>
                            <a:gd name="T19" fmla="*/ 5 h 10"/>
                            <a:gd name="T20" fmla="*/ 2919 w 7360"/>
                            <a:gd name="T21" fmla="*/ 5 h 10"/>
                            <a:gd name="T22" fmla="*/ 4459 w 7360"/>
                            <a:gd name="T23" fmla="*/ 5 h 10"/>
                            <a:gd name="T24" fmla="*/ 4459 w 7360"/>
                            <a:gd name="T25" fmla="*/ 5 h 10"/>
                            <a:gd name="T26" fmla="*/ 5990 w 7360"/>
                            <a:gd name="T27" fmla="*/ 5 h 10"/>
                            <a:gd name="T28" fmla="*/ 5990 w 7360"/>
                            <a:gd name="T29" fmla="*/ 5 h 10"/>
                            <a:gd name="T30" fmla="*/ 7360 w 7360"/>
                            <a:gd name="T31"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60" h="10">
                              <a:moveTo>
                                <a:pt x="0" y="5"/>
                              </a:moveTo>
                              <a:lnTo>
                                <a:pt x="1360" y="5"/>
                              </a:lnTo>
                              <a:moveTo>
                                <a:pt x="5990" y="5"/>
                              </a:moveTo>
                              <a:lnTo>
                                <a:pt x="7360" y="5"/>
                              </a:lnTo>
                              <a:moveTo>
                                <a:pt x="1360" y="5"/>
                              </a:moveTo>
                              <a:lnTo>
                                <a:pt x="5990" y="5"/>
                              </a:lnTo>
                              <a:moveTo>
                                <a:pt x="0" y="5"/>
                              </a:moveTo>
                              <a:lnTo>
                                <a:pt x="1360" y="5"/>
                              </a:lnTo>
                              <a:moveTo>
                                <a:pt x="1360" y="5"/>
                              </a:moveTo>
                              <a:lnTo>
                                <a:pt x="2919" y="5"/>
                              </a:lnTo>
                              <a:moveTo>
                                <a:pt x="2919" y="5"/>
                              </a:moveTo>
                              <a:lnTo>
                                <a:pt x="4459" y="5"/>
                              </a:lnTo>
                              <a:moveTo>
                                <a:pt x="4459" y="5"/>
                              </a:moveTo>
                              <a:lnTo>
                                <a:pt x="5990" y="5"/>
                              </a:lnTo>
                              <a:moveTo>
                                <a:pt x="5990" y="5"/>
                              </a:moveTo>
                              <a:lnTo>
                                <a:pt x="736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9C98C" id="AutoShape 64" o:spid="_x0000_s1026" style="position:absolute;left:0;text-align:left;margin-left:42.45pt;margin-top:189.2pt;width:368.05pt;height:.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" o:allowincell="f" path="m,5r1360,m5990,5r1370,m1360,5r4630,m,5r1360,m1360,5r1559,m2919,5r1540,m4459,5r1531,m5990,5r1370,e" filled="f" strokeweight=".5pt">
                <v:stroke miterlimit="10" joinstyle="miter"/>
                <v:path o:connecttype="custom" o:connectlocs="0,3175;863717,3175;3804167,3175;4674235,3175;863717,3175;3804167,3175;0,3175;863717,3175;863717,3175;1853817,3175;1853817,3175;2831850,3175;2831850,3175;3804167,3175;3804167,3175;4674235,3175" o:connectangles="0,0,0,0,0,0,0,0,0,0,0,0,0,0,0,0"/>
                <w10:wrap anchorx="page" anchory="page"/>
              </v:shape>
            </w:pict>
          </mc:Fallback>
        </mc:AlternateContent>
      </w:r>
    </w:p>
    <w:p w:rsidR="00EA40A3" w:rsidRDefault="00EA40A3">
      <w:pPr>
        <w:sectPr w:rsidR="00EA40A3">
          <w:headerReference w:type="default" r:id="rId344"/>
          <w:footerReference w:type="default" r:id="rId345"/>
          <w:pgSz w:w="9220" w:h="13360"/>
          <w:pgMar w:top="2887" w:right="1009" w:bottom="1514" w:left="849" w:header="1827" w:footer="1069" w:gutter="0"/>
          <w:cols w:space="720" w:equalWidth="0">
            <w:col w:w="7361"/>
          </w:cols>
        </w:sectPr>
      </w:pPr>
    </w:p>
    <w:p w:rsidR="00EA40A3" w:rsidRDefault="00E86C16">
      <w:pPr>
        <w:spacing w:before="229" w:line="219" w:lineRule="auto"/>
        <w:ind w:left="399"/>
        <w:rPr>
          <w:rFonts w:ascii="宋体" w:eastAsia="宋体" w:hAnsi="宋体" w:cs="宋体"/>
          <w:sz w:val="16"/>
          <w:szCs w:val="16"/>
        </w:rPr>
      </w:pPr>
      <w:r>
        <w:rPr>
          <w:rFonts w:ascii="宋体" w:eastAsia="宋体" w:hAnsi="宋体" w:cs="宋体"/>
          <w:spacing w:val="5"/>
          <w:sz w:val="16"/>
          <w:szCs w:val="16"/>
        </w:rPr>
        <w:t>年龄/岁</w:t>
      </w:r>
    </w:p>
    <w:p w:rsidR="00EA40A3" w:rsidRDefault="00E86C16">
      <w:pPr>
        <w:spacing w:line="14" w:lineRule="auto"/>
        <w:rPr>
          <w:sz w:val="2"/>
        </w:rPr>
      </w:pPr>
      <w:r>
        <w:rPr>
          <w:sz w:val="2"/>
          <w:szCs w:val="2"/>
        </w:rPr>
        <w:br w:type="column"/>
      </w:r>
    </w:p>
    <w:tbl>
      <w:tblPr>
        <w:tblStyle w:val="TableNormal"/>
        <w:tblW w:w="3718" w:type="dxa"/>
        <w:tblInd w:w="469"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07"/>
        <w:gridCol w:w="1011"/>
      </w:tblGrid>
      <w:tr w:rsidR="00EA40A3">
        <w:trPr>
          <w:trHeight w:val="221"/>
        </w:trPr>
        <w:tc>
          <w:tcPr>
            <w:tcW w:w="2707" w:type="dxa"/>
          </w:tcPr>
          <w:p w:rsidR="00EA40A3" w:rsidRDefault="00E86C16">
            <w:pPr>
              <w:spacing w:before="9" w:line="221" w:lineRule="auto"/>
              <w:ind w:left="860"/>
              <w:rPr>
                <w:rFonts w:ascii="宋体" w:eastAsia="宋体" w:hAnsi="宋体" w:cs="宋体"/>
                <w:sz w:val="16"/>
                <w:szCs w:val="16"/>
              </w:rPr>
            </w:pPr>
            <w:r>
              <w:rPr>
                <w:rFonts w:ascii="宋体" w:eastAsia="宋体" w:hAnsi="宋体" w:cs="宋体"/>
                <w:spacing w:val="-4"/>
                <w:sz w:val="16"/>
                <w:szCs w:val="16"/>
              </w:rPr>
              <w:t>能量#</w:t>
            </w:r>
          </w:p>
        </w:tc>
        <w:tc>
          <w:tcPr>
            <w:tcW w:w="1011" w:type="dxa"/>
          </w:tcPr>
          <w:p w:rsidR="00EA40A3" w:rsidRDefault="00E86C16">
            <w:pPr>
              <w:spacing w:line="230" w:lineRule="auto"/>
              <w:ind w:left="512"/>
              <w:rPr>
                <w:rFonts w:ascii="宋体" w:eastAsia="宋体" w:hAnsi="宋体" w:cs="宋体"/>
                <w:sz w:val="15"/>
                <w:szCs w:val="15"/>
              </w:rPr>
            </w:pPr>
            <w:r>
              <w:rPr>
                <w:rFonts w:ascii="宋体" w:eastAsia="宋体" w:hAnsi="宋体" w:cs="宋体"/>
                <w:spacing w:val="16"/>
                <w:sz w:val="15"/>
                <w:szCs w:val="15"/>
              </w:rPr>
              <w:t>蛋白质</w:t>
            </w:r>
          </w:p>
        </w:tc>
      </w:tr>
      <w:tr w:rsidR="00EA40A3">
        <w:trPr>
          <w:trHeight w:val="235"/>
        </w:trPr>
        <w:tc>
          <w:tcPr>
            <w:tcW w:w="2707" w:type="dxa"/>
          </w:tcPr>
          <w:p w:rsidR="00EA40A3" w:rsidRDefault="00E86C16">
            <w:pPr>
              <w:spacing w:before="71" w:line="201" w:lineRule="auto"/>
              <w:rPr>
                <w:rFonts w:ascii="宋体" w:eastAsia="宋体" w:hAnsi="宋体" w:cs="宋体"/>
                <w:sz w:val="15"/>
                <w:szCs w:val="15"/>
              </w:rPr>
            </w:pPr>
            <w:r>
              <w:rPr>
                <w:rFonts w:ascii="宋体" w:eastAsia="宋体" w:hAnsi="宋体" w:cs="宋体"/>
                <w:spacing w:val="4"/>
                <w:sz w:val="15"/>
                <w:szCs w:val="15"/>
              </w:rPr>
              <w:t>RNI/MJ</w:t>
            </w:r>
            <w:r>
              <w:rPr>
                <w:rFonts w:ascii="宋体" w:eastAsia="宋体" w:hAnsi="宋体" w:cs="宋体"/>
                <w:spacing w:val="2"/>
                <w:sz w:val="15"/>
                <w:szCs w:val="15"/>
              </w:rPr>
              <w:t xml:space="preserve">              </w:t>
            </w:r>
            <w:r>
              <w:rPr>
                <w:rFonts w:ascii="宋体" w:eastAsia="宋体" w:hAnsi="宋体" w:cs="宋体"/>
                <w:spacing w:val="4"/>
                <w:sz w:val="15"/>
                <w:szCs w:val="15"/>
              </w:rPr>
              <w:t>RNI/kcal</w:t>
            </w:r>
          </w:p>
        </w:tc>
        <w:tc>
          <w:tcPr>
            <w:tcW w:w="1011" w:type="dxa"/>
          </w:tcPr>
          <w:p w:rsidR="00EA40A3" w:rsidRDefault="00E86C16">
            <w:pPr>
              <w:spacing w:before="52" w:line="211" w:lineRule="auto"/>
              <w:ind w:left="523"/>
              <w:rPr>
                <w:rFonts w:ascii="宋体" w:eastAsia="宋体" w:hAnsi="宋体" w:cs="宋体"/>
                <w:sz w:val="16"/>
                <w:szCs w:val="16"/>
              </w:rPr>
            </w:pPr>
            <w:r>
              <w:rPr>
                <w:rFonts w:ascii="宋体" w:eastAsia="宋体" w:hAnsi="宋体" w:cs="宋体"/>
                <w:spacing w:val="-1"/>
                <w:position w:val="1"/>
                <w:sz w:val="16"/>
                <w:szCs w:val="16"/>
              </w:rPr>
              <w:t>RNI/g</w:t>
            </w:r>
          </w:p>
        </w:tc>
      </w:tr>
    </w:tbl>
    <w:p w:rsidR="00EA40A3" w:rsidRDefault="00E86C16">
      <w:pPr>
        <w:spacing w:before="101" w:line="184" w:lineRule="auto"/>
        <w:ind w:left="289"/>
        <w:rPr>
          <w:rFonts w:ascii="宋体" w:eastAsia="宋体" w:hAnsi="宋体" w:cs="宋体"/>
          <w:sz w:val="16"/>
          <w:szCs w:val="16"/>
        </w:rPr>
      </w:pPr>
      <w:r>
        <w:rPr>
          <w:rFonts w:ascii="宋体" w:eastAsia="宋体" w:hAnsi="宋体" w:cs="宋体"/>
          <w:spacing w:val="-10"/>
          <w:sz w:val="16"/>
          <w:szCs w:val="16"/>
        </w:rPr>
        <w:t>男</w:t>
      </w:r>
      <w:r>
        <w:rPr>
          <w:rFonts w:ascii="宋体" w:eastAsia="宋体" w:hAnsi="宋体" w:cs="宋体"/>
          <w:spacing w:val="1"/>
          <w:sz w:val="16"/>
          <w:szCs w:val="16"/>
        </w:rPr>
        <w:t xml:space="preserve">       </w:t>
      </w:r>
      <w:r>
        <w:rPr>
          <w:rFonts w:ascii="宋体" w:eastAsia="宋体" w:hAnsi="宋体" w:cs="宋体"/>
          <w:spacing w:val="-10"/>
          <w:sz w:val="16"/>
          <w:szCs w:val="16"/>
        </w:rPr>
        <w:t>女</w:t>
      </w:r>
      <w:r>
        <w:rPr>
          <w:rFonts w:ascii="宋体" w:eastAsia="宋体" w:hAnsi="宋体" w:cs="宋体"/>
          <w:spacing w:val="9"/>
          <w:sz w:val="16"/>
          <w:szCs w:val="16"/>
        </w:rPr>
        <w:t xml:space="preserve">        </w:t>
      </w:r>
      <w:r>
        <w:rPr>
          <w:rFonts w:ascii="宋体" w:eastAsia="宋体" w:hAnsi="宋体" w:cs="宋体"/>
          <w:spacing w:val="-10"/>
          <w:sz w:val="16"/>
          <w:szCs w:val="16"/>
        </w:rPr>
        <w:t>男</w:t>
      </w:r>
      <w:r>
        <w:rPr>
          <w:rFonts w:ascii="宋体" w:eastAsia="宋体" w:hAnsi="宋体" w:cs="宋体"/>
          <w:spacing w:val="2"/>
          <w:sz w:val="16"/>
          <w:szCs w:val="16"/>
        </w:rPr>
        <w:t xml:space="preserve">       </w:t>
      </w:r>
      <w:r>
        <w:rPr>
          <w:rFonts w:ascii="宋体" w:eastAsia="宋体" w:hAnsi="宋体" w:cs="宋体"/>
          <w:spacing w:val="-10"/>
          <w:sz w:val="16"/>
          <w:szCs w:val="16"/>
        </w:rPr>
        <w:t>女</w:t>
      </w:r>
      <w:r>
        <w:rPr>
          <w:rFonts w:ascii="宋体" w:eastAsia="宋体" w:hAnsi="宋体" w:cs="宋体"/>
          <w:spacing w:val="9"/>
          <w:sz w:val="16"/>
          <w:szCs w:val="16"/>
        </w:rPr>
        <w:t xml:space="preserve">        </w:t>
      </w:r>
      <w:r>
        <w:rPr>
          <w:rFonts w:ascii="宋体" w:eastAsia="宋体" w:hAnsi="宋体" w:cs="宋体"/>
          <w:spacing w:val="-10"/>
          <w:sz w:val="16"/>
          <w:szCs w:val="16"/>
        </w:rPr>
        <w:t>男</w:t>
      </w:r>
      <w:r>
        <w:rPr>
          <w:rFonts w:ascii="宋体" w:eastAsia="宋体" w:hAnsi="宋体" w:cs="宋体"/>
          <w:spacing w:val="4"/>
          <w:sz w:val="16"/>
          <w:szCs w:val="16"/>
        </w:rPr>
        <w:t xml:space="preserve">       </w:t>
      </w:r>
      <w:r>
        <w:rPr>
          <w:rFonts w:ascii="宋体" w:eastAsia="宋体" w:hAnsi="宋体" w:cs="宋体"/>
          <w:spacing w:val="-10"/>
          <w:sz w:val="16"/>
          <w:szCs w:val="16"/>
        </w:rPr>
        <w:t>女</w:t>
      </w:r>
    </w:p>
    <w:p w:rsidR="00EA40A3" w:rsidRDefault="00E86C16">
      <w:pPr>
        <w:spacing w:line="14" w:lineRule="auto"/>
        <w:rPr>
          <w:sz w:val="2"/>
        </w:rPr>
      </w:pPr>
      <w:r>
        <w:rPr>
          <w:sz w:val="2"/>
          <w:szCs w:val="2"/>
        </w:rPr>
        <w:br w:type="column"/>
      </w:r>
    </w:p>
    <w:p w:rsidR="00EA40A3" w:rsidRDefault="00E86C16">
      <w:pPr>
        <w:spacing w:before="18" w:line="220" w:lineRule="auto"/>
        <w:ind w:left="239"/>
        <w:rPr>
          <w:rFonts w:ascii="宋体" w:eastAsia="宋体" w:hAnsi="宋体" w:cs="宋体"/>
          <w:sz w:val="16"/>
          <w:szCs w:val="16"/>
        </w:rPr>
      </w:pPr>
      <w:r>
        <w:rPr>
          <w:rFonts w:ascii="宋体" w:eastAsia="宋体" w:hAnsi="宋体" w:cs="宋体"/>
          <w:spacing w:val="-2"/>
          <w:sz w:val="16"/>
          <w:szCs w:val="16"/>
        </w:rPr>
        <w:t>脂肪</w:t>
      </w:r>
    </w:p>
    <w:p w:rsidR="00EA40A3" w:rsidRDefault="00E86C16">
      <w:pPr>
        <w:spacing w:before="79" w:line="220" w:lineRule="auto"/>
        <w:rPr>
          <w:rFonts w:ascii="宋体" w:eastAsia="宋体" w:hAnsi="宋体" w:cs="宋体"/>
          <w:sz w:val="16"/>
          <w:szCs w:val="16"/>
        </w:rPr>
      </w:pPr>
      <w:r>
        <w:rPr>
          <w:rFonts w:ascii="宋体" w:eastAsia="宋体" w:hAnsi="宋体" w:cs="宋体"/>
          <w:spacing w:val="1"/>
          <w:sz w:val="16"/>
          <w:szCs w:val="16"/>
        </w:rPr>
        <w:t>占能量百分</w:t>
      </w:r>
    </w:p>
    <w:p w:rsidR="00EA40A3" w:rsidRDefault="00E86C16">
      <w:pPr>
        <w:spacing w:before="63" w:line="202" w:lineRule="auto"/>
        <w:ind w:left="239"/>
        <w:rPr>
          <w:rFonts w:ascii="宋体" w:eastAsia="宋体" w:hAnsi="宋体" w:cs="宋体"/>
          <w:sz w:val="16"/>
          <w:szCs w:val="16"/>
        </w:rPr>
      </w:pPr>
      <w:r>
        <w:rPr>
          <w:rFonts w:ascii="宋体" w:eastAsia="宋体" w:hAnsi="宋体" w:cs="宋体"/>
          <w:spacing w:val="1"/>
          <w:sz w:val="16"/>
          <w:szCs w:val="16"/>
        </w:rPr>
        <w:t>比/%</w:t>
      </w:r>
    </w:p>
    <w:p w:rsidR="00EA40A3" w:rsidRDefault="00EA40A3">
      <w:pPr>
        <w:sectPr w:rsidR="00EA40A3">
          <w:type w:val="continuous"/>
          <w:pgSz w:w="9220" w:h="13360"/>
          <w:pgMar w:top="2887" w:right="1009" w:bottom="1514" w:left="849" w:header="1827" w:footer="1069" w:gutter="0"/>
          <w:cols w:num="3" w:space="720" w:equalWidth="0">
            <w:col w:w="1261" w:space="100"/>
            <w:col w:w="4810" w:space="100"/>
            <w:col w:w="1091"/>
          </w:cols>
        </w:sectPr>
      </w:pPr>
    </w:p>
    <w:p w:rsidR="00EA40A3" w:rsidRDefault="00EA40A3">
      <w:pPr>
        <w:spacing w:line="105" w:lineRule="exact"/>
      </w:pPr>
    </w:p>
    <w:p w:rsidR="00EA40A3" w:rsidRDefault="00EA40A3">
      <w:pPr>
        <w:sectPr w:rsidR="00EA40A3">
          <w:type w:val="continuous"/>
          <w:pgSz w:w="9220" w:h="13360"/>
          <w:pgMar w:top="2887" w:right="1009" w:bottom="1514" w:left="849" w:header="1827" w:footer="1069" w:gutter="0"/>
          <w:cols w:space="720" w:equalWidth="0">
            <w:col w:w="7361"/>
          </w:cols>
        </w:sectPr>
      </w:pPr>
    </w:p>
    <w:p w:rsidR="00EA40A3" w:rsidRDefault="00E86C16">
      <w:pPr>
        <w:spacing w:before="56" w:line="183" w:lineRule="auto"/>
        <w:ind w:left="560"/>
        <w:rPr>
          <w:rFonts w:ascii="宋体" w:eastAsia="宋体" w:hAnsi="宋体" w:cs="宋体"/>
          <w:sz w:val="16"/>
          <w:szCs w:val="16"/>
        </w:rPr>
      </w:pPr>
      <w:r>
        <w:rPr>
          <w:rFonts w:ascii="宋体" w:eastAsia="宋体" w:hAnsi="宋体" w:cs="宋体"/>
          <w:spacing w:val="12"/>
          <w:w w:val="122"/>
          <w:sz w:val="16"/>
          <w:szCs w:val="16"/>
        </w:rPr>
        <w:t>0~</w:t>
      </w:r>
    </w:p>
    <w:p w:rsidR="00EA40A3" w:rsidRDefault="00E86C16">
      <w:pPr>
        <w:spacing w:before="131" w:line="183" w:lineRule="auto"/>
        <w:ind w:left="479"/>
        <w:rPr>
          <w:rFonts w:ascii="宋体" w:eastAsia="宋体" w:hAnsi="宋体" w:cs="宋体"/>
          <w:sz w:val="16"/>
          <w:szCs w:val="16"/>
        </w:rPr>
      </w:pPr>
      <w:r>
        <w:rPr>
          <w:rFonts w:ascii="宋体" w:eastAsia="宋体" w:hAnsi="宋体" w:cs="宋体"/>
          <w:spacing w:val="14"/>
          <w:sz w:val="16"/>
          <w:szCs w:val="16"/>
        </w:rPr>
        <w:t>0.5~</w:t>
      </w:r>
    </w:p>
    <w:p w:rsidR="00EA40A3" w:rsidRDefault="00E86C16">
      <w:pPr>
        <w:spacing w:before="110" w:line="184" w:lineRule="auto"/>
        <w:ind w:left="560"/>
        <w:rPr>
          <w:rFonts w:ascii="宋体" w:eastAsia="宋体" w:hAnsi="宋体" w:cs="宋体"/>
          <w:sz w:val="16"/>
          <w:szCs w:val="16"/>
        </w:rPr>
      </w:pPr>
      <w:r>
        <w:rPr>
          <w:rFonts w:ascii="宋体" w:eastAsia="宋体" w:hAnsi="宋体" w:cs="宋体"/>
          <w:spacing w:val="21"/>
          <w:w w:val="104"/>
          <w:sz w:val="16"/>
          <w:szCs w:val="16"/>
        </w:rPr>
        <w:t>1~</w:t>
      </w:r>
    </w:p>
    <w:p w:rsidR="00EA40A3" w:rsidRDefault="00E86C16">
      <w:pPr>
        <w:spacing w:before="152" w:line="183" w:lineRule="auto"/>
        <w:ind w:left="560"/>
        <w:rPr>
          <w:rFonts w:ascii="宋体" w:eastAsia="宋体" w:hAnsi="宋体" w:cs="宋体"/>
          <w:sz w:val="16"/>
          <w:szCs w:val="16"/>
        </w:rPr>
      </w:pPr>
      <w:r>
        <w:rPr>
          <w:rFonts w:ascii="宋体" w:eastAsia="宋体" w:hAnsi="宋体" w:cs="宋体"/>
          <w:spacing w:val="13"/>
          <w:w w:val="120"/>
          <w:sz w:val="16"/>
          <w:szCs w:val="16"/>
        </w:rPr>
        <w:t>2~</w:t>
      </w:r>
    </w:p>
    <w:p w:rsidR="00EA40A3" w:rsidRDefault="00E86C16">
      <w:pPr>
        <w:spacing w:before="141" w:line="183" w:lineRule="auto"/>
        <w:ind w:left="560"/>
        <w:rPr>
          <w:rFonts w:ascii="宋体" w:eastAsia="宋体" w:hAnsi="宋体" w:cs="宋体"/>
          <w:sz w:val="16"/>
          <w:szCs w:val="16"/>
        </w:rPr>
      </w:pPr>
      <w:r>
        <w:rPr>
          <w:rFonts w:ascii="宋体" w:eastAsia="宋体" w:hAnsi="宋体" w:cs="宋体"/>
          <w:spacing w:val="14"/>
          <w:w w:val="118"/>
          <w:sz w:val="16"/>
          <w:szCs w:val="16"/>
        </w:rPr>
        <w:t>3~</w:t>
      </w:r>
    </w:p>
    <w:p w:rsidR="00EA40A3" w:rsidRDefault="00E86C16">
      <w:pPr>
        <w:spacing w:before="132" w:line="183" w:lineRule="auto"/>
        <w:ind w:left="560"/>
        <w:rPr>
          <w:rFonts w:ascii="宋体" w:eastAsia="宋体" w:hAnsi="宋体" w:cs="宋体"/>
          <w:sz w:val="16"/>
          <w:szCs w:val="16"/>
        </w:rPr>
      </w:pPr>
      <w:r>
        <w:rPr>
          <w:rFonts w:ascii="宋体" w:eastAsia="宋体" w:hAnsi="宋体" w:cs="宋体"/>
          <w:spacing w:val="10"/>
          <w:w w:val="125"/>
          <w:sz w:val="16"/>
          <w:szCs w:val="16"/>
        </w:rPr>
        <w:t>4~</w:t>
      </w:r>
    </w:p>
    <w:p w:rsidR="00EA40A3" w:rsidRDefault="00E86C16">
      <w:pPr>
        <w:spacing w:before="132" w:line="182" w:lineRule="auto"/>
        <w:ind w:left="560"/>
        <w:rPr>
          <w:rFonts w:ascii="宋体" w:eastAsia="宋体" w:hAnsi="宋体" w:cs="宋体"/>
          <w:sz w:val="16"/>
          <w:szCs w:val="16"/>
        </w:rPr>
      </w:pPr>
      <w:r>
        <w:rPr>
          <w:rFonts w:ascii="宋体" w:eastAsia="宋体" w:hAnsi="宋体" w:cs="宋体"/>
          <w:spacing w:val="14"/>
          <w:w w:val="118"/>
          <w:sz w:val="16"/>
          <w:szCs w:val="16"/>
        </w:rPr>
        <w:t>5~</w:t>
      </w:r>
    </w:p>
    <w:p w:rsidR="00EA40A3" w:rsidRDefault="00E86C16">
      <w:pPr>
        <w:spacing w:before="111" w:line="183" w:lineRule="auto"/>
        <w:ind w:left="560"/>
        <w:rPr>
          <w:rFonts w:ascii="宋体" w:eastAsia="宋体" w:hAnsi="宋体" w:cs="宋体"/>
          <w:sz w:val="16"/>
          <w:szCs w:val="16"/>
        </w:rPr>
      </w:pPr>
      <w:r>
        <w:rPr>
          <w:rFonts w:ascii="宋体" w:eastAsia="宋体" w:hAnsi="宋体" w:cs="宋体"/>
          <w:spacing w:val="12"/>
          <w:w w:val="122"/>
          <w:sz w:val="16"/>
          <w:szCs w:val="16"/>
        </w:rPr>
        <w:t>6~</w:t>
      </w:r>
    </w:p>
    <w:p w:rsidR="00EA40A3" w:rsidRDefault="00E86C16">
      <w:pPr>
        <w:spacing w:before="143" w:line="182" w:lineRule="auto"/>
        <w:ind w:left="560"/>
        <w:rPr>
          <w:rFonts w:ascii="宋体" w:eastAsia="宋体" w:hAnsi="宋体" w:cs="宋体"/>
          <w:sz w:val="16"/>
          <w:szCs w:val="16"/>
        </w:rPr>
      </w:pPr>
      <w:r>
        <w:rPr>
          <w:rFonts w:ascii="宋体" w:eastAsia="宋体" w:hAnsi="宋体" w:cs="宋体"/>
          <w:spacing w:val="14"/>
          <w:w w:val="118"/>
          <w:sz w:val="16"/>
          <w:szCs w:val="16"/>
        </w:rPr>
        <w:t>7~</w:t>
      </w:r>
    </w:p>
    <w:p w:rsidR="00EA40A3" w:rsidRDefault="00E86C16">
      <w:pPr>
        <w:spacing w:before="141" w:line="183" w:lineRule="auto"/>
        <w:ind w:left="560"/>
        <w:rPr>
          <w:rFonts w:ascii="宋体" w:eastAsia="宋体" w:hAnsi="宋体" w:cs="宋体"/>
          <w:sz w:val="16"/>
          <w:szCs w:val="16"/>
        </w:rPr>
      </w:pPr>
      <w:r>
        <w:rPr>
          <w:rFonts w:ascii="宋体" w:eastAsia="宋体" w:hAnsi="宋体" w:cs="宋体"/>
          <w:spacing w:val="12"/>
          <w:w w:val="122"/>
          <w:sz w:val="16"/>
          <w:szCs w:val="16"/>
        </w:rPr>
        <w:t>8~</w:t>
      </w:r>
    </w:p>
    <w:p w:rsidR="00EA40A3" w:rsidRDefault="00E86C16">
      <w:pPr>
        <w:spacing w:before="141" w:line="183" w:lineRule="auto"/>
        <w:ind w:left="560"/>
        <w:rPr>
          <w:rFonts w:ascii="宋体" w:eastAsia="宋体" w:hAnsi="宋体" w:cs="宋体"/>
          <w:sz w:val="16"/>
          <w:szCs w:val="16"/>
        </w:rPr>
      </w:pPr>
      <w:r>
        <w:rPr>
          <w:rFonts w:ascii="宋体" w:eastAsia="宋体" w:hAnsi="宋体" w:cs="宋体"/>
          <w:spacing w:val="12"/>
          <w:w w:val="122"/>
          <w:sz w:val="16"/>
          <w:szCs w:val="16"/>
        </w:rPr>
        <w:t>9~</w:t>
      </w:r>
    </w:p>
    <w:p w:rsidR="00EA40A3" w:rsidRDefault="00E86C16">
      <w:pPr>
        <w:spacing w:before="131" w:line="184" w:lineRule="auto"/>
        <w:ind w:left="520"/>
        <w:rPr>
          <w:rFonts w:ascii="宋体" w:eastAsia="宋体" w:hAnsi="宋体" w:cs="宋体"/>
          <w:sz w:val="16"/>
          <w:szCs w:val="16"/>
        </w:rPr>
      </w:pPr>
      <w:r>
        <w:rPr>
          <w:rFonts w:ascii="宋体" w:eastAsia="宋体" w:hAnsi="宋体" w:cs="宋体"/>
          <w:spacing w:val="16"/>
          <w:sz w:val="16"/>
          <w:szCs w:val="16"/>
        </w:rPr>
        <w:t>10~</w:t>
      </w:r>
    </w:p>
    <w:p w:rsidR="00EA40A3" w:rsidRDefault="00E86C16">
      <w:pPr>
        <w:spacing w:before="140" w:line="184" w:lineRule="auto"/>
        <w:ind w:left="520"/>
        <w:rPr>
          <w:rFonts w:ascii="宋体" w:eastAsia="宋体" w:hAnsi="宋体" w:cs="宋体"/>
          <w:sz w:val="16"/>
          <w:szCs w:val="16"/>
        </w:rPr>
      </w:pPr>
      <w:r>
        <w:rPr>
          <w:rFonts w:ascii="宋体" w:eastAsia="宋体" w:hAnsi="宋体" w:cs="宋体"/>
          <w:spacing w:val="16"/>
          <w:sz w:val="16"/>
          <w:szCs w:val="16"/>
        </w:rPr>
        <w:t>11~</w:t>
      </w:r>
    </w:p>
    <w:p w:rsidR="00EA40A3" w:rsidRDefault="00E86C16">
      <w:pPr>
        <w:spacing w:before="131" w:line="184" w:lineRule="auto"/>
        <w:ind w:left="520"/>
        <w:rPr>
          <w:rFonts w:ascii="宋体" w:eastAsia="宋体" w:hAnsi="宋体" w:cs="宋体"/>
          <w:sz w:val="16"/>
          <w:szCs w:val="16"/>
        </w:rPr>
      </w:pPr>
      <w:r>
        <w:rPr>
          <w:rFonts w:ascii="宋体" w:eastAsia="宋体" w:hAnsi="宋体" w:cs="宋体"/>
          <w:spacing w:val="16"/>
          <w:sz w:val="16"/>
          <w:szCs w:val="16"/>
        </w:rPr>
        <w:t>14~</w:t>
      </w:r>
    </w:p>
    <w:p w:rsidR="00EA40A3" w:rsidRDefault="00E86C16">
      <w:pPr>
        <w:spacing w:before="130" w:line="184" w:lineRule="auto"/>
        <w:ind w:left="560"/>
        <w:rPr>
          <w:rFonts w:ascii="宋体" w:eastAsia="宋体" w:hAnsi="宋体" w:cs="宋体"/>
          <w:sz w:val="16"/>
          <w:szCs w:val="16"/>
        </w:rPr>
      </w:pPr>
      <w:r>
        <w:rPr>
          <w:rFonts w:ascii="宋体" w:eastAsia="宋体" w:hAnsi="宋体" w:cs="宋体"/>
          <w:spacing w:val="-7"/>
          <w:sz w:val="16"/>
          <w:szCs w:val="16"/>
        </w:rPr>
        <w:t>18-</w:t>
      </w:r>
    </w:p>
    <w:p w:rsidR="00EA40A3" w:rsidRDefault="00E86C16">
      <w:pPr>
        <w:spacing w:before="121" w:line="219" w:lineRule="auto"/>
        <w:ind w:left="159"/>
        <w:rPr>
          <w:rFonts w:ascii="宋体" w:eastAsia="宋体" w:hAnsi="宋体" w:cs="宋体"/>
          <w:sz w:val="16"/>
          <w:szCs w:val="16"/>
        </w:rPr>
      </w:pPr>
      <w:r>
        <w:rPr>
          <w:rFonts w:ascii="宋体" w:eastAsia="宋体" w:hAnsi="宋体" w:cs="宋体"/>
          <w:spacing w:val="-1"/>
          <w:sz w:val="16"/>
          <w:szCs w:val="16"/>
        </w:rPr>
        <w:t>体力活动PAL▲</w:t>
      </w:r>
    </w:p>
    <w:p w:rsidR="00EA40A3" w:rsidRDefault="00E86C16">
      <w:pPr>
        <w:spacing w:before="90" w:line="280" w:lineRule="exact"/>
        <w:ind w:left="600"/>
        <w:rPr>
          <w:rFonts w:ascii="宋体" w:eastAsia="宋体" w:hAnsi="宋体" w:cs="宋体"/>
          <w:sz w:val="16"/>
          <w:szCs w:val="16"/>
        </w:rPr>
      </w:pPr>
      <w:r>
        <w:rPr>
          <w:rFonts w:ascii="宋体" w:eastAsia="宋体" w:hAnsi="宋体" w:cs="宋体"/>
          <w:position w:val="9"/>
          <w:sz w:val="16"/>
          <w:szCs w:val="16"/>
        </w:rPr>
        <w:t>轻</w:t>
      </w:r>
    </w:p>
    <w:p w:rsidR="00EA40A3" w:rsidRDefault="00E86C16">
      <w:pPr>
        <w:spacing w:line="220" w:lineRule="auto"/>
        <w:ind w:left="600"/>
        <w:rPr>
          <w:rFonts w:ascii="宋体" w:eastAsia="宋体" w:hAnsi="宋体" w:cs="宋体"/>
          <w:sz w:val="16"/>
          <w:szCs w:val="16"/>
        </w:rPr>
      </w:pPr>
      <w:r>
        <w:rPr>
          <w:rFonts w:ascii="宋体" w:eastAsia="宋体" w:hAnsi="宋体" w:cs="宋体"/>
          <w:sz w:val="16"/>
          <w:szCs w:val="16"/>
        </w:rPr>
        <w:t>中</w:t>
      </w:r>
    </w:p>
    <w:p w:rsidR="00EA40A3" w:rsidRDefault="00E86C16">
      <w:pPr>
        <w:spacing w:before="106" w:line="228" w:lineRule="auto"/>
        <w:ind w:left="600"/>
        <w:rPr>
          <w:rFonts w:ascii="宋体" w:eastAsia="宋体" w:hAnsi="宋体" w:cs="宋体"/>
          <w:sz w:val="16"/>
          <w:szCs w:val="16"/>
        </w:rPr>
      </w:pPr>
      <w:r>
        <w:rPr>
          <w:rFonts w:ascii="宋体" w:eastAsia="宋体" w:hAnsi="宋体" w:cs="宋体"/>
          <w:sz w:val="16"/>
          <w:szCs w:val="16"/>
        </w:rPr>
        <w:t>重</w:t>
      </w:r>
    </w:p>
    <w:p w:rsidR="00EA40A3" w:rsidRDefault="00E86C16">
      <w:pPr>
        <w:spacing w:before="216" w:line="220" w:lineRule="auto"/>
        <w:ind w:left="520"/>
        <w:rPr>
          <w:rFonts w:ascii="宋体" w:eastAsia="宋体" w:hAnsi="宋体" w:cs="宋体"/>
          <w:sz w:val="16"/>
          <w:szCs w:val="16"/>
        </w:rPr>
      </w:pPr>
      <w:r>
        <w:rPr>
          <w:rFonts w:ascii="宋体" w:eastAsia="宋体" w:hAnsi="宋体" w:cs="宋体"/>
          <w:spacing w:val="6"/>
          <w:sz w:val="16"/>
          <w:szCs w:val="16"/>
        </w:rPr>
        <w:t>孕妇</w:t>
      </w:r>
    </w:p>
    <w:p w:rsidR="00EA40A3" w:rsidRDefault="00E86C16">
      <w:pPr>
        <w:spacing w:before="190" w:line="320" w:lineRule="exact"/>
        <w:ind w:left="520"/>
        <w:rPr>
          <w:rFonts w:ascii="宋体" w:eastAsia="宋体" w:hAnsi="宋体" w:cs="宋体"/>
          <w:sz w:val="16"/>
          <w:szCs w:val="16"/>
        </w:rPr>
      </w:pPr>
      <w:r>
        <w:rPr>
          <w:rFonts w:ascii="宋体" w:eastAsia="宋体" w:hAnsi="宋体" w:cs="宋体"/>
          <w:spacing w:val="-2"/>
          <w:position w:val="12"/>
          <w:sz w:val="16"/>
          <w:szCs w:val="16"/>
        </w:rPr>
        <w:t>乳母</w:t>
      </w:r>
    </w:p>
    <w:p w:rsidR="00EA40A3" w:rsidRDefault="00E86C16">
      <w:pPr>
        <w:spacing w:line="183" w:lineRule="auto"/>
        <w:ind w:left="520"/>
        <w:rPr>
          <w:rFonts w:ascii="宋体" w:eastAsia="宋体" w:hAnsi="宋体" w:cs="宋体"/>
          <w:sz w:val="16"/>
          <w:szCs w:val="16"/>
        </w:rPr>
      </w:pPr>
      <w:r>
        <w:rPr>
          <w:rFonts w:ascii="宋体" w:eastAsia="宋体" w:hAnsi="宋体" w:cs="宋体"/>
          <w:spacing w:val="19"/>
          <w:sz w:val="16"/>
          <w:szCs w:val="16"/>
        </w:rPr>
        <w:t>50~</w:t>
      </w:r>
    </w:p>
    <w:p w:rsidR="00EA40A3" w:rsidRDefault="00E86C16">
      <w:pPr>
        <w:spacing w:before="110" w:line="260" w:lineRule="exact"/>
        <w:ind w:left="140"/>
        <w:rPr>
          <w:rFonts w:ascii="宋体" w:eastAsia="宋体" w:hAnsi="宋体" w:cs="宋体"/>
          <w:sz w:val="16"/>
          <w:szCs w:val="16"/>
        </w:rPr>
      </w:pPr>
      <w:r>
        <w:rPr>
          <w:rFonts w:ascii="宋体" w:eastAsia="宋体" w:hAnsi="宋体" w:cs="宋体"/>
          <w:spacing w:val="-1"/>
          <w:position w:val="7"/>
          <w:sz w:val="16"/>
          <w:szCs w:val="16"/>
        </w:rPr>
        <w:t>体力活动PAL</w:t>
      </w:r>
    </w:p>
    <w:p w:rsidR="00EA40A3" w:rsidRDefault="00E86C16">
      <w:pPr>
        <w:spacing w:line="219" w:lineRule="auto"/>
        <w:ind w:left="600"/>
        <w:rPr>
          <w:rFonts w:ascii="宋体" w:eastAsia="宋体" w:hAnsi="宋体" w:cs="宋体"/>
          <w:sz w:val="16"/>
          <w:szCs w:val="16"/>
        </w:rPr>
      </w:pPr>
      <w:r>
        <w:rPr>
          <w:rFonts w:ascii="宋体" w:eastAsia="宋体" w:hAnsi="宋体" w:cs="宋体"/>
          <w:sz w:val="16"/>
          <w:szCs w:val="16"/>
        </w:rPr>
        <w:t>轻</w:t>
      </w:r>
    </w:p>
    <w:p w:rsidR="00EA40A3" w:rsidRDefault="00E86C16">
      <w:pPr>
        <w:spacing w:before="91" w:line="287" w:lineRule="exact"/>
        <w:ind w:left="600"/>
        <w:rPr>
          <w:rFonts w:ascii="宋体" w:eastAsia="宋体" w:hAnsi="宋体" w:cs="宋体"/>
          <w:sz w:val="16"/>
          <w:szCs w:val="16"/>
        </w:rPr>
      </w:pPr>
      <w:r>
        <w:rPr>
          <w:rFonts w:ascii="宋体" w:eastAsia="宋体" w:hAnsi="宋体" w:cs="宋体"/>
          <w:position w:val="9"/>
          <w:sz w:val="16"/>
          <w:szCs w:val="16"/>
        </w:rPr>
        <w:t>中</w:t>
      </w:r>
    </w:p>
    <w:p w:rsidR="00EA40A3" w:rsidRDefault="00E86C16">
      <w:pPr>
        <w:spacing w:before="1" w:line="227" w:lineRule="auto"/>
        <w:ind w:left="600"/>
        <w:rPr>
          <w:rFonts w:ascii="宋体" w:eastAsia="宋体" w:hAnsi="宋体" w:cs="宋体"/>
          <w:sz w:val="16"/>
          <w:szCs w:val="16"/>
        </w:rPr>
      </w:pPr>
      <w:r>
        <w:rPr>
          <w:rFonts w:ascii="宋体" w:eastAsia="宋体" w:hAnsi="宋体" w:cs="宋体"/>
          <w:sz w:val="16"/>
          <w:szCs w:val="16"/>
        </w:rPr>
        <w:t>重</w:t>
      </w:r>
    </w:p>
    <w:p w:rsidR="00EA40A3" w:rsidRDefault="00E86C16">
      <w:pPr>
        <w:spacing w:before="91" w:line="203" w:lineRule="auto"/>
        <w:ind w:left="560"/>
        <w:rPr>
          <w:rFonts w:ascii="宋体" w:eastAsia="宋体" w:hAnsi="宋体" w:cs="宋体"/>
          <w:sz w:val="16"/>
          <w:szCs w:val="16"/>
        </w:rPr>
      </w:pPr>
      <w:r>
        <w:rPr>
          <w:rFonts w:ascii="宋体" w:eastAsia="宋体" w:hAnsi="宋体" w:cs="宋体"/>
          <w:spacing w:val="-2"/>
          <w:sz w:val="16"/>
          <w:szCs w:val="16"/>
        </w:rPr>
        <w:t>60~</w:t>
      </w:r>
    </w:p>
    <w:p w:rsidR="00EA40A3" w:rsidRDefault="00E86C16">
      <w:pPr>
        <w:spacing w:line="14" w:lineRule="auto"/>
        <w:rPr>
          <w:sz w:val="2"/>
        </w:rPr>
      </w:pPr>
      <w:r>
        <w:rPr>
          <w:sz w:val="2"/>
          <w:szCs w:val="2"/>
        </w:rPr>
        <w:br w:type="column"/>
      </w:r>
    </w:p>
    <w:tbl>
      <w:tblPr>
        <w:tblStyle w:val="TableNormal"/>
        <w:tblW w:w="2641" w:type="dxa"/>
        <w:tblInd w:w="4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2"/>
        <w:gridCol w:w="1309"/>
      </w:tblGrid>
      <w:tr w:rsidR="00EA40A3">
        <w:trPr>
          <w:trHeight w:val="234"/>
        </w:trPr>
        <w:tc>
          <w:tcPr>
            <w:tcW w:w="1332" w:type="dxa"/>
          </w:tcPr>
          <w:p w:rsidR="00EA40A3" w:rsidRDefault="00E86C16">
            <w:pPr>
              <w:spacing w:line="224" w:lineRule="auto"/>
              <w:ind w:left="260"/>
              <w:rPr>
                <w:rFonts w:ascii="宋体" w:eastAsia="宋体" w:hAnsi="宋体" w:cs="宋体"/>
                <w:sz w:val="15"/>
                <w:szCs w:val="15"/>
              </w:rPr>
            </w:pPr>
            <w:r>
              <w:rPr>
                <w:rFonts w:ascii="宋体" w:eastAsia="宋体" w:hAnsi="宋体" w:cs="宋体"/>
                <w:spacing w:val="8"/>
                <w:position w:val="1"/>
                <w:sz w:val="15"/>
                <w:szCs w:val="15"/>
              </w:rPr>
              <w:t>0.4</w:t>
            </w:r>
            <w:r>
              <w:rPr>
                <w:rFonts w:ascii="宋体" w:eastAsia="宋体" w:hAnsi="宋体" w:cs="宋体"/>
                <w:position w:val="1"/>
                <w:sz w:val="15"/>
                <w:szCs w:val="15"/>
              </w:rPr>
              <w:t>MJ</w:t>
            </w:r>
            <w:r>
              <w:rPr>
                <w:rFonts w:ascii="宋体" w:eastAsia="宋体" w:hAnsi="宋体" w:cs="宋体"/>
                <w:spacing w:val="8"/>
                <w:position w:val="1"/>
                <w:sz w:val="15"/>
                <w:szCs w:val="15"/>
              </w:rPr>
              <w:t>/</w:t>
            </w:r>
            <w:r>
              <w:rPr>
                <w:rFonts w:ascii="宋体" w:eastAsia="宋体" w:hAnsi="宋体" w:cs="宋体"/>
                <w:position w:val="1"/>
                <w:sz w:val="15"/>
                <w:szCs w:val="15"/>
              </w:rPr>
              <w:t>kg</w:t>
            </w:r>
          </w:p>
        </w:tc>
        <w:tc>
          <w:tcPr>
            <w:tcW w:w="1309" w:type="dxa"/>
          </w:tcPr>
          <w:p w:rsidR="00EA40A3" w:rsidRDefault="00E86C16">
            <w:pPr>
              <w:spacing w:before="18" w:line="214" w:lineRule="auto"/>
              <w:ind w:left="437"/>
              <w:rPr>
                <w:rFonts w:ascii="宋体" w:eastAsia="宋体" w:hAnsi="宋体" w:cs="宋体"/>
                <w:sz w:val="16"/>
                <w:szCs w:val="16"/>
              </w:rPr>
            </w:pPr>
            <w:r>
              <w:rPr>
                <w:rFonts w:ascii="宋体" w:eastAsia="宋体" w:hAnsi="宋体" w:cs="宋体"/>
                <w:spacing w:val="-1"/>
                <w:sz w:val="16"/>
                <w:szCs w:val="16"/>
              </w:rPr>
              <w:t>95kcal/kg</w:t>
            </w:r>
          </w:p>
        </w:tc>
      </w:tr>
      <w:tr w:rsidR="00EA40A3">
        <w:trPr>
          <w:trHeight w:val="302"/>
        </w:trPr>
        <w:tc>
          <w:tcPr>
            <w:tcW w:w="1332" w:type="dxa"/>
          </w:tcPr>
          <w:p w:rsidR="00EA40A3" w:rsidRDefault="00E86C16">
            <w:pPr>
              <w:spacing w:before="64" w:line="214" w:lineRule="auto"/>
              <w:ind w:left="260"/>
              <w:rPr>
                <w:rFonts w:ascii="宋体" w:eastAsia="宋体" w:hAnsi="宋体" w:cs="宋体"/>
                <w:sz w:val="16"/>
                <w:szCs w:val="16"/>
              </w:rPr>
            </w:pPr>
            <w:r>
              <w:rPr>
                <w:rFonts w:ascii="宋体" w:eastAsia="宋体" w:hAnsi="宋体" w:cs="宋体"/>
                <w:spacing w:val="-1"/>
                <w:sz w:val="16"/>
                <w:szCs w:val="16"/>
              </w:rPr>
              <w:t>0.4MJ/kg</w:t>
            </w:r>
          </w:p>
        </w:tc>
        <w:tc>
          <w:tcPr>
            <w:tcW w:w="1309" w:type="dxa"/>
          </w:tcPr>
          <w:p w:rsidR="00EA40A3" w:rsidRDefault="00E86C16">
            <w:pPr>
              <w:spacing w:before="54" w:line="214" w:lineRule="auto"/>
              <w:ind w:left="437"/>
              <w:rPr>
                <w:rFonts w:ascii="宋体" w:eastAsia="宋体" w:hAnsi="宋体" w:cs="宋体"/>
                <w:sz w:val="16"/>
                <w:szCs w:val="16"/>
              </w:rPr>
            </w:pPr>
            <w:r>
              <w:rPr>
                <w:rFonts w:ascii="宋体" w:eastAsia="宋体" w:hAnsi="宋体" w:cs="宋体"/>
                <w:spacing w:val="-1"/>
                <w:sz w:val="16"/>
                <w:szCs w:val="16"/>
              </w:rPr>
              <w:t>95kcal/kg</w:t>
            </w:r>
          </w:p>
        </w:tc>
      </w:tr>
      <w:tr w:rsidR="00EA40A3">
        <w:trPr>
          <w:trHeight w:val="190"/>
        </w:trPr>
        <w:tc>
          <w:tcPr>
            <w:tcW w:w="1332" w:type="dxa"/>
          </w:tcPr>
          <w:p w:rsidR="00EA40A3" w:rsidRDefault="00E86C16">
            <w:pPr>
              <w:spacing w:before="78" w:line="111" w:lineRule="exact"/>
              <w:rPr>
                <w:rFonts w:ascii="宋体" w:eastAsia="宋体" w:hAnsi="宋体" w:cs="宋体"/>
                <w:sz w:val="15"/>
                <w:szCs w:val="15"/>
              </w:rPr>
            </w:pPr>
            <w:r>
              <w:rPr>
                <w:rFonts w:ascii="宋体" w:eastAsia="宋体" w:hAnsi="宋体" w:cs="宋体"/>
                <w:spacing w:val="3"/>
                <w:position w:val="-2"/>
                <w:sz w:val="15"/>
                <w:szCs w:val="15"/>
              </w:rPr>
              <w:t>4.60      4.40</w:t>
            </w:r>
          </w:p>
        </w:tc>
        <w:tc>
          <w:tcPr>
            <w:tcW w:w="1309" w:type="dxa"/>
          </w:tcPr>
          <w:p w:rsidR="00EA40A3" w:rsidRDefault="00E86C16">
            <w:pPr>
              <w:spacing w:before="78" w:line="111" w:lineRule="exact"/>
              <w:ind w:left="237"/>
              <w:rPr>
                <w:rFonts w:ascii="宋体" w:eastAsia="宋体" w:hAnsi="宋体" w:cs="宋体"/>
                <w:sz w:val="15"/>
                <w:szCs w:val="15"/>
              </w:rPr>
            </w:pPr>
            <w:r>
              <w:rPr>
                <w:rFonts w:ascii="宋体" w:eastAsia="宋体" w:hAnsi="宋体" w:cs="宋体"/>
                <w:position w:val="-2"/>
                <w:sz w:val="15"/>
                <w:szCs w:val="15"/>
              </w:rPr>
              <w:t>1100</w:t>
            </w:r>
            <w:r>
              <w:rPr>
                <w:rFonts w:ascii="宋体" w:eastAsia="宋体" w:hAnsi="宋体" w:cs="宋体"/>
                <w:spacing w:val="3"/>
                <w:position w:val="-2"/>
                <w:sz w:val="15"/>
                <w:szCs w:val="15"/>
              </w:rPr>
              <w:t xml:space="preserve">      </w:t>
            </w:r>
            <w:r>
              <w:rPr>
                <w:rFonts w:ascii="宋体" w:eastAsia="宋体" w:hAnsi="宋体" w:cs="宋体"/>
                <w:position w:val="-2"/>
                <w:sz w:val="15"/>
                <w:szCs w:val="15"/>
              </w:rPr>
              <w:t>1050</w:t>
            </w:r>
          </w:p>
        </w:tc>
      </w:tr>
    </w:tbl>
    <w:p w:rsidR="00EA40A3" w:rsidRDefault="00E86C16">
      <w:pPr>
        <w:spacing w:before="197" w:line="195" w:lineRule="auto"/>
        <w:ind w:left="40"/>
        <w:rPr>
          <w:rFonts w:ascii="宋体" w:eastAsia="宋体" w:hAnsi="宋体" w:cs="宋体"/>
          <w:sz w:val="16"/>
          <w:szCs w:val="16"/>
        </w:rPr>
      </w:pPr>
      <w:r>
        <w:rPr>
          <w:rFonts w:ascii="宋体" w:eastAsia="宋体" w:hAnsi="宋体" w:cs="宋体"/>
          <w:spacing w:val="-3"/>
          <w:sz w:val="16"/>
          <w:szCs w:val="16"/>
        </w:rPr>
        <w:t>5.02</w:t>
      </w:r>
      <w:r>
        <w:rPr>
          <w:rFonts w:ascii="宋体" w:eastAsia="宋体" w:hAnsi="宋体" w:cs="宋体"/>
          <w:spacing w:val="13"/>
          <w:sz w:val="16"/>
          <w:szCs w:val="16"/>
        </w:rPr>
        <w:t xml:space="preserve">     </w:t>
      </w:r>
      <w:r>
        <w:rPr>
          <w:rFonts w:ascii="宋体" w:eastAsia="宋体" w:hAnsi="宋体" w:cs="宋体"/>
          <w:spacing w:val="-3"/>
          <w:sz w:val="16"/>
          <w:szCs w:val="16"/>
        </w:rPr>
        <w:t>4.81</w:t>
      </w:r>
      <w:r>
        <w:rPr>
          <w:rFonts w:ascii="宋体" w:eastAsia="宋体" w:hAnsi="宋体" w:cs="宋体"/>
          <w:spacing w:val="16"/>
          <w:sz w:val="16"/>
          <w:szCs w:val="16"/>
        </w:rPr>
        <w:t xml:space="preserve">     </w:t>
      </w:r>
      <w:r>
        <w:rPr>
          <w:rFonts w:ascii="宋体" w:eastAsia="宋体" w:hAnsi="宋体" w:cs="宋体"/>
          <w:spacing w:val="-3"/>
          <w:sz w:val="16"/>
          <w:szCs w:val="16"/>
        </w:rPr>
        <w:t>1200</w:t>
      </w:r>
      <w:r>
        <w:rPr>
          <w:rFonts w:ascii="宋体" w:eastAsia="宋体" w:hAnsi="宋体" w:cs="宋体"/>
          <w:spacing w:val="13"/>
          <w:sz w:val="16"/>
          <w:szCs w:val="16"/>
        </w:rPr>
        <w:t xml:space="preserve">     </w:t>
      </w:r>
      <w:r>
        <w:rPr>
          <w:rFonts w:ascii="宋体" w:eastAsia="宋体" w:hAnsi="宋体" w:cs="宋体"/>
          <w:spacing w:val="-3"/>
          <w:sz w:val="16"/>
          <w:szCs w:val="16"/>
        </w:rPr>
        <w:t>1150</w:t>
      </w:r>
    </w:p>
    <w:p w:rsidR="00EA40A3" w:rsidRDefault="00E86C16">
      <w:pPr>
        <w:spacing w:before="112" w:line="183" w:lineRule="auto"/>
        <w:ind w:left="40"/>
        <w:rPr>
          <w:rFonts w:ascii="宋体" w:eastAsia="宋体" w:hAnsi="宋体" w:cs="宋体"/>
          <w:sz w:val="16"/>
          <w:szCs w:val="16"/>
        </w:rPr>
      </w:pPr>
      <w:r>
        <w:rPr>
          <w:rFonts w:ascii="宋体" w:eastAsia="宋体" w:hAnsi="宋体" w:cs="宋体"/>
          <w:spacing w:val="-4"/>
          <w:position w:val="2"/>
          <w:sz w:val="16"/>
          <w:szCs w:val="16"/>
        </w:rPr>
        <w:t>5.64</w:t>
      </w:r>
      <w:r>
        <w:rPr>
          <w:rFonts w:ascii="宋体" w:eastAsia="宋体" w:hAnsi="宋体" w:cs="宋体"/>
          <w:spacing w:val="16"/>
          <w:position w:val="2"/>
          <w:sz w:val="16"/>
          <w:szCs w:val="16"/>
        </w:rPr>
        <w:t xml:space="preserve">     </w:t>
      </w:r>
      <w:r>
        <w:rPr>
          <w:rFonts w:ascii="宋体" w:eastAsia="宋体" w:hAnsi="宋体" w:cs="宋体"/>
          <w:spacing w:val="-4"/>
          <w:sz w:val="16"/>
          <w:szCs w:val="16"/>
        </w:rPr>
        <w:t>5.43</w:t>
      </w:r>
      <w:r>
        <w:rPr>
          <w:rFonts w:ascii="宋体" w:eastAsia="宋体" w:hAnsi="宋体" w:cs="宋体"/>
          <w:spacing w:val="16"/>
          <w:sz w:val="16"/>
          <w:szCs w:val="16"/>
        </w:rPr>
        <w:t xml:space="preserve">     </w:t>
      </w:r>
      <w:r>
        <w:rPr>
          <w:rFonts w:ascii="宋体" w:eastAsia="宋体" w:hAnsi="宋体" w:cs="宋体"/>
          <w:spacing w:val="-4"/>
          <w:sz w:val="16"/>
          <w:szCs w:val="16"/>
        </w:rPr>
        <w:t>1350</w:t>
      </w:r>
      <w:r>
        <w:rPr>
          <w:rFonts w:ascii="宋体" w:eastAsia="宋体" w:hAnsi="宋体" w:cs="宋体"/>
          <w:spacing w:val="13"/>
          <w:sz w:val="16"/>
          <w:szCs w:val="16"/>
        </w:rPr>
        <w:t xml:space="preserve">     </w:t>
      </w:r>
      <w:r>
        <w:rPr>
          <w:rFonts w:ascii="宋体" w:eastAsia="宋体" w:hAnsi="宋体" w:cs="宋体"/>
          <w:spacing w:val="-4"/>
          <w:position w:val="-2"/>
          <w:sz w:val="16"/>
          <w:szCs w:val="16"/>
        </w:rPr>
        <w:t>1300</w:t>
      </w:r>
    </w:p>
    <w:p w:rsidR="00EA40A3" w:rsidRDefault="00E86C16">
      <w:pPr>
        <w:spacing w:before="121" w:line="194" w:lineRule="auto"/>
        <w:ind w:left="40"/>
        <w:rPr>
          <w:rFonts w:ascii="宋体" w:eastAsia="宋体" w:hAnsi="宋体" w:cs="宋体"/>
          <w:sz w:val="16"/>
          <w:szCs w:val="16"/>
        </w:rPr>
      </w:pPr>
      <w:r>
        <w:rPr>
          <w:rFonts w:ascii="宋体" w:eastAsia="宋体" w:hAnsi="宋体" w:cs="宋体"/>
          <w:spacing w:val="-4"/>
          <w:sz w:val="16"/>
          <w:szCs w:val="16"/>
        </w:rPr>
        <w:t>6.06</w:t>
      </w:r>
      <w:r>
        <w:rPr>
          <w:rFonts w:ascii="宋体" w:eastAsia="宋体" w:hAnsi="宋体" w:cs="宋体"/>
          <w:spacing w:val="16"/>
          <w:sz w:val="16"/>
          <w:szCs w:val="16"/>
        </w:rPr>
        <w:t xml:space="preserve">     </w:t>
      </w:r>
      <w:r>
        <w:rPr>
          <w:rFonts w:ascii="宋体" w:eastAsia="宋体" w:hAnsi="宋体" w:cs="宋体"/>
          <w:spacing w:val="-4"/>
          <w:sz w:val="16"/>
          <w:szCs w:val="16"/>
        </w:rPr>
        <w:t>5.83</w:t>
      </w:r>
      <w:r>
        <w:rPr>
          <w:rFonts w:ascii="宋体" w:eastAsia="宋体" w:hAnsi="宋体" w:cs="宋体"/>
          <w:spacing w:val="16"/>
          <w:sz w:val="16"/>
          <w:szCs w:val="16"/>
        </w:rPr>
        <w:t xml:space="preserve">     </w:t>
      </w:r>
      <w:r>
        <w:rPr>
          <w:rFonts w:ascii="宋体" w:eastAsia="宋体" w:hAnsi="宋体" w:cs="宋体"/>
          <w:spacing w:val="-4"/>
          <w:sz w:val="16"/>
          <w:szCs w:val="16"/>
        </w:rPr>
        <w:t>1450</w:t>
      </w:r>
      <w:r>
        <w:rPr>
          <w:rFonts w:ascii="宋体" w:eastAsia="宋体" w:hAnsi="宋体" w:cs="宋体"/>
          <w:spacing w:val="13"/>
          <w:sz w:val="16"/>
          <w:szCs w:val="16"/>
        </w:rPr>
        <w:t xml:space="preserve">     </w:t>
      </w:r>
      <w:r>
        <w:rPr>
          <w:rFonts w:ascii="宋体" w:eastAsia="宋体" w:hAnsi="宋体" w:cs="宋体"/>
          <w:spacing w:val="-4"/>
          <w:sz w:val="16"/>
          <w:szCs w:val="16"/>
        </w:rPr>
        <w:t>1400</w:t>
      </w:r>
    </w:p>
    <w:p w:rsidR="00EA40A3" w:rsidRDefault="00E86C16">
      <w:pPr>
        <w:spacing w:before="92" w:line="194" w:lineRule="auto"/>
        <w:ind w:left="40"/>
        <w:rPr>
          <w:rFonts w:ascii="宋体" w:eastAsia="宋体" w:hAnsi="宋体" w:cs="宋体"/>
          <w:sz w:val="16"/>
          <w:szCs w:val="16"/>
        </w:rPr>
      </w:pPr>
      <w:r>
        <w:rPr>
          <w:rFonts w:ascii="宋体" w:eastAsia="宋体" w:hAnsi="宋体" w:cs="宋体"/>
          <w:spacing w:val="-3"/>
          <w:position w:val="1"/>
          <w:sz w:val="16"/>
          <w:szCs w:val="16"/>
        </w:rPr>
        <w:t>6.70</w:t>
      </w:r>
      <w:r>
        <w:rPr>
          <w:rFonts w:ascii="宋体" w:eastAsia="宋体" w:hAnsi="宋体" w:cs="宋体"/>
          <w:spacing w:val="13"/>
          <w:position w:val="1"/>
          <w:sz w:val="16"/>
          <w:szCs w:val="16"/>
        </w:rPr>
        <w:t xml:space="preserve">     </w:t>
      </w:r>
      <w:r>
        <w:rPr>
          <w:rFonts w:ascii="宋体" w:eastAsia="宋体" w:hAnsi="宋体" w:cs="宋体"/>
          <w:spacing w:val="-3"/>
          <w:sz w:val="16"/>
          <w:szCs w:val="16"/>
        </w:rPr>
        <w:t>6.27</w:t>
      </w:r>
      <w:r>
        <w:rPr>
          <w:rFonts w:ascii="宋体" w:eastAsia="宋体" w:hAnsi="宋体" w:cs="宋体"/>
          <w:spacing w:val="16"/>
          <w:sz w:val="16"/>
          <w:szCs w:val="16"/>
        </w:rPr>
        <w:t xml:space="preserve">     </w:t>
      </w:r>
      <w:r>
        <w:rPr>
          <w:rFonts w:ascii="宋体" w:eastAsia="宋体" w:hAnsi="宋体" w:cs="宋体"/>
          <w:spacing w:val="-3"/>
          <w:sz w:val="16"/>
          <w:szCs w:val="16"/>
        </w:rPr>
        <w:t>1600</w:t>
      </w:r>
      <w:r>
        <w:rPr>
          <w:rFonts w:ascii="宋体" w:eastAsia="宋体" w:hAnsi="宋体" w:cs="宋体"/>
          <w:spacing w:val="13"/>
          <w:sz w:val="16"/>
          <w:szCs w:val="16"/>
        </w:rPr>
        <w:t xml:space="preserve">     </w:t>
      </w:r>
      <w:r>
        <w:rPr>
          <w:rFonts w:ascii="宋体" w:eastAsia="宋体" w:hAnsi="宋体" w:cs="宋体"/>
          <w:spacing w:val="-3"/>
          <w:sz w:val="16"/>
          <w:szCs w:val="16"/>
        </w:rPr>
        <w:t>1500</w:t>
      </w:r>
    </w:p>
    <w:p w:rsidR="00EA40A3" w:rsidRDefault="00E86C16">
      <w:pPr>
        <w:spacing w:before="111" w:line="184" w:lineRule="auto"/>
        <w:ind w:left="40"/>
        <w:rPr>
          <w:rFonts w:ascii="宋体" w:eastAsia="宋体" w:hAnsi="宋体" w:cs="宋体"/>
          <w:sz w:val="16"/>
          <w:szCs w:val="16"/>
        </w:rPr>
      </w:pPr>
      <w:r>
        <w:rPr>
          <w:rFonts w:ascii="宋体" w:eastAsia="宋体" w:hAnsi="宋体" w:cs="宋体"/>
          <w:spacing w:val="-4"/>
          <w:sz w:val="16"/>
          <w:szCs w:val="16"/>
        </w:rPr>
        <w:t>7.10</w:t>
      </w:r>
      <w:r>
        <w:rPr>
          <w:rFonts w:ascii="宋体" w:eastAsia="宋体" w:hAnsi="宋体" w:cs="宋体"/>
          <w:spacing w:val="16"/>
          <w:sz w:val="16"/>
          <w:szCs w:val="16"/>
        </w:rPr>
        <w:t xml:space="preserve">     </w:t>
      </w:r>
      <w:r>
        <w:rPr>
          <w:rFonts w:ascii="宋体" w:eastAsia="宋体" w:hAnsi="宋体" w:cs="宋体"/>
          <w:spacing w:val="-4"/>
          <w:sz w:val="16"/>
          <w:szCs w:val="16"/>
        </w:rPr>
        <w:t>6.67</w:t>
      </w:r>
      <w:r>
        <w:rPr>
          <w:rFonts w:ascii="宋体" w:eastAsia="宋体" w:hAnsi="宋体" w:cs="宋体"/>
          <w:spacing w:val="16"/>
          <w:sz w:val="16"/>
          <w:szCs w:val="16"/>
        </w:rPr>
        <w:t xml:space="preserve">     </w:t>
      </w:r>
      <w:r>
        <w:rPr>
          <w:rFonts w:ascii="宋体" w:eastAsia="宋体" w:hAnsi="宋体" w:cs="宋体"/>
          <w:spacing w:val="-4"/>
          <w:sz w:val="16"/>
          <w:szCs w:val="16"/>
        </w:rPr>
        <w:t>1700</w:t>
      </w:r>
      <w:r>
        <w:rPr>
          <w:rFonts w:ascii="宋体" w:eastAsia="宋体" w:hAnsi="宋体" w:cs="宋体"/>
          <w:spacing w:val="13"/>
          <w:sz w:val="16"/>
          <w:szCs w:val="16"/>
        </w:rPr>
        <w:t xml:space="preserve">     </w:t>
      </w:r>
      <w:r>
        <w:rPr>
          <w:rFonts w:ascii="宋体" w:eastAsia="宋体" w:hAnsi="宋体" w:cs="宋体"/>
          <w:spacing w:val="-4"/>
          <w:sz w:val="16"/>
          <w:szCs w:val="16"/>
        </w:rPr>
        <w:t>1600</w:t>
      </w:r>
    </w:p>
    <w:p w:rsidR="00EA40A3" w:rsidRDefault="00E86C16">
      <w:pPr>
        <w:spacing w:before="140" w:line="184" w:lineRule="auto"/>
        <w:ind w:left="40"/>
        <w:rPr>
          <w:rFonts w:ascii="宋体" w:eastAsia="宋体" w:hAnsi="宋体" w:cs="宋体"/>
          <w:sz w:val="16"/>
          <w:szCs w:val="16"/>
        </w:rPr>
      </w:pPr>
      <w:r>
        <w:rPr>
          <w:rFonts w:ascii="宋体" w:eastAsia="宋体" w:hAnsi="宋体" w:cs="宋体"/>
          <w:spacing w:val="-4"/>
          <w:sz w:val="16"/>
          <w:szCs w:val="16"/>
        </w:rPr>
        <w:t>7.53</w:t>
      </w:r>
      <w:r>
        <w:rPr>
          <w:rFonts w:ascii="宋体" w:eastAsia="宋体" w:hAnsi="宋体" w:cs="宋体"/>
          <w:spacing w:val="16"/>
          <w:sz w:val="16"/>
          <w:szCs w:val="16"/>
        </w:rPr>
        <w:t xml:space="preserve">     </w:t>
      </w:r>
      <w:r>
        <w:rPr>
          <w:rFonts w:ascii="宋体" w:eastAsia="宋体" w:hAnsi="宋体" w:cs="宋体"/>
          <w:spacing w:val="-4"/>
          <w:sz w:val="16"/>
          <w:szCs w:val="16"/>
        </w:rPr>
        <w:t>7.10</w:t>
      </w:r>
      <w:r>
        <w:rPr>
          <w:rFonts w:ascii="宋体" w:eastAsia="宋体" w:hAnsi="宋体" w:cs="宋体"/>
          <w:sz w:val="16"/>
          <w:szCs w:val="16"/>
        </w:rPr>
        <w:t xml:space="preserve">      </w:t>
      </w:r>
      <w:r>
        <w:rPr>
          <w:rFonts w:ascii="宋体" w:eastAsia="宋体" w:hAnsi="宋体" w:cs="宋体"/>
          <w:spacing w:val="-4"/>
          <w:sz w:val="16"/>
          <w:szCs w:val="16"/>
        </w:rPr>
        <w:t>1800</w:t>
      </w:r>
      <w:r>
        <w:rPr>
          <w:rFonts w:ascii="宋体" w:eastAsia="宋体" w:hAnsi="宋体" w:cs="宋体"/>
          <w:spacing w:val="13"/>
          <w:sz w:val="16"/>
          <w:szCs w:val="16"/>
        </w:rPr>
        <w:t xml:space="preserve">     </w:t>
      </w:r>
      <w:r>
        <w:rPr>
          <w:rFonts w:ascii="宋体" w:eastAsia="宋体" w:hAnsi="宋体" w:cs="宋体"/>
          <w:spacing w:val="-4"/>
          <w:sz w:val="16"/>
          <w:szCs w:val="16"/>
        </w:rPr>
        <w:t>1700</w:t>
      </w:r>
    </w:p>
    <w:p w:rsidR="00EA40A3" w:rsidRDefault="00E86C16">
      <w:pPr>
        <w:spacing w:before="141" w:line="184" w:lineRule="auto"/>
        <w:ind w:left="40"/>
        <w:rPr>
          <w:rFonts w:ascii="宋体" w:eastAsia="宋体" w:hAnsi="宋体" w:cs="宋体"/>
          <w:sz w:val="16"/>
          <w:szCs w:val="16"/>
        </w:rPr>
      </w:pPr>
      <w:r>
        <w:rPr>
          <w:rFonts w:ascii="宋体" w:eastAsia="宋体" w:hAnsi="宋体" w:cs="宋体"/>
          <w:spacing w:val="-4"/>
          <w:sz w:val="16"/>
          <w:szCs w:val="16"/>
        </w:rPr>
        <w:t>7.94</w:t>
      </w:r>
      <w:r>
        <w:rPr>
          <w:rFonts w:ascii="宋体" w:eastAsia="宋体" w:hAnsi="宋体" w:cs="宋体"/>
          <w:spacing w:val="16"/>
          <w:sz w:val="16"/>
          <w:szCs w:val="16"/>
        </w:rPr>
        <w:t xml:space="preserve">     </w:t>
      </w:r>
      <w:r>
        <w:rPr>
          <w:rFonts w:ascii="宋体" w:eastAsia="宋体" w:hAnsi="宋体" w:cs="宋体"/>
          <w:spacing w:val="-4"/>
          <w:sz w:val="16"/>
          <w:szCs w:val="16"/>
        </w:rPr>
        <w:t>7.53</w:t>
      </w:r>
      <w:r>
        <w:rPr>
          <w:rFonts w:ascii="宋体" w:eastAsia="宋体" w:hAnsi="宋体" w:cs="宋体"/>
          <w:sz w:val="16"/>
          <w:szCs w:val="16"/>
        </w:rPr>
        <w:t xml:space="preserve">      </w:t>
      </w:r>
      <w:r>
        <w:rPr>
          <w:rFonts w:ascii="宋体" w:eastAsia="宋体" w:hAnsi="宋体" w:cs="宋体"/>
          <w:spacing w:val="-4"/>
          <w:sz w:val="16"/>
          <w:szCs w:val="16"/>
        </w:rPr>
        <w:t>1900</w:t>
      </w:r>
      <w:r>
        <w:rPr>
          <w:rFonts w:ascii="宋体" w:eastAsia="宋体" w:hAnsi="宋体" w:cs="宋体"/>
          <w:spacing w:val="13"/>
          <w:sz w:val="16"/>
          <w:szCs w:val="16"/>
        </w:rPr>
        <w:t xml:space="preserve">     </w:t>
      </w:r>
      <w:r>
        <w:rPr>
          <w:rFonts w:ascii="宋体" w:eastAsia="宋体" w:hAnsi="宋体" w:cs="宋体"/>
          <w:spacing w:val="-4"/>
          <w:sz w:val="16"/>
          <w:szCs w:val="16"/>
        </w:rPr>
        <w:t>1800</w:t>
      </w:r>
    </w:p>
    <w:p w:rsidR="00EA40A3" w:rsidRDefault="00E86C16">
      <w:pPr>
        <w:spacing w:before="140" w:line="184" w:lineRule="auto"/>
        <w:ind w:left="40"/>
        <w:rPr>
          <w:rFonts w:ascii="宋体" w:eastAsia="宋体" w:hAnsi="宋体" w:cs="宋体"/>
          <w:sz w:val="16"/>
          <w:szCs w:val="16"/>
        </w:rPr>
      </w:pPr>
      <w:r>
        <w:rPr>
          <w:rFonts w:ascii="宋体" w:eastAsia="宋体" w:hAnsi="宋体" w:cs="宋体"/>
          <w:spacing w:val="-3"/>
          <w:sz w:val="16"/>
          <w:szCs w:val="16"/>
        </w:rPr>
        <w:t>8.36</w:t>
      </w:r>
      <w:r>
        <w:rPr>
          <w:rFonts w:ascii="宋体" w:eastAsia="宋体" w:hAnsi="宋体" w:cs="宋体"/>
          <w:spacing w:val="15"/>
          <w:sz w:val="16"/>
          <w:szCs w:val="16"/>
        </w:rPr>
        <w:t xml:space="preserve">     </w:t>
      </w:r>
      <w:r>
        <w:rPr>
          <w:rFonts w:ascii="宋体" w:eastAsia="宋体" w:hAnsi="宋体" w:cs="宋体"/>
          <w:spacing w:val="-3"/>
          <w:sz w:val="16"/>
          <w:szCs w:val="16"/>
        </w:rPr>
        <w:t>7.94</w:t>
      </w:r>
      <w:r>
        <w:rPr>
          <w:rFonts w:ascii="宋体" w:eastAsia="宋体" w:hAnsi="宋体" w:cs="宋体"/>
          <w:sz w:val="16"/>
          <w:szCs w:val="16"/>
        </w:rPr>
        <w:t xml:space="preserve">      </w:t>
      </w:r>
      <w:r>
        <w:rPr>
          <w:rFonts w:ascii="宋体" w:eastAsia="宋体" w:hAnsi="宋体" w:cs="宋体"/>
          <w:spacing w:val="-3"/>
          <w:sz w:val="16"/>
          <w:szCs w:val="16"/>
        </w:rPr>
        <w:t>2000</w:t>
      </w:r>
      <w:r>
        <w:rPr>
          <w:rFonts w:ascii="宋体" w:eastAsia="宋体" w:hAnsi="宋体" w:cs="宋体"/>
          <w:spacing w:val="11"/>
          <w:sz w:val="16"/>
          <w:szCs w:val="16"/>
        </w:rPr>
        <w:t xml:space="preserve">     </w:t>
      </w:r>
      <w:r>
        <w:rPr>
          <w:rFonts w:ascii="宋体" w:eastAsia="宋体" w:hAnsi="宋体" w:cs="宋体"/>
          <w:spacing w:val="-3"/>
          <w:sz w:val="16"/>
          <w:szCs w:val="16"/>
        </w:rPr>
        <w:t>1900</w:t>
      </w:r>
    </w:p>
    <w:p w:rsidR="00EA40A3" w:rsidRDefault="00E86C16">
      <w:pPr>
        <w:spacing w:before="131" w:line="184" w:lineRule="auto"/>
        <w:ind w:left="40"/>
        <w:rPr>
          <w:rFonts w:ascii="宋体" w:eastAsia="宋体" w:hAnsi="宋体" w:cs="宋体"/>
          <w:sz w:val="16"/>
          <w:szCs w:val="16"/>
        </w:rPr>
      </w:pPr>
      <w:r>
        <w:rPr>
          <w:rFonts w:ascii="宋体" w:eastAsia="宋体" w:hAnsi="宋体" w:cs="宋体"/>
          <w:spacing w:val="-2"/>
          <w:sz w:val="16"/>
          <w:szCs w:val="16"/>
        </w:rPr>
        <w:t>8.80</w:t>
      </w:r>
      <w:r>
        <w:rPr>
          <w:rFonts w:ascii="宋体" w:eastAsia="宋体" w:hAnsi="宋体" w:cs="宋体"/>
          <w:spacing w:val="13"/>
          <w:sz w:val="16"/>
          <w:szCs w:val="16"/>
        </w:rPr>
        <w:t xml:space="preserve">     </w:t>
      </w:r>
      <w:r>
        <w:rPr>
          <w:rFonts w:ascii="宋体" w:eastAsia="宋体" w:hAnsi="宋体" w:cs="宋体"/>
          <w:spacing w:val="-2"/>
          <w:sz w:val="16"/>
          <w:szCs w:val="16"/>
        </w:rPr>
        <w:t>8.36</w:t>
      </w:r>
      <w:r>
        <w:rPr>
          <w:rFonts w:ascii="宋体" w:eastAsia="宋体" w:hAnsi="宋体" w:cs="宋体"/>
          <w:spacing w:val="16"/>
          <w:sz w:val="16"/>
          <w:szCs w:val="16"/>
        </w:rPr>
        <w:t xml:space="preserve">     </w:t>
      </w:r>
      <w:r>
        <w:rPr>
          <w:rFonts w:ascii="宋体" w:eastAsia="宋体" w:hAnsi="宋体" w:cs="宋体"/>
          <w:spacing w:val="-2"/>
          <w:sz w:val="16"/>
          <w:szCs w:val="16"/>
        </w:rPr>
        <w:t>2100</w:t>
      </w:r>
      <w:r>
        <w:rPr>
          <w:rFonts w:ascii="宋体" w:eastAsia="宋体" w:hAnsi="宋体" w:cs="宋体"/>
          <w:spacing w:val="11"/>
          <w:sz w:val="16"/>
          <w:szCs w:val="16"/>
        </w:rPr>
        <w:t xml:space="preserve">     </w:t>
      </w:r>
      <w:r>
        <w:rPr>
          <w:rFonts w:ascii="宋体" w:eastAsia="宋体" w:hAnsi="宋体" w:cs="宋体"/>
          <w:spacing w:val="-2"/>
          <w:sz w:val="16"/>
          <w:szCs w:val="16"/>
        </w:rPr>
        <w:t>2000</w:t>
      </w:r>
    </w:p>
    <w:p w:rsidR="00EA40A3" w:rsidRDefault="00E86C16">
      <w:pPr>
        <w:spacing w:before="141" w:line="184" w:lineRule="auto"/>
        <w:rPr>
          <w:rFonts w:ascii="宋体" w:eastAsia="宋体" w:hAnsi="宋体" w:cs="宋体"/>
          <w:sz w:val="16"/>
          <w:szCs w:val="16"/>
        </w:rPr>
      </w:pPr>
      <w:r>
        <w:rPr>
          <w:rFonts w:ascii="宋体" w:eastAsia="宋体" w:hAnsi="宋体" w:cs="宋体"/>
          <w:spacing w:val="-3"/>
          <w:sz w:val="16"/>
          <w:szCs w:val="16"/>
        </w:rPr>
        <w:t>10.04</w:t>
      </w:r>
      <w:r>
        <w:rPr>
          <w:rFonts w:ascii="宋体" w:eastAsia="宋体" w:hAnsi="宋体" w:cs="宋体"/>
          <w:spacing w:val="9"/>
          <w:sz w:val="16"/>
          <w:szCs w:val="16"/>
        </w:rPr>
        <w:t xml:space="preserve">     </w:t>
      </w:r>
      <w:r>
        <w:rPr>
          <w:rFonts w:ascii="宋体" w:eastAsia="宋体" w:hAnsi="宋体" w:cs="宋体"/>
          <w:spacing w:val="-3"/>
          <w:sz w:val="16"/>
          <w:szCs w:val="16"/>
        </w:rPr>
        <w:t>9.20</w:t>
      </w:r>
      <w:r>
        <w:rPr>
          <w:rFonts w:ascii="宋体" w:eastAsia="宋体" w:hAnsi="宋体" w:cs="宋体"/>
          <w:spacing w:val="16"/>
          <w:sz w:val="16"/>
          <w:szCs w:val="16"/>
        </w:rPr>
        <w:t xml:space="preserve">     </w:t>
      </w:r>
      <w:r>
        <w:rPr>
          <w:rFonts w:ascii="宋体" w:eastAsia="宋体" w:hAnsi="宋体" w:cs="宋体"/>
          <w:spacing w:val="-3"/>
          <w:sz w:val="16"/>
          <w:szCs w:val="16"/>
        </w:rPr>
        <w:t>2400</w:t>
      </w:r>
      <w:r>
        <w:rPr>
          <w:rFonts w:ascii="宋体" w:eastAsia="宋体" w:hAnsi="宋体" w:cs="宋体"/>
          <w:spacing w:val="11"/>
          <w:sz w:val="16"/>
          <w:szCs w:val="16"/>
        </w:rPr>
        <w:t xml:space="preserve">     </w:t>
      </w:r>
      <w:r>
        <w:rPr>
          <w:rFonts w:ascii="宋体" w:eastAsia="宋体" w:hAnsi="宋体" w:cs="宋体"/>
          <w:spacing w:val="-3"/>
          <w:sz w:val="16"/>
          <w:szCs w:val="16"/>
        </w:rPr>
        <w:t>2200</w:t>
      </w:r>
    </w:p>
    <w:p w:rsidR="00EA40A3" w:rsidRDefault="00E86C16">
      <w:pPr>
        <w:spacing w:before="130" w:line="184" w:lineRule="auto"/>
        <w:rPr>
          <w:rFonts w:ascii="宋体" w:eastAsia="宋体" w:hAnsi="宋体" w:cs="宋体"/>
          <w:sz w:val="16"/>
          <w:szCs w:val="16"/>
        </w:rPr>
      </w:pPr>
      <w:r>
        <w:rPr>
          <w:rFonts w:ascii="宋体" w:eastAsia="宋体" w:hAnsi="宋体" w:cs="宋体"/>
          <w:spacing w:val="-3"/>
          <w:sz w:val="16"/>
          <w:szCs w:val="16"/>
        </w:rPr>
        <w:t>12.00</w:t>
      </w:r>
      <w:r>
        <w:rPr>
          <w:rFonts w:ascii="宋体" w:eastAsia="宋体" w:hAnsi="宋体" w:cs="宋体"/>
          <w:spacing w:val="9"/>
          <w:sz w:val="16"/>
          <w:szCs w:val="16"/>
        </w:rPr>
        <w:t xml:space="preserve">     </w:t>
      </w:r>
      <w:r>
        <w:rPr>
          <w:rFonts w:ascii="宋体" w:eastAsia="宋体" w:hAnsi="宋体" w:cs="宋体"/>
          <w:spacing w:val="-3"/>
          <w:sz w:val="16"/>
          <w:szCs w:val="16"/>
        </w:rPr>
        <w:t>9.62</w:t>
      </w:r>
      <w:r>
        <w:rPr>
          <w:rFonts w:ascii="宋体" w:eastAsia="宋体" w:hAnsi="宋体" w:cs="宋体"/>
          <w:spacing w:val="16"/>
          <w:sz w:val="16"/>
          <w:szCs w:val="16"/>
        </w:rPr>
        <w:t xml:space="preserve">     </w:t>
      </w:r>
      <w:r>
        <w:rPr>
          <w:rFonts w:ascii="宋体" w:eastAsia="宋体" w:hAnsi="宋体" w:cs="宋体"/>
          <w:spacing w:val="-3"/>
          <w:sz w:val="16"/>
          <w:szCs w:val="16"/>
        </w:rPr>
        <w:t>2900</w:t>
      </w:r>
      <w:r>
        <w:rPr>
          <w:rFonts w:ascii="宋体" w:eastAsia="宋体" w:hAnsi="宋体" w:cs="宋体"/>
          <w:spacing w:val="11"/>
          <w:sz w:val="16"/>
          <w:szCs w:val="16"/>
        </w:rPr>
        <w:t xml:space="preserve">     </w:t>
      </w:r>
      <w:r>
        <w:rPr>
          <w:rFonts w:ascii="宋体" w:eastAsia="宋体" w:hAnsi="宋体" w:cs="宋体"/>
          <w:spacing w:val="-3"/>
          <w:sz w:val="16"/>
          <w:szCs w:val="16"/>
        </w:rPr>
        <w:t>2400</w:t>
      </w:r>
    </w:p>
    <w:p w:rsidR="00EA40A3" w:rsidRDefault="00EA40A3"/>
    <w:p w:rsidR="00EA40A3" w:rsidRDefault="00EA40A3"/>
    <w:p w:rsidR="00EA40A3" w:rsidRDefault="00EA40A3"/>
    <w:p w:rsidR="00EA40A3" w:rsidRDefault="00EA40A3">
      <w:pPr>
        <w:spacing w:line="70" w:lineRule="auto"/>
        <w:rPr>
          <w:sz w:val="2"/>
        </w:rPr>
      </w:pPr>
    </w:p>
    <w:tbl>
      <w:tblPr>
        <w:tblStyle w:val="TableNormal"/>
        <w:tblW w:w="2691"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561"/>
        <w:gridCol w:w="825"/>
        <w:gridCol w:w="755"/>
        <w:gridCol w:w="550"/>
      </w:tblGrid>
      <w:tr w:rsidR="00EA40A3">
        <w:trPr>
          <w:trHeight w:val="2912"/>
        </w:trPr>
        <w:tc>
          <w:tcPr>
            <w:tcW w:w="561" w:type="dxa"/>
          </w:tcPr>
          <w:p w:rsidR="00EA40A3" w:rsidRDefault="00E86C16">
            <w:pPr>
              <w:spacing w:line="280" w:lineRule="exact"/>
              <w:rPr>
                <w:rFonts w:ascii="宋体" w:eastAsia="宋体" w:hAnsi="宋体" w:cs="宋体"/>
                <w:sz w:val="16"/>
                <w:szCs w:val="16"/>
              </w:rPr>
            </w:pPr>
            <w:r>
              <w:rPr>
                <w:rFonts w:ascii="宋体" w:eastAsia="宋体" w:hAnsi="宋体" w:cs="宋体"/>
                <w:spacing w:val="-3"/>
                <w:position w:val="11"/>
                <w:sz w:val="16"/>
                <w:szCs w:val="16"/>
              </w:rPr>
              <w:t>10.03</w:t>
            </w:r>
          </w:p>
          <w:p w:rsidR="00EA40A3" w:rsidRDefault="00E86C16">
            <w:pPr>
              <w:spacing w:line="183" w:lineRule="auto"/>
              <w:rPr>
                <w:rFonts w:ascii="宋体" w:eastAsia="宋体" w:hAnsi="宋体" w:cs="宋体"/>
                <w:sz w:val="16"/>
                <w:szCs w:val="16"/>
              </w:rPr>
            </w:pPr>
            <w:r>
              <w:rPr>
                <w:rFonts w:ascii="宋体" w:eastAsia="宋体" w:hAnsi="宋体" w:cs="宋体"/>
                <w:spacing w:val="-3"/>
                <w:sz w:val="16"/>
                <w:szCs w:val="16"/>
              </w:rPr>
              <w:t>11.29</w:t>
            </w:r>
          </w:p>
          <w:p w:rsidR="00EA40A3" w:rsidRDefault="00E86C16">
            <w:pPr>
              <w:spacing w:before="130" w:line="184" w:lineRule="auto"/>
              <w:rPr>
                <w:rFonts w:ascii="宋体" w:eastAsia="宋体" w:hAnsi="宋体" w:cs="宋体"/>
                <w:sz w:val="16"/>
                <w:szCs w:val="16"/>
              </w:rPr>
            </w:pPr>
            <w:r>
              <w:rPr>
                <w:rFonts w:ascii="宋体" w:eastAsia="宋体" w:hAnsi="宋体" w:cs="宋体"/>
                <w:spacing w:val="-3"/>
                <w:sz w:val="16"/>
                <w:szCs w:val="16"/>
              </w:rPr>
              <w:t>13.38</w:t>
            </w:r>
          </w:p>
          <w:p w:rsidR="00EA40A3" w:rsidRDefault="00EA40A3"/>
          <w:p w:rsidR="00EA40A3" w:rsidRDefault="00EA40A3"/>
          <w:p w:rsidR="00EA40A3" w:rsidRDefault="00EA40A3"/>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86C16">
            <w:pPr>
              <w:spacing w:before="49" w:line="269" w:lineRule="exact"/>
              <w:ind w:left="40"/>
              <w:rPr>
                <w:rFonts w:ascii="宋体" w:eastAsia="宋体" w:hAnsi="宋体" w:cs="宋体"/>
                <w:sz w:val="15"/>
                <w:szCs w:val="15"/>
              </w:rPr>
            </w:pPr>
            <w:r>
              <w:rPr>
                <w:rFonts w:ascii="宋体" w:eastAsia="宋体" w:hAnsi="宋体" w:cs="宋体"/>
                <w:spacing w:val="3"/>
                <w:position w:val="11"/>
                <w:sz w:val="15"/>
                <w:szCs w:val="15"/>
              </w:rPr>
              <w:t>9.62</w:t>
            </w:r>
          </w:p>
          <w:p w:rsidR="00EA40A3" w:rsidRDefault="00E86C16">
            <w:pPr>
              <w:spacing w:line="192" w:lineRule="auto"/>
              <w:rPr>
                <w:rFonts w:ascii="宋体" w:eastAsia="宋体" w:hAnsi="宋体" w:cs="宋体"/>
                <w:sz w:val="15"/>
                <w:szCs w:val="15"/>
              </w:rPr>
            </w:pPr>
            <w:r>
              <w:rPr>
                <w:rFonts w:ascii="宋体" w:eastAsia="宋体" w:hAnsi="宋体" w:cs="宋体"/>
                <w:spacing w:val="1"/>
                <w:sz w:val="15"/>
                <w:szCs w:val="15"/>
              </w:rPr>
              <w:t>10.87</w:t>
            </w:r>
          </w:p>
          <w:p w:rsidR="00EA40A3" w:rsidRDefault="00E86C16">
            <w:pPr>
              <w:spacing w:before="143" w:line="113" w:lineRule="exact"/>
              <w:rPr>
                <w:rFonts w:ascii="宋体" w:eastAsia="宋体" w:hAnsi="宋体" w:cs="宋体"/>
                <w:sz w:val="15"/>
                <w:szCs w:val="15"/>
              </w:rPr>
            </w:pPr>
            <w:r>
              <w:rPr>
                <w:rFonts w:ascii="宋体" w:eastAsia="宋体" w:hAnsi="宋体" w:cs="宋体"/>
                <w:spacing w:val="1"/>
                <w:position w:val="-2"/>
                <w:sz w:val="15"/>
                <w:szCs w:val="15"/>
              </w:rPr>
              <w:t>13.00</w:t>
            </w:r>
          </w:p>
        </w:tc>
        <w:tc>
          <w:tcPr>
            <w:tcW w:w="825" w:type="dxa"/>
          </w:tcPr>
          <w:p w:rsidR="00EA40A3" w:rsidRDefault="00E86C16">
            <w:pPr>
              <w:spacing w:line="280" w:lineRule="exact"/>
              <w:ind w:left="259"/>
              <w:rPr>
                <w:rFonts w:ascii="宋体" w:eastAsia="宋体" w:hAnsi="宋体" w:cs="宋体"/>
                <w:sz w:val="16"/>
                <w:szCs w:val="16"/>
              </w:rPr>
            </w:pPr>
            <w:r>
              <w:rPr>
                <w:rFonts w:ascii="宋体" w:eastAsia="宋体" w:hAnsi="宋体" w:cs="宋体"/>
                <w:spacing w:val="-2"/>
                <w:position w:val="11"/>
                <w:sz w:val="16"/>
                <w:szCs w:val="16"/>
              </w:rPr>
              <w:t>8.80</w:t>
            </w:r>
          </w:p>
          <w:p w:rsidR="00EA40A3" w:rsidRDefault="00E86C16">
            <w:pPr>
              <w:spacing w:line="183" w:lineRule="auto"/>
              <w:ind w:left="259"/>
              <w:rPr>
                <w:rFonts w:ascii="宋体" w:eastAsia="宋体" w:hAnsi="宋体" w:cs="宋体"/>
                <w:sz w:val="16"/>
                <w:szCs w:val="16"/>
              </w:rPr>
            </w:pPr>
            <w:r>
              <w:rPr>
                <w:rFonts w:ascii="宋体" w:eastAsia="宋体" w:hAnsi="宋体" w:cs="宋体"/>
                <w:spacing w:val="-2"/>
                <w:sz w:val="16"/>
                <w:szCs w:val="16"/>
              </w:rPr>
              <w:t>9.62</w:t>
            </w:r>
          </w:p>
          <w:p w:rsidR="00EA40A3" w:rsidRDefault="00E86C16">
            <w:pPr>
              <w:spacing w:before="130" w:line="184" w:lineRule="auto"/>
              <w:ind w:left="219"/>
              <w:rPr>
                <w:rFonts w:ascii="宋体" w:eastAsia="宋体" w:hAnsi="宋体" w:cs="宋体"/>
                <w:sz w:val="16"/>
                <w:szCs w:val="16"/>
              </w:rPr>
            </w:pPr>
            <w:r>
              <w:rPr>
                <w:rFonts w:ascii="宋体" w:eastAsia="宋体" w:hAnsi="宋体" w:cs="宋体"/>
                <w:spacing w:val="-3"/>
                <w:sz w:val="16"/>
                <w:szCs w:val="16"/>
              </w:rPr>
              <w:t>11.30</w:t>
            </w:r>
          </w:p>
          <w:p w:rsidR="00EA40A3" w:rsidRDefault="00E86C16">
            <w:pPr>
              <w:spacing w:before="271" w:line="183" w:lineRule="auto"/>
              <w:ind w:left="178"/>
              <w:rPr>
                <w:rFonts w:ascii="宋体" w:eastAsia="宋体" w:hAnsi="宋体" w:cs="宋体"/>
                <w:sz w:val="16"/>
                <w:szCs w:val="16"/>
              </w:rPr>
            </w:pPr>
            <w:r>
              <w:rPr>
                <w:rFonts w:ascii="宋体" w:eastAsia="宋体" w:hAnsi="宋体" w:cs="宋体"/>
                <w:spacing w:val="-2"/>
                <w:sz w:val="16"/>
                <w:szCs w:val="16"/>
              </w:rPr>
              <w:t>+0.84</w:t>
            </w:r>
          </w:p>
          <w:p w:rsidR="00EA40A3" w:rsidRDefault="00E86C16">
            <w:pPr>
              <w:spacing w:before="221" w:line="183" w:lineRule="auto"/>
              <w:ind w:left="178"/>
              <w:rPr>
                <w:rFonts w:ascii="宋体" w:eastAsia="宋体" w:hAnsi="宋体" w:cs="宋体"/>
                <w:sz w:val="16"/>
                <w:szCs w:val="16"/>
              </w:rPr>
            </w:pPr>
            <w:r>
              <w:rPr>
                <w:rFonts w:ascii="宋体" w:eastAsia="宋体" w:hAnsi="宋体" w:cs="宋体"/>
                <w:spacing w:val="-2"/>
                <w:sz w:val="16"/>
                <w:szCs w:val="16"/>
              </w:rPr>
              <w:t>+2.09</w:t>
            </w:r>
          </w:p>
          <w:p w:rsidR="00EA40A3" w:rsidRDefault="00EA40A3">
            <w:pPr>
              <w:spacing w:line="317" w:lineRule="auto"/>
            </w:pPr>
          </w:p>
          <w:p w:rsidR="00EA40A3" w:rsidRDefault="00EA40A3">
            <w:pPr>
              <w:spacing w:line="318" w:lineRule="auto"/>
            </w:pPr>
          </w:p>
          <w:p w:rsidR="00EA40A3" w:rsidRDefault="00E86C16">
            <w:pPr>
              <w:spacing w:before="52" w:line="280" w:lineRule="exact"/>
              <w:ind w:left="259"/>
              <w:rPr>
                <w:rFonts w:ascii="宋体" w:eastAsia="宋体" w:hAnsi="宋体" w:cs="宋体"/>
                <w:sz w:val="16"/>
                <w:szCs w:val="16"/>
              </w:rPr>
            </w:pPr>
            <w:r>
              <w:rPr>
                <w:rFonts w:ascii="宋体" w:eastAsia="宋体" w:hAnsi="宋体" w:cs="宋体"/>
                <w:spacing w:val="-2"/>
                <w:position w:val="11"/>
                <w:sz w:val="16"/>
                <w:szCs w:val="16"/>
              </w:rPr>
              <w:t>8.00</w:t>
            </w:r>
          </w:p>
          <w:p w:rsidR="00EA40A3" w:rsidRDefault="00E86C16">
            <w:pPr>
              <w:spacing w:line="183" w:lineRule="auto"/>
              <w:ind w:left="259"/>
              <w:rPr>
                <w:rFonts w:ascii="宋体" w:eastAsia="宋体" w:hAnsi="宋体" w:cs="宋体"/>
                <w:sz w:val="16"/>
                <w:szCs w:val="16"/>
              </w:rPr>
            </w:pPr>
            <w:r>
              <w:rPr>
                <w:rFonts w:ascii="宋体" w:eastAsia="宋体" w:hAnsi="宋体" w:cs="宋体"/>
                <w:spacing w:val="-2"/>
                <w:sz w:val="16"/>
                <w:szCs w:val="16"/>
              </w:rPr>
              <w:t>8.36</w:t>
            </w:r>
          </w:p>
          <w:p w:rsidR="00EA40A3" w:rsidRDefault="00E86C16">
            <w:pPr>
              <w:spacing w:before="111" w:line="132" w:lineRule="exact"/>
              <w:ind w:left="259"/>
              <w:rPr>
                <w:rFonts w:ascii="宋体" w:eastAsia="宋体" w:hAnsi="宋体" w:cs="宋体"/>
                <w:sz w:val="16"/>
                <w:szCs w:val="16"/>
              </w:rPr>
            </w:pPr>
            <w:r>
              <w:rPr>
                <w:rFonts w:ascii="宋体" w:eastAsia="宋体" w:hAnsi="宋体" w:cs="宋体"/>
                <w:spacing w:val="-2"/>
                <w:position w:val="-2"/>
                <w:sz w:val="16"/>
                <w:szCs w:val="16"/>
              </w:rPr>
              <w:t>9.20</w:t>
            </w:r>
          </w:p>
        </w:tc>
        <w:tc>
          <w:tcPr>
            <w:tcW w:w="755" w:type="dxa"/>
          </w:tcPr>
          <w:p w:rsidR="00EA40A3" w:rsidRDefault="00E86C16">
            <w:pPr>
              <w:spacing w:line="183" w:lineRule="auto"/>
              <w:ind w:left="223"/>
              <w:rPr>
                <w:rFonts w:ascii="宋体" w:eastAsia="宋体" w:hAnsi="宋体" w:cs="宋体"/>
                <w:sz w:val="16"/>
                <w:szCs w:val="16"/>
              </w:rPr>
            </w:pPr>
            <w:r>
              <w:rPr>
                <w:rFonts w:ascii="宋体" w:eastAsia="宋体" w:hAnsi="宋体" w:cs="宋体"/>
                <w:spacing w:val="-2"/>
                <w:sz w:val="16"/>
                <w:szCs w:val="16"/>
              </w:rPr>
              <w:t>2400</w:t>
            </w:r>
          </w:p>
          <w:p w:rsidR="00EA40A3" w:rsidRDefault="00E86C16">
            <w:pPr>
              <w:spacing w:before="121" w:line="183" w:lineRule="auto"/>
              <w:ind w:left="223"/>
              <w:rPr>
                <w:rFonts w:ascii="宋体" w:eastAsia="宋体" w:hAnsi="宋体" w:cs="宋体"/>
                <w:sz w:val="16"/>
                <w:szCs w:val="16"/>
              </w:rPr>
            </w:pPr>
            <w:r>
              <w:rPr>
                <w:rFonts w:ascii="宋体" w:eastAsia="宋体" w:hAnsi="宋体" w:cs="宋体"/>
                <w:spacing w:val="-2"/>
                <w:sz w:val="16"/>
                <w:szCs w:val="16"/>
              </w:rPr>
              <w:t>2700</w:t>
            </w:r>
          </w:p>
          <w:p w:rsidR="00EA40A3" w:rsidRDefault="00E86C16">
            <w:pPr>
              <w:spacing w:before="131" w:line="183" w:lineRule="auto"/>
              <w:ind w:left="223"/>
              <w:rPr>
                <w:rFonts w:ascii="宋体" w:eastAsia="宋体" w:hAnsi="宋体" w:cs="宋体"/>
                <w:sz w:val="16"/>
                <w:szCs w:val="16"/>
              </w:rPr>
            </w:pPr>
            <w:r>
              <w:rPr>
                <w:rFonts w:ascii="宋体" w:eastAsia="宋体" w:hAnsi="宋体" w:cs="宋体"/>
                <w:spacing w:val="-2"/>
                <w:sz w:val="16"/>
                <w:szCs w:val="16"/>
              </w:rPr>
              <w:t>3200</w:t>
            </w:r>
          </w:p>
          <w:p w:rsidR="00EA40A3" w:rsidRDefault="00EA40A3"/>
          <w:p w:rsidR="00EA40A3" w:rsidRDefault="00EA40A3"/>
          <w:p w:rsidR="00EA40A3" w:rsidRDefault="00EA40A3"/>
          <w:p w:rsidR="00EA40A3" w:rsidRDefault="00EA40A3"/>
          <w:p w:rsidR="00EA40A3" w:rsidRDefault="00EA40A3"/>
          <w:p w:rsidR="00EA40A3" w:rsidRDefault="00EA40A3"/>
          <w:p w:rsidR="00EA40A3" w:rsidRDefault="00E86C16">
            <w:pPr>
              <w:spacing w:before="52" w:line="183" w:lineRule="auto"/>
              <w:ind w:left="223"/>
              <w:rPr>
                <w:rFonts w:ascii="宋体" w:eastAsia="宋体" w:hAnsi="宋体" w:cs="宋体"/>
                <w:sz w:val="16"/>
                <w:szCs w:val="16"/>
              </w:rPr>
            </w:pPr>
            <w:r>
              <w:rPr>
                <w:rFonts w:ascii="宋体" w:eastAsia="宋体" w:hAnsi="宋体" w:cs="宋体"/>
                <w:spacing w:val="-2"/>
                <w:sz w:val="16"/>
                <w:szCs w:val="16"/>
              </w:rPr>
              <w:t>2300</w:t>
            </w:r>
          </w:p>
          <w:p w:rsidR="00EA40A3" w:rsidRDefault="00E86C16">
            <w:pPr>
              <w:spacing w:before="121" w:line="183" w:lineRule="auto"/>
              <w:ind w:left="223"/>
              <w:rPr>
                <w:rFonts w:ascii="宋体" w:eastAsia="宋体" w:hAnsi="宋体" w:cs="宋体"/>
                <w:sz w:val="16"/>
                <w:szCs w:val="16"/>
              </w:rPr>
            </w:pPr>
            <w:r>
              <w:rPr>
                <w:rFonts w:ascii="宋体" w:eastAsia="宋体" w:hAnsi="宋体" w:cs="宋体"/>
                <w:spacing w:val="-2"/>
                <w:sz w:val="16"/>
                <w:szCs w:val="16"/>
              </w:rPr>
              <w:t>2600</w:t>
            </w:r>
          </w:p>
          <w:p w:rsidR="00EA40A3" w:rsidRDefault="00E86C16">
            <w:pPr>
              <w:spacing w:before="121" w:line="122" w:lineRule="exact"/>
              <w:ind w:left="223"/>
              <w:rPr>
                <w:rFonts w:ascii="宋体" w:eastAsia="宋体" w:hAnsi="宋体" w:cs="宋体"/>
                <w:sz w:val="16"/>
                <w:szCs w:val="16"/>
              </w:rPr>
            </w:pPr>
            <w:r>
              <w:rPr>
                <w:rFonts w:ascii="宋体" w:eastAsia="宋体" w:hAnsi="宋体" w:cs="宋体"/>
                <w:spacing w:val="-2"/>
                <w:position w:val="-2"/>
                <w:sz w:val="16"/>
                <w:szCs w:val="16"/>
              </w:rPr>
              <w:t>3100</w:t>
            </w:r>
          </w:p>
        </w:tc>
        <w:tc>
          <w:tcPr>
            <w:tcW w:w="550" w:type="dxa"/>
          </w:tcPr>
          <w:p w:rsidR="00EA40A3" w:rsidRDefault="00E86C16">
            <w:pPr>
              <w:spacing w:line="192" w:lineRule="auto"/>
              <w:ind w:left="238"/>
              <w:rPr>
                <w:rFonts w:ascii="宋体" w:eastAsia="宋体" w:hAnsi="宋体" w:cs="宋体"/>
                <w:sz w:val="15"/>
                <w:szCs w:val="15"/>
              </w:rPr>
            </w:pPr>
            <w:r>
              <w:rPr>
                <w:rFonts w:ascii="宋体" w:eastAsia="宋体" w:hAnsi="宋体" w:cs="宋体"/>
                <w:spacing w:val="2"/>
                <w:sz w:val="15"/>
                <w:szCs w:val="15"/>
              </w:rPr>
              <w:t>2100</w:t>
            </w:r>
          </w:p>
          <w:p w:rsidR="00EA40A3" w:rsidRDefault="00E86C16">
            <w:pPr>
              <w:spacing w:before="124" w:line="192" w:lineRule="auto"/>
              <w:ind w:left="238"/>
              <w:rPr>
                <w:rFonts w:ascii="宋体" w:eastAsia="宋体" w:hAnsi="宋体" w:cs="宋体"/>
                <w:sz w:val="15"/>
                <w:szCs w:val="15"/>
              </w:rPr>
            </w:pPr>
            <w:r>
              <w:rPr>
                <w:rFonts w:ascii="宋体" w:eastAsia="宋体" w:hAnsi="宋体" w:cs="宋体"/>
                <w:spacing w:val="2"/>
                <w:sz w:val="15"/>
                <w:szCs w:val="15"/>
              </w:rPr>
              <w:t>2300</w:t>
            </w:r>
          </w:p>
          <w:p w:rsidR="00EA40A3" w:rsidRDefault="00E86C16">
            <w:pPr>
              <w:spacing w:before="134" w:line="192" w:lineRule="auto"/>
              <w:ind w:left="238"/>
              <w:rPr>
                <w:rFonts w:ascii="宋体" w:eastAsia="宋体" w:hAnsi="宋体" w:cs="宋体"/>
                <w:sz w:val="15"/>
                <w:szCs w:val="15"/>
              </w:rPr>
            </w:pPr>
            <w:r>
              <w:rPr>
                <w:rFonts w:ascii="宋体" w:eastAsia="宋体" w:hAnsi="宋体" w:cs="宋体"/>
                <w:spacing w:val="2"/>
                <w:sz w:val="15"/>
                <w:szCs w:val="15"/>
              </w:rPr>
              <w:t>2700</w:t>
            </w:r>
          </w:p>
          <w:p w:rsidR="00EA40A3" w:rsidRDefault="00E86C16">
            <w:pPr>
              <w:spacing w:before="284" w:line="183" w:lineRule="auto"/>
              <w:ind w:left="219"/>
              <w:rPr>
                <w:rFonts w:ascii="宋体" w:eastAsia="宋体" w:hAnsi="宋体" w:cs="宋体"/>
                <w:sz w:val="16"/>
                <w:szCs w:val="16"/>
              </w:rPr>
            </w:pPr>
            <w:r>
              <w:rPr>
                <w:rFonts w:ascii="宋体" w:eastAsia="宋体" w:hAnsi="宋体" w:cs="宋体"/>
                <w:spacing w:val="-2"/>
                <w:sz w:val="16"/>
                <w:szCs w:val="16"/>
              </w:rPr>
              <w:t>+200</w:t>
            </w:r>
          </w:p>
          <w:p w:rsidR="00EA40A3" w:rsidRDefault="00E86C16">
            <w:pPr>
              <w:spacing w:before="231" w:line="183" w:lineRule="auto"/>
              <w:ind w:left="219"/>
              <w:rPr>
                <w:rFonts w:ascii="宋体" w:eastAsia="宋体" w:hAnsi="宋体" w:cs="宋体"/>
                <w:sz w:val="16"/>
                <w:szCs w:val="16"/>
              </w:rPr>
            </w:pPr>
            <w:r>
              <w:rPr>
                <w:rFonts w:ascii="宋体" w:eastAsia="宋体" w:hAnsi="宋体" w:cs="宋体"/>
                <w:spacing w:val="-2"/>
                <w:sz w:val="16"/>
                <w:szCs w:val="16"/>
              </w:rPr>
              <w:t>+500</w:t>
            </w:r>
          </w:p>
          <w:p w:rsidR="00EA40A3" w:rsidRDefault="00EA40A3">
            <w:pPr>
              <w:spacing w:line="312" w:lineRule="auto"/>
            </w:pPr>
          </w:p>
          <w:p w:rsidR="00EA40A3" w:rsidRDefault="00EA40A3">
            <w:pPr>
              <w:spacing w:line="312" w:lineRule="auto"/>
            </w:pPr>
          </w:p>
          <w:p w:rsidR="00EA40A3" w:rsidRDefault="00E86C16">
            <w:pPr>
              <w:spacing w:before="52" w:line="184" w:lineRule="auto"/>
              <w:ind w:left="238"/>
              <w:rPr>
                <w:rFonts w:ascii="宋体" w:eastAsia="宋体" w:hAnsi="宋体" w:cs="宋体"/>
                <w:sz w:val="16"/>
                <w:szCs w:val="16"/>
              </w:rPr>
            </w:pPr>
            <w:r>
              <w:rPr>
                <w:rFonts w:ascii="宋体" w:eastAsia="宋体" w:hAnsi="宋体" w:cs="宋体"/>
                <w:spacing w:val="-4"/>
                <w:sz w:val="16"/>
                <w:szCs w:val="16"/>
              </w:rPr>
              <w:t>1900</w:t>
            </w:r>
          </w:p>
          <w:p w:rsidR="00EA40A3" w:rsidRDefault="00E86C16">
            <w:pPr>
              <w:spacing w:before="121" w:line="192" w:lineRule="auto"/>
              <w:ind w:left="238"/>
              <w:rPr>
                <w:rFonts w:ascii="宋体" w:eastAsia="宋体" w:hAnsi="宋体" w:cs="宋体"/>
                <w:sz w:val="15"/>
                <w:szCs w:val="15"/>
              </w:rPr>
            </w:pPr>
            <w:r>
              <w:rPr>
                <w:rFonts w:ascii="宋体" w:eastAsia="宋体" w:hAnsi="宋体" w:cs="宋体"/>
                <w:spacing w:val="2"/>
                <w:sz w:val="15"/>
                <w:szCs w:val="15"/>
              </w:rPr>
              <w:t>2000</w:t>
            </w:r>
          </w:p>
          <w:p w:rsidR="00EA40A3" w:rsidRDefault="00E86C16">
            <w:pPr>
              <w:spacing w:before="124" w:line="111" w:lineRule="exact"/>
              <w:ind w:left="238"/>
              <w:rPr>
                <w:rFonts w:ascii="宋体" w:eastAsia="宋体" w:hAnsi="宋体" w:cs="宋体"/>
                <w:sz w:val="15"/>
                <w:szCs w:val="15"/>
              </w:rPr>
            </w:pPr>
            <w:r>
              <w:rPr>
                <w:rFonts w:ascii="宋体" w:eastAsia="宋体" w:hAnsi="宋体" w:cs="宋体"/>
                <w:spacing w:val="2"/>
                <w:position w:val="-2"/>
                <w:sz w:val="15"/>
                <w:szCs w:val="15"/>
              </w:rPr>
              <w:t>2200</w:t>
            </w:r>
          </w:p>
        </w:tc>
      </w:tr>
    </w:tbl>
    <w:p w:rsidR="00EA40A3" w:rsidRDefault="00EA40A3"/>
    <w:p w:rsidR="00EA40A3" w:rsidRDefault="00E86C16">
      <w:pPr>
        <w:spacing w:line="14" w:lineRule="auto"/>
        <w:rPr>
          <w:sz w:val="2"/>
        </w:rPr>
      </w:pPr>
      <w:r>
        <w:rPr>
          <w:sz w:val="2"/>
          <w:szCs w:val="2"/>
        </w:rPr>
        <w:br w:type="column"/>
      </w:r>
    </w:p>
    <w:p w:rsidR="00EA40A3" w:rsidRDefault="00E86C16">
      <w:pPr>
        <w:spacing w:before="18" w:line="300" w:lineRule="exact"/>
        <w:rPr>
          <w:rFonts w:ascii="宋体" w:eastAsia="宋体" w:hAnsi="宋体" w:cs="宋体"/>
          <w:sz w:val="16"/>
          <w:szCs w:val="16"/>
        </w:rPr>
      </w:pPr>
      <w:r>
        <w:rPr>
          <w:rFonts w:ascii="宋体" w:eastAsia="宋体" w:hAnsi="宋体" w:cs="宋体"/>
          <w:spacing w:val="-7"/>
          <w:position w:val="11"/>
          <w:sz w:val="16"/>
          <w:szCs w:val="16"/>
        </w:rPr>
        <w:t>1.5～3g/(kg</w:t>
      </w:r>
      <w:r>
        <w:rPr>
          <w:rFonts w:ascii="宋体" w:eastAsia="宋体" w:hAnsi="宋体" w:cs="宋体"/>
          <w:spacing w:val="-9"/>
          <w:position w:val="11"/>
          <w:sz w:val="16"/>
          <w:szCs w:val="16"/>
        </w:rPr>
        <w:t xml:space="preserve"> </w:t>
      </w:r>
      <w:r>
        <w:rPr>
          <w:rFonts w:ascii="宋体" w:eastAsia="宋体" w:hAnsi="宋体" w:cs="宋体"/>
          <w:spacing w:val="-7"/>
          <w:position w:val="11"/>
          <w:sz w:val="16"/>
          <w:szCs w:val="16"/>
        </w:rPr>
        <w:t>·d)</w:t>
      </w:r>
    </w:p>
    <w:p w:rsidR="00EA40A3" w:rsidRDefault="00E86C16">
      <w:pPr>
        <w:spacing w:line="213" w:lineRule="auto"/>
        <w:rPr>
          <w:rFonts w:ascii="宋体" w:eastAsia="宋体" w:hAnsi="宋体" w:cs="宋体"/>
          <w:sz w:val="16"/>
          <w:szCs w:val="16"/>
        </w:rPr>
      </w:pPr>
      <w:r>
        <w:rPr>
          <w:rFonts w:ascii="宋体" w:eastAsia="宋体" w:hAnsi="宋体" w:cs="宋体"/>
          <w:spacing w:val="-7"/>
          <w:sz w:val="16"/>
          <w:szCs w:val="16"/>
        </w:rPr>
        <w:t>1.5～3g/(kg</w:t>
      </w:r>
      <w:r>
        <w:rPr>
          <w:rFonts w:ascii="宋体" w:eastAsia="宋体" w:hAnsi="宋体" w:cs="宋体"/>
          <w:spacing w:val="-9"/>
          <w:sz w:val="16"/>
          <w:szCs w:val="16"/>
        </w:rPr>
        <w:t xml:space="preserve"> </w:t>
      </w:r>
      <w:r>
        <w:rPr>
          <w:rFonts w:ascii="宋体" w:eastAsia="宋体" w:hAnsi="宋体" w:cs="宋体"/>
          <w:spacing w:val="-7"/>
          <w:sz w:val="16"/>
          <w:szCs w:val="16"/>
        </w:rPr>
        <w:t>·d)</w:t>
      </w:r>
    </w:p>
    <w:p w:rsidR="00EA40A3" w:rsidRDefault="00EA40A3">
      <w:pPr>
        <w:spacing w:line="111" w:lineRule="exact"/>
      </w:pPr>
    </w:p>
    <w:tbl>
      <w:tblPr>
        <w:tblStyle w:val="TableNormal"/>
        <w:tblW w:w="944" w:type="dxa"/>
        <w:tblInd w:w="14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472"/>
        <w:gridCol w:w="472"/>
      </w:tblGrid>
      <w:tr w:rsidR="00EA40A3">
        <w:trPr>
          <w:trHeight w:val="3350"/>
        </w:trPr>
        <w:tc>
          <w:tcPr>
            <w:tcW w:w="472" w:type="dxa"/>
          </w:tcPr>
          <w:p w:rsidR="00EA40A3" w:rsidRDefault="00E86C16">
            <w:pPr>
              <w:spacing w:line="183" w:lineRule="auto"/>
              <w:rPr>
                <w:rFonts w:ascii="宋体" w:eastAsia="宋体" w:hAnsi="宋体" w:cs="宋体"/>
                <w:sz w:val="16"/>
                <w:szCs w:val="16"/>
              </w:rPr>
            </w:pPr>
            <w:r>
              <w:rPr>
                <w:rFonts w:ascii="宋体" w:eastAsia="宋体" w:hAnsi="宋体" w:cs="宋体"/>
                <w:spacing w:val="-3"/>
                <w:sz w:val="16"/>
                <w:szCs w:val="16"/>
              </w:rPr>
              <w:t>35</w:t>
            </w:r>
          </w:p>
          <w:p w:rsidR="00EA40A3" w:rsidRDefault="00E86C16">
            <w:pPr>
              <w:spacing w:before="171" w:line="183" w:lineRule="auto"/>
              <w:rPr>
                <w:rFonts w:ascii="宋体" w:eastAsia="宋体" w:hAnsi="宋体" w:cs="宋体"/>
                <w:sz w:val="16"/>
                <w:szCs w:val="16"/>
              </w:rPr>
            </w:pPr>
            <w:r>
              <w:rPr>
                <w:rFonts w:ascii="宋体" w:eastAsia="宋体" w:hAnsi="宋体" w:cs="宋体"/>
                <w:spacing w:val="-2"/>
                <w:sz w:val="16"/>
                <w:szCs w:val="16"/>
              </w:rPr>
              <w:t>40</w:t>
            </w:r>
          </w:p>
          <w:p w:rsidR="00EA40A3" w:rsidRDefault="00E86C16">
            <w:pPr>
              <w:spacing w:before="141" w:line="183" w:lineRule="auto"/>
              <w:rPr>
                <w:rFonts w:ascii="宋体" w:eastAsia="宋体" w:hAnsi="宋体" w:cs="宋体"/>
                <w:sz w:val="16"/>
                <w:szCs w:val="16"/>
              </w:rPr>
            </w:pPr>
            <w:r>
              <w:rPr>
                <w:rFonts w:ascii="宋体" w:eastAsia="宋体" w:hAnsi="宋体" w:cs="宋体"/>
                <w:spacing w:val="-2"/>
                <w:sz w:val="16"/>
                <w:szCs w:val="16"/>
              </w:rPr>
              <w:t>45</w:t>
            </w:r>
          </w:p>
          <w:p w:rsidR="00EA40A3" w:rsidRDefault="00E86C16">
            <w:pPr>
              <w:spacing w:before="131" w:line="183" w:lineRule="auto"/>
              <w:rPr>
                <w:rFonts w:ascii="宋体" w:eastAsia="宋体" w:hAnsi="宋体" w:cs="宋体"/>
                <w:sz w:val="16"/>
                <w:szCs w:val="16"/>
              </w:rPr>
            </w:pPr>
            <w:r>
              <w:rPr>
                <w:rFonts w:ascii="宋体" w:eastAsia="宋体" w:hAnsi="宋体" w:cs="宋体"/>
                <w:spacing w:val="-3"/>
                <w:sz w:val="16"/>
                <w:szCs w:val="16"/>
              </w:rPr>
              <w:t>50</w:t>
            </w:r>
          </w:p>
          <w:p w:rsidR="00EA40A3" w:rsidRDefault="00E86C16">
            <w:pPr>
              <w:spacing w:before="122" w:line="182" w:lineRule="auto"/>
              <w:rPr>
                <w:rFonts w:ascii="宋体" w:eastAsia="宋体" w:hAnsi="宋体" w:cs="宋体"/>
                <w:sz w:val="16"/>
                <w:szCs w:val="16"/>
              </w:rPr>
            </w:pPr>
            <w:r>
              <w:rPr>
                <w:rFonts w:ascii="宋体" w:eastAsia="宋体" w:hAnsi="宋体" w:cs="宋体"/>
                <w:spacing w:val="-3"/>
                <w:sz w:val="16"/>
                <w:szCs w:val="16"/>
              </w:rPr>
              <w:t>55</w:t>
            </w:r>
          </w:p>
          <w:p w:rsidR="00EA40A3" w:rsidRDefault="00E86C16">
            <w:pPr>
              <w:spacing w:before="102" w:line="182" w:lineRule="auto"/>
              <w:rPr>
                <w:rFonts w:ascii="宋体" w:eastAsia="宋体" w:hAnsi="宋体" w:cs="宋体"/>
                <w:sz w:val="16"/>
                <w:szCs w:val="16"/>
              </w:rPr>
            </w:pPr>
            <w:r>
              <w:rPr>
                <w:rFonts w:ascii="宋体" w:eastAsia="宋体" w:hAnsi="宋体" w:cs="宋体"/>
                <w:spacing w:val="-3"/>
                <w:sz w:val="16"/>
                <w:szCs w:val="16"/>
              </w:rPr>
              <w:t>55</w:t>
            </w:r>
          </w:p>
          <w:p w:rsidR="00EA40A3" w:rsidRDefault="00E86C16">
            <w:pPr>
              <w:spacing w:before="181" w:line="183" w:lineRule="auto"/>
              <w:rPr>
                <w:rFonts w:ascii="宋体" w:eastAsia="宋体" w:hAnsi="宋体" w:cs="宋体"/>
                <w:sz w:val="16"/>
                <w:szCs w:val="16"/>
              </w:rPr>
            </w:pPr>
            <w:r>
              <w:rPr>
                <w:rFonts w:ascii="宋体" w:eastAsia="宋体" w:hAnsi="宋体" w:cs="宋体"/>
                <w:spacing w:val="-2"/>
                <w:sz w:val="16"/>
                <w:szCs w:val="16"/>
              </w:rPr>
              <w:t>60</w:t>
            </w:r>
          </w:p>
          <w:p w:rsidR="00EA40A3" w:rsidRDefault="00E86C16">
            <w:pPr>
              <w:spacing w:before="101" w:line="183" w:lineRule="auto"/>
              <w:rPr>
                <w:rFonts w:ascii="宋体" w:eastAsia="宋体" w:hAnsi="宋体" w:cs="宋体"/>
                <w:sz w:val="16"/>
                <w:szCs w:val="16"/>
              </w:rPr>
            </w:pPr>
            <w:r>
              <w:rPr>
                <w:rFonts w:ascii="宋体" w:eastAsia="宋体" w:hAnsi="宋体" w:cs="宋体"/>
                <w:spacing w:val="-2"/>
                <w:sz w:val="16"/>
                <w:szCs w:val="16"/>
              </w:rPr>
              <w:t>65</w:t>
            </w:r>
          </w:p>
          <w:p w:rsidR="00EA40A3" w:rsidRDefault="00E86C16">
            <w:pPr>
              <w:spacing w:before="142" w:line="183" w:lineRule="auto"/>
              <w:rPr>
                <w:rFonts w:ascii="宋体" w:eastAsia="宋体" w:hAnsi="宋体" w:cs="宋体"/>
                <w:sz w:val="16"/>
                <w:szCs w:val="16"/>
              </w:rPr>
            </w:pPr>
            <w:r>
              <w:rPr>
                <w:rFonts w:ascii="宋体" w:eastAsia="宋体" w:hAnsi="宋体" w:cs="宋体"/>
                <w:spacing w:val="-2"/>
                <w:sz w:val="16"/>
                <w:szCs w:val="16"/>
              </w:rPr>
              <w:t>65</w:t>
            </w:r>
          </w:p>
          <w:p w:rsidR="00EA40A3" w:rsidRDefault="00E86C16">
            <w:pPr>
              <w:spacing w:before="131" w:line="183" w:lineRule="auto"/>
              <w:rPr>
                <w:rFonts w:ascii="宋体" w:eastAsia="宋体" w:hAnsi="宋体" w:cs="宋体"/>
                <w:sz w:val="16"/>
                <w:szCs w:val="16"/>
              </w:rPr>
            </w:pPr>
            <w:r>
              <w:rPr>
                <w:rFonts w:ascii="宋体" w:eastAsia="宋体" w:hAnsi="宋体" w:cs="宋体"/>
                <w:spacing w:val="-3"/>
                <w:sz w:val="16"/>
                <w:szCs w:val="16"/>
              </w:rPr>
              <w:t>70</w:t>
            </w:r>
          </w:p>
          <w:p w:rsidR="00EA40A3" w:rsidRDefault="00E86C16">
            <w:pPr>
              <w:spacing w:before="142" w:line="182" w:lineRule="auto"/>
              <w:rPr>
                <w:rFonts w:ascii="宋体" w:eastAsia="宋体" w:hAnsi="宋体" w:cs="宋体"/>
                <w:sz w:val="16"/>
                <w:szCs w:val="16"/>
              </w:rPr>
            </w:pPr>
            <w:r>
              <w:rPr>
                <w:rFonts w:ascii="宋体" w:eastAsia="宋体" w:hAnsi="宋体" w:cs="宋体"/>
                <w:spacing w:val="-3"/>
                <w:sz w:val="16"/>
                <w:szCs w:val="16"/>
              </w:rPr>
              <w:t>75</w:t>
            </w:r>
          </w:p>
          <w:p w:rsidR="00EA40A3" w:rsidRDefault="00E86C16">
            <w:pPr>
              <w:spacing w:before="132" w:line="109" w:lineRule="exact"/>
              <w:rPr>
                <w:rFonts w:ascii="宋体" w:eastAsia="宋体" w:hAnsi="宋体" w:cs="宋体"/>
                <w:sz w:val="15"/>
                <w:szCs w:val="15"/>
              </w:rPr>
            </w:pPr>
            <w:r>
              <w:rPr>
                <w:rFonts w:ascii="宋体" w:eastAsia="宋体" w:hAnsi="宋体" w:cs="宋体"/>
                <w:spacing w:val="1"/>
                <w:position w:val="-2"/>
                <w:sz w:val="15"/>
                <w:szCs w:val="15"/>
              </w:rPr>
              <w:t>85</w:t>
            </w:r>
          </w:p>
        </w:tc>
        <w:tc>
          <w:tcPr>
            <w:tcW w:w="472" w:type="dxa"/>
          </w:tcPr>
          <w:p w:rsidR="00EA40A3" w:rsidRDefault="00E86C16">
            <w:pPr>
              <w:spacing w:line="183" w:lineRule="auto"/>
              <w:ind w:left="317"/>
              <w:rPr>
                <w:rFonts w:ascii="宋体" w:eastAsia="宋体" w:hAnsi="宋体" w:cs="宋体"/>
                <w:sz w:val="16"/>
                <w:szCs w:val="16"/>
              </w:rPr>
            </w:pPr>
            <w:r>
              <w:rPr>
                <w:rFonts w:ascii="宋体" w:eastAsia="宋体" w:hAnsi="宋体" w:cs="宋体"/>
                <w:spacing w:val="-5"/>
                <w:sz w:val="16"/>
                <w:szCs w:val="16"/>
              </w:rPr>
              <w:t>35</w:t>
            </w:r>
          </w:p>
          <w:p w:rsidR="00EA40A3" w:rsidRDefault="00E86C16">
            <w:pPr>
              <w:spacing w:before="171" w:line="192" w:lineRule="auto"/>
              <w:ind w:left="317"/>
              <w:rPr>
                <w:rFonts w:ascii="宋体" w:eastAsia="宋体" w:hAnsi="宋体" w:cs="宋体"/>
                <w:sz w:val="15"/>
                <w:szCs w:val="15"/>
              </w:rPr>
            </w:pPr>
            <w:r>
              <w:rPr>
                <w:rFonts w:ascii="宋体" w:eastAsia="宋体" w:hAnsi="宋体" w:cs="宋体"/>
                <w:spacing w:val="2"/>
                <w:sz w:val="15"/>
                <w:szCs w:val="15"/>
              </w:rPr>
              <w:t>40</w:t>
            </w:r>
          </w:p>
          <w:p w:rsidR="00EA40A3" w:rsidRDefault="00E86C16">
            <w:pPr>
              <w:spacing w:before="144" w:line="192" w:lineRule="auto"/>
              <w:ind w:left="317"/>
              <w:rPr>
                <w:rFonts w:ascii="宋体" w:eastAsia="宋体" w:hAnsi="宋体" w:cs="宋体"/>
                <w:sz w:val="15"/>
                <w:szCs w:val="15"/>
              </w:rPr>
            </w:pPr>
            <w:r>
              <w:rPr>
                <w:rFonts w:ascii="宋体" w:eastAsia="宋体" w:hAnsi="宋体" w:cs="宋体"/>
                <w:spacing w:val="2"/>
                <w:sz w:val="15"/>
                <w:szCs w:val="15"/>
              </w:rPr>
              <w:t>45</w:t>
            </w:r>
          </w:p>
          <w:p w:rsidR="00EA40A3" w:rsidRDefault="00E86C16">
            <w:pPr>
              <w:spacing w:before="134" w:line="183" w:lineRule="auto"/>
              <w:ind w:left="317"/>
              <w:rPr>
                <w:rFonts w:ascii="宋体" w:eastAsia="宋体" w:hAnsi="宋体" w:cs="宋体"/>
                <w:sz w:val="16"/>
                <w:szCs w:val="16"/>
              </w:rPr>
            </w:pPr>
            <w:r>
              <w:rPr>
                <w:rFonts w:ascii="宋体" w:eastAsia="宋体" w:hAnsi="宋体" w:cs="宋体"/>
                <w:spacing w:val="-5"/>
                <w:sz w:val="16"/>
                <w:szCs w:val="16"/>
              </w:rPr>
              <w:t>50</w:t>
            </w:r>
          </w:p>
          <w:p w:rsidR="00EA40A3" w:rsidRDefault="00E86C16">
            <w:pPr>
              <w:spacing w:before="122" w:line="182" w:lineRule="auto"/>
              <w:ind w:left="317"/>
              <w:rPr>
                <w:rFonts w:ascii="宋体" w:eastAsia="宋体" w:hAnsi="宋体" w:cs="宋体"/>
                <w:sz w:val="16"/>
                <w:szCs w:val="16"/>
              </w:rPr>
            </w:pPr>
            <w:r>
              <w:rPr>
                <w:rFonts w:ascii="宋体" w:eastAsia="宋体" w:hAnsi="宋体" w:cs="宋体"/>
                <w:spacing w:val="-5"/>
                <w:sz w:val="16"/>
                <w:szCs w:val="16"/>
              </w:rPr>
              <w:t>55</w:t>
            </w:r>
          </w:p>
          <w:p w:rsidR="00EA40A3" w:rsidRDefault="00E86C16">
            <w:pPr>
              <w:spacing w:before="102" w:line="182" w:lineRule="auto"/>
              <w:ind w:left="317"/>
              <w:rPr>
                <w:rFonts w:ascii="宋体" w:eastAsia="宋体" w:hAnsi="宋体" w:cs="宋体"/>
                <w:sz w:val="16"/>
                <w:szCs w:val="16"/>
              </w:rPr>
            </w:pPr>
            <w:r>
              <w:rPr>
                <w:rFonts w:ascii="宋体" w:eastAsia="宋体" w:hAnsi="宋体" w:cs="宋体"/>
                <w:spacing w:val="-5"/>
                <w:sz w:val="16"/>
                <w:szCs w:val="16"/>
              </w:rPr>
              <w:t>55</w:t>
            </w:r>
          </w:p>
          <w:p w:rsidR="00EA40A3" w:rsidRDefault="00E86C16">
            <w:pPr>
              <w:spacing w:before="181" w:line="183" w:lineRule="auto"/>
              <w:ind w:left="317"/>
              <w:rPr>
                <w:rFonts w:ascii="宋体" w:eastAsia="宋体" w:hAnsi="宋体" w:cs="宋体"/>
                <w:sz w:val="16"/>
                <w:szCs w:val="16"/>
              </w:rPr>
            </w:pPr>
            <w:r>
              <w:rPr>
                <w:rFonts w:ascii="宋体" w:eastAsia="宋体" w:hAnsi="宋体" w:cs="宋体"/>
                <w:spacing w:val="-4"/>
                <w:sz w:val="16"/>
                <w:szCs w:val="16"/>
              </w:rPr>
              <w:t>60</w:t>
            </w:r>
          </w:p>
          <w:p w:rsidR="00EA40A3" w:rsidRDefault="00E86C16">
            <w:pPr>
              <w:spacing w:before="131" w:line="183" w:lineRule="auto"/>
              <w:ind w:left="317"/>
              <w:rPr>
                <w:rFonts w:ascii="宋体" w:eastAsia="宋体" w:hAnsi="宋体" w:cs="宋体"/>
                <w:sz w:val="16"/>
                <w:szCs w:val="16"/>
              </w:rPr>
            </w:pPr>
            <w:r>
              <w:rPr>
                <w:rFonts w:ascii="宋体" w:eastAsia="宋体" w:hAnsi="宋体" w:cs="宋体"/>
                <w:spacing w:val="-4"/>
                <w:sz w:val="16"/>
                <w:szCs w:val="16"/>
              </w:rPr>
              <w:t>65</w:t>
            </w:r>
          </w:p>
          <w:p w:rsidR="00EA40A3" w:rsidRDefault="00E86C16">
            <w:pPr>
              <w:spacing w:before="111" w:line="183" w:lineRule="auto"/>
              <w:ind w:left="317"/>
              <w:rPr>
                <w:rFonts w:ascii="宋体" w:eastAsia="宋体" w:hAnsi="宋体" w:cs="宋体"/>
                <w:sz w:val="16"/>
                <w:szCs w:val="16"/>
              </w:rPr>
            </w:pPr>
            <w:r>
              <w:rPr>
                <w:rFonts w:ascii="宋体" w:eastAsia="宋体" w:hAnsi="宋体" w:cs="宋体"/>
                <w:spacing w:val="-4"/>
                <w:sz w:val="16"/>
                <w:szCs w:val="16"/>
              </w:rPr>
              <w:t>65</w:t>
            </w:r>
          </w:p>
          <w:p w:rsidR="00EA40A3" w:rsidRDefault="00E86C16">
            <w:pPr>
              <w:spacing w:before="131" w:line="183" w:lineRule="auto"/>
              <w:ind w:left="317"/>
              <w:rPr>
                <w:rFonts w:ascii="宋体" w:eastAsia="宋体" w:hAnsi="宋体" w:cs="宋体"/>
                <w:sz w:val="16"/>
                <w:szCs w:val="16"/>
              </w:rPr>
            </w:pPr>
            <w:r>
              <w:rPr>
                <w:rFonts w:ascii="宋体" w:eastAsia="宋体" w:hAnsi="宋体" w:cs="宋体"/>
                <w:spacing w:val="-4"/>
                <w:sz w:val="16"/>
                <w:szCs w:val="16"/>
              </w:rPr>
              <w:t>65</w:t>
            </w:r>
          </w:p>
          <w:p w:rsidR="00EA40A3" w:rsidRDefault="00E86C16">
            <w:pPr>
              <w:spacing w:before="142" w:line="182" w:lineRule="auto"/>
              <w:ind w:left="317"/>
              <w:rPr>
                <w:rFonts w:ascii="宋体" w:eastAsia="宋体" w:hAnsi="宋体" w:cs="宋体"/>
                <w:sz w:val="16"/>
                <w:szCs w:val="16"/>
              </w:rPr>
            </w:pPr>
            <w:r>
              <w:rPr>
                <w:rFonts w:ascii="宋体" w:eastAsia="宋体" w:hAnsi="宋体" w:cs="宋体"/>
                <w:spacing w:val="-6"/>
                <w:sz w:val="16"/>
                <w:szCs w:val="16"/>
              </w:rPr>
              <w:t>75</w:t>
            </w:r>
          </w:p>
          <w:p w:rsidR="00EA40A3" w:rsidRDefault="00E86C16">
            <w:pPr>
              <w:spacing w:before="132" w:line="110" w:lineRule="exact"/>
              <w:ind w:left="317"/>
              <w:rPr>
                <w:rFonts w:ascii="宋体" w:eastAsia="宋体" w:hAnsi="宋体" w:cs="宋体"/>
                <w:sz w:val="15"/>
                <w:szCs w:val="15"/>
              </w:rPr>
            </w:pPr>
            <w:r>
              <w:rPr>
                <w:rFonts w:ascii="宋体" w:eastAsia="宋体" w:hAnsi="宋体" w:cs="宋体"/>
                <w:spacing w:val="1"/>
                <w:position w:val="-2"/>
                <w:sz w:val="15"/>
                <w:szCs w:val="15"/>
              </w:rPr>
              <w:t>80</w:t>
            </w:r>
          </w:p>
        </w:tc>
      </w:tr>
    </w:tbl>
    <w:p w:rsidR="00EA40A3" w:rsidRDefault="00EA40A3"/>
    <w:p w:rsidR="00EA40A3" w:rsidRDefault="00EA40A3">
      <w:pPr>
        <w:spacing w:line="241" w:lineRule="auto"/>
      </w:pPr>
    </w:p>
    <w:p w:rsidR="00EA40A3" w:rsidRDefault="00EA40A3">
      <w:pPr>
        <w:spacing w:line="241" w:lineRule="auto"/>
      </w:pPr>
    </w:p>
    <w:p w:rsidR="00EA40A3" w:rsidRDefault="00E86C16">
      <w:pPr>
        <w:spacing w:before="53" w:line="183" w:lineRule="auto"/>
        <w:ind w:left="140"/>
        <w:rPr>
          <w:rFonts w:ascii="宋体" w:eastAsia="宋体" w:hAnsi="宋体" w:cs="宋体"/>
          <w:sz w:val="16"/>
          <w:szCs w:val="16"/>
        </w:rPr>
      </w:pPr>
      <w:r>
        <w:rPr>
          <w:rFonts w:ascii="宋体" w:eastAsia="宋体" w:hAnsi="宋体" w:cs="宋体"/>
          <w:spacing w:val="-4"/>
          <w:sz w:val="16"/>
          <w:szCs w:val="16"/>
        </w:rPr>
        <w:t>75</w:t>
      </w:r>
      <w:r>
        <w:rPr>
          <w:rFonts w:ascii="宋体" w:eastAsia="宋体" w:hAnsi="宋体" w:cs="宋体"/>
          <w:sz w:val="16"/>
          <w:szCs w:val="16"/>
        </w:rPr>
        <w:t xml:space="preserve">        </w:t>
      </w:r>
      <w:r>
        <w:rPr>
          <w:rFonts w:ascii="宋体" w:eastAsia="宋体" w:hAnsi="宋体" w:cs="宋体"/>
          <w:spacing w:val="-4"/>
          <w:sz w:val="16"/>
          <w:szCs w:val="16"/>
        </w:rPr>
        <w:t>65</w:t>
      </w:r>
    </w:p>
    <w:p w:rsidR="00EA40A3" w:rsidRDefault="00E86C16">
      <w:pPr>
        <w:spacing w:before="162" w:line="183" w:lineRule="auto"/>
        <w:ind w:left="140"/>
        <w:rPr>
          <w:rFonts w:ascii="宋体" w:eastAsia="宋体" w:hAnsi="宋体" w:cs="宋体"/>
          <w:sz w:val="16"/>
          <w:szCs w:val="16"/>
        </w:rPr>
      </w:pPr>
      <w:r>
        <w:rPr>
          <w:rFonts w:ascii="宋体" w:eastAsia="宋体" w:hAnsi="宋体" w:cs="宋体"/>
          <w:spacing w:val="-3"/>
          <w:sz w:val="16"/>
          <w:szCs w:val="16"/>
        </w:rPr>
        <w:t>80</w:t>
      </w:r>
      <w:r>
        <w:rPr>
          <w:rFonts w:ascii="宋体" w:eastAsia="宋体" w:hAnsi="宋体" w:cs="宋体"/>
          <w:spacing w:val="10"/>
          <w:sz w:val="16"/>
          <w:szCs w:val="16"/>
        </w:rPr>
        <w:t xml:space="preserve">       </w:t>
      </w:r>
      <w:r>
        <w:rPr>
          <w:rFonts w:ascii="宋体" w:eastAsia="宋体" w:hAnsi="宋体" w:cs="宋体"/>
          <w:spacing w:val="-3"/>
          <w:sz w:val="16"/>
          <w:szCs w:val="16"/>
        </w:rPr>
        <w:t>70</w:t>
      </w:r>
    </w:p>
    <w:p w:rsidR="00EA40A3" w:rsidRDefault="00E86C16">
      <w:pPr>
        <w:spacing w:before="121" w:line="183" w:lineRule="auto"/>
        <w:ind w:left="140"/>
        <w:rPr>
          <w:rFonts w:ascii="宋体" w:eastAsia="宋体" w:hAnsi="宋体" w:cs="宋体"/>
          <w:sz w:val="16"/>
          <w:szCs w:val="16"/>
        </w:rPr>
      </w:pPr>
      <w:r>
        <w:rPr>
          <w:rFonts w:ascii="宋体" w:eastAsia="宋体" w:hAnsi="宋体" w:cs="宋体"/>
          <w:spacing w:val="-3"/>
          <w:sz w:val="16"/>
          <w:szCs w:val="16"/>
        </w:rPr>
        <w:t>90</w:t>
      </w:r>
      <w:r>
        <w:rPr>
          <w:rFonts w:ascii="宋体" w:eastAsia="宋体" w:hAnsi="宋体" w:cs="宋体"/>
          <w:spacing w:val="11"/>
          <w:sz w:val="16"/>
          <w:szCs w:val="16"/>
        </w:rPr>
        <w:t xml:space="preserve">       </w:t>
      </w:r>
      <w:r>
        <w:rPr>
          <w:rFonts w:ascii="宋体" w:eastAsia="宋体" w:hAnsi="宋体" w:cs="宋体"/>
          <w:spacing w:val="-3"/>
          <w:sz w:val="16"/>
          <w:szCs w:val="16"/>
        </w:rPr>
        <w:t>80</w:t>
      </w:r>
    </w:p>
    <w:p w:rsidR="00EA40A3" w:rsidRDefault="00E86C16">
      <w:pPr>
        <w:spacing w:before="92" w:line="279" w:lineRule="exact"/>
        <w:ind w:left="589"/>
        <w:rPr>
          <w:rFonts w:ascii="宋体" w:eastAsia="宋体" w:hAnsi="宋体" w:cs="宋体"/>
          <w:sz w:val="16"/>
          <w:szCs w:val="16"/>
        </w:rPr>
      </w:pPr>
      <w:r>
        <w:rPr>
          <w:rFonts w:ascii="宋体" w:eastAsia="宋体" w:hAnsi="宋体" w:cs="宋体"/>
          <w:spacing w:val="-1"/>
          <w:position w:val="11"/>
          <w:sz w:val="16"/>
          <w:szCs w:val="16"/>
        </w:rPr>
        <w:t>+5,+15,</w:t>
      </w:r>
    </w:p>
    <w:p w:rsidR="00EA40A3" w:rsidRDefault="00E86C16">
      <w:pPr>
        <w:spacing w:line="183" w:lineRule="auto"/>
        <w:ind w:left="829"/>
        <w:rPr>
          <w:rFonts w:ascii="宋体" w:eastAsia="宋体" w:hAnsi="宋体" w:cs="宋体"/>
          <w:sz w:val="16"/>
          <w:szCs w:val="16"/>
        </w:rPr>
      </w:pPr>
      <w:r>
        <w:rPr>
          <w:rFonts w:ascii="宋体" w:eastAsia="宋体" w:hAnsi="宋体" w:cs="宋体"/>
          <w:spacing w:val="-2"/>
          <w:sz w:val="16"/>
          <w:szCs w:val="16"/>
        </w:rPr>
        <w:t>+20</w:t>
      </w:r>
    </w:p>
    <w:p w:rsidR="00EA40A3" w:rsidRDefault="00E86C16">
      <w:pPr>
        <w:spacing w:before="122" w:line="183" w:lineRule="auto"/>
        <w:ind w:left="829"/>
        <w:rPr>
          <w:rFonts w:ascii="宋体" w:eastAsia="宋体" w:hAnsi="宋体" w:cs="宋体"/>
          <w:sz w:val="16"/>
          <w:szCs w:val="16"/>
        </w:rPr>
      </w:pPr>
      <w:r>
        <w:rPr>
          <w:rFonts w:ascii="宋体" w:eastAsia="宋体" w:hAnsi="宋体" w:cs="宋体"/>
          <w:spacing w:val="-2"/>
          <w:sz w:val="16"/>
          <w:szCs w:val="16"/>
        </w:rPr>
        <w:t>+20</w:t>
      </w:r>
    </w:p>
    <w:p w:rsidR="00EA40A3" w:rsidRDefault="00EA40A3">
      <w:pPr>
        <w:spacing w:line="286" w:lineRule="auto"/>
      </w:pPr>
    </w:p>
    <w:p w:rsidR="00EA40A3" w:rsidRDefault="00EA40A3">
      <w:pPr>
        <w:spacing w:line="286" w:lineRule="auto"/>
      </w:pPr>
    </w:p>
    <w:p w:rsidR="00EA40A3" w:rsidRDefault="00EA40A3">
      <w:pPr>
        <w:spacing w:line="286" w:lineRule="auto"/>
      </w:pPr>
    </w:p>
    <w:p w:rsidR="00EA40A3" w:rsidRDefault="00EA40A3">
      <w:pPr>
        <w:spacing w:line="286" w:lineRule="auto"/>
      </w:pPr>
    </w:p>
    <w:p w:rsidR="00EA40A3" w:rsidRDefault="00EA40A3">
      <w:pPr>
        <w:spacing w:line="286" w:lineRule="auto"/>
      </w:pPr>
    </w:p>
    <w:p w:rsidR="00EA40A3" w:rsidRDefault="00E86C16">
      <w:pPr>
        <w:spacing w:before="52" w:line="174" w:lineRule="auto"/>
        <w:ind w:left="109"/>
        <w:rPr>
          <w:rFonts w:ascii="宋体" w:eastAsia="宋体" w:hAnsi="宋体" w:cs="宋体"/>
          <w:sz w:val="16"/>
          <w:szCs w:val="16"/>
        </w:rPr>
      </w:pPr>
      <w:r>
        <w:rPr>
          <w:rFonts w:ascii="宋体" w:eastAsia="宋体" w:hAnsi="宋体" w:cs="宋体"/>
          <w:spacing w:val="-4"/>
          <w:sz w:val="16"/>
          <w:szCs w:val="16"/>
        </w:rPr>
        <w:t>75</w:t>
      </w:r>
      <w:r>
        <w:rPr>
          <w:rFonts w:ascii="宋体" w:eastAsia="宋体" w:hAnsi="宋体" w:cs="宋体"/>
          <w:spacing w:val="3"/>
          <w:sz w:val="16"/>
          <w:szCs w:val="16"/>
        </w:rPr>
        <w:t xml:space="preserve">        </w:t>
      </w:r>
      <w:r>
        <w:rPr>
          <w:rFonts w:ascii="宋体" w:eastAsia="宋体" w:hAnsi="宋体" w:cs="宋体"/>
          <w:spacing w:val="-4"/>
          <w:sz w:val="16"/>
          <w:szCs w:val="16"/>
        </w:rPr>
        <w:t>65</w:t>
      </w:r>
    </w:p>
    <w:p w:rsidR="00EA40A3" w:rsidRDefault="00E86C16">
      <w:pPr>
        <w:spacing w:line="14" w:lineRule="auto"/>
        <w:rPr>
          <w:sz w:val="2"/>
        </w:rPr>
      </w:pPr>
      <w:r>
        <w:rPr>
          <w:sz w:val="2"/>
          <w:szCs w:val="2"/>
        </w:rPr>
        <w:br w:type="column"/>
      </w:r>
    </w:p>
    <w:p w:rsidR="00EA40A3" w:rsidRDefault="00E86C16">
      <w:pPr>
        <w:spacing w:before="64" w:line="311" w:lineRule="exact"/>
        <w:rPr>
          <w:rFonts w:ascii="宋体" w:eastAsia="宋体" w:hAnsi="宋体" w:cs="宋体"/>
          <w:sz w:val="16"/>
          <w:szCs w:val="16"/>
        </w:rPr>
      </w:pPr>
      <w:r>
        <w:rPr>
          <w:rFonts w:ascii="宋体" w:eastAsia="宋体" w:hAnsi="宋体" w:cs="宋体"/>
          <w:spacing w:val="-1"/>
          <w:position w:val="14"/>
          <w:sz w:val="16"/>
          <w:szCs w:val="16"/>
        </w:rPr>
        <w:t>45～50</w:t>
      </w:r>
    </w:p>
    <w:p w:rsidR="00EA40A3" w:rsidRDefault="00E86C16">
      <w:pPr>
        <w:spacing w:line="183" w:lineRule="auto"/>
        <w:rPr>
          <w:rFonts w:ascii="宋体" w:eastAsia="宋体" w:hAnsi="宋体" w:cs="宋体"/>
          <w:sz w:val="16"/>
          <w:szCs w:val="16"/>
        </w:rPr>
      </w:pPr>
      <w:r>
        <w:rPr>
          <w:rFonts w:ascii="宋体" w:eastAsia="宋体" w:hAnsi="宋体" w:cs="宋体"/>
          <w:spacing w:val="-2"/>
          <w:sz w:val="16"/>
          <w:szCs w:val="16"/>
        </w:rPr>
        <w:t>35～40</w:t>
      </w:r>
    </w:p>
    <w:p w:rsidR="00EA40A3" w:rsidRDefault="00EA40A3">
      <w:pPr>
        <w:spacing w:line="357" w:lineRule="auto"/>
      </w:pPr>
    </w:p>
    <w:p w:rsidR="00EA40A3" w:rsidRDefault="00E86C16">
      <w:pPr>
        <w:spacing w:before="52" w:line="183" w:lineRule="auto"/>
        <w:rPr>
          <w:rFonts w:ascii="宋体" w:eastAsia="宋体" w:hAnsi="宋体" w:cs="宋体"/>
          <w:sz w:val="16"/>
          <w:szCs w:val="16"/>
        </w:rPr>
      </w:pPr>
      <w:r>
        <w:rPr>
          <w:rFonts w:ascii="宋体" w:eastAsia="宋体" w:hAnsi="宋体" w:cs="宋体"/>
          <w:spacing w:val="-2"/>
          <w:sz w:val="16"/>
          <w:szCs w:val="16"/>
        </w:rPr>
        <w:t>30～35</w:t>
      </w:r>
    </w:p>
    <w:p w:rsidR="00EA40A3" w:rsidRDefault="00EA40A3">
      <w:pPr>
        <w:spacing w:line="252" w:lineRule="auto"/>
      </w:pPr>
    </w:p>
    <w:p w:rsidR="00EA40A3" w:rsidRDefault="00EA40A3">
      <w:pPr>
        <w:spacing w:line="252" w:lineRule="auto"/>
      </w:pPr>
    </w:p>
    <w:p w:rsidR="00EA40A3" w:rsidRDefault="00EA40A3">
      <w:pPr>
        <w:spacing w:line="252" w:lineRule="auto"/>
      </w:pPr>
    </w:p>
    <w:p w:rsidR="00EA40A3" w:rsidRDefault="00EA40A3">
      <w:pPr>
        <w:spacing w:line="252" w:lineRule="auto"/>
      </w:pPr>
    </w:p>
    <w:p w:rsidR="00EA40A3" w:rsidRDefault="00EA40A3">
      <w:pPr>
        <w:spacing w:line="253" w:lineRule="auto"/>
      </w:pPr>
    </w:p>
    <w:p w:rsidR="00EA40A3" w:rsidRDefault="00E86C16">
      <w:pPr>
        <w:spacing w:before="52" w:line="183" w:lineRule="auto"/>
        <w:rPr>
          <w:rFonts w:ascii="宋体" w:eastAsia="宋体" w:hAnsi="宋体" w:cs="宋体"/>
          <w:sz w:val="16"/>
          <w:szCs w:val="16"/>
        </w:rPr>
      </w:pPr>
      <w:r>
        <w:rPr>
          <w:rFonts w:ascii="宋体" w:eastAsia="宋体" w:hAnsi="宋体" w:cs="宋体"/>
          <w:spacing w:val="-2"/>
          <w:sz w:val="16"/>
          <w:szCs w:val="16"/>
        </w:rPr>
        <w:t>25～30</w:t>
      </w: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3" w:lineRule="auto"/>
      </w:pPr>
    </w:p>
    <w:p w:rsidR="00EA40A3" w:rsidRDefault="00E86C16">
      <w:pPr>
        <w:spacing w:before="53" w:line="290" w:lineRule="exact"/>
        <w:rPr>
          <w:rFonts w:ascii="宋体" w:eastAsia="宋体" w:hAnsi="宋体" w:cs="宋体"/>
          <w:sz w:val="16"/>
          <w:szCs w:val="16"/>
        </w:rPr>
      </w:pPr>
      <w:r>
        <w:rPr>
          <w:rFonts w:ascii="宋体" w:eastAsia="宋体" w:hAnsi="宋体" w:cs="宋体"/>
          <w:spacing w:val="-2"/>
          <w:position w:val="12"/>
          <w:sz w:val="16"/>
          <w:szCs w:val="16"/>
        </w:rPr>
        <w:t>25～30</w:t>
      </w:r>
    </w:p>
    <w:p w:rsidR="00EA40A3" w:rsidRDefault="00E86C16">
      <w:pPr>
        <w:spacing w:line="183" w:lineRule="auto"/>
        <w:ind w:left="29"/>
        <w:rPr>
          <w:rFonts w:ascii="宋体" w:eastAsia="宋体" w:hAnsi="宋体" w:cs="宋体"/>
          <w:sz w:val="16"/>
          <w:szCs w:val="16"/>
        </w:rPr>
      </w:pPr>
      <w:r>
        <w:rPr>
          <w:rFonts w:ascii="宋体" w:eastAsia="宋体" w:hAnsi="宋体" w:cs="宋体"/>
          <w:spacing w:val="-2"/>
          <w:sz w:val="16"/>
          <w:szCs w:val="16"/>
        </w:rPr>
        <w:t>20～30</w:t>
      </w: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A40A3">
      <w:pPr>
        <w:spacing w:line="253" w:lineRule="auto"/>
      </w:pPr>
    </w:p>
    <w:p w:rsidR="00EA40A3" w:rsidRDefault="00EA40A3">
      <w:pPr>
        <w:spacing w:line="254" w:lineRule="auto"/>
      </w:pPr>
    </w:p>
    <w:p w:rsidR="00EA40A3" w:rsidRDefault="00EA40A3">
      <w:pPr>
        <w:spacing w:line="254" w:lineRule="auto"/>
      </w:pPr>
    </w:p>
    <w:p w:rsidR="00EA40A3" w:rsidRDefault="00E86C16">
      <w:pPr>
        <w:spacing w:before="53" w:line="183" w:lineRule="auto"/>
        <w:ind w:left="29"/>
        <w:rPr>
          <w:rFonts w:ascii="宋体" w:eastAsia="宋体" w:hAnsi="宋体" w:cs="宋体"/>
          <w:sz w:val="16"/>
          <w:szCs w:val="16"/>
        </w:rPr>
      </w:pPr>
      <w:r>
        <w:rPr>
          <w:rFonts w:ascii="宋体" w:eastAsia="宋体" w:hAnsi="宋体" w:cs="宋体"/>
          <w:spacing w:val="-2"/>
          <w:sz w:val="16"/>
          <w:szCs w:val="16"/>
        </w:rPr>
        <w:t>20～30</w:t>
      </w:r>
    </w:p>
    <w:p w:rsidR="00EA40A3" w:rsidRDefault="00EA40A3">
      <w:pPr>
        <w:spacing w:line="246" w:lineRule="auto"/>
      </w:pPr>
    </w:p>
    <w:p w:rsidR="00EA40A3" w:rsidRDefault="00EA40A3">
      <w:pPr>
        <w:spacing w:line="246" w:lineRule="auto"/>
      </w:pPr>
    </w:p>
    <w:p w:rsidR="00EA40A3" w:rsidRDefault="00EA40A3">
      <w:pPr>
        <w:spacing w:line="246" w:lineRule="auto"/>
      </w:pPr>
    </w:p>
    <w:p w:rsidR="00EA40A3" w:rsidRDefault="00EA40A3">
      <w:pPr>
        <w:spacing w:line="246" w:lineRule="auto"/>
      </w:pPr>
    </w:p>
    <w:p w:rsidR="00EA40A3" w:rsidRDefault="00EA40A3">
      <w:pPr>
        <w:spacing w:line="247" w:lineRule="auto"/>
      </w:pPr>
    </w:p>
    <w:p w:rsidR="00EA40A3" w:rsidRDefault="00E86C16">
      <w:pPr>
        <w:spacing w:before="53" w:line="110" w:lineRule="exact"/>
        <w:rPr>
          <w:rFonts w:ascii="宋体" w:eastAsia="宋体" w:hAnsi="宋体" w:cs="宋体"/>
          <w:sz w:val="16"/>
          <w:szCs w:val="16"/>
        </w:rPr>
      </w:pPr>
      <w:r>
        <w:rPr>
          <w:rFonts w:ascii="宋体" w:eastAsia="宋体" w:hAnsi="宋体" w:cs="宋体"/>
          <w:spacing w:val="-2"/>
          <w:position w:val="-2"/>
          <w:sz w:val="16"/>
          <w:szCs w:val="16"/>
        </w:rPr>
        <w:t>20～30</w:t>
      </w:r>
    </w:p>
    <w:p w:rsidR="00EA40A3" w:rsidRDefault="00EA40A3">
      <w:pPr>
        <w:sectPr w:rsidR="00EA40A3">
          <w:type w:val="continuous"/>
          <w:pgSz w:w="9220" w:h="13360"/>
          <w:pgMar w:top="2887" w:right="1009" w:bottom="1514" w:left="849" w:header="1827" w:footer="1069" w:gutter="0"/>
          <w:cols w:num="4" w:space="720" w:equalWidth="0">
            <w:col w:w="1421" w:space="100"/>
            <w:col w:w="3060" w:space="100"/>
            <w:col w:w="1651" w:space="100"/>
            <w:col w:w="931"/>
          </w:cols>
        </w:sectPr>
      </w:pPr>
    </w:p>
    <w:p w:rsidR="00EA40A3" w:rsidRDefault="00EA40A3">
      <w:pPr>
        <w:spacing w:line="259" w:lineRule="auto"/>
      </w:pPr>
    </w:p>
    <w:p w:rsidR="00EA40A3" w:rsidRDefault="00EA40A3">
      <w:pPr>
        <w:spacing w:line="260" w:lineRule="auto"/>
      </w:pPr>
    </w:p>
    <w:p w:rsidR="00EA40A3" w:rsidRDefault="00E86C16">
      <w:pPr>
        <w:spacing w:before="55" w:line="214" w:lineRule="auto"/>
        <w:ind w:left="6660"/>
        <w:rPr>
          <w:rFonts w:ascii="宋体" w:eastAsia="宋体" w:hAnsi="宋体" w:cs="宋体"/>
          <w:sz w:val="17"/>
          <w:szCs w:val="17"/>
        </w:rPr>
      </w:pPr>
      <w:r>
        <w:rPr>
          <w:rFonts w:ascii="宋体" w:eastAsia="宋体" w:hAnsi="宋体" w:cs="宋体"/>
          <w:spacing w:val="13"/>
          <w:sz w:val="17"/>
          <w:szCs w:val="17"/>
        </w:rPr>
        <w:t>续表</w:t>
      </w:r>
    </w:p>
    <w:tbl>
      <w:tblPr>
        <w:tblStyle w:val="TableNormal"/>
        <w:tblW w:w="7330" w:type="dxa"/>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97"/>
        <w:gridCol w:w="205"/>
        <w:gridCol w:w="679"/>
        <w:gridCol w:w="780"/>
        <w:gridCol w:w="804"/>
        <w:gridCol w:w="860"/>
        <w:gridCol w:w="1575"/>
        <w:gridCol w:w="1230"/>
      </w:tblGrid>
      <w:tr w:rsidR="00EA40A3">
        <w:trPr>
          <w:trHeight w:val="862"/>
        </w:trPr>
        <w:tc>
          <w:tcPr>
            <w:tcW w:w="1197" w:type="dxa"/>
            <w:tcBorders>
              <w:left w:val="nil"/>
              <w:right w:val="nil"/>
            </w:tcBorders>
          </w:tcPr>
          <w:p w:rsidR="00EA40A3" w:rsidRDefault="00EA40A3">
            <w:pPr>
              <w:spacing w:line="282" w:lineRule="auto"/>
            </w:pPr>
          </w:p>
          <w:p w:rsidR="00EA40A3" w:rsidRDefault="00E86C16">
            <w:pPr>
              <w:spacing w:before="58" w:line="219" w:lineRule="auto"/>
              <w:ind w:left="369"/>
              <w:rPr>
                <w:rFonts w:ascii="宋体" w:eastAsia="宋体" w:hAnsi="宋体" w:cs="宋体"/>
                <w:sz w:val="18"/>
                <w:szCs w:val="18"/>
              </w:rPr>
            </w:pPr>
            <w:r>
              <w:rPr>
                <w:rFonts w:ascii="宋体" w:eastAsia="宋体" w:hAnsi="宋体" w:cs="宋体"/>
                <w:spacing w:val="6"/>
                <w:sz w:val="18"/>
                <w:szCs w:val="18"/>
              </w:rPr>
              <w:t>年龄/岁</w:t>
            </w:r>
          </w:p>
        </w:tc>
        <w:tc>
          <w:tcPr>
            <w:tcW w:w="4903" w:type="dxa"/>
            <w:gridSpan w:val="6"/>
            <w:tcBorders>
              <w:left w:val="nil"/>
              <w:right w:val="nil"/>
            </w:tcBorders>
          </w:tcPr>
          <w:p w:rsidR="00EA40A3" w:rsidRDefault="00EA40A3">
            <w:pPr>
              <w:spacing w:line="112" w:lineRule="exact"/>
            </w:pPr>
          </w:p>
          <w:tbl>
            <w:tblPr>
              <w:tblStyle w:val="TableNormal"/>
              <w:tblW w:w="3780" w:type="dxa"/>
              <w:tblInd w:w="6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42"/>
              <w:gridCol w:w="1038"/>
            </w:tblGrid>
            <w:tr w:rsidR="00EA40A3">
              <w:trPr>
                <w:trHeight w:val="232"/>
              </w:trPr>
              <w:tc>
                <w:tcPr>
                  <w:tcW w:w="2742" w:type="dxa"/>
                </w:tcPr>
                <w:p w:rsidR="00EA40A3" w:rsidRDefault="00E86C16">
                  <w:pPr>
                    <w:spacing w:before="10" w:line="221" w:lineRule="auto"/>
                    <w:ind w:left="849"/>
                    <w:rPr>
                      <w:rFonts w:ascii="宋体" w:eastAsia="宋体" w:hAnsi="宋体" w:cs="宋体"/>
                      <w:sz w:val="18"/>
                      <w:szCs w:val="18"/>
                    </w:rPr>
                  </w:pPr>
                  <w:r>
                    <w:rPr>
                      <w:rFonts w:ascii="宋体" w:eastAsia="宋体" w:hAnsi="宋体" w:cs="宋体"/>
                      <w:spacing w:val="2"/>
                      <w:sz w:val="18"/>
                      <w:szCs w:val="18"/>
                    </w:rPr>
                    <w:t>能量=</w:t>
                  </w:r>
                </w:p>
              </w:tc>
              <w:tc>
                <w:tcPr>
                  <w:tcW w:w="1038" w:type="dxa"/>
                </w:tcPr>
                <w:p w:rsidR="00EA40A3" w:rsidRDefault="00E86C16">
                  <w:pPr>
                    <w:spacing w:line="230" w:lineRule="auto"/>
                    <w:ind w:left="477"/>
                    <w:rPr>
                      <w:rFonts w:ascii="宋体" w:eastAsia="宋体" w:hAnsi="宋体" w:cs="宋体"/>
                      <w:sz w:val="17"/>
                      <w:szCs w:val="17"/>
                    </w:rPr>
                  </w:pPr>
                  <w:r>
                    <w:rPr>
                      <w:rFonts w:ascii="宋体" w:eastAsia="宋体" w:hAnsi="宋体" w:cs="宋体"/>
                      <w:spacing w:val="16"/>
                      <w:sz w:val="17"/>
                      <w:szCs w:val="17"/>
                    </w:rPr>
                    <w:t>蛋白质</w:t>
                  </w:r>
                </w:p>
              </w:tc>
            </w:tr>
            <w:tr w:rsidR="00EA40A3">
              <w:trPr>
                <w:trHeight w:val="235"/>
              </w:trPr>
              <w:tc>
                <w:tcPr>
                  <w:tcW w:w="2742" w:type="dxa"/>
                </w:tcPr>
                <w:p w:rsidR="00EA40A3" w:rsidRDefault="00825D12">
                  <w:pPr>
                    <w:spacing w:before="42" w:line="209" w:lineRule="auto"/>
                    <w:rPr>
                      <w:rFonts w:ascii="宋体" w:eastAsia="宋体" w:hAnsi="宋体" w:cs="宋体"/>
                      <w:sz w:val="17"/>
                      <w:szCs w:val="17"/>
                    </w:rPr>
                  </w:pPr>
                  <w:r>
                    <w:rPr>
                      <w:noProof/>
                    </w:rPr>
                    <mc:AlternateContent>
                      <mc:Choice Requires="wps">
                        <w:drawing>
                          <wp:anchor distT="0" distB="0" distL="114300" distR="114300" simplePos="0" relativeHeight="251725824" behindDoc="1" locked="0" layoutInCell="1" allowOverlap="1">
                            <wp:simplePos x="0" y="0"/>
                            <wp:positionH relativeFrom="column">
                              <wp:posOffset>-279400</wp:posOffset>
                            </wp:positionH>
                            <wp:positionV relativeFrom="paragraph">
                              <wp:posOffset>142875</wp:posOffset>
                            </wp:positionV>
                            <wp:extent cx="2934335" cy="6350"/>
                            <wp:effectExtent l="8255" t="8255" r="635" b="4445"/>
                            <wp:wrapNone/>
                            <wp:docPr id="9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4335" cy="6350"/>
                                    </a:xfrm>
                                    <a:prstGeom prst="rect">
                                      <a:avLst/>
                                    </a:prstGeom>
                                    <a:solidFill>
                                      <a:srgbClr val="000000">
                                        <a:alpha val="75294"/>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D1A2B" id="Rectangle 65" o:spid="_x0000_s1026" style="position:absolute;left:0;text-align:left;margin-left:-22pt;margin-top:11.25pt;width:231.05pt;height:.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" fillcolor="black" stroked="f">
                            <v:fill opacity="49344f"/>
                          </v:rect>
                        </w:pict>
                      </mc:Fallback>
                    </mc:AlternateContent>
                  </w:r>
                  <w:r w:rsidR="00E86C16">
                    <w:rPr>
                      <w:rFonts w:ascii="宋体" w:eastAsia="宋体" w:hAnsi="宋体" w:cs="宋体"/>
                      <w:spacing w:val="4"/>
                      <w:sz w:val="17"/>
                      <w:szCs w:val="17"/>
                    </w:rPr>
                    <w:t>RNI/MJ</w:t>
                  </w:r>
                  <w:r w:rsidR="00E86C16">
                    <w:rPr>
                      <w:rFonts w:ascii="宋体" w:eastAsia="宋体" w:hAnsi="宋体" w:cs="宋体"/>
                      <w:sz w:val="17"/>
                      <w:szCs w:val="17"/>
                    </w:rPr>
                    <w:t xml:space="preserve">            </w:t>
                  </w:r>
                  <w:r w:rsidR="00E86C16">
                    <w:rPr>
                      <w:rFonts w:ascii="宋体" w:eastAsia="宋体" w:hAnsi="宋体" w:cs="宋体"/>
                      <w:spacing w:val="4"/>
                      <w:sz w:val="17"/>
                      <w:szCs w:val="17"/>
                    </w:rPr>
                    <w:t>RNI/kcal</w:t>
                  </w:r>
                </w:p>
              </w:tc>
              <w:tc>
                <w:tcPr>
                  <w:tcW w:w="1038" w:type="dxa"/>
                </w:tcPr>
                <w:p w:rsidR="00EA40A3" w:rsidRDefault="00E86C16">
                  <w:pPr>
                    <w:spacing w:before="41" w:line="198" w:lineRule="auto"/>
                    <w:ind w:left="467"/>
                    <w:rPr>
                      <w:rFonts w:ascii="宋体" w:eastAsia="宋体" w:hAnsi="宋体" w:cs="宋体"/>
                      <w:sz w:val="18"/>
                      <w:szCs w:val="18"/>
                    </w:rPr>
                  </w:pPr>
                  <w:r>
                    <w:rPr>
                      <w:rFonts w:ascii="宋体" w:eastAsia="宋体" w:hAnsi="宋体" w:cs="宋体"/>
                      <w:spacing w:val="-1"/>
                      <w:sz w:val="18"/>
                      <w:szCs w:val="18"/>
                    </w:rPr>
                    <w:t>RNI/g</w:t>
                  </w:r>
                </w:p>
              </w:tc>
            </w:tr>
          </w:tbl>
          <w:p w:rsidR="00EA40A3" w:rsidRDefault="00E86C16">
            <w:pPr>
              <w:spacing w:before="61" w:line="215" w:lineRule="auto"/>
              <w:ind w:left="403"/>
              <w:rPr>
                <w:rFonts w:ascii="宋体" w:eastAsia="宋体" w:hAnsi="宋体" w:cs="宋体"/>
                <w:sz w:val="18"/>
                <w:szCs w:val="18"/>
              </w:rPr>
            </w:pPr>
            <w:r>
              <w:rPr>
                <w:rFonts w:ascii="宋体" w:eastAsia="宋体" w:hAnsi="宋体" w:cs="宋体"/>
                <w:spacing w:val="-11"/>
                <w:sz w:val="18"/>
                <w:szCs w:val="18"/>
              </w:rPr>
              <w:t>男</w:t>
            </w:r>
            <w:r>
              <w:rPr>
                <w:rFonts w:ascii="宋体" w:eastAsia="宋体" w:hAnsi="宋体" w:cs="宋体"/>
                <w:spacing w:val="8"/>
                <w:sz w:val="18"/>
                <w:szCs w:val="18"/>
              </w:rPr>
              <w:t xml:space="preserve">    </w:t>
            </w:r>
            <w:r>
              <w:rPr>
                <w:rFonts w:ascii="宋体" w:eastAsia="宋体" w:hAnsi="宋体" w:cs="宋体"/>
                <w:spacing w:val="-11"/>
                <w:sz w:val="18"/>
                <w:szCs w:val="18"/>
              </w:rPr>
              <w:t>女</w:t>
            </w:r>
            <w:r>
              <w:rPr>
                <w:rFonts w:ascii="宋体" w:eastAsia="宋体" w:hAnsi="宋体" w:cs="宋体"/>
                <w:spacing w:val="4"/>
                <w:sz w:val="18"/>
                <w:szCs w:val="18"/>
              </w:rPr>
              <w:t xml:space="preserve">         </w:t>
            </w:r>
            <w:r>
              <w:rPr>
                <w:rFonts w:ascii="宋体" w:eastAsia="宋体" w:hAnsi="宋体" w:cs="宋体"/>
                <w:spacing w:val="-11"/>
                <w:sz w:val="18"/>
                <w:szCs w:val="18"/>
              </w:rPr>
              <w:t>男</w:t>
            </w:r>
            <w:r>
              <w:rPr>
                <w:rFonts w:ascii="宋体" w:eastAsia="宋体" w:hAnsi="宋体" w:cs="宋体"/>
                <w:spacing w:val="10"/>
                <w:sz w:val="18"/>
                <w:szCs w:val="18"/>
              </w:rPr>
              <w:t xml:space="preserve">    </w:t>
            </w:r>
            <w:r>
              <w:rPr>
                <w:rFonts w:ascii="宋体" w:eastAsia="宋体" w:hAnsi="宋体" w:cs="宋体"/>
                <w:spacing w:val="-11"/>
                <w:sz w:val="18"/>
                <w:szCs w:val="18"/>
              </w:rPr>
              <w:t>女</w:t>
            </w:r>
            <w:r>
              <w:rPr>
                <w:rFonts w:ascii="宋体" w:eastAsia="宋体" w:hAnsi="宋体" w:cs="宋体"/>
                <w:spacing w:val="3"/>
                <w:sz w:val="18"/>
                <w:szCs w:val="18"/>
              </w:rPr>
              <w:t xml:space="preserve">         </w:t>
            </w:r>
            <w:r>
              <w:rPr>
                <w:rFonts w:ascii="宋体" w:eastAsia="宋体" w:hAnsi="宋体" w:cs="宋体"/>
                <w:spacing w:val="-11"/>
                <w:position w:val="-1"/>
                <w:sz w:val="18"/>
                <w:szCs w:val="18"/>
              </w:rPr>
              <w:t>男</w:t>
            </w:r>
            <w:r>
              <w:rPr>
                <w:rFonts w:ascii="宋体" w:eastAsia="宋体" w:hAnsi="宋体" w:cs="宋体"/>
                <w:spacing w:val="5"/>
                <w:position w:val="-1"/>
                <w:sz w:val="18"/>
                <w:szCs w:val="18"/>
              </w:rPr>
              <w:t xml:space="preserve">       </w:t>
            </w:r>
            <w:r>
              <w:rPr>
                <w:rFonts w:ascii="宋体" w:eastAsia="宋体" w:hAnsi="宋体" w:cs="宋体"/>
                <w:spacing w:val="-11"/>
                <w:position w:val="-1"/>
                <w:sz w:val="18"/>
                <w:szCs w:val="18"/>
              </w:rPr>
              <w:t>女</w:t>
            </w:r>
          </w:p>
        </w:tc>
        <w:tc>
          <w:tcPr>
            <w:tcW w:w="1230" w:type="dxa"/>
            <w:tcBorders>
              <w:left w:val="nil"/>
              <w:right w:val="nil"/>
            </w:tcBorders>
          </w:tcPr>
          <w:p w:rsidR="00EA40A3" w:rsidRDefault="00E86C16">
            <w:pPr>
              <w:spacing w:before="123" w:line="220" w:lineRule="auto"/>
              <w:ind w:left="380"/>
              <w:rPr>
                <w:rFonts w:ascii="宋体" w:eastAsia="宋体" w:hAnsi="宋体" w:cs="宋体"/>
                <w:sz w:val="18"/>
                <w:szCs w:val="18"/>
              </w:rPr>
            </w:pPr>
            <w:r>
              <w:rPr>
                <w:rFonts w:ascii="宋体" w:eastAsia="宋体" w:hAnsi="宋体" w:cs="宋体"/>
                <w:spacing w:val="-3"/>
                <w:sz w:val="18"/>
                <w:szCs w:val="18"/>
              </w:rPr>
              <w:t>脂肪</w:t>
            </w:r>
          </w:p>
          <w:p w:rsidR="00EA40A3" w:rsidRDefault="00E86C16">
            <w:pPr>
              <w:spacing w:before="55" w:line="220" w:lineRule="auto"/>
              <w:ind w:left="110"/>
              <w:rPr>
                <w:rFonts w:ascii="宋体" w:eastAsia="宋体" w:hAnsi="宋体" w:cs="宋体"/>
                <w:sz w:val="18"/>
                <w:szCs w:val="18"/>
              </w:rPr>
            </w:pPr>
            <w:r>
              <w:rPr>
                <w:rFonts w:ascii="宋体" w:eastAsia="宋体" w:hAnsi="宋体" w:cs="宋体"/>
                <w:spacing w:val="1"/>
                <w:sz w:val="18"/>
                <w:szCs w:val="18"/>
              </w:rPr>
              <w:t>占能量百分</w:t>
            </w:r>
          </w:p>
          <w:p w:rsidR="00EA40A3" w:rsidRDefault="00E86C16">
            <w:pPr>
              <w:spacing w:before="30" w:line="224" w:lineRule="auto"/>
              <w:ind w:left="380"/>
              <w:rPr>
                <w:rFonts w:ascii="宋体" w:eastAsia="宋体" w:hAnsi="宋体" w:cs="宋体"/>
                <w:sz w:val="18"/>
                <w:szCs w:val="18"/>
              </w:rPr>
            </w:pPr>
            <w:r>
              <w:rPr>
                <w:rFonts w:ascii="宋体" w:eastAsia="宋体" w:hAnsi="宋体" w:cs="宋体"/>
                <w:spacing w:val="1"/>
                <w:sz w:val="18"/>
                <w:szCs w:val="18"/>
              </w:rPr>
              <w:t>比/%</w:t>
            </w:r>
          </w:p>
        </w:tc>
      </w:tr>
      <w:tr w:rsidR="00EA40A3">
        <w:trPr>
          <w:trHeight w:val="2358"/>
        </w:trPr>
        <w:tc>
          <w:tcPr>
            <w:tcW w:w="1402" w:type="dxa"/>
            <w:gridSpan w:val="2"/>
            <w:tcBorders>
              <w:left w:val="nil"/>
              <w:right w:val="nil"/>
            </w:tcBorders>
          </w:tcPr>
          <w:p w:rsidR="00EA40A3" w:rsidRDefault="00E86C16">
            <w:pPr>
              <w:spacing w:before="60" w:line="219" w:lineRule="auto"/>
              <w:ind w:left="100"/>
              <w:rPr>
                <w:rFonts w:ascii="宋体" w:eastAsia="宋体" w:hAnsi="宋体" w:cs="宋体"/>
                <w:sz w:val="18"/>
                <w:szCs w:val="18"/>
              </w:rPr>
            </w:pPr>
            <w:r>
              <w:rPr>
                <w:rFonts w:ascii="宋体" w:eastAsia="宋体" w:hAnsi="宋体" w:cs="宋体"/>
                <w:spacing w:val="2"/>
                <w:sz w:val="18"/>
                <w:szCs w:val="18"/>
              </w:rPr>
              <w:t>体力活动</w:t>
            </w:r>
            <w:r>
              <w:rPr>
                <w:rFonts w:ascii="宋体" w:eastAsia="宋体" w:hAnsi="宋体" w:cs="宋体"/>
                <w:sz w:val="18"/>
                <w:szCs w:val="18"/>
              </w:rPr>
              <w:t>PAL</w:t>
            </w:r>
            <w:r>
              <w:rPr>
                <w:rFonts w:ascii="宋体" w:eastAsia="宋体" w:hAnsi="宋体" w:cs="宋体"/>
                <w:spacing w:val="2"/>
                <w:sz w:val="18"/>
                <w:szCs w:val="18"/>
              </w:rPr>
              <w:t>▲</w:t>
            </w:r>
          </w:p>
          <w:p w:rsidR="00EA40A3" w:rsidRDefault="00E86C16">
            <w:pPr>
              <w:spacing w:before="96" w:line="219" w:lineRule="auto"/>
              <w:ind w:left="590"/>
              <w:rPr>
                <w:rFonts w:ascii="宋体" w:eastAsia="宋体" w:hAnsi="宋体" w:cs="宋体"/>
                <w:sz w:val="18"/>
                <w:szCs w:val="18"/>
              </w:rPr>
            </w:pPr>
            <w:r>
              <w:rPr>
                <w:rFonts w:ascii="宋体" w:eastAsia="宋体" w:hAnsi="宋体" w:cs="宋体"/>
                <w:sz w:val="18"/>
                <w:szCs w:val="18"/>
              </w:rPr>
              <w:t>轻</w:t>
            </w:r>
          </w:p>
          <w:p w:rsidR="00EA40A3" w:rsidRDefault="00E86C16">
            <w:pPr>
              <w:spacing w:before="86" w:line="220" w:lineRule="auto"/>
              <w:ind w:left="590"/>
              <w:rPr>
                <w:rFonts w:ascii="宋体" w:eastAsia="宋体" w:hAnsi="宋体" w:cs="宋体"/>
                <w:sz w:val="18"/>
                <w:szCs w:val="18"/>
              </w:rPr>
            </w:pPr>
            <w:r>
              <w:rPr>
                <w:rFonts w:ascii="宋体" w:eastAsia="宋体" w:hAnsi="宋体" w:cs="宋体"/>
                <w:sz w:val="18"/>
                <w:szCs w:val="18"/>
              </w:rPr>
              <w:t>中</w:t>
            </w:r>
          </w:p>
          <w:p w:rsidR="00EA40A3" w:rsidRDefault="00E86C16">
            <w:pPr>
              <w:spacing w:before="141" w:line="183" w:lineRule="auto"/>
              <w:ind w:left="500"/>
              <w:rPr>
                <w:rFonts w:ascii="宋体" w:eastAsia="宋体" w:hAnsi="宋体" w:cs="宋体"/>
                <w:sz w:val="18"/>
                <w:szCs w:val="18"/>
              </w:rPr>
            </w:pPr>
            <w:r>
              <w:rPr>
                <w:rFonts w:ascii="宋体" w:eastAsia="宋体" w:hAnsi="宋体" w:cs="宋体"/>
                <w:spacing w:val="21"/>
                <w:sz w:val="18"/>
                <w:szCs w:val="18"/>
              </w:rPr>
              <w:t>70~</w:t>
            </w:r>
          </w:p>
          <w:p w:rsidR="00EA40A3" w:rsidRDefault="00E86C16">
            <w:pPr>
              <w:spacing w:before="45" w:line="219" w:lineRule="auto"/>
              <w:ind w:left="100"/>
              <w:rPr>
                <w:rFonts w:ascii="宋体" w:eastAsia="宋体" w:hAnsi="宋体" w:cs="宋体"/>
                <w:sz w:val="18"/>
                <w:szCs w:val="18"/>
              </w:rPr>
            </w:pPr>
            <w:r>
              <w:rPr>
                <w:rFonts w:ascii="宋体" w:eastAsia="宋体" w:hAnsi="宋体" w:cs="宋体"/>
                <w:spacing w:val="2"/>
                <w:sz w:val="18"/>
                <w:szCs w:val="18"/>
              </w:rPr>
              <w:t>体力活动</w:t>
            </w:r>
            <w:r>
              <w:rPr>
                <w:rFonts w:ascii="宋体" w:eastAsia="宋体" w:hAnsi="宋体" w:cs="宋体"/>
                <w:sz w:val="18"/>
                <w:szCs w:val="18"/>
              </w:rPr>
              <w:t>PAL</w:t>
            </w:r>
            <w:r>
              <w:rPr>
                <w:rFonts w:ascii="宋体" w:eastAsia="宋体" w:hAnsi="宋体" w:cs="宋体"/>
                <w:spacing w:val="2"/>
                <w:sz w:val="18"/>
                <w:szCs w:val="18"/>
              </w:rPr>
              <w:t>▲</w:t>
            </w:r>
          </w:p>
          <w:p w:rsidR="00EA40A3" w:rsidRDefault="00E86C16">
            <w:pPr>
              <w:spacing w:before="87" w:line="219" w:lineRule="auto"/>
              <w:ind w:left="590"/>
              <w:rPr>
                <w:rFonts w:ascii="宋体" w:eastAsia="宋体" w:hAnsi="宋体" w:cs="宋体"/>
                <w:sz w:val="18"/>
                <w:szCs w:val="18"/>
              </w:rPr>
            </w:pPr>
            <w:r>
              <w:rPr>
                <w:rFonts w:ascii="宋体" w:eastAsia="宋体" w:hAnsi="宋体" w:cs="宋体"/>
                <w:sz w:val="18"/>
                <w:szCs w:val="18"/>
              </w:rPr>
              <w:t>轻</w:t>
            </w:r>
          </w:p>
          <w:p w:rsidR="00EA40A3" w:rsidRDefault="00E86C16">
            <w:pPr>
              <w:spacing w:before="76" w:line="336" w:lineRule="exact"/>
              <w:ind w:left="590"/>
              <w:rPr>
                <w:rFonts w:ascii="宋体" w:eastAsia="宋体" w:hAnsi="宋体" w:cs="宋体"/>
                <w:sz w:val="18"/>
                <w:szCs w:val="18"/>
              </w:rPr>
            </w:pPr>
            <w:r>
              <w:rPr>
                <w:rFonts w:ascii="宋体" w:eastAsia="宋体" w:hAnsi="宋体" w:cs="宋体"/>
                <w:position w:val="11"/>
                <w:sz w:val="18"/>
                <w:szCs w:val="18"/>
              </w:rPr>
              <w:t>中</w:t>
            </w:r>
          </w:p>
          <w:p w:rsidR="00EA40A3" w:rsidRDefault="00E86C16">
            <w:pPr>
              <w:spacing w:line="183" w:lineRule="auto"/>
              <w:ind w:left="500"/>
              <w:rPr>
                <w:rFonts w:ascii="宋体" w:eastAsia="宋体" w:hAnsi="宋体" w:cs="宋体"/>
                <w:sz w:val="18"/>
                <w:szCs w:val="18"/>
              </w:rPr>
            </w:pPr>
            <w:r>
              <w:rPr>
                <w:rFonts w:ascii="宋体" w:eastAsia="宋体" w:hAnsi="宋体" w:cs="宋体"/>
                <w:spacing w:val="14"/>
                <w:w w:val="109"/>
                <w:sz w:val="18"/>
                <w:szCs w:val="18"/>
              </w:rPr>
              <w:t>80~</w:t>
            </w:r>
          </w:p>
        </w:tc>
        <w:tc>
          <w:tcPr>
            <w:tcW w:w="679" w:type="dxa"/>
            <w:tcBorders>
              <w:left w:val="nil"/>
              <w:right w:val="nil"/>
            </w:tcBorders>
          </w:tcPr>
          <w:p w:rsidR="00EA40A3" w:rsidRDefault="00EA40A3">
            <w:pPr>
              <w:spacing w:line="376" w:lineRule="auto"/>
            </w:pPr>
          </w:p>
          <w:p w:rsidR="00EA40A3" w:rsidRDefault="00E86C16">
            <w:pPr>
              <w:spacing w:before="58" w:line="290" w:lineRule="exact"/>
              <w:ind w:left="118"/>
              <w:rPr>
                <w:rFonts w:ascii="宋体" w:eastAsia="宋体" w:hAnsi="宋体" w:cs="宋体"/>
                <w:sz w:val="18"/>
                <w:szCs w:val="18"/>
              </w:rPr>
            </w:pPr>
            <w:r>
              <w:rPr>
                <w:rFonts w:ascii="宋体" w:eastAsia="宋体" w:hAnsi="宋体" w:cs="宋体"/>
                <w:spacing w:val="-3"/>
                <w:position w:val="11"/>
                <w:sz w:val="18"/>
                <w:szCs w:val="18"/>
              </w:rPr>
              <w:t>7.94</w:t>
            </w:r>
          </w:p>
          <w:p w:rsidR="00EA40A3" w:rsidRDefault="00E86C16">
            <w:pPr>
              <w:spacing w:line="183" w:lineRule="auto"/>
              <w:ind w:left="118"/>
              <w:rPr>
                <w:rFonts w:ascii="宋体" w:eastAsia="宋体" w:hAnsi="宋体" w:cs="宋体"/>
                <w:sz w:val="18"/>
                <w:szCs w:val="18"/>
              </w:rPr>
            </w:pPr>
            <w:r>
              <w:rPr>
                <w:rFonts w:ascii="宋体" w:eastAsia="宋体" w:hAnsi="宋体" w:cs="宋体"/>
                <w:spacing w:val="-2"/>
                <w:sz w:val="18"/>
                <w:szCs w:val="18"/>
              </w:rPr>
              <w:t>9.20</w:t>
            </w:r>
          </w:p>
          <w:p w:rsidR="00EA40A3" w:rsidRDefault="00EA40A3">
            <w:pPr>
              <w:spacing w:line="314" w:lineRule="auto"/>
            </w:pPr>
          </w:p>
          <w:p w:rsidR="00EA40A3" w:rsidRDefault="00EA40A3">
            <w:pPr>
              <w:spacing w:line="315" w:lineRule="auto"/>
            </w:pPr>
          </w:p>
          <w:p w:rsidR="00EA40A3" w:rsidRDefault="00E86C16">
            <w:pPr>
              <w:spacing w:before="58" w:line="290" w:lineRule="exact"/>
              <w:ind w:left="118"/>
              <w:rPr>
                <w:rFonts w:ascii="宋体" w:eastAsia="宋体" w:hAnsi="宋体" w:cs="宋体"/>
                <w:sz w:val="18"/>
                <w:szCs w:val="18"/>
              </w:rPr>
            </w:pPr>
            <w:r>
              <w:rPr>
                <w:rFonts w:ascii="宋体" w:eastAsia="宋体" w:hAnsi="宋体" w:cs="宋体"/>
                <w:spacing w:val="-3"/>
                <w:position w:val="11"/>
                <w:sz w:val="18"/>
                <w:szCs w:val="18"/>
              </w:rPr>
              <w:t>7.94</w:t>
            </w:r>
          </w:p>
          <w:p w:rsidR="00EA40A3" w:rsidRDefault="00E86C16">
            <w:pPr>
              <w:spacing w:line="183" w:lineRule="auto"/>
              <w:ind w:left="118"/>
              <w:rPr>
                <w:rFonts w:ascii="宋体" w:eastAsia="宋体" w:hAnsi="宋体" w:cs="宋体"/>
                <w:sz w:val="18"/>
                <w:szCs w:val="18"/>
              </w:rPr>
            </w:pPr>
            <w:r>
              <w:rPr>
                <w:rFonts w:ascii="宋体" w:eastAsia="宋体" w:hAnsi="宋体" w:cs="宋体"/>
                <w:spacing w:val="-2"/>
                <w:sz w:val="18"/>
                <w:szCs w:val="18"/>
              </w:rPr>
              <w:t>8.80</w:t>
            </w:r>
          </w:p>
          <w:p w:rsidR="00EA40A3" w:rsidRDefault="00E86C16">
            <w:pPr>
              <w:spacing w:before="111" w:line="183" w:lineRule="auto"/>
              <w:ind w:left="118"/>
              <w:rPr>
                <w:rFonts w:ascii="宋体" w:eastAsia="宋体" w:hAnsi="宋体" w:cs="宋体"/>
                <w:sz w:val="18"/>
                <w:szCs w:val="18"/>
              </w:rPr>
            </w:pPr>
            <w:r>
              <w:rPr>
                <w:rFonts w:ascii="宋体" w:eastAsia="宋体" w:hAnsi="宋体" w:cs="宋体"/>
                <w:spacing w:val="-3"/>
                <w:sz w:val="18"/>
                <w:szCs w:val="18"/>
              </w:rPr>
              <w:t>7.74</w:t>
            </w:r>
          </w:p>
        </w:tc>
        <w:tc>
          <w:tcPr>
            <w:tcW w:w="780" w:type="dxa"/>
            <w:tcBorders>
              <w:left w:val="nil"/>
              <w:right w:val="nil"/>
            </w:tcBorders>
          </w:tcPr>
          <w:p w:rsidR="00EA40A3" w:rsidRDefault="00EA40A3">
            <w:pPr>
              <w:spacing w:line="356" w:lineRule="auto"/>
            </w:pPr>
          </w:p>
          <w:p w:rsidR="00EA40A3" w:rsidRDefault="00E86C16">
            <w:pPr>
              <w:spacing w:before="58" w:line="310" w:lineRule="exact"/>
              <w:ind w:left="209"/>
              <w:rPr>
                <w:rFonts w:ascii="宋体" w:eastAsia="宋体" w:hAnsi="宋体" w:cs="宋体"/>
                <w:sz w:val="18"/>
                <w:szCs w:val="18"/>
              </w:rPr>
            </w:pPr>
            <w:r>
              <w:rPr>
                <w:rFonts w:ascii="宋体" w:eastAsia="宋体" w:hAnsi="宋体" w:cs="宋体"/>
                <w:spacing w:val="-3"/>
                <w:position w:val="12"/>
                <w:sz w:val="18"/>
                <w:szCs w:val="18"/>
              </w:rPr>
              <w:t>7.53</w:t>
            </w:r>
          </w:p>
          <w:p w:rsidR="00EA40A3" w:rsidRDefault="00E86C16">
            <w:pPr>
              <w:spacing w:line="183" w:lineRule="auto"/>
              <w:ind w:left="209"/>
              <w:rPr>
                <w:rFonts w:ascii="宋体" w:eastAsia="宋体" w:hAnsi="宋体" w:cs="宋体"/>
                <w:sz w:val="18"/>
                <w:szCs w:val="18"/>
              </w:rPr>
            </w:pPr>
            <w:r>
              <w:rPr>
                <w:rFonts w:ascii="宋体" w:eastAsia="宋体" w:hAnsi="宋体" w:cs="宋体"/>
                <w:spacing w:val="-2"/>
                <w:sz w:val="18"/>
                <w:szCs w:val="18"/>
              </w:rPr>
              <w:t>8.36</w:t>
            </w:r>
          </w:p>
          <w:p w:rsidR="00EA40A3" w:rsidRDefault="00EA40A3">
            <w:pPr>
              <w:spacing w:line="319" w:lineRule="auto"/>
            </w:pPr>
          </w:p>
          <w:p w:rsidR="00EA40A3" w:rsidRDefault="00EA40A3">
            <w:pPr>
              <w:spacing w:line="319" w:lineRule="auto"/>
            </w:pPr>
          </w:p>
          <w:p w:rsidR="00EA40A3" w:rsidRDefault="00E86C16">
            <w:pPr>
              <w:spacing w:before="58" w:line="301" w:lineRule="exact"/>
              <w:ind w:left="209"/>
              <w:rPr>
                <w:rFonts w:ascii="宋体" w:eastAsia="宋体" w:hAnsi="宋体" w:cs="宋体"/>
                <w:sz w:val="18"/>
                <w:szCs w:val="18"/>
              </w:rPr>
            </w:pPr>
            <w:r>
              <w:rPr>
                <w:rFonts w:ascii="宋体" w:eastAsia="宋体" w:hAnsi="宋体" w:cs="宋体"/>
                <w:spacing w:val="-3"/>
                <w:position w:val="11"/>
                <w:sz w:val="18"/>
                <w:szCs w:val="18"/>
              </w:rPr>
              <w:t>7.10</w:t>
            </w:r>
          </w:p>
          <w:p w:rsidR="00EA40A3" w:rsidRDefault="00E86C16">
            <w:pPr>
              <w:spacing w:line="183" w:lineRule="auto"/>
              <w:ind w:left="209"/>
              <w:rPr>
                <w:rFonts w:ascii="宋体" w:eastAsia="宋体" w:hAnsi="宋体" w:cs="宋体"/>
                <w:sz w:val="18"/>
                <w:szCs w:val="18"/>
              </w:rPr>
            </w:pPr>
            <w:r>
              <w:rPr>
                <w:rFonts w:ascii="宋体" w:eastAsia="宋体" w:hAnsi="宋体" w:cs="宋体"/>
                <w:spacing w:val="-2"/>
                <w:sz w:val="18"/>
                <w:szCs w:val="18"/>
              </w:rPr>
              <w:t>8.00</w:t>
            </w:r>
          </w:p>
          <w:p w:rsidR="00EA40A3" w:rsidRDefault="00E86C16">
            <w:pPr>
              <w:spacing w:before="90" w:line="184" w:lineRule="auto"/>
              <w:ind w:left="209"/>
              <w:rPr>
                <w:rFonts w:ascii="宋体" w:eastAsia="宋体" w:hAnsi="宋体" w:cs="宋体"/>
                <w:sz w:val="18"/>
                <w:szCs w:val="18"/>
              </w:rPr>
            </w:pPr>
            <w:r>
              <w:rPr>
                <w:rFonts w:ascii="宋体" w:eastAsia="宋体" w:hAnsi="宋体" w:cs="宋体"/>
                <w:spacing w:val="-3"/>
                <w:sz w:val="18"/>
                <w:szCs w:val="18"/>
              </w:rPr>
              <w:t>7.10</w:t>
            </w:r>
          </w:p>
        </w:tc>
        <w:tc>
          <w:tcPr>
            <w:tcW w:w="804" w:type="dxa"/>
            <w:tcBorders>
              <w:left w:val="nil"/>
              <w:right w:val="nil"/>
            </w:tcBorders>
          </w:tcPr>
          <w:p w:rsidR="00EA40A3" w:rsidRDefault="00EA40A3">
            <w:pPr>
              <w:spacing w:line="375" w:lineRule="auto"/>
            </w:pPr>
          </w:p>
          <w:p w:rsidR="00EA40A3" w:rsidRDefault="00E86C16">
            <w:pPr>
              <w:spacing w:before="58" w:line="184" w:lineRule="auto"/>
              <w:ind w:left="219"/>
              <w:rPr>
                <w:rFonts w:ascii="宋体" w:eastAsia="宋体" w:hAnsi="宋体" w:cs="宋体"/>
                <w:sz w:val="18"/>
                <w:szCs w:val="18"/>
              </w:rPr>
            </w:pPr>
            <w:r>
              <w:rPr>
                <w:rFonts w:ascii="宋体" w:eastAsia="宋体" w:hAnsi="宋体" w:cs="宋体"/>
                <w:spacing w:val="-4"/>
                <w:sz w:val="18"/>
                <w:szCs w:val="18"/>
              </w:rPr>
              <w:t>1900</w:t>
            </w:r>
          </w:p>
          <w:p w:rsidR="00EA40A3" w:rsidRDefault="00E86C16">
            <w:pPr>
              <w:spacing w:before="91" w:line="183" w:lineRule="auto"/>
              <w:ind w:left="219"/>
              <w:rPr>
                <w:rFonts w:ascii="宋体" w:eastAsia="宋体" w:hAnsi="宋体" w:cs="宋体"/>
                <w:sz w:val="18"/>
                <w:szCs w:val="18"/>
              </w:rPr>
            </w:pPr>
            <w:r>
              <w:rPr>
                <w:rFonts w:ascii="宋体" w:eastAsia="宋体" w:hAnsi="宋体" w:cs="宋体"/>
                <w:spacing w:val="-2"/>
                <w:sz w:val="18"/>
                <w:szCs w:val="18"/>
              </w:rPr>
              <w:t>2200</w:t>
            </w:r>
          </w:p>
          <w:p w:rsidR="00EA40A3" w:rsidRDefault="00EA40A3">
            <w:pPr>
              <w:spacing w:line="319" w:lineRule="auto"/>
            </w:pPr>
          </w:p>
          <w:p w:rsidR="00EA40A3" w:rsidRDefault="00EA40A3">
            <w:pPr>
              <w:spacing w:line="319" w:lineRule="auto"/>
            </w:pPr>
          </w:p>
          <w:p w:rsidR="00EA40A3" w:rsidRDefault="00E86C16">
            <w:pPr>
              <w:spacing w:before="58" w:line="184" w:lineRule="auto"/>
              <w:ind w:left="219"/>
              <w:rPr>
                <w:rFonts w:ascii="宋体" w:eastAsia="宋体" w:hAnsi="宋体" w:cs="宋体"/>
                <w:sz w:val="18"/>
                <w:szCs w:val="18"/>
              </w:rPr>
            </w:pPr>
            <w:r>
              <w:rPr>
                <w:rFonts w:ascii="宋体" w:eastAsia="宋体" w:hAnsi="宋体" w:cs="宋体"/>
                <w:spacing w:val="-4"/>
                <w:sz w:val="18"/>
                <w:szCs w:val="18"/>
              </w:rPr>
              <w:t>1900</w:t>
            </w:r>
          </w:p>
          <w:p w:rsidR="00EA40A3" w:rsidRDefault="00E86C16">
            <w:pPr>
              <w:spacing w:before="120" w:line="184" w:lineRule="auto"/>
              <w:ind w:left="219"/>
              <w:rPr>
                <w:rFonts w:ascii="宋体" w:eastAsia="宋体" w:hAnsi="宋体" w:cs="宋体"/>
                <w:sz w:val="18"/>
                <w:szCs w:val="18"/>
              </w:rPr>
            </w:pPr>
            <w:r>
              <w:rPr>
                <w:rFonts w:ascii="宋体" w:eastAsia="宋体" w:hAnsi="宋体" w:cs="宋体"/>
                <w:spacing w:val="-2"/>
                <w:sz w:val="18"/>
                <w:szCs w:val="18"/>
              </w:rPr>
              <w:t>2100</w:t>
            </w:r>
          </w:p>
          <w:p w:rsidR="00EA40A3" w:rsidRDefault="00E86C16">
            <w:pPr>
              <w:spacing w:before="111" w:line="184" w:lineRule="auto"/>
              <w:ind w:left="219"/>
              <w:rPr>
                <w:rFonts w:ascii="宋体" w:eastAsia="宋体" w:hAnsi="宋体" w:cs="宋体"/>
                <w:sz w:val="18"/>
                <w:szCs w:val="18"/>
              </w:rPr>
            </w:pPr>
            <w:r>
              <w:rPr>
                <w:rFonts w:ascii="宋体" w:eastAsia="宋体" w:hAnsi="宋体" w:cs="宋体"/>
                <w:spacing w:val="-4"/>
                <w:sz w:val="18"/>
                <w:szCs w:val="18"/>
              </w:rPr>
              <w:t>1900</w:t>
            </w:r>
          </w:p>
        </w:tc>
        <w:tc>
          <w:tcPr>
            <w:tcW w:w="860" w:type="dxa"/>
            <w:tcBorders>
              <w:left w:val="nil"/>
              <w:right w:val="nil"/>
            </w:tcBorders>
          </w:tcPr>
          <w:p w:rsidR="00EA40A3" w:rsidRDefault="00EA40A3">
            <w:pPr>
              <w:spacing w:line="345" w:lineRule="auto"/>
            </w:pPr>
          </w:p>
          <w:p w:rsidR="00EA40A3" w:rsidRDefault="00E86C16">
            <w:pPr>
              <w:spacing w:before="58" w:line="184" w:lineRule="auto"/>
              <w:ind w:left="235"/>
              <w:rPr>
                <w:rFonts w:ascii="宋体" w:eastAsia="宋体" w:hAnsi="宋体" w:cs="宋体"/>
                <w:sz w:val="18"/>
                <w:szCs w:val="18"/>
              </w:rPr>
            </w:pPr>
            <w:r>
              <w:rPr>
                <w:rFonts w:ascii="宋体" w:eastAsia="宋体" w:hAnsi="宋体" w:cs="宋体"/>
                <w:spacing w:val="-4"/>
                <w:sz w:val="18"/>
                <w:szCs w:val="18"/>
              </w:rPr>
              <w:t>1800</w:t>
            </w:r>
          </w:p>
          <w:p w:rsidR="00EA40A3" w:rsidRDefault="00E86C16">
            <w:pPr>
              <w:spacing w:before="151" w:line="183" w:lineRule="auto"/>
              <w:ind w:left="235"/>
              <w:rPr>
                <w:rFonts w:ascii="宋体" w:eastAsia="宋体" w:hAnsi="宋体" w:cs="宋体"/>
                <w:sz w:val="18"/>
                <w:szCs w:val="18"/>
              </w:rPr>
            </w:pPr>
            <w:r>
              <w:rPr>
                <w:rFonts w:ascii="宋体" w:eastAsia="宋体" w:hAnsi="宋体" w:cs="宋体"/>
                <w:spacing w:val="-2"/>
                <w:sz w:val="18"/>
                <w:szCs w:val="18"/>
              </w:rPr>
              <w:t>2000</w:t>
            </w:r>
          </w:p>
          <w:p w:rsidR="00EA40A3" w:rsidRDefault="00EA40A3">
            <w:pPr>
              <w:spacing w:line="319" w:lineRule="auto"/>
            </w:pPr>
          </w:p>
          <w:p w:rsidR="00EA40A3" w:rsidRDefault="00EA40A3">
            <w:pPr>
              <w:spacing w:line="319" w:lineRule="auto"/>
            </w:pPr>
          </w:p>
          <w:p w:rsidR="00EA40A3" w:rsidRDefault="00E86C16">
            <w:pPr>
              <w:spacing w:before="58" w:line="184" w:lineRule="auto"/>
              <w:ind w:left="235"/>
              <w:rPr>
                <w:rFonts w:ascii="宋体" w:eastAsia="宋体" w:hAnsi="宋体" w:cs="宋体"/>
                <w:sz w:val="18"/>
                <w:szCs w:val="18"/>
              </w:rPr>
            </w:pPr>
            <w:r>
              <w:rPr>
                <w:rFonts w:ascii="宋体" w:eastAsia="宋体" w:hAnsi="宋体" w:cs="宋体"/>
                <w:spacing w:val="-4"/>
                <w:sz w:val="18"/>
                <w:szCs w:val="18"/>
              </w:rPr>
              <w:t>1700</w:t>
            </w:r>
          </w:p>
          <w:p w:rsidR="00EA40A3" w:rsidRDefault="00E86C16">
            <w:pPr>
              <w:spacing w:before="120" w:line="184" w:lineRule="auto"/>
              <w:ind w:left="235"/>
              <w:rPr>
                <w:rFonts w:ascii="宋体" w:eastAsia="宋体" w:hAnsi="宋体" w:cs="宋体"/>
                <w:sz w:val="18"/>
                <w:szCs w:val="18"/>
              </w:rPr>
            </w:pPr>
            <w:r>
              <w:rPr>
                <w:rFonts w:ascii="宋体" w:eastAsia="宋体" w:hAnsi="宋体" w:cs="宋体"/>
                <w:spacing w:val="-4"/>
                <w:sz w:val="18"/>
                <w:szCs w:val="18"/>
              </w:rPr>
              <w:t>1900</w:t>
            </w:r>
          </w:p>
          <w:p w:rsidR="00EA40A3" w:rsidRDefault="00E86C16">
            <w:pPr>
              <w:spacing w:before="81" w:line="184" w:lineRule="auto"/>
              <w:ind w:left="235"/>
              <w:rPr>
                <w:rFonts w:ascii="宋体" w:eastAsia="宋体" w:hAnsi="宋体" w:cs="宋体"/>
                <w:sz w:val="18"/>
                <w:szCs w:val="18"/>
              </w:rPr>
            </w:pPr>
            <w:r>
              <w:rPr>
                <w:rFonts w:ascii="宋体" w:eastAsia="宋体" w:hAnsi="宋体" w:cs="宋体"/>
                <w:spacing w:val="-4"/>
                <w:sz w:val="18"/>
                <w:szCs w:val="18"/>
              </w:rPr>
              <w:t>1700</w:t>
            </w:r>
          </w:p>
        </w:tc>
        <w:tc>
          <w:tcPr>
            <w:tcW w:w="2805" w:type="dxa"/>
            <w:gridSpan w:val="2"/>
            <w:tcBorders>
              <w:left w:val="nil"/>
              <w:right w:val="nil"/>
            </w:tcBorders>
          </w:tcPr>
          <w:p w:rsidR="00EA40A3" w:rsidRDefault="00EA40A3">
            <w:pPr>
              <w:spacing w:line="310" w:lineRule="auto"/>
            </w:pPr>
          </w:p>
          <w:p w:rsidR="00EA40A3" w:rsidRDefault="00EA40A3">
            <w:pPr>
              <w:spacing w:line="311" w:lineRule="auto"/>
            </w:pPr>
          </w:p>
          <w:p w:rsidR="00EA40A3" w:rsidRDefault="00EA40A3">
            <w:pPr>
              <w:spacing w:line="311" w:lineRule="auto"/>
            </w:pPr>
          </w:p>
          <w:p w:rsidR="00EA40A3" w:rsidRDefault="00E86C16">
            <w:pPr>
              <w:spacing w:before="59" w:line="193" w:lineRule="auto"/>
              <w:ind w:left="275"/>
              <w:rPr>
                <w:rFonts w:ascii="宋体" w:eastAsia="宋体" w:hAnsi="宋体" w:cs="宋体"/>
                <w:sz w:val="18"/>
                <w:szCs w:val="18"/>
              </w:rPr>
            </w:pPr>
            <w:r>
              <w:rPr>
                <w:rFonts w:ascii="宋体" w:eastAsia="宋体" w:hAnsi="宋体" w:cs="宋体"/>
                <w:spacing w:val="-4"/>
                <w:position w:val="1"/>
                <w:sz w:val="18"/>
                <w:szCs w:val="18"/>
              </w:rPr>
              <w:t>75</w:t>
            </w:r>
            <w:r>
              <w:rPr>
                <w:rFonts w:ascii="宋体" w:eastAsia="宋体" w:hAnsi="宋体" w:cs="宋体"/>
                <w:spacing w:val="11"/>
                <w:position w:val="1"/>
                <w:sz w:val="18"/>
                <w:szCs w:val="18"/>
              </w:rPr>
              <w:t xml:space="preserve">      </w:t>
            </w:r>
            <w:r>
              <w:rPr>
                <w:rFonts w:ascii="宋体" w:eastAsia="宋体" w:hAnsi="宋体" w:cs="宋体"/>
                <w:spacing w:val="-4"/>
                <w:position w:val="1"/>
                <w:sz w:val="18"/>
                <w:szCs w:val="18"/>
              </w:rPr>
              <w:t>65</w:t>
            </w:r>
            <w:r>
              <w:rPr>
                <w:rFonts w:ascii="宋体" w:eastAsia="宋体" w:hAnsi="宋体" w:cs="宋体"/>
                <w:spacing w:val="3"/>
                <w:position w:val="1"/>
                <w:sz w:val="18"/>
                <w:szCs w:val="18"/>
              </w:rPr>
              <w:t xml:space="preserve">       </w:t>
            </w:r>
            <w:r>
              <w:rPr>
                <w:rFonts w:ascii="宋体" w:eastAsia="宋体" w:hAnsi="宋体" w:cs="宋体"/>
                <w:spacing w:val="-4"/>
                <w:position w:val="-1"/>
                <w:sz w:val="18"/>
                <w:szCs w:val="18"/>
              </w:rPr>
              <w:t>20～30</w:t>
            </w:r>
          </w:p>
          <w:p w:rsidR="00EA40A3" w:rsidRDefault="00EA40A3">
            <w:pPr>
              <w:spacing w:line="302" w:lineRule="auto"/>
            </w:pPr>
          </w:p>
          <w:p w:rsidR="00EA40A3" w:rsidRDefault="00EA40A3">
            <w:pPr>
              <w:spacing w:line="302" w:lineRule="auto"/>
            </w:pPr>
          </w:p>
          <w:p w:rsidR="00EA40A3" w:rsidRDefault="00EA40A3">
            <w:pPr>
              <w:spacing w:line="303" w:lineRule="auto"/>
            </w:pPr>
          </w:p>
          <w:p w:rsidR="00EA40A3" w:rsidRDefault="00E86C16">
            <w:pPr>
              <w:spacing w:before="59" w:line="183" w:lineRule="auto"/>
              <w:ind w:left="285"/>
              <w:rPr>
                <w:rFonts w:ascii="宋体" w:eastAsia="宋体" w:hAnsi="宋体" w:cs="宋体"/>
                <w:sz w:val="18"/>
                <w:szCs w:val="18"/>
              </w:rPr>
            </w:pPr>
            <w:r>
              <w:rPr>
                <w:rFonts w:ascii="宋体" w:eastAsia="宋体" w:hAnsi="宋体" w:cs="宋体"/>
                <w:spacing w:val="-4"/>
                <w:sz w:val="18"/>
                <w:szCs w:val="18"/>
              </w:rPr>
              <w:t>75</w:t>
            </w:r>
            <w:r>
              <w:rPr>
                <w:rFonts w:ascii="宋体" w:eastAsia="宋体" w:hAnsi="宋体" w:cs="宋体"/>
                <w:spacing w:val="13"/>
                <w:sz w:val="18"/>
                <w:szCs w:val="18"/>
              </w:rPr>
              <w:t xml:space="preserve">      </w:t>
            </w:r>
            <w:r>
              <w:rPr>
                <w:rFonts w:ascii="宋体" w:eastAsia="宋体" w:hAnsi="宋体" w:cs="宋体"/>
                <w:spacing w:val="-4"/>
                <w:sz w:val="18"/>
                <w:szCs w:val="18"/>
              </w:rPr>
              <w:t>65</w:t>
            </w:r>
            <w:r>
              <w:rPr>
                <w:rFonts w:ascii="宋体" w:eastAsia="宋体" w:hAnsi="宋体" w:cs="宋体"/>
                <w:spacing w:val="14"/>
                <w:sz w:val="18"/>
                <w:szCs w:val="18"/>
              </w:rPr>
              <w:t xml:space="preserve">      </w:t>
            </w:r>
            <w:r>
              <w:rPr>
                <w:rFonts w:ascii="宋体" w:eastAsia="宋体" w:hAnsi="宋体" w:cs="宋体"/>
                <w:spacing w:val="-4"/>
                <w:sz w:val="18"/>
                <w:szCs w:val="18"/>
              </w:rPr>
              <w:t>20～30</w:t>
            </w:r>
          </w:p>
        </w:tc>
      </w:tr>
    </w:tbl>
    <w:p w:rsidR="00EA40A3" w:rsidRDefault="00E86C16">
      <w:pPr>
        <w:spacing w:before="81" w:line="258" w:lineRule="exact"/>
        <w:ind w:left="410"/>
        <w:rPr>
          <w:rFonts w:ascii="宋体" w:eastAsia="宋体" w:hAnsi="宋体" w:cs="宋体"/>
          <w:sz w:val="17"/>
          <w:szCs w:val="17"/>
        </w:rPr>
      </w:pPr>
      <w:r>
        <w:rPr>
          <w:rFonts w:ascii="宋体" w:eastAsia="宋体" w:hAnsi="宋体" w:cs="宋体"/>
          <w:spacing w:val="-3"/>
          <w:position w:val="6"/>
          <w:sz w:val="17"/>
          <w:szCs w:val="17"/>
        </w:rPr>
        <w:t>注：#各年龄组的能量的RNI</w:t>
      </w:r>
      <w:r>
        <w:rPr>
          <w:rFonts w:ascii="宋体" w:eastAsia="宋体" w:hAnsi="宋体" w:cs="宋体"/>
          <w:spacing w:val="1"/>
          <w:position w:val="6"/>
          <w:sz w:val="17"/>
          <w:szCs w:val="17"/>
        </w:rPr>
        <w:t xml:space="preserve"> </w:t>
      </w:r>
      <w:r>
        <w:rPr>
          <w:rFonts w:ascii="宋体" w:eastAsia="宋体" w:hAnsi="宋体" w:cs="宋体"/>
          <w:spacing w:val="-3"/>
          <w:position w:val="6"/>
          <w:sz w:val="17"/>
          <w:szCs w:val="17"/>
        </w:rPr>
        <w:t>与EAR</w:t>
      </w:r>
      <w:r>
        <w:rPr>
          <w:rFonts w:ascii="宋体" w:eastAsia="宋体" w:hAnsi="宋体" w:cs="宋体"/>
          <w:spacing w:val="55"/>
          <w:position w:val="6"/>
          <w:sz w:val="17"/>
          <w:szCs w:val="17"/>
        </w:rPr>
        <w:t xml:space="preserve"> </w:t>
      </w:r>
      <w:r>
        <w:rPr>
          <w:rFonts w:ascii="宋体" w:eastAsia="宋体" w:hAnsi="宋体" w:cs="宋体"/>
          <w:spacing w:val="-3"/>
          <w:position w:val="6"/>
          <w:sz w:val="17"/>
          <w:szCs w:val="17"/>
        </w:rPr>
        <w:t>相同；</w:t>
      </w:r>
    </w:p>
    <w:p w:rsidR="00EA40A3" w:rsidRDefault="00E86C16">
      <w:pPr>
        <w:spacing w:line="216" w:lineRule="auto"/>
        <w:ind w:left="760"/>
        <w:rPr>
          <w:rFonts w:ascii="宋体" w:eastAsia="宋体" w:hAnsi="宋体" w:cs="宋体"/>
          <w:sz w:val="17"/>
          <w:szCs w:val="17"/>
        </w:rPr>
      </w:pPr>
      <w:r>
        <w:rPr>
          <w:rFonts w:ascii="宋体" w:eastAsia="宋体" w:hAnsi="宋体" w:cs="宋体"/>
          <w:sz w:val="17"/>
          <w:szCs w:val="17"/>
        </w:rPr>
        <w:t>*</w:t>
      </w:r>
      <w:r>
        <w:rPr>
          <w:rFonts w:ascii="宋体" w:eastAsia="宋体" w:hAnsi="宋体" w:cs="宋体"/>
          <w:spacing w:val="-32"/>
          <w:sz w:val="17"/>
          <w:szCs w:val="17"/>
        </w:rPr>
        <w:t xml:space="preserve"> </w:t>
      </w:r>
      <w:r>
        <w:rPr>
          <w:rFonts w:ascii="宋体" w:eastAsia="宋体" w:hAnsi="宋体" w:cs="宋体"/>
          <w:sz w:val="17"/>
          <w:szCs w:val="17"/>
        </w:rPr>
        <w:t>为AI,</w:t>
      </w:r>
      <w:r>
        <w:rPr>
          <w:rFonts w:ascii="宋体" w:eastAsia="宋体" w:hAnsi="宋体" w:cs="宋体"/>
          <w:spacing w:val="-8"/>
          <w:sz w:val="17"/>
          <w:szCs w:val="17"/>
        </w:rPr>
        <w:t xml:space="preserve"> </w:t>
      </w:r>
      <w:r>
        <w:rPr>
          <w:rFonts w:ascii="宋体" w:eastAsia="宋体" w:hAnsi="宋体" w:cs="宋体"/>
          <w:sz w:val="17"/>
          <w:szCs w:val="17"/>
        </w:rPr>
        <w:t>非母乳喂养应增加20%;</w:t>
      </w:r>
    </w:p>
    <w:p w:rsidR="00EA40A3" w:rsidRDefault="00E86C16">
      <w:pPr>
        <w:spacing w:before="61" w:line="216" w:lineRule="auto"/>
        <w:ind w:left="710"/>
        <w:rPr>
          <w:rFonts w:ascii="宋体" w:eastAsia="宋体" w:hAnsi="宋体" w:cs="宋体"/>
          <w:sz w:val="17"/>
          <w:szCs w:val="17"/>
        </w:rPr>
      </w:pPr>
      <w:r>
        <w:rPr>
          <w:rFonts w:ascii="宋体" w:eastAsia="宋体" w:hAnsi="宋体" w:cs="宋体"/>
          <w:spacing w:val="-6"/>
          <w:sz w:val="17"/>
          <w:szCs w:val="17"/>
        </w:rPr>
        <w:t>PAL△,</w:t>
      </w:r>
      <w:r>
        <w:rPr>
          <w:rFonts w:ascii="宋体" w:eastAsia="宋体" w:hAnsi="宋体" w:cs="宋体"/>
          <w:spacing w:val="1"/>
          <w:sz w:val="17"/>
          <w:szCs w:val="17"/>
        </w:rPr>
        <w:t xml:space="preserve"> </w:t>
      </w:r>
      <w:r>
        <w:rPr>
          <w:rFonts w:ascii="宋体" w:eastAsia="宋体" w:hAnsi="宋体" w:cs="宋体"/>
          <w:spacing w:val="-6"/>
          <w:sz w:val="17"/>
          <w:szCs w:val="17"/>
        </w:rPr>
        <w:t>体力活动水平；</w:t>
      </w:r>
    </w:p>
    <w:p w:rsidR="00EA40A3" w:rsidRDefault="00E86C16">
      <w:pPr>
        <w:spacing w:before="62" w:line="219" w:lineRule="auto"/>
        <w:ind w:left="719"/>
        <w:rPr>
          <w:rFonts w:ascii="宋体" w:eastAsia="宋体" w:hAnsi="宋体" w:cs="宋体"/>
          <w:sz w:val="17"/>
          <w:szCs w:val="17"/>
        </w:rPr>
      </w:pPr>
      <w:r>
        <w:rPr>
          <w:rFonts w:ascii="宋体" w:eastAsia="宋体" w:hAnsi="宋体" w:cs="宋体"/>
          <w:spacing w:val="-13"/>
          <w:sz w:val="17"/>
          <w:szCs w:val="17"/>
        </w:rPr>
        <w:t>凡表中数字空缺处表示未制定该参考值。</w:t>
      </w:r>
    </w:p>
    <w:p w:rsidR="00EA40A3" w:rsidRDefault="00EA40A3">
      <w:pPr>
        <w:spacing w:line="249" w:lineRule="auto"/>
      </w:pPr>
    </w:p>
    <w:p w:rsidR="00EA40A3" w:rsidRDefault="00E86C16">
      <w:pPr>
        <w:spacing w:before="56" w:line="218" w:lineRule="auto"/>
        <w:ind w:left="1202"/>
        <w:rPr>
          <w:rFonts w:ascii="黑体" w:eastAsia="黑体" w:hAnsi="黑体" w:cs="黑体"/>
          <w:sz w:val="17"/>
          <w:szCs w:val="17"/>
        </w:rPr>
      </w:pPr>
      <w:r>
        <w:rPr>
          <w:rFonts w:ascii="黑体" w:eastAsia="黑体" w:hAnsi="黑体" w:cs="黑体"/>
          <w:b/>
          <w:bCs/>
          <w:spacing w:val="2"/>
          <w:sz w:val="17"/>
          <w:szCs w:val="17"/>
        </w:rPr>
        <w:t>表</w:t>
      </w:r>
      <w:r>
        <w:rPr>
          <w:rFonts w:ascii="黑体" w:eastAsia="黑体" w:hAnsi="黑体" w:cs="黑体"/>
          <w:spacing w:val="34"/>
          <w:sz w:val="17"/>
          <w:szCs w:val="17"/>
        </w:rPr>
        <w:t xml:space="preserve"> </w:t>
      </w:r>
      <w:r>
        <w:rPr>
          <w:rFonts w:ascii="黑体" w:eastAsia="黑体" w:hAnsi="黑体" w:cs="黑体"/>
          <w:b/>
          <w:bCs/>
          <w:spacing w:val="2"/>
          <w:sz w:val="17"/>
          <w:szCs w:val="17"/>
        </w:rPr>
        <w:t>2</w:t>
      </w:r>
      <w:r>
        <w:rPr>
          <w:rFonts w:ascii="黑体" w:eastAsia="黑体" w:hAnsi="黑体" w:cs="黑体"/>
          <w:spacing w:val="80"/>
          <w:sz w:val="17"/>
          <w:szCs w:val="17"/>
        </w:rPr>
        <w:t xml:space="preserve"> </w:t>
      </w:r>
      <w:r>
        <w:rPr>
          <w:rFonts w:ascii="黑体" w:eastAsia="黑体" w:hAnsi="黑体" w:cs="黑体"/>
          <w:b/>
          <w:bCs/>
          <w:spacing w:val="2"/>
          <w:sz w:val="17"/>
          <w:szCs w:val="17"/>
        </w:rPr>
        <w:t>常量和微量元素的推荐摄入量</w:t>
      </w:r>
      <w:r>
        <w:rPr>
          <w:rFonts w:ascii="黑体" w:eastAsia="黑体" w:hAnsi="黑体" w:cs="黑体"/>
          <w:spacing w:val="-1"/>
          <w:sz w:val="17"/>
          <w:szCs w:val="17"/>
        </w:rPr>
        <w:t xml:space="preserve"> </w:t>
      </w:r>
      <w:r>
        <w:rPr>
          <w:rFonts w:ascii="黑体" w:eastAsia="黑体" w:hAnsi="黑体" w:cs="黑体"/>
          <w:b/>
          <w:bCs/>
          <w:spacing w:val="2"/>
          <w:sz w:val="17"/>
          <w:szCs w:val="17"/>
        </w:rPr>
        <w:t>(</w:t>
      </w:r>
      <w:r>
        <w:rPr>
          <w:rFonts w:ascii="黑体" w:eastAsia="黑体" w:hAnsi="黑体" w:cs="黑体"/>
          <w:b/>
          <w:bCs/>
          <w:sz w:val="17"/>
          <w:szCs w:val="17"/>
        </w:rPr>
        <w:t>RNI</w:t>
      </w:r>
      <w:r>
        <w:rPr>
          <w:rFonts w:ascii="黑体" w:eastAsia="黑体" w:hAnsi="黑体" w:cs="黑体"/>
          <w:b/>
          <w:bCs/>
          <w:spacing w:val="2"/>
          <w:sz w:val="17"/>
          <w:szCs w:val="17"/>
        </w:rPr>
        <w:t>)</w:t>
      </w:r>
      <w:r>
        <w:rPr>
          <w:rFonts w:ascii="黑体" w:eastAsia="黑体" w:hAnsi="黑体" w:cs="黑体"/>
          <w:spacing w:val="2"/>
          <w:sz w:val="17"/>
          <w:szCs w:val="17"/>
        </w:rPr>
        <w:t xml:space="preserve">  </w:t>
      </w:r>
      <w:r>
        <w:rPr>
          <w:rFonts w:ascii="黑体" w:eastAsia="黑体" w:hAnsi="黑体" w:cs="黑体"/>
          <w:b/>
          <w:bCs/>
          <w:spacing w:val="2"/>
          <w:sz w:val="17"/>
          <w:szCs w:val="17"/>
        </w:rPr>
        <w:t>或适宜摄入量</w:t>
      </w:r>
      <w:r>
        <w:rPr>
          <w:rFonts w:ascii="黑体" w:eastAsia="黑体" w:hAnsi="黑体" w:cs="黑体"/>
          <w:spacing w:val="-1"/>
          <w:sz w:val="17"/>
          <w:szCs w:val="17"/>
        </w:rPr>
        <w:t xml:space="preserve"> </w:t>
      </w:r>
      <w:r>
        <w:rPr>
          <w:rFonts w:ascii="黑体" w:eastAsia="黑体" w:hAnsi="黑体" w:cs="黑体"/>
          <w:b/>
          <w:bCs/>
          <w:spacing w:val="2"/>
          <w:sz w:val="17"/>
          <w:szCs w:val="17"/>
        </w:rPr>
        <w:t>(</w:t>
      </w:r>
      <w:r>
        <w:rPr>
          <w:rFonts w:ascii="黑体" w:eastAsia="黑体" w:hAnsi="黑体" w:cs="黑体"/>
          <w:b/>
          <w:bCs/>
          <w:sz w:val="17"/>
          <w:szCs w:val="17"/>
        </w:rPr>
        <w:t>AI</w:t>
      </w:r>
      <w:r>
        <w:rPr>
          <w:rFonts w:ascii="黑体" w:eastAsia="黑体" w:hAnsi="黑体" w:cs="黑体"/>
          <w:b/>
          <w:bCs/>
          <w:spacing w:val="2"/>
          <w:sz w:val="17"/>
          <w:szCs w:val="17"/>
        </w:rPr>
        <w:t>)</w:t>
      </w:r>
    </w:p>
    <w:tbl>
      <w:tblPr>
        <w:tblStyle w:val="TableNormal"/>
        <w:tblW w:w="734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546"/>
        <w:gridCol w:w="418"/>
        <w:gridCol w:w="450"/>
        <w:gridCol w:w="448"/>
        <w:gridCol w:w="397"/>
        <w:gridCol w:w="433"/>
        <w:gridCol w:w="717"/>
        <w:gridCol w:w="1187"/>
        <w:gridCol w:w="2753"/>
      </w:tblGrid>
      <w:tr w:rsidR="00EA40A3">
        <w:trPr>
          <w:trHeight w:val="365"/>
        </w:trPr>
        <w:tc>
          <w:tcPr>
            <w:tcW w:w="546" w:type="dxa"/>
            <w:vMerge w:val="restart"/>
            <w:tcBorders>
              <w:top w:val="single" w:sz="4" w:space="0" w:color="000000"/>
              <w:bottom w:val="nil"/>
              <w:right w:val="nil"/>
            </w:tcBorders>
          </w:tcPr>
          <w:p w:rsidR="00EA40A3" w:rsidRDefault="00E86C16">
            <w:pPr>
              <w:spacing w:before="273" w:line="237" w:lineRule="auto"/>
              <w:ind w:left="169" w:right="54" w:hanging="49"/>
              <w:rPr>
                <w:rFonts w:ascii="宋体" w:eastAsia="宋体" w:hAnsi="宋体" w:cs="宋体"/>
                <w:sz w:val="19"/>
                <w:szCs w:val="19"/>
              </w:rPr>
            </w:pPr>
            <w:r>
              <w:rPr>
                <w:rFonts w:ascii="宋体" w:eastAsia="宋体" w:hAnsi="宋体" w:cs="宋体"/>
                <w:spacing w:val="-5"/>
                <w:sz w:val="19"/>
                <w:szCs w:val="19"/>
              </w:rPr>
              <w:t>年龄</w:t>
            </w:r>
            <w:r>
              <w:rPr>
                <w:rFonts w:ascii="宋体" w:eastAsia="宋体" w:hAnsi="宋体" w:cs="宋体"/>
                <w:sz w:val="19"/>
                <w:szCs w:val="19"/>
              </w:rPr>
              <w:t xml:space="preserve"> </w:t>
            </w:r>
            <w:r>
              <w:rPr>
                <w:rFonts w:ascii="宋体" w:eastAsia="宋体" w:hAnsi="宋体" w:cs="宋体"/>
                <w:spacing w:val="10"/>
                <w:sz w:val="19"/>
                <w:szCs w:val="19"/>
              </w:rPr>
              <w:t>/岁</w:t>
            </w:r>
          </w:p>
        </w:tc>
        <w:tc>
          <w:tcPr>
            <w:tcW w:w="418" w:type="dxa"/>
            <w:vMerge w:val="restart"/>
            <w:tcBorders>
              <w:top w:val="single" w:sz="4" w:space="0" w:color="000000"/>
              <w:left w:val="nil"/>
              <w:bottom w:val="nil"/>
              <w:right w:val="nil"/>
            </w:tcBorders>
          </w:tcPr>
          <w:p w:rsidR="00EA40A3" w:rsidRDefault="00E86C16">
            <w:pPr>
              <w:spacing w:before="135" w:line="221" w:lineRule="auto"/>
              <w:ind w:left="54"/>
              <w:rPr>
                <w:rFonts w:ascii="宋体" w:eastAsia="宋体" w:hAnsi="宋体" w:cs="宋体"/>
                <w:sz w:val="19"/>
                <w:szCs w:val="19"/>
              </w:rPr>
            </w:pPr>
            <w:r>
              <w:rPr>
                <w:rFonts w:ascii="宋体" w:eastAsia="宋体" w:hAnsi="宋体" w:cs="宋体"/>
                <w:sz w:val="19"/>
                <w:szCs w:val="19"/>
              </w:rPr>
              <w:t>钙</w:t>
            </w:r>
          </w:p>
          <w:p w:rsidR="00EA40A3" w:rsidRDefault="00E86C16">
            <w:pPr>
              <w:spacing w:before="66" w:line="222" w:lineRule="auto"/>
              <w:ind w:left="54" w:right="75" w:firstLine="99"/>
              <w:rPr>
                <w:rFonts w:ascii="宋体" w:eastAsia="宋体" w:hAnsi="宋体" w:cs="宋体"/>
                <w:sz w:val="19"/>
                <w:szCs w:val="19"/>
              </w:rPr>
            </w:pPr>
            <w:r>
              <w:rPr>
                <w:rFonts w:ascii="宋体" w:eastAsia="宋体" w:hAnsi="宋体" w:cs="宋体"/>
                <w:spacing w:val="-1"/>
                <w:sz w:val="19"/>
                <w:szCs w:val="19"/>
              </w:rPr>
              <w:t>AI</w:t>
            </w:r>
            <w:r>
              <w:rPr>
                <w:rFonts w:ascii="宋体" w:eastAsia="宋体" w:hAnsi="宋体" w:cs="宋体"/>
                <w:sz w:val="19"/>
                <w:szCs w:val="19"/>
              </w:rPr>
              <w:t xml:space="preserve"> </w:t>
            </w:r>
            <w:r>
              <w:rPr>
                <w:rFonts w:ascii="宋体" w:eastAsia="宋体" w:hAnsi="宋体" w:cs="宋体"/>
                <w:spacing w:val="-2"/>
                <w:sz w:val="19"/>
                <w:szCs w:val="19"/>
              </w:rPr>
              <w:t>/mg</w:t>
            </w:r>
          </w:p>
        </w:tc>
        <w:tc>
          <w:tcPr>
            <w:tcW w:w="450" w:type="dxa"/>
            <w:vMerge w:val="restart"/>
            <w:tcBorders>
              <w:top w:val="single" w:sz="4" w:space="0" w:color="000000"/>
              <w:left w:val="nil"/>
              <w:bottom w:val="nil"/>
              <w:right w:val="nil"/>
            </w:tcBorders>
          </w:tcPr>
          <w:p w:rsidR="00EA40A3" w:rsidRDefault="00E86C16">
            <w:pPr>
              <w:spacing w:before="122" w:line="219" w:lineRule="auto"/>
              <w:ind w:left="128"/>
              <w:rPr>
                <w:rFonts w:ascii="宋体" w:eastAsia="宋体" w:hAnsi="宋体" w:cs="宋体"/>
                <w:sz w:val="17"/>
                <w:szCs w:val="17"/>
              </w:rPr>
            </w:pPr>
            <w:r>
              <w:rPr>
                <w:rFonts w:ascii="宋体" w:eastAsia="宋体" w:hAnsi="宋体" w:cs="宋体"/>
                <w:sz w:val="17"/>
                <w:szCs w:val="17"/>
              </w:rPr>
              <w:t>磷</w:t>
            </w:r>
          </w:p>
          <w:p w:rsidR="00EA40A3" w:rsidRDefault="00E86C16">
            <w:pPr>
              <w:spacing w:before="103" w:line="223" w:lineRule="auto"/>
              <w:ind w:left="76" w:right="85" w:firstLine="100"/>
              <w:rPr>
                <w:rFonts w:ascii="宋体" w:eastAsia="宋体" w:hAnsi="宋体" w:cs="宋体"/>
                <w:sz w:val="19"/>
                <w:szCs w:val="19"/>
              </w:rPr>
            </w:pPr>
            <w:r>
              <w:rPr>
                <w:rFonts w:ascii="宋体" w:eastAsia="宋体" w:hAnsi="宋体" w:cs="宋体"/>
                <w:spacing w:val="-1"/>
                <w:sz w:val="19"/>
                <w:szCs w:val="19"/>
              </w:rPr>
              <w:t>Al</w:t>
            </w:r>
            <w:r>
              <w:rPr>
                <w:rFonts w:ascii="宋体" w:eastAsia="宋体" w:hAnsi="宋体" w:cs="宋体"/>
                <w:sz w:val="19"/>
                <w:szCs w:val="19"/>
              </w:rPr>
              <w:t xml:space="preserve"> </w:t>
            </w:r>
            <w:r>
              <w:rPr>
                <w:rFonts w:ascii="宋体" w:eastAsia="宋体" w:hAnsi="宋体" w:cs="宋体"/>
                <w:spacing w:val="-2"/>
                <w:sz w:val="19"/>
                <w:szCs w:val="19"/>
              </w:rPr>
              <w:t>/mg</w:t>
            </w:r>
          </w:p>
        </w:tc>
        <w:tc>
          <w:tcPr>
            <w:tcW w:w="448" w:type="dxa"/>
            <w:vMerge w:val="restart"/>
            <w:tcBorders>
              <w:top w:val="single" w:sz="4" w:space="0" w:color="000000"/>
              <w:left w:val="nil"/>
              <w:bottom w:val="nil"/>
              <w:right w:val="nil"/>
            </w:tcBorders>
          </w:tcPr>
          <w:p w:rsidR="00EA40A3" w:rsidRDefault="00E86C16">
            <w:pPr>
              <w:spacing w:before="123" w:line="297" w:lineRule="exact"/>
              <w:ind w:left="138"/>
              <w:rPr>
                <w:rFonts w:ascii="宋体" w:eastAsia="宋体" w:hAnsi="宋体" w:cs="宋体"/>
                <w:sz w:val="19"/>
                <w:szCs w:val="19"/>
              </w:rPr>
            </w:pPr>
            <w:r>
              <w:rPr>
                <w:rFonts w:ascii="宋体" w:eastAsia="宋体" w:hAnsi="宋体" w:cs="宋体"/>
                <w:position w:val="7"/>
                <w:sz w:val="19"/>
                <w:szCs w:val="19"/>
              </w:rPr>
              <w:t>钾</w:t>
            </w:r>
          </w:p>
          <w:p w:rsidR="00EA40A3" w:rsidRDefault="00E86C16">
            <w:pPr>
              <w:spacing w:line="184" w:lineRule="auto"/>
              <w:ind w:left="86"/>
              <w:rPr>
                <w:rFonts w:ascii="宋体" w:eastAsia="宋体" w:hAnsi="宋体" w:cs="宋体"/>
                <w:sz w:val="19"/>
                <w:szCs w:val="19"/>
              </w:rPr>
            </w:pPr>
            <w:r>
              <w:rPr>
                <w:rFonts w:ascii="宋体" w:eastAsia="宋体" w:hAnsi="宋体" w:cs="宋体"/>
                <w:spacing w:val="-1"/>
                <w:sz w:val="19"/>
                <w:szCs w:val="19"/>
              </w:rPr>
              <w:t>AI</w:t>
            </w:r>
          </w:p>
          <w:p w:rsidR="00EA40A3" w:rsidRDefault="00E86C16">
            <w:pPr>
              <w:spacing w:before="139" w:line="145" w:lineRule="exact"/>
              <w:ind w:left="86"/>
              <w:rPr>
                <w:rFonts w:ascii="宋体" w:eastAsia="宋体" w:hAnsi="宋体" w:cs="宋体"/>
                <w:sz w:val="19"/>
                <w:szCs w:val="19"/>
              </w:rPr>
            </w:pPr>
            <w:r>
              <w:rPr>
                <w:rFonts w:ascii="宋体" w:eastAsia="宋体" w:hAnsi="宋体" w:cs="宋体"/>
                <w:spacing w:val="-1"/>
                <w:position w:val="1"/>
                <w:sz w:val="19"/>
                <w:szCs w:val="19"/>
              </w:rPr>
              <w:t>mg</w:t>
            </w:r>
          </w:p>
        </w:tc>
        <w:tc>
          <w:tcPr>
            <w:tcW w:w="397" w:type="dxa"/>
            <w:vMerge w:val="restart"/>
            <w:tcBorders>
              <w:top w:val="single" w:sz="4" w:space="0" w:color="000000"/>
              <w:left w:val="nil"/>
              <w:bottom w:val="nil"/>
              <w:right w:val="nil"/>
            </w:tcBorders>
          </w:tcPr>
          <w:p w:rsidR="00EA40A3" w:rsidRDefault="00E86C16">
            <w:pPr>
              <w:spacing w:before="134" w:line="293" w:lineRule="exact"/>
              <w:ind w:left="128"/>
              <w:rPr>
                <w:rFonts w:ascii="宋体" w:eastAsia="宋体" w:hAnsi="宋体" w:cs="宋体"/>
                <w:sz w:val="19"/>
                <w:szCs w:val="19"/>
              </w:rPr>
            </w:pPr>
            <w:r>
              <w:rPr>
                <w:rFonts w:ascii="宋体" w:eastAsia="宋体" w:hAnsi="宋体" w:cs="宋体"/>
                <w:position w:val="7"/>
                <w:sz w:val="19"/>
                <w:szCs w:val="19"/>
              </w:rPr>
              <w:t>钠</w:t>
            </w:r>
          </w:p>
          <w:p w:rsidR="00EA40A3" w:rsidRDefault="00E86C16">
            <w:pPr>
              <w:spacing w:line="187" w:lineRule="auto"/>
              <w:ind w:left="128"/>
              <w:rPr>
                <w:rFonts w:ascii="宋体" w:eastAsia="宋体" w:hAnsi="宋体" w:cs="宋体"/>
                <w:sz w:val="19"/>
                <w:szCs w:val="19"/>
              </w:rPr>
            </w:pPr>
            <w:r>
              <w:rPr>
                <w:rFonts w:ascii="宋体" w:eastAsia="宋体" w:hAnsi="宋体" w:cs="宋体"/>
                <w:spacing w:val="-1"/>
                <w:sz w:val="19"/>
                <w:szCs w:val="19"/>
              </w:rPr>
              <w:t>Al</w:t>
            </w:r>
          </w:p>
          <w:p w:rsidR="00EA40A3" w:rsidRDefault="00E86C16">
            <w:pPr>
              <w:spacing w:before="119" w:line="145" w:lineRule="exact"/>
              <w:ind w:left="128"/>
              <w:rPr>
                <w:rFonts w:ascii="宋体" w:eastAsia="宋体" w:hAnsi="宋体" w:cs="宋体"/>
                <w:sz w:val="19"/>
                <w:szCs w:val="19"/>
              </w:rPr>
            </w:pPr>
            <w:r>
              <w:rPr>
                <w:rFonts w:ascii="宋体" w:eastAsia="宋体" w:hAnsi="宋体" w:cs="宋体"/>
                <w:spacing w:val="-1"/>
                <w:position w:val="1"/>
                <w:sz w:val="19"/>
                <w:szCs w:val="19"/>
              </w:rPr>
              <w:t>mg</w:t>
            </w:r>
          </w:p>
        </w:tc>
        <w:tc>
          <w:tcPr>
            <w:tcW w:w="433" w:type="dxa"/>
            <w:vMerge w:val="restart"/>
            <w:tcBorders>
              <w:top w:val="single" w:sz="4" w:space="0" w:color="000000"/>
              <w:left w:val="nil"/>
              <w:bottom w:val="nil"/>
            </w:tcBorders>
          </w:tcPr>
          <w:p w:rsidR="00EA40A3" w:rsidRDefault="00E86C16">
            <w:pPr>
              <w:tabs>
                <w:tab w:val="left" w:pos="180"/>
              </w:tabs>
              <w:spacing w:before="145"/>
              <w:ind w:left="81" w:right="63" w:firstLine="99"/>
              <w:jc w:val="right"/>
              <w:rPr>
                <w:rFonts w:ascii="宋体" w:eastAsia="宋体" w:hAnsi="宋体" w:cs="宋体"/>
                <w:sz w:val="19"/>
                <w:szCs w:val="19"/>
              </w:rPr>
            </w:pPr>
            <w:r>
              <w:rPr>
                <w:rFonts w:ascii="宋体" w:eastAsia="宋体" w:hAnsi="宋体" w:cs="宋体"/>
                <w:spacing w:val="-7"/>
                <w:sz w:val="19"/>
                <w:szCs w:val="19"/>
              </w:rPr>
              <w:t>镁</w:t>
            </w:r>
            <w:r>
              <w:rPr>
                <w:rFonts w:ascii="宋体" w:eastAsia="宋体" w:hAnsi="宋体" w:cs="宋体"/>
                <w:sz w:val="19"/>
                <w:szCs w:val="19"/>
              </w:rPr>
              <w:t xml:space="preserve"> </w:t>
            </w:r>
            <w:r>
              <w:rPr>
                <w:rFonts w:ascii="宋体" w:eastAsia="宋体" w:hAnsi="宋体" w:cs="宋体"/>
                <w:sz w:val="19"/>
                <w:szCs w:val="19"/>
              </w:rPr>
              <w:tab/>
            </w:r>
            <w:r>
              <w:rPr>
                <w:rFonts w:ascii="宋体" w:eastAsia="宋体" w:hAnsi="宋体" w:cs="宋体"/>
                <w:spacing w:val="-1"/>
                <w:sz w:val="19"/>
                <w:szCs w:val="19"/>
              </w:rPr>
              <w:t>AI</w:t>
            </w:r>
            <w:r>
              <w:rPr>
                <w:rFonts w:ascii="宋体" w:eastAsia="宋体" w:hAnsi="宋体" w:cs="宋体"/>
                <w:sz w:val="19"/>
                <w:szCs w:val="19"/>
              </w:rPr>
              <w:t xml:space="preserve"> </w:t>
            </w:r>
            <w:r>
              <w:rPr>
                <w:rFonts w:ascii="宋体" w:eastAsia="宋体" w:hAnsi="宋体" w:cs="宋体"/>
                <w:spacing w:val="-3"/>
                <w:sz w:val="19"/>
                <w:szCs w:val="19"/>
              </w:rPr>
              <w:t>/mg</w:t>
            </w:r>
          </w:p>
        </w:tc>
        <w:tc>
          <w:tcPr>
            <w:tcW w:w="717" w:type="dxa"/>
            <w:tcBorders>
              <w:top w:val="single" w:sz="4" w:space="0" w:color="000000"/>
            </w:tcBorders>
          </w:tcPr>
          <w:p w:rsidR="00EA40A3" w:rsidRDefault="00E86C16">
            <w:pPr>
              <w:spacing w:before="133" w:line="221" w:lineRule="auto"/>
              <w:ind w:left="338"/>
              <w:rPr>
                <w:rFonts w:ascii="宋体" w:eastAsia="宋体" w:hAnsi="宋体" w:cs="宋体"/>
                <w:sz w:val="19"/>
                <w:szCs w:val="19"/>
              </w:rPr>
            </w:pPr>
            <w:r>
              <w:rPr>
                <w:rFonts w:ascii="宋体" w:eastAsia="宋体" w:hAnsi="宋体" w:cs="宋体"/>
                <w:sz w:val="19"/>
                <w:szCs w:val="19"/>
              </w:rPr>
              <w:t>铁</w:t>
            </w:r>
          </w:p>
        </w:tc>
        <w:tc>
          <w:tcPr>
            <w:tcW w:w="1187" w:type="dxa"/>
            <w:tcBorders>
              <w:top w:val="single" w:sz="4" w:space="0" w:color="000000"/>
            </w:tcBorders>
          </w:tcPr>
          <w:p w:rsidR="00EA40A3" w:rsidRDefault="00E86C16">
            <w:pPr>
              <w:spacing w:before="123" w:line="230" w:lineRule="auto"/>
              <w:ind w:left="200"/>
              <w:rPr>
                <w:rFonts w:ascii="宋体" w:eastAsia="宋体" w:hAnsi="宋体" w:cs="宋体"/>
                <w:sz w:val="19"/>
                <w:szCs w:val="19"/>
              </w:rPr>
            </w:pPr>
            <w:r>
              <w:rPr>
                <w:rFonts w:ascii="宋体" w:eastAsia="宋体" w:hAnsi="宋体" w:cs="宋体"/>
                <w:spacing w:val="-4"/>
                <w:sz w:val="19"/>
                <w:szCs w:val="19"/>
              </w:rPr>
              <w:t>碘</w:t>
            </w:r>
            <w:r>
              <w:rPr>
                <w:rFonts w:ascii="宋体" w:eastAsia="宋体" w:hAnsi="宋体" w:cs="宋体"/>
                <w:spacing w:val="14"/>
                <w:sz w:val="19"/>
                <w:szCs w:val="19"/>
              </w:rPr>
              <w:t xml:space="preserve">    </w:t>
            </w:r>
            <w:r>
              <w:rPr>
                <w:rFonts w:ascii="宋体" w:eastAsia="宋体" w:hAnsi="宋体" w:cs="宋体"/>
                <w:spacing w:val="-4"/>
                <w:sz w:val="19"/>
                <w:szCs w:val="19"/>
              </w:rPr>
              <w:t>锌</w:t>
            </w:r>
          </w:p>
        </w:tc>
        <w:tc>
          <w:tcPr>
            <w:tcW w:w="2753" w:type="dxa"/>
            <w:tcBorders>
              <w:top w:val="single" w:sz="4" w:space="0" w:color="000000"/>
            </w:tcBorders>
          </w:tcPr>
          <w:p w:rsidR="00EA40A3" w:rsidRDefault="00E86C16">
            <w:pPr>
              <w:spacing w:before="113" w:line="219" w:lineRule="auto"/>
              <w:ind w:left="164"/>
              <w:rPr>
                <w:rFonts w:ascii="宋体" w:eastAsia="宋体" w:hAnsi="宋体" w:cs="宋体"/>
                <w:sz w:val="19"/>
                <w:szCs w:val="19"/>
              </w:rPr>
            </w:pPr>
            <w:r>
              <w:rPr>
                <w:rFonts w:ascii="宋体" w:eastAsia="宋体" w:hAnsi="宋体" w:cs="宋体"/>
                <w:spacing w:val="-6"/>
                <w:sz w:val="19"/>
                <w:szCs w:val="19"/>
              </w:rPr>
              <w:t>硒</w:t>
            </w:r>
            <w:r>
              <w:rPr>
                <w:rFonts w:ascii="宋体" w:eastAsia="宋体" w:hAnsi="宋体" w:cs="宋体"/>
                <w:spacing w:val="2"/>
                <w:sz w:val="19"/>
                <w:szCs w:val="19"/>
              </w:rPr>
              <w:t xml:space="preserve">   </w:t>
            </w:r>
            <w:r>
              <w:rPr>
                <w:rFonts w:ascii="宋体" w:eastAsia="宋体" w:hAnsi="宋体" w:cs="宋体"/>
                <w:spacing w:val="-6"/>
                <w:sz w:val="19"/>
                <w:szCs w:val="19"/>
              </w:rPr>
              <w:t>铜</w:t>
            </w:r>
            <w:r>
              <w:rPr>
                <w:rFonts w:ascii="宋体" w:eastAsia="宋体" w:hAnsi="宋体" w:cs="宋体"/>
                <w:spacing w:val="3"/>
                <w:sz w:val="19"/>
                <w:szCs w:val="19"/>
              </w:rPr>
              <w:t xml:space="preserve">   </w:t>
            </w:r>
            <w:r>
              <w:rPr>
                <w:rFonts w:ascii="宋体" w:eastAsia="宋体" w:hAnsi="宋体" w:cs="宋体"/>
                <w:spacing w:val="-6"/>
                <w:sz w:val="19"/>
                <w:szCs w:val="19"/>
              </w:rPr>
              <w:t>氟</w:t>
            </w:r>
            <w:r>
              <w:rPr>
                <w:rFonts w:ascii="宋体" w:eastAsia="宋体" w:hAnsi="宋体" w:cs="宋体"/>
                <w:spacing w:val="2"/>
                <w:sz w:val="19"/>
                <w:szCs w:val="19"/>
              </w:rPr>
              <w:t xml:space="preserve">   </w:t>
            </w:r>
            <w:r>
              <w:rPr>
                <w:rFonts w:ascii="宋体" w:eastAsia="宋体" w:hAnsi="宋体" w:cs="宋体"/>
                <w:spacing w:val="-6"/>
                <w:sz w:val="19"/>
                <w:szCs w:val="19"/>
              </w:rPr>
              <w:t>铬</w:t>
            </w:r>
            <w:r>
              <w:rPr>
                <w:rFonts w:ascii="宋体" w:eastAsia="宋体" w:hAnsi="宋体" w:cs="宋体"/>
                <w:spacing w:val="2"/>
                <w:sz w:val="19"/>
                <w:szCs w:val="19"/>
              </w:rPr>
              <w:t xml:space="preserve">   </w:t>
            </w:r>
            <w:r>
              <w:rPr>
                <w:rFonts w:ascii="宋体" w:eastAsia="宋体" w:hAnsi="宋体" w:cs="宋体"/>
                <w:spacing w:val="-6"/>
                <w:sz w:val="19"/>
                <w:szCs w:val="19"/>
              </w:rPr>
              <w:t>锰</w:t>
            </w:r>
            <w:r>
              <w:rPr>
                <w:rFonts w:ascii="宋体" w:eastAsia="宋体" w:hAnsi="宋体" w:cs="宋体"/>
                <w:spacing w:val="2"/>
                <w:sz w:val="19"/>
                <w:szCs w:val="19"/>
              </w:rPr>
              <w:t xml:space="preserve">   </w:t>
            </w:r>
            <w:r>
              <w:rPr>
                <w:rFonts w:ascii="宋体" w:eastAsia="宋体" w:hAnsi="宋体" w:cs="宋体"/>
                <w:spacing w:val="-6"/>
                <w:sz w:val="19"/>
                <w:szCs w:val="19"/>
              </w:rPr>
              <w:t>钼</w:t>
            </w:r>
          </w:p>
        </w:tc>
      </w:tr>
      <w:tr w:rsidR="00EA40A3">
        <w:trPr>
          <w:trHeight w:val="250"/>
        </w:trPr>
        <w:tc>
          <w:tcPr>
            <w:tcW w:w="546" w:type="dxa"/>
            <w:vMerge/>
            <w:tcBorders>
              <w:top w:val="nil"/>
              <w:bottom w:val="nil"/>
              <w:right w:val="nil"/>
            </w:tcBorders>
          </w:tcPr>
          <w:p w:rsidR="00EA40A3" w:rsidRDefault="00EA40A3"/>
        </w:tc>
        <w:tc>
          <w:tcPr>
            <w:tcW w:w="418" w:type="dxa"/>
            <w:vMerge/>
            <w:tcBorders>
              <w:top w:val="nil"/>
              <w:left w:val="nil"/>
              <w:bottom w:val="nil"/>
              <w:right w:val="nil"/>
            </w:tcBorders>
          </w:tcPr>
          <w:p w:rsidR="00EA40A3" w:rsidRDefault="00EA40A3"/>
        </w:tc>
        <w:tc>
          <w:tcPr>
            <w:tcW w:w="450" w:type="dxa"/>
            <w:vMerge/>
            <w:tcBorders>
              <w:top w:val="nil"/>
              <w:left w:val="nil"/>
              <w:bottom w:val="nil"/>
              <w:right w:val="nil"/>
            </w:tcBorders>
          </w:tcPr>
          <w:p w:rsidR="00EA40A3" w:rsidRDefault="00EA40A3"/>
        </w:tc>
        <w:tc>
          <w:tcPr>
            <w:tcW w:w="448" w:type="dxa"/>
            <w:vMerge/>
            <w:tcBorders>
              <w:top w:val="nil"/>
              <w:left w:val="nil"/>
              <w:bottom w:val="nil"/>
              <w:right w:val="nil"/>
            </w:tcBorders>
          </w:tcPr>
          <w:p w:rsidR="00EA40A3" w:rsidRDefault="00EA40A3"/>
        </w:tc>
        <w:tc>
          <w:tcPr>
            <w:tcW w:w="397" w:type="dxa"/>
            <w:vMerge/>
            <w:tcBorders>
              <w:top w:val="nil"/>
              <w:left w:val="nil"/>
              <w:bottom w:val="nil"/>
              <w:right w:val="nil"/>
            </w:tcBorders>
          </w:tcPr>
          <w:p w:rsidR="00EA40A3" w:rsidRDefault="00EA40A3"/>
        </w:tc>
        <w:tc>
          <w:tcPr>
            <w:tcW w:w="433" w:type="dxa"/>
            <w:vMerge/>
            <w:tcBorders>
              <w:top w:val="nil"/>
              <w:left w:val="nil"/>
              <w:bottom w:val="nil"/>
            </w:tcBorders>
          </w:tcPr>
          <w:p w:rsidR="00EA40A3" w:rsidRDefault="00EA40A3"/>
        </w:tc>
        <w:tc>
          <w:tcPr>
            <w:tcW w:w="717" w:type="dxa"/>
          </w:tcPr>
          <w:p w:rsidR="00EA40A3" w:rsidRDefault="00E86C16">
            <w:pPr>
              <w:spacing w:before="65" w:line="179" w:lineRule="auto"/>
              <w:ind w:left="338"/>
              <w:rPr>
                <w:rFonts w:ascii="宋体" w:eastAsia="宋体" w:hAnsi="宋体" w:cs="宋体"/>
                <w:sz w:val="19"/>
                <w:szCs w:val="19"/>
              </w:rPr>
            </w:pPr>
            <w:r>
              <w:rPr>
                <w:rFonts w:ascii="宋体" w:eastAsia="宋体" w:hAnsi="宋体" w:cs="宋体"/>
                <w:spacing w:val="-1"/>
                <w:sz w:val="19"/>
                <w:szCs w:val="19"/>
              </w:rPr>
              <w:t>AI</w:t>
            </w:r>
          </w:p>
        </w:tc>
        <w:tc>
          <w:tcPr>
            <w:tcW w:w="1187" w:type="dxa"/>
          </w:tcPr>
          <w:p w:rsidR="00EA40A3" w:rsidRDefault="00E86C16">
            <w:pPr>
              <w:spacing w:before="67" w:line="177" w:lineRule="auto"/>
              <w:ind w:left="101"/>
              <w:rPr>
                <w:rFonts w:ascii="宋体" w:eastAsia="宋体" w:hAnsi="宋体" w:cs="宋体"/>
                <w:sz w:val="19"/>
                <w:szCs w:val="19"/>
              </w:rPr>
            </w:pPr>
            <w:r>
              <w:rPr>
                <w:rFonts w:ascii="宋体" w:eastAsia="宋体" w:hAnsi="宋体" w:cs="宋体"/>
                <w:spacing w:val="-2"/>
                <w:sz w:val="19"/>
                <w:szCs w:val="19"/>
              </w:rPr>
              <w:t>RNI</w:t>
            </w:r>
            <w:r>
              <w:rPr>
                <w:rFonts w:ascii="宋体" w:eastAsia="宋体" w:hAnsi="宋体" w:cs="宋体"/>
                <w:spacing w:val="19"/>
                <w:sz w:val="19"/>
                <w:szCs w:val="19"/>
              </w:rPr>
              <w:t xml:space="preserve">   </w:t>
            </w:r>
            <w:r>
              <w:rPr>
                <w:rFonts w:ascii="宋体" w:eastAsia="宋体" w:hAnsi="宋体" w:cs="宋体"/>
                <w:spacing w:val="-2"/>
                <w:sz w:val="19"/>
                <w:szCs w:val="19"/>
              </w:rPr>
              <w:t>RNI</w:t>
            </w:r>
          </w:p>
        </w:tc>
        <w:tc>
          <w:tcPr>
            <w:tcW w:w="2753" w:type="dxa"/>
          </w:tcPr>
          <w:p w:rsidR="00EA40A3" w:rsidRDefault="00E86C16">
            <w:pPr>
              <w:spacing w:before="52" w:line="192" w:lineRule="auto"/>
              <w:ind w:left="123"/>
              <w:rPr>
                <w:rFonts w:ascii="宋体" w:eastAsia="宋体" w:hAnsi="宋体" w:cs="宋体"/>
                <w:sz w:val="19"/>
                <w:szCs w:val="19"/>
              </w:rPr>
            </w:pPr>
            <w:r>
              <w:rPr>
                <w:rFonts w:ascii="宋体" w:eastAsia="宋体" w:hAnsi="宋体" w:cs="宋体"/>
                <w:spacing w:val="-1"/>
                <w:sz w:val="19"/>
                <w:szCs w:val="19"/>
              </w:rPr>
              <w:t>RNI</w:t>
            </w:r>
            <w:r>
              <w:rPr>
                <w:rFonts w:ascii="宋体" w:eastAsia="宋体" w:hAnsi="宋体" w:cs="宋体"/>
                <w:spacing w:val="5"/>
                <w:sz w:val="19"/>
                <w:szCs w:val="19"/>
              </w:rPr>
              <w:t xml:space="preserve">  </w:t>
            </w:r>
            <w:r>
              <w:rPr>
                <w:rFonts w:ascii="宋体" w:eastAsia="宋体" w:hAnsi="宋体" w:cs="宋体"/>
                <w:spacing w:val="-1"/>
                <w:sz w:val="19"/>
                <w:szCs w:val="19"/>
              </w:rPr>
              <w:t>Al</w:t>
            </w:r>
            <w:r>
              <w:rPr>
                <w:rFonts w:ascii="宋体" w:eastAsia="宋体" w:hAnsi="宋体" w:cs="宋体"/>
                <w:spacing w:val="30"/>
                <w:sz w:val="19"/>
                <w:szCs w:val="19"/>
              </w:rPr>
              <w:t xml:space="preserve">  </w:t>
            </w:r>
            <w:r>
              <w:rPr>
                <w:rFonts w:ascii="宋体" w:eastAsia="宋体" w:hAnsi="宋体" w:cs="宋体"/>
                <w:spacing w:val="-1"/>
                <w:sz w:val="19"/>
                <w:szCs w:val="19"/>
              </w:rPr>
              <w:t>AI</w:t>
            </w:r>
            <w:r>
              <w:rPr>
                <w:rFonts w:ascii="宋体" w:eastAsia="宋体" w:hAnsi="宋体" w:cs="宋体"/>
                <w:spacing w:val="31"/>
                <w:sz w:val="19"/>
                <w:szCs w:val="19"/>
              </w:rPr>
              <w:t xml:space="preserve">  </w:t>
            </w:r>
            <w:r>
              <w:rPr>
                <w:rFonts w:ascii="宋体" w:eastAsia="宋体" w:hAnsi="宋体" w:cs="宋体"/>
                <w:spacing w:val="-1"/>
                <w:sz w:val="19"/>
                <w:szCs w:val="19"/>
              </w:rPr>
              <w:t>AI</w:t>
            </w:r>
            <w:r>
              <w:rPr>
                <w:rFonts w:ascii="宋体" w:eastAsia="宋体" w:hAnsi="宋体" w:cs="宋体"/>
                <w:sz w:val="19"/>
                <w:szCs w:val="19"/>
              </w:rPr>
              <w:t xml:space="preserve">   </w:t>
            </w:r>
            <w:r>
              <w:rPr>
                <w:rFonts w:ascii="宋体" w:eastAsia="宋体" w:hAnsi="宋体" w:cs="宋体"/>
                <w:spacing w:val="-1"/>
                <w:sz w:val="19"/>
                <w:szCs w:val="19"/>
              </w:rPr>
              <w:t>AI</w:t>
            </w:r>
            <w:r>
              <w:rPr>
                <w:rFonts w:ascii="宋体" w:eastAsia="宋体" w:hAnsi="宋体" w:cs="宋体"/>
                <w:spacing w:val="9"/>
                <w:sz w:val="19"/>
                <w:szCs w:val="19"/>
              </w:rPr>
              <w:t xml:space="preserve">  </w:t>
            </w:r>
            <w:r>
              <w:rPr>
                <w:rFonts w:ascii="宋体" w:eastAsia="宋体" w:hAnsi="宋体" w:cs="宋体"/>
                <w:spacing w:val="-1"/>
                <w:sz w:val="19"/>
                <w:szCs w:val="19"/>
              </w:rPr>
              <w:t>Al</w:t>
            </w:r>
          </w:p>
        </w:tc>
      </w:tr>
      <w:tr w:rsidR="00EA40A3">
        <w:trPr>
          <w:trHeight w:val="318"/>
        </w:trPr>
        <w:tc>
          <w:tcPr>
            <w:tcW w:w="546" w:type="dxa"/>
            <w:vMerge/>
            <w:tcBorders>
              <w:top w:val="nil"/>
              <w:right w:val="nil"/>
            </w:tcBorders>
          </w:tcPr>
          <w:p w:rsidR="00EA40A3" w:rsidRDefault="00EA40A3"/>
        </w:tc>
        <w:tc>
          <w:tcPr>
            <w:tcW w:w="418" w:type="dxa"/>
            <w:vMerge/>
            <w:tcBorders>
              <w:top w:val="nil"/>
              <w:left w:val="nil"/>
              <w:right w:val="nil"/>
            </w:tcBorders>
          </w:tcPr>
          <w:p w:rsidR="00EA40A3" w:rsidRDefault="00EA40A3"/>
        </w:tc>
        <w:tc>
          <w:tcPr>
            <w:tcW w:w="450" w:type="dxa"/>
            <w:vMerge/>
            <w:tcBorders>
              <w:top w:val="nil"/>
              <w:left w:val="nil"/>
              <w:right w:val="nil"/>
            </w:tcBorders>
          </w:tcPr>
          <w:p w:rsidR="00EA40A3" w:rsidRDefault="00EA40A3"/>
        </w:tc>
        <w:tc>
          <w:tcPr>
            <w:tcW w:w="448" w:type="dxa"/>
            <w:vMerge/>
            <w:tcBorders>
              <w:top w:val="nil"/>
              <w:left w:val="nil"/>
              <w:right w:val="nil"/>
            </w:tcBorders>
          </w:tcPr>
          <w:p w:rsidR="00EA40A3" w:rsidRDefault="00EA40A3"/>
        </w:tc>
        <w:tc>
          <w:tcPr>
            <w:tcW w:w="397" w:type="dxa"/>
            <w:vMerge/>
            <w:tcBorders>
              <w:top w:val="nil"/>
              <w:left w:val="nil"/>
              <w:right w:val="nil"/>
            </w:tcBorders>
          </w:tcPr>
          <w:p w:rsidR="00EA40A3" w:rsidRDefault="00EA40A3"/>
        </w:tc>
        <w:tc>
          <w:tcPr>
            <w:tcW w:w="433" w:type="dxa"/>
            <w:vMerge/>
            <w:tcBorders>
              <w:top w:val="nil"/>
              <w:left w:val="nil"/>
            </w:tcBorders>
          </w:tcPr>
          <w:p w:rsidR="00EA40A3" w:rsidRDefault="00EA40A3"/>
        </w:tc>
        <w:tc>
          <w:tcPr>
            <w:tcW w:w="717" w:type="dxa"/>
          </w:tcPr>
          <w:p w:rsidR="00EA40A3" w:rsidRDefault="00E86C16">
            <w:pPr>
              <w:spacing w:before="51" w:line="214" w:lineRule="auto"/>
              <w:ind w:left="238"/>
              <w:rPr>
                <w:rFonts w:ascii="宋体" w:eastAsia="宋体" w:hAnsi="宋体" w:cs="宋体"/>
                <w:sz w:val="19"/>
                <w:szCs w:val="19"/>
              </w:rPr>
            </w:pPr>
            <w:r>
              <w:rPr>
                <w:rFonts w:ascii="宋体" w:eastAsia="宋体" w:hAnsi="宋体" w:cs="宋体"/>
                <w:spacing w:val="-2"/>
                <w:sz w:val="19"/>
                <w:szCs w:val="19"/>
              </w:rPr>
              <w:t>/mg</w:t>
            </w:r>
          </w:p>
        </w:tc>
        <w:tc>
          <w:tcPr>
            <w:tcW w:w="1187" w:type="dxa"/>
          </w:tcPr>
          <w:p w:rsidR="00EA40A3" w:rsidRDefault="00E86C16">
            <w:pPr>
              <w:spacing w:before="31" w:line="222" w:lineRule="auto"/>
              <w:ind w:left="101"/>
              <w:rPr>
                <w:rFonts w:ascii="宋体" w:eastAsia="宋体" w:hAnsi="宋体" w:cs="宋体"/>
                <w:sz w:val="19"/>
                <w:szCs w:val="19"/>
              </w:rPr>
            </w:pPr>
            <w:r>
              <w:rPr>
                <w:rFonts w:ascii="宋体" w:eastAsia="宋体" w:hAnsi="宋体" w:cs="宋体"/>
                <w:spacing w:val="-12"/>
                <w:position w:val="-1"/>
                <w:sz w:val="19"/>
                <w:szCs w:val="19"/>
              </w:rPr>
              <w:t>μg</w:t>
            </w:r>
            <w:r>
              <w:rPr>
                <w:rFonts w:ascii="宋体" w:eastAsia="宋体" w:hAnsi="宋体" w:cs="宋体"/>
                <w:spacing w:val="2"/>
                <w:position w:val="-1"/>
                <w:sz w:val="19"/>
                <w:szCs w:val="19"/>
              </w:rPr>
              <w:t xml:space="preserve">    </w:t>
            </w:r>
            <w:r>
              <w:rPr>
                <w:rFonts w:ascii="宋体" w:eastAsia="宋体" w:hAnsi="宋体" w:cs="宋体"/>
                <w:spacing w:val="-12"/>
                <w:sz w:val="19"/>
                <w:szCs w:val="19"/>
              </w:rPr>
              <w:t>/mg</w:t>
            </w:r>
          </w:p>
        </w:tc>
        <w:tc>
          <w:tcPr>
            <w:tcW w:w="2753" w:type="dxa"/>
          </w:tcPr>
          <w:p w:rsidR="00EA40A3" w:rsidRDefault="00E86C16">
            <w:pPr>
              <w:spacing w:before="41" w:line="223" w:lineRule="auto"/>
              <w:ind w:left="144"/>
              <w:rPr>
                <w:rFonts w:ascii="宋体" w:eastAsia="宋体" w:hAnsi="宋体" w:cs="宋体"/>
                <w:sz w:val="19"/>
                <w:szCs w:val="19"/>
              </w:rPr>
            </w:pPr>
            <w:r>
              <w:rPr>
                <w:rFonts w:ascii="宋体" w:eastAsia="宋体" w:hAnsi="宋体" w:cs="宋体"/>
                <w:spacing w:val="-1"/>
                <w:sz w:val="19"/>
                <w:szCs w:val="19"/>
              </w:rPr>
              <w:t>/μg</w:t>
            </w:r>
            <w:r>
              <w:rPr>
                <w:rFonts w:ascii="宋体" w:eastAsia="宋体" w:hAnsi="宋体" w:cs="宋体"/>
                <w:spacing w:val="-3"/>
                <w:sz w:val="19"/>
                <w:szCs w:val="19"/>
              </w:rPr>
              <w:t xml:space="preserve"> </w:t>
            </w:r>
            <w:r>
              <w:rPr>
                <w:rFonts w:ascii="宋体" w:eastAsia="宋体" w:hAnsi="宋体" w:cs="宋体"/>
                <w:spacing w:val="-1"/>
                <w:sz w:val="19"/>
                <w:szCs w:val="19"/>
              </w:rPr>
              <w:t>/mg</w:t>
            </w:r>
            <w:r>
              <w:rPr>
                <w:rFonts w:ascii="宋体" w:eastAsia="宋体" w:hAnsi="宋体" w:cs="宋体"/>
                <w:spacing w:val="17"/>
                <w:sz w:val="19"/>
                <w:szCs w:val="19"/>
              </w:rPr>
              <w:t xml:space="preserve"> </w:t>
            </w:r>
            <w:r>
              <w:rPr>
                <w:rFonts w:ascii="宋体" w:eastAsia="宋体" w:hAnsi="宋体" w:cs="宋体"/>
                <w:spacing w:val="-1"/>
                <w:sz w:val="19"/>
                <w:szCs w:val="19"/>
              </w:rPr>
              <w:t>/mg</w:t>
            </w:r>
            <w:r>
              <w:rPr>
                <w:rFonts w:ascii="宋体" w:eastAsia="宋体" w:hAnsi="宋体" w:cs="宋体"/>
                <w:spacing w:val="86"/>
                <w:w w:val="101"/>
                <w:sz w:val="19"/>
                <w:szCs w:val="19"/>
              </w:rPr>
              <w:t xml:space="preserve"> </w:t>
            </w:r>
            <w:r>
              <w:rPr>
                <w:rFonts w:ascii="宋体" w:eastAsia="宋体" w:hAnsi="宋体" w:cs="宋体"/>
                <w:spacing w:val="-1"/>
                <w:sz w:val="19"/>
                <w:szCs w:val="19"/>
              </w:rPr>
              <w:t>/μg/mg</w:t>
            </w:r>
            <w:r>
              <w:rPr>
                <w:rFonts w:ascii="宋体" w:eastAsia="宋体" w:hAnsi="宋体" w:cs="宋体"/>
                <w:spacing w:val="3"/>
                <w:sz w:val="19"/>
                <w:szCs w:val="19"/>
              </w:rPr>
              <w:t xml:space="preserve">  </w:t>
            </w:r>
            <w:r>
              <w:rPr>
                <w:rFonts w:ascii="宋体" w:eastAsia="宋体" w:hAnsi="宋体" w:cs="宋体"/>
                <w:spacing w:val="-1"/>
                <w:sz w:val="19"/>
                <w:szCs w:val="19"/>
              </w:rPr>
              <w:t>/mg</w:t>
            </w:r>
          </w:p>
        </w:tc>
      </w:tr>
      <w:tr w:rsidR="00EA40A3">
        <w:trPr>
          <w:trHeight w:val="300"/>
        </w:trPr>
        <w:tc>
          <w:tcPr>
            <w:tcW w:w="2692" w:type="dxa"/>
            <w:gridSpan w:val="6"/>
          </w:tcPr>
          <w:p w:rsidR="00EA40A3" w:rsidRDefault="00E86C16">
            <w:pPr>
              <w:spacing w:before="88" w:line="193" w:lineRule="auto"/>
              <w:ind w:left="180"/>
              <w:rPr>
                <w:rFonts w:ascii="宋体" w:eastAsia="宋体" w:hAnsi="宋体" w:cs="宋体"/>
                <w:sz w:val="19"/>
                <w:szCs w:val="19"/>
              </w:rPr>
            </w:pPr>
            <w:r>
              <w:rPr>
                <w:rFonts w:ascii="宋体" w:eastAsia="宋体" w:hAnsi="宋体" w:cs="宋体"/>
                <w:spacing w:val="-9"/>
                <w:sz w:val="19"/>
                <w:szCs w:val="19"/>
              </w:rPr>
              <w:t>0～</w:t>
            </w:r>
            <w:r>
              <w:rPr>
                <w:rFonts w:ascii="宋体" w:eastAsia="宋体" w:hAnsi="宋体" w:cs="宋体"/>
                <w:spacing w:val="41"/>
                <w:sz w:val="19"/>
                <w:szCs w:val="19"/>
              </w:rPr>
              <w:t xml:space="preserve">  </w:t>
            </w:r>
            <w:r>
              <w:rPr>
                <w:rFonts w:ascii="宋体" w:eastAsia="宋体" w:hAnsi="宋体" w:cs="宋体"/>
                <w:spacing w:val="-9"/>
                <w:sz w:val="19"/>
                <w:szCs w:val="19"/>
              </w:rPr>
              <w:t>300</w:t>
            </w:r>
            <w:r>
              <w:rPr>
                <w:rFonts w:ascii="宋体" w:eastAsia="宋体" w:hAnsi="宋体" w:cs="宋体"/>
                <w:spacing w:val="17"/>
                <w:sz w:val="19"/>
                <w:szCs w:val="19"/>
              </w:rPr>
              <w:t xml:space="preserve"> </w:t>
            </w:r>
            <w:r>
              <w:rPr>
                <w:rFonts w:ascii="宋体" w:eastAsia="宋体" w:hAnsi="宋体" w:cs="宋体"/>
                <w:spacing w:val="-9"/>
                <w:sz w:val="19"/>
                <w:szCs w:val="19"/>
              </w:rPr>
              <w:t>150</w:t>
            </w:r>
            <w:r>
              <w:rPr>
                <w:rFonts w:ascii="宋体" w:eastAsia="宋体" w:hAnsi="宋体" w:cs="宋体"/>
                <w:spacing w:val="52"/>
                <w:sz w:val="19"/>
                <w:szCs w:val="19"/>
              </w:rPr>
              <w:t xml:space="preserve"> </w:t>
            </w:r>
            <w:r>
              <w:rPr>
                <w:rFonts w:ascii="宋体" w:eastAsia="宋体" w:hAnsi="宋体" w:cs="宋体"/>
                <w:spacing w:val="-9"/>
                <w:sz w:val="19"/>
                <w:szCs w:val="19"/>
              </w:rPr>
              <w:t>500</w:t>
            </w:r>
            <w:r>
              <w:rPr>
                <w:rFonts w:ascii="宋体" w:eastAsia="宋体" w:hAnsi="宋体" w:cs="宋体"/>
                <w:spacing w:val="71"/>
                <w:sz w:val="19"/>
                <w:szCs w:val="19"/>
              </w:rPr>
              <w:t xml:space="preserve"> </w:t>
            </w:r>
            <w:r>
              <w:rPr>
                <w:rFonts w:ascii="宋体" w:eastAsia="宋体" w:hAnsi="宋体" w:cs="宋体"/>
                <w:spacing w:val="-9"/>
                <w:sz w:val="19"/>
                <w:szCs w:val="19"/>
              </w:rPr>
              <w:t>200</w:t>
            </w:r>
            <w:r>
              <w:rPr>
                <w:rFonts w:ascii="宋体" w:eastAsia="宋体" w:hAnsi="宋体" w:cs="宋体"/>
                <w:spacing w:val="42"/>
                <w:sz w:val="19"/>
                <w:szCs w:val="19"/>
              </w:rPr>
              <w:t xml:space="preserve">  </w:t>
            </w:r>
            <w:r>
              <w:rPr>
                <w:rFonts w:ascii="宋体" w:eastAsia="宋体" w:hAnsi="宋体" w:cs="宋体"/>
                <w:spacing w:val="-9"/>
                <w:position w:val="1"/>
                <w:sz w:val="19"/>
                <w:szCs w:val="19"/>
              </w:rPr>
              <w:t>30</w:t>
            </w:r>
          </w:p>
        </w:tc>
        <w:tc>
          <w:tcPr>
            <w:tcW w:w="717" w:type="dxa"/>
          </w:tcPr>
          <w:p w:rsidR="00EA40A3" w:rsidRDefault="00E86C16">
            <w:pPr>
              <w:spacing w:before="108" w:line="183" w:lineRule="auto"/>
              <w:ind w:left="238"/>
              <w:rPr>
                <w:rFonts w:ascii="宋体" w:eastAsia="宋体" w:hAnsi="宋体" w:cs="宋体"/>
                <w:sz w:val="19"/>
                <w:szCs w:val="19"/>
              </w:rPr>
            </w:pPr>
            <w:r>
              <w:rPr>
                <w:rFonts w:ascii="宋体" w:eastAsia="宋体" w:hAnsi="宋体" w:cs="宋体"/>
                <w:spacing w:val="-2"/>
                <w:sz w:val="19"/>
                <w:szCs w:val="19"/>
              </w:rPr>
              <w:t>0.3</w:t>
            </w:r>
          </w:p>
        </w:tc>
        <w:tc>
          <w:tcPr>
            <w:tcW w:w="1187" w:type="dxa"/>
          </w:tcPr>
          <w:p w:rsidR="00EA40A3" w:rsidRDefault="00E86C16">
            <w:pPr>
              <w:spacing w:before="78" w:line="193" w:lineRule="auto"/>
              <w:ind w:left="200"/>
              <w:rPr>
                <w:rFonts w:ascii="宋体" w:eastAsia="宋体" w:hAnsi="宋体" w:cs="宋体"/>
                <w:sz w:val="19"/>
                <w:szCs w:val="19"/>
              </w:rPr>
            </w:pPr>
            <w:r>
              <w:rPr>
                <w:rFonts w:ascii="宋体" w:eastAsia="宋体" w:hAnsi="宋体" w:cs="宋体"/>
                <w:spacing w:val="-6"/>
                <w:position w:val="1"/>
                <w:sz w:val="19"/>
                <w:szCs w:val="19"/>
              </w:rPr>
              <w:t>50</w:t>
            </w:r>
            <w:r>
              <w:rPr>
                <w:rFonts w:ascii="宋体" w:eastAsia="宋体" w:hAnsi="宋体" w:cs="宋体"/>
                <w:spacing w:val="19"/>
                <w:position w:val="1"/>
                <w:sz w:val="19"/>
                <w:szCs w:val="19"/>
              </w:rPr>
              <w:t xml:space="preserve">   </w:t>
            </w:r>
            <w:r>
              <w:rPr>
                <w:rFonts w:ascii="宋体" w:eastAsia="宋体" w:hAnsi="宋体" w:cs="宋体"/>
                <w:spacing w:val="-6"/>
                <w:position w:val="-1"/>
                <w:sz w:val="19"/>
                <w:szCs w:val="19"/>
              </w:rPr>
              <w:t>1.5</w:t>
            </w:r>
          </w:p>
        </w:tc>
        <w:tc>
          <w:tcPr>
            <w:tcW w:w="2753" w:type="dxa"/>
          </w:tcPr>
          <w:p w:rsidR="00EA40A3" w:rsidRDefault="00E86C16">
            <w:pPr>
              <w:spacing w:before="62" w:line="221" w:lineRule="auto"/>
              <w:ind w:left="83"/>
              <w:rPr>
                <w:rFonts w:ascii="宋体" w:eastAsia="宋体" w:hAnsi="宋体" w:cs="宋体"/>
                <w:sz w:val="19"/>
                <w:szCs w:val="19"/>
              </w:rPr>
            </w:pPr>
            <w:r>
              <w:rPr>
                <w:rFonts w:ascii="宋体" w:eastAsia="宋体" w:hAnsi="宋体" w:cs="宋体"/>
                <w:spacing w:val="-3"/>
                <w:sz w:val="19"/>
                <w:szCs w:val="19"/>
              </w:rPr>
              <w:t>15(Al)0.4</w:t>
            </w:r>
            <w:r>
              <w:rPr>
                <w:rFonts w:ascii="宋体" w:eastAsia="宋体" w:hAnsi="宋体" w:cs="宋体"/>
                <w:spacing w:val="-29"/>
                <w:sz w:val="19"/>
                <w:szCs w:val="19"/>
              </w:rPr>
              <w:t xml:space="preserve"> </w:t>
            </w:r>
            <w:r>
              <w:rPr>
                <w:rFonts w:ascii="宋体" w:eastAsia="宋体" w:hAnsi="宋体" w:cs="宋体"/>
                <w:spacing w:val="-3"/>
                <w:position w:val="-1"/>
                <w:sz w:val="19"/>
                <w:szCs w:val="19"/>
              </w:rPr>
              <w:t>0.1</w:t>
            </w:r>
            <w:r>
              <w:rPr>
                <w:rFonts w:ascii="宋体" w:eastAsia="宋体" w:hAnsi="宋体" w:cs="宋体"/>
                <w:spacing w:val="22"/>
                <w:position w:val="-1"/>
                <w:sz w:val="19"/>
                <w:szCs w:val="19"/>
              </w:rPr>
              <w:t xml:space="preserve">  </w:t>
            </w:r>
            <w:r>
              <w:rPr>
                <w:rFonts w:ascii="宋体" w:eastAsia="宋体" w:hAnsi="宋体" w:cs="宋体"/>
                <w:spacing w:val="-3"/>
                <w:position w:val="-1"/>
                <w:sz w:val="19"/>
                <w:szCs w:val="19"/>
              </w:rPr>
              <w:t>10</w:t>
            </w:r>
          </w:p>
        </w:tc>
      </w:tr>
      <w:tr w:rsidR="00EA40A3">
        <w:trPr>
          <w:trHeight w:val="318"/>
        </w:trPr>
        <w:tc>
          <w:tcPr>
            <w:tcW w:w="2692" w:type="dxa"/>
            <w:gridSpan w:val="6"/>
          </w:tcPr>
          <w:p w:rsidR="00EA40A3" w:rsidRDefault="00E86C16">
            <w:pPr>
              <w:spacing w:before="98" w:line="183" w:lineRule="auto"/>
              <w:ind w:left="30"/>
              <w:rPr>
                <w:rFonts w:ascii="宋体" w:eastAsia="宋体" w:hAnsi="宋体" w:cs="宋体"/>
                <w:sz w:val="19"/>
                <w:szCs w:val="19"/>
              </w:rPr>
            </w:pPr>
            <w:r>
              <w:rPr>
                <w:rFonts w:ascii="宋体" w:eastAsia="宋体" w:hAnsi="宋体" w:cs="宋体"/>
                <w:spacing w:val="-4"/>
                <w:sz w:val="19"/>
                <w:szCs w:val="19"/>
              </w:rPr>
              <w:t>0.5～</w:t>
            </w:r>
            <w:r>
              <w:rPr>
                <w:rFonts w:ascii="宋体" w:eastAsia="宋体" w:hAnsi="宋体" w:cs="宋体"/>
                <w:spacing w:val="45"/>
                <w:sz w:val="19"/>
                <w:szCs w:val="19"/>
              </w:rPr>
              <w:t xml:space="preserve"> </w:t>
            </w:r>
            <w:r>
              <w:rPr>
                <w:rFonts w:ascii="宋体" w:eastAsia="宋体" w:hAnsi="宋体" w:cs="宋体"/>
                <w:spacing w:val="-4"/>
                <w:sz w:val="19"/>
                <w:szCs w:val="19"/>
              </w:rPr>
              <w:t>400</w:t>
            </w:r>
            <w:r>
              <w:rPr>
                <w:rFonts w:ascii="宋体" w:eastAsia="宋体" w:hAnsi="宋体" w:cs="宋体"/>
                <w:spacing w:val="45"/>
                <w:sz w:val="19"/>
                <w:szCs w:val="19"/>
              </w:rPr>
              <w:t xml:space="preserve"> </w:t>
            </w:r>
            <w:r>
              <w:rPr>
                <w:rFonts w:ascii="宋体" w:eastAsia="宋体" w:hAnsi="宋体" w:cs="宋体"/>
                <w:spacing w:val="-4"/>
                <w:sz w:val="19"/>
                <w:szCs w:val="19"/>
              </w:rPr>
              <w:t>300</w:t>
            </w:r>
            <w:r>
              <w:rPr>
                <w:rFonts w:ascii="宋体" w:eastAsia="宋体" w:hAnsi="宋体" w:cs="宋体"/>
                <w:spacing w:val="41"/>
                <w:sz w:val="19"/>
                <w:szCs w:val="19"/>
              </w:rPr>
              <w:t xml:space="preserve"> </w:t>
            </w:r>
            <w:r>
              <w:rPr>
                <w:rFonts w:ascii="宋体" w:eastAsia="宋体" w:hAnsi="宋体" w:cs="宋体"/>
                <w:spacing w:val="-4"/>
                <w:sz w:val="19"/>
                <w:szCs w:val="19"/>
              </w:rPr>
              <w:t>700</w:t>
            </w:r>
            <w:r>
              <w:rPr>
                <w:rFonts w:ascii="宋体" w:eastAsia="宋体" w:hAnsi="宋体" w:cs="宋体"/>
                <w:spacing w:val="72"/>
                <w:sz w:val="19"/>
                <w:szCs w:val="19"/>
              </w:rPr>
              <w:t xml:space="preserve"> </w:t>
            </w:r>
            <w:r>
              <w:rPr>
                <w:rFonts w:ascii="宋体" w:eastAsia="宋体" w:hAnsi="宋体" w:cs="宋体"/>
                <w:spacing w:val="-4"/>
                <w:sz w:val="19"/>
                <w:szCs w:val="19"/>
              </w:rPr>
              <w:t>500</w:t>
            </w:r>
            <w:r>
              <w:rPr>
                <w:rFonts w:ascii="宋体" w:eastAsia="宋体" w:hAnsi="宋体" w:cs="宋体"/>
                <w:spacing w:val="43"/>
                <w:sz w:val="19"/>
                <w:szCs w:val="19"/>
              </w:rPr>
              <w:t xml:space="preserve">  </w:t>
            </w:r>
            <w:r>
              <w:rPr>
                <w:rFonts w:ascii="宋体" w:eastAsia="宋体" w:hAnsi="宋体" w:cs="宋体"/>
                <w:spacing w:val="-4"/>
                <w:sz w:val="19"/>
                <w:szCs w:val="19"/>
              </w:rPr>
              <w:t>70</w:t>
            </w:r>
          </w:p>
        </w:tc>
        <w:tc>
          <w:tcPr>
            <w:tcW w:w="717" w:type="dxa"/>
          </w:tcPr>
          <w:p w:rsidR="00EA40A3" w:rsidRDefault="00E86C16">
            <w:pPr>
              <w:spacing w:before="97" w:line="184" w:lineRule="auto"/>
              <w:ind w:left="338"/>
              <w:rPr>
                <w:rFonts w:ascii="宋体" w:eastAsia="宋体" w:hAnsi="宋体" w:cs="宋体"/>
                <w:sz w:val="19"/>
                <w:szCs w:val="19"/>
              </w:rPr>
            </w:pPr>
            <w:r>
              <w:rPr>
                <w:rFonts w:ascii="宋体" w:eastAsia="宋体" w:hAnsi="宋体" w:cs="宋体"/>
                <w:spacing w:val="-6"/>
                <w:sz w:val="19"/>
                <w:szCs w:val="19"/>
              </w:rPr>
              <w:t>10</w:t>
            </w:r>
          </w:p>
        </w:tc>
        <w:tc>
          <w:tcPr>
            <w:tcW w:w="1187" w:type="dxa"/>
          </w:tcPr>
          <w:p w:rsidR="00EA40A3" w:rsidRDefault="00E86C16">
            <w:pPr>
              <w:spacing w:before="98" w:line="183" w:lineRule="auto"/>
              <w:ind w:left="200"/>
              <w:rPr>
                <w:rFonts w:ascii="宋体" w:eastAsia="宋体" w:hAnsi="宋体" w:cs="宋体"/>
                <w:sz w:val="19"/>
                <w:szCs w:val="19"/>
              </w:rPr>
            </w:pPr>
            <w:r>
              <w:rPr>
                <w:rFonts w:ascii="宋体" w:eastAsia="宋体" w:hAnsi="宋体" w:cs="宋体"/>
                <w:spacing w:val="-4"/>
                <w:sz w:val="19"/>
                <w:szCs w:val="19"/>
              </w:rPr>
              <w:t>50</w:t>
            </w:r>
            <w:r>
              <w:rPr>
                <w:rFonts w:ascii="宋体" w:eastAsia="宋体" w:hAnsi="宋体" w:cs="宋体"/>
                <w:spacing w:val="19"/>
                <w:sz w:val="19"/>
                <w:szCs w:val="19"/>
              </w:rPr>
              <w:t xml:space="preserve">   </w:t>
            </w:r>
            <w:r>
              <w:rPr>
                <w:rFonts w:ascii="宋体" w:eastAsia="宋体" w:hAnsi="宋体" w:cs="宋体"/>
                <w:spacing w:val="-4"/>
                <w:sz w:val="19"/>
                <w:szCs w:val="19"/>
              </w:rPr>
              <w:t>8.0</w:t>
            </w:r>
          </w:p>
        </w:tc>
        <w:tc>
          <w:tcPr>
            <w:tcW w:w="2753" w:type="dxa"/>
          </w:tcPr>
          <w:p w:rsidR="00EA40A3" w:rsidRDefault="00E86C16">
            <w:pPr>
              <w:spacing w:before="52" w:line="222" w:lineRule="auto"/>
              <w:ind w:left="64"/>
              <w:rPr>
                <w:rFonts w:ascii="宋体" w:eastAsia="宋体" w:hAnsi="宋体" w:cs="宋体"/>
                <w:sz w:val="19"/>
                <w:szCs w:val="19"/>
              </w:rPr>
            </w:pPr>
            <w:r>
              <w:rPr>
                <w:rFonts w:ascii="宋体" w:eastAsia="宋体" w:hAnsi="宋体" w:cs="宋体"/>
                <w:spacing w:val="-3"/>
                <w:sz w:val="19"/>
                <w:szCs w:val="19"/>
              </w:rPr>
              <w:t>20(Al)0.6</w:t>
            </w:r>
            <w:r>
              <w:rPr>
                <w:rFonts w:ascii="宋体" w:eastAsia="宋体" w:hAnsi="宋体" w:cs="宋体"/>
                <w:spacing w:val="10"/>
                <w:sz w:val="19"/>
                <w:szCs w:val="19"/>
              </w:rPr>
              <w:t xml:space="preserve">  </w:t>
            </w:r>
            <w:r>
              <w:rPr>
                <w:rFonts w:ascii="宋体" w:eastAsia="宋体" w:hAnsi="宋体" w:cs="宋体"/>
                <w:spacing w:val="-3"/>
                <w:sz w:val="19"/>
                <w:szCs w:val="19"/>
              </w:rPr>
              <w:t>0.4</w:t>
            </w:r>
            <w:r>
              <w:rPr>
                <w:rFonts w:ascii="宋体" w:eastAsia="宋体" w:hAnsi="宋体" w:cs="宋体"/>
                <w:spacing w:val="-5"/>
                <w:sz w:val="19"/>
                <w:szCs w:val="19"/>
              </w:rPr>
              <w:t xml:space="preserve"> </w:t>
            </w:r>
            <w:r>
              <w:rPr>
                <w:rFonts w:ascii="宋体" w:eastAsia="宋体" w:hAnsi="宋体" w:cs="宋体"/>
                <w:spacing w:val="-3"/>
                <w:position w:val="-1"/>
                <w:sz w:val="19"/>
                <w:szCs w:val="19"/>
              </w:rPr>
              <w:t>15</w:t>
            </w:r>
          </w:p>
        </w:tc>
      </w:tr>
      <w:tr w:rsidR="00EA40A3">
        <w:trPr>
          <w:trHeight w:val="314"/>
        </w:trPr>
        <w:tc>
          <w:tcPr>
            <w:tcW w:w="2692" w:type="dxa"/>
            <w:gridSpan w:val="6"/>
          </w:tcPr>
          <w:p w:rsidR="00EA40A3" w:rsidRDefault="00E86C16">
            <w:pPr>
              <w:spacing w:before="89" w:line="184" w:lineRule="auto"/>
              <w:ind w:left="30"/>
              <w:rPr>
                <w:rFonts w:ascii="宋体" w:eastAsia="宋体" w:hAnsi="宋体" w:cs="宋体"/>
                <w:sz w:val="19"/>
                <w:szCs w:val="19"/>
              </w:rPr>
            </w:pPr>
            <w:r>
              <w:rPr>
                <w:rFonts w:ascii="宋体" w:eastAsia="宋体" w:hAnsi="宋体" w:cs="宋体"/>
                <w:spacing w:val="-6"/>
                <w:sz w:val="19"/>
                <w:szCs w:val="19"/>
              </w:rPr>
              <w:t>1～</w:t>
            </w:r>
            <w:r>
              <w:rPr>
                <w:rFonts w:ascii="宋体" w:eastAsia="宋体" w:hAnsi="宋体" w:cs="宋体"/>
                <w:spacing w:val="23"/>
                <w:sz w:val="19"/>
                <w:szCs w:val="19"/>
              </w:rPr>
              <w:t xml:space="preserve">   </w:t>
            </w:r>
            <w:r>
              <w:rPr>
                <w:rFonts w:ascii="宋体" w:eastAsia="宋体" w:hAnsi="宋体" w:cs="宋体"/>
                <w:spacing w:val="-6"/>
                <w:sz w:val="19"/>
                <w:szCs w:val="19"/>
              </w:rPr>
              <w:t>600</w:t>
            </w:r>
            <w:r>
              <w:rPr>
                <w:rFonts w:ascii="宋体" w:eastAsia="宋体" w:hAnsi="宋体" w:cs="宋体"/>
                <w:spacing w:val="46"/>
                <w:sz w:val="19"/>
                <w:szCs w:val="19"/>
              </w:rPr>
              <w:t xml:space="preserve"> </w:t>
            </w:r>
            <w:r>
              <w:rPr>
                <w:rFonts w:ascii="宋体" w:eastAsia="宋体" w:hAnsi="宋体" w:cs="宋体"/>
                <w:spacing w:val="-6"/>
                <w:sz w:val="19"/>
                <w:szCs w:val="19"/>
              </w:rPr>
              <w:t>450</w:t>
            </w:r>
            <w:r>
              <w:rPr>
                <w:rFonts w:ascii="宋体" w:eastAsia="宋体" w:hAnsi="宋体" w:cs="宋体"/>
                <w:spacing w:val="-3"/>
                <w:sz w:val="19"/>
                <w:szCs w:val="19"/>
              </w:rPr>
              <w:t xml:space="preserve"> </w:t>
            </w:r>
            <w:r>
              <w:rPr>
                <w:rFonts w:ascii="宋体" w:eastAsia="宋体" w:hAnsi="宋体" w:cs="宋体"/>
                <w:spacing w:val="-6"/>
                <w:sz w:val="19"/>
                <w:szCs w:val="19"/>
              </w:rPr>
              <w:t>1000</w:t>
            </w:r>
            <w:r>
              <w:rPr>
                <w:rFonts w:ascii="宋体" w:eastAsia="宋体" w:hAnsi="宋体" w:cs="宋体"/>
                <w:spacing w:val="26"/>
                <w:sz w:val="19"/>
                <w:szCs w:val="19"/>
              </w:rPr>
              <w:t xml:space="preserve"> </w:t>
            </w:r>
            <w:r>
              <w:rPr>
                <w:rFonts w:ascii="宋体" w:eastAsia="宋体" w:hAnsi="宋体" w:cs="宋体"/>
                <w:spacing w:val="-6"/>
                <w:sz w:val="19"/>
                <w:szCs w:val="19"/>
              </w:rPr>
              <w:t>650</w:t>
            </w:r>
            <w:r>
              <w:rPr>
                <w:rFonts w:ascii="宋体" w:eastAsia="宋体" w:hAnsi="宋体" w:cs="宋体"/>
                <w:spacing w:val="79"/>
                <w:sz w:val="19"/>
                <w:szCs w:val="19"/>
              </w:rPr>
              <w:t xml:space="preserve"> </w:t>
            </w:r>
            <w:r>
              <w:rPr>
                <w:rFonts w:ascii="宋体" w:eastAsia="宋体" w:hAnsi="宋体" w:cs="宋体"/>
                <w:spacing w:val="-6"/>
                <w:sz w:val="19"/>
                <w:szCs w:val="19"/>
              </w:rPr>
              <w:t>100</w:t>
            </w:r>
          </w:p>
        </w:tc>
        <w:tc>
          <w:tcPr>
            <w:tcW w:w="717" w:type="dxa"/>
          </w:tcPr>
          <w:p w:rsidR="00EA40A3" w:rsidRDefault="00E86C16">
            <w:pPr>
              <w:spacing w:before="89" w:line="184" w:lineRule="auto"/>
              <w:ind w:left="338"/>
              <w:rPr>
                <w:rFonts w:ascii="宋体" w:eastAsia="宋体" w:hAnsi="宋体" w:cs="宋体"/>
                <w:sz w:val="19"/>
                <w:szCs w:val="19"/>
              </w:rPr>
            </w:pPr>
            <w:r>
              <w:rPr>
                <w:rFonts w:ascii="宋体" w:eastAsia="宋体" w:hAnsi="宋体" w:cs="宋体"/>
                <w:spacing w:val="-6"/>
                <w:sz w:val="19"/>
                <w:szCs w:val="19"/>
              </w:rPr>
              <w:t>12</w:t>
            </w:r>
          </w:p>
        </w:tc>
        <w:tc>
          <w:tcPr>
            <w:tcW w:w="1187" w:type="dxa"/>
          </w:tcPr>
          <w:p w:rsidR="00EA40A3" w:rsidRDefault="00E86C16">
            <w:pPr>
              <w:spacing w:before="90" w:line="183" w:lineRule="auto"/>
              <w:ind w:left="200"/>
              <w:rPr>
                <w:rFonts w:ascii="宋体" w:eastAsia="宋体" w:hAnsi="宋体" w:cs="宋体"/>
                <w:sz w:val="19"/>
                <w:szCs w:val="19"/>
              </w:rPr>
            </w:pPr>
            <w:r>
              <w:rPr>
                <w:rFonts w:ascii="宋体" w:eastAsia="宋体" w:hAnsi="宋体" w:cs="宋体"/>
                <w:spacing w:val="-4"/>
                <w:sz w:val="19"/>
                <w:szCs w:val="19"/>
              </w:rPr>
              <w:t>50</w:t>
            </w:r>
            <w:r>
              <w:rPr>
                <w:rFonts w:ascii="宋体" w:eastAsia="宋体" w:hAnsi="宋体" w:cs="宋体"/>
                <w:spacing w:val="19"/>
                <w:sz w:val="19"/>
                <w:szCs w:val="19"/>
              </w:rPr>
              <w:t xml:space="preserve">   </w:t>
            </w:r>
            <w:r>
              <w:rPr>
                <w:rFonts w:ascii="宋体" w:eastAsia="宋体" w:hAnsi="宋体" w:cs="宋体"/>
                <w:spacing w:val="-4"/>
                <w:sz w:val="19"/>
                <w:szCs w:val="19"/>
              </w:rPr>
              <w:t>9.0</w:t>
            </w:r>
          </w:p>
        </w:tc>
        <w:tc>
          <w:tcPr>
            <w:tcW w:w="2753" w:type="dxa"/>
          </w:tcPr>
          <w:p w:rsidR="00EA40A3" w:rsidRDefault="00E86C16">
            <w:pPr>
              <w:spacing w:before="89" w:line="184" w:lineRule="auto"/>
              <w:ind w:left="204"/>
              <w:rPr>
                <w:rFonts w:ascii="宋体" w:eastAsia="宋体" w:hAnsi="宋体" w:cs="宋体"/>
                <w:sz w:val="19"/>
                <w:szCs w:val="19"/>
              </w:rPr>
            </w:pPr>
            <w:r>
              <w:rPr>
                <w:rFonts w:ascii="宋体" w:eastAsia="宋体" w:hAnsi="宋体" w:cs="宋体"/>
                <w:spacing w:val="-6"/>
                <w:sz w:val="19"/>
                <w:szCs w:val="19"/>
              </w:rPr>
              <w:t>20</w:t>
            </w:r>
            <w:r>
              <w:rPr>
                <w:rFonts w:ascii="宋体" w:eastAsia="宋体" w:hAnsi="宋体" w:cs="宋体"/>
                <w:spacing w:val="90"/>
                <w:sz w:val="19"/>
                <w:szCs w:val="19"/>
              </w:rPr>
              <w:t xml:space="preserve"> </w:t>
            </w:r>
            <w:r>
              <w:rPr>
                <w:rFonts w:ascii="宋体" w:eastAsia="宋体" w:hAnsi="宋体" w:cs="宋体"/>
                <w:spacing w:val="-6"/>
                <w:sz w:val="19"/>
                <w:szCs w:val="19"/>
              </w:rPr>
              <w:t>0.8</w:t>
            </w:r>
            <w:r>
              <w:rPr>
                <w:rFonts w:ascii="宋体" w:eastAsia="宋体" w:hAnsi="宋体" w:cs="宋体"/>
                <w:spacing w:val="47"/>
                <w:sz w:val="19"/>
                <w:szCs w:val="19"/>
              </w:rPr>
              <w:t xml:space="preserve">  </w:t>
            </w:r>
            <w:r>
              <w:rPr>
                <w:rFonts w:ascii="宋体" w:eastAsia="宋体" w:hAnsi="宋体" w:cs="宋体"/>
                <w:spacing w:val="-6"/>
                <w:sz w:val="19"/>
                <w:szCs w:val="19"/>
              </w:rPr>
              <w:t>0.6</w:t>
            </w:r>
            <w:r>
              <w:rPr>
                <w:rFonts w:ascii="宋体" w:eastAsia="宋体" w:hAnsi="宋体" w:cs="宋体"/>
                <w:spacing w:val="-4"/>
                <w:sz w:val="19"/>
                <w:szCs w:val="19"/>
              </w:rPr>
              <w:t xml:space="preserve"> </w:t>
            </w:r>
            <w:r>
              <w:rPr>
                <w:rFonts w:ascii="宋体" w:eastAsia="宋体" w:hAnsi="宋体" w:cs="宋体"/>
                <w:spacing w:val="-6"/>
                <w:sz w:val="19"/>
                <w:szCs w:val="19"/>
              </w:rPr>
              <w:t>20</w:t>
            </w:r>
            <w:r>
              <w:rPr>
                <w:rFonts w:ascii="宋体" w:eastAsia="宋体" w:hAnsi="宋体" w:cs="宋体"/>
                <w:spacing w:val="7"/>
                <w:sz w:val="19"/>
                <w:szCs w:val="19"/>
              </w:rPr>
              <w:t xml:space="preserve">       </w:t>
            </w:r>
            <w:r>
              <w:rPr>
                <w:rFonts w:ascii="宋体" w:eastAsia="宋体" w:hAnsi="宋体" w:cs="宋体"/>
                <w:spacing w:val="-6"/>
                <w:sz w:val="19"/>
                <w:szCs w:val="19"/>
              </w:rPr>
              <w:t>15</w:t>
            </w:r>
          </w:p>
        </w:tc>
      </w:tr>
      <w:tr w:rsidR="00EA40A3">
        <w:trPr>
          <w:trHeight w:val="324"/>
        </w:trPr>
        <w:tc>
          <w:tcPr>
            <w:tcW w:w="2692" w:type="dxa"/>
            <w:gridSpan w:val="6"/>
          </w:tcPr>
          <w:p w:rsidR="00EA40A3" w:rsidRDefault="00E86C16">
            <w:pPr>
              <w:spacing w:before="115" w:line="194" w:lineRule="auto"/>
              <w:ind w:left="160"/>
              <w:rPr>
                <w:rFonts w:ascii="宋体" w:eastAsia="宋体" w:hAnsi="宋体" w:cs="宋体"/>
                <w:sz w:val="19"/>
                <w:szCs w:val="19"/>
              </w:rPr>
            </w:pPr>
            <w:r>
              <w:rPr>
                <w:rFonts w:ascii="宋体" w:eastAsia="宋体" w:hAnsi="宋体" w:cs="宋体"/>
                <w:spacing w:val="-7"/>
                <w:sz w:val="19"/>
                <w:szCs w:val="19"/>
              </w:rPr>
              <w:t>4～</w:t>
            </w:r>
            <w:r>
              <w:rPr>
                <w:rFonts w:ascii="宋体" w:eastAsia="宋体" w:hAnsi="宋体" w:cs="宋体"/>
                <w:spacing w:val="39"/>
                <w:sz w:val="19"/>
                <w:szCs w:val="19"/>
              </w:rPr>
              <w:t xml:space="preserve">  </w:t>
            </w:r>
            <w:r>
              <w:rPr>
                <w:rFonts w:ascii="宋体" w:eastAsia="宋体" w:hAnsi="宋体" w:cs="宋体"/>
                <w:spacing w:val="-7"/>
                <w:sz w:val="19"/>
                <w:szCs w:val="19"/>
              </w:rPr>
              <w:t>800</w:t>
            </w:r>
            <w:r>
              <w:rPr>
                <w:rFonts w:ascii="宋体" w:eastAsia="宋体" w:hAnsi="宋体" w:cs="宋体"/>
                <w:spacing w:val="-4"/>
                <w:sz w:val="19"/>
                <w:szCs w:val="19"/>
              </w:rPr>
              <w:t xml:space="preserve"> </w:t>
            </w:r>
            <w:r>
              <w:rPr>
                <w:rFonts w:ascii="宋体" w:eastAsia="宋体" w:hAnsi="宋体" w:cs="宋体"/>
                <w:spacing w:val="-7"/>
                <w:sz w:val="19"/>
                <w:szCs w:val="19"/>
              </w:rPr>
              <w:t>500</w:t>
            </w:r>
            <w:r>
              <w:rPr>
                <w:rFonts w:ascii="宋体" w:eastAsia="宋体" w:hAnsi="宋体" w:cs="宋体"/>
                <w:spacing w:val="32"/>
                <w:sz w:val="19"/>
                <w:szCs w:val="19"/>
              </w:rPr>
              <w:t xml:space="preserve"> </w:t>
            </w:r>
            <w:r>
              <w:rPr>
                <w:rFonts w:ascii="宋体" w:eastAsia="宋体" w:hAnsi="宋体" w:cs="宋体"/>
                <w:spacing w:val="-7"/>
                <w:sz w:val="19"/>
                <w:szCs w:val="19"/>
              </w:rPr>
              <w:t>1500</w:t>
            </w:r>
            <w:r>
              <w:rPr>
                <w:rFonts w:ascii="宋体" w:eastAsia="宋体" w:hAnsi="宋体" w:cs="宋体"/>
                <w:spacing w:val="6"/>
                <w:sz w:val="19"/>
                <w:szCs w:val="19"/>
              </w:rPr>
              <w:t xml:space="preserve"> </w:t>
            </w:r>
            <w:r>
              <w:rPr>
                <w:rFonts w:ascii="宋体" w:eastAsia="宋体" w:hAnsi="宋体" w:cs="宋体"/>
                <w:spacing w:val="-7"/>
                <w:sz w:val="19"/>
                <w:szCs w:val="19"/>
              </w:rPr>
              <w:t>900</w:t>
            </w:r>
            <w:r>
              <w:rPr>
                <w:rFonts w:ascii="宋体" w:eastAsia="宋体" w:hAnsi="宋体" w:cs="宋体"/>
                <w:spacing w:val="88"/>
                <w:sz w:val="19"/>
                <w:szCs w:val="19"/>
              </w:rPr>
              <w:t xml:space="preserve"> </w:t>
            </w:r>
            <w:r>
              <w:rPr>
                <w:rFonts w:ascii="宋体" w:eastAsia="宋体" w:hAnsi="宋体" w:cs="宋体"/>
                <w:spacing w:val="-7"/>
                <w:sz w:val="19"/>
                <w:szCs w:val="19"/>
              </w:rPr>
              <w:t>150</w:t>
            </w:r>
          </w:p>
        </w:tc>
        <w:tc>
          <w:tcPr>
            <w:tcW w:w="717" w:type="dxa"/>
          </w:tcPr>
          <w:p w:rsidR="00EA40A3" w:rsidRDefault="00E86C16">
            <w:pPr>
              <w:spacing w:before="95" w:line="184" w:lineRule="auto"/>
              <w:ind w:left="338"/>
              <w:rPr>
                <w:rFonts w:ascii="宋体" w:eastAsia="宋体" w:hAnsi="宋体" w:cs="宋体"/>
                <w:sz w:val="19"/>
                <w:szCs w:val="19"/>
              </w:rPr>
            </w:pPr>
            <w:r>
              <w:rPr>
                <w:rFonts w:ascii="宋体" w:eastAsia="宋体" w:hAnsi="宋体" w:cs="宋体"/>
                <w:spacing w:val="-6"/>
                <w:sz w:val="19"/>
                <w:szCs w:val="19"/>
              </w:rPr>
              <w:t>12</w:t>
            </w:r>
          </w:p>
        </w:tc>
        <w:tc>
          <w:tcPr>
            <w:tcW w:w="1187" w:type="dxa"/>
          </w:tcPr>
          <w:p w:rsidR="00EA40A3" w:rsidRDefault="00E86C16">
            <w:pPr>
              <w:spacing w:before="106" w:line="193" w:lineRule="auto"/>
              <w:ind w:left="200"/>
              <w:rPr>
                <w:rFonts w:ascii="宋体" w:eastAsia="宋体" w:hAnsi="宋体" w:cs="宋体"/>
                <w:sz w:val="19"/>
                <w:szCs w:val="19"/>
              </w:rPr>
            </w:pPr>
            <w:r>
              <w:rPr>
                <w:rFonts w:ascii="宋体" w:eastAsia="宋体" w:hAnsi="宋体" w:cs="宋体"/>
                <w:spacing w:val="-5"/>
                <w:sz w:val="19"/>
                <w:szCs w:val="19"/>
              </w:rPr>
              <w:t>90</w:t>
            </w:r>
            <w:r>
              <w:rPr>
                <w:rFonts w:ascii="宋体" w:eastAsia="宋体" w:hAnsi="宋体" w:cs="宋体"/>
                <w:spacing w:val="31"/>
                <w:sz w:val="19"/>
                <w:szCs w:val="19"/>
              </w:rPr>
              <w:t xml:space="preserve">  </w:t>
            </w:r>
            <w:r>
              <w:rPr>
                <w:rFonts w:ascii="宋体" w:eastAsia="宋体" w:hAnsi="宋体" w:cs="宋体"/>
                <w:spacing w:val="-5"/>
                <w:sz w:val="19"/>
                <w:szCs w:val="19"/>
              </w:rPr>
              <w:t>12.0</w:t>
            </w:r>
          </w:p>
        </w:tc>
        <w:tc>
          <w:tcPr>
            <w:tcW w:w="2753" w:type="dxa"/>
          </w:tcPr>
          <w:p w:rsidR="00EA40A3" w:rsidRDefault="00E86C16">
            <w:pPr>
              <w:spacing w:before="96" w:line="193" w:lineRule="auto"/>
              <w:ind w:left="204"/>
              <w:rPr>
                <w:rFonts w:ascii="宋体" w:eastAsia="宋体" w:hAnsi="宋体" w:cs="宋体"/>
                <w:sz w:val="19"/>
                <w:szCs w:val="19"/>
              </w:rPr>
            </w:pPr>
            <w:r>
              <w:rPr>
                <w:rFonts w:ascii="宋体" w:eastAsia="宋体" w:hAnsi="宋体" w:cs="宋体"/>
                <w:spacing w:val="-5"/>
                <w:sz w:val="19"/>
                <w:szCs w:val="19"/>
              </w:rPr>
              <w:t>25</w:t>
            </w:r>
            <w:r>
              <w:rPr>
                <w:rFonts w:ascii="宋体" w:eastAsia="宋体" w:hAnsi="宋体" w:cs="宋体"/>
                <w:spacing w:val="77"/>
                <w:sz w:val="19"/>
                <w:szCs w:val="19"/>
              </w:rPr>
              <w:t xml:space="preserve"> </w:t>
            </w:r>
            <w:r>
              <w:rPr>
                <w:rFonts w:ascii="宋体" w:eastAsia="宋体" w:hAnsi="宋体" w:cs="宋体"/>
                <w:spacing w:val="-5"/>
                <w:sz w:val="19"/>
                <w:szCs w:val="19"/>
              </w:rPr>
              <w:t>1.0</w:t>
            </w:r>
            <w:r>
              <w:rPr>
                <w:rFonts w:ascii="宋体" w:eastAsia="宋体" w:hAnsi="宋体" w:cs="宋体"/>
                <w:spacing w:val="61"/>
                <w:w w:val="101"/>
                <w:sz w:val="19"/>
                <w:szCs w:val="19"/>
              </w:rPr>
              <w:t xml:space="preserve"> </w:t>
            </w:r>
            <w:r>
              <w:rPr>
                <w:rFonts w:ascii="宋体" w:eastAsia="宋体" w:hAnsi="宋体" w:cs="宋体"/>
                <w:spacing w:val="-5"/>
                <w:sz w:val="19"/>
                <w:szCs w:val="19"/>
              </w:rPr>
              <w:t>0.8</w:t>
            </w:r>
            <w:r>
              <w:rPr>
                <w:rFonts w:ascii="宋体" w:eastAsia="宋体" w:hAnsi="宋体" w:cs="宋体"/>
                <w:spacing w:val="16"/>
                <w:sz w:val="19"/>
                <w:szCs w:val="19"/>
              </w:rPr>
              <w:t xml:space="preserve">  </w:t>
            </w:r>
            <w:r>
              <w:rPr>
                <w:rFonts w:ascii="宋体" w:eastAsia="宋体" w:hAnsi="宋体" w:cs="宋体"/>
                <w:spacing w:val="-5"/>
                <w:sz w:val="19"/>
                <w:szCs w:val="19"/>
              </w:rPr>
              <w:t>30</w:t>
            </w:r>
            <w:r>
              <w:rPr>
                <w:rFonts w:ascii="宋体" w:eastAsia="宋体" w:hAnsi="宋体" w:cs="宋体"/>
                <w:spacing w:val="8"/>
                <w:sz w:val="19"/>
                <w:szCs w:val="19"/>
              </w:rPr>
              <w:t xml:space="preserve">       </w:t>
            </w:r>
            <w:r>
              <w:rPr>
                <w:rFonts w:ascii="宋体" w:eastAsia="宋体" w:hAnsi="宋体" w:cs="宋体"/>
                <w:spacing w:val="-5"/>
                <w:position w:val="1"/>
                <w:sz w:val="19"/>
                <w:szCs w:val="19"/>
              </w:rPr>
              <w:t>20</w:t>
            </w:r>
          </w:p>
        </w:tc>
      </w:tr>
      <w:tr w:rsidR="00EA40A3">
        <w:trPr>
          <w:trHeight w:val="600"/>
        </w:trPr>
        <w:tc>
          <w:tcPr>
            <w:tcW w:w="2692" w:type="dxa"/>
            <w:gridSpan w:val="6"/>
          </w:tcPr>
          <w:p w:rsidR="00EA40A3" w:rsidRDefault="00E86C16">
            <w:pPr>
              <w:spacing w:before="101" w:line="194" w:lineRule="auto"/>
              <w:ind w:left="170"/>
              <w:rPr>
                <w:rFonts w:ascii="宋体" w:eastAsia="宋体" w:hAnsi="宋体" w:cs="宋体"/>
                <w:sz w:val="19"/>
                <w:szCs w:val="19"/>
              </w:rPr>
            </w:pPr>
            <w:r>
              <w:rPr>
                <w:rFonts w:ascii="宋体" w:eastAsia="宋体" w:hAnsi="宋体" w:cs="宋体"/>
                <w:spacing w:val="-6"/>
                <w:sz w:val="19"/>
                <w:szCs w:val="19"/>
              </w:rPr>
              <w:t>7～</w:t>
            </w:r>
            <w:r>
              <w:rPr>
                <w:rFonts w:ascii="宋体" w:eastAsia="宋体" w:hAnsi="宋体" w:cs="宋体"/>
                <w:spacing w:val="36"/>
                <w:sz w:val="19"/>
                <w:szCs w:val="19"/>
              </w:rPr>
              <w:t xml:space="preserve">  </w:t>
            </w:r>
            <w:r>
              <w:rPr>
                <w:rFonts w:ascii="宋体" w:eastAsia="宋体" w:hAnsi="宋体" w:cs="宋体"/>
                <w:spacing w:val="-6"/>
                <w:sz w:val="19"/>
                <w:szCs w:val="19"/>
              </w:rPr>
              <w:t>800</w:t>
            </w:r>
            <w:r>
              <w:rPr>
                <w:rFonts w:ascii="宋体" w:eastAsia="宋体" w:hAnsi="宋体" w:cs="宋体"/>
                <w:spacing w:val="-4"/>
                <w:sz w:val="19"/>
                <w:szCs w:val="19"/>
              </w:rPr>
              <w:t xml:space="preserve"> </w:t>
            </w:r>
            <w:r>
              <w:rPr>
                <w:rFonts w:ascii="宋体" w:eastAsia="宋体" w:hAnsi="宋体" w:cs="宋体"/>
                <w:spacing w:val="-6"/>
                <w:sz w:val="19"/>
                <w:szCs w:val="19"/>
              </w:rPr>
              <w:t>700</w:t>
            </w:r>
            <w:r>
              <w:rPr>
                <w:rFonts w:ascii="宋体" w:eastAsia="宋体" w:hAnsi="宋体" w:cs="宋体"/>
                <w:spacing w:val="10"/>
                <w:sz w:val="19"/>
                <w:szCs w:val="19"/>
              </w:rPr>
              <w:t xml:space="preserve">  </w:t>
            </w:r>
            <w:r>
              <w:rPr>
                <w:rFonts w:ascii="宋体" w:eastAsia="宋体" w:hAnsi="宋体" w:cs="宋体"/>
                <w:spacing w:val="-6"/>
                <w:sz w:val="19"/>
                <w:szCs w:val="19"/>
              </w:rPr>
              <w:t>15001000</w:t>
            </w:r>
            <w:r>
              <w:rPr>
                <w:rFonts w:ascii="宋体" w:eastAsia="宋体" w:hAnsi="宋体" w:cs="宋体"/>
                <w:spacing w:val="3"/>
                <w:sz w:val="19"/>
                <w:szCs w:val="19"/>
              </w:rPr>
              <w:t xml:space="preserve"> </w:t>
            </w:r>
            <w:r>
              <w:rPr>
                <w:rFonts w:ascii="宋体" w:eastAsia="宋体" w:hAnsi="宋体" w:cs="宋体"/>
                <w:spacing w:val="-6"/>
                <w:sz w:val="19"/>
                <w:szCs w:val="19"/>
              </w:rPr>
              <w:t>250</w:t>
            </w:r>
          </w:p>
        </w:tc>
        <w:tc>
          <w:tcPr>
            <w:tcW w:w="717" w:type="dxa"/>
          </w:tcPr>
          <w:p w:rsidR="00EA40A3" w:rsidRDefault="00E86C16">
            <w:pPr>
              <w:spacing w:before="91" w:line="184" w:lineRule="auto"/>
              <w:ind w:left="338"/>
              <w:rPr>
                <w:rFonts w:ascii="宋体" w:eastAsia="宋体" w:hAnsi="宋体" w:cs="宋体"/>
                <w:sz w:val="19"/>
                <w:szCs w:val="19"/>
              </w:rPr>
            </w:pPr>
            <w:r>
              <w:rPr>
                <w:rFonts w:ascii="宋体" w:eastAsia="宋体" w:hAnsi="宋体" w:cs="宋体"/>
                <w:spacing w:val="-6"/>
                <w:sz w:val="19"/>
                <w:szCs w:val="19"/>
              </w:rPr>
              <w:t>12</w:t>
            </w:r>
          </w:p>
          <w:p w:rsidR="00EA40A3" w:rsidRDefault="00E86C16">
            <w:pPr>
              <w:spacing w:before="72" w:line="219" w:lineRule="auto"/>
              <w:ind w:left="78"/>
              <w:rPr>
                <w:rFonts w:ascii="宋体" w:eastAsia="宋体" w:hAnsi="宋体" w:cs="宋体"/>
                <w:sz w:val="19"/>
                <w:szCs w:val="19"/>
              </w:rPr>
            </w:pPr>
            <w:r>
              <w:rPr>
                <w:rFonts w:ascii="宋体" w:eastAsia="宋体" w:hAnsi="宋体" w:cs="宋体"/>
                <w:spacing w:val="-8"/>
                <w:sz w:val="19"/>
                <w:szCs w:val="19"/>
              </w:rPr>
              <w:t>男</w:t>
            </w:r>
            <w:r>
              <w:rPr>
                <w:rFonts w:ascii="宋体" w:eastAsia="宋体" w:hAnsi="宋体" w:cs="宋体"/>
                <w:spacing w:val="18"/>
                <w:sz w:val="19"/>
                <w:szCs w:val="19"/>
              </w:rPr>
              <w:t xml:space="preserve">  </w:t>
            </w:r>
            <w:r>
              <w:rPr>
                <w:rFonts w:ascii="宋体" w:eastAsia="宋体" w:hAnsi="宋体" w:cs="宋体"/>
                <w:spacing w:val="-8"/>
                <w:sz w:val="19"/>
                <w:szCs w:val="19"/>
              </w:rPr>
              <w:t>女</w:t>
            </w:r>
          </w:p>
        </w:tc>
        <w:tc>
          <w:tcPr>
            <w:tcW w:w="1187" w:type="dxa"/>
          </w:tcPr>
          <w:p w:rsidR="00EA40A3" w:rsidRDefault="00E86C16">
            <w:pPr>
              <w:spacing w:before="91" w:line="237" w:lineRule="auto"/>
              <w:ind w:left="490" w:right="117" w:hanging="290"/>
              <w:rPr>
                <w:rFonts w:ascii="宋体" w:eastAsia="宋体" w:hAnsi="宋体" w:cs="宋体"/>
                <w:sz w:val="19"/>
                <w:szCs w:val="19"/>
              </w:rPr>
            </w:pPr>
            <w:r>
              <w:rPr>
                <w:rFonts w:ascii="宋体" w:eastAsia="宋体" w:hAnsi="宋体" w:cs="宋体"/>
                <w:spacing w:val="-5"/>
                <w:sz w:val="19"/>
                <w:szCs w:val="19"/>
              </w:rPr>
              <w:t>90</w:t>
            </w:r>
            <w:r>
              <w:rPr>
                <w:rFonts w:ascii="宋体" w:eastAsia="宋体" w:hAnsi="宋体" w:cs="宋体"/>
                <w:spacing w:val="29"/>
                <w:sz w:val="19"/>
                <w:szCs w:val="19"/>
              </w:rPr>
              <w:t xml:space="preserve">  </w:t>
            </w:r>
            <w:r>
              <w:rPr>
                <w:rFonts w:ascii="宋体" w:eastAsia="宋体" w:hAnsi="宋体" w:cs="宋体"/>
                <w:spacing w:val="-5"/>
                <w:sz w:val="19"/>
                <w:szCs w:val="19"/>
              </w:rPr>
              <w:t>13.5</w:t>
            </w:r>
            <w:r>
              <w:rPr>
                <w:rFonts w:ascii="宋体" w:eastAsia="宋体" w:hAnsi="宋体" w:cs="宋体"/>
                <w:sz w:val="19"/>
                <w:szCs w:val="19"/>
              </w:rPr>
              <w:t xml:space="preserve">  </w:t>
            </w:r>
            <w:r>
              <w:rPr>
                <w:rFonts w:ascii="宋体" w:eastAsia="宋体" w:hAnsi="宋体" w:cs="宋体"/>
                <w:spacing w:val="-14"/>
                <w:sz w:val="19"/>
                <w:szCs w:val="19"/>
              </w:rPr>
              <w:t>男</w:t>
            </w:r>
            <w:r>
              <w:rPr>
                <w:rFonts w:ascii="宋体" w:eastAsia="宋体" w:hAnsi="宋体" w:cs="宋体"/>
                <w:spacing w:val="18"/>
                <w:sz w:val="19"/>
                <w:szCs w:val="19"/>
              </w:rPr>
              <w:t xml:space="preserve">  </w:t>
            </w:r>
            <w:r>
              <w:rPr>
                <w:rFonts w:ascii="宋体" w:eastAsia="宋体" w:hAnsi="宋体" w:cs="宋体"/>
                <w:spacing w:val="-14"/>
                <w:sz w:val="19"/>
                <w:szCs w:val="19"/>
              </w:rPr>
              <w:t>女</w:t>
            </w:r>
          </w:p>
        </w:tc>
        <w:tc>
          <w:tcPr>
            <w:tcW w:w="2753" w:type="dxa"/>
          </w:tcPr>
          <w:p w:rsidR="00EA40A3" w:rsidRDefault="00E86C16">
            <w:pPr>
              <w:spacing w:before="72" w:line="193" w:lineRule="auto"/>
              <w:ind w:left="204"/>
              <w:rPr>
                <w:rFonts w:ascii="宋体" w:eastAsia="宋体" w:hAnsi="宋体" w:cs="宋体"/>
                <w:sz w:val="19"/>
                <w:szCs w:val="19"/>
              </w:rPr>
            </w:pPr>
            <w:r>
              <w:rPr>
                <w:rFonts w:ascii="宋体" w:eastAsia="宋体" w:hAnsi="宋体" w:cs="宋体"/>
                <w:spacing w:val="-6"/>
                <w:sz w:val="19"/>
                <w:szCs w:val="19"/>
              </w:rPr>
              <w:t>35</w:t>
            </w:r>
            <w:r>
              <w:rPr>
                <w:rFonts w:ascii="宋体" w:eastAsia="宋体" w:hAnsi="宋体" w:cs="宋体"/>
                <w:spacing w:val="76"/>
                <w:sz w:val="19"/>
                <w:szCs w:val="19"/>
              </w:rPr>
              <w:t xml:space="preserve"> </w:t>
            </w:r>
            <w:r>
              <w:rPr>
                <w:rFonts w:ascii="宋体" w:eastAsia="宋体" w:hAnsi="宋体" w:cs="宋体"/>
                <w:spacing w:val="-6"/>
                <w:sz w:val="19"/>
                <w:szCs w:val="19"/>
              </w:rPr>
              <w:t>1.2</w:t>
            </w:r>
            <w:r>
              <w:rPr>
                <w:rFonts w:ascii="宋体" w:eastAsia="宋体" w:hAnsi="宋体" w:cs="宋体"/>
                <w:spacing w:val="61"/>
                <w:sz w:val="19"/>
                <w:szCs w:val="19"/>
              </w:rPr>
              <w:t xml:space="preserve"> </w:t>
            </w:r>
            <w:r>
              <w:rPr>
                <w:rFonts w:ascii="宋体" w:eastAsia="宋体" w:hAnsi="宋体" w:cs="宋体"/>
                <w:spacing w:val="-6"/>
                <w:position w:val="-1"/>
                <w:sz w:val="19"/>
                <w:szCs w:val="19"/>
              </w:rPr>
              <w:t>1.0</w:t>
            </w:r>
            <w:r>
              <w:rPr>
                <w:rFonts w:ascii="宋体" w:eastAsia="宋体" w:hAnsi="宋体" w:cs="宋体"/>
                <w:spacing w:val="23"/>
                <w:position w:val="-1"/>
                <w:sz w:val="19"/>
                <w:szCs w:val="19"/>
              </w:rPr>
              <w:t xml:space="preserve">  </w:t>
            </w:r>
            <w:r>
              <w:rPr>
                <w:rFonts w:ascii="宋体" w:eastAsia="宋体" w:hAnsi="宋体" w:cs="宋体"/>
                <w:spacing w:val="-6"/>
                <w:position w:val="-1"/>
                <w:sz w:val="19"/>
                <w:szCs w:val="19"/>
              </w:rPr>
              <w:t>30</w:t>
            </w:r>
            <w:r>
              <w:rPr>
                <w:rFonts w:ascii="宋体" w:eastAsia="宋体" w:hAnsi="宋体" w:cs="宋体"/>
                <w:spacing w:val="8"/>
                <w:position w:val="-1"/>
                <w:sz w:val="19"/>
                <w:szCs w:val="19"/>
              </w:rPr>
              <w:t xml:space="preserve">       </w:t>
            </w:r>
            <w:r>
              <w:rPr>
                <w:rFonts w:ascii="宋体" w:eastAsia="宋体" w:hAnsi="宋体" w:cs="宋体"/>
                <w:spacing w:val="-6"/>
                <w:position w:val="1"/>
                <w:sz w:val="19"/>
                <w:szCs w:val="19"/>
              </w:rPr>
              <w:t>30</w:t>
            </w:r>
          </w:p>
        </w:tc>
      </w:tr>
      <w:tr w:rsidR="00EA40A3">
        <w:trPr>
          <w:trHeight w:val="333"/>
        </w:trPr>
        <w:tc>
          <w:tcPr>
            <w:tcW w:w="2692" w:type="dxa"/>
            <w:gridSpan w:val="6"/>
          </w:tcPr>
          <w:p w:rsidR="00EA40A3" w:rsidRDefault="00E86C16">
            <w:pPr>
              <w:spacing w:before="73" w:line="221" w:lineRule="auto"/>
              <w:ind w:left="100"/>
              <w:rPr>
                <w:rFonts w:ascii="宋体" w:eastAsia="宋体" w:hAnsi="宋体" w:cs="宋体"/>
                <w:sz w:val="19"/>
                <w:szCs w:val="19"/>
              </w:rPr>
            </w:pPr>
            <w:r>
              <w:rPr>
                <w:rFonts w:ascii="宋体" w:eastAsia="宋体" w:hAnsi="宋体" w:cs="宋体"/>
                <w:spacing w:val="-3"/>
                <w:sz w:val="19"/>
                <w:szCs w:val="19"/>
              </w:rPr>
              <w:t>11~</w:t>
            </w:r>
            <w:r>
              <w:rPr>
                <w:rFonts w:ascii="宋体" w:eastAsia="宋体" w:hAnsi="宋体" w:cs="宋体"/>
                <w:spacing w:val="19"/>
                <w:sz w:val="19"/>
                <w:szCs w:val="19"/>
              </w:rPr>
              <w:t xml:space="preserve">   </w:t>
            </w:r>
            <w:r>
              <w:rPr>
                <w:rFonts w:ascii="宋体" w:eastAsia="宋体" w:hAnsi="宋体" w:cs="宋体"/>
                <w:spacing w:val="-3"/>
                <w:sz w:val="19"/>
                <w:szCs w:val="19"/>
              </w:rPr>
              <w:t>1000100015001200</w:t>
            </w:r>
            <w:r>
              <w:rPr>
                <w:rFonts w:ascii="宋体" w:eastAsia="宋体" w:hAnsi="宋体" w:cs="宋体"/>
                <w:spacing w:val="35"/>
                <w:sz w:val="19"/>
                <w:szCs w:val="19"/>
              </w:rPr>
              <w:t xml:space="preserve"> </w:t>
            </w:r>
            <w:r>
              <w:rPr>
                <w:rFonts w:ascii="宋体" w:eastAsia="宋体" w:hAnsi="宋体" w:cs="宋体"/>
                <w:spacing w:val="-3"/>
                <w:position w:val="-2"/>
                <w:sz w:val="19"/>
                <w:szCs w:val="19"/>
              </w:rPr>
              <w:t>350</w:t>
            </w:r>
          </w:p>
        </w:tc>
        <w:tc>
          <w:tcPr>
            <w:tcW w:w="717" w:type="dxa"/>
          </w:tcPr>
          <w:p w:rsidR="00EA40A3" w:rsidRDefault="00E86C16">
            <w:pPr>
              <w:spacing w:before="122" w:line="193" w:lineRule="auto"/>
              <w:ind w:left="88"/>
              <w:rPr>
                <w:rFonts w:ascii="宋体" w:eastAsia="宋体" w:hAnsi="宋体" w:cs="宋体"/>
                <w:sz w:val="19"/>
                <w:szCs w:val="19"/>
              </w:rPr>
            </w:pPr>
            <w:r>
              <w:rPr>
                <w:rFonts w:ascii="宋体" w:eastAsia="宋体" w:hAnsi="宋体" w:cs="宋体"/>
                <w:spacing w:val="-9"/>
                <w:sz w:val="19"/>
                <w:szCs w:val="19"/>
              </w:rPr>
              <w:t>16</w:t>
            </w:r>
            <w:r>
              <w:rPr>
                <w:rFonts w:ascii="宋体" w:eastAsia="宋体" w:hAnsi="宋体" w:cs="宋体"/>
                <w:spacing w:val="17"/>
                <w:sz w:val="19"/>
                <w:szCs w:val="19"/>
              </w:rPr>
              <w:t xml:space="preserve">  </w:t>
            </w:r>
            <w:r>
              <w:rPr>
                <w:rFonts w:ascii="宋体" w:eastAsia="宋体" w:hAnsi="宋体" w:cs="宋体"/>
                <w:spacing w:val="-9"/>
                <w:sz w:val="19"/>
                <w:szCs w:val="19"/>
              </w:rPr>
              <w:t>18</w:t>
            </w:r>
          </w:p>
        </w:tc>
        <w:tc>
          <w:tcPr>
            <w:tcW w:w="1187" w:type="dxa"/>
          </w:tcPr>
          <w:p w:rsidR="00EA40A3" w:rsidRDefault="00E86C16">
            <w:pPr>
              <w:spacing w:before="121" w:line="184" w:lineRule="auto"/>
              <w:ind w:left="111"/>
              <w:rPr>
                <w:rFonts w:ascii="宋体" w:eastAsia="宋体" w:hAnsi="宋体" w:cs="宋体"/>
                <w:sz w:val="19"/>
                <w:szCs w:val="19"/>
              </w:rPr>
            </w:pPr>
            <w:r>
              <w:rPr>
                <w:rFonts w:ascii="宋体" w:eastAsia="宋体" w:hAnsi="宋体" w:cs="宋体"/>
                <w:spacing w:val="-2"/>
                <w:sz w:val="19"/>
                <w:szCs w:val="19"/>
              </w:rPr>
              <w:t>12018.015.0</w:t>
            </w:r>
          </w:p>
        </w:tc>
        <w:tc>
          <w:tcPr>
            <w:tcW w:w="2753" w:type="dxa"/>
          </w:tcPr>
          <w:p w:rsidR="00EA40A3" w:rsidRDefault="00E86C16">
            <w:pPr>
              <w:spacing w:before="102" w:line="193" w:lineRule="auto"/>
              <w:ind w:left="174"/>
              <w:rPr>
                <w:rFonts w:ascii="宋体" w:eastAsia="宋体" w:hAnsi="宋体" w:cs="宋体"/>
                <w:sz w:val="19"/>
                <w:szCs w:val="19"/>
              </w:rPr>
            </w:pPr>
            <w:r>
              <w:rPr>
                <w:rFonts w:ascii="宋体" w:eastAsia="宋体" w:hAnsi="宋体" w:cs="宋体"/>
                <w:spacing w:val="-6"/>
                <w:sz w:val="19"/>
                <w:szCs w:val="19"/>
              </w:rPr>
              <w:t>45</w:t>
            </w:r>
            <w:r>
              <w:rPr>
                <w:rFonts w:ascii="宋体" w:eastAsia="宋体" w:hAnsi="宋体" w:cs="宋体"/>
                <w:spacing w:val="12"/>
                <w:sz w:val="19"/>
                <w:szCs w:val="19"/>
              </w:rPr>
              <w:t xml:space="preserve">  </w:t>
            </w:r>
            <w:r>
              <w:rPr>
                <w:rFonts w:ascii="宋体" w:eastAsia="宋体" w:hAnsi="宋体" w:cs="宋体"/>
                <w:spacing w:val="-6"/>
                <w:sz w:val="19"/>
                <w:szCs w:val="19"/>
              </w:rPr>
              <w:t>1.8</w:t>
            </w:r>
            <w:r>
              <w:rPr>
                <w:rFonts w:ascii="宋体" w:eastAsia="宋体" w:hAnsi="宋体" w:cs="宋体"/>
                <w:spacing w:val="73"/>
                <w:sz w:val="19"/>
                <w:szCs w:val="19"/>
              </w:rPr>
              <w:t xml:space="preserve"> </w:t>
            </w:r>
            <w:r>
              <w:rPr>
                <w:rFonts w:ascii="宋体" w:eastAsia="宋体" w:hAnsi="宋体" w:cs="宋体"/>
                <w:spacing w:val="-6"/>
                <w:sz w:val="19"/>
                <w:szCs w:val="19"/>
              </w:rPr>
              <w:t>1.2</w:t>
            </w:r>
            <w:r>
              <w:rPr>
                <w:rFonts w:ascii="宋体" w:eastAsia="宋体" w:hAnsi="宋体" w:cs="宋体"/>
                <w:spacing w:val="13"/>
                <w:sz w:val="19"/>
                <w:szCs w:val="19"/>
              </w:rPr>
              <w:t xml:space="preserve">  </w:t>
            </w:r>
            <w:r>
              <w:rPr>
                <w:rFonts w:ascii="宋体" w:eastAsia="宋体" w:hAnsi="宋体" w:cs="宋体"/>
                <w:spacing w:val="-6"/>
                <w:sz w:val="19"/>
                <w:szCs w:val="19"/>
              </w:rPr>
              <w:t>40</w:t>
            </w:r>
            <w:r>
              <w:rPr>
                <w:rFonts w:ascii="宋体" w:eastAsia="宋体" w:hAnsi="宋体" w:cs="宋体"/>
                <w:spacing w:val="7"/>
                <w:sz w:val="19"/>
                <w:szCs w:val="19"/>
              </w:rPr>
              <w:t xml:space="preserve">       </w:t>
            </w:r>
            <w:r>
              <w:rPr>
                <w:rFonts w:ascii="宋体" w:eastAsia="宋体" w:hAnsi="宋体" w:cs="宋体"/>
                <w:spacing w:val="-6"/>
                <w:position w:val="1"/>
                <w:sz w:val="19"/>
                <w:szCs w:val="19"/>
              </w:rPr>
              <w:t>50</w:t>
            </w:r>
          </w:p>
        </w:tc>
      </w:tr>
      <w:tr w:rsidR="00EA40A3">
        <w:trPr>
          <w:trHeight w:val="315"/>
        </w:trPr>
        <w:tc>
          <w:tcPr>
            <w:tcW w:w="2692" w:type="dxa"/>
            <w:gridSpan w:val="6"/>
          </w:tcPr>
          <w:p w:rsidR="00EA40A3" w:rsidRDefault="00E86C16">
            <w:pPr>
              <w:spacing w:before="78" w:line="194" w:lineRule="auto"/>
              <w:ind w:left="100"/>
              <w:rPr>
                <w:rFonts w:ascii="宋体" w:eastAsia="宋体" w:hAnsi="宋体" w:cs="宋体"/>
                <w:sz w:val="19"/>
                <w:szCs w:val="19"/>
              </w:rPr>
            </w:pPr>
            <w:r>
              <w:rPr>
                <w:rFonts w:ascii="宋体" w:eastAsia="宋体" w:hAnsi="宋体" w:cs="宋体"/>
                <w:spacing w:val="-3"/>
                <w:sz w:val="19"/>
                <w:szCs w:val="19"/>
              </w:rPr>
              <w:t>14～</w:t>
            </w:r>
            <w:r>
              <w:rPr>
                <w:rFonts w:ascii="宋体" w:eastAsia="宋体" w:hAnsi="宋体" w:cs="宋体"/>
                <w:spacing w:val="29"/>
                <w:sz w:val="19"/>
                <w:szCs w:val="19"/>
              </w:rPr>
              <w:t xml:space="preserve">  </w:t>
            </w:r>
            <w:r>
              <w:rPr>
                <w:rFonts w:ascii="宋体" w:eastAsia="宋体" w:hAnsi="宋体" w:cs="宋体"/>
                <w:spacing w:val="-3"/>
                <w:sz w:val="19"/>
                <w:szCs w:val="19"/>
              </w:rPr>
              <w:t>1000100020001800</w:t>
            </w:r>
            <w:r>
              <w:rPr>
                <w:rFonts w:ascii="宋体" w:eastAsia="宋体" w:hAnsi="宋体" w:cs="宋体"/>
                <w:spacing w:val="5"/>
                <w:sz w:val="19"/>
                <w:szCs w:val="19"/>
              </w:rPr>
              <w:t xml:space="preserve"> </w:t>
            </w:r>
            <w:r>
              <w:rPr>
                <w:rFonts w:ascii="宋体" w:eastAsia="宋体" w:hAnsi="宋体" w:cs="宋体"/>
                <w:spacing w:val="-3"/>
                <w:position w:val="-3"/>
                <w:sz w:val="19"/>
                <w:szCs w:val="19"/>
              </w:rPr>
              <w:t>350</w:t>
            </w:r>
          </w:p>
        </w:tc>
        <w:tc>
          <w:tcPr>
            <w:tcW w:w="717" w:type="dxa"/>
          </w:tcPr>
          <w:p w:rsidR="00EA40A3" w:rsidRDefault="00E86C16">
            <w:pPr>
              <w:spacing w:before="79" w:line="183" w:lineRule="auto"/>
              <w:ind w:left="78"/>
              <w:rPr>
                <w:rFonts w:ascii="宋体" w:eastAsia="宋体" w:hAnsi="宋体" w:cs="宋体"/>
                <w:sz w:val="19"/>
                <w:szCs w:val="19"/>
              </w:rPr>
            </w:pPr>
            <w:r>
              <w:rPr>
                <w:rFonts w:ascii="宋体" w:eastAsia="宋体" w:hAnsi="宋体" w:cs="宋体"/>
                <w:spacing w:val="-4"/>
                <w:position w:val="-2"/>
                <w:sz w:val="19"/>
                <w:szCs w:val="19"/>
              </w:rPr>
              <w:t>20</w:t>
            </w:r>
            <w:r>
              <w:rPr>
                <w:rFonts w:ascii="宋体" w:eastAsia="宋体" w:hAnsi="宋体" w:cs="宋体"/>
                <w:spacing w:val="95"/>
                <w:position w:val="-2"/>
                <w:sz w:val="19"/>
                <w:szCs w:val="19"/>
              </w:rPr>
              <w:t xml:space="preserve"> </w:t>
            </w:r>
            <w:r>
              <w:rPr>
                <w:rFonts w:ascii="宋体" w:eastAsia="宋体" w:hAnsi="宋体" w:cs="宋体"/>
                <w:spacing w:val="-4"/>
                <w:position w:val="2"/>
                <w:sz w:val="19"/>
                <w:szCs w:val="19"/>
              </w:rPr>
              <w:t>25</w:t>
            </w:r>
          </w:p>
        </w:tc>
        <w:tc>
          <w:tcPr>
            <w:tcW w:w="1187" w:type="dxa"/>
          </w:tcPr>
          <w:p w:rsidR="00EA40A3" w:rsidRDefault="00E86C16">
            <w:pPr>
              <w:spacing w:before="98" w:line="184" w:lineRule="auto"/>
              <w:ind w:left="111"/>
              <w:rPr>
                <w:rFonts w:ascii="宋体" w:eastAsia="宋体" w:hAnsi="宋体" w:cs="宋体"/>
                <w:sz w:val="19"/>
                <w:szCs w:val="19"/>
              </w:rPr>
            </w:pPr>
            <w:r>
              <w:rPr>
                <w:rFonts w:ascii="宋体" w:eastAsia="宋体" w:hAnsi="宋体" w:cs="宋体"/>
                <w:spacing w:val="-2"/>
                <w:sz w:val="19"/>
                <w:szCs w:val="19"/>
              </w:rPr>
              <w:t>15019.015.5</w:t>
            </w:r>
          </w:p>
        </w:tc>
        <w:tc>
          <w:tcPr>
            <w:tcW w:w="2753" w:type="dxa"/>
          </w:tcPr>
          <w:p w:rsidR="00EA40A3" w:rsidRDefault="00E86C16">
            <w:pPr>
              <w:spacing w:before="89" w:line="193" w:lineRule="auto"/>
              <w:ind w:left="174"/>
              <w:rPr>
                <w:rFonts w:ascii="宋体" w:eastAsia="宋体" w:hAnsi="宋体" w:cs="宋体"/>
                <w:sz w:val="19"/>
                <w:szCs w:val="19"/>
              </w:rPr>
            </w:pPr>
            <w:r>
              <w:rPr>
                <w:rFonts w:ascii="宋体" w:eastAsia="宋体" w:hAnsi="宋体" w:cs="宋体"/>
                <w:spacing w:val="-5"/>
                <w:position w:val="-1"/>
                <w:sz w:val="19"/>
                <w:szCs w:val="19"/>
              </w:rPr>
              <w:t>50</w:t>
            </w:r>
            <w:r>
              <w:rPr>
                <w:rFonts w:ascii="宋体" w:eastAsia="宋体" w:hAnsi="宋体" w:cs="宋体"/>
                <w:spacing w:val="12"/>
                <w:position w:val="-1"/>
                <w:sz w:val="19"/>
                <w:szCs w:val="19"/>
              </w:rPr>
              <w:t xml:space="preserve">  </w:t>
            </w:r>
            <w:r>
              <w:rPr>
                <w:rFonts w:ascii="宋体" w:eastAsia="宋体" w:hAnsi="宋体" w:cs="宋体"/>
                <w:spacing w:val="-5"/>
                <w:sz w:val="19"/>
                <w:szCs w:val="19"/>
              </w:rPr>
              <w:t>2.0</w:t>
            </w:r>
            <w:r>
              <w:rPr>
                <w:rFonts w:ascii="宋体" w:eastAsia="宋体" w:hAnsi="宋体" w:cs="宋体"/>
                <w:spacing w:val="51"/>
                <w:sz w:val="19"/>
                <w:szCs w:val="19"/>
              </w:rPr>
              <w:t xml:space="preserve"> </w:t>
            </w:r>
            <w:r>
              <w:rPr>
                <w:rFonts w:ascii="宋体" w:eastAsia="宋体" w:hAnsi="宋体" w:cs="宋体"/>
                <w:spacing w:val="-5"/>
                <w:sz w:val="19"/>
                <w:szCs w:val="19"/>
              </w:rPr>
              <w:t>1.4</w:t>
            </w:r>
            <w:r>
              <w:rPr>
                <w:rFonts w:ascii="宋体" w:eastAsia="宋体" w:hAnsi="宋体" w:cs="宋体"/>
                <w:spacing w:val="18"/>
                <w:sz w:val="19"/>
                <w:szCs w:val="19"/>
              </w:rPr>
              <w:t xml:space="preserve">  </w:t>
            </w:r>
            <w:r>
              <w:rPr>
                <w:rFonts w:ascii="宋体" w:eastAsia="宋体" w:hAnsi="宋体" w:cs="宋体"/>
                <w:spacing w:val="-5"/>
                <w:position w:val="-1"/>
                <w:sz w:val="19"/>
                <w:szCs w:val="19"/>
              </w:rPr>
              <w:t>40</w:t>
            </w:r>
            <w:r>
              <w:rPr>
                <w:rFonts w:ascii="宋体" w:eastAsia="宋体" w:hAnsi="宋体" w:cs="宋体"/>
                <w:spacing w:val="7"/>
                <w:position w:val="-1"/>
                <w:sz w:val="19"/>
                <w:szCs w:val="19"/>
              </w:rPr>
              <w:t xml:space="preserve">       </w:t>
            </w:r>
            <w:r>
              <w:rPr>
                <w:rFonts w:ascii="宋体" w:eastAsia="宋体" w:hAnsi="宋体" w:cs="宋体"/>
                <w:spacing w:val="-5"/>
                <w:sz w:val="19"/>
                <w:szCs w:val="19"/>
              </w:rPr>
              <w:t>50</w:t>
            </w:r>
          </w:p>
        </w:tc>
      </w:tr>
      <w:tr w:rsidR="00EA40A3">
        <w:trPr>
          <w:trHeight w:val="314"/>
        </w:trPr>
        <w:tc>
          <w:tcPr>
            <w:tcW w:w="2692" w:type="dxa"/>
            <w:gridSpan w:val="6"/>
          </w:tcPr>
          <w:p w:rsidR="00EA40A3" w:rsidRDefault="00E86C16">
            <w:pPr>
              <w:spacing w:before="83" w:line="194" w:lineRule="auto"/>
              <w:ind w:left="100"/>
              <w:rPr>
                <w:rFonts w:ascii="宋体" w:eastAsia="宋体" w:hAnsi="宋体" w:cs="宋体"/>
                <w:sz w:val="19"/>
                <w:szCs w:val="19"/>
              </w:rPr>
            </w:pPr>
            <w:r>
              <w:rPr>
                <w:rFonts w:ascii="宋体" w:eastAsia="宋体" w:hAnsi="宋体" w:cs="宋体"/>
                <w:spacing w:val="-4"/>
                <w:sz w:val="19"/>
                <w:szCs w:val="19"/>
              </w:rPr>
              <w:t>18～</w:t>
            </w:r>
            <w:r>
              <w:rPr>
                <w:rFonts w:ascii="宋体" w:eastAsia="宋体" w:hAnsi="宋体" w:cs="宋体"/>
                <w:spacing w:val="83"/>
                <w:sz w:val="19"/>
                <w:szCs w:val="19"/>
              </w:rPr>
              <w:t xml:space="preserve"> </w:t>
            </w:r>
            <w:r>
              <w:rPr>
                <w:rFonts w:ascii="宋体" w:eastAsia="宋体" w:hAnsi="宋体" w:cs="宋体"/>
                <w:spacing w:val="-4"/>
                <w:sz w:val="19"/>
                <w:szCs w:val="19"/>
              </w:rPr>
              <w:t>800</w:t>
            </w:r>
            <w:r>
              <w:rPr>
                <w:rFonts w:ascii="宋体" w:eastAsia="宋体" w:hAnsi="宋体" w:cs="宋体"/>
                <w:spacing w:val="2"/>
                <w:sz w:val="19"/>
                <w:szCs w:val="19"/>
              </w:rPr>
              <w:t xml:space="preserve">   </w:t>
            </w:r>
            <w:r>
              <w:rPr>
                <w:rFonts w:ascii="宋体" w:eastAsia="宋体" w:hAnsi="宋体" w:cs="宋体"/>
                <w:spacing w:val="-4"/>
                <w:sz w:val="19"/>
                <w:szCs w:val="19"/>
              </w:rPr>
              <w:t>70020002200</w:t>
            </w:r>
            <w:r>
              <w:rPr>
                <w:rFonts w:ascii="宋体" w:eastAsia="宋体" w:hAnsi="宋体" w:cs="宋体"/>
                <w:spacing w:val="-3"/>
                <w:sz w:val="19"/>
                <w:szCs w:val="19"/>
              </w:rPr>
              <w:t xml:space="preserve"> </w:t>
            </w:r>
            <w:r>
              <w:rPr>
                <w:rFonts w:ascii="宋体" w:eastAsia="宋体" w:hAnsi="宋体" w:cs="宋体"/>
                <w:spacing w:val="-4"/>
                <w:position w:val="-2"/>
                <w:sz w:val="19"/>
                <w:szCs w:val="19"/>
              </w:rPr>
              <w:t>350</w:t>
            </w:r>
          </w:p>
        </w:tc>
        <w:tc>
          <w:tcPr>
            <w:tcW w:w="717" w:type="dxa"/>
          </w:tcPr>
          <w:p w:rsidR="00EA40A3" w:rsidRDefault="00E86C16">
            <w:pPr>
              <w:spacing w:before="103" w:line="184" w:lineRule="auto"/>
              <w:ind w:left="88"/>
              <w:rPr>
                <w:rFonts w:ascii="宋体" w:eastAsia="宋体" w:hAnsi="宋体" w:cs="宋体"/>
                <w:sz w:val="19"/>
                <w:szCs w:val="19"/>
              </w:rPr>
            </w:pPr>
            <w:r>
              <w:rPr>
                <w:rFonts w:ascii="宋体" w:eastAsia="宋体" w:hAnsi="宋体" w:cs="宋体"/>
                <w:spacing w:val="-7"/>
                <w:sz w:val="19"/>
                <w:szCs w:val="19"/>
              </w:rPr>
              <w:t>15</w:t>
            </w:r>
            <w:r>
              <w:rPr>
                <w:rFonts w:ascii="宋体" w:eastAsia="宋体" w:hAnsi="宋体" w:cs="宋体"/>
                <w:spacing w:val="1"/>
                <w:sz w:val="19"/>
                <w:szCs w:val="19"/>
              </w:rPr>
              <w:t xml:space="preserve">  </w:t>
            </w:r>
            <w:r>
              <w:rPr>
                <w:rFonts w:ascii="宋体" w:eastAsia="宋体" w:hAnsi="宋体" w:cs="宋体"/>
                <w:spacing w:val="-7"/>
                <w:sz w:val="19"/>
                <w:szCs w:val="19"/>
              </w:rPr>
              <w:t>20</w:t>
            </w:r>
          </w:p>
        </w:tc>
        <w:tc>
          <w:tcPr>
            <w:tcW w:w="1187" w:type="dxa"/>
          </w:tcPr>
          <w:p w:rsidR="00EA40A3" w:rsidRDefault="00E86C16">
            <w:pPr>
              <w:spacing w:before="73" w:line="184" w:lineRule="auto"/>
              <w:ind w:left="111"/>
              <w:rPr>
                <w:rFonts w:ascii="宋体" w:eastAsia="宋体" w:hAnsi="宋体" w:cs="宋体"/>
                <w:sz w:val="19"/>
                <w:szCs w:val="19"/>
              </w:rPr>
            </w:pPr>
            <w:r>
              <w:rPr>
                <w:rFonts w:ascii="宋体" w:eastAsia="宋体" w:hAnsi="宋体" w:cs="宋体"/>
                <w:spacing w:val="-2"/>
                <w:sz w:val="19"/>
                <w:szCs w:val="19"/>
              </w:rPr>
              <w:t>15015.011.5</w:t>
            </w:r>
          </w:p>
        </w:tc>
        <w:tc>
          <w:tcPr>
            <w:tcW w:w="2753" w:type="dxa"/>
          </w:tcPr>
          <w:p w:rsidR="00EA40A3" w:rsidRDefault="00E86C16">
            <w:pPr>
              <w:spacing w:before="74" w:line="193" w:lineRule="auto"/>
              <w:ind w:left="174"/>
              <w:rPr>
                <w:rFonts w:ascii="宋体" w:eastAsia="宋体" w:hAnsi="宋体" w:cs="宋体"/>
                <w:sz w:val="19"/>
                <w:szCs w:val="19"/>
              </w:rPr>
            </w:pPr>
            <w:r>
              <w:rPr>
                <w:rFonts w:ascii="宋体" w:eastAsia="宋体" w:hAnsi="宋体" w:cs="宋体"/>
                <w:spacing w:val="-5"/>
                <w:position w:val="2"/>
                <w:sz w:val="19"/>
                <w:szCs w:val="19"/>
              </w:rPr>
              <w:t>50</w:t>
            </w:r>
            <w:r>
              <w:rPr>
                <w:rFonts w:ascii="宋体" w:eastAsia="宋体" w:hAnsi="宋体" w:cs="宋体"/>
                <w:spacing w:val="12"/>
                <w:position w:val="2"/>
                <w:sz w:val="19"/>
                <w:szCs w:val="19"/>
              </w:rPr>
              <w:t xml:space="preserve">  </w:t>
            </w:r>
            <w:r>
              <w:rPr>
                <w:rFonts w:ascii="宋体" w:eastAsia="宋体" w:hAnsi="宋体" w:cs="宋体"/>
                <w:spacing w:val="-5"/>
                <w:sz w:val="19"/>
                <w:szCs w:val="19"/>
              </w:rPr>
              <w:t>2.0</w:t>
            </w:r>
            <w:r>
              <w:rPr>
                <w:rFonts w:ascii="宋体" w:eastAsia="宋体" w:hAnsi="宋体" w:cs="宋体"/>
                <w:spacing w:val="21"/>
                <w:sz w:val="19"/>
                <w:szCs w:val="19"/>
              </w:rPr>
              <w:t xml:space="preserve">  </w:t>
            </w:r>
            <w:r>
              <w:rPr>
                <w:rFonts w:ascii="宋体" w:eastAsia="宋体" w:hAnsi="宋体" w:cs="宋体"/>
                <w:spacing w:val="-5"/>
                <w:sz w:val="19"/>
                <w:szCs w:val="19"/>
              </w:rPr>
              <w:t>1.5</w:t>
            </w:r>
            <w:r>
              <w:rPr>
                <w:rFonts w:ascii="宋体" w:eastAsia="宋体" w:hAnsi="宋体" w:cs="宋体"/>
                <w:spacing w:val="-35"/>
                <w:sz w:val="19"/>
                <w:szCs w:val="19"/>
              </w:rPr>
              <w:t xml:space="preserve"> </w:t>
            </w:r>
            <w:r>
              <w:rPr>
                <w:rFonts w:ascii="宋体" w:eastAsia="宋体" w:hAnsi="宋体" w:cs="宋体"/>
                <w:spacing w:val="-5"/>
                <w:sz w:val="19"/>
                <w:szCs w:val="19"/>
              </w:rPr>
              <w:t>50</w:t>
            </w:r>
            <w:r>
              <w:rPr>
                <w:rFonts w:ascii="宋体" w:eastAsia="宋体" w:hAnsi="宋体" w:cs="宋体"/>
                <w:spacing w:val="14"/>
                <w:sz w:val="19"/>
                <w:szCs w:val="19"/>
              </w:rPr>
              <w:t xml:space="preserve">   </w:t>
            </w:r>
            <w:r>
              <w:rPr>
                <w:rFonts w:ascii="宋体" w:eastAsia="宋体" w:hAnsi="宋体" w:cs="宋体"/>
                <w:spacing w:val="-5"/>
                <w:sz w:val="19"/>
                <w:szCs w:val="19"/>
              </w:rPr>
              <w:t>3.5</w:t>
            </w:r>
            <w:r>
              <w:rPr>
                <w:rFonts w:ascii="宋体" w:eastAsia="宋体" w:hAnsi="宋体" w:cs="宋体"/>
                <w:spacing w:val="5"/>
                <w:sz w:val="19"/>
                <w:szCs w:val="19"/>
              </w:rPr>
              <w:t xml:space="preserve">  </w:t>
            </w:r>
            <w:r>
              <w:rPr>
                <w:rFonts w:ascii="宋体" w:eastAsia="宋体" w:hAnsi="宋体" w:cs="宋体"/>
                <w:spacing w:val="-5"/>
                <w:sz w:val="19"/>
                <w:szCs w:val="19"/>
              </w:rPr>
              <w:t>60</w:t>
            </w:r>
          </w:p>
        </w:tc>
      </w:tr>
      <w:tr w:rsidR="00EA40A3">
        <w:trPr>
          <w:trHeight w:val="584"/>
        </w:trPr>
        <w:tc>
          <w:tcPr>
            <w:tcW w:w="2692" w:type="dxa"/>
            <w:gridSpan w:val="6"/>
          </w:tcPr>
          <w:p w:rsidR="00EA40A3" w:rsidRDefault="00E86C16">
            <w:pPr>
              <w:spacing w:before="79" w:line="184" w:lineRule="auto"/>
              <w:ind w:left="100"/>
              <w:rPr>
                <w:rFonts w:ascii="宋体" w:eastAsia="宋体" w:hAnsi="宋体" w:cs="宋体"/>
                <w:sz w:val="19"/>
                <w:szCs w:val="19"/>
              </w:rPr>
            </w:pPr>
            <w:r>
              <w:rPr>
                <w:rFonts w:ascii="宋体" w:eastAsia="宋体" w:hAnsi="宋体" w:cs="宋体"/>
                <w:spacing w:val="-3"/>
                <w:sz w:val="19"/>
                <w:szCs w:val="19"/>
              </w:rPr>
              <w:t>50～</w:t>
            </w:r>
            <w:r>
              <w:rPr>
                <w:rFonts w:ascii="宋体" w:eastAsia="宋体" w:hAnsi="宋体" w:cs="宋体"/>
                <w:spacing w:val="20"/>
                <w:sz w:val="19"/>
                <w:szCs w:val="19"/>
              </w:rPr>
              <w:t xml:space="preserve">    </w:t>
            </w:r>
            <w:r>
              <w:rPr>
                <w:rFonts w:ascii="宋体" w:eastAsia="宋体" w:hAnsi="宋体" w:cs="宋体"/>
                <w:spacing w:val="-3"/>
                <w:sz w:val="19"/>
                <w:szCs w:val="19"/>
              </w:rPr>
              <w:t>100070020002200350</w:t>
            </w:r>
          </w:p>
          <w:p w:rsidR="00EA40A3" w:rsidRDefault="00E86C16">
            <w:pPr>
              <w:spacing w:before="63" w:line="220" w:lineRule="auto"/>
              <w:ind w:left="100"/>
              <w:rPr>
                <w:rFonts w:ascii="宋体" w:eastAsia="宋体" w:hAnsi="宋体" w:cs="宋体"/>
                <w:sz w:val="19"/>
                <w:szCs w:val="19"/>
              </w:rPr>
            </w:pPr>
            <w:r>
              <w:rPr>
                <w:rFonts w:ascii="宋体" w:eastAsia="宋体" w:hAnsi="宋体" w:cs="宋体"/>
                <w:spacing w:val="7"/>
                <w:sz w:val="19"/>
                <w:szCs w:val="19"/>
              </w:rPr>
              <w:t>孕妇</w:t>
            </w:r>
          </w:p>
        </w:tc>
        <w:tc>
          <w:tcPr>
            <w:tcW w:w="717" w:type="dxa"/>
          </w:tcPr>
          <w:p w:rsidR="00EA40A3" w:rsidRDefault="00E86C16">
            <w:pPr>
              <w:spacing w:before="99" w:line="184" w:lineRule="auto"/>
              <w:ind w:left="338"/>
              <w:rPr>
                <w:rFonts w:ascii="宋体" w:eastAsia="宋体" w:hAnsi="宋体" w:cs="宋体"/>
                <w:sz w:val="19"/>
                <w:szCs w:val="19"/>
              </w:rPr>
            </w:pPr>
            <w:r>
              <w:rPr>
                <w:rFonts w:ascii="宋体" w:eastAsia="宋体" w:hAnsi="宋体" w:cs="宋体"/>
                <w:spacing w:val="-6"/>
                <w:sz w:val="19"/>
                <w:szCs w:val="19"/>
              </w:rPr>
              <w:t>15</w:t>
            </w:r>
          </w:p>
        </w:tc>
        <w:tc>
          <w:tcPr>
            <w:tcW w:w="1187" w:type="dxa"/>
          </w:tcPr>
          <w:p w:rsidR="00EA40A3" w:rsidRDefault="00E86C16">
            <w:pPr>
              <w:spacing w:before="89" w:line="184" w:lineRule="auto"/>
              <w:ind w:left="111"/>
              <w:rPr>
                <w:rFonts w:ascii="宋体" w:eastAsia="宋体" w:hAnsi="宋体" w:cs="宋体"/>
                <w:sz w:val="19"/>
                <w:szCs w:val="19"/>
              </w:rPr>
            </w:pPr>
            <w:r>
              <w:rPr>
                <w:rFonts w:ascii="宋体" w:eastAsia="宋体" w:hAnsi="宋体" w:cs="宋体"/>
                <w:spacing w:val="-6"/>
                <w:sz w:val="19"/>
                <w:szCs w:val="19"/>
              </w:rPr>
              <w:t>150</w:t>
            </w:r>
            <w:r>
              <w:rPr>
                <w:rFonts w:ascii="宋体" w:eastAsia="宋体" w:hAnsi="宋体" w:cs="宋体"/>
                <w:spacing w:val="44"/>
                <w:w w:val="101"/>
                <w:sz w:val="19"/>
                <w:szCs w:val="19"/>
              </w:rPr>
              <w:t xml:space="preserve">  </w:t>
            </w:r>
            <w:r>
              <w:rPr>
                <w:rFonts w:ascii="宋体" w:eastAsia="宋体" w:hAnsi="宋体" w:cs="宋体"/>
                <w:spacing w:val="-6"/>
                <w:sz w:val="19"/>
                <w:szCs w:val="19"/>
              </w:rPr>
              <w:t>11.5</w:t>
            </w:r>
          </w:p>
        </w:tc>
        <w:tc>
          <w:tcPr>
            <w:tcW w:w="2753" w:type="dxa"/>
          </w:tcPr>
          <w:p w:rsidR="00EA40A3" w:rsidRDefault="00E86C16">
            <w:pPr>
              <w:spacing w:before="97" w:line="195" w:lineRule="auto"/>
              <w:ind w:left="144"/>
              <w:rPr>
                <w:rFonts w:ascii="宋体" w:eastAsia="宋体" w:hAnsi="宋体" w:cs="宋体"/>
                <w:sz w:val="19"/>
                <w:szCs w:val="19"/>
              </w:rPr>
            </w:pPr>
            <w:r>
              <w:rPr>
                <w:rFonts w:ascii="宋体" w:eastAsia="宋体" w:hAnsi="宋体" w:cs="宋体"/>
                <w:spacing w:val="-8"/>
                <w:sz w:val="19"/>
                <w:szCs w:val="19"/>
              </w:rPr>
              <w:t>50</w:t>
            </w:r>
            <w:r>
              <w:rPr>
                <w:rFonts w:ascii="宋体" w:eastAsia="宋体" w:hAnsi="宋体" w:cs="宋体"/>
                <w:spacing w:val="30"/>
                <w:sz w:val="19"/>
                <w:szCs w:val="19"/>
              </w:rPr>
              <w:t xml:space="preserve">  </w:t>
            </w:r>
            <w:r>
              <w:rPr>
                <w:rFonts w:ascii="宋体" w:eastAsia="宋体" w:hAnsi="宋体" w:cs="宋体"/>
                <w:spacing w:val="-8"/>
                <w:sz w:val="19"/>
                <w:szCs w:val="19"/>
              </w:rPr>
              <w:t>2.0</w:t>
            </w:r>
            <w:r>
              <w:rPr>
                <w:rFonts w:ascii="宋体" w:eastAsia="宋体" w:hAnsi="宋体" w:cs="宋体"/>
                <w:spacing w:val="22"/>
                <w:sz w:val="19"/>
                <w:szCs w:val="19"/>
              </w:rPr>
              <w:t xml:space="preserve">  </w:t>
            </w:r>
            <w:r>
              <w:rPr>
                <w:rFonts w:ascii="宋体" w:eastAsia="宋体" w:hAnsi="宋体" w:cs="宋体"/>
                <w:spacing w:val="-8"/>
                <w:sz w:val="19"/>
                <w:szCs w:val="19"/>
              </w:rPr>
              <w:t>1.5</w:t>
            </w:r>
            <w:r>
              <w:rPr>
                <w:rFonts w:ascii="宋体" w:eastAsia="宋体" w:hAnsi="宋体" w:cs="宋体"/>
                <w:spacing w:val="-37"/>
                <w:sz w:val="19"/>
                <w:szCs w:val="19"/>
              </w:rPr>
              <w:t xml:space="preserve"> </w:t>
            </w:r>
            <w:r>
              <w:rPr>
                <w:rFonts w:ascii="宋体" w:eastAsia="宋体" w:hAnsi="宋体" w:cs="宋体"/>
                <w:spacing w:val="-8"/>
                <w:sz w:val="19"/>
                <w:szCs w:val="19"/>
              </w:rPr>
              <w:t>50</w:t>
            </w:r>
            <w:r>
              <w:rPr>
                <w:rFonts w:ascii="宋体" w:eastAsia="宋体" w:hAnsi="宋体" w:cs="宋体"/>
                <w:spacing w:val="7"/>
                <w:sz w:val="19"/>
                <w:szCs w:val="19"/>
              </w:rPr>
              <w:t xml:space="preserve">   </w:t>
            </w:r>
            <w:r>
              <w:rPr>
                <w:rFonts w:ascii="宋体" w:eastAsia="宋体" w:hAnsi="宋体" w:cs="宋体"/>
                <w:spacing w:val="-8"/>
                <w:position w:val="1"/>
                <w:sz w:val="18"/>
                <w:szCs w:val="18"/>
              </w:rPr>
              <w:t>3.5</w:t>
            </w:r>
            <w:r>
              <w:rPr>
                <w:rFonts w:ascii="宋体" w:eastAsia="宋体" w:hAnsi="宋体" w:cs="宋体"/>
                <w:spacing w:val="3"/>
                <w:position w:val="1"/>
                <w:sz w:val="18"/>
                <w:szCs w:val="18"/>
              </w:rPr>
              <w:t xml:space="preserve">    </w:t>
            </w:r>
            <w:r>
              <w:rPr>
                <w:rFonts w:ascii="宋体" w:eastAsia="宋体" w:hAnsi="宋体" w:cs="宋体"/>
                <w:spacing w:val="-8"/>
                <w:sz w:val="19"/>
                <w:szCs w:val="19"/>
              </w:rPr>
              <w:t>60</w:t>
            </w:r>
          </w:p>
        </w:tc>
      </w:tr>
      <w:tr w:rsidR="00EA40A3">
        <w:trPr>
          <w:trHeight w:val="309"/>
        </w:trPr>
        <w:tc>
          <w:tcPr>
            <w:tcW w:w="2692" w:type="dxa"/>
            <w:gridSpan w:val="6"/>
          </w:tcPr>
          <w:p w:rsidR="00EA40A3" w:rsidRDefault="00E86C16">
            <w:pPr>
              <w:spacing w:before="78" w:line="220" w:lineRule="auto"/>
              <w:ind w:left="100"/>
              <w:rPr>
                <w:rFonts w:ascii="宋体" w:eastAsia="宋体" w:hAnsi="宋体" w:cs="宋体"/>
                <w:sz w:val="19"/>
                <w:szCs w:val="19"/>
              </w:rPr>
            </w:pPr>
            <w:r>
              <w:rPr>
                <w:rFonts w:ascii="宋体" w:eastAsia="宋体" w:hAnsi="宋体" w:cs="宋体"/>
                <w:spacing w:val="12"/>
                <w:sz w:val="19"/>
                <w:szCs w:val="19"/>
              </w:rPr>
              <w:t>早期800</w:t>
            </w:r>
            <w:r>
              <w:rPr>
                <w:rFonts w:ascii="宋体" w:eastAsia="宋体" w:hAnsi="宋体" w:cs="宋体"/>
                <w:spacing w:val="37"/>
                <w:sz w:val="19"/>
                <w:szCs w:val="19"/>
              </w:rPr>
              <w:t xml:space="preserve">  </w:t>
            </w:r>
            <w:r>
              <w:rPr>
                <w:rFonts w:ascii="宋体" w:eastAsia="宋体" w:hAnsi="宋体" w:cs="宋体"/>
                <w:spacing w:val="12"/>
                <w:sz w:val="19"/>
                <w:szCs w:val="19"/>
              </w:rPr>
              <w:t>70025002200400</w:t>
            </w:r>
          </w:p>
        </w:tc>
        <w:tc>
          <w:tcPr>
            <w:tcW w:w="717" w:type="dxa"/>
          </w:tcPr>
          <w:p w:rsidR="00EA40A3" w:rsidRDefault="00E86C16">
            <w:pPr>
              <w:spacing w:before="115" w:line="184" w:lineRule="auto"/>
              <w:ind w:left="238"/>
              <w:rPr>
                <w:rFonts w:ascii="宋体" w:eastAsia="宋体" w:hAnsi="宋体" w:cs="宋体"/>
                <w:sz w:val="19"/>
                <w:szCs w:val="19"/>
              </w:rPr>
            </w:pPr>
            <w:r>
              <w:rPr>
                <w:rFonts w:ascii="宋体" w:eastAsia="宋体" w:hAnsi="宋体" w:cs="宋体"/>
                <w:spacing w:val="-6"/>
                <w:sz w:val="19"/>
                <w:szCs w:val="19"/>
              </w:rPr>
              <w:t>15</w:t>
            </w:r>
          </w:p>
        </w:tc>
        <w:tc>
          <w:tcPr>
            <w:tcW w:w="1187" w:type="dxa"/>
          </w:tcPr>
          <w:p w:rsidR="00EA40A3" w:rsidRDefault="00E86C16">
            <w:pPr>
              <w:spacing w:before="125" w:line="178" w:lineRule="auto"/>
              <w:ind w:left="70"/>
              <w:rPr>
                <w:rFonts w:ascii="宋体" w:eastAsia="宋体" w:hAnsi="宋体" w:cs="宋体"/>
                <w:sz w:val="19"/>
                <w:szCs w:val="19"/>
              </w:rPr>
            </w:pPr>
            <w:r>
              <w:rPr>
                <w:rFonts w:ascii="宋体" w:eastAsia="宋体" w:hAnsi="宋体" w:cs="宋体"/>
                <w:spacing w:val="-4"/>
                <w:sz w:val="19"/>
                <w:szCs w:val="19"/>
              </w:rPr>
              <w:t>200</w:t>
            </w:r>
            <w:r>
              <w:rPr>
                <w:rFonts w:ascii="宋体" w:eastAsia="宋体" w:hAnsi="宋体" w:cs="宋体"/>
                <w:spacing w:val="6"/>
                <w:sz w:val="19"/>
                <w:szCs w:val="19"/>
              </w:rPr>
              <w:t xml:space="preserve">   </w:t>
            </w:r>
            <w:r>
              <w:rPr>
                <w:rFonts w:ascii="宋体" w:eastAsia="宋体" w:hAnsi="宋体" w:cs="宋体"/>
                <w:spacing w:val="-4"/>
                <w:sz w:val="19"/>
                <w:szCs w:val="19"/>
              </w:rPr>
              <w:t>11.5</w:t>
            </w:r>
          </w:p>
        </w:tc>
        <w:tc>
          <w:tcPr>
            <w:tcW w:w="2753" w:type="dxa"/>
          </w:tcPr>
          <w:p w:rsidR="00EA40A3" w:rsidRDefault="00E86C16">
            <w:pPr>
              <w:spacing w:before="106" w:line="183" w:lineRule="auto"/>
              <w:ind w:left="144"/>
              <w:rPr>
                <w:rFonts w:ascii="宋体" w:eastAsia="宋体" w:hAnsi="宋体" w:cs="宋体"/>
                <w:sz w:val="19"/>
                <w:szCs w:val="19"/>
              </w:rPr>
            </w:pPr>
            <w:r>
              <w:rPr>
                <w:rFonts w:ascii="宋体" w:eastAsia="宋体" w:hAnsi="宋体" w:cs="宋体"/>
                <w:spacing w:val="-3"/>
                <w:sz w:val="19"/>
                <w:szCs w:val="19"/>
              </w:rPr>
              <w:t>50</w:t>
            </w:r>
          </w:p>
        </w:tc>
      </w:tr>
      <w:tr w:rsidR="00EA40A3">
        <w:trPr>
          <w:trHeight w:val="329"/>
        </w:trPr>
        <w:tc>
          <w:tcPr>
            <w:tcW w:w="2692" w:type="dxa"/>
            <w:gridSpan w:val="6"/>
          </w:tcPr>
          <w:p w:rsidR="00EA40A3" w:rsidRDefault="00E86C16">
            <w:pPr>
              <w:spacing w:before="59" w:line="220" w:lineRule="auto"/>
              <w:ind w:left="100"/>
              <w:rPr>
                <w:rFonts w:ascii="宋体" w:eastAsia="宋体" w:hAnsi="宋体" w:cs="宋体"/>
                <w:sz w:val="19"/>
                <w:szCs w:val="19"/>
              </w:rPr>
            </w:pPr>
            <w:r>
              <w:rPr>
                <w:rFonts w:ascii="宋体" w:eastAsia="宋体" w:hAnsi="宋体" w:cs="宋体"/>
                <w:spacing w:val="19"/>
                <w:sz w:val="19"/>
                <w:szCs w:val="19"/>
              </w:rPr>
              <w:t>中期100070025002200400</w:t>
            </w:r>
          </w:p>
        </w:tc>
        <w:tc>
          <w:tcPr>
            <w:tcW w:w="717" w:type="dxa"/>
          </w:tcPr>
          <w:p w:rsidR="00EA40A3" w:rsidRDefault="00E86C16">
            <w:pPr>
              <w:spacing w:before="117" w:line="183" w:lineRule="auto"/>
              <w:ind w:left="228"/>
              <w:rPr>
                <w:rFonts w:ascii="宋体" w:eastAsia="宋体" w:hAnsi="宋体" w:cs="宋体"/>
                <w:sz w:val="19"/>
                <w:szCs w:val="19"/>
              </w:rPr>
            </w:pPr>
            <w:r>
              <w:rPr>
                <w:rFonts w:ascii="宋体" w:eastAsia="宋体" w:hAnsi="宋体" w:cs="宋体"/>
                <w:spacing w:val="-3"/>
                <w:sz w:val="19"/>
                <w:szCs w:val="19"/>
              </w:rPr>
              <w:t>25</w:t>
            </w:r>
          </w:p>
        </w:tc>
        <w:tc>
          <w:tcPr>
            <w:tcW w:w="1187" w:type="dxa"/>
          </w:tcPr>
          <w:p w:rsidR="00EA40A3" w:rsidRDefault="00E86C16">
            <w:pPr>
              <w:spacing w:before="136" w:line="184" w:lineRule="auto"/>
              <w:ind w:left="70"/>
              <w:rPr>
                <w:rFonts w:ascii="宋体" w:eastAsia="宋体" w:hAnsi="宋体" w:cs="宋体"/>
                <w:sz w:val="19"/>
                <w:szCs w:val="19"/>
              </w:rPr>
            </w:pPr>
            <w:r>
              <w:rPr>
                <w:rFonts w:ascii="宋体" w:eastAsia="宋体" w:hAnsi="宋体" w:cs="宋体"/>
                <w:spacing w:val="-4"/>
                <w:sz w:val="19"/>
                <w:szCs w:val="19"/>
              </w:rPr>
              <w:t>200</w:t>
            </w:r>
            <w:r>
              <w:rPr>
                <w:rFonts w:ascii="宋体" w:eastAsia="宋体" w:hAnsi="宋体" w:cs="宋体"/>
                <w:spacing w:val="6"/>
                <w:sz w:val="19"/>
                <w:szCs w:val="19"/>
              </w:rPr>
              <w:t xml:space="preserve">   </w:t>
            </w:r>
            <w:r>
              <w:rPr>
                <w:rFonts w:ascii="宋体" w:eastAsia="宋体" w:hAnsi="宋体" w:cs="宋体"/>
                <w:spacing w:val="-4"/>
                <w:sz w:val="19"/>
                <w:szCs w:val="19"/>
              </w:rPr>
              <w:t>16.5</w:t>
            </w:r>
          </w:p>
        </w:tc>
        <w:tc>
          <w:tcPr>
            <w:tcW w:w="2753" w:type="dxa"/>
          </w:tcPr>
          <w:p w:rsidR="00EA40A3" w:rsidRDefault="00E86C16">
            <w:pPr>
              <w:spacing w:before="117" w:line="183" w:lineRule="auto"/>
              <w:ind w:left="144"/>
              <w:rPr>
                <w:rFonts w:ascii="宋体" w:eastAsia="宋体" w:hAnsi="宋体" w:cs="宋体"/>
                <w:sz w:val="19"/>
                <w:szCs w:val="19"/>
              </w:rPr>
            </w:pPr>
            <w:r>
              <w:rPr>
                <w:rFonts w:ascii="宋体" w:eastAsia="宋体" w:hAnsi="宋体" w:cs="宋体"/>
                <w:spacing w:val="-3"/>
                <w:sz w:val="19"/>
                <w:szCs w:val="19"/>
              </w:rPr>
              <w:t>50</w:t>
            </w:r>
          </w:p>
        </w:tc>
      </w:tr>
      <w:tr w:rsidR="00EA40A3">
        <w:trPr>
          <w:trHeight w:val="297"/>
        </w:trPr>
        <w:tc>
          <w:tcPr>
            <w:tcW w:w="2692" w:type="dxa"/>
            <w:gridSpan w:val="6"/>
          </w:tcPr>
          <w:p w:rsidR="00EA40A3" w:rsidRDefault="00E86C16">
            <w:pPr>
              <w:spacing w:before="70" w:line="220" w:lineRule="auto"/>
              <w:ind w:left="100"/>
              <w:rPr>
                <w:rFonts w:ascii="宋体" w:eastAsia="宋体" w:hAnsi="宋体" w:cs="宋体"/>
                <w:sz w:val="19"/>
                <w:szCs w:val="19"/>
              </w:rPr>
            </w:pPr>
            <w:r>
              <w:rPr>
                <w:rFonts w:ascii="宋体" w:eastAsia="宋体" w:hAnsi="宋体" w:cs="宋体"/>
                <w:spacing w:val="19"/>
                <w:sz w:val="19"/>
                <w:szCs w:val="19"/>
              </w:rPr>
              <w:t>晚期120070025002200400</w:t>
            </w:r>
          </w:p>
        </w:tc>
        <w:tc>
          <w:tcPr>
            <w:tcW w:w="717" w:type="dxa"/>
          </w:tcPr>
          <w:p w:rsidR="00EA40A3" w:rsidRDefault="00E86C16">
            <w:pPr>
              <w:spacing w:before="118" w:line="173" w:lineRule="auto"/>
              <w:ind w:left="338"/>
              <w:rPr>
                <w:rFonts w:ascii="宋体" w:eastAsia="宋体" w:hAnsi="宋体" w:cs="宋体"/>
                <w:sz w:val="19"/>
                <w:szCs w:val="19"/>
              </w:rPr>
            </w:pPr>
            <w:r>
              <w:rPr>
                <w:rFonts w:ascii="宋体" w:eastAsia="宋体" w:hAnsi="宋体" w:cs="宋体"/>
                <w:spacing w:val="-3"/>
                <w:sz w:val="19"/>
                <w:szCs w:val="19"/>
              </w:rPr>
              <w:t>35</w:t>
            </w:r>
          </w:p>
        </w:tc>
        <w:tc>
          <w:tcPr>
            <w:tcW w:w="1187" w:type="dxa"/>
          </w:tcPr>
          <w:p w:rsidR="00EA40A3" w:rsidRDefault="00E86C16">
            <w:pPr>
              <w:spacing w:before="108" w:line="183" w:lineRule="auto"/>
              <w:ind w:left="70"/>
              <w:rPr>
                <w:rFonts w:ascii="宋体" w:eastAsia="宋体" w:hAnsi="宋体" w:cs="宋体"/>
                <w:sz w:val="19"/>
                <w:szCs w:val="19"/>
              </w:rPr>
            </w:pPr>
            <w:r>
              <w:rPr>
                <w:rFonts w:ascii="宋体" w:eastAsia="宋体" w:hAnsi="宋体" w:cs="宋体"/>
                <w:spacing w:val="-4"/>
                <w:sz w:val="19"/>
                <w:szCs w:val="19"/>
              </w:rPr>
              <w:t>200</w:t>
            </w:r>
            <w:r>
              <w:rPr>
                <w:rFonts w:ascii="宋体" w:eastAsia="宋体" w:hAnsi="宋体" w:cs="宋体"/>
                <w:spacing w:val="6"/>
                <w:sz w:val="19"/>
                <w:szCs w:val="19"/>
              </w:rPr>
              <w:t xml:space="preserve">   </w:t>
            </w:r>
            <w:r>
              <w:rPr>
                <w:rFonts w:ascii="宋体" w:eastAsia="宋体" w:hAnsi="宋体" w:cs="宋体"/>
                <w:spacing w:val="-4"/>
                <w:sz w:val="19"/>
                <w:szCs w:val="19"/>
              </w:rPr>
              <w:t>16.5</w:t>
            </w:r>
          </w:p>
        </w:tc>
        <w:tc>
          <w:tcPr>
            <w:tcW w:w="2753" w:type="dxa"/>
          </w:tcPr>
          <w:p w:rsidR="00EA40A3" w:rsidRDefault="00E86C16">
            <w:pPr>
              <w:spacing w:before="98" w:line="183" w:lineRule="auto"/>
              <w:ind w:left="144"/>
              <w:rPr>
                <w:rFonts w:ascii="宋体" w:eastAsia="宋体" w:hAnsi="宋体" w:cs="宋体"/>
                <w:sz w:val="19"/>
                <w:szCs w:val="19"/>
              </w:rPr>
            </w:pPr>
            <w:r>
              <w:rPr>
                <w:rFonts w:ascii="宋体" w:eastAsia="宋体" w:hAnsi="宋体" w:cs="宋体"/>
                <w:spacing w:val="-3"/>
                <w:sz w:val="19"/>
                <w:szCs w:val="19"/>
              </w:rPr>
              <w:t>50</w:t>
            </w:r>
          </w:p>
        </w:tc>
      </w:tr>
      <w:tr w:rsidR="00EA40A3">
        <w:trPr>
          <w:trHeight w:val="280"/>
        </w:trPr>
        <w:tc>
          <w:tcPr>
            <w:tcW w:w="2692" w:type="dxa"/>
            <w:gridSpan w:val="6"/>
            <w:tcBorders>
              <w:bottom w:val="single" w:sz="4" w:space="0" w:color="000000"/>
            </w:tcBorders>
          </w:tcPr>
          <w:p w:rsidR="00EA40A3" w:rsidRDefault="00E86C16">
            <w:pPr>
              <w:spacing w:before="54" w:line="219" w:lineRule="auto"/>
              <w:ind w:left="100"/>
              <w:rPr>
                <w:rFonts w:ascii="宋体" w:eastAsia="宋体" w:hAnsi="宋体" w:cs="宋体"/>
                <w:sz w:val="19"/>
                <w:szCs w:val="19"/>
              </w:rPr>
            </w:pPr>
            <w:r>
              <w:rPr>
                <w:rFonts w:ascii="宋体" w:eastAsia="宋体" w:hAnsi="宋体" w:cs="宋体"/>
                <w:spacing w:val="19"/>
                <w:sz w:val="19"/>
                <w:szCs w:val="19"/>
              </w:rPr>
              <w:t>乳母120070025002200400</w:t>
            </w:r>
          </w:p>
        </w:tc>
        <w:tc>
          <w:tcPr>
            <w:tcW w:w="717" w:type="dxa"/>
            <w:tcBorders>
              <w:bottom w:val="single" w:sz="4" w:space="0" w:color="000000"/>
            </w:tcBorders>
          </w:tcPr>
          <w:p w:rsidR="00EA40A3" w:rsidRDefault="00E86C16">
            <w:pPr>
              <w:spacing w:before="131" w:line="148" w:lineRule="exact"/>
              <w:ind w:left="338"/>
              <w:rPr>
                <w:rFonts w:ascii="宋体" w:eastAsia="宋体" w:hAnsi="宋体" w:cs="宋体"/>
                <w:sz w:val="19"/>
                <w:szCs w:val="19"/>
              </w:rPr>
            </w:pPr>
            <w:r>
              <w:rPr>
                <w:rFonts w:ascii="宋体" w:eastAsia="宋体" w:hAnsi="宋体" w:cs="宋体"/>
                <w:spacing w:val="-3"/>
                <w:position w:val="-2"/>
                <w:sz w:val="19"/>
                <w:szCs w:val="19"/>
              </w:rPr>
              <w:t>25</w:t>
            </w:r>
          </w:p>
        </w:tc>
        <w:tc>
          <w:tcPr>
            <w:tcW w:w="1187" w:type="dxa"/>
            <w:tcBorders>
              <w:bottom w:val="single" w:sz="4" w:space="0" w:color="000000"/>
            </w:tcBorders>
          </w:tcPr>
          <w:p w:rsidR="00EA40A3" w:rsidRDefault="00E86C16">
            <w:pPr>
              <w:spacing w:before="100" w:line="174" w:lineRule="auto"/>
              <w:ind w:left="70"/>
              <w:rPr>
                <w:rFonts w:ascii="宋体" w:eastAsia="宋体" w:hAnsi="宋体" w:cs="宋体"/>
                <w:sz w:val="19"/>
                <w:szCs w:val="19"/>
              </w:rPr>
            </w:pPr>
            <w:r>
              <w:rPr>
                <w:rFonts w:ascii="宋体" w:eastAsia="宋体" w:hAnsi="宋体" w:cs="宋体"/>
                <w:spacing w:val="-3"/>
                <w:sz w:val="19"/>
                <w:szCs w:val="19"/>
              </w:rPr>
              <w:t>200</w:t>
            </w:r>
            <w:r>
              <w:rPr>
                <w:rFonts w:ascii="宋体" w:eastAsia="宋体" w:hAnsi="宋体" w:cs="宋体"/>
                <w:spacing w:val="7"/>
                <w:sz w:val="19"/>
                <w:szCs w:val="19"/>
              </w:rPr>
              <w:t xml:space="preserve">   </w:t>
            </w:r>
            <w:r>
              <w:rPr>
                <w:rFonts w:ascii="宋体" w:eastAsia="宋体" w:hAnsi="宋体" w:cs="宋体"/>
                <w:spacing w:val="-3"/>
                <w:sz w:val="19"/>
                <w:szCs w:val="19"/>
              </w:rPr>
              <w:t>21.5</w:t>
            </w:r>
          </w:p>
        </w:tc>
        <w:tc>
          <w:tcPr>
            <w:tcW w:w="2753" w:type="dxa"/>
            <w:tcBorders>
              <w:bottom w:val="single" w:sz="4" w:space="0" w:color="000000"/>
            </w:tcBorders>
          </w:tcPr>
          <w:p w:rsidR="00EA40A3" w:rsidRDefault="00E86C16">
            <w:pPr>
              <w:spacing w:before="101" w:line="173" w:lineRule="auto"/>
              <w:ind w:left="144"/>
              <w:rPr>
                <w:rFonts w:ascii="宋体" w:eastAsia="宋体" w:hAnsi="宋体" w:cs="宋体"/>
                <w:sz w:val="19"/>
                <w:szCs w:val="19"/>
              </w:rPr>
            </w:pPr>
            <w:r>
              <w:rPr>
                <w:rFonts w:ascii="宋体" w:eastAsia="宋体" w:hAnsi="宋体" w:cs="宋体"/>
                <w:spacing w:val="-3"/>
                <w:sz w:val="19"/>
                <w:szCs w:val="19"/>
              </w:rPr>
              <w:t>65</w:t>
            </w:r>
          </w:p>
        </w:tc>
      </w:tr>
    </w:tbl>
    <w:p w:rsidR="00EA40A3" w:rsidRDefault="00E86C16">
      <w:pPr>
        <w:spacing w:before="91" w:line="219" w:lineRule="auto"/>
        <w:ind w:left="320"/>
        <w:rPr>
          <w:rFonts w:ascii="宋体" w:eastAsia="宋体" w:hAnsi="宋体" w:cs="宋体"/>
          <w:sz w:val="18"/>
          <w:szCs w:val="18"/>
        </w:rPr>
      </w:pPr>
      <w:r>
        <w:rPr>
          <w:rFonts w:ascii="宋体" w:eastAsia="宋体" w:hAnsi="宋体" w:cs="宋体"/>
          <w:spacing w:val="-20"/>
          <w:sz w:val="18"/>
          <w:szCs w:val="18"/>
        </w:rPr>
        <w:t>注：凡表中数字空缺处表示未制定该参考值。</w:t>
      </w:r>
    </w:p>
    <w:p w:rsidR="00EA40A3" w:rsidRDefault="00E86C16">
      <w:pPr>
        <w:spacing w:before="164" w:line="241" w:lineRule="auto"/>
        <w:ind w:left="170"/>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422</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headerReference w:type="default" r:id="rId346"/>
          <w:footerReference w:type="default" r:id="rId347"/>
          <w:pgSz w:w="9220" w:h="13360"/>
          <w:pgMar w:top="400" w:right="1009" w:bottom="400" w:left="809" w:header="0" w:footer="0" w:gutter="0"/>
          <w:cols w:space="720"/>
        </w:sectPr>
      </w:pPr>
    </w:p>
    <w:p w:rsidR="00EA40A3" w:rsidRDefault="00825D12">
      <w:pPr>
        <w:spacing w:line="211" w:lineRule="exact"/>
      </w:pPr>
      <w:r>
        <w:rPr>
          <w:noProof/>
        </w:rPr>
        <w:lastRenderedPageBreak/>
        <mc:AlternateContent>
          <mc:Choice Requires="wps">
            <w:drawing>
              <wp:anchor distT="0" distB="0" distL="114300" distR="114300" simplePos="0" relativeHeight="251726848" behindDoc="0" locked="0" layoutInCell="0" allowOverlap="1">
                <wp:simplePos x="0" y="0"/>
                <wp:positionH relativeFrom="page">
                  <wp:posOffset>895350</wp:posOffset>
                </wp:positionH>
                <wp:positionV relativeFrom="page">
                  <wp:posOffset>1482725</wp:posOffset>
                </wp:positionV>
                <wp:extent cx="7042785" cy="6350"/>
                <wp:effectExtent l="9525" t="6350" r="5715" b="6350"/>
                <wp:wrapNone/>
                <wp:docPr id="9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785" cy="6350"/>
                        </a:xfrm>
                        <a:custGeom>
                          <a:avLst/>
                          <a:gdLst>
                            <a:gd name="T0" fmla="*/ 0 w 11090"/>
                            <a:gd name="T1" fmla="*/ 5 h 10"/>
                            <a:gd name="T2" fmla="*/ 729 w 11090"/>
                            <a:gd name="T3" fmla="*/ 5 h 10"/>
                            <a:gd name="T4" fmla="*/ 729 w 11090"/>
                            <a:gd name="T5" fmla="*/ 5 h 10"/>
                            <a:gd name="T6" fmla="*/ 1719 w 11090"/>
                            <a:gd name="T7" fmla="*/ 5 h 10"/>
                            <a:gd name="T8" fmla="*/ 1719 w 11090"/>
                            <a:gd name="T9" fmla="*/ 5 h 10"/>
                            <a:gd name="T10" fmla="*/ 3299 w 11090"/>
                            <a:gd name="T11" fmla="*/ 5 h 10"/>
                            <a:gd name="T12" fmla="*/ 3299 w 11090"/>
                            <a:gd name="T13" fmla="*/ 5 h 10"/>
                            <a:gd name="T14" fmla="*/ 4339 w 11090"/>
                            <a:gd name="T15" fmla="*/ 5 h 10"/>
                            <a:gd name="T16" fmla="*/ 4339 w 11090"/>
                            <a:gd name="T17" fmla="*/ 5 h 10"/>
                            <a:gd name="T18" fmla="*/ 5399 w 11090"/>
                            <a:gd name="T19" fmla="*/ 5 h 10"/>
                            <a:gd name="T20" fmla="*/ 5399 w 11090"/>
                            <a:gd name="T21" fmla="*/ 5 h 10"/>
                            <a:gd name="T22" fmla="*/ 8150 w 11090"/>
                            <a:gd name="T23" fmla="*/ 5 h 10"/>
                            <a:gd name="T24" fmla="*/ 8150 w 11090"/>
                            <a:gd name="T25" fmla="*/ 5 h 10"/>
                            <a:gd name="T26" fmla="*/ 8879 w 11090"/>
                            <a:gd name="T27" fmla="*/ 5 h 10"/>
                            <a:gd name="T28" fmla="*/ 8879 w 11090"/>
                            <a:gd name="T29" fmla="*/ 5 h 10"/>
                            <a:gd name="T30" fmla="*/ 9869 w 11090"/>
                            <a:gd name="T31" fmla="*/ 5 h 10"/>
                            <a:gd name="T32" fmla="*/ 9869 w 11090"/>
                            <a:gd name="T33" fmla="*/ 5 h 10"/>
                            <a:gd name="T34" fmla="*/ 10449 w 11090"/>
                            <a:gd name="T35" fmla="*/ 5 h 10"/>
                            <a:gd name="T36" fmla="*/ 10449 w 11090"/>
                            <a:gd name="T37" fmla="*/ 5 h 10"/>
                            <a:gd name="T38" fmla="*/ 11090 w 11090"/>
                            <a:gd name="T39" fmla="*/ 5 h 10"/>
                            <a:gd name="T40" fmla="*/ 0 w 11090"/>
                            <a:gd name="T41" fmla="*/ 5 h 10"/>
                            <a:gd name="T42" fmla="*/ 1719 w 11090"/>
                            <a:gd name="T43" fmla="*/ 5 h 10"/>
                            <a:gd name="T44" fmla="*/ 1719 w 11090"/>
                            <a:gd name="T45" fmla="*/ 5 h 10"/>
                            <a:gd name="T46" fmla="*/ 2519 w 11090"/>
                            <a:gd name="T47" fmla="*/ 5 h 10"/>
                            <a:gd name="T48" fmla="*/ 2519 w 11090"/>
                            <a:gd name="T49" fmla="*/ 5 h 10"/>
                            <a:gd name="T50" fmla="*/ 3299 w 11090"/>
                            <a:gd name="T51" fmla="*/ 5 h 10"/>
                            <a:gd name="T52" fmla="*/ 3299 w 11090"/>
                            <a:gd name="T53" fmla="*/ 5 h 10"/>
                            <a:gd name="T54" fmla="*/ 4339 w 11090"/>
                            <a:gd name="T55" fmla="*/ 5 h 10"/>
                            <a:gd name="T56" fmla="*/ 4339 w 11090"/>
                            <a:gd name="T57" fmla="*/ 5 h 10"/>
                            <a:gd name="T58" fmla="*/ 5399 w 11090"/>
                            <a:gd name="T59" fmla="*/ 5 h 10"/>
                            <a:gd name="T60" fmla="*/ 5399 w 11090"/>
                            <a:gd name="T61" fmla="*/ 5 h 10"/>
                            <a:gd name="T62" fmla="*/ 6179 w 11090"/>
                            <a:gd name="T63" fmla="*/ 5 h 10"/>
                            <a:gd name="T64" fmla="*/ 6179 w 11090"/>
                            <a:gd name="T65" fmla="*/ 5 h 10"/>
                            <a:gd name="T66" fmla="*/ 6880 w 11090"/>
                            <a:gd name="T67" fmla="*/ 5 h 10"/>
                            <a:gd name="T68" fmla="*/ 6880 w 11090"/>
                            <a:gd name="T69" fmla="*/ 5 h 10"/>
                            <a:gd name="T70" fmla="*/ 7550 w 11090"/>
                            <a:gd name="T71" fmla="*/ 5 h 10"/>
                            <a:gd name="T72" fmla="*/ 7550 w 11090"/>
                            <a:gd name="T73" fmla="*/ 5 h 10"/>
                            <a:gd name="T74" fmla="*/ 8150 w 11090"/>
                            <a:gd name="T75" fmla="*/ 5 h 10"/>
                            <a:gd name="T76" fmla="*/ 8150 w 11090"/>
                            <a:gd name="T77" fmla="*/ 5 h 10"/>
                            <a:gd name="T78" fmla="*/ 8879 w 11090"/>
                            <a:gd name="T79" fmla="*/ 5 h 10"/>
                            <a:gd name="T80" fmla="*/ 8879 w 11090"/>
                            <a:gd name="T81" fmla="*/ 5 h 10"/>
                            <a:gd name="T82" fmla="*/ 9869 w 11090"/>
                            <a:gd name="T83" fmla="*/ 5 h 10"/>
                            <a:gd name="T84" fmla="*/ 9869 w 11090"/>
                            <a:gd name="T85" fmla="*/ 5 h 10"/>
                            <a:gd name="T86" fmla="*/ 10449 w 11090"/>
                            <a:gd name="T87" fmla="*/ 5 h 10"/>
                            <a:gd name="T88" fmla="*/ 10449 w 11090"/>
                            <a:gd name="T89" fmla="*/ 5 h 10"/>
                            <a:gd name="T90" fmla="*/ 11090 w 11090"/>
                            <a:gd name="T91"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1090" h="10">
                              <a:moveTo>
                                <a:pt x="0" y="5"/>
                              </a:moveTo>
                              <a:lnTo>
                                <a:pt x="729" y="5"/>
                              </a:lnTo>
                              <a:moveTo>
                                <a:pt x="729" y="5"/>
                              </a:moveTo>
                              <a:lnTo>
                                <a:pt x="1719" y="5"/>
                              </a:lnTo>
                              <a:moveTo>
                                <a:pt x="1719" y="5"/>
                              </a:moveTo>
                              <a:lnTo>
                                <a:pt x="3299" y="5"/>
                              </a:lnTo>
                              <a:moveTo>
                                <a:pt x="3299" y="5"/>
                              </a:moveTo>
                              <a:lnTo>
                                <a:pt x="4339" y="5"/>
                              </a:lnTo>
                              <a:moveTo>
                                <a:pt x="4339" y="5"/>
                              </a:moveTo>
                              <a:lnTo>
                                <a:pt x="5399" y="5"/>
                              </a:lnTo>
                              <a:moveTo>
                                <a:pt x="5399" y="5"/>
                              </a:moveTo>
                              <a:lnTo>
                                <a:pt x="8150" y="5"/>
                              </a:lnTo>
                              <a:moveTo>
                                <a:pt x="8150" y="5"/>
                              </a:moveTo>
                              <a:lnTo>
                                <a:pt x="8879" y="5"/>
                              </a:lnTo>
                              <a:moveTo>
                                <a:pt x="8879" y="5"/>
                              </a:moveTo>
                              <a:lnTo>
                                <a:pt x="9869" y="5"/>
                              </a:lnTo>
                              <a:moveTo>
                                <a:pt x="9869" y="5"/>
                              </a:moveTo>
                              <a:lnTo>
                                <a:pt x="10449" y="5"/>
                              </a:lnTo>
                              <a:moveTo>
                                <a:pt x="10449" y="5"/>
                              </a:moveTo>
                              <a:lnTo>
                                <a:pt x="11090" y="5"/>
                              </a:lnTo>
                              <a:moveTo>
                                <a:pt x="0" y="5"/>
                              </a:moveTo>
                              <a:lnTo>
                                <a:pt x="1719" y="5"/>
                              </a:lnTo>
                              <a:moveTo>
                                <a:pt x="1719" y="5"/>
                              </a:moveTo>
                              <a:lnTo>
                                <a:pt x="2519" y="5"/>
                              </a:lnTo>
                              <a:moveTo>
                                <a:pt x="2519" y="5"/>
                              </a:moveTo>
                              <a:lnTo>
                                <a:pt x="3299" y="5"/>
                              </a:lnTo>
                              <a:moveTo>
                                <a:pt x="3299" y="5"/>
                              </a:moveTo>
                              <a:lnTo>
                                <a:pt x="4339" y="5"/>
                              </a:lnTo>
                              <a:moveTo>
                                <a:pt x="4339" y="5"/>
                              </a:moveTo>
                              <a:lnTo>
                                <a:pt x="5399" y="5"/>
                              </a:lnTo>
                              <a:moveTo>
                                <a:pt x="5399" y="5"/>
                              </a:moveTo>
                              <a:lnTo>
                                <a:pt x="6179" y="5"/>
                              </a:lnTo>
                              <a:moveTo>
                                <a:pt x="6179" y="5"/>
                              </a:moveTo>
                              <a:lnTo>
                                <a:pt x="6880" y="5"/>
                              </a:lnTo>
                              <a:moveTo>
                                <a:pt x="6880" y="5"/>
                              </a:moveTo>
                              <a:lnTo>
                                <a:pt x="7550" y="5"/>
                              </a:lnTo>
                              <a:moveTo>
                                <a:pt x="7550" y="5"/>
                              </a:moveTo>
                              <a:lnTo>
                                <a:pt x="8150" y="5"/>
                              </a:lnTo>
                              <a:moveTo>
                                <a:pt x="8150" y="5"/>
                              </a:moveTo>
                              <a:lnTo>
                                <a:pt x="8879" y="5"/>
                              </a:lnTo>
                              <a:moveTo>
                                <a:pt x="8879" y="5"/>
                              </a:moveTo>
                              <a:lnTo>
                                <a:pt x="9869" y="5"/>
                              </a:lnTo>
                              <a:moveTo>
                                <a:pt x="9869" y="5"/>
                              </a:moveTo>
                              <a:lnTo>
                                <a:pt x="10449" y="5"/>
                              </a:lnTo>
                              <a:moveTo>
                                <a:pt x="10449" y="5"/>
                              </a:moveTo>
                              <a:lnTo>
                                <a:pt x="1109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0559D" id="AutoShape 66" o:spid="_x0000_s1026" style="position:absolute;left:0;text-align:left;margin-left:70.5pt;margin-top:116.75pt;width:554.55pt;height:.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" o:allowincell="f" path="m,5r729,m729,5r990,m1719,5r1580,m3299,5r1040,m4339,5r1060,m5399,5r2751,m8150,5r729,m8879,5r990,m9869,5r580,m10449,5r641,m,5r1719,m1719,5r800,m2519,5r780,m3299,5r1040,m4339,5r1060,m5399,5r780,m6179,5r701,m6880,5r670,m7550,5r600,m8150,5r729,m8879,5r990,m9869,5r580,m10449,5r641,e" filled="f" strokeweight=".5pt">
                <v:stroke miterlimit="10" joinstyle="miter"/>
                <v:path o:connecttype="custom" o:connectlocs="0,3175;462957,3175;462957,3175;1091663,3175;1091663,3175;2095054,3175;2095054,3175;2755513,3175;2755513,3175;3428674,3175;3428674,3175;5175717,3175;5175717,3175;5638673,3175;5638673,3175;6267380,3175;6267380,3175;6635713,3175;6635713,3175;7042785,3175;0,3175;1091663,3175;1091663,3175;1599709,3175;1599709,3175;2095054,3175;2095054,3175;2755513,3175;2755513,3175;3428674,3175;3428674,3175;3924019,3175;3924019,3175;4369194,3175;4369194,3175;4794682,3175;4794682,3175;5175717,3175;5175717,3175;5638673,3175;5638673,3175;6267380,3175;6267380,3175;6635713,3175;6635713,3175;7042785,3175" o:connectangles="0,0,0,0,0,0,0,0,0,0,0,0,0,0,0,0,0,0,0,0,0,0,0,0,0,0,0,0,0,0,0,0,0,0,0,0,0,0,0,0,0,0,0,0,0,0"/>
                <w10:wrap anchorx="page" anchory="page"/>
              </v:shape>
            </w:pict>
          </mc:Fallback>
        </mc:AlternateContent>
      </w:r>
    </w:p>
    <w:tbl>
      <w:tblPr>
        <w:tblStyle w:val="TableNormal"/>
        <w:tblW w:w="10922" w:type="dxa"/>
        <w:tblInd w:w="44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21"/>
        <w:gridCol w:w="870"/>
        <w:gridCol w:w="795"/>
        <w:gridCol w:w="847"/>
        <w:gridCol w:w="1040"/>
        <w:gridCol w:w="983"/>
        <w:gridCol w:w="2752"/>
        <w:gridCol w:w="845"/>
        <w:gridCol w:w="845"/>
        <w:gridCol w:w="659"/>
        <w:gridCol w:w="565"/>
      </w:tblGrid>
      <w:tr w:rsidR="00EA40A3">
        <w:trPr>
          <w:trHeight w:val="220"/>
        </w:trPr>
        <w:tc>
          <w:tcPr>
            <w:tcW w:w="721" w:type="dxa"/>
          </w:tcPr>
          <w:p w:rsidR="00EA40A3" w:rsidRDefault="00EA40A3">
            <w:pPr>
              <w:spacing w:line="220" w:lineRule="exact"/>
              <w:rPr>
                <w:sz w:val="19"/>
              </w:rPr>
            </w:pPr>
          </w:p>
        </w:tc>
        <w:tc>
          <w:tcPr>
            <w:tcW w:w="870" w:type="dxa"/>
          </w:tcPr>
          <w:p w:rsidR="00EA40A3" w:rsidRDefault="00E86C16">
            <w:pPr>
              <w:spacing w:before="20" w:line="219" w:lineRule="auto"/>
              <w:ind w:left="138"/>
              <w:rPr>
                <w:rFonts w:ascii="宋体" w:eastAsia="宋体" w:hAnsi="宋体" w:cs="宋体"/>
                <w:sz w:val="16"/>
                <w:szCs w:val="16"/>
              </w:rPr>
            </w:pPr>
            <w:r>
              <w:rPr>
                <w:rFonts w:ascii="宋体" w:eastAsia="宋体" w:hAnsi="宋体" w:cs="宋体"/>
                <w:spacing w:val="-2"/>
                <w:sz w:val="16"/>
                <w:szCs w:val="16"/>
              </w:rPr>
              <w:t>维生素A</w:t>
            </w:r>
          </w:p>
        </w:tc>
        <w:tc>
          <w:tcPr>
            <w:tcW w:w="795" w:type="dxa"/>
          </w:tcPr>
          <w:p w:rsidR="00EA40A3" w:rsidRDefault="00E86C16">
            <w:pPr>
              <w:spacing w:before="20" w:line="219" w:lineRule="auto"/>
              <w:ind w:left="178"/>
              <w:rPr>
                <w:rFonts w:ascii="宋体" w:eastAsia="宋体" w:hAnsi="宋体" w:cs="宋体"/>
                <w:sz w:val="16"/>
                <w:szCs w:val="16"/>
              </w:rPr>
            </w:pPr>
            <w:r>
              <w:rPr>
                <w:rFonts w:ascii="宋体" w:eastAsia="宋体" w:hAnsi="宋体" w:cs="宋体"/>
                <w:spacing w:val="-2"/>
                <w:sz w:val="16"/>
                <w:szCs w:val="16"/>
              </w:rPr>
              <w:t>维生素D</w:t>
            </w:r>
          </w:p>
        </w:tc>
        <w:tc>
          <w:tcPr>
            <w:tcW w:w="847" w:type="dxa"/>
          </w:tcPr>
          <w:p w:rsidR="00EA40A3" w:rsidRDefault="00E86C16">
            <w:pPr>
              <w:spacing w:before="30" w:line="219" w:lineRule="auto"/>
              <w:ind w:left="113"/>
              <w:rPr>
                <w:rFonts w:ascii="宋体" w:eastAsia="宋体" w:hAnsi="宋体" w:cs="宋体"/>
                <w:sz w:val="16"/>
                <w:szCs w:val="16"/>
              </w:rPr>
            </w:pPr>
            <w:r>
              <w:rPr>
                <w:rFonts w:ascii="宋体" w:eastAsia="宋体" w:hAnsi="宋体" w:cs="宋体"/>
                <w:spacing w:val="-2"/>
                <w:sz w:val="16"/>
                <w:szCs w:val="16"/>
              </w:rPr>
              <w:t>维生素E</w:t>
            </w:r>
          </w:p>
        </w:tc>
        <w:tc>
          <w:tcPr>
            <w:tcW w:w="1040" w:type="dxa"/>
          </w:tcPr>
          <w:p w:rsidR="00EA40A3" w:rsidRDefault="00E86C16">
            <w:pPr>
              <w:spacing w:before="20" w:line="219" w:lineRule="auto"/>
              <w:ind w:left="146"/>
              <w:rPr>
                <w:rFonts w:ascii="Calibri" w:eastAsia="Calibri" w:hAnsi="Calibri" w:cs="Calibri"/>
                <w:sz w:val="16"/>
                <w:szCs w:val="16"/>
              </w:rPr>
            </w:pPr>
            <w:r>
              <w:rPr>
                <w:rFonts w:ascii="宋体" w:eastAsia="宋体" w:hAnsi="宋体" w:cs="宋体"/>
                <w:spacing w:val="19"/>
                <w:sz w:val="16"/>
                <w:szCs w:val="16"/>
              </w:rPr>
              <w:t>维生素B</w:t>
            </w:r>
            <w:r>
              <w:rPr>
                <w:rFonts w:ascii="Calibri" w:eastAsia="Calibri" w:hAnsi="Calibri" w:cs="Calibri"/>
                <w:spacing w:val="19"/>
                <w:sz w:val="16"/>
                <w:szCs w:val="16"/>
              </w:rPr>
              <w:t>₁</w:t>
            </w:r>
          </w:p>
        </w:tc>
        <w:tc>
          <w:tcPr>
            <w:tcW w:w="983" w:type="dxa"/>
          </w:tcPr>
          <w:p w:rsidR="00EA40A3" w:rsidRDefault="00E86C16">
            <w:pPr>
              <w:spacing w:before="39" w:line="208" w:lineRule="auto"/>
              <w:ind w:left="196"/>
              <w:rPr>
                <w:rFonts w:ascii="宋体" w:eastAsia="宋体" w:hAnsi="宋体" w:cs="宋体"/>
                <w:sz w:val="16"/>
                <w:szCs w:val="16"/>
              </w:rPr>
            </w:pPr>
            <w:r>
              <w:rPr>
                <w:rFonts w:ascii="宋体" w:eastAsia="宋体" w:hAnsi="宋体" w:cs="宋体"/>
                <w:spacing w:val="-2"/>
                <w:sz w:val="16"/>
                <w:szCs w:val="16"/>
              </w:rPr>
              <w:t>维生素B2</w:t>
            </w:r>
          </w:p>
        </w:tc>
        <w:tc>
          <w:tcPr>
            <w:tcW w:w="2752" w:type="dxa"/>
          </w:tcPr>
          <w:p w:rsidR="00EA40A3" w:rsidRDefault="00E86C16">
            <w:pPr>
              <w:spacing w:line="219" w:lineRule="auto"/>
              <w:ind w:left="153"/>
              <w:rPr>
                <w:rFonts w:ascii="宋体" w:eastAsia="宋体" w:hAnsi="宋体" w:cs="宋体"/>
                <w:sz w:val="16"/>
                <w:szCs w:val="16"/>
              </w:rPr>
            </w:pPr>
            <w:r>
              <w:rPr>
                <w:rFonts w:ascii="宋体" w:eastAsia="宋体" w:hAnsi="宋体" w:cs="宋体"/>
                <w:spacing w:val="6"/>
                <w:sz w:val="16"/>
                <w:szCs w:val="16"/>
              </w:rPr>
              <w:t>维生素B维生素</w:t>
            </w:r>
            <w:r>
              <w:rPr>
                <w:rFonts w:ascii="宋体" w:eastAsia="宋体" w:hAnsi="宋体" w:cs="宋体"/>
                <w:sz w:val="16"/>
                <w:szCs w:val="16"/>
              </w:rPr>
              <w:t>Bi</w:t>
            </w:r>
            <w:r>
              <w:rPr>
                <w:rFonts w:ascii="Calibri" w:eastAsia="Calibri" w:hAnsi="Calibri" w:cs="Calibri"/>
                <w:spacing w:val="6"/>
                <w:sz w:val="16"/>
                <w:szCs w:val="16"/>
              </w:rPr>
              <w:t>₂</w:t>
            </w:r>
            <w:r>
              <w:rPr>
                <w:rFonts w:ascii="宋体" w:eastAsia="宋体" w:hAnsi="宋体" w:cs="宋体"/>
                <w:spacing w:val="6"/>
                <w:sz w:val="16"/>
                <w:szCs w:val="16"/>
              </w:rPr>
              <w:t>维生素C泛酸</w:t>
            </w:r>
          </w:p>
        </w:tc>
        <w:tc>
          <w:tcPr>
            <w:tcW w:w="845" w:type="dxa"/>
          </w:tcPr>
          <w:p w:rsidR="00EA40A3" w:rsidRDefault="00E86C16">
            <w:pPr>
              <w:spacing w:before="20" w:line="219" w:lineRule="auto"/>
              <w:ind w:left="251"/>
              <w:rPr>
                <w:rFonts w:ascii="宋体" w:eastAsia="宋体" w:hAnsi="宋体" w:cs="宋体"/>
                <w:sz w:val="16"/>
                <w:szCs w:val="16"/>
              </w:rPr>
            </w:pPr>
            <w:r>
              <w:rPr>
                <w:rFonts w:ascii="宋体" w:eastAsia="宋体" w:hAnsi="宋体" w:cs="宋体"/>
                <w:spacing w:val="3"/>
                <w:sz w:val="16"/>
                <w:szCs w:val="16"/>
              </w:rPr>
              <w:t>叶酸</w:t>
            </w:r>
          </w:p>
        </w:tc>
        <w:tc>
          <w:tcPr>
            <w:tcW w:w="845" w:type="dxa"/>
          </w:tcPr>
          <w:p w:rsidR="00EA40A3" w:rsidRDefault="00E86C16">
            <w:pPr>
              <w:spacing w:before="18" w:line="221" w:lineRule="auto"/>
              <w:ind w:left="279"/>
              <w:rPr>
                <w:rFonts w:ascii="宋体" w:eastAsia="宋体" w:hAnsi="宋体" w:cs="宋体"/>
                <w:sz w:val="16"/>
                <w:szCs w:val="16"/>
              </w:rPr>
            </w:pPr>
            <w:r>
              <w:rPr>
                <w:rFonts w:ascii="宋体" w:eastAsia="宋体" w:hAnsi="宋体" w:cs="宋体"/>
                <w:b/>
                <w:bCs/>
                <w:spacing w:val="-4"/>
                <w:sz w:val="16"/>
                <w:szCs w:val="16"/>
              </w:rPr>
              <w:t>烟酸</w:t>
            </w:r>
          </w:p>
        </w:tc>
        <w:tc>
          <w:tcPr>
            <w:tcW w:w="659" w:type="dxa"/>
          </w:tcPr>
          <w:p w:rsidR="00EA40A3" w:rsidRDefault="00E86C16">
            <w:pPr>
              <w:spacing w:before="11" w:line="221" w:lineRule="auto"/>
              <w:ind w:left="251"/>
              <w:rPr>
                <w:rFonts w:ascii="宋体" w:eastAsia="宋体" w:hAnsi="宋体" w:cs="宋体"/>
                <w:sz w:val="16"/>
                <w:szCs w:val="16"/>
              </w:rPr>
            </w:pPr>
            <w:r>
              <w:rPr>
                <w:rFonts w:ascii="宋体" w:eastAsia="宋体" w:hAnsi="宋体" w:cs="宋体"/>
                <w:spacing w:val="-2"/>
                <w:sz w:val="16"/>
                <w:szCs w:val="16"/>
              </w:rPr>
              <w:t>胆碱</w:t>
            </w:r>
          </w:p>
        </w:tc>
        <w:tc>
          <w:tcPr>
            <w:tcW w:w="565" w:type="dxa"/>
          </w:tcPr>
          <w:p w:rsidR="00EA40A3" w:rsidRDefault="00E86C16">
            <w:pPr>
              <w:spacing w:before="50" w:line="209" w:lineRule="auto"/>
              <w:ind w:left="92"/>
              <w:rPr>
                <w:rFonts w:ascii="宋体" w:eastAsia="宋体" w:hAnsi="宋体" w:cs="宋体"/>
                <w:sz w:val="15"/>
                <w:szCs w:val="15"/>
              </w:rPr>
            </w:pPr>
            <w:r>
              <w:rPr>
                <w:rFonts w:ascii="宋体" w:eastAsia="宋体" w:hAnsi="宋体" w:cs="宋体"/>
                <w:spacing w:val="7"/>
                <w:sz w:val="15"/>
                <w:szCs w:val="15"/>
              </w:rPr>
              <w:t>生物素</w:t>
            </w:r>
          </w:p>
        </w:tc>
      </w:tr>
      <w:tr w:rsidR="00EA40A3">
        <w:trPr>
          <w:trHeight w:val="268"/>
        </w:trPr>
        <w:tc>
          <w:tcPr>
            <w:tcW w:w="721" w:type="dxa"/>
          </w:tcPr>
          <w:p w:rsidR="00EA40A3" w:rsidRDefault="00E86C16">
            <w:pPr>
              <w:spacing w:before="10" w:line="219" w:lineRule="auto"/>
              <w:rPr>
                <w:rFonts w:ascii="宋体" w:eastAsia="宋体" w:hAnsi="宋体" w:cs="宋体"/>
                <w:sz w:val="16"/>
                <w:szCs w:val="16"/>
              </w:rPr>
            </w:pPr>
            <w:r>
              <w:rPr>
                <w:rFonts w:ascii="宋体" w:eastAsia="宋体" w:hAnsi="宋体" w:cs="宋体"/>
                <w:spacing w:val="5"/>
                <w:sz w:val="16"/>
                <w:szCs w:val="16"/>
              </w:rPr>
              <w:t>年龄/岁</w:t>
            </w:r>
          </w:p>
        </w:tc>
        <w:tc>
          <w:tcPr>
            <w:tcW w:w="870" w:type="dxa"/>
          </w:tcPr>
          <w:p w:rsidR="00EA40A3" w:rsidRDefault="00E86C16">
            <w:pPr>
              <w:spacing w:before="92" w:line="182" w:lineRule="auto"/>
              <w:ind w:left="298"/>
              <w:rPr>
                <w:rFonts w:ascii="宋体" w:eastAsia="宋体" w:hAnsi="宋体" w:cs="宋体"/>
                <w:sz w:val="16"/>
                <w:szCs w:val="16"/>
              </w:rPr>
            </w:pPr>
            <w:r>
              <w:rPr>
                <w:rFonts w:ascii="宋体" w:eastAsia="宋体" w:hAnsi="宋体" w:cs="宋体"/>
                <w:spacing w:val="-2"/>
                <w:sz w:val="16"/>
                <w:szCs w:val="16"/>
              </w:rPr>
              <w:t>RNI</w:t>
            </w:r>
          </w:p>
        </w:tc>
        <w:tc>
          <w:tcPr>
            <w:tcW w:w="795" w:type="dxa"/>
          </w:tcPr>
          <w:p w:rsidR="00EA40A3" w:rsidRDefault="00E86C16">
            <w:pPr>
              <w:spacing w:before="102" w:line="182" w:lineRule="auto"/>
              <w:ind w:left="328"/>
              <w:rPr>
                <w:rFonts w:ascii="宋体" w:eastAsia="宋体" w:hAnsi="宋体" w:cs="宋体"/>
                <w:sz w:val="16"/>
                <w:szCs w:val="16"/>
              </w:rPr>
            </w:pPr>
            <w:r>
              <w:rPr>
                <w:rFonts w:ascii="宋体" w:eastAsia="宋体" w:hAnsi="宋体" w:cs="宋体"/>
                <w:spacing w:val="-2"/>
                <w:sz w:val="16"/>
                <w:szCs w:val="16"/>
              </w:rPr>
              <w:t>RNI</w:t>
            </w:r>
          </w:p>
        </w:tc>
        <w:tc>
          <w:tcPr>
            <w:tcW w:w="847" w:type="dxa"/>
          </w:tcPr>
          <w:p w:rsidR="00EA40A3" w:rsidRDefault="00E86C16">
            <w:pPr>
              <w:spacing w:before="107" w:line="185" w:lineRule="auto"/>
              <w:ind w:left="333"/>
              <w:rPr>
                <w:rFonts w:ascii="宋体" w:eastAsia="宋体" w:hAnsi="宋体" w:cs="宋体"/>
                <w:sz w:val="16"/>
                <w:szCs w:val="16"/>
              </w:rPr>
            </w:pPr>
            <w:r>
              <w:rPr>
                <w:rFonts w:ascii="宋体" w:eastAsia="宋体" w:hAnsi="宋体" w:cs="宋体"/>
                <w:spacing w:val="-1"/>
                <w:sz w:val="16"/>
                <w:szCs w:val="16"/>
              </w:rPr>
              <w:t>Al</w:t>
            </w:r>
          </w:p>
        </w:tc>
        <w:tc>
          <w:tcPr>
            <w:tcW w:w="1040" w:type="dxa"/>
          </w:tcPr>
          <w:p w:rsidR="00EA40A3" w:rsidRDefault="00E86C16">
            <w:pPr>
              <w:spacing w:before="102" w:line="182" w:lineRule="auto"/>
              <w:ind w:left="387"/>
              <w:rPr>
                <w:rFonts w:ascii="宋体" w:eastAsia="宋体" w:hAnsi="宋体" w:cs="宋体"/>
                <w:sz w:val="16"/>
                <w:szCs w:val="16"/>
              </w:rPr>
            </w:pPr>
            <w:r>
              <w:rPr>
                <w:rFonts w:ascii="宋体" w:eastAsia="宋体" w:hAnsi="宋体" w:cs="宋体"/>
                <w:spacing w:val="-2"/>
                <w:sz w:val="16"/>
                <w:szCs w:val="16"/>
              </w:rPr>
              <w:t>RNI</w:t>
            </w:r>
          </w:p>
        </w:tc>
        <w:tc>
          <w:tcPr>
            <w:tcW w:w="983" w:type="dxa"/>
          </w:tcPr>
          <w:p w:rsidR="00EA40A3" w:rsidRDefault="00E86C16">
            <w:pPr>
              <w:spacing w:before="102" w:line="182" w:lineRule="auto"/>
              <w:ind w:left="396"/>
              <w:rPr>
                <w:rFonts w:ascii="宋体" w:eastAsia="宋体" w:hAnsi="宋体" w:cs="宋体"/>
                <w:sz w:val="16"/>
                <w:szCs w:val="16"/>
              </w:rPr>
            </w:pPr>
            <w:r>
              <w:rPr>
                <w:rFonts w:ascii="宋体" w:eastAsia="宋体" w:hAnsi="宋体" w:cs="宋体"/>
                <w:spacing w:val="-2"/>
                <w:sz w:val="16"/>
                <w:szCs w:val="16"/>
              </w:rPr>
              <w:t>RNI</w:t>
            </w:r>
          </w:p>
        </w:tc>
        <w:tc>
          <w:tcPr>
            <w:tcW w:w="2752" w:type="dxa"/>
          </w:tcPr>
          <w:p w:rsidR="00EA40A3" w:rsidRDefault="00E86C16">
            <w:pPr>
              <w:spacing w:before="89" w:line="194" w:lineRule="auto"/>
              <w:ind w:left="364"/>
              <w:rPr>
                <w:rFonts w:ascii="宋体" w:eastAsia="宋体" w:hAnsi="宋体" w:cs="宋体"/>
                <w:sz w:val="16"/>
                <w:szCs w:val="16"/>
              </w:rPr>
            </w:pPr>
            <w:r>
              <w:rPr>
                <w:rFonts w:ascii="宋体" w:eastAsia="宋体" w:hAnsi="宋体" w:cs="宋体"/>
                <w:spacing w:val="-1"/>
                <w:sz w:val="16"/>
                <w:szCs w:val="16"/>
              </w:rPr>
              <w:t>AI</w:t>
            </w:r>
            <w:r>
              <w:rPr>
                <w:rFonts w:ascii="宋体" w:eastAsia="宋体" w:hAnsi="宋体" w:cs="宋体"/>
                <w:spacing w:val="3"/>
                <w:sz w:val="16"/>
                <w:szCs w:val="16"/>
              </w:rPr>
              <w:t xml:space="preserve">       </w:t>
            </w:r>
            <w:r>
              <w:rPr>
                <w:rFonts w:ascii="宋体" w:eastAsia="宋体" w:hAnsi="宋体" w:cs="宋体"/>
                <w:spacing w:val="-1"/>
                <w:position w:val="1"/>
                <w:sz w:val="16"/>
                <w:szCs w:val="16"/>
              </w:rPr>
              <w:t>AI</w:t>
            </w:r>
            <w:r>
              <w:rPr>
                <w:rFonts w:ascii="宋体" w:eastAsia="宋体" w:hAnsi="宋体" w:cs="宋体"/>
                <w:spacing w:val="1"/>
                <w:position w:val="1"/>
                <w:sz w:val="16"/>
                <w:szCs w:val="16"/>
              </w:rPr>
              <w:t xml:space="preserve">      </w:t>
            </w:r>
            <w:r>
              <w:rPr>
                <w:rFonts w:ascii="宋体" w:eastAsia="宋体" w:hAnsi="宋体" w:cs="宋体"/>
                <w:spacing w:val="-1"/>
                <w:sz w:val="16"/>
                <w:szCs w:val="16"/>
              </w:rPr>
              <w:t>RNI</w:t>
            </w:r>
            <w:r>
              <w:rPr>
                <w:rFonts w:ascii="宋体" w:eastAsia="宋体" w:hAnsi="宋体" w:cs="宋体"/>
                <w:spacing w:val="8"/>
                <w:sz w:val="16"/>
                <w:szCs w:val="16"/>
              </w:rPr>
              <w:t xml:space="preserve">     </w:t>
            </w:r>
            <w:r>
              <w:rPr>
                <w:rFonts w:ascii="宋体" w:eastAsia="宋体" w:hAnsi="宋体" w:cs="宋体"/>
                <w:spacing w:val="-1"/>
                <w:sz w:val="16"/>
                <w:szCs w:val="16"/>
              </w:rPr>
              <w:t>AI</w:t>
            </w:r>
          </w:p>
        </w:tc>
        <w:tc>
          <w:tcPr>
            <w:tcW w:w="845" w:type="dxa"/>
          </w:tcPr>
          <w:p w:rsidR="00EA40A3" w:rsidRDefault="00E86C16">
            <w:pPr>
              <w:spacing w:before="92" w:line="182" w:lineRule="auto"/>
              <w:ind w:left="251"/>
              <w:rPr>
                <w:rFonts w:ascii="宋体" w:eastAsia="宋体" w:hAnsi="宋体" w:cs="宋体"/>
                <w:sz w:val="16"/>
                <w:szCs w:val="16"/>
              </w:rPr>
            </w:pPr>
            <w:r>
              <w:rPr>
                <w:rFonts w:ascii="宋体" w:eastAsia="宋体" w:hAnsi="宋体" w:cs="宋体"/>
                <w:spacing w:val="-2"/>
                <w:sz w:val="16"/>
                <w:szCs w:val="16"/>
              </w:rPr>
              <w:t>RNI</w:t>
            </w:r>
          </w:p>
        </w:tc>
        <w:tc>
          <w:tcPr>
            <w:tcW w:w="845" w:type="dxa"/>
          </w:tcPr>
          <w:p w:rsidR="00EA40A3" w:rsidRDefault="00E86C16">
            <w:pPr>
              <w:spacing w:before="122" w:line="168" w:lineRule="auto"/>
              <w:ind w:left="316"/>
              <w:rPr>
                <w:rFonts w:ascii="宋体" w:eastAsia="宋体" w:hAnsi="宋体" w:cs="宋体"/>
                <w:sz w:val="16"/>
                <w:szCs w:val="16"/>
              </w:rPr>
            </w:pPr>
            <w:r>
              <w:rPr>
                <w:rFonts w:ascii="宋体" w:eastAsia="宋体" w:hAnsi="宋体" w:cs="宋体"/>
                <w:spacing w:val="-2"/>
                <w:sz w:val="16"/>
                <w:szCs w:val="16"/>
              </w:rPr>
              <w:t>RNI</w:t>
            </w:r>
          </w:p>
        </w:tc>
        <w:tc>
          <w:tcPr>
            <w:tcW w:w="659" w:type="dxa"/>
          </w:tcPr>
          <w:p w:rsidR="00EA40A3" w:rsidRDefault="00E86C16">
            <w:pPr>
              <w:spacing w:before="90" w:line="184" w:lineRule="auto"/>
              <w:ind w:left="322"/>
              <w:rPr>
                <w:rFonts w:ascii="宋体" w:eastAsia="宋体" w:hAnsi="宋体" w:cs="宋体"/>
                <w:sz w:val="16"/>
                <w:szCs w:val="16"/>
              </w:rPr>
            </w:pPr>
            <w:r>
              <w:rPr>
                <w:rFonts w:ascii="宋体" w:eastAsia="宋体" w:hAnsi="宋体" w:cs="宋体"/>
                <w:spacing w:val="-1"/>
                <w:sz w:val="16"/>
                <w:szCs w:val="16"/>
              </w:rPr>
              <w:t>AI</w:t>
            </w:r>
          </w:p>
        </w:tc>
        <w:tc>
          <w:tcPr>
            <w:tcW w:w="565" w:type="dxa"/>
          </w:tcPr>
          <w:p w:rsidR="00EA40A3" w:rsidRDefault="00E86C16">
            <w:pPr>
              <w:spacing w:before="107" w:line="185" w:lineRule="auto"/>
              <w:ind w:left="252"/>
              <w:rPr>
                <w:rFonts w:ascii="宋体" w:eastAsia="宋体" w:hAnsi="宋体" w:cs="宋体"/>
                <w:sz w:val="16"/>
                <w:szCs w:val="16"/>
              </w:rPr>
            </w:pPr>
            <w:r>
              <w:rPr>
                <w:rFonts w:ascii="宋体" w:eastAsia="宋体" w:hAnsi="宋体" w:cs="宋体"/>
                <w:spacing w:val="-1"/>
                <w:sz w:val="16"/>
                <w:szCs w:val="16"/>
              </w:rPr>
              <w:t>Al</w:t>
            </w:r>
          </w:p>
        </w:tc>
      </w:tr>
      <w:tr w:rsidR="00EA40A3">
        <w:trPr>
          <w:trHeight w:val="216"/>
        </w:trPr>
        <w:tc>
          <w:tcPr>
            <w:tcW w:w="721" w:type="dxa"/>
          </w:tcPr>
          <w:p w:rsidR="00EA40A3" w:rsidRDefault="00EA40A3">
            <w:pPr>
              <w:spacing w:line="215" w:lineRule="exact"/>
              <w:rPr>
                <w:sz w:val="18"/>
              </w:rPr>
            </w:pPr>
          </w:p>
        </w:tc>
        <w:tc>
          <w:tcPr>
            <w:tcW w:w="870" w:type="dxa"/>
          </w:tcPr>
          <w:p w:rsidR="00EA40A3" w:rsidRDefault="00E86C16">
            <w:pPr>
              <w:spacing w:before="46" w:line="195" w:lineRule="auto"/>
              <w:ind w:left="178"/>
              <w:rPr>
                <w:rFonts w:ascii="宋体" w:eastAsia="宋体" w:hAnsi="宋体" w:cs="宋体"/>
                <w:sz w:val="16"/>
                <w:szCs w:val="16"/>
              </w:rPr>
            </w:pPr>
            <w:r>
              <w:rPr>
                <w:rFonts w:ascii="宋体" w:eastAsia="宋体" w:hAnsi="宋体" w:cs="宋体"/>
                <w:spacing w:val="-1"/>
                <w:sz w:val="16"/>
                <w:szCs w:val="16"/>
              </w:rPr>
              <w:t>/μgRE</w:t>
            </w:r>
          </w:p>
        </w:tc>
        <w:tc>
          <w:tcPr>
            <w:tcW w:w="795" w:type="dxa"/>
          </w:tcPr>
          <w:p w:rsidR="00EA40A3" w:rsidRDefault="00E86C16">
            <w:pPr>
              <w:spacing w:before="46" w:line="195" w:lineRule="auto"/>
              <w:ind w:left="328"/>
              <w:rPr>
                <w:rFonts w:ascii="宋体" w:eastAsia="宋体" w:hAnsi="宋体" w:cs="宋体"/>
                <w:sz w:val="16"/>
                <w:szCs w:val="16"/>
              </w:rPr>
            </w:pPr>
            <w:r>
              <w:rPr>
                <w:rFonts w:ascii="宋体" w:eastAsia="宋体" w:hAnsi="宋体" w:cs="宋体"/>
                <w:spacing w:val="-2"/>
                <w:sz w:val="16"/>
                <w:szCs w:val="16"/>
              </w:rPr>
              <w:t>/μg</w:t>
            </w:r>
          </w:p>
        </w:tc>
        <w:tc>
          <w:tcPr>
            <w:tcW w:w="847" w:type="dxa"/>
          </w:tcPr>
          <w:p w:rsidR="00EA40A3" w:rsidRDefault="00E86C16">
            <w:pPr>
              <w:spacing w:before="46" w:line="195" w:lineRule="auto"/>
              <w:ind w:left="63"/>
              <w:rPr>
                <w:rFonts w:ascii="宋体" w:eastAsia="宋体" w:hAnsi="宋体" w:cs="宋体"/>
                <w:sz w:val="16"/>
                <w:szCs w:val="16"/>
              </w:rPr>
            </w:pPr>
            <w:r>
              <w:rPr>
                <w:rFonts w:ascii="宋体" w:eastAsia="宋体" w:hAnsi="宋体" w:cs="宋体"/>
                <w:spacing w:val="-1"/>
                <w:sz w:val="16"/>
                <w:szCs w:val="16"/>
              </w:rPr>
              <w:t>/mga-TE*</w:t>
            </w:r>
          </w:p>
        </w:tc>
        <w:tc>
          <w:tcPr>
            <w:tcW w:w="1040" w:type="dxa"/>
          </w:tcPr>
          <w:p w:rsidR="00EA40A3" w:rsidRDefault="00E86C16">
            <w:pPr>
              <w:spacing w:before="56" w:line="196" w:lineRule="auto"/>
              <w:ind w:left="387"/>
              <w:rPr>
                <w:rFonts w:ascii="宋体" w:eastAsia="宋体" w:hAnsi="宋体" w:cs="宋体"/>
                <w:sz w:val="15"/>
                <w:szCs w:val="15"/>
              </w:rPr>
            </w:pPr>
            <w:r>
              <w:rPr>
                <w:rFonts w:ascii="宋体" w:eastAsia="宋体" w:hAnsi="宋体" w:cs="宋体"/>
                <w:spacing w:val="9"/>
                <w:sz w:val="15"/>
                <w:szCs w:val="15"/>
              </w:rPr>
              <w:t>/</w:t>
            </w:r>
            <w:r>
              <w:rPr>
                <w:rFonts w:ascii="宋体" w:eastAsia="宋体" w:hAnsi="宋体" w:cs="宋体"/>
                <w:sz w:val="15"/>
                <w:szCs w:val="15"/>
              </w:rPr>
              <w:t>mg</w:t>
            </w:r>
          </w:p>
        </w:tc>
        <w:tc>
          <w:tcPr>
            <w:tcW w:w="983" w:type="dxa"/>
          </w:tcPr>
          <w:p w:rsidR="00EA40A3" w:rsidRDefault="00E86C16">
            <w:pPr>
              <w:spacing w:before="46" w:line="195" w:lineRule="auto"/>
              <w:ind w:left="396"/>
              <w:rPr>
                <w:rFonts w:ascii="宋体" w:eastAsia="宋体" w:hAnsi="宋体" w:cs="宋体"/>
                <w:sz w:val="16"/>
                <w:szCs w:val="16"/>
              </w:rPr>
            </w:pPr>
            <w:r>
              <w:rPr>
                <w:rFonts w:ascii="宋体" w:eastAsia="宋体" w:hAnsi="宋体" w:cs="宋体"/>
                <w:spacing w:val="-2"/>
                <w:sz w:val="16"/>
                <w:szCs w:val="16"/>
              </w:rPr>
              <w:t>/mg</w:t>
            </w:r>
          </w:p>
        </w:tc>
        <w:tc>
          <w:tcPr>
            <w:tcW w:w="2752" w:type="dxa"/>
          </w:tcPr>
          <w:p w:rsidR="00EA40A3" w:rsidRDefault="00E86C16">
            <w:pPr>
              <w:spacing w:before="46" w:line="208" w:lineRule="auto"/>
              <w:ind w:left="364"/>
              <w:rPr>
                <w:rFonts w:ascii="宋体" w:eastAsia="宋体" w:hAnsi="宋体" w:cs="宋体"/>
                <w:sz w:val="15"/>
                <w:szCs w:val="15"/>
              </w:rPr>
            </w:pPr>
            <w:r>
              <w:rPr>
                <w:rFonts w:ascii="宋体" w:eastAsia="宋体" w:hAnsi="宋体" w:cs="宋体"/>
                <w:spacing w:val="7"/>
                <w:sz w:val="15"/>
                <w:szCs w:val="15"/>
              </w:rPr>
              <w:t>/</w:t>
            </w:r>
            <w:r>
              <w:rPr>
                <w:rFonts w:ascii="宋体" w:eastAsia="宋体" w:hAnsi="宋体" w:cs="宋体"/>
                <w:sz w:val="15"/>
                <w:szCs w:val="15"/>
              </w:rPr>
              <w:t>mg</w:t>
            </w:r>
            <w:r>
              <w:rPr>
                <w:rFonts w:ascii="宋体" w:eastAsia="宋体" w:hAnsi="宋体" w:cs="宋体"/>
                <w:spacing w:val="5"/>
                <w:sz w:val="15"/>
                <w:szCs w:val="15"/>
              </w:rPr>
              <w:t xml:space="preserve">      </w:t>
            </w:r>
            <w:r>
              <w:rPr>
                <w:rFonts w:ascii="宋体" w:eastAsia="宋体" w:hAnsi="宋体" w:cs="宋体"/>
                <w:spacing w:val="7"/>
                <w:sz w:val="15"/>
                <w:szCs w:val="15"/>
              </w:rPr>
              <w:t>/μg</w:t>
            </w:r>
            <w:r>
              <w:rPr>
                <w:rFonts w:ascii="宋体" w:eastAsia="宋体" w:hAnsi="宋体" w:cs="宋体"/>
                <w:spacing w:val="15"/>
                <w:sz w:val="15"/>
                <w:szCs w:val="15"/>
              </w:rPr>
              <w:t xml:space="preserve">    </w:t>
            </w:r>
            <w:r>
              <w:rPr>
                <w:rFonts w:ascii="宋体" w:eastAsia="宋体" w:hAnsi="宋体" w:cs="宋体"/>
                <w:spacing w:val="7"/>
                <w:sz w:val="15"/>
                <w:szCs w:val="15"/>
              </w:rPr>
              <w:t>/</w:t>
            </w:r>
            <w:r>
              <w:rPr>
                <w:rFonts w:ascii="宋体" w:eastAsia="宋体" w:hAnsi="宋体" w:cs="宋体"/>
                <w:sz w:val="15"/>
                <w:szCs w:val="15"/>
              </w:rPr>
              <w:t>mg</w:t>
            </w:r>
            <w:r>
              <w:rPr>
                <w:rFonts w:ascii="宋体" w:eastAsia="宋体" w:hAnsi="宋体" w:cs="宋体"/>
                <w:spacing w:val="4"/>
                <w:sz w:val="15"/>
                <w:szCs w:val="15"/>
              </w:rPr>
              <w:t xml:space="preserve">     </w:t>
            </w:r>
            <w:r>
              <w:rPr>
                <w:rFonts w:ascii="宋体" w:eastAsia="宋体" w:hAnsi="宋体" w:cs="宋体"/>
                <w:spacing w:val="7"/>
                <w:sz w:val="15"/>
                <w:szCs w:val="15"/>
              </w:rPr>
              <w:t>/</w:t>
            </w:r>
            <w:r>
              <w:rPr>
                <w:rFonts w:ascii="宋体" w:eastAsia="宋体" w:hAnsi="宋体" w:cs="宋体"/>
                <w:sz w:val="15"/>
                <w:szCs w:val="15"/>
              </w:rPr>
              <w:t>mg</w:t>
            </w:r>
          </w:p>
        </w:tc>
        <w:tc>
          <w:tcPr>
            <w:tcW w:w="845" w:type="dxa"/>
          </w:tcPr>
          <w:p w:rsidR="00EA40A3" w:rsidRDefault="00E86C16">
            <w:pPr>
              <w:spacing w:before="56" w:line="196" w:lineRule="auto"/>
              <w:ind w:left="131"/>
              <w:rPr>
                <w:rFonts w:ascii="宋体" w:eastAsia="宋体" w:hAnsi="宋体" w:cs="宋体"/>
                <w:sz w:val="15"/>
                <w:szCs w:val="15"/>
              </w:rPr>
            </w:pPr>
            <w:r>
              <w:rPr>
                <w:rFonts w:ascii="宋体" w:eastAsia="宋体" w:hAnsi="宋体" w:cs="宋体"/>
                <w:spacing w:val="14"/>
                <w:sz w:val="15"/>
                <w:szCs w:val="15"/>
              </w:rPr>
              <w:t>/μ</w:t>
            </w:r>
            <w:r>
              <w:rPr>
                <w:rFonts w:ascii="宋体" w:eastAsia="宋体" w:hAnsi="宋体" w:cs="宋体"/>
                <w:sz w:val="15"/>
                <w:szCs w:val="15"/>
              </w:rPr>
              <w:t>gDEF</w:t>
            </w:r>
          </w:p>
        </w:tc>
        <w:tc>
          <w:tcPr>
            <w:tcW w:w="845" w:type="dxa"/>
          </w:tcPr>
          <w:p w:rsidR="00EA40A3" w:rsidRDefault="00E86C16">
            <w:pPr>
              <w:spacing w:before="56" w:line="196" w:lineRule="auto"/>
              <w:ind w:left="156"/>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z w:val="15"/>
                <w:szCs w:val="15"/>
              </w:rPr>
              <w:t>mgNE</w:t>
            </w:r>
          </w:p>
        </w:tc>
        <w:tc>
          <w:tcPr>
            <w:tcW w:w="659" w:type="dxa"/>
          </w:tcPr>
          <w:p w:rsidR="00EA40A3" w:rsidRDefault="00E86C16">
            <w:pPr>
              <w:spacing w:before="46" w:line="195" w:lineRule="auto"/>
              <w:ind w:left="332"/>
              <w:rPr>
                <w:rFonts w:ascii="宋体" w:eastAsia="宋体" w:hAnsi="宋体" w:cs="宋体"/>
                <w:sz w:val="16"/>
                <w:szCs w:val="16"/>
              </w:rPr>
            </w:pPr>
            <w:r>
              <w:rPr>
                <w:rFonts w:ascii="宋体" w:eastAsia="宋体" w:hAnsi="宋体" w:cs="宋体"/>
                <w:spacing w:val="-2"/>
                <w:sz w:val="16"/>
                <w:szCs w:val="16"/>
              </w:rPr>
              <w:t>/mg</w:t>
            </w:r>
          </w:p>
        </w:tc>
        <w:tc>
          <w:tcPr>
            <w:tcW w:w="565" w:type="dxa"/>
          </w:tcPr>
          <w:p w:rsidR="00EA40A3" w:rsidRDefault="00E86C16">
            <w:pPr>
              <w:spacing w:before="36" w:line="207" w:lineRule="auto"/>
              <w:ind w:left="172"/>
              <w:rPr>
                <w:rFonts w:ascii="宋体" w:eastAsia="宋体" w:hAnsi="宋体" w:cs="宋体"/>
                <w:sz w:val="16"/>
                <w:szCs w:val="16"/>
              </w:rPr>
            </w:pPr>
            <w:r>
              <w:rPr>
                <w:rFonts w:ascii="宋体" w:eastAsia="宋体" w:hAnsi="宋体" w:cs="宋体"/>
                <w:spacing w:val="-2"/>
                <w:sz w:val="16"/>
                <w:szCs w:val="16"/>
              </w:rPr>
              <w:t>/μg</w:t>
            </w:r>
          </w:p>
        </w:tc>
      </w:tr>
    </w:tbl>
    <w:p w:rsidR="00EA40A3" w:rsidRDefault="00EA40A3">
      <w:pPr>
        <w:spacing w:line="237" w:lineRule="exact"/>
      </w:pPr>
    </w:p>
    <w:tbl>
      <w:tblPr>
        <w:tblStyle w:val="TableNormal"/>
        <w:tblW w:w="10681" w:type="dxa"/>
        <w:tblInd w:w="52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755"/>
        <w:gridCol w:w="602"/>
        <w:gridCol w:w="324"/>
      </w:tblGrid>
      <w:tr w:rsidR="00EA40A3">
        <w:trPr>
          <w:trHeight w:val="265"/>
        </w:trPr>
        <w:tc>
          <w:tcPr>
            <w:tcW w:w="9755" w:type="dxa"/>
          </w:tcPr>
          <w:p w:rsidR="00EA40A3" w:rsidRDefault="00E86C16">
            <w:pPr>
              <w:spacing w:line="222" w:lineRule="auto"/>
              <w:ind w:left="80"/>
              <w:rPr>
                <w:rFonts w:ascii="宋体" w:eastAsia="宋体" w:hAnsi="宋体" w:cs="宋体"/>
                <w:sz w:val="16"/>
                <w:szCs w:val="16"/>
              </w:rPr>
            </w:pPr>
            <w:r>
              <w:rPr>
                <w:rFonts w:ascii="宋体" w:eastAsia="宋体" w:hAnsi="宋体" w:cs="宋体"/>
                <w:spacing w:val="-3"/>
                <w:position w:val="-1"/>
                <w:sz w:val="16"/>
                <w:szCs w:val="16"/>
              </w:rPr>
              <w:t>0～</w:t>
            </w:r>
            <w:r>
              <w:rPr>
                <w:rFonts w:ascii="宋体" w:eastAsia="宋体" w:hAnsi="宋体" w:cs="宋体"/>
                <w:spacing w:val="3"/>
                <w:position w:val="-1"/>
                <w:sz w:val="16"/>
                <w:szCs w:val="16"/>
              </w:rPr>
              <w:t xml:space="preserve">                   </w:t>
            </w:r>
            <w:r>
              <w:rPr>
                <w:rFonts w:ascii="宋体" w:eastAsia="宋体" w:hAnsi="宋体" w:cs="宋体"/>
                <w:spacing w:val="-3"/>
                <w:position w:val="-1"/>
                <w:sz w:val="16"/>
                <w:szCs w:val="16"/>
              </w:rPr>
              <w:t>10</w:t>
            </w:r>
            <w:r>
              <w:rPr>
                <w:rFonts w:ascii="宋体" w:eastAsia="宋体" w:hAnsi="宋体" w:cs="宋体"/>
                <w:spacing w:val="7"/>
                <w:position w:val="-1"/>
                <w:sz w:val="16"/>
                <w:szCs w:val="16"/>
              </w:rPr>
              <w:t xml:space="preserve">        </w:t>
            </w:r>
            <w:r>
              <w:rPr>
                <w:rFonts w:ascii="宋体" w:eastAsia="宋体" w:hAnsi="宋体" w:cs="宋体"/>
                <w:spacing w:val="-3"/>
                <w:position w:val="-1"/>
                <w:sz w:val="16"/>
                <w:szCs w:val="16"/>
              </w:rPr>
              <w:t>3</w:t>
            </w:r>
            <w:r>
              <w:rPr>
                <w:rFonts w:ascii="宋体" w:eastAsia="宋体" w:hAnsi="宋体" w:cs="宋体"/>
                <w:spacing w:val="5"/>
                <w:position w:val="-1"/>
                <w:sz w:val="16"/>
                <w:szCs w:val="16"/>
              </w:rPr>
              <w:t xml:space="preserve">       </w:t>
            </w:r>
            <w:r>
              <w:rPr>
                <w:rFonts w:ascii="宋体" w:eastAsia="宋体" w:hAnsi="宋体" w:cs="宋体"/>
                <w:spacing w:val="-3"/>
                <w:sz w:val="16"/>
                <w:szCs w:val="16"/>
              </w:rPr>
              <w:t>0.2(AI)</w:t>
            </w:r>
            <w:r>
              <w:rPr>
                <w:rFonts w:ascii="宋体" w:eastAsia="宋体" w:hAnsi="宋体" w:cs="宋体"/>
                <w:spacing w:val="3"/>
                <w:sz w:val="16"/>
                <w:szCs w:val="16"/>
              </w:rPr>
              <w:t xml:space="preserve">      </w:t>
            </w:r>
            <w:r>
              <w:rPr>
                <w:rFonts w:ascii="宋体" w:eastAsia="宋体" w:hAnsi="宋体" w:cs="宋体"/>
                <w:spacing w:val="-3"/>
                <w:sz w:val="16"/>
                <w:szCs w:val="16"/>
              </w:rPr>
              <w:t>0.4(AI)</w:t>
            </w:r>
            <w:r>
              <w:rPr>
                <w:rFonts w:ascii="宋体" w:eastAsia="宋体" w:hAnsi="宋体" w:cs="宋体"/>
                <w:spacing w:val="8"/>
                <w:sz w:val="16"/>
                <w:szCs w:val="16"/>
              </w:rPr>
              <w:t xml:space="preserve">      </w:t>
            </w:r>
            <w:r>
              <w:rPr>
                <w:rFonts w:ascii="宋体" w:eastAsia="宋体" w:hAnsi="宋体" w:cs="宋体"/>
                <w:spacing w:val="-3"/>
                <w:position w:val="-1"/>
                <w:sz w:val="16"/>
                <w:szCs w:val="16"/>
              </w:rPr>
              <w:t>0.1</w:t>
            </w:r>
            <w:r>
              <w:rPr>
                <w:rFonts w:ascii="宋体" w:eastAsia="宋体" w:hAnsi="宋体" w:cs="宋体"/>
                <w:spacing w:val="12"/>
                <w:position w:val="-1"/>
                <w:sz w:val="16"/>
                <w:szCs w:val="16"/>
              </w:rPr>
              <w:t xml:space="preserve">      </w:t>
            </w:r>
            <w:r>
              <w:rPr>
                <w:rFonts w:ascii="宋体" w:eastAsia="宋体" w:hAnsi="宋体" w:cs="宋体"/>
                <w:spacing w:val="-3"/>
                <w:position w:val="-1"/>
                <w:sz w:val="16"/>
                <w:szCs w:val="16"/>
              </w:rPr>
              <w:t>0.4</w:t>
            </w:r>
            <w:r>
              <w:rPr>
                <w:rFonts w:ascii="宋体" w:eastAsia="宋体" w:hAnsi="宋体" w:cs="宋体"/>
                <w:spacing w:val="9"/>
                <w:position w:val="-1"/>
                <w:sz w:val="16"/>
                <w:szCs w:val="16"/>
              </w:rPr>
              <w:t xml:space="preserve">     </w:t>
            </w:r>
            <w:r>
              <w:rPr>
                <w:rFonts w:ascii="宋体" w:eastAsia="宋体" w:hAnsi="宋体" w:cs="宋体"/>
                <w:spacing w:val="-3"/>
                <w:position w:val="-1"/>
                <w:sz w:val="16"/>
                <w:szCs w:val="16"/>
              </w:rPr>
              <w:t>40</w:t>
            </w:r>
            <w:r>
              <w:rPr>
                <w:rFonts w:ascii="宋体" w:eastAsia="宋体" w:hAnsi="宋体" w:cs="宋体"/>
                <w:spacing w:val="9"/>
                <w:position w:val="-1"/>
                <w:sz w:val="16"/>
                <w:szCs w:val="16"/>
              </w:rPr>
              <w:t xml:space="preserve">     </w:t>
            </w:r>
            <w:r>
              <w:rPr>
                <w:rFonts w:ascii="宋体" w:eastAsia="宋体" w:hAnsi="宋体" w:cs="宋体"/>
                <w:spacing w:val="-3"/>
                <w:position w:val="-1"/>
                <w:sz w:val="16"/>
                <w:szCs w:val="16"/>
              </w:rPr>
              <w:t>1.7</w:t>
            </w:r>
            <w:r>
              <w:rPr>
                <w:rFonts w:ascii="宋体" w:eastAsia="宋体" w:hAnsi="宋体" w:cs="宋体"/>
                <w:spacing w:val="17"/>
                <w:position w:val="-1"/>
                <w:sz w:val="16"/>
                <w:szCs w:val="16"/>
              </w:rPr>
              <w:t xml:space="preserve">    </w:t>
            </w:r>
            <w:r>
              <w:rPr>
                <w:rFonts w:ascii="宋体" w:eastAsia="宋体" w:hAnsi="宋体" w:cs="宋体"/>
                <w:spacing w:val="-3"/>
                <w:sz w:val="16"/>
                <w:szCs w:val="16"/>
              </w:rPr>
              <w:t>65(AI)</w:t>
            </w:r>
            <w:r>
              <w:rPr>
                <w:rFonts w:ascii="宋体" w:eastAsia="宋体" w:hAnsi="宋体" w:cs="宋体"/>
                <w:spacing w:val="10"/>
                <w:sz w:val="16"/>
                <w:szCs w:val="16"/>
              </w:rPr>
              <w:t xml:space="preserve">    </w:t>
            </w:r>
            <w:r>
              <w:rPr>
                <w:rFonts w:ascii="宋体" w:eastAsia="宋体" w:hAnsi="宋体" w:cs="宋体"/>
                <w:spacing w:val="-3"/>
                <w:sz w:val="16"/>
                <w:szCs w:val="16"/>
              </w:rPr>
              <w:t>2(AI)</w:t>
            </w:r>
          </w:p>
        </w:tc>
        <w:tc>
          <w:tcPr>
            <w:tcW w:w="602" w:type="dxa"/>
          </w:tcPr>
          <w:p w:rsidR="00EA40A3" w:rsidRDefault="00E86C16">
            <w:pPr>
              <w:spacing w:before="38" w:line="184" w:lineRule="auto"/>
              <w:ind w:left="195"/>
              <w:rPr>
                <w:rFonts w:ascii="宋体" w:eastAsia="宋体" w:hAnsi="宋体" w:cs="宋体"/>
                <w:sz w:val="16"/>
                <w:szCs w:val="16"/>
              </w:rPr>
            </w:pPr>
            <w:r>
              <w:rPr>
                <w:rFonts w:ascii="宋体" w:eastAsia="宋体" w:hAnsi="宋体" w:cs="宋体"/>
                <w:spacing w:val="-5"/>
                <w:sz w:val="16"/>
                <w:szCs w:val="16"/>
              </w:rPr>
              <w:t>100</w:t>
            </w:r>
          </w:p>
        </w:tc>
        <w:tc>
          <w:tcPr>
            <w:tcW w:w="324" w:type="dxa"/>
          </w:tcPr>
          <w:p w:rsidR="00EA40A3" w:rsidRDefault="00E86C16">
            <w:pPr>
              <w:spacing w:before="39" w:line="182" w:lineRule="auto"/>
              <w:ind w:left="213"/>
              <w:rPr>
                <w:rFonts w:ascii="宋体" w:eastAsia="宋体" w:hAnsi="宋体" w:cs="宋体"/>
                <w:sz w:val="16"/>
                <w:szCs w:val="16"/>
              </w:rPr>
            </w:pPr>
            <w:r>
              <w:rPr>
                <w:rFonts w:ascii="宋体" w:eastAsia="宋体" w:hAnsi="宋体" w:cs="宋体"/>
                <w:sz w:val="16"/>
                <w:szCs w:val="16"/>
              </w:rPr>
              <w:t>5</w:t>
            </w:r>
          </w:p>
        </w:tc>
      </w:tr>
      <w:tr w:rsidR="00EA40A3">
        <w:trPr>
          <w:trHeight w:val="370"/>
        </w:trPr>
        <w:tc>
          <w:tcPr>
            <w:tcW w:w="9755" w:type="dxa"/>
          </w:tcPr>
          <w:p w:rsidR="00EA40A3" w:rsidRDefault="00E86C16">
            <w:pPr>
              <w:spacing w:before="105" w:line="222" w:lineRule="auto"/>
              <w:rPr>
                <w:rFonts w:ascii="宋体" w:eastAsia="宋体" w:hAnsi="宋体" w:cs="宋体"/>
                <w:sz w:val="16"/>
                <w:szCs w:val="16"/>
              </w:rPr>
            </w:pPr>
            <w:r>
              <w:rPr>
                <w:rFonts w:ascii="宋体" w:eastAsia="宋体" w:hAnsi="宋体" w:cs="宋体"/>
                <w:spacing w:val="-2"/>
                <w:position w:val="-1"/>
                <w:sz w:val="16"/>
                <w:szCs w:val="16"/>
              </w:rPr>
              <w:t>0.5～</w:t>
            </w:r>
            <w:r>
              <w:rPr>
                <w:rFonts w:ascii="宋体" w:eastAsia="宋体" w:hAnsi="宋体" w:cs="宋体"/>
                <w:position w:val="-1"/>
                <w:sz w:val="16"/>
                <w:szCs w:val="16"/>
              </w:rPr>
              <w:t xml:space="preserve">     </w:t>
            </w:r>
            <w:r>
              <w:rPr>
                <w:rFonts w:ascii="宋体" w:eastAsia="宋体" w:hAnsi="宋体" w:cs="宋体"/>
                <w:spacing w:val="-2"/>
                <w:sz w:val="16"/>
                <w:szCs w:val="16"/>
              </w:rPr>
              <w:t>400(AI)</w:t>
            </w:r>
            <w:r>
              <w:rPr>
                <w:rFonts w:ascii="宋体" w:eastAsia="宋体" w:hAnsi="宋体" w:cs="宋体"/>
                <w:spacing w:val="10"/>
                <w:sz w:val="16"/>
                <w:szCs w:val="16"/>
              </w:rPr>
              <w:t xml:space="preserve">      </w:t>
            </w:r>
            <w:r>
              <w:rPr>
                <w:rFonts w:ascii="宋体" w:eastAsia="宋体" w:hAnsi="宋体" w:cs="宋体"/>
                <w:spacing w:val="-2"/>
                <w:position w:val="-1"/>
                <w:sz w:val="16"/>
                <w:szCs w:val="16"/>
              </w:rPr>
              <w:t>10</w:t>
            </w:r>
            <w:r>
              <w:rPr>
                <w:rFonts w:ascii="宋体" w:eastAsia="宋体" w:hAnsi="宋体" w:cs="宋体"/>
                <w:spacing w:val="6"/>
                <w:position w:val="-1"/>
                <w:sz w:val="16"/>
                <w:szCs w:val="16"/>
              </w:rPr>
              <w:t xml:space="preserve">        </w:t>
            </w:r>
            <w:r>
              <w:rPr>
                <w:rFonts w:ascii="宋体" w:eastAsia="宋体" w:hAnsi="宋体" w:cs="宋体"/>
                <w:spacing w:val="-2"/>
                <w:position w:val="-1"/>
                <w:sz w:val="16"/>
                <w:szCs w:val="16"/>
              </w:rPr>
              <w:t>3</w:t>
            </w:r>
            <w:r>
              <w:rPr>
                <w:rFonts w:ascii="宋体" w:eastAsia="宋体" w:hAnsi="宋体" w:cs="宋体"/>
                <w:spacing w:val="6"/>
                <w:position w:val="-1"/>
                <w:sz w:val="16"/>
                <w:szCs w:val="16"/>
              </w:rPr>
              <w:t xml:space="preserve">       </w:t>
            </w:r>
            <w:r>
              <w:rPr>
                <w:rFonts w:ascii="宋体" w:eastAsia="宋体" w:hAnsi="宋体" w:cs="宋体"/>
                <w:spacing w:val="-2"/>
                <w:sz w:val="16"/>
                <w:szCs w:val="16"/>
              </w:rPr>
              <w:t>0.</w:t>
            </w:r>
            <w:r>
              <w:rPr>
                <w:rFonts w:ascii="宋体" w:eastAsia="宋体" w:hAnsi="宋体" w:cs="宋体"/>
                <w:spacing w:val="-3"/>
                <w:sz w:val="16"/>
                <w:szCs w:val="16"/>
              </w:rPr>
              <w:t>3(</w:t>
            </w:r>
            <w:r>
              <w:rPr>
                <w:rFonts w:ascii="宋体" w:eastAsia="宋体" w:hAnsi="宋体" w:cs="宋体"/>
                <w:spacing w:val="-2"/>
                <w:sz w:val="16"/>
                <w:szCs w:val="16"/>
              </w:rPr>
              <w:t>AI</w:t>
            </w:r>
            <w:r>
              <w:rPr>
                <w:rFonts w:ascii="宋体" w:eastAsia="宋体" w:hAnsi="宋体" w:cs="宋体"/>
                <w:spacing w:val="-3"/>
                <w:sz w:val="16"/>
                <w:szCs w:val="16"/>
              </w:rPr>
              <w:t>)</w:t>
            </w:r>
            <w:r>
              <w:rPr>
                <w:rFonts w:ascii="宋体" w:eastAsia="宋体" w:hAnsi="宋体" w:cs="宋体"/>
                <w:spacing w:val="3"/>
                <w:sz w:val="16"/>
                <w:szCs w:val="16"/>
              </w:rPr>
              <w:t xml:space="preserve">      </w:t>
            </w:r>
            <w:r>
              <w:rPr>
                <w:rFonts w:ascii="宋体" w:eastAsia="宋体" w:hAnsi="宋体" w:cs="宋体"/>
                <w:spacing w:val="-3"/>
                <w:sz w:val="16"/>
                <w:szCs w:val="16"/>
              </w:rPr>
              <w:t>0.5(</w:t>
            </w:r>
            <w:r>
              <w:rPr>
                <w:rFonts w:ascii="宋体" w:eastAsia="宋体" w:hAnsi="宋体" w:cs="宋体"/>
                <w:spacing w:val="-2"/>
                <w:sz w:val="16"/>
                <w:szCs w:val="16"/>
              </w:rPr>
              <w:t>AI</w:t>
            </w:r>
            <w:r>
              <w:rPr>
                <w:rFonts w:ascii="宋体" w:eastAsia="宋体" w:hAnsi="宋体" w:cs="宋体"/>
                <w:spacing w:val="-3"/>
                <w:sz w:val="16"/>
                <w:szCs w:val="16"/>
              </w:rPr>
              <w:t>)</w:t>
            </w:r>
            <w:r>
              <w:rPr>
                <w:rFonts w:ascii="宋体" w:eastAsia="宋体" w:hAnsi="宋体" w:cs="宋体"/>
                <w:spacing w:val="8"/>
                <w:sz w:val="16"/>
                <w:szCs w:val="16"/>
              </w:rPr>
              <w:t xml:space="preserve">      </w:t>
            </w:r>
            <w:r>
              <w:rPr>
                <w:rFonts w:ascii="宋体" w:eastAsia="宋体" w:hAnsi="宋体" w:cs="宋体"/>
                <w:spacing w:val="-3"/>
                <w:position w:val="-1"/>
                <w:sz w:val="16"/>
                <w:szCs w:val="16"/>
              </w:rPr>
              <w:t>0.3</w:t>
            </w:r>
            <w:r>
              <w:rPr>
                <w:rFonts w:ascii="宋体" w:eastAsia="宋体" w:hAnsi="宋体" w:cs="宋体"/>
                <w:spacing w:val="11"/>
                <w:position w:val="-1"/>
                <w:sz w:val="16"/>
                <w:szCs w:val="16"/>
              </w:rPr>
              <w:t xml:space="preserve">      </w:t>
            </w:r>
            <w:r>
              <w:rPr>
                <w:rFonts w:ascii="宋体" w:eastAsia="宋体" w:hAnsi="宋体" w:cs="宋体"/>
                <w:spacing w:val="-3"/>
                <w:position w:val="-1"/>
                <w:sz w:val="16"/>
                <w:szCs w:val="16"/>
              </w:rPr>
              <w:t>0.5</w:t>
            </w:r>
            <w:r>
              <w:rPr>
                <w:rFonts w:ascii="宋体" w:eastAsia="宋体" w:hAnsi="宋体" w:cs="宋体"/>
                <w:spacing w:val="10"/>
                <w:position w:val="-1"/>
                <w:sz w:val="16"/>
                <w:szCs w:val="16"/>
              </w:rPr>
              <w:t xml:space="preserve">     </w:t>
            </w:r>
            <w:r>
              <w:rPr>
                <w:rFonts w:ascii="宋体" w:eastAsia="宋体" w:hAnsi="宋体" w:cs="宋体"/>
                <w:spacing w:val="-3"/>
                <w:position w:val="-1"/>
                <w:sz w:val="16"/>
                <w:szCs w:val="16"/>
              </w:rPr>
              <w:t>50</w:t>
            </w:r>
            <w:r>
              <w:rPr>
                <w:rFonts w:ascii="宋体" w:eastAsia="宋体" w:hAnsi="宋体" w:cs="宋体"/>
                <w:spacing w:val="10"/>
                <w:position w:val="-1"/>
                <w:sz w:val="16"/>
                <w:szCs w:val="16"/>
              </w:rPr>
              <w:t xml:space="preserve">     </w:t>
            </w:r>
            <w:r>
              <w:rPr>
                <w:rFonts w:ascii="宋体" w:eastAsia="宋体" w:hAnsi="宋体" w:cs="宋体"/>
                <w:spacing w:val="-3"/>
                <w:position w:val="-1"/>
                <w:sz w:val="16"/>
                <w:szCs w:val="16"/>
              </w:rPr>
              <w:t>1.8</w:t>
            </w:r>
            <w:r>
              <w:rPr>
                <w:rFonts w:ascii="宋体" w:eastAsia="宋体" w:hAnsi="宋体" w:cs="宋体"/>
                <w:spacing w:val="17"/>
                <w:position w:val="-1"/>
                <w:sz w:val="16"/>
                <w:szCs w:val="16"/>
              </w:rPr>
              <w:t xml:space="preserve">    </w:t>
            </w:r>
            <w:r>
              <w:rPr>
                <w:rFonts w:ascii="宋体" w:eastAsia="宋体" w:hAnsi="宋体" w:cs="宋体"/>
                <w:spacing w:val="-3"/>
                <w:sz w:val="16"/>
                <w:szCs w:val="16"/>
              </w:rPr>
              <w:t>80(</w:t>
            </w:r>
            <w:r>
              <w:rPr>
                <w:rFonts w:ascii="宋体" w:eastAsia="宋体" w:hAnsi="宋体" w:cs="宋体"/>
                <w:spacing w:val="-2"/>
                <w:sz w:val="16"/>
                <w:szCs w:val="16"/>
              </w:rPr>
              <w:t>AI</w:t>
            </w:r>
            <w:r>
              <w:rPr>
                <w:rFonts w:ascii="宋体" w:eastAsia="宋体" w:hAnsi="宋体" w:cs="宋体"/>
                <w:spacing w:val="-3"/>
                <w:sz w:val="16"/>
                <w:szCs w:val="16"/>
              </w:rPr>
              <w:t>)</w:t>
            </w:r>
            <w:r>
              <w:rPr>
                <w:rFonts w:ascii="宋体" w:eastAsia="宋体" w:hAnsi="宋体" w:cs="宋体"/>
                <w:spacing w:val="9"/>
                <w:sz w:val="16"/>
                <w:szCs w:val="16"/>
              </w:rPr>
              <w:t xml:space="preserve">    </w:t>
            </w:r>
            <w:r>
              <w:rPr>
                <w:rFonts w:ascii="宋体" w:eastAsia="宋体" w:hAnsi="宋体" w:cs="宋体"/>
                <w:spacing w:val="-3"/>
                <w:sz w:val="16"/>
                <w:szCs w:val="16"/>
              </w:rPr>
              <w:t>3(</w:t>
            </w:r>
            <w:r>
              <w:rPr>
                <w:rFonts w:ascii="宋体" w:eastAsia="宋体" w:hAnsi="宋体" w:cs="宋体"/>
                <w:spacing w:val="-2"/>
                <w:sz w:val="16"/>
                <w:szCs w:val="16"/>
              </w:rPr>
              <w:t>AI</w:t>
            </w:r>
            <w:r>
              <w:rPr>
                <w:rFonts w:ascii="宋体" w:eastAsia="宋体" w:hAnsi="宋体" w:cs="宋体"/>
                <w:spacing w:val="-3"/>
                <w:sz w:val="16"/>
                <w:szCs w:val="16"/>
              </w:rPr>
              <w:t>)</w:t>
            </w:r>
          </w:p>
        </w:tc>
        <w:tc>
          <w:tcPr>
            <w:tcW w:w="602" w:type="dxa"/>
          </w:tcPr>
          <w:p w:rsidR="00EA40A3" w:rsidRDefault="00E86C16">
            <w:pPr>
              <w:spacing w:before="143" w:line="184" w:lineRule="auto"/>
              <w:ind w:left="195"/>
              <w:rPr>
                <w:rFonts w:ascii="宋体" w:eastAsia="宋体" w:hAnsi="宋体" w:cs="宋体"/>
                <w:sz w:val="16"/>
                <w:szCs w:val="16"/>
              </w:rPr>
            </w:pPr>
            <w:r>
              <w:rPr>
                <w:rFonts w:ascii="宋体" w:eastAsia="宋体" w:hAnsi="宋体" w:cs="宋体"/>
                <w:spacing w:val="-5"/>
                <w:sz w:val="16"/>
                <w:szCs w:val="16"/>
              </w:rPr>
              <w:t>150</w:t>
            </w:r>
          </w:p>
        </w:tc>
        <w:tc>
          <w:tcPr>
            <w:tcW w:w="324" w:type="dxa"/>
          </w:tcPr>
          <w:p w:rsidR="00EA40A3" w:rsidRDefault="00E86C16">
            <w:pPr>
              <w:spacing w:before="143" w:line="183" w:lineRule="auto"/>
              <w:ind w:left="213"/>
              <w:rPr>
                <w:rFonts w:ascii="宋体" w:eastAsia="宋体" w:hAnsi="宋体" w:cs="宋体"/>
                <w:sz w:val="16"/>
                <w:szCs w:val="16"/>
              </w:rPr>
            </w:pPr>
            <w:r>
              <w:rPr>
                <w:rFonts w:ascii="宋体" w:eastAsia="宋体" w:hAnsi="宋体" w:cs="宋体"/>
                <w:sz w:val="16"/>
                <w:szCs w:val="16"/>
              </w:rPr>
              <w:t>6</w:t>
            </w:r>
          </w:p>
        </w:tc>
      </w:tr>
      <w:tr w:rsidR="00EA40A3">
        <w:trPr>
          <w:trHeight w:val="380"/>
        </w:trPr>
        <w:tc>
          <w:tcPr>
            <w:tcW w:w="9755" w:type="dxa"/>
          </w:tcPr>
          <w:p w:rsidR="00EA40A3" w:rsidRDefault="00E86C16">
            <w:pPr>
              <w:spacing w:before="105" w:line="216" w:lineRule="auto"/>
              <w:ind w:left="80"/>
              <w:rPr>
                <w:rFonts w:ascii="宋体" w:eastAsia="宋体" w:hAnsi="宋体" w:cs="宋体"/>
                <w:sz w:val="16"/>
                <w:szCs w:val="16"/>
              </w:rPr>
            </w:pPr>
            <w:r>
              <w:rPr>
                <w:rFonts w:ascii="宋体" w:eastAsia="宋体" w:hAnsi="宋体" w:cs="宋体"/>
                <w:spacing w:val="-4"/>
                <w:position w:val="1"/>
                <w:sz w:val="16"/>
                <w:szCs w:val="16"/>
              </w:rPr>
              <w:t>1～</w:t>
            </w:r>
            <w:r>
              <w:rPr>
                <w:rFonts w:ascii="宋体" w:eastAsia="宋体" w:hAnsi="宋体" w:cs="宋体"/>
                <w:spacing w:val="2"/>
                <w:position w:val="1"/>
                <w:sz w:val="16"/>
                <w:szCs w:val="16"/>
              </w:rPr>
              <w:t xml:space="preserve">      </w:t>
            </w:r>
            <w:r>
              <w:rPr>
                <w:rFonts w:ascii="宋体" w:eastAsia="宋体" w:hAnsi="宋体" w:cs="宋体"/>
                <w:spacing w:val="-4"/>
                <w:position w:val="1"/>
                <w:sz w:val="16"/>
                <w:szCs w:val="16"/>
              </w:rPr>
              <w:t>400(AI)</w:t>
            </w:r>
            <w:r>
              <w:rPr>
                <w:rFonts w:ascii="宋体" w:eastAsia="宋体" w:hAnsi="宋体" w:cs="宋体"/>
                <w:spacing w:val="11"/>
                <w:position w:val="1"/>
                <w:sz w:val="16"/>
                <w:szCs w:val="16"/>
              </w:rPr>
              <w:t xml:space="preserve">      </w:t>
            </w:r>
            <w:r>
              <w:rPr>
                <w:rFonts w:ascii="宋体" w:eastAsia="宋体" w:hAnsi="宋体" w:cs="宋体"/>
                <w:spacing w:val="-4"/>
                <w:position w:val="-1"/>
                <w:sz w:val="16"/>
                <w:szCs w:val="16"/>
              </w:rPr>
              <w:t>10</w:t>
            </w:r>
            <w:r>
              <w:rPr>
                <w:rFonts w:ascii="宋体" w:eastAsia="宋体" w:hAnsi="宋体" w:cs="宋体"/>
                <w:spacing w:val="6"/>
                <w:position w:val="-1"/>
                <w:sz w:val="16"/>
                <w:szCs w:val="16"/>
              </w:rPr>
              <w:t xml:space="preserve">        </w:t>
            </w:r>
            <w:r>
              <w:rPr>
                <w:rFonts w:ascii="宋体" w:eastAsia="宋体" w:hAnsi="宋体" w:cs="宋体"/>
                <w:spacing w:val="-4"/>
                <w:sz w:val="16"/>
                <w:szCs w:val="16"/>
              </w:rPr>
              <w:t>4</w:t>
            </w:r>
            <w:r>
              <w:rPr>
                <w:rFonts w:ascii="宋体" w:eastAsia="宋体" w:hAnsi="宋体" w:cs="宋体"/>
                <w:spacing w:val="4"/>
                <w:sz w:val="16"/>
                <w:szCs w:val="16"/>
              </w:rPr>
              <w:t xml:space="preserve">         </w:t>
            </w:r>
            <w:r>
              <w:rPr>
                <w:rFonts w:ascii="宋体" w:eastAsia="宋体" w:hAnsi="宋体" w:cs="宋体"/>
                <w:spacing w:val="-4"/>
                <w:sz w:val="16"/>
                <w:szCs w:val="16"/>
              </w:rPr>
              <w:t>0.6</w:t>
            </w:r>
            <w:r>
              <w:rPr>
                <w:rFonts w:ascii="宋体" w:eastAsia="宋体" w:hAnsi="宋体" w:cs="宋体"/>
                <w:spacing w:val="2"/>
                <w:sz w:val="16"/>
                <w:szCs w:val="16"/>
              </w:rPr>
              <w:t xml:space="preserve">          </w:t>
            </w:r>
            <w:r>
              <w:rPr>
                <w:rFonts w:ascii="宋体" w:eastAsia="宋体" w:hAnsi="宋体" w:cs="宋体"/>
                <w:spacing w:val="-4"/>
                <w:position w:val="-1"/>
                <w:sz w:val="16"/>
                <w:szCs w:val="16"/>
              </w:rPr>
              <w:t>0.6</w:t>
            </w:r>
            <w:r>
              <w:rPr>
                <w:rFonts w:ascii="宋体" w:eastAsia="宋体" w:hAnsi="宋体" w:cs="宋体"/>
                <w:spacing w:val="6"/>
                <w:position w:val="-1"/>
                <w:sz w:val="16"/>
                <w:szCs w:val="16"/>
              </w:rPr>
              <w:t xml:space="preserve">        </w:t>
            </w:r>
            <w:r>
              <w:rPr>
                <w:rFonts w:ascii="宋体" w:eastAsia="宋体" w:hAnsi="宋体" w:cs="宋体"/>
                <w:spacing w:val="-4"/>
                <w:position w:val="-1"/>
                <w:sz w:val="16"/>
                <w:szCs w:val="16"/>
              </w:rPr>
              <w:t>0.5</w:t>
            </w:r>
            <w:r>
              <w:rPr>
                <w:rFonts w:ascii="宋体" w:eastAsia="宋体" w:hAnsi="宋体" w:cs="宋体"/>
                <w:spacing w:val="11"/>
                <w:position w:val="-1"/>
                <w:sz w:val="16"/>
                <w:szCs w:val="16"/>
              </w:rPr>
              <w:t xml:space="preserve">      </w:t>
            </w:r>
            <w:r>
              <w:rPr>
                <w:rFonts w:ascii="宋体" w:eastAsia="宋体" w:hAnsi="宋体" w:cs="宋体"/>
                <w:spacing w:val="-4"/>
                <w:position w:val="-1"/>
                <w:sz w:val="16"/>
                <w:szCs w:val="16"/>
              </w:rPr>
              <w:t>0.9</w:t>
            </w:r>
            <w:r>
              <w:rPr>
                <w:rFonts w:ascii="宋体" w:eastAsia="宋体" w:hAnsi="宋体" w:cs="宋体"/>
                <w:spacing w:val="10"/>
                <w:position w:val="-1"/>
                <w:sz w:val="16"/>
                <w:szCs w:val="16"/>
              </w:rPr>
              <w:t xml:space="preserve">     </w:t>
            </w:r>
            <w:r>
              <w:rPr>
                <w:rFonts w:ascii="宋体" w:eastAsia="宋体" w:hAnsi="宋体" w:cs="宋体"/>
                <w:spacing w:val="-4"/>
                <w:sz w:val="16"/>
                <w:szCs w:val="16"/>
              </w:rPr>
              <w:t>60</w:t>
            </w:r>
            <w:r>
              <w:rPr>
                <w:rFonts w:ascii="宋体" w:eastAsia="宋体" w:hAnsi="宋体" w:cs="宋体"/>
                <w:spacing w:val="9"/>
                <w:sz w:val="16"/>
                <w:szCs w:val="16"/>
              </w:rPr>
              <w:t xml:space="preserve">     </w:t>
            </w:r>
            <w:r>
              <w:rPr>
                <w:rFonts w:ascii="宋体" w:eastAsia="宋体" w:hAnsi="宋体" w:cs="宋体"/>
                <w:spacing w:val="-4"/>
                <w:position w:val="-2"/>
                <w:sz w:val="16"/>
                <w:szCs w:val="16"/>
              </w:rPr>
              <w:t>2.0</w:t>
            </w:r>
            <w:r>
              <w:rPr>
                <w:rFonts w:ascii="宋体" w:eastAsia="宋体" w:hAnsi="宋体" w:cs="宋体"/>
                <w:spacing w:val="15"/>
                <w:position w:val="-2"/>
                <w:sz w:val="16"/>
                <w:szCs w:val="16"/>
              </w:rPr>
              <w:t xml:space="preserve">    </w:t>
            </w:r>
            <w:r>
              <w:rPr>
                <w:rFonts w:ascii="宋体" w:eastAsia="宋体" w:hAnsi="宋体" w:cs="宋体"/>
                <w:spacing w:val="-4"/>
                <w:sz w:val="16"/>
                <w:szCs w:val="16"/>
              </w:rPr>
              <w:t>150</w:t>
            </w:r>
            <w:r>
              <w:rPr>
                <w:rFonts w:ascii="宋体" w:eastAsia="宋体" w:hAnsi="宋体" w:cs="宋体"/>
                <w:spacing w:val="5"/>
                <w:sz w:val="16"/>
                <w:szCs w:val="16"/>
              </w:rPr>
              <w:t xml:space="preserve">         </w:t>
            </w:r>
            <w:r>
              <w:rPr>
                <w:rFonts w:ascii="宋体" w:eastAsia="宋体" w:hAnsi="宋体" w:cs="宋体"/>
                <w:spacing w:val="-4"/>
                <w:position w:val="1"/>
                <w:sz w:val="16"/>
                <w:szCs w:val="16"/>
              </w:rPr>
              <w:t>6</w:t>
            </w:r>
          </w:p>
        </w:tc>
        <w:tc>
          <w:tcPr>
            <w:tcW w:w="602" w:type="dxa"/>
          </w:tcPr>
          <w:p w:rsidR="00EA40A3" w:rsidRDefault="00E86C16">
            <w:pPr>
              <w:spacing w:before="143" w:line="183" w:lineRule="auto"/>
              <w:ind w:left="195"/>
              <w:rPr>
                <w:rFonts w:ascii="宋体" w:eastAsia="宋体" w:hAnsi="宋体" w:cs="宋体"/>
                <w:sz w:val="16"/>
                <w:szCs w:val="16"/>
              </w:rPr>
            </w:pPr>
            <w:r>
              <w:rPr>
                <w:rFonts w:ascii="宋体" w:eastAsia="宋体" w:hAnsi="宋体" w:cs="宋体"/>
                <w:spacing w:val="-2"/>
                <w:sz w:val="16"/>
                <w:szCs w:val="16"/>
              </w:rPr>
              <w:t>200</w:t>
            </w:r>
          </w:p>
        </w:tc>
        <w:tc>
          <w:tcPr>
            <w:tcW w:w="324" w:type="dxa"/>
          </w:tcPr>
          <w:p w:rsidR="00EA40A3" w:rsidRDefault="00E86C16">
            <w:pPr>
              <w:spacing w:before="143" w:line="183" w:lineRule="auto"/>
              <w:ind w:left="213"/>
              <w:rPr>
                <w:rFonts w:ascii="宋体" w:eastAsia="宋体" w:hAnsi="宋体" w:cs="宋体"/>
                <w:sz w:val="16"/>
                <w:szCs w:val="16"/>
              </w:rPr>
            </w:pPr>
            <w:r>
              <w:rPr>
                <w:rFonts w:ascii="宋体" w:eastAsia="宋体" w:hAnsi="宋体" w:cs="宋体"/>
                <w:sz w:val="16"/>
                <w:szCs w:val="16"/>
              </w:rPr>
              <w:t>8</w:t>
            </w:r>
          </w:p>
        </w:tc>
      </w:tr>
      <w:tr w:rsidR="00EA40A3">
        <w:trPr>
          <w:trHeight w:val="355"/>
        </w:trPr>
        <w:tc>
          <w:tcPr>
            <w:tcW w:w="9755" w:type="dxa"/>
          </w:tcPr>
          <w:p w:rsidR="00EA40A3" w:rsidRDefault="00E86C16">
            <w:pPr>
              <w:spacing w:before="103" w:line="195" w:lineRule="auto"/>
              <w:ind w:left="80"/>
              <w:rPr>
                <w:rFonts w:ascii="宋体" w:eastAsia="宋体" w:hAnsi="宋体" w:cs="宋体"/>
                <w:sz w:val="16"/>
                <w:szCs w:val="16"/>
              </w:rPr>
            </w:pPr>
            <w:r>
              <w:rPr>
                <w:rFonts w:ascii="宋体" w:eastAsia="宋体" w:hAnsi="宋体" w:cs="宋体"/>
                <w:spacing w:val="-4"/>
                <w:sz w:val="16"/>
                <w:szCs w:val="16"/>
              </w:rPr>
              <w:t>4～</w:t>
            </w:r>
            <w:r>
              <w:rPr>
                <w:rFonts w:ascii="宋体" w:eastAsia="宋体" w:hAnsi="宋体" w:cs="宋体"/>
                <w:spacing w:val="11"/>
                <w:sz w:val="16"/>
                <w:szCs w:val="16"/>
              </w:rPr>
              <w:t xml:space="preserve">       </w:t>
            </w:r>
            <w:r>
              <w:rPr>
                <w:rFonts w:ascii="宋体" w:eastAsia="宋体" w:hAnsi="宋体" w:cs="宋体"/>
                <w:spacing w:val="-4"/>
                <w:sz w:val="16"/>
                <w:szCs w:val="16"/>
              </w:rPr>
              <w:t>500</w:t>
            </w:r>
            <w:r>
              <w:rPr>
                <w:rFonts w:ascii="宋体" w:eastAsia="宋体" w:hAnsi="宋体" w:cs="宋体"/>
                <w:spacing w:val="8"/>
                <w:sz w:val="16"/>
                <w:szCs w:val="16"/>
              </w:rPr>
              <w:t xml:space="preserve">        </w:t>
            </w:r>
            <w:r>
              <w:rPr>
                <w:rFonts w:ascii="宋体" w:eastAsia="宋体" w:hAnsi="宋体" w:cs="宋体"/>
                <w:spacing w:val="-4"/>
                <w:sz w:val="16"/>
                <w:szCs w:val="16"/>
              </w:rPr>
              <w:t>10</w:t>
            </w:r>
            <w:r>
              <w:rPr>
                <w:rFonts w:ascii="宋体" w:eastAsia="宋体" w:hAnsi="宋体" w:cs="宋体"/>
                <w:spacing w:val="6"/>
                <w:sz w:val="16"/>
                <w:szCs w:val="16"/>
              </w:rPr>
              <w:t xml:space="preserve">        </w:t>
            </w:r>
            <w:r>
              <w:rPr>
                <w:rFonts w:ascii="宋体" w:eastAsia="宋体" w:hAnsi="宋体" w:cs="宋体"/>
                <w:spacing w:val="-4"/>
                <w:sz w:val="16"/>
                <w:szCs w:val="16"/>
              </w:rPr>
              <w:t>5</w:t>
            </w:r>
            <w:r>
              <w:rPr>
                <w:rFonts w:ascii="宋体" w:eastAsia="宋体" w:hAnsi="宋体" w:cs="宋体"/>
                <w:spacing w:val="5"/>
                <w:sz w:val="16"/>
                <w:szCs w:val="16"/>
              </w:rPr>
              <w:t xml:space="preserve">         </w:t>
            </w:r>
            <w:r>
              <w:rPr>
                <w:rFonts w:ascii="宋体" w:eastAsia="宋体" w:hAnsi="宋体" w:cs="宋体"/>
                <w:spacing w:val="-4"/>
                <w:sz w:val="16"/>
                <w:szCs w:val="16"/>
              </w:rPr>
              <w:t>0.7</w:t>
            </w:r>
            <w:r>
              <w:rPr>
                <w:rFonts w:ascii="宋体" w:eastAsia="宋体" w:hAnsi="宋体" w:cs="宋体"/>
                <w:spacing w:val="1"/>
                <w:sz w:val="16"/>
                <w:szCs w:val="16"/>
              </w:rPr>
              <w:t xml:space="preserve">          </w:t>
            </w:r>
            <w:r>
              <w:rPr>
                <w:rFonts w:ascii="宋体" w:eastAsia="宋体" w:hAnsi="宋体" w:cs="宋体"/>
                <w:spacing w:val="-4"/>
                <w:position w:val="1"/>
                <w:sz w:val="16"/>
                <w:szCs w:val="16"/>
              </w:rPr>
              <w:t>0.7</w:t>
            </w:r>
            <w:r>
              <w:rPr>
                <w:rFonts w:ascii="宋体" w:eastAsia="宋体" w:hAnsi="宋体" w:cs="宋体"/>
                <w:spacing w:val="6"/>
                <w:position w:val="1"/>
                <w:sz w:val="16"/>
                <w:szCs w:val="16"/>
              </w:rPr>
              <w:t xml:space="preserve">        </w:t>
            </w:r>
            <w:r>
              <w:rPr>
                <w:rFonts w:ascii="宋体" w:eastAsia="宋体" w:hAnsi="宋体" w:cs="宋体"/>
                <w:spacing w:val="-4"/>
                <w:sz w:val="16"/>
                <w:szCs w:val="16"/>
              </w:rPr>
              <w:t>0.6</w:t>
            </w:r>
            <w:r>
              <w:rPr>
                <w:rFonts w:ascii="宋体" w:eastAsia="宋体" w:hAnsi="宋体" w:cs="宋体"/>
                <w:spacing w:val="12"/>
                <w:sz w:val="16"/>
                <w:szCs w:val="16"/>
              </w:rPr>
              <w:t xml:space="preserve">      </w:t>
            </w:r>
            <w:r>
              <w:rPr>
                <w:rFonts w:ascii="宋体" w:eastAsia="宋体" w:hAnsi="宋体" w:cs="宋体"/>
                <w:spacing w:val="-4"/>
                <w:sz w:val="16"/>
                <w:szCs w:val="16"/>
              </w:rPr>
              <w:t>1.2</w:t>
            </w:r>
            <w:r>
              <w:rPr>
                <w:rFonts w:ascii="宋体" w:eastAsia="宋体" w:hAnsi="宋体" w:cs="宋体"/>
                <w:spacing w:val="12"/>
                <w:sz w:val="16"/>
                <w:szCs w:val="16"/>
              </w:rPr>
              <w:t xml:space="preserve">     </w:t>
            </w:r>
            <w:r>
              <w:rPr>
                <w:rFonts w:ascii="宋体" w:eastAsia="宋体" w:hAnsi="宋体" w:cs="宋体"/>
                <w:spacing w:val="-4"/>
                <w:sz w:val="16"/>
                <w:szCs w:val="16"/>
              </w:rPr>
              <w:t>7</w:t>
            </w:r>
            <w:r>
              <w:rPr>
                <w:rFonts w:ascii="宋体" w:eastAsia="宋体" w:hAnsi="宋体" w:cs="宋体"/>
                <w:spacing w:val="-5"/>
                <w:sz w:val="16"/>
                <w:szCs w:val="16"/>
              </w:rPr>
              <w:t>0</w:t>
            </w:r>
            <w:r>
              <w:rPr>
                <w:rFonts w:ascii="宋体" w:eastAsia="宋体" w:hAnsi="宋体" w:cs="宋体"/>
                <w:spacing w:val="10"/>
                <w:sz w:val="16"/>
                <w:szCs w:val="16"/>
              </w:rPr>
              <w:t xml:space="preserve">     </w:t>
            </w:r>
            <w:r>
              <w:rPr>
                <w:rFonts w:ascii="宋体" w:eastAsia="宋体" w:hAnsi="宋体" w:cs="宋体"/>
                <w:spacing w:val="-5"/>
                <w:position w:val="-1"/>
                <w:sz w:val="16"/>
                <w:szCs w:val="16"/>
              </w:rPr>
              <w:t>3.0</w:t>
            </w:r>
            <w:r>
              <w:rPr>
                <w:rFonts w:ascii="宋体" w:eastAsia="宋体" w:hAnsi="宋体" w:cs="宋体"/>
                <w:spacing w:val="15"/>
                <w:position w:val="-1"/>
                <w:sz w:val="16"/>
                <w:szCs w:val="16"/>
              </w:rPr>
              <w:t xml:space="preserve">    </w:t>
            </w:r>
            <w:r>
              <w:rPr>
                <w:rFonts w:ascii="宋体" w:eastAsia="宋体" w:hAnsi="宋体" w:cs="宋体"/>
                <w:spacing w:val="-5"/>
                <w:sz w:val="16"/>
                <w:szCs w:val="16"/>
              </w:rPr>
              <w:t>200</w:t>
            </w:r>
            <w:r>
              <w:rPr>
                <w:rFonts w:ascii="宋体" w:eastAsia="宋体" w:hAnsi="宋体" w:cs="宋体"/>
                <w:spacing w:val="4"/>
                <w:sz w:val="16"/>
                <w:szCs w:val="16"/>
              </w:rPr>
              <w:t xml:space="preserve">         </w:t>
            </w:r>
            <w:r>
              <w:rPr>
                <w:rFonts w:ascii="宋体" w:eastAsia="宋体" w:hAnsi="宋体" w:cs="宋体"/>
                <w:spacing w:val="-5"/>
                <w:position w:val="1"/>
                <w:sz w:val="16"/>
                <w:szCs w:val="16"/>
              </w:rPr>
              <w:t>7</w:t>
            </w:r>
          </w:p>
        </w:tc>
        <w:tc>
          <w:tcPr>
            <w:tcW w:w="602" w:type="dxa"/>
          </w:tcPr>
          <w:p w:rsidR="00EA40A3" w:rsidRDefault="00E86C16">
            <w:pPr>
              <w:spacing w:before="123" w:line="183" w:lineRule="auto"/>
              <w:ind w:left="195"/>
              <w:rPr>
                <w:rFonts w:ascii="宋体" w:eastAsia="宋体" w:hAnsi="宋体" w:cs="宋体"/>
                <w:sz w:val="16"/>
                <w:szCs w:val="16"/>
              </w:rPr>
            </w:pPr>
            <w:r>
              <w:rPr>
                <w:rFonts w:ascii="宋体" w:eastAsia="宋体" w:hAnsi="宋体" w:cs="宋体"/>
                <w:spacing w:val="-2"/>
                <w:sz w:val="16"/>
                <w:szCs w:val="16"/>
              </w:rPr>
              <w:t>250</w:t>
            </w:r>
          </w:p>
        </w:tc>
        <w:tc>
          <w:tcPr>
            <w:tcW w:w="324" w:type="dxa"/>
          </w:tcPr>
          <w:p w:rsidR="00EA40A3" w:rsidRDefault="00E86C16">
            <w:pPr>
              <w:spacing w:before="123" w:line="184" w:lineRule="auto"/>
              <w:ind w:left="173"/>
              <w:rPr>
                <w:rFonts w:ascii="宋体" w:eastAsia="宋体" w:hAnsi="宋体" w:cs="宋体"/>
                <w:sz w:val="16"/>
                <w:szCs w:val="16"/>
              </w:rPr>
            </w:pPr>
            <w:r>
              <w:rPr>
                <w:rFonts w:ascii="宋体" w:eastAsia="宋体" w:hAnsi="宋体" w:cs="宋体"/>
                <w:spacing w:val="-10"/>
                <w:sz w:val="16"/>
                <w:szCs w:val="16"/>
              </w:rPr>
              <w:t>12</w:t>
            </w:r>
          </w:p>
        </w:tc>
      </w:tr>
      <w:tr w:rsidR="00EA40A3">
        <w:trPr>
          <w:trHeight w:val="355"/>
        </w:trPr>
        <w:tc>
          <w:tcPr>
            <w:tcW w:w="9755" w:type="dxa"/>
          </w:tcPr>
          <w:p w:rsidR="00EA40A3" w:rsidRDefault="00E86C16">
            <w:pPr>
              <w:spacing w:before="108" w:line="195" w:lineRule="auto"/>
              <w:ind w:left="80"/>
              <w:rPr>
                <w:rFonts w:ascii="宋体" w:eastAsia="宋体" w:hAnsi="宋体" w:cs="宋体"/>
                <w:sz w:val="16"/>
                <w:szCs w:val="16"/>
              </w:rPr>
            </w:pPr>
            <w:r>
              <w:rPr>
                <w:rFonts w:ascii="宋体" w:eastAsia="宋体" w:hAnsi="宋体" w:cs="宋体"/>
                <w:spacing w:val="-5"/>
                <w:sz w:val="16"/>
                <w:szCs w:val="16"/>
              </w:rPr>
              <w:t>7～</w:t>
            </w:r>
            <w:r>
              <w:rPr>
                <w:rFonts w:ascii="宋体" w:eastAsia="宋体" w:hAnsi="宋体" w:cs="宋体"/>
                <w:spacing w:val="2"/>
                <w:sz w:val="16"/>
                <w:szCs w:val="16"/>
              </w:rPr>
              <w:t xml:space="preserve">        </w:t>
            </w:r>
            <w:r>
              <w:rPr>
                <w:rFonts w:ascii="宋体" w:eastAsia="宋体" w:hAnsi="宋体" w:cs="宋体"/>
                <w:spacing w:val="-5"/>
                <w:sz w:val="16"/>
                <w:szCs w:val="16"/>
              </w:rPr>
              <w:t>600</w:t>
            </w:r>
            <w:r>
              <w:rPr>
                <w:rFonts w:ascii="宋体" w:eastAsia="宋体" w:hAnsi="宋体" w:cs="宋体"/>
                <w:spacing w:val="8"/>
                <w:sz w:val="16"/>
                <w:szCs w:val="16"/>
              </w:rPr>
              <w:t xml:space="preserve">        </w:t>
            </w:r>
            <w:r>
              <w:rPr>
                <w:rFonts w:ascii="宋体" w:eastAsia="宋体" w:hAnsi="宋体" w:cs="宋体"/>
                <w:spacing w:val="-5"/>
                <w:sz w:val="16"/>
                <w:szCs w:val="16"/>
              </w:rPr>
              <w:t>10</w:t>
            </w:r>
            <w:r>
              <w:rPr>
                <w:rFonts w:ascii="宋体" w:eastAsia="宋体" w:hAnsi="宋体" w:cs="宋体"/>
                <w:spacing w:val="6"/>
                <w:sz w:val="16"/>
                <w:szCs w:val="16"/>
              </w:rPr>
              <w:t xml:space="preserve">        </w:t>
            </w:r>
            <w:r>
              <w:rPr>
                <w:rFonts w:ascii="宋体" w:eastAsia="宋体" w:hAnsi="宋体" w:cs="宋体"/>
                <w:spacing w:val="-5"/>
                <w:position w:val="1"/>
                <w:sz w:val="16"/>
                <w:szCs w:val="16"/>
              </w:rPr>
              <w:t>7</w:t>
            </w:r>
            <w:r>
              <w:rPr>
                <w:rFonts w:ascii="宋体" w:eastAsia="宋体" w:hAnsi="宋体" w:cs="宋体"/>
                <w:spacing w:val="4"/>
                <w:position w:val="1"/>
                <w:sz w:val="16"/>
                <w:szCs w:val="16"/>
              </w:rPr>
              <w:t xml:space="preserve">         </w:t>
            </w:r>
            <w:r>
              <w:rPr>
                <w:rFonts w:ascii="宋体" w:eastAsia="宋体" w:hAnsi="宋体" w:cs="宋体"/>
                <w:spacing w:val="-5"/>
                <w:sz w:val="16"/>
                <w:szCs w:val="16"/>
              </w:rPr>
              <w:t>0.9</w:t>
            </w:r>
            <w:r>
              <w:rPr>
                <w:rFonts w:ascii="宋体" w:eastAsia="宋体" w:hAnsi="宋体" w:cs="宋体"/>
                <w:spacing w:val="2"/>
                <w:sz w:val="16"/>
                <w:szCs w:val="16"/>
              </w:rPr>
              <w:t xml:space="preserve">          </w:t>
            </w:r>
            <w:r>
              <w:rPr>
                <w:rFonts w:ascii="宋体" w:eastAsia="宋体" w:hAnsi="宋体" w:cs="宋体"/>
                <w:spacing w:val="-5"/>
                <w:sz w:val="16"/>
                <w:szCs w:val="16"/>
              </w:rPr>
              <w:t>1.0</w:t>
            </w:r>
            <w:r>
              <w:rPr>
                <w:rFonts w:ascii="宋体" w:eastAsia="宋体" w:hAnsi="宋体" w:cs="宋体"/>
                <w:spacing w:val="7"/>
                <w:sz w:val="16"/>
                <w:szCs w:val="16"/>
              </w:rPr>
              <w:t xml:space="preserve">        </w:t>
            </w:r>
            <w:r>
              <w:rPr>
                <w:rFonts w:ascii="宋体" w:eastAsia="宋体" w:hAnsi="宋体" w:cs="宋体"/>
                <w:spacing w:val="-5"/>
                <w:position w:val="1"/>
                <w:sz w:val="16"/>
                <w:szCs w:val="16"/>
              </w:rPr>
              <w:t>0.7</w:t>
            </w:r>
            <w:r>
              <w:rPr>
                <w:rFonts w:ascii="宋体" w:eastAsia="宋体" w:hAnsi="宋体" w:cs="宋体"/>
                <w:spacing w:val="12"/>
                <w:position w:val="1"/>
                <w:sz w:val="16"/>
                <w:szCs w:val="16"/>
              </w:rPr>
              <w:t xml:space="preserve">      </w:t>
            </w:r>
            <w:r>
              <w:rPr>
                <w:rFonts w:ascii="宋体" w:eastAsia="宋体" w:hAnsi="宋体" w:cs="宋体"/>
                <w:spacing w:val="-5"/>
                <w:position w:val="1"/>
                <w:sz w:val="16"/>
                <w:szCs w:val="16"/>
              </w:rPr>
              <w:t>1.2</w:t>
            </w:r>
            <w:r>
              <w:rPr>
                <w:rFonts w:ascii="宋体" w:eastAsia="宋体" w:hAnsi="宋体" w:cs="宋体"/>
                <w:spacing w:val="12"/>
                <w:position w:val="1"/>
                <w:sz w:val="16"/>
                <w:szCs w:val="16"/>
              </w:rPr>
              <w:t xml:space="preserve">     </w:t>
            </w:r>
            <w:r>
              <w:rPr>
                <w:rFonts w:ascii="宋体" w:eastAsia="宋体" w:hAnsi="宋体" w:cs="宋体"/>
                <w:spacing w:val="-5"/>
                <w:sz w:val="16"/>
                <w:szCs w:val="16"/>
              </w:rPr>
              <w:t>80</w:t>
            </w:r>
            <w:r>
              <w:rPr>
                <w:rFonts w:ascii="宋体" w:eastAsia="宋体" w:hAnsi="宋体" w:cs="宋体"/>
                <w:spacing w:val="9"/>
                <w:sz w:val="16"/>
                <w:szCs w:val="16"/>
              </w:rPr>
              <w:t xml:space="preserve">     </w:t>
            </w:r>
            <w:r>
              <w:rPr>
                <w:rFonts w:ascii="宋体" w:eastAsia="宋体" w:hAnsi="宋体" w:cs="宋体"/>
                <w:spacing w:val="-5"/>
                <w:position w:val="-1"/>
                <w:sz w:val="16"/>
                <w:szCs w:val="16"/>
              </w:rPr>
              <w:t>4.0</w:t>
            </w:r>
            <w:r>
              <w:rPr>
                <w:rFonts w:ascii="宋体" w:eastAsia="宋体" w:hAnsi="宋体" w:cs="宋体"/>
                <w:spacing w:val="14"/>
                <w:position w:val="-1"/>
                <w:sz w:val="16"/>
                <w:szCs w:val="16"/>
              </w:rPr>
              <w:t xml:space="preserve">    </w:t>
            </w:r>
            <w:r>
              <w:rPr>
                <w:rFonts w:ascii="宋体" w:eastAsia="宋体" w:hAnsi="宋体" w:cs="宋体"/>
                <w:spacing w:val="-5"/>
                <w:sz w:val="16"/>
                <w:szCs w:val="16"/>
              </w:rPr>
              <w:t>200</w:t>
            </w:r>
            <w:r>
              <w:rPr>
                <w:rFonts w:ascii="宋体" w:eastAsia="宋体" w:hAnsi="宋体" w:cs="宋体"/>
                <w:spacing w:val="4"/>
                <w:sz w:val="16"/>
                <w:szCs w:val="16"/>
              </w:rPr>
              <w:t xml:space="preserve">         </w:t>
            </w:r>
            <w:r>
              <w:rPr>
                <w:rFonts w:ascii="宋体" w:eastAsia="宋体" w:hAnsi="宋体" w:cs="宋体"/>
                <w:spacing w:val="-5"/>
                <w:position w:val="1"/>
                <w:sz w:val="16"/>
                <w:szCs w:val="16"/>
              </w:rPr>
              <w:t>9</w:t>
            </w:r>
          </w:p>
        </w:tc>
        <w:tc>
          <w:tcPr>
            <w:tcW w:w="602" w:type="dxa"/>
          </w:tcPr>
          <w:p w:rsidR="00EA40A3" w:rsidRDefault="00E86C16">
            <w:pPr>
              <w:spacing w:before="128" w:line="183" w:lineRule="auto"/>
              <w:ind w:left="195"/>
              <w:rPr>
                <w:rFonts w:ascii="宋体" w:eastAsia="宋体" w:hAnsi="宋体" w:cs="宋体"/>
                <w:sz w:val="16"/>
                <w:szCs w:val="16"/>
              </w:rPr>
            </w:pPr>
            <w:r>
              <w:rPr>
                <w:rFonts w:ascii="宋体" w:eastAsia="宋体" w:hAnsi="宋体" w:cs="宋体"/>
                <w:spacing w:val="-3"/>
                <w:sz w:val="16"/>
                <w:szCs w:val="16"/>
              </w:rPr>
              <w:t>300</w:t>
            </w:r>
          </w:p>
        </w:tc>
        <w:tc>
          <w:tcPr>
            <w:tcW w:w="324" w:type="dxa"/>
          </w:tcPr>
          <w:p w:rsidR="00EA40A3" w:rsidRDefault="00E86C16">
            <w:pPr>
              <w:spacing w:before="118" w:line="184" w:lineRule="auto"/>
              <w:ind w:left="173"/>
              <w:rPr>
                <w:rFonts w:ascii="宋体" w:eastAsia="宋体" w:hAnsi="宋体" w:cs="宋体"/>
                <w:sz w:val="16"/>
                <w:szCs w:val="16"/>
              </w:rPr>
            </w:pPr>
            <w:r>
              <w:rPr>
                <w:rFonts w:ascii="宋体" w:eastAsia="宋体" w:hAnsi="宋体" w:cs="宋体"/>
                <w:spacing w:val="-10"/>
                <w:sz w:val="16"/>
                <w:szCs w:val="16"/>
              </w:rPr>
              <w:t>16</w:t>
            </w:r>
          </w:p>
        </w:tc>
      </w:tr>
      <w:tr w:rsidR="00EA40A3">
        <w:trPr>
          <w:trHeight w:val="339"/>
        </w:trPr>
        <w:tc>
          <w:tcPr>
            <w:tcW w:w="9755" w:type="dxa"/>
          </w:tcPr>
          <w:p w:rsidR="00EA40A3" w:rsidRDefault="00E86C16">
            <w:pPr>
              <w:spacing w:before="103" w:line="195" w:lineRule="auto"/>
              <w:ind w:left="40"/>
              <w:rPr>
                <w:rFonts w:ascii="宋体" w:eastAsia="宋体" w:hAnsi="宋体" w:cs="宋体"/>
                <w:sz w:val="16"/>
                <w:szCs w:val="16"/>
              </w:rPr>
            </w:pPr>
            <w:r>
              <w:rPr>
                <w:rFonts w:ascii="宋体" w:eastAsia="宋体" w:hAnsi="宋体" w:cs="宋体"/>
                <w:spacing w:val="-5"/>
                <w:sz w:val="16"/>
                <w:szCs w:val="16"/>
              </w:rPr>
              <w:t>11～</w:t>
            </w:r>
            <w:r>
              <w:rPr>
                <w:rFonts w:ascii="宋体" w:eastAsia="宋体" w:hAnsi="宋体" w:cs="宋体"/>
                <w:spacing w:val="7"/>
                <w:sz w:val="16"/>
                <w:szCs w:val="16"/>
              </w:rPr>
              <w:t xml:space="preserve">       </w:t>
            </w:r>
            <w:r>
              <w:rPr>
                <w:rFonts w:ascii="宋体" w:eastAsia="宋体" w:hAnsi="宋体" w:cs="宋体"/>
                <w:spacing w:val="-5"/>
                <w:sz w:val="16"/>
                <w:szCs w:val="16"/>
              </w:rPr>
              <w:t>700</w:t>
            </w:r>
            <w:r>
              <w:rPr>
                <w:rFonts w:ascii="宋体" w:eastAsia="宋体" w:hAnsi="宋体" w:cs="宋体"/>
                <w:spacing w:val="3"/>
                <w:sz w:val="16"/>
                <w:szCs w:val="16"/>
              </w:rPr>
              <w:t xml:space="preserve">         </w:t>
            </w:r>
            <w:r>
              <w:rPr>
                <w:rFonts w:ascii="宋体" w:eastAsia="宋体" w:hAnsi="宋体" w:cs="宋体"/>
                <w:spacing w:val="-5"/>
                <w:sz w:val="16"/>
                <w:szCs w:val="16"/>
              </w:rPr>
              <w:t>5</w:t>
            </w:r>
            <w:r>
              <w:rPr>
                <w:rFonts w:ascii="宋体" w:eastAsia="宋体" w:hAnsi="宋体" w:cs="宋体"/>
                <w:spacing w:val="5"/>
                <w:sz w:val="16"/>
                <w:szCs w:val="16"/>
              </w:rPr>
              <w:t xml:space="preserve">        </w:t>
            </w:r>
            <w:r>
              <w:rPr>
                <w:rFonts w:ascii="宋体" w:eastAsia="宋体" w:hAnsi="宋体" w:cs="宋体"/>
                <w:spacing w:val="-5"/>
                <w:sz w:val="16"/>
                <w:szCs w:val="16"/>
              </w:rPr>
              <w:t>10</w:t>
            </w:r>
            <w:r>
              <w:rPr>
                <w:rFonts w:ascii="宋体" w:eastAsia="宋体" w:hAnsi="宋体" w:cs="宋体"/>
                <w:spacing w:val="1"/>
                <w:sz w:val="16"/>
                <w:szCs w:val="16"/>
              </w:rPr>
              <w:t xml:space="preserve">         </w:t>
            </w:r>
            <w:r>
              <w:rPr>
                <w:rFonts w:ascii="宋体" w:eastAsia="宋体" w:hAnsi="宋体" w:cs="宋体"/>
                <w:spacing w:val="-5"/>
                <w:position w:val="1"/>
                <w:sz w:val="16"/>
                <w:szCs w:val="16"/>
              </w:rPr>
              <w:t>1.2</w:t>
            </w:r>
            <w:r>
              <w:rPr>
                <w:rFonts w:ascii="宋体" w:eastAsia="宋体" w:hAnsi="宋体" w:cs="宋体"/>
                <w:spacing w:val="3"/>
                <w:position w:val="1"/>
                <w:sz w:val="16"/>
                <w:szCs w:val="16"/>
              </w:rPr>
              <w:t xml:space="preserve">          </w:t>
            </w:r>
            <w:r>
              <w:rPr>
                <w:rFonts w:ascii="宋体" w:eastAsia="宋体" w:hAnsi="宋体" w:cs="宋体"/>
                <w:spacing w:val="-5"/>
                <w:sz w:val="16"/>
                <w:szCs w:val="16"/>
              </w:rPr>
              <w:t>1.2</w:t>
            </w:r>
            <w:r>
              <w:rPr>
                <w:rFonts w:ascii="宋体" w:eastAsia="宋体" w:hAnsi="宋体" w:cs="宋体"/>
                <w:spacing w:val="7"/>
                <w:sz w:val="16"/>
                <w:szCs w:val="16"/>
              </w:rPr>
              <w:t xml:space="preserve">        </w:t>
            </w:r>
            <w:r>
              <w:rPr>
                <w:rFonts w:ascii="宋体" w:eastAsia="宋体" w:hAnsi="宋体" w:cs="宋体"/>
                <w:spacing w:val="-5"/>
                <w:position w:val="-1"/>
                <w:sz w:val="16"/>
                <w:szCs w:val="16"/>
              </w:rPr>
              <w:t>0.9</w:t>
            </w:r>
            <w:r>
              <w:rPr>
                <w:rFonts w:ascii="宋体" w:eastAsia="宋体" w:hAnsi="宋体" w:cs="宋体"/>
                <w:spacing w:val="11"/>
                <w:position w:val="-1"/>
                <w:sz w:val="16"/>
                <w:szCs w:val="16"/>
              </w:rPr>
              <w:t xml:space="preserve">      </w:t>
            </w:r>
            <w:r>
              <w:rPr>
                <w:rFonts w:ascii="宋体" w:eastAsia="宋体" w:hAnsi="宋体" w:cs="宋体"/>
                <w:spacing w:val="-5"/>
                <w:sz w:val="16"/>
                <w:szCs w:val="16"/>
              </w:rPr>
              <w:t>1.</w:t>
            </w:r>
            <w:r>
              <w:rPr>
                <w:rFonts w:ascii="宋体" w:eastAsia="宋体" w:hAnsi="宋体" w:cs="宋体"/>
                <w:spacing w:val="-6"/>
                <w:sz w:val="16"/>
                <w:szCs w:val="16"/>
              </w:rPr>
              <w:t>8</w:t>
            </w:r>
            <w:r>
              <w:rPr>
                <w:rFonts w:ascii="宋体" w:eastAsia="宋体" w:hAnsi="宋体" w:cs="宋体"/>
                <w:spacing w:val="12"/>
                <w:sz w:val="16"/>
                <w:szCs w:val="16"/>
              </w:rPr>
              <w:t xml:space="preserve">     </w:t>
            </w:r>
            <w:r>
              <w:rPr>
                <w:rFonts w:ascii="宋体" w:eastAsia="宋体" w:hAnsi="宋体" w:cs="宋体"/>
                <w:spacing w:val="-6"/>
                <w:position w:val="-1"/>
                <w:sz w:val="16"/>
                <w:szCs w:val="16"/>
              </w:rPr>
              <w:t>90</w:t>
            </w:r>
            <w:r>
              <w:rPr>
                <w:rFonts w:ascii="宋体" w:eastAsia="宋体" w:hAnsi="宋体" w:cs="宋体"/>
                <w:spacing w:val="10"/>
                <w:position w:val="-1"/>
                <w:sz w:val="16"/>
                <w:szCs w:val="16"/>
              </w:rPr>
              <w:t xml:space="preserve">     </w:t>
            </w:r>
            <w:r>
              <w:rPr>
                <w:rFonts w:ascii="宋体" w:eastAsia="宋体" w:hAnsi="宋体" w:cs="宋体"/>
                <w:spacing w:val="-6"/>
                <w:position w:val="-1"/>
                <w:sz w:val="16"/>
                <w:szCs w:val="16"/>
              </w:rPr>
              <w:t>5.0</w:t>
            </w:r>
            <w:r>
              <w:rPr>
                <w:rFonts w:ascii="宋体" w:eastAsia="宋体" w:hAnsi="宋体" w:cs="宋体"/>
                <w:spacing w:val="14"/>
                <w:position w:val="-1"/>
                <w:sz w:val="16"/>
                <w:szCs w:val="16"/>
              </w:rPr>
              <w:t xml:space="preserve">    </w:t>
            </w:r>
            <w:r>
              <w:rPr>
                <w:rFonts w:ascii="宋体" w:eastAsia="宋体" w:hAnsi="宋体" w:cs="宋体"/>
                <w:spacing w:val="-6"/>
                <w:position w:val="-1"/>
                <w:sz w:val="16"/>
                <w:szCs w:val="16"/>
              </w:rPr>
              <w:t>300</w:t>
            </w:r>
            <w:r>
              <w:rPr>
                <w:rFonts w:ascii="宋体" w:eastAsia="宋体" w:hAnsi="宋体" w:cs="宋体"/>
                <w:spacing w:val="10"/>
                <w:position w:val="-1"/>
                <w:sz w:val="16"/>
                <w:szCs w:val="16"/>
              </w:rPr>
              <w:t xml:space="preserve">        </w:t>
            </w:r>
            <w:r>
              <w:rPr>
                <w:rFonts w:ascii="宋体" w:eastAsia="宋体" w:hAnsi="宋体" w:cs="宋体"/>
                <w:spacing w:val="-6"/>
                <w:sz w:val="16"/>
                <w:szCs w:val="16"/>
              </w:rPr>
              <w:t>12</w:t>
            </w:r>
          </w:p>
        </w:tc>
        <w:tc>
          <w:tcPr>
            <w:tcW w:w="602" w:type="dxa"/>
          </w:tcPr>
          <w:p w:rsidR="00EA40A3" w:rsidRDefault="00E86C16">
            <w:pPr>
              <w:spacing w:before="123" w:line="183" w:lineRule="auto"/>
              <w:ind w:left="195"/>
              <w:rPr>
                <w:rFonts w:ascii="宋体" w:eastAsia="宋体" w:hAnsi="宋体" w:cs="宋体"/>
                <w:sz w:val="16"/>
                <w:szCs w:val="16"/>
              </w:rPr>
            </w:pPr>
            <w:r>
              <w:rPr>
                <w:rFonts w:ascii="宋体" w:eastAsia="宋体" w:hAnsi="宋体" w:cs="宋体"/>
                <w:spacing w:val="-3"/>
                <w:sz w:val="16"/>
                <w:szCs w:val="16"/>
              </w:rPr>
              <w:t>350</w:t>
            </w:r>
          </w:p>
        </w:tc>
        <w:tc>
          <w:tcPr>
            <w:tcW w:w="324" w:type="dxa"/>
          </w:tcPr>
          <w:p w:rsidR="00EA40A3" w:rsidRDefault="00E86C16">
            <w:pPr>
              <w:spacing w:before="113" w:line="192" w:lineRule="auto"/>
              <w:ind w:left="173"/>
              <w:rPr>
                <w:rFonts w:ascii="宋体" w:eastAsia="宋体" w:hAnsi="宋体" w:cs="宋体"/>
                <w:sz w:val="15"/>
                <w:szCs w:val="15"/>
              </w:rPr>
            </w:pPr>
            <w:r>
              <w:rPr>
                <w:rFonts w:ascii="宋体" w:eastAsia="宋体" w:hAnsi="宋体" w:cs="宋体"/>
                <w:sz w:val="15"/>
                <w:szCs w:val="15"/>
              </w:rPr>
              <w:t>20</w:t>
            </w:r>
          </w:p>
        </w:tc>
      </w:tr>
      <w:tr w:rsidR="00EA40A3">
        <w:trPr>
          <w:trHeight w:val="369"/>
        </w:trPr>
        <w:tc>
          <w:tcPr>
            <w:tcW w:w="9755" w:type="dxa"/>
          </w:tcPr>
          <w:p w:rsidR="00EA40A3" w:rsidRDefault="00E86C16">
            <w:pPr>
              <w:spacing w:before="93" w:line="220" w:lineRule="auto"/>
              <w:ind w:left="650"/>
              <w:rPr>
                <w:rFonts w:ascii="宋体" w:eastAsia="宋体" w:hAnsi="宋体" w:cs="宋体"/>
                <w:sz w:val="16"/>
                <w:szCs w:val="16"/>
              </w:rPr>
            </w:pPr>
            <w:r>
              <w:rPr>
                <w:rFonts w:ascii="宋体" w:eastAsia="宋体" w:hAnsi="宋体" w:cs="宋体"/>
                <w:spacing w:val="-11"/>
                <w:sz w:val="16"/>
                <w:szCs w:val="16"/>
              </w:rPr>
              <w:t>男</w:t>
            </w:r>
            <w:r>
              <w:rPr>
                <w:rFonts w:ascii="宋体" w:eastAsia="宋体" w:hAnsi="宋体" w:cs="宋体"/>
                <w:spacing w:val="5"/>
                <w:sz w:val="16"/>
                <w:szCs w:val="16"/>
              </w:rPr>
              <w:t xml:space="preserve">     </w:t>
            </w:r>
            <w:r>
              <w:rPr>
                <w:rFonts w:ascii="宋体" w:eastAsia="宋体" w:hAnsi="宋体" w:cs="宋体"/>
                <w:spacing w:val="-11"/>
                <w:sz w:val="16"/>
                <w:szCs w:val="16"/>
              </w:rPr>
              <w:t>女</w:t>
            </w:r>
            <w:r>
              <w:rPr>
                <w:rFonts w:ascii="宋体" w:eastAsia="宋体" w:hAnsi="宋体" w:cs="宋体"/>
                <w:spacing w:val="2"/>
                <w:sz w:val="16"/>
                <w:szCs w:val="16"/>
              </w:rPr>
              <w:t xml:space="preserve">                       </w:t>
            </w:r>
            <w:r>
              <w:rPr>
                <w:rFonts w:ascii="宋体" w:eastAsia="宋体" w:hAnsi="宋体" w:cs="宋体"/>
                <w:spacing w:val="-11"/>
                <w:sz w:val="16"/>
                <w:szCs w:val="16"/>
              </w:rPr>
              <w:t>男</w:t>
            </w:r>
            <w:r>
              <w:rPr>
                <w:rFonts w:ascii="宋体" w:eastAsia="宋体" w:hAnsi="宋体" w:cs="宋体"/>
                <w:spacing w:val="13"/>
                <w:sz w:val="16"/>
                <w:szCs w:val="16"/>
              </w:rPr>
              <w:t xml:space="preserve">     </w:t>
            </w:r>
            <w:r>
              <w:rPr>
                <w:rFonts w:ascii="宋体" w:eastAsia="宋体" w:hAnsi="宋体" w:cs="宋体"/>
                <w:spacing w:val="-11"/>
                <w:sz w:val="16"/>
                <w:szCs w:val="16"/>
              </w:rPr>
              <w:t>女</w:t>
            </w:r>
            <w:r>
              <w:rPr>
                <w:rFonts w:ascii="宋体" w:eastAsia="宋体" w:hAnsi="宋体" w:cs="宋体"/>
                <w:spacing w:val="8"/>
                <w:sz w:val="16"/>
                <w:szCs w:val="16"/>
              </w:rPr>
              <w:t xml:space="preserve">    </w:t>
            </w:r>
            <w:r>
              <w:rPr>
                <w:rFonts w:ascii="宋体" w:eastAsia="宋体" w:hAnsi="宋体" w:cs="宋体"/>
                <w:spacing w:val="-11"/>
                <w:sz w:val="16"/>
                <w:szCs w:val="16"/>
              </w:rPr>
              <w:t>男</w:t>
            </w:r>
            <w:r>
              <w:rPr>
                <w:rFonts w:ascii="宋体" w:eastAsia="宋体" w:hAnsi="宋体" w:cs="宋体"/>
                <w:spacing w:val="16"/>
                <w:sz w:val="16"/>
                <w:szCs w:val="16"/>
              </w:rPr>
              <w:t xml:space="preserve">    </w:t>
            </w:r>
            <w:r>
              <w:rPr>
                <w:rFonts w:ascii="宋体" w:eastAsia="宋体" w:hAnsi="宋体" w:cs="宋体"/>
                <w:spacing w:val="-11"/>
                <w:sz w:val="16"/>
                <w:szCs w:val="16"/>
              </w:rPr>
              <w:t>女</w:t>
            </w:r>
            <w:r>
              <w:rPr>
                <w:rFonts w:ascii="宋体" w:eastAsia="宋体" w:hAnsi="宋体" w:cs="宋体"/>
                <w:spacing w:val="1"/>
                <w:sz w:val="16"/>
                <w:szCs w:val="16"/>
              </w:rPr>
              <w:t xml:space="preserve">                      </w:t>
            </w:r>
            <w:r>
              <w:rPr>
                <w:rFonts w:ascii="宋体" w:eastAsia="宋体" w:hAnsi="宋体" w:cs="宋体"/>
                <w:sz w:val="16"/>
                <w:szCs w:val="16"/>
              </w:rPr>
              <w:t xml:space="preserve">                         </w:t>
            </w:r>
            <w:r>
              <w:rPr>
                <w:rFonts w:ascii="宋体" w:eastAsia="宋体" w:hAnsi="宋体" w:cs="宋体"/>
                <w:spacing w:val="-11"/>
                <w:sz w:val="16"/>
                <w:szCs w:val="16"/>
              </w:rPr>
              <w:t>男</w:t>
            </w:r>
            <w:r>
              <w:rPr>
                <w:rFonts w:ascii="宋体" w:eastAsia="宋体" w:hAnsi="宋体" w:cs="宋体"/>
                <w:spacing w:val="6"/>
                <w:sz w:val="16"/>
                <w:szCs w:val="16"/>
              </w:rPr>
              <w:t xml:space="preserve">     </w:t>
            </w:r>
            <w:r>
              <w:rPr>
                <w:rFonts w:ascii="宋体" w:eastAsia="宋体" w:hAnsi="宋体" w:cs="宋体"/>
                <w:spacing w:val="-11"/>
                <w:sz w:val="16"/>
                <w:szCs w:val="16"/>
              </w:rPr>
              <w:t>女</w:t>
            </w:r>
          </w:p>
        </w:tc>
        <w:tc>
          <w:tcPr>
            <w:tcW w:w="602" w:type="dxa"/>
          </w:tcPr>
          <w:p w:rsidR="00EA40A3" w:rsidRDefault="00EA40A3"/>
        </w:tc>
        <w:tc>
          <w:tcPr>
            <w:tcW w:w="324" w:type="dxa"/>
          </w:tcPr>
          <w:p w:rsidR="00EA40A3" w:rsidRDefault="00EA40A3"/>
        </w:tc>
      </w:tr>
      <w:tr w:rsidR="00EA40A3">
        <w:trPr>
          <w:trHeight w:val="346"/>
        </w:trPr>
        <w:tc>
          <w:tcPr>
            <w:tcW w:w="9755" w:type="dxa"/>
          </w:tcPr>
          <w:p w:rsidR="00EA40A3" w:rsidRDefault="00E86C16">
            <w:pPr>
              <w:spacing w:before="115" w:line="184" w:lineRule="auto"/>
              <w:ind w:left="40"/>
              <w:rPr>
                <w:rFonts w:ascii="宋体" w:eastAsia="宋体" w:hAnsi="宋体" w:cs="宋体"/>
                <w:sz w:val="16"/>
                <w:szCs w:val="16"/>
              </w:rPr>
            </w:pPr>
            <w:r>
              <w:rPr>
                <w:rFonts w:ascii="宋体" w:eastAsia="宋体" w:hAnsi="宋体" w:cs="宋体"/>
                <w:spacing w:val="-5"/>
                <w:sz w:val="16"/>
                <w:szCs w:val="16"/>
              </w:rPr>
              <w:t>14～</w:t>
            </w:r>
            <w:r>
              <w:rPr>
                <w:rFonts w:ascii="宋体" w:eastAsia="宋体" w:hAnsi="宋体" w:cs="宋体"/>
                <w:sz w:val="16"/>
                <w:szCs w:val="16"/>
              </w:rPr>
              <w:t xml:space="preserve">    </w:t>
            </w:r>
            <w:r>
              <w:rPr>
                <w:rFonts w:ascii="宋体" w:eastAsia="宋体" w:hAnsi="宋体" w:cs="宋体"/>
                <w:spacing w:val="-5"/>
                <w:sz w:val="16"/>
                <w:szCs w:val="16"/>
              </w:rPr>
              <w:t>800</w:t>
            </w:r>
            <w:r>
              <w:rPr>
                <w:rFonts w:ascii="宋体" w:eastAsia="宋体" w:hAnsi="宋体" w:cs="宋体"/>
                <w:spacing w:val="9"/>
                <w:sz w:val="16"/>
                <w:szCs w:val="16"/>
              </w:rPr>
              <w:t xml:space="preserve">    </w:t>
            </w:r>
            <w:r>
              <w:rPr>
                <w:rFonts w:ascii="宋体" w:eastAsia="宋体" w:hAnsi="宋体" w:cs="宋体"/>
                <w:spacing w:val="-5"/>
                <w:sz w:val="16"/>
                <w:szCs w:val="16"/>
              </w:rPr>
              <w:t>700</w:t>
            </w:r>
            <w:r>
              <w:rPr>
                <w:rFonts w:ascii="宋体" w:eastAsia="宋体" w:hAnsi="宋体" w:cs="宋体"/>
                <w:spacing w:val="10"/>
                <w:sz w:val="16"/>
                <w:szCs w:val="16"/>
              </w:rPr>
              <w:t xml:space="preserve">     </w:t>
            </w:r>
            <w:r>
              <w:rPr>
                <w:rFonts w:ascii="宋体" w:eastAsia="宋体" w:hAnsi="宋体" w:cs="宋体"/>
                <w:spacing w:val="-5"/>
                <w:sz w:val="16"/>
                <w:szCs w:val="16"/>
              </w:rPr>
              <w:t>5</w:t>
            </w:r>
            <w:r>
              <w:rPr>
                <w:rFonts w:ascii="宋体" w:eastAsia="宋体" w:hAnsi="宋体" w:cs="宋体"/>
                <w:spacing w:val="5"/>
                <w:sz w:val="16"/>
                <w:szCs w:val="16"/>
              </w:rPr>
              <w:t xml:space="preserve">        </w:t>
            </w:r>
            <w:r>
              <w:rPr>
                <w:rFonts w:ascii="宋体" w:eastAsia="宋体" w:hAnsi="宋体" w:cs="宋体"/>
                <w:spacing w:val="-5"/>
                <w:sz w:val="16"/>
                <w:szCs w:val="16"/>
              </w:rPr>
              <w:t>14</w:t>
            </w:r>
            <w:r>
              <w:rPr>
                <w:rFonts w:ascii="宋体" w:eastAsia="宋体" w:hAnsi="宋体" w:cs="宋体"/>
                <w:spacing w:val="19"/>
                <w:sz w:val="16"/>
                <w:szCs w:val="16"/>
              </w:rPr>
              <w:t xml:space="preserve">    </w:t>
            </w:r>
            <w:r>
              <w:rPr>
                <w:rFonts w:ascii="宋体" w:eastAsia="宋体" w:hAnsi="宋体" w:cs="宋体"/>
                <w:spacing w:val="-5"/>
                <w:sz w:val="16"/>
                <w:szCs w:val="16"/>
              </w:rPr>
              <w:t>1.5</w:t>
            </w:r>
            <w:r>
              <w:rPr>
                <w:rFonts w:ascii="宋体" w:eastAsia="宋体" w:hAnsi="宋体" w:cs="宋体"/>
                <w:spacing w:val="10"/>
                <w:sz w:val="16"/>
                <w:szCs w:val="16"/>
              </w:rPr>
              <w:t xml:space="preserve">    </w:t>
            </w:r>
            <w:r>
              <w:rPr>
                <w:rFonts w:ascii="宋体" w:eastAsia="宋体" w:hAnsi="宋体" w:cs="宋体"/>
                <w:spacing w:val="-5"/>
                <w:sz w:val="16"/>
                <w:szCs w:val="16"/>
              </w:rPr>
              <w:t>1.2</w:t>
            </w:r>
            <w:r>
              <w:rPr>
                <w:rFonts w:ascii="宋体" w:eastAsia="宋体" w:hAnsi="宋体" w:cs="宋体"/>
                <w:spacing w:val="26"/>
                <w:sz w:val="16"/>
                <w:szCs w:val="16"/>
              </w:rPr>
              <w:t xml:space="preserve">   </w:t>
            </w:r>
            <w:r>
              <w:rPr>
                <w:rFonts w:ascii="宋体" w:eastAsia="宋体" w:hAnsi="宋体" w:cs="宋体"/>
                <w:spacing w:val="-5"/>
                <w:sz w:val="16"/>
                <w:szCs w:val="16"/>
              </w:rPr>
              <w:t>1.5</w:t>
            </w:r>
            <w:r>
              <w:rPr>
                <w:rFonts w:ascii="宋体" w:eastAsia="宋体" w:hAnsi="宋体" w:cs="宋体"/>
                <w:spacing w:val="12"/>
                <w:sz w:val="16"/>
                <w:szCs w:val="16"/>
              </w:rPr>
              <w:t xml:space="preserve">    </w:t>
            </w:r>
            <w:r>
              <w:rPr>
                <w:rFonts w:ascii="宋体" w:eastAsia="宋体" w:hAnsi="宋体" w:cs="宋体"/>
                <w:spacing w:val="-5"/>
                <w:sz w:val="16"/>
                <w:szCs w:val="16"/>
              </w:rPr>
              <w:t>1.</w:t>
            </w:r>
            <w:r>
              <w:rPr>
                <w:rFonts w:ascii="宋体" w:eastAsia="宋体" w:hAnsi="宋体" w:cs="宋体"/>
                <w:spacing w:val="-6"/>
                <w:sz w:val="16"/>
                <w:szCs w:val="16"/>
              </w:rPr>
              <w:t>2</w:t>
            </w:r>
            <w:r>
              <w:rPr>
                <w:rFonts w:ascii="宋体" w:eastAsia="宋体" w:hAnsi="宋体" w:cs="宋体"/>
                <w:spacing w:val="12"/>
                <w:sz w:val="16"/>
                <w:szCs w:val="16"/>
              </w:rPr>
              <w:t xml:space="preserve">    </w:t>
            </w:r>
            <w:r>
              <w:rPr>
                <w:rFonts w:ascii="宋体" w:eastAsia="宋体" w:hAnsi="宋体" w:cs="宋体"/>
                <w:spacing w:val="-6"/>
                <w:sz w:val="16"/>
                <w:szCs w:val="16"/>
              </w:rPr>
              <w:t>1.1</w:t>
            </w:r>
            <w:r>
              <w:rPr>
                <w:rFonts w:ascii="宋体" w:eastAsia="宋体" w:hAnsi="宋体" w:cs="宋体"/>
                <w:spacing w:val="13"/>
                <w:sz w:val="16"/>
                <w:szCs w:val="16"/>
              </w:rPr>
              <w:t xml:space="preserve">      </w:t>
            </w:r>
            <w:r>
              <w:rPr>
                <w:rFonts w:ascii="宋体" w:eastAsia="宋体" w:hAnsi="宋体" w:cs="宋体"/>
                <w:spacing w:val="-6"/>
                <w:sz w:val="16"/>
                <w:szCs w:val="16"/>
              </w:rPr>
              <w:t>2.4</w:t>
            </w:r>
            <w:r>
              <w:rPr>
                <w:rFonts w:ascii="宋体" w:eastAsia="宋体" w:hAnsi="宋体" w:cs="宋体"/>
                <w:spacing w:val="1"/>
                <w:sz w:val="16"/>
                <w:szCs w:val="16"/>
              </w:rPr>
              <w:t xml:space="preserve">     </w:t>
            </w:r>
            <w:r>
              <w:rPr>
                <w:rFonts w:ascii="宋体" w:eastAsia="宋体" w:hAnsi="宋体" w:cs="宋体"/>
                <w:spacing w:val="-6"/>
                <w:sz w:val="16"/>
                <w:szCs w:val="16"/>
              </w:rPr>
              <w:t>100</w:t>
            </w:r>
            <w:r>
              <w:rPr>
                <w:rFonts w:ascii="宋体" w:eastAsia="宋体" w:hAnsi="宋体" w:cs="宋体"/>
                <w:spacing w:val="4"/>
                <w:sz w:val="16"/>
                <w:szCs w:val="16"/>
              </w:rPr>
              <w:t xml:space="preserve">     </w:t>
            </w:r>
            <w:r>
              <w:rPr>
                <w:rFonts w:ascii="宋体" w:eastAsia="宋体" w:hAnsi="宋体" w:cs="宋体"/>
                <w:spacing w:val="-6"/>
                <w:sz w:val="16"/>
                <w:szCs w:val="16"/>
              </w:rPr>
              <w:t>5.0</w:t>
            </w:r>
            <w:r>
              <w:rPr>
                <w:rFonts w:ascii="宋体" w:eastAsia="宋体" w:hAnsi="宋体" w:cs="宋体"/>
                <w:spacing w:val="15"/>
                <w:sz w:val="16"/>
                <w:szCs w:val="16"/>
              </w:rPr>
              <w:t xml:space="preserve">    </w:t>
            </w:r>
            <w:r>
              <w:rPr>
                <w:rFonts w:ascii="宋体" w:eastAsia="宋体" w:hAnsi="宋体" w:cs="宋体"/>
                <w:spacing w:val="-6"/>
                <w:sz w:val="16"/>
                <w:szCs w:val="16"/>
              </w:rPr>
              <w:t>400</w:t>
            </w:r>
            <w:r>
              <w:rPr>
                <w:rFonts w:ascii="宋体" w:eastAsia="宋体" w:hAnsi="宋体" w:cs="宋体"/>
                <w:spacing w:val="5"/>
                <w:sz w:val="16"/>
                <w:szCs w:val="16"/>
              </w:rPr>
              <w:t xml:space="preserve">     </w:t>
            </w:r>
            <w:r>
              <w:rPr>
                <w:rFonts w:ascii="宋体" w:eastAsia="宋体" w:hAnsi="宋体" w:cs="宋体"/>
                <w:spacing w:val="-6"/>
                <w:sz w:val="16"/>
                <w:szCs w:val="16"/>
              </w:rPr>
              <w:t>15</w:t>
            </w:r>
            <w:r>
              <w:rPr>
                <w:rFonts w:ascii="宋体" w:eastAsia="宋体" w:hAnsi="宋体" w:cs="宋体"/>
                <w:spacing w:val="6"/>
                <w:sz w:val="16"/>
                <w:szCs w:val="16"/>
              </w:rPr>
              <w:t xml:space="preserve">     </w:t>
            </w:r>
            <w:r>
              <w:rPr>
                <w:rFonts w:ascii="宋体" w:eastAsia="宋体" w:hAnsi="宋体" w:cs="宋体"/>
                <w:spacing w:val="-6"/>
                <w:sz w:val="16"/>
                <w:szCs w:val="16"/>
              </w:rPr>
              <w:t>12</w:t>
            </w:r>
          </w:p>
        </w:tc>
        <w:tc>
          <w:tcPr>
            <w:tcW w:w="602" w:type="dxa"/>
          </w:tcPr>
          <w:p w:rsidR="00EA40A3" w:rsidRDefault="00E86C16">
            <w:pPr>
              <w:spacing w:before="115" w:line="183" w:lineRule="auto"/>
              <w:ind w:left="195"/>
              <w:rPr>
                <w:rFonts w:ascii="宋体" w:eastAsia="宋体" w:hAnsi="宋体" w:cs="宋体"/>
                <w:sz w:val="16"/>
                <w:szCs w:val="16"/>
              </w:rPr>
            </w:pPr>
            <w:r>
              <w:rPr>
                <w:rFonts w:ascii="宋体" w:eastAsia="宋体" w:hAnsi="宋体" w:cs="宋体"/>
                <w:spacing w:val="-2"/>
                <w:sz w:val="16"/>
                <w:szCs w:val="16"/>
              </w:rPr>
              <w:t>450</w:t>
            </w:r>
          </w:p>
        </w:tc>
        <w:tc>
          <w:tcPr>
            <w:tcW w:w="324" w:type="dxa"/>
          </w:tcPr>
          <w:p w:rsidR="00EA40A3" w:rsidRDefault="00E86C16">
            <w:pPr>
              <w:spacing w:before="115" w:line="192" w:lineRule="auto"/>
              <w:ind w:left="173"/>
              <w:rPr>
                <w:rFonts w:ascii="宋体" w:eastAsia="宋体" w:hAnsi="宋体" w:cs="宋体"/>
                <w:sz w:val="15"/>
                <w:szCs w:val="15"/>
              </w:rPr>
            </w:pPr>
            <w:r>
              <w:rPr>
                <w:rFonts w:ascii="宋体" w:eastAsia="宋体" w:hAnsi="宋体" w:cs="宋体"/>
                <w:sz w:val="15"/>
                <w:szCs w:val="15"/>
              </w:rPr>
              <w:t>25</w:t>
            </w:r>
          </w:p>
        </w:tc>
      </w:tr>
      <w:tr w:rsidR="00EA40A3">
        <w:trPr>
          <w:trHeight w:val="350"/>
        </w:trPr>
        <w:tc>
          <w:tcPr>
            <w:tcW w:w="9755" w:type="dxa"/>
          </w:tcPr>
          <w:p w:rsidR="00EA40A3" w:rsidRDefault="00E86C16">
            <w:pPr>
              <w:spacing w:before="119" w:line="195" w:lineRule="auto"/>
              <w:ind w:left="40"/>
              <w:rPr>
                <w:rFonts w:ascii="宋体" w:eastAsia="宋体" w:hAnsi="宋体" w:cs="宋体"/>
                <w:sz w:val="16"/>
                <w:szCs w:val="16"/>
              </w:rPr>
            </w:pPr>
            <w:r>
              <w:rPr>
                <w:rFonts w:ascii="宋体" w:eastAsia="宋体" w:hAnsi="宋体" w:cs="宋体"/>
                <w:spacing w:val="-5"/>
                <w:sz w:val="16"/>
                <w:szCs w:val="16"/>
              </w:rPr>
              <w:t>18～</w:t>
            </w:r>
            <w:r>
              <w:rPr>
                <w:rFonts w:ascii="宋体" w:eastAsia="宋体" w:hAnsi="宋体" w:cs="宋体"/>
                <w:sz w:val="16"/>
                <w:szCs w:val="16"/>
              </w:rPr>
              <w:t xml:space="preserve">    </w:t>
            </w:r>
            <w:r>
              <w:rPr>
                <w:rFonts w:ascii="宋体" w:eastAsia="宋体" w:hAnsi="宋体" w:cs="宋体"/>
                <w:spacing w:val="-5"/>
                <w:sz w:val="16"/>
                <w:szCs w:val="16"/>
              </w:rPr>
              <w:t>800</w:t>
            </w:r>
            <w:r>
              <w:rPr>
                <w:rFonts w:ascii="宋体" w:eastAsia="宋体" w:hAnsi="宋体" w:cs="宋体"/>
                <w:spacing w:val="9"/>
                <w:sz w:val="16"/>
                <w:szCs w:val="16"/>
              </w:rPr>
              <w:t xml:space="preserve">    </w:t>
            </w:r>
            <w:r>
              <w:rPr>
                <w:rFonts w:ascii="宋体" w:eastAsia="宋体" w:hAnsi="宋体" w:cs="宋体"/>
                <w:spacing w:val="-5"/>
                <w:position w:val="-1"/>
                <w:sz w:val="16"/>
                <w:szCs w:val="16"/>
              </w:rPr>
              <w:t>700</w:t>
            </w:r>
            <w:r>
              <w:rPr>
                <w:rFonts w:ascii="宋体" w:eastAsia="宋体" w:hAnsi="宋体" w:cs="宋体"/>
                <w:spacing w:val="10"/>
                <w:position w:val="-1"/>
                <w:sz w:val="16"/>
                <w:szCs w:val="16"/>
              </w:rPr>
              <w:t xml:space="preserve">     </w:t>
            </w:r>
            <w:r>
              <w:rPr>
                <w:rFonts w:ascii="宋体" w:eastAsia="宋体" w:hAnsi="宋体" w:cs="宋体"/>
                <w:spacing w:val="-5"/>
                <w:sz w:val="16"/>
                <w:szCs w:val="16"/>
              </w:rPr>
              <w:t>5</w:t>
            </w:r>
            <w:r>
              <w:rPr>
                <w:rFonts w:ascii="宋体" w:eastAsia="宋体" w:hAnsi="宋体" w:cs="宋体"/>
                <w:spacing w:val="5"/>
                <w:sz w:val="16"/>
                <w:szCs w:val="16"/>
              </w:rPr>
              <w:t xml:space="preserve">        </w:t>
            </w:r>
            <w:r>
              <w:rPr>
                <w:rFonts w:ascii="宋体" w:eastAsia="宋体" w:hAnsi="宋体" w:cs="宋体"/>
                <w:spacing w:val="-5"/>
                <w:sz w:val="16"/>
                <w:szCs w:val="16"/>
              </w:rPr>
              <w:t>14</w:t>
            </w:r>
            <w:r>
              <w:rPr>
                <w:rFonts w:ascii="宋体" w:eastAsia="宋体" w:hAnsi="宋体" w:cs="宋体"/>
                <w:spacing w:val="5"/>
                <w:sz w:val="16"/>
                <w:szCs w:val="16"/>
              </w:rPr>
              <w:t xml:space="preserve">     </w:t>
            </w:r>
            <w:r>
              <w:rPr>
                <w:rFonts w:ascii="宋体" w:eastAsia="宋体" w:hAnsi="宋体" w:cs="宋体"/>
                <w:spacing w:val="-5"/>
                <w:sz w:val="16"/>
                <w:szCs w:val="16"/>
              </w:rPr>
              <w:t>1.4</w:t>
            </w:r>
            <w:r>
              <w:rPr>
                <w:rFonts w:ascii="宋体" w:eastAsia="宋体" w:hAnsi="宋体" w:cs="宋体"/>
                <w:spacing w:val="27"/>
                <w:sz w:val="16"/>
                <w:szCs w:val="16"/>
              </w:rPr>
              <w:t xml:space="preserve">   </w:t>
            </w:r>
            <w:r>
              <w:rPr>
                <w:rFonts w:ascii="宋体" w:eastAsia="宋体" w:hAnsi="宋体" w:cs="宋体"/>
                <w:spacing w:val="-5"/>
                <w:sz w:val="16"/>
                <w:szCs w:val="16"/>
              </w:rPr>
              <w:t>1.3</w:t>
            </w:r>
            <w:r>
              <w:rPr>
                <w:rFonts w:ascii="宋体" w:eastAsia="宋体" w:hAnsi="宋体" w:cs="宋体"/>
                <w:spacing w:val="26"/>
                <w:sz w:val="16"/>
                <w:szCs w:val="16"/>
              </w:rPr>
              <w:t xml:space="preserve">   </w:t>
            </w:r>
            <w:r>
              <w:rPr>
                <w:rFonts w:ascii="宋体" w:eastAsia="宋体" w:hAnsi="宋体" w:cs="宋体"/>
                <w:spacing w:val="-5"/>
                <w:sz w:val="16"/>
                <w:szCs w:val="16"/>
              </w:rPr>
              <w:t>1.4</w:t>
            </w:r>
            <w:r>
              <w:rPr>
                <w:rFonts w:ascii="宋体" w:eastAsia="宋体" w:hAnsi="宋体" w:cs="宋体"/>
                <w:spacing w:val="4"/>
                <w:sz w:val="16"/>
                <w:szCs w:val="16"/>
              </w:rPr>
              <w:t xml:space="preserve">    </w:t>
            </w:r>
            <w:r>
              <w:rPr>
                <w:rFonts w:ascii="宋体" w:eastAsia="宋体" w:hAnsi="宋体" w:cs="宋体"/>
                <w:spacing w:val="-5"/>
                <w:sz w:val="16"/>
                <w:szCs w:val="16"/>
              </w:rPr>
              <w:t>1.</w:t>
            </w:r>
            <w:r>
              <w:rPr>
                <w:rFonts w:ascii="宋体" w:eastAsia="宋体" w:hAnsi="宋体" w:cs="宋体"/>
                <w:spacing w:val="-6"/>
                <w:sz w:val="16"/>
                <w:szCs w:val="16"/>
              </w:rPr>
              <w:t>2</w:t>
            </w:r>
            <w:r>
              <w:rPr>
                <w:rFonts w:ascii="宋体" w:eastAsia="宋体" w:hAnsi="宋体" w:cs="宋体"/>
                <w:spacing w:val="2"/>
                <w:sz w:val="16"/>
                <w:szCs w:val="16"/>
              </w:rPr>
              <w:t xml:space="preserve">     </w:t>
            </w:r>
            <w:r>
              <w:rPr>
                <w:rFonts w:ascii="宋体" w:eastAsia="宋体" w:hAnsi="宋体" w:cs="宋体"/>
                <w:spacing w:val="-6"/>
                <w:position w:val="1"/>
                <w:sz w:val="16"/>
                <w:szCs w:val="16"/>
              </w:rPr>
              <w:t>1.2</w:t>
            </w:r>
            <w:r>
              <w:rPr>
                <w:rFonts w:ascii="宋体" w:eastAsia="宋体" w:hAnsi="宋体" w:cs="宋体"/>
                <w:spacing w:val="13"/>
                <w:position w:val="1"/>
                <w:sz w:val="16"/>
                <w:szCs w:val="16"/>
              </w:rPr>
              <w:t xml:space="preserve">      </w:t>
            </w:r>
            <w:r>
              <w:rPr>
                <w:rFonts w:ascii="宋体" w:eastAsia="宋体" w:hAnsi="宋体" w:cs="宋体"/>
                <w:spacing w:val="-6"/>
                <w:sz w:val="16"/>
                <w:szCs w:val="16"/>
              </w:rPr>
              <w:t>2.4</w:t>
            </w:r>
            <w:r>
              <w:rPr>
                <w:rFonts w:ascii="宋体" w:eastAsia="宋体" w:hAnsi="宋体" w:cs="宋体"/>
                <w:spacing w:val="1"/>
                <w:sz w:val="16"/>
                <w:szCs w:val="16"/>
              </w:rPr>
              <w:t xml:space="preserve">     </w:t>
            </w:r>
            <w:r>
              <w:rPr>
                <w:rFonts w:ascii="宋体" w:eastAsia="宋体" w:hAnsi="宋体" w:cs="宋体"/>
                <w:spacing w:val="-6"/>
                <w:position w:val="1"/>
                <w:sz w:val="16"/>
                <w:szCs w:val="16"/>
              </w:rPr>
              <w:t>100</w:t>
            </w:r>
            <w:r>
              <w:rPr>
                <w:rFonts w:ascii="宋体" w:eastAsia="宋体" w:hAnsi="宋体" w:cs="宋体"/>
                <w:spacing w:val="4"/>
                <w:position w:val="1"/>
                <w:sz w:val="16"/>
                <w:szCs w:val="16"/>
              </w:rPr>
              <w:t xml:space="preserve">     </w:t>
            </w:r>
            <w:r>
              <w:rPr>
                <w:rFonts w:ascii="宋体" w:eastAsia="宋体" w:hAnsi="宋体" w:cs="宋体"/>
                <w:spacing w:val="-6"/>
                <w:position w:val="-1"/>
                <w:sz w:val="16"/>
                <w:szCs w:val="16"/>
              </w:rPr>
              <w:t>5.0</w:t>
            </w:r>
            <w:r>
              <w:rPr>
                <w:rFonts w:ascii="宋体" w:eastAsia="宋体" w:hAnsi="宋体" w:cs="宋体"/>
                <w:spacing w:val="15"/>
                <w:position w:val="-1"/>
                <w:sz w:val="16"/>
                <w:szCs w:val="16"/>
              </w:rPr>
              <w:t xml:space="preserve">    </w:t>
            </w:r>
            <w:r>
              <w:rPr>
                <w:rFonts w:ascii="宋体" w:eastAsia="宋体" w:hAnsi="宋体" w:cs="宋体"/>
                <w:spacing w:val="-6"/>
                <w:sz w:val="16"/>
                <w:szCs w:val="16"/>
              </w:rPr>
              <w:t>400</w:t>
            </w:r>
            <w:r>
              <w:rPr>
                <w:rFonts w:ascii="宋体" w:eastAsia="宋体" w:hAnsi="宋体" w:cs="宋体"/>
                <w:spacing w:val="5"/>
                <w:sz w:val="16"/>
                <w:szCs w:val="16"/>
              </w:rPr>
              <w:t xml:space="preserve">     </w:t>
            </w:r>
            <w:r>
              <w:rPr>
                <w:rFonts w:ascii="宋体" w:eastAsia="宋体" w:hAnsi="宋体" w:cs="宋体"/>
                <w:spacing w:val="-6"/>
                <w:sz w:val="16"/>
                <w:szCs w:val="16"/>
              </w:rPr>
              <w:t>14</w:t>
            </w:r>
            <w:r>
              <w:rPr>
                <w:rFonts w:ascii="宋体" w:eastAsia="宋体" w:hAnsi="宋体" w:cs="宋体"/>
                <w:spacing w:val="15"/>
                <w:sz w:val="16"/>
                <w:szCs w:val="16"/>
              </w:rPr>
              <w:t xml:space="preserve">    </w:t>
            </w:r>
            <w:r>
              <w:rPr>
                <w:rFonts w:ascii="宋体" w:eastAsia="宋体" w:hAnsi="宋体" w:cs="宋体"/>
                <w:spacing w:val="-6"/>
                <w:sz w:val="16"/>
                <w:szCs w:val="16"/>
              </w:rPr>
              <w:t>13</w:t>
            </w:r>
          </w:p>
        </w:tc>
        <w:tc>
          <w:tcPr>
            <w:tcW w:w="602" w:type="dxa"/>
          </w:tcPr>
          <w:p w:rsidR="00EA40A3" w:rsidRDefault="00E86C16">
            <w:pPr>
              <w:spacing w:before="129" w:line="183"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49" w:line="183" w:lineRule="auto"/>
              <w:ind w:left="173"/>
              <w:rPr>
                <w:rFonts w:ascii="宋体" w:eastAsia="宋体" w:hAnsi="宋体" w:cs="宋体"/>
                <w:sz w:val="16"/>
                <w:szCs w:val="16"/>
              </w:rPr>
            </w:pPr>
            <w:r>
              <w:rPr>
                <w:rFonts w:ascii="宋体" w:eastAsia="宋体" w:hAnsi="宋体" w:cs="宋体"/>
                <w:spacing w:val="-5"/>
                <w:sz w:val="16"/>
                <w:szCs w:val="16"/>
              </w:rPr>
              <w:t>30</w:t>
            </w:r>
          </w:p>
        </w:tc>
      </w:tr>
      <w:tr w:rsidR="00EA40A3">
        <w:trPr>
          <w:trHeight w:val="315"/>
        </w:trPr>
        <w:tc>
          <w:tcPr>
            <w:tcW w:w="9755" w:type="dxa"/>
          </w:tcPr>
          <w:p w:rsidR="00EA40A3" w:rsidRDefault="00E86C16">
            <w:pPr>
              <w:spacing w:before="89" w:line="195" w:lineRule="auto"/>
              <w:ind w:left="40"/>
              <w:rPr>
                <w:rFonts w:ascii="宋体" w:eastAsia="宋体" w:hAnsi="宋体" w:cs="宋体"/>
                <w:sz w:val="16"/>
                <w:szCs w:val="16"/>
              </w:rPr>
            </w:pPr>
            <w:r>
              <w:rPr>
                <w:rFonts w:ascii="宋体" w:eastAsia="宋体" w:hAnsi="宋体" w:cs="宋体"/>
                <w:spacing w:val="-5"/>
                <w:position w:val="2"/>
                <w:sz w:val="16"/>
                <w:szCs w:val="16"/>
              </w:rPr>
              <w:t>50～</w:t>
            </w:r>
            <w:r>
              <w:rPr>
                <w:rFonts w:ascii="宋体" w:eastAsia="宋体" w:hAnsi="宋体" w:cs="宋体"/>
                <w:spacing w:val="24"/>
                <w:position w:val="2"/>
                <w:sz w:val="16"/>
                <w:szCs w:val="16"/>
              </w:rPr>
              <w:t xml:space="preserve">   </w:t>
            </w:r>
            <w:r>
              <w:rPr>
                <w:rFonts w:ascii="宋体" w:eastAsia="宋体" w:hAnsi="宋体" w:cs="宋体"/>
                <w:spacing w:val="-5"/>
                <w:sz w:val="16"/>
                <w:szCs w:val="16"/>
              </w:rPr>
              <w:t>800</w:t>
            </w:r>
            <w:r>
              <w:rPr>
                <w:rFonts w:ascii="宋体" w:eastAsia="宋体" w:hAnsi="宋体" w:cs="宋体"/>
                <w:spacing w:val="9"/>
                <w:sz w:val="16"/>
                <w:szCs w:val="16"/>
              </w:rPr>
              <w:t xml:space="preserve">    </w:t>
            </w:r>
            <w:r>
              <w:rPr>
                <w:rFonts w:ascii="宋体" w:eastAsia="宋体" w:hAnsi="宋体" w:cs="宋体"/>
                <w:spacing w:val="-5"/>
                <w:position w:val="-1"/>
                <w:sz w:val="16"/>
                <w:szCs w:val="16"/>
              </w:rPr>
              <w:t>700</w:t>
            </w:r>
            <w:r>
              <w:rPr>
                <w:rFonts w:ascii="宋体" w:eastAsia="宋体" w:hAnsi="宋体" w:cs="宋体"/>
                <w:spacing w:val="2"/>
                <w:position w:val="-1"/>
                <w:sz w:val="16"/>
                <w:szCs w:val="16"/>
              </w:rPr>
              <w:t xml:space="preserve">     </w:t>
            </w:r>
            <w:r>
              <w:rPr>
                <w:rFonts w:ascii="宋体" w:eastAsia="宋体" w:hAnsi="宋体" w:cs="宋体"/>
                <w:spacing w:val="-5"/>
                <w:position w:val="-1"/>
                <w:sz w:val="16"/>
                <w:szCs w:val="16"/>
              </w:rPr>
              <w:t>10</w:t>
            </w:r>
            <w:r>
              <w:rPr>
                <w:rFonts w:ascii="宋体" w:eastAsia="宋体" w:hAnsi="宋体" w:cs="宋体"/>
                <w:spacing w:val="1"/>
                <w:position w:val="-1"/>
                <w:sz w:val="16"/>
                <w:szCs w:val="16"/>
              </w:rPr>
              <w:t xml:space="preserve">        </w:t>
            </w:r>
            <w:r>
              <w:rPr>
                <w:rFonts w:ascii="宋体" w:eastAsia="宋体" w:hAnsi="宋体" w:cs="宋体"/>
                <w:spacing w:val="-5"/>
                <w:sz w:val="16"/>
                <w:szCs w:val="16"/>
              </w:rPr>
              <w:t>14</w:t>
            </w:r>
            <w:r>
              <w:rPr>
                <w:rFonts w:ascii="宋体" w:eastAsia="宋体" w:hAnsi="宋体" w:cs="宋体"/>
                <w:spacing w:val="1"/>
                <w:sz w:val="16"/>
                <w:szCs w:val="16"/>
              </w:rPr>
              <w:t xml:space="preserve">         </w:t>
            </w:r>
            <w:r>
              <w:rPr>
                <w:rFonts w:ascii="宋体" w:eastAsia="宋体" w:hAnsi="宋体" w:cs="宋体"/>
                <w:spacing w:val="-5"/>
                <w:sz w:val="16"/>
                <w:szCs w:val="16"/>
              </w:rPr>
              <w:t>1.3</w:t>
            </w:r>
            <w:r>
              <w:rPr>
                <w:rFonts w:ascii="宋体" w:eastAsia="宋体" w:hAnsi="宋体" w:cs="宋体"/>
                <w:spacing w:val="2"/>
                <w:sz w:val="16"/>
                <w:szCs w:val="16"/>
              </w:rPr>
              <w:t xml:space="preserve">          </w:t>
            </w:r>
            <w:r>
              <w:rPr>
                <w:rFonts w:ascii="宋体" w:eastAsia="宋体" w:hAnsi="宋体" w:cs="宋体"/>
                <w:spacing w:val="-5"/>
                <w:sz w:val="16"/>
                <w:szCs w:val="16"/>
              </w:rPr>
              <w:t>1.4</w:t>
            </w:r>
            <w:r>
              <w:rPr>
                <w:rFonts w:ascii="宋体" w:eastAsia="宋体" w:hAnsi="宋体" w:cs="宋体"/>
                <w:spacing w:val="8"/>
                <w:sz w:val="16"/>
                <w:szCs w:val="16"/>
              </w:rPr>
              <w:t xml:space="preserve">        </w:t>
            </w:r>
            <w:r>
              <w:rPr>
                <w:rFonts w:ascii="宋体" w:eastAsia="宋体" w:hAnsi="宋体" w:cs="宋体"/>
                <w:spacing w:val="-5"/>
                <w:sz w:val="16"/>
                <w:szCs w:val="16"/>
              </w:rPr>
              <w:t>1.5</w:t>
            </w:r>
            <w:r>
              <w:rPr>
                <w:rFonts w:ascii="宋体" w:eastAsia="宋体" w:hAnsi="宋体" w:cs="宋体"/>
                <w:spacing w:val="13"/>
                <w:sz w:val="16"/>
                <w:szCs w:val="16"/>
              </w:rPr>
              <w:t xml:space="preserve">      </w:t>
            </w:r>
            <w:r>
              <w:rPr>
                <w:rFonts w:ascii="宋体" w:eastAsia="宋体" w:hAnsi="宋体" w:cs="宋体"/>
                <w:spacing w:val="-5"/>
                <w:position w:val="-1"/>
                <w:sz w:val="16"/>
                <w:szCs w:val="16"/>
              </w:rPr>
              <w:t>2.4</w:t>
            </w:r>
            <w:r>
              <w:rPr>
                <w:rFonts w:ascii="宋体" w:eastAsia="宋体" w:hAnsi="宋体" w:cs="宋体"/>
                <w:spacing w:val="2"/>
                <w:position w:val="-1"/>
                <w:sz w:val="16"/>
                <w:szCs w:val="16"/>
              </w:rPr>
              <w:t xml:space="preserve">     </w:t>
            </w:r>
            <w:r>
              <w:rPr>
                <w:rFonts w:ascii="宋体" w:eastAsia="宋体" w:hAnsi="宋体" w:cs="宋体"/>
                <w:spacing w:val="-5"/>
                <w:sz w:val="16"/>
                <w:szCs w:val="16"/>
              </w:rPr>
              <w:t>100</w:t>
            </w:r>
            <w:r>
              <w:rPr>
                <w:rFonts w:ascii="宋体" w:eastAsia="宋体" w:hAnsi="宋体" w:cs="宋体"/>
                <w:spacing w:val="3"/>
                <w:sz w:val="16"/>
                <w:szCs w:val="16"/>
              </w:rPr>
              <w:t xml:space="preserve">     </w:t>
            </w:r>
            <w:r>
              <w:rPr>
                <w:rFonts w:ascii="宋体" w:eastAsia="宋体" w:hAnsi="宋体" w:cs="宋体"/>
                <w:spacing w:val="-5"/>
                <w:position w:val="-2"/>
                <w:sz w:val="16"/>
                <w:szCs w:val="16"/>
              </w:rPr>
              <w:t>5.0</w:t>
            </w:r>
            <w:r>
              <w:rPr>
                <w:rFonts w:ascii="宋体" w:eastAsia="宋体" w:hAnsi="宋体" w:cs="宋体"/>
                <w:spacing w:val="15"/>
                <w:position w:val="-2"/>
                <w:sz w:val="16"/>
                <w:szCs w:val="16"/>
              </w:rPr>
              <w:t xml:space="preserve">    </w:t>
            </w:r>
            <w:r>
              <w:rPr>
                <w:rFonts w:ascii="宋体" w:eastAsia="宋体" w:hAnsi="宋体" w:cs="宋体"/>
                <w:spacing w:val="-5"/>
                <w:sz w:val="16"/>
                <w:szCs w:val="16"/>
              </w:rPr>
              <w:t>400</w:t>
            </w:r>
            <w:r>
              <w:rPr>
                <w:rFonts w:ascii="宋体" w:eastAsia="宋体" w:hAnsi="宋体" w:cs="宋体"/>
                <w:spacing w:val="9"/>
                <w:sz w:val="16"/>
                <w:szCs w:val="16"/>
              </w:rPr>
              <w:t xml:space="preserve">        </w:t>
            </w:r>
            <w:r>
              <w:rPr>
                <w:rFonts w:ascii="宋体" w:eastAsia="宋体" w:hAnsi="宋体" w:cs="宋体"/>
                <w:spacing w:val="-5"/>
                <w:sz w:val="16"/>
                <w:szCs w:val="16"/>
              </w:rPr>
              <w:t>1</w:t>
            </w:r>
            <w:r>
              <w:rPr>
                <w:rFonts w:ascii="宋体" w:eastAsia="宋体" w:hAnsi="宋体" w:cs="宋体"/>
                <w:spacing w:val="-6"/>
                <w:sz w:val="16"/>
                <w:szCs w:val="16"/>
              </w:rPr>
              <w:t>3</w:t>
            </w:r>
          </w:p>
        </w:tc>
        <w:tc>
          <w:tcPr>
            <w:tcW w:w="602" w:type="dxa"/>
          </w:tcPr>
          <w:p w:rsidR="00EA40A3" w:rsidRDefault="00E86C16">
            <w:pPr>
              <w:spacing w:before="119" w:line="183"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29" w:line="183" w:lineRule="auto"/>
              <w:ind w:left="173"/>
              <w:rPr>
                <w:rFonts w:ascii="宋体" w:eastAsia="宋体" w:hAnsi="宋体" w:cs="宋体"/>
                <w:sz w:val="16"/>
                <w:szCs w:val="16"/>
              </w:rPr>
            </w:pPr>
            <w:r>
              <w:rPr>
                <w:rFonts w:ascii="宋体" w:eastAsia="宋体" w:hAnsi="宋体" w:cs="宋体"/>
                <w:spacing w:val="-5"/>
                <w:sz w:val="16"/>
                <w:szCs w:val="16"/>
              </w:rPr>
              <w:t>30</w:t>
            </w:r>
          </w:p>
        </w:tc>
      </w:tr>
      <w:tr w:rsidR="00EA40A3">
        <w:trPr>
          <w:trHeight w:val="309"/>
        </w:trPr>
        <w:tc>
          <w:tcPr>
            <w:tcW w:w="9755" w:type="dxa"/>
          </w:tcPr>
          <w:p w:rsidR="00EA40A3" w:rsidRDefault="00E86C16">
            <w:pPr>
              <w:spacing w:before="64" w:line="220" w:lineRule="auto"/>
              <w:ind w:left="40"/>
              <w:rPr>
                <w:rFonts w:ascii="宋体" w:eastAsia="宋体" w:hAnsi="宋体" w:cs="宋体"/>
                <w:sz w:val="16"/>
                <w:szCs w:val="16"/>
              </w:rPr>
            </w:pPr>
            <w:r>
              <w:rPr>
                <w:rFonts w:ascii="宋体" w:eastAsia="宋体" w:hAnsi="宋体" w:cs="宋体"/>
                <w:spacing w:val="6"/>
                <w:sz w:val="16"/>
                <w:szCs w:val="16"/>
              </w:rPr>
              <w:t>孕妇</w:t>
            </w:r>
          </w:p>
        </w:tc>
        <w:tc>
          <w:tcPr>
            <w:tcW w:w="602" w:type="dxa"/>
          </w:tcPr>
          <w:p w:rsidR="00EA40A3" w:rsidRDefault="00EA40A3"/>
        </w:tc>
        <w:tc>
          <w:tcPr>
            <w:tcW w:w="324" w:type="dxa"/>
          </w:tcPr>
          <w:p w:rsidR="00EA40A3" w:rsidRDefault="00EA40A3"/>
        </w:tc>
      </w:tr>
      <w:tr w:rsidR="00EA40A3">
        <w:trPr>
          <w:trHeight w:val="326"/>
        </w:trPr>
        <w:tc>
          <w:tcPr>
            <w:tcW w:w="9755" w:type="dxa"/>
          </w:tcPr>
          <w:p w:rsidR="00EA40A3" w:rsidRDefault="00E86C16">
            <w:pPr>
              <w:spacing w:before="84" w:line="219" w:lineRule="auto"/>
              <w:ind w:left="40"/>
              <w:rPr>
                <w:rFonts w:ascii="宋体" w:eastAsia="宋体" w:hAnsi="宋体" w:cs="宋体"/>
                <w:sz w:val="16"/>
                <w:szCs w:val="16"/>
              </w:rPr>
            </w:pPr>
            <w:r>
              <w:rPr>
                <w:rFonts w:ascii="宋体" w:eastAsia="宋体" w:hAnsi="宋体" w:cs="宋体"/>
                <w:spacing w:val="-5"/>
                <w:position w:val="1"/>
                <w:sz w:val="16"/>
                <w:szCs w:val="16"/>
              </w:rPr>
              <w:t>早期</w:t>
            </w:r>
            <w:r>
              <w:rPr>
                <w:rFonts w:ascii="宋体" w:eastAsia="宋体" w:hAnsi="宋体" w:cs="宋体"/>
                <w:spacing w:val="4"/>
                <w:position w:val="1"/>
                <w:sz w:val="16"/>
                <w:szCs w:val="16"/>
              </w:rPr>
              <w:t xml:space="preserve">       </w:t>
            </w:r>
            <w:r>
              <w:rPr>
                <w:rFonts w:ascii="宋体" w:eastAsia="宋体" w:hAnsi="宋体" w:cs="宋体"/>
                <w:spacing w:val="-5"/>
                <w:position w:val="-1"/>
                <w:sz w:val="16"/>
                <w:szCs w:val="16"/>
              </w:rPr>
              <w:t>800</w:t>
            </w:r>
            <w:r>
              <w:rPr>
                <w:rFonts w:ascii="宋体" w:eastAsia="宋体" w:hAnsi="宋体" w:cs="宋体"/>
                <w:spacing w:val="3"/>
                <w:position w:val="-1"/>
                <w:sz w:val="16"/>
                <w:szCs w:val="16"/>
              </w:rPr>
              <w:t xml:space="preserve">         </w:t>
            </w:r>
            <w:r>
              <w:rPr>
                <w:rFonts w:ascii="宋体" w:eastAsia="宋体" w:hAnsi="宋体" w:cs="宋体"/>
                <w:spacing w:val="-5"/>
                <w:sz w:val="16"/>
                <w:szCs w:val="16"/>
              </w:rPr>
              <w:t>5</w:t>
            </w:r>
            <w:r>
              <w:rPr>
                <w:rFonts w:ascii="宋体" w:eastAsia="宋体" w:hAnsi="宋体" w:cs="宋体"/>
                <w:spacing w:val="5"/>
                <w:sz w:val="16"/>
                <w:szCs w:val="16"/>
              </w:rPr>
              <w:t xml:space="preserve">        </w:t>
            </w:r>
            <w:r>
              <w:rPr>
                <w:rFonts w:ascii="宋体" w:eastAsia="宋体" w:hAnsi="宋体" w:cs="宋体"/>
                <w:spacing w:val="-5"/>
                <w:sz w:val="16"/>
                <w:szCs w:val="16"/>
              </w:rPr>
              <w:t>14</w:t>
            </w:r>
            <w:r>
              <w:rPr>
                <w:rFonts w:ascii="宋体" w:eastAsia="宋体" w:hAnsi="宋体" w:cs="宋体"/>
                <w:spacing w:val="1"/>
                <w:sz w:val="16"/>
                <w:szCs w:val="16"/>
              </w:rPr>
              <w:t xml:space="preserve">         </w:t>
            </w:r>
            <w:r>
              <w:rPr>
                <w:rFonts w:ascii="宋体" w:eastAsia="宋体" w:hAnsi="宋体" w:cs="宋体"/>
                <w:spacing w:val="-5"/>
                <w:sz w:val="16"/>
                <w:szCs w:val="16"/>
              </w:rPr>
              <w:t>1.5</w:t>
            </w:r>
            <w:r>
              <w:rPr>
                <w:rFonts w:ascii="宋体" w:eastAsia="宋体" w:hAnsi="宋体" w:cs="宋体"/>
                <w:spacing w:val="3"/>
                <w:sz w:val="16"/>
                <w:szCs w:val="16"/>
              </w:rPr>
              <w:t xml:space="preserve">          </w:t>
            </w:r>
            <w:r>
              <w:rPr>
                <w:rFonts w:ascii="宋体" w:eastAsia="宋体" w:hAnsi="宋体" w:cs="宋体"/>
                <w:spacing w:val="-5"/>
                <w:sz w:val="16"/>
                <w:szCs w:val="16"/>
              </w:rPr>
              <w:t>1.7</w:t>
            </w:r>
            <w:r>
              <w:rPr>
                <w:rFonts w:ascii="宋体" w:eastAsia="宋体" w:hAnsi="宋体" w:cs="宋体"/>
                <w:spacing w:val="7"/>
                <w:sz w:val="16"/>
                <w:szCs w:val="16"/>
              </w:rPr>
              <w:t xml:space="preserve">        </w:t>
            </w:r>
            <w:r>
              <w:rPr>
                <w:rFonts w:ascii="宋体" w:eastAsia="宋体" w:hAnsi="宋体" w:cs="宋体"/>
                <w:spacing w:val="-5"/>
                <w:sz w:val="16"/>
                <w:szCs w:val="16"/>
              </w:rPr>
              <w:t>1.9</w:t>
            </w:r>
            <w:r>
              <w:rPr>
                <w:rFonts w:ascii="宋体" w:eastAsia="宋体" w:hAnsi="宋体" w:cs="宋体"/>
                <w:spacing w:val="13"/>
                <w:sz w:val="16"/>
                <w:szCs w:val="16"/>
              </w:rPr>
              <w:t xml:space="preserve">      </w:t>
            </w:r>
            <w:r>
              <w:rPr>
                <w:rFonts w:ascii="宋体" w:eastAsia="宋体" w:hAnsi="宋体" w:cs="宋体"/>
                <w:spacing w:val="-5"/>
                <w:position w:val="-1"/>
                <w:sz w:val="16"/>
                <w:szCs w:val="16"/>
              </w:rPr>
              <w:t>2.6</w:t>
            </w:r>
            <w:r>
              <w:rPr>
                <w:rFonts w:ascii="宋体" w:eastAsia="宋体" w:hAnsi="宋体" w:cs="宋体"/>
                <w:spacing w:val="2"/>
                <w:position w:val="-1"/>
                <w:sz w:val="16"/>
                <w:szCs w:val="16"/>
              </w:rPr>
              <w:t xml:space="preserve">     </w:t>
            </w:r>
            <w:r>
              <w:rPr>
                <w:rFonts w:ascii="宋体" w:eastAsia="宋体" w:hAnsi="宋体" w:cs="宋体"/>
                <w:spacing w:val="-5"/>
                <w:sz w:val="16"/>
                <w:szCs w:val="16"/>
              </w:rPr>
              <w:t>100</w:t>
            </w:r>
            <w:r>
              <w:rPr>
                <w:rFonts w:ascii="宋体" w:eastAsia="宋体" w:hAnsi="宋体" w:cs="宋体"/>
                <w:spacing w:val="4"/>
                <w:sz w:val="16"/>
                <w:szCs w:val="16"/>
              </w:rPr>
              <w:t xml:space="preserve">     </w:t>
            </w:r>
            <w:r>
              <w:rPr>
                <w:rFonts w:ascii="宋体" w:eastAsia="宋体" w:hAnsi="宋体" w:cs="宋体"/>
                <w:spacing w:val="-5"/>
                <w:position w:val="-2"/>
                <w:sz w:val="16"/>
                <w:szCs w:val="16"/>
              </w:rPr>
              <w:t>6.0</w:t>
            </w:r>
            <w:r>
              <w:rPr>
                <w:rFonts w:ascii="宋体" w:eastAsia="宋体" w:hAnsi="宋体" w:cs="宋体"/>
                <w:spacing w:val="14"/>
                <w:position w:val="-2"/>
                <w:sz w:val="16"/>
                <w:szCs w:val="16"/>
              </w:rPr>
              <w:t xml:space="preserve">    </w:t>
            </w:r>
            <w:r>
              <w:rPr>
                <w:rFonts w:ascii="宋体" w:eastAsia="宋体" w:hAnsi="宋体" w:cs="宋体"/>
                <w:spacing w:val="-5"/>
                <w:sz w:val="16"/>
                <w:szCs w:val="16"/>
              </w:rPr>
              <w:t>600</w:t>
            </w:r>
            <w:r>
              <w:rPr>
                <w:rFonts w:ascii="宋体" w:eastAsia="宋体" w:hAnsi="宋体" w:cs="宋体"/>
                <w:spacing w:val="10"/>
                <w:sz w:val="16"/>
                <w:szCs w:val="16"/>
              </w:rPr>
              <w:t xml:space="preserve">        </w:t>
            </w:r>
            <w:r>
              <w:rPr>
                <w:rFonts w:ascii="宋体" w:eastAsia="宋体" w:hAnsi="宋体" w:cs="宋体"/>
                <w:spacing w:val="-5"/>
                <w:sz w:val="16"/>
                <w:szCs w:val="16"/>
              </w:rPr>
              <w:t>15</w:t>
            </w:r>
          </w:p>
        </w:tc>
        <w:tc>
          <w:tcPr>
            <w:tcW w:w="602" w:type="dxa"/>
          </w:tcPr>
          <w:p w:rsidR="00EA40A3" w:rsidRDefault="00E86C16">
            <w:pPr>
              <w:spacing w:before="135" w:line="183"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35" w:line="183" w:lineRule="auto"/>
              <w:ind w:left="173"/>
              <w:rPr>
                <w:rFonts w:ascii="宋体" w:eastAsia="宋体" w:hAnsi="宋体" w:cs="宋体"/>
                <w:sz w:val="16"/>
                <w:szCs w:val="16"/>
              </w:rPr>
            </w:pPr>
            <w:r>
              <w:rPr>
                <w:rFonts w:ascii="宋体" w:eastAsia="宋体" w:hAnsi="宋体" w:cs="宋体"/>
                <w:spacing w:val="-5"/>
                <w:sz w:val="16"/>
                <w:szCs w:val="16"/>
              </w:rPr>
              <w:t>30</w:t>
            </w:r>
          </w:p>
        </w:tc>
      </w:tr>
      <w:tr w:rsidR="00EA40A3">
        <w:trPr>
          <w:trHeight w:val="315"/>
        </w:trPr>
        <w:tc>
          <w:tcPr>
            <w:tcW w:w="9755" w:type="dxa"/>
          </w:tcPr>
          <w:p w:rsidR="00EA40A3" w:rsidRDefault="00E86C16">
            <w:pPr>
              <w:spacing w:before="68" w:line="219" w:lineRule="auto"/>
              <w:ind w:left="40"/>
              <w:rPr>
                <w:rFonts w:ascii="宋体" w:eastAsia="宋体" w:hAnsi="宋体" w:cs="宋体"/>
                <w:sz w:val="16"/>
                <w:szCs w:val="16"/>
              </w:rPr>
            </w:pPr>
            <w:r>
              <w:rPr>
                <w:rFonts w:ascii="宋体" w:eastAsia="宋体" w:hAnsi="宋体" w:cs="宋体"/>
                <w:spacing w:val="-4"/>
                <w:position w:val="2"/>
                <w:sz w:val="16"/>
                <w:szCs w:val="16"/>
              </w:rPr>
              <w:t>中期</w:t>
            </w:r>
            <w:r>
              <w:rPr>
                <w:rFonts w:ascii="宋体" w:eastAsia="宋体" w:hAnsi="宋体" w:cs="宋体"/>
                <w:spacing w:val="1"/>
                <w:position w:val="2"/>
                <w:sz w:val="16"/>
                <w:szCs w:val="16"/>
              </w:rPr>
              <w:t xml:space="preserve">       </w:t>
            </w:r>
            <w:r>
              <w:rPr>
                <w:rFonts w:ascii="宋体" w:eastAsia="宋体" w:hAnsi="宋体" w:cs="宋体"/>
                <w:spacing w:val="-4"/>
                <w:position w:val="-1"/>
                <w:sz w:val="16"/>
                <w:szCs w:val="16"/>
              </w:rPr>
              <w:t>900</w:t>
            </w:r>
            <w:r>
              <w:rPr>
                <w:rFonts w:ascii="宋体" w:eastAsia="宋体" w:hAnsi="宋体" w:cs="宋体"/>
                <w:spacing w:val="8"/>
                <w:position w:val="-1"/>
                <w:sz w:val="16"/>
                <w:szCs w:val="16"/>
              </w:rPr>
              <w:t xml:space="preserve">        </w:t>
            </w:r>
            <w:r>
              <w:rPr>
                <w:rFonts w:ascii="宋体" w:eastAsia="宋体" w:hAnsi="宋体" w:cs="宋体"/>
                <w:spacing w:val="-4"/>
                <w:position w:val="-1"/>
                <w:sz w:val="16"/>
                <w:szCs w:val="16"/>
              </w:rPr>
              <w:t>10</w:t>
            </w:r>
            <w:r>
              <w:rPr>
                <w:rFonts w:ascii="宋体" w:eastAsia="宋体" w:hAnsi="宋体" w:cs="宋体"/>
                <w:spacing w:val="1"/>
                <w:position w:val="-1"/>
                <w:sz w:val="16"/>
                <w:szCs w:val="16"/>
              </w:rPr>
              <w:t xml:space="preserve">        </w:t>
            </w:r>
            <w:r>
              <w:rPr>
                <w:rFonts w:ascii="宋体" w:eastAsia="宋体" w:hAnsi="宋体" w:cs="宋体"/>
                <w:spacing w:val="-4"/>
                <w:sz w:val="16"/>
                <w:szCs w:val="16"/>
              </w:rPr>
              <w:t>14</w:t>
            </w:r>
            <w:r>
              <w:rPr>
                <w:rFonts w:ascii="宋体" w:eastAsia="宋体" w:hAnsi="宋体" w:cs="宋体"/>
                <w:spacing w:val="1"/>
                <w:sz w:val="16"/>
                <w:szCs w:val="16"/>
              </w:rPr>
              <w:t xml:space="preserve">         </w:t>
            </w:r>
            <w:r>
              <w:rPr>
                <w:rFonts w:ascii="宋体" w:eastAsia="宋体" w:hAnsi="宋体" w:cs="宋体"/>
                <w:spacing w:val="-4"/>
                <w:sz w:val="16"/>
                <w:szCs w:val="16"/>
              </w:rPr>
              <w:t>1.5</w:t>
            </w:r>
            <w:r>
              <w:rPr>
                <w:rFonts w:ascii="宋体" w:eastAsia="宋体" w:hAnsi="宋体" w:cs="宋体"/>
                <w:spacing w:val="3"/>
                <w:sz w:val="16"/>
                <w:szCs w:val="16"/>
              </w:rPr>
              <w:t xml:space="preserve">          </w:t>
            </w:r>
            <w:r>
              <w:rPr>
                <w:rFonts w:ascii="宋体" w:eastAsia="宋体" w:hAnsi="宋体" w:cs="宋体"/>
                <w:spacing w:val="-4"/>
                <w:sz w:val="16"/>
                <w:szCs w:val="16"/>
              </w:rPr>
              <w:t>1.7</w:t>
            </w:r>
            <w:r>
              <w:rPr>
                <w:rFonts w:ascii="宋体" w:eastAsia="宋体" w:hAnsi="宋体" w:cs="宋体"/>
                <w:spacing w:val="7"/>
                <w:sz w:val="16"/>
                <w:szCs w:val="16"/>
              </w:rPr>
              <w:t xml:space="preserve">        </w:t>
            </w:r>
            <w:r>
              <w:rPr>
                <w:rFonts w:ascii="宋体" w:eastAsia="宋体" w:hAnsi="宋体" w:cs="宋体"/>
                <w:spacing w:val="-4"/>
                <w:sz w:val="16"/>
                <w:szCs w:val="16"/>
              </w:rPr>
              <w:t>1.9</w:t>
            </w:r>
            <w:r>
              <w:rPr>
                <w:rFonts w:ascii="宋体" w:eastAsia="宋体" w:hAnsi="宋体" w:cs="宋体"/>
                <w:spacing w:val="13"/>
                <w:sz w:val="16"/>
                <w:szCs w:val="16"/>
              </w:rPr>
              <w:t xml:space="preserve">      </w:t>
            </w:r>
            <w:r>
              <w:rPr>
                <w:rFonts w:ascii="宋体" w:eastAsia="宋体" w:hAnsi="宋体" w:cs="宋体"/>
                <w:spacing w:val="-4"/>
                <w:sz w:val="16"/>
                <w:szCs w:val="16"/>
              </w:rPr>
              <w:t>2.6</w:t>
            </w:r>
            <w:r>
              <w:rPr>
                <w:rFonts w:ascii="宋体" w:eastAsia="宋体" w:hAnsi="宋体" w:cs="宋体"/>
                <w:spacing w:val="2"/>
                <w:sz w:val="16"/>
                <w:szCs w:val="16"/>
              </w:rPr>
              <w:t xml:space="preserve">     </w:t>
            </w:r>
            <w:r>
              <w:rPr>
                <w:rFonts w:ascii="宋体" w:eastAsia="宋体" w:hAnsi="宋体" w:cs="宋体"/>
                <w:spacing w:val="-4"/>
                <w:sz w:val="16"/>
                <w:szCs w:val="16"/>
              </w:rPr>
              <w:t>1</w:t>
            </w:r>
            <w:r>
              <w:rPr>
                <w:rFonts w:ascii="宋体" w:eastAsia="宋体" w:hAnsi="宋体" w:cs="宋体"/>
                <w:spacing w:val="-5"/>
                <w:sz w:val="16"/>
                <w:szCs w:val="16"/>
              </w:rPr>
              <w:t>30</w:t>
            </w:r>
            <w:r>
              <w:rPr>
                <w:rFonts w:ascii="宋体" w:eastAsia="宋体" w:hAnsi="宋体" w:cs="宋体"/>
                <w:spacing w:val="4"/>
                <w:sz w:val="16"/>
                <w:szCs w:val="16"/>
              </w:rPr>
              <w:t xml:space="preserve">     </w:t>
            </w:r>
            <w:r>
              <w:rPr>
                <w:rFonts w:ascii="宋体" w:eastAsia="宋体" w:hAnsi="宋体" w:cs="宋体"/>
                <w:spacing w:val="-5"/>
                <w:position w:val="-1"/>
                <w:sz w:val="16"/>
                <w:szCs w:val="16"/>
              </w:rPr>
              <w:t>6.0</w:t>
            </w:r>
            <w:r>
              <w:rPr>
                <w:rFonts w:ascii="宋体" w:eastAsia="宋体" w:hAnsi="宋体" w:cs="宋体"/>
                <w:spacing w:val="14"/>
                <w:position w:val="-1"/>
                <w:sz w:val="16"/>
                <w:szCs w:val="16"/>
              </w:rPr>
              <w:t xml:space="preserve">    </w:t>
            </w:r>
            <w:r>
              <w:rPr>
                <w:rFonts w:ascii="宋体" w:eastAsia="宋体" w:hAnsi="宋体" w:cs="宋体"/>
                <w:spacing w:val="-5"/>
                <w:sz w:val="16"/>
                <w:szCs w:val="16"/>
              </w:rPr>
              <w:t>600</w:t>
            </w:r>
            <w:r>
              <w:rPr>
                <w:rFonts w:ascii="宋体" w:eastAsia="宋体" w:hAnsi="宋体" w:cs="宋体"/>
                <w:spacing w:val="9"/>
                <w:sz w:val="16"/>
                <w:szCs w:val="16"/>
              </w:rPr>
              <w:t xml:space="preserve">        </w:t>
            </w:r>
            <w:r>
              <w:rPr>
                <w:rFonts w:ascii="宋体" w:eastAsia="宋体" w:hAnsi="宋体" w:cs="宋体"/>
                <w:spacing w:val="-5"/>
                <w:sz w:val="16"/>
                <w:szCs w:val="16"/>
              </w:rPr>
              <w:t>15</w:t>
            </w:r>
          </w:p>
        </w:tc>
        <w:tc>
          <w:tcPr>
            <w:tcW w:w="602" w:type="dxa"/>
          </w:tcPr>
          <w:p w:rsidR="00EA40A3" w:rsidRDefault="00E86C16">
            <w:pPr>
              <w:spacing w:before="109" w:line="183"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19" w:line="183" w:lineRule="auto"/>
              <w:ind w:left="173"/>
              <w:rPr>
                <w:rFonts w:ascii="宋体" w:eastAsia="宋体" w:hAnsi="宋体" w:cs="宋体"/>
                <w:sz w:val="16"/>
                <w:szCs w:val="16"/>
              </w:rPr>
            </w:pPr>
            <w:r>
              <w:rPr>
                <w:rFonts w:ascii="宋体" w:eastAsia="宋体" w:hAnsi="宋体" w:cs="宋体"/>
                <w:spacing w:val="-5"/>
                <w:sz w:val="16"/>
                <w:szCs w:val="16"/>
              </w:rPr>
              <w:t>30</w:t>
            </w:r>
          </w:p>
        </w:tc>
      </w:tr>
      <w:tr w:rsidR="00EA40A3">
        <w:trPr>
          <w:trHeight w:val="320"/>
        </w:trPr>
        <w:tc>
          <w:tcPr>
            <w:tcW w:w="9755" w:type="dxa"/>
          </w:tcPr>
          <w:p w:rsidR="00EA40A3" w:rsidRDefault="00E86C16">
            <w:pPr>
              <w:spacing w:before="73" w:line="219" w:lineRule="auto"/>
              <w:ind w:left="40"/>
              <w:rPr>
                <w:rFonts w:ascii="宋体" w:eastAsia="宋体" w:hAnsi="宋体" w:cs="宋体"/>
                <w:sz w:val="16"/>
                <w:szCs w:val="16"/>
              </w:rPr>
            </w:pPr>
            <w:r>
              <w:rPr>
                <w:rFonts w:ascii="宋体" w:eastAsia="宋体" w:hAnsi="宋体" w:cs="宋体"/>
                <w:spacing w:val="-4"/>
                <w:position w:val="1"/>
                <w:sz w:val="16"/>
                <w:szCs w:val="16"/>
              </w:rPr>
              <w:t>晚期</w:t>
            </w:r>
            <w:r>
              <w:rPr>
                <w:rFonts w:ascii="宋体" w:eastAsia="宋体" w:hAnsi="宋体" w:cs="宋体"/>
                <w:spacing w:val="1"/>
                <w:position w:val="1"/>
                <w:sz w:val="16"/>
                <w:szCs w:val="16"/>
              </w:rPr>
              <w:t xml:space="preserve">       </w:t>
            </w:r>
            <w:r>
              <w:rPr>
                <w:rFonts w:ascii="宋体" w:eastAsia="宋体" w:hAnsi="宋体" w:cs="宋体"/>
                <w:spacing w:val="-4"/>
                <w:position w:val="-2"/>
                <w:sz w:val="16"/>
                <w:szCs w:val="16"/>
              </w:rPr>
              <w:t>900</w:t>
            </w:r>
            <w:r>
              <w:rPr>
                <w:rFonts w:ascii="宋体" w:eastAsia="宋体" w:hAnsi="宋体" w:cs="宋体"/>
                <w:spacing w:val="8"/>
                <w:position w:val="-2"/>
                <w:sz w:val="16"/>
                <w:szCs w:val="16"/>
              </w:rPr>
              <w:t xml:space="preserve">        </w:t>
            </w:r>
            <w:r>
              <w:rPr>
                <w:rFonts w:ascii="宋体" w:eastAsia="宋体" w:hAnsi="宋体" w:cs="宋体"/>
                <w:spacing w:val="-4"/>
                <w:sz w:val="16"/>
                <w:szCs w:val="16"/>
              </w:rPr>
              <w:t>10</w:t>
            </w:r>
            <w:r>
              <w:rPr>
                <w:rFonts w:ascii="宋体" w:eastAsia="宋体" w:hAnsi="宋体" w:cs="宋体"/>
                <w:spacing w:val="1"/>
                <w:sz w:val="16"/>
                <w:szCs w:val="16"/>
              </w:rPr>
              <w:t xml:space="preserve">        </w:t>
            </w:r>
            <w:r>
              <w:rPr>
                <w:rFonts w:ascii="宋体" w:eastAsia="宋体" w:hAnsi="宋体" w:cs="宋体"/>
                <w:spacing w:val="-4"/>
                <w:position w:val="-1"/>
                <w:sz w:val="16"/>
                <w:szCs w:val="16"/>
              </w:rPr>
              <w:t>14</w:t>
            </w:r>
            <w:r>
              <w:rPr>
                <w:rFonts w:ascii="宋体" w:eastAsia="宋体" w:hAnsi="宋体" w:cs="宋体"/>
                <w:spacing w:val="1"/>
                <w:position w:val="-1"/>
                <w:sz w:val="16"/>
                <w:szCs w:val="16"/>
              </w:rPr>
              <w:t xml:space="preserve">         </w:t>
            </w:r>
            <w:r>
              <w:rPr>
                <w:rFonts w:ascii="宋体" w:eastAsia="宋体" w:hAnsi="宋体" w:cs="宋体"/>
                <w:spacing w:val="-4"/>
                <w:sz w:val="16"/>
                <w:szCs w:val="16"/>
              </w:rPr>
              <w:t>1.5</w:t>
            </w:r>
            <w:r>
              <w:rPr>
                <w:rFonts w:ascii="宋体" w:eastAsia="宋体" w:hAnsi="宋体" w:cs="宋体"/>
                <w:spacing w:val="3"/>
                <w:sz w:val="16"/>
                <w:szCs w:val="16"/>
              </w:rPr>
              <w:t xml:space="preserve">          </w:t>
            </w:r>
            <w:r>
              <w:rPr>
                <w:rFonts w:ascii="宋体" w:eastAsia="宋体" w:hAnsi="宋体" w:cs="宋体"/>
                <w:spacing w:val="-4"/>
                <w:sz w:val="16"/>
                <w:szCs w:val="16"/>
              </w:rPr>
              <w:t>1.7</w:t>
            </w:r>
            <w:r>
              <w:rPr>
                <w:rFonts w:ascii="宋体" w:eastAsia="宋体" w:hAnsi="宋体" w:cs="宋体"/>
                <w:spacing w:val="7"/>
                <w:sz w:val="16"/>
                <w:szCs w:val="16"/>
              </w:rPr>
              <w:t xml:space="preserve">        </w:t>
            </w:r>
            <w:r>
              <w:rPr>
                <w:rFonts w:ascii="宋体" w:eastAsia="宋体" w:hAnsi="宋体" w:cs="宋体"/>
                <w:spacing w:val="-4"/>
                <w:sz w:val="16"/>
                <w:szCs w:val="16"/>
              </w:rPr>
              <w:t>1.9</w:t>
            </w:r>
            <w:r>
              <w:rPr>
                <w:rFonts w:ascii="宋体" w:eastAsia="宋体" w:hAnsi="宋体" w:cs="宋体"/>
                <w:spacing w:val="13"/>
                <w:sz w:val="16"/>
                <w:szCs w:val="16"/>
              </w:rPr>
              <w:t xml:space="preserve">      </w:t>
            </w:r>
            <w:r>
              <w:rPr>
                <w:rFonts w:ascii="宋体" w:eastAsia="宋体" w:hAnsi="宋体" w:cs="宋体"/>
                <w:spacing w:val="-4"/>
                <w:sz w:val="16"/>
                <w:szCs w:val="16"/>
              </w:rPr>
              <w:t>2.6</w:t>
            </w:r>
            <w:r>
              <w:rPr>
                <w:rFonts w:ascii="宋体" w:eastAsia="宋体" w:hAnsi="宋体" w:cs="宋体"/>
                <w:spacing w:val="2"/>
                <w:sz w:val="16"/>
                <w:szCs w:val="16"/>
              </w:rPr>
              <w:t xml:space="preserve">     </w:t>
            </w:r>
            <w:r>
              <w:rPr>
                <w:rFonts w:ascii="宋体" w:eastAsia="宋体" w:hAnsi="宋体" w:cs="宋体"/>
                <w:spacing w:val="-4"/>
                <w:sz w:val="16"/>
                <w:szCs w:val="16"/>
              </w:rPr>
              <w:t>1</w:t>
            </w:r>
            <w:r>
              <w:rPr>
                <w:rFonts w:ascii="宋体" w:eastAsia="宋体" w:hAnsi="宋体" w:cs="宋体"/>
                <w:spacing w:val="-5"/>
                <w:sz w:val="16"/>
                <w:szCs w:val="16"/>
              </w:rPr>
              <w:t>30</w:t>
            </w:r>
            <w:r>
              <w:rPr>
                <w:rFonts w:ascii="宋体" w:eastAsia="宋体" w:hAnsi="宋体" w:cs="宋体"/>
                <w:spacing w:val="4"/>
                <w:sz w:val="16"/>
                <w:szCs w:val="16"/>
              </w:rPr>
              <w:t xml:space="preserve">     </w:t>
            </w:r>
            <w:r>
              <w:rPr>
                <w:rFonts w:ascii="宋体" w:eastAsia="宋体" w:hAnsi="宋体" w:cs="宋体"/>
                <w:spacing w:val="-5"/>
                <w:position w:val="-1"/>
                <w:sz w:val="16"/>
                <w:szCs w:val="16"/>
              </w:rPr>
              <w:t>6.0</w:t>
            </w:r>
            <w:r>
              <w:rPr>
                <w:rFonts w:ascii="宋体" w:eastAsia="宋体" w:hAnsi="宋体" w:cs="宋体"/>
                <w:spacing w:val="14"/>
                <w:position w:val="-1"/>
                <w:sz w:val="16"/>
                <w:szCs w:val="16"/>
              </w:rPr>
              <w:t xml:space="preserve">    </w:t>
            </w:r>
            <w:r>
              <w:rPr>
                <w:rFonts w:ascii="宋体" w:eastAsia="宋体" w:hAnsi="宋体" w:cs="宋体"/>
                <w:spacing w:val="-5"/>
                <w:sz w:val="16"/>
                <w:szCs w:val="16"/>
              </w:rPr>
              <w:t>600</w:t>
            </w:r>
            <w:r>
              <w:rPr>
                <w:rFonts w:ascii="宋体" w:eastAsia="宋体" w:hAnsi="宋体" w:cs="宋体"/>
                <w:spacing w:val="9"/>
                <w:sz w:val="16"/>
                <w:szCs w:val="16"/>
              </w:rPr>
              <w:t xml:space="preserve">        </w:t>
            </w:r>
            <w:r>
              <w:rPr>
                <w:rFonts w:ascii="宋体" w:eastAsia="宋体" w:hAnsi="宋体" w:cs="宋体"/>
                <w:spacing w:val="-5"/>
                <w:sz w:val="16"/>
                <w:szCs w:val="16"/>
              </w:rPr>
              <w:t>15</w:t>
            </w:r>
          </w:p>
        </w:tc>
        <w:tc>
          <w:tcPr>
            <w:tcW w:w="602" w:type="dxa"/>
          </w:tcPr>
          <w:p w:rsidR="00EA40A3" w:rsidRDefault="00E86C16">
            <w:pPr>
              <w:spacing w:before="114" w:line="183"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24" w:line="183" w:lineRule="auto"/>
              <w:ind w:left="173"/>
              <w:rPr>
                <w:rFonts w:ascii="宋体" w:eastAsia="宋体" w:hAnsi="宋体" w:cs="宋体"/>
                <w:sz w:val="16"/>
                <w:szCs w:val="16"/>
              </w:rPr>
            </w:pPr>
            <w:r>
              <w:rPr>
                <w:rFonts w:ascii="宋体" w:eastAsia="宋体" w:hAnsi="宋体" w:cs="宋体"/>
                <w:spacing w:val="-5"/>
                <w:sz w:val="16"/>
                <w:szCs w:val="16"/>
              </w:rPr>
              <w:t>30</w:t>
            </w:r>
          </w:p>
        </w:tc>
      </w:tr>
      <w:tr w:rsidR="00EA40A3">
        <w:trPr>
          <w:trHeight w:val="244"/>
        </w:trPr>
        <w:tc>
          <w:tcPr>
            <w:tcW w:w="9755" w:type="dxa"/>
          </w:tcPr>
          <w:p w:rsidR="00EA40A3" w:rsidRDefault="00E86C16">
            <w:pPr>
              <w:spacing w:before="75" w:line="171" w:lineRule="auto"/>
              <w:ind w:left="40"/>
              <w:rPr>
                <w:rFonts w:ascii="宋体" w:eastAsia="宋体" w:hAnsi="宋体" w:cs="宋体"/>
                <w:sz w:val="15"/>
                <w:szCs w:val="15"/>
              </w:rPr>
            </w:pPr>
            <w:r>
              <w:rPr>
                <w:rFonts w:ascii="宋体" w:eastAsia="宋体" w:hAnsi="宋体" w:cs="宋体"/>
                <w:position w:val="1"/>
                <w:sz w:val="15"/>
                <w:szCs w:val="15"/>
              </w:rPr>
              <w:t>乳母</w:t>
            </w:r>
            <w:r>
              <w:rPr>
                <w:rFonts w:ascii="宋体" w:eastAsia="宋体" w:hAnsi="宋体" w:cs="宋体"/>
                <w:spacing w:val="3"/>
                <w:position w:val="1"/>
                <w:sz w:val="15"/>
                <w:szCs w:val="15"/>
              </w:rPr>
              <w:t xml:space="preserve">       </w:t>
            </w:r>
            <w:r>
              <w:rPr>
                <w:rFonts w:ascii="宋体" w:eastAsia="宋体" w:hAnsi="宋体" w:cs="宋体"/>
                <w:sz w:val="15"/>
                <w:szCs w:val="15"/>
              </w:rPr>
              <w:t xml:space="preserve">1200         </w:t>
            </w:r>
            <w:r>
              <w:rPr>
                <w:rFonts w:ascii="宋体" w:eastAsia="宋体" w:hAnsi="宋体" w:cs="宋体"/>
                <w:position w:val="-1"/>
                <w:sz w:val="15"/>
                <w:szCs w:val="15"/>
              </w:rPr>
              <w:t>10</w:t>
            </w:r>
            <w:r>
              <w:rPr>
                <w:rFonts w:ascii="宋体" w:eastAsia="宋体" w:hAnsi="宋体" w:cs="宋体"/>
                <w:spacing w:val="6"/>
                <w:position w:val="-1"/>
                <w:sz w:val="15"/>
                <w:szCs w:val="15"/>
              </w:rPr>
              <w:t xml:space="preserve">        </w:t>
            </w:r>
            <w:r>
              <w:rPr>
                <w:rFonts w:ascii="宋体" w:eastAsia="宋体" w:hAnsi="宋体" w:cs="宋体"/>
                <w:position w:val="-2"/>
                <w:sz w:val="15"/>
                <w:szCs w:val="15"/>
              </w:rPr>
              <w:t>14</w:t>
            </w:r>
            <w:r>
              <w:rPr>
                <w:rFonts w:ascii="宋体" w:eastAsia="宋体" w:hAnsi="宋体" w:cs="宋体"/>
                <w:spacing w:val="6"/>
                <w:position w:val="-2"/>
                <w:sz w:val="15"/>
                <w:szCs w:val="15"/>
              </w:rPr>
              <w:t xml:space="preserve">         </w:t>
            </w:r>
            <w:r>
              <w:rPr>
                <w:rFonts w:ascii="宋体" w:eastAsia="宋体" w:hAnsi="宋体" w:cs="宋体"/>
                <w:position w:val="-1"/>
                <w:sz w:val="15"/>
                <w:szCs w:val="15"/>
              </w:rPr>
              <w:t>1.8           1.7</w:t>
            </w:r>
            <w:r>
              <w:rPr>
                <w:rFonts w:ascii="宋体" w:eastAsia="宋体" w:hAnsi="宋体" w:cs="宋体"/>
                <w:spacing w:val="3"/>
                <w:position w:val="-1"/>
                <w:sz w:val="15"/>
                <w:szCs w:val="15"/>
              </w:rPr>
              <w:t xml:space="preserve">         </w:t>
            </w:r>
            <w:r>
              <w:rPr>
                <w:rFonts w:ascii="宋体" w:eastAsia="宋体" w:hAnsi="宋体" w:cs="宋体"/>
                <w:sz w:val="15"/>
                <w:szCs w:val="15"/>
              </w:rPr>
              <w:t>1.9</w:t>
            </w:r>
            <w:r>
              <w:rPr>
                <w:rFonts w:ascii="宋体" w:eastAsia="宋体" w:hAnsi="宋体" w:cs="宋体"/>
                <w:spacing w:val="5"/>
                <w:sz w:val="15"/>
                <w:szCs w:val="15"/>
              </w:rPr>
              <w:t xml:space="preserve">       </w:t>
            </w:r>
            <w:r>
              <w:rPr>
                <w:rFonts w:ascii="宋体" w:eastAsia="宋体" w:hAnsi="宋体" w:cs="宋体"/>
                <w:sz w:val="15"/>
                <w:szCs w:val="15"/>
              </w:rPr>
              <w:t>2.8</w:t>
            </w:r>
            <w:r>
              <w:rPr>
                <w:rFonts w:ascii="宋体" w:eastAsia="宋体" w:hAnsi="宋体" w:cs="宋体"/>
                <w:spacing w:val="6"/>
                <w:sz w:val="15"/>
                <w:szCs w:val="15"/>
              </w:rPr>
              <w:t xml:space="preserve">     </w:t>
            </w:r>
            <w:r>
              <w:rPr>
                <w:rFonts w:ascii="宋体" w:eastAsia="宋体" w:hAnsi="宋体" w:cs="宋体"/>
                <w:sz w:val="15"/>
                <w:szCs w:val="15"/>
              </w:rPr>
              <w:t>130</w:t>
            </w:r>
            <w:r>
              <w:rPr>
                <w:rFonts w:ascii="宋体" w:eastAsia="宋体" w:hAnsi="宋体" w:cs="宋体"/>
                <w:spacing w:val="9"/>
                <w:sz w:val="15"/>
                <w:szCs w:val="15"/>
              </w:rPr>
              <w:t xml:space="preserve">     </w:t>
            </w:r>
            <w:r>
              <w:rPr>
                <w:rFonts w:ascii="宋体" w:eastAsia="宋体" w:hAnsi="宋体" w:cs="宋体"/>
                <w:sz w:val="15"/>
                <w:szCs w:val="15"/>
              </w:rPr>
              <w:t>7.0</w:t>
            </w:r>
            <w:r>
              <w:rPr>
                <w:rFonts w:ascii="宋体" w:eastAsia="宋体" w:hAnsi="宋体" w:cs="宋体"/>
                <w:spacing w:val="1"/>
                <w:sz w:val="15"/>
                <w:szCs w:val="15"/>
              </w:rPr>
              <w:t xml:space="preserve">     </w:t>
            </w:r>
            <w:r>
              <w:rPr>
                <w:rFonts w:ascii="宋体" w:eastAsia="宋体" w:hAnsi="宋体" w:cs="宋体"/>
                <w:sz w:val="15"/>
                <w:szCs w:val="15"/>
              </w:rPr>
              <w:t>500</w:t>
            </w:r>
            <w:r>
              <w:rPr>
                <w:rFonts w:ascii="宋体" w:eastAsia="宋体" w:hAnsi="宋体" w:cs="宋体"/>
                <w:spacing w:val="5"/>
                <w:sz w:val="15"/>
                <w:szCs w:val="15"/>
              </w:rPr>
              <w:t xml:space="preserve">         </w:t>
            </w:r>
            <w:r>
              <w:rPr>
                <w:rFonts w:ascii="宋体" w:eastAsia="宋体" w:hAnsi="宋体" w:cs="宋体"/>
                <w:sz w:val="15"/>
                <w:szCs w:val="15"/>
              </w:rPr>
              <w:t>1</w:t>
            </w:r>
            <w:r>
              <w:rPr>
                <w:rFonts w:ascii="宋体" w:eastAsia="宋体" w:hAnsi="宋体" w:cs="宋体"/>
                <w:spacing w:val="-1"/>
                <w:sz w:val="15"/>
                <w:szCs w:val="15"/>
              </w:rPr>
              <w:t>8</w:t>
            </w:r>
          </w:p>
        </w:tc>
        <w:tc>
          <w:tcPr>
            <w:tcW w:w="602" w:type="dxa"/>
          </w:tcPr>
          <w:p w:rsidR="00EA40A3" w:rsidRDefault="00E86C16">
            <w:pPr>
              <w:spacing w:before="104" w:line="161" w:lineRule="auto"/>
              <w:ind w:left="195"/>
              <w:rPr>
                <w:rFonts w:ascii="宋体" w:eastAsia="宋体" w:hAnsi="宋体" w:cs="宋体"/>
                <w:sz w:val="16"/>
                <w:szCs w:val="16"/>
              </w:rPr>
            </w:pPr>
            <w:r>
              <w:rPr>
                <w:rFonts w:ascii="宋体" w:eastAsia="宋体" w:hAnsi="宋体" w:cs="宋体"/>
                <w:spacing w:val="-3"/>
                <w:sz w:val="16"/>
                <w:szCs w:val="16"/>
              </w:rPr>
              <w:t>500</w:t>
            </w:r>
          </w:p>
        </w:tc>
        <w:tc>
          <w:tcPr>
            <w:tcW w:w="324" w:type="dxa"/>
          </w:tcPr>
          <w:p w:rsidR="00EA40A3" w:rsidRDefault="00E86C16">
            <w:pPr>
              <w:spacing w:before="114" w:line="129" w:lineRule="exact"/>
              <w:ind w:left="173"/>
              <w:rPr>
                <w:rFonts w:ascii="宋体" w:eastAsia="宋体" w:hAnsi="宋体" w:cs="宋体"/>
                <w:sz w:val="16"/>
                <w:szCs w:val="16"/>
              </w:rPr>
            </w:pPr>
            <w:r>
              <w:rPr>
                <w:rFonts w:ascii="宋体" w:eastAsia="宋体" w:hAnsi="宋体" w:cs="宋体"/>
                <w:spacing w:val="-5"/>
                <w:position w:val="-2"/>
                <w:sz w:val="16"/>
                <w:szCs w:val="16"/>
              </w:rPr>
              <w:t>35</w:t>
            </w:r>
          </w:p>
        </w:tc>
      </w:tr>
    </w:tbl>
    <w:p w:rsidR="00EA40A3" w:rsidRDefault="00EA40A3">
      <w:pPr>
        <w:spacing w:line="132" w:lineRule="auto"/>
        <w:rPr>
          <w:sz w:val="2"/>
        </w:rPr>
      </w:pPr>
    </w:p>
    <w:p w:rsidR="00EA40A3" w:rsidRDefault="00EA40A3">
      <w:pPr>
        <w:sectPr w:rsidR="00EA40A3">
          <w:headerReference w:type="default" r:id="rId348"/>
          <w:footerReference w:type="default" r:id="rId349"/>
          <w:pgSz w:w="13360" w:h="9220"/>
          <w:pgMar w:top="1305" w:right="859" w:bottom="1789" w:left="1047" w:header="1073" w:footer="1219" w:gutter="0"/>
          <w:cols w:space="720"/>
        </w:sectPr>
      </w:pPr>
    </w:p>
    <w:p w:rsidR="00EA40A3" w:rsidRDefault="00EA40A3">
      <w:pPr>
        <w:spacing w:line="310" w:lineRule="auto"/>
      </w:pPr>
    </w:p>
    <w:p w:rsidR="00EA40A3" w:rsidRDefault="00EA40A3">
      <w:pPr>
        <w:spacing w:line="311" w:lineRule="auto"/>
      </w:pPr>
    </w:p>
    <w:p w:rsidR="00EA40A3" w:rsidRDefault="00E86C16">
      <w:pPr>
        <w:spacing w:before="75" w:line="119" w:lineRule="exact"/>
        <w:rPr>
          <w:rFonts w:ascii="宋体" w:eastAsia="宋体" w:hAnsi="宋体" w:cs="宋体"/>
          <w:sz w:val="23"/>
          <w:szCs w:val="23"/>
        </w:rPr>
      </w:pPr>
      <w:bookmarkStart w:id="105" w:name="_bookmark109"/>
      <w:bookmarkEnd w:id="105"/>
      <w:r>
        <w:rPr>
          <w:rFonts w:ascii="宋体" w:eastAsia="宋体" w:hAnsi="宋体" w:cs="宋体"/>
          <w:position w:val="-5"/>
          <w:sz w:val="23"/>
          <w:szCs w:val="23"/>
        </w:rPr>
        <w:t>·</w:t>
      </w:r>
    </w:p>
    <w:p w:rsidR="00EA40A3" w:rsidRDefault="00E86C16">
      <w:pPr>
        <w:spacing w:line="337" w:lineRule="exact"/>
        <w:ind w:left="35"/>
        <w:rPr>
          <w:rFonts w:ascii="宋体" w:eastAsia="宋体" w:hAnsi="宋体" w:cs="宋体"/>
          <w:sz w:val="23"/>
          <w:szCs w:val="23"/>
        </w:rPr>
      </w:pPr>
      <w:r>
        <w:rPr>
          <w:rFonts w:ascii="宋体" w:eastAsia="宋体" w:hAnsi="宋体" w:cs="宋体"/>
          <w:spacing w:val="-13"/>
          <w:w w:val="75"/>
          <w:position w:val="2"/>
          <w:sz w:val="23"/>
          <w:szCs w:val="23"/>
        </w:rPr>
        <w:t>424</w:t>
      </w:r>
    </w:p>
    <w:p w:rsidR="00EA40A3" w:rsidRDefault="00E86C16">
      <w:pPr>
        <w:spacing w:line="239" w:lineRule="exact"/>
        <w:rPr>
          <w:rFonts w:ascii="宋体" w:eastAsia="宋体" w:hAnsi="宋体" w:cs="宋体"/>
          <w:sz w:val="17"/>
          <w:szCs w:val="17"/>
        </w:rPr>
      </w:pPr>
      <w:r>
        <w:rPr>
          <w:rFonts w:ascii="宋体" w:eastAsia="宋体" w:hAnsi="宋体" w:cs="宋体"/>
          <w:spacing w:val="-1"/>
          <w:position w:val="9"/>
          <w:sz w:val="23"/>
          <w:szCs w:val="23"/>
        </w:rPr>
        <w:t>·</w:t>
      </w:r>
      <w:r>
        <w:rPr>
          <w:rFonts w:ascii="宋体" w:eastAsia="宋体" w:hAnsi="宋体" w:cs="宋体"/>
          <w:spacing w:val="1"/>
          <w:position w:val="9"/>
          <w:sz w:val="23"/>
          <w:szCs w:val="23"/>
        </w:rPr>
        <w:t xml:space="preserve">                                 </w:t>
      </w:r>
      <w:r>
        <w:rPr>
          <w:rFonts w:ascii="宋体" w:eastAsia="宋体" w:hAnsi="宋体" w:cs="宋体"/>
          <w:b/>
          <w:bCs/>
          <w:spacing w:val="-1"/>
          <w:position w:val="-3"/>
          <w:sz w:val="17"/>
          <w:szCs w:val="17"/>
        </w:rPr>
        <w:t>表4某些微量营养素的可耐受最高摄入量(UL)</w:t>
      </w:r>
    </w:p>
    <w:p w:rsidR="00EA40A3" w:rsidRDefault="00EA40A3">
      <w:pPr>
        <w:spacing w:line="38" w:lineRule="exact"/>
      </w:pPr>
    </w:p>
    <w:tbl>
      <w:tblPr>
        <w:tblStyle w:val="TableNormal"/>
        <w:tblW w:w="11079" w:type="dxa"/>
        <w:tblInd w:w="33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628"/>
        <w:gridCol w:w="2196"/>
        <w:gridCol w:w="706"/>
        <w:gridCol w:w="479"/>
        <w:gridCol w:w="2143"/>
        <w:gridCol w:w="787"/>
        <w:gridCol w:w="715"/>
        <w:gridCol w:w="672"/>
        <w:gridCol w:w="699"/>
        <w:gridCol w:w="2054"/>
      </w:tblGrid>
      <w:tr w:rsidR="00EA40A3">
        <w:trPr>
          <w:trHeight w:val="481"/>
        </w:trPr>
        <w:tc>
          <w:tcPr>
            <w:tcW w:w="628" w:type="dxa"/>
            <w:vMerge w:val="restart"/>
            <w:tcBorders>
              <w:top w:val="single" w:sz="4" w:space="0" w:color="000000"/>
              <w:bottom w:val="nil"/>
            </w:tcBorders>
          </w:tcPr>
          <w:p w:rsidR="00EA40A3" w:rsidRDefault="00E86C16">
            <w:pPr>
              <w:spacing w:before="262" w:line="279" w:lineRule="auto"/>
              <w:ind w:left="279" w:right="64" w:hanging="80"/>
              <w:rPr>
                <w:rFonts w:ascii="宋体" w:eastAsia="宋体" w:hAnsi="宋体" w:cs="宋体"/>
                <w:sz w:val="17"/>
                <w:szCs w:val="17"/>
              </w:rPr>
            </w:pPr>
            <w:r>
              <w:rPr>
                <w:rFonts w:ascii="宋体" w:eastAsia="宋体" w:hAnsi="宋体" w:cs="宋体"/>
                <w:spacing w:val="-4"/>
                <w:sz w:val="17"/>
                <w:szCs w:val="17"/>
              </w:rPr>
              <w:t>年龄</w:t>
            </w:r>
            <w:r>
              <w:rPr>
                <w:rFonts w:ascii="宋体" w:eastAsia="宋体" w:hAnsi="宋体" w:cs="宋体"/>
                <w:sz w:val="17"/>
                <w:szCs w:val="17"/>
              </w:rPr>
              <w:t xml:space="preserve"> </w:t>
            </w:r>
            <w:r>
              <w:rPr>
                <w:rFonts w:ascii="宋体" w:eastAsia="宋体" w:hAnsi="宋体" w:cs="宋体"/>
                <w:spacing w:val="14"/>
                <w:sz w:val="17"/>
                <w:szCs w:val="17"/>
              </w:rPr>
              <w:t>/岁</w:t>
            </w:r>
          </w:p>
        </w:tc>
        <w:tc>
          <w:tcPr>
            <w:tcW w:w="2196" w:type="dxa"/>
            <w:vMerge w:val="restart"/>
            <w:tcBorders>
              <w:top w:val="single" w:sz="4" w:space="0" w:color="000000"/>
              <w:bottom w:val="nil"/>
            </w:tcBorders>
          </w:tcPr>
          <w:p w:rsidR="00EA40A3" w:rsidRDefault="00E86C16">
            <w:pPr>
              <w:spacing w:before="273" w:line="255" w:lineRule="auto"/>
              <w:ind w:left="132" w:right="69" w:firstLine="29"/>
              <w:rPr>
                <w:rFonts w:ascii="宋体" w:eastAsia="宋体" w:hAnsi="宋体" w:cs="宋体"/>
                <w:sz w:val="17"/>
                <w:szCs w:val="17"/>
              </w:rPr>
            </w:pPr>
            <w:r>
              <w:rPr>
                <w:rFonts w:ascii="宋体" w:eastAsia="宋体" w:hAnsi="宋体" w:cs="宋体"/>
                <w:spacing w:val="-7"/>
                <w:sz w:val="17"/>
                <w:szCs w:val="17"/>
              </w:rPr>
              <w:t>钙</w:t>
            </w:r>
            <w:r>
              <w:rPr>
                <w:rFonts w:ascii="宋体" w:eastAsia="宋体" w:hAnsi="宋体" w:cs="宋体"/>
                <w:spacing w:val="7"/>
                <w:sz w:val="17"/>
                <w:szCs w:val="17"/>
              </w:rPr>
              <w:t xml:space="preserve">    </w:t>
            </w:r>
            <w:r>
              <w:rPr>
                <w:rFonts w:ascii="宋体" w:eastAsia="宋体" w:hAnsi="宋体" w:cs="宋体"/>
                <w:spacing w:val="-7"/>
                <w:sz w:val="17"/>
                <w:szCs w:val="17"/>
              </w:rPr>
              <w:t>磷</w:t>
            </w:r>
            <w:r>
              <w:rPr>
                <w:rFonts w:ascii="宋体" w:eastAsia="宋体" w:hAnsi="宋体" w:cs="宋体"/>
                <w:spacing w:val="63"/>
                <w:sz w:val="17"/>
                <w:szCs w:val="17"/>
              </w:rPr>
              <w:t xml:space="preserve"> </w:t>
            </w:r>
            <w:r>
              <w:rPr>
                <w:rFonts w:ascii="宋体" w:eastAsia="宋体" w:hAnsi="宋体" w:cs="宋体"/>
                <w:spacing w:val="-7"/>
                <w:sz w:val="17"/>
                <w:szCs w:val="17"/>
              </w:rPr>
              <w:t>镁</w:t>
            </w:r>
            <w:r>
              <w:rPr>
                <w:rFonts w:ascii="宋体" w:eastAsia="宋体" w:hAnsi="宋体" w:cs="宋体"/>
                <w:spacing w:val="10"/>
                <w:sz w:val="17"/>
                <w:szCs w:val="17"/>
              </w:rPr>
              <w:t xml:space="preserve">   </w:t>
            </w:r>
            <w:r>
              <w:rPr>
                <w:rFonts w:ascii="宋体" w:eastAsia="宋体" w:hAnsi="宋体" w:cs="宋体"/>
                <w:spacing w:val="-7"/>
                <w:sz w:val="17"/>
                <w:szCs w:val="17"/>
              </w:rPr>
              <w:t>铁</w:t>
            </w:r>
            <w:r>
              <w:rPr>
                <w:rFonts w:ascii="宋体" w:eastAsia="宋体" w:hAnsi="宋体" w:cs="宋体"/>
                <w:spacing w:val="4"/>
                <w:sz w:val="17"/>
                <w:szCs w:val="17"/>
              </w:rPr>
              <w:t xml:space="preserve">   </w:t>
            </w:r>
            <w:r>
              <w:rPr>
                <w:rFonts w:ascii="宋体" w:eastAsia="宋体" w:hAnsi="宋体" w:cs="宋体"/>
                <w:spacing w:val="-7"/>
                <w:sz w:val="17"/>
                <w:szCs w:val="17"/>
              </w:rPr>
              <w:t>碘</w:t>
            </w:r>
            <w:r>
              <w:rPr>
                <w:rFonts w:ascii="宋体" w:eastAsia="宋体" w:hAnsi="宋体" w:cs="宋体"/>
                <w:sz w:val="17"/>
                <w:szCs w:val="17"/>
              </w:rPr>
              <w:t xml:space="preserve">  </w:t>
            </w:r>
            <w:r>
              <w:rPr>
                <w:rFonts w:ascii="宋体" w:eastAsia="宋体" w:hAnsi="宋体" w:cs="宋体"/>
                <w:spacing w:val="-2"/>
                <w:sz w:val="17"/>
                <w:szCs w:val="17"/>
              </w:rPr>
              <w:t>/mg</w:t>
            </w:r>
            <w:r>
              <w:rPr>
                <w:rFonts w:ascii="宋体" w:eastAsia="宋体" w:hAnsi="宋体" w:cs="宋体"/>
                <w:spacing w:val="5"/>
                <w:sz w:val="17"/>
                <w:szCs w:val="17"/>
              </w:rPr>
              <w:t xml:space="preserve"> </w:t>
            </w:r>
            <w:r>
              <w:rPr>
                <w:rFonts w:ascii="宋体" w:eastAsia="宋体" w:hAnsi="宋体" w:cs="宋体"/>
                <w:spacing w:val="-2"/>
                <w:sz w:val="17"/>
                <w:szCs w:val="17"/>
              </w:rPr>
              <w:t>/mg</w:t>
            </w:r>
            <w:r>
              <w:rPr>
                <w:rFonts w:ascii="宋体" w:eastAsia="宋体" w:hAnsi="宋体" w:cs="宋体"/>
                <w:spacing w:val="8"/>
                <w:sz w:val="17"/>
                <w:szCs w:val="17"/>
              </w:rPr>
              <w:t xml:space="preserve">   </w:t>
            </w:r>
            <w:r>
              <w:rPr>
                <w:rFonts w:ascii="宋体" w:eastAsia="宋体" w:hAnsi="宋体" w:cs="宋体"/>
                <w:spacing w:val="-2"/>
                <w:sz w:val="17"/>
                <w:szCs w:val="17"/>
              </w:rPr>
              <w:t>/mg</w:t>
            </w:r>
            <w:r>
              <w:rPr>
                <w:rFonts w:ascii="宋体" w:eastAsia="宋体" w:hAnsi="宋体" w:cs="宋体"/>
                <w:spacing w:val="68"/>
                <w:sz w:val="17"/>
                <w:szCs w:val="17"/>
              </w:rPr>
              <w:t xml:space="preserve"> </w:t>
            </w:r>
            <w:r>
              <w:rPr>
                <w:rFonts w:ascii="宋体" w:eastAsia="宋体" w:hAnsi="宋体" w:cs="宋体"/>
                <w:spacing w:val="-2"/>
                <w:position w:val="1"/>
                <w:sz w:val="17"/>
                <w:szCs w:val="17"/>
              </w:rPr>
              <w:t>/mg</w:t>
            </w:r>
            <w:r>
              <w:rPr>
                <w:rFonts w:ascii="宋体" w:eastAsia="宋体" w:hAnsi="宋体" w:cs="宋体"/>
                <w:spacing w:val="56"/>
                <w:position w:val="1"/>
                <w:sz w:val="17"/>
                <w:szCs w:val="17"/>
              </w:rPr>
              <w:t xml:space="preserve"> </w:t>
            </w:r>
            <w:r>
              <w:rPr>
                <w:rFonts w:ascii="宋体" w:eastAsia="宋体" w:hAnsi="宋体" w:cs="宋体"/>
                <w:spacing w:val="-2"/>
                <w:position w:val="1"/>
                <w:sz w:val="17"/>
                <w:szCs w:val="17"/>
              </w:rPr>
              <w:t>/μg</w:t>
            </w:r>
          </w:p>
        </w:tc>
        <w:tc>
          <w:tcPr>
            <w:tcW w:w="706" w:type="dxa"/>
            <w:vMerge w:val="restart"/>
            <w:tcBorders>
              <w:top w:val="single" w:sz="4" w:space="0" w:color="000000"/>
              <w:bottom w:val="nil"/>
            </w:tcBorders>
          </w:tcPr>
          <w:p w:rsidR="00EA40A3" w:rsidRDefault="00E86C16">
            <w:pPr>
              <w:spacing w:before="272" w:line="274" w:lineRule="exact"/>
              <w:ind w:left="285"/>
              <w:rPr>
                <w:rFonts w:ascii="宋体" w:eastAsia="宋体" w:hAnsi="宋体" w:cs="宋体"/>
                <w:sz w:val="17"/>
                <w:szCs w:val="17"/>
              </w:rPr>
            </w:pPr>
            <w:r>
              <w:rPr>
                <w:rFonts w:ascii="宋体" w:eastAsia="宋体" w:hAnsi="宋体" w:cs="宋体"/>
                <w:position w:val="7"/>
                <w:sz w:val="17"/>
                <w:szCs w:val="17"/>
              </w:rPr>
              <w:t>锌</w:t>
            </w:r>
          </w:p>
          <w:p w:rsidR="00EA40A3" w:rsidRDefault="00E86C16">
            <w:pPr>
              <w:spacing w:line="213" w:lineRule="auto"/>
              <w:ind w:left="235"/>
              <w:rPr>
                <w:rFonts w:ascii="宋体" w:eastAsia="宋体" w:hAnsi="宋体" w:cs="宋体"/>
                <w:sz w:val="17"/>
                <w:szCs w:val="17"/>
              </w:rPr>
            </w:pPr>
            <w:r>
              <w:rPr>
                <w:rFonts w:ascii="宋体" w:eastAsia="宋体" w:hAnsi="宋体" w:cs="宋体"/>
                <w:spacing w:val="-2"/>
                <w:sz w:val="17"/>
                <w:szCs w:val="17"/>
              </w:rPr>
              <w:t>/mg</w:t>
            </w:r>
          </w:p>
        </w:tc>
        <w:tc>
          <w:tcPr>
            <w:tcW w:w="479" w:type="dxa"/>
            <w:vMerge w:val="restart"/>
            <w:tcBorders>
              <w:top w:val="single" w:sz="4" w:space="0" w:color="000000"/>
              <w:bottom w:val="nil"/>
            </w:tcBorders>
          </w:tcPr>
          <w:p w:rsidR="00EA40A3" w:rsidRDefault="00E86C16">
            <w:pPr>
              <w:spacing w:before="294" w:line="233" w:lineRule="auto"/>
              <w:ind w:left="69" w:right="74" w:firstLine="169"/>
              <w:rPr>
                <w:rFonts w:ascii="宋体" w:eastAsia="宋体" w:hAnsi="宋体" w:cs="宋体"/>
                <w:sz w:val="17"/>
                <w:szCs w:val="17"/>
              </w:rPr>
            </w:pPr>
            <w:r>
              <w:rPr>
                <w:rFonts w:ascii="宋体" w:eastAsia="宋体" w:hAnsi="宋体" w:cs="宋体"/>
                <w:spacing w:val="-6"/>
                <w:sz w:val="17"/>
                <w:szCs w:val="17"/>
              </w:rPr>
              <w:t>硒</w:t>
            </w:r>
            <w:r>
              <w:rPr>
                <w:rFonts w:ascii="宋体" w:eastAsia="宋体" w:hAnsi="宋体" w:cs="宋体"/>
                <w:sz w:val="17"/>
                <w:szCs w:val="17"/>
              </w:rPr>
              <w:t xml:space="preserve"> </w:t>
            </w:r>
            <w:r>
              <w:rPr>
                <w:rFonts w:ascii="宋体" w:eastAsia="宋体" w:hAnsi="宋体" w:cs="宋体"/>
                <w:spacing w:val="-2"/>
                <w:sz w:val="17"/>
                <w:szCs w:val="17"/>
              </w:rPr>
              <w:t>/μg</w:t>
            </w:r>
          </w:p>
        </w:tc>
        <w:tc>
          <w:tcPr>
            <w:tcW w:w="2143" w:type="dxa"/>
            <w:vMerge w:val="restart"/>
            <w:tcBorders>
              <w:top w:val="single" w:sz="4" w:space="0" w:color="000000"/>
              <w:bottom w:val="nil"/>
            </w:tcBorders>
          </w:tcPr>
          <w:p w:rsidR="00EA40A3" w:rsidRDefault="00E86C16">
            <w:pPr>
              <w:spacing w:before="273" w:line="228" w:lineRule="auto"/>
              <w:ind w:left="130"/>
              <w:rPr>
                <w:rFonts w:ascii="宋体" w:eastAsia="宋体" w:hAnsi="宋体" w:cs="宋体"/>
                <w:sz w:val="17"/>
                <w:szCs w:val="17"/>
              </w:rPr>
            </w:pPr>
            <w:r>
              <w:rPr>
                <w:rFonts w:ascii="宋体" w:eastAsia="宋体" w:hAnsi="宋体" w:cs="宋体"/>
                <w:spacing w:val="-6"/>
                <w:sz w:val="17"/>
                <w:szCs w:val="17"/>
              </w:rPr>
              <w:t>铜</w:t>
            </w:r>
            <w:r>
              <w:rPr>
                <w:rFonts w:ascii="宋体" w:eastAsia="宋体" w:hAnsi="宋体" w:cs="宋体"/>
                <w:spacing w:val="34"/>
                <w:sz w:val="17"/>
                <w:szCs w:val="17"/>
              </w:rPr>
              <w:t xml:space="preserve">  </w:t>
            </w:r>
            <w:r>
              <w:rPr>
                <w:rFonts w:ascii="宋体" w:eastAsia="宋体" w:hAnsi="宋体" w:cs="宋体"/>
                <w:spacing w:val="-6"/>
                <w:position w:val="-1"/>
                <w:sz w:val="17"/>
                <w:szCs w:val="17"/>
              </w:rPr>
              <w:t>氟</w:t>
            </w:r>
            <w:r>
              <w:rPr>
                <w:rFonts w:ascii="宋体" w:eastAsia="宋体" w:hAnsi="宋体" w:cs="宋体"/>
                <w:spacing w:val="-17"/>
                <w:position w:val="-1"/>
                <w:sz w:val="17"/>
                <w:szCs w:val="17"/>
              </w:rPr>
              <w:t xml:space="preserve"> </w:t>
            </w:r>
            <w:r>
              <w:rPr>
                <w:rFonts w:ascii="宋体" w:eastAsia="宋体" w:hAnsi="宋体" w:cs="宋体"/>
                <w:spacing w:val="-6"/>
                <w:sz w:val="17"/>
                <w:szCs w:val="17"/>
              </w:rPr>
              <w:t>铬</w:t>
            </w:r>
            <w:r>
              <w:rPr>
                <w:rFonts w:ascii="宋体" w:eastAsia="宋体" w:hAnsi="宋体" w:cs="宋体"/>
                <w:spacing w:val="2"/>
                <w:sz w:val="17"/>
                <w:szCs w:val="17"/>
              </w:rPr>
              <w:t xml:space="preserve">   </w:t>
            </w:r>
            <w:r>
              <w:rPr>
                <w:rFonts w:ascii="宋体" w:eastAsia="宋体" w:hAnsi="宋体" w:cs="宋体"/>
                <w:spacing w:val="-6"/>
                <w:sz w:val="17"/>
                <w:szCs w:val="17"/>
              </w:rPr>
              <w:t>锰</w:t>
            </w:r>
            <w:r>
              <w:rPr>
                <w:rFonts w:ascii="宋体" w:eastAsia="宋体" w:hAnsi="宋体" w:cs="宋体"/>
                <w:spacing w:val="11"/>
                <w:sz w:val="17"/>
                <w:szCs w:val="17"/>
              </w:rPr>
              <w:t xml:space="preserve">     </w:t>
            </w:r>
            <w:r>
              <w:rPr>
                <w:rFonts w:ascii="宋体" w:eastAsia="宋体" w:hAnsi="宋体" w:cs="宋体"/>
                <w:spacing w:val="-6"/>
                <w:sz w:val="17"/>
                <w:szCs w:val="17"/>
              </w:rPr>
              <w:t>钼</w:t>
            </w:r>
          </w:p>
          <w:p w:rsidR="00EA40A3" w:rsidRDefault="00E86C16">
            <w:pPr>
              <w:spacing w:before="32" w:line="214" w:lineRule="auto"/>
              <w:ind w:left="81"/>
              <w:rPr>
                <w:rFonts w:ascii="宋体" w:eastAsia="宋体" w:hAnsi="宋体" w:cs="宋体"/>
                <w:sz w:val="17"/>
                <w:szCs w:val="17"/>
              </w:rPr>
            </w:pPr>
            <w:r>
              <w:rPr>
                <w:rFonts w:ascii="宋体" w:eastAsia="宋体" w:hAnsi="宋体" w:cs="宋体"/>
                <w:spacing w:val="-2"/>
                <w:sz w:val="17"/>
                <w:szCs w:val="17"/>
              </w:rPr>
              <w:t>/mg</w:t>
            </w:r>
            <w:r>
              <w:rPr>
                <w:rFonts w:ascii="宋体" w:eastAsia="宋体" w:hAnsi="宋体" w:cs="宋体"/>
                <w:spacing w:val="6"/>
                <w:sz w:val="17"/>
                <w:szCs w:val="17"/>
              </w:rPr>
              <w:t xml:space="preserve"> </w:t>
            </w:r>
            <w:r>
              <w:rPr>
                <w:rFonts w:ascii="宋体" w:eastAsia="宋体" w:hAnsi="宋体" w:cs="宋体"/>
                <w:spacing w:val="-2"/>
                <w:sz w:val="17"/>
                <w:szCs w:val="17"/>
              </w:rPr>
              <w:t>/mg</w:t>
            </w:r>
            <w:r>
              <w:rPr>
                <w:rFonts w:ascii="宋体" w:eastAsia="宋体" w:hAnsi="宋体" w:cs="宋体"/>
                <w:spacing w:val="6"/>
                <w:sz w:val="17"/>
                <w:szCs w:val="17"/>
              </w:rPr>
              <w:t xml:space="preserve"> </w:t>
            </w:r>
            <w:r>
              <w:rPr>
                <w:rFonts w:ascii="宋体" w:eastAsia="宋体" w:hAnsi="宋体" w:cs="宋体"/>
                <w:spacing w:val="-2"/>
                <w:sz w:val="17"/>
                <w:szCs w:val="17"/>
              </w:rPr>
              <w:t>/μg</w:t>
            </w:r>
            <w:r>
              <w:rPr>
                <w:rFonts w:ascii="宋体" w:eastAsia="宋体" w:hAnsi="宋体" w:cs="宋体"/>
                <w:spacing w:val="6"/>
                <w:sz w:val="17"/>
                <w:szCs w:val="17"/>
              </w:rPr>
              <w:t xml:space="preserve"> </w:t>
            </w:r>
            <w:r>
              <w:rPr>
                <w:rFonts w:ascii="宋体" w:eastAsia="宋体" w:hAnsi="宋体" w:cs="宋体"/>
                <w:spacing w:val="-2"/>
                <w:sz w:val="17"/>
                <w:szCs w:val="17"/>
              </w:rPr>
              <w:t>/mg</w:t>
            </w:r>
            <w:r>
              <w:rPr>
                <w:rFonts w:ascii="宋体" w:eastAsia="宋体" w:hAnsi="宋体" w:cs="宋体"/>
                <w:spacing w:val="6"/>
                <w:sz w:val="17"/>
                <w:szCs w:val="17"/>
              </w:rPr>
              <w:t xml:space="preserve"> </w:t>
            </w:r>
            <w:r>
              <w:rPr>
                <w:rFonts w:ascii="宋体" w:eastAsia="宋体" w:hAnsi="宋体" w:cs="宋体"/>
                <w:spacing w:val="-2"/>
                <w:sz w:val="17"/>
                <w:szCs w:val="17"/>
              </w:rPr>
              <w:t>/μg</w:t>
            </w:r>
          </w:p>
        </w:tc>
        <w:tc>
          <w:tcPr>
            <w:tcW w:w="2873" w:type="dxa"/>
            <w:gridSpan w:val="4"/>
            <w:tcBorders>
              <w:top w:val="single" w:sz="4" w:space="0" w:color="000000"/>
            </w:tcBorders>
          </w:tcPr>
          <w:p w:rsidR="00EA40A3" w:rsidRDefault="00E86C16">
            <w:pPr>
              <w:spacing w:before="262" w:line="219" w:lineRule="auto"/>
              <w:ind w:left="97"/>
              <w:rPr>
                <w:rFonts w:ascii="宋体" w:eastAsia="宋体" w:hAnsi="宋体" w:cs="宋体"/>
                <w:sz w:val="17"/>
                <w:szCs w:val="17"/>
              </w:rPr>
            </w:pPr>
            <w:r>
              <w:rPr>
                <w:rFonts w:ascii="宋体" w:eastAsia="宋体" w:hAnsi="宋体" w:cs="宋体"/>
                <w:spacing w:val="6"/>
                <w:sz w:val="17"/>
                <w:szCs w:val="17"/>
              </w:rPr>
              <w:t>维生素A维生素D维生素B</w:t>
            </w:r>
            <w:r>
              <w:rPr>
                <w:rFonts w:ascii="Calibri" w:eastAsia="Calibri" w:hAnsi="Calibri" w:cs="Calibri"/>
                <w:spacing w:val="6"/>
                <w:sz w:val="17"/>
                <w:szCs w:val="17"/>
              </w:rPr>
              <w:t>₁</w:t>
            </w:r>
            <w:r>
              <w:rPr>
                <w:rFonts w:ascii="宋体" w:eastAsia="宋体" w:hAnsi="宋体" w:cs="宋体"/>
                <w:spacing w:val="6"/>
                <w:sz w:val="17"/>
                <w:szCs w:val="17"/>
              </w:rPr>
              <w:t>维生素C</w:t>
            </w:r>
          </w:p>
        </w:tc>
        <w:tc>
          <w:tcPr>
            <w:tcW w:w="2054" w:type="dxa"/>
            <w:vMerge w:val="restart"/>
            <w:tcBorders>
              <w:top w:val="single" w:sz="4" w:space="0" w:color="000000"/>
              <w:bottom w:val="nil"/>
            </w:tcBorders>
          </w:tcPr>
          <w:p w:rsidR="00EA40A3" w:rsidRDefault="00E86C16">
            <w:pPr>
              <w:spacing w:before="273" w:line="228" w:lineRule="auto"/>
              <w:ind w:left="154" w:right="135" w:firstLine="140"/>
              <w:rPr>
                <w:rFonts w:ascii="宋体" w:eastAsia="宋体" w:hAnsi="宋体" w:cs="宋体"/>
                <w:sz w:val="17"/>
                <w:szCs w:val="17"/>
              </w:rPr>
            </w:pPr>
            <w:r>
              <w:rPr>
                <w:rFonts w:ascii="宋体" w:eastAsia="宋体" w:hAnsi="宋体" w:cs="宋体"/>
                <w:spacing w:val="-2"/>
                <w:position w:val="-1"/>
                <w:sz w:val="17"/>
                <w:szCs w:val="17"/>
              </w:rPr>
              <w:t>叶酸</w:t>
            </w:r>
            <w:r>
              <w:rPr>
                <w:rFonts w:ascii="宋体" w:eastAsia="宋体" w:hAnsi="宋体" w:cs="宋体"/>
                <w:spacing w:val="19"/>
                <w:position w:val="-1"/>
                <w:sz w:val="17"/>
                <w:szCs w:val="17"/>
              </w:rPr>
              <w:t xml:space="preserve">    </w:t>
            </w:r>
            <w:r>
              <w:rPr>
                <w:rFonts w:ascii="宋体" w:eastAsia="宋体" w:hAnsi="宋体" w:cs="宋体"/>
                <w:spacing w:val="-2"/>
                <w:position w:val="1"/>
                <w:sz w:val="17"/>
                <w:szCs w:val="17"/>
              </w:rPr>
              <w:t>烟酸</w:t>
            </w:r>
            <w:r>
              <w:rPr>
                <w:rFonts w:ascii="宋体" w:eastAsia="宋体" w:hAnsi="宋体" w:cs="宋体"/>
                <w:spacing w:val="14"/>
                <w:position w:val="1"/>
                <w:sz w:val="17"/>
                <w:szCs w:val="17"/>
              </w:rPr>
              <w:t xml:space="preserve">  </w:t>
            </w:r>
            <w:r>
              <w:rPr>
                <w:rFonts w:ascii="宋体" w:eastAsia="宋体" w:hAnsi="宋体" w:cs="宋体"/>
                <w:spacing w:val="-2"/>
                <w:sz w:val="17"/>
                <w:szCs w:val="17"/>
              </w:rPr>
              <w:t>胆碱</w:t>
            </w:r>
            <w:r>
              <w:rPr>
                <w:rFonts w:ascii="宋体" w:eastAsia="宋体" w:hAnsi="宋体" w:cs="宋体"/>
                <w:sz w:val="17"/>
                <w:szCs w:val="17"/>
              </w:rPr>
              <w:t xml:space="preserve"> </w:t>
            </w:r>
            <w:r>
              <w:rPr>
                <w:rFonts w:ascii="宋体" w:eastAsia="宋体" w:hAnsi="宋体" w:cs="宋体"/>
                <w:spacing w:val="-5"/>
                <w:sz w:val="17"/>
                <w:szCs w:val="17"/>
              </w:rPr>
              <w:t>/μgDFE#/mgNE</w:t>
            </w:r>
            <w:r>
              <w:rPr>
                <w:rFonts w:ascii="宋体" w:eastAsia="宋体" w:hAnsi="宋体" w:cs="宋体"/>
                <w:spacing w:val="-12"/>
                <w:sz w:val="17"/>
                <w:szCs w:val="17"/>
              </w:rPr>
              <w:t xml:space="preserve"> </w:t>
            </w:r>
            <w:r>
              <w:rPr>
                <w:rFonts w:ascii="宋体" w:eastAsia="宋体" w:hAnsi="宋体" w:cs="宋体"/>
                <w:spacing w:val="-5"/>
                <w:sz w:val="17"/>
                <w:szCs w:val="17"/>
              </w:rPr>
              <w:t>·/mg</w:t>
            </w:r>
          </w:p>
        </w:tc>
      </w:tr>
      <w:tr w:rsidR="00EA40A3">
        <w:trPr>
          <w:trHeight w:val="383"/>
        </w:trPr>
        <w:tc>
          <w:tcPr>
            <w:tcW w:w="628" w:type="dxa"/>
            <w:vMerge/>
            <w:tcBorders>
              <w:top w:val="nil"/>
              <w:bottom w:val="single" w:sz="4" w:space="0" w:color="000000"/>
            </w:tcBorders>
          </w:tcPr>
          <w:p w:rsidR="00EA40A3" w:rsidRDefault="00EA40A3"/>
        </w:tc>
        <w:tc>
          <w:tcPr>
            <w:tcW w:w="2196" w:type="dxa"/>
            <w:vMerge/>
            <w:tcBorders>
              <w:top w:val="nil"/>
              <w:bottom w:val="single" w:sz="4" w:space="0" w:color="000000"/>
            </w:tcBorders>
          </w:tcPr>
          <w:p w:rsidR="00EA40A3" w:rsidRDefault="00EA40A3"/>
        </w:tc>
        <w:tc>
          <w:tcPr>
            <w:tcW w:w="706" w:type="dxa"/>
            <w:vMerge/>
            <w:tcBorders>
              <w:top w:val="nil"/>
              <w:bottom w:val="single" w:sz="4" w:space="0" w:color="000000"/>
            </w:tcBorders>
          </w:tcPr>
          <w:p w:rsidR="00EA40A3" w:rsidRDefault="00EA40A3"/>
        </w:tc>
        <w:tc>
          <w:tcPr>
            <w:tcW w:w="479" w:type="dxa"/>
            <w:vMerge/>
            <w:tcBorders>
              <w:top w:val="nil"/>
              <w:bottom w:val="single" w:sz="4" w:space="0" w:color="000000"/>
            </w:tcBorders>
          </w:tcPr>
          <w:p w:rsidR="00EA40A3" w:rsidRDefault="00EA40A3"/>
        </w:tc>
        <w:tc>
          <w:tcPr>
            <w:tcW w:w="2143" w:type="dxa"/>
            <w:vMerge/>
            <w:tcBorders>
              <w:top w:val="nil"/>
              <w:bottom w:val="single" w:sz="4" w:space="0" w:color="000000"/>
            </w:tcBorders>
          </w:tcPr>
          <w:p w:rsidR="00EA40A3" w:rsidRDefault="00EA40A3"/>
        </w:tc>
        <w:tc>
          <w:tcPr>
            <w:tcW w:w="787" w:type="dxa"/>
            <w:tcBorders>
              <w:bottom w:val="single" w:sz="4" w:space="0" w:color="000000"/>
            </w:tcBorders>
          </w:tcPr>
          <w:p w:rsidR="00EA40A3" w:rsidRDefault="00E86C16">
            <w:pPr>
              <w:spacing w:before="55" w:line="214" w:lineRule="auto"/>
              <w:ind w:left="97"/>
              <w:rPr>
                <w:rFonts w:ascii="宋体" w:eastAsia="宋体" w:hAnsi="宋体" w:cs="宋体"/>
                <w:sz w:val="17"/>
                <w:szCs w:val="17"/>
              </w:rPr>
            </w:pPr>
            <w:r>
              <w:rPr>
                <w:rFonts w:ascii="宋体" w:eastAsia="宋体" w:hAnsi="宋体" w:cs="宋体"/>
                <w:spacing w:val="-1"/>
                <w:sz w:val="17"/>
                <w:szCs w:val="17"/>
              </w:rPr>
              <w:t>/μgRE</w:t>
            </w:r>
          </w:p>
        </w:tc>
        <w:tc>
          <w:tcPr>
            <w:tcW w:w="715" w:type="dxa"/>
            <w:tcBorders>
              <w:bottom w:val="single" w:sz="4" w:space="0" w:color="000000"/>
            </w:tcBorders>
          </w:tcPr>
          <w:p w:rsidR="00EA40A3" w:rsidRDefault="00E86C16">
            <w:pPr>
              <w:spacing w:before="55" w:line="214" w:lineRule="auto"/>
              <w:ind w:left="190"/>
              <w:rPr>
                <w:rFonts w:ascii="宋体" w:eastAsia="宋体" w:hAnsi="宋体" w:cs="宋体"/>
                <w:sz w:val="17"/>
                <w:szCs w:val="17"/>
              </w:rPr>
            </w:pPr>
            <w:r>
              <w:rPr>
                <w:rFonts w:ascii="宋体" w:eastAsia="宋体" w:hAnsi="宋体" w:cs="宋体"/>
                <w:spacing w:val="-2"/>
                <w:sz w:val="17"/>
                <w:szCs w:val="17"/>
              </w:rPr>
              <w:t>/μg</w:t>
            </w:r>
          </w:p>
        </w:tc>
        <w:tc>
          <w:tcPr>
            <w:tcW w:w="672" w:type="dxa"/>
            <w:tcBorders>
              <w:bottom w:val="single" w:sz="4" w:space="0" w:color="000000"/>
            </w:tcBorders>
          </w:tcPr>
          <w:p w:rsidR="00EA40A3" w:rsidRDefault="00E86C16">
            <w:pPr>
              <w:spacing w:before="45" w:line="214" w:lineRule="auto"/>
              <w:ind w:left="195"/>
              <w:rPr>
                <w:rFonts w:ascii="宋体" w:eastAsia="宋体" w:hAnsi="宋体" w:cs="宋体"/>
                <w:sz w:val="17"/>
                <w:szCs w:val="17"/>
              </w:rPr>
            </w:pPr>
            <w:r>
              <w:rPr>
                <w:rFonts w:ascii="宋体" w:eastAsia="宋体" w:hAnsi="宋体" w:cs="宋体"/>
                <w:spacing w:val="-2"/>
                <w:sz w:val="17"/>
                <w:szCs w:val="17"/>
              </w:rPr>
              <w:t>/mg</w:t>
            </w:r>
          </w:p>
        </w:tc>
        <w:tc>
          <w:tcPr>
            <w:tcW w:w="699" w:type="dxa"/>
            <w:tcBorders>
              <w:bottom w:val="single" w:sz="4" w:space="0" w:color="000000"/>
            </w:tcBorders>
          </w:tcPr>
          <w:p w:rsidR="00EA40A3" w:rsidRDefault="00E86C16">
            <w:pPr>
              <w:spacing w:before="55" w:line="214" w:lineRule="auto"/>
              <w:ind w:left="294"/>
              <w:rPr>
                <w:rFonts w:ascii="宋体" w:eastAsia="宋体" w:hAnsi="宋体" w:cs="宋体"/>
                <w:sz w:val="17"/>
                <w:szCs w:val="17"/>
              </w:rPr>
            </w:pPr>
            <w:r>
              <w:rPr>
                <w:rFonts w:ascii="宋体" w:eastAsia="宋体" w:hAnsi="宋体" w:cs="宋体"/>
                <w:spacing w:val="-2"/>
                <w:sz w:val="17"/>
                <w:szCs w:val="17"/>
              </w:rPr>
              <w:t>/mg</w:t>
            </w:r>
          </w:p>
        </w:tc>
        <w:tc>
          <w:tcPr>
            <w:tcW w:w="2054" w:type="dxa"/>
            <w:vMerge/>
            <w:tcBorders>
              <w:top w:val="nil"/>
              <w:bottom w:val="single" w:sz="4" w:space="0" w:color="000000"/>
            </w:tcBorders>
          </w:tcPr>
          <w:p w:rsidR="00EA40A3" w:rsidRDefault="00EA40A3"/>
        </w:tc>
      </w:tr>
      <w:tr w:rsidR="00EA40A3">
        <w:trPr>
          <w:trHeight w:val="429"/>
        </w:trPr>
        <w:tc>
          <w:tcPr>
            <w:tcW w:w="628" w:type="dxa"/>
            <w:tcBorders>
              <w:top w:val="single" w:sz="4" w:space="0" w:color="000000"/>
            </w:tcBorders>
          </w:tcPr>
          <w:p w:rsidR="00EA40A3" w:rsidRDefault="00E86C16">
            <w:pPr>
              <w:spacing w:before="161" w:line="183" w:lineRule="auto"/>
              <w:ind w:left="249"/>
              <w:rPr>
                <w:rFonts w:ascii="宋体" w:eastAsia="宋体" w:hAnsi="宋体" w:cs="宋体"/>
                <w:sz w:val="17"/>
                <w:szCs w:val="17"/>
              </w:rPr>
            </w:pPr>
            <w:r>
              <w:rPr>
                <w:rFonts w:ascii="宋体" w:eastAsia="宋体" w:hAnsi="宋体" w:cs="宋体"/>
                <w:spacing w:val="13"/>
                <w:w w:val="121"/>
                <w:sz w:val="17"/>
                <w:szCs w:val="17"/>
              </w:rPr>
              <w:t>0~</w:t>
            </w:r>
          </w:p>
        </w:tc>
        <w:tc>
          <w:tcPr>
            <w:tcW w:w="2196" w:type="dxa"/>
            <w:tcBorders>
              <w:top w:val="single" w:sz="4" w:space="0" w:color="000000"/>
            </w:tcBorders>
          </w:tcPr>
          <w:p w:rsidR="00EA40A3" w:rsidRDefault="00E86C16">
            <w:pPr>
              <w:spacing w:before="160" w:line="184" w:lineRule="auto"/>
              <w:ind w:left="1462"/>
              <w:rPr>
                <w:rFonts w:ascii="宋体" w:eastAsia="宋体" w:hAnsi="宋体" w:cs="宋体"/>
                <w:sz w:val="17"/>
                <w:szCs w:val="17"/>
              </w:rPr>
            </w:pPr>
            <w:r>
              <w:rPr>
                <w:rFonts w:ascii="宋体" w:eastAsia="宋体" w:hAnsi="宋体" w:cs="宋体"/>
                <w:spacing w:val="-5"/>
                <w:sz w:val="17"/>
                <w:szCs w:val="17"/>
              </w:rPr>
              <w:t>10</w:t>
            </w:r>
          </w:p>
        </w:tc>
        <w:tc>
          <w:tcPr>
            <w:tcW w:w="706" w:type="dxa"/>
            <w:tcBorders>
              <w:top w:val="single" w:sz="4" w:space="0" w:color="000000"/>
            </w:tcBorders>
          </w:tcPr>
          <w:p w:rsidR="00EA40A3" w:rsidRDefault="00EA40A3"/>
        </w:tc>
        <w:tc>
          <w:tcPr>
            <w:tcW w:w="479" w:type="dxa"/>
            <w:tcBorders>
              <w:top w:val="single" w:sz="4" w:space="0" w:color="000000"/>
            </w:tcBorders>
          </w:tcPr>
          <w:p w:rsidR="00EA40A3" w:rsidRDefault="00E86C16">
            <w:pPr>
              <w:spacing w:before="162" w:line="182" w:lineRule="auto"/>
              <w:ind w:left="239"/>
              <w:rPr>
                <w:rFonts w:ascii="宋体" w:eastAsia="宋体" w:hAnsi="宋体" w:cs="宋体"/>
                <w:sz w:val="17"/>
                <w:szCs w:val="17"/>
              </w:rPr>
            </w:pPr>
            <w:r>
              <w:rPr>
                <w:rFonts w:ascii="宋体" w:eastAsia="宋体" w:hAnsi="宋体" w:cs="宋体"/>
                <w:spacing w:val="-3"/>
                <w:sz w:val="17"/>
                <w:szCs w:val="17"/>
              </w:rPr>
              <w:t>55</w:t>
            </w:r>
          </w:p>
        </w:tc>
        <w:tc>
          <w:tcPr>
            <w:tcW w:w="2143" w:type="dxa"/>
            <w:tcBorders>
              <w:top w:val="single" w:sz="4" w:space="0" w:color="000000"/>
            </w:tcBorders>
          </w:tcPr>
          <w:p w:rsidR="00EA40A3" w:rsidRDefault="00E86C16">
            <w:pPr>
              <w:spacing w:before="161" w:line="183" w:lineRule="auto"/>
              <w:ind w:left="530"/>
              <w:rPr>
                <w:rFonts w:ascii="宋体" w:eastAsia="宋体" w:hAnsi="宋体" w:cs="宋体"/>
                <w:sz w:val="17"/>
                <w:szCs w:val="17"/>
              </w:rPr>
            </w:pPr>
            <w:r>
              <w:rPr>
                <w:rFonts w:ascii="宋体" w:eastAsia="宋体" w:hAnsi="宋体" w:cs="宋体"/>
                <w:spacing w:val="-2"/>
                <w:sz w:val="17"/>
                <w:szCs w:val="17"/>
              </w:rPr>
              <w:t>0.4</w:t>
            </w:r>
          </w:p>
        </w:tc>
        <w:tc>
          <w:tcPr>
            <w:tcW w:w="787" w:type="dxa"/>
            <w:tcBorders>
              <w:top w:val="single" w:sz="4" w:space="0" w:color="000000"/>
            </w:tcBorders>
          </w:tcPr>
          <w:p w:rsidR="00EA40A3" w:rsidRDefault="00EA40A3"/>
        </w:tc>
        <w:tc>
          <w:tcPr>
            <w:tcW w:w="715" w:type="dxa"/>
            <w:tcBorders>
              <w:top w:val="single" w:sz="4" w:space="0" w:color="000000"/>
            </w:tcBorders>
          </w:tcPr>
          <w:p w:rsidR="00EA40A3" w:rsidRDefault="00EA40A3"/>
        </w:tc>
        <w:tc>
          <w:tcPr>
            <w:tcW w:w="672" w:type="dxa"/>
            <w:tcBorders>
              <w:top w:val="single" w:sz="4" w:space="0" w:color="000000"/>
            </w:tcBorders>
          </w:tcPr>
          <w:p w:rsidR="00EA40A3" w:rsidRDefault="00EA40A3"/>
        </w:tc>
        <w:tc>
          <w:tcPr>
            <w:tcW w:w="699" w:type="dxa"/>
            <w:tcBorders>
              <w:top w:val="single" w:sz="4" w:space="0" w:color="000000"/>
            </w:tcBorders>
          </w:tcPr>
          <w:p w:rsidR="00EA40A3" w:rsidRDefault="00E86C16">
            <w:pPr>
              <w:spacing w:before="161" w:line="183" w:lineRule="auto"/>
              <w:ind w:left="294"/>
              <w:rPr>
                <w:rFonts w:ascii="宋体" w:eastAsia="宋体" w:hAnsi="宋体" w:cs="宋体"/>
                <w:sz w:val="17"/>
                <w:szCs w:val="17"/>
              </w:rPr>
            </w:pPr>
            <w:r>
              <w:rPr>
                <w:rFonts w:ascii="宋体" w:eastAsia="宋体" w:hAnsi="宋体" w:cs="宋体"/>
                <w:spacing w:val="-2"/>
                <w:sz w:val="17"/>
                <w:szCs w:val="17"/>
              </w:rPr>
              <w:t>400</w:t>
            </w:r>
          </w:p>
        </w:tc>
        <w:tc>
          <w:tcPr>
            <w:tcW w:w="2054" w:type="dxa"/>
            <w:tcBorders>
              <w:top w:val="single" w:sz="4" w:space="0" w:color="000000"/>
            </w:tcBorders>
          </w:tcPr>
          <w:p w:rsidR="00EA40A3" w:rsidRDefault="00E86C16">
            <w:pPr>
              <w:spacing w:before="161" w:line="183" w:lineRule="auto"/>
              <w:ind w:left="1665"/>
              <w:rPr>
                <w:rFonts w:ascii="宋体" w:eastAsia="宋体" w:hAnsi="宋体" w:cs="宋体"/>
                <w:sz w:val="17"/>
                <w:szCs w:val="17"/>
              </w:rPr>
            </w:pPr>
            <w:r>
              <w:rPr>
                <w:rFonts w:ascii="宋体" w:eastAsia="宋体" w:hAnsi="宋体" w:cs="宋体"/>
                <w:spacing w:val="-2"/>
                <w:sz w:val="17"/>
                <w:szCs w:val="17"/>
              </w:rPr>
              <w:t>600</w:t>
            </w:r>
          </w:p>
        </w:tc>
      </w:tr>
      <w:tr w:rsidR="00EA40A3">
        <w:trPr>
          <w:trHeight w:val="414"/>
        </w:trPr>
        <w:tc>
          <w:tcPr>
            <w:tcW w:w="628" w:type="dxa"/>
          </w:tcPr>
          <w:p w:rsidR="00EA40A3" w:rsidRDefault="00E86C16">
            <w:pPr>
              <w:spacing w:before="152" w:line="183" w:lineRule="auto"/>
              <w:ind w:left="109"/>
              <w:rPr>
                <w:rFonts w:ascii="宋体" w:eastAsia="宋体" w:hAnsi="宋体" w:cs="宋体"/>
                <w:sz w:val="17"/>
                <w:szCs w:val="17"/>
              </w:rPr>
            </w:pPr>
            <w:r>
              <w:rPr>
                <w:rFonts w:ascii="宋体" w:eastAsia="宋体" w:hAnsi="宋体" w:cs="宋体"/>
                <w:spacing w:val="15"/>
                <w:sz w:val="17"/>
                <w:szCs w:val="17"/>
              </w:rPr>
              <w:t>0.5~</w:t>
            </w:r>
          </w:p>
        </w:tc>
        <w:tc>
          <w:tcPr>
            <w:tcW w:w="2196" w:type="dxa"/>
          </w:tcPr>
          <w:p w:rsidR="00EA40A3" w:rsidRDefault="00E86C16">
            <w:pPr>
              <w:spacing w:before="172" w:line="183" w:lineRule="auto"/>
              <w:ind w:left="1452"/>
              <w:rPr>
                <w:rFonts w:ascii="宋体" w:eastAsia="宋体" w:hAnsi="宋体" w:cs="宋体"/>
                <w:sz w:val="17"/>
                <w:szCs w:val="17"/>
              </w:rPr>
            </w:pPr>
            <w:r>
              <w:rPr>
                <w:rFonts w:ascii="宋体" w:eastAsia="宋体" w:hAnsi="宋体" w:cs="宋体"/>
                <w:spacing w:val="-3"/>
                <w:sz w:val="17"/>
                <w:szCs w:val="17"/>
              </w:rPr>
              <w:t>30</w:t>
            </w:r>
          </w:p>
        </w:tc>
        <w:tc>
          <w:tcPr>
            <w:tcW w:w="706" w:type="dxa"/>
          </w:tcPr>
          <w:p w:rsidR="00EA40A3" w:rsidRDefault="00E86C16">
            <w:pPr>
              <w:spacing w:before="161" w:line="184" w:lineRule="auto"/>
              <w:ind w:left="285"/>
              <w:rPr>
                <w:rFonts w:ascii="宋体" w:eastAsia="宋体" w:hAnsi="宋体" w:cs="宋体"/>
                <w:sz w:val="17"/>
                <w:szCs w:val="17"/>
              </w:rPr>
            </w:pPr>
            <w:r>
              <w:rPr>
                <w:rFonts w:ascii="宋体" w:eastAsia="宋体" w:hAnsi="宋体" w:cs="宋体"/>
                <w:spacing w:val="-5"/>
                <w:sz w:val="17"/>
                <w:szCs w:val="17"/>
              </w:rPr>
              <w:t>13</w:t>
            </w:r>
          </w:p>
        </w:tc>
        <w:tc>
          <w:tcPr>
            <w:tcW w:w="479" w:type="dxa"/>
          </w:tcPr>
          <w:p w:rsidR="00EA40A3" w:rsidRDefault="00E86C16">
            <w:pPr>
              <w:spacing w:before="172" w:line="183" w:lineRule="auto"/>
              <w:ind w:left="239"/>
              <w:rPr>
                <w:rFonts w:ascii="宋体" w:eastAsia="宋体" w:hAnsi="宋体" w:cs="宋体"/>
                <w:sz w:val="17"/>
                <w:szCs w:val="17"/>
              </w:rPr>
            </w:pPr>
            <w:r>
              <w:rPr>
                <w:rFonts w:ascii="宋体" w:eastAsia="宋体" w:hAnsi="宋体" w:cs="宋体"/>
                <w:spacing w:val="-2"/>
                <w:sz w:val="17"/>
                <w:szCs w:val="17"/>
              </w:rPr>
              <w:t>80</w:t>
            </w:r>
          </w:p>
        </w:tc>
        <w:tc>
          <w:tcPr>
            <w:tcW w:w="2143" w:type="dxa"/>
          </w:tcPr>
          <w:p w:rsidR="00EA40A3" w:rsidRDefault="00E86C16">
            <w:pPr>
              <w:spacing w:before="172" w:line="183" w:lineRule="auto"/>
              <w:ind w:left="530"/>
              <w:rPr>
                <w:rFonts w:ascii="宋体" w:eastAsia="宋体" w:hAnsi="宋体" w:cs="宋体"/>
                <w:sz w:val="17"/>
                <w:szCs w:val="17"/>
              </w:rPr>
            </w:pPr>
            <w:r>
              <w:rPr>
                <w:rFonts w:ascii="宋体" w:eastAsia="宋体" w:hAnsi="宋体" w:cs="宋体"/>
                <w:spacing w:val="-2"/>
                <w:sz w:val="17"/>
                <w:szCs w:val="17"/>
              </w:rPr>
              <w:t>0.8</w:t>
            </w:r>
          </w:p>
        </w:tc>
        <w:tc>
          <w:tcPr>
            <w:tcW w:w="787" w:type="dxa"/>
          </w:tcPr>
          <w:p w:rsidR="00EA40A3" w:rsidRDefault="00EA40A3"/>
        </w:tc>
        <w:tc>
          <w:tcPr>
            <w:tcW w:w="715" w:type="dxa"/>
          </w:tcPr>
          <w:p w:rsidR="00EA40A3" w:rsidRDefault="00EA40A3"/>
        </w:tc>
        <w:tc>
          <w:tcPr>
            <w:tcW w:w="672" w:type="dxa"/>
          </w:tcPr>
          <w:p w:rsidR="00EA40A3" w:rsidRDefault="00EA40A3"/>
        </w:tc>
        <w:tc>
          <w:tcPr>
            <w:tcW w:w="699" w:type="dxa"/>
          </w:tcPr>
          <w:p w:rsidR="00EA40A3" w:rsidRDefault="00E86C16">
            <w:pPr>
              <w:spacing w:before="162" w:line="183" w:lineRule="auto"/>
              <w:ind w:left="273"/>
              <w:rPr>
                <w:rFonts w:ascii="宋体" w:eastAsia="宋体" w:hAnsi="宋体" w:cs="宋体"/>
                <w:sz w:val="17"/>
                <w:szCs w:val="17"/>
              </w:rPr>
            </w:pPr>
            <w:r>
              <w:rPr>
                <w:rFonts w:ascii="宋体" w:eastAsia="宋体" w:hAnsi="宋体" w:cs="宋体"/>
                <w:spacing w:val="-3"/>
                <w:sz w:val="17"/>
                <w:szCs w:val="17"/>
              </w:rPr>
              <w:t>500</w:t>
            </w:r>
          </w:p>
        </w:tc>
        <w:tc>
          <w:tcPr>
            <w:tcW w:w="2054" w:type="dxa"/>
          </w:tcPr>
          <w:p w:rsidR="00EA40A3" w:rsidRDefault="00E86C16">
            <w:pPr>
              <w:spacing w:before="202" w:line="183" w:lineRule="auto"/>
              <w:ind w:left="1694"/>
              <w:rPr>
                <w:rFonts w:ascii="宋体" w:eastAsia="宋体" w:hAnsi="宋体" w:cs="宋体"/>
                <w:sz w:val="17"/>
                <w:szCs w:val="17"/>
              </w:rPr>
            </w:pPr>
            <w:r>
              <w:rPr>
                <w:rFonts w:ascii="宋体" w:eastAsia="宋体" w:hAnsi="宋体" w:cs="宋体"/>
                <w:spacing w:val="-2"/>
                <w:sz w:val="17"/>
                <w:szCs w:val="17"/>
              </w:rPr>
              <w:t>800</w:t>
            </w:r>
          </w:p>
        </w:tc>
      </w:tr>
      <w:tr w:rsidR="00EA40A3">
        <w:trPr>
          <w:trHeight w:val="409"/>
        </w:trPr>
        <w:tc>
          <w:tcPr>
            <w:tcW w:w="628" w:type="dxa"/>
          </w:tcPr>
          <w:p w:rsidR="00EA40A3" w:rsidRDefault="00E86C16">
            <w:pPr>
              <w:spacing w:before="137" w:line="184" w:lineRule="auto"/>
              <w:ind w:left="280"/>
              <w:rPr>
                <w:rFonts w:ascii="宋体" w:eastAsia="宋体" w:hAnsi="宋体" w:cs="宋体"/>
                <w:sz w:val="17"/>
                <w:szCs w:val="17"/>
              </w:rPr>
            </w:pPr>
            <w:r>
              <w:rPr>
                <w:rFonts w:ascii="宋体" w:eastAsia="宋体" w:hAnsi="宋体" w:cs="宋体"/>
                <w:spacing w:val="22"/>
                <w:w w:val="104"/>
                <w:sz w:val="17"/>
                <w:szCs w:val="17"/>
              </w:rPr>
              <w:t>1~</w:t>
            </w:r>
          </w:p>
        </w:tc>
        <w:tc>
          <w:tcPr>
            <w:tcW w:w="2196" w:type="dxa"/>
          </w:tcPr>
          <w:p w:rsidR="00EA40A3" w:rsidRDefault="00E86C16">
            <w:pPr>
              <w:spacing w:before="138" w:line="194" w:lineRule="auto"/>
              <w:ind w:left="182"/>
              <w:rPr>
                <w:rFonts w:ascii="宋体" w:eastAsia="宋体" w:hAnsi="宋体" w:cs="宋体"/>
                <w:sz w:val="17"/>
                <w:szCs w:val="17"/>
              </w:rPr>
            </w:pPr>
            <w:r>
              <w:rPr>
                <w:rFonts w:ascii="宋体" w:eastAsia="宋体" w:hAnsi="宋体" w:cs="宋体"/>
                <w:spacing w:val="-2"/>
                <w:sz w:val="17"/>
                <w:szCs w:val="17"/>
              </w:rPr>
              <w:t>20003000</w:t>
            </w:r>
            <w:r>
              <w:rPr>
                <w:rFonts w:ascii="宋体" w:eastAsia="宋体" w:hAnsi="宋体" w:cs="宋体"/>
                <w:spacing w:val="66"/>
                <w:sz w:val="17"/>
                <w:szCs w:val="17"/>
              </w:rPr>
              <w:t xml:space="preserve"> </w:t>
            </w:r>
            <w:r>
              <w:rPr>
                <w:rFonts w:ascii="宋体" w:eastAsia="宋体" w:hAnsi="宋体" w:cs="宋体"/>
                <w:spacing w:val="-2"/>
                <w:position w:val="-1"/>
                <w:sz w:val="17"/>
                <w:szCs w:val="17"/>
              </w:rPr>
              <w:t>200</w:t>
            </w:r>
            <w:r>
              <w:rPr>
                <w:rFonts w:ascii="宋体" w:eastAsia="宋体" w:hAnsi="宋体" w:cs="宋体"/>
                <w:spacing w:val="16"/>
                <w:position w:val="-1"/>
                <w:sz w:val="17"/>
                <w:szCs w:val="17"/>
              </w:rPr>
              <w:t xml:space="preserve">  </w:t>
            </w:r>
            <w:r>
              <w:rPr>
                <w:rFonts w:ascii="宋体" w:eastAsia="宋体" w:hAnsi="宋体" w:cs="宋体"/>
                <w:spacing w:val="-2"/>
                <w:sz w:val="17"/>
                <w:szCs w:val="17"/>
              </w:rPr>
              <w:t>30</w:t>
            </w:r>
          </w:p>
        </w:tc>
        <w:tc>
          <w:tcPr>
            <w:tcW w:w="706" w:type="dxa"/>
          </w:tcPr>
          <w:p w:rsidR="00EA40A3" w:rsidRDefault="00E86C16">
            <w:pPr>
              <w:spacing w:before="138" w:line="183" w:lineRule="auto"/>
              <w:ind w:left="285"/>
              <w:rPr>
                <w:rFonts w:ascii="宋体" w:eastAsia="宋体" w:hAnsi="宋体" w:cs="宋体"/>
                <w:sz w:val="17"/>
                <w:szCs w:val="17"/>
              </w:rPr>
            </w:pPr>
            <w:r>
              <w:rPr>
                <w:rFonts w:ascii="宋体" w:eastAsia="宋体" w:hAnsi="宋体" w:cs="宋体"/>
                <w:spacing w:val="-3"/>
                <w:sz w:val="17"/>
                <w:szCs w:val="17"/>
              </w:rPr>
              <w:t>23</w:t>
            </w:r>
          </w:p>
        </w:tc>
        <w:tc>
          <w:tcPr>
            <w:tcW w:w="479" w:type="dxa"/>
          </w:tcPr>
          <w:p w:rsidR="00EA40A3" w:rsidRDefault="00E86C16">
            <w:pPr>
              <w:spacing w:before="127" w:line="184" w:lineRule="auto"/>
              <w:ind w:left="150"/>
              <w:rPr>
                <w:rFonts w:ascii="宋体" w:eastAsia="宋体" w:hAnsi="宋体" w:cs="宋体"/>
                <w:sz w:val="17"/>
                <w:szCs w:val="17"/>
              </w:rPr>
            </w:pPr>
            <w:r>
              <w:rPr>
                <w:rFonts w:ascii="宋体" w:eastAsia="宋体" w:hAnsi="宋体" w:cs="宋体"/>
                <w:spacing w:val="-5"/>
                <w:sz w:val="17"/>
                <w:szCs w:val="17"/>
              </w:rPr>
              <w:t>120</w:t>
            </w:r>
          </w:p>
        </w:tc>
        <w:tc>
          <w:tcPr>
            <w:tcW w:w="2143" w:type="dxa"/>
          </w:tcPr>
          <w:p w:rsidR="00EA40A3" w:rsidRDefault="00E86C16">
            <w:pPr>
              <w:spacing w:before="157" w:line="195" w:lineRule="auto"/>
              <w:ind w:left="100"/>
              <w:rPr>
                <w:rFonts w:ascii="宋体" w:eastAsia="宋体" w:hAnsi="宋体" w:cs="宋体"/>
                <w:sz w:val="17"/>
                <w:szCs w:val="17"/>
              </w:rPr>
            </w:pPr>
            <w:r>
              <w:rPr>
                <w:rFonts w:ascii="宋体" w:eastAsia="宋体" w:hAnsi="宋体" w:cs="宋体"/>
                <w:spacing w:val="-5"/>
                <w:sz w:val="17"/>
                <w:szCs w:val="17"/>
              </w:rPr>
              <w:t>1.5</w:t>
            </w:r>
            <w:r>
              <w:rPr>
                <w:rFonts w:ascii="宋体" w:eastAsia="宋体" w:hAnsi="宋体" w:cs="宋体"/>
                <w:spacing w:val="13"/>
                <w:sz w:val="17"/>
                <w:szCs w:val="17"/>
              </w:rPr>
              <w:t xml:space="preserve">  </w:t>
            </w:r>
            <w:r>
              <w:rPr>
                <w:rFonts w:ascii="宋体" w:eastAsia="宋体" w:hAnsi="宋体" w:cs="宋体"/>
                <w:spacing w:val="-5"/>
                <w:sz w:val="17"/>
                <w:szCs w:val="17"/>
              </w:rPr>
              <w:t>1.2</w:t>
            </w:r>
            <w:r>
              <w:rPr>
                <w:rFonts w:ascii="宋体" w:eastAsia="宋体" w:hAnsi="宋体" w:cs="宋体"/>
                <w:spacing w:val="12"/>
                <w:sz w:val="17"/>
                <w:szCs w:val="17"/>
              </w:rPr>
              <w:t xml:space="preserve">  </w:t>
            </w:r>
            <w:r>
              <w:rPr>
                <w:rFonts w:ascii="宋体" w:eastAsia="宋体" w:hAnsi="宋体" w:cs="宋体"/>
                <w:spacing w:val="-5"/>
                <w:position w:val="-1"/>
                <w:sz w:val="17"/>
                <w:szCs w:val="17"/>
              </w:rPr>
              <w:t>200</w:t>
            </w:r>
            <w:r>
              <w:rPr>
                <w:rFonts w:ascii="宋体" w:eastAsia="宋体" w:hAnsi="宋体" w:cs="宋体"/>
                <w:position w:val="-1"/>
                <w:sz w:val="17"/>
                <w:szCs w:val="17"/>
              </w:rPr>
              <w:t xml:space="preserve">        </w:t>
            </w:r>
            <w:r>
              <w:rPr>
                <w:rFonts w:ascii="宋体" w:eastAsia="宋体" w:hAnsi="宋体" w:cs="宋体"/>
                <w:spacing w:val="-5"/>
                <w:position w:val="-1"/>
                <w:sz w:val="17"/>
                <w:szCs w:val="17"/>
              </w:rPr>
              <w:t>80</w:t>
            </w:r>
          </w:p>
        </w:tc>
        <w:tc>
          <w:tcPr>
            <w:tcW w:w="787" w:type="dxa"/>
          </w:tcPr>
          <w:p w:rsidR="00EA40A3" w:rsidRDefault="00EA40A3"/>
        </w:tc>
        <w:tc>
          <w:tcPr>
            <w:tcW w:w="715" w:type="dxa"/>
          </w:tcPr>
          <w:p w:rsidR="00EA40A3" w:rsidRDefault="00EA40A3"/>
        </w:tc>
        <w:tc>
          <w:tcPr>
            <w:tcW w:w="672" w:type="dxa"/>
          </w:tcPr>
          <w:p w:rsidR="00EA40A3" w:rsidRDefault="00E86C16">
            <w:pPr>
              <w:spacing w:before="168"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68" w:line="183" w:lineRule="auto"/>
              <w:ind w:left="273"/>
              <w:rPr>
                <w:rFonts w:ascii="宋体" w:eastAsia="宋体" w:hAnsi="宋体" w:cs="宋体"/>
                <w:sz w:val="17"/>
                <w:szCs w:val="17"/>
              </w:rPr>
            </w:pPr>
            <w:r>
              <w:rPr>
                <w:rFonts w:ascii="宋体" w:eastAsia="宋体" w:hAnsi="宋体" w:cs="宋体"/>
                <w:spacing w:val="-2"/>
                <w:sz w:val="17"/>
                <w:szCs w:val="17"/>
              </w:rPr>
              <w:t>600</w:t>
            </w:r>
          </w:p>
        </w:tc>
        <w:tc>
          <w:tcPr>
            <w:tcW w:w="2054" w:type="dxa"/>
          </w:tcPr>
          <w:p w:rsidR="00EA40A3" w:rsidRDefault="00E86C16">
            <w:pPr>
              <w:spacing w:before="158" w:line="194" w:lineRule="auto"/>
              <w:ind w:left="354"/>
              <w:rPr>
                <w:rFonts w:ascii="宋体" w:eastAsia="宋体" w:hAnsi="宋体" w:cs="宋体"/>
                <w:sz w:val="17"/>
                <w:szCs w:val="17"/>
              </w:rPr>
            </w:pPr>
            <w:r>
              <w:rPr>
                <w:rFonts w:ascii="宋体" w:eastAsia="宋体" w:hAnsi="宋体" w:cs="宋体"/>
                <w:spacing w:val="-5"/>
                <w:position w:val="1"/>
                <w:sz w:val="17"/>
                <w:szCs w:val="17"/>
              </w:rPr>
              <w:t>300</w:t>
            </w:r>
            <w:r>
              <w:rPr>
                <w:rFonts w:ascii="宋体" w:eastAsia="宋体" w:hAnsi="宋体" w:cs="宋体"/>
                <w:spacing w:val="4"/>
                <w:position w:val="1"/>
                <w:sz w:val="17"/>
                <w:szCs w:val="17"/>
              </w:rPr>
              <w:t xml:space="preserve">      </w:t>
            </w:r>
            <w:r>
              <w:rPr>
                <w:rFonts w:ascii="宋体" w:eastAsia="宋体" w:hAnsi="宋体" w:cs="宋体"/>
                <w:spacing w:val="-5"/>
                <w:sz w:val="17"/>
                <w:szCs w:val="17"/>
              </w:rPr>
              <w:t>10</w:t>
            </w:r>
            <w:r>
              <w:rPr>
                <w:rFonts w:ascii="宋体" w:eastAsia="宋体" w:hAnsi="宋体" w:cs="宋体"/>
                <w:spacing w:val="25"/>
                <w:sz w:val="17"/>
                <w:szCs w:val="17"/>
              </w:rPr>
              <w:t xml:space="preserve">   </w:t>
            </w:r>
            <w:r>
              <w:rPr>
                <w:rFonts w:ascii="宋体" w:eastAsia="宋体" w:hAnsi="宋体" w:cs="宋体"/>
                <w:spacing w:val="-5"/>
                <w:sz w:val="17"/>
                <w:szCs w:val="17"/>
              </w:rPr>
              <w:t>1000</w:t>
            </w:r>
          </w:p>
        </w:tc>
      </w:tr>
      <w:tr w:rsidR="00EA40A3">
        <w:trPr>
          <w:trHeight w:val="370"/>
        </w:trPr>
        <w:tc>
          <w:tcPr>
            <w:tcW w:w="628" w:type="dxa"/>
          </w:tcPr>
          <w:p w:rsidR="00EA40A3" w:rsidRDefault="00E86C16">
            <w:pPr>
              <w:spacing w:before="119" w:line="183" w:lineRule="auto"/>
              <w:ind w:left="280"/>
              <w:rPr>
                <w:rFonts w:ascii="宋体" w:eastAsia="宋体" w:hAnsi="宋体" w:cs="宋体"/>
                <w:sz w:val="17"/>
                <w:szCs w:val="17"/>
              </w:rPr>
            </w:pPr>
            <w:r>
              <w:rPr>
                <w:rFonts w:ascii="宋体" w:eastAsia="宋体" w:hAnsi="宋体" w:cs="宋体"/>
                <w:spacing w:val="11"/>
                <w:w w:val="125"/>
                <w:sz w:val="17"/>
                <w:szCs w:val="17"/>
              </w:rPr>
              <w:t>4~</w:t>
            </w:r>
          </w:p>
        </w:tc>
        <w:tc>
          <w:tcPr>
            <w:tcW w:w="2196" w:type="dxa"/>
          </w:tcPr>
          <w:p w:rsidR="00EA40A3" w:rsidRDefault="00E86C16">
            <w:pPr>
              <w:spacing w:before="119" w:line="183" w:lineRule="auto"/>
              <w:ind w:left="182"/>
              <w:rPr>
                <w:rFonts w:ascii="宋体" w:eastAsia="宋体" w:hAnsi="宋体" w:cs="宋体"/>
                <w:sz w:val="17"/>
                <w:szCs w:val="17"/>
              </w:rPr>
            </w:pPr>
            <w:r>
              <w:rPr>
                <w:rFonts w:ascii="宋体" w:eastAsia="宋体" w:hAnsi="宋体" w:cs="宋体"/>
                <w:spacing w:val="-2"/>
                <w:sz w:val="17"/>
                <w:szCs w:val="17"/>
              </w:rPr>
              <w:t>20003000</w:t>
            </w:r>
            <w:r>
              <w:rPr>
                <w:rFonts w:ascii="宋体" w:eastAsia="宋体" w:hAnsi="宋体" w:cs="宋体"/>
                <w:spacing w:val="64"/>
                <w:w w:val="101"/>
                <w:sz w:val="17"/>
                <w:szCs w:val="17"/>
              </w:rPr>
              <w:t xml:space="preserve"> </w:t>
            </w:r>
            <w:r>
              <w:rPr>
                <w:rFonts w:ascii="宋体" w:eastAsia="宋体" w:hAnsi="宋体" w:cs="宋体"/>
                <w:spacing w:val="-2"/>
                <w:sz w:val="17"/>
                <w:szCs w:val="17"/>
              </w:rPr>
              <w:t>300</w:t>
            </w:r>
            <w:r>
              <w:rPr>
                <w:rFonts w:ascii="宋体" w:eastAsia="宋体" w:hAnsi="宋体" w:cs="宋体"/>
                <w:spacing w:val="17"/>
                <w:sz w:val="17"/>
                <w:szCs w:val="17"/>
              </w:rPr>
              <w:t xml:space="preserve">  </w:t>
            </w:r>
            <w:r>
              <w:rPr>
                <w:rFonts w:ascii="宋体" w:eastAsia="宋体" w:hAnsi="宋体" w:cs="宋体"/>
                <w:spacing w:val="-2"/>
                <w:sz w:val="17"/>
                <w:szCs w:val="17"/>
              </w:rPr>
              <w:t>30</w:t>
            </w:r>
          </w:p>
        </w:tc>
        <w:tc>
          <w:tcPr>
            <w:tcW w:w="706" w:type="dxa"/>
          </w:tcPr>
          <w:p w:rsidR="00EA40A3" w:rsidRDefault="00E86C16">
            <w:pPr>
              <w:spacing w:before="119" w:line="183" w:lineRule="auto"/>
              <w:ind w:left="285"/>
              <w:rPr>
                <w:rFonts w:ascii="宋体" w:eastAsia="宋体" w:hAnsi="宋体" w:cs="宋体"/>
                <w:sz w:val="17"/>
                <w:szCs w:val="17"/>
              </w:rPr>
            </w:pPr>
            <w:r>
              <w:rPr>
                <w:rFonts w:ascii="宋体" w:eastAsia="宋体" w:hAnsi="宋体" w:cs="宋体"/>
                <w:spacing w:val="-3"/>
                <w:sz w:val="17"/>
                <w:szCs w:val="17"/>
              </w:rPr>
              <w:t>23</w:t>
            </w:r>
          </w:p>
        </w:tc>
        <w:tc>
          <w:tcPr>
            <w:tcW w:w="479" w:type="dxa"/>
          </w:tcPr>
          <w:p w:rsidR="00EA40A3" w:rsidRDefault="00E86C16">
            <w:pPr>
              <w:spacing w:before="118" w:line="184" w:lineRule="auto"/>
              <w:ind w:left="150"/>
              <w:rPr>
                <w:rFonts w:ascii="宋体" w:eastAsia="宋体" w:hAnsi="宋体" w:cs="宋体"/>
                <w:sz w:val="17"/>
                <w:szCs w:val="17"/>
              </w:rPr>
            </w:pPr>
            <w:r>
              <w:rPr>
                <w:rFonts w:ascii="宋体" w:eastAsia="宋体" w:hAnsi="宋体" w:cs="宋体"/>
                <w:spacing w:val="-5"/>
                <w:sz w:val="17"/>
                <w:szCs w:val="17"/>
              </w:rPr>
              <w:t>180</w:t>
            </w:r>
          </w:p>
        </w:tc>
        <w:tc>
          <w:tcPr>
            <w:tcW w:w="2143" w:type="dxa"/>
          </w:tcPr>
          <w:p w:rsidR="00EA40A3" w:rsidRDefault="00E86C16">
            <w:pPr>
              <w:spacing w:before="118" w:line="184" w:lineRule="auto"/>
              <w:ind w:left="100"/>
              <w:rPr>
                <w:rFonts w:ascii="宋体" w:eastAsia="宋体" w:hAnsi="宋体" w:cs="宋体"/>
                <w:sz w:val="17"/>
                <w:szCs w:val="17"/>
              </w:rPr>
            </w:pPr>
            <w:r>
              <w:rPr>
                <w:rFonts w:ascii="宋体" w:eastAsia="宋体" w:hAnsi="宋体" w:cs="宋体"/>
                <w:spacing w:val="-5"/>
                <w:sz w:val="17"/>
                <w:szCs w:val="17"/>
              </w:rPr>
              <w:t>2.0</w:t>
            </w:r>
            <w:r>
              <w:rPr>
                <w:rFonts w:ascii="宋体" w:eastAsia="宋体" w:hAnsi="宋体" w:cs="宋体"/>
                <w:spacing w:val="11"/>
                <w:sz w:val="17"/>
                <w:szCs w:val="17"/>
              </w:rPr>
              <w:t xml:space="preserve">  </w:t>
            </w:r>
            <w:r>
              <w:rPr>
                <w:rFonts w:ascii="宋体" w:eastAsia="宋体" w:hAnsi="宋体" w:cs="宋体"/>
                <w:spacing w:val="-5"/>
                <w:sz w:val="17"/>
                <w:szCs w:val="17"/>
              </w:rPr>
              <w:t>1.6</w:t>
            </w:r>
            <w:r>
              <w:rPr>
                <w:rFonts w:ascii="宋体" w:eastAsia="宋体" w:hAnsi="宋体" w:cs="宋体"/>
                <w:spacing w:val="12"/>
                <w:sz w:val="17"/>
                <w:szCs w:val="17"/>
              </w:rPr>
              <w:t xml:space="preserve">  </w:t>
            </w:r>
            <w:r>
              <w:rPr>
                <w:rFonts w:ascii="宋体" w:eastAsia="宋体" w:hAnsi="宋体" w:cs="宋体"/>
                <w:spacing w:val="-5"/>
                <w:sz w:val="17"/>
                <w:szCs w:val="17"/>
              </w:rPr>
              <w:t>300</w:t>
            </w:r>
            <w:r>
              <w:rPr>
                <w:rFonts w:ascii="宋体" w:eastAsia="宋体" w:hAnsi="宋体" w:cs="宋体"/>
                <w:sz w:val="17"/>
                <w:szCs w:val="17"/>
              </w:rPr>
              <w:t xml:space="preserve">       </w:t>
            </w:r>
            <w:r>
              <w:rPr>
                <w:rFonts w:ascii="宋体" w:eastAsia="宋体" w:hAnsi="宋体" w:cs="宋体"/>
                <w:spacing w:val="-5"/>
                <w:sz w:val="17"/>
                <w:szCs w:val="17"/>
              </w:rPr>
              <w:t>110</w:t>
            </w:r>
          </w:p>
        </w:tc>
        <w:tc>
          <w:tcPr>
            <w:tcW w:w="787" w:type="dxa"/>
          </w:tcPr>
          <w:p w:rsidR="00EA40A3" w:rsidRDefault="00E86C16">
            <w:pPr>
              <w:spacing w:before="119" w:line="183" w:lineRule="auto"/>
              <w:ind w:left="218"/>
              <w:rPr>
                <w:rFonts w:ascii="宋体" w:eastAsia="宋体" w:hAnsi="宋体" w:cs="宋体"/>
                <w:sz w:val="17"/>
                <w:szCs w:val="17"/>
              </w:rPr>
            </w:pPr>
            <w:r>
              <w:rPr>
                <w:rFonts w:ascii="宋体" w:eastAsia="宋体" w:hAnsi="宋体" w:cs="宋体"/>
                <w:spacing w:val="-2"/>
                <w:sz w:val="17"/>
                <w:szCs w:val="17"/>
              </w:rPr>
              <w:t>2000</w:t>
            </w:r>
          </w:p>
        </w:tc>
        <w:tc>
          <w:tcPr>
            <w:tcW w:w="715" w:type="dxa"/>
          </w:tcPr>
          <w:p w:rsidR="00EA40A3" w:rsidRDefault="00E86C16">
            <w:pPr>
              <w:spacing w:before="119"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19"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19" w:line="183" w:lineRule="auto"/>
              <w:ind w:left="273"/>
              <w:rPr>
                <w:rFonts w:ascii="宋体" w:eastAsia="宋体" w:hAnsi="宋体" w:cs="宋体"/>
                <w:sz w:val="17"/>
                <w:szCs w:val="17"/>
              </w:rPr>
            </w:pPr>
            <w:r>
              <w:rPr>
                <w:rFonts w:ascii="宋体" w:eastAsia="宋体" w:hAnsi="宋体" w:cs="宋体"/>
                <w:spacing w:val="-3"/>
                <w:sz w:val="17"/>
                <w:szCs w:val="17"/>
              </w:rPr>
              <w:t>700</w:t>
            </w:r>
          </w:p>
        </w:tc>
        <w:tc>
          <w:tcPr>
            <w:tcW w:w="2054" w:type="dxa"/>
          </w:tcPr>
          <w:p w:rsidR="00EA40A3" w:rsidRDefault="00E86C16">
            <w:pPr>
              <w:spacing w:before="118" w:line="184" w:lineRule="auto"/>
              <w:ind w:left="354"/>
              <w:rPr>
                <w:rFonts w:ascii="宋体" w:eastAsia="宋体" w:hAnsi="宋体" w:cs="宋体"/>
                <w:sz w:val="17"/>
                <w:szCs w:val="17"/>
              </w:rPr>
            </w:pPr>
            <w:r>
              <w:rPr>
                <w:rFonts w:ascii="宋体" w:eastAsia="宋体" w:hAnsi="宋体" w:cs="宋体"/>
                <w:spacing w:val="-5"/>
                <w:sz w:val="17"/>
                <w:szCs w:val="17"/>
              </w:rPr>
              <w:t>400</w:t>
            </w:r>
            <w:r>
              <w:rPr>
                <w:rFonts w:ascii="宋体" w:eastAsia="宋体" w:hAnsi="宋体" w:cs="宋体"/>
                <w:spacing w:val="4"/>
                <w:sz w:val="17"/>
                <w:szCs w:val="17"/>
              </w:rPr>
              <w:t xml:space="preserve">      </w:t>
            </w:r>
            <w:r>
              <w:rPr>
                <w:rFonts w:ascii="宋体" w:eastAsia="宋体" w:hAnsi="宋体" w:cs="宋体"/>
                <w:spacing w:val="-5"/>
                <w:sz w:val="17"/>
                <w:szCs w:val="17"/>
              </w:rPr>
              <w:t>15</w:t>
            </w:r>
            <w:r>
              <w:rPr>
                <w:rFonts w:ascii="宋体" w:eastAsia="宋体" w:hAnsi="宋体" w:cs="宋体"/>
                <w:spacing w:val="25"/>
                <w:sz w:val="17"/>
                <w:szCs w:val="17"/>
              </w:rPr>
              <w:t xml:space="preserve">   </w:t>
            </w:r>
            <w:r>
              <w:rPr>
                <w:rFonts w:ascii="宋体" w:eastAsia="宋体" w:hAnsi="宋体" w:cs="宋体"/>
                <w:spacing w:val="-5"/>
                <w:sz w:val="17"/>
                <w:szCs w:val="17"/>
              </w:rPr>
              <w:t>1500</w:t>
            </w:r>
          </w:p>
        </w:tc>
      </w:tr>
      <w:tr w:rsidR="00EA40A3">
        <w:trPr>
          <w:trHeight w:val="789"/>
        </w:trPr>
        <w:tc>
          <w:tcPr>
            <w:tcW w:w="628" w:type="dxa"/>
          </w:tcPr>
          <w:p w:rsidR="00EA40A3" w:rsidRDefault="00E86C16">
            <w:pPr>
              <w:spacing w:before="160" w:line="182" w:lineRule="auto"/>
              <w:ind w:left="259"/>
              <w:rPr>
                <w:rFonts w:ascii="宋体" w:eastAsia="宋体" w:hAnsi="宋体" w:cs="宋体"/>
                <w:sz w:val="17"/>
                <w:szCs w:val="17"/>
              </w:rPr>
            </w:pPr>
            <w:r>
              <w:rPr>
                <w:rFonts w:ascii="宋体" w:eastAsia="宋体" w:hAnsi="宋体" w:cs="宋体"/>
                <w:spacing w:val="15"/>
                <w:w w:val="117"/>
                <w:sz w:val="17"/>
                <w:szCs w:val="17"/>
              </w:rPr>
              <w:t>7~</w:t>
            </w:r>
          </w:p>
        </w:tc>
        <w:tc>
          <w:tcPr>
            <w:tcW w:w="2196" w:type="dxa"/>
          </w:tcPr>
          <w:p w:rsidR="00EA40A3" w:rsidRDefault="00E86C16">
            <w:pPr>
              <w:spacing w:before="139" w:line="194" w:lineRule="auto"/>
              <w:ind w:left="161"/>
              <w:rPr>
                <w:rFonts w:ascii="宋体" w:eastAsia="宋体" w:hAnsi="宋体" w:cs="宋体"/>
                <w:sz w:val="17"/>
                <w:szCs w:val="17"/>
              </w:rPr>
            </w:pPr>
            <w:r>
              <w:rPr>
                <w:rFonts w:ascii="宋体" w:eastAsia="宋体" w:hAnsi="宋体" w:cs="宋体"/>
                <w:spacing w:val="-3"/>
                <w:sz w:val="17"/>
                <w:szCs w:val="17"/>
              </w:rPr>
              <w:t>20003000</w:t>
            </w:r>
            <w:r>
              <w:rPr>
                <w:rFonts w:ascii="宋体" w:eastAsia="宋体" w:hAnsi="宋体" w:cs="宋体"/>
                <w:spacing w:val="22"/>
                <w:w w:val="101"/>
                <w:sz w:val="17"/>
                <w:szCs w:val="17"/>
              </w:rPr>
              <w:t xml:space="preserve">  </w:t>
            </w:r>
            <w:r>
              <w:rPr>
                <w:rFonts w:ascii="宋体" w:eastAsia="宋体" w:hAnsi="宋体" w:cs="宋体"/>
                <w:spacing w:val="-3"/>
                <w:sz w:val="17"/>
                <w:szCs w:val="17"/>
              </w:rPr>
              <w:t>500</w:t>
            </w:r>
            <w:r>
              <w:rPr>
                <w:rFonts w:ascii="宋体" w:eastAsia="宋体" w:hAnsi="宋体" w:cs="宋体"/>
                <w:sz w:val="17"/>
                <w:szCs w:val="17"/>
              </w:rPr>
              <w:t xml:space="preserve">  </w:t>
            </w:r>
            <w:r>
              <w:rPr>
                <w:rFonts w:ascii="宋体" w:eastAsia="宋体" w:hAnsi="宋体" w:cs="宋体"/>
                <w:spacing w:val="-3"/>
                <w:position w:val="1"/>
                <w:sz w:val="17"/>
                <w:szCs w:val="17"/>
              </w:rPr>
              <w:t>30</w:t>
            </w:r>
            <w:r>
              <w:rPr>
                <w:rFonts w:ascii="宋体" w:eastAsia="宋体" w:hAnsi="宋体" w:cs="宋体"/>
                <w:spacing w:val="25"/>
                <w:position w:val="1"/>
                <w:sz w:val="17"/>
                <w:szCs w:val="17"/>
              </w:rPr>
              <w:t xml:space="preserve">  </w:t>
            </w:r>
            <w:r>
              <w:rPr>
                <w:rFonts w:ascii="宋体" w:eastAsia="宋体" w:hAnsi="宋体" w:cs="宋体"/>
                <w:spacing w:val="-3"/>
                <w:position w:val="1"/>
                <w:sz w:val="17"/>
                <w:szCs w:val="17"/>
              </w:rPr>
              <w:t>800</w:t>
            </w:r>
          </w:p>
        </w:tc>
        <w:tc>
          <w:tcPr>
            <w:tcW w:w="706" w:type="dxa"/>
          </w:tcPr>
          <w:p w:rsidR="00EA40A3" w:rsidRDefault="00E86C16">
            <w:pPr>
              <w:spacing w:before="139" w:line="366" w:lineRule="exact"/>
              <w:ind w:left="285"/>
              <w:rPr>
                <w:rFonts w:ascii="宋体" w:eastAsia="宋体" w:hAnsi="宋体" w:cs="宋体"/>
                <w:sz w:val="17"/>
                <w:szCs w:val="17"/>
              </w:rPr>
            </w:pPr>
            <w:r>
              <w:rPr>
                <w:rFonts w:ascii="宋体" w:eastAsia="宋体" w:hAnsi="宋体" w:cs="宋体"/>
                <w:spacing w:val="-3"/>
                <w:position w:val="17"/>
                <w:sz w:val="17"/>
                <w:szCs w:val="17"/>
              </w:rPr>
              <w:t>28</w:t>
            </w:r>
          </w:p>
          <w:p w:rsidR="00EA40A3" w:rsidRDefault="00E86C16">
            <w:pPr>
              <w:spacing w:line="220" w:lineRule="auto"/>
              <w:ind w:left="85"/>
              <w:rPr>
                <w:rFonts w:ascii="宋体" w:eastAsia="宋体" w:hAnsi="宋体" w:cs="宋体"/>
                <w:sz w:val="17"/>
                <w:szCs w:val="17"/>
              </w:rPr>
            </w:pPr>
            <w:r>
              <w:rPr>
                <w:rFonts w:ascii="宋体" w:eastAsia="宋体" w:hAnsi="宋体" w:cs="宋体"/>
                <w:spacing w:val="14"/>
                <w:sz w:val="17"/>
                <w:szCs w:val="17"/>
              </w:rPr>
              <w:t>男女</w:t>
            </w:r>
          </w:p>
        </w:tc>
        <w:tc>
          <w:tcPr>
            <w:tcW w:w="479" w:type="dxa"/>
          </w:tcPr>
          <w:p w:rsidR="00EA40A3" w:rsidRDefault="00E86C16">
            <w:pPr>
              <w:spacing w:before="139" w:line="183" w:lineRule="auto"/>
              <w:ind w:left="150"/>
              <w:rPr>
                <w:rFonts w:ascii="宋体" w:eastAsia="宋体" w:hAnsi="宋体" w:cs="宋体"/>
                <w:sz w:val="17"/>
                <w:szCs w:val="17"/>
              </w:rPr>
            </w:pPr>
            <w:r>
              <w:rPr>
                <w:rFonts w:ascii="宋体" w:eastAsia="宋体" w:hAnsi="宋体" w:cs="宋体"/>
                <w:spacing w:val="-2"/>
                <w:sz w:val="17"/>
                <w:szCs w:val="17"/>
              </w:rPr>
              <w:t>240</w:t>
            </w:r>
          </w:p>
        </w:tc>
        <w:tc>
          <w:tcPr>
            <w:tcW w:w="2143" w:type="dxa"/>
          </w:tcPr>
          <w:p w:rsidR="00EA40A3" w:rsidRDefault="00E86C16">
            <w:pPr>
              <w:spacing w:before="138" w:line="184" w:lineRule="auto"/>
              <w:ind w:left="100"/>
              <w:rPr>
                <w:rFonts w:ascii="宋体" w:eastAsia="宋体" w:hAnsi="宋体" w:cs="宋体"/>
                <w:sz w:val="17"/>
                <w:szCs w:val="17"/>
              </w:rPr>
            </w:pPr>
            <w:r>
              <w:rPr>
                <w:rFonts w:ascii="宋体" w:eastAsia="宋体" w:hAnsi="宋体" w:cs="宋体"/>
                <w:spacing w:val="-4"/>
                <w:sz w:val="17"/>
                <w:szCs w:val="17"/>
              </w:rPr>
              <w:t>3.5</w:t>
            </w:r>
            <w:r>
              <w:rPr>
                <w:rFonts w:ascii="宋体" w:eastAsia="宋体" w:hAnsi="宋体" w:cs="宋体"/>
                <w:spacing w:val="10"/>
                <w:sz w:val="17"/>
                <w:szCs w:val="17"/>
              </w:rPr>
              <w:t xml:space="preserve">  </w:t>
            </w:r>
            <w:r>
              <w:rPr>
                <w:rFonts w:ascii="宋体" w:eastAsia="宋体" w:hAnsi="宋体" w:cs="宋体"/>
                <w:spacing w:val="-4"/>
                <w:sz w:val="17"/>
                <w:szCs w:val="17"/>
              </w:rPr>
              <w:t>2.0</w:t>
            </w:r>
            <w:r>
              <w:rPr>
                <w:rFonts w:ascii="宋体" w:eastAsia="宋体" w:hAnsi="宋体" w:cs="宋体"/>
                <w:spacing w:val="7"/>
                <w:sz w:val="17"/>
                <w:szCs w:val="17"/>
              </w:rPr>
              <w:t xml:space="preserve">  </w:t>
            </w:r>
            <w:r>
              <w:rPr>
                <w:rFonts w:ascii="宋体" w:eastAsia="宋体" w:hAnsi="宋体" w:cs="宋体"/>
                <w:spacing w:val="-4"/>
                <w:sz w:val="17"/>
                <w:szCs w:val="17"/>
              </w:rPr>
              <w:t>300</w:t>
            </w:r>
            <w:r>
              <w:rPr>
                <w:rFonts w:ascii="宋体" w:eastAsia="宋体" w:hAnsi="宋体" w:cs="宋体"/>
                <w:sz w:val="17"/>
                <w:szCs w:val="17"/>
              </w:rPr>
              <w:t xml:space="preserve">       </w:t>
            </w:r>
            <w:r>
              <w:rPr>
                <w:rFonts w:ascii="宋体" w:eastAsia="宋体" w:hAnsi="宋体" w:cs="宋体"/>
                <w:spacing w:val="-4"/>
                <w:sz w:val="17"/>
                <w:szCs w:val="17"/>
              </w:rPr>
              <w:t>160</w:t>
            </w:r>
          </w:p>
        </w:tc>
        <w:tc>
          <w:tcPr>
            <w:tcW w:w="787" w:type="dxa"/>
          </w:tcPr>
          <w:p w:rsidR="00EA40A3" w:rsidRDefault="00E86C16">
            <w:pPr>
              <w:spacing w:before="139" w:line="183" w:lineRule="auto"/>
              <w:ind w:left="218"/>
              <w:rPr>
                <w:rFonts w:ascii="宋体" w:eastAsia="宋体" w:hAnsi="宋体" w:cs="宋体"/>
                <w:sz w:val="17"/>
                <w:szCs w:val="17"/>
              </w:rPr>
            </w:pPr>
            <w:r>
              <w:rPr>
                <w:rFonts w:ascii="宋体" w:eastAsia="宋体" w:hAnsi="宋体" w:cs="宋体"/>
                <w:spacing w:val="-2"/>
                <w:sz w:val="17"/>
                <w:szCs w:val="17"/>
              </w:rPr>
              <w:t>2000</w:t>
            </w:r>
          </w:p>
        </w:tc>
        <w:tc>
          <w:tcPr>
            <w:tcW w:w="715" w:type="dxa"/>
          </w:tcPr>
          <w:p w:rsidR="00EA40A3" w:rsidRDefault="00E86C16">
            <w:pPr>
              <w:spacing w:before="139"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39"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39" w:line="183" w:lineRule="auto"/>
              <w:ind w:left="273"/>
              <w:rPr>
                <w:rFonts w:ascii="宋体" w:eastAsia="宋体" w:hAnsi="宋体" w:cs="宋体"/>
                <w:sz w:val="17"/>
                <w:szCs w:val="17"/>
              </w:rPr>
            </w:pPr>
            <w:r>
              <w:rPr>
                <w:rFonts w:ascii="宋体" w:eastAsia="宋体" w:hAnsi="宋体" w:cs="宋体"/>
                <w:spacing w:val="-2"/>
                <w:sz w:val="17"/>
                <w:szCs w:val="17"/>
              </w:rPr>
              <w:t>800</w:t>
            </w:r>
          </w:p>
        </w:tc>
        <w:tc>
          <w:tcPr>
            <w:tcW w:w="2054" w:type="dxa"/>
          </w:tcPr>
          <w:p w:rsidR="00EA40A3" w:rsidRDefault="00E86C16">
            <w:pPr>
              <w:spacing w:before="139" w:line="183" w:lineRule="auto"/>
              <w:ind w:left="354"/>
              <w:rPr>
                <w:rFonts w:ascii="宋体" w:eastAsia="宋体" w:hAnsi="宋体" w:cs="宋体"/>
                <w:sz w:val="17"/>
                <w:szCs w:val="17"/>
              </w:rPr>
            </w:pPr>
            <w:r>
              <w:rPr>
                <w:rFonts w:ascii="宋体" w:eastAsia="宋体" w:hAnsi="宋体" w:cs="宋体"/>
                <w:spacing w:val="-3"/>
                <w:sz w:val="17"/>
                <w:szCs w:val="17"/>
              </w:rPr>
              <w:t>400</w:t>
            </w:r>
            <w:r>
              <w:rPr>
                <w:rFonts w:ascii="宋体" w:eastAsia="宋体" w:hAnsi="宋体" w:cs="宋体"/>
                <w:spacing w:val="4"/>
                <w:sz w:val="17"/>
                <w:szCs w:val="17"/>
              </w:rPr>
              <w:t xml:space="preserve">      </w:t>
            </w:r>
            <w:r>
              <w:rPr>
                <w:rFonts w:ascii="宋体" w:eastAsia="宋体" w:hAnsi="宋体" w:cs="宋体"/>
                <w:spacing w:val="-3"/>
                <w:sz w:val="17"/>
                <w:szCs w:val="17"/>
              </w:rPr>
              <w:t>20</w:t>
            </w:r>
            <w:r>
              <w:rPr>
                <w:rFonts w:ascii="宋体" w:eastAsia="宋体" w:hAnsi="宋体" w:cs="宋体"/>
                <w:spacing w:val="21"/>
                <w:w w:val="101"/>
                <w:sz w:val="17"/>
                <w:szCs w:val="17"/>
              </w:rPr>
              <w:t xml:space="preserve">   </w:t>
            </w:r>
            <w:r>
              <w:rPr>
                <w:rFonts w:ascii="宋体" w:eastAsia="宋体" w:hAnsi="宋体" w:cs="宋体"/>
                <w:spacing w:val="-3"/>
                <w:sz w:val="17"/>
                <w:szCs w:val="17"/>
              </w:rPr>
              <w:t>2000</w:t>
            </w:r>
          </w:p>
        </w:tc>
      </w:tr>
      <w:tr w:rsidR="00EA40A3">
        <w:trPr>
          <w:trHeight w:val="423"/>
        </w:trPr>
        <w:tc>
          <w:tcPr>
            <w:tcW w:w="628" w:type="dxa"/>
          </w:tcPr>
          <w:p w:rsidR="00EA40A3" w:rsidRDefault="00E86C16">
            <w:pPr>
              <w:spacing w:before="129" w:line="184" w:lineRule="auto"/>
              <w:ind w:left="220"/>
              <w:rPr>
                <w:rFonts w:ascii="宋体" w:eastAsia="宋体" w:hAnsi="宋体" w:cs="宋体"/>
                <w:sz w:val="17"/>
                <w:szCs w:val="17"/>
              </w:rPr>
            </w:pPr>
            <w:r>
              <w:rPr>
                <w:rFonts w:ascii="宋体" w:eastAsia="宋体" w:hAnsi="宋体" w:cs="宋体"/>
                <w:spacing w:val="17"/>
                <w:sz w:val="17"/>
                <w:szCs w:val="17"/>
              </w:rPr>
              <w:t>11~</w:t>
            </w:r>
          </w:p>
        </w:tc>
        <w:tc>
          <w:tcPr>
            <w:tcW w:w="2196" w:type="dxa"/>
          </w:tcPr>
          <w:p w:rsidR="00EA40A3" w:rsidRDefault="00E86C16">
            <w:pPr>
              <w:spacing w:before="130" w:line="194" w:lineRule="auto"/>
              <w:ind w:left="114"/>
              <w:rPr>
                <w:rFonts w:ascii="宋体" w:eastAsia="宋体" w:hAnsi="宋体" w:cs="宋体"/>
                <w:sz w:val="17"/>
                <w:szCs w:val="17"/>
              </w:rPr>
            </w:pPr>
            <w:r>
              <w:rPr>
                <w:rFonts w:ascii="宋体" w:eastAsia="宋体" w:hAnsi="宋体" w:cs="宋体"/>
                <w:spacing w:val="-2"/>
                <w:position w:val="1"/>
                <w:sz w:val="17"/>
                <w:szCs w:val="17"/>
              </w:rPr>
              <w:t>20003500700</w:t>
            </w:r>
            <w:r>
              <w:rPr>
                <w:rFonts w:ascii="宋体" w:eastAsia="宋体" w:hAnsi="宋体" w:cs="宋体"/>
                <w:spacing w:val="19"/>
                <w:position w:val="1"/>
                <w:sz w:val="17"/>
                <w:szCs w:val="17"/>
              </w:rPr>
              <w:t xml:space="preserve">    </w:t>
            </w:r>
            <w:r>
              <w:rPr>
                <w:rFonts w:ascii="宋体" w:eastAsia="宋体" w:hAnsi="宋体" w:cs="宋体"/>
                <w:spacing w:val="-2"/>
                <w:position w:val="-1"/>
                <w:sz w:val="17"/>
                <w:szCs w:val="17"/>
              </w:rPr>
              <w:t>50</w:t>
            </w:r>
            <w:r>
              <w:rPr>
                <w:rFonts w:ascii="宋体" w:eastAsia="宋体" w:hAnsi="宋体" w:cs="宋体"/>
                <w:spacing w:val="26"/>
                <w:position w:val="-1"/>
                <w:sz w:val="17"/>
                <w:szCs w:val="17"/>
              </w:rPr>
              <w:t xml:space="preserve">  </w:t>
            </w:r>
            <w:r>
              <w:rPr>
                <w:rFonts w:ascii="宋体" w:eastAsia="宋体" w:hAnsi="宋体" w:cs="宋体"/>
                <w:spacing w:val="-2"/>
                <w:position w:val="-3"/>
                <w:sz w:val="17"/>
                <w:szCs w:val="17"/>
              </w:rPr>
              <w:t>800</w:t>
            </w:r>
          </w:p>
        </w:tc>
        <w:tc>
          <w:tcPr>
            <w:tcW w:w="706" w:type="dxa"/>
          </w:tcPr>
          <w:p w:rsidR="00EA40A3" w:rsidRDefault="00E86C16">
            <w:pPr>
              <w:spacing w:before="150" w:line="194" w:lineRule="auto"/>
              <w:ind w:left="75"/>
              <w:rPr>
                <w:rFonts w:ascii="宋体" w:eastAsia="宋体" w:hAnsi="宋体" w:cs="宋体"/>
                <w:sz w:val="17"/>
                <w:szCs w:val="17"/>
              </w:rPr>
            </w:pPr>
            <w:r>
              <w:rPr>
                <w:rFonts w:ascii="宋体" w:eastAsia="宋体" w:hAnsi="宋体" w:cs="宋体"/>
                <w:spacing w:val="-4"/>
                <w:sz w:val="17"/>
                <w:szCs w:val="17"/>
              </w:rPr>
              <w:t>37</w:t>
            </w:r>
            <w:r>
              <w:rPr>
                <w:rFonts w:ascii="宋体" w:eastAsia="宋体" w:hAnsi="宋体" w:cs="宋体"/>
                <w:spacing w:val="20"/>
                <w:sz w:val="17"/>
                <w:szCs w:val="17"/>
              </w:rPr>
              <w:t xml:space="preserve">  </w:t>
            </w:r>
            <w:r>
              <w:rPr>
                <w:rFonts w:ascii="宋体" w:eastAsia="宋体" w:hAnsi="宋体" w:cs="宋体"/>
                <w:spacing w:val="-4"/>
                <w:sz w:val="17"/>
                <w:szCs w:val="17"/>
              </w:rPr>
              <w:t>34</w:t>
            </w:r>
          </w:p>
        </w:tc>
        <w:tc>
          <w:tcPr>
            <w:tcW w:w="479" w:type="dxa"/>
          </w:tcPr>
          <w:p w:rsidR="00EA40A3" w:rsidRDefault="00E86C16">
            <w:pPr>
              <w:spacing w:before="170" w:line="183" w:lineRule="auto"/>
              <w:ind w:left="150"/>
              <w:rPr>
                <w:rFonts w:ascii="宋体" w:eastAsia="宋体" w:hAnsi="宋体" w:cs="宋体"/>
                <w:sz w:val="17"/>
                <w:szCs w:val="17"/>
              </w:rPr>
            </w:pPr>
            <w:r>
              <w:rPr>
                <w:rFonts w:ascii="宋体" w:eastAsia="宋体" w:hAnsi="宋体" w:cs="宋体"/>
                <w:spacing w:val="-3"/>
                <w:sz w:val="17"/>
                <w:szCs w:val="17"/>
              </w:rPr>
              <w:t>300</w:t>
            </w:r>
          </w:p>
        </w:tc>
        <w:tc>
          <w:tcPr>
            <w:tcW w:w="2143" w:type="dxa"/>
          </w:tcPr>
          <w:p w:rsidR="00EA40A3" w:rsidRDefault="00E86C16">
            <w:pPr>
              <w:spacing w:before="170" w:line="194" w:lineRule="auto"/>
              <w:ind w:left="100"/>
              <w:rPr>
                <w:rFonts w:ascii="宋体" w:eastAsia="宋体" w:hAnsi="宋体" w:cs="宋体"/>
                <w:sz w:val="17"/>
                <w:szCs w:val="17"/>
              </w:rPr>
            </w:pPr>
            <w:r>
              <w:rPr>
                <w:rFonts w:ascii="宋体" w:eastAsia="宋体" w:hAnsi="宋体" w:cs="宋体"/>
                <w:spacing w:val="-3"/>
                <w:sz w:val="17"/>
                <w:szCs w:val="17"/>
              </w:rPr>
              <w:t>5.0</w:t>
            </w:r>
            <w:r>
              <w:rPr>
                <w:rFonts w:ascii="宋体" w:eastAsia="宋体" w:hAnsi="宋体" w:cs="宋体"/>
                <w:spacing w:val="9"/>
                <w:sz w:val="17"/>
                <w:szCs w:val="17"/>
              </w:rPr>
              <w:t xml:space="preserve">  </w:t>
            </w:r>
            <w:r>
              <w:rPr>
                <w:rFonts w:ascii="宋体" w:eastAsia="宋体" w:hAnsi="宋体" w:cs="宋体"/>
                <w:spacing w:val="-3"/>
                <w:sz w:val="17"/>
                <w:szCs w:val="17"/>
              </w:rPr>
              <w:t>2.4</w:t>
            </w:r>
            <w:r>
              <w:rPr>
                <w:rFonts w:ascii="宋体" w:eastAsia="宋体" w:hAnsi="宋体" w:cs="宋体"/>
                <w:spacing w:val="7"/>
                <w:sz w:val="17"/>
                <w:szCs w:val="17"/>
              </w:rPr>
              <w:t xml:space="preserve">  </w:t>
            </w:r>
            <w:r>
              <w:rPr>
                <w:rFonts w:ascii="宋体" w:eastAsia="宋体" w:hAnsi="宋体" w:cs="宋体"/>
                <w:spacing w:val="-3"/>
                <w:position w:val="-1"/>
                <w:sz w:val="17"/>
                <w:szCs w:val="17"/>
              </w:rPr>
              <w:t>400</w:t>
            </w:r>
            <w:r>
              <w:rPr>
                <w:rFonts w:ascii="宋体" w:eastAsia="宋体" w:hAnsi="宋体" w:cs="宋体"/>
                <w:spacing w:val="13"/>
                <w:position w:val="-1"/>
                <w:sz w:val="17"/>
                <w:szCs w:val="17"/>
              </w:rPr>
              <w:t xml:space="preserve">      </w:t>
            </w:r>
            <w:r>
              <w:rPr>
                <w:rFonts w:ascii="宋体" w:eastAsia="宋体" w:hAnsi="宋体" w:cs="宋体"/>
                <w:spacing w:val="-3"/>
                <w:sz w:val="17"/>
                <w:szCs w:val="17"/>
              </w:rPr>
              <w:t>280</w:t>
            </w:r>
          </w:p>
        </w:tc>
        <w:tc>
          <w:tcPr>
            <w:tcW w:w="787" w:type="dxa"/>
          </w:tcPr>
          <w:p w:rsidR="00EA40A3" w:rsidRDefault="00E86C16">
            <w:pPr>
              <w:spacing w:before="190" w:line="183" w:lineRule="auto"/>
              <w:ind w:left="218"/>
              <w:rPr>
                <w:rFonts w:ascii="宋体" w:eastAsia="宋体" w:hAnsi="宋体" w:cs="宋体"/>
                <w:sz w:val="17"/>
                <w:szCs w:val="17"/>
              </w:rPr>
            </w:pPr>
            <w:r>
              <w:rPr>
                <w:rFonts w:ascii="宋体" w:eastAsia="宋体" w:hAnsi="宋体" w:cs="宋体"/>
                <w:spacing w:val="-2"/>
                <w:sz w:val="17"/>
                <w:szCs w:val="17"/>
              </w:rPr>
              <w:t>2000</w:t>
            </w:r>
          </w:p>
        </w:tc>
        <w:tc>
          <w:tcPr>
            <w:tcW w:w="715" w:type="dxa"/>
          </w:tcPr>
          <w:p w:rsidR="00EA40A3" w:rsidRDefault="00E86C16">
            <w:pPr>
              <w:spacing w:before="190"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80"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80" w:line="183" w:lineRule="auto"/>
              <w:ind w:left="273"/>
              <w:rPr>
                <w:rFonts w:ascii="宋体" w:eastAsia="宋体" w:hAnsi="宋体" w:cs="宋体"/>
                <w:sz w:val="17"/>
                <w:szCs w:val="17"/>
              </w:rPr>
            </w:pPr>
            <w:r>
              <w:rPr>
                <w:rFonts w:ascii="宋体" w:eastAsia="宋体" w:hAnsi="宋体" w:cs="宋体"/>
                <w:spacing w:val="-2"/>
                <w:sz w:val="17"/>
                <w:szCs w:val="17"/>
              </w:rPr>
              <w:t>900</w:t>
            </w:r>
          </w:p>
        </w:tc>
        <w:tc>
          <w:tcPr>
            <w:tcW w:w="2054" w:type="dxa"/>
          </w:tcPr>
          <w:p w:rsidR="00EA40A3" w:rsidRDefault="00E86C16">
            <w:pPr>
              <w:spacing w:before="170" w:line="194" w:lineRule="auto"/>
              <w:ind w:left="354"/>
              <w:rPr>
                <w:rFonts w:ascii="宋体" w:eastAsia="宋体" w:hAnsi="宋体" w:cs="宋体"/>
                <w:sz w:val="17"/>
                <w:szCs w:val="17"/>
              </w:rPr>
            </w:pPr>
            <w:r>
              <w:rPr>
                <w:rFonts w:ascii="宋体" w:eastAsia="宋体" w:hAnsi="宋体" w:cs="宋体"/>
                <w:spacing w:val="-3"/>
                <w:position w:val="1"/>
                <w:sz w:val="17"/>
                <w:szCs w:val="17"/>
              </w:rPr>
              <w:t>600</w:t>
            </w:r>
            <w:r>
              <w:rPr>
                <w:rFonts w:ascii="宋体" w:eastAsia="宋体" w:hAnsi="宋体" w:cs="宋体"/>
                <w:spacing w:val="4"/>
                <w:position w:val="1"/>
                <w:sz w:val="17"/>
                <w:szCs w:val="17"/>
              </w:rPr>
              <w:t xml:space="preserve">      </w:t>
            </w:r>
            <w:r>
              <w:rPr>
                <w:rFonts w:ascii="宋体" w:eastAsia="宋体" w:hAnsi="宋体" w:cs="宋体"/>
                <w:spacing w:val="-3"/>
                <w:sz w:val="17"/>
                <w:szCs w:val="17"/>
              </w:rPr>
              <w:t>30</w:t>
            </w:r>
            <w:r>
              <w:rPr>
                <w:rFonts w:ascii="宋体" w:eastAsia="宋体" w:hAnsi="宋体" w:cs="宋体"/>
                <w:spacing w:val="21"/>
                <w:w w:val="101"/>
                <w:sz w:val="17"/>
                <w:szCs w:val="17"/>
              </w:rPr>
              <w:t xml:space="preserve">   </w:t>
            </w:r>
            <w:r>
              <w:rPr>
                <w:rFonts w:ascii="宋体" w:eastAsia="宋体" w:hAnsi="宋体" w:cs="宋体"/>
                <w:spacing w:val="-3"/>
                <w:sz w:val="17"/>
                <w:szCs w:val="17"/>
              </w:rPr>
              <w:t>2500</w:t>
            </w:r>
          </w:p>
        </w:tc>
      </w:tr>
      <w:tr w:rsidR="00EA40A3">
        <w:trPr>
          <w:trHeight w:val="375"/>
        </w:trPr>
        <w:tc>
          <w:tcPr>
            <w:tcW w:w="628" w:type="dxa"/>
          </w:tcPr>
          <w:p w:rsidR="00EA40A3" w:rsidRDefault="00E86C16">
            <w:pPr>
              <w:spacing w:before="126" w:line="184" w:lineRule="auto"/>
              <w:ind w:left="239"/>
              <w:rPr>
                <w:rFonts w:ascii="宋体" w:eastAsia="宋体" w:hAnsi="宋体" w:cs="宋体"/>
                <w:sz w:val="17"/>
                <w:szCs w:val="17"/>
              </w:rPr>
            </w:pPr>
            <w:r>
              <w:rPr>
                <w:rFonts w:ascii="宋体" w:eastAsia="宋体" w:hAnsi="宋体" w:cs="宋体"/>
                <w:spacing w:val="17"/>
                <w:sz w:val="17"/>
                <w:szCs w:val="17"/>
              </w:rPr>
              <w:t>14~</w:t>
            </w:r>
          </w:p>
        </w:tc>
        <w:tc>
          <w:tcPr>
            <w:tcW w:w="2196" w:type="dxa"/>
          </w:tcPr>
          <w:p w:rsidR="00EA40A3" w:rsidRDefault="00E86C16">
            <w:pPr>
              <w:spacing w:before="127" w:line="194" w:lineRule="auto"/>
              <w:ind w:left="134"/>
              <w:rPr>
                <w:rFonts w:ascii="宋体" w:eastAsia="宋体" w:hAnsi="宋体" w:cs="宋体"/>
                <w:sz w:val="17"/>
                <w:szCs w:val="17"/>
              </w:rPr>
            </w:pPr>
            <w:r>
              <w:rPr>
                <w:rFonts w:ascii="宋体" w:eastAsia="宋体" w:hAnsi="宋体" w:cs="宋体"/>
                <w:spacing w:val="-2"/>
                <w:sz w:val="17"/>
                <w:szCs w:val="17"/>
              </w:rPr>
              <w:t>20003500700</w:t>
            </w:r>
            <w:r>
              <w:rPr>
                <w:rFonts w:ascii="宋体" w:eastAsia="宋体" w:hAnsi="宋体" w:cs="宋体"/>
                <w:spacing w:val="14"/>
                <w:sz w:val="17"/>
                <w:szCs w:val="17"/>
              </w:rPr>
              <w:t xml:space="preserve">    </w:t>
            </w:r>
            <w:r>
              <w:rPr>
                <w:rFonts w:ascii="宋体" w:eastAsia="宋体" w:hAnsi="宋体" w:cs="宋体"/>
                <w:spacing w:val="-2"/>
                <w:position w:val="-1"/>
                <w:sz w:val="17"/>
                <w:szCs w:val="17"/>
              </w:rPr>
              <w:t>50</w:t>
            </w:r>
            <w:r>
              <w:rPr>
                <w:rFonts w:ascii="宋体" w:eastAsia="宋体" w:hAnsi="宋体" w:cs="宋体"/>
                <w:spacing w:val="26"/>
                <w:position w:val="-1"/>
                <w:sz w:val="17"/>
                <w:szCs w:val="17"/>
              </w:rPr>
              <w:t xml:space="preserve">  </w:t>
            </w:r>
            <w:r>
              <w:rPr>
                <w:rFonts w:ascii="宋体" w:eastAsia="宋体" w:hAnsi="宋体" w:cs="宋体"/>
                <w:spacing w:val="-2"/>
                <w:sz w:val="17"/>
                <w:szCs w:val="17"/>
              </w:rPr>
              <w:t>800</w:t>
            </w:r>
          </w:p>
        </w:tc>
        <w:tc>
          <w:tcPr>
            <w:tcW w:w="706" w:type="dxa"/>
          </w:tcPr>
          <w:p w:rsidR="00EA40A3" w:rsidRDefault="00E86C16">
            <w:pPr>
              <w:spacing w:before="127" w:line="183" w:lineRule="auto"/>
              <w:ind w:left="85"/>
              <w:rPr>
                <w:rFonts w:ascii="宋体" w:eastAsia="宋体" w:hAnsi="宋体" w:cs="宋体"/>
                <w:sz w:val="17"/>
                <w:szCs w:val="17"/>
              </w:rPr>
            </w:pPr>
            <w:r>
              <w:rPr>
                <w:rFonts w:ascii="宋体" w:eastAsia="宋体" w:hAnsi="宋体" w:cs="宋体"/>
                <w:spacing w:val="-3"/>
                <w:sz w:val="17"/>
                <w:szCs w:val="17"/>
              </w:rPr>
              <w:t>42</w:t>
            </w:r>
            <w:r>
              <w:rPr>
                <w:rFonts w:ascii="宋体" w:eastAsia="宋体" w:hAnsi="宋体" w:cs="宋体"/>
                <w:spacing w:val="32"/>
                <w:w w:val="101"/>
                <w:sz w:val="17"/>
                <w:szCs w:val="17"/>
              </w:rPr>
              <w:t xml:space="preserve">  </w:t>
            </w:r>
            <w:r>
              <w:rPr>
                <w:rFonts w:ascii="宋体" w:eastAsia="宋体" w:hAnsi="宋体" w:cs="宋体"/>
                <w:spacing w:val="-3"/>
                <w:sz w:val="17"/>
                <w:szCs w:val="17"/>
              </w:rPr>
              <w:t>35</w:t>
            </w:r>
          </w:p>
        </w:tc>
        <w:tc>
          <w:tcPr>
            <w:tcW w:w="479" w:type="dxa"/>
          </w:tcPr>
          <w:p w:rsidR="00EA40A3" w:rsidRDefault="00E86C16">
            <w:pPr>
              <w:spacing w:before="137" w:line="183" w:lineRule="auto"/>
              <w:ind w:left="150"/>
              <w:rPr>
                <w:rFonts w:ascii="宋体" w:eastAsia="宋体" w:hAnsi="宋体" w:cs="宋体"/>
                <w:sz w:val="17"/>
                <w:szCs w:val="17"/>
              </w:rPr>
            </w:pPr>
            <w:r>
              <w:rPr>
                <w:rFonts w:ascii="宋体" w:eastAsia="宋体" w:hAnsi="宋体" w:cs="宋体"/>
                <w:spacing w:val="-3"/>
                <w:sz w:val="17"/>
                <w:szCs w:val="17"/>
              </w:rPr>
              <w:t>360</w:t>
            </w:r>
          </w:p>
        </w:tc>
        <w:tc>
          <w:tcPr>
            <w:tcW w:w="2143" w:type="dxa"/>
          </w:tcPr>
          <w:p w:rsidR="00EA40A3" w:rsidRDefault="00E86C16">
            <w:pPr>
              <w:spacing w:before="127" w:line="194" w:lineRule="auto"/>
              <w:ind w:left="100"/>
              <w:rPr>
                <w:rFonts w:ascii="宋体" w:eastAsia="宋体" w:hAnsi="宋体" w:cs="宋体"/>
                <w:sz w:val="17"/>
                <w:szCs w:val="17"/>
              </w:rPr>
            </w:pPr>
            <w:r>
              <w:rPr>
                <w:rFonts w:ascii="宋体" w:eastAsia="宋体" w:hAnsi="宋体" w:cs="宋体"/>
                <w:spacing w:val="-3"/>
                <w:sz w:val="17"/>
                <w:szCs w:val="17"/>
              </w:rPr>
              <w:t>7.0</w:t>
            </w:r>
            <w:r>
              <w:rPr>
                <w:rFonts w:ascii="宋体" w:eastAsia="宋体" w:hAnsi="宋体" w:cs="宋体"/>
                <w:spacing w:val="9"/>
                <w:sz w:val="17"/>
                <w:szCs w:val="17"/>
              </w:rPr>
              <w:t xml:space="preserve">  </w:t>
            </w:r>
            <w:r>
              <w:rPr>
                <w:rFonts w:ascii="宋体" w:eastAsia="宋体" w:hAnsi="宋体" w:cs="宋体"/>
                <w:spacing w:val="-3"/>
                <w:position w:val="1"/>
                <w:sz w:val="17"/>
                <w:szCs w:val="17"/>
              </w:rPr>
              <w:t>2.8</w:t>
            </w:r>
            <w:r>
              <w:rPr>
                <w:rFonts w:ascii="宋体" w:eastAsia="宋体" w:hAnsi="宋体" w:cs="宋体"/>
                <w:spacing w:val="80"/>
                <w:position w:val="1"/>
                <w:sz w:val="17"/>
                <w:szCs w:val="17"/>
              </w:rPr>
              <w:t xml:space="preserve"> </w:t>
            </w:r>
            <w:r>
              <w:rPr>
                <w:rFonts w:ascii="宋体" w:eastAsia="宋体" w:hAnsi="宋体" w:cs="宋体"/>
                <w:spacing w:val="-3"/>
                <w:sz w:val="17"/>
                <w:szCs w:val="17"/>
              </w:rPr>
              <w:t>400</w:t>
            </w:r>
            <w:r>
              <w:rPr>
                <w:rFonts w:ascii="宋体" w:eastAsia="宋体" w:hAnsi="宋体" w:cs="宋体"/>
                <w:spacing w:val="2"/>
                <w:sz w:val="17"/>
                <w:szCs w:val="17"/>
              </w:rPr>
              <w:t xml:space="preserve">       </w:t>
            </w:r>
            <w:r>
              <w:rPr>
                <w:rFonts w:ascii="宋体" w:eastAsia="宋体" w:hAnsi="宋体" w:cs="宋体"/>
                <w:spacing w:val="-3"/>
                <w:sz w:val="17"/>
                <w:szCs w:val="17"/>
              </w:rPr>
              <w:t>280</w:t>
            </w:r>
          </w:p>
        </w:tc>
        <w:tc>
          <w:tcPr>
            <w:tcW w:w="787" w:type="dxa"/>
          </w:tcPr>
          <w:p w:rsidR="00EA40A3" w:rsidRDefault="00E86C16">
            <w:pPr>
              <w:spacing w:before="167" w:line="183" w:lineRule="auto"/>
              <w:ind w:left="218"/>
              <w:rPr>
                <w:rFonts w:ascii="宋体" w:eastAsia="宋体" w:hAnsi="宋体" w:cs="宋体"/>
                <w:sz w:val="17"/>
                <w:szCs w:val="17"/>
              </w:rPr>
            </w:pPr>
            <w:r>
              <w:rPr>
                <w:rFonts w:ascii="宋体" w:eastAsia="宋体" w:hAnsi="宋体" w:cs="宋体"/>
                <w:spacing w:val="-2"/>
                <w:sz w:val="17"/>
                <w:szCs w:val="17"/>
              </w:rPr>
              <w:t>2000</w:t>
            </w:r>
          </w:p>
        </w:tc>
        <w:tc>
          <w:tcPr>
            <w:tcW w:w="715" w:type="dxa"/>
          </w:tcPr>
          <w:p w:rsidR="00EA40A3" w:rsidRDefault="00E86C16">
            <w:pPr>
              <w:spacing w:before="147"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47"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66" w:line="184" w:lineRule="auto"/>
              <w:ind w:left="234"/>
              <w:rPr>
                <w:rFonts w:ascii="宋体" w:eastAsia="宋体" w:hAnsi="宋体" w:cs="宋体"/>
                <w:sz w:val="17"/>
                <w:szCs w:val="17"/>
              </w:rPr>
            </w:pPr>
            <w:r>
              <w:rPr>
                <w:rFonts w:ascii="宋体" w:eastAsia="宋体" w:hAnsi="宋体" w:cs="宋体"/>
                <w:spacing w:val="-4"/>
                <w:sz w:val="17"/>
                <w:szCs w:val="17"/>
              </w:rPr>
              <w:t>1000</w:t>
            </w:r>
          </w:p>
        </w:tc>
        <w:tc>
          <w:tcPr>
            <w:tcW w:w="2054" w:type="dxa"/>
          </w:tcPr>
          <w:p w:rsidR="00EA40A3" w:rsidRDefault="00E86C16">
            <w:pPr>
              <w:spacing w:before="147" w:line="194" w:lineRule="auto"/>
              <w:ind w:left="354"/>
              <w:rPr>
                <w:rFonts w:ascii="宋体" w:eastAsia="宋体" w:hAnsi="宋体" w:cs="宋体"/>
                <w:sz w:val="17"/>
                <w:szCs w:val="17"/>
              </w:rPr>
            </w:pPr>
            <w:r>
              <w:rPr>
                <w:rFonts w:ascii="宋体" w:eastAsia="宋体" w:hAnsi="宋体" w:cs="宋体"/>
                <w:spacing w:val="-3"/>
                <w:sz w:val="17"/>
                <w:szCs w:val="17"/>
              </w:rPr>
              <w:t>800</w:t>
            </w:r>
            <w:r>
              <w:rPr>
                <w:rFonts w:ascii="宋体" w:eastAsia="宋体" w:hAnsi="宋体" w:cs="宋体"/>
                <w:spacing w:val="3"/>
                <w:sz w:val="17"/>
                <w:szCs w:val="17"/>
              </w:rPr>
              <w:t xml:space="preserve">      </w:t>
            </w:r>
            <w:r>
              <w:rPr>
                <w:rFonts w:ascii="宋体" w:eastAsia="宋体" w:hAnsi="宋体" w:cs="宋体"/>
                <w:spacing w:val="-3"/>
                <w:position w:val="1"/>
                <w:sz w:val="17"/>
                <w:szCs w:val="17"/>
              </w:rPr>
              <w:t>30</w:t>
            </w:r>
            <w:r>
              <w:rPr>
                <w:rFonts w:ascii="宋体" w:eastAsia="宋体" w:hAnsi="宋体" w:cs="宋体"/>
                <w:spacing w:val="23"/>
                <w:position w:val="1"/>
                <w:sz w:val="17"/>
                <w:szCs w:val="17"/>
              </w:rPr>
              <w:t xml:space="preserve">   </w:t>
            </w:r>
            <w:r>
              <w:rPr>
                <w:rFonts w:ascii="宋体" w:eastAsia="宋体" w:hAnsi="宋体" w:cs="宋体"/>
                <w:spacing w:val="-3"/>
                <w:sz w:val="17"/>
                <w:szCs w:val="17"/>
              </w:rPr>
              <w:t>3000</w:t>
            </w:r>
          </w:p>
        </w:tc>
      </w:tr>
      <w:tr w:rsidR="00EA40A3">
        <w:trPr>
          <w:trHeight w:val="403"/>
        </w:trPr>
        <w:tc>
          <w:tcPr>
            <w:tcW w:w="628" w:type="dxa"/>
          </w:tcPr>
          <w:p w:rsidR="00EA40A3" w:rsidRDefault="00E86C16">
            <w:pPr>
              <w:spacing w:before="121" w:line="184" w:lineRule="auto"/>
              <w:ind w:left="229"/>
              <w:rPr>
                <w:rFonts w:ascii="宋体" w:eastAsia="宋体" w:hAnsi="宋体" w:cs="宋体"/>
                <w:sz w:val="17"/>
                <w:szCs w:val="17"/>
              </w:rPr>
            </w:pPr>
            <w:r>
              <w:rPr>
                <w:rFonts w:ascii="宋体" w:eastAsia="宋体" w:hAnsi="宋体" w:cs="宋体"/>
                <w:spacing w:val="17"/>
                <w:sz w:val="17"/>
                <w:szCs w:val="17"/>
              </w:rPr>
              <w:t>18~</w:t>
            </w:r>
          </w:p>
        </w:tc>
        <w:tc>
          <w:tcPr>
            <w:tcW w:w="2196" w:type="dxa"/>
          </w:tcPr>
          <w:p w:rsidR="00EA40A3" w:rsidRDefault="00E86C16">
            <w:pPr>
              <w:spacing w:before="122" w:line="194" w:lineRule="auto"/>
              <w:ind w:left="214"/>
              <w:rPr>
                <w:rFonts w:ascii="宋体" w:eastAsia="宋体" w:hAnsi="宋体" w:cs="宋体"/>
                <w:sz w:val="17"/>
                <w:szCs w:val="17"/>
              </w:rPr>
            </w:pPr>
            <w:r>
              <w:rPr>
                <w:rFonts w:ascii="宋体" w:eastAsia="宋体" w:hAnsi="宋体" w:cs="宋体"/>
                <w:spacing w:val="-2"/>
                <w:position w:val="1"/>
                <w:sz w:val="17"/>
                <w:szCs w:val="17"/>
              </w:rPr>
              <w:t>20003500700</w:t>
            </w:r>
            <w:r>
              <w:rPr>
                <w:rFonts w:ascii="宋体" w:eastAsia="宋体" w:hAnsi="宋体" w:cs="宋体"/>
                <w:spacing w:val="18"/>
                <w:position w:val="1"/>
                <w:sz w:val="17"/>
                <w:szCs w:val="17"/>
              </w:rPr>
              <w:t xml:space="preserve">   </w:t>
            </w:r>
            <w:r>
              <w:rPr>
                <w:rFonts w:ascii="宋体" w:eastAsia="宋体" w:hAnsi="宋体" w:cs="宋体"/>
                <w:spacing w:val="-2"/>
                <w:position w:val="-1"/>
                <w:sz w:val="17"/>
                <w:szCs w:val="17"/>
              </w:rPr>
              <w:t>50</w:t>
            </w:r>
            <w:r>
              <w:rPr>
                <w:rFonts w:ascii="宋体" w:eastAsia="宋体" w:hAnsi="宋体" w:cs="宋体"/>
                <w:spacing w:val="6"/>
                <w:position w:val="-1"/>
                <w:sz w:val="17"/>
                <w:szCs w:val="17"/>
              </w:rPr>
              <w:t xml:space="preserve">  </w:t>
            </w:r>
            <w:r>
              <w:rPr>
                <w:rFonts w:ascii="宋体" w:eastAsia="宋体" w:hAnsi="宋体" w:cs="宋体"/>
                <w:spacing w:val="-2"/>
                <w:position w:val="-2"/>
                <w:sz w:val="17"/>
                <w:szCs w:val="17"/>
              </w:rPr>
              <w:t>1000</w:t>
            </w:r>
          </w:p>
        </w:tc>
        <w:tc>
          <w:tcPr>
            <w:tcW w:w="706" w:type="dxa"/>
          </w:tcPr>
          <w:p w:rsidR="00EA40A3" w:rsidRDefault="00E86C16">
            <w:pPr>
              <w:spacing w:before="152" w:line="183" w:lineRule="auto"/>
              <w:ind w:left="85"/>
              <w:rPr>
                <w:rFonts w:ascii="宋体" w:eastAsia="宋体" w:hAnsi="宋体" w:cs="宋体"/>
                <w:sz w:val="17"/>
                <w:szCs w:val="17"/>
              </w:rPr>
            </w:pPr>
            <w:r>
              <w:rPr>
                <w:rFonts w:ascii="宋体" w:eastAsia="宋体" w:hAnsi="宋体" w:cs="宋体"/>
                <w:spacing w:val="-3"/>
                <w:sz w:val="17"/>
                <w:szCs w:val="17"/>
              </w:rPr>
              <w:t>45</w:t>
            </w:r>
            <w:r>
              <w:rPr>
                <w:rFonts w:ascii="宋体" w:eastAsia="宋体" w:hAnsi="宋体" w:cs="宋体"/>
                <w:spacing w:val="32"/>
                <w:w w:val="101"/>
                <w:sz w:val="17"/>
                <w:szCs w:val="17"/>
              </w:rPr>
              <w:t xml:space="preserve">  </w:t>
            </w:r>
            <w:r>
              <w:rPr>
                <w:rFonts w:ascii="宋体" w:eastAsia="宋体" w:hAnsi="宋体" w:cs="宋体"/>
                <w:spacing w:val="-3"/>
                <w:sz w:val="17"/>
                <w:szCs w:val="17"/>
              </w:rPr>
              <w:t>37</w:t>
            </w:r>
          </w:p>
        </w:tc>
        <w:tc>
          <w:tcPr>
            <w:tcW w:w="479" w:type="dxa"/>
          </w:tcPr>
          <w:p w:rsidR="00EA40A3" w:rsidRDefault="00E86C16">
            <w:pPr>
              <w:spacing w:before="172" w:line="183" w:lineRule="auto"/>
              <w:ind w:left="150"/>
              <w:rPr>
                <w:rFonts w:ascii="宋体" w:eastAsia="宋体" w:hAnsi="宋体" w:cs="宋体"/>
                <w:sz w:val="17"/>
                <w:szCs w:val="17"/>
              </w:rPr>
            </w:pPr>
            <w:r>
              <w:rPr>
                <w:rFonts w:ascii="宋体" w:eastAsia="宋体" w:hAnsi="宋体" w:cs="宋体"/>
                <w:spacing w:val="-2"/>
                <w:sz w:val="17"/>
                <w:szCs w:val="17"/>
              </w:rPr>
              <w:t>400</w:t>
            </w:r>
          </w:p>
        </w:tc>
        <w:tc>
          <w:tcPr>
            <w:tcW w:w="2143" w:type="dxa"/>
          </w:tcPr>
          <w:p w:rsidR="00EA40A3" w:rsidRDefault="00E86C16">
            <w:pPr>
              <w:spacing w:before="162" w:line="194" w:lineRule="auto"/>
              <w:ind w:left="100"/>
              <w:rPr>
                <w:rFonts w:ascii="宋体" w:eastAsia="宋体" w:hAnsi="宋体" w:cs="宋体"/>
                <w:sz w:val="17"/>
                <w:szCs w:val="17"/>
              </w:rPr>
            </w:pPr>
            <w:r>
              <w:rPr>
                <w:rFonts w:ascii="宋体" w:eastAsia="宋体" w:hAnsi="宋体" w:cs="宋体"/>
                <w:spacing w:val="-4"/>
                <w:sz w:val="17"/>
                <w:szCs w:val="17"/>
              </w:rPr>
              <w:t>8.0</w:t>
            </w:r>
            <w:r>
              <w:rPr>
                <w:rFonts w:ascii="宋体" w:eastAsia="宋体" w:hAnsi="宋体" w:cs="宋体"/>
                <w:spacing w:val="7"/>
                <w:sz w:val="17"/>
                <w:szCs w:val="17"/>
              </w:rPr>
              <w:t xml:space="preserve">  </w:t>
            </w:r>
            <w:r>
              <w:rPr>
                <w:rFonts w:ascii="宋体" w:eastAsia="宋体" w:hAnsi="宋体" w:cs="宋体"/>
                <w:spacing w:val="-4"/>
                <w:sz w:val="17"/>
                <w:szCs w:val="17"/>
              </w:rPr>
              <w:t>3.0</w:t>
            </w:r>
            <w:r>
              <w:rPr>
                <w:rFonts w:ascii="宋体" w:eastAsia="宋体" w:hAnsi="宋体" w:cs="宋体"/>
                <w:spacing w:val="80"/>
                <w:sz w:val="17"/>
                <w:szCs w:val="17"/>
              </w:rPr>
              <w:t xml:space="preserve"> </w:t>
            </w:r>
            <w:r>
              <w:rPr>
                <w:rFonts w:ascii="宋体" w:eastAsia="宋体" w:hAnsi="宋体" w:cs="宋体"/>
                <w:spacing w:val="-4"/>
                <w:sz w:val="17"/>
                <w:szCs w:val="17"/>
              </w:rPr>
              <w:t>500</w:t>
            </w:r>
            <w:r>
              <w:rPr>
                <w:rFonts w:ascii="宋体" w:eastAsia="宋体" w:hAnsi="宋体" w:cs="宋体"/>
                <w:spacing w:val="37"/>
                <w:sz w:val="17"/>
                <w:szCs w:val="17"/>
              </w:rPr>
              <w:t xml:space="preserve">  </w:t>
            </w:r>
            <w:r>
              <w:rPr>
                <w:rFonts w:ascii="宋体" w:eastAsia="宋体" w:hAnsi="宋体" w:cs="宋体"/>
                <w:spacing w:val="-4"/>
                <w:sz w:val="17"/>
                <w:szCs w:val="17"/>
              </w:rPr>
              <w:t>10</w:t>
            </w:r>
            <w:r>
              <w:rPr>
                <w:rFonts w:ascii="宋体" w:eastAsia="宋体" w:hAnsi="宋体" w:cs="宋体"/>
                <w:spacing w:val="25"/>
                <w:sz w:val="17"/>
                <w:szCs w:val="17"/>
              </w:rPr>
              <w:t xml:space="preserve">  </w:t>
            </w:r>
            <w:r>
              <w:rPr>
                <w:rFonts w:ascii="宋体" w:eastAsia="宋体" w:hAnsi="宋体" w:cs="宋体"/>
                <w:spacing w:val="-4"/>
                <w:sz w:val="17"/>
                <w:szCs w:val="17"/>
              </w:rPr>
              <w:t>350</w:t>
            </w:r>
          </w:p>
        </w:tc>
        <w:tc>
          <w:tcPr>
            <w:tcW w:w="787" w:type="dxa"/>
          </w:tcPr>
          <w:p w:rsidR="00EA40A3" w:rsidRDefault="00E86C16">
            <w:pPr>
              <w:spacing w:before="182" w:line="183" w:lineRule="auto"/>
              <w:ind w:left="218"/>
              <w:rPr>
                <w:rFonts w:ascii="宋体" w:eastAsia="宋体" w:hAnsi="宋体" w:cs="宋体"/>
                <w:sz w:val="17"/>
                <w:szCs w:val="17"/>
              </w:rPr>
            </w:pPr>
            <w:r>
              <w:rPr>
                <w:rFonts w:ascii="宋体" w:eastAsia="宋体" w:hAnsi="宋体" w:cs="宋体"/>
                <w:spacing w:val="-2"/>
                <w:sz w:val="17"/>
                <w:szCs w:val="17"/>
              </w:rPr>
              <w:t>3000</w:t>
            </w:r>
          </w:p>
        </w:tc>
        <w:tc>
          <w:tcPr>
            <w:tcW w:w="715" w:type="dxa"/>
          </w:tcPr>
          <w:p w:rsidR="00EA40A3" w:rsidRDefault="00E86C16">
            <w:pPr>
              <w:spacing w:before="172"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72"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71" w:line="184" w:lineRule="auto"/>
              <w:ind w:left="234"/>
              <w:rPr>
                <w:rFonts w:ascii="宋体" w:eastAsia="宋体" w:hAnsi="宋体" w:cs="宋体"/>
                <w:sz w:val="17"/>
                <w:szCs w:val="17"/>
              </w:rPr>
            </w:pPr>
            <w:r>
              <w:rPr>
                <w:rFonts w:ascii="宋体" w:eastAsia="宋体" w:hAnsi="宋体" w:cs="宋体"/>
                <w:spacing w:val="-4"/>
                <w:sz w:val="17"/>
                <w:szCs w:val="17"/>
              </w:rPr>
              <w:t>1000</w:t>
            </w:r>
          </w:p>
        </w:tc>
        <w:tc>
          <w:tcPr>
            <w:tcW w:w="2054" w:type="dxa"/>
          </w:tcPr>
          <w:p w:rsidR="00EA40A3" w:rsidRDefault="00E86C16">
            <w:pPr>
              <w:spacing w:before="171" w:line="195" w:lineRule="auto"/>
              <w:ind w:left="314"/>
              <w:rPr>
                <w:rFonts w:ascii="宋体" w:eastAsia="宋体" w:hAnsi="宋体" w:cs="宋体"/>
                <w:sz w:val="17"/>
                <w:szCs w:val="17"/>
              </w:rPr>
            </w:pPr>
            <w:r>
              <w:rPr>
                <w:rFonts w:ascii="宋体" w:eastAsia="宋体" w:hAnsi="宋体" w:cs="宋体"/>
                <w:spacing w:val="-4"/>
                <w:sz w:val="17"/>
                <w:szCs w:val="17"/>
              </w:rPr>
              <w:t>1000</w:t>
            </w:r>
            <w:r>
              <w:rPr>
                <w:rFonts w:ascii="宋体" w:eastAsia="宋体" w:hAnsi="宋体" w:cs="宋体"/>
                <w:spacing w:val="15"/>
                <w:sz w:val="17"/>
                <w:szCs w:val="17"/>
              </w:rPr>
              <w:t xml:space="preserve">     </w:t>
            </w:r>
            <w:r>
              <w:rPr>
                <w:rFonts w:ascii="宋体" w:eastAsia="宋体" w:hAnsi="宋体" w:cs="宋体"/>
                <w:spacing w:val="-4"/>
                <w:sz w:val="17"/>
                <w:szCs w:val="17"/>
              </w:rPr>
              <w:t>35</w:t>
            </w:r>
            <w:r>
              <w:rPr>
                <w:rFonts w:ascii="宋体" w:eastAsia="宋体" w:hAnsi="宋体" w:cs="宋体"/>
                <w:spacing w:val="22"/>
                <w:sz w:val="17"/>
                <w:szCs w:val="17"/>
              </w:rPr>
              <w:t xml:space="preserve">   </w:t>
            </w:r>
            <w:r>
              <w:rPr>
                <w:rFonts w:ascii="宋体" w:eastAsia="宋体" w:hAnsi="宋体" w:cs="宋体"/>
                <w:spacing w:val="-4"/>
                <w:sz w:val="17"/>
                <w:szCs w:val="17"/>
              </w:rPr>
              <w:t>3500</w:t>
            </w:r>
          </w:p>
        </w:tc>
      </w:tr>
      <w:tr w:rsidR="00EA40A3">
        <w:trPr>
          <w:trHeight w:val="357"/>
        </w:trPr>
        <w:tc>
          <w:tcPr>
            <w:tcW w:w="628" w:type="dxa"/>
          </w:tcPr>
          <w:p w:rsidR="00EA40A3" w:rsidRDefault="00E86C16">
            <w:pPr>
              <w:spacing w:before="129" w:line="183" w:lineRule="auto"/>
              <w:ind w:left="210"/>
              <w:rPr>
                <w:rFonts w:ascii="宋体" w:eastAsia="宋体" w:hAnsi="宋体" w:cs="宋体"/>
                <w:sz w:val="17"/>
                <w:szCs w:val="17"/>
              </w:rPr>
            </w:pPr>
            <w:r>
              <w:rPr>
                <w:rFonts w:ascii="宋体" w:eastAsia="宋体" w:hAnsi="宋体" w:cs="宋体"/>
                <w:spacing w:val="3"/>
                <w:sz w:val="17"/>
                <w:szCs w:val="17"/>
              </w:rPr>
              <w:t>50~</w:t>
            </w:r>
          </w:p>
        </w:tc>
        <w:tc>
          <w:tcPr>
            <w:tcW w:w="2196" w:type="dxa"/>
          </w:tcPr>
          <w:p w:rsidR="00EA40A3" w:rsidRDefault="00E86C16">
            <w:pPr>
              <w:spacing w:before="102" w:line="237" w:lineRule="auto"/>
              <w:ind w:left="175"/>
              <w:rPr>
                <w:rFonts w:ascii="宋体" w:eastAsia="宋体" w:hAnsi="宋体" w:cs="宋体"/>
                <w:sz w:val="17"/>
                <w:szCs w:val="17"/>
              </w:rPr>
            </w:pPr>
            <w:r>
              <w:rPr>
                <w:rFonts w:ascii="宋体" w:eastAsia="宋体" w:hAnsi="宋体" w:cs="宋体"/>
                <w:spacing w:val="-3"/>
                <w:sz w:val="17"/>
                <w:szCs w:val="17"/>
              </w:rPr>
              <w:t>20003500▲</w:t>
            </w:r>
            <w:r>
              <w:rPr>
                <w:rFonts w:ascii="宋体" w:eastAsia="宋体" w:hAnsi="宋体" w:cs="宋体"/>
                <w:spacing w:val="19"/>
                <w:sz w:val="17"/>
                <w:szCs w:val="17"/>
              </w:rPr>
              <w:t xml:space="preserve"> </w:t>
            </w:r>
            <w:r>
              <w:rPr>
                <w:rFonts w:ascii="宋体" w:eastAsia="宋体" w:hAnsi="宋体" w:cs="宋体"/>
                <w:spacing w:val="-3"/>
                <w:sz w:val="17"/>
                <w:szCs w:val="17"/>
              </w:rPr>
              <w:t>700</w:t>
            </w:r>
            <w:r>
              <w:rPr>
                <w:rFonts w:ascii="宋体" w:eastAsia="宋体" w:hAnsi="宋体" w:cs="宋体"/>
                <w:spacing w:val="10"/>
                <w:sz w:val="17"/>
                <w:szCs w:val="17"/>
              </w:rPr>
              <w:t xml:space="preserve"> </w:t>
            </w:r>
            <w:r>
              <w:rPr>
                <w:rFonts w:ascii="宋体" w:eastAsia="宋体" w:hAnsi="宋体" w:cs="宋体"/>
                <w:spacing w:val="-3"/>
                <w:sz w:val="17"/>
                <w:szCs w:val="17"/>
              </w:rPr>
              <w:t>50</w:t>
            </w:r>
            <w:r>
              <w:rPr>
                <w:rFonts w:ascii="宋体" w:eastAsia="宋体" w:hAnsi="宋体" w:cs="宋体"/>
                <w:spacing w:val="5"/>
                <w:sz w:val="17"/>
                <w:szCs w:val="17"/>
              </w:rPr>
              <w:t xml:space="preserve">  </w:t>
            </w:r>
            <w:r>
              <w:rPr>
                <w:rFonts w:ascii="宋体" w:eastAsia="宋体" w:hAnsi="宋体" w:cs="宋体"/>
                <w:spacing w:val="-3"/>
                <w:sz w:val="17"/>
                <w:szCs w:val="17"/>
              </w:rPr>
              <w:t>1000</w:t>
            </w:r>
          </w:p>
        </w:tc>
        <w:tc>
          <w:tcPr>
            <w:tcW w:w="706" w:type="dxa"/>
          </w:tcPr>
          <w:p w:rsidR="00EA40A3" w:rsidRDefault="00E86C16">
            <w:pPr>
              <w:spacing w:before="129" w:line="183" w:lineRule="auto"/>
              <w:ind w:left="85"/>
              <w:rPr>
                <w:rFonts w:ascii="宋体" w:eastAsia="宋体" w:hAnsi="宋体" w:cs="宋体"/>
                <w:sz w:val="17"/>
                <w:szCs w:val="17"/>
              </w:rPr>
            </w:pPr>
            <w:r>
              <w:rPr>
                <w:rFonts w:ascii="宋体" w:eastAsia="宋体" w:hAnsi="宋体" w:cs="宋体"/>
                <w:spacing w:val="-4"/>
                <w:sz w:val="17"/>
                <w:szCs w:val="17"/>
              </w:rPr>
              <w:t>37</w:t>
            </w:r>
            <w:r>
              <w:rPr>
                <w:rFonts w:ascii="宋体" w:eastAsia="宋体" w:hAnsi="宋体" w:cs="宋体"/>
                <w:spacing w:val="35"/>
                <w:sz w:val="17"/>
                <w:szCs w:val="17"/>
              </w:rPr>
              <w:t xml:space="preserve">  </w:t>
            </w:r>
            <w:r>
              <w:rPr>
                <w:rFonts w:ascii="宋体" w:eastAsia="宋体" w:hAnsi="宋体" w:cs="宋体"/>
                <w:spacing w:val="-4"/>
                <w:sz w:val="17"/>
                <w:szCs w:val="17"/>
              </w:rPr>
              <w:t>37</w:t>
            </w:r>
          </w:p>
        </w:tc>
        <w:tc>
          <w:tcPr>
            <w:tcW w:w="479" w:type="dxa"/>
          </w:tcPr>
          <w:p w:rsidR="00EA40A3" w:rsidRDefault="00E86C16">
            <w:pPr>
              <w:spacing w:before="129" w:line="183" w:lineRule="auto"/>
              <w:ind w:left="150"/>
              <w:rPr>
                <w:rFonts w:ascii="宋体" w:eastAsia="宋体" w:hAnsi="宋体" w:cs="宋体"/>
                <w:sz w:val="17"/>
                <w:szCs w:val="17"/>
              </w:rPr>
            </w:pPr>
            <w:r>
              <w:rPr>
                <w:rFonts w:ascii="宋体" w:eastAsia="宋体" w:hAnsi="宋体" w:cs="宋体"/>
                <w:spacing w:val="-2"/>
                <w:sz w:val="17"/>
                <w:szCs w:val="17"/>
              </w:rPr>
              <w:t>400</w:t>
            </w:r>
          </w:p>
        </w:tc>
        <w:tc>
          <w:tcPr>
            <w:tcW w:w="2143" w:type="dxa"/>
          </w:tcPr>
          <w:p w:rsidR="00EA40A3" w:rsidRDefault="00E86C16">
            <w:pPr>
              <w:spacing w:before="128" w:line="184" w:lineRule="auto"/>
              <w:ind w:left="100"/>
              <w:rPr>
                <w:rFonts w:ascii="宋体" w:eastAsia="宋体" w:hAnsi="宋体" w:cs="宋体"/>
                <w:sz w:val="17"/>
                <w:szCs w:val="17"/>
              </w:rPr>
            </w:pPr>
            <w:r>
              <w:rPr>
                <w:rFonts w:ascii="宋体" w:eastAsia="宋体" w:hAnsi="宋体" w:cs="宋体"/>
                <w:spacing w:val="-4"/>
                <w:sz w:val="17"/>
                <w:szCs w:val="17"/>
              </w:rPr>
              <w:t>8.0</w:t>
            </w:r>
            <w:r>
              <w:rPr>
                <w:rFonts w:ascii="宋体" w:eastAsia="宋体" w:hAnsi="宋体" w:cs="宋体"/>
                <w:spacing w:val="7"/>
                <w:sz w:val="17"/>
                <w:szCs w:val="17"/>
              </w:rPr>
              <w:t xml:space="preserve">  </w:t>
            </w:r>
            <w:r>
              <w:rPr>
                <w:rFonts w:ascii="宋体" w:eastAsia="宋体" w:hAnsi="宋体" w:cs="宋体"/>
                <w:spacing w:val="-4"/>
                <w:sz w:val="17"/>
                <w:szCs w:val="17"/>
              </w:rPr>
              <w:t>3.0</w:t>
            </w:r>
            <w:r>
              <w:rPr>
                <w:rFonts w:ascii="宋体" w:eastAsia="宋体" w:hAnsi="宋体" w:cs="宋体"/>
                <w:spacing w:val="80"/>
                <w:sz w:val="17"/>
                <w:szCs w:val="17"/>
              </w:rPr>
              <w:t xml:space="preserve"> </w:t>
            </w:r>
            <w:r>
              <w:rPr>
                <w:rFonts w:ascii="宋体" w:eastAsia="宋体" w:hAnsi="宋体" w:cs="宋体"/>
                <w:spacing w:val="-4"/>
                <w:sz w:val="17"/>
                <w:szCs w:val="17"/>
              </w:rPr>
              <w:t>500</w:t>
            </w:r>
            <w:r>
              <w:rPr>
                <w:rFonts w:ascii="宋体" w:eastAsia="宋体" w:hAnsi="宋体" w:cs="宋体"/>
                <w:spacing w:val="37"/>
                <w:sz w:val="17"/>
                <w:szCs w:val="17"/>
              </w:rPr>
              <w:t xml:space="preserve">  </w:t>
            </w:r>
            <w:r>
              <w:rPr>
                <w:rFonts w:ascii="宋体" w:eastAsia="宋体" w:hAnsi="宋体" w:cs="宋体"/>
                <w:spacing w:val="-4"/>
                <w:sz w:val="17"/>
                <w:szCs w:val="17"/>
              </w:rPr>
              <w:t>10</w:t>
            </w:r>
            <w:r>
              <w:rPr>
                <w:rFonts w:ascii="宋体" w:eastAsia="宋体" w:hAnsi="宋体" w:cs="宋体"/>
                <w:spacing w:val="25"/>
                <w:sz w:val="17"/>
                <w:szCs w:val="17"/>
              </w:rPr>
              <w:t xml:space="preserve">  </w:t>
            </w:r>
            <w:r>
              <w:rPr>
                <w:rFonts w:ascii="宋体" w:eastAsia="宋体" w:hAnsi="宋体" w:cs="宋体"/>
                <w:spacing w:val="-4"/>
                <w:sz w:val="17"/>
                <w:szCs w:val="17"/>
              </w:rPr>
              <w:t>350</w:t>
            </w:r>
          </w:p>
        </w:tc>
        <w:tc>
          <w:tcPr>
            <w:tcW w:w="787" w:type="dxa"/>
          </w:tcPr>
          <w:p w:rsidR="00EA40A3" w:rsidRDefault="00E86C16">
            <w:pPr>
              <w:spacing w:before="129" w:line="183" w:lineRule="auto"/>
              <w:ind w:left="218"/>
              <w:rPr>
                <w:rFonts w:ascii="宋体" w:eastAsia="宋体" w:hAnsi="宋体" w:cs="宋体"/>
                <w:sz w:val="17"/>
                <w:szCs w:val="17"/>
              </w:rPr>
            </w:pPr>
            <w:r>
              <w:rPr>
                <w:rFonts w:ascii="宋体" w:eastAsia="宋体" w:hAnsi="宋体" w:cs="宋体"/>
                <w:spacing w:val="-2"/>
                <w:sz w:val="17"/>
                <w:szCs w:val="17"/>
              </w:rPr>
              <w:t>3000</w:t>
            </w:r>
          </w:p>
        </w:tc>
        <w:tc>
          <w:tcPr>
            <w:tcW w:w="715" w:type="dxa"/>
          </w:tcPr>
          <w:p w:rsidR="00EA40A3" w:rsidRDefault="00E86C16">
            <w:pPr>
              <w:spacing w:before="129" w:line="183" w:lineRule="auto"/>
              <w:ind w:left="250"/>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86C16">
            <w:pPr>
              <w:spacing w:before="129" w:line="183" w:lineRule="auto"/>
              <w:ind w:left="246"/>
              <w:rPr>
                <w:rFonts w:ascii="宋体" w:eastAsia="宋体" w:hAnsi="宋体" w:cs="宋体"/>
                <w:sz w:val="17"/>
                <w:szCs w:val="17"/>
              </w:rPr>
            </w:pPr>
            <w:r>
              <w:rPr>
                <w:rFonts w:ascii="宋体" w:eastAsia="宋体" w:hAnsi="宋体" w:cs="宋体"/>
                <w:spacing w:val="-3"/>
                <w:sz w:val="17"/>
                <w:szCs w:val="17"/>
              </w:rPr>
              <w:t>50</w:t>
            </w:r>
          </w:p>
        </w:tc>
        <w:tc>
          <w:tcPr>
            <w:tcW w:w="699" w:type="dxa"/>
          </w:tcPr>
          <w:p w:rsidR="00EA40A3" w:rsidRDefault="00E86C16">
            <w:pPr>
              <w:spacing w:before="128" w:line="184" w:lineRule="auto"/>
              <w:ind w:left="234"/>
              <w:rPr>
                <w:rFonts w:ascii="宋体" w:eastAsia="宋体" w:hAnsi="宋体" w:cs="宋体"/>
                <w:sz w:val="17"/>
                <w:szCs w:val="17"/>
              </w:rPr>
            </w:pPr>
            <w:r>
              <w:rPr>
                <w:rFonts w:ascii="宋体" w:eastAsia="宋体" w:hAnsi="宋体" w:cs="宋体"/>
                <w:spacing w:val="-4"/>
                <w:sz w:val="17"/>
                <w:szCs w:val="17"/>
              </w:rPr>
              <w:t>1000</w:t>
            </w:r>
          </w:p>
        </w:tc>
        <w:tc>
          <w:tcPr>
            <w:tcW w:w="2054" w:type="dxa"/>
          </w:tcPr>
          <w:p w:rsidR="00EA40A3" w:rsidRDefault="00E86C16">
            <w:pPr>
              <w:spacing w:before="128" w:line="184" w:lineRule="auto"/>
              <w:ind w:left="314"/>
              <w:rPr>
                <w:rFonts w:ascii="宋体" w:eastAsia="宋体" w:hAnsi="宋体" w:cs="宋体"/>
                <w:sz w:val="17"/>
                <w:szCs w:val="17"/>
              </w:rPr>
            </w:pPr>
            <w:r>
              <w:rPr>
                <w:rFonts w:ascii="宋体" w:eastAsia="宋体" w:hAnsi="宋体" w:cs="宋体"/>
                <w:spacing w:val="-4"/>
                <w:sz w:val="17"/>
                <w:szCs w:val="17"/>
              </w:rPr>
              <w:t>1000</w:t>
            </w:r>
            <w:r>
              <w:rPr>
                <w:rFonts w:ascii="宋体" w:eastAsia="宋体" w:hAnsi="宋体" w:cs="宋体"/>
                <w:spacing w:val="15"/>
                <w:sz w:val="17"/>
                <w:szCs w:val="17"/>
              </w:rPr>
              <w:t xml:space="preserve">     </w:t>
            </w:r>
            <w:r>
              <w:rPr>
                <w:rFonts w:ascii="宋体" w:eastAsia="宋体" w:hAnsi="宋体" w:cs="宋体"/>
                <w:spacing w:val="-4"/>
                <w:sz w:val="17"/>
                <w:szCs w:val="17"/>
              </w:rPr>
              <w:t>35</w:t>
            </w:r>
            <w:r>
              <w:rPr>
                <w:rFonts w:ascii="宋体" w:eastAsia="宋体" w:hAnsi="宋体" w:cs="宋体"/>
                <w:spacing w:val="22"/>
                <w:sz w:val="17"/>
                <w:szCs w:val="17"/>
              </w:rPr>
              <w:t xml:space="preserve">   </w:t>
            </w:r>
            <w:r>
              <w:rPr>
                <w:rFonts w:ascii="宋体" w:eastAsia="宋体" w:hAnsi="宋体" w:cs="宋体"/>
                <w:spacing w:val="-4"/>
                <w:sz w:val="17"/>
                <w:szCs w:val="17"/>
              </w:rPr>
              <w:t>3500</w:t>
            </w:r>
          </w:p>
        </w:tc>
      </w:tr>
      <w:tr w:rsidR="00EA40A3">
        <w:trPr>
          <w:trHeight w:val="405"/>
        </w:trPr>
        <w:tc>
          <w:tcPr>
            <w:tcW w:w="628" w:type="dxa"/>
          </w:tcPr>
          <w:p w:rsidR="00EA40A3" w:rsidRDefault="00E86C16">
            <w:pPr>
              <w:spacing w:before="119" w:line="220" w:lineRule="auto"/>
              <w:ind w:left="109"/>
              <w:rPr>
                <w:rFonts w:ascii="宋体" w:eastAsia="宋体" w:hAnsi="宋体" w:cs="宋体"/>
                <w:sz w:val="17"/>
                <w:szCs w:val="17"/>
              </w:rPr>
            </w:pPr>
            <w:r>
              <w:rPr>
                <w:rFonts w:ascii="宋体" w:eastAsia="宋体" w:hAnsi="宋体" w:cs="宋体"/>
                <w:spacing w:val="-3"/>
                <w:sz w:val="17"/>
                <w:szCs w:val="17"/>
              </w:rPr>
              <w:t>孕妇</w:t>
            </w:r>
          </w:p>
        </w:tc>
        <w:tc>
          <w:tcPr>
            <w:tcW w:w="2196" w:type="dxa"/>
          </w:tcPr>
          <w:p w:rsidR="00EA40A3" w:rsidRDefault="00E86C16">
            <w:pPr>
              <w:spacing w:before="162" w:line="194" w:lineRule="auto"/>
              <w:ind w:left="115"/>
              <w:rPr>
                <w:rFonts w:ascii="宋体" w:eastAsia="宋体" w:hAnsi="宋体" w:cs="宋体"/>
                <w:sz w:val="17"/>
                <w:szCs w:val="17"/>
              </w:rPr>
            </w:pPr>
            <w:r>
              <w:rPr>
                <w:rFonts w:ascii="宋体" w:eastAsia="宋体" w:hAnsi="宋体" w:cs="宋体"/>
                <w:spacing w:val="-3"/>
                <w:position w:val="1"/>
                <w:sz w:val="17"/>
                <w:szCs w:val="17"/>
              </w:rPr>
              <w:t>20003000</w:t>
            </w:r>
            <w:r>
              <w:rPr>
                <w:rFonts w:ascii="宋体" w:eastAsia="宋体" w:hAnsi="宋体" w:cs="宋体"/>
                <w:spacing w:val="9"/>
                <w:position w:val="1"/>
                <w:sz w:val="17"/>
                <w:szCs w:val="17"/>
              </w:rPr>
              <w:t xml:space="preserve">  </w:t>
            </w:r>
            <w:r>
              <w:rPr>
                <w:rFonts w:ascii="宋体" w:eastAsia="宋体" w:hAnsi="宋体" w:cs="宋体"/>
                <w:spacing w:val="-3"/>
                <w:position w:val="1"/>
                <w:sz w:val="17"/>
                <w:szCs w:val="17"/>
              </w:rPr>
              <w:t>700</w:t>
            </w:r>
            <w:r>
              <w:rPr>
                <w:rFonts w:ascii="宋体" w:eastAsia="宋体" w:hAnsi="宋体" w:cs="宋体"/>
                <w:spacing w:val="-25"/>
                <w:position w:val="1"/>
                <w:sz w:val="17"/>
                <w:szCs w:val="17"/>
              </w:rPr>
              <w:t xml:space="preserve"> </w:t>
            </w:r>
            <w:r>
              <w:rPr>
                <w:rFonts w:ascii="宋体" w:eastAsia="宋体" w:hAnsi="宋体" w:cs="宋体"/>
                <w:spacing w:val="-3"/>
                <w:position w:val="-2"/>
                <w:sz w:val="17"/>
                <w:szCs w:val="17"/>
              </w:rPr>
              <w:t>60</w:t>
            </w:r>
            <w:r>
              <w:rPr>
                <w:rFonts w:ascii="宋体" w:eastAsia="宋体" w:hAnsi="宋体" w:cs="宋体"/>
                <w:spacing w:val="24"/>
                <w:position w:val="-2"/>
                <w:sz w:val="17"/>
                <w:szCs w:val="17"/>
              </w:rPr>
              <w:t xml:space="preserve">  </w:t>
            </w:r>
            <w:r>
              <w:rPr>
                <w:rFonts w:ascii="宋体" w:eastAsia="宋体" w:hAnsi="宋体" w:cs="宋体"/>
                <w:spacing w:val="-3"/>
                <w:position w:val="-1"/>
                <w:sz w:val="17"/>
                <w:szCs w:val="17"/>
              </w:rPr>
              <w:t>1000</w:t>
            </w:r>
          </w:p>
        </w:tc>
        <w:tc>
          <w:tcPr>
            <w:tcW w:w="706" w:type="dxa"/>
          </w:tcPr>
          <w:p w:rsidR="00EA40A3" w:rsidRDefault="00E86C16">
            <w:pPr>
              <w:spacing w:before="162" w:line="183" w:lineRule="auto"/>
              <w:ind w:left="285"/>
              <w:rPr>
                <w:rFonts w:ascii="宋体" w:eastAsia="宋体" w:hAnsi="宋体" w:cs="宋体"/>
                <w:sz w:val="17"/>
                <w:szCs w:val="17"/>
              </w:rPr>
            </w:pPr>
            <w:r>
              <w:rPr>
                <w:rFonts w:ascii="宋体" w:eastAsia="宋体" w:hAnsi="宋体" w:cs="宋体"/>
                <w:spacing w:val="-3"/>
                <w:sz w:val="17"/>
                <w:szCs w:val="17"/>
              </w:rPr>
              <w:t>35</w:t>
            </w:r>
          </w:p>
        </w:tc>
        <w:tc>
          <w:tcPr>
            <w:tcW w:w="479" w:type="dxa"/>
          </w:tcPr>
          <w:p w:rsidR="00EA40A3" w:rsidRDefault="00E86C16">
            <w:pPr>
              <w:spacing w:before="162" w:line="183" w:lineRule="auto"/>
              <w:ind w:left="139"/>
              <w:rPr>
                <w:rFonts w:ascii="宋体" w:eastAsia="宋体" w:hAnsi="宋体" w:cs="宋体"/>
                <w:sz w:val="17"/>
                <w:szCs w:val="17"/>
              </w:rPr>
            </w:pPr>
            <w:r>
              <w:rPr>
                <w:rFonts w:ascii="宋体" w:eastAsia="宋体" w:hAnsi="宋体" w:cs="宋体"/>
                <w:spacing w:val="-2"/>
                <w:sz w:val="17"/>
                <w:szCs w:val="17"/>
              </w:rPr>
              <w:t>400</w:t>
            </w:r>
          </w:p>
        </w:tc>
        <w:tc>
          <w:tcPr>
            <w:tcW w:w="2143" w:type="dxa"/>
          </w:tcPr>
          <w:p w:rsidR="00EA40A3" w:rsidRDefault="00EA40A3"/>
        </w:tc>
        <w:tc>
          <w:tcPr>
            <w:tcW w:w="787" w:type="dxa"/>
          </w:tcPr>
          <w:p w:rsidR="00EA40A3" w:rsidRDefault="00E86C16">
            <w:pPr>
              <w:spacing w:before="162" w:line="183" w:lineRule="auto"/>
              <w:ind w:left="218"/>
              <w:rPr>
                <w:rFonts w:ascii="宋体" w:eastAsia="宋体" w:hAnsi="宋体" w:cs="宋体"/>
                <w:sz w:val="17"/>
                <w:szCs w:val="17"/>
              </w:rPr>
            </w:pPr>
            <w:r>
              <w:rPr>
                <w:rFonts w:ascii="宋体" w:eastAsia="宋体" w:hAnsi="宋体" w:cs="宋体"/>
                <w:spacing w:val="-2"/>
                <w:sz w:val="17"/>
                <w:szCs w:val="17"/>
              </w:rPr>
              <w:t>2400</w:t>
            </w:r>
          </w:p>
        </w:tc>
        <w:tc>
          <w:tcPr>
            <w:tcW w:w="715" w:type="dxa"/>
          </w:tcPr>
          <w:p w:rsidR="00EA40A3" w:rsidRDefault="00E86C16">
            <w:pPr>
              <w:spacing w:before="162" w:line="183" w:lineRule="auto"/>
              <w:ind w:left="231"/>
              <w:rPr>
                <w:rFonts w:ascii="宋体" w:eastAsia="宋体" w:hAnsi="宋体" w:cs="宋体"/>
                <w:sz w:val="17"/>
                <w:szCs w:val="17"/>
              </w:rPr>
            </w:pPr>
            <w:r>
              <w:rPr>
                <w:rFonts w:ascii="宋体" w:eastAsia="宋体" w:hAnsi="宋体" w:cs="宋体"/>
                <w:spacing w:val="-3"/>
                <w:sz w:val="17"/>
                <w:szCs w:val="17"/>
              </w:rPr>
              <w:t>20</w:t>
            </w:r>
          </w:p>
        </w:tc>
        <w:tc>
          <w:tcPr>
            <w:tcW w:w="672" w:type="dxa"/>
          </w:tcPr>
          <w:p w:rsidR="00EA40A3" w:rsidRDefault="00EA40A3"/>
        </w:tc>
        <w:tc>
          <w:tcPr>
            <w:tcW w:w="699" w:type="dxa"/>
          </w:tcPr>
          <w:p w:rsidR="00EA40A3" w:rsidRDefault="00E86C16">
            <w:pPr>
              <w:spacing w:before="161" w:line="184" w:lineRule="auto"/>
              <w:ind w:left="234"/>
              <w:rPr>
                <w:rFonts w:ascii="宋体" w:eastAsia="宋体" w:hAnsi="宋体" w:cs="宋体"/>
                <w:sz w:val="17"/>
                <w:szCs w:val="17"/>
              </w:rPr>
            </w:pPr>
            <w:r>
              <w:rPr>
                <w:rFonts w:ascii="宋体" w:eastAsia="宋体" w:hAnsi="宋体" w:cs="宋体"/>
                <w:spacing w:val="-4"/>
                <w:sz w:val="17"/>
                <w:szCs w:val="17"/>
              </w:rPr>
              <w:t>1000</w:t>
            </w:r>
          </w:p>
        </w:tc>
        <w:tc>
          <w:tcPr>
            <w:tcW w:w="2054" w:type="dxa"/>
          </w:tcPr>
          <w:p w:rsidR="00EA40A3" w:rsidRDefault="00E86C16">
            <w:pPr>
              <w:spacing w:before="161" w:line="184" w:lineRule="auto"/>
              <w:ind w:left="324"/>
              <w:rPr>
                <w:rFonts w:ascii="宋体" w:eastAsia="宋体" w:hAnsi="宋体" w:cs="宋体"/>
                <w:sz w:val="17"/>
                <w:szCs w:val="17"/>
              </w:rPr>
            </w:pPr>
            <w:r>
              <w:rPr>
                <w:rFonts w:ascii="宋体" w:eastAsia="宋体" w:hAnsi="宋体" w:cs="宋体"/>
                <w:spacing w:val="-4"/>
                <w:sz w:val="17"/>
                <w:szCs w:val="17"/>
              </w:rPr>
              <w:t>1000</w:t>
            </w:r>
            <w:r>
              <w:rPr>
                <w:rFonts w:ascii="宋体" w:eastAsia="宋体" w:hAnsi="宋体" w:cs="宋体"/>
                <w:spacing w:val="3"/>
                <w:sz w:val="17"/>
                <w:szCs w:val="17"/>
              </w:rPr>
              <w:t xml:space="preserve">           </w:t>
            </w:r>
            <w:r>
              <w:rPr>
                <w:rFonts w:ascii="宋体" w:eastAsia="宋体" w:hAnsi="宋体" w:cs="宋体"/>
                <w:spacing w:val="-4"/>
                <w:sz w:val="17"/>
                <w:szCs w:val="17"/>
              </w:rPr>
              <w:t>3500</w:t>
            </w:r>
          </w:p>
        </w:tc>
      </w:tr>
      <w:tr w:rsidR="00EA40A3">
        <w:trPr>
          <w:trHeight w:val="352"/>
        </w:trPr>
        <w:tc>
          <w:tcPr>
            <w:tcW w:w="628" w:type="dxa"/>
            <w:tcBorders>
              <w:bottom w:val="single" w:sz="4" w:space="0" w:color="000000"/>
            </w:tcBorders>
          </w:tcPr>
          <w:p w:rsidR="00EA40A3" w:rsidRDefault="00E86C16">
            <w:pPr>
              <w:spacing w:before="94" w:line="221" w:lineRule="auto"/>
              <w:ind w:left="199"/>
              <w:rPr>
                <w:rFonts w:ascii="宋体" w:eastAsia="宋体" w:hAnsi="宋体" w:cs="宋体"/>
                <w:sz w:val="17"/>
                <w:szCs w:val="17"/>
              </w:rPr>
            </w:pPr>
            <w:r>
              <w:rPr>
                <w:rFonts w:ascii="宋体" w:eastAsia="宋体" w:hAnsi="宋体" w:cs="宋体"/>
                <w:spacing w:val="-2"/>
                <w:sz w:val="17"/>
                <w:szCs w:val="17"/>
              </w:rPr>
              <w:t>乳母</w:t>
            </w:r>
          </w:p>
        </w:tc>
        <w:tc>
          <w:tcPr>
            <w:tcW w:w="2196" w:type="dxa"/>
            <w:tcBorders>
              <w:bottom w:val="single" w:sz="4" w:space="0" w:color="000000"/>
            </w:tcBorders>
          </w:tcPr>
          <w:p w:rsidR="00EA40A3" w:rsidRDefault="00E86C16">
            <w:pPr>
              <w:spacing w:before="136" w:line="184" w:lineRule="auto"/>
              <w:ind w:left="81"/>
              <w:rPr>
                <w:rFonts w:ascii="宋体" w:eastAsia="宋体" w:hAnsi="宋体" w:cs="宋体"/>
                <w:sz w:val="17"/>
                <w:szCs w:val="17"/>
              </w:rPr>
            </w:pPr>
            <w:r>
              <w:rPr>
                <w:rFonts w:ascii="宋体" w:eastAsia="宋体" w:hAnsi="宋体" w:cs="宋体"/>
                <w:spacing w:val="-3"/>
                <w:sz w:val="17"/>
                <w:szCs w:val="17"/>
              </w:rPr>
              <w:t>20003500</w:t>
            </w:r>
            <w:r>
              <w:rPr>
                <w:rFonts w:ascii="宋体" w:eastAsia="宋体" w:hAnsi="宋体" w:cs="宋体"/>
                <w:spacing w:val="8"/>
                <w:sz w:val="17"/>
                <w:szCs w:val="17"/>
              </w:rPr>
              <w:t xml:space="preserve">  </w:t>
            </w:r>
            <w:r>
              <w:rPr>
                <w:rFonts w:ascii="宋体" w:eastAsia="宋体" w:hAnsi="宋体" w:cs="宋体"/>
                <w:spacing w:val="-3"/>
                <w:sz w:val="17"/>
                <w:szCs w:val="17"/>
              </w:rPr>
              <w:t>700</w:t>
            </w:r>
            <w:r>
              <w:rPr>
                <w:rFonts w:ascii="宋体" w:eastAsia="宋体" w:hAnsi="宋体" w:cs="宋体"/>
                <w:spacing w:val="6"/>
                <w:sz w:val="17"/>
                <w:szCs w:val="17"/>
              </w:rPr>
              <w:t xml:space="preserve">   </w:t>
            </w:r>
            <w:r>
              <w:rPr>
                <w:rFonts w:ascii="宋体" w:eastAsia="宋体" w:hAnsi="宋体" w:cs="宋体"/>
                <w:spacing w:val="-3"/>
                <w:sz w:val="17"/>
                <w:szCs w:val="17"/>
              </w:rPr>
              <w:t>50</w:t>
            </w:r>
            <w:r>
              <w:rPr>
                <w:rFonts w:ascii="宋体" w:eastAsia="宋体" w:hAnsi="宋体" w:cs="宋体"/>
                <w:spacing w:val="5"/>
                <w:sz w:val="17"/>
                <w:szCs w:val="17"/>
              </w:rPr>
              <w:t xml:space="preserve">  </w:t>
            </w:r>
            <w:r>
              <w:rPr>
                <w:rFonts w:ascii="宋体" w:eastAsia="宋体" w:hAnsi="宋体" w:cs="宋体"/>
                <w:spacing w:val="-3"/>
                <w:sz w:val="17"/>
                <w:szCs w:val="17"/>
              </w:rPr>
              <w:t>1000</w:t>
            </w:r>
          </w:p>
        </w:tc>
        <w:tc>
          <w:tcPr>
            <w:tcW w:w="706" w:type="dxa"/>
            <w:tcBorders>
              <w:bottom w:val="single" w:sz="4" w:space="0" w:color="000000"/>
            </w:tcBorders>
          </w:tcPr>
          <w:p w:rsidR="00EA40A3" w:rsidRDefault="00E86C16">
            <w:pPr>
              <w:spacing w:before="137" w:line="183" w:lineRule="auto"/>
              <w:ind w:left="285"/>
              <w:rPr>
                <w:rFonts w:ascii="宋体" w:eastAsia="宋体" w:hAnsi="宋体" w:cs="宋体"/>
                <w:sz w:val="17"/>
                <w:szCs w:val="17"/>
              </w:rPr>
            </w:pPr>
            <w:r>
              <w:rPr>
                <w:rFonts w:ascii="宋体" w:eastAsia="宋体" w:hAnsi="宋体" w:cs="宋体"/>
                <w:spacing w:val="-3"/>
                <w:sz w:val="17"/>
                <w:szCs w:val="17"/>
              </w:rPr>
              <w:t>35</w:t>
            </w:r>
          </w:p>
        </w:tc>
        <w:tc>
          <w:tcPr>
            <w:tcW w:w="479" w:type="dxa"/>
            <w:tcBorders>
              <w:bottom w:val="single" w:sz="4" w:space="0" w:color="000000"/>
            </w:tcBorders>
          </w:tcPr>
          <w:p w:rsidR="00EA40A3" w:rsidRDefault="00E86C16">
            <w:pPr>
              <w:spacing w:before="137" w:line="183" w:lineRule="auto"/>
              <w:ind w:left="139"/>
              <w:rPr>
                <w:rFonts w:ascii="宋体" w:eastAsia="宋体" w:hAnsi="宋体" w:cs="宋体"/>
                <w:sz w:val="17"/>
                <w:szCs w:val="17"/>
              </w:rPr>
            </w:pPr>
            <w:r>
              <w:rPr>
                <w:rFonts w:ascii="宋体" w:eastAsia="宋体" w:hAnsi="宋体" w:cs="宋体"/>
                <w:spacing w:val="-2"/>
                <w:sz w:val="17"/>
                <w:szCs w:val="17"/>
              </w:rPr>
              <w:t>400</w:t>
            </w:r>
          </w:p>
        </w:tc>
        <w:tc>
          <w:tcPr>
            <w:tcW w:w="2143" w:type="dxa"/>
            <w:tcBorders>
              <w:bottom w:val="single" w:sz="4" w:space="0" w:color="000000"/>
            </w:tcBorders>
          </w:tcPr>
          <w:p w:rsidR="00EA40A3" w:rsidRDefault="00EA40A3"/>
        </w:tc>
        <w:tc>
          <w:tcPr>
            <w:tcW w:w="787" w:type="dxa"/>
            <w:tcBorders>
              <w:bottom w:val="single" w:sz="4" w:space="0" w:color="000000"/>
            </w:tcBorders>
          </w:tcPr>
          <w:p w:rsidR="00EA40A3" w:rsidRDefault="00EA40A3"/>
        </w:tc>
        <w:tc>
          <w:tcPr>
            <w:tcW w:w="715" w:type="dxa"/>
            <w:tcBorders>
              <w:bottom w:val="single" w:sz="4" w:space="0" w:color="000000"/>
            </w:tcBorders>
          </w:tcPr>
          <w:p w:rsidR="00EA40A3" w:rsidRDefault="00E86C16">
            <w:pPr>
              <w:spacing w:before="137" w:line="183" w:lineRule="auto"/>
              <w:ind w:left="231"/>
              <w:rPr>
                <w:rFonts w:ascii="宋体" w:eastAsia="宋体" w:hAnsi="宋体" w:cs="宋体"/>
                <w:sz w:val="17"/>
                <w:szCs w:val="17"/>
              </w:rPr>
            </w:pPr>
            <w:r>
              <w:rPr>
                <w:rFonts w:ascii="宋体" w:eastAsia="宋体" w:hAnsi="宋体" w:cs="宋体"/>
                <w:spacing w:val="-3"/>
                <w:sz w:val="17"/>
                <w:szCs w:val="17"/>
              </w:rPr>
              <w:t>20</w:t>
            </w:r>
          </w:p>
        </w:tc>
        <w:tc>
          <w:tcPr>
            <w:tcW w:w="672" w:type="dxa"/>
            <w:tcBorders>
              <w:bottom w:val="single" w:sz="4" w:space="0" w:color="000000"/>
            </w:tcBorders>
          </w:tcPr>
          <w:p w:rsidR="00EA40A3" w:rsidRDefault="00EA40A3"/>
        </w:tc>
        <w:tc>
          <w:tcPr>
            <w:tcW w:w="699" w:type="dxa"/>
            <w:tcBorders>
              <w:bottom w:val="single" w:sz="4" w:space="0" w:color="000000"/>
            </w:tcBorders>
          </w:tcPr>
          <w:p w:rsidR="00EA40A3" w:rsidRDefault="00E86C16">
            <w:pPr>
              <w:spacing w:before="136" w:line="184" w:lineRule="auto"/>
              <w:ind w:left="234"/>
              <w:rPr>
                <w:rFonts w:ascii="宋体" w:eastAsia="宋体" w:hAnsi="宋体" w:cs="宋体"/>
                <w:sz w:val="17"/>
                <w:szCs w:val="17"/>
              </w:rPr>
            </w:pPr>
            <w:r>
              <w:rPr>
                <w:rFonts w:ascii="宋体" w:eastAsia="宋体" w:hAnsi="宋体" w:cs="宋体"/>
                <w:spacing w:val="-4"/>
                <w:sz w:val="17"/>
                <w:szCs w:val="17"/>
              </w:rPr>
              <w:t>1000</w:t>
            </w:r>
          </w:p>
        </w:tc>
        <w:tc>
          <w:tcPr>
            <w:tcW w:w="2054" w:type="dxa"/>
            <w:tcBorders>
              <w:bottom w:val="single" w:sz="4" w:space="0" w:color="000000"/>
            </w:tcBorders>
          </w:tcPr>
          <w:p w:rsidR="00EA40A3" w:rsidRDefault="00E86C16">
            <w:pPr>
              <w:spacing w:before="136" w:line="184" w:lineRule="auto"/>
              <w:ind w:left="324"/>
              <w:rPr>
                <w:rFonts w:ascii="宋体" w:eastAsia="宋体" w:hAnsi="宋体" w:cs="宋体"/>
                <w:sz w:val="17"/>
                <w:szCs w:val="17"/>
              </w:rPr>
            </w:pPr>
            <w:r>
              <w:rPr>
                <w:rFonts w:ascii="宋体" w:eastAsia="宋体" w:hAnsi="宋体" w:cs="宋体"/>
                <w:spacing w:val="-4"/>
                <w:sz w:val="17"/>
                <w:szCs w:val="17"/>
              </w:rPr>
              <w:t>1000</w:t>
            </w:r>
            <w:r>
              <w:rPr>
                <w:rFonts w:ascii="宋体" w:eastAsia="宋体" w:hAnsi="宋体" w:cs="宋体"/>
                <w:spacing w:val="3"/>
                <w:sz w:val="17"/>
                <w:szCs w:val="17"/>
              </w:rPr>
              <w:t xml:space="preserve">           </w:t>
            </w:r>
            <w:r>
              <w:rPr>
                <w:rFonts w:ascii="宋体" w:eastAsia="宋体" w:hAnsi="宋体" w:cs="宋体"/>
                <w:spacing w:val="-4"/>
                <w:sz w:val="17"/>
                <w:szCs w:val="17"/>
              </w:rPr>
              <w:t>3500</w:t>
            </w:r>
          </w:p>
        </w:tc>
      </w:tr>
    </w:tbl>
    <w:p w:rsidR="00EA40A3" w:rsidRDefault="00E86C16">
      <w:pPr>
        <w:spacing w:before="116" w:line="214" w:lineRule="auto"/>
        <w:ind w:left="692"/>
        <w:rPr>
          <w:rFonts w:ascii="宋体" w:eastAsia="宋体" w:hAnsi="宋体" w:cs="宋体"/>
          <w:sz w:val="17"/>
          <w:szCs w:val="17"/>
        </w:rPr>
      </w:pPr>
      <w:r>
        <w:rPr>
          <w:rFonts w:ascii="宋体" w:eastAsia="宋体" w:hAnsi="宋体" w:cs="宋体"/>
          <w:spacing w:val="2"/>
          <w:sz w:val="17"/>
          <w:szCs w:val="17"/>
        </w:rPr>
        <w:t>注：*</w:t>
      </w:r>
      <w:r>
        <w:rPr>
          <w:rFonts w:ascii="宋体" w:eastAsia="宋体" w:hAnsi="宋体" w:cs="宋体"/>
          <w:sz w:val="17"/>
          <w:szCs w:val="17"/>
        </w:rPr>
        <w:t>NE</w:t>
      </w:r>
      <w:r>
        <w:rPr>
          <w:rFonts w:ascii="宋体" w:eastAsia="宋体" w:hAnsi="宋体" w:cs="宋体"/>
          <w:spacing w:val="2"/>
          <w:sz w:val="17"/>
          <w:szCs w:val="17"/>
        </w:rPr>
        <w:t>为烟酸当量；#</w:t>
      </w:r>
      <w:r>
        <w:rPr>
          <w:rFonts w:ascii="宋体" w:eastAsia="宋体" w:hAnsi="宋体" w:cs="宋体"/>
          <w:sz w:val="17"/>
          <w:szCs w:val="17"/>
        </w:rPr>
        <w:t>DEF</w:t>
      </w:r>
      <w:r>
        <w:rPr>
          <w:rFonts w:ascii="宋体" w:eastAsia="宋体" w:hAnsi="宋体" w:cs="宋体"/>
          <w:spacing w:val="2"/>
          <w:sz w:val="17"/>
          <w:szCs w:val="17"/>
        </w:rPr>
        <w:t>为膳食叶酸当量；▲60岁以上磷的</w:t>
      </w:r>
      <w:r>
        <w:rPr>
          <w:rFonts w:ascii="宋体" w:eastAsia="宋体" w:hAnsi="宋体" w:cs="宋体"/>
          <w:sz w:val="17"/>
          <w:szCs w:val="17"/>
        </w:rPr>
        <w:t>UL</w:t>
      </w:r>
      <w:r>
        <w:rPr>
          <w:rFonts w:ascii="宋体" w:eastAsia="宋体" w:hAnsi="宋体" w:cs="宋体"/>
          <w:spacing w:val="2"/>
          <w:sz w:val="17"/>
          <w:szCs w:val="17"/>
        </w:rPr>
        <w:t>为3000</w:t>
      </w:r>
      <w:r>
        <w:rPr>
          <w:rFonts w:ascii="宋体" w:eastAsia="宋体" w:hAnsi="宋体" w:cs="宋体"/>
          <w:sz w:val="17"/>
          <w:szCs w:val="17"/>
        </w:rPr>
        <w:t>mg</w:t>
      </w:r>
      <w:r>
        <w:rPr>
          <w:rFonts w:ascii="宋体" w:eastAsia="宋体" w:hAnsi="宋体" w:cs="宋体"/>
          <w:spacing w:val="2"/>
          <w:sz w:val="17"/>
          <w:szCs w:val="17"/>
        </w:rPr>
        <w:t>;凡表</w:t>
      </w:r>
      <w:r>
        <w:rPr>
          <w:rFonts w:ascii="宋体" w:eastAsia="宋体" w:hAnsi="宋体" w:cs="宋体"/>
          <w:spacing w:val="1"/>
          <w:sz w:val="17"/>
          <w:szCs w:val="17"/>
        </w:rPr>
        <w:t>中数字空缺处表示未制定该参考值。</w:t>
      </w:r>
    </w:p>
    <w:p w:rsidR="00EA40A3" w:rsidRDefault="00EA40A3">
      <w:pPr>
        <w:sectPr w:rsidR="00EA40A3">
          <w:headerReference w:type="default" r:id="rId350"/>
          <w:footerReference w:type="default" r:id="rId351"/>
          <w:pgSz w:w="13360" w:h="9220"/>
          <w:pgMar w:top="400" w:right="870" w:bottom="400" w:left="1077" w:header="0" w:footer="0" w:gutter="0"/>
          <w:cols w:space="720"/>
        </w:sectPr>
      </w:pPr>
    </w:p>
    <w:p w:rsidR="00EA40A3" w:rsidRDefault="00EA40A3">
      <w:pPr>
        <w:spacing w:line="167" w:lineRule="exact"/>
      </w:pPr>
    </w:p>
    <w:p w:rsidR="00EA40A3" w:rsidRDefault="00EA40A3">
      <w:pPr>
        <w:sectPr w:rsidR="00EA40A3">
          <w:headerReference w:type="default" r:id="rId352"/>
          <w:footerReference w:type="default" r:id="rId353"/>
          <w:pgSz w:w="9220" w:h="13360"/>
          <w:pgMar w:top="1185" w:right="939" w:bottom="1227" w:left="672" w:header="1022" w:footer="1019" w:gutter="0"/>
          <w:cols w:space="720" w:equalWidth="0">
            <w:col w:w="7608"/>
          </w:cols>
        </w:sectPr>
      </w:pPr>
    </w:p>
    <w:p w:rsidR="00EA40A3" w:rsidRDefault="00E86C16">
      <w:pPr>
        <w:spacing w:before="54" w:line="239" w:lineRule="auto"/>
        <w:ind w:left="416" w:right="97" w:hanging="9"/>
        <w:rPr>
          <w:rFonts w:ascii="宋体" w:eastAsia="宋体" w:hAnsi="宋体" w:cs="宋体"/>
          <w:sz w:val="16"/>
          <w:szCs w:val="16"/>
        </w:rPr>
      </w:pPr>
      <w:r>
        <w:rPr>
          <w:rFonts w:ascii="宋体" w:eastAsia="宋体" w:hAnsi="宋体" w:cs="宋体"/>
          <w:spacing w:val="-4"/>
          <w:sz w:val="16"/>
          <w:szCs w:val="16"/>
        </w:rPr>
        <w:t>年龄</w:t>
      </w:r>
      <w:r>
        <w:rPr>
          <w:rFonts w:ascii="宋体" w:eastAsia="宋体" w:hAnsi="宋体" w:cs="宋体"/>
          <w:sz w:val="16"/>
          <w:szCs w:val="16"/>
        </w:rPr>
        <w:t xml:space="preserve"> </w:t>
      </w:r>
      <w:r>
        <w:rPr>
          <w:rFonts w:ascii="宋体" w:eastAsia="宋体" w:hAnsi="宋体" w:cs="宋体"/>
          <w:spacing w:val="-5"/>
          <w:sz w:val="16"/>
          <w:szCs w:val="16"/>
        </w:rPr>
        <w:t>/岁</w:t>
      </w:r>
    </w:p>
    <w:p w:rsidR="00EA40A3" w:rsidRDefault="00E86C16">
      <w:pPr>
        <w:spacing w:line="14" w:lineRule="auto"/>
        <w:rPr>
          <w:sz w:val="2"/>
        </w:rPr>
      </w:pPr>
      <w:r>
        <w:rPr>
          <w:sz w:val="2"/>
          <w:szCs w:val="2"/>
        </w:rPr>
        <w:br w:type="column"/>
      </w:r>
    </w:p>
    <w:p w:rsidR="00EA40A3" w:rsidRDefault="00E86C16">
      <w:pPr>
        <w:spacing w:before="43" w:line="254" w:lineRule="exact"/>
        <w:ind w:left="9"/>
        <w:rPr>
          <w:rFonts w:ascii="宋体" w:eastAsia="宋体" w:hAnsi="宋体" w:cs="宋体"/>
          <w:sz w:val="16"/>
          <w:szCs w:val="16"/>
        </w:rPr>
      </w:pPr>
      <w:r>
        <w:rPr>
          <w:rFonts w:ascii="宋体" w:eastAsia="宋体" w:hAnsi="宋体" w:cs="宋体"/>
          <w:spacing w:val="6"/>
          <w:position w:val="7"/>
          <w:sz w:val="16"/>
          <w:szCs w:val="16"/>
        </w:rPr>
        <w:t>蛋白质</w:t>
      </w:r>
    </w:p>
    <w:p w:rsidR="00EA40A3" w:rsidRDefault="00E86C16">
      <w:pPr>
        <w:spacing w:line="195" w:lineRule="auto"/>
        <w:rPr>
          <w:rFonts w:ascii="宋体" w:eastAsia="宋体" w:hAnsi="宋体" w:cs="宋体"/>
          <w:sz w:val="16"/>
          <w:szCs w:val="16"/>
        </w:rPr>
      </w:pPr>
      <w:r>
        <w:rPr>
          <w:rFonts w:ascii="宋体" w:eastAsia="宋体" w:hAnsi="宋体" w:cs="宋体"/>
          <w:spacing w:val="-1"/>
          <w:sz w:val="16"/>
          <w:szCs w:val="16"/>
        </w:rPr>
        <w:t>/(g/kg)</w:t>
      </w:r>
    </w:p>
    <w:p w:rsidR="00EA40A3" w:rsidRDefault="00E86C16">
      <w:pPr>
        <w:spacing w:line="14" w:lineRule="auto"/>
        <w:rPr>
          <w:sz w:val="2"/>
        </w:rPr>
      </w:pPr>
      <w:r>
        <w:rPr>
          <w:sz w:val="2"/>
          <w:szCs w:val="2"/>
        </w:rPr>
        <w:br w:type="column"/>
      </w:r>
    </w:p>
    <w:p w:rsidR="00EA40A3" w:rsidRDefault="00E86C16">
      <w:pPr>
        <w:spacing w:before="43" w:line="254" w:lineRule="exact"/>
        <w:ind w:left="40"/>
        <w:rPr>
          <w:rFonts w:ascii="宋体" w:eastAsia="宋体" w:hAnsi="宋体" w:cs="宋体"/>
          <w:sz w:val="16"/>
          <w:szCs w:val="16"/>
        </w:rPr>
      </w:pPr>
      <w:r>
        <w:rPr>
          <w:rFonts w:ascii="宋体" w:eastAsia="宋体" w:hAnsi="宋体" w:cs="宋体"/>
          <w:position w:val="7"/>
          <w:sz w:val="16"/>
          <w:szCs w:val="16"/>
        </w:rPr>
        <w:t>锌</w:t>
      </w:r>
    </w:p>
    <w:p w:rsidR="00EA40A3" w:rsidRDefault="00E86C16">
      <w:pPr>
        <w:spacing w:line="195" w:lineRule="auto"/>
        <w:rPr>
          <w:rFonts w:ascii="宋体" w:eastAsia="宋体" w:hAnsi="宋体" w:cs="宋体"/>
          <w:sz w:val="16"/>
          <w:szCs w:val="16"/>
        </w:rPr>
      </w:pPr>
      <w:r>
        <w:rPr>
          <w:rFonts w:ascii="宋体" w:eastAsia="宋体" w:hAnsi="宋体" w:cs="宋体"/>
          <w:spacing w:val="-2"/>
          <w:sz w:val="16"/>
          <w:szCs w:val="16"/>
        </w:rPr>
        <w:t>/mg</w:t>
      </w:r>
    </w:p>
    <w:p w:rsidR="00EA40A3" w:rsidRDefault="00E86C16">
      <w:pPr>
        <w:spacing w:line="14" w:lineRule="auto"/>
        <w:rPr>
          <w:sz w:val="2"/>
        </w:rPr>
      </w:pPr>
      <w:r>
        <w:rPr>
          <w:sz w:val="2"/>
          <w:szCs w:val="2"/>
        </w:rPr>
        <w:br w:type="column"/>
      </w:r>
    </w:p>
    <w:p w:rsidR="00EA40A3" w:rsidRDefault="00E86C16">
      <w:pPr>
        <w:spacing w:before="32" w:line="231" w:lineRule="auto"/>
        <w:rPr>
          <w:rFonts w:ascii="宋体" w:eastAsia="宋体" w:hAnsi="宋体" w:cs="宋体"/>
          <w:sz w:val="16"/>
          <w:szCs w:val="16"/>
        </w:rPr>
      </w:pPr>
      <w:r>
        <w:rPr>
          <w:rFonts w:ascii="宋体" w:eastAsia="宋体" w:hAnsi="宋体" w:cs="宋体"/>
          <w:spacing w:val="6"/>
          <w:sz w:val="16"/>
          <w:szCs w:val="16"/>
        </w:rPr>
        <w:t>硒</w:t>
      </w:r>
      <w:r>
        <w:rPr>
          <w:rFonts w:ascii="宋体" w:eastAsia="宋体" w:hAnsi="宋体" w:cs="宋体"/>
          <w:spacing w:val="4"/>
          <w:sz w:val="16"/>
          <w:szCs w:val="16"/>
        </w:rPr>
        <w:t xml:space="preserve">  </w:t>
      </w:r>
      <w:r>
        <w:rPr>
          <w:rFonts w:ascii="宋体" w:eastAsia="宋体" w:hAnsi="宋体" w:cs="宋体"/>
          <w:spacing w:val="6"/>
          <w:sz w:val="16"/>
          <w:szCs w:val="16"/>
        </w:rPr>
        <w:t>维生素A维生素D</w:t>
      </w:r>
      <w:r>
        <w:rPr>
          <w:rFonts w:ascii="宋体" w:eastAsia="宋体" w:hAnsi="宋体" w:cs="宋体"/>
          <w:spacing w:val="3"/>
          <w:sz w:val="16"/>
          <w:szCs w:val="16"/>
        </w:rPr>
        <w:t xml:space="preserve">    </w:t>
      </w:r>
      <w:r>
        <w:rPr>
          <w:rFonts w:ascii="宋体" w:eastAsia="宋体" w:hAnsi="宋体" w:cs="宋体"/>
          <w:spacing w:val="6"/>
          <w:sz w:val="16"/>
          <w:szCs w:val="16"/>
        </w:rPr>
        <w:t>维生素B</w:t>
      </w:r>
      <w:r>
        <w:rPr>
          <w:rFonts w:ascii="Calibri" w:eastAsia="Calibri" w:hAnsi="Calibri" w:cs="Calibri"/>
          <w:spacing w:val="6"/>
          <w:sz w:val="16"/>
          <w:szCs w:val="16"/>
        </w:rPr>
        <w:t>₁</w:t>
      </w:r>
      <w:r>
        <w:rPr>
          <w:rFonts w:ascii="Calibri" w:eastAsia="Calibri" w:hAnsi="Calibri" w:cs="Calibri"/>
          <w:spacing w:val="7"/>
          <w:sz w:val="16"/>
          <w:szCs w:val="16"/>
        </w:rPr>
        <w:t xml:space="preserve">     </w:t>
      </w:r>
      <w:r>
        <w:rPr>
          <w:rFonts w:ascii="宋体" w:eastAsia="宋体" w:hAnsi="宋体" w:cs="宋体"/>
          <w:spacing w:val="6"/>
          <w:sz w:val="16"/>
          <w:szCs w:val="16"/>
        </w:rPr>
        <w:t>维生素B</w:t>
      </w:r>
      <w:r>
        <w:rPr>
          <w:rFonts w:ascii="Calibri" w:eastAsia="Calibri" w:hAnsi="Calibri" w:cs="Calibri"/>
          <w:spacing w:val="6"/>
          <w:sz w:val="16"/>
          <w:szCs w:val="16"/>
        </w:rPr>
        <w:t>₂</w:t>
      </w:r>
      <w:r>
        <w:rPr>
          <w:rFonts w:ascii="Calibri" w:eastAsia="Calibri" w:hAnsi="Calibri" w:cs="Calibri"/>
          <w:spacing w:val="8"/>
          <w:sz w:val="16"/>
          <w:szCs w:val="16"/>
        </w:rPr>
        <w:t xml:space="preserve">    </w:t>
      </w:r>
      <w:r>
        <w:rPr>
          <w:rFonts w:ascii="宋体" w:eastAsia="宋体" w:hAnsi="宋体" w:cs="宋体"/>
          <w:spacing w:val="6"/>
          <w:sz w:val="16"/>
          <w:szCs w:val="16"/>
        </w:rPr>
        <w:t>维生</w:t>
      </w:r>
      <w:r>
        <w:rPr>
          <w:rFonts w:ascii="宋体" w:eastAsia="宋体" w:hAnsi="宋体" w:cs="宋体"/>
          <w:spacing w:val="5"/>
          <w:sz w:val="16"/>
          <w:szCs w:val="16"/>
        </w:rPr>
        <w:t>素C</w:t>
      </w:r>
      <w:r>
        <w:rPr>
          <w:rFonts w:ascii="宋体" w:eastAsia="宋体" w:hAnsi="宋体" w:cs="宋体"/>
          <w:spacing w:val="8"/>
          <w:sz w:val="16"/>
          <w:szCs w:val="16"/>
        </w:rPr>
        <w:t xml:space="preserve">  </w:t>
      </w:r>
      <w:r>
        <w:rPr>
          <w:rFonts w:ascii="宋体" w:eastAsia="宋体" w:hAnsi="宋体" w:cs="宋体"/>
          <w:spacing w:val="5"/>
          <w:sz w:val="16"/>
          <w:szCs w:val="16"/>
        </w:rPr>
        <w:t>叶酸</w:t>
      </w:r>
    </w:p>
    <w:p w:rsidR="00EA40A3" w:rsidRDefault="00E86C16">
      <w:pPr>
        <w:spacing w:before="64" w:line="196" w:lineRule="auto"/>
        <w:rPr>
          <w:rFonts w:ascii="宋体" w:eastAsia="宋体" w:hAnsi="宋体" w:cs="宋体"/>
          <w:sz w:val="16"/>
          <w:szCs w:val="16"/>
        </w:rPr>
      </w:pPr>
      <w:r>
        <w:rPr>
          <w:rFonts w:ascii="宋体" w:eastAsia="宋体" w:hAnsi="宋体" w:cs="宋体"/>
          <w:spacing w:val="-7"/>
          <w:sz w:val="16"/>
          <w:szCs w:val="16"/>
        </w:rPr>
        <w:t>μg</w:t>
      </w:r>
      <w:r>
        <w:rPr>
          <w:rFonts w:ascii="宋体" w:eastAsia="宋体" w:hAnsi="宋体" w:cs="宋体"/>
          <w:spacing w:val="43"/>
          <w:w w:val="101"/>
          <w:sz w:val="16"/>
          <w:szCs w:val="16"/>
        </w:rPr>
        <w:t xml:space="preserve">  </w:t>
      </w:r>
      <w:r>
        <w:rPr>
          <w:rFonts w:ascii="宋体" w:eastAsia="宋体" w:hAnsi="宋体" w:cs="宋体"/>
          <w:spacing w:val="-7"/>
          <w:sz w:val="16"/>
          <w:szCs w:val="16"/>
        </w:rPr>
        <w:t>μgRE#</w:t>
      </w:r>
      <w:r>
        <w:rPr>
          <w:rFonts w:ascii="宋体" w:eastAsia="宋体" w:hAnsi="宋体" w:cs="宋体"/>
          <w:spacing w:val="3"/>
          <w:sz w:val="16"/>
          <w:szCs w:val="16"/>
        </w:rPr>
        <w:t xml:space="preserve">    </w:t>
      </w:r>
      <w:r>
        <w:rPr>
          <w:rFonts w:ascii="宋体" w:eastAsia="宋体" w:hAnsi="宋体" w:cs="宋体"/>
          <w:spacing w:val="-7"/>
          <w:sz w:val="16"/>
          <w:szCs w:val="16"/>
        </w:rPr>
        <w:t>/μg</w:t>
      </w:r>
      <w:r>
        <w:rPr>
          <w:rFonts w:ascii="宋体" w:eastAsia="宋体" w:hAnsi="宋体" w:cs="宋体"/>
          <w:spacing w:val="11"/>
          <w:sz w:val="16"/>
          <w:szCs w:val="16"/>
        </w:rPr>
        <w:t xml:space="preserve">     </w:t>
      </w:r>
      <w:r>
        <w:rPr>
          <w:rFonts w:ascii="宋体" w:eastAsia="宋体" w:hAnsi="宋体" w:cs="宋体"/>
          <w:spacing w:val="-7"/>
          <w:sz w:val="16"/>
          <w:szCs w:val="16"/>
        </w:rPr>
        <w:t>/mg</w:t>
      </w:r>
      <w:r>
        <w:rPr>
          <w:rFonts w:ascii="宋体" w:eastAsia="宋体" w:hAnsi="宋体" w:cs="宋体"/>
          <w:spacing w:val="4"/>
          <w:sz w:val="16"/>
          <w:szCs w:val="16"/>
        </w:rPr>
        <w:t xml:space="preserve">         </w:t>
      </w:r>
      <w:r>
        <w:rPr>
          <w:rFonts w:ascii="宋体" w:eastAsia="宋体" w:hAnsi="宋体" w:cs="宋体"/>
          <w:spacing w:val="-7"/>
          <w:sz w:val="16"/>
          <w:szCs w:val="16"/>
        </w:rPr>
        <w:t>mg</w:t>
      </w:r>
      <w:r>
        <w:rPr>
          <w:rFonts w:ascii="宋体" w:eastAsia="宋体" w:hAnsi="宋体" w:cs="宋体"/>
          <w:spacing w:val="7"/>
          <w:sz w:val="16"/>
          <w:szCs w:val="16"/>
        </w:rPr>
        <w:t xml:space="preserve">       </w:t>
      </w:r>
      <w:r>
        <w:rPr>
          <w:rFonts w:ascii="宋体" w:eastAsia="宋体" w:hAnsi="宋体" w:cs="宋体"/>
          <w:spacing w:val="-7"/>
          <w:sz w:val="16"/>
          <w:szCs w:val="16"/>
        </w:rPr>
        <w:t>/mg</w:t>
      </w:r>
      <w:r>
        <w:rPr>
          <w:rFonts w:ascii="宋体" w:eastAsia="宋体" w:hAnsi="宋体" w:cs="宋体"/>
          <w:spacing w:val="5"/>
          <w:sz w:val="16"/>
          <w:szCs w:val="16"/>
        </w:rPr>
        <w:t xml:space="preserve">    </w:t>
      </w:r>
      <w:r>
        <w:rPr>
          <w:rFonts w:ascii="宋体" w:eastAsia="宋体" w:hAnsi="宋体" w:cs="宋体"/>
          <w:spacing w:val="-7"/>
          <w:sz w:val="16"/>
          <w:szCs w:val="16"/>
        </w:rPr>
        <w:t>μgDFE</w:t>
      </w:r>
    </w:p>
    <w:p w:rsidR="00EA40A3" w:rsidRDefault="00EA40A3">
      <w:pPr>
        <w:sectPr w:rsidR="00EA40A3">
          <w:type w:val="continuous"/>
          <w:pgSz w:w="9220" w:h="13360"/>
          <w:pgMar w:top="1185" w:right="939" w:bottom="1227" w:left="672" w:header="1022" w:footer="1019" w:gutter="0"/>
          <w:cols w:num="4" w:space="720" w:equalWidth="0">
            <w:col w:w="818" w:space="100"/>
            <w:col w:w="950" w:space="100"/>
            <w:col w:w="720" w:space="10"/>
            <w:col w:w="4911"/>
          </w:cols>
        </w:sectPr>
      </w:pPr>
    </w:p>
    <w:p w:rsidR="00EA40A3" w:rsidRDefault="00EA40A3">
      <w:pPr>
        <w:spacing w:line="53" w:lineRule="exact"/>
      </w:pPr>
    </w:p>
    <w:tbl>
      <w:tblPr>
        <w:tblStyle w:val="TableNormal"/>
        <w:tblW w:w="7380" w:type="dxa"/>
        <w:tblInd w:w="227"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563"/>
        <w:gridCol w:w="1787"/>
        <w:gridCol w:w="457"/>
        <w:gridCol w:w="594"/>
        <w:gridCol w:w="615"/>
        <w:gridCol w:w="1070"/>
        <w:gridCol w:w="991"/>
        <w:gridCol w:w="576"/>
        <w:gridCol w:w="727"/>
      </w:tblGrid>
      <w:tr w:rsidR="00EA40A3">
        <w:trPr>
          <w:trHeight w:val="338"/>
        </w:trPr>
        <w:tc>
          <w:tcPr>
            <w:tcW w:w="563" w:type="dxa"/>
            <w:tcBorders>
              <w:top w:val="single" w:sz="4" w:space="0" w:color="000000"/>
            </w:tcBorders>
          </w:tcPr>
          <w:p w:rsidR="00EA40A3" w:rsidRDefault="00E86C16">
            <w:pPr>
              <w:spacing w:before="84" w:line="222" w:lineRule="auto"/>
              <w:ind w:left="170"/>
              <w:rPr>
                <w:rFonts w:ascii="宋体" w:eastAsia="宋体" w:hAnsi="宋体" w:cs="宋体"/>
                <w:sz w:val="16"/>
                <w:szCs w:val="16"/>
              </w:rPr>
            </w:pPr>
            <w:r>
              <w:rPr>
                <w:rFonts w:ascii="宋体" w:eastAsia="宋体" w:hAnsi="宋体" w:cs="宋体"/>
                <w:spacing w:val="8"/>
                <w:sz w:val="16"/>
                <w:szCs w:val="16"/>
              </w:rPr>
              <w:t>()~</w:t>
            </w:r>
          </w:p>
        </w:tc>
        <w:tc>
          <w:tcPr>
            <w:tcW w:w="1787" w:type="dxa"/>
            <w:tcBorders>
              <w:top w:val="single" w:sz="4" w:space="0" w:color="000000"/>
            </w:tcBorders>
          </w:tcPr>
          <w:p w:rsidR="00EA40A3" w:rsidRDefault="00E86C16">
            <w:pPr>
              <w:spacing w:before="108" w:line="199" w:lineRule="auto"/>
              <w:ind w:left="51"/>
              <w:rPr>
                <w:rFonts w:ascii="宋体" w:eastAsia="宋体" w:hAnsi="宋体" w:cs="宋体"/>
                <w:sz w:val="16"/>
                <w:szCs w:val="16"/>
              </w:rPr>
            </w:pPr>
            <w:r>
              <w:rPr>
                <w:rFonts w:ascii="宋体" w:eastAsia="宋体" w:hAnsi="宋体" w:cs="宋体"/>
                <w:spacing w:val="-4"/>
                <w:sz w:val="16"/>
                <w:szCs w:val="16"/>
              </w:rPr>
              <w:t>2.25～1.25</w:t>
            </w:r>
            <w:r>
              <w:rPr>
                <w:rFonts w:ascii="宋体" w:eastAsia="宋体" w:hAnsi="宋体" w:cs="宋体"/>
                <w:spacing w:val="10"/>
                <w:sz w:val="16"/>
                <w:szCs w:val="16"/>
              </w:rPr>
              <w:t xml:space="preserve">    </w:t>
            </w:r>
            <w:r>
              <w:rPr>
                <w:rFonts w:ascii="宋体" w:eastAsia="宋体" w:hAnsi="宋体" w:cs="宋体"/>
                <w:spacing w:val="-4"/>
                <w:sz w:val="16"/>
                <w:szCs w:val="16"/>
              </w:rPr>
              <w:t>1.5</w:t>
            </w:r>
          </w:p>
        </w:tc>
        <w:tc>
          <w:tcPr>
            <w:tcW w:w="1051" w:type="dxa"/>
            <w:gridSpan w:val="2"/>
            <w:tcBorders>
              <w:top w:val="single" w:sz="4" w:space="0" w:color="000000"/>
            </w:tcBorders>
          </w:tcPr>
          <w:p w:rsidR="00EA40A3" w:rsidRDefault="00E86C16">
            <w:pPr>
              <w:spacing w:before="122" w:line="183" w:lineRule="auto"/>
              <w:ind w:left="650"/>
              <w:rPr>
                <w:rFonts w:ascii="宋体" w:eastAsia="宋体" w:hAnsi="宋体" w:cs="宋体"/>
                <w:sz w:val="16"/>
                <w:szCs w:val="16"/>
              </w:rPr>
            </w:pPr>
            <w:r>
              <w:rPr>
                <w:rFonts w:ascii="宋体" w:eastAsia="宋体" w:hAnsi="宋体" w:cs="宋体"/>
                <w:spacing w:val="-3"/>
                <w:sz w:val="16"/>
                <w:szCs w:val="16"/>
              </w:rPr>
              <w:t>375</w:t>
            </w:r>
          </w:p>
        </w:tc>
        <w:tc>
          <w:tcPr>
            <w:tcW w:w="615" w:type="dxa"/>
            <w:tcBorders>
              <w:top w:val="single" w:sz="4" w:space="0" w:color="000000"/>
            </w:tcBorders>
          </w:tcPr>
          <w:p w:rsidR="00EA40A3" w:rsidRDefault="00E86C16">
            <w:pPr>
              <w:spacing w:before="122" w:line="183" w:lineRule="auto"/>
              <w:ind w:left="188"/>
              <w:rPr>
                <w:rFonts w:ascii="宋体" w:eastAsia="宋体" w:hAnsi="宋体" w:cs="宋体"/>
                <w:sz w:val="16"/>
                <w:szCs w:val="16"/>
              </w:rPr>
            </w:pPr>
            <w:r>
              <w:rPr>
                <w:rFonts w:ascii="宋体" w:eastAsia="宋体" w:hAnsi="宋体" w:cs="宋体"/>
                <w:spacing w:val="-1"/>
                <w:sz w:val="16"/>
                <w:szCs w:val="16"/>
              </w:rPr>
              <w:t>8.8*</w:t>
            </w:r>
          </w:p>
        </w:tc>
        <w:tc>
          <w:tcPr>
            <w:tcW w:w="1070" w:type="dxa"/>
            <w:tcBorders>
              <w:top w:val="single" w:sz="4" w:space="0" w:color="000000"/>
            </w:tcBorders>
          </w:tcPr>
          <w:p w:rsidR="00EA40A3" w:rsidRDefault="00EA40A3"/>
        </w:tc>
        <w:tc>
          <w:tcPr>
            <w:tcW w:w="991" w:type="dxa"/>
            <w:tcBorders>
              <w:top w:val="single" w:sz="4" w:space="0" w:color="000000"/>
            </w:tcBorders>
          </w:tcPr>
          <w:p w:rsidR="00EA40A3" w:rsidRDefault="00EA40A3"/>
        </w:tc>
        <w:tc>
          <w:tcPr>
            <w:tcW w:w="576" w:type="dxa"/>
            <w:tcBorders>
              <w:top w:val="single" w:sz="4" w:space="0" w:color="000000"/>
            </w:tcBorders>
          </w:tcPr>
          <w:p w:rsidR="00EA40A3" w:rsidRDefault="00EA40A3"/>
        </w:tc>
        <w:tc>
          <w:tcPr>
            <w:tcW w:w="727" w:type="dxa"/>
            <w:tcBorders>
              <w:top w:val="single" w:sz="4" w:space="0" w:color="000000"/>
            </w:tcBorders>
          </w:tcPr>
          <w:p w:rsidR="00EA40A3" w:rsidRDefault="00EA40A3"/>
        </w:tc>
      </w:tr>
      <w:tr w:rsidR="00EA40A3">
        <w:trPr>
          <w:trHeight w:val="314"/>
        </w:trPr>
        <w:tc>
          <w:tcPr>
            <w:tcW w:w="563" w:type="dxa"/>
          </w:tcPr>
          <w:p w:rsidR="00EA40A3" w:rsidRDefault="00E86C16">
            <w:pPr>
              <w:spacing w:before="104" w:line="183" w:lineRule="auto"/>
              <w:ind w:left="140"/>
              <w:rPr>
                <w:rFonts w:ascii="宋体" w:eastAsia="宋体" w:hAnsi="宋体" w:cs="宋体"/>
                <w:sz w:val="16"/>
                <w:szCs w:val="16"/>
              </w:rPr>
            </w:pPr>
            <w:r>
              <w:rPr>
                <w:rFonts w:ascii="宋体" w:eastAsia="宋体" w:hAnsi="宋体" w:cs="宋体"/>
                <w:spacing w:val="13"/>
                <w:sz w:val="16"/>
                <w:szCs w:val="16"/>
              </w:rPr>
              <w:t>0.5~</w:t>
            </w:r>
          </w:p>
        </w:tc>
        <w:tc>
          <w:tcPr>
            <w:tcW w:w="1787" w:type="dxa"/>
          </w:tcPr>
          <w:p w:rsidR="00EA40A3" w:rsidRDefault="00E86C16">
            <w:pPr>
              <w:spacing w:before="103" w:line="184" w:lineRule="auto"/>
              <w:ind w:left="58"/>
              <w:rPr>
                <w:rFonts w:ascii="宋体" w:eastAsia="宋体" w:hAnsi="宋体" w:cs="宋体"/>
                <w:sz w:val="16"/>
                <w:szCs w:val="16"/>
              </w:rPr>
            </w:pPr>
            <w:r>
              <w:rPr>
                <w:rFonts w:ascii="宋体" w:eastAsia="宋体" w:hAnsi="宋体" w:cs="宋体"/>
                <w:spacing w:val="-4"/>
                <w:sz w:val="16"/>
                <w:szCs w:val="16"/>
              </w:rPr>
              <w:t>1.25～1.15</w:t>
            </w:r>
            <w:r>
              <w:rPr>
                <w:rFonts w:ascii="宋体" w:eastAsia="宋体" w:hAnsi="宋体" w:cs="宋体"/>
                <w:spacing w:val="10"/>
                <w:sz w:val="16"/>
                <w:szCs w:val="16"/>
              </w:rPr>
              <w:t xml:space="preserve">    </w:t>
            </w:r>
            <w:r>
              <w:rPr>
                <w:rFonts w:ascii="宋体" w:eastAsia="宋体" w:hAnsi="宋体" w:cs="宋体"/>
                <w:spacing w:val="-4"/>
                <w:sz w:val="16"/>
                <w:szCs w:val="16"/>
              </w:rPr>
              <w:t>6.7</w:t>
            </w:r>
          </w:p>
        </w:tc>
        <w:tc>
          <w:tcPr>
            <w:tcW w:w="1051" w:type="dxa"/>
            <w:gridSpan w:val="2"/>
          </w:tcPr>
          <w:p w:rsidR="00EA40A3" w:rsidRDefault="00E86C16">
            <w:pPr>
              <w:spacing w:before="104" w:line="183" w:lineRule="auto"/>
              <w:ind w:left="629"/>
              <w:rPr>
                <w:rFonts w:ascii="宋体" w:eastAsia="宋体" w:hAnsi="宋体" w:cs="宋体"/>
                <w:sz w:val="16"/>
                <w:szCs w:val="16"/>
              </w:rPr>
            </w:pPr>
            <w:r>
              <w:rPr>
                <w:rFonts w:ascii="宋体" w:eastAsia="宋体" w:hAnsi="宋体" w:cs="宋体"/>
                <w:spacing w:val="-2"/>
                <w:sz w:val="16"/>
                <w:szCs w:val="16"/>
              </w:rPr>
              <w:t>400</w:t>
            </w:r>
          </w:p>
        </w:tc>
        <w:tc>
          <w:tcPr>
            <w:tcW w:w="615" w:type="dxa"/>
          </w:tcPr>
          <w:p w:rsidR="00EA40A3" w:rsidRDefault="00E86C16">
            <w:pPr>
              <w:spacing w:before="103" w:line="184" w:lineRule="auto"/>
              <w:ind w:left="159"/>
              <w:rPr>
                <w:rFonts w:ascii="宋体" w:eastAsia="宋体" w:hAnsi="宋体" w:cs="宋体"/>
                <w:sz w:val="16"/>
                <w:szCs w:val="16"/>
              </w:rPr>
            </w:pPr>
            <w:r>
              <w:rPr>
                <w:rFonts w:ascii="宋体" w:eastAsia="宋体" w:hAnsi="宋体" w:cs="宋体"/>
                <w:spacing w:val="-3"/>
                <w:sz w:val="16"/>
                <w:szCs w:val="16"/>
              </w:rPr>
              <w:t>13.8*</w:t>
            </w:r>
          </w:p>
        </w:tc>
        <w:tc>
          <w:tcPr>
            <w:tcW w:w="1070" w:type="dxa"/>
          </w:tcPr>
          <w:p w:rsidR="00EA40A3" w:rsidRDefault="00EA40A3"/>
        </w:tc>
        <w:tc>
          <w:tcPr>
            <w:tcW w:w="991" w:type="dxa"/>
          </w:tcPr>
          <w:p w:rsidR="00EA40A3" w:rsidRDefault="00EA40A3"/>
        </w:tc>
        <w:tc>
          <w:tcPr>
            <w:tcW w:w="576" w:type="dxa"/>
          </w:tcPr>
          <w:p w:rsidR="00EA40A3" w:rsidRDefault="00EA40A3"/>
        </w:tc>
        <w:tc>
          <w:tcPr>
            <w:tcW w:w="727" w:type="dxa"/>
          </w:tcPr>
          <w:p w:rsidR="00EA40A3" w:rsidRDefault="00EA40A3"/>
        </w:tc>
      </w:tr>
      <w:tr w:rsidR="00EA40A3">
        <w:trPr>
          <w:trHeight w:val="305"/>
        </w:trPr>
        <w:tc>
          <w:tcPr>
            <w:tcW w:w="563" w:type="dxa"/>
          </w:tcPr>
          <w:p w:rsidR="00EA40A3" w:rsidRDefault="00E86C16">
            <w:pPr>
              <w:spacing w:before="99" w:line="184" w:lineRule="auto"/>
              <w:ind w:left="140"/>
              <w:rPr>
                <w:rFonts w:ascii="宋体" w:eastAsia="宋体" w:hAnsi="宋体" w:cs="宋体"/>
                <w:sz w:val="16"/>
                <w:szCs w:val="16"/>
              </w:rPr>
            </w:pPr>
            <w:r>
              <w:rPr>
                <w:rFonts w:ascii="宋体" w:eastAsia="宋体" w:hAnsi="宋体" w:cs="宋体"/>
                <w:spacing w:val="21"/>
                <w:w w:val="104"/>
                <w:sz w:val="16"/>
                <w:szCs w:val="16"/>
              </w:rPr>
              <w:t>1~</w:t>
            </w:r>
          </w:p>
        </w:tc>
        <w:tc>
          <w:tcPr>
            <w:tcW w:w="1787" w:type="dxa"/>
          </w:tcPr>
          <w:p w:rsidR="00EA40A3" w:rsidRDefault="00E86C16">
            <w:pPr>
              <w:spacing w:before="100" w:line="183" w:lineRule="auto"/>
              <w:ind w:left="1176"/>
              <w:rPr>
                <w:rFonts w:ascii="宋体" w:eastAsia="宋体" w:hAnsi="宋体" w:cs="宋体"/>
                <w:sz w:val="16"/>
                <w:szCs w:val="16"/>
              </w:rPr>
            </w:pPr>
            <w:r>
              <w:rPr>
                <w:rFonts w:ascii="宋体" w:eastAsia="宋体" w:hAnsi="宋体" w:cs="宋体"/>
                <w:spacing w:val="-3"/>
                <w:sz w:val="16"/>
                <w:szCs w:val="16"/>
              </w:rPr>
              <w:t>7.4</w:t>
            </w:r>
          </w:p>
        </w:tc>
        <w:tc>
          <w:tcPr>
            <w:tcW w:w="457" w:type="dxa"/>
          </w:tcPr>
          <w:p w:rsidR="00EA40A3" w:rsidRDefault="00E86C16">
            <w:pPr>
              <w:spacing w:before="100" w:line="184" w:lineRule="auto"/>
              <w:ind w:left="100"/>
              <w:rPr>
                <w:rFonts w:ascii="宋体" w:eastAsia="宋体" w:hAnsi="宋体" w:cs="宋体"/>
                <w:sz w:val="16"/>
                <w:szCs w:val="16"/>
              </w:rPr>
            </w:pPr>
            <w:r>
              <w:rPr>
                <w:rFonts w:ascii="宋体" w:eastAsia="宋体" w:hAnsi="宋体" w:cs="宋体"/>
                <w:spacing w:val="-5"/>
                <w:sz w:val="16"/>
                <w:szCs w:val="16"/>
              </w:rPr>
              <w:t>17</w:t>
            </w:r>
          </w:p>
        </w:tc>
        <w:tc>
          <w:tcPr>
            <w:tcW w:w="594" w:type="dxa"/>
          </w:tcPr>
          <w:p w:rsidR="00EA40A3" w:rsidRDefault="00E86C16">
            <w:pPr>
              <w:spacing w:before="100" w:line="183" w:lineRule="auto"/>
              <w:ind w:left="213"/>
              <w:rPr>
                <w:rFonts w:ascii="宋体" w:eastAsia="宋体" w:hAnsi="宋体" w:cs="宋体"/>
                <w:sz w:val="16"/>
                <w:szCs w:val="16"/>
              </w:rPr>
            </w:pPr>
            <w:r>
              <w:rPr>
                <w:rFonts w:ascii="宋体" w:eastAsia="宋体" w:hAnsi="宋体" w:cs="宋体"/>
                <w:spacing w:val="-3"/>
                <w:sz w:val="16"/>
                <w:szCs w:val="16"/>
              </w:rPr>
              <w:t>300</w:t>
            </w:r>
          </w:p>
        </w:tc>
        <w:tc>
          <w:tcPr>
            <w:tcW w:w="615" w:type="dxa"/>
          </w:tcPr>
          <w:p w:rsidR="00EA40A3" w:rsidRDefault="00EA40A3"/>
        </w:tc>
        <w:tc>
          <w:tcPr>
            <w:tcW w:w="1070" w:type="dxa"/>
          </w:tcPr>
          <w:p w:rsidR="00EA40A3" w:rsidRDefault="00E86C16">
            <w:pPr>
              <w:spacing w:before="100" w:line="183" w:lineRule="auto"/>
              <w:ind w:left="474"/>
              <w:rPr>
                <w:rFonts w:ascii="宋体" w:eastAsia="宋体" w:hAnsi="宋体" w:cs="宋体"/>
                <w:sz w:val="16"/>
                <w:szCs w:val="16"/>
              </w:rPr>
            </w:pPr>
            <w:r>
              <w:rPr>
                <w:rFonts w:ascii="宋体" w:eastAsia="宋体" w:hAnsi="宋体" w:cs="宋体"/>
                <w:spacing w:val="-2"/>
                <w:sz w:val="16"/>
                <w:szCs w:val="16"/>
              </w:rPr>
              <w:t>0.4</w:t>
            </w:r>
          </w:p>
        </w:tc>
        <w:tc>
          <w:tcPr>
            <w:tcW w:w="991" w:type="dxa"/>
          </w:tcPr>
          <w:p w:rsidR="00EA40A3" w:rsidRDefault="00E86C16">
            <w:pPr>
              <w:spacing w:before="100" w:line="183" w:lineRule="auto"/>
              <w:ind w:left="304"/>
              <w:rPr>
                <w:rFonts w:ascii="宋体" w:eastAsia="宋体" w:hAnsi="宋体" w:cs="宋体"/>
                <w:sz w:val="16"/>
                <w:szCs w:val="16"/>
              </w:rPr>
            </w:pPr>
            <w:r>
              <w:rPr>
                <w:rFonts w:ascii="宋体" w:eastAsia="宋体" w:hAnsi="宋体" w:cs="宋体"/>
                <w:spacing w:val="-2"/>
                <w:sz w:val="16"/>
                <w:szCs w:val="16"/>
              </w:rPr>
              <w:t>0.5</w:t>
            </w:r>
          </w:p>
        </w:tc>
        <w:tc>
          <w:tcPr>
            <w:tcW w:w="576" w:type="dxa"/>
          </w:tcPr>
          <w:p w:rsidR="00EA40A3" w:rsidRDefault="00E86C16">
            <w:pPr>
              <w:spacing w:before="100" w:line="184" w:lineRule="auto"/>
              <w:ind w:left="203"/>
              <w:rPr>
                <w:rFonts w:ascii="宋体" w:eastAsia="宋体" w:hAnsi="宋体" w:cs="宋体"/>
                <w:sz w:val="16"/>
                <w:szCs w:val="16"/>
              </w:rPr>
            </w:pPr>
            <w:r>
              <w:rPr>
                <w:rFonts w:ascii="宋体" w:eastAsia="宋体" w:hAnsi="宋体" w:cs="宋体"/>
                <w:spacing w:val="-5"/>
                <w:sz w:val="16"/>
                <w:szCs w:val="16"/>
              </w:rPr>
              <w:t>13</w:t>
            </w:r>
          </w:p>
        </w:tc>
        <w:tc>
          <w:tcPr>
            <w:tcW w:w="727" w:type="dxa"/>
          </w:tcPr>
          <w:p w:rsidR="00EA40A3" w:rsidRDefault="00E86C16">
            <w:pPr>
              <w:spacing w:before="100" w:line="183" w:lineRule="auto"/>
              <w:ind w:left="237"/>
              <w:rPr>
                <w:rFonts w:ascii="宋体" w:eastAsia="宋体" w:hAnsi="宋体" w:cs="宋体"/>
                <w:sz w:val="16"/>
                <w:szCs w:val="16"/>
              </w:rPr>
            </w:pPr>
            <w:r>
              <w:rPr>
                <w:rFonts w:ascii="宋体" w:eastAsia="宋体" w:hAnsi="宋体" w:cs="宋体"/>
                <w:spacing w:val="-3"/>
                <w:sz w:val="16"/>
                <w:szCs w:val="16"/>
              </w:rPr>
              <w:t>320</w:t>
            </w:r>
          </w:p>
        </w:tc>
      </w:tr>
      <w:tr w:rsidR="00EA40A3">
        <w:trPr>
          <w:trHeight w:val="292"/>
        </w:trPr>
        <w:tc>
          <w:tcPr>
            <w:tcW w:w="563" w:type="dxa"/>
          </w:tcPr>
          <w:p w:rsidR="00EA40A3" w:rsidRDefault="00E86C16">
            <w:pPr>
              <w:spacing w:before="95" w:line="183" w:lineRule="auto"/>
              <w:ind w:left="140"/>
              <w:rPr>
                <w:rFonts w:ascii="宋体" w:eastAsia="宋体" w:hAnsi="宋体" w:cs="宋体"/>
                <w:sz w:val="16"/>
                <w:szCs w:val="16"/>
              </w:rPr>
            </w:pPr>
            <w:r>
              <w:rPr>
                <w:rFonts w:ascii="宋体" w:eastAsia="宋体" w:hAnsi="宋体" w:cs="宋体"/>
                <w:spacing w:val="10"/>
                <w:w w:val="125"/>
                <w:sz w:val="16"/>
                <w:szCs w:val="16"/>
              </w:rPr>
              <w:t>4~</w:t>
            </w:r>
          </w:p>
        </w:tc>
        <w:tc>
          <w:tcPr>
            <w:tcW w:w="1787" w:type="dxa"/>
          </w:tcPr>
          <w:p w:rsidR="00EA40A3" w:rsidRDefault="00E86C16">
            <w:pPr>
              <w:spacing w:before="95" w:line="183" w:lineRule="auto"/>
              <w:ind w:left="1176"/>
              <w:rPr>
                <w:rFonts w:ascii="宋体" w:eastAsia="宋体" w:hAnsi="宋体" w:cs="宋体"/>
                <w:sz w:val="16"/>
                <w:szCs w:val="16"/>
              </w:rPr>
            </w:pPr>
            <w:r>
              <w:rPr>
                <w:rFonts w:ascii="宋体" w:eastAsia="宋体" w:hAnsi="宋体" w:cs="宋体"/>
                <w:spacing w:val="-2"/>
                <w:sz w:val="16"/>
                <w:szCs w:val="16"/>
              </w:rPr>
              <w:t>8.7</w:t>
            </w:r>
          </w:p>
        </w:tc>
        <w:tc>
          <w:tcPr>
            <w:tcW w:w="457" w:type="dxa"/>
          </w:tcPr>
          <w:p w:rsidR="00EA40A3" w:rsidRDefault="00E86C16">
            <w:pPr>
              <w:spacing w:before="95" w:line="183" w:lineRule="auto"/>
              <w:ind w:left="90"/>
              <w:rPr>
                <w:rFonts w:ascii="宋体" w:eastAsia="宋体" w:hAnsi="宋体" w:cs="宋体"/>
                <w:sz w:val="16"/>
                <w:szCs w:val="16"/>
              </w:rPr>
            </w:pPr>
            <w:r>
              <w:rPr>
                <w:rFonts w:ascii="宋体" w:eastAsia="宋体" w:hAnsi="宋体" w:cs="宋体"/>
                <w:spacing w:val="-3"/>
                <w:sz w:val="16"/>
                <w:szCs w:val="16"/>
              </w:rPr>
              <w:t>20</w:t>
            </w:r>
          </w:p>
        </w:tc>
        <w:tc>
          <w:tcPr>
            <w:tcW w:w="594" w:type="dxa"/>
          </w:tcPr>
          <w:p w:rsidR="00EA40A3" w:rsidRDefault="00EA40A3"/>
        </w:tc>
        <w:tc>
          <w:tcPr>
            <w:tcW w:w="615" w:type="dxa"/>
          </w:tcPr>
          <w:p w:rsidR="00EA40A3" w:rsidRDefault="00EA40A3"/>
        </w:tc>
        <w:tc>
          <w:tcPr>
            <w:tcW w:w="1070" w:type="dxa"/>
          </w:tcPr>
          <w:p w:rsidR="00EA40A3" w:rsidRDefault="00E86C16">
            <w:pPr>
              <w:spacing w:before="95" w:line="183" w:lineRule="auto"/>
              <w:ind w:left="474"/>
              <w:rPr>
                <w:rFonts w:ascii="宋体" w:eastAsia="宋体" w:hAnsi="宋体" w:cs="宋体"/>
                <w:sz w:val="16"/>
                <w:szCs w:val="16"/>
              </w:rPr>
            </w:pPr>
            <w:r>
              <w:rPr>
                <w:rFonts w:ascii="宋体" w:eastAsia="宋体" w:hAnsi="宋体" w:cs="宋体"/>
                <w:spacing w:val="-2"/>
                <w:sz w:val="16"/>
                <w:szCs w:val="16"/>
              </w:rPr>
              <w:t>0.5</w:t>
            </w:r>
          </w:p>
        </w:tc>
        <w:tc>
          <w:tcPr>
            <w:tcW w:w="991" w:type="dxa"/>
          </w:tcPr>
          <w:p w:rsidR="00EA40A3" w:rsidRDefault="00E86C16">
            <w:pPr>
              <w:spacing w:before="95" w:line="183" w:lineRule="auto"/>
              <w:ind w:left="304"/>
              <w:rPr>
                <w:rFonts w:ascii="宋体" w:eastAsia="宋体" w:hAnsi="宋体" w:cs="宋体"/>
                <w:sz w:val="16"/>
                <w:szCs w:val="16"/>
              </w:rPr>
            </w:pPr>
            <w:r>
              <w:rPr>
                <w:rFonts w:ascii="宋体" w:eastAsia="宋体" w:hAnsi="宋体" w:cs="宋体"/>
                <w:spacing w:val="-2"/>
                <w:sz w:val="16"/>
                <w:szCs w:val="16"/>
              </w:rPr>
              <w:t>0.6</w:t>
            </w:r>
          </w:p>
        </w:tc>
        <w:tc>
          <w:tcPr>
            <w:tcW w:w="576" w:type="dxa"/>
          </w:tcPr>
          <w:p w:rsidR="00EA40A3" w:rsidRDefault="00E86C16">
            <w:pPr>
              <w:spacing w:before="95" w:line="183" w:lineRule="auto"/>
              <w:ind w:left="203"/>
              <w:rPr>
                <w:rFonts w:ascii="宋体" w:eastAsia="宋体" w:hAnsi="宋体" w:cs="宋体"/>
                <w:sz w:val="16"/>
                <w:szCs w:val="16"/>
              </w:rPr>
            </w:pPr>
            <w:r>
              <w:rPr>
                <w:rFonts w:ascii="宋体" w:eastAsia="宋体" w:hAnsi="宋体" w:cs="宋体"/>
                <w:spacing w:val="-3"/>
                <w:sz w:val="16"/>
                <w:szCs w:val="16"/>
              </w:rPr>
              <w:t>22</w:t>
            </w:r>
          </w:p>
        </w:tc>
        <w:tc>
          <w:tcPr>
            <w:tcW w:w="727" w:type="dxa"/>
          </w:tcPr>
          <w:p w:rsidR="00EA40A3" w:rsidRDefault="00E86C16">
            <w:pPr>
              <w:spacing w:before="95" w:line="183" w:lineRule="auto"/>
              <w:ind w:left="237"/>
              <w:rPr>
                <w:rFonts w:ascii="宋体" w:eastAsia="宋体" w:hAnsi="宋体" w:cs="宋体"/>
                <w:sz w:val="16"/>
                <w:szCs w:val="16"/>
              </w:rPr>
            </w:pPr>
            <w:r>
              <w:rPr>
                <w:rFonts w:ascii="宋体" w:eastAsia="宋体" w:hAnsi="宋体" w:cs="宋体"/>
                <w:spacing w:val="-3"/>
                <w:sz w:val="16"/>
                <w:szCs w:val="16"/>
              </w:rPr>
              <w:t>320</w:t>
            </w:r>
          </w:p>
        </w:tc>
      </w:tr>
      <w:tr w:rsidR="00EA40A3">
        <w:trPr>
          <w:trHeight w:val="651"/>
        </w:trPr>
        <w:tc>
          <w:tcPr>
            <w:tcW w:w="563" w:type="dxa"/>
          </w:tcPr>
          <w:p w:rsidR="00EA40A3" w:rsidRDefault="00E86C16">
            <w:pPr>
              <w:spacing w:before="88"/>
              <w:ind w:left="140"/>
              <w:rPr>
                <w:rFonts w:ascii="宋体" w:eastAsia="宋体" w:hAnsi="宋体" w:cs="宋体"/>
                <w:sz w:val="16"/>
                <w:szCs w:val="16"/>
              </w:rPr>
            </w:pPr>
            <w:r>
              <w:rPr>
                <w:rFonts w:ascii="宋体" w:eastAsia="宋体" w:hAnsi="宋体" w:cs="宋体"/>
                <w:spacing w:val="-3"/>
                <w:sz w:val="16"/>
                <w:szCs w:val="16"/>
              </w:rPr>
              <w:t>7~</w:t>
            </w:r>
          </w:p>
        </w:tc>
        <w:tc>
          <w:tcPr>
            <w:tcW w:w="1787" w:type="dxa"/>
          </w:tcPr>
          <w:p w:rsidR="00EA40A3" w:rsidRDefault="00E86C16">
            <w:pPr>
              <w:spacing w:before="143" w:line="183" w:lineRule="auto"/>
              <w:ind w:left="1137"/>
              <w:rPr>
                <w:rFonts w:ascii="宋体" w:eastAsia="宋体" w:hAnsi="宋体" w:cs="宋体"/>
                <w:sz w:val="16"/>
                <w:szCs w:val="16"/>
              </w:rPr>
            </w:pPr>
            <w:r>
              <w:rPr>
                <w:rFonts w:ascii="宋体" w:eastAsia="宋体" w:hAnsi="宋体" w:cs="宋体"/>
                <w:spacing w:val="-2"/>
                <w:sz w:val="16"/>
                <w:szCs w:val="16"/>
              </w:rPr>
              <w:t>9.7</w:t>
            </w:r>
          </w:p>
          <w:p w:rsidR="00EA40A3" w:rsidRDefault="00E86C16">
            <w:pPr>
              <w:spacing w:before="100" w:line="220" w:lineRule="auto"/>
              <w:ind w:left="977"/>
              <w:rPr>
                <w:rFonts w:ascii="宋体" w:eastAsia="宋体" w:hAnsi="宋体" w:cs="宋体"/>
                <w:sz w:val="16"/>
                <w:szCs w:val="16"/>
              </w:rPr>
            </w:pPr>
            <w:r>
              <w:rPr>
                <w:rFonts w:ascii="宋体" w:eastAsia="宋体" w:hAnsi="宋体" w:cs="宋体"/>
                <w:spacing w:val="-7"/>
                <w:sz w:val="16"/>
                <w:szCs w:val="16"/>
              </w:rPr>
              <w:t>男</w:t>
            </w:r>
            <w:r>
              <w:rPr>
                <w:rFonts w:ascii="宋体" w:eastAsia="宋体" w:hAnsi="宋体" w:cs="宋体"/>
                <w:spacing w:val="21"/>
                <w:sz w:val="16"/>
                <w:szCs w:val="16"/>
              </w:rPr>
              <w:t xml:space="preserve">   </w:t>
            </w:r>
            <w:r>
              <w:rPr>
                <w:rFonts w:ascii="宋体" w:eastAsia="宋体" w:hAnsi="宋体" w:cs="宋体"/>
                <w:spacing w:val="-7"/>
                <w:sz w:val="16"/>
                <w:szCs w:val="16"/>
              </w:rPr>
              <w:t>女</w:t>
            </w:r>
          </w:p>
        </w:tc>
        <w:tc>
          <w:tcPr>
            <w:tcW w:w="457" w:type="dxa"/>
          </w:tcPr>
          <w:p w:rsidR="00EA40A3" w:rsidRDefault="00E86C16">
            <w:pPr>
              <w:spacing w:before="143" w:line="183" w:lineRule="auto"/>
              <w:ind w:left="100"/>
              <w:rPr>
                <w:rFonts w:ascii="宋体" w:eastAsia="宋体" w:hAnsi="宋体" w:cs="宋体"/>
                <w:sz w:val="16"/>
                <w:szCs w:val="16"/>
              </w:rPr>
            </w:pPr>
            <w:r>
              <w:rPr>
                <w:rFonts w:ascii="宋体" w:eastAsia="宋体" w:hAnsi="宋体" w:cs="宋体"/>
                <w:spacing w:val="-3"/>
                <w:sz w:val="16"/>
                <w:szCs w:val="16"/>
              </w:rPr>
              <w:t>26</w:t>
            </w:r>
          </w:p>
        </w:tc>
        <w:tc>
          <w:tcPr>
            <w:tcW w:w="594" w:type="dxa"/>
          </w:tcPr>
          <w:p w:rsidR="00EA40A3" w:rsidRDefault="00E86C16">
            <w:pPr>
              <w:spacing w:before="143" w:line="183" w:lineRule="auto"/>
              <w:ind w:left="213"/>
              <w:rPr>
                <w:rFonts w:ascii="宋体" w:eastAsia="宋体" w:hAnsi="宋体" w:cs="宋体"/>
                <w:sz w:val="16"/>
                <w:szCs w:val="16"/>
              </w:rPr>
            </w:pPr>
            <w:r>
              <w:rPr>
                <w:rFonts w:ascii="宋体" w:eastAsia="宋体" w:hAnsi="宋体" w:cs="宋体"/>
                <w:spacing w:val="-3"/>
                <w:sz w:val="16"/>
                <w:szCs w:val="16"/>
              </w:rPr>
              <w:t>700</w:t>
            </w:r>
          </w:p>
        </w:tc>
        <w:tc>
          <w:tcPr>
            <w:tcW w:w="615" w:type="dxa"/>
          </w:tcPr>
          <w:p w:rsidR="00EA40A3" w:rsidRDefault="00EA40A3"/>
        </w:tc>
        <w:tc>
          <w:tcPr>
            <w:tcW w:w="1070" w:type="dxa"/>
          </w:tcPr>
          <w:p w:rsidR="00EA40A3" w:rsidRDefault="00E86C16">
            <w:pPr>
              <w:spacing w:before="153" w:line="183" w:lineRule="auto"/>
              <w:ind w:left="434"/>
              <w:rPr>
                <w:rFonts w:ascii="宋体" w:eastAsia="宋体" w:hAnsi="宋体" w:cs="宋体"/>
                <w:sz w:val="16"/>
                <w:szCs w:val="16"/>
              </w:rPr>
            </w:pPr>
            <w:r>
              <w:rPr>
                <w:rFonts w:ascii="宋体" w:eastAsia="宋体" w:hAnsi="宋体" w:cs="宋体"/>
                <w:spacing w:val="-2"/>
                <w:sz w:val="16"/>
                <w:szCs w:val="16"/>
              </w:rPr>
              <w:t>0.5</w:t>
            </w:r>
          </w:p>
          <w:p w:rsidR="00EA40A3" w:rsidRDefault="00E86C16">
            <w:pPr>
              <w:spacing w:before="100" w:line="220" w:lineRule="auto"/>
              <w:ind w:left="244"/>
              <w:rPr>
                <w:rFonts w:ascii="宋体" w:eastAsia="宋体" w:hAnsi="宋体" w:cs="宋体"/>
                <w:sz w:val="16"/>
                <w:szCs w:val="16"/>
              </w:rPr>
            </w:pPr>
            <w:r>
              <w:rPr>
                <w:rFonts w:ascii="宋体" w:eastAsia="宋体" w:hAnsi="宋体" w:cs="宋体"/>
                <w:spacing w:val="-7"/>
                <w:sz w:val="16"/>
                <w:szCs w:val="16"/>
              </w:rPr>
              <w:t>男</w:t>
            </w:r>
            <w:r>
              <w:rPr>
                <w:rFonts w:ascii="宋体" w:eastAsia="宋体" w:hAnsi="宋体" w:cs="宋体"/>
                <w:spacing w:val="17"/>
                <w:sz w:val="16"/>
                <w:szCs w:val="16"/>
              </w:rPr>
              <w:t xml:space="preserve">   </w:t>
            </w:r>
            <w:r>
              <w:rPr>
                <w:rFonts w:ascii="宋体" w:eastAsia="宋体" w:hAnsi="宋体" w:cs="宋体"/>
                <w:spacing w:val="-7"/>
                <w:sz w:val="16"/>
                <w:szCs w:val="16"/>
              </w:rPr>
              <w:t>女</w:t>
            </w:r>
          </w:p>
        </w:tc>
        <w:tc>
          <w:tcPr>
            <w:tcW w:w="991" w:type="dxa"/>
          </w:tcPr>
          <w:p w:rsidR="00EA40A3" w:rsidRDefault="00E86C16">
            <w:pPr>
              <w:spacing w:before="153" w:line="183" w:lineRule="auto"/>
              <w:ind w:left="314"/>
              <w:rPr>
                <w:rFonts w:ascii="宋体" w:eastAsia="宋体" w:hAnsi="宋体" w:cs="宋体"/>
                <w:sz w:val="16"/>
                <w:szCs w:val="16"/>
              </w:rPr>
            </w:pPr>
            <w:r>
              <w:rPr>
                <w:rFonts w:ascii="宋体" w:eastAsia="宋体" w:hAnsi="宋体" w:cs="宋体"/>
                <w:spacing w:val="-2"/>
                <w:sz w:val="16"/>
                <w:szCs w:val="16"/>
              </w:rPr>
              <w:t>0.8</w:t>
            </w:r>
          </w:p>
          <w:p w:rsidR="00EA40A3" w:rsidRDefault="00E86C16">
            <w:pPr>
              <w:spacing w:before="100" w:line="220" w:lineRule="auto"/>
              <w:ind w:left="114"/>
              <w:rPr>
                <w:rFonts w:ascii="宋体" w:eastAsia="宋体" w:hAnsi="宋体" w:cs="宋体"/>
                <w:sz w:val="16"/>
                <w:szCs w:val="16"/>
              </w:rPr>
            </w:pPr>
            <w:r>
              <w:rPr>
                <w:rFonts w:ascii="宋体" w:eastAsia="宋体" w:hAnsi="宋体" w:cs="宋体"/>
                <w:spacing w:val="-7"/>
                <w:sz w:val="16"/>
                <w:szCs w:val="16"/>
              </w:rPr>
              <w:t>男</w:t>
            </w:r>
            <w:r>
              <w:rPr>
                <w:rFonts w:ascii="宋体" w:eastAsia="宋体" w:hAnsi="宋体" w:cs="宋体"/>
                <w:spacing w:val="15"/>
                <w:sz w:val="16"/>
                <w:szCs w:val="16"/>
              </w:rPr>
              <w:t xml:space="preserve">    </w:t>
            </w:r>
            <w:r>
              <w:rPr>
                <w:rFonts w:ascii="宋体" w:eastAsia="宋体" w:hAnsi="宋体" w:cs="宋体"/>
                <w:spacing w:val="-7"/>
                <w:sz w:val="16"/>
                <w:szCs w:val="16"/>
              </w:rPr>
              <w:t>女</w:t>
            </w:r>
          </w:p>
        </w:tc>
        <w:tc>
          <w:tcPr>
            <w:tcW w:w="576" w:type="dxa"/>
          </w:tcPr>
          <w:p w:rsidR="00EA40A3" w:rsidRDefault="00E86C16">
            <w:pPr>
              <w:spacing w:before="273" w:line="183" w:lineRule="auto"/>
              <w:ind w:left="203"/>
              <w:rPr>
                <w:rFonts w:ascii="宋体" w:eastAsia="宋体" w:hAnsi="宋体" w:cs="宋体"/>
                <w:sz w:val="16"/>
                <w:szCs w:val="16"/>
              </w:rPr>
            </w:pPr>
            <w:r>
              <w:rPr>
                <w:rFonts w:ascii="宋体" w:eastAsia="宋体" w:hAnsi="宋体" w:cs="宋体"/>
                <w:spacing w:val="-3"/>
                <w:sz w:val="16"/>
                <w:szCs w:val="16"/>
              </w:rPr>
              <w:t>39</w:t>
            </w:r>
          </w:p>
        </w:tc>
        <w:tc>
          <w:tcPr>
            <w:tcW w:w="727" w:type="dxa"/>
          </w:tcPr>
          <w:p w:rsidR="00EA40A3" w:rsidRDefault="00E86C16">
            <w:pPr>
              <w:spacing w:before="273" w:line="183" w:lineRule="auto"/>
              <w:ind w:left="237"/>
              <w:rPr>
                <w:rFonts w:ascii="宋体" w:eastAsia="宋体" w:hAnsi="宋体" w:cs="宋体"/>
                <w:sz w:val="16"/>
                <w:szCs w:val="16"/>
              </w:rPr>
            </w:pPr>
            <w:r>
              <w:rPr>
                <w:rFonts w:ascii="宋体" w:eastAsia="宋体" w:hAnsi="宋体" w:cs="宋体"/>
                <w:spacing w:val="-3"/>
                <w:sz w:val="16"/>
                <w:szCs w:val="16"/>
              </w:rPr>
              <w:t>320</w:t>
            </w:r>
          </w:p>
        </w:tc>
      </w:tr>
      <w:tr w:rsidR="00EA40A3">
        <w:trPr>
          <w:trHeight w:val="299"/>
        </w:trPr>
        <w:tc>
          <w:tcPr>
            <w:tcW w:w="563" w:type="dxa"/>
          </w:tcPr>
          <w:p w:rsidR="00EA40A3" w:rsidRDefault="00E86C16">
            <w:pPr>
              <w:spacing w:before="91" w:line="184" w:lineRule="auto"/>
              <w:ind w:left="140"/>
              <w:rPr>
                <w:rFonts w:ascii="宋体" w:eastAsia="宋体" w:hAnsi="宋体" w:cs="宋体"/>
                <w:sz w:val="16"/>
                <w:szCs w:val="16"/>
              </w:rPr>
            </w:pPr>
            <w:r>
              <w:rPr>
                <w:rFonts w:ascii="宋体" w:eastAsia="宋体" w:hAnsi="宋体" w:cs="宋体"/>
                <w:spacing w:val="16"/>
                <w:sz w:val="16"/>
                <w:szCs w:val="16"/>
              </w:rPr>
              <w:t>11~</w:t>
            </w:r>
          </w:p>
        </w:tc>
        <w:tc>
          <w:tcPr>
            <w:tcW w:w="1787" w:type="dxa"/>
          </w:tcPr>
          <w:p w:rsidR="00EA40A3" w:rsidRDefault="00E86C16">
            <w:pPr>
              <w:spacing w:before="91" w:line="184" w:lineRule="auto"/>
              <w:ind w:left="897"/>
              <w:rPr>
                <w:rFonts w:ascii="宋体" w:eastAsia="宋体" w:hAnsi="宋体" w:cs="宋体"/>
                <w:sz w:val="16"/>
                <w:szCs w:val="16"/>
              </w:rPr>
            </w:pPr>
            <w:r>
              <w:rPr>
                <w:rFonts w:ascii="宋体" w:eastAsia="宋体" w:hAnsi="宋体" w:cs="宋体"/>
                <w:spacing w:val="-4"/>
                <w:sz w:val="16"/>
                <w:szCs w:val="16"/>
              </w:rPr>
              <w:t>13.1</w:t>
            </w:r>
            <w:r>
              <w:rPr>
                <w:rFonts w:ascii="宋体" w:eastAsia="宋体" w:hAnsi="宋体" w:cs="宋体"/>
                <w:spacing w:val="22"/>
                <w:sz w:val="16"/>
                <w:szCs w:val="16"/>
              </w:rPr>
              <w:t xml:space="preserve">  </w:t>
            </w:r>
            <w:r>
              <w:rPr>
                <w:rFonts w:ascii="宋体" w:eastAsia="宋体" w:hAnsi="宋体" w:cs="宋体"/>
                <w:spacing w:val="-4"/>
                <w:sz w:val="16"/>
                <w:szCs w:val="16"/>
              </w:rPr>
              <w:t>10.8</w:t>
            </w:r>
          </w:p>
        </w:tc>
        <w:tc>
          <w:tcPr>
            <w:tcW w:w="457" w:type="dxa"/>
          </w:tcPr>
          <w:p w:rsidR="00EA40A3" w:rsidRDefault="00E86C16">
            <w:pPr>
              <w:spacing w:before="92" w:line="183" w:lineRule="auto"/>
              <w:ind w:left="100"/>
              <w:rPr>
                <w:rFonts w:ascii="宋体" w:eastAsia="宋体" w:hAnsi="宋体" w:cs="宋体"/>
                <w:sz w:val="16"/>
                <w:szCs w:val="16"/>
              </w:rPr>
            </w:pPr>
            <w:r>
              <w:rPr>
                <w:rFonts w:ascii="宋体" w:eastAsia="宋体" w:hAnsi="宋体" w:cs="宋体"/>
                <w:spacing w:val="-3"/>
                <w:sz w:val="16"/>
                <w:szCs w:val="16"/>
              </w:rPr>
              <w:t>36</w:t>
            </w:r>
          </w:p>
        </w:tc>
        <w:tc>
          <w:tcPr>
            <w:tcW w:w="594" w:type="dxa"/>
          </w:tcPr>
          <w:p w:rsidR="00EA40A3" w:rsidRDefault="00E86C16">
            <w:pPr>
              <w:spacing w:before="92" w:line="183" w:lineRule="auto"/>
              <w:ind w:left="213"/>
              <w:rPr>
                <w:rFonts w:ascii="宋体" w:eastAsia="宋体" w:hAnsi="宋体" w:cs="宋体"/>
                <w:sz w:val="16"/>
                <w:szCs w:val="16"/>
              </w:rPr>
            </w:pPr>
            <w:r>
              <w:rPr>
                <w:rFonts w:ascii="宋体" w:eastAsia="宋体" w:hAnsi="宋体" w:cs="宋体"/>
                <w:spacing w:val="-3"/>
                <w:sz w:val="16"/>
                <w:szCs w:val="16"/>
              </w:rPr>
              <w:t>700</w:t>
            </w:r>
          </w:p>
        </w:tc>
        <w:tc>
          <w:tcPr>
            <w:tcW w:w="615" w:type="dxa"/>
          </w:tcPr>
          <w:p w:rsidR="00EA40A3" w:rsidRDefault="00EA40A3"/>
        </w:tc>
        <w:tc>
          <w:tcPr>
            <w:tcW w:w="1070" w:type="dxa"/>
          </w:tcPr>
          <w:p w:rsidR="00EA40A3" w:rsidRDefault="00E86C16">
            <w:pPr>
              <w:spacing w:before="92" w:line="183" w:lineRule="auto"/>
              <w:ind w:left="474"/>
              <w:rPr>
                <w:rFonts w:ascii="宋体" w:eastAsia="宋体" w:hAnsi="宋体" w:cs="宋体"/>
                <w:sz w:val="16"/>
                <w:szCs w:val="16"/>
              </w:rPr>
            </w:pPr>
            <w:r>
              <w:rPr>
                <w:rFonts w:ascii="宋体" w:eastAsia="宋体" w:hAnsi="宋体" w:cs="宋体"/>
                <w:spacing w:val="-2"/>
                <w:sz w:val="16"/>
                <w:szCs w:val="16"/>
              </w:rPr>
              <w:t>0.7</w:t>
            </w:r>
          </w:p>
        </w:tc>
        <w:tc>
          <w:tcPr>
            <w:tcW w:w="991" w:type="dxa"/>
          </w:tcPr>
          <w:p w:rsidR="00EA40A3" w:rsidRDefault="00E86C16">
            <w:pPr>
              <w:spacing w:before="91" w:line="184" w:lineRule="auto"/>
              <w:ind w:left="304"/>
              <w:rPr>
                <w:rFonts w:ascii="宋体" w:eastAsia="宋体" w:hAnsi="宋体" w:cs="宋体"/>
                <w:sz w:val="16"/>
                <w:szCs w:val="16"/>
              </w:rPr>
            </w:pPr>
            <w:r>
              <w:rPr>
                <w:rFonts w:ascii="宋体" w:eastAsia="宋体" w:hAnsi="宋体" w:cs="宋体"/>
                <w:spacing w:val="-5"/>
                <w:sz w:val="16"/>
                <w:szCs w:val="16"/>
              </w:rPr>
              <w:t>1.0</w:t>
            </w:r>
          </w:p>
        </w:tc>
        <w:tc>
          <w:tcPr>
            <w:tcW w:w="576" w:type="dxa"/>
          </w:tcPr>
          <w:p w:rsidR="00EA40A3" w:rsidRDefault="00EA40A3"/>
        </w:tc>
        <w:tc>
          <w:tcPr>
            <w:tcW w:w="727" w:type="dxa"/>
          </w:tcPr>
          <w:p w:rsidR="00EA40A3" w:rsidRDefault="00E86C16">
            <w:pPr>
              <w:spacing w:before="92" w:line="183" w:lineRule="auto"/>
              <w:ind w:left="227"/>
              <w:rPr>
                <w:rFonts w:ascii="宋体" w:eastAsia="宋体" w:hAnsi="宋体" w:cs="宋体"/>
                <w:sz w:val="16"/>
                <w:szCs w:val="16"/>
              </w:rPr>
            </w:pPr>
            <w:r>
              <w:rPr>
                <w:rFonts w:ascii="宋体" w:eastAsia="宋体" w:hAnsi="宋体" w:cs="宋体"/>
                <w:spacing w:val="-3"/>
                <w:sz w:val="16"/>
                <w:szCs w:val="16"/>
              </w:rPr>
              <w:t>320</w:t>
            </w:r>
          </w:p>
        </w:tc>
      </w:tr>
      <w:tr w:rsidR="00EA40A3">
        <w:trPr>
          <w:trHeight w:val="309"/>
        </w:trPr>
        <w:tc>
          <w:tcPr>
            <w:tcW w:w="563" w:type="dxa"/>
          </w:tcPr>
          <w:p w:rsidR="00EA40A3" w:rsidRDefault="00E86C16">
            <w:pPr>
              <w:spacing w:before="103" w:line="184" w:lineRule="auto"/>
              <w:ind w:left="140"/>
              <w:rPr>
                <w:rFonts w:ascii="宋体" w:eastAsia="宋体" w:hAnsi="宋体" w:cs="宋体"/>
                <w:sz w:val="16"/>
                <w:szCs w:val="16"/>
              </w:rPr>
            </w:pPr>
            <w:r>
              <w:rPr>
                <w:rFonts w:ascii="宋体" w:eastAsia="宋体" w:hAnsi="宋体" w:cs="宋体"/>
                <w:spacing w:val="16"/>
                <w:sz w:val="16"/>
                <w:szCs w:val="16"/>
              </w:rPr>
              <w:t>14~</w:t>
            </w:r>
          </w:p>
        </w:tc>
        <w:tc>
          <w:tcPr>
            <w:tcW w:w="1787" w:type="dxa"/>
          </w:tcPr>
          <w:p w:rsidR="00EA40A3" w:rsidRDefault="00E86C16">
            <w:pPr>
              <w:spacing w:before="103" w:line="184" w:lineRule="auto"/>
              <w:ind w:left="897"/>
              <w:rPr>
                <w:rFonts w:ascii="宋体" w:eastAsia="宋体" w:hAnsi="宋体" w:cs="宋体"/>
                <w:sz w:val="16"/>
                <w:szCs w:val="16"/>
              </w:rPr>
            </w:pPr>
            <w:r>
              <w:rPr>
                <w:rFonts w:ascii="宋体" w:eastAsia="宋体" w:hAnsi="宋体" w:cs="宋体"/>
                <w:spacing w:val="-4"/>
                <w:sz w:val="16"/>
                <w:szCs w:val="16"/>
              </w:rPr>
              <w:t>13.9</w:t>
            </w:r>
            <w:r>
              <w:rPr>
                <w:rFonts w:ascii="宋体" w:eastAsia="宋体" w:hAnsi="宋体" w:cs="宋体"/>
                <w:spacing w:val="23"/>
                <w:sz w:val="16"/>
                <w:szCs w:val="16"/>
              </w:rPr>
              <w:t xml:space="preserve">  </w:t>
            </w:r>
            <w:r>
              <w:rPr>
                <w:rFonts w:ascii="宋体" w:eastAsia="宋体" w:hAnsi="宋体" w:cs="宋体"/>
                <w:spacing w:val="-4"/>
                <w:sz w:val="16"/>
                <w:szCs w:val="16"/>
              </w:rPr>
              <w:t>11.2</w:t>
            </w:r>
          </w:p>
        </w:tc>
        <w:tc>
          <w:tcPr>
            <w:tcW w:w="457" w:type="dxa"/>
          </w:tcPr>
          <w:p w:rsidR="00EA40A3" w:rsidRDefault="00E86C16">
            <w:pPr>
              <w:spacing w:before="103" w:line="183" w:lineRule="auto"/>
              <w:ind w:left="90"/>
              <w:rPr>
                <w:rFonts w:ascii="宋体" w:eastAsia="宋体" w:hAnsi="宋体" w:cs="宋体"/>
                <w:sz w:val="16"/>
                <w:szCs w:val="16"/>
              </w:rPr>
            </w:pPr>
            <w:r>
              <w:rPr>
                <w:rFonts w:ascii="宋体" w:eastAsia="宋体" w:hAnsi="宋体" w:cs="宋体"/>
                <w:spacing w:val="-2"/>
                <w:sz w:val="16"/>
                <w:szCs w:val="16"/>
              </w:rPr>
              <w:t>40</w:t>
            </w:r>
          </w:p>
        </w:tc>
        <w:tc>
          <w:tcPr>
            <w:tcW w:w="594" w:type="dxa"/>
          </w:tcPr>
          <w:p w:rsidR="00EA40A3" w:rsidRDefault="00EA40A3"/>
        </w:tc>
        <w:tc>
          <w:tcPr>
            <w:tcW w:w="615" w:type="dxa"/>
          </w:tcPr>
          <w:p w:rsidR="00EA40A3" w:rsidRDefault="00EA40A3"/>
        </w:tc>
        <w:tc>
          <w:tcPr>
            <w:tcW w:w="1070" w:type="dxa"/>
          </w:tcPr>
          <w:p w:rsidR="00EA40A3" w:rsidRDefault="00E86C16">
            <w:pPr>
              <w:spacing w:before="103" w:line="184" w:lineRule="auto"/>
              <w:ind w:left="93"/>
              <w:rPr>
                <w:rFonts w:ascii="宋体" w:eastAsia="宋体" w:hAnsi="宋体" w:cs="宋体"/>
                <w:sz w:val="16"/>
                <w:szCs w:val="16"/>
              </w:rPr>
            </w:pPr>
            <w:r>
              <w:rPr>
                <w:rFonts w:ascii="宋体" w:eastAsia="宋体" w:hAnsi="宋体" w:cs="宋体"/>
                <w:spacing w:val="-4"/>
                <w:sz w:val="16"/>
                <w:szCs w:val="16"/>
              </w:rPr>
              <w:t>1.0</w:t>
            </w:r>
            <w:r>
              <w:rPr>
                <w:rFonts w:ascii="宋体" w:eastAsia="宋体" w:hAnsi="宋体" w:cs="宋体"/>
                <w:spacing w:val="3"/>
                <w:sz w:val="16"/>
                <w:szCs w:val="16"/>
              </w:rPr>
              <w:t xml:space="preserve">     </w:t>
            </w:r>
            <w:r>
              <w:rPr>
                <w:rFonts w:ascii="宋体" w:eastAsia="宋体" w:hAnsi="宋体" w:cs="宋体"/>
                <w:spacing w:val="-4"/>
                <w:sz w:val="16"/>
                <w:szCs w:val="16"/>
              </w:rPr>
              <w:t>0.9</w:t>
            </w:r>
          </w:p>
        </w:tc>
        <w:tc>
          <w:tcPr>
            <w:tcW w:w="991" w:type="dxa"/>
          </w:tcPr>
          <w:p w:rsidR="00EA40A3" w:rsidRDefault="00E86C16">
            <w:pPr>
              <w:spacing w:before="103" w:line="184" w:lineRule="auto"/>
              <w:ind w:left="124"/>
              <w:rPr>
                <w:rFonts w:ascii="宋体" w:eastAsia="宋体" w:hAnsi="宋体" w:cs="宋体"/>
                <w:sz w:val="16"/>
                <w:szCs w:val="16"/>
              </w:rPr>
            </w:pPr>
            <w:r>
              <w:rPr>
                <w:rFonts w:ascii="宋体" w:eastAsia="宋体" w:hAnsi="宋体" w:cs="宋体"/>
                <w:spacing w:val="-6"/>
                <w:sz w:val="16"/>
                <w:szCs w:val="16"/>
              </w:rPr>
              <w:t>1.3</w:t>
            </w:r>
            <w:r>
              <w:rPr>
                <w:rFonts w:ascii="宋体" w:eastAsia="宋体" w:hAnsi="宋体" w:cs="宋体"/>
                <w:spacing w:val="16"/>
                <w:sz w:val="16"/>
                <w:szCs w:val="16"/>
              </w:rPr>
              <w:t xml:space="preserve">  </w:t>
            </w:r>
            <w:r>
              <w:rPr>
                <w:rFonts w:ascii="宋体" w:eastAsia="宋体" w:hAnsi="宋体" w:cs="宋体"/>
                <w:spacing w:val="-6"/>
                <w:sz w:val="16"/>
                <w:szCs w:val="16"/>
              </w:rPr>
              <w:t>1.0</w:t>
            </w:r>
          </w:p>
        </w:tc>
        <w:tc>
          <w:tcPr>
            <w:tcW w:w="576" w:type="dxa"/>
          </w:tcPr>
          <w:p w:rsidR="00EA40A3" w:rsidRDefault="00E86C16">
            <w:pPr>
              <w:spacing w:before="103" w:line="184" w:lineRule="auto"/>
              <w:ind w:left="203"/>
              <w:rPr>
                <w:rFonts w:ascii="宋体" w:eastAsia="宋体" w:hAnsi="宋体" w:cs="宋体"/>
                <w:sz w:val="16"/>
                <w:szCs w:val="16"/>
              </w:rPr>
            </w:pPr>
            <w:r>
              <w:rPr>
                <w:rFonts w:ascii="宋体" w:eastAsia="宋体" w:hAnsi="宋体" w:cs="宋体"/>
                <w:spacing w:val="-5"/>
                <w:sz w:val="16"/>
                <w:szCs w:val="16"/>
              </w:rPr>
              <w:t>13</w:t>
            </w:r>
          </w:p>
        </w:tc>
        <w:tc>
          <w:tcPr>
            <w:tcW w:w="727" w:type="dxa"/>
          </w:tcPr>
          <w:p w:rsidR="00EA40A3" w:rsidRDefault="00E86C16">
            <w:pPr>
              <w:spacing w:before="103" w:line="183" w:lineRule="auto"/>
              <w:ind w:left="237"/>
              <w:rPr>
                <w:rFonts w:ascii="宋体" w:eastAsia="宋体" w:hAnsi="宋体" w:cs="宋体"/>
                <w:sz w:val="16"/>
                <w:szCs w:val="16"/>
              </w:rPr>
            </w:pPr>
            <w:r>
              <w:rPr>
                <w:rFonts w:ascii="宋体" w:eastAsia="宋体" w:hAnsi="宋体" w:cs="宋体"/>
                <w:spacing w:val="-3"/>
                <w:sz w:val="16"/>
                <w:szCs w:val="16"/>
              </w:rPr>
              <w:t>320</w:t>
            </w:r>
          </w:p>
        </w:tc>
      </w:tr>
      <w:tr w:rsidR="00EA40A3">
        <w:trPr>
          <w:trHeight w:val="292"/>
        </w:trPr>
        <w:tc>
          <w:tcPr>
            <w:tcW w:w="563" w:type="dxa"/>
          </w:tcPr>
          <w:p w:rsidR="00EA40A3" w:rsidRDefault="00E86C16">
            <w:pPr>
              <w:spacing w:before="103" w:line="184" w:lineRule="auto"/>
              <w:ind w:left="180"/>
              <w:rPr>
                <w:rFonts w:ascii="宋体" w:eastAsia="宋体" w:hAnsi="宋体" w:cs="宋体"/>
                <w:sz w:val="16"/>
                <w:szCs w:val="16"/>
              </w:rPr>
            </w:pPr>
            <w:r>
              <w:rPr>
                <w:rFonts w:ascii="宋体" w:eastAsia="宋体" w:hAnsi="宋体" w:cs="宋体"/>
                <w:spacing w:val="16"/>
                <w:sz w:val="16"/>
                <w:szCs w:val="16"/>
              </w:rPr>
              <w:t>18~</w:t>
            </w:r>
          </w:p>
        </w:tc>
        <w:tc>
          <w:tcPr>
            <w:tcW w:w="1787" w:type="dxa"/>
          </w:tcPr>
          <w:p w:rsidR="00EA40A3" w:rsidRDefault="00E86C16">
            <w:pPr>
              <w:spacing w:before="103" w:line="184" w:lineRule="auto"/>
              <w:ind w:left="137"/>
              <w:rPr>
                <w:rFonts w:ascii="宋体" w:eastAsia="宋体" w:hAnsi="宋体" w:cs="宋体"/>
                <w:sz w:val="16"/>
                <w:szCs w:val="16"/>
              </w:rPr>
            </w:pPr>
            <w:r>
              <w:rPr>
                <w:rFonts w:ascii="宋体" w:eastAsia="宋体" w:hAnsi="宋体" w:cs="宋体"/>
                <w:spacing w:val="-3"/>
                <w:sz w:val="16"/>
                <w:szCs w:val="16"/>
              </w:rPr>
              <w:t>0.92</w:t>
            </w:r>
            <w:r>
              <w:rPr>
                <w:rFonts w:ascii="宋体" w:eastAsia="宋体" w:hAnsi="宋体" w:cs="宋体"/>
                <w:spacing w:val="7"/>
                <w:sz w:val="16"/>
                <w:szCs w:val="16"/>
              </w:rPr>
              <w:t xml:space="preserve">     </w:t>
            </w:r>
            <w:r>
              <w:rPr>
                <w:rFonts w:ascii="宋体" w:eastAsia="宋体" w:hAnsi="宋体" w:cs="宋体"/>
                <w:spacing w:val="-3"/>
                <w:sz w:val="16"/>
                <w:szCs w:val="16"/>
              </w:rPr>
              <w:t>13.2</w:t>
            </w:r>
            <w:r>
              <w:rPr>
                <w:rFonts w:ascii="宋体" w:eastAsia="宋体" w:hAnsi="宋体" w:cs="宋体"/>
                <w:spacing w:val="6"/>
                <w:sz w:val="16"/>
                <w:szCs w:val="16"/>
              </w:rPr>
              <w:t xml:space="preserve">  </w:t>
            </w:r>
            <w:r>
              <w:rPr>
                <w:rFonts w:ascii="宋体" w:eastAsia="宋体" w:hAnsi="宋体" w:cs="宋体"/>
                <w:spacing w:val="-3"/>
                <w:sz w:val="16"/>
                <w:szCs w:val="16"/>
              </w:rPr>
              <w:t>8.3</w:t>
            </w:r>
          </w:p>
        </w:tc>
        <w:tc>
          <w:tcPr>
            <w:tcW w:w="457" w:type="dxa"/>
          </w:tcPr>
          <w:p w:rsidR="00EA40A3" w:rsidRDefault="00E86C16">
            <w:pPr>
              <w:spacing w:before="103" w:line="184" w:lineRule="auto"/>
              <w:ind w:left="90"/>
              <w:rPr>
                <w:rFonts w:ascii="宋体" w:eastAsia="宋体" w:hAnsi="宋体" w:cs="宋体"/>
                <w:sz w:val="16"/>
                <w:szCs w:val="16"/>
              </w:rPr>
            </w:pPr>
            <w:r>
              <w:rPr>
                <w:rFonts w:ascii="宋体" w:eastAsia="宋体" w:hAnsi="宋体" w:cs="宋体"/>
                <w:spacing w:val="-2"/>
                <w:sz w:val="16"/>
                <w:szCs w:val="16"/>
              </w:rPr>
              <w:t>41</w:t>
            </w:r>
          </w:p>
        </w:tc>
        <w:tc>
          <w:tcPr>
            <w:tcW w:w="594" w:type="dxa"/>
          </w:tcPr>
          <w:p w:rsidR="00EA40A3" w:rsidRDefault="00EA40A3"/>
        </w:tc>
        <w:tc>
          <w:tcPr>
            <w:tcW w:w="615" w:type="dxa"/>
          </w:tcPr>
          <w:p w:rsidR="00EA40A3" w:rsidRDefault="00EA40A3"/>
        </w:tc>
        <w:tc>
          <w:tcPr>
            <w:tcW w:w="1070" w:type="dxa"/>
          </w:tcPr>
          <w:p w:rsidR="00EA40A3" w:rsidRDefault="00E86C16">
            <w:pPr>
              <w:spacing w:before="103" w:line="184" w:lineRule="auto"/>
              <w:ind w:left="254"/>
              <w:rPr>
                <w:rFonts w:ascii="宋体" w:eastAsia="宋体" w:hAnsi="宋体" w:cs="宋体"/>
                <w:sz w:val="16"/>
                <w:szCs w:val="16"/>
              </w:rPr>
            </w:pPr>
            <w:r>
              <w:rPr>
                <w:rFonts w:ascii="宋体" w:eastAsia="宋体" w:hAnsi="宋体" w:cs="宋体"/>
                <w:spacing w:val="-6"/>
                <w:sz w:val="16"/>
                <w:szCs w:val="16"/>
              </w:rPr>
              <w:t>1.4</w:t>
            </w:r>
            <w:r>
              <w:rPr>
                <w:rFonts w:ascii="宋体" w:eastAsia="宋体" w:hAnsi="宋体" w:cs="宋体"/>
                <w:spacing w:val="6"/>
                <w:sz w:val="16"/>
                <w:szCs w:val="16"/>
              </w:rPr>
              <w:t xml:space="preserve">  </w:t>
            </w:r>
            <w:r>
              <w:rPr>
                <w:rFonts w:ascii="宋体" w:eastAsia="宋体" w:hAnsi="宋体" w:cs="宋体"/>
                <w:spacing w:val="-6"/>
                <w:sz w:val="16"/>
                <w:szCs w:val="16"/>
              </w:rPr>
              <w:t>1.3</w:t>
            </w:r>
          </w:p>
        </w:tc>
        <w:tc>
          <w:tcPr>
            <w:tcW w:w="991" w:type="dxa"/>
          </w:tcPr>
          <w:p w:rsidR="00EA40A3" w:rsidRDefault="00E86C16">
            <w:pPr>
              <w:spacing w:before="103" w:line="184" w:lineRule="auto"/>
              <w:ind w:left="124"/>
              <w:rPr>
                <w:rFonts w:ascii="宋体" w:eastAsia="宋体" w:hAnsi="宋体" w:cs="宋体"/>
                <w:sz w:val="16"/>
                <w:szCs w:val="16"/>
              </w:rPr>
            </w:pPr>
            <w:r>
              <w:rPr>
                <w:rFonts w:ascii="宋体" w:eastAsia="宋体" w:hAnsi="宋体" w:cs="宋体"/>
                <w:spacing w:val="-6"/>
                <w:sz w:val="16"/>
                <w:szCs w:val="16"/>
              </w:rPr>
              <w:t>1.2</w:t>
            </w:r>
            <w:r>
              <w:rPr>
                <w:rFonts w:ascii="宋体" w:eastAsia="宋体" w:hAnsi="宋体" w:cs="宋体"/>
                <w:spacing w:val="16"/>
                <w:sz w:val="16"/>
                <w:szCs w:val="16"/>
              </w:rPr>
              <w:t xml:space="preserve">  </w:t>
            </w:r>
            <w:r>
              <w:rPr>
                <w:rFonts w:ascii="宋体" w:eastAsia="宋体" w:hAnsi="宋体" w:cs="宋体"/>
                <w:spacing w:val="-6"/>
                <w:sz w:val="16"/>
                <w:szCs w:val="16"/>
              </w:rPr>
              <w:t>1.0</w:t>
            </w:r>
          </w:p>
        </w:tc>
        <w:tc>
          <w:tcPr>
            <w:tcW w:w="576" w:type="dxa"/>
          </w:tcPr>
          <w:p w:rsidR="00EA40A3" w:rsidRDefault="00E86C16">
            <w:pPr>
              <w:spacing w:before="105" w:line="182" w:lineRule="auto"/>
              <w:ind w:left="203"/>
              <w:rPr>
                <w:rFonts w:ascii="宋体" w:eastAsia="宋体" w:hAnsi="宋体" w:cs="宋体"/>
                <w:sz w:val="16"/>
                <w:szCs w:val="16"/>
              </w:rPr>
            </w:pPr>
            <w:r>
              <w:rPr>
                <w:rFonts w:ascii="宋体" w:eastAsia="宋体" w:hAnsi="宋体" w:cs="宋体"/>
                <w:spacing w:val="-3"/>
                <w:sz w:val="16"/>
                <w:szCs w:val="16"/>
              </w:rPr>
              <w:t>75</w:t>
            </w:r>
          </w:p>
        </w:tc>
        <w:tc>
          <w:tcPr>
            <w:tcW w:w="727" w:type="dxa"/>
          </w:tcPr>
          <w:p w:rsidR="00EA40A3" w:rsidRDefault="00E86C16">
            <w:pPr>
              <w:spacing w:before="104" w:line="183" w:lineRule="auto"/>
              <w:ind w:left="237"/>
              <w:rPr>
                <w:rFonts w:ascii="宋体" w:eastAsia="宋体" w:hAnsi="宋体" w:cs="宋体"/>
                <w:sz w:val="16"/>
                <w:szCs w:val="16"/>
              </w:rPr>
            </w:pPr>
            <w:r>
              <w:rPr>
                <w:rFonts w:ascii="宋体" w:eastAsia="宋体" w:hAnsi="宋体" w:cs="宋体"/>
                <w:spacing w:val="-3"/>
                <w:sz w:val="16"/>
                <w:szCs w:val="16"/>
              </w:rPr>
              <w:t>320</w:t>
            </w:r>
          </w:p>
        </w:tc>
      </w:tr>
      <w:tr w:rsidR="00EA40A3">
        <w:trPr>
          <w:trHeight w:val="330"/>
        </w:trPr>
        <w:tc>
          <w:tcPr>
            <w:tcW w:w="563" w:type="dxa"/>
          </w:tcPr>
          <w:p w:rsidR="00EA40A3" w:rsidRDefault="00E86C16">
            <w:pPr>
              <w:spacing w:before="82" w:line="220" w:lineRule="auto"/>
              <w:ind w:left="140"/>
              <w:rPr>
                <w:rFonts w:ascii="宋体" w:eastAsia="宋体" w:hAnsi="宋体" w:cs="宋体"/>
                <w:sz w:val="16"/>
                <w:szCs w:val="16"/>
              </w:rPr>
            </w:pPr>
            <w:r>
              <w:rPr>
                <w:rFonts w:ascii="宋体" w:eastAsia="宋体" w:hAnsi="宋体" w:cs="宋体"/>
                <w:spacing w:val="6"/>
                <w:sz w:val="16"/>
                <w:szCs w:val="16"/>
              </w:rPr>
              <w:t>孕妇</w:t>
            </w:r>
          </w:p>
        </w:tc>
        <w:tc>
          <w:tcPr>
            <w:tcW w:w="1787" w:type="dxa"/>
          </w:tcPr>
          <w:p w:rsidR="00EA40A3" w:rsidRDefault="00EA40A3"/>
        </w:tc>
        <w:tc>
          <w:tcPr>
            <w:tcW w:w="457" w:type="dxa"/>
          </w:tcPr>
          <w:p w:rsidR="00EA40A3" w:rsidRDefault="00EA40A3"/>
        </w:tc>
        <w:tc>
          <w:tcPr>
            <w:tcW w:w="594" w:type="dxa"/>
          </w:tcPr>
          <w:p w:rsidR="00EA40A3" w:rsidRDefault="00EA40A3"/>
        </w:tc>
        <w:tc>
          <w:tcPr>
            <w:tcW w:w="615" w:type="dxa"/>
          </w:tcPr>
          <w:p w:rsidR="00EA40A3" w:rsidRDefault="00EA40A3"/>
        </w:tc>
        <w:tc>
          <w:tcPr>
            <w:tcW w:w="1070" w:type="dxa"/>
          </w:tcPr>
          <w:p w:rsidR="00EA40A3" w:rsidRDefault="00E86C16">
            <w:pPr>
              <w:spacing w:before="141" w:line="184" w:lineRule="auto"/>
              <w:ind w:left="474"/>
              <w:rPr>
                <w:rFonts w:ascii="宋体" w:eastAsia="宋体" w:hAnsi="宋体" w:cs="宋体"/>
                <w:sz w:val="16"/>
                <w:szCs w:val="16"/>
              </w:rPr>
            </w:pPr>
            <w:r>
              <w:rPr>
                <w:rFonts w:ascii="宋体" w:eastAsia="宋体" w:hAnsi="宋体" w:cs="宋体"/>
                <w:spacing w:val="-5"/>
                <w:sz w:val="16"/>
                <w:szCs w:val="16"/>
              </w:rPr>
              <w:t>1.3</w:t>
            </w:r>
          </w:p>
        </w:tc>
        <w:tc>
          <w:tcPr>
            <w:tcW w:w="991" w:type="dxa"/>
          </w:tcPr>
          <w:p w:rsidR="00EA40A3" w:rsidRDefault="00E86C16">
            <w:pPr>
              <w:spacing w:before="172" w:line="182" w:lineRule="auto"/>
              <w:ind w:left="263"/>
              <w:rPr>
                <w:rFonts w:ascii="宋体" w:eastAsia="宋体" w:hAnsi="宋体" w:cs="宋体"/>
                <w:sz w:val="16"/>
                <w:szCs w:val="16"/>
              </w:rPr>
            </w:pPr>
            <w:r>
              <w:rPr>
                <w:rFonts w:ascii="宋体" w:eastAsia="宋体" w:hAnsi="宋体" w:cs="宋体"/>
                <w:spacing w:val="-4"/>
                <w:sz w:val="16"/>
                <w:szCs w:val="16"/>
              </w:rPr>
              <w:t>1.45</w:t>
            </w:r>
          </w:p>
        </w:tc>
        <w:tc>
          <w:tcPr>
            <w:tcW w:w="576" w:type="dxa"/>
          </w:tcPr>
          <w:p w:rsidR="00EA40A3" w:rsidRDefault="00E86C16">
            <w:pPr>
              <w:spacing w:before="152" w:line="183" w:lineRule="auto"/>
              <w:ind w:left="203"/>
              <w:rPr>
                <w:rFonts w:ascii="宋体" w:eastAsia="宋体" w:hAnsi="宋体" w:cs="宋体"/>
                <w:sz w:val="16"/>
                <w:szCs w:val="16"/>
              </w:rPr>
            </w:pPr>
            <w:r>
              <w:rPr>
                <w:rFonts w:ascii="宋体" w:eastAsia="宋体" w:hAnsi="宋体" w:cs="宋体"/>
                <w:spacing w:val="-2"/>
                <w:sz w:val="16"/>
                <w:szCs w:val="16"/>
              </w:rPr>
              <w:t>66</w:t>
            </w:r>
          </w:p>
        </w:tc>
        <w:tc>
          <w:tcPr>
            <w:tcW w:w="727" w:type="dxa"/>
          </w:tcPr>
          <w:p w:rsidR="00EA40A3" w:rsidRDefault="00E86C16">
            <w:pPr>
              <w:spacing w:before="152" w:line="183" w:lineRule="auto"/>
              <w:ind w:left="237"/>
              <w:rPr>
                <w:rFonts w:ascii="宋体" w:eastAsia="宋体" w:hAnsi="宋体" w:cs="宋体"/>
                <w:sz w:val="16"/>
                <w:szCs w:val="16"/>
              </w:rPr>
            </w:pPr>
            <w:r>
              <w:rPr>
                <w:rFonts w:ascii="宋体" w:eastAsia="宋体" w:hAnsi="宋体" w:cs="宋体"/>
                <w:spacing w:val="-3"/>
                <w:sz w:val="16"/>
                <w:szCs w:val="16"/>
              </w:rPr>
              <w:t>520</w:t>
            </w:r>
          </w:p>
        </w:tc>
      </w:tr>
      <w:tr w:rsidR="00EA40A3">
        <w:trPr>
          <w:trHeight w:val="293"/>
        </w:trPr>
        <w:tc>
          <w:tcPr>
            <w:tcW w:w="563" w:type="dxa"/>
          </w:tcPr>
          <w:p w:rsidR="00EA40A3" w:rsidRDefault="00E86C16">
            <w:pPr>
              <w:spacing w:before="52" w:line="220" w:lineRule="auto"/>
              <w:ind w:left="140"/>
              <w:rPr>
                <w:rFonts w:ascii="宋体" w:eastAsia="宋体" w:hAnsi="宋体" w:cs="宋体"/>
                <w:sz w:val="16"/>
                <w:szCs w:val="16"/>
              </w:rPr>
            </w:pPr>
            <w:r>
              <w:rPr>
                <w:rFonts w:ascii="宋体" w:eastAsia="宋体" w:hAnsi="宋体" w:cs="宋体"/>
                <w:spacing w:val="-2"/>
                <w:sz w:val="16"/>
                <w:szCs w:val="16"/>
              </w:rPr>
              <w:t>早期</w:t>
            </w:r>
          </w:p>
        </w:tc>
        <w:tc>
          <w:tcPr>
            <w:tcW w:w="1787" w:type="dxa"/>
          </w:tcPr>
          <w:p w:rsidR="00EA40A3" w:rsidRDefault="00E86C16">
            <w:pPr>
              <w:spacing w:before="122" w:line="183" w:lineRule="auto"/>
              <w:ind w:left="1176"/>
              <w:rPr>
                <w:rFonts w:ascii="宋体" w:eastAsia="宋体" w:hAnsi="宋体" w:cs="宋体"/>
                <w:sz w:val="16"/>
                <w:szCs w:val="16"/>
              </w:rPr>
            </w:pPr>
            <w:r>
              <w:rPr>
                <w:rFonts w:ascii="宋体" w:eastAsia="宋体" w:hAnsi="宋体" w:cs="宋体"/>
                <w:spacing w:val="-2"/>
                <w:sz w:val="16"/>
                <w:szCs w:val="16"/>
              </w:rPr>
              <w:t>8.3</w:t>
            </w:r>
          </w:p>
        </w:tc>
        <w:tc>
          <w:tcPr>
            <w:tcW w:w="457" w:type="dxa"/>
          </w:tcPr>
          <w:p w:rsidR="00EA40A3" w:rsidRDefault="00E86C16">
            <w:pPr>
              <w:spacing w:before="122" w:line="183" w:lineRule="auto"/>
              <w:ind w:left="90"/>
              <w:rPr>
                <w:rFonts w:ascii="宋体" w:eastAsia="宋体" w:hAnsi="宋体" w:cs="宋体"/>
                <w:sz w:val="16"/>
                <w:szCs w:val="16"/>
              </w:rPr>
            </w:pPr>
            <w:r>
              <w:rPr>
                <w:rFonts w:ascii="宋体" w:eastAsia="宋体" w:hAnsi="宋体" w:cs="宋体"/>
                <w:spacing w:val="-3"/>
                <w:sz w:val="16"/>
                <w:szCs w:val="16"/>
              </w:rPr>
              <w:t>50</w:t>
            </w:r>
          </w:p>
        </w:tc>
        <w:tc>
          <w:tcPr>
            <w:tcW w:w="594" w:type="dxa"/>
          </w:tcPr>
          <w:p w:rsidR="00EA40A3" w:rsidRDefault="00EA40A3"/>
        </w:tc>
        <w:tc>
          <w:tcPr>
            <w:tcW w:w="615" w:type="dxa"/>
          </w:tcPr>
          <w:p w:rsidR="00EA40A3" w:rsidRDefault="00EA40A3"/>
        </w:tc>
        <w:tc>
          <w:tcPr>
            <w:tcW w:w="1070" w:type="dxa"/>
          </w:tcPr>
          <w:p w:rsidR="00EA40A3" w:rsidRDefault="00EA40A3"/>
        </w:tc>
        <w:tc>
          <w:tcPr>
            <w:tcW w:w="991" w:type="dxa"/>
          </w:tcPr>
          <w:p w:rsidR="00EA40A3" w:rsidRDefault="00EA40A3"/>
        </w:tc>
        <w:tc>
          <w:tcPr>
            <w:tcW w:w="576" w:type="dxa"/>
          </w:tcPr>
          <w:p w:rsidR="00EA40A3" w:rsidRDefault="00EA40A3"/>
        </w:tc>
        <w:tc>
          <w:tcPr>
            <w:tcW w:w="727" w:type="dxa"/>
          </w:tcPr>
          <w:p w:rsidR="00EA40A3" w:rsidRDefault="00EA40A3"/>
        </w:tc>
      </w:tr>
      <w:tr w:rsidR="00EA40A3">
        <w:trPr>
          <w:trHeight w:val="300"/>
        </w:trPr>
        <w:tc>
          <w:tcPr>
            <w:tcW w:w="563" w:type="dxa"/>
          </w:tcPr>
          <w:p w:rsidR="00EA40A3" w:rsidRDefault="00E86C16">
            <w:pPr>
              <w:spacing w:before="69" w:line="220" w:lineRule="auto"/>
              <w:ind w:left="140"/>
              <w:rPr>
                <w:rFonts w:ascii="宋体" w:eastAsia="宋体" w:hAnsi="宋体" w:cs="宋体"/>
                <w:sz w:val="16"/>
                <w:szCs w:val="16"/>
              </w:rPr>
            </w:pPr>
            <w:r>
              <w:rPr>
                <w:rFonts w:ascii="宋体" w:eastAsia="宋体" w:hAnsi="宋体" w:cs="宋体"/>
                <w:spacing w:val="5"/>
                <w:sz w:val="16"/>
                <w:szCs w:val="16"/>
              </w:rPr>
              <w:t>中期</w:t>
            </w:r>
          </w:p>
        </w:tc>
        <w:tc>
          <w:tcPr>
            <w:tcW w:w="1787" w:type="dxa"/>
          </w:tcPr>
          <w:p w:rsidR="00EA40A3" w:rsidRDefault="00E86C16">
            <w:pPr>
              <w:spacing w:before="110" w:line="182" w:lineRule="auto"/>
              <w:ind w:left="1156"/>
              <w:rPr>
                <w:rFonts w:ascii="宋体" w:eastAsia="宋体" w:hAnsi="宋体" w:cs="宋体"/>
                <w:sz w:val="16"/>
                <w:szCs w:val="16"/>
              </w:rPr>
            </w:pPr>
            <w:r>
              <w:rPr>
                <w:rFonts w:ascii="宋体" w:eastAsia="宋体" w:hAnsi="宋体" w:cs="宋体"/>
                <w:spacing w:val="-2"/>
                <w:sz w:val="16"/>
                <w:szCs w:val="16"/>
              </w:rPr>
              <w:t>+5</w:t>
            </w:r>
          </w:p>
        </w:tc>
        <w:tc>
          <w:tcPr>
            <w:tcW w:w="457" w:type="dxa"/>
          </w:tcPr>
          <w:p w:rsidR="00EA40A3" w:rsidRDefault="00E86C16">
            <w:pPr>
              <w:spacing w:before="139" w:line="183" w:lineRule="auto"/>
              <w:ind w:left="90"/>
              <w:rPr>
                <w:rFonts w:ascii="宋体" w:eastAsia="宋体" w:hAnsi="宋体" w:cs="宋体"/>
                <w:sz w:val="16"/>
                <w:szCs w:val="16"/>
              </w:rPr>
            </w:pPr>
            <w:r>
              <w:rPr>
                <w:rFonts w:ascii="宋体" w:eastAsia="宋体" w:hAnsi="宋体" w:cs="宋体"/>
                <w:spacing w:val="-3"/>
                <w:sz w:val="16"/>
                <w:szCs w:val="16"/>
              </w:rPr>
              <w:t>50</w:t>
            </w:r>
          </w:p>
        </w:tc>
        <w:tc>
          <w:tcPr>
            <w:tcW w:w="594" w:type="dxa"/>
          </w:tcPr>
          <w:p w:rsidR="00EA40A3" w:rsidRDefault="00EA40A3"/>
        </w:tc>
        <w:tc>
          <w:tcPr>
            <w:tcW w:w="615" w:type="dxa"/>
          </w:tcPr>
          <w:p w:rsidR="00EA40A3" w:rsidRDefault="00EA40A3"/>
        </w:tc>
        <w:tc>
          <w:tcPr>
            <w:tcW w:w="1070" w:type="dxa"/>
          </w:tcPr>
          <w:p w:rsidR="00EA40A3" w:rsidRDefault="00EA40A3"/>
        </w:tc>
        <w:tc>
          <w:tcPr>
            <w:tcW w:w="991" w:type="dxa"/>
          </w:tcPr>
          <w:p w:rsidR="00EA40A3" w:rsidRDefault="00EA40A3"/>
        </w:tc>
        <w:tc>
          <w:tcPr>
            <w:tcW w:w="576" w:type="dxa"/>
          </w:tcPr>
          <w:p w:rsidR="00EA40A3" w:rsidRDefault="00EA40A3"/>
        </w:tc>
        <w:tc>
          <w:tcPr>
            <w:tcW w:w="727" w:type="dxa"/>
          </w:tcPr>
          <w:p w:rsidR="00EA40A3" w:rsidRDefault="00EA40A3"/>
        </w:tc>
      </w:tr>
      <w:tr w:rsidR="00EA40A3">
        <w:trPr>
          <w:trHeight w:val="326"/>
        </w:trPr>
        <w:tc>
          <w:tcPr>
            <w:tcW w:w="563" w:type="dxa"/>
          </w:tcPr>
          <w:p w:rsidR="00EA40A3" w:rsidRDefault="00E86C16">
            <w:pPr>
              <w:spacing w:before="89" w:line="220" w:lineRule="auto"/>
              <w:ind w:left="140"/>
              <w:rPr>
                <w:rFonts w:ascii="宋体" w:eastAsia="宋体" w:hAnsi="宋体" w:cs="宋体"/>
                <w:sz w:val="16"/>
                <w:szCs w:val="16"/>
              </w:rPr>
            </w:pPr>
            <w:r>
              <w:rPr>
                <w:rFonts w:ascii="宋体" w:eastAsia="宋体" w:hAnsi="宋体" w:cs="宋体"/>
                <w:spacing w:val="5"/>
                <w:sz w:val="16"/>
                <w:szCs w:val="16"/>
              </w:rPr>
              <w:t>晚期</w:t>
            </w:r>
          </w:p>
        </w:tc>
        <w:tc>
          <w:tcPr>
            <w:tcW w:w="1787" w:type="dxa"/>
          </w:tcPr>
          <w:p w:rsidR="00EA40A3" w:rsidRDefault="00E86C16">
            <w:pPr>
              <w:spacing w:before="130" w:line="182" w:lineRule="auto"/>
              <w:ind w:left="1217"/>
              <w:rPr>
                <w:rFonts w:ascii="宋体" w:eastAsia="宋体" w:hAnsi="宋体" w:cs="宋体"/>
                <w:sz w:val="16"/>
                <w:szCs w:val="16"/>
              </w:rPr>
            </w:pPr>
            <w:r>
              <w:rPr>
                <w:rFonts w:ascii="宋体" w:eastAsia="宋体" w:hAnsi="宋体" w:cs="宋体"/>
                <w:spacing w:val="-2"/>
                <w:sz w:val="16"/>
                <w:szCs w:val="16"/>
              </w:rPr>
              <w:t>+5</w:t>
            </w:r>
          </w:p>
        </w:tc>
        <w:tc>
          <w:tcPr>
            <w:tcW w:w="457" w:type="dxa"/>
          </w:tcPr>
          <w:p w:rsidR="00EA40A3" w:rsidRDefault="00E86C16">
            <w:pPr>
              <w:spacing w:before="129" w:line="183" w:lineRule="auto"/>
              <w:ind w:left="100"/>
              <w:rPr>
                <w:rFonts w:ascii="宋体" w:eastAsia="宋体" w:hAnsi="宋体" w:cs="宋体"/>
                <w:sz w:val="16"/>
                <w:szCs w:val="16"/>
              </w:rPr>
            </w:pPr>
            <w:r>
              <w:rPr>
                <w:rFonts w:ascii="宋体" w:eastAsia="宋体" w:hAnsi="宋体" w:cs="宋体"/>
                <w:spacing w:val="-3"/>
                <w:sz w:val="16"/>
                <w:szCs w:val="16"/>
              </w:rPr>
              <w:t>50</w:t>
            </w:r>
          </w:p>
        </w:tc>
        <w:tc>
          <w:tcPr>
            <w:tcW w:w="594" w:type="dxa"/>
          </w:tcPr>
          <w:p w:rsidR="00EA40A3" w:rsidRDefault="00EA40A3"/>
        </w:tc>
        <w:tc>
          <w:tcPr>
            <w:tcW w:w="615" w:type="dxa"/>
          </w:tcPr>
          <w:p w:rsidR="00EA40A3" w:rsidRDefault="00EA40A3"/>
        </w:tc>
        <w:tc>
          <w:tcPr>
            <w:tcW w:w="1070" w:type="dxa"/>
          </w:tcPr>
          <w:p w:rsidR="00EA40A3" w:rsidRDefault="00EA40A3"/>
        </w:tc>
        <w:tc>
          <w:tcPr>
            <w:tcW w:w="991" w:type="dxa"/>
          </w:tcPr>
          <w:p w:rsidR="00EA40A3" w:rsidRDefault="00EA40A3"/>
        </w:tc>
        <w:tc>
          <w:tcPr>
            <w:tcW w:w="576" w:type="dxa"/>
          </w:tcPr>
          <w:p w:rsidR="00EA40A3" w:rsidRDefault="00EA40A3"/>
        </w:tc>
        <w:tc>
          <w:tcPr>
            <w:tcW w:w="727" w:type="dxa"/>
          </w:tcPr>
          <w:p w:rsidR="00EA40A3" w:rsidRDefault="00EA40A3"/>
        </w:tc>
      </w:tr>
      <w:tr w:rsidR="00EA40A3">
        <w:trPr>
          <w:trHeight w:val="335"/>
        </w:trPr>
        <w:tc>
          <w:tcPr>
            <w:tcW w:w="563" w:type="dxa"/>
          </w:tcPr>
          <w:p w:rsidR="00EA40A3" w:rsidRDefault="00E86C16">
            <w:pPr>
              <w:spacing w:before="93" w:line="221" w:lineRule="auto"/>
              <w:ind w:left="180"/>
              <w:rPr>
                <w:rFonts w:ascii="宋体" w:eastAsia="宋体" w:hAnsi="宋体" w:cs="宋体"/>
                <w:sz w:val="16"/>
                <w:szCs w:val="16"/>
              </w:rPr>
            </w:pPr>
            <w:r>
              <w:rPr>
                <w:rFonts w:ascii="宋体" w:eastAsia="宋体" w:hAnsi="宋体" w:cs="宋体"/>
                <w:spacing w:val="-2"/>
                <w:sz w:val="16"/>
                <w:szCs w:val="16"/>
              </w:rPr>
              <w:t>乳母</w:t>
            </w:r>
          </w:p>
        </w:tc>
        <w:tc>
          <w:tcPr>
            <w:tcW w:w="1787" w:type="dxa"/>
          </w:tcPr>
          <w:p w:rsidR="00EA40A3" w:rsidRDefault="00E86C16">
            <w:pPr>
              <w:spacing w:before="123" w:line="195" w:lineRule="auto"/>
              <w:ind w:left="137"/>
              <w:rPr>
                <w:rFonts w:ascii="宋体" w:eastAsia="宋体" w:hAnsi="宋体" w:cs="宋体"/>
                <w:sz w:val="16"/>
                <w:szCs w:val="16"/>
              </w:rPr>
            </w:pPr>
            <w:r>
              <w:rPr>
                <w:rFonts w:ascii="宋体" w:eastAsia="宋体" w:hAnsi="宋体" w:cs="宋体"/>
                <w:spacing w:val="-2"/>
                <w:sz w:val="16"/>
                <w:szCs w:val="16"/>
              </w:rPr>
              <w:t>+0.18</w:t>
            </w:r>
            <w:r>
              <w:rPr>
                <w:rFonts w:ascii="宋体" w:eastAsia="宋体" w:hAnsi="宋体" w:cs="宋体"/>
                <w:spacing w:val="1"/>
                <w:sz w:val="16"/>
                <w:szCs w:val="16"/>
              </w:rPr>
              <w:t xml:space="preserve">        </w:t>
            </w:r>
            <w:r>
              <w:rPr>
                <w:rFonts w:ascii="宋体" w:eastAsia="宋体" w:hAnsi="宋体" w:cs="宋体"/>
                <w:spacing w:val="-2"/>
                <w:sz w:val="16"/>
                <w:szCs w:val="16"/>
              </w:rPr>
              <w:t>+10</w:t>
            </w:r>
          </w:p>
        </w:tc>
        <w:tc>
          <w:tcPr>
            <w:tcW w:w="457" w:type="dxa"/>
          </w:tcPr>
          <w:p w:rsidR="00EA40A3" w:rsidRDefault="00E86C16">
            <w:pPr>
              <w:spacing w:before="143" w:line="183" w:lineRule="auto"/>
              <w:ind w:left="90"/>
              <w:rPr>
                <w:rFonts w:ascii="宋体" w:eastAsia="宋体" w:hAnsi="宋体" w:cs="宋体"/>
                <w:sz w:val="16"/>
                <w:szCs w:val="16"/>
              </w:rPr>
            </w:pPr>
            <w:r>
              <w:rPr>
                <w:rFonts w:ascii="宋体" w:eastAsia="宋体" w:hAnsi="宋体" w:cs="宋体"/>
                <w:spacing w:val="-2"/>
                <w:sz w:val="16"/>
                <w:szCs w:val="16"/>
              </w:rPr>
              <w:t>65</w:t>
            </w:r>
          </w:p>
        </w:tc>
        <w:tc>
          <w:tcPr>
            <w:tcW w:w="594" w:type="dxa"/>
          </w:tcPr>
          <w:p w:rsidR="00EA40A3" w:rsidRDefault="00EA40A3"/>
        </w:tc>
        <w:tc>
          <w:tcPr>
            <w:tcW w:w="615" w:type="dxa"/>
          </w:tcPr>
          <w:p w:rsidR="00EA40A3" w:rsidRDefault="00EA40A3"/>
        </w:tc>
        <w:tc>
          <w:tcPr>
            <w:tcW w:w="1070" w:type="dxa"/>
          </w:tcPr>
          <w:p w:rsidR="00EA40A3" w:rsidRDefault="00E86C16">
            <w:pPr>
              <w:spacing w:before="132" w:line="184" w:lineRule="auto"/>
              <w:ind w:left="474"/>
              <w:rPr>
                <w:rFonts w:ascii="宋体" w:eastAsia="宋体" w:hAnsi="宋体" w:cs="宋体"/>
                <w:sz w:val="16"/>
                <w:szCs w:val="16"/>
              </w:rPr>
            </w:pPr>
            <w:r>
              <w:rPr>
                <w:rFonts w:ascii="宋体" w:eastAsia="宋体" w:hAnsi="宋体" w:cs="宋体"/>
                <w:spacing w:val="-5"/>
                <w:sz w:val="16"/>
                <w:szCs w:val="16"/>
              </w:rPr>
              <w:t>1.3</w:t>
            </w:r>
          </w:p>
        </w:tc>
        <w:tc>
          <w:tcPr>
            <w:tcW w:w="991" w:type="dxa"/>
          </w:tcPr>
          <w:p w:rsidR="00EA40A3" w:rsidRDefault="00E86C16">
            <w:pPr>
              <w:spacing w:before="132" w:line="184" w:lineRule="auto"/>
              <w:ind w:left="304"/>
              <w:rPr>
                <w:rFonts w:ascii="宋体" w:eastAsia="宋体" w:hAnsi="宋体" w:cs="宋体"/>
                <w:sz w:val="16"/>
                <w:szCs w:val="16"/>
              </w:rPr>
            </w:pPr>
            <w:r>
              <w:rPr>
                <w:rFonts w:ascii="宋体" w:eastAsia="宋体" w:hAnsi="宋体" w:cs="宋体"/>
                <w:spacing w:val="-5"/>
                <w:sz w:val="16"/>
                <w:szCs w:val="16"/>
              </w:rPr>
              <w:t>1.4</w:t>
            </w:r>
          </w:p>
        </w:tc>
        <w:tc>
          <w:tcPr>
            <w:tcW w:w="576" w:type="dxa"/>
          </w:tcPr>
          <w:p w:rsidR="00EA40A3" w:rsidRDefault="00E86C16">
            <w:pPr>
              <w:spacing w:before="163" w:line="183" w:lineRule="auto"/>
              <w:ind w:left="203"/>
              <w:rPr>
                <w:rFonts w:ascii="宋体" w:eastAsia="宋体" w:hAnsi="宋体" w:cs="宋体"/>
                <w:sz w:val="16"/>
                <w:szCs w:val="16"/>
              </w:rPr>
            </w:pPr>
            <w:r>
              <w:rPr>
                <w:rFonts w:ascii="宋体" w:eastAsia="宋体" w:hAnsi="宋体" w:cs="宋体"/>
                <w:spacing w:val="-2"/>
                <w:sz w:val="16"/>
                <w:szCs w:val="16"/>
              </w:rPr>
              <w:t>96</w:t>
            </w:r>
          </w:p>
        </w:tc>
        <w:tc>
          <w:tcPr>
            <w:tcW w:w="727" w:type="dxa"/>
          </w:tcPr>
          <w:p w:rsidR="00EA40A3" w:rsidRDefault="00E86C16">
            <w:pPr>
              <w:spacing w:before="163" w:line="183" w:lineRule="auto"/>
              <w:ind w:left="237"/>
              <w:rPr>
                <w:rFonts w:ascii="宋体" w:eastAsia="宋体" w:hAnsi="宋体" w:cs="宋体"/>
                <w:sz w:val="16"/>
                <w:szCs w:val="16"/>
              </w:rPr>
            </w:pPr>
            <w:r>
              <w:rPr>
                <w:rFonts w:ascii="宋体" w:eastAsia="宋体" w:hAnsi="宋体" w:cs="宋体"/>
                <w:spacing w:val="-2"/>
                <w:sz w:val="16"/>
                <w:szCs w:val="16"/>
              </w:rPr>
              <w:t>450</w:t>
            </w:r>
          </w:p>
        </w:tc>
      </w:tr>
      <w:tr w:rsidR="00EA40A3">
        <w:trPr>
          <w:trHeight w:val="265"/>
        </w:trPr>
        <w:tc>
          <w:tcPr>
            <w:tcW w:w="563" w:type="dxa"/>
            <w:tcBorders>
              <w:bottom w:val="single" w:sz="4" w:space="0" w:color="000000"/>
            </w:tcBorders>
          </w:tcPr>
          <w:p w:rsidR="00EA40A3" w:rsidRDefault="00E86C16">
            <w:pPr>
              <w:spacing w:before="128" w:line="157" w:lineRule="auto"/>
              <w:ind w:left="180"/>
              <w:rPr>
                <w:rFonts w:ascii="宋体" w:eastAsia="宋体" w:hAnsi="宋体" w:cs="宋体"/>
                <w:sz w:val="16"/>
                <w:szCs w:val="16"/>
              </w:rPr>
            </w:pPr>
            <w:r>
              <w:rPr>
                <w:rFonts w:ascii="宋体" w:eastAsia="宋体" w:hAnsi="宋体" w:cs="宋体"/>
                <w:spacing w:val="19"/>
                <w:sz w:val="16"/>
                <w:szCs w:val="16"/>
              </w:rPr>
              <w:t>50~</w:t>
            </w:r>
          </w:p>
        </w:tc>
        <w:tc>
          <w:tcPr>
            <w:tcW w:w="1787" w:type="dxa"/>
            <w:tcBorders>
              <w:bottom w:val="single" w:sz="4" w:space="0" w:color="000000"/>
            </w:tcBorders>
          </w:tcPr>
          <w:p w:rsidR="00EA40A3" w:rsidRDefault="00E86C16">
            <w:pPr>
              <w:spacing w:before="109" w:line="180" w:lineRule="auto"/>
              <w:ind w:left="137"/>
              <w:rPr>
                <w:rFonts w:ascii="宋体" w:eastAsia="宋体" w:hAnsi="宋体" w:cs="宋体"/>
                <w:sz w:val="16"/>
                <w:szCs w:val="16"/>
              </w:rPr>
            </w:pPr>
            <w:r>
              <w:rPr>
                <w:rFonts w:ascii="宋体" w:eastAsia="宋体" w:hAnsi="宋体" w:cs="宋体"/>
                <w:spacing w:val="-2"/>
                <w:sz w:val="16"/>
                <w:szCs w:val="16"/>
              </w:rPr>
              <w:t>0.92</w:t>
            </w:r>
          </w:p>
        </w:tc>
        <w:tc>
          <w:tcPr>
            <w:tcW w:w="457" w:type="dxa"/>
            <w:tcBorders>
              <w:bottom w:val="single" w:sz="4" w:space="0" w:color="000000"/>
            </w:tcBorders>
          </w:tcPr>
          <w:p w:rsidR="00EA40A3" w:rsidRDefault="00EA40A3"/>
        </w:tc>
        <w:tc>
          <w:tcPr>
            <w:tcW w:w="594" w:type="dxa"/>
            <w:tcBorders>
              <w:bottom w:val="single" w:sz="4" w:space="0" w:color="000000"/>
            </w:tcBorders>
          </w:tcPr>
          <w:p w:rsidR="00EA40A3" w:rsidRDefault="00EA40A3"/>
        </w:tc>
        <w:tc>
          <w:tcPr>
            <w:tcW w:w="615" w:type="dxa"/>
            <w:tcBorders>
              <w:bottom w:val="single" w:sz="4" w:space="0" w:color="000000"/>
            </w:tcBorders>
          </w:tcPr>
          <w:p w:rsidR="00EA40A3" w:rsidRDefault="00EA40A3"/>
        </w:tc>
        <w:tc>
          <w:tcPr>
            <w:tcW w:w="1070" w:type="dxa"/>
            <w:tcBorders>
              <w:bottom w:val="single" w:sz="4" w:space="0" w:color="000000"/>
            </w:tcBorders>
          </w:tcPr>
          <w:p w:rsidR="00EA40A3" w:rsidRDefault="00EA40A3"/>
        </w:tc>
        <w:tc>
          <w:tcPr>
            <w:tcW w:w="991" w:type="dxa"/>
            <w:tcBorders>
              <w:bottom w:val="single" w:sz="4" w:space="0" w:color="000000"/>
            </w:tcBorders>
          </w:tcPr>
          <w:p w:rsidR="00EA40A3" w:rsidRDefault="00EA40A3"/>
        </w:tc>
        <w:tc>
          <w:tcPr>
            <w:tcW w:w="576" w:type="dxa"/>
            <w:tcBorders>
              <w:bottom w:val="single" w:sz="4" w:space="0" w:color="000000"/>
            </w:tcBorders>
          </w:tcPr>
          <w:p w:rsidR="00EA40A3" w:rsidRDefault="00E86C16">
            <w:pPr>
              <w:spacing w:before="120" w:line="167" w:lineRule="auto"/>
              <w:ind w:left="203"/>
              <w:rPr>
                <w:rFonts w:ascii="宋体" w:eastAsia="宋体" w:hAnsi="宋体" w:cs="宋体"/>
                <w:sz w:val="16"/>
                <w:szCs w:val="16"/>
              </w:rPr>
            </w:pPr>
            <w:r>
              <w:rPr>
                <w:rFonts w:ascii="宋体" w:eastAsia="宋体" w:hAnsi="宋体" w:cs="宋体"/>
                <w:spacing w:val="-3"/>
                <w:sz w:val="16"/>
                <w:szCs w:val="16"/>
              </w:rPr>
              <w:t>75</w:t>
            </w:r>
          </w:p>
        </w:tc>
        <w:tc>
          <w:tcPr>
            <w:tcW w:w="727" w:type="dxa"/>
            <w:tcBorders>
              <w:bottom w:val="single" w:sz="4" w:space="0" w:color="000000"/>
            </w:tcBorders>
          </w:tcPr>
          <w:p w:rsidR="00EA40A3" w:rsidRDefault="00E86C16">
            <w:pPr>
              <w:spacing w:before="118" w:line="169" w:lineRule="auto"/>
              <w:ind w:left="237"/>
              <w:rPr>
                <w:rFonts w:ascii="宋体" w:eastAsia="宋体" w:hAnsi="宋体" w:cs="宋体"/>
                <w:sz w:val="16"/>
                <w:szCs w:val="16"/>
              </w:rPr>
            </w:pPr>
            <w:r>
              <w:rPr>
                <w:rFonts w:ascii="宋体" w:eastAsia="宋体" w:hAnsi="宋体" w:cs="宋体"/>
                <w:spacing w:val="-3"/>
                <w:sz w:val="16"/>
                <w:szCs w:val="16"/>
              </w:rPr>
              <w:t>320</w:t>
            </w:r>
          </w:p>
        </w:tc>
      </w:tr>
    </w:tbl>
    <w:p w:rsidR="00EA40A3" w:rsidRDefault="00E86C16">
      <w:pPr>
        <w:spacing w:before="126" w:line="245" w:lineRule="auto"/>
        <w:ind w:left="896" w:right="496" w:hanging="339"/>
        <w:rPr>
          <w:rFonts w:ascii="宋体" w:eastAsia="宋体" w:hAnsi="宋体" w:cs="宋体"/>
          <w:sz w:val="16"/>
          <w:szCs w:val="16"/>
        </w:rPr>
      </w:pPr>
      <w:r>
        <w:rPr>
          <w:rFonts w:ascii="宋体" w:eastAsia="宋体" w:hAnsi="宋体" w:cs="宋体"/>
          <w:sz w:val="16"/>
          <w:szCs w:val="16"/>
        </w:rPr>
        <w:t>注：*0～2.9岁南方地区为8.88μg,北方地区为13.8μg;#RE为视黄醇当量；凡</w:t>
      </w:r>
      <w:r>
        <w:rPr>
          <w:rFonts w:ascii="宋体" w:eastAsia="宋体" w:hAnsi="宋体" w:cs="宋体"/>
          <w:spacing w:val="-1"/>
          <w:sz w:val="16"/>
          <w:szCs w:val="16"/>
        </w:rPr>
        <w:t>表中数字缺如之</w:t>
      </w:r>
      <w:r>
        <w:rPr>
          <w:rFonts w:ascii="宋体" w:eastAsia="宋体" w:hAnsi="宋体" w:cs="宋体"/>
          <w:sz w:val="16"/>
          <w:szCs w:val="16"/>
        </w:rPr>
        <w:t xml:space="preserve"> </w:t>
      </w:r>
      <w:r>
        <w:rPr>
          <w:rFonts w:ascii="宋体" w:eastAsia="宋体" w:hAnsi="宋体" w:cs="宋体"/>
          <w:spacing w:val="-3"/>
          <w:sz w:val="16"/>
          <w:szCs w:val="16"/>
        </w:rPr>
        <w:t>处表示未制定该参考值。</w:t>
      </w:r>
    </w:p>
    <w:p w:rsidR="00EA40A3" w:rsidRDefault="00EA40A3">
      <w:pPr>
        <w:sectPr w:rsidR="00EA40A3">
          <w:type w:val="continuous"/>
          <w:pgSz w:w="9220" w:h="13360"/>
          <w:pgMar w:top="1185" w:right="939" w:bottom="1227" w:left="672" w:header="1022" w:footer="1019" w:gutter="0"/>
          <w:cols w:space="720" w:equalWidth="0">
            <w:col w:w="7608"/>
          </w:cols>
        </w:sectPr>
      </w:pPr>
    </w:p>
    <w:p w:rsidR="00EA40A3" w:rsidRDefault="00EA40A3">
      <w:pPr>
        <w:spacing w:line="263" w:lineRule="auto"/>
      </w:pPr>
    </w:p>
    <w:p w:rsidR="00EA40A3" w:rsidRDefault="00EA40A3">
      <w:pPr>
        <w:spacing w:line="263" w:lineRule="auto"/>
      </w:pPr>
    </w:p>
    <w:p w:rsidR="00EA40A3" w:rsidRDefault="00EA40A3">
      <w:pPr>
        <w:spacing w:line="263" w:lineRule="auto"/>
      </w:pPr>
    </w:p>
    <w:p w:rsidR="00EA40A3" w:rsidRDefault="00EA40A3">
      <w:pPr>
        <w:spacing w:line="264" w:lineRule="auto"/>
      </w:pPr>
    </w:p>
    <w:p w:rsidR="00EA40A3" w:rsidRDefault="00EA40A3">
      <w:pPr>
        <w:spacing w:line="264" w:lineRule="auto"/>
      </w:pPr>
    </w:p>
    <w:p w:rsidR="00EA40A3" w:rsidRDefault="00E86C16">
      <w:pPr>
        <w:spacing w:before="101" w:line="219" w:lineRule="auto"/>
        <w:ind w:left="1554"/>
        <w:rPr>
          <w:rFonts w:ascii="宋体" w:eastAsia="宋体" w:hAnsi="宋体" w:cs="宋体"/>
          <w:sz w:val="31"/>
          <w:szCs w:val="31"/>
        </w:rPr>
      </w:pPr>
      <w:r>
        <w:rPr>
          <w:rFonts w:ascii="宋体" w:eastAsia="宋体" w:hAnsi="宋体" w:cs="宋体"/>
          <w:b/>
          <w:bCs/>
          <w:spacing w:val="2"/>
          <w:sz w:val="31"/>
          <w:szCs w:val="31"/>
        </w:rPr>
        <w:t>附录2</w:t>
      </w:r>
      <w:r>
        <w:rPr>
          <w:rFonts w:ascii="宋体" w:eastAsia="宋体" w:hAnsi="宋体" w:cs="宋体"/>
          <w:spacing w:val="146"/>
          <w:sz w:val="31"/>
          <w:szCs w:val="31"/>
        </w:rPr>
        <w:t xml:space="preserve"> </w:t>
      </w:r>
      <w:r>
        <w:rPr>
          <w:rFonts w:ascii="宋体" w:eastAsia="宋体" w:hAnsi="宋体" w:cs="宋体"/>
          <w:b/>
          <w:bCs/>
          <w:spacing w:val="2"/>
          <w:sz w:val="31"/>
          <w:szCs w:val="31"/>
        </w:rPr>
        <w:t>各种活动的能量消耗率</w:t>
      </w:r>
    </w:p>
    <w:p w:rsidR="00EA40A3" w:rsidRDefault="00EA40A3"/>
    <w:p w:rsidR="00EA40A3" w:rsidRDefault="00EA40A3">
      <w:pPr>
        <w:spacing w:line="69" w:lineRule="exact"/>
      </w:pPr>
    </w:p>
    <w:tbl>
      <w:tblPr>
        <w:tblStyle w:val="TableNormal"/>
        <w:tblW w:w="728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08"/>
        <w:gridCol w:w="1832"/>
        <w:gridCol w:w="1985"/>
        <w:gridCol w:w="1755"/>
      </w:tblGrid>
      <w:tr w:rsidR="00EA40A3">
        <w:trPr>
          <w:trHeight w:val="315"/>
        </w:trPr>
        <w:tc>
          <w:tcPr>
            <w:tcW w:w="1708" w:type="dxa"/>
            <w:tcBorders>
              <w:top w:val="single" w:sz="4" w:space="0" w:color="000000"/>
              <w:bottom w:val="single" w:sz="4" w:space="0" w:color="000000"/>
            </w:tcBorders>
          </w:tcPr>
          <w:p w:rsidR="00EA40A3" w:rsidRDefault="00E86C16">
            <w:pPr>
              <w:spacing w:before="92" w:line="220" w:lineRule="auto"/>
              <w:ind w:left="569"/>
              <w:rPr>
                <w:rFonts w:ascii="宋体" w:eastAsia="宋体" w:hAnsi="宋体" w:cs="宋体"/>
                <w:sz w:val="16"/>
                <w:szCs w:val="16"/>
              </w:rPr>
            </w:pPr>
            <w:r>
              <w:rPr>
                <w:rFonts w:ascii="宋体" w:eastAsia="宋体" w:hAnsi="宋体" w:cs="宋体"/>
                <w:spacing w:val="-2"/>
                <w:sz w:val="16"/>
                <w:szCs w:val="16"/>
              </w:rPr>
              <w:t>动作名称</w:t>
            </w:r>
          </w:p>
        </w:tc>
        <w:tc>
          <w:tcPr>
            <w:tcW w:w="1832" w:type="dxa"/>
            <w:tcBorders>
              <w:top w:val="single" w:sz="4" w:space="0" w:color="000000"/>
              <w:bottom w:val="single" w:sz="4" w:space="0" w:color="000000"/>
              <w:right w:val="single" w:sz="4" w:space="0" w:color="000000"/>
            </w:tcBorders>
          </w:tcPr>
          <w:p w:rsidR="00EA40A3" w:rsidRDefault="00E86C16">
            <w:pPr>
              <w:spacing w:before="79" w:line="212" w:lineRule="auto"/>
              <w:ind w:left="361"/>
              <w:rPr>
                <w:rFonts w:ascii="宋体" w:eastAsia="宋体" w:hAnsi="宋体" w:cs="宋体"/>
                <w:sz w:val="16"/>
                <w:szCs w:val="16"/>
              </w:rPr>
            </w:pPr>
            <w:r>
              <w:rPr>
                <w:rFonts w:ascii="宋体" w:eastAsia="宋体" w:hAnsi="宋体" w:cs="宋体"/>
                <w:spacing w:val="-6"/>
                <w:sz w:val="16"/>
                <w:szCs w:val="16"/>
              </w:rPr>
              <w:t>k</w:t>
            </w:r>
            <w:r>
              <w:rPr>
                <w:rFonts w:ascii="Calibri" w:eastAsia="Calibri" w:hAnsi="Calibri" w:cs="Calibri"/>
                <w:spacing w:val="-6"/>
                <w:sz w:val="16"/>
                <w:szCs w:val="16"/>
              </w:rPr>
              <w:t>ʃ</w:t>
            </w:r>
            <w:r>
              <w:rPr>
                <w:rFonts w:ascii="Calibri" w:eastAsia="Calibri" w:hAnsi="Calibri" w:cs="Calibri"/>
                <w:spacing w:val="-2"/>
                <w:sz w:val="16"/>
                <w:szCs w:val="16"/>
              </w:rPr>
              <w:t xml:space="preserve"> </w:t>
            </w:r>
            <w:r>
              <w:rPr>
                <w:rFonts w:ascii="宋体" w:eastAsia="宋体" w:hAnsi="宋体" w:cs="宋体"/>
                <w:spacing w:val="-6"/>
                <w:sz w:val="16"/>
                <w:szCs w:val="16"/>
              </w:rPr>
              <w:t>(kcal)/(m²</w:t>
            </w:r>
            <w:r>
              <w:rPr>
                <w:rFonts w:ascii="宋体" w:eastAsia="宋体" w:hAnsi="宋体" w:cs="宋体"/>
                <w:spacing w:val="-19"/>
                <w:sz w:val="16"/>
                <w:szCs w:val="16"/>
              </w:rPr>
              <w:t xml:space="preserve"> </w:t>
            </w:r>
            <w:r>
              <w:rPr>
                <w:rFonts w:ascii="宋体" w:eastAsia="宋体" w:hAnsi="宋体" w:cs="宋体"/>
                <w:spacing w:val="-6"/>
                <w:sz w:val="16"/>
                <w:szCs w:val="16"/>
              </w:rPr>
              <w:t>·min)</w:t>
            </w:r>
          </w:p>
        </w:tc>
        <w:tc>
          <w:tcPr>
            <w:tcW w:w="1985" w:type="dxa"/>
            <w:tcBorders>
              <w:top w:val="single" w:sz="4" w:space="0" w:color="000000"/>
              <w:left w:val="single" w:sz="4" w:space="0" w:color="000000"/>
              <w:bottom w:val="single" w:sz="4" w:space="0" w:color="000000"/>
            </w:tcBorders>
          </w:tcPr>
          <w:p w:rsidR="00EA40A3" w:rsidRDefault="00E86C16">
            <w:pPr>
              <w:spacing w:before="102" w:line="220" w:lineRule="auto"/>
              <w:ind w:left="574"/>
              <w:rPr>
                <w:rFonts w:ascii="宋体" w:eastAsia="宋体" w:hAnsi="宋体" w:cs="宋体"/>
                <w:sz w:val="16"/>
                <w:szCs w:val="16"/>
              </w:rPr>
            </w:pPr>
            <w:r>
              <w:rPr>
                <w:rFonts w:ascii="宋体" w:eastAsia="宋体" w:hAnsi="宋体" w:cs="宋体"/>
                <w:spacing w:val="-2"/>
                <w:sz w:val="16"/>
                <w:szCs w:val="16"/>
              </w:rPr>
              <w:t>动作名称</w:t>
            </w:r>
          </w:p>
        </w:tc>
        <w:tc>
          <w:tcPr>
            <w:tcW w:w="1755" w:type="dxa"/>
            <w:tcBorders>
              <w:top w:val="single" w:sz="4" w:space="0" w:color="000000"/>
              <w:bottom w:val="single" w:sz="4" w:space="0" w:color="000000"/>
            </w:tcBorders>
          </w:tcPr>
          <w:p w:rsidR="00EA40A3" w:rsidRDefault="00E86C16">
            <w:pPr>
              <w:spacing w:before="100" w:line="218" w:lineRule="auto"/>
              <w:ind w:left="185"/>
              <w:rPr>
                <w:rFonts w:ascii="宋体" w:eastAsia="宋体" w:hAnsi="宋体" w:cs="宋体"/>
                <w:sz w:val="16"/>
                <w:szCs w:val="16"/>
              </w:rPr>
            </w:pPr>
            <w:r>
              <w:rPr>
                <w:rFonts w:ascii="宋体" w:eastAsia="宋体" w:hAnsi="宋体" w:cs="宋体"/>
                <w:spacing w:val="-4"/>
                <w:sz w:val="16"/>
                <w:szCs w:val="16"/>
              </w:rPr>
              <w:t>kJ(kcal)/(m²</w:t>
            </w:r>
            <w:r>
              <w:rPr>
                <w:rFonts w:ascii="宋体" w:eastAsia="宋体" w:hAnsi="宋体" w:cs="宋体"/>
                <w:spacing w:val="-18"/>
                <w:sz w:val="16"/>
                <w:szCs w:val="16"/>
              </w:rPr>
              <w:t xml:space="preserve"> </w:t>
            </w:r>
            <w:r>
              <w:rPr>
                <w:rFonts w:ascii="宋体" w:eastAsia="宋体" w:hAnsi="宋体" w:cs="宋体"/>
                <w:spacing w:val="-4"/>
                <w:sz w:val="16"/>
                <w:szCs w:val="16"/>
              </w:rPr>
              <w:t>·min)</w:t>
            </w:r>
          </w:p>
        </w:tc>
      </w:tr>
      <w:tr w:rsidR="00EA40A3">
        <w:trPr>
          <w:trHeight w:val="327"/>
        </w:trPr>
        <w:tc>
          <w:tcPr>
            <w:tcW w:w="1708" w:type="dxa"/>
            <w:tcBorders>
              <w:top w:val="single" w:sz="4" w:space="0" w:color="000000"/>
            </w:tcBorders>
          </w:tcPr>
          <w:p w:rsidR="00EA40A3" w:rsidRDefault="00E86C16">
            <w:pPr>
              <w:spacing w:before="87" w:line="220" w:lineRule="auto"/>
              <w:ind w:left="80"/>
              <w:rPr>
                <w:rFonts w:ascii="宋体" w:eastAsia="宋体" w:hAnsi="宋体" w:cs="宋体"/>
                <w:sz w:val="16"/>
                <w:szCs w:val="16"/>
              </w:rPr>
            </w:pPr>
            <w:r>
              <w:rPr>
                <w:rFonts w:ascii="宋体" w:eastAsia="宋体" w:hAnsi="宋体" w:cs="宋体"/>
                <w:spacing w:val="1"/>
                <w:sz w:val="16"/>
                <w:szCs w:val="16"/>
              </w:rPr>
              <w:t>日常生活</w:t>
            </w:r>
          </w:p>
        </w:tc>
        <w:tc>
          <w:tcPr>
            <w:tcW w:w="1832" w:type="dxa"/>
            <w:tcBorders>
              <w:top w:val="single" w:sz="4" w:space="0" w:color="000000"/>
              <w:right w:val="single" w:sz="4" w:space="0" w:color="000000"/>
            </w:tcBorders>
          </w:tcPr>
          <w:p w:rsidR="00EA40A3" w:rsidRDefault="00EA40A3"/>
        </w:tc>
        <w:tc>
          <w:tcPr>
            <w:tcW w:w="1985" w:type="dxa"/>
            <w:tcBorders>
              <w:top w:val="single" w:sz="4" w:space="0" w:color="000000"/>
              <w:left w:val="single" w:sz="4" w:space="0" w:color="000000"/>
            </w:tcBorders>
          </w:tcPr>
          <w:p w:rsidR="00EA40A3" w:rsidRDefault="00E86C16">
            <w:pPr>
              <w:spacing w:before="96" w:line="219" w:lineRule="auto"/>
              <w:ind w:left="85"/>
              <w:rPr>
                <w:rFonts w:ascii="宋体" w:eastAsia="宋体" w:hAnsi="宋体" w:cs="宋体"/>
                <w:sz w:val="16"/>
                <w:szCs w:val="16"/>
              </w:rPr>
            </w:pPr>
            <w:r>
              <w:rPr>
                <w:rFonts w:ascii="宋体" w:eastAsia="宋体" w:hAnsi="宋体" w:cs="宋体"/>
                <w:spacing w:val="-3"/>
                <w:sz w:val="16"/>
                <w:szCs w:val="16"/>
              </w:rPr>
              <w:t>洒水</w:t>
            </w:r>
          </w:p>
        </w:tc>
        <w:tc>
          <w:tcPr>
            <w:tcW w:w="1755" w:type="dxa"/>
            <w:tcBorders>
              <w:top w:val="single" w:sz="4" w:space="0" w:color="000000"/>
            </w:tcBorders>
          </w:tcPr>
          <w:p w:rsidR="00EA40A3" w:rsidRDefault="00E86C16">
            <w:pPr>
              <w:spacing w:before="89" w:line="222" w:lineRule="auto"/>
              <w:ind w:left="165"/>
              <w:rPr>
                <w:rFonts w:ascii="宋体" w:eastAsia="宋体" w:hAnsi="宋体" w:cs="宋体"/>
                <w:sz w:val="16"/>
                <w:szCs w:val="16"/>
              </w:rPr>
            </w:pPr>
            <w:r>
              <w:rPr>
                <w:rFonts w:ascii="宋体" w:eastAsia="宋体" w:hAnsi="宋体" w:cs="宋体"/>
                <w:spacing w:val="-1"/>
                <w:sz w:val="16"/>
                <w:szCs w:val="16"/>
              </w:rPr>
              <w:t>0.445(1.863)</w:t>
            </w:r>
          </w:p>
        </w:tc>
      </w:tr>
      <w:tr w:rsidR="00EA40A3">
        <w:trPr>
          <w:trHeight w:val="308"/>
        </w:trPr>
        <w:tc>
          <w:tcPr>
            <w:tcW w:w="1708" w:type="dxa"/>
          </w:tcPr>
          <w:p w:rsidR="00EA40A3" w:rsidRDefault="00E86C16">
            <w:pPr>
              <w:spacing w:before="82" w:line="222" w:lineRule="auto"/>
              <w:ind w:left="80"/>
              <w:rPr>
                <w:rFonts w:ascii="宋体" w:eastAsia="宋体" w:hAnsi="宋体" w:cs="宋体"/>
                <w:sz w:val="16"/>
                <w:szCs w:val="16"/>
              </w:rPr>
            </w:pPr>
            <w:r>
              <w:rPr>
                <w:rFonts w:ascii="宋体" w:eastAsia="宋体" w:hAnsi="宋体" w:cs="宋体"/>
                <w:spacing w:val="-4"/>
                <w:sz w:val="16"/>
                <w:szCs w:val="16"/>
              </w:rPr>
              <w:t>睡眠</w:t>
            </w:r>
          </w:p>
        </w:tc>
        <w:tc>
          <w:tcPr>
            <w:tcW w:w="1832" w:type="dxa"/>
            <w:tcBorders>
              <w:right w:val="single" w:sz="4" w:space="0" w:color="000000"/>
            </w:tcBorders>
          </w:tcPr>
          <w:p w:rsidR="00EA40A3" w:rsidRDefault="00E86C16">
            <w:pPr>
              <w:spacing w:before="72" w:line="222" w:lineRule="auto"/>
              <w:ind w:left="431"/>
              <w:rPr>
                <w:rFonts w:ascii="宋体" w:eastAsia="宋体" w:hAnsi="宋体" w:cs="宋体"/>
                <w:sz w:val="16"/>
                <w:szCs w:val="16"/>
              </w:rPr>
            </w:pPr>
            <w:r>
              <w:rPr>
                <w:rFonts w:ascii="宋体" w:eastAsia="宋体" w:hAnsi="宋体" w:cs="宋体"/>
                <w:spacing w:val="-1"/>
                <w:sz w:val="16"/>
                <w:szCs w:val="16"/>
              </w:rPr>
              <w:t>0.136(0.569)</w:t>
            </w:r>
          </w:p>
        </w:tc>
        <w:tc>
          <w:tcPr>
            <w:tcW w:w="1985" w:type="dxa"/>
            <w:tcBorders>
              <w:left w:val="single" w:sz="4" w:space="0" w:color="000000"/>
            </w:tcBorders>
          </w:tcPr>
          <w:p w:rsidR="00EA40A3" w:rsidRDefault="00E86C16">
            <w:pPr>
              <w:spacing w:before="79" w:line="219" w:lineRule="auto"/>
              <w:ind w:left="85"/>
              <w:rPr>
                <w:rFonts w:ascii="宋体" w:eastAsia="宋体" w:hAnsi="宋体" w:cs="宋体"/>
                <w:sz w:val="16"/>
                <w:szCs w:val="16"/>
              </w:rPr>
            </w:pPr>
            <w:r>
              <w:rPr>
                <w:rFonts w:ascii="宋体" w:eastAsia="宋体" w:hAnsi="宋体" w:cs="宋体"/>
                <w:spacing w:val="-2"/>
                <w:sz w:val="16"/>
                <w:szCs w:val="16"/>
              </w:rPr>
              <w:t>提水</w:t>
            </w:r>
          </w:p>
        </w:tc>
        <w:tc>
          <w:tcPr>
            <w:tcW w:w="1755" w:type="dxa"/>
          </w:tcPr>
          <w:p w:rsidR="00EA40A3" w:rsidRDefault="00E86C16">
            <w:pPr>
              <w:spacing w:before="92" w:line="222" w:lineRule="auto"/>
              <w:ind w:left="165"/>
              <w:rPr>
                <w:rFonts w:ascii="宋体" w:eastAsia="宋体" w:hAnsi="宋体" w:cs="宋体"/>
                <w:sz w:val="16"/>
                <w:szCs w:val="16"/>
              </w:rPr>
            </w:pPr>
            <w:r>
              <w:rPr>
                <w:rFonts w:ascii="宋体" w:eastAsia="宋体" w:hAnsi="宋体" w:cs="宋体"/>
                <w:spacing w:val="-1"/>
                <w:sz w:val="16"/>
                <w:szCs w:val="16"/>
              </w:rPr>
              <w:t>0.881(3.688)</w:t>
            </w:r>
          </w:p>
        </w:tc>
      </w:tr>
      <w:tr w:rsidR="00EA40A3">
        <w:trPr>
          <w:trHeight w:val="311"/>
        </w:trPr>
        <w:tc>
          <w:tcPr>
            <w:tcW w:w="1708" w:type="dxa"/>
          </w:tcPr>
          <w:p w:rsidR="00EA40A3" w:rsidRDefault="00E86C16">
            <w:pPr>
              <w:spacing w:before="80" w:line="219" w:lineRule="auto"/>
              <w:ind w:left="80"/>
              <w:rPr>
                <w:rFonts w:ascii="宋体" w:eastAsia="宋体" w:hAnsi="宋体" w:cs="宋体"/>
                <w:sz w:val="16"/>
                <w:szCs w:val="16"/>
              </w:rPr>
            </w:pPr>
            <w:r>
              <w:rPr>
                <w:rFonts w:ascii="宋体" w:eastAsia="宋体" w:hAnsi="宋体" w:cs="宋体"/>
                <w:spacing w:val="-1"/>
                <w:sz w:val="16"/>
                <w:szCs w:val="16"/>
              </w:rPr>
              <w:t>整理内务、擦地板</w:t>
            </w:r>
          </w:p>
        </w:tc>
        <w:tc>
          <w:tcPr>
            <w:tcW w:w="1832" w:type="dxa"/>
            <w:tcBorders>
              <w:right w:val="single" w:sz="4" w:space="0" w:color="000000"/>
            </w:tcBorders>
          </w:tcPr>
          <w:p w:rsidR="00EA40A3" w:rsidRDefault="00E86C16">
            <w:pPr>
              <w:spacing w:before="74" w:line="222" w:lineRule="auto"/>
              <w:ind w:left="422"/>
              <w:rPr>
                <w:rFonts w:ascii="宋体" w:eastAsia="宋体" w:hAnsi="宋体" w:cs="宋体"/>
                <w:sz w:val="16"/>
                <w:szCs w:val="16"/>
              </w:rPr>
            </w:pPr>
            <w:r>
              <w:rPr>
                <w:rFonts w:ascii="宋体" w:eastAsia="宋体" w:hAnsi="宋体" w:cs="宋体"/>
                <w:spacing w:val="-1"/>
                <w:sz w:val="16"/>
                <w:szCs w:val="16"/>
              </w:rPr>
              <w:t>0.500(2.094)</w:t>
            </w:r>
          </w:p>
        </w:tc>
        <w:tc>
          <w:tcPr>
            <w:tcW w:w="1985" w:type="dxa"/>
            <w:tcBorders>
              <w:left w:val="single" w:sz="4" w:space="0" w:color="000000"/>
            </w:tcBorders>
          </w:tcPr>
          <w:p w:rsidR="00EA40A3" w:rsidRDefault="00E86C16">
            <w:pPr>
              <w:spacing w:before="62" w:line="220" w:lineRule="auto"/>
              <w:ind w:left="85"/>
              <w:rPr>
                <w:rFonts w:ascii="宋体" w:eastAsia="宋体" w:hAnsi="宋体" w:cs="宋体"/>
                <w:sz w:val="16"/>
                <w:szCs w:val="16"/>
              </w:rPr>
            </w:pPr>
            <w:r>
              <w:rPr>
                <w:rFonts w:ascii="宋体" w:eastAsia="宋体" w:hAnsi="宋体" w:cs="宋体"/>
                <w:spacing w:val="-1"/>
                <w:sz w:val="16"/>
                <w:szCs w:val="16"/>
              </w:rPr>
              <w:t>搬搬运器具</w:t>
            </w:r>
          </w:p>
        </w:tc>
        <w:tc>
          <w:tcPr>
            <w:tcW w:w="1755" w:type="dxa"/>
          </w:tcPr>
          <w:p w:rsidR="00EA40A3" w:rsidRDefault="00E86C16">
            <w:pPr>
              <w:spacing w:before="84" w:line="222" w:lineRule="auto"/>
              <w:ind w:left="165"/>
              <w:rPr>
                <w:rFonts w:ascii="宋体" w:eastAsia="宋体" w:hAnsi="宋体" w:cs="宋体"/>
                <w:sz w:val="16"/>
                <w:szCs w:val="16"/>
              </w:rPr>
            </w:pPr>
            <w:r>
              <w:rPr>
                <w:rFonts w:ascii="宋体" w:eastAsia="宋体" w:hAnsi="宋体" w:cs="宋体"/>
                <w:spacing w:val="-1"/>
                <w:sz w:val="16"/>
                <w:szCs w:val="16"/>
              </w:rPr>
              <w:t>0.757(3.169)</w:t>
            </w:r>
          </w:p>
        </w:tc>
      </w:tr>
      <w:tr w:rsidR="00EA40A3">
        <w:trPr>
          <w:trHeight w:val="315"/>
        </w:trPr>
        <w:tc>
          <w:tcPr>
            <w:tcW w:w="1708" w:type="dxa"/>
          </w:tcPr>
          <w:p w:rsidR="00EA40A3" w:rsidRDefault="00E86C16">
            <w:pPr>
              <w:spacing w:before="80" w:line="219" w:lineRule="auto"/>
              <w:ind w:left="80"/>
              <w:rPr>
                <w:rFonts w:ascii="宋体" w:eastAsia="宋体" w:hAnsi="宋体" w:cs="宋体"/>
                <w:sz w:val="16"/>
                <w:szCs w:val="16"/>
              </w:rPr>
            </w:pPr>
            <w:r>
              <w:rPr>
                <w:rFonts w:ascii="宋体" w:eastAsia="宋体" w:hAnsi="宋体" w:cs="宋体"/>
                <w:spacing w:val="4"/>
                <w:sz w:val="16"/>
                <w:szCs w:val="16"/>
              </w:rPr>
              <w:t>铺被(准备睡觉)</w:t>
            </w:r>
          </w:p>
        </w:tc>
        <w:tc>
          <w:tcPr>
            <w:tcW w:w="1832" w:type="dxa"/>
            <w:tcBorders>
              <w:right w:val="single" w:sz="4" w:space="0" w:color="000000"/>
            </w:tcBorders>
          </w:tcPr>
          <w:p w:rsidR="00EA40A3" w:rsidRDefault="00E86C16">
            <w:pPr>
              <w:spacing w:before="73" w:line="222" w:lineRule="auto"/>
              <w:ind w:left="422"/>
              <w:rPr>
                <w:rFonts w:ascii="宋体" w:eastAsia="宋体" w:hAnsi="宋体" w:cs="宋体"/>
                <w:sz w:val="16"/>
                <w:szCs w:val="16"/>
              </w:rPr>
            </w:pPr>
            <w:r>
              <w:rPr>
                <w:rFonts w:ascii="宋体" w:eastAsia="宋体" w:hAnsi="宋体" w:cs="宋体"/>
                <w:spacing w:val="-1"/>
                <w:sz w:val="16"/>
                <w:szCs w:val="16"/>
              </w:rPr>
              <w:t>0.441(1.844)</w:t>
            </w:r>
          </w:p>
        </w:tc>
        <w:tc>
          <w:tcPr>
            <w:tcW w:w="1985" w:type="dxa"/>
            <w:tcBorders>
              <w:left w:val="single" w:sz="4" w:space="0" w:color="000000"/>
            </w:tcBorders>
          </w:tcPr>
          <w:p w:rsidR="00EA40A3" w:rsidRDefault="00E86C16">
            <w:pPr>
              <w:spacing w:before="91" w:line="220" w:lineRule="auto"/>
              <w:ind w:left="85"/>
              <w:rPr>
                <w:rFonts w:ascii="宋体" w:eastAsia="宋体" w:hAnsi="宋体" w:cs="宋体"/>
                <w:sz w:val="16"/>
                <w:szCs w:val="16"/>
              </w:rPr>
            </w:pPr>
            <w:r>
              <w:rPr>
                <w:rFonts w:ascii="宋体" w:eastAsia="宋体" w:hAnsi="宋体" w:cs="宋体"/>
                <w:spacing w:val="4"/>
                <w:sz w:val="16"/>
                <w:szCs w:val="16"/>
              </w:rPr>
              <w:t>站岗放哨</w:t>
            </w:r>
          </w:p>
        </w:tc>
        <w:tc>
          <w:tcPr>
            <w:tcW w:w="1755" w:type="dxa"/>
          </w:tcPr>
          <w:p w:rsidR="00EA40A3" w:rsidRDefault="00E86C16">
            <w:pPr>
              <w:spacing w:before="93" w:line="222" w:lineRule="auto"/>
              <w:ind w:left="154"/>
              <w:rPr>
                <w:rFonts w:ascii="宋体" w:eastAsia="宋体" w:hAnsi="宋体" w:cs="宋体"/>
                <w:sz w:val="16"/>
                <w:szCs w:val="16"/>
              </w:rPr>
            </w:pPr>
            <w:r>
              <w:rPr>
                <w:rFonts w:ascii="宋体" w:eastAsia="宋体" w:hAnsi="宋体" w:cs="宋体"/>
                <w:spacing w:val="-1"/>
                <w:sz w:val="16"/>
                <w:szCs w:val="16"/>
              </w:rPr>
              <w:t>0.299(1.250)</w:t>
            </w:r>
          </w:p>
        </w:tc>
      </w:tr>
      <w:tr w:rsidR="00EA40A3">
        <w:trPr>
          <w:trHeight w:val="305"/>
        </w:trPr>
        <w:tc>
          <w:tcPr>
            <w:tcW w:w="1708" w:type="dxa"/>
          </w:tcPr>
          <w:p w:rsidR="00EA40A3" w:rsidRDefault="00E86C16">
            <w:pPr>
              <w:spacing w:before="76" w:line="221" w:lineRule="auto"/>
              <w:ind w:left="80"/>
              <w:rPr>
                <w:rFonts w:ascii="宋体" w:eastAsia="宋体" w:hAnsi="宋体" w:cs="宋体"/>
                <w:sz w:val="16"/>
                <w:szCs w:val="16"/>
              </w:rPr>
            </w:pPr>
            <w:r>
              <w:rPr>
                <w:rFonts w:ascii="宋体" w:eastAsia="宋体" w:hAnsi="宋体" w:cs="宋体"/>
                <w:spacing w:val="1"/>
                <w:sz w:val="16"/>
                <w:szCs w:val="16"/>
              </w:rPr>
              <w:t>穿脱衣服</w:t>
            </w:r>
          </w:p>
        </w:tc>
        <w:tc>
          <w:tcPr>
            <w:tcW w:w="1832" w:type="dxa"/>
            <w:tcBorders>
              <w:right w:val="single" w:sz="4" w:space="0" w:color="000000"/>
            </w:tcBorders>
          </w:tcPr>
          <w:p w:rsidR="00EA40A3" w:rsidRDefault="00E86C16">
            <w:pPr>
              <w:spacing w:before="68" w:line="222" w:lineRule="auto"/>
              <w:ind w:left="422"/>
              <w:rPr>
                <w:rFonts w:ascii="宋体" w:eastAsia="宋体" w:hAnsi="宋体" w:cs="宋体"/>
                <w:sz w:val="16"/>
                <w:szCs w:val="16"/>
              </w:rPr>
            </w:pPr>
            <w:r>
              <w:rPr>
                <w:rFonts w:ascii="宋体" w:eastAsia="宋体" w:hAnsi="宋体" w:cs="宋体"/>
                <w:spacing w:val="-1"/>
                <w:sz w:val="16"/>
                <w:szCs w:val="16"/>
              </w:rPr>
              <w:t>0.393(1.644)</w:t>
            </w:r>
          </w:p>
        </w:tc>
        <w:tc>
          <w:tcPr>
            <w:tcW w:w="1985" w:type="dxa"/>
            <w:tcBorders>
              <w:left w:val="single" w:sz="4" w:space="0" w:color="000000"/>
            </w:tcBorders>
          </w:tcPr>
          <w:p w:rsidR="00EA40A3" w:rsidRDefault="00E86C16">
            <w:pPr>
              <w:spacing w:before="75" w:line="219" w:lineRule="auto"/>
              <w:ind w:left="85"/>
              <w:rPr>
                <w:rFonts w:ascii="宋体" w:eastAsia="宋体" w:hAnsi="宋体" w:cs="宋体"/>
                <w:sz w:val="16"/>
                <w:szCs w:val="16"/>
              </w:rPr>
            </w:pPr>
            <w:r>
              <w:rPr>
                <w:rFonts w:ascii="宋体" w:eastAsia="宋体" w:hAnsi="宋体" w:cs="宋体"/>
                <w:spacing w:val="-2"/>
                <w:sz w:val="16"/>
                <w:szCs w:val="16"/>
              </w:rPr>
              <w:t>坐着吃东西</w:t>
            </w:r>
          </w:p>
        </w:tc>
        <w:tc>
          <w:tcPr>
            <w:tcW w:w="1755" w:type="dxa"/>
          </w:tcPr>
          <w:p w:rsidR="00EA40A3" w:rsidRDefault="00E86C16">
            <w:pPr>
              <w:spacing w:before="78" w:line="222" w:lineRule="auto"/>
              <w:ind w:left="154"/>
              <w:rPr>
                <w:rFonts w:ascii="宋体" w:eastAsia="宋体" w:hAnsi="宋体" w:cs="宋体"/>
                <w:sz w:val="16"/>
                <w:szCs w:val="16"/>
              </w:rPr>
            </w:pPr>
            <w:r>
              <w:rPr>
                <w:rFonts w:ascii="宋体" w:eastAsia="宋体" w:hAnsi="宋体" w:cs="宋体"/>
                <w:spacing w:val="-1"/>
                <w:sz w:val="16"/>
                <w:szCs w:val="16"/>
              </w:rPr>
              <w:t>0.202(0.844)</w:t>
            </w:r>
          </w:p>
        </w:tc>
      </w:tr>
      <w:tr w:rsidR="00EA40A3">
        <w:trPr>
          <w:trHeight w:val="315"/>
        </w:trPr>
        <w:tc>
          <w:tcPr>
            <w:tcW w:w="1708" w:type="dxa"/>
          </w:tcPr>
          <w:p w:rsidR="00EA40A3" w:rsidRDefault="00E86C16">
            <w:pPr>
              <w:spacing w:before="80" w:line="219" w:lineRule="auto"/>
              <w:ind w:left="80"/>
              <w:rPr>
                <w:rFonts w:ascii="宋体" w:eastAsia="宋体" w:hAnsi="宋体" w:cs="宋体"/>
                <w:sz w:val="16"/>
                <w:szCs w:val="16"/>
              </w:rPr>
            </w:pPr>
            <w:r>
              <w:rPr>
                <w:rFonts w:ascii="宋体" w:eastAsia="宋体" w:hAnsi="宋体" w:cs="宋体"/>
                <w:spacing w:val="-2"/>
                <w:sz w:val="16"/>
                <w:szCs w:val="16"/>
              </w:rPr>
              <w:t>梳头</w:t>
            </w:r>
          </w:p>
        </w:tc>
        <w:tc>
          <w:tcPr>
            <w:tcW w:w="1832" w:type="dxa"/>
            <w:tcBorders>
              <w:right w:val="single" w:sz="4" w:space="0" w:color="000000"/>
            </w:tcBorders>
          </w:tcPr>
          <w:p w:rsidR="00EA40A3" w:rsidRDefault="00E86C16">
            <w:pPr>
              <w:spacing w:before="73" w:line="222" w:lineRule="auto"/>
              <w:ind w:left="422"/>
              <w:rPr>
                <w:rFonts w:ascii="宋体" w:eastAsia="宋体" w:hAnsi="宋体" w:cs="宋体"/>
                <w:sz w:val="16"/>
                <w:szCs w:val="16"/>
              </w:rPr>
            </w:pPr>
            <w:r>
              <w:rPr>
                <w:rFonts w:ascii="宋体" w:eastAsia="宋体" w:hAnsi="宋体" w:cs="宋体"/>
                <w:spacing w:val="-1"/>
                <w:sz w:val="16"/>
                <w:szCs w:val="16"/>
              </w:rPr>
              <w:t>0.359(1.500)</w:t>
            </w:r>
          </w:p>
        </w:tc>
        <w:tc>
          <w:tcPr>
            <w:tcW w:w="1985" w:type="dxa"/>
            <w:tcBorders>
              <w:left w:val="single" w:sz="4" w:space="0" w:color="000000"/>
            </w:tcBorders>
          </w:tcPr>
          <w:p w:rsidR="00EA40A3" w:rsidRDefault="00E86C16">
            <w:pPr>
              <w:spacing w:before="79" w:line="219" w:lineRule="auto"/>
              <w:ind w:left="85"/>
              <w:rPr>
                <w:rFonts w:ascii="宋体" w:eastAsia="宋体" w:hAnsi="宋体" w:cs="宋体"/>
                <w:sz w:val="16"/>
                <w:szCs w:val="16"/>
              </w:rPr>
            </w:pPr>
            <w:r>
              <w:rPr>
                <w:rFonts w:ascii="宋体" w:eastAsia="宋体" w:hAnsi="宋体" w:cs="宋体"/>
                <w:spacing w:val="-2"/>
                <w:sz w:val="16"/>
                <w:szCs w:val="16"/>
              </w:rPr>
              <w:t>开会</w:t>
            </w:r>
          </w:p>
        </w:tc>
        <w:tc>
          <w:tcPr>
            <w:tcW w:w="1755" w:type="dxa"/>
          </w:tcPr>
          <w:p w:rsidR="00EA40A3" w:rsidRDefault="00E86C16">
            <w:pPr>
              <w:spacing w:before="93" w:line="222" w:lineRule="auto"/>
              <w:ind w:left="154"/>
              <w:rPr>
                <w:rFonts w:ascii="宋体" w:eastAsia="宋体" w:hAnsi="宋体" w:cs="宋体"/>
                <w:sz w:val="16"/>
                <w:szCs w:val="16"/>
              </w:rPr>
            </w:pPr>
            <w:r>
              <w:rPr>
                <w:rFonts w:ascii="宋体" w:eastAsia="宋体" w:hAnsi="宋体" w:cs="宋体"/>
                <w:spacing w:val="-1"/>
                <w:sz w:val="16"/>
                <w:szCs w:val="16"/>
              </w:rPr>
              <w:t>0.194(0.813)</w:t>
            </w:r>
          </w:p>
        </w:tc>
      </w:tr>
      <w:tr w:rsidR="00EA40A3">
        <w:trPr>
          <w:trHeight w:val="310"/>
        </w:trPr>
        <w:tc>
          <w:tcPr>
            <w:tcW w:w="1708" w:type="dxa"/>
          </w:tcPr>
          <w:p w:rsidR="00EA40A3" w:rsidRDefault="00E86C16">
            <w:pPr>
              <w:spacing w:before="76" w:line="220" w:lineRule="auto"/>
              <w:ind w:left="80"/>
              <w:rPr>
                <w:rFonts w:ascii="宋体" w:eastAsia="宋体" w:hAnsi="宋体" w:cs="宋体"/>
                <w:sz w:val="16"/>
                <w:szCs w:val="16"/>
              </w:rPr>
            </w:pPr>
            <w:r>
              <w:rPr>
                <w:rFonts w:ascii="宋体" w:eastAsia="宋体" w:hAnsi="宋体" w:cs="宋体"/>
                <w:spacing w:val="-2"/>
                <w:sz w:val="16"/>
                <w:szCs w:val="16"/>
              </w:rPr>
              <w:t>刮脸</w:t>
            </w:r>
          </w:p>
        </w:tc>
        <w:tc>
          <w:tcPr>
            <w:tcW w:w="1832" w:type="dxa"/>
            <w:tcBorders>
              <w:right w:val="single" w:sz="4" w:space="0" w:color="000000"/>
            </w:tcBorders>
          </w:tcPr>
          <w:p w:rsidR="00EA40A3" w:rsidRDefault="00E86C16">
            <w:pPr>
              <w:spacing w:before="68" w:line="222" w:lineRule="auto"/>
              <w:ind w:left="422"/>
              <w:rPr>
                <w:rFonts w:ascii="宋体" w:eastAsia="宋体" w:hAnsi="宋体" w:cs="宋体"/>
                <w:sz w:val="16"/>
                <w:szCs w:val="16"/>
              </w:rPr>
            </w:pPr>
            <w:r>
              <w:rPr>
                <w:rFonts w:ascii="宋体" w:eastAsia="宋体" w:hAnsi="宋体" w:cs="宋体"/>
                <w:spacing w:val="-1"/>
                <w:sz w:val="16"/>
                <w:szCs w:val="16"/>
              </w:rPr>
              <w:t>0.374(1.563)</w:t>
            </w:r>
          </w:p>
        </w:tc>
        <w:tc>
          <w:tcPr>
            <w:tcW w:w="1985" w:type="dxa"/>
            <w:tcBorders>
              <w:left w:val="single" w:sz="4" w:space="0" w:color="000000"/>
            </w:tcBorders>
          </w:tcPr>
          <w:p w:rsidR="00EA40A3" w:rsidRDefault="00E86C16">
            <w:pPr>
              <w:spacing w:before="76" w:line="220" w:lineRule="auto"/>
              <w:ind w:left="85"/>
              <w:rPr>
                <w:rFonts w:ascii="宋体" w:eastAsia="宋体" w:hAnsi="宋体" w:cs="宋体"/>
                <w:sz w:val="16"/>
                <w:szCs w:val="16"/>
              </w:rPr>
            </w:pPr>
            <w:r>
              <w:rPr>
                <w:rFonts w:ascii="宋体" w:eastAsia="宋体" w:hAnsi="宋体" w:cs="宋体"/>
                <w:spacing w:val="-2"/>
                <w:sz w:val="16"/>
                <w:szCs w:val="16"/>
              </w:rPr>
              <w:t>打电话</w:t>
            </w:r>
          </w:p>
        </w:tc>
        <w:tc>
          <w:tcPr>
            <w:tcW w:w="1755" w:type="dxa"/>
          </w:tcPr>
          <w:p w:rsidR="00EA40A3" w:rsidRDefault="00E86C16">
            <w:pPr>
              <w:spacing w:before="78" w:line="222" w:lineRule="auto"/>
              <w:ind w:left="154"/>
              <w:rPr>
                <w:rFonts w:ascii="宋体" w:eastAsia="宋体" w:hAnsi="宋体" w:cs="宋体"/>
                <w:sz w:val="16"/>
                <w:szCs w:val="16"/>
              </w:rPr>
            </w:pPr>
            <w:r>
              <w:rPr>
                <w:rFonts w:ascii="宋体" w:eastAsia="宋体" w:hAnsi="宋体" w:cs="宋体"/>
                <w:spacing w:val="-1"/>
                <w:sz w:val="16"/>
                <w:szCs w:val="16"/>
              </w:rPr>
              <w:t>0.269(1.125)</w:t>
            </w:r>
          </w:p>
        </w:tc>
      </w:tr>
      <w:tr w:rsidR="00EA40A3">
        <w:trPr>
          <w:trHeight w:val="319"/>
        </w:trPr>
        <w:tc>
          <w:tcPr>
            <w:tcW w:w="1708" w:type="dxa"/>
          </w:tcPr>
          <w:p w:rsidR="00EA40A3" w:rsidRDefault="00E86C16">
            <w:pPr>
              <w:spacing w:before="86" w:line="221" w:lineRule="auto"/>
              <w:ind w:left="80"/>
              <w:rPr>
                <w:rFonts w:ascii="宋体" w:eastAsia="宋体" w:hAnsi="宋体" w:cs="宋体"/>
                <w:sz w:val="16"/>
                <w:szCs w:val="16"/>
              </w:rPr>
            </w:pPr>
            <w:r>
              <w:rPr>
                <w:rFonts w:ascii="宋体" w:eastAsia="宋体" w:hAnsi="宋体" w:cs="宋体"/>
                <w:spacing w:val="-2"/>
                <w:sz w:val="16"/>
                <w:szCs w:val="16"/>
              </w:rPr>
              <w:t>洗脸</w:t>
            </w:r>
          </w:p>
        </w:tc>
        <w:tc>
          <w:tcPr>
            <w:tcW w:w="1832" w:type="dxa"/>
            <w:tcBorders>
              <w:right w:val="single" w:sz="4" w:space="0" w:color="000000"/>
            </w:tcBorders>
          </w:tcPr>
          <w:p w:rsidR="00EA40A3" w:rsidRDefault="00E86C16">
            <w:pPr>
              <w:spacing w:before="78" w:line="222" w:lineRule="auto"/>
              <w:ind w:left="422"/>
              <w:rPr>
                <w:rFonts w:ascii="宋体" w:eastAsia="宋体" w:hAnsi="宋体" w:cs="宋体"/>
                <w:sz w:val="16"/>
                <w:szCs w:val="16"/>
              </w:rPr>
            </w:pPr>
            <w:r>
              <w:rPr>
                <w:rFonts w:ascii="宋体" w:eastAsia="宋体" w:hAnsi="宋体" w:cs="宋体"/>
                <w:spacing w:val="-1"/>
                <w:sz w:val="16"/>
                <w:szCs w:val="16"/>
              </w:rPr>
              <w:t>0.246(1.031)</w:t>
            </w:r>
          </w:p>
        </w:tc>
        <w:tc>
          <w:tcPr>
            <w:tcW w:w="1985" w:type="dxa"/>
            <w:tcBorders>
              <w:left w:val="single" w:sz="4" w:space="0" w:color="000000"/>
            </w:tcBorders>
          </w:tcPr>
          <w:p w:rsidR="00EA40A3" w:rsidRDefault="00E86C16">
            <w:pPr>
              <w:spacing w:before="95" w:line="219" w:lineRule="auto"/>
              <w:ind w:left="85"/>
              <w:rPr>
                <w:rFonts w:ascii="宋体" w:eastAsia="宋体" w:hAnsi="宋体" w:cs="宋体"/>
                <w:sz w:val="16"/>
                <w:szCs w:val="16"/>
              </w:rPr>
            </w:pPr>
            <w:r>
              <w:rPr>
                <w:rFonts w:ascii="宋体" w:eastAsia="宋体" w:hAnsi="宋体" w:cs="宋体"/>
                <w:spacing w:val="2"/>
                <w:sz w:val="16"/>
                <w:szCs w:val="16"/>
              </w:rPr>
              <w:t>骑自行车(平地一般速度)</w:t>
            </w:r>
          </w:p>
        </w:tc>
        <w:tc>
          <w:tcPr>
            <w:tcW w:w="1755" w:type="dxa"/>
          </w:tcPr>
          <w:p w:rsidR="00EA40A3" w:rsidRDefault="00E86C16">
            <w:pPr>
              <w:spacing w:before="98" w:line="222" w:lineRule="auto"/>
              <w:ind w:left="154"/>
              <w:rPr>
                <w:rFonts w:ascii="宋体" w:eastAsia="宋体" w:hAnsi="宋体" w:cs="宋体"/>
                <w:sz w:val="16"/>
                <w:szCs w:val="16"/>
              </w:rPr>
            </w:pPr>
            <w:r>
              <w:rPr>
                <w:rFonts w:ascii="宋体" w:eastAsia="宋体" w:hAnsi="宋体" w:cs="宋体"/>
                <w:spacing w:val="-1"/>
                <w:sz w:val="16"/>
                <w:szCs w:val="16"/>
              </w:rPr>
              <w:t>0.718(3.006)</w:t>
            </w:r>
          </w:p>
        </w:tc>
      </w:tr>
      <w:tr w:rsidR="00EA40A3">
        <w:trPr>
          <w:trHeight w:val="300"/>
        </w:trPr>
        <w:tc>
          <w:tcPr>
            <w:tcW w:w="1708" w:type="dxa"/>
          </w:tcPr>
          <w:p w:rsidR="00EA40A3" w:rsidRDefault="00E86C16">
            <w:pPr>
              <w:spacing w:before="67" w:line="221" w:lineRule="auto"/>
              <w:ind w:left="80"/>
              <w:rPr>
                <w:rFonts w:ascii="宋体" w:eastAsia="宋体" w:hAnsi="宋体" w:cs="宋体"/>
                <w:sz w:val="16"/>
                <w:szCs w:val="16"/>
              </w:rPr>
            </w:pPr>
            <w:r>
              <w:rPr>
                <w:rFonts w:ascii="宋体" w:eastAsia="宋体" w:hAnsi="宋体" w:cs="宋体"/>
                <w:spacing w:val="-2"/>
                <w:sz w:val="16"/>
                <w:szCs w:val="16"/>
              </w:rPr>
              <w:t>洗澡</w:t>
            </w:r>
          </w:p>
        </w:tc>
        <w:tc>
          <w:tcPr>
            <w:tcW w:w="1832" w:type="dxa"/>
            <w:tcBorders>
              <w:right w:val="single" w:sz="4" w:space="0" w:color="000000"/>
            </w:tcBorders>
          </w:tcPr>
          <w:p w:rsidR="00EA40A3" w:rsidRDefault="00E86C16">
            <w:pPr>
              <w:spacing w:before="69" w:line="222" w:lineRule="auto"/>
              <w:ind w:left="422"/>
              <w:rPr>
                <w:rFonts w:ascii="宋体" w:eastAsia="宋体" w:hAnsi="宋体" w:cs="宋体"/>
                <w:sz w:val="16"/>
                <w:szCs w:val="16"/>
              </w:rPr>
            </w:pPr>
            <w:r>
              <w:rPr>
                <w:rFonts w:ascii="宋体" w:eastAsia="宋体" w:hAnsi="宋体" w:cs="宋体"/>
                <w:spacing w:val="-1"/>
                <w:sz w:val="16"/>
                <w:szCs w:val="16"/>
              </w:rPr>
              <w:t>0.290(1.214)</w:t>
            </w:r>
          </w:p>
        </w:tc>
        <w:tc>
          <w:tcPr>
            <w:tcW w:w="1985" w:type="dxa"/>
            <w:tcBorders>
              <w:left w:val="single" w:sz="4" w:space="0" w:color="000000"/>
            </w:tcBorders>
          </w:tcPr>
          <w:p w:rsidR="00EA40A3" w:rsidRDefault="00E86C16">
            <w:pPr>
              <w:spacing w:before="76" w:line="219" w:lineRule="auto"/>
              <w:ind w:left="85"/>
              <w:rPr>
                <w:rFonts w:ascii="宋体" w:eastAsia="宋体" w:hAnsi="宋体" w:cs="宋体"/>
                <w:sz w:val="16"/>
                <w:szCs w:val="16"/>
              </w:rPr>
            </w:pPr>
            <w:r>
              <w:rPr>
                <w:rFonts w:ascii="宋体" w:eastAsia="宋体" w:hAnsi="宋体" w:cs="宋体"/>
                <w:spacing w:val="-2"/>
                <w:sz w:val="16"/>
                <w:szCs w:val="16"/>
              </w:rPr>
              <w:t>坐火车</w:t>
            </w:r>
          </w:p>
        </w:tc>
        <w:tc>
          <w:tcPr>
            <w:tcW w:w="1755" w:type="dxa"/>
          </w:tcPr>
          <w:p w:rsidR="00EA40A3" w:rsidRDefault="00E86C16">
            <w:pPr>
              <w:spacing w:before="79" w:line="222" w:lineRule="auto"/>
              <w:ind w:left="165"/>
              <w:rPr>
                <w:rFonts w:ascii="宋体" w:eastAsia="宋体" w:hAnsi="宋体" w:cs="宋体"/>
                <w:sz w:val="16"/>
                <w:szCs w:val="16"/>
              </w:rPr>
            </w:pPr>
            <w:r>
              <w:rPr>
                <w:rFonts w:ascii="宋体" w:eastAsia="宋体" w:hAnsi="宋体" w:cs="宋体"/>
                <w:spacing w:val="-1"/>
                <w:sz w:val="16"/>
                <w:szCs w:val="16"/>
              </w:rPr>
              <w:t>0.293(1.225)</w:t>
            </w:r>
          </w:p>
        </w:tc>
      </w:tr>
      <w:tr w:rsidR="00EA40A3">
        <w:trPr>
          <w:trHeight w:val="314"/>
        </w:trPr>
        <w:tc>
          <w:tcPr>
            <w:tcW w:w="1708" w:type="dxa"/>
          </w:tcPr>
          <w:p w:rsidR="00EA40A3" w:rsidRDefault="00E86C16">
            <w:pPr>
              <w:spacing w:before="86" w:line="219" w:lineRule="auto"/>
              <w:ind w:left="80"/>
              <w:rPr>
                <w:rFonts w:ascii="宋体" w:eastAsia="宋体" w:hAnsi="宋体" w:cs="宋体"/>
                <w:sz w:val="16"/>
                <w:szCs w:val="16"/>
              </w:rPr>
            </w:pPr>
            <w:r>
              <w:rPr>
                <w:rFonts w:ascii="宋体" w:eastAsia="宋体" w:hAnsi="宋体" w:cs="宋体"/>
                <w:spacing w:val="-2"/>
                <w:sz w:val="16"/>
                <w:szCs w:val="16"/>
              </w:rPr>
              <w:t>大小便</w:t>
            </w:r>
          </w:p>
        </w:tc>
        <w:tc>
          <w:tcPr>
            <w:tcW w:w="1832" w:type="dxa"/>
            <w:tcBorders>
              <w:right w:val="single" w:sz="4" w:space="0" w:color="000000"/>
            </w:tcBorders>
          </w:tcPr>
          <w:p w:rsidR="00EA40A3" w:rsidRDefault="00E86C16">
            <w:pPr>
              <w:spacing w:before="79" w:line="222" w:lineRule="auto"/>
              <w:ind w:left="422"/>
              <w:rPr>
                <w:rFonts w:ascii="宋体" w:eastAsia="宋体" w:hAnsi="宋体" w:cs="宋体"/>
                <w:sz w:val="16"/>
                <w:szCs w:val="16"/>
              </w:rPr>
            </w:pPr>
            <w:r>
              <w:rPr>
                <w:rFonts w:ascii="宋体" w:eastAsia="宋体" w:hAnsi="宋体" w:cs="宋体"/>
                <w:spacing w:val="-1"/>
                <w:sz w:val="16"/>
                <w:szCs w:val="16"/>
              </w:rPr>
              <w:t>0.234(0.981)</w:t>
            </w:r>
          </w:p>
        </w:tc>
        <w:tc>
          <w:tcPr>
            <w:tcW w:w="1985" w:type="dxa"/>
            <w:tcBorders>
              <w:left w:val="single" w:sz="4" w:space="0" w:color="000000"/>
            </w:tcBorders>
          </w:tcPr>
          <w:p w:rsidR="00EA40A3" w:rsidRDefault="00E86C16">
            <w:pPr>
              <w:spacing w:before="87" w:line="220" w:lineRule="auto"/>
              <w:ind w:left="85"/>
              <w:rPr>
                <w:rFonts w:ascii="宋体" w:eastAsia="宋体" w:hAnsi="宋体" w:cs="宋体"/>
                <w:sz w:val="16"/>
                <w:szCs w:val="16"/>
              </w:rPr>
            </w:pPr>
            <w:r>
              <w:rPr>
                <w:rFonts w:ascii="宋体" w:eastAsia="宋体" w:hAnsi="宋体" w:cs="宋体"/>
                <w:spacing w:val="7"/>
                <w:sz w:val="16"/>
                <w:szCs w:val="16"/>
              </w:rPr>
              <w:t>骑马(走)</w:t>
            </w:r>
          </w:p>
        </w:tc>
        <w:tc>
          <w:tcPr>
            <w:tcW w:w="1755" w:type="dxa"/>
          </w:tcPr>
          <w:p w:rsidR="00EA40A3" w:rsidRDefault="00E86C16">
            <w:pPr>
              <w:spacing w:before="99" w:line="222" w:lineRule="auto"/>
              <w:ind w:left="165"/>
              <w:rPr>
                <w:rFonts w:ascii="宋体" w:eastAsia="宋体" w:hAnsi="宋体" w:cs="宋体"/>
                <w:sz w:val="16"/>
                <w:szCs w:val="16"/>
              </w:rPr>
            </w:pPr>
            <w:r>
              <w:rPr>
                <w:rFonts w:ascii="宋体" w:eastAsia="宋体" w:hAnsi="宋体" w:cs="宋体"/>
                <w:spacing w:val="-1"/>
                <w:sz w:val="16"/>
                <w:szCs w:val="16"/>
              </w:rPr>
              <w:t>0.368(1.538)</w:t>
            </w:r>
          </w:p>
        </w:tc>
      </w:tr>
      <w:tr w:rsidR="00EA40A3">
        <w:trPr>
          <w:trHeight w:val="317"/>
        </w:trPr>
        <w:tc>
          <w:tcPr>
            <w:tcW w:w="1708" w:type="dxa"/>
          </w:tcPr>
          <w:p w:rsidR="00EA40A3" w:rsidRDefault="00E86C16">
            <w:pPr>
              <w:spacing w:before="82" w:line="219" w:lineRule="auto"/>
              <w:ind w:left="80"/>
              <w:rPr>
                <w:rFonts w:ascii="宋体" w:eastAsia="宋体" w:hAnsi="宋体" w:cs="宋体"/>
                <w:sz w:val="16"/>
                <w:szCs w:val="16"/>
              </w:rPr>
            </w:pPr>
            <w:r>
              <w:rPr>
                <w:rFonts w:ascii="宋体" w:eastAsia="宋体" w:hAnsi="宋体" w:cs="宋体"/>
                <w:spacing w:val="7"/>
                <w:sz w:val="16"/>
                <w:szCs w:val="16"/>
              </w:rPr>
              <w:t>休息(躺)</w:t>
            </w:r>
          </w:p>
        </w:tc>
        <w:tc>
          <w:tcPr>
            <w:tcW w:w="1832" w:type="dxa"/>
            <w:tcBorders>
              <w:right w:val="single" w:sz="4" w:space="0" w:color="000000"/>
            </w:tcBorders>
          </w:tcPr>
          <w:p w:rsidR="00EA40A3" w:rsidRDefault="00E86C16">
            <w:pPr>
              <w:spacing w:before="75" w:line="222" w:lineRule="auto"/>
              <w:ind w:left="422"/>
              <w:rPr>
                <w:rFonts w:ascii="宋体" w:eastAsia="宋体" w:hAnsi="宋体" w:cs="宋体"/>
                <w:sz w:val="16"/>
                <w:szCs w:val="16"/>
              </w:rPr>
            </w:pPr>
            <w:r>
              <w:rPr>
                <w:rFonts w:ascii="宋体" w:eastAsia="宋体" w:hAnsi="宋体" w:cs="宋体"/>
                <w:spacing w:val="-1"/>
                <w:sz w:val="16"/>
                <w:szCs w:val="16"/>
              </w:rPr>
              <w:t>0.187(0.781)</w:t>
            </w:r>
          </w:p>
        </w:tc>
        <w:tc>
          <w:tcPr>
            <w:tcW w:w="1985" w:type="dxa"/>
            <w:tcBorders>
              <w:left w:val="single" w:sz="4" w:space="0" w:color="000000"/>
            </w:tcBorders>
          </w:tcPr>
          <w:p w:rsidR="00EA40A3" w:rsidRDefault="00E86C16">
            <w:pPr>
              <w:spacing w:before="93" w:line="220" w:lineRule="auto"/>
              <w:ind w:left="85"/>
              <w:rPr>
                <w:rFonts w:ascii="宋体" w:eastAsia="宋体" w:hAnsi="宋体" w:cs="宋体"/>
                <w:sz w:val="16"/>
                <w:szCs w:val="16"/>
              </w:rPr>
            </w:pPr>
            <w:r>
              <w:rPr>
                <w:rFonts w:ascii="宋体" w:eastAsia="宋体" w:hAnsi="宋体" w:cs="宋体"/>
                <w:spacing w:val="7"/>
                <w:sz w:val="16"/>
                <w:szCs w:val="16"/>
              </w:rPr>
              <w:t>骑马(跑)</w:t>
            </w:r>
          </w:p>
        </w:tc>
        <w:tc>
          <w:tcPr>
            <w:tcW w:w="1755" w:type="dxa"/>
          </w:tcPr>
          <w:p w:rsidR="00EA40A3" w:rsidRDefault="00E86C16">
            <w:pPr>
              <w:spacing w:before="85" w:line="222" w:lineRule="auto"/>
              <w:ind w:left="174"/>
              <w:rPr>
                <w:rFonts w:ascii="宋体" w:eastAsia="宋体" w:hAnsi="宋体" w:cs="宋体"/>
                <w:sz w:val="16"/>
                <w:szCs w:val="16"/>
              </w:rPr>
            </w:pPr>
            <w:r>
              <w:rPr>
                <w:rFonts w:ascii="宋体" w:eastAsia="宋体" w:hAnsi="宋体" w:cs="宋体"/>
                <w:spacing w:val="-1"/>
                <w:sz w:val="16"/>
                <w:szCs w:val="16"/>
              </w:rPr>
              <w:t>0.980(4.100)</w:t>
            </w:r>
          </w:p>
        </w:tc>
      </w:tr>
      <w:tr w:rsidR="00EA40A3">
        <w:trPr>
          <w:trHeight w:val="315"/>
        </w:trPr>
        <w:tc>
          <w:tcPr>
            <w:tcW w:w="1708" w:type="dxa"/>
          </w:tcPr>
          <w:p w:rsidR="00EA40A3" w:rsidRDefault="00E86C16">
            <w:pPr>
              <w:spacing w:before="75" w:line="219" w:lineRule="auto"/>
              <w:ind w:left="80"/>
              <w:rPr>
                <w:rFonts w:ascii="宋体" w:eastAsia="宋体" w:hAnsi="宋体" w:cs="宋体"/>
                <w:sz w:val="16"/>
                <w:szCs w:val="16"/>
              </w:rPr>
            </w:pPr>
            <w:r>
              <w:rPr>
                <w:rFonts w:ascii="宋体" w:eastAsia="宋体" w:hAnsi="宋体" w:cs="宋体"/>
                <w:spacing w:val="7"/>
                <w:sz w:val="16"/>
                <w:szCs w:val="16"/>
              </w:rPr>
              <w:t>休息(站)</w:t>
            </w:r>
          </w:p>
        </w:tc>
        <w:tc>
          <w:tcPr>
            <w:tcW w:w="1832" w:type="dxa"/>
            <w:tcBorders>
              <w:right w:val="single" w:sz="4" w:space="0" w:color="000000"/>
            </w:tcBorders>
          </w:tcPr>
          <w:p w:rsidR="00EA40A3" w:rsidRDefault="00E86C16">
            <w:pPr>
              <w:spacing w:before="78" w:line="222" w:lineRule="auto"/>
              <w:ind w:left="422"/>
              <w:rPr>
                <w:rFonts w:ascii="宋体" w:eastAsia="宋体" w:hAnsi="宋体" w:cs="宋体"/>
                <w:sz w:val="16"/>
                <w:szCs w:val="16"/>
              </w:rPr>
            </w:pPr>
            <w:r>
              <w:rPr>
                <w:rFonts w:ascii="宋体" w:eastAsia="宋体" w:hAnsi="宋体" w:cs="宋体"/>
                <w:spacing w:val="-1"/>
                <w:sz w:val="16"/>
                <w:szCs w:val="16"/>
              </w:rPr>
              <w:t>0.258(1.081)</w:t>
            </w:r>
          </w:p>
        </w:tc>
        <w:tc>
          <w:tcPr>
            <w:tcW w:w="1985" w:type="dxa"/>
            <w:tcBorders>
              <w:left w:val="single" w:sz="4" w:space="0" w:color="000000"/>
            </w:tcBorders>
          </w:tcPr>
          <w:p w:rsidR="00EA40A3" w:rsidRDefault="00E86C16">
            <w:pPr>
              <w:spacing w:before="86" w:line="220" w:lineRule="auto"/>
              <w:ind w:left="85"/>
              <w:rPr>
                <w:rFonts w:ascii="宋体" w:eastAsia="宋体" w:hAnsi="宋体" w:cs="宋体"/>
                <w:sz w:val="16"/>
                <w:szCs w:val="16"/>
              </w:rPr>
            </w:pPr>
            <w:r>
              <w:rPr>
                <w:rFonts w:ascii="宋体" w:eastAsia="宋体" w:hAnsi="宋体" w:cs="宋体"/>
                <w:spacing w:val="5"/>
                <w:sz w:val="16"/>
                <w:szCs w:val="16"/>
              </w:rPr>
              <w:t>骑马(跳跃)</w:t>
            </w:r>
          </w:p>
        </w:tc>
        <w:tc>
          <w:tcPr>
            <w:tcW w:w="1755" w:type="dxa"/>
          </w:tcPr>
          <w:p w:rsidR="00EA40A3" w:rsidRDefault="00E86C16">
            <w:pPr>
              <w:spacing w:before="98" w:line="222" w:lineRule="auto"/>
              <w:ind w:left="174"/>
              <w:rPr>
                <w:rFonts w:ascii="宋体" w:eastAsia="宋体" w:hAnsi="宋体" w:cs="宋体"/>
                <w:sz w:val="16"/>
                <w:szCs w:val="16"/>
              </w:rPr>
            </w:pPr>
            <w:r>
              <w:rPr>
                <w:rFonts w:ascii="宋体" w:eastAsia="宋体" w:hAnsi="宋体" w:cs="宋体"/>
                <w:spacing w:val="-2"/>
                <w:sz w:val="16"/>
                <w:szCs w:val="16"/>
              </w:rPr>
              <w:t>1.135(4.750)</w:t>
            </w:r>
          </w:p>
        </w:tc>
      </w:tr>
      <w:tr w:rsidR="00EA40A3">
        <w:trPr>
          <w:trHeight w:val="310"/>
        </w:trPr>
        <w:tc>
          <w:tcPr>
            <w:tcW w:w="1708" w:type="dxa"/>
          </w:tcPr>
          <w:p w:rsidR="00EA40A3" w:rsidRDefault="00E86C16">
            <w:pPr>
              <w:spacing w:before="71" w:line="220" w:lineRule="auto"/>
              <w:ind w:left="80"/>
              <w:rPr>
                <w:rFonts w:ascii="宋体" w:eastAsia="宋体" w:hAnsi="宋体" w:cs="宋体"/>
                <w:sz w:val="16"/>
                <w:szCs w:val="16"/>
              </w:rPr>
            </w:pPr>
            <w:r>
              <w:rPr>
                <w:rFonts w:ascii="宋体" w:eastAsia="宋体" w:hAnsi="宋体" w:cs="宋体"/>
                <w:spacing w:val="7"/>
                <w:sz w:val="16"/>
                <w:szCs w:val="16"/>
              </w:rPr>
              <w:t>谈话(站)</w:t>
            </w:r>
          </w:p>
        </w:tc>
        <w:tc>
          <w:tcPr>
            <w:tcW w:w="1832" w:type="dxa"/>
            <w:tcBorders>
              <w:right w:val="single" w:sz="4" w:space="0" w:color="000000"/>
            </w:tcBorders>
          </w:tcPr>
          <w:p w:rsidR="00EA40A3" w:rsidRDefault="00E86C16">
            <w:pPr>
              <w:spacing w:before="73" w:line="222" w:lineRule="auto"/>
              <w:ind w:left="422"/>
              <w:rPr>
                <w:rFonts w:ascii="宋体" w:eastAsia="宋体" w:hAnsi="宋体" w:cs="宋体"/>
                <w:sz w:val="16"/>
                <w:szCs w:val="16"/>
              </w:rPr>
            </w:pPr>
            <w:r>
              <w:rPr>
                <w:rFonts w:ascii="宋体" w:eastAsia="宋体" w:hAnsi="宋体" w:cs="宋体"/>
                <w:spacing w:val="-1"/>
                <w:sz w:val="16"/>
                <w:szCs w:val="16"/>
              </w:rPr>
              <w:t>0.266(1.113)</w:t>
            </w:r>
          </w:p>
        </w:tc>
        <w:tc>
          <w:tcPr>
            <w:tcW w:w="1985" w:type="dxa"/>
            <w:tcBorders>
              <w:left w:val="single" w:sz="4" w:space="0" w:color="000000"/>
            </w:tcBorders>
          </w:tcPr>
          <w:p w:rsidR="00EA40A3" w:rsidRDefault="00E86C16">
            <w:pPr>
              <w:spacing w:before="91" w:line="220" w:lineRule="auto"/>
              <w:ind w:left="85"/>
              <w:rPr>
                <w:rFonts w:ascii="宋体" w:eastAsia="宋体" w:hAnsi="宋体" w:cs="宋体"/>
                <w:sz w:val="16"/>
                <w:szCs w:val="16"/>
              </w:rPr>
            </w:pPr>
            <w:r>
              <w:rPr>
                <w:rFonts w:ascii="宋体" w:eastAsia="宋体" w:hAnsi="宋体" w:cs="宋体"/>
                <w:spacing w:val="1"/>
                <w:sz w:val="16"/>
                <w:szCs w:val="16"/>
              </w:rPr>
              <w:t>学习、运动和娱乐</w:t>
            </w:r>
          </w:p>
        </w:tc>
        <w:tc>
          <w:tcPr>
            <w:tcW w:w="1755" w:type="dxa"/>
          </w:tcPr>
          <w:p w:rsidR="00EA40A3" w:rsidRDefault="00EA40A3"/>
        </w:tc>
      </w:tr>
      <w:tr w:rsidR="00EA40A3">
        <w:trPr>
          <w:trHeight w:val="309"/>
        </w:trPr>
        <w:tc>
          <w:tcPr>
            <w:tcW w:w="1708" w:type="dxa"/>
          </w:tcPr>
          <w:p w:rsidR="00EA40A3" w:rsidRDefault="00E86C16">
            <w:pPr>
              <w:spacing w:before="71" w:line="220" w:lineRule="auto"/>
              <w:ind w:left="80"/>
              <w:rPr>
                <w:rFonts w:ascii="宋体" w:eastAsia="宋体" w:hAnsi="宋体" w:cs="宋体"/>
                <w:sz w:val="16"/>
                <w:szCs w:val="16"/>
              </w:rPr>
            </w:pPr>
            <w:r>
              <w:rPr>
                <w:rFonts w:ascii="宋体" w:eastAsia="宋体" w:hAnsi="宋体" w:cs="宋体"/>
                <w:spacing w:val="-2"/>
                <w:sz w:val="16"/>
                <w:szCs w:val="16"/>
              </w:rPr>
              <w:t>谈话</w:t>
            </w:r>
          </w:p>
        </w:tc>
        <w:tc>
          <w:tcPr>
            <w:tcW w:w="1832" w:type="dxa"/>
            <w:tcBorders>
              <w:right w:val="single" w:sz="4" w:space="0" w:color="000000"/>
            </w:tcBorders>
          </w:tcPr>
          <w:p w:rsidR="00EA40A3" w:rsidRDefault="00E86C16">
            <w:pPr>
              <w:spacing w:before="73" w:line="222" w:lineRule="auto"/>
              <w:ind w:left="422"/>
              <w:rPr>
                <w:rFonts w:ascii="宋体" w:eastAsia="宋体" w:hAnsi="宋体" w:cs="宋体"/>
                <w:sz w:val="16"/>
                <w:szCs w:val="16"/>
              </w:rPr>
            </w:pPr>
            <w:r>
              <w:rPr>
                <w:rFonts w:ascii="宋体" w:eastAsia="宋体" w:hAnsi="宋体" w:cs="宋体"/>
                <w:spacing w:val="-1"/>
                <w:sz w:val="16"/>
                <w:szCs w:val="16"/>
              </w:rPr>
              <w:t>0.251(1.050)</w:t>
            </w:r>
          </w:p>
        </w:tc>
        <w:tc>
          <w:tcPr>
            <w:tcW w:w="1985" w:type="dxa"/>
            <w:tcBorders>
              <w:left w:val="single" w:sz="4" w:space="0" w:color="000000"/>
            </w:tcBorders>
          </w:tcPr>
          <w:p w:rsidR="00EA40A3" w:rsidRDefault="00E86C16">
            <w:pPr>
              <w:spacing w:before="80" w:line="219" w:lineRule="auto"/>
              <w:ind w:left="85"/>
              <w:rPr>
                <w:rFonts w:ascii="宋体" w:eastAsia="宋体" w:hAnsi="宋体" w:cs="宋体"/>
                <w:sz w:val="16"/>
                <w:szCs w:val="16"/>
              </w:rPr>
            </w:pPr>
            <w:r>
              <w:rPr>
                <w:rFonts w:ascii="宋体" w:eastAsia="宋体" w:hAnsi="宋体" w:cs="宋体"/>
                <w:spacing w:val="-2"/>
                <w:sz w:val="16"/>
                <w:szCs w:val="16"/>
              </w:rPr>
              <w:t>室内听课</w:t>
            </w:r>
          </w:p>
        </w:tc>
        <w:tc>
          <w:tcPr>
            <w:tcW w:w="1755" w:type="dxa"/>
          </w:tcPr>
          <w:p w:rsidR="00EA40A3" w:rsidRDefault="00E86C16">
            <w:pPr>
              <w:spacing w:before="93" w:line="222" w:lineRule="auto"/>
              <w:ind w:left="154"/>
              <w:rPr>
                <w:rFonts w:ascii="宋体" w:eastAsia="宋体" w:hAnsi="宋体" w:cs="宋体"/>
                <w:sz w:val="16"/>
                <w:szCs w:val="16"/>
              </w:rPr>
            </w:pPr>
            <w:r>
              <w:rPr>
                <w:rFonts w:ascii="宋体" w:eastAsia="宋体" w:hAnsi="宋体" w:cs="宋体"/>
                <w:spacing w:val="-1"/>
                <w:sz w:val="16"/>
                <w:szCs w:val="16"/>
              </w:rPr>
              <w:t>0.215(0.900)</w:t>
            </w:r>
          </w:p>
        </w:tc>
      </w:tr>
      <w:tr w:rsidR="00EA40A3">
        <w:trPr>
          <w:trHeight w:val="320"/>
        </w:trPr>
        <w:tc>
          <w:tcPr>
            <w:tcW w:w="1708" w:type="dxa"/>
          </w:tcPr>
          <w:p w:rsidR="00EA40A3" w:rsidRDefault="00E86C16">
            <w:pPr>
              <w:spacing w:before="71" w:line="219" w:lineRule="auto"/>
              <w:ind w:left="80"/>
              <w:rPr>
                <w:rFonts w:ascii="宋体" w:eastAsia="宋体" w:hAnsi="宋体" w:cs="宋体"/>
                <w:sz w:val="16"/>
                <w:szCs w:val="16"/>
              </w:rPr>
            </w:pPr>
            <w:r>
              <w:rPr>
                <w:rFonts w:ascii="宋体" w:eastAsia="宋体" w:hAnsi="宋体" w:cs="宋体"/>
                <w:spacing w:val="-2"/>
                <w:sz w:val="16"/>
                <w:szCs w:val="16"/>
              </w:rPr>
              <w:t>散步</w:t>
            </w:r>
          </w:p>
        </w:tc>
        <w:tc>
          <w:tcPr>
            <w:tcW w:w="1832" w:type="dxa"/>
            <w:tcBorders>
              <w:right w:val="single" w:sz="4" w:space="0" w:color="000000"/>
            </w:tcBorders>
          </w:tcPr>
          <w:p w:rsidR="00EA40A3" w:rsidRDefault="00E86C16">
            <w:pPr>
              <w:spacing w:before="74" w:line="222" w:lineRule="auto"/>
              <w:ind w:left="422"/>
              <w:rPr>
                <w:rFonts w:ascii="宋体" w:eastAsia="宋体" w:hAnsi="宋体" w:cs="宋体"/>
                <w:sz w:val="16"/>
                <w:szCs w:val="16"/>
              </w:rPr>
            </w:pPr>
            <w:r>
              <w:rPr>
                <w:rFonts w:ascii="宋体" w:eastAsia="宋体" w:hAnsi="宋体" w:cs="宋体"/>
                <w:spacing w:val="-1"/>
                <w:sz w:val="16"/>
                <w:szCs w:val="16"/>
              </w:rPr>
              <w:t>0.356(1.488)</w:t>
            </w:r>
          </w:p>
        </w:tc>
        <w:tc>
          <w:tcPr>
            <w:tcW w:w="1985" w:type="dxa"/>
            <w:tcBorders>
              <w:left w:val="single" w:sz="4" w:space="0" w:color="000000"/>
            </w:tcBorders>
          </w:tcPr>
          <w:p w:rsidR="00EA40A3" w:rsidRDefault="00E86C16">
            <w:pPr>
              <w:spacing w:before="92" w:line="220" w:lineRule="auto"/>
              <w:ind w:left="85"/>
              <w:rPr>
                <w:rFonts w:ascii="宋体" w:eastAsia="宋体" w:hAnsi="宋体" w:cs="宋体"/>
                <w:sz w:val="16"/>
                <w:szCs w:val="16"/>
              </w:rPr>
            </w:pPr>
            <w:r>
              <w:rPr>
                <w:rFonts w:ascii="宋体" w:eastAsia="宋体" w:hAnsi="宋体" w:cs="宋体"/>
                <w:spacing w:val="3"/>
                <w:sz w:val="16"/>
                <w:szCs w:val="16"/>
              </w:rPr>
              <w:t>听课(有时记笔记)</w:t>
            </w:r>
          </w:p>
        </w:tc>
        <w:tc>
          <w:tcPr>
            <w:tcW w:w="1755" w:type="dxa"/>
          </w:tcPr>
          <w:p w:rsidR="00EA40A3" w:rsidRDefault="00E86C16">
            <w:pPr>
              <w:spacing w:before="104" w:line="222" w:lineRule="auto"/>
              <w:ind w:left="154"/>
              <w:rPr>
                <w:rFonts w:ascii="宋体" w:eastAsia="宋体" w:hAnsi="宋体" w:cs="宋体"/>
                <w:sz w:val="16"/>
                <w:szCs w:val="16"/>
              </w:rPr>
            </w:pPr>
            <w:r>
              <w:rPr>
                <w:rFonts w:ascii="宋体" w:eastAsia="宋体" w:hAnsi="宋体" w:cs="宋体"/>
                <w:spacing w:val="-1"/>
                <w:sz w:val="16"/>
                <w:szCs w:val="16"/>
              </w:rPr>
              <w:t>0.224(0.938)</w:t>
            </w:r>
          </w:p>
        </w:tc>
      </w:tr>
      <w:tr w:rsidR="00EA40A3">
        <w:trPr>
          <w:trHeight w:val="310"/>
        </w:trPr>
        <w:tc>
          <w:tcPr>
            <w:tcW w:w="1708" w:type="dxa"/>
          </w:tcPr>
          <w:p w:rsidR="00EA40A3" w:rsidRDefault="00E86C16">
            <w:pPr>
              <w:spacing w:before="71" w:line="219" w:lineRule="auto"/>
              <w:ind w:left="80"/>
              <w:rPr>
                <w:rFonts w:ascii="宋体" w:eastAsia="宋体" w:hAnsi="宋体" w:cs="宋体"/>
                <w:sz w:val="16"/>
                <w:szCs w:val="16"/>
              </w:rPr>
            </w:pPr>
            <w:r>
              <w:rPr>
                <w:rFonts w:ascii="宋体" w:eastAsia="宋体" w:hAnsi="宋体" w:cs="宋体"/>
                <w:spacing w:val="4"/>
                <w:sz w:val="16"/>
                <w:szCs w:val="16"/>
              </w:rPr>
              <w:t>步行(中等速度)</w:t>
            </w:r>
          </w:p>
        </w:tc>
        <w:tc>
          <w:tcPr>
            <w:tcW w:w="1832" w:type="dxa"/>
            <w:tcBorders>
              <w:right w:val="single" w:sz="4" w:space="0" w:color="000000"/>
            </w:tcBorders>
          </w:tcPr>
          <w:p w:rsidR="00EA40A3" w:rsidRDefault="00E86C16">
            <w:pPr>
              <w:spacing w:before="74" w:line="222" w:lineRule="auto"/>
              <w:ind w:left="422"/>
              <w:rPr>
                <w:rFonts w:ascii="宋体" w:eastAsia="宋体" w:hAnsi="宋体" w:cs="宋体"/>
                <w:sz w:val="16"/>
                <w:szCs w:val="16"/>
              </w:rPr>
            </w:pPr>
            <w:r>
              <w:rPr>
                <w:rFonts w:ascii="宋体" w:eastAsia="宋体" w:hAnsi="宋体" w:cs="宋体"/>
                <w:spacing w:val="-1"/>
                <w:sz w:val="16"/>
                <w:szCs w:val="16"/>
              </w:rPr>
              <w:t>0.400(1.675)</w:t>
            </w:r>
          </w:p>
        </w:tc>
        <w:tc>
          <w:tcPr>
            <w:tcW w:w="1985" w:type="dxa"/>
            <w:tcBorders>
              <w:left w:val="single" w:sz="4" w:space="0" w:color="000000"/>
            </w:tcBorders>
          </w:tcPr>
          <w:p w:rsidR="00EA40A3" w:rsidRDefault="00E86C16">
            <w:pPr>
              <w:spacing w:before="82" w:line="220" w:lineRule="auto"/>
              <w:ind w:left="85"/>
              <w:rPr>
                <w:rFonts w:ascii="宋体" w:eastAsia="宋体" w:hAnsi="宋体" w:cs="宋体"/>
                <w:sz w:val="16"/>
                <w:szCs w:val="16"/>
              </w:rPr>
            </w:pPr>
            <w:r>
              <w:rPr>
                <w:rFonts w:ascii="宋体" w:eastAsia="宋体" w:hAnsi="宋体" w:cs="宋体"/>
                <w:spacing w:val="3"/>
                <w:sz w:val="16"/>
                <w:szCs w:val="16"/>
              </w:rPr>
              <w:t>听课(经常记笔记)</w:t>
            </w:r>
          </w:p>
        </w:tc>
        <w:tc>
          <w:tcPr>
            <w:tcW w:w="1755" w:type="dxa"/>
          </w:tcPr>
          <w:p w:rsidR="00EA40A3" w:rsidRDefault="00E86C16">
            <w:pPr>
              <w:spacing w:before="94" w:line="222" w:lineRule="auto"/>
              <w:ind w:left="154"/>
              <w:rPr>
                <w:rFonts w:ascii="宋体" w:eastAsia="宋体" w:hAnsi="宋体" w:cs="宋体"/>
                <w:sz w:val="16"/>
                <w:szCs w:val="16"/>
              </w:rPr>
            </w:pPr>
            <w:r>
              <w:rPr>
                <w:rFonts w:ascii="宋体" w:eastAsia="宋体" w:hAnsi="宋体" w:cs="宋体"/>
                <w:spacing w:val="-1"/>
                <w:sz w:val="16"/>
                <w:szCs w:val="16"/>
              </w:rPr>
              <w:t>0.228(0.956)</w:t>
            </w:r>
          </w:p>
        </w:tc>
      </w:tr>
      <w:tr w:rsidR="00EA40A3">
        <w:trPr>
          <w:trHeight w:val="317"/>
        </w:trPr>
        <w:tc>
          <w:tcPr>
            <w:tcW w:w="1708" w:type="dxa"/>
          </w:tcPr>
          <w:p w:rsidR="00EA40A3" w:rsidRDefault="00E86C16">
            <w:pPr>
              <w:spacing w:before="71" w:line="219" w:lineRule="auto"/>
              <w:ind w:left="80"/>
              <w:rPr>
                <w:rFonts w:ascii="宋体" w:eastAsia="宋体" w:hAnsi="宋体" w:cs="宋体"/>
                <w:sz w:val="16"/>
                <w:szCs w:val="16"/>
              </w:rPr>
            </w:pPr>
            <w:r>
              <w:rPr>
                <w:rFonts w:ascii="宋体" w:eastAsia="宋体" w:hAnsi="宋体" w:cs="宋体"/>
                <w:spacing w:val="-3"/>
                <w:sz w:val="16"/>
                <w:szCs w:val="16"/>
              </w:rPr>
              <w:t>跑步</w:t>
            </w:r>
          </w:p>
        </w:tc>
        <w:tc>
          <w:tcPr>
            <w:tcW w:w="1832" w:type="dxa"/>
            <w:tcBorders>
              <w:right w:val="single" w:sz="4" w:space="0" w:color="000000"/>
            </w:tcBorders>
          </w:tcPr>
          <w:p w:rsidR="00EA40A3" w:rsidRDefault="00E86C16">
            <w:pPr>
              <w:spacing w:before="74" w:line="222" w:lineRule="auto"/>
              <w:ind w:left="431"/>
              <w:rPr>
                <w:rFonts w:ascii="宋体" w:eastAsia="宋体" w:hAnsi="宋体" w:cs="宋体"/>
                <w:sz w:val="16"/>
                <w:szCs w:val="16"/>
              </w:rPr>
            </w:pPr>
            <w:r>
              <w:rPr>
                <w:rFonts w:ascii="宋体" w:eastAsia="宋体" w:hAnsi="宋体" w:cs="宋体"/>
                <w:spacing w:val="-2"/>
                <w:sz w:val="16"/>
                <w:szCs w:val="16"/>
              </w:rPr>
              <w:t>1.328(5.556)</w:t>
            </w:r>
          </w:p>
        </w:tc>
        <w:tc>
          <w:tcPr>
            <w:tcW w:w="1985" w:type="dxa"/>
            <w:tcBorders>
              <w:left w:val="single" w:sz="4" w:space="0" w:color="000000"/>
            </w:tcBorders>
          </w:tcPr>
          <w:p w:rsidR="00EA40A3" w:rsidRDefault="00E86C16">
            <w:pPr>
              <w:spacing w:before="90" w:line="219" w:lineRule="auto"/>
              <w:ind w:left="85"/>
              <w:rPr>
                <w:rFonts w:ascii="宋体" w:eastAsia="宋体" w:hAnsi="宋体" w:cs="宋体"/>
                <w:sz w:val="16"/>
                <w:szCs w:val="16"/>
              </w:rPr>
            </w:pPr>
            <w:r>
              <w:rPr>
                <w:rFonts w:ascii="宋体" w:eastAsia="宋体" w:hAnsi="宋体" w:cs="宋体"/>
                <w:spacing w:val="5"/>
                <w:sz w:val="16"/>
                <w:szCs w:val="16"/>
              </w:rPr>
              <w:t>上自习(看书)</w:t>
            </w:r>
          </w:p>
        </w:tc>
        <w:tc>
          <w:tcPr>
            <w:tcW w:w="1755" w:type="dxa"/>
          </w:tcPr>
          <w:p w:rsidR="00EA40A3" w:rsidRDefault="00E86C16">
            <w:pPr>
              <w:spacing w:before="104" w:line="222" w:lineRule="auto"/>
              <w:ind w:left="154"/>
              <w:rPr>
                <w:rFonts w:ascii="宋体" w:eastAsia="宋体" w:hAnsi="宋体" w:cs="宋体"/>
                <w:sz w:val="16"/>
                <w:szCs w:val="16"/>
              </w:rPr>
            </w:pPr>
            <w:r>
              <w:rPr>
                <w:rFonts w:ascii="宋体" w:eastAsia="宋体" w:hAnsi="宋体" w:cs="宋体"/>
                <w:spacing w:val="-1"/>
                <w:sz w:val="16"/>
                <w:szCs w:val="16"/>
              </w:rPr>
              <w:t>0.202(0.844)</w:t>
            </w:r>
          </w:p>
        </w:tc>
      </w:tr>
      <w:tr w:rsidR="00EA40A3">
        <w:trPr>
          <w:trHeight w:val="304"/>
        </w:trPr>
        <w:tc>
          <w:tcPr>
            <w:tcW w:w="1708" w:type="dxa"/>
          </w:tcPr>
          <w:p w:rsidR="00EA40A3" w:rsidRDefault="00E86C16">
            <w:pPr>
              <w:spacing w:before="74" w:line="219" w:lineRule="auto"/>
              <w:ind w:left="80"/>
              <w:rPr>
                <w:rFonts w:ascii="宋体" w:eastAsia="宋体" w:hAnsi="宋体" w:cs="宋体"/>
                <w:sz w:val="16"/>
                <w:szCs w:val="16"/>
              </w:rPr>
            </w:pPr>
            <w:r>
              <w:rPr>
                <w:rFonts w:ascii="宋体" w:eastAsia="宋体" w:hAnsi="宋体" w:cs="宋体"/>
                <w:spacing w:val="-2"/>
                <w:sz w:val="16"/>
                <w:szCs w:val="16"/>
              </w:rPr>
              <w:t>上下楼梯</w:t>
            </w:r>
          </w:p>
        </w:tc>
        <w:tc>
          <w:tcPr>
            <w:tcW w:w="1832" w:type="dxa"/>
            <w:tcBorders>
              <w:right w:val="single" w:sz="4" w:space="0" w:color="000000"/>
            </w:tcBorders>
          </w:tcPr>
          <w:p w:rsidR="00EA40A3" w:rsidRDefault="00E86C16">
            <w:pPr>
              <w:spacing w:before="67" w:line="222" w:lineRule="auto"/>
              <w:ind w:left="431"/>
              <w:rPr>
                <w:rFonts w:ascii="宋体" w:eastAsia="宋体" w:hAnsi="宋体" w:cs="宋体"/>
                <w:sz w:val="16"/>
                <w:szCs w:val="16"/>
              </w:rPr>
            </w:pPr>
            <w:r>
              <w:rPr>
                <w:rFonts w:ascii="宋体" w:eastAsia="宋体" w:hAnsi="宋体" w:cs="宋体"/>
                <w:spacing w:val="-2"/>
                <w:sz w:val="16"/>
                <w:szCs w:val="16"/>
              </w:rPr>
              <w:t>1.076(4.500)</w:t>
            </w:r>
          </w:p>
        </w:tc>
        <w:tc>
          <w:tcPr>
            <w:tcW w:w="1985" w:type="dxa"/>
            <w:tcBorders>
              <w:left w:val="single" w:sz="4" w:space="0" w:color="000000"/>
            </w:tcBorders>
          </w:tcPr>
          <w:p w:rsidR="00EA40A3" w:rsidRDefault="00E86C16">
            <w:pPr>
              <w:spacing w:before="84" w:line="219" w:lineRule="auto"/>
              <w:ind w:left="85"/>
              <w:rPr>
                <w:rFonts w:ascii="宋体" w:eastAsia="宋体" w:hAnsi="宋体" w:cs="宋体"/>
                <w:sz w:val="16"/>
                <w:szCs w:val="16"/>
              </w:rPr>
            </w:pPr>
            <w:r>
              <w:rPr>
                <w:rFonts w:ascii="宋体" w:eastAsia="宋体" w:hAnsi="宋体" w:cs="宋体"/>
                <w:spacing w:val="-2"/>
                <w:sz w:val="16"/>
                <w:szCs w:val="16"/>
              </w:rPr>
              <w:t>坐着写字</w:t>
            </w:r>
          </w:p>
        </w:tc>
        <w:tc>
          <w:tcPr>
            <w:tcW w:w="1755" w:type="dxa"/>
          </w:tcPr>
          <w:p w:rsidR="00EA40A3" w:rsidRDefault="00E86C16">
            <w:pPr>
              <w:spacing w:before="87" w:line="222" w:lineRule="auto"/>
              <w:ind w:left="145"/>
              <w:rPr>
                <w:rFonts w:ascii="宋体" w:eastAsia="宋体" w:hAnsi="宋体" w:cs="宋体"/>
                <w:sz w:val="16"/>
                <w:szCs w:val="16"/>
              </w:rPr>
            </w:pPr>
            <w:r>
              <w:rPr>
                <w:rFonts w:ascii="宋体" w:eastAsia="宋体" w:hAnsi="宋体" w:cs="宋体"/>
                <w:spacing w:val="-1"/>
                <w:sz w:val="16"/>
                <w:szCs w:val="16"/>
              </w:rPr>
              <w:t>0.255(1.069)</w:t>
            </w:r>
          </w:p>
        </w:tc>
      </w:tr>
      <w:tr w:rsidR="00EA40A3">
        <w:trPr>
          <w:trHeight w:val="320"/>
        </w:trPr>
        <w:tc>
          <w:tcPr>
            <w:tcW w:w="1708" w:type="dxa"/>
          </w:tcPr>
          <w:p w:rsidR="00EA40A3" w:rsidRDefault="00E86C16">
            <w:pPr>
              <w:spacing w:before="81" w:line="220" w:lineRule="auto"/>
              <w:ind w:left="80"/>
              <w:rPr>
                <w:rFonts w:ascii="宋体" w:eastAsia="宋体" w:hAnsi="宋体" w:cs="宋体"/>
                <w:sz w:val="16"/>
                <w:szCs w:val="16"/>
              </w:rPr>
            </w:pPr>
            <w:r>
              <w:rPr>
                <w:rFonts w:ascii="宋体" w:eastAsia="宋体" w:hAnsi="宋体" w:cs="宋体"/>
                <w:spacing w:val="-2"/>
                <w:sz w:val="16"/>
                <w:szCs w:val="16"/>
              </w:rPr>
              <w:t>刷靴子</w:t>
            </w:r>
          </w:p>
        </w:tc>
        <w:tc>
          <w:tcPr>
            <w:tcW w:w="1832" w:type="dxa"/>
            <w:tcBorders>
              <w:right w:val="single" w:sz="4" w:space="0" w:color="000000"/>
            </w:tcBorders>
          </w:tcPr>
          <w:p w:rsidR="00EA40A3" w:rsidRDefault="00E86C16">
            <w:pPr>
              <w:spacing w:before="73" w:line="222" w:lineRule="auto"/>
              <w:ind w:left="422"/>
              <w:rPr>
                <w:rFonts w:ascii="宋体" w:eastAsia="宋体" w:hAnsi="宋体" w:cs="宋体"/>
                <w:sz w:val="16"/>
                <w:szCs w:val="16"/>
              </w:rPr>
            </w:pPr>
            <w:r>
              <w:rPr>
                <w:rFonts w:ascii="宋体" w:eastAsia="宋体" w:hAnsi="宋体" w:cs="宋体"/>
                <w:spacing w:val="-1"/>
                <w:sz w:val="16"/>
                <w:szCs w:val="16"/>
              </w:rPr>
              <w:t>0.317(1.325)</w:t>
            </w:r>
          </w:p>
        </w:tc>
        <w:tc>
          <w:tcPr>
            <w:tcW w:w="1985" w:type="dxa"/>
            <w:tcBorders>
              <w:left w:val="single" w:sz="4" w:space="0" w:color="000000"/>
            </w:tcBorders>
          </w:tcPr>
          <w:p w:rsidR="00EA40A3" w:rsidRDefault="00E86C16">
            <w:pPr>
              <w:spacing w:before="79" w:line="219" w:lineRule="auto"/>
              <w:ind w:left="85"/>
              <w:rPr>
                <w:rFonts w:ascii="宋体" w:eastAsia="宋体" w:hAnsi="宋体" w:cs="宋体"/>
                <w:sz w:val="16"/>
                <w:szCs w:val="16"/>
              </w:rPr>
            </w:pPr>
            <w:r>
              <w:rPr>
                <w:rFonts w:ascii="宋体" w:eastAsia="宋体" w:hAnsi="宋体" w:cs="宋体"/>
                <w:spacing w:val="-2"/>
                <w:sz w:val="16"/>
                <w:szCs w:val="16"/>
              </w:rPr>
              <w:t>念书</w:t>
            </w:r>
          </w:p>
        </w:tc>
        <w:tc>
          <w:tcPr>
            <w:tcW w:w="1755" w:type="dxa"/>
          </w:tcPr>
          <w:p w:rsidR="00EA40A3" w:rsidRDefault="00E86C16">
            <w:pPr>
              <w:spacing w:before="113" w:line="222" w:lineRule="auto"/>
              <w:ind w:left="145"/>
              <w:rPr>
                <w:rFonts w:ascii="宋体" w:eastAsia="宋体" w:hAnsi="宋体" w:cs="宋体"/>
                <w:sz w:val="16"/>
                <w:szCs w:val="16"/>
              </w:rPr>
            </w:pPr>
            <w:r>
              <w:rPr>
                <w:rFonts w:ascii="宋体" w:eastAsia="宋体" w:hAnsi="宋体" w:cs="宋体"/>
                <w:spacing w:val="-1"/>
                <w:sz w:val="16"/>
                <w:szCs w:val="16"/>
              </w:rPr>
              <w:t>0.284(1.188)</w:t>
            </w:r>
          </w:p>
        </w:tc>
      </w:tr>
      <w:tr w:rsidR="00EA40A3">
        <w:trPr>
          <w:trHeight w:val="298"/>
        </w:trPr>
        <w:tc>
          <w:tcPr>
            <w:tcW w:w="1708" w:type="dxa"/>
          </w:tcPr>
          <w:p w:rsidR="00EA40A3" w:rsidRDefault="00E86C16">
            <w:pPr>
              <w:spacing w:before="70" w:line="219" w:lineRule="auto"/>
              <w:ind w:left="80"/>
              <w:rPr>
                <w:rFonts w:ascii="宋体" w:eastAsia="宋体" w:hAnsi="宋体" w:cs="宋体"/>
                <w:sz w:val="16"/>
                <w:szCs w:val="16"/>
              </w:rPr>
            </w:pPr>
            <w:r>
              <w:rPr>
                <w:rFonts w:ascii="宋体" w:eastAsia="宋体" w:hAnsi="宋体" w:cs="宋体"/>
                <w:spacing w:val="-2"/>
                <w:sz w:val="16"/>
                <w:szCs w:val="16"/>
              </w:rPr>
              <w:t>收拾衣、鞋</w:t>
            </w:r>
          </w:p>
        </w:tc>
        <w:tc>
          <w:tcPr>
            <w:tcW w:w="1832" w:type="dxa"/>
            <w:tcBorders>
              <w:right w:val="single" w:sz="4" w:space="0" w:color="000000"/>
            </w:tcBorders>
          </w:tcPr>
          <w:p w:rsidR="00EA40A3" w:rsidRDefault="00E86C16">
            <w:pPr>
              <w:spacing w:before="63" w:line="222" w:lineRule="auto"/>
              <w:ind w:left="422"/>
              <w:rPr>
                <w:rFonts w:ascii="宋体" w:eastAsia="宋体" w:hAnsi="宋体" w:cs="宋体"/>
                <w:sz w:val="16"/>
                <w:szCs w:val="16"/>
              </w:rPr>
            </w:pPr>
            <w:r>
              <w:rPr>
                <w:rFonts w:ascii="宋体" w:eastAsia="宋体" w:hAnsi="宋体" w:cs="宋体"/>
                <w:spacing w:val="-1"/>
                <w:sz w:val="16"/>
                <w:szCs w:val="16"/>
              </w:rPr>
              <w:t>0.426(1.781)</w:t>
            </w:r>
          </w:p>
        </w:tc>
        <w:tc>
          <w:tcPr>
            <w:tcW w:w="1985" w:type="dxa"/>
            <w:tcBorders>
              <w:left w:val="single" w:sz="4" w:space="0" w:color="000000"/>
            </w:tcBorders>
          </w:tcPr>
          <w:p w:rsidR="00EA40A3" w:rsidRDefault="00E86C16">
            <w:pPr>
              <w:spacing w:before="79" w:line="219" w:lineRule="auto"/>
              <w:ind w:left="85"/>
              <w:rPr>
                <w:rFonts w:ascii="宋体" w:eastAsia="宋体" w:hAnsi="宋体" w:cs="宋体"/>
                <w:sz w:val="16"/>
                <w:szCs w:val="16"/>
              </w:rPr>
            </w:pPr>
            <w:r>
              <w:rPr>
                <w:rFonts w:ascii="宋体" w:eastAsia="宋体" w:hAnsi="宋体" w:cs="宋体"/>
                <w:spacing w:val="2"/>
                <w:sz w:val="16"/>
                <w:szCs w:val="16"/>
              </w:rPr>
              <w:t>卧床看书</w:t>
            </w:r>
          </w:p>
        </w:tc>
        <w:tc>
          <w:tcPr>
            <w:tcW w:w="1755" w:type="dxa"/>
          </w:tcPr>
          <w:p w:rsidR="00EA40A3" w:rsidRDefault="00E86C16">
            <w:pPr>
              <w:spacing w:before="93" w:line="222" w:lineRule="auto"/>
              <w:ind w:left="145"/>
              <w:rPr>
                <w:rFonts w:ascii="宋体" w:eastAsia="宋体" w:hAnsi="宋体" w:cs="宋体"/>
                <w:sz w:val="16"/>
                <w:szCs w:val="16"/>
              </w:rPr>
            </w:pPr>
            <w:r>
              <w:rPr>
                <w:rFonts w:ascii="宋体" w:eastAsia="宋体" w:hAnsi="宋体" w:cs="宋体"/>
                <w:spacing w:val="-1"/>
                <w:sz w:val="16"/>
                <w:szCs w:val="16"/>
              </w:rPr>
              <w:t>0.193(0.806)</w:t>
            </w:r>
          </w:p>
        </w:tc>
      </w:tr>
      <w:tr w:rsidR="00EA40A3">
        <w:trPr>
          <w:trHeight w:val="314"/>
        </w:trPr>
        <w:tc>
          <w:tcPr>
            <w:tcW w:w="1708" w:type="dxa"/>
          </w:tcPr>
          <w:p w:rsidR="00EA40A3" w:rsidRDefault="00E86C16">
            <w:pPr>
              <w:spacing w:before="82" w:line="219" w:lineRule="auto"/>
              <w:ind w:left="80"/>
              <w:rPr>
                <w:rFonts w:ascii="宋体" w:eastAsia="宋体" w:hAnsi="宋体" w:cs="宋体"/>
                <w:sz w:val="16"/>
                <w:szCs w:val="16"/>
              </w:rPr>
            </w:pPr>
            <w:r>
              <w:rPr>
                <w:rFonts w:ascii="宋体" w:eastAsia="宋体" w:hAnsi="宋体" w:cs="宋体"/>
                <w:spacing w:val="-1"/>
                <w:sz w:val="16"/>
                <w:szCs w:val="16"/>
              </w:rPr>
              <w:t>洗、晒东西</w:t>
            </w:r>
          </w:p>
        </w:tc>
        <w:tc>
          <w:tcPr>
            <w:tcW w:w="1832" w:type="dxa"/>
            <w:tcBorders>
              <w:right w:val="single" w:sz="4" w:space="0" w:color="000000"/>
            </w:tcBorders>
          </w:tcPr>
          <w:p w:rsidR="00EA40A3" w:rsidRDefault="00E86C16">
            <w:pPr>
              <w:spacing w:before="75" w:line="222" w:lineRule="auto"/>
              <w:ind w:left="422"/>
              <w:rPr>
                <w:rFonts w:ascii="宋体" w:eastAsia="宋体" w:hAnsi="宋体" w:cs="宋体"/>
                <w:sz w:val="16"/>
                <w:szCs w:val="16"/>
              </w:rPr>
            </w:pPr>
            <w:r>
              <w:rPr>
                <w:rFonts w:ascii="宋体" w:eastAsia="宋体" w:hAnsi="宋体" w:cs="宋体"/>
                <w:spacing w:val="-1"/>
                <w:sz w:val="16"/>
                <w:szCs w:val="16"/>
              </w:rPr>
              <w:t>0.493(2.063)</w:t>
            </w:r>
          </w:p>
        </w:tc>
        <w:tc>
          <w:tcPr>
            <w:tcW w:w="1985" w:type="dxa"/>
            <w:tcBorders>
              <w:left w:val="single" w:sz="4" w:space="0" w:color="000000"/>
            </w:tcBorders>
          </w:tcPr>
          <w:p w:rsidR="00EA40A3" w:rsidRDefault="00E86C16">
            <w:pPr>
              <w:spacing w:before="91" w:line="219" w:lineRule="auto"/>
              <w:ind w:left="85"/>
              <w:rPr>
                <w:rFonts w:ascii="宋体" w:eastAsia="宋体" w:hAnsi="宋体" w:cs="宋体"/>
                <w:sz w:val="16"/>
                <w:szCs w:val="16"/>
              </w:rPr>
            </w:pPr>
            <w:r>
              <w:rPr>
                <w:rFonts w:ascii="宋体" w:eastAsia="宋体" w:hAnsi="宋体" w:cs="宋体"/>
                <w:spacing w:val="-2"/>
                <w:sz w:val="16"/>
                <w:szCs w:val="16"/>
              </w:rPr>
              <w:t>抄黑板报</w:t>
            </w:r>
          </w:p>
        </w:tc>
        <w:tc>
          <w:tcPr>
            <w:tcW w:w="1755" w:type="dxa"/>
          </w:tcPr>
          <w:p w:rsidR="00EA40A3" w:rsidRDefault="00E86C16">
            <w:pPr>
              <w:spacing w:before="105" w:line="222" w:lineRule="auto"/>
              <w:ind w:left="145"/>
              <w:rPr>
                <w:rFonts w:ascii="宋体" w:eastAsia="宋体" w:hAnsi="宋体" w:cs="宋体"/>
                <w:sz w:val="16"/>
                <w:szCs w:val="16"/>
              </w:rPr>
            </w:pPr>
            <w:r>
              <w:rPr>
                <w:rFonts w:ascii="宋体" w:eastAsia="宋体" w:hAnsi="宋体" w:cs="宋体"/>
                <w:spacing w:val="-1"/>
                <w:sz w:val="16"/>
                <w:szCs w:val="16"/>
              </w:rPr>
              <w:t>0.234(0.981)</w:t>
            </w:r>
          </w:p>
        </w:tc>
      </w:tr>
      <w:tr w:rsidR="00EA40A3">
        <w:trPr>
          <w:trHeight w:val="317"/>
        </w:trPr>
        <w:tc>
          <w:tcPr>
            <w:tcW w:w="1708" w:type="dxa"/>
          </w:tcPr>
          <w:p w:rsidR="00EA40A3" w:rsidRDefault="00E86C16">
            <w:pPr>
              <w:spacing w:before="78" w:line="219" w:lineRule="auto"/>
              <w:ind w:left="80"/>
              <w:rPr>
                <w:rFonts w:ascii="宋体" w:eastAsia="宋体" w:hAnsi="宋体" w:cs="宋体"/>
                <w:sz w:val="16"/>
                <w:szCs w:val="16"/>
              </w:rPr>
            </w:pPr>
            <w:r>
              <w:rPr>
                <w:rFonts w:ascii="宋体" w:eastAsia="宋体" w:hAnsi="宋体" w:cs="宋体"/>
                <w:spacing w:val="-1"/>
                <w:sz w:val="16"/>
                <w:szCs w:val="16"/>
              </w:rPr>
              <w:t>做菜、做饭</w:t>
            </w:r>
          </w:p>
        </w:tc>
        <w:tc>
          <w:tcPr>
            <w:tcW w:w="1832" w:type="dxa"/>
            <w:tcBorders>
              <w:right w:val="single" w:sz="4" w:space="0" w:color="000000"/>
            </w:tcBorders>
          </w:tcPr>
          <w:p w:rsidR="00EA40A3" w:rsidRDefault="00E86C16">
            <w:pPr>
              <w:spacing w:before="81" w:line="222" w:lineRule="auto"/>
              <w:ind w:left="422"/>
              <w:rPr>
                <w:rFonts w:ascii="宋体" w:eastAsia="宋体" w:hAnsi="宋体" w:cs="宋体"/>
                <w:sz w:val="16"/>
                <w:szCs w:val="16"/>
              </w:rPr>
            </w:pPr>
            <w:r>
              <w:rPr>
                <w:rFonts w:ascii="宋体" w:eastAsia="宋体" w:hAnsi="宋体" w:cs="宋体"/>
                <w:spacing w:val="-1"/>
                <w:sz w:val="16"/>
                <w:szCs w:val="16"/>
              </w:rPr>
              <w:t>0.381(1.594)</w:t>
            </w:r>
          </w:p>
        </w:tc>
        <w:tc>
          <w:tcPr>
            <w:tcW w:w="1985" w:type="dxa"/>
            <w:tcBorders>
              <w:left w:val="single" w:sz="4" w:space="0" w:color="000000"/>
            </w:tcBorders>
          </w:tcPr>
          <w:p w:rsidR="00EA40A3" w:rsidRDefault="00E86C16">
            <w:pPr>
              <w:spacing w:before="88" w:line="219" w:lineRule="auto"/>
              <w:ind w:left="85"/>
              <w:rPr>
                <w:rFonts w:ascii="宋体" w:eastAsia="宋体" w:hAnsi="宋体" w:cs="宋体"/>
                <w:sz w:val="16"/>
                <w:szCs w:val="16"/>
              </w:rPr>
            </w:pPr>
            <w:r>
              <w:rPr>
                <w:rFonts w:ascii="宋体" w:eastAsia="宋体" w:hAnsi="宋体" w:cs="宋体"/>
                <w:spacing w:val="-2"/>
                <w:sz w:val="16"/>
                <w:szCs w:val="16"/>
              </w:rPr>
              <w:t>站立听讲</w:t>
            </w:r>
          </w:p>
        </w:tc>
        <w:tc>
          <w:tcPr>
            <w:tcW w:w="1755" w:type="dxa"/>
          </w:tcPr>
          <w:p w:rsidR="00EA40A3" w:rsidRDefault="00E86C16">
            <w:pPr>
              <w:spacing w:before="101" w:line="222" w:lineRule="auto"/>
              <w:ind w:left="145"/>
              <w:rPr>
                <w:rFonts w:ascii="宋体" w:eastAsia="宋体" w:hAnsi="宋体" w:cs="宋体"/>
                <w:sz w:val="16"/>
                <w:szCs w:val="16"/>
              </w:rPr>
            </w:pPr>
            <w:r>
              <w:rPr>
                <w:rFonts w:ascii="宋体" w:eastAsia="宋体" w:hAnsi="宋体" w:cs="宋体"/>
                <w:spacing w:val="-1"/>
                <w:sz w:val="16"/>
                <w:szCs w:val="16"/>
              </w:rPr>
              <w:t>0.236(0.988)</w:t>
            </w:r>
          </w:p>
        </w:tc>
      </w:tr>
      <w:tr w:rsidR="00EA40A3">
        <w:trPr>
          <w:trHeight w:val="307"/>
        </w:trPr>
        <w:tc>
          <w:tcPr>
            <w:tcW w:w="1708" w:type="dxa"/>
          </w:tcPr>
          <w:p w:rsidR="00EA40A3" w:rsidRDefault="00E86C16">
            <w:pPr>
              <w:spacing w:before="81" w:line="219" w:lineRule="auto"/>
              <w:ind w:left="80"/>
              <w:rPr>
                <w:rFonts w:ascii="宋体" w:eastAsia="宋体" w:hAnsi="宋体" w:cs="宋体"/>
                <w:sz w:val="16"/>
                <w:szCs w:val="16"/>
              </w:rPr>
            </w:pPr>
            <w:r>
              <w:rPr>
                <w:rFonts w:ascii="宋体" w:eastAsia="宋体" w:hAnsi="宋体" w:cs="宋体"/>
                <w:spacing w:val="-1"/>
                <w:sz w:val="16"/>
                <w:szCs w:val="16"/>
              </w:rPr>
              <w:t>擦洗食具</w:t>
            </w:r>
          </w:p>
        </w:tc>
        <w:tc>
          <w:tcPr>
            <w:tcW w:w="1832" w:type="dxa"/>
            <w:tcBorders>
              <w:right w:val="single" w:sz="4" w:space="0" w:color="000000"/>
            </w:tcBorders>
          </w:tcPr>
          <w:p w:rsidR="00EA40A3" w:rsidRDefault="00E86C16">
            <w:pPr>
              <w:spacing w:before="74" w:line="222" w:lineRule="auto"/>
              <w:ind w:left="401"/>
              <w:rPr>
                <w:rFonts w:ascii="宋体" w:eastAsia="宋体" w:hAnsi="宋体" w:cs="宋体"/>
                <w:sz w:val="16"/>
                <w:szCs w:val="16"/>
              </w:rPr>
            </w:pPr>
            <w:r>
              <w:rPr>
                <w:rFonts w:ascii="宋体" w:eastAsia="宋体" w:hAnsi="宋体" w:cs="宋体"/>
                <w:spacing w:val="-1"/>
                <w:sz w:val="16"/>
                <w:szCs w:val="16"/>
              </w:rPr>
              <w:t>0.512(2.144)</w:t>
            </w:r>
          </w:p>
        </w:tc>
        <w:tc>
          <w:tcPr>
            <w:tcW w:w="1985" w:type="dxa"/>
            <w:tcBorders>
              <w:left w:val="single" w:sz="4" w:space="0" w:color="000000"/>
            </w:tcBorders>
          </w:tcPr>
          <w:p w:rsidR="00EA40A3" w:rsidRDefault="00E86C16">
            <w:pPr>
              <w:spacing w:before="94" w:line="222" w:lineRule="auto"/>
              <w:ind w:left="85"/>
              <w:rPr>
                <w:rFonts w:ascii="宋体" w:eastAsia="宋体" w:hAnsi="宋体" w:cs="宋体"/>
                <w:sz w:val="16"/>
                <w:szCs w:val="16"/>
              </w:rPr>
            </w:pPr>
            <w:r>
              <w:rPr>
                <w:rFonts w:ascii="宋体" w:eastAsia="宋体" w:hAnsi="宋体" w:cs="宋体"/>
                <w:spacing w:val="-2"/>
                <w:sz w:val="16"/>
                <w:szCs w:val="16"/>
              </w:rPr>
              <w:t>站立绘画</w:t>
            </w:r>
          </w:p>
        </w:tc>
        <w:tc>
          <w:tcPr>
            <w:tcW w:w="1755" w:type="dxa"/>
          </w:tcPr>
          <w:p w:rsidR="00EA40A3" w:rsidRDefault="00E86C16">
            <w:pPr>
              <w:spacing w:before="104" w:line="222" w:lineRule="auto"/>
              <w:ind w:left="145"/>
              <w:rPr>
                <w:rFonts w:ascii="宋体" w:eastAsia="宋体" w:hAnsi="宋体" w:cs="宋体"/>
                <w:sz w:val="16"/>
                <w:szCs w:val="16"/>
              </w:rPr>
            </w:pPr>
            <w:r>
              <w:rPr>
                <w:rFonts w:ascii="宋体" w:eastAsia="宋体" w:hAnsi="宋体" w:cs="宋体"/>
                <w:spacing w:val="-1"/>
                <w:sz w:val="16"/>
                <w:szCs w:val="16"/>
              </w:rPr>
              <w:t>0.309(1.294)</w:t>
            </w:r>
          </w:p>
        </w:tc>
      </w:tr>
      <w:tr w:rsidR="00EA40A3">
        <w:trPr>
          <w:trHeight w:val="315"/>
        </w:trPr>
        <w:tc>
          <w:tcPr>
            <w:tcW w:w="1708" w:type="dxa"/>
          </w:tcPr>
          <w:p w:rsidR="00EA40A3" w:rsidRDefault="00E86C16">
            <w:pPr>
              <w:spacing w:before="64" w:line="219" w:lineRule="auto"/>
              <w:ind w:left="80"/>
              <w:rPr>
                <w:rFonts w:ascii="宋体" w:eastAsia="宋体" w:hAnsi="宋体" w:cs="宋体"/>
                <w:sz w:val="16"/>
                <w:szCs w:val="16"/>
              </w:rPr>
            </w:pPr>
            <w:r>
              <w:rPr>
                <w:rFonts w:ascii="宋体" w:eastAsia="宋体" w:hAnsi="宋体" w:cs="宋体"/>
                <w:spacing w:val="-2"/>
                <w:sz w:val="16"/>
                <w:szCs w:val="16"/>
              </w:rPr>
              <w:t>揉面</w:t>
            </w:r>
          </w:p>
        </w:tc>
        <w:tc>
          <w:tcPr>
            <w:tcW w:w="1832" w:type="dxa"/>
            <w:tcBorders>
              <w:right w:val="single" w:sz="4" w:space="0" w:color="000000"/>
            </w:tcBorders>
          </w:tcPr>
          <w:p w:rsidR="00EA40A3" w:rsidRDefault="00E86C16">
            <w:pPr>
              <w:spacing w:before="77" w:line="222" w:lineRule="auto"/>
              <w:ind w:left="412"/>
              <w:rPr>
                <w:rFonts w:ascii="宋体" w:eastAsia="宋体" w:hAnsi="宋体" w:cs="宋体"/>
                <w:sz w:val="16"/>
                <w:szCs w:val="16"/>
              </w:rPr>
            </w:pPr>
            <w:r>
              <w:rPr>
                <w:rFonts w:ascii="宋体" w:eastAsia="宋体" w:hAnsi="宋体" w:cs="宋体"/>
                <w:spacing w:val="-1"/>
                <w:sz w:val="16"/>
                <w:szCs w:val="16"/>
              </w:rPr>
              <w:t>0.444(1.856)</w:t>
            </w:r>
          </w:p>
        </w:tc>
        <w:tc>
          <w:tcPr>
            <w:tcW w:w="1985" w:type="dxa"/>
            <w:tcBorders>
              <w:left w:val="single" w:sz="4" w:space="0" w:color="000000"/>
            </w:tcBorders>
          </w:tcPr>
          <w:p w:rsidR="00EA40A3" w:rsidRDefault="00E86C16">
            <w:pPr>
              <w:spacing w:before="65" w:line="221" w:lineRule="auto"/>
              <w:ind w:left="85"/>
              <w:rPr>
                <w:rFonts w:ascii="宋体" w:eastAsia="宋体" w:hAnsi="宋体" w:cs="宋体"/>
                <w:sz w:val="16"/>
                <w:szCs w:val="16"/>
              </w:rPr>
            </w:pPr>
            <w:r>
              <w:rPr>
                <w:rFonts w:ascii="宋体" w:eastAsia="宋体" w:hAnsi="宋体" w:cs="宋体"/>
                <w:spacing w:val="-2"/>
                <w:sz w:val="16"/>
                <w:szCs w:val="16"/>
              </w:rPr>
              <w:t>小组讨论</w:t>
            </w:r>
          </w:p>
        </w:tc>
        <w:tc>
          <w:tcPr>
            <w:tcW w:w="1755" w:type="dxa"/>
          </w:tcPr>
          <w:p w:rsidR="00EA40A3" w:rsidRDefault="00E86C16">
            <w:pPr>
              <w:spacing w:before="107" w:line="222" w:lineRule="auto"/>
              <w:ind w:left="145"/>
              <w:rPr>
                <w:rFonts w:ascii="宋体" w:eastAsia="宋体" w:hAnsi="宋体" w:cs="宋体"/>
                <w:sz w:val="16"/>
                <w:szCs w:val="16"/>
              </w:rPr>
            </w:pPr>
            <w:r>
              <w:rPr>
                <w:rFonts w:ascii="宋体" w:eastAsia="宋体" w:hAnsi="宋体" w:cs="宋体"/>
                <w:spacing w:val="-1"/>
                <w:sz w:val="16"/>
                <w:szCs w:val="16"/>
              </w:rPr>
              <w:t>0.222(0.930)</w:t>
            </w:r>
          </w:p>
        </w:tc>
      </w:tr>
      <w:tr w:rsidR="00EA40A3">
        <w:trPr>
          <w:trHeight w:val="315"/>
        </w:trPr>
        <w:tc>
          <w:tcPr>
            <w:tcW w:w="1708" w:type="dxa"/>
          </w:tcPr>
          <w:p w:rsidR="00EA40A3" w:rsidRDefault="00E86C16">
            <w:pPr>
              <w:spacing w:before="70" w:line="220" w:lineRule="auto"/>
              <w:ind w:left="80"/>
              <w:rPr>
                <w:rFonts w:ascii="宋体" w:eastAsia="宋体" w:hAnsi="宋体" w:cs="宋体"/>
                <w:sz w:val="16"/>
                <w:szCs w:val="16"/>
              </w:rPr>
            </w:pPr>
            <w:r>
              <w:rPr>
                <w:rFonts w:ascii="宋体" w:eastAsia="宋体" w:hAnsi="宋体" w:cs="宋体"/>
                <w:spacing w:val="-2"/>
                <w:sz w:val="16"/>
                <w:szCs w:val="16"/>
              </w:rPr>
              <w:t>给人理发</w:t>
            </w:r>
          </w:p>
        </w:tc>
        <w:tc>
          <w:tcPr>
            <w:tcW w:w="1832" w:type="dxa"/>
            <w:tcBorders>
              <w:right w:val="single" w:sz="4" w:space="0" w:color="000000"/>
            </w:tcBorders>
          </w:tcPr>
          <w:p w:rsidR="00EA40A3" w:rsidRDefault="00E86C16">
            <w:pPr>
              <w:spacing w:before="82" w:line="222" w:lineRule="auto"/>
              <w:ind w:left="401"/>
              <w:rPr>
                <w:rFonts w:ascii="宋体" w:eastAsia="宋体" w:hAnsi="宋体" w:cs="宋体"/>
                <w:sz w:val="16"/>
                <w:szCs w:val="16"/>
              </w:rPr>
            </w:pPr>
            <w:r>
              <w:rPr>
                <w:rFonts w:ascii="宋体" w:eastAsia="宋体" w:hAnsi="宋体" w:cs="宋体"/>
                <w:spacing w:val="-1"/>
                <w:sz w:val="16"/>
                <w:szCs w:val="16"/>
              </w:rPr>
              <w:t>0.347(1.450)</w:t>
            </w:r>
          </w:p>
        </w:tc>
        <w:tc>
          <w:tcPr>
            <w:tcW w:w="1985" w:type="dxa"/>
            <w:tcBorders>
              <w:left w:val="single" w:sz="4" w:space="0" w:color="000000"/>
            </w:tcBorders>
          </w:tcPr>
          <w:p w:rsidR="00EA40A3" w:rsidRDefault="00E86C16">
            <w:pPr>
              <w:spacing w:before="89" w:line="219" w:lineRule="auto"/>
              <w:ind w:left="85"/>
              <w:rPr>
                <w:rFonts w:ascii="宋体" w:eastAsia="宋体" w:hAnsi="宋体" w:cs="宋体"/>
                <w:sz w:val="16"/>
                <w:szCs w:val="16"/>
              </w:rPr>
            </w:pPr>
            <w:r>
              <w:rPr>
                <w:rFonts w:ascii="宋体" w:eastAsia="宋体" w:hAnsi="宋体" w:cs="宋体"/>
                <w:spacing w:val="5"/>
                <w:sz w:val="16"/>
                <w:szCs w:val="16"/>
              </w:rPr>
              <w:t>体操(立正)</w:t>
            </w:r>
          </w:p>
        </w:tc>
        <w:tc>
          <w:tcPr>
            <w:tcW w:w="1755" w:type="dxa"/>
          </w:tcPr>
          <w:p w:rsidR="00EA40A3" w:rsidRDefault="00E86C16">
            <w:pPr>
              <w:spacing w:before="112" w:line="222" w:lineRule="auto"/>
              <w:ind w:left="145"/>
              <w:rPr>
                <w:rFonts w:ascii="宋体" w:eastAsia="宋体" w:hAnsi="宋体" w:cs="宋体"/>
                <w:sz w:val="16"/>
                <w:szCs w:val="16"/>
              </w:rPr>
            </w:pPr>
            <w:r>
              <w:rPr>
                <w:rFonts w:ascii="宋体" w:eastAsia="宋体" w:hAnsi="宋体" w:cs="宋体"/>
                <w:spacing w:val="-1"/>
                <w:sz w:val="16"/>
                <w:szCs w:val="16"/>
              </w:rPr>
              <w:t>0.403(1.688)</w:t>
            </w:r>
          </w:p>
        </w:tc>
      </w:tr>
      <w:tr w:rsidR="00EA40A3">
        <w:trPr>
          <w:trHeight w:val="315"/>
        </w:trPr>
        <w:tc>
          <w:tcPr>
            <w:tcW w:w="1708" w:type="dxa"/>
          </w:tcPr>
          <w:p w:rsidR="00EA40A3" w:rsidRDefault="00E86C16">
            <w:pPr>
              <w:spacing w:before="64" w:line="219" w:lineRule="auto"/>
              <w:ind w:left="80"/>
              <w:rPr>
                <w:rFonts w:ascii="宋体" w:eastAsia="宋体" w:hAnsi="宋体" w:cs="宋体"/>
                <w:sz w:val="16"/>
                <w:szCs w:val="16"/>
              </w:rPr>
            </w:pPr>
            <w:r>
              <w:rPr>
                <w:rFonts w:ascii="宋体" w:eastAsia="宋体" w:hAnsi="宋体" w:cs="宋体"/>
                <w:spacing w:val="6"/>
                <w:sz w:val="16"/>
                <w:szCs w:val="16"/>
              </w:rPr>
              <w:t>剪指甲</w:t>
            </w:r>
          </w:p>
        </w:tc>
        <w:tc>
          <w:tcPr>
            <w:tcW w:w="1832" w:type="dxa"/>
            <w:tcBorders>
              <w:right w:val="single" w:sz="4" w:space="0" w:color="000000"/>
            </w:tcBorders>
          </w:tcPr>
          <w:p w:rsidR="00EA40A3" w:rsidRDefault="00E86C16">
            <w:pPr>
              <w:spacing w:before="77" w:line="222" w:lineRule="auto"/>
              <w:ind w:left="401"/>
              <w:rPr>
                <w:rFonts w:ascii="宋体" w:eastAsia="宋体" w:hAnsi="宋体" w:cs="宋体"/>
                <w:sz w:val="16"/>
                <w:szCs w:val="16"/>
              </w:rPr>
            </w:pPr>
            <w:r>
              <w:rPr>
                <w:rFonts w:ascii="宋体" w:eastAsia="宋体" w:hAnsi="宋体" w:cs="宋体"/>
                <w:spacing w:val="-1"/>
                <w:sz w:val="16"/>
                <w:szCs w:val="16"/>
              </w:rPr>
              <w:t>0.221(0.925)</w:t>
            </w:r>
          </w:p>
        </w:tc>
        <w:tc>
          <w:tcPr>
            <w:tcW w:w="1985" w:type="dxa"/>
            <w:tcBorders>
              <w:left w:val="single" w:sz="4" w:space="0" w:color="000000"/>
            </w:tcBorders>
          </w:tcPr>
          <w:p w:rsidR="00EA40A3" w:rsidRDefault="00E86C16">
            <w:pPr>
              <w:spacing w:before="94" w:line="219" w:lineRule="auto"/>
              <w:ind w:left="85"/>
              <w:rPr>
                <w:rFonts w:ascii="宋体" w:eastAsia="宋体" w:hAnsi="宋体" w:cs="宋体"/>
                <w:sz w:val="16"/>
                <w:szCs w:val="16"/>
              </w:rPr>
            </w:pPr>
            <w:r>
              <w:rPr>
                <w:rFonts w:ascii="宋体" w:eastAsia="宋体" w:hAnsi="宋体" w:cs="宋体"/>
                <w:spacing w:val="4"/>
                <w:sz w:val="16"/>
                <w:szCs w:val="16"/>
              </w:rPr>
              <w:t>体操(头部运动)</w:t>
            </w:r>
          </w:p>
        </w:tc>
        <w:tc>
          <w:tcPr>
            <w:tcW w:w="1755" w:type="dxa"/>
          </w:tcPr>
          <w:p w:rsidR="00EA40A3" w:rsidRDefault="00E86C16">
            <w:pPr>
              <w:spacing w:before="107" w:line="222" w:lineRule="auto"/>
              <w:ind w:left="154"/>
              <w:rPr>
                <w:rFonts w:ascii="宋体" w:eastAsia="宋体" w:hAnsi="宋体" w:cs="宋体"/>
                <w:sz w:val="16"/>
                <w:szCs w:val="16"/>
              </w:rPr>
            </w:pPr>
            <w:r>
              <w:rPr>
                <w:rFonts w:ascii="宋体" w:eastAsia="宋体" w:hAnsi="宋体" w:cs="宋体"/>
                <w:spacing w:val="-1"/>
                <w:sz w:val="16"/>
                <w:szCs w:val="16"/>
              </w:rPr>
              <w:t>0.299(1.250)</w:t>
            </w:r>
          </w:p>
        </w:tc>
      </w:tr>
      <w:tr w:rsidR="00EA40A3">
        <w:trPr>
          <w:trHeight w:val="304"/>
        </w:trPr>
        <w:tc>
          <w:tcPr>
            <w:tcW w:w="1708" w:type="dxa"/>
          </w:tcPr>
          <w:p w:rsidR="00EA40A3" w:rsidRDefault="00E86C16">
            <w:pPr>
              <w:spacing w:before="70" w:line="220" w:lineRule="auto"/>
              <w:ind w:left="80"/>
              <w:rPr>
                <w:rFonts w:ascii="宋体" w:eastAsia="宋体" w:hAnsi="宋体" w:cs="宋体"/>
                <w:sz w:val="16"/>
                <w:szCs w:val="16"/>
              </w:rPr>
            </w:pPr>
            <w:r>
              <w:rPr>
                <w:rFonts w:ascii="宋体" w:eastAsia="宋体" w:hAnsi="宋体" w:cs="宋体"/>
                <w:spacing w:val="-2"/>
                <w:sz w:val="16"/>
                <w:szCs w:val="16"/>
              </w:rPr>
              <w:t>打扫院子</w:t>
            </w:r>
          </w:p>
        </w:tc>
        <w:tc>
          <w:tcPr>
            <w:tcW w:w="1832" w:type="dxa"/>
            <w:tcBorders>
              <w:right w:val="single" w:sz="4" w:space="0" w:color="000000"/>
            </w:tcBorders>
          </w:tcPr>
          <w:p w:rsidR="00EA40A3" w:rsidRDefault="00E86C16">
            <w:pPr>
              <w:spacing w:before="72" w:line="222" w:lineRule="auto"/>
              <w:ind w:left="401"/>
              <w:rPr>
                <w:rFonts w:ascii="宋体" w:eastAsia="宋体" w:hAnsi="宋体" w:cs="宋体"/>
                <w:sz w:val="16"/>
                <w:szCs w:val="16"/>
              </w:rPr>
            </w:pPr>
            <w:r>
              <w:rPr>
                <w:rFonts w:ascii="宋体" w:eastAsia="宋体" w:hAnsi="宋体" w:cs="宋体"/>
                <w:spacing w:val="-1"/>
                <w:sz w:val="16"/>
                <w:szCs w:val="16"/>
              </w:rPr>
              <w:t>0.356(1.488)</w:t>
            </w:r>
          </w:p>
        </w:tc>
        <w:tc>
          <w:tcPr>
            <w:tcW w:w="1985" w:type="dxa"/>
            <w:tcBorders>
              <w:left w:val="single" w:sz="4" w:space="0" w:color="000000"/>
            </w:tcBorders>
          </w:tcPr>
          <w:p w:rsidR="00EA40A3" w:rsidRDefault="00E86C16">
            <w:pPr>
              <w:spacing w:before="99" w:line="219" w:lineRule="auto"/>
              <w:ind w:left="85"/>
              <w:rPr>
                <w:rFonts w:ascii="宋体" w:eastAsia="宋体" w:hAnsi="宋体" w:cs="宋体"/>
                <w:sz w:val="16"/>
                <w:szCs w:val="16"/>
              </w:rPr>
            </w:pPr>
            <w:r>
              <w:rPr>
                <w:rFonts w:ascii="宋体" w:eastAsia="宋体" w:hAnsi="宋体" w:cs="宋体"/>
                <w:spacing w:val="4"/>
                <w:sz w:val="16"/>
                <w:szCs w:val="16"/>
              </w:rPr>
              <w:t>体操(胸部运动)</w:t>
            </w:r>
          </w:p>
        </w:tc>
        <w:tc>
          <w:tcPr>
            <w:tcW w:w="1755" w:type="dxa"/>
          </w:tcPr>
          <w:p w:rsidR="00EA40A3" w:rsidRDefault="00E86C16">
            <w:pPr>
              <w:spacing w:before="111" w:line="222" w:lineRule="auto"/>
              <w:ind w:left="134"/>
              <w:rPr>
                <w:rFonts w:ascii="宋体" w:eastAsia="宋体" w:hAnsi="宋体" w:cs="宋体"/>
                <w:sz w:val="16"/>
                <w:szCs w:val="16"/>
              </w:rPr>
            </w:pPr>
            <w:r>
              <w:rPr>
                <w:rFonts w:ascii="宋体" w:eastAsia="宋体" w:hAnsi="宋体" w:cs="宋体"/>
                <w:spacing w:val="-1"/>
                <w:sz w:val="16"/>
                <w:szCs w:val="16"/>
              </w:rPr>
              <w:t>0.357(1.494)</w:t>
            </w:r>
          </w:p>
        </w:tc>
      </w:tr>
      <w:tr w:rsidR="00EA40A3">
        <w:trPr>
          <w:trHeight w:val="319"/>
        </w:trPr>
        <w:tc>
          <w:tcPr>
            <w:tcW w:w="1708" w:type="dxa"/>
          </w:tcPr>
          <w:p w:rsidR="00EA40A3" w:rsidRDefault="00E86C16">
            <w:pPr>
              <w:spacing w:before="56" w:line="220" w:lineRule="auto"/>
              <w:ind w:left="80"/>
              <w:rPr>
                <w:rFonts w:ascii="宋体" w:eastAsia="宋体" w:hAnsi="宋体" w:cs="宋体"/>
                <w:sz w:val="16"/>
                <w:szCs w:val="16"/>
              </w:rPr>
            </w:pPr>
            <w:r>
              <w:rPr>
                <w:rFonts w:ascii="宋体" w:eastAsia="宋体" w:hAnsi="宋体" w:cs="宋体"/>
                <w:spacing w:val="-2"/>
                <w:sz w:val="16"/>
                <w:szCs w:val="16"/>
              </w:rPr>
              <w:t>清扫沟道</w:t>
            </w:r>
          </w:p>
        </w:tc>
        <w:tc>
          <w:tcPr>
            <w:tcW w:w="1832" w:type="dxa"/>
            <w:tcBorders>
              <w:right w:val="single" w:sz="4" w:space="0" w:color="000000"/>
            </w:tcBorders>
          </w:tcPr>
          <w:p w:rsidR="00EA40A3" w:rsidRDefault="00E86C16">
            <w:pPr>
              <w:spacing w:before="78" w:line="222" w:lineRule="auto"/>
              <w:ind w:left="401"/>
              <w:rPr>
                <w:rFonts w:ascii="宋体" w:eastAsia="宋体" w:hAnsi="宋体" w:cs="宋体"/>
                <w:sz w:val="16"/>
                <w:szCs w:val="16"/>
              </w:rPr>
            </w:pPr>
            <w:r>
              <w:rPr>
                <w:rFonts w:ascii="宋体" w:eastAsia="宋体" w:hAnsi="宋体" w:cs="宋体"/>
                <w:spacing w:val="-1"/>
                <w:sz w:val="16"/>
                <w:szCs w:val="16"/>
              </w:rPr>
              <w:t>0.862(3.606)</w:t>
            </w:r>
          </w:p>
        </w:tc>
        <w:tc>
          <w:tcPr>
            <w:tcW w:w="1985" w:type="dxa"/>
            <w:tcBorders>
              <w:left w:val="single" w:sz="4" w:space="0" w:color="000000"/>
            </w:tcBorders>
          </w:tcPr>
          <w:p w:rsidR="00EA40A3" w:rsidRDefault="00E86C16">
            <w:pPr>
              <w:spacing w:before="95" w:line="219" w:lineRule="auto"/>
              <w:ind w:left="85"/>
              <w:rPr>
                <w:rFonts w:ascii="宋体" w:eastAsia="宋体" w:hAnsi="宋体" w:cs="宋体"/>
                <w:sz w:val="16"/>
                <w:szCs w:val="16"/>
              </w:rPr>
            </w:pPr>
            <w:r>
              <w:rPr>
                <w:rFonts w:ascii="宋体" w:eastAsia="宋体" w:hAnsi="宋体" w:cs="宋体"/>
                <w:spacing w:val="4"/>
                <w:sz w:val="16"/>
                <w:szCs w:val="16"/>
              </w:rPr>
              <w:t>体操(臀部运动)</w:t>
            </w:r>
          </w:p>
        </w:tc>
        <w:tc>
          <w:tcPr>
            <w:tcW w:w="1755" w:type="dxa"/>
          </w:tcPr>
          <w:p w:rsidR="00EA40A3" w:rsidRDefault="00E86C16">
            <w:pPr>
              <w:spacing w:before="118" w:line="222" w:lineRule="auto"/>
              <w:ind w:left="134"/>
              <w:rPr>
                <w:rFonts w:ascii="宋体" w:eastAsia="宋体" w:hAnsi="宋体" w:cs="宋体"/>
                <w:sz w:val="16"/>
                <w:szCs w:val="16"/>
              </w:rPr>
            </w:pPr>
            <w:r>
              <w:rPr>
                <w:rFonts w:ascii="宋体" w:eastAsia="宋体" w:hAnsi="宋体" w:cs="宋体"/>
                <w:spacing w:val="-1"/>
                <w:sz w:val="16"/>
                <w:szCs w:val="16"/>
              </w:rPr>
              <w:t>0.374(1.563)</w:t>
            </w:r>
          </w:p>
        </w:tc>
      </w:tr>
      <w:tr w:rsidR="00EA40A3">
        <w:trPr>
          <w:trHeight w:val="275"/>
        </w:trPr>
        <w:tc>
          <w:tcPr>
            <w:tcW w:w="1708" w:type="dxa"/>
            <w:tcBorders>
              <w:bottom w:val="single" w:sz="4" w:space="0" w:color="000000"/>
            </w:tcBorders>
          </w:tcPr>
          <w:p w:rsidR="00EA40A3" w:rsidRDefault="00E86C16">
            <w:pPr>
              <w:spacing w:before="66" w:line="219" w:lineRule="auto"/>
              <w:ind w:left="80"/>
              <w:rPr>
                <w:rFonts w:ascii="宋体" w:eastAsia="宋体" w:hAnsi="宋体" w:cs="宋体"/>
                <w:sz w:val="16"/>
                <w:szCs w:val="16"/>
              </w:rPr>
            </w:pPr>
            <w:r>
              <w:rPr>
                <w:rFonts w:ascii="宋体" w:eastAsia="宋体" w:hAnsi="宋体" w:cs="宋体"/>
                <w:spacing w:val="-1"/>
                <w:sz w:val="16"/>
                <w:szCs w:val="16"/>
              </w:rPr>
              <w:t>擦洗玻璃</w:t>
            </w:r>
          </w:p>
        </w:tc>
        <w:tc>
          <w:tcPr>
            <w:tcW w:w="1832" w:type="dxa"/>
            <w:tcBorders>
              <w:bottom w:val="single" w:sz="4" w:space="0" w:color="000000"/>
              <w:right w:val="single" w:sz="4" w:space="0" w:color="000000"/>
            </w:tcBorders>
          </w:tcPr>
          <w:p w:rsidR="00EA40A3" w:rsidRDefault="00E86C16">
            <w:pPr>
              <w:spacing w:before="79" w:line="222" w:lineRule="auto"/>
              <w:ind w:left="401"/>
              <w:rPr>
                <w:rFonts w:ascii="宋体" w:eastAsia="宋体" w:hAnsi="宋体" w:cs="宋体"/>
                <w:sz w:val="16"/>
                <w:szCs w:val="16"/>
              </w:rPr>
            </w:pPr>
            <w:r>
              <w:rPr>
                <w:rFonts w:ascii="宋体" w:eastAsia="宋体" w:hAnsi="宋体" w:cs="宋体"/>
                <w:spacing w:val="-1"/>
                <w:sz w:val="16"/>
                <w:szCs w:val="16"/>
              </w:rPr>
              <w:t>0.459(1.919)</w:t>
            </w:r>
          </w:p>
        </w:tc>
        <w:tc>
          <w:tcPr>
            <w:tcW w:w="1985" w:type="dxa"/>
            <w:tcBorders>
              <w:left w:val="single" w:sz="4" w:space="0" w:color="000000"/>
              <w:bottom w:val="single" w:sz="4" w:space="0" w:color="000000"/>
            </w:tcBorders>
          </w:tcPr>
          <w:p w:rsidR="00EA40A3" w:rsidRDefault="00E86C16">
            <w:pPr>
              <w:spacing w:before="96" w:line="206" w:lineRule="auto"/>
              <w:ind w:left="85"/>
              <w:rPr>
                <w:rFonts w:ascii="宋体" w:eastAsia="宋体" w:hAnsi="宋体" w:cs="宋体"/>
                <w:sz w:val="16"/>
                <w:szCs w:val="16"/>
              </w:rPr>
            </w:pPr>
            <w:r>
              <w:rPr>
                <w:rFonts w:ascii="宋体" w:eastAsia="宋体" w:hAnsi="宋体" w:cs="宋体"/>
                <w:spacing w:val="4"/>
                <w:sz w:val="16"/>
                <w:szCs w:val="16"/>
              </w:rPr>
              <w:t>体操(腹部运动)</w:t>
            </w:r>
          </w:p>
        </w:tc>
        <w:tc>
          <w:tcPr>
            <w:tcW w:w="1755" w:type="dxa"/>
            <w:tcBorders>
              <w:bottom w:val="single" w:sz="4" w:space="0" w:color="000000"/>
            </w:tcBorders>
          </w:tcPr>
          <w:p w:rsidR="00EA40A3" w:rsidRDefault="00E86C16">
            <w:pPr>
              <w:spacing w:before="118" w:line="192" w:lineRule="auto"/>
              <w:ind w:left="134"/>
              <w:rPr>
                <w:rFonts w:ascii="宋体" w:eastAsia="宋体" w:hAnsi="宋体" w:cs="宋体"/>
                <w:sz w:val="15"/>
                <w:szCs w:val="15"/>
              </w:rPr>
            </w:pPr>
            <w:r>
              <w:rPr>
                <w:rFonts w:ascii="宋体" w:eastAsia="宋体" w:hAnsi="宋体" w:cs="宋体"/>
                <w:spacing w:val="4"/>
                <w:sz w:val="15"/>
                <w:szCs w:val="15"/>
              </w:rPr>
              <w:t>0.399(1.669)</w:t>
            </w:r>
          </w:p>
        </w:tc>
      </w:tr>
    </w:tbl>
    <w:p w:rsidR="00EA40A3" w:rsidRDefault="00E86C16">
      <w:pPr>
        <w:spacing w:before="178"/>
        <w:ind w:left="109"/>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426</w:t>
      </w:r>
      <w:r>
        <w:rPr>
          <w:rFonts w:ascii="宋体" w:eastAsia="宋体" w:hAnsi="宋体" w:cs="宋体"/>
          <w:spacing w:val="52"/>
          <w:sz w:val="17"/>
          <w:szCs w:val="17"/>
        </w:rPr>
        <w:t xml:space="preserve"> </w:t>
      </w:r>
      <w:r>
        <w:rPr>
          <w:rFonts w:ascii="宋体" w:eastAsia="宋体" w:hAnsi="宋体" w:cs="宋体"/>
          <w:spacing w:val="-21"/>
          <w:sz w:val="17"/>
          <w:szCs w:val="17"/>
        </w:rPr>
        <w:t>·</w:t>
      </w:r>
    </w:p>
    <w:p w:rsidR="00EA40A3" w:rsidRDefault="00EA40A3">
      <w:pPr>
        <w:sectPr w:rsidR="00EA40A3">
          <w:headerReference w:type="default" r:id="rId354"/>
          <w:footerReference w:type="default" r:id="rId355"/>
          <w:pgSz w:w="9220" w:h="13360"/>
          <w:pgMar w:top="400" w:right="1069" w:bottom="400" w:left="870" w:header="0" w:footer="0" w:gutter="0"/>
          <w:cols w:space="720"/>
        </w:sectPr>
      </w:pPr>
    </w:p>
    <w:p w:rsidR="00EA40A3" w:rsidRDefault="00EA40A3">
      <w:pPr>
        <w:spacing w:line="476" w:lineRule="auto"/>
      </w:pPr>
    </w:p>
    <w:p w:rsidR="00EA40A3" w:rsidRDefault="00E86C16">
      <w:pPr>
        <w:spacing w:before="58" w:line="220" w:lineRule="auto"/>
        <w:ind w:right="334"/>
        <w:jc w:val="right"/>
        <w:rPr>
          <w:rFonts w:ascii="宋体" w:eastAsia="宋体" w:hAnsi="宋体" w:cs="宋体"/>
          <w:sz w:val="18"/>
          <w:szCs w:val="18"/>
        </w:rPr>
      </w:pPr>
      <w:r>
        <w:rPr>
          <w:rFonts w:ascii="宋体" w:eastAsia="宋体" w:hAnsi="宋体" w:cs="宋体"/>
          <w:spacing w:val="-3"/>
          <w:sz w:val="18"/>
          <w:szCs w:val="18"/>
        </w:rPr>
        <w:t>续表</w:t>
      </w:r>
    </w:p>
    <w:p w:rsidR="00EA40A3" w:rsidRDefault="00EA40A3">
      <w:pPr>
        <w:spacing w:line="72" w:lineRule="exact"/>
      </w:pPr>
    </w:p>
    <w:tbl>
      <w:tblPr>
        <w:tblStyle w:val="TableNormal"/>
        <w:tblW w:w="72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0"/>
        <w:gridCol w:w="1560"/>
        <w:gridCol w:w="1933"/>
        <w:gridCol w:w="1786"/>
      </w:tblGrid>
      <w:tr w:rsidR="00EA40A3">
        <w:trPr>
          <w:trHeight w:val="314"/>
        </w:trPr>
        <w:tc>
          <w:tcPr>
            <w:tcW w:w="1970" w:type="dxa"/>
            <w:tcBorders>
              <w:left w:val="nil"/>
              <w:right w:val="nil"/>
            </w:tcBorders>
          </w:tcPr>
          <w:p w:rsidR="00EA40A3" w:rsidRDefault="00E86C16">
            <w:pPr>
              <w:spacing w:before="112" w:line="220" w:lineRule="auto"/>
              <w:ind w:left="540"/>
              <w:rPr>
                <w:rFonts w:ascii="宋体" w:eastAsia="宋体" w:hAnsi="宋体" w:cs="宋体"/>
                <w:sz w:val="16"/>
                <w:szCs w:val="16"/>
              </w:rPr>
            </w:pPr>
            <w:r>
              <w:rPr>
                <w:rFonts w:ascii="宋体" w:eastAsia="宋体" w:hAnsi="宋体" w:cs="宋体"/>
                <w:spacing w:val="-2"/>
                <w:sz w:val="16"/>
                <w:szCs w:val="16"/>
              </w:rPr>
              <w:t>动作名称</w:t>
            </w:r>
          </w:p>
        </w:tc>
        <w:tc>
          <w:tcPr>
            <w:tcW w:w="1560" w:type="dxa"/>
            <w:tcBorders>
              <w:left w:val="nil"/>
            </w:tcBorders>
          </w:tcPr>
          <w:p w:rsidR="00EA40A3" w:rsidRDefault="00E86C16">
            <w:pPr>
              <w:spacing w:before="90" w:line="218" w:lineRule="auto"/>
              <w:ind w:left="70"/>
              <w:rPr>
                <w:rFonts w:ascii="宋体" w:eastAsia="宋体" w:hAnsi="宋体" w:cs="宋体"/>
                <w:sz w:val="16"/>
                <w:szCs w:val="16"/>
              </w:rPr>
            </w:pPr>
            <w:r>
              <w:rPr>
                <w:rFonts w:ascii="宋体" w:eastAsia="宋体" w:hAnsi="宋体" w:cs="宋体"/>
                <w:spacing w:val="-4"/>
                <w:sz w:val="16"/>
                <w:szCs w:val="16"/>
              </w:rPr>
              <w:t>kJ(kcal)/(m²</w:t>
            </w:r>
            <w:r>
              <w:rPr>
                <w:rFonts w:ascii="宋体" w:eastAsia="宋体" w:hAnsi="宋体" w:cs="宋体"/>
                <w:spacing w:val="-18"/>
                <w:sz w:val="16"/>
                <w:szCs w:val="16"/>
              </w:rPr>
              <w:t xml:space="preserve"> </w:t>
            </w:r>
            <w:r>
              <w:rPr>
                <w:rFonts w:ascii="宋体" w:eastAsia="宋体" w:hAnsi="宋体" w:cs="宋体"/>
                <w:spacing w:val="-4"/>
                <w:sz w:val="16"/>
                <w:szCs w:val="16"/>
              </w:rPr>
              <w:t>·min)</w:t>
            </w:r>
          </w:p>
        </w:tc>
        <w:tc>
          <w:tcPr>
            <w:tcW w:w="1933" w:type="dxa"/>
            <w:tcBorders>
              <w:right w:val="nil"/>
            </w:tcBorders>
          </w:tcPr>
          <w:p w:rsidR="00EA40A3" w:rsidRDefault="00E86C16">
            <w:pPr>
              <w:spacing w:before="61" w:line="220" w:lineRule="auto"/>
              <w:ind w:left="564"/>
              <w:rPr>
                <w:rFonts w:ascii="宋体" w:eastAsia="宋体" w:hAnsi="宋体" w:cs="宋体"/>
                <w:sz w:val="16"/>
                <w:szCs w:val="16"/>
              </w:rPr>
            </w:pPr>
            <w:r>
              <w:rPr>
                <w:rFonts w:ascii="宋体" w:eastAsia="宋体" w:hAnsi="宋体" w:cs="宋体"/>
                <w:spacing w:val="-2"/>
                <w:sz w:val="16"/>
                <w:szCs w:val="16"/>
              </w:rPr>
              <w:t>动作名称</w:t>
            </w:r>
          </w:p>
        </w:tc>
        <w:tc>
          <w:tcPr>
            <w:tcW w:w="1786" w:type="dxa"/>
            <w:tcBorders>
              <w:left w:val="nil"/>
              <w:right w:val="nil"/>
            </w:tcBorders>
          </w:tcPr>
          <w:p w:rsidR="00EA40A3" w:rsidRDefault="00E86C16">
            <w:pPr>
              <w:spacing w:before="40" w:line="218" w:lineRule="auto"/>
              <w:ind w:left="227"/>
              <w:rPr>
                <w:rFonts w:ascii="宋体" w:eastAsia="宋体" w:hAnsi="宋体" w:cs="宋体"/>
                <w:sz w:val="16"/>
                <w:szCs w:val="16"/>
              </w:rPr>
            </w:pPr>
            <w:r>
              <w:rPr>
                <w:rFonts w:ascii="宋体" w:eastAsia="宋体" w:hAnsi="宋体" w:cs="宋体"/>
                <w:spacing w:val="-4"/>
                <w:sz w:val="16"/>
                <w:szCs w:val="16"/>
              </w:rPr>
              <w:t>kJ(kcal)/(m²</w:t>
            </w:r>
            <w:r>
              <w:rPr>
                <w:rFonts w:ascii="宋体" w:eastAsia="宋体" w:hAnsi="宋体" w:cs="宋体"/>
                <w:spacing w:val="-18"/>
                <w:sz w:val="16"/>
                <w:szCs w:val="16"/>
              </w:rPr>
              <w:t xml:space="preserve"> </w:t>
            </w:r>
            <w:r>
              <w:rPr>
                <w:rFonts w:ascii="宋体" w:eastAsia="宋体" w:hAnsi="宋体" w:cs="宋体"/>
                <w:spacing w:val="-4"/>
                <w:sz w:val="16"/>
                <w:szCs w:val="16"/>
              </w:rPr>
              <w:t>·min)</w:t>
            </w:r>
          </w:p>
        </w:tc>
      </w:tr>
      <w:tr w:rsidR="00EA40A3">
        <w:trPr>
          <w:trHeight w:val="10185"/>
        </w:trPr>
        <w:tc>
          <w:tcPr>
            <w:tcW w:w="1970" w:type="dxa"/>
            <w:tcBorders>
              <w:left w:val="nil"/>
              <w:right w:val="nil"/>
            </w:tcBorders>
          </w:tcPr>
          <w:p w:rsidR="00EA40A3" w:rsidRDefault="00E86C16">
            <w:pPr>
              <w:spacing w:before="107" w:line="299" w:lineRule="exact"/>
              <w:ind w:left="60"/>
              <w:rPr>
                <w:rFonts w:ascii="宋体" w:eastAsia="宋体" w:hAnsi="宋体" w:cs="宋体"/>
                <w:sz w:val="16"/>
                <w:szCs w:val="16"/>
              </w:rPr>
            </w:pPr>
            <w:r>
              <w:rPr>
                <w:rFonts w:ascii="宋体" w:eastAsia="宋体" w:hAnsi="宋体" w:cs="宋体"/>
                <w:spacing w:val="4"/>
                <w:position w:val="10"/>
                <w:sz w:val="16"/>
                <w:szCs w:val="16"/>
              </w:rPr>
              <w:t>体操(腿部运动)</w:t>
            </w:r>
          </w:p>
          <w:p w:rsidR="00EA40A3" w:rsidRDefault="00E86C16">
            <w:pPr>
              <w:spacing w:line="218" w:lineRule="auto"/>
              <w:ind w:left="60"/>
              <w:rPr>
                <w:rFonts w:ascii="宋体" w:eastAsia="宋体" w:hAnsi="宋体" w:cs="宋体"/>
                <w:sz w:val="16"/>
                <w:szCs w:val="16"/>
              </w:rPr>
            </w:pPr>
            <w:r>
              <w:rPr>
                <w:rFonts w:ascii="宋体" w:eastAsia="宋体" w:hAnsi="宋体" w:cs="宋体"/>
                <w:spacing w:val="4"/>
                <w:sz w:val="16"/>
                <w:szCs w:val="16"/>
              </w:rPr>
              <w:t>体操(脚部运动)</w:t>
            </w:r>
          </w:p>
          <w:p w:rsidR="00EA40A3" w:rsidRDefault="00E86C16">
            <w:pPr>
              <w:spacing w:before="141" w:line="219" w:lineRule="auto"/>
              <w:ind w:left="60"/>
              <w:rPr>
                <w:rFonts w:ascii="宋体" w:eastAsia="宋体" w:hAnsi="宋体" w:cs="宋体"/>
                <w:sz w:val="16"/>
                <w:szCs w:val="16"/>
              </w:rPr>
            </w:pPr>
            <w:r>
              <w:rPr>
                <w:rFonts w:ascii="宋体" w:eastAsia="宋体" w:hAnsi="宋体" w:cs="宋体"/>
                <w:spacing w:val="5"/>
                <w:sz w:val="16"/>
                <w:szCs w:val="16"/>
              </w:rPr>
              <w:t>体操(背运动)</w:t>
            </w:r>
          </w:p>
          <w:p w:rsidR="00EA40A3" w:rsidRDefault="00E86C16">
            <w:pPr>
              <w:spacing w:before="149" w:line="340" w:lineRule="exact"/>
              <w:ind w:left="60"/>
              <w:rPr>
                <w:rFonts w:ascii="宋体" w:eastAsia="宋体" w:hAnsi="宋体" w:cs="宋体"/>
                <w:sz w:val="16"/>
                <w:szCs w:val="16"/>
              </w:rPr>
            </w:pPr>
            <w:r>
              <w:rPr>
                <w:rFonts w:ascii="宋体" w:eastAsia="宋体" w:hAnsi="宋体" w:cs="宋体"/>
                <w:spacing w:val="4"/>
                <w:position w:val="13"/>
                <w:sz w:val="16"/>
                <w:szCs w:val="16"/>
              </w:rPr>
              <w:t>体操(平衡运动)</w:t>
            </w:r>
          </w:p>
          <w:p w:rsidR="00EA40A3" w:rsidRDefault="00E86C16">
            <w:pPr>
              <w:spacing w:line="219" w:lineRule="auto"/>
              <w:ind w:left="60"/>
              <w:rPr>
                <w:rFonts w:ascii="宋体" w:eastAsia="宋体" w:hAnsi="宋体" w:cs="宋体"/>
                <w:sz w:val="16"/>
                <w:szCs w:val="16"/>
              </w:rPr>
            </w:pPr>
            <w:r>
              <w:rPr>
                <w:rFonts w:ascii="宋体" w:eastAsia="宋体" w:hAnsi="宋体" w:cs="宋体"/>
                <w:spacing w:val="4"/>
                <w:sz w:val="16"/>
                <w:szCs w:val="16"/>
              </w:rPr>
              <w:t>体操(弯体运动)</w:t>
            </w:r>
          </w:p>
          <w:p w:rsidR="00EA40A3" w:rsidRDefault="00E86C16">
            <w:pPr>
              <w:spacing w:before="160" w:line="331" w:lineRule="exact"/>
              <w:ind w:left="60"/>
              <w:rPr>
                <w:rFonts w:ascii="宋体" w:eastAsia="宋体" w:hAnsi="宋体" w:cs="宋体"/>
                <w:sz w:val="16"/>
                <w:szCs w:val="16"/>
              </w:rPr>
            </w:pPr>
            <w:r>
              <w:rPr>
                <w:rFonts w:ascii="宋体" w:eastAsia="宋体" w:hAnsi="宋体" w:cs="宋体"/>
                <w:spacing w:val="2"/>
                <w:position w:val="13"/>
                <w:sz w:val="16"/>
                <w:szCs w:val="16"/>
              </w:rPr>
              <w:t>体操(上肢、跳跃等运动)</w:t>
            </w:r>
          </w:p>
          <w:p w:rsidR="00EA40A3" w:rsidRDefault="00E86C16">
            <w:pPr>
              <w:spacing w:line="220" w:lineRule="auto"/>
              <w:ind w:left="60"/>
              <w:rPr>
                <w:rFonts w:ascii="宋体" w:eastAsia="宋体" w:hAnsi="宋体" w:cs="宋体"/>
                <w:sz w:val="16"/>
                <w:szCs w:val="16"/>
              </w:rPr>
            </w:pPr>
            <w:r>
              <w:rPr>
                <w:rFonts w:ascii="宋体" w:eastAsia="宋体" w:hAnsi="宋体" w:cs="宋体"/>
                <w:spacing w:val="1"/>
                <w:sz w:val="16"/>
                <w:szCs w:val="16"/>
              </w:rPr>
              <w:t>男子吊环规定联合动作</w:t>
            </w:r>
          </w:p>
          <w:p w:rsidR="00EA40A3" w:rsidRDefault="00E86C16">
            <w:pPr>
              <w:spacing w:before="159" w:line="340" w:lineRule="exact"/>
              <w:ind w:left="60"/>
              <w:rPr>
                <w:rFonts w:ascii="宋体" w:eastAsia="宋体" w:hAnsi="宋体" w:cs="宋体"/>
                <w:sz w:val="16"/>
                <w:szCs w:val="16"/>
              </w:rPr>
            </w:pPr>
            <w:r>
              <w:rPr>
                <w:rFonts w:ascii="宋体" w:eastAsia="宋体" w:hAnsi="宋体" w:cs="宋体"/>
                <w:spacing w:val="1"/>
                <w:position w:val="13"/>
                <w:sz w:val="16"/>
                <w:szCs w:val="16"/>
              </w:rPr>
              <w:t>男子双杠规定联合动作</w:t>
            </w:r>
          </w:p>
          <w:p w:rsidR="00EA40A3" w:rsidRDefault="00E86C16">
            <w:pPr>
              <w:spacing w:line="220" w:lineRule="auto"/>
              <w:ind w:left="60"/>
              <w:rPr>
                <w:rFonts w:ascii="宋体" w:eastAsia="宋体" w:hAnsi="宋体" w:cs="宋体"/>
                <w:sz w:val="16"/>
                <w:szCs w:val="16"/>
              </w:rPr>
            </w:pPr>
            <w:r>
              <w:rPr>
                <w:rFonts w:ascii="宋体" w:eastAsia="宋体" w:hAnsi="宋体" w:cs="宋体"/>
                <w:spacing w:val="1"/>
                <w:sz w:val="16"/>
                <w:szCs w:val="16"/>
              </w:rPr>
              <w:t>男子单杠规定联合动作</w:t>
            </w:r>
          </w:p>
          <w:p w:rsidR="00EA40A3" w:rsidRDefault="00E86C16">
            <w:pPr>
              <w:spacing w:before="158" w:line="255" w:lineRule="auto"/>
              <w:ind w:left="249" w:right="142" w:hanging="189"/>
              <w:rPr>
                <w:rFonts w:ascii="宋体" w:eastAsia="宋体" w:hAnsi="宋体" w:cs="宋体"/>
                <w:sz w:val="16"/>
                <w:szCs w:val="16"/>
              </w:rPr>
            </w:pPr>
            <w:r>
              <w:rPr>
                <w:rFonts w:ascii="宋体" w:eastAsia="宋体" w:hAnsi="宋体" w:cs="宋体"/>
                <w:sz w:val="16"/>
                <w:szCs w:val="16"/>
              </w:rPr>
              <w:t>男子自由体操规定徒手全</w:t>
            </w:r>
            <w:r>
              <w:rPr>
                <w:rFonts w:ascii="宋体" w:eastAsia="宋体" w:hAnsi="宋体" w:cs="宋体"/>
                <w:spacing w:val="6"/>
                <w:sz w:val="16"/>
                <w:szCs w:val="16"/>
              </w:rPr>
              <w:t xml:space="preserve"> </w:t>
            </w:r>
            <w:r>
              <w:rPr>
                <w:rFonts w:ascii="宋体" w:eastAsia="宋体" w:hAnsi="宋体" w:cs="宋体"/>
                <w:spacing w:val="-2"/>
                <w:sz w:val="16"/>
                <w:szCs w:val="16"/>
              </w:rPr>
              <w:t>套动作</w:t>
            </w:r>
          </w:p>
          <w:p w:rsidR="00EA40A3" w:rsidRDefault="00E86C16">
            <w:pPr>
              <w:spacing w:before="168" w:line="284" w:lineRule="auto"/>
              <w:ind w:left="60" w:right="299"/>
              <w:rPr>
                <w:rFonts w:ascii="宋体" w:eastAsia="宋体" w:hAnsi="宋体" w:cs="宋体"/>
                <w:sz w:val="16"/>
                <w:szCs w:val="16"/>
              </w:rPr>
            </w:pPr>
            <w:r>
              <w:rPr>
                <w:rFonts w:ascii="宋体" w:eastAsia="宋体" w:hAnsi="宋体" w:cs="宋体"/>
                <w:spacing w:val="1"/>
                <w:sz w:val="16"/>
                <w:szCs w:val="16"/>
              </w:rPr>
              <w:t>男子自由体操技巧动作</w:t>
            </w:r>
            <w:r>
              <w:rPr>
                <w:rFonts w:ascii="宋体" w:eastAsia="宋体" w:hAnsi="宋体" w:cs="宋体"/>
                <w:sz w:val="16"/>
                <w:szCs w:val="16"/>
              </w:rPr>
              <w:t xml:space="preserve"> </w:t>
            </w:r>
            <w:r>
              <w:rPr>
                <w:rFonts w:ascii="宋体" w:eastAsia="宋体" w:hAnsi="宋体" w:cs="宋体"/>
                <w:spacing w:val="1"/>
                <w:sz w:val="16"/>
                <w:szCs w:val="16"/>
              </w:rPr>
              <w:t>男子跳马规定动作</w:t>
            </w:r>
          </w:p>
          <w:p w:rsidR="00EA40A3" w:rsidRDefault="00E86C16">
            <w:pPr>
              <w:spacing w:before="119" w:line="219" w:lineRule="auto"/>
              <w:ind w:left="60"/>
              <w:rPr>
                <w:rFonts w:ascii="宋体" w:eastAsia="宋体" w:hAnsi="宋体" w:cs="宋体"/>
                <w:sz w:val="16"/>
                <w:szCs w:val="16"/>
              </w:rPr>
            </w:pPr>
            <w:r>
              <w:rPr>
                <w:rFonts w:ascii="宋体" w:eastAsia="宋体" w:hAnsi="宋体" w:cs="宋体"/>
                <w:spacing w:val="1"/>
                <w:sz w:val="16"/>
                <w:szCs w:val="16"/>
              </w:rPr>
              <w:t>男子鞍马规定联合动作</w:t>
            </w:r>
          </w:p>
          <w:p w:rsidR="00EA40A3" w:rsidRDefault="00E86C16">
            <w:pPr>
              <w:spacing w:before="129" w:line="289" w:lineRule="auto"/>
              <w:ind w:left="60" w:right="139"/>
              <w:rPr>
                <w:rFonts w:ascii="宋体" w:eastAsia="宋体" w:hAnsi="宋体" w:cs="宋体"/>
                <w:sz w:val="16"/>
                <w:szCs w:val="16"/>
              </w:rPr>
            </w:pPr>
            <w:r>
              <w:rPr>
                <w:rFonts w:ascii="宋体" w:eastAsia="宋体" w:hAnsi="宋体" w:cs="宋体"/>
                <w:sz w:val="16"/>
                <w:szCs w:val="16"/>
              </w:rPr>
              <w:t>女子平衡木规定全套动作</w:t>
            </w:r>
            <w:r>
              <w:rPr>
                <w:rFonts w:ascii="宋体" w:eastAsia="宋体" w:hAnsi="宋体" w:cs="宋体"/>
                <w:spacing w:val="9"/>
                <w:sz w:val="16"/>
                <w:szCs w:val="16"/>
              </w:rPr>
              <w:t xml:space="preserve"> </w:t>
            </w:r>
            <w:r>
              <w:rPr>
                <w:rFonts w:ascii="宋体" w:eastAsia="宋体" w:hAnsi="宋体" w:cs="宋体"/>
                <w:spacing w:val="1"/>
                <w:sz w:val="16"/>
                <w:szCs w:val="16"/>
              </w:rPr>
              <w:t>女子平衡木技巧动作</w:t>
            </w:r>
          </w:p>
          <w:p w:rsidR="00EA40A3" w:rsidRDefault="00E86C16">
            <w:pPr>
              <w:spacing w:before="150" w:line="249" w:lineRule="auto"/>
              <w:ind w:left="249" w:right="160" w:hanging="189"/>
              <w:rPr>
                <w:rFonts w:ascii="宋体" w:eastAsia="宋体" w:hAnsi="宋体" w:cs="宋体"/>
                <w:sz w:val="16"/>
                <w:szCs w:val="16"/>
              </w:rPr>
            </w:pPr>
            <w:r>
              <w:rPr>
                <w:rFonts w:ascii="宋体" w:eastAsia="宋体" w:hAnsi="宋体" w:cs="宋体"/>
                <w:spacing w:val="-1"/>
                <w:sz w:val="16"/>
                <w:szCs w:val="16"/>
              </w:rPr>
              <w:t>女子自由体操规定徒手全</w:t>
            </w:r>
            <w:r>
              <w:rPr>
                <w:rFonts w:ascii="宋体" w:eastAsia="宋体" w:hAnsi="宋体" w:cs="宋体"/>
                <w:sz w:val="16"/>
                <w:szCs w:val="16"/>
              </w:rPr>
              <w:t xml:space="preserve"> </w:t>
            </w:r>
            <w:r>
              <w:rPr>
                <w:rFonts w:ascii="宋体" w:eastAsia="宋体" w:hAnsi="宋体" w:cs="宋体"/>
                <w:spacing w:val="-2"/>
                <w:sz w:val="16"/>
                <w:szCs w:val="16"/>
              </w:rPr>
              <w:t>套动作</w:t>
            </w:r>
          </w:p>
          <w:p w:rsidR="00EA40A3" w:rsidRDefault="00E86C16">
            <w:pPr>
              <w:spacing w:before="168" w:line="288" w:lineRule="auto"/>
              <w:ind w:left="60" w:right="299"/>
              <w:rPr>
                <w:rFonts w:ascii="宋体" w:eastAsia="宋体" w:hAnsi="宋体" w:cs="宋体"/>
                <w:sz w:val="16"/>
                <w:szCs w:val="16"/>
              </w:rPr>
            </w:pPr>
            <w:r>
              <w:rPr>
                <w:rFonts w:ascii="宋体" w:eastAsia="宋体" w:hAnsi="宋体" w:cs="宋体"/>
                <w:spacing w:val="1"/>
                <w:sz w:val="16"/>
                <w:szCs w:val="16"/>
              </w:rPr>
              <w:t>女子自由体操技巧动作</w:t>
            </w:r>
            <w:r>
              <w:rPr>
                <w:rFonts w:ascii="宋体" w:eastAsia="宋体" w:hAnsi="宋体" w:cs="宋体"/>
                <w:sz w:val="16"/>
                <w:szCs w:val="16"/>
              </w:rPr>
              <w:t xml:space="preserve"> </w:t>
            </w:r>
            <w:r>
              <w:rPr>
                <w:rFonts w:ascii="宋体" w:eastAsia="宋体" w:hAnsi="宋体" w:cs="宋体"/>
                <w:spacing w:val="1"/>
                <w:sz w:val="16"/>
                <w:szCs w:val="16"/>
              </w:rPr>
              <w:t>女子高低杠基本动作</w:t>
            </w:r>
          </w:p>
          <w:p w:rsidR="00EA40A3" w:rsidRDefault="00E86C16">
            <w:pPr>
              <w:spacing w:before="111" w:line="219" w:lineRule="auto"/>
              <w:ind w:left="60"/>
              <w:rPr>
                <w:rFonts w:ascii="宋体" w:eastAsia="宋体" w:hAnsi="宋体" w:cs="宋体"/>
                <w:sz w:val="16"/>
                <w:szCs w:val="16"/>
              </w:rPr>
            </w:pPr>
            <w:r>
              <w:rPr>
                <w:rFonts w:ascii="宋体" w:eastAsia="宋体" w:hAnsi="宋体" w:cs="宋体"/>
                <w:spacing w:val="1"/>
                <w:sz w:val="16"/>
                <w:szCs w:val="16"/>
              </w:rPr>
              <w:t>女子跳马规定动作</w:t>
            </w:r>
          </w:p>
          <w:p w:rsidR="00EA40A3" w:rsidRDefault="00E86C16">
            <w:pPr>
              <w:spacing w:before="141" w:line="219" w:lineRule="auto"/>
              <w:ind w:left="60"/>
              <w:rPr>
                <w:rFonts w:ascii="宋体" w:eastAsia="宋体" w:hAnsi="宋体" w:cs="宋体"/>
                <w:sz w:val="16"/>
                <w:szCs w:val="16"/>
              </w:rPr>
            </w:pPr>
            <w:r>
              <w:rPr>
                <w:rFonts w:ascii="宋体" w:eastAsia="宋体" w:hAnsi="宋体" w:cs="宋体"/>
                <w:spacing w:val="-2"/>
                <w:sz w:val="16"/>
                <w:szCs w:val="16"/>
              </w:rPr>
              <w:t>广播体操</w:t>
            </w:r>
          </w:p>
          <w:p w:rsidR="00EA40A3" w:rsidRDefault="00E86C16">
            <w:pPr>
              <w:spacing w:before="110" w:line="300" w:lineRule="exact"/>
              <w:ind w:left="60"/>
              <w:rPr>
                <w:rFonts w:ascii="宋体" w:eastAsia="宋体" w:hAnsi="宋体" w:cs="宋体"/>
                <w:sz w:val="16"/>
                <w:szCs w:val="16"/>
              </w:rPr>
            </w:pPr>
            <w:r>
              <w:rPr>
                <w:rFonts w:ascii="宋体" w:eastAsia="宋体" w:hAnsi="宋体" w:cs="宋体"/>
                <w:spacing w:val="-2"/>
                <w:position w:val="10"/>
                <w:sz w:val="16"/>
                <w:szCs w:val="16"/>
              </w:rPr>
              <w:t>跳绳</w:t>
            </w:r>
          </w:p>
          <w:p w:rsidR="00EA40A3" w:rsidRDefault="00E86C16">
            <w:pPr>
              <w:spacing w:line="220" w:lineRule="auto"/>
              <w:ind w:left="60"/>
              <w:rPr>
                <w:rFonts w:ascii="宋体" w:eastAsia="宋体" w:hAnsi="宋体" w:cs="宋体"/>
                <w:sz w:val="16"/>
                <w:szCs w:val="16"/>
              </w:rPr>
            </w:pPr>
            <w:r>
              <w:rPr>
                <w:rFonts w:ascii="宋体" w:eastAsia="宋体" w:hAnsi="宋体" w:cs="宋体"/>
                <w:spacing w:val="-2"/>
                <w:sz w:val="16"/>
                <w:szCs w:val="16"/>
              </w:rPr>
              <w:t>跳箱</w:t>
            </w:r>
          </w:p>
          <w:p w:rsidR="00EA40A3" w:rsidRDefault="00E86C16">
            <w:pPr>
              <w:spacing w:before="130" w:line="220" w:lineRule="auto"/>
              <w:ind w:left="60"/>
              <w:rPr>
                <w:rFonts w:ascii="宋体" w:eastAsia="宋体" w:hAnsi="宋体" w:cs="宋体"/>
                <w:sz w:val="16"/>
                <w:szCs w:val="16"/>
              </w:rPr>
            </w:pPr>
            <w:r>
              <w:rPr>
                <w:rFonts w:ascii="宋体" w:eastAsia="宋体" w:hAnsi="宋体" w:cs="宋体"/>
                <w:spacing w:val="-2"/>
                <w:sz w:val="16"/>
                <w:szCs w:val="16"/>
              </w:rPr>
              <w:t>跳舞</w:t>
            </w:r>
          </w:p>
          <w:p w:rsidR="00EA40A3" w:rsidRDefault="00E86C16">
            <w:pPr>
              <w:spacing w:before="119" w:line="219" w:lineRule="auto"/>
              <w:ind w:left="60"/>
              <w:rPr>
                <w:rFonts w:ascii="宋体" w:eastAsia="宋体" w:hAnsi="宋体" w:cs="宋体"/>
                <w:sz w:val="16"/>
                <w:szCs w:val="16"/>
              </w:rPr>
            </w:pPr>
            <w:r>
              <w:rPr>
                <w:rFonts w:ascii="宋体" w:eastAsia="宋体" w:hAnsi="宋体" w:cs="宋体"/>
                <w:spacing w:val="-2"/>
                <w:sz w:val="16"/>
                <w:szCs w:val="16"/>
              </w:rPr>
              <w:t>摔跤</w:t>
            </w:r>
          </w:p>
          <w:p w:rsidR="00EA40A3" w:rsidRDefault="00E86C16">
            <w:pPr>
              <w:spacing w:before="130" w:line="299" w:lineRule="exact"/>
              <w:ind w:left="60"/>
              <w:rPr>
                <w:rFonts w:ascii="宋体" w:eastAsia="宋体" w:hAnsi="宋体" w:cs="宋体"/>
                <w:sz w:val="16"/>
                <w:szCs w:val="16"/>
              </w:rPr>
            </w:pPr>
            <w:r>
              <w:rPr>
                <w:rFonts w:ascii="宋体" w:eastAsia="宋体" w:hAnsi="宋体" w:cs="宋体"/>
                <w:spacing w:val="5"/>
                <w:position w:val="10"/>
                <w:sz w:val="16"/>
                <w:szCs w:val="16"/>
              </w:rPr>
              <w:t>游泳(自由式)</w:t>
            </w:r>
          </w:p>
          <w:p w:rsidR="00EA40A3" w:rsidRDefault="00E86C16">
            <w:pPr>
              <w:spacing w:before="1" w:line="218" w:lineRule="auto"/>
              <w:ind w:left="60"/>
              <w:rPr>
                <w:rFonts w:ascii="宋体" w:eastAsia="宋体" w:hAnsi="宋体" w:cs="宋体"/>
                <w:sz w:val="16"/>
                <w:szCs w:val="16"/>
              </w:rPr>
            </w:pPr>
            <w:r>
              <w:rPr>
                <w:rFonts w:ascii="宋体" w:eastAsia="宋体" w:hAnsi="宋体" w:cs="宋体"/>
                <w:spacing w:val="-2"/>
                <w:sz w:val="16"/>
                <w:szCs w:val="16"/>
              </w:rPr>
              <w:t>仰泳</w:t>
            </w:r>
          </w:p>
          <w:p w:rsidR="00EA40A3" w:rsidRDefault="00E86C16">
            <w:pPr>
              <w:spacing w:before="131" w:line="311" w:lineRule="exact"/>
              <w:ind w:left="60"/>
              <w:rPr>
                <w:rFonts w:ascii="宋体" w:eastAsia="宋体" w:hAnsi="宋体" w:cs="宋体"/>
                <w:sz w:val="16"/>
                <w:szCs w:val="16"/>
              </w:rPr>
            </w:pPr>
            <w:r>
              <w:rPr>
                <w:rFonts w:ascii="宋体" w:eastAsia="宋体" w:hAnsi="宋体" w:cs="宋体"/>
                <w:spacing w:val="3"/>
                <w:position w:val="11"/>
                <w:sz w:val="16"/>
                <w:szCs w:val="16"/>
              </w:rPr>
              <w:t>侧泳(36.56m/</w:t>
            </w:r>
            <w:r>
              <w:rPr>
                <w:rFonts w:ascii="宋体" w:eastAsia="宋体" w:hAnsi="宋体" w:cs="宋体"/>
                <w:position w:val="11"/>
                <w:sz w:val="16"/>
                <w:szCs w:val="16"/>
              </w:rPr>
              <w:t>min</w:t>
            </w:r>
            <w:r>
              <w:rPr>
                <w:rFonts w:ascii="宋体" w:eastAsia="宋体" w:hAnsi="宋体" w:cs="宋体"/>
                <w:spacing w:val="3"/>
                <w:position w:val="11"/>
                <w:sz w:val="16"/>
                <w:szCs w:val="16"/>
              </w:rPr>
              <w:t>)</w:t>
            </w:r>
          </w:p>
          <w:p w:rsidR="00EA40A3" w:rsidRDefault="00E86C16">
            <w:pPr>
              <w:spacing w:line="220" w:lineRule="auto"/>
              <w:ind w:left="60"/>
              <w:rPr>
                <w:rFonts w:ascii="宋体" w:eastAsia="宋体" w:hAnsi="宋体" w:cs="宋体"/>
                <w:sz w:val="16"/>
                <w:szCs w:val="16"/>
              </w:rPr>
            </w:pPr>
            <w:r>
              <w:rPr>
                <w:rFonts w:ascii="宋体" w:eastAsia="宋体" w:hAnsi="宋体" w:cs="宋体"/>
                <w:spacing w:val="-2"/>
                <w:sz w:val="16"/>
                <w:szCs w:val="16"/>
              </w:rPr>
              <w:t>蛙泳</w:t>
            </w:r>
          </w:p>
          <w:p w:rsidR="00EA40A3" w:rsidRDefault="00E86C16">
            <w:pPr>
              <w:spacing w:before="118" w:line="219" w:lineRule="auto"/>
              <w:ind w:left="60"/>
              <w:rPr>
                <w:rFonts w:ascii="宋体" w:eastAsia="宋体" w:hAnsi="宋体" w:cs="宋体"/>
                <w:sz w:val="16"/>
                <w:szCs w:val="16"/>
              </w:rPr>
            </w:pPr>
            <w:r>
              <w:rPr>
                <w:rFonts w:ascii="宋体" w:eastAsia="宋体" w:hAnsi="宋体" w:cs="宋体"/>
                <w:spacing w:val="-2"/>
                <w:sz w:val="16"/>
                <w:szCs w:val="16"/>
              </w:rPr>
              <w:t>越野赛跑</w:t>
            </w:r>
          </w:p>
          <w:p w:rsidR="00EA40A3" w:rsidRDefault="00E86C16">
            <w:pPr>
              <w:spacing w:before="125" w:line="214" w:lineRule="auto"/>
              <w:ind w:left="60"/>
              <w:rPr>
                <w:rFonts w:ascii="宋体" w:eastAsia="宋体" w:hAnsi="宋体" w:cs="宋体"/>
                <w:sz w:val="16"/>
                <w:szCs w:val="16"/>
              </w:rPr>
            </w:pPr>
            <w:r>
              <w:rPr>
                <w:rFonts w:ascii="宋体" w:eastAsia="宋体" w:hAnsi="宋体" w:cs="宋体"/>
                <w:spacing w:val="2"/>
                <w:sz w:val="16"/>
                <w:szCs w:val="16"/>
              </w:rPr>
              <w:t>攀登坡度1:5.7(10</w:t>
            </w:r>
            <w:r>
              <w:rPr>
                <w:rFonts w:ascii="宋体" w:eastAsia="宋体" w:hAnsi="宋体" w:cs="宋体"/>
                <w:sz w:val="16"/>
                <w:szCs w:val="16"/>
              </w:rPr>
              <w:t>kg</w:t>
            </w:r>
            <w:r>
              <w:rPr>
                <w:rFonts w:ascii="宋体" w:eastAsia="宋体" w:hAnsi="宋体" w:cs="宋体"/>
                <w:spacing w:val="2"/>
                <w:sz w:val="16"/>
                <w:szCs w:val="16"/>
              </w:rPr>
              <w:t>负荷)</w:t>
            </w:r>
          </w:p>
        </w:tc>
        <w:tc>
          <w:tcPr>
            <w:tcW w:w="1560" w:type="dxa"/>
            <w:tcBorders>
              <w:left w:val="nil"/>
            </w:tcBorders>
          </w:tcPr>
          <w:p w:rsidR="00EA40A3" w:rsidRDefault="00E86C16">
            <w:pPr>
              <w:spacing w:before="89" w:line="310" w:lineRule="exact"/>
              <w:ind w:left="139"/>
              <w:rPr>
                <w:rFonts w:ascii="宋体" w:eastAsia="宋体" w:hAnsi="宋体" w:cs="宋体"/>
                <w:sz w:val="16"/>
                <w:szCs w:val="16"/>
              </w:rPr>
            </w:pPr>
            <w:r>
              <w:rPr>
                <w:rFonts w:ascii="宋体" w:eastAsia="宋体" w:hAnsi="宋体" w:cs="宋体"/>
                <w:spacing w:val="-1"/>
                <w:position w:val="11"/>
                <w:sz w:val="16"/>
                <w:szCs w:val="16"/>
              </w:rPr>
              <w:t>0.456(1.906)</w:t>
            </w:r>
          </w:p>
          <w:p w:rsidR="00EA40A3" w:rsidRDefault="00E86C16">
            <w:pPr>
              <w:spacing w:line="222" w:lineRule="auto"/>
              <w:ind w:left="139"/>
              <w:rPr>
                <w:rFonts w:ascii="宋体" w:eastAsia="宋体" w:hAnsi="宋体" w:cs="宋体"/>
                <w:sz w:val="16"/>
                <w:szCs w:val="16"/>
              </w:rPr>
            </w:pPr>
            <w:r>
              <w:rPr>
                <w:rFonts w:ascii="宋体" w:eastAsia="宋体" w:hAnsi="宋体" w:cs="宋体"/>
                <w:spacing w:val="-1"/>
                <w:sz w:val="16"/>
                <w:szCs w:val="16"/>
              </w:rPr>
              <w:t>0.495(2.069)</w:t>
            </w:r>
          </w:p>
          <w:p w:rsidR="00EA40A3" w:rsidRDefault="00E86C16">
            <w:pPr>
              <w:spacing w:before="127" w:line="222" w:lineRule="auto"/>
              <w:ind w:left="149"/>
              <w:rPr>
                <w:rFonts w:ascii="宋体" w:eastAsia="宋体" w:hAnsi="宋体" w:cs="宋体"/>
                <w:sz w:val="16"/>
                <w:szCs w:val="16"/>
              </w:rPr>
            </w:pPr>
            <w:r>
              <w:rPr>
                <w:rFonts w:ascii="宋体" w:eastAsia="宋体" w:hAnsi="宋体" w:cs="宋体"/>
                <w:spacing w:val="-1"/>
                <w:sz w:val="16"/>
                <w:szCs w:val="16"/>
              </w:rPr>
              <w:t>00.512(2.144)</w:t>
            </w:r>
          </w:p>
          <w:p w:rsidR="00EA40A3" w:rsidRDefault="00E86C16">
            <w:pPr>
              <w:spacing w:before="157" w:line="222" w:lineRule="auto"/>
              <w:ind w:left="139"/>
              <w:rPr>
                <w:rFonts w:ascii="宋体" w:eastAsia="宋体" w:hAnsi="宋体" w:cs="宋体"/>
                <w:sz w:val="16"/>
                <w:szCs w:val="16"/>
              </w:rPr>
            </w:pPr>
            <w:r>
              <w:rPr>
                <w:rFonts w:ascii="宋体" w:eastAsia="宋体" w:hAnsi="宋体" w:cs="宋体"/>
                <w:spacing w:val="-1"/>
                <w:sz w:val="16"/>
                <w:szCs w:val="16"/>
              </w:rPr>
              <w:t>0.323(1.350)</w:t>
            </w:r>
          </w:p>
          <w:p w:rsidR="00EA40A3" w:rsidRDefault="00E86C16">
            <w:pPr>
              <w:spacing w:before="147" w:line="222" w:lineRule="auto"/>
              <w:ind w:left="149"/>
              <w:rPr>
                <w:rFonts w:ascii="宋体" w:eastAsia="宋体" w:hAnsi="宋体" w:cs="宋体"/>
                <w:sz w:val="16"/>
                <w:szCs w:val="16"/>
              </w:rPr>
            </w:pPr>
            <w:r>
              <w:rPr>
                <w:rFonts w:ascii="宋体" w:eastAsia="宋体" w:hAnsi="宋体" w:cs="宋体"/>
                <w:spacing w:val="-1"/>
                <w:sz w:val="16"/>
                <w:szCs w:val="16"/>
              </w:rPr>
              <w:t>0.451(1.888)</w:t>
            </w:r>
          </w:p>
          <w:p w:rsidR="00EA40A3" w:rsidRDefault="00E86C16">
            <w:pPr>
              <w:spacing w:before="158" w:line="222" w:lineRule="auto"/>
              <w:ind w:left="149"/>
              <w:rPr>
                <w:rFonts w:ascii="宋体" w:eastAsia="宋体" w:hAnsi="宋体" w:cs="宋体"/>
                <w:sz w:val="16"/>
                <w:szCs w:val="16"/>
              </w:rPr>
            </w:pPr>
            <w:r>
              <w:rPr>
                <w:rFonts w:ascii="宋体" w:eastAsia="宋体" w:hAnsi="宋体" w:cs="宋体"/>
                <w:spacing w:val="-1"/>
                <w:sz w:val="16"/>
                <w:szCs w:val="16"/>
              </w:rPr>
              <w:t>0.864(3.513)</w:t>
            </w:r>
          </w:p>
          <w:p w:rsidR="00EA40A3" w:rsidRDefault="00E86C16">
            <w:pPr>
              <w:spacing w:before="138" w:line="222" w:lineRule="auto"/>
              <w:ind w:left="160"/>
              <w:rPr>
                <w:rFonts w:ascii="宋体" w:eastAsia="宋体" w:hAnsi="宋体" w:cs="宋体"/>
                <w:sz w:val="16"/>
                <w:szCs w:val="16"/>
              </w:rPr>
            </w:pPr>
            <w:r>
              <w:rPr>
                <w:rFonts w:ascii="宋体" w:eastAsia="宋体" w:hAnsi="宋体" w:cs="宋体"/>
                <w:spacing w:val="-1"/>
                <w:sz w:val="16"/>
                <w:szCs w:val="16"/>
              </w:rPr>
              <w:t>4.980(20.836)</w:t>
            </w:r>
          </w:p>
          <w:p w:rsidR="00EA40A3" w:rsidRDefault="00E86C16">
            <w:pPr>
              <w:spacing w:before="147" w:line="222" w:lineRule="auto"/>
              <w:ind w:left="149"/>
              <w:rPr>
                <w:rFonts w:ascii="宋体" w:eastAsia="宋体" w:hAnsi="宋体" w:cs="宋体"/>
                <w:sz w:val="16"/>
                <w:szCs w:val="16"/>
              </w:rPr>
            </w:pPr>
            <w:r>
              <w:rPr>
                <w:rFonts w:ascii="宋体" w:eastAsia="宋体" w:hAnsi="宋体" w:cs="宋体"/>
                <w:spacing w:val="-1"/>
                <w:sz w:val="16"/>
                <w:szCs w:val="16"/>
              </w:rPr>
              <w:t>5.642(23.605)</w:t>
            </w:r>
          </w:p>
          <w:p w:rsidR="00EA40A3" w:rsidRDefault="00E86C16">
            <w:pPr>
              <w:spacing w:before="158" w:line="480" w:lineRule="exact"/>
              <w:ind w:left="149"/>
              <w:rPr>
                <w:rFonts w:ascii="宋体" w:eastAsia="宋体" w:hAnsi="宋体" w:cs="宋体"/>
                <w:sz w:val="16"/>
                <w:szCs w:val="16"/>
              </w:rPr>
            </w:pPr>
            <w:r>
              <w:rPr>
                <w:rFonts w:ascii="宋体" w:eastAsia="宋体" w:hAnsi="宋体" w:cs="宋体"/>
                <w:spacing w:val="-1"/>
                <w:position w:val="25"/>
                <w:sz w:val="16"/>
                <w:szCs w:val="16"/>
              </w:rPr>
              <w:t>7.720(32.303)</w:t>
            </w:r>
          </w:p>
          <w:p w:rsidR="00EA40A3" w:rsidRDefault="00E86C16">
            <w:pPr>
              <w:spacing w:line="222" w:lineRule="auto"/>
              <w:ind w:left="149"/>
              <w:rPr>
                <w:rFonts w:ascii="宋体" w:eastAsia="宋体" w:hAnsi="宋体" w:cs="宋体"/>
                <w:sz w:val="16"/>
                <w:szCs w:val="16"/>
              </w:rPr>
            </w:pPr>
            <w:r>
              <w:rPr>
                <w:rFonts w:ascii="宋体" w:eastAsia="宋体" w:hAnsi="宋体" w:cs="宋体"/>
                <w:spacing w:val="-1"/>
                <w:sz w:val="16"/>
                <w:szCs w:val="16"/>
              </w:rPr>
              <w:t>2.350(9.833)</w:t>
            </w:r>
          </w:p>
          <w:p w:rsidR="00EA40A3" w:rsidRDefault="00E86C16">
            <w:pPr>
              <w:spacing w:before="277" w:line="222" w:lineRule="auto"/>
              <w:ind w:left="160"/>
              <w:rPr>
                <w:rFonts w:ascii="宋体" w:eastAsia="宋体" w:hAnsi="宋体" w:cs="宋体"/>
                <w:sz w:val="16"/>
                <w:szCs w:val="16"/>
              </w:rPr>
            </w:pPr>
            <w:r>
              <w:rPr>
                <w:rFonts w:ascii="宋体" w:eastAsia="宋体" w:hAnsi="宋体" w:cs="宋体"/>
                <w:spacing w:val="-2"/>
                <w:sz w:val="16"/>
                <w:szCs w:val="16"/>
              </w:rPr>
              <w:t>17816(74.543</w:t>
            </w:r>
          </w:p>
          <w:p w:rsidR="00EA40A3" w:rsidRDefault="00E86C16">
            <w:pPr>
              <w:spacing w:before="117" w:line="313" w:lineRule="auto"/>
              <w:ind w:left="149" w:right="283" w:firstLine="20"/>
              <w:rPr>
                <w:rFonts w:ascii="宋体" w:eastAsia="宋体" w:hAnsi="宋体" w:cs="宋体"/>
                <w:sz w:val="16"/>
                <w:szCs w:val="16"/>
              </w:rPr>
            </w:pPr>
            <w:r>
              <w:rPr>
                <w:rFonts w:ascii="宋体" w:eastAsia="宋体" w:hAnsi="宋体" w:cs="宋体"/>
                <w:spacing w:val="-2"/>
                <w:sz w:val="16"/>
                <w:szCs w:val="16"/>
              </w:rPr>
              <w:t>11.385(47.636)</w:t>
            </w:r>
            <w:r>
              <w:rPr>
                <w:rFonts w:ascii="宋体" w:eastAsia="宋体" w:hAnsi="宋体" w:cs="宋体"/>
                <w:spacing w:val="8"/>
                <w:sz w:val="16"/>
                <w:szCs w:val="16"/>
              </w:rPr>
              <w:t xml:space="preserve"> </w:t>
            </w:r>
            <w:r>
              <w:rPr>
                <w:rFonts w:ascii="宋体" w:eastAsia="宋体" w:hAnsi="宋体" w:cs="宋体"/>
                <w:sz w:val="16"/>
                <w:szCs w:val="16"/>
              </w:rPr>
              <w:t>9.392(39.295)</w:t>
            </w:r>
            <w:r>
              <w:rPr>
                <w:rFonts w:ascii="宋体" w:eastAsia="宋体" w:hAnsi="宋体" w:cs="宋体"/>
                <w:spacing w:val="1"/>
                <w:sz w:val="16"/>
                <w:szCs w:val="16"/>
              </w:rPr>
              <w:t xml:space="preserve">  </w:t>
            </w:r>
            <w:r>
              <w:rPr>
                <w:rFonts w:ascii="宋体" w:eastAsia="宋体" w:hAnsi="宋体" w:cs="宋体"/>
                <w:spacing w:val="-1"/>
                <w:sz w:val="16"/>
                <w:szCs w:val="16"/>
              </w:rPr>
              <w:t>2.001(8.374)</w:t>
            </w:r>
          </w:p>
          <w:p w:rsidR="00EA40A3" w:rsidRDefault="00E86C16">
            <w:pPr>
              <w:spacing w:before="127" w:line="470" w:lineRule="exact"/>
              <w:ind w:left="149"/>
              <w:rPr>
                <w:rFonts w:ascii="宋体" w:eastAsia="宋体" w:hAnsi="宋体" w:cs="宋体"/>
                <w:sz w:val="16"/>
                <w:szCs w:val="16"/>
              </w:rPr>
            </w:pPr>
            <w:r>
              <w:rPr>
                <w:rFonts w:ascii="宋体" w:eastAsia="宋体" w:hAnsi="宋体" w:cs="宋体"/>
                <w:spacing w:val="-1"/>
                <w:position w:val="24"/>
                <w:sz w:val="16"/>
                <w:szCs w:val="16"/>
              </w:rPr>
              <w:t>3.707(15.509)</w:t>
            </w:r>
          </w:p>
          <w:p w:rsidR="00EA40A3" w:rsidRDefault="00E86C16">
            <w:pPr>
              <w:spacing w:line="222" w:lineRule="auto"/>
              <w:ind w:left="149"/>
              <w:rPr>
                <w:rFonts w:ascii="宋体" w:eastAsia="宋体" w:hAnsi="宋体" w:cs="宋体"/>
                <w:sz w:val="16"/>
                <w:szCs w:val="16"/>
              </w:rPr>
            </w:pPr>
            <w:r>
              <w:rPr>
                <w:rFonts w:ascii="宋体" w:eastAsia="宋体" w:hAnsi="宋体" w:cs="宋体"/>
                <w:spacing w:val="-1"/>
                <w:sz w:val="16"/>
                <w:szCs w:val="16"/>
              </w:rPr>
              <w:t>2.586(10.082)</w:t>
            </w:r>
          </w:p>
          <w:p w:rsidR="00EA40A3" w:rsidRDefault="00E86C16">
            <w:pPr>
              <w:spacing w:before="278" w:line="363" w:lineRule="auto"/>
              <w:ind w:left="149" w:right="364" w:firstLine="10"/>
              <w:rPr>
                <w:rFonts w:ascii="宋体" w:eastAsia="宋体" w:hAnsi="宋体" w:cs="宋体"/>
                <w:sz w:val="16"/>
                <w:szCs w:val="16"/>
              </w:rPr>
            </w:pPr>
            <w:r>
              <w:rPr>
                <w:rFonts w:ascii="宋体" w:eastAsia="宋体" w:hAnsi="宋体" w:cs="宋体"/>
                <w:spacing w:val="-1"/>
                <w:sz w:val="16"/>
                <w:szCs w:val="16"/>
              </w:rPr>
              <w:t>5.892(24.653)</w:t>
            </w:r>
            <w:r>
              <w:rPr>
                <w:rFonts w:ascii="宋体" w:eastAsia="宋体" w:hAnsi="宋体" w:cs="宋体"/>
                <w:spacing w:val="2"/>
                <w:sz w:val="16"/>
                <w:szCs w:val="16"/>
              </w:rPr>
              <w:t xml:space="preserve"> </w:t>
            </w:r>
            <w:r>
              <w:rPr>
                <w:rFonts w:ascii="宋体" w:eastAsia="宋体" w:hAnsi="宋体" w:cs="宋体"/>
                <w:spacing w:val="-1"/>
                <w:sz w:val="16"/>
                <w:szCs w:val="16"/>
              </w:rPr>
              <w:t>2.562(10.719)</w:t>
            </w:r>
          </w:p>
          <w:p w:rsidR="00EA40A3" w:rsidRDefault="00E86C16">
            <w:pPr>
              <w:spacing w:before="1" w:line="222" w:lineRule="auto"/>
              <w:ind w:left="169"/>
              <w:rPr>
                <w:rFonts w:ascii="宋体" w:eastAsia="宋体" w:hAnsi="宋体" w:cs="宋体"/>
                <w:sz w:val="16"/>
                <w:szCs w:val="16"/>
              </w:rPr>
            </w:pPr>
            <w:r>
              <w:rPr>
                <w:rFonts w:ascii="宋体" w:eastAsia="宋体" w:hAnsi="宋体" w:cs="宋体"/>
                <w:spacing w:val="-2"/>
                <w:sz w:val="16"/>
                <w:szCs w:val="16"/>
              </w:rPr>
              <w:t>12.273(51.350)</w:t>
            </w:r>
          </w:p>
          <w:p w:rsidR="00EA40A3" w:rsidRDefault="00E86C16">
            <w:pPr>
              <w:spacing w:before="107" w:line="320" w:lineRule="exact"/>
              <w:ind w:left="149"/>
              <w:rPr>
                <w:rFonts w:ascii="宋体" w:eastAsia="宋体" w:hAnsi="宋体" w:cs="宋体"/>
                <w:sz w:val="16"/>
                <w:szCs w:val="16"/>
              </w:rPr>
            </w:pPr>
            <w:r>
              <w:rPr>
                <w:rFonts w:ascii="宋体" w:eastAsia="宋体" w:hAnsi="宋体" w:cs="宋体"/>
                <w:spacing w:val="-1"/>
                <w:position w:val="12"/>
                <w:sz w:val="16"/>
                <w:szCs w:val="16"/>
              </w:rPr>
              <w:t>0.662(2.769</w:t>
            </w:r>
          </w:p>
          <w:p w:rsidR="00EA40A3" w:rsidRDefault="00E86C16">
            <w:pPr>
              <w:spacing w:line="222" w:lineRule="auto"/>
              <w:ind w:left="160"/>
              <w:rPr>
                <w:rFonts w:ascii="宋体" w:eastAsia="宋体" w:hAnsi="宋体" w:cs="宋体"/>
                <w:sz w:val="16"/>
                <w:szCs w:val="16"/>
              </w:rPr>
            </w:pPr>
            <w:r>
              <w:rPr>
                <w:rFonts w:ascii="宋体" w:eastAsia="宋体" w:hAnsi="宋体" w:cs="宋体"/>
                <w:spacing w:val="-1"/>
                <w:sz w:val="16"/>
                <w:szCs w:val="16"/>
              </w:rPr>
              <w:t>0.493(2.063)</w:t>
            </w:r>
          </w:p>
          <w:p w:rsidR="00EA40A3" w:rsidRDefault="00E86C16">
            <w:pPr>
              <w:spacing w:before="108" w:line="222" w:lineRule="auto"/>
              <w:ind w:left="160"/>
              <w:rPr>
                <w:rFonts w:ascii="宋体" w:eastAsia="宋体" w:hAnsi="宋体" w:cs="宋体"/>
                <w:sz w:val="16"/>
                <w:szCs w:val="16"/>
              </w:rPr>
            </w:pPr>
            <w:r>
              <w:rPr>
                <w:rFonts w:ascii="宋体" w:eastAsia="宋体" w:hAnsi="宋体" w:cs="宋体"/>
                <w:spacing w:val="-2"/>
                <w:sz w:val="16"/>
                <w:szCs w:val="16"/>
              </w:rPr>
              <w:t>1.213(5.075)</w:t>
            </w:r>
          </w:p>
          <w:p w:rsidR="00EA40A3" w:rsidRDefault="00E86C16">
            <w:pPr>
              <w:spacing w:before="127" w:line="222" w:lineRule="auto"/>
              <w:ind w:left="160"/>
              <w:rPr>
                <w:rFonts w:ascii="宋体" w:eastAsia="宋体" w:hAnsi="宋体" w:cs="宋体"/>
                <w:sz w:val="16"/>
                <w:szCs w:val="16"/>
              </w:rPr>
            </w:pPr>
            <w:r>
              <w:rPr>
                <w:rFonts w:ascii="宋体" w:eastAsia="宋体" w:hAnsi="宋体" w:cs="宋体"/>
                <w:spacing w:val="-1"/>
                <w:sz w:val="16"/>
                <w:szCs w:val="16"/>
              </w:rPr>
              <w:t>0.607(2.538)</w:t>
            </w:r>
          </w:p>
          <w:p w:rsidR="00EA40A3" w:rsidRDefault="00E86C16">
            <w:pPr>
              <w:spacing w:before="128" w:line="222" w:lineRule="auto"/>
              <w:ind w:left="160"/>
              <w:rPr>
                <w:rFonts w:ascii="宋体" w:eastAsia="宋体" w:hAnsi="宋体" w:cs="宋体"/>
                <w:sz w:val="16"/>
                <w:szCs w:val="16"/>
              </w:rPr>
            </w:pPr>
            <w:r>
              <w:rPr>
                <w:rFonts w:ascii="宋体" w:eastAsia="宋体" w:hAnsi="宋体" w:cs="宋体"/>
                <w:spacing w:val="-2"/>
                <w:sz w:val="16"/>
                <w:szCs w:val="16"/>
              </w:rPr>
              <w:t>1.219(5.100</w:t>
            </w:r>
          </w:p>
          <w:p w:rsidR="00EA40A3" w:rsidRDefault="00E86C16">
            <w:pPr>
              <w:spacing w:before="108" w:line="222" w:lineRule="auto"/>
              <w:ind w:left="139"/>
              <w:rPr>
                <w:rFonts w:ascii="宋体" w:eastAsia="宋体" w:hAnsi="宋体" w:cs="宋体"/>
                <w:sz w:val="16"/>
                <w:szCs w:val="16"/>
              </w:rPr>
            </w:pPr>
            <w:r>
              <w:rPr>
                <w:rFonts w:ascii="宋体" w:eastAsia="宋体" w:hAnsi="宋体" w:cs="宋体"/>
                <w:spacing w:val="-1"/>
                <w:sz w:val="16"/>
                <w:szCs w:val="16"/>
              </w:rPr>
              <w:t>0969(4.056</w:t>
            </w:r>
          </w:p>
          <w:p w:rsidR="00EA40A3" w:rsidRDefault="00E86C16">
            <w:pPr>
              <w:spacing w:before="127" w:line="300" w:lineRule="exact"/>
              <w:ind w:left="149"/>
              <w:rPr>
                <w:rFonts w:ascii="宋体" w:eastAsia="宋体" w:hAnsi="宋体" w:cs="宋体"/>
                <w:sz w:val="16"/>
                <w:szCs w:val="16"/>
              </w:rPr>
            </w:pPr>
            <w:r>
              <w:rPr>
                <w:rFonts w:ascii="宋体" w:eastAsia="宋体" w:hAnsi="宋体" w:cs="宋体"/>
                <w:spacing w:val="-1"/>
                <w:position w:val="10"/>
                <w:sz w:val="16"/>
                <w:szCs w:val="16"/>
              </w:rPr>
              <w:t>0.768(3.213)</w:t>
            </w:r>
          </w:p>
          <w:p w:rsidR="00EA40A3" w:rsidRDefault="00E86C16">
            <w:pPr>
              <w:spacing w:line="222" w:lineRule="auto"/>
              <w:ind w:left="149"/>
              <w:rPr>
                <w:rFonts w:ascii="宋体" w:eastAsia="宋体" w:hAnsi="宋体" w:cs="宋体"/>
                <w:sz w:val="16"/>
                <w:szCs w:val="16"/>
              </w:rPr>
            </w:pPr>
            <w:r>
              <w:rPr>
                <w:rFonts w:ascii="宋体" w:eastAsia="宋体" w:hAnsi="宋体" w:cs="宋体"/>
                <w:spacing w:val="-2"/>
                <w:sz w:val="16"/>
                <w:szCs w:val="16"/>
              </w:rPr>
              <w:t>1207(5.050</w:t>
            </w:r>
          </w:p>
          <w:p w:rsidR="00EA40A3" w:rsidRDefault="00E86C16">
            <w:pPr>
              <w:spacing w:before="138" w:line="300" w:lineRule="exact"/>
              <w:ind w:left="169"/>
              <w:rPr>
                <w:rFonts w:ascii="宋体" w:eastAsia="宋体" w:hAnsi="宋体" w:cs="宋体"/>
                <w:sz w:val="16"/>
                <w:szCs w:val="16"/>
              </w:rPr>
            </w:pPr>
            <w:r>
              <w:rPr>
                <w:rFonts w:ascii="宋体" w:eastAsia="宋体" w:hAnsi="宋体" w:cs="宋体"/>
                <w:spacing w:val="-2"/>
                <w:position w:val="10"/>
                <w:sz w:val="16"/>
                <w:szCs w:val="16"/>
              </w:rPr>
              <w:t>1.261(5.275)</w:t>
            </w:r>
          </w:p>
          <w:p w:rsidR="00EA40A3" w:rsidRDefault="00E86C16">
            <w:pPr>
              <w:spacing w:line="222" w:lineRule="auto"/>
              <w:ind w:left="149"/>
              <w:rPr>
                <w:rFonts w:ascii="宋体" w:eastAsia="宋体" w:hAnsi="宋体" w:cs="宋体"/>
                <w:sz w:val="16"/>
                <w:szCs w:val="16"/>
              </w:rPr>
            </w:pPr>
            <w:r>
              <w:rPr>
                <w:rFonts w:ascii="宋体" w:eastAsia="宋体" w:hAnsi="宋体" w:cs="宋体"/>
                <w:spacing w:val="-2"/>
                <w:sz w:val="16"/>
                <w:szCs w:val="16"/>
              </w:rPr>
              <w:t>1.424(5.956)</w:t>
            </w:r>
          </w:p>
          <w:p w:rsidR="00EA40A3" w:rsidRDefault="00E86C16">
            <w:pPr>
              <w:spacing w:before="127" w:line="222" w:lineRule="auto"/>
              <w:ind w:left="149"/>
              <w:rPr>
                <w:rFonts w:ascii="宋体" w:eastAsia="宋体" w:hAnsi="宋体" w:cs="宋体"/>
                <w:sz w:val="16"/>
                <w:szCs w:val="16"/>
              </w:rPr>
            </w:pPr>
            <w:r>
              <w:rPr>
                <w:rFonts w:ascii="宋体" w:eastAsia="宋体" w:hAnsi="宋体" w:cs="宋体"/>
                <w:spacing w:val="-2"/>
                <w:sz w:val="16"/>
                <w:szCs w:val="16"/>
              </w:rPr>
              <w:t>1.326(5.550)</w:t>
            </w:r>
          </w:p>
        </w:tc>
        <w:tc>
          <w:tcPr>
            <w:tcW w:w="1933" w:type="dxa"/>
            <w:tcBorders>
              <w:right w:val="nil"/>
            </w:tcBorders>
          </w:tcPr>
          <w:p w:rsidR="00EA40A3" w:rsidRDefault="00E86C16">
            <w:pPr>
              <w:spacing w:before="97" w:line="266" w:lineRule="auto"/>
              <w:ind w:left="244" w:right="189" w:hanging="180"/>
              <w:rPr>
                <w:rFonts w:ascii="宋体" w:eastAsia="宋体" w:hAnsi="宋体" w:cs="宋体"/>
                <w:sz w:val="16"/>
                <w:szCs w:val="16"/>
              </w:rPr>
            </w:pPr>
            <w:r>
              <w:rPr>
                <w:rFonts w:ascii="宋体" w:eastAsia="宋体" w:hAnsi="宋体" w:cs="宋体"/>
                <w:spacing w:val="-1"/>
                <w:sz w:val="16"/>
                <w:szCs w:val="16"/>
              </w:rPr>
              <w:t>滑雪(平地硬雪、中等速</w:t>
            </w:r>
            <w:r>
              <w:rPr>
                <w:rFonts w:ascii="宋体" w:eastAsia="宋体" w:hAnsi="宋体" w:cs="宋体"/>
                <w:spacing w:val="3"/>
                <w:sz w:val="16"/>
                <w:szCs w:val="16"/>
              </w:rPr>
              <w:t xml:space="preserve"> </w:t>
            </w:r>
            <w:r>
              <w:rPr>
                <w:rFonts w:ascii="宋体" w:eastAsia="宋体" w:hAnsi="宋体" w:cs="宋体"/>
                <w:spacing w:val="-3"/>
                <w:sz w:val="16"/>
                <w:szCs w:val="16"/>
              </w:rPr>
              <w:t>度</w:t>
            </w:r>
            <w:r>
              <w:rPr>
                <w:rFonts w:ascii="宋体" w:eastAsia="宋体" w:hAnsi="宋体" w:cs="宋体"/>
                <w:spacing w:val="-33"/>
                <w:sz w:val="16"/>
                <w:szCs w:val="16"/>
              </w:rPr>
              <w:t xml:space="preserve"> </w:t>
            </w:r>
            <w:r>
              <w:rPr>
                <w:rFonts w:ascii="宋体" w:eastAsia="宋体" w:hAnsi="宋体" w:cs="宋体"/>
                <w:spacing w:val="-3"/>
                <w:sz w:val="16"/>
                <w:szCs w:val="16"/>
              </w:rPr>
              <w:t>)</w:t>
            </w:r>
          </w:p>
          <w:p w:rsidR="00EA40A3" w:rsidRDefault="00E86C16">
            <w:pPr>
              <w:spacing w:before="159" w:line="340" w:lineRule="exact"/>
              <w:ind w:left="64"/>
              <w:rPr>
                <w:rFonts w:ascii="宋体" w:eastAsia="宋体" w:hAnsi="宋体" w:cs="宋体"/>
                <w:sz w:val="16"/>
                <w:szCs w:val="16"/>
              </w:rPr>
            </w:pPr>
            <w:r>
              <w:rPr>
                <w:rFonts w:ascii="宋体" w:eastAsia="宋体" w:hAnsi="宋体" w:cs="宋体"/>
                <w:spacing w:val="1"/>
                <w:position w:val="13"/>
                <w:sz w:val="16"/>
                <w:szCs w:val="16"/>
              </w:rPr>
              <w:t>室外混合运动</w:t>
            </w:r>
          </w:p>
          <w:p w:rsidR="00EA40A3" w:rsidRDefault="00E86C16">
            <w:pPr>
              <w:spacing w:line="220" w:lineRule="auto"/>
              <w:ind w:left="64"/>
              <w:rPr>
                <w:rFonts w:ascii="宋体" w:eastAsia="宋体" w:hAnsi="宋体" w:cs="宋体"/>
                <w:sz w:val="16"/>
                <w:szCs w:val="16"/>
              </w:rPr>
            </w:pPr>
            <w:r>
              <w:rPr>
                <w:rFonts w:ascii="宋体" w:eastAsia="宋体" w:hAnsi="宋体" w:cs="宋体"/>
                <w:spacing w:val="-2"/>
                <w:sz w:val="16"/>
                <w:szCs w:val="16"/>
              </w:rPr>
              <w:t>射箭</w:t>
            </w:r>
          </w:p>
          <w:p w:rsidR="00EA40A3" w:rsidRDefault="00E86C16">
            <w:pPr>
              <w:spacing w:before="159" w:line="349" w:lineRule="exact"/>
              <w:ind w:left="64"/>
              <w:rPr>
                <w:rFonts w:ascii="宋体" w:eastAsia="宋体" w:hAnsi="宋体" w:cs="宋体"/>
                <w:sz w:val="16"/>
                <w:szCs w:val="16"/>
              </w:rPr>
            </w:pPr>
            <w:r>
              <w:rPr>
                <w:rFonts w:ascii="宋体" w:eastAsia="宋体" w:hAnsi="宋体" w:cs="宋体"/>
                <w:spacing w:val="5"/>
                <w:position w:val="14"/>
                <w:sz w:val="16"/>
                <w:szCs w:val="16"/>
              </w:rPr>
              <w:t>打排球(练习)</w:t>
            </w:r>
          </w:p>
          <w:p w:rsidR="00EA40A3" w:rsidRDefault="00E86C16">
            <w:pPr>
              <w:spacing w:line="219" w:lineRule="auto"/>
              <w:ind w:left="64"/>
              <w:rPr>
                <w:rFonts w:ascii="宋体" w:eastAsia="宋体" w:hAnsi="宋体" w:cs="宋体"/>
                <w:sz w:val="16"/>
                <w:szCs w:val="16"/>
              </w:rPr>
            </w:pPr>
            <w:r>
              <w:rPr>
                <w:rFonts w:ascii="宋体" w:eastAsia="宋体" w:hAnsi="宋体" w:cs="宋体"/>
                <w:spacing w:val="5"/>
                <w:sz w:val="16"/>
                <w:szCs w:val="16"/>
              </w:rPr>
              <w:t>打排球(比赛)</w:t>
            </w:r>
          </w:p>
          <w:p w:rsidR="00EA40A3" w:rsidRDefault="00E86C16">
            <w:pPr>
              <w:spacing w:before="140" w:line="219" w:lineRule="auto"/>
              <w:ind w:left="64"/>
              <w:rPr>
                <w:rFonts w:ascii="宋体" w:eastAsia="宋体" w:hAnsi="宋体" w:cs="宋体"/>
                <w:sz w:val="16"/>
                <w:szCs w:val="16"/>
              </w:rPr>
            </w:pPr>
            <w:r>
              <w:rPr>
                <w:rFonts w:ascii="宋体" w:eastAsia="宋体" w:hAnsi="宋体" w:cs="宋体"/>
                <w:spacing w:val="5"/>
                <w:sz w:val="16"/>
                <w:szCs w:val="16"/>
              </w:rPr>
              <w:t>棒球(接球)</w:t>
            </w:r>
          </w:p>
          <w:p w:rsidR="00EA40A3" w:rsidRDefault="00E86C16">
            <w:pPr>
              <w:spacing w:before="150" w:line="219" w:lineRule="auto"/>
              <w:ind w:left="64"/>
              <w:rPr>
                <w:rFonts w:ascii="宋体" w:eastAsia="宋体" w:hAnsi="宋体" w:cs="宋体"/>
                <w:sz w:val="16"/>
                <w:szCs w:val="16"/>
              </w:rPr>
            </w:pPr>
            <w:r>
              <w:rPr>
                <w:rFonts w:ascii="宋体" w:eastAsia="宋体" w:hAnsi="宋体" w:cs="宋体"/>
                <w:spacing w:val="-2"/>
                <w:sz w:val="16"/>
                <w:szCs w:val="16"/>
              </w:rPr>
              <w:t>打棒球</w:t>
            </w:r>
          </w:p>
          <w:p w:rsidR="00EA40A3" w:rsidRDefault="00E86C16">
            <w:pPr>
              <w:spacing w:before="160" w:line="219" w:lineRule="auto"/>
              <w:ind w:left="64"/>
              <w:rPr>
                <w:rFonts w:ascii="宋体" w:eastAsia="宋体" w:hAnsi="宋体" w:cs="宋体"/>
                <w:sz w:val="16"/>
                <w:szCs w:val="16"/>
              </w:rPr>
            </w:pPr>
            <w:r>
              <w:rPr>
                <w:rFonts w:ascii="宋体" w:eastAsia="宋体" w:hAnsi="宋体" w:cs="宋体"/>
                <w:spacing w:val="-2"/>
                <w:sz w:val="16"/>
                <w:szCs w:val="16"/>
              </w:rPr>
              <w:t>男子网球单打比赛</w:t>
            </w:r>
          </w:p>
          <w:p w:rsidR="00EA40A3" w:rsidRDefault="00E86C16">
            <w:pPr>
              <w:spacing w:before="151" w:line="260" w:lineRule="auto"/>
              <w:ind w:left="64" w:right="255"/>
              <w:rPr>
                <w:rFonts w:ascii="宋体" w:eastAsia="宋体" w:hAnsi="宋体" w:cs="宋体"/>
                <w:sz w:val="16"/>
                <w:szCs w:val="16"/>
              </w:rPr>
            </w:pPr>
            <w:r>
              <w:rPr>
                <w:rFonts w:ascii="宋体" w:eastAsia="宋体" w:hAnsi="宋体" w:cs="宋体"/>
                <w:sz w:val="16"/>
                <w:szCs w:val="16"/>
              </w:rPr>
              <w:t>男子网球单线定位技术</w:t>
            </w:r>
            <w:r>
              <w:rPr>
                <w:rFonts w:ascii="宋体" w:eastAsia="宋体" w:hAnsi="宋体" w:cs="宋体"/>
                <w:spacing w:val="6"/>
                <w:sz w:val="16"/>
                <w:szCs w:val="16"/>
              </w:rPr>
              <w:t xml:space="preserve"> </w:t>
            </w:r>
            <w:r>
              <w:rPr>
                <w:rFonts w:ascii="宋体" w:eastAsia="宋体" w:hAnsi="宋体" w:cs="宋体"/>
                <w:spacing w:val="-3"/>
                <w:sz w:val="16"/>
                <w:szCs w:val="16"/>
              </w:rPr>
              <w:t>训练</w:t>
            </w:r>
          </w:p>
          <w:p w:rsidR="00EA40A3" w:rsidRDefault="00E86C16">
            <w:pPr>
              <w:spacing w:before="158" w:line="320" w:lineRule="exact"/>
              <w:ind w:left="64"/>
              <w:rPr>
                <w:rFonts w:ascii="宋体" w:eastAsia="宋体" w:hAnsi="宋体" w:cs="宋体"/>
                <w:sz w:val="16"/>
                <w:szCs w:val="16"/>
              </w:rPr>
            </w:pPr>
            <w:r>
              <w:rPr>
                <w:rFonts w:ascii="宋体" w:eastAsia="宋体" w:hAnsi="宋体" w:cs="宋体"/>
                <w:position w:val="12"/>
                <w:sz w:val="16"/>
                <w:szCs w:val="16"/>
              </w:rPr>
              <w:t>男子网球多球技术训练</w:t>
            </w:r>
          </w:p>
          <w:p w:rsidR="00EA40A3" w:rsidRDefault="00E86C16">
            <w:pPr>
              <w:spacing w:before="1" w:line="219" w:lineRule="auto"/>
              <w:ind w:left="64"/>
              <w:rPr>
                <w:rFonts w:ascii="宋体" w:eastAsia="宋体" w:hAnsi="宋体" w:cs="宋体"/>
                <w:sz w:val="16"/>
                <w:szCs w:val="16"/>
              </w:rPr>
            </w:pPr>
            <w:r>
              <w:rPr>
                <w:rFonts w:ascii="宋体" w:eastAsia="宋体" w:hAnsi="宋体" w:cs="宋体"/>
                <w:spacing w:val="-2"/>
                <w:sz w:val="16"/>
                <w:szCs w:val="16"/>
              </w:rPr>
              <w:t>女子网球单打比赛</w:t>
            </w:r>
          </w:p>
          <w:p w:rsidR="00EA40A3" w:rsidRDefault="00E86C16">
            <w:pPr>
              <w:spacing w:before="120" w:line="266" w:lineRule="auto"/>
              <w:ind w:left="64" w:right="273"/>
              <w:rPr>
                <w:rFonts w:ascii="宋体" w:eastAsia="宋体" w:hAnsi="宋体" w:cs="宋体"/>
                <w:sz w:val="16"/>
                <w:szCs w:val="16"/>
              </w:rPr>
            </w:pPr>
            <w:r>
              <w:rPr>
                <w:rFonts w:ascii="宋体" w:eastAsia="宋体" w:hAnsi="宋体" w:cs="宋体"/>
                <w:spacing w:val="-2"/>
                <w:sz w:val="16"/>
                <w:szCs w:val="16"/>
              </w:rPr>
              <w:t>女子网球单线定位技术</w:t>
            </w:r>
            <w:r>
              <w:rPr>
                <w:rFonts w:ascii="宋体" w:eastAsia="宋体" w:hAnsi="宋体" w:cs="宋体"/>
                <w:spacing w:val="8"/>
                <w:sz w:val="16"/>
                <w:szCs w:val="16"/>
              </w:rPr>
              <w:t xml:space="preserve"> </w:t>
            </w:r>
            <w:r>
              <w:rPr>
                <w:rFonts w:ascii="宋体" w:eastAsia="宋体" w:hAnsi="宋体" w:cs="宋体"/>
                <w:spacing w:val="-3"/>
                <w:sz w:val="16"/>
                <w:szCs w:val="16"/>
              </w:rPr>
              <w:t>训练</w:t>
            </w:r>
          </w:p>
          <w:p w:rsidR="00EA40A3" w:rsidRDefault="00E86C16">
            <w:pPr>
              <w:spacing w:before="159" w:line="219" w:lineRule="auto"/>
              <w:ind w:left="64"/>
              <w:rPr>
                <w:rFonts w:ascii="宋体" w:eastAsia="宋体" w:hAnsi="宋体" w:cs="宋体"/>
                <w:sz w:val="16"/>
                <w:szCs w:val="16"/>
              </w:rPr>
            </w:pPr>
            <w:r>
              <w:rPr>
                <w:rFonts w:ascii="宋体" w:eastAsia="宋体" w:hAnsi="宋体" w:cs="宋体"/>
                <w:spacing w:val="-1"/>
                <w:sz w:val="16"/>
                <w:szCs w:val="16"/>
              </w:rPr>
              <w:t>女子网球网前技术训练</w:t>
            </w:r>
          </w:p>
          <w:p w:rsidR="00EA40A3" w:rsidRDefault="00E86C16">
            <w:pPr>
              <w:spacing w:before="149" w:line="255" w:lineRule="auto"/>
              <w:ind w:left="64" w:right="273"/>
              <w:rPr>
                <w:rFonts w:ascii="宋体" w:eastAsia="宋体" w:hAnsi="宋体" w:cs="宋体"/>
                <w:sz w:val="16"/>
                <w:szCs w:val="16"/>
              </w:rPr>
            </w:pPr>
            <w:r>
              <w:rPr>
                <w:rFonts w:ascii="宋体" w:eastAsia="宋体" w:hAnsi="宋体" w:cs="宋体"/>
                <w:spacing w:val="-2"/>
                <w:sz w:val="16"/>
                <w:szCs w:val="16"/>
              </w:rPr>
              <w:t>女子网球底线移动技术</w:t>
            </w:r>
            <w:r>
              <w:rPr>
                <w:rFonts w:ascii="宋体" w:eastAsia="宋体" w:hAnsi="宋体" w:cs="宋体"/>
                <w:spacing w:val="8"/>
                <w:sz w:val="16"/>
                <w:szCs w:val="16"/>
              </w:rPr>
              <w:t xml:space="preserve"> </w:t>
            </w:r>
            <w:r>
              <w:rPr>
                <w:rFonts w:ascii="宋体" w:eastAsia="宋体" w:hAnsi="宋体" w:cs="宋体"/>
                <w:spacing w:val="-3"/>
                <w:sz w:val="16"/>
                <w:szCs w:val="16"/>
              </w:rPr>
              <w:t>训练</w:t>
            </w:r>
          </w:p>
          <w:p w:rsidR="00EA40A3" w:rsidRDefault="00E86C16">
            <w:pPr>
              <w:spacing w:before="159" w:line="320" w:lineRule="exact"/>
              <w:ind w:left="64"/>
              <w:rPr>
                <w:rFonts w:ascii="宋体" w:eastAsia="宋体" w:hAnsi="宋体" w:cs="宋体"/>
                <w:sz w:val="16"/>
                <w:szCs w:val="16"/>
              </w:rPr>
            </w:pPr>
            <w:r>
              <w:rPr>
                <w:rFonts w:ascii="宋体" w:eastAsia="宋体" w:hAnsi="宋体" w:cs="宋体"/>
                <w:spacing w:val="-2"/>
                <w:position w:val="12"/>
                <w:sz w:val="16"/>
                <w:szCs w:val="16"/>
              </w:rPr>
              <w:t>女子网球发球</w:t>
            </w:r>
          </w:p>
          <w:p w:rsidR="00EA40A3" w:rsidRDefault="00E86C16">
            <w:pPr>
              <w:spacing w:line="220" w:lineRule="auto"/>
              <w:ind w:left="64"/>
              <w:rPr>
                <w:rFonts w:ascii="宋体" w:eastAsia="宋体" w:hAnsi="宋体" w:cs="宋体"/>
                <w:sz w:val="16"/>
                <w:szCs w:val="16"/>
              </w:rPr>
            </w:pPr>
            <w:r>
              <w:rPr>
                <w:rFonts w:ascii="宋体" w:eastAsia="宋体" w:hAnsi="宋体" w:cs="宋体"/>
                <w:spacing w:val="5"/>
                <w:sz w:val="16"/>
                <w:szCs w:val="16"/>
              </w:rPr>
              <w:t>打篮球(练习)</w:t>
            </w:r>
          </w:p>
          <w:p w:rsidR="00EA40A3" w:rsidRDefault="00E86C16">
            <w:pPr>
              <w:spacing w:before="109" w:line="219" w:lineRule="auto"/>
              <w:ind w:left="64"/>
              <w:rPr>
                <w:rFonts w:ascii="宋体" w:eastAsia="宋体" w:hAnsi="宋体" w:cs="宋体"/>
                <w:sz w:val="16"/>
                <w:szCs w:val="16"/>
              </w:rPr>
            </w:pPr>
            <w:r>
              <w:rPr>
                <w:rFonts w:ascii="宋体" w:eastAsia="宋体" w:hAnsi="宋体" w:cs="宋体"/>
                <w:spacing w:val="5"/>
                <w:sz w:val="16"/>
                <w:szCs w:val="16"/>
              </w:rPr>
              <w:t>打篮球(比赛)</w:t>
            </w:r>
          </w:p>
          <w:p w:rsidR="00EA40A3" w:rsidRDefault="00E86C16">
            <w:pPr>
              <w:spacing w:before="110" w:line="330" w:lineRule="exact"/>
              <w:ind w:left="64"/>
              <w:rPr>
                <w:rFonts w:ascii="宋体" w:eastAsia="宋体" w:hAnsi="宋体" w:cs="宋体"/>
                <w:sz w:val="16"/>
                <w:szCs w:val="16"/>
              </w:rPr>
            </w:pPr>
            <w:r>
              <w:rPr>
                <w:rFonts w:ascii="宋体" w:eastAsia="宋体" w:hAnsi="宋体" w:cs="宋体"/>
                <w:spacing w:val="1"/>
                <w:position w:val="13"/>
                <w:sz w:val="16"/>
                <w:szCs w:val="16"/>
              </w:rPr>
              <w:t>男子自行车准备活动</w:t>
            </w:r>
          </w:p>
          <w:p w:rsidR="00EA40A3" w:rsidRDefault="00E86C16">
            <w:pPr>
              <w:spacing w:line="219" w:lineRule="auto"/>
              <w:ind w:left="64"/>
              <w:rPr>
                <w:rFonts w:ascii="宋体" w:eastAsia="宋体" w:hAnsi="宋体" w:cs="宋体"/>
                <w:sz w:val="16"/>
                <w:szCs w:val="16"/>
              </w:rPr>
            </w:pPr>
            <w:r>
              <w:rPr>
                <w:rFonts w:ascii="宋体" w:eastAsia="宋体" w:hAnsi="宋体" w:cs="宋体"/>
                <w:spacing w:val="1"/>
                <w:sz w:val="16"/>
                <w:szCs w:val="16"/>
              </w:rPr>
              <w:t>男子自行车中速运动</w:t>
            </w:r>
          </w:p>
          <w:p w:rsidR="00EA40A3" w:rsidRDefault="00E86C16">
            <w:pPr>
              <w:spacing w:before="131" w:line="219" w:lineRule="auto"/>
              <w:ind w:left="64"/>
              <w:rPr>
                <w:rFonts w:ascii="宋体" w:eastAsia="宋体" w:hAnsi="宋体" w:cs="宋体"/>
                <w:sz w:val="16"/>
                <w:szCs w:val="16"/>
              </w:rPr>
            </w:pPr>
            <w:r>
              <w:rPr>
                <w:rFonts w:ascii="宋体" w:eastAsia="宋体" w:hAnsi="宋体" w:cs="宋体"/>
                <w:spacing w:val="1"/>
                <w:sz w:val="16"/>
                <w:szCs w:val="16"/>
              </w:rPr>
              <w:t>女子自行车准备活动</w:t>
            </w:r>
          </w:p>
          <w:p w:rsidR="00EA40A3" w:rsidRDefault="00E86C16">
            <w:pPr>
              <w:spacing w:before="110" w:line="219" w:lineRule="auto"/>
              <w:ind w:left="64"/>
              <w:rPr>
                <w:rFonts w:ascii="宋体" w:eastAsia="宋体" w:hAnsi="宋体" w:cs="宋体"/>
                <w:sz w:val="16"/>
                <w:szCs w:val="16"/>
              </w:rPr>
            </w:pPr>
            <w:r>
              <w:rPr>
                <w:rFonts w:ascii="宋体" w:eastAsia="宋体" w:hAnsi="宋体" w:cs="宋体"/>
                <w:spacing w:val="1"/>
                <w:sz w:val="16"/>
                <w:szCs w:val="16"/>
              </w:rPr>
              <w:t>女子自行车中速运动</w:t>
            </w:r>
          </w:p>
          <w:p w:rsidR="00EA40A3" w:rsidRDefault="00E86C16">
            <w:pPr>
              <w:spacing w:before="121" w:line="221" w:lineRule="auto"/>
              <w:ind w:left="64"/>
              <w:rPr>
                <w:rFonts w:ascii="宋体" w:eastAsia="宋体" w:hAnsi="宋体" w:cs="宋体"/>
                <w:sz w:val="16"/>
                <w:szCs w:val="16"/>
              </w:rPr>
            </w:pPr>
            <w:r>
              <w:rPr>
                <w:rFonts w:ascii="宋体" w:eastAsia="宋体" w:hAnsi="宋体" w:cs="宋体"/>
                <w:spacing w:val="-2"/>
                <w:sz w:val="16"/>
                <w:szCs w:val="16"/>
              </w:rPr>
              <w:t>踢足球</w:t>
            </w:r>
          </w:p>
          <w:p w:rsidR="00EA40A3" w:rsidRDefault="00E86C16">
            <w:pPr>
              <w:spacing w:before="118" w:line="220" w:lineRule="auto"/>
              <w:ind w:left="64"/>
              <w:rPr>
                <w:rFonts w:ascii="宋体" w:eastAsia="宋体" w:hAnsi="宋体" w:cs="宋体"/>
                <w:sz w:val="16"/>
                <w:szCs w:val="16"/>
              </w:rPr>
            </w:pPr>
            <w:r>
              <w:rPr>
                <w:rFonts w:ascii="宋体" w:eastAsia="宋体" w:hAnsi="宋体" w:cs="宋体"/>
                <w:spacing w:val="-2"/>
                <w:sz w:val="16"/>
                <w:szCs w:val="16"/>
              </w:rPr>
              <w:t>单双杠</w:t>
            </w:r>
          </w:p>
          <w:p w:rsidR="00EA40A3" w:rsidRDefault="00E86C16">
            <w:pPr>
              <w:spacing w:before="140" w:line="310" w:lineRule="exact"/>
              <w:ind w:left="64"/>
              <w:rPr>
                <w:rFonts w:ascii="宋体" w:eastAsia="宋体" w:hAnsi="宋体" w:cs="宋体"/>
                <w:sz w:val="16"/>
                <w:szCs w:val="16"/>
              </w:rPr>
            </w:pPr>
            <w:r>
              <w:rPr>
                <w:rFonts w:ascii="宋体" w:eastAsia="宋体" w:hAnsi="宋体" w:cs="宋体"/>
                <w:spacing w:val="4"/>
                <w:position w:val="11"/>
                <w:sz w:val="16"/>
                <w:szCs w:val="16"/>
              </w:rPr>
              <w:t>划船(51m/</w:t>
            </w:r>
            <w:r>
              <w:rPr>
                <w:rFonts w:ascii="宋体" w:eastAsia="宋体" w:hAnsi="宋体" w:cs="宋体"/>
                <w:position w:val="11"/>
                <w:sz w:val="16"/>
                <w:szCs w:val="16"/>
              </w:rPr>
              <w:t>min</w:t>
            </w:r>
            <w:r>
              <w:rPr>
                <w:rFonts w:ascii="宋体" w:eastAsia="宋体" w:hAnsi="宋体" w:cs="宋体"/>
                <w:spacing w:val="4"/>
                <w:position w:val="11"/>
                <w:sz w:val="16"/>
                <w:szCs w:val="16"/>
              </w:rPr>
              <w:t>)</w:t>
            </w:r>
          </w:p>
          <w:p w:rsidR="00EA40A3" w:rsidRDefault="00E86C16">
            <w:pPr>
              <w:spacing w:before="1" w:line="221" w:lineRule="auto"/>
              <w:ind w:left="64"/>
              <w:rPr>
                <w:rFonts w:ascii="宋体" w:eastAsia="宋体" w:hAnsi="宋体" w:cs="宋体"/>
                <w:sz w:val="16"/>
                <w:szCs w:val="16"/>
              </w:rPr>
            </w:pPr>
            <w:r>
              <w:rPr>
                <w:rFonts w:ascii="宋体" w:eastAsia="宋体" w:hAnsi="宋体" w:cs="宋体"/>
                <w:spacing w:val="4"/>
                <w:sz w:val="16"/>
                <w:szCs w:val="16"/>
              </w:rPr>
              <w:t>划船(69m/</w:t>
            </w:r>
            <w:r>
              <w:rPr>
                <w:rFonts w:ascii="宋体" w:eastAsia="宋体" w:hAnsi="宋体" w:cs="宋体"/>
                <w:sz w:val="16"/>
                <w:szCs w:val="16"/>
              </w:rPr>
              <w:t>min</w:t>
            </w:r>
            <w:r>
              <w:rPr>
                <w:rFonts w:ascii="宋体" w:eastAsia="宋体" w:hAnsi="宋体" w:cs="宋体"/>
                <w:spacing w:val="4"/>
                <w:sz w:val="16"/>
                <w:szCs w:val="16"/>
              </w:rPr>
              <w:t>)</w:t>
            </w:r>
          </w:p>
          <w:p w:rsidR="00EA40A3" w:rsidRDefault="00E86C16">
            <w:pPr>
              <w:spacing w:before="118" w:line="221" w:lineRule="auto"/>
              <w:ind w:left="64"/>
              <w:rPr>
                <w:rFonts w:ascii="宋体" w:eastAsia="宋体" w:hAnsi="宋体" w:cs="宋体"/>
                <w:sz w:val="16"/>
                <w:szCs w:val="16"/>
              </w:rPr>
            </w:pPr>
            <w:r>
              <w:rPr>
                <w:rFonts w:ascii="宋体" w:eastAsia="宋体" w:hAnsi="宋体" w:cs="宋体"/>
                <w:spacing w:val="4"/>
                <w:sz w:val="16"/>
                <w:szCs w:val="16"/>
              </w:rPr>
              <w:t>划船(97m/</w:t>
            </w:r>
            <w:r>
              <w:rPr>
                <w:rFonts w:ascii="宋体" w:eastAsia="宋体" w:hAnsi="宋体" w:cs="宋体"/>
                <w:sz w:val="16"/>
                <w:szCs w:val="16"/>
              </w:rPr>
              <w:t>min</w:t>
            </w:r>
            <w:r>
              <w:rPr>
                <w:rFonts w:ascii="宋体" w:eastAsia="宋体" w:hAnsi="宋体" w:cs="宋体"/>
                <w:spacing w:val="4"/>
                <w:sz w:val="16"/>
                <w:szCs w:val="16"/>
              </w:rPr>
              <w:t>)</w:t>
            </w:r>
          </w:p>
          <w:p w:rsidR="00EA40A3" w:rsidRDefault="00E86C16">
            <w:pPr>
              <w:spacing w:before="127" w:line="219" w:lineRule="auto"/>
              <w:ind w:left="64"/>
              <w:rPr>
                <w:rFonts w:ascii="宋体" w:eastAsia="宋体" w:hAnsi="宋体" w:cs="宋体"/>
                <w:sz w:val="16"/>
                <w:szCs w:val="16"/>
              </w:rPr>
            </w:pPr>
            <w:r>
              <w:rPr>
                <w:rFonts w:ascii="宋体" w:eastAsia="宋体" w:hAnsi="宋体" w:cs="宋体"/>
                <w:spacing w:val="-2"/>
                <w:sz w:val="16"/>
                <w:szCs w:val="16"/>
              </w:rPr>
              <w:t>看电影</w:t>
            </w:r>
          </w:p>
          <w:p w:rsidR="00EA40A3" w:rsidRDefault="00E86C16">
            <w:pPr>
              <w:spacing w:before="119" w:line="219" w:lineRule="auto"/>
              <w:ind w:left="64"/>
              <w:rPr>
                <w:rFonts w:ascii="宋体" w:eastAsia="宋体" w:hAnsi="宋体" w:cs="宋体"/>
                <w:sz w:val="16"/>
                <w:szCs w:val="16"/>
              </w:rPr>
            </w:pPr>
            <w:r>
              <w:rPr>
                <w:rFonts w:ascii="宋体" w:eastAsia="宋体" w:hAnsi="宋体" w:cs="宋体"/>
                <w:spacing w:val="5"/>
                <w:sz w:val="16"/>
                <w:szCs w:val="16"/>
              </w:rPr>
              <w:t>下棋(军棋)</w:t>
            </w:r>
          </w:p>
        </w:tc>
        <w:tc>
          <w:tcPr>
            <w:tcW w:w="1786" w:type="dxa"/>
            <w:tcBorders>
              <w:left w:val="nil"/>
              <w:right w:val="nil"/>
            </w:tcBorders>
          </w:tcPr>
          <w:p w:rsidR="00EA40A3" w:rsidRDefault="00E86C16">
            <w:pPr>
              <w:spacing w:before="190" w:line="222" w:lineRule="auto"/>
              <w:ind w:left="216"/>
              <w:rPr>
                <w:rFonts w:ascii="宋体" w:eastAsia="宋体" w:hAnsi="宋体" w:cs="宋体"/>
                <w:sz w:val="16"/>
                <w:szCs w:val="16"/>
              </w:rPr>
            </w:pPr>
            <w:r>
              <w:rPr>
                <w:rFonts w:ascii="宋体" w:eastAsia="宋体" w:hAnsi="宋体" w:cs="宋体"/>
                <w:spacing w:val="-2"/>
                <w:sz w:val="16"/>
                <w:szCs w:val="16"/>
              </w:rPr>
              <w:t>1.655(6.925)</w:t>
            </w:r>
          </w:p>
          <w:p w:rsidR="00EA40A3" w:rsidRDefault="00EA40A3">
            <w:pPr>
              <w:spacing w:line="253" w:lineRule="auto"/>
            </w:pPr>
          </w:p>
          <w:p w:rsidR="00EA40A3" w:rsidRDefault="00E86C16">
            <w:pPr>
              <w:spacing w:before="52" w:line="340" w:lineRule="exact"/>
              <w:ind w:left="216"/>
              <w:rPr>
                <w:rFonts w:ascii="宋体" w:eastAsia="宋体" w:hAnsi="宋体" w:cs="宋体"/>
                <w:sz w:val="16"/>
                <w:szCs w:val="16"/>
              </w:rPr>
            </w:pPr>
            <w:r>
              <w:rPr>
                <w:rFonts w:ascii="宋体" w:eastAsia="宋体" w:hAnsi="宋体" w:cs="宋体"/>
                <w:spacing w:val="-1"/>
                <w:position w:val="13"/>
                <w:sz w:val="16"/>
                <w:szCs w:val="16"/>
              </w:rPr>
              <w:t>0.511(2.138)</w:t>
            </w:r>
          </w:p>
          <w:p w:rsidR="00EA40A3" w:rsidRDefault="00E86C16">
            <w:pPr>
              <w:spacing w:line="222" w:lineRule="auto"/>
              <w:ind w:left="207"/>
              <w:rPr>
                <w:rFonts w:ascii="宋体" w:eastAsia="宋体" w:hAnsi="宋体" w:cs="宋体"/>
                <w:sz w:val="16"/>
                <w:szCs w:val="16"/>
              </w:rPr>
            </w:pPr>
            <w:r>
              <w:rPr>
                <w:rFonts w:ascii="宋体" w:eastAsia="宋体" w:hAnsi="宋体" w:cs="宋体"/>
                <w:spacing w:val="-1"/>
                <w:sz w:val="16"/>
                <w:szCs w:val="16"/>
              </w:rPr>
              <w:t>0.672(2.813)</w:t>
            </w:r>
          </w:p>
          <w:p w:rsidR="00EA40A3" w:rsidRDefault="00E86C16">
            <w:pPr>
              <w:spacing w:before="157" w:line="222" w:lineRule="auto"/>
              <w:ind w:left="207"/>
              <w:rPr>
                <w:rFonts w:ascii="宋体" w:eastAsia="宋体" w:hAnsi="宋体" w:cs="宋体"/>
                <w:sz w:val="16"/>
                <w:szCs w:val="16"/>
              </w:rPr>
            </w:pPr>
            <w:r>
              <w:rPr>
                <w:rFonts w:ascii="宋体" w:eastAsia="宋体" w:hAnsi="宋体" w:cs="宋体"/>
                <w:spacing w:val="-1"/>
                <w:sz w:val="16"/>
                <w:szCs w:val="16"/>
              </w:rPr>
              <w:t>0.451(1.888)</w:t>
            </w:r>
          </w:p>
          <w:p w:rsidR="00EA40A3" w:rsidRDefault="00E86C16">
            <w:pPr>
              <w:spacing w:before="137" w:line="222" w:lineRule="auto"/>
              <w:ind w:left="207"/>
              <w:rPr>
                <w:rFonts w:ascii="宋体" w:eastAsia="宋体" w:hAnsi="宋体" w:cs="宋体"/>
                <w:sz w:val="16"/>
                <w:szCs w:val="16"/>
              </w:rPr>
            </w:pPr>
            <w:r>
              <w:rPr>
                <w:rFonts w:ascii="宋体" w:eastAsia="宋体" w:hAnsi="宋体" w:cs="宋体"/>
                <w:spacing w:val="-1"/>
                <w:sz w:val="16"/>
                <w:szCs w:val="16"/>
              </w:rPr>
              <w:t>0.974(4.075)</w:t>
            </w:r>
          </w:p>
          <w:p w:rsidR="00EA40A3" w:rsidRDefault="00E86C16">
            <w:pPr>
              <w:spacing w:before="157" w:line="222" w:lineRule="auto"/>
              <w:ind w:left="207"/>
              <w:rPr>
                <w:rFonts w:ascii="宋体" w:eastAsia="宋体" w:hAnsi="宋体" w:cs="宋体"/>
                <w:sz w:val="16"/>
                <w:szCs w:val="16"/>
              </w:rPr>
            </w:pPr>
            <w:r>
              <w:rPr>
                <w:rFonts w:ascii="宋体" w:eastAsia="宋体" w:hAnsi="宋体" w:cs="宋体"/>
                <w:spacing w:val="-1"/>
                <w:sz w:val="16"/>
                <w:szCs w:val="16"/>
              </w:rPr>
              <w:t>0.503(2.106)</w:t>
            </w:r>
          </w:p>
          <w:p w:rsidR="00EA40A3" w:rsidRDefault="00E86C16">
            <w:pPr>
              <w:spacing w:before="148" w:line="222" w:lineRule="auto"/>
              <w:ind w:left="207"/>
              <w:rPr>
                <w:rFonts w:ascii="宋体" w:eastAsia="宋体" w:hAnsi="宋体" w:cs="宋体"/>
                <w:sz w:val="16"/>
                <w:szCs w:val="16"/>
              </w:rPr>
            </w:pPr>
            <w:r>
              <w:rPr>
                <w:rFonts w:ascii="宋体" w:eastAsia="宋体" w:hAnsi="宋体" w:cs="宋体"/>
                <w:spacing w:val="-1"/>
                <w:sz w:val="16"/>
                <w:szCs w:val="16"/>
              </w:rPr>
              <w:t>0.775(3.244)</w:t>
            </w:r>
          </w:p>
          <w:p w:rsidR="00EA40A3" w:rsidRDefault="00E86C16">
            <w:pPr>
              <w:spacing w:before="158" w:line="222" w:lineRule="auto"/>
              <w:ind w:left="216"/>
              <w:rPr>
                <w:rFonts w:ascii="宋体" w:eastAsia="宋体" w:hAnsi="宋体" w:cs="宋体"/>
                <w:sz w:val="16"/>
                <w:szCs w:val="16"/>
              </w:rPr>
            </w:pPr>
            <w:r>
              <w:rPr>
                <w:rFonts w:ascii="宋体" w:eastAsia="宋体" w:hAnsi="宋体" w:cs="宋体"/>
                <w:spacing w:val="-2"/>
                <w:sz w:val="16"/>
                <w:szCs w:val="16"/>
              </w:rPr>
              <w:t>1.348(5.639)</w:t>
            </w:r>
          </w:p>
          <w:p w:rsidR="00EA40A3" w:rsidRDefault="00EA40A3">
            <w:pPr>
              <w:spacing w:line="254" w:lineRule="auto"/>
            </w:pPr>
          </w:p>
          <w:p w:rsidR="00EA40A3" w:rsidRDefault="00E86C16">
            <w:pPr>
              <w:spacing w:before="52" w:line="222" w:lineRule="auto"/>
              <w:ind w:left="227"/>
              <w:rPr>
                <w:rFonts w:ascii="宋体" w:eastAsia="宋体" w:hAnsi="宋体" w:cs="宋体"/>
                <w:sz w:val="16"/>
                <w:szCs w:val="16"/>
              </w:rPr>
            </w:pPr>
            <w:r>
              <w:rPr>
                <w:rFonts w:ascii="宋体" w:eastAsia="宋体" w:hAnsi="宋体" w:cs="宋体"/>
                <w:spacing w:val="-2"/>
                <w:sz w:val="16"/>
                <w:szCs w:val="16"/>
              </w:rPr>
              <w:t>1.336(5.590)</w:t>
            </w:r>
          </w:p>
          <w:p w:rsidR="00EA40A3" w:rsidRDefault="00E86C16">
            <w:pPr>
              <w:spacing w:before="267" w:line="222" w:lineRule="auto"/>
              <w:ind w:left="216"/>
              <w:rPr>
                <w:rFonts w:ascii="宋体" w:eastAsia="宋体" w:hAnsi="宋体" w:cs="宋体"/>
                <w:sz w:val="16"/>
                <w:szCs w:val="16"/>
              </w:rPr>
            </w:pPr>
            <w:r>
              <w:rPr>
                <w:rFonts w:ascii="宋体" w:eastAsia="宋体" w:hAnsi="宋体" w:cs="宋体"/>
                <w:spacing w:val="-2"/>
                <w:sz w:val="16"/>
                <w:szCs w:val="16"/>
              </w:rPr>
              <w:t>1898(7.942</w:t>
            </w:r>
          </w:p>
          <w:p w:rsidR="00EA40A3" w:rsidRDefault="00E86C16">
            <w:pPr>
              <w:spacing w:before="118" w:line="222" w:lineRule="auto"/>
              <w:ind w:left="216"/>
              <w:rPr>
                <w:rFonts w:ascii="宋体" w:eastAsia="宋体" w:hAnsi="宋体" w:cs="宋体"/>
                <w:sz w:val="16"/>
                <w:szCs w:val="16"/>
              </w:rPr>
            </w:pPr>
            <w:r>
              <w:rPr>
                <w:rFonts w:ascii="宋体" w:eastAsia="宋体" w:hAnsi="宋体" w:cs="宋体"/>
                <w:spacing w:val="-2"/>
                <w:sz w:val="16"/>
                <w:szCs w:val="16"/>
              </w:rPr>
              <w:t>1.438(6.016)</w:t>
            </w:r>
          </w:p>
          <w:p w:rsidR="00EA40A3" w:rsidRDefault="00E86C16">
            <w:pPr>
              <w:spacing w:before="277" w:line="470" w:lineRule="exact"/>
              <w:ind w:left="227"/>
              <w:rPr>
                <w:rFonts w:ascii="宋体" w:eastAsia="宋体" w:hAnsi="宋体" w:cs="宋体"/>
                <w:sz w:val="16"/>
                <w:szCs w:val="16"/>
              </w:rPr>
            </w:pPr>
            <w:r>
              <w:rPr>
                <w:rFonts w:ascii="宋体" w:eastAsia="宋体" w:hAnsi="宋体" w:cs="宋体"/>
                <w:spacing w:val="-2"/>
                <w:position w:val="24"/>
                <w:sz w:val="16"/>
                <w:szCs w:val="16"/>
              </w:rPr>
              <w:t>1.371(5.737)</w:t>
            </w:r>
          </w:p>
          <w:p w:rsidR="00EA40A3" w:rsidRDefault="00E86C16">
            <w:pPr>
              <w:spacing w:line="222" w:lineRule="auto"/>
              <w:ind w:left="216"/>
              <w:rPr>
                <w:rFonts w:ascii="宋体" w:eastAsia="宋体" w:hAnsi="宋体" w:cs="宋体"/>
                <w:sz w:val="16"/>
                <w:szCs w:val="16"/>
              </w:rPr>
            </w:pPr>
            <w:r>
              <w:rPr>
                <w:rFonts w:ascii="宋体" w:eastAsia="宋体" w:hAnsi="宋体" w:cs="宋体"/>
                <w:spacing w:val="-2"/>
                <w:sz w:val="16"/>
                <w:szCs w:val="16"/>
              </w:rPr>
              <w:t>1.460(6.107)</w:t>
            </w:r>
          </w:p>
          <w:p w:rsidR="00EA40A3" w:rsidRDefault="00E86C16">
            <w:pPr>
              <w:spacing w:before="288" w:line="222" w:lineRule="auto"/>
              <w:ind w:left="236"/>
              <w:rPr>
                <w:rFonts w:ascii="宋体" w:eastAsia="宋体" w:hAnsi="宋体" w:cs="宋体"/>
                <w:sz w:val="16"/>
                <w:szCs w:val="16"/>
              </w:rPr>
            </w:pPr>
            <w:r>
              <w:rPr>
                <w:rFonts w:ascii="宋体" w:eastAsia="宋体" w:hAnsi="宋体" w:cs="宋体"/>
                <w:spacing w:val="-2"/>
                <w:sz w:val="16"/>
                <w:szCs w:val="16"/>
              </w:rPr>
              <w:t>1.552(6.493)</w:t>
            </w:r>
          </w:p>
          <w:p w:rsidR="00EA40A3" w:rsidRDefault="00E86C16">
            <w:pPr>
              <w:spacing w:before="257" w:line="320" w:lineRule="exact"/>
              <w:ind w:left="207"/>
              <w:rPr>
                <w:rFonts w:ascii="宋体" w:eastAsia="宋体" w:hAnsi="宋体" w:cs="宋体"/>
                <w:sz w:val="16"/>
                <w:szCs w:val="16"/>
              </w:rPr>
            </w:pPr>
            <w:r>
              <w:rPr>
                <w:rFonts w:ascii="宋体" w:eastAsia="宋体" w:hAnsi="宋体" w:cs="宋体"/>
                <w:spacing w:val="-1"/>
                <w:position w:val="12"/>
                <w:sz w:val="16"/>
                <w:szCs w:val="16"/>
              </w:rPr>
              <w:t>0.831(3.477</w:t>
            </w:r>
          </w:p>
          <w:p w:rsidR="00EA40A3" w:rsidRDefault="00E86C16">
            <w:pPr>
              <w:spacing w:before="1" w:line="222" w:lineRule="auto"/>
              <w:ind w:left="207"/>
              <w:rPr>
                <w:rFonts w:ascii="宋体" w:eastAsia="宋体" w:hAnsi="宋体" w:cs="宋体"/>
                <w:sz w:val="16"/>
                <w:szCs w:val="16"/>
              </w:rPr>
            </w:pPr>
            <w:r>
              <w:rPr>
                <w:rFonts w:ascii="宋体" w:eastAsia="宋体" w:hAnsi="宋体" w:cs="宋体"/>
                <w:spacing w:val="-1"/>
                <w:sz w:val="16"/>
                <w:szCs w:val="16"/>
              </w:rPr>
              <w:t>0.792(3.313</w:t>
            </w:r>
          </w:p>
          <w:p w:rsidR="00EA40A3" w:rsidRDefault="00E86C16">
            <w:pPr>
              <w:spacing w:before="127" w:line="222" w:lineRule="auto"/>
              <w:ind w:left="227"/>
              <w:rPr>
                <w:rFonts w:ascii="宋体" w:eastAsia="宋体" w:hAnsi="宋体" w:cs="宋体"/>
                <w:sz w:val="16"/>
                <w:szCs w:val="16"/>
              </w:rPr>
            </w:pPr>
            <w:r>
              <w:rPr>
                <w:rFonts w:ascii="宋体" w:eastAsia="宋体" w:hAnsi="宋体" w:cs="宋体"/>
                <w:spacing w:val="-2"/>
                <w:sz w:val="16"/>
                <w:szCs w:val="16"/>
              </w:rPr>
              <w:t>1.382(5.781)</w:t>
            </w:r>
          </w:p>
          <w:p w:rsidR="00EA40A3" w:rsidRDefault="00E86C16">
            <w:pPr>
              <w:spacing w:before="128" w:line="222" w:lineRule="auto"/>
              <w:ind w:left="227"/>
              <w:rPr>
                <w:rFonts w:ascii="宋体" w:eastAsia="宋体" w:hAnsi="宋体" w:cs="宋体"/>
                <w:sz w:val="16"/>
                <w:szCs w:val="16"/>
              </w:rPr>
            </w:pPr>
            <w:r>
              <w:rPr>
                <w:rFonts w:ascii="宋体" w:eastAsia="宋体" w:hAnsi="宋体" w:cs="宋体"/>
                <w:spacing w:val="-2"/>
                <w:sz w:val="16"/>
                <w:szCs w:val="16"/>
              </w:rPr>
              <w:t>1.090(4.559)</w:t>
            </w:r>
          </w:p>
          <w:p w:rsidR="00EA40A3" w:rsidRDefault="00E86C16">
            <w:pPr>
              <w:spacing w:before="107" w:line="222" w:lineRule="auto"/>
              <w:ind w:left="227"/>
              <w:rPr>
                <w:rFonts w:ascii="宋体" w:eastAsia="宋体" w:hAnsi="宋体" w:cs="宋体"/>
                <w:sz w:val="16"/>
                <w:szCs w:val="16"/>
              </w:rPr>
            </w:pPr>
            <w:r>
              <w:rPr>
                <w:rFonts w:ascii="宋体" w:eastAsia="宋体" w:hAnsi="宋体" w:cs="宋体"/>
                <w:spacing w:val="-2"/>
                <w:sz w:val="16"/>
                <w:szCs w:val="16"/>
              </w:rPr>
              <w:t>1.683(7.040)</w:t>
            </w:r>
          </w:p>
          <w:p w:rsidR="00EA40A3" w:rsidRDefault="00E86C16">
            <w:pPr>
              <w:spacing w:before="128" w:line="222" w:lineRule="auto"/>
              <w:ind w:left="227"/>
              <w:rPr>
                <w:rFonts w:ascii="宋体" w:eastAsia="宋体" w:hAnsi="宋体" w:cs="宋体"/>
                <w:sz w:val="16"/>
                <w:szCs w:val="16"/>
              </w:rPr>
            </w:pPr>
            <w:r>
              <w:rPr>
                <w:rFonts w:ascii="宋体" w:eastAsia="宋体" w:hAnsi="宋体" w:cs="宋体"/>
                <w:spacing w:val="-2"/>
                <w:sz w:val="16"/>
                <w:szCs w:val="16"/>
              </w:rPr>
              <w:t>1.100(4.604)</w:t>
            </w:r>
          </w:p>
          <w:p w:rsidR="00EA40A3" w:rsidRDefault="00E86C16">
            <w:pPr>
              <w:spacing w:before="108" w:line="222" w:lineRule="auto"/>
              <w:ind w:left="227"/>
              <w:rPr>
                <w:rFonts w:ascii="宋体" w:eastAsia="宋体" w:hAnsi="宋体" w:cs="宋体"/>
                <w:sz w:val="16"/>
                <w:szCs w:val="16"/>
              </w:rPr>
            </w:pPr>
            <w:r>
              <w:rPr>
                <w:rFonts w:ascii="宋体" w:eastAsia="宋体" w:hAnsi="宋体" w:cs="宋体"/>
                <w:spacing w:val="-6"/>
                <w:sz w:val="16"/>
                <w:szCs w:val="16"/>
              </w:rPr>
              <w:t>1555</w:t>
            </w:r>
            <w:r>
              <w:rPr>
                <w:rFonts w:ascii="宋体" w:eastAsia="宋体" w:hAnsi="宋体" w:cs="宋体"/>
                <w:spacing w:val="68"/>
                <w:sz w:val="16"/>
                <w:szCs w:val="16"/>
              </w:rPr>
              <w:t xml:space="preserve"> </w:t>
            </w:r>
            <w:r>
              <w:rPr>
                <w:rFonts w:ascii="宋体" w:eastAsia="宋体" w:hAnsi="宋体" w:cs="宋体"/>
                <w:spacing w:val="-6"/>
                <w:sz w:val="16"/>
                <w:szCs w:val="16"/>
              </w:rPr>
              <w:t>(6.508</w:t>
            </w:r>
          </w:p>
          <w:p w:rsidR="00EA40A3" w:rsidRDefault="00E86C16">
            <w:pPr>
              <w:spacing w:before="117" w:line="222" w:lineRule="auto"/>
              <w:ind w:left="227"/>
              <w:rPr>
                <w:rFonts w:ascii="宋体" w:eastAsia="宋体" w:hAnsi="宋体" w:cs="宋体"/>
                <w:sz w:val="16"/>
                <w:szCs w:val="16"/>
              </w:rPr>
            </w:pPr>
            <w:r>
              <w:rPr>
                <w:rFonts w:ascii="宋体" w:eastAsia="宋体" w:hAnsi="宋体" w:cs="宋体"/>
                <w:spacing w:val="-2"/>
                <w:sz w:val="16"/>
                <w:szCs w:val="16"/>
              </w:rPr>
              <w:t>1.149(4.806</w:t>
            </w:r>
          </w:p>
          <w:p w:rsidR="00EA40A3" w:rsidRDefault="00E86C16">
            <w:pPr>
              <w:spacing w:before="128" w:line="222" w:lineRule="auto"/>
              <w:ind w:left="207"/>
              <w:rPr>
                <w:rFonts w:ascii="宋体" w:eastAsia="宋体" w:hAnsi="宋体" w:cs="宋体"/>
                <w:sz w:val="16"/>
                <w:szCs w:val="16"/>
              </w:rPr>
            </w:pPr>
            <w:r>
              <w:rPr>
                <w:rFonts w:ascii="宋体" w:eastAsia="宋体" w:hAnsi="宋体" w:cs="宋体"/>
                <w:spacing w:val="-1"/>
                <w:sz w:val="16"/>
                <w:szCs w:val="16"/>
              </w:rPr>
              <w:t>0.804(3.362</w:t>
            </w:r>
          </w:p>
          <w:p w:rsidR="00EA40A3" w:rsidRDefault="00E86C16">
            <w:pPr>
              <w:spacing w:before="127" w:line="222" w:lineRule="auto"/>
              <w:ind w:left="207"/>
              <w:rPr>
                <w:rFonts w:ascii="宋体" w:eastAsia="宋体" w:hAnsi="宋体" w:cs="宋体"/>
                <w:sz w:val="16"/>
                <w:szCs w:val="16"/>
              </w:rPr>
            </w:pPr>
            <w:r>
              <w:rPr>
                <w:rFonts w:ascii="宋体" w:eastAsia="宋体" w:hAnsi="宋体" w:cs="宋体"/>
                <w:spacing w:val="-1"/>
                <w:sz w:val="16"/>
                <w:szCs w:val="16"/>
              </w:rPr>
              <w:t>0.551(2.306)</w:t>
            </w:r>
          </w:p>
          <w:p w:rsidR="00EA40A3" w:rsidRDefault="00E86C16">
            <w:pPr>
              <w:spacing w:before="128" w:line="222" w:lineRule="auto"/>
              <w:ind w:left="207"/>
              <w:rPr>
                <w:rFonts w:ascii="宋体" w:eastAsia="宋体" w:hAnsi="宋体" w:cs="宋体"/>
                <w:sz w:val="16"/>
                <w:szCs w:val="16"/>
              </w:rPr>
            </w:pPr>
            <w:r>
              <w:rPr>
                <w:rFonts w:ascii="宋体" w:eastAsia="宋体" w:hAnsi="宋体" w:cs="宋体"/>
                <w:spacing w:val="-1"/>
                <w:sz w:val="16"/>
                <w:szCs w:val="16"/>
              </w:rPr>
              <w:t>0.859(3.594)</w:t>
            </w:r>
          </w:p>
          <w:p w:rsidR="00EA40A3" w:rsidRDefault="00E86C16">
            <w:pPr>
              <w:spacing w:before="118" w:line="222" w:lineRule="auto"/>
              <w:ind w:left="207"/>
              <w:rPr>
                <w:rFonts w:ascii="宋体" w:eastAsia="宋体" w:hAnsi="宋体" w:cs="宋体"/>
                <w:sz w:val="16"/>
                <w:szCs w:val="16"/>
              </w:rPr>
            </w:pPr>
            <w:r>
              <w:rPr>
                <w:rFonts w:ascii="宋体" w:eastAsia="宋体" w:hAnsi="宋体" w:cs="宋体"/>
                <w:spacing w:val="-2"/>
                <w:sz w:val="16"/>
                <w:szCs w:val="16"/>
              </w:rPr>
              <w:t>1.506(6.300</w:t>
            </w:r>
          </w:p>
          <w:p w:rsidR="00EA40A3" w:rsidRDefault="00E86C16">
            <w:pPr>
              <w:spacing w:before="107" w:line="222" w:lineRule="auto"/>
              <w:ind w:left="207"/>
              <w:rPr>
                <w:rFonts w:ascii="宋体" w:eastAsia="宋体" w:hAnsi="宋体" w:cs="宋体"/>
                <w:sz w:val="16"/>
                <w:szCs w:val="16"/>
              </w:rPr>
            </w:pPr>
            <w:r>
              <w:rPr>
                <w:rFonts w:ascii="宋体" w:eastAsia="宋体" w:hAnsi="宋体" w:cs="宋体"/>
                <w:spacing w:val="-1"/>
                <w:sz w:val="16"/>
                <w:szCs w:val="16"/>
              </w:rPr>
              <w:t>0).193(0.806</w:t>
            </w:r>
          </w:p>
          <w:p w:rsidR="00EA40A3" w:rsidRDefault="00E86C16">
            <w:pPr>
              <w:spacing w:before="128" w:line="222" w:lineRule="auto"/>
              <w:ind w:left="196"/>
              <w:rPr>
                <w:rFonts w:ascii="宋体" w:eastAsia="宋体" w:hAnsi="宋体" w:cs="宋体"/>
                <w:sz w:val="16"/>
                <w:szCs w:val="16"/>
              </w:rPr>
            </w:pPr>
            <w:r>
              <w:rPr>
                <w:rFonts w:ascii="宋体" w:eastAsia="宋体" w:hAnsi="宋体" w:cs="宋体"/>
                <w:spacing w:val="-1"/>
                <w:sz w:val="16"/>
                <w:szCs w:val="16"/>
              </w:rPr>
              <w:t>0.359(1.500)</w:t>
            </w:r>
          </w:p>
        </w:tc>
      </w:tr>
    </w:tbl>
    <w:p w:rsidR="00EA40A3" w:rsidRDefault="00EA40A3"/>
    <w:p w:rsidR="00EA40A3" w:rsidRDefault="00EA40A3">
      <w:pPr>
        <w:sectPr w:rsidR="00EA40A3">
          <w:footerReference w:type="default" r:id="rId356"/>
          <w:pgSz w:w="9220" w:h="13360"/>
          <w:pgMar w:top="400" w:right="1080" w:bottom="1274" w:left="890" w:header="0" w:footer="1041" w:gutter="0"/>
          <w:cols w:space="720"/>
        </w:sectPr>
      </w:pPr>
    </w:p>
    <w:p w:rsidR="00EA40A3" w:rsidRDefault="00EA40A3">
      <w:pPr>
        <w:spacing w:line="407" w:lineRule="auto"/>
      </w:pPr>
    </w:p>
    <w:p w:rsidR="00EA40A3" w:rsidRDefault="00E86C16">
      <w:pPr>
        <w:spacing w:before="68" w:line="224" w:lineRule="auto"/>
        <w:ind w:right="342"/>
        <w:jc w:val="right"/>
        <w:rPr>
          <w:rFonts w:ascii="仿宋" w:eastAsia="仿宋" w:hAnsi="仿宋" w:cs="仿宋"/>
        </w:rPr>
      </w:pPr>
      <w:r>
        <w:rPr>
          <w:rFonts w:ascii="仿宋" w:eastAsia="仿宋" w:hAnsi="仿宋" w:cs="仿宋"/>
          <w:spacing w:val="-12"/>
        </w:rPr>
        <w:t>续表</w:t>
      </w:r>
    </w:p>
    <w:p w:rsidR="00EA40A3" w:rsidRDefault="00EA40A3">
      <w:pPr>
        <w:spacing w:line="92" w:lineRule="exact"/>
      </w:pPr>
    </w:p>
    <w:tbl>
      <w:tblPr>
        <w:tblStyle w:val="TableNormal"/>
        <w:tblW w:w="725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40"/>
        <w:gridCol w:w="1690"/>
        <w:gridCol w:w="1688"/>
        <w:gridCol w:w="2032"/>
      </w:tblGrid>
      <w:tr w:rsidR="00EA40A3">
        <w:trPr>
          <w:trHeight w:val="305"/>
        </w:trPr>
        <w:tc>
          <w:tcPr>
            <w:tcW w:w="1840" w:type="dxa"/>
            <w:tcBorders>
              <w:top w:val="single" w:sz="4" w:space="0" w:color="000000"/>
              <w:bottom w:val="single" w:sz="4" w:space="0" w:color="000000"/>
            </w:tcBorders>
          </w:tcPr>
          <w:p w:rsidR="00EA40A3" w:rsidRDefault="00E86C16">
            <w:pPr>
              <w:spacing w:before="112" w:line="220" w:lineRule="auto"/>
              <w:ind w:left="560"/>
              <w:rPr>
                <w:rFonts w:ascii="宋体" w:eastAsia="宋体" w:hAnsi="宋体" w:cs="宋体"/>
                <w:sz w:val="16"/>
                <w:szCs w:val="16"/>
              </w:rPr>
            </w:pPr>
            <w:r>
              <w:rPr>
                <w:rFonts w:ascii="宋体" w:eastAsia="宋体" w:hAnsi="宋体" w:cs="宋体"/>
                <w:spacing w:val="-2"/>
                <w:sz w:val="16"/>
                <w:szCs w:val="16"/>
              </w:rPr>
              <w:t>动作名称</w:t>
            </w:r>
          </w:p>
        </w:tc>
        <w:tc>
          <w:tcPr>
            <w:tcW w:w="1690" w:type="dxa"/>
            <w:tcBorders>
              <w:top w:val="single" w:sz="4" w:space="0" w:color="000000"/>
              <w:bottom w:val="single" w:sz="4" w:space="0" w:color="000000"/>
              <w:right w:val="single" w:sz="4" w:space="0" w:color="000000"/>
            </w:tcBorders>
          </w:tcPr>
          <w:p w:rsidR="00EA40A3" w:rsidRDefault="00E86C16">
            <w:pPr>
              <w:spacing w:before="90" w:line="218" w:lineRule="auto"/>
              <w:ind w:left="200"/>
              <w:rPr>
                <w:rFonts w:ascii="宋体" w:eastAsia="宋体" w:hAnsi="宋体" w:cs="宋体"/>
                <w:sz w:val="16"/>
                <w:szCs w:val="16"/>
              </w:rPr>
            </w:pPr>
            <w:r>
              <w:rPr>
                <w:rFonts w:ascii="宋体" w:eastAsia="宋体" w:hAnsi="宋体" w:cs="宋体"/>
                <w:spacing w:val="-4"/>
                <w:sz w:val="16"/>
                <w:szCs w:val="16"/>
              </w:rPr>
              <w:t>kJ(kcal)/(m²</w:t>
            </w:r>
            <w:r>
              <w:rPr>
                <w:rFonts w:ascii="宋体" w:eastAsia="宋体" w:hAnsi="宋体" w:cs="宋体"/>
                <w:spacing w:val="-18"/>
                <w:sz w:val="16"/>
                <w:szCs w:val="16"/>
              </w:rPr>
              <w:t xml:space="preserve"> </w:t>
            </w:r>
            <w:r>
              <w:rPr>
                <w:rFonts w:ascii="宋体" w:eastAsia="宋体" w:hAnsi="宋体" w:cs="宋体"/>
                <w:spacing w:val="-4"/>
                <w:sz w:val="16"/>
                <w:szCs w:val="16"/>
              </w:rPr>
              <w:t>·min)</w:t>
            </w:r>
          </w:p>
        </w:tc>
        <w:tc>
          <w:tcPr>
            <w:tcW w:w="1688" w:type="dxa"/>
            <w:tcBorders>
              <w:top w:val="single" w:sz="4" w:space="0" w:color="000000"/>
              <w:left w:val="single" w:sz="4" w:space="0" w:color="000000"/>
              <w:bottom w:val="single" w:sz="4" w:space="0" w:color="000000"/>
            </w:tcBorders>
          </w:tcPr>
          <w:p w:rsidR="00EA40A3" w:rsidRDefault="00E86C16">
            <w:pPr>
              <w:spacing w:before="82" w:line="220" w:lineRule="auto"/>
              <w:ind w:left="565"/>
              <w:rPr>
                <w:rFonts w:ascii="宋体" w:eastAsia="宋体" w:hAnsi="宋体" w:cs="宋体"/>
                <w:sz w:val="16"/>
                <w:szCs w:val="16"/>
              </w:rPr>
            </w:pPr>
            <w:r>
              <w:rPr>
                <w:rFonts w:ascii="宋体" w:eastAsia="宋体" w:hAnsi="宋体" w:cs="宋体"/>
                <w:spacing w:val="-2"/>
                <w:sz w:val="16"/>
                <w:szCs w:val="16"/>
              </w:rPr>
              <w:t>动作名称</w:t>
            </w:r>
          </w:p>
        </w:tc>
        <w:tc>
          <w:tcPr>
            <w:tcW w:w="2032" w:type="dxa"/>
            <w:tcBorders>
              <w:top w:val="single" w:sz="4" w:space="0" w:color="000000"/>
              <w:bottom w:val="single" w:sz="4" w:space="0" w:color="000000"/>
            </w:tcBorders>
          </w:tcPr>
          <w:p w:rsidR="00EA40A3" w:rsidRDefault="00E86C16">
            <w:pPr>
              <w:spacing w:before="100" w:line="218" w:lineRule="auto"/>
              <w:ind w:left="481"/>
              <w:rPr>
                <w:rFonts w:ascii="宋体" w:eastAsia="宋体" w:hAnsi="宋体" w:cs="宋体"/>
                <w:sz w:val="16"/>
                <w:szCs w:val="16"/>
              </w:rPr>
            </w:pPr>
            <w:r>
              <w:rPr>
                <w:rFonts w:ascii="宋体" w:eastAsia="宋体" w:hAnsi="宋体" w:cs="宋体"/>
                <w:spacing w:val="-4"/>
                <w:sz w:val="16"/>
                <w:szCs w:val="16"/>
              </w:rPr>
              <w:t>kJ(kcal)/(m²</w:t>
            </w:r>
            <w:r>
              <w:rPr>
                <w:rFonts w:ascii="宋体" w:eastAsia="宋体" w:hAnsi="宋体" w:cs="宋体"/>
                <w:spacing w:val="-18"/>
                <w:sz w:val="16"/>
                <w:szCs w:val="16"/>
              </w:rPr>
              <w:t xml:space="preserve"> </w:t>
            </w:r>
            <w:r>
              <w:rPr>
                <w:rFonts w:ascii="宋体" w:eastAsia="宋体" w:hAnsi="宋体" w:cs="宋体"/>
                <w:spacing w:val="-4"/>
                <w:sz w:val="16"/>
                <w:szCs w:val="16"/>
              </w:rPr>
              <w:t>·min)</w:t>
            </w:r>
          </w:p>
        </w:tc>
      </w:tr>
      <w:tr w:rsidR="00EA40A3">
        <w:trPr>
          <w:trHeight w:val="345"/>
        </w:trPr>
        <w:tc>
          <w:tcPr>
            <w:tcW w:w="1840" w:type="dxa"/>
            <w:tcBorders>
              <w:top w:val="single" w:sz="4" w:space="0" w:color="000000"/>
            </w:tcBorders>
          </w:tcPr>
          <w:p w:rsidR="00EA40A3" w:rsidRDefault="00E86C16">
            <w:pPr>
              <w:spacing w:before="126" w:line="219" w:lineRule="auto"/>
              <w:ind w:left="120"/>
              <w:rPr>
                <w:rFonts w:ascii="宋体" w:eastAsia="宋体" w:hAnsi="宋体" w:cs="宋体"/>
                <w:sz w:val="16"/>
                <w:szCs w:val="16"/>
              </w:rPr>
            </w:pPr>
            <w:r>
              <w:rPr>
                <w:rFonts w:ascii="宋体" w:eastAsia="宋体" w:hAnsi="宋体" w:cs="宋体"/>
                <w:spacing w:val="-2"/>
                <w:sz w:val="16"/>
                <w:szCs w:val="16"/>
              </w:rPr>
              <w:t>坐着吹笛</w:t>
            </w:r>
          </w:p>
        </w:tc>
        <w:tc>
          <w:tcPr>
            <w:tcW w:w="1690" w:type="dxa"/>
            <w:tcBorders>
              <w:top w:val="single" w:sz="4" w:space="0" w:color="000000"/>
              <w:right w:val="single" w:sz="4" w:space="0" w:color="000000"/>
            </w:tcBorders>
          </w:tcPr>
          <w:p w:rsidR="00EA40A3" w:rsidRDefault="00E86C16">
            <w:pPr>
              <w:spacing w:before="99" w:line="222" w:lineRule="auto"/>
              <w:ind w:left="269"/>
              <w:rPr>
                <w:rFonts w:ascii="宋体" w:eastAsia="宋体" w:hAnsi="宋体" w:cs="宋体"/>
                <w:sz w:val="16"/>
                <w:szCs w:val="16"/>
              </w:rPr>
            </w:pPr>
            <w:r>
              <w:rPr>
                <w:rFonts w:ascii="宋体" w:eastAsia="宋体" w:hAnsi="宋体" w:cs="宋体"/>
                <w:spacing w:val="-1"/>
                <w:sz w:val="16"/>
                <w:szCs w:val="16"/>
              </w:rPr>
              <w:t>0.317(1.325)</w:t>
            </w:r>
          </w:p>
        </w:tc>
        <w:tc>
          <w:tcPr>
            <w:tcW w:w="1688" w:type="dxa"/>
            <w:tcBorders>
              <w:top w:val="single" w:sz="4" w:space="0" w:color="000000"/>
              <w:left w:val="single" w:sz="4" w:space="0" w:color="000000"/>
            </w:tcBorders>
          </w:tcPr>
          <w:p w:rsidR="00EA40A3" w:rsidRDefault="00E86C16">
            <w:pPr>
              <w:spacing w:before="76" w:line="219" w:lineRule="auto"/>
              <w:ind w:left="135"/>
              <w:rPr>
                <w:rFonts w:ascii="宋体" w:eastAsia="宋体" w:hAnsi="宋体" w:cs="宋体"/>
                <w:sz w:val="16"/>
                <w:szCs w:val="16"/>
              </w:rPr>
            </w:pPr>
            <w:r>
              <w:rPr>
                <w:rFonts w:ascii="宋体" w:eastAsia="宋体" w:hAnsi="宋体" w:cs="宋体"/>
                <w:spacing w:val="-2"/>
                <w:sz w:val="16"/>
                <w:szCs w:val="16"/>
              </w:rPr>
              <w:t>播种</w:t>
            </w:r>
          </w:p>
        </w:tc>
        <w:tc>
          <w:tcPr>
            <w:tcW w:w="2032" w:type="dxa"/>
            <w:tcBorders>
              <w:top w:val="single" w:sz="4" w:space="0" w:color="000000"/>
            </w:tcBorders>
          </w:tcPr>
          <w:p w:rsidR="00EA40A3" w:rsidRDefault="00E86C16">
            <w:pPr>
              <w:spacing w:before="99" w:line="222" w:lineRule="auto"/>
              <w:ind w:left="442"/>
              <w:rPr>
                <w:rFonts w:ascii="宋体" w:eastAsia="宋体" w:hAnsi="宋体" w:cs="宋体"/>
                <w:sz w:val="16"/>
                <w:szCs w:val="16"/>
              </w:rPr>
            </w:pPr>
            <w:r>
              <w:rPr>
                <w:rFonts w:ascii="宋体" w:eastAsia="宋体" w:hAnsi="宋体" w:cs="宋体"/>
                <w:spacing w:val="-1"/>
                <w:sz w:val="16"/>
                <w:szCs w:val="16"/>
              </w:rPr>
              <w:t>0.807(3.375</w:t>
            </w:r>
          </w:p>
        </w:tc>
      </w:tr>
      <w:tr w:rsidR="00EA40A3">
        <w:trPr>
          <w:trHeight w:val="339"/>
        </w:trPr>
        <w:tc>
          <w:tcPr>
            <w:tcW w:w="1840" w:type="dxa"/>
          </w:tcPr>
          <w:p w:rsidR="00EA40A3" w:rsidRDefault="00E86C16">
            <w:pPr>
              <w:spacing w:before="111" w:line="219" w:lineRule="auto"/>
              <w:ind w:left="120"/>
              <w:rPr>
                <w:rFonts w:ascii="宋体" w:eastAsia="宋体" w:hAnsi="宋体" w:cs="宋体"/>
                <w:sz w:val="16"/>
                <w:szCs w:val="16"/>
              </w:rPr>
            </w:pPr>
            <w:r>
              <w:rPr>
                <w:rFonts w:ascii="宋体" w:eastAsia="宋体" w:hAnsi="宋体" w:cs="宋体"/>
                <w:spacing w:val="-1"/>
                <w:sz w:val="16"/>
                <w:szCs w:val="16"/>
              </w:rPr>
              <w:t>坐着拉手风琴</w:t>
            </w:r>
          </w:p>
        </w:tc>
        <w:tc>
          <w:tcPr>
            <w:tcW w:w="1690" w:type="dxa"/>
            <w:tcBorders>
              <w:right w:val="single" w:sz="4" w:space="0" w:color="000000"/>
            </w:tcBorders>
          </w:tcPr>
          <w:p w:rsidR="00EA40A3" w:rsidRDefault="00E86C16">
            <w:pPr>
              <w:spacing w:before="84" w:line="222" w:lineRule="auto"/>
              <w:ind w:left="280"/>
              <w:rPr>
                <w:rFonts w:ascii="宋体" w:eastAsia="宋体" w:hAnsi="宋体" w:cs="宋体"/>
                <w:sz w:val="16"/>
                <w:szCs w:val="16"/>
              </w:rPr>
            </w:pPr>
            <w:r>
              <w:rPr>
                <w:rFonts w:ascii="宋体" w:eastAsia="宋体" w:hAnsi="宋体" w:cs="宋体"/>
                <w:spacing w:val="-4"/>
                <w:sz w:val="16"/>
                <w:szCs w:val="16"/>
              </w:rPr>
              <w:t>0.284</w:t>
            </w:r>
            <w:r>
              <w:rPr>
                <w:rFonts w:ascii="宋体" w:eastAsia="宋体" w:hAnsi="宋体" w:cs="宋体"/>
                <w:spacing w:val="35"/>
                <w:sz w:val="16"/>
                <w:szCs w:val="16"/>
              </w:rPr>
              <w:t xml:space="preserve"> </w:t>
            </w:r>
            <w:r>
              <w:rPr>
                <w:rFonts w:ascii="宋体" w:eastAsia="宋体" w:hAnsi="宋体" w:cs="宋体"/>
                <w:spacing w:val="-4"/>
                <w:sz w:val="16"/>
                <w:szCs w:val="16"/>
              </w:rPr>
              <w:t>(1.188</w:t>
            </w:r>
          </w:p>
        </w:tc>
        <w:tc>
          <w:tcPr>
            <w:tcW w:w="1688" w:type="dxa"/>
            <w:tcBorders>
              <w:left w:val="single" w:sz="4" w:space="0" w:color="000000"/>
            </w:tcBorders>
          </w:tcPr>
          <w:p w:rsidR="00EA40A3" w:rsidRDefault="00E86C16">
            <w:pPr>
              <w:spacing w:before="60" w:line="219" w:lineRule="auto"/>
              <w:ind w:left="135"/>
              <w:rPr>
                <w:rFonts w:ascii="宋体" w:eastAsia="宋体" w:hAnsi="宋体" w:cs="宋体"/>
                <w:sz w:val="16"/>
                <w:szCs w:val="16"/>
              </w:rPr>
            </w:pPr>
            <w:r>
              <w:rPr>
                <w:rFonts w:ascii="宋体" w:eastAsia="宋体" w:hAnsi="宋体" w:cs="宋体"/>
                <w:spacing w:val="-2"/>
                <w:sz w:val="16"/>
                <w:szCs w:val="16"/>
              </w:rPr>
              <w:t>堆肥</w:t>
            </w:r>
          </w:p>
        </w:tc>
        <w:tc>
          <w:tcPr>
            <w:tcW w:w="2032" w:type="dxa"/>
          </w:tcPr>
          <w:p w:rsidR="00EA40A3" w:rsidRDefault="00E86C16">
            <w:pPr>
              <w:spacing w:before="94" w:line="222" w:lineRule="auto"/>
              <w:ind w:left="462"/>
              <w:rPr>
                <w:rFonts w:ascii="宋体" w:eastAsia="宋体" w:hAnsi="宋体" w:cs="宋体"/>
                <w:sz w:val="16"/>
                <w:szCs w:val="16"/>
              </w:rPr>
            </w:pPr>
            <w:r>
              <w:rPr>
                <w:rFonts w:ascii="宋体" w:eastAsia="宋体" w:hAnsi="宋体" w:cs="宋体"/>
                <w:spacing w:val="-2"/>
                <w:sz w:val="16"/>
                <w:szCs w:val="16"/>
              </w:rPr>
              <w:t>1.126(4.713)</w:t>
            </w:r>
          </w:p>
        </w:tc>
      </w:tr>
      <w:tr w:rsidR="00EA40A3">
        <w:trPr>
          <w:trHeight w:val="330"/>
        </w:trPr>
        <w:tc>
          <w:tcPr>
            <w:tcW w:w="1840" w:type="dxa"/>
          </w:tcPr>
          <w:p w:rsidR="00EA40A3" w:rsidRDefault="00E86C16">
            <w:pPr>
              <w:spacing w:before="82" w:line="219" w:lineRule="auto"/>
              <w:ind w:left="120"/>
              <w:rPr>
                <w:rFonts w:ascii="宋体" w:eastAsia="宋体" w:hAnsi="宋体" w:cs="宋体"/>
                <w:sz w:val="16"/>
                <w:szCs w:val="16"/>
              </w:rPr>
            </w:pPr>
            <w:r>
              <w:rPr>
                <w:rFonts w:ascii="宋体" w:eastAsia="宋体" w:hAnsi="宋体" w:cs="宋体"/>
                <w:spacing w:val="-2"/>
                <w:sz w:val="16"/>
                <w:szCs w:val="16"/>
              </w:rPr>
              <w:t>坐着拉提琴</w:t>
            </w:r>
          </w:p>
        </w:tc>
        <w:tc>
          <w:tcPr>
            <w:tcW w:w="1690" w:type="dxa"/>
            <w:tcBorders>
              <w:right w:val="single" w:sz="4" w:space="0" w:color="000000"/>
            </w:tcBorders>
          </w:tcPr>
          <w:p w:rsidR="00EA40A3" w:rsidRDefault="00E86C16">
            <w:pPr>
              <w:spacing w:before="75" w:line="222" w:lineRule="auto"/>
              <w:ind w:left="269"/>
              <w:rPr>
                <w:rFonts w:ascii="宋体" w:eastAsia="宋体" w:hAnsi="宋体" w:cs="宋体"/>
                <w:sz w:val="16"/>
                <w:szCs w:val="16"/>
              </w:rPr>
            </w:pPr>
            <w:r>
              <w:rPr>
                <w:rFonts w:ascii="宋体" w:eastAsia="宋体" w:hAnsi="宋体" w:cs="宋体"/>
                <w:spacing w:val="-1"/>
                <w:sz w:val="16"/>
                <w:szCs w:val="16"/>
              </w:rPr>
              <w:t>0.388(1.625</w:t>
            </w:r>
          </w:p>
        </w:tc>
        <w:tc>
          <w:tcPr>
            <w:tcW w:w="1688" w:type="dxa"/>
            <w:tcBorders>
              <w:left w:val="single" w:sz="4" w:space="0" w:color="000000"/>
            </w:tcBorders>
          </w:tcPr>
          <w:p w:rsidR="00EA40A3" w:rsidRDefault="00E86C16">
            <w:pPr>
              <w:spacing w:before="72" w:line="219" w:lineRule="auto"/>
              <w:ind w:left="135"/>
              <w:rPr>
                <w:rFonts w:ascii="宋体" w:eastAsia="宋体" w:hAnsi="宋体" w:cs="宋体"/>
                <w:sz w:val="16"/>
                <w:szCs w:val="16"/>
              </w:rPr>
            </w:pPr>
            <w:r>
              <w:rPr>
                <w:rFonts w:ascii="宋体" w:eastAsia="宋体" w:hAnsi="宋体" w:cs="宋体"/>
                <w:spacing w:val="1"/>
                <w:sz w:val="16"/>
                <w:szCs w:val="16"/>
              </w:rPr>
              <w:t>园内挖土</w:t>
            </w:r>
          </w:p>
        </w:tc>
        <w:tc>
          <w:tcPr>
            <w:tcW w:w="2032" w:type="dxa"/>
          </w:tcPr>
          <w:p w:rsidR="00EA40A3" w:rsidRDefault="00E86C16">
            <w:pPr>
              <w:spacing w:before="95" w:line="222" w:lineRule="auto"/>
              <w:ind w:left="462"/>
              <w:rPr>
                <w:rFonts w:ascii="宋体" w:eastAsia="宋体" w:hAnsi="宋体" w:cs="宋体"/>
                <w:sz w:val="16"/>
                <w:szCs w:val="16"/>
              </w:rPr>
            </w:pPr>
            <w:r>
              <w:rPr>
                <w:rFonts w:ascii="宋体" w:eastAsia="宋体" w:hAnsi="宋体" w:cs="宋体"/>
                <w:spacing w:val="-2"/>
                <w:sz w:val="16"/>
                <w:szCs w:val="16"/>
              </w:rPr>
              <w:t>1.155(4.831)</w:t>
            </w:r>
          </w:p>
        </w:tc>
      </w:tr>
      <w:tr w:rsidR="00EA40A3">
        <w:trPr>
          <w:trHeight w:val="329"/>
        </w:trPr>
        <w:tc>
          <w:tcPr>
            <w:tcW w:w="1840" w:type="dxa"/>
          </w:tcPr>
          <w:p w:rsidR="00EA40A3" w:rsidRDefault="00E86C16">
            <w:pPr>
              <w:spacing w:before="91" w:line="219" w:lineRule="auto"/>
              <w:ind w:left="120"/>
              <w:rPr>
                <w:rFonts w:ascii="宋体" w:eastAsia="宋体" w:hAnsi="宋体" w:cs="宋体"/>
                <w:sz w:val="16"/>
                <w:szCs w:val="16"/>
              </w:rPr>
            </w:pPr>
            <w:r>
              <w:rPr>
                <w:rFonts w:ascii="宋体" w:eastAsia="宋体" w:hAnsi="宋体" w:cs="宋体"/>
                <w:spacing w:val="7"/>
                <w:sz w:val="16"/>
                <w:szCs w:val="16"/>
              </w:rPr>
              <w:t>唱歌(站)</w:t>
            </w:r>
          </w:p>
        </w:tc>
        <w:tc>
          <w:tcPr>
            <w:tcW w:w="1690" w:type="dxa"/>
            <w:tcBorders>
              <w:right w:val="single" w:sz="4" w:space="0" w:color="000000"/>
            </w:tcBorders>
          </w:tcPr>
          <w:p w:rsidR="00EA40A3" w:rsidRDefault="00E86C16">
            <w:pPr>
              <w:spacing w:before="85" w:line="222" w:lineRule="auto"/>
              <w:ind w:left="269"/>
              <w:rPr>
                <w:rFonts w:ascii="宋体" w:eastAsia="宋体" w:hAnsi="宋体" w:cs="宋体"/>
                <w:sz w:val="16"/>
                <w:szCs w:val="16"/>
              </w:rPr>
            </w:pPr>
            <w:r>
              <w:rPr>
                <w:rFonts w:ascii="宋体" w:eastAsia="宋体" w:hAnsi="宋体" w:cs="宋体"/>
                <w:spacing w:val="-1"/>
                <w:sz w:val="16"/>
                <w:szCs w:val="16"/>
              </w:rPr>
              <w:t>0.542(2.269)</w:t>
            </w:r>
          </w:p>
        </w:tc>
        <w:tc>
          <w:tcPr>
            <w:tcW w:w="1688" w:type="dxa"/>
            <w:tcBorders>
              <w:left w:val="single" w:sz="4" w:space="0" w:color="000000"/>
            </w:tcBorders>
          </w:tcPr>
          <w:p w:rsidR="00EA40A3" w:rsidRDefault="00E86C16">
            <w:pPr>
              <w:spacing w:before="83" w:line="220" w:lineRule="auto"/>
              <w:ind w:left="135"/>
              <w:rPr>
                <w:rFonts w:ascii="宋体" w:eastAsia="宋体" w:hAnsi="宋体" w:cs="宋体"/>
                <w:sz w:val="16"/>
                <w:szCs w:val="16"/>
              </w:rPr>
            </w:pPr>
            <w:r>
              <w:rPr>
                <w:rFonts w:ascii="宋体" w:eastAsia="宋体" w:hAnsi="宋体" w:cs="宋体"/>
                <w:spacing w:val="-2"/>
                <w:sz w:val="16"/>
                <w:szCs w:val="16"/>
              </w:rPr>
              <w:t>种花生</w:t>
            </w:r>
          </w:p>
        </w:tc>
        <w:tc>
          <w:tcPr>
            <w:tcW w:w="2032" w:type="dxa"/>
          </w:tcPr>
          <w:p w:rsidR="00EA40A3" w:rsidRDefault="00E86C16">
            <w:pPr>
              <w:spacing w:before="95" w:line="222" w:lineRule="auto"/>
              <w:ind w:left="452"/>
              <w:rPr>
                <w:rFonts w:ascii="宋体" w:eastAsia="宋体" w:hAnsi="宋体" w:cs="宋体"/>
                <w:sz w:val="16"/>
                <w:szCs w:val="16"/>
              </w:rPr>
            </w:pPr>
            <w:r>
              <w:rPr>
                <w:rFonts w:ascii="宋体" w:eastAsia="宋体" w:hAnsi="宋体" w:cs="宋体"/>
                <w:spacing w:val="-1"/>
                <w:sz w:val="16"/>
                <w:szCs w:val="16"/>
              </w:rPr>
              <w:t>0.497(2.081)</w:t>
            </w:r>
          </w:p>
        </w:tc>
      </w:tr>
      <w:tr w:rsidR="00EA40A3">
        <w:trPr>
          <w:trHeight w:val="330"/>
        </w:trPr>
        <w:tc>
          <w:tcPr>
            <w:tcW w:w="1840" w:type="dxa"/>
          </w:tcPr>
          <w:p w:rsidR="00EA40A3" w:rsidRDefault="00E86C16">
            <w:pPr>
              <w:spacing w:before="113" w:line="219" w:lineRule="auto"/>
              <w:ind w:left="120"/>
              <w:rPr>
                <w:rFonts w:ascii="宋体" w:eastAsia="宋体" w:hAnsi="宋体" w:cs="宋体"/>
                <w:sz w:val="16"/>
                <w:szCs w:val="16"/>
              </w:rPr>
            </w:pPr>
            <w:r>
              <w:rPr>
                <w:rFonts w:ascii="宋体" w:eastAsia="宋体" w:hAnsi="宋体" w:cs="宋体"/>
                <w:spacing w:val="-2"/>
                <w:sz w:val="16"/>
                <w:szCs w:val="16"/>
              </w:rPr>
              <w:t>跳集体舞</w:t>
            </w:r>
          </w:p>
        </w:tc>
        <w:tc>
          <w:tcPr>
            <w:tcW w:w="1690" w:type="dxa"/>
            <w:tcBorders>
              <w:right w:val="single" w:sz="4" w:space="0" w:color="000000"/>
            </w:tcBorders>
          </w:tcPr>
          <w:p w:rsidR="00EA40A3" w:rsidRDefault="00E86C16">
            <w:pPr>
              <w:spacing w:before="86" w:line="222" w:lineRule="auto"/>
              <w:ind w:left="269"/>
              <w:rPr>
                <w:rFonts w:ascii="宋体" w:eastAsia="宋体" w:hAnsi="宋体" w:cs="宋体"/>
                <w:sz w:val="16"/>
                <w:szCs w:val="16"/>
              </w:rPr>
            </w:pPr>
            <w:r>
              <w:rPr>
                <w:rFonts w:ascii="宋体" w:eastAsia="宋体" w:hAnsi="宋体" w:cs="宋体"/>
                <w:spacing w:val="-1"/>
                <w:sz w:val="16"/>
                <w:szCs w:val="16"/>
              </w:rPr>
              <w:t>0.963(4.031)</w:t>
            </w:r>
          </w:p>
        </w:tc>
        <w:tc>
          <w:tcPr>
            <w:tcW w:w="1688" w:type="dxa"/>
            <w:tcBorders>
              <w:left w:val="single" w:sz="4" w:space="0" w:color="000000"/>
            </w:tcBorders>
          </w:tcPr>
          <w:p w:rsidR="00EA40A3" w:rsidRDefault="00E86C16">
            <w:pPr>
              <w:spacing w:before="83" w:line="219" w:lineRule="auto"/>
              <w:ind w:left="135"/>
              <w:rPr>
                <w:rFonts w:ascii="宋体" w:eastAsia="宋体" w:hAnsi="宋体" w:cs="宋体"/>
                <w:sz w:val="16"/>
                <w:szCs w:val="16"/>
              </w:rPr>
            </w:pPr>
            <w:r>
              <w:rPr>
                <w:rFonts w:ascii="宋体" w:eastAsia="宋体" w:hAnsi="宋体" w:cs="宋体"/>
                <w:spacing w:val="-2"/>
                <w:sz w:val="16"/>
                <w:szCs w:val="16"/>
              </w:rPr>
              <w:t>春米</w:t>
            </w:r>
          </w:p>
        </w:tc>
        <w:tc>
          <w:tcPr>
            <w:tcW w:w="2032" w:type="dxa"/>
          </w:tcPr>
          <w:p w:rsidR="00EA40A3" w:rsidRDefault="00E86C16">
            <w:pPr>
              <w:spacing w:before="96" w:line="222" w:lineRule="auto"/>
              <w:ind w:left="452"/>
              <w:rPr>
                <w:rFonts w:ascii="宋体" w:eastAsia="宋体" w:hAnsi="宋体" w:cs="宋体"/>
                <w:sz w:val="16"/>
                <w:szCs w:val="16"/>
              </w:rPr>
            </w:pPr>
            <w:r>
              <w:rPr>
                <w:rFonts w:ascii="宋体" w:eastAsia="宋体" w:hAnsi="宋体" w:cs="宋体"/>
                <w:spacing w:val="-1"/>
                <w:sz w:val="16"/>
                <w:szCs w:val="16"/>
              </w:rPr>
              <w:t>0.766(3.206)</w:t>
            </w:r>
          </w:p>
        </w:tc>
      </w:tr>
      <w:tr w:rsidR="00EA40A3">
        <w:trPr>
          <w:trHeight w:val="331"/>
        </w:trPr>
        <w:tc>
          <w:tcPr>
            <w:tcW w:w="1840" w:type="dxa"/>
          </w:tcPr>
          <w:p w:rsidR="00EA40A3" w:rsidRDefault="00E86C16">
            <w:pPr>
              <w:spacing w:before="103" w:line="219" w:lineRule="auto"/>
              <w:ind w:left="120"/>
              <w:rPr>
                <w:rFonts w:ascii="宋体" w:eastAsia="宋体" w:hAnsi="宋体" w:cs="宋体"/>
                <w:sz w:val="16"/>
                <w:szCs w:val="16"/>
              </w:rPr>
            </w:pPr>
            <w:r>
              <w:rPr>
                <w:rFonts w:ascii="宋体" w:eastAsia="宋体" w:hAnsi="宋体" w:cs="宋体"/>
                <w:spacing w:val="-2"/>
                <w:sz w:val="16"/>
                <w:szCs w:val="16"/>
              </w:rPr>
              <w:t>集体游戏</w:t>
            </w:r>
          </w:p>
        </w:tc>
        <w:tc>
          <w:tcPr>
            <w:tcW w:w="1690" w:type="dxa"/>
            <w:tcBorders>
              <w:right w:val="single" w:sz="4" w:space="0" w:color="000000"/>
            </w:tcBorders>
          </w:tcPr>
          <w:p w:rsidR="00EA40A3" w:rsidRDefault="00E86C16">
            <w:pPr>
              <w:spacing w:before="76" w:line="222" w:lineRule="auto"/>
              <w:ind w:left="280"/>
              <w:rPr>
                <w:rFonts w:ascii="宋体" w:eastAsia="宋体" w:hAnsi="宋体" w:cs="宋体"/>
                <w:sz w:val="16"/>
                <w:szCs w:val="16"/>
              </w:rPr>
            </w:pPr>
            <w:r>
              <w:rPr>
                <w:rFonts w:ascii="宋体" w:eastAsia="宋体" w:hAnsi="宋体" w:cs="宋体"/>
                <w:spacing w:val="-1"/>
                <w:sz w:val="16"/>
                <w:szCs w:val="16"/>
              </w:rPr>
              <w:t>0.698(2.919</w:t>
            </w:r>
          </w:p>
        </w:tc>
        <w:tc>
          <w:tcPr>
            <w:tcW w:w="1688" w:type="dxa"/>
            <w:tcBorders>
              <w:left w:val="single" w:sz="4" w:space="0" w:color="000000"/>
            </w:tcBorders>
          </w:tcPr>
          <w:p w:rsidR="00EA40A3" w:rsidRDefault="00E86C16">
            <w:pPr>
              <w:spacing w:before="64" w:line="221" w:lineRule="auto"/>
              <w:ind w:left="135"/>
              <w:rPr>
                <w:rFonts w:ascii="宋体" w:eastAsia="宋体" w:hAnsi="宋体" w:cs="宋体"/>
                <w:sz w:val="16"/>
                <w:szCs w:val="16"/>
              </w:rPr>
            </w:pPr>
            <w:r>
              <w:rPr>
                <w:rFonts w:ascii="宋体" w:eastAsia="宋体" w:hAnsi="宋体" w:cs="宋体"/>
                <w:spacing w:val="-2"/>
                <w:sz w:val="16"/>
                <w:szCs w:val="16"/>
              </w:rPr>
              <w:t>抬筐</w:t>
            </w:r>
          </w:p>
        </w:tc>
        <w:tc>
          <w:tcPr>
            <w:tcW w:w="2032" w:type="dxa"/>
          </w:tcPr>
          <w:p w:rsidR="00EA40A3" w:rsidRDefault="00E86C16">
            <w:pPr>
              <w:spacing w:before="96" w:line="222" w:lineRule="auto"/>
              <w:ind w:left="442"/>
              <w:rPr>
                <w:rFonts w:ascii="宋体" w:eastAsia="宋体" w:hAnsi="宋体" w:cs="宋体"/>
                <w:sz w:val="16"/>
                <w:szCs w:val="16"/>
              </w:rPr>
            </w:pPr>
            <w:r>
              <w:rPr>
                <w:rFonts w:ascii="宋体" w:eastAsia="宋体" w:hAnsi="宋体" w:cs="宋体"/>
                <w:spacing w:val="-1"/>
                <w:sz w:val="16"/>
                <w:szCs w:val="16"/>
              </w:rPr>
              <w:t>0.951(3.981</w:t>
            </w:r>
          </w:p>
        </w:tc>
      </w:tr>
      <w:tr w:rsidR="00EA40A3">
        <w:trPr>
          <w:trHeight w:val="332"/>
        </w:trPr>
        <w:tc>
          <w:tcPr>
            <w:tcW w:w="1840" w:type="dxa"/>
          </w:tcPr>
          <w:p w:rsidR="00EA40A3" w:rsidRDefault="00E86C16">
            <w:pPr>
              <w:spacing w:before="102" w:line="219" w:lineRule="auto"/>
              <w:ind w:left="120"/>
              <w:rPr>
                <w:rFonts w:ascii="宋体" w:eastAsia="宋体" w:hAnsi="宋体" w:cs="宋体"/>
                <w:sz w:val="16"/>
                <w:szCs w:val="16"/>
              </w:rPr>
            </w:pPr>
            <w:r>
              <w:rPr>
                <w:rFonts w:ascii="宋体" w:eastAsia="宋体" w:hAnsi="宋体" w:cs="宋体"/>
                <w:spacing w:val="-2"/>
                <w:sz w:val="16"/>
                <w:szCs w:val="16"/>
              </w:rPr>
              <w:t>坐着打扑克</w:t>
            </w:r>
          </w:p>
        </w:tc>
        <w:tc>
          <w:tcPr>
            <w:tcW w:w="1690" w:type="dxa"/>
            <w:tcBorders>
              <w:right w:val="single" w:sz="4" w:space="0" w:color="000000"/>
            </w:tcBorders>
          </w:tcPr>
          <w:p w:rsidR="00EA40A3" w:rsidRDefault="00E86C16">
            <w:pPr>
              <w:spacing w:before="75" w:line="222" w:lineRule="auto"/>
              <w:ind w:left="280"/>
              <w:rPr>
                <w:rFonts w:ascii="宋体" w:eastAsia="宋体" w:hAnsi="宋体" w:cs="宋体"/>
                <w:sz w:val="16"/>
                <w:szCs w:val="16"/>
              </w:rPr>
            </w:pPr>
            <w:r>
              <w:rPr>
                <w:rFonts w:ascii="宋体" w:eastAsia="宋体" w:hAnsi="宋体" w:cs="宋体"/>
                <w:spacing w:val="-1"/>
                <w:sz w:val="16"/>
                <w:szCs w:val="16"/>
              </w:rPr>
              <w:t>0.329(1.375)</w:t>
            </w:r>
          </w:p>
        </w:tc>
        <w:tc>
          <w:tcPr>
            <w:tcW w:w="1688" w:type="dxa"/>
            <w:tcBorders>
              <w:left w:val="single" w:sz="4" w:space="0" w:color="000000"/>
            </w:tcBorders>
          </w:tcPr>
          <w:p w:rsidR="00EA40A3" w:rsidRDefault="00E86C16">
            <w:pPr>
              <w:spacing w:before="83" w:line="220" w:lineRule="auto"/>
              <w:ind w:left="135"/>
              <w:rPr>
                <w:rFonts w:ascii="宋体" w:eastAsia="宋体" w:hAnsi="宋体" w:cs="宋体"/>
                <w:sz w:val="16"/>
                <w:szCs w:val="16"/>
              </w:rPr>
            </w:pPr>
            <w:r>
              <w:rPr>
                <w:rFonts w:ascii="宋体" w:eastAsia="宋体" w:hAnsi="宋体" w:cs="宋体"/>
                <w:spacing w:val="-2"/>
                <w:sz w:val="16"/>
                <w:szCs w:val="16"/>
              </w:rPr>
              <w:t>铲土</w:t>
            </w:r>
          </w:p>
        </w:tc>
        <w:tc>
          <w:tcPr>
            <w:tcW w:w="2032" w:type="dxa"/>
          </w:tcPr>
          <w:p w:rsidR="00EA40A3" w:rsidRDefault="00E86C16">
            <w:pPr>
              <w:spacing w:before="95" w:line="222" w:lineRule="auto"/>
              <w:ind w:left="452"/>
              <w:rPr>
                <w:rFonts w:ascii="宋体" w:eastAsia="宋体" w:hAnsi="宋体" w:cs="宋体"/>
                <w:sz w:val="16"/>
                <w:szCs w:val="16"/>
              </w:rPr>
            </w:pPr>
            <w:r>
              <w:rPr>
                <w:rFonts w:ascii="宋体" w:eastAsia="宋体" w:hAnsi="宋体" w:cs="宋体"/>
                <w:spacing w:val="-1"/>
                <w:sz w:val="16"/>
                <w:szCs w:val="16"/>
              </w:rPr>
              <w:t>0.904(3.781)</w:t>
            </w:r>
          </w:p>
        </w:tc>
      </w:tr>
      <w:tr w:rsidR="00EA40A3">
        <w:trPr>
          <w:trHeight w:val="325"/>
        </w:trPr>
        <w:tc>
          <w:tcPr>
            <w:tcW w:w="1840" w:type="dxa"/>
          </w:tcPr>
          <w:p w:rsidR="00EA40A3" w:rsidRDefault="00E86C16">
            <w:pPr>
              <w:spacing w:before="89" w:line="219" w:lineRule="auto"/>
              <w:ind w:left="120"/>
              <w:rPr>
                <w:rFonts w:ascii="宋体" w:eastAsia="宋体" w:hAnsi="宋体" w:cs="宋体"/>
                <w:sz w:val="16"/>
                <w:szCs w:val="16"/>
              </w:rPr>
            </w:pPr>
            <w:r>
              <w:rPr>
                <w:rFonts w:ascii="宋体" w:eastAsia="宋体" w:hAnsi="宋体" w:cs="宋体"/>
                <w:spacing w:val="-2"/>
                <w:sz w:val="16"/>
                <w:szCs w:val="16"/>
              </w:rPr>
              <w:t>坐着弹风琴</w:t>
            </w:r>
          </w:p>
        </w:tc>
        <w:tc>
          <w:tcPr>
            <w:tcW w:w="1690" w:type="dxa"/>
            <w:tcBorders>
              <w:right w:val="single" w:sz="4" w:space="0" w:color="000000"/>
            </w:tcBorders>
          </w:tcPr>
          <w:p w:rsidR="00EA40A3" w:rsidRDefault="00E86C16">
            <w:pPr>
              <w:spacing w:before="83" w:line="222" w:lineRule="auto"/>
              <w:ind w:left="269"/>
              <w:rPr>
                <w:rFonts w:ascii="宋体" w:eastAsia="宋体" w:hAnsi="宋体" w:cs="宋体"/>
                <w:sz w:val="16"/>
                <w:szCs w:val="16"/>
              </w:rPr>
            </w:pPr>
            <w:r>
              <w:rPr>
                <w:rFonts w:ascii="宋体" w:eastAsia="宋体" w:hAnsi="宋体" w:cs="宋体"/>
                <w:spacing w:val="-1"/>
                <w:sz w:val="16"/>
                <w:szCs w:val="16"/>
              </w:rPr>
              <w:t>0.462(1.931)</w:t>
            </w:r>
          </w:p>
        </w:tc>
        <w:tc>
          <w:tcPr>
            <w:tcW w:w="1688" w:type="dxa"/>
            <w:tcBorders>
              <w:left w:val="single" w:sz="4" w:space="0" w:color="000000"/>
            </w:tcBorders>
          </w:tcPr>
          <w:p w:rsidR="00EA40A3" w:rsidRDefault="00E86C16">
            <w:pPr>
              <w:spacing w:before="80" w:line="219" w:lineRule="auto"/>
              <w:ind w:left="135"/>
              <w:rPr>
                <w:rFonts w:ascii="宋体" w:eastAsia="宋体" w:hAnsi="宋体" w:cs="宋体"/>
                <w:sz w:val="16"/>
                <w:szCs w:val="16"/>
              </w:rPr>
            </w:pPr>
            <w:r>
              <w:rPr>
                <w:rFonts w:ascii="宋体" w:eastAsia="宋体" w:hAnsi="宋体" w:cs="宋体"/>
                <w:spacing w:val="-3"/>
                <w:sz w:val="16"/>
                <w:szCs w:val="16"/>
              </w:rPr>
              <w:t>驾驶汽车</w:t>
            </w:r>
          </w:p>
        </w:tc>
        <w:tc>
          <w:tcPr>
            <w:tcW w:w="2032" w:type="dxa"/>
          </w:tcPr>
          <w:p w:rsidR="00EA40A3" w:rsidRDefault="00E86C16">
            <w:pPr>
              <w:spacing w:before="103" w:line="222" w:lineRule="auto"/>
              <w:ind w:left="452"/>
              <w:rPr>
                <w:rFonts w:ascii="宋体" w:eastAsia="宋体" w:hAnsi="宋体" w:cs="宋体"/>
                <w:sz w:val="16"/>
                <w:szCs w:val="16"/>
              </w:rPr>
            </w:pPr>
            <w:r>
              <w:rPr>
                <w:rFonts w:ascii="宋体" w:eastAsia="宋体" w:hAnsi="宋体" w:cs="宋体"/>
                <w:spacing w:val="-1"/>
                <w:sz w:val="16"/>
                <w:szCs w:val="16"/>
              </w:rPr>
              <w:t>0.376(1.575)</w:t>
            </w:r>
          </w:p>
        </w:tc>
      </w:tr>
      <w:tr w:rsidR="00EA40A3">
        <w:trPr>
          <w:trHeight w:val="330"/>
        </w:trPr>
        <w:tc>
          <w:tcPr>
            <w:tcW w:w="1840" w:type="dxa"/>
          </w:tcPr>
          <w:p w:rsidR="00EA40A3" w:rsidRDefault="00E86C16">
            <w:pPr>
              <w:spacing w:before="95" w:line="219" w:lineRule="auto"/>
              <w:ind w:left="120"/>
              <w:rPr>
                <w:rFonts w:ascii="宋体" w:eastAsia="宋体" w:hAnsi="宋体" w:cs="宋体"/>
                <w:sz w:val="16"/>
                <w:szCs w:val="16"/>
              </w:rPr>
            </w:pPr>
            <w:r>
              <w:rPr>
                <w:rFonts w:ascii="宋体" w:eastAsia="宋体" w:hAnsi="宋体" w:cs="宋体"/>
                <w:spacing w:val="-2"/>
                <w:sz w:val="16"/>
                <w:szCs w:val="16"/>
              </w:rPr>
              <w:t>坐着打鼓</w:t>
            </w:r>
          </w:p>
        </w:tc>
        <w:tc>
          <w:tcPr>
            <w:tcW w:w="1690" w:type="dxa"/>
            <w:tcBorders>
              <w:right w:val="single" w:sz="4" w:space="0" w:color="000000"/>
            </w:tcBorders>
          </w:tcPr>
          <w:p w:rsidR="00EA40A3" w:rsidRDefault="00E86C16">
            <w:pPr>
              <w:spacing w:before="88" w:line="222" w:lineRule="auto"/>
              <w:ind w:left="280"/>
              <w:rPr>
                <w:rFonts w:ascii="宋体" w:eastAsia="宋体" w:hAnsi="宋体" w:cs="宋体"/>
                <w:sz w:val="16"/>
                <w:szCs w:val="16"/>
              </w:rPr>
            </w:pPr>
            <w:r>
              <w:rPr>
                <w:rFonts w:ascii="宋体" w:eastAsia="宋体" w:hAnsi="宋体" w:cs="宋体"/>
                <w:spacing w:val="-1"/>
                <w:sz w:val="16"/>
                <w:szCs w:val="16"/>
              </w:rPr>
              <w:t>0.577(2.413)</w:t>
            </w:r>
          </w:p>
        </w:tc>
        <w:tc>
          <w:tcPr>
            <w:tcW w:w="1688" w:type="dxa"/>
            <w:tcBorders>
              <w:left w:val="single" w:sz="4" w:space="0" w:color="000000"/>
            </w:tcBorders>
          </w:tcPr>
          <w:p w:rsidR="00EA40A3" w:rsidRDefault="00E86C16">
            <w:pPr>
              <w:spacing w:before="85" w:line="219" w:lineRule="auto"/>
              <w:ind w:left="135"/>
              <w:rPr>
                <w:rFonts w:ascii="宋体" w:eastAsia="宋体" w:hAnsi="宋体" w:cs="宋体"/>
                <w:sz w:val="16"/>
                <w:szCs w:val="16"/>
              </w:rPr>
            </w:pPr>
            <w:r>
              <w:rPr>
                <w:rFonts w:ascii="宋体" w:eastAsia="宋体" w:hAnsi="宋体" w:cs="宋体"/>
                <w:spacing w:val="-2"/>
                <w:sz w:val="16"/>
                <w:szCs w:val="16"/>
              </w:rPr>
              <w:t>汽车冲洗</w:t>
            </w:r>
          </w:p>
        </w:tc>
        <w:tc>
          <w:tcPr>
            <w:tcW w:w="2032" w:type="dxa"/>
          </w:tcPr>
          <w:p w:rsidR="00EA40A3" w:rsidRDefault="00E86C16">
            <w:pPr>
              <w:spacing w:before="108" w:line="222" w:lineRule="auto"/>
              <w:ind w:left="452"/>
              <w:rPr>
                <w:rFonts w:ascii="宋体" w:eastAsia="宋体" w:hAnsi="宋体" w:cs="宋体"/>
                <w:sz w:val="16"/>
                <w:szCs w:val="16"/>
              </w:rPr>
            </w:pPr>
            <w:r>
              <w:rPr>
                <w:rFonts w:ascii="宋体" w:eastAsia="宋体" w:hAnsi="宋体" w:cs="宋体"/>
                <w:spacing w:val="-1"/>
                <w:sz w:val="16"/>
                <w:szCs w:val="16"/>
              </w:rPr>
              <w:t>0.617(2.581</w:t>
            </w:r>
          </w:p>
        </w:tc>
      </w:tr>
      <w:tr w:rsidR="00EA40A3">
        <w:trPr>
          <w:trHeight w:val="332"/>
        </w:trPr>
        <w:tc>
          <w:tcPr>
            <w:tcW w:w="1840" w:type="dxa"/>
          </w:tcPr>
          <w:p w:rsidR="00EA40A3" w:rsidRDefault="00E86C16">
            <w:pPr>
              <w:spacing w:before="85" w:line="219" w:lineRule="auto"/>
              <w:ind w:left="120"/>
              <w:rPr>
                <w:rFonts w:ascii="宋体" w:eastAsia="宋体" w:hAnsi="宋体" w:cs="宋体"/>
                <w:sz w:val="16"/>
                <w:szCs w:val="16"/>
              </w:rPr>
            </w:pPr>
            <w:r>
              <w:rPr>
                <w:rFonts w:ascii="宋体" w:eastAsia="宋体" w:hAnsi="宋体" w:cs="宋体"/>
                <w:spacing w:val="-1"/>
                <w:sz w:val="16"/>
                <w:szCs w:val="16"/>
              </w:rPr>
              <w:t>站着指挥演秦</w:t>
            </w:r>
          </w:p>
        </w:tc>
        <w:tc>
          <w:tcPr>
            <w:tcW w:w="1690" w:type="dxa"/>
            <w:tcBorders>
              <w:right w:val="single" w:sz="4" w:space="0" w:color="000000"/>
            </w:tcBorders>
          </w:tcPr>
          <w:p w:rsidR="00EA40A3" w:rsidRDefault="00E86C16">
            <w:pPr>
              <w:spacing w:before="88" w:line="222" w:lineRule="auto"/>
              <w:ind w:left="269"/>
              <w:rPr>
                <w:rFonts w:ascii="宋体" w:eastAsia="宋体" w:hAnsi="宋体" w:cs="宋体"/>
                <w:sz w:val="16"/>
                <w:szCs w:val="16"/>
              </w:rPr>
            </w:pPr>
            <w:r>
              <w:rPr>
                <w:rFonts w:ascii="宋体" w:eastAsia="宋体" w:hAnsi="宋体" w:cs="宋体"/>
                <w:spacing w:val="-1"/>
                <w:sz w:val="16"/>
                <w:szCs w:val="16"/>
              </w:rPr>
              <w:t>0.336(1.406)</w:t>
            </w:r>
          </w:p>
        </w:tc>
        <w:tc>
          <w:tcPr>
            <w:tcW w:w="1688" w:type="dxa"/>
            <w:tcBorders>
              <w:left w:val="single" w:sz="4" w:space="0" w:color="000000"/>
            </w:tcBorders>
          </w:tcPr>
          <w:p w:rsidR="00EA40A3" w:rsidRDefault="00E86C16">
            <w:pPr>
              <w:spacing w:before="75" w:line="219" w:lineRule="auto"/>
              <w:ind w:left="135"/>
              <w:rPr>
                <w:rFonts w:ascii="宋体" w:eastAsia="宋体" w:hAnsi="宋体" w:cs="宋体"/>
                <w:sz w:val="16"/>
                <w:szCs w:val="16"/>
              </w:rPr>
            </w:pPr>
            <w:r>
              <w:rPr>
                <w:rFonts w:ascii="宋体" w:eastAsia="宋体" w:hAnsi="宋体" w:cs="宋体"/>
                <w:spacing w:val="-2"/>
                <w:sz w:val="16"/>
                <w:szCs w:val="16"/>
              </w:rPr>
              <w:t>收拾摩托车</w:t>
            </w:r>
          </w:p>
        </w:tc>
        <w:tc>
          <w:tcPr>
            <w:tcW w:w="2032" w:type="dxa"/>
          </w:tcPr>
          <w:p w:rsidR="00EA40A3" w:rsidRDefault="00E86C16">
            <w:pPr>
              <w:spacing w:before="108" w:line="222" w:lineRule="auto"/>
              <w:ind w:left="462"/>
              <w:rPr>
                <w:rFonts w:ascii="宋体" w:eastAsia="宋体" w:hAnsi="宋体" w:cs="宋体"/>
                <w:sz w:val="16"/>
                <w:szCs w:val="16"/>
              </w:rPr>
            </w:pPr>
            <w:r>
              <w:rPr>
                <w:rFonts w:ascii="宋体" w:eastAsia="宋体" w:hAnsi="宋体" w:cs="宋体"/>
                <w:spacing w:val="-1"/>
                <w:sz w:val="16"/>
                <w:szCs w:val="16"/>
              </w:rPr>
              <w:t>0.648(2.713)</w:t>
            </w:r>
          </w:p>
        </w:tc>
      </w:tr>
      <w:tr w:rsidR="00EA40A3">
        <w:trPr>
          <w:trHeight w:val="332"/>
        </w:trPr>
        <w:tc>
          <w:tcPr>
            <w:tcW w:w="1840" w:type="dxa"/>
          </w:tcPr>
          <w:p w:rsidR="00EA40A3" w:rsidRDefault="00E86C16">
            <w:pPr>
              <w:spacing w:before="82" w:line="219" w:lineRule="auto"/>
              <w:ind w:left="120"/>
              <w:rPr>
                <w:rFonts w:ascii="宋体" w:eastAsia="宋体" w:hAnsi="宋体" w:cs="宋体"/>
                <w:sz w:val="16"/>
                <w:szCs w:val="16"/>
              </w:rPr>
            </w:pPr>
            <w:r>
              <w:rPr>
                <w:rFonts w:ascii="宋体" w:eastAsia="宋体" w:hAnsi="宋体" w:cs="宋体"/>
                <w:spacing w:val="-1"/>
                <w:sz w:val="16"/>
                <w:szCs w:val="16"/>
              </w:rPr>
              <w:t>站着指挥唱歌</w:t>
            </w:r>
          </w:p>
        </w:tc>
        <w:tc>
          <w:tcPr>
            <w:tcW w:w="1690" w:type="dxa"/>
            <w:tcBorders>
              <w:right w:val="single" w:sz="4" w:space="0" w:color="000000"/>
            </w:tcBorders>
          </w:tcPr>
          <w:p w:rsidR="00EA40A3" w:rsidRDefault="00E86C16">
            <w:pPr>
              <w:spacing w:before="76" w:line="222" w:lineRule="auto"/>
              <w:ind w:left="280"/>
              <w:rPr>
                <w:rFonts w:ascii="宋体" w:eastAsia="宋体" w:hAnsi="宋体" w:cs="宋体"/>
                <w:sz w:val="16"/>
                <w:szCs w:val="16"/>
              </w:rPr>
            </w:pPr>
            <w:r>
              <w:rPr>
                <w:rFonts w:ascii="宋体" w:eastAsia="宋体" w:hAnsi="宋体" w:cs="宋体"/>
                <w:spacing w:val="-1"/>
                <w:sz w:val="16"/>
                <w:szCs w:val="16"/>
              </w:rPr>
              <w:t>0.632(2.643)</w:t>
            </w:r>
          </w:p>
        </w:tc>
        <w:tc>
          <w:tcPr>
            <w:tcW w:w="1688" w:type="dxa"/>
            <w:tcBorders>
              <w:left w:val="single" w:sz="4" w:space="0" w:color="000000"/>
            </w:tcBorders>
          </w:tcPr>
          <w:p w:rsidR="00EA40A3" w:rsidRDefault="00E86C16">
            <w:pPr>
              <w:spacing w:before="83" w:line="219" w:lineRule="auto"/>
              <w:ind w:left="135"/>
              <w:rPr>
                <w:rFonts w:ascii="宋体" w:eastAsia="宋体" w:hAnsi="宋体" w:cs="宋体"/>
                <w:sz w:val="16"/>
                <w:szCs w:val="16"/>
              </w:rPr>
            </w:pPr>
            <w:r>
              <w:rPr>
                <w:rFonts w:ascii="宋体" w:eastAsia="宋体" w:hAnsi="宋体" w:cs="宋体"/>
                <w:spacing w:val="2"/>
                <w:sz w:val="16"/>
                <w:szCs w:val="16"/>
              </w:rPr>
              <w:t>收拾工具</w:t>
            </w:r>
          </w:p>
        </w:tc>
        <w:tc>
          <w:tcPr>
            <w:tcW w:w="2032" w:type="dxa"/>
          </w:tcPr>
          <w:p w:rsidR="00EA40A3" w:rsidRDefault="00E86C16">
            <w:pPr>
              <w:spacing w:before="106" w:line="222" w:lineRule="auto"/>
              <w:ind w:left="462"/>
              <w:rPr>
                <w:rFonts w:ascii="宋体" w:eastAsia="宋体" w:hAnsi="宋体" w:cs="宋体"/>
                <w:sz w:val="16"/>
                <w:szCs w:val="16"/>
              </w:rPr>
            </w:pPr>
            <w:r>
              <w:rPr>
                <w:rFonts w:ascii="宋体" w:eastAsia="宋体" w:hAnsi="宋体" w:cs="宋体"/>
                <w:spacing w:val="-1"/>
                <w:sz w:val="16"/>
                <w:szCs w:val="16"/>
              </w:rPr>
              <w:t>0.270(1.131)</w:t>
            </w:r>
          </w:p>
        </w:tc>
      </w:tr>
      <w:tr w:rsidR="00EA40A3">
        <w:trPr>
          <w:trHeight w:val="330"/>
        </w:trPr>
        <w:tc>
          <w:tcPr>
            <w:tcW w:w="1840" w:type="dxa"/>
          </w:tcPr>
          <w:p w:rsidR="00EA40A3" w:rsidRDefault="00E86C16">
            <w:pPr>
              <w:spacing w:before="91" w:line="219" w:lineRule="auto"/>
              <w:ind w:left="120"/>
              <w:rPr>
                <w:rFonts w:ascii="宋体" w:eastAsia="宋体" w:hAnsi="宋体" w:cs="宋体"/>
                <w:sz w:val="16"/>
                <w:szCs w:val="16"/>
              </w:rPr>
            </w:pPr>
            <w:r>
              <w:rPr>
                <w:rFonts w:ascii="宋体" w:eastAsia="宋体" w:hAnsi="宋体" w:cs="宋体"/>
                <w:spacing w:val="-2"/>
                <w:sz w:val="16"/>
                <w:szCs w:val="16"/>
              </w:rPr>
              <w:t>生产劳动</w:t>
            </w:r>
          </w:p>
        </w:tc>
        <w:tc>
          <w:tcPr>
            <w:tcW w:w="1690" w:type="dxa"/>
            <w:tcBorders>
              <w:right w:val="single" w:sz="4" w:space="0" w:color="000000"/>
            </w:tcBorders>
          </w:tcPr>
          <w:p w:rsidR="00EA40A3" w:rsidRDefault="00EA40A3"/>
        </w:tc>
        <w:tc>
          <w:tcPr>
            <w:tcW w:w="1688" w:type="dxa"/>
            <w:tcBorders>
              <w:left w:val="single" w:sz="4" w:space="0" w:color="000000"/>
            </w:tcBorders>
          </w:tcPr>
          <w:p w:rsidR="00EA40A3" w:rsidRDefault="00E86C16">
            <w:pPr>
              <w:spacing w:before="80" w:line="219" w:lineRule="auto"/>
              <w:ind w:left="135"/>
              <w:rPr>
                <w:rFonts w:ascii="宋体" w:eastAsia="宋体" w:hAnsi="宋体" w:cs="宋体"/>
                <w:sz w:val="16"/>
                <w:szCs w:val="16"/>
              </w:rPr>
            </w:pPr>
            <w:r>
              <w:rPr>
                <w:rFonts w:ascii="宋体" w:eastAsia="宋体" w:hAnsi="宋体" w:cs="宋体"/>
                <w:spacing w:val="-2"/>
                <w:sz w:val="16"/>
                <w:szCs w:val="16"/>
              </w:rPr>
              <w:t>坐着弹钢琴</w:t>
            </w:r>
          </w:p>
        </w:tc>
        <w:tc>
          <w:tcPr>
            <w:tcW w:w="2032" w:type="dxa"/>
          </w:tcPr>
          <w:p w:rsidR="00EA40A3" w:rsidRDefault="00E86C16">
            <w:pPr>
              <w:spacing w:before="104" w:line="222" w:lineRule="auto"/>
              <w:ind w:left="452"/>
              <w:rPr>
                <w:rFonts w:ascii="宋体" w:eastAsia="宋体" w:hAnsi="宋体" w:cs="宋体"/>
                <w:sz w:val="16"/>
                <w:szCs w:val="16"/>
              </w:rPr>
            </w:pPr>
            <w:r>
              <w:rPr>
                <w:rFonts w:ascii="宋体" w:eastAsia="宋体" w:hAnsi="宋体" w:cs="宋体"/>
                <w:spacing w:val="-1"/>
                <w:sz w:val="16"/>
                <w:szCs w:val="16"/>
              </w:rPr>
              <w:t>0.359(1.500</w:t>
            </w:r>
          </w:p>
        </w:tc>
      </w:tr>
      <w:tr w:rsidR="00EA40A3">
        <w:trPr>
          <w:trHeight w:val="337"/>
        </w:trPr>
        <w:tc>
          <w:tcPr>
            <w:tcW w:w="1840" w:type="dxa"/>
          </w:tcPr>
          <w:p w:rsidR="00EA40A3" w:rsidRDefault="00E86C16">
            <w:pPr>
              <w:spacing w:before="91" w:line="220" w:lineRule="auto"/>
              <w:ind w:left="120"/>
              <w:rPr>
                <w:rFonts w:ascii="宋体" w:eastAsia="宋体" w:hAnsi="宋体" w:cs="宋体"/>
                <w:sz w:val="16"/>
                <w:szCs w:val="16"/>
              </w:rPr>
            </w:pPr>
            <w:r>
              <w:rPr>
                <w:rFonts w:ascii="宋体" w:eastAsia="宋体" w:hAnsi="宋体" w:cs="宋体"/>
                <w:spacing w:val="5"/>
                <w:sz w:val="16"/>
                <w:szCs w:val="16"/>
              </w:rPr>
              <w:t>磨镰刀</w:t>
            </w:r>
          </w:p>
        </w:tc>
        <w:tc>
          <w:tcPr>
            <w:tcW w:w="1690" w:type="dxa"/>
            <w:tcBorders>
              <w:right w:val="single" w:sz="4" w:space="0" w:color="000000"/>
            </w:tcBorders>
          </w:tcPr>
          <w:p w:rsidR="00EA40A3" w:rsidRDefault="00E86C16">
            <w:pPr>
              <w:spacing w:before="84" w:line="222" w:lineRule="auto"/>
              <w:ind w:left="280"/>
              <w:rPr>
                <w:rFonts w:ascii="宋体" w:eastAsia="宋体" w:hAnsi="宋体" w:cs="宋体"/>
                <w:sz w:val="16"/>
                <w:szCs w:val="16"/>
              </w:rPr>
            </w:pPr>
            <w:r>
              <w:rPr>
                <w:rFonts w:ascii="宋体" w:eastAsia="宋体" w:hAnsi="宋体" w:cs="宋体"/>
                <w:spacing w:val="-1"/>
                <w:sz w:val="16"/>
                <w:szCs w:val="16"/>
              </w:rPr>
              <w:t>0.538(2.250)</w:t>
            </w:r>
          </w:p>
        </w:tc>
        <w:tc>
          <w:tcPr>
            <w:tcW w:w="1688" w:type="dxa"/>
            <w:tcBorders>
              <w:left w:val="single" w:sz="4" w:space="0" w:color="000000"/>
            </w:tcBorders>
          </w:tcPr>
          <w:p w:rsidR="00EA40A3" w:rsidRDefault="00E86C16">
            <w:pPr>
              <w:spacing w:before="81" w:line="219" w:lineRule="auto"/>
              <w:ind w:left="135"/>
              <w:rPr>
                <w:rFonts w:ascii="宋体" w:eastAsia="宋体" w:hAnsi="宋体" w:cs="宋体"/>
                <w:sz w:val="16"/>
                <w:szCs w:val="16"/>
              </w:rPr>
            </w:pPr>
            <w:r>
              <w:rPr>
                <w:rFonts w:ascii="宋体" w:eastAsia="宋体" w:hAnsi="宋体" w:cs="宋体"/>
                <w:spacing w:val="-1"/>
                <w:sz w:val="16"/>
                <w:szCs w:val="16"/>
              </w:rPr>
              <w:t>装卸车轮胎</w:t>
            </w:r>
          </w:p>
        </w:tc>
        <w:tc>
          <w:tcPr>
            <w:tcW w:w="2032" w:type="dxa"/>
          </w:tcPr>
          <w:p w:rsidR="00EA40A3" w:rsidRDefault="00E86C16">
            <w:pPr>
              <w:spacing w:before="114" w:line="222" w:lineRule="auto"/>
              <w:ind w:left="452"/>
              <w:rPr>
                <w:rFonts w:ascii="宋体" w:eastAsia="宋体" w:hAnsi="宋体" w:cs="宋体"/>
                <w:sz w:val="16"/>
                <w:szCs w:val="16"/>
              </w:rPr>
            </w:pPr>
            <w:r>
              <w:rPr>
                <w:rFonts w:ascii="宋体" w:eastAsia="宋体" w:hAnsi="宋体" w:cs="宋体"/>
                <w:spacing w:val="-1"/>
                <w:sz w:val="16"/>
                <w:szCs w:val="16"/>
              </w:rPr>
              <w:t>0.493(2.063)</w:t>
            </w:r>
          </w:p>
        </w:tc>
      </w:tr>
      <w:tr w:rsidR="00EA40A3">
        <w:trPr>
          <w:trHeight w:val="315"/>
        </w:trPr>
        <w:tc>
          <w:tcPr>
            <w:tcW w:w="1840" w:type="dxa"/>
          </w:tcPr>
          <w:p w:rsidR="00EA40A3" w:rsidRDefault="00E86C16">
            <w:pPr>
              <w:spacing w:before="79" w:line="214" w:lineRule="auto"/>
              <w:ind w:left="120"/>
              <w:rPr>
                <w:rFonts w:ascii="宋体" w:eastAsia="宋体" w:hAnsi="宋体" w:cs="宋体"/>
                <w:sz w:val="16"/>
                <w:szCs w:val="16"/>
              </w:rPr>
            </w:pPr>
            <w:r>
              <w:rPr>
                <w:rFonts w:ascii="宋体" w:eastAsia="宋体" w:hAnsi="宋体" w:cs="宋体"/>
                <w:spacing w:val="3"/>
                <w:sz w:val="16"/>
                <w:szCs w:val="16"/>
              </w:rPr>
              <w:t>推手推车(载重100</w:t>
            </w:r>
            <w:r>
              <w:rPr>
                <w:rFonts w:ascii="宋体" w:eastAsia="宋体" w:hAnsi="宋体" w:cs="宋体"/>
                <w:sz w:val="16"/>
                <w:szCs w:val="16"/>
              </w:rPr>
              <w:t>kg</w:t>
            </w:r>
            <w:r>
              <w:rPr>
                <w:rFonts w:ascii="宋体" w:eastAsia="宋体" w:hAnsi="宋体" w:cs="宋体"/>
                <w:spacing w:val="3"/>
                <w:sz w:val="16"/>
                <w:szCs w:val="16"/>
              </w:rPr>
              <w:t>)</w:t>
            </w:r>
          </w:p>
        </w:tc>
        <w:tc>
          <w:tcPr>
            <w:tcW w:w="1690" w:type="dxa"/>
            <w:tcBorders>
              <w:right w:val="single" w:sz="4" w:space="0" w:color="000000"/>
            </w:tcBorders>
          </w:tcPr>
          <w:p w:rsidR="00EA40A3" w:rsidRDefault="00E86C16">
            <w:pPr>
              <w:spacing w:before="77" w:line="222" w:lineRule="auto"/>
              <w:ind w:left="280"/>
              <w:rPr>
                <w:rFonts w:ascii="宋体" w:eastAsia="宋体" w:hAnsi="宋体" w:cs="宋体"/>
                <w:sz w:val="16"/>
                <w:szCs w:val="16"/>
              </w:rPr>
            </w:pPr>
            <w:r>
              <w:rPr>
                <w:rFonts w:ascii="宋体" w:eastAsia="宋体" w:hAnsi="宋体" w:cs="宋体"/>
                <w:spacing w:val="-1"/>
                <w:sz w:val="16"/>
                <w:szCs w:val="16"/>
              </w:rPr>
              <w:t>0.666(2.788)</w:t>
            </w:r>
          </w:p>
        </w:tc>
        <w:tc>
          <w:tcPr>
            <w:tcW w:w="1688" w:type="dxa"/>
            <w:tcBorders>
              <w:left w:val="single" w:sz="4" w:space="0" w:color="000000"/>
            </w:tcBorders>
          </w:tcPr>
          <w:p w:rsidR="00EA40A3" w:rsidRDefault="00E86C16">
            <w:pPr>
              <w:spacing w:before="83" w:line="219" w:lineRule="auto"/>
              <w:ind w:left="135"/>
              <w:rPr>
                <w:rFonts w:ascii="宋体" w:eastAsia="宋体" w:hAnsi="宋体" w:cs="宋体"/>
                <w:sz w:val="16"/>
                <w:szCs w:val="16"/>
              </w:rPr>
            </w:pPr>
            <w:r>
              <w:rPr>
                <w:rFonts w:ascii="宋体" w:eastAsia="宋体" w:hAnsi="宋体" w:cs="宋体"/>
                <w:spacing w:val="-1"/>
                <w:sz w:val="16"/>
                <w:szCs w:val="16"/>
              </w:rPr>
              <w:t>用起重机吊汽车</w:t>
            </w:r>
          </w:p>
        </w:tc>
        <w:tc>
          <w:tcPr>
            <w:tcW w:w="2032" w:type="dxa"/>
          </w:tcPr>
          <w:p w:rsidR="00EA40A3" w:rsidRDefault="00E86C16">
            <w:pPr>
              <w:spacing w:before="97" w:line="222" w:lineRule="auto"/>
              <w:ind w:left="452"/>
              <w:rPr>
                <w:rFonts w:ascii="宋体" w:eastAsia="宋体" w:hAnsi="宋体" w:cs="宋体"/>
                <w:sz w:val="16"/>
                <w:szCs w:val="16"/>
              </w:rPr>
            </w:pPr>
            <w:r>
              <w:rPr>
                <w:rFonts w:ascii="宋体" w:eastAsia="宋体" w:hAnsi="宋体" w:cs="宋体"/>
                <w:spacing w:val="-1"/>
                <w:sz w:val="16"/>
                <w:szCs w:val="16"/>
              </w:rPr>
              <w:t>0.672(2.813)</w:t>
            </w:r>
          </w:p>
        </w:tc>
      </w:tr>
      <w:tr w:rsidR="00EA40A3">
        <w:trPr>
          <w:trHeight w:val="335"/>
        </w:trPr>
        <w:tc>
          <w:tcPr>
            <w:tcW w:w="1840" w:type="dxa"/>
          </w:tcPr>
          <w:p w:rsidR="00EA40A3" w:rsidRDefault="00E86C16">
            <w:pPr>
              <w:spacing w:before="74" w:line="214" w:lineRule="auto"/>
              <w:ind w:left="120"/>
              <w:rPr>
                <w:rFonts w:ascii="宋体" w:eastAsia="宋体" w:hAnsi="宋体" w:cs="宋体"/>
                <w:sz w:val="16"/>
                <w:szCs w:val="16"/>
              </w:rPr>
            </w:pPr>
            <w:r>
              <w:rPr>
                <w:rFonts w:ascii="宋体" w:eastAsia="宋体" w:hAnsi="宋体" w:cs="宋体"/>
                <w:spacing w:val="-1"/>
                <w:sz w:val="16"/>
                <w:szCs w:val="16"/>
              </w:rPr>
              <w:t>推手推车(载重150kg</w:t>
            </w:r>
          </w:p>
        </w:tc>
        <w:tc>
          <w:tcPr>
            <w:tcW w:w="1690" w:type="dxa"/>
            <w:tcBorders>
              <w:right w:val="single" w:sz="4" w:space="0" w:color="000000"/>
            </w:tcBorders>
          </w:tcPr>
          <w:p w:rsidR="00EA40A3" w:rsidRDefault="00E86C16">
            <w:pPr>
              <w:spacing w:before="92" w:line="222" w:lineRule="auto"/>
              <w:ind w:left="280"/>
              <w:rPr>
                <w:rFonts w:ascii="宋体" w:eastAsia="宋体" w:hAnsi="宋体" w:cs="宋体"/>
                <w:sz w:val="16"/>
                <w:szCs w:val="16"/>
              </w:rPr>
            </w:pPr>
            <w:r>
              <w:rPr>
                <w:rFonts w:ascii="宋体" w:eastAsia="宋体" w:hAnsi="宋体" w:cs="宋体"/>
                <w:spacing w:val="-1"/>
                <w:sz w:val="16"/>
                <w:szCs w:val="16"/>
              </w:rPr>
              <w:t>0.940(3.931)</w:t>
            </w:r>
          </w:p>
        </w:tc>
        <w:tc>
          <w:tcPr>
            <w:tcW w:w="1688" w:type="dxa"/>
            <w:tcBorders>
              <w:left w:val="single" w:sz="4" w:space="0" w:color="000000"/>
            </w:tcBorders>
          </w:tcPr>
          <w:p w:rsidR="00EA40A3" w:rsidRDefault="00E86C16">
            <w:pPr>
              <w:spacing w:before="89" w:line="219" w:lineRule="auto"/>
              <w:ind w:left="135"/>
              <w:rPr>
                <w:rFonts w:ascii="宋体" w:eastAsia="宋体" w:hAnsi="宋体" w:cs="宋体"/>
                <w:sz w:val="16"/>
                <w:szCs w:val="16"/>
              </w:rPr>
            </w:pPr>
            <w:r>
              <w:rPr>
                <w:rFonts w:ascii="宋体" w:eastAsia="宋体" w:hAnsi="宋体" w:cs="宋体"/>
                <w:spacing w:val="-2"/>
                <w:sz w:val="16"/>
                <w:szCs w:val="16"/>
              </w:rPr>
              <w:t>混合水泥</w:t>
            </w:r>
          </w:p>
        </w:tc>
        <w:tc>
          <w:tcPr>
            <w:tcW w:w="2032" w:type="dxa"/>
          </w:tcPr>
          <w:p w:rsidR="00EA40A3" w:rsidRDefault="00E86C16">
            <w:pPr>
              <w:spacing w:before="122" w:line="222" w:lineRule="auto"/>
              <w:ind w:left="452"/>
              <w:rPr>
                <w:rFonts w:ascii="宋体" w:eastAsia="宋体" w:hAnsi="宋体" w:cs="宋体"/>
                <w:sz w:val="16"/>
                <w:szCs w:val="16"/>
              </w:rPr>
            </w:pPr>
            <w:r>
              <w:rPr>
                <w:rFonts w:ascii="宋体" w:eastAsia="宋体" w:hAnsi="宋体" w:cs="宋体"/>
                <w:spacing w:val="-1"/>
                <w:sz w:val="16"/>
                <w:szCs w:val="16"/>
              </w:rPr>
              <w:t>0.630(2.638)</w:t>
            </w:r>
          </w:p>
        </w:tc>
      </w:tr>
      <w:tr w:rsidR="00EA40A3">
        <w:trPr>
          <w:trHeight w:val="335"/>
        </w:trPr>
        <w:tc>
          <w:tcPr>
            <w:tcW w:w="1840" w:type="dxa"/>
          </w:tcPr>
          <w:p w:rsidR="00EA40A3" w:rsidRDefault="00E86C16">
            <w:pPr>
              <w:spacing w:before="93" w:line="219" w:lineRule="auto"/>
              <w:ind w:left="120"/>
              <w:rPr>
                <w:rFonts w:ascii="宋体" w:eastAsia="宋体" w:hAnsi="宋体" w:cs="宋体"/>
                <w:sz w:val="16"/>
                <w:szCs w:val="16"/>
              </w:rPr>
            </w:pPr>
            <w:r>
              <w:rPr>
                <w:rFonts w:ascii="宋体" w:eastAsia="宋体" w:hAnsi="宋体" w:cs="宋体"/>
                <w:spacing w:val="-2"/>
                <w:sz w:val="16"/>
                <w:szCs w:val="16"/>
              </w:rPr>
              <w:t>打裸麦</w:t>
            </w:r>
          </w:p>
        </w:tc>
        <w:tc>
          <w:tcPr>
            <w:tcW w:w="1690" w:type="dxa"/>
            <w:tcBorders>
              <w:right w:val="single" w:sz="4" w:space="0" w:color="000000"/>
            </w:tcBorders>
          </w:tcPr>
          <w:p w:rsidR="00EA40A3" w:rsidRDefault="00E86C16">
            <w:pPr>
              <w:spacing w:before="87" w:line="222" w:lineRule="auto"/>
              <w:ind w:left="280"/>
              <w:rPr>
                <w:rFonts w:ascii="宋体" w:eastAsia="宋体" w:hAnsi="宋体" w:cs="宋体"/>
                <w:sz w:val="16"/>
                <w:szCs w:val="16"/>
              </w:rPr>
            </w:pPr>
            <w:r>
              <w:rPr>
                <w:rFonts w:ascii="宋体" w:eastAsia="宋体" w:hAnsi="宋体" w:cs="宋体"/>
                <w:spacing w:val="-1"/>
                <w:sz w:val="16"/>
                <w:szCs w:val="16"/>
              </w:rPr>
              <w:t>0.671(2.806)</w:t>
            </w:r>
          </w:p>
        </w:tc>
        <w:tc>
          <w:tcPr>
            <w:tcW w:w="1688" w:type="dxa"/>
            <w:tcBorders>
              <w:left w:val="single" w:sz="4" w:space="0" w:color="000000"/>
            </w:tcBorders>
          </w:tcPr>
          <w:p w:rsidR="00EA40A3" w:rsidRDefault="00E86C16">
            <w:pPr>
              <w:spacing w:before="85" w:line="220" w:lineRule="auto"/>
              <w:ind w:left="135"/>
              <w:rPr>
                <w:rFonts w:ascii="宋体" w:eastAsia="宋体" w:hAnsi="宋体" w:cs="宋体"/>
                <w:sz w:val="16"/>
                <w:szCs w:val="16"/>
              </w:rPr>
            </w:pPr>
            <w:r>
              <w:rPr>
                <w:rFonts w:ascii="宋体" w:eastAsia="宋体" w:hAnsi="宋体" w:cs="宋体"/>
                <w:spacing w:val="-2"/>
                <w:sz w:val="16"/>
                <w:szCs w:val="16"/>
              </w:rPr>
              <w:t>清洗马体</w:t>
            </w:r>
          </w:p>
        </w:tc>
        <w:tc>
          <w:tcPr>
            <w:tcW w:w="2032" w:type="dxa"/>
          </w:tcPr>
          <w:p w:rsidR="00EA40A3" w:rsidRDefault="00E86C16">
            <w:pPr>
              <w:spacing w:before="117" w:line="222" w:lineRule="auto"/>
              <w:ind w:left="452"/>
              <w:rPr>
                <w:rFonts w:ascii="宋体" w:eastAsia="宋体" w:hAnsi="宋体" w:cs="宋体"/>
                <w:sz w:val="16"/>
                <w:szCs w:val="16"/>
              </w:rPr>
            </w:pPr>
            <w:r>
              <w:rPr>
                <w:rFonts w:ascii="宋体" w:eastAsia="宋体" w:hAnsi="宋体" w:cs="宋体"/>
                <w:spacing w:val="-1"/>
                <w:sz w:val="16"/>
                <w:szCs w:val="16"/>
              </w:rPr>
              <w:t>0.704(2.944)</w:t>
            </w:r>
          </w:p>
        </w:tc>
      </w:tr>
      <w:tr w:rsidR="00EA40A3">
        <w:trPr>
          <w:trHeight w:val="344"/>
        </w:trPr>
        <w:tc>
          <w:tcPr>
            <w:tcW w:w="1840" w:type="dxa"/>
          </w:tcPr>
          <w:p w:rsidR="00EA40A3" w:rsidRDefault="00E86C16">
            <w:pPr>
              <w:spacing w:before="98" w:line="219" w:lineRule="auto"/>
              <w:ind w:left="120"/>
              <w:rPr>
                <w:rFonts w:ascii="宋体" w:eastAsia="宋体" w:hAnsi="宋体" w:cs="宋体"/>
                <w:sz w:val="16"/>
                <w:szCs w:val="16"/>
              </w:rPr>
            </w:pPr>
            <w:r>
              <w:rPr>
                <w:rFonts w:ascii="宋体" w:eastAsia="宋体" w:hAnsi="宋体" w:cs="宋体"/>
                <w:spacing w:val="-2"/>
                <w:sz w:val="16"/>
                <w:szCs w:val="16"/>
              </w:rPr>
              <w:t>捆扎小麦</w:t>
            </w:r>
          </w:p>
        </w:tc>
        <w:tc>
          <w:tcPr>
            <w:tcW w:w="1690" w:type="dxa"/>
            <w:tcBorders>
              <w:right w:val="single" w:sz="4" w:space="0" w:color="000000"/>
            </w:tcBorders>
          </w:tcPr>
          <w:p w:rsidR="00EA40A3" w:rsidRDefault="00E86C16">
            <w:pPr>
              <w:spacing w:before="92" w:line="222" w:lineRule="auto"/>
              <w:ind w:left="290"/>
              <w:rPr>
                <w:rFonts w:ascii="宋体" w:eastAsia="宋体" w:hAnsi="宋体" w:cs="宋体"/>
                <w:sz w:val="16"/>
                <w:szCs w:val="16"/>
              </w:rPr>
            </w:pPr>
            <w:r>
              <w:rPr>
                <w:rFonts w:ascii="宋体" w:eastAsia="宋体" w:hAnsi="宋体" w:cs="宋体"/>
                <w:spacing w:val="-2"/>
                <w:sz w:val="16"/>
                <w:szCs w:val="16"/>
              </w:rPr>
              <w:t>1.016(4.250)</w:t>
            </w:r>
          </w:p>
        </w:tc>
        <w:tc>
          <w:tcPr>
            <w:tcW w:w="1688" w:type="dxa"/>
            <w:tcBorders>
              <w:left w:val="single" w:sz="4" w:space="0" w:color="000000"/>
            </w:tcBorders>
          </w:tcPr>
          <w:p w:rsidR="00EA40A3" w:rsidRDefault="00E86C16">
            <w:pPr>
              <w:spacing w:before="90" w:line="220" w:lineRule="auto"/>
              <w:ind w:left="135"/>
              <w:rPr>
                <w:rFonts w:ascii="宋体" w:eastAsia="宋体" w:hAnsi="宋体" w:cs="宋体"/>
                <w:sz w:val="16"/>
                <w:szCs w:val="16"/>
              </w:rPr>
            </w:pPr>
            <w:r>
              <w:rPr>
                <w:rFonts w:ascii="宋体" w:eastAsia="宋体" w:hAnsi="宋体" w:cs="宋体"/>
                <w:spacing w:val="-2"/>
                <w:sz w:val="16"/>
                <w:szCs w:val="16"/>
              </w:rPr>
              <w:t>切饲料</w:t>
            </w:r>
          </w:p>
        </w:tc>
        <w:tc>
          <w:tcPr>
            <w:tcW w:w="2032" w:type="dxa"/>
          </w:tcPr>
          <w:p w:rsidR="00EA40A3" w:rsidRDefault="00E86C16">
            <w:pPr>
              <w:spacing w:before="122" w:line="222" w:lineRule="auto"/>
              <w:ind w:left="462"/>
              <w:rPr>
                <w:rFonts w:ascii="宋体" w:eastAsia="宋体" w:hAnsi="宋体" w:cs="宋体"/>
                <w:sz w:val="16"/>
                <w:szCs w:val="16"/>
              </w:rPr>
            </w:pPr>
            <w:r>
              <w:rPr>
                <w:rFonts w:ascii="宋体" w:eastAsia="宋体" w:hAnsi="宋体" w:cs="宋体"/>
                <w:spacing w:val="-1"/>
                <w:sz w:val="16"/>
                <w:szCs w:val="16"/>
              </w:rPr>
              <w:t>0.524(2.194)</w:t>
            </w:r>
          </w:p>
        </w:tc>
      </w:tr>
      <w:tr w:rsidR="00EA40A3">
        <w:trPr>
          <w:trHeight w:val="337"/>
        </w:trPr>
        <w:tc>
          <w:tcPr>
            <w:tcW w:w="1840" w:type="dxa"/>
          </w:tcPr>
          <w:p w:rsidR="00EA40A3" w:rsidRDefault="00E86C16">
            <w:pPr>
              <w:spacing w:before="86" w:line="220" w:lineRule="auto"/>
              <w:ind w:left="120"/>
              <w:rPr>
                <w:rFonts w:ascii="宋体" w:eastAsia="宋体" w:hAnsi="宋体" w:cs="宋体"/>
                <w:sz w:val="16"/>
                <w:szCs w:val="16"/>
              </w:rPr>
            </w:pPr>
            <w:r>
              <w:rPr>
                <w:rFonts w:ascii="宋体" w:eastAsia="宋体" w:hAnsi="宋体" w:cs="宋体"/>
                <w:spacing w:val="-2"/>
                <w:sz w:val="16"/>
                <w:szCs w:val="16"/>
              </w:rPr>
              <w:t>搭禾堆</w:t>
            </w:r>
          </w:p>
        </w:tc>
        <w:tc>
          <w:tcPr>
            <w:tcW w:w="1690" w:type="dxa"/>
            <w:tcBorders>
              <w:right w:val="single" w:sz="4" w:space="0" w:color="000000"/>
            </w:tcBorders>
          </w:tcPr>
          <w:p w:rsidR="00EA40A3" w:rsidRDefault="00E86C16">
            <w:pPr>
              <w:spacing w:before="78" w:line="222" w:lineRule="auto"/>
              <w:ind w:left="290"/>
              <w:rPr>
                <w:rFonts w:ascii="宋体" w:eastAsia="宋体" w:hAnsi="宋体" w:cs="宋体"/>
                <w:sz w:val="16"/>
                <w:szCs w:val="16"/>
              </w:rPr>
            </w:pPr>
            <w:r>
              <w:rPr>
                <w:rFonts w:ascii="宋体" w:eastAsia="宋体" w:hAnsi="宋体" w:cs="宋体"/>
                <w:spacing w:val="-4"/>
                <w:sz w:val="16"/>
                <w:szCs w:val="16"/>
              </w:rPr>
              <w:t>0.822</w:t>
            </w:r>
            <w:r>
              <w:rPr>
                <w:rFonts w:ascii="宋体" w:eastAsia="宋体" w:hAnsi="宋体" w:cs="宋体"/>
                <w:spacing w:val="82"/>
                <w:sz w:val="16"/>
                <w:szCs w:val="16"/>
              </w:rPr>
              <w:t xml:space="preserve"> </w:t>
            </w:r>
            <w:r>
              <w:rPr>
                <w:rFonts w:ascii="宋体" w:eastAsia="宋体" w:hAnsi="宋体" w:cs="宋体"/>
                <w:spacing w:val="-4"/>
                <w:sz w:val="16"/>
                <w:szCs w:val="16"/>
              </w:rPr>
              <w:t>(3.438)</w:t>
            </w:r>
          </w:p>
        </w:tc>
        <w:tc>
          <w:tcPr>
            <w:tcW w:w="1688" w:type="dxa"/>
            <w:tcBorders>
              <w:left w:val="single" w:sz="4" w:space="0" w:color="000000"/>
            </w:tcBorders>
          </w:tcPr>
          <w:p w:rsidR="00EA40A3" w:rsidRDefault="00E86C16">
            <w:pPr>
              <w:spacing w:before="84" w:line="219" w:lineRule="auto"/>
              <w:ind w:left="135"/>
              <w:rPr>
                <w:rFonts w:ascii="宋体" w:eastAsia="宋体" w:hAnsi="宋体" w:cs="宋体"/>
                <w:sz w:val="16"/>
                <w:szCs w:val="16"/>
              </w:rPr>
            </w:pPr>
            <w:r>
              <w:rPr>
                <w:rFonts w:ascii="宋体" w:eastAsia="宋体" w:hAnsi="宋体" w:cs="宋体"/>
                <w:spacing w:val="-2"/>
                <w:sz w:val="16"/>
                <w:szCs w:val="16"/>
              </w:rPr>
              <w:t>机械锯木</w:t>
            </w:r>
          </w:p>
        </w:tc>
        <w:tc>
          <w:tcPr>
            <w:tcW w:w="2032" w:type="dxa"/>
          </w:tcPr>
          <w:p w:rsidR="00EA40A3" w:rsidRDefault="00E86C16">
            <w:pPr>
              <w:spacing w:before="128" w:line="222" w:lineRule="auto"/>
              <w:ind w:left="462"/>
              <w:rPr>
                <w:rFonts w:ascii="宋体" w:eastAsia="宋体" w:hAnsi="宋体" w:cs="宋体"/>
                <w:sz w:val="16"/>
                <w:szCs w:val="16"/>
              </w:rPr>
            </w:pPr>
            <w:r>
              <w:rPr>
                <w:rFonts w:ascii="宋体" w:eastAsia="宋体" w:hAnsi="宋体" w:cs="宋体"/>
                <w:spacing w:val="-1"/>
                <w:sz w:val="16"/>
                <w:szCs w:val="16"/>
              </w:rPr>
              <w:t>0.345(1.444)</w:t>
            </w:r>
          </w:p>
        </w:tc>
      </w:tr>
      <w:tr w:rsidR="00EA40A3">
        <w:trPr>
          <w:trHeight w:val="320"/>
        </w:trPr>
        <w:tc>
          <w:tcPr>
            <w:tcW w:w="1840" w:type="dxa"/>
          </w:tcPr>
          <w:p w:rsidR="00EA40A3" w:rsidRDefault="00E86C16">
            <w:pPr>
              <w:spacing w:before="67" w:line="219" w:lineRule="auto"/>
              <w:ind w:left="120"/>
              <w:rPr>
                <w:rFonts w:ascii="宋体" w:eastAsia="宋体" w:hAnsi="宋体" w:cs="宋体"/>
                <w:sz w:val="16"/>
                <w:szCs w:val="16"/>
              </w:rPr>
            </w:pPr>
            <w:r>
              <w:rPr>
                <w:rFonts w:ascii="宋体" w:eastAsia="宋体" w:hAnsi="宋体" w:cs="宋体"/>
                <w:spacing w:val="5"/>
                <w:sz w:val="16"/>
                <w:szCs w:val="16"/>
              </w:rPr>
              <w:t>耕荒地(人拉)</w:t>
            </w:r>
          </w:p>
        </w:tc>
        <w:tc>
          <w:tcPr>
            <w:tcW w:w="1690" w:type="dxa"/>
            <w:tcBorders>
              <w:right w:val="single" w:sz="4" w:space="0" w:color="000000"/>
            </w:tcBorders>
          </w:tcPr>
          <w:p w:rsidR="00EA40A3" w:rsidRDefault="00E86C16">
            <w:pPr>
              <w:spacing w:before="71" w:line="222" w:lineRule="auto"/>
              <w:ind w:left="290"/>
              <w:rPr>
                <w:rFonts w:ascii="宋体" w:eastAsia="宋体" w:hAnsi="宋体" w:cs="宋体"/>
                <w:sz w:val="16"/>
                <w:szCs w:val="16"/>
              </w:rPr>
            </w:pPr>
            <w:r>
              <w:rPr>
                <w:rFonts w:ascii="宋体" w:eastAsia="宋体" w:hAnsi="宋体" w:cs="宋体"/>
                <w:spacing w:val="-2"/>
                <w:sz w:val="16"/>
                <w:szCs w:val="16"/>
              </w:rPr>
              <w:t>1.510(6.319)</w:t>
            </w:r>
          </w:p>
        </w:tc>
        <w:tc>
          <w:tcPr>
            <w:tcW w:w="1688" w:type="dxa"/>
            <w:tcBorders>
              <w:left w:val="single" w:sz="4" w:space="0" w:color="000000"/>
            </w:tcBorders>
          </w:tcPr>
          <w:p w:rsidR="00EA40A3" w:rsidRDefault="00E86C16">
            <w:pPr>
              <w:spacing w:before="69" w:line="220" w:lineRule="auto"/>
              <w:ind w:left="135"/>
              <w:rPr>
                <w:rFonts w:ascii="宋体" w:eastAsia="宋体" w:hAnsi="宋体" w:cs="宋体"/>
                <w:sz w:val="16"/>
                <w:szCs w:val="16"/>
              </w:rPr>
            </w:pPr>
            <w:r>
              <w:rPr>
                <w:rFonts w:ascii="宋体" w:eastAsia="宋体" w:hAnsi="宋体" w:cs="宋体"/>
                <w:spacing w:val="-2"/>
                <w:sz w:val="16"/>
                <w:szCs w:val="16"/>
              </w:rPr>
              <w:t>锯软质木</w:t>
            </w:r>
          </w:p>
        </w:tc>
        <w:tc>
          <w:tcPr>
            <w:tcW w:w="2032" w:type="dxa"/>
          </w:tcPr>
          <w:p w:rsidR="00EA40A3" w:rsidRDefault="00E86C16">
            <w:pPr>
              <w:spacing w:before="101" w:line="222" w:lineRule="auto"/>
              <w:ind w:left="452"/>
              <w:rPr>
                <w:rFonts w:ascii="宋体" w:eastAsia="宋体" w:hAnsi="宋体" w:cs="宋体"/>
                <w:sz w:val="16"/>
                <w:szCs w:val="16"/>
              </w:rPr>
            </w:pPr>
            <w:r>
              <w:rPr>
                <w:rFonts w:ascii="宋体" w:eastAsia="宋体" w:hAnsi="宋体" w:cs="宋体"/>
                <w:spacing w:val="-1"/>
                <w:sz w:val="16"/>
                <w:szCs w:val="16"/>
              </w:rPr>
              <w:t>0.940(3.931)</w:t>
            </w:r>
          </w:p>
        </w:tc>
      </w:tr>
      <w:tr w:rsidR="00EA40A3">
        <w:trPr>
          <w:trHeight w:val="336"/>
        </w:trPr>
        <w:tc>
          <w:tcPr>
            <w:tcW w:w="1840" w:type="dxa"/>
          </w:tcPr>
          <w:p w:rsidR="00EA40A3" w:rsidRDefault="00E86C16">
            <w:pPr>
              <w:spacing w:before="77" w:line="219" w:lineRule="auto"/>
              <w:ind w:left="120"/>
              <w:rPr>
                <w:rFonts w:ascii="宋体" w:eastAsia="宋体" w:hAnsi="宋体" w:cs="宋体"/>
                <w:sz w:val="16"/>
                <w:szCs w:val="16"/>
              </w:rPr>
            </w:pPr>
            <w:r>
              <w:rPr>
                <w:rFonts w:ascii="宋体" w:eastAsia="宋体" w:hAnsi="宋体" w:cs="宋体"/>
                <w:spacing w:val="-1"/>
                <w:sz w:val="16"/>
                <w:szCs w:val="16"/>
              </w:rPr>
              <w:t>耕熟地(人拉</w:t>
            </w:r>
          </w:p>
        </w:tc>
        <w:tc>
          <w:tcPr>
            <w:tcW w:w="1690" w:type="dxa"/>
            <w:tcBorders>
              <w:right w:val="single" w:sz="4" w:space="0" w:color="000000"/>
            </w:tcBorders>
          </w:tcPr>
          <w:p w:rsidR="00EA40A3" w:rsidRDefault="00E86C16">
            <w:pPr>
              <w:spacing w:before="81" w:line="222" w:lineRule="auto"/>
              <w:ind w:left="290"/>
              <w:rPr>
                <w:rFonts w:ascii="宋体" w:eastAsia="宋体" w:hAnsi="宋体" w:cs="宋体"/>
                <w:sz w:val="16"/>
                <w:szCs w:val="16"/>
              </w:rPr>
            </w:pPr>
            <w:r>
              <w:rPr>
                <w:rFonts w:ascii="宋体" w:eastAsia="宋体" w:hAnsi="宋体" w:cs="宋体"/>
                <w:spacing w:val="-2"/>
                <w:sz w:val="16"/>
                <w:szCs w:val="16"/>
              </w:rPr>
              <w:t>1.471(6.156)</w:t>
            </w:r>
          </w:p>
        </w:tc>
        <w:tc>
          <w:tcPr>
            <w:tcW w:w="1688" w:type="dxa"/>
            <w:tcBorders>
              <w:left w:val="single" w:sz="4" w:space="0" w:color="000000"/>
            </w:tcBorders>
          </w:tcPr>
          <w:p w:rsidR="00EA40A3" w:rsidRDefault="00E86C16">
            <w:pPr>
              <w:spacing w:before="79" w:line="220" w:lineRule="auto"/>
              <w:ind w:left="135"/>
              <w:rPr>
                <w:rFonts w:ascii="宋体" w:eastAsia="宋体" w:hAnsi="宋体" w:cs="宋体"/>
                <w:sz w:val="16"/>
                <w:szCs w:val="16"/>
              </w:rPr>
            </w:pPr>
            <w:r>
              <w:rPr>
                <w:rFonts w:ascii="宋体" w:eastAsia="宋体" w:hAnsi="宋体" w:cs="宋体"/>
                <w:spacing w:val="-2"/>
                <w:sz w:val="16"/>
                <w:szCs w:val="16"/>
              </w:rPr>
              <w:t>硬木钻孔</w:t>
            </w:r>
          </w:p>
        </w:tc>
        <w:tc>
          <w:tcPr>
            <w:tcW w:w="2032" w:type="dxa"/>
          </w:tcPr>
          <w:p w:rsidR="00EA40A3" w:rsidRDefault="00E86C16">
            <w:pPr>
              <w:spacing w:before="111" w:line="222" w:lineRule="auto"/>
              <w:ind w:left="452"/>
              <w:rPr>
                <w:rFonts w:ascii="宋体" w:eastAsia="宋体" w:hAnsi="宋体" w:cs="宋体"/>
                <w:sz w:val="16"/>
                <w:szCs w:val="16"/>
              </w:rPr>
            </w:pPr>
            <w:r>
              <w:rPr>
                <w:rFonts w:ascii="宋体" w:eastAsia="宋体" w:hAnsi="宋体" w:cs="宋体"/>
                <w:spacing w:val="-2"/>
                <w:sz w:val="16"/>
                <w:szCs w:val="16"/>
              </w:rPr>
              <w:t>1.008(4.219)</w:t>
            </w:r>
          </w:p>
        </w:tc>
      </w:tr>
      <w:tr w:rsidR="00EA40A3">
        <w:trPr>
          <w:trHeight w:val="326"/>
        </w:trPr>
        <w:tc>
          <w:tcPr>
            <w:tcW w:w="1840" w:type="dxa"/>
          </w:tcPr>
          <w:p w:rsidR="00EA40A3" w:rsidRDefault="00E86C16">
            <w:pPr>
              <w:spacing w:before="91" w:line="219" w:lineRule="auto"/>
              <w:ind w:left="120"/>
              <w:rPr>
                <w:rFonts w:ascii="宋体" w:eastAsia="宋体" w:hAnsi="宋体" w:cs="宋体"/>
                <w:sz w:val="16"/>
                <w:szCs w:val="16"/>
              </w:rPr>
            </w:pPr>
            <w:r>
              <w:rPr>
                <w:rFonts w:ascii="宋体" w:eastAsia="宋体" w:hAnsi="宋体" w:cs="宋体"/>
                <w:spacing w:val="5"/>
                <w:sz w:val="16"/>
                <w:szCs w:val="16"/>
              </w:rPr>
              <w:t>耕地(用牛)</w:t>
            </w:r>
          </w:p>
        </w:tc>
        <w:tc>
          <w:tcPr>
            <w:tcW w:w="1690" w:type="dxa"/>
            <w:tcBorders>
              <w:right w:val="single" w:sz="4" w:space="0" w:color="000000"/>
            </w:tcBorders>
          </w:tcPr>
          <w:p w:rsidR="00EA40A3" w:rsidRDefault="00E86C16">
            <w:pPr>
              <w:spacing w:before="85" w:line="222" w:lineRule="auto"/>
              <w:ind w:left="280"/>
              <w:rPr>
                <w:rFonts w:ascii="宋体" w:eastAsia="宋体" w:hAnsi="宋体" w:cs="宋体"/>
                <w:sz w:val="16"/>
                <w:szCs w:val="16"/>
              </w:rPr>
            </w:pPr>
            <w:r>
              <w:rPr>
                <w:rFonts w:ascii="宋体" w:eastAsia="宋体" w:hAnsi="宋体" w:cs="宋体"/>
                <w:spacing w:val="-1"/>
                <w:sz w:val="16"/>
                <w:szCs w:val="16"/>
              </w:rPr>
              <w:t>0.935(3.913)</w:t>
            </w:r>
          </w:p>
        </w:tc>
        <w:tc>
          <w:tcPr>
            <w:tcW w:w="1688" w:type="dxa"/>
            <w:tcBorders>
              <w:left w:val="single" w:sz="4" w:space="0" w:color="000000"/>
            </w:tcBorders>
          </w:tcPr>
          <w:p w:rsidR="00EA40A3" w:rsidRDefault="00E86C16">
            <w:pPr>
              <w:spacing w:before="83" w:line="220" w:lineRule="auto"/>
              <w:ind w:left="135"/>
              <w:rPr>
                <w:rFonts w:ascii="宋体" w:eastAsia="宋体" w:hAnsi="宋体" w:cs="宋体"/>
                <w:sz w:val="16"/>
                <w:szCs w:val="16"/>
              </w:rPr>
            </w:pPr>
            <w:r>
              <w:rPr>
                <w:rFonts w:ascii="宋体" w:eastAsia="宋体" w:hAnsi="宋体" w:cs="宋体"/>
                <w:spacing w:val="-2"/>
                <w:sz w:val="16"/>
                <w:szCs w:val="16"/>
              </w:rPr>
              <w:t>锯硬木</w:t>
            </w:r>
          </w:p>
        </w:tc>
        <w:tc>
          <w:tcPr>
            <w:tcW w:w="2032" w:type="dxa"/>
          </w:tcPr>
          <w:p w:rsidR="00EA40A3" w:rsidRDefault="00E86C16">
            <w:pPr>
              <w:spacing w:before="125" w:line="222" w:lineRule="auto"/>
              <w:ind w:left="472"/>
              <w:rPr>
                <w:rFonts w:ascii="宋体" w:eastAsia="宋体" w:hAnsi="宋体" w:cs="宋体"/>
                <w:sz w:val="16"/>
                <w:szCs w:val="16"/>
              </w:rPr>
            </w:pPr>
            <w:r>
              <w:rPr>
                <w:rFonts w:ascii="宋体" w:eastAsia="宋体" w:hAnsi="宋体" w:cs="宋体"/>
                <w:spacing w:val="-2"/>
                <w:sz w:val="16"/>
                <w:szCs w:val="16"/>
              </w:rPr>
              <w:t>1.007(4.213)</w:t>
            </w:r>
          </w:p>
        </w:tc>
      </w:tr>
      <w:tr w:rsidR="00EA40A3">
        <w:trPr>
          <w:trHeight w:val="326"/>
        </w:trPr>
        <w:tc>
          <w:tcPr>
            <w:tcW w:w="1840" w:type="dxa"/>
          </w:tcPr>
          <w:p w:rsidR="00EA40A3" w:rsidRDefault="00E86C16">
            <w:pPr>
              <w:spacing w:before="75" w:line="219" w:lineRule="auto"/>
              <w:ind w:left="120"/>
              <w:rPr>
                <w:rFonts w:ascii="宋体" w:eastAsia="宋体" w:hAnsi="宋体" w:cs="宋体"/>
                <w:sz w:val="16"/>
                <w:szCs w:val="16"/>
              </w:rPr>
            </w:pPr>
            <w:r>
              <w:rPr>
                <w:rFonts w:ascii="宋体" w:eastAsia="宋体" w:hAnsi="宋体" w:cs="宋体"/>
                <w:spacing w:val="-2"/>
                <w:sz w:val="16"/>
                <w:szCs w:val="16"/>
              </w:rPr>
              <w:t>驾驶拖拉机耕地</w:t>
            </w:r>
          </w:p>
        </w:tc>
        <w:tc>
          <w:tcPr>
            <w:tcW w:w="1690" w:type="dxa"/>
            <w:tcBorders>
              <w:right w:val="single" w:sz="4" w:space="0" w:color="000000"/>
            </w:tcBorders>
          </w:tcPr>
          <w:p w:rsidR="00EA40A3" w:rsidRDefault="00E86C16">
            <w:pPr>
              <w:spacing w:before="89" w:line="222" w:lineRule="auto"/>
              <w:ind w:left="280"/>
              <w:rPr>
                <w:rFonts w:ascii="宋体" w:eastAsia="宋体" w:hAnsi="宋体" w:cs="宋体"/>
                <w:sz w:val="16"/>
                <w:szCs w:val="16"/>
              </w:rPr>
            </w:pPr>
            <w:r>
              <w:rPr>
                <w:rFonts w:ascii="宋体" w:eastAsia="宋体" w:hAnsi="宋体" w:cs="宋体"/>
                <w:spacing w:val="-1"/>
                <w:sz w:val="16"/>
                <w:szCs w:val="16"/>
              </w:rPr>
              <w:t>0.627(2.625)</w:t>
            </w:r>
          </w:p>
        </w:tc>
        <w:tc>
          <w:tcPr>
            <w:tcW w:w="1688" w:type="dxa"/>
            <w:tcBorders>
              <w:left w:val="single" w:sz="4" w:space="0" w:color="000000"/>
            </w:tcBorders>
          </w:tcPr>
          <w:p w:rsidR="00EA40A3" w:rsidRDefault="00E86C16">
            <w:pPr>
              <w:spacing w:before="86" w:line="219" w:lineRule="auto"/>
              <w:ind w:left="135"/>
              <w:rPr>
                <w:rFonts w:ascii="宋体" w:eastAsia="宋体" w:hAnsi="宋体" w:cs="宋体"/>
                <w:sz w:val="16"/>
                <w:szCs w:val="16"/>
              </w:rPr>
            </w:pPr>
            <w:r>
              <w:rPr>
                <w:rFonts w:ascii="宋体" w:eastAsia="宋体" w:hAnsi="宋体" w:cs="宋体"/>
                <w:spacing w:val="-2"/>
                <w:sz w:val="16"/>
                <w:szCs w:val="16"/>
              </w:rPr>
              <w:t>打扫车库</w:t>
            </w:r>
          </w:p>
        </w:tc>
        <w:tc>
          <w:tcPr>
            <w:tcW w:w="2032" w:type="dxa"/>
          </w:tcPr>
          <w:p w:rsidR="00EA40A3" w:rsidRDefault="00E86C16">
            <w:pPr>
              <w:spacing w:before="119" w:line="222" w:lineRule="auto"/>
              <w:ind w:left="452"/>
              <w:rPr>
                <w:rFonts w:ascii="宋体" w:eastAsia="宋体" w:hAnsi="宋体" w:cs="宋体"/>
                <w:sz w:val="16"/>
                <w:szCs w:val="16"/>
              </w:rPr>
            </w:pPr>
            <w:r>
              <w:rPr>
                <w:rFonts w:ascii="宋体" w:eastAsia="宋体" w:hAnsi="宋体" w:cs="宋体"/>
                <w:spacing w:val="-1"/>
                <w:sz w:val="16"/>
                <w:szCs w:val="16"/>
              </w:rPr>
              <w:t>0.886(3.706)</w:t>
            </w:r>
          </w:p>
        </w:tc>
      </w:tr>
      <w:tr w:rsidR="00EA40A3">
        <w:trPr>
          <w:trHeight w:val="330"/>
        </w:trPr>
        <w:tc>
          <w:tcPr>
            <w:tcW w:w="1840" w:type="dxa"/>
          </w:tcPr>
          <w:p w:rsidR="00EA40A3" w:rsidRDefault="00E86C16">
            <w:pPr>
              <w:spacing w:before="90" w:line="219" w:lineRule="auto"/>
              <w:ind w:left="120"/>
              <w:rPr>
                <w:rFonts w:ascii="宋体" w:eastAsia="宋体" w:hAnsi="宋体" w:cs="宋体"/>
                <w:sz w:val="16"/>
                <w:szCs w:val="16"/>
              </w:rPr>
            </w:pPr>
            <w:r>
              <w:rPr>
                <w:rFonts w:ascii="宋体" w:eastAsia="宋体" w:hAnsi="宋体" w:cs="宋体"/>
                <w:spacing w:val="-2"/>
                <w:sz w:val="16"/>
                <w:szCs w:val="16"/>
              </w:rPr>
              <w:t>打稻子</w:t>
            </w:r>
          </w:p>
        </w:tc>
        <w:tc>
          <w:tcPr>
            <w:tcW w:w="1690" w:type="dxa"/>
            <w:tcBorders>
              <w:right w:val="single" w:sz="4" w:space="0" w:color="000000"/>
            </w:tcBorders>
          </w:tcPr>
          <w:p w:rsidR="00EA40A3" w:rsidRDefault="00E86C16">
            <w:pPr>
              <w:spacing w:before="83" w:line="222" w:lineRule="auto"/>
              <w:ind w:left="290"/>
              <w:rPr>
                <w:rFonts w:ascii="宋体" w:eastAsia="宋体" w:hAnsi="宋体" w:cs="宋体"/>
                <w:sz w:val="16"/>
                <w:szCs w:val="16"/>
              </w:rPr>
            </w:pPr>
            <w:r>
              <w:rPr>
                <w:rFonts w:ascii="宋体" w:eastAsia="宋体" w:hAnsi="宋体" w:cs="宋体"/>
                <w:spacing w:val="-2"/>
                <w:sz w:val="16"/>
                <w:szCs w:val="16"/>
              </w:rPr>
              <w:t>1.231(5.050)</w:t>
            </w:r>
          </w:p>
        </w:tc>
        <w:tc>
          <w:tcPr>
            <w:tcW w:w="1688" w:type="dxa"/>
            <w:tcBorders>
              <w:left w:val="single" w:sz="4" w:space="0" w:color="000000"/>
            </w:tcBorders>
          </w:tcPr>
          <w:p w:rsidR="00EA40A3" w:rsidRDefault="00E86C16">
            <w:pPr>
              <w:spacing w:before="81" w:line="220" w:lineRule="auto"/>
              <w:ind w:left="135"/>
              <w:rPr>
                <w:rFonts w:ascii="宋体" w:eastAsia="宋体" w:hAnsi="宋体" w:cs="宋体"/>
                <w:sz w:val="16"/>
                <w:szCs w:val="16"/>
              </w:rPr>
            </w:pPr>
            <w:r>
              <w:rPr>
                <w:rFonts w:ascii="宋体" w:eastAsia="宋体" w:hAnsi="宋体" w:cs="宋体"/>
                <w:spacing w:val="-2"/>
                <w:sz w:val="16"/>
                <w:szCs w:val="16"/>
              </w:rPr>
              <w:t>刨软质木</w:t>
            </w:r>
          </w:p>
        </w:tc>
        <w:tc>
          <w:tcPr>
            <w:tcW w:w="2032" w:type="dxa"/>
          </w:tcPr>
          <w:p w:rsidR="00EA40A3" w:rsidRDefault="00E86C16">
            <w:pPr>
              <w:spacing w:before="123" w:line="222" w:lineRule="auto"/>
              <w:ind w:left="462"/>
              <w:rPr>
                <w:rFonts w:ascii="宋体" w:eastAsia="宋体" w:hAnsi="宋体" w:cs="宋体"/>
                <w:sz w:val="16"/>
                <w:szCs w:val="16"/>
              </w:rPr>
            </w:pPr>
            <w:r>
              <w:rPr>
                <w:rFonts w:ascii="宋体" w:eastAsia="宋体" w:hAnsi="宋体" w:cs="宋体"/>
                <w:spacing w:val="-2"/>
                <w:sz w:val="16"/>
                <w:szCs w:val="16"/>
              </w:rPr>
              <w:t>1.087(4.550)</w:t>
            </w:r>
          </w:p>
        </w:tc>
      </w:tr>
      <w:tr w:rsidR="00EA40A3">
        <w:trPr>
          <w:trHeight w:val="334"/>
        </w:trPr>
        <w:tc>
          <w:tcPr>
            <w:tcW w:w="1840" w:type="dxa"/>
          </w:tcPr>
          <w:p w:rsidR="00EA40A3" w:rsidRDefault="00E86C16">
            <w:pPr>
              <w:spacing w:before="81" w:line="220" w:lineRule="auto"/>
              <w:ind w:left="120"/>
              <w:rPr>
                <w:rFonts w:ascii="宋体" w:eastAsia="宋体" w:hAnsi="宋体" w:cs="宋体"/>
                <w:sz w:val="16"/>
                <w:szCs w:val="16"/>
              </w:rPr>
            </w:pPr>
            <w:r>
              <w:rPr>
                <w:rFonts w:ascii="宋体" w:eastAsia="宋体" w:hAnsi="宋体" w:cs="宋体"/>
                <w:spacing w:val="-2"/>
                <w:sz w:val="16"/>
                <w:szCs w:val="16"/>
              </w:rPr>
              <w:t>插秧</w:t>
            </w:r>
          </w:p>
        </w:tc>
        <w:tc>
          <w:tcPr>
            <w:tcW w:w="1690" w:type="dxa"/>
            <w:tcBorders>
              <w:right w:val="single" w:sz="4" w:space="0" w:color="000000"/>
            </w:tcBorders>
          </w:tcPr>
          <w:p w:rsidR="00EA40A3" w:rsidRDefault="00E86C16">
            <w:pPr>
              <w:spacing w:before="83" w:line="222" w:lineRule="auto"/>
              <w:ind w:left="290"/>
              <w:rPr>
                <w:rFonts w:ascii="宋体" w:eastAsia="宋体" w:hAnsi="宋体" w:cs="宋体"/>
                <w:sz w:val="16"/>
                <w:szCs w:val="16"/>
              </w:rPr>
            </w:pPr>
            <w:r>
              <w:rPr>
                <w:rFonts w:ascii="宋体" w:eastAsia="宋体" w:hAnsi="宋体" w:cs="宋体"/>
                <w:spacing w:val="-1"/>
                <w:sz w:val="16"/>
                <w:szCs w:val="16"/>
              </w:rPr>
              <w:t>0.807(3.375)</w:t>
            </w:r>
          </w:p>
        </w:tc>
        <w:tc>
          <w:tcPr>
            <w:tcW w:w="1688" w:type="dxa"/>
            <w:tcBorders>
              <w:left w:val="single" w:sz="4" w:space="0" w:color="000000"/>
            </w:tcBorders>
          </w:tcPr>
          <w:p w:rsidR="00EA40A3" w:rsidRDefault="00E86C16">
            <w:pPr>
              <w:spacing w:before="91" w:line="220" w:lineRule="auto"/>
              <w:ind w:left="135"/>
              <w:rPr>
                <w:rFonts w:ascii="宋体" w:eastAsia="宋体" w:hAnsi="宋体" w:cs="宋体"/>
                <w:sz w:val="16"/>
                <w:szCs w:val="16"/>
              </w:rPr>
            </w:pPr>
            <w:r>
              <w:rPr>
                <w:rFonts w:ascii="宋体" w:eastAsia="宋体" w:hAnsi="宋体" w:cs="宋体"/>
                <w:spacing w:val="-2"/>
                <w:sz w:val="16"/>
                <w:szCs w:val="16"/>
              </w:rPr>
              <w:t>刨硬木</w:t>
            </w:r>
          </w:p>
        </w:tc>
        <w:tc>
          <w:tcPr>
            <w:tcW w:w="2032" w:type="dxa"/>
          </w:tcPr>
          <w:p w:rsidR="00EA40A3" w:rsidRDefault="00E86C16">
            <w:pPr>
              <w:spacing w:before="123" w:line="222" w:lineRule="auto"/>
              <w:ind w:left="462"/>
              <w:rPr>
                <w:rFonts w:ascii="宋体" w:eastAsia="宋体" w:hAnsi="宋体" w:cs="宋体"/>
                <w:sz w:val="16"/>
                <w:szCs w:val="16"/>
              </w:rPr>
            </w:pPr>
            <w:r>
              <w:rPr>
                <w:rFonts w:ascii="宋体" w:eastAsia="宋体" w:hAnsi="宋体" w:cs="宋体"/>
                <w:spacing w:val="-2"/>
                <w:sz w:val="16"/>
                <w:szCs w:val="16"/>
              </w:rPr>
              <w:t>1.222(5.113)</w:t>
            </w:r>
          </w:p>
        </w:tc>
      </w:tr>
      <w:tr w:rsidR="00EA40A3">
        <w:trPr>
          <w:trHeight w:val="342"/>
        </w:trPr>
        <w:tc>
          <w:tcPr>
            <w:tcW w:w="1840" w:type="dxa"/>
          </w:tcPr>
          <w:p w:rsidR="00EA40A3" w:rsidRDefault="00E86C16">
            <w:pPr>
              <w:spacing w:before="88" w:line="221" w:lineRule="auto"/>
              <w:ind w:left="120"/>
              <w:rPr>
                <w:rFonts w:ascii="宋体" w:eastAsia="宋体" w:hAnsi="宋体" w:cs="宋体"/>
                <w:sz w:val="16"/>
                <w:szCs w:val="16"/>
              </w:rPr>
            </w:pPr>
            <w:r>
              <w:rPr>
                <w:rFonts w:ascii="宋体" w:eastAsia="宋体" w:hAnsi="宋体" w:cs="宋体"/>
                <w:spacing w:val="-2"/>
                <w:sz w:val="16"/>
                <w:szCs w:val="16"/>
              </w:rPr>
              <w:t>培土</w:t>
            </w:r>
          </w:p>
        </w:tc>
        <w:tc>
          <w:tcPr>
            <w:tcW w:w="1690" w:type="dxa"/>
            <w:tcBorders>
              <w:right w:val="single" w:sz="4" w:space="0" w:color="000000"/>
            </w:tcBorders>
          </w:tcPr>
          <w:p w:rsidR="00EA40A3" w:rsidRDefault="00E86C16">
            <w:pPr>
              <w:spacing w:before="89" w:line="222" w:lineRule="auto"/>
              <w:ind w:left="280"/>
              <w:rPr>
                <w:rFonts w:ascii="宋体" w:eastAsia="宋体" w:hAnsi="宋体" w:cs="宋体"/>
                <w:sz w:val="16"/>
                <w:szCs w:val="16"/>
              </w:rPr>
            </w:pPr>
            <w:r>
              <w:rPr>
                <w:rFonts w:ascii="宋体" w:eastAsia="宋体" w:hAnsi="宋体" w:cs="宋体"/>
                <w:spacing w:val="-2"/>
                <w:sz w:val="16"/>
                <w:szCs w:val="16"/>
              </w:rPr>
              <w:t>1.143(4.781)</w:t>
            </w:r>
          </w:p>
        </w:tc>
        <w:tc>
          <w:tcPr>
            <w:tcW w:w="1688" w:type="dxa"/>
            <w:tcBorders>
              <w:left w:val="single" w:sz="4" w:space="0" w:color="000000"/>
            </w:tcBorders>
          </w:tcPr>
          <w:p w:rsidR="00EA40A3" w:rsidRDefault="00E86C16">
            <w:pPr>
              <w:spacing w:before="86" w:line="219" w:lineRule="auto"/>
              <w:ind w:left="135"/>
              <w:rPr>
                <w:rFonts w:ascii="宋体" w:eastAsia="宋体" w:hAnsi="宋体" w:cs="宋体"/>
                <w:sz w:val="16"/>
                <w:szCs w:val="16"/>
              </w:rPr>
            </w:pPr>
            <w:r>
              <w:rPr>
                <w:rFonts w:ascii="宋体" w:eastAsia="宋体" w:hAnsi="宋体" w:cs="宋体"/>
                <w:spacing w:val="-2"/>
                <w:sz w:val="16"/>
                <w:szCs w:val="16"/>
              </w:rPr>
              <w:t>装车</w:t>
            </w:r>
          </w:p>
        </w:tc>
        <w:tc>
          <w:tcPr>
            <w:tcW w:w="2032" w:type="dxa"/>
          </w:tcPr>
          <w:p w:rsidR="00EA40A3" w:rsidRDefault="00E86C16">
            <w:pPr>
              <w:spacing w:before="129" w:line="222" w:lineRule="auto"/>
              <w:ind w:left="472"/>
              <w:rPr>
                <w:rFonts w:ascii="宋体" w:eastAsia="宋体" w:hAnsi="宋体" w:cs="宋体"/>
                <w:sz w:val="16"/>
                <w:szCs w:val="16"/>
              </w:rPr>
            </w:pPr>
            <w:r>
              <w:rPr>
                <w:rFonts w:ascii="宋体" w:eastAsia="宋体" w:hAnsi="宋体" w:cs="宋体"/>
                <w:spacing w:val="-2"/>
                <w:sz w:val="16"/>
                <w:szCs w:val="16"/>
              </w:rPr>
              <w:t>1.383(5.788)</w:t>
            </w:r>
          </w:p>
        </w:tc>
      </w:tr>
      <w:tr w:rsidR="00EA40A3">
        <w:trPr>
          <w:trHeight w:val="327"/>
        </w:trPr>
        <w:tc>
          <w:tcPr>
            <w:tcW w:w="1840" w:type="dxa"/>
          </w:tcPr>
          <w:p w:rsidR="00EA40A3" w:rsidRDefault="00E86C16">
            <w:pPr>
              <w:spacing w:before="74" w:line="219" w:lineRule="auto"/>
              <w:ind w:left="120"/>
              <w:rPr>
                <w:rFonts w:ascii="宋体" w:eastAsia="宋体" w:hAnsi="宋体" w:cs="宋体"/>
                <w:sz w:val="16"/>
                <w:szCs w:val="16"/>
              </w:rPr>
            </w:pPr>
            <w:r>
              <w:rPr>
                <w:rFonts w:ascii="宋体" w:eastAsia="宋体" w:hAnsi="宋体" w:cs="宋体"/>
                <w:spacing w:val="-2"/>
                <w:sz w:val="16"/>
                <w:szCs w:val="16"/>
              </w:rPr>
              <w:t>用手拔草</w:t>
            </w:r>
          </w:p>
        </w:tc>
        <w:tc>
          <w:tcPr>
            <w:tcW w:w="1690" w:type="dxa"/>
            <w:tcBorders>
              <w:right w:val="single" w:sz="4" w:space="0" w:color="000000"/>
            </w:tcBorders>
          </w:tcPr>
          <w:p w:rsidR="00EA40A3" w:rsidRDefault="00E86C16">
            <w:pPr>
              <w:spacing w:before="77" w:line="222" w:lineRule="auto"/>
              <w:ind w:left="280"/>
              <w:rPr>
                <w:rFonts w:ascii="宋体" w:eastAsia="宋体" w:hAnsi="宋体" w:cs="宋体"/>
                <w:sz w:val="16"/>
                <w:szCs w:val="16"/>
              </w:rPr>
            </w:pPr>
            <w:r>
              <w:rPr>
                <w:rFonts w:ascii="宋体" w:eastAsia="宋体" w:hAnsi="宋体" w:cs="宋体"/>
                <w:spacing w:val="-1"/>
                <w:sz w:val="16"/>
                <w:szCs w:val="16"/>
              </w:rPr>
              <w:t>0.711(2.975)</w:t>
            </w:r>
          </w:p>
        </w:tc>
        <w:tc>
          <w:tcPr>
            <w:tcW w:w="1688" w:type="dxa"/>
            <w:tcBorders>
              <w:left w:val="single" w:sz="4" w:space="0" w:color="000000"/>
            </w:tcBorders>
          </w:tcPr>
          <w:p w:rsidR="00EA40A3" w:rsidRDefault="00E86C16">
            <w:pPr>
              <w:spacing w:before="74" w:line="219" w:lineRule="auto"/>
              <w:ind w:left="135"/>
              <w:rPr>
                <w:rFonts w:ascii="宋体" w:eastAsia="宋体" w:hAnsi="宋体" w:cs="宋体"/>
                <w:sz w:val="16"/>
                <w:szCs w:val="16"/>
              </w:rPr>
            </w:pPr>
            <w:r>
              <w:rPr>
                <w:rFonts w:ascii="宋体" w:eastAsia="宋体" w:hAnsi="宋体" w:cs="宋体"/>
                <w:spacing w:val="-2"/>
                <w:sz w:val="16"/>
                <w:szCs w:val="16"/>
              </w:rPr>
              <w:t>推车</w:t>
            </w:r>
          </w:p>
        </w:tc>
        <w:tc>
          <w:tcPr>
            <w:tcW w:w="2032" w:type="dxa"/>
          </w:tcPr>
          <w:p w:rsidR="00EA40A3" w:rsidRDefault="00E86C16">
            <w:pPr>
              <w:spacing w:before="107" w:line="222" w:lineRule="auto"/>
              <w:ind w:left="452"/>
              <w:rPr>
                <w:rFonts w:ascii="宋体" w:eastAsia="宋体" w:hAnsi="宋体" w:cs="宋体"/>
                <w:sz w:val="16"/>
                <w:szCs w:val="16"/>
              </w:rPr>
            </w:pPr>
            <w:r>
              <w:rPr>
                <w:rFonts w:ascii="宋体" w:eastAsia="宋体" w:hAnsi="宋体" w:cs="宋体"/>
                <w:spacing w:val="-2"/>
                <w:sz w:val="16"/>
                <w:szCs w:val="16"/>
              </w:rPr>
              <w:t>1.663(6.956)</w:t>
            </w:r>
          </w:p>
        </w:tc>
      </w:tr>
      <w:tr w:rsidR="00EA40A3">
        <w:trPr>
          <w:trHeight w:val="327"/>
        </w:trPr>
        <w:tc>
          <w:tcPr>
            <w:tcW w:w="1840" w:type="dxa"/>
          </w:tcPr>
          <w:p w:rsidR="00EA40A3" w:rsidRDefault="00E86C16">
            <w:pPr>
              <w:spacing w:before="97" w:line="219" w:lineRule="auto"/>
              <w:ind w:left="120"/>
              <w:rPr>
                <w:rFonts w:ascii="宋体" w:eastAsia="宋体" w:hAnsi="宋体" w:cs="宋体"/>
                <w:sz w:val="16"/>
                <w:szCs w:val="16"/>
              </w:rPr>
            </w:pPr>
            <w:r>
              <w:rPr>
                <w:rFonts w:ascii="宋体" w:eastAsia="宋体" w:hAnsi="宋体" w:cs="宋体"/>
                <w:spacing w:val="-2"/>
                <w:sz w:val="16"/>
                <w:szCs w:val="16"/>
              </w:rPr>
              <w:t>用镰刀割草</w:t>
            </w:r>
          </w:p>
        </w:tc>
        <w:tc>
          <w:tcPr>
            <w:tcW w:w="1690" w:type="dxa"/>
            <w:tcBorders>
              <w:right w:val="single" w:sz="4" w:space="0" w:color="000000"/>
            </w:tcBorders>
          </w:tcPr>
          <w:p w:rsidR="00EA40A3" w:rsidRDefault="00E86C16">
            <w:pPr>
              <w:spacing w:before="80" w:line="222" w:lineRule="auto"/>
              <w:ind w:left="280"/>
              <w:rPr>
                <w:rFonts w:ascii="宋体" w:eastAsia="宋体" w:hAnsi="宋体" w:cs="宋体"/>
                <w:sz w:val="16"/>
                <w:szCs w:val="16"/>
              </w:rPr>
            </w:pPr>
            <w:r>
              <w:rPr>
                <w:rFonts w:ascii="宋体" w:eastAsia="宋体" w:hAnsi="宋体" w:cs="宋体"/>
                <w:spacing w:val="-1"/>
                <w:sz w:val="16"/>
                <w:szCs w:val="16"/>
              </w:rPr>
              <w:t>0.967(4.044)</w:t>
            </w:r>
          </w:p>
        </w:tc>
        <w:tc>
          <w:tcPr>
            <w:tcW w:w="1688" w:type="dxa"/>
            <w:tcBorders>
              <w:left w:val="single" w:sz="4" w:space="0" w:color="000000"/>
            </w:tcBorders>
          </w:tcPr>
          <w:p w:rsidR="00EA40A3" w:rsidRDefault="00E86C16">
            <w:pPr>
              <w:spacing w:before="88" w:line="220" w:lineRule="auto"/>
              <w:ind w:left="135"/>
              <w:rPr>
                <w:rFonts w:ascii="宋体" w:eastAsia="宋体" w:hAnsi="宋体" w:cs="宋体"/>
                <w:sz w:val="16"/>
                <w:szCs w:val="16"/>
              </w:rPr>
            </w:pPr>
            <w:r>
              <w:rPr>
                <w:rFonts w:ascii="宋体" w:eastAsia="宋体" w:hAnsi="宋体" w:cs="宋体"/>
                <w:spacing w:val="-2"/>
                <w:sz w:val="16"/>
                <w:szCs w:val="16"/>
              </w:rPr>
              <w:t>掘坑</w:t>
            </w:r>
          </w:p>
        </w:tc>
        <w:tc>
          <w:tcPr>
            <w:tcW w:w="2032" w:type="dxa"/>
          </w:tcPr>
          <w:p w:rsidR="00EA40A3" w:rsidRDefault="00E86C16">
            <w:pPr>
              <w:spacing w:before="120" w:line="222" w:lineRule="auto"/>
              <w:ind w:left="452"/>
              <w:rPr>
                <w:rFonts w:ascii="宋体" w:eastAsia="宋体" w:hAnsi="宋体" w:cs="宋体"/>
                <w:sz w:val="16"/>
                <w:szCs w:val="16"/>
              </w:rPr>
            </w:pPr>
            <w:r>
              <w:rPr>
                <w:rFonts w:ascii="宋体" w:eastAsia="宋体" w:hAnsi="宋体" w:cs="宋体"/>
                <w:spacing w:val="-1"/>
                <w:sz w:val="16"/>
                <w:szCs w:val="16"/>
              </w:rPr>
              <w:t>0.961(4.019)</w:t>
            </w:r>
          </w:p>
        </w:tc>
      </w:tr>
      <w:tr w:rsidR="00EA40A3">
        <w:trPr>
          <w:trHeight w:val="327"/>
        </w:trPr>
        <w:tc>
          <w:tcPr>
            <w:tcW w:w="1840" w:type="dxa"/>
          </w:tcPr>
          <w:p w:rsidR="00EA40A3" w:rsidRDefault="00E86C16">
            <w:pPr>
              <w:spacing w:before="70" w:line="219" w:lineRule="auto"/>
              <w:ind w:left="120"/>
              <w:rPr>
                <w:rFonts w:ascii="宋体" w:eastAsia="宋体" w:hAnsi="宋体" w:cs="宋体"/>
                <w:sz w:val="16"/>
                <w:szCs w:val="16"/>
              </w:rPr>
            </w:pPr>
            <w:r>
              <w:rPr>
                <w:rFonts w:ascii="宋体" w:eastAsia="宋体" w:hAnsi="宋体" w:cs="宋体"/>
                <w:spacing w:val="-2"/>
                <w:sz w:val="16"/>
                <w:szCs w:val="16"/>
              </w:rPr>
              <w:t>锄草</w:t>
            </w:r>
          </w:p>
        </w:tc>
        <w:tc>
          <w:tcPr>
            <w:tcW w:w="1690" w:type="dxa"/>
            <w:tcBorders>
              <w:right w:val="single" w:sz="4" w:space="0" w:color="000000"/>
            </w:tcBorders>
          </w:tcPr>
          <w:p w:rsidR="00EA40A3" w:rsidRDefault="00E86C16">
            <w:pPr>
              <w:spacing w:before="83" w:line="222" w:lineRule="auto"/>
              <w:ind w:left="280"/>
              <w:rPr>
                <w:rFonts w:ascii="宋体" w:eastAsia="宋体" w:hAnsi="宋体" w:cs="宋体"/>
                <w:sz w:val="16"/>
                <w:szCs w:val="16"/>
              </w:rPr>
            </w:pPr>
            <w:r>
              <w:rPr>
                <w:rFonts w:ascii="宋体" w:eastAsia="宋体" w:hAnsi="宋体" w:cs="宋体"/>
                <w:spacing w:val="-1"/>
                <w:sz w:val="16"/>
                <w:szCs w:val="16"/>
              </w:rPr>
              <w:t>0.711(2.975)</w:t>
            </w:r>
          </w:p>
        </w:tc>
        <w:tc>
          <w:tcPr>
            <w:tcW w:w="1688" w:type="dxa"/>
            <w:tcBorders>
              <w:left w:val="single" w:sz="4" w:space="0" w:color="000000"/>
            </w:tcBorders>
          </w:tcPr>
          <w:p w:rsidR="00EA40A3" w:rsidRDefault="00E86C16">
            <w:pPr>
              <w:spacing w:before="81" w:line="220" w:lineRule="auto"/>
              <w:ind w:left="135"/>
              <w:rPr>
                <w:rFonts w:ascii="宋体" w:eastAsia="宋体" w:hAnsi="宋体" w:cs="宋体"/>
                <w:sz w:val="16"/>
                <w:szCs w:val="16"/>
              </w:rPr>
            </w:pPr>
            <w:r>
              <w:rPr>
                <w:rFonts w:ascii="宋体" w:eastAsia="宋体" w:hAnsi="宋体" w:cs="宋体"/>
                <w:spacing w:val="5"/>
                <w:sz w:val="16"/>
                <w:szCs w:val="16"/>
              </w:rPr>
              <w:t>包装(装箱)</w:t>
            </w:r>
          </w:p>
        </w:tc>
        <w:tc>
          <w:tcPr>
            <w:tcW w:w="2032" w:type="dxa"/>
          </w:tcPr>
          <w:p w:rsidR="00EA40A3" w:rsidRDefault="00E86C16">
            <w:pPr>
              <w:spacing w:before="123" w:line="222" w:lineRule="auto"/>
              <w:ind w:left="452"/>
              <w:rPr>
                <w:rFonts w:ascii="宋体" w:eastAsia="宋体" w:hAnsi="宋体" w:cs="宋体"/>
                <w:sz w:val="16"/>
                <w:szCs w:val="16"/>
              </w:rPr>
            </w:pPr>
            <w:r>
              <w:rPr>
                <w:rFonts w:ascii="宋体" w:eastAsia="宋体" w:hAnsi="宋体" w:cs="宋体"/>
                <w:spacing w:val="-1"/>
                <w:sz w:val="16"/>
                <w:szCs w:val="16"/>
              </w:rPr>
              <w:t>0.599(2.506)</w:t>
            </w:r>
          </w:p>
        </w:tc>
      </w:tr>
      <w:tr w:rsidR="00EA40A3">
        <w:trPr>
          <w:trHeight w:val="335"/>
        </w:trPr>
        <w:tc>
          <w:tcPr>
            <w:tcW w:w="1840" w:type="dxa"/>
          </w:tcPr>
          <w:p w:rsidR="00EA40A3" w:rsidRDefault="00E86C16">
            <w:pPr>
              <w:spacing w:before="82" w:line="219" w:lineRule="auto"/>
              <w:ind w:left="120"/>
              <w:rPr>
                <w:rFonts w:ascii="宋体" w:eastAsia="宋体" w:hAnsi="宋体" w:cs="宋体"/>
                <w:sz w:val="16"/>
                <w:szCs w:val="16"/>
              </w:rPr>
            </w:pPr>
            <w:r>
              <w:rPr>
                <w:rFonts w:ascii="宋体" w:eastAsia="宋体" w:hAnsi="宋体" w:cs="宋体"/>
                <w:spacing w:val="-2"/>
                <w:sz w:val="16"/>
                <w:szCs w:val="16"/>
              </w:rPr>
              <w:t>割麦</w:t>
            </w:r>
          </w:p>
        </w:tc>
        <w:tc>
          <w:tcPr>
            <w:tcW w:w="1690" w:type="dxa"/>
            <w:tcBorders>
              <w:right w:val="single" w:sz="4" w:space="0" w:color="000000"/>
            </w:tcBorders>
          </w:tcPr>
          <w:p w:rsidR="00EA40A3" w:rsidRDefault="00E86C16">
            <w:pPr>
              <w:spacing w:before="86" w:line="222" w:lineRule="auto"/>
              <w:ind w:left="280"/>
              <w:rPr>
                <w:rFonts w:ascii="宋体" w:eastAsia="宋体" w:hAnsi="宋体" w:cs="宋体"/>
                <w:sz w:val="16"/>
                <w:szCs w:val="16"/>
              </w:rPr>
            </w:pPr>
            <w:r>
              <w:rPr>
                <w:rFonts w:ascii="宋体" w:eastAsia="宋体" w:hAnsi="宋体" w:cs="宋体"/>
                <w:spacing w:val="-1"/>
                <w:sz w:val="16"/>
                <w:szCs w:val="16"/>
              </w:rPr>
              <w:t>0.775(3.244)</w:t>
            </w:r>
          </w:p>
        </w:tc>
        <w:tc>
          <w:tcPr>
            <w:tcW w:w="1688" w:type="dxa"/>
            <w:tcBorders>
              <w:left w:val="single" w:sz="4" w:space="0" w:color="000000"/>
            </w:tcBorders>
          </w:tcPr>
          <w:p w:rsidR="00EA40A3" w:rsidRDefault="00E86C16">
            <w:pPr>
              <w:spacing w:before="104" w:line="220" w:lineRule="auto"/>
              <w:ind w:left="135"/>
              <w:rPr>
                <w:rFonts w:ascii="宋体" w:eastAsia="宋体" w:hAnsi="宋体" w:cs="宋体"/>
                <w:sz w:val="16"/>
                <w:szCs w:val="16"/>
              </w:rPr>
            </w:pPr>
            <w:r>
              <w:rPr>
                <w:rFonts w:ascii="宋体" w:eastAsia="宋体" w:hAnsi="宋体" w:cs="宋体"/>
                <w:spacing w:val="5"/>
                <w:sz w:val="16"/>
                <w:szCs w:val="16"/>
              </w:rPr>
              <w:t>包装(捆箱)</w:t>
            </w:r>
          </w:p>
        </w:tc>
        <w:tc>
          <w:tcPr>
            <w:tcW w:w="2032" w:type="dxa"/>
          </w:tcPr>
          <w:p w:rsidR="00EA40A3" w:rsidRDefault="00E86C16">
            <w:pPr>
              <w:spacing w:before="136" w:line="222" w:lineRule="auto"/>
              <w:ind w:left="452"/>
              <w:rPr>
                <w:rFonts w:ascii="宋体" w:eastAsia="宋体" w:hAnsi="宋体" w:cs="宋体"/>
                <w:sz w:val="16"/>
                <w:szCs w:val="16"/>
              </w:rPr>
            </w:pPr>
            <w:r>
              <w:rPr>
                <w:rFonts w:ascii="宋体" w:eastAsia="宋体" w:hAnsi="宋体" w:cs="宋体"/>
                <w:spacing w:val="-1"/>
                <w:sz w:val="16"/>
                <w:szCs w:val="16"/>
              </w:rPr>
              <w:t>0.919(3.844)</w:t>
            </w:r>
          </w:p>
        </w:tc>
      </w:tr>
      <w:tr w:rsidR="00EA40A3">
        <w:trPr>
          <w:trHeight w:val="296"/>
        </w:trPr>
        <w:tc>
          <w:tcPr>
            <w:tcW w:w="1840" w:type="dxa"/>
            <w:tcBorders>
              <w:bottom w:val="single" w:sz="4" w:space="0" w:color="000000"/>
            </w:tcBorders>
          </w:tcPr>
          <w:p w:rsidR="00EA40A3" w:rsidRDefault="00E86C16">
            <w:pPr>
              <w:spacing w:before="78" w:line="219" w:lineRule="auto"/>
              <w:ind w:left="120"/>
              <w:rPr>
                <w:rFonts w:ascii="宋体" w:eastAsia="宋体" w:hAnsi="宋体" w:cs="宋体"/>
                <w:sz w:val="16"/>
                <w:szCs w:val="16"/>
              </w:rPr>
            </w:pPr>
            <w:r>
              <w:rPr>
                <w:rFonts w:ascii="宋体" w:eastAsia="宋体" w:hAnsi="宋体" w:cs="宋体"/>
                <w:spacing w:val="-2"/>
                <w:sz w:val="16"/>
                <w:szCs w:val="16"/>
              </w:rPr>
              <w:t>搬运稻草</w:t>
            </w:r>
          </w:p>
        </w:tc>
        <w:tc>
          <w:tcPr>
            <w:tcW w:w="1690" w:type="dxa"/>
            <w:tcBorders>
              <w:bottom w:val="single" w:sz="4" w:space="0" w:color="000000"/>
              <w:right w:val="single" w:sz="4" w:space="0" w:color="000000"/>
            </w:tcBorders>
          </w:tcPr>
          <w:p w:rsidR="00EA40A3" w:rsidRDefault="00E86C16">
            <w:pPr>
              <w:spacing w:before="91" w:line="222" w:lineRule="auto"/>
              <w:ind w:left="280"/>
              <w:rPr>
                <w:rFonts w:ascii="宋体" w:eastAsia="宋体" w:hAnsi="宋体" w:cs="宋体"/>
                <w:sz w:val="16"/>
                <w:szCs w:val="16"/>
              </w:rPr>
            </w:pPr>
            <w:r>
              <w:rPr>
                <w:rFonts w:ascii="宋体" w:eastAsia="宋体" w:hAnsi="宋体" w:cs="宋体"/>
                <w:spacing w:val="-1"/>
                <w:sz w:val="16"/>
                <w:szCs w:val="16"/>
              </w:rPr>
              <w:t>0.871(3.644)</w:t>
            </w:r>
          </w:p>
        </w:tc>
        <w:tc>
          <w:tcPr>
            <w:tcW w:w="1688" w:type="dxa"/>
            <w:tcBorders>
              <w:left w:val="single" w:sz="4" w:space="0" w:color="000000"/>
              <w:bottom w:val="single" w:sz="4" w:space="0" w:color="000000"/>
            </w:tcBorders>
          </w:tcPr>
          <w:p w:rsidR="00EA40A3" w:rsidRDefault="00E86C16">
            <w:pPr>
              <w:spacing w:before="88" w:line="219" w:lineRule="auto"/>
              <w:ind w:left="135"/>
              <w:rPr>
                <w:rFonts w:ascii="宋体" w:eastAsia="宋体" w:hAnsi="宋体" w:cs="宋体"/>
                <w:sz w:val="16"/>
                <w:szCs w:val="16"/>
              </w:rPr>
            </w:pPr>
            <w:r>
              <w:rPr>
                <w:rFonts w:ascii="宋体" w:eastAsia="宋体" w:hAnsi="宋体" w:cs="宋体"/>
                <w:spacing w:val="-2"/>
                <w:sz w:val="16"/>
                <w:szCs w:val="16"/>
              </w:rPr>
              <w:t>用斧砍木</w:t>
            </w:r>
          </w:p>
        </w:tc>
        <w:tc>
          <w:tcPr>
            <w:tcW w:w="2032" w:type="dxa"/>
            <w:tcBorders>
              <w:bottom w:val="single" w:sz="4" w:space="0" w:color="000000"/>
            </w:tcBorders>
          </w:tcPr>
          <w:p w:rsidR="00EA40A3" w:rsidRDefault="00E86C16">
            <w:pPr>
              <w:spacing w:before="131" w:line="190" w:lineRule="auto"/>
              <w:ind w:left="452"/>
              <w:rPr>
                <w:rFonts w:ascii="宋体" w:eastAsia="宋体" w:hAnsi="宋体" w:cs="宋体"/>
                <w:sz w:val="16"/>
                <w:szCs w:val="16"/>
              </w:rPr>
            </w:pPr>
            <w:r>
              <w:rPr>
                <w:rFonts w:ascii="宋体" w:eastAsia="宋体" w:hAnsi="宋体" w:cs="宋体"/>
                <w:spacing w:val="-2"/>
                <w:sz w:val="16"/>
                <w:szCs w:val="16"/>
              </w:rPr>
              <w:t>1.076(4.500)</w:t>
            </w:r>
          </w:p>
        </w:tc>
      </w:tr>
    </w:tbl>
    <w:p w:rsidR="00EA40A3" w:rsidRDefault="00EA40A3"/>
    <w:p w:rsidR="00EA40A3" w:rsidRDefault="00EA40A3">
      <w:pPr>
        <w:sectPr w:rsidR="00EA40A3">
          <w:footerReference w:type="default" r:id="rId357"/>
          <w:pgSz w:w="9220" w:h="13360"/>
          <w:pgMar w:top="400" w:right="1049" w:bottom="1287" w:left="919" w:header="0" w:footer="1079" w:gutter="0"/>
          <w:cols w:space="720"/>
        </w:sectPr>
      </w:pPr>
    </w:p>
    <w:p w:rsidR="00EA40A3" w:rsidRDefault="00EA40A3">
      <w:pPr>
        <w:spacing w:line="272"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A40A3">
      <w:pPr>
        <w:spacing w:line="273" w:lineRule="auto"/>
      </w:pPr>
    </w:p>
    <w:p w:rsidR="00EA40A3" w:rsidRDefault="00E86C16">
      <w:pPr>
        <w:spacing w:before="104" w:line="219" w:lineRule="auto"/>
        <w:ind w:left="1324"/>
        <w:rPr>
          <w:rFonts w:ascii="宋体" w:eastAsia="宋体" w:hAnsi="宋体" w:cs="宋体"/>
          <w:sz w:val="32"/>
          <w:szCs w:val="32"/>
        </w:rPr>
      </w:pPr>
      <w:r>
        <w:rPr>
          <w:rFonts w:ascii="宋体" w:eastAsia="宋体" w:hAnsi="宋体" w:cs="宋体"/>
          <w:b/>
          <w:bCs/>
          <w:spacing w:val="-4"/>
          <w:sz w:val="32"/>
          <w:szCs w:val="32"/>
        </w:rPr>
        <w:t>附录3</w:t>
      </w:r>
      <w:r>
        <w:rPr>
          <w:rFonts w:ascii="宋体" w:eastAsia="宋体" w:hAnsi="宋体" w:cs="宋体"/>
          <w:spacing w:val="121"/>
          <w:sz w:val="32"/>
          <w:szCs w:val="32"/>
        </w:rPr>
        <w:t xml:space="preserve"> </w:t>
      </w:r>
      <w:r>
        <w:rPr>
          <w:rFonts w:ascii="宋体" w:eastAsia="宋体" w:hAnsi="宋体" w:cs="宋体"/>
          <w:b/>
          <w:bCs/>
          <w:spacing w:val="-4"/>
          <w:sz w:val="32"/>
          <w:szCs w:val="32"/>
        </w:rPr>
        <w:t>中华人民共和国国家标准</w:t>
      </w:r>
    </w:p>
    <w:p w:rsidR="00EA40A3" w:rsidRDefault="00E86C16">
      <w:pPr>
        <w:spacing w:before="263" w:line="219" w:lineRule="auto"/>
        <w:ind w:left="840"/>
        <w:rPr>
          <w:rFonts w:ascii="宋体" w:eastAsia="宋体" w:hAnsi="宋体" w:cs="宋体"/>
          <w:sz w:val="28"/>
          <w:szCs w:val="28"/>
        </w:rPr>
      </w:pPr>
      <w:r>
        <w:rPr>
          <w:rFonts w:ascii="宋体" w:eastAsia="宋体" w:hAnsi="宋体" w:cs="宋体"/>
          <w:spacing w:val="-2"/>
          <w:sz w:val="28"/>
          <w:szCs w:val="28"/>
        </w:rPr>
        <w:t>食品营养强化剂使用卫生标准</w:t>
      </w:r>
      <w:r>
        <w:rPr>
          <w:rFonts w:ascii="宋体" w:eastAsia="宋体" w:hAnsi="宋体" w:cs="宋体"/>
          <w:spacing w:val="-61"/>
          <w:sz w:val="28"/>
          <w:szCs w:val="28"/>
        </w:rPr>
        <w:t xml:space="preserve"> </w:t>
      </w:r>
      <w:r>
        <w:rPr>
          <w:rFonts w:ascii="宋体" w:eastAsia="宋体" w:hAnsi="宋体" w:cs="宋体"/>
          <w:spacing w:val="-2"/>
          <w:sz w:val="28"/>
          <w:szCs w:val="28"/>
        </w:rPr>
        <w:t>GB14880—1994</w:t>
      </w:r>
    </w:p>
    <w:p w:rsidR="00EA40A3" w:rsidRDefault="00EA40A3">
      <w:pPr>
        <w:spacing w:line="292" w:lineRule="auto"/>
      </w:pPr>
    </w:p>
    <w:p w:rsidR="00EA40A3" w:rsidRDefault="00E86C16">
      <w:pPr>
        <w:spacing w:before="71" w:line="222" w:lineRule="auto"/>
        <w:ind w:left="30"/>
        <w:rPr>
          <w:rFonts w:ascii="仿宋" w:eastAsia="仿宋" w:hAnsi="仿宋" w:cs="仿宋"/>
          <w:sz w:val="22"/>
          <w:szCs w:val="22"/>
        </w:rPr>
      </w:pPr>
      <w:r>
        <w:rPr>
          <w:rFonts w:ascii="仿宋" w:eastAsia="仿宋" w:hAnsi="仿宋" w:cs="仿宋"/>
          <w:spacing w:val="9"/>
          <w:sz w:val="22"/>
          <w:szCs w:val="22"/>
        </w:rPr>
        <w:t>主题内容与适用范围</w:t>
      </w:r>
    </w:p>
    <w:p w:rsidR="00EA40A3" w:rsidRDefault="00E86C16">
      <w:pPr>
        <w:spacing w:before="185" w:line="219" w:lineRule="auto"/>
        <w:ind w:left="400"/>
        <w:rPr>
          <w:rFonts w:ascii="宋体" w:eastAsia="宋体" w:hAnsi="宋体" w:cs="宋体"/>
          <w:sz w:val="22"/>
          <w:szCs w:val="22"/>
        </w:rPr>
      </w:pPr>
      <w:r>
        <w:rPr>
          <w:rFonts w:ascii="宋体" w:eastAsia="宋体" w:hAnsi="宋体" w:cs="宋体"/>
          <w:spacing w:val="-14"/>
          <w:sz w:val="22"/>
          <w:szCs w:val="22"/>
        </w:rPr>
        <w:t>本标准规定了食品强化营养素的使用范围及使用量。</w:t>
      </w:r>
    </w:p>
    <w:p w:rsidR="00EA40A3" w:rsidRDefault="00E86C16">
      <w:pPr>
        <w:spacing w:before="38" w:line="480" w:lineRule="exact"/>
        <w:ind w:left="400"/>
        <w:rPr>
          <w:rFonts w:ascii="宋体" w:eastAsia="宋体" w:hAnsi="宋体" w:cs="宋体"/>
          <w:sz w:val="22"/>
          <w:szCs w:val="22"/>
        </w:rPr>
      </w:pPr>
      <w:r>
        <w:rPr>
          <w:rFonts w:ascii="宋体" w:eastAsia="宋体" w:hAnsi="宋体" w:cs="宋体"/>
          <w:spacing w:val="-13"/>
          <w:position w:val="20"/>
          <w:sz w:val="22"/>
          <w:szCs w:val="22"/>
        </w:rPr>
        <w:t>标准适用于为增加营养价值而加入食品中的天然或人工的营养素。</w:t>
      </w:r>
    </w:p>
    <w:p w:rsidR="00EA40A3" w:rsidRDefault="00E86C16">
      <w:pPr>
        <w:spacing w:before="1" w:line="222" w:lineRule="auto"/>
        <w:ind w:left="10"/>
        <w:rPr>
          <w:rFonts w:ascii="仿宋" w:eastAsia="仿宋" w:hAnsi="仿宋" w:cs="仿宋"/>
          <w:sz w:val="22"/>
          <w:szCs w:val="22"/>
        </w:rPr>
      </w:pPr>
      <w:r>
        <w:rPr>
          <w:rFonts w:ascii="仿宋" w:eastAsia="仿宋" w:hAnsi="仿宋" w:cs="仿宋"/>
          <w:spacing w:val="8"/>
          <w:sz w:val="22"/>
          <w:szCs w:val="22"/>
        </w:rPr>
        <w:t>引用标准</w:t>
      </w:r>
    </w:p>
    <w:p w:rsidR="00EA40A3" w:rsidRDefault="00E86C16">
      <w:pPr>
        <w:spacing w:before="197" w:line="299" w:lineRule="exact"/>
        <w:ind w:left="400"/>
        <w:rPr>
          <w:rFonts w:ascii="宋体" w:eastAsia="宋体" w:hAnsi="宋体" w:cs="宋体"/>
          <w:sz w:val="22"/>
          <w:szCs w:val="22"/>
        </w:rPr>
      </w:pPr>
      <w:r>
        <w:rPr>
          <w:rFonts w:ascii="宋体" w:eastAsia="宋体" w:hAnsi="宋体" w:cs="宋体"/>
          <w:spacing w:val="-5"/>
          <w:position w:val="5"/>
          <w:sz w:val="22"/>
          <w:szCs w:val="22"/>
        </w:rPr>
        <w:t>GB</w:t>
      </w:r>
      <w:r>
        <w:rPr>
          <w:rFonts w:ascii="宋体" w:eastAsia="宋体" w:hAnsi="宋体" w:cs="宋体"/>
          <w:spacing w:val="20"/>
          <w:position w:val="5"/>
          <w:sz w:val="22"/>
          <w:szCs w:val="22"/>
        </w:rPr>
        <w:t xml:space="preserve"> </w:t>
      </w:r>
      <w:r>
        <w:rPr>
          <w:rFonts w:ascii="宋体" w:eastAsia="宋体" w:hAnsi="宋体" w:cs="宋体"/>
          <w:spacing w:val="-5"/>
          <w:position w:val="5"/>
          <w:sz w:val="22"/>
          <w:szCs w:val="22"/>
        </w:rPr>
        <w:t>7718食品标签通用标准</w:t>
      </w:r>
    </w:p>
    <w:p w:rsidR="00EA40A3" w:rsidRDefault="00E86C16">
      <w:pPr>
        <w:spacing w:before="1" w:line="219" w:lineRule="auto"/>
        <w:ind w:left="400"/>
        <w:rPr>
          <w:rFonts w:ascii="宋体" w:eastAsia="宋体" w:hAnsi="宋体" w:cs="宋体"/>
          <w:sz w:val="22"/>
          <w:szCs w:val="22"/>
        </w:rPr>
      </w:pPr>
      <w:r>
        <w:rPr>
          <w:rFonts w:ascii="宋体" w:eastAsia="宋体" w:hAnsi="宋体" w:cs="宋体"/>
          <w:spacing w:val="-5"/>
          <w:sz w:val="22"/>
          <w:szCs w:val="22"/>
        </w:rPr>
        <w:t>GB</w:t>
      </w:r>
      <w:r>
        <w:rPr>
          <w:rFonts w:ascii="宋体" w:eastAsia="宋体" w:hAnsi="宋体" w:cs="宋体"/>
          <w:spacing w:val="24"/>
          <w:sz w:val="22"/>
          <w:szCs w:val="22"/>
        </w:rPr>
        <w:t xml:space="preserve"> </w:t>
      </w:r>
      <w:r>
        <w:rPr>
          <w:rFonts w:ascii="宋体" w:eastAsia="宋体" w:hAnsi="宋体" w:cs="宋体"/>
          <w:spacing w:val="-5"/>
          <w:sz w:val="22"/>
          <w:szCs w:val="22"/>
        </w:rPr>
        <w:t>13432特殊营养食品标签</w:t>
      </w:r>
    </w:p>
    <w:p w:rsidR="00EA40A3" w:rsidRDefault="00EA40A3">
      <w:pPr>
        <w:spacing w:line="296" w:lineRule="auto"/>
      </w:pPr>
    </w:p>
    <w:p w:rsidR="00EA40A3" w:rsidRDefault="00E86C16">
      <w:pPr>
        <w:spacing w:before="55" w:line="219" w:lineRule="auto"/>
        <w:ind w:left="2482"/>
        <w:rPr>
          <w:rFonts w:ascii="宋体" w:eastAsia="宋体" w:hAnsi="宋体" w:cs="宋体"/>
          <w:sz w:val="17"/>
          <w:szCs w:val="17"/>
        </w:rPr>
      </w:pPr>
      <w:r>
        <w:rPr>
          <w:rFonts w:ascii="宋体" w:eastAsia="宋体" w:hAnsi="宋体" w:cs="宋体"/>
          <w:b/>
          <w:bCs/>
          <w:spacing w:val="-3"/>
          <w:sz w:val="17"/>
          <w:szCs w:val="17"/>
        </w:rPr>
        <w:t>食品营养强化剂使用卫生标准</w:t>
      </w:r>
    </w:p>
    <w:p w:rsidR="00EA40A3" w:rsidRDefault="00EA40A3">
      <w:pPr>
        <w:spacing w:line="60" w:lineRule="exact"/>
      </w:pPr>
    </w:p>
    <w:tbl>
      <w:tblPr>
        <w:tblStyle w:val="TableNormal"/>
        <w:tblW w:w="72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420"/>
        <w:gridCol w:w="1580"/>
        <w:gridCol w:w="1260"/>
        <w:gridCol w:w="2460"/>
      </w:tblGrid>
      <w:tr w:rsidR="00EA40A3">
        <w:trPr>
          <w:trHeight w:val="304"/>
        </w:trPr>
        <w:tc>
          <w:tcPr>
            <w:tcW w:w="540" w:type="dxa"/>
            <w:tcBorders>
              <w:left w:val="nil"/>
            </w:tcBorders>
          </w:tcPr>
          <w:p w:rsidR="00EA40A3" w:rsidRDefault="00E86C16">
            <w:pPr>
              <w:spacing w:before="71" w:line="219" w:lineRule="auto"/>
              <w:ind w:left="200"/>
              <w:rPr>
                <w:rFonts w:ascii="宋体" w:eastAsia="宋体" w:hAnsi="宋体" w:cs="宋体"/>
                <w:sz w:val="16"/>
                <w:szCs w:val="16"/>
              </w:rPr>
            </w:pPr>
            <w:r>
              <w:rPr>
                <w:rFonts w:ascii="宋体" w:eastAsia="宋体" w:hAnsi="宋体" w:cs="宋体"/>
                <w:spacing w:val="-2"/>
                <w:sz w:val="16"/>
                <w:szCs w:val="16"/>
              </w:rPr>
              <w:t>种类</w:t>
            </w:r>
          </w:p>
        </w:tc>
        <w:tc>
          <w:tcPr>
            <w:tcW w:w="1420" w:type="dxa"/>
          </w:tcPr>
          <w:p w:rsidR="00EA40A3" w:rsidRDefault="00E86C16">
            <w:pPr>
              <w:spacing w:before="72" w:line="220" w:lineRule="auto"/>
              <w:ind w:left="395"/>
              <w:rPr>
                <w:rFonts w:ascii="宋体" w:eastAsia="宋体" w:hAnsi="宋体" w:cs="宋体"/>
                <w:sz w:val="16"/>
                <w:szCs w:val="16"/>
              </w:rPr>
            </w:pPr>
            <w:r>
              <w:rPr>
                <w:rFonts w:ascii="宋体" w:eastAsia="宋体" w:hAnsi="宋体" w:cs="宋体"/>
                <w:spacing w:val="-10"/>
                <w:sz w:val="16"/>
                <w:szCs w:val="16"/>
              </w:rPr>
              <w:t>品</w:t>
            </w:r>
            <w:r>
              <w:rPr>
                <w:rFonts w:ascii="宋体" w:eastAsia="宋体" w:hAnsi="宋体" w:cs="宋体"/>
                <w:spacing w:val="9"/>
                <w:sz w:val="16"/>
                <w:szCs w:val="16"/>
              </w:rPr>
              <w:t xml:space="preserve">    </w:t>
            </w:r>
            <w:r>
              <w:rPr>
                <w:rFonts w:ascii="宋体" w:eastAsia="宋体" w:hAnsi="宋体" w:cs="宋体"/>
                <w:spacing w:val="-10"/>
                <w:sz w:val="16"/>
                <w:szCs w:val="16"/>
              </w:rPr>
              <w:t>种</w:t>
            </w:r>
          </w:p>
        </w:tc>
        <w:tc>
          <w:tcPr>
            <w:tcW w:w="1580" w:type="dxa"/>
          </w:tcPr>
          <w:p w:rsidR="00EA40A3" w:rsidRDefault="00E86C16">
            <w:pPr>
              <w:spacing w:before="71" w:line="219" w:lineRule="auto"/>
              <w:ind w:left="485"/>
              <w:rPr>
                <w:rFonts w:ascii="宋体" w:eastAsia="宋体" w:hAnsi="宋体" w:cs="宋体"/>
                <w:sz w:val="16"/>
                <w:szCs w:val="16"/>
              </w:rPr>
            </w:pPr>
            <w:r>
              <w:rPr>
                <w:rFonts w:ascii="宋体" w:eastAsia="宋体" w:hAnsi="宋体" w:cs="宋体"/>
                <w:spacing w:val="3"/>
                <w:sz w:val="16"/>
                <w:szCs w:val="16"/>
              </w:rPr>
              <w:t>使用范围</w:t>
            </w:r>
          </w:p>
        </w:tc>
        <w:tc>
          <w:tcPr>
            <w:tcW w:w="1260" w:type="dxa"/>
          </w:tcPr>
          <w:p w:rsidR="00EA40A3" w:rsidRDefault="00E86C16">
            <w:pPr>
              <w:spacing w:before="71" w:line="219" w:lineRule="auto"/>
              <w:ind w:left="145"/>
              <w:rPr>
                <w:rFonts w:ascii="宋体" w:eastAsia="宋体" w:hAnsi="宋体" w:cs="宋体"/>
                <w:sz w:val="16"/>
                <w:szCs w:val="16"/>
              </w:rPr>
            </w:pPr>
            <w:r>
              <w:rPr>
                <w:rFonts w:ascii="宋体" w:eastAsia="宋体" w:hAnsi="宋体" w:cs="宋体"/>
                <w:spacing w:val="-1"/>
                <w:sz w:val="16"/>
                <w:szCs w:val="16"/>
              </w:rPr>
              <w:t>每千克使用量</w:t>
            </w:r>
          </w:p>
        </w:tc>
        <w:tc>
          <w:tcPr>
            <w:tcW w:w="2460" w:type="dxa"/>
            <w:tcBorders>
              <w:right w:val="nil"/>
            </w:tcBorders>
          </w:tcPr>
          <w:p w:rsidR="00EA40A3" w:rsidRDefault="00E86C16">
            <w:pPr>
              <w:spacing w:before="72" w:line="221" w:lineRule="auto"/>
              <w:ind w:left="935"/>
              <w:rPr>
                <w:rFonts w:ascii="宋体" w:eastAsia="宋体" w:hAnsi="宋体" w:cs="宋体"/>
                <w:sz w:val="16"/>
                <w:szCs w:val="16"/>
              </w:rPr>
            </w:pPr>
            <w:r>
              <w:rPr>
                <w:rFonts w:ascii="宋体" w:eastAsia="宋体" w:hAnsi="宋体" w:cs="宋体"/>
                <w:spacing w:val="-5"/>
                <w:sz w:val="16"/>
                <w:szCs w:val="16"/>
              </w:rPr>
              <w:t>备</w:t>
            </w:r>
            <w:r>
              <w:rPr>
                <w:rFonts w:ascii="宋体" w:eastAsia="宋体" w:hAnsi="宋体" w:cs="宋体"/>
                <w:spacing w:val="1"/>
                <w:sz w:val="16"/>
                <w:szCs w:val="16"/>
              </w:rPr>
              <w:t xml:space="preserve">    </w:t>
            </w:r>
            <w:r>
              <w:rPr>
                <w:rFonts w:ascii="宋体" w:eastAsia="宋体" w:hAnsi="宋体" w:cs="宋体"/>
                <w:spacing w:val="-5"/>
                <w:sz w:val="16"/>
                <w:szCs w:val="16"/>
              </w:rPr>
              <w:t>注</w:t>
            </w:r>
          </w:p>
        </w:tc>
      </w:tr>
      <w:tr w:rsidR="00EA40A3">
        <w:trPr>
          <w:trHeight w:val="609"/>
        </w:trPr>
        <w:tc>
          <w:tcPr>
            <w:tcW w:w="540" w:type="dxa"/>
            <w:vMerge w:val="restart"/>
            <w:tcBorders>
              <w:left w:val="nil"/>
              <w:bottom w:val="nil"/>
            </w:tcBorders>
          </w:tcPr>
          <w:p w:rsidR="00EA40A3" w:rsidRDefault="00EA40A3">
            <w:pPr>
              <w:spacing w:line="276" w:lineRule="auto"/>
            </w:pPr>
          </w:p>
          <w:p w:rsidR="00EA40A3" w:rsidRDefault="00EA40A3">
            <w:pPr>
              <w:spacing w:line="276" w:lineRule="auto"/>
            </w:pPr>
          </w:p>
          <w:p w:rsidR="00EA40A3" w:rsidRDefault="00E86C16">
            <w:pPr>
              <w:spacing w:before="52" w:line="266" w:lineRule="auto"/>
              <w:ind w:left="40" w:right="20"/>
              <w:jc w:val="both"/>
              <w:rPr>
                <w:rFonts w:ascii="宋体" w:eastAsia="宋体" w:hAnsi="宋体" w:cs="宋体"/>
                <w:sz w:val="16"/>
                <w:szCs w:val="16"/>
              </w:rPr>
            </w:pPr>
            <w:r>
              <w:rPr>
                <w:rFonts w:ascii="宋体" w:eastAsia="宋体" w:hAnsi="宋体" w:cs="宋体"/>
                <w:spacing w:val="-3"/>
                <w:sz w:val="16"/>
                <w:szCs w:val="16"/>
              </w:rPr>
              <w:t>氨基酸</w:t>
            </w:r>
            <w:r>
              <w:rPr>
                <w:rFonts w:ascii="宋体" w:eastAsia="宋体" w:hAnsi="宋体" w:cs="宋体"/>
                <w:spacing w:val="1"/>
                <w:sz w:val="16"/>
                <w:szCs w:val="16"/>
              </w:rPr>
              <w:t xml:space="preserve"> </w:t>
            </w:r>
            <w:r>
              <w:rPr>
                <w:rFonts w:ascii="宋体" w:eastAsia="宋体" w:hAnsi="宋体" w:cs="宋体"/>
                <w:spacing w:val="-2"/>
                <w:sz w:val="16"/>
                <w:szCs w:val="16"/>
              </w:rPr>
              <w:t>及含氮</w:t>
            </w:r>
            <w:r>
              <w:rPr>
                <w:rFonts w:ascii="宋体" w:eastAsia="宋体" w:hAnsi="宋体" w:cs="宋体"/>
                <w:sz w:val="16"/>
                <w:szCs w:val="16"/>
              </w:rPr>
              <w:t xml:space="preserve"> </w:t>
            </w:r>
            <w:r>
              <w:rPr>
                <w:rFonts w:ascii="宋体" w:eastAsia="宋体" w:hAnsi="宋体" w:cs="宋体"/>
                <w:spacing w:val="-3"/>
                <w:sz w:val="16"/>
                <w:szCs w:val="16"/>
              </w:rPr>
              <w:t>化合物</w:t>
            </w:r>
          </w:p>
        </w:tc>
        <w:tc>
          <w:tcPr>
            <w:tcW w:w="1420" w:type="dxa"/>
            <w:vMerge w:val="restart"/>
            <w:tcBorders>
              <w:bottom w:val="nil"/>
            </w:tcBorders>
          </w:tcPr>
          <w:p w:rsidR="00EA40A3" w:rsidRDefault="00EA40A3">
            <w:pPr>
              <w:spacing w:line="323" w:lineRule="auto"/>
            </w:pPr>
          </w:p>
          <w:p w:rsidR="00EA40A3" w:rsidRDefault="00E86C16">
            <w:pPr>
              <w:spacing w:before="52" w:line="219" w:lineRule="auto"/>
              <w:ind w:left="235"/>
              <w:rPr>
                <w:rFonts w:ascii="宋体" w:eastAsia="宋体" w:hAnsi="宋体" w:cs="宋体"/>
                <w:sz w:val="16"/>
                <w:szCs w:val="16"/>
              </w:rPr>
            </w:pPr>
            <w:r>
              <w:rPr>
                <w:rFonts w:ascii="宋体" w:eastAsia="宋体" w:hAnsi="宋体" w:cs="宋体"/>
                <w:spacing w:val="-1"/>
                <w:sz w:val="16"/>
                <w:szCs w:val="16"/>
              </w:rPr>
              <w:t>L-盐酸赖氨酸</w:t>
            </w:r>
          </w:p>
        </w:tc>
        <w:tc>
          <w:tcPr>
            <w:tcW w:w="1580" w:type="dxa"/>
          </w:tcPr>
          <w:p w:rsidR="00EA40A3" w:rsidRDefault="00E86C16">
            <w:pPr>
              <w:spacing w:before="117" w:line="248" w:lineRule="auto"/>
              <w:ind w:left="225" w:right="41" w:hanging="130"/>
              <w:rPr>
                <w:rFonts w:ascii="宋体" w:eastAsia="宋体" w:hAnsi="宋体" w:cs="宋体"/>
                <w:sz w:val="16"/>
                <w:szCs w:val="16"/>
              </w:rPr>
            </w:pPr>
            <w:r>
              <w:rPr>
                <w:rFonts w:ascii="宋体" w:eastAsia="宋体" w:hAnsi="宋体" w:cs="宋体"/>
                <w:spacing w:val="-1"/>
                <w:sz w:val="16"/>
                <w:szCs w:val="16"/>
              </w:rPr>
              <w:t>加工面包、饼干、面</w:t>
            </w:r>
            <w:r>
              <w:rPr>
                <w:rFonts w:ascii="宋体" w:eastAsia="宋体" w:hAnsi="宋体" w:cs="宋体"/>
                <w:spacing w:val="1"/>
                <w:sz w:val="16"/>
                <w:szCs w:val="16"/>
              </w:rPr>
              <w:t xml:space="preserve"> </w:t>
            </w:r>
            <w:r>
              <w:rPr>
                <w:rFonts w:ascii="宋体" w:eastAsia="宋体" w:hAnsi="宋体" w:cs="宋体"/>
                <w:spacing w:val="-2"/>
                <w:sz w:val="16"/>
                <w:szCs w:val="16"/>
              </w:rPr>
              <w:t>条的面粉</w:t>
            </w:r>
          </w:p>
        </w:tc>
        <w:tc>
          <w:tcPr>
            <w:tcW w:w="1260" w:type="dxa"/>
          </w:tcPr>
          <w:p w:rsidR="00EA40A3" w:rsidRDefault="00E86C16">
            <w:pPr>
              <w:spacing w:before="246" w:line="184" w:lineRule="auto"/>
              <w:ind w:left="385"/>
              <w:rPr>
                <w:rFonts w:ascii="宋体" w:eastAsia="宋体" w:hAnsi="宋体" w:cs="宋体"/>
                <w:sz w:val="16"/>
                <w:szCs w:val="16"/>
              </w:rPr>
            </w:pPr>
            <w:r>
              <w:rPr>
                <w:rFonts w:ascii="宋体" w:eastAsia="宋体" w:hAnsi="宋体" w:cs="宋体"/>
                <w:spacing w:val="-5"/>
                <w:sz w:val="16"/>
                <w:szCs w:val="16"/>
              </w:rPr>
              <w:t>1～2</w:t>
            </w:r>
            <w:r>
              <w:rPr>
                <w:rFonts w:ascii="宋体" w:eastAsia="宋体" w:hAnsi="宋体" w:cs="宋体"/>
                <w:spacing w:val="32"/>
                <w:sz w:val="16"/>
                <w:szCs w:val="16"/>
              </w:rPr>
              <w:t xml:space="preserve"> </w:t>
            </w:r>
            <w:r>
              <w:rPr>
                <w:rFonts w:ascii="宋体" w:eastAsia="宋体" w:hAnsi="宋体" w:cs="宋体"/>
                <w:spacing w:val="-5"/>
                <w:sz w:val="16"/>
                <w:szCs w:val="16"/>
              </w:rPr>
              <w:t>g</w:t>
            </w:r>
          </w:p>
        </w:tc>
        <w:tc>
          <w:tcPr>
            <w:tcW w:w="2460" w:type="dxa"/>
            <w:vMerge w:val="restart"/>
            <w:tcBorders>
              <w:bottom w:val="nil"/>
              <w:right w:val="nil"/>
            </w:tcBorders>
          </w:tcPr>
          <w:p w:rsidR="00EA40A3" w:rsidRDefault="00EA40A3">
            <w:pPr>
              <w:spacing w:line="281" w:lineRule="auto"/>
            </w:pPr>
          </w:p>
          <w:p w:rsidR="00EA40A3" w:rsidRDefault="00EA40A3">
            <w:pPr>
              <w:spacing w:line="281" w:lineRule="auto"/>
            </w:pPr>
          </w:p>
          <w:p w:rsidR="00EA40A3" w:rsidRDefault="00E86C16">
            <w:pPr>
              <w:spacing w:before="52" w:line="219" w:lineRule="auto"/>
              <w:ind w:left="115"/>
              <w:rPr>
                <w:rFonts w:ascii="宋体" w:eastAsia="宋体" w:hAnsi="宋体" w:cs="宋体"/>
                <w:sz w:val="16"/>
                <w:szCs w:val="16"/>
              </w:rPr>
            </w:pPr>
            <w:r>
              <w:rPr>
                <w:rFonts w:ascii="宋体" w:eastAsia="宋体" w:hAnsi="宋体" w:cs="宋体"/>
                <w:sz w:val="16"/>
                <w:szCs w:val="16"/>
              </w:rPr>
              <w:t>1.谷类及其制品也可按量添加</w:t>
            </w:r>
          </w:p>
          <w:p w:rsidR="00EA40A3" w:rsidRDefault="00E86C16">
            <w:pPr>
              <w:spacing w:before="60" w:line="219" w:lineRule="auto"/>
              <w:ind w:left="115"/>
              <w:rPr>
                <w:rFonts w:ascii="宋体" w:eastAsia="宋体" w:hAnsi="宋体" w:cs="宋体"/>
                <w:sz w:val="16"/>
                <w:szCs w:val="16"/>
              </w:rPr>
            </w:pPr>
            <w:r>
              <w:rPr>
                <w:rFonts w:ascii="宋体" w:eastAsia="宋体" w:hAnsi="宋体" w:cs="宋体"/>
                <w:spacing w:val="4"/>
                <w:sz w:val="16"/>
                <w:szCs w:val="16"/>
              </w:rPr>
              <w:t>2.如用L-赖氨酸天冬氨酸盐，需</w:t>
            </w:r>
          </w:p>
          <w:p w:rsidR="00EA40A3" w:rsidRDefault="00E86C16">
            <w:pPr>
              <w:spacing w:before="60" w:line="219" w:lineRule="auto"/>
              <w:ind w:left="284"/>
              <w:rPr>
                <w:rFonts w:ascii="宋体" w:eastAsia="宋体" w:hAnsi="宋体" w:cs="宋体"/>
                <w:sz w:val="16"/>
                <w:szCs w:val="16"/>
              </w:rPr>
            </w:pPr>
            <w:r>
              <w:rPr>
                <w:rFonts w:ascii="宋体" w:eastAsia="宋体" w:hAnsi="宋体" w:cs="宋体"/>
                <w:spacing w:val="-2"/>
                <w:sz w:val="16"/>
                <w:szCs w:val="16"/>
              </w:rPr>
              <w:t>经折算</w:t>
            </w:r>
          </w:p>
        </w:tc>
      </w:tr>
      <w:tr w:rsidR="00EA40A3">
        <w:trPr>
          <w:trHeight w:val="299"/>
        </w:trPr>
        <w:tc>
          <w:tcPr>
            <w:tcW w:w="540" w:type="dxa"/>
            <w:vMerge/>
            <w:tcBorders>
              <w:top w:val="nil"/>
              <w:left w:val="nil"/>
              <w:bottom w:val="nil"/>
            </w:tcBorders>
          </w:tcPr>
          <w:p w:rsidR="00EA40A3" w:rsidRDefault="00EA40A3"/>
        </w:tc>
        <w:tc>
          <w:tcPr>
            <w:tcW w:w="1420" w:type="dxa"/>
            <w:vMerge/>
            <w:tcBorders>
              <w:top w:val="nil"/>
            </w:tcBorders>
          </w:tcPr>
          <w:p w:rsidR="00EA40A3" w:rsidRDefault="00EA40A3"/>
        </w:tc>
        <w:tc>
          <w:tcPr>
            <w:tcW w:w="1580" w:type="dxa"/>
          </w:tcPr>
          <w:p w:rsidR="00EA40A3" w:rsidRDefault="00E86C16">
            <w:pPr>
              <w:spacing w:before="69" w:line="220" w:lineRule="auto"/>
              <w:ind w:left="95"/>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88" w:line="183" w:lineRule="auto"/>
              <w:ind w:left="225"/>
              <w:rPr>
                <w:rFonts w:ascii="宋体" w:eastAsia="宋体" w:hAnsi="宋体" w:cs="宋体"/>
                <w:sz w:val="16"/>
                <w:szCs w:val="16"/>
              </w:rPr>
            </w:pPr>
            <w:r>
              <w:rPr>
                <w:rFonts w:ascii="宋体" w:eastAsia="宋体" w:hAnsi="宋体" w:cs="宋体"/>
                <w:spacing w:val="-1"/>
                <w:sz w:val="16"/>
                <w:szCs w:val="16"/>
              </w:rPr>
              <w:t>0.3—0.8</w:t>
            </w:r>
            <w:r>
              <w:rPr>
                <w:rFonts w:ascii="宋体" w:eastAsia="宋体" w:hAnsi="宋体" w:cs="宋体"/>
                <w:spacing w:val="8"/>
                <w:sz w:val="16"/>
                <w:szCs w:val="16"/>
              </w:rPr>
              <w:t xml:space="preserve"> </w:t>
            </w:r>
            <w:r>
              <w:rPr>
                <w:rFonts w:ascii="宋体" w:eastAsia="宋体" w:hAnsi="宋体" w:cs="宋体"/>
                <w:spacing w:val="-1"/>
                <w:sz w:val="16"/>
                <w:szCs w:val="16"/>
              </w:rPr>
              <w:t>g</w:t>
            </w:r>
          </w:p>
        </w:tc>
        <w:tc>
          <w:tcPr>
            <w:tcW w:w="2460" w:type="dxa"/>
            <w:vMerge/>
            <w:tcBorders>
              <w:top w:val="nil"/>
              <w:bottom w:val="nil"/>
              <w:right w:val="nil"/>
            </w:tcBorders>
          </w:tcPr>
          <w:p w:rsidR="00EA40A3" w:rsidRDefault="00EA40A3"/>
        </w:tc>
      </w:tr>
      <w:tr w:rsidR="00EA40A3">
        <w:trPr>
          <w:trHeight w:val="609"/>
        </w:trPr>
        <w:tc>
          <w:tcPr>
            <w:tcW w:w="540" w:type="dxa"/>
            <w:vMerge/>
            <w:tcBorders>
              <w:top w:val="nil"/>
              <w:left w:val="nil"/>
              <w:bottom w:val="nil"/>
            </w:tcBorders>
          </w:tcPr>
          <w:p w:rsidR="00EA40A3" w:rsidRDefault="00EA40A3"/>
        </w:tc>
        <w:tc>
          <w:tcPr>
            <w:tcW w:w="1420" w:type="dxa"/>
            <w:vMerge w:val="restart"/>
            <w:tcBorders>
              <w:bottom w:val="nil"/>
            </w:tcBorders>
          </w:tcPr>
          <w:p w:rsidR="00EA40A3" w:rsidRDefault="00EA40A3">
            <w:pPr>
              <w:spacing w:line="326" w:lineRule="auto"/>
            </w:pPr>
          </w:p>
          <w:p w:rsidR="00EA40A3" w:rsidRDefault="00E86C16">
            <w:pPr>
              <w:spacing w:before="52" w:line="221" w:lineRule="auto"/>
              <w:ind w:left="485"/>
              <w:rPr>
                <w:rFonts w:ascii="宋体" w:eastAsia="宋体" w:hAnsi="宋体" w:cs="宋体"/>
                <w:sz w:val="16"/>
                <w:szCs w:val="16"/>
              </w:rPr>
            </w:pPr>
            <w:r>
              <w:rPr>
                <w:rFonts w:ascii="宋体" w:eastAsia="宋体" w:hAnsi="宋体" w:cs="宋体"/>
                <w:spacing w:val="-3"/>
                <w:sz w:val="16"/>
                <w:szCs w:val="16"/>
              </w:rPr>
              <w:t>牛磺酸</w:t>
            </w:r>
          </w:p>
        </w:tc>
        <w:tc>
          <w:tcPr>
            <w:tcW w:w="1580" w:type="dxa"/>
          </w:tcPr>
          <w:p w:rsidR="00EA40A3" w:rsidRDefault="00E86C16">
            <w:pPr>
              <w:spacing w:before="129" w:line="242" w:lineRule="auto"/>
              <w:ind w:left="235" w:right="18" w:hanging="140"/>
              <w:rPr>
                <w:rFonts w:ascii="宋体" w:eastAsia="宋体" w:hAnsi="宋体" w:cs="宋体"/>
                <w:sz w:val="16"/>
                <w:szCs w:val="16"/>
              </w:rPr>
            </w:pPr>
            <w:r>
              <w:rPr>
                <w:rFonts w:ascii="宋体" w:eastAsia="宋体" w:hAnsi="宋体" w:cs="宋体"/>
                <w:spacing w:val="1"/>
                <w:sz w:val="16"/>
                <w:szCs w:val="16"/>
              </w:rPr>
              <w:t>乳制品、婴幼儿食品</w:t>
            </w:r>
            <w:r>
              <w:rPr>
                <w:rFonts w:ascii="宋体" w:eastAsia="宋体" w:hAnsi="宋体" w:cs="宋体"/>
                <w:spacing w:val="6"/>
                <w:sz w:val="16"/>
                <w:szCs w:val="16"/>
              </w:rPr>
              <w:t xml:space="preserve"> </w:t>
            </w:r>
            <w:r>
              <w:rPr>
                <w:rFonts w:ascii="宋体" w:eastAsia="宋体" w:hAnsi="宋体" w:cs="宋体"/>
                <w:spacing w:val="3"/>
                <w:sz w:val="16"/>
                <w:szCs w:val="16"/>
              </w:rPr>
              <w:t>及谷类制品</w:t>
            </w:r>
          </w:p>
        </w:tc>
        <w:tc>
          <w:tcPr>
            <w:tcW w:w="1260" w:type="dxa"/>
          </w:tcPr>
          <w:p w:rsidR="00EA40A3" w:rsidRDefault="00E86C16">
            <w:pPr>
              <w:spacing w:before="249" w:line="183" w:lineRule="auto"/>
              <w:ind w:left="225"/>
              <w:rPr>
                <w:rFonts w:ascii="宋体" w:eastAsia="宋体" w:hAnsi="宋体" w:cs="宋体"/>
                <w:sz w:val="16"/>
                <w:szCs w:val="16"/>
              </w:rPr>
            </w:pPr>
            <w:r>
              <w:rPr>
                <w:rFonts w:ascii="宋体" w:eastAsia="宋体" w:hAnsi="宋体" w:cs="宋体"/>
                <w:spacing w:val="-1"/>
                <w:sz w:val="16"/>
                <w:szCs w:val="16"/>
              </w:rPr>
              <w:t>0.3～0.5</w:t>
            </w:r>
            <w:r>
              <w:rPr>
                <w:rFonts w:ascii="宋体" w:eastAsia="宋体" w:hAnsi="宋体" w:cs="宋体"/>
                <w:spacing w:val="8"/>
                <w:sz w:val="16"/>
                <w:szCs w:val="16"/>
              </w:rPr>
              <w:t xml:space="preserve"> </w:t>
            </w:r>
            <w:r>
              <w:rPr>
                <w:rFonts w:ascii="宋体" w:eastAsia="宋体" w:hAnsi="宋体" w:cs="宋体"/>
                <w:spacing w:val="-1"/>
                <w:sz w:val="16"/>
                <w:szCs w:val="16"/>
              </w:rPr>
              <w:t>g</w:t>
            </w:r>
          </w:p>
        </w:tc>
        <w:tc>
          <w:tcPr>
            <w:tcW w:w="2460" w:type="dxa"/>
            <w:vMerge/>
            <w:tcBorders>
              <w:top w:val="nil"/>
              <w:bottom w:val="nil"/>
              <w:right w:val="nil"/>
            </w:tcBorders>
          </w:tcPr>
          <w:p w:rsidR="00EA40A3" w:rsidRDefault="00EA40A3"/>
        </w:tc>
      </w:tr>
      <w:tr w:rsidR="00EA40A3">
        <w:trPr>
          <w:trHeight w:val="299"/>
        </w:trPr>
        <w:tc>
          <w:tcPr>
            <w:tcW w:w="540" w:type="dxa"/>
            <w:vMerge/>
            <w:tcBorders>
              <w:top w:val="nil"/>
              <w:left w:val="nil"/>
            </w:tcBorders>
          </w:tcPr>
          <w:p w:rsidR="00EA40A3" w:rsidRDefault="00EA40A3"/>
        </w:tc>
        <w:tc>
          <w:tcPr>
            <w:tcW w:w="1420" w:type="dxa"/>
            <w:vMerge/>
            <w:tcBorders>
              <w:top w:val="nil"/>
            </w:tcBorders>
          </w:tcPr>
          <w:p w:rsidR="00EA40A3" w:rsidRDefault="00EA40A3"/>
        </w:tc>
        <w:tc>
          <w:tcPr>
            <w:tcW w:w="1580" w:type="dxa"/>
          </w:tcPr>
          <w:p w:rsidR="00EA40A3" w:rsidRDefault="00E86C16">
            <w:pPr>
              <w:spacing w:before="71" w:line="220" w:lineRule="auto"/>
              <w:ind w:left="95"/>
              <w:rPr>
                <w:rFonts w:ascii="宋体" w:eastAsia="宋体" w:hAnsi="宋体" w:cs="宋体"/>
                <w:sz w:val="16"/>
                <w:szCs w:val="16"/>
              </w:rPr>
            </w:pPr>
            <w:r>
              <w:rPr>
                <w:rFonts w:ascii="宋体" w:eastAsia="宋体" w:hAnsi="宋体" w:cs="宋体"/>
                <w:spacing w:val="-1"/>
                <w:sz w:val="16"/>
                <w:szCs w:val="16"/>
              </w:rPr>
              <w:t>饮液、乳饮料</w:t>
            </w:r>
          </w:p>
        </w:tc>
        <w:tc>
          <w:tcPr>
            <w:tcW w:w="1260" w:type="dxa"/>
          </w:tcPr>
          <w:p w:rsidR="00EA40A3" w:rsidRDefault="00E86C16">
            <w:pPr>
              <w:spacing w:before="65" w:line="214" w:lineRule="auto"/>
              <w:ind w:left="265"/>
              <w:rPr>
                <w:rFonts w:ascii="宋体" w:eastAsia="宋体" w:hAnsi="宋体" w:cs="宋体"/>
                <w:sz w:val="16"/>
                <w:szCs w:val="16"/>
              </w:rPr>
            </w:pPr>
            <w:r>
              <w:rPr>
                <w:rFonts w:ascii="宋体" w:eastAsia="宋体" w:hAnsi="宋体" w:cs="宋体"/>
                <w:spacing w:val="-1"/>
                <w:sz w:val="16"/>
                <w:szCs w:val="16"/>
              </w:rPr>
              <w:t>0.1~0.5</w:t>
            </w:r>
            <w:r>
              <w:rPr>
                <w:rFonts w:ascii="宋体" w:eastAsia="宋体" w:hAnsi="宋体" w:cs="宋体"/>
                <w:spacing w:val="8"/>
                <w:sz w:val="16"/>
                <w:szCs w:val="16"/>
              </w:rPr>
              <w:t xml:space="preserve"> </w:t>
            </w:r>
            <w:r>
              <w:rPr>
                <w:rFonts w:ascii="宋体" w:eastAsia="宋体" w:hAnsi="宋体" w:cs="宋体"/>
                <w:spacing w:val="-1"/>
                <w:sz w:val="16"/>
                <w:szCs w:val="16"/>
              </w:rPr>
              <w:t>g</w:t>
            </w:r>
          </w:p>
        </w:tc>
        <w:tc>
          <w:tcPr>
            <w:tcW w:w="2460" w:type="dxa"/>
            <w:vMerge/>
            <w:tcBorders>
              <w:top w:val="nil"/>
              <w:right w:val="nil"/>
            </w:tcBorders>
          </w:tcPr>
          <w:p w:rsidR="00EA40A3" w:rsidRDefault="00EA40A3"/>
        </w:tc>
      </w:tr>
      <w:tr w:rsidR="00EA40A3">
        <w:trPr>
          <w:trHeight w:val="729"/>
        </w:trPr>
        <w:tc>
          <w:tcPr>
            <w:tcW w:w="540" w:type="dxa"/>
            <w:vMerge w:val="restart"/>
            <w:tcBorders>
              <w:left w:val="nil"/>
              <w:bottom w:val="nil"/>
            </w:tcBorders>
            <w:textDirection w:val="tbRlV"/>
          </w:tcPr>
          <w:p w:rsidR="00EA40A3" w:rsidRDefault="00E86C16">
            <w:pPr>
              <w:spacing w:before="185" w:line="216" w:lineRule="auto"/>
              <w:ind w:left="1257"/>
              <w:rPr>
                <w:rFonts w:ascii="宋体" w:eastAsia="宋体" w:hAnsi="宋体" w:cs="宋体"/>
                <w:sz w:val="16"/>
                <w:szCs w:val="16"/>
              </w:rPr>
            </w:pPr>
            <w:r>
              <w:rPr>
                <w:rFonts w:ascii="宋体" w:eastAsia="宋体" w:hAnsi="宋体" w:cs="宋体"/>
                <w:spacing w:val="24"/>
                <w:w w:val="130"/>
                <w:sz w:val="16"/>
                <w:szCs w:val="16"/>
              </w:rPr>
              <w:t>维生素类</w:t>
            </w:r>
          </w:p>
        </w:tc>
        <w:tc>
          <w:tcPr>
            <w:tcW w:w="1420" w:type="dxa"/>
            <w:vMerge w:val="restart"/>
            <w:tcBorders>
              <w:bottom w:val="nil"/>
            </w:tcBorders>
          </w:tcPr>
          <w:p w:rsidR="00EA40A3" w:rsidRDefault="00EA40A3">
            <w:pPr>
              <w:spacing w:line="297" w:lineRule="auto"/>
            </w:pPr>
          </w:p>
          <w:p w:rsidR="00EA40A3" w:rsidRDefault="00EA40A3">
            <w:pPr>
              <w:spacing w:line="298"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2"/>
                <w:sz w:val="16"/>
                <w:szCs w:val="16"/>
              </w:rPr>
              <w:t>维生素A</w:t>
            </w:r>
          </w:p>
          <w:p w:rsidR="00EA40A3" w:rsidRDefault="00E86C16">
            <w:pPr>
              <w:spacing w:before="70" w:line="269" w:lineRule="auto"/>
              <w:ind w:left="215" w:right="68" w:firstLine="80"/>
              <w:jc w:val="both"/>
              <w:rPr>
                <w:rFonts w:ascii="宋体" w:eastAsia="宋体" w:hAnsi="宋体" w:cs="宋体"/>
                <w:sz w:val="16"/>
                <w:szCs w:val="16"/>
              </w:rPr>
            </w:pPr>
            <w:r>
              <w:rPr>
                <w:rFonts w:ascii="宋体" w:eastAsia="宋体" w:hAnsi="宋体" w:cs="宋体"/>
                <w:sz w:val="16"/>
                <w:szCs w:val="16"/>
              </w:rPr>
              <w:t>(视黄醇或乙酸</w:t>
            </w:r>
            <w:r>
              <w:rPr>
                <w:rFonts w:ascii="宋体" w:eastAsia="宋体" w:hAnsi="宋体" w:cs="宋体"/>
                <w:spacing w:val="5"/>
                <w:sz w:val="16"/>
                <w:szCs w:val="16"/>
              </w:rPr>
              <w:t xml:space="preserve"> </w:t>
            </w:r>
            <w:r>
              <w:rPr>
                <w:rFonts w:ascii="宋体" w:eastAsia="宋体" w:hAnsi="宋体" w:cs="宋体"/>
                <w:spacing w:val="-1"/>
                <w:sz w:val="16"/>
                <w:szCs w:val="16"/>
              </w:rPr>
              <w:t>视黄酯或棕榈酸</w:t>
            </w:r>
            <w:r>
              <w:rPr>
                <w:rFonts w:ascii="宋体" w:eastAsia="宋体" w:hAnsi="宋体" w:cs="宋体"/>
                <w:sz w:val="16"/>
                <w:szCs w:val="16"/>
              </w:rPr>
              <w:t xml:space="preserve"> </w:t>
            </w:r>
            <w:r>
              <w:rPr>
                <w:rFonts w:ascii="宋体" w:eastAsia="宋体" w:hAnsi="宋体" w:cs="宋体"/>
                <w:spacing w:val="13"/>
                <w:sz w:val="16"/>
                <w:szCs w:val="16"/>
              </w:rPr>
              <w:t>视黄醇)</w:t>
            </w:r>
          </w:p>
        </w:tc>
        <w:tc>
          <w:tcPr>
            <w:tcW w:w="1580" w:type="dxa"/>
          </w:tcPr>
          <w:p w:rsidR="00EA40A3" w:rsidRDefault="00E86C16">
            <w:pPr>
              <w:spacing w:before="183" w:line="260" w:lineRule="auto"/>
              <w:ind w:left="245" w:right="45" w:hanging="150"/>
              <w:rPr>
                <w:rFonts w:ascii="宋体" w:eastAsia="宋体" w:hAnsi="宋体" w:cs="宋体"/>
                <w:sz w:val="16"/>
                <w:szCs w:val="16"/>
              </w:rPr>
            </w:pPr>
            <w:r>
              <w:rPr>
                <w:rFonts w:ascii="宋体" w:eastAsia="宋体" w:hAnsi="宋体" w:cs="宋体"/>
                <w:spacing w:val="-2"/>
                <w:sz w:val="16"/>
                <w:szCs w:val="16"/>
              </w:rPr>
              <w:t>芝麻油、色拉油、人</w:t>
            </w:r>
            <w:r>
              <w:rPr>
                <w:rFonts w:ascii="宋体" w:eastAsia="宋体" w:hAnsi="宋体" w:cs="宋体"/>
                <w:spacing w:val="6"/>
                <w:sz w:val="16"/>
                <w:szCs w:val="16"/>
              </w:rPr>
              <w:t xml:space="preserve"> </w:t>
            </w:r>
            <w:r>
              <w:rPr>
                <w:rFonts w:ascii="宋体" w:eastAsia="宋体" w:hAnsi="宋体" w:cs="宋体"/>
                <w:spacing w:val="5"/>
                <w:sz w:val="16"/>
                <w:szCs w:val="16"/>
              </w:rPr>
              <w:t>造奶油</w:t>
            </w:r>
          </w:p>
        </w:tc>
        <w:tc>
          <w:tcPr>
            <w:tcW w:w="1260" w:type="dxa"/>
          </w:tcPr>
          <w:p w:rsidR="00EA40A3" w:rsidRDefault="00EA40A3">
            <w:pPr>
              <w:spacing w:line="258" w:lineRule="auto"/>
            </w:pPr>
          </w:p>
          <w:p w:rsidR="00EA40A3" w:rsidRDefault="00E86C16">
            <w:pPr>
              <w:spacing w:before="52" w:line="183" w:lineRule="auto"/>
              <w:ind w:left="64"/>
              <w:rPr>
                <w:rFonts w:ascii="宋体" w:eastAsia="宋体" w:hAnsi="宋体" w:cs="宋体"/>
                <w:sz w:val="16"/>
                <w:szCs w:val="16"/>
              </w:rPr>
            </w:pPr>
            <w:r>
              <w:rPr>
                <w:rFonts w:ascii="宋体" w:eastAsia="宋体" w:hAnsi="宋体" w:cs="宋体"/>
                <w:spacing w:val="-4"/>
                <w:sz w:val="16"/>
                <w:szCs w:val="16"/>
              </w:rPr>
              <w:t>4000～8000</w:t>
            </w:r>
            <w:r>
              <w:rPr>
                <w:rFonts w:ascii="宋体" w:eastAsia="宋体" w:hAnsi="宋体" w:cs="宋体"/>
                <w:spacing w:val="52"/>
                <w:sz w:val="16"/>
                <w:szCs w:val="16"/>
              </w:rPr>
              <w:t xml:space="preserve"> </w:t>
            </w:r>
            <w:r>
              <w:rPr>
                <w:rFonts w:ascii="宋体" w:eastAsia="宋体" w:hAnsi="宋体" w:cs="宋体"/>
                <w:spacing w:val="-4"/>
                <w:sz w:val="16"/>
                <w:szCs w:val="16"/>
              </w:rPr>
              <w:t>μg</w:t>
            </w:r>
          </w:p>
        </w:tc>
        <w:tc>
          <w:tcPr>
            <w:tcW w:w="2460" w:type="dxa"/>
            <w:vMerge w:val="restart"/>
            <w:tcBorders>
              <w:bottom w:val="nil"/>
              <w:right w:val="nil"/>
            </w:tcBorders>
          </w:tcPr>
          <w:p w:rsidR="00EA40A3" w:rsidRDefault="00E86C16">
            <w:pPr>
              <w:spacing w:before="161" w:line="242" w:lineRule="auto"/>
              <w:ind w:left="284" w:right="44" w:hanging="169"/>
              <w:rPr>
                <w:rFonts w:ascii="宋体" w:eastAsia="宋体" w:hAnsi="宋体" w:cs="宋体"/>
                <w:sz w:val="16"/>
                <w:szCs w:val="16"/>
              </w:rPr>
            </w:pPr>
            <w:r>
              <w:rPr>
                <w:rFonts w:ascii="宋体" w:eastAsia="宋体" w:hAnsi="宋体" w:cs="宋体"/>
                <w:spacing w:val="9"/>
                <w:sz w:val="16"/>
                <w:szCs w:val="16"/>
              </w:rPr>
              <w:t>1.维生素A添加量均以视黄醇当</w:t>
            </w:r>
            <w:r>
              <w:rPr>
                <w:rFonts w:ascii="宋体" w:eastAsia="宋体" w:hAnsi="宋体" w:cs="宋体"/>
                <w:sz w:val="16"/>
                <w:szCs w:val="16"/>
              </w:rPr>
              <w:t xml:space="preserve"> </w:t>
            </w:r>
            <w:r>
              <w:rPr>
                <w:rFonts w:ascii="宋体" w:eastAsia="宋体" w:hAnsi="宋体" w:cs="宋体"/>
                <w:spacing w:val="-2"/>
                <w:sz w:val="16"/>
                <w:szCs w:val="16"/>
              </w:rPr>
              <w:t>量计算</w:t>
            </w:r>
          </w:p>
          <w:p w:rsidR="00EA40A3" w:rsidRDefault="00E86C16">
            <w:pPr>
              <w:spacing w:before="84" w:line="257" w:lineRule="auto"/>
              <w:ind w:left="384" w:right="153" w:hanging="269"/>
              <w:rPr>
                <w:rFonts w:ascii="宋体" w:eastAsia="宋体" w:hAnsi="宋体" w:cs="宋体"/>
                <w:sz w:val="16"/>
                <w:szCs w:val="16"/>
              </w:rPr>
            </w:pPr>
            <w:r>
              <w:rPr>
                <w:rFonts w:ascii="宋体" w:eastAsia="宋体" w:hAnsi="宋体" w:cs="宋体"/>
                <w:spacing w:val="1"/>
                <w:sz w:val="16"/>
                <w:szCs w:val="16"/>
              </w:rPr>
              <w:t>2.1μg视黄醇当量=1μg视黄醇</w:t>
            </w:r>
            <w:r>
              <w:rPr>
                <w:rFonts w:ascii="宋体" w:eastAsia="宋体" w:hAnsi="宋体" w:cs="宋体"/>
                <w:spacing w:val="8"/>
                <w:sz w:val="16"/>
                <w:szCs w:val="16"/>
              </w:rPr>
              <w:t xml:space="preserve"> </w:t>
            </w:r>
            <w:r>
              <w:rPr>
                <w:rFonts w:ascii="宋体" w:eastAsia="宋体" w:hAnsi="宋体" w:cs="宋体"/>
                <w:spacing w:val="13"/>
                <w:sz w:val="16"/>
                <w:szCs w:val="16"/>
              </w:rPr>
              <w:t>=3.33</w:t>
            </w:r>
            <w:r>
              <w:rPr>
                <w:rFonts w:ascii="宋体" w:eastAsia="宋体" w:hAnsi="宋体" w:cs="宋体"/>
                <w:spacing w:val="45"/>
                <w:sz w:val="16"/>
                <w:szCs w:val="16"/>
              </w:rPr>
              <w:t xml:space="preserve"> </w:t>
            </w:r>
            <w:r>
              <w:rPr>
                <w:rFonts w:ascii="宋体" w:eastAsia="宋体" w:hAnsi="宋体" w:cs="宋体"/>
                <w:sz w:val="16"/>
                <w:szCs w:val="16"/>
              </w:rPr>
              <w:t>IU</w:t>
            </w:r>
            <w:r>
              <w:rPr>
                <w:rFonts w:ascii="宋体" w:eastAsia="宋体" w:hAnsi="宋体" w:cs="宋体"/>
                <w:spacing w:val="13"/>
                <w:sz w:val="16"/>
                <w:szCs w:val="16"/>
              </w:rPr>
              <w:t>维生素A</w:t>
            </w:r>
          </w:p>
          <w:p w:rsidR="00EA40A3" w:rsidRDefault="00E86C16">
            <w:pPr>
              <w:spacing w:before="69" w:line="260" w:lineRule="auto"/>
              <w:ind w:left="294" w:right="12" w:hanging="179"/>
              <w:rPr>
                <w:rFonts w:ascii="宋体" w:eastAsia="宋体" w:hAnsi="宋体" w:cs="宋体"/>
                <w:sz w:val="16"/>
                <w:szCs w:val="16"/>
              </w:rPr>
            </w:pPr>
            <w:r>
              <w:rPr>
                <w:rFonts w:ascii="宋体" w:eastAsia="宋体" w:hAnsi="宋体" w:cs="宋体"/>
                <w:spacing w:val="5"/>
                <w:sz w:val="16"/>
                <w:szCs w:val="16"/>
              </w:rPr>
              <w:t>3.如用β胡萝卜素强化可折算成</w:t>
            </w:r>
            <w:r>
              <w:rPr>
                <w:rFonts w:ascii="宋体" w:eastAsia="宋体" w:hAnsi="宋体" w:cs="宋体"/>
                <w:spacing w:val="11"/>
                <w:sz w:val="16"/>
                <w:szCs w:val="16"/>
              </w:rPr>
              <w:t xml:space="preserve"> </w:t>
            </w:r>
            <w:r>
              <w:rPr>
                <w:rFonts w:ascii="宋体" w:eastAsia="宋体" w:hAnsi="宋体" w:cs="宋体"/>
                <w:spacing w:val="15"/>
                <w:sz w:val="16"/>
                <w:szCs w:val="16"/>
              </w:rPr>
              <w:t>维生素A来表示</w:t>
            </w:r>
          </w:p>
          <w:p w:rsidR="00EA40A3" w:rsidRDefault="00E86C16">
            <w:pPr>
              <w:spacing w:before="75" w:line="245" w:lineRule="auto"/>
              <w:ind w:left="274" w:right="53" w:hanging="159"/>
              <w:rPr>
                <w:rFonts w:ascii="宋体" w:eastAsia="宋体" w:hAnsi="宋体" w:cs="宋体"/>
                <w:sz w:val="16"/>
                <w:szCs w:val="16"/>
              </w:rPr>
            </w:pPr>
            <w:r>
              <w:rPr>
                <w:rFonts w:ascii="宋体" w:eastAsia="宋体" w:hAnsi="宋体" w:cs="宋体"/>
                <w:spacing w:val="6"/>
                <w:sz w:val="16"/>
                <w:szCs w:val="16"/>
              </w:rPr>
              <w:t>4.lμgβ胡萝卜素=0.167μg视</w:t>
            </w:r>
            <w:r>
              <w:rPr>
                <w:rFonts w:ascii="宋体" w:eastAsia="宋体" w:hAnsi="宋体" w:cs="宋体"/>
                <w:spacing w:val="11"/>
                <w:sz w:val="16"/>
                <w:szCs w:val="16"/>
              </w:rPr>
              <w:t xml:space="preserve"> </w:t>
            </w:r>
            <w:r>
              <w:rPr>
                <w:rFonts w:ascii="宋体" w:eastAsia="宋体" w:hAnsi="宋体" w:cs="宋体"/>
                <w:spacing w:val="-2"/>
                <w:sz w:val="16"/>
                <w:szCs w:val="16"/>
              </w:rPr>
              <w:t>黄醇</w:t>
            </w:r>
          </w:p>
        </w:tc>
      </w:tr>
      <w:tr w:rsidR="00EA40A3">
        <w:trPr>
          <w:trHeight w:val="729"/>
        </w:trPr>
        <w:tc>
          <w:tcPr>
            <w:tcW w:w="54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80" w:type="dxa"/>
          </w:tcPr>
          <w:p w:rsidR="00EA40A3" w:rsidRDefault="00E86C16">
            <w:pPr>
              <w:spacing w:before="292" w:line="219" w:lineRule="auto"/>
              <w:ind w:left="95"/>
              <w:rPr>
                <w:rFonts w:ascii="宋体" w:eastAsia="宋体" w:hAnsi="宋体" w:cs="宋体"/>
                <w:sz w:val="16"/>
                <w:szCs w:val="16"/>
              </w:rPr>
            </w:pPr>
            <w:r>
              <w:rPr>
                <w:rFonts w:ascii="宋体" w:eastAsia="宋体" w:hAnsi="宋体" w:cs="宋体"/>
                <w:spacing w:val="1"/>
                <w:sz w:val="16"/>
                <w:szCs w:val="16"/>
              </w:rPr>
              <w:t>婴幼儿食品、乳制品</w:t>
            </w:r>
          </w:p>
        </w:tc>
        <w:tc>
          <w:tcPr>
            <w:tcW w:w="1260" w:type="dxa"/>
          </w:tcPr>
          <w:p w:rsidR="00EA40A3" w:rsidRDefault="00EA40A3">
            <w:pPr>
              <w:spacing w:line="259" w:lineRule="auto"/>
            </w:pPr>
          </w:p>
          <w:p w:rsidR="00EA40A3" w:rsidRDefault="00E86C16">
            <w:pPr>
              <w:spacing w:before="52" w:line="183" w:lineRule="auto"/>
              <w:ind w:left="105"/>
              <w:rPr>
                <w:rFonts w:ascii="宋体" w:eastAsia="宋体" w:hAnsi="宋体" w:cs="宋体"/>
                <w:sz w:val="16"/>
                <w:szCs w:val="16"/>
              </w:rPr>
            </w:pPr>
            <w:r>
              <w:rPr>
                <w:rFonts w:ascii="宋体" w:eastAsia="宋体" w:hAnsi="宋体" w:cs="宋体"/>
                <w:spacing w:val="-1"/>
                <w:sz w:val="16"/>
                <w:szCs w:val="16"/>
              </w:rPr>
              <w:t>3000～9000μg</w:t>
            </w:r>
          </w:p>
        </w:tc>
        <w:tc>
          <w:tcPr>
            <w:tcW w:w="2460" w:type="dxa"/>
            <w:vMerge/>
            <w:tcBorders>
              <w:top w:val="nil"/>
              <w:bottom w:val="nil"/>
              <w:right w:val="nil"/>
            </w:tcBorders>
          </w:tcPr>
          <w:p w:rsidR="00EA40A3" w:rsidRDefault="00EA40A3"/>
        </w:tc>
      </w:tr>
      <w:tr w:rsidR="00EA40A3">
        <w:trPr>
          <w:trHeight w:val="72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80" w:type="dxa"/>
          </w:tcPr>
          <w:p w:rsidR="00EA40A3" w:rsidRDefault="00EA40A3"/>
          <w:p w:rsidR="00EA40A3" w:rsidRDefault="00E86C16">
            <w:pPr>
              <w:spacing w:before="52" w:line="220" w:lineRule="auto"/>
              <w:ind w:left="95"/>
              <w:rPr>
                <w:rFonts w:ascii="宋体" w:eastAsia="宋体" w:hAnsi="宋体" w:cs="宋体"/>
                <w:sz w:val="16"/>
                <w:szCs w:val="16"/>
              </w:rPr>
            </w:pPr>
            <w:r>
              <w:rPr>
                <w:rFonts w:ascii="宋体" w:eastAsia="宋体" w:hAnsi="宋体" w:cs="宋体"/>
                <w:spacing w:val="-2"/>
                <w:sz w:val="16"/>
                <w:szCs w:val="16"/>
              </w:rPr>
              <w:t>乳及乳饮料</w:t>
            </w:r>
          </w:p>
        </w:tc>
        <w:tc>
          <w:tcPr>
            <w:tcW w:w="1260" w:type="dxa"/>
          </w:tcPr>
          <w:p w:rsidR="00EA40A3" w:rsidRDefault="00EA40A3">
            <w:pPr>
              <w:spacing w:line="259" w:lineRule="auto"/>
            </w:pPr>
          </w:p>
          <w:p w:rsidR="00EA40A3" w:rsidRDefault="00E86C16">
            <w:pPr>
              <w:spacing w:before="52" w:line="184" w:lineRule="auto"/>
              <w:ind w:left="145"/>
              <w:rPr>
                <w:rFonts w:ascii="宋体" w:eastAsia="宋体" w:hAnsi="宋体" w:cs="宋体"/>
                <w:sz w:val="16"/>
                <w:szCs w:val="16"/>
              </w:rPr>
            </w:pPr>
            <w:r>
              <w:rPr>
                <w:rFonts w:ascii="宋体" w:eastAsia="宋体" w:hAnsi="宋体" w:cs="宋体"/>
                <w:spacing w:val="-1"/>
                <w:sz w:val="16"/>
                <w:szCs w:val="16"/>
              </w:rPr>
              <w:t>600～1000μg</w:t>
            </w:r>
          </w:p>
        </w:tc>
        <w:tc>
          <w:tcPr>
            <w:tcW w:w="2460" w:type="dxa"/>
            <w:vMerge/>
            <w:tcBorders>
              <w:top w:val="nil"/>
              <w:right w:val="nil"/>
            </w:tcBorders>
          </w:tcPr>
          <w:p w:rsidR="00EA40A3" w:rsidRDefault="00EA40A3"/>
        </w:tc>
      </w:tr>
      <w:tr w:rsidR="00EA40A3">
        <w:trPr>
          <w:trHeight w:val="1233"/>
        </w:trPr>
        <w:tc>
          <w:tcPr>
            <w:tcW w:w="540" w:type="dxa"/>
            <w:vMerge/>
            <w:tcBorders>
              <w:top w:val="nil"/>
              <w:left w:val="nil"/>
            </w:tcBorders>
            <w:textDirection w:val="tbRlV"/>
          </w:tcPr>
          <w:p w:rsidR="00EA40A3" w:rsidRDefault="00EA40A3"/>
        </w:tc>
        <w:tc>
          <w:tcPr>
            <w:tcW w:w="1420" w:type="dxa"/>
          </w:tcPr>
          <w:p w:rsidR="00EA40A3" w:rsidRDefault="00EA40A3">
            <w:pPr>
              <w:spacing w:line="251" w:lineRule="auto"/>
            </w:pPr>
          </w:p>
          <w:p w:rsidR="00EA40A3" w:rsidRDefault="00E86C16">
            <w:pPr>
              <w:spacing w:before="52" w:line="219" w:lineRule="auto"/>
              <w:ind w:left="85"/>
              <w:rPr>
                <w:rFonts w:ascii="宋体" w:eastAsia="宋体" w:hAnsi="宋体" w:cs="宋体"/>
                <w:sz w:val="16"/>
                <w:szCs w:val="16"/>
              </w:rPr>
            </w:pPr>
            <w:r>
              <w:rPr>
                <w:rFonts w:ascii="宋体" w:eastAsia="宋体" w:hAnsi="宋体" w:cs="宋体"/>
                <w:spacing w:val="-2"/>
                <w:sz w:val="16"/>
                <w:szCs w:val="16"/>
              </w:rPr>
              <w:t>维生素D</w:t>
            </w:r>
          </w:p>
          <w:p w:rsidR="00EA40A3" w:rsidRDefault="00E86C16">
            <w:pPr>
              <w:spacing w:before="70" w:line="275" w:lineRule="auto"/>
              <w:ind w:left="245" w:hanging="10"/>
              <w:rPr>
                <w:rFonts w:ascii="宋体" w:eastAsia="宋体" w:hAnsi="宋体" w:cs="宋体"/>
                <w:sz w:val="15"/>
                <w:szCs w:val="15"/>
              </w:rPr>
            </w:pPr>
            <w:r>
              <w:rPr>
                <w:rFonts w:ascii="宋体" w:eastAsia="宋体" w:hAnsi="宋体" w:cs="宋体"/>
                <w:spacing w:val="12"/>
                <w:sz w:val="15"/>
                <w:szCs w:val="15"/>
              </w:rPr>
              <w:t>D</w:t>
            </w:r>
            <w:r>
              <w:rPr>
                <w:rFonts w:ascii="Calibri" w:eastAsia="Calibri" w:hAnsi="Calibri" w:cs="Calibri"/>
                <w:spacing w:val="12"/>
                <w:sz w:val="15"/>
                <w:szCs w:val="15"/>
              </w:rPr>
              <w:t>₂</w:t>
            </w:r>
            <w:r>
              <w:rPr>
                <w:rFonts w:ascii="Calibri" w:eastAsia="Calibri" w:hAnsi="Calibri" w:cs="Calibri"/>
                <w:spacing w:val="5"/>
                <w:sz w:val="15"/>
                <w:szCs w:val="15"/>
              </w:rPr>
              <w:t xml:space="preserve"> </w:t>
            </w:r>
            <w:r>
              <w:rPr>
                <w:rFonts w:ascii="宋体" w:eastAsia="宋体" w:hAnsi="宋体" w:cs="宋体"/>
                <w:spacing w:val="12"/>
                <w:sz w:val="15"/>
                <w:szCs w:val="15"/>
              </w:rPr>
              <w:t>(麦角钙化醇)</w:t>
            </w:r>
            <w:r>
              <w:rPr>
                <w:rFonts w:ascii="宋体" w:eastAsia="宋体" w:hAnsi="宋体" w:cs="宋体"/>
                <w:sz w:val="15"/>
                <w:szCs w:val="15"/>
              </w:rPr>
              <w:t xml:space="preserve"> </w:t>
            </w:r>
            <w:r>
              <w:rPr>
                <w:rFonts w:ascii="宋体" w:eastAsia="宋体" w:hAnsi="宋体" w:cs="宋体"/>
                <w:spacing w:val="11"/>
                <w:sz w:val="15"/>
                <w:szCs w:val="15"/>
              </w:rPr>
              <w:t>或D</w:t>
            </w:r>
            <w:r>
              <w:rPr>
                <w:rFonts w:ascii="Calibri" w:eastAsia="Calibri" w:hAnsi="Calibri" w:cs="Calibri"/>
                <w:spacing w:val="11"/>
                <w:sz w:val="15"/>
                <w:szCs w:val="15"/>
              </w:rPr>
              <w:t>₃</w:t>
            </w:r>
            <w:r>
              <w:rPr>
                <w:rFonts w:ascii="Calibri" w:eastAsia="Calibri" w:hAnsi="Calibri" w:cs="Calibri"/>
                <w:spacing w:val="5"/>
                <w:sz w:val="15"/>
                <w:szCs w:val="15"/>
              </w:rPr>
              <w:t xml:space="preserve"> </w:t>
            </w:r>
            <w:r>
              <w:rPr>
                <w:rFonts w:ascii="宋体" w:eastAsia="宋体" w:hAnsi="宋体" w:cs="宋体"/>
                <w:spacing w:val="11"/>
                <w:sz w:val="15"/>
                <w:szCs w:val="15"/>
              </w:rPr>
              <w:t>(胆钙化醇)</w:t>
            </w:r>
          </w:p>
        </w:tc>
        <w:tc>
          <w:tcPr>
            <w:tcW w:w="1580" w:type="dxa"/>
          </w:tcPr>
          <w:p w:rsidR="00EA40A3" w:rsidRDefault="00E86C16">
            <w:pPr>
              <w:spacing w:before="174" w:line="261" w:lineRule="exact"/>
              <w:ind w:left="95"/>
              <w:rPr>
                <w:rFonts w:ascii="宋体" w:eastAsia="宋体" w:hAnsi="宋体" w:cs="宋体"/>
                <w:sz w:val="16"/>
                <w:szCs w:val="16"/>
              </w:rPr>
            </w:pPr>
            <w:r>
              <w:rPr>
                <w:rFonts w:ascii="宋体" w:eastAsia="宋体" w:hAnsi="宋体" w:cs="宋体"/>
                <w:spacing w:val="-2"/>
                <w:position w:val="7"/>
                <w:sz w:val="16"/>
                <w:szCs w:val="16"/>
              </w:rPr>
              <w:t>乳及乳饮料</w:t>
            </w:r>
          </w:p>
          <w:p w:rsidR="00EA40A3" w:rsidRDefault="00E86C16">
            <w:pPr>
              <w:spacing w:line="220" w:lineRule="auto"/>
              <w:ind w:left="95"/>
              <w:rPr>
                <w:rFonts w:ascii="宋体" w:eastAsia="宋体" w:hAnsi="宋体" w:cs="宋体"/>
                <w:sz w:val="16"/>
                <w:szCs w:val="16"/>
              </w:rPr>
            </w:pPr>
            <w:r>
              <w:rPr>
                <w:rFonts w:ascii="宋体" w:eastAsia="宋体" w:hAnsi="宋体" w:cs="宋体"/>
                <w:spacing w:val="4"/>
                <w:sz w:val="16"/>
                <w:szCs w:val="16"/>
              </w:rPr>
              <w:t>人造奶油</w:t>
            </w:r>
          </w:p>
          <w:p w:rsidR="00EA40A3" w:rsidRDefault="00E86C16">
            <w:pPr>
              <w:spacing w:before="68" w:line="220" w:lineRule="auto"/>
              <w:ind w:left="95"/>
              <w:rPr>
                <w:rFonts w:ascii="宋体" w:eastAsia="宋体" w:hAnsi="宋体" w:cs="宋体"/>
                <w:sz w:val="16"/>
                <w:szCs w:val="16"/>
              </w:rPr>
            </w:pPr>
            <w:r>
              <w:rPr>
                <w:rFonts w:ascii="宋体" w:eastAsia="宋体" w:hAnsi="宋体" w:cs="宋体"/>
                <w:spacing w:val="5"/>
                <w:sz w:val="16"/>
                <w:szCs w:val="16"/>
              </w:rPr>
              <w:t>乳制品</w:t>
            </w:r>
          </w:p>
          <w:p w:rsidR="00EA40A3" w:rsidRDefault="00E86C16">
            <w:pPr>
              <w:spacing w:before="78" w:line="219" w:lineRule="auto"/>
              <w:ind w:left="9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04" w:line="268" w:lineRule="auto"/>
              <w:ind w:left="185" w:right="192" w:firstLine="80"/>
              <w:rPr>
                <w:rFonts w:ascii="宋体" w:eastAsia="宋体" w:hAnsi="宋体" w:cs="宋体"/>
                <w:sz w:val="16"/>
                <w:szCs w:val="16"/>
              </w:rPr>
            </w:pPr>
            <w:r>
              <w:rPr>
                <w:rFonts w:ascii="宋体" w:eastAsia="宋体" w:hAnsi="宋体" w:cs="宋体"/>
                <w:spacing w:val="-3"/>
                <w:sz w:val="16"/>
                <w:szCs w:val="16"/>
              </w:rPr>
              <w:t>10～40μg</w:t>
            </w:r>
            <w:r>
              <w:rPr>
                <w:rFonts w:ascii="宋体" w:eastAsia="宋体" w:hAnsi="宋体" w:cs="宋体"/>
                <w:sz w:val="16"/>
                <w:szCs w:val="16"/>
              </w:rPr>
              <w:t xml:space="preserve">  </w:t>
            </w:r>
            <w:r>
              <w:rPr>
                <w:rFonts w:ascii="宋体" w:eastAsia="宋体" w:hAnsi="宋体" w:cs="宋体"/>
                <w:spacing w:val="-3"/>
                <w:sz w:val="16"/>
                <w:szCs w:val="16"/>
              </w:rPr>
              <w:t>125～156μg</w:t>
            </w:r>
            <w:r>
              <w:rPr>
                <w:rFonts w:ascii="宋体" w:eastAsia="宋体" w:hAnsi="宋体" w:cs="宋体"/>
                <w:spacing w:val="7"/>
                <w:sz w:val="16"/>
                <w:szCs w:val="16"/>
              </w:rPr>
              <w:t xml:space="preserve"> </w:t>
            </w:r>
            <w:r>
              <w:rPr>
                <w:rFonts w:ascii="宋体" w:eastAsia="宋体" w:hAnsi="宋体" w:cs="宋体"/>
                <w:spacing w:val="-7"/>
                <w:sz w:val="16"/>
                <w:szCs w:val="16"/>
              </w:rPr>
              <w:t>63～125</w:t>
            </w:r>
            <w:r>
              <w:rPr>
                <w:rFonts w:ascii="宋体" w:eastAsia="宋体" w:hAnsi="宋体" w:cs="宋体"/>
                <w:spacing w:val="47"/>
                <w:sz w:val="16"/>
                <w:szCs w:val="16"/>
              </w:rPr>
              <w:t xml:space="preserve"> </w:t>
            </w:r>
            <w:r>
              <w:rPr>
                <w:rFonts w:ascii="宋体" w:eastAsia="宋体" w:hAnsi="宋体" w:cs="宋体"/>
                <w:spacing w:val="-7"/>
                <w:sz w:val="16"/>
                <w:szCs w:val="16"/>
              </w:rPr>
              <w:t>μg</w:t>
            </w:r>
            <w:r>
              <w:rPr>
                <w:rFonts w:ascii="宋体" w:eastAsia="宋体" w:hAnsi="宋体" w:cs="宋体"/>
                <w:sz w:val="16"/>
                <w:szCs w:val="16"/>
              </w:rPr>
              <w:t xml:space="preserve"> </w:t>
            </w:r>
            <w:r>
              <w:rPr>
                <w:rFonts w:ascii="宋体" w:eastAsia="宋体" w:hAnsi="宋体" w:cs="宋体"/>
                <w:spacing w:val="-7"/>
                <w:sz w:val="16"/>
                <w:szCs w:val="16"/>
              </w:rPr>
              <w:t>50～100</w:t>
            </w:r>
            <w:r>
              <w:rPr>
                <w:rFonts w:ascii="宋体" w:eastAsia="宋体" w:hAnsi="宋体" w:cs="宋体"/>
                <w:spacing w:val="45"/>
                <w:sz w:val="16"/>
                <w:szCs w:val="16"/>
              </w:rPr>
              <w:t xml:space="preserve"> </w:t>
            </w:r>
            <w:r>
              <w:rPr>
                <w:rFonts w:ascii="宋体" w:eastAsia="宋体" w:hAnsi="宋体" w:cs="宋体"/>
                <w:spacing w:val="-7"/>
                <w:sz w:val="16"/>
                <w:szCs w:val="16"/>
              </w:rPr>
              <w:t>μg</w:t>
            </w:r>
          </w:p>
        </w:tc>
        <w:tc>
          <w:tcPr>
            <w:tcW w:w="2460" w:type="dxa"/>
            <w:tcBorders>
              <w:right w:val="nil"/>
            </w:tcBorders>
          </w:tcPr>
          <w:p w:rsidR="00EA40A3" w:rsidRDefault="00EA40A3">
            <w:pPr>
              <w:spacing w:line="242" w:lineRule="auto"/>
            </w:pPr>
          </w:p>
          <w:p w:rsidR="00EA40A3" w:rsidRDefault="00EA40A3">
            <w:pPr>
              <w:spacing w:line="242" w:lineRule="auto"/>
            </w:pPr>
          </w:p>
          <w:p w:rsidR="00EA40A3" w:rsidRDefault="00E86C16">
            <w:pPr>
              <w:spacing w:before="52" w:line="214" w:lineRule="auto"/>
              <w:ind w:left="115"/>
              <w:rPr>
                <w:rFonts w:ascii="宋体" w:eastAsia="宋体" w:hAnsi="宋体" w:cs="宋体"/>
                <w:sz w:val="16"/>
                <w:szCs w:val="16"/>
              </w:rPr>
            </w:pPr>
            <w:r>
              <w:rPr>
                <w:rFonts w:ascii="宋体" w:eastAsia="宋体" w:hAnsi="宋体" w:cs="宋体"/>
                <w:spacing w:val="17"/>
                <w:sz w:val="16"/>
                <w:szCs w:val="16"/>
              </w:rPr>
              <w:t>μg维生素D=40</w:t>
            </w:r>
            <w:r>
              <w:rPr>
                <w:rFonts w:ascii="宋体" w:eastAsia="宋体" w:hAnsi="宋体" w:cs="宋体"/>
                <w:spacing w:val="63"/>
                <w:sz w:val="16"/>
                <w:szCs w:val="16"/>
              </w:rPr>
              <w:t xml:space="preserve"> </w:t>
            </w:r>
            <w:r>
              <w:rPr>
                <w:rFonts w:ascii="宋体" w:eastAsia="宋体" w:hAnsi="宋体" w:cs="宋体"/>
                <w:sz w:val="16"/>
                <w:szCs w:val="16"/>
              </w:rPr>
              <w:t>IU</w:t>
            </w:r>
            <w:r>
              <w:rPr>
                <w:rFonts w:ascii="宋体" w:eastAsia="宋体" w:hAnsi="宋体" w:cs="宋体"/>
                <w:spacing w:val="17"/>
                <w:sz w:val="16"/>
                <w:szCs w:val="16"/>
              </w:rPr>
              <w:t>维生素D</w:t>
            </w:r>
          </w:p>
        </w:tc>
      </w:tr>
    </w:tbl>
    <w:p w:rsidR="00EA40A3" w:rsidRDefault="00EA40A3"/>
    <w:p w:rsidR="00EA40A3" w:rsidRDefault="00EA40A3">
      <w:pPr>
        <w:sectPr w:rsidR="00EA40A3">
          <w:footerReference w:type="default" r:id="rId358"/>
          <w:pgSz w:w="9220" w:h="13360"/>
          <w:pgMar w:top="400" w:right="1060" w:bottom="1255" w:left="899" w:header="0" w:footer="1035" w:gutter="0"/>
          <w:cols w:space="720"/>
        </w:sectPr>
      </w:pPr>
    </w:p>
    <w:p w:rsidR="00EA40A3" w:rsidRDefault="00EA40A3">
      <w:pPr>
        <w:spacing w:line="243" w:lineRule="auto"/>
      </w:pPr>
    </w:p>
    <w:p w:rsidR="00EA40A3" w:rsidRDefault="00EA40A3">
      <w:pPr>
        <w:spacing w:line="243" w:lineRule="auto"/>
      </w:pPr>
    </w:p>
    <w:p w:rsidR="00EA40A3" w:rsidRDefault="00E86C16">
      <w:pPr>
        <w:spacing w:before="58" w:line="220" w:lineRule="auto"/>
        <w:ind w:right="335"/>
        <w:jc w:val="right"/>
        <w:rPr>
          <w:rFonts w:ascii="宋体" w:eastAsia="宋体" w:hAnsi="宋体" w:cs="宋体"/>
          <w:sz w:val="18"/>
          <w:szCs w:val="18"/>
        </w:rPr>
      </w:pPr>
      <w:r>
        <w:rPr>
          <w:rFonts w:ascii="宋体" w:eastAsia="宋体" w:hAnsi="宋体" w:cs="宋体"/>
          <w:spacing w:val="-3"/>
          <w:sz w:val="18"/>
          <w:szCs w:val="18"/>
        </w:rPr>
        <w:t>续表</w:t>
      </w:r>
    </w:p>
    <w:p w:rsidR="00EA40A3" w:rsidRDefault="00EA40A3">
      <w:pPr>
        <w:spacing w:line="92" w:lineRule="exact"/>
      </w:pPr>
    </w:p>
    <w:tbl>
      <w:tblPr>
        <w:tblStyle w:val="TableNormal"/>
        <w:tblW w:w="72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410"/>
        <w:gridCol w:w="1580"/>
        <w:gridCol w:w="1260"/>
        <w:gridCol w:w="2501"/>
      </w:tblGrid>
      <w:tr w:rsidR="00EA40A3">
        <w:trPr>
          <w:trHeight w:val="295"/>
        </w:trPr>
        <w:tc>
          <w:tcPr>
            <w:tcW w:w="540" w:type="dxa"/>
            <w:tcBorders>
              <w:left w:val="nil"/>
            </w:tcBorders>
          </w:tcPr>
          <w:p w:rsidR="00EA40A3" w:rsidRDefault="00E86C16">
            <w:pPr>
              <w:spacing w:before="71" w:line="219" w:lineRule="auto"/>
              <w:ind w:left="109"/>
              <w:rPr>
                <w:rFonts w:ascii="宋体" w:eastAsia="宋体" w:hAnsi="宋体" w:cs="宋体"/>
                <w:sz w:val="16"/>
                <w:szCs w:val="16"/>
              </w:rPr>
            </w:pPr>
            <w:r>
              <w:rPr>
                <w:rFonts w:ascii="宋体" w:eastAsia="宋体" w:hAnsi="宋体" w:cs="宋体"/>
                <w:spacing w:val="-2"/>
                <w:sz w:val="16"/>
                <w:szCs w:val="16"/>
              </w:rPr>
              <w:t>种类</w:t>
            </w:r>
          </w:p>
        </w:tc>
        <w:tc>
          <w:tcPr>
            <w:tcW w:w="1410" w:type="dxa"/>
          </w:tcPr>
          <w:p w:rsidR="00EA40A3" w:rsidRDefault="00E86C16">
            <w:pPr>
              <w:spacing w:before="72" w:line="220" w:lineRule="auto"/>
              <w:ind w:left="405"/>
              <w:rPr>
                <w:rFonts w:ascii="宋体" w:eastAsia="宋体" w:hAnsi="宋体" w:cs="宋体"/>
                <w:sz w:val="16"/>
                <w:szCs w:val="16"/>
              </w:rPr>
            </w:pPr>
            <w:r>
              <w:rPr>
                <w:rFonts w:ascii="宋体" w:eastAsia="宋体" w:hAnsi="宋体" w:cs="宋体"/>
                <w:spacing w:val="-10"/>
                <w:sz w:val="16"/>
                <w:szCs w:val="16"/>
              </w:rPr>
              <w:t>品</w:t>
            </w:r>
            <w:r>
              <w:rPr>
                <w:rFonts w:ascii="宋体" w:eastAsia="宋体" w:hAnsi="宋体" w:cs="宋体"/>
                <w:spacing w:val="9"/>
                <w:sz w:val="16"/>
                <w:szCs w:val="16"/>
              </w:rPr>
              <w:t xml:space="preserve">    </w:t>
            </w:r>
            <w:r>
              <w:rPr>
                <w:rFonts w:ascii="宋体" w:eastAsia="宋体" w:hAnsi="宋体" w:cs="宋体"/>
                <w:spacing w:val="-10"/>
                <w:sz w:val="16"/>
                <w:szCs w:val="16"/>
              </w:rPr>
              <w:t>种</w:t>
            </w:r>
          </w:p>
        </w:tc>
        <w:tc>
          <w:tcPr>
            <w:tcW w:w="1580" w:type="dxa"/>
          </w:tcPr>
          <w:p w:rsidR="00EA40A3" w:rsidRDefault="00E86C16">
            <w:pPr>
              <w:spacing w:before="71" w:line="219" w:lineRule="auto"/>
              <w:ind w:left="495"/>
              <w:rPr>
                <w:rFonts w:ascii="宋体" w:eastAsia="宋体" w:hAnsi="宋体" w:cs="宋体"/>
                <w:sz w:val="16"/>
                <w:szCs w:val="16"/>
              </w:rPr>
            </w:pPr>
            <w:r>
              <w:rPr>
                <w:rFonts w:ascii="宋体" w:eastAsia="宋体" w:hAnsi="宋体" w:cs="宋体"/>
                <w:spacing w:val="3"/>
                <w:sz w:val="16"/>
                <w:szCs w:val="16"/>
              </w:rPr>
              <w:t>使用范围</w:t>
            </w:r>
          </w:p>
        </w:tc>
        <w:tc>
          <w:tcPr>
            <w:tcW w:w="1260" w:type="dxa"/>
          </w:tcPr>
          <w:p w:rsidR="00EA40A3" w:rsidRDefault="00E86C16">
            <w:pPr>
              <w:spacing w:before="71" w:line="219" w:lineRule="auto"/>
              <w:ind w:left="144"/>
              <w:rPr>
                <w:rFonts w:ascii="宋体" w:eastAsia="宋体" w:hAnsi="宋体" w:cs="宋体"/>
                <w:sz w:val="16"/>
                <w:szCs w:val="16"/>
              </w:rPr>
            </w:pPr>
            <w:r>
              <w:rPr>
                <w:rFonts w:ascii="宋体" w:eastAsia="宋体" w:hAnsi="宋体" w:cs="宋体"/>
                <w:spacing w:val="-1"/>
                <w:sz w:val="16"/>
                <w:szCs w:val="16"/>
              </w:rPr>
              <w:t>每千克使用量</w:t>
            </w:r>
          </w:p>
        </w:tc>
        <w:tc>
          <w:tcPr>
            <w:tcW w:w="2501" w:type="dxa"/>
            <w:tcBorders>
              <w:right w:val="nil"/>
            </w:tcBorders>
          </w:tcPr>
          <w:p w:rsidR="00EA40A3" w:rsidRDefault="00E86C16">
            <w:pPr>
              <w:spacing w:before="72" w:line="221" w:lineRule="auto"/>
              <w:ind w:left="915"/>
              <w:rPr>
                <w:rFonts w:ascii="宋体" w:eastAsia="宋体" w:hAnsi="宋体" w:cs="宋体"/>
                <w:sz w:val="16"/>
                <w:szCs w:val="16"/>
              </w:rPr>
            </w:pPr>
            <w:r>
              <w:rPr>
                <w:rFonts w:ascii="宋体" w:eastAsia="宋体" w:hAnsi="宋体" w:cs="宋体"/>
                <w:spacing w:val="-5"/>
                <w:sz w:val="16"/>
                <w:szCs w:val="16"/>
              </w:rPr>
              <w:t>备</w:t>
            </w:r>
            <w:r>
              <w:rPr>
                <w:rFonts w:ascii="宋体" w:eastAsia="宋体" w:hAnsi="宋体" w:cs="宋体"/>
                <w:spacing w:val="5"/>
                <w:sz w:val="16"/>
                <w:szCs w:val="16"/>
              </w:rPr>
              <w:t xml:space="preserve">    </w:t>
            </w:r>
            <w:r>
              <w:rPr>
                <w:rFonts w:ascii="宋体" w:eastAsia="宋体" w:hAnsi="宋体" w:cs="宋体"/>
                <w:spacing w:val="-5"/>
                <w:sz w:val="16"/>
                <w:szCs w:val="16"/>
              </w:rPr>
              <w:t>注</w:t>
            </w:r>
          </w:p>
        </w:tc>
      </w:tr>
      <w:tr w:rsidR="00EA40A3">
        <w:trPr>
          <w:trHeight w:val="689"/>
        </w:trPr>
        <w:tc>
          <w:tcPr>
            <w:tcW w:w="540" w:type="dxa"/>
            <w:vMerge w:val="restart"/>
            <w:tcBorders>
              <w:left w:val="nil"/>
              <w:bottom w:val="nil"/>
            </w:tcBorders>
            <w:textDirection w:val="tbRlV"/>
          </w:tcPr>
          <w:p w:rsidR="00EA40A3" w:rsidRDefault="00E86C16">
            <w:pPr>
              <w:spacing w:before="185" w:line="216" w:lineRule="auto"/>
              <w:ind w:left="4712"/>
              <w:rPr>
                <w:rFonts w:ascii="宋体" w:eastAsia="宋体" w:hAnsi="宋体" w:cs="宋体"/>
                <w:sz w:val="16"/>
                <w:szCs w:val="16"/>
              </w:rPr>
            </w:pPr>
            <w:r>
              <w:rPr>
                <w:rFonts w:ascii="宋体" w:eastAsia="宋体" w:hAnsi="宋体" w:cs="宋体"/>
                <w:spacing w:val="24"/>
                <w:w w:val="133"/>
                <w:sz w:val="16"/>
                <w:szCs w:val="16"/>
              </w:rPr>
              <w:t>维生素类</w:t>
            </w:r>
          </w:p>
        </w:tc>
        <w:tc>
          <w:tcPr>
            <w:tcW w:w="1410" w:type="dxa"/>
            <w:vMerge w:val="restart"/>
            <w:tcBorders>
              <w:bottom w:val="nil"/>
            </w:tcBorders>
          </w:tcPr>
          <w:p w:rsidR="00EA40A3" w:rsidRDefault="00EA40A3"/>
          <w:p w:rsidR="00EA40A3" w:rsidRDefault="00EA40A3">
            <w:pPr>
              <w:spacing w:line="241" w:lineRule="auto"/>
            </w:pPr>
          </w:p>
          <w:p w:rsidR="00EA40A3" w:rsidRDefault="00E86C16">
            <w:pPr>
              <w:spacing w:before="52" w:line="219" w:lineRule="auto"/>
              <w:ind w:left="405"/>
              <w:rPr>
                <w:rFonts w:ascii="宋体" w:eastAsia="宋体" w:hAnsi="宋体" w:cs="宋体"/>
                <w:sz w:val="16"/>
                <w:szCs w:val="16"/>
              </w:rPr>
            </w:pPr>
            <w:r>
              <w:rPr>
                <w:rFonts w:ascii="宋体" w:eastAsia="宋体" w:hAnsi="宋体" w:cs="宋体"/>
                <w:spacing w:val="-2"/>
                <w:sz w:val="16"/>
                <w:szCs w:val="16"/>
              </w:rPr>
              <w:t>维生素E</w:t>
            </w:r>
          </w:p>
          <w:p w:rsidR="00EA40A3" w:rsidRDefault="00E86C16">
            <w:pPr>
              <w:spacing w:before="70" w:line="219" w:lineRule="auto"/>
              <w:ind w:left="284"/>
              <w:rPr>
                <w:rFonts w:ascii="宋体" w:eastAsia="宋体" w:hAnsi="宋体" w:cs="宋体"/>
                <w:sz w:val="16"/>
                <w:szCs w:val="16"/>
              </w:rPr>
            </w:pPr>
            <w:r>
              <w:rPr>
                <w:rFonts w:ascii="宋体" w:eastAsia="宋体" w:hAnsi="宋体" w:cs="宋体"/>
                <w:spacing w:val="-3"/>
                <w:sz w:val="16"/>
                <w:szCs w:val="16"/>
              </w:rPr>
              <w:t>(d-</w:t>
            </w:r>
            <w:r>
              <w:rPr>
                <w:rFonts w:ascii="宋体" w:eastAsia="宋体" w:hAnsi="宋体" w:cs="宋体"/>
                <w:spacing w:val="-22"/>
                <w:sz w:val="16"/>
                <w:szCs w:val="16"/>
              </w:rPr>
              <w:t xml:space="preserve"> </w:t>
            </w:r>
            <w:r>
              <w:rPr>
                <w:rFonts w:ascii="宋体" w:eastAsia="宋体" w:hAnsi="宋体" w:cs="宋体"/>
                <w:spacing w:val="-3"/>
                <w:sz w:val="16"/>
                <w:szCs w:val="16"/>
              </w:rPr>
              <w:t>α生育酚)</w:t>
            </w:r>
          </w:p>
        </w:tc>
        <w:tc>
          <w:tcPr>
            <w:tcW w:w="1580" w:type="dxa"/>
          </w:tcPr>
          <w:p w:rsidR="00EA40A3" w:rsidRDefault="00E86C16">
            <w:pPr>
              <w:spacing w:before="157" w:line="260" w:lineRule="auto"/>
              <w:ind w:left="244" w:right="45" w:hanging="150"/>
              <w:rPr>
                <w:rFonts w:ascii="宋体" w:eastAsia="宋体" w:hAnsi="宋体" w:cs="宋体"/>
                <w:sz w:val="16"/>
                <w:szCs w:val="16"/>
              </w:rPr>
            </w:pPr>
            <w:r>
              <w:rPr>
                <w:rFonts w:ascii="宋体" w:eastAsia="宋体" w:hAnsi="宋体" w:cs="宋体"/>
                <w:spacing w:val="-2"/>
                <w:sz w:val="16"/>
                <w:szCs w:val="16"/>
              </w:rPr>
              <w:t>芝麻油、色拉油、人</w:t>
            </w:r>
            <w:r>
              <w:rPr>
                <w:rFonts w:ascii="宋体" w:eastAsia="宋体" w:hAnsi="宋体" w:cs="宋体"/>
                <w:spacing w:val="6"/>
                <w:sz w:val="16"/>
                <w:szCs w:val="16"/>
              </w:rPr>
              <w:t xml:space="preserve"> </w:t>
            </w:r>
            <w:r>
              <w:rPr>
                <w:rFonts w:ascii="宋体" w:eastAsia="宋体" w:hAnsi="宋体" w:cs="宋体"/>
                <w:spacing w:val="2"/>
                <w:sz w:val="16"/>
                <w:szCs w:val="16"/>
              </w:rPr>
              <w:t>造奶油、乳制品</w:t>
            </w:r>
          </w:p>
        </w:tc>
        <w:tc>
          <w:tcPr>
            <w:tcW w:w="1260" w:type="dxa"/>
          </w:tcPr>
          <w:p w:rsidR="00EA40A3" w:rsidRDefault="00E86C16">
            <w:pPr>
              <w:spacing w:before="285" w:line="184" w:lineRule="auto"/>
              <w:ind w:left="184"/>
              <w:rPr>
                <w:rFonts w:ascii="宋体" w:eastAsia="宋体" w:hAnsi="宋体" w:cs="宋体"/>
                <w:sz w:val="16"/>
                <w:szCs w:val="16"/>
              </w:rPr>
            </w:pPr>
            <w:r>
              <w:rPr>
                <w:rFonts w:ascii="宋体" w:eastAsia="宋体" w:hAnsi="宋体" w:cs="宋体"/>
                <w:spacing w:val="-3"/>
                <w:sz w:val="16"/>
                <w:szCs w:val="16"/>
              </w:rPr>
              <w:t>100～180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501" w:type="dxa"/>
            <w:vMerge w:val="restart"/>
            <w:tcBorders>
              <w:bottom w:val="nil"/>
              <w:right w:val="nil"/>
            </w:tcBorders>
          </w:tcPr>
          <w:p w:rsidR="00EA40A3" w:rsidRDefault="00E86C16">
            <w:pPr>
              <w:spacing w:before="146" w:line="219" w:lineRule="auto"/>
              <w:ind w:left="104"/>
              <w:rPr>
                <w:rFonts w:ascii="宋体" w:eastAsia="宋体" w:hAnsi="宋体" w:cs="宋体"/>
                <w:sz w:val="16"/>
                <w:szCs w:val="16"/>
              </w:rPr>
            </w:pPr>
            <w:r>
              <w:rPr>
                <w:rFonts w:ascii="宋体" w:eastAsia="宋体" w:hAnsi="宋体" w:cs="宋体"/>
                <w:spacing w:val="-3"/>
                <w:sz w:val="16"/>
                <w:szCs w:val="16"/>
              </w:rPr>
              <w:t>1.以d-</w:t>
            </w:r>
            <w:r>
              <w:rPr>
                <w:rFonts w:ascii="宋体" w:eastAsia="宋体" w:hAnsi="宋体" w:cs="宋体"/>
                <w:spacing w:val="-36"/>
                <w:sz w:val="16"/>
                <w:szCs w:val="16"/>
              </w:rPr>
              <w:t xml:space="preserve"> </w:t>
            </w:r>
            <w:r>
              <w:rPr>
                <w:rFonts w:ascii="宋体" w:eastAsia="宋体" w:hAnsi="宋体" w:cs="宋体"/>
                <w:spacing w:val="-3"/>
                <w:sz w:val="16"/>
                <w:szCs w:val="16"/>
              </w:rPr>
              <w:t>α生育酚计算</w:t>
            </w:r>
          </w:p>
          <w:p w:rsidR="00EA40A3" w:rsidRDefault="00E86C16">
            <w:pPr>
              <w:spacing w:before="80" w:line="286" w:lineRule="auto"/>
              <w:ind w:left="273" w:hanging="169"/>
              <w:rPr>
                <w:rFonts w:ascii="宋体" w:eastAsia="宋体" w:hAnsi="宋体" w:cs="宋体"/>
                <w:sz w:val="15"/>
                <w:szCs w:val="15"/>
              </w:rPr>
            </w:pPr>
            <w:r>
              <w:rPr>
                <w:rFonts w:ascii="宋体" w:eastAsia="宋体" w:hAnsi="宋体" w:cs="宋体"/>
                <w:spacing w:val="17"/>
                <w:sz w:val="15"/>
                <w:szCs w:val="15"/>
              </w:rPr>
              <w:t>2.如用</w:t>
            </w:r>
            <w:r>
              <w:rPr>
                <w:rFonts w:ascii="宋体" w:eastAsia="宋体" w:hAnsi="宋体" w:cs="宋体"/>
                <w:sz w:val="15"/>
                <w:szCs w:val="15"/>
              </w:rPr>
              <w:t>dl</w:t>
            </w:r>
            <w:r>
              <w:rPr>
                <w:rFonts w:ascii="宋体" w:eastAsia="宋体" w:hAnsi="宋体" w:cs="宋体"/>
                <w:spacing w:val="17"/>
                <w:sz w:val="15"/>
                <w:szCs w:val="15"/>
              </w:rPr>
              <w:t>α生育酚、d-a乙酸生</w:t>
            </w:r>
            <w:r>
              <w:rPr>
                <w:rFonts w:ascii="宋体" w:eastAsia="宋体" w:hAnsi="宋体" w:cs="宋体"/>
                <w:spacing w:val="3"/>
                <w:sz w:val="15"/>
                <w:szCs w:val="15"/>
              </w:rPr>
              <w:t xml:space="preserve">  </w:t>
            </w:r>
            <w:r>
              <w:rPr>
                <w:rFonts w:ascii="宋体" w:eastAsia="宋体" w:hAnsi="宋体" w:cs="宋体"/>
                <w:spacing w:val="6"/>
                <w:sz w:val="15"/>
                <w:szCs w:val="15"/>
              </w:rPr>
              <w:t>育酚或</w:t>
            </w:r>
            <w:r>
              <w:rPr>
                <w:rFonts w:ascii="宋体" w:eastAsia="宋体" w:hAnsi="宋体" w:cs="宋体"/>
                <w:sz w:val="15"/>
                <w:szCs w:val="15"/>
              </w:rPr>
              <w:t>dl</w:t>
            </w:r>
            <w:r>
              <w:rPr>
                <w:rFonts w:ascii="宋体" w:eastAsia="宋体" w:hAnsi="宋体" w:cs="宋体"/>
                <w:spacing w:val="6"/>
                <w:sz w:val="15"/>
                <w:szCs w:val="15"/>
              </w:rPr>
              <w:t>-</w:t>
            </w:r>
            <w:r>
              <w:rPr>
                <w:rFonts w:ascii="宋体" w:eastAsia="宋体" w:hAnsi="宋体" w:cs="宋体"/>
                <w:spacing w:val="-22"/>
                <w:sz w:val="15"/>
                <w:szCs w:val="15"/>
              </w:rPr>
              <w:t xml:space="preserve"> </w:t>
            </w:r>
            <w:r>
              <w:rPr>
                <w:rFonts w:ascii="宋体" w:eastAsia="宋体" w:hAnsi="宋体" w:cs="宋体"/>
                <w:spacing w:val="6"/>
                <w:sz w:val="15"/>
                <w:szCs w:val="15"/>
              </w:rPr>
              <w:t>α乙酸生育酚强化</w:t>
            </w:r>
            <w:r>
              <w:rPr>
                <w:rFonts w:ascii="宋体" w:eastAsia="宋体" w:hAnsi="宋体" w:cs="宋体"/>
                <w:spacing w:val="-11"/>
                <w:sz w:val="15"/>
                <w:szCs w:val="15"/>
              </w:rPr>
              <w:t xml:space="preserve"> </w:t>
            </w:r>
            <w:r>
              <w:rPr>
                <w:rFonts w:ascii="宋体" w:eastAsia="宋体" w:hAnsi="宋体" w:cs="宋体"/>
                <w:spacing w:val="6"/>
                <w:sz w:val="15"/>
                <w:szCs w:val="15"/>
              </w:rPr>
              <w:t>·</w:t>
            </w:r>
            <w:r>
              <w:rPr>
                <w:rFonts w:ascii="宋体" w:eastAsia="宋体" w:hAnsi="宋体" w:cs="宋体"/>
                <w:sz w:val="15"/>
                <w:szCs w:val="15"/>
              </w:rPr>
              <w:t xml:space="preserve"> </w:t>
            </w:r>
            <w:r>
              <w:rPr>
                <w:rFonts w:ascii="宋体" w:eastAsia="宋体" w:hAnsi="宋体" w:cs="宋体"/>
                <w:spacing w:val="11"/>
                <w:sz w:val="15"/>
                <w:szCs w:val="15"/>
              </w:rPr>
              <w:t>需经折算</w:t>
            </w:r>
          </w:p>
          <w:p w:rsidR="00EA40A3" w:rsidRDefault="00E86C16">
            <w:pPr>
              <w:spacing w:before="66" w:line="214" w:lineRule="auto"/>
              <w:ind w:left="104"/>
              <w:rPr>
                <w:rFonts w:ascii="宋体" w:eastAsia="宋体" w:hAnsi="宋体" w:cs="宋体"/>
                <w:sz w:val="16"/>
                <w:szCs w:val="16"/>
              </w:rPr>
            </w:pPr>
            <w:r>
              <w:rPr>
                <w:rFonts w:ascii="宋体" w:eastAsia="宋体" w:hAnsi="宋体" w:cs="宋体"/>
                <w:spacing w:val="22"/>
                <w:sz w:val="16"/>
                <w:szCs w:val="16"/>
              </w:rPr>
              <w:t>3</w:t>
            </w:r>
            <w:r>
              <w:rPr>
                <w:rFonts w:ascii="宋体" w:eastAsia="宋体" w:hAnsi="宋体" w:cs="宋体"/>
                <w:spacing w:val="-44"/>
                <w:sz w:val="16"/>
                <w:szCs w:val="16"/>
              </w:rPr>
              <w:t xml:space="preserve"> </w:t>
            </w:r>
            <w:r>
              <w:rPr>
                <w:rFonts w:ascii="宋体" w:eastAsia="宋体" w:hAnsi="宋体" w:cs="宋体"/>
                <w:spacing w:val="22"/>
                <w:sz w:val="16"/>
                <w:szCs w:val="16"/>
              </w:rPr>
              <w:t>.</w:t>
            </w:r>
            <w:r>
              <w:rPr>
                <w:rFonts w:ascii="宋体" w:eastAsia="宋体" w:hAnsi="宋体" w:cs="宋体"/>
                <w:spacing w:val="-39"/>
                <w:sz w:val="16"/>
                <w:szCs w:val="16"/>
              </w:rPr>
              <w:t xml:space="preserve"> </w:t>
            </w:r>
            <w:r>
              <w:rPr>
                <w:rFonts w:ascii="宋体" w:eastAsia="宋体" w:hAnsi="宋体" w:cs="宋体"/>
                <w:spacing w:val="22"/>
                <w:sz w:val="16"/>
                <w:szCs w:val="16"/>
              </w:rPr>
              <w:t>1</w:t>
            </w:r>
            <w:r>
              <w:rPr>
                <w:rFonts w:ascii="宋体" w:eastAsia="宋体" w:hAnsi="宋体" w:cs="宋体"/>
                <w:sz w:val="16"/>
                <w:szCs w:val="16"/>
              </w:rPr>
              <w:t>mg</w:t>
            </w:r>
            <w:r>
              <w:rPr>
                <w:rFonts w:ascii="宋体" w:eastAsia="宋体" w:hAnsi="宋体" w:cs="宋体"/>
                <w:spacing w:val="22"/>
                <w:sz w:val="16"/>
                <w:szCs w:val="16"/>
              </w:rPr>
              <w:t>维生素E=1</w:t>
            </w:r>
            <w:r>
              <w:rPr>
                <w:rFonts w:ascii="宋体" w:eastAsia="宋体" w:hAnsi="宋体" w:cs="宋体"/>
                <w:sz w:val="16"/>
                <w:szCs w:val="16"/>
              </w:rPr>
              <w:t>IU</w:t>
            </w:r>
            <w:r>
              <w:rPr>
                <w:rFonts w:ascii="宋体" w:eastAsia="宋体" w:hAnsi="宋体" w:cs="宋体"/>
                <w:spacing w:val="22"/>
                <w:sz w:val="16"/>
                <w:szCs w:val="16"/>
              </w:rPr>
              <w:t>维生素E</w:t>
            </w:r>
          </w:p>
        </w:tc>
      </w:tr>
      <w:tr w:rsidR="00EA40A3">
        <w:trPr>
          <w:trHeight w:val="759"/>
        </w:trPr>
        <w:tc>
          <w:tcPr>
            <w:tcW w:w="540" w:type="dxa"/>
            <w:vMerge/>
            <w:tcBorders>
              <w:top w:val="nil"/>
              <w:left w:val="nil"/>
              <w:bottom w:val="nil"/>
            </w:tcBorders>
            <w:textDirection w:val="tbRlV"/>
          </w:tcPr>
          <w:p w:rsidR="00EA40A3" w:rsidRDefault="00EA40A3"/>
        </w:tc>
        <w:tc>
          <w:tcPr>
            <w:tcW w:w="1410" w:type="dxa"/>
            <w:vMerge/>
            <w:tcBorders>
              <w:top w:val="nil"/>
            </w:tcBorders>
          </w:tcPr>
          <w:p w:rsidR="00EA40A3" w:rsidRDefault="00EA40A3"/>
        </w:tc>
        <w:tc>
          <w:tcPr>
            <w:tcW w:w="1580" w:type="dxa"/>
          </w:tcPr>
          <w:p w:rsidR="00EA40A3" w:rsidRDefault="00E86C16">
            <w:pPr>
              <w:spacing w:before="197" w:line="261" w:lineRule="exact"/>
              <w:ind w:left="94"/>
              <w:rPr>
                <w:rFonts w:ascii="宋体" w:eastAsia="宋体" w:hAnsi="宋体" w:cs="宋体"/>
                <w:sz w:val="16"/>
                <w:szCs w:val="16"/>
              </w:rPr>
            </w:pPr>
            <w:r>
              <w:rPr>
                <w:rFonts w:ascii="宋体" w:eastAsia="宋体" w:hAnsi="宋体" w:cs="宋体"/>
                <w:spacing w:val="3"/>
                <w:position w:val="7"/>
                <w:sz w:val="16"/>
                <w:szCs w:val="16"/>
              </w:rPr>
              <w:t>婴幼儿食品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2"/>
                <w:sz w:val="16"/>
                <w:szCs w:val="16"/>
              </w:rPr>
              <w:t>乳饮料</w:t>
            </w:r>
          </w:p>
        </w:tc>
        <w:tc>
          <w:tcPr>
            <w:tcW w:w="1260" w:type="dxa"/>
          </w:tcPr>
          <w:p w:rsidR="00EA40A3" w:rsidRDefault="00E86C16">
            <w:pPr>
              <w:spacing w:before="217" w:line="260" w:lineRule="exact"/>
              <w:ind w:left="265"/>
              <w:rPr>
                <w:rFonts w:ascii="宋体" w:eastAsia="宋体" w:hAnsi="宋体" w:cs="宋体"/>
                <w:sz w:val="16"/>
                <w:szCs w:val="16"/>
              </w:rPr>
            </w:pPr>
            <w:r>
              <w:rPr>
                <w:rFonts w:ascii="宋体" w:eastAsia="宋体" w:hAnsi="宋体" w:cs="宋体"/>
                <w:spacing w:val="-1"/>
                <w:position w:val="10"/>
                <w:sz w:val="16"/>
                <w:szCs w:val="16"/>
              </w:rPr>
              <w:t>40～70</w:t>
            </w:r>
            <w:r>
              <w:rPr>
                <w:rFonts w:ascii="宋体" w:eastAsia="宋体" w:hAnsi="宋体" w:cs="宋体"/>
                <w:spacing w:val="1"/>
                <w:position w:val="10"/>
                <w:sz w:val="16"/>
                <w:szCs w:val="16"/>
              </w:rPr>
              <w:t xml:space="preserve"> </w:t>
            </w:r>
            <w:r>
              <w:rPr>
                <w:rFonts w:ascii="宋体" w:eastAsia="宋体" w:hAnsi="宋体" w:cs="宋体"/>
                <w:spacing w:val="-1"/>
                <w:position w:val="10"/>
                <w:sz w:val="16"/>
                <w:szCs w:val="16"/>
              </w:rPr>
              <w:t>mg</w:t>
            </w:r>
          </w:p>
          <w:p w:rsidR="00EA40A3" w:rsidRDefault="00E86C16">
            <w:pPr>
              <w:spacing w:line="183" w:lineRule="auto"/>
              <w:ind w:left="265"/>
              <w:rPr>
                <w:rFonts w:ascii="宋体" w:eastAsia="宋体" w:hAnsi="宋体" w:cs="宋体"/>
                <w:sz w:val="16"/>
                <w:szCs w:val="16"/>
              </w:rPr>
            </w:pPr>
            <w:r>
              <w:rPr>
                <w:rFonts w:ascii="宋体" w:eastAsia="宋体" w:hAnsi="宋体" w:cs="宋体"/>
                <w:spacing w:val="-3"/>
                <w:sz w:val="16"/>
                <w:szCs w:val="16"/>
              </w:rPr>
              <w:t>10～20</w:t>
            </w:r>
            <w:r>
              <w:rPr>
                <w:rFonts w:ascii="宋体" w:eastAsia="宋体" w:hAnsi="宋体" w:cs="宋体"/>
                <w:spacing w:val="25"/>
                <w:w w:val="101"/>
                <w:sz w:val="16"/>
                <w:szCs w:val="16"/>
              </w:rPr>
              <w:t xml:space="preserve"> </w:t>
            </w:r>
            <w:r>
              <w:rPr>
                <w:rFonts w:ascii="宋体" w:eastAsia="宋体" w:hAnsi="宋体" w:cs="宋体"/>
                <w:spacing w:val="-3"/>
                <w:sz w:val="16"/>
                <w:szCs w:val="16"/>
              </w:rPr>
              <w:t>mg</w:t>
            </w:r>
          </w:p>
        </w:tc>
        <w:tc>
          <w:tcPr>
            <w:tcW w:w="2501" w:type="dxa"/>
            <w:vMerge/>
            <w:tcBorders>
              <w:top w:val="nil"/>
              <w:right w:val="nil"/>
            </w:tcBorders>
          </w:tcPr>
          <w:p w:rsidR="00EA40A3" w:rsidRDefault="00EA40A3"/>
        </w:tc>
      </w:tr>
      <w:tr w:rsidR="00EA40A3">
        <w:trPr>
          <w:trHeight w:val="1169"/>
        </w:trPr>
        <w:tc>
          <w:tcPr>
            <w:tcW w:w="540" w:type="dxa"/>
            <w:vMerge/>
            <w:tcBorders>
              <w:top w:val="nil"/>
              <w:left w:val="nil"/>
              <w:bottom w:val="nil"/>
            </w:tcBorders>
            <w:textDirection w:val="tbRlV"/>
          </w:tcPr>
          <w:p w:rsidR="00EA40A3" w:rsidRDefault="00EA40A3"/>
        </w:tc>
        <w:tc>
          <w:tcPr>
            <w:tcW w:w="1410" w:type="dxa"/>
          </w:tcPr>
          <w:p w:rsidR="00EA40A3" w:rsidRDefault="00EA40A3">
            <w:pPr>
              <w:spacing w:line="344" w:lineRule="auto"/>
            </w:pPr>
          </w:p>
          <w:p w:rsidR="00EA40A3" w:rsidRDefault="00E86C16">
            <w:pPr>
              <w:spacing w:before="52" w:line="219" w:lineRule="auto"/>
              <w:ind w:left="75"/>
              <w:rPr>
                <w:rFonts w:ascii="Calibri" w:eastAsia="Calibri" w:hAnsi="Calibri" w:cs="Calibri"/>
                <w:sz w:val="16"/>
                <w:szCs w:val="16"/>
              </w:rPr>
            </w:pPr>
            <w:r>
              <w:rPr>
                <w:rFonts w:ascii="宋体" w:eastAsia="宋体" w:hAnsi="宋体" w:cs="宋体"/>
                <w:spacing w:val="19"/>
                <w:sz w:val="16"/>
                <w:szCs w:val="16"/>
              </w:rPr>
              <w:t>维生素B</w:t>
            </w:r>
            <w:r>
              <w:rPr>
                <w:rFonts w:ascii="Calibri" w:eastAsia="Calibri" w:hAnsi="Calibri" w:cs="Calibri"/>
                <w:spacing w:val="19"/>
                <w:sz w:val="16"/>
                <w:szCs w:val="16"/>
              </w:rPr>
              <w:t>₁</w:t>
            </w:r>
          </w:p>
          <w:p w:rsidR="00EA40A3" w:rsidRDefault="00E86C16">
            <w:pPr>
              <w:spacing w:before="80" w:line="219" w:lineRule="auto"/>
              <w:ind w:left="75"/>
              <w:rPr>
                <w:rFonts w:ascii="宋体" w:eastAsia="宋体" w:hAnsi="宋体" w:cs="宋体"/>
                <w:sz w:val="16"/>
                <w:szCs w:val="16"/>
              </w:rPr>
            </w:pPr>
            <w:r>
              <w:rPr>
                <w:rFonts w:ascii="宋体" w:eastAsia="宋体" w:hAnsi="宋体" w:cs="宋体"/>
                <w:spacing w:val="5"/>
                <w:sz w:val="16"/>
                <w:szCs w:val="16"/>
              </w:rPr>
              <w:t>(盐酸硫胺素)</w:t>
            </w:r>
          </w:p>
        </w:tc>
        <w:tc>
          <w:tcPr>
            <w:tcW w:w="1580" w:type="dxa"/>
          </w:tcPr>
          <w:p w:rsidR="00EA40A3" w:rsidRDefault="00E86C16">
            <w:pPr>
              <w:spacing w:before="268" w:line="261" w:lineRule="exact"/>
              <w:ind w:left="94"/>
              <w:rPr>
                <w:rFonts w:ascii="宋体" w:eastAsia="宋体" w:hAnsi="宋体" w:cs="宋体"/>
                <w:sz w:val="16"/>
                <w:szCs w:val="16"/>
              </w:rPr>
            </w:pPr>
            <w:r>
              <w:rPr>
                <w:rFonts w:ascii="宋体" w:eastAsia="宋体" w:hAnsi="宋体" w:cs="宋体"/>
                <w:spacing w:val="2"/>
                <w:position w:val="7"/>
                <w:sz w:val="16"/>
                <w:szCs w:val="16"/>
              </w:rPr>
              <w:t>谷类及其制品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1"/>
                <w:sz w:val="16"/>
                <w:szCs w:val="16"/>
              </w:rPr>
              <w:t>饮液、乳饮料</w:t>
            </w:r>
          </w:p>
          <w:p w:rsidR="00EA40A3" w:rsidRDefault="00E86C16">
            <w:pPr>
              <w:spacing w:before="78" w:line="219" w:lineRule="auto"/>
              <w:ind w:left="94"/>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78" w:line="240" w:lineRule="exact"/>
              <w:ind w:left="345"/>
              <w:rPr>
                <w:rFonts w:ascii="宋体" w:eastAsia="宋体" w:hAnsi="宋体" w:cs="宋体"/>
                <w:sz w:val="16"/>
                <w:szCs w:val="16"/>
              </w:rPr>
            </w:pPr>
            <w:r>
              <w:rPr>
                <w:rFonts w:ascii="宋体" w:eastAsia="宋体" w:hAnsi="宋体" w:cs="宋体"/>
                <w:spacing w:val="-3"/>
                <w:position w:val="8"/>
                <w:sz w:val="16"/>
                <w:szCs w:val="16"/>
              </w:rPr>
              <w:t>3～5</w:t>
            </w:r>
            <w:r>
              <w:rPr>
                <w:rFonts w:ascii="宋体" w:eastAsia="宋体" w:hAnsi="宋体" w:cs="宋体"/>
                <w:spacing w:val="5"/>
                <w:position w:val="8"/>
                <w:sz w:val="16"/>
                <w:szCs w:val="16"/>
              </w:rPr>
              <w:t xml:space="preserve"> </w:t>
            </w:r>
            <w:r>
              <w:rPr>
                <w:rFonts w:ascii="宋体" w:eastAsia="宋体" w:hAnsi="宋体" w:cs="宋体"/>
                <w:spacing w:val="-3"/>
                <w:position w:val="8"/>
                <w:sz w:val="16"/>
                <w:szCs w:val="16"/>
              </w:rPr>
              <w:t>mg</w:t>
            </w:r>
          </w:p>
          <w:p w:rsidR="00EA40A3" w:rsidRDefault="00E86C16">
            <w:pPr>
              <w:spacing w:line="183" w:lineRule="auto"/>
              <w:ind w:left="345"/>
              <w:rPr>
                <w:rFonts w:ascii="宋体" w:eastAsia="宋体" w:hAnsi="宋体" w:cs="宋体"/>
                <w:sz w:val="16"/>
                <w:szCs w:val="16"/>
              </w:rPr>
            </w:pPr>
            <w:r>
              <w:rPr>
                <w:rFonts w:ascii="宋体" w:eastAsia="宋体" w:hAnsi="宋体" w:cs="宋体"/>
                <w:spacing w:val="-4"/>
                <w:sz w:val="16"/>
                <w:szCs w:val="16"/>
              </w:rPr>
              <w:t>1～2</w:t>
            </w:r>
            <w:r>
              <w:rPr>
                <w:rFonts w:ascii="宋体" w:eastAsia="宋体" w:hAnsi="宋体" w:cs="宋体"/>
                <w:spacing w:val="24"/>
                <w:w w:val="101"/>
                <w:sz w:val="16"/>
                <w:szCs w:val="16"/>
              </w:rPr>
              <w:t xml:space="preserve"> </w:t>
            </w:r>
            <w:r>
              <w:rPr>
                <w:rFonts w:ascii="宋体" w:eastAsia="宋体" w:hAnsi="宋体" w:cs="宋体"/>
                <w:spacing w:val="-4"/>
                <w:sz w:val="16"/>
                <w:szCs w:val="16"/>
              </w:rPr>
              <w:t>mg</w:t>
            </w:r>
          </w:p>
          <w:p w:rsidR="00EA40A3" w:rsidRDefault="00E86C16">
            <w:pPr>
              <w:spacing w:before="131" w:line="183" w:lineRule="auto"/>
              <w:ind w:left="345"/>
              <w:rPr>
                <w:rFonts w:ascii="宋体" w:eastAsia="宋体" w:hAnsi="宋体" w:cs="宋体"/>
                <w:sz w:val="16"/>
                <w:szCs w:val="16"/>
              </w:rPr>
            </w:pPr>
            <w:r>
              <w:rPr>
                <w:rFonts w:ascii="宋体" w:eastAsia="宋体" w:hAnsi="宋体" w:cs="宋体"/>
                <w:spacing w:val="-2"/>
                <w:sz w:val="16"/>
                <w:szCs w:val="16"/>
              </w:rPr>
              <w:t>4～8</w:t>
            </w:r>
            <w:r>
              <w:rPr>
                <w:rFonts w:ascii="宋体" w:eastAsia="宋体" w:hAnsi="宋体" w:cs="宋体"/>
                <w:spacing w:val="4"/>
                <w:sz w:val="16"/>
                <w:szCs w:val="16"/>
              </w:rPr>
              <w:t xml:space="preserve"> </w:t>
            </w:r>
            <w:r>
              <w:rPr>
                <w:rFonts w:ascii="宋体" w:eastAsia="宋体" w:hAnsi="宋体" w:cs="宋体"/>
                <w:spacing w:val="-2"/>
                <w:sz w:val="16"/>
                <w:szCs w:val="16"/>
              </w:rPr>
              <w:t>mg</w:t>
            </w:r>
          </w:p>
        </w:tc>
        <w:tc>
          <w:tcPr>
            <w:tcW w:w="2501" w:type="dxa"/>
            <w:tcBorders>
              <w:right w:val="nil"/>
            </w:tcBorders>
          </w:tcPr>
          <w:p w:rsidR="00EA40A3" w:rsidRDefault="00E86C16">
            <w:pPr>
              <w:spacing w:before="148" w:line="254" w:lineRule="auto"/>
              <w:ind w:left="274" w:right="104" w:hanging="170"/>
              <w:rPr>
                <w:rFonts w:ascii="宋体" w:eastAsia="宋体" w:hAnsi="宋体" w:cs="宋体"/>
                <w:sz w:val="16"/>
                <w:szCs w:val="16"/>
              </w:rPr>
            </w:pPr>
            <w:r>
              <w:rPr>
                <w:rFonts w:ascii="宋体" w:eastAsia="宋体" w:hAnsi="宋体" w:cs="宋体"/>
                <w:spacing w:val="3"/>
                <w:sz w:val="16"/>
                <w:szCs w:val="16"/>
              </w:rPr>
              <w:t>1.如固体饮料，则需按稀释倍数</w:t>
            </w:r>
            <w:r>
              <w:rPr>
                <w:rFonts w:ascii="宋体" w:eastAsia="宋体" w:hAnsi="宋体" w:cs="宋体"/>
                <w:sz w:val="16"/>
                <w:szCs w:val="16"/>
              </w:rPr>
              <w:t xml:space="preserve"> </w:t>
            </w:r>
            <w:r>
              <w:rPr>
                <w:rFonts w:ascii="宋体" w:eastAsia="宋体" w:hAnsi="宋体" w:cs="宋体"/>
                <w:spacing w:val="-2"/>
                <w:sz w:val="16"/>
                <w:szCs w:val="16"/>
              </w:rPr>
              <w:t>增加使用量</w:t>
            </w:r>
          </w:p>
          <w:p w:rsidR="00EA40A3" w:rsidRDefault="00E86C16">
            <w:pPr>
              <w:spacing w:before="59" w:line="260" w:lineRule="auto"/>
              <w:ind w:left="284" w:right="104" w:hanging="180"/>
              <w:rPr>
                <w:rFonts w:ascii="宋体" w:eastAsia="宋体" w:hAnsi="宋体" w:cs="宋体"/>
                <w:sz w:val="16"/>
                <w:szCs w:val="16"/>
              </w:rPr>
            </w:pPr>
            <w:r>
              <w:rPr>
                <w:rFonts w:ascii="宋体" w:eastAsia="宋体" w:hAnsi="宋体" w:cs="宋体"/>
                <w:spacing w:val="14"/>
                <w:sz w:val="16"/>
                <w:szCs w:val="16"/>
              </w:rPr>
              <w:t>2.如用硝酸硫胺素强化，需经</w:t>
            </w:r>
            <w:r>
              <w:rPr>
                <w:rFonts w:ascii="宋体" w:eastAsia="宋体" w:hAnsi="宋体" w:cs="宋体"/>
                <w:spacing w:val="9"/>
                <w:sz w:val="16"/>
                <w:szCs w:val="16"/>
              </w:rPr>
              <w:t xml:space="preserve"> </w:t>
            </w:r>
            <w:r>
              <w:rPr>
                <w:rFonts w:ascii="宋体" w:eastAsia="宋体" w:hAnsi="宋体" w:cs="宋体"/>
                <w:spacing w:val="-2"/>
                <w:sz w:val="16"/>
                <w:szCs w:val="16"/>
              </w:rPr>
              <w:t>折算</w:t>
            </w:r>
          </w:p>
        </w:tc>
      </w:tr>
      <w:tr w:rsidR="00EA40A3">
        <w:trPr>
          <w:trHeight w:val="1159"/>
        </w:trPr>
        <w:tc>
          <w:tcPr>
            <w:tcW w:w="540" w:type="dxa"/>
            <w:vMerge/>
            <w:tcBorders>
              <w:top w:val="nil"/>
              <w:left w:val="nil"/>
              <w:bottom w:val="nil"/>
            </w:tcBorders>
            <w:textDirection w:val="tbRlV"/>
          </w:tcPr>
          <w:p w:rsidR="00EA40A3" w:rsidRDefault="00EA40A3"/>
        </w:tc>
        <w:tc>
          <w:tcPr>
            <w:tcW w:w="1410" w:type="dxa"/>
          </w:tcPr>
          <w:p w:rsidR="00EA40A3" w:rsidRDefault="00EA40A3">
            <w:pPr>
              <w:spacing w:line="335" w:lineRule="auto"/>
            </w:pPr>
          </w:p>
          <w:p w:rsidR="00EA40A3" w:rsidRDefault="00E86C16">
            <w:pPr>
              <w:spacing w:before="52" w:line="260" w:lineRule="exact"/>
              <w:ind w:left="75"/>
              <w:rPr>
                <w:rFonts w:ascii="Calibri" w:eastAsia="Calibri" w:hAnsi="Calibri" w:cs="Calibri"/>
                <w:sz w:val="16"/>
                <w:szCs w:val="16"/>
              </w:rPr>
            </w:pPr>
            <w:r>
              <w:rPr>
                <w:rFonts w:ascii="宋体" w:eastAsia="宋体" w:hAnsi="宋体" w:cs="宋体"/>
                <w:spacing w:val="16"/>
                <w:position w:val="7"/>
                <w:sz w:val="16"/>
                <w:szCs w:val="16"/>
              </w:rPr>
              <w:t>维生素B</w:t>
            </w:r>
            <w:r>
              <w:rPr>
                <w:rFonts w:ascii="Calibri" w:eastAsia="Calibri" w:hAnsi="Calibri" w:cs="Calibri"/>
                <w:spacing w:val="16"/>
                <w:position w:val="7"/>
                <w:sz w:val="16"/>
                <w:szCs w:val="16"/>
              </w:rPr>
              <w:t>₂</w:t>
            </w:r>
          </w:p>
          <w:p w:rsidR="00EA40A3" w:rsidRDefault="00E86C16">
            <w:pPr>
              <w:spacing w:line="219" w:lineRule="auto"/>
              <w:ind w:left="75"/>
              <w:rPr>
                <w:rFonts w:ascii="宋体" w:eastAsia="宋体" w:hAnsi="宋体" w:cs="宋体"/>
                <w:sz w:val="16"/>
                <w:szCs w:val="16"/>
              </w:rPr>
            </w:pPr>
            <w:r>
              <w:rPr>
                <w:rFonts w:ascii="宋体" w:eastAsia="宋体" w:hAnsi="宋体" w:cs="宋体"/>
                <w:spacing w:val="7"/>
                <w:sz w:val="16"/>
                <w:szCs w:val="16"/>
              </w:rPr>
              <w:t>(核黄酸)</w:t>
            </w:r>
          </w:p>
        </w:tc>
        <w:tc>
          <w:tcPr>
            <w:tcW w:w="1580" w:type="dxa"/>
          </w:tcPr>
          <w:p w:rsidR="00EA40A3" w:rsidRDefault="00E86C16">
            <w:pPr>
              <w:spacing w:before="139" w:line="241" w:lineRule="exact"/>
              <w:ind w:left="94"/>
              <w:rPr>
                <w:rFonts w:ascii="宋体" w:eastAsia="宋体" w:hAnsi="宋体" w:cs="宋体"/>
                <w:sz w:val="16"/>
                <w:szCs w:val="16"/>
              </w:rPr>
            </w:pPr>
            <w:r>
              <w:rPr>
                <w:rFonts w:ascii="宋体" w:eastAsia="宋体" w:hAnsi="宋体" w:cs="宋体"/>
                <w:spacing w:val="2"/>
                <w:position w:val="6"/>
                <w:sz w:val="16"/>
                <w:szCs w:val="16"/>
              </w:rPr>
              <w:t>谷类及其制品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1"/>
                <w:sz w:val="16"/>
                <w:szCs w:val="16"/>
              </w:rPr>
              <w:t>饮液、乳饮料</w:t>
            </w:r>
          </w:p>
          <w:p w:rsidR="00EA40A3" w:rsidRDefault="00E86C16">
            <w:pPr>
              <w:spacing w:before="68" w:line="219" w:lineRule="auto"/>
              <w:ind w:left="94"/>
              <w:rPr>
                <w:rFonts w:ascii="宋体" w:eastAsia="宋体" w:hAnsi="宋体" w:cs="宋体"/>
                <w:sz w:val="16"/>
                <w:szCs w:val="16"/>
              </w:rPr>
            </w:pPr>
            <w:r>
              <w:rPr>
                <w:rFonts w:ascii="宋体" w:eastAsia="宋体" w:hAnsi="宋体" w:cs="宋体"/>
                <w:spacing w:val="3"/>
                <w:sz w:val="16"/>
                <w:szCs w:val="16"/>
              </w:rPr>
              <w:t>婴幼儿食品</w:t>
            </w:r>
          </w:p>
          <w:p w:rsidR="00EA40A3" w:rsidRDefault="00E86C16">
            <w:pPr>
              <w:spacing w:before="80" w:line="220" w:lineRule="auto"/>
              <w:ind w:left="94"/>
              <w:rPr>
                <w:rFonts w:ascii="宋体" w:eastAsia="宋体" w:hAnsi="宋体" w:cs="宋体"/>
                <w:sz w:val="16"/>
                <w:szCs w:val="16"/>
              </w:rPr>
            </w:pPr>
            <w:r>
              <w:rPr>
                <w:rFonts w:ascii="宋体" w:eastAsia="宋体" w:hAnsi="宋体" w:cs="宋体"/>
                <w:spacing w:val="-2"/>
                <w:sz w:val="16"/>
                <w:szCs w:val="16"/>
              </w:rPr>
              <w:t>食盐</w:t>
            </w:r>
          </w:p>
        </w:tc>
        <w:tc>
          <w:tcPr>
            <w:tcW w:w="1260" w:type="dxa"/>
          </w:tcPr>
          <w:p w:rsidR="00EA40A3" w:rsidRDefault="00E86C16">
            <w:pPr>
              <w:spacing w:before="149" w:line="230" w:lineRule="exact"/>
              <w:ind w:left="345"/>
              <w:rPr>
                <w:rFonts w:ascii="宋体" w:eastAsia="宋体" w:hAnsi="宋体" w:cs="宋体"/>
                <w:sz w:val="16"/>
                <w:szCs w:val="16"/>
              </w:rPr>
            </w:pPr>
            <w:r>
              <w:rPr>
                <w:rFonts w:ascii="宋体" w:eastAsia="宋体" w:hAnsi="宋体" w:cs="宋体"/>
                <w:spacing w:val="-3"/>
                <w:position w:val="7"/>
                <w:sz w:val="16"/>
                <w:szCs w:val="16"/>
              </w:rPr>
              <w:t>3～5</w:t>
            </w:r>
            <w:r>
              <w:rPr>
                <w:rFonts w:ascii="宋体" w:eastAsia="宋体" w:hAnsi="宋体" w:cs="宋体"/>
                <w:spacing w:val="5"/>
                <w:position w:val="7"/>
                <w:sz w:val="16"/>
                <w:szCs w:val="16"/>
              </w:rPr>
              <w:t xml:space="preserve"> </w:t>
            </w:r>
            <w:r>
              <w:rPr>
                <w:rFonts w:ascii="宋体" w:eastAsia="宋体" w:hAnsi="宋体" w:cs="宋体"/>
                <w:spacing w:val="-3"/>
                <w:position w:val="7"/>
                <w:sz w:val="16"/>
                <w:szCs w:val="16"/>
              </w:rPr>
              <w:t>mg</w:t>
            </w:r>
          </w:p>
          <w:p w:rsidR="00EA40A3" w:rsidRDefault="00E86C16">
            <w:pPr>
              <w:spacing w:line="183" w:lineRule="auto"/>
              <w:ind w:left="345"/>
              <w:rPr>
                <w:rFonts w:ascii="宋体" w:eastAsia="宋体" w:hAnsi="宋体" w:cs="宋体"/>
                <w:sz w:val="16"/>
                <w:szCs w:val="16"/>
              </w:rPr>
            </w:pPr>
            <w:r>
              <w:rPr>
                <w:rFonts w:ascii="宋体" w:eastAsia="宋体" w:hAnsi="宋体" w:cs="宋体"/>
                <w:spacing w:val="-4"/>
                <w:sz w:val="16"/>
                <w:szCs w:val="16"/>
              </w:rPr>
              <w:t>1～2</w:t>
            </w:r>
            <w:r>
              <w:rPr>
                <w:rFonts w:ascii="宋体" w:eastAsia="宋体" w:hAnsi="宋体" w:cs="宋体"/>
                <w:spacing w:val="24"/>
                <w:w w:val="101"/>
                <w:sz w:val="16"/>
                <w:szCs w:val="16"/>
              </w:rPr>
              <w:t xml:space="preserve"> </w:t>
            </w:r>
            <w:r>
              <w:rPr>
                <w:rFonts w:ascii="宋体" w:eastAsia="宋体" w:hAnsi="宋体" w:cs="宋体"/>
                <w:spacing w:val="-4"/>
                <w:sz w:val="16"/>
                <w:szCs w:val="16"/>
              </w:rPr>
              <w:t>mg</w:t>
            </w:r>
          </w:p>
          <w:p w:rsidR="00EA40A3" w:rsidRDefault="00E86C16">
            <w:pPr>
              <w:spacing w:before="121" w:line="183" w:lineRule="auto"/>
              <w:ind w:left="345"/>
              <w:rPr>
                <w:rFonts w:ascii="宋体" w:eastAsia="宋体" w:hAnsi="宋体" w:cs="宋体"/>
                <w:sz w:val="16"/>
                <w:szCs w:val="16"/>
              </w:rPr>
            </w:pPr>
            <w:r>
              <w:rPr>
                <w:rFonts w:ascii="宋体" w:eastAsia="宋体" w:hAnsi="宋体" w:cs="宋体"/>
                <w:spacing w:val="-2"/>
                <w:sz w:val="16"/>
                <w:szCs w:val="16"/>
              </w:rPr>
              <w:t>4～8</w:t>
            </w:r>
            <w:r>
              <w:rPr>
                <w:rFonts w:ascii="宋体" w:eastAsia="宋体" w:hAnsi="宋体" w:cs="宋体"/>
                <w:spacing w:val="4"/>
                <w:sz w:val="16"/>
                <w:szCs w:val="16"/>
              </w:rPr>
              <w:t xml:space="preserve"> </w:t>
            </w:r>
            <w:r>
              <w:rPr>
                <w:rFonts w:ascii="宋体" w:eastAsia="宋体" w:hAnsi="宋体" w:cs="宋体"/>
                <w:spacing w:val="-2"/>
                <w:sz w:val="16"/>
                <w:szCs w:val="16"/>
              </w:rPr>
              <w:t>mg</w:t>
            </w:r>
          </w:p>
          <w:p w:rsidR="00EA40A3" w:rsidRDefault="00E86C16">
            <w:pPr>
              <w:spacing w:before="80" w:line="184" w:lineRule="auto"/>
              <w:ind w:left="184"/>
              <w:rPr>
                <w:rFonts w:ascii="宋体" w:eastAsia="宋体" w:hAnsi="宋体" w:cs="宋体"/>
                <w:sz w:val="16"/>
                <w:szCs w:val="16"/>
              </w:rPr>
            </w:pPr>
            <w:r>
              <w:rPr>
                <w:rFonts w:ascii="宋体" w:eastAsia="宋体" w:hAnsi="宋体" w:cs="宋体"/>
                <w:spacing w:val="-3"/>
                <w:sz w:val="16"/>
                <w:szCs w:val="16"/>
              </w:rPr>
              <w:t>100～150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501" w:type="dxa"/>
            <w:tcBorders>
              <w:right w:val="nil"/>
            </w:tcBorders>
          </w:tcPr>
          <w:p w:rsidR="00EA40A3" w:rsidRDefault="00E86C16">
            <w:pPr>
              <w:spacing w:before="120" w:line="265" w:lineRule="auto"/>
              <w:ind w:left="285" w:right="134" w:hanging="210"/>
              <w:rPr>
                <w:rFonts w:ascii="宋体" w:eastAsia="宋体" w:hAnsi="宋体" w:cs="宋体"/>
                <w:sz w:val="16"/>
                <w:szCs w:val="16"/>
              </w:rPr>
            </w:pPr>
            <w:r>
              <w:rPr>
                <w:rFonts w:ascii="宋体" w:eastAsia="宋体" w:hAnsi="宋体" w:cs="宋体"/>
                <w:spacing w:val="3"/>
                <w:sz w:val="16"/>
                <w:szCs w:val="16"/>
              </w:rPr>
              <w:t>1.如固体饮料，则需按稀释倍数</w:t>
            </w:r>
            <w:r>
              <w:rPr>
                <w:rFonts w:ascii="宋体" w:eastAsia="宋体" w:hAnsi="宋体" w:cs="宋体"/>
                <w:sz w:val="16"/>
                <w:szCs w:val="16"/>
              </w:rPr>
              <w:t xml:space="preserve"> </w:t>
            </w:r>
            <w:r>
              <w:rPr>
                <w:rFonts w:ascii="宋体" w:eastAsia="宋体" w:hAnsi="宋体" w:cs="宋体"/>
                <w:spacing w:val="-2"/>
                <w:sz w:val="16"/>
                <w:szCs w:val="16"/>
              </w:rPr>
              <w:t>增加使用量</w:t>
            </w:r>
          </w:p>
          <w:p w:rsidR="00EA40A3" w:rsidRDefault="00E86C16">
            <w:pPr>
              <w:spacing w:before="80" w:line="248" w:lineRule="auto"/>
              <w:ind w:left="274" w:right="84" w:hanging="170"/>
              <w:rPr>
                <w:rFonts w:ascii="宋体" w:eastAsia="宋体" w:hAnsi="宋体" w:cs="宋体"/>
                <w:sz w:val="16"/>
                <w:szCs w:val="16"/>
              </w:rPr>
            </w:pPr>
            <w:r>
              <w:rPr>
                <w:rFonts w:ascii="宋体" w:eastAsia="宋体" w:hAnsi="宋体" w:cs="宋体"/>
                <w:spacing w:val="4"/>
                <w:sz w:val="16"/>
                <w:szCs w:val="16"/>
              </w:rPr>
              <w:t>2.如用核黄素衍生物强化，需经</w:t>
            </w:r>
            <w:r>
              <w:rPr>
                <w:rFonts w:ascii="宋体" w:eastAsia="宋体" w:hAnsi="宋体" w:cs="宋体"/>
                <w:spacing w:val="5"/>
                <w:sz w:val="16"/>
                <w:szCs w:val="16"/>
              </w:rPr>
              <w:t xml:space="preserve"> </w:t>
            </w:r>
            <w:r>
              <w:rPr>
                <w:rFonts w:ascii="宋体" w:eastAsia="宋体" w:hAnsi="宋体" w:cs="宋体"/>
                <w:spacing w:val="-2"/>
                <w:sz w:val="16"/>
                <w:szCs w:val="16"/>
              </w:rPr>
              <w:t>折算</w:t>
            </w:r>
          </w:p>
        </w:tc>
      </w:tr>
      <w:tr w:rsidR="00EA40A3">
        <w:trPr>
          <w:trHeight w:val="1389"/>
        </w:trPr>
        <w:tc>
          <w:tcPr>
            <w:tcW w:w="540" w:type="dxa"/>
            <w:vMerge/>
            <w:tcBorders>
              <w:top w:val="nil"/>
              <w:left w:val="nil"/>
              <w:bottom w:val="nil"/>
            </w:tcBorders>
            <w:textDirection w:val="tbRlV"/>
          </w:tcPr>
          <w:p w:rsidR="00EA40A3" w:rsidRDefault="00EA40A3"/>
        </w:tc>
        <w:tc>
          <w:tcPr>
            <w:tcW w:w="1410" w:type="dxa"/>
            <w:vMerge w:val="restart"/>
            <w:tcBorders>
              <w:bottom w:val="nil"/>
            </w:tcBorders>
          </w:tcPr>
          <w:p w:rsidR="00EA40A3" w:rsidRDefault="00EA40A3">
            <w:pPr>
              <w:spacing w:line="281" w:lineRule="auto"/>
            </w:pPr>
          </w:p>
          <w:p w:rsidR="00EA40A3" w:rsidRDefault="00EA40A3">
            <w:pPr>
              <w:spacing w:line="281" w:lineRule="auto"/>
            </w:pPr>
          </w:p>
          <w:p w:rsidR="00EA40A3" w:rsidRDefault="00EA40A3">
            <w:pPr>
              <w:spacing w:line="281"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2"/>
                <w:sz w:val="16"/>
                <w:szCs w:val="16"/>
              </w:rPr>
              <w:t>维生素C</w:t>
            </w:r>
          </w:p>
          <w:p w:rsidR="00EA40A3" w:rsidRDefault="00E86C16">
            <w:pPr>
              <w:spacing w:before="70" w:line="219" w:lineRule="auto"/>
              <w:ind w:left="75"/>
              <w:rPr>
                <w:rFonts w:ascii="宋体" w:eastAsia="宋体" w:hAnsi="宋体" w:cs="宋体"/>
                <w:sz w:val="16"/>
                <w:szCs w:val="16"/>
              </w:rPr>
            </w:pPr>
            <w:r>
              <w:rPr>
                <w:rFonts w:ascii="宋体" w:eastAsia="宋体" w:hAnsi="宋体" w:cs="宋体"/>
                <w:spacing w:val="4"/>
                <w:sz w:val="16"/>
                <w:szCs w:val="16"/>
              </w:rPr>
              <w:t>(L-抗坏血酸)</w:t>
            </w:r>
          </w:p>
        </w:tc>
        <w:tc>
          <w:tcPr>
            <w:tcW w:w="1580" w:type="dxa"/>
          </w:tcPr>
          <w:p w:rsidR="00EA40A3" w:rsidRDefault="00E86C16">
            <w:pPr>
              <w:spacing w:before="121" w:line="220" w:lineRule="auto"/>
              <w:ind w:left="94"/>
              <w:rPr>
                <w:rFonts w:ascii="宋体" w:eastAsia="宋体" w:hAnsi="宋体" w:cs="宋体"/>
                <w:sz w:val="16"/>
                <w:szCs w:val="16"/>
              </w:rPr>
            </w:pPr>
            <w:r>
              <w:rPr>
                <w:rFonts w:ascii="宋体" w:eastAsia="宋体" w:hAnsi="宋体" w:cs="宋体"/>
                <w:spacing w:val="-3"/>
                <w:sz w:val="16"/>
                <w:szCs w:val="16"/>
              </w:rPr>
              <w:t>果泥</w:t>
            </w:r>
          </w:p>
          <w:p w:rsidR="00EA40A3" w:rsidRDefault="00E86C16">
            <w:pPr>
              <w:spacing w:before="59" w:line="220" w:lineRule="auto"/>
              <w:ind w:left="94"/>
              <w:rPr>
                <w:rFonts w:ascii="宋体" w:eastAsia="宋体" w:hAnsi="宋体" w:cs="宋体"/>
                <w:sz w:val="16"/>
                <w:szCs w:val="16"/>
              </w:rPr>
            </w:pPr>
            <w:r>
              <w:rPr>
                <w:rFonts w:ascii="宋体" w:eastAsia="宋体" w:hAnsi="宋体" w:cs="宋体"/>
                <w:spacing w:val="-1"/>
                <w:sz w:val="16"/>
                <w:szCs w:val="16"/>
              </w:rPr>
              <w:t>饮液及乳饮料</w:t>
            </w:r>
          </w:p>
          <w:p w:rsidR="00EA40A3" w:rsidRDefault="00E86C16">
            <w:pPr>
              <w:spacing w:before="68" w:line="219" w:lineRule="auto"/>
              <w:ind w:left="94"/>
              <w:rPr>
                <w:rFonts w:ascii="宋体" w:eastAsia="宋体" w:hAnsi="宋体" w:cs="宋体"/>
                <w:sz w:val="16"/>
                <w:szCs w:val="16"/>
              </w:rPr>
            </w:pPr>
            <w:r>
              <w:rPr>
                <w:rFonts w:ascii="宋体" w:eastAsia="宋体" w:hAnsi="宋体" w:cs="宋体"/>
                <w:spacing w:val="-2"/>
                <w:sz w:val="16"/>
                <w:szCs w:val="16"/>
              </w:rPr>
              <w:t>水果罐头</w:t>
            </w:r>
          </w:p>
          <w:p w:rsidR="00EA40A3" w:rsidRDefault="00E86C16">
            <w:pPr>
              <w:spacing w:before="70" w:line="220" w:lineRule="auto"/>
              <w:ind w:left="94"/>
              <w:rPr>
                <w:rFonts w:ascii="宋体" w:eastAsia="宋体" w:hAnsi="宋体" w:cs="宋体"/>
                <w:sz w:val="16"/>
                <w:szCs w:val="16"/>
              </w:rPr>
            </w:pPr>
            <w:r>
              <w:rPr>
                <w:rFonts w:ascii="宋体" w:eastAsia="宋体" w:hAnsi="宋体" w:cs="宋体"/>
                <w:spacing w:val="-2"/>
                <w:sz w:val="16"/>
                <w:szCs w:val="16"/>
              </w:rPr>
              <w:t>夹心硬糖</w:t>
            </w:r>
          </w:p>
          <w:p w:rsidR="00EA40A3" w:rsidRDefault="00E86C16">
            <w:pPr>
              <w:spacing w:before="68" w:line="219" w:lineRule="auto"/>
              <w:ind w:left="94"/>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119" w:line="184" w:lineRule="auto"/>
              <w:ind w:left="225"/>
              <w:rPr>
                <w:rFonts w:ascii="宋体" w:eastAsia="宋体" w:hAnsi="宋体" w:cs="宋体"/>
                <w:sz w:val="16"/>
                <w:szCs w:val="16"/>
              </w:rPr>
            </w:pPr>
            <w:r>
              <w:rPr>
                <w:rFonts w:ascii="宋体" w:eastAsia="宋体" w:hAnsi="宋体" w:cs="宋体"/>
                <w:spacing w:val="-2"/>
                <w:sz w:val="16"/>
                <w:szCs w:val="16"/>
              </w:rPr>
              <w:t>50～100</w:t>
            </w:r>
            <w:r>
              <w:rPr>
                <w:rFonts w:ascii="宋体" w:eastAsia="宋体" w:hAnsi="宋体" w:cs="宋体"/>
                <w:spacing w:val="6"/>
                <w:sz w:val="16"/>
                <w:szCs w:val="16"/>
              </w:rPr>
              <w:t xml:space="preserve"> </w:t>
            </w:r>
            <w:r>
              <w:rPr>
                <w:rFonts w:ascii="宋体" w:eastAsia="宋体" w:hAnsi="宋体" w:cs="宋体"/>
                <w:spacing w:val="-2"/>
                <w:sz w:val="16"/>
                <w:szCs w:val="16"/>
              </w:rPr>
              <w:t>mg</w:t>
            </w:r>
          </w:p>
          <w:p w:rsidR="00EA40A3" w:rsidRDefault="00E86C16">
            <w:pPr>
              <w:spacing w:before="90" w:line="184" w:lineRule="auto"/>
              <w:ind w:left="184"/>
              <w:rPr>
                <w:rFonts w:ascii="宋体" w:eastAsia="宋体" w:hAnsi="宋体" w:cs="宋体"/>
                <w:sz w:val="16"/>
                <w:szCs w:val="16"/>
              </w:rPr>
            </w:pPr>
            <w:r>
              <w:rPr>
                <w:rFonts w:ascii="宋体" w:eastAsia="宋体" w:hAnsi="宋体" w:cs="宋体"/>
                <w:spacing w:val="-3"/>
                <w:sz w:val="16"/>
                <w:szCs w:val="16"/>
              </w:rPr>
              <w:t>120～240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p w:rsidR="00EA40A3" w:rsidRDefault="00E86C16">
            <w:pPr>
              <w:spacing w:before="101" w:line="183" w:lineRule="auto"/>
              <w:ind w:left="184"/>
              <w:rPr>
                <w:rFonts w:ascii="宋体" w:eastAsia="宋体" w:hAnsi="宋体" w:cs="宋体"/>
                <w:sz w:val="16"/>
                <w:szCs w:val="16"/>
              </w:rPr>
            </w:pPr>
            <w:r>
              <w:rPr>
                <w:rFonts w:ascii="宋体" w:eastAsia="宋体" w:hAnsi="宋体" w:cs="宋体"/>
                <w:spacing w:val="-2"/>
                <w:sz w:val="16"/>
                <w:szCs w:val="16"/>
              </w:rPr>
              <w:t>200～400</w:t>
            </w:r>
            <w:r>
              <w:rPr>
                <w:rFonts w:ascii="宋体" w:eastAsia="宋体" w:hAnsi="宋体" w:cs="宋体"/>
                <w:spacing w:val="9"/>
                <w:sz w:val="16"/>
                <w:szCs w:val="16"/>
              </w:rPr>
              <w:t xml:space="preserve"> </w:t>
            </w:r>
            <w:r>
              <w:rPr>
                <w:rFonts w:ascii="宋体" w:eastAsia="宋体" w:hAnsi="宋体" w:cs="宋体"/>
                <w:spacing w:val="-2"/>
                <w:sz w:val="16"/>
                <w:szCs w:val="16"/>
              </w:rPr>
              <w:t>mg</w:t>
            </w:r>
          </w:p>
          <w:p w:rsidR="00EA40A3" w:rsidRDefault="00E86C16">
            <w:pPr>
              <w:spacing w:before="121" w:line="183" w:lineRule="auto"/>
              <w:ind w:left="105"/>
              <w:rPr>
                <w:rFonts w:ascii="宋体" w:eastAsia="宋体" w:hAnsi="宋体" w:cs="宋体"/>
                <w:sz w:val="16"/>
                <w:szCs w:val="16"/>
              </w:rPr>
            </w:pPr>
            <w:r>
              <w:rPr>
                <w:rFonts w:ascii="宋体" w:eastAsia="宋体" w:hAnsi="宋体" w:cs="宋体"/>
                <w:spacing w:val="-1"/>
                <w:sz w:val="16"/>
                <w:szCs w:val="16"/>
              </w:rPr>
              <w:t>2000—6000</w:t>
            </w:r>
            <w:r>
              <w:rPr>
                <w:rFonts w:ascii="宋体" w:eastAsia="宋体" w:hAnsi="宋体" w:cs="宋体"/>
                <w:spacing w:val="2"/>
                <w:sz w:val="16"/>
                <w:szCs w:val="16"/>
              </w:rPr>
              <w:t xml:space="preserve"> </w:t>
            </w:r>
            <w:r>
              <w:rPr>
                <w:rFonts w:ascii="宋体" w:eastAsia="宋体" w:hAnsi="宋体" w:cs="宋体"/>
                <w:spacing w:val="-1"/>
                <w:sz w:val="16"/>
                <w:szCs w:val="16"/>
              </w:rPr>
              <w:t>mg</w:t>
            </w:r>
          </w:p>
          <w:p w:rsidR="00EA40A3" w:rsidRDefault="00E86C16">
            <w:pPr>
              <w:spacing w:before="81" w:line="183" w:lineRule="auto"/>
              <w:ind w:left="184"/>
              <w:rPr>
                <w:rFonts w:ascii="宋体" w:eastAsia="宋体" w:hAnsi="宋体" w:cs="宋体"/>
                <w:sz w:val="16"/>
                <w:szCs w:val="16"/>
              </w:rPr>
            </w:pPr>
            <w:r>
              <w:rPr>
                <w:rFonts w:ascii="宋体" w:eastAsia="宋体" w:hAnsi="宋体" w:cs="宋体"/>
                <w:spacing w:val="-2"/>
                <w:sz w:val="16"/>
                <w:szCs w:val="16"/>
              </w:rPr>
              <w:t>300～500</w:t>
            </w:r>
            <w:r>
              <w:rPr>
                <w:rFonts w:ascii="宋体" w:eastAsia="宋体" w:hAnsi="宋体" w:cs="宋体"/>
                <w:spacing w:val="8"/>
                <w:sz w:val="16"/>
                <w:szCs w:val="16"/>
              </w:rPr>
              <w:t xml:space="preserve"> </w:t>
            </w:r>
            <w:r>
              <w:rPr>
                <w:rFonts w:ascii="宋体" w:eastAsia="宋体" w:hAnsi="宋体" w:cs="宋体"/>
                <w:spacing w:val="-2"/>
                <w:sz w:val="16"/>
                <w:szCs w:val="16"/>
              </w:rPr>
              <w:t>mg</w:t>
            </w:r>
          </w:p>
        </w:tc>
        <w:tc>
          <w:tcPr>
            <w:tcW w:w="2501" w:type="dxa"/>
            <w:vMerge w:val="restart"/>
            <w:tcBorders>
              <w:bottom w:val="nil"/>
              <w:right w:val="nil"/>
            </w:tcBorders>
          </w:tcPr>
          <w:p w:rsidR="00EA40A3" w:rsidRDefault="00EA40A3">
            <w:pPr>
              <w:spacing w:line="316" w:lineRule="auto"/>
            </w:pPr>
          </w:p>
          <w:p w:rsidR="00EA40A3" w:rsidRDefault="00E86C16">
            <w:pPr>
              <w:spacing w:before="52" w:line="219" w:lineRule="auto"/>
              <w:ind w:left="104"/>
              <w:rPr>
                <w:rFonts w:ascii="宋体" w:eastAsia="宋体" w:hAnsi="宋体" w:cs="宋体"/>
                <w:sz w:val="16"/>
                <w:szCs w:val="16"/>
              </w:rPr>
            </w:pPr>
            <w:r>
              <w:rPr>
                <w:rFonts w:ascii="宋体" w:eastAsia="宋体" w:hAnsi="宋体" w:cs="宋体"/>
                <w:spacing w:val="8"/>
                <w:sz w:val="16"/>
                <w:szCs w:val="16"/>
              </w:rPr>
              <w:t>1.如用维生素C磷酸酯镁、抗坏</w:t>
            </w:r>
          </w:p>
          <w:p w:rsidR="00EA40A3" w:rsidRDefault="00E86C16">
            <w:pPr>
              <w:spacing w:before="99" w:line="258" w:lineRule="auto"/>
              <w:ind w:left="274" w:right="57" w:firstLine="20"/>
              <w:jc w:val="both"/>
              <w:rPr>
                <w:rFonts w:ascii="宋体" w:eastAsia="宋体" w:hAnsi="宋体" w:cs="宋体"/>
                <w:sz w:val="16"/>
                <w:szCs w:val="16"/>
              </w:rPr>
            </w:pPr>
            <w:r>
              <w:rPr>
                <w:rFonts w:ascii="宋体" w:eastAsia="宋体" w:hAnsi="宋体" w:cs="宋体"/>
                <w:spacing w:val="-1"/>
                <w:sz w:val="16"/>
                <w:szCs w:val="16"/>
              </w:rPr>
              <w:t>血酸钠盐、抗坏血酸钾盐、抗</w:t>
            </w:r>
            <w:r>
              <w:rPr>
                <w:rFonts w:ascii="宋体" w:eastAsia="宋体" w:hAnsi="宋体" w:cs="宋体"/>
                <w:spacing w:val="2"/>
                <w:sz w:val="16"/>
                <w:szCs w:val="16"/>
              </w:rPr>
              <w:t xml:space="preserve">  </w:t>
            </w:r>
            <w:r>
              <w:rPr>
                <w:rFonts w:ascii="宋体" w:eastAsia="宋体" w:hAnsi="宋体" w:cs="宋体"/>
                <w:sz w:val="16"/>
                <w:szCs w:val="16"/>
              </w:rPr>
              <w:t>坏血酸-6-棕榈酸盐强化，需经</w:t>
            </w:r>
            <w:r>
              <w:rPr>
                <w:rFonts w:ascii="宋体" w:eastAsia="宋体" w:hAnsi="宋体" w:cs="宋体"/>
                <w:spacing w:val="2"/>
                <w:sz w:val="16"/>
                <w:szCs w:val="16"/>
              </w:rPr>
              <w:t xml:space="preserve"> </w:t>
            </w:r>
            <w:r>
              <w:rPr>
                <w:rFonts w:ascii="宋体" w:eastAsia="宋体" w:hAnsi="宋体" w:cs="宋体"/>
                <w:spacing w:val="-2"/>
                <w:sz w:val="16"/>
                <w:szCs w:val="16"/>
              </w:rPr>
              <w:t>折算</w:t>
            </w:r>
          </w:p>
          <w:p w:rsidR="00EA40A3" w:rsidRDefault="00E86C16">
            <w:pPr>
              <w:spacing w:before="80" w:line="265" w:lineRule="auto"/>
              <w:ind w:left="284" w:right="104" w:hanging="180"/>
              <w:rPr>
                <w:rFonts w:ascii="宋体" w:eastAsia="宋体" w:hAnsi="宋体" w:cs="宋体"/>
                <w:sz w:val="16"/>
                <w:szCs w:val="16"/>
              </w:rPr>
            </w:pPr>
            <w:r>
              <w:rPr>
                <w:rFonts w:ascii="宋体" w:eastAsia="宋体" w:hAnsi="宋体" w:cs="宋体"/>
                <w:spacing w:val="3"/>
                <w:sz w:val="16"/>
                <w:szCs w:val="16"/>
              </w:rPr>
              <w:t>2.如固体饮料，则需按稀释倍数</w:t>
            </w:r>
            <w:r>
              <w:rPr>
                <w:rFonts w:ascii="宋体" w:eastAsia="宋体" w:hAnsi="宋体" w:cs="宋体"/>
                <w:sz w:val="16"/>
                <w:szCs w:val="16"/>
              </w:rPr>
              <w:t xml:space="preserve"> </w:t>
            </w:r>
            <w:r>
              <w:rPr>
                <w:rFonts w:ascii="宋体" w:eastAsia="宋体" w:hAnsi="宋体" w:cs="宋体"/>
                <w:spacing w:val="-2"/>
                <w:sz w:val="16"/>
                <w:szCs w:val="16"/>
              </w:rPr>
              <w:t>增加使用量</w:t>
            </w:r>
          </w:p>
        </w:tc>
      </w:tr>
      <w:tr w:rsidR="00EA40A3">
        <w:trPr>
          <w:trHeight w:val="769"/>
        </w:trPr>
        <w:tc>
          <w:tcPr>
            <w:tcW w:w="540" w:type="dxa"/>
            <w:vMerge/>
            <w:tcBorders>
              <w:top w:val="nil"/>
              <w:left w:val="nil"/>
              <w:bottom w:val="nil"/>
            </w:tcBorders>
            <w:textDirection w:val="tbRlV"/>
          </w:tcPr>
          <w:p w:rsidR="00EA40A3" w:rsidRDefault="00EA40A3"/>
        </w:tc>
        <w:tc>
          <w:tcPr>
            <w:tcW w:w="1410" w:type="dxa"/>
            <w:vMerge/>
            <w:tcBorders>
              <w:top w:val="nil"/>
            </w:tcBorders>
          </w:tcPr>
          <w:p w:rsidR="00EA40A3" w:rsidRDefault="00EA40A3"/>
        </w:tc>
        <w:tc>
          <w:tcPr>
            <w:tcW w:w="1580" w:type="dxa"/>
          </w:tcPr>
          <w:p w:rsidR="00EA40A3" w:rsidRDefault="00E86C16">
            <w:pPr>
              <w:spacing w:before="72" w:line="268" w:lineRule="auto"/>
              <w:ind w:left="264" w:right="87" w:hanging="170"/>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w:t>
            </w:r>
            <w:r>
              <w:rPr>
                <w:rFonts w:ascii="宋体" w:eastAsia="宋体" w:hAnsi="宋体" w:cs="宋体"/>
                <w:spacing w:val="2"/>
                <w:sz w:val="16"/>
                <w:szCs w:val="16"/>
              </w:rPr>
              <w:t>(每天限食这类食</w:t>
            </w:r>
            <w:r>
              <w:rPr>
                <w:rFonts w:ascii="宋体" w:eastAsia="宋体" w:hAnsi="宋体" w:cs="宋体"/>
                <w:sz w:val="16"/>
                <w:szCs w:val="16"/>
              </w:rPr>
              <w:t xml:space="preserve"> </w:t>
            </w:r>
            <w:r>
              <w:rPr>
                <w:rFonts w:ascii="宋体" w:eastAsia="宋体" w:hAnsi="宋体" w:cs="宋体"/>
                <w:spacing w:val="7"/>
                <w:sz w:val="16"/>
                <w:szCs w:val="16"/>
              </w:rPr>
              <w:t>品50g)</w:t>
            </w:r>
          </w:p>
        </w:tc>
        <w:tc>
          <w:tcPr>
            <w:tcW w:w="1260" w:type="dxa"/>
          </w:tcPr>
          <w:p w:rsidR="00EA40A3" w:rsidRDefault="00EA40A3">
            <w:pPr>
              <w:spacing w:line="277" w:lineRule="auto"/>
            </w:pPr>
          </w:p>
          <w:p w:rsidR="00EA40A3" w:rsidRDefault="00E86C16">
            <w:pPr>
              <w:spacing w:before="52" w:line="184" w:lineRule="auto"/>
              <w:ind w:left="184"/>
              <w:rPr>
                <w:rFonts w:ascii="宋体" w:eastAsia="宋体" w:hAnsi="宋体" w:cs="宋体"/>
                <w:sz w:val="16"/>
                <w:szCs w:val="16"/>
              </w:rPr>
            </w:pPr>
            <w:r>
              <w:rPr>
                <w:rFonts w:ascii="宋体" w:eastAsia="宋体" w:hAnsi="宋体" w:cs="宋体"/>
                <w:spacing w:val="-1"/>
                <w:sz w:val="16"/>
                <w:szCs w:val="16"/>
              </w:rPr>
              <w:t>800～1000mg</w:t>
            </w:r>
          </w:p>
        </w:tc>
        <w:tc>
          <w:tcPr>
            <w:tcW w:w="2501" w:type="dxa"/>
            <w:vMerge/>
            <w:tcBorders>
              <w:top w:val="nil"/>
              <w:right w:val="nil"/>
            </w:tcBorders>
          </w:tcPr>
          <w:p w:rsidR="00EA40A3" w:rsidRDefault="00EA40A3"/>
        </w:tc>
      </w:tr>
      <w:tr w:rsidR="00EA40A3">
        <w:trPr>
          <w:trHeight w:val="929"/>
        </w:trPr>
        <w:tc>
          <w:tcPr>
            <w:tcW w:w="540" w:type="dxa"/>
            <w:vMerge/>
            <w:tcBorders>
              <w:top w:val="nil"/>
              <w:left w:val="nil"/>
              <w:bottom w:val="nil"/>
            </w:tcBorders>
            <w:textDirection w:val="tbRlV"/>
          </w:tcPr>
          <w:p w:rsidR="00EA40A3" w:rsidRDefault="00EA40A3"/>
        </w:tc>
        <w:tc>
          <w:tcPr>
            <w:tcW w:w="1410" w:type="dxa"/>
          </w:tcPr>
          <w:p w:rsidR="00EA40A3" w:rsidRDefault="00EA40A3">
            <w:pPr>
              <w:spacing w:line="339" w:lineRule="auto"/>
            </w:pPr>
          </w:p>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1"/>
                <w:sz w:val="16"/>
                <w:szCs w:val="16"/>
              </w:rPr>
              <w:t>烟酸或烟酰胺</w:t>
            </w:r>
          </w:p>
        </w:tc>
        <w:tc>
          <w:tcPr>
            <w:tcW w:w="1580" w:type="dxa"/>
          </w:tcPr>
          <w:p w:rsidR="00EA40A3" w:rsidRDefault="00E86C16">
            <w:pPr>
              <w:spacing w:before="152" w:line="260" w:lineRule="exact"/>
              <w:ind w:left="94"/>
              <w:rPr>
                <w:rFonts w:ascii="宋体" w:eastAsia="宋体" w:hAnsi="宋体" w:cs="宋体"/>
                <w:sz w:val="16"/>
                <w:szCs w:val="16"/>
              </w:rPr>
            </w:pPr>
            <w:r>
              <w:rPr>
                <w:rFonts w:ascii="宋体" w:eastAsia="宋体" w:hAnsi="宋体" w:cs="宋体"/>
                <w:spacing w:val="2"/>
                <w:position w:val="7"/>
                <w:sz w:val="16"/>
                <w:szCs w:val="16"/>
              </w:rPr>
              <w:t>谷类及其制品</w:t>
            </w:r>
          </w:p>
          <w:p w:rsidR="00EA40A3" w:rsidRDefault="00E86C16">
            <w:pPr>
              <w:spacing w:line="219" w:lineRule="auto"/>
              <w:ind w:left="94"/>
              <w:rPr>
                <w:rFonts w:ascii="宋体" w:eastAsia="宋体" w:hAnsi="宋体" w:cs="宋体"/>
                <w:sz w:val="16"/>
                <w:szCs w:val="16"/>
              </w:rPr>
            </w:pPr>
            <w:r>
              <w:rPr>
                <w:rFonts w:ascii="宋体" w:eastAsia="宋体" w:hAnsi="宋体" w:cs="宋体"/>
                <w:spacing w:val="3"/>
                <w:sz w:val="16"/>
                <w:szCs w:val="16"/>
              </w:rPr>
              <w:t>婴幼儿食品</w:t>
            </w:r>
          </w:p>
          <w:p w:rsidR="00EA40A3" w:rsidRDefault="00E86C16">
            <w:pPr>
              <w:spacing w:before="70" w:line="220" w:lineRule="auto"/>
              <w:ind w:left="94"/>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172" w:line="260" w:lineRule="exact"/>
              <w:ind w:left="265"/>
              <w:rPr>
                <w:rFonts w:ascii="宋体" w:eastAsia="宋体" w:hAnsi="宋体" w:cs="宋体"/>
                <w:sz w:val="16"/>
                <w:szCs w:val="16"/>
              </w:rPr>
            </w:pPr>
            <w:r>
              <w:rPr>
                <w:rFonts w:ascii="宋体" w:eastAsia="宋体" w:hAnsi="宋体" w:cs="宋体"/>
                <w:spacing w:val="-1"/>
                <w:position w:val="10"/>
                <w:sz w:val="16"/>
                <w:szCs w:val="16"/>
              </w:rPr>
              <w:t>40～50</w:t>
            </w:r>
            <w:r>
              <w:rPr>
                <w:rFonts w:ascii="宋体" w:eastAsia="宋体" w:hAnsi="宋体" w:cs="宋体"/>
                <w:spacing w:val="1"/>
                <w:position w:val="10"/>
                <w:sz w:val="16"/>
                <w:szCs w:val="16"/>
              </w:rPr>
              <w:t xml:space="preserve"> </w:t>
            </w:r>
            <w:r>
              <w:rPr>
                <w:rFonts w:ascii="宋体" w:eastAsia="宋体" w:hAnsi="宋体" w:cs="宋体"/>
                <w:spacing w:val="-1"/>
                <w:position w:val="10"/>
                <w:sz w:val="16"/>
                <w:szCs w:val="16"/>
              </w:rPr>
              <w:t>mg</w:t>
            </w:r>
          </w:p>
          <w:p w:rsidR="00EA40A3" w:rsidRDefault="00E86C16">
            <w:pPr>
              <w:spacing w:line="182" w:lineRule="auto"/>
              <w:ind w:left="265"/>
              <w:rPr>
                <w:rFonts w:ascii="宋体" w:eastAsia="宋体" w:hAnsi="宋体" w:cs="宋体"/>
                <w:sz w:val="16"/>
                <w:szCs w:val="16"/>
              </w:rPr>
            </w:pPr>
            <w:r>
              <w:rPr>
                <w:rFonts w:ascii="宋体" w:eastAsia="宋体" w:hAnsi="宋体" w:cs="宋体"/>
                <w:spacing w:val="-2"/>
                <w:sz w:val="16"/>
                <w:szCs w:val="16"/>
              </w:rPr>
              <w:t>30～40</w:t>
            </w:r>
            <w:r>
              <w:rPr>
                <w:rFonts w:ascii="宋体" w:eastAsia="宋体" w:hAnsi="宋体" w:cs="宋体"/>
                <w:spacing w:val="4"/>
                <w:sz w:val="16"/>
                <w:szCs w:val="16"/>
              </w:rPr>
              <w:t xml:space="preserve"> </w:t>
            </w:r>
            <w:r>
              <w:rPr>
                <w:rFonts w:ascii="宋体" w:eastAsia="宋体" w:hAnsi="宋体" w:cs="宋体"/>
                <w:spacing w:val="-2"/>
                <w:sz w:val="16"/>
                <w:szCs w:val="16"/>
              </w:rPr>
              <w:t>mg</w:t>
            </w:r>
          </w:p>
          <w:p w:rsidR="00EA40A3" w:rsidRDefault="00E86C16">
            <w:pPr>
              <w:spacing w:before="70" w:line="184" w:lineRule="auto"/>
              <w:ind w:left="265"/>
              <w:rPr>
                <w:rFonts w:ascii="宋体" w:eastAsia="宋体" w:hAnsi="宋体" w:cs="宋体"/>
                <w:sz w:val="16"/>
                <w:szCs w:val="16"/>
              </w:rPr>
            </w:pPr>
            <w:r>
              <w:rPr>
                <w:rFonts w:ascii="宋体" w:eastAsia="宋体" w:hAnsi="宋体" w:cs="宋体"/>
                <w:spacing w:val="-3"/>
                <w:sz w:val="16"/>
                <w:szCs w:val="16"/>
              </w:rPr>
              <w:t>10～40</w:t>
            </w:r>
            <w:r>
              <w:rPr>
                <w:rFonts w:ascii="宋体" w:eastAsia="宋体" w:hAnsi="宋体" w:cs="宋体"/>
                <w:spacing w:val="25"/>
                <w:w w:val="101"/>
                <w:sz w:val="16"/>
                <w:szCs w:val="16"/>
              </w:rPr>
              <w:t xml:space="preserve"> </w:t>
            </w:r>
            <w:r>
              <w:rPr>
                <w:rFonts w:ascii="宋体" w:eastAsia="宋体" w:hAnsi="宋体" w:cs="宋体"/>
                <w:spacing w:val="-3"/>
                <w:sz w:val="16"/>
                <w:szCs w:val="16"/>
              </w:rPr>
              <w:t>mg</w:t>
            </w:r>
          </w:p>
        </w:tc>
        <w:tc>
          <w:tcPr>
            <w:tcW w:w="2501" w:type="dxa"/>
            <w:tcBorders>
              <w:right w:val="nil"/>
            </w:tcBorders>
          </w:tcPr>
          <w:p w:rsidR="00EA40A3" w:rsidRDefault="00EA40A3"/>
        </w:tc>
      </w:tr>
      <w:tr w:rsidR="00EA40A3">
        <w:trPr>
          <w:trHeight w:val="919"/>
        </w:trPr>
        <w:tc>
          <w:tcPr>
            <w:tcW w:w="540" w:type="dxa"/>
            <w:vMerge/>
            <w:tcBorders>
              <w:top w:val="nil"/>
              <w:left w:val="nil"/>
              <w:bottom w:val="nil"/>
            </w:tcBorders>
            <w:textDirection w:val="tbRlV"/>
          </w:tcPr>
          <w:p w:rsidR="00EA40A3" w:rsidRDefault="00EA40A3"/>
        </w:tc>
        <w:tc>
          <w:tcPr>
            <w:tcW w:w="1410" w:type="dxa"/>
          </w:tcPr>
          <w:p w:rsidR="00EA40A3" w:rsidRDefault="00E86C16">
            <w:pPr>
              <w:spacing w:before="153" w:line="266" w:lineRule="auto"/>
              <w:ind w:left="75" w:right="218"/>
              <w:jc w:val="both"/>
              <w:rPr>
                <w:rFonts w:ascii="宋体" w:eastAsia="宋体" w:hAnsi="宋体" w:cs="宋体"/>
                <w:sz w:val="16"/>
                <w:szCs w:val="16"/>
              </w:rPr>
            </w:pPr>
            <w:r>
              <w:rPr>
                <w:rFonts w:ascii="宋体" w:eastAsia="宋体" w:hAnsi="宋体" w:cs="宋体"/>
                <w:spacing w:val="-2"/>
                <w:sz w:val="16"/>
                <w:szCs w:val="16"/>
              </w:rPr>
              <w:t>维生素Bi(盐酸</w:t>
            </w:r>
            <w:r>
              <w:rPr>
                <w:rFonts w:ascii="宋体" w:eastAsia="宋体" w:hAnsi="宋体" w:cs="宋体"/>
                <w:spacing w:val="3"/>
                <w:sz w:val="16"/>
                <w:szCs w:val="16"/>
              </w:rPr>
              <w:t xml:space="preserve">  </w:t>
            </w:r>
            <w:r>
              <w:rPr>
                <w:rFonts w:ascii="宋体" w:eastAsia="宋体" w:hAnsi="宋体" w:cs="宋体"/>
                <w:spacing w:val="-2"/>
                <w:sz w:val="16"/>
                <w:szCs w:val="16"/>
              </w:rPr>
              <w:t>吡哆醇或5-磷酸</w:t>
            </w:r>
            <w:r>
              <w:rPr>
                <w:rFonts w:ascii="宋体" w:eastAsia="宋体" w:hAnsi="宋体" w:cs="宋体"/>
                <w:spacing w:val="1"/>
                <w:sz w:val="16"/>
                <w:szCs w:val="16"/>
              </w:rPr>
              <w:t xml:space="preserve"> </w:t>
            </w:r>
            <w:r>
              <w:rPr>
                <w:rFonts w:ascii="宋体" w:eastAsia="宋体" w:hAnsi="宋体" w:cs="宋体"/>
                <w:spacing w:val="8"/>
                <w:sz w:val="16"/>
                <w:szCs w:val="16"/>
              </w:rPr>
              <w:t>吡哆醇)</w:t>
            </w:r>
          </w:p>
        </w:tc>
        <w:tc>
          <w:tcPr>
            <w:tcW w:w="1580" w:type="dxa"/>
          </w:tcPr>
          <w:p w:rsidR="00EA40A3" w:rsidRDefault="00E86C16">
            <w:pPr>
              <w:spacing w:before="273" w:line="241" w:lineRule="exact"/>
              <w:ind w:left="94"/>
              <w:rPr>
                <w:rFonts w:ascii="宋体" w:eastAsia="宋体" w:hAnsi="宋体" w:cs="宋体"/>
                <w:sz w:val="16"/>
                <w:szCs w:val="16"/>
              </w:rPr>
            </w:pPr>
            <w:r>
              <w:rPr>
                <w:rFonts w:ascii="宋体" w:eastAsia="宋体" w:hAnsi="宋体" w:cs="宋体"/>
                <w:spacing w:val="3"/>
                <w:position w:val="5"/>
                <w:sz w:val="16"/>
                <w:szCs w:val="16"/>
              </w:rPr>
              <w:t>婴幼儿食品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A40A3"/>
          <w:p w:rsidR="00EA40A3" w:rsidRDefault="00E86C16">
            <w:pPr>
              <w:spacing w:before="52" w:line="259" w:lineRule="exact"/>
              <w:ind w:left="345"/>
              <w:rPr>
                <w:rFonts w:ascii="宋体" w:eastAsia="宋体" w:hAnsi="宋体" w:cs="宋体"/>
                <w:sz w:val="16"/>
                <w:szCs w:val="16"/>
              </w:rPr>
            </w:pPr>
            <w:r>
              <w:rPr>
                <w:rFonts w:ascii="宋体" w:eastAsia="宋体" w:hAnsi="宋体" w:cs="宋体"/>
                <w:spacing w:val="-3"/>
                <w:position w:val="10"/>
                <w:sz w:val="16"/>
                <w:szCs w:val="16"/>
              </w:rPr>
              <w:t>3～4</w:t>
            </w:r>
            <w:r>
              <w:rPr>
                <w:rFonts w:ascii="宋体" w:eastAsia="宋体" w:hAnsi="宋体" w:cs="宋体"/>
                <w:spacing w:val="5"/>
                <w:position w:val="10"/>
                <w:sz w:val="16"/>
                <w:szCs w:val="16"/>
              </w:rPr>
              <w:t xml:space="preserve"> </w:t>
            </w:r>
            <w:r>
              <w:rPr>
                <w:rFonts w:ascii="宋体" w:eastAsia="宋体" w:hAnsi="宋体" w:cs="宋体"/>
                <w:spacing w:val="-3"/>
                <w:position w:val="10"/>
                <w:sz w:val="16"/>
                <w:szCs w:val="16"/>
              </w:rPr>
              <w:t>mg</w:t>
            </w:r>
          </w:p>
          <w:p w:rsidR="00EA40A3" w:rsidRDefault="00E86C16">
            <w:pPr>
              <w:spacing w:line="183" w:lineRule="auto"/>
              <w:ind w:left="345"/>
              <w:rPr>
                <w:rFonts w:ascii="宋体" w:eastAsia="宋体" w:hAnsi="宋体" w:cs="宋体"/>
                <w:sz w:val="16"/>
                <w:szCs w:val="16"/>
              </w:rPr>
            </w:pPr>
            <w:r>
              <w:rPr>
                <w:rFonts w:ascii="宋体" w:eastAsia="宋体" w:hAnsi="宋体" w:cs="宋体"/>
                <w:spacing w:val="-4"/>
                <w:sz w:val="16"/>
                <w:szCs w:val="16"/>
              </w:rPr>
              <w:t>1～2</w:t>
            </w:r>
            <w:r>
              <w:rPr>
                <w:rFonts w:ascii="宋体" w:eastAsia="宋体" w:hAnsi="宋体" w:cs="宋体"/>
                <w:spacing w:val="24"/>
                <w:w w:val="101"/>
                <w:sz w:val="16"/>
                <w:szCs w:val="16"/>
              </w:rPr>
              <w:t xml:space="preserve"> </w:t>
            </w:r>
            <w:r>
              <w:rPr>
                <w:rFonts w:ascii="宋体" w:eastAsia="宋体" w:hAnsi="宋体" w:cs="宋体"/>
                <w:spacing w:val="-4"/>
                <w:sz w:val="16"/>
                <w:szCs w:val="16"/>
              </w:rPr>
              <w:t>mg</w:t>
            </w:r>
          </w:p>
        </w:tc>
        <w:tc>
          <w:tcPr>
            <w:tcW w:w="2501" w:type="dxa"/>
            <w:tcBorders>
              <w:right w:val="nil"/>
            </w:tcBorders>
          </w:tcPr>
          <w:p w:rsidR="00EA40A3" w:rsidRDefault="00EA40A3"/>
        </w:tc>
      </w:tr>
      <w:tr w:rsidR="00EA40A3">
        <w:trPr>
          <w:trHeight w:val="610"/>
        </w:trPr>
        <w:tc>
          <w:tcPr>
            <w:tcW w:w="540" w:type="dxa"/>
            <w:vMerge/>
            <w:tcBorders>
              <w:top w:val="nil"/>
              <w:left w:val="nil"/>
              <w:bottom w:val="nil"/>
            </w:tcBorders>
            <w:textDirection w:val="tbRlV"/>
          </w:tcPr>
          <w:p w:rsidR="00EA40A3" w:rsidRDefault="00EA40A3"/>
        </w:tc>
        <w:tc>
          <w:tcPr>
            <w:tcW w:w="1410" w:type="dxa"/>
          </w:tcPr>
          <w:p w:rsidR="00EA40A3" w:rsidRDefault="00E86C16">
            <w:pPr>
              <w:spacing w:before="125" w:line="260" w:lineRule="auto"/>
              <w:ind w:left="75" w:right="213"/>
              <w:rPr>
                <w:rFonts w:ascii="宋体" w:eastAsia="宋体" w:hAnsi="宋体" w:cs="宋体"/>
                <w:sz w:val="16"/>
                <w:szCs w:val="16"/>
              </w:rPr>
            </w:pPr>
            <w:r>
              <w:rPr>
                <w:rFonts w:ascii="宋体" w:eastAsia="宋体" w:hAnsi="宋体" w:cs="宋体"/>
                <w:spacing w:val="-1"/>
                <w:sz w:val="16"/>
                <w:szCs w:val="16"/>
              </w:rPr>
              <w:t>维生素B12(氰钴</w:t>
            </w:r>
            <w:r>
              <w:rPr>
                <w:rFonts w:ascii="宋体" w:eastAsia="宋体" w:hAnsi="宋体" w:cs="宋体"/>
                <w:sz w:val="16"/>
                <w:szCs w:val="16"/>
              </w:rPr>
              <w:t xml:space="preserve"> </w:t>
            </w:r>
            <w:r>
              <w:rPr>
                <w:rFonts w:ascii="宋体" w:eastAsia="宋体" w:hAnsi="宋体" w:cs="宋体"/>
                <w:spacing w:val="5"/>
                <w:sz w:val="16"/>
                <w:szCs w:val="16"/>
              </w:rPr>
              <w:t>胺或羟钴胺)</w:t>
            </w:r>
          </w:p>
        </w:tc>
        <w:tc>
          <w:tcPr>
            <w:tcW w:w="1580" w:type="dxa"/>
          </w:tcPr>
          <w:p w:rsidR="00EA40A3" w:rsidRDefault="00E86C16">
            <w:pPr>
              <w:spacing w:before="104" w:line="271" w:lineRule="exact"/>
              <w:ind w:left="94"/>
              <w:rPr>
                <w:rFonts w:ascii="宋体" w:eastAsia="宋体" w:hAnsi="宋体" w:cs="宋体"/>
                <w:sz w:val="16"/>
                <w:szCs w:val="16"/>
              </w:rPr>
            </w:pPr>
            <w:r>
              <w:rPr>
                <w:rFonts w:ascii="宋体" w:eastAsia="宋体" w:hAnsi="宋体" w:cs="宋体"/>
                <w:spacing w:val="3"/>
                <w:position w:val="8"/>
                <w:sz w:val="16"/>
                <w:szCs w:val="16"/>
              </w:rPr>
              <w:t>婴幼儿食品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124" w:line="280" w:lineRule="exact"/>
              <w:ind w:left="265"/>
              <w:rPr>
                <w:rFonts w:ascii="宋体" w:eastAsia="宋体" w:hAnsi="宋体" w:cs="宋体"/>
                <w:sz w:val="16"/>
                <w:szCs w:val="16"/>
              </w:rPr>
            </w:pPr>
            <w:r>
              <w:rPr>
                <w:rFonts w:ascii="宋体" w:eastAsia="宋体" w:hAnsi="宋体" w:cs="宋体"/>
                <w:spacing w:val="-3"/>
                <w:position w:val="11"/>
                <w:sz w:val="16"/>
                <w:szCs w:val="16"/>
              </w:rPr>
              <w:t>10～30</w:t>
            </w:r>
            <w:r>
              <w:rPr>
                <w:rFonts w:ascii="宋体" w:eastAsia="宋体" w:hAnsi="宋体" w:cs="宋体"/>
                <w:spacing w:val="26"/>
                <w:position w:val="11"/>
                <w:sz w:val="16"/>
                <w:szCs w:val="16"/>
              </w:rPr>
              <w:t xml:space="preserve"> </w:t>
            </w:r>
            <w:r>
              <w:rPr>
                <w:rFonts w:ascii="宋体" w:eastAsia="宋体" w:hAnsi="宋体" w:cs="宋体"/>
                <w:spacing w:val="-3"/>
                <w:position w:val="11"/>
                <w:sz w:val="16"/>
                <w:szCs w:val="16"/>
              </w:rPr>
              <w:t>ug</w:t>
            </w:r>
          </w:p>
          <w:p w:rsidR="00EA40A3" w:rsidRDefault="00E86C16">
            <w:pPr>
              <w:spacing w:line="182" w:lineRule="auto"/>
              <w:ind w:left="305"/>
              <w:rPr>
                <w:rFonts w:ascii="宋体" w:eastAsia="宋体" w:hAnsi="宋体" w:cs="宋体"/>
                <w:sz w:val="16"/>
                <w:szCs w:val="16"/>
              </w:rPr>
            </w:pPr>
            <w:r>
              <w:rPr>
                <w:rFonts w:ascii="宋体" w:eastAsia="宋体" w:hAnsi="宋体" w:cs="宋体"/>
                <w:spacing w:val="-8"/>
                <w:sz w:val="16"/>
                <w:szCs w:val="16"/>
              </w:rPr>
              <w:t>2～6</w:t>
            </w:r>
            <w:r>
              <w:rPr>
                <w:rFonts w:ascii="宋体" w:eastAsia="宋体" w:hAnsi="宋体" w:cs="宋体"/>
                <w:spacing w:val="46"/>
                <w:sz w:val="16"/>
                <w:szCs w:val="16"/>
              </w:rPr>
              <w:t xml:space="preserve"> </w:t>
            </w:r>
            <w:r>
              <w:rPr>
                <w:rFonts w:ascii="宋体" w:eastAsia="宋体" w:hAnsi="宋体" w:cs="宋体"/>
                <w:spacing w:val="-8"/>
                <w:sz w:val="16"/>
                <w:szCs w:val="16"/>
              </w:rPr>
              <w:t>μg</w:t>
            </w:r>
          </w:p>
        </w:tc>
        <w:tc>
          <w:tcPr>
            <w:tcW w:w="2501" w:type="dxa"/>
            <w:tcBorders>
              <w:right w:val="nil"/>
            </w:tcBorders>
          </w:tcPr>
          <w:p w:rsidR="00EA40A3" w:rsidRDefault="00EA40A3"/>
        </w:tc>
      </w:tr>
      <w:tr w:rsidR="00EA40A3">
        <w:trPr>
          <w:trHeight w:val="619"/>
        </w:trPr>
        <w:tc>
          <w:tcPr>
            <w:tcW w:w="540" w:type="dxa"/>
            <w:vMerge/>
            <w:tcBorders>
              <w:top w:val="nil"/>
              <w:left w:val="nil"/>
              <w:bottom w:val="nil"/>
            </w:tcBorders>
            <w:textDirection w:val="tbRlV"/>
          </w:tcPr>
          <w:p w:rsidR="00EA40A3" w:rsidRDefault="00EA40A3"/>
        </w:tc>
        <w:tc>
          <w:tcPr>
            <w:tcW w:w="1410" w:type="dxa"/>
          </w:tcPr>
          <w:p w:rsidR="00EA40A3" w:rsidRDefault="00E86C16">
            <w:pPr>
              <w:spacing w:before="104" w:line="219" w:lineRule="auto"/>
              <w:ind w:left="75"/>
              <w:rPr>
                <w:rFonts w:ascii="宋体" w:eastAsia="宋体" w:hAnsi="宋体" w:cs="宋体"/>
                <w:sz w:val="16"/>
                <w:szCs w:val="16"/>
              </w:rPr>
            </w:pPr>
            <w:r>
              <w:rPr>
                <w:rFonts w:ascii="宋体" w:eastAsia="宋体" w:hAnsi="宋体" w:cs="宋体"/>
                <w:spacing w:val="-2"/>
                <w:sz w:val="16"/>
                <w:szCs w:val="16"/>
              </w:rPr>
              <w:t>维生素K</w:t>
            </w:r>
          </w:p>
          <w:p w:rsidR="00EA40A3" w:rsidRDefault="00E86C16">
            <w:pPr>
              <w:spacing w:before="90" w:line="219" w:lineRule="auto"/>
              <w:ind w:left="75"/>
              <w:rPr>
                <w:rFonts w:ascii="宋体" w:eastAsia="宋体" w:hAnsi="宋体" w:cs="宋体"/>
                <w:sz w:val="16"/>
                <w:szCs w:val="16"/>
              </w:rPr>
            </w:pPr>
            <w:r>
              <w:rPr>
                <w:rFonts w:ascii="宋体" w:eastAsia="宋体" w:hAnsi="宋体" w:cs="宋体"/>
                <w:spacing w:val="5"/>
                <w:sz w:val="16"/>
                <w:szCs w:val="16"/>
              </w:rPr>
              <w:t>(植物甲萘醌)</w:t>
            </w:r>
          </w:p>
        </w:tc>
        <w:tc>
          <w:tcPr>
            <w:tcW w:w="1580" w:type="dxa"/>
          </w:tcPr>
          <w:p w:rsidR="00EA40A3" w:rsidRDefault="00E86C16">
            <w:pPr>
              <w:spacing w:before="234" w:line="219" w:lineRule="auto"/>
              <w:ind w:left="94"/>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54" w:line="183" w:lineRule="auto"/>
              <w:ind w:left="184"/>
              <w:rPr>
                <w:rFonts w:ascii="宋体" w:eastAsia="宋体" w:hAnsi="宋体" w:cs="宋体"/>
                <w:sz w:val="16"/>
                <w:szCs w:val="16"/>
              </w:rPr>
            </w:pPr>
            <w:r>
              <w:rPr>
                <w:rFonts w:ascii="宋体" w:eastAsia="宋体" w:hAnsi="宋体" w:cs="宋体"/>
                <w:spacing w:val="-1"/>
                <w:sz w:val="16"/>
                <w:szCs w:val="16"/>
              </w:rPr>
              <w:t>420～750μg</w:t>
            </w:r>
          </w:p>
        </w:tc>
        <w:tc>
          <w:tcPr>
            <w:tcW w:w="2501" w:type="dxa"/>
            <w:tcBorders>
              <w:right w:val="nil"/>
            </w:tcBorders>
          </w:tcPr>
          <w:p w:rsidR="00EA40A3" w:rsidRDefault="00EA40A3"/>
        </w:tc>
      </w:tr>
      <w:tr w:rsidR="00EA40A3">
        <w:trPr>
          <w:trHeight w:val="610"/>
        </w:trPr>
        <w:tc>
          <w:tcPr>
            <w:tcW w:w="540" w:type="dxa"/>
            <w:vMerge/>
            <w:tcBorders>
              <w:top w:val="nil"/>
              <w:left w:val="nil"/>
              <w:bottom w:val="nil"/>
            </w:tcBorders>
            <w:textDirection w:val="tbRlV"/>
          </w:tcPr>
          <w:p w:rsidR="00EA40A3" w:rsidRDefault="00EA40A3"/>
        </w:tc>
        <w:tc>
          <w:tcPr>
            <w:tcW w:w="1410" w:type="dxa"/>
          </w:tcPr>
          <w:p w:rsidR="00EA40A3" w:rsidRDefault="00E86C16">
            <w:pPr>
              <w:spacing w:before="236" w:line="221" w:lineRule="auto"/>
              <w:ind w:left="75"/>
              <w:rPr>
                <w:rFonts w:ascii="宋体" w:eastAsia="宋体" w:hAnsi="宋体" w:cs="宋体"/>
                <w:sz w:val="16"/>
                <w:szCs w:val="16"/>
              </w:rPr>
            </w:pPr>
            <w:r>
              <w:rPr>
                <w:rFonts w:ascii="宋体" w:eastAsia="宋体" w:hAnsi="宋体" w:cs="宋体"/>
                <w:spacing w:val="-2"/>
                <w:sz w:val="16"/>
                <w:szCs w:val="16"/>
              </w:rPr>
              <w:t>胆碱</w:t>
            </w:r>
          </w:p>
        </w:tc>
        <w:tc>
          <w:tcPr>
            <w:tcW w:w="1580" w:type="dxa"/>
          </w:tcPr>
          <w:p w:rsidR="00EA40A3" w:rsidRDefault="00E86C16">
            <w:pPr>
              <w:spacing w:before="125" w:line="251" w:lineRule="exact"/>
              <w:ind w:left="94"/>
              <w:rPr>
                <w:rFonts w:ascii="宋体" w:eastAsia="宋体" w:hAnsi="宋体" w:cs="宋体"/>
                <w:sz w:val="16"/>
                <w:szCs w:val="16"/>
              </w:rPr>
            </w:pPr>
            <w:r>
              <w:rPr>
                <w:rFonts w:ascii="宋体" w:eastAsia="宋体" w:hAnsi="宋体" w:cs="宋体"/>
                <w:spacing w:val="3"/>
                <w:position w:val="6"/>
                <w:sz w:val="16"/>
                <w:szCs w:val="16"/>
              </w:rPr>
              <w:t>婴幼儿食品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145" w:line="230" w:lineRule="auto"/>
              <w:ind w:left="224" w:right="194" w:hanging="40"/>
              <w:rPr>
                <w:rFonts w:ascii="宋体" w:eastAsia="宋体" w:hAnsi="宋体" w:cs="宋体"/>
                <w:sz w:val="16"/>
                <w:szCs w:val="16"/>
              </w:rPr>
            </w:pPr>
            <w:r>
              <w:rPr>
                <w:rFonts w:ascii="宋体" w:eastAsia="宋体" w:hAnsi="宋体" w:cs="宋体"/>
                <w:spacing w:val="-2"/>
                <w:sz w:val="16"/>
                <w:szCs w:val="16"/>
              </w:rPr>
              <w:t>380～790</w:t>
            </w:r>
            <w:r>
              <w:rPr>
                <w:rFonts w:ascii="宋体" w:eastAsia="宋体" w:hAnsi="宋体" w:cs="宋体"/>
                <w:spacing w:val="7"/>
                <w:sz w:val="16"/>
                <w:szCs w:val="16"/>
              </w:rPr>
              <w:t xml:space="preserve"> </w:t>
            </w:r>
            <w:r>
              <w:rPr>
                <w:rFonts w:ascii="宋体" w:eastAsia="宋体" w:hAnsi="宋体" w:cs="宋体"/>
                <w:spacing w:val="-2"/>
                <w:sz w:val="16"/>
                <w:szCs w:val="16"/>
              </w:rPr>
              <w:t>mg</w:t>
            </w:r>
            <w:r>
              <w:rPr>
                <w:rFonts w:ascii="宋体" w:eastAsia="宋体" w:hAnsi="宋体" w:cs="宋体"/>
                <w:sz w:val="16"/>
                <w:szCs w:val="16"/>
              </w:rPr>
              <w:t xml:space="preserve"> </w:t>
            </w:r>
            <w:r>
              <w:rPr>
                <w:rFonts w:ascii="宋体" w:eastAsia="宋体" w:hAnsi="宋体" w:cs="宋体"/>
                <w:spacing w:val="-2"/>
                <w:sz w:val="16"/>
                <w:szCs w:val="16"/>
              </w:rPr>
              <w:t>50～100</w:t>
            </w:r>
            <w:r>
              <w:rPr>
                <w:rFonts w:ascii="宋体" w:eastAsia="宋体" w:hAnsi="宋体" w:cs="宋体"/>
                <w:spacing w:val="6"/>
                <w:sz w:val="16"/>
                <w:szCs w:val="16"/>
              </w:rPr>
              <w:t xml:space="preserve"> </w:t>
            </w:r>
            <w:r>
              <w:rPr>
                <w:rFonts w:ascii="宋体" w:eastAsia="宋体" w:hAnsi="宋体" w:cs="宋体"/>
                <w:spacing w:val="-2"/>
                <w:sz w:val="16"/>
                <w:szCs w:val="16"/>
              </w:rPr>
              <w:t>mg</w:t>
            </w:r>
          </w:p>
        </w:tc>
        <w:tc>
          <w:tcPr>
            <w:tcW w:w="2501" w:type="dxa"/>
            <w:tcBorders>
              <w:right w:val="nil"/>
            </w:tcBorders>
          </w:tcPr>
          <w:p w:rsidR="00EA40A3" w:rsidRDefault="00EA40A3"/>
        </w:tc>
      </w:tr>
      <w:tr w:rsidR="00EA40A3">
        <w:trPr>
          <w:trHeight w:val="654"/>
        </w:trPr>
        <w:tc>
          <w:tcPr>
            <w:tcW w:w="540" w:type="dxa"/>
            <w:vMerge/>
            <w:tcBorders>
              <w:top w:val="nil"/>
              <w:left w:val="nil"/>
            </w:tcBorders>
            <w:textDirection w:val="tbRlV"/>
          </w:tcPr>
          <w:p w:rsidR="00EA40A3" w:rsidRDefault="00EA40A3"/>
        </w:tc>
        <w:tc>
          <w:tcPr>
            <w:tcW w:w="1410" w:type="dxa"/>
          </w:tcPr>
          <w:p w:rsidR="00EA40A3" w:rsidRDefault="00E86C16">
            <w:pPr>
              <w:spacing w:before="256" w:line="220" w:lineRule="auto"/>
              <w:ind w:left="75"/>
              <w:rPr>
                <w:rFonts w:ascii="宋体" w:eastAsia="宋体" w:hAnsi="宋体" w:cs="宋体"/>
                <w:sz w:val="16"/>
                <w:szCs w:val="16"/>
              </w:rPr>
            </w:pPr>
            <w:r>
              <w:rPr>
                <w:rFonts w:ascii="宋体" w:eastAsia="宋体" w:hAnsi="宋体" w:cs="宋体"/>
                <w:spacing w:val="-2"/>
                <w:sz w:val="16"/>
                <w:szCs w:val="16"/>
              </w:rPr>
              <w:t>肌醇</w:t>
            </w:r>
          </w:p>
        </w:tc>
        <w:tc>
          <w:tcPr>
            <w:tcW w:w="1580" w:type="dxa"/>
          </w:tcPr>
          <w:p w:rsidR="00EA40A3" w:rsidRDefault="00E86C16">
            <w:pPr>
              <w:spacing w:before="135" w:line="270" w:lineRule="exact"/>
              <w:ind w:left="94"/>
              <w:rPr>
                <w:rFonts w:ascii="宋体" w:eastAsia="宋体" w:hAnsi="宋体" w:cs="宋体"/>
                <w:sz w:val="16"/>
                <w:szCs w:val="16"/>
              </w:rPr>
            </w:pPr>
            <w:r>
              <w:rPr>
                <w:rFonts w:ascii="宋体" w:eastAsia="宋体" w:hAnsi="宋体" w:cs="宋体"/>
                <w:spacing w:val="3"/>
                <w:position w:val="8"/>
                <w:sz w:val="16"/>
                <w:szCs w:val="16"/>
              </w:rPr>
              <w:t>婴幼儿食品</w:t>
            </w:r>
          </w:p>
          <w:p w:rsidR="00EA40A3" w:rsidRDefault="00E86C16">
            <w:pPr>
              <w:spacing w:line="220" w:lineRule="auto"/>
              <w:ind w:left="9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135" w:line="280" w:lineRule="exact"/>
              <w:ind w:left="184"/>
              <w:rPr>
                <w:rFonts w:ascii="宋体" w:eastAsia="宋体" w:hAnsi="宋体" w:cs="宋体"/>
                <w:sz w:val="16"/>
                <w:szCs w:val="16"/>
              </w:rPr>
            </w:pPr>
            <w:r>
              <w:rPr>
                <w:rFonts w:ascii="宋体" w:eastAsia="宋体" w:hAnsi="宋体" w:cs="宋体"/>
                <w:spacing w:val="-2"/>
                <w:position w:val="11"/>
                <w:sz w:val="16"/>
                <w:szCs w:val="16"/>
              </w:rPr>
              <w:t>210～250</w:t>
            </w:r>
            <w:r>
              <w:rPr>
                <w:rFonts w:ascii="宋体" w:eastAsia="宋体" w:hAnsi="宋体" w:cs="宋体"/>
                <w:spacing w:val="9"/>
                <w:position w:val="11"/>
                <w:sz w:val="16"/>
                <w:szCs w:val="16"/>
              </w:rPr>
              <w:t xml:space="preserve"> </w:t>
            </w:r>
            <w:r>
              <w:rPr>
                <w:rFonts w:ascii="宋体" w:eastAsia="宋体" w:hAnsi="宋体" w:cs="宋体"/>
                <w:spacing w:val="-2"/>
                <w:position w:val="11"/>
                <w:sz w:val="16"/>
                <w:szCs w:val="16"/>
              </w:rPr>
              <w:t>mg</w:t>
            </w:r>
          </w:p>
          <w:p w:rsidR="00EA40A3" w:rsidRDefault="00E86C16">
            <w:pPr>
              <w:spacing w:line="182" w:lineRule="auto"/>
              <w:ind w:left="265"/>
              <w:rPr>
                <w:rFonts w:ascii="宋体" w:eastAsia="宋体" w:hAnsi="宋体" w:cs="宋体"/>
                <w:sz w:val="16"/>
                <w:szCs w:val="16"/>
              </w:rPr>
            </w:pPr>
            <w:r>
              <w:rPr>
                <w:rFonts w:ascii="宋体" w:eastAsia="宋体" w:hAnsi="宋体" w:cs="宋体"/>
                <w:spacing w:val="-2"/>
                <w:sz w:val="16"/>
                <w:szCs w:val="16"/>
              </w:rPr>
              <w:t>25～30</w:t>
            </w:r>
            <w:r>
              <w:rPr>
                <w:rFonts w:ascii="宋体" w:eastAsia="宋体" w:hAnsi="宋体" w:cs="宋体"/>
                <w:spacing w:val="5"/>
                <w:sz w:val="16"/>
                <w:szCs w:val="16"/>
              </w:rPr>
              <w:t xml:space="preserve"> </w:t>
            </w:r>
            <w:r>
              <w:rPr>
                <w:rFonts w:ascii="宋体" w:eastAsia="宋体" w:hAnsi="宋体" w:cs="宋体"/>
                <w:spacing w:val="-2"/>
                <w:sz w:val="16"/>
                <w:szCs w:val="16"/>
              </w:rPr>
              <w:t>mg</w:t>
            </w:r>
          </w:p>
        </w:tc>
        <w:tc>
          <w:tcPr>
            <w:tcW w:w="2501" w:type="dxa"/>
            <w:tcBorders>
              <w:right w:val="nil"/>
            </w:tcBorders>
          </w:tcPr>
          <w:p w:rsidR="00EA40A3" w:rsidRDefault="00EA40A3"/>
        </w:tc>
      </w:tr>
    </w:tbl>
    <w:p w:rsidR="00EA40A3" w:rsidRDefault="00E86C16">
      <w:pPr>
        <w:spacing w:before="79"/>
        <w:ind w:left="109"/>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pacing w:val="-7"/>
          <w:sz w:val="18"/>
          <w:szCs w:val="18"/>
        </w:rPr>
        <w:t xml:space="preserve"> </w:t>
      </w:r>
      <w:r>
        <w:rPr>
          <w:rFonts w:ascii="宋体" w:eastAsia="宋体" w:hAnsi="宋体" w:cs="宋体"/>
          <w:spacing w:val="-27"/>
          <w:sz w:val="18"/>
          <w:szCs w:val="18"/>
        </w:rPr>
        <w:t>430</w:t>
      </w:r>
      <w:r>
        <w:rPr>
          <w:rFonts w:ascii="宋体" w:eastAsia="宋体" w:hAnsi="宋体" w:cs="宋体"/>
          <w:spacing w:val="45"/>
          <w:sz w:val="18"/>
          <w:szCs w:val="18"/>
        </w:rPr>
        <w:t xml:space="preserve"> </w:t>
      </w:r>
      <w:r>
        <w:rPr>
          <w:rFonts w:ascii="宋体" w:eastAsia="宋体" w:hAnsi="宋体" w:cs="宋体"/>
          <w:spacing w:val="-27"/>
          <w:sz w:val="18"/>
          <w:szCs w:val="18"/>
        </w:rPr>
        <w:t>·</w:t>
      </w:r>
    </w:p>
    <w:p w:rsidR="00EA40A3" w:rsidRDefault="00EA40A3">
      <w:pPr>
        <w:sectPr w:rsidR="00EA40A3">
          <w:footerReference w:type="default" r:id="rId359"/>
          <w:pgSz w:w="9220" w:h="13360"/>
          <w:pgMar w:top="400" w:right="968" w:bottom="400" w:left="959" w:header="0" w:footer="0" w:gutter="0"/>
          <w:cols w:space="720"/>
        </w:sectPr>
      </w:pPr>
    </w:p>
    <w:p w:rsidR="00EA40A3" w:rsidRDefault="00EA40A3">
      <w:pPr>
        <w:spacing w:line="265" w:lineRule="auto"/>
      </w:pPr>
    </w:p>
    <w:p w:rsidR="00EA40A3" w:rsidRDefault="00EA40A3">
      <w:pPr>
        <w:spacing w:line="265" w:lineRule="auto"/>
      </w:pPr>
    </w:p>
    <w:p w:rsidR="00EA40A3" w:rsidRDefault="00E86C16">
      <w:pPr>
        <w:spacing w:before="65" w:line="220" w:lineRule="auto"/>
        <w:ind w:right="285"/>
        <w:jc w:val="right"/>
        <w:rPr>
          <w:rFonts w:ascii="宋体" w:eastAsia="宋体" w:hAnsi="宋体" w:cs="宋体"/>
          <w:sz w:val="20"/>
          <w:szCs w:val="20"/>
        </w:rPr>
      </w:pPr>
      <w:r>
        <w:rPr>
          <w:rFonts w:ascii="宋体" w:eastAsia="宋体" w:hAnsi="宋体" w:cs="宋体"/>
          <w:spacing w:val="-8"/>
          <w:sz w:val="20"/>
          <w:szCs w:val="20"/>
        </w:rPr>
        <w:t>续表</w:t>
      </w:r>
    </w:p>
    <w:p w:rsidR="00EA40A3" w:rsidRDefault="00EA40A3">
      <w:pPr>
        <w:spacing w:line="67" w:lineRule="exact"/>
      </w:pPr>
    </w:p>
    <w:tbl>
      <w:tblPr>
        <w:tblStyle w:val="TableNormal"/>
        <w:tblW w:w="72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0"/>
        <w:gridCol w:w="1420"/>
        <w:gridCol w:w="1570"/>
        <w:gridCol w:w="1260"/>
        <w:gridCol w:w="2460"/>
      </w:tblGrid>
      <w:tr w:rsidR="00EA40A3">
        <w:trPr>
          <w:trHeight w:val="305"/>
        </w:trPr>
        <w:tc>
          <w:tcPr>
            <w:tcW w:w="520" w:type="dxa"/>
            <w:tcBorders>
              <w:left w:val="nil"/>
            </w:tcBorders>
          </w:tcPr>
          <w:p w:rsidR="00EA40A3" w:rsidRDefault="00E86C16">
            <w:pPr>
              <w:spacing w:before="71" w:line="219" w:lineRule="auto"/>
              <w:ind w:left="99"/>
              <w:rPr>
                <w:rFonts w:ascii="宋体" w:eastAsia="宋体" w:hAnsi="宋体" w:cs="宋体"/>
                <w:sz w:val="16"/>
                <w:szCs w:val="16"/>
              </w:rPr>
            </w:pPr>
            <w:bookmarkStart w:id="106" w:name="_bookmark110"/>
            <w:bookmarkEnd w:id="106"/>
            <w:r>
              <w:rPr>
                <w:rFonts w:ascii="宋体" w:eastAsia="宋体" w:hAnsi="宋体" w:cs="宋体"/>
                <w:spacing w:val="-2"/>
                <w:sz w:val="16"/>
                <w:szCs w:val="16"/>
              </w:rPr>
              <w:t>种类</w:t>
            </w:r>
          </w:p>
        </w:tc>
        <w:tc>
          <w:tcPr>
            <w:tcW w:w="1420" w:type="dxa"/>
          </w:tcPr>
          <w:p w:rsidR="00EA40A3" w:rsidRDefault="00E86C16">
            <w:pPr>
              <w:spacing w:before="72" w:line="220" w:lineRule="auto"/>
              <w:ind w:left="394"/>
              <w:rPr>
                <w:rFonts w:ascii="宋体" w:eastAsia="宋体" w:hAnsi="宋体" w:cs="宋体"/>
                <w:sz w:val="16"/>
                <w:szCs w:val="16"/>
              </w:rPr>
            </w:pPr>
            <w:r>
              <w:rPr>
                <w:rFonts w:ascii="宋体" w:eastAsia="宋体" w:hAnsi="宋体" w:cs="宋体"/>
                <w:spacing w:val="-10"/>
                <w:sz w:val="16"/>
                <w:szCs w:val="16"/>
              </w:rPr>
              <w:t>品</w:t>
            </w:r>
            <w:r>
              <w:rPr>
                <w:rFonts w:ascii="宋体" w:eastAsia="宋体" w:hAnsi="宋体" w:cs="宋体"/>
                <w:spacing w:val="12"/>
                <w:sz w:val="16"/>
                <w:szCs w:val="16"/>
              </w:rPr>
              <w:t xml:space="preserve">   </w:t>
            </w:r>
            <w:r>
              <w:rPr>
                <w:rFonts w:ascii="宋体" w:eastAsia="宋体" w:hAnsi="宋体" w:cs="宋体"/>
                <w:spacing w:val="-10"/>
                <w:sz w:val="16"/>
                <w:szCs w:val="16"/>
              </w:rPr>
              <w:t>种</w:t>
            </w:r>
          </w:p>
        </w:tc>
        <w:tc>
          <w:tcPr>
            <w:tcW w:w="1570" w:type="dxa"/>
          </w:tcPr>
          <w:p w:rsidR="00EA40A3" w:rsidRDefault="00E86C16">
            <w:pPr>
              <w:spacing w:before="71" w:line="219" w:lineRule="auto"/>
              <w:ind w:left="465"/>
              <w:rPr>
                <w:rFonts w:ascii="宋体" w:eastAsia="宋体" w:hAnsi="宋体" w:cs="宋体"/>
                <w:sz w:val="16"/>
                <w:szCs w:val="16"/>
              </w:rPr>
            </w:pPr>
            <w:r>
              <w:rPr>
                <w:rFonts w:ascii="宋体" w:eastAsia="宋体" w:hAnsi="宋体" w:cs="宋体"/>
                <w:spacing w:val="3"/>
                <w:sz w:val="16"/>
                <w:szCs w:val="16"/>
              </w:rPr>
              <w:t>使用范围</w:t>
            </w:r>
          </w:p>
        </w:tc>
        <w:tc>
          <w:tcPr>
            <w:tcW w:w="1260" w:type="dxa"/>
          </w:tcPr>
          <w:p w:rsidR="00EA40A3" w:rsidRDefault="00E86C16">
            <w:pPr>
              <w:spacing w:before="71" w:line="219" w:lineRule="auto"/>
              <w:ind w:left="145"/>
              <w:rPr>
                <w:rFonts w:ascii="宋体" w:eastAsia="宋体" w:hAnsi="宋体" w:cs="宋体"/>
                <w:sz w:val="16"/>
                <w:szCs w:val="16"/>
              </w:rPr>
            </w:pPr>
            <w:r>
              <w:rPr>
                <w:rFonts w:ascii="宋体" w:eastAsia="宋体" w:hAnsi="宋体" w:cs="宋体"/>
                <w:spacing w:val="-1"/>
                <w:sz w:val="16"/>
                <w:szCs w:val="16"/>
              </w:rPr>
              <w:t>每千克使用量</w:t>
            </w:r>
          </w:p>
        </w:tc>
        <w:tc>
          <w:tcPr>
            <w:tcW w:w="2460" w:type="dxa"/>
            <w:tcBorders>
              <w:right w:val="nil"/>
            </w:tcBorders>
          </w:tcPr>
          <w:p w:rsidR="00EA40A3" w:rsidRDefault="00E86C16">
            <w:pPr>
              <w:spacing w:before="72" w:line="221" w:lineRule="auto"/>
              <w:ind w:left="915"/>
              <w:rPr>
                <w:rFonts w:ascii="宋体" w:eastAsia="宋体" w:hAnsi="宋体" w:cs="宋体"/>
                <w:sz w:val="16"/>
                <w:szCs w:val="16"/>
              </w:rPr>
            </w:pPr>
            <w:r>
              <w:rPr>
                <w:rFonts w:ascii="宋体" w:eastAsia="宋体" w:hAnsi="宋体" w:cs="宋体"/>
                <w:spacing w:val="-5"/>
                <w:sz w:val="16"/>
                <w:szCs w:val="16"/>
              </w:rPr>
              <w:t>备</w:t>
            </w:r>
            <w:r>
              <w:rPr>
                <w:rFonts w:ascii="宋体" w:eastAsia="宋体" w:hAnsi="宋体" w:cs="宋体"/>
                <w:spacing w:val="2"/>
                <w:sz w:val="16"/>
                <w:szCs w:val="16"/>
              </w:rPr>
              <w:t xml:space="preserve">   </w:t>
            </w:r>
            <w:r>
              <w:rPr>
                <w:rFonts w:ascii="宋体" w:eastAsia="宋体" w:hAnsi="宋体" w:cs="宋体"/>
                <w:spacing w:val="-5"/>
                <w:sz w:val="16"/>
                <w:szCs w:val="16"/>
              </w:rPr>
              <w:t>注</w:t>
            </w:r>
          </w:p>
        </w:tc>
      </w:tr>
      <w:tr w:rsidR="00EA40A3">
        <w:trPr>
          <w:trHeight w:val="579"/>
        </w:trPr>
        <w:tc>
          <w:tcPr>
            <w:tcW w:w="520" w:type="dxa"/>
            <w:vMerge w:val="restart"/>
            <w:tcBorders>
              <w:left w:val="nil"/>
              <w:bottom w:val="nil"/>
            </w:tcBorders>
            <w:textDirection w:val="tbRlV"/>
          </w:tcPr>
          <w:p w:rsidR="00EA40A3" w:rsidRDefault="00E86C16">
            <w:pPr>
              <w:spacing w:before="175" w:line="216" w:lineRule="auto"/>
              <w:ind w:left="372"/>
              <w:rPr>
                <w:rFonts w:ascii="宋体" w:eastAsia="宋体" w:hAnsi="宋体" w:cs="宋体"/>
                <w:sz w:val="16"/>
                <w:szCs w:val="16"/>
              </w:rPr>
            </w:pPr>
            <w:r>
              <w:rPr>
                <w:rFonts w:ascii="宋体" w:eastAsia="宋体" w:hAnsi="宋体" w:cs="宋体"/>
                <w:spacing w:val="24"/>
                <w:w w:val="133"/>
                <w:sz w:val="16"/>
                <w:szCs w:val="16"/>
              </w:rPr>
              <w:t>维生素类</w:t>
            </w:r>
          </w:p>
        </w:tc>
        <w:tc>
          <w:tcPr>
            <w:tcW w:w="1420" w:type="dxa"/>
          </w:tcPr>
          <w:p w:rsidR="00EA40A3" w:rsidRDefault="00E86C16">
            <w:pPr>
              <w:spacing w:before="206" w:line="219" w:lineRule="auto"/>
              <w:ind w:left="75"/>
              <w:rPr>
                <w:rFonts w:ascii="宋体" w:eastAsia="宋体" w:hAnsi="宋体" w:cs="宋体"/>
                <w:sz w:val="16"/>
                <w:szCs w:val="16"/>
              </w:rPr>
            </w:pPr>
            <w:r>
              <w:rPr>
                <w:rFonts w:ascii="宋体" w:eastAsia="宋体" w:hAnsi="宋体" w:cs="宋体"/>
                <w:spacing w:val="3"/>
                <w:sz w:val="16"/>
                <w:szCs w:val="16"/>
              </w:rPr>
              <w:t>叶酸</w:t>
            </w:r>
          </w:p>
        </w:tc>
        <w:tc>
          <w:tcPr>
            <w:tcW w:w="1570" w:type="dxa"/>
          </w:tcPr>
          <w:p w:rsidR="00EA40A3" w:rsidRDefault="00E86C16">
            <w:pPr>
              <w:spacing w:before="86" w:line="219" w:lineRule="auto"/>
              <w:ind w:left="85"/>
              <w:rPr>
                <w:rFonts w:ascii="宋体" w:eastAsia="宋体" w:hAnsi="宋体" w:cs="宋体"/>
                <w:sz w:val="16"/>
                <w:szCs w:val="16"/>
              </w:rPr>
            </w:pPr>
            <w:r>
              <w:rPr>
                <w:rFonts w:ascii="宋体" w:eastAsia="宋体" w:hAnsi="宋体" w:cs="宋体"/>
                <w:spacing w:val="3"/>
                <w:sz w:val="16"/>
                <w:szCs w:val="16"/>
              </w:rPr>
              <w:t>婴幼儿食品</w:t>
            </w:r>
          </w:p>
          <w:p w:rsidR="00EA40A3" w:rsidRDefault="00E86C16">
            <w:pPr>
              <w:spacing w:before="80" w:line="220" w:lineRule="auto"/>
              <w:ind w:left="85"/>
              <w:rPr>
                <w:rFonts w:ascii="宋体" w:eastAsia="宋体" w:hAnsi="宋体" w:cs="宋体"/>
                <w:sz w:val="16"/>
                <w:szCs w:val="16"/>
              </w:rPr>
            </w:pPr>
            <w:r>
              <w:rPr>
                <w:rFonts w:ascii="宋体" w:eastAsia="宋体" w:hAnsi="宋体" w:cs="宋体"/>
                <w:spacing w:val="1"/>
                <w:sz w:val="16"/>
                <w:szCs w:val="16"/>
              </w:rPr>
              <w:t>妊妇，乳母专用食品</w:t>
            </w:r>
          </w:p>
        </w:tc>
        <w:tc>
          <w:tcPr>
            <w:tcW w:w="1260" w:type="dxa"/>
          </w:tcPr>
          <w:p w:rsidR="00EA40A3" w:rsidRDefault="00E86C16">
            <w:pPr>
              <w:spacing w:before="96" w:line="290" w:lineRule="exact"/>
              <w:ind w:left="145"/>
              <w:rPr>
                <w:rFonts w:ascii="宋体" w:eastAsia="宋体" w:hAnsi="宋体" w:cs="宋体"/>
                <w:sz w:val="16"/>
                <w:szCs w:val="16"/>
              </w:rPr>
            </w:pPr>
            <w:r>
              <w:rPr>
                <w:rFonts w:ascii="宋体" w:eastAsia="宋体" w:hAnsi="宋体" w:cs="宋体"/>
                <w:spacing w:val="-5"/>
                <w:position w:val="12"/>
                <w:sz w:val="16"/>
                <w:szCs w:val="16"/>
              </w:rPr>
              <w:t>380～700</w:t>
            </w:r>
            <w:r>
              <w:rPr>
                <w:rFonts w:ascii="宋体" w:eastAsia="宋体" w:hAnsi="宋体" w:cs="宋体"/>
                <w:spacing w:val="49"/>
                <w:position w:val="12"/>
                <w:sz w:val="16"/>
                <w:szCs w:val="16"/>
              </w:rPr>
              <w:t xml:space="preserve"> </w:t>
            </w:r>
            <w:r>
              <w:rPr>
                <w:rFonts w:ascii="宋体" w:eastAsia="宋体" w:hAnsi="宋体" w:cs="宋体"/>
                <w:spacing w:val="-5"/>
                <w:position w:val="12"/>
                <w:sz w:val="16"/>
                <w:szCs w:val="16"/>
              </w:rPr>
              <w:t>μg</w:t>
            </w:r>
          </w:p>
          <w:p w:rsidR="00EA40A3" w:rsidRDefault="00E86C16">
            <w:pPr>
              <w:spacing w:line="182" w:lineRule="auto"/>
              <w:ind w:left="65"/>
              <w:rPr>
                <w:rFonts w:ascii="宋体" w:eastAsia="宋体" w:hAnsi="宋体" w:cs="宋体"/>
                <w:sz w:val="16"/>
                <w:szCs w:val="16"/>
              </w:rPr>
            </w:pPr>
            <w:r>
              <w:rPr>
                <w:rFonts w:ascii="宋体" w:eastAsia="宋体" w:hAnsi="宋体" w:cs="宋体"/>
                <w:spacing w:val="-4"/>
                <w:sz w:val="16"/>
                <w:szCs w:val="16"/>
              </w:rPr>
              <w:t>2000～4000</w:t>
            </w:r>
            <w:r>
              <w:rPr>
                <w:rFonts w:ascii="宋体" w:eastAsia="宋体" w:hAnsi="宋体" w:cs="宋体"/>
                <w:spacing w:val="50"/>
                <w:sz w:val="16"/>
                <w:szCs w:val="16"/>
              </w:rPr>
              <w:t xml:space="preserve"> </w:t>
            </w:r>
            <w:r>
              <w:rPr>
                <w:rFonts w:ascii="宋体" w:eastAsia="宋体" w:hAnsi="宋体" w:cs="宋体"/>
                <w:spacing w:val="-4"/>
                <w:sz w:val="16"/>
                <w:szCs w:val="16"/>
              </w:rPr>
              <w:t>μg</w:t>
            </w:r>
          </w:p>
        </w:tc>
        <w:tc>
          <w:tcPr>
            <w:tcW w:w="2460" w:type="dxa"/>
            <w:tcBorders>
              <w:right w:val="nil"/>
            </w:tcBorders>
          </w:tcPr>
          <w:p w:rsidR="00EA40A3" w:rsidRDefault="00EA40A3"/>
        </w:tc>
      </w:tr>
      <w:tr w:rsidR="00EA40A3">
        <w:trPr>
          <w:trHeight w:val="569"/>
        </w:trPr>
        <w:tc>
          <w:tcPr>
            <w:tcW w:w="520" w:type="dxa"/>
            <w:vMerge/>
            <w:tcBorders>
              <w:top w:val="nil"/>
              <w:left w:val="nil"/>
              <w:bottom w:val="nil"/>
            </w:tcBorders>
            <w:textDirection w:val="tbRlV"/>
          </w:tcPr>
          <w:p w:rsidR="00EA40A3" w:rsidRDefault="00EA40A3"/>
        </w:tc>
        <w:tc>
          <w:tcPr>
            <w:tcW w:w="1420" w:type="dxa"/>
          </w:tcPr>
          <w:p w:rsidR="00EA40A3" w:rsidRDefault="00E86C16">
            <w:pPr>
              <w:spacing w:before="208" w:line="221" w:lineRule="auto"/>
              <w:ind w:left="75"/>
              <w:rPr>
                <w:rFonts w:ascii="宋体" w:eastAsia="宋体" w:hAnsi="宋体" w:cs="宋体"/>
                <w:sz w:val="16"/>
                <w:szCs w:val="16"/>
              </w:rPr>
            </w:pPr>
            <w:r>
              <w:rPr>
                <w:rFonts w:ascii="宋体" w:eastAsia="宋体" w:hAnsi="宋体" w:cs="宋体"/>
                <w:spacing w:val="-2"/>
                <w:sz w:val="16"/>
                <w:szCs w:val="16"/>
              </w:rPr>
              <w:t>冷酸</w:t>
            </w:r>
          </w:p>
        </w:tc>
        <w:tc>
          <w:tcPr>
            <w:tcW w:w="1570" w:type="dxa"/>
          </w:tcPr>
          <w:p w:rsidR="00EA40A3" w:rsidRDefault="00E86C16">
            <w:pPr>
              <w:spacing w:before="87" w:line="261" w:lineRule="exact"/>
              <w:ind w:left="85"/>
              <w:rPr>
                <w:rFonts w:ascii="宋体" w:eastAsia="宋体" w:hAnsi="宋体" w:cs="宋体"/>
                <w:sz w:val="16"/>
                <w:szCs w:val="16"/>
              </w:rPr>
            </w:pPr>
            <w:r>
              <w:rPr>
                <w:rFonts w:ascii="宋体" w:eastAsia="宋体" w:hAnsi="宋体" w:cs="宋体"/>
                <w:spacing w:val="3"/>
                <w:position w:val="7"/>
                <w:sz w:val="16"/>
                <w:szCs w:val="16"/>
              </w:rPr>
              <w:t>婴幼儿食品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107" w:line="270" w:lineRule="exact"/>
              <w:ind w:left="265"/>
              <w:rPr>
                <w:rFonts w:ascii="宋体" w:eastAsia="宋体" w:hAnsi="宋体" w:cs="宋体"/>
                <w:sz w:val="16"/>
                <w:szCs w:val="16"/>
              </w:rPr>
            </w:pPr>
            <w:r>
              <w:rPr>
                <w:rFonts w:ascii="宋体" w:eastAsia="宋体" w:hAnsi="宋体" w:cs="宋体"/>
                <w:spacing w:val="-3"/>
                <w:position w:val="10"/>
                <w:sz w:val="16"/>
                <w:szCs w:val="16"/>
              </w:rPr>
              <w:t>15～28</w:t>
            </w:r>
            <w:r>
              <w:rPr>
                <w:rFonts w:ascii="宋体" w:eastAsia="宋体" w:hAnsi="宋体" w:cs="宋体"/>
                <w:spacing w:val="25"/>
                <w:w w:val="101"/>
                <w:position w:val="10"/>
                <w:sz w:val="16"/>
                <w:szCs w:val="16"/>
              </w:rPr>
              <w:t xml:space="preserve"> </w:t>
            </w:r>
            <w:r>
              <w:rPr>
                <w:rFonts w:ascii="宋体" w:eastAsia="宋体" w:hAnsi="宋体" w:cs="宋体"/>
                <w:spacing w:val="-3"/>
                <w:position w:val="10"/>
                <w:sz w:val="16"/>
                <w:szCs w:val="16"/>
              </w:rPr>
              <w:t>mg</w:t>
            </w:r>
          </w:p>
          <w:p w:rsidR="00EA40A3" w:rsidRDefault="00E86C16">
            <w:pPr>
              <w:spacing w:line="182" w:lineRule="auto"/>
              <w:ind w:left="345"/>
              <w:rPr>
                <w:rFonts w:ascii="宋体" w:eastAsia="宋体" w:hAnsi="宋体" w:cs="宋体"/>
                <w:sz w:val="16"/>
                <w:szCs w:val="16"/>
              </w:rPr>
            </w:pPr>
            <w:r>
              <w:rPr>
                <w:rFonts w:ascii="宋体" w:eastAsia="宋体" w:hAnsi="宋体" w:cs="宋体"/>
                <w:spacing w:val="-2"/>
                <w:sz w:val="16"/>
                <w:szCs w:val="16"/>
              </w:rPr>
              <w:t>2～4</w:t>
            </w:r>
            <w:r>
              <w:rPr>
                <w:rFonts w:ascii="宋体" w:eastAsia="宋体" w:hAnsi="宋体" w:cs="宋体"/>
                <w:spacing w:val="1"/>
                <w:sz w:val="16"/>
                <w:szCs w:val="16"/>
              </w:rPr>
              <w:t xml:space="preserve"> </w:t>
            </w:r>
            <w:r>
              <w:rPr>
                <w:rFonts w:ascii="宋体" w:eastAsia="宋体" w:hAnsi="宋体" w:cs="宋体"/>
                <w:spacing w:val="-2"/>
                <w:sz w:val="16"/>
                <w:szCs w:val="16"/>
              </w:rPr>
              <w:t>mg</w:t>
            </w:r>
          </w:p>
        </w:tc>
        <w:tc>
          <w:tcPr>
            <w:tcW w:w="2460" w:type="dxa"/>
            <w:tcBorders>
              <w:right w:val="nil"/>
            </w:tcBorders>
          </w:tcPr>
          <w:p w:rsidR="00EA40A3" w:rsidRDefault="00EA40A3"/>
        </w:tc>
      </w:tr>
      <w:tr w:rsidR="00EA40A3">
        <w:trPr>
          <w:trHeight w:val="539"/>
        </w:trPr>
        <w:tc>
          <w:tcPr>
            <w:tcW w:w="520" w:type="dxa"/>
            <w:vMerge/>
            <w:tcBorders>
              <w:top w:val="nil"/>
              <w:left w:val="nil"/>
            </w:tcBorders>
            <w:textDirection w:val="tbRlV"/>
          </w:tcPr>
          <w:p w:rsidR="00EA40A3" w:rsidRDefault="00EA40A3"/>
        </w:tc>
        <w:tc>
          <w:tcPr>
            <w:tcW w:w="1420" w:type="dxa"/>
          </w:tcPr>
          <w:p w:rsidR="00EA40A3" w:rsidRDefault="00E86C16">
            <w:pPr>
              <w:spacing w:before="188" w:line="219" w:lineRule="auto"/>
              <w:ind w:left="75"/>
              <w:rPr>
                <w:rFonts w:ascii="宋体" w:eastAsia="宋体" w:hAnsi="宋体" w:cs="宋体"/>
                <w:sz w:val="16"/>
                <w:szCs w:val="16"/>
              </w:rPr>
            </w:pPr>
            <w:r>
              <w:rPr>
                <w:rFonts w:ascii="宋体" w:eastAsia="宋体" w:hAnsi="宋体" w:cs="宋体"/>
                <w:spacing w:val="-2"/>
                <w:sz w:val="16"/>
                <w:szCs w:val="16"/>
              </w:rPr>
              <w:t>生物素</w:t>
            </w:r>
          </w:p>
        </w:tc>
        <w:tc>
          <w:tcPr>
            <w:tcW w:w="1570" w:type="dxa"/>
          </w:tcPr>
          <w:p w:rsidR="00EA40A3" w:rsidRDefault="00E86C16">
            <w:pPr>
              <w:spacing w:before="78" w:line="261" w:lineRule="exact"/>
              <w:ind w:left="85"/>
              <w:rPr>
                <w:rFonts w:ascii="宋体" w:eastAsia="宋体" w:hAnsi="宋体" w:cs="宋体"/>
                <w:sz w:val="16"/>
                <w:szCs w:val="16"/>
              </w:rPr>
            </w:pPr>
            <w:r>
              <w:rPr>
                <w:rFonts w:ascii="宋体" w:eastAsia="宋体" w:hAnsi="宋体" w:cs="宋体"/>
                <w:spacing w:val="3"/>
                <w:position w:val="7"/>
                <w:sz w:val="16"/>
                <w:szCs w:val="16"/>
              </w:rPr>
              <w:t>婴幼儿食品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78" w:line="236" w:lineRule="auto"/>
              <w:ind w:left="105" w:right="112"/>
              <w:rPr>
                <w:rFonts w:ascii="宋体" w:eastAsia="宋体" w:hAnsi="宋体" w:cs="宋体"/>
                <w:sz w:val="16"/>
                <w:szCs w:val="16"/>
              </w:rPr>
            </w:pPr>
            <w:r>
              <w:rPr>
                <w:rFonts w:ascii="宋体" w:eastAsia="宋体" w:hAnsi="宋体" w:cs="宋体"/>
                <w:spacing w:val="-1"/>
                <w:sz w:val="16"/>
                <w:szCs w:val="16"/>
              </w:rPr>
              <w:t>0.10～0.40</w:t>
            </w:r>
            <w:r>
              <w:rPr>
                <w:rFonts w:ascii="宋体" w:eastAsia="宋体" w:hAnsi="宋体" w:cs="宋体"/>
                <w:spacing w:val="2"/>
                <w:sz w:val="16"/>
                <w:szCs w:val="16"/>
              </w:rPr>
              <w:t xml:space="preserve"> </w:t>
            </w:r>
            <w:r>
              <w:rPr>
                <w:rFonts w:ascii="宋体" w:eastAsia="宋体" w:hAnsi="宋体" w:cs="宋体"/>
                <w:spacing w:val="-1"/>
                <w:sz w:val="16"/>
                <w:szCs w:val="16"/>
              </w:rPr>
              <w:t>mg</w:t>
            </w:r>
            <w:r>
              <w:rPr>
                <w:rFonts w:ascii="宋体" w:eastAsia="宋体" w:hAnsi="宋体" w:cs="宋体"/>
                <w:sz w:val="16"/>
                <w:szCs w:val="16"/>
              </w:rPr>
              <w:t xml:space="preserve"> </w:t>
            </w:r>
            <w:r>
              <w:rPr>
                <w:rFonts w:ascii="宋体" w:eastAsia="宋体" w:hAnsi="宋体" w:cs="宋体"/>
                <w:spacing w:val="-1"/>
                <w:sz w:val="16"/>
                <w:szCs w:val="16"/>
              </w:rPr>
              <w:t>0.02～0.08</w:t>
            </w:r>
            <w:r>
              <w:rPr>
                <w:rFonts w:ascii="宋体" w:eastAsia="宋体" w:hAnsi="宋体" w:cs="宋体"/>
                <w:spacing w:val="2"/>
                <w:sz w:val="16"/>
                <w:szCs w:val="16"/>
              </w:rPr>
              <w:t xml:space="preserve"> </w:t>
            </w:r>
            <w:r>
              <w:rPr>
                <w:rFonts w:ascii="宋体" w:eastAsia="宋体" w:hAnsi="宋体" w:cs="宋体"/>
                <w:spacing w:val="-1"/>
                <w:sz w:val="16"/>
                <w:szCs w:val="16"/>
              </w:rPr>
              <w:t>mg</w:t>
            </w:r>
          </w:p>
        </w:tc>
        <w:tc>
          <w:tcPr>
            <w:tcW w:w="2460" w:type="dxa"/>
            <w:tcBorders>
              <w:right w:val="nil"/>
            </w:tcBorders>
          </w:tcPr>
          <w:p w:rsidR="00EA40A3" w:rsidRDefault="00EA40A3"/>
        </w:tc>
      </w:tr>
      <w:tr w:rsidR="00EA40A3">
        <w:trPr>
          <w:trHeight w:val="299"/>
        </w:trPr>
        <w:tc>
          <w:tcPr>
            <w:tcW w:w="520" w:type="dxa"/>
            <w:vMerge w:val="restart"/>
            <w:tcBorders>
              <w:left w:val="nil"/>
              <w:bottom w:val="nil"/>
            </w:tcBorders>
            <w:textDirection w:val="tbRlV"/>
          </w:tcPr>
          <w:p w:rsidR="00EA40A3" w:rsidRDefault="00E86C16">
            <w:pPr>
              <w:spacing w:before="175" w:line="216" w:lineRule="auto"/>
              <w:ind w:left="3723"/>
              <w:rPr>
                <w:rFonts w:ascii="宋体" w:eastAsia="宋体" w:hAnsi="宋体" w:cs="宋体"/>
                <w:sz w:val="16"/>
                <w:szCs w:val="16"/>
              </w:rPr>
            </w:pPr>
            <w:r>
              <w:rPr>
                <w:rFonts w:ascii="宋体" w:eastAsia="宋体" w:hAnsi="宋体" w:cs="宋体"/>
                <w:spacing w:val="26"/>
                <w:w w:val="129"/>
                <w:sz w:val="16"/>
                <w:szCs w:val="16"/>
              </w:rPr>
              <w:t>矿物质类</w:t>
            </w:r>
          </w:p>
        </w:tc>
        <w:tc>
          <w:tcPr>
            <w:tcW w:w="1420" w:type="dxa"/>
            <w:vMerge w:val="restart"/>
            <w:tcBorders>
              <w:bottom w:val="nil"/>
            </w:tcBorders>
          </w:tcPr>
          <w:p w:rsidR="00EA40A3" w:rsidRDefault="00EA40A3">
            <w:pPr>
              <w:spacing w:line="304" w:lineRule="auto"/>
            </w:pPr>
          </w:p>
          <w:p w:rsidR="00EA40A3" w:rsidRDefault="00EA40A3">
            <w:pPr>
              <w:spacing w:line="304" w:lineRule="auto"/>
            </w:pPr>
          </w:p>
          <w:p w:rsidR="00EA40A3" w:rsidRDefault="00EA40A3">
            <w:pPr>
              <w:spacing w:line="304" w:lineRule="auto"/>
            </w:pPr>
          </w:p>
          <w:p w:rsidR="00EA40A3" w:rsidRDefault="00E86C16">
            <w:pPr>
              <w:spacing w:before="52" w:line="221" w:lineRule="auto"/>
              <w:ind w:left="75"/>
              <w:rPr>
                <w:rFonts w:ascii="宋体" w:eastAsia="宋体" w:hAnsi="宋体" w:cs="宋体"/>
                <w:sz w:val="16"/>
                <w:szCs w:val="16"/>
              </w:rPr>
            </w:pPr>
            <w:r>
              <w:rPr>
                <w:rFonts w:ascii="宋体" w:eastAsia="宋体" w:hAnsi="宋体" w:cs="宋体"/>
                <w:spacing w:val="-1"/>
                <w:sz w:val="16"/>
                <w:szCs w:val="16"/>
              </w:rPr>
              <w:t>铁：硫酸亚铁</w:t>
            </w:r>
          </w:p>
        </w:tc>
        <w:tc>
          <w:tcPr>
            <w:tcW w:w="1570" w:type="dxa"/>
          </w:tcPr>
          <w:p w:rsidR="00EA40A3" w:rsidRDefault="00E86C16">
            <w:pPr>
              <w:spacing w:before="69"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88" w:line="184" w:lineRule="auto"/>
              <w:ind w:left="185"/>
              <w:rPr>
                <w:rFonts w:ascii="宋体" w:eastAsia="宋体" w:hAnsi="宋体" w:cs="宋体"/>
                <w:sz w:val="16"/>
                <w:szCs w:val="16"/>
              </w:rPr>
            </w:pPr>
            <w:r>
              <w:rPr>
                <w:rFonts w:ascii="宋体" w:eastAsia="宋体" w:hAnsi="宋体" w:cs="宋体"/>
                <w:spacing w:val="-3"/>
                <w:sz w:val="16"/>
                <w:szCs w:val="16"/>
              </w:rPr>
              <w:t>120～240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60" w:type="dxa"/>
            <w:vMerge w:val="restart"/>
            <w:tcBorders>
              <w:bottom w:val="nil"/>
              <w:right w:val="nil"/>
            </w:tcBorders>
          </w:tcPr>
          <w:p w:rsidR="00EA40A3" w:rsidRDefault="00EA40A3">
            <w:pPr>
              <w:spacing w:line="250" w:lineRule="auto"/>
            </w:pPr>
          </w:p>
          <w:p w:rsidR="00EA40A3" w:rsidRDefault="00EA40A3">
            <w:pPr>
              <w:spacing w:line="250" w:lineRule="auto"/>
            </w:pPr>
          </w:p>
          <w:p w:rsidR="00EA40A3" w:rsidRDefault="00EA40A3">
            <w:pPr>
              <w:spacing w:line="250" w:lineRule="auto"/>
            </w:pPr>
          </w:p>
          <w:p w:rsidR="00EA40A3" w:rsidRDefault="00EA40A3">
            <w:pPr>
              <w:spacing w:line="251" w:lineRule="auto"/>
            </w:pPr>
          </w:p>
          <w:p w:rsidR="00EA40A3" w:rsidRDefault="00EA40A3">
            <w:pPr>
              <w:spacing w:line="251" w:lineRule="auto"/>
            </w:pPr>
          </w:p>
          <w:p w:rsidR="00EA40A3" w:rsidRDefault="00EA40A3">
            <w:pPr>
              <w:spacing w:line="251" w:lineRule="auto"/>
            </w:pPr>
          </w:p>
          <w:p w:rsidR="00EA40A3" w:rsidRDefault="00EA40A3">
            <w:pPr>
              <w:spacing w:line="251" w:lineRule="auto"/>
            </w:pPr>
          </w:p>
          <w:p w:rsidR="00EA40A3" w:rsidRDefault="00EA40A3">
            <w:pPr>
              <w:spacing w:line="251" w:lineRule="auto"/>
            </w:pPr>
          </w:p>
          <w:p w:rsidR="00EA40A3" w:rsidRDefault="00E86C16">
            <w:pPr>
              <w:spacing w:before="52" w:line="219" w:lineRule="auto"/>
              <w:ind w:left="105"/>
              <w:rPr>
                <w:rFonts w:ascii="宋体" w:eastAsia="宋体" w:hAnsi="宋体" w:cs="宋体"/>
                <w:sz w:val="16"/>
                <w:szCs w:val="16"/>
              </w:rPr>
            </w:pPr>
            <w:r>
              <w:rPr>
                <w:rFonts w:ascii="宋体" w:eastAsia="宋体" w:hAnsi="宋体" w:cs="宋体"/>
                <w:spacing w:val="3"/>
                <w:sz w:val="16"/>
                <w:szCs w:val="16"/>
              </w:rPr>
              <w:t>1.</w:t>
            </w:r>
            <w:r>
              <w:rPr>
                <w:rFonts w:ascii="宋体" w:eastAsia="宋体" w:hAnsi="宋体" w:cs="宋体"/>
                <w:spacing w:val="-34"/>
                <w:sz w:val="16"/>
                <w:szCs w:val="16"/>
              </w:rPr>
              <w:t xml:space="preserve"> </w:t>
            </w:r>
            <w:r>
              <w:rPr>
                <w:rFonts w:ascii="宋体" w:eastAsia="宋体" w:hAnsi="宋体" w:cs="宋体"/>
                <w:spacing w:val="3"/>
                <w:sz w:val="16"/>
                <w:szCs w:val="16"/>
              </w:rPr>
              <w:t>以元素铁计强化量：</w:t>
            </w:r>
          </w:p>
          <w:p w:rsidR="00EA40A3" w:rsidRDefault="00E86C16">
            <w:pPr>
              <w:spacing w:before="54" w:line="257" w:lineRule="auto"/>
              <w:ind w:left="295" w:right="247"/>
              <w:rPr>
                <w:rFonts w:ascii="宋体" w:eastAsia="宋体" w:hAnsi="宋体" w:cs="宋体"/>
                <w:sz w:val="16"/>
                <w:szCs w:val="16"/>
              </w:rPr>
            </w:pPr>
            <w:r>
              <w:rPr>
                <w:rFonts w:ascii="宋体" w:eastAsia="宋体" w:hAnsi="宋体" w:cs="宋体"/>
                <w:spacing w:val="-1"/>
                <w:sz w:val="16"/>
                <w:szCs w:val="16"/>
              </w:rPr>
              <w:t>谷类及其制品24～48</w:t>
            </w:r>
            <w:r>
              <w:rPr>
                <w:rFonts w:ascii="宋体" w:eastAsia="宋体" w:hAnsi="宋体" w:cs="宋体"/>
                <w:spacing w:val="7"/>
                <w:sz w:val="16"/>
                <w:szCs w:val="16"/>
              </w:rPr>
              <w:t xml:space="preserve"> </w:t>
            </w:r>
            <w:r>
              <w:rPr>
                <w:rFonts w:ascii="宋体" w:eastAsia="宋体" w:hAnsi="宋体" w:cs="宋体"/>
                <w:spacing w:val="-1"/>
                <w:sz w:val="16"/>
                <w:szCs w:val="16"/>
              </w:rPr>
              <w:t>mg/kg</w:t>
            </w:r>
            <w:r>
              <w:rPr>
                <w:rFonts w:ascii="宋体" w:eastAsia="宋体" w:hAnsi="宋体" w:cs="宋体"/>
                <w:sz w:val="16"/>
                <w:szCs w:val="16"/>
              </w:rPr>
              <w:t xml:space="preserve"> </w:t>
            </w:r>
            <w:r>
              <w:rPr>
                <w:rFonts w:ascii="宋体" w:eastAsia="宋体" w:hAnsi="宋体" w:cs="宋体"/>
                <w:spacing w:val="-1"/>
                <w:sz w:val="16"/>
                <w:szCs w:val="16"/>
              </w:rPr>
              <w:t>饮料10～20</w:t>
            </w:r>
            <w:r>
              <w:rPr>
                <w:rFonts w:ascii="宋体" w:eastAsia="宋体" w:hAnsi="宋体" w:cs="宋体"/>
                <w:spacing w:val="5"/>
                <w:sz w:val="16"/>
                <w:szCs w:val="16"/>
              </w:rPr>
              <w:t xml:space="preserve"> </w:t>
            </w:r>
            <w:r>
              <w:rPr>
                <w:rFonts w:ascii="宋体" w:eastAsia="宋体" w:hAnsi="宋体" w:cs="宋体"/>
                <w:spacing w:val="-1"/>
                <w:sz w:val="16"/>
                <w:szCs w:val="16"/>
              </w:rPr>
              <w:t>mg/kg</w:t>
            </w:r>
          </w:p>
          <w:p w:rsidR="00EA40A3" w:rsidRDefault="00E86C16">
            <w:pPr>
              <w:spacing w:before="79" w:line="254" w:lineRule="auto"/>
              <w:ind w:left="295" w:right="167"/>
              <w:rPr>
                <w:rFonts w:ascii="宋体" w:eastAsia="宋体" w:hAnsi="宋体" w:cs="宋体"/>
                <w:sz w:val="16"/>
                <w:szCs w:val="16"/>
              </w:rPr>
            </w:pPr>
            <w:r>
              <w:rPr>
                <w:rFonts w:ascii="宋体" w:eastAsia="宋体" w:hAnsi="宋体" w:cs="宋体"/>
                <w:spacing w:val="-1"/>
                <w:sz w:val="16"/>
                <w:szCs w:val="16"/>
              </w:rPr>
              <w:t>乳制品、婴幼儿食品60～100</w:t>
            </w:r>
            <w:r>
              <w:rPr>
                <w:rFonts w:ascii="宋体" w:eastAsia="宋体" w:hAnsi="宋体" w:cs="宋体"/>
                <w:spacing w:val="6"/>
                <w:sz w:val="16"/>
                <w:szCs w:val="16"/>
              </w:rPr>
              <w:t xml:space="preserve"> </w:t>
            </w:r>
            <w:r>
              <w:rPr>
                <w:rFonts w:ascii="宋体" w:eastAsia="宋体" w:hAnsi="宋体" w:cs="宋体"/>
                <w:spacing w:val="-1"/>
                <w:sz w:val="16"/>
                <w:szCs w:val="16"/>
              </w:rPr>
              <w:t>mg/kg</w:t>
            </w:r>
          </w:p>
          <w:p w:rsidR="00EA40A3" w:rsidRDefault="00E86C16">
            <w:pPr>
              <w:spacing w:before="74" w:line="214" w:lineRule="auto"/>
              <w:ind w:left="295"/>
              <w:rPr>
                <w:rFonts w:ascii="宋体" w:eastAsia="宋体" w:hAnsi="宋体" w:cs="宋体"/>
                <w:sz w:val="16"/>
                <w:szCs w:val="16"/>
              </w:rPr>
            </w:pPr>
            <w:r>
              <w:rPr>
                <w:rFonts w:ascii="宋体" w:eastAsia="宋体" w:hAnsi="宋体" w:cs="宋体"/>
                <w:spacing w:val="-1"/>
                <w:sz w:val="16"/>
                <w:szCs w:val="16"/>
              </w:rPr>
              <w:t>夹心糖600～1200</w:t>
            </w:r>
            <w:r>
              <w:rPr>
                <w:rFonts w:ascii="宋体" w:eastAsia="宋体" w:hAnsi="宋体" w:cs="宋体"/>
                <w:spacing w:val="7"/>
                <w:sz w:val="16"/>
                <w:szCs w:val="16"/>
              </w:rPr>
              <w:t xml:space="preserve"> </w:t>
            </w:r>
            <w:r>
              <w:rPr>
                <w:rFonts w:ascii="宋体" w:eastAsia="宋体" w:hAnsi="宋体" w:cs="宋体"/>
                <w:spacing w:val="-1"/>
                <w:sz w:val="16"/>
                <w:szCs w:val="16"/>
              </w:rPr>
              <w:t>mg/kg</w:t>
            </w:r>
          </w:p>
          <w:p w:rsidR="00EA40A3" w:rsidRDefault="00E86C16">
            <w:pPr>
              <w:spacing w:before="60" w:line="219" w:lineRule="auto"/>
              <w:ind w:left="65"/>
              <w:rPr>
                <w:rFonts w:ascii="宋体" w:eastAsia="宋体" w:hAnsi="宋体" w:cs="宋体"/>
                <w:sz w:val="16"/>
                <w:szCs w:val="16"/>
              </w:rPr>
            </w:pPr>
            <w:r>
              <w:rPr>
                <w:rFonts w:ascii="宋体" w:eastAsia="宋体" w:hAnsi="宋体" w:cs="宋体"/>
                <w:spacing w:val="-1"/>
                <w:sz w:val="16"/>
                <w:szCs w:val="16"/>
              </w:rPr>
              <w:t>2.各种铁盐中铁元素含量</w:t>
            </w:r>
          </w:p>
          <w:p w:rsidR="00EA40A3" w:rsidRDefault="00E86C16">
            <w:pPr>
              <w:spacing w:before="90" w:line="242" w:lineRule="auto"/>
              <w:ind w:left="285" w:right="405" w:firstLine="10"/>
              <w:rPr>
                <w:rFonts w:ascii="宋体" w:eastAsia="宋体" w:hAnsi="宋体" w:cs="宋体"/>
                <w:sz w:val="16"/>
                <w:szCs w:val="16"/>
              </w:rPr>
            </w:pPr>
            <w:r>
              <w:rPr>
                <w:rFonts w:ascii="宋体" w:eastAsia="宋体" w:hAnsi="宋体" w:cs="宋体"/>
                <w:spacing w:val="-1"/>
                <w:sz w:val="16"/>
                <w:szCs w:val="16"/>
              </w:rPr>
              <w:t>硫酸亚铁(含7结晶水)20%</w:t>
            </w:r>
            <w:r>
              <w:rPr>
                <w:rFonts w:ascii="宋体" w:eastAsia="宋体" w:hAnsi="宋体" w:cs="宋体"/>
                <w:spacing w:val="7"/>
                <w:sz w:val="16"/>
                <w:szCs w:val="16"/>
              </w:rPr>
              <w:t xml:space="preserve"> </w:t>
            </w:r>
            <w:r>
              <w:rPr>
                <w:rFonts w:ascii="宋体" w:eastAsia="宋体" w:hAnsi="宋体" w:cs="宋体"/>
                <w:spacing w:val="1"/>
                <w:sz w:val="16"/>
                <w:szCs w:val="16"/>
              </w:rPr>
              <w:t>乳酸亚铁(含3个结晶</w:t>
            </w:r>
          </w:p>
          <w:p w:rsidR="00EA40A3" w:rsidRDefault="00E86C16">
            <w:pPr>
              <w:spacing w:before="81" w:line="219" w:lineRule="auto"/>
              <w:ind w:left="295"/>
              <w:rPr>
                <w:rFonts w:ascii="宋体" w:eastAsia="宋体" w:hAnsi="宋体" w:cs="宋体"/>
                <w:sz w:val="16"/>
                <w:szCs w:val="16"/>
              </w:rPr>
            </w:pPr>
            <w:r>
              <w:rPr>
                <w:rFonts w:ascii="宋体" w:eastAsia="宋体" w:hAnsi="宋体" w:cs="宋体"/>
                <w:spacing w:val="-1"/>
                <w:sz w:val="16"/>
                <w:szCs w:val="16"/>
              </w:rPr>
              <w:t>水)19.39%</w:t>
            </w:r>
          </w:p>
          <w:p w:rsidR="00EA40A3" w:rsidRDefault="00E86C16">
            <w:pPr>
              <w:spacing w:before="59" w:line="271" w:lineRule="exact"/>
              <w:ind w:left="275"/>
              <w:rPr>
                <w:rFonts w:ascii="宋体" w:eastAsia="宋体" w:hAnsi="宋体" w:cs="宋体"/>
                <w:sz w:val="16"/>
                <w:szCs w:val="16"/>
              </w:rPr>
            </w:pPr>
            <w:r>
              <w:rPr>
                <w:rFonts w:ascii="宋体" w:eastAsia="宋体" w:hAnsi="宋体" w:cs="宋体"/>
                <w:spacing w:val="-1"/>
                <w:position w:val="8"/>
                <w:sz w:val="16"/>
                <w:szCs w:val="16"/>
              </w:rPr>
              <w:t>柠檬酸铁(含5个结晶</w:t>
            </w:r>
          </w:p>
          <w:p w:rsidR="00EA40A3" w:rsidRDefault="00E86C16">
            <w:pPr>
              <w:spacing w:line="219" w:lineRule="auto"/>
              <w:ind w:left="295"/>
              <w:rPr>
                <w:rFonts w:ascii="宋体" w:eastAsia="宋体" w:hAnsi="宋体" w:cs="宋体"/>
                <w:sz w:val="16"/>
                <w:szCs w:val="16"/>
              </w:rPr>
            </w:pPr>
            <w:r>
              <w:rPr>
                <w:rFonts w:ascii="宋体" w:eastAsia="宋体" w:hAnsi="宋体" w:cs="宋体"/>
                <w:spacing w:val="-1"/>
                <w:sz w:val="16"/>
                <w:szCs w:val="16"/>
              </w:rPr>
              <w:t>水)16.67%</w:t>
            </w:r>
          </w:p>
          <w:p w:rsidR="00EA40A3" w:rsidRDefault="00E86C16">
            <w:pPr>
              <w:spacing w:before="80" w:line="250" w:lineRule="exact"/>
              <w:ind w:left="295"/>
              <w:rPr>
                <w:rFonts w:ascii="宋体" w:eastAsia="宋体" w:hAnsi="宋体" w:cs="宋体"/>
                <w:sz w:val="16"/>
                <w:szCs w:val="16"/>
              </w:rPr>
            </w:pPr>
            <w:r>
              <w:rPr>
                <w:rFonts w:ascii="宋体" w:eastAsia="宋体" w:hAnsi="宋体" w:cs="宋体"/>
                <w:spacing w:val="-2"/>
                <w:position w:val="6"/>
                <w:sz w:val="16"/>
                <w:szCs w:val="16"/>
              </w:rPr>
              <w:t>富马酸亚铁32.9%</w:t>
            </w:r>
          </w:p>
          <w:p w:rsidR="00EA40A3" w:rsidRDefault="00E86C16">
            <w:pPr>
              <w:spacing w:line="220" w:lineRule="auto"/>
              <w:ind w:left="295"/>
              <w:rPr>
                <w:rFonts w:ascii="宋体" w:eastAsia="宋体" w:hAnsi="宋体" w:cs="宋体"/>
                <w:sz w:val="16"/>
                <w:szCs w:val="16"/>
              </w:rPr>
            </w:pPr>
            <w:r>
              <w:rPr>
                <w:rFonts w:ascii="宋体" w:eastAsia="宋体" w:hAnsi="宋体" w:cs="宋体"/>
                <w:spacing w:val="-1"/>
                <w:sz w:val="16"/>
                <w:szCs w:val="16"/>
              </w:rPr>
              <w:t>葡萄糖酸亚铁12%</w:t>
            </w:r>
          </w:p>
          <w:p w:rsidR="00EA40A3" w:rsidRDefault="00E86C16">
            <w:pPr>
              <w:spacing w:before="79" w:line="219" w:lineRule="auto"/>
              <w:ind w:left="295"/>
              <w:rPr>
                <w:rFonts w:ascii="宋体" w:eastAsia="宋体" w:hAnsi="宋体" w:cs="宋体"/>
                <w:sz w:val="16"/>
                <w:szCs w:val="16"/>
              </w:rPr>
            </w:pPr>
            <w:r>
              <w:rPr>
                <w:rFonts w:ascii="宋体" w:eastAsia="宋体" w:hAnsi="宋体" w:cs="宋体"/>
                <w:spacing w:val="-1"/>
                <w:sz w:val="16"/>
                <w:szCs w:val="16"/>
              </w:rPr>
              <w:t>柠檬酸铁铵16%</w:t>
            </w:r>
          </w:p>
          <w:p w:rsidR="00EA40A3" w:rsidRDefault="00E86C16">
            <w:pPr>
              <w:spacing w:before="50" w:line="260" w:lineRule="auto"/>
              <w:ind w:left="295" w:right="139" w:hanging="210"/>
              <w:rPr>
                <w:rFonts w:ascii="宋体" w:eastAsia="宋体" w:hAnsi="宋体" w:cs="宋体"/>
                <w:sz w:val="16"/>
                <w:szCs w:val="16"/>
              </w:rPr>
            </w:pPr>
            <w:r>
              <w:rPr>
                <w:rFonts w:ascii="宋体" w:eastAsia="宋体" w:hAnsi="宋体" w:cs="宋体"/>
                <w:spacing w:val="-1"/>
                <w:sz w:val="16"/>
                <w:szCs w:val="16"/>
              </w:rPr>
              <w:t>3.铁源也可采用猪血中提取的血</w:t>
            </w:r>
            <w:r>
              <w:rPr>
                <w:rFonts w:ascii="宋体" w:eastAsia="宋体" w:hAnsi="宋体" w:cs="宋体"/>
                <w:spacing w:val="4"/>
                <w:sz w:val="16"/>
                <w:szCs w:val="16"/>
              </w:rPr>
              <w:t xml:space="preserve"> </w:t>
            </w:r>
            <w:r>
              <w:rPr>
                <w:rFonts w:ascii="宋体" w:eastAsia="宋体" w:hAnsi="宋体" w:cs="宋体"/>
                <w:spacing w:val="-1"/>
                <w:sz w:val="16"/>
                <w:szCs w:val="16"/>
              </w:rPr>
              <w:t>红素铁，强化时以元素铁计</w:t>
            </w:r>
          </w:p>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1" w:line="220" w:lineRule="auto"/>
              <w:ind w:left="85"/>
              <w:rPr>
                <w:rFonts w:ascii="宋体" w:eastAsia="宋体" w:hAnsi="宋体" w:cs="宋体"/>
                <w:sz w:val="16"/>
                <w:szCs w:val="16"/>
              </w:rPr>
            </w:pPr>
            <w:r>
              <w:rPr>
                <w:rFonts w:ascii="宋体" w:eastAsia="宋体" w:hAnsi="宋体" w:cs="宋体"/>
                <w:spacing w:val="-2"/>
                <w:sz w:val="16"/>
                <w:szCs w:val="16"/>
              </w:rPr>
              <w:t>饮料</w:t>
            </w:r>
          </w:p>
        </w:tc>
        <w:tc>
          <w:tcPr>
            <w:tcW w:w="1260" w:type="dxa"/>
          </w:tcPr>
          <w:p w:rsidR="00EA40A3" w:rsidRDefault="00E86C16">
            <w:pPr>
              <w:spacing w:before="89" w:line="184" w:lineRule="auto"/>
              <w:ind w:left="224"/>
              <w:rPr>
                <w:rFonts w:ascii="宋体" w:eastAsia="宋体" w:hAnsi="宋体" w:cs="宋体"/>
                <w:sz w:val="16"/>
                <w:szCs w:val="16"/>
              </w:rPr>
            </w:pPr>
            <w:r>
              <w:rPr>
                <w:rFonts w:ascii="宋体" w:eastAsia="宋体" w:hAnsi="宋体" w:cs="宋体"/>
                <w:spacing w:val="-2"/>
                <w:sz w:val="16"/>
                <w:szCs w:val="16"/>
              </w:rPr>
              <w:t>50～100</w:t>
            </w:r>
            <w:r>
              <w:rPr>
                <w:rFonts w:ascii="宋体" w:eastAsia="宋体" w:hAnsi="宋体" w:cs="宋体"/>
                <w:spacing w:val="6"/>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29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0" w:line="219" w:lineRule="auto"/>
              <w:ind w:left="85"/>
              <w:rPr>
                <w:rFonts w:ascii="宋体" w:eastAsia="宋体" w:hAnsi="宋体" w:cs="宋体"/>
                <w:sz w:val="16"/>
                <w:szCs w:val="16"/>
              </w:rPr>
            </w:pPr>
            <w:r>
              <w:rPr>
                <w:rFonts w:ascii="宋体" w:eastAsia="宋体" w:hAnsi="宋体" w:cs="宋体"/>
                <w:spacing w:val="1"/>
                <w:sz w:val="16"/>
                <w:szCs w:val="16"/>
              </w:rPr>
              <w:t>乳制品、婴幼儿食品</w:t>
            </w:r>
          </w:p>
        </w:tc>
        <w:tc>
          <w:tcPr>
            <w:tcW w:w="1260" w:type="dxa"/>
          </w:tcPr>
          <w:p w:rsidR="00EA40A3" w:rsidRDefault="00E86C16">
            <w:pPr>
              <w:spacing w:before="90" w:line="183" w:lineRule="auto"/>
              <w:ind w:left="185"/>
              <w:rPr>
                <w:rFonts w:ascii="宋体" w:eastAsia="宋体" w:hAnsi="宋体" w:cs="宋体"/>
                <w:sz w:val="16"/>
                <w:szCs w:val="16"/>
              </w:rPr>
            </w:pPr>
            <w:r>
              <w:rPr>
                <w:rFonts w:ascii="宋体" w:eastAsia="宋体" w:hAnsi="宋体" w:cs="宋体"/>
                <w:spacing w:val="-2"/>
                <w:sz w:val="16"/>
                <w:szCs w:val="16"/>
              </w:rPr>
              <w:t>300～500</w:t>
            </w:r>
            <w:r>
              <w:rPr>
                <w:rFonts w:ascii="宋体" w:eastAsia="宋体" w:hAnsi="宋体" w:cs="宋体"/>
                <w:spacing w:val="8"/>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859"/>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109" w:line="262" w:lineRule="auto"/>
              <w:ind w:left="215" w:right="97" w:hanging="130"/>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w:t>
            </w:r>
            <w:r>
              <w:rPr>
                <w:rFonts w:ascii="宋体" w:eastAsia="宋体" w:hAnsi="宋体" w:cs="宋体"/>
                <w:spacing w:val="5"/>
                <w:sz w:val="16"/>
                <w:szCs w:val="16"/>
              </w:rPr>
              <w:t>(每日限食这类食</w:t>
            </w:r>
            <w:r>
              <w:rPr>
                <w:rFonts w:ascii="宋体" w:eastAsia="宋体" w:hAnsi="宋体" w:cs="宋体"/>
                <w:spacing w:val="6"/>
                <w:sz w:val="16"/>
                <w:szCs w:val="16"/>
              </w:rPr>
              <w:t xml:space="preserve"> </w:t>
            </w:r>
            <w:r>
              <w:rPr>
                <w:rFonts w:ascii="宋体" w:eastAsia="宋体" w:hAnsi="宋体" w:cs="宋体"/>
                <w:spacing w:val="1"/>
                <w:sz w:val="16"/>
                <w:szCs w:val="16"/>
              </w:rPr>
              <w:t>品50g</w:t>
            </w:r>
          </w:p>
        </w:tc>
        <w:tc>
          <w:tcPr>
            <w:tcW w:w="1260" w:type="dxa"/>
          </w:tcPr>
          <w:p w:rsidR="00EA40A3" w:rsidRDefault="00EA40A3">
            <w:pPr>
              <w:spacing w:line="316" w:lineRule="auto"/>
            </w:pPr>
          </w:p>
          <w:p w:rsidR="00EA40A3" w:rsidRDefault="00E86C16">
            <w:pPr>
              <w:spacing w:before="52" w:line="183" w:lineRule="auto"/>
              <w:ind w:left="185"/>
              <w:rPr>
                <w:rFonts w:ascii="宋体" w:eastAsia="宋体" w:hAnsi="宋体" w:cs="宋体"/>
                <w:sz w:val="16"/>
                <w:szCs w:val="16"/>
              </w:rPr>
            </w:pPr>
            <w:r>
              <w:rPr>
                <w:rFonts w:ascii="宋体" w:eastAsia="宋体" w:hAnsi="宋体" w:cs="宋体"/>
                <w:spacing w:val="-1"/>
                <w:sz w:val="16"/>
                <w:szCs w:val="16"/>
              </w:rPr>
              <w:t>860～960</w:t>
            </w:r>
            <w:r>
              <w:rPr>
                <w:rFonts w:ascii="宋体" w:eastAsia="宋体" w:hAnsi="宋体" w:cs="宋体"/>
                <w:spacing w:val="2"/>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299"/>
        </w:trPr>
        <w:tc>
          <w:tcPr>
            <w:tcW w:w="52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72" w:line="220" w:lineRule="auto"/>
              <w:ind w:left="85"/>
              <w:rPr>
                <w:rFonts w:ascii="宋体" w:eastAsia="宋体" w:hAnsi="宋体" w:cs="宋体"/>
                <w:sz w:val="16"/>
                <w:szCs w:val="16"/>
              </w:rPr>
            </w:pPr>
            <w:r>
              <w:rPr>
                <w:rFonts w:ascii="宋体" w:eastAsia="宋体" w:hAnsi="宋体" w:cs="宋体"/>
                <w:spacing w:val="-1"/>
                <w:sz w:val="16"/>
                <w:szCs w:val="16"/>
              </w:rPr>
              <w:t>食盐、夹心糖</w:t>
            </w:r>
          </w:p>
        </w:tc>
        <w:tc>
          <w:tcPr>
            <w:tcW w:w="1260" w:type="dxa"/>
          </w:tcPr>
          <w:p w:rsidR="00EA40A3" w:rsidRDefault="00E86C16">
            <w:pPr>
              <w:spacing w:before="91" w:line="183" w:lineRule="auto"/>
              <w:ind w:left="105"/>
              <w:rPr>
                <w:rFonts w:ascii="宋体" w:eastAsia="宋体" w:hAnsi="宋体" w:cs="宋体"/>
                <w:sz w:val="16"/>
                <w:szCs w:val="16"/>
              </w:rPr>
            </w:pPr>
            <w:r>
              <w:rPr>
                <w:rFonts w:ascii="宋体" w:eastAsia="宋体" w:hAnsi="宋体" w:cs="宋体"/>
                <w:spacing w:val="-1"/>
                <w:sz w:val="16"/>
                <w:szCs w:val="16"/>
              </w:rPr>
              <w:t>3000—6000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305" w:lineRule="auto"/>
            </w:pPr>
          </w:p>
          <w:p w:rsidR="00EA40A3" w:rsidRDefault="00EA40A3">
            <w:pPr>
              <w:spacing w:line="305" w:lineRule="auto"/>
            </w:pPr>
          </w:p>
          <w:p w:rsidR="00EA40A3" w:rsidRDefault="00EA40A3">
            <w:pPr>
              <w:spacing w:line="305" w:lineRule="auto"/>
            </w:pPr>
          </w:p>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2"/>
                <w:sz w:val="16"/>
                <w:szCs w:val="16"/>
              </w:rPr>
              <w:t>葡萄糖酸亚铁</w:t>
            </w:r>
          </w:p>
        </w:tc>
        <w:tc>
          <w:tcPr>
            <w:tcW w:w="1570" w:type="dxa"/>
          </w:tcPr>
          <w:p w:rsidR="00EA40A3" w:rsidRDefault="00E86C16">
            <w:pPr>
              <w:spacing w:before="72"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92" w:line="183" w:lineRule="auto"/>
              <w:ind w:left="185"/>
              <w:rPr>
                <w:rFonts w:ascii="宋体" w:eastAsia="宋体" w:hAnsi="宋体" w:cs="宋体"/>
                <w:sz w:val="16"/>
                <w:szCs w:val="16"/>
              </w:rPr>
            </w:pPr>
            <w:r>
              <w:rPr>
                <w:rFonts w:ascii="宋体" w:eastAsia="宋体" w:hAnsi="宋体" w:cs="宋体"/>
                <w:spacing w:val="-2"/>
                <w:sz w:val="16"/>
                <w:szCs w:val="16"/>
              </w:rPr>
              <w:t>200～400</w:t>
            </w:r>
            <w:r>
              <w:rPr>
                <w:rFonts w:ascii="宋体" w:eastAsia="宋体" w:hAnsi="宋体" w:cs="宋体"/>
                <w:spacing w:val="9"/>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3" w:line="220" w:lineRule="auto"/>
              <w:ind w:left="85"/>
              <w:rPr>
                <w:rFonts w:ascii="宋体" w:eastAsia="宋体" w:hAnsi="宋体" w:cs="宋体"/>
                <w:sz w:val="16"/>
                <w:szCs w:val="16"/>
              </w:rPr>
            </w:pPr>
            <w:r>
              <w:rPr>
                <w:rFonts w:ascii="宋体" w:eastAsia="宋体" w:hAnsi="宋体" w:cs="宋体"/>
                <w:spacing w:val="-2"/>
                <w:sz w:val="16"/>
                <w:szCs w:val="16"/>
              </w:rPr>
              <w:t>饮料</w:t>
            </w:r>
          </w:p>
        </w:tc>
        <w:tc>
          <w:tcPr>
            <w:tcW w:w="1260" w:type="dxa"/>
          </w:tcPr>
          <w:p w:rsidR="00EA40A3" w:rsidRDefault="00E86C16">
            <w:pPr>
              <w:spacing w:before="91" w:line="184" w:lineRule="auto"/>
              <w:ind w:left="224"/>
              <w:rPr>
                <w:rFonts w:ascii="宋体" w:eastAsia="宋体" w:hAnsi="宋体" w:cs="宋体"/>
                <w:sz w:val="16"/>
                <w:szCs w:val="16"/>
              </w:rPr>
            </w:pPr>
            <w:r>
              <w:rPr>
                <w:rFonts w:ascii="宋体" w:eastAsia="宋体" w:hAnsi="宋体" w:cs="宋体"/>
                <w:spacing w:val="-1"/>
                <w:sz w:val="16"/>
                <w:szCs w:val="16"/>
              </w:rPr>
              <w:t>80～160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2" w:line="219" w:lineRule="auto"/>
              <w:ind w:left="85"/>
              <w:rPr>
                <w:rFonts w:ascii="宋体" w:eastAsia="宋体" w:hAnsi="宋体" w:cs="宋体"/>
                <w:sz w:val="16"/>
                <w:szCs w:val="16"/>
              </w:rPr>
            </w:pPr>
            <w:r>
              <w:rPr>
                <w:rFonts w:ascii="宋体" w:eastAsia="宋体" w:hAnsi="宋体" w:cs="宋体"/>
                <w:spacing w:val="1"/>
                <w:sz w:val="16"/>
                <w:szCs w:val="16"/>
              </w:rPr>
              <w:t>乳制品、婴幼儿食品</w:t>
            </w:r>
          </w:p>
        </w:tc>
        <w:tc>
          <w:tcPr>
            <w:tcW w:w="1260" w:type="dxa"/>
          </w:tcPr>
          <w:p w:rsidR="00EA40A3" w:rsidRDefault="00E86C16">
            <w:pPr>
              <w:spacing w:before="92" w:line="183" w:lineRule="auto"/>
              <w:ind w:left="185"/>
              <w:rPr>
                <w:rFonts w:ascii="宋体" w:eastAsia="宋体" w:hAnsi="宋体" w:cs="宋体"/>
                <w:sz w:val="16"/>
                <w:szCs w:val="16"/>
              </w:rPr>
            </w:pPr>
            <w:r>
              <w:rPr>
                <w:rFonts w:ascii="宋体" w:eastAsia="宋体" w:hAnsi="宋体" w:cs="宋体"/>
                <w:spacing w:val="-1"/>
                <w:sz w:val="16"/>
                <w:szCs w:val="16"/>
              </w:rPr>
              <w:t>480～800</w:t>
            </w:r>
            <w:r>
              <w:rPr>
                <w:rFonts w:ascii="宋体" w:eastAsia="宋体" w:hAnsi="宋体" w:cs="宋体"/>
                <w:spacing w:val="3"/>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849"/>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103" w:line="269" w:lineRule="auto"/>
              <w:ind w:left="234" w:right="117" w:hanging="149"/>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(每日限食这类食</w:t>
            </w:r>
            <w:r>
              <w:rPr>
                <w:rFonts w:ascii="宋体" w:eastAsia="宋体" w:hAnsi="宋体" w:cs="宋体"/>
                <w:spacing w:val="6"/>
                <w:sz w:val="16"/>
                <w:szCs w:val="16"/>
              </w:rPr>
              <w:t xml:space="preserve"> </w:t>
            </w:r>
            <w:r>
              <w:rPr>
                <w:rFonts w:ascii="宋体" w:eastAsia="宋体" w:hAnsi="宋体" w:cs="宋体"/>
                <w:spacing w:val="9"/>
                <w:sz w:val="16"/>
                <w:szCs w:val="16"/>
              </w:rPr>
              <w:t>品50g)</w:t>
            </w:r>
          </w:p>
        </w:tc>
        <w:tc>
          <w:tcPr>
            <w:tcW w:w="1260" w:type="dxa"/>
          </w:tcPr>
          <w:p w:rsidR="00EA40A3" w:rsidRDefault="00EA40A3">
            <w:pPr>
              <w:spacing w:line="317" w:lineRule="auto"/>
            </w:pPr>
          </w:p>
          <w:p w:rsidR="00EA40A3" w:rsidRDefault="00E86C16">
            <w:pPr>
              <w:spacing w:before="52" w:line="184" w:lineRule="auto"/>
              <w:ind w:left="105"/>
              <w:rPr>
                <w:rFonts w:ascii="宋体" w:eastAsia="宋体" w:hAnsi="宋体" w:cs="宋体"/>
                <w:sz w:val="16"/>
                <w:szCs w:val="16"/>
              </w:rPr>
            </w:pPr>
            <w:r>
              <w:rPr>
                <w:rFonts w:ascii="宋体" w:eastAsia="宋体" w:hAnsi="宋体" w:cs="宋体"/>
                <w:spacing w:val="-2"/>
                <w:sz w:val="16"/>
                <w:szCs w:val="16"/>
              </w:rPr>
              <w:t>1400～1600</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74" w:line="220" w:lineRule="auto"/>
              <w:ind w:left="85"/>
              <w:rPr>
                <w:rFonts w:ascii="宋体" w:eastAsia="宋体" w:hAnsi="宋体" w:cs="宋体"/>
                <w:sz w:val="16"/>
                <w:szCs w:val="16"/>
              </w:rPr>
            </w:pPr>
            <w:r>
              <w:rPr>
                <w:rFonts w:ascii="宋体" w:eastAsia="宋体" w:hAnsi="宋体" w:cs="宋体"/>
                <w:spacing w:val="-1"/>
                <w:sz w:val="16"/>
                <w:szCs w:val="16"/>
              </w:rPr>
              <w:t>食盐、夹心糖</w:t>
            </w:r>
          </w:p>
        </w:tc>
        <w:tc>
          <w:tcPr>
            <w:tcW w:w="1260" w:type="dxa"/>
          </w:tcPr>
          <w:p w:rsidR="00EA40A3" w:rsidRDefault="00E86C16">
            <w:pPr>
              <w:spacing w:before="93" w:line="183" w:lineRule="auto"/>
              <w:ind w:left="105"/>
              <w:rPr>
                <w:rFonts w:ascii="宋体" w:eastAsia="宋体" w:hAnsi="宋体" w:cs="宋体"/>
                <w:sz w:val="16"/>
                <w:szCs w:val="16"/>
              </w:rPr>
            </w:pPr>
            <w:r>
              <w:rPr>
                <w:rFonts w:ascii="宋体" w:eastAsia="宋体" w:hAnsi="宋体" w:cs="宋体"/>
                <w:spacing w:val="-1"/>
                <w:sz w:val="16"/>
                <w:szCs w:val="16"/>
              </w:rPr>
              <w:t>4800～6000</w:t>
            </w:r>
            <w:r>
              <w:rPr>
                <w:rFonts w:ascii="宋体" w:eastAsia="宋体" w:hAnsi="宋体" w:cs="宋体"/>
                <w:spacing w:val="5"/>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310"/>
        </w:trPr>
        <w:tc>
          <w:tcPr>
            <w:tcW w:w="52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305" w:lineRule="auto"/>
            </w:pPr>
          </w:p>
          <w:p w:rsidR="00EA40A3" w:rsidRDefault="00EA40A3">
            <w:pPr>
              <w:spacing w:line="305" w:lineRule="auto"/>
            </w:pPr>
          </w:p>
          <w:p w:rsidR="00EA40A3" w:rsidRDefault="00EA40A3">
            <w:pPr>
              <w:spacing w:line="306"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2"/>
                <w:sz w:val="16"/>
                <w:szCs w:val="16"/>
              </w:rPr>
              <w:t>柠檬酸铁</w:t>
            </w:r>
          </w:p>
        </w:tc>
        <w:tc>
          <w:tcPr>
            <w:tcW w:w="1570" w:type="dxa"/>
          </w:tcPr>
          <w:p w:rsidR="00EA40A3" w:rsidRDefault="00E86C16">
            <w:pPr>
              <w:spacing w:before="83"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102" w:line="184" w:lineRule="auto"/>
              <w:ind w:left="185"/>
              <w:rPr>
                <w:rFonts w:ascii="宋体" w:eastAsia="宋体" w:hAnsi="宋体" w:cs="宋体"/>
                <w:sz w:val="16"/>
                <w:szCs w:val="16"/>
              </w:rPr>
            </w:pPr>
            <w:r>
              <w:rPr>
                <w:rFonts w:ascii="宋体" w:eastAsia="宋体" w:hAnsi="宋体" w:cs="宋体"/>
                <w:spacing w:val="-3"/>
                <w:sz w:val="16"/>
                <w:szCs w:val="16"/>
              </w:rPr>
              <w:t>150～290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60" w:type="dxa"/>
            <w:vMerge/>
            <w:tcBorders>
              <w:top w:val="nil"/>
              <w:bottom w:val="nil"/>
              <w:right w:val="nil"/>
            </w:tcBorders>
          </w:tcPr>
          <w:p w:rsidR="00EA40A3" w:rsidRDefault="00EA40A3"/>
        </w:tc>
      </w:tr>
      <w:tr w:rsidR="00EA40A3">
        <w:trPr>
          <w:trHeight w:val="31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84" w:line="220" w:lineRule="auto"/>
              <w:ind w:left="85"/>
              <w:rPr>
                <w:rFonts w:ascii="宋体" w:eastAsia="宋体" w:hAnsi="宋体" w:cs="宋体"/>
                <w:sz w:val="16"/>
                <w:szCs w:val="16"/>
              </w:rPr>
            </w:pPr>
            <w:r>
              <w:rPr>
                <w:rFonts w:ascii="宋体" w:eastAsia="宋体" w:hAnsi="宋体" w:cs="宋体"/>
                <w:spacing w:val="-2"/>
                <w:sz w:val="16"/>
                <w:szCs w:val="16"/>
              </w:rPr>
              <w:t>饮料</w:t>
            </w:r>
          </w:p>
        </w:tc>
        <w:tc>
          <w:tcPr>
            <w:tcW w:w="1260" w:type="dxa"/>
          </w:tcPr>
          <w:p w:rsidR="00EA40A3" w:rsidRDefault="00E86C16">
            <w:pPr>
              <w:spacing w:before="102" w:line="184" w:lineRule="auto"/>
              <w:ind w:left="224"/>
              <w:rPr>
                <w:rFonts w:ascii="宋体" w:eastAsia="宋体" w:hAnsi="宋体" w:cs="宋体"/>
                <w:sz w:val="16"/>
                <w:szCs w:val="16"/>
              </w:rPr>
            </w:pPr>
            <w:r>
              <w:rPr>
                <w:rFonts w:ascii="宋体" w:eastAsia="宋体" w:hAnsi="宋体" w:cs="宋体"/>
                <w:spacing w:val="-2"/>
                <w:sz w:val="16"/>
                <w:szCs w:val="16"/>
              </w:rPr>
              <w:t>60～120</w:t>
            </w:r>
            <w:r>
              <w:rPr>
                <w:rFonts w:ascii="宋体" w:eastAsia="宋体" w:hAnsi="宋体" w:cs="宋体"/>
                <w:spacing w:val="8"/>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3" w:line="219" w:lineRule="auto"/>
              <w:ind w:left="85"/>
              <w:rPr>
                <w:rFonts w:ascii="宋体" w:eastAsia="宋体" w:hAnsi="宋体" w:cs="宋体"/>
                <w:sz w:val="16"/>
                <w:szCs w:val="16"/>
              </w:rPr>
            </w:pPr>
            <w:r>
              <w:rPr>
                <w:rFonts w:ascii="宋体" w:eastAsia="宋体" w:hAnsi="宋体" w:cs="宋体"/>
                <w:spacing w:val="1"/>
                <w:sz w:val="16"/>
                <w:szCs w:val="16"/>
              </w:rPr>
              <w:t>乳制品、婴幼儿食品</w:t>
            </w:r>
          </w:p>
        </w:tc>
        <w:tc>
          <w:tcPr>
            <w:tcW w:w="1260" w:type="dxa"/>
          </w:tcPr>
          <w:p w:rsidR="00EA40A3" w:rsidRDefault="00E86C16">
            <w:pPr>
              <w:spacing w:before="93" w:line="183" w:lineRule="auto"/>
              <w:ind w:left="185"/>
              <w:rPr>
                <w:rFonts w:ascii="宋体" w:eastAsia="宋体" w:hAnsi="宋体" w:cs="宋体"/>
                <w:sz w:val="16"/>
                <w:szCs w:val="16"/>
              </w:rPr>
            </w:pPr>
            <w:r>
              <w:rPr>
                <w:rFonts w:ascii="宋体" w:eastAsia="宋体" w:hAnsi="宋体" w:cs="宋体"/>
                <w:spacing w:val="-2"/>
                <w:sz w:val="16"/>
                <w:szCs w:val="16"/>
              </w:rPr>
              <w:t>360～600</w:t>
            </w:r>
            <w:r>
              <w:rPr>
                <w:rFonts w:ascii="宋体" w:eastAsia="宋体" w:hAnsi="宋体" w:cs="宋体"/>
                <w:spacing w:val="8"/>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829"/>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3" w:line="273" w:lineRule="auto"/>
              <w:ind w:left="245" w:right="107" w:hanging="160"/>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(每日限食这类食</w:t>
            </w:r>
            <w:r>
              <w:rPr>
                <w:rFonts w:ascii="宋体" w:eastAsia="宋体" w:hAnsi="宋体" w:cs="宋体"/>
                <w:spacing w:val="6"/>
                <w:sz w:val="16"/>
                <w:szCs w:val="16"/>
              </w:rPr>
              <w:t xml:space="preserve"> </w:t>
            </w:r>
            <w:r>
              <w:rPr>
                <w:rFonts w:ascii="宋体" w:eastAsia="宋体" w:hAnsi="宋体" w:cs="宋体"/>
                <w:spacing w:val="7"/>
                <w:sz w:val="16"/>
                <w:szCs w:val="16"/>
              </w:rPr>
              <w:t>品50g)</w:t>
            </w:r>
          </w:p>
        </w:tc>
        <w:tc>
          <w:tcPr>
            <w:tcW w:w="1260" w:type="dxa"/>
          </w:tcPr>
          <w:p w:rsidR="00EA40A3" w:rsidRDefault="00EA40A3">
            <w:pPr>
              <w:spacing w:line="308" w:lineRule="auto"/>
            </w:pPr>
          </w:p>
          <w:p w:rsidR="00EA40A3" w:rsidRDefault="00E86C16">
            <w:pPr>
              <w:spacing w:before="52" w:line="184" w:lineRule="auto"/>
              <w:ind w:left="105"/>
              <w:rPr>
                <w:rFonts w:ascii="宋体" w:eastAsia="宋体" w:hAnsi="宋体" w:cs="宋体"/>
                <w:sz w:val="16"/>
                <w:szCs w:val="16"/>
              </w:rPr>
            </w:pPr>
            <w:r>
              <w:rPr>
                <w:rFonts w:ascii="宋体" w:eastAsia="宋体" w:hAnsi="宋体" w:cs="宋体"/>
                <w:spacing w:val="-2"/>
                <w:sz w:val="16"/>
                <w:szCs w:val="16"/>
              </w:rPr>
              <w:t>1000～1200</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10"/>
        </w:trPr>
        <w:tc>
          <w:tcPr>
            <w:tcW w:w="52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85" w:line="220" w:lineRule="auto"/>
              <w:ind w:left="85"/>
              <w:rPr>
                <w:rFonts w:ascii="宋体" w:eastAsia="宋体" w:hAnsi="宋体" w:cs="宋体"/>
                <w:sz w:val="16"/>
                <w:szCs w:val="16"/>
              </w:rPr>
            </w:pPr>
            <w:r>
              <w:rPr>
                <w:rFonts w:ascii="宋体" w:eastAsia="宋体" w:hAnsi="宋体" w:cs="宋体"/>
                <w:spacing w:val="-1"/>
                <w:sz w:val="16"/>
                <w:szCs w:val="16"/>
              </w:rPr>
              <w:t>食盐、夹心糖</w:t>
            </w:r>
          </w:p>
        </w:tc>
        <w:tc>
          <w:tcPr>
            <w:tcW w:w="1260" w:type="dxa"/>
          </w:tcPr>
          <w:p w:rsidR="00EA40A3" w:rsidRDefault="00E86C16">
            <w:pPr>
              <w:spacing w:before="104" w:line="183" w:lineRule="auto"/>
              <w:ind w:left="105"/>
              <w:rPr>
                <w:rFonts w:ascii="宋体" w:eastAsia="宋体" w:hAnsi="宋体" w:cs="宋体"/>
                <w:sz w:val="16"/>
                <w:szCs w:val="16"/>
              </w:rPr>
            </w:pPr>
            <w:r>
              <w:rPr>
                <w:rFonts w:ascii="宋体" w:eastAsia="宋体" w:hAnsi="宋体" w:cs="宋体"/>
                <w:spacing w:val="-1"/>
                <w:sz w:val="16"/>
                <w:szCs w:val="16"/>
              </w:rPr>
              <w:t>3600～7200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60" w:type="dxa"/>
            <w:vMerge/>
            <w:tcBorders>
              <w:top w:val="nil"/>
              <w:bottom w:val="nil"/>
              <w:right w:val="nil"/>
            </w:tcBorders>
          </w:tcPr>
          <w:p w:rsidR="00EA40A3" w:rsidRDefault="00EA40A3"/>
        </w:tc>
      </w:tr>
      <w:tr w:rsidR="00EA40A3">
        <w:trPr>
          <w:trHeight w:val="309"/>
        </w:trPr>
        <w:tc>
          <w:tcPr>
            <w:tcW w:w="52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305" w:lineRule="auto"/>
            </w:pPr>
          </w:p>
          <w:p w:rsidR="00EA40A3" w:rsidRDefault="00EA40A3">
            <w:pPr>
              <w:spacing w:line="306" w:lineRule="auto"/>
            </w:pPr>
          </w:p>
          <w:p w:rsidR="00EA40A3" w:rsidRDefault="00EA40A3">
            <w:pPr>
              <w:spacing w:line="306" w:lineRule="auto"/>
            </w:pPr>
          </w:p>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1"/>
                <w:sz w:val="16"/>
                <w:szCs w:val="16"/>
              </w:rPr>
              <w:t>富马酸亚铁</w:t>
            </w:r>
          </w:p>
        </w:tc>
        <w:tc>
          <w:tcPr>
            <w:tcW w:w="1570" w:type="dxa"/>
          </w:tcPr>
          <w:p w:rsidR="00EA40A3" w:rsidRDefault="00E86C16">
            <w:pPr>
              <w:spacing w:before="84"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103" w:line="184" w:lineRule="auto"/>
              <w:ind w:left="224"/>
              <w:rPr>
                <w:rFonts w:ascii="宋体" w:eastAsia="宋体" w:hAnsi="宋体" w:cs="宋体"/>
                <w:sz w:val="16"/>
                <w:szCs w:val="16"/>
              </w:rPr>
            </w:pPr>
            <w:r>
              <w:rPr>
                <w:rFonts w:ascii="宋体" w:eastAsia="宋体" w:hAnsi="宋体" w:cs="宋体"/>
                <w:spacing w:val="-2"/>
                <w:sz w:val="16"/>
                <w:szCs w:val="16"/>
              </w:rPr>
              <w:t>70～150</w:t>
            </w:r>
            <w:r>
              <w:rPr>
                <w:rFonts w:ascii="宋体" w:eastAsia="宋体" w:hAnsi="宋体" w:cs="宋体"/>
                <w:spacing w:val="5"/>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6" w:line="220" w:lineRule="auto"/>
              <w:ind w:left="85"/>
              <w:rPr>
                <w:rFonts w:ascii="宋体" w:eastAsia="宋体" w:hAnsi="宋体" w:cs="宋体"/>
                <w:sz w:val="16"/>
                <w:szCs w:val="16"/>
              </w:rPr>
            </w:pPr>
            <w:r>
              <w:rPr>
                <w:rFonts w:ascii="宋体" w:eastAsia="宋体" w:hAnsi="宋体" w:cs="宋体"/>
                <w:spacing w:val="-2"/>
                <w:sz w:val="16"/>
                <w:szCs w:val="16"/>
              </w:rPr>
              <w:t>饮料</w:t>
            </w:r>
          </w:p>
        </w:tc>
        <w:tc>
          <w:tcPr>
            <w:tcW w:w="1260" w:type="dxa"/>
          </w:tcPr>
          <w:p w:rsidR="00EA40A3" w:rsidRDefault="00E86C16">
            <w:pPr>
              <w:spacing w:before="95" w:line="183" w:lineRule="auto"/>
              <w:ind w:left="265"/>
              <w:rPr>
                <w:rFonts w:ascii="宋体" w:eastAsia="宋体" w:hAnsi="宋体" w:cs="宋体"/>
                <w:sz w:val="16"/>
                <w:szCs w:val="16"/>
              </w:rPr>
            </w:pPr>
            <w:r>
              <w:rPr>
                <w:rFonts w:ascii="宋体" w:eastAsia="宋体" w:hAnsi="宋体" w:cs="宋体"/>
                <w:spacing w:val="-2"/>
                <w:sz w:val="16"/>
                <w:szCs w:val="16"/>
              </w:rPr>
              <w:t>30～60</w:t>
            </w:r>
            <w:r>
              <w:rPr>
                <w:rFonts w:ascii="宋体" w:eastAsia="宋体" w:hAnsi="宋体" w:cs="宋体"/>
                <w:spacing w:val="4"/>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0"/>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5" w:line="219" w:lineRule="auto"/>
              <w:ind w:left="85"/>
              <w:rPr>
                <w:rFonts w:ascii="宋体" w:eastAsia="宋体" w:hAnsi="宋体" w:cs="宋体"/>
                <w:sz w:val="16"/>
                <w:szCs w:val="16"/>
              </w:rPr>
            </w:pPr>
            <w:r>
              <w:rPr>
                <w:rFonts w:ascii="宋体" w:eastAsia="宋体" w:hAnsi="宋体" w:cs="宋体"/>
                <w:spacing w:val="1"/>
                <w:sz w:val="16"/>
                <w:szCs w:val="16"/>
              </w:rPr>
              <w:t>乳制品、婴幼儿食品</w:t>
            </w:r>
          </w:p>
        </w:tc>
        <w:tc>
          <w:tcPr>
            <w:tcW w:w="1260" w:type="dxa"/>
          </w:tcPr>
          <w:p w:rsidR="00EA40A3" w:rsidRDefault="00E86C16">
            <w:pPr>
              <w:spacing w:before="94" w:line="184" w:lineRule="auto"/>
              <w:ind w:left="185"/>
              <w:rPr>
                <w:rFonts w:ascii="宋体" w:eastAsia="宋体" w:hAnsi="宋体" w:cs="宋体"/>
                <w:sz w:val="16"/>
                <w:szCs w:val="16"/>
              </w:rPr>
            </w:pPr>
            <w:r>
              <w:rPr>
                <w:rFonts w:ascii="宋体" w:eastAsia="宋体" w:hAnsi="宋体" w:cs="宋体"/>
                <w:spacing w:val="-3"/>
                <w:sz w:val="16"/>
                <w:szCs w:val="16"/>
              </w:rPr>
              <w:t>180～300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60" w:type="dxa"/>
            <w:vMerge/>
            <w:tcBorders>
              <w:top w:val="nil"/>
              <w:bottom w:val="nil"/>
              <w:right w:val="nil"/>
            </w:tcBorders>
          </w:tcPr>
          <w:p w:rsidR="00EA40A3" w:rsidRDefault="00EA40A3"/>
        </w:tc>
      </w:tr>
      <w:tr w:rsidR="00EA40A3">
        <w:trPr>
          <w:trHeight w:val="839"/>
        </w:trPr>
        <w:tc>
          <w:tcPr>
            <w:tcW w:w="52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114" w:line="262" w:lineRule="auto"/>
              <w:ind w:left="245" w:right="107" w:hanging="160"/>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(每日限食这类食</w:t>
            </w:r>
            <w:r>
              <w:rPr>
                <w:rFonts w:ascii="宋体" w:eastAsia="宋体" w:hAnsi="宋体" w:cs="宋体"/>
                <w:spacing w:val="6"/>
                <w:sz w:val="16"/>
                <w:szCs w:val="16"/>
              </w:rPr>
              <w:t xml:space="preserve"> </w:t>
            </w:r>
            <w:r>
              <w:rPr>
                <w:rFonts w:ascii="宋体" w:eastAsia="宋体" w:hAnsi="宋体" w:cs="宋体"/>
                <w:spacing w:val="7"/>
                <w:sz w:val="16"/>
                <w:szCs w:val="16"/>
              </w:rPr>
              <w:t>品50g)</w:t>
            </w:r>
          </w:p>
        </w:tc>
        <w:tc>
          <w:tcPr>
            <w:tcW w:w="1260" w:type="dxa"/>
          </w:tcPr>
          <w:p w:rsidR="00EA40A3" w:rsidRDefault="00EA40A3">
            <w:pPr>
              <w:spacing w:line="311" w:lineRule="auto"/>
            </w:pPr>
          </w:p>
          <w:p w:rsidR="00EA40A3" w:rsidRDefault="00E86C16">
            <w:pPr>
              <w:spacing w:before="52" w:line="183" w:lineRule="auto"/>
              <w:ind w:left="185"/>
              <w:rPr>
                <w:rFonts w:ascii="宋体" w:eastAsia="宋体" w:hAnsi="宋体" w:cs="宋体"/>
                <w:sz w:val="16"/>
                <w:szCs w:val="16"/>
              </w:rPr>
            </w:pPr>
            <w:r>
              <w:rPr>
                <w:rFonts w:ascii="宋体" w:eastAsia="宋体" w:hAnsi="宋体" w:cs="宋体"/>
                <w:spacing w:val="-2"/>
                <w:sz w:val="16"/>
                <w:szCs w:val="16"/>
              </w:rPr>
              <w:t>520～580</w:t>
            </w:r>
            <w:r>
              <w:rPr>
                <w:rFonts w:ascii="宋体" w:eastAsia="宋体" w:hAnsi="宋体" w:cs="宋体"/>
                <w:spacing w:val="8"/>
                <w:sz w:val="16"/>
                <w:szCs w:val="16"/>
              </w:rPr>
              <w:t xml:space="preserve"> </w:t>
            </w:r>
            <w:r>
              <w:rPr>
                <w:rFonts w:ascii="宋体" w:eastAsia="宋体" w:hAnsi="宋体" w:cs="宋体"/>
                <w:spacing w:val="-2"/>
                <w:sz w:val="16"/>
                <w:szCs w:val="16"/>
              </w:rPr>
              <w:t>mg</w:t>
            </w:r>
          </w:p>
        </w:tc>
        <w:tc>
          <w:tcPr>
            <w:tcW w:w="2460" w:type="dxa"/>
            <w:vMerge/>
            <w:tcBorders>
              <w:top w:val="nil"/>
              <w:bottom w:val="nil"/>
              <w:right w:val="nil"/>
            </w:tcBorders>
          </w:tcPr>
          <w:p w:rsidR="00EA40A3" w:rsidRDefault="00EA40A3"/>
        </w:tc>
      </w:tr>
      <w:tr w:rsidR="00EA40A3">
        <w:trPr>
          <w:trHeight w:val="305"/>
        </w:trPr>
        <w:tc>
          <w:tcPr>
            <w:tcW w:w="520" w:type="dxa"/>
            <w:vMerge/>
            <w:tcBorders>
              <w:top w:val="nil"/>
              <w:left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77" w:line="220" w:lineRule="auto"/>
              <w:ind w:left="85"/>
              <w:rPr>
                <w:rFonts w:ascii="宋体" w:eastAsia="宋体" w:hAnsi="宋体" w:cs="宋体"/>
                <w:sz w:val="16"/>
                <w:szCs w:val="16"/>
              </w:rPr>
            </w:pPr>
            <w:r>
              <w:rPr>
                <w:rFonts w:ascii="宋体" w:eastAsia="宋体" w:hAnsi="宋体" w:cs="宋体"/>
                <w:spacing w:val="-1"/>
                <w:sz w:val="16"/>
                <w:szCs w:val="16"/>
              </w:rPr>
              <w:t>食盐、夹心糖</w:t>
            </w:r>
          </w:p>
        </w:tc>
        <w:tc>
          <w:tcPr>
            <w:tcW w:w="1260" w:type="dxa"/>
          </w:tcPr>
          <w:p w:rsidR="00EA40A3" w:rsidRDefault="00E86C16">
            <w:pPr>
              <w:spacing w:before="95" w:line="184" w:lineRule="auto"/>
              <w:ind w:left="105"/>
              <w:rPr>
                <w:rFonts w:ascii="宋体" w:eastAsia="宋体" w:hAnsi="宋体" w:cs="宋体"/>
                <w:sz w:val="16"/>
                <w:szCs w:val="16"/>
              </w:rPr>
            </w:pPr>
            <w:r>
              <w:rPr>
                <w:rFonts w:ascii="宋体" w:eastAsia="宋体" w:hAnsi="宋体" w:cs="宋体"/>
                <w:spacing w:val="-2"/>
                <w:sz w:val="16"/>
                <w:szCs w:val="16"/>
              </w:rPr>
              <w:t>1800～3600</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60" w:type="dxa"/>
            <w:vMerge/>
            <w:tcBorders>
              <w:top w:val="nil"/>
              <w:right w:val="nil"/>
            </w:tcBorders>
          </w:tcPr>
          <w:p w:rsidR="00EA40A3" w:rsidRDefault="00EA40A3"/>
        </w:tc>
      </w:tr>
    </w:tbl>
    <w:p w:rsidR="00EA40A3" w:rsidRDefault="00EA40A3"/>
    <w:p w:rsidR="00EA40A3" w:rsidRDefault="00EA40A3">
      <w:pPr>
        <w:sectPr w:rsidR="00EA40A3">
          <w:footerReference w:type="default" r:id="rId360"/>
          <w:pgSz w:w="9380" w:h="13470"/>
          <w:pgMar w:top="400" w:right="1160" w:bottom="1307" w:left="989" w:header="0" w:footer="1099" w:gutter="0"/>
          <w:cols w:space="720"/>
        </w:sectPr>
      </w:pPr>
    </w:p>
    <w:p w:rsidR="00EA40A3" w:rsidRDefault="00EA40A3">
      <w:pPr>
        <w:spacing w:line="273" w:lineRule="auto"/>
      </w:pPr>
    </w:p>
    <w:p w:rsidR="00EA40A3" w:rsidRDefault="00EA40A3">
      <w:pPr>
        <w:spacing w:line="273" w:lineRule="auto"/>
      </w:pPr>
    </w:p>
    <w:p w:rsidR="00EA40A3" w:rsidRDefault="00E86C16">
      <w:pPr>
        <w:spacing w:before="58" w:line="220" w:lineRule="auto"/>
        <w:ind w:right="254"/>
        <w:jc w:val="right"/>
        <w:rPr>
          <w:rFonts w:ascii="宋体" w:eastAsia="宋体" w:hAnsi="宋体" w:cs="宋体"/>
          <w:sz w:val="18"/>
          <w:szCs w:val="18"/>
        </w:rPr>
      </w:pPr>
      <w:r>
        <w:rPr>
          <w:rFonts w:ascii="宋体" w:eastAsia="宋体" w:hAnsi="宋体" w:cs="宋体"/>
          <w:spacing w:val="-3"/>
          <w:sz w:val="18"/>
          <w:szCs w:val="18"/>
        </w:rPr>
        <w:t>续表</w:t>
      </w:r>
    </w:p>
    <w:p w:rsidR="00EA40A3" w:rsidRDefault="00EA40A3">
      <w:pPr>
        <w:spacing w:line="72" w:lineRule="exact"/>
      </w:pPr>
    </w:p>
    <w:tbl>
      <w:tblPr>
        <w:tblStyle w:val="TableNormal"/>
        <w:tblW w:w="71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0"/>
        <w:gridCol w:w="1410"/>
        <w:gridCol w:w="1570"/>
        <w:gridCol w:w="1260"/>
        <w:gridCol w:w="2439"/>
      </w:tblGrid>
      <w:tr w:rsidR="00EA40A3">
        <w:trPr>
          <w:trHeight w:val="304"/>
        </w:trPr>
        <w:tc>
          <w:tcPr>
            <w:tcW w:w="520" w:type="dxa"/>
            <w:tcBorders>
              <w:left w:val="nil"/>
            </w:tcBorders>
          </w:tcPr>
          <w:p w:rsidR="00EA40A3" w:rsidRDefault="00E86C16">
            <w:pPr>
              <w:spacing w:before="71" w:line="219" w:lineRule="auto"/>
              <w:ind w:left="100"/>
              <w:rPr>
                <w:rFonts w:ascii="宋体" w:eastAsia="宋体" w:hAnsi="宋体" w:cs="宋体"/>
                <w:sz w:val="16"/>
                <w:szCs w:val="16"/>
              </w:rPr>
            </w:pPr>
            <w:r>
              <w:rPr>
                <w:rFonts w:ascii="宋体" w:eastAsia="宋体" w:hAnsi="宋体" w:cs="宋体"/>
                <w:spacing w:val="-2"/>
                <w:sz w:val="16"/>
                <w:szCs w:val="16"/>
              </w:rPr>
              <w:t>种类</w:t>
            </w:r>
          </w:p>
        </w:tc>
        <w:tc>
          <w:tcPr>
            <w:tcW w:w="1410" w:type="dxa"/>
          </w:tcPr>
          <w:p w:rsidR="00EA40A3" w:rsidRDefault="00E86C16">
            <w:pPr>
              <w:spacing w:before="72" w:line="220" w:lineRule="auto"/>
              <w:ind w:left="395"/>
              <w:rPr>
                <w:rFonts w:ascii="宋体" w:eastAsia="宋体" w:hAnsi="宋体" w:cs="宋体"/>
                <w:sz w:val="16"/>
                <w:szCs w:val="16"/>
              </w:rPr>
            </w:pPr>
            <w:r>
              <w:rPr>
                <w:rFonts w:ascii="宋体" w:eastAsia="宋体" w:hAnsi="宋体" w:cs="宋体"/>
                <w:spacing w:val="-10"/>
                <w:sz w:val="16"/>
                <w:szCs w:val="16"/>
              </w:rPr>
              <w:t>品</w:t>
            </w:r>
            <w:r>
              <w:rPr>
                <w:rFonts w:ascii="宋体" w:eastAsia="宋体" w:hAnsi="宋体" w:cs="宋体"/>
                <w:spacing w:val="9"/>
                <w:sz w:val="16"/>
                <w:szCs w:val="16"/>
              </w:rPr>
              <w:t xml:space="preserve">    </w:t>
            </w:r>
            <w:r>
              <w:rPr>
                <w:rFonts w:ascii="宋体" w:eastAsia="宋体" w:hAnsi="宋体" w:cs="宋体"/>
                <w:spacing w:val="-10"/>
                <w:sz w:val="16"/>
                <w:szCs w:val="16"/>
              </w:rPr>
              <w:t>种</w:t>
            </w:r>
          </w:p>
        </w:tc>
        <w:tc>
          <w:tcPr>
            <w:tcW w:w="1570" w:type="dxa"/>
          </w:tcPr>
          <w:p w:rsidR="00EA40A3" w:rsidRDefault="00E86C16">
            <w:pPr>
              <w:spacing w:before="71" w:line="219" w:lineRule="auto"/>
              <w:ind w:left="475"/>
              <w:rPr>
                <w:rFonts w:ascii="宋体" w:eastAsia="宋体" w:hAnsi="宋体" w:cs="宋体"/>
                <w:sz w:val="16"/>
                <w:szCs w:val="16"/>
              </w:rPr>
            </w:pPr>
            <w:r>
              <w:rPr>
                <w:rFonts w:ascii="宋体" w:eastAsia="宋体" w:hAnsi="宋体" w:cs="宋体"/>
                <w:spacing w:val="3"/>
                <w:sz w:val="16"/>
                <w:szCs w:val="16"/>
              </w:rPr>
              <w:t>使用范围</w:t>
            </w:r>
          </w:p>
        </w:tc>
        <w:tc>
          <w:tcPr>
            <w:tcW w:w="1260" w:type="dxa"/>
          </w:tcPr>
          <w:p w:rsidR="00EA40A3" w:rsidRDefault="00E86C16">
            <w:pPr>
              <w:spacing w:before="71" w:line="219" w:lineRule="auto"/>
              <w:ind w:left="145"/>
              <w:rPr>
                <w:rFonts w:ascii="宋体" w:eastAsia="宋体" w:hAnsi="宋体" w:cs="宋体"/>
                <w:sz w:val="16"/>
                <w:szCs w:val="16"/>
              </w:rPr>
            </w:pPr>
            <w:r>
              <w:rPr>
                <w:rFonts w:ascii="宋体" w:eastAsia="宋体" w:hAnsi="宋体" w:cs="宋体"/>
                <w:spacing w:val="-1"/>
                <w:sz w:val="16"/>
                <w:szCs w:val="16"/>
              </w:rPr>
              <w:t>每千克使用量</w:t>
            </w:r>
          </w:p>
        </w:tc>
        <w:tc>
          <w:tcPr>
            <w:tcW w:w="2439" w:type="dxa"/>
            <w:tcBorders>
              <w:right w:val="nil"/>
            </w:tcBorders>
          </w:tcPr>
          <w:p w:rsidR="00EA40A3" w:rsidRDefault="00E86C16">
            <w:pPr>
              <w:spacing w:before="72" w:line="221" w:lineRule="auto"/>
              <w:ind w:left="914"/>
              <w:rPr>
                <w:rFonts w:ascii="宋体" w:eastAsia="宋体" w:hAnsi="宋体" w:cs="宋体"/>
                <w:sz w:val="16"/>
                <w:szCs w:val="16"/>
              </w:rPr>
            </w:pPr>
            <w:r>
              <w:rPr>
                <w:rFonts w:ascii="宋体" w:eastAsia="宋体" w:hAnsi="宋体" w:cs="宋体"/>
                <w:spacing w:val="-5"/>
                <w:sz w:val="16"/>
                <w:szCs w:val="16"/>
              </w:rPr>
              <w:t>备</w:t>
            </w:r>
            <w:r>
              <w:rPr>
                <w:rFonts w:ascii="宋体" w:eastAsia="宋体" w:hAnsi="宋体" w:cs="宋体"/>
                <w:spacing w:val="1"/>
                <w:sz w:val="16"/>
                <w:szCs w:val="16"/>
              </w:rPr>
              <w:t xml:space="preserve">    </w:t>
            </w:r>
            <w:r>
              <w:rPr>
                <w:rFonts w:ascii="宋体" w:eastAsia="宋体" w:hAnsi="宋体" w:cs="宋体"/>
                <w:spacing w:val="-5"/>
                <w:sz w:val="16"/>
                <w:szCs w:val="16"/>
              </w:rPr>
              <w:t>注</w:t>
            </w:r>
          </w:p>
        </w:tc>
      </w:tr>
      <w:tr w:rsidR="00EA40A3">
        <w:trPr>
          <w:trHeight w:val="299"/>
        </w:trPr>
        <w:tc>
          <w:tcPr>
            <w:tcW w:w="520" w:type="dxa"/>
            <w:vMerge w:val="restart"/>
            <w:tcBorders>
              <w:left w:val="nil"/>
              <w:bottom w:val="nil"/>
            </w:tcBorders>
            <w:textDirection w:val="tbRlV"/>
          </w:tcPr>
          <w:p w:rsidR="00EA40A3" w:rsidRDefault="00E86C16">
            <w:pPr>
              <w:spacing w:before="175" w:line="216" w:lineRule="auto"/>
              <w:ind w:left="4651"/>
              <w:rPr>
                <w:rFonts w:ascii="宋体" w:eastAsia="宋体" w:hAnsi="宋体" w:cs="宋体"/>
                <w:sz w:val="16"/>
                <w:szCs w:val="16"/>
              </w:rPr>
            </w:pPr>
            <w:r>
              <w:rPr>
                <w:rFonts w:ascii="宋体" w:eastAsia="宋体" w:hAnsi="宋体" w:cs="宋体"/>
                <w:spacing w:val="26"/>
                <w:w w:val="129"/>
                <w:sz w:val="16"/>
                <w:szCs w:val="16"/>
              </w:rPr>
              <w:t>矿物质类</w:t>
            </w:r>
          </w:p>
        </w:tc>
        <w:tc>
          <w:tcPr>
            <w:tcW w:w="1410" w:type="dxa"/>
            <w:vMerge w:val="restart"/>
            <w:tcBorders>
              <w:bottom w:val="nil"/>
            </w:tcBorders>
          </w:tcPr>
          <w:p w:rsidR="00EA40A3" w:rsidRDefault="00EA40A3">
            <w:pPr>
              <w:spacing w:line="316" w:lineRule="auto"/>
            </w:pPr>
          </w:p>
          <w:p w:rsidR="00EA40A3" w:rsidRDefault="00EA40A3">
            <w:pPr>
              <w:spacing w:line="316" w:lineRule="auto"/>
            </w:pPr>
          </w:p>
          <w:p w:rsidR="00EA40A3" w:rsidRDefault="00EA40A3">
            <w:pPr>
              <w:spacing w:line="317"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1"/>
                <w:sz w:val="16"/>
                <w:szCs w:val="16"/>
              </w:rPr>
              <w:t>柠檬酸铁铵</w:t>
            </w:r>
          </w:p>
        </w:tc>
        <w:tc>
          <w:tcPr>
            <w:tcW w:w="1570" w:type="dxa"/>
          </w:tcPr>
          <w:p w:rsidR="00EA40A3" w:rsidRDefault="00E86C16">
            <w:pPr>
              <w:spacing w:before="67"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86" w:line="184" w:lineRule="auto"/>
              <w:ind w:left="185"/>
              <w:rPr>
                <w:rFonts w:ascii="宋体" w:eastAsia="宋体" w:hAnsi="宋体" w:cs="宋体"/>
                <w:sz w:val="16"/>
                <w:szCs w:val="16"/>
              </w:rPr>
            </w:pPr>
            <w:r>
              <w:rPr>
                <w:rFonts w:ascii="宋体" w:eastAsia="宋体" w:hAnsi="宋体" w:cs="宋体"/>
                <w:spacing w:val="-3"/>
                <w:sz w:val="16"/>
                <w:szCs w:val="16"/>
              </w:rPr>
              <w:t>160～330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39" w:type="dxa"/>
            <w:vMerge w:val="restart"/>
            <w:tcBorders>
              <w:bottom w:val="nil"/>
              <w:right w:val="nil"/>
            </w:tcBorders>
          </w:tcPr>
          <w:p w:rsidR="00EA40A3" w:rsidRDefault="00EA40A3">
            <w:pPr>
              <w:spacing w:line="275" w:lineRule="auto"/>
            </w:pPr>
          </w:p>
          <w:p w:rsidR="00EA40A3" w:rsidRDefault="00EA40A3">
            <w:pPr>
              <w:spacing w:line="276" w:lineRule="auto"/>
            </w:pPr>
          </w:p>
          <w:p w:rsidR="00EA40A3" w:rsidRDefault="00E86C16">
            <w:pPr>
              <w:spacing w:before="52" w:line="283" w:lineRule="auto"/>
              <w:ind w:left="284" w:right="66" w:hanging="209"/>
              <w:rPr>
                <w:rFonts w:ascii="宋体" w:eastAsia="宋体" w:hAnsi="宋体" w:cs="宋体"/>
                <w:sz w:val="16"/>
                <w:szCs w:val="16"/>
              </w:rPr>
            </w:pPr>
            <w:r>
              <w:rPr>
                <w:rFonts w:ascii="宋体" w:eastAsia="宋体" w:hAnsi="宋体" w:cs="宋体"/>
                <w:spacing w:val="3"/>
                <w:sz w:val="16"/>
                <w:szCs w:val="16"/>
              </w:rPr>
              <w:t>4.其他铁盐如碳酸亚铁、柠檬酸</w:t>
            </w:r>
            <w:r>
              <w:rPr>
                <w:rFonts w:ascii="宋体" w:eastAsia="宋体" w:hAnsi="宋体" w:cs="宋体"/>
                <w:sz w:val="16"/>
                <w:szCs w:val="16"/>
              </w:rPr>
              <w:t xml:space="preserve"> 亚铁、延胡索酸亚铁、琥珀酸</w:t>
            </w:r>
            <w:r>
              <w:rPr>
                <w:rFonts w:ascii="宋体" w:eastAsia="宋体" w:hAnsi="宋体" w:cs="宋体"/>
                <w:spacing w:val="1"/>
                <w:sz w:val="16"/>
                <w:szCs w:val="16"/>
              </w:rPr>
              <w:t xml:space="preserve"> </w:t>
            </w:r>
            <w:r>
              <w:rPr>
                <w:rFonts w:ascii="宋体" w:eastAsia="宋体" w:hAnsi="宋体" w:cs="宋体"/>
                <w:spacing w:val="-1"/>
                <w:sz w:val="16"/>
                <w:szCs w:val="16"/>
              </w:rPr>
              <w:t>亚铁、还原铁、电解铁也都可</w:t>
            </w:r>
            <w:r>
              <w:rPr>
                <w:rFonts w:ascii="宋体" w:eastAsia="宋体" w:hAnsi="宋体" w:cs="宋体"/>
                <w:spacing w:val="4"/>
                <w:sz w:val="16"/>
                <w:szCs w:val="16"/>
              </w:rPr>
              <w:t xml:space="preserve"> </w:t>
            </w:r>
            <w:r>
              <w:rPr>
                <w:rFonts w:ascii="宋体" w:eastAsia="宋体" w:hAnsi="宋体" w:cs="宋体"/>
                <w:spacing w:val="-1"/>
                <w:sz w:val="16"/>
                <w:szCs w:val="16"/>
              </w:rPr>
              <w:t>用，强化时以铁元素计</w:t>
            </w:r>
          </w:p>
        </w:tc>
      </w:tr>
      <w:tr w:rsidR="00EA40A3">
        <w:trPr>
          <w:trHeight w:val="30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69" w:line="220" w:lineRule="auto"/>
              <w:ind w:left="85"/>
              <w:rPr>
                <w:rFonts w:ascii="宋体" w:eastAsia="宋体" w:hAnsi="宋体" w:cs="宋体"/>
                <w:sz w:val="16"/>
                <w:szCs w:val="16"/>
              </w:rPr>
            </w:pPr>
            <w:r>
              <w:rPr>
                <w:rFonts w:ascii="宋体" w:eastAsia="宋体" w:hAnsi="宋体" w:cs="宋体"/>
                <w:spacing w:val="-2"/>
                <w:sz w:val="16"/>
                <w:szCs w:val="16"/>
              </w:rPr>
              <w:t>饮料</w:t>
            </w:r>
          </w:p>
        </w:tc>
        <w:tc>
          <w:tcPr>
            <w:tcW w:w="1260" w:type="dxa"/>
          </w:tcPr>
          <w:p w:rsidR="00EA40A3" w:rsidRDefault="00E86C16">
            <w:pPr>
              <w:spacing w:before="87" w:line="184" w:lineRule="auto"/>
              <w:ind w:left="225"/>
              <w:rPr>
                <w:rFonts w:ascii="宋体" w:eastAsia="宋体" w:hAnsi="宋体" w:cs="宋体"/>
                <w:sz w:val="16"/>
                <w:szCs w:val="16"/>
              </w:rPr>
            </w:pPr>
            <w:r>
              <w:rPr>
                <w:rFonts w:ascii="宋体" w:eastAsia="宋体" w:hAnsi="宋体" w:cs="宋体"/>
                <w:spacing w:val="-2"/>
                <w:sz w:val="16"/>
                <w:szCs w:val="16"/>
              </w:rPr>
              <w:t>70～140</w:t>
            </w:r>
            <w:r>
              <w:rPr>
                <w:rFonts w:ascii="宋体" w:eastAsia="宋体" w:hAnsi="宋体" w:cs="宋体"/>
                <w:spacing w:val="5"/>
                <w:sz w:val="16"/>
                <w:szCs w:val="16"/>
              </w:rPr>
              <w:t xml:space="preserve"> </w:t>
            </w:r>
            <w:r>
              <w:rPr>
                <w:rFonts w:ascii="宋体" w:eastAsia="宋体" w:hAnsi="宋体" w:cs="宋体"/>
                <w:spacing w:val="-2"/>
                <w:sz w:val="16"/>
                <w:szCs w:val="16"/>
              </w:rPr>
              <w:t>mg</w:t>
            </w:r>
          </w:p>
        </w:tc>
        <w:tc>
          <w:tcPr>
            <w:tcW w:w="2439" w:type="dxa"/>
            <w:vMerge/>
            <w:tcBorders>
              <w:top w:val="nil"/>
              <w:bottom w:val="nil"/>
              <w:right w:val="nil"/>
            </w:tcBorders>
          </w:tcPr>
          <w:p w:rsidR="00EA40A3" w:rsidRDefault="00EA40A3"/>
        </w:tc>
      </w:tr>
      <w:tr w:rsidR="00EA40A3">
        <w:trPr>
          <w:trHeight w:val="299"/>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68" w:line="219" w:lineRule="auto"/>
              <w:ind w:left="85"/>
              <w:rPr>
                <w:rFonts w:ascii="宋体" w:eastAsia="宋体" w:hAnsi="宋体" w:cs="宋体"/>
                <w:sz w:val="16"/>
                <w:szCs w:val="16"/>
              </w:rPr>
            </w:pPr>
            <w:r>
              <w:rPr>
                <w:rFonts w:ascii="宋体" w:eastAsia="宋体" w:hAnsi="宋体" w:cs="宋体"/>
                <w:spacing w:val="1"/>
                <w:sz w:val="16"/>
                <w:szCs w:val="16"/>
              </w:rPr>
              <w:t>乳制品、婴幼儿食品</w:t>
            </w:r>
          </w:p>
        </w:tc>
        <w:tc>
          <w:tcPr>
            <w:tcW w:w="1260" w:type="dxa"/>
          </w:tcPr>
          <w:p w:rsidR="00EA40A3" w:rsidRDefault="00E86C16">
            <w:pPr>
              <w:spacing w:before="88" w:line="183" w:lineRule="auto"/>
              <w:ind w:left="185"/>
              <w:rPr>
                <w:rFonts w:ascii="宋体" w:eastAsia="宋体" w:hAnsi="宋体" w:cs="宋体"/>
                <w:sz w:val="16"/>
                <w:szCs w:val="16"/>
              </w:rPr>
            </w:pPr>
            <w:r>
              <w:rPr>
                <w:rFonts w:ascii="宋体" w:eastAsia="宋体" w:hAnsi="宋体" w:cs="宋体"/>
                <w:spacing w:val="-1"/>
                <w:sz w:val="16"/>
                <w:szCs w:val="16"/>
              </w:rPr>
              <w:t>400～800</w:t>
            </w:r>
            <w:r>
              <w:rPr>
                <w:rFonts w:ascii="宋体" w:eastAsia="宋体" w:hAnsi="宋体" w:cs="宋体"/>
                <w:spacing w:val="3"/>
                <w:sz w:val="16"/>
                <w:szCs w:val="16"/>
              </w:rPr>
              <w:t xml:space="preserve"> </w:t>
            </w:r>
            <w:r>
              <w:rPr>
                <w:rFonts w:ascii="宋体" w:eastAsia="宋体" w:hAnsi="宋体" w:cs="宋体"/>
                <w:spacing w:val="-1"/>
                <w:sz w:val="16"/>
                <w:szCs w:val="16"/>
              </w:rPr>
              <w:t>mg</w:t>
            </w:r>
          </w:p>
        </w:tc>
        <w:tc>
          <w:tcPr>
            <w:tcW w:w="2439" w:type="dxa"/>
            <w:vMerge/>
            <w:tcBorders>
              <w:top w:val="nil"/>
              <w:bottom w:val="nil"/>
              <w:right w:val="nil"/>
            </w:tcBorders>
          </w:tcPr>
          <w:p w:rsidR="00EA40A3" w:rsidRDefault="00EA40A3"/>
        </w:tc>
      </w:tr>
      <w:tr w:rsidR="00EA40A3">
        <w:trPr>
          <w:trHeight w:val="919"/>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140" w:line="265" w:lineRule="auto"/>
              <w:ind w:left="244" w:right="87" w:hanging="159"/>
              <w:rPr>
                <w:rFonts w:ascii="宋体" w:eastAsia="宋体" w:hAnsi="宋体" w:cs="宋体"/>
                <w:sz w:val="16"/>
                <w:szCs w:val="16"/>
              </w:rPr>
            </w:pPr>
            <w:r>
              <w:rPr>
                <w:rFonts w:ascii="宋体" w:eastAsia="宋体" w:hAnsi="宋体" w:cs="宋体"/>
                <w:spacing w:val="2"/>
                <w:sz w:val="16"/>
                <w:szCs w:val="16"/>
              </w:rPr>
              <w:t>高铁谷类及其制品</w:t>
            </w:r>
            <w:r>
              <w:rPr>
                <w:rFonts w:ascii="宋体" w:eastAsia="宋体" w:hAnsi="宋体" w:cs="宋体"/>
                <w:sz w:val="16"/>
                <w:szCs w:val="16"/>
              </w:rPr>
              <w:t xml:space="preserve">  </w:t>
            </w:r>
            <w:r>
              <w:rPr>
                <w:rFonts w:ascii="宋体" w:eastAsia="宋体" w:hAnsi="宋体" w:cs="宋体"/>
                <w:spacing w:val="3"/>
                <w:sz w:val="16"/>
                <w:szCs w:val="16"/>
              </w:rPr>
              <w:t>(每日限食这类食</w:t>
            </w:r>
            <w:r>
              <w:rPr>
                <w:rFonts w:ascii="宋体" w:eastAsia="宋体" w:hAnsi="宋体" w:cs="宋体"/>
                <w:spacing w:val="2"/>
                <w:sz w:val="16"/>
                <w:szCs w:val="16"/>
              </w:rPr>
              <w:t xml:space="preserve"> </w:t>
            </w:r>
            <w:r>
              <w:rPr>
                <w:rFonts w:ascii="宋体" w:eastAsia="宋体" w:hAnsi="宋体" w:cs="宋体"/>
                <w:spacing w:val="7"/>
                <w:sz w:val="16"/>
                <w:szCs w:val="16"/>
              </w:rPr>
              <w:t>品50g)</w:t>
            </w:r>
          </w:p>
        </w:tc>
        <w:tc>
          <w:tcPr>
            <w:tcW w:w="1260" w:type="dxa"/>
          </w:tcPr>
          <w:p w:rsidR="00EA40A3" w:rsidRDefault="00EA40A3">
            <w:pPr>
              <w:spacing w:line="344" w:lineRule="auto"/>
            </w:pPr>
          </w:p>
          <w:p w:rsidR="00EA40A3" w:rsidRDefault="00E86C16">
            <w:pPr>
              <w:spacing w:before="52" w:line="184" w:lineRule="auto"/>
              <w:ind w:left="104"/>
              <w:rPr>
                <w:rFonts w:ascii="宋体" w:eastAsia="宋体" w:hAnsi="宋体" w:cs="宋体"/>
                <w:sz w:val="16"/>
                <w:szCs w:val="16"/>
              </w:rPr>
            </w:pPr>
            <w:r>
              <w:rPr>
                <w:rFonts w:ascii="宋体" w:eastAsia="宋体" w:hAnsi="宋体" w:cs="宋体"/>
                <w:spacing w:val="-2"/>
                <w:sz w:val="16"/>
                <w:szCs w:val="16"/>
              </w:rPr>
              <w:t>1200～1350</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39" w:type="dxa"/>
            <w:vMerge/>
            <w:tcBorders>
              <w:top w:val="nil"/>
              <w:bottom w:val="nil"/>
              <w:right w:val="nil"/>
            </w:tcBorders>
          </w:tcPr>
          <w:p w:rsidR="00EA40A3" w:rsidRDefault="00EA40A3"/>
        </w:tc>
      </w:tr>
      <w:tr w:rsidR="00EA40A3">
        <w:trPr>
          <w:trHeight w:val="310"/>
        </w:trPr>
        <w:tc>
          <w:tcPr>
            <w:tcW w:w="520" w:type="dxa"/>
            <w:vMerge/>
            <w:tcBorders>
              <w:top w:val="nil"/>
              <w:left w:val="nil"/>
              <w:bottom w:val="nil"/>
            </w:tcBorders>
            <w:textDirection w:val="tbRlV"/>
          </w:tcPr>
          <w:p w:rsidR="00EA40A3" w:rsidRDefault="00EA40A3"/>
        </w:tc>
        <w:tc>
          <w:tcPr>
            <w:tcW w:w="1410" w:type="dxa"/>
            <w:vMerge/>
            <w:tcBorders>
              <w:top w:val="nil"/>
            </w:tcBorders>
          </w:tcPr>
          <w:p w:rsidR="00EA40A3" w:rsidRDefault="00EA40A3"/>
        </w:tc>
        <w:tc>
          <w:tcPr>
            <w:tcW w:w="1570" w:type="dxa"/>
          </w:tcPr>
          <w:p w:rsidR="00EA40A3" w:rsidRDefault="00E86C16">
            <w:pPr>
              <w:spacing w:before="80" w:line="220" w:lineRule="auto"/>
              <w:ind w:left="85"/>
              <w:rPr>
                <w:rFonts w:ascii="宋体" w:eastAsia="宋体" w:hAnsi="宋体" w:cs="宋体"/>
                <w:sz w:val="16"/>
                <w:szCs w:val="16"/>
              </w:rPr>
            </w:pPr>
            <w:r>
              <w:rPr>
                <w:rFonts w:ascii="宋体" w:eastAsia="宋体" w:hAnsi="宋体" w:cs="宋体"/>
                <w:spacing w:val="-1"/>
                <w:sz w:val="16"/>
                <w:szCs w:val="16"/>
              </w:rPr>
              <w:t>食盐、夹心糖</w:t>
            </w:r>
          </w:p>
        </w:tc>
        <w:tc>
          <w:tcPr>
            <w:tcW w:w="1260" w:type="dxa"/>
          </w:tcPr>
          <w:p w:rsidR="00EA40A3" w:rsidRDefault="00E86C16">
            <w:pPr>
              <w:spacing w:before="100" w:line="183" w:lineRule="auto"/>
              <w:ind w:left="104"/>
              <w:rPr>
                <w:rFonts w:ascii="宋体" w:eastAsia="宋体" w:hAnsi="宋体" w:cs="宋体"/>
                <w:sz w:val="16"/>
                <w:szCs w:val="16"/>
              </w:rPr>
            </w:pPr>
            <w:r>
              <w:rPr>
                <w:rFonts w:ascii="宋体" w:eastAsia="宋体" w:hAnsi="宋体" w:cs="宋体"/>
                <w:spacing w:val="-1"/>
                <w:sz w:val="16"/>
                <w:szCs w:val="16"/>
              </w:rPr>
              <w:t>4000～8000</w:t>
            </w:r>
            <w:r>
              <w:rPr>
                <w:rFonts w:ascii="宋体" w:eastAsia="宋体" w:hAnsi="宋体" w:cs="宋体"/>
                <w:spacing w:val="5"/>
                <w:sz w:val="16"/>
                <w:szCs w:val="16"/>
              </w:rPr>
              <w:t xml:space="preserve"> </w:t>
            </w:r>
            <w:r>
              <w:rPr>
                <w:rFonts w:ascii="宋体" w:eastAsia="宋体" w:hAnsi="宋体" w:cs="宋体"/>
                <w:spacing w:val="-1"/>
                <w:sz w:val="16"/>
                <w:szCs w:val="16"/>
              </w:rPr>
              <w:t>mg</w:t>
            </w:r>
          </w:p>
        </w:tc>
        <w:tc>
          <w:tcPr>
            <w:tcW w:w="2439" w:type="dxa"/>
            <w:vMerge/>
            <w:tcBorders>
              <w:top w:val="nil"/>
              <w:right w:val="nil"/>
            </w:tcBorders>
          </w:tcPr>
          <w:p w:rsidR="00EA40A3" w:rsidRDefault="00EA40A3"/>
        </w:tc>
      </w:tr>
      <w:tr w:rsidR="00EA40A3">
        <w:trPr>
          <w:trHeight w:val="749"/>
        </w:trPr>
        <w:tc>
          <w:tcPr>
            <w:tcW w:w="520" w:type="dxa"/>
            <w:vMerge/>
            <w:tcBorders>
              <w:top w:val="nil"/>
              <w:left w:val="nil"/>
              <w:bottom w:val="nil"/>
            </w:tcBorders>
            <w:textDirection w:val="tbRlV"/>
          </w:tcPr>
          <w:p w:rsidR="00EA40A3" w:rsidRDefault="00EA40A3"/>
        </w:tc>
        <w:tc>
          <w:tcPr>
            <w:tcW w:w="1410" w:type="dxa"/>
          </w:tcPr>
          <w:p w:rsidR="00EA40A3" w:rsidRDefault="00EA40A3">
            <w:pPr>
              <w:spacing w:line="247"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1"/>
                <w:sz w:val="16"/>
                <w:szCs w:val="16"/>
              </w:rPr>
              <w:t>钙：柠檬酸钙</w:t>
            </w:r>
          </w:p>
        </w:tc>
        <w:tc>
          <w:tcPr>
            <w:tcW w:w="1570" w:type="dxa"/>
          </w:tcPr>
          <w:p w:rsidR="00EA40A3" w:rsidRDefault="00E86C16">
            <w:pPr>
              <w:spacing w:before="200" w:line="250" w:lineRule="exact"/>
              <w:ind w:left="85"/>
              <w:rPr>
                <w:rFonts w:ascii="宋体" w:eastAsia="宋体" w:hAnsi="宋体" w:cs="宋体"/>
                <w:sz w:val="16"/>
                <w:szCs w:val="16"/>
              </w:rPr>
            </w:pPr>
            <w:r>
              <w:rPr>
                <w:rFonts w:ascii="宋体" w:eastAsia="宋体" w:hAnsi="宋体" w:cs="宋体"/>
                <w:spacing w:val="2"/>
                <w:position w:val="6"/>
                <w:sz w:val="16"/>
                <w:szCs w:val="16"/>
              </w:rPr>
              <w:t>谷类及其制品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219" w:line="184" w:lineRule="auto"/>
              <w:ind w:left="344"/>
              <w:rPr>
                <w:rFonts w:ascii="宋体" w:eastAsia="宋体" w:hAnsi="宋体" w:cs="宋体"/>
                <w:sz w:val="16"/>
                <w:szCs w:val="16"/>
              </w:rPr>
            </w:pPr>
            <w:r>
              <w:rPr>
                <w:rFonts w:ascii="宋体" w:eastAsia="宋体" w:hAnsi="宋体" w:cs="宋体"/>
                <w:spacing w:val="-2"/>
                <w:sz w:val="16"/>
                <w:szCs w:val="16"/>
              </w:rPr>
              <w:t>8～16</w:t>
            </w:r>
            <w:r>
              <w:rPr>
                <w:rFonts w:ascii="宋体" w:eastAsia="宋体" w:hAnsi="宋体" w:cs="宋体"/>
                <w:spacing w:val="10"/>
                <w:sz w:val="16"/>
                <w:szCs w:val="16"/>
              </w:rPr>
              <w:t xml:space="preserve"> </w:t>
            </w:r>
            <w:r>
              <w:rPr>
                <w:rFonts w:ascii="宋体" w:eastAsia="宋体" w:hAnsi="宋体" w:cs="宋体"/>
                <w:spacing w:val="-2"/>
                <w:sz w:val="16"/>
                <w:szCs w:val="16"/>
              </w:rPr>
              <w:t>g</w:t>
            </w:r>
          </w:p>
          <w:p w:rsidR="00EA40A3" w:rsidRDefault="00E86C16">
            <w:pPr>
              <w:spacing w:before="100" w:line="184" w:lineRule="auto"/>
              <w:ind w:left="225"/>
              <w:rPr>
                <w:rFonts w:ascii="宋体" w:eastAsia="宋体" w:hAnsi="宋体" w:cs="宋体"/>
                <w:sz w:val="16"/>
                <w:szCs w:val="16"/>
              </w:rPr>
            </w:pPr>
            <w:r>
              <w:rPr>
                <w:rFonts w:ascii="宋体" w:eastAsia="宋体" w:hAnsi="宋体" w:cs="宋体"/>
                <w:spacing w:val="-3"/>
                <w:sz w:val="16"/>
                <w:szCs w:val="16"/>
              </w:rPr>
              <w:t>1.8～3.6</w:t>
            </w:r>
            <w:r>
              <w:rPr>
                <w:rFonts w:ascii="宋体" w:eastAsia="宋体" w:hAnsi="宋体" w:cs="宋体"/>
                <w:spacing w:val="36"/>
                <w:sz w:val="16"/>
                <w:szCs w:val="16"/>
              </w:rPr>
              <w:t xml:space="preserve"> </w:t>
            </w:r>
            <w:r>
              <w:rPr>
                <w:rFonts w:ascii="宋体" w:eastAsia="宋体" w:hAnsi="宋体" w:cs="宋体"/>
                <w:spacing w:val="-3"/>
                <w:sz w:val="16"/>
                <w:szCs w:val="16"/>
              </w:rPr>
              <w:t>g</w:t>
            </w:r>
          </w:p>
        </w:tc>
        <w:tc>
          <w:tcPr>
            <w:tcW w:w="2439" w:type="dxa"/>
            <w:vMerge w:val="restart"/>
            <w:tcBorders>
              <w:bottom w:val="nil"/>
              <w:right w:val="nil"/>
            </w:tcBorders>
          </w:tcPr>
          <w:p w:rsidR="00EA40A3" w:rsidRDefault="00E86C16">
            <w:pPr>
              <w:spacing w:before="200" w:line="219" w:lineRule="auto"/>
              <w:ind w:left="75"/>
              <w:rPr>
                <w:rFonts w:ascii="宋体" w:eastAsia="宋体" w:hAnsi="宋体" w:cs="宋体"/>
                <w:sz w:val="16"/>
                <w:szCs w:val="16"/>
              </w:rPr>
            </w:pPr>
            <w:r>
              <w:rPr>
                <w:rFonts w:ascii="宋体" w:eastAsia="宋体" w:hAnsi="宋体" w:cs="宋体"/>
                <w:spacing w:val="3"/>
                <w:sz w:val="16"/>
                <w:szCs w:val="16"/>
              </w:rPr>
              <w:t>1.</w:t>
            </w:r>
            <w:r>
              <w:rPr>
                <w:rFonts w:ascii="宋体" w:eastAsia="宋体" w:hAnsi="宋体" w:cs="宋体"/>
                <w:spacing w:val="-35"/>
                <w:sz w:val="16"/>
                <w:szCs w:val="16"/>
              </w:rPr>
              <w:t xml:space="preserve"> </w:t>
            </w:r>
            <w:r>
              <w:rPr>
                <w:rFonts w:ascii="宋体" w:eastAsia="宋体" w:hAnsi="宋体" w:cs="宋体"/>
                <w:spacing w:val="3"/>
                <w:sz w:val="16"/>
                <w:szCs w:val="16"/>
              </w:rPr>
              <w:t>以元素钙计强化量：</w:t>
            </w:r>
          </w:p>
          <w:p w:rsidR="00EA40A3" w:rsidRDefault="00E86C16">
            <w:pPr>
              <w:spacing w:before="54" w:line="251" w:lineRule="auto"/>
              <w:ind w:left="304" w:right="215"/>
              <w:rPr>
                <w:rFonts w:ascii="宋体" w:eastAsia="宋体" w:hAnsi="宋体" w:cs="宋体"/>
                <w:sz w:val="16"/>
                <w:szCs w:val="16"/>
              </w:rPr>
            </w:pPr>
            <w:r>
              <w:rPr>
                <w:rFonts w:ascii="宋体" w:eastAsia="宋体" w:hAnsi="宋体" w:cs="宋体"/>
                <w:spacing w:val="-1"/>
                <w:sz w:val="16"/>
                <w:szCs w:val="16"/>
              </w:rPr>
              <w:t>饮料及乳饮料0.6～0.8g/kg</w:t>
            </w:r>
            <w:r>
              <w:rPr>
                <w:rFonts w:ascii="宋体" w:eastAsia="宋体" w:hAnsi="宋体" w:cs="宋体"/>
                <w:spacing w:val="9"/>
                <w:sz w:val="16"/>
                <w:szCs w:val="16"/>
              </w:rPr>
              <w:t xml:space="preserve"> </w:t>
            </w:r>
            <w:r>
              <w:rPr>
                <w:rFonts w:ascii="宋体" w:eastAsia="宋体" w:hAnsi="宋体" w:cs="宋体"/>
                <w:spacing w:val="-1"/>
                <w:sz w:val="16"/>
                <w:szCs w:val="16"/>
              </w:rPr>
              <w:t>谷类及其制品1.6～3.2g/kg</w:t>
            </w:r>
          </w:p>
          <w:p w:rsidR="00EA40A3" w:rsidRDefault="00E86C16">
            <w:pPr>
              <w:spacing w:before="84" w:line="263" w:lineRule="auto"/>
              <w:ind w:left="75" w:right="358" w:firstLine="229"/>
              <w:rPr>
                <w:rFonts w:ascii="宋体" w:eastAsia="宋体" w:hAnsi="宋体" w:cs="宋体"/>
                <w:sz w:val="16"/>
                <w:szCs w:val="16"/>
              </w:rPr>
            </w:pPr>
            <w:r>
              <w:rPr>
                <w:rFonts w:ascii="宋体" w:eastAsia="宋体" w:hAnsi="宋体" w:cs="宋体"/>
                <w:spacing w:val="-1"/>
                <w:sz w:val="16"/>
                <w:szCs w:val="16"/>
              </w:rPr>
              <w:t>婴幼儿食品3.0～6.0g/kg</w:t>
            </w:r>
            <w:r>
              <w:rPr>
                <w:rFonts w:ascii="宋体" w:eastAsia="宋体" w:hAnsi="宋体" w:cs="宋体"/>
                <w:spacing w:val="6"/>
                <w:sz w:val="16"/>
                <w:szCs w:val="16"/>
              </w:rPr>
              <w:t xml:space="preserve"> 2.各种钙盐中钙元素含量：</w:t>
            </w:r>
          </w:p>
          <w:p w:rsidR="00EA40A3" w:rsidRDefault="00E86C16">
            <w:pPr>
              <w:spacing w:before="60" w:line="287" w:lineRule="auto"/>
              <w:ind w:left="295" w:right="23" w:firstLine="9"/>
              <w:rPr>
                <w:rFonts w:ascii="宋体" w:eastAsia="宋体" w:hAnsi="宋体" w:cs="宋体"/>
                <w:sz w:val="16"/>
                <w:szCs w:val="16"/>
              </w:rPr>
            </w:pPr>
            <w:r>
              <w:rPr>
                <w:rFonts w:ascii="宋体" w:eastAsia="宋体" w:hAnsi="宋体" w:cs="宋体"/>
                <w:spacing w:val="13"/>
                <w:sz w:val="16"/>
                <w:szCs w:val="16"/>
              </w:rPr>
              <w:t>葡萄糖酸钙9%、碳酸钙40%</w:t>
            </w:r>
            <w:r>
              <w:rPr>
                <w:rFonts w:ascii="宋体" w:eastAsia="宋体" w:hAnsi="宋体" w:cs="宋体"/>
                <w:sz w:val="16"/>
                <w:szCs w:val="16"/>
              </w:rPr>
              <w:t xml:space="preserve">  </w:t>
            </w:r>
            <w:r>
              <w:rPr>
                <w:rFonts w:ascii="宋体" w:eastAsia="宋体" w:hAnsi="宋体" w:cs="宋体"/>
                <w:spacing w:val="-11"/>
                <w:sz w:val="16"/>
                <w:szCs w:val="16"/>
              </w:rPr>
              <w:t>磷</w:t>
            </w:r>
            <w:r>
              <w:rPr>
                <w:rFonts w:ascii="宋体" w:eastAsia="宋体" w:hAnsi="宋体" w:cs="宋体"/>
                <w:spacing w:val="-28"/>
                <w:sz w:val="16"/>
                <w:szCs w:val="16"/>
              </w:rPr>
              <w:t xml:space="preserve"> </w:t>
            </w:r>
            <w:r>
              <w:rPr>
                <w:rFonts w:ascii="宋体" w:eastAsia="宋体" w:hAnsi="宋体" w:cs="宋体"/>
                <w:spacing w:val="-11"/>
                <w:sz w:val="16"/>
                <w:szCs w:val="16"/>
              </w:rPr>
              <w:t>酸</w:t>
            </w:r>
            <w:r>
              <w:rPr>
                <w:rFonts w:ascii="宋体" w:eastAsia="宋体" w:hAnsi="宋体" w:cs="宋体"/>
                <w:spacing w:val="-33"/>
                <w:sz w:val="16"/>
                <w:szCs w:val="16"/>
              </w:rPr>
              <w:t xml:space="preserve"> </w:t>
            </w:r>
            <w:r>
              <w:rPr>
                <w:rFonts w:ascii="宋体" w:eastAsia="宋体" w:hAnsi="宋体" w:cs="宋体"/>
                <w:spacing w:val="-11"/>
                <w:sz w:val="16"/>
                <w:szCs w:val="16"/>
              </w:rPr>
              <w:t>氢</w:t>
            </w:r>
            <w:r>
              <w:rPr>
                <w:rFonts w:ascii="宋体" w:eastAsia="宋体" w:hAnsi="宋体" w:cs="宋体"/>
                <w:spacing w:val="-35"/>
                <w:sz w:val="16"/>
                <w:szCs w:val="16"/>
              </w:rPr>
              <w:t xml:space="preserve"> </w:t>
            </w:r>
            <w:r>
              <w:rPr>
                <w:rFonts w:ascii="宋体" w:eastAsia="宋体" w:hAnsi="宋体" w:cs="宋体"/>
                <w:spacing w:val="-11"/>
                <w:sz w:val="16"/>
                <w:szCs w:val="16"/>
              </w:rPr>
              <w:t>钙</w:t>
            </w:r>
            <w:r>
              <w:rPr>
                <w:rFonts w:ascii="宋体" w:eastAsia="宋体" w:hAnsi="宋体" w:cs="宋体"/>
                <w:spacing w:val="-5"/>
                <w:sz w:val="16"/>
                <w:szCs w:val="16"/>
              </w:rPr>
              <w:t xml:space="preserve"> </w:t>
            </w:r>
            <w:r>
              <w:rPr>
                <w:rFonts w:ascii="宋体" w:eastAsia="宋体" w:hAnsi="宋体" w:cs="宋体"/>
                <w:spacing w:val="-11"/>
                <w:sz w:val="16"/>
                <w:szCs w:val="16"/>
              </w:rPr>
              <w:t>(</w:t>
            </w:r>
            <w:r>
              <w:rPr>
                <w:rFonts w:ascii="宋体" w:eastAsia="宋体" w:hAnsi="宋体" w:cs="宋体"/>
                <w:spacing w:val="-34"/>
                <w:sz w:val="16"/>
                <w:szCs w:val="16"/>
              </w:rPr>
              <w:t xml:space="preserve"> </w:t>
            </w:r>
            <w:r>
              <w:rPr>
                <w:rFonts w:ascii="宋体" w:eastAsia="宋体" w:hAnsi="宋体" w:cs="宋体"/>
                <w:spacing w:val="-11"/>
                <w:sz w:val="16"/>
                <w:szCs w:val="16"/>
              </w:rPr>
              <w:t>含</w:t>
            </w:r>
            <w:r>
              <w:rPr>
                <w:rFonts w:ascii="宋体" w:eastAsia="宋体" w:hAnsi="宋体" w:cs="宋体"/>
                <w:spacing w:val="-31"/>
                <w:sz w:val="16"/>
                <w:szCs w:val="16"/>
              </w:rPr>
              <w:t xml:space="preserve"> </w:t>
            </w:r>
            <w:r>
              <w:rPr>
                <w:rFonts w:ascii="宋体" w:eastAsia="宋体" w:hAnsi="宋体" w:cs="宋体"/>
                <w:spacing w:val="-11"/>
                <w:sz w:val="16"/>
                <w:szCs w:val="16"/>
              </w:rPr>
              <w:t>2</w:t>
            </w:r>
            <w:r>
              <w:rPr>
                <w:rFonts w:ascii="宋体" w:eastAsia="宋体" w:hAnsi="宋体" w:cs="宋体"/>
                <w:spacing w:val="-34"/>
                <w:sz w:val="16"/>
                <w:szCs w:val="16"/>
              </w:rPr>
              <w:t xml:space="preserve"> </w:t>
            </w:r>
            <w:r>
              <w:rPr>
                <w:rFonts w:ascii="宋体" w:eastAsia="宋体" w:hAnsi="宋体" w:cs="宋体"/>
                <w:spacing w:val="-11"/>
                <w:sz w:val="16"/>
                <w:szCs w:val="16"/>
              </w:rPr>
              <w:t>个</w:t>
            </w:r>
            <w:r>
              <w:rPr>
                <w:rFonts w:ascii="宋体" w:eastAsia="宋体" w:hAnsi="宋体" w:cs="宋体"/>
                <w:spacing w:val="-30"/>
                <w:sz w:val="16"/>
                <w:szCs w:val="16"/>
              </w:rPr>
              <w:t xml:space="preserve"> </w:t>
            </w:r>
            <w:r>
              <w:rPr>
                <w:rFonts w:ascii="宋体" w:eastAsia="宋体" w:hAnsi="宋体" w:cs="宋体"/>
                <w:spacing w:val="-11"/>
                <w:sz w:val="16"/>
                <w:szCs w:val="16"/>
              </w:rPr>
              <w:t>结</w:t>
            </w:r>
            <w:r>
              <w:rPr>
                <w:rFonts w:ascii="宋体" w:eastAsia="宋体" w:hAnsi="宋体" w:cs="宋体"/>
                <w:spacing w:val="-20"/>
                <w:sz w:val="16"/>
                <w:szCs w:val="16"/>
              </w:rPr>
              <w:t xml:space="preserve"> </w:t>
            </w:r>
            <w:r>
              <w:rPr>
                <w:rFonts w:ascii="宋体" w:eastAsia="宋体" w:hAnsi="宋体" w:cs="宋体"/>
                <w:spacing w:val="-11"/>
                <w:sz w:val="16"/>
                <w:szCs w:val="16"/>
              </w:rPr>
              <w:t>晶</w:t>
            </w:r>
            <w:r>
              <w:rPr>
                <w:rFonts w:ascii="宋体" w:eastAsia="宋体" w:hAnsi="宋体" w:cs="宋体"/>
                <w:spacing w:val="-31"/>
                <w:sz w:val="16"/>
                <w:szCs w:val="16"/>
              </w:rPr>
              <w:t xml:space="preserve"> </w:t>
            </w:r>
            <w:r>
              <w:rPr>
                <w:rFonts w:ascii="宋体" w:eastAsia="宋体" w:hAnsi="宋体" w:cs="宋体"/>
                <w:spacing w:val="-11"/>
                <w:sz w:val="16"/>
                <w:szCs w:val="16"/>
              </w:rPr>
              <w:t>水</w:t>
            </w:r>
            <w:r>
              <w:rPr>
                <w:rFonts w:ascii="宋体" w:eastAsia="宋体" w:hAnsi="宋体" w:cs="宋体"/>
                <w:spacing w:val="-33"/>
                <w:sz w:val="16"/>
                <w:szCs w:val="16"/>
              </w:rPr>
              <w:t xml:space="preserve"> </w:t>
            </w:r>
            <w:r>
              <w:rPr>
                <w:rFonts w:ascii="宋体" w:eastAsia="宋体" w:hAnsi="宋体" w:cs="宋体"/>
                <w:spacing w:val="-11"/>
                <w:sz w:val="16"/>
                <w:szCs w:val="16"/>
              </w:rPr>
              <w:t>)</w:t>
            </w:r>
            <w:r>
              <w:rPr>
                <w:rFonts w:ascii="宋体" w:eastAsia="宋体" w:hAnsi="宋体" w:cs="宋体"/>
                <w:sz w:val="16"/>
                <w:szCs w:val="16"/>
              </w:rPr>
              <w:t xml:space="preserve"> </w:t>
            </w:r>
            <w:r>
              <w:rPr>
                <w:rFonts w:ascii="宋体" w:eastAsia="宋体" w:hAnsi="宋体" w:cs="宋体"/>
                <w:spacing w:val="18"/>
                <w:sz w:val="16"/>
                <w:szCs w:val="16"/>
              </w:rPr>
              <w:t>23%、磷酸氢钙(含5个结晶</w:t>
            </w:r>
            <w:r>
              <w:rPr>
                <w:rFonts w:ascii="宋体" w:eastAsia="宋体" w:hAnsi="宋体" w:cs="宋体"/>
                <w:sz w:val="16"/>
                <w:szCs w:val="16"/>
              </w:rPr>
              <w:t xml:space="preserve"> </w:t>
            </w:r>
            <w:r>
              <w:rPr>
                <w:rFonts w:ascii="宋体" w:eastAsia="宋体" w:hAnsi="宋体" w:cs="宋体"/>
                <w:spacing w:val="17"/>
                <w:sz w:val="16"/>
                <w:szCs w:val="16"/>
              </w:rPr>
              <w:t>水)17</w:t>
            </w:r>
            <w:r>
              <w:rPr>
                <w:rFonts w:ascii="宋体" w:eastAsia="宋体" w:hAnsi="宋体" w:cs="宋体"/>
                <w:spacing w:val="-35"/>
                <w:sz w:val="16"/>
                <w:szCs w:val="16"/>
              </w:rPr>
              <w:t xml:space="preserve"> </w:t>
            </w:r>
            <w:r>
              <w:rPr>
                <w:rFonts w:ascii="宋体" w:eastAsia="宋体" w:hAnsi="宋体" w:cs="宋体"/>
                <w:spacing w:val="17"/>
                <w:sz w:val="16"/>
                <w:szCs w:val="16"/>
              </w:rPr>
              <w:t>.</w:t>
            </w:r>
            <w:r>
              <w:rPr>
                <w:rFonts w:ascii="宋体" w:eastAsia="宋体" w:hAnsi="宋体" w:cs="宋体"/>
                <w:spacing w:val="-46"/>
                <w:sz w:val="16"/>
                <w:szCs w:val="16"/>
              </w:rPr>
              <w:t xml:space="preserve"> </w:t>
            </w:r>
            <w:r>
              <w:rPr>
                <w:rFonts w:ascii="宋体" w:eastAsia="宋体" w:hAnsi="宋体" w:cs="宋体"/>
                <w:spacing w:val="17"/>
                <w:sz w:val="16"/>
                <w:szCs w:val="16"/>
              </w:rPr>
              <w:t>7%、柠檬酸钙(含4</w:t>
            </w:r>
            <w:r>
              <w:rPr>
                <w:rFonts w:ascii="宋体" w:eastAsia="宋体" w:hAnsi="宋体" w:cs="宋体"/>
                <w:sz w:val="16"/>
                <w:szCs w:val="16"/>
              </w:rPr>
              <w:t xml:space="preserve"> </w:t>
            </w:r>
            <w:r>
              <w:rPr>
                <w:rFonts w:ascii="宋体" w:eastAsia="宋体" w:hAnsi="宋体" w:cs="宋体"/>
                <w:spacing w:val="-10"/>
                <w:sz w:val="16"/>
                <w:szCs w:val="16"/>
              </w:rPr>
              <w:t>个</w:t>
            </w:r>
            <w:r>
              <w:rPr>
                <w:rFonts w:ascii="宋体" w:eastAsia="宋体" w:hAnsi="宋体" w:cs="宋体"/>
                <w:spacing w:val="-24"/>
                <w:sz w:val="16"/>
                <w:szCs w:val="16"/>
              </w:rPr>
              <w:t xml:space="preserve"> </w:t>
            </w:r>
            <w:r>
              <w:rPr>
                <w:rFonts w:ascii="宋体" w:eastAsia="宋体" w:hAnsi="宋体" w:cs="宋体"/>
                <w:spacing w:val="-10"/>
                <w:sz w:val="16"/>
                <w:szCs w:val="16"/>
              </w:rPr>
              <w:t>结</w:t>
            </w:r>
            <w:r>
              <w:rPr>
                <w:rFonts w:ascii="宋体" w:eastAsia="宋体" w:hAnsi="宋体" w:cs="宋体"/>
                <w:spacing w:val="-15"/>
                <w:sz w:val="16"/>
                <w:szCs w:val="16"/>
              </w:rPr>
              <w:t xml:space="preserve"> </w:t>
            </w:r>
            <w:r>
              <w:rPr>
                <w:rFonts w:ascii="宋体" w:eastAsia="宋体" w:hAnsi="宋体" w:cs="宋体"/>
                <w:spacing w:val="-10"/>
                <w:sz w:val="16"/>
                <w:szCs w:val="16"/>
              </w:rPr>
              <w:t>晶</w:t>
            </w:r>
            <w:r>
              <w:rPr>
                <w:rFonts w:ascii="宋体" w:eastAsia="宋体" w:hAnsi="宋体" w:cs="宋体"/>
                <w:spacing w:val="-26"/>
                <w:sz w:val="16"/>
                <w:szCs w:val="16"/>
              </w:rPr>
              <w:t xml:space="preserve"> </w:t>
            </w:r>
            <w:r>
              <w:rPr>
                <w:rFonts w:ascii="宋体" w:eastAsia="宋体" w:hAnsi="宋体" w:cs="宋体"/>
                <w:spacing w:val="-10"/>
                <w:sz w:val="16"/>
                <w:szCs w:val="16"/>
              </w:rPr>
              <w:t>水</w:t>
            </w:r>
            <w:r>
              <w:rPr>
                <w:rFonts w:ascii="宋体" w:eastAsia="宋体" w:hAnsi="宋体" w:cs="宋体"/>
                <w:spacing w:val="-29"/>
                <w:sz w:val="16"/>
                <w:szCs w:val="16"/>
              </w:rPr>
              <w:t xml:space="preserve"> </w:t>
            </w:r>
            <w:r>
              <w:rPr>
                <w:rFonts w:ascii="宋体" w:eastAsia="宋体" w:hAnsi="宋体" w:cs="宋体"/>
                <w:spacing w:val="-10"/>
                <w:sz w:val="16"/>
                <w:szCs w:val="16"/>
              </w:rPr>
              <w:t>)</w:t>
            </w:r>
            <w:r>
              <w:rPr>
                <w:rFonts w:ascii="宋体" w:eastAsia="宋体" w:hAnsi="宋体" w:cs="宋体"/>
                <w:spacing w:val="-27"/>
                <w:sz w:val="16"/>
                <w:szCs w:val="16"/>
              </w:rPr>
              <w:t xml:space="preserve"> </w:t>
            </w:r>
            <w:r>
              <w:rPr>
                <w:rFonts w:ascii="宋体" w:eastAsia="宋体" w:hAnsi="宋体" w:cs="宋体"/>
                <w:spacing w:val="-10"/>
                <w:sz w:val="16"/>
                <w:szCs w:val="16"/>
              </w:rPr>
              <w:t>2</w:t>
            </w:r>
            <w:r>
              <w:rPr>
                <w:rFonts w:ascii="宋体" w:eastAsia="宋体" w:hAnsi="宋体" w:cs="宋体"/>
                <w:spacing w:val="-17"/>
                <w:sz w:val="16"/>
                <w:szCs w:val="16"/>
              </w:rPr>
              <w:t xml:space="preserve"> </w:t>
            </w:r>
            <w:r>
              <w:rPr>
                <w:rFonts w:ascii="宋体" w:eastAsia="宋体" w:hAnsi="宋体" w:cs="宋体"/>
                <w:spacing w:val="-10"/>
                <w:sz w:val="16"/>
                <w:szCs w:val="16"/>
              </w:rPr>
              <w:t>1</w:t>
            </w:r>
            <w:r>
              <w:rPr>
                <w:rFonts w:ascii="宋体" w:eastAsia="宋体" w:hAnsi="宋体" w:cs="宋体"/>
                <w:spacing w:val="-33"/>
                <w:sz w:val="16"/>
                <w:szCs w:val="16"/>
              </w:rPr>
              <w:t xml:space="preserve"> </w:t>
            </w:r>
            <w:r>
              <w:rPr>
                <w:rFonts w:ascii="宋体" w:eastAsia="宋体" w:hAnsi="宋体" w:cs="宋体"/>
                <w:spacing w:val="-10"/>
                <w:sz w:val="16"/>
                <w:szCs w:val="16"/>
              </w:rPr>
              <w:t>%</w:t>
            </w:r>
            <w:r>
              <w:rPr>
                <w:rFonts w:ascii="宋体" w:eastAsia="宋体" w:hAnsi="宋体" w:cs="宋体"/>
                <w:spacing w:val="-17"/>
                <w:sz w:val="16"/>
                <w:szCs w:val="16"/>
              </w:rPr>
              <w:t xml:space="preserve"> </w:t>
            </w:r>
            <w:r>
              <w:rPr>
                <w:rFonts w:ascii="宋体" w:eastAsia="宋体" w:hAnsi="宋体" w:cs="宋体"/>
                <w:spacing w:val="-10"/>
                <w:sz w:val="16"/>
                <w:szCs w:val="16"/>
              </w:rPr>
              <w:t>、</w:t>
            </w:r>
            <w:r>
              <w:rPr>
                <w:rFonts w:ascii="宋体" w:eastAsia="宋体" w:hAnsi="宋体" w:cs="宋体"/>
                <w:spacing w:val="-28"/>
                <w:sz w:val="16"/>
                <w:szCs w:val="16"/>
              </w:rPr>
              <w:t xml:space="preserve"> </w:t>
            </w:r>
            <w:r>
              <w:rPr>
                <w:rFonts w:ascii="宋体" w:eastAsia="宋体" w:hAnsi="宋体" w:cs="宋体"/>
                <w:spacing w:val="-10"/>
                <w:sz w:val="16"/>
                <w:szCs w:val="16"/>
              </w:rPr>
              <w:t>乳</w:t>
            </w:r>
            <w:r>
              <w:rPr>
                <w:rFonts w:ascii="宋体" w:eastAsia="宋体" w:hAnsi="宋体" w:cs="宋体"/>
                <w:spacing w:val="-28"/>
                <w:sz w:val="16"/>
                <w:szCs w:val="16"/>
              </w:rPr>
              <w:t xml:space="preserve"> </w:t>
            </w:r>
            <w:r>
              <w:rPr>
                <w:rFonts w:ascii="宋体" w:eastAsia="宋体" w:hAnsi="宋体" w:cs="宋体"/>
                <w:spacing w:val="-10"/>
                <w:sz w:val="16"/>
                <w:szCs w:val="16"/>
              </w:rPr>
              <w:t>酸</w:t>
            </w:r>
            <w:r>
              <w:rPr>
                <w:rFonts w:ascii="宋体" w:eastAsia="宋体" w:hAnsi="宋体" w:cs="宋体"/>
                <w:spacing w:val="-29"/>
                <w:sz w:val="16"/>
                <w:szCs w:val="16"/>
              </w:rPr>
              <w:t xml:space="preserve"> </w:t>
            </w:r>
            <w:r>
              <w:rPr>
                <w:rFonts w:ascii="宋体" w:eastAsia="宋体" w:hAnsi="宋体" w:cs="宋体"/>
                <w:spacing w:val="-10"/>
                <w:sz w:val="16"/>
                <w:szCs w:val="16"/>
              </w:rPr>
              <w:t>钙</w:t>
            </w:r>
            <w:r>
              <w:rPr>
                <w:rFonts w:ascii="宋体" w:eastAsia="宋体" w:hAnsi="宋体" w:cs="宋体"/>
                <w:sz w:val="16"/>
                <w:szCs w:val="16"/>
              </w:rPr>
              <w:t xml:space="preserve"> </w:t>
            </w:r>
            <w:r>
              <w:rPr>
                <w:rFonts w:ascii="宋体" w:eastAsia="宋体" w:hAnsi="宋体" w:cs="宋体"/>
                <w:spacing w:val="14"/>
                <w:sz w:val="16"/>
                <w:szCs w:val="16"/>
              </w:rPr>
              <w:t>13%、乙酸钙22.2%</w:t>
            </w:r>
          </w:p>
          <w:p w:rsidR="00EA40A3" w:rsidRDefault="00E86C16">
            <w:pPr>
              <w:spacing w:before="66" w:line="281" w:lineRule="auto"/>
              <w:ind w:left="274" w:right="42" w:hanging="199"/>
              <w:rPr>
                <w:rFonts w:ascii="宋体" w:eastAsia="宋体" w:hAnsi="宋体" w:cs="宋体"/>
                <w:sz w:val="16"/>
                <w:szCs w:val="16"/>
              </w:rPr>
            </w:pPr>
            <w:r>
              <w:rPr>
                <w:rFonts w:ascii="宋体" w:eastAsia="宋体" w:hAnsi="宋体" w:cs="宋体"/>
                <w:spacing w:val="3"/>
                <w:sz w:val="16"/>
                <w:szCs w:val="16"/>
              </w:rPr>
              <w:t>3.钙源也可采用牦牛等符合卫生</w:t>
            </w:r>
            <w:r>
              <w:rPr>
                <w:rFonts w:ascii="宋体" w:eastAsia="宋体" w:hAnsi="宋体" w:cs="宋体"/>
                <w:spacing w:val="1"/>
                <w:sz w:val="16"/>
                <w:szCs w:val="16"/>
              </w:rPr>
              <w:t xml:space="preserve"> 标准的骨粉、蛋壳粉、活性离</w:t>
            </w:r>
            <w:r>
              <w:rPr>
                <w:rFonts w:ascii="宋体" w:eastAsia="宋体" w:hAnsi="宋体" w:cs="宋体"/>
                <w:sz w:val="16"/>
                <w:szCs w:val="16"/>
              </w:rPr>
              <w:t xml:space="preserve"> </w:t>
            </w:r>
            <w:r>
              <w:rPr>
                <w:rFonts w:ascii="宋体" w:eastAsia="宋体" w:hAnsi="宋体" w:cs="宋体"/>
                <w:spacing w:val="16"/>
                <w:sz w:val="16"/>
                <w:szCs w:val="16"/>
              </w:rPr>
              <w:t>子钙等；其他钙盐，如氯化</w:t>
            </w:r>
            <w:r>
              <w:rPr>
                <w:rFonts w:ascii="宋体" w:eastAsia="宋体" w:hAnsi="宋体" w:cs="宋体"/>
                <w:spacing w:val="3"/>
                <w:sz w:val="16"/>
                <w:szCs w:val="16"/>
              </w:rPr>
              <w:t xml:space="preserve"> </w:t>
            </w:r>
            <w:r>
              <w:rPr>
                <w:rFonts w:ascii="宋体" w:eastAsia="宋体" w:hAnsi="宋体" w:cs="宋体"/>
                <w:spacing w:val="1"/>
                <w:sz w:val="16"/>
                <w:szCs w:val="16"/>
              </w:rPr>
              <w:t>钙、甘油磷酸钙、氧化钙、硫</w:t>
            </w:r>
            <w:r>
              <w:rPr>
                <w:rFonts w:ascii="宋体" w:eastAsia="宋体" w:hAnsi="宋体" w:cs="宋体"/>
                <w:spacing w:val="10"/>
                <w:sz w:val="16"/>
                <w:szCs w:val="16"/>
              </w:rPr>
              <w:t xml:space="preserve"> </w:t>
            </w:r>
            <w:r>
              <w:rPr>
                <w:rFonts w:ascii="宋体" w:eastAsia="宋体" w:hAnsi="宋体" w:cs="宋体"/>
                <w:spacing w:val="1"/>
                <w:sz w:val="16"/>
                <w:szCs w:val="16"/>
              </w:rPr>
              <w:t>酸钙等均可用，强化时均以元</w:t>
            </w:r>
            <w:r>
              <w:rPr>
                <w:rFonts w:ascii="宋体" w:eastAsia="宋体" w:hAnsi="宋体" w:cs="宋体"/>
                <w:spacing w:val="9"/>
                <w:sz w:val="16"/>
                <w:szCs w:val="16"/>
              </w:rPr>
              <w:t xml:space="preserve"> </w:t>
            </w:r>
            <w:r>
              <w:rPr>
                <w:rFonts w:ascii="宋体" w:eastAsia="宋体" w:hAnsi="宋体" w:cs="宋体"/>
                <w:spacing w:val="-2"/>
                <w:sz w:val="16"/>
                <w:szCs w:val="16"/>
              </w:rPr>
              <w:t>素钙计</w:t>
            </w:r>
          </w:p>
        </w:tc>
      </w:tr>
      <w:tr w:rsidR="00EA40A3">
        <w:trPr>
          <w:trHeight w:val="779"/>
        </w:trPr>
        <w:tc>
          <w:tcPr>
            <w:tcW w:w="520" w:type="dxa"/>
            <w:vMerge/>
            <w:tcBorders>
              <w:top w:val="nil"/>
              <w:left w:val="nil"/>
              <w:bottom w:val="nil"/>
            </w:tcBorders>
            <w:textDirection w:val="tbRlV"/>
          </w:tcPr>
          <w:p w:rsidR="00EA40A3" w:rsidRDefault="00EA40A3"/>
        </w:tc>
        <w:tc>
          <w:tcPr>
            <w:tcW w:w="1410" w:type="dxa"/>
          </w:tcPr>
          <w:p w:rsidR="00EA40A3" w:rsidRDefault="00EA40A3">
            <w:pPr>
              <w:spacing w:line="258" w:lineRule="auto"/>
            </w:pPr>
          </w:p>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2"/>
                <w:sz w:val="16"/>
                <w:szCs w:val="16"/>
              </w:rPr>
              <w:t>葡萄糖酸钙</w:t>
            </w:r>
          </w:p>
        </w:tc>
        <w:tc>
          <w:tcPr>
            <w:tcW w:w="1570" w:type="dxa"/>
          </w:tcPr>
          <w:p w:rsidR="00EA40A3" w:rsidRDefault="00E86C16">
            <w:pPr>
              <w:spacing w:before="201" w:line="261" w:lineRule="exact"/>
              <w:ind w:left="85"/>
              <w:rPr>
                <w:rFonts w:ascii="宋体" w:eastAsia="宋体" w:hAnsi="宋体" w:cs="宋体"/>
                <w:sz w:val="16"/>
                <w:szCs w:val="16"/>
              </w:rPr>
            </w:pPr>
            <w:r>
              <w:rPr>
                <w:rFonts w:ascii="宋体" w:eastAsia="宋体" w:hAnsi="宋体" w:cs="宋体"/>
                <w:spacing w:val="2"/>
                <w:position w:val="7"/>
                <w:sz w:val="16"/>
                <w:szCs w:val="16"/>
              </w:rPr>
              <w:t>谷类及其制品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231" w:line="240" w:lineRule="exact"/>
              <w:ind w:left="304"/>
              <w:rPr>
                <w:rFonts w:ascii="宋体" w:eastAsia="宋体" w:hAnsi="宋体" w:cs="宋体"/>
                <w:sz w:val="16"/>
                <w:szCs w:val="16"/>
              </w:rPr>
            </w:pPr>
            <w:r>
              <w:rPr>
                <w:rFonts w:ascii="宋体" w:eastAsia="宋体" w:hAnsi="宋体" w:cs="宋体"/>
                <w:spacing w:val="-4"/>
                <w:position w:val="8"/>
                <w:sz w:val="16"/>
                <w:szCs w:val="16"/>
              </w:rPr>
              <w:t>18～36</w:t>
            </w:r>
            <w:r>
              <w:rPr>
                <w:rFonts w:ascii="宋体" w:eastAsia="宋体" w:hAnsi="宋体" w:cs="宋体"/>
                <w:spacing w:val="34"/>
                <w:w w:val="101"/>
                <w:position w:val="8"/>
                <w:sz w:val="16"/>
                <w:szCs w:val="16"/>
              </w:rPr>
              <w:t xml:space="preserve"> </w:t>
            </w:r>
            <w:r>
              <w:rPr>
                <w:rFonts w:ascii="宋体" w:eastAsia="宋体" w:hAnsi="宋体" w:cs="宋体"/>
                <w:spacing w:val="-4"/>
                <w:position w:val="8"/>
                <w:sz w:val="16"/>
                <w:szCs w:val="16"/>
              </w:rPr>
              <w:t>p</w:t>
            </w:r>
          </w:p>
          <w:p w:rsidR="00EA40A3" w:rsidRDefault="00E86C16">
            <w:pPr>
              <w:spacing w:line="182" w:lineRule="auto"/>
              <w:ind w:left="265"/>
              <w:rPr>
                <w:rFonts w:ascii="宋体" w:eastAsia="宋体" w:hAnsi="宋体" w:cs="宋体"/>
                <w:sz w:val="16"/>
                <w:szCs w:val="16"/>
              </w:rPr>
            </w:pPr>
            <w:r>
              <w:rPr>
                <w:rFonts w:ascii="宋体" w:eastAsia="宋体" w:hAnsi="宋体" w:cs="宋体"/>
                <w:spacing w:val="-1"/>
                <w:sz w:val="16"/>
                <w:szCs w:val="16"/>
              </w:rPr>
              <w:t>4.5～9.0g</w:t>
            </w:r>
          </w:p>
        </w:tc>
        <w:tc>
          <w:tcPr>
            <w:tcW w:w="2439" w:type="dxa"/>
            <w:vMerge/>
            <w:tcBorders>
              <w:top w:val="nil"/>
              <w:bottom w:val="nil"/>
              <w:right w:val="nil"/>
            </w:tcBorders>
          </w:tcPr>
          <w:p w:rsidR="00EA40A3" w:rsidRDefault="00EA40A3"/>
        </w:tc>
      </w:tr>
      <w:tr w:rsidR="00EA40A3">
        <w:trPr>
          <w:trHeight w:val="1039"/>
        </w:trPr>
        <w:tc>
          <w:tcPr>
            <w:tcW w:w="520" w:type="dxa"/>
            <w:vMerge/>
            <w:tcBorders>
              <w:top w:val="nil"/>
              <w:left w:val="nil"/>
              <w:bottom w:val="nil"/>
            </w:tcBorders>
            <w:textDirection w:val="tbRlV"/>
          </w:tcPr>
          <w:p w:rsidR="00EA40A3" w:rsidRDefault="00EA40A3"/>
        </w:tc>
        <w:tc>
          <w:tcPr>
            <w:tcW w:w="1410" w:type="dxa"/>
          </w:tcPr>
          <w:p w:rsidR="00EA40A3" w:rsidRDefault="00EA40A3">
            <w:pPr>
              <w:spacing w:line="278" w:lineRule="auto"/>
            </w:pPr>
          </w:p>
          <w:p w:rsidR="00EA40A3" w:rsidRDefault="00E86C16">
            <w:pPr>
              <w:spacing w:before="52" w:line="261" w:lineRule="auto"/>
              <w:ind w:left="75" w:right="211"/>
              <w:rPr>
                <w:rFonts w:ascii="宋体" w:eastAsia="宋体" w:hAnsi="宋体" w:cs="宋体"/>
                <w:sz w:val="16"/>
                <w:szCs w:val="16"/>
              </w:rPr>
            </w:pPr>
            <w:r>
              <w:rPr>
                <w:rFonts w:ascii="宋体" w:eastAsia="宋体" w:hAnsi="宋体" w:cs="宋体"/>
                <w:spacing w:val="-1"/>
                <w:sz w:val="16"/>
                <w:szCs w:val="16"/>
              </w:rPr>
              <w:t>碳酸钙或生物碳</w:t>
            </w:r>
            <w:r>
              <w:rPr>
                <w:rFonts w:ascii="宋体" w:eastAsia="宋体" w:hAnsi="宋体" w:cs="宋体"/>
                <w:sz w:val="16"/>
                <w:szCs w:val="16"/>
              </w:rPr>
              <w:t xml:space="preserve"> </w:t>
            </w:r>
            <w:r>
              <w:rPr>
                <w:rFonts w:ascii="宋体" w:eastAsia="宋体" w:hAnsi="宋体" w:cs="宋体"/>
                <w:spacing w:val="-2"/>
                <w:sz w:val="16"/>
                <w:szCs w:val="16"/>
              </w:rPr>
              <w:t>酸钙</w:t>
            </w:r>
          </w:p>
        </w:tc>
        <w:tc>
          <w:tcPr>
            <w:tcW w:w="1570" w:type="dxa"/>
          </w:tcPr>
          <w:p w:rsidR="00EA40A3" w:rsidRDefault="00E86C16">
            <w:pPr>
              <w:spacing w:before="212" w:line="261" w:lineRule="exact"/>
              <w:ind w:left="85"/>
              <w:rPr>
                <w:rFonts w:ascii="宋体" w:eastAsia="宋体" w:hAnsi="宋体" w:cs="宋体"/>
                <w:sz w:val="16"/>
                <w:szCs w:val="16"/>
              </w:rPr>
            </w:pPr>
            <w:r>
              <w:rPr>
                <w:rFonts w:ascii="宋体" w:eastAsia="宋体" w:hAnsi="宋体" w:cs="宋体"/>
                <w:spacing w:val="2"/>
                <w:position w:val="7"/>
                <w:sz w:val="16"/>
                <w:szCs w:val="16"/>
              </w:rPr>
              <w:t>谷类及其制品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1"/>
                <w:sz w:val="16"/>
                <w:szCs w:val="16"/>
              </w:rPr>
              <w:t>饮液及乳饮料</w:t>
            </w:r>
          </w:p>
          <w:p w:rsidR="00EA40A3" w:rsidRDefault="00E86C16">
            <w:pPr>
              <w:spacing w:before="68" w:line="219" w:lineRule="auto"/>
              <w:ind w:left="8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22" w:line="183" w:lineRule="auto"/>
              <w:ind w:left="385"/>
              <w:rPr>
                <w:rFonts w:ascii="宋体" w:eastAsia="宋体" w:hAnsi="宋体" w:cs="宋体"/>
                <w:sz w:val="16"/>
                <w:szCs w:val="16"/>
              </w:rPr>
            </w:pPr>
            <w:r>
              <w:rPr>
                <w:rFonts w:ascii="宋体" w:eastAsia="宋体" w:hAnsi="宋体" w:cs="宋体"/>
                <w:spacing w:val="-2"/>
                <w:sz w:val="16"/>
                <w:szCs w:val="16"/>
              </w:rPr>
              <w:t>4～8</w:t>
            </w:r>
            <w:r>
              <w:rPr>
                <w:rFonts w:ascii="宋体" w:eastAsia="宋体" w:hAnsi="宋体" w:cs="宋体"/>
                <w:spacing w:val="10"/>
                <w:sz w:val="16"/>
                <w:szCs w:val="16"/>
              </w:rPr>
              <w:t xml:space="preserve"> </w:t>
            </w:r>
            <w:r>
              <w:rPr>
                <w:rFonts w:ascii="宋体" w:eastAsia="宋体" w:hAnsi="宋体" w:cs="宋体"/>
                <w:spacing w:val="-2"/>
                <w:sz w:val="16"/>
                <w:szCs w:val="16"/>
              </w:rPr>
              <w:t>g</w:t>
            </w:r>
          </w:p>
          <w:p w:rsidR="00EA40A3" w:rsidRDefault="00E86C16">
            <w:pPr>
              <w:spacing w:before="100" w:line="184" w:lineRule="auto"/>
              <w:ind w:left="385"/>
              <w:rPr>
                <w:rFonts w:ascii="宋体" w:eastAsia="宋体" w:hAnsi="宋体" w:cs="宋体"/>
                <w:sz w:val="16"/>
                <w:szCs w:val="16"/>
              </w:rPr>
            </w:pPr>
            <w:r>
              <w:rPr>
                <w:rFonts w:ascii="宋体" w:eastAsia="宋体" w:hAnsi="宋体" w:cs="宋体"/>
                <w:spacing w:val="-5"/>
                <w:sz w:val="16"/>
                <w:szCs w:val="16"/>
              </w:rPr>
              <w:t>1～2</w:t>
            </w:r>
            <w:r>
              <w:rPr>
                <w:rFonts w:ascii="宋体" w:eastAsia="宋体" w:hAnsi="宋体" w:cs="宋体"/>
                <w:spacing w:val="32"/>
                <w:sz w:val="16"/>
                <w:szCs w:val="16"/>
              </w:rPr>
              <w:t xml:space="preserve"> </w:t>
            </w:r>
            <w:r>
              <w:rPr>
                <w:rFonts w:ascii="宋体" w:eastAsia="宋体" w:hAnsi="宋体" w:cs="宋体"/>
                <w:spacing w:val="-5"/>
                <w:sz w:val="16"/>
                <w:szCs w:val="16"/>
              </w:rPr>
              <w:t>g</w:t>
            </w:r>
          </w:p>
          <w:p w:rsidR="00EA40A3" w:rsidRDefault="00E86C16">
            <w:pPr>
              <w:spacing w:before="80" w:line="184" w:lineRule="auto"/>
              <w:ind w:left="304"/>
              <w:rPr>
                <w:rFonts w:ascii="宋体" w:eastAsia="宋体" w:hAnsi="宋体" w:cs="宋体"/>
                <w:sz w:val="16"/>
                <w:szCs w:val="16"/>
              </w:rPr>
            </w:pPr>
            <w:r>
              <w:rPr>
                <w:rFonts w:ascii="宋体" w:eastAsia="宋体" w:hAnsi="宋体" w:cs="宋体"/>
                <w:spacing w:val="-2"/>
                <w:sz w:val="16"/>
                <w:szCs w:val="16"/>
              </w:rPr>
              <w:t>7.5～15g</w:t>
            </w:r>
          </w:p>
        </w:tc>
        <w:tc>
          <w:tcPr>
            <w:tcW w:w="2439" w:type="dxa"/>
            <w:vMerge/>
            <w:tcBorders>
              <w:top w:val="nil"/>
              <w:bottom w:val="nil"/>
              <w:right w:val="nil"/>
            </w:tcBorders>
          </w:tcPr>
          <w:p w:rsidR="00EA40A3" w:rsidRDefault="00EA40A3"/>
        </w:tc>
      </w:tr>
      <w:tr w:rsidR="00EA40A3">
        <w:trPr>
          <w:trHeight w:val="1039"/>
        </w:trPr>
        <w:tc>
          <w:tcPr>
            <w:tcW w:w="520" w:type="dxa"/>
            <w:vMerge/>
            <w:tcBorders>
              <w:top w:val="nil"/>
              <w:left w:val="nil"/>
              <w:bottom w:val="nil"/>
            </w:tcBorders>
            <w:textDirection w:val="tbRlV"/>
          </w:tcPr>
          <w:p w:rsidR="00EA40A3" w:rsidRDefault="00EA40A3"/>
        </w:tc>
        <w:tc>
          <w:tcPr>
            <w:tcW w:w="1410" w:type="dxa"/>
          </w:tcPr>
          <w:p w:rsidR="00EA40A3" w:rsidRDefault="00EA40A3">
            <w:pPr>
              <w:spacing w:line="389" w:lineRule="auto"/>
            </w:pPr>
          </w:p>
          <w:p w:rsidR="00EA40A3" w:rsidRDefault="00E86C16">
            <w:pPr>
              <w:spacing w:before="52" w:line="221" w:lineRule="auto"/>
              <w:ind w:left="75"/>
              <w:rPr>
                <w:rFonts w:ascii="宋体" w:eastAsia="宋体" w:hAnsi="宋体" w:cs="宋体"/>
                <w:sz w:val="16"/>
                <w:szCs w:val="16"/>
              </w:rPr>
            </w:pPr>
            <w:r>
              <w:rPr>
                <w:rFonts w:ascii="宋体" w:eastAsia="宋体" w:hAnsi="宋体" w:cs="宋体"/>
                <w:spacing w:val="-2"/>
                <w:sz w:val="16"/>
                <w:szCs w:val="16"/>
              </w:rPr>
              <w:t>乳酸钙</w:t>
            </w:r>
          </w:p>
        </w:tc>
        <w:tc>
          <w:tcPr>
            <w:tcW w:w="1570" w:type="dxa"/>
          </w:tcPr>
          <w:p w:rsidR="00EA40A3" w:rsidRDefault="00E86C16">
            <w:pPr>
              <w:spacing w:before="213" w:line="260" w:lineRule="exact"/>
              <w:ind w:left="85"/>
              <w:rPr>
                <w:rFonts w:ascii="宋体" w:eastAsia="宋体" w:hAnsi="宋体" w:cs="宋体"/>
                <w:sz w:val="16"/>
                <w:szCs w:val="16"/>
              </w:rPr>
            </w:pPr>
            <w:r>
              <w:rPr>
                <w:rFonts w:ascii="宋体" w:eastAsia="宋体" w:hAnsi="宋体" w:cs="宋体"/>
                <w:spacing w:val="2"/>
                <w:position w:val="7"/>
                <w:sz w:val="16"/>
                <w:szCs w:val="16"/>
              </w:rPr>
              <w:t>谷类及其制品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1"/>
                <w:sz w:val="16"/>
                <w:szCs w:val="16"/>
              </w:rPr>
              <w:t>饮液及乳饮料</w:t>
            </w:r>
          </w:p>
          <w:p w:rsidR="00EA40A3" w:rsidRDefault="00E86C16">
            <w:pPr>
              <w:spacing w:before="68" w:line="219" w:lineRule="auto"/>
              <w:ind w:left="8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32" w:line="184" w:lineRule="auto"/>
              <w:ind w:left="304"/>
              <w:rPr>
                <w:rFonts w:ascii="宋体" w:eastAsia="宋体" w:hAnsi="宋体" w:cs="宋体"/>
                <w:sz w:val="16"/>
                <w:szCs w:val="16"/>
              </w:rPr>
            </w:pPr>
            <w:r>
              <w:rPr>
                <w:rFonts w:ascii="宋体" w:eastAsia="宋体" w:hAnsi="宋体" w:cs="宋体"/>
                <w:spacing w:val="-4"/>
                <w:sz w:val="16"/>
                <w:szCs w:val="16"/>
              </w:rPr>
              <w:t>12～24</w:t>
            </w:r>
            <w:r>
              <w:rPr>
                <w:rFonts w:ascii="宋体" w:eastAsia="宋体" w:hAnsi="宋体" w:cs="宋体"/>
                <w:spacing w:val="36"/>
                <w:w w:val="101"/>
                <w:sz w:val="16"/>
                <w:szCs w:val="16"/>
              </w:rPr>
              <w:t xml:space="preserve"> </w:t>
            </w:r>
            <w:r>
              <w:rPr>
                <w:rFonts w:ascii="宋体" w:eastAsia="宋体" w:hAnsi="宋体" w:cs="宋体"/>
                <w:spacing w:val="-4"/>
                <w:sz w:val="16"/>
                <w:szCs w:val="16"/>
              </w:rPr>
              <w:t>g</w:t>
            </w:r>
          </w:p>
          <w:p w:rsidR="00EA40A3" w:rsidRDefault="00E86C16">
            <w:pPr>
              <w:spacing w:before="81" w:line="183" w:lineRule="auto"/>
              <w:ind w:left="385"/>
              <w:rPr>
                <w:rFonts w:ascii="宋体" w:eastAsia="宋体" w:hAnsi="宋体" w:cs="宋体"/>
                <w:sz w:val="16"/>
                <w:szCs w:val="16"/>
              </w:rPr>
            </w:pPr>
            <w:r>
              <w:rPr>
                <w:rFonts w:ascii="宋体" w:eastAsia="宋体" w:hAnsi="宋体" w:cs="宋体"/>
                <w:spacing w:val="-3"/>
                <w:sz w:val="16"/>
                <w:szCs w:val="16"/>
              </w:rPr>
              <w:t>3～6</w:t>
            </w:r>
            <w:r>
              <w:rPr>
                <w:rFonts w:ascii="宋体" w:eastAsia="宋体" w:hAnsi="宋体" w:cs="宋体"/>
                <w:spacing w:val="10"/>
                <w:sz w:val="16"/>
                <w:szCs w:val="16"/>
              </w:rPr>
              <w:t xml:space="preserve"> </w:t>
            </w:r>
            <w:r>
              <w:rPr>
                <w:rFonts w:ascii="宋体" w:eastAsia="宋体" w:hAnsi="宋体" w:cs="宋体"/>
                <w:spacing w:val="-3"/>
                <w:sz w:val="16"/>
                <w:szCs w:val="16"/>
              </w:rPr>
              <w:t>g</w:t>
            </w:r>
          </w:p>
          <w:p w:rsidR="00EA40A3" w:rsidRDefault="00E86C16">
            <w:pPr>
              <w:spacing w:before="81" w:line="183" w:lineRule="auto"/>
              <w:ind w:left="304"/>
              <w:rPr>
                <w:rFonts w:ascii="宋体" w:eastAsia="宋体" w:hAnsi="宋体" w:cs="宋体"/>
                <w:sz w:val="16"/>
                <w:szCs w:val="16"/>
              </w:rPr>
            </w:pPr>
            <w:r>
              <w:rPr>
                <w:rFonts w:ascii="宋体" w:eastAsia="宋体" w:hAnsi="宋体" w:cs="宋体"/>
                <w:spacing w:val="-2"/>
                <w:sz w:val="16"/>
                <w:szCs w:val="16"/>
              </w:rPr>
              <w:t>23～46</w:t>
            </w:r>
            <w:r>
              <w:rPr>
                <w:rFonts w:ascii="宋体" w:eastAsia="宋体" w:hAnsi="宋体" w:cs="宋体"/>
                <w:spacing w:val="11"/>
                <w:sz w:val="16"/>
                <w:szCs w:val="16"/>
              </w:rPr>
              <w:t xml:space="preserve"> </w:t>
            </w:r>
            <w:r>
              <w:rPr>
                <w:rFonts w:ascii="宋体" w:eastAsia="宋体" w:hAnsi="宋体" w:cs="宋体"/>
                <w:spacing w:val="-2"/>
                <w:sz w:val="16"/>
                <w:szCs w:val="16"/>
              </w:rPr>
              <w:t>g</w:t>
            </w:r>
          </w:p>
        </w:tc>
        <w:tc>
          <w:tcPr>
            <w:tcW w:w="2439" w:type="dxa"/>
            <w:vMerge/>
            <w:tcBorders>
              <w:top w:val="nil"/>
              <w:bottom w:val="nil"/>
              <w:right w:val="nil"/>
            </w:tcBorders>
          </w:tcPr>
          <w:p w:rsidR="00EA40A3" w:rsidRDefault="00EA40A3"/>
        </w:tc>
      </w:tr>
      <w:tr w:rsidR="00EA40A3">
        <w:trPr>
          <w:trHeight w:val="999"/>
        </w:trPr>
        <w:tc>
          <w:tcPr>
            <w:tcW w:w="520" w:type="dxa"/>
            <w:vMerge/>
            <w:tcBorders>
              <w:top w:val="nil"/>
              <w:left w:val="nil"/>
              <w:bottom w:val="nil"/>
            </w:tcBorders>
            <w:textDirection w:val="tbRlV"/>
          </w:tcPr>
          <w:p w:rsidR="00EA40A3" w:rsidRDefault="00EA40A3"/>
        </w:tc>
        <w:tc>
          <w:tcPr>
            <w:tcW w:w="1410" w:type="dxa"/>
          </w:tcPr>
          <w:p w:rsidR="00EA40A3" w:rsidRDefault="00EA40A3">
            <w:pPr>
              <w:spacing w:line="370" w:lineRule="auto"/>
            </w:pPr>
          </w:p>
          <w:p w:rsidR="00EA40A3" w:rsidRDefault="00E86C16">
            <w:pPr>
              <w:spacing w:before="52" w:line="219" w:lineRule="auto"/>
              <w:ind w:left="75"/>
              <w:rPr>
                <w:rFonts w:ascii="宋体" w:eastAsia="宋体" w:hAnsi="宋体" w:cs="宋体"/>
                <w:sz w:val="16"/>
                <w:szCs w:val="16"/>
              </w:rPr>
            </w:pPr>
            <w:r>
              <w:rPr>
                <w:rFonts w:ascii="宋体" w:eastAsia="宋体" w:hAnsi="宋体" w:cs="宋体"/>
                <w:spacing w:val="-2"/>
                <w:sz w:val="16"/>
                <w:szCs w:val="16"/>
              </w:rPr>
              <w:t>磷酸氢钙</w:t>
            </w:r>
          </w:p>
        </w:tc>
        <w:tc>
          <w:tcPr>
            <w:tcW w:w="1570" w:type="dxa"/>
          </w:tcPr>
          <w:p w:rsidR="00EA40A3" w:rsidRDefault="00E86C16">
            <w:pPr>
              <w:spacing w:before="204" w:line="231" w:lineRule="exact"/>
              <w:ind w:left="85"/>
              <w:rPr>
                <w:rFonts w:ascii="宋体" w:eastAsia="宋体" w:hAnsi="宋体" w:cs="宋体"/>
                <w:sz w:val="16"/>
                <w:szCs w:val="16"/>
              </w:rPr>
            </w:pPr>
            <w:r>
              <w:rPr>
                <w:rFonts w:ascii="宋体" w:eastAsia="宋体" w:hAnsi="宋体" w:cs="宋体"/>
                <w:spacing w:val="2"/>
                <w:position w:val="5"/>
                <w:sz w:val="16"/>
                <w:szCs w:val="16"/>
              </w:rPr>
              <w:t>谷类及其制品</w:t>
            </w:r>
          </w:p>
          <w:p w:rsidR="00EA40A3" w:rsidRDefault="00E86C16">
            <w:pPr>
              <w:spacing w:line="220" w:lineRule="auto"/>
              <w:ind w:left="85"/>
              <w:rPr>
                <w:rFonts w:ascii="宋体" w:eastAsia="宋体" w:hAnsi="宋体" w:cs="宋体"/>
                <w:sz w:val="16"/>
                <w:szCs w:val="16"/>
              </w:rPr>
            </w:pPr>
            <w:r>
              <w:rPr>
                <w:rFonts w:ascii="宋体" w:eastAsia="宋体" w:hAnsi="宋体" w:cs="宋体"/>
                <w:spacing w:val="-1"/>
                <w:sz w:val="16"/>
                <w:szCs w:val="16"/>
              </w:rPr>
              <w:t>饮液及乳饮料</w:t>
            </w:r>
          </w:p>
          <w:p w:rsidR="00EA40A3" w:rsidRDefault="00E86C16">
            <w:pPr>
              <w:spacing w:before="68" w:line="219" w:lineRule="auto"/>
              <w:ind w:left="8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04" w:line="240" w:lineRule="exact"/>
              <w:ind w:left="304"/>
              <w:rPr>
                <w:rFonts w:ascii="宋体" w:eastAsia="宋体" w:hAnsi="宋体" w:cs="宋体"/>
                <w:sz w:val="16"/>
                <w:szCs w:val="16"/>
              </w:rPr>
            </w:pPr>
            <w:r>
              <w:rPr>
                <w:rFonts w:ascii="宋体" w:eastAsia="宋体" w:hAnsi="宋体" w:cs="宋体"/>
                <w:spacing w:val="-4"/>
                <w:position w:val="8"/>
                <w:sz w:val="16"/>
                <w:szCs w:val="16"/>
              </w:rPr>
              <w:t>10～20</w:t>
            </w:r>
            <w:r>
              <w:rPr>
                <w:rFonts w:ascii="宋体" w:eastAsia="宋体" w:hAnsi="宋体" w:cs="宋体"/>
                <w:spacing w:val="36"/>
                <w:w w:val="101"/>
                <w:position w:val="8"/>
                <w:sz w:val="16"/>
                <w:szCs w:val="16"/>
              </w:rPr>
              <w:t xml:space="preserve"> </w:t>
            </w:r>
            <w:r>
              <w:rPr>
                <w:rFonts w:ascii="宋体" w:eastAsia="宋体" w:hAnsi="宋体" w:cs="宋体"/>
                <w:spacing w:val="-4"/>
                <w:position w:val="8"/>
                <w:sz w:val="16"/>
                <w:szCs w:val="16"/>
              </w:rPr>
              <w:t>g</w:t>
            </w:r>
          </w:p>
          <w:p w:rsidR="00EA40A3" w:rsidRDefault="00E86C16">
            <w:pPr>
              <w:spacing w:line="182" w:lineRule="auto"/>
              <w:ind w:left="304"/>
              <w:rPr>
                <w:rFonts w:ascii="宋体" w:eastAsia="宋体" w:hAnsi="宋体" w:cs="宋体"/>
                <w:sz w:val="16"/>
                <w:szCs w:val="16"/>
              </w:rPr>
            </w:pPr>
            <w:r>
              <w:rPr>
                <w:rFonts w:ascii="宋体" w:eastAsia="宋体" w:hAnsi="宋体" w:cs="宋体"/>
                <w:spacing w:val="-2"/>
                <w:sz w:val="16"/>
                <w:szCs w:val="16"/>
              </w:rPr>
              <w:t>2.5～5</w:t>
            </w:r>
            <w:r>
              <w:rPr>
                <w:rFonts w:ascii="宋体" w:eastAsia="宋体" w:hAnsi="宋体" w:cs="宋体"/>
                <w:spacing w:val="11"/>
                <w:sz w:val="16"/>
                <w:szCs w:val="16"/>
              </w:rPr>
              <w:t xml:space="preserve"> </w:t>
            </w:r>
            <w:r>
              <w:rPr>
                <w:rFonts w:ascii="宋体" w:eastAsia="宋体" w:hAnsi="宋体" w:cs="宋体"/>
                <w:spacing w:val="-2"/>
                <w:sz w:val="16"/>
                <w:szCs w:val="16"/>
              </w:rPr>
              <w:t>g</w:t>
            </w:r>
          </w:p>
          <w:p w:rsidR="00EA40A3" w:rsidRDefault="00E86C16">
            <w:pPr>
              <w:spacing w:before="130" w:line="184" w:lineRule="auto"/>
              <w:ind w:left="304"/>
              <w:rPr>
                <w:rFonts w:ascii="宋体" w:eastAsia="宋体" w:hAnsi="宋体" w:cs="宋体"/>
                <w:sz w:val="16"/>
                <w:szCs w:val="16"/>
              </w:rPr>
            </w:pPr>
            <w:r>
              <w:rPr>
                <w:rFonts w:ascii="宋体" w:eastAsia="宋体" w:hAnsi="宋体" w:cs="宋体"/>
                <w:spacing w:val="-4"/>
                <w:sz w:val="16"/>
                <w:szCs w:val="16"/>
              </w:rPr>
              <w:t>19～38</w:t>
            </w:r>
            <w:r>
              <w:rPr>
                <w:rFonts w:ascii="宋体" w:eastAsia="宋体" w:hAnsi="宋体" w:cs="宋体"/>
                <w:spacing w:val="36"/>
                <w:w w:val="101"/>
                <w:sz w:val="16"/>
                <w:szCs w:val="16"/>
              </w:rPr>
              <w:t xml:space="preserve"> </w:t>
            </w:r>
            <w:r>
              <w:rPr>
                <w:rFonts w:ascii="宋体" w:eastAsia="宋体" w:hAnsi="宋体" w:cs="宋体"/>
                <w:spacing w:val="-4"/>
                <w:sz w:val="16"/>
                <w:szCs w:val="16"/>
              </w:rPr>
              <w:t>g</w:t>
            </w:r>
          </w:p>
        </w:tc>
        <w:tc>
          <w:tcPr>
            <w:tcW w:w="2439" w:type="dxa"/>
            <w:vMerge/>
            <w:tcBorders>
              <w:top w:val="nil"/>
              <w:right w:val="nil"/>
            </w:tcBorders>
          </w:tcPr>
          <w:p w:rsidR="00EA40A3" w:rsidRDefault="00EA40A3"/>
        </w:tc>
      </w:tr>
      <w:tr w:rsidR="00EA40A3">
        <w:trPr>
          <w:trHeight w:val="339"/>
        </w:trPr>
        <w:tc>
          <w:tcPr>
            <w:tcW w:w="520" w:type="dxa"/>
            <w:vMerge/>
            <w:tcBorders>
              <w:top w:val="nil"/>
              <w:left w:val="nil"/>
              <w:bottom w:val="nil"/>
            </w:tcBorders>
            <w:textDirection w:val="tbRlV"/>
          </w:tcPr>
          <w:p w:rsidR="00EA40A3" w:rsidRDefault="00EA40A3"/>
        </w:tc>
        <w:tc>
          <w:tcPr>
            <w:tcW w:w="1410" w:type="dxa"/>
            <w:vMerge w:val="restart"/>
            <w:tcBorders>
              <w:bottom w:val="nil"/>
            </w:tcBorders>
          </w:tcPr>
          <w:p w:rsidR="00EA40A3" w:rsidRDefault="00EA40A3">
            <w:pPr>
              <w:spacing w:line="243" w:lineRule="auto"/>
            </w:pPr>
          </w:p>
          <w:p w:rsidR="00EA40A3" w:rsidRDefault="00EA40A3">
            <w:pPr>
              <w:spacing w:line="243" w:lineRule="auto"/>
            </w:pPr>
          </w:p>
          <w:p w:rsidR="00EA40A3" w:rsidRDefault="00EA40A3">
            <w:pPr>
              <w:spacing w:line="243" w:lineRule="auto"/>
            </w:pPr>
          </w:p>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1"/>
                <w:sz w:val="16"/>
                <w:szCs w:val="16"/>
              </w:rPr>
              <w:t>锌：硫酸锌</w:t>
            </w:r>
          </w:p>
        </w:tc>
        <w:tc>
          <w:tcPr>
            <w:tcW w:w="1570" w:type="dxa"/>
          </w:tcPr>
          <w:p w:rsidR="00EA40A3" w:rsidRDefault="00E86C16">
            <w:pPr>
              <w:spacing w:before="96" w:line="220" w:lineRule="auto"/>
              <w:ind w:left="85"/>
              <w:rPr>
                <w:rFonts w:ascii="宋体" w:eastAsia="宋体" w:hAnsi="宋体" w:cs="宋体"/>
                <w:sz w:val="16"/>
                <w:szCs w:val="16"/>
              </w:rPr>
            </w:pPr>
            <w:r>
              <w:rPr>
                <w:rFonts w:ascii="宋体" w:eastAsia="宋体" w:hAnsi="宋体" w:cs="宋体"/>
                <w:spacing w:val="5"/>
                <w:sz w:val="16"/>
                <w:szCs w:val="16"/>
              </w:rPr>
              <w:t>乳制品</w:t>
            </w:r>
          </w:p>
        </w:tc>
        <w:tc>
          <w:tcPr>
            <w:tcW w:w="1260" w:type="dxa"/>
          </w:tcPr>
          <w:p w:rsidR="00EA40A3" w:rsidRDefault="00E86C16">
            <w:pPr>
              <w:spacing w:before="114" w:line="184" w:lineRule="auto"/>
              <w:ind w:left="185"/>
              <w:rPr>
                <w:rFonts w:ascii="宋体" w:eastAsia="宋体" w:hAnsi="宋体" w:cs="宋体"/>
                <w:sz w:val="16"/>
                <w:szCs w:val="16"/>
              </w:rPr>
            </w:pPr>
            <w:r>
              <w:rPr>
                <w:rFonts w:ascii="宋体" w:eastAsia="宋体" w:hAnsi="宋体" w:cs="宋体"/>
                <w:spacing w:val="-3"/>
                <w:sz w:val="16"/>
                <w:szCs w:val="16"/>
              </w:rPr>
              <w:t>130～250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39" w:type="dxa"/>
            <w:vMerge w:val="restart"/>
            <w:tcBorders>
              <w:bottom w:val="nil"/>
              <w:right w:val="nil"/>
            </w:tcBorders>
          </w:tcPr>
          <w:p w:rsidR="00EA40A3" w:rsidRDefault="00E86C16">
            <w:pPr>
              <w:spacing w:before="245" w:line="255" w:lineRule="exact"/>
              <w:ind w:left="75"/>
              <w:rPr>
                <w:rFonts w:ascii="宋体" w:eastAsia="宋体" w:hAnsi="宋体" w:cs="宋体"/>
                <w:sz w:val="16"/>
                <w:szCs w:val="16"/>
              </w:rPr>
            </w:pPr>
            <w:r>
              <w:rPr>
                <w:rFonts w:ascii="宋体" w:eastAsia="宋体" w:hAnsi="宋体" w:cs="宋体"/>
                <w:spacing w:val="3"/>
                <w:position w:val="7"/>
                <w:sz w:val="16"/>
                <w:szCs w:val="16"/>
              </w:rPr>
              <w:t>1.</w:t>
            </w:r>
            <w:r>
              <w:rPr>
                <w:rFonts w:ascii="宋体" w:eastAsia="宋体" w:hAnsi="宋体" w:cs="宋体"/>
                <w:spacing w:val="-35"/>
                <w:position w:val="7"/>
                <w:sz w:val="16"/>
                <w:szCs w:val="16"/>
              </w:rPr>
              <w:t xml:space="preserve"> </w:t>
            </w:r>
            <w:r>
              <w:rPr>
                <w:rFonts w:ascii="宋体" w:eastAsia="宋体" w:hAnsi="宋体" w:cs="宋体"/>
                <w:spacing w:val="3"/>
                <w:position w:val="7"/>
                <w:sz w:val="16"/>
                <w:szCs w:val="16"/>
              </w:rPr>
              <w:t>以元素锌计强化量：</w:t>
            </w:r>
          </w:p>
          <w:p w:rsidR="00EA40A3" w:rsidRDefault="00E86C16">
            <w:pPr>
              <w:spacing w:line="213" w:lineRule="auto"/>
              <w:ind w:left="295"/>
              <w:rPr>
                <w:rFonts w:ascii="宋体" w:eastAsia="宋体" w:hAnsi="宋体" w:cs="宋体"/>
                <w:sz w:val="16"/>
                <w:szCs w:val="16"/>
              </w:rPr>
            </w:pPr>
            <w:r>
              <w:rPr>
                <w:rFonts w:ascii="宋体" w:eastAsia="宋体" w:hAnsi="宋体" w:cs="宋体"/>
                <w:spacing w:val="12"/>
                <w:sz w:val="16"/>
                <w:szCs w:val="16"/>
              </w:rPr>
              <w:t>饮液5～10</w:t>
            </w:r>
            <w:r>
              <w:rPr>
                <w:rFonts w:ascii="宋体" w:eastAsia="宋体" w:hAnsi="宋体" w:cs="宋体"/>
                <w:sz w:val="16"/>
                <w:szCs w:val="16"/>
              </w:rPr>
              <w:t>mg</w:t>
            </w:r>
            <w:r>
              <w:rPr>
                <w:rFonts w:ascii="宋体" w:eastAsia="宋体" w:hAnsi="宋体" w:cs="宋体"/>
                <w:spacing w:val="12"/>
                <w:sz w:val="16"/>
                <w:szCs w:val="16"/>
              </w:rPr>
              <w:t>/</w:t>
            </w:r>
            <w:r>
              <w:rPr>
                <w:rFonts w:ascii="宋体" w:eastAsia="宋体" w:hAnsi="宋体" w:cs="宋体"/>
                <w:sz w:val="16"/>
                <w:szCs w:val="16"/>
              </w:rPr>
              <w:t>kg</w:t>
            </w:r>
          </w:p>
          <w:p w:rsidR="00EA40A3" w:rsidRDefault="00E86C16">
            <w:pPr>
              <w:spacing w:before="64" w:line="263" w:lineRule="auto"/>
              <w:ind w:left="295" w:right="233" w:firstLine="20"/>
              <w:rPr>
                <w:rFonts w:ascii="宋体" w:eastAsia="宋体" w:hAnsi="宋体" w:cs="宋体"/>
                <w:sz w:val="16"/>
                <w:szCs w:val="16"/>
              </w:rPr>
            </w:pPr>
            <w:r>
              <w:rPr>
                <w:rFonts w:ascii="宋体" w:eastAsia="宋体" w:hAnsi="宋体" w:cs="宋体"/>
                <w:spacing w:val="3"/>
                <w:sz w:val="16"/>
                <w:szCs w:val="16"/>
              </w:rPr>
              <w:t>谷类及其制品20～40</w:t>
            </w:r>
            <w:r>
              <w:rPr>
                <w:rFonts w:ascii="宋体" w:eastAsia="宋体" w:hAnsi="宋体" w:cs="宋体"/>
                <w:sz w:val="16"/>
                <w:szCs w:val="16"/>
              </w:rPr>
              <w:t>mg</w:t>
            </w:r>
            <w:r>
              <w:rPr>
                <w:rFonts w:ascii="宋体" w:eastAsia="宋体" w:hAnsi="宋体" w:cs="宋体"/>
                <w:spacing w:val="3"/>
                <w:sz w:val="16"/>
                <w:szCs w:val="16"/>
              </w:rPr>
              <w:t>/</w:t>
            </w:r>
            <w:r>
              <w:rPr>
                <w:rFonts w:ascii="宋体" w:eastAsia="宋体" w:hAnsi="宋体" w:cs="宋体"/>
                <w:sz w:val="16"/>
                <w:szCs w:val="16"/>
              </w:rPr>
              <w:t>kg</w:t>
            </w:r>
            <w:r>
              <w:rPr>
                <w:rFonts w:ascii="宋体" w:eastAsia="宋体" w:hAnsi="宋体" w:cs="宋体"/>
                <w:spacing w:val="7"/>
                <w:sz w:val="16"/>
                <w:szCs w:val="16"/>
              </w:rPr>
              <w:t xml:space="preserve"> </w:t>
            </w:r>
            <w:r>
              <w:rPr>
                <w:rFonts w:ascii="宋体" w:eastAsia="宋体" w:hAnsi="宋体" w:cs="宋体"/>
                <w:spacing w:val="9"/>
                <w:sz w:val="16"/>
                <w:szCs w:val="16"/>
              </w:rPr>
              <w:t>乳制品30～60</w:t>
            </w:r>
            <w:r>
              <w:rPr>
                <w:rFonts w:ascii="宋体" w:eastAsia="宋体" w:hAnsi="宋体" w:cs="宋体"/>
                <w:sz w:val="16"/>
                <w:szCs w:val="16"/>
              </w:rPr>
              <w:t>mg</w:t>
            </w:r>
            <w:r>
              <w:rPr>
                <w:rFonts w:ascii="宋体" w:eastAsia="宋体" w:hAnsi="宋体" w:cs="宋体"/>
                <w:spacing w:val="9"/>
                <w:sz w:val="16"/>
                <w:szCs w:val="16"/>
              </w:rPr>
              <w:t>/</w:t>
            </w:r>
            <w:r>
              <w:rPr>
                <w:rFonts w:ascii="宋体" w:eastAsia="宋体" w:hAnsi="宋体" w:cs="宋体"/>
                <w:sz w:val="16"/>
                <w:szCs w:val="16"/>
              </w:rPr>
              <w:t>kg</w:t>
            </w:r>
          </w:p>
          <w:p w:rsidR="00EA40A3" w:rsidRDefault="00E86C16">
            <w:pPr>
              <w:spacing w:before="65" w:line="245" w:lineRule="auto"/>
              <w:ind w:left="75" w:right="334" w:firstLine="219"/>
              <w:rPr>
                <w:rFonts w:ascii="宋体" w:eastAsia="宋体" w:hAnsi="宋体" w:cs="宋体"/>
                <w:sz w:val="16"/>
                <w:szCs w:val="16"/>
              </w:rPr>
            </w:pPr>
            <w:r>
              <w:rPr>
                <w:rFonts w:ascii="宋体" w:eastAsia="宋体" w:hAnsi="宋体" w:cs="宋体"/>
                <w:spacing w:val="3"/>
                <w:sz w:val="16"/>
                <w:szCs w:val="16"/>
              </w:rPr>
              <w:t>婴幼儿食品25～70</w:t>
            </w:r>
            <w:r>
              <w:rPr>
                <w:rFonts w:ascii="宋体" w:eastAsia="宋体" w:hAnsi="宋体" w:cs="宋体"/>
                <w:spacing w:val="10"/>
                <w:sz w:val="16"/>
                <w:szCs w:val="16"/>
              </w:rPr>
              <w:t xml:space="preserve"> </w:t>
            </w:r>
            <w:r>
              <w:rPr>
                <w:rFonts w:ascii="宋体" w:eastAsia="宋体" w:hAnsi="宋体" w:cs="宋体"/>
                <w:sz w:val="16"/>
                <w:szCs w:val="16"/>
              </w:rPr>
              <w:t>mg</w:t>
            </w:r>
            <w:r>
              <w:rPr>
                <w:rFonts w:ascii="宋体" w:eastAsia="宋体" w:hAnsi="宋体" w:cs="宋体"/>
                <w:spacing w:val="3"/>
                <w:sz w:val="16"/>
                <w:szCs w:val="16"/>
              </w:rPr>
              <w:t>/</w:t>
            </w:r>
            <w:r>
              <w:rPr>
                <w:rFonts w:ascii="宋体" w:eastAsia="宋体" w:hAnsi="宋体" w:cs="宋体"/>
                <w:sz w:val="16"/>
                <w:szCs w:val="16"/>
              </w:rPr>
              <w:t xml:space="preserve">kg </w:t>
            </w:r>
            <w:r>
              <w:rPr>
                <w:rFonts w:ascii="宋体" w:eastAsia="宋体" w:hAnsi="宋体" w:cs="宋体"/>
                <w:spacing w:val="6"/>
                <w:sz w:val="16"/>
                <w:szCs w:val="16"/>
              </w:rPr>
              <w:t>2.各种锌盐中锌元素含量：</w:t>
            </w:r>
          </w:p>
          <w:p w:rsidR="00EA40A3" w:rsidRDefault="00E86C16">
            <w:pPr>
              <w:spacing w:before="90" w:line="220" w:lineRule="auto"/>
              <w:ind w:left="304"/>
              <w:rPr>
                <w:rFonts w:ascii="宋体" w:eastAsia="宋体" w:hAnsi="宋体" w:cs="宋体"/>
                <w:sz w:val="16"/>
                <w:szCs w:val="16"/>
              </w:rPr>
            </w:pPr>
            <w:r>
              <w:rPr>
                <w:rFonts w:ascii="宋体" w:eastAsia="宋体" w:hAnsi="宋体" w:cs="宋体"/>
                <w:spacing w:val="10"/>
                <w:sz w:val="16"/>
                <w:szCs w:val="16"/>
              </w:rPr>
              <w:t>硫酸锌22.7%</w:t>
            </w:r>
          </w:p>
          <w:p w:rsidR="00EA40A3" w:rsidRDefault="00E86C16">
            <w:pPr>
              <w:spacing w:before="49" w:line="220" w:lineRule="auto"/>
              <w:ind w:left="295"/>
              <w:rPr>
                <w:rFonts w:ascii="宋体" w:eastAsia="宋体" w:hAnsi="宋体" w:cs="宋体"/>
                <w:sz w:val="16"/>
                <w:szCs w:val="16"/>
              </w:rPr>
            </w:pPr>
            <w:r>
              <w:rPr>
                <w:rFonts w:ascii="宋体" w:eastAsia="宋体" w:hAnsi="宋体" w:cs="宋体"/>
                <w:spacing w:val="10"/>
                <w:sz w:val="16"/>
                <w:szCs w:val="16"/>
              </w:rPr>
              <w:t>葡萄糖酸锌14%</w:t>
            </w:r>
          </w:p>
          <w:p w:rsidR="00EA40A3" w:rsidRDefault="00E86C16">
            <w:pPr>
              <w:spacing w:before="77" w:line="264" w:lineRule="auto"/>
              <w:ind w:left="75" w:right="70" w:firstLine="219"/>
              <w:jc w:val="right"/>
              <w:rPr>
                <w:rFonts w:ascii="宋体" w:eastAsia="宋体" w:hAnsi="宋体" w:cs="宋体"/>
                <w:sz w:val="16"/>
                <w:szCs w:val="16"/>
              </w:rPr>
            </w:pPr>
            <w:r>
              <w:rPr>
                <w:rFonts w:ascii="宋体" w:eastAsia="宋体" w:hAnsi="宋体" w:cs="宋体"/>
                <w:spacing w:val="18"/>
                <w:sz w:val="16"/>
                <w:szCs w:val="16"/>
              </w:rPr>
              <w:t>乳酸锌(含3结晶水)22.2%</w:t>
            </w:r>
            <w:r>
              <w:rPr>
                <w:rFonts w:ascii="宋体" w:eastAsia="宋体" w:hAnsi="宋体" w:cs="宋体"/>
                <w:spacing w:val="12"/>
                <w:sz w:val="16"/>
                <w:szCs w:val="16"/>
              </w:rPr>
              <w:t xml:space="preserve"> </w:t>
            </w:r>
            <w:r>
              <w:rPr>
                <w:rFonts w:ascii="宋体" w:eastAsia="宋体" w:hAnsi="宋体" w:cs="宋体"/>
                <w:spacing w:val="8"/>
                <w:sz w:val="16"/>
                <w:szCs w:val="16"/>
              </w:rPr>
              <w:t>3.还可采用氯化锌48%、氧化锌</w:t>
            </w:r>
            <w:r>
              <w:rPr>
                <w:rFonts w:ascii="宋体" w:eastAsia="宋体" w:hAnsi="宋体" w:cs="宋体"/>
                <w:sz w:val="16"/>
                <w:szCs w:val="16"/>
              </w:rPr>
              <w:t xml:space="preserve"> </w:t>
            </w:r>
            <w:r>
              <w:rPr>
                <w:rFonts w:ascii="宋体" w:eastAsia="宋体" w:hAnsi="宋体" w:cs="宋体"/>
                <w:spacing w:val="15"/>
                <w:sz w:val="16"/>
                <w:szCs w:val="16"/>
              </w:rPr>
              <w:t>80%、乙酸锌29.8%,强化时</w:t>
            </w:r>
          </w:p>
          <w:p w:rsidR="00EA40A3" w:rsidRDefault="00E86C16">
            <w:pPr>
              <w:spacing w:before="75" w:line="219" w:lineRule="auto"/>
              <w:ind w:left="265"/>
              <w:rPr>
                <w:rFonts w:ascii="宋体" w:eastAsia="宋体" w:hAnsi="宋体" w:cs="宋体"/>
                <w:sz w:val="16"/>
                <w:szCs w:val="16"/>
              </w:rPr>
            </w:pPr>
            <w:r>
              <w:rPr>
                <w:rFonts w:ascii="宋体" w:eastAsia="宋体" w:hAnsi="宋体" w:cs="宋体"/>
                <w:spacing w:val="-1"/>
                <w:sz w:val="16"/>
                <w:szCs w:val="16"/>
              </w:rPr>
              <w:t>均以元素锌计</w:t>
            </w:r>
          </w:p>
        </w:tc>
      </w:tr>
      <w:tr w:rsidR="00EA40A3">
        <w:trPr>
          <w:trHeight w:val="33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6" w:line="219" w:lineRule="auto"/>
              <w:ind w:left="8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115" w:line="184" w:lineRule="auto"/>
              <w:ind w:left="185"/>
              <w:rPr>
                <w:rFonts w:ascii="宋体" w:eastAsia="宋体" w:hAnsi="宋体" w:cs="宋体"/>
                <w:sz w:val="16"/>
                <w:szCs w:val="16"/>
              </w:rPr>
            </w:pPr>
            <w:r>
              <w:rPr>
                <w:rFonts w:ascii="宋体" w:eastAsia="宋体" w:hAnsi="宋体" w:cs="宋体"/>
                <w:spacing w:val="-3"/>
                <w:sz w:val="16"/>
                <w:szCs w:val="16"/>
              </w:rPr>
              <w:t>113～318</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39" w:type="dxa"/>
            <w:vMerge/>
            <w:tcBorders>
              <w:top w:val="nil"/>
              <w:bottom w:val="nil"/>
              <w:right w:val="nil"/>
            </w:tcBorders>
          </w:tcPr>
          <w:p w:rsidR="00EA40A3" w:rsidRDefault="00EA40A3"/>
        </w:tc>
      </w:tr>
      <w:tr w:rsidR="00EA40A3">
        <w:trPr>
          <w:trHeight w:val="33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6" w:line="220" w:lineRule="auto"/>
              <w:ind w:left="85"/>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116" w:line="183" w:lineRule="auto"/>
              <w:ind w:left="185"/>
              <w:rPr>
                <w:rFonts w:ascii="宋体" w:eastAsia="宋体" w:hAnsi="宋体" w:cs="宋体"/>
                <w:sz w:val="16"/>
                <w:szCs w:val="16"/>
              </w:rPr>
            </w:pPr>
            <w:r>
              <w:rPr>
                <w:rFonts w:ascii="宋体" w:eastAsia="宋体" w:hAnsi="宋体" w:cs="宋体"/>
                <w:spacing w:val="-2"/>
                <w:sz w:val="16"/>
                <w:szCs w:val="16"/>
              </w:rPr>
              <w:t>22.5～44</w:t>
            </w:r>
            <w:r>
              <w:rPr>
                <w:rFonts w:ascii="宋体" w:eastAsia="宋体" w:hAnsi="宋体" w:cs="宋体"/>
                <w:spacing w:val="9"/>
                <w:sz w:val="16"/>
                <w:szCs w:val="16"/>
              </w:rPr>
              <w:t xml:space="preserve"> </w:t>
            </w:r>
            <w:r>
              <w:rPr>
                <w:rFonts w:ascii="宋体" w:eastAsia="宋体" w:hAnsi="宋体" w:cs="宋体"/>
                <w:spacing w:val="-2"/>
                <w:sz w:val="16"/>
                <w:szCs w:val="16"/>
              </w:rPr>
              <w:t>mg</w:t>
            </w:r>
          </w:p>
        </w:tc>
        <w:tc>
          <w:tcPr>
            <w:tcW w:w="2439" w:type="dxa"/>
            <w:vMerge/>
            <w:tcBorders>
              <w:top w:val="nil"/>
              <w:bottom w:val="nil"/>
              <w:right w:val="nil"/>
            </w:tcBorders>
          </w:tcPr>
          <w:p w:rsidR="00EA40A3" w:rsidRDefault="00EA40A3"/>
        </w:tc>
      </w:tr>
      <w:tr w:rsidR="00EA40A3">
        <w:trPr>
          <w:trHeight w:val="34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6"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115" w:line="184" w:lineRule="auto"/>
              <w:ind w:left="225"/>
              <w:rPr>
                <w:rFonts w:ascii="宋体" w:eastAsia="宋体" w:hAnsi="宋体" w:cs="宋体"/>
                <w:sz w:val="16"/>
                <w:szCs w:val="16"/>
              </w:rPr>
            </w:pPr>
            <w:r>
              <w:rPr>
                <w:rFonts w:ascii="宋体" w:eastAsia="宋体" w:hAnsi="宋体" w:cs="宋体"/>
                <w:spacing w:val="-1"/>
                <w:sz w:val="16"/>
                <w:szCs w:val="16"/>
              </w:rPr>
              <w:t>80～160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39" w:type="dxa"/>
            <w:vMerge/>
            <w:tcBorders>
              <w:top w:val="nil"/>
              <w:bottom w:val="nil"/>
              <w:right w:val="nil"/>
            </w:tcBorders>
          </w:tcPr>
          <w:p w:rsidR="00EA40A3" w:rsidRDefault="00EA40A3"/>
        </w:tc>
      </w:tr>
      <w:tr w:rsidR="00EA40A3">
        <w:trPr>
          <w:trHeight w:val="330"/>
        </w:trPr>
        <w:tc>
          <w:tcPr>
            <w:tcW w:w="520" w:type="dxa"/>
            <w:vMerge/>
            <w:tcBorders>
              <w:top w:val="nil"/>
              <w:left w:val="nil"/>
              <w:bottom w:val="nil"/>
            </w:tcBorders>
            <w:textDirection w:val="tbRlV"/>
          </w:tcPr>
          <w:p w:rsidR="00EA40A3" w:rsidRDefault="00EA40A3"/>
        </w:tc>
        <w:tc>
          <w:tcPr>
            <w:tcW w:w="1410" w:type="dxa"/>
            <w:vMerge/>
            <w:tcBorders>
              <w:top w:val="nil"/>
            </w:tcBorders>
          </w:tcPr>
          <w:p w:rsidR="00EA40A3" w:rsidRDefault="00EA40A3"/>
        </w:tc>
        <w:tc>
          <w:tcPr>
            <w:tcW w:w="1570" w:type="dxa"/>
          </w:tcPr>
          <w:p w:rsidR="00EA40A3" w:rsidRDefault="00E86C16">
            <w:pPr>
              <w:spacing w:before="97" w:line="220" w:lineRule="auto"/>
              <w:ind w:left="85"/>
              <w:rPr>
                <w:rFonts w:ascii="宋体" w:eastAsia="宋体" w:hAnsi="宋体" w:cs="宋体"/>
                <w:sz w:val="16"/>
                <w:szCs w:val="16"/>
              </w:rPr>
            </w:pPr>
            <w:r>
              <w:rPr>
                <w:rFonts w:ascii="宋体" w:eastAsia="宋体" w:hAnsi="宋体" w:cs="宋体"/>
                <w:spacing w:val="-2"/>
                <w:sz w:val="16"/>
                <w:szCs w:val="16"/>
              </w:rPr>
              <w:t>食盐</w:t>
            </w:r>
          </w:p>
        </w:tc>
        <w:tc>
          <w:tcPr>
            <w:tcW w:w="1260" w:type="dxa"/>
          </w:tcPr>
          <w:p w:rsidR="00EA40A3" w:rsidRDefault="00E86C16">
            <w:pPr>
              <w:spacing w:before="116" w:line="183" w:lineRule="auto"/>
              <w:ind w:left="385"/>
              <w:rPr>
                <w:rFonts w:ascii="宋体" w:eastAsia="宋体" w:hAnsi="宋体" w:cs="宋体"/>
                <w:sz w:val="16"/>
                <w:szCs w:val="16"/>
              </w:rPr>
            </w:pPr>
            <w:r>
              <w:rPr>
                <w:rFonts w:ascii="宋体" w:eastAsia="宋体" w:hAnsi="宋体" w:cs="宋体"/>
                <w:spacing w:val="-3"/>
                <w:sz w:val="16"/>
                <w:szCs w:val="16"/>
              </w:rPr>
              <w:t>500</w:t>
            </w:r>
            <w:r>
              <w:rPr>
                <w:rFonts w:ascii="宋体" w:eastAsia="宋体" w:hAnsi="宋体" w:cs="宋体"/>
                <w:spacing w:val="5"/>
                <w:sz w:val="16"/>
                <w:szCs w:val="16"/>
              </w:rPr>
              <w:t xml:space="preserve"> </w:t>
            </w:r>
            <w:r>
              <w:rPr>
                <w:rFonts w:ascii="宋体" w:eastAsia="宋体" w:hAnsi="宋体" w:cs="宋体"/>
                <w:spacing w:val="-3"/>
                <w:sz w:val="16"/>
                <w:szCs w:val="16"/>
              </w:rPr>
              <w:t>mg</w:t>
            </w:r>
          </w:p>
        </w:tc>
        <w:tc>
          <w:tcPr>
            <w:tcW w:w="2439" w:type="dxa"/>
            <w:vMerge/>
            <w:tcBorders>
              <w:top w:val="nil"/>
              <w:bottom w:val="nil"/>
              <w:right w:val="nil"/>
            </w:tcBorders>
          </w:tcPr>
          <w:p w:rsidR="00EA40A3" w:rsidRDefault="00EA40A3"/>
        </w:tc>
      </w:tr>
      <w:tr w:rsidR="00EA40A3">
        <w:trPr>
          <w:trHeight w:val="320"/>
        </w:trPr>
        <w:tc>
          <w:tcPr>
            <w:tcW w:w="520" w:type="dxa"/>
            <w:vMerge/>
            <w:tcBorders>
              <w:top w:val="nil"/>
              <w:left w:val="nil"/>
              <w:bottom w:val="nil"/>
            </w:tcBorders>
            <w:textDirection w:val="tbRlV"/>
          </w:tcPr>
          <w:p w:rsidR="00EA40A3" w:rsidRDefault="00EA40A3"/>
        </w:tc>
        <w:tc>
          <w:tcPr>
            <w:tcW w:w="1410" w:type="dxa"/>
            <w:vMerge w:val="restart"/>
            <w:tcBorders>
              <w:bottom w:val="nil"/>
            </w:tcBorders>
          </w:tcPr>
          <w:p w:rsidR="00EA40A3" w:rsidRDefault="00EA40A3"/>
          <w:p w:rsidR="00EA40A3" w:rsidRDefault="00EA40A3"/>
          <w:p w:rsidR="00EA40A3" w:rsidRDefault="00EA40A3"/>
          <w:p w:rsidR="00EA40A3" w:rsidRDefault="00E86C16">
            <w:pPr>
              <w:spacing w:before="52" w:line="220" w:lineRule="auto"/>
              <w:ind w:left="75"/>
              <w:rPr>
                <w:rFonts w:ascii="宋体" w:eastAsia="宋体" w:hAnsi="宋体" w:cs="宋体"/>
                <w:sz w:val="16"/>
                <w:szCs w:val="16"/>
              </w:rPr>
            </w:pPr>
            <w:r>
              <w:rPr>
                <w:rFonts w:ascii="宋体" w:eastAsia="宋体" w:hAnsi="宋体" w:cs="宋体"/>
                <w:spacing w:val="-2"/>
                <w:sz w:val="16"/>
                <w:szCs w:val="16"/>
              </w:rPr>
              <w:t>葡萄糖酸锌</w:t>
            </w:r>
          </w:p>
        </w:tc>
        <w:tc>
          <w:tcPr>
            <w:tcW w:w="1570" w:type="dxa"/>
          </w:tcPr>
          <w:p w:rsidR="00EA40A3" w:rsidRDefault="00E86C16">
            <w:pPr>
              <w:spacing w:before="87" w:line="220" w:lineRule="auto"/>
              <w:ind w:left="85"/>
              <w:rPr>
                <w:rFonts w:ascii="宋体" w:eastAsia="宋体" w:hAnsi="宋体" w:cs="宋体"/>
                <w:sz w:val="16"/>
                <w:szCs w:val="16"/>
              </w:rPr>
            </w:pPr>
            <w:r>
              <w:rPr>
                <w:rFonts w:ascii="宋体" w:eastAsia="宋体" w:hAnsi="宋体" w:cs="宋体"/>
                <w:spacing w:val="5"/>
                <w:sz w:val="16"/>
                <w:szCs w:val="16"/>
              </w:rPr>
              <w:t>乳制品</w:t>
            </w:r>
          </w:p>
        </w:tc>
        <w:tc>
          <w:tcPr>
            <w:tcW w:w="1260" w:type="dxa"/>
          </w:tcPr>
          <w:p w:rsidR="00EA40A3" w:rsidRDefault="00E86C16">
            <w:pPr>
              <w:spacing w:before="106" w:line="183" w:lineRule="auto"/>
              <w:ind w:left="185"/>
              <w:rPr>
                <w:rFonts w:ascii="宋体" w:eastAsia="宋体" w:hAnsi="宋体" w:cs="宋体"/>
                <w:sz w:val="16"/>
                <w:szCs w:val="16"/>
              </w:rPr>
            </w:pPr>
            <w:r>
              <w:rPr>
                <w:rFonts w:ascii="宋体" w:eastAsia="宋体" w:hAnsi="宋体" w:cs="宋体"/>
                <w:spacing w:val="-2"/>
                <w:sz w:val="16"/>
                <w:szCs w:val="16"/>
              </w:rPr>
              <w:t>230～470</w:t>
            </w:r>
            <w:r>
              <w:rPr>
                <w:rFonts w:ascii="宋体" w:eastAsia="宋体" w:hAnsi="宋体" w:cs="宋体"/>
                <w:spacing w:val="9"/>
                <w:sz w:val="16"/>
                <w:szCs w:val="16"/>
              </w:rPr>
              <w:t xml:space="preserve"> </w:t>
            </w:r>
            <w:r>
              <w:rPr>
                <w:rFonts w:ascii="宋体" w:eastAsia="宋体" w:hAnsi="宋体" w:cs="宋体"/>
                <w:spacing w:val="-2"/>
                <w:sz w:val="16"/>
                <w:szCs w:val="16"/>
              </w:rPr>
              <w:t>mg</w:t>
            </w:r>
          </w:p>
        </w:tc>
        <w:tc>
          <w:tcPr>
            <w:tcW w:w="2439" w:type="dxa"/>
            <w:vMerge/>
            <w:tcBorders>
              <w:top w:val="nil"/>
              <w:bottom w:val="nil"/>
              <w:right w:val="nil"/>
            </w:tcBorders>
          </w:tcPr>
          <w:p w:rsidR="00EA40A3" w:rsidRDefault="00EA40A3"/>
        </w:tc>
      </w:tr>
      <w:tr w:rsidR="00EA40A3">
        <w:trPr>
          <w:trHeight w:val="34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6" w:line="219" w:lineRule="auto"/>
              <w:ind w:left="85"/>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115" w:line="184" w:lineRule="auto"/>
              <w:ind w:left="185"/>
              <w:rPr>
                <w:rFonts w:ascii="宋体" w:eastAsia="宋体" w:hAnsi="宋体" w:cs="宋体"/>
                <w:sz w:val="16"/>
                <w:szCs w:val="16"/>
              </w:rPr>
            </w:pPr>
            <w:r>
              <w:rPr>
                <w:rFonts w:ascii="宋体" w:eastAsia="宋体" w:hAnsi="宋体" w:cs="宋体"/>
                <w:spacing w:val="-3"/>
                <w:sz w:val="16"/>
                <w:szCs w:val="16"/>
              </w:rPr>
              <w:t>195～545</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39" w:type="dxa"/>
            <w:vMerge/>
            <w:tcBorders>
              <w:top w:val="nil"/>
              <w:bottom w:val="nil"/>
              <w:right w:val="nil"/>
            </w:tcBorders>
          </w:tcPr>
          <w:p w:rsidR="00EA40A3" w:rsidRDefault="00EA40A3"/>
        </w:tc>
      </w:tr>
      <w:tr w:rsidR="00EA40A3">
        <w:trPr>
          <w:trHeight w:val="329"/>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7" w:line="220" w:lineRule="auto"/>
              <w:ind w:left="85"/>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116" w:line="183" w:lineRule="auto"/>
              <w:ind w:left="265"/>
              <w:rPr>
                <w:rFonts w:ascii="宋体" w:eastAsia="宋体" w:hAnsi="宋体" w:cs="宋体"/>
                <w:sz w:val="16"/>
                <w:szCs w:val="16"/>
              </w:rPr>
            </w:pPr>
            <w:r>
              <w:rPr>
                <w:rFonts w:ascii="宋体" w:eastAsia="宋体" w:hAnsi="宋体" w:cs="宋体"/>
                <w:spacing w:val="-1"/>
                <w:sz w:val="16"/>
                <w:szCs w:val="16"/>
              </w:rPr>
              <w:t>40～80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39" w:type="dxa"/>
            <w:vMerge/>
            <w:tcBorders>
              <w:top w:val="nil"/>
              <w:bottom w:val="nil"/>
              <w:right w:val="nil"/>
            </w:tcBorders>
          </w:tcPr>
          <w:p w:rsidR="00EA40A3" w:rsidRDefault="00EA40A3"/>
        </w:tc>
      </w:tr>
      <w:tr w:rsidR="00EA40A3">
        <w:trPr>
          <w:trHeight w:val="330"/>
        </w:trPr>
        <w:tc>
          <w:tcPr>
            <w:tcW w:w="520" w:type="dxa"/>
            <w:vMerge/>
            <w:tcBorders>
              <w:top w:val="nil"/>
              <w:left w:val="nil"/>
              <w:bottom w:val="nil"/>
            </w:tcBorders>
            <w:textDirection w:val="tbRlV"/>
          </w:tcPr>
          <w:p w:rsidR="00EA40A3" w:rsidRDefault="00EA40A3"/>
        </w:tc>
        <w:tc>
          <w:tcPr>
            <w:tcW w:w="1410" w:type="dxa"/>
            <w:vMerge/>
            <w:tcBorders>
              <w:top w:val="nil"/>
              <w:bottom w:val="nil"/>
            </w:tcBorders>
          </w:tcPr>
          <w:p w:rsidR="00EA40A3" w:rsidRDefault="00EA40A3"/>
        </w:tc>
        <w:tc>
          <w:tcPr>
            <w:tcW w:w="1570" w:type="dxa"/>
          </w:tcPr>
          <w:p w:rsidR="00EA40A3" w:rsidRDefault="00E86C16">
            <w:pPr>
              <w:spacing w:before="97" w:line="219" w:lineRule="auto"/>
              <w:ind w:left="85"/>
              <w:rPr>
                <w:rFonts w:ascii="宋体" w:eastAsia="宋体" w:hAnsi="宋体" w:cs="宋体"/>
                <w:sz w:val="16"/>
                <w:szCs w:val="16"/>
              </w:rPr>
            </w:pPr>
            <w:r>
              <w:rPr>
                <w:rFonts w:ascii="宋体" w:eastAsia="宋体" w:hAnsi="宋体" w:cs="宋体"/>
                <w:spacing w:val="2"/>
                <w:sz w:val="16"/>
                <w:szCs w:val="16"/>
              </w:rPr>
              <w:t>谷类及其制品</w:t>
            </w:r>
          </w:p>
        </w:tc>
        <w:tc>
          <w:tcPr>
            <w:tcW w:w="1260" w:type="dxa"/>
          </w:tcPr>
          <w:p w:rsidR="00EA40A3" w:rsidRDefault="00E86C16">
            <w:pPr>
              <w:spacing w:before="116" w:line="184" w:lineRule="auto"/>
              <w:ind w:left="185"/>
              <w:rPr>
                <w:rFonts w:ascii="宋体" w:eastAsia="宋体" w:hAnsi="宋体" w:cs="宋体"/>
                <w:sz w:val="16"/>
                <w:szCs w:val="16"/>
              </w:rPr>
            </w:pPr>
            <w:r>
              <w:rPr>
                <w:rFonts w:ascii="宋体" w:eastAsia="宋体" w:hAnsi="宋体" w:cs="宋体"/>
                <w:spacing w:val="-3"/>
                <w:sz w:val="16"/>
                <w:szCs w:val="16"/>
              </w:rPr>
              <w:t>160～320</w:t>
            </w:r>
            <w:r>
              <w:rPr>
                <w:rFonts w:ascii="宋体" w:eastAsia="宋体" w:hAnsi="宋体" w:cs="宋体"/>
                <w:spacing w:val="31"/>
                <w:w w:val="101"/>
                <w:sz w:val="16"/>
                <w:szCs w:val="16"/>
              </w:rPr>
              <w:t xml:space="preserve"> </w:t>
            </w:r>
            <w:r>
              <w:rPr>
                <w:rFonts w:ascii="宋体" w:eastAsia="宋体" w:hAnsi="宋体" w:cs="宋体"/>
                <w:spacing w:val="-3"/>
                <w:sz w:val="16"/>
                <w:szCs w:val="16"/>
              </w:rPr>
              <w:t>mg</w:t>
            </w:r>
          </w:p>
        </w:tc>
        <w:tc>
          <w:tcPr>
            <w:tcW w:w="2439" w:type="dxa"/>
            <w:vMerge/>
            <w:tcBorders>
              <w:top w:val="nil"/>
              <w:bottom w:val="nil"/>
              <w:right w:val="nil"/>
            </w:tcBorders>
          </w:tcPr>
          <w:p w:rsidR="00EA40A3" w:rsidRDefault="00EA40A3"/>
        </w:tc>
      </w:tr>
      <w:tr w:rsidR="00EA40A3">
        <w:trPr>
          <w:trHeight w:val="335"/>
        </w:trPr>
        <w:tc>
          <w:tcPr>
            <w:tcW w:w="520" w:type="dxa"/>
            <w:vMerge/>
            <w:tcBorders>
              <w:top w:val="nil"/>
              <w:left w:val="nil"/>
            </w:tcBorders>
            <w:textDirection w:val="tbRlV"/>
          </w:tcPr>
          <w:p w:rsidR="00EA40A3" w:rsidRDefault="00EA40A3"/>
        </w:tc>
        <w:tc>
          <w:tcPr>
            <w:tcW w:w="1410" w:type="dxa"/>
            <w:vMerge/>
            <w:tcBorders>
              <w:top w:val="nil"/>
            </w:tcBorders>
          </w:tcPr>
          <w:p w:rsidR="00EA40A3" w:rsidRDefault="00EA40A3"/>
        </w:tc>
        <w:tc>
          <w:tcPr>
            <w:tcW w:w="1570" w:type="dxa"/>
          </w:tcPr>
          <w:p w:rsidR="00EA40A3" w:rsidRDefault="00E86C16">
            <w:pPr>
              <w:spacing w:before="98" w:line="220" w:lineRule="auto"/>
              <w:ind w:left="85"/>
              <w:rPr>
                <w:rFonts w:ascii="宋体" w:eastAsia="宋体" w:hAnsi="宋体" w:cs="宋体"/>
                <w:sz w:val="16"/>
                <w:szCs w:val="16"/>
              </w:rPr>
            </w:pPr>
            <w:r>
              <w:rPr>
                <w:rFonts w:ascii="宋体" w:eastAsia="宋体" w:hAnsi="宋体" w:cs="宋体"/>
                <w:spacing w:val="-2"/>
                <w:sz w:val="16"/>
                <w:szCs w:val="16"/>
              </w:rPr>
              <w:t>食盐</w:t>
            </w:r>
          </w:p>
        </w:tc>
        <w:tc>
          <w:tcPr>
            <w:tcW w:w="1260" w:type="dxa"/>
          </w:tcPr>
          <w:p w:rsidR="00EA40A3" w:rsidRDefault="00E86C16">
            <w:pPr>
              <w:spacing w:before="116" w:line="184" w:lineRule="auto"/>
              <w:ind w:left="145"/>
              <w:rPr>
                <w:rFonts w:ascii="宋体" w:eastAsia="宋体" w:hAnsi="宋体" w:cs="宋体"/>
                <w:sz w:val="16"/>
                <w:szCs w:val="16"/>
              </w:rPr>
            </w:pPr>
            <w:r>
              <w:rPr>
                <w:rFonts w:ascii="宋体" w:eastAsia="宋体" w:hAnsi="宋体" w:cs="宋体"/>
                <w:spacing w:val="-1"/>
                <w:sz w:val="16"/>
                <w:szCs w:val="16"/>
              </w:rPr>
              <w:t>800～1000</w:t>
            </w:r>
            <w:r>
              <w:rPr>
                <w:rFonts w:ascii="宋体" w:eastAsia="宋体" w:hAnsi="宋体" w:cs="宋体"/>
                <w:spacing w:val="3"/>
                <w:sz w:val="16"/>
                <w:szCs w:val="16"/>
              </w:rPr>
              <w:t xml:space="preserve"> </w:t>
            </w:r>
            <w:r>
              <w:rPr>
                <w:rFonts w:ascii="宋体" w:eastAsia="宋体" w:hAnsi="宋体" w:cs="宋体"/>
                <w:spacing w:val="-1"/>
                <w:sz w:val="16"/>
                <w:szCs w:val="16"/>
              </w:rPr>
              <w:t>mg</w:t>
            </w:r>
          </w:p>
        </w:tc>
        <w:tc>
          <w:tcPr>
            <w:tcW w:w="2439" w:type="dxa"/>
            <w:vMerge/>
            <w:tcBorders>
              <w:top w:val="nil"/>
              <w:right w:val="nil"/>
            </w:tcBorders>
          </w:tcPr>
          <w:p w:rsidR="00EA40A3" w:rsidRDefault="00EA40A3"/>
        </w:tc>
      </w:tr>
    </w:tbl>
    <w:p w:rsidR="00EA40A3" w:rsidRDefault="00E86C16">
      <w:pPr>
        <w:spacing w:before="218"/>
        <w:ind w:left="109"/>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432</w:t>
      </w:r>
      <w:r>
        <w:rPr>
          <w:rFonts w:ascii="宋体" w:eastAsia="宋体" w:hAnsi="宋体" w:cs="宋体"/>
          <w:spacing w:val="55"/>
          <w:sz w:val="17"/>
          <w:szCs w:val="17"/>
        </w:rPr>
        <w:t xml:space="preserve"> </w:t>
      </w:r>
      <w:r>
        <w:rPr>
          <w:rFonts w:ascii="宋体" w:eastAsia="宋体" w:hAnsi="宋体" w:cs="宋体"/>
          <w:spacing w:val="-20"/>
          <w:sz w:val="17"/>
          <w:szCs w:val="17"/>
        </w:rPr>
        <w:t>·</w:t>
      </w:r>
    </w:p>
    <w:p w:rsidR="00EA40A3" w:rsidRDefault="00EA40A3">
      <w:pPr>
        <w:sectPr w:rsidR="00EA40A3">
          <w:footerReference w:type="default" r:id="rId361"/>
          <w:pgSz w:w="9220" w:h="13360"/>
          <w:pgMar w:top="400" w:right="1080" w:bottom="400" w:left="939" w:header="0" w:footer="0" w:gutter="0"/>
          <w:cols w:space="720"/>
        </w:sectPr>
      </w:pPr>
    </w:p>
    <w:p w:rsidR="00EA40A3" w:rsidRDefault="00EA40A3">
      <w:pPr>
        <w:spacing w:line="250" w:lineRule="auto"/>
      </w:pPr>
    </w:p>
    <w:p w:rsidR="00EA40A3" w:rsidRDefault="00EA40A3">
      <w:pPr>
        <w:spacing w:line="250" w:lineRule="auto"/>
      </w:pPr>
    </w:p>
    <w:p w:rsidR="00EA40A3" w:rsidRDefault="00E86C16">
      <w:pPr>
        <w:spacing w:before="65" w:line="220" w:lineRule="auto"/>
        <w:ind w:right="215"/>
        <w:jc w:val="right"/>
        <w:rPr>
          <w:rFonts w:ascii="宋体" w:eastAsia="宋体" w:hAnsi="宋体" w:cs="宋体"/>
          <w:sz w:val="20"/>
          <w:szCs w:val="20"/>
        </w:rPr>
      </w:pPr>
      <w:r>
        <w:rPr>
          <w:rFonts w:ascii="宋体" w:eastAsia="宋体" w:hAnsi="宋体" w:cs="宋体"/>
          <w:spacing w:val="-3"/>
          <w:sz w:val="20"/>
          <w:szCs w:val="20"/>
        </w:rPr>
        <w:t>续表</w:t>
      </w:r>
    </w:p>
    <w:p w:rsidR="00EA40A3" w:rsidRDefault="00EA40A3">
      <w:pPr>
        <w:spacing w:line="57" w:lineRule="exact"/>
      </w:pPr>
    </w:p>
    <w:tbl>
      <w:tblPr>
        <w:tblStyle w:val="TableNormal"/>
        <w:tblW w:w="72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420"/>
        <w:gridCol w:w="1570"/>
        <w:gridCol w:w="1260"/>
        <w:gridCol w:w="2450"/>
      </w:tblGrid>
      <w:tr w:rsidR="00EA40A3">
        <w:trPr>
          <w:trHeight w:val="305"/>
        </w:trPr>
        <w:tc>
          <w:tcPr>
            <w:tcW w:w="540" w:type="dxa"/>
            <w:tcBorders>
              <w:left w:val="nil"/>
            </w:tcBorders>
          </w:tcPr>
          <w:p w:rsidR="00EA40A3" w:rsidRDefault="00E86C16">
            <w:pPr>
              <w:spacing w:before="71" w:line="219" w:lineRule="auto"/>
              <w:ind w:left="109"/>
              <w:rPr>
                <w:rFonts w:ascii="宋体" w:eastAsia="宋体" w:hAnsi="宋体" w:cs="宋体"/>
                <w:sz w:val="16"/>
                <w:szCs w:val="16"/>
              </w:rPr>
            </w:pPr>
            <w:r>
              <w:rPr>
                <w:rFonts w:ascii="宋体" w:eastAsia="宋体" w:hAnsi="宋体" w:cs="宋体"/>
                <w:spacing w:val="-2"/>
                <w:sz w:val="16"/>
                <w:szCs w:val="16"/>
              </w:rPr>
              <w:t>种类</w:t>
            </w:r>
          </w:p>
        </w:tc>
        <w:tc>
          <w:tcPr>
            <w:tcW w:w="1420" w:type="dxa"/>
          </w:tcPr>
          <w:p w:rsidR="00EA40A3" w:rsidRDefault="00E86C16">
            <w:pPr>
              <w:spacing w:before="72" w:line="220" w:lineRule="auto"/>
              <w:ind w:left="414"/>
              <w:rPr>
                <w:rFonts w:ascii="宋体" w:eastAsia="宋体" w:hAnsi="宋体" w:cs="宋体"/>
                <w:sz w:val="16"/>
                <w:szCs w:val="16"/>
              </w:rPr>
            </w:pPr>
            <w:r>
              <w:rPr>
                <w:rFonts w:ascii="宋体" w:eastAsia="宋体" w:hAnsi="宋体" w:cs="宋体"/>
                <w:spacing w:val="-10"/>
                <w:sz w:val="16"/>
                <w:szCs w:val="16"/>
              </w:rPr>
              <w:t>品</w:t>
            </w:r>
            <w:r>
              <w:rPr>
                <w:rFonts w:ascii="宋体" w:eastAsia="宋体" w:hAnsi="宋体" w:cs="宋体"/>
                <w:spacing w:val="9"/>
                <w:sz w:val="16"/>
                <w:szCs w:val="16"/>
              </w:rPr>
              <w:t xml:space="preserve">    </w:t>
            </w:r>
            <w:r>
              <w:rPr>
                <w:rFonts w:ascii="宋体" w:eastAsia="宋体" w:hAnsi="宋体" w:cs="宋体"/>
                <w:spacing w:val="-10"/>
                <w:sz w:val="16"/>
                <w:szCs w:val="16"/>
              </w:rPr>
              <w:t>种</w:t>
            </w:r>
          </w:p>
        </w:tc>
        <w:tc>
          <w:tcPr>
            <w:tcW w:w="1570" w:type="dxa"/>
          </w:tcPr>
          <w:p w:rsidR="00EA40A3" w:rsidRDefault="00E86C16">
            <w:pPr>
              <w:spacing w:before="71" w:line="219" w:lineRule="auto"/>
              <w:ind w:left="485"/>
              <w:rPr>
                <w:rFonts w:ascii="宋体" w:eastAsia="宋体" w:hAnsi="宋体" w:cs="宋体"/>
                <w:sz w:val="16"/>
                <w:szCs w:val="16"/>
              </w:rPr>
            </w:pPr>
            <w:r>
              <w:rPr>
                <w:rFonts w:ascii="宋体" w:eastAsia="宋体" w:hAnsi="宋体" w:cs="宋体"/>
                <w:spacing w:val="3"/>
                <w:sz w:val="16"/>
                <w:szCs w:val="16"/>
              </w:rPr>
              <w:t>使用范围</w:t>
            </w:r>
          </w:p>
        </w:tc>
        <w:tc>
          <w:tcPr>
            <w:tcW w:w="1260" w:type="dxa"/>
          </w:tcPr>
          <w:p w:rsidR="00EA40A3" w:rsidRDefault="00E86C16">
            <w:pPr>
              <w:spacing w:before="71" w:line="219" w:lineRule="auto"/>
              <w:ind w:left="144"/>
              <w:rPr>
                <w:rFonts w:ascii="宋体" w:eastAsia="宋体" w:hAnsi="宋体" w:cs="宋体"/>
                <w:sz w:val="16"/>
                <w:szCs w:val="16"/>
              </w:rPr>
            </w:pPr>
            <w:r>
              <w:rPr>
                <w:rFonts w:ascii="宋体" w:eastAsia="宋体" w:hAnsi="宋体" w:cs="宋体"/>
                <w:spacing w:val="-1"/>
                <w:sz w:val="16"/>
                <w:szCs w:val="16"/>
              </w:rPr>
              <w:t>每千克使用量</w:t>
            </w:r>
          </w:p>
        </w:tc>
        <w:tc>
          <w:tcPr>
            <w:tcW w:w="2450" w:type="dxa"/>
            <w:tcBorders>
              <w:right w:val="nil"/>
            </w:tcBorders>
          </w:tcPr>
          <w:p w:rsidR="00EA40A3" w:rsidRDefault="00E86C16">
            <w:pPr>
              <w:spacing w:before="72" w:line="221" w:lineRule="auto"/>
              <w:ind w:left="924"/>
              <w:rPr>
                <w:rFonts w:ascii="宋体" w:eastAsia="宋体" w:hAnsi="宋体" w:cs="宋体"/>
                <w:sz w:val="16"/>
                <w:szCs w:val="16"/>
              </w:rPr>
            </w:pPr>
            <w:r>
              <w:rPr>
                <w:rFonts w:ascii="宋体" w:eastAsia="宋体" w:hAnsi="宋体" w:cs="宋体"/>
                <w:spacing w:val="-5"/>
                <w:sz w:val="16"/>
                <w:szCs w:val="16"/>
              </w:rPr>
              <w:t>备</w:t>
            </w:r>
            <w:r>
              <w:rPr>
                <w:rFonts w:ascii="宋体" w:eastAsia="宋体" w:hAnsi="宋体" w:cs="宋体"/>
                <w:spacing w:val="1"/>
                <w:sz w:val="16"/>
                <w:szCs w:val="16"/>
              </w:rPr>
              <w:t xml:space="preserve">    </w:t>
            </w:r>
            <w:r>
              <w:rPr>
                <w:rFonts w:ascii="宋体" w:eastAsia="宋体" w:hAnsi="宋体" w:cs="宋体"/>
                <w:spacing w:val="-5"/>
                <w:sz w:val="16"/>
                <w:szCs w:val="16"/>
              </w:rPr>
              <w:t>注</w:t>
            </w:r>
          </w:p>
        </w:tc>
      </w:tr>
      <w:tr w:rsidR="00EA40A3">
        <w:trPr>
          <w:trHeight w:val="759"/>
        </w:trPr>
        <w:tc>
          <w:tcPr>
            <w:tcW w:w="540" w:type="dxa"/>
            <w:vMerge w:val="restart"/>
            <w:tcBorders>
              <w:left w:val="nil"/>
              <w:bottom w:val="nil"/>
            </w:tcBorders>
            <w:textDirection w:val="tbRlV"/>
          </w:tcPr>
          <w:p w:rsidR="00EA40A3" w:rsidRDefault="00E86C16">
            <w:pPr>
              <w:spacing w:before="185" w:line="216" w:lineRule="auto"/>
              <w:ind w:left="4390"/>
              <w:rPr>
                <w:rFonts w:ascii="宋体" w:eastAsia="宋体" w:hAnsi="宋体" w:cs="宋体"/>
                <w:sz w:val="16"/>
                <w:szCs w:val="16"/>
              </w:rPr>
            </w:pPr>
            <w:r>
              <w:rPr>
                <w:rFonts w:ascii="宋体" w:eastAsia="宋体" w:hAnsi="宋体" w:cs="宋体"/>
                <w:spacing w:val="26"/>
                <w:w w:val="129"/>
                <w:sz w:val="16"/>
                <w:szCs w:val="16"/>
              </w:rPr>
              <w:t>矿物质类</w:t>
            </w:r>
          </w:p>
        </w:tc>
        <w:tc>
          <w:tcPr>
            <w:tcW w:w="1420" w:type="dxa"/>
            <w:vMerge w:val="restart"/>
            <w:tcBorders>
              <w:bottom w:val="nil"/>
            </w:tcBorders>
          </w:tcPr>
          <w:p w:rsidR="00EA40A3" w:rsidRDefault="00EA40A3">
            <w:pPr>
              <w:spacing w:line="315" w:lineRule="auto"/>
            </w:pPr>
          </w:p>
          <w:p w:rsidR="00EA40A3" w:rsidRDefault="00EA40A3">
            <w:pPr>
              <w:spacing w:line="316" w:lineRule="auto"/>
            </w:pPr>
          </w:p>
          <w:p w:rsidR="00EA40A3" w:rsidRDefault="00E86C16">
            <w:pPr>
              <w:spacing w:before="52" w:line="220" w:lineRule="auto"/>
              <w:ind w:left="85"/>
              <w:rPr>
                <w:rFonts w:ascii="宋体" w:eastAsia="宋体" w:hAnsi="宋体" w:cs="宋体"/>
                <w:sz w:val="16"/>
                <w:szCs w:val="16"/>
              </w:rPr>
            </w:pPr>
            <w:r>
              <w:rPr>
                <w:rFonts w:ascii="宋体" w:eastAsia="宋体" w:hAnsi="宋体" w:cs="宋体"/>
                <w:spacing w:val="-1"/>
                <w:sz w:val="16"/>
                <w:szCs w:val="16"/>
              </w:rPr>
              <w:t>碘：碘化钾</w:t>
            </w:r>
          </w:p>
        </w:tc>
        <w:tc>
          <w:tcPr>
            <w:tcW w:w="1570" w:type="dxa"/>
          </w:tcPr>
          <w:p w:rsidR="00EA40A3" w:rsidRDefault="00EA40A3">
            <w:pPr>
              <w:spacing w:line="243" w:lineRule="auto"/>
            </w:pPr>
          </w:p>
          <w:p w:rsidR="00EA40A3" w:rsidRDefault="00E86C16">
            <w:pPr>
              <w:spacing w:before="52" w:line="220" w:lineRule="auto"/>
              <w:ind w:left="84"/>
              <w:rPr>
                <w:rFonts w:ascii="宋体" w:eastAsia="宋体" w:hAnsi="宋体" w:cs="宋体"/>
                <w:sz w:val="16"/>
                <w:szCs w:val="16"/>
              </w:rPr>
            </w:pPr>
            <w:r>
              <w:rPr>
                <w:rFonts w:ascii="宋体" w:eastAsia="宋体" w:hAnsi="宋体" w:cs="宋体"/>
                <w:spacing w:val="-2"/>
                <w:sz w:val="16"/>
                <w:szCs w:val="16"/>
              </w:rPr>
              <w:t>食盐</w:t>
            </w:r>
          </w:p>
        </w:tc>
        <w:tc>
          <w:tcPr>
            <w:tcW w:w="1260" w:type="dxa"/>
          </w:tcPr>
          <w:p w:rsidR="00EA40A3" w:rsidRDefault="00EA40A3">
            <w:pPr>
              <w:spacing w:line="262" w:lineRule="auto"/>
            </w:pPr>
          </w:p>
          <w:p w:rsidR="00EA40A3" w:rsidRDefault="00E86C16">
            <w:pPr>
              <w:spacing w:before="52" w:line="183" w:lineRule="auto"/>
              <w:ind w:left="265"/>
              <w:rPr>
                <w:rFonts w:ascii="宋体" w:eastAsia="宋体" w:hAnsi="宋体" w:cs="宋体"/>
                <w:sz w:val="16"/>
                <w:szCs w:val="16"/>
              </w:rPr>
            </w:pPr>
            <w:r>
              <w:rPr>
                <w:rFonts w:ascii="宋体" w:eastAsia="宋体" w:hAnsi="宋体" w:cs="宋体"/>
                <w:spacing w:val="-2"/>
                <w:sz w:val="16"/>
                <w:szCs w:val="16"/>
              </w:rPr>
              <w:t>30～70</w:t>
            </w:r>
            <w:r>
              <w:rPr>
                <w:rFonts w:ascii="宋体" w:eastAsia="宋体" w:hAnsi="宋体" w:cs="宋体"/>
                <w:spacing w:val="4"/>
                <w:sz w:val="16"/>
                <w:szCs w:val="16"/>
              </w:rPr>
              <w:t xml:space="preserve"> </w:t>
            </w:r>
            <w:r>
              <w:rPr>
                <w:rFonts w:ascii="宋体" w:eastAsia="宋体" w:hAnsi="宋体" w:cs="宋体"/>
                <w:spacing w:val="-2"/>
                <w:sz w:val="16"/>
                <w:szCs w:val="16"/>
              </w:rPr>
              <w:t>mg</w:t>
            </w:r>
          </w:p>
        </w:tc>
        <w:tc>
          <w:tcPr>
            <w:tcW w:w="2450" w:type="dxa"/>
            <w:vMerge w:val="restart"/>
            <w:tcBorders>
              <w:bottom w:val="nil"/>
              <w:right w:val="nil"/>
            </w:tcBorders>
          </w:tcPr>
          <w:p w:rsidR="00EA40A3" w:rsidRDefault="00E86C16">
            <w:pPr>
              <w:spacing w:before="54" w:line="278" w:lineRule="auto"/>
              <w:ind w:left="274" w:right="33" w:hanging="170"/>
              <w:rPr>
                <w:rFonts w:ascii="宋体" w:eastAsia="宋体" w:hAnsi="宋体" w:cs="宋体"/>
                <w:sz w:val="16"/>
                <w:szCs w:val="16"/>
              </w:rPr>
            </w:pPr>
            <w:r>
              <w:rPr>
                <w:rFonts w:ascii="宋体" w:eastAsia="宋体" w:hAnsi="宋体" w:cs="宋体"/>
                <w:spacing w:val="12"/>
                <w:sz w:val="16"/>
                <w:szCs w:val="16"/>
              </w:rPr>
              <w:t>1.碘化钾中含碘量为76.4%,以</w:t>
            </w:r>
            <w:r>
              <w:rPr>
                <w:rFonts w:ascii="宋体" w:eastAsia="宋体" w:hAnsi="宋体" w:cs="宋体"/>
                <w:spacing w:val="9"/>
                <w:sz w:val="16"/>
                <w:szCs w:val="16"/>
              </w:rPr>
              <w:t xml:space="preserve"> </w:t>
            </w:r>
            <w:r>
              <w:rPr>
                <w:rFonts w:ascii="宋体" w:eastAsia="宋体" w:hAnsi="宋体" w:cs="宋体"/>
                <w:spacing w:val="7"/>
                <w:sz w:val="16"/>
                <w:szCs w:val="16"/>
              </w:rPr>
              <w:t>元素碘计，食盐强化量为20~</w:t>
            </w:r>
            <w:r>
              <w:rPr>
                <w:rFonts w:ascii="宋体" w:eastAsia="宋体" w:hAnsi="宋体" w:cs="宋体"/>
                <w:spacing w:val="10"/>
                <w:sz w:val="16"/>
                <w:szCs w:val="16"/>
              </w:rPr>
              <w:t xml:space="preserve"> </w:t>
            </w:r>
            <w:r>
              <w:rPr>
                <w:rFonts w:ascii="宋体" w:eastAsia="宋体" w:hAnsi="宋体" w:cs="宋体"/>
                <w:spacing w:val="9"/>
                <w:sz w:val="16"/>
                <w:szCs w:val="16"/>
              </w:rPr>
              <w:t>50</w:t>
            </w:r>
            <w:r>
              <w:rPr>
                <w:rFonts w:ascii="宋体" w:eastAsia="宋体" w:hAnsi="宋体" w:cs="宋体"/>
                <w:spacing w:val="27"/>
                <w:sz w:val="16"/>
                <w:szCs w:val="16"/>
              </w:rPr>
              <w:t xml:space="preserve"> </w:t>
            </w:r>
            <w:r>
              <w:rPr>
                <w:rFonts w:ascii="宋体" w:eastAsia="宋体" w:hAnsi="宋体" w:cs="宋体"/>
                <w:sz w:val="16"/>
                <w:szCs w:val="16"/>
              </w:rPr>
              <w:t>mg</w:t>
            </w:r>
            <w:r>
              <w:rPr>
                <w:rFonts w:ascii="宋体" w:eastAsia="宋体" w:hAnsi="宋体" w:cs="宋体"/>
                <w:spacing w:val="9"/>
                <w:sz w:val="16"/>
                <w:szCs w:val="16"/>
              </w:rPr>
              <w:t>/</w:t>
            </w:r>
            <w:r>
              <w:rPr>
                <w:rFonts w:ascii="宋体" w:eastAsia="宋体" w:hAnsi="宋体" w:cs="宋体"/>
                <w:sz w:val="16"/>
                <w:szCs w:val="16"/>
              </w:rPr>
              <w:t>kg</w:t>
            </w:r>
            <w:r>
              <w:rPr>
                <w:rFonts w:ascii="宋体" w:eastAsia="宋体" w:hAnsi="宋体" w:cs="宋体"/>
                <w:spacing w:val="9"/>
                <w:sz w:val="16"/>
                <w:szCs w:val="16"/>
              </w:rPr>
              <w:t>,限于地方性甲状腺</w:t>
            </w:r>
            <w:r>
              <w:rPr>
                <w:rFonts w:ascii="宋体" w:eastAsia="宋体" w:hAnsi="宋体" w:cs="宋体"/>
                <w:sz w:val="16"/>
                <w:szCs w:val="16"/>
              </w:rPr>
              <w:t xml:space="preserve"> </w:t>
            </w:r>
            <w:r>
              <w:rPr>
                <w:rFonts w:ascii="宋体" w:eastAsia="宋体" w:hAnsi="宋体" w:cs="宋体"/>
                <w:spacing w:val="3"/>
                <w:sz w:val="16"/>
                <w:szCs w:val="16"/>
              </w:rPr>
              <w:t>肿地区食用</w:t>
            </w:r>
          </w:p>
          <w:p w:rsidR="00EA40A3" w:rsidRDefault="00E86C16">
            <w:pPr>
              <w:spacing w:before="48" w:line="260" w:lineRule="auto"/>
              <w:ind w:left="294" w:right="19" w:hanging="190"/>
              <w:rPr>
                <w:rFonts w:ascii="宋体" w:eastAsia="宋体" w:hAnsi="宋体" w:cs="宋体"/>
                <w:sz w:val="16"/>
                <w:szCs w:val="16"/>
              </w:rPr>
            </w:pPr>
            <w:r>
              <w:rPr>
                <w:rFonts w:ascii="宋体" w:eastAsia="宋体" w:hAnsi="宋体" w:cs="宋体"/>
                <w:spacing w:val="22"/>
                <w:sz w:val="16"/>
                <w:szCs w:val="16"/>
              </w:rPr>
              <w:t>2</w:t>
            </w:r>
            <w:r>
              <w:rPr>
                <w:rFonts w:ascii="宋体" w:eastAsia="宋体" w:hAnsi="宋体" w:cs="宋体"/>
                <w:spacing w:val="-44"/>
                <w:sz w:val="16"/>
                <w:szCs w:val="16"/>
              </w:rPr>
              <w:t xml:space="preserve"> </w:t>
            </w:r>
            <w:r>
              <w:rPr>
                <w:rFonts w:ascii="宋体" w:eastAsia="宋体" w:hAnsi="宋体" w:cs="宋体"/>
                <w:spacing w:val="22"/>
                <w:sz w:val="16"/>
                <w:szCs w:val="16"/>
              </w:rPr>
              <w:t>.</w:t>
            </w:r>
            <w:r>
              <w:rPr>
                <w:rFonts w:ascii="宋体" w:eastAsia="宋体" w:hAnsi="宋体" w:cs="宋体"/>
                <w:spacing w:val="-47"/>
                <w:sz w:val="16"/>
                <w:szCs w:val="16"/>
              </w:rPr>
              <w:t xml:space="preserve"> </w:t>
            </w:r>
            <w:r>
              <w:rPr>
                <w:rFonts w:ascii="宋体" w:eastAsia="宋体" w:hAnsi="宋体" w:cs="宋体"/>
                <w:spacing w:val="22"/>
                <w:sz w:val="16"/>
                <w:szCs w:val="16"/>
              </w:rPr>
              <w:t>婴幼儿食品强化量为250~</w:t>
            </w:r>
            <w:r>
              <w:rPr>
                <w:rFonts w:ascii="宋体" w:eastAsia="宋体" w:hAnsi="宋体" w:cs="宋体"/>
                <w:sz w:val="16"/>
                <w:szCs w:val="16"/>
              </w:rPr>
              <w:t xml:space="preserve"> </w:t>
            </w:r>
            <w:r>
              <w:rPr>
                <w:rFonts w:ascii="宋体" w:eastAsia="宋体" w:hAnsi="宋体" w:cs="宋体"/>
                <w:spacing w:val="-1"/>
                <w:sz w:val="16"/>
                <w:szCs w:val="16"/>
              </w:rPr>
              <w:t>480μg/kg</w:t>
            </w:r>
          </w:p>
        </w:tc>
      </w:tr>
      <w:tr w:rsidR="00EA40A3">
        <w:trPr>
          <w:trHeight w:val="75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A40A3">
            <w:pPr>
              <w:spacing w:line="244" w:lineRule="auto"/>
            </w:pPr>
          </w:p>
          <w:p w:rsidR="00EA40A3" w:rsidRDefault="00E86C16">
            <w:pPr>
              <w:spacing w:before="52" w:line="219" w:lineRule="auto"/>
              <w:ind w:left="84"/>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A40A3">
            <w:pPr>
              <w:spacing w:line="264" w:lineRule="auto"/>
            </w:pPr>
          </w:p>
          <w:p w:rsidR="00EA40A3" w:rsidRDefault="00E86C16">
            <w:pPr>
              <w:spacing w:before="52" w:line="183" w:lineRule="auto"/>
              <w:ind w:left="184"/>
              <w:rPr>
                <w:rFonts w:ascii="宋体" w:eastAsia="宋体" w:hAnsi="宋体" w:cs="宋体"/>
                <w:sz w:val="16"/>
                <w:szCs w:val="16"/>
              </w:rPr>
            </w:pPr>
            <w:r>
              <w:rPr>
                <w:rFonts w:ascii="宋体" w:eastAsia="宋体" w:hAnsi="宋体" w:cs="宋体"/>
                <w:spacing w:val="-1"/>
                <w:sz w:val="16"/>
                <w:szCs w:val="16"/>
              </w:rPr>
              <w:t>0.3～0.6</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50" w:type="dxa"/>
            <w:vMerge/>
            <w:tcBorders>
              <w:top w:val="nil"/>
              <w:right w:val="nil"/>
            </w:tcBorders>
          </w:tcPr>
          <w:p w:rsidR="00EA40A3" w:rsidRDefault="00EA40A3"/>
        </w:tc>
      </w:tr>
      <w:tr w:rsidR="00EA40A3">
        <w:trPr>
          <w:trHeight w:val="300"/>
        </w:trPr>
        <w:tc>
          <w:tcPr>
            <w:tcW w:w="54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474" w:lineRule="auto"/>
            </w:pPr>
          </w:p>
          <w:p w:rsidR="00EA40A3" w:rsidRDefault="00E86C16">
            <w:pPr>
              <w:spacing w:before="52" w:line="221" w:lineRule="auto"/>
              <w:ind w:left="85"/>
              <w:rPr>
                <w:rFonts w:ascii="宋体" w:eastAsia="宋体" w:hAnsi="宋体" w:cs="宋体"/>
                <w:sz w:val="16"/>
                <w:szCs w:val="16"/>
              </w:rPr>
            </w:pPr>
            <w:r>
              <w:rPr>
                <w:rFonts w:ascii="宋体" w:eastAsia="宋体" w:hAnsi="宋体" w:cs="宋体"/>
                <w:spacing w:val="-1"/>
                <w:sz w:val="16"/>
                <w:szCs w:val="16"/>
              </w:rPr>
              <w:t>硒：亚硒酸钠</w:t>
            </w:r>
          </w:p>
        </w:tc>
        <w:tc>
          <w:tcPr>
            <w:tcW w:w="1570" w:type="dxa"/>
          </w:tcPr>
          <w:p w:rsidR="00EA40A3" w:rsidRDefault="00E86C16">
            <w:pPr>
              <w:spacing w:before="69" w:line="220" w:lineRule="auto"/>
              <w:ind w:left="84"/>
              <w:rPr>
                <w:rFonts w:ascii="宋体" w:eastAsia="宋体" w:hAnsi="宋体" w:cs="宋体"/>
                <w:sz w:val="16"/>
                <w:szCs w:val="16"/>
              </w:rPr>
            </w:pPr>
            <w:r>
              <w:rPr>
                <w:rFonts w:ascii="宋体" w:eastAsia="宋体" w:hAnsi="宋体" w:cs="宋体"/>
                <w:spacing w:val="-2"/>
                <w:sz w:val="16"/>
                <w:szCs w:val="16"/>
              </w:rPr>
              <w:t>食盐</w:t>
            </w:r>
          </w:p>
        </w:tc>
        <w:tc>
          <w:tcPr>
            <w:tcW w:w="1260" w:type="dxa"/>
          </w:tcPr>
          <w:p w:rsidR="00EA40A3" w:rsidRDefault="00E86C16">
            <w:pPr>
              <w:spacing w:before="87" w:line="184" w:lineRule="auto"/>
              <w:ind w:left="305"/>
              <w:rPr>
                <w:rFonts w:ascii="宋体" w:eastAsia="宋体" w:hAnsi="宋体" w:cs="宋体"/>
                <w:sz w:val="16"/>
                <w:szCs w:val="16"/>
              </w:rPr>
            </w:pPr>
            <w:r>
              <w:rPr>
                <w:rFonts w:ascii="宋体" w:eastAsia="宋体" w:hAnsi="宋体" w:cs="宋体"/>
                <w:spacing w:val="-2"/>
                <w:sz w:val="16"/>
                <w:szCs w:val="16"/>
              </w:rPr>
              <w:t>7～11</w:t>
            </w:r>
            <w:r>
              <w:rPr>
                <w:rFonts w:ascii="宋体" w:eastAsia="宋体" w:hAnsi="宋体" w:cs="宋体"/>
                <w:spacing w:val="1"/>
                <w:sz w:val="16"/>
                <w:szCs w:val="16"/>
              </w:rPr>
              <w:t xml:space="preserve"> </w:t>
            </w:r>
            <w:r>
              <w:rPr>
                <w:rFonts w:ascii="宋体" w:eastAsia="宋体" w:hAnsi="宋体" w:cs="宋体"/>
                <w:spacing w:val="-2"/>
                <w:sz w:val="16"/>
                <w:szCs w:val="16"/>
              </w:rPr>
              <w:t>mg</w:t>
            </w:r>
          </w:p>
        </w:tc>
        <w:tc>
          <w:tcPr>
            <w:tcW w:w="2450" w:type="dxa"/>
            <w:vMerge w:val="restart"/>
            <w:tcBorders>
              <w:bottom w:val="nil"/>
              <w:right w:val="nil"/>
            </w:tcBorders>
          </w:tcPr>
          <w:p w:rsidR="00EA40A3" w:rsidRDefault="00E86C16">
            <w:pPr>
              <w:spacing w:before="138" w:line="219" w:lineRule="auto"/>
              <w:ind w:left="104"/>
              <w:rPr>
                <w:rFonts w:ascii="宋体" w:eastAsia="宋体" w:hAnsi="宋体" w:cs="宋体"/>
                <w:sz w:val="16"/>
                <w:szCs w:val="16"/>
              </w:rPr>
            </w:pPr>
            <w:r>
              <w:rPr>
                <w:rFonts w:ascii="宋体" w:eastAsia="宋体" w:hAnsi="宋体" w:cs="宋体"/>
                <w:spacing w:val="3"/>
                <w:sz w:val="16"/>
                <w:szCs w:val="16"/>
              </w:rPr>
              <w:t>1.</w:t>
            </w:r>
            <w:r>
              <w:rPr>
                <w:rFonts w:ascii="宋体" w:eastAsia="宋体" w:hAnsi="宋体" w:cs="宋体"/>
                <w:spacing w:val="-34"/>
                <w:sz w:val="16"/>
                <w:szCs w:val="16"/>
              </w:rPr>
              <w:t xml:space="preserve"> </w:t>
            </w:r>
            <w:r>
              <w:rPr>
                <w:rFonts w:ascii="宋体" w:eastAsia="宋体" w:hAnsi="宋体" w:cs="宋体"/>
                <w:spacing w:val="3"/>
                <w:sz w:val="16"/>
                <w:szCs w:val="16"/>
              </w:rPr>
              <w:t>以元素硒计强化量：</w:t>
            </w:r>
          </w:p>
          <w:p w:rsidR="00EA40A3" w:rsidRDefault="00E86C16">
            <w:pPr>
              <w:spacing w:before="49" w:line="260" w:lineRule="auto"/>
              <w:ind w:left="284" w:right="49" w:hanging="10"/>
              <w:rPr>
                <w:rFonts w:ascii="宋体" w:eastAsia="宋体" w:hAnsi="宋体" w:cs="宋体"/>
                <w:sz w:val="16"/>
                <w:szCs w:val="16"/>
              </w:rPr>
            </w:pPr>
            <w:r>
              <w:rPr>
                <w:rFonts w:ascii="宋体" w:eastAsia="宋体" w:hAnsi="宋体" w:cs="宋体"/>
                <w:spacing w:val="14"/>
                <w:sz w:val="16"/>
                <w:szCs w:val="16"/>
              </w:rPr>
              <w:t>乳制品、谷类及其制品140~</w:t>
            </w:r>
            <w:r>
              <w:rPr>
                <w:rFonts w:ascii="宋体" w:eastAsia="宋体" w:hAnsi="宋体" w:cs="宋体"/>
                <w:spacing w:val="3"/>
                <w:sz w:val="16"/>
                <w:szCs w:val="16"/>
              </w:rPr>
              <w:t xml:space="preserve"> </w:t>
            </w:r>
            <w:r>
              <w:rPr>
                <w:rFonts w:ascii="宋体" w:eastAsia="宋体" w:hAnsi="宋体" w:cs="宋体"/>
                <w:spacing w:val="-2"/>
                <w:sz w:val="16"/>
                <w:szCs w:val="16"/>
              </w:rPr>
              <w:t>280μg</w:t>
            </w:r>
            <w:r>
              <w:rPr>
                <w:rFonts w:ascii="宋体" w:eastAsia="宋体" w:hAnsi="宋体" w:cs="宋体"/>
                <w:spacing w:val="8"/>
                <w:sz w:val="16"/>
                <w:szCs w:val="16"/>
              </w:rPr>
              <w:t xml:space="preserve"> </w:t>
            </w:r>
            <w:r>
              <w:rPr>
                <w:rFonts w:ascii="宋体" w:eastAsia="宋体" w:hAnsi="宋体" w:cs="宋体"/>
                <w:spacing w:val="-2"/>
                <w:sz w:val="16"/>
                <w:szCs w:val="16"/>
              </w:rPr>
              <w:t>/kg</w:t>
            </w:r>
          </w:p>
          <w:p w:rsidR="00EA40A3" w:rsidRDefault="00E86C16">
            <w:pPr>
              <w:spacing w:before="74" w:line="257" w:lineRule="auto"/>
              <w:ind w:left="294" w:right="86" w:hanging="9"/>
              <w:rPr>
                <w:rFonts w:ascii="宋体" w:eastAsia="宋体" w:hAnsi="宋体" w:cs="宋体"/>
                <w:sz w:val="16"/>
                <w:szCs w:val="16"/>
              </w:rPr>
            </w:pPr>
            <w:r>
              <w:rPr>
                <w:rFonts w:ascii="宋体" w:eastAsia="宋体" w:hAnsi="宋体" w:cs="宋体"/>
                <w:spacing w:val="-1"/>
                <w:sz w:val="16"/>
                <w:szCs w:val="16"/>
              </w:rPr>
              <w:t>饮液及乳饮料50～200μg</w:t>
            </w:r>
            <w:r>
              <w:rPr>
                <w:rFonts w:ascii="宋体" w:eastAsia="宋体" w:hAnsi="宋体" w:cs="宋体"/>
                <w:spacing w:val="9"/>
                <w:sz w:val="16"/>
                <w:szCs w:val="16"/>
              </w:rPr>
              <w:t xml:space="preserve"> </w:t>
            </w:r>
            <w:r>
              <w:rPr>
                <w:rFonts w:ascii="宋体" w:eastAsia="宋体" w:hAnsi="宋体" w:cs="宋体"/>
                <w:spacing w:val="-1"/>
                <w:sz w:val="16"/>
                <w:szCs w:val="16"/>
              </w:rPr>
              <w:t>/kg</w:t>
            </w:r>
            <w:r>
              <w:rPr>
                <w:rFonts w:ascii="宋体" w:eastAsia="宋体" w:hAnsi="宋体" w:cs="宋体"/>
                <w:sz w:val="16"/>
                <w:szCs w:val="16"/>
              </w:rPr>
              <w:t xml:space="preserve"> </w:t>
            </w:r>
            <w:r>
              <w:rPr>
                <w:rFonts w:ascii="宋体" w:eastAsia="宋体" w:hAnsi="宋体" w:cs="宋体"/>
                <w:spacing w:val="5"/>
                <w:sz w:val="16"/>
                <w:szCs w:val="16"/>
              </w:rPr>
              <w:t>食盐3～5</w:t>
            </w:r>
            <w:r>
              <w:rPr>
                <w:rFonts w:ascii="宋体" w:eastAsia="宋体" w:hAnsi="宋体" w:cs="宋体"/>
                <w:spacing w:val="13"/>
                <w:sz w:val="16"/>
                <w:szCs w:val="16"/>
              </w:rPr>
              <w:t xml:space="preserve"> </w:t>
            </w:r>
            <w:r>
              <w:rPr>
                <w:rFonts w:ascii="宋体" w:eastAsia="宋体" w:hAnsi="宋体" w:cs="宋体"/>
                <w:sz w:val="16"/>
                <w:szCs w:val="16"/>
              </w:rPr>
              <w:t>mg</w:t>
            </w:r>
            <w:r>
              <w:rPr>
                <w:rFonts w:ascii="宋体" w:eastAsia="宋体" w:hAnsi="宋体" w:cs="宋体"/>
                <w:spacing w:val="5"/>
                <w:sz w:val="16"/>
                <w:szCs w:val="16"/>
              </w:rPr>
              <w:t>/</w:t>
            </w:r>
            <w:r>
              <w:rPr>
                <w:rFonts w:ascii="宋体" w:eastAsia="宋体" w:hAnsi="宋体" w:cs="宋体"/>
                <w:sz w:val="16"/>
                <w:szCs w:val="16"/>
              </w:rPr>
              <w:t>kg</w:t>
            </w:r>
          </w:p>
          <w:p w:rsidR="00EA40A3" w:rsidRDefault="00E86C16">
            <w:pPr>
              <w:spacing w:before="58" w:line="266" w:lineRule="auto"/>
              <w:ind w:left="284" w:right="11" w:hanging="180"/>
              <w:rPr>
                <w:rFonts w:ascii="宋体" w:eastAsia="宋体" w:hAnsi="宋体" w:cs="宋体"/>
                <w:sz w:val="16"/>
                <w:szCs w:val="16"/>
              </w:rPr>
            </w:pPr>
            <w:r>
              <w:rPr>
                <w:rFonts w:ascii="宋体" w:eastAsia="宋体" w:hAnsi="宋体" w:cs="宋体"/>
                <w:spacing w:val="5"/>
                <w:sz w:val="16"/>
                <w:szCs w:val="16"/>
              </w:rPr>
              <w:t>2.用硒源作为营养强化剂必须在</w:t>
            </w:r>
            <w:r>
              <w:rPr>
                <w:rFonts w:ascii="宋体" w:eastAsia="宋体" w:hAnsi="宋体" w:cs="宋体"/>
                <w:spacing w:val="12"/>
                <w:sz w:val="16"/>
                <w:szCs w:val="16"/>
              </w:rPr>
              <w:t xml:space="preserve"> </w:t>
            </w:r>
            <w:r>
              <w:rPr>
                <w:rFonts w:ascii="宋体" w:eastAsia="宋体" w:hAnsi="宋体" w:cs="宋体"/>
                <w:spacing w:val="2"/>
                <w:sz w:val="16"/>
                <w:szCs w:val="16"/>
              </w:rPr>
              <w:t>省级部门指导下使用</w:t>
            </w:r>
          </w:p>
          <w:p w:rsidR="00EA40A3" w:rsidRDefault="00E86C16">
            <w:pPr>
              <w:spacing w:before="67" w:line="257" w:lineRule="auto"/>
              <w:ind w:left="284" w:right="10" w:hanging="180"/>
              <w:rPr>
                <w:rFonts w:ascii="宋体" w:eastAsia="宋体" w:hAnsi="宋体" w:cs="宋体"/>
                <w:sz w:val="16"/>
                <w:szCs w:val="16"/>
              </w:rPr>
            </w:pPr>
            <w:r>
              <w:rPr>
                <w:rFonts w:ascii="宋体" w:eastAsia="宋体" w:hAnsi="宋体" w:cs="宋体"/>
                <w:spacing w:val="14"/>
                <w:sz w:val="16"/>
                <w:szCs w:val="16"/>
              </w:rPr>
              <w:t>3.亚硒酸钠中硒含量为45.7%,</w:t>
            </w:r>
            <w:r>
              <w:rPr>
                <w:rFonts w:ascii="宋体" w:eastAsia="宋体" w:hAnsi="宋体" w:cs="宋体"/>
                <w:spacing w:val="10"/>
                <w:sz w:val="16"/>
                <w:szCs w:val="16"/>
              </w:rPr>
              <w:t xml:space="preserve"> </w:t>
            </w:r>
            <w:r>
              <w:rPr>
                <w:rFonts w:ascii="宋体" w:eastAsia="宋体" w:hAnsi="宋体" w:cs="宋体"/>
                <w:spacing w:val="11"/>
                <w:sz w:val="16"/>
                <w:szCs w:val="16"/>
              </w:rPr>
              <w:t>硒酸钠为41.8%</w:t>
            </w:r>
          </w:p>
        </w:tc>
      </w:tr>
      <w:tr w:rsidR="00EA40A3">
        <w:trPr>
          <w:trHeight w:val="290"/>
        </w:trPr>
        <w:tc>
          <w:tcPr>
            <w:tcW w:w="54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69" w:line="220" w:lineRule="auto"/>
              <w:ind w:left="84"/>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87" w:line="184" w:lineRule="auto"/>
              <w:ind w:left="144"/>
              <w:rPr>
                <w:rFonts w:ascii="宋体" w:eastAsia="宋体" w:hAnsi="宋体" w:cs="宋体"/>
                <w:sz w:val="16"/>
                <w:szCs w:val="16"/>
              </w:rPr>
            </w:pPr>
            <w:r>
              <w:rPr>
                <w:rFonts w:ascii="宋体" w:eastAsia="宋体" w:hAnsi="宋体" w:cs="宋体"/>
                <w:spacing w:val="-6"/>
                <w:sz w:val="16"/>
                <w:szCs w:val="16"/>
              </w:rPr>
              <w:t>110～440</w:t>
            </w:r>
            <w:r>
              <w:rPr>
                <w:rFonts w:ascii="宋体" w:eastAsia="宋体" w:hAnsi="宋体" w:cs="宋体"/>
                <w:spacing w:val="73"/>
                <w:sz w:val="16"/>
                <w:szCs w:val="16"/>
              </w:rPr>
              <w:t xml:space="preserve"> </w:t>
            </w:r>
            <w:r>
              <w:rPr>
                <w:rFonts w:ascii="宋体" w:eastAsia="宋体" w:hAnsi="宋体" w:cs="宋体"/>
                <w:spacing w:val="-6"/>
                <w:sz w:val="16"/>
                <w:szCs w:val="16"/>
              </w:rPr>
              <w:t>μg</w:t>
            </w:r>
          </w:p>
        </w:tc>
        <w:tc>
          <w:tcPr>
            <w:tcW w:w="2450" w:type="dxa"/>
            <w:vMerge/>
            <w:tcBorders>
              <w:top w:val="nil"/>
              <w:bottom w:val="nil"/>
              <w:right w:val="nil"/>
            </w:tcBorders>
          </w:tcPr>
          <w:p w:rsidR="00EA40A3" w:rsidRDefault="00EA40A3"/>
        </w:tc>
      </w:tr>
      <w:tr w:rsidR="00EA40A3">
        <w:trPr>
          <w:trHeight w:val="60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107" w:line="255" w:lineRule="auto"/>
              <w:ind w:left="254" w:right="202" w:hanging="170"/>
              <w:rPr>
                <w:rFonts w:ascii="宋体" w:eastAsia="宋体" w:hAnsi="宋体" w:cs="宋体"/>
                <w:sz w:val="16"/>
                <w:szCs w:val="16"/>
              </w:rPr>
            </w:pPr>
            <w:r>
              <w:rPr>
                <w:rFonts w:ascii="宋体" w:eastAsia="宋体" w:hAnsi="宋体" w:cs="宋体"/>
                <w:spacing w:val="-1"/>
                <w:sz w:val="16"/>
                <w:szCs w:val="16"/>
              </w:rPr>
              <w:t>乳制品、谷类及其</w:t>
            </w:r>
            <w:r>
              <w:rPr>
                <w:rFonts w:ascii="宋体" w:eastAsia="宋体" w:hAnsi="宋体" w:cs="宋体"/>
                <w:sz w:val="16"/>
                <w:szCs w:val="16"/>
              </w:rPr>
              <w:t xml:space="preserve"> </w:t>
            </w:r>
            <w:r>
              <w:rPr>
                <w:rFonts w:ascii="宋体" w:eastAsia="宋体" w:hAnsi="宋体" w:cs="宋体"/>
                <w:spacing w:val="8"/>
                <w:sz w:val="16"/>
                <w:szCs w:val="16"/>
              </w:rPr>
              <w:t>制品</w:t>
            </w:r>
          </w:p>
        </w:tc>
        <w:tc>
          <w:tcPr>
            <w:tcW w:w="1260" w:type="dxa"/>
          </w:tcPr>
          <w:p w:rsidR="00EA40A3" w:rsidRDefault="00E86C16">
            <w:pPr>
              <w:spacing w:before="248" w:line="183" w:lineRule="auto"/>
              <w:ind w:left="235"/>
              <w:rPr>
                <w:rFonts w:ascii="宋体" w:eastAsia="宋体" w:hAnsi="宋体" w:cs="宋体"/>
                <w:sz w:val="16"/>
                <w:szCs w:val="16"/>
              </w:rPr>
            </w:pPr>
            <w:r>
              <w:rPr>
                <w:rFonts w:ascii="宋体" w:eastAsia="宋体" w:hAnsi="宋体" w:cs="宋体"/>
                <w:spacing w:val="-5"/>
                <w:sz w:val="16"/>
                <w:szCs w:val="16"/>
              </w:rPr>
              <w:t>300～600</w:t>
            </w:r>
            <w:r>
              <w:rPr>
                <w:rFonts w:ascii="宋体" w:eastAsia="宋体" w:hAnsi="宋体" w:cs="宋体"/>
                <w:spacing w:val="49"/>
                <w:sz w:val="16"/>
                <w:szCs w:val="16"/>
              </w:rPr>
              <w:t xml:space="preserve"> </w:t>
            </w:r>
            <w:r>
              <w:rPr>
                <w:rFonts w:ascii="宋体" w:eastAsia="宋体" w:hAnsi="宋体" w:cs="宋体"/>
                <w:spacing w:val="-5"/>
                <w:sz w:val="16"/>
                <w:szCs w:val="16"/>
              </w:rPr>
              <w:t>μg</w:t>
            </w:r>
          </w:p>
        </w:tc>
        <w:tc>
          <w:tcPr>
            <w:tcW w:w="2450" w:type="dxa"/>
            <w:vMerge/>
            <w:tcBorders>
              <w:top w:val="nil"/>
              <w:bottom w:val="nil"/>
              <w:right w:val="nil"/>
            </w:tcBorders>
          </w:tcPr>
          <w:p w:rsidR="00EA40A3" w:rsidRDefault="00EA40A3"/>
        </w:tc>
      </w:tr>
      <w:tr w:rsidR="00EA40A3">
        <w:trPr>
          <w:trHeight w:val="609"/>
        </w:trPr>
        <w:tc>
          <w:tcPr>
            <w:tcW w:w="54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256" w:lineRule="auto"/>
            </w:pPr>
          </w:p>
          <w:p w:rsidR="00EA40A3" w:rsidRDefault="00E86C16">
            <w:pPr>
              <w:spacing w:before="52" w:line="220" w:lineRule="auto"/>
              <w:ind w:left="85"/>
              <w:rPr>
                <w:rFonts w:ascii="宋体" w:eastAsia="宋体" w:hAnsi="宋体" w:cs="宋体"/>
                <w:sz w:val="16"/>
                <w:szCs w:val="16"/>
              </w:rPr>
            </w:pPr>
            <w:r>
              <w:rPr>
                <w:rFonts w:ascii="宋体" w:eastAsia="宋体" w:hAnsi="宋体" w:cs="宋体"/>
                <w:spacing w:val="1"/>
                <w:sz w:val="16"/>
                <w:szCs w:val="16"/>
              </w:rPr>
              <w:t>富硒酵母</w:t>
            </w:r>
          </w:p>
          <w:p w:rsidR="00EA40A3" w:rsidRDefault="00E86C16">
            <w:pPr>
              <w:spacing w:before="58" w:line="219" w:lineRule="auto"/>
              <w:ind w:left="85"/>
              <w:rPr>
                <w:rFonts w:ascii="宋体" w:eastAsia="宋体" w:hAnsi="宋体" w:cs="宋体"/>
                <w:sz w:val="16"/>
                <w:szCs w:val="16"/>
              </w:rPr>
            </w:pPr>
            <w:r>
              <w:rPr>
                <w:rFonts w:ascii="宋体" w:eastAsia="宋体" w:hAnsi="宋体" w:cs="宋体"/>
                <w:spacing w:val="-1"/>
                <w:sz w:val="16"/>
                <w:szCs w:val="16"/>
              </w:rPr>
              <w:t>硒化卡拉胶</w:t>
            </w:r>
          </w:p>
        </w:tc>
        <w:tc>
          <w:tcPr>
            <w:tcW w:w="1570" w:type="dxa"/>
          </w:tcPr>
          <w:p w:rsidR="00EA40A3" w:rsidRDefault="00E86C16">
            <w:pPr>
              <w:spacing w:before="230" w:line="220" w:lineRule="auto"/>
              <w:ind w:left="8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224" w:line="214" w:lineRule="auto"/>
              <w:ind w:left="144"/>
              <w:rPr>
                <w:rFonts w:ascii="宋体" w:eastAsia="宋体" w:hAnsi="宋体" w:cs="宋体"/>
                <w:sz w:val="16"/>
                <w:szCs w:val="16"/>
              </w:rPr>
            </w:pPr>
            <w:r>
              <w:rPr>
                <w:rFonts w:ascii="宋体" w:eastAsia="宋体" w:hAnsi="宋体" w:cs="宋体"/>
                <w:spacing w:val="-7"/>
                <w:sz w:val="16"/>
                <w:szCs w:val="16"/>
              </w:rPr>
              <w:t>30</w:t>
            </w:r>
            <w:r>
              <w:rPr>
                <w:rFonts w:ascii="宋体" w:eastAsia="宋体" w:hAnsi="宋体" w:cs="宋体"/>
                <w:spacing w:val="51"/>
                <w:sz w:val="16"/>
                <w:szCs w:val="16"/>
              </w:rPr>
              <w:t xml:space="preserve"> </w:t>
            </w:r>
            <w:r>
              <w:rPr>
                <w:rFonts w:ascii="宋体" w:eastAsia="宋体" w:hAnsi="宋体" w:cs="宋体"/>
                <w:spacing w:val="-7"/>
                <w:sz w:val="16"/>
                <w:szCs w:val="16"/>
              </w:rPr>
              <w:t>μg/10</w:t>
            </w:r>
            <w:r>
              <w:rPr>
                <w:rFonts w:ascii="宋体" w:eastAsia="宋体" w:hAnsi="宋体" w:cs="宋体"/>
                <w:spacing w:val="2"/>
                <w:sz w:val="16"/>
                <w:szCs w:val="16"/>
              </w:rPr>
              <w:t xml:space="preserve"> </w:t>
            </w:r>
            <w:r>
              <w:rPr>
                <w:rFonts w:ascii="宋体" w:eastAsia="宋体" w:hAnsi="宋体" w:cs="宋体"/>
                <w:spacing w:val="-7"/>
                <w:sz w:val="16"/>
                <w:szCs w:val="16"/>
              </w:rPr>
              <w:t>mL</w:t>
            </w:r>
          </w:p>
        </w:tc>
        <w:tc>
          <w:tcPr>
            <w:tcW w:w="2450" w:type="dxa"/>
            <w:vMerge/>
            <w:tcBorders>
              <w:top w:val="nil"/>
              <w:bottom w:val="nil"/>
              <w:right w:val="nil"/>
            </w:tcBorders>
          </w:tcPr>
          <w:p w:rsidR="00EA40A3" w:rsidRDefault="00EA40A3"/>
        </w:tc>
      </w:tr>
      <w:tr w:rsidR="00EA40A3">
        <w:trPr>
          <w:trHeight w:val="60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230" w:line="219" w:lineRule="auto"/>
              <w:ind w:left="84"/>
              <w:rPr>
                <w:rFonts w:ascii="宋体" w:eastAsia="宋体" w:hAnsi="宋体" w:cs="宋体"/>
                <w:sz w:val="16"/>
                <w:szCs w:val="16"/>
              </w:rPr>
            </w:pPr>
            <w:r>
              <w:rPr>
                <w:rFonts w:ascii="宋体" w:eastAsia="宋体" w:hAnsi="宋体" w:cs="宋体"/>
                <w:spacing w:val="-2"/>
                <w:sz w:val="16"/>
                <w:szCs w:val="16"/>
              </w:rPr>
              <w:t>片、粒、胶囊</w:t>
            </w:r>
          </w:p>
        </w:tc>
        <w:tc>
          <w:tcPr>
            <w:tcW w:w="1260" w:type="dxa"/>
          </w:tcPr>
          <w:p w:rsidR="00EA40A3" w:rsidRDefault="00E86C16">
            <w:pPr>
              <w:spacing w:before="225" w:line="226" w:lineRule="auto"/>
              <w:ind w:left="5"/>
              <w:rPr>
                <w:rFonts w:ascii="宋体" w:eastAsia="宋体" w:hAnsi="宋体" w:cs="宋体"/>
                <w:sz w:val="15"/>
                <w:szCs w:val="15"/>
              </w:rPr>
            </w:pPr>
            <w:r>
              <w:rPr>
                <w:rFonts w:ascii="宋体" w:eastAsia="宋体" w:hAnsi="宋体" w:cs="宋体"/>
                <w:spacing w:val="-8"/>
                <w:sz w:val="15"/>
                <w:szCs w:val="15"/>
              </w:rPr>
              <w:t>20</w:t>
            </w:r>
            <w:r>
              <w:rPr>
                <w:rFonts w:ascii="宋体" w:eastAsia="宋体" w:hAnsi="宋体" w:cs="宋体"/>
                <w:spacing w:val="48"/>
                <w:w w:val="101"/>
                <w:sz w:val="15"/>
                <w:szCs w:val="15"/>
              </w:rPr>
              <w:t xml:space="preserve"> </w:t>
            </w:r>
            <w:r>
              <w:rPr>
                <w:rFonts w:ascii="宋体" w:eastAsia="宋体" w:hAnsi="宋体" w:cs="宋体"/>
                <w:spacing w:val="-8"/>
                <w:sz w:val="15"/>
                <w:szCs w:val="15"/>
              </w:rPr>
              <w:t>μg/片、粒胶囊</w:t>
            </w:r>
          </w:p>
        </w:tc>
        <w:tc>
          <w:tcPr>
            <w:tcW w:w="2450" w:type="dxa"/>
            <w:vMerge/>
            <w:tcBorders>
              <w:top w:val="nil"/>
              <w:right w:val="nil"/>
            </w:tcBorders>
          </w:tcPr>
          <w:p w:rsidR="00EA40A3" w:rsidRDefault="00EA40A3"/>
        </w:tc>
      </w:tr>
      <w:tr w:rsidR="00EA40A3">
        <w:trPr>
          <w:trHeight w:val="620"/>
        </w:trPr>
        <w:tc>
          <w:tcPr>
            <w:tcW w:w="54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265" w:lineRule="auto"/>
            </w:pPr>
          </w:p>
          <w:p w:rsidR="00EA40A3" w:rsidRDefault="00EA40A3">
            <w:pPr>
              <w:spacing w:line="265" w:lineRule="auto"/>
            </w:pPr>
          </w:p>
          <w:p w:rsidR="00EA40A3" w:rsidRDefault="00EA40A3">
            <w:pPr>
              <w:spacing w:line="265" w:lineRule="auto"/>
            </w:pPr>
          </w:p>
          <w:p w:rsidR="00EA40A3" w:rsidRDefault="00E86C16">
            <w:pPr>
              <w:spacing w:before="52" w:line="221" w:lineRule="auto"/>
              <w:ind w:left="85"/>
              <w:rPr>
                <w:rFonts w:ascii="宋体" w:eastAsia="宋体" w:hAnsi="宋体" w:cs="宋体"/>
                <w:sz w:val="16"/>
                <w:szCs w:val="16"/>
              </w:rPr>
            </w:pPr>
            <w:r>
              <w:rPr>
                <w:rFonts w:ascii="宋体" w:eastAsia="宋体" w:hAnsi="宋体" w:cs="宋体"/>
                <w:spacing w:val="-1"/>
                <w:sz w:val="16"/>
                <w:szCs w:val="16"/>
              </w:rPr>
              <w:t>镁：硫酸镁</w:t>
            </w:r>
          </w:p>
        </w:tc>
        <w:tc>
          <w:tcPr>
            <w:tcW w:w="1570" w:type="dxa"/>
          </w:tcPr>
          <w:p w:rsidR="00EA40A3" w:rsidRDefault="00E86C16">
            <w:pPr>
              <w:spacing w:before="232" w:line="220" w:lineRule="auto"/>
              <w:ind w:left="84"/>
              <w:rPr>
                <w:rFonts w:ascii="宋体" w:eastAsia="宋体" w:hAnsi="宋体" w:cs="宋体"/>
                <w:sz w:val="16"/>
                <w:szCs w:val="16"/>
              </w:rPr>
            </w:pPr>
            <w:r>
              <w:rPr>
                <w:rFonts w:ascii="宋体" w:eastAsia="宋体" w:hAnsi="宋体" w:cs="宋体"/>
                <w:spacing w:val="5"/>
                <w:sz w:val="16"/>
                <w:szCs w:val="16"/>
              </w:rPr>
              <w:t>乳制品</w:t>
            </w:r>
          </w:p>
        </w:tc>
        <w:tc>
          <w:tcPr>
            <w:tcW w:w="1260" w:type="dxa"/>
          </w:tcPr>
          <w:p w:rsidR="00EA40A3" w:rsidRDefault="00E86C16">
            <w:pPr>
              <w:spacing w:before="251" w:line="183" w:lineRule="auto"/>
              <w:ind w:left="105"/>
              <w:rPr>
                <w:rFonts w:ascii="宋体" w:eastAsia="宋体" w:hAnsi="宋体" w:cs="宋体"/>
                <w:sz w:val="16"/>
                <w:szCs w:val="16"/>
              </w:rPr>
            </w:pPr>
            <w:r>
              <w:rPr>
                <w:rFonts w:ascii="宋体" w:eastAsia="宋体" w:hAnsi="宋体" w:cs="宋体"/>
                <w:spacing w:val="-1"/>
                <w:sz w:val="16"/>
                <w:szCs w:val="16"/>
              </w:rPr>
              <w:t>3000～7000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50" w:type="dxa"/>
            <w:vMerge w:val="restart"/>
            <w:tcBorders>
              <w:bottom w:val="nil"/>
              <w:right w:val="nil"/>
            </w:tcBorders>
          </w:tcPr>
          <w:p w:rsidR="00EA40A3" w:rsidRDefault="00E86C16">
            <w:pPr>
              <w:spacing w:before="101" w:line="219" w:lineRule="auto"/>
              <w:ind w:left="104"/>
              <w:rPr>
                <w:rFonts w:ascii="宋体" w:eastAsia="宋体" w:hAnsi="宋体" w:cs="宋体"/>
                <w:sz w:val="16"/>
                <w:szCs w:val="16"/>
              </w:rPr>
            </w:pPr>
            <w:r>
              <w:rPr>
                <w:rFonts w:ascii="宋体" w:eastAsia="宋体" w:hAnsi="宋体" w:cs="宋体"/>
                <w:spacing w:val="3"/>
                <w:sz w:val="16"/>
                <w:szCs w:val="16"/>
              </w:rPr>
              <w:t>1.</w:t>
            </w:r>
            <w:r>
              <w:rPr>
                <w:rFonts w:ascii="宋体" w:eastAsia="宋体" w:hAnsi="宋体" w:cs="宋体"/>
                <w:spacing w:val="-34"/>
                <w:sz w:val="16"/>
                <w:szCs w:val="16"/>
              </w:rPr>
              <w:t xml:space="preserve"> </w:t>
            </w:r>
            <w:r>
              <w:rPr>
                <w:rFonts w:ascii="宋体" w:eastAsia="宋体" w:hAnsi="宋体" w:cs="宋体"/>
                <w:spacing w:val="3"/>
                <w:sz w:val="16"/>
                <w:szCs w:val="16"/>
              </w:rPr>
              <w:t>以元素镁计强化量：</w:t>
            </w:r>
          </w:p>
          <w:p w:rsidR="00EA40A3" w:rsidRDefault="00E86C16">
            <w:pPr>
              <w:spacing w:before="49" w:line="260" w:lineRule="auto"/>
              <w:ind w:left="284" w:right="49" w:hanging="10"/>
              <w:rPr>
                <w:rFonts w:ascii="宋体" w:eastAsia="宋体" w:hAnsi="宋体" w:cs="宋体"/>
                <w:sz w:val="16"/>
                <w:szCs w:val="16"/>
              </w:rPr>
            </w:pPr>
            <w:r>
              <w:rPr>
                <w:rFonts w:ascii="宋体" w:eastAsia="宋体" w:hAnsi="宋体" w:cs="宋体"/>
                <w:spacing w:val="14"/>
                <w:sz w:val="16"/>
                <w:szCs w:val="16"/>
              </w:rPr>
              <w:t>乳制品、婴幼儿食品为300~</w:t>
            </w:r>
            <w:r>
              <w:rPr>
                <w:rFonts w:ascii="宋体" w:eastAsia="宋体" w:hAnsi="宋体" w:cs="宋体"/>
                <w:spacing w:val="3"/>
                <w:sz w:val="16"/>
                <w:szCs w:val="16"/>
              </w:rPr>
              <w:t xml:space="preserve"> </w:t>
            </w:r>
            <w:r>
              <w:rPr>
                <w:rFonts w:ascii="宋体" w:eastAsia="宋体" w:hAnsi="宋体" w:cs="宋体"/>
                <w:spacing w:val="-2"/>
                <w:sz w:val="16"/>
                <w:szCs w:val="16"/>
              </w:rPr>
              <w:t>700mg/kg</w:t>
            </w:r>
          </w:p>
          <w:p w:rsidR="00EA40A3" w:rsidRDefault="00E86C16">
            <w:pPr>
              <w:spacing w:before="84" w:line="255" w:lineRule="exact"/>
              <w:ind w:left="285"/>
              <w:rPr>
                <w:rFonts w:ascii="宋体" w:eastAsia="宋体" w:hAnsi="宋体" w:cs="宋体"/>
                <w:sz w:val="16"/>
                <w:szCs w:val="16"/>
              </w:rPr>
            </w:pPr>
            <w:r>
              <w:rPr>
                <w:rFonts w:ascii="宋体" w:eastAsia="宋体" w:hAnsi="宋体" w:cs="宋体"/>
                <w:spacing w:val="7"/>
                <w:position w:val="7"/>
                <w:sz w:val="16"/>
                <w:szCs w:val="16"/>
              </w:rPr>
              <w:t>饮液为140～280</w:t>
            </w:r>
            <w:r>
              <w:rPr>
                <w:rFonts w:ascii="宋体" w:eastAsia="宋体" w:hAnsi="宋体" w:cs="宋体"/>
                <w:position w:val="7"/>
                <w:sz w:val="16"/>
                <w:szCs w:val="16"/>
              </w:rPr>
              <w:t>mg</w:t>
            </w:r>
            <w:r>
              <w:rPr>
                <w:rFonts w:ascii="宋体" w:eastAsia="宋体" w:hAnsi="宋体" w:cs="宋体"/>
                <w:spacing w:val="7"/>
                <w:position w:val="7"/>
                <w:sz w:val="16"/>
                <w:szCs w:val="16"/>
              </w:rPr>
              <w:t>/</w:t>
            </w:r>
            <w:r>
              <w:rPr>
                <w:rFonts w:ascii="宋体" w:eastAsia="宋体" w:hAnsi="宋体" w:cs="宋体"/>
                <w:position w:val="7"/>
                <w:sz w:val="16"/>
                <w:szCs w:val="16"/>
              </w:rPr>
              <w:t>kg</w:t>
            </w:r>
          </w:p>
          <w:p w:rsidR="00EA40A3" w:rsidRDefault="00E86C16">
            <w:pPr>
              <w:spacing w:line="219" w:lineRule="auto"/>
              <w:ind w:left="104"/>
              <w:rPr>
                <w:rFonts w:ascii="宋体" w:eastAsia="宋体" w:hAnsi="宋体" w:cs="宋体"/>
                <w:sz w:val="16"/>
                <w:szCs w:val="16"/>
              </w:rPr>
            </w:pPr>
            <w:r>
              <w:rPr>
                <w:rFonts w:ascii="宋体" w:eastAsia="宋体" w:hAnsi="宋体" w:cs="宋体"/>
                <w:spacing w:val="7"/>
                <w:sz w:val="16"/>
                <w:szCs w:val="16"/>
              </w:rPr>
              <w:t>2.各种镁盐中镁含量：</w:t>
            </w:r>
          </w:p>
          <w:p w:rsidR="00EA40A3" w:rsidRDefault="00E86C16">
            <w:pPr>
              <w:spacing w:before="60" w:line="254" w:lineRule="auto"/>
              <w:ind w:left="285" w:right="186" w:firstLine="9"/>
              <w:rPr>
                <w:rFonts w:ascii="宋体" w:eastAsia="宋体" w:hAnsi="宋体" w:cs="宋体"/>
                <w:sz w:val="16"/>
                <w:szCs w:val="16"/>
              </w:rPr>
            </w:pPr>
            <w:r>
              <w:rPr>
                <w:rFonts w:ascii="宋体" w:eastAsia="宋体" w:hAnsi="宋体" w:cs="宋体"/>
                <w:spacing w:val="17"/>
                <w:sz w:val="16"/>
                <w:szCs w:val="16"/>
              </w:rPr>
              <w:t>硫酸镁(含7结晶水)9</w:t>
            </w:r>
            <w:r>
              <w:rPr>
                <w:rFonts w:ascii="宋体" w:eastAsia="宋体" w:hAnsi="宋体" w:cs="宋体"/>
                <w:spacing w:val="-36"/>
                <w:sz w:val="16"/>
                <w:szCs w:val="16"/>
              </w:rPr>
              <w:t xml:space="preserve"> </w:t>
            </w:r>
            <w:r>
              <w:rPr>
                <w:rFonts w:ascii="宋体" w:eastAsia="宋体" w:hAnsi="宋体" w:cs="宋体"/>
                <w:spacing w:val="17"/>
                <w:sz w:val="16"/>
                <w:szCs w:val="16"/>
              </w:rPr>
              <w:t>.9%</w:t>
            </w:r>
            <w:r>
              <w:rPr>
                <w:rFonts w:ascii="宋体" w:eastAsia="宋体" w:hAnsi="宋体" w:cs="宋体"/>
                <w:sz w:val="16"/>
                <w:szCs w:val="16"/>
              </w:rPr>
              <w:t xml:space="preserve"> </w:t>
            </w:r>
            <w:r>
              <w:rPr>
                <w:rFonts w:ascii="宋体" w:eastAsia="宋体" w:hAnsi="宋体" w:cs="宋体"/>
                <w:spacing w:val="21"/>
                <w:sz w:val="16"/>
                <w:szCs w:val="16"/>
              </w:rPr>
              <w:t>氯化镁(含6结晶水)12%</w:t>
            </w:r>
          </w:p>
        </w:tc>
      </w:tr>
      <w:tr w:rsidR="00EA40A3">
        <w:trPr>
          <w:trHeight w:val="609"/>
        </w:trPr>
        <w:tc>
          <w:tcPr>
            <w:tcW w:w="54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231" w:line="219" w:lineRule="auto"/>
              <w:ind w:left="84"/>
              <w:rPr>
                <w:rFonts w:ascii="宋体" w:eastAsia="宋体" w:hAnsi="宋体" w:cs="宋体"/>
                <w:sz w:val="16"/>
                <w:szCs w:val="16"/>
              </w:rPr>
            </w:pPr>
            <w:r>
              <w:rPr>
                <w:rFonts w:ascii="宋体" w:eastAsia="宋体" w:hAnsi="宋体" w:cs="宋体"/>
                <w:spacing w:val="3"/>
                <w:sz w:val="16"/>
                <w:szCs w:val="16"/>
              </w:rPr>
              <w:t>婴幼儿食品</w:t>
            </w:r>
          </w:p>
        </w:tc>
        <w:tc>
          <w:tcPr>
            <w:tcW w:w="1260" w:type="dxa"/>
          </w:tcPr>
          <w:p w:rsidR="00EA40A3" w:rsidRDefault="00E86C16">
            <w:pPr>
              <w:spacing w:before="251" w:line="183" w:lineRule="auto"/>
              <w:ind w:left="105"/>
              <w:rPr>
                <w:rFonts w:ascii="宋体" w:eastAsia="宋体" w:hAnsi="宋体" w:cs="宋体"/>
                <w:sz w:val="16"/>
                <w:szCs w:val="16"/>
              </w:rPr>
            </w:pPr>
            <w:r>
              <w:rPr>
                <w:rFonts w:ascii="宋体" w:eastAsia="宋体" w:hAnsi="宋体" w:cs="宋体"/>
                <w:spacing w:val="-1"/>
                <w:sz w:val="16"/>
                <w:szCs w:val="16"/>
              </w:rPr>
              <w:t>2000～5800</w:t>
            </w:r>
            <w:r>
              <w:rPr>
                <w:rFonts w:ascii="宋体" w:eastAsia="宋体" w:hAnsi="宋体" w:cs="宋体"/>
                <w:spacing w:val="2"/>
                <w:sz w:val="16"/>
                <w:szCs w:val="16"/>
              </w:rPr>
              <w:t xml:space="preserve"> </w:t>
            </w:r>
            <w:r>
              <w:rPr>
                <w:rFonts w:ascii="宋体" w:eastAsia="宋体" w:hAnsi="宋体" w:cs="宋体"/>
                <w:spacing w:val="-1"/>
                <w:sz w:val="16"/>
                <w:szCs w:val="16"/>
              </w:rPr>
              <w:t>mg</w:t>
            </w:r>
          </w:p>
        </w:tc>
        <w:tc>
          <w:tcPr>
            <w:tcW w:w="2450" w:type="dxa"/>
            <w:vMerge/>
            <w:tcBorders>
              <w:top w:val="nil"/>
              <w:bottom w:val="nil"/>
              <w:right w:val="nil"/>
            </w:tcBorders>
          </w:tcPr>
          <w:p w:rsidR="00EA40A3" w:rsidRDefault="00EA40A3"/>
        </w:tc>
      </w:tr>
      <w:tr w:rsidR="00EA40A3">
        <w:trPr>
          <w:trHeight w:val="60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233" w:line="220" w:lineRule="auto"/>
              <w:ind w:left="84"/>
              <w:rPr>
                <w:rFonts w:ascii="宋体" w:eastAsia="宋体" w:hAnsi="宋体" w:cs="宋体"/>
                <w:sz w:val="16"/>
                <w:szCs w:val="16"/>
              </w:rPr>
            </w:pPr>
            <w:r>
              <w:rPr>
                <w:rFonts w:ascii="宋体" w:eastAsia="宋体" w:hAnsi="宋体" w:cs="宋体"/>
                <w:spacing w:val="-1"/>
                <w:sz w:val="16"/>
                <w:szCs w:val="16"/>
              </w:rPr>
              <w:t>饮液及乳饮料</w:t>
            </w:r>
          </w:p>
        </w:tc>
        <w:tc>
          <w:tcPr>
            <w:tcW w:w="1260" w:type="dxa"/>
          </w:tcPr>
          <w:p w:rsidR="00EA40A3" w:rsidRDefault="00E86C16">
            <w:pPr>
              <w:spacing w:before="251" w:line="184" w:lineRule="auto"/>
              <w:ind w:left="105"/>
              <w:rPr>
                <w:rFonts w:ascii="宋体" w:eastAsia="宋体" w:hAnsi="宋体" w:cs="宋体"/>
                <w:sz w:val="16"/>
                <w:szCs w:val="16"/>
              </w:rPr>
            </w:pPr>
            <w:r>
              <w:rPr>
                <w:rFonts w:ascii="宋体" w:eastAsia="宋体" w:hAnsi="宋体" w:cs="宋体"/>
                <w:spacing w:val="-2"/>
                <w:sz w:val="16"/>
                <w:szCs w:val="16"/>
              </w:rPr>
              <w:t>1400～2800</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50" w:type="dxa"/>
            <w:vMerge/>
            <w:tcBorders>
              <w:top w:val="nil"/>
              <w:right w:val="nil"/>
            </w:tcBorders>
          </w:tcPr>
          <w:p w:rsidR="00EA40A3" w:rsidRDefault="00EA40A3"/>
        </w:tc>
      </w:tr>
      <w:tr w:rsidR="00EA40A3">
        <w:trPr>
          <w:trHeight w:val="909"/>
        </w:trPr>
        <w:tc>
          <w:tcPr>
            <w:tcW w:w="54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262" w:lineRule="auto"/>
            </w:pPr>
          </w:p>
          <w:p w:rsidR="00EA40A3" w:rsidRDefault="00EA40A3">
            <w:pPr>
              <w:spacing w:line="262" w:lineRule="auto"/>
            </w:pPr>
          </w:p>
          <w:p w:rsidR="00EA40A3" w:rsidRDefault="00EA40A3">
            <w:pPr>
              <w:spacing w:line="263" w:lineRule="auto"/>
            </w:pPr>
          </w:p>
          <w:p w:rsidR="00EA40A3" w:rsidRDefault="00E86C16">
            <w:pPr>
              <w:spacing w:before="52" w:line="221" w:lineRule="auto"/>
              <w:ind w:left="85"/>
              <w:rPr>
                <w:rFonts w:ascii="宋体" w:eastAsia="宋体" w:hAnsi="宋体" w:cs="宋体"/>
                <w:sz w:val="16"/>
                <w:szCs w:val="16"/>
              </w:rPr>
            </w:pPr>
            <w:r>
              <w:rPr>
                <w:rFonts w:ascii="宋体" w:eastAsia="宋体" w:hAnsi="宋体" w:cs="宋体"/>
                <w:spacing w:val="-1"/>
                <w:sz w:val="16"/>
                <w:szCs w:val="16"/>
              </w:rPr>
              <w:t>铜：硫酸铜</w:t>
            </w:r>
          </w:p>
        </w:tc>
        <w:tc>
          <w:tcPr>
            <w:tcW w:w="1570" w:type="dxa"/>
          </w:tcPr>
          <w:p w:rsidR="00EA40A3" w:rsidRDefault="00EA40A3">
            <w:pPr>
              <w:spacing w:line="330" w:lineRule="auto"/>
            </w:pPr>
          </w:p>
          <w:p w:rsidR="00EA40A3" w:rsidRDefault="00E86C16">
            <w:pPr>
              <w:spacing w:before="52" w:line="220" w:lineRule="auto"/>
              <w:ind w:left="84"/>
              <w:rPr>
                <w:rFonts w:ascii="宋体" w:eastAsia="宋体" w:hAnsi="宋体" w:cs="宋体"/>
                <w:sz w:val="16"/>
                <w:szCs w:val="16"/>
              </w:rPr>
            </w:pPr>
            <w:r>
              <w:rPr>
                <w:rFonts w:ascii="宋体" w:eastAsia="宋体" w:hAnsi="宋体" w:cs="宋体"/>
                <w:spacing w:val="5"/>
                <w:sz w:val="16"/>
                <w:szCs w:val="16"/>
              </w:rPr>
              <w:t>乳制品</w:t>
            </w:r>
          </w:p>
        </w:tc>
        <w:tc>
          <w:tcPr>
            <w:tcW w:w="1260" w:type="dxa"/>
          </w:tcPr>
          <w:p w:rsidR="00EA40A3" w:rsidRDefault="00EA40A3">
            <w:pPr>
              <w:spacing w:line="348" w:lineRule="auto"/>
            </w:pPr>
          </w:p>
          <w:p w:rsidR="00EA40A3" w:rsidRDefault="00E86C16">
            <w:pPr>
              <w:spacing w:before="52" w:line="184" w:lineRule="auto"/>
              <w:ind w:left="265"/>
              <w:rPr>
                <w:rFonts w:ascii="宋体" w:eastAsia="宋体" w:hAnsi="宋体" w:cs="宋体"/>
                <w:sz w:val="16"/>
                <w:szCs w:val="16"/>
              </w:rPr>
            </w:pPr>
            <w:r>
              <w:rPr>
                <w:rFonts w:ascii="宋体" w:eastAsia="宋体" w:hAnsi="宋体" w:cs="宋体"/>
                <w:spacing w:val="-3"/>
                <w:sz w:val="16"/>
                <w:szCs w:val="16"/>
              </w:rPr>
              <w:t>12～16</w:t>
            </w:r>
            <w:r>
              <w:rPr>
                <w:rFonts w:ascii="宋体" w:eastAsia="宋体" w:hAnsi="宋体" w:cs="宋体"/>
                <w:spacing w:val="25"/>
                <w:w w:val="101"/>
                <w:sz w:val="16"/>
                <w:szCs w:val="16"/>
              </w:rPr>
              <w:t xml:space="preserve"> </w:t>
            </w:r>
            <w:r>
              <w:rPr>
                <w:rFonts w:ascii="宋体" w:eastAsia="宋体" w:hAnsi="宋体" w:cs="宋体"/>
                <w:spacing w:val="-3"/>
                <w:sz w:val="16"/>
                <w:szCs w:val="16"/>
              </w:rPr>
              <w:t>mg</w:t>
            </w:r>
          </w:p>
        </w:tc>
        <w:tc>
          <w:tcPr>
            <w:tcW w:w="2450" w:type="dxa"/>
            <w:vMerge w:val="restart"/>
            <w:tcBorders>
              <w:bottom w:val="nil"/>
              <w:right w:val="nil"/>
            </w:tcBorders>
          </w:tcPr>
          <w:p w:rsidR="00EA40A3" w:rsidRDefault="00E86C16">
            <w:pPr>
              <w:spacing w:before="213" w:line="273" w:lineRule="auto"/>
              <w:ind w:left="285" w:right="53" w:hanging="210"/>
              <w:rPr>
                <w:rFonts w:ascii="宋体" w:eastAsia="宋体" w:hAnsi="宋体" w:cs="宋体"/>
                <w:sz w:val="16"/>
                <w:szCs w:val="16"/>
              </w:rPr>
            </w:pPr>
            <w:r>
              <w:rPr>
                <w:rFonts w:ascii="宋体" w:eastAsia="宋体" w:hAnsi="宋体" w:cs="宋体"/>
                <w:spacing w:val="12"/>
                <w:sz w:val="16"/>
                <w:szCs w:val="16"/>
              </w:rPr>
              <w:t>1.</w:t>
            </w:r>
            <w:r>
              <w:rPr>
                <w:rFonts w:ascii="宋体" w:eastAsia="宋体" w:hAnsi="宋体" w:cs="宋体"/>
                <w:spacing w:val="-33"/>
                <w:sz w:val="16"/>
                <w:szCs w:val="16"/>
              </w:rPr>
              <w:t xml:space="preserve"> </w:t>
            </w:r>
            <w:r>
              <w:rPr>
                <w:rFonts w:ascii="宋体" w:eastAsia="宋体" w:hAnsi="宋体" w:cs="宋体"/>
                <w:spacing w:val="12"/>
                <w:sz w:val="16"/>
                <w:szCs w:val="16"/>
              </w:rPr>
              <w:t>以元素铜计强化量：乳制品</w:t>
            </w:r>
            <w:r>
              <w:rPr>
                <w:rFonts w:ascii="宋体" w:eastAsia="宋体" w:hAnsi="宋体" w:cs="宋体"/>
                <w:sz w:val="16"/>
                <w:szCs w:val="16"/>
              </w:rPr>
              <w:t xml:space="preserve"> </w:t>
            </w:r>
            <w:r>
              <w:rPr>
                <w:rFonts w:ascii="宋体" w:eastAsia="宋体" w:hAnsi="宋体" w:cs="宋体"/>
                <w:spacing w:val="22"/>
                <w:sz w:val="16"/>
                <w:szCs w:val="16"/>
              </w:rPr>
              <w:t>要幼儿食品配方为3～4</w:t>
            </w:r>
            <w:r>
              <w:rPr>
                <w:rFonts w:ascii="宋体" w:eastAsia="宋体" w:hAnsi="宋体" w:cs="宋体"/>
                <w:sz w:val="16"/>
                <w:szCs w:val="16"/>
              </w:rPr>
              <w:t>mg</w:t>
            </w:r>
            <w:r>
              <w:rPr>
                <w:rFonts w:ascii="宋体" w:eastAsia="宋体" w:hAnsi="宋体" w:cs="宋体"/>
                <w:spacing w:val="22"/>
                <w:sz w:val="16"/>
                <w:szCs w:val="16"/>
              </w:rPr>
              <w:t>/</w:t>
            </w:r>
            <w:r>
              <w:rPr>
                <w:rFonts w:ascii="宋体" w:eastAsia="宋体" w:hAnsi="宋体" w:cs="宋体"/>
                <w:spacing w:val="1"/>
                <w:sz w:val="16"/>
                <w:szCs w:val="16"/>
              </w:rPr>
              <w:t xml:space="preserve"> </w:t>
            </w:r>
            <w:r>
              <w:rPr>
                <w:rFonts w:ascii="宋体" w:eastAsia="宋体" w:hAnsi="宋体" w:cs="宋体"/>
                <w:sz w:val="16"/>
                <w:szCs w:val="16"/>
              </w:rPr>
              <w:t>kg</w:t>
            </w:r>
            <w:r>
              <w:rPr>
                <w:rFonts w:ascii="宋体" w:eastAsia="宋体" w:hAnsi="宋体" w:cs="宋体"/>
                <w:spacing w:val="14"/>
                <w:sz w:val="16"/>
                <w:szCs w:val="16"/>
              </w:rPr>
              <w:t>,饮液为1～1.25</w:t>
            </w:r>
            <w:r>
              <w:rPr>
                <w:rFonts w:ascii="宋体" w:eastAsia="宋体" w:hAnsi="宋体" w:cs="宋体"/>
                <w:sz w:val="16"/>
                <w:szCs w:val="16"/>
              </w:rPr>
              <w:t>mg</w:t>
            </w:r>
            <w:r>
              <w:rPr>
                <w:rFonts w:ascii="宋体" w:eastAsia="宋体" w:hAnsi="宋体" w:cs="宋体"/>
                <w:spacing w:val="14"/>
                <w:sz w:val="16"/>
                <w:szCs w:val="16"/>
              </w:rPr>
              <w:t>/</w:t>
            </w:r>
            <w:r>
              <w:rPr>
                <w:rFonts w:ascii="宋体" w:eastAsia="宋体" w:hAnsi="宋体" w:cs="宋体"/>
                <w:sz w:val="16"/>
                <w:szCs w:val="16"/>
              </w:rPr>
              <w:t>kg</w:t>
            </w:r>
          </w:p>
          <w:p w:rsidR="00EA40A3" w:rsidRDefault="00E86C16">
            <w:pPr>
              <w:spacing w:before="70" w:line="219" w:lineRule="auto"/>
              <w:ind w:left="104"/>
              <w:rPr>
                <w:rFonts w:ascii="宋体" w:eastAsia="宋体" w:hAnsi="宋体" w:cs="宋体"/>
                <w:sz w:val="16"/>
                <w:szCs w:val="16"/>
              </w:rPr>
            </w:pPr>
            <w:r>
              <w:rPr>
                <w:rFonts w:ascii="宋体" w:eastAsia="宋体" w:hAnsi="宋体" w:cs="宋体"/>
                <w:spacing w:val="6"/>
                <w:sz w:val="16"/>
                <w:szCs w:val="16"/>
              </w:rPr>
              <w:t>2.各种铜盐中铜元素含量：</w:t>
            </w:r>
          </w:p>
          <w:p w:rsidR="00EA40A3" w:rsidRDefault="00E86C16">
            <w:pPr>
              <w:spacing w:before="57" w:line="216" w:lineRule="auto"/>
              <w:ind w:left="104"/>
              <w:rPr>
                <w:rFonts w:ascii="宋体" w:eastAsia="宋体" w:hAnsi="宋体" w:cs="宋体"/>
                <w:sz w:val="16"/>
                <w:szCs w:val="16"/>
              </w:rPr>
            </w:pPr>
            <w:r>
              <w:rPr>
                <w:rFonts w:ascii="宋体" w:eastAsia="宋体" w:hAnsi="宋体" w:cs="宋体"/>
                <w:spacing w:val="19"/>
                <w:sz w:val="16"/>
                <w:szCs w:val="16"/>
              </w:rPr>
              <w:t>碳酸铜54%,硫酸铜(5结晶水)</w:t>
            </w:r>
          </w:p>
          <w:p w:rsidR="00EA40A3" w:rsidRDefault="00E86C16">
            <w:pPr>
              <w:spacing w:before="72" w:line="216" w:lineRule="auto"/>
              <w:ind w:left="104"/>
              <w:rPr>
                <w:rFonts w:ascii="宋体" w:eastAsia="宋体" w:hAnsi="宋体" w:cs="宋体"/>
                <w:sz w:val="16"/>
                <w:szCs w:val="16"/>
              </w:rPr>
            </w:pPr>
            <w:r>
              <w:rPr>
                <w:rFonts w:ascii="宋体" w:eastAsia="宋体" w:hAnsi="宋体" w:cs="宋体"/>
                <w:spacing w:val="15"/>
                <w:sz w:val="16"/>
                <w:szCs w:val="16"/>
              </w:rPr>
              <w:t>25.5%,无水硫酸铜39.8%</w:t>
            </w:r>
          </w:p>
        </w:tc>
      </w:tr>
      <w:tr w:rsidR="00EA40A3">
        <w:trPr>
          <w:trHeight w:val="310"/>
        </w:trPr>
        <w:tc>
          <w:tcPr>
            <w:tcW w:w="54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84" w:line="219" w:lineRule="auto"/>
              <w:ind w:left="84"/>
              <w:rPr>
                <w:rFonts w:ascii="宋体" w:eastAsia="宋体" w:hAnsi="宋体" w:cs="宋体"/>
                <w:sz w:val="16"/>
                <w:szCs w:val="16"/>
              </w:rPr>
            </w:pPr>
            <w:r>
              <w:rPr>
                <w:rFonts w:ascii="宋体" w:eastAsia="宋体" w:hAnsi="宋体" w:cs="宋体"/>
                <w:spacing w:val="3"/>
                <w:sz w:val="16"/>
                <w:szCs w:val="16"/>
              </w:rPr>
              <w:t>馨幼儿食品</w:t>
            </w:r>
          </w:p>
        </w:tc>
        <w:tc>
          <w:tcPr>
            <w:tcW w:w="1260" w:type="dxa"/>
          </w:tcPr>
          <w:p w:rsidR="00EA40A3" w:rsidRDefault="00E86C16">
            <w:pPr>
              <w:spacing w:before="103" w:line="184" w:lineRule="auto"/>
              <w:ind w:left="225"/>
              <w:rPr>
                <w:rFonts w:ascii="宋体" w:eastAsia="宋体" w:hAnsi="宋体" w:cs="宋体"/>
                <w:sz w:val="16"/>
                <w:szCs w:val="16"/>
              </w:rPr>
            </w:pPr>
            <w:r>
              <w:rPr>
                <w:rFonts w:ascii="宋体" w:eastAsia="宋体" w:hAnsi="宋体" w:cs="宋体"/>
                <w:spacing w:val="-2"/>
                <w:sz w:val="16"/>
                <w:szCs w:val="16"/>
              </w:rPr>
              <w:t>7.5～10</w:t>
            </w:r>
            <w:r>
              <w:rPr>
                <w:rFonts w:ascii="宋体" w:eastAsia="宋体" w:hAnsi="宋体" w:cs="宋体"/>
                <w:spacing w:val="5"/>
                <w:sz w:val="16"/>
                <w:szCs w:val="16"/>
              </w:rPr>
              <w:t xml:space="preserve"> </w:t>
            </w:r>
            <w:r>
              <w:rPr>
                <w:rFonts w:ascii="宋体" w:eastAsia="宋体" w:hAnsi="宋体" w:cs="宋体"/>
                <w:spacing w:val="-2"/>
                <w:sz w:val="16"/>
                <w:szCs w:val="16"/>
              </w:rPr>
              <w:t>mg</w:t>
            </w:r>
          </w:p>
        </w:tc>
        <w:tc>
          <w:tcPr>
            <w:tcW w:w="2450" w:type="dxa"/>
            <w:vMerge/>
            <w:tcBorders>
              <w:top w:val="nil"/>
              <w:bottom w:val="nil"/>
              <w:right w:val="nil"/>
            </w:tcBorders>
          </w:tcPr>
          <w:p w:rsidR="00EA40A3" w:rsidRDefault="00EA40A3"/>
        </w:tc>
      </w:tr>
      <w:tr w:rsidR="00EA40A3">
        <w:trPr>
          <w:trHeight w:val="599"/>
        </w:trPr>
        <w:tc>
          <w:tcPr>
            <w:tcW w:w="540" w:type="dxa"/>
            <w:vMerge/>
            <w:tcBorders>
              <w:top w:val="nil"/>
              <w:left w:val="nil"/>
              <w:bottom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86C16">
            <w:pPr>
              <w:spacing w:before="225" w:line="220" w:lineRule="auto"/>
              <w:ind w:left="8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86C16">
            <w:pPr>
              <w:spacing w:before="244" w:line="183" w:lineRule="auto"/>
              <w:ind w:left="345"/>
              <w:rPr>
                <w:rFonts w:ascii="宋体" w:eastAsia="宋体" w:hAnsi="宋体" w:cs="宋体"/>
                <w:sz w:val="16"/>
                <w:szCs w:val="16"/>
              </w:rPr>
            </w:pPr>
            <w:r>
              <w:rPr>
                <w:rFonts w:ascii="宋体" w:eastAsia="宋体" w:hAnsi="宋体" w:cs="宋体"/>
                <w:spacing w:val="-2"/>
                <w:sz w:val="16"/>
                <w:szCs w:val="16"/>
              </w:rPr>
              <w:t>4～5</w:t>
            </w:r>
            <w:r>
              <w:rPr>
                <w:rFonts w:ascii="宋体" w:eastAsia="宋体" w:hAnsi="宋体" w:cs="宋体"/>
                <w:spacing w:val="4"/>
                <w:sz w:val="16"/>
                <w:szCs w:val="16"/>
              </w:rPr>
              <w:t xml:space="preserve"> </w:t>
            </w:r>
            <w:r>
              <w:rPr>
                <w:rFonts w:ascii="宋体" w:eastAsia="宋体" w:hAnsi="宋体" w:cs="宋体"/>
                <w:spacing w:val="-2"/>
                <w:sz w:val="16"/>
                <w:szCs w:val="16"/>
              </w:rPr>
              <w:t>mg</w:t>
            </w:r>
          </w:p>
        </w:tc>
        <w:tc>
          <w:tcPr>
            <w:tcW w:w="2450" w:type="dxa"/>
            <w:vMerge/>
            <w:tcBorders>
              <w:top w:val="nil"/>
              <w:right w:val="nil"/>
            </w:tcBorders>
          </w:tcPr>
          <w:p w:rsidR="00EA40A3" w:rsidRDefault="00EA40A3"/>
        </w:tc>
      </w:tr>
      <w:tr w:rsidR="00EA40A3">
        <w:trPr>
          <w:trHeight w:val="839"/>
        </w:trPr>
        <w:tc>
          <w:tcPr>
            <w:tcW w:w="540" w:type="dxa"/>
            <w:vMerge/>
            <w:tcBorders>
              <w:top w:val="nil"/>
              <w:left w:val="nil"/>
              <w:bottom w:val="nil"/>
            </w:tcBorders>
            <w:textDirection w:val="tbRlV"/>
          </w:tcPr>
          <w:p w:rsidR="00EA40A3" w:rsidRDefault="00EA40A3"/>
        </w:tc>
        <w:tc>
          <w:tcPr>
            <w:tcW w:w="1420" w:type="dxa"/>
            <w:vMerge w:val="restart"/>
            <w:tcBorders>
              <w:bottom w:val="nil"/>
            </w:tcBorders>
          </w:tcPr>
          <w:p w:rsidR="00EA40A3" w:rsidRDefault="00EA40A3">
            <w:pPr>
              <w:spacing w:line="293" w:lineRule="auto"/>
            </w:pPr>
          </w:p>
          <w:p w:rsidR="00EA40A3" w:rsidRDefault="00EA40A3">
            <w:pPr>
              <w:spacing w:line="293" w:lineRule="auto"/>
            </w:pPr>
          </w:p>
          <w:p w:rsidR="00EA40A3" w:rsidRDefault="00EA40A3">
            <w:pPr>
              <w:spacing w:line="293" w:lineRule="auto"/>
            </w:pPr>
          </w:p>
          <w:p w:rsidR="00EA40A3" w:rsidRDefault="00E86C16">
            <w:pPr>
              <w:spacing w:before="52" w:line="221" w:lineRule="auto"/>
              <w:ind w:left="85"/>
              <w:rPr>
                <w:rFonts w:ascii="宋体" w:eastAsia="宋体" w:hAnsi="宋体" w:cs="宋体"/>
                <w:sz w:val="16"/>
                <w:szCs w:val="16"/>
              </w:rPr>
            </w:pPr>
            <w:r>
              <w:rPr>
                <w:rFonts w:ascii="宋体" w:eastAsia="宋体" w:hAnsi="宋体" w:cs="宋体"/>
                <w:spacing w:val="-1"/>
                <w:sz w:val="16"/>
                <w:szCs w:val="16"/>
              </w:rPr>
              <w:t>锰：硫酸锰</w:t>
            </w:r>
          </w:p>
        </w:tc>
        <w:tc>
          <w:tcPr>
            <w:tcW w:w="1570" w:type="dxa"/>
          </w:tcPr>
          <w:p w:rsidR="00EA40A3" w:rsidRDefault="00EA40A3">
            <w:pPr>
              <w:spacing w:line="292" w:lineRule="auto"/>
            </w:pPr>
          </w:p>
          <w:p w:rsidR="00EA40A3" w:rsidRDefault="00E86C16">
            <w:pPr>
              <w:spacing w:before="52" w:line="220" w:lineRule="auto"/>
              <w:ind w:left="84"/>
              <w:rPr>
                <w:rFonts w:ascii="宋体" w:eastAsia="宋体" w:hAnsi="宋体" w:cs="宋体"/>
                <w:sz w:val="16"/>
                <w:szCs w:val="16"/>
              </w:rPr>
            </w:pPr>
            <w:r>
              <w:rPr>
                <w:rFonts w:ascii="宋体" w:eastAsia="宋体" w:hAnsi="宋体" w:cs="宋体"/>
                <w:spacing w:val="5"/>
                <w:sz w:val="16"/>
                <w:szCs w:val="16"/>
              </w:rPr>
              <w:t>乳制品</w:t>
            </w:r>
          </w:p>
        </w:tc>
        <w:tc>
          <w:tcPr>
            <w:tcW w:w="1260" w:type="dxa"/>
          </w:tcPr>
          <w:p w:rsidR="00EA40A3" w:rsidRDefault="00EA40A3">
            <w:pPr>
              <w:spacing w:line="311" w:lineRule="auto"/>
            </w:pPr>
          </w:p>
          <w:p w:rsidR="00EA40A3" w:rsidRDefault="00E86C16">
            <w:pPr>
              <w:spacing w:before="52" w:line="183" w:lineRule="auto"/>
              <w:ind w:left="105"/>
              <w:rPr>
                <w:rFonts w:ascii="宋体" w:eastAsia="宋体" w:hAnsi="宋体" w:cs="宋体"/>
                <w:sz w:val="16"/>
                <w:szCs w:val="16"/>
              </w:rPr>
            </w:pPr>
            <w:r>
              <w:rPr>
                <w:rFonts w:ascii="宋体" w:eastAsia="宋体" w:hAnsi="宋体" w:cs="宋体"/>
                <w:spacing w:val="-1"/>
                <w:sz w:val="16"/>
                <w:szCs w:val="16"/>
              </w:rPr>
              <w:t>0.92～3.70</w:t>
            </w:r>
            <w:r>
              <w:rPr>
                <w:rFonts w:ascii="宋体" w:eastAsia="宋体" w:hAnsi="宋体" w:cs="宋体"/>
                <w:spacing w:val="3"/>
                <w:sz w:val="16"/>
                <w:szCs w:val="16"/>
              </w:rPr>
              <w:t xml:space="preserve"> </w:t>
            </w:r>
            <w:r>
              <w:rPr>
                <w:rFonts w:ascii="宋体" w:eastAsia="宋体" w:hAnsi="宋体" w:cs="宋体"/>
                <w:spacing w:val="-1"/>
                <w:sz w:val="16"/>
                <w:szCs w:val="16"/>
              </w:rPr>
              <w:t>mg</w:t>
            </w:r>
          </w:p>
        </w:tc>
        <w:tc>
          <w:tcPr>
            <w:tcW w:w="2450" w:type="dxa"/>
            <w:vMerge w:val="restart"/>
            <w:tcBorders>
              <w:bottom w:val="nil"/>
              <w:right w:val="nil"/>
            </w:tcBorders>
          </w:tcPr>
          <w:p w:rsidR="00EA40A3" w:rsidRDefault="00E86C16">
            <w:pPr>
              <w:spacing w:before="284" w:line="287" w:lineRule="auto"/>
              <w:ind w:left="272" w:hanging="168"/>
              <w:rPr>
                <w:rFonts w:ascii="宋体" w:eastAsia="宋体" w:hAnsi="宋体" w:cs="宋体"/>
                <w:sz w:val="15"/>
                <w:szCs w:val="15"/>
              </w:rPr>
            </w:pPr>
            <w:r>
              <w:rPr>
                <w:rFonts w:ascii="宋体" w:eastAsia="宋体" w:hAnsi="宋体" w:cs="宋体"/>
                <w:spacing w:val="13"/>
                <w:sz w:val="15"/>
                <w:szCs w:val="15"/>
              </w:rPr>
              <w:t>1.</w:t>
            </w:r>
            <w:r>
              <w:rPr>
                <w:rFonts w:ascii="宋体" w:eastAsia="宋体" w:hAnsi="宋体" w:cs="宋体"/>
                <w:spacing w:val="-36"/>
                <w:sz w:val="15"/>
                <w:szCs w:val="15"/>
              </w:rPr>
              <w:t xml:space="preserve"> </w:t>
            </w:r>
            <w:r>
              <w:rPr>
                <w:rFonts w:ascii="宋体" w:eastAsia="宋体" w:hAnsi="宋体" w:cs="宋体"/>
                <w:spacing w:val="13"/>
                <w:sz w:val="15"/>
                <w:szCs w:val="15"/>
              </w:rPr>
              <w:t>以元素锰计强化量：乳制品、</w:t>
            </w:r>
            <w:r>
              <w:rPr>
                <w:rFonts w:ascii="宋体" w:eastAsia="宋体" w:hAnsi="宋体" w:cs="宋体"/>
                <w:sz w:val="15"/>
                <w:szCs w:val="15"/>
              </w:rPr>
              <w:t xml:space="preserve"> </w:t>
            </w:r>
            <w:r>
              <w:rPr>
                <w:rFonts w:ascii="宋体" w:eastAsia="宋体" w:hAnsi="宋体" w:cs="宋体"/>
                <w:spacing w:val="16"/>
                <w:sz w:val="15"/>
                <w:szCs w:val="15"/>
              </w:rPr>
              <w:t>婴幼儿食品为0.3~1.2</w:t>
            </w:r>
            <w:r>
              <w:rPr>
                <w:rFonts w:ascii="宋体" w:eastAsia="宋体" w:hAnsi="宋体" w:cs="宋体"/>
                <w:sz w:val="15"/>
                <w:szCs w:val="15"/>
              </w:rPr>
              <w:t>mg</w:t>
            </w:r>
            <w:r>
              <w:rPr>
                <w:rFonts w:ascii="宋体" w:eastAsia="宋体" w:hAnsi="宋体" w:cs="宋体"/>
                <w:spacing w:val="16"/>
                <w:sz w:val="15"/>
                <w:szCs w:val="15"/>
              </w:rPr>
              <w:t>/</w:t>
            </w:r>
            <w:r>
              <w:rPr>
                <w:rFonts w:ascii="宋体" w:eastAsia="宋体" w:hAnsi="宋体" w:cs="宋体"/>
                <w:sz w:val="15"/>
                <w:szCs w:val="15"/>
              </w:rPr>
              <w:t>kg</w:t>
            </w:r>
            <w:r>
              <w:rPr>
                <w:rFonts w:ascii="宋体" w:eastAsia="宋体" w:hAnsi="宋体" w:cs="宋体"/>
                <w:spacing w:val="16"/>
                <w:sz w:val="15"/>
                <w:szCs w:val="15"/>
              </w:rPr>
              <w:t>,</w:t>
            </w:r>
            <w:r>
              <w:rPr>
                <w:rFonts w:ascii="宋体" w:eastAsia="宋体" w:hAnsi="宋体" w:cs="宋体"/>
                <w:spacing w:val="5"/>
                <w:sz w:val="15"/>
                <w:szCs w:val="15"/>
              </w:rPr>
              <w:t xml:space="preserve"> </w:t>
            </w:r>
            <w:r>
              <w:rPr>
                <w:rFonts w:ascii="宋体" w:eastAsia="宋体" w:hAnsi="宋体" w:cs="宋体"/>
                <w:spacing w:val="6"/>
                <w:sz w:val="15"/>
                <w:szCs w:val="15"/>
              </w:rPr>
              <w:t>饮液为0.16～0.32</w:t>
            </w:r>
            <w:r>
              <w:rPr>
                <w:rFonts w:ascii="宋体" w:eastAsia="宋体" w:hAnsi="宋体" w:cs="宋体"/>
                <w:sz w:val="15"/>
                <w:szCs w:val="15"/>
              </w:rPr>
              <w:t>mg</w:t>
            </w:r>
            <w:r>
              <w:rPr>
                <w:rFonts w:ascii="宋体" w:eastAsia="宋体" w:hAnsi="宋体" w:cs="宋体"/>
                <w:spacing w:val="6"/>
                <w:sz w:val="15"/>
                <w:szCs w:val="15"/>
              </w:rPr>
              <w:t>/</w:t>
            </w:r>
            <w:r>
              <w:rPr>
                <w:rFonts w:ascii="宋体" w:eastAsia="宋体" w:hAnsi="宋体" w:cs="宋体"/>
                <w:sz w:val="15"/>
                <w:szCs w:val="15"/>
              </w:rPr>
              <w:t>kg</w:t>
            </w:r>
          </w:p>
          <w:p w:rsidR="00EA40A3" w:rsidRDefault="00E86C16">
            <w:pPr>
              <w:spacing w:before="72" w:line="277" w:lineRule="auto"/>
              <w:ind w:left="274" w:right="20" w:hanging="170"/>
              <w:rPr>
                <w:rFonts w:ascii="宋体" w:eastAsia="宋体" w:hAnsi="宋体" w:cs="宋体"/>
                <w:sz w:val="16"/>
                <w:szCs w:val="16"/>
              </w:rPr>
            </w:pPr>
            <w:r>
              <w:rPr>
                <w:rFonts w:ascii="宋体" w:eastAsia="宋体" w:hAnsi="宋体" w:cs="宋体"/>
                <w:spacing w:val="3"/>
                <w:sz w:val="16"/>
                <w:szCs w:val="16"/>
              </w:rPr>
              <w:t>2.各种锰盐中锰元素含量：硫酸</w:t>
            </w:r>
            <w:r>
              <w:rPr>
                <w:rFonts w:ascii="宋体" w:eastAsia="宋体" w:hAnsi="宋体" w:cs="宋体"/>
                <w:sz w:val="16"/>
                <w:szCs w:val="16"/>
              </w:rPr>
              <w:t xml:space="preserve"> </w:t>
            </w:r>
            <w:r>
              <w:rPr>
                <w:rFonts w:ascii="宋体" w:eastAsia="宋体" w:hAnsi="宋体" w:cs="宋体"/>
                <w:spacing w:val="23"/>
                <w:sz w:val="16"/>
                <w:szCs w:val="16"/>
              </w:rPr>
              <w:t>锰32</w:t>
            </w:r>
            <w:r>
              <w:rPr>
                <w:rFonts w:ascii="宋体" w:eastAsia="宋体" w:hAnsi="宋体" w:cs="宋体"/>
                <w:spacing w:val="-34"/>
                <w:sz w:val="16"/>
                <w:szCs w:val="16"/>
              </w:rPr>
              <w:t xml:space="preserve"> </w:t>
            </w:r>
            <w:r>
              <w:rPr>
                <w:rFonts w:ascii="宋体" w:eastAsia="宋体" w:hAnsi="宋体" w:cs="宋体"/>
                <w:spacing w:val="23"/>
                <w:sz w:val="16"/>
                <w:szCs w:val="16"/>
              </w:rPr>
              <w:t>.</w:t>
            </w:r>
            <w:r>
              <w:rPr>
                <w:rFonts w:ascii="宋体" w:eastAsia="宋体" w:hAnsi="宋体" w:cs="宋体"/>
                <w:spacing w:val="-35"/>
                <w:sz w:val="16"/>
                <w:szCs w:val="16"/>
              </w:rPr>
              <w:t xml:space="preserve"> </w:t>
            </w:r>
            <w:r>
              <w:rPr>
                <w:rFonts w:ascii="宋体" w:eastAsia="宋体" w:hAnsi="宋体" w:cs="宋体"/>
                <w:spacing w:val="23"/>
                <w:sz w:val="16"/>
                <w:szCs w:val="16"/>
              </w:rPr>
              <w:t>5%,氯化锰27</w:t>
            </w:r>
            <w:r>
              <w:rPr>
                <w:rFonts w:ascii="宋体" w:eastAsia="宋体" w:hAnsi="宋体" w:cs="宋体"/>
                <w:spacing w:val="-34"/>
                <w:sz w:val="16"/>
                <w:szCs w:val="16"/>
              </w:rPr>
              <w:t xml:space="preserve"> </w:t>
            </w:r>
            <w:r>
              <w:rPr>
                <w:rFonts w:ascii="宋体" w:eastAsia="宋体" w:hAnsi="宋体" w:cs="宋体"/>
                <w:spacing w:val="23"/>
                <w:sz w:val="16"/>
                <w:szCs w:val="16"/>
              </w:rPr>
              <w:t>.</w:t>
            </w:r>
            <w:r>
              <w:rPr>
                <w:rFonts w:ascii="宋体" w:eastAsia="宋体" w:hAnsi="宋体" w:cs="宋体"/>
                <w:spacing w:val="-37"/>
                <w:sz w:val="16"/>
                <w:szCs w:val="16"/>
              </w:rPr>
              <w:t xml:space="preserve"> </w:t>
            </w:r>
            <w:r>
              <w:rPr>
                <w:rFonts w:ascii="宋体" w:eastAsia="宋体" w:hAnsi="宋体" w:cs="宋体"/>
                <w:spacing w:val="23"/>
                <w:sz w:val="16"/>
                <w:szCs w:val="16"/>
              </w:rPr>
              <w:t>8%,</w:t>
            </w:r>
            <w:r>
              <w:rPr>
                <w:rFonts w:ascii="宋体" w:eastAsia="宋体" w:hAnsi="宋体" w:cs="宋体"/>
                <w:sz w:val="16"/>
                <w:szCs w:val="16"/>
              </w:rPr>
              <w:t xml:space="preserve"> </w:t>
            </w:r>
            <w:r>
              <w:rPr>
                <w:rFonts w:ascii="宋体" w:eastAsia="宋体" w:hAnsi="宋体" w:cs="宋体"/>
                <w:spacing w:val="15"/>
                <w:sz w:val="16"/>
                <w:szCs w:val="16"/>
              </w:rPr>
              <w:t>碳酸锰47.8%</w:t>
            </w:r>
          </w:p>
        </w:tc>
      </w:tr>
      <w:tr w:rsidR="00EA40A3">
        <w:trPr>
          <w:trHeight w:val="300"/>
        </w:trPr>
        <w:tc>
          <w:tcPr>
            <w:tcW w:w="540" w:type="dxa"/>
            <w:vMerge/>
            <w:tcBorders>
              <w:top w:val="nil"/>
              <w:left w:val="nil"/>
              <w:bottom w:val="nil"/>
            </w:tcBorders>
            <w:textDirection w:val="tbRlV"/>
          </w:tcPr>
          <w:p w:rsidR="00EA40A3" w:rsidRDefault="00EA40A3"/>
        </w:tc>
        <w:tc>
          <w:tcPr>
            <w:tcW w:w="1420" w:type="dxa"/>
            <w:vMerge/>
            <w:tcBorders>
              <w:top w:val="nil"/>
              <w:bottom w:val="nil"/>
            </w:tcBorders>
          </w:tcPr>
          <w:p w:rsidR="00EA40A3" w:rsidRDefault="00EA40A3"/>
        </w:tc>
        <w:tc>
          <w:tcPr>
            <w:tcW w:w="1570" w:type="dxa"/>
          </w:tcPr>
          <w:p w:rsidR="00EA40A3" w:rsidRDefault="00E86C16">
            <w:pPr>
              <w:spacing w:before="76" w:line="219" w:lineRule="auto"/>
              <w:ind w:left="84"/>
              <w:rPr>
                <w:rFonts w:ascii="宋体" w:eastAsia="宋体" w:hAnsi="宋体" w:cs="宋体"/>
                <w:sz w:val="16"/>
                <w:szCs w:val="16"/>
              </w:rPr>
            </w:pPr>
            <w:r>
              <w:rPr>
                <w:rFonts w:ascii="宋体" w:eastAsia="宋体" w:hAnsi="宋体" w:cs="宋体"/>
                <w:spacing w:val="2"/>
                <w:sz w:val="16"/>
                <w:szCs w:val="16"/>
              </w:rPr>
              <w:t>婴幼儿配方食品</w:t>
            </w:r>
          </w:p>
        </w:tc>
        <w:tc>
          <w:tcPr>
            <w:tcW w:w="1260" w:type="dxa"/>
          </w:tcPr>
          <w:p w:rsidR="00EA40A3" w:rsidRDefault="00E86C16">
            <w:pPr>
              <w:spacing w:before="95" w:line="184" w:lineRule="auto"/>
              <w:ind w:left="105"/>
              <w:rPr>
                <w:rFonts w:ascii="宋体" w:eastAsia="宋体" w:hAnsi="宋体" w:cs="宋体"/>
                <w:sz w:val="16"/>
                <w:szCs w:val="16"/>
              </w:rPr>
            </w:pPr>
            <w:r>
              <w:rPr>
                <w:rFonts w:ascii="宋体" w:eastAsia="宋体" w:hAnsi="宋体" w:cs="宋体"/>
                <w:spacing w:val="-2"/>
                <w:sz w:val="16"/>
                <w:szCs w:val="16"/>
              </w:rPr>
              <w:t>1.32～5.26</w:t>
            </w:r>
            <w:r>
              <w:rPr>
                <w:rFonts w:ascii="宋体" w:eastAsia="宋体" w:hAnsi="宋体" w:cs="宋体"/>
                <w:spacing w:val="26"/>
                <w:w w:val="101"/>
                <w:sz w:val="16"/>
                <w:szCs w:val="16"/>
              </w:rPr>
              <w:t xml:space="preserve"> </w:t>
            </w:r>
            <w:r>
              <w:rPr>
                <w:rFonts w:ascii="宋体" w:eastAsia="宋体" w:hAnsi="宋体" w:cs="宋体"/>
                <w:spacing w:val="-2"/>
                <w:sz w:val="16"/>
                <w:szCs w:val="16"/>
              </w:rPr>
              <w:t>mg</w:t>
            </w:r>
          </w:p>
        </w:tc>
        <w:tc>
          <w:tcPr>
            <w:tcW w:w="2450" w:type="dxa"/>
            <w:vMerge/>
            <w:tcBorders>
              <w:top w:val="nil"/>
              <w:bottom w:val="nil"/>
              <w:right w:val="nil"/>
            </w:tcBorders>
          </w:tcPr>
          <w:p w:rsidR="00EA40A3" w:rsidRDefault="00EA40A3"/>
        </w:tc>
      </w:tr>
      <w:tr w:rsidR="00EA40A3">
        <w:trPr>
          <w:trHeight w:val="854"/>
        </w:trPr>
        <w:tc>
          <w:tcPr>
            <w:tcW w:w="540" w:type="dxa"/>
            <w:vMerge/>
            <w:tcBorders>
              <w:top w:val="nil"/>
              <w:left w:val="nil"/>
            </w:tcBorders>
            <w:textDirection w:val="tbRlV"/>
          </w:tcPr>
          <w:p w:rsidR="00EA40A3" w:rsidRDefault="00EA40A3"/>
        </w:tc>
        <w:tc>
          <w:tcPr>
            <w:tcW w:w="1420" w:type="dxa"/>
            <w:vMerge/>
            <w:tcBorders>
              <w:top w:val="nil"/>
            </w:tcBorders>
          </w:tcPr>
          <w:p w:rsidR="00EA40A3" w:rsidRDefault="00EA40A3"/>
        </w:tc>
        <w:tc>
          <w:tcPr>
            <w:tcW w:w="1570" w:type="dxa"/>
          </w:tcPr>
          <w:p w:rsidR="00EA40A3" w:rsidRDefault="00EA40A3">
            <w:pPr>
              <w:spacing w:line="303" w:lineRule="auto"/>
            </w:pPr>
          </w:p>
          <w:p w:rsidR="00EA40A3" w:rsidRDefault="00E86C16">
            <w:pPr>
              <w:spacing w:before="52" w:line="220" w:lineRule="auto"/>
              <w:ind w:left="84"/>
              <w:rPr>
                <w:rFonts w:ascii="宋体" w:eastAsia="宋体" w:hAnsi="宋体" w:cs="宋体"/>
                <w:sz w:val="16"/>
                <w:szCs w:val="16"/>
              </w:rPr>
            </w:pPr>
            <w:r>
              <w:rPr>
                <w:rFonts w:ascii="宋体" w:eastAsia="宋体" w:hAnsi="宋体" w:cs="宋体"/>
                <w:spacing w:val="-2"/>
                <w:sz w:val="16"/>
                <w:szCs w:val="16"/>
              </w:rPr>
              <w:t>饮液</w:t>
            </w:r>
          </w:p>
        </w:tc>
        <w:tc>
          <w:tcPr>
            <w:tcW w:w="1260" w:type="dxa"/>
          </w:tcPr>
          <w:p w:rsidR="00EA40A3" w:rsidRDefault="00EA40A3">
            <w:pPr>
              <w:spacing w:line="321" w:lineRule="auto"/>
            </w:pPr>
          </w:p>
          <w:p w:rsidR="00EA40A3" w:rsidRDefault="00E86C16">
            <w:pPr>
              <w:spacing w:before="52" w:line="184" w:lineRule="auto"/>
              <w:ind w:left="184"/>
              <w:rPr>
                <w:rFonts w:ascii="宋体" w:eastAsia="宋体" w:hAnsi="宋体" w:cs="宋体"/>
                <w:sz w:val="16"/>
                <w:szCs w:val="16"/>
              </w:rPr>
            </w:pPr>
            <w:r>
              <w:rPr>
                <w:rFonts w:ascii="宋体" w:eastAsia="宋体" w:hAnsi="宋体" w:cs="宋体"/>
                <w:spacing w:val="-1"/>
                <w:sz w:val="16"/>
                <w:szCs w:val="16"/>
              </w:rPr>
              <w:t>0.5～1.0</w:t>
            </w:r>
            <w:r>
              <w:rPr>
                <w:rFonts w:ascii="宋体" w:eastAsia="宋体" w:hAnsi="宋体" w:cs="宋体"/>
                <w:spacing w:val="1"/>
                <w:sz w:val="16"/>
                <w:szCs w:val="16"/>
              </w:rPr>
              <w:t xml:space="preserve"> </w:t>
            </w:r>
            <w:r>
              <w:rPr>
                <w:rFonts w:ascii="宋体" w:eastAsia="宋体" w:hAnsi="宋体" w:cs="宋体"/>
                <w:spacing w:val="-1"/>
                <w:sz w:val="16"/>
                <w:szCs w:val="16"/>
              </w:rPr>
              <w:t>mg</w:t>
            </w:r>
          </w:p>
        </w:tc>
        <w:tc>
          <w:tcPr>
            <w:tcW w:w="2450" w:type="dxa"/>
            <w:vMerge/>
            <w:tcBorders>
              <w:top w:val="nil"/>
              <w:right w:val="nil"/>
            </w:tcBorders>
          </w:tcPr>
          <w:p w:rsidR="00EA40A3" w:rsidRDefault="00EA40A3"/>
        </w:tc>
      </w:tr>
    </w:tbl>
    <w:p w:rsidR="00EA40A3" w:rsidRDefault="00EA40A3"/>
    <w:p w:rsidR="00EA40A3" w:rsidRDefault="00EA40A3">
      <w:pPr>
        <w:sectPr w:rsidR="00EA40A3">
          <w:footerReference w:type="default" r:id="rId362"/>
          <w:pgSz w:w="9220" w:h="13360"/>
          <w:pgMar w:top="400" w:right="1020" w:bottom="1307" w:left="959" w:header="0" w:footer="1099" w:gutter="0"/>
          <w:cols w:space="720"/>
        </w:sectPr>
      </w:pPr>
    </w:p>
    <w:p w:rsidR="00EA40A3" w:rsidRDefault="00EA40A3">
      <w:pPr>
        <w:spacing w:line="257" w:lineRule="auto"/>
      </w:pPr>
    </w:p>
    <w:p w:rsidR="00EA40A3" w:rsidRDefault="00EA40A3">
      <w:pPr>
        <w:spacing w:line="257" w:lineRule="auto"/>
      </w:pPr>
    </w:p>
    <w:p w:rsidR="00EA40A3" w:rsidRDefault="00EA40A3">
      <w:pPr>
        <w:spacing w:line="257" w:lineRule="auto"/>
      </w:pPr>
    </w:p>
    <w:p w:rsidR="00EA40A3" w:rsidRDefault="00EA40A3">
      <w:pPr>
        <w:spacing w:line="258" w:lineRule="auto"/>
      </w:pPr>
    </w:p>
    <w:p w:rsidR="00EA40A3" w:rsidRDefault="00EA40A3">
      <w:pPr>
        <w:spacing w:line="258" w:lineRule="auto"/>
      </w:pPr>
    </w:p>
    <w:p w:rsidR="00EA40A3" w:rsidRDefault="00E86C16">
      <w:pPr>
        <w:spacing w:before="101" w:line="219" w:lineRule="auto"/>
        <w:ind w:left="4"/>
        <w:rPr>
          <w:rFonts w:ascii="宋体" w:eastAsia="宋体" w:hAnsi="宋体" w:cs="宋体"/>
          <w:sz w:val="31"/>
          <w:szCs w:val="31"/>
        </w:rPr>
      </w:pPr>
      <w:r>
        <w:rPr>
          <w:rFonts w:ascii="宋体" w:eastAsia="宋体" w:hAnsi="宋体" w:cs="宋体"/>
          <w:b/>
          <w:bCs/>
          <w:spacing w:val="9"/>
          <w:sz w:val="31"/>
          <w:szCs w:val="31"/>
        </w:rPr>
        <w:t>附录4</w:t>
      </w:r>
      <w:r>
        <w:rPr>
          <w:rFonts w:ascii="宋体" w:eastAsia="宋体" w:hAnsi="宋体" w:cs="宋体"/>
          <w:spacing w:val="159"/>
          <w:sz w:val="31"/>
          <w:szCs w:val="31"/>
        </w:rPr>
        <w:t xml:space="preserve"> </w:t>
      </w:r>
      <w:r>
        <w:rPr>
          <w:rFonts w:ascii="宋体" w:eastAsia="宋体" w:hAnsi="宋体" w:cs="宋体"/>
          <w:b/>
          <w:bCs/>
          <w:spacing w:val="9"/>
          <w:sz w:val="31"/>
          <w:szCs w:val="31"/>
        </w:rPr>
        <w:t>中国食物与营养发展纲要(2001～2010年)</w:t>
      </w:r>
    </w:p>
    <w:p w:rsidR="00EA40A3" w:rsidRDefault="00EA40A3">
      <w:pPr>
        <w:spacing w:line="241" w:lineRule="auto"/>
      </w:pPr>
    </w:p>
    <w:p w:rsidR="00EA40A3" w:rsidRDefault="00E86C16">
      <w:pPr>
        <w:spacing w:before="72" w:line="245" w:lineRule="auto"/>
        <w:ind w:right="87" w:firstLine="430"/>
        <w:jc w:val="both"/>
        <w:rPr>
          <w:rFonts w:ascii="宋体" w:eastAsia="宋体" w:hAnsi="宋体" w:cs="宋体"/>
          <w:sz w:val="22"/>
          <w:szCs w:val="22"/>
        </w:rPr>
      </w:pPr>
      <w:r>
        <w:rPr>
          <w:rFonts w:ascii="宋体" w:eastAsia="宋体" w:hAnsi="宋体" w:cs="宋体"/>
          <w:spacing w:val="-6"/>
          <w:sz w:val="22"/>
          <w:szCs w:val="22"/>
        </w:rPr>
        <w:t>从21世纪开始，我国人民生活在总体达到小康水平</w:t>
      </w:r>
      <w:r>
        <w:rPr>
          <w:rFonts w:ascii="宋体" w:eastAsia="宋体" w:hAnsi="宋体" w:cs="宋体"/>
          <w:spacing w:val="-7"/>
          <w:sz w:val="22"/>
          <w:szCs w:val="22"/>
        </w:rPr>
        <w:t>的基础上继续改善，向</w:t>
      </w:r>
      <w:r>
        <w:rPr>
          <w:rFonts w:ascii="宋体" w:eastAsia="宋体" w:hAnsi="宋体" w:cs="宋体"/>
          <w:sz w:val="22"/>
          <w:szCs w:val="22"/>
        </w:rPr>
        <w:t xml:space="preserve"> </w:t>
      </w:r>
      <w:r>
        <w:rPr>
          <w:rFonts w:ascii="宋体" w:eastAsia="宋体" w:hAnsi="宋体" w:cs="宋体"/>
          <w:spacing w:val="-13"/>
          <w:sz w:val="22"/>
          <w:szCs w:val="22"/>
        </w:rPr>
        <w:t>全面建设小康社会迈进。今后十年，将是我国居民食物结构迅速变化和营养水平</w:t>
      </w:r>
      <w:r>
        <w:rPr>
          <w:rFonts w:ascii="宋体" w:eastAsia="宋体" w:hAnsi="宋体" w:cs="宋体"/>
          <w:spacing w:val="3"/>
          <w:sz w:val="22"/>
          <w:szCs w:val="22"/>
        </w:rPr>
        <w:t xml:space="preserve"> </w:t>
      </w:r>
      <w:r>
        <w:rPr>
          <w:rFonts w:ascii="宋体" w:eastAsia="宋体" w:hAnsi="宋体" w:cs="宋体"/>
          <w:spacing w:val="-13"/>
          <w:sz w:val="22"/>
          <w:szCs w:val="22"/>
        </w:rPr>
        <w:t>不断提高的重要时期。加快食物发展，改善食物结构，提高全民营养水平，增进</w:t>
      </w:r>
      <w:r>
        <w:rPr>
          <w:rFonts w:ascii="宋体" w:eastAsia="宋体" w:hAnsi="宋体" w:cs="宋体"/>
          <w:spacing w:val="2"/>
          <w:sz w:val="22"/>
          <w:szCs w:val="22"/>
        </w:rPr>
        <w:t xml:space="preserve"> </w:t>
      </w:r>
      <w:r>
        <w:rPr>
          <w:rFonts w:ascii="宋体" w:eastAsia="宋体" w:hAnsi="宋体" w:cs="宋体"/>
          <w:spacing w:val="-14"/>
          <w:sz w:val="22"/>
          <w:szCs w:val="22"/>
        </w:rPr>
        <w:t>人民身体健康，是国民整体素质提高的迫切需要，也是我国社会主义现代化建设</w:t>
      </w:r>
      <w:r>
        <w:rPr>
          <w:rFonts w:ascii="宋体" w:eastAsia="宋体" w:hAnsi="宋体" w:cs="宋体"/>
          <w:spacing w:val="18"/>
          <w:sz w:val="22"/>
          <w:szCs w:val="22"/>
        </w:rPr>
        <w:t xml:space="preserve"> </w:t>
      </w:r>
      <w:r>
        <w:rPr>
          <w:rFonts w:ascii="宋体" w:eastAsia="宋体" w:hAnsi="宋体" w:cs="宋体"/>
          <w:spacing w:val="-14"/>
          <w:sz w:val="22"/>
          <w:szCs w:val="22"/>
        </w:rPr>
        <w:t>的重大任务。为指导我国食物与营养持续，协调发展，特制定本纲</w:t>
      </w:r>
      <w:r>
        <w:rPr>
          <w:rFonts w:ascii="宋体" w:eastAsia="宋体" w:hAnsi="宋体" w:cs="宋体"/>
          <w:spacing w:val="-15"/>
          <w:sz w:val="22"/>
          <w:szCs w:val="22"/>
        </w:rPr>
        <w:t>要。</w:t>
      </w:r>
    </w:p>
    <w:p w:rsidR="00EA40A3" w:rsidRDefault="00E86C16">
      <w:pPr>
        <w:spacing w:before="205" w:line="221" w:lineRule="auto"/>
        <w:ind w:left="3"/>
        <w:outlineLvl w:val="6"/>
        <w:rPr>
          <w:rFonts w:ascii="黑体" w:eastAsia="黑体" w:hAnsi="黑体" w:cs="黑体"/>
          <w:sz w:val="22"/>
          <w:szCs w:val="22"/>
        </w:rPr>
      </w:pPr>
      <w:r>
        <w:rPr>
          <w:rFonts w:ascii="黑体" w:eastAsia="黑体" w:hAnsi="黑体" w:cs="黑体"/>
          <w:b/>
          <w:bCs/>
          <w:spacing w:val="12"/>
          <w:sz w:val="22"/>
          <w:szCs w:val="22"/>
        </w:rPr>
        <w:t>一、食物与营养发展的基本状况</w:t>
      </w:r>
    </w:p>
    <w:p w:rsidR="00EA40A3" w:rsidRDefault="00EA40A3">
      <w:pPr>
        <w:spacing w:line="294"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18"/>
          <w:sz w:val="22"/>
          <w:szCs w:val="22"/>
        </w:rPr>
        <w:t>(</w:t>
      </w:r>
      <w:r>
        <w:rPr>
          <w:rFonts w:ascii="仿宋" w:eastAsia="仿宋" w:hAnsi="仿宋" w:cs="仿宋"/>
          <w:spacing w:val="-52"/>
          <w:sz w:val="22"/>
          <w:szCs w:val="22"/>
        </w:rPr>
        <w:t xml:space="preserve"> </w:t>
      </w:r>
      <w:r>
        <w:rPr>
          <w:rFonts w:ascii="仿宋" w:eastAsia="仿宋" w:hAnsi="仿宋" w:cs="仿宋"/>
          <w:spacing w:val="18"/>
          <w:sz w:val="22"/>
          <w:szCs w:val="22"/>
        </w:rPr>
        <w:t>一)我国食物与营养发展的成就</w:t>
      </w:r>
    </w:p>
    <w:p w:rsidR="00EA40A3" w:rsidRDefault="00E86C16">
      <w:pPr>
        <w:spacing w:before="186" w:line="248" w:lineRule="auto"/>
        <w:ind w:right="90" w:firstLine="320"/>
        <w:jc w:val="both"/>
        <w:rPr>
          <w:rFonts w:ascii="宋体" w:eastAsia="宋体" w:hAnsi="宋体" w:cs="宋体"/>
          <w:sz w:val="22"/>
          <w:szCs w:val="22"/>
        </w:rPr>
      </w:pPr>
      <w:r>
        <w:rPr>
          <w:rFonts w:ascii="宋体" w:eastAsia="宋体" w:hAnsi="宋体" w:cs="宋体"/>
          <w:spacing w:val="-10"/>
          <w:sz w:val="22"/>
          <w:szCs w:val="22"/>
        </w:rPr>
        <w:t>《九十年代中国食物结构改革与发展纲要》颁布以来，我国国民经济持续发</w:t>
      </w:r>
      <w:r>
        <w:rPr>
          <w:rFonts w:ascii="宋体" w:eastAsia="宋体" w:hAnsi="宋体" w:cs="宋体"/>
          <w:spacing w:val="9"/>
          <w:sz w:val="22"/>
          <w:szCs w:val="22"/>
        </w:rPr>
        <w:t xml:space="preserve"> </w:t>
      </w:r>
      <w:r>
        <w:rPr>
          <w:rFonts w:ascii="宋体" w:eastAsia="宋体" w:hAnsi="宋体" w:cs="宋体"/>
          <w:spacing w:val="-13"/>
          <w:sz w:val="22"/>
          <w:szCs w:val="22"/>
        </w:rPr>
        <w:t>展，农业和农村经济发展进入了新阶段，实现了农产品供给由长期短缺到总量基</w:t>
      </w:r>
      <w:r>
        <w:rPr>
          <w:rFonts w:ascii="宋体" w:eastAsia="宋体" w:hAnsi="宋体" w:cs="宋体"/>
          <w:spacing w:val="2"/>
          <w:sz w:val="22"/>
          <w:szCs w:val="22"/>
        </w:rPr>
        <w:t xml:space="preserve"> </w:t>
      </w:r>
      <w:r>
        <w:rPr>
          <w:rFonts w:ascii="宋体" w:eastAsia="宋体" w:hAnsi="宋体" w:cs="宋体"/>
          <w:spacing w:val="-13"/>
          <w:sz w:val="22"/>
          <w:szCs w:val="22"/>
        </w:rPr>
        <w:t>本平衡，丰年有余的历史性转变，人民生活水</w:t>
      </w:r>
      <w:r>
        <w:rPr>
          <w:rFonts w:ascii="宋体" w:eastAsia="宋体" w:hAnsi="宋体" w:cs="宋体"/>
          <w:spacing w:val="-14"/>
          <w:sz w:val="22"/>
          <w:szCs w:val="22"/>
        </w:rPr>
        <w:t>平不断提高，推动了食物需求持续</w:t>
      </w:r>
      <w:r>
        <w:rPr>
          <w:rFonts w:ascii="宋体" w:eastAsia="宋体" w:hAnsi="宋体" w:cs="宋体"/>
          <w:sz w:val="22"/>
          <w:szCs w:val="22"/>
        </w:rPr>
        <w:t xml:space="preserve"> </w:t>
      </w:r>
      <w:r>
        <w:rPr>
          <w:rFonts w:ascii="宋体" w:eastAsia="宋体" w:hAnsi="宋体" w:cs="宋体"/>
          <w:spacing w:val="-13"/>
          <w:sz w:val="22"/>
          <w:szCs w:val="22"/>
        </w:rPr>
        <w:t>增长。全民营养状况得到全面改善。社会主义市场经济体制的逐步建立，为食物</w:t>
      </w:r>
      <w:r>
        <w:rPr>
          <w:rFonts w:ascii="宋体" w:eastAsia="宋体" w:hAnsi="宋体" w:cs="宋体"/>
          <w:spacing w:val="4"/>
          <w:sz w:val="22"/>
          <w:szCs w:val="22"/>
        </w:rPr>
        <w:t xml:space="preserve"> </w:t>
      </w:r>
      <w:r>
        <w:rPr>
          <w:rFonts w:ascii="宋体" w:eastAsia="宋体" w:hAnsi="宋体" w:cs="宋体"/>
          <w:spacing w:val="-13"/>
          <w:sz w:val="22"/>
          <w:szCs w:val="22"/>
        </w:rPr>
        <w:t>发展创造了良好的外部环境。科技进步已经渗透到食物发展的各个环节，加速了</w:t>
      </w:r>
      <w:r>
        <w:rPr>
          <w:rFonts w:ascii="宋体" w:eastAsia="宋体" w:hAnsi="宋体" w:cs="宋体"/>
          <w:spacing w:val="1"/>
          <w:sz w:val="22"/>
          <w:szCs w:val="22"/>
        </w:rPr>
        <w:t xml:space="preserve"> </w:t>
      </w:r>
      <w:r>
        <w:rPr>
          <w:rFonts w:ascii="宋体" w:eastAsia="宋体" w:hAnsi="宋体" w:cs="宋体"/>
          <w:spacing w:val="-13"/>
          <w:sz w:val="22"/>
          <w:szCs w:val="22"/>
        </w:rPr>
        <w:t>传统食物的改造，拓宽了食物发展的空间。我国食物与营养进入了一个新的发展</w:t>
      </w:r>
      <w:r>
        <w:rPr>
          <w:rFonts w:ascii="宋体" w:eastAsia="宋体" w:hAnsi="宋体" w:cs="宋体"/>
          <w:spacing w:val="5"/>
          <w:sz w:val="22"/>
          <w:szCs w:val="22"/>
        </w:rPr>
        <w:t xml:space="preserve"> </w:t>
      </w:r>
      <w:r>
        <w:rPr>
          <w:rFonts w:ascii="宋体" w:eastAsia="宋体" w:hAnsi="宋体" w:cs="宋体"/>
          <w:spacing w:val="-16"/>
          <w:sz w:val="22"/>
          <w:szCs w:val="22"/>
        </w:rPr>
        <w:t>阶段。</w:t>
      </w:r>
    </w:p>
    <w:p w:rsidR="00EA40A3" w:rsidRDefault="00E86C16">
      <w:pPr>
        <w:spacing w:before="75" w:line="244" w:lineRule="auto"/>
        <w:ind w:firstLine="430"/>
        <w:jc w:val="both"/>
        <w:rPr>
          <w:rFonts w:ascii="宋体" w:eastAsia="宋体" w:hAnsi="宋体" w:cs="宋体"/>
          <w:sz w:val="22"/>
          <w:szCs w:val="22"/>
        </w:rPr>
      </w:pPr>
      <w:r>
        <w:rPr>
          <w:rFonts w:ascii="宋体" w:eastAsia="宋体" w:hAnsi="宋体" w:cs="宋体"/>
          <w:spacing w:val="-4"/>
          <w:sz w:val="22"/>
          <w:szCs w:val="22"/>
        </w:rPr>
        <w:t>1.</w:t>
      </w:r>
      <w:r>
        <w:rPr>
          <w:rFonts w:ascii="宋体" w:eastAsia="宋体" w:hAnsi="宋体" w:cs="宋体"/>
          <w:spacing w:val="-16"/>
          <w:sz w:val="22"/>
          <w:szCs w:val="22"/>
        </w:rPr>
        <w:t xml:space="preserve"> </w:t>
      </w:r>
      <w:r>
        <w:rPr>
          <w:rFonts w:ascii="宋体" w:eastAsia="宋体" w:hAnsi="宋体" w:cs="宋体"/>
          <w:spacing w:val="-4"/>
          <w:sz w:val="22"/>
          <w:szCs w:val="22"/>
        </w:rPr>
        <w:t>食物综合生产能力显著增强。我国粮食的年均生产能力已达到</w:t>
      </w:r>
      <w:r>
        <w:rPr>
          <w:rFonts w:ascii="宋体" w:eastAsia="宋体" w:hAnsi="宋体" w:cs="宋体"/>
          <w:spacing w:val="-5"/>
          <w:sz w:val="22"/>
          <w:szCs w:val="22"/>
        </w:rPr>
        <w:t>5亿t</w:t>
      </w:r>
      <w:r>
        <w:rPr>
          <w:rFonts w:ascii="宋体" w:eastAsia="宋体" w:hAnsi="宋体" w:cs="宋体"/>
          <w:spacing w:val="-56"/>
          <w:sz w:val="22"/>
          <w:szCs w:val="22"/>
        </w:rPr>
        <w:t xml:space="preserve"> </w:t>
      </w:r>
      <w:r>
        <w:rPr>
          <w:rFonts w:ascii="宋体" w:eastAsia="宋体" w:hAnsi="宋体" w:cs="宋体"/>
          <w:spacing w:val="-5"/>
          <w:sz w:val="22"/>
          <w:szCs w:val="22"/>
        </w:rPr>
        <w:t>的</w:t>
      </w:r>
      <w:r>
        <w:rPr>
          <w:rFonts w:ascii="宋体" w:eastAsia="宋体" w:hAnsi="宋体" w:cs="宋体"/>
          <w:sz w:val="22"/>
          <w:szCs w:val="22"/>
        </w:rPr>
        <w:t xml:space="preserve"> </w:t>
      </w:r>
      <w:r>
        <w:rPr>
          <w:rFonts w:ascii="宋体" w:eastAsia="宋体" w:hAnsi="宋体" w:cs="宋体"/>
          <w:spacing w:val="-8"/>
          <w:sz w:val="22"/>
          <w:szCs w:val="22"/>
        </w:rPr>
        <w:t>水平，人均粮食占有量达到400kg</w:t>
      </w:r>
      <w:r>
        <w:rPr>
          <w:rFonts w:ascii="宋体" w:eastAsia="宋体" w:hAnsi="宋体" w:cs="宋体"/>
          <w:spacing w:val="-55"/>
          <w:sz w:val="22"/>
          <w:szCs w:val="22"/>
        </w:rPr>
        <w:t xml:space="preserve"> </w:t>
      </w:r>
      <w:r>
        <w:rPr>
          <w:rFonts w:ascii="宋体" w:eastAsia="宋体" w:hAnsi="宋体" w:cs="宋体"/>
          <w:spacing w:val="-8"/>
          <w:sz w:val="22"/>
          <w:szCs w:val="22"/>
        </w:rPr>
        <w:t>左右。在粮食生产稳步增长的同时，肉、蛋、</w:t>
      </w:r>
      <w:r>
        <w:rPr>
          <w:rFonts w:ascii="宋体" w:eastAsia="宋体" w:hAnsi="宋体" w:cs="宋体"/>
          <w:sz w:val="22"/>
          <w:szCs w:val="22"/>
        </w:rPr>
        <w:t xml:space="preserve"> </w:t>
      </w:r>
      <w:r>
        <w:rPr>
          <w:rFonts w:ascii="宋体" w:eastAsia="宋体" w:hAnsi="宋体" w:cs="宋体"/>
          <w:spacing w:val="-13"/>
          <w:sz w:val="22"/>
          <w:szCs w:val="22"/>
        </w:rPr>
        <w:t>水产品以及水果，蔬菜生产都有了快速的增长，为提高人民生活水平奠定了坚实</w:t>
      </w:r>
      <w:r>
        <w:rPr>
          <w:rFonts w:ascii="宋体" w:eastAsia="宋体" w:hAnsi="宋体" w:cs="宋体"/>
          <w:spacing w:val="2"/>
          <w:sz w:val="22"/>
          <w:szCs w:val="22"/>
        </w:rPr>
        <w:t xml:space="preserve">  </w:t>
      </w:r>
      <w:r>
        <w:rPr>
          <w:rFonts w:ascii="宋体" w:eastAsia="宋体" w:hAnsi="宋体" w:cs="宋体"/>
          <w:spacing w:val="-19"/>
          <w:sz w:val="22"/>
          <w:szCs w:val="22"/>
        </w:rPr>
        <w:t>的物质基础。</w:t>
      </w:r>
    </w:p>
    <w:p w:rsidR="00EA40A3" w:rsidRDefault="00E86C16">
      <w:pPr>
        <w:spacing w:before="36" w:line="246" w:lineRule="auto"/>
        <w:ind w:firstLine="430"/>
        <w:jc w:val="both"/>
        <w:rPr>
          <w:rFonts w:ascii="宋体" w:eastAsia="宋体" w:hAnsi="宋体" w:cs="宋体"/>
          <w:sz w:val="22"/>
          <w:szCs w:val="22"/>
        </w:rPr>
      </w:pPr>
      <w:r>
        <w:rPr>
          <w:rFonts w:ascii="宋体" w:eastAsia="宋体" w:hAnsi="宋体" w:cs="宋体"/>
          <w:spacing w:val="-5"/>
          <w:sz w:val="22"/>
          <w:szCs w:val="22"/>
        </w:rPr>
        <w:t>2.</w:t>
      </w:r>
      <w:r>
        <w:rPr>
          <w:rFonts w:ascii="宋体" w:eastAsia="宋体" w:hAnsi="宋体" w:cs="宋体"/>
          <w:spacing w:val="-4"/>
          <w:sz w:val="22"/>
          <w:szCs w:val="22"/>
        </w:rPr>
        <w:t xml:space="preserve"> </w:t>
      </w:r>
      <w:r>
        <w:rPr>
          <w:rFonts w:ascii="宋体" w:eastAsia="宋体" w:hAnsi="宋体" w:cs="宋体"/>
          <w:spacing w:val="-5"/>
          <w:sz w:val="22"/>
          <w:szCs w:val="22"/>
        </w:rPr>
        <w:t>食物消费质量明显提高。1990～2000年，全过居民人均收入从904元增</w:t>
      </w:r>
      <w:r>
        <w:rPr>
          <w:rFonts w:ascii="宋体" w:eastAsia="宋体" w:hAnsi="宋体" w:cs="宋体"/>
          <w:sz w:val="22"/>
          <w:szCs w:val="22"/>
        </w:rPr>
        <w:t xml:space="preserve"> 加到1625元(1990年不变价)。人均食物消费支出占生活</w:t>
      </w:r>
      <w:r>
        <w:rPr>
          <w:rFonts w:ascii="宋体" w:eastAsia="宋体" w:hAnsi="宋体" w:cs="宋体"/>
          <w:spacing w:val="-1"/>
          <w:sz w:val="22"/>
          <w:szCs w:val="22"/>
        </w:rPr>
        <w:t>消费总支出的比重逐</w:t>
      </w:r>
      <w:r>
        <w:rPr>
          <w:rFonts w:ascii="宋体" w:eastAsia="宋体" w:hAnsi="宋体" w:cs="宋体"/>
          <w:sz w:val="22"/>
          <w:szCs w:val="22"/>
        </w:rPr>
        <w:t xml:space="preserve">  </w:t>
      </w:r>
      <w:r>
        <w:rPr>
          <w:rFonts w:ascii="宋体" w:eastAsia="宋体" w:hAnsi="宋体" w:cs="宋体"/>
          <w:spacing w:val="2"/>
          <w:sz w:val="22"/>
          <w:szCs w:val="22"/>
        </w:rPr>
        <w:t>步降低，恩格尔系数从60.3%下降到46.0%。食物消费结果得到了显著改善。</w:t>
      </w:r>
      <w:r>
        <w:rPr>
          <w:rFonts w:ascii="宋体" w:eastAsia="宋体" w:hAnsi="宋体" w:cs="宋体"/>
          <w:spacing w:val="13"/>
          <w:sz w:val="22"/>
          <w:szCs w:val="22"/>
        </w:rPr>
        <w:t xml:space="preserve"> </w:t>
      </w:r>
      <w:r>
        <w:rPr>
          <w:rFonts w:ascii="宋体" w:eastAsia="宋体" w:hAnsi="宋体" w:cs="宋体"/>
          <w:spacing w:val="2"/>
          <w:sz w:val="22"/>
          <w:szCs w:val="22"/>
        </w:rPr>
        <w:t>2000年人均消费口粮206</w:t>
      </w:r>
      <w:r>
        <w:rPr>
          <w:rFonts w:ascii="宋体" w:eastAsia="宋体" w:hAnsi="宋体" w:cs="宋体"/>
          <w:sz w:val="22"/>
          <w:szCs w:val="22"/>
        </w:rPr>
        <w:t>kg</w:t>
      </w:r>
      <w:r>
        <w:rPr>
          <w:rFonts w:ascii="宋体" w:eastAsia="宋体" w:hAnsi="宋体" w:cs="宋体"/>
          <w:spacing w:val="2"/>
          <w:sz w:val="22"/>
          <w:szCs w:val="22"/>
        </w:rPr>
        <w:t>,</w:t>
      </w:r>
      <w:r>
        <w:rPr>
          <w:rFonts w:ascii="宋体" w:eastAsia="宋体" w:hAnsi="宋体" w:cs="宋体"/>
          <w:spacing w:val="-34"/>
          <w:sz w:val="22"/>
          <w:szCs w:val="22"/>
        </w:rPr>
        <w:t xml:space="preserve"> </w:t>
      </w:r>
      <w:r>
        <w:rPr>
          <w:rFonts w:ascii="宋体" w:eastAsia="宋体" w:hAnsi="宋体" w:cs="宋体"/>
          <w:spacing w:val="2"/>
          <w:sz w:val="22"/>
          <w:szCs w:val="22"/>
        </w:rPr>
        <w:t>蔬菜110</w:t>
      </w:r>
      <w:r>
        <w:rPr>
          <w:rFonts w:ascii="宋体" w:eastAsia="宋体" w:hAnsi="宋体" w:cs="宋体"/>
          <w:sz w:val="22"/>
          <w:szCs w:val="22"/>
        </w:rPr>
        <w:t>kg</w:t>
      </w:r>
      <w:r>
        <w:rPr>
          <w:rFonts w:ascii="宋体" w:eastAsia="宋体" w:hAnsi="宋体" w:cs="宋体"/>
          <w:spacing w:val="2"/>
          <w:sz w:val="22"/>
          <w:szCs w:val="22"/>
        </w:rPr>
        <w:t>,</w:t>
      </w:r>
      <w:r>
        <w:rPr>
          <w:rFonts w:ascii="宋体" w:eastAsia="宋体" w:hAnsi="宋体" w:cs="宋体"/>
          <w:spacing w:val="-23"/>
          <w:sz w:val="22"/>
          <w:szCs w:val="22"/>
        </w:rPr>
        <w:t xml:space="preserve"> </w:t>
      </w:r>
      <w:r>
        <w:rPr>
          <w:rFonts w:ascii="宋体" w:eastAsia="宋体" w:hAnsi="宋体" w:cs="宋体"/>
          <w:spacing w:val="2"/>
          <w:sz w:val="22"/>
          <w:szCs w:val="22"/>
        </w:rPr>
        <w:t>食用植物</w:t>
      </w:r>
      <w:r>
        <w:rPr>
          <w:rFonts w:ascii="宋体" w:eastAsia="宋体" w:hAnsi="宋体" w:cs="宋体"/>
          <w:spacing w:val="1"/>
          <w:sz w:val="22"/>
          <w:szCs w:val="22"/>
        </w:rPr>
        <w:t>油8.2</w:t>
      </w:r>
      <w:r>
        <w:rPr>
          <w:rFonts w:ascii="宋体" w:eastAsia="宋体" w:hAnsi="宋体" w:cs="宋体"/>
          <w:sz w:val="22"/>
          <w:szCs w:val="22"/>
        </w:rPr>
        <w:t>kg</w:t>
      </w:r>
      <w:r>
        <w:rPr>
          <w:rFonts w:ascii="宋体" w:eastAsia="宋体" w:hAnsi="宋体" w:cs="宋体"/>
          <w:spacing w:val="1"/>
          <w:sz w:val="22"/>
          <w:szCs w:val="22"/>
        </w:rPr>
        <w:t>,</w:t>
      </w:r>
      <w:r>
        <w:rPr>
          <w:rFonts w:ascii="宋体" w:eastAsia="宋体" w:hAnsi="宋体" w:cs="宋体"/>
          <w:spacing w:val="-13"/>
          <w:sz w:val="22"/>
          <w:szCs w:val="22"/>
        </w:rPr>
        <w:t xml:space="preserve"> </w:t>
      </w:r>
      <w:r>
        <w:rPr>
          <w:rFonts w:ascii="宋体" w:eastAsia="宋体" w:hAnsi="宋体" w:cs="宋体"/>
          <w:spacing w:val="1"/>
          <w:sz w:val="22"/>
          <w:szCs w:val="22"/>
        </w:rPr>
        <w:t>食糖7.0</w:t>
      </w:r>
      <w:r>
        <w:rPr>
          <w:rFonts w:ascii="宋体" w:eastAsia="宋体" w:hAnsi="宋体" w:cs="宋体"/>
          <w:sz w:val="22"/>
          <w:szCs w:val="22"/>
        </w:rPr>
        <w:t>kg</w:t>
      </w:r>
      <w:r>
        <w:rPr>
          <w:rFonts w:ascii="宋体" w:eastAsia="宋体" w:hAnsi="宋体" w:cs="宋体"/>
          <w:spacing w:val="1"/>
          <w:sz w:val="22"/>
          <w:szCs w:val="22"/>
        </w:rPr>
        <w:t>,</w:t>
      </w:r>
      <w:r>
        <w:rPr>
          <w:rFonts w:ascii="宋体" w:eastAsia="宋体" w:hAnsi="宋体" w:cs="宋体"/>
          <w:spacing w:val="6"/>
          <w:sz w:val="22"/>
          <w:szCs w:val="22"/>
        </w:rPr>
        <w:t xml:space="preserve"> </w:t>
      </w:r>
      <w:r>
        <w:rPr>
          <w:rFonts w:ascii="宋体" w:eastAsia="宋体" w:hAnsi="宋体" w:cs="宋体"/>
          <w:spacing w:val="1"/>
          <w:sz w:val="22"/>
          <w:szCs w:val="22"/>
        </w:rPr>
        <w:t>肉</w:t>
      </w:r>
      <w:r>
        <w:rPr>
          <w:rFonts w:ascii="宋体" w:eastAsia="宋体" w:hAnsi="宋体" w:cs="宋体"/>
          <w:sz w:val="22"/>
          <w:szCs w:val="22"/>
        </w:rPr>
        <w:t xml:space="preserve">  </w:t>
      </w:r>
      <w:r>
        <w:rPr>
          <w:rFonts w:ascii="宋体" w:eastAsia="宋体" w:hAnsi="宋体" w:cs="宋体"/>
          <w:spacing w:val="5"/>
          <w:sz w:val="22"/>
          <w:szCs w:val="22"/>
        </w:rPr>
        <w:t>类25.3</w:t>
      </w:r>
      <w:r>
        <w:rPr>
          <w:rFonts w:ascii="宋体" w:eastAsia="宋体" w:hAnsi="宋体" w:cs="宋体"/>
          <w:sz w:val="22"/>
          <w:szCs w:val="22"/>
        </w:rPr>
        <w:t>kg</w:t>
      </w:r>
      <w:r>
        <w:rPr>
          <w:rFonts w:ascii="宋体" w:eastAsia="宋体" w:hAnsi="宋体" w:cs="宋体"/>
          <w:spacing w:val="5"/>
          <w:sz w:val="22"/>
          <w:szCs w:val="22"/>
        </w:rPr>
        <w:t>,</w:t>
      </w:r>
      <w:r>
        <w:rPr>
          <w:rFonts w:ascii="宋体" w:eastAsia="宋体" w:hAnsi="宋体" w:cs="宋体"/>
          <w:spacing w:val="-18"/>
          <w:sz w:val="22"/>
          <w:szCs w:val="22"/>
        </w:rPr>
        <w:t xml:space="preserve"> </w:t>
      </w:r>
      <w:r>
        <w:rPr>
          <w:rFonts w:ascii="宋体" w:eastAsia="宋体" w:hAnsi="宋体" w:cs="宋体"/>
          <w:spacing w:val="5"/>
          <w:sz w:val="22"/>
          <w:szCs w:val="22"/>
        </w:rPr>
        <w:t>蛋类11.8</w:t>
      </w:r>
      <w:r>
        <w:rPr>
          <w:rFonts w:ascii="宋体" w:eastAsia="宋体" w:hAnsi="宋体" w:cs="宋体"/>
          <w:sz w:val="22"/>
          <w:szCs w:val="22"/>
        </w:rPr>
        <w:t>kg</w:t>
      </w:r>
      <w:r>
        <w:rPr>
          <w:rFonts w:ascii="宋体" w:eastAsia="宋体" w:hAnsi="宋体" w:cs="宋体"/>
          <w:spacing w:val="5"/>
          <w:sz w:val="22"/>
          <w:szCs w:val="22"/>
        </w:rPr>
        <w:t>,</w:t>
      </w:r>
      <w:r>
        <w:rPr>
          <w:rFonts w:ascii="宋体" w:eastAsia="宋体" w:hAnsi="宋体" w:cs="宋体"/>
          <w:spacing w:val="-23"/>
          <w:sz w:val="22"/>
          <w:szCs w:val="22"/>
        </w:rPr>
        <w:t xml:space="preserve"> </w:t>
      </w:r>
      <w:r>
        <w:rPr>
          <w:rFonts w:ascii="宋体" w:eastAsia="宋体" w:hAnsi="宋体" w:cs="宋体"/>
          <w:spacing w:val="5"/>
          <w:sz w:val="22"/>
          <w:szCs w:val="22"/>
        </w:rPr>
        <w:t>奶类5.5</w:t>
      </w:r>
      <w:r>
        <w:rPr>
          <w:rFonts w:ascii="宋体" w:eastAsia="宋体" w:hAnsi="宋体" w:cs="宋体"/>
          <w:sz w:val="22"/>
          <w:szCs w:val="22"/>
        </w:rPr>
        <w:t>kg</w:t>
      </w:r>
      <w:r>
        <w:rPr>
          <w:rFonts w:ascii="宋体" w:eastAsia="宋体" w:hAnsi="宋体" w:cs="宋体"/>
          <w:spacing w:val="5"/>
          <w:sz w:val="22"/>
          <w:szCs w:val="22"/>
        </w:rPr>
        <w:t>,</w:t>
      </w:r>
      <w:r>
        <w:rPr>
          <w:rFonts w:ascii="宋体" w:eastAsia="宋体" w:hAnsi="宋体" w:cs="宋体"/>
          <w:spacing w:val="-3"/>
          <w:sz w:val="22"/>
          <w:szCs w:val="22"/>
        </w:rPr>
        <w:t xml:space="preserve"> </w:t>
      </w:r>
      <w:r>
        <w:rPr>
          <w:rFonts w:ascii="宋体" w:eastAsia="宋体" w:hAnsi="宋体" w:cs="宋体"/>
          <w:spacing w:val="5"/>
          <w:sz w:val="22"/>
          <w:szCs w:val="22"/>
        </w:rPr>
        <w:t>水产品11.7</w:t>
      </w:r>
      <w:r>
        <w:rPr>
          <w:rFonts w:ascii="宋体" w:eastAsia="宋体" w:hAnsi="宋体" w:cs="宋体"/>
          <w:sz w:val="22"/>
          <w:szCs w:val="22"/>
        </w:rPr>
        <w:t>kg</w:t>
      </w:r>
      <w:r>
        <w:rPr>
          <w:rFonts w:ascii="宋体" w:eastAsia="宋体" w:hAnsi="宋体" w:cs="宋体"/>
          <w:spacing w:val="5"/>
          <w:sz w:val="22"/>
          <w:szCs w:val="22"/>
        </w:rPr>
        <w:t>。</w:t>
      </w:r>
      <w:r>
        <w:rPr>
          <w:rFonts w:ascii="宋体" w:eastAsia="宋体" w:hAnsi="宋体" w:cs="宋体"/>
          <w:spacing w:val="-58"/>
          <w:sz w:val="22"/>
          <w:szCs w:val="22"/>
        </w:rPr>
        <w:t xml:space="preserve"> </w:t>
      </w:r>
      <w:r>
        <w:rPr>
          <w:rFonts w:ascii="宋体" w:eastAsia="宋体" w:hAnsi="宋体" w:cs="宋体"/>
          <w:spacing w:val="5"/>
          <w:sz w:val="22"/>
          <w:szCs w:val="22"/>
        </w:rPr>
        <w:t>与1990年相比，蛋、</w:t>
      </w:r>
      <w:r>
        <w:rPr>
          <w:rFonts w:ascii="宋体" w:eastAsia="宋体" w:hAnsi="宋体" w:cs="宋体"/>
          <w:sz w:val="22"/>
          <w:szCs w:val="22"/>
        </w:rPr>
        <w:t xml:space="preserve"> </w:t>
      </w:r>
      <w:r>
        <w:rPr>
          <w:rFonts w:ascii="宋体" w:eastAsia="宋体" w:hAnsi="宋体" w:cs="宋体"/>
          <w:spacing w:val="-14"/>
          <w:sz w:val="22"/>
          <w:szCs w:val="22"/>
        </w:rPr>
        <w:t>奶、水产品人均消费量有较大幅度提高。</w:t>
      </w:r>
    </w:p>
    <w:p w:rsidR="00EA40A3" w:rsidRDefault="00E86C16">
      <w:pPr>
        <w:spacing w:before="41" w:line="243" w:lineRule="auto"/>
        <w:ind w:right="48" w:firstLine="430"/>
        <w:jc w:val="both"/>
        <w:rPr>
          <w:rFonts w:ascii="宋体" w:eastAsia="宋体" w:hAnsi="宋体" w:cs="宋体"/>
          <w:sz w:val="22"/>
          <w:szCs w:val="22"/>
        </w:rPr>
      </w:pPr>
      <w:r>
        <w:rPr>
          <w:rFonts w:ascii="宋体" w:eastAsia="宋体" w:hAnsi="宋体" w:cs="宋体"/>
          <w:spacing w:val="-3"/>
          <w:sz w:val="22"/>
          <w:szCs w:val="22"/>
        </w:rPr>
        <w:t>3.</w:t>
      </w:r>
      <w:r>
        <w:rPr>
          <w:rFonts w:ascii="宋体" w:eastAsia="宋体" w:hAnsi="宋体" w:cs="宋体"/>
          <w:spacing w:val="-6"/>
          <w:sz w:val="22"/>
          <w:szCs w:val="22"/>
        </w:rPr>
        <w:t xml:space="preserve"> </w:t>
      </w:r>
      <w:r>
        <w:rPr>
          <w:rFonts w:ascii="宋体" w:eastAsia="宋体" w:hAnsi="宋体" w:cs="宋体"/>
          <w:spacing w:val="-3"/>
          <w:sz w:val="22"/>
          <w:szCs w:val="22"/>
        </w:rPr>
        <w:t>居民营养结构有较大改善。20世纪90年代以来，全国居民摄入能量比</w:t>
      </w:r>
      <w:r>
        <w:rPr>
          <w:rFonts w:ascii="宋体" w:eastAsia="宋体" w:hAnsi="宋体" w:cs="宋体"/>
          <w:sz w:val="22"/>
          <w:szCs w:val="22"/>
        </w:rPr>
        <w:t xml:space="preserve"> </w:t>
      </w:r>
      <w:r>
        <w:rPr>
          <w:rFonts w:ascii="宋体" w:eastAsia="宋体" w:hAnsi="宋体" w:cs="宋体"/>
          <w:spacing w:val="-13"/>
          <w:sz w:val="22"/>
          <w:szCs w:val="22"/>
        </w:rPr>
        <w:t>较稳定，摄入的蛋白质总量中动物性蛋白质所占的比重有一定增长，膳食质量显</w:t>
      </w:r>
      <w:r>
        <w:rPr>
          <w:rFonts w:ascii="宋体" w:eastAsia="宋体" w:hAnsi="宋体" w:cs="宋体"/>
          <w:spacing w:val="7"/>
          <w:sz w:val="22"/>
          <w:szCs w:val="22"/>
        </w:rPr>
        <w:t xml:space="preserve"> </w:t>
      </w:r>
      <w:r>
        <w:rPr>
          <w:rFonts w:ascii="宋体" w:eastAsia="宋体" w:hAnsi="宋体" w:cs="宋体"/>
          <w:spacing w:val="6"/>
          <w:sz w:val="22"/>
          <w:szCs w:val="22"/>
        </w:rPr>
        <w:t>著改善。通过90年代后期部分地区典型监测表明，居民人均每日摄人能量</w:t>
      </w:r>
      <w:r>
        <w:rPr>
          <w:rFonts w:ascii="宋体" w:eastAsia="宋体" w:hAnsi="宋体" w:cs="宋体"/>
          <w:spacing w:val="9"/>
          <w:sz w:val="22"/>
          <w:szCs w:val="22"/>
        </w:rPr>
        <w:t xml:space="preserve"> </w:t>
      </w:r>
      <w:r>
        <w:rPr>
          <w:rFonts w:ascii="宋体" w:eastAsia="宋体" w:hAnsi="宋体" w:cs="宋体"/>
          <w:spacing w:val="1"/>
          <w:sz w:val="22"/>
          <w:szCs w:val="22"/>
        </w:rPr>
        <w:t>2387</w:t>
      </w:r>
      <w:r>
        <w:rPr>
          <w:rFonts w:ascii="宋体" w:eastAsia="宋体" w:hAnsi="宋体" w:cs="宋体"/>
          <w:sz w:val="22"/>
          <w:szCs w:val="22"/>
        </w:rPr>
        <w:t>kcal</w:t>
      </w:r>
      <w:r>
        <w:rPr>
          <w:rFonts w:ascii="宋体" w:eastAsia="宋体" w:hAnsi="宋体" w:cs="宋体"/>
          <w:spacing w:val="1"/>
          <w:sz w:val="22"/>
          <w:szCs w:val="22"/>
        </w:rPr>
        <w:t>,蛋白质70.5g, 脂肪54.7g。其中城镇居民人均摄入能量2253</w:t>
      </w:r>
      <w:r>
        <w:rPr>
          <w:rFonts w:ascii="宋体" w:eastAsia="宋体" w:hAnsi="宋体" w:cs="宋体"/>
          <w:sz w:val="22"/>
          <w:szCs w:val="22"/>
        </w:rPr>
        <w:t>kcal</w:t>
      </w:r>
      <w:r>
        <w:rPr>
          <w:rFonts w:ascii="宋体" w:eastAsia="宋体" w:hAnsi="宋体" w:cs="宋体"/>
          <w:spacing w:val="1"/>
          <w:sz w:val="22"/>
          <w:szCs w:val="22"/>
        </w:rPr>
        <w:t>,</w:t>
      </w:r>
      <w:r>
        <w:rPr>
          <w:rFonts w:ascii="宋体" w:eastAsia="宋体" w:hAnsi="宋体" w:cs="宋体"/>
          <w:sz w:val="22"/>
          <w:szCs w:val="22"/>
        </w:rPr>
        <w:t xml:space="preserve"> </w:t>
      </w:r>
      <w:r>
        <w:rPr>
          <w:rFonts w:ascii="宋体" w:eastAsia="宋体" w:hAnsi="宋体" w:cs="宋体"/>
          <w:spacing w:val="1"/>
          <w:sz w:val="22"/>
          <w:szCs w:val="22"/>
        </w:rPr>
        <w:t>蛋白质69.2g,</w:t>
      </w:r>
      <w:r>
        <w:rPr>
          <w:rFonts w:ascii="宋体" w:eastAsia="宋体" w:hAnsi="宋体" w:cs="宋体"/>
          <w:spacing w:val="-6"/>
          <w:sz w:val="22"/>
          <w:szCs w:val="22"/>
        </w:rPr>
        <w:t xml:space="preserve"> </w:t>
      </w:r>
      <w:r>
        <w:rPr>
          <w:rFonts w:ascii="宋体" w:eastAsia="宋体" w:hAnsi="宋体" w:cs="宋体"/>
          <w:spacing w:val="1"/>
          <w:sz w:val="22"/>
          <w:szCs w:val="22"/>
        </w:rPr>
        <w:t>脂肪72g;</w:t>
      </w:r>
      <w:r>
        <w:rPr>
          <w:rFonts w:ascii="宋体" w:eastAsia="宋体" w:hAnsi="宋体" w:cs="宋体"/>
          <w:spacing w:val="-18"/>
          <w:sz w:val="22"/>
          <w:szCs w:val="22"/>
        </w:rPr>
        <w:t xml:space="preserve"> </w:t>
      </w:r>
      <w:r>
        <w:rPr>
          <w:rFonts w:ascii="宋体" w:eastAsia="宋体" w:hAnsi="宋体" w:cs="宋体"/>
          <w:spacing w:val="1"/>
          <w:sz w:val="22"/>
          <w:szCs w:val="22"/>
        </w:rPr>
        <w:t>农村居民人均摄入能量2449</w:t>
      </w:r>
      <w:r>
        <w:rPr>
          <w:rFonts w:ascii="宋体" w:eastAsia="宋体" w:hAnsi="宋体" w:cs="宋体"/>
          <w:sz w:val="22"/>
          <w:szCs w:val="22"/>
        </w:rPr>
        <w:t>kcal</w:t>
      </w:r>
      <w:r>
        <w:rPr>
          <w:rFonts w:ascii="宋体" w:eastAsia="宋体" w:hAnsi="宋体" w:cs="宋体"/>
          <w:spacing w:val="1"/>
          <w:sz w:val="22"/>
          <w:szCs w:val="22"/>
        </w:rPr>
        <w:t>,蛋白质71.1g,</w:t>
      </w:r>
      <w:r>
        <w:rPr>
          <w:rFonts w:ascii="宋体" w:eastAsia="宋体" w:hAnsi="宋体" w:cs="宋体"/>
          <w:spacing w:val="-8"/>
          <w:sz w:val="22"/>
          <w:szCs w:val="22"/>
        </w:rPr>
        <w:t xml:space="preserve"> </w:t>
      </w:r>
      <w:r>
        <w:rPr>
          <w:rFonts w:ascii="宋体" w:eastAsia="宋体" w:hAnsi="宋体" w:cs="宋体"/>
          <w:spacing w:val="1"/>
          <w:sz w:val="22"/>
          <w:szCs w:val="22"/>
        </w:rPr>
        <w:t>脂</w:t>
      </w:r>
    </w:p>
    <w:p w:rsidR="00EA40A3" w:rsidRDefault="00E86C16">
      <w:pPr>
        <w:spacing w:before="158"/>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434</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footerReference w:type="default" r:id="rId363"/>
          <w:pgSz w:w="9220" w:h="13360"/>
          <w:pgMar w:top="400" w:right="1069" w:bottom="400" w:left="800" w:header="0" w:footer="0" w:gutter="0"/>
          <w:cols w:space="720"/>
        </w:sectPr>
      </w:pPr>
    </w:p>
    <w:p w:rsidR="00EA40A3" w:rsidRDefault="00EA40A3">
      <w:pPr>
        <w:spacing w:line="457" w:lineRule="auto"/>
      </w:pPr>
    </w:p>
    <w:p w:rsidR="00EA40A3" w:rsidRDefault="00E86C16">
      <w:pPr>
        <w:spacing w:before="71" w:line="214" w:lineRule="auto"/>
        <w:rPr>
          <w:rFonts w:ascii="宋体" w:eastAsia="宋体" w:hAnsi="宋体" w:cs="宋体"/>
          <w:sz w:val="22"/>
          <w:szCs w:val="22"/>
        </w:rPr>
      </w:pPr>
      <w:r>
        <w:rPr>
          <w:rFonts w:ascii="宋体" w:eastAsia="宋体" w:hAnsi="宋体" w:cs="宋体"/>
          <w:spacing w:val="-10"/>
          <w:sz w:val="22"/>
          <w:szCs w:val="22"/>
        </w:rPr>
        <w:t>肪46.7g,</w:t>
      </w:r>
      <w:r>
        <w:rPr>
          <w:rFonts w:ascii="宋体" w:eastAsia="宋体" w:hAnsi="宋体" w:cs="宋体"/>
          <w:spacing w:val="4"/>
          <w:sz w:val="22"/>
          <w:szCs w:val="22"/>
        </w:rPr>
        <w:t xml:space="preserve"> </w:t>
      </w:r>
      <w:r>
        <w:rPr>
          <w:rFonts w:ascii="宋体" w:eastAsia="宋体" w:hAnsi="宋体" w:cs="宋体"/>
          <w:spacing w:val="-10"/>
          <w:sz w:val="22"/>
          <w:szCs w:val="22"/>
        </w:rPr>
        <w:t>基本达到了营养素供给量标准。</w:t>
      </w:r>
    </w:p>
    <w:p w:rsidR="00EA40A3" w:rsidRDefault="00E86C16">
      <w:pPr>
        <w:spacing w:before="227" w:line="219" w:lineRule="auto"/>
        <w:rPr>
          <w:rFonts w:ascii="仿宋" w:eastAsia="仿宋" w:hAnsi="仿宋" w:cs="仿宋"/>
          <w:sz w:val="22"/>
          <w:szCs w:val="22"/>
        </w:rPr>
      </w:pPr>
      <w:r>
        <w:rPr>
          <w:rFonts w:ascii="仿宋" w:eastAsia="仿宋" w:hAnsi="仿宋" w:cs="仿宋"/>
          <w:spacing w:val="21"/>
          <w:sz w:val="22"/>
          <w:szCs w:val="22"/>
        </w:rPr>
        <w:t>(二)当前食物与营养发展中存在的问题</w:t>
      </w:r>
    </w:p>
    <w:p w:rsidR="00EA40A3" w:rsidRDefault="00E86C16">
      <w:pPr>
        <w:spacing w:before="186" w:line="247" w:lineRule="auto"/>
        <w:ind w:firstLine="470"/>
        <w:jc w:val="both"/>
        <w:rPr>
          <w:rFonts w:ascii="宋体" w:eastAsia="宋体" w:hAnsi="宋体" w:cs="宋体"/>
          <w:sz w:val="22"/>
          <w:szCs w:val="22"/>
        </w:rPr>
      </w:pPr>
      <w:r>
        <w:rPr>
          <w:rFonts w:ascii="宋体" w:eastAsia="宋体" w:hAnsi="宋体" w:cs="宋体"/>
          <w:spacing w:val="-6"/>
          <w:sz w:val="22"/>
          <w:szCs w:val="22"/>
        </w:rPr>
        <w:t>4.</w:t>
      </w:r>
      <w:r>
        <w:rPr>
          <w:rFonts w:ascii="宋体" w:eastAsia="宋体" w:hAnsi="宋体" w:cs="宋体"/>
          <w:spacing w:val="-33"/>
          <w:sz w:val="22"/>
          <w:szCs w:val="22"/>
        </w:rPr>
        <w:t xml:space="preserve"> </w:t>
      </w:r>
      <w:r>
        <w:rPr>
          <w:rFonts w:ascii="宋体" w:eastAsia="宋体" w:hAnsi="宋体" w:cs="宋体"/>
          <w:spacing w:val="-6"/>
          <w:sz w:val="22"/>
          <w:szCs w:val="22"/>
        </w:rPr>
        <w:t>食物生产，消费，营养不协调，生产结构不能满足营养结构改善需要。</w:t>
      </w:r>
      <w:r>
        <w:rPr>
          <w:rFonts w:ascii="宋体" w:eastAsia="宋体" w:hAnsi="宋体" w:cs="宋体"/>
          <w:sz w:val="22"/>
          <w:szCs w:val="22"/>
        </w:rPr>
        <w:t xml:space="preserve"> </w:t>
      </w:r>
      <w:r>
        <w:rPr>
          <w:rFonts w:ascii="宋体" w:eastAsia="宋体" w:hAnsi="宋体" w:cs="宋体"/>
          <w:spacing w:val="-16"/>
          <w:sz w:val="22"/>
          <w:szCs w:val="22"/>
        </w:rPr>
        <w:t>从目前情况看，</w:t>
      </w:r>
      <w:r>
        <w:rPr>
          <w:rFonts w:ascii="宋体" w:eastAsia="宋体" w:hAnsi="宋体" w:cs="宋体"/>
          <w:spacing w:val="16"/>
          <w:sz w:val="22"/>
          <w:szCs w:val="22"/>
        </w:rPr>
        <w:t xml:space="preserve"> </w:t>
      </w:r>
      <w:r>
        <w:rPr>
          <w:rFonts w:ascii="宋体" w:eastAsia="宋体" w:hAnsi="宋体" w:cs="宋体"/>
          <w:spacing w:val="-16"/>
          <w:sz w:val="22"/>
          <w:szCs w:val="22"/>
        </w:rPr>
        <w:t>一是我国优质农产品比重偏低，奶类，大豆等优质食物消</w:t>
      </w:r>
      <w:r>
        <w:rPr>
          <w:rFonts w:ascii="宋体" w:eastAsia="宋体" w:hAnsi="宋体" w:cs="宋体"/>
          <w:spacing w:val="-17"/>
          <w:sz w:val="22"/>
          <w:szCs w:val="22"/>
        </w:rPr>
        <w:t>费明显</w:t>
      </w:r>
      <w:r>
        <w:rPr>
          <w:rFonts w:ascii="宋体" w:eastAsia="宋体" w:hAnsi="宋体" w:cs="宋体"/>
          <w:sz w:val="22"/>
          <w:szCs w:val="22"/>
        </w:rPr>
        <w:t xml:space="preserve">  </w:t>
      </w:r>
      <w:r>
        <w:rPr>
          <w:rFonts w:ascii="宋体" w:eastAsia="宋体" w:hAnsi="宋体" w:cs="宋体"/>
          <w:spacing w:val="-13"/>
          <w:sz w:val="22"/>
          <w:szCs w:val="22"/>
        </w:rPr>
        <w:t>不足。二是城乡居民营养不平衡，地区差异较大城市居民因素膳食</w:t>
      </w:r>
      <w:r>
        <w:rPr>
          <w:rFonts w:ascii="宋体" w:eastAsia="宋体" w:hAnsi="宋体" w:cs="宋体"/>
          <w:spacing w:val="-14"/>
          <w:sz w:val="22"/>
          <w:szCs w:val="22"/>
        </w:rPr>
        <w:t>不平衡或营养</w:t>
      </w:r>
      <w:r>
        <w:rPr>
          <w:rFonts w:ascii="宋体" w:eastAsia="宋体" w:hAnsi="宋体" w:cs="宋体"/>
          <w:sz w:val="22"/>
          <w:szCs w:val="22"/>
        </w:rPr>
        <w:t xml:space="preserve">  </w:t>
      </w:r>
      <w:r>
        <w:rPr>
          <w:rFonts w:ascii="宋体" w:eastAsia="宋体" w:hAnsi="宋体" w:cs="宋体"/>
          <w:spacing w:val="-13"/>
          <w:sz w:val="22"/>
          <w:szCs w:val="22"/>
        </w:rPr>
        <w:t>过剩导致的疾病迅速增多，农村地区特别是贫困地区营养不良现象存在。三是食</w:t>
      </w:r>
      <w:r>
        <w:rPr>
          <w:rFonts w:ascii="宋体" w:eastAsia="宋体" w:hAnsi="宋体" w:cs="宋体"/>
          <w:spacing w:val="6"/>
          <w:sz w:val="22"/>
          <w:szCs w:val="22"/>
        </w:rPr>
        <w:t xml:space="preserve">  </w:t>
      </w:r>
      <w:r>
        <w:rPr>
          <w:rFonts w:ascii="宋体" w:eastAsia="宋体" w:hAnsi="宋体" w:cs="宋体"/>
          <w:spacing w:val="-13"/>
          <w:sz w:val="22"/>
          <w:szCs w:val="22"/>
        </w:rPr>
        <w:t>品工业发展滞后，产品结构不合理，技术装备总体水平偏低，食品工业值不足农</w:t>
      </w:r>
      <w:r>
        <w:rPr>
          <w:rFonts w:ascii="宋体" w:eastAsia="宋体" w:hAnsi="宋体" w:cs="宋体"/>
          <w:spacing w:val="8"/>
          <w:sz w:val="22"/>
          <w:szCs w:val="22"/>
        </w:rPr>
        <w:t xml:space="preserve">  </w:t>
      </w:r>
      <w:r>
        <w:rPr>
          <w:rFonts w:ascii="宋体" w:eastAsia="宋体" w:hAnsi="宋体" w:cs="宋体"/>
          <w:spacing w:val="6"/>
          <w:sz w:val="22"/>
          <w:szCs w:val="22"/>
        </w:rPr>
        <w:t>业产值的40%,加工食品消费量仅占食品消费量的30%,与世界先进国家的差</w:t>
      </w:r>
      <w:r>
        <w:rPr>
          <w:rFonts w:ascii="宋体" w:eastAsia="宋体" w:hAnsi="宋体" w:cs="宋体"/>
          <w:spacing w:val="2"/>
          <w:sz w:val="22"/>
          <w:szCs w:val="22"/>
        </w:rPr>
        <w:t xml:space="preserve">  </w:t>
      </w:r>
      <w:r>
        <w:rPr>
          <w:rFonts w:ascii="宋体" w:eastAsia="宋体" w:hAnsi="宋体" w:cs="宋体"/>
          <w:spacing w:val="-15"/>
          <w:sz w:val="22"/>
          <w:szCs w:val="22"/>
        </w:rPr>
        <w:t>距较大。</w:t>
      </w:r>
    </w:p>
    <w:p w:rsidR="00EA40A3" w:rsidRDefault="00E86C16">
      <w:pPr>
        <w:spacing w:before="35" w:line="244" w:lineRule="auto"/>
        <w:ind w:right="95" w:firstLine="470"/>
        <w:jc w:val="both"/>
        <w:rPr>
          <w:rFonts w:ascii="宋体" w:eastAsia="宋体" w:hAnsi="宋体" w:cs="宋体"/>
          <w:sz w:val="22"/>
          <w:szCs w:val="22"/>
        </w:rPr>
      </w:pPr>
      <w:r>
        <w:rPr>
          <w:rFonts w:ascii="宋体" w:eastAsia="宋体" w:hAnsi="宋体" w:cs="宋体"/>
          <w:spacing w:val="-9"/>
          <w:sz w:val="22"/>
          <w:szCs w:val="22"/>
        </w:rPr>
        <w:t>5.</w:t>
      </w:r>
      <w:r>
        <w:rPr>
          <w:rFonts w:ascii="宋体" w:eastAsia="宋体" w:hAnsi="宋体" w:cs="宋体"/>
          <w:spacing w:val="-28"/>
          <w:sz w:val="22"/>
          <w:szCs w:val="22"/>
        </w:rPr>
        <w:t xml:space="preserve"> </w:t>
      </w:r>
      <w:r>
        <w:rPr>
          <w:rFonts w:ascii="宋体" w:eastAsia="宋体" w:hAnsi="宋体" w:cs="宋体"/>
          <w:spacing w:val="-9"/>
          <w:sz w:val="22"/>
          <w:szCs w:val="22"/>
        </w:rPr>
        <w:t>食物质量，安全和卫生存在隐患。部分地区食物生产的环境恶化，</w:t>
      </w:r>
      <w:r>
        <w:rPr>
          <w:rFonts w:ascii="宋体" w:eastAsia="宋体" w:hAnsi="宋体" w:cs="宋体"/>
          <w:spacing w:val="-10"/>
          <w:sz w:val="22"/>
          <w:szCs w:val="22"/>
        </w:rPr>
        <w:t>受到</w:t>
      </w:r>
      <w:r>
        <w:rPr>
          <w:rFonts w:ascii="宋体" w:eastAsia="宋体" w:hAnsi="宋体" w:cs="宋体"/>
          <w:sz w:val="22"/>
          <w:szCs w:val="22"/>
        </w:rPr>
        <w:t xml:space="preserve"> </w:t>
      </w:r>
      <w:r>
        <w:rPr>
          <w:rFonts w:ascii="宋体" w:eastAsia="宋体" w:hAnsi="宋体" w:cs="宋体"/>
          <w:spacing w:val="-13"/>
          <w:sz w:val="22"/>
          <w:szCs w:val="22"/>
        </w:rPr>
        <w:t>工业和城市的污染，生产过程中化肥、农药、兽药、饲料添加剂使用不</w:t>
      </w:r>
      <w:r>
        <w:rPr>
          <w:rFonts w:ascii="宋体" w:eastAsia="宋体" w:hAnsi="宋体" w:cs="宋体"/>
          <w:spacing w:val="-14"/>
          <w:sz w:val="22"/>
          <w:szCs w:val="22"/>
        </w:rPr>
        <w:t>当，加工</w:t>
      </w:r>
      <w:r>
        <w:rPr>
          <w:rFonts w:ascii="宋体" w:eastAsia="宋体" w:hAnsi="宋体" w:cs="宋体"/>
          <w:sz w:val="22"/>
          <w:szCs w:val="22"/>
        </w:rPr>
        <w:t xml:space="preserve"> </w:t>
      </w:r>
      <w:r>
        <w:rPr>
          <w:rFonts w:ascii="宋体" w:eastAsia="宋体" w:hAnsi="宋体" w:cs="宋体"/>
          <w:spacing w:val="-13"/>
          <w:sz w:val="22"/>
          <w:szCs w:val="22"/>
        </w:rPr>
        <w:t>中食品添加剂和技术使用不尽合理，导致部分食物有害物质残留超标，严重影响</w:t>
      </w:r>
      <w:r>
        <w:rPr>
          <w:rFonts w:ascii="宋体" w:eastAsia="宋体" w:hAnsi="宋体" w:cs="宋体"/>
          <w:spacing w:val="1"/>
          <w:sz w:val="22"/>
          <w:szCs w:val="22"/>
        </w:rPr>
        <w:t xml:space="preserve"> </w:t>
      </w:r>
      <w:r>
        <w:rPr>
          <w:rFonts w:ascii="宋体" w:eastAsia="宋体" w:hAnsi="宋体" w:cs="宋体"/>
          <w:spacing w:val="-15"/>
          <w:sz w:val="22"/>
          <w:szCs w:val="22"/>
        </w:rPr>
        <w:t>人民健康。</w:t>
      </w:r>
    </w:p>
    <w:p w:rsidR="00EA40A3" w:rsidRDefault="00E86C16">
      <w:pPr>
        <w:spacing w:before="255" w:line="221" w:lineRule="auto"/>
        <w:rPr>
          <w:rFonts w:ascii="仿宋" w:eastAsia="仿宋" w:hAnsi="仿宋" w:cs="仿宋"/>
          <w:sz w:val="22"/>
          <w:szCs w:val="22"/>
        </w:rPr>
      </w:pPr>
      <w:r>
        <w:rPr>
          <w:rFonts w:ascii="仿宋" w:eastAsia="仿宋" w:hAnsi="仿宋" w:cs="仿宋"/>
          <w:spacing w:val="20"/>
          <w:sz w:val="22"/>
          <w:szCs w:val="22"/>
        </w:rPr>
        <w:t>(三)食物与营养发展面临的新形式</w:t>
      </w:r>
    </w:p>
    <w:p w:rsidR="00EA40A3" w:rsidRDefault="00E86C16">
      <w:pPr>
        <w:spacing w:before="212" w:line="246" w:lineRule="auto"/>
        <w:ind w:right="79" w:firstLine="470"/>
        <w:jc w:val="both"/>
        <w:rPr>
          <w:rFonts w:ascii="宋体" w:eastAsia="宋体" w:hAnsi="宋体" w:cs="宋体"/>
          <w:sz w:val="22"/>
          <w:szCs w:val="22"/>
        </w:rPr>
      </w:pPr>
      <w:r>
        <w:rPr>
          <w:rFonts w:ascii="宋体" w:eastAsia="宋体" w:hAnsi="宋体" w:cs="宋体"/>
          <w:spacing w:val="-14"/>
          <w:sz w:val="22"/>
          <w:szCs w:val="22"/>
        </w:rPr>
        <w:t>6.</w:t>
      </w:r>
      <w:r>
        <w:rPr>
          <w:rFonts w:ascii="宋体" w:eastAsia="宋体" w:hAnsi="宋体" w:cs="宋体"/>
          <w:spacing w:val="-15"/>
          <w:sz w:val="22"/>
          <w:szCs w:val="22"/>
        </w:rPr>
        <w:t xml:space="preserve"> </w:t>
      </w:r>
      <w:r>
        <w:rPr>
          <w:rFonts w:ascii="宋体" w:eastAsia="宋体" w:hAnsi="宋体" w:cs="宋体"/>
          <w:spacing w:val="-14"/>
          <w:sz w:val="22"/>
          <w:szCs w:val="22"/>
        </w:rPr>
        <w:t>食物与营养面临新的形式：</w:t>
      </w:r>
      <w:r>
        <w:rPr>
          <w:rFonts w:ascii="宋体" w:eastAsia="宋体" w:hAnsi="宋体" w:cs="宋体"/>
          <w:spacing w:val="56"/>
          <w:sz w:val="22"/>
          <w:szCs w:val="22"/>
        </w:rPr>
        <w:t xml:space="preserve"> </w:t>
      </w:r>
      <w:r>
        <w:rPr>
          <w:rFonts w:ascii="宋体" w:eastAsia="宋体" w:hAnsi="宋体" w:cs="宋体"/>
          <w:spacing w:val="-14"/>
          <w:sz w:val="22"/>
          <w:szCs w:val="22"/>
        </w:rPr>
        <w:t>一是居民生活水平的不断提高，对事物多样</w:t>
      </w:r>
      <w:r>
        <w:rPr>
          <w:rFonts w:ascii="宋体" w:eastAsia="宋体" w:hAnsi="宋体" w:cs="宋体"/>
          <w:sz w:val="22"/>
          <w:szCs w:val="22"/>
        </w:rPr>
        <w:t xml:space="preserve"> </w:t>
      </w:r>
      <w:r>
        <w:rPr>
          <w:rFonts w:ascii="宋体" w:eastAsia="宋体" w:hAnsi="宋体" w:cs="宋体"/>
          <w:spacing w:val="-13"/>
          <w:sz w:val="22"/>
          <w:szCs w:val="22"/>
        </w:rPr>
        <w:t>化，优质化需求明显增加；对食物安全卫生要求不断提高。二是居民食物消费正</w:t>
      </w:r>
      <w:r>
        <w:rPr>
          <w:rFonts w:ascii="宋体" w:eastAsia="宋体" w:hAnsi="宋体" w:cs="宋体"/>
          <w:spacing w:val="16"/>
          <w:sz w:val="22"/>
          <w:szCs w:val="22"/>
        </w:rPr>
        <w:t xml:space="preserve"> </w:t>
      </w:r>
      <w:r>
        <w:rPr>
          <w:rFonts w:ascii="宋体" w:eastAsia="宋体" w:hAnsi="宋体" w:cs="宋体"/>
          <w:spacing w:val="-13"/>
          <w:sz w:val="22"/>
          <w:szCs w:val="22"/>
        </w:rPr>
        <w:t>处于由小康向更加富裕转型的时期，急需加强对居民食物与营养的指导工作，促</w:t>
      </w:r>
      <w:r>
        <w:rPr>
          <w:rFonts w:ascii="宋体" w:eastAsia="宋体" w:hAnsi="宋体" w:cs="宋体"/>
          <w:spacing w:val="13"/>
          <w:sz w:val="22"/>
          <w:szCs w:val="22"/>
        </w:rPr>
        <w:t xml:space="preserve"> </w:t>
      </w:r>
      <w:r>
        <w:rPr>
          <w:rFonts w:ascii="宋体" w:eastAsia="宋体" w:hAnsi="宋体" w:cs="宋体"/>
          <w:spacing w:val="-13"/>
          <w:sz w:val="22"/>
          <w:szCs w:val="22"/>
        </w:rPr>
        <w:t>进居民形成良好的饮食习惯。否则，既会造成资源浪费，也可能会影</w:t>
      </w:r>
      <w:r>
        <w:rPr>
          <w:rFonts w:ascii="宋体" w:eastAsia="宋体" w:hAnsi="宋体" w:cs="宋体"/>
          <w:spacing w:val="-14"/>
          <w:sz w:val="22"/>
          <w:szCs w:val="22"/>
        </w:rPr>
        <w:t>响一代甚至</w:t>
      </w:r>
      <w:r>
        <w:rPr>
          <w:rFonts w:ascii="宋体" w:eastAsia="宋体" w:hAnsi="宋体" w:cs="宋体"/>
          <w:sz w:val="22"/>
          <w:szCs w:val="22"/>
        </w:rPr>
        <w:t xml:space="preserve"> </w:t>
      </w:r>
      <w:r>
        <w:rPr>
          <w:rFonts w:ascii="宋体" w:eastAsia="宋体" w:hAnsi="宋体" w:cs="宋体"/>
          <w:spacing w:val="-13"/>
          <w:sz w:val="22"/>
          <w:szCs w:val="22"/>
        </w:rPr>
        <w:t>几代人身体素质的提高。三是世界经济和现代科技的发展，使国际食物与营养产</w:t>
      </w:r>
      <w:r>
        <w:rPr>
          <w:rFonts w:ascii="宋体" w:eastAsia="宋体" w:hAnsi="宋体" w:cs="宋体"/>
          <w:spacing w:val="16"/>
          <w:sz w:val="22"/>
          <w:szCs w:val="22"/>
        </w:rPr>
        <w:t xml:space="preserve"> </w:t>
      </w:r>
      <w:r>
        <w:rPr>
          <w:rFonts w:ascii="宋体" w:eastAsia="宋体" w:hAnsi="宋体" w:cs="宋体"/>
          <w:spacing w:val="-15"/>
          <w:sz w:val="22"/>
          <w:szCs w:val="22"/>
        </w:rPr>
        <w:t>业呈加速发展趋势，必须加快我国食物与营养工作，以跟上世界发展步伐。</w:t>
      </w:r>
    </w:p>
    <w:p w:rsidR="00EA40A3" w:rsidRDefault="00E86C16">
      <w:pPr>
        <w:spacing w:before="78" w:line="236" w:lineRule="auto"/>
        <w:ind w:right="77" w:firstLine="470"/>
        <w:jc w:val="both"/>
        <w:rPr>
          <w:rFonts w:ascii="宋体" w:eastAsia="宋体" w:hAnsi="宋体" w:cs="宋体"/>
          <w:sz w:val="22"/>
          <w:szCs w:val="22"/>
        </w:rPr>
      </w:pPr>
      <w:r>
        <w:rPr>
          <w:rFonts w:ascii="宋体" w:eastAsia="宋体" w:hAnsi="宋体" w:cs="宋体"/>
          <w:spacing w:val="-13"/>
          <w:sz w:val="22"/>
          <w:szCs w:val="22"/>
        </w:rPr>
        <w:t>因此，今后十年，我国食物与营养工作面临着十分艰巨的任务，必须调整战</w:t>
      </w:r>
      <w:r>
        <w:rPr>
          <w:rFonts w:ascii="宋体" w:eastAsia="宋体" w:hAnsi="宋体" w:cs="宋体"/>
          <w:spacing w:val="10"/>
          <w:sz w:val="22"/>
          <w:szCs w:val="22"/>
        </w:rPr>
        <w:t xml:space="preserve"> </w:t>
      </w:r>
      <w:r>
        <w:rPr>
          <w:rFonts w:ascii="宋体" w:eastAsia="宋体" w:hAnsi="宋体" w:cs="宋体"/>
          <w:spacing w:val="-12"/>
          <w:sz w:val="22"/>
          <w:szCs w:val="22"/>
        </w:rPr>
        <w:t>略，转变观念，明确发展重点，制定有效的政策</w:t>
      </w:r>
      <w:r>
        <w:rPr>
          <w:rFonts w:ascii="宋体" w:eastAsia="宋体" w:hAnsi="宋体" w:cs="宋体"/>
          <w:spacing w:val="-13"/>
          <w:sz w:val="22"/>
          <w:szCs w:val="22"/>
        </w:rPr>
        <w:t>措施，促进食物与营养取得新的</w:t>
      </w:r>
      <w:r>
        <w:rPr>
          <w:rFonts w:ascii="宋体" w:eastAsia="宋体" w:hAnsi="宋体" w:cs="宋体"/>
          <w:sz w:val="22"/>
          <w:szCs w:val="22"/>
        </w:rPr>
        <w:t xml:space="preserve"> </w:t>
      </w:r>
      <w:r>
        <w:rPr>
          <w:rFonts w:ascii="宋体" w:eastAsia="宋体" w:hAnsi="宋体" w:cs="宋体"/>
          <w:spacing w:val="-16"/>
          <w:sz w:val="22"/>
          <w:szCs w:val="22"/>
        </w:rPr>
        <w:t>发展。</w:t>
      </w:r>
    </w:p>
    <w:p w:rsidR="00EA40A3" w:rsidRDefault="00E86C16">
      <w:pPr>
        <w:spacing w:before="213" w:line="213" w:lineRule="auto"/>
        <w:ind w:left="3"/>
        <w:outlineLvl w:val="6"/>
        <w:rPr>
          <w:rFonts w:ascii="黑体" w:eastAsia="黑体" w:hAnsi="黑体" w:cs="黑体"/>
          <w:sz w:val="22"/>
          <w:szCs w:val="22"/>
        </w:rPr>
      </w:pPr>
      <w:r>
        <w:rPr>
          <w:rFonts w:ascii="黑体" w:eastAsia="黑体" w:hAnsi="黑体" w:cs="黑体"/>
          <w:b/>
          <w:bCs/>
          <w:spacing w:val="12"/>
          <w:sz w:val="22"/>
          <w:szCs w:val="22"/>
        </w:rPr>
        <w:t>二</w:t>
      </w:r>
      <w:r>
        <w:rPr>
          <w:rFonts w:ascii="黑体" w:eastAsia="黑体" w:hAnsi="黑体" w:cs="黑体"/>
          <w:spacing w:val="-26"/>
          <w:sz w:val="22"/>
          <w:szCs w:val="22"/>
        </w:rPr>
        <w:t xml:space="preserve"> </w:t>
      </w:r>
      <w:r>
        <w:rPr>
          <w:rFonts w:ascii="黑体" w:eastAsia="黑体" w:hAnsi="黑体" w:cs="黑体"/>
          <w:b/>
          <w:bCs/>
          <w:spacing w:val="12"/>
          <w:sz w:val="22"/>
          <w:szCs w:val="22"/>
        </w:rPr>
        <w:t>、食物与营养发展的指导思想，基本原则和目标</w:t>
      </w:r>
    </w:p>
    <w:p w:rsidR="00EA40A3" w:rsidRDefault="00EA40A3">
      <w:pPr>
        <w:spacing w:line="293"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19"/>
          <w:sz w:val="22"/>
          <w:szCs w:val="22"/>
        </w:rPr>
        <w:t>(一)食物与营养发展的指导思想和基本原则</w:t>
      </w:r>
    </w:p>
    <w:p w:rsidR="00EA40A3" w:rsidRDefault="00E86C16">
      <w:pPr>
        <w:spacing w:before="209" w:line="246" w:lineRule="auto"/>
        <w:ind w:right="49" w:firstLine="470"/>
        <w:jc w:val="both"/>
        <w:rPr>
          <w:rFonts w:ascii="宋体" w:eastAsia="宋体" w:hAnsi="宋体" w:cs="宋体"/>
          <w:sz w:val="22"/>
          <w:szCs w:val="22"/>
        </w:rPr>
      </w:pPr>
      <w:r>
        <w:rPr>
          <w:rFonts w:ascii="宋体" w:eastAsia="宋体" w:hAnsi="宋体" w:cs="宋体"/>
          <w:spacing w:val="-9"/>
          <w:sz w:val="22"/>
          <w:szCs w:val="22"/>
        </w:rPr>
        <w:t>7.</w:t>
      </w:r>
      <w:r>
        <w:rPr>
          <w:rFonts w:ascii="宋体" w:eastAsia="宋体" w:hAnsi="宋体" w:cs="宋体"/>
          <w:spacing w:val="-8"/>
          <w:sz w:val="22"/>
          <w:szCs w:val="22"/>
        </w:rPr>
        <w:t xml:space="preserve"> </w:t>
      </w:r>
      <w:r>
        <w:rPr>
          <w:rFonts w:ascii="宋体" w:eastAsia="宋体" w:hAnsi="宋体" w:cs="宋体"/>
          <w:spacing w:val="-9"/>
          <w:sz w:val="22"/>
          <w:szCs w:val="22"/>
        </w:rPr>
        <w:t>食物与营养发展的指导思想。适应我国人民生活水平提高和营养改善的</w:t>
      </w:r>
      <w:r>
        <w:rPr>
          <w:rFonts w:ascii="宋体" w:eastAsia="宋体" w:hAnsi="宋体" w:cs="宋体"/>
          <w:sz w:val="22"/>
          <w:szCs w:val="22"/>
        </w:rPr>
        <w:t xml:space="preserve"> </w:t>
      </w:r>
      <w:r>
        <w:rPr>
          <w:rFonts w:ascii="宋体" w:eastAsia="宋体" w:hAnsi="宋体" w:cs="宋体"/>
          <w:spacing w:val="-10"/>
          <w:sz w:val="22"/>
          <w:szCs w:val="22"/>
        </w:rPr>
        <w:t>要求，为提高中华民族素质，实现中华民族伟大复兴，动</w:t>
      </w:r>
      <w:r>
        <w:rPr>
          <w:rFonts w:ascii="宋体" w:eastAsia="宋体" w:hAnsi="宋体" w:cs="宋体"/>
          <w:spacing w:val="-11"/>
          <w:sz w:val="22"/>
          <w:szCs w:val="22"/>
        </w:rPr>
        <w:t>员和号召全社会力量，</w:t>
      </w:r>
      <w:r>
        <w:rPr>
          <w:rFonts w:ascii="宋体" w:eastAsia="宋体" w:hAnsi="宋体" w:cs="宋体"/>
          <w:sz w:val="22"/>
          <w:szCs w:val="22"/>
        </w:rPr>
        <w:t xml:space="preserve"> </w:t>
      </w:r>
      <w:r>
        <w:rPr>
          <w:rFonts w:ascii="宋体" w:eastAsia="宋体" w:hAnsi="宋体" w:cs="宋体"/>
          <w:spacing w:val="-13"/>
          <w:sz w:val="22"/>
          <w:szCs w:val="22"/>
        </w:rPr>
        <w:t>加快我国食物与营养的发展。紧紧围绕食物发展的重点领域，重点地区，重点人</w:t>
      </w:r>
      <w:r>
        <w:rPr>
          <w:rFonts w:ascii="宋体" w:eastAsia="宋体" w:hAnsi="宋体" w:cs="宋体"/>
          <w:spacing w:val="13"/>
          <w:sz w:val="22"/>
          <w:szCs w:val="22"/>
        </w:rPr>
        <w:t xml:space="preserve"> </w:t>
      </w:r>
      <w:r>
        <w:rPr>
          <w:rFonts w:ascii="宋体" w:eastAsia="宋体" w:hAnsi="宋体" w:cs="宋体"/>
          <w:spacing w:val="-12"/>
          <w:sz w:val="22"/>
          <w:szCs w:val="22"/>
        </w:rPr>
        <w:t>群，分类指导，全面推进，建设现代食物生产，加工和市场</w:t>
      </w:r>
      <w:r>
        <w:rPr>
          <w:rFonts w:ascii="宋体" w:eastAsia="宋体" w:hAnsi="宋体" w:cs="宋体"/>
          <w:spacing w:val="-13"/>
          <w:sz w:val="22"/>
          <w:szCs w:val="22"/>
        </w:rPr>
        <w:t>体系，调整引导我国</w:t>
      </w:r>
      <w:r>
        <w:rPr>
          <w:rFonts w:ascii="宋体" w:eastAsia="宋体" w:hAnsi="宋体" w:cs="宋体"/>
          <w:sz w:val="22"/>
          <w:szCs w:val="22"/>
        </w:rPr>
        <w:t xml:space="preserve"> </w:t>
      </w:r>
      <w:r>
        <w:rPr>
          <w:rFonts w:ascii="宋体" w:eastAsia="宋体" w:hAnsi="宋体" w:cs="宋体"/>
          <w:spacing w:val="-13"/>
          <w:sz w:val="22"/>
          <w:szCs w:val="22"/>
        </w:rPr>
        <w:t>食物结构向营养，卫生，科学，合理方向发展，经过不懈努力，使我国居民的食</w:t>
      </w:r>
      <w:r>
        <w:rPr>
          <w:rFonts w:ascii="宋体" w:eastAsia="宋体" w:hAnsi="宋体" w:cs="宋体"/>
          <w:spacing w:val="13"/>
          <w:sz w:val="22"/>
          <w:szCs w:val="22"/>
        </w:rPr>
        <w:t xml:space="preserve"> </w:t>
      </w:r>
      <w:r>
        <w:rPr>
          <w:rFonts w:ascii="宋体" w:eastAsia="宋体" w:hAnsi="宋体" w:cs="宋体"/>
          <w:spacing w:val="-11"/>
          <w:sz w:val="22"/>
          <w:szCs w:val="22"/>
        </w:rPr>
        <w:t>物消费与营养整体水平有较大幅度提高。</w:t>
      </w:r>
    </w:p>
    <w:p w:rsidR="00EA40A3" w:rsidRDefault="00E86C16">
      <w:pPr>
        <w:spacing w:before="41" w:line="219" w:lineRule="auto"/>
        <w:ind w:left="470"/>
        <w:rPr>
          <w:rFonts w:ascii="宋体" w:eastAsia="宋体" w:hAnsi="宋体" w:cs="宋体"/>
          <w:sz w:val="22"/>
          <w:szCs w:val="22"/>
        </w:rPr>
      </w:pPr>
      <w:r>
        <w:rPr>
          <w:rFonts w:ascii="宋体" w:eastAsia="宋体" w:hAnsi="宋体" w:cs="宋体"/>
          <w:spacing w:val="-9"/>
          <w:sz w:val="22"/>
          <w:szCs w:val="22"/>
        </w:rPr>
        <w:t>8.</w:t>
      </w:r>
      <w:r>
        <w:rPr>
          <w:rFonts w:ascii="宋体" w:eastAsia="宋体" w:hAnsi="宋体" w:cs="宋体"/>
          <w:spacing w:val="-7"/>
          <w:sz w:val="22"/>
          <w:szCs w:val="22"/>
        </w:rPr>
        <w:t xml:space="preserve"> </w:t>
      </w:r>
      <w:r>
        <w:rPr>
          <w:rFonts w:ascii="宋体" w:eastAsia="宋体" w:hAnsi="宋体" w:cs="宋体"/>
          <w:spacing w:val="-9"/>
          <w:sz w:val="22"/>
          <w:szCs w:val="22"/>
        </w:rPr>
        <w:t>食物与营养发展的基本原则。坚持食物生产与消费协调发展的原则，适</w:t>
      </w:r>
    </w:p>
    <w:p w:rsidR="00EA40A3" w:rsidRDefault="00EA40A3">
      <w:pPr>
        <w:sectPr w:rsidR="00EA40A3">
          <w:footerReference w:type="default" r:id="rId364"/>
          <w:pgSz w:w="9220" w:h="13360"/>
          <w:pgMar w:top="400" w:right="930" w:bottom="1311" w:left="899" w:header="0" w:footer="1142" w:gutter="0"/>
          <w:cols w:space="720"/>
        </w:sectPr>
      </w:pPr>
    </w:p>
    <w:p w:rsidR="00EA40A3" w:rsidRDefault="00EA40A3">
      <w:pPr>
        <w:spacing w:line="245" w:lineRule="auto"/>
      </w:pPr>
    </w:p>
    <w:p w:rsidR="00EA40A3" w:rsidRDefault="00EA40A3">
      <w:pPr>
        <w:spacing w:line="246" w:lineRule="auto"/>
      </w:pPr>
    </w:p>
    <w:p w:rsidR="00EA40A3" w:rsidRDefault="00E86C16">
      <w:pPr>
        <w:spacing w:before="75" w:line="237" w:lineRule="auto"/>
        <w:ind w:right="107"/>
        <w:jc w:val="both"/>
        <w:rPr>
          <w:rFonts w:ascii="宋体" w:eastAsia="宋体" w:hAnsi="宋体" w:cs="宋体"/>
          <w:sz w:val="23"/>
          <w:szCs w:val="23"/>
        </w:rPr>
      </w:pPr>
      <w:r>
        <w:rPr>
          <w:rFonts w:ascii="宋体" w:eastAsia="宋体" w:hAnsi="宋体" w:cs="宋体"/>
          <w:spacing w:val="-24"/>
          <w:sz w:val="23"/>
          <w:szCs w:val="23"/>
        </w:rPr>
        <w:t>应居民营养改善的需要，建立以农业为基础，以食品工业为龙头的现代食物产业</w:t>
      </w:r>
      <w:r>
        <w:rPr>
          <w:rFonts w:ascii="宋体" w:eastAsia="宋体" w:hAnsi="宋体" w:cs="宋体"/>
          <w:spacing w:val="8"/>
          <w:sz w:val="23"/>
          <w:szCs w:val="23"/>
        </w:rPr>
        <w:t xml:space="preserve">  </w:t>
      </w:r>
      <w:r>
        <w:rPr>
          <w:rFonts w:ascii="宋体" w:eastAsia="宋体" w:hAnsi="宋体" w:cs="宋体"/>
          <w:spacing w:val="-23"/>
          <w:sz w:val="23"/>
          <w:szCs w:val="23"/>
        </w:rPr>
        <w:t>体系；坚持食物资源利用与保护相结合的原则，合理开发利用各种食物资源，实</w:t>
      </w:r>
      <w:r>
        <w:rPr>
          <w:rFonts w:ascii="宋体" w:eastAsia="宋体" w:hAnsi="宋体" w:cs="宋体"/>
          <w:spacing w:val="2"/>
          <w:sz w:val="23"/>
          <w:szCs w:val="23"/>
        </w:rPr>
        <w:t xml:space="preserve">  </w:t>
      </w:r>
      <w:r>
        <w:rPr>
          <w:rFonts w:ascii="宋体" w:eastAsia="宋体" w:hAnsi="宋体" w:cs="宋体"/>
          <w:spacing w:val="-23"/>
          <w:sz w:val="23"/>
          <w:szCs w:val="23"/>
        </w:rPr>
        <w:t>现可持续发展；坚持食物质量与安全卫生管理相结合的原则；坚持优化结构与预</w:t>
      </w:r>
      <w:r>
        <w:rPr>
          <w:rFonts w:ascii="宋体" w:eastAsia="宋体" w:hAnsi="宋体" w:cs="宋体"/>
          <w:spacing w:val="1"/>
          <w:sz w:val="23"/>
          <w:szCs w:val="23"/>
        </w:rPr>
        <w:t xml:space="preserve">  </w:t>
      </w:r>
      <w:r>
        <w:rPr>
          <w:rFonts w:ascii="宋体" w:eastAsia="宋体" w:hAnsi="宋体" w:cs="宋体"/>
          <w:spacing w:val="-23"/>
          <w:sz w:val="23"/>
          <w:szCs w:val="23"/>
        </w:rPr>
        <w:t>防疾病相结合的原则，调整优化食物与营养结构，预防营养性疾病，提高全民营</w:t>
      </w:r>
      <w:r>
        <w:rPr>
          <w:rFonts w:ascii="宋体" w:eastAsia="宋体" w:hAnsi="宋体" w:cs="宋体"/>
          <w:spacing w:val="3"/>
          <w:sz w:val="23"/>
          <w:szCs w:val="23"/>
        </w:rPr>
        <w:t xml:space="preserve">  </w:t>
      </w:r>
      <w:r>
        <w:rPr>
          <w:rFonts w:ascii="宋体" w:eastAsia="宋体" w:hAnsi="宋体" w:cs="宋体"/>
          <w:spacing w:val="-20"/>
          <w:sz w:val="23"/>
          <w:szCs w:val="23"/>
        </w:rPr>
        <w:t>养和健康水平；坚持继承与创新相结合的原则，发扬中华饮食文化的优良传统，</w:t>
      </w:r>
      <w:r>
        <w:rPr>
          <w:rFonts w:ascii="宋体" w:eastAsia="宋体" w:hAnsi="宋体" w:cs="宋体"/>
          <w:spacing w:val="3"/>
          <w:sz w:val="23"/>
          <w:szCs w:val="23"/>
        </w:rPr>
        <w:t xml:space="preserve"> </w:t>
      </w:r>
      <w:r>
        <w:rPr>
          <w:rFonts w:ascii="宋体" w:eastAsia="宋体" w:hAnsi="宋体" w:cs="宋体"/>
          <w:spacing w:val="-23"/>
          <w:sz w:val="23"/>
          <w:szCs w:val="23"/>
        </w:rPr>
        <w:t>全面提高食物发展的科技水平，走有中国特色的食物与营养发展道路。</w:t>
      </w:r>
    </w:p>
    <w:p w:rsidR="00EA40A3" w:rsidRDefault="00E86C16">
      <w:pPr>
        <w:spacing w:before="214" w:line="221" w:lineRule="auto"/>
        <w:rPr>
          <w:rFonts w:ascii="仿宋" w:eastAsia="仿宋" w:hAnsi="仿宋" w:cs="仿宋"/>
          <w:sz w:val="23"/>
          <w:szCs w:val="23"/>
        </w:rPr>
      </w:pPr>
      <w:r>
        <w:rPr>
          <w:rFonts w:ascii="仿宋" w:eastAsia="仿宋" w:hAnsi="仿宋" w:cs="仿宋"/>
          <w:spacing w:val="13"/>
          <w:sz w:val="23"/>
          <w:szCs w:val="23"/>
        </w:rPr>
        <w:t>(二)食物与营养发展的目标</w:t>
      </w:r>
    </w:p>
    <w:p w:rsidR="00EA40A3" w:rsidRDefault="00E86C16">
      <w:pPr>
        <w:spacing w:before="179" w:line="234" w:lineRule="auto"/>
        <w:ind w:right="183" w:firstLine="419"/>
        <w:jc w:val="both"/>
        <w:rPr>
          <w:rFonts w:ascii="宋体" w:eastAsia="宋体" w:hAnsi="宋体" w:cs="宋体"/>
          <w:sz w:val="23"/>
          <w:szCs w:val="23"/>
        </w:rPr>
      </w:pPr>
      <w:r>
        <w:rPr>
          <w:rFonts w:ascii="宋体" w:eastAsia="宋体" w:hAnsi="宋体" w:cs="宋体"/>
          <w:spacing w:val="-14"/>
          <w:sz w:val="23"/>
          <w:szCs w:val="23"/>
        </w:rPr>
        <w:t>9.2010年食物与营养发展总体目标。保障合理</w:t>
      </w:r>
      <w:r>
        <w:rPr>
          <w:rFonts w:ascii="宋体" w:eastAsia="宋体" w:hAnsi="宋体" w:cs="宋体"/>
          <w:spacing w:val="-15"/>
          <w:sz w:val="23"/>
          <w:szCs w:val="23"/>
        </w:rPr>
        <w:t>的营养素摄入量。人均每日</w:t>
      </w:r>
      <w:r>
        <w:rPr>
          <w:rFonts w:ascii="宋体" w:eastAsia="宋体" w:hAnsi="宋体" w:cs="宋体"/>
          <w:sz w:val="23"/>
          <w:szCs w:val="23"/>
        </w:rPr>
        <w:t xml:space="preserve"> </w:t>
      </w:r>
      <w:r>
        <w:rPr>
          <w:rFonts w:ascii="宋体" w:eastAsia="宋体" w:hAnsi="宋体" w:cs="宋体"/>
          <w:spacing w:val="-8"/>
          <w:sz w:val="23"/>
          <w:szCs w:val="23"/>
        </w:rPr>
        <w:t>摄入能量为2300kcal</w:t>
      </w:r>
      <w:r>
        <w:rPr>
          <w:rFonts w:ascii="宋体" w:eastAsia="宋体" w:hAnsi="宋体" w:cs="宋体"/>
          <w:spacing w:val="-24"/>
          <w:sz w:val="23"/>
          <w:szCs w:val="23"/>
        </w:rPr>
        <w:t xml:space="preserve"> </w:t>
      </w:r>
      <w:r>
        <w:rPr>
          <w:rFonts w:ascii="宋体" w:eastAsia="宋体" w:hAnsi="宋体" w:cs="宋体"/>
          <w:spacing w:val="-8"/>
          <w:sz w:val="23"/>
          <w:szCs w:val="23"/>
        </w:rPr>
        <w:t>(供给能</w:t>
      </w:r>
      <w:r>
        <w:rPr>
          <w:rFonts w:ascii="宋体" w:eastAsia="宋体" w:hAnsi="宋体" w:cs="宋体"/>
          <w:spacing w:val="-9"/>
          <w:sz w:val="23"/>
          <w:szCs w:val="23"/>
        </w:rPr>
        <w:t>量为2600</w:t>
      </w:r>
      <w:r>
        <w:rPr>
          <w:rFonts w:ascii="宋体" w:eastAsia="宋体" w:hAnsi="宋体" w:cs="宋体"/>
          <w:spacing w:val="-8"/>
          <w:sz w:val="23"/>
          <w:szCs w:val="23"/>
        </w:rPr>
        <w:t>kcal</w:t>
      </w:r>
      <w:r>
        <w:rPr>
          <w:rFonts w:ascii="宋体" w:eastAsia="宋体" w:hAnsi="宋体" w:cs="宋体"/>
          <w:spacing w:val="-9"/>
          <w:sz w:val="23"/>
          <w:szCs w:val="23"/>
        </w:rPr>
        <w:t>),</w:t>
      </w:r>
      <w:r>
        <w:rPr>
          <w:rFonts w:ascii="宋体" w:eastAsia="宋体" w:hAnsi="宋体" w:cs="宋体"/>
          <w:spacing w:val="-68"/>
          <w:sz w:val="23"/>
          <w:szCs w:val="23"/>
        </w:rPr>
        <w:t xml:space="preserve"> </w:t>
      </w:r>
      <w:r>
        <w:rPr>
          <w:rFonts w:ascii="宋体" w:eastAsia="宋体" w:hAnsi="宋体" w:cs="宋体"/>
          <w:spacing w:val="-9"/>
          <w:sz w:val="23"/>
          <w:szCs w:val="23"/>
        </w:rPr>
        <w:t>其中80%来自植物性食物，20%</w:t>
      </w:r>
      <w:r>
        <w:rPr>
          <w:rFonts w:ascii="宋体" w:eastAsia="宋体" w:hAnsi="宋体" w:cs="宋体"/>
          <w:sz w:val="23"/>
          <w:szCs w:val="23"/>
        </w:rPr>
        <w:t xml:space="preserve"> </w:t>
      </w:r>
      <w:r>
        <w:rPr>
          <w:rFonts w:ascii="宋体" w:eastAsia="宋体" w:hAnsi="宋体" w:cs="宋体"/>
          <w:spacing w:val="-11"/>
          <w:sz w:val="23"/>
          <w:szCs w:val="23"/>
        </w:rPr>
        <w:t>来自动物性食物；蛋白质77g,</w:t>
      </w:r>
      <w:r>
        <w:rPr>
          <w:rFonts w:ascii="宋体" w:eastAsia="宋体" w:hAnsi="宋体" w:cs="宋体"/>
          <w:spacing w:val="-15"/>
          <w:sz w:val="23"/>
          <w:szCs w:val="23"/>
        </w:rPr>
        <w:t xml:space="preserve"> </w:t>
      </w:r>
      <w:r>
        <w:rPr>
          <w:rFonts w:ascii="宋体" w:eastAsia="宋体" w:hAnsi="宋体" w:cs="宋体"/>
          <w:spacing w:val="-11"/>
          <w:sz w:val="23"/>
          <w:szCs w:val="23"/>
        </w:rPr>
        <w:t>其中30%来自动物性食物；脂肪70g,</w:t>
      </w:r>
      <w:r>
        <w:rPr>
          <w:rFonts w:ascii="宋体" w:eastAsia="宋体" w:hAnsi="宋体" w:cs="宋体"/>
          <w:spacing w:val="-23"/>
          <w:sz w:val="23"/>
          <w:szCs w:val="23"/>
        </w:rPr>
        <w:t xml:space="preserve"> </w:t>
      </w:r>
      <w:r>
        <w:rPr>
          <w:rFonts w:ascii="宋体" w:eastAsia="宋体" w:hAnsi="宋体" w:cs="宋体"/>
          <w:spacing w:val="-11"/>
          <w:sz w:val="23"/>
          <w:szCs w:val="23"/>
        </w:rPr>
        <w:t>提供的能</w:t>
      </w:r>
      <w:r>
        <w:rPr>
          <w:rFonts w:ascii="宋体" w:eastAsia="宋体" w:hAnsi="宋体" w:cs="宋体"/>
          <w:sz w:val="23"/>
          <w:szCs w:val="23"/>
        </w:rPr>
        <w:t xml:space="preserve"> </w:t>
      </w:r>
      <w:r>
        <w:rPr>
          <w:rFonts w:ascii="宋体" w:eastAsia="宋体" w:hAnsi="宋体" w:cs="宋体"/>
          <w:spacing w:val="2"/>
          <w:sz w:val="23"/>
          <w:szCs w:val="23"/>
        </w:rPr>
        <w:t>量占总能量的25%;钙580</w:t>
      </w:r>
      <w:r>
        <w:rPr>
          <w:rFonts w:ascii="宋体" w:eastAsia="宋体" w:hAnsi="宋体" w:cs="宋体"/>
          <w:sz w:val="23"/>
          <w:szCs w:val="23"/>
        </w:rPr>
        <w:t>mg</w:t>
      </w:r>
      <w:r>
        <w:rPr>
          <w:rFonts w:ascii="宋体" w:eastAsia="宋体" w:hAnsi="宋体" w:cs="宋体"/>
          <w:spacing w:val="2"/>
          <w:sz w:val="23"/>
          <w:szCs w:val="23"/>
        </w:rPr>
        <w:t>,</w:t>
      </w:r>
      <w:r>
        <w:rPr>
          <w:rFonts w:ascii="宋体" w:eastAsia="宋体" w:hAnsi="宋体" w:cs="宋体"/>
          <w:spacing w:val="7"/>
          <w:sz w:val="23"/>
          <w:szCs w:val="23"/>
        </w:rPr>
        <w:t xml:space="preserve"> </w:t>
      </w:r>
      <w:r>
        <w:rPr>
          <w:rFonts w:ascii="宋体" w:eastAsia="宋体" w:hAnsi="宋体" w:cs="宋体"/>
          <w:spacing w:val="2"/>
          <w:sz w:val="23"/>
          <w:szCs w:val="23"/>
        </w:rPr>
        <w:t>铁23</w:t>
      </w:r>
      <w:r>
        <w:rPr>
          <w:rFonts w:ascii="宋体" w:eastAsia="宋体" w:hAnsi="宋体" w:cs="宋体"/>
          <w:sz w:val="23"/>
          <w:szCs w:val="23"/>
        </w:rPr>
        <w:t>mg</w:t>
      </w:r>
      <w:r>
        <w:rPr>
          <w:rFonts w:ascii="宋体" w:eastAsia="宋体" w:hAnsi="宋体" w:cs="宋体"/>
          <w:spacing w:val="2"/>
          <w:sz w:val="23"/>
          <w:szCs w:val="23"/>
        </w:rPr>
        <w:t>,</w:t>
      </w:r>
      <w:r>
        <w:rPr>
          <w:rFonts w:ascii="宋体" w:eastAsia="宋体" w:hAnsi="宋体" w:cs="宋体"/>
          <w:spacing w:val="13"/>
          <w:sz w:val="23"/>
          <w:szCs w:val="23"/>
        </w:rPr>
        <w:t xml:space="preserve"> </w:t>
      </w:r>
      <w:r>
        <w:rPr>
          <w:rFonts w:ascii="宋体" w:eastAsia="宋体" w:hAnsi="宋体" w:cs="宋体"/>
          <w:spacing w:val="2"/>
          <w:sz w:val="23"/>
          <w:szCs w:val="23"/>
        </w:rPr>
        <w:t>锌12</w:t>
      </w:r>
      <w:r>
        <w:rPr>
          <w:rFonts w:ascii="宋体" w:eastAsia="宋体" w:hAnsi="宋体" w:cs="宋体"/>
          <w:sz w:val="23"/>
          <w:szCs w:val="23"/>
        </w:rPr>
        <w:t>mg</w:t>
      </w:r>
      <w:r>
        <w:rPr>
          <w:rFonts w:ascii="宋体" w:eastAsia="宋体" w:hAnsi="宋体" w:cs="宋体"/>
          <w:spacing w:val="2"/>
          <w:sz w:val="23"/>
          <w:szCs w:val="23"/>
        </w:rPr>
        <w:t>;</w:t>
      </w:r>
      <w:r>
        <w:rPr>
          <w:rFonts w:ascii="宋体" w:eastAsia="宋体" w:hAnsi="宋体" w:cs="宋体"/>
          <w:spacing w:val="3"/>
          <w:sz w:val="23"/>
          <w:szCs w:val="23"/>
        </w:rPr>
        <w:t xml:space="preserve"> </w:t>
      </w:r>
      <w:r>
        <w:rPr>
          <w:rFonts w:ascii="宋体" w:eastAsia="宋体" w:hAnsi="宋体" w:cs="宋体"/>
          <w:spacing w:val="2"/>
          <w:sz w:val="23"/>
          <w:szCs w:val="23"/>
        </w:rPr>
        <w:t>维生素B</w:t>
      </w:r>
      <w:r>
        <w:rPr>
          <w:rFonts w:ascii="Calibri" w:eastAsia="Calibri" w:hAnsi="Calibri" w:cs="Calibri"/>
          <w:spacing w:val="2"/>
          <w:sz w:val="23"/>
          <w:szCs w:val="23"/>
        </w:rPr>
        <w:t>₁</w:t>
      </w:r>
      <w:r>
        <w:rPr>
          <w:rFonts w:ascii="Calibri" w:eastAsia="Calibri" w:hAnsi="Calibri" w:cs="Calibri"/>
          <w:spacing w:val="14"/>
          <w:sz w:val="23"/>
          <w:szCs w:val="23"/>
        </w:rPr>
        <w:t xml:space="preserve">   </w:t>
      </w:r>
      <w:r>
        <w:rPr>
          <w:rFonts w:ascii="宋体" w:eastAsia="宋体" w:hAnsi="宋体" w:cs="宋体"/>
          <w:spacing w:val="2"/>
          <w:sz w:val="23"/>
          <w:szCs w:val="23"/>
        </w:rPr>
        <w:t>1.2</w:t>
      </w:r>
      <w:r>
        <w:rPr>
          <w:rFonts w:ascii="宋体" w:eastAsia="宋体" w:hAnsi="宋体" w:cs="宋体"/>
          <w:sz w:val="23"/>
          <w:szCs w:val="23"/>
        </w:rPr>
        <w:t>mg</w:t>
      </w:r>
      <w:r>
        <w:rPr>
          <w:rFonts w:ascii="宋体" w:eastAsia="宋体" w:hAnsi="宋体" w:cs="宋体"/>
          <w:spacing w:val="2"/>
          <w:sz w:val="23"/>
          <w:szCs w:val="23"/>
        </w:rPr>
        <w:t>,维生素</w:t>
      </w:r>
      <w:r>
        <w:rPr>
          <w:rFonts w:ascii="宋体" w:eastAsia="宋体" w:hAnsi="宋体" w:cs="宋体"/>
          <w:spacing w:val="1"/>
          <w:sz w:val="23"/>
          <w:szCs w:val="23"/>
        </w:rPr>
        <w:t xml:space="preserve"> </w:t>
      </w:r>
      <w:r>
        <w:rPr>
          <w:rFonts w:ascii="宋体" w:eastAsia="宋体" w:hAnsi="宋体" w:cs="宋体"/>
          <w:spacing w:val="-3"/>
          <w:sz w:val="23"/>
          <w:szCs w:val="23"/>
        </w:rPr>
        <w:t>B21.4mg,</w:t>
      </w:r>
      <w:r>
        <w:rPr>
          <w:rFonts w:ascii="宋体" w:eastAsia="宋体" w:hAnsi="宋体" w:cs="宋体"/>
          <w:spacing w:val="21"/>
          <w:sz w:val="23"/>
          <w:szCs w:val="23"/>
        </w:rPr>
        <w:t xml:space="preserve"> </w:t>
      </w:r>
      <w:r>
        <w:rPr>
          <w:rFonts w:ascii="宋体" w:eastAsia="宋体" w:hAnsi="宋体" w:cs="宋体"/>
          <w:spacing w:val="-3"/>
          <w:sz w:val="23"/>
          <w:szCs w:val="23"/>
        </w:rPr>
        <w:t>维生素A775mg。</w:t>
      </w:r>
    </w:p>
    <w:p w:rsidR="00EA40A3" w:rsidRDefault="00E86C16">
      <w:pPr>
        <w:spacing w:before="44" w:line="237" w:lineRule="auto"/>
        <w:ind w:right="198" w:firstLine="419"/>
        <w:jc w:val="both"/>
        <w:rPr>
          <w:rFonts w:ascii="宋体" w:eastAsia="宋体" w:hAnsi="宋体" w:cs="宋体"/>
          <w:sz w:val="23"/>
          <w:szCs w:val="23"/>
        </w:rPr>
      </w:pPr>
      <w:r>
        <w:rPr>
          <w:rFonts w:ascii="宋体" w:eastAsia="宋体" w:hAnsi="宋体" w:cs="宋体"/>
          <w:spacing w:val="-12"/>
          <w:sz w:val="23"/>
          <w:szCs w:val="23"/>
        </w:rPr>
        <w:t>保障合理的食物摄入量。人均每年主要食物摄入量为：口粮155kg,</w:t>
      </w:r>
      <w:r>
        <w:rPr>
          <w:rFonts w:ascii="宋体" w:eastAsia="宋体" w:hAnsi="宋体" w:cs="宋体"/>
          <w:spacing w:val="-9"/>
          <w:sz w:val="23"/>
          <w:szCs w:val="23"/>
        </w:rPr>
        <w:t xml:space="preserve"> </w:t>
      </w:r>
      <w:r>
        <w:rPr>
          <w:rFonts w:ascii="宋体" w:eastAsia="宋体" w:hAnsi="宋体" w:cs="宋体"/>
          <w:spacing w:val="-12"/>
          <w:sz w:val="23"/>
          <w:szCs w:val="23"/>
        </w:rPr>
        <w:t>豆类</w:t>
      </w:r>
      <w:r>
        <w:rPr>
          <w:rFonts w:ascii="宋体" w:eastAsia="宋体" w:hAnsi="宋体" w:cs="宋体"/>
          <w:sz w:val="23"/>
          <w:szCs w:val="23"/>
        </w:rPr>
        <w:t xml:space="preserve"> </w:t>
      </w:r>
      <w:r>
        <w:rPr>
          <w:rFonts w:ascii="宋体" w:eastAsia="宋体" w:hAnsi="宋体" w:cs="宋体"/>
          <w:spacing w:val="-1"/>
          <w:sz w:val="23"/>
          <w:szCs w:val="23"/>
        </w:rPr>
        <w:t>13kg,</w:t>
      </w:r>
      <w:r>
        <w:rPr>
          <w:rFonts w:ascii="宋体" w:eastAsia="宋体" w:hAnsi="宋体" w:cs="宋体"/>
          <w:spacing w:val="-65"/>
          <w:sz w:val="23"/>
          <w:szCs w:val="23"/>
        </w:rPr>
        <w:t xml:space="preserve"> </w:t>
      </w:r>
      <w:r>
        <w:rPr>
          <w:rFonts w:ascii="宋体" w:eastAsia="宋体" w:hAnsi="宋体" w:cs="宋体"/>
          <w:spacing w:val="-1"/>
          <w:sz w:val="23"/>
          <w:szCs w:val="23"/>
        </w:rPr>
        <w:t>蔬菜147kg,</w:t>
      </w:r>
      <w:r>
        <w:rPr>
          <w:rFonts w:ascii="宋体" w:eastAsia="宋体" w:hAnsi="宋体" w:cs="宋体"/>
          <w:spacing w:val="-43"/>
          <w:sz w:val="23"/>
          <w:szCs w:val="23"/>
        </w:rPr>
        <w:t xml:space="preserve"> </w:t>
      </w:r>
      <w:r>
        <w:rPr>
          <w:rFonts w:ascii="宋体" w:eastAsia="宋体" w:hAnsi="宋体" w:cs="宋体"/>
          <w:spacing w:val="-1"/>
          <w:sz w:val="23"/>
          <w:szCs w:val="23"/>
        </w:rPr>
        <w:t>水果38kg,</w:t>
      </w:r>
      <w:r>
        <w:rPr>
          <w:rFonts w:ascii="宋体" w:eastAsia="宋体" w:hAnsi="宋体" w:cs="宋体"/>
          <w:spacing w:val="-43"/>
          <w:sz w:val="23"/>
          <w:szCs w:val="23"/>
        </w:rPr>
        <w:t xml:space="preserve"> </w:t>
      </w:r>
      <w:r>
        <w:rPr>
          <w:rFonts w:ascii="宋体" w:eastAsia="宋体" w:hAnsi="宋体" w:cs="宋体"/>
          <w:spacing w:val="-1"/>
          <w:sz w:val="23"/>
          <w:szCs w:val="23"/>
        </w:rPr>
        <w:t>食用植物油1</w:t>
      </w:r>
      <w:r>
        <w:rPr>
          <w:rFonts w:ascii="宋体" w:eastAsia="宋体" w:hAnsi="宋体" w:cs="宋体"/>
          <w:spacing w:val="-2"/>
          <w:sz w:val="23"/>
          <w:szCs w:val="23"/>
        </w:rPr>
        <w:t>0</w:t>
      </w:r>
      <w:r>
        <w:rPr>
          <w:rFonts w:ascii="宋体" w:eastAsia="宋体" w:hAnsi="宋体" w:cs="宋体"/>
          <w:spacing w:val="-1"/>
          <w:sz w:val="23"/>
          <w:szCs w:val="23"/>
        </w:rPr>
        <w:t>kg</w:t>
      </w:r>
      <w:r>
        <w:rPr>
          <w:rFonts w:ascii="宋体" w:eastAsia="宋体" w:hAnsi="宋体" w:cs="宋体"/>
          <w:spacing w:val="-2"/>
          <w:sz w:val="23"/>
          <w:szCs w:val="23"/>
        </w:rPr>
        <w:t>,</w:t>
      </w:r>
      <w:r>
        <w:rPr>
          <w:rFonts w:ascii="宋体" w:eastAsia="宋体" w:hAnsi="宋体" w:cs="宋体"/>
          <w:spacing w:val="-43"/>
          <w:sz w:val="23"/>
          <w:szCs w:val="23"/>
        </w:rPr>
        <w:t xml:space="preserve"> </w:t>
      </w:r>
      <w:r>
        <w:rPr>
          <w:rFonts w:ascii="宋体" w:eastAsia="宋体" w:hAnsi="宋体" w:cs="宋体"/>
          <w:spacing w:val="-2"/>
          <w:sz w:val="23"/>
          <w:szCs w:val="23"/>
        </w:rPr>
        <w:t>食糖9</w:t>
      </w:r>
      <w:r>
        <w:rPr>
          <w:rFonts w:ascii="宋体" w:eastAsia="宋体" w:hAnsi="宋体" w:cs="宋体"/>
          <w:spacing w:val="-1"/>
          <w:sz w:val="23"/>
          <w:szCs w:val="23"/>
        </w:rPr>
        <w:t>kg</w:t>
      </w:r>
      <w:r>
        <w:rPr>
          <w:rFonts w:ascii="宋体" w:eastAsia="宋体" w:hAnsi="宋体" w:cs="宋体"/>
          <w:spacing w:val="-2"/>
          <w:sz w:val="23"/>
          <w:szCs w:val="23"/>
        </w:rPr>
        <w:t>,</w:t>
      </w:r>
      <w:r>
        <w:rPr>
          <w:rFonts w:ascii="宋体" w:eastAsia="宋体" w:hAnsi="宋体" w:cs="宋体"/>
          <w:spacing w:val="-33"/>
          <w:sz w:val="23"/>
          <w:szCs w:val="23"/>
        </w:rPr>
        <w:t xml:space="preserve"> </w:t>
      </w:r>
      <w:r>
        <w:rPr>
          <w:rFonts w:ascii="宋体" w:eastAsia="宋体" w:hAnsi="宋体" w:cs="宋体"/>
          <w:spacing w:val="-2"/>
          <w:sz w:val="23"/>
          <w:szCs w:val="23"/>
        </w:rPr>
        <w:t>肉类28</w:t>
      </w:r>
      <w:r>
        <w:rPr>
          <w:rFonts w:ascii="宋体" w:eastAsia="宋体" w:hAnsi="宋体" w:cs="宋体"/>
          <w:spacing w:val="-1"/>
          <w:sz w:val="23"/>
          <w:szCs w:val="23"/>
        </w:rPr>
        <w:t>kg</w:t>
      </w:r>
      <w:r>
        <w:rPr>
          <w:rFonts w:ascii="宋体" w:eastAsia="宋体" w:hAnsi="宋体" w:cs="宋体"/>
          <w:spacing w:val="-2"/>
          <w:sz w:val="23"/>
          <w:szCs w:val="23"/>
        </w:rPr>
        <w:t>,</w:t>
      </w:r>
      <w:r>
        <w:rPr>
          <w:rFonts w:ascii="宋体" w:eastAsia="宋体" w:hAnsi="宋体" w:cs="宋体"/>
          <w:spacing w:val="-43"/>
          <w:sz w:val="23"/>
          <w:szCs w:val="23"/>
        </w:rPr>
        <w:t xml:space="preserve"> </w:t>
      </w:r>
      <w:r>
        <w:rPr>
          <w:rFonts w:ascii="宋体" w:eastAsia="宋体" w:hAnsi="宋体" w:cs="宋体"/>
          <w:spacing w:val="-2"/>
          <w:sz w:val="23"/>
          <w:szCs w:val="23"/>
        </w:rPr>
        <w:t>蛋类</w:t>
      </w:r>
      <w:r>
        <w:rPr>
          <w:rFonts w:ascii="宋体" w:eastAsia="宋体" w:hAnsi="宋体" w:cs="宋体"/>
          <w:sz w:val="23"/>
          <w:szCs w:val="23"/>
        </w:rPr>
        <w:t xml:space="preserve"> </w:t>
      </w:r>
      <w:r>
        <w:rPr>
          <w:rFonts w:ascii="宋体" w:eastAsia="宋体" w:hAnsi="宋体" w:cs="宋体"/>
          <w:spacing w:val="-4"/>
          <w:sz w:val="23"/>
          <w:szCs w:val="23"/>
        </w:rPr>
        <w:t>15kg,</w:t>
      </w:r>
      <w:r>
        <w:rPr>
          <w:rFonts w:ascii="宋体" w:eastAsia="宋体" w:hAnsi="宋体" w:cs="宋体"/>
          <w:spacing w:val="-57"/>
          <w:sz w:val="23"/>
          <w:szCs w:val="23"/>
        </w:rPr>
        <w:t xml:space="preserve"> </w:t>
      </w:r>
      <w:r>
        <w:rPr>
          <w:rFonts w:ascii="宋体" w:eastAsia="宋体" w:hAnsi="宋体" w:cs="宋体"/>
          <w:spacing w:val="-4"/>
          <w:sz w:val="23"/>
          <w:szCs w:val="23"/>
        </w:rPr>
        <w:t>奶类16kg,</w:t>
      </w:r>
      <w:r>
        <w:rPr>
          <w:rFonts w:ascii="宋体" w:eastAsia="宋体" w:hAnsi="宋体" w:cs="宋体"/>
          <w:spacing w:val="-43"/>
          <w:sz w:val="23"/>
          <w:szCs w:val="23"/>
        </w:rPr>
        <w:t xml:space="preserve"> </w:t>
      </w:r>
      <w:r>
        <w:rPr>
          <w:rFonts w:ascii="宋体" w:eastAsia="宋体" w:hAnsi="宋体" w:cs="宋体"/>
          <w:spacing w:val="-4"/>
          <w:sz w:val="23"/>
          <w:szCs w:val="23"/>
        </w:rPr>
        <w:t>水产品16kg。</w:t>
      </w:r>
    </w:p>
    <w:p w:rsidR="00EA40A3" w:rsidRDefault="00E86C16">
      <w:pPr>
        <w:spacing w:before="58" w:line="227" w:lineRule="auto"/>
        <w:ind w:right="107" w:firstLine="419"/>
        <w:jc w:val="both"/>
        <w:rPr>
          <w:rFonts w:ascii="宋体" w:eastAsia="宋体" w:hAnsi="宋体" w:cs="宋体"/>
          <w:sz w:val="23"/>
          <w:szCs w:val="23"/>
        </w:rPr>
      </w:pPr>
      <w:r>
        <w:rPr>
          <w:rFonts w:ascii="宋体" w:eastAsia="宋体" w:hAnsi="宋体" w:cs="宋体"/>
          <w:spacing w:val="-13"/>
          <w:sz w:val="23"/>
          <w:szCs w:val="23"/>
        </w:rPr>
        <w:t>保障充足的事物供给。2010年全国主要食物生产总量的安全保障目标为：</w:t>
      </w:r>
      <w:r>
        <w:rPr>
          <w:rFonts w:ascii="宋体" w:eastAsia="宋体" w:hAnsi="宋体" w:cs="宋体"/>
          <w:spacing w:val="16"/>
          <w:sz w:val="23"/>
          <w:szCs w:val="23"/>
        </w:rPr>
        <w:t xml:space="preserve"> </w:t>
      </w:r>
      <w:r>
        <w:rPr>
          <w:rFonts w:ascii="宋体" w:eastAsia="宋体" w:hAnsi="宋体" w:cs="宋体"/>
          <w:spacing w:val="4"/>
          <w:sz w:val="23"/>
          <w:szCs w:val="23"/>
        </w:rPr>
        <w:t>粮食5.7亿t,</w:t>
      </w:r>
      <w:r>
        <w:rPr>
          <w:rFonts w:ascii="宋体" w:eastAsia="宋体" w:hAnsi="宋体" w:cs="宋体"/>
          <w:spacing w:val="-51"/>
          <w:sz w:val="23"/>
          <w:szCs w:val="23"/>
        </w:rPr>
        <w:t xml:space="preserve"> </w:t>
      </w:r>
      <w:r>
        <w:rPr>
          <w:rFonts w:ascii="宋体" w:eastAsia="宋体" w:hAnsi="宋体" w:cs="宋体"/>
          <w:spacing w:val="4"/>
          <w:sz w:val="23"/>
          <w:szCs w:val="23"/>
        </w:rPr>
        <w:t>豆类2300万t,</w:t>
      </w:r>
      <w:r>
        <w:rPr>
          <w:rFonts w:ascii="宋体" w:eastAsia="宋体" w:hAnsi="宋体" w:cs="宋体"/>
          <w:spacing w:val="-60"/>
          <w:sz w:val="23"/>
          <w:szCs w:val="23"/>
        </w:rPr>
        <w:t xml:space="preserve"> </w:t>
      </w:r>
      <w:r>
        <w:rPr>
          <w:rFonts w:ascii="宋体" w:eastAsia="宋体" w:hAnsi="宋体" w:cs="宋体"/>
          <w:spacing w:val="4"/>
          <w:sz w:val="23"/>
          <w:szCs w:val="23"/>
        </w:rPr>
        <w:t>蔬菜3.7亿t,水果7300万t,</w:t>
      </w:r>
      <w:r>
        <w:rPr>
          <w:rFonts w:ascii="宋体" w:eastAsia="宋体" w:hAnsi="宋体" w:cs="宋体"/>
          <w:spacing w:val="-51"/>
          <w:sz w:val="23"/>
          <w:szCs w:val="23"/>
        </w:rPr>
        <w:t xml:space="preserve"> </w:t>
      </w:r>
      <w:r>
        <w:rPr>
          <w:rFonts w:ascii="宋体" w:eastAsia="宋体" w:hAnsi="宋体" w:cs="宋体"/>
          <w:spacing w:val="4"/>
          <w:sz w:val="23"/>
          <w:szCs w:val="23"/>
        </w:rPr>
        <w:t>油料3400万t,糖</w:t>
      </w:r>
      <w:r>
        <w:rPr>
          <w:rFonts w:ascii="宋体" w:eastAsia="宋体" w:hAnsi="宋体" w:cs="宋体"/>
          <w:sz w:val="23"/>
          <w:szCs w:val="23"/>
        </w:rPr>
        <w:t xml:space="preserve"> </w:t>
      </w:r>
      <w:r>
        <w:rPr>
          <w:rFonts w:ascii="宋体" w:eastAsia="宋体" w:hAnsi="宋体" w:cs="宋体"/>
          <w:spacing w:val="4"/>
          <w:sz w:val="23"/>
          <w:szCs w:val="23"/>
        </w:rPr>
        <w:t>料1.3亿t,</w:t>
      </w:r>
      <w:r>
        <w:rPr>
          <w:rFonts w:ascii="宋体" w:eastAsia="宋体" w:hAnsi="宋体" w:cs="宋体"/>
          <w:spacing w:val="-41"/>
          <w:sz w:val="23"/>
          <w:szCs w:val="23"/>
        </w:rPr>
        <w:t xml:space="preserve"> </w:t>
      </w:r>
      <w:r>
        <w:rPr>
          <w:rFonts w:ascii="宋体" w:eastAsia="宋体" w:hAnsi="宋体" w:cs="宋体"/>
          <w:spacing w:val="4"/>
          <w:sz w:val="23"/>
          <w:szCs w:val="23"/>
        </w:rPr>
        <w:t>肉类7600万t,</w:t>
      </w:r>
      <w:r>
        <w:rPr>
          <w:rFonts w:ascii="宋体" w:eastAsia="宋体" w:hAnsi="宋体" w:cs="宋体"/>
          <w:spacing w:val="-51"/>
          <w:sz w:val="23"/>
          <w:szCs w:val="23"/>
        </w:rPr>
        <w:t xml:space="preserve"> </w:t>
      </w:r>
      <w:r>
        <w:rPr>
          <w:rFonts w:ascii="宋体" w:eastAsia="宋体" w:hAnsi="宋体" w:cs="宋体"/>
          <w:spacing w:val="4"/>
          <w:sz w:val="23"/>
          <w:szCs w:val="23"/>
        </w:rPr>
        <w:t>蛋类2700万t,</w:t>
      </w:r>
      <w:r>
        <w:rPr>
          <w:rFonts w:ascii="宋体" w:eastAsia="宋体" w:hAnsi="宋体" w:cs="宋体"/>
          <w:spacing w:val="-60"/>
          <w:sz w:val="23"/>
          <w:szCs w:val="23"/>
        </w:rPr>
        <w:t xml:space="preserve"> </w:t>
      </w:r>
      <w:r>
        <w:rPr>
          <w:rFonts w:ascii="宋体" w:eastAsia="宋体" w:hAnsi="宋体" w:cs="宋体"/>
          <w:spacing w:val="4"/>
          <w:sz w:val="23"/>
          <w:szCs w:val="23"/>
        </w:rPr>
        <w:t>奶类</w:t>
      </w:r>
      <w:r>
        <w:rPr>
          <w:rFonts w:ascii="宋体" w:eastAsia="宋体" w:hAnsi="宋体" w:cs="宋体"/>
          <w:spacing w:val="3"/>
          <w:sz w:val="23"/>
          <w:szCs w:val="23"/>
        </w:rPr>
        <w:t>2600万t,</w:t>
      </w:r>
      <w:r>
        <w:rPr>
          <w:rFonts w:ascii="宋体" w:eastAsia="宋体" w:hAnsi="宋体" w:cs="宋体"/>
          <w:spacing w:val="-51"/>
          <w:sz w:val="23"/>
          <w:szCs w:val="23"/>
        </w:rPr>
        <w:t xml:space="preserve"> </w:t>
      </w:r>
      <w:r>
        <w:rPr>
          <w:rFonts w:ascii="宋体" w:eastAsia="宋体" w:hAnsi="宋体" w:cs="宋体"/>
          <w:spacing w:val="3"/>
          <w:sz w:val="23"/>
          <w:szCs w:val="23"/>
        </w:rPr>
        <w:t>水产品5000万t。</w:t>
      </w:r>
    </w:p>
    <w:p w:rsidR="00EA40A3" w:rsidRDefault="00E86C16">
      <w:pPr>
        <w:spacing w:before="49" w:line="235" w:lineRule="auto"/>
        <w:ind w:right="190" w:firstLine="419"/>
        <w:jc w:val="both"/>
        <w:rPr>
          <w:rFonts w:ascii="宋体" w:eastAsia="宋体" w:hAnsi="宋体" w:cs="宋体"/>
          <w:sz w:val="23"/>
          <w:szCs w:val="23"/>
        </w:rPr>
      </w:pPr>
      <w:r>
        <w:rPr>
          <w:rFonts w:ascii="宋体" w:eastAsia="宋体" w:hAnsi="宋体" w:cs="宋体"/>
          <w:spacing w:val="-9"/>
          <w:sz w:val="23"/>
          <w:szCs w:val="23"/>
        </w:rPr>
        <w:t>降低营养不良性疾病发病率。5岁以下儿童低体重发病率降至5%,</w:t>
      </w:r>
      <w:r>
        <w:rPr>
          <w:rFonts w:ascii="宋体" w:eastAsia="宋体" w:hAnsi="宋体" w:cs="宋体"/>
          <w:spacing w:val="-10"/>
          <w:sz w:val="23"/>
          <w:szCs w:val="23"/>
        </w:rPr>
        <w:t>生长迟</w:t>
      </w:r>
      <w:r>
        <w:rPr>
          <w:rFonts w:ascii="宋体" w:eastAsia="宋体" w:hAnsi="宋体" w:cs="宋体"/>
          <w:sz w:val="23"/>
          <w:szCs w:val="23"/>
        </w:rPr>
        <w:t xml:space="preserve"> </w:t>
      </w:r>
      <w:r>
        <w:rPr>
          <w:rFonts w:ascii="宋体" w:eastAsia="宋体" w:hAnsi="宋体" w:cs="宋体"/>
          <w:spacing w:val="-2"/>
          <w:sz w:val="23"/>
          <w:szCs w:val="23"/>
        </w:rPr>
        <w:t>缓发病率降至15%。孕妇和儿童贫血患病率分别</w:t>
      </w:r>
      <w:r>
        <w:rPr>
          <w:rFonts w:ascii="宋体" w:eastAsia="宋体" w:hAnsi="宋体" w:cs="宋体"/>
          <w:spacing w:val="-3"/>
          <w:sz w:val="23"/>
          <w:szCs w:val="23"/>
        </w:rPr>
        <w:t>降至20%和15%。4个月以内</w:t>
      </w:r>
      <w:r>
        <w:rPr>
          <w:rFonts w:ascii="宋体" w:eastAsia="宋体" w:hAnsi="宋体" w:cs="宋体"/>
          <w:sz w:val="23"/>
          <w:szCs w:val="23"/>
        </w:rPr>
        <w:t xml:space="preserve"> </w:t>
      </w:r>
      <w:r>
        <w:rPr>
          <w:rFonts w:ascii="宋体" w:eastAsia="宋体" w:hAnsi="宋体" w:cs="宋体"/>
          <w:spacing w:val="-21"/>
          <w:sz w:val="23"/>
          <w:szCs w:val="23"/>
        </w:rPr>
        <w:t>婴儿的母乳喂养达到普及，4个月以上的婴儿，应逐步补充各种辅助食品。</w:t>
      </w:r>
    </w:p>
    <w:p w:rsidR="00EA40A3" w:rsidRDefault="00E86C16">
      <w:pPr>
        <w:spacing w:before="68" w:line="234" w:lineRule="auto"/>
        <w:ind w:right="181" w:firstLine="419"/>
        <w:jc w:val="both"/>
        <w:rPr>
          <w:rFonts w:ascii="宋体" w:eastAsia="宋体" w:hAnsi="宋体" w:cs="宋体"/>
          <w:sz w:val="23"/>
          <w:szCs w:val="23"/>
        </w:rPr>
      </w:pPr>
      <w:r>
        <w:rPr>
          <w:rFonts w:ascii="宋体" w:eastAsia="宋体" w:hAnsi="宋体" w:cs="宋体"/>
          <w:spacing w:val="-12"/>
          <w:sz w:val="23"/>
          <w:szCs w:val="23"/>
        </w:rPr>
        <w:t>10.2010年城乡居民食物与营养发展目标。城市居民。人均每日摄入能量</w:t>
      </w:r>
      <w:r>
        <w:rPr>
          <w:rFonts w:ascii="宋体" w:eastAsia="宋体" w:hAnsi="宋体" w:cs="宋体"/>
          <w:spacing w:val="2"/>
          <w:sz w:val="23"/>
          <w:szCs w:val="23"/>
        </w:rPr>
        <w:t xml:space="preserve"> </w:t>
      </w:r>
      <w:r>
        <w:rPr>
          <w:rFonts w:ascii="宋体" w:eastAsia="宋体" w:hAnsi="宋体" w:cs="宋体"/>
          <w:spacing w:val="-7"/>
          <w:sz w:val="23"/>
          <w:szCs w:val="23"/>
        </w:rPr>
        <w:t>2250kcal,其中75%来自植物性食物，25%来自动物性食物；蛋白质80g,</w:t>
      </w:r>
      <w:r>
        <w:rPr>
          <w:rFonts w:ascii="宋体" w:eastAsia="宋体" w:hAnsi="宋体" w:cs="宋体"/>
          <w:spacing w:val="-17"/>
          <w:sz w:val="23"/>
          <w:szCs w:val="23"/>
        </w:rPr>
        <w:t xml:space="preserve"> </w:t>
      </w:r>
      <w:r>
        <w:rPr>
          <w:rFonts w:ascii="宋体" w:eastAsia="宋体" w:hAnsi="宋体" w:cs="宋体"/>
          <w:spacing w:val="-7"/>
          <w:sz w:val="23"/>
          <w:szCs w:val="23"/>
        </w:rPr>
        <w:t>其中</w:t>
      </w:r>
      <w:r>
        <w:rPr>
          <w:rFonts w:ascii="宋体" w:eastAsia="宋体" w:hAnsi="宋体" w:cs="宋体"/>
          <w:sz w:val="23"/>
          <w:szCs w:val="23"/>
        </w:rPr>
        <w:t xml:space="preserve"> </w:t>
      </w:r>
      <w:r>
        <w:rPr>
          <w:rFonts w:ascii="宋体" w:eastAsia="宋体" w:hAnsi="宋体" w:cs="宋体"/>
          <w:spacing w:val="-11"/>
          <w:sz w:val="23"/>
          <w:szCs w:val="23"/>
        </w:rPr>
        <w:t>35%来自动物性食物；脂肪80g,</w:t>
      </w:r>
      <w:r>
        <w:rPr>
          <w:rFonts w:ascii="宋体" w:eastAsia="宋体" w:hAnsi="宋体" w:cs="宋体"/>
          <w:spacing w:val="-38"/>
          <w:sz w:val="23"/>
          <w:szCs w:val="23"/>
        </w:rPr>
        <w:t xml:space="preserve"> </w:t>
      </w:r>
      <w:r>
        <w:rPr>
          <w:rFonts w:ascii="宋体" w:eastAsia="宋体" w:hAnsi="宋体" w:cs="宋体"/>
          <w:spacing w:val="-11"/>
          <w:sz w:val="23"/>
          <w:szCs w:val="23"/>
        </w:rPr>
        <w:t>提供的能量占总能量的28%。人均每年主要食</w:t>
      </w:r>
      <w:r>
        <w:rPr>
          <w:rFonts w:ascii="宋体" w:eastAsia="宋体" w:hAnsi="宋体" w:cs="宋体"/>
          <w:sz w:val="23"/>
          <w:szCs w:val="23"/>
        </w:rPr>
        <w:t xml:space="preserve"> 物摄入量为：口粮135kg,</w:t>
      </w:r>
      <w:r>
        <w:rPr>
          <w:rFonts w:ascii="宋体" w:eastAsia="宋体" w:hAnsi="宋体" w:cs="宋体"/>
          <w:spacing w:val="-12"/>
          <w:sz w:val="23"/>
          <w:szCs w:val="23"/>
        </w:rPr>
        <w:t xml:space="preserve"> </w:t>
      </w:r>
      <w:r>
        <w:rPr>
          <w:rFonts w:ascii="宋体" w:eastAsia="宋体" w:hAnsi="宋体" w:cs="宋体"/>
          <w:sz w:val="23"/>
          <w:szCs w:val="23"/>
        </w:rPr>
        <w:t>豆类12kg,</w:t>
      </w:r>
      <w:r>
        <w:rPr>
          <w:rFonts w:ascii="宋体" w:eastAsia="宋体" w:hAnsi="宋体" w:cs="宋体"/>
          <w:spacing w:val="-23"/>
          <w:sz w:val="23"/>
          <w:szCs w:val="23"/>
        </w:rPr>
        <w:t xml:space="preserve"> </w:t>
      </w:r>
      <w:r>
        <w:rPr>
          <w:rFonts w:ascii="宋体" w:eastAsia="宋体" w:hAnsi="宋体" w:cs="宋体"/>
          <w:sz w:val="23"/>
          <w:szCs w:val="23"/>
        </w:rPr>
        <w:t>蔬菜160kg,</w:t>
      </w:r>
      <w:r>
        <w:rPr>
          <w:rFonts w:ascii="宋体" w:eastAsia="宋体" w:hAnsi="宋体" w:cs="宋体"/>
          <w:spacing w:val="-33"/>
          <w:sz w:val="23"/>
          <w:szCs w:val="23"/>
        </w:rPr>
        <w:t xml:space="preserve"> </w:t>
      </w:r>
      <w:r>
        <w:rPr>
          <w:rFonts w:ascii="宋体" w:eastAsia="宋体" w:hAnsi="宋体" w:cs="宋体"/>
          <w:sz w:val="23"/>
          <w:szCs w:val="23"/>
        </w:rPr>
        <w:t>水果52kg,</w:t>
      </w:r>
      <w:r>
        <w:rPr>
          <w:rFonts w:ascii="宋体" w:eastAsia="宋体" w:hAnsi="宋体" w:cs="宋体"/>
          <w:spacing w:val="-33"/>
          <w:sz w:val="23"/>
          <w:szCs w:val="23"/>
        </w:rPr>
        <w:t xml:space="preserve"> </w:t>
      </w:r>
      <w:r>
        <w:rPr>
          <w:rFonts w:ascii="宋体" w:eastAsia="宋体" w:hAnsi="宋体" w:cs="宋体"/>
          <w:sz w:val="23"/>
          <w:szCs w:val="23"/>
        </w:rPr>
        <w:t xml:space="preserve">食用植物油 </w:t>
      </w:r>
      <w:r>
        <w:rPr>
          <w:rFonts w:ascii="宋体" w:eastAsia="宋体" w:hAnsi="宋体" w:cs="宋体"/>
          <w:spacing w:val="-3"/>
          <w:sz w:val="23"/>
          <w:szCs w:val="23"/>
        </w:rPr>
        <w:t>10kg,</w:t>
      </w:r>
      <w:r>
        <w:rPr>
          <w:rFonts w:ascii="宋体" w:eastAsia="宋体" w:hAnsi="宋体" w:cs="宋体"/>
          <w:spacing w:val="-45"/>
          <w:sz w:val="23"/>
          <w:szCs w:val="23"/>
        </w:rPr>
        <w:t xml:space="preserve"> </w:t>
      </w:r>
      <w:r>
        <w:rPr>
          <w:rFonts w:ascii="宋体" w:eastAsia="宋体" w:hAnsi="宋体" w:cs="宋体"/>
          <w:spacing w:val="-3"/>
          <w:sz w:val="23"/>
          <w:szCs w:val="23"/>
        </w:rPr>
        <w:t>食糖10kg,</w:t>
      </w:r>
      <w:r>
        <w:rPr>
          <w:rFonts w:ascii="宋体" w:eastAsia="宋体" w:hAnsi="宋体" w:cs="宋体"/>
          <w:spacing w:val="-33"/>
          <w:sz w:val="23"/>
          <w:szCs w:val="23"/>
        </w:rPr>
        <w:t xml:space="preserve"> </w:t>
      </w:r>
      <w:r>
        <w:rPr>
          <w:rFonts w:ascii="宋体" w:eastAsia="宋体" w:hAnsi="宋体" w:cs="宋体"/>
          <w:spacing w:val="-3"/>
          <w:sz w:val="23"/>
          <w:szCs w:val="23"/>
        </w:rPr>
        <w:t>肉类32kg,</w:t>
      </w:r>
      <w:r>
        <w:rPr>
          <w:rFonts w:ascii="宋体" w:eastAsia="宋体" w:hAnsi="宋体" w:cs="宋体"/>
          <w:spacing w:val="-43"/>
          <w:sz w:val="23"/>
          <w:szCs w:val="23"/>
        </w:rPr>
        <w:t xml:space="preserve"> </w:t>
      </w:r>
      <w:r>
        <w:rPr>
          <w:rFonts w:ascii="宋体" w:eastAsia="宋体" w:hAnsi="宋体" w:cs="宋体"/>
          <w:spacing w:val="-3"/>
          <w:sz w:val="23"/>
          <w:szCs w:val="23"/>
        </w:rPr>
        <w:t>蛋类18kg,</w:t>
      </w:r>
      <w:r>
        <w:rPr>
          <w:rFonts w:ascii="宋体" w:eastAsia="宋体" w:hAnsi="宋体" w:cs="宋体"/>
          <w:spacing w:val="-43"/>
          <w:sz w:val="23"/>
          <w:szCs w:val="23"/>
        </w:rPr>
        <w:t xml:space="preserve"> </w:t>
      </w:r>
      <w:r>
        <w:rPr>
          <w:rFonts w:ascii="宋体" w:eastAsia="宋体" w:hAnsi="宋体" w:cs="宋体"/>
          <w:spacing w:val="-3"/>
          <w:sz w:val="23"/>
          <w:szCs w:val="23"/>
        </w:rPr>
        <w:t>奶类32kg,</w:t>
      </w:r>
      <w:r>
        <w:rPr>
          <w:rFonts w:ascii="宋体" w:eastAsia="宋体" w:hAnsi="宋体" w:cs="宋体"/>
          <w:spacing w:val="-43"/>
          <w:sz w:val="23"/>
          <w:szCs w:val="23"/>
        </w:rPr>
        <w:t xml:space="preserve"> </w:t>
      </w:r>
      <w:r>
        <w:rPr>
          <w:rFonts w:ascii="宋体" w:eastAsia="宋体" w:hAnsi="宋体" w:cs="宋体"/>
          <w:spacing w:val="-3"/>
          <w:sz w:val="23"/>
          <w:szCs w:val="23"/>
        </w:rPr>
        <w:t>水产品22kg。</w:t>
      </w:r>
    </w:p>
    <w:p w:rsidR="00EA40A3" w:rsidRDefault="00E86C16">
      <w:pPr>
        <w:spacing w:before="56" w:line="235" w:lineRule="auto"/>
        <w:ind w:right="205" w:firstLine="419"/>
        <w:jc w:val="both"/>
        <w:rPr>
          <w:rFonts w:ascii="宋体" w:eastAsia="宋体" w:hAnsi="宋体" w:cs="宋体"/>
          <w:sz w:val="23"/>
          <w:szCs w:val="23"/>
        </w:rPr>
      </w:pPr>
      <w:r>
        <w:rPr>
          <w:rFonts w:ascii="宋体" w:eastAsia="宋体" w:hAnsi="宋体" w:cs="宋体"/>
          <w:spacing w:val="-6"/>
          <w:sz w:val="23"/>
          <w:szCs w:val="23"/>
        </w:rPr>
        <w:t>农村居民。人均每日摄入能量2320kcal,</w:t>
      </w:r>
      <w:r>
        <w:rPr>
          <w:rFonts w:ascii="宋体" w:eastAsia="宋体" w:hAnsi="宋体" w:cs="宋体"/>
          <w:spacing w:val="-68"/>
          <w:sz w:val="23"/>
          <w:szCs w:val="23"/>
        </w:rPr>
        <w:t xml:space="preserve"> </w:t>
      </w:r>
      <w:r>
        <w:rPr>
          <w:rFonts w:ascii="宋体" w:eastAsia="宋体" w:hAnsi="宋体" w:cs="宋体"/>
          <w:spacing w:val="-6"/>
          <w:sz w:val="23"/>
          <w:szCs w:val="23"/>
        </w:rPr>
        <w:t>其中84%来自</w:t>
      </w:r>
      <w:r>
        <w:rPr>
          <w:rFonts w:ascii="宋体" w:eastAsia="宋体" w:hAnsi="宋体" w:cs="宋体"/>
          <w:spacing w:val="-7"/>
          <w:sz w:val="23"/>
          <w:szCs w:val="23"/>
        </w:rPr>
        <w:t>植物性食物，16%</w:t>
      </w:r>
      <w:r>
        <w:rPr>
          <w:rFonts w:ascii="宋体" w:eastAsia="宋体" w:hAnsi="宋体" w:cs="宋体"/>
          <w:sz w:val="23"/>
          <w:szCs w:val="23"/>
        </w:rPr>
        <w:t xml:space="preserve"> </w:t>
      </w:r>
      <w:r>
        <w:rPr>
          <w:rFonts w:ascii="宋体" w:eastAsia="宋体" w:hAnsi="宋体" w:cs="宋体"/>
          <w:spacing w:val="-10"/>
          <w:sz w:val="23"/>
          <w:szCs w:val="23"/>
        </w:rPr>
        <w:t>来自动物性食物；蛋白质75g,</w:t>
      </w:r>
      <w:r>
        <w:rPr>
          <w:rFonts w:ascii="宋体" w:eastAsia="宋体" w:hAnsi="宋体" w:cs="宋体"/>
          <w:spacing w:val="-33"/>
          <w:sz w:val="23"/>
          <w:szCs w:val="23"/>
        </w:rPr>
        <w:t xml:space="preserve"> </w:t>
      </w:r>
      <w:r>
        <w:rPr>
          <w:rFonts w:ascii="宋体" w:eastAsia="宋体" w:hAnsi="宋体" w:cs="宋体"/>
          <w:spacing w:val="-10"/>
          <w:sz w:val="23"/>
          <w:szCs w:val="23"/>
        </w:rPr>
        <w:t>其中27%来自动物性食物；</w:t>
      </w:r>
      <w:r>
        <w:rPr>
          <w:rFonts w:ascii="宋体" w:eastAsia="宋体" w:hAnsi="宋体" w:cs="宋体"/>
          <w:spacing w:val="-11"/>
          <w:sz w:val="23"/>
          <w:szCs w:val="23"/>
        </w:rPr>
        <w:t>脂肪65g,</w:t>
      </w:r>
      <w:r>
        <w:rPr>
          <w:rFonts w:ascii="宋体" w:eastAsia="宋体" w:hAnsi="宋体" w:cs="宋体"/>
          <w:spacing w:val="-33"/>
          <w:sz w:val="23"/>
          <w:szCs w:val="23"/>
        </w:rPr>
        <w:t xml:space="preserve"> </w:t>
      </w:r>
      <w:r>
        <w:rPr>
          <w:rFonts w:ascii="宋体" w:eastAsia="宋体" w:hAnsi="宋体" w:cs="宋体"/>
          <w:spacing w:val="-11"/>
          <w:sz w:val="23"/>
          <w:szCs w:val="23"/>
        </w:rPr>
        <w:t>提供的能</w:t>
      </w:r>
      <w:r>
        <w:rPr>
          <w:rFonts w:ascii="宋体" w:eastAsia="宋体" w:hAnsi="宋体" w:cs="宋体"/>
          <w:sz w:val="23"/>
          <w:szCs w:val="23"/>
        </w:rPr>
        <w:t xml:space="preserve"> </w:t>
      </w:r>
      <w:r>
        <w:rPr>
          <w:rFonts w:ascii="宋体" w:eastAsia="宋体" w:hAnsi="宋体" w:cs="宋体"/>
          <w:spacing w:val="-7"/>
          <w:sz w:val="23"/>
          <w:szCs w:val="23"/>
        </w:rPr>
        <w:t>量占总能量的24%。人均每年主要事物摄入量为：口粮165kg,</w:t>
      </w:r>
      <w:r>
        <w:rPr>
          <w:rFonts w:ascii="宋体" w:eastAsia="宋体" w:hAnsi="宋体" w:cs="宋体"/>
          <w:spacing w:val="-19"/>
          <w:sz w:val="23"/>
          <w:szCs w:val="23"/>
        </w:rPr>
        <w:t xml:space="preserve"> </w:t>
      </w:r>
      <w:r>
        <w:rPr>
          <w:rFonts w:ascii="宋体" w:eastAsia="宋体" w:hAnsi="宋体" w:cs="宋体"/>
          <w:spacing w:val="-7"/>
          <w:sz w:val="23"/>
          <w:szCs w:val="23"/>
        </w:rPr>
        <w:t>豆类13kg,</w:t>
      </w:r>
      <w:r>
        <w:rPr>
          <w:rFonts w:ascii="宋体" w:eastAsia="宋体" w:hAnsi="宋体" w:cs="宋体"/>
          <w:spacing w:val="-43"/>
          <w:sz w:val="23"/>
          <w:szCs w:val="23"/>
        </w:rPr>
        <w:t xml:space="preserve"> </w:t>
      </w:r>
      <w:r>
        <w:rPr>
          <w:rFonts w:ascii="宋体" w:eastAsia="宋体" w:hAnsi="宋体" w:cs="宋体"/>
          <w:spacing w:val="-7"/>
          <w:sz w:val="23"/>
          <w:szCs w:val="23"/>
        </w:rPr>
        <w:t>蔬</w:t>
      </w:r>
      <w:r>
        <w:rPr>
          <w:rFonts w:ascii="宋体" w:eastAsia="宋体" w:hAnsi="宋体" w:cs="宋体"/>
          <w:sz w:val="23"/>
          <w:szCs w:val="23"/>
        </w:rPr>
        <w:t xml:space="preserve"> </w:t>
      </w:r>
      <w:r>
        <w:rPr>
          <w:rFonts w:ascii="宋体" w:eastAsia="宋体" w:hAnsi="宋体" w:cs="宋体"/>
          <w:spacing w:val="-2"/>
          <w:sz w:val="23"/>
          <w:szCs w:val="23"/>
        </w:rPr>
        <w:t>菜140kg,</w:t>
      </w:r>
      <w:r>
        <w:rPr>
          <w:rFonts w:ascii="宋体" w:eastAsia="宋体" w:hAnsi="宋体" w:cs="宋体"/>
          <w:spacing w:val="-28"/>
          <w:sz w:val="23"/>
          <w:szCs w:val="23"/>
        </w:rPr>
        <w:t xml:space="preserve"> </w:t>
      </w:r>
      <w:r>
        <w:rPr>
          <w:rFonts w:ascii="宋体" w:eastAsia="宋体" w:hAnsi="宋体" w:cs="宋体"/>
          <w:spacing w:val="-2"/>
          <w:sz w:val="23"/>
          <w:szCs w:val="23"/>
        </w:rPr>
        <w:t>水果30kg,</w:t>
      </w:r>
      <w:r>
        <w:rPr>
          <w:rFonts w:ascii="宋体" w:eastAsia="宋体" w:hAnsi="宋体" w:cs="宋体"/>
          <w:spacing w:val="-43"/>
          <w:sz w:val="23"/>
          <w:szCs w:val="23"/>
        </w:rPr>
        <w:t xml:space="preserve"> </w:t>
      </w:r>
      <w:r>
        <w:rPr>
          <w:rFonts w:ascii="宋体" w:eastAsia="宋体" w:hAnsi="宋体" w:cs="宋体"/>
          <w:spacing w:val="-2"/>
          <w:sz w:val="23"/>
          <w:szCs w:val="23"/>
        </w:rPr>
        <w:t>食用植物油10kg,</w:t>
      </w:r>
      <w:r>
        <w:rPr>
          <w:rFonts w:ascii="宋体" w:eastAsia="宋体" w:hAnsi="宋体" w:cs="宋体"/>
          <w:spacing w:val="-53"/>
          <w:sz w:val="23"/>
          <w:szCs w:val="23"/>
        </w:rPr>
        <w:t xml:space="preserve"> </w:t>
      </w:r>
      <w:r>
        <w:rPr>
          <w:rFonts w:ascii="宋体" w:eastAsia="宋体" w:hAnsi="宋体" w:cs="宋体"/>
          <w:spacing w:val="-2"/>
          <w:sz w:val="23"/>
          <w:szCs w:val="23"/>
        </w:rPr>
        <w:t>食糖8kg,</w:t>
      </w:r>
      <w:r>
        <w:rPr>
          <w:rFonts w:ascii="宋体" w:eastAsia="宋体" w:hAnsi="宋体" w:cs="宋体"/>
          <w:spacing w:val="-43"/>
          <w:sz w:val="23"/>
          <w:szCs w:val="23"/>
        </w:rPr>
        <w:t xml:space="preserve"> </w:t>
      </w:r>
      <w:r>
        <w:rPr>
          <w:rFonts w:ascii="宋体" w:eastAsia="宋体" w:hAnsi="宋体" w:cs="宋体"/>
          <w:spacing w:val="-2"/>
          <w:sz w:val="23"/>
          <w:szCs w:val="23"/>
        </w:rPr>
        <w:t>肉类26kg,</w:t>
      </w:r>
      <w:r>
        <w:rPr>
          <w:rFonts w:ascii="宋体" w:eastAsia="宋体" w:hAnsi="宋体" w:cs="宋体"/>
          <w:spacing w:val="-33"/>
          <w:sz w:val="23"/>
          <w:szCs w:val="23"/>
        </w:rPr>
        <w:t xml:space="preserve"> </w:t>
      </w:r>
      <w:r>
        <w:rPr>
          <w:rFonts w:ascii="宋体" w:eastAsia="宋体" w:hAnsi="宋体" w:cs="宋体"/>
          <w:spacing w:val="-2"/>
          <w:sz w:val="23"/>
          <w:szCs w:val="23"/>
        </w:rPr>
        <w:t>蛋类13kg,</w:t>
      </w:r>
      <w:r>
        <w:rPr>
          <w:rFonts w:ascii="宋体" w:eastAsia="宋体" w:hAnsi="宋体" w:cs="宋体"/>
          <w:spacing w:val="-52"/>
          <w:sz w:val="23"/>
          <w:szCs w:val="23"/>
        </w:rPr>
        <w:t xml:space="preserve"> </w:t>
      </w:r>
      <w:r>
        <w:rPr>
          <w:rFonts w:ascii="宋体" w:eastAsia="宋体" w:hAnsi="宋体" w:cs="宋体"/>
          <w:spacing w:val="-2"/>
          <w:sz w:val="23"/>
          <w:szCs w:val="23"/>
        </w:rPr>
        <w:t>奶</w:t>
      </w:r>
      <w:r>
        <w:rPr>
          <w:rFonts w:ascii="宋体" w:eastAsia="宋体" w:hAnsi="宋体" w:cs="宋体"/>
          <w:sz w:val="23"/>
          <w:szCs w:val="23"/>
        </w:rPr>
        <w:t xml:space="preserve"> </w:t>
      </w:r>
      <w:r>
        <w:rPr>
          <w:rFonts w:ascii="宋体" w:eastAsia="宋体" w:hAnsi="宋体" w:cs="宋体"/>
          <w:spacing w:val="-12"/>
          <w:sz w:val="23"/>
          <w:szCs w:val="23"/>
        </w:rPr>
        <w:t>类</w:t>
      </w:r>
      <w:r>
        <w:rPr>
          <w:rFonts w:ascii="宋体" w:eastAsia="宋体" w:hAnsi="宋体" w:cs="宋体"/>
          <w:spacing w:val="-24"/>
          <w:sz w:val="23"/>
          <w:szCs w:val="23"/>
        </w:rPr>
        <w:t xml:space="preserve"> </w:t>
      </w:r>
      <w:r>
        <w:rPr>
          <w:rFonts w:ascii="宋体" w:eastAsia="宋体" w:hAnsi="宋体" w:cs="宋体"/>
          <w:spacing w:val="-12"/>
          <w:sz w:val="23"/>
          <w:szCs w:val="23"/>
        </w:rPr>
        <w:t>7kg,</w:t>
      </w:r>
      <w:r>
        <w:rPr>
          <w:rFonts w:ascii="宋体" w:eastAsia="宋体" w:hAnsi="宋体" w:cs="宋体"/>
          <w:spacing w:val="-2"/>
          <w:sz w:val="23"/>
          <w:szCs w:val="23"/>
        </w:rPr>
        <w:t xml:space="preserve"> </w:t>
      </w:r>
      <w:r>
        <w:rPr>
          <w:rFonts w:ascii="宋体" w:eastAsia="宋体" w:hAnsi="宋体" w:cs="宋体"/>
          <w:spacing w:val="-12"/>
          <w:sz w:val="23"/>
          <w:szCs w:val="23"/>
        </w:rPr>
        <w:t>水产品13kg:</w:t>
      </w:r>
    </w:p>
    <w:p w:rsidR="00EA40A3" w:rsidRDefault="00E86C16">
      <w:pPr>
        <w:spacing w:before="196" w:line="213" w:lineRule="auto"/>
        <w:ind w:left="3"/>
        <w:outlineLvl w:val="6"/>
        <w:rPr>
          <w:rFonts w:ascii="黑体" w:eastAsia="黑体" w:hAnsi="黑体" w:cs="黑体"/>
          <w:sz w:val="23"/>
          <w:szCs w:val="23"/>
        </w:rPr>
      </w:pPr>
      <w:r>
        <w:rPr>
          <w:rFonts w:ascii="黑体" w:eastAsia="黑体" w:hAnsi="黑体" w:cs="黑体"/>
          <w:b/>
          <w:bCs/>
          <w:spacing w:val="1"/>
          <w:sz w:val="23"/>
          <w:szCs w:val="23"/>
        </w:rPr>
        <w:t>三、</w:t>
      </w:r>
      <w:r>
        <w:rPr>
          <w:rFonts w:ascii="黑体" w:eastAsia="黑体" w:hAnsi="黑体" w:cs="黑体"/>
          <w:spacing w:val="-44"/>
          <w:sz w:val="23"/>
          <w:szCs w:val="23"/>
        </w:rPr>
        <w:t xml:space="preserve"> </w:t>
      </w:r>
      <w:r>
        <w:rPr>
          <w:rFonts w:ascii="黑体" w:eastAsia="黑体" w:hAnsi="黑体" w:cs="黑体"/>
          <w:b/>
          <w:bCs/>
          <w:spacing w:val="1"/>
          <w:sz w:val="23"/>
          <w:szCs w:val="23"/>
        </w:rPr>
        <w:t>食物与营养发展的重点领域，地区与群体</w:t>
      </w:r>
    </w:p>
    <w:p w:rsidR="00EA40A3" w:rsidRDefault="00E86C16">
      <w:pPr>
        <w:spacing w:before="221" w:line="225" w:lineRule="auto"/>
        <w:ind w:firstLine="419"/>
        <w:rPr>
          <w:rFonts w:ascii="宋体" w:eastAsia="宋体" w:hAnsi="宋体" w:cs="宋体"/>
          <w:sz w:val="23"/>
          <w:szCs w:val="23"/>
        </w:rPr>
      </w:pPr>
      <w:r>
        <w:rPr>
          <w:rFonts w:ascii="宋体" w:eastAsia="宋体" w:hAnsi="宋体" w:cs="宋体"/>
          <w:spacing w:val="-23"/>
          <w:sz w:val="23"/>
          <w:szCs w:val="23"/>
        </w:rPr>
        <w:t>今后十年，针对我国食物与营养发展现状和存在的问题，要优先发展奶类产°</w:t>
      </w:r>
      <w:r>
        <w:rPr>
          <w:rFonts w:ascii="宋体" w:eastAsia="宋体" w:hAnsi="宋体" w:cs="宋体"/>
          <w:spacing w:val="3"/>
          <w:sz w:val="23"/>
          <w:szCs w:val="23"/>
        </w:rPr>
        <w:t xml:space="preserve"> </w:t>
      </w:r>
      <w:r>
        <w:rPr>
          <w:rFonts w:ascii="宋体" w:eastAsia="宋体" w:hAnsi="宋体" w:cs="宋体"/>
          <w:spacing w:val="-22"/>
          <w:sz w:val="23"/>
          <w:szCs w:val="23"/>
        </w:rPr>
        <w:t>业，大豆产业和食品加工业三个重点食物领域，努力解决好农村和西部两个重点</w:t>
      </w:r>
    </w:p>
    <w:p w:rsidR="00EA40A3" w:rsidRDefault="00E86C16">
      <w:pPr>
        <w:spacing w:before="61"/>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spacing w:val="3"/>
          <w:sz w:val="16"/>
          <w:szCs w:val="16"/>
        </w:rPr>
        <w:t xml:space="preserve"> </w:t>
      </w:r>
      <w:r>
        <w:rPr>
          <w:rFonts w:ascii="宋体" w:eastAsia="宋体" w:hAnsi="宋体" w:cs="宋体"/>
          <w:spacing w:val="-17"/>
          <w:sz w:val="16"/>
          <w:szCs w:val="16"/>
        </w:rPr>
        <w:t>436</w:t>
      </w:r>
      <w:r>
        <w:rPr>
          <w:rFonts w:ascii="宋体" w:eastAsia="宋体" w:hAnsi="宋体" w:cs="宋体"/>
          <w:spacing w:val="55"/>
          <w:sz w:val="16"/>
          <w:szCs w:val="16"/>
        </w:rPr>
        <w:t xml:space="preserve"> </w:t>
      </w:r>
      <w:r>
        <w:rPr>
          <w:rFonts w:ascii="宋体" w:eastAsia="宋体" w:hAnsi="宋体" w:cs="宋体"/>
          <w:spacing w:val="-17"/>
          <w:sz w:val="16"/>
          <w:szCs w:val="16"/>
        </w:rPr>
        <w:t>·</w:t>
      </w:r>
    </w:p>
    <w:p w:rsidR="00EA40A3" w:rsidRDefault="00EA40A3">
      <w:pPr>
        <w:sectPr w:rsidR="00EA40A3">
          <w:footerReference w:type="default" r:id="rId365"/>
          <w:pgSz w:w="9220" w:h="13360"/>
          <w:pgMar w:top="400" w:right="1027" w:bottom="400" w:left="730" w:header="0" w:footer="0" w:gutter="0"/>
          <w:cols w:space="720"/>
        </w:sectPr>
      </w:pPr>
    </w:p>
    <w:p w:rsidR="00EA40A3" w:rsidRDefault="00EA40A3">
      <w:pPr>
        <w:spacing w:line="267" w:lineRule="auto"/>
      </w:pPr>
    </w:p>
    <w:p w:rsidR="00EA40A3" w:rsidRDefault="00EA40A3">
      <w:pPr>
        <w:spacing w:line="267" w:lineRule="auto"/>
      </w:pPr>
    </w:p>
    <w:p w:rsidR="00EA40A3" w:rsidRDefault="00E86C16">
      <w:pPr>
        <w:spacing w:before="71" w:line="477" w:lineRule="exact"/>
        <w:rPr>
          <w:rFonts w:ascii="宋体" w:eastAsia="宋体" w:hAnsi="宋体" w:cs="宋体"/>
          <w:sz w:val="22"/>
          <w:szCs w:val="22"/>
        </w:rPr>
      </w:pPr>
      <w:r>
        <w:rPr>
          <w:rFonts w:ascii="宋体" w:eastAsia="宋体" w:hAnsi="宋体" w:cs="宋体"/>
          <w:spacing w:val="-14"/>
          <w:position w:val="19"/>
          <w:sz w:val="22"/>
          <w:szCs w:val="22"/>
        </w:rPr>
        <w:t>地区以及少年儿童、妇幼、老年三个重点人群的食物与营养发展问题。</w:t>
      </w:r>
    </w:p>
    <w:p w:rsidR="00EA40A3" w:rsidRDefault="00E86C16">
      <w:pPr>
        <w:spacing w:before="1" w:line="220" w:lineRule="auto"/>
        <w:rPr>
          <w:rFonts w:ascii="仿宋" w:eastAsia="仿宋" w:hAnsi="仿宋" w:cs="仿宋"/>
          <w:sz w:val="22"/>
          <w:szCs w:val="22"/>
        </w:rPr>
      </w:pPr>
      <w:r>
        <w:rPr>
          <w:rFonts w:ascii="仿宋" w:eastAsia="仿宋" w:hAnsi="仿宋" w:cs="仿宋"/>
          <w:spacing w:val="20"/>
          <w:sz w:val="22"/>
          <w:szCs w:val="22"/>
        </w:rPr>
        <w:t>(一)食物与营养发展的重点领域</w:t>
      </w:r>
    </w:p>
    <w:p w:rsidR="00EA40A3" w:rsidRDefault="00E86C16">
      <w:pPr>
        <w:spacing w:before="190" w:line="231" w:lineRule="auto"/>
        <w:ind w:firstLine="439"/>
        <w:rPr>
          <w:rFonts w:ascii="宋体" w:eastAsia="宋体" w:hAnsi="宋体" w:cs="宋体"/>
          <w:sz w:val="22"/>
          <w:szCs w:val="22"/>
        </w:rPr>
      </w:pPr>
      <w:r>
        <w:rPr>
          <w:rFonts w:ascii="宋体" w:eastAsia="宋体" w:hAnsi="宋体" w:cs="宋体"/>
          <w:spacing w:val="-10"/>
          <w:sz w:val="22"/>
          <w:szCs w:val="22"/>
        </w:rPr>
        <w:t>我国食物与营养发展的内容多，任务重，领域广，</w:t>
      </w:r>
      <w:r>
        <w:rPr>
          <w:rFonts w:ascii="宋体" w:eastAsia="宋体" w:hAnsi="宋体" w:cs="宋体"/>
          <w:spacing w:val="-11"/>
          <w:sz w:val="22"/>
          <w:szCs w:val="22"/>
        </w:rPr>
        <w:t>要在整体推进的基础上，</w:t>
      </w:r>
      <w:r>
        <w:rPr>
          <w:rFonts w:ascii="宋体" w:eastAsia="宋体" w:hAnsi="宋体" w:cs="宋体"/>
          <w:sz w:val="22"/>
          <w:szCs w:val="22"/>
        </w:rPr>
        <w:t xml:space="preserve"> </w:t>
      </w:r>
      <w:r>
        <w:rPr>
          <w:rFonts w:ascii="宋体" w:eastAsia="宋体" w:hAnsi="宋体" w:cs="宋体"/>
          <w:spacing w:val="-11"/>
          <w:sz w:val="22"/>
          <w:szCs w:val="22"/>
        </w:rPr>
        <w:t>把涉及食物与营养发展的难点和薄弱环节作为今</w:t>
      </w:r>
      <w:r>
        <w:rPr>
          <w:rFonts w:ascii="宋体" w:eastAsia="宋体" w:hAnsi="宋体" w:cs="宋体"/>
          <w:spacing w:val="-12"/>
          <w:sz w:val="22"/>
          <w:szCs w:val="22"/>
        </w:rPr>
        <w:t>后十年的重点内容，优先发展</w:t>
      </w:r>
    </w:p>
    <w:p w:rsidR="00EA40A3" w:rsidRDefault="00E86C16">
      <w:pPr>
        <w:spacing w:before="57" w:line="246" w:lineRule="auto"/>
        <w:ind w:right="80" w:firstLine="439"/>
        <w:rPr>
          <w:rFonts w:ascii="宋体" w:eastAsia="宋体" w:hAnsi="宋体" w:cs="宋体"/>
          <w:sz w:val="22"/>
          <w:szCs w:val="22"/>
        </w:rPr>
      </w:pPr>
      <w:r>
        <w:rPr>
          <w:rFonts w:ascii="宋体" w:eastAsia="宋体" w:hAnsi="宋体" w:cs="宋体"/>
          <w:spacing w:val="-5"/>
          <w:sz w:val="22"/>
          <w:szCs w:val="22"/>
        </w:rPr>
        <w:t>11.</w:t>
      </w:r>
      <w:r>
        <w:rPr>
          <w:rFonts w:ascii="宋体" w:eastAsia="宋体" w:hAnsi="宋体" w:cs="宋体"/>
          <w:spacing w:val="-26"/>
          <w:sz w:val="22"/>
          <w:szCs w:val="22"/>
        </w:rPr>
        <w:t xml:space="preserve"> </w:t>
      </w:r>
      <w:r>
        <w:rPr>
          <w:rFonts w:ascii="宋体" w:eastAsia="宋体" w:hAnsi="宋体" w:cs="宋体"/>
          <w:spacing w:val="-5"/>
          <w:sz w:val="22"/>
          <w:szCs w:val="22"/>
        </w:rPr>
        <w:t>奶类产业。加快发展奶业，提高居民奶类消</w:t>
      </w:r>
      <w:r>
        <w:rPr>
          <w:rFonts w:ascii="宋体" w:eastAsia="宋体" w:hAnsi="宋体" w:cs="宋体"/>
          <w:spacing w:val="-6"/>
          <w:sz w:val="22"/>
          <w:szCs w:val="22"/>
        </w:rPr>
        <w:t>费水平。扶持奶源基地建</w:t>
      </w:r>
      <w:r>
        <w:rPr>
          <w:rFonts w:ascii="宋体" w:eastAsia="宋体" w:hAnsi="宋体" w:cs="宋体"/>
          <w:sz w:val="22"/>
          <w:szCs w:val="22"/>
        </w:rPr>
        <w:t xml:space="preserve"> </w:t>
      </w:r>
      <w:r>
        <w:rPr>
          <w:rFonts w:ascii="宋体" w:eastAsia="宋体" w:hAnsi="宋体" w:cs="宋体"/>
          <w:spacing w:val="-13"/>
          <w:sz w:val="22"/>
          <w:szCs w:val="22"/>
        </w:rPr>
        <w:t>设，调整奶畜群结构，改善奶业基础薄弱的状况。加快发展乳制品加工业，支持</w:t>
      </w:r>
      <w:r>
        <w:rPr>
          <w:rFonts w:ascii="宋体" w:eastAsia="宋体" w:hAnsi="宋体" w:cs="宋体"/>
          <w:spacing w:val="12"/>
          <w:sz w:val="22"/>
          <w:szCs w:val="22"/>
        </w:rPr>
        <w:t xml:space="preserve"> </w:t>
      </w:r>
      <w:r>
        <w:rPr>
          <w:rFonts w:ascii="宋体" w:eastAsia="宋体" w:hAnsi="宋体" w:cs="宋体"/>
          <w:spacing w:val="-13"/>
          <w:sz w:val="22"/>
          <w:szCs w:val="22"/>
        </w:rPr>
        <w:t>开发新的奶产品，促进奶产品的升级换代。大力加强奶业科学研究，提高奶业发</w:t>
      </w:r>
      <w:r>
        <w:rPr>
          <w:rFonts w:ascii="宋体" w:eastAsia="宋体" w:hAnsi="宋体" w:cs="宋体"/>
          <w:spacing w:val="12"/>
          <w:sz w:val="22"/>
          <w:szCs w:val="22"/>
        </w:rPr>
        <w:t xml:space="preserve"> </w:t>
      </w:r>
      <w:r>
        <w:rPr>
          <w:rFonts w:ascii="宋体" w:eastAsia="宋体" w:hAnsi="宋体" w:cs="宋体"/>
          <w:spacing w:val="-7"/>
          <w:sz w:val="22"/>
          <w:szCs w:val="22"/>
        </w:rPr>
        <w:t>展的科技含量。支持并形成若干个对全国具有带动作用的大型乳品加工企业集</w:t>
      </w:r>
      <w:r>
        <w:rPr>
          <w:rFonts w:ascii="宋体" w:eastAsia="宋体" w:hAnsi="宋体" w:cs="宋体"/>
          <w:spacing w:val="15"/>
          <w:sz w:val="22"/>
          <w:szCs w:val="22"/>
        </w:rPr>
        <w:t xml:space="preserve"> </w:t>
      </w:r>
      <w:r>
        <w:rPr>
          <w:rFonts w:ascii="宋体" w:eastAsia="宋体" w:hAnsi="宋体" w:cs="宋体"/>
          <w:spacing w:val="-8"/>
          <w:sz w:val="22"/>
          <w:szCs w:val="22"/>
        </w:rPr>
        <w:t>团。加大对奶业发展的支持力度，尽快提高我国居民的奶类食品消费水平，到</w:t>
      </w:r>
      <w:r>
        <w:rPr>
          <w:rFonts w:ascii="宋体" w:eastAsia="宋体" w:hAnsi="宋体" w:cs="宋体"/>
          <w:spacing w:val="5"/>
          <w:sz w:val="22"/>
          <w:szCs w:val="22"/>
        </w:rPr>
        <w:t xml:space="preserve"> </w:t>
      </w:r>
      <w:r>
        <w:rPr>
          <w:rFonts w:ascii="宋体" w:eastAsia="宋体" w:hAnsi="宋体" w:cs="宋体"/>
          <w:spacing w:val="-7"/>
          <w:sz w:val="22"/>
          <w:szCs w:val="22"/>
        </w:rPr>
        <w:t>2010年居民的乳制品人均消费量比2000年要有大幅度增加。</w:t>
      </w:r>
    </w:p>
    <w:p w:rsidR="00EA40A3" w:rsidRDefault="00E86C16">
      <w:pPr>
        <w:spacing w:before="43" w:line="245" w:lineRule="auto"/>
        <w:ind w:right="49" w:firstLine="439"/>
        <w:rPr>
          <w:rFonts w:ascii="宋体" w:eastAsia="宋体" w:hAnsi="宋体" w:cs="宋体"/>
          <w:sz w:val="22"/>
          <w:szCs w:val="22"/>
        </w:rPr>
      </w:pPr>
      <w:r>
        <w:rPr>
          <w:rFonts w:ascii="宋体" w:eastAsia="宋体" w:hAnsi="宋体" w:cs="宋体"/>
          <w:spacing w:val="-12"/>
          <w:sz w:val="22"/>
          <w:szCs w:val="22"/>
        </w:rPr>
        <w:t>12.</w:t>
      </w:r>
      <w:r>
        <w:rPr>
          <w:rFonts w:ascii="宋体" w:eastAsia="宋体" w:hAnsi="宋体" w:cs="宋体"/>
          <w:spacing w:val="-35"/>
          <w:sz w:val="22"/>
          <w:szCs w:val="22"/>
        </w:rPr>
        <w:t xml:space="preserve"> </w:t>
      </w:r>
      <w:r>
        <w:rPr>
          <w:rFonts w:ascii="宋体" w:eastAsia="宋体" w:hAnsi="宋体" w:cs="宋体"/>
          <w:spacing w:val="-12"/>
          <w:sz w:val="22"/>
          <w:szCs w:val="22"/>
        </w:rPr>
        <w:t>大豆产业。大力发展大豆产业，促进大豆及其产品的生产和消费，提高</w:t>
      </w:r>
      <w:r>
        <w:rPr>
          <w:rFonts w:ascii="宋体" w:eastAsia="宋体" w:hAnsi="宋体" w:cs="宋体"/>
          <w:sz w:val="22"/>
          <w:szCs w:val="22"/>
        </w:rPr>
        <w:t xml:space="preserve"> </w:t>
      </w:r>
      <w:r>
        <w:rPr>
          <w:rFonts w:ascii="宋体" w:eastAsia="宋体" w:hAnsi="宋体" w:cs="宋体"/>
          <w:spacing w:val="-11"/>
          <w:sz w:val="22"/>
          <w:szCs w:val="22"/>
        </w:rPr>
        <w:t>大豆食品的供给水平。支持开展大豆资源，生产，精深加工等方面的</w:t>
      </w:r>
      <w:r>
        <w:rPr>
          <w:rFonts w:ascii="宋体" w:eastAsia="宋体" w:hAnsi="宋体" w:cs="宋体"/>
          <w:spacing w:val="-12"/>
          <w:sz w:val="22"/>
          <w:szCs w:val="22"/>
        </w:rPr>
        <w:t>科学研究。</w:t>
      </w:r>
      <w:r>
        <w:rPr>
          <w:rFonts w:ascii="宋体" w:eastAsia="宋体" w:hAnsi="宋体" w:cs="宋体"/>
          <w:sz w:val="22"/>
          <w:szCs w:val="22"/>
        </w:rPr>
        <w:t xml:space="preserve"> </w:t>
      </w:r>
      <w:r>
        <w:rPr>
          <w:rFonts w:ascii="宋体" w:eastAsia="宋体" w:hAnsi="宋体" w:cs="宋体"/>
          <w:spacing w:val="-13"/>
          <w:sz w:val="22"/>
          <w:szCs w:val="22"/>
        </w:rPr>
        <w:t>大力开拓大豆及其制品的消费市场，优先支持开发新型的大豆食品，用现代高新</w:t>
      </w:r>
      <w:r>
        <w:rPr>
          <w:rFonts w:ascii="宋体" w:eastAsia="宋体" w:hAnsi="宋体" w:cs="宋体"/>
          <w:spacing w:val="12"/>
          <w:sz w:val="22"/>
          <w:szCs w:val="22"/>
        </w:rPr>
        <w:t xml:space="preserve"> </w:t>
      </w:r>
      <w:r>
        <w:rPr>
          <w:rFonts w:ascii="宋体" w:eastAsia="宋体" w:hAnsi="宋体" w:cs="宋体"/>
          <w:spacing w:val="-7"/>
          <w:sz w:val="22"/>
          <w:szCs w:val="22"/>
        </w:rPr>
        <w:t>技术改造传统豆制品；到2010年，以大豆为基础的</w:t>
      </w:r>
      <w:r>
        <w:rPr>
          <w:rFonts w:ascii="宋体" w:eastAsia="宋体" w:hAnsi="宋体" w:cs="宋体"/>
          <w:spacing w:val="-8"/>
          <w:sz w:val="22"/>
          <w:szCs w:val="22"/>
        </w:rPr>
        <w:t>优质蛋白质消费量以及深加</w:t>
      </w:r>
      <w:r>
        <w:rPr>
          <w:rFonts w:ascii="宋体" w:eastAsia="宋体" w:hAnsi="宋体" w:cs="宋体"/>
          <w:sz w:val="22"/>
          <w:szCs w:val="22"/>
        </w:rPr>
        <w:t xml:space="preserve">  </w:t>
      </w:r>
      <w:r>
        <w:rPr>
          <w:rFonts w:ascii="宋体" w:eastAsia="宋体" w:hAnsi="宋体" w:cs="宋体"/>
          <w:spacing w:val="-15"/>
          <w:sz w:val="22"/>
          <w:szCs w:val="22"/>
        </w:rPr>
        <w:t>工产品消费量要有明显增加，质量要有明显改进。</w:t>
      </w:r>
    </w:p>
    <w:p w:rsidR="00EA40A3" w:rsidRDefault="00E86C16">
      <w:pPr>
        <w:spacing w:before="41" w:line="246" w:lineRule="auto"/>
        <w:ind w:right="88" w:firstLine="439"/>
        <w:rPr>
          <w:rFonts w:ascii="宋体" w:eastAsia="宋体" w:hAnsi="宋体" w:cs="宋体"/>
          <w:sz w:val="22"/>
          <w:szCs w:val="22"/>
        </w:rPr>
      </w:pPr>
      <w:r>
        <w:rPr>
          <w:rFonts w:ascii="宋体" w:eastAsia="宋体" w:hAnsi="宋体" w:cs="宋体"/>
          <w:spacing w:val="-12"/>
          <w:sz w:val="22"/>
          <w:szCs w:val="22"/>
        </w:rPr>
        <w:t>13.</w:t>
      </w:r>
      <w:r>
        <w:rPr>
          <w:rFonts w:ascii="宋体" w:eastAsia="宋体" w:hAnsi="宋体" w:cs="宋体"/>
          <w:spacing w:val="-32"/>
          <w:sz w:val="22"/>
          <w:szCs w:val="22"/>
        </w:rPr>
        <w:t xml:space="preserve"> </w:t>
      </w:r>
      <w:r>
        <w:rPr>
          <w:rFonts w:ascii="宋体" w:eastAsia="宋体" w:hAnsi="宋体" w:cs="宋体"/>
          <w:spacing w:val="-12"/>
          <w:sz w:val="22"/>
          <w:szCs w:val="22"/>
        </w:rPr>
        <w:t>食品加工业。优先支持对主食的加工，加快居民主要制成品食物的发展</w:t>
      </w:r>
      <w:r>
        <w:rPr>
          <w:rFonts w:ascii="宋体" w:eastAsia="宋体" w:hAnsi="宋体" w:cs="宋体"/>
          <w:sz w:val="22"/>
          <w:szCs w:val="22"/>
        </w:rPr>
        <w:t xml:space="preserve"> </w:t>
      </w:r>
      <w:r>
        <w:rPr>
          <w:rFonts w:ascii="宋体" w:eastAsia="宋体" w:hAnsi="宋体" w:cs="宋体"/>
          <w:spacing w:val="-13"/>
          <w:sz w:val="22"/>
          <w:szCs w:val="22"/>
        </w:rPr>
        <w:t>步伐，重点发展符合营养科学要求的方便食品，速冻食品。加快发展食物营养强</w:t>
      </w:r>
      <w:r>
        <w:rPr>
          <w:rFonts w:ascii="宋体" w:eastAsia="宋体" w:hAnsi="宋体" w:cs="宋体"/>
          <w:spacing w:val="14"/>
          <w:sz w:val="22"/>
          <w:szCs w:val="22"/>
        </w:rPr>
        <w:t xml:space="preserve"> </w:t>
      </w:r>
      <w:r>
        <w:rPr>
          <w:rFonts w:ascii="宋体" w:eastAsia="宋体" w:hAnsi="宋体" w:cs="宋体"/>
          <w:spacing w:val="-12"/>
          <w:sz w:val="22"/>
          <w:szCs w:val="22"/>
        </w:rPr>
        <w:t>化工作，重点推进主食品营养强化，减轻食物营养素缺乏的</w:t>
      </w:r>
      <w:r>
        <w:rPr>
          <w:rFonts w:ascii="宋体" w:eastAsia="宋体" w:hAnsi="宋体" w:cs="宋体"/>
          <w:spacing w:val="-13"/>
          <w:sz w:val="22"/>
          <w:szCs w:val="22"/>
        </w:rPr>
        <w:t>状况。优先支持我国</w:t>
      </w:r>
      <w:r>
        <w:rPr>
          <w:rFonts w:ascii="宋体" w:eastAsia="宋体" w:hAnsi="宋体" w:cs="宋体"/>
          <w:sz w:val="22"/>
          <w:szCs w:val="22"/>
        </w:rPr>
        <w:t xml:space="preserve"> </w:t>
      </w:r>
      <w:r>
        <w:rPr>
          <w:rFonts w:ascii="宋体" w:eastAsia="宋体" w:hAnsi="宋体" w:cs="宋体"/>
          <w:spacing w:val="-13"/>
          <w:sz w:val="22"/>
          <w:szCs w:val="22"/>
        </w:rPr>
        <w:t>传统食品的工业化技术改造，选择并支持若干种具有市场前景和示范作用的传统</w:t>
      </w:r>
      <w:r>
        <w:rPr>
          <w:rFonts w:ascii="宋体" w:eastAsia="宋体" w:hAnsi="宋体" w:cs="宋体"/>
          <w:spacing w:val="13"/>
          <w:sz w:val="22"/>
          <w:szCs w:val="22"/>
        </w:rPr>
        <w:t xml:space="preserve"> </w:t>
      </w:r>
      <w:r>
        <w:rPr>
          <w:rFonts w:ascii="宋体" w:eastAsia="宋体" w:hAnsi="宋体" w:cs="宋体"/>
          <w:spacing w:val="-12"/>
          <w:sz w:val="22"/>
          <w:szCs w:val="22"/>
        </w:rPr>
        <w:t>食品，提高其科技含量，加快其工业化步伐。优</w:t>
      </w:r>
      <w:r>
        <w:rPr>
          <w:rFonts w:ascii="宋体" w:eastAsia="宋体" w:hAnsi="宋体" w:cs="宋体"/>
          <w:spacing w:val="-13"/>
          <w:sz w:val="22"/>
          <w:szCs w:val="22"/>
        </w:rPr>
        <w:t>先支持大宗农产品深度开发与加</w:t>
      </w:r>
      <w:r>
        <w:rPr>
          <w:rFonts w:ascii="宋体" w:eastAsia="宋体" w:hAnsi="宋体" w:cs="宋体"/>
          <w:sz w:val="22"/>
          <w:szCs w:val="22"/>
        </w:rPr>
        <w:t xml:space="preserve"> </w:t>
      </w:r>
      <w:r>
        <w:rPr>
          <w:rFonts w:ascii="宋体" w:eastAsia="宋体" w:hAnsi="宋体" w:cs="宋体"/>
          <w:spacing w:val="-16"/>
          <w:sz w:val="22"/>
          <w:szCs w:val="22"/>
        </w:rPr>
        <w:t>工利用，逐步提高农产品加工转化程度。</w:t>
      </w:r>
    </w:p>
    <w:p w:rsidR="00EA40A3" w:rsidRDefault="00E86C16">
      <w:pPr>
        <w:spacing w:before="285" w:line="221" w:lineRule="auto"/>
        <w:rPr>
          <w:rFonts w:ascii="仿宋" w:eastAsia="仿宋" w:hAnsi="仿宋" w:cs="仿宋"/>
          <w:sz w:val="22"/>
          <w:szCs w:val="22"/>
        </w:rPr>
      </w:pPr>
      <w:r>
        <w:rPr>
          <w:rFonts w:ascii="仿宋" w:eastAsia="仿宋" w:hAnsi="仿宋" w:cs="仿宋"/>
          <w:spacing w:val="21"/>
          <w:sz w:val="22"/>
          <w:szCs w:val="22"/>
        </w:rPr>
        <w:t>(二)食物与营养发展的重点地区</w:t>
      </w:r>
    </w:p>
    <w:p w:rsidR="00EA40A3" w:rsidRDefault="00E86C16">
      <w:pPr>
        <w:spacing w:before="201" w:line="227" w:lineRule="auto"/>
        <w:ind w:firstLine="439"/>
        <w:rPr>
          <w:rFonts w:ascii="宋体" w:eastAsia="宋体" w:hAnsi="宋体" w:cs="宋体"/>
          <w:sz w:val="22"/>
          <w:szCs w:val="22"/>
        </w:rPr>
      </w:pPr>
      <w:r>
        <w:rPr>
          <w:rFonts w:ascii="宋体" w:eastAsia="宋体" w:hAnsi="宋体" w:cs="宋体"/>
          <w:spacing w:val="-10"/>
          <w:sz w:val="22"/>
          <w:szCs w:val="22"/>
        </w:rPr>
        <w:t>食物与营养发展需要全民参与，协调发展。要把相对</w:t>
      </w:r>
      <w:r>
        <w:rPr>
          <w:rFonts w:ascii="宋体" w:eastAsia="宋体" w:hAnsi="宋体" w:cs="宋体"/>
          <w:spacing w:val="-11"/>
          <w:sz w:val="22"/>
          <w:szCs w:val="22"/>
        </w:rPr>
        <w:t>落后的地区作为重点，</w:t>
      </w:r>
      <w:r>
        <w:rPr>
          <w:rFonts w:ascii="宋体" w:eastAsia="宋体" w:hAnsi="宋体" w:cs="宋体"/>
          <w:sz w:val="22"/>
          <w:szCs w:val="22"/>
        </w:rPr>
        <w:t xml:space="preserve"> </w:t>
      </w:r>
      <w:r>
        <w:rPr>
          <w:rFonts w:ascii="宋体" w:eastAsia="宋体" w:hAnsi="宋体" w:cs="宋体"/>
          <w:spacing w:val="-18"/>
          <w:sz w:val="22"/>
          <w:szCs w:val="22"/>
        </w:rPr>
        <w:t>加大力度，努力推进。</w:t>
      </w:r>
    </w:p>
    <w:p w:rsidR="00EA40A3" w:rsidRDefault="00E86C16">
      <w:pPr>
        <w:spacing w:before="78" w:line="245" w:lineRule="auto"/>
        <w:ind w:right="93" w:firstLine="439"/>
        <w:rPr>
          <w:rFonts w:ascii="宋体" w:eastAsia="宋体" w:hAnsi="宋体" w:cs="宋体"/>
          <w:sz w:val="22"/>
          <w:szCs w:val="22"/>
        </w:rPr>
      </w:pPr>
      <w:r>
        <w:rPr>
          <w:rFonts w:ascii="宋体" w:eastAsia="宋体" w:hAnsi="宋体" w:cs="宋体"/>
          <w:spacing w:val="-11"/>
          <w:sz w:val="22"/>
          <w:szCs w:val="22"/>
        </w:rPr>
        <w:t>14.</w:t>
      </w:r>
      <w:r>
        <w:rPr>
          <w:rFonts w:ascii="宋体" w:eastAsia="宋体" w:hAnsi="宋体" w:cs="宋体"/>
          <w:spacing w:val="-56"/>
          <w:sz w:val="22"/>
          <w:szCs w:val="22"/>
        </w:rPr>
        <w:t xml:space="preserve"> </w:t>
      </w:r>
      <w:r>
        <w:rPr>
          <w:rFonts w:ascii="宋体" w:eastAsia="宋体" w:hAnsi="宋体" w:cs="宋体"/>
          <w:spacing w:val="-11"/>
          <w:sz w:val="22"/>
          <w:szCs w:val="22"/>
        </w:rPr>
        <w:t>农村地区。广大农村地区，食物发展不平衡，营养状况相对</w:t>
      </w:r>
      <w:r>
        <w:rPr>
          <w:rFonts w:ascii="宋体" w:eastAsia="宋体" w:hAnsi="宋体" w:cs="宋体"/>
          <w:spacing w:val="-12"/>
          <w:sz w:val="22"/>
          <w:szCs w:val="22"/>
        </w:rPr>
        <w:t>落后。要加</w:t>
      </w:r>
      <w:r>
        <w:rPr>
          <w:rFonts w:ascii="宋体" w:eastAsia="宋体" w:hAnsi="宋体" w:cs="宋体"/>
          <w:sz w:val="22"/>
          <w:szCs w:val="22"/>
        </w:rPr>
        <w:t xml:space="preserve"> </w:t>
      </w:r>
      <w:r>
        <w:rPr>
          <w:rFonts w:ascii="宋体" w:eastAsia="宋体" w:hAnsi="宋体" w:cs="宋体"/>
          <w:spacing w:val="-13"/>
          <w:sz w:val="22"/>
          <w:szCs w:val="22"/>
        </w:rPr>
        <w:t>快农村经济发展，大力推进农业和农村经济结构的调整，切实增加农民收入，提</w:t>
      </w:r>
      <w:r>
        <w:rPr>
          <w:rFonts w:ascii="宋体" w:eastAsia="宋体" w:hAnsi="宋体" w:cs="宋体"/>
          <w:spacing w:val="12"/>
          <w:sz w:val="22"/>
          <w:szCs w:val="22"/>
        </w:rPr>
        <w:t xml:space="preserve"> </w:t>
      </w:r>
      <w:r>
        <w:rPr>
          <w:rFonts w:ascii="宋体" w:eastAsia="宋体" w:hAnsi="宋体" w:cs="宋体"/>
          <w:spacing w:val="-7"/>
          <w:sz w:val="22"/>
          <w:szCs w:val="22"/>
        </w:rPr>
        <w:t>高食物消费能力。重视农村营养改善，加强农村食物与营养发展的基础设施建</w:t>
      </w:r>
      <w:r>
        <w:rPr>
          <w:rFonts w:ascii="宋体" w:eastAsia="宋体" w:hAnsi="宋体" w:cs="宋体"/>
          <w:spacing w:val="16"/>
          <w:sz w:val="22"/>
          <w:szCs w:val="22"/>
        </w:rPr>
        <w:t xml:space="preserve"> </w:t>
      </w:r>
      <w:r>
        <w:rPr>
          <w:rFonts w:ascii="宋体" w:eastAsia="宋体" w:hAnsi="宋体" w:cs="宋体"/>
          <w:spacing w:val="-6"/>
          <w:sz w:val="22"/>
          <w:szCs w:val="22"/>
        </w:rPr>
        <w:t>设，改善食物购买与消费环境，开拓农村食物市场。力争到2010</w:t>
      </w:r>
      <w:r>
        <w:rPr>
          <w:rFonts w:ascii="宋体" w:eastAsia="宋体" w:hAnsi="宋体" w:cs="宋体"/>
          <w:spacing w:val="-7"/>
          <w:sz w:val="22"/>
          <w:szCs w:val="22"/>
        </w:rPr>
        <w:t>年广大农村地</w:t>
      </w:r>
      <w:r>
        <w:rPr>
          <w:rFonts w:ascii="宋体" w:eastAsia="宋体" w:hAnsi="宋体" w:cs="宋体"/>
          <w:sz w:val="22"/>
          <w:szCs w:val="22"/>
        </w:rPr>
        <w:t xml:space="preserve"> </w:t>
      </w:r>
      <w:r>
        <w:rPr>
          <w:rFonts w:ascii="宋体" w:eastAsia="宋体" w:hAnsi="宋体" w:cs="宋体"/>
          <w:spacing w:val="-15"/>
          <w:sz w:val="22"/>
          <w:szCs w:val="22"/>
        </w:rPr>
        <w:t>区营养状况有较大改善，农村居民生活质量不断提高，</w:t>
      </w:r>
    </w:p>
    <w:p w:rsidR="00EA40A3" w:rsidRDefault="00E86C16">
      <w:pPr>
        <w:spacing w:before="42" w:line="243" w:lineRule="auto"/>
        <w:ind w:right="79" w:firstLine="439"/>
        <w:rPr>
          <w:rFonts w:ascii="宋体" w:eastAsia="宋体" w:hAnsi="宋体" w:cs="宋体"/>
          <w:sz w:val="22"/>
          <w:szCs w:val="22"/>
        </w:rPr>
      </w:pPr>
      <w:r>
        <w:rPr>
          <w:rFonts w:ascii="宋体" w:eastAsia="宋体" w:hAnsi="宋体" w:cs="宋体"/>
          <w:spacing w:val="-11"/>
          <w:sz w:val="22"/>
          <w:szCs w:val="22"/>
        </w:rPr>
        <w:t>15.</w:t>
      </w:r>
      <w:r>
        <w:rPr>
          <w:rFonts w:ascii="宋体" w:eastAsia="宋体" w:hAnsi="宋体" w:cs="宋体"/>
          <w:spacing w:val="-46"/>
          <w:sz w:val="22"/>
          <w:szCs w:val="22"/>
        </w:rPr>
        <w:t xml:space="preserve"> </w:t>
      </w:r>
      <w:r>
        <w:rPr>
          <w:rFonts w:ascii="宋体" w:eastAsia="宋体" w:hAnsi="宋体" w:cs="宋体"/>
          <w:spacing w:val="-11"/>
          <w:sz w:val="22"/>
          <w:szCs w:val="22"/>
        </w:rPr>
        <w:t>西部农村地区。西部农村地区食物发展基础较差，食物资源丰富但未</w:t>
      </w:r>
      <w:r>
        <w:rPr>
          <w:rFonts w:ascii="宋体" w:eastAsia="宋体" w:hAnsi="宋体" w:cs="宋体"/>
          <w:spacing w:val="-12"/>
          <w:sz w:val="22"/>
          <w:szCs w:val="22"/>
        </w:rPr>
        <w:t>能</w:t>
      </w:r>
      <w:r>
        <w:rPr>
          <w:rFonts w:ascii="宋体" w:eastAsia="宋体" w:hAnsi="宋体" w:cs="宋体"/>
          <w:sz w:val="22"/>
          <w:szCs w:val="22"/>
        </w:rPr>
        <w:t xml:space="preserve"> </w:t>
      </w:r>
      <w:r>
        <w:rPr>
          <w:rFonts w:ascii="宋体" w:eastAsia="宋体" w:hAnsi="宋体" w:cs="宋体"/>
          <w:spacing w:val="-13"/>
          <w:sz w:val="22"/>
          <w:szCs w:val="22"/>
        </w:rPr>
        <w:t>充分开发利用。要加强食物发展基础设施建设，建立西部食物发展主导产业，保</w:t>
      </w:r>
      <w:r>
        <w:rPr>
          <w:rFonts w:ascii="宋体" w:eastAsia="宋体" w:hAnsi="宋体" w:cs="宋体"/>
          <w:spacing w:val="11"/>
          <w:sz w:val="22"/>
          <w:szCs w:val="22"/>
        </w:rPr>
        <w:t xml:space="preserve"> </w:t>
      </w:r>
      <w:r>
        <w:rPr>
          <w:rFonts w:ascii="宋体" w:eastAsia="宋体" w:hAnsi="宋体" w:cs="宋体"/>
          <w:spacing w:val="-13"/>
          <w:sz w:val="22"/>
          <w:szCs w:val="22"/>
        </w:rPr>
        <w:t>护生态环境，促进西部地区食物消费，降低西部地区农民营养不良的发生率。采</w:t>
      </w:r>
      <w:r>
        <w:rPr>
          <w:rFonts w:ascii="宋体" w:eastAsia="宋体" w:hAnsi="宋体" w:cs="宋体"/>
          <w:spacing w:val="12"/>
          <w:sz w:val="22"/>
          <w:szCs w:val="22"/>
        </w:rPr>
        <w:t xml:space="preserve"> </w:t>
      </w:r>
      <w:r>
        <w:rPr>
          <w:rFonts w:ascii="宋体" w:eastAsia="宋体" w:hAnsi="宋体" w:cs="宋体"/>
          <w:spacing w:val="-12"/>
          <w:sz w:val="22"/>
          <w:szCs w:val="22"/>
        </w:rPr>
        <w:t>取综合措施，促进西部地区农民食物与营养状况的不断改善</w:t>
      </w:r>
    </w:p>
    <w:p w:rsidR="00EA40A3" w:rsidRDefault="00EA40A3">
      <w:pPr>
        <w:sectPr w:rsidR="00EA40A3">
          <w:footerReference w:type="default" r:id="rId366"/>
          <w:pgSz w:w="9220" w:h="13360"/>
          <w:pgMar w:top="400" w:right="889" w:bottom="1257" w:left="970" w:header="0" w:footer="1049" w:gutter="0"/>
          <w:cols w:space="720"/>
        </w:sectPr>
      </w:pPr>
    </w:p>
    <w:p w:rsidR="00EA40A3" w:rsidRDefault="00EA40A3">
      <w:pPr>
        <w:spacing w:line="334" w:lineRule="auto"/>
      </w:pPr>
    </w:p>
    <w:p w:rsidR="00EA40A3" w:rsidRDefault="00EA40A3">
      <w:pPr>
        <w:spacing w:line="335"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22"/>
          <w:sz w:val="22"/>
          <w:szCs w:val="22"/>
        </w:rPr>
        <w:t>(三)营养改善的重点人群</w:t>
      </w:r>
    </w:p>
    <w:p w:rsidR="00EA40A3" w:rsidRDefault="00E86C16">
      <w:pPr>
        <w:spacing w:before="179"/>
        <w:ind w:right="73" w:firstLine="419"/>
        <w:rPr>
          <w:rFonts w:ascii="宋体" w:eastAsia="宋体" w:hAnsi="宋体" w:cs="宋体"/>
          <w:sz w:val="22"/>
          <w:szCs w:val="22"/>
        </w:rPr>
      </w:pPr>
      <w:r>
        <w:rPr>
          <w:rFonts w:ascii="宋体" w:eastAsia="宋体" w:hAnsi="宋体" w:cs="宋体"/>
          <w:spacing w:val="-13"/>
          <w:sz w:val="22"/>
          <w:szCs w:val="22"/>
        </w:rPr>
        <w:t>营养改善是长期的任务，在注重各类人群营养改善的同时，要切实抓好弱势</w:t>
      </w:r>
      <w:r>
        <w:rPr>
          <w:rFonts w:ascii="宋体" w:eastAsia="宋体" w:hAnsi="宋体" w:cs="宋体"/>
          <w:spacing w:val="4"/>
          <w:sz w:val="22"/>
          <w:szCs w:val="22"/>
        </w:rPr>
        <w:t xml:space="preserve"> </w:t>
      </w:r>
      <w:r>
        <w:rPr>
          <w:rFonts w:ascii="宋体" w:eastAsia="宋体" w:hAnsi="宋体" w:cs="宋体"/>
          <w:spacing w:val="-16"/>
          <w:sz w:val="22"/>
          <w:szCs w:val="22"/>
        </w:rPr>
        <w:t>人群的营养改善工作。</w:t>
      </w:r>
    </w:p>
    <w:p w:rsidR="00EA40A3" w:rsidRDefault="00E86C16">
      <w:pPr>
        <w:spacing w:before="47" w:line="247" w:lineRule="auto"/>
        <w:ind w:right="96" w:firstLine="419"/>
        <w:rPr>
          <w:rFonts w:ascii="宋体" w:eastAsia="宋体" w:hAnsi="宋体" w:cs="宋体"/>
          <w:sz w:val="22"/>
          <w:szCs w:val="22"/>
        </w:rPr>
      </w:pPr>
      <w:r>
        <w:rPr>
          <w:rFonts w:ascii="宋体" w:eastAsia="宋体" w:hAnsi="宋体" w:cs="宋体"/>
          <w:spacing w:val="-12"/>
          <w:sz w:val="22"/>
          <w:szCs w:val="22"/>
        </w:rPr>
        <w:t>16.</w:t>
      </w:r>
      <w:r>
        <w:rPr>
          <w:rFonts w:ascii="宋体" w:eastAsia="宋体" w:hAnsi="宋体" w:cs="宋体"/>
          <w:spacing w:val="-43"/>
          <w:sz w:val="22"/>
          <w:szCs w:val="22"/>
        </w:rPr>
        <w:t xml:space="preserve"> </w:t>
      </w:r>
      <w:r>
        <w:rPr>
          <w:rFonts w:ascii="宋体" w:eastAsia="宋体" w:hAnsi="宋体" w:cs="宋体"/>
          <w:spacing w:val="-12"/>
          <w:sz w:val="22"/>
          <w:szCs w:val="22"/>
        </w:rPr>
        <w:t>少年儿童群体。提高民族整体素质，基础在少年儿童。积极组织实施有</w:t>
      </w:r>
      <w:r>
        <w:rPr>
          <w:rFonts w:ascii="宋体" w:eastAsia="宋体" w:hAnsi="宋体" w:cs="宋体"/>
          <w:sz w:val="22"/>
          <w:szCs w:val="22"/>
        </w:rPr>
        <w:t xml:space="preserve"> </w:t>
      </w:r>
      <w:r>
        <w:rPr>
          <w:rFonts w:ascii="宋体" w:eastAsia="宋体" w:hAnsi="宋体" w:cs="宋体"/>
          <w:spacing w:val="-7"/>
          <w:sz w:val="22"/>
          <w:szCs w:val="22"/>
        </w:rPr>
        <w:t>关少年儿童营养改善的国家计划。优先保证这一</w:t>
      </w:r>
      <w:r>
        <w:rPr>
          <w:rFonts w:ascii="宋体" w:eastAsia="宋体" w:hAnsi="宋体" w:cs="宋体"/>
          <w:spacing w:val="-8"/>
          <w:sz w:val="22"/>
          <w:szCs w:val="22"/>
        </w:rPr>
        <w:t>群体的营养供给，提高身体素</w:t>
      </w:r>
      <w:r>
        <w:rPr>
          <w:rFonts w:ascii="宋体" w:eastAsia="宋体" w:hAnsi="宋体" w:cs="宋体"/>
          <w:sz w:val="22"/>
          <w:szCs w:val="22"/>
        </w:rPr>
        <w:t xml:space="preserve"> </w:t>
      </w:r>
      <w:r>
        <w:rPr>
          <w:rFonts w:ascii="宋体" w:eastAsia="宋体" w:hAnsi="宋体" w:cs="宋体"/>
          <w:spacing w:val="-14"/>
          <w:sz w:val="22"/>
          <w:szCs w:val="22"/>
        </w:rPr>
        <w:t>质。定期对少年儿童营养健康状况进行监测，实行有针对性的营养指导，使少年</w:t>
      </w:r>
      <w:r>
        <w:rPr>
          <w:rFonts w:ascii="宋体" w:eastAsia="宋体" w:hAnsi="宋体" w:cs="宋体"/>
          <w:spacing w:val="17"/>
          <w:sz w:val="22"/>
          <w:szCs w:val="22"/>
        </w:rPr>
        <w:t xml:space="preserve"> </w:t>
      </w:r>
      <w:r>
        <w:rPr>
          <w:rFonts w:ascii="宋体" w:eastAsia="宋体" w:hAnsi="宋体" w:cs="宋体"/>
          <w:spacing w:val="-14"/>
          <w:sz w:val="22"/>
          <w:szCs w:val="22"/>
        </w:rPr>
        <w:t>儿童从小形成良好的饮食习惯。建立贫困地区少年儿童营养保障制度，切实解决</w:t>
      </w:r>
      <w:r>
        <w:rPr>
          <w:rFonts w:ascii="宋体" w:eastAsia="宋体" w:hAnsi="宋体" w:cs="宋体"/>
          <w:spacing w:val="17"/>
          <w:sz w:val="22"/>
          <w:szCs w:val="22"/>
        </w:rPr>
        <w:t xml:space="preserve"> </w:t>
      </w:r>
      <w:r>
        <w:rPr>
          <w:rFonts w:ascii="宋体" w:eastAsia="宋体" w:hAnsi="宋体" w:cs="宋体"/>
          <w:spacing w:val="-7"/>
          <w:sz w:val="22"/>
          <w:szCs w:val="22"/>
        </w:rPr>
        <w:t>农村营养不良儿童所占的比例比2000年减少一半，城市营养失调儿童所占的比</w:t>
      </w:r>
      <w:r>
        <w:rPr>
          <w:rFonts w:ascii="宋体" w:eastAsia="宋体" w:hAnsi="宋体" w:cs="宋体"/>
          <w:spacing w:val="4"/>
          <w:sz w:val="22"/>
          <w:szCs w:val="22"/>
        </w:rPr>
        <w:t xml:space="preserve"> </w:t>
      </w:r>
      <w:r>
        <w:rPr>
          <w:rFonts w:ascii="宋体" w:eastAsia="宋体" w:hAnsi="宋体" w:cs="宋体"/>
          <w:spacing w:val="-5"/>
          <w:sz w:val="22"/>
          <w:szCs w:val="22"/>
        </w:rPr>
        <w:t>例减少1/3。</w:t>
      </w:r>
    </w:p>
    <w:p w:rsidR="00EA40A3" w:rsidRDefault="00E86C16">
      <w:pPr>
        <w:spacing w:before="37" w:line="246" w:lineRule="auto"/>
        <w:ind w:firstLine="419"/>
        <w:rPr>
          <w:rFonts w:ascii="宋体" w:eastAsia="宋体" w:hAnsi="宋体" w:cs="宋体"/>
          <w:sz w:val="22"/>
          <w:szCs w:val="22"/>
        </w:rPr>
      </w:pPr>
      <w:r>
        <w:rPr>
          <w:rFonts w:ascii="宋体" w:eastAsia="宋体" w:hAnsi="宋体" w:cs="宋体"/>
          <w:spacing w:val="-12"/>
          <w:sz w:val="22"/>
          <w:szCs w:val="22"/>
        </w:rPr>
        <w:t>17.</w:t>
      </w:r>
      <w:r>
        <w:rPr>
          <w:rFonts w:ascii="宋体" w:eastAsia="宋体" w:hAnsi="宋体" w:cs="宋体"/>
          <w:spacing w:val="-26"/>
          <w:sz w:val="22"/>
          <w:szCs w:val="22"/>
        </w:rPr>
        <w:t xml:space="preserve"> </w:t>
      </w:r>
      <w:r>
        <w:rPr>
          <w:rFonts w:ascii="宋体" w:eastAsia="宋体" w:hAnsi="宋体" w:cs="宋体"/>
          <w:spacing w:val="-12"/>
          <w:sz w:val="22"/>
          <w:szCs w:val="22"/>
        </w:rPr>
        <w:t>妇幼群体。妇女具有特殊营养需要，婴幼儿正</w:t>
      </w:r>
      <w:r>
        <w:rPr>
          <w:rFonts w:ascii="宋体" w:eastAsia="宋体" w:hAnsi="宋体" w:cs="宋体"/>
          <w:spacing w:val="-13"/>
          <w:sz w:val="22"/>
          <w:szCs w:val="22"/>
        </w:rPr>
        <w:t>处于生命的早期，他们的</w:t>
      </w:r>
      <w:r>
        <w:rPr>
          <w:rFonts w:ascii="宋体" w:eastAsia="宋体" w:hAnsi="宋体" w:cs="宋体"/>
          <w:sz w:val="22"/>
          <w:szCs w:val="22"/>
        </w:rPr>
        <w:t xml:space="preserve">  </w:t>
      </w:r>
      <w:r>
        <w:rPr>
          <w:rFonts w:ascii="宋体" w:eastAsia="宋体" w:hAnsi="宋体" w:cs="宋体"/>
          <w:spacing w:val="-13"/>
          <w:sz w:val="22"/>
          <w:szCs w:val="22"/>
        </w:rPr>
        <w:t>营养状况关系到人体一生的健康。要加大妇幼群</w:t>
      </w:r>
      <w:r>
        <w:rPr>
          <w:rFonts w:ascii="宋体" w:eastAsia="宋体" w:hAnsi="宋体" w:cs="宋体"/>
          <w:spacing w:val="-14"/>
          <w:sz w:val="22"/>
          <w:szCs w:val="22"/>
        </w:rPr>
        <w:t>体营养改善的力度，逐步建立孕</w:t>
      </w:r>
      <w:r>
        <w:rPr>
          <w:rFonts w:ascii="宋体" w:eastAsia="宋体" w:hAnsi="宋体" w:cs="宋体"/>
          <w:sz w:val="22"/>
          <w:szCs w:val="22"/>
        </w:rPr>
        <w:t xml:space="preserve">  </w:t>
      </w:r>
      <w:r>
        <w:rPr>
          <w:rFonts w:ascii="宋体" w:eastAsia="宋体" w:hAnsi="宋体" w:cs="宋体"/>
          <w:spacing w:val="-11"/>
          <w:sz w:val="22"/>
          <w:szCs w:val="22"/>
        </w:rPr>
        <w:t>妇，婴儿营养保障制度，防止妇女尤其是孕妇、产妇、哺乳期妇女的营养失衡。</w:t>
      </w:r>
      <w:r>
        <w:rPr>
          <w:rFonts w:ascii="宋体" w:eastAsia="宋体" w:hAnsi="宋体" w:cs="宋体"/>
          <w:spacing w:val="13"/>
          <w:sz w:val="22"/>
          <w:szCs w:val="22"/>
        </w:rPr>
        <w:t xml:space="preserve"> </w:t>
      </w:r>
      <w:r>
        <w:rPr>
          <w:rFonts w:ascii="宋体" w:eastAsia="宋体" w:hAnsi="宋体" w:cs="宋体"/>
          <w:spacing w:val="-14"/>
          <w:sz w:val="22"/>
          <w:szCs w:val="22"/>
        </w:rPr>
        <w:t>在全面普及母乳喂养的基础上，针对妇幼群体的特殊需要，大力开发适合妇幼群</w:t>
      </w:r>
      <w:r>
        <w:rPr>
          <w:rFonts w:ascii="宋体" w:eastAsia="宋体" w:hAnsi="宋体" w:cs="宋体"/>
          <w:spacing w:val="8"/>
          <w:sz w:val="22"/>
          <w:szCs w:val="22"/>
        </w:rPr>
        <w:t xml:space="preserve">  </w:t>
      </w:r>
      <w:r>
        <w:rPr>
          <w:rFonts w:ascii="宋体" w:eastAsia="宋体" w:hAnsi="宋体" w:cs="宋体"/>
          <w:spacing w:val="-10"/>
          <w:sz w:val="22"/>
          <w:szCs w:val="22"/>
        </w:rPr>
        <w:t>体消费的系列食品，加强对妇幼食品的市场管理。重点</w:t>
      </w:r>
      <w:r>
        <w:rPr>
          <w:rFonts w:ascii="宋体" w:eastAsia="宋体" w:hAnsi="宋体" w:cs="宋体"/>
          <w:spacing w:val="-11"/>
          <w:sz w:val="22"/>
          <w:szCs w:val="22"/>
        </w:rPr>
        <w:t>搞好3岁以下幼儿的营养</w:t>
      </w:r>
      <w:r>
        <w:rPr>
          <w:rFonts w:ascii="宋体" w:eastAsia="宋体" w:hAnsi="宋体" w:cs="宋体"/>
          <w:sz w:val="22"/>
          <w:szCs w:val="22"/>
        </w:rPr>
        <w:t xml:space="preserve">  </w:t>
      </w:r>
      <w:r>
        <w:rPr>
          <w:rFonts w:ascii="宋体" w:eastAsia="宋体" w:hAnsi="宋体" w:cs="宋体"/>
          <w:spacing w:val="-14"/>
          <w:sz w:val="22"/>
          <w:szCs w:val="22"/>
        </w:rPr>
        <w:t>改善，为提高中华民族新一代的身体素质打下</w:t>
      </w:r>
      <w:r>
        <w:rPr>
          <w:rFonts w:ascii="宋体" w:eastAsia="宋体" w:hAnsi="宋体" w:cs="宋体"/>
          <w:spacing w:val="-15"/>
          <w:sz w:val="22"/>
          <w:szCs w:val="22"/>
        </w:rPr>
        <w:t>良好基础。</w:t>
      </w:r>
    </w:p>
    <w:p w:rsidR="00EA40A3" w:rsidRDefault="00E86C16">
      <w:pPr>
        <w:spacing w:before="40" w:line="245" w:lineRule="auto"/>
        <w:ind w:right="100" w:firstLine="419"/>
        <w:rPr>
          <w:rFonts w:ascii="宋体" w:eastAsia="宋体" w:hAnsi="宋体" w:cs="宋体"/>
          <w:sz w:val="22"/>
          <w:szCs w:val="22"/>
        </w:rPr>
      </w:pPr>
      <w:r>
        <w:rPr>
          <w:rFonts w:ascii="宋体" w:eastAsia="宋体" w:hAnsi="宋体" w:cs="宋体"/>
          <w:spacing w:val="-6"/>
          <w:sz w:val="22"/>
          <w:szCs w:val="22"/>
        </w:rPr>
        <w:t>18.</w:t>
      </w:r>
      <w:r>
        <w:rPr>
          <w:rFonts w:ascii="宋体" w:eastAsia="宋体" w:hAnsi="宋体" w:cs="宋体"/>
          <w:spacing w:val="-26"/>
          <w:sz w:val="22"/>
          <w:szCs w:val="22"/>
        </w:rPr>
        <w:t xml:space="preserve"> </w:t>
      </w:r>
      <w:r>
        <w:rPr>
          <w:rFonts w:ascii="宋体" w:eastAsia="宋体" w:hAnsi="宋体" w:cs="宋体"/>
          <w:spacing w:val="-6"/>
          <w:sz w:val="22"/>
          <w:szCs w:val="22"/>
        </w:rPr>
        <w:t>老年人群体。我国60岁以上老年人比例逐渐增大，老年人的营</w:t>
      </w:r>
      <w:r>
        <w:rPr>
          <w:rFonts w:ascii="宋体" w:eastAsia="宋体" w:hAnsi="宋体" w:cs="宋体"/>
          <w:spacing w:val="-7"/>
          <w:sz w:val="22"/>
          <w:szCs w:val="22"/>
        </w:rPr>
        <w:t>养与健</w:t>
      </w:r>
      <w:r>
        <w:rPr>
          <w:rFonts w:ascii="宋体" w:eastAsia="宋体" w:hAnsi="宋体" w:cs="宋体"/>
          <w:sz w:val="22"/>
          <w:szCs w:val="22"/>
        </w:rPr>
        <w:t xml:space="preserve"> </w:t>
      </w:r>
      <w:r>
        <w:rPr>
          <w:rFonts w:ascii="宋体" w:eastAsia="宋体" w:hAnsi="宋体" w:cs="宋体"/>
          <w:spacing w:val="-14"/>
          <w:sz w:val="22"/>
          <w:szCs w:val="22"/>
        </w:rPr>
        <w:t>康越来越成为一个非常重要的社会问题。要建立老年人营养保障制度，关心老年</w:t>
      </w:r>
      <w:r>
        <w:rPr>
          <w:rFonts w:ascii="宋体" w:eastAsia="宋体" w:hAnsi="宋体" w:cs="宋体"/>
          <w:spacing w:val="17"/>
          <w:sz w:val="22"/>
          <w:szCs w:val="22"/>
        </w:rPr>
        <w:t xml:space="preserve"> </w:t>
      </w:r>
      <w:r>
        <w:rPr>
          <w:rFonts w:ascii="宋体" w:eastAsia="宋体" w:hAnsi="宋体" w:cs="宋体"/>
          <w:spacing w:val="-14"/>
          <w:sz w:val="22"/>
          <w:szCs w:val="22"/>
        </w:rPr>
        <w:t>人膳食营养，做好孤寡老人的膳食供给，加强对老年人的营养保障工作。研究开</w:t>
      </w:r>
      <w:r>
        <w:rPr>
          <w:rFonts w:ascii="宋体" w:eastAsia="宋体" w:hAnsi="宋体" w:cs="宋体"/>
          <w:spacing w:val="17"/>
          <w:sz w:val="22"/>
          <w:szCs w:val="22"/>
        </w:rPr>
        <w:t xml:space="preserve"> </w:t>
      </w:r>
      <w:r>
        <w:rPr>
          <w:rFonts w:ascii="宋体" w:eastAsia="宋体" w:hAnsi="宋体" w:cs="宋体"/>
          <w:spacing w:val="-14"/>
          <w:sz w:val="22"/>
          <w:szCs w:val="22"/>
        </w:rPr>
        <w:t>发适合老年人消费的系列食物，重点发展营养强化食品和低盐、低脂、低能量食</w:t>
      </w:r>
      <w:r>
        <w:rPr>
          <w:rFonts w:ascii="宋体" w:eastAsia="宋体" w:hAnsi="宋体" w:cs="宋体"/>
          <w:spacing w:val="18"/>
          <w:sz w:val="22"/>
          <w:szCs w:val="22"/>
        </w:rPr>
        <w:t xml:space="preserve"> </w:t>
      </w:r>
      <w:r>
        <w:rPr>
          <w:rFonts w:ascii="宋体" w:eastAsia="宋体" w:hAnsi="宋体" w:cs="宋体"/>
          <w:spacing w:val="-14"/>
          <w:sz w:val="22"/>
          <w:szCs w:val="22"/>
        </w:rPr>
        <w:t>品。减少老年人营养性疾病的发生率，提高老年人的生活质量和健康水平。</w:t>
      </w:r>
    </w:p>
    <w:p w:rsidR="00EA40A3" w:rsidRDefault="00E86C16">
      <w:pPr>
        <w:spacing w:before="293" w:line="221" w:lineRule="auto"/>
        <w:ind w:left="3"/>
        <w:outlineLvl w:val="6"/>
        <w:rPr>
          <w:rFonts w:ascii="黑体" w:eastAsia="黑体" w:hAnsi="黑体" w:cs="黑体"/>
          <w:sz w:val="22"/>
          <w:szCs w:val="22"/>
        </w:rPr>
      </w:pPr>
      <w:r>
        <w:rPr>
          <w:rFonts w:ascii="黑体" w:eastAsia="黑体" w:hAnsi="黑体" w:cs="黑体"/>
          <w:b/>
          <w:bCs/>
          <w:spacing w:val="9"/>
          <w:sz w:val="22"/>
          <w:szCs w:val="22"/>
        </w:rPr>
        <w:t>四、</w:t>
      </w:r>
      <w:r>
        <w:rPr>
          <w:rFonts w:ascii="黑体" w:eastAsia="黑体" w:hAnsi="黑体" w:cs="黑体"/>
          <w:spacing w:val="-39"/>
          <w:sz w:val="22"/>
          <w:szCs w:val="22"/>
        </w:rPr>
        <w:t xml:space="preserve"> </w:t>
      </w:r>
      <w:r>
        <w:rPr>
          <w:rFonts w:ascii="黑体" w:eastAsia="黑体" w:hAnsi="黑体" w:cs="黑体"/>
          <w:b/>
          <w:bCs/>
          <w:spacing w:val="9"/>
          <w:sz w:val="22"/>
          <w:szCs w:val="22"/>
        </w:rPr>
        <w:t>促进食物与营养发展的政策措施</w:t>
      </w:r>
    </w:p>
    <w:p w:rsidR="00EA40A3" w:rsidRDefault="00EA40A3">
      <w:pPr>
        <w:spacing w:line="284" w:lineRule="auto"/>
      </w:pPr>
    </w:p>
    <w:p w:rsidR="00EA40A3" w:rsidRDefault="00E86C16">
      <w:pPr>
        <w:spacing w:before="72" w:line="221" w:lineRule="auto"/>
        <w:rPr>
          <w:rFonts w:ascii="仿宋" w:eastAsia="仿宋" w:hAnsi="仿宋" w:cs="仿宋"/>
          <w:sz w:val="22"/>
          <w:szCs w:val="22"/>
        </w:rPr>
      </w:pPr>
      <w:r>
        <w:rPr>
          <w:rFonts w:ascii="仿宋" w:eastAsia="仿宋" w:hAnsi="仿宋" w:cs="仿宋"/>
          <w:spacing w:val="21"/>
          <w:sz w:val="22"/>
          <w:szCs w:val="22"/>
        </w:rPr>
        <w:t>(一)调整结构，提高食物综合供给能力</w:t>
      </w:r>
    </w:p>
    <w:p w:rsidR="00EA40A3" w:rsidRDefault="00E86C16">
      <w:pPr>
        <w:spacing w:before="204" w:line="248" w:lineRule="auto"/>
        <w:ind w:right="66" w:firstLine="419"/>
        <w:jc w:val="both"/>
        <w:rPr>
          <w:rFonts w:ascii="宋体" w:eastAsia="宋体" w:hAnsi="宋体" w:cs="宋体"/>
          <w:sz w:val="22"/>
          <w:szCs w:val="22"/>
        </w:rPr>
      </w:pPr>
      <w:r>
        <w:rPr>
          <w:rFonts w:ascii="宋体" w:eastAsia="宋体" w:hAnsi="宋体" w:cs="宋体"/>
          <w:spacing w:val="-12"/>
          <w:sz w:val="22"/>
          <w:szCs w:val="22"/>
        </w:rPr>
        <w:t>19.</w:t>
      </w:r>
      <w:r>
        <w:rPr>
          <w:rFonts w:ascii="宋体" w:eastAsia="宋体" w:hAnsi="宋体" w:cs="宋体"/>
          <w:spacing w:val="-42"/>
          <w:sz w:val="22"/>
          <w:szCs w:val="22"/>
        </w:rPr>
        <w:t xml:space="preserve"> </w:t>
      </w:r>
      <w:r>
        <w:rPr>
          <w:rFonts w:ascii="宋体" w:eastAsia="宋体" w:hAnsi="宋体" w:cs="宋体"/>
          <w:spacing w:val="-12"/>
          <w:sz w:val="22"/>
          <w:szCs w:val="22"/>
        </w:rPr>
        <w:t>调整农业结构，提高食物质量。在稳定提高粮食生产能力的基础上，着</w:t>
      </w:r>
      <w:r>
        <w:rPr>
          <w:rFonts w:ascii="宋体" w:eastAsia="宋体" w:hAnsi="宋体" w:cs="宋体"/>
          <w:sz w:val="22"/>
          <w:szCs w:val="22"/>
        </w:rPr>
        <w:t xml:space="preserve"> </w:t>
      </w:r>
      <w:r>
        <w:rPr>
          <w:rFonts w:ascii="宋体" w:eastAsia="宋体" w:hAnsi="宋体" w:cs="宋体"/>
          <w:spacing w:val="-7"/>
          <w:sz w:val="22"/>
          <w:szCs w:val="22"/>
        </w:rPr>
        <w:t>力优化食品品种，优化食物品质，优化食物布局，促进食物生产效</w:t>
      </w:r>
      <w:r>
        <w:rPr>
          <w:rFonts w:ascii="宋体" w:eastAsia="宋体" w:hAnsi="宋体" w:cs="宋体"/>
          <w:spacing w:val="-8"/>
          <w:sz w:val="22"/>
          <w:szCs w:val="22"/>
        </w:rPr>
        <w:t>益大幅度增</w:t>
      </w:r>
      <w:r>
        <w:rPr>
          <w:rFonts w:ascii="宋体" w:eastAsia="宋体" w:hAnsi="宋体" w:cs="宋体"/>
          <w:sz w:val="22"/>
          <w:szCs w:val="22"/>
        </w:rPr>
        <w:t xml:space="preserve"> </w:t>
      </w:r>
      <w:r>
        <w:rPr>
          <w:rFonts w:ascii="宋体" w:eastAsia="宋体" w:hAnsi="宋体" w:cs="宋体"/>
          <w:spacing w:val="-10"/>
          <w:sz w:val="22"/>
          <w:szCs w:val="22"/>
        </w:rPr>
        <w:t>长。种植业要由传统的粮食作物-经济作物“二元结构”向粮食作物-经济</w:t>
      </w:r>
      <w:r>
        <w:rPr>
          <w:rFonts w:ascii="宋体" w:eastAsia="宋体" w:hAnsi="宋体" w:cs="宋体"/>
          <w:spacing w:val="-11"/>
          <w:sz w:val="22"/>
          <w:szCs w:val="22"/>
        </w:rPr>
        <w:t>作物-</w:t>
      </w:r>
      <w:r>
        <w:rPr>
          <w:rFonts w:ascii="宋体" w:eastAsia="宋体" w:hAnsi="宋体" w:cs="宋体"/>
          <w:sz w:val="22"/>
          <w:szCs w:val="22"/>
        </w:rPr>
        <w:t xml:space="preserve"> </w:t>
      </w:r>
      <w:r>
        <w:rPr>
          <w:rFonts w:ascii="宋体" w:eastAsia="宋体" w:hAnsi="宋体" w:cs="宋体"/>
          <w:spacing w:val="-13"/>
          <w:sz w:val="22"/>
          <w:szCs w:val="22"/>
        </w:rPr>
        <w:t>饲料作物“三元结构”转变，大力发展名、特、优农产品，形成各具特色的优质</w:t>
      </w:r>
      <w:r>
        <w:rPr>
          <w:rFonts w:ascii="宋体" w:eastAsia="宋体" w:hAnsi="宋体" w:cs="宋体"/>
          <w:spacing w:val="17"/>
          <w:sz w:val="22"/>
          <w:szCs w:val="22"/>
        </w:rPr>
        <w:t xml:space="preserve"> </w:t>
      </w:r>
      <w:r>
        <w:rPr>
          <w:rFonts w:ascii="宋体" w:eastAsia="宋体" w:hAnsi="宋体" w:cs="宋体"/>
          <w:spacing w:val="-14"/>
          <w:sz w:val="22"/>
          <w:szCs w:val="22"/>
        </w:rPr>
        <w:t>农产品及其加工专用生产区，建立优质食品加工专用原料生产基地，大力发展适</w:t>
      </w:r>
      <w:r>
        <w:rPr>
          <w:rFonts w:ascii="宋体" w:eastAsia="宋体" w:hAnsi="宋体" w:cs="宋体"/>
          <w:spacing w:val="17"/>
          <w:sz w:val="22"/>
          <w:szCs w:val="22"/>
        </w:rPr>
        <w:t xml:space="preserve"> </w:t>
      </w:r>
      <w:r>
        <w:rPr>
          <w:rFonts w:ascii="宋体" w:eastAsia="宋体" w:hAnsi="宋体" w:cs="宋体"/>
          <w:spacing w:val="-13"/>
          <w:sz w:val="22"/>
          <w:szCs w:val="22"/>
        </w:rPr>
        <w:t>合食品加工业需要的标准化农产品生产。合理和充分利用</w:t>
      </w:r>
      <w:r>
        <w:rPr>
          <w:rFonts w:ascii="宋体" w:eastAsia="宋体" w:hAnsi="宋体" w:cs="宋体"/>
          <w:spacing w:val="-14"/>
          <w:sz w:val="22"/>
          <w:szCs w:val="22"/>
        </w:rPr>
        <w:t>草地、农作物秸秆等资</w:t>
      </w:r>
      <w:r>
        <w:rPr>
          <w:rFonts w:ascii="宋体" w:eastAsia="宋体" w:hAnsi="宋体" w:cs="宋体"/>
          <w:sz w:val="22"/>
          <w:szCs w:val="22"/>
        </w:rPr>
        <w:t xml:space="preserve"> </w:t>
      </w:r>
      <w:r>
        <w:rPr>
          <w:rFonts w:ascii="宋体" w:eastAsia="宋体" w:hAnsi="宋体" w:cs="宋体"/>
          <w:spacing w:val="-13"/>
          <w:sz w:val="22"/>
          <w:szCs w:val="22"/>
        </w:rPr>
        <w:t>源，建立规模养殖场，加快牛、羊、禽特别是奶畜发展，生产优质畜禽食品。在</w:t>
      </w:r>
      <w:r>
        <w:rPr>
          <w:rFonts w:ascii="宋体" w:eastAsia="宋体" w:hAnsi="宋体" w:cs="宋体"/>
          <w:spacing w:val="5"/>
          <w:sz w:val="22"/>
          <w:szCs w:val="22"/>
        </w:rPr>
        <w:t xml:space="preserve"> </w:t>
      </w:r>
      <w:r>
        <w:rPr>
          <w:rFonts w:ascii="宋体" w:eastAsia="宋体" w:hAnsi="宋体" w:cs="宋体"/>
          <w:spacing w:val="-13"/>
          <w:sz w:val="22"/>
          <w:szCs w:val="22"/>
        </w:rPr>
        <w:t>合理保护渔业资源和水域生态环境的前提下，加快发展水产养殖业，积极开发大</w:t>
      </w:r>
      <w:r>
        <w:rPr>
          <w:rFonts w:ascii="宋体" w:eastAsia="宋体" w:hAnsi="宋体" w:cs="宋体"/>
          <w:spacing w:val="3"/>
          <w:sz w:val="22"/>
          <w:szCs w:val="22"/>
        </w:rPr>
        <w:t xml:space="preserve"> </w:t>
      </w:r>
      <w:r>
        <w:rPr>
          <w:rFonts w:ascii="宋体" w:eastAsia="宋体" w:hAnsi="宋体" w:cs="宋体"/>
          <w:spacing w:val="-15"/>
          <w:sz w:val="22"/>
          <w:szCs w:val="22"/>
        </w:rPr>
        <w:t>洋性</w:t>
      </w:r>
      <w:r>
        <w:rPr>
          <w:rFonts w:ascii="宋体" w:eastAsia="宋体" w:hAnsi="宋体" w:cs="宋体"/>
          <w:spacing w:val="-15"/>
          <w:sz w:val="22"/>
          <w:szCs w:val="22"/>
          <w:u w:val="single"/>
        </w:rPr>
        <w:t>渔业</w:t>
      </w:r>
      <w:r>
        <w:rPr>
          <w:rFonts w:ascii="宋体" w:eastAsia="宋体" w:hAnsi="宋体" w:cs="宋体"/>
          <w:spacing w:val="-15"/>
          <w:sz w:val="22"/>
          <w:szCs w:val="22"/>
        </w:rPr>
        <w:t>资源，</w:t>
      </w:r>
    </w:p>
    <w:p w:rsidR="00EA40A3" w:rsidRDefault="00E86C16">
      <w:pPr>
        <w:spacing w:before="37" w:line="235" w:lineRule="auto"/>
        <w:ind w:firstLine="419"/>
        <w:jc w:val="both"/>
        <w:rPr>
          <w:rFonts w:ascii="宋体" w:eastAsia="宋体" w:hAnsi="宋体" w:cs="宋体"/>
          <w:sz w:val="22"/>
          <w:szCs w:val="22"/>
        </w:rPr>
      </w:pPr>
      <w:r>
        <w:rPr>
          <w:rFonts w:ascii="宋体" w:eastAsia="宋体" w:hAnsi="宋体" w:cs="宋体"/>
          <w:spacing w:val="-10"/>
          <w:sz w:val="22"/>
          <w:szCs w:val="22"/>
        </w:rPr>
        <w:t>20.</w:t>
      </w:r>
      <w:r>
        <w:rPr>
          <w:rFonts w:ascii="宋体" w:eastAsia="宋体" w:hAnsi="宋体" w:cs="宋体"/>
          <w:spacing w:val="-9"/>
          <w:sz w:val="22"/>
          <w:szCs w:val="22"/>
        </w:rPr>
        <w:t xml:space="preserve"> </w:t>
      </w:r>
      <w:r>
        <w:rPr>
          <w:rFonts w:ascii="宋体" w:eastAsia="宋体" w:hAnsi="宋体" w:cs="宋体"/>
          <w:spacing w:val="-10"/>
          <w:sz w:val="22"/>
          <w:szCs w:val="22"/>
        </w:rPr>
        <w:t>加强管理，加快食品工业发展。转变政府职能，加强行业规划和协</w:t>
      </w:r>
      <w:r>
        <w:rPr>
          <w:rFonts w:ascii="宋体" w:eastAsia="宋体" w:hAnsi="宋体" w:cs="宋体"/>
          <w:spacing w:val="-11"/>
          <w:sz w:val="22"/>
          <w:szCs w:val="22"/>
        </w:rPr>
        <w:t>调，</w:t>
      </w:r>
      <w:r>
        <w:rPr>
          <w:rFonts w:ascii="宋体" w:eastAsia="宋体" w:hAnsi="宋体" w:cs="宋体"/>
          <w:sz w:val="22"/>
          <w:szCs w:val="22"/>
        </w:rPr>
        <w:t xml:space="preserve"> </w:t>
      </w:r>
      <w:r>
        <w:rPr>
          <w:rFonts w:ascii="宋体" w:eastAsia="宋体" w:hAnsi="宋体" w:cs="宋体"/>
          <w:spacing w:val="-12"/>
          <w:sz w:val="22"/>
          <w:szCs w:val="22"/>
        </w:rPr>
        <w:t>加强监管和服务，实行食品工业产供销一体化。调整食品工业结构，加速传统食</w:t>
      </w:r>
    </w:p>
    <w:p w:rsidR="00EA40A3" w:rsidRDefault="00E86C16">
      <w:pPr>
        <w:spacing w:before="106"/>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438</w:t>
      </w:r>
      <w:r>
        <w:rPr>
          <w:rFonts w:ascii="宋体" w:eastAsia="宋体" w:hAnsi="宋体" w:cs="宋体"/>
          <w:spacing w:val="50"/>
          <w:sz w:val="18"/>
          <w:szCs w:val="18"/>
        </w:rPr>
        <w:t xml:space="preserve"> </w:t>
      </w:r>
      <w:r>
        <w:rPr>
          <w:rFonts w:ascii="宋体" w:eastAsia="宋体" w:hAnsi="宋体" w:cs="宋体"/>
          <w:spacing w:val="-25"/>
          <w:sz w:val="18"/>
          <w:szCs w:val="18"/>
        </w:rPr>
        <w:t>·</w:t>
      </w:r>
    </w:p>
    <w:p w:rsidR="00EA40A3" w:rsidRDefault="00EA40A3">
      <w:pPr>
        <w:sectPr w:rsidR="00EA40A3">
          <w:footerReference w:type="default" r:id="rId367"/>
          <w:pgSz w:w="9220" w:h="13360"/>
          <w:pgMar w:top="400" w:right="1159" w:bottom="400" w:left="730" w:header="0" w:footer="0" w:gutter="0"/>
          <w:cols w:space="720"/>
        </w:sectPr>
      </w:pPr>
    </w:p>
    <w:p w:rsidR="00EA40A3" w:rsidRDefault="00EA40A3">
      <w:pPr>
        <w:spacing w:line="252" w:lineRule="auto"/>
      </w:pPr>
    </w:p>
    <w:p w:rsidR="00EA40A3" w:rsidRDefault="00EA40A3">
      <w:pPr>
        <w:spacing w:line="253" w:lineRule="auto"/>
      </w:pPr>
    </w:p>
    <w:p w:rsidR="00EA40A3" w:rsidRDefault="00E86C16">
      <w:pPr>
        <w:spacing w:before="72" w:line="245" w:lineRule="auto"/>
        <w:jc w:val="both"/>
        <w:rPr>
          <w:rFonts w:ascii="宋体" w:eastAsia="宋体" w:hAnsi="宋体" w:cs="宋体"/>
          <w:sz w:val="22"/>
          <w:szCs w:val="22"/>
        </w:rPr>
      </w:pPr>
      <w:r>
        <w:rPr>
          <w:rFonts w:ascii="宋体" w:eastAsia="宋体" w:hAnsi="宋体" w:cs="宋体"/>
          <w:spacing w:val="-13"/>
          <w:sz w:val="22"/>
          <w:szCs w:val="22"/>
        </w:rPr>
        <w:t>品工业的优化升级，促进传统食品工业向现代食品工业的转化，建立现代食品工</w:t>
      </w:r>
      <w:r>
        <w:rPr>
          <w:rFonts w:ascii="宋体" w:eastAsia="宋体" w:hAnsi="宋体" w:cs="宋体"/>
          <w:spacing w:val="5"/>
          <w:sz w:val="22"/>
          <w:szCs w:val="22"/>
        </w:rPr>
        <w:t xml:space="preserve"> </w:t>
      </w:r>
      <w:r>
        <w:rPr>
          <w:rFonts w:ascii="宋体" w:eastAsia="宋体" w:hAnsi="宋体" w:cs="宋体"/>
          <w:spacing w:val="-12"/>
          <w:sz w:val="22"/>
          <w:szCs w:val="22"/>
        </w:rPr>
        <w:t>业体系。开展食品加工机械，包装，储运技术创新，</w:t>
      </w:r>
      <w:r>
        <w:rPr>
          <w:rFonts w:ascii="宋体" w:eastAsia="宋体" w:hAnsi="宋体" w:cs="宋体"/>
          <w:spacing w:val="-13"/>
          <w:sz w:val="22"/>
          <w:szCs w:val="22"/>
        </w:rPr>
        <w:t>大力发展现代食品科技，提</w:t>
      </w:r>
      <w:r>
        <w:rPr>
          <w:rFonts w:ascii="宋体" w:eastAsia="宋体" w:hAnsi="宋体" w:cs="宋体"/>
          <w:sz w:val="22"/>
          <w:szCs w:val="22"/>
        </w:rPr>
        <w:t xml:space="preserve"> </w:t>
      </w:r>
      <w:r>
        <w:rPr>
          <w:rFonts w:ascii="宋体" w:eastAsia="宋体" w:hAnsi="宋体" w:cs="宋体"/>
          <w:spacing w:val="-11"/>
          <w:sz w:val="22"/>
          <w:szCs w:val="22"/>
        </w:rPr>
        <w:t>高我国食品工业科技水平。加强食品工业基础设施建设，做好产品标准化包装，</w:t>
      </w:r>
      <w:r>
        <w:rPr>
          <w:rFonts w:ascii="宋体" w:eastAsia="宋体" w:hAnsi="宋体" w:cs="宋体"/>
          <w:spacing w:val="14"/>
          <w:sz w:val="22"/>
          <w:szCs w:val="22"/>
        </w:rPr>
        <w:t xml:space="preserve"> </w:t>
      </w:r>
      <w:r>
        <w:rPr>
          <w:rFonts w:ascii="宋体" w:eastAsia="宋体" w:hAnsi="宋体" w:cs="宋体"/>
          <w:spacing w:val="-12"/>
          <w:sz w:val="22"/>
          <w:szCs w:val="22"/>
        </w:rPr>
        <w:t>运输。加强对大宗食物的加工，提高综合利用率。采取措施，严格控</w:t>
      </w:r>
      <w:r>
        <w:rPr>
          <w:rFonts w:ascii="宋体" w:eastAsia="宋体" w:hAnsi="宋体" w:cs="宋体"/>
          <w:spacing w:val="-13"/>
          <w:sz w:val="22"/>
          <w:szCs w:val="22"/>
        </w:rPr>
        <w:t>制对人们身</w:t>
      </w:r>
      <w:r>
        <w:rPr>
          <w:rFonts w:ascii="宋体" w:eastAsia="宋体" w:hAnsi="宋体" w:cs="宋体"/>
          <w:sz w:val="22"/>
          <w:szCs w:val="22"/>
        </w:rPr>
        <w:t xml:space="preserve"> </w:t>
      </w:r>
      <w:r>
        <w:rPr>
          <w:rFonts w:ascii="宋体" w:eastAsia="宋体" w:hAnsi="宋体" w:cs="宋体"/>
          <w:spacing w:val="-14"/>
          <w:sz w:val="22"/>
          <w:szCs w:val="22"/>
        </w:rPr>
        <w:t>心健康危害较大的烟草业，烈性酒的发展。</w:t>
      </w:r>
    </w:p>
    <w:p w:rsidR="00EA40A3" w:rsidRDefault="00E86C16">
      <w:pPr>
        <w:spacing w:before="79" w:line="247" w:lineRule="auto"/>
        <w:ind w:right="59" w:firstLine="410"/>
        <w:jc w:val="both"/>
        <w:rPr>
          <w:rFonts w:ascii="宋体" w:eastAsia="宋体" w:hAnsi="宋体" w:cs="宋体"/>
          <w:sz w:val="22"/>
          <w:szCs w:val="22"/>
        </w:rPr>
      </w:pPr>
      <w:r>
        <w:rPr>
          <w:rFonts w:ascii="宋体" w:eastAsia="宋体" w:hAnsi="宋体" w:cs="宋体"/>
          <w:spacing w:val="-12"/>
          <w:sz w:val="22"/>
          <w:szCs w:val="22"/>
        </w:rPr>
        <w:t>21.</w:t>
      </w:r>
      <w:r>
        <w:rPr>
          <w:rFonts w:ascii="宋体" w:eastAsia="宋体" w:hAnsi="宋体" w:cs="宋体"/>
          <w:spacing w:val="-19"/>
          <w:sz w:val="22"/>
          <w:szCs w:val="22"/>
        </w:rPr>
        <w:t xml:space="preserve"> </w:t>
      </w:r>
      <w:r>
        <w:rPr>
          <w:rFonts w:ascii="宋体" w:eastAsia="宋体" w:hAnsi="宋体" w:cs="宋体"/>
          <w:spacing w:val="-12"/>
          <w:sz w:val="22"/>
          <w:szCs w:val="22"/>
        </w:rPr>
        <w:t>加强食物市场体系建设，提高食物国际竞争力</w:t>
      </w:r>
      <w:r>
        <w:rPr>
          <w:rFonts w:ascii="宋体" w:eastAsia="宋体" w:hAnsi="宋体" w:cs="宋体"/>
          <w:spacing w:val="-13"/>
          <w:sz w:val="22"/>
          <w:szCs w:val="22"/>
        </w:rPr>
        <w:t>。逐步建立和完善食物产</w:t>
      </w:r>
      <w:r>
        <w:rPr>
          <w:rFonts w:ascii="宋体" w:eastAsia="宋体" w:hAnsi="宋体" w:cs="宋体"/>
          <w:sz w:val="22"/>
          <w:szCs w:val="22"/>
        </w:rPr>
        <w:t xml:space="preserve"> </w:t>
      </w:r>
      <w:r>
        <w:rPr>
          <w:rFonts w:ascii="宋体" w:eastAsia="宋体" w:hAnsi="宋体" w:cs="宋体"/>
          <w:spacing w:val="-13"/>
          <w:sz w:val="22"/>
          <w:szCs w:val="22"/>
        </w:rPr>
        <w:t>地批发市场，城乡集贸市场，连锁超市等零售市场，进行合理布局，形成规范的</w:t>
      </w:r>
      <w:r>
        <w:rPr>
          <w:rFonts w:ascii="宋体" w:eastAsia="宋体" w:hAnsi="宋体" w:cs="宋体"/>
          <w:spacing w:val="10"/>
          <w:sz w:val="22"/>
          <w:szCs w:val="22"/>
        </w:rPr>
        <w:t xml:space="preserve"> </w:t>
      </w:r>
      <w:r>
        <w:rPr>
          <w:rFonts w:ascii="宋体" w:eastAsia="宋体" w:hAnsi="宋体" w:cs="宋体"/>
          <w:spacing w:val="-12"/>
          <w:sz w:val="22"/>
          <w:szCs w:val="22"/>
        </w:rPr>
        <w:t>生产-批发-零售一体化的市场网络。建立食物快捷运输通道，建设发达的食物流</w:t>
      </w:r>
      <w:r>
        <w:rPr>
          <w:rFonts w:ascii="宋体" w:eastAsia="宋体" w:hAnsi="宋体" w:cs="宋体"/>
          <w:sz w:val="22"/>
          <w:szCs w:val="22"/>
        </w:rPr>
        <w:t xml:space="preserve"> </w:t>
      </w:r>
      <w:r>
        <w:rPr>
          <w:rFonts w:ascii="宋体" w:eastAsia="宋体" w:hAnsi="宋体" w:cs="宋体"/>
          <w:spacing w:val="-12"/>
          <w:sz w:val="22"/>
          <w:szCs w:val="22"/>
        </w:rPr>
        <w:t>通体系。参照世界贸易规则，制定我国食物进出口贸易政</w:t>
      </w:r>
      <w:r>
        <w:rPr>
          <w:rFonts w:ascii="宋体" w:eastAsia="宋体" w:hAnsi="宋体" w:cs="宋体"/>
          <w:spacing w:val="-13"/>
          <w:sz w:val="22"/>
          <w:szCs w:val="22"/>
        </w:rPr>
        <w:t>策，采用国际标准进行</w:t>
      </w:r>
      <w:r>
        <w:rPr>
          <w:rFonts w:ascii="宋体" w:eastAsia="宋体" w:hAnsi="宋体" w:cs="宋体"/>
          <w:sz w:val="22"/>
          <w:szCs w:val="22"/>
        </w:rPr>
        <w:t xml:space="preserve"> </w:t>
      </w:r>
      <w:r>
        <w:rPr>
          <w:rFonts w:ascii="宋体" w:eastAsia="宋体" w:hAnsi="宋体" w:cs="宋体"/>
          <w:spacing w:val="-13"/>
          <w:sz w:val="22"/>
          <w:szCs w:val="22"/>
        </w:rPr>
        <w:t>食物生产，加工，发展外向型食品产业。以市场为导向，加强优势食物出口的生</w:t>
      </w:r>
      <w:r>
        <w:rPr>
          <w:rFonts w:ascii="宋体" w:eastAsia="宋体" w:hAnsi="宋体" w:cs="宋体"/>
          <w:spacing w:val="3"/>
          <w:sz w:val="22"/>
          <w:szCs w:val="22"/>
        </w:rPr>
        <w:t xml:space="preserve"> </w:t>
      </w:r>
      <w:r>
        <w:rPr>
          <w:rFonts w:ascii="宋体" w:eastAsia="宋体" w:hAnsi="宋体" w:cs="宋体"/>
          <w:spacing w:val="-13"/>
          <w:sz w:val="22"/>
          <w:szCs w:val="22"/>
        </w:rPr>
        <w:t>产，提高水果、蔬菜、畜产品、水产品等劳动密集型产品的质量，增强国际市场</w:t>
      </w:r>
      <w:r>
        <w:rPr>
          <w:rFonts w:ascii="宋体" w:eastAsia="宋体" w:hAnsi="宋体" w:cs="宋体"/>
          <w:spacing w:val="6"/>
          <w:sz w:val="22"/>
          <w:szCs w:val="22"/>
        </w:rPr>
        <w:t xml:space="preserve"> </w:t>
      </w:r>
      <w:r>
        <w:rPr>
          <w:rFonts w:ascii="宋体" w:eastAsia="宋体" w:hAnsi="宋体" w:cs="宋体"/>
          <w:spacing w:val="-15"/>
          <w:sz w:val="22"/>
          <w:szCs w:val="22"/>
        </w:rPr>
        <w:t>竞争能力。加强对食物进出口的检验检疫。</w:t>
      </w:r>
    </w:p>
    <w:p w:rsidR="00EA40A3" w:rsidRDefault="00E86C16">
      <w:pPr>
        <w:spacing w:before="235" w:line="221" w:lineRule="auto"/>
        <w:rPr>
          <w:rFonts w:ascii="仿宋" w:eastAsia="仿宋" w:hAnsi="仿宋" w:cs="仿宋"/>
          <w:sz w:val="22"/>
          <w:szCs w:val="22"/>
        </w:rPr>
      </w:pPr>
      <w:r>
        <w:rPr>
          <w:rFonts w:ascii="仿宋" w:eastAsia="仿宋" w:hAnsi="仿宋" w:cs="仿宋"/>
          <w:spacing w:val="21"/>
          <w:sz w:val="22"/>
          <w:szCs w:val="22"/>
        </w:rPr>
        <w:t>(二)加强法制建设，保护食物资源环境</w:t>
      </w:r>
    </w:p>
    <w:p w:rsidR="00EA40A3" w:rsidRDefault="00E86C16">
      <w:pPr>
        <w:spacing w:before="197" w:line="248" w:lineRule="auto"/>
        <w:ind w:firstLine="410"/>
        <w:jc w:val="both"/>
        <w:rPr>
          <w:rFonts w:ascii="宋体" w:eastAsia="宋体" w:hAnsi="宋体" w:cs="宋体"/>
          <w:sz w:val="22"/>
          <w:szCs w:val="22"/>
        </w:rPr>
      </w:pPr>
      <w:r>
        <w:rPr>
          <w:rFonts w:ascii="宋体" w:eastAsia="宋体" w:hAnsi="宋体" w:cs="宋体"/>
          <w:spacing w:val="-11"/>
          <w:sz w:val="22"/>
          <w:szCs w:val="22"/>
        </w:rPr>
        <w:t>22.</w:t>
      </w:r>
      <w:r>
        <w:rPr>
          <w:rFonts w:ascii="宋体" w:eastAsia="宋体" w:hAnsi="宋体" w:cs="宋体"/>
          <w:spacing w:val="-29"/>
          <w:sz w:val="22"/>
          <w:szCs w:val="22"/>
        </w:rPr>
        <w:t xml:space="preserve"> </w:t>
      </w:r>
      <w:r>
        <w:rPr>
          <w:rFonts w:ascii="宋体" w:eastAsia="宋体" w:hAnsi="宋体" w:cs="宋体"/>
          <w:spacing w:val="-11"/>
          <w:sz w:val="22"/>
          <w:szCs w:val="22"/>
        </w:rPr>
        <w:t>加强对食物与营养法制建设，完善食物</w:t>
      </w:r>
      <w:r>
        <w:rPr>
          <w:rFonts w:ascii="宋体" w:eastAsia="宋体" w:hAnsi="宋体" w:cs="宋体"/>
          <w:spacing w:val="-12"/>
          <w:sz w:val="22"/>
          <w:szCs w:val="22"/>
        </w:rPr>
        <w:t>与营养标准体系。加快食物与营</w:t>
      </w:r>
      <w:r>
        <w:rPr>
          <w:rFonts w:ascii="宋体" w:eastAsia="宋体" w:hAnsi="宋体" w:cs="宋体"/>
          <w:sz w:val="22"/>
          <w:szCs w:val="22"/>
        </w:rPr>
        <w:t xml:space="preserve"> </w:t>
      </w:r>
      <w:r>
        <w:rPr>
          <w:rFonts w:ascii="宋体" w:eastAsia="宋体" w:hAnsi="宋体" w:cs="宋体"/>
          <w:spacing w:val="-13"/>
          <w:sz w:val="22"/>
          <w:szCs w:val="22"/>
        </w:rPr>
        <w:t>养立法步伐，制定食品管理法规，保证食品安全卫生与人民身体健康。抓紧制定</w:t>
      </w:r>
      <w:r>
        <w:rPr>
          <w:rFonts w:ascii="宋体" w:eastAsia="宋体" w:hAnsi="宋体" w:cs="宋体"/>
          <w:spacing w:val="7"/>
          <w:sz w:val="22"/>
          <w:szCs w:val="22"/>
        </w:rPr>
        <w:t xml:space="preserve"> </w:t>
      </w:r>
      <w:r>
        <w:rPr>
          <w:rFonts w:ascii="宋体" w:eastAsia="宋体" w:hAnsi="宋体" w:cs="宋体"/>
          <w:spacing w:val="-13"/>
          <w:sz w:val="22"/>
          <w:szCs w:val="22"/>
        </w:rPr>
        <w:t>关于营养师、营养标识、儿童营养等方面的法规，把居民营养</w:t>
      </w:r>
      <w:r>
        <w:rPr>
          <w:rFonts w:ascii="宋体" w:eastAsia="宋体" w:hAnsi="宋体" w:cs="宋体"/>
          <w:spacing w:val="-14"/>
          <w:sz w:val="22"/>
          <w:szCs w:val="22"/>
        </w:rPr>
        <w:t>改善工作纳入法制</w:t>
      </w:r>
      <w:r>
        <w:rPr>
          <w:rFonts w:ascii="宋体" w:eastAsia="宋体" w:hAnsi="宋体" w:cs="宋体"/>
          <w:sz w:val="22"/>
          <w:szCs w:val="22"/>
        </w:rPr>
        <w:t xml:space="preserve">  </w:t>
      </w:r>
      <w:r>
        <w:rPr>
          <w:rFonts w:ascii="宋体" w:eastAsia="宋体" w:hAnsi="宋体" w:cs="宋体"/>
          <w:spacing w:val="-11"/>
          <w:sz w:val="22"/>
          <w:szCs w:val="22"/>
        </w:rPr>
        <w:t>化轨道。加强食物生产，加工，流通过程的标准化建设，加快食物质量，安全，</w:t>
      </w:r>
      <w:r>
        <w:rPr>
          <w:rFonts w:ascii="宋体" w:eastAsia="宋体" w:hAnsi="宋体" w:cs="宋体"/>
          <w:spacing w:val="13"/>
          <w:sz w:val="22"/>
          <w:szCs w:val="22"/>
        </w:rPr>
        <w:t xml:space="preserve"> </w:t>
      </w:r>
      <w:r>
        <w:rPr>
          <w:rFonts w:ascii="宋体" w:eastAsia="宋体" w:hAnsi="宋体" w:cs="宋体"/>
          <w:spacing w:val="-13"/>
          <w:sz w:val="22"/>
          <w:szCs w:val="22"/>
        </w:rPr>
        <w:t>卫生的标准体系建设，制定不同类别食物与营养标准，科学的指导食物生产和消</w:t>
      </w:r>
      <w:r>
        <w:rPr>
          <w:rFonts w:ascii="宋体" w:eastAsia="宋体" w:hAnsi="宋体" w:cs="宋体"/>
          <w:spacing w:val="14"/>
          <w:sz w:val="22"/>
          <w:szCs w:val="22"/>
        </w:rPr>
        <w:t xml:space="preserve"> </w:t>
      </w:r>
      <w:r>
        <w:rPr>
          <w:rFonts w:ascii="宋体" w:eastAsia="宋体" w:hAnsi="宋体" w:cs="宋体"/>
          <w:spacing w:val="-13"/>
          <w:sz w:val="22"/>
          <w:szCs w:val="22"/>
        </w:rPr>
        <w:t>费。在大中城市和有条件的地区逐步实行农产品认证制度，规范直接上</w:t>
      </w:r>
      <w:r>
        <w:rPr>
          <w:rFonts w:ascii="宋体" w:eastAsia="宋体" w:hAnsi="宋体" w:cs="宋体"/>
          <w:spacing w:val="-14"/>
          <w:sz w:val="22"/>
          <w:szCs w:val="22"/>
        </w:rPr>
        <w:t>市农产品</w:t>
      </w:r>
      <w:r>
        <w:rPr>
          <w:rFonts w:ascii="宋体" w:eastAsia="宋体" w:hAnsi="宋体" w:cs="宋体"/>
          <w:sz w:val="22"/>
          <w:szCs w:val="22"/>
        </w:rPr>
        <w:t xml:space="preserve"> </w:t>
      </w:r>
      <w:r>
        <w:rPr>
          <w:rFonts w:ascii="宋体" w:eastAsia="宋体" w:hAnsi="宋体" w:cs="宋体"/>
          <w:spacing w:val="-13"/>
          <w:sz w:val="22"/>
          <w:szCs w:val="22"/>
        </w:rPr>
        <w:t>的质量要求。加快食物流通体系的法制建设，规范企业行为，保护生产者与消费</w:t>
      </w:r>
      <w:r>
        <w:rPr>
          <w:rFonts w:ascii="宋体" w:eastAsia="宋体" w:hAnsi="宋体" w:cs="宋体"/>
          <w:spacing w:val="6"/>
          <w:sz w:val="22"/>
          <w:szCs w:val="22"/>
        </w:rPr>
        <w:t xml:space="preserve"> </w:t>
      </w:r>
      <w:r>
        <w:rPr>
          <w:rFonts w:ascii="宋体" w:eastAsia="宋体" w:hAnsi="宋体" w:cs="宋体"/>
          <w:spacing w:val="-20"/>
          <w:sz w:val="22"/>
          <w:szCs w:val="22"/>
        </w:rPr>
        <w:t>者的权益。</w:t>
      </w:r>
    </w:p>
    <w:p w:rsidR="00EA40A3" w:rsidRDefault="00E86C16">
      <w:pPr>
        <w:spacing w:before="34" w:line="249" w:lineRule="auto"/>
        <w:ind w:firstLine="410"/>
        <w:jc w:val="both"/>
        <w:rPr>
          <w:rFonts w:ascii="宋体" w:eastAsia="宋体" w:hAnsi="宋体" w:cs="宋体"/>
          <w:sz w:val="22"/>
          <w:szCs w:val="22"/>
        </w:rPr>
      </w:pPr>
      <w:r>
        <w:rPr>
          <w:rFonts w:ascii="宋体" w:eastAsia="宋体" w:hAnsi="宋体" w:cs="宋体"/>
          <w:spacing w:val="-12"/>
          <w:sz w:val="22"/>
          <w:szCs w:val="22"/>
        </w:rPr>
        <w:t>23.</w:t>
      </w:r>
      <w:r>
        <w:rPr>
          <w:rFonts w:ascii="宋体" w:eastAsia="宋体" w:hAnsi="宋体" w:cs="宋体"/>
          <w:spacing w:val="-34"/>
          <w:sz w:val="22"/>
          <w:szCs w:val="22"/>
        </w:rPr>
        <w:t xml:space="preserve"> </w:t>
      </w:r>
      <w:r>
        <w:rPr>
          <w:rFonts w:ascii="宋体" w:eastAsia="宋体" w:hAnsi="宋体" w:cs="宋体"/>
          <w:spacing w:val="-12"/>
          <w:sz w:val="22"/>
          <w:szCs w:val="22"/>
        </w:rPr>
        <w:t>保护食物资源环境，保障食物质量，安全与卫生。加大耕地、草地、水</w:t>
      </w:r>
      <w:r>
        <w:rPr>
          <w:rFonts w:ascii="宋体" w:eastAsia="宋体" w:hAnsi="宋体" w:cs="宋体"/>
          <w:sz w:val="22"/>
          <w:szCs w:val="22"/>
        </w:rPr>
        <w:t xml:space="preserve">  </w:t>
      </w:r>
      <w:r>
        <w:rPr>
          <w:rFonts w:ascii="宋体" w:eastAsia="宋体" w:hAnsi="宋体" w:cs="宋体"/>
          <w:spacing w:val="-13"/>
          <w:sz w:val="22"/>
          <w:szCs w:val="22"/>
        </w:rPr>
        <w:t>资源等生态建设和环境保护的力度，逐步改善食物资源环境，保证食物资源可持</w:t>
      </w:r>
      <w:r>
        <w:rPr>
          <w:rFonts w:ascii="宋体" w:eastAsia="宋体" w:hAnsi="宋体" w:cs="宋体"/>
          <w:spacing w:val="2"/>
          <w:sz w:val="22"/>
          <w:szCs w:val="22"/>
        </w:rPr>
        <w:t xml:space="preserve"> </w:t>
      </w:r>
      <w:r>
        <w:rPr>
          <w:rFonts w:ascii="宋体" w:eastAsia="宋体" w:hAnsi="宋体" w:cs="宋体"/>
          <w:spacing w:val="-13"/>
          <w:sz w:val="22"/>
          <w:szCs w:val="22"/>
        </w:rPr>
        <w:t>续利用。大力推广节地、节水、节能型等食物生产技术，缓解耕地、水资源紧缺</w:t>
      </w:r>
      <w:r>
        <w:rPr>
          <w:rFonts w:ascii="宋体" w:eastAsia="宋体" w:hAnsi="宋体" w:cs="宋体"/>
          <w:spacing w:val="2"/>
          <w:sz w:val="22"/>
          <w:szCs w:val="22"/>
        </w:rPr>
        <w:t xml:space="preserve"> </w:t>
      </w:r>
      <w:r>
        <w:rPr>
          <w:rFonts w:ascii="宋体" w:eastAsia="宋体" w:hAnsi="宋体" w:cs="宋体"/>
          <w:spacing w:val="-13"/>
          <w:sz w:val="22"/>
          <w:szCs w:val="22"/>
        </w:rPr>
        <w:t>的压力。强化食物生产过程的环境保护，加大食品生产经营企业的治污力度。大</w:t>
      </w:r>
      <w:r>
        <w:rPr>
          <w:rFonts w:ascii="宋体" w:eastAsia="宋体" w:hAnsi="宋体" w:cs="宋体"/>
          <w:spacing w:val="3"/>
          <w:sz w:val="22"/>
          <w:szCs w:val="22"/>
        </w:rPr>
        <w:t xml:space="preserve"> </w:t>
      </w:r>
      <w:r>
        <w:rPr>
          <w:rFonts w:ascii="宋体" w:eastAsia="宋体" w:hAnsi="宋体" w:cs="宋体"/>
          <w:spacing w:val="-7"/>
          <w:sz w:val="22"/>
          <w:szCs w:val="22"/>
        </w:rPr>
        <w:t>力发展无污染，安全优质，营养丰富的食物生产，加快发展绿色食品和有机食</w:t>
      </w:r>
      <w:r>
        <w:rPr>
          <w:rFonts w:ascii="宋体" w:eastAsia="宋体" w:hAnsi="宋体" w:cs="宋体"/>
          <w:spacing w:val="7"/>
          <w:sz w:val="22"/>
          <w:szCs w:val="22"/>
        </w:rPr>
        <w:t xml:space="preserve"> </w:t>
      </w:r>
      <w:r>
        <w:rPr>
          <w:rFonts w:ascii="宋体" w:eastAsia="宋体" w:hAnsi="宋体" w:cs="宋体"/>
          <w:spacing w:val="-13"/>
          <w:sz w:val="22"/>
          <w:szCs w:val="22"/>
        </w:rPr>
        <w:t>品，逐步增加名牌精品食物的市场供给。积极稳妥地发展高质量，高效能的保健</w:t>
      </w:r>
      <w:r>
        <w:rPr>
          <w:rFonts w:ascii="宋体" w:eastAsia="宋体" w:hAnsi="宋体" w:cs="宋体"/>
          <w:spacing w:val="2"/>
          <w:sz w:val="22"/>
          <w:szCs w:val="22"/>
        </w:rPr>
        <w:t xml:space="preserve"> </w:t>
      </w:r>
      <w:r>
        <w:rPr>
          <w:rFonts w:ascii="宋体" w:eastAsia="宋体" w:hAnsi="宋体" w:cs="宋体"/>
          <w:spacing w:val="-11"/>
          <w:sz w:val="22"/>
          <w:szCs w:val="22"/>
        </w:rPr>
        <w:t>食品，满足城乡居民多层次，多样化的需要。加强对食物种植，养殖阶段农药，</w:t>
      </w:r>
      <w:r>
        <w:rPr>
          <w:rFonts w:ascii="宋体" w:eastAsia="宋体" w:hAnsi="宋体" w:cs="宋体"/>
          <w:spacing w:val="13"/>
          <w:sz w:val="22"/>
          <w:szCs w:val="22"/>
        </w:rPr>
        <w:t xml:space="preserve"> </w:t>
      </w:r>
      <w:r>
        <w:rPr>
          <w:rFonts w:ascii="宋体" w:eastAsia="宋体" w:hAnsi="宋体" w:cs="宋体"/>
          <w:spacing w:val="-12"/>
          <w:sz w:val="22"/>
          <w:szCs w:val="22"/>
        </w:rPr>
        <w:t>兽药的管理，完善有关农药，兽药安全使用管理规定。</w:t>
      </w:r>
      <w:r>
        <w:rPr>
          <w:rFonts w:ascii="宋体" w:eastAsia="宋体" w:hAnsi="宋体" w:cs="宋体"/>
          <w:spacing w:val="-13"/>
          <w:sz w:val="22"/>
          <w:szCs w:val="22"/>
        </w:rPr>
        <w:t>建立健全食物质量，安全</w:t>
      </w:r>
      <w:r>
        <w:rPr>
          <w:rFonts w:ascii="宋体" w:eastAsia="宋体" w:hAnsi="宋体" w:cs="宋体"/>
          <w:sz w:val="22"/>
          <w:szCs w:val="22"/>
        </w:rPr>
        <w:t xml:space="preserve"> </w:t>
      </w:r>
      <w:r>
        <w:rPr>
          <w:rFonts w:ascii="宋体" w:eastAsia="宋体" w:hAnsi="宋体" w:cs="宋体"/>
          <w:spacing w:val="-13"/>
          <w:sz w:val="22"/>
          <w:szCs w:val="22"/>
        </w:rPr>
        <w:t>与卫生检验检测体系，加强对食物生产全过程的监督管理，提高食物质量，确保</w:t>
      </w:r>
      <w:r>
        <w:rPr>
          <w:rFonts w:ascii="宋体" w:eastAsia="宋体" w:hAnsi="宋体" w:cs="宋体"/>
          <w:spacing w:val="1"/>
          <w:sz w:val="22"/>
          <w:szCs w:val="22"/>
        </w:rPr>
        <w:t xml:space="preserve"> </w:t>
      </w:r>
      <w:r>
        <w:rPr>
          <w:rFonts w:ascii="宋体" w:eastAsia="宋体" w:hAnsi="宋体" w:cs="宋体"/>
          <w:spacing w:val="-16"/>
          <w:sz w:val="22"/>
          <w:szCs w:val="22"/>
        </w:rPr>
        <w:t>食物安全与卫生。</w:t>
      </w:r>
    </w:p>
    <w:p w:rsidR="00EA40A3" w:rsidRDefault="00E86C16">
      <w:pPr>
        <w:spacing w:before="293" w:line="221" w:lineRule="auto"/>
        <w:rPr>
          <w:rFonts w:ascii="仿宋" w:eastAsia="仿宋" w:hAnsi="仿宋" w:cs="仿宋"/>
          <w:sz w:val="22"/>
          <w:szCs w:val="22"/>
        </w:rPr>
      </w:pPr>
      <w:r>
        <w:rPr>
          <w:rFonts w:ascii="仿宋" w:eastAsia="仿宋" w:hAnsi="仿宋" w:cs="仿宋"/>
          <w:spacing w:val="22"/>
          <w:sz w:val="22"/>
          <w:szCs w:val="22"/>
        </w:rPr>
        <w:t>(三)依靠科技进步，提高全民营养意识</w:t>
      </w:r>
    </w:p>
    <w:p w:rsidR="00EA40A3" w:rsidRDefault="00E86C16">
      <w:pPr>
        <w:spacing w:before="208" w:line="244" w:lineRule="auto"/>
        <w:ind w:right="68" w:firstLine="410"/>
        <w:rPr>
          <w:rFonts w:ascii="宋体" w:eastAsia="宋体" w:hAnsi="宋体" w:cs="宋体"/>
          <w:sz w:val="22"/>
          <w:szCs w:val="22"/>
        </w:rPr>
      </w:pPr>
      <w:r>
        <w:rPr>
          <w:rFonts w:ascii="宋体" w:eastAsia="宋体" w:hAnsi="宋体" w:cs="宋体"/>
          <w:spacing w:val="-12"/>
          <w:sz w:val="22"/>
          <w:szCs w:val="22"/>
        </w:rPr>
        <w:t>24.</w:t>
      </w:r>
      <w:r>
        <w:rPr>
          <w:rFonts w:ascii="宋体" w:eastAsia="宋体" w:hAnsi="宋体" w:cs="宋体"/>
          <w:spacing w:val="-2"/>
          <w:sz w:val="22"/>
          <w:szCs w:val="22"/>
        </w:rPr>
        <w:t xml:space="preserve"> </w:t>
      </w:r>
      <w:r>
        <w:rPr>
          <w:rFonts w:ascii="宋体" w:eastAsia="宋体" w:hAnsi="宋体" w:cs="宋体"/>
          <w:spacing w:val="-12"/>
          <w:sz w:val="22"/>
          <w:szCs w:val="22"/>
        </w:rPr>
        <w:t>加强科技研究，提高食物与营养发展的科技水平。增加食物生产，食品</w:t>
      </w:r>
      <w:r>
        <w:rPr>
          <w:rFonts w:ascii="宋体" w:eastAsia="宋体" w:hAnsi="宋体" w:cs="宋体"/>
          <w:sz w:val="22"/>
          <w:szCs w:val="22"/>
        </w:rPr>
        <w:t xml:space="preserve"> </w:t>
      </w:r>
      <w:r>
        <w:rPr>
          <w:rFonts w:ascii="宋体" w:eastAsia="宋体" w:hAnsi="宋体" w:cs="宋体"/>
          <w:spacing w:val="-13"/>
          <w:sz w:val="22"/>
          <w:szCs w:val="22"/>
        </w:rPr>
        <w:t>工业，食物营养卫生及相关领域前瞻性，战略性，公益性科研投入，加强食物发</w:t>
      </w:r>
    </w:p>
    <w:p w:rsidR="00EA40A3" w:rsidRDefault="00E86C16">
      <w:pPr>
        <w:spacing w:before="104"/>
        <w:ind w:right="90"/>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439</w:t>
      </w:r>
      <w:r>
        <w:rPr>
          <w:rFonts w:ascii="宋体" w:eastAsia="宋体" w:hAnsi="宋体" w:cs="宋体"/>
          <w:spacing w:val="62"/>
          <w:sz w:val="16"/>
          <w:szCs w:val="16"/>
        </w:rPr>
        <w:t xml:space="preserve"> </w:t>
      </w:r>
      <w:r>
        <w:rPr>
          <w:rFonts w:ascii="宋体" w:eastAsia="宋体" w:hAnsi="宋体" w:cs="宋体"/>
          <w:spacing w:val="-14"/>
          <w:sz w:val="16"/>
          <w:szCs w:val="16"/>
        </w:rPr>
        <w:t>·</w:t>
      </w:r>
    </w:p>
    <w:p w:rsidR="00EA40A3" w:rsidRDefault="00EA40A3">
      <w:pPr>
        <w:sectPr w:rsidR="00EA40A3">
          <w:pgSz w:w="9220" w:h="13360"/>
          <w:pgMar w:top="400" w:right="909" w:bottom="400" w:left="979" w:header="0" w:footer="0" w:gutter="0"/>
          <w:cols w:space="720"/>
        </w:sectPr>
      </w:pPr>
    </w:p>
    <w:p w:rsidR="00EA40A3" w:rsidRDefault="00EA40A3">
      <w:pPr>
        <w:spacing w:line="268" w:lineRule="auto"/>
      </w:pPr>
    </w:p>
    <w:p w:rsidR="00EA40A3" w:rsidRDefault="00EA40A3">
      <w:pPr>
        <w:spacing w:line="268" w:lineRule="auto"/>
      </w:pPr>
    </w:p>
    <w:p w:rsidR="00EA40A3" w:rsidRDefault="00E86C16">
      <w:pPr>
        <w:spacing w:before="71" w:line="246" w:lineRule="auto"/>
        <w:ind w:right="97"/>
        <w:jc w:val="both"/>
        <w:rPr>
          <w:rFonts w:ascii="宋体" w:eastAsia="宋体" w:hAnsi="宋体" w:cs="宋体"/>
          <w:sz w:val="22"/>
          <w:szCs w:val="22"/>
        </w:rPr>
      </w:pPr>
      <w:r>
        <w:rPr>
          <w:rFonts w:ascii="宋体" w:eastAsia="宋体" w:hAnsi="宋体" w:cs="宋体"/>
          <w:spacing w:val="-13"/>
          <w:sz w:val="22"/>
          <w:szCs w:val="22"/>
        </w:rPr>
        <w:t>展各领域的基础研究和技术开发工作，促进产、学、研相结合，</w:t>
      </w:r>
      <w:r>
        <w:rPr>
          <w:rFonts w:ascii="宋体" w:eastAsia="宋体" w:hAnsi="宋体" w:cs="宋体"/>
          <w:spacing w:val="-14"/>
          <w:sz w:val="22"/>
          <w:szCs w:val="22"/>
        </w:rPr>
        <w:t>使相关学科相互</w:t>
      </w:r>
      <w:r>
        <w:rPr>
          <w:rFonts w:ascii="宋体" w:eastAsia="宋体" w:hAnsi="宋体" w:cs="宋体"/>
          <w:sz w:val="22"/>
          <w:szCs w:val="22"/>
        </w:rPr>
        <w:t xml:space="preserve"> </w:t>
      </w:r>
      <w:r>
        <w:rPr>
          <w:rFonts w:ascii="宋体" w:eastAsia="宋体" w:hAnsi="宋体" w:cs="宋体"/>
          <w:spacing w:val="-13"/>
          <w:sz w:val="22"/>
          <w:szCs w:val="22"/>
        </w:rPr>
        <w:t>渗透和交融，不断增强开发新产品、新技术、新工艺的能力。加强生物技术、</w:t>
      </w:r>
      <w:r>
        <w:rPr>
          <w:rFonts w:ascii="宋体" w:eastAsia="宋体" w:hAnsi="宋体" w:cs="宋体"/>
          <w:spacing w:val="-14"/>
          <w:sz w:val="22"/>
          <w:szCs w:val="22"/>
        </w:rPr>
        <w:t>信</w:t>
      </w:r>
      <w:r>
        <w:rPr>
          <w:rFonts w:ascii="宋体" w:eastAsia="宋体" w:hAnsi="宋体" w:cs="宋体"/>
          <w:sz w:val="22"/>
          <w:szCs w:val="22"/>
        </w:rPr>
        <w:t xml:space="preserve"> </w:t>
      </w:r>
      <w:r>
        <w:rPr>
          <w:rFonts w:ascii="宋体" w:eastAsia="宋体" w:hAnsi="宋体" w:cs="宋体"/>
          <w:spacing w:val="-13"/>
          <w:sz w:val="22"/>
          <w:szCs w:val="22"/>
        </w:rPr>
        <w:t>息技术等高新技术在食物与营养领域的应用研究，显著提高食物产量、质</w:t>
      </w:r>
      <w:r>
        <w:rPr>
          <w:rFonts w:ascii="宋体" w:eastAsia="宋体" w:hAnsi="宋体" w:cs="宋体"/>
          <w:spacing w:val="-14"/>
          <w:sz w:val="22"/>
          <w:szCs w:val="22"/>
        </w:rPr>
        <w:t>量、安</w:t>
      </w:r>
      <w:r>
        <w:rPr>
          <w:rFonts w:ascii="宋体" w:eastAsia="宋体" w:hAnsi="宋体" w:cs="宋体"/>
          <w:sz w:val="22"/>
          <w:szCs w:val="22"/>
        </w:rPr>
        <w:t xml:space="preserve"> </w:t>
      </w:r>
      <w:r>
        <w:rPr>
          <w:rFonts w:ascii="宋体" w:eastAsia="宋体" w:hAnsi="宋体" w:cs="宋体"/>
          <w:spacing w:val="-13"/>
          <w:sz w:val="22"/>
          <w:szCs w:val="22"/>
        </w:rPr>
        <w:t>全和卫生水平。开展食物，营养与健康的相关研究，培养和造就食品与</w:t>
      </w:r>
      <w:r>
        <w:rPr>
          <w:rFonts w:ascii="宋体" w:eastAsia="宋体" w:hAnsi="宋体" w:cs="宋体"/>
          <w:spacing w:val="-14"/>
          <w:sz w:val="22"/>
          <w:szCs w:val="22"/>
        </w:rPr>
        <w:t>营养科学</w:t>
      </w:r>
      <w:r>
        <w:rPr>
          <w:rFonts w:ascii="宋体" w:eastAsia="宋体" w:hAnsi="宋体" w:cs="宋体"/>
          <w:sz w:val="22"/>
          <w:szCs w:val="22"/>
        </w:rPr>
        <w:t xml:space="preserve"> </w:t>
      </w:r>
      <w:r>
        <w:rPr>
          <w:rFonts w:ascii="宋体" w:eastAsia="宋体" w:hAnsi="宋体" w:cs="宋体"/>
          <w:spacing w:val="-13"/>
          <w:sz w:val="22"/>
          <w:szCs w:val="22"/>
        </w:rPr>
        <w:t>研究领域的高层次人才。吸收发达国家的先进经验，注重引进，消化，吸收国外</w:t>
      </w:r>
      <w:r>
        <w:rPr>
          <w:rFonts w:ascii="宋体" w:eastAsia="宋体" w:hAnsi="宋体" w:cs="宋体"/>
          <w:spacing w:val="16"/>
          <w:sz w:val="22"/>
          <w:szCs w:val="22"/>
        </w:rPr>
        <w:t xml:space="preserve"> </w:t>
      </w:r>
      <w:r>
        <w:rPr>
          <w:rFonts w:ascii="宋体" w:eastAsia="宋体" w:hAnsi="宋体" w:cs="宋体"/>
          <w:spacing w:val="-17"/>
          <w:sz w:val="22"/>
          <w:szCs w:val="22"/>
        </w:rPr>
        <w:t>有关食物与营养的先进技术。</w:t>
      </w:r>
    </w:p>
    <w:p w:rsidR="00EA40A3" w:rsidRDefault="00E86C16">
      <w:pPr>
        <w:spacing w:before="75" w:line="248" w:lineRule="auto"/>
        <w:ind w:right="40" w:firstLine="439"/>
        <w:jc w:val="both"/>
        <w:rPr>
          <w:rFonts w:ascii="宋体" w:eastAsia="宋体" w:hAnsi="宋体" w:cs="宋体"/>
          <w:sz w:val="22"/>
          <w:szCs w:val="22"/>
        </w:rPr>
      </w:pPr>
      <w:r>
        <w:rPr>
          <w:rFonts w:ascii="宋体" w:eastAsia="宋体" w:hAnsi="宋体" w:cs="宋体"/>
          <w:spacing w:val="-6"/>
          <w:sz w:val="22"/>
          <w:szCs w:val="22"/>
        </w:rPr>
        <w:t>25.</w:t>
      </w:r>
      <w:r>
        <w:rPr>
          <w:rFonts w:ascii="宋体" w:eastAsia="宋体" w:hAnsi="宋体" w:cs="宋体"/>
          <w:spacing w:val="-19"/>
          <w:sz w:val="22"/>
          <w:szCs w:val="22"/>
        </w:rPr>
        <w:t xml:space="preserve"> </w:t>
      </w:r>
      <w:r>
        <w:rPr>
          <w:rFonts w:ascii="宋体" w:eastAsia="宋体" w:hAnsi="宋体" w:cs="宋体"/>
          <w:spacing w:val="-6"/>
          <w:sz w:val="22"/>
          <w:szCs w:val="22"/>
        </w:rPr>
        <w:t>全面普及营养知识，提高全民营养意识。加强对居民食物与营养的指</w:t>
      </w:r>
      <w:r>
        <w:rPr>
          <w:rFonts w:ascii="宋体" w:eastAsia="宋体" w:hAnsi="宋体" w:cs="宋体"/>
          <w:sz w:val="22"/>
          <w:szCs w:val="22"/>
        </w:rPr>
        <w:t xml:space="preserve"> </w:t>
      </w:r>
      <w:r>
        <w:rPr>
          <w:rFonts w:ascii="宋体" w:eastAsia="宋体" w:hAnsi="宋体" w:cs="宋体"/>
          <w:spacing w:val="-11"/>
          <w:sz w:val="22"/>
          <w:szCs w:val="22"/>
        </w:rPr>
        <w:t>导，建立用科学的营养知识引导消费和用消费带动生产的新机制，使生产机构，</w:t>
      </w:r>
      <w:r>
        <w:rPr>
          <w:rFonts w:ascii="宋体" w:eastAsia="宋体" w:hAnsi="宋体" w:cs="宋体"/>
          <w:spacing w:val="3"/>
          <w:sz w:val="22"/>
          <w:szCs w:val="22"/>
        </w:rPr>
        <w:t xml:space="preserve"> </w:t>
      </w:r>
      <w:r>
        <w:rPr>
          <w:rFonts w:ascii="宋体" w:eastAsia="宋体" w:hAnsi="宋体" w:cs="宋体"/>
          <w:spacing w:val="-13"/>
          <w:sz w:val="22"/>
          <w:szCs w:val="22"/>
        </w:rPr>
        <w:t>消费机构和营养机构合理协调。开展多种形式，多种类型的营养</w:t>
      </w:r>
      <w:r>
        <w:rPr>
          <w:rFonts w:ascii="宋体" w:eastAsia="宋体" w:hAnsi="宋体" w:cs="宋体"/>
          <w:spacing w:val="-14"/>
          <w:sz w:val="22"/>
          <w:szCs w:val="22"/>
        </w:rPr>
        <w:t>知识教育，充分</w:t>
      </w:r>
      <w:r>
        <w:rPr>
          <w:rFonts w:ascii="宋体" w:eastAsia="宋体" w:hAnsi="宋体" w:cs="宋体"/>
          <w:sz w:val="22"/>
          <w:szCs w:val="22"/>
        </w:rPr>
        <w:t xml:space="preserve"> </w:t>
      </w:r>
      <w:r>
        <w:rPr>
          <w:rFonts w:ascii="宋体" w:eastAsia="宋体" w:hAnsi="宋体" w:cs="宋体"/>
          <w:spacing w:val="-13"/>
          <w:sz w:val="22"/>
          <w:szCs w:val="22"/>
        </w:rPr>
        <w:t>发挥各种新闻媒体的作用，加强营养知识宣传，提高城乡居民的营养科学知识和</w:t>
      </w:r>
      <w:r>
        <w:rPr>
          <w:rFonts w:ascii="宋体" w:eastAsia="宋体" w:hAnsi="宋体" w:cs="宋体"/>
          <w:sz w:val="22"/>
          <w:szCs w:val="22"/>
        </w:rPr>
        <w:t xml:space="preserve"> </w:t>
      </w:r>
      <w:r>
        <w:rPr>
          <w:rFonts w:ascii="宋体" w:eastAsia="宋体" w:hAnsi="宋体" w:cs="宋体"/>
          <w:spacing w:val="-12"/>
          <w:sz w:val="22"/>
          <w:szCs w:val="22"/>
        </w:rPr>
        <w:t>自我保健意识，引导居民的食物消费方向，提高全民科学，合理膳食的自觉性。</w:t>
      </w:r>
      <w:r>
        <w:rPr>
          <w:rFonts w:ascii="宋体" w:eastAsia="宋体" w:hAnsi="宋体" w:cs="宋体"/>
          <w:spacing w:val="18"/>
          <w:sz w:val="22"/>
          <w:szCs w:val="22"/>
        </w:rPr>
        <w:t xml:space="preserve"> </w:t>
      </w:r>
      <w:r>
        <w:rPr>
          <w:rFonts w:ascii="宋体" w:eastAsia="宋体" w:hAnsi="宋体" w:cs="宋体"/>
          <w:spacing w:val="-7"/>
          <w:sz w:val="22"/>
          <w:szCs w:val="22"/>
        </w:rPr>
        <w:t>加强对中小学生和家长的营养知识教育，把营养健康教育纳人中小学教育的内</w:t>
      </w:r>
      <w:r>
        <w:rPr>
          <w:rFonts w:ascii="宋体" w:eastAsia="宋体" w:hAnsi="宋体" w:cs="宋体"/>
          <w:spacing w:val="16"/>
          <w:sz w:val="22"/>
          <w:szCs w:val="22"/>
        </w:rPr>
        <w:t xml:space="preserve"> </w:t>
      </w:r>
      <w:r>
        <w:rPr>
          <w:rFonts w:ascii="宋体" w:eastAsia="宋体" w:hAnsi="宋体" w:cs="宋体"/>
          <w:spacing w:val="-13"/>
          <w:sz w:val="22"/>
          <w:szCs w:val="22"/>
        </w:rPr>
        <w:t>容。提高营养师的社会地位，逐步在医院、幼儿园、学校、企事业</w:t>
      </w:r>
      <w:r>
        <w:rPr>
          <w:rFonts w:ascii="宋体" w:eastAsia="宋体" w:hAnsi="宋体" w:cs="宋体"/>
          <w:spacing w:val="-14"/>
          <w:sz w:val="22"/>
          <w:szCs w:val="22"/>
        </w:rPr>
        <w:t>单位的公共食</w:t>
      </w:r>
      <w:r>
        <w:rPr>
          <w:rFonts w:ascii="宋体" w:eastAsia="宋体" w:hAnsi="宋体" w:cs="宋体"/>
          <w:sz w:val="22"/>
          <w:szCs w:val="22"/>
        </w:rPr>
        <w:t xml:space="preserve"> </w:t>
      </w:r>
      <w:r>
        <w:rPr>
          <w:rFonts w:ascii="宋体" w:eastAsia="宋体" w:hAnsi="宋体" w:cs="宋体"/>
          <w:spacing w:val="-14"/>
          <w:sz w:val="22"/>
          <w:szCs w:val="22"/>
        </w:rPr>
        <w:t>堂及餐饮服务业推行营养师制度。</w:t>
      </w:r>
    </w:p>
    <w:p w:rsidR="00EA40A3" w:rsidRDefault="00E86C16">
      <w:pPr>
        <w:spacing w:before="215" w:line="221" w:lineRule="auto"/>
        <w:rPr>
          <w:rFonts w:ascii="仿宋" w:eastAsia="仿宋" w:hAnsi="仿宋" w:cs="仿宋"/>
          <w:sz w:val="22"/>
          <w:szCs w:val="22"/>
        </w:rPr>
      </w:pPr>
      <w:r>
        <w:rPr>
          <w:rFonts w:ascii="仿宋" w:eastAsia="仿宋" w:hAnsi="仿宋" w:cs="仿宋"/>
          <w:spacing w:val="19"/>
          <w:sz w:val="22"/>
          <w:szCs w:val="22"/>
        </w:rPr>
        <w:t>(四)改善居民营养结构，保障我国食物安全</w:t>
      </w:r>
    </w:p>
    <w:p w:rsidR="00EA40A3" w:rsidRDefault="00E86C16">
      <w:pPr>
        <w:spacing w:before="210" w:line="246" w:lineRule="auto"/>
        <w:ind w:firstLine="439"/>
        <w:jc w:val="both"/>
        <w:rPr>
          <w:rFonts w:ascii="宋体" w:eastAsia="宋体" w:hAnsi="宋体" w:cs="宋体"/>
          <w:sz w:val="22"/>
          <w:szCs w:val="22"/>
        </w:rPr>
      </w:pPr>
      <w:r>
        <w:rPr>
          <w:rFonts w:ascii="宋体" w:eastAsia="宋体" w:hAnsi="宋体" w:cs="宋体"/>
          <w:spacing w:val="-10"/>
          <w:sz w:val="22"/>
          <w:szCs w:val="22"/>
        </w:rPr>
        <w:t>26.</w:t>
      </w:r>
      <w:r>
        <w:rPr>
          <w:rFonts w:ascii="宋体" w:eastAsia="宋体" w:hAnsi="宋体" w:cs="宋体"/>
          <w:spacing w:val="-1"/>
          <w:sz w:val="22"/>
          <w:szCs w:val="22"/>
        </w:rPr>
        <w:t xml:space="preserve"> </w:t>
      </w:r>
      <w:r>
        <w:rPr>
          <w:rFonts w:ascii="宋体" w:eastAsia="宋体" w:hAnsi="宋体" w:cs="宋体"/>
          <w:spacing w:val="-10"/>
          <w:sz w:val="22"/>
          <w:szCs w:val="22"/>
        </w:rPr>
        <w:t>实施有关营养改善行动计划。继续和规范实施国家营养改善行动计划，</w:t>
      </w:r>
      <w:r>
        <w:rPr>
          <w:rFonts w:ascii="宋体" w:eastAsia="宋体" w:hAnsi="宋体" w:cs="宋体"/>
          <w:sz w:val="22"/>
          <w:szCs w:val="22"/>
        </w:rPr>
        <w:t xml:space="preserve"> </w:t>
      </w:r>
      <w:r>
        <w:rPr>
          <w:rFonts w:ascii="宋体" w:eastAsia="宋体" w:hAnsi="宋体" w:cs="宋体"/>
          <w:spacing w:val="-14"/>
          <w:sz w:val="22"/>
          <w:szCs w:val="22"/>
        </w:rPr>
        <w:t>国家大豆行动计划，国家学生饮用奶计划等。积极推广学生营养餐，作为国家营</w:t>
      </w:r>
      <w:r>
        <w:rPr>
          <w:rFonts w:ascii="宋体" w:eastAsia="宋体" w:hAnsi="宋体" w:cs="宋体"/>
          <w:spacing w:val="6"/>
          <w:sz w:val="22"/>
          <w:szCs w:val="22"/>
        </w:rPr>
        <w:t xml:space="preserve">  </w:t>
      </w:r>
      <w:r>
        <w:rPr>
          <w:rFonts w:ascii="宋体" w:eastAsia="宋体" w:hAnsi="宋体" w:cs="宋体"/>
          <w:spacing w:val="-13"/>
          <w:sz w:val="22"/>
          <w:szCs w:val="22"/>
        </w:rPr>
        <w:t>养改善的一项重要工作，成立相应协调机构，制定相关法规，依法加强管理。力</w:t>
      </w:r>
      <w:r>
        <w:rPr>
          <w:rFonts w:ascii="宋体" w:eastAsia="宋体" w:hAnsi="宋体" w:cs="宋体"/>
          <w:sz w:val="22"/>
          <w:szCs w:val="22"/>
        </w:rPr>
        <w:t xml:space="preserve">  </w:t>
      </w:r>
      <w:r>
        <w:rPr>
          <w:rFonts w:ascii="宋体" w:eastAsia="宋体" w:hAnsi="宋体" w:cs="宋体"/>
          <w:spacing w:val="-7"/>
          <w:sz w:val="22"/>
          <w:szCs w:val="22"/>
        </w:rPr>
        <w:t>争到2010年，全国大中城市等要有一半以上的中小学生吃上学生营养餐。在经</w:t>
      </w:r>
      <w:r>
        <w:rPr>
          <w:rFonts w:ascii="宋体" w:eastAsia="宋体" w:hAnsi="宋体" w:cs="宋体"/>
          <w:spacing w:val="5"/>
          <w:sz w:val="22"/>
          <w:szCs w:val="22"/>
        </w:rPr>
        <w:t xml:space="preserve">  </w:t>
      </w:r>
      <w:r>
        <w:rPr>
          <w:rFonts w:ascii="宋体" w:eastAsia="宋体" w:hAnsi="宋体" w:cs="宋体"/>
          <w:spacing w:val="-10"/>
          <w:sz w:val="22"/>
          <w:szCs w:val="22"/>
        </w:rPr>
        <w:t>济落后地区，采取不同形式，保证居民营养供给。对发</w:t>
      </w:r>
      <w:r>
        <w:rPr>
          <w:rFonts w:ascii="宋体" w:eastAsia="宋体" w:hAnsi="宋体" w:cs="宋体"/>
          <w:spacing w:val="-11"/>
          <w:sz w:val="22"/>
          <w:szCs w:val="22"/>
        </w:rPr>
        <w:t>生严重营养不良的地区，</w:t>
      </w:r>
      <w:r>
        <w:rPr>
          <w:rFonts w:ascii="宋体" w:eastAsia="宋体" w:hAnsi="宋体" w:cs="宋体"/>
          <w:sz w:val="22"/>
          <w:szCs w:val="22"/>
        </w:rPr>
        <w:t xml:space="preserve"> </w:t>
      </w:r>
      <w:r>
        <w:rPr>
          <w:rFonts w:ascii="宋体" w:eastAsia="宋体" w:hAnsi="宋体" w:cs="宋体"/>
          <w:spacing w:val="-15"/>
          <w:sz w:val="22"/>
          <w:szCs w:val="22"/>
        </w:rPr>
        <w:t>当地政府要及时采取营养改善措施。</w:t>
      </w:r>
    </w:p>
    <w:p w:rsidR="00EA40A3" w:rsidRDefault="00E86C16">
      <w:pPr>
        <w:spacing w:before="38" w:line="246" w:lineRule="auto"/>
        <w:ind w:right="90" w:firstLine="439"/>
        <w:jc w:val="both"/>
        <w:rPr>
          <w:rFonts w:ascii="宋体" w:eastAsia="宋体" w:hAnsi="宋体" w:cs="宋体"/>
          <w:sz w:val="22"/>
          <w:szCs w:val="22"/>
        </w:rPr>
      </w:pPr>
      <w:r>
        <w:rPr>
          <w:rFonts w:ascii="宋体" w:eastAsia="宋体" w:hAnsi="宋体" w:cs="宋体"/>
          <w:spacing w:val="-12"/>
          <w:sz w:val="22"/>
          <w:szCs w:val="22"/>
        </w:rPr>
        <w:t>27.</w:t>
      </w:r>
      <w:r>
        <w:rPr>
          <w:rFonts w:ascii="宋体" w:eastAsia="宋体" w:hAnsi="宋体" w:cs="宋体"/>
          <w:spacing w:val="-19"/>
          <w:sz w:val="22"/>
          <w:szCs w:val="22"/>
        </w:rPr>
        <w:t xml:space="preserve"> </w:t>
      </w:r>
      <w:r>
        <w:rPr>
          <w:rFonts w:ascii="宋体" w:eastAsia="宋体" w:hAnsi="宋体" w:cs="宋体"/>
          <w:spacing w:val="-12"/>
          <w:sz w:val="22"/>
          <w:szCs w:val="22"/>
        </w:rPr>
        <w:t>加强营养监测，建立食物安全保障系统。建立和完善食物与营</w:t>
      </w:r>
      <w:r>
        <w:rPr>
          <w:rFonts w:ascii="宋体" w:eastAsia="宋体" w:hAnsi="宋体" w:cs="宋体"/>
          <w:spacing w:val="-13"/>
          <w:sz w:val="22"/>
          <w:szCs w:val="22"/>
        </w:rPr>
        <w:t>养监测系</w:t>
      </w:r>
      <w:r>
        <w:rPr>
          <w:rFonts w:ascii="宋体" w:eastAsia="宋体" w:hAnsi="宋体" w:cs="宋体"/>
          <w:sz w:val="22"/>
          <w:szCs w:val="22"/>
        </w:rPr>
        <w:t xml:space="preserve"> </w:t>
      </w:r>
      <w:r>
        <w:rPr>
          <w:rFonts w:ascii="宋体" w:eastAsia="宋体" w:hAnsi="宋体" w:cs="宋体"/>
          <w:spacing w:val="-13"/>
          <w:sz w:val="22"/>
          <w:szCs w:val="22"/>
        </w:rPr>
        <w:t>统，坚持重点监控与系统监测结合，监测不同地区，不同人群的营养</w:t>
      </w:r>
      <w:r>
        <w:rPr>
          <w:rFonts w:ascii="宋体" w:eastAsia="宋体" w:hAnsi="宋体" w:cs="宋体"/>
          <w:spacing w:val="-14"/>
          <w:sz w:val="22"/>
          <w:szCs w:val="22"/>
        </w:rPr>
        <w:t>状况。加强</w:t>
      </w:r>
      <w:r>
        <w:rPr>
          <w:rFonts w:ascii="宋体" w:eastAsia="宋体" w:hAnsi="宋体" w:cs="宋体"/>
          <w:sz w:val="22"/>
          <w:szCs w:val="22"/>
        </w:rPr>
        <w:t xml:space="preserve"> </w:t>
      </w:r>
      <w:r>
        <w:rPr>
          <w:rFonts w:ascii="宋体" w:eastAsia="宋体" w:hAnsi="宋体" w:cs="宋体"/>
          <w:spacing w:val="-13"/>
          <w:sz w:val="22"/>
          <w:szCs w:val="22"/>
        </w:rPr>
        <w:t>全民食物供给和消费安全。要从国内外两种资源，两个市场来考虑我国食</w:t>
      </w:r>
      <w:r>
        <w:rPr>
          <w:rFonts w:ascii="宋体" w:eastAsia="宋体" w:hAnsi="宋体" w:cs="宋体"/>
          <w:spacing w:val="-14"/>
          <w:sz w:val="22"/>
          <w:szCs w:val="22"/>
        </w:rPr>
        <w:t>物的安</w:t>
      </w:r>
      <w:r>
        <w:rPr>
          <w:rFonts w:ascii="宋体" w:eastAsia="宋体" w:hAnsi="宋体" w:cs="宋体"/>
          <w:sz w:val="22"/>
          <w:szCs w:val="22"/>
        </w:rPr>
        <w:t xml:space="preserve"> </w:t>
      </w:r>
      <w:r>
        <w:rPr>
          <w:rFonts w:ascii="宋体" w:eastAsia="宋体" w:hAnsi="宋体" w:cs="宋体"/>
          <w:spacing w:val="-13"/>
          <w:sz w:val="22"/>
          <w:szCs w:val="22"/>
        </w:rPr>
        <w:t>全，密切关注和研究市场变化，重大自然灾害对食物供给带来的</w:t>
      </w:r>
      <w:r>
        <w:rPr>
          <w:rFonts w:ascii="宋体" w:eastAsia="宋体" w:hAnsi="宋体" w:cs="宋体"/>
          <w:spacing w:val="-14"/>
          <w:sz w:val="22"/>
          <w:szCs w:val="22"/>
        </w:rPr>
        <w:t>影响，提前做好</w:t>
      </w:r>
      <w:r>
        <w:rPr>
          <w:rFonts w:ascii="宋体" w:eastAsia="宋体" w:hAnsi="宋体" w:cs="宋体"/>
          <w:sz w:val="22"/>
          <w:szCs w:val="22"/>
        </w:rPr>
        <w:t xml:space="preserve"> </w:t>
      </w:r>
      <w:r>
        <w:rPr>
          <w:rFonts w:ascii="宋体" w:eastAsia="宋体" w:hAnsi="宋体" w:cs="宋体"/>
          <w:spacing w:val="-15"/>
          <w:sz w:val="22"/>
          <w:szCs w:val="22"/>
        </w:rPr>
        <w:t>各种应对准备，确保我国食物安全。</w:t>
      </w:r>
    </w:p>
    <w:p w:rsidR="00EA40A3" w:rsidRDefault="00E86C16">
      <w:pPr>
        <w:spacing w:before="243" w:line="220" w:lineRule="auto"/>
        <w:rPr>
          <w:rFonts w:ascii="仿宋" w:eastAsia="仿宋" w:hAnsi="仿宋" w:cs="仿宋"/>
          <w:sz w:val="22"/>
          <w:szCs w:val="22"/>
        </w:rPr>
      </w:pPr>
      <w:r>
        <w:rPr>
          <w:rFonts w:ascii="仿宋" w:eastAsia="仿宋" w:hAnsi="仿宋" w:cs="仿宋"/>
          <w:spacing w:val="19"/>
          <w:sz w:val="22"/>
          <w:szCs w:val="22"/>
        </w:rPr>
        <w:t>(五)加强对食物与营养工作的领导</w:t>
      </w:r>
    </w:p>
    <w:p w:rsidR="00EA40A3" w:rsidRDefault="00E86C16">
      <w:pPr>
        <w:spacing w:before="213" w:line="247" w:lineRule="auto"/>
        <w:ind w:right="80" w:firstLine="439"/>
        <w:jc w:val="both"/>
        <w:rPr>
          <w:rFonts w:ascii="宋体" w:eastAsia="宋体" w:hAnsi="宋体" w:cs="宋体"/>
          <w:sz w:val="22"/>
          <w:szCs w:val="22"/>
        </w:rPr>
      </w:pPr>
      <w:r>
        <w:rPr>
          <w:rFonts w:ascii="宋体" w:eastAsia="宋体" w:hAnsi="宋体" w:cs="宋体"/>
          <w:spacing w:val="-12"/>
          <w:sz w:val="22"/>
          <w:szCs w:val="22"/>
        </w:rPr>
        <w:t>28.</w:t>
      </w:r>
      <w:r>
        <w:rPr>
          <w:rFonts w:ascii="宋体" w:eastAsia="宋体" w:hAnsi="宋体" w:cs="宋体"/>
          <w:spacing w:val="-14"/>
          <w:sz w:val="22"/>
          <w:szCs w:val="22"/>
        </w:rPr>
        <w:t xml:space="preserve"> </w:t>
      </w:r>
      <w:r>
        <w:rPr>
          <w:rFonts w:ascii="宋体" w:eastAsia="宋体" w:hAnsi="宋体" w:cs="宋体"/>
          <w:spacing w:val="-12"/>
          <w:sz w:val="22"/>
          <w:szCs w:val="22"/>
        </w:rPr>
        <w:t>分级管理，部门分工配合，建立现代食物管理体制。《中国食物与营养</w:t>
      </w:r>
      <w:r>
        <w:rPr>
          <w:rFonts w:ascii="宋体" w:eastAsia="宋体" w:hAnsi="宋体" w:cs="宋体"/>
          <w:sz w:val="22"/>
          <w:szCs w:val="22"/>
        </w:rPr>
        <w:t xml:space="preserve"> </w:t>
      </w:r>
      <w:r>
        <w:rPr>
          <w:rFonts w:ascii="宋体" w:eastAsia="宋体" w:hAnsi="宋体" w:cs="宋体"/>
          <w:spacing w:val="-6"/>
          <w:sz w:val="22"/>
          <w:szCs w:val="22"/>
        </w:rPr>
        <w:t>发展纲要(2001～2010年)》的实施由农业部牵头协调，国务院</w:t>
      </w:r>
      <w:r>
        <w:rPr>
          <w:rFonts w:ascii="宋体" w:eastAsia="宋体" w:hAnsi="宋体" w:cs="宋体"/>
          <w:spacing w:val="-7"/>
          <w:sz w:val="22"/>
          <w:szCs w:val="22"/>
        </w:rPr>
        <w:t>各有关部门要紧</w:t>
      </w:r>
      <w:r>
        <w:rPr>
          <w:rFonts w:ascii="宋体" w:eastAsia="宋体" w:hAnsi="宋体" w:cs="宋体"/>
          <w:sz w:val="22"/>
          <w:szCs w:val="22"/>
        </w:rPr>
        <w:t xml:space="preserve"> </w:t>
      </w:r>
      <w:r>
        <w:rPr>
          <w:rFonts w:ascii="宋体" w:eastAsia="宋体" w:hAnsi="宋体" w:cs="宋体"/>
          <w:spacing w:val="-13"/>
          <w:sz w:val="22"/>
          <w:szCs w:val="22"/>
        </w:rPr>
        <w:t>密协作，积极配合，加强对食物与营养发展工作的指导，进一步发挥国家食物与</w:t>
      </w:r>
      <w:r>
        <w:rPr>
          <w:rFonts w:ascii="宋体" w:eastAsia="宋体" w:hAnsi="宋体" w:cs="宋体"/>
          <w:sz w:val="22"/>
          <w:szCs w:val="22"/>
        </w:rPr>
        <w:t xml:space="preserve"> </w:t>
      </w:r>
      <w:r>
        <w:rPr>
          <w:rFonts w:ascii="宋体" w:eastAsia="宋体" w:hAnsi="宋体" w:cs="宋体"/>
          <w:spacing w:val="-13"/>
          <w:sz w:val="22"/>
          <w:szCs w:val="22"/>
        </w:rPr>
        <w:t>营养咨询委员会的重要作用。地方各级人民政府要高度重视和加</w:t>
      </w:r>
      <w:r>
        <w:rPr>
          <w:rFonts w:ascii="宋体" w:eastAsia="宋体" w:hAnsi="宋体" w:cs="宋体"/>
          <w:spacing w:val="-14"/>
          <w:sz w:val="22"/>
          <w:szCs w:val="22"/>
        </w:rPr>
        <w:t>强食物与营养发</w:t>
      </w:r>
      <w:r>
        <w:rPr>
          <w:rFonts w:ascii="宋体" w:eastAsia="宋体" w:hAnsi="宋体" w:cs="宋体"/>
          <w:sz w:val="22"/>
          <w:szCs w:val="22"/>
        </w:rPr>
        <w:t xml:space="preserve"> </w:t>
      </w:r>
      <w:r>
        <w:rPr>
          <w:rFonts w:ascii="宋体" w:eastAsia="宋体" w:hAnsi="宋体" w:cs="宋体"/>
          <w:spacing w:val="-13"/>
          <w:sz w:val="22"/>
          <w:szCs w:val="22"/>
        </w:rPr>
        <w:t>展工作，结合本地实际，充分考虑不同地区，不同人群的差别和习惯，研究制定</w:t>
      </w:r>
      <w:r>
        <w:rPr>
          <w:rFonts w:ascii="宋体" w:eastAsia="宋体" w:hAnsi="宋体" w:cs="宋体"/>
          <w:spacing w:val="17"/>
          <w:sz w:val="22"/>
          <w:szCs w:val="22"/>
        </w:rPr>
        <w:t xml:space="preserve"> </w:t>
      </w:r>
      <w:r>
        <w:rPr>
          <w:rFonts w:ascii="宋体" w:eastAsia="宋体" w:hAnsi="宋体" w:cs="宋体"/>
          <w:spacing w:val="-13"/>
          <w:sz w:val="22"/>
          <w:szCs w:val="22"/>
        </w:rPr>
        <w:t>本地区的国民经济和社会发展计划。加快我国食物与营养管理体</w:t>
      </w:r>
      <w:r>
        <w:rPr>
          <w:rFonts w:ascii="宋体" w:eastAsia="宋体" w:hAnsi="宋体" w:cs="宋体"/>
          <w:spacing w:val="-14"/>
          <w:sz w:val="22"/>
          <w:szCs w:val="22"/>
        </w:rPr>
        <w:t>制改革，建立现</w:t>
      </w:r>
      <w:r>
        <w:rPr>
          <w:rFonts w:ascii="宋体" w:eastAsia="宋体" w:hAnsi="宋体" w:cs="宋体"/>
          <w:sz w:val="22"/>
          <w:szCs w:val="22"/>
        </w:rPr>
        <w:t xml:space="preserve"> </w:t>
      </w:r>
      <w:r>
        <w:rPr>
          <w:rFonts w:ascii="宋体" w:eastAsia="宋体" w:hAnsi="宋体" w:cs="宋体"/>
          <w:spacing w:val="-13"/>
          <w:sz w:val="22"/>
          <w:szCs w:val="22"/>
        </w:rPr>
        <w:t>代食物发展管理体系，保证食物与营养发展目标的顺利实现。</w:t>
      </w:r>
    </w:p>
    <w:p w:rsidR="00EA40A3" w:rsidRDefault="00E86C16">
      <w:pPr>
        <w:spacing w:before="87"/>
        <w:rPr>
          <w:rFonts w:ascii="宋体" w:eastAsia="宋体" w:hAnsi="宋体" w:cs="宋体"/>
          <w:sz w:val="13"/>
          <w:szCs w:val="13"/>
        </w:rPr>
      </w:pPr>
      <w:r>
        <w:rPr>
          <w:rFonts w:ascii="宋体" w:eastAsia="宋体" w:hAnsi="宋体" w:cs="宋体"/>
          <w:spacing w:val="-11"/>
          <w:sz w:val="13"/>
          <w:szCs w:val="13"/>
        </w:rPr>
        <w:t>·</w:t>
      </w:r>
      <w:r>
        <w:rPr>
          <w:rFonts w:ascii="宋体" w:eastAsia="宋体" w:hAnsi="宋体" w:cs="宋体"/>
          <w:spacing w:val="51"/>
          <w:w w:val="101"/>
          <w:sz w:val="13"/>
          <w:szCs w:val="13"/>
        </w:rPr>
        <w:t xml:space="preserve"> </w:t>
      </w:r>
      <w:r>
        <w:rPr>
          <w:rFonts w:ascii="宋体" w:eastAsia="宋体" w:hAnsi="宋体" w:cs="宋体"/>
          <w:spacing w:val="-11"/>
          <w:sz w:val="13"/>
          <w:szCs w:val="13"/>
        </w:rPr>
        <w:t>440</w:t>
      </w:r>
      <w:r>
        <w:rPr>
          <w:rFonts w:ascii="宋体" w:eastAsia="宋体" w:hAnsi="宋体" w:cs="宋体"/>
          <w:spacing w:val="16"/>
          <w:sz w:val="13"/>
          <w:szCs w:val="13"/>
        </w:rPr>
        <w:t xml:space="preserve">  </w:t>
      </w:r>
      <w:r>
        <w:rPr>
          <w:rFonts w:ascii="宋体" w:eastAsia="宋体" w:hAnsi="宋体" w:cs="宋体"/>
          <w:spacing w:val="-11"/>
          <w:sz w:val="13"/>
          <w:szCs w:val="13"/>
        </w:rPr>
        <w:t>·</w:t>
      </w:r>
    </w:p>
    <w:p w:rsidR="00EA40A3" w:rsidRDefault="00EA40A3">
      <w:pPr>
        <w:sectPr w:rsidR="00EA40A3">
          <w:pgSz w:w="9220" w:h="13360"/>
          <w:pgMar w:top="400" w:right="1129" w:bottom="400" w:left="730" w:header="0" w:footer="0" w:gutter="0"/>
          <w:cols w:space="720"/>
        </w:sectPr>
      </w:pPr>
    </w:p>
    <w:p w:rsidR="00EA40A3" w:rsidRDefault="00EA40A3">
      <w:pPr>
        <w:spacing w:line="270" w:lineRule="auto"/>
      </w:pPr>
    </w:p>
    <w:p w:rsidR="00EA40A3" w:rsidRDefault="00EA40A3">
      <w:pPr>
        <w:spacing w:line="271" w:lineRule="auto"/>
      </w:pPr>
    </w:p>
    <w:p w:rsidR="00EA40A3" w:rsidRDefault="00EA40A3">
      <w:pPr>
        <w:spacing w:line="271" w:lineRule="auto"/>
      </w:pPr>
    </w:p>
    <w:p w:rsidR="00EA40A3" w:rsidRDefault="00EA40A3">
      <w:pPr>
        <w:spacing w:line="271" w:lineRule="auto"/>
      </w:pPr>
    </w:p>
    <w:p w:rsidR="00EA40A3" w:rsidRDefault="00EA40A3">
      <w:pPr>
        <w:spacing w:line="271" w:lineRule="auto"/>
      </w:pPr>
    </w:p>
    <w:p w:rsidR="00EA40A3" w:rsidRDefault="00E86C16">
      <w:pPr>
        <w:spacing w:before="104" w:line="219" w:lineRule="auto"/>
        <w:ind w:left="2204"/>
        <w:rPr>
          <w:rFonts w:ascii="宋体" w:eastAsia="宋体" w:hAnsi="宋体" w:cs="宋体"/>
          <w:sz w:val="32"/>
          <w:szCs w:val="32"/>
        </w:rPr>
      </w:pPr>
      <w:r>
        <w:rPr>
          <w:rFonts w:ascii="宋体" w:eastAsia="宋体" w:hAnsi="宋体" w:cs="宋体"/>
          <w:b/>
          <w:bCs/>
          <w:spacing w:val="-4"/>
          <w:sz w:val="32"/>
          <w:szCs w:val="32"/>
        </w:rPr>
        <w:t>附录5</w:t>
      </w:r>
      <w:r>
        <w:rPr>
          <w:rFonts w:ascii="宋体" w:eastAsia="宋体" w:hAnsi="宋体" w:cs="宋体"/>
          <w:spacing w:val="140"/>
          <w:sz w:val="32"/>
          <w:szCs w:val="32"/>
        </w:rPr>
        <w:t xml:space="preserve"> </w:t>
      </w:r>
      <w:r>
        <w:rPr>
          <w:rFonts w:ascii="宋体" w:eastAsia="宋体" w:hAnsi="宋体" w:cs="宋体"/>
          <w:b/>
          <w:bCs/>
          <w:spacing w:val="-4"/>
          <w:sz w:val="32"/>
          <w:szCs w:val="32"/>
        </w:rPr>
        <w:t>英汉词汇对照</w:t>
      </w:r>
    </w:p>
    <w:p w:rsidR="00EA40A3" w:rsidRDefault="00EA40A3">
      <w:pPr>
        <w:spacing w:line="257" w:lineRule="auto"/>
      </w:pPr>
    </w:p>
    <w:p w:rsidR="00EA40A3" w:rsidRDefault="00E86C16">
      <w:pPr>
        <w:spacing w:before="49" w:line="235" w:lineRule="auto"/>
        <w:rPr>
          <w:rFonts w:ascii="宋体" w:eastAsia="宋体" w:hAnsi="宋体" w:cs="宋体"/>
          <w:sz w:val="15"/>
          <w:szCs w:val="15"/>
        </w:rPr>
      </w:pPr>
      <w:r>
        <w:rPr>
          <w:rFonts w:ascii="宋体" w:eastAsia="宋体" w:hAnsi="宋体" w:cs="宋体"/>
          <w:spacing w:val="-2"/>
          <w:sz w:val="15"/>
          <w:szCs w:val="15"/>
        </w:rPr>
        <w:t>2,3-</w:t>
      </w:r>
      <w:r>
        <w:rPr>
          <w:rFonts w:ascii="宋体" w:eastAsia="宋体" w:hAnsi="宋体" w:cs="宋体"/>
          <w:spacing w:val="-1"/>
          <w:sz w:val="15"/>
          <w:szCs w:val="15"/>
        </w:rPr>
        <w:t>diketo</w:t>
      </w:r>
      <w:r>
        <w:rPr>
          <w:rFonts w:ascii="宋体" w:eastAsia="宋体" w:hAnsi="宋体" w:cs="宋体"/>
          <w:spacing w:val="-2"/>
          <w:sz w:val="15"/>
          <w:szCs w:val="15"/>
        </w:rPr>
        <w:t>-</w:t>
      </w:r>
      <w:r>
        <w:rPr>
          <w:rFonts w:ascii="宋体" w:eastAsia="宋体" w:hAnsi="宋体" w:cs="宋体"/>
          <w:spacing w:val="-1"/>
          <w:sz w:val="15"/>
          <w:szCs w:val="15"/>
        </w:rPr>
        <w:t>gulonic acid</w:t>
      </w:r>
      <w:r>
        <w:rPr>
          <w:rFonts w:ascii="宋体" w:eastAsia="宋体" w:hAnsi="宋体" w:cs="宋体"/>
          <w:spacing w:val="3"/>
          <w:sz w:val="15"/>
          <w:szCs w:val="15"/>
        </w:rPr>
        <w:t xml:space="preserve">  </w:t>
      </w:r>
      <w:r>
        <w:rPr>
          <w:rFonts w:ascii="宋体" w:eastAsia="宋体" w:hAnsi="宋体" w:cs="宋体"/>
          <w:spacing w:val="-2"/>
          <w:sz w:val="15"/>
          <w:szCs w:val="15"/>
        </w:rPr>
        <w:t>2,3-</w:t>
      </w:r>
      <w:r>
        <w:rPr>
          <w:rFonts w:ascii="宋体" w:eastAsia="宋体" w:hAnsi="宋体" w:cs="宋体"/>
          <w:spacing w:val="-28"/>
          <w:sz w:val="15"/>
          <w:szCs w:val="15"/>
        </w:rPr>
        <w:t xml:space="preserve"> </w:t>
      </w:r>
      <w:r>
        <w:rPr>
          <w:rFonts w:ascii="宋体" w:eastAsia="宋体" w:hAnsi="宋体" w:cs="宋体"/>
          <w:spacing w:val="-2"/>
          <w:sz w:val="15"/>
          <w:szCs w:val="15"/>
        </w:rPr>
        <w:t>二酮古洛糖酸</w:t>
      </w:r>
      <w:r>
        <w:rPr>
          <w:rFonts w:ascii="宋体" w:eastAsia="宋体" w:hAnsi="宋体" w:cs="宋体"/>
          <w:spacing w:val="2"/>
          <w:sz w:val="15"/>
          <w:szCs w:val="15"/>
        </w:rPr>
        <w:t xml:space="preserve">         </w:t>
      </w:r>
      <w:r>
        <w:rPr>
          <w:rFonts w:ascii="宋体" w:eastAsia="宋体" w:hAnsi="宋体" w:cs="宋体"/>
          <w:spacing w:val="-1"/>
          <w:sz w:val="15"/>
          <w:szCs w:val="15"/>
        </w:rPr>
        <w:t>basal</w:t>
      </w:r>
      <w:r>
        <w:rPr>
          <w:rFonts w:ascii="宋体" w:eastAsia="宋体" w:hAnsi="宋体" w:cs="宋体"/>
          <w:spacing w:val="31"/>
          <w:sz w:val="15"/>
          <w:szCs w:val="15"/>
        </w:rPr>
        <w:t xml:space="preserve"> </w:t>
      </w:r>
      <w:r>
        <w:rPr>
          <w:rFonts w:ascii="宋体" w:eastAsia="宋体" w:hAnsi="宋体" w:cs="宋体"/>
          <w:spacing w:val="-1"/>
          <w:sz w:val="15"/>
          <w:szCs w:val="15"/>
        </w:rPr>
        <w:t>metabolic</w:t>
      </w:r>
      <w:r>
        <w:rPr>
          <w:rFonts w:ascii="宋体" w:eastAsia="宋体" w:hAnsi="宋体" w:cs="宋体"/>
          <w:spacing w:val="33"/>
          <w:sz w:val="15"/>
          <w:szCs w:val="15"/>
        </w:rPr>
        <w:t xml:space="preserve"> </w:t>
      </w:r>
      <w:r>
        <w:rPr>
          <w:rFonts w:ascii="宋体" w:eastAsia="宋体" w:hAnsi="宋体" w:cs="宋体"/>
          <w:spacing w:val="-1"/>
          <w:sz w:val="15"/>
          <w:szCs w:val="15"/>
        </w:rPr>
        <w:t>ra</w:t>
      </w:r>
      <w:r>
        <w:rPr>
          <w:rFonts w:ascii="宋体" w:eastAsia="宋体" w:hAnsi="宋体" w:cs="宋体"/>
          <w:spacing w:val="-2"/>
          <w:sz w:val="15"/>
          <w:szCs w:val="15"/>
        </w:rPr>
        <w:t>te,BMR</w:t>
      </w:r>
      <w:r>
        <w:rPr>
          <w:rFonts w:ascii="宋体" w:eastAsia="宋体" w:hAnsi="宋体" w:cs="宋体"/>
          <w:spacing w:val="62"/>
          <w:sz w:val="15"/>
          <w:szCs w:val="15"/>
        </w:rPr>
        <w:t xml:space="preserve"> </w:t>
      </w:r>
      <w:r>
        <w:rPr>
          <w:rFonts w:ascii="宋体" w:eastAsia="宋体" w:hAnsi="宋体" w:cs="宋体"/>
          <w:spacing w:val="-2"/>
          <w:sz w:val="15"/>
          <w:szCs w:val="15"/>
        </w:rPr>
        <w:t>基础代谢率</w:t>
      </w:r>
    </w:p>
    <w:p w:rsidR="00EA40A3" w:rsidRDefault="00E86C16">
      <w:pPr>
        <w:spacing w:before="58" w:line="226" w:lineRule="auto"/>
        <w:rPr>
          <w:rFonts w:ascii="宋体" w:eastAsia="宋体" w:hAnsi="宋体" w:cs="宋体"/>
          <w:sz w:val="15"/>
          <w:szCs w:val="15"/>
        </w:rPr>
      </w:pPr>
      <w:r>
        <w:rPr>
          <w:rFonts w:ascii="宋体" w:eastAsia="宋体" w:hAnsi="宋体" w:cs="宋体"/>
          <w:spacing w:val="-3"/>
          <w:sz w:val="15"/>
          <w:szCs w:val="15"/>
        </w:rPr>
        <w:t>2-aminoethylsulfonic acid</w:t>
      </w:r>
      <w:r>
        <w:rPr>
          <w:rFonts w:ascii="宋体" w:eastAsia="宋体" w:hAnsi="宋体" w:cs="宋体"/>
          <w:spacing w:val="3"/>
          <w:sz w:val="15"/>
          <w:szCs w:val="15"/>
        </w:rPr>
        <w:t xml:space="preserve">  </w:t>
      </w:r>
      <w:r>
        <w:rPr>
          <w:rFonts w:ascii="宋体" w:eastAsia="宋体" w:hAnsi="宋体" w:cs="宋体"/>
          <w:spacing w:val="-3"/>
          <w:sz w:val="15"/>
          <w:szCs w:val="15"/>
        </w:rPr>
        <w:t>2-氨基乙磺酸</w:t>
      </w:r>
      <w:r>
        <w:rPr>
          <w:rFonts w:ascii="宋体" w:eastAsia="宋体" w:hAnsi="宋体" w:cs="宋体"/>
          <w:spacing w:val="5"/>
          <w:sz w:val="15"/>
          <w:szCs w:val="15"/>
        </w:rPr>
        <w:t xml:space="preserve">            </w:t>
      </w:r>
      <w:r>
        <w:rPr>
          <w:rFonts w:ascii="宋体" w:eastAsia="宋体" w:hAnsi="宋体" w:cs="宋体"/>
          <w:spacing w:val="-3"/>
          <w:position w:val="1"/>
          <w:sz w:val="15"/>
          <w:szCs w:val="15"/>
        </w:rPr>
        <w:t>basal</w:t>
      </w:r>
      <w:r>
        <w:rPr>
          <w:rFonts w:ascii="宋体" w:eastAsia="宋体" w:hAnsi="宋体" w:cs="宋体"/>
          <w:spacing w:val="25"/>
          <w:position w:val="1"/>
          <w:sz w:val="15"/>
          <w:szCs w:val="15"/>
        </w:rPr>
        <w:t xml:space="preserve">  </w:t>
      </w:r>
      <w:r>
        <w:rPr>
          <w:rFonts w:ascii="宋体" w:eastAsia="宋体" w:hAnsi="宋体" w:cs="宋体"/>
          <w:spacing w:val="-3"/>
          <w:position w:val="1"/>
          <w:sz w:val="15"/>
          <w:szCs w:val="15"/>
        </w:rPr>
        <w:t>metabolism,BM</w:t>
      </w:r>
      <w:r>
        <w:rPr>
          <w:rFonts w:ascii="宋体" w:eastAsia="宋体" w:hAnsi="宋体" w:cs="宋体"/>
          <w:spacing w:val="64"/>
          <w:position w:val="1"/>
          <w:sz w:val="15"/>
          <w:szCs w:val="15"/>
        </w:rPr>
        <w:t xml:space="preserve"> </w:t>
      </w:r>
      <w:r>
        <w:rPr>
          <w:rFonts w:ascii="宋体" w:eastAsia="宋体" w:hAnsi="宋体" w:cs="宋体"/>
          <w:spacing w:val="-4"/>
          <w:position w:val="1"/>
          <w:sz w:val="15"/>
          <w:szCs w:val="15"/>
        </w:rPr>
        <w:t>基础代谢</w:t>
      </w:r>
    </w:p>
    <w:p w:rsidR="00EA40A3" w:rsidRDefault="00E86C16">
      <w:pPr>
        <w:spacing w:before="58" w:line="221" w:lineRule="auto"/>
        <w:rPr>
          <w:rFonts w:ascii="宋体" w:eastAsia="宋体" w:hAnsi="宋体" w:cs="宋体"/>
          <w:sz w:val="15"/>
          <w:szCs w:val="15"/>
        </w:rPr>
      </w:pPr>
      <w:r>
        <w:rPr>
          <w:rFonts w:ascii="宋体" w:eastAsia="宋体" w:hAnsi="宋体" w:cs="宋体"/>
          <w:spacing w:val="-5"/>
          <w:sz w:val="15"/>
          <w:szCs w:val="15"/>
        </w:rPr>
        <w:t>6"-()-maionyglycitein</w:t>
      </w:r>
      <w:r>
        <w:rPr>
          <w:rFonts w:ascii="宋体" w:eastAsia="宋体" w:hAnsi="宋体" w:cs="宋体"/>
          <w:spacing w:val="75"/>
          <w:sz w:val="15"/>
          <w:szCs w:val="15"/>
        </w:rPr>
        <w:t xml:space="preserve"> </w:t>
      </w:r>
      <w:r>
        <w:rPr>
          <w:rFonts w:ascii="宋体" w:eastAsia="宋体" w:hAnsi="宋体" w:cs="宋体"/>
          <w:spacing w:val="-5"/>
          <w:sz w:val="15"/>
          <w:szCs w:val="15"/>
        </w:rPr>
        <w:t>丙二酰黄豆黄素</w:t>
      </w:r>
      <w:r>
        <w:rPr>
          <w:rFonts w:ascii="宋体" w:eastAsia="宋体" w:hAnsi="宋体" w:cs="宋体"/>
          <w:spacing w:val="2"/>
          <w:sz w:val="15"/>
          <w:szCs w:val="15"/>
        </w:rPr>
        <w:t xml:space="preserve">              </w:t>
      </w:r>
      <w:r>
        <w:rPr>
          <w:rFonts w:ascii="宋体" w:eastAsia="宋体" w:hAnsi="宋体" w:cs="宋体"/>
          <w:spacing w:val="-5"/>
          <w:position w:val="1"/>
          <w:sz w:val="15"/>
          <w:szCs w:val="15"/>
        </w:rPr>
        <w:t>beriberi</w:t>
      </w:r>
      <w:r>
        <w:rPr>
          <w:rFonts w:ascii="宋体" w:eastAsia="宋体" w:hAnsi="宋体" w:cs="宋体"/>
          <w:spacing w:val="56"/>
          <w:position w:val="1"/>
          <w:sz w:val="15"/>
          <w:szCs w:val="15"/>
        </w:rPr>
        <w:t xml:space="preserve"> </w:t>
      </w:r>
      <w:r>
        <w:rPr>
          <w:rFonts w:ascii="宋体" w:eastAsia="宋体" w:hAnsi="宋体" w:cs="宋体"/>
          <w:spacing w:val="-5"/>
          <w:position w:val="1"/>
          <w:sz w:val="15"/>
          <w:szCs w:val="15"/>
        </w:rPr>
        <w:t>脚气病</w:t>
      </w:r>
    </w:p>
    <w:p w:rsidR="00EA40A3" w:rsidRDefault="00E86C16">
      <w:pPr>
        <w:spacing w:before="61" w:line="223" w:lineRule="auto"/>
        <w:rPr>
          <w:rFonts w:ascii="宋体" w:eastAsia="宋体" w:hAnsi="宋体" w:cs="宋体"/>
          <w:sz w:val="15"/>
          <w:szCs w:val="15"/>
        </w:rPr>
      </w:pPr>
      <w:r>
        <w:rPr>
          <w:rFonts w:ascii="宋体" w:eastAsia="宋体" w:hAnsi="宋体" w:cs="宋体"/>
          <w:spacing w:val="-2"/>
          <w:sz w:val="15"/>
          <w:szCs w:val="15"/>
        </w:rPr>
        <w:t>6”(-malonydaidzin</w:t>
      </w:r>
      <w:r>
        <w:rPr>
          <w:rFonts w:ascii="宋体" w:eastAsia="宋体" w:hAnsi="宋体" w:cs="宋体"/>
          <w:spacing w:val="60"/>
          <w:sz w:val="15"/>
          <w:szCs w:val="15"/>
        </w:rPr>
        <w:t xml:space="preserve"> </w:t>
      </w:r>
      <w:r>
        <w:rPr>
          <w:rFonts w:ascii="宋体" w:eastAsia="宋体" w:hAnsi="宋体" w:cs="宋体"/>
          <w:spacing w:val="-2"/>
          <w:sz w:val="15"/>
          <w:szCs w:val="15"/>
        </w:rPr>
        <w:t>丙二酰大豆苷</w:t>
      </w:r>
      <w:r>
        <w:rPr>
          <w:rFonts w:ascii="宋体" w:eastAsia="宋体" w:hAnsi="宋体" w:cs="宋体"/>
          <w:spacing w:val="3"/>
          <w:sz w:val="15"/>
          <w:szCs w:val="15"/>
        </w:rPr>
        <w:t xml:space="preserve">                 </w:t>
      </w:r>
      <w:r>
        <w:rPr>
          <w:rFonts w:ascii="宋体" w:eastAsia="宋体" w:hAnsi="宋体" w:cs="宋体"/>
          <w:spacing w:val="-2"/>
          <w:position w:val="1"/>
          <w:sz w:val="15"/>
          <w:szCs w:val="15"/>
        </w:rPr>
        <w:t>bifidin</w:t>
      </w:r>
      <w:r>
        <w:rPr>
          <w:rFonts w:ascii="宋体" w:eastAsia="宋体" w:hAnsi="宋体" w:cs="宋体"/>
          <w:spacing w:val="87"/>
          <w:w w:val="101"/>
          <w:position w:val="1"/>
          <w:sz w:val="15"/>
          <w:szCs w:val="15"/>
        </w:rPr>
        <w:t xml:space="preserve"> </w:t>
      </w:r>
      <w:r>
        <w:rPr>
          <w:rFonts w:ascii="宋体" w:eastAsia="宋体" w:hAnsi="宋体" w:cs="宋体"/>
          <w:spacing w:val="-2"/>
          <w:position w:val="1"/>
          <w:sz w:val="15"/>
          <w:szCs w:val="15"/>
        </w:rPr>
        <w:t>双歧</w:t>
      </w:r>
      <w:r>
        <w:rPr>
          <w:rFonts w:ascii="宋体" w:eastAsia="宋体" w:hAnsi="宋体" w:cs="宋体"/>
          <w:spacing w:val="-3"/>
          <w:position w:val="1"/>
          <w:sz w:val="15"/>
          <w:szCs w:val="15"/>
        </w:rPr>
        <w:t>杆菌素</w:t>
      </w:r>
    </w:p>
    <w:p w:rsidR="00EA40A3" w:rsidRDefault="00E86C16">
      <w:pPr>
        <w:spacing w:before="55" w:line="224" w:lineRule="auto"/>
        <w:rPr>
          <w:rFonts w:ascii="宋体" w:eastAsia="宋体" w:hAnsi="宋体" w:cs="宋体"/>
          <w:sz w:val="15"/>
          <w:szCs w:val="15"/>
        </w:rPr>
      </w:pPr>
      <w:r>
        <w:rPr>
          <w:rFonts w:ascii="宋体" w:eastAsia="宋体" w:hAnsi="宋体" w:cs="宋体"/>
          <w:spacing w:val="-4"/>
          <w:sz w:val="15"/>
          <w:szCs w:val="15"/>
        </w:rPr>
        <w:t>6"-0-malonygenistin</w:t>
      </w:r>
      <w:r>
        <w:rPr>
          <w:rFonts w:ascii="宋体" w:eastAsia="宋体" w:hAnsi="宋体" w:cs="宋体"/>
          <w:spacing w:val="76"/>
          <w:w w:val="101"/>
          <w:sz w:val="15"/>
          <w:szCs w:val="15"/>
        </w:rPr>
        <w:t xml:space="preserve"> </w:t>
      </w:r>
      <w:r>
        <w:rPr>
          <w:rFonts w:ascii="宋体" w:eastAsia="宋体" w:hAnsi="宋体" w:cs="宋体"/>
          <w:spacing w:val="-4"/>
          <w:sz w:val="15"/>
          <w:szCs w:val="15"/>
        </w:rPr>
        <w:t>丙二酰染料木苷</w:t>
      </w:r>
      <w:r>
        <w:rPr>
          <w:rFonts w:ascii="宋体" w:eastAsia="宋体" w:hAnsi="宋体" w:cs="宋体"/>
          <w:spacing w:val="5"/>
          <w:sz w:val="15"/>
          <w:szCs w:val="15"/>
        </w:rPr>
        <w:t xml:space="preserve">              </w:t>
      </w:r>
      <w:r>
        <w:rPr>
          <w:rFonts w:ascii="宋体" w:eastAsia="宋体" w:hAnsi="宋体" w:cs="宋体"/>
          <w:spacing w:val="-4"/>
          <w:position w:val="1"/>
          <w:sz w:val="15"/>
          <w:szCs w:val="15"/>
        </w:rPr>
        <w:t>bioavailability</w:t>
      </w:r>
      <w:r>
        <w:rPr>
          <w:rFonts w:ascii="宋体" w:eastAsia="宋体" w:hAnsi="宋体" w:cs="宋体"/>
          <w:spacing w:val="53"/>
          <w:position w:val="1"/>
          <w:sz w:val="15"/>
          <w:szCs w:val="15"/>
        </w:rPr>
        <w:t xml:space="preserve"> </w:t>
      </w:r>
      <w:r>
        <w:rPr>
          <w:rFonts w:ascii="宋体" w:eastAsia="宋体" w:hAnsi="宋体" w:cs="宋体"/>
          <w:spacing w:val="-4"/>
          <w:position w:val="1"/>
          <w:sz w:val="15"/>
          <w:szCs w:val="15"/>
        </w:rPr>
        <w:t>生物利用率</w:t>
      </w:r>
    </w:p>
    <w:p w:rsidR="00EA40A3" w:rsidRDefault="00E86C16">
      <w:pPr>
        <w:spacing w:before="61" w:line="235" w:lineRule="auto"/>
        <w:rPr>
          <w:rFonts w:ascii="宋体" w:eastAsia="宋体" w:hAnsi="宋体" w:cs="宋体"/>
          <w:sz w:val="15"/>
          <w:szCs w:val="15"/>
        </w:rPr>
      </w:pPr>
      <w:r>
        <w:rPr>
          <w:rFonts w:ascii="宋体" w:eastAsia="宋体" w:hAnsi="宋体" w:cs="宋体"/>
          <w:spacing w:val="-3"/>
          <w:sz w:val="15"/>
          <w:szCs w:val="15"/>
        </w:rPr>
        <w:t>acetyl</w:t>
      </w:r>
      <w:r>
        <w:rPr>
          <w:rFonts w:ascii="宋体" w:eastAsia="宋体" w:hAnsi="宋体" w:cs="宋体"/>
          <w:spacing w:val="17"/>
          <w:sz w:val="15"/>
          <w:szCs w:val="15"/>
        </w:rPr>
        <w:t xml:space="preserve"> </w:t>
      </w:r>
      <w:r>
        <w:rPr>
          <w:rFonts w:ascii="宋体" w:eastAsia="宋体" w:hAnsi="宋体" w:cs="宋体"/>
          <w:spacing w:val="-3"/>
          <w:sz w:val="15"/>
          <w:szCs w:val="15"/>
        </w:rPr>
        <w:t>CoA</w:t>
      </w:r>
      <w:r>
        <w:rPr>
          <w:rFonts w:ascii="宋体" w:eastAsia="宋体" w:hAnsi="宋体" w:cs="宋体"/>
          <w:spacing w:val="51"/>
          <w:w w:val="101"/>
          <w:sz w:val="15"/>
          <w:szCs w:val="15"/>
        </w:rPr>
        <w:t xml:space="preserve"> </w:t>
      </w:r>
      <w:r>
        <w:rPr>
          <w:rFonts w:ascii="宋体" w:eastAsia="宋体" w:hAnsi="宋体" w:cs="宋体"/>
          <w:spacing w:val="-3"/>
          <w:sz w:val="15"/>
          <w:szCs w:val="15"/>
        </w:rPr>
        <w:t>乙</w:t>
      </w:r>
      <w:r>
        <w:rPr>
          <w:rFonts w:ascii="宋体" w:eastAsia="宋体" w:hAnsi="宋体" w:cs="宋体"/>
          <w:spacing w:val="-22"/>
          <w:sz w:val="15"/>
          <w:szCs w:val="15"/>
        </w:rPr>
        <w:t xml:space="preserve"> </w:t>
      </w:r>
      <w:r>
        <w:rPr>
          <w:rFonts w:ascii="宋体" w:eastAsia="宋体" w:hAnsi="宋体" w:cs="宋体"/>
          <w:spacing w:val="-3"/>
          <w:sz w:val="15"/>
          <w:szCs w:val="15"/>
        </w:rPr>
        <w:t>酰CoA</w:t>
      </w:r>
      <w:r>
        <w:rPr>
          <w:rFonts w:ascii="宋体" w:eastAsia="宋体" w:hAnsi="宋体" w:cs="宋体"/>
          <w:spacing w:val="1"/>
          <w:sz w:val="15"/>
          <w:szCs w:val="15"/>
        </w:rPr>
        <w:t xml:space="preserve">                              </w:t>
      </w:r>
      <w:r>
        <w:rPr>
          <w:rFonts w:ascii="宋体" w:eastAsia="宋体" w:hAnsi="宋体" w:cs="宋体"/>
          <w:spacing w:val="-3"/>
          <w:sz w:val="15"/>
          <w:szCs w:val="15"/>
        </w:rPr>
        <w:t>bioflavonoid</w:t>
      </w:r>
      <w:r>
        <w:rPr>
          <w:rFonts w:ascii="宋体" w:eastAsia="宋体" w:hAnsi="宋体" w:cs="宋体"/>
          <w:spacing w:val="51"/>
          <w:sz w:val="15"/>
          <w:szCs w:val="15"/>
        </w:rPr>
        <w:t xml:space="preserve"> </w:t>
      </w:r>
      <w:r>
        <w:rPr>
          <w:rFonts w:ascii="宋体" w:eastAsia="宋体" w:hAnsi="宋体" w:cs="宋体"/>
          <w:spacing w:val="-3"/>
          <w:sz w:val="15"/>
          <w:szCs w:val="15"/>
        </w:rPr>
        <w:t>生物黄酮</w:t>
      </w:r>
    </w:p>
    <w:p w:rsidR="00EA40A3" w:rsidRDefault="00E86C16">
      <w:pPr>
        <w:spacing w:before="54" w:line="227" w:lineRule="auto"/>
        <w:rPr>
          <w:rFonts w:ascii="宋体" w:eastAsia="宋体" w:hAnsi="宋体" w:cs="宋体"/>
          <w:sz w:val="15"/>
          <w:szCs w:val="15"/>
        </w:rPr>
      </w:pPr>
      <w:r>
        <w:rPr>
          <w:rFonts w:ascii="宋体" w:eastAsia="宋体" w:hAnsi="宋体" w:cs="宋体"/>
          <w:sz w:val="15"/>
          <w:szCs w:val="15"/>
        </w:rPr>
        <w:t>acquired  immunodeficiency</w:t>
      </w:r>
      <w:r>
        <w:rPr>
          <w:rFonts w:ascii="宋体" w:eastAsia="宋体" w:hAnsi="宋体" w:cs="宋体"/>
          <w:spacing w:val="72"/>
          <w:w w:val="101"/>
          <w:sz w:val="15"/>
          <w:szCs w:val="15"/>
        </w:rPr>
        <w:t xml:space="preserve"> </w:t>
      </w:r>
      <w:r>
        <w:rPr>
          <w:rFonts w:ascii="宋体" w:eastAsia="宋体" w:hAnsi="宋体" w:cs="宋体"/>
          <w:sz w:val="15"/>
          <w:szCs w:val="15"/>
        </w:rPr>
        <w:t>syndrome</w:t>
      </w:r>
      <w:r>
        <w:rPr>
          <w:rFonts w:ascii="宋体" w:eastAsia="宋体" w:hAnsi="宋体" w:cs="宋体"/>
          <w:spacing w:val="-1"/>
          <w:sz w:val="15"/>
          <w:szCs w:val="15"/>
        </w:rPr>
        <w:t>,</w:t>
      </w:r>
      <w:r>
        <w:rPr>
          <w:rFonts w:ascii="宋体" w:eastAsia="宋体" w:hAnsi="宋体" w:cs="宋体"/>
          <w:sz w:val="15"/>
          <w:szCs w:val="15"/>
        </w:rPr>
        <w:t>AIDS</w:t>
      </w:r>
      <w:r>
        <w:rPr>
          <w:rFonts w:ascii="宋体" w:eastAsia="宋体" w:hAnsi="宋体" w:cs="宋体"/>
          <w:spacing w:val="5"/>
          <w:sz w:val="15"/>
          <w:szCs w:val="15"/>
        </w:rPr>
        <w:t xml:space="preserve">  </w:t>
      </w:r>
      <w:r>
        <w:rPr>
          <w:rFonts w:ascii="宋体" w:eastAsia="宋体" w:hAnsi="宋体" w:cs="宋体"/>
          <w:spacing w:val="-1"/>
          <w:sz w:val="15"/>
          <w:szCs w:val="15"/>
        </w:rPr>
        <w:t>艾</w:t>
      </w:r>
      <w:r>
        <w:rPr>
          <w:rFonts w:ascii="宋体" w:eastAsia="宋体" w:hAnsi="宋体" w:cs="宋体"/>
          <w:spacing w:val="8"/>
          <w:sz w:val="15"/>
          <w:szCs w:val="15"/>
        </w:rPr>
        <w:t xml:space="preserve"> </w:t>
      </w:r>
      <w:r>
        <w:rPr>
          <w:rFonts w:ascii="宋体" w:eastAsia="宋体" w:hAnsi="宋体" w:cs="宋体"/>
          <w:spacing w:val="-1"/>
          <w:sz w:val="15"/>
          <w:szCs w:val="15"/>
        </w:rPr>
        <w:t>滋</w:t>
      </w:r>
      <w:r>
        <w:rPr>
          <w:rFonts w:ascii="宋体" w:eastAsia="宋体" w:hAnsi="宋体" w:cs="宋体"/>
          <w:spacing w:val="67"/>
          <w:w w:val="101"/>
          <w:sz w:val="15"/>
          <w:szCs w:val="15"/>
        </w:rPr>
        <w:t xml:space="preserve"> </w:t>
      </w:r>
      <w:r>
        <w:rPr>
          <w:rFonts w:ascii="宋体" w:eastAsia="宋体" w:hAnsi="宋体" w:cs="宋体"/>
          <w:position w:val="1"/>
          <w:sz w:val="15"/>
          <w:szCs w:val="15"/>
        </w:rPr>
        <w:t>biological</w:t>
      </w:r>
      <w:r>
        <w:rPr>
          <w:rFonts w:ascii="宋体" w:eastAsia="宋体" w:hAnsi="宋体" w:cs="宋体"/>
          <w:spacing w:val="5"/>
          <w:position w:val="1"/>
          <w:sz w:val="15"/>
          <w:szCs w:val="15"/>
        </w:rPr>
        <w:t xml:space="preserve"> </w:t>
      </w:r>
      <w:r>
        <w:rPr>
          <w:rFonts w:ascii="宋体" w:eastAsia="宋体" w:hAnsi="宋体" w:cs="宋体"/>
          <w:position w:val="1"/>
          <w:sz w:val="15"/>
          <w:szCs w:val="15"/>
        </w:rPr>
        <w:t>va</w:t>
      </w:r>
      <w:r>
        <w:rPr>
          <w:rFonts w:ascii="宋体" w:eastAsia="宋体" w:hAnsi="宋体" w:cs="宋体"/>
          <w:spacing w:val="-1"/>
          <w:position w:val="1"/>
          <w:sz w:val="15"/>
          <w:szCs w:val="15"/>
        </w:rPr>
        <w:t>lue,BV</w:t>
      </w:r>
      <w:r>
        <w:rPr>
          <w:rFonts w:ascii="宋体" w:eastAsia="宋体" w:hAnsi="宋体" w:cs="宋体"/>
          <w:spacing w:val="33"/>
          <w:w w:val="101"/>
          <w:position w:val="1"/>
          <w:sz w:val="15"/>
          <w:szCs w:val="15"/>
        </w:rPr>
        <w:t xml:space="preserve"> </w:t>
      </w:r>
      <w:r>
        <w:rPr>
          <w:rFonts w:ascii="宋体" w:eastAsia="宋体" w:hAnsi="宋体" w:cs="宋体"/>
          <w:spacing w:val="-1"/>
          <w:position w:val="1"/>
          <w:sz w:val="15"/>
          <w:szCs w:val="15"/>
        </w:rPr>
        <w:t>生物价</w:t>
      </w:r>
    </w:p>
    <w:p w:rsidR="00EA40A3" w:rsidRDefault="00E86C16">
      <w:pPr>
        <w:spacing w:before="61" w:line="231" w:lineRule="auto"/>
        <w:ind w:left="190"/>
        <w:rPr>
          <w:rFonts w:ascii="宋体" w:eastAsia="宋体" w:hAnsi="宋体" w:cs="宋体"/>
          <w:sz w:val="15"/>
          <w:szCs w:val="15"/>
        </w:rPr>
      </w:pPr>
      <w:r>
        <w:rPr>
          <w:rFonts w:ascii="宋体" w:eastAsia="宋体" w:hAnsi="宋体" w:cs="宋体"/>
          <w:spacing w:val="3"/>
          <w:position w:val="-2"/>
          <w:sz w:val="15"/>
          <w:szCs w:val="15"/>
        </w:rPr>
        <w:t>病——获得性免疫缺陷综合征</w:t>
      </w:r>
      <w:r>
        <w:rPr>
          <w:rFonts w:ascii="宋体" w:eastAsia="宋体" w:hAnsi="宋体" w:cs="宋体"/>
          <w:spacing w:val="2"/>
          <w:position w:val="-2"/>
          <w:sz w:val="15"/>
          <w:szCs w:val="15"/>
        </w:rPr>
        <w:t xml:space="preserve">                   </w:t>
      </w:r>
      <w:r>
        <w:rPr>
          <w:rFonts w:ascii="宋体" w:eastAsia="宋体" w:hAnsi="宋体" w:cs="宋体"/>
          <w:position w:val="1"/>
          <w:sz w:val="15"/>
          <w:szCs w:val="15"/>
        </w:rPr>
        <w:t>bionic</w:t>
      </w:r>
      <w:r>
        <w:rPr>
          <w:rFonts w:ascii="宋体" w:eastAsia="宋体" w:hAnsi="宋体" w:cs="宋体"/>
          <w:spacing w:val="8"/>
          <w:position w:val="1"/>
          <w:sz w:val="15"/>
          <w:szCs w:val="15"/>
        </w:rPr>
        <w:t xml:space="preserve"> </w:t>
      </w:r>
      <w:r>
        <w:rPr>
          <w:rFonts w:ascii="宋体" w:eastAsia="宋体" w:hAnsi="宋体" w:cs="宋体"/>
          <w:position w:val="1"/>
          <w:sz w:val="15"/>
          <w:szCs w:val="15"/>
        </w:rPr>
        <w:t>food</w:t>
      </w:r>
      <w:r>
        <w:rPr>
          <w:rFonts w:ascii="宋体" w:eastAsia="宋体" w:hAnsi="宋体" w:cs="宋体"/>
          <w:spacing w:val="62"/>
          <w:position w:val="1"/>
          <w:sz w:val="15"/>
          <w:szCs w:val="15"/>
        </w:rPr>
        <w:t xml:space="preserve"> </w:t>
      </w:r>
      <w:r>
        <w:rPr>
          <w:rFonts w:ascii="宋体" w:eastAsia="宋体" w:hAnsi="宋体" w:cs="宋体"/>
          <w:spacing w:val="3"/>
          <w:position w:val="1"/>
          <w:sz w:val="15"/>
          <w:szCs w:val="15"/>
        </w:rPr>
        <w:t>仿生食品</w:t>
      </w:r>
    </w:p>
    <w:p w:rsidR="00EA40A3" w:rsidRDefault="00E86C16">
      <w:pPr>
        <w:spacing w:before="31" w:line="222" w:lineRule="auto"/>
        <w:rPr>
          <w:rFonts w:ascii="宋体" w:eastAsia="宋体" w:hAnsi="宋体" w:cs="宋体"/>
          <w:sz w:val="15"/>
          <w:szCs w:val="15"/>
        </w:rPr>
      </w:pPr>
      <w:r>
        <w:rPr>
          <w:rFonts w:ascii="宋体" w:eastAsia="宋体" w:hAnsi="宋体" w:cs="宋体"/>
          <w:spacing w:val="-2"/>
          <w:position w:val="-1"/>
          <w:sz w:val="15"/>
          <w:szCs w:val="15"/>
        </w:rPr>
        <w:t>adaptive</w:t>
      </w:r>
      <w:r>
        <w:rPr>
          <w:rFonts w:ascii="宋体" w:eastAsia="宋体" w:hAnsi="宋体" w:cs="宋体"/>
          <w:spacing w:val="27"/>
          <w:position w:val="-1"/>
          <w:sz w:val="15"/>
          <w:szCs w:val="15"/>
        </w:rPr>
        <w:t xml:space="preserve"> </w:t>
      </w:r>
      <w:r>
        <w:rPr>
          <w:rFonts w:ascii="宋体" w:eastAsia="宋体" w:hAnsi="宋体" w:cs="宋体"/>
          <w:spacing w:val="-2"/>
          <w:position w:val="-1"/>
          <w:sz w:val="15"/>
          <w:szCs w:val="15"/>
        </w:rPr>
        <w:t>immunity</w:t>
      </w:r>
      <w:r>
        <w:rPr>
          <w:rFonts w:ascii="宋体" w:eastAsia="宋体" w:hAnsi="宋体" w:cs="宋体"/>
          <w:spacing w:val="60"/>
          <w:position w:val="-1"/>
          <w:sz w:val="15"/>
          <w:szCs w:val="15"/>
        </w:rPr>
        <w:t xml:space="preserve"> </w:t>
      </w:r>
      <w:r>
        <w:rPr>
          <w:rFonts w:ascii="宋体" w:eastAsia="宋体" w:hAnsi="宋体" w:cs="宋体"/>
          <w:spacing w:val="-2"/>
          <w:position w:val="-1"/>
          <w:sz w:val="15"/>
          <w:szCs w:val="15"/>
        </w:rPr>
        <w:t>适应性免疫</w:t>
      </w:r>
      <w:r>
        <w:rPr>
          <w:rFonts w:ascii="宋体" w:eastAsia="宋体" w:hAnsi="宋体" w:cs="宋体"/>
          <w:spacing w:val="2"/>
          <w:position w:val="-1"/>
          <w:sz w:val="15"/>
          <w:szCs w:val="15"/>
        </w:rPr>
        <w:t xml:space="preserve">                    </w:t>
      </w:r>
      <w:r>
        <w:rPr>
          <w:rFonts w:ascii="宋体" w:eastAsia="宋体" w:hAnsi="宋体" w:cs="宋体"/>
          <w:spacing w:val="-2"/>
          <w:position w:val="2"/>
          <w:sz w:val="15"/>
          <w:szCs w:val="15"/>
        </w:rPr>
        <w:t>biotin</w:t>
      </w:r>
      <w:r>
        <w:rPr>
          <w:rFonts w:ascii="宋体" w:eastAsia="宋体" w:hAnsi="宋体" w:cs="宋体"/>
          <w:spacing w:val="73"/>
          <w:w w:val="101"/>
          <w:position w:val="2"/>
          <w:sz w:val="15"/>
          <w:szCs w:val="15"/>
        </w:rPr>
        <w:t xml:space="preserve"> </w:t>
      </w:r>
      <w:r>
        <w:rPr>
          <w:rFonts w:ascii="宋体" w:eastAsia="宋体" w:hAnsi="宋体" w:cs="宋体"/>
          <w:spacing w:val="-2"/>
          <w:position w:val="2"/>
          <w:sz w:val="15"/>
          <w:szCs w:val="15"/>
        </w:rPr>
        <w:t>生物素</w:t>
      </w:r>
    </w:p>
    <w:p w:rsidR="00EA40A3" w:rsidRDefault="00E86C16">
      <w:pPr>
        <w:spacing w:before="36" w:line="233" w:lineRule="auto"/>
        <w:rPr>
          <w:rFonts w:ascii="宋体" w:eastAsia="宋体" w:hAnsi="宋体" w:cs="宋体"/>
          <w:sz w:val="15"/>
          <w:szCs w:val="15"/>
        </w:rPr>
      </w:pPr>
      <w:r>
        <w:rPr>
          <w:rFonts w:ascii="Times New Roman" w:eastAsia="Times New Roman" w:hAnsi="Times New Roman" w:cs="Times New Roman"/>
          <w:spacing w:val="-1"/>
          <w:sz w:val="15"/>
          <w:szCs w:val="15"/>
        </w:rPr>
        <w:t>adenosine</w:t>
      </w:r>
      <w:r>
        <w:rPr>
          <w:rFonts w:ascii="Times New Roman" w:eastAsia="Times New Roman" w:hAnsi="Times New Roman" w:cs="Times New Roman"/>
          <w:spacing w:val="15"/>
          <w:w w:val="102"/>
          <w:sz w:val="15"/>
          <w:szCs w:val="15"/>
        </w:rPr>
        <w:t xml:space="preserve">  </w:t>
      </w:r>
      <w:r>
        <w:rPr>
          <w:rFonts w:ascii="Times New Roman" w:eastAsia="Times New Roman" w:hAnsi="Times New Roman" w:cs="Times New Roman"/>
          <w:spacing w:val="-2"/>
          <w:sz w:val="15"/>
          <w:szCs w:val="15"/>
        </w:rPr>
        <w:t>3,5</w:t>
      </w:r>
      <w:r>
        <w:rPr>
          <w:rFonts w:ascii="Times New Roman" w:eastAsia="Times New Roman" w:hAnsi="Times New Roman" w:cs="Times New Roman"/>
          <w:spacing w:val="17"/>
          <w:w w:val="102"/>
          <w:sz w:val="15"/>
          <w:szCs w:val="15"/>
          <w:u w:val="single"/>
        </w:rPr>
        <w:t xml:space="preserve"> </w:t>
      </w:r>
      <w:r>
        <w:rPr>
          <w:rFonts w:ascii="Times New Roman" w:eastAsia="Times New Roman" w:hAnsi="Times New Roman" w:cs="Times New Roman"/>
          <w:spacing w:val="-1"/>
          <w:sz w:val="15"/>
          <w:szCs w:val="15"/>
        </w:rPr>
        <w:t>cylic</w:t>
      </w:r>
      <w:r>
        <w:rPr>
          <w:rFonts w:ascii="Times New Roman" w:eastAsia="Times New Roman" w:hAnsi="Times New Roman" w:cs="Times New Roman"/>
          <w:spacing w:val="13"/>
          <w:w w:val="101"/>
          <w:sz w:val="15"/>
          <w:szCs w:val="15"/>
        </w:rPr>
        <w:t xml:space="preserve">  </w:t>
      </w:r>
      <w:r>
        <w:rPr>
          <w:rFonts w:ascii="Times New Roman" w:eastAsia="Times New Roman" w:hAnsi="Times New Roman" w:cs="Times New Roman"/>
          <w:spacing w:val="-1"/>
          <w:sz w:val="15"/>
          <w:szCs w:val="15"/>
        </w:rPr>
        <w:t>monophosphat</w:t>
      </w:r>
      <w:r>
        <w:rPr>
          <w:rFonts w:ascii="Times New Roman" w:eastAsia="Times New Roman" w:hAnsi="Times New Roman" w:cs="Times New Roman"/>
          <w:spacing w:val="-2"/>
          <w:sz w:val="15"/>
          <w:szCs w:val="15"/>
        </w:rPr>
        <w:t>e</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pacing w:val="-2"/>
          <w:sz w:val="15"/>
          <w:szCs w:val="15"/>
        </w:rPr>
        <w:t>or</w:t>
      </w:r>
      <w:r>
        <w:rPr>
          <w:rFonts w:ascii="Times New Roman" w:eastAsia="Times New Roman" w:hAnsi="Times New Roman" w:cs="Times New Roman"/>
          <w:spacing w:val="15"/>
          <w:sz w:val="15"/>
          <w:szCs w:val="15"/>
        </w:rPr>
        <w:t xml:space="preserve">  </w:t>
      </w:r>
      <w:r>
        <w:rPr>
          <w:rFonts w:ascii="Times New Roman" w:eastAsia="Times New Roman" w:hAnsi="Times New Roman" w:cs="Times New Roman"/>
          <w:spacing w:val="-2"/>
          <w:sz w:val="15"/>
          <w:szCs w:val="15"/>
        </w:rPr>
        <w:t>cyclic</w:t>
      </w:r>
      <w:r>
        <w:rPr>
          <w:rFonts w:ascii="Times New Roman" w:eastAsia="Times New Roman" w:hAnsi="Times New Roman" w:cs="Times New Roman"/>
          <w:spacing w:val="15"/>
          <w:w w:val="101"/>
          <w:sz w:val="15"/>
          <w:szCs w:val="15"/>
        </w:rPr>
        <w:t xml:space="preserve">  </w:t>
      </w:r>
      <w:r>
        <w:rPr>
          <w:rFonts w:ascii="Times New Roman" w:eastAsia="Times New Roman" w:hAnsi="Times New Roman" w:cs="Times New Roman"/>
          <w:spacing w:val="-2"/>
          <w:sz w:val="15"/>
          <w:szCs w:val="15"/>
        </w:rPr>
        <w:t>adenylic</w:t>
      </w:r>
      <w:r>
        <w:rPr>
          <w:rFonts w:ascii="Times New Roman" w:eastAsia="Times New Roman" w:hAnsi="Times New Roman" w:cs="Times New Roman"/>
          <w:spacing w:val="3"/>
          <w:sz w:val="15"/>
          <w:szCs w:val="15"/>
        </w:rPr>
        <w:t xml:space="preserve">    </w:t>
      </w:r>
      <w:r>
        <w:rPr>
          <w:rFonts w:ascii="宋体" w:eastAsia="宋体" w:hAnsi="宋体" w:cs="宋体"/>
          <w:spacing w:val="-2"/>
          <w:position w:val="1"/>
          <w:sz w:val="15"/>
          <w:szCs w:val="15"/>
        </w:rPr>
        <w:t>Bitot's</w:t>
      </w:r>
      <w:r>
        <w:rPr>
          <w:rFonts w:ascii="宋体" w:eastAsia="宋体" w:hAnsi="宋体" w:cs="宋体"/>
          <w:spacing w:val="6"/>
          <w:position w:val="1"/>
          <w:sz w:val="15"/>
          <w:szCs w:val="15"/>
        </w:rPr>
        <w:t xml:space="preserve"> </w:t>
      </w:r>
      <w:r>
        <w:rPr>
          <w:rFonts w:ascii="宋体" w:eastAsia="宋体" w:hAnsi="宋体" w:cs="宋体"/>
          <w:spacing w:val="-2"/>
          <w:position w:val="1"/>
          <w:sz w:val="15"/>
          <w:szCs w:val="15"/>
        </w:rPr>
        <w:t>spots</w:t>
      </w:r>
      <w:r>
        <w:rPr>
          <w:rFonts w:ascii="宋体" w:eastAsia="宋体" w:hAnsi="宋体" w:cs="宋体"/>
          <w:spacing w:val="65"/>
          <w:position w:val="1"/>
          <w:sz w:val="15"/>
          <w:szCs w:val="15"/>
        </w:rPr>
        <w:t xml:space="preserve"> </w:t>
      </w:r>
      <w:r>
        <w:rPr>
          <w:rFonts w:ascii="宋体" w:eastAsia="宋体" w:hAnsi="宋体" w:cs="宋体"/>
          <w:spacing w:val="-2"/>
          <w:position w:val="1"/>
          <w:sz w:val="15"/>
          <w:szCs w:val="15"/>
        </w:rPr>
        <w:t>毕脱氏斑</w:t>
      </w:r>
    </w:p>
    <w:p w:rsidR="00EA40A3" w:rsidRDefault="00E86C16">
      <w:pPr>
        <w:spacing w:before="61" w:line="218" w:lineRule="auto"/>
        <w:ind w:left="190"/>
        <w:rPr>
          <w:rFonts w:ascii="宋体" w:eastAsia="宋体" w:hAnsi="宋体" w:cs="宋体"/>
          <w:sz w:val="15"/>
          <w:szCs w:val="15"/>
        </w:rPr>
      </w:pPr>
      <w:r>
        <w:rPr>
          <w:rFonts w:ascii="宋体" w:eastAsia="宋体" w:hAnsi="宋体" w:cs="宋体"/>
          <w:position w:val="-2"/>
          <w:sz w:val="15"/>
          <w:szCs w:val="15"/>
        </w:rPr>
        <w:t>acid</w:t>
      </w:r>
      <w:r>
        <w:rPr>
          <w:rFonts w:ascii="宋体" w:eastAsia="宋体" w:hAnsi="宋体" w:cs="宋体"/>
          <w:spacing w:val="7"/>
          <w:position w:val="-2"/>
          <w:sz w:val="15"/>
          <w:szCs w:val="15"/>
        </w:rPr>
        <w:t>,</w:t>
      </w:r>
      <w:r>
        <w:rPr>
          <w:rFonts w:ascii="宋体" w:eastAsia="宋体" w:hAnsi="宋体" w:cs="宋体"/>
          <w:position w:val="-2"/>
          <w:sz w:val="15"/>
          <w:szCs w:val="15"/>
        </w:rPr>
        <w:t xml:space="preserve">cAMP    </w:t>
      </w:r>
      <w:r>
        <w:rPr>
          <w:rFonts w:ascii="宋体" w:eastAsia="宋体" w:hAnsi="宋体" w:cs="宋体"/>
          <w:spacing w:val="7"/>
          <w:position w:val="-2"/>
          <w:sz w:val="15"/>
          <w:szCs w:val="15"/>
        </w:rPr>
        <w:t>环磷酸腺苷，环腺苷酸</w:t>
      </w:r>
      <w:r>
        <w:rPr>
          <w:rFonts w:ascii="宋体" w:eastAsia="宋体" w:hAnsi="宋体" w:cs="宋体"/>
          <w:spacing w:val="5"/>
          <w:position w:val="-2"/>
          <w:sz w:val="15"/>
          <w:szCs w:val="15"/>
        </w:rPr>
        <w:t xml:space="preserve">            </w:t>
      </w:r>
      <w:r>
        <w:rPr>
          <w:rFonts w:ascii="宋体" w:eastAsia="宋体" w:hAnsi="宋体" w:cs="宋体"/>
          <w:position w:val="2"/>
          <w:sz w:val="15"/>
          <w:szCs w:val="15"/>
        </w:rPr>
        <w:t>body</w:t>
      </w:r>
      <w:r>
        <w:rPr>
          <w:rFonts w:ascii="宋体" w:eastAsia="宋体" w:hAnsi="宋体" w:cs="宋体"/>
          <w:spacing w:val="65"/>
          <w:position w:val="2"/>
          <w:sz w:val="15"/>
          <w:szCs w:val="15"/>
        </w:rPr>
        <w:t xml:space="preserve"> </w:t>
      </w:r>
      <w:r>
        <w:rPr>
          <w:rFonts w:ascii="宋体" w:eastAsia="宋体" w:hAnsi="宋体" w:cs="宋体"/>
          <w:position w:val="2"/>
          <w:sz w:val="15"/>
          <w:szCs w:val="15"/>
        </w:rPr>
        <w:t>mass</w:t>
      </w:r>
      <w:r>
        <w:rPr>
          <w:rFonts w:ascii="宋体" w:eastAsia="宋体" w:hAnsi="宋体" w:cs="宋体"/>
          <w:spacing w:val="72"/>
          <w:position w:val="2"/>
          <w:sz w:val="15"/>
          <w:szCs w:val="15"/>
        </w:rPr>
        <w:t xml:space="preserve"> </w:t>
      </w:r>
      <w:r>
        <w:rPr>
          <w:rFonts w:ascii="宋体" w:eastAsia="宋体" w:hAnsi="宋体" w:cs="宋体"/>
          <w:position w:val="2"/>
          <w:sz w:val="15"/>
          <w:szCs w:val="15"/>
        </w:rPr>
        <w:t>index</w:t>
      </w:r>
      <w:r>
        <w:rPr>
          <w:rFonts w:ascii="宋体" w:eastAsia="宋体" w:hAnsi="宋体" w:cs="宋体"/>
          <w:spacing w:val="7"/>
          <w:position w:val="2"/>
          <w:sz w:val="15"/>
          <w:szCs w:val="15"/>
        </w:rPr>
        <w:t>,</w:t>
      </w:r>
      <w:r>
        <w:rPr>
          <w:rFonts w:ascii="宋体" w:eastAsia="宋体" w:hAnsi="宋体" w:cs="宋体"/>
          <w:position w:val="2"/>
          <w:sz w:val="15"/>
          <w:szCs w:val="15"/>
        </w:rPr>
        <w:t>BMI</w:t>
      </w:r>
      <w:r>
        <w:rPr>
          <w:rFonts w:ascii="宋体" w:eastAsia="宋体" w:hAnsi="宋体" w:cs="宋体"/>
          <w:spacing w:val="41"/>
          <w:position w:val="2"/>
          <w:sz w:val="15"/>
          <w:szCs w:val="15"/>
        </w:rPr>
        <w:t xml:space="preserve"> </w:t>
      </w:r>
      <w:r>
        <w:rPr>
          <w:rFonts w:ascii="宋体" w:eastAsia="宋体" w:hAnsi="宋体" w:cs="宋体"/>
          <w:spacing w:val="7"/>
          <w:position w:val="2"/>
          <w:sz w:val="15"/>
          <w:szCs w:val="15"/>
        </w:rPr>
        <w:t>体质指数</w:t>
      </w:r>
    </w:p>
    <w:p w:rsidR="00EA40A3" w:rsidRDefault="00E86C16">
      <w:pPr>
        <w:spacing w:before="33" w:line="230" w:lineRule="auto"/>
        <w:rPr>
          <w:rFonts w:ascii="宋体" w:eastAsia="宋体" w:hAnsi="宋体" w:cs="宋体"/>
          <w:sz w:val="15"/>
          <w:szCs w:val="15"/>
        </w:rPr>
      </w:pPr>
      <w:r>
        <w:rPr>
          <w:rFonts w:ascii="宋体" w:eastAsia="宋体" w:hAnsi="宋体" w:cs="宋体"/>
          <w:position w:val="-4"/>
          <w:sz w:val="15"/>
          <w:szCs w:val="15"/>
        </w:rPr>
        <w:t>adenovirus</w:t>
      </w:r>
      <w:r>
        <w:rPr>
          <w:rFonts w:ascii="宋体" w:eastAsia="宋体" w:hAnsi="宋体" w:cs="宋体"/>
          <w:spacing w:val="7"/>
          <w:position w:val="-4"/>
          <w:sz w:val="15"/>
          <w:szCs w:val="15"/>
        </w:rPr>
        <w:t>,</w:t>
      </w:r>
      <w:r>
        <w:rPr>
          <w:rFonts w:ascii="宋体" w:eastAsia="宋体" w:hAnsi="宋体" w:cs="宋体"/>
          <w:position w:val="-4"/>
          <w:sz w:val="15"/>
          <w:szCs w:val="15"/>
        </w:rPr>
        <w:t>ADV</w:t>
      </w:r>
      <w:r>
        <w:rPr>
          <w:rFonts w:ascii="宋体" w:eastAsia="宋体" w:hAnsi="宋体" w:cs="宋体"/>
          <w:spacing w:val="23"/>
          <w:w w:val="101"/>
          <w:position w:val="-4"/>
          <w:sz w:val="15"/>
          <w:szCs w:val="15"/>
        </w:rPr>
        <w:t xml:space="preserve">   </w:t>
      </w:r>
      <w:r>
        <w:rPr>
          <w:rFonts w:ascii="宋体" w:eastAsia="宋体" w:hAnsi="宋体" w:cs="宋体"/>
          <w:spacing w:val="7"/>
          <w:position w:val="-4"/>
          <w:sz w:val="15"/>
          <w:szCs w:val="15"/>
        </w:rPr>
        <w:t>腺病毒</w:t>
      </w:r>
      <w:r>
        <w:rPr>
          <w:rFonts w:ascii="宋体" w:eastAsia="宋体" w:hAnsi="宋体" w:cs="宋体"/>
          <w:position w:val="-4"/>
          <w:sz w:val="15"/>
          <w:szCs w:val="15"/>
        </w:rPr>
        <w:t xml:space="preserve">                         </w:t>
      </w:r>
      <w:r>
        <w:rPr>
          <w:rFonts w:ascii="宋体" w:eastAsia="宋体" w:hAnsi="宋体" w:cs="宋体"/>
          <w:position w:val="2"/>
          <w:sz w:val="15"/>
          <w:szCs w:val="15"/>
        </w:rPr>
        <w:t>bone</w:t>
      </w:r>
      <w:r>
        <w:rPr>
          <w:rFonts w:ascii="宋体" w:eastAsia="宋体" w:hAnsi="宋体" w:cs="宋体"/>
          <w:spacing w:val="57"/>
          <w:position w:val="2"/>
          <w:sz w:val="15"/>
          <w:szCs w:val="15"/>
        </w:rPr>
        <w:t xml:space="preserve"> </w:t>
      </w:r>
      <w:r>
        <w:rPr>
          <w:rFonts w:ascii="宋体" w:eastAsia="宋体" w:hAnsi="宋体" w:cs="宋体"/>
          <w:position w:val="2"/>
          <w:sz w:val="15"/>
          <w:szCs w:val="15"/>
        </w:rPr>
        <w:t>minerai</w:t>
      </w:r>
      <w:r>
        <w:rPr>
          <w:rFonts w:ascii="宋体" w:eastAsia="宋体" w:hAnsi="宋体" w:cs="宋体"/>
          <w:spacing w:val="58"/>
          <w:w w:val="101"/>
          <w:position w:val="2"/>
          <w:sz w:val="15"/>
          <w:szCs w:val="15"/>
        </w:rPr>
        <w:t xml:space="preserve"> </w:t>
      </w:r>
      <w:r>
        <w:rPr>
          <w:rFonts w:ascii="宋体" w:eastAsia="宋体" w:hAnsi="宋体" w:cs="宋体"/>
          <w:position w:val="2"/>
          <w:sz w:val="15"/>
          <w:szCs w:val="15"/>
        </w:rPr>
        <w:t>density</w:t>
      </w:r>
      <w:r>
        <w:rPr>
          <w:rFonts w:ascii="宋体" w:eastAsia="宋体" w:hAnsi="宋体" w:cs="宋体"/>
          <w:spacing w:val="7"/>
          <w:position w:val="2"/>
          <w:sz w:val="15"/>
          <w:szCs w:val="15"/>
        </w:rPr>
        <w:t>,</w:t>
      </w:r>
      <w:r>
        <w:rPr>
          <w:rFonts w:ascii="宋体" w:eastAsia="宋体" w:hAnsi="宋体" w:cs="宋体"/>
          <w:position w:val="2"/>
          <w:sz w:val="15"/>
          <w:szCs w:val="15"/>
        </w:rPr>
        <w:t>BMD</w:t>
      </w:r>
      <w:r>
        <w:rPr>
          <w:rFonts w:ascii="宋体" w:eastAsia="宋体" w:hAnsi="宋体" w:cs="宋体"/>
          <w:spacing w:val="49"/>
          <w:w w:val="101"/>
          <w:position w:val="2"/>
          <w:sz w:val="15"/>
          <w:szCs w:val="15"/>
        </w:rPr>
        <w:t xml:space="preserve"> </w:t>
      </w:r>
      <w:r>
        <w:rPr>
          <w:rFonts w:ascii="宋体" w:eastAsia="宋体" w:hAnsi="宋体" w:cs="宋体"/>
          <w:spacing w:val="7"/>
          <w:position w:val="2"/>
          <w:sz w:val="15"/>
          <w:szCs w:val="15"/>
        </w:rPr>
        <w:t>骨密度</w:t>
      </w:r>
    </w:p>
    <w:p w:rsidR="00EA40A3" w:rsidRDefault="00E86C16">
      <w:pPr>
        <w:spacing w:before="3" w:line="227" w:lineRule="auto"/>
        <w:rPr>
          <w:rFonts w:ascii="宋体" w:eastAsia="宋体" w:hAnsi="宋体" w:cs="宋体"/>
          <w:sz w:val="15"/>
          <w:szCs w:val="15"/>
        </w:rPr>
      </w:pPr>
      <w:r>
        <w:rPr>
          <w:rFonts w:ascii="宋体" w:eastAsia="宋体" w:hAnsi="宋体" w:cs="宋体"/>
          <w:spacing w:val="-1"/>
          <w:position w:val="-3"/>
          <w:sz w:val="15"/>
          <w:szCs w:val="15"/>
        </w:rPr>
        <w:t>adequate</w:t>
      </w:r>
      <w:r>
        <w:rPr>
          <w:rFonts w:ascii="宋体" w:eastAsia="宋体" w:hAnsi="宋体" w:cs="宋体"/>
          <w:spacing w:val="15"/>
          <w:position w:val="-3"/>
          <w:sz w:val="15"/>
          <w:szCs w:val="15"/>
        </w:rPr>
        <w:t xml:space="preserve"> </w:t>
      </w:r>
      <w:r>
        <w:rPr>
          <w:rFonts w:ascii="宋体" w:eastAsia="宋体" w:hAnsi="宋体" w:cs="宋体"/>
          <w:spacing w:val="-1"/>
          <w:position w:val="-3"/>
          <w:sz w:val="15"/>
          <w:szCs w:val="15"/>
        </w:rPr>
        <w:t>intakes</w:t>
      </w:r>
      <w:r>
        <w:rPr>
          <w:rFonts w:ascii="宋体" w:eastAsia="宋体" w:hAnsi="宋体" w:cs="宋体"/>
          <w:spacing w:val="-2"/>
          <w:position w:val="-3"/>
          <w:sz w:val="15"/>
          <w:szCs w:val="15"/>
        </w:rPr>
        <w:t>,</w:t>
      </w:r>
      <w:r>
        <w:rPr>
          <w:rFonts w:ascii="宋体" w:eastAsia="宋体" w:hAnsi="宋体" w:cs="宋体"/>
          <w:spacing w:val="-1"/>
          <w:position w:val="-3"/>
          <w:sz w:val="15"/>
          <w:szCs w:val="15"/>
        </w:rPr>
        <w:t>AI</w:t>
      </w:r>
      <w:r>
        <w:rPr>
          <w:rFonts w:ascii="宋体" w:eastAsia="宋体" w:hAnsi="宋体" w:cs="宋体"/>
          <w:spacing w:val="56"/>
          <w:position w:val="-3"/>
          <w:sz w:val="15"/>
          <w:szCs w:val="15"/>
        </w:rPr>
        <w:t xml:space="preserve"> </w:t>
      </w:r>
      <w:r>
        <w:rPr>
          <w:rFonts w:ascii="宋体" w:eastAsia="宋体" w:hAnsi="宋体" w:cs="宋体"/>
          <w:spacing w:val="-2"/>
          <w:position w:val="-3"/>
          <w:sz w:val="15"/>
          <w:szCs w:val="15"/>
        </w:rPr>
        <w:t>适宜摄人量</w:t>
      </w:r>
      <w:r>
        <w:rPr>
          <w:rFonts w:ascii="宋体" w:eastAsia="宋体" w:hAnsi="宋体" w:cs="宋体"/>
          <w:spacing w:val="4"/>
          <w:position w:val="-3"/>
          <w:sz w:val="15"/>
          <w:szCs w:val="15"/>
        </w:rPr>
        <w:t xml:space="preserve">                 </w:t>
      </w:r>
      <w:r>
        <w:rPr>
          <w:rFonts w:ascii="宋体" w:eastAsia="宋体" w:hAnsi="宋体" w:cs="宋体"/>
          <w:spacing w:val="-1"/>
          <w:position w:val="3"/>
          <w:sz w:val="15"/>
          <w:szCs w:val="15"/>
        </w:rPr>
        <w:t>branchi</w:t>
      </w:r>
      <w:r>
        <w:rPr>
          <w:rFonts w:ascii="宋体" w:eastAsia="宋体" w:hAnsi="宋体" w:cs="宋体"/>
          <w:spacing w:val="-2"/>
          <w:position w:val="3"/>
          <w:sz w:val="15"/>
          <w:szCs w:val="15"/>
        </w:rPr>
        <w:t>ng</w:t>
      </w:r>
      <w:r>
        <w:rPr>
          <w:rFonts w:ascii="宋体" w:eastAsia="宋体" w:hAnsi="宋体" w:cs="宋体"/>
          <w:spacing w:val="1"/>
          <w:position w:val="3"/>
          <w:sz w:val="15"/>
          <w:szCs w:val="15"/>
        </w:rPr>
        <w:t xml:space="preserve"> </w:t>
      </w:r>
      <w:r>
        <w:rPr>
          <w:rFonts w:ascii="宋体" w:eastAsia="宋体" w:hAnsi="宋体" w:cs="宋体"/>
          <w:spacing w:val="-2"/>
          <w:position w:val="3"/>
          <w:sz w:val="15"/>
          <w:szCs w:val="15"/>
        </w:rPr>
        <w:t>oliogosaccharide</w:t>
      </w:r>
      <w:r>
        <w:rPr>
          <w:rFonts w:ascii="宋体" w:eastAsia="宋体" w:hAnsi="宋体" w:cs="宋体"/>
          <w:spacing w:val="57"/>
          <w:position w:val="3"/>
          <w:sz w:val="15"/>
          <w:szCs w:val="15"/>
        </w:rPr>
        <w:t xml:space="preserve"> </w:t>
      </w:r>
      <w:r>
        <w:rPr>
          <w:rFonts w:ascii="宋体" w:eastAsia="宋体" w:hAnsi="宋体" w:cs="宋体"/>
          <w:spacing w:val="-2"/>
          <w:position w:val="3"/>
          <w:sz w:val="15"/>
          <w:szCs w:val="15"/>
        </w:rPr>
        <w:t>分枝低聚糖</w:t>
      </w:r>
    </w:p>
    <w:p w:rsidR="00EA40A3" w:rsidRDefault="00E86C16">
      <w:pPr>
        <w:spacing w:before="11" w:line="231" w:lineRule="auto"/>
        <w:rPr>
          <w:rFonts w:ascii="宋体" w:eastAsia="宋体" w:hAnsi="宋体" w:cs="宋体"/>
          <w:sz w:val="15"/>
          <w:szCs w:val="15"/>
        </w:rPr>
      </w:pPr>
      <w:r>
        <w:rPr>
          <w:rFonts w:ascii="宋体" w:eastAsia="宋体" w:hAnsi="宋体" w:cs="宋体"/>
          <w:spacing w:val="-2"/>
          <w:position w:val="-2"/>
          <w:sz w:val="15"/>
          <w:szCs w:val="15"/>
        </w:rPr>
        <w:t>adermin</w:t>
      </w:r>
      <w:r>
        <w:rPr>
          <w:rFonts w:ascii="宋体" w:eastAsia="宋体" w:hAnsi="宋体" w:cs="宋体"/>
          <w:spacing w:val="65"/>
          <w:position w:val="-2"/>
          <w:sz w:val="15"/>
          <w:szCs w:val="15"/>
        </w:rPr>
        <w:t xml:space="preserve"> </w:t>
      </w:r>
      <w:r>
        <w:rPr>
          <w:rFonts w:ascii="宋体" w:eastAsia="宋体" w:hAnsi="宋体" w:cs="宋体"/>
          <w:spacing w:val="-2"/>
          <w:position w:val="-2"/>
          <w:sz w:val="15"/>
          <w:szCs w:val="15"/>
        </w:rPr>
        <w:t>维生素</w:t>
      </w:r>
      <w:r>
        <w:rPr>
          <w:rFonts w:ascii="宋体" w:eastAsia="宋体" w:hAnsi="宋体" w:cs="宋体"/>
          <w:spacing w:val="-32"/>
          <w:position w:val="-2"/>
          <w:sz w:val="15"/>
          <w:szCs w:val="15"/>
        </w:rPr>
        <w:t xml:space="preserve"> </w:t>
      </w:r>
      <w:r>
        <w:rPr>
          <w:rFonts w:ascii="宋体" w:eastAsia="宋体" w:hAnsi="宋体" w:cs="宋体"/>
          <w:spacing w:val="-2"/>
          <w:position w:val="-2"/>
          <w:sz w:val="15"/>
          <w:szCs w:val="15"/>
        </w:rPr>
        <w:t>Bg,</w:t>
      </w:r>
      <w:r>
        <w:rPr>
          <w:rFonts w:ascii="宋体" w:eastAsia="宋体" w:hAnsi="宋体" w:cs="宋体"/>
          <w:spacing w:val="22"/>
          <w:w w:val="101"/>
          <w:position w:val="-2"/>
          <w:sz w:val="15"/>
          <w:szCs w:val="15"/>
        </w:rPr>
        <w:t xml:space="preserve"> </w:t>
      </w:r>
      <w:r>
        <w:rPr>
          <w:rFonts w:ascii="宋体" w:eastAsia="宋体" w:hAnsi="宋体" w:cs="宋体"/>
          <w:spacing w:val="-2"/>
          <w:position w:val="-2"/>
          <w:sz w:val="15"/>
          <w:szCs w:val="15"/>
        </w:rPr>
        <w:t>吡哆素</w:t>
      </w:r>
      <w:r>
        <w:rPr>
          <w:rFonts w:ascii="宋体" w:eastAsia="宋体" w:hAnsi="宋体" w:cs="宋体"/>
          <w:spacing w:val="1"/>
          <w:position w:val="-2"/>
          <w:sz w:val="15"/>
          <w:szCs w:val="15"/>
        </w:rPr>
        <w:t xml:space="preserve">                       </w:t>
      </w:r>
      <w:r>
        <w:rPr>
          <w:rFonts w:ascii="宋体" w:eastAsia="宋体" w:hAnsi="宋体" w:cs="宋体"/>
          <w:spacing w:val="-2"/>
          <w:position w:val="3"/>
          <w:sz w:val="15"/>
          <w:szCs w:val="15"/>
        </w:rPr>
        <w:t>breast</w:t>
      </w:r>
      <w:r>
        <w:rPr>
          <w:rFonts w:ascii="宋体" w:eastAsia="宋体" w:hAnsi="宋体" w:cs="宋体"/>
          <w:spacing w:val="-1"/>
          <w:position w:val="3"/>
          <w:sz w:val="15"/>
          <w:szCs w:val="15"/>
        </w:rPr>
        <w:t xml:space="preserve"> </w:t>
      </w:r>
      <w:r>
        <w:rPr>
          <w:rFonts w:ascii="宋体" w:eastAsia="宋体" w:hAnsi="宋体" w:cs="宋体"/>
          <w:spacing w:val="-2"/>
          <w:position w:val="3"/>
          <w:sz w:val="15"/>
          <w:szCs w:val="15"/>
        </w:rPr>
        <w:t>milk</w:t>
      </w:r>
      <w:r>
        <w:rPr>
          <w:rFonts w:ascii="宋体" w:eastAsia="宋体" w:hAnsi="宋体" w:cs="宋体"/>
          <w:spacing w:val="51"/>
          <w:position w:val="3"/>
          <w:sz w:val="15"/>
          <w:szCs w:val="15"/>
        </w:rPr>
        <w:t xml:space="preserve"> </w:t>
      </w:r>
      <w:r>
        <w:rPr>
          <w:rFonts w:ascii="宋体" w:eastAsia="宋体" w:hAnsi="宋体" w:cs="宋体"/>
          <w:spacing w:val="-2"/>
          <w:position w:val="3"/>
          <w:sz w:val="15"/>
          <w:szCs w:val="15"/>
        </w:rPr>
        <w:t>母</w:t>
      </w:r>
      <w:r>
        <w:rPr>
          <w:rFonts w:ascii="宋体" w:eastAsia="宋体" w:hAnsi="宋体" w:cs="宋体"/>
          <w:spacing w:val="-15"/>
          <w:position w:val="3"/>
          <w:sz w:val="15"/>
          <w:szCs w:val="15"/>
        </w:rPr>
        <w:t xml:space="preserve"> </w:t>
      </w:r>
      <w:r>
        <w:rPr>
          <w:rFonts w:ascii="宋体" w:eastAsia="宋体" w:hAnsi="宋体" w:cs="宋体"/>
          <w:spacing w:val="-2"/>
          <w:position w:val="3"/>
          <w:sz w:val="15"/>
          <w:szCs w:val="15"/>
        </w:rPr>
        <w:t>乳</w:t>
      </w:r>
    </w:p>
    <w:p w:rsidR="00EA40A3" w:rsidRDefault="00E86C16">
      <w:pPr>
        <w:spacing w:before="8" w:line="224" w:lineRule="auto"/>
        <w:rPr>
          <w:rFonts w:ascii="宋体" w:eastAsia="宋体" w:hAnsi="宋体" w:cs="宋体"/>
          <w:sz w:val="15"/>
          <w:szCs w:val="15"/>
        </w:rPr>
      </w:pPr>
      <w:r>
        <w:rPr>
          <w:rFonts w:ascii="宋体" w:eastAsia="宋体" w:hAnsi="宋体" w:cs="宋体"/>
          <w:spacing w:val="-6"/>
          <w:position w:val="-2"/>
          <w:sz w:val="15"/>
          <w:szCs w:val="15"/>
        </w:rPr>
        <w:t>adrenergic</w:t>
      </w:r>
      <w:r>
        <w:rPr>
          <w:rFonts w:ascii="宋体" w:eastAsia="宋体" w:hAnsi="宋体" w:cs="宋体"/>
          <w:spacing w:val="-5"/>
          <w:position w:val="-2"/>
          <w:sz w:val="15"/>
          <w:szCs w:val="15"/>
        </w:rPr>
        <w:t xml:space="preserve"> </w:t>
      </w:r>
      <w:r>
        <w:rPr>
          <w:rFonts w:ascii="宋体" w:eastAsia="宋体" w:hAnsi="宋体" w:cs="宋体"/>
          <w:spacing w:val="-6"/>
          <w:position w:val="-2"/>
          <w:sz w:val="15"/>
          <w:szCs w:val="15"/>
        </w:rPr>
        <w:t>receptor</w:t>
      </w:r>
      <w:r>
        <w:rPr>
          <w:rFonts w:ascii="宋体" w:eastAsia="宋体" w:hAnsi="宋体" w:cs="宋体"/>
          <w:spacing w:val="69"/>
          <w:position w:val="-2"/>
          <w:sz w:val="15"/>
          <w:szCs w:val="15"/>
        </w:rPr>
        <w:t xml:space="preserve"> </w:t>
      </w:r>
      <w:r>
        <w:rPr>
          <w:rFonts w:ascii="宋体" w:eastAsia="宋体" w:hAnsi="宋体" w:cs="宋体"/>
          <w:spacing w:val="-7"/>
          <w:position w:val="-2"/>
          <w:sz w:val="15"/>
          <w:szCs w:val="15"/>
        </w:rPr>
        <w:t>肾上腺素能受体</w:t>
      </w:r>
      <w:r>
        <w:rPr>
          <w:rFonts w:ascii="宋体" w:eastAsia="宋体" w:hAnsi="宋体" w:cs="宋体"/>
          <w:spacing w:val="4"/>
          <w:position w:val="-2"/>
          <w:sz w:val="15"/>
          <w:szCs w:val="15"/>
        </w:rPr>
        <w:t xml:space="preserve">               </w:t>
      </w:r>
      <w:r>
        <w:rPr>
          <w:rFonts w:ascii="宋体" w:eastAsia="宋体" w:hAnsi="宋体" w:cs="宋体"/>
          <w:spacing w:val="-6"/>
          <w:position w:val="4"/>
          <w:sz w:val="15"/>
          <w:szCs w:val="15"/>
        </w:rPr>
        <w:t>butyric</w:t>
      </w:r>
      <w:r>
        <w:rPr>
          <w:rFonts w:ascii="宋体" w:eastAsia="宋体" w:hAnsi="宋体" w:cs="宋体"/>
          <w:spacing w:val="3"/>
          <w:position w:val="4"/>
          <w:sz w:val="15"/>
          <w:szCs w:val="15"/>
        </w:rPr>
        <w:t xml:space="preserve"> </w:t>
      </w:r>
      <w:r>
        <w:rPr>
          <w:rFonts w:ascii="宋体" w:eastAsia="宋体" w:hAnsi="宋体" w:cs="宋体"/>
          <w:spacing w:val="-6"/>
          <w:position w:val="4"/>
          <w:sz w:val="15"/>
          <w:szCs w:val="15"/>
        </w:rPr>
        <w:t>aci</w:t>
      </w:r>
      <w:r>
        <w:rPr>
          <w:rFonts w:ascii="宋体" w:eastAsia="宋体" w:hAnsi="宋体" w:cs="宋体"/>
          <w:spacing w:val="-7"/>
          <w:position w:val="4"/>
          <w:sz w:val="15"/>
          <w:szCs w:val="15"/>
        </w:rPr>
        <w:t>d</w:t>
      </w:r>
      <w:r>
        <w:rPr>
          <w:rFonts w:ascii="宋体" w:eastAsia="宋体" w:hAnsi="宋体" w:cs="宋体"/>
          <w:spacing w:val="71"/>
          <w:position w:val="4"/>
          <w:sz w:val="15"/>
          <w:szCs w:val="15"/>
        </w:rPr>
        <w:t xml:space="preserve"> </w:t>
      </w:r>
      <w:r>
        <w:rPr>
          <w:rFonts w:ascii="宋体" w:eastAsia="宋体" w:hAnsi="宋体" w:cs="宋体"/>
          <w:spacing w:val="-7"/>
          <w:position w:val="4"/>
          <w:sz w:val="15"/>
          <w:szCs w:val="15"/>
        </w:rPr>
        <w:t>丁</w:t>
      </w:r>
      <w:r>
        <w:rPr>
          <w:rFonts w:ascii="宋体" w:eastAsia="宋体" w:hAnsi="宋体" w:cs="宋体"/>
          <w:spacing w:val="-34"/>
          <w:position w:val="4"/>
          <w:sz w:val="15"/>
          <w:szCs w:val="15"/>
        </w:rPr>
        <w:t xml:space="preserve"> </w:t>
      </w:r>
      <w:r>
        <w:rPr>
          <w:rFonts w:ascii="宋体" w:eastAsia="宋体" w:hAnsi="宋体" w:cs="宋体"/>
          <w:spacing w:val="-7"/>
          <w:position w:val="4"/>
          <w:sz w:val="15"/>
          <w:szCs w:val="15"/>
        </w:rPr>
        <w:t>酸</w:t>
      </w:r>
    </w:p>
    <w:p w:rsidR="00EA40A3" w:rsidRDefault="00E86C16">
      <w:pPr>
        <w:spacing w:before="12" w:line="224" w:lineRule="auto"/>
        <w:rPr>
          <w:rFonts w:ascii="宋体" w:eastAsia="宋体" w:hAnsi="宋体" w:cs="宋体"/>
          <w:sz w:val="15"/>
          <w:szCs w:val="15"/>
        </w:rPr>
      </w:pPr>
      <w:r>
        <w:rPr>
          <w:rFonts w:ascii="宋体" w:eastAsia="宋体" w:hAnsi="宋体" w:cs="宋体"/>
          <w:position w:val="-2"/>
          <w:sz w:val="15"/>
          <w:szCs w:val="15"/>
        </w:rPr>
        <w:t>aflatoxin</w:t>
      </w:r>
      <w:r>
        <w:rPr>
          <w:rFonts w:ascii="宋体" w:eastAsia="宋体" w:hAnsi="宋体" w:cs="宋体"/>
          <w:spacing w:val="64"/>
          <w:position w:val="-2"/>
          <w:sz w:val="15"/>
          <w:szCs w:val="15"/>
        </w:rPr>
        <w:t xml:space="preserve"> </w:t>
      </w:r>
      <w:r>
        <w:rPr>
          <w:rFonts w:ascii="宋体" w:eastAsia="宋体" w:hAnsi="宋体" w:cs="宋体"/>
          <w:position w:val="-2"/>
          <w:sz w:val="15"/>
          <w:szCs w:val="15"/>
        </w:rPr>
        <w:t>Bi,AFB</w:t>
      </w:r>
      <w:r>
        <w:rPr>
          <w:rFonts w:ascii="宋体" w:eastAsia="宋体" w:hAnsi="宋体" w:cs="宋体"/>
          <w:spacing w:val="59"/>
          <w:w w:val="101"/>
          <w:position w:val="-2"/>
          <w:sz w:val="15"/>
          <w:szCs w:val="15"/>
        </w:rPr>
        <w:t xml:space="preserve"> </w:t>
      </w:r>
      <w:r>
        <w:rPr>
          <w:rFonts w:ascii="宋体" w:eastAsia="宋体" w:hAnsi="宋体" w:cs="宋体"/>
          <w:position w:val="-2"/>
          <w:sz w:val="15"/>
          <w:szCs w:val="15"/>
        </w:rPr>
        <w:t>黄曲霉毒素</w:t>
      </w:r>
      <w:r>
        <w:rPr>
          <w:rFonts w:ascii="宋体" w:eastAsia="宋体" w:hAnsi="宋体" w:cs="宋体"/>
          <w:spacing w:val="-43"/>
          <w:position w:val="-2"/>
          <w:sz w:val="15"/>
          <w:szCs w:val="15"/>
        </w:rPr>
        <w:t xml:space="preserve"> </w:t>
      </w:r>
      <w:r>
        <w:rPr>
          <w:rFonts w:ascii="宋体" w:eastAsia="宋体" w:hAnsi="宋体" w:cs="宋体"/>
          <w:position w:val="-2"/>
          <w:sz w:val="15"/>
          <w:szCs w:val="15"/>
        </w:rPr>
        <w:t>B</w:t>
      </w:r>
      <w:r>
        <w:rPr>
          <w:rFonts w:ascii="Calibri" w:eastAsia="Calibri" w:hAnsi="Calibri" w:cs="Calibri"/>
          <w:position w:val="-2"/>
          <w:sz w:val="15"/>
          <w:szCs w:val="15"/>
        </w:rPr>
        <w:t>₁</w:t>
      </w:r>
      <w:r>
        <w:rPr>
          <w:rFonts w:ascii="Calibri" w:eastAsia="Calibri" w:hAnsi="Calibri" w:cs="Calibri"/>
          <w:spacing w:val="1"/>
          <w:position w:val="-2"/>
          <w:sz w:val="15"/>
          <w:szCs w:val="15"/>
        </w:rPr>
        <w:t xml:space="preserve">                        </w:t>
      </w:r>
      <w:r>
        <w:rPr>
          <w:rFonts w:ascii="Calibri" w:eastAsia="Calibri" w:hAnsi="Calibri" w:cs="Calibri"/>
          <w:position w:val="-2"/>
          <w:sz w:val="15"/>
          <w:szCs w:val="15"/>
        </w:rPr>
        <w:t xml:space="preserve">                </w:t>
      </w:r>
      <w:r>
        <w:rPr>
          <w:rFonts w:ascii="宋体" w:eastAsia="宋体" w:hAnsi="宋体" w:cs="宋体"/>
          <w:position w:val="4"/>
          <w:sz w:val="15"/>
          <w:szCs w:val="15"/>
        </w:rPr>
        <w:t>caffeine</w:t>
      </w:r>
      <w:r>
        <w:rPr>
          <w:rFonts w:ascii="宋体" w:eastAsia="宋体" w:hAnsi="宋体" w:cs="宋体"/>
          <w:spacing w:val="37"/>
          <w:position w:val="4"/>
          <w:sz w:val="15"/>
          <w:szCs w:val="15"/>
        </w:rPr>
        <w:t xml:space="preserve"> </w:t>
      </w:r>
      <w:r>
        <w:rPr>
          <w:rFonts w:ascii="宋体" w:eastAsia="宋体" w:hAnsi="宋体" w:cs="宋体"/>
          <w:position w:val="4"/>
          <w:sz w:val="15"/>
          <w:szCs w:val="15"/>
        </w:rPr>
        <w:t>咖啡</w:t>
      </w:r>
      <w:r>
        <w:rPr>
          <w:rFonts w:ascii="宋体" w:eastAsia="宋体" w:hAnsi="宋体" w:cs="宋体"/>
          <w:spacing w:val="-1"/>
          <w:position w:val="4"/>
          <w:sz w:val="15"/>
          <w:szCs w:val="15"/>
        </w:rPr>
        <w:t>碱</w:t>
      </w:r>
    </w:p>
    <w:p w:rsidR="00EA40A3" w:rsidRDefault="00E86C16">
      <w:pPr>
        <w:spacing w:before="2"/>
        <w:rPr>
          <w:rFonts w:ascii="宋体" w:eastAsia="宋体" w:hAnsi="宋体" w:cs="宋体"/>
          <w:sz w:val="15"/>
          <w:szCs w:val="15"/>
        </w:rPr>
      </w:pPr>
      <w:r>
        <w:rPr>
          <w:rFonts w:ascii="宋体" w:eastAsia="宋体" w:hAnsi="宋体" w:cs="宋体"/>
          <w:spacing w:val="-1"/>
          <w:position w:val="-5"/>
          <w:sz w:val="15"/>
          <w:szCs w:val="15"/>
        </w:rPr>
        <w:t>albinism</w:t>
      </w:r>
      <w:r>
        <w:rPr>
          <w:rFonts w:ascii="宋体" w:eastAsia="宋体" w:hAnsi="宋体" w:cs="宋体"/>
          <w:spacing w:val="74"/>
          <w:position w:val="-5"/>
          <w:sz w:val="15"/>
          <w:szCs w:val="15"/>
        </w:rPr>
        <w:t xml:space="preserve"> </w:t>
      </w:r>
      <w:r>
        <w:rPr>
          <w:rFonts w:ascii="宋体" w:eastAsia="宋体" w:hAnsi="宋体" w:cs="宋体"/>
          <w:spacing w:val="-2"/>
          <w:position w:val="-5"/>
          <w:sz w:val="15"/>
          <w:szCs w:val="15"/>
        </w:rPr>
        <w:t>白化病</w:t>
      </w:r>
      <w:r>
        <w:rPr>
          <w:rFonts w:ascii="宋体" w:eastAsia="宋体" w:hAnsi="宋体" w:cs="宋体"/>
          <w:spacing w:val="2"/>
          <w:position w:val="-5"/>
          <w:sz w:val="15"/>
          <w:szCs w:val="15"/>
        </w:rPr>
        <w:t xml:space="preserve">                     </w:t>
      </w:r>
      <w:r>
        <w:rPr>
          <w:rFonts w:ascii="宋体" w:eastAsia="宋体" w:hAnsi="宋体" w:cs="宋体"/>
          <w:spacing w:val="1"/>
          <w:position w:val="-5"/>
          <w:sz w:val="15"/>
          <w:szCs w:val="15"/>
        </w:rPr>
        <w:t xml:space="preserve">            </w:t>
      </w:r>
      <w:r>
        <w:rPr>
          <w:rFonts w:ascii="宋体" w:eastAsia="宋体" w:hAnsi="宋体" w:cs="宋体"/>
          <w:spacing w:val="-1"/>
          <w:position w:val="1"/>
          <w:sz w:val="15"/>
          <w:szCs w:val="15"/>
        </w:rPr>
        <w:t>calcitonin</w:t>
      </w:r>
      <w:r>
        <w:rPr>
          <w:rFonts w:ascii="宋体" w:eastAsia="宋体" w:hAnsi="宋体" w:cs="宋体"/>
          <w:spacing w:val="5"/>
          <w:position w:val="1"/>
          <w:sz w:val="15"/>
          <w:szCs w:val="15"/>
        </w:rPr>
        <w:t xml:space="preserve"> </w:t>
      </w:r>
      <w:r>
        <w:rPr>
          <w:rFonts w:ascii="宋体" w:eastAsia="宋体" w:hAnsi="宋体" w:cs="宋体"/>
          <w:spacing w:val="-1"/>
          <w:position w:val="1"/>
          <w:sz w:val="15"/>
          <w:szCs w:val="15"/>
        </w:rPr>
        <w:t>gene</w:t>
      </w:r>
      <w:r>
        <w:rPr>
          <w:rFonts w:ascii="宋体" w:eastAsia="宋体" w:hAnsi="宋体" w:cs="宋体"/>
          <w:spacing w:val="1"/>
          <w:position w:val="1"/>
          <w:sz w:val="15"/>
          <w:szCs w:val="15"/>
        </w:rPr>
        <w:t xml:space="preserve"> </w:t>
      </w:r>
      <w:r>
        <w:rPr>
          <w:rFonts w:ascii="宋体" w:eastAsia="宋体" w:hAnsi="宋体" w:cs="宋体"/>
          <w:spacing w:val="-1"/>
          <w:position w:val="1"/>
          <w:sz w:val="15"/>
          <w:szCs w:val="15"/>
        </w:rPr>
        <w:t>related</w:t>
      </w:r>
      <w:r>
        <w:rPr>
          <w:rFonts w:ascii="宋体" w:eastAsia="宋体" w:hAnsi="宋体" w:cs="宋体"/>
          <w:spacing w:val="1"/>
          <w:position w:val="1"/>
          <w:sz w:val="15"/>
          <w:szCs w:val="15"/>
        </w:rPr>
        <w:t xml:space="preserve"> </w:t>
      </w:r>
      <w:r>
        <w:rPr>
          <w:rFonts w:ascii="宋体" w:eastAsia="宋体" w:hAnsi="宋体" w:cs="宋体"/>
          <w:spacing w:val="-1"/>
          <w:position w:val="1"/>
          <w:sz w:val="15"/>
          <w:szCs w:val="15"/>
        </w:rPr>
        <w:t>pep</w:t>
      </w:r>
      <w:r>
        <w:rPr>
          <w:rFonts w:ascii="宋体" w:eastAsia="宋体" w:hAnsi="宋体" w:cs="宋体"/>
          <w:spacing w:val="-2"/>
          <w:position w:val="1"/>
          <w:sz w:val="15"/>
          <w:szCs w:val="15"/>
        </w:rPr>
        <w:t>tide,CGRP</w:t>
      </w:r>
      <w:r>
        <w:rPr>
          <w:rFonts w:ascii="宋体" w:eastAsia="宋体" w:hAnsi="宋体" w:cs="宋体"/>
          <w:spacing w:val="70"/>
          <w:position w:val="1"/>
          <w:sz w:val="15"/>
          <w:szCs w:val="15"/>
        </w:rPr>
        <w:t xml:space="preserve"> </w:t>
      </w:r>
      <w:r>
        <w:rPr>
          <w:rFonts w:ascii="宋体" w:eastAsia="宋体" w:hAnsi="宋体" w:cs="宋体"/>
          <w:spacing w:val="-2"/>
          <w:position w:val="1"/>
          <w:sz w:val="15"/>
          <w:szCs w:val="15"/>
        </w:rPr>
        <w:t>降钙素基因</w:t>
      </w:r>
    </w:p>
    <w:p w:rsidR="00EA40A3" w:rsidRDefault="00E86C16">
      <w:pPr>
        <w:spacing w:before="67" w:line="236" w:lineRule="auto"/>
        <w:rPr>
          <w:rFonts w:ascii="宋体" w:eastAsia="宋体" w:hAnsi="宋体" w:cs="宋体"/>
          <w:sz w:val="15"/>
          <w:szCs w:val="15"/>
        </w:rPr>
      </w:pPr>
      <w:r>
        <w:rPr>
          <w:rFonts w:ascii="宋体" w:eastAsia="宋体" w:hAnsi="宋体" w:cs="宋体"/>
          <w:sz w:val="15"/>
          <w:szCs w:val="15"/>
        </w:rPr>
        <w:t>American</w:t>
      </w:r>
      <w:r>
        <w:rPr>
          <w:rFonts w:ascii="宋体" w:eastAsia="宋体" w:hAnsi="宋体" w:cs="宋体"/>
          <w:spacing w:val="52"/>
          <w:w w:val="101"/>
          <w:sz w:val="15"/>
          <w:szCs w:val="15"/>
        </w:rPr>
        <w:t xml:space="preserve"> </w:t>
      </w:r>
      <w:r>
        <w:rPr>
          <w:rFonts w:ascii="宋体" w:eastAsia="宋体" w:hAnsi="宋体" w:cs="宋体"/>
          <w:sz w:val="15"/>
          <w:szCs w:val="15"/>
        </w:rPr>
        <w:t>Diabetes</w:t>
      </w:r>
      <w:r>
        <w:rPr>
          <w:rFonts w:ascii="宋体" w:eastAsia="宋体" w:hAnsi="宋体" w:cs="宋体"/>
          <w:spacing w:val="46"/>
          <w:sz w:val="15"/>
          <w:szCs w:val="15"/>
        </w:rPr>
        <w:t xml:space="preserve"> </w:t>
      </w:r>
      <w:r>
        <w:rPr>
          <w:rFonts w:ascii="宋体" w:eastAsia="宋体" w:hAnsi="宋体" w:cs="宋体"/>
          <w:sz w:val="15"/>
          <w:szCs w:val="15"/>
        </w:rPr>
        <w:t>Assoclation</w:t>
      </w:r>
      <w:r>
        <w:rPr>
          <w:rFonts w:ascii="宋体" w:eastAsia="宋体" w:hAnsi="宋体" w:cs="宋体"/>
          <w:spacing w:val="13"/>
          <w:sz w:val="15"/>
          <w:szCs w:val="15"/>
        </w:rPr>
        <w:t>,</w:t>
      </w:r>
      <w:r>
        <w:rPr>
          <w:rFonts w:ascii="宋体" w:eastAsia="宋体" w:hAnsi="宋体" w:cs="宋体"/>
          <w:sz w:val="15"/>
          <w:szCs w:val="15"/>
        </w:rPr>
        <w:t>ADA</w:t>
      </w:r>
      <w:r>
        <w:rPr>
          <w:rFonts w:ascii="宋体" w:eastAsia="宋体" w:hAnsi="宋体" w:cs="宋体"/>
          <w:spacing w:val="3"/>
          <w:sz w:val="15"/>
          <w:szCs w:val="15"/>
        </w:rPr>
        <w:t xml:space="preserve">  </w:t>
      </w:r>
      <w:r>
        <w:rPr>
          <w:rFonts w:ascii="宋体" w:eastAsia="宋体" w:hAnsi="宋体" w:cs="宋体"/>
          <w:spacing w:val="13"/>
          <w:sz w:val="15"/>
          <w:szCs w:val="15"/>
        </w:rPr>
        <w:t>美国糖尿病</w:t>
      </w:r>
      <w:r>
        <w:rPr>
          <w:rFonts w:ascii="宋体" w:eastAsia="宋体" w:hAnsi="宋体" w:cs="宋体"/>
          <w:spacing w:val="5"/>
          <w:sz w:val="15"/>
          <w:szCs w:val="15"/>
        </w:rPr>
        <w:t xml:space="preserve">    </w:t>
      </w:r>
      <w:r>
        <w:rPr>
          <w:rFonts w:ascii="宋体" w:eastAsia="宋体" w:hAnsi="宋体" w:cs="宋体"/>
          <w:spacing w:val="13"/>
          <w:position w:val="-2"/>
          <w:sz w:val="15"/>
          <w:szCs w:val="15"/>
        </w:rPr>
        <w:t>相关肽</w:t>
      </w:r>
    </w:p>
    <w:p w:rsidR="00EA40A3" w:rsidRDefault="00E86C16">
      <w:pPr>
        <w:spacing w:before="40" w:line="227" w:lineRule="auto"/>
        <w:ind w:left="190"/>
        <w:rPr>
          <w:rFonts w:ascii="宋体" w:eastAsia="宋体" w:hAnsi="宋体" w:cs="宋体"/>
          <w:sz w:val="15"/>
          <w:szCs w:val="15"/>
        </w:rPr>
      </w:pPr>
      <w:r>
        <w:rPr>
          <w:rFonts w:ascii="宋体" w:eastAsia="宋体" w:hAnsi="宋体" w:cs="宋体"/>
          <w:spacing w:val="5"/>
          <w:position w:val="5"/>
          <w:sz w:val="15"/>
          <w:szCs w:val="15"/>
        </w:rPr>
        <w:t>协会</w:t>
      </w:r>
      <w:r>
        <w:rPr>
          <w:rFonts w:ascii="宋体" w:eastAsia="宋体" w:hAnsi="宋体" w:cs="宋体"/>
          <w:spacing w:val="1"/>
          <w:position w:val="5"/>
          <w:sz w:val="15"/>
          <w:szCs w:val="15"/>
        </w:rPr>
        <w:t xml:space="preserve">                                          </w:t>
      </w:r>
      <w:r>
        <w:rPr>
          <w:rFonts w:ascii="宋体" w:eastAsia="宋体" w:hAnsi="宋体" w:cs="宋体"/>
          <w:sz w:val="15"/>
          <w:szCs w:val="15"/>
        </w:rPr>
        <w:t>calcitonin</w:t>
      </w:r>
      <w:r>
        <w:rPr>
          <w:rFonts w:ascii="宋体" w:eastAsia="宋体" w:hAnsi="宋体" w:cs="宋体"/>
          <w:spacing w:val="5"/>
          <w:sz w:val="15"/>
          <w:szCs w:val="15"/>
        </w:rPr>
        <w:t>,</w:t>
      </w:r>
      <w:r>
        <w:rPr>
          <w:rFonts w:ascii="宋体" w:eastAsia="宋体" w:hAnsi="宋体" w:cs="宋体"/>
          <w:sz w:val="15"/>
          <w:szCs w:val="15"/>
        </w:rPr>
        <w:t>CT</w:t>
      </w:r>
      <w:r>
        <w:rPr>
          <w:rFonts w:ascii="宋体" w:eastAsia="宋体" w:hAnsi="宋体" w:cs="宋体"/>
          <w:spacing w:val="19"/>
          <w:sz w:val="15"/>
          <w:szCs w:val="15"/>
        </w:rPr>
        <w:t xml:space="preserve">  </w:t>
      </w:r>
      <w:r>
        <w:rPr>
          <w:rFonts w:ascii="宋体" w:eastAsia="宋体" w:hAnsi="宋体" w:cs="宋体"/>
          <w:spacing w:val="5"/>
          <w:sz w:val="15"/>
          <w:szCs w:val="15"/>
        </w:rPr>
        <w:t>降钙素</w:t>
      </w:r>
    </w:p>
    <w:p w:rsidR="00EA40A3" w:rsidRDefault="00E86C16">
      <w:pPr>
        <w:spacing w:before="75" w:line="221" w:lineRule="auto"/>
        <w:rPr>
          <w:rFonts w:ascii="宋体" w:eastAsia="宋体" w:hAnsi="宋体" w:cs="宋体"/>
          <w:sz w:val="15"/>
          <w:szCs w:val="15"/>
        </w:rPr>
      </w:pPr>
      <w:r>
        <w:rPr>
          <w:rFonts w:ascii="宋体" w:eastAsia="宋体" w:hAnsi="宋体" w:cs="宋体"/>
          <w:sz w:val="15"/>
          <w:szCs w:val="15"/>
        </w:rPr>
        <w:t>American</w:t>
      </w:r>
      <w:r>
        <w:rPr>
          <w:rFonts w:ascii="宋体" w:eastAsia="宋体" w:hAnsi="宋体" w:cs="宋体"/>
          <w:spacing w:val="7"/>
          <w:sz w:val="15"/>
          <w:szCs w:val="15"/>
        </w:rPr>
        <w:t xml:space="preserve">  </w:t>
      </w:r>
      <w:r>
        <w:rPr>
          <w:rFonts w:ascii="宋体" w:eastAsia="宋体" w:hAnsi="宋体" w:cs="宋体"/>
          <w:sz w:val="15"/>
          <w:szCs w:val="15"/>
        </w:rPr>
        <w:t>Heart</w:t>
      </w:r>
      <w:r>
        <w:rPr>
          <w:rFonts w:ascii="宋体" w:eastAsia="宋体" w:hAnsi="宋体" w:cs="宋体"/>
          <w:spacing w:val="4"/>
          <w:sz w:val="15"/>
          <w:szCs w:val="15"/>
        </w:rPr>
        <w:t xml:space="preserve">  </w:t>
      </w:r>
      <w:r>
        <w:rPr>
          <w:rFonts w:ascii="宋体" w:eastAsia="宋体" w:hAnsi="宋体" w:cs="宋体"/>
          <w:sz w:val="15"/>
          <w:szCs w:val="15"/>
        </w:rPr>
        <w:t>Association</w:t>
      </w:r>
      <w:r>
        <w:rPr>
          <w:rFonts w:ascii="宋体" w:eastAsia="宋体" w:hAnsi="宋体" w:cs="宋体"/>
          <w:spacing w:val="7"/>
          <w:sz w:val="15"/>
          <w:szCs w:val="15"/>
        </w:rPr>
        <w:t>,</w:t>
      </w:r>
      <w:r>
        <w:rPr>
          <w:rFonts w:ascii="宋体" w:eastAsia="宋体" w:hAnsi="宋体" w:cs="宋体"/>
          <w:sz w:val="15"/>
          <w:szCs w:val="15"/>
        </w:rPr>
        <w:t>AHA</w:t>
      </w:r>
      <w:r>
        <w:rPr>
          <w:rFonts w:ascii="宋体" w:eastAsia="宋体" w:hAnsi="宋体" w:cs="宋体"/>
          <w:spacing w:val="53"/>
          <w:sz w:val="15"/>
          <w:szCs w:val="15"/>
        </w:rPr>
        <w:t xml:space="preserve"> </w:t>
      </w:r>
      <w:r>
        <w:rPr>
          <w:rFonts w:ascii="宋体" w:eastAsia="宋体" w:hAnsi="宋体" w:cs="宋体"/>
          <w:spacing w:val="7"/>
          <w:sz w:val="15"/>
          <w:szCs w:val="15"/>
        </w:rPr>
        <w:t>美国心脏协会</w:t>
      </w:r>
      <w:r>
        <w:rPr>
          <w:rFonts w:ascii="宋体" w:eastAsia="宋体" w:hAnsi="宋体" w:cs="宋体"/>
          <w:spacing w:val="22"/>
          <w:sz w:val="15"/>
          <w:szCs w:val="15"/>
        </w:rPr>
        <w:t xml:space="preserve">  </w:t>
      </w:r>
      <w:r>
        <w:rPr>
          <w:rFonts w:ascii="宋体" w:eastAsia="宋体" w:hAnsi="宋体" w:cs="宋体"/>
          <w:sz w:val="15"/>
          <w:szCs w:val="15"/>
        </w:rPr>
        <w:t>calcium</w:t>
      </w:r>
      <w:r>
        <w:rPr>
          <w:rFonts w:ascii="宋体" w:eastAsia="宋体" w:hAnsi="宋体" w:cs="宋体"/>
          <w:spacing w:val="48"/>
          <w:w w:val="101"/>
          <w:sz w:val="15"/>
          <w:szCs w:val="15"/>
        </w:rPr>
        <w:t xml:space="preserve"> </w:t>
      </w:r>
      <w:r>
        <w:rPr>
          <w:rFonts w:ascii="宋体" w:eastAsia="宋体" w:hAnsi="宋体" w:cs="宋体"/>
          <w:spacing w:val="7"/>
          <w:sz w:val="15"/>
          <w:szCs w:val="15"/>
        </w:rPr>
        <w:t>钙</w:t>
      </w:r>
    </w:p>
    <w:p w:rsidR="00EA40A3" w:rsidRDefault="00E86C16">
      <w:pPr>
        <w:spacing w:before="68" w:line="220" w:lineRule="auto"/>
        <w:rPr>
          <w:rFonts w:ascii="宋体" w:eastAsia="宋体" w:hAnsi="宋体" w:cs="宋体"/>
          <w:sz w:val="15"/>
          <w:szCs w:val="15"/>
        </w:rPr>
      </w:pPr>
      <w:r>
        <w:rPr>
          <w:rFonts w:ascii="宋体" w:eastAsia="宋体" w:hAnsi="宋体" w:cs="宋体"/>
          <w:spacing w:val="-3"/>
          <w:sz w:val="15"/>
          <w:szCs w:val="15"/>
        </w:rPr>
        <w:t>amino</w:t>
      </w:r>
      <w:r>
        <w:rPr>
          <w:rFonts w:ascii="宋体" w:eastAsia="宋体" w:hAnsi="宋体" w:cs="宋体"/>
          <w:spacing w:val="3"/>
          <w:sz w:val="15"/>
          <w:szCs w:val="15"/>
        </w:rPr>
        <w:t xml:space="preserve"> </w:t>
      </w:r>
      <w:r>
        <w:rPr>
          <w:rFonts w:ascii="宋体" w:eastAsia="宋体" w:hAnsi="宋体" w:cs="宋体"/>
          <w:spacing w:val="-3"/>
          <w:sz w:val="15"/>
          <w:szCs w:val="15"/>
        </w:rPr>
        <w:t>acid</w:t>
      </w:r>
      <w:r>
        <w:rPr>
          <w:rFonts w:ascii="宋体" w:eastAsia="宋体" w:hAnsi="宋体" w:cs="宋体"/>
          <w:spacing w:val="-4"/>
          <w:sz w:val="15"/>
          <w:szCs w:val="15"/>
        </w:rPr>
        <w:t xml:space="preserve"> </w:t>
      </w:r>
      <w:r>
        <w:rPr>
          <w:rFonts w:ascii="宋体" w:eastAsia="宋体" w:hAnsi="宋体" w:cs="宋体"/>
          <w:spacing w:val="-3"/>
          <w:sz w:val="15"/>
          <w:szCs w:val="15"/>
        </w:rPr>
        <w:t>pattern</w:t>
      </w:r>
      <w:r>
        <w:rPr>
          <w:rFonts w:ascii="宋体" w:eastAsia="宋体" w:hAnsi="宋体" w:cs="宋体"/>
          <w:spacing w:val="71"/>
          <w:sz w:val="15"/>
          <w:szCs w:val="15"/>
        </w:rPr>
        <w:t xml:space="preserve"> </w:t>
      </w:r>
      <w:r>
        <w:rPr>
          <w:rFonts w:ascii="宋体" w:eastAsia="宋体" w:hAnsi="宋体" w:cs="宋体"/>
          <w:spacing w:val="-3"/>
          <w:sz w:val="15"/>
          <w:szCs w:val="15"/>
        </w:rPr>
        <w:t>氨基酸模式</w:t>
      </w:r>
      <w:r>
        <w:rPr>
          <w:rFonts w:ascii="宋体" w:eastAsia="宋体" w:hAnsi="宋体" w:cs="宋体"/>
          <w:spacing w:val="2"/>
          <w:sz w:val="15"/>
          <w:szCs w:val="15"/>
        </w:rPr>
        <w:t xml:space="preserve">                    </w:t>
      </w:r>
      <w:r>
        <w:rPr>
          <w:rFonts w:ascii="宋体" w:eastAsia="宋体" w:hAnsi="宋体" w:cs="宋体"/>
          <w:spacing w:val="-3"/>
          <w:sz w:val="15"/>
          <w:szCs w:val="15"/>
        </w:rPr>
        <w:t>cancer</w:t>
      </w:r>
      <w:r>
        <w:rPr>
          <w:rFonts w:ascii="宋体" w:eastAsia="宋体" w:hAnsi="宋体" w:cs="宋体"/>
          <w:spacing w:val="73"/>
          <w:sz w:val="15"/>
          <w:szCs w:val="15"/>
        </w:rPr>
        <w:t xml:space="preserve"> </w:t>
      </w:r>
      <w:r>
        <w:rPr>
          <w:rFonts w:ascii="宋体" w:eastAsia="宋体" w:hAnsi="宋体" w:cs="宋体"/>
          <w:spacing w:val="-3"/>
          <w:sz w:val="15"/>
          <w:szCs w:val="15"/>
        </w:rPr>
        <w:t>癌症</w:t>
      </w:r>
    </w:p>
    <w:p w:rsidR="00EA40A3" w:rsidRDefault="00E86C16">
      <w:pPr>
        <w:spacing w:before="71" w:line="217" w:lineRule="auto"/>
        <w:rPr>
          <w:rFonts w:ascii="宋体" w:eastAsia="宋体" w:hAnsi="宋体" w:cs="宋体"/>
          <w:sz w:val="15"/>
          <w:szCs w:val="15"/>
        </w:rPr>
      </w:pPr>
      <w:r>
        <w:rPr>
          <w:rFonts w:ascii="宋体" w:eastAsia="宋体" w:hAnsi="宋体" w:cs="宋体"/>
          <w:spacing w:val="-3"/>
          <w:sz w:val="15"/>
          <w:szCs w:val="15"/>
        </w:rPr>
        <w:t>amino</w:t>
      </w:r>
      <w:r>
        <w:rPr>
          <w:rFonts w:ascii="宋体" w:eastAsia="宋体" w:hAnsi="宋体" w:cs="宋体"/>
          <w:spacing w:val="48"/>
          <w:sz w:val="15"/>
          <w:szCs w:val="15"/>
        </w:rPr>
        <w:t xml:space="preserve"> </w:t>
      </w:r>
      <w:r>
        <w:rPr>
          <w:rFonts w:ascii="宋体" w:eastAsia="宋体" w:hAnsi="宋体" w:cs="宋体"/>
          <w:spacing w:val="-3"/>
          <w:sz w:val="15"/>
          <w:szCs w:val="15"/>
        </w:rPr>
        <w:t>acid</w:t>
      </w:r>
      <w:r>
        <w:rPr>
          <w:rFonts w:ascii="宋体" w:eastAsia="宋体" w:hAnsi="宋体" w:cs="宋体"/>
          <w:spacing w:val="50"/>
          <w:sz w:val="15"/>
          <w:szCs w:val="15"/>
        </w:rPr>
        <w:t xml:space="preserve"> </w:t>
      </w:r>
      <w:r>
        <w:rPr>
          <w:rFonts w:ascii="宋体" w:eastAsia="宋体" w:hAnsi="宋体" w:cs="宋体"/>
          <w:spacing w:val="-3"/>
          <w:sz w:val="15"/>
          <w:szCs w:val="15"/>
        </w:rPr>
        <w:t>score,AAS</w:t>
      </w:r>
      <w:r>
        <w:rPr>
          <w:rFonts w:ascii="宋体" w:eastAsia="宋体" w:hAnsi="宋体" w:cs="宋体"/>
          <w:spacing w:val="56"/>
          <w:w w:val="101"/>
          <w:sz w:val="15"/>
          <w:szCs w:val="15"/>
        </w:rPr>
        <w:t xml:space="preserve"> </w:t>
      </w:r>
      <w:r>
        <w:rPr>
          <w:rFonts w:ascii="宋体" w:eastAsia="宋体" w:hAnsi="宋体" w:cs="宋体"/>
          <w:spacing w:val="-3"/>
          <w:sz w:val="15"/>
          <w:szCs w:val="15"/>
        </w:rPr>
        <w:t>氨基酸评分</w:t>
      </w:r>
      <w:r>
        <w:rPr>
          <w:rFonts w:ascii="宋体" w:eastAsia="宋体" w:hAnsi="宋体" w:cs="宋体"/>
          <w:spacing w:val="4"/>
          <w:sz w:val="15"/>
          <w:szCs w:val="15"/>
        </w:rPr>
        <w:t xml:space="preserve">               </w:t>
      </w:r>
      <w:r>
        <w:rPr>
          <w:rFonts w:ascii="宋体" w:eastAsia="宋体" w:hAnsi="宋体" w:cs="宋体"/>
          <w:spacing w:val="-3"/>
          <w:sz w:val="15"/>
          <w:szCs w:val="15"/>
        </w:rPr>
        <w:t>capric</w:t>
      </w:r>
      <w:r>
        <w:rPr>
          <w:rFonts w:ascii="宋体" w:eastAsia="宋体" w:hAnsi="宋体" w:cs="宋体"/>
          <w:spacing w:val="1"/>
          <w:sz w:val="15"/>
          <w:szCs w:val="15"/>
        </w:rPr>
        <w:t xml:space="preserve"> </w:t>
      </w:r>
      <w:r>
        <w:rPr>
          <w:rFonts w:ascii="宋体" w:eastAsia="宋体" w:hAnsi="宋体" w:cs="宋体"/>
          <w:spacing w:val="-3"/>
          <w:sz w:val="15"/>
          <w:szCs w:val="15"/>
        </w:rPr>
        <w:t>acid</w:t>
      </w:r>
      <w:r>
        <w:rPr>
          <w:rFonts w:ascii="宋体" w:eastAsia="宋体" w:hAnsi="宋体" w:cs="宋体"/>
          <w:spacing w:val="72"/>
          <w:sz w:val="15"/>
          <w:szCs w:val="15"/>
        </w:rPr>
        <w:t xml:space="preserve"> </w:t>
      </w:r>
      <w:r>
        <w:rPr>
          <w:rFonts w:ascii="宋体" w:eastAsia="宋体" w:hAnsi="宋体" w:cs="宋体"/>
          <w:spacing w:val="-3"/>
          <w:sz w:val="15"/>
          <w:szCs w:val="15"/>
        </w:rPr>
        <w:t>癸</w:t>
      </w:r>
      <w:r>
        <w:rPr>
          <w:rFonts w:ascii="宋体" w:eastAsia="宋体" w:hAnsi="宋体" w:cs="宋体"/>
          <w:spacing w:val="-26"/>
          <w:sz w:val="15"/>
          <w:szCs w:val="15"/>
        </w:rPr>
        <w:t xml:space="preserve"> </w:t>
      </w:r>
      <w:r>
        <w:rPr>
          <w:rFonts w:ascii="宋体" w:eastAsia="宋体" w:hAnsi="宋体" w:cs="宋体"/>
          <w:spacing w:val="-3"/>
          <w:sz w:val="15"/>
          <w:szCs w:val="15"/>
        </w:rPr>
        <w:t>酸</w:t>
      </w:r>
    </w:p>
    <w:p w:rsidR="00EA40A3" w:rsidRDefault="00EA40A3">
      <w:pPr>
        <w:spacing w:line="74" w:lineRule="exact"/>
      </w:pPr>
    </w:p>
    <w:tbl>
      <w:tblPr>
        <w:tblStyle w:val="TableNormal"/>
        <w:tblW w:w="5507"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638"/>
        <w:gridCol w:w="2869"/>
      </w:tblGrid>
      <w:tr w:rsidR="00EA40A3">
        <w:trPr>
          <w:trHeight w:val="200"/>
        </w:trPr>
        <w:tc>
          <w:tcPr>
            <w:tcW w:w="2638" w:type="dxa"/>
          </w:tcPr>
          <w:p w:rsidR="00EA40A3" w:rsidRDefault="00E86C16">
            <w:pPr>
              <w:spacing w:line="215" w:lineRule="auto"/>
              <w:rPr>
                <w:rFonts w:ascii="宋体" w:eastAsia="宋体" w:hAnsi="宋体" w:cs="宋体"/>
                <w:sz w:val="15"/>
                <w:szCs w:val="15"/>
              </w:rPr>
            </w:pPr>
            <w:r>
              <w:rPr>
                <w:rFonts w:ascii="宋体" w:eastAsia="宋体" w:hAnsi="宋体" w:cs="宋体"/>
                <w:sz w:val="15"/>
                <w:szCs w:val="15"/>
              </w:rPr>
              <w:t>amylase</w:t>
            </w:r>
            <w:r>
              <w:rPr>
                <w:rFonts w:ascii="宋体" w:eastAsia="宋体" w:hAnsi="宋体" w:cs="宋体"/>
                <w:spacing w:val="56"/>
                <w:w w:val="101"/>
                <w:sz w:val="15"/>
                <w:szCs w:val="15"/>
              </w:rPr>
              <w:t xml:space="preserve"> </w:t>
            </w:r>
            <w:r>
              <w:rPr>
                <w:rFonts w:ascii="宋体" w:eastAsia="宋体" w:hAnsi="宋体" w:cs="宋体"/>
                <w:spacing w:val="6"/>
                <w:sz w:val="15"/>
                <w:szCs w:val="15"/>
              </w:rPr>
              <w:t>淀粉酶</w:t>
            </w:r>
          </w:p>
        </w:tc>
        <w:tc>
          <w:tcPr>
            <w:tcW w:w="2869" w:type="dxa"/>
          </w:tcPr>
          <w:p w:rsidR="00EA40A3" w:rsidRDefault="00E86C16">
            <w:pPr>
              <w:spacing w:line="214" w:lineRule="auto"/>
              <w:ind w:left="1071"/>
              <w:rPr>
                <w:rFonts w:ascii="宋体" w:eastAsia="宋体" w:hAnsi="宋体" w:cs="宋体"/>
                <w:sz w:val="15"/>
                <w:szCs w:val="15"/>
              </w:rPr>
            </w:pPr>
            <w:r>
              <w:rPr>
                <w:rFonts w:ascii="宋体" w:eastAsia="宋体" w:hAnsi="宋体" w:cs="宋体"/>
                <w:spacing w:val="-10"/>
                <w:sz w:val="15"/>
                <w:szCs w:val="15"/>
              </w:rPr>
              <w:t>caproic</w:t>
            </w:r>
            <w:r>
              <w:rPr>
                <w:rFonts w:ascii="宋体" w:eastAsia="宋体" w:hAnsi="宋体" w:cs="宋体"/>
                <w:spacing w:val="-2"/>
                <w:sz w:val="15"/>
                <w:szCs w:val="15"/>
              </w:rPr>
              <w:t xml:space="preserve"> </w:t>
            </w:r>
            <w:r>
              <w:rPr>
                <w:rFonts w:ascii="宋体" w:eastAsia="宋体" w:hAnsi="宋体" w:cs="宋体"/>
                <w:spacing w:val="-10"/>
                <w:sz w:val="15"/>
                <w:szCs w:val="15"/>
              </w:rPr>
              <w:t>acid</w:t>
            </w:r>
            <w:r>
              <w:rPr>
                <w:rFonts w:ascii="宋体" w:eastAsia="宋体" w:hAnsi="宋体" w:cs="宋体"/>
                <w:spacing w:val="8"/>
                <w:sz w:val="15"/>
                <w:szCs w:val="15"/>
              </w:rPr>
              <w:t xml:space="preserve">  </w:t>
            </w:r>
            <w:r>
              <w:rPr>
                <w:rFonts w:ascii="宋体" w:eastAsia="宋体" w:hAnsi="宋体" w:cs="宋体"/>
                <w:spacing w:val="-10"/>
                <w:sz w:val="15"/>
                <w:szCs w:val="15"/>
              </w:rPr>
              <w:t>己酸</w:t>
            </w:r>
          </w:p>
        </w:tc>
      </w:tr>
      <w:tr w:rsidR="00EA40A3">
        <w:trPr>
          <w:trHeight w:val="250"/>
        </w:trPr>
        <w:tc>
          <w:tcPr>
            <w:tcW w:w="2638" w:type="dxa"/>
          </w:tcPr>
          <w:p w:rsidR="00EA40A3" w:rsidRDefault="00E86C16">
            <w:pPr>
              <w:spacing w:before="50" w:line="214" w:lineRule="auto"/>
              <w:rPr>
                <w:rFonts w:ascii="宋体" w:eastAsia="宋体" w:hAnsi="宋体" w:cs="宋体"/>
                <w:sz w:val="15"/>
                <w:szCs w:val="15"/>
              </w:rPr>
            </w:pPr>
            <w:r>
              <w:rPr>
                <w:rFonts w:ascii="宋体" w:eastAsia="宋体" w:hAnsi="宋体" w:cs="宋体"/>
                <w:sz w:val="15"/>
                <w:szCs w:val="15"/>
              </w:rPr>
              <w:t>amylopectin</w:t>
            </w:r>
            <w:r>
              <w:rPr>
                <w:rFonts w:ascii="宋体" w:eastAsia="宋体" w:hAnsi="宋体" w:cs="宋体"/>
                <w:spacing w:val="61"/>
                <w:sz w:val="15"/>
                <w:szCs w:val="15"/>
              </w:rPr>
              <w:t xml:space="preserve"> </w:t>
            </w:r>
            <w:r>
              <w:rPr>
                <w:rFonts w:ascii="宋体" w:eastAsia="宋体" w:hAnsi="宋体" w:cs="宋体"/>
                <w:spacing w:val="1"/>
                <w:sz w:val="15"/>
                <w:szCs w:val="15"/>
              </w:rPr>
              <w:t>支链淀粉</w:t>
            </w:r>
          </w:p>
        </w:tc>
        <w:tc>
          <w:tcPr>
            <w:tcW w:w="2869" w:type="dxa"/>
          </w:tcPr>
          <w:p w:rsidR="00EA40A3" w:rsidRDefault="00E86C16">
            <w:pPr>
              <w:spacing w:before="50" w:line="214" w:lineRule="auto"/>
              <w:ind w:left="1071"/>
              <w:rPr>
                <w:rFonts w:ascii="宋体" w:eastAsia="宋体" w:hAnsi="宋体" w:cs="宋体"/>
                <w:sz w:val="15"/>
                <w:szCs w:val="15"/>
              </w:rPr>
            </w:pPr>
            <w:r>
              <w:rPr>
                <w:rFonts w:ascii="宋体" w:eastAsia="宋体" w:hAnsi="宋体" w:cs="宋体"/>
                <w:spacing w:val="-12"/>
                <w:sz w:val="15"/>
                <w:szCs w:val="15"/>
              </w:rPr>
              <w:t>caprylic</w:t>
            </w:r>
            <w:r>
              <w:rPr>
                <w:rFonts w:ascii="宋体" w:eastAsia="宋体" w:hAnsi="宋体" w:cs="宋体"/>
                <w:spacing w:val="5"/>
                <w:sz w:val="15"/>
                <w:szCs w:val="15"/>
              </w:rPr>
              <w:t xml:space="preserve"> </w:t>
            </w:r>
            <w:r>
              <w:rPr>
                <w:rFonts w:ascii="宋体" w:eastAsia="宋体" w:hAnsi="宋体" w:cs="宋体"/>
                <w:spacing w:val="-12"/>
                <w:sz w:val="15"/>
                <w:szCs w:val="15"/>
              </w:rPr>
              <w:t>acid</w:t>
            </w:r>
            <w:r>
              <w:rPr>
                <w:rFonts w:ascii="宋体" w:eastAsia="宋体" w:hAnsi="宋体" w:cs="宋体"/>
                <w:spacing w:val="62"/>
                <w:sz w:val="15"/>
                <w:szCs w:val="15"/>
              </w:rPr>
              <w:t xml:space="preserve"> </w:t>
            </w:r>
            <w:r>
              <w:rPr>
                <w:rFonts w:ascii="宋体" w:eastAsia="宋体" w:hAnsi="宋体" w:cs="宋体"/>
                <w:spacing w:val="-12"/>
                <w:sz w:val="15"/>
                <w:szCs w:val="15"/>
              </w:rPr>
              <w:t>辛</w:t>
            </w:r>
            <w:r>
              <w:rPr>
                <w:rFonts w:ascii="宋体" w:eastAsia="宋体" w:hAnsi="宋体" w:cs="宋体"/>
                <w:spacing w:val="-33"/>
                <w:sz w:val="15"/>
                <w:szCs w:val="15"/>
              </w:rPr>
              <w:t xml:space="preserve"> </w:t>
            </w:r>
            <w:r>
              <w:rPr>
                <w:rFonts w:ascii="宋体" w:eastAsia="宋体" w:hAnsi="宋体" w:cs="宋体"/>
                <w:spacing w:val="-12"/>
                <w:sz w:val="15"/>
                <w:szCs w:val="15"/>
              </w:rPr>
              <w:t>酸</w:t>
            </w:r>
          </w:p>
        </w:tc>
      </w:tr>
      <w:tr w:rsidR="00EA40A3">
        <w:trPr>
          <w:trHeight w:val="200"/>
        </w:trPr>
        <w:tc>
          <w:tcPr>
            <w:tcW w:w="2638" w:type="dxa"/>
          </w:tcPr>
          <w:p w:rsidR="00EA40A3" w:rsidRDefault="00E86C16">
            <w:pPr>
              <w:spacing w:before="50" w:line="197" w:lineRule="auto"/>
              <w:rPr>
                <w:rFonts w:ascii="宋体" w:eastAsia="宋体" w:hAnsi="宋体" w:cs="宋体"/>
                <w:sz w:val="14"/>
                <w:szCs w:val="14"/>
              </w:rPr>
            </w:pPr>
            <w:r>
              <w:rPr>
                <w:rFonts w:ascii="宋体" w:eastAsia="宋体" w:hAnsi="宋体" w:cs="宋体"/>
                <w:sz w:val="14"/>
                <w:szCs w:val="14"/>
              </w:rPr>
              <w:t>amylose</w:t>
            </w:r>
            <w:r>
              <w:rPr>
                <w:rFonts w:ascii="宋体" w:eastAsia="宋体" w:hAnsi="宋体" w:cs="宋体"/>
                <w:spacing w:val="5"/>
                <w:sz w:val="14"/>
                <w:szCs w:val="14"/>
              </w:rPr>
              <w:t xml:space="preserve">  </w:t>
            </w:r>
            <w:r>
              <w:rPr>
                <w:rFonts w:ascii="宋体" w:eastAsia="宋体" w:hAnsi="宋体" w:cs="宋体"/>
                <w:spacing w:val="26"/>
                <w:sz w:val="14"/>
                <w:szCs w:val="14"/>
              </w:rPr>
              <w:t>直链淀粉</w:t>
            </w:r>
          </w:p>
        </w:tc>
        <w:tc>
          <w:tcPr>
            <w:tcW w:w="2869" w:type="dxa"/>
          </w:tcPr>
          <w:p w:rsidR="00EA40A3" w:rsidRDefault="00E86C16">
            <w:pPr>
              <w:spacing w:before="50" w:line="197" w:lineRule="auto"/>
              <w:jc w:val="right"/>
              <w:rPr>
                <w:rFonts w:ascii="宋体" w:eastAsia="宋体" w:hAnsi="宋体" w:cs="宋体"/>
                <w:sz w:val="14"/>
                <w:szCs w:val="14"/>
              </w:rPr>
            </w:pPr>
            <w:r>
              <w:rPr>
                <w:rFonts w:ascii="宋体" w:eastAsia="宋体" w:hAnsi="宋体" w:cs="宋体"/>
                <w:sz w:val="14"/>
                <w:szCs w:val="14"/>
              </w:rPr>
              <w:t>carbohydrate</w:t>
            </w:r>
            <w:r>
              <w:rPr>
                <w:rFonts w:ascii="宋体" w:eastAsia="宋体" w:hAnsi="宋体" w:cs="宋体"/>
                <w:spacing w:val="61"/>
                <w:sz w:val="14"/>
                <w:szCs w:val="14"/>
              </w:rPr>
              <w:t xml:space="preserve"> </w:t>
            </w:r>
            <w:r>
              <w:rPr>
                <w:rFonts w:ascii="宋体" w:eastAsia="宋体" w:hAnsi="宋体" w:cs="宋体"/>
                <w:spacing w:val="25"/>
                <w:sz w:val="14"/>
                <w:szCs w:val="14"/>
              </w:rPr>
              <w:t>碳水化合物</w:t>
            </w:r>
          </w:p>
        </w:tc>
      </w:tr>
    </w:tbl>
    <w:p w:rsidR="00EA40A3" w:rsidRDefault="00EA40A3">
      <w:pPr>
        <w:spacing w:line="99" w:lineRule="exact"/>
      </w:pPr>
    </w:p>
    <w:tbl>
      <w:tblPr>
        <w:tblStyle w:val="TableNormal"/>
        <w:tblW w:w="7256"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948"/>
        <w:gridCol w:w="4308"/>
      </w:tblGrid>
      <w:tr w:rsidR="00EA40A3">
        <w:trPr>
          <w:trHeight w:val="201"/>
        </w:trPr>
        <w:tc>
          <w:tcPr>
            <w:tcW w:w="2948" w:type="dxa"/>
          </w:tcPr>
          <w:p w:rsidR="00EA40A3" w:rsidRDefault="00E86C16">
            <w:pPr>
              <w:spacing w:line="213" w:lineRule="auto"/>
              <w:rPr>
                <w:rFonts w:ascii="宋体" w:eastAsia="宋体" w:hAnsi="宋体" w:cs="宋体"/>
                <w:sz w:val="15"/>
                <w:szCs w:val="15"/>
              </w:rPr>
            </w:pPr>
            <w:r>
              <w:rPr>
                <w:rFonts w:ascii="宋体" w:eastAsia="宋体" w:hAnsi="宋体" w:cs="宋体"/>
                <w:sz w:val="15"/>
                <w:szCs w:val="15"/>
              </w:rPr>
              <w:t>angiotensin</w:t>
            </w:r>
            <w:r>
              <w:rPr>
                <w:rFonts w:ascii="宋体" w:eastAsia="宋体" w:hAnsi="宋体" w:cs="宋体"/>
                <w:spacing w:val="6"/>
                <w:sz w:val="15"/>
                <w:szCs w:val="15"/>
              </w:rPr>
              <w:t>,</w:t>
            </w:r>
            <w:r>
              <w:rPr>
                <w:rFonts w:ascii="宋体" w:eastAsia="宋体" w:hAnsi="宋体" w:cs="宋体"/>
                <w:sz w:val="15"/>
                <w:szCs w:val="15"/>
              </w:rPr>
              <w:t>AGT</w:t>
            </w:r>
            <w:r>
              <w:rPr>
                <w:rFonts w:ascii="宋体" w:eastAsia="宋体" w:hAnsi="宋体" w:cs="宋体"/>
                <w:spacing w:val="16"/>
                <w:sz w:val="15"/>
                <w:szCs w:val="15"/>
              </w:rPr>
              <w:t xml:space="preserve">   </w:t>
            </w:r>
            <w:r>
              <w:rPr>
                <w:rFonts w:ascii="宋体" w:eastAsia="宋体" w:hAnsi="宋体" w:cs="宋体"/>
                <w:spacing w:val="6"/>
                <w:sz w:val="15"/>
                <w:szCs w:val="15"/>
              </w:rPr>
              <w:t>血管紧张素</w:t>
            </w:r>
          </w:p>
        </w:tc>
        <w:tc>
          <w:tcPr>
            <w:tcW w:w="4308" w:type="dxa"/>
          </w:tcPr>
          <w:p w:rsidR="00EA40A3" w:rsidRDefault="00E86C16">
            <w:pPr>
              <w:spacing w:before="2" w:line="216" w:lineRule="auto"/>
              <w:ind w:left="761"/>
              <w:rPr>
                <w:rFonts w:ascii="宋体" w:eastAsia="宋体" w:hAnsi="宋体" w:cs="宋体"/>
                <w:sz w:val="15"/>
                <w:szCs w:val="15"/>
              </w:rPr>
            </w:pPr>
            <w:r>
              <w:rPr>
                <w:rFonts w:ascii="宋体" w:eastAsia="宋体" w:hAnsi="宋体" w:cs="宋体"/>
                <w:sz w:val="15"/>
                <w:szCs w:val="15"/>
              </w:rPr>
              <w:t>cardiovascular</w:t>
            </w:r>
            <w:r>
              <w:rPr>
                <w:rFonts w:ascii="宋体" w:eastAsia="宋体" w:hAnsi="宋体" w:cs="宋体"/>
                <w:spacing w:val="8"/>
                <w:sz w:val="15"/>
                <w:szCs w:val="15"/>
              </w:rPr>
              <w:t xml:space="preserve"> </w:t>
            </w:r>
            <w:r>
              <w:rPr>
                <w:rFonts w:ascii="宋体" w:eastAsia="宋体" w:hAnsi="宋体" w:cs="宋体"/>
                <w:sz w:val="15"/>
                <w:szCs w:val="15"/>
              </w:rPr>
              <w:t>disease</w:t>
            </w:r>
            <w:r>
              <w:rPr>
                <w:rFonts w:ascii="宋体" w:eastAsia="宋体" w:hAnsi="宋体" w:cs="宋体"/>
                <w:spacing w:val="7"/>
                <w:sz w:val="15"/>
                <w:szCs w:val="15"/>
              </w:rPr>
              <w:t>,</w:t>
            </w:r>
            <w:r>
              <w:rPr>
                <w:rFonts w:ascii="宋体" w:eastAsia="宋体" w:hAnsi="宋体" w:cs="宋体"/>
                <w:sz w:val="15"/>
                <w:szCs w:val="15"/>
              </w:rPr>
              <w:t>CVD</w:t>
            </w:r>
            <w:r>
              <w:rPr>
                <w:rFonts w:ascii="宋体" w:eastAsia="宋体" w:hAnsi="宋体" w:cs="宋体"/>
                <w:spacing w:val="54"/>
                <w:sz w:val="15"/>
                <w:szCs w:val="15"/>
              </w:rPr>
              <w:t xml:space="preserve"> </w:t>
            </w:r>
            <w:r>
              <w:rPr>
                <w:rFonts w:ascii="宋体" w:eastAsia="宋体" w:hAnsi="宋体" w:cs="宋体"/>
                <w:spacing w:val="7"/>
                <w:sz w:val="15"/>
                <w:szCs w:val="15"/>
              </w:rPr>
              <w:t>心血管疾病</w:t>
            </w:r>
          </w:p>
        </w:tc>
      </w:tr>
      <w:tr w:rsidR="00EA40A3">
        <w:trPr>
          <w:trHeight w:val="200"/>
        </w:trPr>
        <w:tc>
          <w:tcPr>
            <w:tcW w:w="2948" w:type="dxa"/>
          </w:tcPr>
          <w:p w:rsidR="00EA40A3" w:rsidRDefault="00E86C16">
            <w:pPr>
              <w:spacing w:before="49" w:line="198" w:lineRule="auto"/>
              <w:rPr>
                <w:rFonts w:ascii="宋体" w:eastAsia="宋体" w:hAnsi="宋体" w:cs="宋体"/>
                <w:sz w:val="14"/>
                <w:szCs w:val="14"/>
              </w:rPr>
            </w:pPr>
            <w:r>
              <w:rPr>
                <w:rFonts w:ascii="宋体" w:eastAsia="宋体" w:hAnsi="宋体" w:cs="宋体"/>
                <w:sz w:val="14"/>
                <w:szCs w:val="14"/>
              </w:rPr>
              <w:t>anthocyanin</w:t>
            </w:r>
            <w:r>
              <w:rPr>
                <w:rFonts w:ascii="宋体" w:eastAsia="宋体" w:hAnsi="宋体" w:cs="宋体"/>
                <w:spacing w:val="2"/>
                <w:sz w:val="14"/>
                <w:szCs w:val="14"/>
              </w:rPr>
              <w:t xml:space="preserve">  </w:t>
            </w:r>
            <w:r>
              <w:rPr>
                <w:rFonts w:ascii="宋体" w:eastAsia="宋体" w:hAnsi="宋体" w:cs="宋体"/>
                <w:spacing w:val="27"/>
                <w:sz w:val="14"/>
                <w:szCs w:val="14"/>
              </w:rPr>
              <w:t>花青素</w:t>
            </w:r>
          </w:p>
        </w:tc>
        <w:tc>
          <w:tcPr>
            <w:tcW w:w="4308" w:type="dxa"/>
          </w:tcPr>
          <w:p w:rsidR="00EA40A3" w:rsidRDefault="00E86C16">
            <w:pPr>
              <w:spacing w:before="49" w:line="198" w:lineRule="auto"/>
              <w:ind w:left="761"/>
              <w:rPr>
                <w:rFonts w:ascii="宋体" w:eastAsia="宋体" w:hAnsi="宋体" w:cs="宋体"/>
                <w:sz w:val="14"/>
                <w:szCs w:val="14"/>
              </w:rPr>
            </w:pPr>
            <w:r>
              <w:rPr>
                <w:rFonts w:ascii="宋体" w:eastAsia="宋体" w:hAnsi="宋体" w:cs="宋体"/>
                <w:sz w:val="14"/>
                <w:szCs w:val="14"/>
              </w:rPr>
              <w:t>carnitine</w:t>
            </w:r>
            <w:r>
              <w:rPr>
                <w:rFonts w:ascii="宋体" w:eastAsia="宋体" w:hAnsi="宋体" w:cs="宋体"/>
                <w:spacing w:val="6"/>
                <w:sz w:val="14"/>
                <w:szCs w:val="14"/>
              </w:rPr>
              <w:t xml:space="preserve"> </w:t>
            </w:r>
            <w:r>
              <w:rPr>
                <w:rFonts w:ascii="宋体" w:eastAsia="宋体" w:hAnsi="宋体" w:cs="宋体"/>
                <w:sz w:val="14"/>
                <w:szCs w:val="14"/>
              </w:rPr>
              <w:t>palmitoyltansferase</w:t>
            </w:r>
            <w:r>
              <w:rPr>
                <w:rFonts w:ascii="宋体" w:eastAsia="宋体" w:hAnsi="宋体" w:cs="宋体"/>
                <w:spacing w:val="32"/>
                <w:sz w:val="14"/>
                <w:szCs w:val="14"/>
              </w:rPr>
              <w:t>,</w:t>
            </w:r>
            <w:r>
              <w:rPr>
                <w:rFonts w:ascii="宋体" w:eastAsia="宋体" w:hAnsi="宋体" w:cs="宋体"/>
                <w:sz w:val="14"/>
                <w:szCs w:val="14"/>
              </w:rPr>
              <w:t>CPT</w:t>
            </w:r>
            <w:r>
              <w:rPr>
                <w:rFonts w:ascii="宋体" w:eastAsia="宋体" w:hAnsi="宋体" w:cs="宋体"/>
                <w:spacing w:val="12"/>
                <w:sz w:val="14"/>
                <w:szCs w:val="14"/>
              </w:rPr>
              <w:t xml:space="preserve">  </w:t>
            </w:r>
            <w:r>
              <w:rPr>
                <w:rFonts w:ascii="宋体" w:eastAsia="宋体" w:hAnsi="宋体" w:cs="宋体"/>
                <w:spacing w:val="32"/>
                <w:sz w:val="14"/>
                <w:szCs w:val="14"/>
              </w:rPr>
              <w:t>肉碱棕榈酰转</w:t>
            </w:r>
          </w:p>
        </w:tc>
      </w:tr>
    </w:tbl>
    <w:p w:rsidR="00EA40A3" w:rsidRDefault="00E86C16">
      <w:pPr>
        <w:spacing w:before="103" w:line="230" w:lineRule="auto"/>
        <w:rPr>
          <w:rFonts w:ascii="宋体" w:eastAsia="宋体" w:hAnsi="宋体" w:cs="宋体"/>
          <w:sz w:val="15"/>
          <w:szCs w:val="15"/>
        </w:rPr>
      </w:pPr>
      <w:r>
        <w:rPr>
          <w:rFonts w:ascii="宋体" w:eastAsia="宋体" w:hAnsi="宋体" w:cs="宋体"/>
          <w:spacing w:val="-6"/>
          <w:sz w:val="15"/>
          <w:szCs w:val="15"/>
        </w:rPr>
        <w:t>antiberiberic</w:t>
      </w:r>
      <w:r>
        <w:rPr>
          <w:rFonts w:ascii="宋体" w:eastAsia="宋体" w:hAnsi="宋体" w:cs="宋体"/>
          <w:spacing w:val="11"/>
          <w:sz w:val="15"/>
          <w:szCs w:val="15"/>
        </w:rPr>
        <w:t xml:space="preserve"> </w:t>
      </w:r>
      <w:r>
        <w:rPr>
          <w:rFonts w:ascii="宋体" w:eastAsia="宋体" w:hAnsi="宋体" w:cs="宋体"/>
          <w:spacing w:val="-6"/>
          <w:sz w:val="15"/>
          <w:szCs w:val="15"/>
        </w:rPr>
        <w:t>factor</w:t>
      </w:r>
      <w:r>
        <w:rPr>
          <w:rFonts w:ascii="宋体" w:eastAsia="宋体" w:hAnsi="宋体" w:cs="宋体"/>
          <w:spacing w:val="17"/>
          <w:sz w:val="15"/>
          <w:szCs w:val="15"/>
        </w:rPr>
        <w:t xml:space="preserve">  </w:t>
      </w:r>
      <w:r>
        <w:rPr>
          <w:rFonts w:ascii="宋体" w:eastAsia="宋体" w:hAnsi="宋体" w:cs="宋体"/>
          <w:spacing w:val="-6"/>
          <w:sz w:val="15"/>
          <w:szCs w:val="15"/>
        </w:rPr>
        <w:t>抗脚气病因子</w:t>
      </w:r>
      <w:r>
        <w:rPr>
          <w:rFonts w:ascii="宋体" w:eastAsia="宋体" w:hAnsi="宋体" w:cs="宋体"/>
          <w:spacing w:val="2"/>
          <w:sz w:val="15"/>
          <w:szCs w:val="15"/>
        </w:rPr>
        <w:t xml:space="preserve">                   </w:t>
      </w:r>
      <w:r>
        <w:rPr>
          <w:rFonts w:ascii="宋体" w:eastAsia="宋体" w:hAnsi="宋体" w:cs="宋体"/>
          <w:b/>
          <w:bCs/>
          <w:spacing w:val="-6"/>
          <w:position w:val="-4"/>
          <w:sz w:val="15"/>
          <w:szCs w:val="15"/>
        </w:rPr>
        <w:t>移酶</w:t>
      </w:r>
    </w:p>
    <w:p w:rsidR="00EA40A3" w:rsidRDefault="00E86C16">
      <w:pPr>
        <w:spacing w:before="20" w:line="224" w:lineRule="auto"/>
        <w:rPr>
          <w:rFonts w:ascii="宋体" w:eastAsia="宋体" w:hAnsi="宋体" w:cs="宋体"/>
          <w:sz w:val="15"/>
          <w:szCs w:val="15"/>
        </w:rPr>
      </w:pPr>
      <w:r>
        <w:rPr>
          <w:rFonts w:ascii="宋体" w:eastAsia="宋体" w:hAnsi="宋体" w:cs="宋体"/>
          <w:spacing w:val="-1"/>
          <w:position w:val="3"/>
          <w:sz w:val="15"/>
          <w:szCs w:val="15"/>
        </w:rPr>
        <w:t>antibody,Ab</w:t>
      </w:r>
      <w:r>
        <w:rPr>
          <w:rFonts w:ascii="宋体" w:eastAsia="宋体" w:hAnsi="宋体" w:cs="宋体"/>
          <w:spacing w:val="5"/>
          <w:position w:val="3"/>
          <w:sz w:val="15"/>
          <w:szCs w:val="15"/>
        </w:rPr>
        <w:t xml:space="preserve">   </w:t>
      </w:r>
      <w:r>
        <w:rPr>
          <w:rFonts w:ascii="宋体" w:eastAsia="宋体" w:hAnsi="宋体" w:cs="宋体"/>
          <w:spacing w:val="-1"/>
          <w:position w:val="3"/>
          <w:sz w:val="15"/>
          <w:szCs w:val="15"/>
        </w:rPr>
        <w:t>抗</w:t>
      </w:r>
      <w:r>
        <w:rPr>
          <w:rFonts w:ascii="宋体" w:eastAsia="宋体" w:hAnsi="宋体" w:cs="宋体"/>
          <w:spacing w:val="-25"/>
          <w:position w:val="3"/>
          <w:sz w:val="15"/>
          <w:szCs w:val="15"/>
        </w:rPr>
        <w:t xml:space="preserve"> </w:t>
      </w:r>
      <w:r>
        <w:rPr>
          <w:rFonts w:ascii="宋体" w:eastAsia="宋体" w:hAnsi="宋体" w:cs="宋体"/>
          <w:spacing w:val="-1"/>
          <w:position w:val="3"/>
          <w:sz w:val="15"/>
          <w:szCs w:val="15"/>
        </w:rPr>
        <w:t>体</w:t>
      </w:r>
      <w:r>
        <w:rPr>
          <w:rFonts w:ascii="宋体" w:eastAsia="宋体" w:hAnsi="宋体" w:cs="宋体"/>
          <w:spacing w:val="2"/>
          <w:position w:val="3"/>
          <w:sz w:val="15"/>
          <w:szCs w:val="15"/>
        </w:rPr>
        <w:t xml:space="preserve">                              </w:t>
      </w:r>
      <w:r>
        <w:rPr>
          <w:rFonts w:ascii="宋体" w:eastAsia="宋体" w:hAnsi="宋体" w:cs="宋体"/>
          <w:spacing w:val="-1"/>
          <w:position w:val="-1"/>
          <w:sz w:val="15"/>
          <w:szCs w:val="15"/>
        </w:rPr>
        <w:t>carotene</w:t>
      </w:r>
      <w:r>
        <w:rPr>
          <w:rFonts w:ascii="宋体" w:eastAsia="宋体" w:hAnsi="宋体" w:cs="宋体"/>
          <w:spacing w:val="8"/>
          <w:position w:val="-1"/>
          <w:sz w:val="15"/>
          <w:szCs w:val="15"/>
        </w:rPr>
        <w:t xml:space="preserve"> </w:t>
      </w:r>
      <w:r>
        <w:rPr>
          <w:rFonts w:ascii="宋体" w:eastAsia="宋体" w:hAnsi="宋体" w:cs="宋体"/>
          <w:spacing w:val="-1"/>
          <w:position w:val="-1"/>
          <w:sz w:val="15"/>
          <w:szCs w:val="15"/>
        </w:rPr>
        <w:t>dioxygenase</w:t>
      </w:r>
      <w:r>
        <w:rPr>
          <w:rFonts w:ascii="宋体" w:eastAsia="宋体" w:hAnsi="宋体" w:cs="宋体"/>
          <w:spacing w:val="46"/>
          <w:w w:val="101"/>
          <w:position w:val="-1"/>
          <w:sz w:val="15"/>
          <w:szCs w:val="15"/>
        </w:rPr>
        <w:t xml:space="preserve"> </w:t>
      </w:r>
      <w:r>
        <w:rPr>
          <w:rFonts w:ascii="宋体" w:eastAsia="宋体" w:hAnsi="宋体" w:cs="宋体"/>
          <w:spacing w:val="-1"/>
          <w:position w:val="-1"/>
          <w:sz w:val="15"/>
          <w:szCs w:val="15"/>
        </w:rPr>
        <w:t>胡萝卜素双氧化酶</w:t>
      </w:r>
    </w:p>
    <w:p w:rsidR="00EA40A3" w:rsidRDefault="00E86C16">
      <w:pPr>
        <w:spacing w:before="27" w:line="224" w:lineRule="auto"/>
        <w:rPr>
          <w:rFonts w:ascii="宋体" w:eastAsia="宋体" w:hAnsi="宋体" w:cs="宋体"/>
          <w:sz w:val="15"/>
          <w:szCs w:val="15"/>
        </w:rPr>
      </w:pPr>
      <w:r>
        <w:rPr>
          <w:rFonts w:ascii="宋体" w:eastAsia="宋体" w:hAnsi="宋体" w:cs="宋体"/>
          <w:spacing w:val="-1"/>
          <w:position w:val="3"/>
          <w:sz w:val="15"/>
          <w:szCs w:val="15"/>
        </w:rPr>
        <w:t>antigen,Ag</w:t>
      </w:r>
      <w:r>
        <w:rPr>
          <w:rFonts w:ascii="宋体" w:eastAsia="宋体" w:hAnsi="宋体" w:cs="宋体"/>
          <w:spacing w:val="33"/>
          <w:position w:val="3"/>
          <w:sz w:val="15"/>
          <w:szCs w:val="15"/>
        </w:rPr>
        <w:t xml:space="preserve">  </w:t>
      </w:r>
      <w:r>
        <w:rPr>
          <w:rFonts w:ascii="宋体" w:eastAsia="宋体" w:hAnsi="宋体" w:cs="宋体"/>
          <w:spacing w:val="-1"/>
          <w:position w:val="3"/>
          <w:sz w:val="15"/>
          <w:szCs w:val="15"/>
        </w:rPr>
        <w:t>抗</w:t>
      </w:r>
      <w:r>
        <w:rPr>
          <w:rFonts w:ascii="宋体" w:eastAsia="宋体" w:hAnsi="宋体" w:cs="宋体"/>
          <w:spacing w:val="-8"/>
          <w:position w:val="3"/>
          <w:sz w:val="15"/>
          <w:szCs w:val="15"/>
        </w:rPr>
        <w:t xml:space="preserve"> </w:t>
      </w:r>
      <w:r>
        <w:rPr>
          <w:rFonts w:ascii="宋体" w:eastAsia="宋体" w:hAnsi="宋体" w:cs="宋体"/>
          <w:spacing w:val="-1"/>
          <w:position w:val="3"/>
          <w:sz w:val="15"/>
          <w:szCs w:val="15"/>
        </w:rPr>
        <w:t>原</w:t>
      </w:r>
      <w:r>
        <w:rPr>
          <w:rFonts w:ascii="宋体" w:eastAsia="宋体" w:hAnsi="宋体" w:cs="宋体"/>
          <w:spacing w:val="2"/>
          <w:position w:val="3"/>
          <w:sz w:val="15"/>
          <w:szCs w:val="15"/>
        </w:rPr>
        <w:t xml:space="preserve">                               </w:t>
      </w:r>
      <w:r>
        <w:rPr>
          <w:rFonts w:ascii="宋体" w:eastAsia="宋体" w:hAnsi="宋体" w:cs="宋体"/>
          <w:spacing w:val="-1"/>
          <w:position w:val="-2"/>
          <w:sz w:val="15"/>
          <w:szCs w:val="15"/>
        </w:rPr>
        <w:t>carotenoid</w:t>
      </w:r>
      <w:r>
        <w:rPr>
          <w:rFonts w:ascii="宋体" w:eastAsia="宋体" w:hAnsi="宋体" w:cs="宋体"/>
          <w:spacing w:val="61"/>
          <w:w w:val="101"/>
          <w:position w:val="-2"/>
          <w:sz w:val="15"/>
          <w:szCs w:val="15"/>
        </w:rPr>
        <w:t xml:space="preserve"> </w:t>
      </w:r>
      <w:r>
        <w:rPr>
          <w:rFonts w:ascii="宋体" w:eastAsia="宋体" w:hAnsi="宋体" w:cs="宋体"/>
          <w:spacing w:val="-1"/>
          <w:position w:val="-2"/>
          <w:sz w:val="15"/>
          <w:szCs w:val="15"/>
        </w:rPr>
        <w:t>类</w:t>
      </w:r>
      <w:r>
        <w:rPr>
          <w:rFonts w:ascii="宋体" w:eastAsia="宋体" w:hAnsi="宋体" w:cs="宋体"/>
          <w:spacing w:val="-2"/>
          <w:position w:val="-2"/>
          <w:sz w:val="15"/>
          <w:szCs w:val="15"/>
        </w:rPr>
        <w:t>胡萝卜素</w:t>
      </w:r>
    </w:p>
    <w:p w:rsidR="00EA40A3" w:rsidRDefault="00E86C16">
      <w:pPr>
        <w:spacing w:before="22" w:line="222" w:lineRule="auto"/>
        <w:rPr>
          <w:rFonts w:ascii="宋体" w:eastAsia="宋体" w:hAnsi="宋体" w:cs="宋体"/>
          <w:sz w:val="15"/>
          <w:szCs w:val="15"/>
        </w:rPr>
      </w:pPr>
      <w:r>
        <w:rPr>
          <w:rFonts w:ascii="宋体" w:eastAsia="宋体" w:hAnsi="宋体" w:cs="宋体"/>
          <w:spacing w:val="-2"/>
          <w:position w:val="2"/>
          <w:sz w:val="15"/>
          <w:szCs w:val="15"/>
        </w:rPr>
        <w:t>antineuritic</w:t>
      </w:r>
      <w:r>
        <w:rPr>
          <w:rFonts w:ascii="宋体" w:eastAsia="宋体" w:hAnsi="宋体" w:cs="宋体"/>
          <w:spacing w:val="-5"/>
          <w:position w:val="2"/>
          <w:sz w:val="15"/>
          <w:szCs w:val="15"/>
        </w:rPr>
        <w:t xml:space="preserve"> </w:t>
      </w:r>
      <w:r>
        <w:rPr>
          <w:rFonts w:ascii="宋体" w:eastAsia="宋体" w:hAnsi="宋体" w:cs="宋体"/>
          <w:spacing w:val="-2"/>
          <w:position w:val="2"/>
          <w:sz w:val="15"/>
          <w:szCs w:val="15"/>
        </w:rPr>
        <w:t>factor</w:t>
      </w:r>
      <w:r>
        <w:rPr>
          <w:rFonts w:ascii="宋体" w:eastAsia="宋体" w:hAnsi="宋体" w:cs="宋体"/>
          <w:spacing w:val="49"/>
          <w:position w:val="2"/>
          <w:sz w:val="15"/>
          <w:szCs w:val="15"/>
        </w:rPr>
        <w:t xml:space="preserve"> </w:t>
      </w:r>
      <w:r>
        <w:rPr>
          <w:rFonts w:ascii="宋体" w:eastAsia="宋体" w:hAnsi="宋体" w:cs="宋体"/>
          <w:spacing w:val="-3"/>
          <w:position w:val="2"/>
          <w:sz w:val="15"/>
          <w:szCs w:val="15"/>
        </w:rPr>
        <w:t>抗神经炎因子</w:t>
      </w:r>
      <w:r>
        <w:rPr>
          <w:rFonts w:ascii="宋体" w:eastAsia="宋体" w:hAnsi="宋体" w:cs="宋体"/>
          <w:position w:val="2"/>
          <w:sz w:val="15"/>
          <w:szCs w:val="15"/>
        </w:rPr>
        <w:t xml:space="preserve">                   </w:t>
      </w:r>
      <w:r>
        <w:rPr>
          <w:rFonts w:ascii="宋体" w:eastAsia="宋体" w:hAnsi="宋体" w:cs="宋体"/>
          <w:spacing w:val="-2"/>
          <w:position w:val="-2"/>
          <w:sz w:val="15"/>
          <w:szCs w:val="15"/>
        </w:rPr>
        <w:t>casein</w:t>
      </w:r>
      <w:r>
        <w:rPr>
          <w:rFonts w:ascii="宋体" w:eastAsia="宋体" w:hAnsi="宋体" w:cs="宋体"/>
          <w:spacing w:val="72"/>
          <w:position w:val="-2"/>
          <w:sz w:val="15"/>
          <w:szCs w:val="15"/>
        </w:rPr>
        <w:t xml:space="preserve"> </w:t>
      </w:r>
      <w:r>
        <w:rPr>
          <w:rFonts w:ascii="宋体" w:eastAsia="宋体" w:hAnsi="宋体" w:cs="宋体"/>
          <w:spacing w:val="-2"/>
          <w:position w:val="-2"/>
          <w:sz w:val="15"/>
          <w:szCs w:val="15"/>
        </w:rPr>
        <w:t>phosphopeptide</w:t>
      </w:r>
      <w:r>
        <w:rPr>
          <w:rFonts w:ascii="宋体" w:eastAsia="宋体" w:hAnsi="宋体" w:cs="宋体"/>
          <w:spacing w:val="-3"/>
          <w:position w:val="-2"/>
          <w:sz w:val="15"/>
          <w:szCs w:val="15"/>
        </w:rPr>
        <w:t>,</w:t>
      </w:r>
      <w:r>
        <w:rPr>
          <w:rFonts w:ascii="宋体" w:eastAsia="宋体" w:hAnsi="宋体" w:cs="宋体"/>
          <w:spacing w:val="-2"/>
          <w:position w:val="-2"/>
          <w:sz w:val="15"/>
          <w:szCs w:val="15"/>
        </w:rPr>
        <w:t>C</w:t>
      </w:r>
      <w:r>
        <w:rPr>
          <w:rFonts w:ascii="宋体" w:eastAsia="宋体" w:hAnsi="宋体" w:cs="宋体"/>
          <w:spacing w:val="-3"/>
          <w:position w:val="-2"/>
          <w:sz w:val="15"/>
          <w:szCs w:val="15"/>
        </w:rPr>
        <w:t>PP</w:t>
      </w:r>
      <w:r>
        <w:rPr>
          <w:rFonts w:ascii="宋体" w:eastAsia="宋体" w:hAnsi="宋体" w:cs="宋体"/>
          <w:spacing w:val="17"/>
          <w:position w:val="-2"/>
          <w:sz w:val="15"/>
          <w:szCs w:val="15"/>
        </w:rPr>
        <w:t xml:space="preserve">  </w:t>
      </w:r>
      <w:r>
        <w:rPr>
          <w:rFonts w:ascii="宋体" w:eastAsia="宋体" w:hAnsi="宋体" w:cs="宋体"/>
          <w:spacing w:val="-3"/>
          <w:position w:val="-2"/>
          <w:sz w:val="15"/>
          <w:szCs w:val="15"/>
        </w:rPr>
        <w:t>酪蛋白磷酸肽</w:t>
      </w:r>
    </w:p>
    <w:p w:rsidR="00EA40A3" w:rsidRDefault="00E86C16">
      <w:pPr>
        <w:spacing w:before="26" w:line="238" w:lineRule="auto"/>
        <w:rPr>
          <w:rFonts w:ascii="宋体" w:eastAsia="宋体" w:hAnsi="宋体" w:cs="宋体"/>
          <w:sz w:val="15"/>
          <w:szCs w:val="15"/>
        </w:rPr>
      </w:pPr>
      <w:r>
        <w:rPr>
          <w:rFonts w:ascii="宋体" w:eastAsia="宋体" w:hAnsi="宋体" w:cs="宋体"/>
          <w:position w:val="1"/>
          <w:sz w:val="15"/>
          <w:szCs w:val="15"/>
        </w:rPr>
        <w:t>apolipoprotein,APO</w:t>
      </w:r>
      <w:r>
        <w:rPr>
          <w:rFonts w:ascii="宋体" w:eastAsia="宋体" w:hAnsi="宋体" w:cs="宋体"/>
          <w:spacing w:val="35"/>
          <w:w w:val="101"/>
          <w:position w:val="1"/>
          <w:sz w:val="15"/>
          <w:szCs w:val="15"/>
        </w:rPr>
        <w:t xml:space="preserve">  </w:t>
      </w:r>
      <w:r>
        <w:rPr>
          <w:rFonts w:ascii="宋体" w:eastAsia="宋体" w:hAnsi="宋体" w:cs="宋体"/>
          <w:position w:val="1"/>
          <w:sz w:val="15"/>
          <w:szCs w:val="15"/>
        </w:rPr>
        <w:t xml:space="preserve">载脂蛋白                    </w:t>
      </w:r>
      <w:r>
        <w:rPr>
          <w:rFonts w:ascii="宋体" w:eastAsia="宋体" w:hAnsi="宋体" w:cs="宋体"/>
          <w:position w:val="-3"/>
          <w:sz w:val="15"/>
          <w:szCs w:val="15"/>
        </w:rPr>
        <w:t>casein</w:t>
      </w:r>
      <w:r>
        <w:rPr>
          <w:rFonts w:ascii="宋体" w:eastAsia="宋体" w:hAnsi="宋体" w:cs="宋体"/>
          <w:spacing w:val="81"/>
          <w:w w:val="101"/>
          <w:position w:val="-3"/>
          <w:sz w:val="15"/>
          <w:szCs w:val="15"/>
        </w:rPr>
        <w:t xml:space="preserve"> </w:t>
      </w:r>
      <w:r>
        <w:rPr>
          <w:rFonts w:ascii="宋体" w:eastAsia="宋体" w:hAnsi="宋体" w:cs="宋体"/>
          <w:position w:val="-3"/>
          <w:sz w:val="15"/>
          <w:szCs w:val="15"/>
        </w:rPr>
        <w:t>酪蛋白</w:t>
      </w:r>
    </w:p>
    <w:p w:rsidR="00EA40A3" w:rsidRDefault="00E86C16">
      <w:pPr>
        <w:spacing w:before="16" w:line="232" w:lineRule="auto"/>
        <w:rPr>
          <w:rFonts w:ascii="宋体" w:eastAsia="宋体" w:hAnsi="宋体" w:cs="宋体"/>
          <w:sz w:val="15"/>
          <w:szCs w:val="15"/>
        </w:rPr>
      </w:pPr>
      <w:r>
        <w:rPr>
          <w:rFonts w:ascii="宋体" w:eastAsia="宋体" w:hAnsi="宋体" w:cs="宋体"/>
          <w:position w:val="1"/>
          <w:sz w:val="15"/>
          <w:szCs w:val="15"/>
        </w:rPr>
        <w:t>apparent</w:t>
      </w:r>
      <w:r>
        <w:rPr>
          <w:rFonts w:ascii="宋体" w:eastAsia="宋体" w:hAnsi="宋体" w:cs="宋体"/>
          <w:spacing w:val="9"/>
          <w:position w:val="1"/>
          <w:sz w:val="15"/>
          <w:szCs w:val="15"/>
        </w:rPr>
        <w:t xml:space="preserve"> </w:t>
      </w:r>
      <w:r>
        <w:rPr>
          <w:rFonts w:ascii="宋体" w:eastAsia="宋体" w:hAnsi="宋体" w:cs="宋体"/>
          <w:position w:val="1"/>
          <w:sz w:val="15"/>
          <w:szCs w:val="15"/>
        </w:rPr>
        <w:t>digestibility</w:t>
      </w:r>
      <w:r>
        <w:rPr>
          <w:rFonts w:ascii="宋体" w:eastAsia="宋体" w:hAnsi="宋体" w:cs="宋体"/>
          <w:spacing w:val="2"/>
          <w:position w:val="1"/>
          <w:sz w:val="15"/>
          <w:szCs w:val="15"/>
        </w:rPr>
        <w:t>,</w:t>
      </w:r>
      <w:r>
        <w:rPr>
          <w:rFonts w:ascii="宋体" w:eastAsia="宋体" w:hAnsi="宋体" w:cs="宋体"/>
          <w:position w:val="1"/>
          <w:sz w:val="15"/>
          <w:szCs w:val="15"/>
        </w:rPr>
        <w:t>AD</w:t>
      </w:r>
      <w:r>
        <w:rPr>
          <w:rFonts w:ascii="宋体" w:eastAsia="宋体" w:hAnsi="宋体" w:cs="宋体"/>
          <w:spacing w:val="50"/>
          <w:position w:val="1"/>
          <w:sz w:val="15"/>
          <w:szCs w:val="15"/>
        </w:rPr>
        <w:t xml:space="preserve"> </w:t>
      </w:r>
      <w:r>
        <w:rPr>
          <w:rFonts w:ascii="宋体" w:eastAsia="宋体" w:hAnsi="宋体" w:cs="宋体"/>
          <w:spacing w:val="2"/>
          <w:position w:val="1"/>
          <w:sz w:val="15"/>
          <w:szCs w:val="15"/>
        </w:rPr>
        <w:t>表观消化率</w:t>
      </w:r>
      <w:r>
        <w:rPr>
          <w:rFonts w:ascii="宋体" w:eastAsia="宋体" w:hAnsi="宋体" w:cs="宋体"/>
          <w:spacing w:val="1"/>
          <w:position w:val="1"/>
          <w:sz w:val="15"/>
          <w:szCs w:val="15"/>
        </w:rPr>
        <w:t xml:space="preserve">             </w:t>
      </w:r>
      <w:r>
        <w:rPr>
          <w:rFonts w:ascii="宋体" w:eastAsia="宋体" w:hAnsi="宋体" w:cs="宋体"/>
          <w:position w:val="-3"/>
          <w:sz w:val="15"/>
          <w:szCs w:val="15"/>
        </w:rPr>
        <w:t>catalase</w:t>
      </w:r>
      <w:r>
        <w:rPr>
          <w:rFonts w:ascii="宋体" w:eastAsia="宋体" w:hAnsi="宋体" w:cs="宋体"/>
          <w:spacing w:val="2"/>
          <w:position w:val="-3"/>
          <w:sz w:val="15"/>
          <w:szCs w:val="15"/>
        </w:rPr>
        <w:t>,</w:t>
      </w:r>
      <w:r>
        <w:rPr>
          <w:rFonts w:ascii="宋体" w:eastAsia="宋体" w:hAnsi="宋体" w:cs="宋体"/>
          <w:position w:val="-3"/>
          <w:sz w:val="15"/>
          <w:szCs w:val="15"/>
        </w:rPr>
        <w:t>CAT</w:t>
      </w:r>
      <w:r>
        <w:rPr>
          <w:rFonts w:ascii="宋体" w:eastAsia="宋体" w:hAnsi="宋体" w:cs="宋体"/>
          <w:spacing w:val="9"/>
          <w:position w:val="-3"/>
          <w:sz w:val="15"/>
          <w:szCs w:val="15"/>
        </w:rPr>
        <w:t xml:space="preserve">   </w:t>
      </w:r>
      <w:r>
        <w:rPr>
          <w:rFonts w:ascii="宋体" w:eastAsia="宋体" w:hAnsi="宋体" w:cs="宋体"/>
          <w:spacing w:val="2"/>
          <w:position w:val="-3"/>
          <w:sz w:val="15"/>
          <w:szCs w:val="15"/>
        </w:rPr>
        <w:t>过氧化氢酶</w:t>
      </w:r>
    </w:p>
    <w:p w:rsidR="00EA40A3" w:rsidRDefault="00E86C16">
      <w:pPr>
        <w:spacing w:before="27" w:line="219" w:lineRule="auto"/>
        <w:rPr>
          <w:rFonts w:ascii="宋体" w:eastAsia="宋体" w:hAnsi="宋体" w:cs="宋体"/>
          <w:sz w:val="15"/>
          <w:szCs w:val="15"/>
        </w:rPr>
      </w:pPr>
      <w:r>
        <w:rPr>
          <w:rFonts w:ascii="宋体" w:eastAsia="宋体" w:hAnsi="宋体" w:cs="宋体"/>
          <w:spacing w:val="-4"/>
          <w:position w:val="3"/>
          <w:sz w:val="15"/>
          <w:szCs w:val="15"/>
        </w:rPr>
        <w:t>arachidic</w:t>
      </w:r>
      <w:r>
        <w:rPr>
          <w:rFonts w:ascii="宋体" w:eastAsia="宋体" w:hAnsi="宋体" w:cs="宋体"/>
          <w:spacing w:val="-6"/>
          <w:position w:val="3"/>
          <w:sz w:val="15"/>
          <w:szCs w:val="15"/>
        </w:rPr>
        <w:t xml:space="preserve"> </w:t>
      </w:r>
      <w:r>
        <w:rPr>
          <w:rFonts w:ascii="宋体" w:eastAsia="宋体" w:hAnsi="宋体" w:cs="宋体"/>
          <w:spacing w:val="-4"/>
          <w:position w:val="3"/>
          <w:sz w:val="15"/>
          <w:szCs w:val="15"/>
        </w:rPr>
        <w:t>acid</w:t>
      </w:r>
      <w:r>
        <w:rPr>
          <w:rFonts w:ascii="宋体" w:eastAsia="宋体" w:hAnsi="宋体" w:cs="宋体"/>
          <w:spacing w:val="61"/>
          <w:position w:val="3"/>
          <w:sz w:val="15"/>
          <w:szCs w:val="15"/>
        </w:rPr>
        <w:t xml:space="preserve"> </w:t>
      </w:r>
      <w:r>
        <w:rPr>
          <w:rFonts w:ascii="宋体" w:eastAsia="宋体" w:hAnsi="宋体" w:cs="宋体"/>
          <w:spacing w:val="-5"/>
          <w:position w:val="3"/>
          <w:sz w:val="15"/>
          <w:szCs w:val="15"/>
        </w:rPr>
        <w:t>花生酸</w:t>
      </w:r>
      <w:r>
        <w:rPr>
          <w:rFonts w:ascii="宋体" w:eastAsia="宋体" w:hAnsi="宋体" w:cs="宋体"/>
          <w:position w:val="3"/>
          <w:sz w:val="15"/>
          <w:szCs w:val="15"/>
        </w:rPr>
        <w:t xml:space="preserve">                             </w:t>
      </w:r>
      <w:r>
        <w:rPr>
          <w:rFonts w:ascii="宋体" w:eastAsia="宋体" w:hAnsi="宋体" w:cs="宋体"/>
          <w:spacing w:val="-4"/>
          <w:position w:val="-1"/>
          <w:sz w:val="15"/>
          <w:szCs w:val="15"/>
        </w:rPr>
        <w:t>cellular</w:t>
      </w:r>
      <w:r>
        <w:rPr>
          <w:rFonts w:ascii="宋体" w:eastAsia="宋体" w:hAnsi="宋体" w:cs="宋体"/>
          <w:spacing w:val="18"/>
          <w:position w:val="-1"/>
          <w:sz w:val="15"/>
          <w:szCs w:val="15"/>
        </w:rPr>
        <w:t xml:space="preserve"> </w:t>
      </w:r>
      <w:r>
        <w:rPr>
          <w:rFonts w:ascii="宋体" w:eastAsia="宋体" w:hAnsi="宋体" w:cs="宋体"/>
          <w:spacing w:val="-4"/>
          <w:position w:val="-1"/>
          <w:sz w:val="15"/>
          <w:szCs w:val="15"/>
        </w:rPr>
        <w:t>retinol</w:t>
      </w:r>
      <w:r>
        <w:rPr>
          <w:rFonts w:ascii="宋体" w:eastAsia="宋体" w:hAnsi="宋体" w:cs="宋体"/>
          <w:spacing w:val="-2"/>
          <w:position w:val="-1"/>
          <w:sz w:val="15"/>
          <w:szCs w:val="15"/>
        </w:rPr>
        <w:t xml:space="preserve"> </w:t>
      </w:r>
      <w:r>
        <w:rPr>
          <w:rFonts w:ascii="宋体" w:eastAsia="宋体" w:hAnsi="宋体" w:cs="宋体"/>
          <w:spacing w:val="-4"/>
          <w:position w:val="-1"/>
          <w:sz w:val="15"/>
          <w:szCs w:val="15"/>
        </w:rPr>
        <w:t>binding</w:t>
      </w:r>
      <w:r>
        <w:rPr>
          <w:rFonts w:ascii="宋体" w:eastAsia="宋体" w:hAnsi="宋体" w:cs="宋体"/>
          <w:spacing w:val="-1"/>
          <w:position w:val="-1"/>
          <w:sz w:val="15"/>
          <w:szCs w:val="15"/>
        </w:rPr>
        <w:t xml:space="preserve"> </w:t>
      </w:r>
      <w:r>
        <w:rPr>
          <w:rFonts w:ascii="宋体" w:eastAsia="宋体" w:hAnsi="宋体" w:cs="宋体"/>
          <w:spacing w:val="-4"/>
          <w:position w:val="-1"/>
          <w:sz w:val="15"/>
          <w:szCs w:val="15"/>
        </w:rPr>
        <w:t>prote</w:t>
      </w:r>
      <w:r>
        <w:rPr>
          <w:rFonts w:ascii="宋体" w:eastAsia="宋体" w:hAnsi="宋体" w:cs="宋体"/>
          <w:spacing w:val="-5"/>
          <w:position w:val="-1"/>
          <w:sz w:val="15"/>
          <w:szCs w:val="15"/>
        </w:rPr>
        <w:t>in,CRBP</w:t>
      </w:r>
      <w:r>
        <w:rPr>
          <w:rFonts w:ascii="宋体" w:eastAsia="宋体" w:hAnsi="宋体" w:cs="宋体"/>
          <w:spacing w:val="70"/>
          <w:position w:val="-1"/>
          <w:sz w:val="15"/>
          <w:szCs w:val="15"/>
        </w:rPr>
        <w:t xml:space="preserve"> </w:t>
      </w:r>
      <w:r>
        <w:rPr>
          <w:rFonts w:ascii="宋体" w:eastAsia="宋体" w:hAnsi="宋体" w:cs="宋体"/>
          <w:spacing w:val="-5"/>
          <w:position w:val="-1"/>
          <w:sz w:val="15"/>
          <w:szCs w:val="15"/>
        </w:rPr>
        <w:t>细胞视黄醇</w:t>
      </w:r>
    </w:p>
    <w:p w:rsidR="00EA40A3" w:rsidRDefault="00E86C16">
      <w:pPr>
        <w:spacing w:before="29" w:line="236" w:lineRule="auto"/>
        <w:rPr>
          <w:rFonts w:ascii="宋体" w:eastAsia="宋体" w:hAnsi="宋体" w:cs="宋体"/>
          <w:sz w:val="15"/>
          <w:szCs w:val="15"/>
        </w:rPr>
      </w:pPr>
      <w:r>
        <w:rPr>
          <w:rFonts w:ascii="宋体" w:eastAsia="宋体" w:hAnsi="宋体" w:cs="宋体"/>
          <w:sz w:val="15"/>
          <w:szCs w:val="15"/>
        </w:rPr>
        <w:t>arachidonic</w:t>
      </w:r>
      <w:r>
        <w:rPr>
          <w:rFonts w:ascii="宋体" w:eastAsia="宋体" w:hAnsi="宋体" w:cs="宋体"/>
          <w:spacing w:val="8"/>
          <w:sz w:val="15"/>
          <w:szCs w:val="15"/>
        </w:rPr>
        <w:t xml:space="preserve"> </w:t>
      </w:r>
      <w:r>
        <w:rPr>
          <w:rFonts w:ascii="宋体" w:eastAsia="宋体" w:hAnsi="宋体" w:cs="宋体"/>
          <w:sz w:val="15"/>
          <w:szCs w:val="15"/>
        </w:rPr>
        <w:t>acid</w:t>
      </w:r>
      <w:r>
        <w:rPr>
          <w:rFonts w:ascii="宋体" w:eastAsia="宋体" w:hAnsi="宋体" w:cs="宋体"/>
          <w:spacing w:val="8"/>
          <w:sz w:val="15"/>
          <w:szCs w:val="15"/>
        </w:rPr>
        <w:t>,</w:t>
      </w:r>
      <w:r>
        <w:rPr>
          <w:rFonts w:ascii="宋体" w:eastAsia="宋体" w:hAnsi="宋体" w:cs="宋体"/>
          <w:sz w:val="15"/>
          <w:szCs w:val="15"/>
        </w:rPr>
        <w:t>AA</w:t>
      </w:r>
      <w:r>
        <w:rPr>
          <w:rFonts w:ascii="宋体" w:eastAsia="宋体" w:hAnsi="宋体" w:cs="宋体"/>
          <w:spacing w:val="66"/>
          <w:sz w:val="15"/>
          <w:szCs w:val="15"/>
        </w:rPr>
        <w:t xml:space="preserve"> </w:t>
      </w:r>
      <w:r>
        <w:rPr>
          <w:rFonts w:ascii="宋体" w:eastAsia="宋体" w:hAnsi="宋体" w:cs="宋体"/>
          <w:spacing w:val="8"/>
          <w:sz w:val="15"/>
          <w:szCs w:val="15"/>
        </w:rPr>
        <w:t>花生四烯酸</w:t>
      </w:r>
      <w:r>
        <w:rPr>
          <w:rFonts w:ascii="宋体" w:eastAsia="宋体" w:hAnsi="宋体" w:cs="宋体"/>
          <w:spacing w:val="1"/>
          <w:sz w:val="15"/>
          <w:szCs w:val="15"/>
        </w:rPr>
        <w:t xml:space="preserve">                    </w:t>
      </w:r>
      <w:r>
        <w:rPr>
          <w:rFonts w:ascii="宋体" w:eastAsia="宋体" w:hAnsi="宋体" w:cs="宋体"/>
          <w:spacing w:val="8"/>
          <w:position w:val="-4"/>
          <w:sz w:val="15"/>
          <w:szCs w:val="15"/>
        </w:rPr>
        <w:t>结合蛋白</w:t>
      </w:r>
    </w:p>
    <w:p w:rsidR="00EA40A3" w:rsidRDefault="00E86C16">
      <w:pPr>
        <w:spacing w:before="16" w:line="228" w:lineRule="auto"/>
        <w:rPr>
          <w:rFonts w:ascii="宋体" w:eastAsia="宋体" w:hAnsi="宋体" w:cs="宋体"/>
          <w:sz w:val="15"/>
          <w:szCs w:val="15"/>
        </w:rPr>
      </w:pPr>
      <w:r>
        <w:rPr>
          <w:rFonts w:ascii="宋体" w:eastAsia="宋体" w:hAnsi="宋体" w:cs="宋体"/>
          <w:spacing w:val="-2"/>
          <w:position w:val="2"/>
          <w:sz w:val="15"/>
          <w:szCs w:val="15"/>
        </w:rPr>
        <w:t>arginine,Arg</w:t>
      </w:r>
      <w:r>
        <w:rPr>
          <w:rFonts w:ascii="宋体" w:eastAsia="宋体" w:hAnsi="宋体" w:cs="宋体"/>
          <w:spacing w:val="20"/>
          <w:position w:val="2"/>
          <w:sz w:val="15"/>
          <w:szCs w:val="15"/>
        </w:rPr>
        <w:t xml:space="preserve">  </w:t>
      </w:r>
      <w:r>
        <w:rPr>
          <w:rFonts w:ascii="宋体" w:eastAsia="宋体" w:hAnsi="宋体" w:cs="宋体"/>
          <w:spacing w:val="-2"/>
          <w:position w:val="2"/>
          <w:sz w:val="15"/>
          <w:szCs w:val="15"/>
        </w:rPr>
        <w:t>精氨酸</w:t>
      </w:r>
      <w:r>
        <w:rPr>
          <w:rFonts w:ascii="宋体" w:eastAsia="宋体" w:hAnsi="宋体" w:cs="宋体"/>
          <w:spacing w:val="1"/>
          <w:position w:val="2"/>
          <w:sz w:val="15"/>
          <w:szCs w:val="15"/>
        </w:rPr>
        <w:t xml:space="preserve">                            </w:t>
      </w:r>
      <w:r>
        <w:rPr>
          <w:rFonts w:ascii="宋体" w:eastAsia="宋体" w:hAnsi="宋体" w:cs="宋体"/>
          <w:spacing w:val="-2"/>
          <w:position w:val="-3"/>
          <w:sz w:val="15"/>
          <w:szCs w:val="15"/>
        </w:rPr>
        <w:t>chlorin</w:t>
      </w:r>
      <w:r>
        <w:rPr>
          <w:rFonts w:ascii="宋体" w:eastAsia="宋体" w:hAnsi="宋体" w:cs="宋体"/>
          <w:spacing w:val="77"/>
          <w:position w:val="-3"/>
          <w:sz w:val="15"/>
          <w:szCs w:val="15"/>
        </w:rPr>
        <w:t xml:space="preserve"> </w:t>
      </w:r>
      <w:r>
        <w:rPr>
          <w:rFonts w:ascii="宋体" w:eastAsia="宋体" w:hAnsi="宋体" w:cs="宋体"/>
          <w:spacing w:val="-2"/>
          <w:position w:val="-3"/>
          <w:sz w:val="15"/>
          <w:szCs w:val="15"/>
        </w:rPr>
        <w:t>氯</w:t>
      </w:r>
    </w:p>
    <w:p w:rsidR="00EA40A3" w:rsidRDefault="00E86C16">
      <w:pPr>
        <w:spacing w:before="20" w:line="233" w:lineRule="auto"/>
        <w:rPr>
          <w:rFonts w:ascii="宋体" w:eastAsia="宋体" w:hAnsi="宋体" w:cs="宋体"/>
          <w:sz w:val="15"/>
          <w:szCs w:val="15"/>
        </w:rPr>
      </w:pPr>
      <w:r>
        <w:rPr>
          <w:rFonts w:ascii="宋体" w:eastAsia="宋体" w:hAnsi="宋体" w:cs="宋体"/>
          <w:position w:val="1"/>
          <w:sz w:val="15"/>
          <w:szCs w:val="15"/>
        </w:rPr>
        <w:t>arteriolosclerosis</w:t>
      </w:r>
      <w:r>
        <w:rPr>
          <w:rFonts w:ascii="宋体" w:eastAsia="宋体" w:hAnsi="宋体" w:cs="宋体"/>
          <w:spacing w:val="35"/>
          <w:position w:val="1"/>
          <w:sz w:val="15"/>
          <w:szCs w:val="15"/>
        </w:rPr>
        <w:t xml:space="preserve"> </w:t>
      </w:r>
      <w:r>
        <w:rPr>
          <w:rFonts w:ascii="宋体" w:eastAsia="宋体" w:hAnsi="宋体" w:cs="宋体"/>
          <w:spacing w:val="-1"/>
          <w:position w:val="1"/>
          <w:sz w:val="15"/>
          <w:szCs w:val="15"/>
        </w:rPr>
        <w:t>小(细)动脉硬化</w:t>
      </w:r>
      <w:r>
        <w:rPr>
          <w:rFonts w:ascii="宋体" w:eastAsia="宋体" w:hAnsi="宋体" w:cs="宋体"/>
          <w:spacing w:val="4"/>
          <w:position w:val="1"/>
          <w:sz w:val="15"/>
          <w:szCs w:val="15"/>
        </w:rPr>
        <w:t xml:space="preserve">               </w:t>
      </w:r>
      <w:r>
        <w:rPr>
          <w:rFonts w:ascii="宋体" w:eastAsia="宋体" w:hAnsi="宋体" w:cs="宋体"/>
          <w:position w:val="-2"/>
          <w:sz w:val="15"/>
          <w:szCs w:val="15"/>
        </w:rPr>
        <w:t>chl</w:t>
      </w:r>
      <w:r>
        <w:rPr>
          <w:rFonts w:ascii="宋体" w:eastAsia="宋体" w:hAnsi="宋体" w:cs="宋体"/>
          <w:spacing w:val="-1"/>
          <w:position w:val="-2"/>
          <w:sz w:val="15"/>
          <w:szCs w:val="15"/>
        </w:rPr>
        <w:t>orophyll</w:t>
      </w:r>
      <w:r>
        <w:rPr>
          <w:rFonts w:ascii="宋体" w:eastAsia="宋体" w:hAnsi="宋体" w:cs="宋体"/>
          <w:spacing w:val="50"/>
          <w:position w:val="-2"/>
          <w:sz w:val="15"/>
          <w:szCs w:val="15"/>
        </w:rPr>
        <w:t xml:space="preserve"> </w:t>
      </w:r>
      <w:r>
        <w:rPr>
          <w:rFonts w:ascii="宋体" w:eastAsia="宋体" w:hAnsi="宋体" w:cs="宋体"/>
          <w:spacing w:val="-1"/>
          <w:position w:val="-2"/>
          <w:sz w:val="15"/>
          <w:szCs w:val="15"/>
        </w:rPr>
        <w:t>叶绿素</w:t>
      </w:r>
    </w:p>
    <w:p w:rsidR="00EA40A3" w:rsidRDefault="00EA40A3">
      <w:pPr>
        <w:sectPr w:rsidR="00EA40A3">
          <w:footerReference w:type="default" r:id="rId368"/>
          <w:pgSz w:w="9220" w:h="13360"/>
          <w:pgMar w:top="400" w:right="1044" w:bottom="1268" w:left="910" w:header="0" w:footer="1073" w:gutter="0"/>
          <w:cols w:space="720"/>
        </w:sectPr>
      </w:pPr>
    </w:p>
    <w:p w:rsidR="00EA40A3" w:rsidRDefault="00EA40A3">
      <w:pPr>
        <w:spacing w:line="271" w:lineRule="auto"/>
      </w:pPr>
    </w:p>
    <w:p w:rsidR="00EA40A3" w:rsidRDefault="00EA40A3">
      <w:pPr>
        <w:spacing w:line="271" w:lineRule="auto"/>
      </w:pPr>
    </w:p>
    <w:p w:rsidR="00EA40A3" w:rsidRDefault="00E86C16">
      <w:pPr>
        <w:spacing w:before="52" w:line="217" w:lineRule="auto"/>
        <w:rPr>
          <w:rFonts w:ascii="仿宋" w:eastAsia="仿宋" w:hAnsi="仿宋" w:cs="仿宋"/>
          <w:sz w:val="16"/>
          <w:szCs w:val="16"/>
        </w:rPr>
      </w:pPr>
      <w:r>
        <w:rPr>
          <w:rFonts w:ascii="宋体" w:eastAsia="宋体" w:hAnsi="宋体" w:cs="宋体"/>
          <w:spacing w:val="-7"/>
          <w:sz w:val="16"/>
          <w:szCs w:val="16"/>
        </w:rPr>
        <w:t>cholesterol</w:t>
      </w:r>
      <w:r>
        <w:rPr>
          <w:rFonts w:ascii="宋体" w:eastAsia="宋体" w:hAnsi="宋体" w:cs="宋体"/>
          <w:spacing w:val="47"/>
          <w:sz w:val="16"/>
          <w:szCs w:val="16"/>
        </w:rPr>
        <w:t xml:space="preserve"> </w:t>
      </w:r>
      <w:r>
        <w:rPr>
          <w:rFonts w:ascii="宋体" w:eastAsia="宋体" w:hAnsi="宋体" w:cs="宋体"/>
          <w:spacing w:val="-7"/>
          <w:sz w:val="16"/>
          <w:szCs w:val="16"/>
        </w:rPr>
        <w:t>胆固醇</w:t>
      </w:r>
      <w:r>
        <w:rPr>
          <w:rFonts w:ascii="宋体" w:eastAsia="宋体" w:hAnsi="宋体" w:cs="宋体"/>
          <w:spacing w:val="2"/>
          <w:sz w:val="16"/>
          <w:szCs w:val="16"/>
        </w:rPr>
        <w:t xml:space="preserve">                        </w:t>
      </w:r>
      <w:r>
        <w:rPr>
          <w:rFonts w:ascii="宋体" w:eastAsia="宋体" w:hAnsi="宋体" w:cs="宋体"/>
          <w:spacing w:val="1"/>
          <w:sz w:val="16"/>
          <w:szCs w:val="16"/>
        </w:rPr>
        <w:t xml:space="preserve">     </w:t>
      </w:r>
      <w:r>
        <w:rPr>
          <w:rFonts w:ascii="仿宋" w:eastAsia="仿宋" w:hAnsi="仿宋" w:cs="仿宋"/>
          <w:spacing w:val="-7"/>
          <w:sz w:val="16"/>
          <w:szCs w:val="16"/>
        </w:rPr>
        <w:t>dietary</w:t>
      </w:r>
      <w:r>
        <w:rPr>
          <w:rFonts w:ascii="仿宋" w:eastAsia="仿宋" w:hAnsi="仿宋" w:cs="仿宋"/>
          <w:spacing w:val="-4"/>
          <w:sz w:val="16"/>
          <w:szCs w:val="16"/>
        </w:rPr>
        <w:t xml:space="preserve"> </w:t>
      </w:r>
      <w:r>
        <w:rPr>
          <w:rFonts w:ascii="仿宋" w:eastAsia="仿宋" w:hAnsi="仿宋" w:cs="仿宋"/>
          <w:spacing w:val="-7"/>
          <w:sz w:val="16"/>
          <w:szCs w:val="16"/>
        </w:rPr>
        <w:t>reference</w:t>
      </w:r>
      <w:r>
        <w:rPr>
          <w:rFonts w:ascii="仿宋" w:eastAsia="仿宋" w:hAnsi="仿宋" w:cs="仿宋"/>
          <w:spacing w:val="7"/>
          <w:sz w:val="16"/>
          <w:szCs w:val="16"/>
        </w:rPr>
        <w:t xml:space="preserve"> </w:t>
      </w:r>
      <w:r>
        <w:rPr>
          <w:rFonts w:ascii="仿宋" w:eastAsia="仿宋" w:hAnsi="仿宋" w:cs="仿宋"/>
          <w:spacing w:val="-7"/>
          <w:sz w:val="16"/>
          <w:szCs w:val="16"/>
        </w:rPr>
        <w:t>intake,DRIs</w:t>
      </w:r>
      <w:r>
        <w:rPr>
          <w:rFonts w:ascii="仿宋" w:eastAsia="仿宋" w:hAnsi="仿宋" w:cs="仿宋"/>
          <w:spacing w:val="58"/>
          <w:w w:val="101"/>
          <w:sz w:val="16"/>
          <w:szCs w:val="16"/>
        </w:rPr>
        <w:t xml:space="preserve"> </w:t>
      </w:r>
      <w:r>
        <w:rPr>
          <w:rFonts w:ascii="仿宋" w:eastAsia="仿宋" w:hAnsi="仿宋" w:cs="仿宋"/>
          <w:spacing w:val="-7"/>
          <w:sz w:val="16"/>
          <w:szCs w:val="16"/>
        </w:rPr>
        <w:t>膳食营养素参考摄</w:t>
      </w:r>
    </w:p>
    <w:p w:rsidR="00EA40A3" w:rsidRDefault="00E86C16">
      <w:pPr>
        <w:spacing w:before="61"/>
        <w:rPr>
          <w:rFonts w:ascii="仿宋" w:eastAsia="仿宋" w:hAnsi="仿宋" w:cs="仿宋"/>
          <w:sz w:val="16"/>
          <w:szCs w:val="16"/>
        </w:rPr>
      </w:pPr>
      <w:r>
        <w:rPr>
          <w:rFonts w:ascii="宋体" w:eastAsia="宋体" w:hAnsi="宋体" w:cs="宋体"/>
          <w:spacing w:val="-8"/>
          <w:sz w:val="16"/>
          <w:szCs w:val="16"/>
        </w:rPr>
        <w:t>choline</w:t>
      </w:r>
      <w:r>
        <w:rPr>
          <w:rFonts w:ascii="宋体" w:eastAsia="宋体" w:hAnsi="宋体" w:cs="宋体"/>
          <w:spacing w:val="47"/>
          <w:w w:val="101"/>
          <w:sz w:val="16"/>
          <w:szCs w:val="16"/>
        </w:rPr>
        <w:t xml:space="preserve"> </w:t>
      </w:r>
      <w:r>
        <w:rPr>
          <w:rFonts w:ascii="宋体" w:eastAsia="宋体" w:hAnsi="宋体" w:cs="宋体"/>
          <w:spacing w:val="-8"/>
          <w:sz w:val="16"/>
          <w:szCs w:val="16"/>
        </w:rPr>
        <w:t>胆碱</w:t>
      </w:r>
      <w:r>
        <w:rPr>
          <w:rFonts w:ascii="宋体" w:eastAsia="宋体" w:hAnsi="宋体" w:cs="宋体"/>
          <w:spacing w:val="1"/>
          <w:sz w:val="16"/>
          <w:szCs w:val="16"/>
        </w:rPr>
        <w:t xml:space="preserve">                                 </w:t>
      </w:r>
      <w:r>
        <w:rPr>
          <w:rFonts w:ascii="宋体" w:eastAsia="宋体" w:hAnsi="宋体" w:cs="宋体"/>
          <w:sz w:val="16"/>
          <w:szCs w:val="16"/>
        </w:rPr>
        <w:t xml:space="preserve">    </w:t>
      </w:r>
      <w:r>
        <w:rPr>
          <w:rFonts w:ascii="仿宋" w:eastAsia="仿宋" w:hAnsi="仿宋" w:cs="仿宋"/>
          <w:spacing w:val="-8"/>
          <w:position w:val="-1"/>
          <w:sz w:val="16"/>
          <w:szCs w:val="16"/>
        </w:rPr>
        <w:t>入量</w:t>
      </w:r>
    </w:p>
    <w:p w:rsidR="00EA40A3" w:rsidRDefault="00E86C16">
      <w:pPr>
        <w:spacing w:before="48" w:line="219" w:lineRule="auto"/>
        <w:rPr>
          <w:rFonts w:ascii="宋体" w:eastAsia="宋体" w:hAnsi="宋体" w:cs="宋体"/>
          <w:sz w:val="16"/>
          <w:szCs w:val="16"/>
        </w:rPr>
      </w:pPr>
      <w:r>
        <w:rPr>
          <w:rFonts w:ascii="宋体" w:eastAsia="宋体" w:hAnsi="宋体" w:cs="宋体"/>
          <w:spacing w:val="-4"/>
          <w:sz w:val="16"/>
          <w:szCs w:val="16"/>
        </w:rPr>
        <w:t>chondroitin</w:t>
      </w:r>
      <w:r>
        <w:rPr>
          <w:rFonts w:ascii="宋体" w:eastAsia="宋体" w:hAnsi="宋体" w:cs="宋体"/>
          <w:spacing w:val="3"/>
          <w:sz w:val="16"/>
          <w:szCs w:val="16"/>
        </w:rPr>
        <w:t xml:space="preserve"> </w:t>
      </w:r>
      <w:r>
        <w:rPr>
          <w:rFonts w:ascii="宋体" w:eastAsia="宋体" w:hAnsi="宋体" w:cs="宋体"/>
          <w:spacing w:val="-4"/>
          <w:sz w:val="16"/>
          <w:szCs w:val="16"/>
        </w:rPr>
        <w:t>sulfate</w:t>
      </w:r>
      <w:r>
        <w:rPr>
          <w:rFonts w:ascii="宋体" w:eastAsia="宋体" w:hAnsi="宋体" w:cs="宋体"/>
          <w:spacing w:val="-5"/>
          <w:sz w:val="16"/>
          <w:szCs w:val="16"/>
        </w:rPr>
        <w:t>,</w:t>
      </w:r>
      <w:r>
        <w:rPr>
          <w:rFonts w:ascii="宋体" w:eastAsia="宋体" w:hAnsi="宋体" w:cs="宋体"/>
          <w:spacing w:val="-4"/>
          <w:sz w:val="16"/>
          <w:szCs w:val="16"/>
        </w:rPr>
        <w:t>CS</w:t>
      </w:r>
      <w:r>
        <w:rPr>
          <w:rFonts w:ascii="宋体" w:eastAsia="宋体" w:hAnsi="宋体" w:cs="宋体"/>
          <w:spacing w:val="41"/>
          <w:sz w:val="16"/>
          <w:szCs w:val="16"/>
        </w:rPr>
        <w:t xml:space="preserve"> </w:t>
      </w:r>
      <w:r>
        <w:rPr>
          <w:rFonts w:ascii="宋体" w:eastAsia="宋体" w:hAnsi="宋体" w:cs="宋体"/>
          <w:spacing w:val="-5"/>
          <w:sz w:val="16"/>
          <w:szCs w:val="16"/>
        </w:rPr>
        <w:t>硫酸软骨素</w:t>
      </w:r>
      <w:r>
        <w:rPr>
          <w:rFonts w:ascii="宋体" w:eastAsia="宋体" w:hAnsi="宋体" w:cs="宋体"/>
          <w:spacing w:val="1"/>
          <w:sz w:val="16"/>
          <w:szCs w:val="16"/>
        </w:rPr>
        <w:t xml:space="preserve">               </w:t>
      </w:r>
      <w:r>
        <w:rPr>
          <w:rFonts w:ascii="宋体" w:eastAsia="宋体" w:hAnsi="宋体" w:cs="宋体"/>
          <w:spacing w:val="-5"/>
          <w:sz w:val="16"/>
          <w:szCs w:val="16"/>
        </w:rPr>
        <w:t>dihomogamma-linolenic</w:t>
      </w:r>
      <w:r>
        <w:rPr>
          <w:rFonts w:ascii="宋体" w:eastAsia="宋体" w:hAnsi="宋体" w:cs="宋体"/>
          <w:spacing w:val="7"/>
          <w:sz w:val="16"/>
          <w:szCs w:val="16"/>
        </w:rPr>
        <w:t xml:space="preserve"> </w:t>
      </w:r>
      <w:r>
        <w:rPr>
          <w:rFonts w:ascii="宋体" w:eastAsia="宋体" w:hAnsi="宋体" w:cs="宋体"/>
          <w:spacing w:val="-5"/>
          <w:sz w:val="16"/>
          <w:szCs w:val="16"/>
        </w:rPr>
        <w:t>acid,DGLA</w:t>
      </w:r>
      <w:r>
        <w:rPr>
          <w:rFonts w:ascii="宋体" w:eastAsia="宋体" w:hAnsi="宋体" w:cs="宋体"/>
          <w:spacing w:val="56"/>
          <w:w w:val="101"/>
          <w:sz w:val="16"/>
          <w:szCs w:val="16"/>
        </w:rPr>
        <w:t xml:space="preserve"> </w:t>
      </w:r>
      <w:r>
        <w:rPr>
          <w:rFonts w:ascii="宋体" w:eastAsia="宋体" w:hAnsi="宋体" w:cs="宋体"/>
          <w:spacing w:val="-5"/>
          <w:sz w:val="16"/>
          <w:szCs w:val="16"/>
        </w:rPr>
        <w:t>二高γ-亚麻酸</w:t>
      </w:r>
    </w:p>
    <w:p w:rsidR="00EA40A3" w:rsidRDefault="00E86C16">
      <w:pPr>
        <w:spacing w:before="52" w:line="214" w:lineRule="auto"/>
        <w:rPr>
          <w:rFonts w:ascii="Times New Roman" w:eastAsia="Times New Roman" w:hAnsi="Times New Roman" w:cs="Times New Roman"/>
          <w:sz w:val="16"/>
          <w:szCs w:val="16"/>
        </w:rPr>
      </w:pPr>
      <w:r>
        <w:rPr>
          <w:rFonts w:ascii="宋体" w:eastAsia="宋体" w:hAnsi="宋体" w:cs="宋体"/>
          <w:sz w:val="16"/>
          <w:szCs w:val="16"/>
        </w:rPr>
        <w:t>chromene</w:t>
      </w:r>
      <w:r>
        <w:rPr>
          <w:rFonts w:ascii="宋体" w:eastAsia="宋体" w:hAnsi="宋体" w:cs="宋体"/>
          <w:spacing w:val="69"/>
          <w:sz w:val="16"/>
          <w:szCs w:val="16"/>
        </w:rPr>
        <w:t xml:space="preserve"> </w:t>
      </w:r>
      <w:r>
        <w:rPr>
          <w:rFonts w:ascii="宋体" w:eastAsia="宋体" w:hAnsi="宋体" w:cs="宋体"/>
          <w:spacing w:val="-1"/>
          <w:sz w:val="16"/>
          <w:szCs w:val="16"/>
        </w:rPr>
        <w:t>色原烯</w:t>
      </w:r>
      <w:r>
        <w:rPr>
          <w:rFonts w:ascii="宋体" w:eastAsia="宋体" w:hAnsi="宋体" w:cs="宋体"/>
          <w:spacing w:val="2"/>
          <w:sz w:val="16"/>
          <w:szCs w:val="16"/>
        </w:rPr>
        <w:t xml:space="preserve">                            </w:t>
      </w:r>
      <w:r>
        <w:rPr>
          <w:rFonts w:ascii="宋体" w:eastAsia="宋体" w:hAnsi="宋体" w:cs="宋体"/>
          <w:spacing w:val="1"/>
          <w:sz w:val="16"/>
          <w:szCs w:val="16"/>
        </w:rPr>
        <w:t xml:space="preserve">  </w:t>
      </w:r>
      <w:r>
        <w:rPr>
          <w:rFonts w:ascii="Times New Roman" w:eastAsia="Times New Roman" w:hAnsi="Times New Roman" w:cs="Times New Roman"/>
          <w:sz w:val="16"/>
          <w:szCs w:val="16"/>
        </w:rPr>
        <w:t>dihydro</w:t>
      </w:r>
      <w:r>
        <w:rPr>
          <w:rFonts w:ascii="Times New Roman" w:eastAsia="Times New Roman" w:hAnsi="Times New Roman" w:cs="Times New Roman"/>
          <w:spacing w:val="-1"/>
          <w:sz w:val="16"/>
          <w:szCs w:val="16"/>
        </w:rPr>
        <w:t>-</w:t>
      </w:r>
      <w:r>
        <w:rPr>
          <w:rFonts w:ascii="Times New Roman" w:eastAsia="Times New Roman" w:hAnsi="Times New Roman" w:cs="Times New Roman"/>
          <w:sz w:val="16"/>
          <w:szCs w:val="16"/>
        </w:rPr>
        <w:t>nicotina</w:t>
      </w:r>
      <w:r>
        <w:rPr>
          <w:rFonts w:ascii="Times New Roman" w:eastAsia="Times New Roman" w:hAnsi="Times New Roman" w:cs="Times New Roman"/>
          <w:spacing w:val="-1"/>
          <w:sz w:val="16"/>
          <w:szCs w:val="16"/>
        </w:rPr>
        <w:t>mide</w:t>
      </w:r>
      <w:r>
        <w:rPr>
          <w:rFonts w:ascii="Times New Roman" w:eastAsia="Times New Roman" w:hAnsi="Times New Roman" w:cs="Times New Roman"/>
          <w:spacing w:val="30"/>
          <w:sz w:val="16"/>
          <w:szCs w:val="16"/>
        </w:rPr>
        <w:t xml:space="preserve"> </w:t>
      </w:r>
      <w:r>
        <w:rPr>
          <w:rFonts w:ascii="Times New Roman" w:eastAsia="Times New Roman" w:hAnsi="Times New Roman" w:cs="Times New Roman"/>
          <w:spacing w:val="-1"/>
          <w:sz w:val="16"/>
          <w:szCs w:val="16"/>
        </w:rPr>
        <w:t>adenine</w:t>
      </w:r>
      <w:r>
        <w:rPr>
          <w:rFonts w:ascii="Times New Roman" w:eastAsia="Times New Roman" w:hAnsi="Times New Roman" w:cs="Times New Roman"/>
          <w:spacing w:val="29"/>
          <w:w w:val="101"/>
          <w:sz w:val="16"/>
          <w:szCs w:val="16"/>
        </w:rPr>
        <w:t xml:space="preserve"> </w:t>
      </w:r>
      <w:r>
        <w:rPr>
          <w:rFonts w:ascii="Times New Roman" w:eastAsia="Times New Roman" w:hAnsi="Times New Roman" w:cs="Times New Roman"/>
          <w:spacing w:val="-1"/>
          <w:sz w:val="16"/>
          <w:szCs w:val="16"/>
        </w:rPr>
        <w:t>dinucleotide</w:t>
      </w:r>
      <w:r>
        <w:rPr>
          <w:rFonts w:ascii="Times New Roman" w:eastAsia="Times New Roman" w:hAnsi="Times New Roman" w:cs="Times New Roman"/>
          <w:spacing w:val="24"/>
          <w:sz w:val="16"/>
          <w:szCs w:val="16"/>
        </w:rPr>
        <w:t xml:space="preserve"> </w:t>
      </w:r>
      <w:r>
        <w:rPr>
          <w:rFonts w:ascii="Times New Roman" w:eastAsia="Times New Roman" w:hAnsi="Times New Roman" w:cs="Times New Roman"/>
          <w:spacing w:val="-1"/>
          <w:sz w:val="16"/>
          <w:szCs w:val="16"/>
        </w:rPr>
        <w:t>phosphate,</w:t>
      </w:r>
    </w:p>
    <w:p w:rsidR="00EA40A3" w:rsidRDefault="00E86C16">
      <w:pPr>
        <w:spacing w:before="84" w:line="222" w:lineRule="auto"/>
        <w:rPr>
          <w:rFonts w:ascii="宋体" w:eastAsia="宋体" w:hAnsi="宋体" w:cs="宋体"/>
          <w:sz w:val="16"/>
          <w:szCs w:val="16"/>
        </w:rPr>
      </w:pPr>
      <w:r>
        <w:rPr>
          <w:rFonts w:ascii="宋体" w:eastAsia="宋体" w:hAnsi="宋体" w:cs="宋体"/>
          <w:sz w:val="16"/>
          <w:szCs w:val="16"/>
        </w:rPr>
        <w:t>chromium</w:t>
      </w:r>
      <w:r>
        <w:rPr>
          <w:rFonts w:ascii="宋体" w:eastAsia="宋体" w:hAnsi="宋体" w:cs="宋体"/>
          <w:spacing w:val="93"/>
          <w:w w:val="101"/>
          <w:sz w:val="16"/>
          <w:szCs w:val="16"/>
        </w:rPr>
        <w:t xml:space="preserve"> </w:t>
      </w:r>
      <w:r>
        <w:rPr>
          <w:rFonts w:ascii="宋体" w:eastAsia="宋体" w:hAnsi="宋体" w:cs="宋体"/>
          <w:spacing w:val="5"/>
          <w:sz w:val="16"/>
          <w:szCs w:val="16"/>
        </w:rPr>
        <w:t>铬</w:t>
      </w:r>
      <w:r>
        <w:rPr>
          <w:rFonts w:ascii="宋体" w:eastAsia="宋体" w:hAnsi="宋体" w:cs="宋体"/>
          <w:sz w:val="16"/>
          <w:szCs w:val="16"/>
        </w:rPr>
        <w:t xml:space="preserve">                                     NADPH</w:t>
      </w:r>
      <w:r>
        <w:rPr>
          <w:rFonts w:ascii="宋体" w:eastAsia="宋体" w:hAnsi="宋体" w:cs="宋体"/>
          <w:spacing w:val="4"/>
          <w:sz w:val="16"/>
          <w:szCs w:val="16"/>
        </w:rPr>
        <w:t xml:space="preserve">    </w:t>
      </w:r>
      <w:r>
        <w:rPr>
          <w:rFonts w:ascii="宋体" w:eastAsia="宋体" w:hAnsi="宋体" w:cs="宋体"/>
          <w:spacing w:val="5"/>
          <w:sz w:val="16"/>
          <w:szCs w:val="16"/>
        </w:rPr>
        <w:t>二氢烟酰胺腺嘌呤二核苷酸磷酸，还</w:t>
      </w:r>
    </w:p>
    <w:p w:rsidR="00EA40A3" w:rsidRDefault="00E86C16">
      <w:pPr>
        <w:spacing w:before="54" w:line="219" w:lineRule="auto"/>
        <w:rPr>
          <w:rFonts w:ascii="宋体" w:eastAsia="宋体" w:hAnsi="宋体" w:cs="宋体"/>
          <w:sz w:val="16"/>
          <w:szCs w:val="16"/>
        </w:rPr>
      </w:pPr>
      <w:r>
        <w:rPr>
          <w:rFonts w:ascii="宋体" w:eastAsia="宋体" w:hAnsi="宋体" w:cs="宋体"/>
          <w:spacing w:val="-1"/>
          <w:sz w:val="16"/>
          <w:szCs w:val="16"/>
        </w:rPr>
        <w:t>chylomicron,CM</w:t>
      </w:r>
      <w:r>
        <w:rPr>
          <w:rFonts w:ascii="宋体" w:eastAsia="宋体" w:hAnsi="宋体" w:cs="宋体"/>
          <w:spacing w:val="29"/>
          <w:sz w:val="16"/>
          <w:szCs w:val="16"/>
        </w:rPr>
        <w:t xml:space="preserve">  </w:t>
      </w:r>
      <w:r>
        <w:rPr>
          <w:rFonts w:ascii="宋体" w:eastAsia="宋体" w:hAnsi="宋体" w:cs="宋体"/>
          <w:spacing w:val="-1"/>
          <w:sz w:val="16"/>
          <w:szCs w:val="16"/>
        </w:rPr>
        <w:t>乳糜微粒</w:t>
      </w:r>
      <w:r>
        <w:rPr>
          <w:rFonts w:ascii="宋体" w:eastAsia="宋体" w:hAnsi="宋体" w:cs="宋体"/>
          <w:spacing w:val="1"/>
          <w:sz w:val="16"/>
          <w:szCs w:val="16"/>
        </w:rPr>
        <w:t xml:space="preserve">                        </w:t>
      </w:r>
      <w:r>
        <w:rPr>
          <w:rFonts w:ascii="宋体" w:eastAsia="宋体" w:hAnsi="宋体" w:cs="宋体"/>
          <w:spacing w:val="-1"/>
          <w:sz w:val="16"/>
          <w:szCs w:val="16"/>
        </w:rPr>
        <w:t>原型</w:t>
      </w:r>
      <w:r>
        <w:rPr>
          <w:rFonts w:ascii="宋体" w:eastAsia="宋体" w:hAnsi="宋体" w:cs="宋体"/>
          <w:spacing w:val="-2"/>
          <w:sz w:val="16"/>
          <w:szCs w:val="16"/>
        </w:rPr>
        <w:t>辅酶Ⅱ</w:t>
      </w:r>
    </w:p>
    <w:p w:rsidR="00EA40A3" w:rsidRDefault="00E86C16">
      <w:pPr>
        <w:spacing w:before="64" w:line="232" w:lineRule="auto"/>
        <w:rPr>
          <w:rFonts w:ascii="宋体" w:eastAsia="宋体" w:hAnsi="宋体" w:cs="宋体"/>
          <w:sz w:val="16"/>
          <w:szCs w:val="16"/>
        </w:rPr>
      </w:pPr>
      <w:r>
        <w:rPr>
          <w:rFonts w:ascii="宋体" w:eastAsia="宋体" w:hAnsi="宋体" w:cs="宋体"/>
          <w:spacing w:val="-12"/>
          <w:position w:val="1"/>
          <w:sz w:val="16"/>
          <w:szCs w:val="16"/>
        </w:rPr>
        <w:t>clinical</w:t>
      </w:r>
      <w:r>
        <w:rPr>
          <w:rFonts w:ascii="宋体" w:eastAsia="宋体" w:hAnsi="宋体" w:cs="宋体"/>
          <w:spacing w:val="-2"/>
          <w:position w:val="1"/>
          <w:sz w:val="16"/>
          <w:szCs w:val="16"/>
        </w:rPr>
        <w:t xml:space="preserve"> </w:t>
      </w:r>
      <w:r>
        <w:rPr>
          <w:rFonts w:ascii="宋体" w:eastAsia="宋体" w:hAnsi="宋体" w:cs="宋体"/>
          <w:spacing w:val="-12"/>
          <w:position w:val="1"/>
          <w:sz w:val="16"/>
          <w:szCs w:val="16"/>
        </w:rPr>
        <w:t>nutrition</w:t>
      </w:r>
      <w:r>
        <w:rPr>
          <w:rFonts w:ascii="宋体" w:eastAsia="宋体" w:hAnsi="宋体" w:cs="宋体"/>
          <w:spacing w:val="76"/>
          <w:w w:val="101"/>
          <w:position w:val="1"/>
          <w:sz w:val="16"/>
          <w:szCs w:val="16"/>
        </w:rPr>
        <w:t xml:space="preserve"> </w:t>
      </w:r>
      <w:r>
        <w:rPr>
          <w:rFonts w:ascii="宋体" w:eastAsia="宋体" w:hAnsi="宋体" w:cs="宋体"/>
          <w:spacing w:val="-12"/>
          <w:position w:val="1"/>
          <w:sz w:val="16"/>
          <w:szCs w:val="16"/>
        </w:rPr>
        <w:t>临床营养(学)</w:t>
      </w:r>
      <w:r>
        <w:rPr>
          <w:rFonts w:ascii="宋体" w:eastAsia="宋体" w:hAnsi="宋体" w:cs="宋体"/>
          <w:position w:val="1"/>
          <w:sz w:val="16"/>
          <w:szCs w:val="16"/>
        </w:rPr>
        <w:t xml:space="preserve">                  </w:t>
      </w:r>
      <w:r>
        <w:rPr>
          <w:rFonts w:ascii="宋体" w:eastAsia="宋体" w:hAnsi="宋体" w:cs="宋体"/>
          <w:spacing w:val="-12"/>
          <w:position w:val="-1"/>
          <w:sz w:val="16"/>
          <w:szCs w:val="16"/>
        </w:rPr>
        <w:t>disaccharide</w:t>
      </w:r>
      <w:r>
        <w:rPr>
          <w:rFonts w:ascii="宋体" w:eastAsia="宋体" w:hAnsi="宋体" w:cs="宋体"/>
          <w:spacing w:val="67"/>
          <w:position w:val="-1"/>
          <w:sz w:val="16"/>
          <w:szCs w:val="16"/>
        </w:rPr>
        <w:t xml:space="preserve"> </w:t>
      </w:r>
      <w:r>
        <w:rPr>
          <w:rFonts w:ascii="宋体" w:eastAsia="宋体" w:hAnsi="宋体" w:cs="宋体"/>
          <w:spacing w:val="-12"/>
          <w:position w:val="-1"/>
          <w:sz w:val="16"/>
          <w:szCs w:val="16"/>
        </w:rPr>
        <w:t>双糖</w:t>
      </w:r>
    </w:p>
    <w:p w:rsidR="00EA40A3" w:rsidRDefault="00E86C16">
      <w:pPr>
        <w:spacing w:before="31" w:line="223" w:lineRule="auto"/>
        <w:rPr>
          <w:rFonts w:ascii="宋体" w:eastAsia="宋体" w:hAnsi="宋体" w:cs="宋体"/>
          <w:sz w:val="16"/>
          <w:szCs w:val="16"/>
        </w:rPr>
      </w:pPr>
      <w:r>
        <w:rPr>
          <w:rFonts w:ascii="黑体" w:eastAsia="黑体" w:hAnsi="黑体" w:cs="黑体"/>
          <w:spacing w:val="-2"/>
          <w:position w:val="2"/>
          <w:sz w:val="16"/>
          <w:szCs w:val="16"/>
        </w:rPr>
        <w:t>cobalt</w:t>
      </w:r>
      <w:r>
        <w:rPr>
          <w:rFonts w:ascii="黑体" w:eastAsia="黑体" w:hAnsi="黑体" w:cs="黑体"/>
          <w:spacing w:val="50"/>
          <w:position w:val="2"/>
          <w:sz w:val="16"/>
          <w:szCs w:val="16"/>
        </w:rPr>
        <w:t xml:space="preserve"> </w:t>
      </w:r>
      <w:r>
        <w:rPr>
          <w:rFonts w:ascii="黑体" w:eastAsia="黑体" w:hAnsi="黑体" w:cs="黑体"/>
          <w:spacing w:val="-3"/>
          <w:position w:val="2"/>
          <w:sz w:val="16"/>
          <w:szCs w:val="16"/>
        </w:rPr>
        <w:t>钴</w:t>
      </w:r>
      <w:r>
        <w:rPr>
          <w:rFonts w:ascii="黑体" w:eastAsia="黑体" w:hAnsi="黑体" w:cs="黑体"/>
          <w:spacing w:val="2"/>
          <w:position w:val="2"/>
          <w:sz w:val="16"/>
          <w:szCs w:val="16"/>
        </w:rPr>
        <w:t xml:space="preserve">                           </w:t>
      </w:r>
      <w:r>
        <w:rPr>
          <w:rFonts w:ascii="黑体" w:eastAsia="黑体" w:hAnsi="黑体" w:cs="黑体"/>
          <w:spacing w:val="1"/>
          <w:position w:val="2"/>
          <w:sz w:val="16"/>
          <w:szCs w:val="16"/>
        </w:rPr>
        <w:t xml:space="preserve">          </w:t>
      </w:r>
      <w:r>
        <w:rPr>
          <w:rFonts w:ascii="宋体" w:eastAsia="宋体" w:hAnsi="宋体" w:cs="宋体"/>
          <w:spacing w:val="-2"/>
          <w:sz w:val="16"/>
          <w:szCs w:val="16"/>
        </w:rPr>
        <w:t>docosahexenoic</w:t>
      </w:r>
      <w:r>
        <w:rPr>
          <w:rFonts w:ascii="宋体" w:eastAsia="宋体" w:hAnsi="宋体" w:cs="宋体"/>
          <w:spacing w:val="7"/>
          <w:sz w:val="16"/>
          <w:szCs w:val="16"/>
        </w:rPr>
        <w:t xml:space="preserve"> </w:t>
      </w:r>
      <w:r>
        <w:rPr>
          <w:rFonts w:ascii="宋体" w:eastAsia="宋体" w:hAnsi="宋体" w:cs="宋体"/>
          <w:spacing w:val="-2"/>
          <w:sz w:val="16"/>
          <w:szCs w:val="16"/>
        </w:rPr>
        <w:t>aci</w:t>
      </w:r>
      <w:r>
        <w:rPr>
          <w:rFonts w:ascii="宋体" w:eastAsia="宋体" w:hAnsi="宋体" w:cs="宋体"/>
          <w:spacing w:val="-3"/>
          <w:sz w:val="16"/>
          <w:szCs w:val="16"/>
        </w:rPr>
        <w:t>d,DHA</w:t>
      </w:r>
      <w:r>
        <w:rPr>
          <w:rFonts w:ascii="宋体" w:eastAsia="宋体" w:hAnsi="宋体" w:cs="宋体"/>
          <w:spacing w:val="69"/>
          <w:w w:val="101"/>
          <w:sz w:val="16"/>
          <w:szCs w:val="16"/>
        </w:rPr>
        <w:t xml:space="preserve"> </w:t>
      </w:r>
      <w:r>
        <w:rPr>
          <w:rFonts w:ascii="宋体" w:eastAsia="宋体" w:hAnsi="宋体" w:cs="宋体"/>
          <w:spacing w:val="-3"/>
          <w:sz w:val="16"/>
          <w:szCs w:val="16"/>
        </w:rPr>
        <w:t>二十二碳六烯酸</w:t>
      </w:r>
    </w:p>
    <w:p w:rsidR="00EA40A3" w:rsidRDefault="00E86C16">
      <w:pPr>
        <w:spacing w:before="41" w:line="225" w:lineRule="auto"/>
        <w:rPr>
          <w:rFonts w:ascii="宋体" w:eastAsia="宋体" w:hAnsi="宋体" w:cs="宋体"/>
          <w:sz w:val="16"/>
          <w:szCs w:val="16"/>
        </w:rPr>
      </w:pPr>
      <w:r>
        <w:rPr>
          <w:rFonts w:ascii="黑体" w:eastAsia="黑体" w:hAnsi="黑体" w:cs="黑体"/>
          <w:position w:val="1"/>
          <w:sz w:val="16"/>
          <w:szCs w:val="16"/>
        </w:rPr>
        <w:t>coenzyme</w:t>
      </w:r>
      <w:r>
        <w:rPr>
          <w:rFonts w:ascii="黑体" w:eastAsia="黑体" w:hAnsi="黑体" w:cs="黑体"/>
          <w:spacing w:val="7"/>
          <w:position w:val="1"/>
          <w:sz w:val="16"/>
          <w:szCs w:val="16"/>
        </w:rPr>
        <w:t xml:space="preserve"> </w:t>
      </w:r>
      <w:r>
        <w:rPr>
          <w:rFonts w:ascii="黑体" w:eastAsia="黑体" w:hAnsi="黑体" w:cs="黑体"/>
          <w:position w:val="1"/>
          <w:sz w:val="16"/>
          <w:szCs w:val="16"/>
        </w:rPr>
        <w:t>Q</w:t>
      </w:r>
      <w:r>
        <w:rPr>
          <w:rFonts w:ascii="黑体" w:eastAsia="黑体" w:hAnsi="黑体" w:cs="黑体"/>
          <w:spacing w:val="45"/>
          <w:position w:val="1"/>
          <w:sz w:val="16"/>
          <w:szCs w:val="16"/>
        </w:rPr>
        <w:t xml:space="preserve"> </w:t>
      </w:r>
      <w:r>
        <w:rPr>
          <w:rFonts w:ascii="黑体" w:eastAsia="黑体" w:hAnsi="黑体" w:cs="黑体"/>
          <w:spacing w:val="6"/>
          <w:position w:val="1"/>
          <w:sz w:val="16"/>
          <w:szCs w:val="16"/>
        </w:rPr>
        <w:t>辅酶</w:t>
      </w:r>
      <w:r>
        <w:rPr>
          <w:rFonts w:ascii="黑体" w:eastAsia="黑体" w:hAnsi="黑体" w:cs="黑体"/>
          <w:position w:val="1"/>
          <w:sz w:val="16"/>
          <w:szCs w:val="16"/>
        </w:rPr>
        <w:t>Q</w:t>
      </w:r>
      <w:r>
        <w:rPr>
          <w:rFonts w:ascii="黑体" w:eastAsia="黑体" w:hAnsi="黑体" w:cs="黑体"/>
          <w:spacing w:val="1"/>
          <w:position w:val="1"/>
          <w:sz w:val="16"/>
          <w:szCs w:val="16"/>
        </w:rPr>
        <w:t xml:space="preserve">                             </w:t>
      </w:r>
      <w:r>
        <w:rPr>
          <w:rFonts w:ascii="宋体" w:eastAsia="宋体" w:hAnsi="宋体" w:cs="宋体"/>
          <w:sz w:val="16"/>
          <w:szCs w:val="16"/>
        </w:rPr>
        <w:t>dopamine</w:t>
      </w:r>
      <w:r>
        <w:rPr>
          <w:rFonts w:ascii="宋体" w:eastAsia="宋体" w:hAnsi="宋体" w:cs="宋体"/>
          <w:spacing w:val="65"/>
          <w:sz w:val="16"/>
          <w:szCs w:val="16"/>
        </w:rPr>
        <w:t xml:space="preserve"> </w:t>
      </w:r>
      <w:r>
        <w:rPr>
          <w:rFonts w:ascii="宋体" w:eastAsia="宋体" w:hAnsi="宋体" w:cs="宋体"/>
          <w:spacing w:val="6"/>
          <w:sz w:val="16"/>
          <w:szCs w:val="16"/>
        </w:rPr>
        <w:t>多巴胺</w:t>
      </w:r>
    </w:p>
    <w:p w:rsidR="00EA40A3" w:rsidRDefault="00E86C16">
      <w:pPr>
        <w:spacing w:before="59" w:line="222" w:lineRule="auto"/>
        <w:rPr>
          <w:rFonts w:ascii="宋体" w:eastAsia="宋体" w:hAnsi="宋体" w:cs="宋体"/>
          <w:sz w:val="16"/>
          <w:szCs w:val="16"/>
        </w:rPr>
      </w:pPr>
      <w:r>
        <w:rPr>
          <w:rFonts w:ascii="宋体" w:eastAsia="宋体" w:hAnsi="宋体" w:cs="宋体"/>
          <w:spacing w:val="-4"/>
          <w:sz w:val="16"/>
          <w:szCs w:val="16"/>
        </w:rPr>
        <w:t>colchicine</w:t>
      </w:r>
      <w:r>
        <w:rPr>
          <w:rFonts w:ascii="宋体" w:eastAsia="宋体" w:hAnsi="宋体" w:cs="宋体"/>
          <w:spacing w:val="32"/>
          <w:sz w:val="16"/>
          <w:szCs w:val="16"/>
        </w:rPr>
        <w:t xml:space="preserve"> </w:t>
      </w:r>
      <w:r>
        <w:rPr>
          <w:rFonts w:ascii="宋体" w:eastAsia="宋体" w:hAnsi="宋体" w:cs="宋体"/>
          <w:spacing w:val="-4"/>
          <w:sz w:val="16"/>
          <w:szCs w:val="16"/>
        </w:rPr>
        <w:t>秋水仙碱</w:t>
      </w:r>
      <w:r>
        <w:rPr>
          <w:rFonts w:ascii="宋体" w:eastAsia="宋体" w:hAnsi="宋体" w:cs="宋体"/>
          <w:spacing w:val="3"/>
          <w:sz w:val="16"/>
          <w:szCs w:val="16"/>
        </w:rPr>
        <w:t xml:space="preserve">                     </w:t>
      </w:r>
      <w:r>
        <w:rPr>
          <w:rFonts w:ascii="宋体" w:eastAsia="宋体" w:hAnsi="宋体" w:cs="宋体"/>
          <w:spacing w:val="2"/>
          <w:sz w:val="16"/>
          <w:szCs w:val="16"/>
        </w:rPr>
        <w:t xml:space="preserve">       </w:t>
      </w:r>
      <w:r>
        <w:rPr>
          <w:rFonts w:ascii="宋体" w:eastAsia="宋体" w:hAnsi="宋体" w:cs="宋体"/>
          <w:spacing w:val="-4"/>
          <w:sz w:val="16"/>
          <w:szCs w:val="16"/>
        </w:rPr>
        <w:t>doubly</w:t>
      </w:r>
      <w:r>
        <w:rPr>
          <w:rFonts w:ascii="宋体" w:eastAsia="宋体" w:hAnsi="宋体" w:cs="宋体"/>
          <w:spacing w:val="-5"/>
          <w:sz w:val="16"/>
          <w:szCs w:val="16"/>
        </w:rPr>
        <w:t>-</w:t>
      </w:r>
      <w:r>
        <w:rPr>
          <w:rFonts w:ascii="宋体" w:eastAsia="宋体" w:hAnsi="宋体" w:cs="宋体"/>
          <w:spacing w:val="-4"/>
          <w:sz w:val="16"/>
          <w:szCs w:val="16"/>
        </w:rPr>
        <w:t>labeled</w:t>
      </w:r>
      <w:r>
        <w:rPr>
          <w:rFonts w:ascii="宋体" w:eastAsia="宋体" w:hAnsi="宋体" w:cs="宋体"/>
          <w:sz w:val="16"/>
          <w:szCs w:val="16"/>
        </w:rPr>
        <w:t xml:space="preserve"> </w:t>
      </w:r>
      <w:r>
        <w:rPr>
          <w:rFonts w:ascii="宋体" w:eastAsia="宋体" w:hAnsi="宋体" w:cs="宋体"/>
          <w:spacing w:val="-4"/>
          <w:sz w:val="16"/>
          <w:szCs w:val="16"/>
        </w:rPr>
        <w:t>water</w:t>
      </w:r>
      <w:r>
        <w:rPr>
          <w:rFonts w:ascii="宋体" w:eastAsia="宋体" w:hAnsi="宋体" w:cs="宋体"/>
          <w:spacing w:val="-5"/>
          <w:sz w:val="16"/>
          <w:szCs w:val="16"/>
        </w:rPr>
        <w:t>,</w:t>
      </w:r>
      <w:r>
        <w:rPr>
          <w:rFonts w:ascii="宋体" w:eastAsia="宋体" w:hAnsi="宋体" w:cs="宋体"/>
          <w:spacing w:val="-4"/>
          <w:sz w:val="16"/>
          <w:szCs w:val="16"/>
        </w:rPr>
        <w:t>DLW</w:t>
      </w:r>
      <w:r>
        <w:rPr>
          <w:rFonts w:ascii="宋体" w:eastAsia="宋体" w:hAnsi="宋体" w:cs="宋体"/>
          <w:spacing w:val="49"/>
          <w:w w:val="101"/>
          <w:sz w:val="16"/>
          <w:szCs w:val="16"/>
        </w:rPr>
        <w:t xml:space="preserve"> </w:t>
      </w:r>
      <w:r>
        <w:rPr>
          <w:rFonts w:ascii="宋体" w:eastAsia="宋体" w:hAnsi="宋体" w:cs="宋体"/>
          <w:spacing w:val="-5"/>
          <w:sz w:val="16"/>
          <w:szCs w:val="16"/>
        </w:rPr>
        <w:t>双标记水法</w:t>
      </w:r>
    </w:p>
    <w:p w:rsidR="00EA40A3" w:rsidRDefault="00E86C16">
      <w:pPr>
        <w:spacing w:before="52" w:line="228" w:lineRule="auto"/>
        <w:rPr>
          <w:rFonts w:ascii="宋体" w:eastAsia="宋体" w:hAnsi="宋体" w:cs="宋体"/>
          <w:sz w:val="16"/>
          <w:szCs w:val="16"/>
        </w:rPr>
      </w:pPr>
      <w:r>
        <w:rPr>
          <w:rFonts w:ascii="宋体" w:eastAsia="宋体" w:hAnsi="宋体" w:cs="宋体"/>
          <w:spacing w:val="-6"/>
          <w:sz w:val="16"/>
          <w:szCs w:val="16"/>
        </w:rPr>
        <w:t>collagen</w:t>
      </w:r>
      <w:r>
        <w:rPr>
          <w:rFonts w:ascii="宋体" w:eastAsia="宋体" w:hAnsi="宋体" w:cs="宋体"/>
          <w:spacing w:val="-1"/>
          <w:sz w:val="16"/>
          <w:szCs w:val="16"/>
        </w:rPr>
        <w:t xml:space="preserve"> </w:t>
      </w:r>
      <w:r>
        <w:rPr>
          <w:rFonts w:ascii="宋体" w:eastAsia="宋体" w:hAnsi="宋体" w:cs="宋体"/>
          <w:spacing w:val="-6"/>
          <w:sz w:val="16"/>
          <w:szCs w:val="16"/>
        </w:rPr>
        <w:t>fiber</w:t>
      </w:r>
      <w:r>
        <w:rPr>
          <w:rFonts w:ascii="宋体" w:eastAsia="宋体" w:hAnsi="宋体" w:cs="宋体"/>
          <w:spacing w:val="34"/>
          <w:w w:val="101"/>
          <w:sz w:val="16"/>
          <w:szCs w:val="16"/>
        </w:rPr>
        <w:t xml:space="preserve"> </w:t>
      </w:r>
      <w:r>
        <w:rPr>
          <w:rFonts w:ascii="宋体" w:eastAsia="宋体" w:hAnsi="宋体" w:cs="宋体"/>
          <w:spacing w:val="-6"/>
          <w:sz w:val="16"/>
          <w:szCs w:val="16"/>
        </w:rPr>
        <w:t>胶原纤维</w:t>
      </w:r>
      <w:r>
        <w:rPr>
          <w:rFonts w:ascii="宋体" w:eastAsia="宋体" w:hAnsi="宋体" w:cs="宋体"/>
          <w:spacing w:val="1"/>
          <w:sz w:val="16"/>
          <w:szCs w:val="16"/>
        </w:rPr>
        <w:t xml:space="preserve">                         </w:t>
      </w:r>
      <w:r>
        <w:rPr>
          <w:rFonts w:ascii="宋体" w:eastAsia="宋体" w:hAnsi="宋体" w:cs="宋体"/>
          <w:spacing w:val="-6"/>
          <w:sz w:val="16"/>
          <w:szCs w:val="16"/>
        </w:rPr>
        <w:t>doxorubicin,DOX</w:t>
      </w:r>
      <w:r>
        <w:rPr>
          <w:rFonts w:ascii="宋体" w:eastAsia="宋体" w:hAnsi="宋体" w:cs="宋体"/>
          <w:spacing w:val="38"/>
          <w:w w:val="101"/>
          <w:sz w:val="16"/>
          <w:szCs w:val="16"/>
        </w:rPr>
        <w:t xml:space="preserve">  </w:t>
      </w:r>
      <w:r>
        <w:rPr>
          <w:rFonts w:ascii="宋体" w:eastAsia="宋体" w:hAnsi="宋体" w:cs="宋体"/>
          <w:spacing w:val="-6"/>
          <w:sz w:val="16"/>
          <w:szCs w:val="16"/>
        </w:rPr>
        <w:t>阿霉素</w:t>
      </w:r>
    </w:p>
    <w:p w:rsidR="00EA40A3" w:rsidRDefault="00E86C16">
      <w:pPr>
        <w:spacing w:before="64" w:line="224" w:lineRule="auto"/>
        <w:rPr>
          <w:rFonts w:ascii="宋体" w:eastAsia="宋体" w:hAnsi="宋体" w:cs="宋体"/>
          <w:sz w:val="16"/>
          <w:szCs w:val="16"/>
        </w:rPr>
      </w:pPr>
      <w:r>
        <w:rPr>
          <w:rFonts w:ascii="宋体" w:eastAsia="宋体" w:hAnsi="宋体" w:cs="宋体"/>
          <w:spacing w:val="-5"/>
          <w:sz w:val="16"/>
          <w:szCs w:val="16"/>
        </w:rPr>
        <w:t>collagen</w:t>
      </w:r>
      <w:r>
        <w:rPr>
          <w:rFonts w:ascii="宋体" w:eastAsia="宋体" w:hAnsi="宋体" w:cs="宋体"/>
          <w:spacing w:val="45"/>
          <w:w w:val="101"/>
          <w:sz w:val="16"/>
          <w:szCs w:val="16"/>
        </w:rPr>
        <w:t xml:space="preserve"> </w:t>
      </w:r>
      <w:r>
        <w:rPr>
          <w:rFonts w:ascii="宋体" w:eastAsia="宋体" w:hAnsi="宋体" w:cs="宋体"/>
          <w:spacing w:val="-6"/>
          <w:sz w:val="16"/>
          <w:szCs w:val="16"/>
        </w:rPr>
        <w:t>胶原质</w:t>
      </w:r>
      <w:r>
        <w:rPr>
          <w:rFonts w:ascii="宋体" w:eastAsia="宋体" w:hAnsi="宋体" w:cs="宋体"/>
          <w:spacing w:val="2"/>
          <w:sz w:val="16"/>
          <w:szCs w:val="16"/>
        </w:rPr>
        <w:t xml:space="preserve">                              </w:t>
      </w:r>
      <w:r>
        <w:rPr>
          <w:rFonts w:ascii="宋体" w:eastAsia="宋体" w:hAnsi="宋体" w:cs="宋体"/>
          <w:spacing w:val="1"/>
          <w:sz w:val="16"/>
          <w:szCs w:val="16"/>
        </w:rPr>
        <w:t xml:space="preserve"> </w:t>
      </w:r>
      <w:r>
        <w:rPr>
          <w:rFonts w:ascii="宋体" w:eastAsia="宋体" w:hAnsi="宋体" w:cs="宋体"/>
          <w:spacing w:val="-5"/>
          <w:sz w:val="16"/>
          <w:szCs w:val="16"/>
        </w:rPr>
        <w:t>eicosapentaeno</w:t>
      </w:r>
      <w:r>
        <w:rPr>
          <w:rFonts w:ascii="宋体" w:eastAsia="宋体" w:hAnsi="宋体" w:cs="宋体"/>
          <w:spacing w:val="-6"/>
          <w:sz w:val="16"/>
          <w:szCs w:val="16"/>
        </w:rPr>
        <w:t>ic</w:t>
      </w:r>
      <w:r>
        <w:rPr>
          <w:rFonts w:ascii="宋体" w:eastAsia="宋体" w:hAnsi="宋体" w:cs="宋体"/>
          <w:spacing w:val="1"/>
          <w:sz w:val="16"/>
          <w:szCs w:val="16"/>
        </w:rPr>
        <w:t xml:space="preserve"> </w:t>
      </w:r>
      <w:r>
        <w:rPr>
          <w:rFonts w:ascii="宋体" w:eastAsia="宋体" w:hAnsi="宋体" w:cs="宋体"/>
          <w:spacing w:val="-6"/>
          <w:sz w:val="16"/>
          <w:szCs w:val="16"/>
        </w:rPr>
        <w:t>acid,EPA</w:t>
      </w:r>
      <w:r>
        <w:rPr>
          <w:rFonts w:ascii="宋体" w:eastAsia="宋体" w:hAnsi="宋体" w:cs="宋体"/>
          <w:spacing w:val="57"/>
          <w:w w:val="101"/>
          <w:sz w:val="16"/>
          <w:szCs w:val="16"/>
        </w:rPr>
        <w:t xml:space="preserve"> </w:t>
      </w:r>
      <w:r>
        <w:rPr>
          <w:rFonts w:ascii="宋体" w:eastAsia="宋体" w:hAnsi="宋体" w:cs="宋体"/>
          <w:spacing w:val="-6"/>
          <w:sz w:val="16"/>
          <w:szCs w:val="16"/>
        </w:rPr>
        <w:t>二十碳五烯酸</w:t>
      </w:r>
    </w:p>
    <w:p w:rsidR="00EA40A3" w:rsidRDefault="00E86C16">
      <w:pPr>
        <w:spacing w:before="55" w:line="228" w:lineRule="auto"/>
        <w:rPr>
          <w:rFonts w:ascii="宋体" w:eastAsia="宋体" w:hAnsi="宋体" w:cs="宋体"/>
          <w:sz w:val="16"/>
          <w:szCs w:val="16"/>
        </w:rPr>
      </w:pPr>
      <w:r>
        <w:rPr>
          <w:rFonts w:ascii="宋体" w:eastAsia="宋体" w:hAnsi="宋体" w:cs="宋体"/>
          <w:spacing w:val="-6"/>
          <w:sz w:val="16"/>
          <w:szCs w:val="16"/>
        </w:rPr>
        <w:t>colostrum</w:t>
      </w:r>
      <w:r>
        <w:rPr>
          <w:rFonts w:ascii="宋体" w:eastAsia="宋体" w:hAnsi="宋体" w:cs="宋体"/>
          <w:spacing w:val="71"/>
          <w:sz w:val="16"/>
          <w:szCs w:val="16"/>
        </w:rPr>
        <w:t xml:space="preserve"> </w:t>
      </w:r>
      <w:r>
        <w:rPr>
          <w:rFonts w:ascii="宋体" w:eastAsia="宋体" w:hAnsi="宋体" w:cs="宋体"/>
          <w:spacing w:val="-6"/>
          <w:sz w:val="16"/>
          <w:szCs w:val="16"/>
        </w:rPr>
        <w:t>初乳</w:t>
      </w:r>
      <w:r>
        <w:rPr>
          <w:rFonts w:ascii="宋体" w:eastAsia="宋体" w:hAnsi="宋体" w:cs="宋体"/>
          <w:spacing w:val="2"/>
          <w:sz w:val="16"/>
          <w:szCs w:val="16"/>
        </w:rPr>
        <w:t xml:space="preserve">                       </w:t>
      </w:r>
      <w:r>
        <w:rPr>
          <w:rFonts w:ascii="宋体" w:eastAsia="宋体" w:hAnsi="宋体" w:cs="宋体"/>
          <w:spacing w:val="1"/>
          <w:sz w:val="16"/>
          <w:szCs w:val="16"/>
        </w:rPr>
        <w:t xml:space="preserve">         </w:t>
      </w:r>
      <w:r>
        <w:rPr>
          <w:rFonts w:ascii="宋体" w:eastAsia="宋体" w:hAnsi="宋体" w:cs="宋体"/>
          <w:spacing w:val="-6"/>
          <w:position w:val="1"/>
          <w:sz w:val="16"/>
          <w:szCs w:val="16"/>
        </w:rPr>
        <w:t>energy</w:t>
      </w:r>
      <w:r>
        <w:rPr>
          <w:rFonts w:ascii="宋体" w:eastAsia="宋体" w:hAnsi="宋体" w:cs="宋体"/>
          <w:spacing w:val="40"/>
          <w:position w:val="1"/>
          <w:sz w:val="16"/>
          <w:szCs w:val="16"/>
        </w:rPr>
        <w:t xml:space="preserve"> </w:t>
      </w:r>
      <w:r>
        <w:rPr>
          <w:rFonts w:ascii="宋体" w:eastAsia="宋体" w:hAnsi="宋体" w:cs="宋体"/>
          <w:spacing w:val="-6"/>
          <w:position w:val="1"/>
          <w:sz w:val="16"/>
          <w:szCs w:val="16"/>
        </w:rPr>
        <w:t>能量</w:t>
      </w:r>
    </w:p>
    <w:p w:rsidR="00EA40A3" w:rsidRDefault="00E86C16">
      <w:pPr>
        <w:spacing w:before="42" w:line="228" w:lineRule="auto"/>
        <w:rPr>
          <w:rFonts w:ascii="宋体" w:eastAsia="宋体" w:hAnsi="宋体" w:cs="宋体"/>
          <w:sz w:val="16"/>
          <w:szCs w:val="16"/>
        </w:rPr>
      </w:pPr>
      <w:r>
        <w:rPr>
          <w:rFonts w:ascii="宋体" w:eastAsia="宋体" w:hAnsi="宋体" w:cs="宋体"/>
          <w:spacing w:val="-6"/>
          <w:position w:val="-1"/>
          <w:sz w:val="16"/>
          <w:szCs w:val="16"/>
        </w:rPr>
        <w:t>community</w:t>
      </w:r>
      <w:r>
        <w:rPr>
          <w:rFonts w:ascii="宋体" w:eastAsia="宋体" w:hAnsi="宋体" w:cs="宋体"/>
          <w:spacing w:val="-4"/>
          <w:position w:val="-1"/>
          <w:sz w:val="16"/>
          <w:szCs w:val="16"/>
        </w:rPr>
        <w:t xml:space="preserve"> </w:t>
      </w:r>
      <w:r>
        <w:rPr>
          <w:rFonts w:ascii="宋体" w:eastAsia="宋体" w:hAnsi="宋体" w:cs="宋体"/>
          <w:spacing w:val="-6"/>
          <w:position w:val="-1"/>
          <w:sz w:val="16"/>
          <w:szCs w:val="16"/>
        </w:rPr>
        <w:t>nutrition</w:t>
      </w:r>
      <w:r>
        <w:rPr>
          <w:rFonts w:ascii="宋体" w:eastAsia="宋体" w:hAnsi="宋体" w:cs="宋体"/>
          <w:spacing w:val="65"/>
          <w:position w:val="-1"/>
          <w:sz w:val="16"/>
          <w:szCs w:val="16"/>
        </w:rPr>
        <w:t xml:space="preserve"> </w:t>
      </w:r>
      <w:r>
        <w:rPr>
          <w:rFonts w:ascii="宋体" w:eastAsia="宋体" w:hAnsi="宋体" w:cs="宋体"/>
          <w:spacing w:val="-6"/>
          <w:position w:val="-1"/>
          <w:sz w:val="16"/>
          <w:szCs w:val="16"/>
        </w:rPr>
        <w:t>社区营养</w:t>
      </w:r>
      <w:r>
        <w:rPr>
          <w:rFonts w:ascii="宋体" w:eastAsia="宋体" w:hAnsi="宋体" w:cs="宋体"/>
          <w:spacing w:val="3"/>
          <w:position w:val="-1"/>
          <w:sz w:val="16"/>
          <w:szCs w:val="16"/>
        </w:rPr>
        <w:t xml:space="preserve">                   </w:t>
      </w:r>
      <w:r>
        <w:rPr>
          <w:rFonts w:ascii="宋体" w:eastAsia="宋体" w:hAnsi="宋体" w:cs="宋体"/>
          <w:spacing w:val="-6"/>
          <w:sz w:val="16"/>
          <w:szCs w:val="16"/>
        </w:rPr>
        <w:t>epigallocatechin</w:t>
      </w:r>
      <w:r>
        <w:rPr>
          <w:rFonts w:ascii="宋体" w:eastAsia="宋体" w:hAnsi="宋体" w:cs="宋体"/>
          <w:spacing w:val="3"/>
          <w:sz w:val="16"/>
          <w:szCs w:val="16"/>
        </w:rPr>
        <w:t xml:space="preserve"> </w:t>
      </w:r>
      <w:r>
        <w:rPr>
          <w:rFonts w:ascii="宋体" w:eastAsia="宋体" w:hAnsi="宋体" w:cs="宋体"/>
          <w:spacing w:val="-6"/>
          <w:sz w:val="16"/>
          <w:szCs w:val="16"/>
        </w:rPr>
        <w:t>gallate,EGCG</w:t>
      </w:r>
      <w:r>
        <w:rPr>
          <w:rFonts w:ascii="宋体" w:eastAsia="宋体" w:hAnsi="宋体" w:cs="宋体"/>
          <w:spacing w:val="67"/>
          <w:sz w:val="16"/>
          <w:szCs w:val="16"/>
        </w:rPr>
        <w:t xml:space="preserve"> </w:t>
      </w:r>
      <w:r>
        <w:rPr>
          <w:rFonts w:ascii="宋体" w:eastAsia="宋体" w:hAnsi="宋体" w:cs="宋体"/>
          <w:spacing w:val="-6"/>
          <w:sz w:val="16"/>
          <w:szCs w:val="16"/>
        </w:rPr>
        <w:t>表没</w:t>
      </w:r>
      <w:r>
        <w:rPr>
          <w:rFonts w:ascii="宋体" w:eastAsia="宋体" w:hAnsi="宋体" w:cs="宋体"/>
          <w:spacing w:val="-7"/>
          <w:sz w:val="16"/>
          <w:szCs w:val="16"/>
        </w:rPr>
        <w:t>食子儿茶素没</w:t>
      </w:r>
    </w:p>
    <w:p w:rsidR="00EA40A3" w:rsidRDefault="00E86C16">
      <w:pPr>
        <w:spacing w:before="48" w:line="220" w:lineRule="auto"/>
        <w:rPr>
          <w:rFonts w:ascii="宋体" w:eastAsia="宋体" w:hAnsi="宋体" w:cs="宋体"/>
          <w:sz w:val="16"/>
          <w:szCs w:val="16"/>
        </w:rPr>
      </w:pPr>
      <w:r>
        <w:rPr>
          <w:rFonts w:ascii="宋体" w:eastAsia="宋体" w:hAnsi="宋体" w:cs="宋体"/>
          <w:spacing w:val="-3"/>
          <w:sz w:val="16"/>
          <w:szCs w:val="16"/>
        </w:rPr>
        <w:t>complementary</w:t>
      </w:r>
      <w:r>
        <w:rPr>
          <w:rFonts w:ascii="宋体" w:eastAsia="宋体" w:hAnsi="宋体" w:cs="宋体"/>
          <w:spacing w:val="14"/>
          <w:sz w:val="16"/>
          <w:szCs w:val="16"/>
        </w:rPr>
        <w:t xml:space="preserve"> </w:t>
      </w:r>
      <w:r>
        <w:rPr>
          <w:rFonts w:ascii="宋体" w:eastAsia="宋体" w:hAnsi="宋体" w:cs="宋体"/>
          <w:spacing w:val="-3"/>
          <w:sz w:val="16"/>
          <w:szCs w:val="16"/>
        </w:rPr>
        <w:t>action</w:t>
      </w:r>
      <w:r>
        <w:rPr>
          <w:rFonts w:ascii="宋体" w:eastAsia="宋体" w:hAnsi="宋体" w:cs="宋体"/>
          <w:spacing w:val="32"/>
          <w:sz w:val="16"/>
          <w:szCs w:val="16"/>
        </w:rPr>
        <w:t xml:space="preserve">  </w:t>
      </w:r>
      <w:r>
        <w:rPr>
          <w:rFonts w:ascii="宋体" w:eastAsia="宋体" w:hAnsi="宋体" w:cs="宋体"/>
          <w:spacing w:val="-3"/>
          <w:sz w:val="16"/>
          <w:szCs w:val="16"/>
        </w:rPr>
        <w:t>(蛋白质)互补作用</w:t>
      </w:r>
      <w:r>
        <w:rPr>
          <w:rFonts w:ascii="宋体" w:eastAsia="宋体" w:hAnsi="宋体" w:cs="宋体"/>
          <w:spacing w:val="1"/>
          <w:sz w:val="16"/>
          <w:szCs w:val="16"/>
        </w:rPr>
        <w:t xml:space="preserve">           </w:t>
      </w:r>
      <w:r>
        <w:rPr>
          <w:rFonts w:ascii="宋体" w:eastAsia="宋体" w:hAnsi="宋体" w:cs="宋体"/>
          <w:spacing w:val="-3"/>
          <w:position w:val="1"/>
          <w:sz w:val="16"/>
          <w:szCs w:val="16"/>
        </w:rPr>
        <w:t>食子酸酯</w:t>
      </w:r>
    </w:p>
    <w:p w:rsidR="00EA40A3" w:rsidRDefault="00E86C16">
      <w:pPr>
        <w:spacing w:before="75" w:line="224" w:lineRule="auto"/>
        <w:rPr>
          <w:rFonts w:ascii="宋体" w:eastAsia="宋体" w:hAnsi="宋体" w:cs="宋体"/>
          <w:sz w:val="16"/>
          <w:szCs w:val="16"/>
        </w:rPr>
      </w:pPr>
      <w:r>
        <w:rPr>
          <w:rFonts w:ascii="宋体" w:eastAsia="宋体" w:hAnsi="宋体" w:cs="宋体"/>
          <w:spacing w:val="-1"/>
          <w:position w:val="1"/>
          <w:sz w:val="16"/>
          <w:szCs w:val="16"/>
        </w:rPr>
        <w:t>complement</w:t>
      </w:r>
      <w:r>
        <w:rPr>
          <w:rFonts w:ascii="宋体" w:eastAsia="宋体" w:hAnsi="宋体" w:cs="宋体"/>
          <w:spacing w:val="39"/>
          <w:position w:val="1"/>
          <w:sz w:val="16"/>
          <w:szCs w:val="16"/>
        </w:rPr>
        <w:t xml:space="preserve"> </w:t>
      </w:r>
      <w:r>
        <w:rPr>
          <w:rFonts w:ascii="宋体" w:eastAsia="宋体" w:hAnsi="宋体" w:cs="宋体"/>
          <w:spacing w:val="-2"/>
          <w:position w:val="1"/>
          <w:sz w:val="16"/>
          <w:szCs w:val="16"/>
        </w:rPr>
        <w:t>补体</w:t>
      </w:r>
      <w:r>
        <w:rPr>
          <w:rFonts w:ascii="宋体" w:eastAsia="宋体" w:hAnsi="宋体" w:cs="宋体"/>
          <w:spacing w:val="2"/>
          <w:position w:val="1"/>
          <w:sz w:val="16"/>
          <w:szCs w:val="16"/>
        </w:rPr>
        <w:t xml:space="preserve">                       </w:t>
      </w:r>
      <w:r>
        <w:rPr>
          <w:rFonts w:ascii="宋体" w:eastAsia="宋体" w:hAnsi="宋体" w:cs="宋体"/>
          <w:spacing w:val="1"/>
          <w:position w:val="1"/>
          <w:sz w:val="16"/>
          <w:szCs w:val="16"/>
        </w:rPr>
        <w:t xml:space="preserve">       </w:t>
      </w:r>
      <w:r>
        <w:rPr>
          <w:rFonts w:ascii="宋体" w:eastAsia="宋体" w:hAnsi="宋体" w:cs="宋体"/>
          <w:spacing w:val="-1"/>
          <w:sz w:val="16"/>
          <w:szCs w:val="16"/>
        </w:rPr>
        <w:t>epigallocatech</w:t>
      </w:r>
      <w:r>
        <w:rPr>
          <w:rFonts w:ascii="宋体" w:eastAsia="宋体" w:hAnsi="宋体" w:cs="宋体"/>
          <w:spacing w:val="-2"/>
          <w:sz w:val="16"/>
          <w:szCs w:val="16"/>
        </w:rPr>
        <w:t>in,EGO</w:t>
      </w:r>
      <w:r>
        <w:rPr>
          <w:rFonts w:ascii="宋体" w:eastAsia="宋体" w:hAnsi="宋体" w:cs="宋体"/>
          <w:spacing w:val="36"/>
          <w:sz w:val="16"/>
          <w:szCs w:val="16"/>
        </w:rPr>
        <w:t xml:space="preserve"> </w:t>
      </w:r>
      <w:r>
        <w:rPr>
          <w:rFonts w:ascii="宋体" w:eastAsia="宋体" w:hAnsi="宋体" w:cs="宋体"/>
          <w:spacing w:val="-2"/>
          <w:sz w:val="16"/>
          <w:szCs w:val="16"/>
        </w:rPr>
        <w:t>表没食子儿茶素</w:t>
      </w:r>
    </w:p>
    <w:p w:rsidR="00EA40A3" w:rsidRDefault="00E86C16">
      <w:pPr>
        <w:spacing w:before="46" w:line="225" w:lineRule="auto"/>
        <w:rPr>
          <w:rFonts w:ascii="宋体" w:eastAsia="宋体" w:hAnsi="宋体" w:cs="宋体"/>
          <w:sz w:val="16"/>
          <w:szCs w:val="16"/>
        </w:rPr>
      </w:pPr>
      <w:r>
        <w:rPr>
          <w:rFonts w:ascii="宋体" w:eastAsia="宋体" w:hAnsi="宋体" w:cs="宋体"/>
          <w:spacing w:val="-11"/>
          <w:sz w:val="16"/>
          <w:szCs w:val="16"/>
        </w:rPr>
        <w:t>conditionally</w:t>
      </w:r>
      <w:r>
        <w:rPr>
          <w:rFonts w:ascii="宋体" w:eastAsia="宋体" w:hAnsi="宋体" w:cs="宋体"/>
          <w:spacing w:val="-6"/>
          <w:sz w:val="16"/>
          <w:szCs w:val="16"/>
        </w:rPr>
        <w:t xml:space="preserve"> </w:t>
      </w:r>
      <w:r>
        <w:rPr>
          <w:rFonts w:ascii="宋体" w:eastAsia="宋体" w:hAnsi="宋体" w:cs="宋体"/>
          <w:spacing w:val="-11"/>
          <w:sz w:val="16"/>
          <w:szCs w:val="16"/>
        </w:rPr>
        <w:t>essential</w:t>
      </w:r>
      <w:r>
        <w:rPr>
          <w:rFonts w:ascii="宋体" w:eastAsia="宋体" w:hAnsi="宋体" w:cs="宋体"/>
          <w:spacing w:val="-9"/>
          <w:sz w:val="16"/>
          <w:szCs w:val="16"/>
        </w:rPr>
        <w:t xml:space="preserve"> </w:t>
      </w:r>
      <w:r>
        <w:rPr>
          <w:rFonts w:ascii="宋体" w:eastAsia="宋体" w:hAnsi="宋体" w:cs="宋体"/>
          <w:spacing w:val="-11"/>
          <w:sz w:val="16"/>
          <w:szCs w:val="16"/>
        </w:rPr>
        <w:t>amino</w:t>
      </w:r>
      <w:r>
        <w:rPr>
          <w:rFonts w:ascii="宋体" w:eastAsia="宋体" w:hAnsi="宋体" w:cs="宋体"/>
          <w:spacing w:val="-8"/>
          <w:sz w:val="16"/>
          <w:szCs w:val="16"/>
        </w:rPr>
        <w:t xml:space="preserve"> </w:t>
      </w:r>
      <w:r>
        <w:rPr>
          <w:rFonts w:ascii="宋体" w:eastAsia="宋体" w:hAnsi="宋体" w:cs="宋体"/>
          <w:spacing w:val="-11"/>
          <w:sz w:val="16"/>
          <w:szCs w:val="16"/>
        </w:rPr>
        <w:t>acid</w:t>
      </w:r>
      <w:r>
        <w:rPr>
          <w:rFonts w:ascii="宋体" w:eastAsia="宋体" w:hAnsi="宋体" w:cs="宋体"/>
          <w:spacing w:val="56"/>
          <w:w w:val="101"/>
          <w:sz w:val="16"/>
          <w:szCs w:val="16"/>
        </w:rPr>
        <w:t xml:space="preserve"> </w:t>
      </w:r>
      <w:r>
        <w:rPr>
          <w:rFonts w:ascii="宋体" w:eastAsia="宋体" w:hAnsi="宋体" w:cs="宋体"/>
          <w:spacing w:val="-12"/>
          <w:sz w:val="16"/>
          <w:szCs w:val="16"/>
        </w:rPr>
        <w:t>条件必需氨基酸</w:t>
      </w:r>
      <w:r>
        <w:rPr>
          <w:rFonts w:ascii="宋体" w:eastAsia="宋体" w:hAnsi="宋体" w:cs="宋体"/>
          <w:spacing w:val="33"/>
          <w:sz w:val="16"/>
          <w:szCs w:val="16"/>
        </w:rPr>
        <w:t xml:space="preserve">  </w:t>
      </w:r>
      <w:r>
        <w:rPr>
          <w:rFonts w:ascii="宋体" w:eastAsia="宋体" w:hAnsi="宋体" w:cs="宋体"/>
          <w:spacing w:val="-11"/>
          <w:position w:val="-1"/>
          <w:sz w:val="16"/>
          <w:szCs w:val="16"/>
        </w:rPr>
        <w:t>epinep</w:t>
      </w:r>
      <w:r>
        <w:rPr>
          <w:rFonts w:ascii="宋体" w:eastAsia="宋体" w:hAnsi="宋体" w:cs="宋体"/>
          <w:spacing w:val="-12"/>
          <w:position w:val="-1"/>
          <w:sz w:val="16"/>
          <w:szCs w:val="16"/>
        </w:rPr>
        <w:t>hrine</w:t>
      </w:r>
      <w:r>
        <w:rPr>
          <w:rFonts w:ascii="宋体" w:eastAsia="宋体" w:hAnsi="宋体" w:cs="宋体"/>
          <w:spacing w:val="53"/>
          <w:position w:val="-1"/>
          <w:sz w:val="16"/>
          <w:szCs w:val="16"/>
        </w:rPr>
        <w:t xml:space="preserve"> </w:t>
      </w:r>
      <w:r>
        <w:rPr>
          <w:rFonts w:ascii="宋体" w:eastAsia="宋体" w:hAnsi="宋体" w:cs="宋体"/>
          <w:spacing w:val="-12"/>
          <w:position w:val="-1"/>
          <w:sz w:val="16"/>
          <w:szCs w:val="16"/>
        </w:rPr>
        <w:t>肾上腺素</w:t>
      </w:r>
    </w:p>
    <w:p w:rsidR="00EA40A3" w:rsidRDefault="00E86C16">
      <w:pPr>
        <w:spacing w:before="54" w:line="230" w:lineRule="auto"/>
        <w:rPr>
          <w:rFonts w:ascii="宋体" w:eastAsia="宋体" w:hAnsi="宋体" w:cs="宋体"/>
          <w:sz w:val="16"/>
          <w:szCs w:val="16"/>
        </w:rPr>
      </w:pPr>
      <w:r>
        <w:rPr>
          <w:rFonts w:ascii="宋体" w:eastAsia="宋体" w:hAnsi="宋体" w:cs="宋体"/>
          <w:spacing w:val="-10"/>
          <w:sz w:val="16"/>
          <w:szCs w:val="16"/>
        </w:rPr>
        <w:t>congenital</w:t>
      </w:r>
      <w:r>
        <w:rPr>
          <w:rFonts w:ascii="宋体" w:eastAsia="宋体" w:hAnsi="宋体" w:cs="宋体"/>
          <w:sz w:val="16"/>
          <w:szCs w:val="16"/>
        </w:rPr>
        <w:t xml:space="preserve"> </w:t>
      </w:r>
      <w:r>
        <w:rPr>
          <w:rFonts w:ascii="宋体" w:eastAsia="宋体" w:hAnsi="宋体" w:cs="宋体"/>
          <w:spacing w:val="-10"/>
          <w:sz w:val="16"/>
          <w:szCs w:val="16"/>
        </w:rPr>
        <w:t>malformation</w:t>
      </w:r>
      <w:r>
        <w:rPr>
          <w:rFonts w:ascii="宋体" w:eastAsia="宋体" w:hAnsi="宋体" w:cs="宋体"/>
          <w:spacing w:val="25"/>
          <w:sz w:val="16"/>
          <w:szCs w:val="16"/>
        </w:rPr>
        <w:t xml:space="preserve"> </w:t>
      </w:r>
      <w:r>
        <w:rPr>
          <w:rFonts w:ascii="宋体" w:eastAsia="宋体" w:hAnsi="宋体" w:cs="宋体"/>
          <w:spacing w:val="-10"/>
          <w:sz w:val="16"/>
          <w:szCs w:val="16"/>
        </w:rPr>
        <w:t>先天畸形</w:t>
      </w:r>
      <w:r>
        <w:rPr>
          <w:rFonts w:ascii="宋体" w:eastAsia="宋体" w:hAnsi="宋体" w:cs="宋体"/>
          <w:spacing w:val="3"/>
          <w:sz w:val="16"/>
          <w:szCs w:val="16"/>
        </w:rPr>
        <w:t xml:space="preserve">                </w:t>
      </w:r>
      <w:r>
        <w:rPr>
          <w:rFonts w:ascii="宋体" w:eastAsia="宋体" w:hAnsi="宋体" w:cs="宋体"/>
          <w:spacing w:val="-10"/>
          <w:sz w:val="16"/>
          <w:szCs w:val="16"/>
        </w:rPr>
        <w:t>erucic</w:t>
      </w:r>
      <w:r>
        <w:rPr>
          <w:rFonts w:ascii="宋体" w:eastAsia="宋体" w:hAnsi="宋体" w:cs="宋体"/>
          <w:spacing w:val="-5"/>
          <w:sz w:val="16"/>
          <w:szCs w:val="16"/>
        </w:rPr>
        <w:t xml:space="preserve"> </w:t>
      </w:r>
      <w:r>
        <w:rPr>
          <w:rFonts w:ascii="宋体" w:eastAsia="宋体" w:hAnsi="宋体" w:cs="宋体"/>
          <w:spacing w:val="-10"/>
          <w:sz w:val="16"/>
          <w:szCs w:val="16"/>
        </w:rPr>
        <w:t>acid</w:t>
      </w:r>
      <w:r>
        <w:rPr>
          <w:rFonts w:ascii="宋体" w:eastAsia="宋体" w:hAnsi="宋体" w:cs="宋体"/>
          <w:spacing w:val="57"/>
          <w:sz w:val="16"/>
          <w:szCs w:val="16"/>
        </w:rPr>
        <w:t xml:space="preserve"> </w:t>
      </w:r>
      <w:r>
        <w:rPr>
          <w:rFonts w:ascii="宋体" w:eastAsia="宋体" w:hAnsi="宋体" w:cs="宋体"/>
          <w:spacing w:val="-10"/>
          <w:sz w:val="16"/>
          <w:szCs w:val="16"/>
        </w:rPr>
        <w:t>芥</w:t>
      </w:r>
      <w:r>
        <w:rPr>
          <w:rFonts w:ascii="宋体" w:eastAsia="宋体" w:hAnsi="宋体" w:cs="宋体"/>
          <w:spacing w:val="-11"/>
          <w:sz w:val="16"/>
          <w:szCs w:val="16"/>
        </w:rPr>
        <w:t>子酸</w:t>
      </w:r>
    </w:p>
    <w:p w:rsidR="00EA40A3" w:rsidRDefault="00E86C16">
      <w:pPr>
        <w:spacing w:before="50" w:line="225" w:lineRule="auto"/>
        <w:rPr>
          <w:rFonts w:ascii="宋体" w:eastAsia="宋体" w:hAnsi="宋体" w:cs="宋体"/>
          <w:sz w:val="16"/>
          <w:szCs w:val="16"/>
        </w:rPr>
      </w:pPr>
      <w:r>
        <w:rPr>
          <w:rFonts w:ascii="宋体" w:eastAsia="宋体" w:hAnsi="宋体" w:cs="宋体"/>
          <w:spacing w:val="-11"/>
          <w:sz w:val="16"/>
          <w:szCs w:val="16"/>
        </w:rPr>
        <w:t>conjugated</w:t>
      </w:r>
      <w:r>
        <w:rPr>
          <w:rFonts w:ascii="宋体" w:eastAsia="宋体" w:hAnsi="宋体" w:cs="宋体"/>
          <w:spacing w:val="-4"/>
          <w:sz w:val="16"/>
          <w:szCs w:val="16"/>
        </w:rPr>
        <w:t xml:space="preserve"> </w:t>
      </w:r>
      <w:r>
        <w:rPr>
          <w:rFonts w:ascii="宋体" w:eastAsia="宋体" w:hAnsi="宋体" w:cs="宋体"/>
          <w:spacing w:val="-11"/>
          <w:sz w:val="16"/>
          <w:szCs w:val="16"/>
        </w:rPr>
        <w:t>linoleic acid</w:t>
      </w:r>
      <w:r>
        <w:rPr>
          <w:rFonts w:ascii="宋体" w:eastAsia="宋体" w:hAnsi="宋体" w:cs="宋体"/>
          <w:spacing w:val="56"/>
          <w:sz w:val="16"/>
          <w:szCs w:val="16"/>
        </w:rPr>
        <w:t xml:space="preserve"> </w:t>
      </w:r>
      <w:r>
        <w:rPr>
          <w:rFonts w:ascii="宋体" w:eastAsia="宋体" w:hAnsi="宋体" w:cs="宋体"/>
          <w:spacing w:val="-12"/>
          <w:sz w:val="16"/>
          <w:szCs w:val="16"/>
        </w:rPr>
        <w:t>共轭亚油酸</w:t>
      </w:r>
      <w:r>
        <w:rPr>
          <w:rFonts w:ascii="宋体" w:eastAsia="宋体" w:hAnsi="宋体" w:cs="宋体"/>
          <w:spacing w:val="3"/>
          <w:sz w:val="16"/>
          <w:szCs w:val="16"/>
        </w:rPr>
        <w:t xml:space="preserve">               </w:t>
      </w:r>
      <w:r>
        <w:rPr>
          <w:rFonts w:ascii="宋体" w:eastAsia="宋体" w:hAnsi="宋体" w:cs="宋体"/>
          <w:spacing w:val="-11"/>
          <w:sz w:val="16"/>
          <w:szCs w:val="16"/>
        </w:rPr>
        <w:t>esop</w:t>
      </w:r>
      <w:r>
        <w:rPr>
          <w:rFonts w:ascii="宋体" w:eastAsia="宋体" w:hAnsi="宋体" w:cs="宋体"/>
          <w:spacing w:val="-12"/>
          <w:sz w:val="16"/>
          <w:szCs w:val="16"/>
        </w:rPr>
        <w:t>hagus</w:t>
      </w:r>
      <w:r>
        <w:rPr>
          <w:rFonts w:ascii="宋体" w:eastAsia="宋体" w:hAnsi="宋体" w:cs="宋体"/>
          <w:spacing w:val="59"/>
          <w:w w:val="101"/>
          <w:sz w:val="16"/>
          <w:szCs w:val="16"/>
        </w:rPr>
        <w:t xml:space="preserve"> </w:t>
      </w:r>
      <w:r>
        <w:rPr>
          <w:rFonts w:ascii="宋体" w:eastAsia="宋体" w:hAnsi="宋体" w:cs="宋体"/>
          <w:spacing w:val="-12"/>
          <w:sz w:val="16"/>
          <w:szCs w:val="16"/>
        </w:rPr>
        <w:t>食道</w:t>
      </w:r>
    </w:p>
    <w:p w:rsidR="00EA40A3" w:rsidRDefault="00E86C16">
      <w:pPr>
        <w:spacing w:before="65" w:line="217" w:lineRule="auto"/>
        <w:rPr>
          <w:rFonts w:ascii="宋体" w:eastAsia="宋体" w:hAnsi="宋体" w:cs="宋体"/>
          <w:sz w:val="16"/>
          <w:szCs w:val="16"/>
        </w:rPr>
      </w:pPr>
      <w:r>
        <w:rPr>
          <w:rFonts w:ascii="宋体" w:eastAsia="宋体" w:hAnsi="宋体" w:cs="宋体"/>
          <w:spacing w:val="-6"/>
          <w:sz w:val="16"/>
          <w:szCs w:val="16"/>
        </w:rPr>
        <w:t>conjugated</w:t>
      </w:r>
      <w:r>
        <w:rPr>
          <w:rFonts w:ascii="宋体" w:eastAsia="宋体" w:hAnsi="宋体" w:cs="宋体"/>
          <w:spacing w:val="-8"/>
          <w:sz w:val="16"/>
          <w:szCs w:val="16"/>
        </w:rPr>
        <w:t xml:space="preserve"> </w:t>
      </w:r>
      <w:r>
        <w:rPr>
          <w:rFonts w:ascii="宋体" w:eastAsia="宋体" w:hAnsi="宋体" w:cs="宋体"/>
          <w:spacing w:val="-6"/>
          <w:sz w:val="16"/>
          <w:szCs w:val="16"/>
        </w:rPr>
        <w:t>protein</w:t>
      </w:r>
      <w:r>
        <w:rPr>
          <w:rFonts w:ascii="宋体" w:eastAsia="宋体" w:hAnsi="宋体" w:cs="宋体"/>
          <w:spacing w:val="45"/>
          <w:sz w:val="16"/>
          <w:szCs w:val="16"/>
        </w:rPr>
        <w:t xml:space="preserve"> </w:t>
      </w:r>
      <w:r>
        <w:rPr>
          <w:rFonts w:ascii="宋体" w:eastAsia="宋体" w:hAnsi="宋体" w:cs="宋体"/>
          <w:spacing w:val="-7"/>
          <w:sz w:val="16"/>
          <w:szCs w:val="16"/>
        </w:rPr>
        <w:t>结合蛋白质</w:t>
      </w:r>
      <w:r>
        <w:rPr>
          <w:rFonts w:ascii="宋体" w:eastAsia="宋体" w:hAnsi="宋体" w:cs="宋体"/>
          <w:spacing w:val="2"/>
          <w:sz w:val="16"/>
          <w:szCs w:val="16"/>
        </w:rPr>
        <w:t xml:space="preserve">                   </w:t>
      </w:r>
      <w:r>
        <w:rPr>
          <w:rFonts w:ascii="宋体" w:eastAsia="宋体" w:hAnsi="宋体" w:cs="宋体"/>
          <w:spacing w:val="-6"/>
          <w:sz w:val="16"/>
          <w:szCs w:val="16"/>
        </w:rPr>
        <w:t>essenti</w:t>
      </w:r>
      <w:r>
        <w:rPr>
          <w:rFonts w:ascii="宋体" w:eastAsia="宋体" w:hAnsi="宋体" w:cs="宋体"/>
          <w:spacing w:val="-7"/>
          <w:sz w:val="16"/>
          <w:szCs w:val="16"/>
        </w:rPr>
        <w:t>al</w:t>
      </w:r>
      <w:r>
        <w:rPr>
          <w:rFonts w:ascii="宋体" w:eastAsia="宋体" w:hAnsi="宋体" w:cs="宋体"/>
          <w:spacing w:val="15"/>
          <w:sz w:val="16"/>
          <w:szCs w:val="16"/>
        </w:rPr>
        <w:t xml:space="preserve"> </w:t>
      </w:r>
      <w:r>
        <w:rPr>
          <w:rFonts w:ascii="宋体" w:eastAsia="宋体" w:hAnsi="宋体" w:cs="宋体"/>
          <w:spacing w:val="-7"/>
          <w:sz w:val="16"/>
          <w:szCs w:val="16"/>
        </w:rPr>
        <w:t>amino</w:t>
      </w:r>
      <w:r>
        <w:rPr>
          <w:rFonts w:ascii="宋体" w:eastAsia="宋体" w:hAnsi="宋体" w:cs="宋体"/>
          <w:spacing w:val="4"/>
          <w:sz w:val="16"/>
          <w:szCs w:val="16"/>
        </w:rPr>
        <w:t xml:space="preserve"> </w:t>
      </w:r>
      <w:r>
        <w:rPr>
          <w:rFonts w:ascii="宋体" w:eastAsia="宋体" w:hAnsi="宋体" w:cs="宋体"/>
          <w:spacing w:val="-7"/>
          <w:sz w:val="16"/>
          <w:szCs w:val="16"/>
        </w:rPr>
        <w:t>acid,EAA</w:t>
      </w:r>
      <w:r>
        <w:rPr>
          <w:rFonts w:ascii="宋体" w:eastAsia="宋体" w:hAnsi="宋体" w:cs="宋体"/>
          <w:spacing w:val="46"/>
          <w:w w:val="101"/>
          <w:sz w:val="16"/>
          <w:szCs w:val="16"/>
        </w:rPr>
        <w:t xml:space="preserve"> </w:t>
      </w:r>
      <w:r>
        <w:rPr>
          <w:rFonts w:ascii="宋体" w:eastAsia="宋体" w:hAnsi="宋体" w:cs="宋体"/>
          <w:spacing w:val="-7"/>
          <w:sz w:val="16"/>
          <w:szCs w:val="16"/>
        </w:rPr>
        <w:t>必需氨基酸</w:t>
      </w:r>
    </w:p>
    <w:p w:rsidR="00EA40A3" w:rsidRDefault="00E86C16">
      <w:pPr>
        <w:spacing w:before="64" w:line="225" w:lineRule="auto"/>
        <w:rPr>
          <w:rFonts w:ascii="宋体" w:eastAsia="宋体" w:hAnsi="宋体" w:cs="宋体"/>
          <w:sz w:val="16"/>
          <w:szCs w:val="16"/>
        </w:rPr>
      </w:pPr>
      <w:r>
        <w:rPr>
          <w:rFonts w:ascii="宋体" w:eastAsia="宋体" w:hAnsi="宋体" w:cs="宋体"/>
          <w:spacing w:val="-4"/>
          <w:sz w:val="16"/>
          <w:szCs w:val="16"/>
        </w:rPr>
        <w:t>Cordyceps</w:t>
      </w:r>
      <w:r>
        <w:rPr>
          <w:rFonts w:ascii="宋体" w:eastAsia="宋体" w:hAnsi="宋体" w:cs="宋体"/>
          <w:spacing w:val="28"/>
          <w:sz w:val="16"/>
          <w:szCs w:val="16"/>
        </w:rPr>
        <w:t xml:space="preserve"> </w:t>
      </w:r>
      <w:r>
        <w:rPr>
          <w:rFonts w:ascii="宋体" w:eastAsia="宋体" w:hAnsi="宋体" w:cs="宋体"/>
          <w:spacing w:val="-4"/>
          <w:sz w:val="16"/>
          <w:szCs w:val="16"/>
        </w:rPr>
        <w:t>sinensis(Berk.)Sac</w:t>
      </w:r>
      <w:r>
        <w:rPr>
          <w:rFonts w:ascii="宋体" w:eastAsia="宋体" w:hAnsi="宋体" w:cs="宋体"/>
          <w:spacing w:val="25"/>
          <w:sz w:val="16"/>
          <w:szCs w:val="16"/>
        </w:rPr>
        <w:t xml:space="preserve"> </w:t>
      </w:r>
      <w:r>
        <w:rPr>
          <w:rFonts w:ascii="宋体" w:eastAsia="宋体" w:hAnsi="宋体" w:cs="宋体"/>
          <w:spacing w:val="-4"/>
          <w:sz w:val="16"/>
          <w:szCs w:val="16"/>
        </w:rPr>
        <w:t>冬虫夏草</w:t>
      </w:r>
      <w:r>
        <w:rPr>
          <w:rFonts w:ascii="宋体" w:eastAsia="宋体" w:hAnsi="宋体" w:cs="宋体"/>
          <w:spacing w:val="2"/>
          <w:sz w:val="16"/>
          <w:szCs w:val="16"/>
        </w:rPr>
        <w:t xml:space="preserve">         </w:t>
      </w:r>
      <w:r>
        <w:rPr>
          <w:rFonts w:ascii="宋体" w:eastAsia="宋体" w:hAnsi="宋体" w:cs="宋体"/>
          <w:spacing w:val="-4"/>
          <w:sz w:val="16"/>
          <w:szCs w:val="16"/>
        </w:rPr>
        <w:t>essential</w:t>
      </w:r>
      <w:r>
        <w:rPr>
          <w:rFonts w:ascii="宋体" w:eastAsia="宋体" w:hAnsi="宋体" w:cs="宋体"/>
          <w:spacing w:val="1"/>
          <w:sz w:val="16"/>
          <w:szCs w:val="16"/>
        </w:rPr>
        <w:t xml:space="preserve"> </w:t>
      </w:r>
      <w:r>
        <w:rPr>
          <w:rFonts w:ascii="宋体" w:eastAsia="宋体" w:hAnsi="宋体" w:cs="宋体"/>
          <w:spacing w:val="-4"/>
          <w:sz w:val="16"/>
          <w:szCs w:val="16"/>
        </w:rPr>
        <w:t>fatty</w:t>
      </w:r>
      <w:r>
        <w:rPr>
          <w:rFonts w:ascii="宋体" w:eastAsia="宋体" w:hAnsi="宋体" w:cs="宋体"/>
          <w:spacing w:val="-2"/>
          <w:sz w:val="16"/>
          <w:szCs w:val="16"/>
        </w:rPr>
        <w:t xml:space="preserve"> </w:t>
      </w:r>
      <w:r>
        <w:rPr>
          <w:rFonts w:ascii="宋体" w:eastAsia="宋体" w:hAnsi="宋体" w:cs="宋体"/>
          <w:spacing w:val="-4"/>
          <w:sz w:val="16"/>
          <w:szCs w:val="16"/>
        </w:rPr>
        <w:t>acid,EFA</w:t>
      </w:r>
      <w:r>
        <w:rPr>
          <w:rFonts w:ascii="宋体" w:eastAsia="宋体" w:hAnsi="宋体" w:cs="宋体"/>
          <w:spacing w:val="57"/>
          <w:w w:val="101"/>
          <w:sz w:val="16"/>
          <w:szCs w:val="16"/>
        </w:rPr>
        <w:t xml:space="preserve"> </w:t>
      </w:r>
      <w:r>
        <w:rPr>
          <w:rFonts w:ascii="宋体" w:eastAsia="宋体" w:hAnsi="宋体" w:cs="宋体"/>
          <w:spacing w:val="-4"/>
          <w:sz w:val="16"/>
          <w:szCs w:val="16"/>
        </w:rPr>
        <w:t>必需脂肪酸</w:t>
      </w:r>
    </w:p>
    <w:p w:rsidR="00EA40A3" w:rsidRDefault="00E86C16">
      <w:pPr>
        <w:spacing w:before="54" w:line="230" w:lineRule="auto"/>
        <w:rPr>
          <w:rFonts w:ascii="宋体" w:eastAsia="宋体" w:hAnsi="宋体" w:cs="宋体"/>
          <w:sz w:val="16"/>
          <w:szCs w:val="16"/>
        </w:rPr>
      </w:pPr>
      <w:r>
        <w:rPr>
          <w:rFonts w:ascii="黑体" w:eastAsia="黑体" w:hAnsi="黑体" w:cs="黑体"/>
          <w:spacing w:val="-8"/>
          <w:position w:val="-1"/>
          <w:sz w:val="16"/>
          <w:szCs w:val="16"/>
        </w:rPr>
        <w:t>coronary</w:t>
      </w:r>
      <w:r>
        <w:rPr>
          <w:rFonts w:ascii="黑体" w:eastAsia="黑体" w:hAnsi="黑体" w:cs="黑体"/>
          <w:spacing w:val="11"/>
          <w:position w:val="-1"/>
          <w:sz w:val="16"/>
          <w:szCs w:val="16"/>
        </w:rPr>
        <w:t xml:space="preserve"> </w:t>
      </w:r>
      <w:r>
        <w:rPr>
          <w:rFonts w:ascii="黑体" w:eastAsia="黑体" w:hAnsi="黑体" w:cs="黑体"/>
          <w:spacing w:val="-8"/>
          <w:position w:val="-1"/>
          <w:sz w:val="16"/>
          <w:szCs w:val="16"/>
        </w:rPr>
        <w:t>heart</w:t>
      </w:r>
      <w:r>
        <w:rPr>
          <w:rFonts w:ascii="黑体" w:eastAsia="黑体" w:hAnsi="黑体" w:cs="黑体"/>
          <w:spacing w:val="2"/>
          <w:position w:val="-1"/>
          <w:sz w:val="16"/>
          <w:szCs w:val="16"/>
        </w:rPr>
        <w:t xml:space="preserve"> </w:t>
      </w:r>
      <w:r>
        <w:rPr>
          <w:rFonts w:ascii="黑体" w:eastAsia="黑体" w:hAnsi="黑体" w:cs="黑体"/>
          <w:spacing w:val="-8"/>
          <w:position w:val="-1"/>
          <w:sz w:val="16"/>
          <w:szCs w:val="16"/>
        </w:rPr>
        <w:t>disease,CHD</w:t>
      </w:r>
      <w:r>
        <w:rPr>
          <w:rFonts w:ascii="黑体" w:eastAsia="黑体" w:hAnsi="黑体" w:cs="黑体"/>
          <w:spacing w:val="53"/>
          <w:position w:val="-1"/>
          <w:sz w:val="16"/>
          <w:szCs w:val="16"/>
        </w:rPr>
        <w:t xml:space="preserve"> </w:t>
      </w:r>
      <w:r>
        <w:rPr>
          <w:rFonts w:ascii="黑体" w:eastAsia="黑体" w:hAnsi="黑体" w:cs="黑体"/>
          <w:spacing w:val="-8"/>
          <w:position w:val="-1"/>
          <w:sz w:val="16"/>
          <w:szCs w:val="16"/>
        </w:rPr>
        <w:t>冠心病</w:t>
      </w:r>
      <w:r>
        <w:rPr>
          <w:rFonts w:ascii="黑体" w:eastAsia="黑体" w:hAnsi="黑体" w:cs="黑体"/>
          <w:position w:val="-1"/>
          <w:sz w:val="16"/>
          <w:szCs w:val="16"/>
        </w:rPr>
        <w:t xml:space="preserve">              </w:t>
      </w:r>
      <w:r>
        <w:rPr>
          <w:rFonts w:ascii="宋体" w:eastAsia="宋体" w:hAnsi="宋体" w:cs="宋体"/>
          <w:spacing w:val="-8"/>
          <w:sz w:val="16"/>
          <w:szCs w:val="16"/>
        </w:rPr>
        <w:t>essential</w:t>
      </w:r>
      <w:r>
        <w:rPr>
          <w:rFonts w:ascii="宋体" w:eastAsia="宋体" w:hAnsi="宋体" w:cs="宋体"/>
          <w:spacing w:val="2"/>
          <w:sz w:val="16"/>
          <w:szCs w:val="16"/>
        </w:rPr>
        <w:t xml:space="preserve"> </w:t>
      </w:r>
      <w:r>
        <w:rPr>
          <w:rFonts w:ascii="宋体" w:eastAsia="宋体" w:hAnsi="宋体" w:cs="宋体"/>
          <w:spacing w:val="-8"/>
          <w:sz w:val="16"/>
          <w:szCs w:val="16"/>
        </w:rPr>
        <w:t>hypertension</w:t>
      </w:r>
      <w:r>
        <w:rPr>
          <w:rFonts w:ascii="宋体" w:eastAsia="宋体" w:hAnsi="宋体" w:cs="宋体"/>
          <w:spacing w:val="-3"/>
          <w:sz w:val="16"/>
          <w:szCs w:val="16"/>
        </w:rPr>
        <w:t xml:space="preserve"> </w:t>
      </w:r>
      <w:r>
        <w:rPr>
          <w:rFonts w:ascii="宋体" w:eastAsia="宋体" w:hAnsi="宋体" w:cs="宋体"/>
          <w:spacing w:val="-8"/>
          <w:sz w:val="16"/>
          <w:szCs w:val="16"/>
        </w:rPr>
        <w:t>or</w:t>
      </w:r>
      <w:r>
        <w:rPr>
          <w:rFonts w:ascii="宋体" w:eastAsia="宋体" w:hAnsi="宋体" w:cs="宋体"/>
          <w:spacing w:val="-6"/>
          <w:sz w:val="16"/>
          <w:szCs w:val="16"/>
        </w:rPr>
        <w:t xml:space="preserve"> </w:t>
      </w:r>
      <w:r>
        <w:rPr>
          <w:rFonts w:ascii="宋体" w:eastAsia="宋体" w:hAnsi="宋体" w:cs="宋体"/>
          <w:spacing w:val="-8"/>
          <w:sz w:val="16"/>
          <w:szCs w:val="16"/>
        </w:rPr>
        <w:t>primary</w:t>
      </w:r>
      <w:r>
        <w:rPr>
          <w:rFonts w:ascii="宋体" w:eastAsia="宋体" w:hAnsi="宋体" w:cs="宋体"/>
          <w:spacing w:val="-6"/>
          <w:sz w:val="16"/>
          <w:szCs w:val="16"/>
        </w:rPr>
        <w:t xml:space="preserve"> </w:t>
      </w:r>
      <w:r>
        <w:rPr>
          <w:rFonts w:ascii="宋体" w:eastAsia="宋体" w:hAnsi="宋体" w:cs="宋体"/>
          <w:spacing w:val="-8"/>
          <w:sz w:val="16"/>
          <w:szCs w:val="16"/>
        </w:rPr>
        <w:t>hypertension</w:t>
      </w:r>
      <w:r>
        <w:rPr>
          <w:rFonts w:ascii="宋体" w:eastAsia="宋体" w:hAnsi="宋体" w:cs="宋体"/>
          <w:spacing w:val="8"/>
          <w:sz w:val="16"/>
          <w:szCs w:val="16"/>
        </w:rPr>
        <w:t xml:space="preserve">  </w:t>
      </w:r>
      <w:r>
        <w:rPr>
          <w:rFonts w:ascii="宋体" w:eastAsia="宋体" w:hAnsi="宋体" w:cs="宋体"/>
          <w:spacing w:val="-8"/>
          <w:sz w:val="16"/>
          <w:szCs w:val="16"/>
        </w:rPr>
        <w:t>原</w:t>
      </w:r>
    </w:p>
    <w:p w:rsidR="00EA40A3" w:rsidRDefault="00E86C16">
      <w:pPr>
        <w:spacing w:before="45" w:line="232" w:lineRule="auto"/>
        <w:rPr>
          <w:rFonts w:ascii="宋体" w:eastAsia="宋体" w:hAnsi="宋体" w:cs="宋体"/>
          <w:sz w:val="16"/>
          <w:szCs w:val="16"/>
        </w:rPr>
      </w:pPr>
      <w:r>
        <w:rPr>
          <w:rFonts w:ascii="宋体" w:eastAsia="宋体" w:hAnsi="宋体" w:cs="宋体"/>
          <w:spacing w:val="-11"/>
          <w:sz w:val="16"/>
          <w:szCs w:val="16"/>
        </w:rPr>
        <w:t>cortisol</w:t>
      </w:r>
      <w:r>
        <w:rPr>
          <w:rFonts w:ascii="宋体" w:eastAsia="宋体" w:hAnsi="宋体" w:cs="宋体"/>
          <w:spacing w:val="59"/>
          <w:sz w:val="16"/>
          <w:szCs w:val="16"/>
        </w:rPr>
        <w:t xml:space="preserve"> </w:t>
      </w:r>
      <w:r>
        <w:rPr>
          <w:rFonts w:ascii="宋体" w:eastAsia="宋体" w:hAnsi="宋体" w:cs="宋体"/>
          <w:spacing w:val="-11"/>
          <w:sz w:val="16"/>
          <w:szCs w:val="16"/>
        </w:rPr>
        <w:t>皮质醇</w:t>
      </w:r>
      <w:r>
        <w:rPr>
          <w:rFonts w:ascii="宋体" w:eastAsia="宋体" w:hAnsi="宋体" w:cs="宋体"/>
          <w:spacing w:val="1"/>
          <w:sz w:val="16"/>
          <w:szCs w:val="16"/>
        </w:rPr>
        <w:t xml:space="preserve">                            </w:t>
      </w:r>
      <w:r>
        <w:rPr>
          <w:rFonts w:ascii="宋体" w:eastAsia="宋体" w:hAnsi="宋体" w:cs="宋体"/>
          <w:sz w:val="16"/>
          <w:szCs w:val="16"/>
        </w:rPr>
        <w:t xml:space="preserve">       </w:t>
      </w:r>
      <w:r>
        <w:rPr>
          <w:rFonts w:ascii="宋体" w:eastAsia="宋体" w:hAnsi="宋体" w:cs="宋体"/>
          <w:spacing w:val="-11"/>
          <w:sz w:val="16"/>
          <w:szCs w:val="16"/>
        </w:rPr>
        <w:t>发性高血压</w:t>
      </w:r>
    </w:p>
    <w:p w:rsidR="00EA40A3" w:rsidRDefault="00E86C16">
      <w:pPr>
        <w:spacing w:before="55" w:line="224" w:lineRule="auto"/>
        <w:rPr>
          <w:rFonts w:ascii="宋体" w:eastAsia="宋体" w:hAnsi="宋体" w:cs="宋体"/>
          <w:sz w:val="16"/>
          <w:szCs w:val="16"/>
        </w:rPr>
      </w:pPr>
      <w:r>
        <w:rPr>
          <w:rFonts w:ascii="宋体" w:eastAsia="宋体" w:hAnsi="宋体" w:cs="宋体"/>
          <w:spacing w:val="-3"/>
          <w:position w:val="4"/>
          <w:sz w:val="16"/>
          <w:szCs w:val="16"/>
        </w:rPr>
        <w:t>cuprum</w:t>
      </w:r>
      <w:r>
        <w:rPr>
          <w:rFonts w:ascii="宋体" w:eastAsia="宋体" w:hAnsi="宋体" w:cs="宋体"/>
          <w:spacing w:val="84"/>
          <w:position w:val="4"/>
          <w:sz w:val="16"/>
          <w:szCs w:val="16"/>
        </w:rPr>
        <w:t xml:space="preserve"> </w:t>
      </w:r>
      <w:r>
        <w:rPr>
          <w:rFonts w:ascii="宋体" w:eastAsia="宋体" w:hAnsi="宋体" w:cs="宋体"/>
          <w:spacing w:val="-3"/>
          <w:position w:val="4"/>
          <w:sz w:val="16"/>
          <w:szCs w:val="16"/>
        </w:rPr>
        <w:t>铜</w:t>
      </w:r>
      <w:r>
        <w:rPr>
          <w:rFonts w:ascii="宋体" w:eastAsia="宋体" w:hAnsi="宋体" w:cs="宋体"/>
          <w:spacing w:val="1"/>
          <w:position w:val="4"/>
          <w:sz w:val="16"/>
          <w:szCs w:val="16"/>
        </w:rPr>
        <w:t xml:space="preserve">                                    </w:t>
      </w:r>
      <w:r>
        <w:rPr>
          <w:rFonts w:ascii="宋体" w:eastAsia="宋体" w:hAnsi="宋体" w:cs="宋体"/>
          <w:spacing w:val="-3"/>
          <w:sz w:val="16"/>
          <w:szCs w:val="16"/>
        </w:rPr>
        <w:t>estimated</w:t>
      </w:r>
      <w:r>
        <w:rPr>
          <w:rFonts w:ascii="宋体" w:eastAsia="宋体" w:hAnsi="宋体" w:cs="宋体"/>
          <w:spacing w:val="14"/>
          <w:sz w:val="16"/>
          <w:szCs w:val="16"/>
        </w:rPr>
        <w:t xml:space="preserve"> </w:t>
      </w:r>
      <w:r>
        <w:rPr>
          <w:rFonts w:ascii="宋体" w:eastAsia="宋体" w:hAnsi="宋体" w:cs="宋体"/>
          <w:spacing w:val="-3"/>
          <w:sz w:val="16"/>
          <w:szCs w:val="16"/>
        </w:rPr>
        <w:t>average</w:t>
      </w:r>
      <w:r>
        <w:rPr>
          <w:rFonts w:ascii="宋体" w:eastAsia="宋体" w:hAnsi="宋体" w:cs="宋体"/>
          <w:spacing w:val="2"/>
          <w:sz w:val="16"/>
          <w:szCs w:val="16"/>
        </w:rPr>
        <w:t xml:space="preserve"> </w:t>
      </w:r>
      <w:r>
        <w:rPr>
          <w:rFonts w:ascii="宋体" w:eastAsia="宋体" w:hAnsi="宋体" w:cs="宋体"/>
          <w:spacing w:val="-3"/>
          <w:sz w:val="16"/>
          <w:szCs w:val="16"/>
        </w:rPr>
        <w:t>requirement,EAR</w:t>
      </w:r>
      <w:r>
        <w:rPr>
          <w:rFonts w:ascii="宋体" w:eastAsia="宋体" w:hAnsi="宋体" w:cs="宋体"/>
          <w:spacing w:val="57"/>
          <w:sz w:val="16"/>
          <w:szCs w:val="16"/>
        </w:rPr>
        <w:t xml:space="preserve"> </w:t>
      </w:r>
      <w:r>
        <w:rPr>
          <w:rFonts w:ascii="宋体" w:eastAsia="宋体" w:hAnsi="宋体" w:cs="宋体"/>
          <w:spacing w:val="-3"/>
          <w:sz w:val="16"/>
          <w:szCs w:val="16"/>
        </w:rPr>
        <w:t>平均需要量</w:t>
      </w:r>
    </w:p>
    <w:p w:rsidR="00EA40A3" w:rsidRDefault="00E86C16">
      <w:pPr>
        <w:spacing w:before="36" w:line="224" w:lineRule="auto"/>
        <w:rPr>
          <w:rFonts w:ascii="宋体" w:eastAsia="宋体" w:hAnsi="宋体" w:cs="宋体"/>
          <w:sz w:val="16"/>
          <w:szCs w:val="16"/>
        </w:rPr>
      </w:pPr>
      <w:r>
        <w:rPr>
          <w:rFonts w:ascii="宋体" w:eastAsia="宋体" w:hAnsi="宋体" w:cs="宋体"/>
          <w:spacing w:val="-4"/>
          <w:sz w:val="16"/>
          <w:szCs w:val="16"/>
        </w:rPr>
        <w:t>cyanocobalamin</w:t>
      </w:r>
      <w:r>
        <w:rPr>
          <w:rFonts w:ascii="宋体" w:eastAsia="宋体" w:hAnsi="宋体" w:cs="宋体"/>
          <w:spacing w:val="18"/>
          <w:sz w:val="16"/>
          <w:szCs w:val="16"/>
        </w:rPr>
        <w:t xml:space="preserve">  </w:t>
      </w:r>
      <w:r>
        <w:rPr>
          <w:rFonts w:ascii="宋体" w:eastAsia="宋体" w:hAnsi="宋体" w:cs="宋体"/>
          <w:spacing w:val="-4"/>
          <w:sz w:val="16"/>
          <w:szCs w:val="16"/>
        </w:rPr>
        <w:t>维生素</w:t>
      </w:r>
      <w:r>
        <w:rPr>
          <w:rFonts w:ascii="宋体" w:eastAsia="宋体" w:hAnsi="宋体" w:cs="宋体"/>
          <w:spacing w:val="-40"/>
          <w:sz w:val="16"/>
          <w:szCs w:val="16"/>
        </w:rPr>
        <w:t xml:space="preserve"> </w:t>
      </w:r>
      <w:r>
        <w:rPr>
          <w:rFonts w:ascii="宋体" w:eastAsia="宋体" w:hAnsi="宋体" w:cs="宋体"/>
          <w:spacing w:val="-4"/>
          <w:sz w:val="16"/>
          <w:szCs w:val="16"/>
        </w:rPr>
        <w:t>Bz,</w:t>
      </w:r>
      <w:r>
        <w:rPr>
          <w:rFonts w:ascii="宋体" w:eastAsia="宋体" w:hAnsi="宋体" w:cs="宋体"/>
          <w:spacing w:val="53"/>
          <w:sz w:val="16"/>
          <w:szCs w:val="16"/>
        </w:rPr>
        <w:t xml:space="preserve"> </w:t>
      </w:r>
      <w:r>
        <w:rPr>
          <w:rFonts w:ascii="宋体" w:eastAsia="宋体" w:hAnsi="宋体" w:cs="宋体"/>
          <w:spacing w:val="-4"/>
          <w:sz w:val="16"/>
          <w:szCs w:val="16"/>
        </w:rPr>
        <w:t>也称氰钴胺素、抗恶</w:t>
      </w:r>
      <w:r>
        <w:rPr>
          <w:rFonts w:ascii="宋体" w:eastAsia="宋体" w:hAnsi="宋体" w:cs="宋体"/>
          <w:spacing w:val="69"/>
          <w:sz w:val="16"/>
          <w:szCs w:val="16"/>
        </w:rPr>
        <w:t xml:space="preserve"> </w:t>
      </w:r>
      <w:r>
        <w:rPr>
          <w:rFonts w:ascii="宋体" w:eastAsia="宋体" w:hAnsi="宋体" w:cs="宋体"/>
          <w:spacing w:val="-4"/>
          <w:position w:val="-2"/>
          <w:sz w:val="16"/>
          <w:szCs w:val="16"/>
        </w:rPr>
        <w:t>estrogen</w:t>
      </w:r>
      <w:r>
        <w:rPr>
          <w:rFonts w:ascii="宋体" w:eastAsia="宋体" w:hAnsi="宋体" w:cs="宋体"/>
          <w:spacing w:val="55"/>
          <w:w w:val="101"/>
          <w:position w:val="-2"/>
          <w:sz w:val="16"/>
          <w:szCs w:val="16"/>
        </w:rPr>
        <w:t xml:space="preserve"> </w:t>
      </w:r>
      <w:r>
        <w:rPr>
          <w:rFonts w:ascii="宋体" w:eastAsia="宋体" w:hAnsi="宋体" w:cs="宋体"/>
          <w:spacing w:val="-4"/>
          <w:position w:val="-2"/>
          <w:sz w:val="16"/>
          <w:szCs w:val="16"/>
        </w:rPr>
        <w:t>雌激素</w:t>
      </w:r>
    </w:p>
    <w:p w:rsidR="00EA40A3" w:rsidRDefault="00E86C16">
      <w:pPr>
        <w:spacing w:before="39" w:line="230" w:lineRule="auto"/>
        <w:ind w:left="239"/>
        <w:rPr>
          <w:rFonts w:ascii="宋体" w:eastAsia="宋体" w:hAnsi="宋体" w:cs="宋体"/>
          <w:sz w:val="16"/>
          <w:szCs w:val="16"/>
        </w:rPr>
      </w:pPr>
      <w:r>
        <w:rPr>
          <w:rFonts w:ascii="宋体" w:eastAsia="宋体" w:hAnsi="宋体" w:cs="宋体"/>
          <w:spacing w:val="-7"/>
          <w:position w:val="2"/>
          <w:sz w:val="16"/>
          <w:szCs w:val="16"/>
        </w:rPr>
        <w:t>性贫血维生素</w:t>
      </w:r>
      <w:r>
        <w:rPr>
          <w:rFonts w:ascii="宋体" w:eastAsia="宋体" w:hAnsi="宋体" w:cs="宋体"/>
          <w:spacing w:val="1"/>
          <w:position w:val="2"/>
          <w:sz w:val="16"/>
          <w:szCs w:val="16"/>
        </w:rPr>
        <w:t xml:space="preserve">                               </w:t>
      </w:r>
      <w:r>
        <w:rPr>
          <w:rFonts w:ascii="宋体" w:eastAsia="宋体" w:hAnsi="宋体" w:cs="宋体"/>
          <w:spacing w:val="-7"/>
          <w:sz w:val="16"/>
          <w:szCs w:val="16"/>
        </w:rPr>
        <w:t>extra-hard</w:t>
      </w:r>
      <w:r>
        <w:rPr>
          <w:rFonts w:ascii="宋体" w:eastAsia="宋体" w:hAnsi="宋体" w:cs="宋体"/>
          <w:spacing w:val="4"/>
          <w:sz w:val="16"/>
          <w:szCs w:val="16"/>
        </w:rPr>
        <w:t xml:space="preserve"> </w:t>
      </w:r>
      <w:r>
        <w:rPr>
          <w:rFonts w:ascii="宋体" w:eastAsia="宋体" w:hAnsi="宋体" w:cs="宋体"/>
          <w:spacing w:val="-7"/>
          <w:sz w:val="16"/>
          <w:szCs w:val="16"/>
        </w:rPr>
        <w:t>cheese</w:t>
      </w:r>
      <w:r>
        <w:rPr>
          <w:rFonts w:ascii="宋体" w:eastAsia="宋体" w:hAnsi="宋体" w:cs="宋体"/>
          <w:spacing w:val="41"/>
          <w:w w:val="101"/>
          <w:sz w:val="16"/>
          <w:szCs w:val="16"/>
        </w:rPr>
        <w:t xml:space="preserve"> </w:t>
      </w:r>
      <w:r>
        <w:rPr>
          <w:rFonts w:ascii="宋体" w:eastAsia="宋体" w:hAnsi="宋体" w:cs="宋体"/>
          <w:spacing w:val="-7"/>
          <w:sz w:val="16"/>
          <w:szCs w:val="16"/>
        </w:rPr>
        <w:t>特</w:t>
      </w:r>
      <w:r>
        <w:rPr>
          <w:rFonts w:ascii="宋体" w:eastAsia="宋体" w:hAnsi="宋体" w:cs="宋体"/>
          <w:spacing w:val="-8"/>
          <w:sz w:val="16"/>
          <w:szCs w:val="16"/>
        </w:rPr>
        <w:t>硬质干酪</w:t>
      </w:r>
    </w:p>
    <w:p w:rsidR="00EA40A3" w:rsidRDefault="00E86C16">
      <w:pPr>
        <w:spacing w:before="36" w:line="225" w:lineRule="auto"/>
        <w:rPr>
          <w:rFonts w:ascii="宋体" w:eastAsia="宋体" w:hAnsi="宋体" w:cs="宋体"/>
          <w:sz w:val="16"/>
          <w:szCs w:val="16"/>
        </w:rPr>
      </w:pPr>
      <w:r>
        <w:rPr>
          <w:rFonts w:ascii="宋体" w:eastAsia="宋体" w:hAnsi="宋体" w:cs="宋体"/>
          <w:spacing w:val="-14"/>
          <w:position w:val="1"/>
          <w:sz w:val="16"/>
          <w:szCs w:val="16"/>
        </w:rPr>
        <w:t>cyanogenic</w:t>
      </w:r>
      <w:r>
        <w:rPr>
          <w:rFonts w:ascii="宋体" w:eastAsia="宋体" w:hAnsi="宋体" w:cs="宋体"/>
          <w:spacing w:val="-5"/>
          <w:position w:val="1"/>
          <w:sz w:val="16"/>
          <w:szCs w:val="16"/>
        </w:rPr>
        <w:t xml:space="preserve"> </w:t>
      </w:r>
      <w:r>
        <w:rPr>
          <w:rFonts w:ascii="宋体" w:eastAsia="宋体" w:hAnsi="宋体" w:cs="宋体"/>
          <w:spacing w:val="-14"/>
          <w:position w:val="1"/>
          <w:sz w:val="16"/>
          <w:szCs w:val="16"/>
        </w:rPr>
        <w:t>glycoside</w:t>
      </w:r>
      <w:r>
        <w:rPr>
          <w:rFonts w:ascii="宋体" w:eastAsia="宋体" w:hAnsi="宋体" w:cs="宋体"/>
          <w:spacing w:val="52"/>
          <w:position w:val="1"/>
          <w:sz w:val="16"/>
          <w:szCs w:val="16"/>
        </w:rPr>
        <w:t xml:space="preserve"> </w:t>
      </w:r>
      <w:r>
        <w:rPr>
          <w:rFonts w:ascii="宋体" w:eastAsia="宋体" w:hAnsi="宋体" w:cs="宋体"/>
          <w:spacing w:val="-15"/>
          <w:position w:val="1"/>
          <w:sz w:val="16"/>
          <w:szCs w:val="16"/>
        </w:rPr>
        <w:t>氰苷</w:t>
      </w:r>
      <w:r>
        <w:rPr>
          <w:rFonts w:ascii="宋体" w:eastAsia="宋体" w:hAnsi="宋体" w:cs="宋体"/>
          <w:spacing w:val="3"/>
          <w:position w:val="1"/>
          <w:sz w:val="16"/>
          <w:szCs w:val="16"/>
        </w:rPr>
        <w:t xml:space="preserve">                    </w:t>
      </w:r>
      <w:r>
        <w:rPr>
          <w:rFonts w:ascii="宋体" w:eastAsia="宋体" w:hAnsi="宋体" w:cs="宋体"/>
          <w:spacing w:val="2"/>
          <w:position w:val="1"/>
          <w:sz w:val="16"/>
          <w:szCs w:val="16"/>
        </w:rPr>
        <w:t xml:space="preserve">   </w:t>
      </w:r>
      <w:r>
        <w:rPr>
          <w:rFonts w:ascii="宋体" w:eastAsia="宋体" w:hAnsi="宋体" w:cs="宋体"/>
          <w:spacing w:val="-14"/>
          <w:position w:val="-1"/>
          <w:sz w:val="16"/>
          <w:szCs w:val="16"/>
        </w:rPr>
        <w:t>facilitated</w:t>
      </w:r>
      <w:r>
        <w:rPr>
          <w:rFonts w:ascii="宋体" w:eastAsia="宋体" w:hAnsi="宋体" w:cs="宋体"/>
          <w:spacing w:val="-13"/>
          <w:position w:val="-1"/>
          <w:sz w:val="16"/>
          <w:szCs w:val="16"/>
        </w:rPr>
        <w:t xml:space="preserve"> </w:t>
      </w:r>
      <w:r>
        <w:rPr>
          <w:rFonts w:ascii="宋体" w:eastAsia="宋体" w:hAnsi="宋体" w:cs="宋体"/>
          <w:spacing w:val="-14"/>
          <w:position w:val="-1"/>
          <w:sz w:val="16"/>
          <w:szCs w:val="16"/>
        </w:rPr>
        <w:t>dif</w:t>
      </w:r>
      <w:r>
        <w:rPr>
          <w:rFonts w:ascii="宋体" w:eastAsia="宋体" w:hAnsi="宋体" w:cs="宋体"/>
          <w:spacing w:val="-15"/>
          <w:position w:val="-1"/>
          <w:sz w:val="16"/>
          <w:szCs w:val="16"/>
        </w:rPr>
        <w:t>fusion</w:t>
      </w:r>
      <w:r>
        <w:rPr>
          <w:rFonts w:ascii="宋体" w:eastAsia="宋体" w:hAnsi="宋体" w:cs="宋体"/>
          <w:spacing w:val="57"/>
          <w:position w:val="-1"/>
          <w:sz w:val="16"/>
          <w:szCs w:val="16"/>
        </w:rPr>
        <w:t xml:space="preserve"> </w:t>
      </w:r>
      <w:r>
        <w:rPr>
          <w:rFonts w:ascii="宋体" w:eastAsia="宋体" w:hAnsi="宋体" w:cs="宋体"/>
          <w:spacing w:val="-15"/>
          <w:position w:val="-1"/>
          <w:sz w:val="16"/>
          <w:szCs w:val="16"/>
        </w:rPr>
        <w:t>易化扩散</w:t>
      </w:r>
    </w:p>
    <w:p w:rsidR="00EA40A3" w:rsidRDefault="00E86C16">
      <w:pPr>
        <w:spacing w:before="35" w:line="225" w:lineRule="auto"/>
        <w:rPr>
          <w:rFonts w:ascii="宋体" w:eastAsia="宋体" w:hAnsi="宋体" w:cs="宋体"/>
          <w:sz w:val="16"/>
          <w:szCs w:val="16"/>
        </w:rPr>
      </w:pPr>
      <w:r>
        <w:rPr>
          <w:rFonts w:ascii="宋体" w:eastAsia="宋体" w:hAnsi="宋体" w:cs="宋体"/>
          <w:spacing w:val="-7"/>
          <w:sz w:val="16"/>
          <w:szCs w:val="16"/>
        </w:rPr>
        <w:t>cyclic</w:t>
      </w:r>
      <w:r>
        <w:rPr>
          <w:rFonts w:ascii="宋体" w:eastAsia="宋体" w:hAnsi="宋体" w:cs="宋体"/>
          <w:spacing w:val="12"/>
          <w:sz w:val="16"/>
          <w:szCs w:val="16"/>
        </w:rPr>
        <w:t xml:space="preserve"> </w:t>
      </w:r>
      <w:r>
        <w:rPr>
          <w:rFonts w:ascii="宋体" w:eastAsia="宋体" w:hAnsi="宋体" w:cs="宋体"/>
          <w:spacing w:val="-7"/>
          <w:sz w:val="16"/>
          <w:szCs w:val="16"/>
        </w:rPr>
        <w:t>guanylic</w:t>
      </w:r>
      <w:r>
        <w:rPr>
          <w:rFonts w:ascii="宋体" w:eastAsia="宋体" w:hAnsi="宋体" w:cs="宋体"/>
          <w:spacing w:val="1"/>
          <w:sz w:val="16"/>
          <w:szCs w:val="16"/>
        </w:rPr>
        <w:t xml:space="preserve"> </w:t>
      </w:r>
      <w:r>
        <w:rPr>
          <w:rFonts w:ascii="宋体" w:eastAsia="宋体" w:hAnsi="宋体" w:cs="宋体"/>
          <w:spacing w:val="-7"/>
          <w:sz w:val="16"/>
          <w:szCs w:val="16"/>
        </w:rPr>
        <w:t>aeid,cGMP</w:t>
      </w:r>
      <w:r>
        <w:rPr>
          <w:rFonts w:ascii="宋体" w:eastAsia="宋体" w:hAnsi="宋体" w:cs="宋体"/>
          <w:spacing w:val="34"/>
          <w:sz w:val="16"/>
          <w:szCs w:val="16"/>
        </w:rPr>
        <w:t xml:space="preserve"> </w:t>
      </w:r>
      <w:r>
        <w:rPr>
          <w:rFonts w:ascii="宋体" w:eastAsia="宋体" w:hAnsi="宋体" w:cs="宋体"/>
          <w:spacing w:val="-7"/>
          <w:sz w:val="16"/>
          <w:szCs w:val="16"/>
        </w:rPr>
        <w:t>环磷酸鸟苷，环鸟苷酸</w:t>
      </w:r>
      <w:r>
        <w:rPr>
          <w:rFonts w:ascii="宋体" w:eastAsia="宋体" w:hAnsi="宋体" w:cs="宋体"/>
          <w:spacing w:val="67"/>
          <w:sz w:val="16"/>
          <w:szCs w:val="16"/>
        </w:rPr>
        <w:t xml:space="preserve"> </w:t>
      </w:r>
      <w:r>
        <w:rPr>
          <w:rFonts w:ascii="宋体" w:eastAsia="宋体" w:hAnsi="宋体" w:cs="宋体"/>
          <w:spacing w:val="-7"/>
          <w:position w:val="-1"/>
          <w:sz w:val="16"/>
          <w:szCs w:val="16"/>
        </w:rPr>
        <w:t>facultative</w:t>
      </w:r>
      <w:r>
        <w:rPr>
          <w:rFonts w:ascii="宋体" w:eastAsia="宋体" w:hAnsi="宋体" w:cs="宋体"/>
          <w:spacing w:val="-3"/>
          <w:position w:val="-1"/>
          <w:sz w:val="16"/>
          <w:szCs w:val="16"/>
        </w:rPr>
        <w:t xml:space="preserve"> </w:t>
      </w:r>
      <w:r>
        <w:rPr>
          <w:rFonts w:ascii="宋体" w:eastAsia="宋体" w:hAnsi="宋体" w:cs="宋体"/>
          <w:spacing w:val="-7"/>
          <w:position w:val="-1"/>
          <w:sz w:val="16"/>
          <w:szCs w:val="16"/>
        </w:rPr>
        <w:t>thermogenesis</w:t>
      </w:r>
      <w:r>
        <w:rPr>
          <w:rFonts w:ascii="宋体" w:eastAsia="宋体" w:hAnsi="宋体" w:cs="宋体"/>
          <w:spacing w:val="30"/>
          <w:position w:val="-1"/>
          <w:sz w:val="16"/>
          <w:szCs w:val="16"/>
        </w:rPr>
        <w:t xml:space="preserve"> </w:t>
      </w:r>
      <w:r>
        <w:rPr>
          <w:rFonts w:ascii="宋体" w:eastAsia="宋体" w:hAnsi="宋体" w:cs="宋体"/>
          <w:spacing w:val="-7"/>
          <w:position w:val="-1"/>
          <w:sz w:val="16"/>
          <w:szCs w:val="16"/>
        </w:rPr>
        <w:t>适应性生热效应</w:t>
      </w:r>
    </w:p>
    <w:p w:rsidR="00EA40A3" w:rsidRDefault="00E86C16">
      <w:pPr>
        <w:spacing w:before="47" w:line="235" w:lineRule="auto"/>
        <w:rPr>
          <w:rFonts w:ascii="宋体" w:eastAsia="宋体" w:hAnsi="宋体" w:cs="宋体"/>
          <w:sz w:val="16"/>
          <w:szCs w:val="16"/>
        </w:rPr>
      </w:pPr>
      <w:r>
        <w:rPr>
          <w:rFonts w:ascii="宋体" w:eastAsia="宋体" w:hAnsi="宋体" w:cs="宋体"/>
          <w:spacing w:val="-6"/>
          <w:position w:val="1"/>
          <w:sz w:val="16"/>
          <w:szCs w:val="16"/>
        </w:rPr>
        <w:t>cysteine,Cys</w:t>
      </w:r>
      <w:r>
        <w:rPr>
          <w:rFonts w:ascii="宋体" w:eastAsia="宋体" w:hAnsi="宋体" w:cs="宋体"/>
          <w:spacing w:val="29"/>
          <w:position w:val="1"/>
          <w:sz w:val="16"/>
          <w:szCs w:val="16"/>
        </w:rPr>
        <w:t xml:space="preserve"> </w:t>
      </w:r>
      <w:r>
        <w:rPr>
          <w:rFonts w:ascii="宋体" w:eastAsia="宋体" w:hAnsi="宋体" w:cs="宋体"/>
          <w:spacing w:val="-6"/>
          <w:position w:val="1"/>
          <w:sz w:val="16"/>
          <w:szCs w:val="16"/>
        </w:rPr>
        <w:t>半胱氨酸</w:t>
      </w:r>
      <w:r>
        <w:rPr>
          <w:rFonts w:ascii="宋体" w:eastAsia="宋体" w:hAnsi="宋体" w:cs="宋体"/>
          <w:spacing w:val="3"/>
          <w:position w:val="1"/>
          <w:sz w:val="16"/>
          <w:szCs w:val="16"/>
        </w:rPr>
        <w:t xml:space="preserve">                        </w:t>
      </w:r>
      <w:r>
        <w:rPr>
          <w:rFonts w:ascii="宋体" w:eastAsia="宋体" w:hAnsi="宋体" w:cs="宋体"/>
          <w:spacing w:val="-6"/>
          <w:sz w:val="16"/>
          <w:szCs w:val="16"/>
        </w:rPr>
        <w:t>fat</w:t>
      </w:r>
      <w:r>
        <w:rPr>
          <w:rFonts w:ascii="宋体" w:eastAsia="宋体" w:hAnsi="宋体" w:cs="宋体"/>
          <w:spacing w:val="-5"/>
          <w:sz w:val="16"/>
          <w:szCs w:val="16"/>
        </w:rPr>
        <w:t xml:space="preserve"> </w:t>
      </w:r>
      <w:r>
        <w:rPr>
          <w:rFonts w:ascii="宋体" w:eastAsia="宋体" w:hAnsi="宋体" w:cs="宋体"/>
          <w:spacing w:val="-6"/>
          <w:sz w:val="16"/>
          <w:szCs w:val="16"/>
        </w:rPr>
        <w:t>substitute</w:t>
      </w:r>
      <w:r>
        <w:rPr>
          <w:rFonts w:ascii="宋体" w:eastAsia="宋体" w:hAnsi="宋体" w:cs="宋体"/>
          <w:spacing w:val="43"/>
          <w:sz w:val="16"/>
          <w:szCs w:val="16"/>
        </w:rPr>
        <w:t xml:space="preserve"> </w:t>
      </w:r>
      <w:r>
        <w:rPr>
          <w:rFonts w:ascii="宋体" w:eastAsia="宋体" w:hAnsi="宋体" w:cs="宋体"/>
          <w:spacing w:val="-6"/>
          <w:sz w:val="16"/>
          <w:szCs w:val="16"/>
        </w:rPr>
        <w:t>脂肪替代品</w:t>
      </w:r>
    </w:p>
    <w:p w:rsidR="00EA40A3" w:rsidRDefault="00E86C16">
      <w:pPr>
        <w:spacing w:before="36" w:line="224" w:lineRule="auto"/>
        <w:rPr>
          <w:rFonts w:ascii="宋体" w:eastAsia="宋体" w:hAnsi="宋体" w:cs="宋体"/>
          <w:sz w:val="16"/>
          <w:szCs w:val="16"/>
        </w:rPr>
      </w:pPr>
      <w:r>
        <w:rPr>
          <w:rFonts w:ascii="宋体" w:eastAsia="宋体" w:hAnsi="宋体" w:cs="宋体"/>
          <w:spacing w:val="-7"/>
          <w:position w:val="1"/>
          <w:sz w:val="16"/>
          <w:szCs w:val="16"/>
        </w:rPr>
        <w:t>cytokine</w:t>
      </w:r>
      <w:r>
        <w:rPr>
          <w:rFonts w:ascii="宋体" w:eastAsia="宋体" w:hAnsi="宋体" w:cs="宋体"/>
          <w:spacing w:val="77"/>
          <w:w w:val="101"/>
          <w:position w:val="1"/>
          <w:sz w:val="16"/>
          <w:szCs w:val="16"/>
        </w:rPr>
        <w:t xml:space="preserve"> </w:t>
      </w:r>
      <w:r>
        <w:rPr>
          <w:rFonts w:ascii="宋体" w:eastAsia="宋体" w:hAnsi="宋体" w:cs="宋体"/>
          <w:spacing w:val="-7"/>
          <w:position w:val="1"/>
          <w:sz w:val="16"/>
          <w:szCs w:val="16"/>
        </w:rPr>
        <w:t>细胞因子</w:t>
      </w:r>
      <w:r>
        <w:rPr>
          <w:rFonts w:ascii="宋体" w:eastAsia="宋体" w:hAnsi="宋体" w:cs="宋体"/>
          <w:position w:val="1"/>
          <w:sz w:val="16"/>
          <w:szCs w:val="16"/>
        </w:rPr>
        <w:t xml:space="preserve">                              </w:t>
      </w:r>
      <w:r>
        <w:rPr>
          <w:rFonts w:ascii="宋体" w:eastAsia="宋体" w:hAnsi="宋体" w:cs="宋体"/>
          <w:spacing w:val="-7"/>
          <w:sz w:val="16"/>
          <w:szCs w:val="16"/>
        </w:rPr>
        <w:t>fatty</w:t>
      </w:r>
      <w:r>
        <w:rPr>
          <w:rFonts w:ascii="宋体" w:eastAsia="宋体" w:hAnsi="宋体" w:cs="宋体"/>
          <w:spacing w:val="4"/>
          <w:sz w:val="16"/>
          <w:szCs w:val="16"/>
        </w:rPr>
        <w:t xml:space="preserve"> </w:t>
      </w:r>
      <w:r>
        <w:rPr>
          <w:rFonts w:ascii="宋体" w:eastAsia="宋体" w:hAnsi="宋体" w:cs="宋体"/>
          <w:spacing w:val="-7"/>
          <w:sz w:val="16"/>
          <w:szCs w:val="16"/>
        </w:rPr>
        <w:t>acid</w:t>
      </w:r>
      <w:r>
        <w:rPr>
          <w:rFonts w:ascii="宋体" w:eastAsia="宋体" w:hAnsi="宋体" w:cs="宋体"/>
          <w:spacing w:val="-3"/>
          <w:sz w:val="16"/>
          <w:szCs w:val="16"/>
        </w:rPr>
        <w:t xml:space="preserve"> </w:t>
      </w:r>
      <w:r>
        <w:rPr>
          <w:rFonts w:ascii="宋体" w:eastAsia="宋体" w:hAnsi="宋体" w:cs="宋体"/>
          <w:spacing w:val="-7"/>
          <w:sz w:val="16"/>
          <w:szCs w:val="16"/>
        </w:rPr>
        <w:t>binding</w:t>
      </w:r>
      <w:r>
        <w:rPr>
          <w:rFonts w:ascii="宋体" w:eastAsia="宋体" w:hAnsi="宋体" w:cs="宋体"/>
          <w:spacing w:val="-2"/>
          <w:sz w:val="16"/>
          <w:szCs w:val="16"/>
        </w:rPr>
        <w:t xml:space="preserve"> </w:t>
      </w:r>
      <w:r>
        <w:rPr>
          <w:rFonts w:ascii="宋体" w:eastAsia="宋体" w:hAnsi="宋体" w:cs="宋体"/>
          <w:spacing w:val="-7"/>
          <w:sz w:val="16"/>
          <w:szCs w:val="16"/>
        </w:rPr>
        <w:t>protein,FABP</w:t>
      </w:r>
      <w:r>
        <w:rPr>
          <w:rFonts w:ascii="宋体" w:eastAsia="宋体" w:hAnsi="宋体" w:cs="宋体"/>
          <w:spacing w:val="34"/>
          <w:sz w:val="16"/>
          <w:szCs w:val="16"/>
        </w:rPr>
        <w:t xml:space="preserve"> </w:t>
      </w:r>
      <w:r>
        <w:rPr>
          <w:rFonts w:ascii="宋体" w:eastAsia="宋体" w:hAnsi="宋体" w:cs="宋体"/>
          <w:spacing w:val="-7"/>
          <w:sz w:val="16"/>
          <w:szCs w:val="16"/>
        </w:rPr>
        <w:t>脂肪酸结合蛋白</w:t>
      </w:r>
    </w:p>
    <w:p w:rsidR="00EA40A3" w:rsidRDefault="00E86C16">
      <w:pPr>
        <w:spacing w:before="50" w:line="222" w:lineRule="auto"/>
        <w:rPr>
          <w:rFonts w:ascii="宋体" w:eastAsia="宋体" w:hAnsi="宋体" w:cs="宋体"/>
          <w:sz w:val="16"/>
          <w:szCs w:val="16"/>
        </w:rPr>
      </w:pPr>
      <w:r>
        <w:rPr>
          <w:rFonts w:ascii="宋体" w:eastAsia="宋体" w:hAnsi="宋体" w:cs="宋体"/>
          <w:spacing w:val="-7"/>
          <w:position w:val="1"/>
          <w:sz w:val="16"/>
          <w:szCs w:val="16"/>
        </w:rPr>
        <w:t>daidzein</w:t>
      </w:r>
      <w:r>
        <w:rPr>
          <w:rFonts w:ascii="宋体" w:eastAsia="宋体" w:hAnsi="宋体" w:cs="宋体"/>
          <w:spacing w:val="56"/>
          <w:position w:val="1"/>
          <w:sz w:val="16"/>
          <w:szCs w:val="16"/>
        </w:rPr>
        <w:t xml:space="preserve"> </w:t>
      </w:r>
      <w:r>
        <w:rPr>
          <w:rFonts w:ascii="宋体" w:eastAsia="宋体" w:hAnsi="宋体" w:cs="宋体"/>
          <w:spacing w:val="-7"/>
          <w:position w:val="1"/>
          <w:sz w:val="16"/>
          <w:szCs w:val="16"/>
        </w:rPr>
        <w:t>大豆素</w:t>
      </w:r>
      <w:r>
        <w:rPr>
          <w:rFonts w:ascii="宋体" w:eastAsia="宋体" w:hAnsi="宋体" w:cs="宋体"/>
          <w:spacing w:val="1"/>
          <w:position w:val="1"/>
          <w:sz w:val="16"/>
          <w:szCs w:val="16"/>
        </w:rPr>
        <w:t xml:space="preserve">                            </w:t>
      </w:r>
      <w:r>
        <w:rPr>
          <w:rFonts w:ascii="宋体" w:eastAsia="宋体" w:hAnsi="宋体" w:cs="宋体"/>
          <w:position w:val="1"/>
          <w:sz w:val="16"/>
          <w:szCs w:val="16"/>
        </w:rPr>
        <w:t xml:space="preserve">    </w:t>
      </w:r>
      <w:r>
        <w:rPr>
          <w:rFonts w:ascii="宋体" w:eastAsia="宋体" w:hAnsi="宋体" w:cs="宋体"/>
          <w:spacing w:val="-7"/>
          <w:sz w:val="16"/>
          <w:szCs w:val="16"/>
        </w:rPr>
        <w:t>fatty</w:t>
      </w:r>
      <w:r>
        <w:rPr>
          <w:rFonts w:ascii="宋体" w:eastAsia="宋体" w:hAnsi="宋体" w:cs="宋体"/>
          <w:spacing w:val="1"/>
          <w:sz w:val="16"/>
          <w:szCs w:val="16"/>
        </w:rPr>
        <w:t xml:space="preserve"> </w:t>
      </w:r>
      <w:r>
        <w:rPr>
          <w:rFonts w:ascii="宋体" w:eastAsia="宋体" w:hAnsi="宋体" w:cs="宋体"/>
          <w:spacing w:val="-7"/>
          <w:sz w:val="16"/>
          <w:szCs w:val="16"/>
        </w:rPr>
        <w:t>acid</w:t>
      </w:r>
      <w:r>
        <w:rPr>
          <w:rFonts w:ascii="宋体" w:eastAsia="宋体" w:hAnsi="宋体" w:cs="宋体"/>
          <w:spacing w:val="7"/>
          <w:sz w:val="16"/>
          <w:szCs w:val="16"/>
        </w:rPr>
        <w:t xml:space="preserve"> </w:t>
      </w:r>
      <w:r>
        <w:rPr>
          <w:rFonts w:ascii="宋体" w:eastAsia="宋体" w:hAnsi="宋体" w:cs="宋体"/>
          <w:spacing w:val="-7"/>
          <w:sz w:val="16"/>
          <w:szCs w:val="16"/>
        </w:rPr>
        <w:t>synthetase,FAS</w:t>
      </w:r>
      <w:r>
        <w:rPr>
          <w:rFonts w:ascii="宋体" w:eastAsia="宋体" w:hAnsi="宋体" w:cs="宋体"/>
          <w:spacing w:val="31"/>
          <w:sz w:val="16"/>
          <w:szCs w:val="16"/>
        </w:rPr>
        <w:t xml:space="preserve"> </w:t>
      </w:r>
      <w:r>
        <w:rPr>
          <w:rFonts w:ascii="宋体" w:eastAsia="宋体" w:hAnsi="宋体" w:cs="宋体"/>
          <w:spacing w:val="-7"/>
          <w:sz w:val="16"/>
          <w:szCs w:val="16"/>
        </w:rPr>
        <w:t>脂肪酸合成</w:t>
      </w:r>
      <w:r>
        <w:rPr>
          <w:rFonts w:ascii="宋体" w:eastAsia="宋体" w:hAnsi="宋体" w:cs="宋体"/>
          <w:spacing w:val="-8"/>
          <w:sz w:val="16"/>
          <w:szCs w:val="16"/>
        </w:rPr>
        <w:t>酶</w:t>
      </w:r>
    </w:p>
    <w:p w:rsidR="00EA40A3" w:rsidRDefault="00E86C16">
      <w:pPr>
        <w:spacing w:before="48" w:line="233" w:lineRule="auto"/>
        <w:rPr>
          <w:rFonts w:ascii="宋体" w:eastAsia="宋体" w:hAnsi="宋体" w:cs="宋体"/>
          <w:sz w:val="16"/>
          <w:szCs w:val="16"/>
        </w:rPr>
      </w:pPr>
      <w:r>
        <w:rPr>
          <w:rFonts w:ascii="宋体" w:eastAsia="宋体" w:hAnsi="宋体" w:cs="宋体"/>
          <w:spacing w:val="-13"/>
          <w:sz w:val="16"/>
          <w:szCs w:val="16"/>
        </w:rPr>
        <w:t>daidzin</w:t>
      </w:r>
      <w:r>
        <w:rPr>
          <w:rFonts w:ascii="宋体" w:eastAsia="宋体" w:hAnsi="宋体" w:cs="宋体"/>
          <w:spacing w:val="47"/>
          <w:w w:val="101"/>
          <w:sz w:val="16"/>
          <w:szCs w:val="16"/>
        </w:rPr>
        <w:t xml:space="preserve"> </w:t>
      </w:r>
      <w:r>
        <w:rPr>
          <w:rFonts w:ascii="宋体" w:eastAsia="宋体" w:hAnsi="宋体" w:cs="宋体"/>
          <w:spacing w:val="-13"/>
          <w:sz w:val="16"/>
          <w:szCs w:val="16"/>
        </w:rPr>
        <w:t>大豆苷</w:t>
      </w:r>
      <w:r>
        <w:rPr>
          <w:rFonts w:ascii="宋体" w:eastAsia="宋体" w:hAnsi="宋体" w:cs="宋体"/>
          <w:sz w:val="16"/>
          <w:szCs w:val="16"/>
        </w:rPr>
        <w:t xml:space="preserve">                                 </w:t>
      </w:r>
      <w:r>
        <w:rPr>
          <w:rFonts w:ascii="宋体" w:eastAsia="宋体" w:hAnsi="宋体" w:cs="宋体"/>
          <w:spacing w:val="-13"/>
          <w:sz w:val="16"/>
          <w:szCs w:val="16"/>
        </w:rPr>
        <w:t>fatty</w:t>
      </w:r>
      <w:r>
        <w:rPr>
          <w:rFonts w:ascii="宋体" w:eastAsia="宋体" w:hAnsi="宋体" w:cs="宋体"/>
          <w:spacing w:val="-5"/>
          <w:sz w:val="16"/>
          <w:szCs w:val="16"/>
        </w:rPr>
        <w:t xml:space="preserve"> </w:t>
      </w:r>
      <w:r>
        <w:rPr>
          <w:rFonts w:ascii="宋体" w:eastAsia="宋体" w:hAnsi="宋体" w:cs="宋体"/>
          <w:spacing w:val="-13"/>
          <w:sz w:val="16"/>
          <w:szCs w:val="16"/>
        </w:rPr>
        <w:t>acid</w:t>
      </w:r>
      <w:r>
        <w:rPr>
          <w:rFonts w:ascii="宋体" w:eastAsia="宋体" w:hAnsi="宋体" w:cs="宋体"/>
          <w:spacing w:val="57"/>
          <w:sz w:val="16"/>
          <w:szCs w:val="16"/>
        </w:rPr>
        <w:t xml:space="preserve"> </w:t>
      </w:r>
      <w:r>
        <w:rPr>
          <w:rFonts w:ascii="宋体" w:eastAsia="宋体" w:hAnsi="宋体" w:cs="宋体"/>
          <w:spacing w:val="-13"/>
          <w:sz w:val="16"/>
          <w:szCs w:val="16"/>
        </w:rPr>
        <w:t>脂肪酸</w:t>
      </w:r>
    </w:p>
    <w:p w:rsidR="00EA40A3" w:rsidRDefault="00E86C16">
      <w:pPr>
        <w:spacing w:before="44" w:line="226" w:lineRule="auto"/>
        <w:rPr>
          <w:rFonts w:ascii="宋体" w:eastAsia="宋体" w:hAnsi="宋体" w:cs="宋体"/>
          <w:sz w:val="16"/>
          <w:szCs w:val="16"/>
        </w:rPr>
      </w:pPr>
      <w:r>
        <w:rPr>
          <w:rFonts w:ascii="宋体" w:eastAsia="宋体" w:hAnsi="宋体" w:cs="宋体"/>
          <w:spacing w:val="-3"/>
          <w:sz w:val="16"/>
          <w:szCs w:val="16"/>
        </w:rPr>
        <w:t>dehydroaxcorbic</w:t>
      </w:r>
      <w:r>
        <w:rPr>
          <w:rFonts w:ascii="宋体" w:eastAsia="宋体" w:hAnsi="宋体" w:cs="宋体"/>
          <w:spacing w:val="-4"/>
          <w:sz w:val="16"/>
          <w:szCs w:val="16"/>
        </w:rPr>
        <w:t xml:space="preserve"> </w:t>
      </w:r>
      <w:r>
        <w:rPr>
          <w:rFonts w:ascii="宋体" w:eastAsia="宋体" w:hAnsi="宋体" w:cs="宋体"/>
          <w:spacing w:val="-3"/>
          <w:sz w:val="16"/>
          <w:szCs w:val="16"/>
        </w:rPr>
        <w:t>acid</w:t>
      </w:r>
      <w:r>
        <w:rPr>
          <w:rFonts w:ascii="宋体" w:eastAsia="宋体" w:hAnsi="宋体" w:cs="宋体"/>
          <w:spacing w:val="56"/>
          <w:sz w:val="16"/>
          <w:szCs w:val="16"/>
        </w:rPr>
        <w:t xml:space="preserve"> </w:t>
      </w:r>
      <w:r>
        <w:rPr>
          <w:rFonts w:ascii="宋体" w:eastAsia="宋体" w:hAnsi="宋体" w:cs="宋体"/>
          <w:spacing w:val="-4"/>
          <w:sz w:val="16"/>
          <w:szCs w:val="16"/>
        </w:rPr>
        <w:t>脱氢型抗坏血酸</w:t>
      </w:r>
      <w:r>
        <w:rPr>
          <w:rFonts w:ascii="宋体" w:eastAsia="宋体" w:hAnsi="宋体" w:cs="宋体"/>
          <w:spacing w:val="1"/>
          <w:sz w:val="16"/>
          <w:szCs w:val="16"/>
        </w:rPr>
        <w:t xml:space="preserve">             </w:t>
      </w:r>
      <w:r>
        <w:rPr>
          <w:rFonts w:ascii="宋体" w:eastAsia="宋体" w:hAnsi="宋体" w:cs="宋体"/>
          <w:spacing w:val="-3"/>
          <w:position w:val="-1"/>
          <w:sz w:val="16"/>
          <w:szCs w:val="16"/>
        </w:rPr>
        <w:t>fatty</w:t>
      </w:r>
      <w:r>
        <w:rPr>
          <w:rFonts w:ascii="宋体" w:eastAsia="宋体" w:hAnsi="宋体" w:cs="宋体"/>
          <w:spacing w:val="52"/>
          <w:w w:val="101"/>
          <w:position w:val="-1"/>
          <w:sz w:val="16"/>
          <w:szCs w:val="16"/>
        </w:rPr>
        <w:t xml:space="preserve"> </w:t>
      </w:r>
      <w:r>
        <w:rPr>
          <w:rFonts w:ascii="宋体" w:eastAsia="宋体" w:hAnsi="宋体" w:cs="宋体"/>
          <w:spacing w:val="-3"/>
          <w:position w:val="-1"/>
          <w:sz w:val="16"/>
          <w:szCs w:val="16"/>
        </w:rPr>
        <w:t>acy</w:t>
      </w:r>
      <w:r>
        <w:rPr>
          <w:rFonts w:ascii="宋体" w:eastAsia="宋体" w:hAnsi="宋体" w:cs="宋体"/>
          <w:spacing w:val="-4"/>
          <w:position w:val="-1"/>
          <w:sz w:val="16"/>
          <w:szCs w:val="16"/>
        </w:rPr>
        <w:t>l-CoA,FA-CoA</w:t>
      </w:r>
      <w:r>
        <w:rPr>
          <w:rFonts w:ascii="宋体" w:eastAsia="宋体" w:hAnsi="宋体" w:cs="宋体"/>
          <w:spacing w:val="56"/>
          <w:w w:val="101"/>
          <w:position w:val="-1"/>
          <w:sz w:val="16"/>
          <w:szCs w:val="16"/>
        </w:rPr>
        <w:t xml:space="preserve"> </w:t>
      </w:r>
      <w:r>
        <w:rPr>
          <w:rFonts w:ascii="宋体" w:eastAsia="宋体" w:hAnsi="宋体" w:cs="宋体"/>
          <w:spacing w:val="-4"/>
          <w:position w:val="-1"/>
          <w:sz w:val="16"/>
          <w:szCs w:val="16"/>
        </w:rPr>
        <w:t>脂酰辅酶A</w:t>
      </w:r>
    </w:p>
    <w:p w:rsidR="00EA40A3" w:rsidRDefault="00E86C16">
      <w:pPr>
        <w:spacing w:before="43" w:line="237" w:lineRule="auto"/>
        <w:rPr>
          <w:rFonts w:ascii="宋体" w:eastAsia="宋体" w:hAnsi="宋体" w:cs="宋体"/>
          <w:sz w:val="16"/>
          <w:szCs w:val="16"/>
        </w:rPr>
      </w:pPr>
      <w:r>
        <w:rPr>
          <w:rFonts w:ascii="宋体" w:eastAsia="宋体" w:hAnsi="宋体" w:cs="宋体"/>
          <w:spacing w:val="-9"/>
          <w:sz w:val="16"/>
          <w:szCs w:val="16"/>
        </w:rPr>
        <w:t>dehydroretinol</w:t>
      </w:r>
      <w:r>
        <w:rPr>
          <w:rFonts w:ascii="宋体" w:eastAsia="宋体" w:hAnsi="宋体" w:cs="宋体"/>
          <w:spacing w:val="15"/>
          <w:sz w:val="16"/>
          <w:szCs w:val="16"/>
        </w:rPr>
        <w:t xml:space="preserve"> </w:t>
      </w:r>
      <w:r>
        <w:rPr>
          <w:rFonts w:ascii="宋体" w:eastAsia="宋体" w:hAnsi="宋体" w:cs="宋体"/>
          <w:spacing w:val="-10"/>
          <w:sz w:val="16"/>
          <w:szCs w:val="16"/>
        </w:rPr>
        <w:t>脱氢视黄醇</w:t>
      </w:r>
      <w:r>
        <w:rPr>
          <w:rFonts w:ascii="宋体" w:eastAsia="宋体" w:hAnsi="宋体" w:cs="宋体"/>
          <w:spacing w:val="2"/>
          <w:sz w:val="16"/>
          <w:szCs w:val="16"/>
        </w:rPr>
        <w:t xml:space="preserve">                     </w:t>
      </w:r>
      <w:r>
        <w:rPr>
          <w:rFonts w:ascii="宋体" w:eastAsia="宋体" w:hAnsi="宋体" w:cs="宋体"/>
          <w:spacing w:val="1"/>
          <w:sz w:val="16"/>
          <w:szCs w:val="16"/>
        </w:rPr>
        <w:t xml:space="preserve"> </w:t>
      </w:r>
      <w:r>
        <w:rPr>
          <w:rFonts w:ascii="宋体" w:eastAsia="宋体" w:hAnsi="宋体" w:cs="宋体"/>
          <w:spacing w:val="-9"/>
          <w:position w:val="-1"/>
          <w:sz w:val="16"/>
          <w:szCs w:val="16"/>
        </w:rPr>
        <w:t>ferrit</w:t>
      </w:r>
      <w:r>
        <w:rPr>
          <w:rFonts w:ascii="宋体" w:eastAsia="宋体" w:hAnsi="宋体" w:cs="宋体"/>
          <w:spacing w:val="-10"/>
          <w:position w:val="-1"/>
          <w:sz w:val="16"/>
          <w:szCs w:val="16"/>
        </w:rPr>
        <w:t>in</w:t>
      </w:r>
      <w:r>
        <w:rPr>
          <w:rFonts w:ascii="宋体" w:eastAsia="宋体" w:hAnsi="宋体" w:cs="宋体"/>
          <w:spacing w:val="57"/>
          <w:position w:val="-1"/>
          <w:sz w:val="16"/>
          <w:szCs w:val="16"/>
        </w:rPr>
        <w:t xml:space="preserve"> </w:t>
      </w:r>
      <w:r>
        <w:rPr>
          <w:rFonts w:ascii="宋体" w:eastAsia="宋体" w:hAnsi="宋体" w:cs="宋体"/>
          <w:spacing w:val="-10"/>
          <w:position w:val="-1"/>
          <w:sz w:val="16"/>
          <w:szCs w:val="16"/>
        </w:rPr>
        <w:t>铁蛋白</w:t>
      </w:r>
    </w:p>
    <w:p w:rsidR="00EA40A3" w:rsidRDefault="00E86C16">
      <w:pPr>
        <w:spacing w:before="40" w:line="224" w:lineRule="auto"/>
        <w:rPr>
          <w:rFonts w:ascii="宋体" w:eastAsia="宋体" w:hAnsi="宋体" w:cs="宋体"/>
          <w:sz w:val="16"/>
          <w:szCs w:val="16"/>
        </w:rPr>
      </w:pPr>
      <w:r>
        <w:rPr>
          <w:rFonts w:ascii="宋体" w:eastAsia="宋体" w:hAnsi="宋体" w:cs="宋体"/>
          <w:spacing w:val="-5"/>
          <w:position w:val="1"/>
          <w:sz w:val="16"/>
          <w:szCs w:val="16"/>
        </w:rPr>
        <w:t>dementia</w:t>
      </w:r>
      <w:r>
        <w:rPr>
          <w:rFonts w:ascii="宋体" w:eastAsia="宋体" w:hAnsi="宋体" w:cs="宋体"/>
          <w:spacing w:val="58"/>
          <w:w w:val="101"/>
          <w:position w:val="1"/>
          <w:sz w:val="16"/>
          <w:szCs w:val="16"/>
        </w:rPr>
        <w:t xml:space="preserve"> </w:t>
      </w:r>
      <w:r>
        <w:rPr>
          <w:rFonts w:ascii="宋体" w:eastAsia="宋体" w:hAnsi="宋体" w:cs="宋体"/>
          <w:spacing w:val="-5"/>
          <w:position w:val="1"/>
          <w:sz w:val="16"/>
          <w:szCs w:val="16"/>
        </w:rPr>
        <w:t>痴呆</w:t>
      </w:r>
      <w:r>
        <w:rPr>
          <w:rFonts w:ascii="宋体" w:eastAsia="宋体" w:hAnsi="宋体" w:cs="宋体"/>
          <w:position w:val="1"/>
          <w:sz w:val="16"/>
          <w:szCs w:val="16"/>
        </w:rPr>
        <w:t xml:space="preserve">                                 </w:t>
      </w:r>
      <w:r>
        <w:rPr>
          <w:rFonts w:ascii="宋体" w:eastAsia="宋体" w:hAnsi="宋体" w:cs="宋体"/>
          <w:spacing w:val="-5"/>
          <w:sz w:val="16"/>
          <w:szCs w:val="16"/>
        </w:rPr>
        <w:t>flavin</w:t>
      </w:r>
      <w:r>
        <w:rPr>
          <w:rFonts w:ascii="宋体" w:eastAsia="宋体" w:hAnsi="宋体" w:cs="宋体"/>
          <w:spacing w:val="2"/>
          <w:sz w:val="16"/>
          <w:szCs w:val="16"/>
        </w:rPr>
        <w:t xml:space="preserve"> </w:t>
      </w:r>
      <w:r>
        <w:rPr>
          <w:rFonts w:ascii="宋体" w:eastAsia="宋体" w:hAnsi="宋体" w:cs="宋体"/>
          <w:spacing w:val="-5"/>
          <w:sz w:val="16"/>
          <w:szCs w:val="16"/>
        </w:rPr>
        <w:t>adenine</w:t>
      </w:r>
      <w:r>
        <w:rPr>
          <w:rFonts w:ascii="宋体" w:eastAsia="宋体" w:hAnsi="宋体" w:cs="宋体"/>
          <w:spacing w:val="2"/>
          <w:sz w:val="16"/>
          <w:szCs w:val="16"/>
        </w:rPr>
        <w:t xml:space="preserve"> </w:t>
      </w:r>
      <w:r>
        <w:rPr>
          <w:rFonts w:ascii="宋体" w:eastAsia="宋体" w:hAnsi="宋体" w:cs="宋体"/>
          <w:spacing w:val="-5"/>
          <w:sz w:val="16"/>
          <w:szCs w:val="16"/>
        </w:rPr>
        <w:t>dinucleotide,FAD</w:t>
      </w:r>
      <w:r>
        <w:rPr>
          <w:rFonts w:ascii="宋体" w:eastAsia="宋体" w:hAnsi="宋体" w:cs="宋体"/>
          <w:spacing w:val="65"/>
          <w:sz w:val="16"/>
          <w:szCs w:val="16"/>
        </w:rPr>
        <w:t xml:space="preserve"> </w:t>
      </w:r>
      <w:r>
        <w:rPr>
          <w:rFonts w:ascii="宋体" w:eastAsia="宋体" w:hAnsi="宋体" w:cs="宋体"/>
          <w:spacing w:val="-5"/>
          <w:sz w:val="16"/>
          <w:szCs w:val="16"/>
        </w:rPr>
        <w:t>黄素腺嘌呤二核</w:t>
      </w:r>
    </w:p>
    <w:p w:rsidR="00EA40A3" w:rsidRDefault="00E86C16">
      <w:pPr>
        <w:spacing w:before="46" w:line="232" w:lineRule="auto"/>
        <w:rPr>
          <w:rFonts w:ascii="宋体" w:eastAsia="宋体" w:hAnsi="宋体" w:cs="宋体"/>
          <w:sz w:val="16"/>
          <w:szCs w:val="16"/>
        </w:rPr>
      </w:pPr>
      <w:r>
        <w:rPr>
          <w:rFonts w:ascii="宋体" w:eastAsia="宋体" w:hAnsi="宋体" w:cs="宋体"/>
          <w:spacing w:val="-3"/>
          <w:sz w:val="16"/>
          <w:szCs w:val="16"/>
        </w:rPr>
        <w:t>dens</w:t>
      </w:r>
      <w:r>
        <w:rPr>
          <w:rFonts w:ascii="宋体" w:eastAsia="宋体" w:hAnsi="宋体" w:cs="宋体"/>
          <w:spacing w:val="43"/>
          <w:sz w:val="16"/>
          <w:szCs w:val="16"/>
        </w:rPr>
        <w:t xml:space="preserve"> </w:t>
      </w:r>
      <w:r>
        <w:rPr>
          <w:rFonts w:ascii="宋体" w:eastAsia="宋体" w:hAnsi="宋体" w:cs="宋体"/>
          <w:spacing w:val="-3"/>
          <w:sz w:val="16"/>
          <w:szCs w:val="16"/>
        </w:rPr>
        <w:t>牙齿</w:t>
      </w:r>
      <w:r>
        <w:rPr>
          <w:rFonts w:ascii="宋体" w:eastAsia="宋体" w:hAnsi="宋体" w:cs="宋体"/>
          <w:spacing w:val="1"/>
          <w:sz w:val="16"/>
          <w:szCs w:val="16"/>
        </w:rPr>
        <w:t xml:space="preserve">                                       </w:t>
      </w:r>
      <w:r>
        <w:rPr>
          <w:rFonts w:ascii="宋体" w:eastAsia="宋体" w:hAnsi="宋体" w:cs="宋体"/>
          <w:spacing w:val="-3"/>
          <w:position w:val="-1"/>
          <w:sz w:val="16"/>
          <w:szCs w:val="16"/>
        </w:rPr>
        <w:t>苷酸</w:t>
      </w:r>
    </w:p>
    <w:p w:rsidR="00EA40A3" w:rsidRDefault="00825D12">
      <w:pPr>
        <w:spacing w:before="135" w:line="189" w:lineRule="auto"/>
        <w:ind w:left="3709"/>
        <w:rPr>
          <w:rFonts w:ascii="宋体" w:eastAsia="宋体" w:hAnsi="宋体" w:cs="宋体"/>
          <w:sz w:val="15"/>
          <w:szCs w:val="15"/>
        </w:rPr>
      </w:pPr>
      <w:r>
        <w:rPr>
          <w:noProof/>
        </w:rPr>
        <mc:AlternateContent>
          <mc:Choice Requires="wps">
            <w:drawing>
              <wp:anchor distT="0" distB="0" distL="114300" distR="114300" simplePos="0" relativeHeight="251728896" behindDoc="0" locked="0" layoutInCell="1" allowOverlap="1">
                <wp:simplePos x="0" y="0"/>
                <wp:positionH relativeFrom="column">
                  <wp:posOffset>-12065</wp:posOffset>
                </wp:positionH>
                <wp:positionV relativeFrom="paragraph">
                  <wp:posOffset>11430</wp:posOffset>
                </wp:positionV>
                <wp:extent cx="729615" cy="146685"/>
                <wp:effectExtent l="0" t="0" r="0" b="0"/>
                <wp:wrapNone/>
                <wp:docPr id="9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20" w:lineRule="auto"/>
                              <w:ind w:left="20"/>
                              <w:rPr>
                                <w:rFonts w:ascii="宋体" w:eastAsia="宋体" w:hAnsi="宋体" w:cs="宋体"/>
                                <w:sz w:val="16"/>
                                <w:szCs w:val="16"/>
                              </w:rPr>
                            </w:pPr>
                            <w:r>
                              <w:rPr>
                                <w:rFonts w:ascii="宋体" w:eastAsia="宋体" w:hAnsi="宋体" w:cs="宋体"/>
                                <w:spacing w:val="-12"/>
                                <w:sz w:val="16"/>
                                <w:szCs w:val="16"/>
                              </w:rPr>
                              <w:t>derratitis</w:t>
                            </w:r>
                            <w:r>
                              <w:rPr>
                                <w:rFonts w:ascii="宋体" w:eastAsia="宋体" w:hAnsi="宋体" w:cs="宋体"/>
                                <w:spacing w:val="51"/>
                                <w:sz w:val="16"/>
                                <w:szCs w:val="16"/>
                              </w:rPr>
                              <w:t xml:space="preserve"> </w:t>
                            </w:r>
                            <w:r>
                              <w:rPr>
                                <w:rFonts w:ascii="宋体" w:eastAsia="宋体" w:hAnsi="宋体" w:cs="宋体"/>
                                <w:spacing w:val="-12"/>
                                <w:sz w:val="16"/>
                                <w:szCs w:val="16"/>
                              </w:rPr>
                              <w:t>皮炎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75" type="#_x0000_t202" style="position:absolute;left:0;text-align:left;margin-left:-.95pt;margin-top:.9pt;width:57.45pt;height:11.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l2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" filled="f" stroked="f">
                <v:textbox inset="0,0,0,0">
                  <w:txbxContent>
                    <w:p w:rsidR="00E86C16" w:rsidRDefault="00E86C16">
                      <w:pPr>
                        <w:spacing w:before="20" w:line="220" w:lineRule="auto"/>
                        <w:ind w:left="20"/>
                        <w:rPr>
                          <w:rFonts w:ascii="宋体" w:eastAsia="宋体" w:hAnsi="宋体" w:cs="宋体"/>
                          <w:sz w:val="16"/>
                          <w:szCs w:val="16"/>
                        </w:rPr>
                      </w:pPr>
                      <w:r>
                        <w:rPr>
                          <w:rFonts w:ascii="宋体" w:eastAsia="宋体" w:hAnsi="宋体" w:cs="宋体"/>
                          <w:spacing w:val="-12"/>
                          <w:sz w:val="16"/>
                          <w:szCs w:val="16"/>
                        </w:rPr>
                        <w:t>derratitis</w:t>
                      </w:r>
                      <w:r>
                        <w:rPr>
                          <w:rFonts w:ascii="宋体" w:eastAsia="宋体" w:hAnsi="宋体" w:cs="宋体"/>
                          <w:spacing w:val="51"/>
                          <w:sz w:val="16"/>
                          <w:szCs w:val="16"/>
                        </w:rPr>
                        <w:t xml:space="preserve"> </w:t>
                      </w:r>
                      <w:r>
                        <w:rPr>
                          <w:rFonts w:ascii="宋体" w:eastAsia="宋体" w:hAnsi="宋体" w:cs="宋体"/>
                          <w:spacing w:val="-12"/>
                          <w:sz w:val="16"/>
                          <w:szCs w:val="16"/>
                        </w:rPr>
                        <w:t>皮炎</w:t>
                      </w:r>
                    </w:p>
                  </w:txbxContent>
                </v:textbox>
              </v:shape>
            </w:pict>
          </mc:Fallback>
        </mc:AlternateContent>
      </w:r>
      <w:r w:rsidR="00E86C16">
        <w:rPr>
          <w:rFonts w:ascii="宋体" w:eastAsia="宋体" w:hAnsi="宋体" w:cs="宋体"/>
          <w:sz w:val="15"/>
          <w:szCs w:val="15"/>
        </w:rPr>
        <w:t>flavin</w:t>
      </w:r>
      <w:r w:rsidR="00E86C16">
        <w:rPr>
          <w:rFonts w:ascii="宋体" w:eastAsia="宋体" w:hAnsi="宋体" w:cs="宋体"/>
          <w:spacing w:val="6"/>
          <w:sz w:val="15"/>
          <w:szCs w:val="15"/>
        </w:rPr>
        <w:t xml:space="preserve"> </w:t>
      </w:r>
      <w:r w:rsidR="00E86C16">
        <w:rPr>
          <w:rFonts w:ascii="宋体" w:eastAsia="宋体" w:hAnsi="宋体" w:cs="宋体"/>
          <w:sz w:val="15"/>
          <w:szCs w:val="15"/>
        </w:rPr>
        <w:t>mononucleotide</w:t>
      </w:r>
      <w:r w:rsidR="00E86C16">
        <w:rPr>
          <w:rFonts w:ascii="宋体" w:eastAsia="宋体" w:hAnsi="宋体" w:cs="宋体"/>
          <w:spacing w:val="19"/>
          <w:sz w:val="15"/>
          <w:szCs w:val="15"/>
        </w:rPr>
        <w:t>,</w:t>
      </w:r>
      <w:r w:rsidR="00E86C16">
        <w:rPr>
          <w:rFonts w:ascii="宋体" w:eastAsia="宋体" w:hAnsi="宋体" w:cs="宋体"/>
          <w:sz w:val="15"/>
          <w:szCs w:val="15"/>
        </w:rPr>
        <w:t>FMN</w:t>
      </w:r>
      <w:r w:rsidR="00E86C16">
        <w:rPr>
          <w:rFonts w:ascii="宋体" w:eastAsia="宋体" w:hAnsi="宋体" w:cs="宋体"/>
          <w:spacing w:val="64"/>
          <w:sz w:val="15"/>
          <w:szCs w:val="15"/>
        </w:rPr>
        <w:t xml:space="preserve"> </w:t>
      </w:r>
      <w:r w:rsidR="00E86C16">
        <w:rPr>
          <w:rFonts w:ascii="宋体" w:eastAsia="宋体" w:hAnsi="宋体" w:cs="宋体"/>
          <w:spacing w:val="19"/>
          <w:sz w:val="15"/>
          <w:szCs w:val="15"/>
        </w:rPr>
        <w:t>黄素单核苷酸</w:t>
      </w:r>
    </w:p>
    <w:p w:rsidR="00EA40A3" w:rsidRDefault="00825D12">
      <w:pPr>
        <w:spacing w:line="218" w:lineRule="auto"/>
        <w:rPr>
          <w:rFonts w:ascii="宋体" w:eastAsia="宋体" w:hAnsi="宋体" w:cs="宋体"/>
          <w:sz w:val="15"/>
          <w:szCs w:val="15"/>
        </w:rPr>
      </w:pPr>
      <w:r>
        <w:rPr>
          <w:noProof/>
        </w:rPr>
        <mc:AlternateContent>
          <mc:Choice Requires="wps">
            <w:drawing>
              <wp:anchor distT="0" distB="0" distL="114300" distR="114300" simplePos="0" relativeHeight="251727872" behindDoc="0" locked="0" layoutInCell="1" allowOverlap="1">
                <wp:simplePos x="0" y="0"/>
                <wp:positionH relativeFrom="column">
                  <wp:posOffset>2342515</wp:posOffset>
                </wp:positionH>
                <wp:positionV relativeFrom="paragraph">
                  <wp:posOffset>50165</wp:posOffset>
                </wp:positionV>
                <wp:extent cx="2277745" cy="916940"/>
                <wp:effectExtent l="0" t="1270" r="0" b="0"/>
                <wp:wrapNone/>
                <wp:docPr id="9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916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20"/>
                              <w:rPr>
                                <w:rFonts w:ascii="宋体" w:eastAsia="宋体" w:hAnsi="宋体" w:cs="宋体"/>
                                <w:sz w:val="16"/>
                                <w:szCs w:val="16"/>
                              </w:rPr>
                            </w:pPr>
                            <w:r>
                              <w:rPr>
                                <w:rFonts w:ascii="宋体" w:eastAsia="宋体" w:hAnsi="宋体" w:cs="宋体"/>
                                <w:spacing w:val="-10"/>
                                <w:sz w:val="16"/>
                                <w:szCs w:val="16"/>
                              </w:rPr>
                              <w:t>flavonoid</w:t>
                            </w:r>
                            <w:r>
                              <w:rPr>
                                <w:rFonts w:ascii="宋体" w:eastAsia="宋体" w:hAnsi="宋体" w:cs="宋体"/>
                                <w:spacing w:val="83"/>
                                <w:w w:val="101"/>
                                <w:sz w:val="16"/>
                                <w:szCs w:val="16"/>
                              </w:rPr>
                              <w:t xml:space="preserve"> </w:t>
                            </w:r>
                            <w:r>
                              <w:rPr>
                                <w:rFonts w:ascii="宋体" w:eastAsia="宋体" w:hAnsi="宋体" w:cs="宋体"/>
                                <w:spacing w:val="-10"/>
                                <w:sz w:val="16"/>
                                <w:szCs w:val="16"/>
                              </w:rPr>
                              <w:t>黄酮类化合物</w:t>
                            </w:r>
                          </w:p>
                          <w:p w:rsidR="00E86C16" w:rsidRDefault="00E86C16">
                            <w:pPr>
                              <w:spacing w:before="55" w:line="214" w:lineRule="auto"/>
                              <w:ind w:left="20"/>
                              <w:rPr>
                                <w:rFonts w:ascii="宋体" w:eastAsia="宋体" w:hAnsi="宋体" w:cs="宋体"/>
                                <w:sz w:val="16"/>
                                <w:szCs w:val="16"/>
                              </w:rPr>
                            </w:pPr>
                            <w:r>
                              <w:rPr>
                                <w:rFonts w:ascii="宋体" w:eastAsia="宋体" w:hAnsi="宋体" w:cs="宋体"/>
                                <w:spacing w:val="-11"/>
                                <w:sz w:val="16"/>
                                <w:szCs w:val="16"/>
                              </w:rPr>
                              <w:t>flavoprotein</w:t>
                            </w:r>
                            <w:r>
                              <w:rPr>
                                <w:rFonts w:ascii="宋体" w:eastAsia="宋体" w:hAnsi="宋体" w:cs="宋体"/>
                                <w:spacing w:val="40"/>
                                <w:w w:val="101"/>
                                <w:sz w:val="16"/>
                                <w:szCs w:val="16"/>
                              </w:rPr>
                              <w:t xml:space="preserve"> </w:t>
                            </w:r>
                            <w:r>
                              <w:rPr>
                                <w:rFonts w:ascii="宋体" w:eastAsia="宋体" w:hAnsi="宋体" w:cs="宋体"/>
                                <w:spacing w:val="-11"/>
                                <w:sz w:val="16"/>
                                <w:szCs w:val="16"/>
                              </w:rPr>
                              <w:t>黄素蛋白</w:t>
                            </w:r>
                          </w:p>
                          <w:p w:rsidR="00E86C16" w:rsidRDefault="00E86C16">
                            <w:pPr>
                              <w:spacing w:before="68" w:line="219" w:lineRule="auto"/>
                              <w:ind w:left="20"/>
                              <w:rPr>
                                <w:rFonts w:ascii="宋体" w:eastAsia="宋体" w:hAnsi="宋体" w:cs="宋体"/>
                                <w:sz w:val="16"/>
                                <w:szCs w:val="16"/>
                              </w:rPr>
                            </w:pPr>
                            <w:r>
                              <w:rPr>
                                <w:rFonts w:ascii="宋体" w:eastAsia="宋体" w:hAnsi="宋体" w:cs="宋体"/>
                                <w:spacing w:val="-7"/>
                                <w:sz w:val="16"/>
                                <w:szCs w:val="16"/>
                              </w:rPr>
                              <w:t>fluorin</w:t>
                            </w:r>
                            <w:r>
                              <w:rPr>
                                <w:rFonts w:ascii="宋体" w:eastAsia="宋体" w:hAnsi="宋体" w:cs="宋体"/>
                                <w:spacing w:val="35"/>
                                <w:sz w:val="16"/>
                                <w:szCs w:val="16"/>
                              </w:rPr>
                              <w:t xml:space="preserve"> </w:t>
                            </w:r>
                            <w:r>
                              <w:rPr>
                                <w:rFonts w:ascii="宋体" w:eastAsia="宋体" w:hAnsi="宋体" w:cs="宋体"/>
                                <w:spacing w:val="-7"/>
                                <w:sz w:val="16"/>
                                <w:szCs w:val="16"/>
                              </w:rPr>
                              <w:t>氟</w:t>
                            </w:r>
                          </w:p>
                          <w:p w:rsidR="00E86C16" w:rsidRDefault="00E86C16">
                            <w:pPr>
                              <w:spacing w:before="57" w:line="216" w:lineRule="auto"/>
                              <w:ind w:left="20"/>
                              <w:rPr>
                                <w:rFonts w:ascii="宋体" w:eastAsia="宋体" w:hAnsi="宋体" w:cs="宋体"/>
                                <w:sz w:val="16"/>
                                <w:szCs w:val="16"/>
                              </w:rPr>
                            </w:pPr>
                            <w:r>
                              <w:rPr>
                                <w:rFonts w:ascii="宋体" w:eastAsia="宋体" w:hAnsi="宋体" w:cs="宋体"/>
                                <w:spacing w:val="-10"/>
                                <w:sz w:val="16"/>
                                <w:szCs w:val="16"/>
                              </w:rPr>
                              <w:t>folacin</w:t>
                            </w:r>
                            <w:r>
                              <w:rPr>
                                <w:rFonts w:ascii="宋体" w:eastAsia="宋体" w:hAnsi="宋体" w:cs="宋体"/>
                                <w:spacing w:val="7"/>
                                <w:sz w:val="16"/>
                                <w:szCs w:val="16"/>
                              </w:rPr>
                              <w:t xml:space="preserve"> </w:t>
                            </w:r>
                            <w:r>
                              <w:rPr>
                                <w:rFonts w:ascii="宋体" w:eastAsia="宋体" w:hAnsi="宋体" w:cs="宋体"/>
                                <w:spacing w:val="-10"/>
                                <w:sz w:val="16"/>
                                <w:szCs w:val="16"/>
                              </w:rPr>
                              <w:t>or</w:t>
                            </w:r>
                            <w:r>
                              <w:rPr>
                                <w:rFonts w:ascii="宋体" w:eastAsia="宋体" w:hAnsi="宋体" w:cs="宋体"/>
                                <w:spacing w:val="-4"/>
                                <w:sz w:val="16"/>
                                <w:szCs w:val="16"/>
                              </w:rPr>
                              <w:t xml:space="preserve"> </w:t>
                            </w:r>
                            <w:r>
                              <w:rPr>
                                <w:rFonts w:ascii="宋体" w:eastAsia="宋体" w:hAnsi="宋体" w:cs="宋体"/>
                                <w:spacing w:val="-10"/>
                                <w:sz w:val="16"/>
                                <w:szCs w:val="16"/>
                              </w:rPr>
                              <w:t>folic</w:t>
                            </w:r>
                            <w:r>
                              <w:rPr>
                                <w:rFonts w:ascii="宋体" w:eastAsia="宋体" w:hAnsi="宋体" w:cs="宋体"/>
                                <w:spacing w:val="-6"/>
                                <w:sz w:val="16"/>
                                <w:szCs w:val="16"/>
                              </w:rPr>
                              <w:t xml:space="preserve"> </w:t>
                            </w:r>
                            <w:r>
                              <w:rPr>
                                <w:rFonts w:ascii="宋体" w:eastAsia="宋体" w:hAnsi="宋体" w:cs="宋体"/>
                                <w:spacing w:val="-10"/>
                                <w:sz w:val="16"/>
                                <w:szCs w:val="16"/>
                              </w:rPr>
                              <w:t>acid,FA</w:t>
                            </w:r>
                            <w:r>
                              <w:rPr>
                                <w:rFonts w:ascii="宋体" w:eastAsia="宋体" w:hAnsi="宋体" w:cs="宋体"/>
                                <w:spacing w:val="57"/>
                                <w:sz w:val="16"/>
                                <w:szCs w:val="16"/>
                              </w:rPr>
                              <w:t xml:space="preserve"> </w:t>
                            </w:r>
                            <w:r>
                              <w:rPr>
                                <w:rFonts w:ascii="宋体" w:eastAsia="宋体" w:hAnsi="宋体" w:cs="宋体"/>
                                <w:spacing w:val="-10"/>
                                <w:sz w:val="16"/>
                                <w:szCs w:val="16"/>
                              </w:rPr>
                              <w:t>叶酸，即蝶酰谷氨酸</w:t>
                            </w:r>
                          </w:p>
                          <w:p w:rsidR="00E86C16" w:rsidRDefault="00E86C16">
                            <w:pPr>
                              <w:spacing w:before="60" w:line="214" w:lineRule="auto"/>
                              <w:ind w:left="20"/>
                              <w:rPr>
                                <w:rFonts w:ascii="宋体" w:eastAsia="宋体" w:hAnsi="宋体" w:cs="宋体"/>
                                <w:sz w:val="16"/>
                                <w:szCs w:val="16"/>
                              </w:rPr>
                            </w:pPr>
                            <w:r>
                              <w:rPr>
                                <w:rFonts w:ascii="宋体" w:eastAsia="宋体" w:hAnsi="宋体" w:cs="宋体"/>
                                <w:spacing w:val="-11"/>
                                <w:sz w:val="16"/>
                                <w:szCs w:val="16"/>
                              </w:rPr>
                              <w:t>food</w:t>
                            </w:r>
                            <w:r>
                              <w:rPr>
                                <w:rFonts w:ascii="宋体" w:eastAsia="宋体" w:hAnsi="宋体" w:cs="宋体"/>
                                <w:spacing w:val="8"/>
                                <w:sz w:val="16"/>
                                <w:szCs w:val="16"/>
                              </w:rPr>
                              <w:t xml:space="preserve"> </w:t>
                            </w:r>
                            <w:r>
                              <w:rPr>
                                <w:rFonts w:ascii="宋体" w:eastAsia="宋体" w:hAnsi="宋体" w:cs="宋体"/>
                                <w:spacing w:val="-11"/>
                                <w:sz w:val="16"/>
                                <w:szCs w:val="16"/>
                              </w:rPr>
                              <w:t>allergy</w:t>
                            </w:r>
                            <w:r>
                              <w:rPr>
                                <w:rFonts w:ascii="宋体" w:eastAsia="宋体" w:hAnsi="宋体" w:cs="宋体"/>
                                <w:spacing w:val="44"/>
                                <w:sz w:val="16"/>
                                <w:szCs w:val="16"/>
                              </w:rPr>
                              <w:t xml:space="preserve"> </w:t>
                            </w:r>
                            <w:r>
                              <w:rPr>
                                <w:rFonts w:ascii="宋体" w:eastAsia="宋体" w:hAnsi="宋体" w:cs="宋体"/>
                                <w:spacing w:val="-11"/>
                                <w:sz w:val="16"/>
                                <w:szCs w:val="16"/>
                              </w:rPr>
                              <w:t>食物过敏</w:t>
                            </w:r>
                          </w:p>
                          <w:p w:rsidR="00E86C16" w:rsidRDefault="00E86C16">
                            <w:pPr>
                              <w:spacing w:before="76" w:line="192" w:lineRule="auto"/>
                              <w:ind w:left="20"/>
                              <w:rPr>
                                <w:rFonts w:ascii="Times New Roman" w:eastAsia="Times New Roman" w:hAnsi="Times New Roman" w:cs="Times New Roman"/>
                                <w:sz w:val="16"/>
                                <w:szCs w:val="16"/>
                              </w:rPr>
                            </w:pPr>
                            <w:r>
                              <w:rPr>
                                <w:rFonts w:ascii="Times New Roman" w:eastAsia="Times New Roman" w:hAnsi="Times New Roman" w:cs="Times New Roman"/>
                                <w:sz w:val="16"/>
                                <w:szCs w:val="16"/>
                              </w:rPr>
                              <w:t>Food</w:t>
                            </w:r>
                            <w:r>
                              <w:rPr>
                                <w:rFonts w:ascii="Times New Roman" w:eastAsia="Times New Roman" w:hAnsi="Times New Roman" w:cs="Times New Roman"/>
                                <w:spacing w:val="33"/>
                                <w:w w:val="101"/>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29"/>
                                <w:sz w:val="16"/>
                                <w:szCs w:val="16"/>
                              </w:rPr>
                              <w:t xml:space="preserve"> </w:t>
                            </w:r>
                            <w:r>
                              <w:rPr>
                                <w:rFonts w:ascii="Times New Roman" w:eastAsia="Times New Roman" w:hAnsi="Times New Roman" w:cs="Times New Roman"/>
                                <w:sz w:val="16"/>
                                <w:szCs w:val="16"/>
                              </w:rPr>
                              <w:t>Agriculture</w:t>
                            </w:r>
                            <w:r>
                              <w:rPr>
                                <w:rFonts w:ascii="Times New Roman" w:eastAsia="Times New Roman" w:hAnsi="Times New Roman" w:cs="Times New Roman"/>
                                <w:spacing w:val="33"/>
                                <w:w w:val="101"/>
                                <w:sz w:val="16"/>
                                <w:szCs w:val="16"/>
                              </w:rPr>
                              <w:t xml:space="preserve"> </w:t>
                            </w:r>
                            <w:r>
                              <w:rPr>
                                <w:rFonts w:ascii="Times New Roman" w:eastAsia="Times New Roman" w:hAnsi="Times New Roman" w:cs="Times New Roman"/>
                                <w:sz w:val="16"/>
                                <w:szCs w:val="16"/>
                              </w:rPr>
                              <w:t>Organization</w:t>
                            </w:r>
                            <w:r>
                              <w:rPr>
                                <w:rFonts w:ascii="Times New Roman" w:eastAsia="Times New Roman" w:hAnsi="Times New Roman" w:cs="Times New Roman"/>
                                <w:spacing w:val="33"/>
                                <w:w w:val="102"/>
                                <w:sz w:val="16"/>
                                <w:szCs w:val="16"/>
                              </w:rPr>
                              <w:t xml:space="preserve"> </w:t>
                            </w:r>
                            <w:r>
                              <w:rPr>
                                <w:rFonts w:ascii="Times New Roman" w:eastAsia="Times New Roman" w:hAnsi="Times New Roman" w:cs="Times New Roman"/>
                                <w:sz w:val="16"/>
                                <w:szCs w:val="16"/>
                              </w:rPr>
                              <w:t>o</w:t>
                            </w:r>
                            <w:r>
                              <w:rPr>
                                <w:rFonts w:ascii="Times New Roman" w:eastAsia="Times New Roman" w:hAnsi="Times New Roman" w:cs="Times New Roman"/>
                                <w:spacing w:val="-1"/>
                                <w:sz w:val="16"/>
                                <w:szCs w:val="16"/>
                              </w:rPr>
                              <w:t>f</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29"/>
                                <w:sz w:val="16"/>
                                <w:szCs w:val="16"/>
                              </w:rPr>
                              <w:t xml:space="preserve"> </w:t>
                            </w:r>
                            <w:r>
                              <w:rPr>
                                <w:rFonts w:ascii="Times New Roman" w:eastAsia="Times New Roman" w:hAnsi="Times New Roman" w:cs="Times New Roman"/>
                                <w:spacing w:val="-1"/>
                                <w:sz w:val="16"/>
                                <w:szCs w:val="16"/>
                              </w:rPr>
                              <w:t>Unite</w:t>
                            </w:r>
                            <w:r>
                              <w:rPr>
                                <w:rFonts w:ascii="Times New Roman" w:eastAsia="Times New Roman" w:hAnsi="Times New Roman" w:cs="Times New Roman"/>
                                <w:spacing w:val="38"/>
                                <w:sz w:val="16"/>
                                <w:szCs w:val="16"/>
                              </w:rPr>
                              <w:t xml:space="preserve"> </w:t>
                            </w:r>
                            <w:r>
                              <w:rPr>
                                <w:rFonts w:ascii="Times New Roman" w:eastAsia="Times New Roman" w:hAnsi="Times New Roman" w:cs="Times New Roman"/>
                                <w:spacing w:val="-1"/>
                                <w:sz w:val="16"/>
                                <w:szCs w:val="16"/>
                              </w:rPr>
                              <w:t>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76" type="#_x0000_t202" style="position:absolute;margin-left:184.45pt;margin-top:3.95pt;width:179.35pt;height:72.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7atAIAALM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" filled="f" stroked="f">
                <v:textbox inset="0,0,0,0">
                  <w:txbxContent>
                    <w:p w:rsidR="00E86C16" w:rsidRDefault="00E86C16">
                      <w:pPr>
                        <w:spacing w:before="20" w:line="219" w:lineRule="auto"/>
                        <w:ind w:left="20"/>
                        <w:rPr>
                          <w:rFonts w:ascii="宋体" w:eastAsia="宋体" w:hAnsi="宋体" w:cs="宋体"/>
                          <w:sz w:val="16"/>
                          <w:szCs w:val="16"/>
                        </w:rPr>
                      </w:pPr>
                      <w:r>
                        <w:rPr>
                          <w:rFonts w:ascii="宋体" w:eastAsia="宋体" w:hAnsi="宋体" w:cs="宋体"/>
                          <w:spacing w:val="-10"/>
                          <w:sz w:val="16"/>
                          <w:szCs w:val="16"/>
                        </w:rPr>
                        <w:t>flavonoid</w:t>
                      </w:r>
                      <w:r>
                        <w:rPr>
                          <w:rFonts w:ascii="宋体" w:eastAsia="宋体" w:hAnsi="宋体" w:cs="宋体"/>
                          <w:spacing w:val="83"/>
                          <w:w w:val="101"/>
                          <w:sz w:val="16"/>
                          <w:szCs w:val="16"/>
                        </w:rPr>
                        <w:t xml:space="preserve"> </w:t>
                      </w:r>
                      <w:r>
                        <w:rPr>
                          <w:rFonts w:ascii="宋体" w:eastAsia="宋体" w:hAnsi="宋体" w:cs="宋体"/>
                          <w:spacing w:val="-10"/>
                          <w:sz w:val="16"/>
                          <w:szCs w:val="16"/>
                        </w:rPr>
                        <w:t>黄酮类化合物</w:t>
                      </w:r>
                    </w:p>
                    <w:p w:rsidR="00E86C16" w:rsidRDefault="00E86C16">
                      <w:pPr>
                        <w:spacing w:before="55" w:line="214" w:lineRule="auto"/>
                        <w:ind w:left="20"/>
                        <w:rPr>
                          <w:rFonts w:ascii="宋体" w:eastAsia="宋体" w:hAnsi="宋体" w:cs="宋体"/>
                          <w:sz w:val="16"/>
                          <w:szCs w:val="16"/>
                        </w:rPr>
                      </w:pPr>
                      <w:r>
                        <w:rPr>
                          <w:rFonts w:ascii="宋体" w:eastAsia="宋体" w:hAnsi="宋体" w:cs="宋体"/>
                          <w:spacing w:val="-11"/>
                          <w:sz w:val="16"/>
                          <w:szCs w:val="16"/>
                        </w:rPr>
                        <w:t>flavoprotein</w:t>
                      </w:r>
                      <w:r>
                        <w:rPr>
                          <w:rFonts w:ascii="宋体" w:eastAsia="宋体" w:hAnsi="宋体" w:cs="宋体"/>
                          <w:spacing w:val="40"/>
                          <w:w w:val="101"/>
                          <w:sz w:val="16"/>
                          <w:szCs w:val="16"/>
                        </w:rPr>
                        <w:t xml:space="preserve"> </w:t>
                      </w:r>
                      <w:r>
                        <w:rPr>
                          <w:rFonts w:ascii="宋体" w:eastAsia="宋体" w:hAnsi="宋体" w:cs="宋体"/>
                          <w:spacing w:val="-11"/>
                          <w:sz w:val="16"/>
                          <w:szCs w:val="16"/>
                        </w:rPr>
                        <w:t>黄素蛋白</w:t>
                      </w:r>
                    </w:p>
                    <w:p w:rsidR="00E86C16" w:rsidRDefault="00E86C16">
                      <w:pPr>
                        <w:spacing w:before="68" w:line="219" w:lineRule="auto"/>
                        <w:ind w:left="20"/>
                        <w:rPr>
                          <w:rFonts w:ascii="宋体" w:eastAsia="宋体" w:hAnsi="宋体" w:cs="宋体"/>
                          <w:sz w:val="16"/>
                          <w:szCs w:val="16"/>
                        </w:rPr>
                      </w:pPr>
                      <w:r>
                        <w:rPr>
                          <w:rFonts w:ascii="宋体" w:eastAsia="宋体" w:hAnsi="宋体" w:cs="宋体"/>
                          <w:spacing w:val="-7"/>
                          <w:sz w:val="16"/>
                          <w:szCs w:val="16"/>
                        </w:rPr>
                        <w:t>fluorin</w:t>
                      </w:r>
                      <w:r>
                        <w:rPr>
                          <w:rFonts w:ascii="宋体" w:eastAsia="宋体" w:hAnsi="宋体" w:cs="宋体"/>
                          <w:spacing w:val="35"/>
                          <w:sz w:val="16"/>
                          <w:szCs w:val="16"/>
                        </w:rPr>
                        <w:t xml:space="preserve"> </w:t>
                      </w:r>
                      <w:r>
                        <w:rPr>
                          <w:rFonts w:ascii="宋体" w:eastAsia="宋体" w:hAnsi="宋体" w:cs="宋体"/>
                          <w:spacing w:val="-7"/>
                          <w:sz w:val="16"/>
                          <w:szCs w:val="16"/>
                        </w:rPr>
                        <w:t>氟</w:t>
                      </w:r>
                    </w:p>
                    <w:p w:rsidR="00E86C16" w:rsidRDefault="00E86C16">
                      <w:pPr>
                        <w:spacing w:before="57" w:line="216" w:lineRule="auto"/>
                        <w:ind w:left="20"/>
                        <w:rPr>
                          <w:rFonts w:ascii="宋体" w:eastAsia="宋体" w:hAnsi="宋体" w:cs="宋体"/>
                          <w:sz w:val="16"/>
                          <w:szCs w:val="16"/>
                        </w:rPr>
                      </w:pPr>
                      <w:r>
                        <w:rPr>
                          <w:rFonts w:ascii="宋体" w:eastAsia="宋体" w:hAnsi="宋体" w:cs="宋体"/>
                          <w:spacing w:val="-10"/>
                          <w:sz w:val="16"/>
                          <w:szCs w:val="16"/>
                        </w:rPr>
                        <w:t>folacin</w:t>
                      </w:r>
                      <w:r>
                        <w:rPr>
                          <w:rFonts w:ascii="宋体" w:eastAsia="宋体" w:hAnsi="宋体" w:cs="宋体"/>
                          <w:spacing w:val="7"/>
                          <w:sz w:val="16"/>
                          <w:szCs w:val="16"/>
                        </w:rPr>
                        <w:t xml:space="preserve"> </w:t>
                      </w:r>
                      <w:r>
                        <w:rPr>
                          <w:rFonts w:ascii="宋体" w:eastAsia="宋体" w:hAnsi="宋体" w:cs="宋体"/>
                          <w:spacing w:val="-10"/>
                          <w:sz w:val="16"/>
                          <w:szCs w:val="16"/>
                        </w:rPr>
                        <w:t>or</w:t>
                      </w:r>
                      <w:r>
                        <w:rPr>
                          <w:rFonts w:ascii="宋体" w:eastAsia="宋体" w:hAnsi="宋体" w:cs="宋体"/>
                          <w:spacing w:val="-4"/>
                          <w:sz w:val="16"/>
                          <w:szCs w:val="16"/>
                        </w:rPr>
                        <w:t xml:space="preserve"> </w:t>
                      </w:r>
                      <w:r>
                        <w:rPr>
                          <w:rFonts w:ascii="宋体" w:eastAsia="宋体" w:hAnsi="宋体" w:cs="宋体"/>
                          <w:spacing w:val="-10"/>
                          <w:sz w:val="16"/>
                          <w:szCs w:val="16"/>
                        </w:rPr>
                        <w:t>folic</w:t>
                      </w:r>
                      <w:r>
                        <w:rPr>
                          <w:rFonts w:ascii="宋体" w:eastAsia="宋体" w:hAnsi="宋体" w:cs="宋体"/>
                          <w:spacing w:val="-6"/>
                          <w:sz w:val="16"/>
                          <w:szCs w:val="16"/>
                        </w:rPr>
                        <w:t xml:space="preserve"> </w:t>
                      </w:r>
                      <w:r>
                        <w:rPr>
                          <w:rFonts w:ascii="宋体" w:eastAsia="宋体" w:hAnsi="宋体" w:cs="宋体"/>
                          <w:spacing w:val="-10"/>
                          <w:sz w:val="16"/>
                          <w:szCs w:val="16"/>
                        </w:rPr>
                        <w:t>acid,FA</w:t>
                      </w:r>
                      <w:r>
                        <w:rPr>
                          <w:rFonts w:ascii="宋体" w:eastAsia="宋体" w:hAnsi="宋体" w:cs="宋体"/>
                          <w:spacing w:val="57"/>
                          <w:sz w:val="16"/>
                          <w:szCs w:val="16"/>
                        </w:rPr>
                        <w:t xml:space="preserve"> </w:t>
                      </w:r>
                      <w:r>
                        <w:rPr>
                          <w:rFonts w:ascii="宋体" w:eastAsia="宋体" w:hAnsi="宋体" w:cs="宋体"/>
                          <w:spacing w:val="-10"/>
                          <w:sz w:val="16"/>
                          <w:szCs w:val="16"/>
                        </w:rPr>
                        <w:t>叶酸，即蝶酰谷氨酸</w:t>
                      </w:r>
                    </w:p>
                    <w:p w:rsidR="00E86C16" w:rsidRDefault="00E86C16">
                      <w:pPr>
                        <w:spacing w:before="60" w:line="214" w:lineRule="auto"/>
                        <w:ind w:left="20"/>
                        <w:rPr>
                          <w:rFonts w:ascii="宋体" w:eastAsia="宋体" w:hAnsi="宋体" w:cs="宋体"/>
                          <w:sz w:val="16"/>
                          <w:szCs w:val="16"/>
                        </w:rPr>
                      </w:pPr>
                      <w:r>
                        <w:rPr>
                          <w:rFonts w:ascii="宋体" w:eastAsia="宋体" w:hAnsi="宋体" w:cs="宋体"/>
                          <w:spacing w:val="-11"/>
                          <w:sz w:val="16"/>
                          <w:szCs w:val="16"/>
                        </w:rPr>
                        <w:t>food</w:t>
                      </w:r>
                      <w:r>
                        <w:rPr>
                          <w:rFonts w:ascii="宋体" w:eastAsia="宋体" w:hAnsi="宋体" w:cs="宋体"/>
                          <w:spacing w:val="8"/>
                          <w:sz w:val="16"/>
                          <w:szCs w:val="16"/>
                        </w:rPr>
                        <w:t xml:space="preserve"> </w:t>
                      </w:r>
                      <w:r>
                        <w:rPr>
                          <w:rFonts w:ascii="宋体" w:eastAsia="宋体" w:hAnsi="宋体" w:cs="宋体"/>
                          <w:spacing w:val="-11"/>
                          <w:sz w:val="16"/>
                          <w:szCs w:val="16"/>
                        </w:rPr>
                        <w:t>allergy</w:t>
                      </w:r>
                      <w:r>
                        <w:rPr>
                          <w:rFonts w:ascii="宋体" w:eastAsia="宋体" w:hAnsi="宋体" w:cs="宋体"/>
                          <w:spacing w:val="44"/>
                          <w:sz w:val="16"/>
                          <w:szCs w:val="16"/>
                        </w:rPr>
                        <w:t xml:space="preserve"> </w:t>
                      </w:r>
                      <w:r>
                        <w:rPr>
                          <w:rFonts w:ascii="宋体" w:eastAsia="宋体" w:hAnsi="宋体" w:cs="宋体"/>
                          <w:spacing w:val="-11"/>
                          <w:sz w:val="16"/>
                          <w:szCs w:val="16"/>
                        </w:rPr>
                        <w:t>食物过敏</w:t>
                      </w:r>
                    </w:p>
                    <w:p w:rsidR="00E86C16" w:rsidRDefault="00E86C16">
                      <w:pPr>
                        <w:spacing w:before="76" w:line="192" w:lineRule="auto"/>
                        <w:ind w:left="20"/>
                        <w:rPr>
                          <w:rFonts w:ascii="Times New Roman" w:eastAsia="Times New Roman" w:hAnsi="Times New Roman" w:cs="Times New Roman"/>
                          <w:sz w:val="16"/>
                          <w:szCs w:val="16"/>
                        </w:rPr>
                      </w:pPr>
                      <w:r>
                        <w:rPr>
                          <w:rFonts w:ascii="Times New Roman" w:eastAsia="Times New Roman" w:hAnsi="Times New Roman" w:cs="Times New Roman"/>
                          <w:sz w:val="16"/>
                          <w:szCs w:val="16"/>
                        </w:rPr>
                        <w:t>Food</w:t>
                      </w:r>
                      <w:r>
                        <w:rPr>
                          <w:rFonts w:ascii="Times New Roman" w:eastAsia="Times New Roman" w:hAnsi="Times New Roman" w:cs="Times New Roman"/>
                          <w:spacing w:val="33"/>
                          <w:w w:val="101"/>
                          <w:sz w:val="16"/>
                          <w:szCs w:val="16"/>
                        </w:rPr>
                        <w:t xml:space="preserve"> </w:t>
                      </w:r>
                      <w:r>
                        <w:rPr>
                          <w:rFonts w:ascii="Times New Roman" w:eastAsia="Times New Roman" w:hAnsi="Times New Roman" w:cs="Times New Roman"/>
                          <w:sz w:val="16"/>
                          <w:szCs w:val="16"/>
                        </w:rPr>
                        <w:t>and</w:t>
                      </w:r>
                      <w:r>
                        <w:rPr>
                          <w:rFonts w:ascii="Times New Roman" w:eastAsia="Times New Roman" w:hAnsi="Times New Roman" w:cs="Times New Roman"/>
                          <w:spacing w:val="29"/>
                          <w:sz w:val="16"/>
                          <w:szCs w:val="16"/>
                        </w:rPr>
                        <w:t xml:space="preserve"> </w:t>
                      </w:r>
                      <w:r>
                        <w:rPr>
                          <w:rFonts w:ascii="Times New Roman" w:eastAsia="Times New Roman" w:hAnsi="Times New Roman" w:cs="Times New Roman"/>
                          <w:sz w:val="16"/>
                          <w:szCs w:val="16"/>
                        </w:rPr>
                        <w:t>Agriculture</w:t>
                      </w:r>
                      <w:r>
                        <w:rPr>
                          <w:rFonts w:ascii="Times New Roman" w:eastAsia="Times New Roman" w:hAnsi="Times New Roman" w:cs="Times New Roman"/>
                          <w:spacing w:val="33"/>
                          <w:w w:val="101"/>
                          <w:sz w:val="16"/>
                          <w:szCs w:val="16"/>
                        </w:rPr>
                        <w:t xml:space="preserve"> </w:t>
                      </w:r>
                      <w:r>
                        <w:rPr>
                          <w:rFonts w:ascii="Times New Roman" w:eastAsia="Times New Roman" w:hAnsi="Times New Roman" w:cs="Times New Roman"/>
                          <w:sz w:val="16"/>
                          <w:szCs w:val="16"/>
                        </w:rPr>
                        <w:t>Organization</w:t>
                      </w:r>
                      <w:r>
                        <w:rPr>
                          <w:rFonts w:ascii="Times New Roman" w:eastAsia="Times New Roman" w:hAnsi="Times New Roman" w:cs="Times New Roman"/>
                          <w:spacing w:val="33"/>
                          <w:w w:val="102"/>
                          <w:sz w:val="16"/>
                          <w:szCs w:val="16"/>
                        </w:rPr>
                        <w:t xml:space="preserve"> </w:t>
                      </w:r>
                      <w:r>
                        <w:rPr>
                          <w:rFonts w:ascii="Times New Roman" w:eastAsia="Times New Roman" w:hAnsi="Times New Roman" w:cs="Times New Roman"/>
                          <w:sz w:val="16"/>
                          <w:szCs w:val="16"/>
                        </w:rPr>
                        <w:t>o</w:t>
                      </w:r>
                      <w:r>
                        <w:rPr>
                          <w:rFonts w:ascii="Times New Roman" w:eastAsia="Times New Roman" w:hAnsi="Times New Roman" w:cs="Times New Roman"/>
                          <w:spacing w:val="-1"/>
                          <w:sz w:val="16"/>
                          <w:szCs w:val="16"/>
                        </w:rPr>
                        <w:t>f</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the</w:t>
                      </w:r>
                      <w:r>
                        <w:rPr>
                          <w:rFonts w:ascii="Times New Roman" w:eastAsia="Times New Roman" w:hAnsi="Times New Roman" w:cs="Times New Roman"/>
                          <w:spacing w:val="29"/>
                          <w:sz w:val="16"/>
                          <w:szCs w:val="16"/>
                        </w:rPr>
                        <w:t xml:space="preserve"> </w:t>
                      </w:r>
                      <w:r>
                        <w:rPr>
                          <w:rFonts w:ascii="Times New Roman" w:eastAsia="Times New Roman" w:hAnsi="Times New Roman" w:cs="Times New Roman"/>
                          <w:spacing w:val="-1"/>
                          <w:sz w:val="16"/>
                          <w:szCs w:val="16"/>
                        </w:rPr>
                        <w:t>Unite</w:t>
                      </w:r>
                      <w:r>
                        <w:rPr>
                          <w:rFonts w:ascii="Times New Roman" w:eastAsia="Times New Roman" w:hAnsi="Times New Roman" w:cs="Times New Roman"/>
                          <w:spacing w:val="38"/>
                          <w:sz w:val="16"/>
                          <w:szCs w:val="16"/>
                        </w:rPr>
                        <w:t xml:space="preserve"> </w:t>
                      </w:r>
                      <w:r>
                        <w:rPr>
                          <w:rFonts w:ascii="Times New Roman" w:eastAsia="Times New Roman" w:hAnsi="Times New Roman" w:cs="Times New Roman"/>
                          <w:spacing w:val="-1"/>
                          <w:sz w:val="16"/>
                          <w:szCs w:val="16"/>
                        </w:rPr>
                        <w:t>Sta-</w:t>
                      </w:r>
                    </w:p>
                  </w:txbxContent>
                </v:textbox>
              </v:shape>
            </w:pict>
          </mc:Fallback>
        </mc:AlternateContent>
      </w:r>
      <w:r w:rsidR="00E86C16">
        <w:rPr>
          <w:rFonts w:ascii="宋体" w:eastAsia="宋体" w:hAnsi="宋体" w:cs="宋体"/>
          <w:spacing w:val="-2"/>
          <w:sz w:val="15"/>
          <w:szCs w:val="15"/>
        </w:rPr>
        <w:t>designed</w:t>
      </w:r>
      <w:r w:rsidR="00E86C16">
        <w:rPr>
          <w:rFonts w:ascii="宋体" w:eastAsia="宋体" w:hAnsi="宋体" w:cs="宋体"/>
          <w:spacing w:val="21"/>
          <w:sz w:val="15"/>
          <w:szCs w:val="15"/>
        </w:rPr>
        <w:t xml:space="preserve"> </w:t>
      </w:r>
      <w:r w:rsidR="00E86C16">
        <w:rPr>
          <w:rFonts w:ascii="宋体" w:eastAsia="宋体" w:hAnsi="宋体" w:cs="宋体"/>
          <w:spacing w:val="-2"/>
          <w:sz w:val="15"/>
          <w:szCs w:val="15"/>
        </w:rPr>
        <w:t>food</w:t>
      </w:r>
      <w:r w:rsidR="00E86C16">
        <w:rPr>
          <w:rFonts w:ascii="宋体" w:eastAsia="宋体" w:hAnsi="宋体" w:cs="宋体"/>
          <w:spacing w:val="54"/>
          <w:w w:val="101"/>
          <w:sz w:val="15"/>
          <w:szCs w:val="15"/>
        </w:rPr>
        <w:t xml:space="preserve"> </w:t>
      </w:r>
      <w:r w:rsidR="00E86C16">
        <w:rPr>
          <w:rFonts w:ascii="宋体" w:eastAsia="宋体" w:hAnsi="宋体" w:cs="宋体"/>
          <w:spacing w:val="-2"/>
          <w:sz w:val="15"/>
          <w:szCs w:val="15"/>
        </w:rPr>
        <w:t>设计食品</w:t>
      </w:r>
    </w:p>
    <w:p w:rsidR="00EA40A3" w:rsidRDefault="00E86C16">
      <w:pPr>
        <w:spacing w:before="72" w:line="219" w:lineRule="auto"/>
        <w:rPr>
          <w:rFonts w:ascii="宋体" w:eastAsia="宋体" w:hAnsi="宋体" w:cs="宋体"/>
          <w:sz w:val="16"/>
          <w:szCs w:val="16"/>
        </w:rPr>
      </w:pPr>
      <w:r>
        <w:rPr>
          <w:rFonts w:ascii="宋体" w:eastAsia="宋体" w:hAnsi="宋体" w:cs="宋体"/>
          <w:spacing w:val="-7"/>
          <w:sz w:val="16"/>
          <w:szCs w:val="16"/>
        </w:rPr>
        <w:t>diarrhea</w:t>
      </w:r>
      <w:r>
        <w:rPr>
          <w:rFonts w:ascii="宋体" w:eastAsia="宋体" w:hAnsi="宋体" w:cs="宋体"/>
          <w:spacing w:val="51"/>
          <w:sz w:val="16"/>
          <w:szCs w:val="16"/>
        </w:rPr>
        <w:t xml:space="preserve"> </w:t>
      </w:r>
      <w:r>
        <w:rPr>
          <w:rFonts w:ascii="宋体" w:eastAsia="宋体" w:hAnsi="宋体" w:cs="宋体"/>
          <w:spacing w:val="-7"/>
          <w:sz w:val="16"/>
          <w:szCs w:val="16"/>
        </w:rPr>
        <w:t>腹泻</w:t>
      </w:r>
    </w:p>
    <w:p w:rsidR="00EA40A3" w:rsidRDefault="00E86C16">
      <w:pPr>
        <w:spacing w:before="56" w:line="215" w:lineRule="auto"/>
        <w:rPr>
          <w:rFonts w:ascii="宋体" w:eastAsia="宋体" w:hAnsi="宋体" w:cs="宋体"/>
          <w:sz w:val="16"/>
          <w:szCs w:val="16"/>
        </w:rPr>
      </w:pPr>
      <w:r>
        <w:rPr>
          <w:rFonts w:ascii="宋体" w:eastAsia="宋体" w:hAnsi="宋体" w:cs="宋体"/>
          <w:spacing w:val="-14"/>
          <w:sz w:val="16"/>
          <w:szCs w:val="16"/>
        </w:rPr>
        <w:t>dietary</w:t>
      </w:r>
      <w:r>
        <w:rPr>
          <w:rFonts w:ascii="宋体" w:eastAsia="宋体" w:hAnsi="宋体" w:cs="宋体"/>
          <w:spacing w:val="5"/>
          <w:sz w:val="16"/>
          <w:szCs w:val="16"/>
        </w:rPr>
        <w:t xml:space="preserve"> </w:t>
      </w:r>
      <w:r>
        <w:rPr>
          <w:rFonts w:ascii="宋体" w:eastAsia="宋体" w:hAnsi="宋体" w:cs="宋体"/>
          <w:spacing w:val="-14"/>
          <w:sz w:val="16"/>
          <w:szCs w:val="16"/>
        </w:rPr>
        <w:t>fibre</w:t>
      </w:r>
      <w:r>
        <w:rPr>
          <w:rFonts w:ascii="宋体" w:eastAsia="宋体" w:hAnsi="宋体" w:cs="宋体"/>
          <w:spacing w:val="43"/>
          <w:sz w:val="16"/>
          <w:szCs w:val="16"/>
        </w:rPr>
        <w:t xml:space="preserve"> </w:t>
      </w:r>
      <w:r>
        <w:rPr>
          <w:rFonts w:ascii="宋体" w:eastAsia="宋体" w:hAnsi="宋体" w:cs="宋体"/>
          <w:spacing w:val="-14"/>
          <w:sz w:val="16"/>
          <w:szCs w:val="16"/>
        </w:rPr>
        <w:t>膳食纤维</w:t>
      </w:r>
    </w:p>
    <w:p w:rsidR="00EA40A3" w:rsidRDefault="00E86C16">
      <w:pPr>
        <w:spacing w:before="64" w:line="214" w:lineRule="auto"/>
        <w:rPr>
          <w:rFonts w:ascii="宋体" w:eastAsia="宋体" w:hAnsi="宋体" w:cs="宋体"/>
          <w:sz w:val="16"/>
          <w:szCs w:val="16"/>
        </w:rPr>
      </w:pPr>
      <w:r>
        <w:rPr>
          <w:rFonts w:ascii="宋体" w:eastAsia="宋体" w:hAnsi="宋体" w:cs="宋体"/>
          <w:spacing w:val="-7"/>
          <w:sz w:val="16"/>
          <w:szCs w:val="16"/>
        </w:rPr>
        <w:t>dietary</w:t>
      </w:r>
      <w:r>
        <w:rPr>
          <w:rFonts w:ascii="宋体" w:eastAsia="宋体" w:hAnsi="宋体" w:cs="宋体"/>
          <w:sz w:val="16"/>
          <w:szCs w:val="16"/>
        </w:rPr>
        <w:t xml:space="preserve"> </w:t>
      </w:r>
      <w:r>
        <w:rPr>
          <w:rFonts w:ascii="宋体" w:eastAsia="宋体" w:hAnsi="宋体" w:cs="宋体"/>
          <w:spacing w:val="-7"/>
          <w:sz w:val="16"/>
          <w:szCs w:val="16"/>
        </w:rPr>
        <w:t>folate</w:t>
      </w:r>
      <w:r>
        <w:rPr>
          <w:rFonts w:ascii="宋体" w:eastAsia="宋体" w:hAnsi="宋体" w:cs="宋体"/>
          <w:spacing w:val="1"/>
          <w:sz w:val="16"/>
          <w:szCs w:val="16"/>
        </w:rPr>
        <w:t xml:space="preserve"> </w:t>
      </w:r>
      <w:r>
        <w:rPr>
          <w:rFonts w:ascii="宋体" w:eastAsia="宋体" w:hAnsi="宋体" w:cs="宋体"/>
          <w:spacing w:val="-7"/>
          <w:sz w:val="16"/>
          <w:szCs w:val="16"/>
        </w:rPr>
        <w:t>equivalent,DFE</w:t>
      </w:r>
      <w:r>
        <w:rPr>
          <w:rFonts w:ascii="宋体" w:eastAsia="宋体" w:hAnsi="宋体" w:cs="宋体"/>
          <w:spacing w:val="45"/>
          <w:sz w:val="16"/>
          <w:szCs w:val="16"/>
        </w:rPr>
        <w:t xml:space="preserve"> </w:t>
      </w:r>
      <w:r>
        <w:rPr>
          <w:rFonts w:ascii="宋体" w:eastAsia="宋体" w:hAnsi="宋体" w:cs="宋体"/>
          <w:spacing w:val="-7"/>
          <w:sz w:val="16"/>
          <w:szCs w:val="16"/>
        </w:rPr>
        <w:t>膳食叶酸</w:t>
      </w:r>
      <w:r>
        <w:rPr>
          <w:rFonts w:ascii="宋体" w:eastAsia="宋体" w:hAnsi="宋体" w:cs="宋体"/>
          <w:spacing w:val="-8"/>
          <w:sz w:val="16"/>
          <w:szCs w:val="16"/>
        </w:rPr>
        <w:t>当量</w:t>
      </w:r>
    </w:p>
    <w:p w:rsidR="00EA40A3" w:rsidRDefault="00E86C16">
      <w:pPr>
        <w:spacing w:before="63" w:line="214" w:lineRule="auto"/>
        <w:rPr>
          <w:rFonts w:ascii="宋体" w:eastAsia="宋体" w:hAnsi="宋体" w:cs="宋体"/>
          <w:sz w:val="16"/>
          <w:szCs w:val="16"/>
        </w:rPr>
      </w:pPr>
      <w:r>
        <w:rPr>
          <w:rFonts w:ascii="宋体" w:eastAsia="宋体" w:hAnsi="宋体" w:cs="宋体"/>
          <w:spacing w:val="-13"/>
          <w:sz w:val="16"/>
          <w:szCs w:val="16"/>
        </w:rPr>
        <w:t>dietary</w:t>
      </w:r>
      <w:r>
        <w:rPr>
          <w:rFonts w:ascii="宋体" w:eastAsia="宋体" w:hAnsi="宋体" w:cs="宋体"/>
          <w:spacing w:val="2"/>
          <w:sz w:val="16"/>
          <w:szCs w:val="16"/>
        </w:rPr>
        <w:t xml:space="preserve"> </w:t>
      </w:r>
      <w:r>
        <w:rPr>
          <w:rFonts w:ascii="宋体" w:eastAsia="宋体" w:hAnsi="宋体" w:cs="宋体"/>
          <w:spacing w:val="-13"/>
          <w:sz w:val="16"/>
          <w:szCs w:val="16"/>
        </w:rPr>
        <w:t>guideline</w:t>
      </w:r>
      <w:r>
        <w:rPr>
          <w:rFonts w:ascii="宋体" w:eastAsia="宋体" w:hAnsi="宋体" w:cs="宋体"/>
          <w:spacing w:val="32"/>
          <w:sz w:val="16"/>
          <w:szCs w:val="16"/>
        </w:rPr>
        <w:t xml:space="preserve"> </w:t>
      </w:r>
      <w:r>
        <w:rPr>
          <w:rFonts w:ascii="宋体" w:eastAsia="宋体" w:hAnsi="宋体" w:cs="宋体"/>
          <w:spacing w:val="-13"/>
          <w:sz w:val="16"/>
          <w:szCs w:val="16"/>
        </w:rPr>
        <w:t>膳食指南</w:t>
      </w:r>
    </w:p>
    <w:p w:rsidR="00EA40A3" w:rsidRDefault="00E86C16">
      <w:pPr>
        <w:spacing w:before="66" w:line="214" w:lineRule="auto"/>
        <w:rPr>
          <w:rFonts w:ascii="宋体" w:eastAsia="宋体" w:hAnsi="宋体" w:cs="宋体"/>
          <w:sz w:val="16"/>
          <w:szCs w:val="16"/>
        </w:rPr>
      </w:pPr>
      <w:r>
        <w:rPr>
          <w:rFonts w:ascii="宋体" w:eastAsia="宋体" w:hAnsi="宋体" w:cs="宋体"/>
          <w:spacing w:val="-12"/>
          <w:sz w:val="16"/>
          <w:szCs w:val="16"/>
        </w:rPr>
        <w:t>dietary</w:t>
      </w:r>
      <w:r>
        <w:rPr>
          <w:rFonts w:ascii="宋体" w:eastAsia="宋体" w:hAnsi="宋体" w:cs="宋体"/>
          <w:spacing w:val="11"/>
          <w:sz w:val="16"/>
          <w:szCs w:val="16"/>
        </w:rPr>
        <w:t xml:space="preserve"> </w:t>
      </w:r>
      <w:r>
        <w:rPr>
          <w:rFonts w:ascii="宋体" w:eastAsia="宋体" w:hAnsi="宋体" w:cs="宋体"/>
          <w:spacing w:val="-12"/>
          <w:sz w:val="16"/>
          <w:szCs w:val="16"/>
        </w:rPr>
        <w:t>pattern</w:t>
      </w:r>
      <w:r>
        <w:rPr>
          <w:rFonts w:ascii="宋体" w:eastAsia="宋体" w:hAnsi="宋体" w:cs="宋体"/>
          <w:spacing w:val="45"/>
          <w:w w:val="101"/>
          <w:sz w:val="16"/>
          <w:szCs w:val="16"/>
        </w:rPr>
        <w:t xml:space="preserve"> </w:t>
      </w:r>
      <w:r>
        <w:rPr>
          <w:rFonts w:ascii="宋体" w:eastAsia="宋体" w:hAnsi="宋体" w:cs="宋体"/>
          <w:spacing w:val="-12"/>
          <w:sz w:val="16"/>
          <w:szCs w:val="16"/>
        </w:rPr>
        <w:t>膳食结构</w:t>
      </w:r>
    </w:p>
    <w:p w:rsidR="00EA40A3" w:rsidRDefault="00E86C16">
      <w:pPr>
        <w:spacing w:before="85" w:line="241" w:lineRule="auto"/>
        <w:rPr>
          <w:rFonts w:ascii="宋体" w:eastAsia="宋体" w:hAnsi="宋体" w:cs="宋体"/>
          <w:sz w:val="16"/>
          <w:szCs w:val="16"/>
        </w:rPr>
      </w:pPr>
      <w:r>
        <w:rPr>
          <w:rFonts w:ascii="宋体" w:eastAsia="宋体" w:hAnsi="宋体" w:cs="宋体"/>
          <w:spacing w:val="-19"/>
          <w:sz w:val="16"/>
          <w:szCs w:val="16"/>
        </w:rPr>
        <w:t>·</w:t>
      </w:r>
      <w:r>
        <w:rPr>
          <w:rFonts w:ascii="宋体" w:eastAsia="宋体" w:hAnsi="宋体" w:cs="宋体"/>
          <w:spacing w:val="-1"/>
          <w:sz w:val="16"/>
          <w:szCs w:val="16"/>
        </w:rPr>
        <w:t xml:space="preserve"> </w:t>
      </w:r>
      <w:r>
        <w:rPr>
          <w:rFonts w:ascii="宋体" w:eastAsia="宋体" w:hAnsi="宋体" w:cs="宋体"/>
          <w:spacing w:val="-19"/>
          <w:sz w:val="16"/>
          <w:szCs w:val="16"/>
        </w:rPr>
        <w:t>442</w:t>
      </w:r>
      <w:r>
        <w:rPr>
          <w:rFonts w:ascii="宋体" w:eastAsia="宋体" w:hAnsi="宋体" w:cs="宋体"/>
          <w:spacing w:val="50"/>
          <w:sz w:val="16"/>
          <w:szCs w:val="16"/>
        </w:rPr>
        <w:t xml:space="preserve"> </w:t>
      </w:r>
      <w:r>
        <w:rPr>
          <w:rFonts w:ascii="宋体" w:eastAsia="宋体" w:hAnsi="宋体" w:cs="宋体"/>
          <w:spacing w:val="-19"/>
          <w:sz w:val="16"/>
          <w:szCs w:val="16"/>
        </w:rPr>
        <w:t>·</w:t>
      </w:r>
    </w:p>
    <w:p w:rsidR="00EA40A3" w:rsidRDefault="00EA40A3">
      <w:pPr>
        <w:sectPr w:rsidR="00EA40A3">
          <w:footerReference w:type="default" r:id="rId369"/>
          <w:pgSz w:w="9220" w:h="13360"/>
          <w:pgMar w:top="400" w:right="1123" w:bottom="400" w:left="780" w:header="0" w:footer="0" w:gutter="0"/>
          <w:cols w:space="720"/>
        </w:sectPr>
      </w:pPr>
    </w:p>
    <w:p w:rsidR="00EA40A3" w:rsidRDefault="00EA40A3"/>
    <w:p w:rsidR="00EA40A3" w:rsidRDefault="00EA40A3"/>
    <w:p w:rsidR="00EA40A3" w:rsidRDefault="00EA40A3">
      <w:pPr>
        <w:spacing w:line="49" w:lineRule="exact"/>
      </w:pPr>
    </w:p>
    <w:p w:rsidR="00EA40A3" w:rsidRDefault="00EA40A3">
      <w:pPr>
        <w:sectPr w:rsidR="00EA40A3">
          <w:footerReference w:type="default" r:id="rId370"/>
          <w:pgSz w:w="9220" w:h="13360"/>
          <w:pgMar w:top="400" w:right="1087" w:bottom="1297" w:left="869" w:header="0" w:footer="1089" w:gutter="0"/>
          <w:cols w:space="720" w:equalWidth="0">
            <w:col w:w="7263"/>
          </w:cols>
        </w:sectPr>
      </w:pPr>
    </w:p>
    <w:p w:rsidR="00EA40A3" w:rsidRDefault="00E86C16">
      <w:pPr>
        <w:spacing w:before="32" w:line="216" w:lineRule="auto"/>
        <w:ind w:left="320"/>
        <w:rPr>
          <w:rFonts w:ascii="宋体" w:eastAsia="宋体" w:hAnsi="宋体" w:cs="宋体"/>
          <w:sz w:val="16"/>
          <w:szCs w:val="16"/>
        </w:rPr>
      </w:pPr>
      <w:r>
        <w:rPr>
          <w:rFonts w:ascii="宋体" w:eastAsia="宋体" w:hAnsi="宋体" w:cs="宋体"/>
          <w:spacing w:val="-2"/>
          <w:sz w:val="16"/>
          <w:szCs w:val="16"/>
        </w:rPr>
        <w:t>tion,FAO</w:t>
      </w:r>
      <w:r>
        <w:rPr>
          <w:rFonts w:ascii="宋体" w:eastAsia="宋体" w:hAnsi="宋体" w:cs="宋体"/>
          <w:spacing w:val="41"/>
          <w:sz w:val="16"/>
          <w:szCs w:val="16"/>
        </w:rPr>
        <w:t xml:space="preserve">  </w:t>
      </w:r>
      <w:r>
        <w:rPr>
          <w:rFonts w:ascii="宋体" w:eastAsia="宋体" w:hAnsi="宋体" w:cs="宋体"/>
          <w:spacing w:val="-2"/>
          <w:sz w:val="16"/>
          <w:szCs w:val="16"/>
        </w:rPr>
        <w:t>联合国粮农组织</w:t>
      </w:r>
    </w:p>
    <w:p w:rsidR="00EA40A3" w:rsidRDefault="00E86C16">
      <w:pPr>
        <w:spacing w:before="79" w:line="249" w:lineRule="auto"/>
        <w:ind w:left="190" w:right="62" w:hanging="190"/>
        <w:rPr>
          <w:rFonts w:ascii="宋体" w:eastAsia="宋体" w:hAnsi="宋体" w:cs="宋体"/>
          <w:sz w:val="16"/>
          <w:szCs w:val="16"/>
        </w:rPr>
      </w:pPr>
      <w:r>
        <w:rPr>
          <w:rFonts w:ascii="宋体" w:eastAsia="宋体" w:hAnsi="宋体" w:cs="宋体"/>
          <w:sz w:val="16"/>
          <w:szCs w:val="16"/>
        </w:rPr>
        <w:t>Food</w:t>
      </w:r>
      <w:r>
        <w:rPr>
          <w:rFonts w:ascii="宋体" w:eastAsia="宋体" w:hAnsi="宋体" w:cs="宋体"/>
          <w:spacing w:val="10"/>
          <w:sz w:val="16"/>
          <w:szCs w:val="16"/>
        </w:rPr>
        <w:t xml:space="preserve"> </w:t>
      </w:r>
      <w:r>
        <w:rPr>
          <w:rFonts w:ascii="宋体" w:eastAsia="宋体" w:hAnsi="宋体" w:cs="宋体"/>
          <w:sz w:val="16"/>
          <w:szCs w:val="16"/>
        </w:rPr>
        <w:t>and</w:t>
      </w:r>
      <w:r>
        <w:rPr>
          <w:rFonts w:ascii="宋体" w:eastAsia="宋体" w:hAnsi="宋体" w:cs="宋体"/>
          <w:spacing w:val="3"/>
          <w:sz w:val="16"/>
          <w:szCs w:val="16"/>
        </w:rPr>
        <w:t xml:space="preserve"> </w:t>
      </w:r>
      <w:r>
        <w:rPr>
          <w:rFonts w:ascii="宋体" w:eastAsia="宋体" w:hAnsi="宋体" w:cs="宋体"/>
          <w:sz w:val="16"/>
          <w:szCs w:val="16"/>
        </w:rPr>
        <w:t>Drug Administration</w:t>
      </w:r>
      <w:r>
        <w:rPr>
          <w:rFonts w:ascii="宋体" w:eastAsia="宋体" w:hAnsi="宋体" w:cs="宋体"/>
          <w:spacing w:val="11"/>
          <w:sz w:val="16"/>
          <w:szCs w:val="16"/>
        </w:rPr>
        <w:t>,</w:t>
      </w:r>
      <w:r>
        <w:rPr>
          <w:rFonts w:ascii="宋体" w:eastAsia="宋体" w:hAnsi="宋体" w:cs="宋体"/>
          <w:sz w:val="16"/>
          <w:szCs w:val="16"/>
        </w:rPr>
        <w:t>FDA</w:t>
      </w:r>
      <w:r>
        <w:rPr>
          <w:rFonts w:ascii="宋体" w:eastAsia="宋体" w:hAnsi="宋体" w:cs="宋体"/>
          <w:spacing w:val="2"/>
          <w:sz w:val="16"/>
          <w:szCs w:val="16"/>
        </w:rPr>
        <w:t xml:space="preserve">   </w:t>
      </w:r>
      <w:r>
        <w:rPr>
          <w:rFonts w:ascii="宋体" w:eastAsia="宋体" w:hAnsi="宋体" w:cs="宋体"/>
          <w:spacing w:val="11"/>
          <w:sz w:val="16"/>
          <w:szCs w:val="16"/>
        </w:rPr>
        <w:t>(美国)食</w:t>
      </w:r>
      <w:r>
        <w:rPr>
          <w:rFonts w:ascii="宋体" w:eastAsia="宋体" w:hAnsi="宋体" w:cs="宋体"/>
          <w:spacing w:val="1"/>
          <w:sz w:val="16"/>
          <w:szCs w:val="16"/>
        </w:rPr>
        <w:t xml:space="preserve"> </w:t>
      </w:r>
      <w:r>
        <w:rPr>
          <w:rFonts w:ascii="宋体" w:eastAsia="宋体" w:hAnsi="宋体" w:cs="宋体"/>
          <w:spacing w:val="-2"/>
          <w:sz w:val="16"/>
          <w:szCs w:val="16"/>
        </w:rPr>
        <w:t>品与药品监督管理局</w:t>
      </w:r>
    </w:p>
    <w:p w:rsidR="00EA40A3" w:rsidRDefault="00E86C16">
      <w:pPr>
        <w:spacing w:before="69" w:line="254" w:lineRule="auto"/>
        <w:ind w:left="190" w:right="50" w:hanging="190"/>
        <w:rPr>
          <w:rFonts w:ascii="宋体" w:eastAsia="宋体" w:hAnsi="宋体" w:cs="宋体"/>
          <w:sz w:val="16"/>
          <w:szCs w:val="16"/>
        </w:rPr>
      </w:pPr>
      <w:r>
        <w:rPr>
          <w:rFonts w:ascii="宋体" w:eastAsia="宋体" w:hAnsi="宋体" w:cs="宋体"/>
          <w:spacing w:val="-4"/>
          <w:sz w:val="16"/>
          <w:szCs w:val="16"/>
        </w:rPr>
        <w:t>food</w:t>
      </w:r>
      <w:r>
        <w:rPr>
          <w:rFonts w:ascii="宋体" w:eastAsia="宋体" w:hAnsi="宋体" w:cs="宋体"/>
          <w:spacing w:val="2"/>
          <w:sz w:val="16"/>
          <w:szCs w:val="16"/>
        </w:rPr>
        <w:t xml:space="preserve"> </w:t>
      </w:r>
      <w:r>
        <w:rPr>
          <w:rFonts w:ascii="宋体" w:eastAsia="宋体" w:hAnsi="宋体" w:cs="宋体"/>
          <w:spacing w:val="-4"/>
          <w:sz w:val="16"/>
          <w:szCs w:val="16"/>
        </w:rPr>
        <w:t>for</w:t>
      </w:r>
      <w:r>
        <w:rPr>
          <w:rFonts w:ascii="宋体" w:eastAsia="宋体" w:hAnsi="宋体" w:cs="宋体"/>
          <w:spacing w:val="6"/>
          <w:sz w:val="16"/>
          <w:szCs w:val="16"/>
        </w:rPr>
        <w:t xml:space="preserve"> </w:t>
      </w:r>
      <w:r>
        <w:rPr>
          <w:rFonts w:ascii="宋体" w:eastAsia="宋体" w:hAnsi="宋体" w:cs="宋体"/>
          <w:spacing w:val="-4"/>
          <w:sz w:val="16"/>
          <w:szCs w:val="16"/>
        </w:rPr>
        <w:t>specified</w:t>
      </w:r>
      <w:r>
        <w:rPr>
          <w:rFonts w:ascii="宋体" w:eastAsia="宋体" w:hAnsi="宋体" w:cs="宋体"/>
          <w:spacing w:val="-2"/>
          <w:sz w:val="16"/>
          <w:szCs w:val="16"/>
        </w:rPr>
        <w:t xml:space="preserve"> </w:t>
      </w:r>
      <w:r>
        <w:rPr>
          <w:rFonts w:ascii="宋体" w:eastAsia="宋体" w:hAnsi="宋体" w:cs="宋体"/>
          <w:spacing w:val="-4"/>
          <w:sz w:val="16"/>
          <w:szCs w:val="16"/>
        </w:rPr>
        <w:t>health</w:t>
      </w:r>
      <w:r>
        <w:rPr>
          <w:rFonts w:ascii="宋体" w:eastAsia="宋体" w:hAnsi="宋体" w:cs="宋体"/>
          <w:spacing w:val="-3"/>
          <w:sz w:val="16"/>
          <w:szCs w:val="16"/>
        </w:rPr>
        <w:t xml:space="preserve"> </w:t>
      </w:r>
      <w:r>
        <w:rPr>
          <w:rFonts w:ascii="宋体" w:eastAsia="宋体" w:hAnsi="宋体" w:cs="宋体"/>
          <w:spacing w:val="-4"/>
          <w:sz w:val="16"/>
          <w:szCs w:val="16"/>
        </w:rPr>
        <w:t>u</w:t>
      </w:r>
      <w:r>
        <w:rPr>
          <w:rFonts w:ascii="宋体" w:eastAsia="宋体" w:hAnsi="宋体" w:cs="宋体"/>
          <w:spacing w:val="-5"/>
          <w:sz w:val="16"/>
          <w:szCs w:val="16"/>
        </w:rPr>
        <w:t>se,FSHU</w:t>
      </w:r>
      <w:r>
        <w:rPr>
          <w:rFonts w:ascii="宋体" w:eastAsia="宋体" w:hAnsi="宋体" w:cs="宋体"/>
          <w:spacing w:val="3"/>
          <w:sz w:val="16"/>
          <w:szCs w:val="16"/>
        </w:rPr>
        <w:t xml:space="preserve">  </w:t>
      </w:r>
      <w:r>
        <w:rPr>
          <w:rFonts w:ascii="宋体" w:eastAsia="宋体" w:hAnsi="宋体" w:cs="宋体"/>
          <w:spacing w:val="-5"/>
          <w:sz w:val="16"/>
          <w:szCs w:val="16"/>
        </w:rPr>
        <w:t>特定保健用</w:t>
      </w:r>
      <w:r>
        <w:rPr>
          <w:rFonts w:ascii="宋体" w:eastAsia="宋体" w:hAnsi="宋体" w:cs="宋体"/>
          <w:spacing w:val="1"/>
          <w:sz w:val="16"/>
          <w:szCs w:val="16"/>
        </w:rPr>
        <w:t xml:space="preserve"> </w:t>
      </w:r>
      <w:r>
        <w:rPr>
          <w:rFonts w:ascii="宋体" w:eastAsia="宋体" w:hAnsi="宋体" w:cs="宋体"/>
          <w:spacing w:val="8"/>
          <w:sz w:val="16"/>
          <w:szCs w:val="16"/>
        </w:rPr>
        <w:t>食品</w:t>
      </w:r>
    </w:p>
    <w:p w:rsidR="00EA40A3" w:rsidRDefault="00E86C16">
      <w:pPr>
        <w:spacing w:before="74" w:line="265" w:lineRule="exact"/>
        <w:rPr>
          <w:rFonts w:ascii="宋体" w:eastAsia="宋体" w:hAnsi="宋体" w:cs="宋体"/>
          <w:sz w:val="16"/>
          <w:szCs w:val="16"/>
        </w:rPr>
      </w:pPr>
      <w:r>
        <w:rPr>
          <w:rFonts w:ascii="宋体" w:eastAsia="宋体" w:hAnsi="宋体" w:cs="宋体"/>
          <w:spacing w:val="-14"/>
          <w:position w:val="7"/>
          <w:sz w:val="16"/>
          <w:szCs w:val="16"/>
        </w:rPr>
        <w:t>food</w:t>
      </w:r>
      <w:r>
        <w:rPr>
          <w:rFonts w:ascii="宋体" w:eastAsia="宋体" w:hAnsi="宋体" w:cs="宋体"/>
          <w:spacing w:val="5"/>
          <w:position w:val="7"/>
          <w:sz w:val="16"/>
          <w:szCs w:val="16"/>
        </w:rPr>
        <w:t xml:space="preserve"> </w:t>
      </w:r>
      <w:r>
        <w:rPr>
          <w:rFonts w:ascii="宋体" w:eastAsia="宋体" w:hAnsi="宋体" w:cs="宋体"/>
          <w:spacing w:val="-14"/>
          <w:position w:val="7"/>
          <w:sz w:val="16"/>
          <w:szCs w:val="16"/>
        </w:rPr>
        <w:t>nutrition</w:t>
      </w:r>
      <w:r>
        <w:rPr>
          <w:rFonts w:ascii="宋体" w:eastAsia="宋体" w:hAnsi="宋体" w:cs="宋体"/>
          <w:spacing w:val="-3"/>
          <w:position w:val="7"/>
          <w:sz w:val="16"/>
          <w:szCs w:val="16"/>
        </w:rPr>
        <w:t xml:space="preserve"> </w:t>
      </w:r>
      <w:r>
        <w:rPr>
          <w:rFonts w:ascii="宋体" w:eastAsia="宋体" w:hAnsi="宋体" w:cs="宋体"/>
          <w:spacing w:val="-14"/>
          <w:position w:val="7"/>
          <w:sz w:val="16"/>
          <w:szCs w:val="16"/>
        </w:rPr>
        <w:t>label</w:t>
      </w:r>
      <w:r>
        <w:rPr>
          <w:rFonts w:ascii="宋体" w:eastAsia="宋体" w:hAnsi="宋体" w:cs="宋体"/>
          <w:spacing w:val="47"/>
          <w:position w:val="7"/>
          <w:sz w:val="16"/>
          <w:szCs w:val="16"/>
        </w:rPr>
        <w:t xml:space="preserve"> </w:t>
      </w:r>
      <w:r>
        <w:rPr>
          <w:rFonts w:ascii="宋体" w:eastAsia="宋体" w:hAnsi="宋体" w:cs="宋体"/>
          <w:spacing w:val="-14"/>
          <w:position w:val="7"/>
          <w:sz w:val="16"/>
          <w:szCs w:val="16"/>
        </w:rPr>
        <w:t>食品营养标签</w:t>
      </w:r>
    </w:p>
    <w:p w:rsidR="00EA40A3" w:rsidRDefault="00E86C16">
      <w:pPr>
        <w:spacing w:line="219" w:lineRule="auto"/>
        <w:rPr>
          <w:rFonts w:ascii="宋体" w:eastAsia="宋体" w:hAnsi="宋体" w:cs="宋体"/>
          <w:sz w:val="16"/>
          <w:szCs w:val="16"/>
        </w:rPr>
      </w:pPr>
      <w:r>
        <w:rPr>
          <w:rFonts w:ascii="宋体" w:eastAsia="宋体" w:hAnsi="宋体" w:cs="宋体"/>
          <w:spacing w:val="-6"/>
          <w:sz w:val="16"/>
          <w:szCs w:val="16"/>
        </w:rPr>
        <w:t>food</w:t>
      </w:r>
      <w:r>
        <w:rPr>
          <w:rFonts w:ascii="宋体" w:eastAsia="宋体" w:hAnsi="宋体" w:cs="宋体"/>
          <w:spacing w:val="8"/>
          <w:sz w:val="16"/>
          <w:szCs w:val="16"/>
        </w:rPr>
        <w:t xml:space="preserve"> </w:t>
      </w:r>
      <w:r>
        <w:rPr>
          <w:rFonts w:ascii="宋体" w:eastAsia="宋体" w:hAnsi="宋体" w:cs="宋体"/>
          <w:spacing w:val="-6"/>
          <w:sz w:val="16"/>
          <w:szCs w:val="16"/>
        </w:rPr>
        <w:t>nutrition</w:t>
      </w:r>
      <w:r>
        <w:rPr>
          <w:rFonts w:ascii="宋体" w:eastAsia="宋体" w:hAnsi="宋体" w:cs="宋体"/>
          <w:spacing w:val="46"/>
          <w:sz w:val="16"/>
          <w:szCs w:val="16"/>
        </w:rPr>
        <w:t xml:space="preserve"> </w:t>
      </w:r>
      <w:r>
        <w:rPr>
          <w:rFonts w:ascii="宋体" w:eastAsia="宋体" w:hAnsi="宋体" w:cs="宋体"/>
          <w:spacing w:val="-6"/>
          <w:sz w:val="16"/>
          <w:szCs w:val="16"/>
        </w:rPr>
        <w:t>食品营养(学)</w:t>
      </w:r>
    </w:p>
    <w:p w:rsidR="00EA40A3" w:rsidRDefault="00E86C16">
      <w:pPr>
        <w:spacing w:before="45" w:line="220" w:lineRule="auto"/>
        <w:rPr>
          <w:rFonts w:ascii="宋体" w:eastAsia="宋体" w:hAnsi="宋体" w:cs="宋体"/>
          <w:sz w:val="16"/>
          <w:szCs w:val="16"/>
        </w:rPr>
      </w:pPr>
      <w:r>
        <w:rPr>
          <w:rFonts w:ascii="宋体" w:eastAsia="宋体" w:hAnsi="宋体" w:cs="宋体"/>
          <w:sz w:val="16"/>
          <w:szCs w:val="16"/>
        </w:rPr>
        <w:t>food</w:t>
      </w:r>
      <w:r>
        <w:rPr>
          <w:rFonts w:ascii="宋体" w:eastAsia="宋体" w:hAnsi="宋体" w:cs="宋体"/>
          <w:spacing w:val="29"/>
          <w:sz w:val="16"/>
          <w:szCs w:val="16"/>
        </w:rPr>
        <w:t xml:space="preserve"> </w:t>
      </w:r>
      <w:r>
        <w:rPr>
          <w:rFonts w:ascii="宋体" w:eastAsia="宋体" w:hAnsi="宋体" w:cs="宋体"/>
          <w:spacing w:val="3"/>
          <w:sz w:val="16"/>
          <w:szCs w:val="16"/>
        </w:rPr>
        <w:t>食品</w:t>
      </w:r>
    </w:p>
    <w:p w:rsidR="00EA40A3" w:rsidRDefault="00E86C16">
      <w:pPr>
        <w:spacing w:before="69" w:line="219" w:lineRule="auto"/>
        <w:rPr>
          <w:rFonts w:ascii="宋体" w:eastAsia="宋体" w:hAnsi="宋体" w:cs="宋体"/>
          <w:sz w:val="16"/>
          <w:szCs w:val="16"/>
        </w:rPr>
      </w:pPr>
      <w:r>
        <w:rPr>
          <w:rFonts w:ascii="宋体" w:eastAsia="宋体" w:hAnsi="宋体" w:cs="宋体"/>
          <w:spacing w:val="-17"/>
          <w:sz w:val="16"/>
          <w:szCs w:val="16"/>
        </w:rPr>
        <w:t>fortification</w:t>
      </w:r>
      <w:r>
        <w:rPr>
          <w:rFonts w:ascii="宋体" w:eastAsia="宋体" w:hAnsi="宋体" w:cs="宋体"/>
          <w:spacing w:val="59"/>
          <w:sz w:val="16"/>
          <w:szCs w:val="16"/>
        </w:rPr>
        <w:t xml:space="preserve"> </w:t>
      </w:r>
      <w:r>
        <w:rPr>
          <w:rFonts w:ascii="宋体" w:eastAsia="宋体" w:hAnsi="宋体" w:cs="宋体"/>
          <w:spacing w:val="-17"/>
          <w:sz w:val="16"/>
          <w:szCs w:val="16"/>
        </w:rPr>
        <w:t>营养强化</w:t>
      </w:r>
    </w:p>
    <w:p w:rsidR="00EA40A3" w:rsidRDefault="00E86C16">
      <w:pPr>
        <w:spacing w:before="66" w:line="215" w:lineRule="auto"/>
        <w:rPr>
          <w:rFonts w:ascii="宋体" w:eastAsia="宋体" w:hAnsi="宋体" w:cs="宋体"/>
          <w:sz w:val="16"/>
          <w:szCs w:val="16"/>
        </w:rPr>
      </w:pPr>
      <w:r>
        <w:rPr>
          <w:rFonts w:ascii="宋体" w:eastAsia="宋体" w:hAnsi="宋体" w:cs="宋体"/>
          <w:spacing w:val="-8"/>
          <w:sz w:val="16"/>
          <w:szCs w:val="16"/>
        </w:rPr>
        <w:t>free</w:t>
      </w:r>
      <w:r>
        <w:rPr>
          <w:rFonts w:ascii="宋体" w:eastAsia="宋体" w:hAnsi="宋体" w:cs="宋体"/>
          <w:spacing w:val="5"/>
          <w:sz w:val="16"/>
          <w:szCs w:val="16"/>
        </w:rPr>
        <w:t xml:space="preserve"> </w:t>
      </w:r>
      <w:r>
        <w:rPr>
          <w:rFonts w:ascii="宋体" w:eastAsia="宋体" w:hAnsi="宋体" w:cs="宋体"/>
          <w:spacing w:val="-8"/>
          <w:sz w:val="16"/>
          <w:szCs w:val="16"/>
        </w:rPr>
        <w:t>fatty</w:t>
      </w:r>
      <w:r>
        <w:rPr>
          <w:rFonts w:ascii="宋体" w:eastAsia="宋体" w:hAnsi="宋体" w:cs="宋体"/>
          <w:spacing w:val="-3"/>
          <w:sz w:val="16"/>
          <w:szCs w:val="16"/>
        </w:rPr>
        <w:t xml:space="preserve"> </w:t>
      </w:r>
      <w:r>
        <w:rPr>
          <w:rFonts w:ascii="宋体" w:eastAsia="宋体" w:hAnsi="宋体" w:cs="宋体"/>
          <w:spacing w:val="-8"/>
          <w:sz w:val="16"/>
          <w:szCs w:val="16"/>
        </w:rPr>
        <w:t>acid,FFA</w:t>
      </w:r>
      <w:r>
        <w:rPr>
          <w:rFonts w:ascii="宋体" w:eastAsia="宋体" w:hAnsi="宋体" w:cs="宋体"/>
          <w:spacing w:val="68"/>
          <w:sz w:val="16"/>
          <w:szCs w:val="16"/>
        </w:rPr>
        <w:t xml:space="preserve"> </w:t>
      </w:r>
      <w:r>
        <w:rPr>
          <w:rFonts w:ascii="宋体" w:eastAsia="宋体" w:hAnsi="宋体" w:cs="宋体"/>
          <w:spacing w:val="-8"/>
          <w:sz w:val="16"/>
          <w:szCs w:val="16"/>
        </w:rPr>
        <w:t>游离脂肪酸</w:t>
      </w:r>
    </w:p>
    <w:p w:rsidR="00EA40A3" w:rsidRDefault="00E86C16">
      <w:pPr>
        <w:spacing w:before="78" w:line="240" w:lineRule="exact"/>
        <w:rPr>
          <w:rFonts w:ascii="宋体" w:eastAsia="宋体" w:hAnsi="宋体" w:cs="宋体"/>
          <w:sz w:val="16"/>
          <w:szCs w:val="16"/>
        </w:rPr>
      </w:pPr>
      <w:r>
        <w:rPr>
          <w:rFonts w:ascii="宋体" w:eastAsia="宋体" w:hAnsi="宋体" w:cs="宋体"/>
          <w:spacing w:val="-17"/>
          <w:position w:val="5"/>
          <w:sz w:val="16"/>
          <w:szCs w:val="16"/>
        </w:rPr>
        <w:t>free</w:t>
      </w:r>
      <w:r>
        <w:rPr>
          <w:rFonts w:ascii="宋体" w:eastAsia="宋体" w:hAnsi="宋体" w:cs="宋体"/>
          <w:spacing w:val="-13"/>
          <w:position w:val="5"/>
          <w:sz w:val="16"/>
          <w:szCs w:val="16"/>
        </w:rPr>
        <w:t xml:space="preserve"> </w:t>
      </w:r>
      <w:r>
        <w:rPr>
          <w:rFonts w:ascii="宋体" w:eastAsia="宋体" w:hAnsi="宋体" w:cs="宋体"/>
          <w:spacing w:val="-17"/>
          <w:position w:val="5"/>
          <w:sz w:val="16"/>
          <w:szCs w:val="16"/>
        </w:rPr>
        <w:t>radical</w:t>
      </w:r>
      <w:r>
        <w:rPr>
          <w:rFonts w:ascii="宋体" w:eastAsia="宋体" w:hAnsi="宋体" w:cs="宋体"/>
          <w:spacing w:val="78"/>
          <w:position w:val="5"/>
          <w:sz w:val="16"/>
          <w:szCs w:val="16"/>
        </w:rPr>
        <w:t xml:space="preserve"> </w:t>
      </w:r>
      <w:r>
        <w:rPr>
          <w:rFonts w:ascii="宋体" w:eastAsia="宋体" w:hAnsi="宋体" w:cs="宋体"/>
          <w:spacing w:val="-17"/>
          <w:position w:val="5"/>
          <w:sz w:val="16"/>
          <w:szCs w:val="16"/>
        </w:rPr>
        <w:t>自由基</w:t>
      </w:r>
    </w:p>
    <w:p w:rsidR="00EA40A3" w:rsidRDefault="00E86C16">
      <w:pPr>
        <w:spacing w:line="220" w:lineRule="auto"/>
        <w:rPr>
          <w:rFonts w:ascii="宋体" w:eastAsia="宋体" w:hAnsi="宋体" w:cs="宋体"/>
          <w:sz w:val="16"/>
          <w:szCs w:val="16"/>
        </w:rPr>
      </w:pPr>
      <w:r>
        <w:rPr>
          <w:rFonts w:ascii="宋体" w:eastAsia="宋体" w:hAnsi="宋体" w:cs="宋体"/>
          <w:spacing w:val="-11"/>
          <w:sz w:val="16"/>
          <w:szCs w:val="16"/>
        </w:rPr>
        <w:t>fructose</w:t>
      </w:r>
      <w:r>
        <w:rPr>
          <w:rFonts w:ascii="宋体" w:eastAsia="宋体" w:hAnsi="宋体" w:cs="宋体"/>
          <w:spacing w:val="55"/>
          <w:w w:val="101"/>
          <w:sz w:val="16"/>
          <w:szCs w:val="16"/>
        </w:rPr>
        <w:t xml:space="preserve"> </w:t>
      </w:r>
      <w:r>
        <w:rPr>
          <w:rFonts w:ascii="宋体" w:eastAsia="宋体" w:hAnsi="宋体" w:cs="宋体"/>
          <w:spacing w:val="-11"/>
          <w:sz w:val="16"/>
          <w:szCs w:val="16"/>
        </w:rPr>
        <w:t>果糖</w:t>
      </w:r>
    </w:p>
    <w:p w:rsidR="00EA40A3" w:rsidRDefault="00E86C16">
      <w:pPr>
        <w:spacing w:before="64" w:line="263" w:lineRule="exact"/>
        <w:rPr>
          <w:rFonts w:ascii="宋体" w:eastAsia="宋体" w:hAnsi="宋体" w:cs="宋体"/>
          <w:sz w:val="16"/>
          <w:szCs w:val="16"/>
        </w:rPr>
      </w:pPr>
      <w:r>
        <w:rPr>
          <w:rFonts w:ascii="宋体" w:eastAsia="宋体" w:hAnsi="宋体" w:cs="宋体"/>
          <w:spacing w:val="-12"/>
          <w:position w:val="8"/>
          <w:sz w:val="16"/>
          <w:szCs w:val="16"/>
        </w:rPr>
        <w:t>fructo-oligosaccharide</w:t>
      </w:r>
      <w:r>
        <w:rPr>
          <w:rFonts w:ascii="宋体" w:eastAsia="宋体" w:hAnsi="宋体" w:cs="宋体"/>
          <w:spacing w:val="47"/>
          <w:w w:val="101"/>
          <w:position w:val="8"/>
          <w:sz w:val="16"/>
          <w:szCs w:val="16"/>
        </w:rPr>
        <w:t xml:space="preserve"> </w:t>
      </w:r>
      <w:r>
        <w:rPr>
          <w:rFonts w:ascii="宋体" w:eastAsia="宋体" w:hAnsi="宋体" w:cs="宋体"/>
          <w:spacing w:val="-12"/>
          <w:position w:val="8"/>
          <w:sz w:val="16"/>
          <w:szCs w:val="16"/>
        </w:rPr>
        <w:t>低聚果糖</w:t>
      </w:r>
    </w:p>
    <w:p w:rsidR="00EA40A3" w:rsidRDefault="00E86C16">
      <w:pPr>
        <w:spacing w:line="220" w:lineRule="auto"/>
        <w:rPr>
          <w:rFonts w:ascii="宋体" w:eastAsia="宋体" w:hAnsi="宋体" w:cs="宋体"/>
          <w:sz w:val="16"/>
          <w:szCs w:val="16"/>
        </w:rPr>
      </w:pPr>
      <w:r>
        <w:rPr>
          <w:rFonts w:ascii="宋体" w:eastAsia="宋体" w:hAnsi="宋体" w:cs="宋体"/>
          <w:spacing w:val="-12"/>
          <w:sz w:val="16"/>
          <w:szCs w:val="16"/>
        </w:rPr>
        <w:t>functional</w:t>
      </w:r>
      <w:r>
        <w:rPr>
          <w:rFonts w:ascii="宋体" w:eastAsia="宋体" w:hAnsi="宋体" w:cs="宋体"/>
          <w:spacing w:val="3"/>
          <w:sz w:val="16"/>
          <w:szCs w:val="16"/>
        </w:rPr>
        <w:t xml:space="preserve"> </w:t>
      </w:r>
      <w:r>
        <w:rPr>
          <w:rFonts w:ascii="宋体" w:eastAsia="宋体" w:hAnsi="宋体" w:cs="宋体"/>
          <w:spacing w:val="-12"/>
          <w:sz w:val="16"/>
          <w:szCs w:val="16"/>
        </w:rPr>
        <w:t>food</w:t>
      </w:r>
      <w:r>
        <w:rPr>
          <w:rFonts w:ascii="宋体" w:eastAsia="宋体" w:hAnsi="宋体" w:cs="宋体"/>
          <w:spacing w:val="57"/>
          <w:sz w:val="16"/>
          <w:szCs w:val="16"/>
        </w:rPr>
        <w:t xml:space="preserve"> </w:t>
      </w:r>
      <w:r>
        <w:rPr>
          <w:rFonts w:ascii="宋体" w:eastAsia="宋体" w:hAnsi="宋体" w:cs="宋体"/>
          <w:spacing w:val="-12"/>
          <w:sz w:val="16"/>
          <w:szCs w:val="16"/>
        </w:rPr>
        <w:t>功能性食品</w:t>
      </w:r>
    </w:p>
    <w:p w:rsidR="00EA40A3" w:rsidRDefault="00E86C16">
      <w:pPr>
        <w:spacing w:before="66" w:line="261" w:lineRule="exact"/>
        <w:rPr>
          <w:rFonts w:ascii="宋体" w:eastAsia="宋体" w:hAnsi="宋体" w:cs="宋体"/>
          <w:sz w:val="16"/>
          <w:szCs w:val="16"/>
        </w:rPr>
      </w:pPr>
      <w:r>
        <w:rPr>
          <w:rFonts w:ascii="宋体" w:eastAsia="宋体" w:hAnsi="宋体" w:cs="宋体"/>
          <w:spacing w:val="-13"/>
          <w:position w:val="7"/>
          <w:sz w:val="16"/>
          <w:szCs w:val="16"/>
        </w:rPr>
        <w:t>functional</w:t>
      </w:r>
      <w:r>
        <w:rPr>
          <w:rFonts w:ascii="宋体" w:eastAsia="宋体" w:hAnsi="宋体" w:cs="宋体"/>
          <w:spacing w:val="2"/>
          <w:position w:val="7"/>
          <w:sz w:val="16"/>
          <w:szCs w:val="16"/>
        </w:rPr>
        <w:t xml:space="preserve"> </w:t>
      </w:r>
      <w:r>
        <w:rPr>
          <w:rFonts w:ascii="宋体" w:eastAsia="宋体" w:hAnsi="宋体" w:cs="宋体"/>
          <w:spacing w:val="-13"/>
          <w:position w:val="7"/>
          <w:sz w:val="16"/>
          <w:szCs w:val="16"/>
        </w:rPr>
        <w:t>oligosaccharide</w:t>
      </w:r>
      <w:r>
        <w:rPr>
          <w:rFonts w:ascii="宋体" w:eastAsia="宋体" w:hAnsi="宋体" w:cs="宋体"/>
          <w:spacing w:val="52"/>
          <w:position w:val="7"/>
          <w:sz w:val="16"/>
          <w:szCs w:val="16"/>
        </w:rPr>
        <w:t xml:space="preserve"> </w:t>
      </w:r>
      <w:r>
        <w:rPr>
          <w:rFonts w:ascii="宋体" w:eastAsia="宋体" w:hAnsi="宋体" w:cs="宋体"/>
          <w:spacing w:val="-13"/>
          <w:position w:val="7"/>
          <w:sz w:val="16"/>
          <w:szCs w:val="16"/>
        </w:rPr>
        <w:t>功能性低聚糖</w:t>
      </w:r>
    </w:p>
    <w:p w:rsidR="00EA40A3" w:rsidRDefault="00E86C16">
      <w:pPr>
        <w:spacing w:line="214" w:lineRule="auto"/>
        <w:rPr>
          <w:rFonts w:ascii="宋体" w:eastAsia="宋体" w:hAnsi="宋体" w:cs="宋体"/>
          <w:sz w:val="16"/>
          <w:szCs w:val="16"/>
        </w:rPr>
      </w:pPr>
      <w:r>
        <w:rPr>
          <w:rFonts w:ascii="宋体" w:eastAsia="宋体" w:hAnsi="宋体" w:cs="宋体"/>
          <w:spacing w:val="-13"/>
          <w:sz w:val="16"/>
          <w:szCs w:val="16"/>
        </w:rPr>
        <w:t>functional</w:t>
      </w:r>
      <w:r>
        <w:rPr>
          <w:rFonts w:ascii="宋体" w:eastAsia="宋体" w:hAnsi="宋体" w:cs="宋体"/>
          <w:spacing w:val="6"/>
          <w:sz w:val="16"/>
          <w:szCs w:val="16"/>
        </w:rPr>
        <w:t xml:space="preserve"> </w:t>
      </w:r>
      <w:r>
        <w:rPr>
          <w:rFonts w:ascii="宋体" w:eastAsia="宋体" w:hAnsi="宋体" w:cs="宋体"/>
          <w:spacing w:val="-13"/>
          <w:sz w:val="16"/>
          <w:szCs w:val="16"/>
        </w:rPr>
        <w:t>polysaccharide</w:t>
      </w:r>
      <w:r>
        <w:rPr>
          <w:rFonts w:ascii="宋体" w:eastAsia="宋体" w:hAnsi="宋体" w:cs="宋体"/>
          <w:spacing w:val="62"/>
          <w:w w:val="101"/>
          <w:sz w:val="16"/>
          <w:szCs w:val="16"/>
        </w:rPr>
        <w:t xml:space="preserve"> </w:t>
      </w:r>
      <w:r>
        <w:rPr>
          <w:rFonts w:ascii="宋体" w:eastAsia="宋体" w:hAnsi="宋体" w:cs="宋体"/>
          <w:spacing w:val="-13"/>
          <w:sz w:val="16"/>
          <w:szCs w:val="16"/>
        </w:rPr>
        <w:t>功能性多糖</w:t>
      </w:r>
    </w:p>
    <w:p w:rsidR="00EA40A3" w:rsidRDefault="00E86C16">
      <w:pPr>
        <w:spacing w:before="53" w:line="214" w:lineRule="auto"/>
        <w:rPr>
          <w:rFonts w:ascii="宋体" w:eastAsia="宋体" w:hAnsi="宋体" w:cs="宋体"/>
          <w:sz w:val="16"/>
          <w:szCs w:val="16"/>
        </w:rPr>
      </w:pPr>
      <w:r>
        <w:rPr>
          <w:rFonts w:ascii="宋体" w:eastAsia="宋体" w:hAnsi="宋体" w:cs="宋体"/>
          <w:spacing w:val="-8"/>
          <w:sz w:val="16"/>
          <w:szCs w:val="16"/>
        </w:rPr>
        <w:t>galactose</w:t>
      </w:r>
      <w:r>
        <w:rPr>
          <w:rFonts w:ascii="宋体" w:eastAsia="宋体" w:hAnsi="宋体" w:cs="宋体"/>
          <w:spacing w:val="41"/>
          <w:w w:val="101"/>
          <w:sz w:val="16"/>
          <w:szCs w:val="16"/>
        </w:rPr>
        <w:t xml:space="preserve"> </w:t>
      </w:r>
      <w:r>
        <w:rPr>
          <w:rFonts w:ascii="宋体" w:eastAsia="宋体" w:hAnsi="宋体" w:cs="宋体"/>
          <w:spacing w:val="-8"/>
          <w:sz w:val="16"/>
          <w:szCs w:val="16"/>
        </w:rPr>
        <w:t>半乳糖</w:t>
      </w:r>
    </w:p>
    <w:p w:rsidR="00EA40A3" w:rsidRDefault="00E86C16">
      <w:pPr>
        <w:spacing w:before="85" w:line="214" w:lineRule="auto"/>
        <w:rPr>
          <w:rFonts w:ascii="宋体" w:eastAsia="宋体" w:hAnsi="宋体" w:cs="宋体"/>
          <w:sz w:val="16"/>
          <w:szCs w:val="16"/>
        </w:rPr>
      </w:pPr>
      <w:r>
        <w:rPr>
          <w:rFonts w:ascii="宋体" w:eastAsia="宋体" w:hAnsi="宋体" w:cs="宋体"/>
          <w:spacing w:val="-12"/>
          <w:sz w:val="16"/>
          <w:szCs w:val="16"/>
        </w:rPr>
        <w:t>galacto-oligosaccharide</w:t>
      </w:r>
      <w:r>
        <w:rPr>
          <w:rFonts w:ascii="宋体" w:eastAsia="宋体" w:hAnsi="宋体" w:cs="宋体"/>
          <w:spacing w:val="52"/>
          <w:sz w:val="16"/>
          <w:szCs w:val="16"/>
        </w:rPr>
        <w:t xml:space="preserve"> </w:t>
      </w:r>
      <w:r>
        <w:rPr>
          <w:rFonts w:ascii="宋体" w:eastAsia="宋体" w:hAnsi="宋体" w:cs="宋体"/>
          <w:spacing w:val="-12"/>
          <w:sz w:val="16"/>
          <w:szCs w:val="16"/>
        </w:rPr>
        <w:t>低聚半乳</w:t>
      </w:r>
      <w:r>
        <w:rPr>
          <w:rFonts w:ascii="宋体" w:eastAsia="宋体" w:hAnsi="宋体" w:cs="宋体"/>
          <w:spacing w:val="-13"/>
          <w:sz w:val="16"/>
          <w:szCs w:val="16"/>
        </w:rPr>
        <w:t>糖</w:t>
      </w:r>
    </w:p>
    <w:p w:rsidR="00EA40A3" w:rsidRDefault="00E86C16">
      <w:pPr>
        <w:spacing w:before="74" w:line="214" w:lineRule="auto"/>
        <w:rPr>
          <w:rFonts w:ascii="宋体" w:eastAsia="宋体" w:hAnsi="宋体" w:cs="宋体"/>
          <w:sz w:val="16"/>
          <w:szCs w:val="16"/>
        </w:rPr>
      </w:pPr>
      <w:r>
        <w:rPr>
          <w:rFonts w:ascii="宋体" w:eastAsia="宋体" w:hAnsi="宋体" w:cs="宋体"/>
          <w:spacing w:val="-2"/>
          <w:sz w:val="16"/>
          <w:szCs w:val="16"/>
        </w:rPr>
        <w:t>gamma</w:t>
      </w:r>
      <w:r>
        <w:rPr>
          <w:rFonts w:ascii="宋体" w:eastAsia="宋体" w:hAnsi="宋体" w:cs="宋体"/>
          <w:spacing w:val="47"/>
          <w:w w:val="101"/>
          <w:sz w:val="16"/>
          <w:szCs w:val="16"/>
        </w:rPr>
        <w:t xml:space="preserve"> </w:t>
      </w:r>
      <w:r>
        <w:rPr>
          <w:rFonts w:ascii="宋体" w:eastAsia="宋体" w:hAnsi="宋体" w:cs="宋体"/>
          <w:spacing w:val="-2"/>
          <w:sz w:val="16"/>
          <w:szCs w:val="16"/>
        </w:rPr>
        <w:t>aminobutyric</w:t>
      </w:r>
      <w:r>
        <w:rPr>
          <w:rFonts w:ascii="宋体" w:eastAsia="宋体" w:hAnsi="宋体" w:cs="宋体"/>
          <w:spacing w:val="47"/>
          <w:w w:val="101"/>
          <w:sz w:val="16"/>
          <w:szCs w:val="16"/>
        </w:rPr>
        <w:t xml:space="preserve"> </w:t>
      </w:r>
      <w:r>
        <w:rPr>
          <w:rFonts w:ascii="宋体" w:eastAsia="宋体" w:hAnsi="宋体" w:cs="宋体"/>
          <w:spacing w:val="-2"/>
          <w:sz w:val="16"/>
          <w:szCs w:val="16"/>
        </w:rPr>
        <w:t>acid,GABA</w:t>
      </w:r>
      <w:r>
        <w:rPr>
          <w:rFonts w:ascii="宋体" w:eastAsia="宋体" w:hAnsi="宋体" w:cs="宋体"/>
          <w:spacing w:val="76"/>
          <w:w w:val="101"/>
          <w:sz w:val="16"/>
          <w:szCs w:val="16"/>
        </w:rPr>
        <w:t xml:space="preserve"> </w:t>
      </w:r>
      <w:r>
        <w:rPr>
          <w:rFonts w:ascii="宋体" w:eastAsia="宋体" w:hAnsi="宋体" w:cs="宋体"/>
          <w:spacing w:val="-2"/>
          <w:sz w:val="16"/>
          <w:szCs w:val="16"/>
        </w:rPr>
        <w:t>y-</w:t>
      </w:r>
      <w:r>
        <w:rPr>
          <w:rFonts w:ascii="宋体" w:eastAsia="宋体" w:hAnsi="宋体" w:cs="宋体"/>
          <w:spacing w:val="-3"/>
          <w:sz w:val="16"/>
          <w:szCs w:val="16"/>
        </w:rPr>
        <w:t>氨基丁酸</w:t>
      </w:r>
    </w:p>
    <w:p w:rsidR="00EA40A3" w:rsidRDefault="00E86C16">
      <w:pPr>
        <w:spacing w:before="75" w:line="214" w:lineRule="auto"/>
        <w:rPr>
          <w:rFonts w:ascii="宋体" w:eastAsia="宋体" w:hAnsi="宋体" w:cs="宋体"/>
          <w:sz w:val="16"/>
          <w:szCs w:val="16"/>
        </w:rPr>
      </w:pPr>
      <w:r>
        <w:rPr>
          <w:rFonts w:ascii="宋体" w:eastAsia="宋体" w:hAnsi="宋体" w:cs="宋体"/>
          <w:spacing w:val="-4"/>
          <w:sz w:val="16"/>
          <w:szCs w:val="16"/>
        </w:rPr>
        <w:t>gamma</w:t>
      </w:r>
      <w:r>
        <w:rPr>
          <w:rFonts w:ascii="宋体" w:eastAsia="宋体" w:hAnsi="宋体" w:cs="宋体"/>
          <w:spacing w:val="11"/>
          <w:sz w:val="16"/>
          <w:szCs w:val="16"/>
        </w:rPr>
        <w:t xml:space="preserve"> </w:t>
      </w:r>
      <w:r>
        <w:rPr>
          <w:rFonts w:ascii="宋体" w:eastAsia="宋体" w:hAnsi="宋体" w:cs="宋体"/>
          <w:spacing w:val="-4"/>
          <w:sz w:val="16"/>
          <w:szCs w:val="16"/>
        </w:rPr>
        <w:t>glutamylcyscine,r-glutamylcysteine</w:t>
      </w:r>
      <w:r>
        <w:rPr>
          <w:rFonts w:ascii="宋体" w:eastAsia="宋体" w:hAnsi="宋体" w:cs="宋体"/>
          <w:spacing w:val="30"/>
          <w:sz w:val="16"/>
          <w:szCs w:val="16"/>
        </w:rPr>
        <w:t xml:space="preserve">  </w:t>
      </w:r>
      <w:r>
        <w:rPr>
          <w:rFonts w:ascii="宋体" w:eastAsia="宋体" w:hAnsi="宋体" w:cs="宋体"/>
          <w:spacing w:val="-4"/>
          <w:sz w:val="16"/>
          <w:szCs w:val="16"/>
        </w:rPr>
        <w:t>r-谷</w:t>
      </w:r>
    </w:p>
    <w:p w:rsidR="00EA40A3" w:rsidRDefault="00E86C16">
      <w:pPr>
        <w:spacing w:before="48" w:line="220" w:lineRule="auto"/>
        <w:ind w:left="192"/>
        <w:rPr>
          <w:rFonts w:ascii="宋体" w:eastAsia="宋体" w:hAnsi="宋体" w:cs="宋体"/>
          <w:sz w:val="16"/>
          <w:szCs w:val="16"/>
        </w:rPr>
      </w:pPr>
      <w:r>
        <w:rPr>
          <w:rFonts w:ascii="宋体" w:eastAsia="宋体" w:hAnsi="宋体" w:cs="宋体"/>
          <w:b/>
          <w:bCs/>
          <w:spacing w:val="-7"/>
          <w:sz w:val="16"/>
          <w:szCs w:val="16"/>
        </w:rPr>
        <w:t>氨酰半胱氨酸</w:t>
      </w:r>
    </w:p>
    <w:p w:rsidR="00EA40A3" w:rsidRDefault="00E86C16">
      <w:pPr>
        <w:spacing w:before="84" w:line="215" w:lineRule="auto"/>
        <w:rPr>
          <w:rFonts w:ascii="仿宋" w:eastAsia="仿宋" w:hAnsi="仿宋" w:cs="仿宋"/>
          <w:sz w:val="16"/>
          <w:szCs w:val="16"/>
        </w:rPr>
      </w:pPr>
      <w:r>
        <w:rPr>
          <w:rFonts w:ascii="仿宋" w:eastAsia="仿宋" w:hAnsi="仿宋" w:cs="仿宋"/>
          <w:spacing w:val="-2"/>
          <w:sz w:val="16"/>
          <w:szCs w:val="16"/>
        </w:rPr>
        <w:t>Ganodermu</w:t>
      </w:r>
      <w:r>
        <w:rPr>
          <w:rFonts w:ascii="仿宋" w:eastAsia="仿宋" w:hAnsi="仿宋" w:cs="仿宋"/>
          <w:spacing w:val="82"/>
          <w:sz w:val="16"/>
          <w:szCs w:val="16"/>
        </w:rPr>
        <w:t xml:space="preserve"> </w:t>
      </w:r>
      <w:r>
        <w:rPr>
          <w:rFonts w:ascii="仿宋" w:eastAsia="仿宋" w:hAnsi="仿宋" w:cs="仿宋"/>
          <w:spacing w:val="-2"/>
          <w:sz w:val="16"/>
          <w:szCs w:val="16"/>
        </w:rPr>
        <w:t>lucidum</w:t>
      </w:r>
      <w:r>
        <w:rPr>
          <w:rFonts w:ascii="仿宋" w:eastAsia="仿宋" w:hAnsi="仿宋" w:cs="仿宋"/>
          <w:spacing w:val="54"/>
          <w:sz w:val="16"/>
          <w:szCs w:val="16"/>
        </w:rPr>
        <w:t xml:space="preserve"> </w:t>
      </w:r>
      <w:r>
        <w:rPr>
          <w:rFonts w:ascii="仿宋" w:eastAsia="仿宋" w:hAnsi="仿宋" w:cs="仿宋"/>
          <w:spacing w:val="-2"/>
          <w:sz w:val="16"/>
          <w:szCs w:val="16"/>
        </w:rPr>
        <w:t>polysaccharide,GLP</w:t>
      </w:r>
      <w:r>
        <w:rPr>
          <w:rFonts w:ascii="仿宋" w:eastAsia="仿宋" w:hAnsi="仿宋" w:cs="仿宋"/>
          <w:spacing w:val="31"/>
          <w:w w:val="101"/>
          <w:sz w:val="16"/>
          <w:szCs w:val="16"/>
        </w:rPr>
        <w:t xml:space="preserve">  </w:t>
      </w:r>
      <w:r>
        <w:rPr>
          <w:rFonts w:ascii="仿宋" w:eastAsia="仿宋" w:hAnsi="仿宋" w:cs="仿宋"/>
          <w:spacing w:val="-2"/>
          <w:sz w:val="16"/>
          <w:szCs w:val="16"/>
        </w:rPr>
        <w:t>灵</w:t>
      </w:r>
      <w:r>
        <w:rPr>
          <w:rFonts w:ascii="仿宋" w:eastAsia="仿宋" w:hAnsi="仿宋" w:cs="仿宋"/>
          <w:spacing w:val="13"/>
          <w:sz w:val="16"/>
          <w:szCs w:val="16"/>
        </w:rPr>
        <w:t xml:space="preserve"> </w:t>
      </w:r>
      <w:r>
        <w:rPr>
          <w:rFonts w:ascii="仿宋" w:eastAsia="仿宋" w:hAnsi="仿宋" w:cs="仿宋"/>
          <w:spacing w:val="-2"/>
          <w:sz w:val="16"/>
          <w:szCs w:val="16"/>
        </w:rPr>
        <w:t>芝</w:t>
      </w:r>
    </w:p>
    <w:p w:rsidR="00EA40A3" w:rsidRDefault="00E86C16">
      <w:pPr>
        <w:spacing w:before="47" w:line="222" w:lineRule="auto"/>
        <w:ind w:left="192"/>
        <w:rPr>
          <w:rFonts w:ascii="仿宋" w:eastAsia="仿宋" w:hAnsi="仿宋" w:cs="仿宋"/>
          <w:sz w:val="16"/>
          <w:szCs w:val="16"/>
        </w:rPr>
      </w:pPr>
      <w:r>
        <w:rPr>
          <w:rFonts w:ascii="仿宋" w:eastAsia="仿宋" w:hAnsi="仿宋" w:cs="仿宋"/>
          <w:b/>
          <w:bCs/>
          <w:spacing w:val="2"/>
          <w:sz w:val="16"/>
          <w:szCs w:val="16"/>
        </w:rPr>
        <w:t>多糖</w:t>
      </w:r>
    </w:p>
    <w:p w:rsidR="00EA40A3" w:rsidRDefault="00E86C16">
      <w:pPr>
        <w:spacing w:before="76" w:line="214" w:lineRule="auto"/>
        <w:rPr>
          <w:rFonts w:ascii="宋体" w:eastAsia="宋体" w:hAnsi="宋体" w:cs="宋体"/>
          <w:sz w:val="16"/>
          <w:szCs w:val="16"/>
        </w:rPr>
      </w:pPr>
      <w:r>
        <w:rPr>
          <w:rFonts w:ascii="宋体" w:eastAsia="宋体" w:hAnsi="宋体" w:cs="宋体"/>
          <w:spacing w:val="-4"/>
          <w:sz w:val="16"/>
          <w:szCs w:val="16"/>
        </w:rPr>
        <w:t>gene</w:t>
      </w:r>
      <w:r>
        <w:rPr>
          <w:rFonts w:ascii="宋体" w:eastAsia="宋体" w:hAnsi="宋体" w:cs="宋体"/>
          <w:spacing w:val="-1"/>
          <w:sz w:val="16"/>
          <w:szCs w:val="16"/>
        </w:rPr>
        <w:t xml:space="preserve"> </w:t>
      </w:r>
      <w:r>
        <w:rPr>
          <w:rFonts w:ascii="宋体" w:eastAsia="宋体" w:hAnsi="宋体" w:cs="宋体"/>
          <w:spacing w:val="-4"/>
          <w:sz w:val="16"/>
          <w:szCs w:val="16"/>
        </w:rPr>
        <w:t>polymorphism</w:t>
      </w:r>
      <w:r>
        <w:rPr>
          <w:rFonts w:ascii="宋体" w:eastAsia="宋体" w:hAnsi="宋体" w:cs="宋体"/>
          <w:spacing w:val="59"/>
          <w:w w:val="101"/>
          <w:sz w:val="16"/>
          <w:szCs w:val="16"/>
        </w:rPr>
        <w:t xml:space="preserve"> </w:t>
      </w:r>
      <w:r>
        <w:rPr>
          <w:rFonts w:ascii="宋体" w:eastAsia="宋体" w:hAnsi="宋体" w:cs="宋体"/>
          <w:spacing w:val="-4"/>
          <w:sz w:val="16"/>
          <w:szCs w:val="16"/>
        </w:rPr>
        <w:t>基因多态</w:t>
      </w:r>
      <w:r>
        <w:rPr>
          <w:rFonts w:ascii="宋体" w:eastAsia="宋体" w:hAnsi="宋体" w:cs="宋体"/>
          <w:spacing w:val="-5"/>
          <w:sz w:val="16"/>
          <w:szCs w:val="16"/>
        </w:rPr>
        <w:t>性</w:t>
      </w:r>
    </w:p>
    <w:p w:rsidR="00EA40A3" w:rsidRDefault="00E86C16">
      <w:pPr>
        <w:spacing w:before="65" w:line="251" w:lineRule="auto"/>
        <w:ind w:right="51"/>
        <w:rPr>
          <w:rFonts w:ascii="宋体" w:eastAsia="宋体" w:hAnsi="宋体" w:cs="宋体"/>
          <w:sz w:val="16"/>
          <w:szCs w:val="16"/>
        </w:rPr>
      </w:pPr>
      <w:r>
        <w:rPr>
          <w:rFonts w:ascii="宋体" w:eastAsia="宋体" w:hAnsi="宋体" w:cs="宋体"/>
          <w:spacing w:val="-5"/>
          <w:sz w:val="16"/>
          <w:szCs w:val="16"/>
        </w:rPr>
        <w:t>generally</w:t>
      </w:r>
      <w:r>
        <w:rPr>
          <w:rFonts w:ascii="宋体" w:eastAsia="宋体" w:hAnsi="宋体" w:cs="宋体"/>
          <w:spacing w:val="-2"/>
          <w:sz w:val="16"/>
          <w:szCs w:val="16"/>
        </w:rPr>
        <w:t xml:space="preserve"> </w:t>
      </w:r>
      <w:r>
        <w:rPr>
          <w:rFonts w:ascii="宋体" w:eastAsia="宋体" w:hAnsi="宋体" w:cs="宋体"/>
          <w:spacing w:val="-5"/>
          <w:sz w:val="16"/>
          <w:szCs w:val="16"/>
        </w:rPr>
        <w:t>recognized</w:t>
      </w:r>
      <w:r>
        <w:rPr>
          <w:rFonts w:ascii="宋体" w:eastAsia="宋体" w:hAnsi="宋体" w:cs="宋体"/>
          <w:sz w:val="16"/>
          <w:szCs w:val="16"/>
        </w:rPr>
        <w:t xml:space="preserve"> </w:t>
      </w:r>
      <w:r>
        <w:rPr>
          <w:rFonts w:ascii="宋体" w:eastAsia="宋体" w:hAnsi="宋体" w:cs="宋体"/>
          <w:spacing w:val="-5"/>
          <w:sz w:val="16"/>
          <w:szCs w:val="16"/>
        </w:rPr>
        <w:t>as</w:t>
      </w:r>
      <w:r>
        <w:rPr>
          <w:rFonts w:ascii="宋体" w:eastAsia="宋体" w:hAnsi="宋体" w:cs="宋体"/>
          <w:spacing w:val="6"/>
          <w:sz w:val="16"/>
          <w:szCs w:val="16"/>
        </w:rPr>
        <w:t xml:space="preserve"> </w:t>
      </w:r>
      <w:r>
        <w:rPr>
          <w:rFonts w:ascii="宋体" w:eastAsia="宋体" w:hAnsi="宋体" w:cs="宋体"/>
          <w:spacing w:val="-5"/>
          <w:sz w:val="16"/>
          <w:szCs w:val="16"/>
        </w:rPr>
        <w:t>safe</w:t>
      </w:r>
      <w:r>
        <w:rPr>
          <w:rFonts w:ascii="宋体" w:eastAsia="宋体" w:hAnsi="宋体" w:cs="宋体"/>
          <w:spacing w:val="-6"/>
          <w:sz w:val="16"/>
          <w:szCs w:val="16"/>
        </w:rPr>
        <w:t>,</w:t>
      </w:r>
      <w:r>
        <w:rPr>
          <w:rFonts w:ascii="宋体" w:eastAsia="宋体" w:hAnsi="宋体" w:cs="宋体"/>
          <w:spacing w:val="-5"/>
          <w:sz w:val="16"/>
          <w:szCs w:val="16"/>
        </w:rPr>
        <w:t>GR</w:t>
      </w:r>
      <w:r>
        <w:rPr>
          <w:rFonts w:ascii="宋体" w:eastAsia="宋体" w:hAnsi="宋体" w:cs="宋体"/>
          <w:spacing w:val="-6"/>
          <w:sz w:val="16"/>
          <w:szCs w:val="16"/>
        </w:rPr>
        <w:t>AS</w:t>
      </w:r>
      <w:r>
        <w:rPr>
          <w:rFonts w:ascii="宋体" w:eastAsia="宋体" w:hAnsi="宋体" w:cs="宋体"/>
          <w:spacing w:val="42"/>
          <w:sz w:val="16"/>
          <w:szCs w:val="16"/>
        </w:rPr>
        <w:t xml:space="preserve"> </w:t>
      </w:r>
      <w:r>
        <w:rPr>
          <w:rFonts w:ascii="宋体" w:eastAsia="宋体" w:hAnsi="宋体" w:cs="宋体"/>
          <w:spacing w:val="-6"/>
          <w:sz w:val="16"/>
          <w:szCs w:val="16"/>
        </w:rPr>
        <w:t>公认安全物质</w:t>
      </w:r>
      <w:r>
        <w:rPr>
          <w:rFonts w:ascii="宋体" w:eastAsia="宋体" w:hAnsi="宋体" w:cs="宋体"/>
          <w:sz w:val="16"/>
          <w:szCs w:val="16"/>
        </w:rPr>
        <w:t xml:space="preserve"> </w:t>
      </w:r>
      <w:r>
        <w:rPr>
          <w:rFonts w:ascii="宋体" w:eastAsia="宋体" w:hAnsi="宋体" w:cs="宋体"/>
          <w:spacing w:val="-13"/>
          <w:sz w:val="16"/>
          <w:szCs w:val="16"/>
        </w:rPr>
        <w:t>genetic</w:t>
      </w:r>
      <w:r>
        <w:rPr>
          <w:rFonts w:ascii="宋体" w:eastAsia="宋体" w:hAnsi="宋体" w:cs="宋体"/>
          <w:spacing w:val="-7"/>
          <w:sz w:val="16"/>
          <w:szCs w:val="16"/>
        </w:rPr>
        <w:t xml:space="preserve"> </w:t>
      </w:r>
      <w:r>
        <w:rPr>
          <w:rFonts w:ascii="宋体" w:eastAsia="宋体" w:hAnsi="宋体" w:cs="宋体"/>
          <w:spacing w:val="-13"/>
          <w:sz w:val="16"/>
          <w:szCs w:val="16"/>
        </w:rPr>
        <w:t>predisposition</w:t>
      </w:r>
      <w:r>
        <w:rPr>
          <w:rFonts w:ascii="宋体" w:eastAsia="宋体" w:hAnsi="宋体" w:cs="宋体"/>
          <w:spacing w:val="46"/>
          <w:w w:val="101"/>
          <w:sz w:val="16"/>
          <w:szCs w:val="16"/>
        </w:rPr>
        <w:t xml:space="preserve"> </w:t>
      </w:r>
      <w:r>
        <w:rPr>
          <w:rFonts w:ascii="宋体" w:eastAsia="宋体" w:hAnsi="宋体" w:cs="宋体"/>
          <w:spacing w:val="-13"/>
          <w:sz w:val="16"/>
          <w:szCs w:val="16"/>
        </w:rPr>
        <w:t>遗传素质</w:t>
      </w:r>
    </w:p>
    <w:p w:rsidR="00EA40A3" w:rsidRDefault="00E86C16">
      <w:pPr>
        <w:spacing w:before="65" w:line="250" w:lineRule="exact"/>
        <w:rPr>
          <w:rFonts w:ascii="宋体" w:eastAsia="宋体" w:hAnsi="宋体" w:cs="宋体"/>
          <w:sz w:val="16"/>
          <w:szCs w:val="16"/>
        </w:rPr>
      </w:pPr>
      <w:r>
        <w:rPr>
          <w:rFonts w:ascii="宋体" w:eastAsia="宋体" w:hAnsi="宋体" w:cs="宋体"/>
          <w:spacing w:val="-12"/>
          <w:position w:val="7"/>
          <w:sz w:val="16"/>
          <w:szCs w:val="16"/>
        </w:rPr>
        <w:t>genistein</w:t>
      </w:r>
      <w:r>
        <w:rPr>
          <w:rFonts w:ascii="宋体" w:eastAsia="宋体" w:hAnsi="宋体" w:cs="宋体"/>
          <w:spacing w:val="58"/>
          <w:position w:val="7"/>
          <w:sz w:val="16"/>
          <w:szCs w:val="16"/>
        </w:rPr>
        <w:t xml:space="preserve"> </w:t>
      </w:r>
      <w:r>
        <w:rPr>
          <w:rFonts w:ascii="宋体" w:eastAsia="宋体" w:hAnsi="宋体" w:cs="宋体"/>
          <w:spacing w:val="-12"/>
          <w:position w:val="7"/>
          <w:sz w:val="16"/>
          <w:szCs w:val="16"/>
        </w:rPr>
        <w:t>染料木素</w:t>
      </w:r>
    </w:p>
    <w:p w:rsidR="00EA40A3" w:rsidRDefault="00E86C16">
      <w:pPr>
        <w:spacing w:line="213" w:lineRule="auto"/>
        <w:rPr>
          <w:rFonts w:ascii="宋体" w:eastAsia="宋体" w:hAnsi="宋体" w:cs="宋体"/>
          <w:sz w:val="16"/>
          <w:szCs w:val="16"/>
        </w:rPr>
      </w:pPr>
      <w:r>
        <w:rPr>
          <w:rFonts w:ascii="宋体" w:eastAsia="宋体" w:hAnsi="宋体" w:cs="宋体"/>
          <w:spacing w:val="-12"/>
          <w:sz w:val="16"/>
          <w:szCs w:val="16"/>
        </w:rPr>
        <w:t>genistin</w:t>
      </w:r>
      <w:r>
        <w:rPr>
          <w:rFonts w:ascii="宋体" w:eastAsia="宋体" w:hAnsi="宋体" w:cs="宋体"/>
          <w:spacing w:val="56"/>
          <w:sz w:val="16"/>
          <w:szCs w:val="16"/>
        </w:rPr>
        <w:t xml:space="preserve"> </w:t>
      </w:r>
      <w:r>
        <w:rPr>
          <w:rFonts w:ascii="宋体" w:eastAsia="宋体" w:hAnsi="宋体" w:cs="宋体"/>
          <w:spacing w:val="-12"/>
          <w:sz w:val="16"/>
          <w:szCs w:val="16"/>
        </w:rPr>
        <w:t>染料木苷</w:t>
      </w:r>
    </w:p>
    <w:p w:rsidR="00EA40A3" w:rsidRDefault="00E86C16">
      <w:pPr>
        <w:spacing w:before="65" w:line="214" w:lineRule="auto"/>
        <w:rPr>
          <w:rFonts w:ascii="宋体" w:eastAsia="宋体" w:hAnsi="宋体" w:cs="宋体"/>
          <w:sz w:val="16"/>
          <w:szCs w:val="16"/>
        </w:rPr>
      </w:pPr>
      <w:r>
        <w:rPr>
          <w:rFonts w:ascii="宋体" w:eastAsia="宋体" w:hAnsi="宋体" w:cs="宋体"/>
          <w:spacing w:val="-12"/>
          <w:sz w:val="16"/>
          <w:szCs w:val="16"/>
        </w:rPr>
        <w:t>gestational</w:t>
      </w:r>
      <w:r>
        <w:rPr>
          <w:rFonts w:ascii="宋体" w:eastAsia="宋体" w:hAnsi="宋体" w:cs="宋体"/>
          <w:spacing w:val="9"/>
          <w:sz w:val="16"/>
          <w:szCs w:val="16"/>
        </w:rPr>
        <w:t xml:space="preserve"> </w:t>
      </w:r>
      <w:r>
        <w:rPr>
          <w:rFonts w:ascii="宋体" w:eastAsia="宋体" w:hAnsi="宋体" w:cs="宋体"/>
          <w:spacing w:val="-12"/>
          <w:sz w:val="16"/>
          <w:szCs w:val="16"/>
        </w:rPr>
        <w:t>diabetesmellitus</w:t>
      </w:r>
      <w:r>
        <w:rPr>
          <w:rFonts w:ascii="宋体" w:eastAsia="宋体" w:hAnsi="宋体" w:cs="宋体"/>
          <w:spacing w:val="30"/>
          <w:w w:val="101"/>
          <w:sz w:val="16"/>
          <w:szCs w:val="16"/>
        </w:rPr>
        <w:t xml:space="preserve"> </w:t>
      </w:r>
      <w:r>
        <w:rPr>
          <w:rFonts w:ascii="宋体" w:eastAsia="宋体" w:hAnsi="宋体" w:cs="宋体"/>
          <w:spacing w:val="-12"/>
          <w:sz w:val="16"/>
          <w:szCs w:val="16"/>
        </w:rPr>
        <w:t>妊娠期糖尿病</w:t>
      </w:r>
    </w:p>
    <w:p w:rsidR="00EA40A3" w:rsidRDefault="00E86C16">
      <w:pPr>
        <w:spacing w:before="64" w:line="243" w:lineRule="auto"/>
        <w:ind w:right="277"/>
        <w:rPr>
          <w:rFonts w:ascii="宋体" w:eastAsia="宋体" w:hAnsi="宋体" w:cs="宋体"/>
          <w:sz w:val="16"/>
          <w:szCs w:val="16"/>
        </w:rPr>
      </w:pPr>
      <w:r>
        <w:rPr>
          <w:rFonts w:ascii="宋体" w:eastAsia="宋体" w:hAnsi="宋体" w:cs="宋体"/>
          <w:spacing w:val="-6"/>
          <w:sz w:val="16"/>
          <w:szCs w:val="16"/>
        </w:rPr>
        <w:t>glucose</w:t>
      </w:r>
      <w:r>
        <w:rPr>
          <w:rFonts w:ascii="宋体" w:eastAsia="宋体" w:hAnsi="宋体" w:cs="宋体"/>
          <w:spacing w:val="10"/>
          <w:sz w:val="16"/>
          <w:szCs w:val="16"/>
        </w:rPr>
        <w:t xml:space="preserve"> </w:t>
      </w:r>
      <w:r>
        <w:rPr>
          <w:rFonts w:ascii="宋体" w:eastAsia="宋体" w:hAnsi="宋体" w:cs="宋体"/>
          <w:spacing w:val="-6"/>
          <w:sz w:val="16"/>
          <w:szCs w:val="16"/>
        </w:rPr>
        <w:t>tolerance</w:t>
      </w:r>
      <w:r>
        <w:rPr>
          <w:rFonts w:ascii="宋体" w:eastAsia="宋体" w:hAnsi="宋体" w:cs="宋体"/>
          <w:spacing w:val="2"/>
          <w:sz w:val="16"/>
          <w:szCs w:val="16"/>
        </w:rPr>
        <w:t xml:space="preserve"> </w:t>
      </w:r>
      <w:r>
        <w:rPr>
          <w:rFonts w:ascii="宋体" w:eastAsia="宋体" w:hAnsi="宋体" w:cs="宋体"/>
          <w:spacing w:val="-6"/>
          <w:sz w:val="16"/>
          <w:szCs w:val="16"/>
        </w:rPr>
        <w:t>factor,GTF</w:t>
      </w:r>
      <w:r>
        <w:rPr>
          <w:rFonts w:ascii="宋体" w:eastAsia="宋体" w:hAnsi="宋体" w:cs="宋体"/>
          <w:spacing w:val="57"/>
          <w:sz w:val="16"/>
          <w:szCs w:val="16"/>
        </w:rPr>
        <w:t xml:space="preserve"> </w:t>
      </w:r>
      <w:r>
        <w:rPr>
          <w:rFonts w:ascii="宋体" w:eastAsia="宋体" w:hAnsi="宋体" w:cs="宋体"/>
          <w:spacing w:val="-6"/>
          <w:sz w:val="16"/>
          <w:szCs w:val="16"/>
        </w:rPr>
        <w:t>葡萄糖耐量因子</w:t>
      </w:r>
      <w:r>
        <w:rPr>
          <w:rFonts w:ascii="宋体" w:eastAsia="宋体" w:hAnsi="宋体" w:cs="宋体"/>
          <w:sz w:val="16"/>
          <w:szCs w:val="16"/>
        </w:rPr>
        <w:t xml:space="preserve"> </w:t>
      </w:r>
      <w:r>
        <w:rPr>
          <w:rFonts w:ascii="Times New Roman" w:eastAsia="Times New Roman" w:hAnsi="Times New Roman" w:cs="Times New Roman"/>
          <w:spacing w:val="-2"/>
          <w:sz w:val="16"/>
          <w:szCs w:val="16"/>
        </w:rPr>
        <w:t>glucose</w:t>
      </w:r>
      <w:r>
        <w:rPr>
          <w:rFonts w:ascii="Times New Roman" w:eastAsia="Times New Roman" w:hAnsi="Times New Roman" w:cs="Times New Roman"/>
          <w:spacing w:val="10"/>
          <w:w w:val="102"/>
          <w:sz w:val="16"/>
          <w:szCs w:val="16"/>
        </w:rPr>
        <w:t xml:space="preserve">   </w:t>
      </w:r>
      <w:r>
        <w:rPr>
          <w:rFonts w:ascii="宋体" w:eastAsia="宋体" w:hAnsi="宋体" w:cs="宋体"/>
          <w:b/>
          <w:bCs/>
          <w:spacing w:val="-2"/>
          <w:sz w:val="16"/>
          <w:szCs w:val="16"/>
        </w:rPr>
        <w:t>葡萄糖</w:t>
      </w:r>
    </w:p>
    <w:p w:rsidR="00EA40A3" w:rsidRDefault="00E86C16">
      <w:pPr>
        <w:spacing w:before="79" w:line="214" w:lineRule="auto"/>
        <w:rPr>
          <w:rFonts w:ascii="宋体" w:eastAsia="宋体" w:hAnsi="宋体" w:cs="宋体"/>
          <w:sz w:val="16"/>
          <w:szCs w:val="16"/>
        </w:rPr>
      </w:pPr>
      <w:r>
        <w:rPr>
          <w:rFonts w:ascii="宋体" w:eastAsia="宋体" w:hAnsi="宋体" w:cs="宋体"/>
          <w:spacing w:val="-1"/>
          <w:sz w:val="16"/>
          <w:szCs w:val="16"/>
        </w:rPr>
        <w:t>glutamine,Gln</w:t>
      </w:r>
      <w:r>
        <w:rPr>
          <w:rFonts w:ascii="宋体" w:eastAsia="宋体" w:hAnsi="宋体" w:cs="宋体"/>
          <w:spacing w:val="70"/>
          <w:sz w:val="16"/>
          <w:szCs w:val="16"/>
        </w:rPr>
        <w:t xml:space="preserve"> </w:t>
      </w:r>
      <w:r>
        <w:rPr>
          <w:rFonts w:ascii="宋体" w:eastAsia="宋体" w:hAnsi="宋体" w:cs="宋体"/>
          <w:spacing w:val="-1"/>
          <w:sz w:val="16"/>
          <w:szCs w:val="16"/>
        </w:rPr>
        <w:t>谷氨酰胺</w:t>
      </w:r>
    </w:p>
    <w:p w:rsidR="00EA40A3" w:rsidRDefault="00E86C16">
      <w:pPr>
        <w:spacing w:before="65" w:line="251" w:lineRule="auto"/>
        <w:ind w:right="33"/>
        <w:rPr>
          <w:rFonts w:ascii="宋体" w:eastAsia="宋体" w:hAnsi="宋体" w:cs="宋体"/>
          <w:sz w:val="16"/>
          <w:szCs w:val="16"/>
        </w:rPr>
      </w:pPr>
      <w:r>
        <w:rPr>
          <w:rFonts w:ascii="宋体" w:eastAsia="宋体" w:hAnsi="宋体" w:cs="宋体"/>
          <w:spacing w:val="-4"/>
          <w:sz w:val="16"/>
          <w:szCs w:val="16"/>
        </w:rPr>
        <w:t>glutathione</w:t>
      </w:r>
      <w:r>
        <w:rPr>
          <w:rFonts w:ascii="宋体" w:eastAsia="宋体" w:hAnsi="宋体" w:cs="宋体"/>
          <w:spacing w:val="14"/>
          <w:sz w:val="16"/>
          <w:szCs w:val="16"/>
        </w:rPr>
        <w:t xml:space="preserve"> </w:t>
      </w:r>
      <w:r>
        <w:rPr>
          <w:rFonts w:ascii="宋体" w:eastAsia="宋体" w:hAnsi="宋体" w:cs="宋体"/>
          <w:spacing w:val="-4"/>
          <w:sz w:val="16"/>
          <w:szCs w:val="16"/>
        </w:rPr>
        <w:t>peroxidase,GPX</w:t>
      </w:r>
      <w:r>
        <w:rPr>
          <w:rFonts w:ascii="宋体" w:eastAsia="宋体" w:hAnsi="宋体" w:cs="宋体"/>
          <w:spacing w:val="47"/>
          <w:sz w:val="16"/>
          <w:szCs w:val="16"/>
        </w:rPr>
        <w:t xml:space="preserve"> </w:t>
      </w:r>
      <w:r>
        <w:rPr>
          <w:rFonts w:ascii="宋体" w:eastAsia="宋体" w:hAnsi="宋体" w:cs="宋体"/>
          <w:spacing w:val="-4"/>
          <w:sz w:val="16"/>
          <w:szCs w:val="16"/>
        </w:rPr>
        <w:t>谷胱甘肽过氧化物酶</w:t>
      </w:r>
      <w:r>
        <w:rPr>
          <w:rFonts w:ascii="宋体" w:eastAsia="宋体" w:hAnsi="宋体" w:cs="宋体"/>
          <w:sz w:val="16"/>
          <w:szCs w:val="16"/>
        </w:rPr>
        <w:t xml:space="preserve"> </w:t>
      </w:r>
      <w:r>
        <w:rPr>
          <w:rFonts w:ascii="宋体" w:eastAsia="宋体" w:hAnsi="宋体" w:cs="宋体"/>
          <w:spacing w:val="-1"/>
          <w:sz w:val="16"/>
          <w:szCs w:val="16"/>
        </w:rPr>
        <w:t>glutathione</w:t>
      </w:r>
      <w:r>
        <w:rPr>
          <w:rFonts w:ascii="宋体" w:eastAsia="宋体" w:hAnsi="宋体" w:cs="宋体"/>
          <w:spacing w:val="17"/>
          <w:sz w:val="16"/>
          <w:szCs w:val="16"/>
        </w:rPr>
        <w:t xml:space="preserve"> </w:t>
      </w:r>
      <w:r>
        <w:rPr>
          <w:rFonts w:ascii="宋体" w:eastAsia="宋体" w:hAnsi="宋体" w:cs="宋体"/>
          <w:spacing w:val="-1"/>
          <w:sz w:val="16"/>
          <w:szCs w:val="16"/>
        </w:rPr>
        <w:t>peroxidase,GSH-Px</w:t>
      </w:r>
      <w:r>
        <w:rPr>
          <w:rFonts w:ascii="宋体" w:eastAsia="宋体" w:hAnsi="宋体" w:cs="宋体"/>
          <w:spacing w:val="53"/>
          <w:w w:val="101"/>
          <w:sz w:val="16"/>
          <w:szCs w:val="16"/>
        </w:rPr>
        <w:t xml:space="preserve"> </w:t>
      </w:r>
      <w:r>
        <w:rPr>
          <w:rFonts w:ascii="宋体" w:eastAsia="宋体" w:hAnsi="宋体" w:cs="宋体"/>
          <w:spacing w:val="-1"/>
          <w:sz w:val="16"/>
          <w:szCs w:val="16"/>
        </w:rPr>
        <w:t>谷胱甘肽过氧化</w:t>
      </w:r>
    </w:p>
    <w:p w:rsidR="00EA40A3" w:rsidRDefault="00E86C16">
      <w:pPr>
        <w:spacing w:before="138" w:line="219" w:lineRule="auto"/>
        <w:ind w:left="192"/>
        <w:rPr>
          <w:rFonts w:ascii="宋体" w:eastAsia="宋体" w:hAnsi="宋体" w:cs="宋体"/>
          <w:sz w:val="16"/>
          <w:szCs w:val="16"/>
        </w:rPr>
      </w:pPr>
      <w:r>
        <w:rPr>
          <w:rFonts w:ascii="宋体" w:eastAsia="宋体" w:hAnsi="宋体" w:cs="宋体"/>
          <w:b/>
          <w:bCs/>
          <w:spacing w:val="-4"/>
          <w:sz w:val="16"/>
          <w:szCs w:val="16"/>
        </w:rPr>
        <w:t>物酶</w:t>
      </w:r>
    </w:p>
    <w:p w:rsidR="00EA40A3" w:rsidRDefault="00E86C16">
      <w:pPr>
        <w:spacing w:before="67" w:line="214" w:lineRule="auto"/>
        <w:rPr>
          <w:rFonts w:ascii="宋体" w:eastAsia="宋体" w:hAnsi="宋体" w:cs="宋体"/>
          <w:sz w:val="16"/>
          <w:szCs w:val="16"/>
        </w:rPr>
      </w:pPr>
      <w:r>
        <w:rPr>
          <w:rFonts w:ascii="宋体" w:eastAsia="宋体" w:hAnsi="宋体" w:cs="宋体"/>
          <w:spacing w:val="-1"/>
          <w:sz w:val="16"/>
          <w:szCs w:val="16"/>
        </w:rPr>
        <w:t>glutathione,GSH</w:t>
      </w:r>
      <w:r>
        <w:rPr>
          <w:rFonts w:ascii="宋体" w:eastAsia="宋体" w:hAnsi="宋体" w:cs="宋体"/>
          <w:spacing w:val="6"/>
          <w:sz w:val="16"/>
          <w:szCs w:val="16"/>
        </w:rPr>
        <w:t xml:space="preserve">  </w:t>
      </w:r>
      <w:r>
        <w:rPr>
          <w:rFonts w:ascii="宋体" w:eastAsia="宋体" w:hAnsi="宋体" w:cs="宋体"/>
          <w:spacing w:val="-1"/>
          <w:sz w:val="16"/>
          <w:szCs w:val="16"/>
        </w:rPr>
        <w:t>谷胱甘肽</w:t>
      </w:r>
    </w:p>
    <w:p w:rsidR="00EA40A3" w:rsidRDefault="00E86C16">
      <w:pPr>
        <w:spacing w:before="65" w:line="250" w:lineRule="exact"/>
        <w:rPr>
          <w:rFonts w:ascii="宋体" w:eastAsia="宋体" w:hAnsi="宋体" w:cs="宋体"/>
          <w:sz w:val="16"/>
          <w:szCs w:val="16"/>
        </w:rPr>
      </w:pPr>
      <w:r>
        <w:rPr>
          <w:rFonts w:ascii="宋体" w:eastAsia="宋体" w:hAnsi="宋体" w:cs="宋体"/>
          <w:spacing w:val="-4"/>
          <w:position w:val="7"/>
          <w:sz w:val="16"/>
          <w:szCs w:val="16"/>
        </w:rPr>
        <w:t>glycemic</w:t>
      </w:r>
      <w:r>
        <w:rPr>
          <w:rFonts w:ascii="宋体" w:eastAsia="宋体" w:hAnsi="宋体" w:cs="宋体"/>
          <w:spacing w:val="15"/>
          <w:position w:val="7"/>
          <w:sz w:val="16"/>
          <w:szCs w:val="16"/>
        </w:rPr>
        <w:t xml:space="preserve"> </w:t>
      </w:r>
      <w:r>
        <w:rPr>
          <w:rFonts w:ascii="宋体" w:eastAsia="宋体" w:hAnsi="宋体" w:cs="宋体"/>
          <w:spacing w:val="-4"/>
          <w:position w:val="7"/>
          <w:sz w:val="16"/>
          <w:szCs w:val="16"/>
        </w:rPr>
        <w:t>index,GI</w:t>
      </w:r>
      <w:r>
        <w:rPr>
          <w:rFonts w:ascii="宋体" w:eastAsia="宋体" w:hAnsi="宋体" w:cs="宋体"/>
          <w:spacing w:val="55"/>
          <w:position w:val="7"/>
          <w:sz w:val="16"/>
          <w:szCs w:val="16"/>
        </w:rPr>
        <w:t xml:space="preserve"> </w:t>
      </w:r>
      <w:r>
        <w:rPr>
          <w:rFonts w:ascii="宋体" w:eastAsia="宋体" w:hAnsi="宋体" w:cs="宋体"/>
          <w:spacing w:val="-4"/>
          <w:position w:val="7"/>
          <w:sz w:val="16"/>
          <w:szCs w:val="16"/>
        </w:rPr>
        <w:t>血糖生成指数</w:t>
      </w:r>
    </w:p>
    <w:p w:rsidR="00EA40A3" w:rsidRDefault="00E86C16">
      <w:pPr>
        <w:spacing w:line="205" w:lineRule="auto"/>
        <w:rPr>
          <w:rFonts w:ascii="宋体" w:eastAsia="宋体" w:hAnsi="宋体" w:cs="宋体"/>
          <w:sz w:val="16"/>
          <w:szCs w:val="16"/>
        </w:rPr>
      </w:pPr>
      <w:r>
        <w:rPr>
          <w:rFonts w:ascii="宋体" w:eastAsia="宋体" w:hAnsi="宋体" w:cs="宋体"/>
          <w:spacing w:val="-14"/>
          <w:sz w:val="16"/>
          <w:szCs w:val="16"/>
        </w:rPr>
        <w:t>glycitein</w:t>
      </w:r>
      <w:r>
        <w:rPr>
          <w:rFonts w:ascii="宋体" w:eastAsia="宋体" w:hAnsi="宋体" w:cs="宋体"/>
          <w:spacing w:val="66"/>
          <w:w w:val="101"/>
          <w:sz w:val="16"/>
          <w:szCs w:val="16"/>
        </w:rPr>
        <w:t xml:space="preserve"> </w:t>
      </w:r>
      <w:r>
        <w:rPr>
          <w:rFonts w:ascii="宋体" w:eastAsia="宋体" w:hAnsi="宋体" w:cs="宋体"/>
          <w:spacing w:val="-14"/>
          <w:sz w:val="16"/>
          <w:szCs w:val="16"/>
        </w:rPr>
        <w:t>黄豆黄素</w:t>
      </w:r>
    </w:p>
    <w:p w:rsidR="00EA40A3" w:rsidRDefault="00E86C16">
      <w:pPr>
        <w:spacing w:line="14" w:lineRule="auto"/>
        <w:rPr>
          <w:sz w:val="2"/>
        </w:rPr>
      </w:pPr>
      <w:r>
        <w:rPr>
          <w:sz w:val="2"/>
          <w:szCs w:val="2"/>
        </w:rPr>
        <w:br w:type="column"/>
      </w:r>
    </w:p>
    <w:p w:rsidR="00EA40A3" w:rsidRDefault="00E86C16">
      <w:pPr>
        <w:spacing w:before="30" w:line="250" w:lineRule="exact"/>
        <w:rPr>
          <w:rFonts w:ascii="宋体" w:eastAsia="宋体" w:hAnsi="宋体" w:cs="宋体"/>
          <w:sz w:val="16"/>
          <w:szCs w:val="16"/>
        </w:rPr>
      </w:pPr>
      <w:r>
        <w:rPr>
          <w:rFonts w:ascii="Times New Roman" w:eastAsia="Times New Roman" w:hAnsi="Times New Roman" w:cs="Times New Roman"/>
          <w:spacing w:val="-2"/>
          <w:position w:val="6"/>
          <w:sz w:val="16"/>
          <w:szCs w:val="16"/>
        </w:rPr>
        <w:t>health</w:t>
      </w:r>
      <w:r>
        <w:rPr>
          <w:rFonts w:ascii="Times New Roman" w:eastAsia="Times New Roman" w:hAnsi="Times New Roman" w:cs="Times New Roman"/>
          <w:spacing w:val="13"/>
          <w:w w:val="102"/>
          <w:position w:val="6"/>
          <w:sz w:val="16"/>
          <w:szCs w:val="16"/>
        </w:rPr>
        <w:t xml:space="preserve"> </w:t>
      </w:r>
      <w:r>
        <w:rPr>
          <w:rFonts w:ascii="Times New Roman" w:eastAsia="Times New Roman" w:hAnsi="Times New Roman" w:cs="Times New Roman"/>
          <w:spacing w:val="-2"/>
          <w:position w:val="6"/>
          <w:sz w:val="16"/>
          <w:szCs w:val="16"/>
        </w:rPr>
        <w:t>food</w:t>
      </w:r>
      <w:r>
        <w:rPr>
          <w:rFonts w:ascii="Times New Roman" w:eastAsia="Times New Roman" w:hAnsi="Times New Roman" w:cs="Times New Roman"/>
          <w:spacing w:val="9"/>
          <w:position w:val="6"/>
          <w:sz w:val="16"/>
          <w:szCs w:val="16"/>
        </w:rPr>
        <w:t xml:space="preserve">   </w:t>
      </w:r>
      <w:r>
        <w:rPr>
          <w:rFonts w:ascii="宋体" w:eastAsia="宋体" w:hAnsi="宋体" w:cs="宋体"/>
          <w:b/>
          <w:bCs/>
          <w:spacing w:val="-2"/>
          <w:position w:val="6"/>
          <w:sz w:val="16"/>
          <w:szCs w:val="16"/>
        </w:rPr>
        <w:t>保健食品</w:t>
      </w:r>
    </w:p>
    <w:p w:rsidR="00EA40A3" w:rsidRDefault="00E86C16">
      <w:pPr>
        <w:spacing w:line="219" w:lineRule="auto"/>
        <w:rPr>
          <w:rFonts w:ascii="宋体" w:eastAsia="宋体" w:hAnsi="宋体" w:cs="宋体"/>
          <w:sz w:val="16"/>
          <w:szCs w:val="16"/>
        </w:rPr>
      </w:pPr>
      <w:r>
        <w:rPr>
          <w:rFonts w:ascii="Times New Roman" w:eastAsia="Times New Roman" w:hAnsi="Times New Roman" w:cs="Times New Roman"/>
          <w:spacing w:val="-1"/>
          <w:sz w:val="16"/>
          <w:szCs w:val="16"/>
        </w:rPr>
        <w:t>health</w:t>
      </w:r>
      <w:r>
        <w:rPr>
          <w:rFonts w:ascii="Times New Roman" w:eastAsia="Times New Roman" w:hAnsi="Times New Roman" w:cs="Times New Roman"/>
          <w:sz w:val="16"/>
          <w:szCs w:val="16"/>
        </w:rPr>
        <w:t xml:space="preserve">    </w:t>
      </w:r>
      <w:r>
        <w:rPr>
          <w:rFonts w:ascii="宋体" w:eastAsia="宋体" w:hAnsi="宋体" w:cs="宋体"/>
          <w:b/>
          <w:bCs/>
          <w:spacing w:val="-1"/>
          <w:sz w:val="16"/>
          <w:szCs w:val="16"/>
        </w:rPr>
        <w:t>健康</w:t>
      </w:r>
    </w:p>
    <w:p w:rsidR="00EA40A3" w:rsidRDefault="00E86C16">
      <w:pPr>
        <w:spacing w:before="68" w:line="214" w:lineRule="auto"/>
        <w:rPr>
          <w:rFonts w:ascii="宋体" w:eastAsia="宋体" w:hAnsi="宋体" w:cs="宋体"/>
          <w:sz w:val="16"/>
          <w:szCs w:val="16"/>
        </w:rPr>
      </w:pPr>
      <w:r>
        <w:rPr>
          <w:rFonts w:ascii="宋体" w:eastAsia="宋体" w:hAnsi="宋体" w:cs="宋体"/>
          <w:spacing w:val="-5"/>
          <w:sz w:val="16"/>
          <w:szCs w:val="16"/>
        </w:rPr>
        <w:t>hematocrit</w:t>
      </w:r>
      <w:r>
        <w:rPr>
          <w:rFonts w:ascii="宋体" w:eastAsia="宋体" w:hAnsi="宋体" w:cs="宋体"/>
          <w:spacing w:val="2"/>
          <w:sz w:val="16"/>
          <w:szCs w:val="16"/>
        </w:rPr>
        <w:t xml:space="preserve"> </w:t>
      </w:r>
      <w:r>
        <w:rPr>
          <w:rFonts w:ascii="宋体" w:eastAsia="宋体" w:hAnsi="宋体" w:cs="宋体"/>
          <w:spacing w:val="-5"/>
          <w:sz w:val="16"/>
          <w:szCs w:val="16"/>
        </w:rPr>
        <w:t>or</w:t>
      </w:r>
      <w:r>
        <w:rPr>
          <w:rFonts w:ascii="宋体" w:eastAsia="宋体" w:hAnsi="宋体" w:cs="宋体"/>
          <w:sz w:val="16"/>
          <w:szCs w:val="16"/>
        </w:rPr>
        <w:t xml:space="preserve"> </w:t>
      </w:r>
      <w:r>
        <w:rPr>
          <w:rFonts w:ascii="宋体" w:eastAsia="宋体" w:hAnsi="宋体" w:cs="宋体"/>
          <w:spacing w:val="-5"/>
          <w:sz w:val="16"/>
          <w:szCs w:val="16"/>
        </w:rPr>
        <w:t>packed</w:t>
      </w:r>
      <w:r>
        <w:rPr>
          <w:rFonts w:ascii="宋体" w:eastAsia="宋体" w:hAnsi="宋体" w:cs="宋体"/>
          <w:spacing w:val="4"/>
          <w:sz w:val="16"/>
          <w:szCs w:val="16"/>
        </w:rPr>
        <w:t xml:space="preserve"> </w:t>
      </w:r>
      <w:r>
        <w:rPr>
          <w:rFonts w:ascii="宋体" w:eastAsia="宋体" w:hAnsi="宋体" w:cs="宋体"/>
          <w:spacing w:val="-5"/>
          <w:sz w:val="16"/>
          <w:szCs w:val="16"/>
        </w:rPr>
        <w:t>cell</w:t>
      </w:r>
      <w:r>
        <w:rPr>
          <w:rFonts w:ascii="宋体" w:eastAsia="宋体" w:hAnsi="宋体" w:cs="宋体"/>
          <w:spacing w:val="1"/>
          <w:sz w:val="16"/>
          <w:szCs w:val="16"/>
        </w:rPr>
        <w:t xml:space="preserve"> </w:t>
      </w:r>
      <w:r>
        <w:rPr>
          <w:rFonts w:ascii="宋体" w:eastAsia="宋体" w:hAnsi="宋体" w:cs="宋体"/>
          <w:spacing w:val="-6"/>
          <w:sz w:val="16"/>
          <w:szCs w:val="16"/>
        </w:rPr>
        <w:t>volume,HCT</w:t>
      </w:r>
      <w:r>
        <w:rPr>
          <w:rFonts w:ascii="宋体" w:eastAsia="宋体" w:hAnsi="宋体" w:cs="宋体"/>
          <w:spacing w:val="3"/>
          <w:sz w:val="16"/>
          <w:szCs w:val="16"/>
        </w:rPr>
        <w:t xml:space="preserve"> </w:t>
      </w:r>
      <w:r>
        <w:rPr>
          <w:rFonts w:ascii="宋体" w:eastAsia="宋体" w:hAnsi="宋体" w:cs="宋体"/>
          <w:spacing w:val="-6"/>
          <w:sz w:val="16"/>
          <w:szCs w:val="16"/>
        </w:rPr>
        <w:t>or</w:t>
      </w:r>
      <w:r>
        <w:rPr>
          <w:rFonts w:ascii="宋体" w:eastAsia="宋体" w:hAnsi="宋体" w:cs="宋体"/>
          <w:spacing w:val="-1"/>
          <w:sz w:val="16"/>
          <w:szCs w:val="16"/>
        </w:rPr>
        <w:t xml:space="preserve"> </w:t>
      </w:r>
      <w:r>
        <w:rPr>
          <w:rFonts w:ascii="宋体" w:eastAsia="宋体" w:hAnsi="宋体" w:cs="宋体"/>
          <w:spacing w:val="-6"/>
          <w:sz w:val="16"/>
          <w:szCs w:val="16"/>
        </w:rPr>
        <w:t>PCV</w:t>
      </w:r>
      <w:r>
        <w:rPr>
          <w:rFonts w:ascii="宋体" w:eastAsia="宋体" w:hAnsi="宋体" w:cs="宋体"/>
          <w:spacing w:val="46"/>
          <w:sz w:val="16"/>
          <w:szCs w:val="16"/>
        </w:rPr>
        <w:t xml:space="preserve"> </w:t>
      </w:r>
      <w:r>
        <w:rPr>
          <w:rFonts w:ascii="宋体" w:eastAsia="宋体" w:hAnsi="宋体" w:cs="宋体"/>
          <w:spacing w:val="-6"/>
          <w:sz w:val="16"/>
          <w:szCs w:val="16"/>
        </w:rPr>
        <w:t>红</w:t>
      </w:r>
    </w:p>
    <w:p w:rsidR="00EA40A3" w:rsidRDefault="00E86C16">
      <w:pPr>
        <w:spacing w:before="74" w:line="220" w:lineRule="auto"/>
        <w:ind w:left="179"/>
        <w:rPr>
          <w:rFonts w:ascii="宋体" w:eastAsia="宋体" w:hAnsi="宋体" w:cs="宋体"/>
          <w:sz w:val="16"/>
          <w:szCs w:val="16"/>
        </w:rPr>
      </w:pPr>
      <w:r>
        <w:rPr>
          <w:rFonts w:ascii="宋体" w:eastAsia="宋体" w:hAnsi="宋体" w:cs="宋体"/>
          <w:spacing w:val="-2"/>
          <w:sz w:val="16"/>
          <w:szCs w:val="16"/>
        </w:rPr>
        <w:t>细胞压积</w:t>
      </w:r>
    </w:p>
    <w:p w:rsidR="00EA40A3" w:rsidRDefault="00E86C16">
      <w:pPr>
        <w:spacing w:before="58" w:line="265" w:lineRule="exact"/>
        <w:rPr>
          <w:rFonts w:ascii="宋体" w:eastAsia="宋体" w:hAnsi="宋体" w:cs="宋体"/>
          <w:sz w:val="16"/>
          <w:szCs w:val="16"/>
        </w:rPr>
      </w:pPr>
      <w:r>
        <w:rPr>
          <w:rFonts w:ascii="宋体" w:eastAsia="宋体" w:hAnsi="宋体" w:cs="宋体"/>
          <w:spacing w:val="-1"/>
          <w:position w:val="8"/>
          <w:sz w:val="16"/>
          <w:szCs w:val="16"/>
        </w:rPr>
        <w:t>hemoglobin,Hb</w:t>
      </w:r>
      <w:r>
        <w:rPr>
          <w:rFonts w:ascii="宋体" w:eastAsia="宋体" w:hAnsi="宋体" w:cs="宋体"/>
          <w:spacing w:val="20"/>
          <w:position w:val="8"/>
          <w:sz w:val="16"/>
          <w:szCs w:val="16"/>
        </w:rPr>
        <w:t xml:space="preserve">  </w:t>
      </w:r>
      <w:r>
        <w:rPr>
          <w:rFonts w:ascii="宋体" w:eastAsia="宋体" w:hAnsi="宋体" w:cs="宋体"/>
          <w:spacing w:val="-1"/>
          <w:position w:val="8"/>
          <w:sz w:val="16"/>
          <w:szCs w:val="16"/>
        </w:rPr>
        <w:t>血红蛋白</w:t>
      </w:r>
    </w:p>
    <w:p w:rsidR="00EA40A3" w:rsidRDefault="00E86C16">
      <w:pPr>
        <w:spacing w:line="219" w:lineRule="auto"/>
        <w:rPr>
          <w:rFonts w:ascii="宋体" w:eastAsia="宋体" w:hAnsi="宋体" w:cs="宋体"/>
          <w:sz w:val="16"/>
          <w:szCs w:val="16"/>
        </w:rPr>
      </w:pPr>
      <w:r>
        <w:rPr>
          <w:rFonts w:ascii="宋体" w:eastAsia="宋体" w:hAnsi="宋体" w:cs="宋体"/>
          <w:spacing w:val="-7"/>
          <w:sz w:val="16"/>
          <w:szCs w:val="16"/>
        </w:rPr>
        <w:t>hemosiderin</w:t>
      </w:r>
      <w:r>
        <w:rPr>
          <w:rFonts w:ascii="宋体" w:eastAsia="宋体" w:hAnsi="宋体" w:cs="宋体"/>
          <w:spacing w:val="65"/>
          <w:w w:val="101"/>
          <w:sz w:val="16"/>
          <w:szCs w:val="16"/>
        </w:rPr>
        <w:t xml:space="preserve"> </w:t>
      </w:r>
      <w:r>
        <w:rPr>
          <w:rFonts w:ascii="宋体" w:eastAsia="宋体" w:hAnsi="宋体" w:cs="宋体"/>
          <w:spacing w:val="-7"/>
          <w:sz w:val="16"/>
          <w:szCs w:val="16"/>
        </w:rPr>
        <w:t>含铁血黄素</w:t>
      </w:r>
    </w:p>
    <w:p w:rsidR="00EA40A3" w:rsidRDefault="00E86C16">
      <w:pPr>
        <w:spacing w:before="76" w:line="214" w:lineRule="auto"/>
        <w:rPr>
          <w:rFonts w:ascii="宋体" w:eastAsia="宋体" w:hAnsi="宋体" w:cs="宋体"/>
          <w:sz w:val="16"/>
          <w:szCs w:val="16"/>
        </w:rPr>
      </w:pPr>
      <w:r>
        <w:rPr>
          <w:rFonts w:ascii="宋体" w:eastAsia="宋体" w:hAnsi="宋体" w:cs="宋体"/>
          <w:spacing w:val="-10"/>
          <w:sz w:val="16"/>
          <w:szCs w:val="16"/>
        </w:rPr>
        <w:t>heparin</w:t>
      </w:r>
      <w:r>
        <w:rPr>
          <w:rFonts w:ascii="宋体" w:eastAsia="宋体" w:hAnsi="宋体" w:cs="宋体"/>
          <w:spacing w:val="65"/>
          <w:sz w:val="16"/>
          <w:szCs w:val="16"/>
        </w:rPr>
        <w:t xml:space="preserve"> </w:t>
      </w:r>
      <w:r>
        <w:rPr>
          <w:rFonts w:ascii="宋体" w:eastAsia="宋体" w:hAnsi="宋体" w:cs="宋体"/>
          <w:spacing w:val="-10"/>
          <w:sz w:val="16"/>
          <w:szCs w:val="16"/>
        </w:rPr>
        <w:t>肝素</w:t>
      </w:r>
    </w:p>
    <w:p w:rsidR="00EA40A3" w:rsidRDefault="00E86C16">
      <w:pPr>
        <w:spacing w:before="75" w:line="256" w:lineRule="auto"/>
        <w:ind w:right="93"/>
        <w:rPr>
          <w:rFonts w:ascii="宋体" w:eastAsia="宋体" w:hAnsi="宋体" w:cs="宋体"/>
          <w:sz w:val="16"/>
          <w:szCs w:val="16"/>
        </w:rPr>
      </w:pPr>
      <w:r>
        <w:rPr>
          <w:rFonts w:ascii="宋体" w:eastAsia="宋体" w:hAnsi="宋体" w:cs="宋体"/>
          <w:spacing w:val="-4"/>
          <w:sz w:val="16"/>
          <w:szCs w:val="16"/>
        </w:rPr>
        <w:t>herpes</w:t>
      </w:r>
      <w:r>
        <w:rPr>
          <w:rFonts w:ascii="宋体" w:eastAsia="宋体" w:hAnsi="宋体" w:cs="宋体"/>
          <w:spacing w:val="8"/>
          <w:sz w:val="16"/>
          <w:szCs w:val="16"/>
        </w:rPr>
        <w:t xml:space="preserve"> </w:t>
      </w:r>
      <w:r>
        <w:rPr>
          <w:rFonts w:ascii="宋体" w:eastAsia="宋体" w:hAnsi="宋体" w:cs="宋体"/>
          <w:spacing w:val="-4"/>
          <w:sz w:val="16"/>
          <w:szCs w:val="16"/>
        </w:rPr>
        <w:t>simplex</w:t>
      </w:r>
      <w:r>
        <w:rPr>
          <w:rFonts w:ascii="宋体" w:eastAsia="宋体" w:hAnsi="宋体" w:cs="宋体"/>
          <w:sz w:val="16"/>
          <w:szCs w:val="16"/>
        </w:rPr>
        <w:t xml:space="preserve"> </w:t>
      </w:r>
      <w:r>
        <w:rPr>
          <w:rFonts w:ascii="宋体" w:eastAsia="宋体" w:hAnsi="宋体" w:cs="宋体"/>
          <w:spacing w:val="-4"/>
          <w:sz w:val="16"/>
          <w:szCs w:val="16"/>
        </w:rPr>
        <w:t>virus-1,HSV-1</w:t>
      </w:r>
      <w:r>
        <w:rPr>
          <w:rFonts w:ascii="宋体" w:eastAsia="宋体" w:hAnsi="宋体" w:cs="宋体"/>
          <w:spacing w:val="55"/>
          <w:sz w:val="16"/>
          <w:szCs w:val="16"/>
        </w:rPr>
        <w:t xml:space="preserve"> </w:t>
      </w:r>
      <w:r>
        <w:rPr>
          <w:rFonts w:ascii="宋体" w:eastAsia="宋体" w:hAnsi="宋体" w:cs="宋体"/>
          <w:spacing w:val="-4"/>
          <w:sz w:val="16"/>
          <w:szCs w:val="16"/>
        </w:rPr>
        <w:t>单</w:t>
      </w:r>
      <w:r>
        <w:rPr>
          <w:rFonts w:ascii="宋体" w:eastAsia="宋体" w:hAnsi="宋体" w:cs="宋体"/>
          <w:spacing w:val="-5"/>
          <w:sz w:val="16"/>
          <w:szCs w:val="16"/>
        </w:rPr>
        <w:t>纯疱疹病毒</w:t>
      </w:r>
      <w:r>
        <w:rPr>
          <w:rFonts w:ascii="宋体" w:eastAsia="宋体" w:hAnsi="宋体" w:cs="宋体"/>
          <w:spacing w:val="-43"/>
          <w:sz w:val="16"/>
          <w:szCs w:val="16"/>
        </w:rPr>
        <w:t xml:space="preserve"> </w:t>
      </w:r>
      <w:r>
        <w:rPr>
          <w:rFonts w:ascii="宋体" w:eastAsia="宋体" w:hAnsi="宋体" w:cs="宋体"/>
          <w:spacing w:val="-5"/>
          <w:sz w:val="16"/>
          <w:szCs w:val="16"/>
        </w:rPr>
        <w:t>I型</w:t>
      </w:r>
      <w:r>
        <w:rPr>
          <w:rFonts w:ascii="宋体" w:eastAsia="宋体" w:hAnsi="宋体" w:cs="宋体"/>
          <w:sz w:val="16"/>
          <w:szCs w:val="16"/>
        </w:rPr>
        <w:t xml:space="preserve"> </w:t>
      </w:r>
      <w:r>
        <w:rPr>
          <w:rFonts w:ascii="宋体" w:eastAsia="宋体" w:hAnsi="宋体" w:cs="宋体"/>
          <w:spacing w:val="-6"/>
          <w:sz w:val="16"/>
          <w:szCs w:val="16"/>
        </w:rPr>
        <w:t>high</w:t>
      </w:r>
      <w:r>
        <w:rPr>
          <w:rFonts w:ascii="宋体" w:eastAsia="宋体" w:hAnsi="宋体" w:cs="宋体"/>
          <w:spacing w:val="2"/>
          <w:sz w:val="16"/>
          <w:szCs w:val="16"/>
        </w:rPr>
        <w:t xml:space="preserve"> </w:t>
      </w:r>
      <w:r>
        <w:rPr>
          <w:rFonts w:ascii="宋体" w:eastAsia="宋体" w:hAnsi="宋体" w:cs="宋体"/>
          <w:spacing w:val="-6"/>
          <w:sz w:val="16"/>
          <w:szCs w:val="16"/>
        </w:rPr>
        <w:t>density</w:t>
      </w:r>
      <w:r>
        <w:rPr>
          <w:rFonts w:ascii="宋体" w:eastAsia="宋体" w:hAnsi="宋体" w:cs="宋体"/>
          <w:spacing w:val="8"/>
          <w:sz w:val="16"/>
          <w:szCs w:val="16"/>
        </w:rPr>
        <w:t xml:space="preserve"> </w:t>
      </w:r>
      <w:r>
        <w:rPr>
          <w:rFonts w:ascii="宋体" w:eastAsia="宋体" w:hAnsi="宋体" w:cs="宋体"/>
          <w:spacing w:val="-6"/>
          <w:sz w:val="16"/>
          <w:szCs w:val="16"/>
        </w:rPr>
        <w:t>lipoprotein,HDL</w:t>
      </w:r>
      <w:r>
        <w:rPr>
          <w:rFonts w:ascii="宋体" w:eastAsia="宋体" w:hAnsi="宋体" w:cs="宋体"/>
          <w:spacing w:val="56"/>
          <w:sz w:val="16"/>
          <w:szCs w:val="16"/>
        </w:rPr>
        <w:t xml:space="preserve"> </w:t>
      </w:r>
      <w:r>
        <w:rPr>
          <w:rFonts w:ascii="宋体" w:eastAsia="宋体" w:hAnsi="宋体" w:cs="宋体"/>
          <w:spacing w:val="-6"/>
          <w:sz w:val="16"/>
          <w:szCs w:val="16"/>
        </w:rPr>
        <w:t>高密</w:t>
      </w:r>
      <w:r>
        <w:rPr>
          <w:rFonts w:ascii="宋体" w:eastAsia="宋体" w:hAnsi="宋体" w:cs="宋体"/>
          <w:spacing w:val="-7"/>
          <w:sz w:val="16"/>
          <w:szCs w:val="16"/>
        </w:rPr>
        <w:t>度脂蛋白</w:t>
      </w:r>
    </w:p>
    <w:p w:rsidR="00EA40A3" w:rsidRDefault="00E86C16">
      <w:pPr>
        <w:spacing w:before="64" w:line="214" w:lineRule="auto"/>
        <w:rPr>
          <w:rFonts w:ascii="宋体" w:eastAsia="宋体" w:hAnsi="宋体" w:cs="宋体"/>
          <w:sz w:val="16"/>
          <w:szCs w:val="16"/>
        </w:rPr>
      </w:pPr>
      <w:r>
        <w:rPr>
          <w:rFonts w:ascii="宋体" w:eastAsia="宋体" w:hAnsi="宋体" w:cs="宋体"/>
          <w:spacing w:val="-8"/>
          <w:sz w:val="16"/>
          <w:szCs w:val="16"/>
        </w:rPr>
        <w:t>high</w:t>
      </w:r>
      <w:r>
        <w:rPr>
          <w:rFonts w:ascii="宋体" w:eastAsia="宋体" w:hAnsi="宋体" w:cs="宋体"/>
          <w:sz w:val="16"/>
          <w:szCs w:val="16"/>
        </w:rPr>
        <w:t xml:space="preserve"> </w:t>
      </w:r>
      <w:r>
        <w:rPr>
          <w:rFonts w:ascii="宋体" w:eastAsia="宋体" w:hAnsi="宋体" w:cs="宋体"/>
          <w:spacing w:val="-8"/>
          <w:sz w:val="16"/>
          <w:szCs w:val="16"/>
        </w:rPr>
        <w:t>density</w:t>
      </w:r>
      <w:r>
        <w:rPr>
          <w:rFonts w:ascii="宋体" w:eastAsia="宋体" w:hAnsi="宋体" w:cs="宋体"/>
          <w:spacing w:val="6"/>
          <w:sz w:val="16"/>
          <w:szCs w:val="16"/>
        </w:rPr>
        <w:t xml:space="preserve"> </w:t>
      </w:r>
      <w:r>
        <w:rPr>
          <w:rFonts w:ascii="宋体" w:eastAsia="宋体" w:hAnsi="宋体" w:cs="宋体"/>
          <w:spacing w:val="-8"/>
          <w:sz w:val="16"/>
          <w:szCs w:val="16"/>
        </w:rPr>
        <w:t>lipoprotein</w:t>
      </w:r>
      <w:r>
        <w:rPr>
          <w:rFonts w:ascii="宋体" w:eastAsia="宋体" w:hAnsi="宋体" w:cs="宋体"/>
          <w:spacing w:val="-9"/>
          <w:sz w:val="16"/>
          <w:szCs w:val="16"/>
        </w:rPr>
        <w:t>-</w:t>
      </w:r>
      <w:r>
        <w:rPr>
          <w:rFonts w:ascii="宋体" w:eastAsia="宋体" w:hAnsi="宋体" w:cs="宋体"/>
          <w:spacing w:val="-8"/>
          <w:sz w:val="16"/>
          <w:szCs w:val="16"/>
        </w:rPr>
        <w:t>cho</w:t>
      </w:r>
      <w:r>
        <w:rPr>
          <w:rFonts w:ascii="宋体" w:eastAsia="宋体" w:hAnsi="宋体" w:cs="宋体"/>
          <w:spacing w:val="-9"/>
          <w:sz w:val="16"/>
          <w:szCs w:val="16"/>
        </w:rPr>
        <w:t>lesterol,HDL-C</w:t>
      </w:r>
      <w:r>
        <w:rPr>
          <w:rFonts w:ascii="宋体" w:eastAsia="宋体" w:hAnsi="宋体" w:cs="宋体"/>
          <w:spacing w:val="7"/>
          <w:sz w:val="16"/>
          <w:szCs w:val="16"/>
        </w:rPr>
        <w:t xml:space="preserve">  </w:t>
      </w:r>
      <w:r>
        <w:rPr>
          <w:rFonts w:ascii="宋体" w:eastAsia="宋体" w:hAnsi="宋体" w:cs="宋体"/>
          <w:spacing w:val="-9"/>
          <w:sz w:val="16"/>
          <w:szCs w:val="16"/>
        </w:rPr>
        <w:t>高</w:t>
      </w:r>
      <w:r>
        <w:rPr>
          <w:rFonts w:ascii="宋体" w:eastAsia="宋体" w:hAnsi="宋体" w:cs="宋体"/>
          <w:spacing w:val="-32"/>
          <w:sz w:val="16"/>
          <w:szCs w:val="16"/>
        </w:rPr>
        <w:t xml:space="preserve"> </w:t>
      </w:r>
      <w:r>
        <w:rPr>
          <w:rFonts w:ascii="宋体" w:eastAsia="宋体" w:hAnsi="宋体" w:cs="宋体"/>
          <w:spacing w:val="-9"/>
          <w:sz w:val="16"/>
          <w:szCs w:val="16"/>
        </w:rPr>
        <w:t>密</w:t>
      </w:r>
    </w:p>
    <w:p w:rsidR="00EA40A3" w:rsidRDefault="00E86C16">
      <w:pPr>
        <w:spacing w:before="61" w:line="220" w:lineRule="auto"/>
        <w:ind w:left="179"/>
        <w:rPr>
          <w:rFonts w:ascii="宋体" w:eastAsia="宋体" w:hAnsi="宋体" w:cs="宋体"/>
          <w:sz w:val="16"/>
          <w:szCs w:val="16"/>
        </w:rPr>
      </w:pPr>
      <w:r>
        <w:rPr>
          <w:rFonts w:ascii="宋体" w:eastAsia="宋体" w:hAnsi="宋体" w:cs="宋体"/>
          <w:spacing w:val="-1"/>
          <w:sz w:val="16"/>
          <w:szCs w:val="16"/>
        </w:rPr>
        <w:t>度脂蛋白胆固醇</w:t>
      </w:r>
    </w:p>
    <w:p w:rsidR="00EA40A3" w:rsidRDefault="00E86C16">
      <w:pPr>
        <w:spacing w:before="77" w:line="216" w:lineRule="auto"/>
        <w:rPr>
          <w:rFonts w:ascii="宋体" w:eastAsia="宋体" w:hAnsi="宋体" w:cs="宋体"/>
          <w:sz w:val="16"/>
          <w:szCs w:val="16"/>
        </w:rPr>
      </w:pPr>
      <w:r>
        <w:rPr>
          <w:rFonts w:ascii="宋体" w:eastAsia="宋体" w:hAnsi="宋体" w:cs="宋体"/>
          <w:spacing w:val="-6"/>
          <w:sz w:val="16"/>
          <w:szCs w:val="16"/>
        </w:rPr>
        <w:t>histidine,His</w:t>
      </w:r>
      <w:r>
        <w:rPr>
          <w:rFonts w:ascii="宋体" w:eastAsia="宋体" w:hAnsi="宋体" w:cs="宋体"/>
          <w:spacing w:val="49"/>
          <w:sz w:val="16"/>
          <w:szCs w:val="16"/>
        </w:rPr>
        <w:t xml:space="preserve"> </w:t>
      </w:r>
      <w:r>
        <w:rPr>
          <w:rFonts w:ascii="宋体" w:eastAsia="宋体" w:hAnsi="宋体" w:cs="宋体"/>
          <w:spacing w:val="-6"/>
          <w:sz w:val="16"/>
          <w:szCs w:val="16"/>
        </w:rPr>
        <w:t>组氨酸</w:t>
      </w:r>
    </w:p>
    <w:p w:rsidR="00EA40A3" w:rsidRDefault="00E86C16">
      <w:pPr>
        <w:spacing w:before="91" w:line="215" w:lineRule="auto"/>
        <w:rPr>
          <w:rFonts w:ascii="宋体" w:eastAsia="宋体" w:hAnsi="宋体" w:cs="宋体"/>
          <w:sz w:val="16"/>
          <w:szCs w:val="16"/>
        </w:rPr>
      </w:pPr>
      <w:r>
        <w:rPr>
          <w:rFonts w:ascii="宋体" w:eastAsia="宋体" w:hAnsi="宋体" w:cs="宋体"/>
          <w:sz w:val="16"/>
          <w:szCs w:val="16"/>
        </w:rPr>
        <w:t>homocysteine</w:t>
      </w:r>
      <w:r>
        <w:rPr>
          <w:rFonts w:ascii="宋体" w:eastAsia="宋体" w:hAnsi="宋体" w:cs="宋体"/>
          <w:spacing w:val="11"/>
          <w:sz w:val="16"/>
          <w:szCs w:val="16"/>
        </w:rPr>
        <w:t>,</w:t>
      </w:r>
      <w:r>
        <w:rPr>
          <w:rFonts w:ascii="宋体" w:eastAsia="宋体" w:hAnsi="宋体" w:cs="宋体"/>
          <w:sz w:val="16"/>
          <w:szCs w:val="16"/>
        </w:rPr>
        <w:t>Hcy</w:t>
      </w:r>
      <w:r>
        <w:rPr>
          <w:rFonts w:ascii="宋体" w:eastAsia="宋体" w:hAnsi="宋体" w:cs="宋体"/>
          <w:spacing w:val="31"/>
          <w:sz w:val="16"/>
          <w:szCs w:val="16"/>
        </w:rPr>
        <w:t xml:space="preserve">  </w:t>
      </w:r>
      <w:r>
        <w:rPr>
          <w:rFonts w:ascii="宋体" w:eastAsia="宋体" w:hAnsi="宋体" w:cs="宋体"/>
          <w:spacing w:val="11"/>
          <w:sz w:val="16"/>
          <w:szCs w:val="16"/>
        </w:rPr>
        <w:t>同型半胱氨酸，也称高半胱</w:t>
      </w:r>
    </w:p>
    <w:p w:rsidR="00EA40A3" w:rsidRDefault="00E86C16">
      <w:pPr>
        <w:spacing w:before="25" w:line="220" w:lineRule="auto"/>
        <w:ind w:left="182"/>
        <w:rPr>
          <w:rFonts w:ascii="宋体" w:eastAsia="宋体" w:hAnsi="宋体" w:cs="宋体"/>
          <w:sz w:val="16"/>
          <w:szCs w:val="16"/>
        </w:rPr>
      </w:pPr>
      <w:r>
        <w:rPr>
          <w:rFonts w:ascii="宋体" w:eastAsia="宋体" w:hAnsi="宋体" w:cs="宋体"/>
          <w:b/>
          <w:bCs/>
          <w:spacing w:val="-4"/>
          <w:sz w:val="16"/>
          <w:szCs w:val="16"/>
        </w:rPr>
        <w:t>氨酸</w:t>
      </w:r>
    </w:p>
    <w:p w:rsidR="00EA40A3" w:rsidRDefault="00E86C16">
      <w:pPr>
        <w:spacing w:before="67" w:line="219" w:lineRule="auto"/>
        <w:rPr>
          <w:rFonts w:ascii="宋体" w:eastAsia="宋体" w:hAnsi="宋体" w:cs="宋体"/>
          <w:sz w:val="16"/>
          <w:szCs w:val="16"/>
        </w:rPr>
      </w:pPr>
      <w:r>
        <w:rPr>
          <w:rFonts w:ascii="宋体" w:eastAsia="宋体" w:hAnsi="宋体" w:cs="宋体"/>
          <w:spacing w:val="-1"/>
          <w:sz w:val="16"/>
          <w:szCs w:val="16"/>
        </w:rPr>
        <w:t>hormone</w:t>
      </w:r>
      <w:r>
        <w:rPr>
          <w:rFonts w:ascii="宋体" w:eastAsia="宋体" w:hAnsi="宋体" w:cs="宋体"/>
          <w:spacing w:val="75"/>
          <w:sz w:val="16"/>
          <w:szCs w:val="16"/>
        </w:rPr>
        <w:t xml:space="preserve"> </w:t>
      </w:r>
      <w:r>
        <w:rPr>
          <w:rFonts w:ascii="宋体" w:eastAsia="宋体" w:hAnsi="宋体" w:cs="宋体"/>
          <w:spacing w:val="-1"/>
          <w:sz w:val="16"/>
          <w:szCs w:val="16"/>
        </w:rPr>
        <w:t>激素</w:t>
      </w:r>
    </w:p>
    <w:p w:rsidR="00EA40A3" w:rsidRDefault="00E86C16">
      <w:pPr>
        <w:spacing w:before="91" w:line="256" w:lineRule="auto"/>
        <w:ind w:left="179" w:right="30" w:hanging="179"/>
        <w:rPr>
          <w:rFonts w:ascii="宋体" w:eastAsia="宋体" w:hAnsi="宋体" w:cs="宋体"/>
          <w:sz w:val="16"/>
          <w:szCs w:val="16"/>
        </w:rPr>
      </w:pPr>
      <w:r>
        <w:rPr>
          <w:rFonts w:ascii="宋体" w:eastAsia="宋体" w:hAnsi="宋体" w:cs="宋体"/>
          <w:spacing w:val="-1"/>
          <w:sz w:val="16"/>
          <w:szCs w:val="16"/>
        </w:rPr>
        <w:t>human</w:t>
      </w:r>
      <w:r>
        <w:rPr>
          <w:rFonts w:ascii="宋体" w:eastAsia="宋体" w:hAnsi="宋体" w:cs="宋体"/>
          <w:spacing w:val="43"/>
          <w:w w:val="101"/>
          <w:sz w:val="16"/>
          <w:szCs w:val="16"/>
        </w:rPr>
        <w:t xml:space="preserve"> </w:t>
      </w:r>
      <w:r>
        <w:rPr>
          <w:rFonts w:ascii="宋体" w:eastAsia="宋体" w:hAnsi="宋体" w:cs="宋体"/>
          <w:spacing w:val="-1"/>
          <w:sz w:val="16"/>
          <w:szCs w:val="16"/>
        </w:rPr>
        <w:t>chorinonic</w:t>
      </w:r>
      <w:r>
        <w:rPr>
          <w:rFonts w:ascii="宋体" w:eastAsia="宋体" w:hAnsi="宋体" w:cs="宋体"/>
          <w:spacing w:val="45"/>
          <w:sz w:val="16"/>
          <w:szCs w:val="16"/>
        </w:rPr>
        <w:t xml:space="preserve"> </w:t>
      </w:r>
      <w:r>
        <w:rPr>
          <w:rFonts w:ascii="宋体" w:eastAsia="宋体" w:hAnsi="宋体" w:cs="宋体"/>
          <w:spacing w:val="-1"/>
          <w:sz w:val="16"/>
          <w:szCs w:val="16"/>
        </w:rPr>
        <w:t>somatomammotropin,HCS</w:t>
      </w:r>
      <w:r>
        <w:rPr>
          <w:rFonts w:ascii="宋体" w:eastAsia="宋体" w:hAnsi="宋体" w:cs="宋体"/>
          <w:spacing w:val="50"/>
          <w:sz w:val="16"/>
          <w:szCs w:val="16"/>
        </w:rPr>
        <w:t xml:space="preserve"> </w:t>
      </w:r>
      <w:r>
        <w:rPr>
          <w:rFonts w:ascii="宋体" w:eastAsia="宋体" w:hAnsi="宋体" w:cs="宋体"/>
          <w:spacing w:val="-1"/>
          <w:sz w:val="16"/>
          <w:szCs w:val="16"/>
        </w:rPr>
        <w:t>人绒</w:t>
      </w:r>
      <w:r>
        <w:rPr>
          <w:rFonts w:ascii="宋体" w:eastAsia="宋体" w:hAnsi="宋体" w:cs="宋体"/>
          <w:sz w:val="16"/>
          <w:szCs w:val="16"/>
        </w:rPr>
        <w:t xml:space="preserve"> </w:t>
      </w:r>
      <w:r>
        <w:rPr>
          <w:rFonts w:ascii="宋体" w:eastAsia="宋体" w:hAnsi="宋体" w:cs="宋体"/>
          <w:spacing w:val="-6"/>
          <w:sz w:val="16"/>
          <w:szCs w:val="16"/>
        </w:rPr>
        <w:t>毛膜生长素</w:t>
      </w:r>
    </w:p>
    <w:p w:rsidR="00EA40A3" w:rsidRDefault="00E86C16">
      <w:pPr>
        <w:spacing w:before="62" w:line="263" w:lineRule="auto"/>
        <w:ind w:left="179" w:right="21" w:hanging="179"/>
        <w:rPr>
          <w:rFonts w:ascii="仿宋" w:eastAsia="仿宋" w:hAnsi="仿宋" w:cs="仿宋"/>
          <w:sz w:val="16"/>
          <w:szCs w:val="16"/>
        </w:rPr>
      </w:pPr>
      <w:r>
        <w:rPr>
          <w:rFonts w:ascii="仿宋" w:eastAsia="仿宋" w:hAnsi="仿宋" w:cs="仿宋"/>
          <w:spacing w:val="-1"/>
          <w:sz w:val="16"/>
          <w:szCs w:val="16"/>
        </w:rPr>
        <w:t>human</w:t>
      </w:r>
      <w:r>
        <w:rPr>
          <w:rFonts w:ascii="仿宋" w:eastAsia="仿宋" w:hAnsi="仿宋" w:cs="仿宋"/>
          <w:spacing w:val="7"/>
          <w:sz w:val="16"/>
          <w:szCs w:val="16"/>
        </w:rPr>
        <w:t xml:space="preserve"> </w:t>
      </w:r>
      <w:r>
        <w:rPr>
          <w:rFonts w:ascii="仿宋" w:eastAsia="仿宋" w:hAnsi="仿宋" w:cs="仿宋"/>
          <w:spacing w:val="-1"/>
          <w:sz w:val="16"/>
          <w:szCs w:val="16"/>
        </w:rPr>
        <w:t>chorionic</w:t>
      </w:r>
      <w:r>
        <w:rPr>
          <w:rFonts w:ascii="仿宋" w:eastAsia="仿宋" w:hAnsi="仿宋" w:cs="仿宋"/>
          <w:spacing w:val="6"/>
          <w:sz w:val="16"/>
          <w:szCs w:val="16"/>
        </w:rPr>
        <w:t xml:space="preserve"> </w:t>
      </w:r>
      <w:r>
        <w:rPr>
          <w:rFonts w:ascii="仿宋" w:eastAsia="仿宋" w:hAnsi="仿宋" w:cs="仿宋"/>
          <w:spacing w:val="-1"/>
          <w:sz w:val="16"/>
          <w:szCs w:val="16"/>
        </w:rPr>
        <w:t>gonadotr</w:t>
      </w:r>
      <w:r>
        <w:rPr>
          <w:rFonts w:ascii="仿宋" w:eastAsia="仿宋" w:hAnsi="仿宋" w:cs="仿宋"/>
          <w:spacing w:val="-2"/>
          <w:sz w:val="16"/>
          <w:szCs w:val="16"/>
        </w:rPr>
        <w:t>ophin,HCG</w:t>
      </w:r>
      <w:r>
        <w:rPr>
          <w:rFonts w:ascii="仿宋" w:eastAsia="仿宋" w:hAnsi="仿宋" w:cs="仿宋"/>
          <w:spacing w:val="67"/>
          <w:sz w:val="16"/>
          <w:szCs w:val="16"/>
        </w:rPr>
        <w:t xml:space="preserve"> </w:t>
      </w:r>
      <w:r>
        <w:rPr>
          <w:rFonts w:ascii="仿宋" w:eastAsia="仿宋" w:hAnsi="仿宋" w:cs="仿宋"/>
          <w:spacing w:val="-2"/>
          <w:sz w:val="16"/>
          <w:szCs w:val="16"/>
        </w:rPr>
        <w:t>人绒毛膜促</w:t>
      </w:r>
      <w:r>
        <w:rPr>
          <w:rFonts w:ascii="仿宋" w:eastAsia="仿宋" w:hAnsi="仿宋" w:cs="仿宋"/>
          <w:sz w:val="16"/>
          <w:szCs w:val="16"/>
        </w:rPr>
        <w:t xml:space="preserve"> </w:t>
      </w:r>
      <w:r>
        <w:rPr>
          <w:rFonts w:ascii="仿宋" w:eastAsia="仿宋" w:hAnsi="仿宋" w:cs="仿宋"/>
          <w:spacing w:val="-3"/>
          <w:sz w:val="16"/>
          <w:szCs w:val="16"/>
        </w:rPr>
        <w:t>性腺激素</w:t>
      </w:r>
    </w:p>
    <w:p w:rsidR="00EA40A3" w:rsidRDefault="00E86C16">
      <w:pPr>
        <w:spacing w:before="46" w:line="263" w:lineRule="auto"/>
        <w:ind w:left="179" w:hanging="150"/>
        <w:rPr>
          <w:rFonts w:ascii="宋体" w:eastAsia="宋体" w:hAnsi="宋体" w:cs="宋体"/>
          <w:sz w:val="16"/>
          <w:szCs w:val="16"/>
        </w:rPr>
      </w:pPr>
      <w:r>
        <w:rPr>
          <w:rFonts w:ascii="宋体" w:eastAsia="宋体" w:hAnsi="宋体" w:cs="宋体"/>
          <w:spacing w:val="-3"/>
          <w:sz w:val="16"/>
          <w:szCs w:val="16"/>
        </w:rPr>
        <w:t>human</w:t>
      </w:r>
      <w:r>
        <w:rPr>
          <w:rFonts w:ascii="宋体" w:eastAsia="宋体" w:hAnsi="宋体" w:cs="宋体"/>
          <w:spacing w:val="13"/>
          <w:sz w:val="16"/>
          <w:szCs w:val="16"/>
        </w:rPr>
        <w:t xml:space="preserve"> </w:t>
      </w:r>
      <w:r>
        <w:rPr>
          <w:rFonts w:ascii="宋体" w:eastAsia="宋体" w:hAnsi="宋体" w:cs="宋体"/>
          <w:spacing w:val="-3"/>
          <w:sz w:val="16"/>
          <w:szCs w:val="16"/>
        </w:rPr>
        <w:t>immunodeficiency</w:t>
      </w:r>
      <w:r>
        <w:rPr>
          <w:rFonts w:ascii="宋体" w:eastAsia="宋体" w:hAnsi="宋体" w:cs="宋体"/>
          <w:spacing w:val="3"/>
          <w:sz w:val="16"/>
          <w:szCs w:val="16"/>
        </w:rPr>
        <w:t xml:space="preserve"> </w:t>
      </w:r>
      <w:r>
        <w:rPr>
          <w:rFonts w:ascii="宋体" w:eastAsia="宋体" w:hAnsi="宋体" w:cs="宋体"/>
          <w:spacing w:val="-3"/>
          <w:sz w:val="16"/>
          <w:szCs w:val="16"/>
        </w:rPr>
        <w:t>virus-1,HIV-</w:t>
      </w:r>
      <w:r>
        <w:rPr>
          <w:rFonts w:ascii="宋体" w:eastAsia="宋体" w:hAnsi="宋体" w:cs="宋体"/>
          <w:spacing w:val="-4"/>
          <w:sz w:val="16"/>
          <w:szCs w:val="16"/>
        </w:rPr>
        <w:t>1</w:t>
      </w:r>
      <w:r>
        <w:rPr>
          <w:rFonts w:ascii="宋体" w:eastAsia="宋体" w:hAnsi="宋体" w:cs="宋体"/>
          <w:spacing w:val="44"/>
          <w:sz w:val="16"/>
          <w:szCs w:val="16"/>
        </w:rPr>
        <w:t xml:space="preserve"> </w:t>
      </w:r>
      <w:r>
        <w:rPr>
          <w:rFonts w:ascii="宋体" w:eastAsia="宋体" w:hAnsi="宋体" w:cs="宋体"/>
          <w:spacing w:val="-4"/>
          <w:sz w:val="16"/>
          <w:szCs w:val="16"/>
        </w:rPr>
        <w:t>人免疫缺</w:t>
      </w:r>
      <w:r>
        <w:rPr>
          <w:rFonts w:ascii="宋体" w:eastAsia="宋体" w:hAnsi="宋体" w:cs="宋体"/>
          <w:sz w:val="16"/>
          <w:szCs w:val="16"/>
        </w:rPr>
        <w:t xml:space="preserve"> </w:t>
      </w:r>
      <w:r>
        <w:rPr>
          <w:rFonts w:ascii="宋体" w:eastAsia="宋体" w:hAnsi="宋体" w:cs="宋体"/>
          <w:spacing w:val="6"/>
          <w:sz w:val="16"/>
          <w:szCs w:val="16"/>
        </w:rPr>
        <w:t>陷病毒1型，艾滋病病毒I型</w:t>
      </w:r>
    </w:p>
    <w:p w:rsidR="00EA40A3" w:rsidRDefault="00E86C16">
      <w:pPr>
        <w:spacing w:before="53" w:line="221" w:lineRule="auto"/>
        <w:ind w:left="20"/>
        <w:rPr>
          <w:rFonts w:ascii="仿宋" w:eastAsia="仿宋" w:hAnsi="仿宋" w:cs="仿宋"/>
          <w:sz w:val="16"/>
          <w:szCs w:val="16"/>
        </w:rPr>
      </w:pPr>
      <w:r>
        <w:rPr>
          <w:rFonts w:ascii="仿宋" w:eastAsia="仿宋" w:hAnsi="仿宋" w:cs="仿宋"/>
          <w:sz w:val="16"/>
          <w:szCs w:val="16"/>
        </w:rPr>
        <w:t>buman</w:t>
      </w:r>
      <w:r>
        <w:rPr>
          <w:rFonts w:ascii="仿宋" w:eastAsia="仿宋" w:hAnsi="仿宋" w:cs="仿宋"/>
          <w:spacing w:val="-1"/>
          <w:sz w:val="16"/>
          <w:szCs w:val="16"/>
        </w:rPr>
        <w:t xml:space="preserve"> </w:t>
      </w:r>
      <w:r>
        <w:rPr>
          <w:rFonts w:ascii="仿宋" w:eastAsia="仿宋" w:hAnsi="仿宋" w:cs="仿宋"/>
          <w:sz w:val="16"/>
          <w:szCs w:val="16"/>
        </w:rPr>
        <w:t>nutrition</w:t>
      </w:r>
      <w:r>
        <w:rPr>
          <w:rFonts w:ascii="仿宋" w:eastAsia="仿宋" w:hAnsi="仿宋" w:cs="仿宋"/>
          <w:spacing w:val="35"/>
          <w:sz w:val="16"/>
          <w:szCs w:val="16"/>
        </w:rPr>
        <w:t xml:space="preserve"> </w:t>
      </w:r>
      <w:r>
        <w:rPr>
          <w:rFonts w:ascii="仿宋" w:eastAsia="仿宋" w:hAnsi="仿宋" w:cs="仿宋"/>
          <w:sz w:val="16"/>
          <w:szCs w:val="16"/>
        </w:rPr>
        <w:t>人类营养(学)</w:t>
      </w:r>
    </w:p>
    <w:p w:rsidR="00EA40A3" w:rsidRDefault="00E86C16">
      <w:pPr>
        <w:spacing w:before="103" w:line="259" w:lineRule="auto"/>
        <w:ind w:left="179" w:right="186" w:hanging="179"/>
        <w:rPr>
          <w:rFonts w:ascii="宋体" w:eastAsia="宋体" w:hAnsi="宋体" w:cs="宋体"/>
          <w:sz w:val="16"/>
          <w:szCs w:val="16"/>
        </w:rPr>
      </w:pPr>
      <w:r>
        <w:rPr>
          <w:rFonts w:ascii="Times New Roman" w:eastAsia="Times New Roman" w:hAnsi="Times New Roman" w:cs="Times New Roman"/>
          <w:sz w:val="16"/>
          <w:szCs w:val="16"/>
        </w:rPr>
        <w:t>human</w:t>
      </w:r>
      <w:r>
        <w:rPr>
          <w:rFonts w:ascii="Times New Roman" w:eastAsia="Times New Roman" w:hAnsi="Times New Roman" w:cs="Times New Roman"/>
          <w:spacing w:val="39"/>
          <w:w w:val="101"/>
          <w:sz w:val="16"/>
          <w:szCs w:val="16"/>
        </w:rPr>
        <w:t xml:space="preserve"> </w:t>
      </w:r>
      <w:r>
        <w:rPr>
          <w:rFonts w:ascii="Times New Roman" w:eastAsia="Times New Roman" w:hAnsi="Times New Roman" w:cs="Times New Roman"/>
          <w:sz w:val="16"/>
          <w:szCs w:val="16"/>
        </w:rPr>
        <w:t>promyelocytic</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leukem</w:t>
      </w:r>
      <w:r>
        <w:rPr>
          <w:rFonts w:ascii="Times New Roman" w:eastAsia="Times New Roman" w:hAnsi="Times New Roman" w:cs="Times New Roman"/>
          <w:spacing w:val="-1"/>
          <w:sz w:val="16"/>
          <w:szCs w:val="16"/>
        </w:rPr>
        <w:t>la</w:t>
      </w:r>
      <w:r>
        <w:rPr>
          <w:rFonts w:ascii="Times New Roman" w:eastAsia="Times New Roman" w:hAnsi="Times New Roman" w:cs="Times New Roman"/>
          <w:spacing w:val="1"/>
          <w:sz w:val="16"/>
          <w:szCs w:val="16"/>
        </w:rPr>
        <w:t xml:space="preserve">  </w:t>
      </w:r>
      <w:r>
        <w:rPr>
          <w:rFonts w:ascii="Times New Roman" w:eastAsia="Times New Roman" w:hAnsi="Times New Roman" w:cs="Times New Roman"/>
          <w:spacing w:val="-1"/>
          <w:sz w:val="16"/>
          <w:szCs w:val="16"/>
        </w:rPr>
        <w:t>HL-60</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cell,HL-60</w:t>
      </w:r>
      <w:r>
        <w:rPr>
          <w:rFonts w:ascii="Times New Roman" w:eastAsia="Times New Roman" w:hAnsi="Times New Roman" w:cs="Times New Roman"/>
          <w:sz w:val="16"/>
          <w:szCs w:val="16"/>
        </w:rPr>
        <w:t xml:space="preserve"> </w:t>
      </w:r>
      <w:r>
        <w:rPr>
          <w:rFonts w:ascii="宋体" w:eastAsia="宋体" w:hAnsi="宋体" w:cs="宋体"/>
          <w:spacing w:val="-4"/>
          <w:sz w:val="16"/>
          <w:szCs w:val="16"/>
        </w:rPr>
        <w:t>人早幼白血病细胞</w:t>
      </w:r>
      <w:r>
        <w:rPr>
          <w:rFonts w:ascii="宋体" w:eastAsia="宋体" w:hAnsi="宋体" w:cs="宋体"/>
          <w:spacing w:val="-42"/>
          <w:sz w:val="16"/>
          <w:szCs w:val="16"/>
        </w:rPr>
        <w:t xml:space="preserve"> </w:t>
      </w:r>
      <w:r>
        <w:rPr>
          <w:rFonts w:ascii="宋体" w:eastAsia="宋体" w:hAnsi="宋体" w:cs="宋体"/>
          <w:spacing w:val="-4"/>
          <w:sz w:val="16"/>
          <w:szCs w:val="16"/>
        </w:rPr>
        <w:t>HL-60</w:t>
      </w:r>
    </w:p>
    <w:p w:rsidR="00EA40A3" w:rsidRDefault="00E86C16">
      <w:pPr>
        <w:spacing w:before="66" w:line="215" w:lineRule="auto"/>
        <w:rPr>
          <w:rFonts w:ascii="宋体" w:eastAsia="宋体" w:hAnsi="宋体" w:cs="宋体"/>
          <w:sz w:val="16"/>
          <w:szCs w:val="16"/>
        </w:rPr>
      </w:pPr>
      <w:r>
        <w:rPr>
          <w:rFonts w:ascii="宋体" w:eastAsia="宋体" w:hAnsi="宋体" w:cs="宋体"/>
          <w:spacing w:val="-2"/>
          <w:sz w:val="16"/>
          <w:szCs w:val="16"/>
        </w:rPr>
        <w:t>hyaluronic</w:t>
      </w:r>
      <w:r>
        <w:rPr>
          <w:rFonts w:ascii="宋体" w:eastAsia="宋体" w:hAnsi="宋体" w:cs="宋体"/>
          <w:spacing w:val="9"/>
          <w:sz w:val="16"/>
          <w:szCs w:val="16"/>
        </w:rPr>
        <w:t xml:space="preserve"> </w:t>
      </w:r>
      <w:r>
        <w:rPr>
          <w:rFonts w:ascii="宋体" w:eastAsia="宋体" w:hAnsi="宋体" w:cs="宋体"/>
          <w:spacing w:val="-2"/>
          <w:sz w:val="16"/>
          <w:szCs w:val="16"/>
        </w:rPr>
        <w:t>acid,HA</w:t>
      </w:r>
      <w:r>
        <w:rPr>
          <w:rFonts w:ascii="宋体" w:eastAsia="宋体" w:hAnsi="宋体" w:cs="宋体"/>
          <w:spacing w:val="47"/>
          <w:w w:val="101"/>
          <w:sz w:val="16"/>
          <w:szCs w:val="16"/>
        </w:rPr>
        <w:t xml:space="preserve"> </w:t>
      </w:r>
      <w:r>
        <w:rPr>
          <w:rFonts w:ascii="宋体" w:eastAsia="宋体" w:hAnsi="宋体" w:cs="宋体"/>
          <w:spacing w:val="-2"/>
          <w:sz w:val="16"/>
          <w:szCs w:val="16"/>
        </w:rPr>
        <w:t>透明质酸</w:t>
      </w:r>
    </w:p>
    <w:p w:rsidR="00EA40A3" w:rsidRDefault="00E86C16">
      <w:pPr>
        <w:spacing w:before="73" w:line="214" w:lineRule="auto"/>
        <w:rPr>
          <w:rFonts w:ascii="宋体" w:eastAsia="宋体" w:hAnsi="宋体" w:cs="宋体"/>
          <w:sz w:val="16"/>
          <w:szCs w:val="16"/>
        </w:rPr>
      </w:pPr>
      <w:r>
        <w:rPr>
          <w:rFonts w:ascii="宋体" w:eastAsia="宋体" w:hAnsi="宋体" w:cs="宋体"/>
          <w:sz w:val="16"/>
          <w:szCs w:val="16"/>
        </w:rPr>
        <w:t>hyperhomocysteinemia</w:t>
      </w:r>
      <w:r>
        <w:rPr>
          <w:rFonts w:ascii="宋体" w:eastAsia="宋体" w:hAnsi="宋体" w:cs="宋体"/>
          <w:spacing w:val="5"/>
          <w:sz w:val="16"/>
          <w:szCs w:val="16"/>
        </w:rPr>
        <w:t>,</w:t>
      </w:r>
      <w:r>
        <w:rPr>
          <w:rFonts w:ascii="宋体" w:eastAsia="宋体" w:hAnsi="宋体" w:cs="宋体"/>
          <w:sz w:val="16"/>
          <w:szCs w:val="16"/>
        </w:rPr>
        <w:t>HH</w:t>
      </w:r>
      <w:r>
        <w:rPr>
          <w:rFonts w:ascii="宋体" w:eastAsia="宋体" w:hAnsi="宋体" w:cs="宋体"/>
          <w:spacing w:val="5"/>
          <w:sz w:val="16"/>
          <w:szCs w:val="16"/>
        </w:rPr>
        <w:t>(e)</w:t>
      </w:r>
      <w:r>
        <w:rPr>
          <w:rFonts w:ascii="宋体" w:eastAsia="宋体" w:hAnsi="宋体" w:cs="宋体"/>
          <w:spacing w:val="16"/>
          <w:sz w:val="16"/>
          <w:szCs w:val="16"/>
        </w:rPr>
        <w:t xml:space="preserve">   </w:t>
      </w:r>
      <w:r>
        <w:rPr>
          <w:rFonts w:ascii="宋体" w:eastAsia="宋体" w:hAnsi="宋体" w:cs="宋体"/>
          <w:spacing w:val="5"/>
          <w:sz w:val="16"/>
          <w:szCs w:val="16"/>
        </w:rPr>
        <w:t>高同型半胱氨酸</w:t>
      </w:r>
    </w:p>
    <w:p w:rsidR="00EA40A3" w:rsidRDefault="00E86C16">
      <w:pPr>
        <w:spacing w:before="81" w:line="221" w:lineRule="auto"/>
        <w:ind w:left="179"/>
        <w:rPr>
          <w:rFonts w:ascii="宋体" w:eastAsia="宋体" w:hAnsi="宋体" w:cs="宋体"/>
          <w:sz w:val="16"/>
          <w:szCs w:val="16"/>
        </w:rPr>
      </w:pPr>
      <w:r>
        <w:rPr>
          <w:rFonts w:ascii="宋体" w:eastAsia="宋体" w:hAnsi="宋体" w:cs="宋体"/>
          <w:spacing w:val="-2"/>
          <w:sz w:val="16"/>
          <w:szCs w:val="16"/>
        </w:rPr>
        <w:t>血症</w:t>
      </w:r>
    </w:p>
    <w:p w:rsidR="00EA40A3" w:rsidRDefault="00E86C16">
      <w:pPr>
        <w:spacing w:before="52" w:line="250" w:lineRule="exact"/>
        <w:rPr>
          <w:rFonts w:ascii="宋体" w:eastAsia="宋体" w:hAnsi="宋体" w:cs="宋体"/>
          <w:sz w:val="16"/>
          <w:szCs w:val="16"/>
        </w:rPr>
      </w:pPr>
      <w:r>
        <w:rPr>
          <w:rFonts w:ascii="宋体" w:eastAsia="宋体" w:hAnsi="宋体" w:cs="宋体"/>
          <w:spacing w:val="-9"/>
          <w:position w:val="7"/>
          <w:sz w:val="16"/>
          <w:szCs w:val="16"/>
        </w:rPr>
        <w:t>hypertension</w:t>
      </w:r>
      <w:r>
        <w:rPr>
          <w:rFonts w:ascii="宋体" w:eastAsia="宋体" w:hAnsi="宋体" w:cs="宋体"/>
          <w:spacing w:val="76"/>
          <w:w w:val="101"/>
          <w:position w:val="7"/>
          <w:sz w:val="16"/>
          <w:szCs w:val="16"/>
        </w:rPr>
        <w:t xml:space="preserve"> </w:t>
      </w:r>
      <w:r>
        <w:rPr>
          <w:rFonts w:ascii="宋体" w:eastAsia="宋体" w:hAnsi="宋体" w:cs="宋体"/>
          <w:spacing w:val="-9"/>
          <w:position w:val="7"/>
          <w:sz w:val="16"/>
          <w:szCs w:val="16"/>
        </w:rPr>
        <w:t>高血压</w:t>
      </w:r>
    </w:p>
    <w:p w:rsidR="00EA40A3" w:rsidRDefault="00E86C16">
      <w:pPr>
        <w:spacing w:before="1" w:line="215" w:lineRule="auto"/>
        <w:rPr>
          <w:rFonts w:ascii="宋体" w:eastAsia="宋体" w:hAnsi="宋体" w:cs="宋体"/>
          <w:sz w:val="16"/>
          <w:szCs w:val="16"/>
        </w:rPr>
      </w:pPr>
      <w:r>
        <w:rPr>
          <w:rFonts w:ascii="宋体" w:eastAsia="宋体" w:hAnsi="宋体" w:cs="宋体"/>
          <w:spacing w:val="-3"/>
          <w:sz w:val="16"/>
          <w:szCs w:val="16"/>
        </w:rPr>
        <w:t>immunity</w:t>
      </w:r>
      <w:r>
        <w:rPr>
          <w:rFonts w:ascii="宋体" w:eastAsia="宋体" w:hAnsi="宋体" w:cs="宋体"/>
          <w:spacing w:val="63"/>
          <w:w w:val="101"/>
          <w:sz w:val="16"/>
          <w:szCs w:val="16"/>
        </w:rPr>
        <w:t xml:space="preserve"> </w:t>
      </w:r>
      <w:r>
        <w:rPr>
          <w:rFonts w:ascii="宋体" w:eastAsia="宋体" w:hAnsi="宋体" w:cs="宋体"/>
          <w:spacing w:val="-3"/>
          <w:sz w:val="16"/>
          <w:szCs w:val="16"/>
        </w:rPr>
        <w:t>免疫</w:t>
      </w:r>
    </w:p>
    <w:p w:rsidR="00EA40A3" w:rsidRDefault="00E86C16">
      <w:pPr>
        <w:spacing w:before="61" w:line="214" w:lineRule="auto"/>
        <w:rPr>
          <w:rFonts w:ascii="宋体" w:eastAsia="宋体" w:hAnsi="宋体" w:cs="宋体"/>
          <w:sz w:val="16"/>
          <w:szCs w:val="16"/>
        </w:rPr>
      </w:pPr>
      <w:r>
        <w:rPr>
          <w:rFonts w:ascii="宋体" w:eastAsia="宋体" w:hAnsi="宋体" w:cs="宋体"/>
          <w:spacing w:val="-3"/>
          <w:sz w:val="16"/>
          <w:szCs w:val="16"/>
        </w:rPr>
        <w:t>immunoglobulin,Ig</w:t>
      </w:r>
      <w:r>
        <w:rPr>
          <w:rFonts w:ascii="宋体" w:eastAsia="宋体" w:hAnsi="宋体" w:cs="宋体"/>
          <w:spacing w:val="76"/>
          <w:w w:val="101"/>
          <w:sz w:val="16"/>
          <w:szCs w:val="16"/>
        </w:rPr>
        <w:t xml:space="preserve"> </w:t>
      </w:r>
      <w:r>
        <w:rPr>
          <w:rFonts w:ascii="宋体" w:eastAsia="宋体" w:hAnsi="宋体" w:cs="宋体"/>
          <w:spacing w:val="-3"/>
          <w:sz w:val="16"/>
          <w:szCs w:val="16"/>
        </w:rPr>
        <w:t>免疫球蛋白</w:t>
      </w:r>
    </w:p>
    <w:p w:rsidR="00EA40A3" w:rsidRDefault="00E86C16">
      <w:pPr>
        <w:spacing w:before="67" w:line="256" w:lineRule="auto"/>
        <w:ind w:right="275"/>
        <w:rPr>
          <w:rFonts w:ascii="宋体" w:eastAsia="宋体" w:hAnsi="宋体" w:cs="宋体"/>
          <w:sz w:val="16"/>
          <w:szCs w:val="16"/>
        </w:rPr>
      </w:pPr>
      <w:r>
        <w:rPr>
          <w:rFonts w:ascii="宋体" w:eastAsia="宋体" w:hAnsi="宋体" w:cs="宋体"/>
          <w:spacing w:val="-10"/>
          <w:sz w:val="16"/>
          <w:szCs w:val="16"/>
        </w:rPr>
        <w:t>index</w:t>
      </w:r>
      <w:r>
        <w:rPr>
          <w:rFonts w:ascii="宋体" w:eastAsia="宋体" w:hAnsi="宋体" w:cs="宋体"/>
          <w:spacing w:val="-3"/>
          <w:sz w:val="16"/>
          <w:szCs w:val="16"/>
        </w:rPr>
        <w:t xml:space="preserve"> </w:t>
      </w:r>
      <w:r>
        <w:rPr>
          <w:rFonts w:ascii="宋体" w:eastAsia="宋体" w:hAnsi="宋体" w:cs="宋体"/>
          <w:spacing w:val="-10"/>
          <w:sz w:val="16"/>
          <w:szCs w:val="16"/>
        </w:rPr>
        <w:t>of</w:t>
      </w:r>
      <w:r>
        <w:rPr>
          <w:rFonts w:ascii="宋体" w:eastAsia="宋体" w:hAnsi="宋体" w:cs="宋体"/>
          <w:spacing w:val="-5"/>
          <w:sz w:val="16"/>
          <w:szCs w:val="16"/>
        </w:rPr>
        <w:t xml:space="preserve"> </w:t>
      </w:r>
      <w:r>
        <w:rPr>
          <w:rFonts w:ascii="宋体" w:eastAsia="宋体" w:hAnsi="宋体" w:cs="宋体"/>
          <w:spacing w:val="-10"/>
          <w:sz w:val="16"/>
          <w:szCs w:val="16"/>
        </w:rPr>
        <w:t>nutritional</w:t>
      </w:r>
      <w:r>
        <w:rPr>
          <w:rFonts w:ascii="宋体" w:eastAsia="宋体" w:hAnsi="宋体" w:cs="宋体"/>
          <w:spacing w:val="-3"/>
          <w:sz w:val="16"/>
          <w:szCs w:val="16"/>
        </w:rPr>
        <w:t xml:space="preserve"> </w:t>
      </w:r>
      <w:r>
        <w:rPr>
          <w:rFonts w:ascii="宋体" w:eastAsia="宋体" w:hAnsi="宋体" w:cs="宋体"/>
          <w:spacing w:val="-10"/>
          <w:sz w:val="16"/>
          <w:szCs w:val="16"/>
        </w:rPr>
        <w:t>quality,INQ</w:t>
      </w:r>
      <w:r>
        <w:rPr>
          <w:rFonts w:ascii="宋体" w:eastAsia="宋体" w:hAnsi="宋体" w:cs="宋体"/>
          <w:spacing w:val="56"/>
          <w:sz w:val="16"/>
          <w:szCs w:val="16"/>
        </w:rPr>
        <w:t xml:space="preserve"> </w:t>
      </w:r>
      <w:r>
        <w:rPr>
          <w:rFonts w:ascii="宋体" w:eastAsia="宋体" w:hAnsi="宋体" w:cs="宋体"/>
          <w:spacing w:val="-10"/>
          <w:sz w:val="16"/>
          <w:szCs w:val="16"/>
        </w:rPr>
        <w:t>营养质量指数</w:t>
      </w:r>
      <w:r>
        <w:rPr>
          <w:rFonts w:ascii="宋体" w:eastAsia="宋体" w:hAnsi="宋体" w:cs="宋体"/>
          <w:sz w:val="16"/>
          <w:szCs w:val="16"/>
        </w:rPr>
        <w:t xml:space="preserve"> </w:t>
      </w:r>
      <w:r>
        <w:rPr>
          <w:rFonts w:ascii="宋体" w:eastAsia="宋体" w:hAnsi="宋体" w:cs="宋体"/>
          <w:spacing w:val="-12"/>
          <w:sz w:val="16"/>
          <w:szCs w:val="16"/>
        </w:rPr>
        <w:t>infant</w:t>
      </w:r>
      <w:r>
        <w:rPr>
          <w:rFonts w:ascii="宋体" w:eastAsia="宋体" w:hAnsi="宋体" w:cs="宋体"/>
          <w:spacing w:val="61"/>
          <w:sz w:val="16"/>
          <w:szCs w:val="16"/>
        </w:rPr>
        <w:t xml:space="preserve"> </w:t>
      </w:r>
      <w:r>
        <w:rPr>
          <w:rFonts w:ascii="宋体" w:eastAsia="宋体" w:hAnsi="宋体" w:cs="宋体"/>
          <w:spacing w:val="-12"/>
          <w:sz w:val="16"/>
          <w:szCs w:val="16"/>
        </w:rPr>
        <w:t>婴儿期</w:t>
      </w:r>
    </w:p>
    <w:p w:rsidR="00EA40A3" w:rsidRDefault="00E86C16">
      <w:pPr>
        <w:spacing w:before="100" w:line="219" w:lineRule="auto"/>
        <w:rPr>
          <w:rFonts w:ascii="宋体" w:eastAsia="宋体" w:hAnsi="宋体" w:cs="宋体"/>
          <w:sz w:val="16"/>
          <w:szCs w:val="16"/>
        </w:rPr>
      </w:pPr>
      <w:r>
        <w:rPr>
          <w:rFonts w:ascii="宋体" w:eastAsia="宋体" w:hAnsi="宋体" w:cs="宋体"/>
          <w:spacing w:val="-14"/>
          <w:sz w:val="16"/>
          <w:szCs w:val="16"/>
        </w:rPr>
        <w:t>inferior</w:t>
      </w:r>
      <w:r>
        <w:rPr>
          <w:rFonts w:ascii="宋体" w:eastAsia="宋体" w:hAnsi="宋体" w:cs="宋体"/>
          <w:spacing w:val="-10"/>
          <w:sz w:val="16"/>
          <w:szCs w:val="16"/>
        </w:rPr>
        <w:t xml:space="preserve"> </w:t>
      </w:r>
      <w:r>
        <w:rPr>
          <w:rFonts w:ascii="宋体" w:eastAsia="宋体" w:hAnsi="宋体" w:cs="宋体"/>
          <w:spacing w:val="-14"/>
          <w:sz w:val="16"/>
          <w:szCs w:val="16"/>
        </w:rPr>
        <w:t>health</w:t>
      </w:r>
      <w:r>
        <w:rPr>
          <w:rFonts w:ascii="宋体" w:eastAsia="宋体" w:hAnsi="宋体" w:cs="宋体"/>
          <w:spacing w:val="-7"/>
          <w:sz w:val="16"/>
          <w:szCs w:val="16"/>
        </w:rPr>
        <w:t xml:space="preserve"> </w:t>
      </w:r>
      <w:r>
        <w:rPr>
          <w:rFonts w:ascii="宋体" w:eastAsia="宋体" w:hAnsi="宋体" w:cs="宋体"/>
          <w:spacing w:val="-14"/>
          <w:sz w:val="16"/>
          <w:szCs w:val="16"/>
        </w:rPr>
        <w:t>or</w:t>
      </w:r>
      <w:r>
        <w:rPr>
          <w:rFonts w:ascii="宋体" w:eastAsia="宋体" w:hAnsi="宋体" w:cs="宋体"/>
          <w:spacing w:val="-3"/>
          <w:sz w:val="16"/>
          <w:szCs w:val="16"/>
        </w:rPr>
        <w:t xml:space="preserve"> </w:t>
      </w:r>
      <w:r>
        <w:rPr>
          <w:rFonts w:ascii="宋体" w:eastAsia="宋体" w:hAnsi="宋体" w:cs="宋体"/>
          <w:spacing w:val="-14"/>
          <w:sz w:val="16"/>
          <w:szCs w:val="16"/>
        </w:rPr>
        <w:t>sub</w:t>
      </w:r>
      <w:r>
        <w:rPr>
          <w:rFonts w:ascii="宋体" w:eastAsia="宋体" w:hAnsi="宋体" w:cs="宋体"/>
          <w:spacing w:val="-10"/>
          <w:sz w:val="16"/>
          <w:szCs w:val="16"/>
        </w:rPr>
        <w:t xml:space="preserve"> </w:t>
      </w:r>
      <w:r>
        <w:rPr>
          <w:rFonts w:ascii="宋体" w:eastAsia="宋体" w:hAnsi="宋体" w:cs="宋体"/>
          <w:spacing w:val="-14"/>
          <w:sz w:val="16"/>
          <w:szCs w:val="16"/>
        </w:rPr>
        <w:t>health</w:t>
      </w:r>
      <w:r>
        <w:rPr>
          <w:rFonts w:ascii="宋体" w:eastAsia="宋体" w:hAnsi="宋体" w:cs="宋体"/>
          <w:spacing w:val="45"/>
          <w:w w:val="101"/>
          <w:sz w:val="16"/>
          <w:szCs w:val="16"/>
        </w:rPr>
        <w:t xml:space="preserve"> </w:t>
      </w:r>
      <w:r>
        <w:rPr>
          <w:rFonts w:ascii="宋体" w:eastAsia="宋体" w:hAnsi="宋体" w:cs="宋体"/>
          <w:spacing w:val="-14"/>
          <w:sz w:val="16"/>
          <w:szCs w:val="16"/>
        </w:rPr>
        <w:t>亚健康</w:t>
      </w:r>
    </w:p>
    <w:p w:rsidR="00EA40A3" w:rsidRDefault="00E86C16">
      <w:pPr>
        <w:spacing w:before="66" w:line="257" w:lineRule="auto"/>
        <w:ind w:left="179" w:right="27" w:hanging="179"/>
        <w:rPr>
          <w:rFonts w:ascii="宋体" w:eastAsia="宋体" w:hAnsi="宋体" w:cs="宋体"/>
          <w:sz w:val="16"/>
          <w:szCs w:val="16"/>
        </w:rPr>
      </w:pPr>
      <w:r>
        <w:rPr>
          <w:rFonts w:ascii="宋体" w:eastAsia="宋体" w:hAnsi="宋体" w:cs="宋体"/>
          <w:spacing w:val="-1"/>
          <w:sz w:val="16"/>
          <w:szCs w:val="16"/>
        </w:rPr>
        <w:t>innate</w:t>
      </w:r>
      <w:r>
        <w:rPr>
          <w:rFonts w:ascii="宋体" w:eastAsia="宋体" w:hAnsi="宋体" w:cs="宋体"/>
          <w:spacing w:val="11"/>
          <w:sz w:val="16"/>
          <w:szCs w:val="16"/>
        </w:rPr>
        <w:t xml:space="preserve"> </w:t>
      </w:r>
      <w:r>
        <w:rPr>
          <w:rFonts w:ascii="宋体" w:eastAsia="宋体" w:hAnsi="宋体" w:cs="宋体"/>
          <w:spacing w:val="-1"/>
          <w:sz w:val="16"/>
          <w:szCs w:val="16"/>
        </w:rPr>
        <w:t>immunity</w:t>
      </w:r>
      <w:r>
        <w:rPr>
          <w:rFonts w:ascii="宋体" w:eastAsia="宋体" w:hAnsi="宋体" w:cs="宋体"/>
          <w:spacing w:val="44"/>
          <w:sz w:val="16"/>
          <w:szCs w:val="16"/>
        </w:rPr>
        <w:t xml:space="preserve"> </w:t>
      </w:r>
      <w:r>
        <w:rPr>
          <w:rFonts w:ascii="宋体" w:eastAsia="宋体" w:hAnsi="宋体" w:cs="宋体"/>
          <w:spacing w:val="-1"/>
          <w:sz w:val="16"/>
          <w:szCs w:val="16"/>
        </w:rPr>
        <w:t>先天免疫，固有免疫，也</w:t>
      </w:r>
      <w:r>
        <w:rPr>
          <w:rFonts w:ascii="宋体" w:eastAsia="宋体" w:hAnsi="宋体" w:cs="宋体"/>
          <w:spacing w:val="-2"/>
          <w:sz w:val="16"/>
          <w:szCs w:val="16"/>
        </w:rPr>
        <w:t>称非特</w:t>
      </w:r>
      <w:r>
        <w:rPr>
          <w:rFonts w:ascii="宋体" w:eastAsia="宋体" w:hAnsi="宋体" w:cs="宋体"/>
          <w:sz w:val="16"/>
          <w:szCs w:val="16"/>
        </w:rPr>
        <w:t xml:space="preserve"> </w:t>
      </w:r>
      <w:r>
        <w:rPr>
          <w:rFonts w:ascii="宋体" w:eastAsia="宋体" w:hAnsi="宋体" w:cs="宋体"/>
          <w:spacing w:val="-9"/>
          <w:sz w:val="16"/>
          <w:szCs w:val="16"/>
        </w:rPr>
        <w:t>异性免疫</w:t>
      </w:r>
      <w:r>
        <w:rPr>
          <w:rFonts w:ascii="宋体" w:eastAsia="宋体" w:hAnsi="宋体" w:cs="宋体"/>
          <w:spacing w:val="-4"/>
          <w:sz w:val="16"/>
          <w:szCs w:val="16"/>
        </w:rPr>
        <w:t xml:space="preserve"> </w:t>
      </w:r>
      <w:r>
        <w:rPr>
          <w:rFonts w:ascii="宋体" w:eastAsia="宋体" w:hAnsi="宋体" w:cs="宋体"/>
          <w:spacing w:val="-9"/>
          <w:sz w:val="16"/>
          <w:szCs w:val="16"/>
        </w:rPr>
        <w:t>(non-specific</w:t>
      </w:r>
      <w:r>
        <w:rPr>
          <w:rFonts w:ascii="宋体" w:eastAsia="宋体" w:hAnsi="宋体" w:cs="宋体"/>
          <w:spacing w:val="8"/>
          <w:sz w:val="16"/>
          <w:szCs w:val="16"/>
        </w:rPr>
        <w:t xml:space="preserve"> </w:t>
      </w:r>
      <w:r>
        <w:rPr>
          <w:rFonts w:ascii="宋体" w:eastAsia="宋体" w:hAnsi="宋体" w:cs="宋体"/>
          <w:spacing w:val="-9"/>
          <w:sz w:val="16"/>
          <w:szCs w:val="16"/>
        </w:rPr>
        <w:t>immunity)</w:t>
      </w:r>
    </w:p>
    <w:p w:rsidR="00EA40A3" w:rsidRDefault="00E86C16">
      <w:pPr>
        <w:spacing w:before="59" w:line="220" w:lineRule="auto"/>
        <w:rPr>
          <w:rFonts w:ascii="宋体" w:eastAsia="宋体" w:hAnsi="宋体" w:cs="宋体"/>
          <w:sz w:val="16"/>
          <w:szCs w:val="16"/>
        </w:rPr>
      </w:pPr>
      <w:r>
        <w:rPr>
          <w:rFonts w:ascii="宋体" w:eastAsia="宋体" w:hAnsi="宋体" w:cs="宋体"/>
          <w:spacing w:val="-15"/>
          <w:sz w:val="16"/>
          <w:szCs w:val="16"/>
        </w:rPr>
        <w:t>inositol</w:t>
      </w:r>
      <w:r>
        <w:rPr>
          <w:rFonts w:ascii="宋体" w:eastAsia="宋体" w:hAnsi="宋体" w:cs="宋体"/>
          <w:spacing w:val="55"/>
          <w:w w:val="101"/>
          <w:sz w:val="16"/>
          <w:szCs w:val="16"/>
        </w:rPr>
        <w:t xml:space="preserve"> </w:t>
      </w:r>
      <w:r>
        <w:rPr>
          <w:rFonts w:ascii="宋体" w:eastAsia="宋体" w:hAnsi="宋体" w:cs="宋体"/>
          <w:spacing w:val="-15"/>
          <w:sz w:val="16"/>
          <w:szCs w:val="16"/>
        </w:rPr>
        <w:t>肌醇</w:t>
      </w:r>
    </w:p>
    <w:p w:rsidR="00EA40A3" w:rsidRDefault="00E86C16">
      <w:pPr>
        <w:spacing w:before="57" w:line="216" w:lineRule="auto"/>
        <w:rPr>
          <w:rFonts w:ascii="宋体" w:eastAsia="宋体" w:hAnsi="宋体" w:cs="宋体"/>
          <w:sz w:val="16"/>
          <w:szCs w:val="16"/>
        </w:rPr>
      </w:pPr>
      <w:r>
        <w:rPr>
          <w:rFonts w:ascii="宋体" w:eastAsia="宋体" w:hAnsi="宋体" w:cs="宋体"/>
          <w:spacing w:val="-2"/>
          <w:sz w:val="16"/>
          <w:szCs w:val="16"/>
        </w:rPr>
        <w:t>insulin,INS</w:t>
      </w:r>
      <w:r>
        <w:rPr>
          <w:rFonts w:ascii="宋体" w:eastAsia="宋体" w:hAnsi="宋体" w:cs="宋体"/>
          <w:spacing w:val="53"/>
          <w:sz w:val="16"/>
          <w:szCs w:val="16"/>
        </w:rPr>
        <w:t xml:space="preserve"> </w:t>
      </w:r>
      <w:r>
        <w:rPr>
          <w:rFonts w:ascii="宋体" w:eastAsia="宋体" w:hAnsi="宋体" w:cs="宋体"/>
          <w:spacing w:val="-2"/>
          <w:sz w:val="16"/>
          <w:szCs w:val="16"/>
        </w:rPr>
        <w:t>胰岛素</w:t>
      </w:r>
    </w:p>
    <w:p w:rsidR="00EA40A3" w:rsidRDefault="00E86C16">
      <w:pPr>
        <w:spacing w:before="71" w:line="192" w:lineRule="auto"/>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Insulin-like</w:t>
      </w:r>
      <w:r>
        <w:rPr>
          <w:rFonts w:ascii="Times New Roman" w:eastAsia="Times New Roman" w:hAnsi="Times New Roman" w:cs="Times New Roman"/>
          <w:spacing w:val="11"/>
          <w:sz w:val="16"/>
          <w:szCs w:val="16"/>
        </w:rPr>
        <w:t xml:space="preserve">   </w:t>
      </w:r>
      <w:r>
        <w:rPr>
          <w:rFonts w:ascii="Times New Roman" w:eastAsia="Times New Roman" w:hAnsi="Times New Roman" w:cs="Times New Roman"/>
          <w:spacing w:val="-1"/>
          <w:sz w:val="16"/>
          <w:szCs w:val="16"/>
        </w:rPr>
        <w:t>Growth</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Factor</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Binding</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Protein-</w:t>
      </w:r>
      <w:r>
        <w:rPr>
          <w:rFonts w:ascii="Times New Roman" w:eastAsia="Times New Roman" w:hAnsi="Times New Roman" w:cs="Times New Roman"/>
          <w:spacing w:val="-20"/>
          <w:sz w:val="16"/>
          <w:szCs w:val="16"/>
        </w:rPr>
        <w:t xml:space="preserve"> </w:t>
      </w:r>
      <w:r>
        <w:rPr>
          <w:rFonts w:ascii="Times New Roman" w:eastAsia="Times New Roman" w:hAnsi="Times New Roman" w:cs="Times New Roman"/>
          <w:spacing w:val="-1"/>
          <w:sz w:val="16"/>
          <w:szCs w:val="16"/>
        </w:rPr>
        <w:t>1,IG-</w:t>
      </w:r>
    </w:p>
    <w:p w:rsidR="00EA40A3" w:rsidRDefault="00EA40A3">
      <w:pPr>
        <w:sectPr w:rsidR="00EA40A3">
          <w:type w:val="continuous"/>
          <w:pgSz w:w="9220" w:h="13360"/>
          <w:pgMar w:top="400" w:right="1087" w:bottom="1297" w:left="869" w:header="0" w:footer="1089" w:gutter="0"/>
          <w:cols w:num="2" w:space="720" w:equalWidth="0">
            <w:col w:w="3591" w:space="100"/>
            <w:col w:w="3573"/>
          </w:cols>
        </w:sectPr>
      </w:pPr>
    </w:p>
    <w:p w:rsidR="00EA40A3" w:rsidRDefault="00EA40A3">
      <w:pPr>
        <w:spacing w:line="39" w:lineRule="exact"/>
      </w:pPr>
    </w:p>
    <w:p w:rsidR="00EA40A3" w:rsidRDefault="00EA40A3">
      <w:pPr>
        <w:sectPr w:rsidR="00EA40A3">
          <w:type w:val="continuous"/>
          <w:pgSz w:w="9220" w:h="13360"/>
          <w:pgMar w:top="400" w:right="1087" w:bottom="1297" w:left="869" w:header="0" w:footer="1089" w:gutter="0"/>
          <w:cols w:space="720" w:equalWidth="0">
            <w:col w:w="7263"/>
          </w:cols>
        </w:sectPr>
      </w:pPr>
    </w:p>
    <w:p w:rsidR="00EA40A3" w:rsidRDefault="00E86C16">
      <w:pPr>
        <w:spacing w:before="32" w:line="250" w:lineRule="exact"/>
        <w:rPr>
          <w:rFonts w:ascii="宋体" w:eastAsia="宋体" w:hAnsi="宋体" w:cs="宋体"/>
          <w:sz w:val="16"/>
          <w:szCs w:val="16"/>
        </w:rPr>
      </w:pPr>
      <w:r>
        <w:rPr>
          <w:rFonts w:ascii="宋体" w:eastAsia="宋体" w:hAnsi="宋体" w:cs="宋体"/>
          <w:spacing w:val="-11"/>
          <w:position w:val="6"/>
          <w:sz w:val="16"/>
          <w:szCs w:val="16"/>
        </w:rPr>
        <w:t>glycitin</w:t>
      </w:r>
      <w:r>
        <w:rPr>
          <w:rFonts w:ascii="宋体" w:eastAsia="宋体" w:hAnsi="宋体" w:cs="宋体"/>
          <w:spacing w:val="80"/>
          <w:position w:val="6"/>
          <w:sz w:val="16"/>
          <w:szCs w:val="16"/>
        </w:rPr>
        <w:t xml:space="preserve"> </w:t>
      </w:r>
      <w:r>
        <w:rPr>
          <w:rFonts w:ascii="宋体" w:eastAsia="宋体" w:hAnsi="宋体" w:cs="宋体"/>
          <w:spacing w:val="-11"/>
          <w:position w:val="6"/>
          <w:sz w:val="16"/>
          <w:szCs w:val="16"/>
        </w:rPr>
        <w:t>黄豆苷，黄豆黄苷</w:t>
      </w:r>
    </w:p>
    <w:p w:rsidR="00EA40A3" w:rsidRDefault="00E86C16">
      <w:pPr>
        <w:spacing w:before="1" w:line="213" w:lineRule="auto"/>
        <w:rPr>
          <w:rFonts w:ascii="宋体" w:eastAsia="宋体" w:hAnsi="宋体" w:cs="宋体"/>
          <w:sz w:val="16"/>
          <w:szCs w:val="16"/>
        </w:rPr>
      </w:pPr>
      <w:r>
        <w:rPr>
          <w:rFonts w:ascii="宋体" w:eastAsia="宋体" w:hAnsi="宋体" w:cs="宋体"/>
          <w:spacing w:val="-8"/>
          <w:sz w:val="16"/>
          <w:szCs w:val="16"/>
        </w:rPr>
        <w:t>glycogen</w:t>
      </w:r>
      <w:r>
        <w:rPr>
          <w:rFonts w:ascii="宋体" w:eastAsia="宋体" w:hAnsi="宋体" w:cs="宋体"/>
          <w:spacing w:val="52"/>
          <w:sz w:val="16"/>
          <w:szCs w:val="16"/>
        </w:rPr>
        <w:t xml:space="preserve"> </w:t>
      </w:r>
      <w:r>
        <w:rPr>
          <w:rFonts w:ascii="宋体" w:eastAsia="宋体" w:hAnsi="宋体" w:cs="宋体"/>
          <w:spacing w:val="-8"/>
          <w:sz w:val="16"/>
          <w:szCs w:val="16"/>
        </w:rPr>
        <w:t>糖</w:t>
      </w:r>
      <w:r>
        <w:rPr>
          <w:rFonts w:ascii="宋体" w:eastAsia="宋体" w:hAnsi="宋体" w:cs="宋体"/>
          <w:spacing w:val="-30"/>
          <w:sz w:val="16"/>
          <w:szCs w:val="16"/>
        </w:rPr>
        <w:t xml:space="preserve"> </w:t>
      </w:r>
      <w:r>
        <w:rPr>
          <w:rFonts w:ascii="宋体" w:eastAsia="宋体" w:hAnsi="宋体" w:cs="宋体"/>
          <w:spacing w:val="-8"/>
          <w:sz w:val="16"/>
          <w:szCs w:val="16"/>
        </w:rPr>
        <w:t>原</w:t>
      </w:r>
    </w:p>
    <w:p w:rsidR="00EA40A3" w:rsidRDefault="00E86C16">
      <w:pPr>
        <w:spacing w:before="65" w:line="250" w:lineRule="exact"/>
        <w:rPr>
          <w:rFonts w:ascii="宋体" w:eastAsia="宋体" w:hAnsi="宋体" w:cs="宋体"/>
          <w:sz w:val="16"/>
          <w:szCs w:val="16"/>
        </w:rPr>
      </w:pPr>
      <w:r>
        <w:rPr>
          <w:rFonts w:ascii="宋体" w:eastAsia="宋体" w:hAnsi="宋体" w:cs="宋体"/>
          <w:spacing w:val="-2"/>
          <w:position w:val="6"/>
          <w:sz w:val="16"/>
          <w:szCs w:val="16"/>
        </w:rPr>
        <w:t>grape</w:t>
      </w:r>
      <w:r>
        <w:rPr>
          <w:rFonts w:ascii="宋体" w:eastAsia="宋体" w:hAnsi="宋体" w:cs="宋体"/>
          <w:spacing w:val="2"/>
          <w:position w:val="6"/>
          <w:sz w:val="16"/>
          <w:szCs w:val="16"/>
        </w:rPr>
        <w:t xml:space="preserve"> </w:t>
      </w:r>
      <w:r>
        <w:rPr>
          <w:rFonts w:ascii="宋体" w:eastAsia="宋体" w:hAnsi="宋体" w:cs="宋体"/>
          <w:spacing w:val="-2"/>
          <w:position w:val="6"/>
          <w:sz w:val="16"/>
          <w:szCs w:val="16"/>
        </w:rPr>
        <w:t>procyanidin,GPC</w:t>
      </w:r>
      <w:r>
        <w:rPr>
          <w:rFonts w:ascii="宋体" w:eastAsia="宋体" w:hAnsi="宋体" w:cs="宋体"/>
          <w:spacing w:val="54"/>
          <w:position w:val="6"/>
          <w:sz w:val="16"/>
          <w:szCs w:val="16"/>
        </w:rPr>
        <w:t xml:space="preserve"> </w:t>
      </w:r>
      <w:r>
        <w:rPr>
          <w:rFonts w:ascii="宋体" w:eastAsia="宋体" w:hAnsi="宋体" w:cs="宋体"/>
          <w:spacing w:val="-2"/>
          <w:position w:val="6"/>
          <w:sz w:val="16"/>
          <w:szCs w:val="16"/>
        </w:rPr>
        <w:t>葡萄原花</w:t>
      </w:r>
      <w:r>
        <w:rPr>
          <w:rFonts w:ascii="宋体" w:eastAsia="宋体" w:hAnsi="宋体" w:cs="宋体"/>
          <w:spacing w:val="-3"/>
          <w:position w:val="6"/>
          <w:sz w:val="16"/>
          <w:szCs w:val="16"/>
        </w:rPr>
        <w:t>青素</w:t>
      </w:r>
    </w:p>
    <w:p w:rsidR="00EA40A3" w:rsidRDefault="00E86C16">
      <w:pPr>
        <w:spacing w:line="213" w:lineRule="auto"/>
        <w:rPr>
          <w:rFonts w:ascii="宋体" w:eastAsia="宋体" w:hAnsi="宋体" w:cs="宋体"/>
          <w:sz w:val="16"/>
          <w:szCs w:val="16"/>
        </w:rPr>
      </w:pPr>
      <w:r>
        <w:rPr>
          <w:rFonts w:ascii="宋体" w:eastAsia="宋体" w:hAnsi="宋体" w:cs="宋体"/>
          <w:spacing w:val="-12"/>
          <w:sz w:val="16"/>
          <w:szCs w:val="16"/>
        </w:rPr>
        <w:t>gustin</w:t>
      </w:r>
      <w:r>
        <w:rPr>
          <w:rFonts w:ascii="宋体" w:eastAsia="宋体" w:hAnsi="宋体" w:cs="宋体"/>
          <w:spacing w:val="67"/>
          <w:sz w:val="16"/>
          <w:szCs w:val="16"/>
        </w:rPr>
        <w:t xml:space="preserve"> </w:t>
      </w:r>
      <w:r>
        <w:rPr>
          <w:rFonts w:ascii="宋体" w:eastAsia="宋体" w:hAnsi="宋体" w:cs="宋体"/>
          <w:spacing w:val="-12"/>
          <w:sz w:val="16"/>
          <w:szCs w:val="16"/>
        </w:rPr>
        <w:t>味觉素，</w:t>
      </w:r>
      <w:r>
        <w:rPr>
          <w:rFonts w:ascii="宋体" w:eastAsia="宋体" w:hAnsi="宋体" w:cs="宋体"/>
          <w:spacing w:val="12"/>
          <w:sz w:val="16"/>
          <w:szCs w:val="16"/>
        </w:rPr>
        <w:t xml:space="preserve"> </w:t>
      </w:r>
      <w:r>
        <w:rPr>
          <w:rFonts w:ascii="宋体" w:eastAsia="宋体" w:hAnsi="宋体" w:cs="宋体"/>
          <w:spacing w:val="-12"/>
          <w:sz w:val="16"/>
          <w:szCs w:val="16"/>
        </w:rPr>
        <w:t>一种唾液蛋白</w:t>
      </w:r>
    </w:p>
    <w:p w:rsidR="00EA40A3" w:rsidRDefault="00E86C16">
      <w:pPr>
        <w:spacing w:before="69" w:line="219" w:lineRule="auto"/>
        <w:rPr>
          <w:rFonts w:ascii="宋体" w:eastAsia="宋体" w:hAnsi="宋体" w:cs="宋体"/>
          <w:sz w:val="16"/>
          <w:szCs w:val="16"/>
        </w:rPr>
      </w:pPr>
      <w:r>
        <w:rPr>
          <w:rFonts w:ascii="宋体" w:eastAsia="宋体" w:hAnsi="宋体" w:cs="宋体"/>
          <w:spacing w:val="-9"/>
          <w:sz w:val="16"/>
          <w:szCs w:val="16"/>
        </w:rPr>
        <w:t>hard</w:t>
      </w:r>
      <w:r>
        <w:rPr>
          <w:rFonts w:ascii="宋体" w:eastAsia="宋体" w:hAnsi="宋体" w:cs="宋体"/>
          <w:spacing w:val="8"/>
          <w:sz w:val="16"/>
          <w:szCs w:val="16"/>
        </w:rPr>
        <w:t xml:space="preserve"> </w:t>
      </w:r>
      <w:r>
        <w:rPr>
          <w:rFonts w:ascii="宋体" w:eastAsia="宋体" w:hAnsi="宋体" w:cs="宋体"/>
          <w:spacing w:val="-9"/>
          <w:sz w:val="16"/>
          <w:szCs w:val="16"/>
        </w:rPr>
        <w:t>cheese</w:t>
      </w:r>
      <w:r>
        <w:rPr>
          <w:rFonts w:ascii="宋体" w:eastAsia="宋体" w:hAnsi="宋体" w:cs="宋体"/>
          <w:spacing w:val="62"/>
          <w:sz w:val="16"/>
          <w:szCs w:val="16"/>
        </w:rPr>
        <w:t xml:space="preserve"> </w:t>
      </w:r>
      <w:r>
        <w:rPr>
          <w:rFonts w:ascii="宋体" w:eastAsia="宋体" w:hAnsi="宋体" w:cs="宋体"/>
          <w:spacing w:val="-9"/>
          <w:sz w:val="16"/>
          <w:szCs w:val="16"/>
        </w:rPr>
        <w:t>硬质干酪</w:t>
      </w:r>
    </w:p>
    <w:p w:rsidR="00EA40A3" w:rsidRDefault="00E86C16">
      <w:pPr>
        <w:spacing w:line="14" w:lineRule="auto"/>
        <w:rPr>
          <w:sz w:val="2"/>
        </w:rPr>
      </w:pPr>
      <w:r>
        <w:rPr>
          <w:sz w:val="2"/>
          <w:szCs w:val="2"/>
        </w:rPr>
        <w:br w:type="column"/>
      </w:r>
    </w:p>
    <w:p w:rsidR="00EA40A3" w:rsidRDefault="00E86C16">
      <w:pPr>
        <w:spacing w:before="56" w:line="219" w:lineRule="auto"/>
        <w:ind w:left="179"/>
        <w:rPr>
          <w:rFonts w:ascii="宋体" w:eastAsia="宋体" w:hAnsi="宋体" w:cs="宋体"/>
          <w:sz w:val="16"/>
          <w:szCs w:val="16"/>
        </w:rPr>
      </w:pPr>
      <w:r>
        <w:rPr>
          <w:rFonts w:ascii="宋体" w:eastAsia="宋体" w:hAnsi="宋体" w:cs="宋体"/>
          <w:spacing w:val="-10"/>
          <w:sz w:val="16"/>
          <w:szCs w:val="16"/>
        </w:rPr>
        <w:t>FBP-1</w:t>
      </w:r>
      <w:r>
        <w:rPr>
          <w:rFonts w:ascii="宋体" w:eastAsia="宋体" w:hAnsi="宋体" w:cs="宋体"/>
          <w:spacing w:val="19"/>
          <w:sz w:val="16"/>
          <w:szCs w:val="16"/>
        </w:rPr>
        <w:t xml:space="preserve">   </w:t>
      </w:r>
      <w:r>
        <w:rPr>
          <w:rFonts w:ascii="宋体" w:eastAsia="宋体" w:hAnsi="宋体" w:cs="宋体"/>
          <w:spacing w:val="-10"/>
          <w:sz w:val="16"/>
          <w:szCs w:val="16"/>
        </w:rPr>
        <w:t>胰岛素样生长因子结合蛋白-1</w:t>
      </w:r>
    </w:p>
    <w:p w:rsidR="00EA40A3" w:rsidRDefault="00E86C16">
      <w:pPr>
        <w:spacing w:before="95" w:line="254" w:lineRule="auto"/>
        <w:ind w:right="490"/>
        <w:rPr>
          <w:rFonts w:ascii="宋体" w:eastAsia="宋体" w:hAnsi="宋体" w:cs="宋体"/>
          <w:sz w:val="16"/>
          <w:szCs w:val="16"/>
        </w:rPr>
      </w:pPr>
      <w:r>
        <w:rPr>
          <w:rFonts w:ascii="宋体" w:eastAsia="宋体" w:hAnsi="宋体" w:cs="宋体"/>
          <w:spacing w:val="-8"/>
          <w:sz w:val="16"/>
          <w:szCs w:val="16"/>
        </w:rPr>
        <w:t>integrative</w:t>
      </w:r>
      <w:r>
        <w:rPr>
          <w:rFonts w:ascii="宋体" w:eastAsia="宋体" w:hAnsi="宋体" w:cs="宋体"/>
          <w:spacing w:val="3"/>
          <w:sz w:val="16"/>
          <w:szCs w:val="16"/>
        </w:rPr>
        <w:t xml:space="preserve"> </w:t>
      </w:r>
      <w:r>
        <w:rPr>
          <w:rFonts w:ascii="宋体" w:eastAsia="宋体" w:hAnsi="宋体" w:cs="宋体"/>
          <w:spacing w:val="-8"/>
          <w:sz w:val="16"/>
          <w:szCs w:val="16"/>
        </w:rPr>
        <w:t>energy</w:t>
      </w:r>
      <w:r>
        <w:rPr>
          <w:rFonts w:ascii="宋体" w:eastAsia="宋体" w:hAnsi="宋体" w:cs="宋体"/>
          <w:spacing w:val="7"/>
          <w:sz w:val="16"/>
          <w:szCs w:val="16"/>
        </w:rPr>
        <w:t xml:space="preserve"> </w:t>
      </w:r>
      <w:r>
        <w:rPr>
          <w:rFonts w:ascii="宋体" w:eastAsia="宋体" w:hAnsi="宋体" w:cs="宋体"/>
          <w:spacing w:val="-8"/>
          <w:sz w:val="16"/>
          <w:szCs w:val="16"/>
        </w:rPr>
        <w:t>index,IEI</w:t>
      </w:r>
      <w:r>
        <w:rPr>
          <w:rFonts w:ascii="宋体" w:eastAsia="宋体" w:hAnsi="宋体" w:cs="宋体"/>
          <w:spacing w:val="46"/>
          <w:w w:val="101"/>
          <w:sz w:val="16"/>
          <w:szCs w:val="16"/>
        </w:rPr>
        <w:t xml:space="preserve"> </w:t>
      </w:r>
      <w:r>
        <w:rPr>
          <w:rFonts w:ascii="宋体" w:eastAsia="宋体" w:hAnsi="宋体" w:cs="宋体"/>
          <w:spacing w:val="-8"/>
          <w:sz w:val="16"/>
          <w:szCs w:val="16"/>
        </w:rPr>
        <w:t>综合能量指数</w:t>
      </w:r>
      <w:r>
        <w:rPr>
          <w:rFonts w:ascii="宋体" w:eastAsia="宋体" w:hAnsi="宋体" w:cs="宋体"/>
          <w:sz w:val="16"/>
          <w:szCs w:val="16"/>
        </w:rPr>
        <w:t xml:space="preserve"> </w:t>
      </w:r>
      <w:r>
        <w:rPr>
          <w:rFonts w:ascii="宋体" w:eastAsia="宋体" w:hAnsi="宋体" w:cs="宋体"/>
          <w:spacing w:val="-3"/>
          <w:sz w:val="16"/>
          <w:szCs w:val="16"/>
        </w:rPr>
        <w:t>Interferon,IFN</w:t>
      </w:r>
      <w:r>
        <w:rPr>
          <w:rFonts w:ascii="宋体" w:eastAsia="宋体" w:hAnsi="宋体" w:cs="宋体"/>
          <w:spacing w:val="76"/>
          <w:sz w:val="16"/>
          <w:szCs w:val="16"/>
        </w:rPr>
        <w:t xml:space="preserve"> </w:t>
      </w:r>
      <w:r>
        <w:rPr>
          <w:rFonts w:ascii="宋体" w:eastAsia="宋体" w:hAnsi="宋体" w:cs="宋体"/>
          <w:spacing w:val="-3"/>
          <w:sz w:val="16"/>
          <w:szCs w:val="16"/>
        </w:rPr>
        <w:t>干扰素</w:t>
      </w:r>
    </w:p>
    <w:p w:rsidR="00EA40A3" w:rsidRDefault="00E86C16">
      <w:pPr>
        <w:spacing w:before="63" w:line="216" w:lineRule="auto"/>
        <w:rPr>
          <w:rFonts w:ascii="宋体" w:eastAsia="宋体" w:hAnsi="宋体" w:cs="宋体"/>
          <w:sz w:val="16"/>
          <w:szCs w:val="16"/>
        </w:rPr>
      </w:pPr>
      <w:r>
        <w:rPr>
          <w:rFonts w:ascii="宋体" w:eastAsia="宋体" w:hAnsi="宋体" w:cs="宋体"/>
          <w:spacing w:val="-10"/>
          <w:sz w:val="16"/>
          <w:szCs w:val="16"/>
        </w:rPr>
        <w:t>interleukin,ⅡI</w:t>
      </w:r>
      <w:r>
        <w:rPr>
          <w:rFonts w:ascii="宋体" w:eastAsia="宋体" w:hAnsi="宋体" w:cs="宋体"/>
          <w:spacing w:val="65"/>
          <w:sz w:val="16"/>
          <w:szCs w:val="16"/>
        </w:rPr>
        <w:t xml:space="preserve"> </w:t>
      </w:r>
      <w:r>
        <w:rPr>
          <w:rFonts w:ascii="宋体" w:eastAsia="宋体" w:hAnsi="宋体" w:cs="宋体"/>
          <w:spacing w:val="-10"/>
          <w:sz w:val="16"/>
          <w:szCs w:val="16"/>
        </w:rPr>
        <w:t>白细胞介素</w:t>
      </w:r>
    </w:p>
    <w:p w:rsidR="00EA40A3" w:rsidRDefault="00E86C16">
      <w:pPr>
        <w:spacing w:before="71"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International</w:t>
      </w:r>
      <w:r>
        <w:rPr>
          <w:rFonts w:ascii="Times New Roman" w:eastAsia="Times New Roman" w:hAnsi="Times New Roman" w:cs="Times New Roman"/>
          <w:spacing w:val="26"/>
          <w:sz w:val="16"/>
          <w:szCs w:val="16"/>
        </w:rPr>
        <w:t xml:space="preserve"> </w:t>
      </w:r>
      <w:r>
        <w:rPr>
          <w:rFonts w:ascii="Times New Roman" w:eastAsia="Times New Roman" w:hAnsi="Times New Roman" w:cs="Times New Roman"/>
          <w:sz w:val="16"/>
          <w:szCs w:val="16"/>
        </w:rPr>
        <w:t>Council</w:t>
      </w:r>
      <w:r>
        <w:rPr>
          <w:rFonts w:ascii="Times New Roman" w:eastAsia="Times New Roman" w:hAnsi="Times New Roman" w:cs="Times New Roman"/>
          <w:spacing w:val="26"/>
          <w:w w:val="101"/>
          <w:sz w:val="16"/>
          <w:szCs w:val="16"/>
        </w:rPr>
        <w:t xml:space="preserve"> </w:t>
      </w:r>
      <w:r>
        <w:rPr>
          <w:rFonts w:ascii="Times New Roman" w:eastAsia="Times New Roman" w:hAnsi="Times New Roman" w:cs="Times New Roman"/>
          <w:sz w:val="16"/>
          <w:szCs w:val="16"/>
        </w:rPr>
        <w:t>for</w:t>
      </w:r>
      <w:r>
        <w:rPr>
          <w:rFonts w:ascii="Times New Roman" w:eastAsia="Times New Roman" w:hAnsi="Times New Roman" w:cs="Times New Roman"/>
          <w:spacing w:val="25"/>
          <w:sz w:val="16"/>
          <w:szCs w:val="16"/>
        </w:rPr>
        <w:t xml:space="preserve"> </w:t>
      </w:r>
      <w:r>
        <w:rPr>
          <w:rFonts w:ascii="Times New Roman" w:eastAsia="Times New Roman" w:hAnsi="Times New Roman" w:cs="Times New Roman"/>
          <w:spacing w:val="-1"/>
          <w:sz w:val="16"/>
          <w:szCs w:val="16"/>
        </w:rPr>
        <w:t>Controlling</w:t>
      </w:r>
      <w:r>
        <w:rPr>
          <w:rFonts w:ascii="Times New Roman" w:eastAsia="Times New Roman" w:hAnsi="Times New Roman" w:cs="Times New Roman"/>
          <w:spacing w:val="25"/>
          <w:sz w:val="16"/>
          <w:szCs w:val="16"/>
        </w:rPr>
        <w:t xml:space="preserve"> </w:t>
      </w:r>
      <w:r>
        <w:rPr>
          <w:rFonts w:ascii="Times New Roman" w:eastAsia="Times New Roman" w:hAnsi="Times New Roman" w:cs="Times New Roman"/>
          <w:spacing w:val="-1"/>
          <w:sz w:val="16"/>
          <w:szCs w:val="16"/>
        </w:rPr>
        <w:t>lodine</w:t>
      </w:r>
      <w:r>
        <w:rPr>
          <w:rFonts w:ascii="Times New Roman" w:eastAsia="Times New Roman" w:hAnsi="Times New Roman" w:cs="Times New Roman"/>
          <w:spacing w:val="23"/>
          <w:sz w:val="16"/>
          <w:szCs w:val="16"/>
        </w:rPr>
        <w:t xml:space="preserve"> </w:t>
      </w:r>
      <w:r>
        <w:rPr>
          <w:rFonts w:ascii="Times New Roman" w:eastAsia="Times New Roman" w:hAnsi="Times New Roman" w:cs="Times New Roman"/>
          <w:spacing w:val="-1"/>
          <w:sz w:val="16"/>
          <w:szCs w:val="16"/>
        </w:rPr>
        <w:t>Deficien-</w:t>
      </w:r>
    </w:p>
    <w:p w:rsidR="00EA40A3" w:rsidRDefault="00EA40A3">
      <w:pPr>
        <w:sectPr w:rsidR="00EA40A3">
          <w:type w:val="continuous"/>
          <w:pgSz w:w="9220" w:h="13360"/>
          <w:pgMar w:top="400" w:right="1087" w:bottom="1297" w:left="869" w:header="0" w:footer="1089" w:gutter="0"/>
          <w:cols w:num="2" w:space="720" w:equalWidth="0">
            <w:col w:w="3591" w:space="100"/>
            <w:col w:w="3573"/>
          </w:cols>
        </w:sectPr>
      </w:pPr>
    </w:p>
    <w:p w:rsidR="00EA40A3" w:rsidRDefault="00EA40A3">
      <w:pPr>
        <w:spacing w:line="258" w:lineRule="auto"/>
      </w:pPr>
    </w:p>
    <w:p w:rsidR="00EA40A3" w:rsidRDefault="00EA40A3">
      <w:pPr>
        <w:spacing w:line="259" w:lineRule="auto"/>
      </w:pPr>
    </w:p>
    <w:p w:rsidR="00EA40A3" w:rsidRDefault="00E86C16">
      <w:pPr>
        <w:spacing w:before="52" w:line="225" w:lineRule="auto"/>
        <w:ind w:left="130"/>
        <w:rPr>
          <w:rFonts w:ascii="宋体" w:eastAsia="宋体" w:hAnsi="宋体" w:cs="宋体"/>
          <w:sz w:val="16"/>
          <w:szCs w:val="16"/>
        </w:rPr>
      </w:pPr>
      <w:r>
        <w:rPr>
          <w:rFonts w:ascii="宋体" w:eastAsia="宋体" w:hAnsi="宋体" w:cs="宋体"/>
          <w:spacing w:val="-3"/>
          <w:position w:val="1"/>
          <w:sz w:val="16"/>
          <w:szCs w:val="16"/>
        </w:rPr>
        <w:t>cy</w:t>
      </w:r>
      <w:r>
        <w:rPr>
          <w:rFonts w:ascii="宋体" w:eastAsia="宋体" w:hAnsi="宋体" w:cs="宋体"/>
          <w:spacing w:val="3"/>
          <w:position w:val="1"/>
          <w:sz w:val="16"/>
          <w:szCs w:val="16"/>
        </w:rPr>
        <w:t xml:space="preserve"> </w:t>
      </w:r>
      <w:r>
        <w:rPr>
          <w:rFonts w:ascii="宋体" w:eastAsia="宋体" w:hAnsi="宋体" w:cs="宋体"/>
          <w:spacing w:val="-3"/>
          <w:position w:val="1"/>
          <w:sz w:val="16"/>
          <w:szCs w:val="16"/>
        </w:rPr>
        <w:t>Disease,ICCIDD</w:t>
      </w:r>
      <w:r>
        <w:rPr>
          <w:rFonts w:ascii="宋体" w:eastAsia="宋体" w:hAnsi="宋体" w:cs="宋体"/>
          <w:spacing w:val="79"/>
          <w:position w:val="1"/>
          <w:sz w:val="16"/>
          <w:szCs w:val="16"/>
        </w:rPr>
        <w:t xml:space="preserve"> </w:t>
      </w:r>
      <w:r>
        <w:rPr>
          <w:rFonts w:ascii="宋体" w:eastAsia="宋体" w:hAnsi="宋体" w:cs="宋体"/>
          <w:spacing w:val="-3"/>
          <w:position w:val="1"/>
          <w:sz w:val="16"/>
          <w:szCs w:val="16"/>
        </w:rPr>
        <w:t>国际控制碘缺乏病理事会</w:t>
      </w:r>
      <w:r>
        <w:rPr>
          <w:rFonts w:ascii="宋体" w:eastAsia="宋体" w:hAnsi="宋体" w:cs="宋体"/>
          <w:position w:val="1"/>
          <w:sz w:val="16"/>
          <w:szCs w:val="16"/>
        </w:rPr>
        <w:t xml:space="preserve">    </w:t>
      </w:r>
      <w:r>
        <w:rPr>
          <w:rFonts w:ascii="宋体" w:eastAsia="宋体" w:hAnsi="宋体" w:cs="宋体"/>
          <w:spacing w:val="-3"/>
          <w:sz w:val="16"/>
          <w:szCs w:val="16"/>
        </w:rPr>
        <w:t>majoi</w:t>
      </w:r>
      <w:r>
        <w:rPr>
          <w:rFonts w:ascii="宋体" w:eastAsia="宋体" w:hAnsi="宋体" w:cs="宋体"/>
          <w:spacing w:val="2"/>
          <w:sz w:val="16"/>
          <w:szCs w:val="16"/>
        </w:rPr>
        <w:t xml:space="preserve"> </w:t>
      </w:r>
      <w:r>
        <w:rPr>
          <w:rFonts w:ascii="宋体" w:eastAsia="宋体" w:hAnsi="宋体" w:cs="宋体"/>
          <w:spacing w:val="-3"/>
          <w:sz w:val="16"/>
          <w:szCs w:val="16"/>
        </w:rPr>
        <w:t>histocompatibility</w:t>
      </w:r>
      <w:r>
        <w:rPr>
          <w:rFonts w:ascii="宋体" w:eastAsia="宋体" w:hAnsi="宋体" w:cs="宋体"/>
          <w:spacing w:val="5"/>
          <w:sz w:val="16"/>
          <w:szCs w:val="16"/>
        </w:rPr>
        <w:t xml:space="preserve"> </w:t>
      </w:r>
      <w:r>
        <w:rPr>
          <w:rFonts w:ascii="宋体" w:eastAsia="宋体" w:hAnsi="宋体" w:cs="宋体"/>
          <w:spacing w:val="-3"/>
          <w:sz w:val="16"/>
          <w:szCs w:val="16"/>
        </w:rPr>
        <w:t>complex,MHC</w:t>
      </w:r>
      <w:r>
        <w:rPr>
          <w:rFonts w:ascii="宋体" w:eastAsia="宋体" w:hAnsi="宋体" w:cs="宋体"/>
          <w:spacing w:val="74"/>
          <w:w w:val="101"/>
          <w:sz w:val="16"/>
          <w:szCs w:val="16"/>
        </w:rPr>
        <w:t xml:space="preserve"> </w:t>
      </w:r>
      <w:r>
        <w:rPr>
          <w:rFonts w:ascii="宋体" w:eastAsia="宋体" w:hAnsi="宋体" w:cs="宋体"/>
          <w:spacing w:val="-3"/>
          <w:sz w:val="16"/>
          <w:szCs w:val="16"/>
        </w:rPr>
        <w:t>主要组</w:t>
      </w:r>
      <w:r>
        <w:rPr>
          <w:rFonts w:ascii="宋体" w:eastAsia="宋体" w:hAnsi="宋体" w:cs="宋体"/>
          <w:spacing w:val="-4"/>
          <w:sz w:val="16"/>
          <w:szCs w:val="16"/>
        </w:rPr>
        <w:t>织</w:t>
      </w:r>
    </w:p>
    <w:p w:rsidR="00EA40A3" w:rsidRDefault="00EA40A3">
      <w:pPr>
        <w:spacing w:line="34" w:lineRule="exact"/>
      </w:pPr>
    </w:p>
    <w:p w:rsidR="00EA40A3" w:rsidRDefault="00EA40A3">
      <w:pPr>
        <w:sectPr w:rsidR="00EA40A3">
          <w:footerReference w:type="default" r:id="rId371"/>
          <w:pgSz w:w="9220" w:h="13360"/>
          <w:pgMar w:top="400" w:right="1134" w:bottom="400" w:left="849" w:header="0" w:footer="0" w:gutter="0"/>
          <w:cols w:space="720" w:equalWidth="0">
            <w:col w:w="7236"/>
          </w:cols>
        </w:sectPr>
      </w:pPr>
    </w:p>
    <w:p w:rsidR="00EA40A3" w:rsidRDefault="00E86C16">
      <w:pPr>
        <w:spacing w:before="32" w:line="250" w:lineRule="auto"/>
        <w:ind w:left="130" w:right="61" w:hanging="130"/>
        <w:rPr>
          <w:rFonts w:ascii="宋体" w:eastAsia="宋体" w:hAnsi="宋体" w:cs="宋体"/>
          <w:sz w:val="16"/>
          <w:szCs w:val="16"/>
        </w:rPr>
      </w:pPr>
      <w:r>
        <w:rPr>
          <w:rFonts w:ascii="宋体" w:eastAsia="宋体" w:hAnsi="宋体" w:cs="宋体"/>
          <w:spacing w:val="-15"/>
          <w:sz w:val="16"/>
          <w:szCs w:val="16"/>
        </w:rPr>
        <w:t>international</w:t>
      </w:r>
      <w:r>
        <w:rPr>
          <w:rFonts w:ascii="宋体" w:eastAsia="宋体" w:hAnsi="宋体" w:cs="宋体"/>
          <w:spacing w:val="14"/>
          <w:sz w:val="16"/>
          <w:szCs w:val="16"/>
        </w:rPr>
        <w:t xml:space="preserve"> </w:t>
      </w:r>
      <w:r>
        <w:rPr>
          <w:rFonts w:ascii="宋体" w:eastAsia="宋体" w:hAnsi="宋体" w:cs="宋体"/>
          <w:spacing w:val="-15"/>
          <w:sz w:val="16"/>
          <w:szCs w:val="16"/>
        </w:rPr>
        <w:t>life</w:t>
      </w:r>
      <w:r>
        <w:rPr>
          <w:rFonts w:ascii="宋体" w:eastAsia="宋体" w:hAnsi="宋体" w:cs="宋体"/>
          <w:spacing w:val="-4"/>
          <w:sz w:val="16"/>
          <w:szCs w:val="16"/>
        </w:rPr>
        <w:t xml:space="preserve"> </w:t>
      </w:r>
      <w:r>
        <w:rPr>
          <w:rFonts w:ascii="宋体" w:eastAsia="宋体" w:hAnsi="宋体" w:cs="宋体"/>
          <w:spacing w:val="-15"/>
          <w:sz w:val="16"/>
          <w:szCs w:val="16"/>
        </w:rPr>
        <w:t>science</w:t>
      </w:r>
      <w:r>
        <w:rPr>
          <w:rFonts w:ascii="宋体" w:eastAsia="宋体" w:hAnsi="宋体" w:cs="宋体"/>
          <w:spacing w:val="-1"/>
          <w:sz w:val="16"/>
          <w:szCs w:val="16"/>
        </w:rPr>
        <w:t xml:space="preserve"> </w:t>
      </w:r>
      <w:r>
        <w:rPr>
          <w:rFonts w:ascii="宋体" w:eastAsia="宋体" w:hAnsi="宋体" w:cs="宋体"/>
          <w:spacing w:val="-15"/>
          <w:sz w:val="16"/>
          <w:szCs w:val="16"/>
        </w:rPr>
        <w:t>institute,ILA</w:t>
      </w:r>
      <w:r>
        <w:rPr>
          <w:rFonts w:ascii="宋体" w:eastAsia="宋体" w:hAnsi="宋体" w:cs="宋体"/>
          <w:spacing w:val="58"/>
          <w:sz w:val="16"/>
          <w:szCs w:val="16"/>
        </w:rPr>
        <w:t xml:space="preserve"> </w:t>
      </w:r>
      <w:r>
        <w:rPr>
          <w:rFonts w:ascii="宋体" w:eastAsia="宋体" w:hAnsi="宋体" w:cs="宋体"/>
          <w:spacing w:val="-15"/>
          <w:sz w:val="16"/>
          <w:szCs w:val="16"/>
        </w:rPr>
        <w:t>国际生命科</w:t>
      </w:r>
      <w:r>
        <w:rPr>
          <w:rFonts w:ascii="宋体" w:eastAsia="宋体" w:hAnsi="宋体" w:cs="宋体"/>
          <w:sz w:val="16"/>
          <w:szCs w:val="16"/>
        </w:rPr>
        <w:t xml:space="preserve"> </w:t>
      </w:r>
      <w:r>
        <w:rPr>
          <w:rFonts w:ascii="宋体" w:eastAsia="宋体" w:hAnsi="宋体" w:cs="宋体"/>
          <w:spacing w:val="-3"/>
          <w:sz w:val="16"/>
          <w:szCs w:val="16"/>
        </w:rPr>
        <w:t>学院</w:t>
      </w:r>
    </w:p>
    <w:p w:rsidR="00EA40A3" w:rsidRDefault="00E86C16">
      <w:pPr>
        <w:spacing w:before="86" w:line="254" w:lineRule="exact"/>
        <w:rPr>
          <w:rFonts w:ascii="宋体" w:eastAsia="宋体" w:hAnsi="宋体" w:cs="宋体"/>
          <w:sz w:val="16"/>
          <w:szCs w:val="16"/>
        </w:rPr>
      </w:pPr>
      <w:r>
        <w:rPr>
          <w:rFonts w:ascii="宋体" w:eastAsia="宋体" w:hAnsi="宋体" w:cs="宋体"/>
          <w:spacing w:val="-14"/>
          <w:position w:val="7"/>
          <w:sz w:val="16"/>
          <w:szCs w:val="16"/>
        </w:rPr>
        <w:t>intrinsic</w:t>
      </w:r>
      <w:r>
        <w:rPr>
          <w:rFonts w:ascii="宋体" w:eastAsia="宋体" w:hAnsi="宋体" w:cs="宋体"/>
          <w:spacing w:val="8"/>
          <w:position w:val="7"/>
          <w:sz w:val="16"/>
          <w:szCs w:val="16"/>
        </w:rPr>
        <w:t xml:space="preserve"> </w:t>
      </w:r>
      <w:r>
        <w:rPr>
          <w:rFonts w:ascii="宋体" w:eastAsia="宋体" w:hAnsi="宋体" w:cs="宋体"/>
          <w:spacing w:val="-14"/>
          <w:position w:val="7"/>
          <w:sz w:val="16"/>
          <w:szCs w:val="16"/>
        </w:rPr>
        <w:t>factor,IF</w:t>
      </w:r>
      <w:r>
        <w:rPr>
          <w:rFonts w:ascii="宋体" w:eastAsia="宋体" w:hAnsi="宋体" w:cs="宋体"/>
          <w:spacing w:val="57"/>
          <w:w w:val="101"/>
          <w:position w:val="7"/>
          <w:sz w:val="16"/>
          <w:szCs w:val="16"/>
        </w:rPr>
        <w:t xml:space="preserve"> </w:t>
      </w:r>
      <w:r>
        <w:rPr>
          <w:rFonts w:ascii="宋体" w:eastAsia="宋体" w:hAnsi="宋体" w:cs="宋体"/>
          <w:spacing w:val="-14"/>
          <w:position w:val="7"/>
          <w:sz w:val="16"/>
          <w:szCs w:val="16"/>
        </w:rPr>
        <w:t>内因子</w:t>
      </w:r>
    </w:p>
    <w:p w:rsidR="00EA40A3" w:rsidRDefault="00E86C16">
      <w:pPr>
        <w:spacing w:line="220" w:lineRule="auto"/>
        <w:rPr>
          <w:rFonts w:ascii="宋体" w:eastAsia="宋体" w:hAnsi="宋体" w:cs="宋体"/>
          <w:sz w:val="16"/>
          <w:szCs w:val="16"/>
        </w:rPr>
      </w:pPr>
      <w:r>
        <w:rPr>
          <w:rFonts w:ascii="宋体" w:eastAsia="宋体" w:hAnsi="宋体" w:cs="宋体"/>
          <w:spacing w:val="-12"/>
          <w:sz w:val="16"/>
          <w:szCs w:val="16"/>
        </w:rPr>
        <w:t>iodine</w:t>
      </w:r>
      <w:r>
        <w:rPr>
          <w:rFonts w:ascii="宋体" w:eastAsia="宋体" w:hAnsi="宋体" w:cs="宋体"/>
          <w:spacing w:val="43"/>
          <w:sz w:val="16"/>
          <w:szCs w:val="16"/>
        </w:rPr>
        <w:t xml:space="preserve"> </w:t>
      </w:r>
      <w:r>
        <w:rPr>
          <w:rFonts w:ascii="宋体" w:eastAsia="宋体" w:hAnsi="宋体" w:cs="宋体"/>
          <w:spacing w:val="-12"/>
          <w:sz w:val="16"/>
          <w:szCs w:val="16"/>
        </w:rPr>
        <w:t>碘</w:t>
      </w:r>
    </w:p>
    <w:p w:rsidR="00EA40A3" w:rsidRDefault="00E86C16">
      <w:pPr>
        <w:spacing w:before="53" w:line="255" w:lineRule="exact"/>
        <w:rPr>
          <w:rFonts w:ascii="宋体" w:eastAsia="宋体" w:hAnsi="宋体" w:cs="宋体"/>
          <w:sz w:val="16"/>
          <w:szCs w:val="16"/>
        </w:rPr>
      </w:pPr>
      <w:r>
        <w:rPr>
          <w:rFonts w:ascii="宋体" w:eastAsia="宋体" w:hAnsi="宋体" w:cs="宋体"/>
          <w:spacing w:val="-7"/>
          <w:position w:val="7"/>
          <w:sz w:val="16"/>
          <w:szCs w:val="16"/>
        </w:rPr>
        <w:t>iron</w:t>
      </w:r>
      <w:r>
        <w:rPr>
          <w:rFonts w:ascii="宋体" w:eastAsia="宋体" w:hAnsi="宋体" w:cs="宋体"/>
          <w:spacing w:val="19"/>
          <w:position w:val="7"/>
          <w:sz w:val="16"/>
          <w:szCs w:val="16"/>
        </w:rPr>
        <w:t xml:space="preserve"> </w:t>
      </w:r>
      <w:r>
        <w:rPr>
          <w:rFonts w:ascii="宋体" w:eastAsia="宋体" w:hAnsi="宋体" w:cs="宋体"/>
          <w:spacing w:val="-7"/>
          <w:position w:val="7"/>
          <w:sz w:val="16"/>
          <w:szCs w:val="16"/>
        </w:rPr>
        <w:t>deficiency</w:t>
      </w:r>
      <w:r>
        <w:rPr>
          <w:rFonts w:ascii="宋体" w:eastAsia="宋体" w:hAnsi="宋体" w:cs="宋体"/>
          <w:position w:val="7"/>
          <w:sz w:val="16"/>
          <w:szCs w:val="16"/>
        </w:rPr>
        <w:t xml:space="preserve"> </w:t>
      </w:r>
      <w:r>
        <w:rPr>
          <w:rFonts w:ascii="宋体" w:eastAsia="宋体" w:hAnsi="宋体" w:cs="宋体"/>
          <w:spacing w:val="-7"/>
          <w:position w:val="7"/>
          <w:sz w:val="16"/>
          <w:szCs w:val="16"/>
        </w:rPr>
        <w:t>anemia,IDA</w:t>
      </w:r>
      <w:r>
        <w:rPr>
          <w:rFonts w:ascii="宋体" w:eastAsia="宋体" w:hAnsi="宋体" w:cs="宋体"/>
          <w:spacing w:val="58"/>
          <w:position w:val="7"/>
          <w:sz w:val="16"/>
          <w:szCs w:val="16"/>
        </w:rPr>
        <w:t xml:space="preserve"> </w:t>
      </w:r>
      <w:r>
        <w:rPr>
          <w:rFonts w:ascii="宋体" w:eastAsia="宋体" w:hAnsi="宋体" w:cs="宋体"/>
          <w:spacing w:val="-7"/>
          <w:position w:val="7"/>
          <w:sz w:val="16"/>
          <w:szCs w:val="16"/>
        </w:rPr>
        <w:t>缺铁性贫血</w:t>
      </w:r>
    </w:p>
    <w:p w:rsidR="00EA40A3" w:rsidRDefault="00E86C16">
      <w:pPr>
        <w:spacing w:before="1" w:line="220" w:lineRule="auto"/>
        <w:rPr>
          <w:rFonts w:ascii="宋体" w:eastAsia="宋体" w:hAnsi="宋体" w:cs="宋体"/>
          <w:sz w:val="16"/>
          <w:szCs w:val="16"/>
        </w:rPr>
      </w:pPr>
      <w:r>
        <w:rPr>
          <w:rFonts w:ascii="宋体" w:eastAsia="宋体" w:hAnsi="宋体" w:cs="宋体"/>
          <w:spacing w:val="-12"/>
          <w:sz w:val="16"/>
          <w:szCs w:val="16"/>
        </w:rPr>
        <w:t>iron</w:t>
      </w:r>
      <w:r>
        <w:rPr>
          <w:rFonts w:ascii="宋体" w:eastAsia="宋体" w:hAnsi="宋体" w:cs="宋体"/>
          <w:spacing w:val="58"/>
          <w:w w:val="101"/>
          <w:sz w:val="16"/>
          <w:szCs w:val="16"/>
        </w:rPr>
        <w:t xml:space="preserve"> </w:t>
      </w:r>
      <w:r>
        <w:rPr>
          <w:rFonts w:ascii="宋体" w:eastAsia="宋体" w:hAnsi="宋体" w:cs="宋体"/>
          <w:spacing w:val="-12"/>
          <w:sz w:val="16"/>
          <w:szCs w:val="16"/>
        </w:rPr>
        <w:t>铁</w:t>
      </w:r>
    </w:p>
    <w:p w:rsidR="00EA40A3" w:rsidRDefault="00E86C16">
      <w:pPr>
        <w:spacing w:before="55" w:line="216" w:lineRule="auto"/>
        <w:rPr>
          <w:rFonts w:ascii="宋体" w:eastAsia="宋体" w:hAnsi="宋体" w:cs="宋体"/>
          <w:sz w:val="16"/>
          <w:szCs w:val="16"/>
        </w:rPr>
      </w:pPr>
      <w:r>
        <w:rPr>
          <w:rFonts w:ascii="宋体" w:eastAsia="宋体" w:hAnsi="宋体" w:cs="宋体"/>
          <w:spacing w:val="-9"/>
          <w:sz w:val="16"/>
          <w:szCs w:val="16"/>
        </w:rPr>
        <w:t>isoleucine,Ile</w:t>
      </w:r>
      <w:r>
        <w:rPr>
          <w:rFonts w:ascii="宋体" w:eastAsia="宋体" w:hAnsi="宋体" w:cs="宋体"/>
          <w:spacing w:val="54"/>
          <w:w w:val="101"/>
          <w:sz w:val="16"/>
          <w:szCs w:val="16"/>
        </w:rPr>
        <w:t xml:space="preserve"> </w:t>
      </w:r>
      <w:r>
        <w:rPr>
          <w:rFonts w:ascii="宋体" w:eastAsia="宋体" w:hAnsi="宋体" w:cs="宋体"/>
          <w:spacing w:val="-9"/>
          <w:sz w:val="16"/>
          <w:szCs w:val="16"/>
        </w:rPr>
        <w:t>异亮氨酸</w:t>
      </w:r>
    </w:p>
    <w:p w:rsidR="00EA40A3" w:rsidRDefault="00E86C16">
      <w:pPr>
        <w:spacing w:before="60" w:line="254" w:lineRule="exact"/>
        <w:rPr>
          <w:rFonts w:ascii="宋体" w:eastAsia="宋体" w:hAnsi="宋体" w:cs="宋体"/>
          <w:sz w:val="16"/>
          <w:szCs w:val="16"/>
        </w:rPr>
      </w:pPr>
      <w:r>
        <w:rPr>
          <w:rFonts w:ascii="宋体" w:eastAsia="宋体" w:hAnsi="宋体" w:cs="宋体"/>
          <w:spacing w:val="-11"/>
          <w:position w:val="7"/>
          <w:sz w:val="16"/>
          <w:szCs w:val="16"/>
        </w:rPr>
        <w:t>isomaltooligosaccharide</w:t>
      </w:r>
      <w:r>
        <w:rPr>
          <w:rFonts w:ascii="宋体" w:eastAsia="宋体" w:hAnsi="宋体" w:cs="宋体"/>
          <w:spacing w:val="63"/>
          <w:position w:val="7"/>
          <w:sz w:val="16"/>
          <w:szCs w:val="16"/>
        </w:rPr>
        <w:t xml:space="preserve"> </w:t>
      </w:r>
      <w:r>
        <w:rPr>
          <w:rFonts w:ascii="宋体" w:eastAsia="宋体" w:hAnsi="宋体" w:cs="宋体"/>
          <w:spacing w:val="-11"/>
          <w:position w:val="7"/>
          <w:sz w:val="16"/>
          <w:szCs w:val="16"/>
        </w:rPr>
        <w:t>低聚异麦芽糖</w:t>
      </w:r>
    </w:p>
    <w:p w:rsidR="00EA40A3" w:rsidRDefault="00E86C16">
      <w:pPr>
        <w:spacing w:before="1" w:line="218" w:lineRule="auto"/>
        <w:rPr>
          <w:rFonts w:ascii="宋体" w:eastAsia="宋体" w:hAnsi="宋体" w:cs="宋体"/>
          <w:sz w:val="16"/>
          <w:szCs w:val="16"/>
        </w:rPr>
      </w:pPr>
      <w:r>
        <w:rPr>
          <w:rFonts w:ascii="宋体" w:eastAsia="宋体" w:hAnsi="宋体" w:cs="宋体"/>
          <w:spacing w:val="-9"/>
          <w:sz w:val="16"/>
          <w:szCs w:val="16"/>
        </w:rPr>
        <w:t>isomaltulose</w:t>
      </w:r>
      <w:r>
        <w:rPr>
          <w:rFonts w:ascii="宋体" w:eastAsia="宋体" w:hAnsi="宋体" w:cs="宋体"/>
          <w:spacing w:val="45"/>
          <w:sz w:val="16"/>
          <w:szCs w:val="16"/>
        </w:rPr>
        <w:t xml:space="preserve"> </w:t>
      </w:r>
      <w:r>
        <w:rPr>
          <w:rFonts w:ascii="宋体" w:eastAsia="宋体" w:hAnsi="宋体" w:cs="宋体"/>
          <w:spacing w:val="-9"/>
          <w:sz w:val="16"/>
          <w:szCs w:val="16"/>
        </w:rPr>
        <w:t>异麦芽酮糖</w:t>
      </w:r>
    </w:p>
    <w:p w:rsidR="00EA40A3" w:rsidRDefault="00E86C16">
      <w:pPr>
        <w:spacing w:before="57" w:line="254" w:lineRule="exact"/>
        <w:rPr>
          <w:rFonts w:ascii="宋体" w:eastAsia="宋体" w:hAnsi="宋体" w:cs="宋体"/>
          <w:sz w:val="16"/>
          <w:szCs w:val="16"/>
        </w:rPr>
      </w:pPr>
      <w:r>
        <w:rPr>
          <w:rFonts w:ascii="宋体" w:eastAsia="宋体" w:hAnsi="宋体" w:cs="宋体"/>
          <w:spacing w:val="-6"/>
          <w:position w:val="7"/>
          <w:sz w:val="16"/>
          <w:szCs w:val="16"/>
        </w:rPr>
        <w:t>isothiocyanates,ITS</w:t>
      </w:r>
      <w:r>
        <w:rPr>
          <w:rFonts w:ascii="宋体" w:eastAsia="宋体" w:hAnsi="宋体" w:cs="宋体"/>
          <w:spacing w:val="66"/>
          <w:position w:val="7"/>
          <w:sz w:val="16"/>
          <w:szCs w:val="16"/>
        </w:rPr>
        <w:t xml:space="preserve"> </w:t>
      </w:r>
      <w:r>
        <w:rPr>
          <w:rFonts w:ascii="宋体" w:eastAsia="宋体" w:hAnsi="宋体" w:cs="宋体"/>
          <w:spacing w:val="-6"/>
          <w:position w:val="7"/>
          <w:sz w:val="16"/>
          <w:szCs w:val="16"/>
        </w:rPr>
        <w:t>异硫氰酸盐</w:t>
      </w:r>
    </w:p>
    <w:p w:rsidR="00EA40A3" w:rsidRDefault="00E86C16">
      <w:pPr>
        <w:spacing w:line="219" w:lineRule="auto"/>
        <w:rPr>
          <w:rFonts w:ascii="宋体" w:eastAsia="宋体" w:hAnsi="宋体" w:cs="宋体"/>
          <w:sz w:val="16"/>
          <w:szCs w:val="16"/>
        </w:rPr>
      </w:pPr>
      <w:r>
        <w:rPr>
          <w:rFonts w:ascii="宋体" w:eastAsia="宋体" w:hAnsi="宋体" w:cs="宋体"/>
          <w:spacing w:val="-13"/>
          <w:sz w:val="16"/>
          <w:szCs w:val="16"/>
        </w:rPr>
        <w:t>iso-flavone</w:t>
      </w:r>
      <w:r>
        <w:rPr>
          <w:rFonts w:ascii="宋体" w:eastAsia="宋体" w:hAnsi="宋体" w:cs="宋体"/>
          <w:spacing w:val="55"/>
          <w:sz w:val="16"/>
          <w:szCs w:val="16"/>
        </w:rPr>
        <w:t xml:space="preserve"> </w:t>
      </w:r>
      <w:r>
        <w:rPr>
          <w:rFonts w:ascii="宋体" w:eastAsia="宋体" w:hAnsi="宋体" w:cs="宋体"/>
          <w:spacing w:val="-13"/>
          <w:sz w:val="16"/>
          <w:szCs w:val="16"/>
        </w:rPr>
        <w:t>异黄酮</w:t>
      </w:r>
    </w:p>
    <w:p w:rsidR="00EA40A3" w:rsidRDefault="00E86C16">
      <w:pPr>
        <w:spacing w:before="61" w:line="220" w:lineRule="auto"/>
        <w:rPr>
          <w:rFonts w:ascii="宋体" w:eastAsia="宋体" w:hAnsi="宋体" w:cs="宋体"/>
          <w:sz w:val="16"/>
          <w:szCs w:val="16"/>
        </w:rPr>
      </w:pPr>
      <w:r>
        <w:rPr>
          <w:rFonts w:ascii="宋体" w:eastAsia="宋体" w:hAnsi="宋体" w:cs="宋体"/>
          <w:spacing w:val="-8"/>
          <w:sz w:val="16"/>
          <w:szCs w:val="16"/>
        </w:rPr>
        <w:t>kalium</w:t>
      </w:r>
      <w:r>
        <w:rPr>
          <w:rFonts w:ascii="宋体" w:eastAsia="宋体" w:hAnsi="宋体" w:cs="宋体"/>
          <w:spacing w:val="75"/>
          <w:sz w:val="16"/>
          <w:szCs w:val="16"/>
        </w:rPr>
        <w:t xml:space="preserve"> </w:t>
      </w:r>
      <w:r>
        <w:rPr>
          <w:rFonts w:ascii="宋体" w:eastAsia="宋体" w:hAnsi="宋体" w:cs="宋体"/>
          <w:spacing w:val="-8"/>
          <w:sz w:val="16"/>
          <w:szCs w:val="16"/>
        </w:rPr>
        <w:t>钾</w:t>
      </w:r>
    </w:p>
    <w:p w:rsidR="00EA40A3" w:rsidRDefault="00E86C16">
      <w:pPr>
        <w:spacing w:before="53" w:line="214" w:lineRule="auto"/>
        <w:rPr>
          <w:rFonts w:ascii="宋体" w:eastAsia="宋体" w:hAnsi="宋体" w:cs="宋体"/>
          <w:sz w:val="16"/>
          <w:szCs w:val="16"/>
        </w:rPr>
      </w:pPr>
      <w:r>
        <w:rPr>
          <w:rFonts w:ascii="宋体" w:eastAsia="宋体" w:hAnsi="宋体" w:cs="宋体"/>
          <w:spacing w:val="-2"/>
          <w:sz w:val="16"/>
          <w:szCs w:val="16"/>
        </w:rPr>
        <w:t>konjac</w:t>
      </w:r>
      <w:r>
        <w:rPr>
          <w:rFonts w:ascii="宋体" w:eastAsia="宋体" w:hAnsi="宋体" w:cs="宋体"/>
          <w:spacing w:val="12"/>
          <w:sz w:val="16"/>
          <w:szCs w:val="16"/>
        </w:rPr>
        <w:t xml:space="preserve">  </w:t>
      </w:r>
      <w:r>
        <w:rPr>
          <w:rFonts w:ascii="宋体" w:eastAsia="宋体" w:hAnsi="宋体" w:cs="宋体"/>
          <w:spacing w:val="-2"/>
          <w:sz w:val="16"/>
          <w:szCs w:val="16"/>
        </w:rPr>
        <w:t>glucomannan,KGM</w:t>
      </w:r>
      <w:r>
        <w:rPr>
          <w:rFonts w:ascii="宋体" w:eastAsia="宋体" w:hAnsi="宋体" w:cs="宋体"/>
          <w:spacing w:val="39"/>
          <w:sz w:val="16"/>
          <w:szCs w:val="16"/>
        </w:rPr>
        <w:t xml:space="preserve"> </w:t>
      </w:r>
      <w:r>
        <w:rPr>
          <w:rFonts w:ascii="宋体" w:eastAsia="宋体" w:hAnsi="宋体" w:cs="宋体"/>
          <w:spacing w:val="-2"/>
          <w:sz w:val="16"/>
          <w:szCs w:val="16"/>
        </w:rPr>
        <w:t>魔芋多糖，即魔芋葡甘</w:t>
      </w:r>
    </w:p>
    <w:p w:rsidR="00EA40A3" w:rsidRDefault="00E86C16">
      <w:pPr>
        <w:spacing w:before="111" w:line="220" w:lineRule="auto"/>
        <w:ind w:left="130"/>
        <w:rPr>
          <w:rFonts w:ascii="宋体" w:eastAsia="宋体" w:hAnsi="宋体" w:cs="宋体"/>
          <w:sz w:val="16"/>
          <w:szCs w:val="16"/>
        </w:rPr>
      </w:pPr>
      <w:r>
        <w:rPr>
          <w:rFonts w:ascii="宋体" w:eastAsia="宋体" w:hAnsi="宋体" w:cs="宋体"/>
          <w:spacing w:val="-4"/>
          <w:sz w:val="16"/>
          <w:szCs w:val="16"/>
        </w:rPr>
        <w:t>聚糖</w:t>
      </w:r>
    </w:p>
    <w:p w:rsidR="00EA40A3" w:rsidRDefault="00E86C16">
      <w:pPr>
        <w:spacing w:before="69" w:line="250" w:lineRule="exact"/>
        <w:rPr>
          <w:rFonts w:ascii="宋体" w:eastAsia="宋体" w:hAnsi="宋体" w:cs="宋体"/>
          <w:sz w:val="16"/>
          <w:szCs w:val="16"/>
        </w:rPr>
      </w:pPr>
      <w:r>
        <w:rPr>
          <w:rFonts w:ascii="宋体" w:eastAsia="宋体" w:hAnsi="宋体" w:cs="宋体"/>
          <w:spacing w:val="-6"/>
          <w:position w:val="6"/>
          <w:sz w:val="16"/>
          <w:szCs w:val="16"/>
        </w:rPr>
        <w:t>lactoalbumin</w:t>
      </w:r>
      <w:r>
        <w:rPr>
          <w:rFonts w:ascii="宋体" w:eastAsia="宋体" w:hAnsi="宋体" w:cs="宋体"/>
          <w:spacing w:val="45"/>
          <w:position w:val="6"/>
          <w:sz w:val="16"/>
          <w:szCs w:val="16"/>
        </w:rPr>
        <w:t xml:space="preserve"> </w:t>
      </w:r>
      <w:r>
        <w:rPr>
          <w:rFonts w:ascii="宋体" w:eastAsia="宋体" w:hAnsi="宋体" w:cs="宋体"/>
          <w:spacing w:val="-6"/>
          <w:position w:val="6"/>
          <w:sz w:val="16"/>
          <w:szCs w:val="16"/>
        </w:rPr>
        <w:t>乳白蛋白</w:t>
      </w:r>
    </w:p>
    <w:p w:rsidR="00EA40A3" w:rsidRDefault="00E86C16">
      <w:pPr>
        <w:spacing w:line="220" w:lineRule="auto"/>
        <w:rPr>
          <w:rFonts w:ascii="宋体" w:eastAsia="宋体" w:hAnsi="宋体" w:cs="宋体"/>
          <w:sz w:val="16"/>
          <w:szCs w:val="16"/>
        </w:rPr>
      </w:pPr>
      <w:r>
        <w:rPr>
          <w:rFonts w:ascii="宋体" w:eastAsia="宋体" w:hAnsi="宋体" w:cs="宋体"/>
          <w:spacing w:val="-14"/>
          <w:sz w:val="16"/>
          <w:szCs w:val="16"/>
        </w:rPr>
        <w:t>lactoferrin</w:t>
      </w:r>
      <w:r>
        <w:rPr>
          <w:rFonts w:ascii="宋体" w:eastAsia="宋体" w:hAnsi="宋体" w:cs="宋体"/>
          <w:spacing w:val="53"/>
          <w:sz w:val="16"/>
          <w:szCs w:val="16"/>
        </w:rPr>
        <w:t xml:space="preserve"> </w:t>
      </w:r>
      <w:r>
        <w:rPr>
          <w:rFonts w:ascii="宋体" w:eastAsia="宋体" w:hAnsi="宋体" w:cs="宋体"/>
          <w:spacing w:val="-14"/>
          <w:sz w:val="16"/>
          <w:szCs w:val="16"/>
        </w:rPr>
        <w:t>乳铁蛋白</w:t>
      </w:r>
    </w:p>
    <w:p w:rsidR="00EA40A3" w:rsidRDefault="00E86C16">
      <w:pPr>
        <w:spacing w:before="56" w:line="253" w:lineRule="exact"/>
        <w:rPr>
          <w:rFonts w:ascii="宋体" w:eastAsia="宋体" w:hAnsi="宋体" w:cs="宋体"/>
          <w:sz w:val="16"/>
          <w:szCs w:val="16"/>
        </w:rPr>
      </w:pPr>
      <w:r>
        <w:rPr>
          <w:rFonts w:ascii="宋体" w:eastAsia="宋体" w:hAnsi="宋体" w:cs="宋体"/>
          <w:spacing w:val="-9"/>
          <w:position w:val="7"/>
          <w:sz w:val="16"/>
          <w:szCs w:val="16"/>
        </w:rPr>
        <w:t>lactose</w:t>
      </w:r>
      <w:r>
        <w:rPr>
          <w:rFonts w:ascii="宋体" w:eastAsia="宋体" w:hAnsi="宋体" w:cs="宋体"/>
          <w:spacing w:val="5"/>
          <w:position w:val="7"/>
          <w:sz w:val="16"/>
          <w:szCs w:val="16"/>
        </w:rPr>
        <w:t xml:space="preserve"> </w:t>
      </w:r>
      <w:r>
        <w:rPr>
          <w:rFonts w:ascii="宋体" w:eastAsia="宋体" w:hAnsi="宋体" w:cs="宋体"/>
          <w:spacing w:val="-9"/>
          <w:position w:val="7"/>
          <w:sz w:val="16"/>
          <w:szCs w:val="16"/>
        </w:rPr>
        <w:t>intolcrance,LI</w:t>
      </w:r>
      <w:r>
        <w:rPr>
          <w:rFonts w:ascii="宋体" w:eastAsia="宋体" w:hAnsi="宋体" w:cs="宋体"/>
          <w:spacing w:val="36"/>
          <w:position w:val="7"/>
          <w:sz w:val="16"/>
          <w:szCs w:val="16"/>
        </w:rPr>
        <w:t xml:space="preserve"> </w:t>
      </w:r>
      <w:r>
        <w:rPr>
          <w:rFonts w:ascii="宋体" w:eastAsia="宋体" w:hAnsi="宋体" w:cs="宋体"/>
          <w:spacing w:val="-9"/>
          <w:position w:val="7"/>
          <w:sz w:val="16"/>
          <w:szCs w:val="16"/>
        </w:rPr>
        <w:t>乳</w:t>
      </w:r>
      <w:r>
        <w:rPr>
          <w:rFonts w:ascii="宋体" w:eastAsia="宋体" w:hAnsi="宋体" w:cs="宋体"/>
          <w:spacing w:val="-10"/>
          <w:position w:val="7"/>
          <w:sz w:val="16"/>
          <w:szCs w:val="16"/>
        </w:rPr>
        <w:t>糖不耐症</w:t>
      </w:r>
    </w:p>
    <w:p w:rsidR="00EA40A3" w:rsidRDefault="00E86C16">
      <w:pPr>
        <w:spacing w:line="220" w:lineRule="auto"/>
        <w:rPr>
          <w:rFonts w:ascii="宋体" w:eastAsia="宋体" w:hAnsi="宋体" w:cs="宋体"/>
          <w:sz w:val="16"/>
          <w:szCs w:val="16"/>
        </w:rPr>
      </w:pPr>
      <w:r>
        <w:rPr>
          <w:rFonts w:ascii="宋体" w:eastAsia="宋体" w:hAnsi="宋体" w:cs="宋体"/>
          <w:spacing w:val="-12"/>
          <w:sz w:val="16"/>
          <w:szCs w:val="16"/>
        </w:rPr>
        <w:t>lactose</w:t>
      </w:r>
      <w:r>
        <w:rPr>
          <w:rFonts w:ascii="宋体" w:eastAsia="宋体" w:hAnsi="宋体" w:cs="宋体"/>
          <w:spacing w:val="53"/>
          <w:w w:val="101"/>
          <w:sz w:val="16"/>
          <w:szCs w:val="16"/>
        </w:rPr>
        <w:t xml:space="preserve"> </w:t>
      </w:r>
      <w:r>
        <w:rPr>
          <w:rFonts w:ascii="宋体" w:eastAsia="宋体" w:hAnsi="宋体" w:cs="宋体"/>
          <w:spacing w:val="-12"/>
          <w:sz w:val="16"/>
          <w:szCs w:val="16"/>
        </w:rPr>
        <w:t>乳糖</w:t>
      </w:r>
    </w:p>
    <w:p w:rsidR="00EA40A3" w:rsidRDefault="00E86C16">
      <w:pPr>
        <w:spacing w:before="60" w:line="249" w:lineRule="exact"/>
        <w:rPr>
          <w:rFonts w:ascii="宋体" w:eastAsia="宋体" w:hAnsi="宋体" w:cs="宋体"/>
          <w:sz w:val="16"/>
          <w:szCs w:val="16"/>
        </w:rPr>
      </w:pPr>
      <w:r>
        <w:rPr>
          <w:rFonts w:ascii="宋体" w:eastAsia="宋体" w:hAnsi="宋体" w:cs="宋体"/>
          <w:spacing w:val="-9"/>
          <w:position w:val="6"/>
          <w:sz w:val="16"/>
          <w:szCs w:val="16"/>
        </w:rPr>
        <w:t>lactosucrose</w:t>
      </w:r>
      <w:r>
        <w:rPr>
          <w:rFonts w:ascii="宋体" w:eastAsia="宋体" w:hAnsi="宋体" w:cs="宋体"/>
          <w:spacing w:val="48"/>
          <w:w w:val="101"/>
          <w:position w:val="6"/>
          <w:sz w:val="16"/>
          <w:szCs w:val="16"/>
        </w:rPr>
        <w:t xml:space="preserve"> </w:t>
      </w:r>
      <w:r>
        <w:rPr>
          <w:rFonts w:ascii="宋体" w:eastAsia="宋体" w:hAnsi="宋体" w:cs="宋体"/>
          <w:spacing w:val="-9"/>
          <w:position w:val="6"/>
          <w:sz w:val="16"/>
          <w:szCs w:val="16"/>
        </w:rPr>
        <w:t>低聚乳果糖</w:t>
      </w:r>
    </w:p>
    <w:p w:rsidR="00EA40A3" w:rsidRDefault="00E86C16">
      <w:pPr>
        <w:spacing w:line="219" w:lineRule="auto"/>
        <w:rPr>
          <w:rFonts w:ascii="宋体" w:eastAsia="宋体" w:hAnsi="宋体" w:cs="宋体"/>
          <w:sz w:val="16"/>
          <w:szCs w:val="16"/>
        </w:rPr>
      </w:pPr>
      <w:r>
        <w:rPr>
          <w:rFonts w:ascii="宋体" w:eastAsia="宋体" w:hAnsi="宋体" w:cs="宋体"/>
          <w:spacing w:val="-15"/>
          <w:sz w:val="16"/>
          <w:szCs w:val="16"/>
        </w:rPr>
        <w:t>lauric</w:t>
      </w:r>
      <w:r>
        <w:rPr>
          <w:rFonts w:ascii="宋体" w:eastAsia="宋体" w:hAnsi="宋体" w:cs="宋体"/>
          <w:spacing w:val="-10"/>
          <w:sz w:val="16"/>
          <w:szCs w:val="16"/>
        </w:rPr>
        <w:t xml:space="preserve"> </w:t>
      </w:r>
      <w:r>
        <w:rPr>
          <w:rFonts w:ascii="宋体" w:eastAsia="宋体" w:hAnsi="宋体" w:cs="宋体"/>
          <w:spacing w:val="-15"/>
          <w:sz w:val="16"/>
          <w:szCs w:val="16"/>
        </w:rPr>
        <w:t>acid</w:t>
      </w:r>
      <w:r>
        <w:rPr>
          <w:rFonts w:ascii="宋体" w:eastAsia="宋体" w:hAnsi="宋体" w:cs="宋体"/>
          <w:spacing w:val="47"/>
          <w:sz w:val="16"/>
          <w:szCs w:val="16"/>
        </w:rPr>
        <w:t xml:space="preserve"> </w:t>
      </w:r>
      <w:r>
        <w:rPr>
          <w:rFonts w:ascii="宋体" w:eastAsia="宋体" w:hAnsi="宋体" w:cs="宋体"/>
          <w:spacing w:val="-15"/>
          <w:sz w:val="16"/>
          <w:szCs w:val="16"/>
        </w:rPr>
        <w:t>月桂酸</w:t>
      </w:r>
    </w:p>
    <w:p w:rsidR="00EA40A3" w:rsidRDefault="00E86C16">
      <w:pPr>
        <w:spacing w:before="55" w:line="254" w:lineRule="auto"/>
        <w:ind w:right="237"/>
        <w:rPr>
          <w:rFonts w:ascii="宋体" w:eastAsia="宋体" w:hAnsi="宋体" w:cs="宋体"/>
          <w:sz w:val="16"/>
          <w:szCs w:val="16"/>
        </w:rPr>
      </w:pPr>
      <w:r>
        <w:rPr>
          <w:rFonts w:ascii="宋体" w:eastAsia="宋体" w:hAnsi="宋体" w:cs="宋体"/>
          <w:spacing w:val="-6"/>
          <w:sz w:val="16"/>
          <w:szCs w:val="16"/>
        </w:rPr>
        <w:t>Lentinus</w:t>
      </w:r>
      <w:r>
        <w:rPr>
          <w:rFonts w:ascii="宋体" w:eastAsia="宋体" w:hAnsi="宋体" w:cs="宋体"/>
          <w:spacing w:val="3"/>
          <w:sz w:val="16"/>
          <w:szCs w:val="16"/>
        </w:rPr>
        <w:t xml:space="preserve"> </w:t>
      </w:r>
      <w:r>
        <w:rPr>
          <w:rFonts w:ascii="宋体" w:eastAsia="宋体" w:hAnsi="宋体" w:cs="宋体"/>
          <w:spacing w:val="-6"/>
          <w:sz w:val="16"/>
          <w:szCs w:val="16"/>
        </w:rPr>
        <w:t>edodes</w:t>
      </w:r>
      <w:r>
        <w:rPr>
          <w:rFonts w:ascii="宋体" w:eastAsia="宋体" w:hAnsi="宋体" w:cs="宋体"/>
          <w:spacing w:val="-2"/>
          <w:sz w:val="16"/>
          <w:szCs w:val="16"/>
        </w:rPr>
        <w:t xml:space="preserve"> </w:t>
      </w:r>
      <w:r>
        <w:rPr>
          <w:rFonts w:ascii="宋体" w:eastAsia="宋体" w:hAnsi="宋体" w:cs="宋体"/>
          <w:spacing w:val="-6"/>
          <w:sz w:val="16"/>
          <w:szCs w:val="16"/>
        </w:rPr>
        <w:t>polysaeecharide,LEP</w:t>
      </w:r>
      <w:r>
        <w:rPr>
          <w:rFonts w:ascii="宋体" w:eastAsia="宋体" w:hAnsi="宋体" w:cs="宋体"/>
          <w:spacing w:val="44"/>
          <w:sz w:val="16"/>
          <w:szCs w:val="16"/>
        </w:rPr>
        <w:t xml:space="preserve"> </w:t>
      </w:r>
      <w:r>
        <w:rPr>
          <w:rFonts w:ascii="宋体" w:eastAsia="宋体" w:hAnsi="宋体" w:cs="宋体"/>
          <w:spacing w:val="-6"/>
          <w:sz w:val="16"/>
          <w:szCs w:val="16"/>
        </w:rPr>
        <w:t>香茹</w:t>
      </w:r>
      <w:r>
        <w:rPr>
          <w:rFonts w:ascii="宋体" w:eastAsia="宋体" w:hAnsi="宋体" w:cs="宋体"/>
          <w:spacing w:val="-7"/>
          <w:sz w:val="16"/>
          <w:szCs w:val="16"/>
        </w:rPr>
        <w:t>多糖</w:t>
      </w:r>
      <w:r>
        <w:rPr>
          <w:rFonts w:ascii="宋体" w:eastAsia="宋体" w:hAnsi="宋体" w:cs="宋体"/>
          <w:sz w:val="16"/>
          <w:szCs w:val="16"/>
        </w:rPr>
        <w:t xml:space="preserve"> </w:t>
      </w:r>
      <w:r>
        <w:rPr>
          <w:rFonts w:ascii="宋体" w:eastAsia="宋体" w:hAnsi="宋体" w:cs="宋体"/>
          <w:spacing w:val="-3"/>
          <w:sz w:val="16"/>
          <w:szCs w:val="16"/>
        </w:rPr>
        <w:t>leucine,Leu</w:t>
      </w:r>
      <w:r>
        <w:rPr>
          <w:rFonts w:ascii="宋体" w:eastAsia="宋体" w:hAnsi="宋体" w:cs="宋体"/>
          <w:spacing w:val="48"/>
          <w:sz w:val="16"/>
          <w:szCs w:val="16"/>
        </w:rPr>
        <w:t xml:space="preserve"> </w:t>
      </w:r>
      <w:r>
        <w:rPr>
          <w:rFonts w:ascii="宋体" w:eastAsia="宋体" w:hAnsi="宋体" w:cs="宋体"/>
          <w:spacing w:val="-3"/>
          <w:sz w:val="16"/>
          <w:szCs w:val="16"/>
        </w:rPr>
        <w:t>亮氨酸</w:t>
      </w:r>
    </w:p>
    <w:p w:rsidR="00EA40A3" w:rsidRDefault="00E86C16">
      <w:pPr>
        <w:spacing w:before="60" w:line="256" w:lineRule="exact"/>
        <w:rPr>
          <w:rFonts w:ascii="宋体" w:eastAsia="宋体" w:hAnsi="宋体" w:cs="宋体"/>
          <w:sz w:val="16"/>
          <w:szCs w:val="16"/>
        </w:rPr>
      </w:pPr>
      <w:r>
        <w:rPr>
          <w:rFonts w:ascii="宋体" w:eastAsia="宋体" w:hAnsi="宋体" w:cs="宋体"/>
          <w:spacing w:val="-13"/>
          <w:position w:val="7"/>
          <w:sz w:val="16"/>
          <w:szCs w:val="16"/>
        </w:rPr>
        <w:t>limiting</w:t>
      </w:r>
      <w:r>
        <w:rPr>
          <w:rFonts w:ascii="宋体" w:eastAsia="宋体" w:hAnsi="宋体" w:cs="宋体"/>
          <w:spacing w:val="-7"/>
          <w:position w:val="7"/>
          <w:sz w:val="16"/>
          <w:szCs w:val="16"/>
        </w:rPr>
        <w:t xml:space="preserve"> </w:t>
      </w:r>
      <w:r>
        <w:rPr>
          <w:rFonts w:ascii="宋体" w:eastAsia="宋体" w:hAnsi="宋体" w:cs="宋体"/>
          <w:spacing w:val="-13"/>
          <w:position w:val="7"/>
          <w:sz w:val="16"/>
          <w:szCs w:val="16"/>
        </w:rPr>
        <w:t>amino</w:t>
      </w:r>
      <w:r>
        <w:rPr>
          <w:rFonts w:ascii="宋体" w:eastAsia="宋体" w:hAnsi="宋体" w:cs="宋体"/>
          <w:spacing w:val="-9"/>
          <w:position w:val="7"/>
          <w:sz w:val="16"/>
          <w:szCs w:val="16"/>
        </w:rPr>
        <w:t xml:space="preserve"> </w:t>
      </w:r>
      <w:r>
        <w:rPr>
          <w:rFonts w:ascii="宋体" w:eastAsia="宋体" w:hAnsi="宋体" w:cs="宋体"/>
          <w:spacing w:val="-13"/>
          <w:position w:val="7"/>
          <w:sz w:val="16"/>
          <w:szCs w:val="16"/>
        </w:rPr>
        <w:t>acid</w:t>
      </w:r>
      <w:r>
        <w:rPr>
          <w:rFonts w:ascii="宋体" w:eastAsia="宋体" w:hAnsi="宋体" w:cs="宋体"/>
          <w:spacing w:val="67"/>
          <w:position w:val="7"/>
          <w:sz w:val="16"/>
          <w:szCs w:val="16"/>
        </w:rPr>
        <w:t xml:space="preserve"> </w:t>
      </w:r>
      <w:r>
        <w:rPr>
          <w:rFonts w:ascii="宋体" w:eastAsia="宋体" w:hAnsi="宋体" w:cs="宋体"/>
          <w:spacing w:val="-13"/>
          <w:position w:val="7"/>
          <w:sz w:val="16"/>
          <w:szCs w:val="16"/>
        </w:rPr>
        <w:t>限制氨基酸</w:t>
      </w:r>
    </w:p>
    <w:p w:rsidR="00EA40A3" w:rsidRDefault="00E86C16">
      <w:pPr>
        <w:spacing w:before="1" w:line="220" w:lineRule="auto"/>
        <w:rPr>
          <w:rFonts w:ascii="宋体" w:eastAsia="宋体" w:hAnsi="宋体" w:cs="宋体"/>
          <w:sz w:val="16"/>
          <w:szCs w:val="16"/>
        </w:rPr>
      </w:pPr>
      <w:r>
        <w:rPr>
          <w:rFonts w:ascii="宋体" w:eastAsia="宋体" w:hAnsi="宋体" w:cs="宋体"/>
          <w:spacing w:val="-16"/>
          <w:sz w:val="16"/>
          <w:szCs w:val="16"/>
        </w:rPr>
        <w:t>linoleic</w:t>
      </w:r>
      <w:r>
        <w:rPr>
          <w:rFonts w:ascii="宋体" w:eastAsia="宋体" w:hAnsi="宋体" w:cs="宋体"/>
          <w:spacing w:val="-11"/>
          <w:sz w:val="16"/>
          <w:szCs w:val="16"/>
        </w:rPr>
        <w:t xml:space="preserve"> </w:t>
      </w:r>
      <w:r>
        <w:rPr>
          <w:rFonts w:ascii="宋体" w:eastAsia="宋体" w:hAnsi="宋体" w:cs="宋体"/>
          <w:spacing w:val="-16"/>
          <w:sz w:val="16"/>
          <w:szCs w:val="16"/>
        </w:rPr>
        <w:t>acid</w:t>
      </w:r>
      <w:r>
        <w:rPr>
          <w:rFonts w:ascii="宋体" w:eastAsia="宋体" w:hAnsi="宋体" w:cs="宋体"/>
          <w:spacing w:val="46"/>
          <w:w w:val="101"/>
          <w:sz w:val="16"/>
          <w:szCs w:val="16"/>
        </w:rPr>
        <w:t xml:space="preserve"> </w:t>
      </w:r>
      <w:r>
        <w:rPr>
          <w:rFonts w:ascii="宋体" w:eastAsia="宋体" w:hAnsi="宋体" w:cs="宋体"/>
          <w:spacing w:val="-16"/>
          <w:sz w:val="16"/>
          <w:szCs w:val="16"/>
        </w:rPr>
        <w:t>亚油酸</w:t>
      </w:r>
    </w:p>
    <w:p w:rsidR="00EA40A3" w:rsidRDefault="00E86C16">
      <w:pPr>
        <w:spacing w:before="53" w:line="214" w:lineRule="auto"/>
        <w:rPr>
          <w:rFonts w:ascii="宋体" w:eastAsia="宋体" w:hAnsi="宋体" w:cs="宋体"/>
          <w:sz w:val="16"/>
          <w:szCs w:val="16"/>
        </w:rPr>
      </w:pPr>
      <w:r>
        <w:rPr>
          <w:rFonts w:ascii="宋体" w:eastAsia="宋体" w:hAnsi="宋体" w:cs="宋体"/>
          <w:spacing w:val="-12"/>
          <w:sz w:val="16"/>
          <w:szCs w:val="16"/>
        </w:rPr>
        <w:t>lipids</w:t>
      </w:r>
      <w:r>
        <w:rPr>
          <w:rFonts w:ascii="宋体" w:eastAsia="宋体" w:hAnsi="宋体" w:cs="宋体"/>
          <w:spacing w:val="31"/>
          <w:w w:val="101"/>
          <w:sz w:val="16"/>
          <w:szCs w:val="16"/>
        </w:rPr>
        <w:t xml:space="preserve"> </w:t>
      </w:r>
      <w:r>
        <w:rPr>
          <w:rFonts w:ascii="宋体" w:eastAsia="宋体" w:hAnsi="宋体" w:cs="宋体"/>
          <w:spacing w:val="-12"/>
          <w:sz w:val="16"/>
          <w:szCs w:val="16"/>
        </w:rPr>
        <w:t>脂类</w:t>
      </w:r>
    </w:p>
    <w:p w:rsidR="00EA40A3" w:rsidRDefault="00E86C16">
      <w:pPr>
        <w:spacing w:before="65" w:line="251" w:lineRule="auto"/>
        <w:ind w:right="413"/>
        <w:rPr>
          <w:rFonts w:ascii="宋体" w:eastAsia="宋体" w:hAnsi="宋体" w:cs="宋体"/>
          <w:sz w:val="16"/>
          <w:szCs w:val="16"/>
        </w:rPr>
      </w:pPr>
      <w:r>
        <w:rPr>
          <w:rFonts w:ascii="宋体" w:eastAsia="宋体" w:hAnsi="宋体" w:cs="宋体"/>
          <w:spacing w:val="-7"/>
          <w:sz w:val="16"/>
          <w:szCs w:val="16"/>
        </w:rPr>
        <w:t>lipocyte</w:t>
      </w:r>
      <w:r>
        <w:rPr>
          <w:rFonts w:ascii="宋体" w:eastAsia="宋体" w:hAnsi="宋体" w:cs="宋体"/>
          <w:spacing w:val="53"/>
          <w:sz w:val="16"/>
          <w:szCs w:val="16"/>
        </w:rPr>
        <w:t xml:space="preserve"> </w:t>
      </w:r>
      <w:r>
        <w:rPr>
          <w:rFonts w:ascii="宋体" w:eastAsia="宋体" w:hAnsi="宋体" w:cs="宋体"/>
          <w:spacing w:val="-7"/>
          <w:sz w:val="16"/>
          <w:szCs w:val="16"/>
        </w:rPr>
        <w:t>脂肪细胞，储脂细胞，类脂储存细胞</w:t>
      </w:r>
      <w:r>
        <w:rPr>
          <w:rFonts w:ascii="宋体" w:eastAsia="宋体" w:hAnsi="宋体" w:cs="宋体"/>
          <w:sz w:val="16"/>
          <w:szCs w:val="16"/>
        </w:rPr>
        <w:t xml:space="preserve"> </w:t>
      </w:r>
      <w:r>
        <w:rPr>
          <w:rFonts w:ascii="宋体" w:eastAsia="宋体" w:hAnsi="宋体" w:cs="宋体"/>
          <w:spacing w:val="-14"/>
          <w:sz w:val="16"/>
          <w:szCs w:val="16"/>
        </w:rPr>
        <w:t>lipofuscin</w:t>
      </w:r>
      <w:r>
        <w:rPr>
          <w:rFonts w:ascii="宋体" w:eastAsia="宋体" w:hAnsi="宋体" w:cs="宋体"/>
          <w:spacing w:val="56"/>
          <w:sz w:val="16"/>
          <w:szCs w:val="16"/>
        </w:rPr>
        <w:t xml:space="preserve"> </w:t>
      </w:r>
      <w:r>
        <w:rPr>
          <w:rFonts w:ascii="宋体" w:eastAsia="宋体" w:hAnsi="宋体" w:cs="宋体"/>
          <w:spacing w:val="-14"/>
          <w:sz w:val="16"/>
          <w:szCs w:val="16"/>
        </w:rPr>
        <w:t>脂褐素</w:t>
      </w:r>
    </w:p>
    <w:p w:rsidR="00EA40A3" w:rsidRDefault="00E86C16">
      <w:pPr>
        <w:spacing w:before="65" w:line="214" w:lineRule="auto"/>
        <w:rPr>
          <w:rFonts w:ascii="宋体" w:eastAsia="宋体" w:hAnsi="宋体" w:cs="宋体"/>
          <w:sz w:val="16"/>
          <w:szCs w:val="16"/>
        </w:rPr>
      </w:pPr>
      <w:r>
        <w:rPr>
          <w:rFonts w:ascii="宋体" w:eastAsia="宋体" w:hAnsi="宋体" w:cs="宋体"/>
          <w:spacing w:val="-7"/>
          <w:sz w:val="16"/>
          <w:szCs w:val="16"/>
        </w:rPr>
        <w:t>lipoic</w:t>
      </w:r>
      <w:r>
        <w:rPr>
          <w:rFonts w:ascii="宋体" w:eastAsia="宋体" w:hAnsi="宋体" w:cs="宋体"/>
          <w:spacing w:val="10"/>
          <w:sz w:val="16"/>
          <w:szCs w:val="16"/>
        </w:rPr>
        <w:t xml:space="preserve"> </w:t>
      </w:r>
      <w:r>
        <w:rPr>
          <w:rFonts w:ascii="宋体" w:eastAsia="宋体" w:hAnsi="宋体" w:cs="宋体"/>
          <w:spacing w:val="-7"/>
          <w:sz w:val="16"/>
          <w:szCs w:val="16"/>
        </w:rPr>
        <w:t>acid,LA</w:t>
      </w:r>
      <w:r>
        <w:rPr>
          <w:rFonts w:ascii="宋体" w:eastAsia="宋体" w:hAnsi="宋体" w:cs="宋体"/>
          <w:spacing w:val="57"/>
          <w:sz w:val="16"/>
          <w:szCs w:val="16"/>
        </w:rPr>
        <w:t xml:space="preserve"> </w:t>
      </w:r>
      <w:r>
        <w:rPr>
          <w:rFonts w:ascii="宋体" w:eastAsia="宋体" w:hAnsi="宋体" w:cs="宋体"/>
          <w:spacing w:val="-7"/>
          <w:sz w:val="16"/>
          <w:szCs w:val="16"/>
        </w:rPr>
        <w:t>硫辛酸</w:t>
      </w:r>
    </w:p>
    <w:p w:rsidR="00EA40A3" w:rsidRDefault="00E86C16">
      <w:pPr>
        <w:spacing w:before="64" w:line="214" w:lineRule="auto"/>
        <w:rPr>
          <w:rFonts w:ascii="宋体" w:eastAsia="宋体" w:hAnsi="宋体" w:cs="宋体"/>
          <w:sz w:val="16"/>
          <w:szCs w:val="16"/>
        </w:rPr>
      </w:pPr>
      <w:r>
        <w:rPr>
          <w:rFonts w:ascii="宋体" w:eastAsia="宋体" w:hAnsi="宋体" w:cs="宋体"/>
          <w:spacing w:val="-7"/>
          <w:sz w:val="16"/>
          <w:szCs w:val="16"/>
        </w:rPr>
        <w:t>lipoprotein</w:t>
      </w:r>
      <w:r>
        <w:rPr>
          <w:rFonts w:ascii="宋体" w:eastAsia="宋体" w:hAnsi="宋体" w:cs="宋体"/>
          <w:spacing w:val="11"/>
          <w:sz w:val="16"/>
          <w:szCs w:val="16"/>
        </w:rPr>
        <w:t xml:space="preserve"> </w:t>
      </w:r>
      <w:r>
        <w:rPr>
          <w:rFonts w:ascii="宋体" w:eastAsia="宋体" w:hAnsi="宋体" w:cs="宋体"/>
          <w:spacing w:val="-7"/>
          <w:sz w:val="16"/>
          <w:szCs w:val="16"/>
        </w:rPr>
        <w:t>lipase,LPL</w:t>
      </w:r>
      <w:r>
        <w:rPr>
          <w:rFonts w:ascii="宋体" w:eastAsia="宋体" w:hAnsi="宋体" w:cs="宋体"/>
          <w:spacing w:val="46"/>
          <w:sz w:val="16"/>
          <w:szCs w:val="16"/>
        </w:rPr>
        <w:t xml:space="preserve"> </w:t>
      </w:r>
      <w:r>
        <w:rPr>
          <w:rFonts w:ascii="宋体" w:eastAsia="宋体" w:hAnsi="宋体" w:cs="宋体"/>
          <w:spacing w:val="-7"/>
          <w:sz w:val="16"/>
          <w:szCs w:val="16"/>
        </w:rPr>
        <w:t>脂蛋白脂酶</w:t>
      </w:r>
    </w:p>
    <w:p w:rsidR="00EA40A3" w:rsidRDefault="00E86C16">
      <w:pPr>
        <w:spacing w:before="63" w:line="214" w:lineRule="auto"/>
        <w:rPr>
          <w:rFonts w:ascii="宋体" w:eastAsia="宋体" w:hAnsi="宋体" w:cs="宋体"/>
          <w:sz w:val="16"/>
          <w:szCs w:val="16"/>
        </w:rPr>
      </w:pPr>
      <w:r>
        <w:rPr>
          <w:rFonts w:ascii="宋体" w:eastAsia="宋体" w:hAnsi="宋体" w:cs="宋体"/>
          <w:spacing w:val="-1"/>
          <w:sz w:val="16"/>
          <w:szCs w:val="16"/>
        </w:rPr>
        <w:t>low</w:t>
      </w:r>
      <w:r>
        <w:rPr>
          <w:rFonts w:ascii="宋体" w:eastAsia="宋体" w:hAnsi="宋体" w:cs="宋体"/>
          <w:spacing w:val="27"/>
          <w:sz w:val="16"/>
          <w:szCs w:val="16"/>
        </w:rPr>
        <w:t xml:space="preserve"> </w:t>
      </w:r>
      <w:r>
        <w:rPr>
          <w:rFonts w:ascii="宋体" w:eastAsia="宋体" w:hAnsi="宋体" w:cs="宋体"/>
          <w:spacing w:val="-1"/>
          <w:sz w:val="16"/>
          <w:szCs w:val="16"/>
        </w:rPr>
        <w:t>birth</w:t>
      </w:r>
      <w:r>
        <w:rPr>
          <w:rFonts w:ascii="宋体" w:eastAsia="宋体" w:hAnsi="宋体" w:cs="宋体"/>
          <w:spacing w:val="24"/>
          <w:sz w:val="16"/>
          <w:szCs w:val="16"/>
        </w:rPr>
        <w:t xml:space="preserve"> </w:t>
      </w:r>
      <w:r>
        <w:rPr>
          <w:rFonts w:ascii="宋体" w:eastAsia="宋体" w:hAnsi="宋体" w:cs="宋体"/>
          <w:spacing w:val="-1"/>
          <w:sz w:val="16"/>
          <w:szCs w:val="16"/>
        </w:rPr>
        <w:t>weight,LBW</w:t>
      </w:r>
      <w:r>
        <w:rPr>
          <w:rFonts w:ascii="宋体" w:eastAsia="宋体" w:hAnsi="宋体" w:cs="宋体"/>
          <w:spacing w:val="58"/>
          <w:sz w:val="16"/>
          <w:szCs w:val="16"/>
        </w:rPr>
        <w:t xml:space="preserve"> </w:t>
      </w:r>
      <w:r>
        <w:rPr>
          <w:rFonts w:ascii="宋体" w:eastAsia="宋体" w:hAnsi="宋体" w:cs="宋体"/>
          <w:spacing w:val="-1"/>
          <w:sz w:val="16"/>
          <w:szCs w:val="16"/>
        </w:rPr>
        <w:t>低出生体量</w:t>
      </w:r>
      <w:r>
        <w:rPr>
          <w:rFonts w:ascii="宋体" w:eastAsia="宋体" w:hAnsi="宋体" w:cs="宋体"/>
          <w:spacing w:val="-2"/>
          <w:sz w:val="16"/>
          <w:szCs w:val="16"/>
        </w:rPr>
        <w:t>儿</w:t>
      </w:r>
    </w:p>
    <w:p w:rsidR="00EA40A3" w:rsidRDefault="00E86C16">
      <w:pPr>
        <w:spacing w:before="66" w:line="214" w:lineRule="auto"/>
        <w:rPr>
          <w:rFonts w:ascii="宋体" w:eastAsia="宋体" w:hAnsi="宋体" w:cs="宋体"/>
          <w:sz w:val="16"/>
          <w:szCs w:val="16"/>
        </w:rPr>
      </w:pPr>
      <w:r>
        <w:rPr>
          <w:rFonts w:ascii="宋体" w:eastAsia="宋体" w:hAnsi="宋体" w:cs="宋体"/>
          <w:spacing w:val="-7"/>
          <w:sz w:val="16"/>
          <w:szCs w:val="16"/>
        </w:rPr>
        <w:t>low</w:t>
      </w:r>
      <w:r>
        <w:rPr>
          <w:rFonts w:ascii="宋体" w:eastAsia="宋体" w:hAnsi="宋体" w:cs="宋体"/>
          <w:spacing w:val="17"/>
          <w:sz w:val="16"/>
          <w:szCs w:val="16"/>
        </w:rPr>
        <w:t xml:space="preserve"> </w:t>
      </w:r>
      <w:r>
        <w:rPr>
          <w:rFonts w:ascii="宋体" w:eastAsia="宋体" w:hAnsi="宋体" w:cs="宋体"/>
          <w:spacing w:val="-7"/>
          <w:sz w:val="16"/>
          <w:szCs w:val="16"/>
        </w:rPr>
        <w:t>density</w:t>
      </w:r>
      <w:r>
        <w:rPr>
          <w:rFonts w:ascii="宋体" w:eastAsia="宋体" w:hAnsi="宋体" w:cs="宋体"/>
          <w:spacing w:val="8"/>
          <w:sz w:val="16"/>
          <w:szCs w:val="16"/>
        </w:rPr>
        <w:t xml:space="preserve"> </w:t>
      </w:r>
      <w:r>
        <w:rPr>
          <w:rFonts w:ascii="宋体" w:eastAsia="宋体" w:hAnsi="宋体" w:cs="宋体"/>
          <w:spacing w:val="-7"/>
          <w:sz w:val="16"/>
          <w:szCs w:val="16"/>
        </w:rPr>
        <w:t>lipoprotein,LDL</w:t>
      </w:r>
      <w:r>
        <w:rPr>
          <w:rFonts w:ascii="宋体" w:eastAsia="宋体" w:hAnsi="宋体" w:cs="宋体"/>
          <w:spacing w:val="56"/>
          <w:sz w:val="16"/>
          <w:szCs w:val="16"/>
        </w:rPr>
        <w:t xml:space="preserve"> </w:t>
      </w:r>
      <w:r>
        <w:rPr>
          <w:rFonts w:ascii="宋体" w:eastAsia="宋体" w:hAnsi="宋体" w:cs="宋体"/>
          <w:spacing w:val="-7"/>
          <w:sz w:val="16"/>
          <w:szCs w:val="16"/>
        </w:rPr>
        <w:t>低密度脂蛋白</w:t>
      </w:r>
    </w:p>
    <w:p w:rsidR="00EA40A3" w:rsidRDefault="00E86C16">
      <w:pPr>
        <w:spacing w:before="65" w:line="214" w:lineRule="auto"/>
        <w:rPr>
          <w:rFonts w:ascii="宋体" w:eastAsia="宋体" w:hAnsi="宋体" w:cs="宋体"/>
          <w:sz w:val="16"/>
          <w:szCs w:val="16"/>
        </w:rPr>
      </w:pPr>
      <w:r>
        <w:rPr>
          <w:rFonts w:ascii="宋体" w:eastAsia="宋体" w:hAnsi="宋体" w:cs="宋体"/>
          <w:spacing w:val="-7"/>
          <w:sz w:val="16"/>
          <w:szCs w:val="16"/>
        </w:rPr>
        <w:t>low</w:t>
      </w:r>
      <w:r>
        <w:rPr>
          <w:rFonts w:ascii="宋体" w:eastAsia="宋体" w:hAnsi="宋体" w:cs="宋体"/>
          <w:spacing w:val="2"/>
          <w:sz w:val="16"/>
          <w:szCs w:val="16"/>
        </w:rPr>
        <w:t xml:space="preserve"> </w:t>
      </w:r>
      <w:r>
        <w:rPr>
          <w:rFonts w:ascii="宋体" w:eastAsia="宋体" w:hAnsi="宋体" w:cs="宋体"/>
          <w:spacing w:val="-7"/>
          <w:sz w:val="16"/>
          <w:szCs w:val="16"/>
        </w:rPr>
        <w:t>density</w:t>
      </w:r>
      <w:r>
        <w:rPr>
          <w:rFonts w:ascii="宋体" w:eastAsia="宋体" w:hAnsi="宋体" w:cs="宋体"/>
          <w:spacing w:val="8"/>
          <w:sz w:val="16"/>
          <w:szCs w:val="16"/>
        </w:rPr>
        <w:t xml:space="preserve"> </w:t>
      </w:r>
      <w:r>
        <w:rPr>
          <w:rFonts w:ascii="宋体" w:eastAsia="宋体" w:hAnsi="宋体" w:cs="宋体"/>
          <w:spacing w:val="-7"/>
          <w:sz w:val="16"/>
          <w:szCs w:val="16"/>
        </w:rPr>
        <w:t>lipoproteins</w:t>
      </w:r>
      <w:r>
        <w:rPr>
          <w:rFonts w:ascii="宋体" w:eastAsia="宋体" w:hAnsi="宋体" w:cs="宋体"/>
          <w:spacing w:val="-8"/>
          <w:sz w:val="16"/>
          <w:szCs w:val="16"/>
        </w:rPr>
        <w:t>-</w:t>
      </w:r>
      <w:r>
        <w:rPr>
          <w:rFonts w:ascii="宋体" w:eastAsia="宋体" w:hAnsi="宋体" w:cs="宋体"/>
          <w:spacing w:val="-7"/>
          <w:sz w:val="16"/>
          <w:szCs w:val="16"/>
        </w:rPr>
        <w:t>cholesterol</w:t>
      </w:r>
      <w:r>
        <w:rPr>
          <w:rFonts w:ascii="宋体" w:eastAsia="宋体" w:hAnsi="宋体" w:cs="宋体"/>
          <w:spacing w:val="-8"/>
          <w:sz w:val="16"/>
          <w:szCs w:val="16"/>
        </w:rPr>
        <w:t>,</w:t>
      </w:r>
      <w:r>
        <w:rPr>
          <w:rFonts w:ascii="宋体" w:eastAsia="宋体" w:hAnsi="宋体" w:cs="宋体"/>
          <w:spacing w:val="-7"/>
          <w:sz w:val="16"/>
          <w:szCs w:val="16"/>
        </w:rPr>
        <w:t>LDLC</w:t>
      </w:r>
      <w:r>
        <w:rPr>
          <w:rFonts w:ascii="宋体" w:eastAsia="宋体" w:hAnsi="宋体" w:cs="宋体"/>
          <w:spacing w:val="7"/>
          <w:sz w:val="16"/>
          <w:szCs w:val="16"/>
        </w:rPr>
        <w:t xml:space="preserve">  </w:t>
      </w:r>
      <w:r>
        <w:rPr>
          <w:rFonts w:ascii="宋体" w:eastAsia="宋体" w:hAnsi="宋体" w:cs="宋体"/>
          <w:spacing w:val="-8"/>
          <w:sz w:val="16"/>
          <w:szCs w:val="16"/>
        </w:rPr>
        <w:t>低</w:t>
      </w:r>
      <w:r>
        <w:rPr>
          <w:rFonts w:ascii="宋体" w:eastAsia="宋体" w:hAnsi="宋体" w:cs="宋体"/>
          <w:spacing w:val="-28"/>
          <w:sz w:val="16"/>
          <w:szCs w:val="16"/>
        </w:rPr>
        <w:t xml:space="preserve"> </w:t>
      </w:r>
      <w:r>
        <w:rPr>
          <w:rFonts w:ascii="宋体" w:eastAsia="宋体" w:hAnsi="宋体" w:cs="宋体"/>
          <w:spacing w:val="-8"/>
          <w:sz w:val="16"/>
          <w:szCs w:val="16"/>
        </w:rPr>
        <w:t>密</w:t>
      </w:r>
    </w:p>
    <w:p w:rsidR="00EA40A3" w:rsidRDefault="00E86C16">
      <w:pPr>
        <w:spacing w:before="159" w:line="220" w:lineRule="auto"/>
        <w:ind w:left="130"/>
        <w:rPr>
          <w:rFonts w:ascii="宋体" w:eastAsia="宋体" w:hAnsi="宋体" w:cs="宋体"/>
          <w:sz w:val="16"/>
          <w:szCs w:val="16"/>
        </w:rPr>
      </w:pPr>
      <w:r>
        <w:rPr>
          <w:rFonts w:ascii="宋体" w:eastAsia="宋体" w:hAnsi="宋体" w:cs="宋体"/>
          <w:spacing w:val="-1"/>
          <w:sz w:val="16"/>
          <w:szCs w:val="16"/>
        </w:rPr>
        <w:t>度脂蛋白胆固醇</w:t>
      </w:r>
    </w:p>
    <w:p w:rsidR="00EA40A3" w:rsidRDefault="00E86C16">
      <w:pPr>
        <w:spacing w:before="65" w:line="251" w:lineRule="auto"/>
        <w:ind w:right="177"/>
        <w:rPr>
          <w:rFonts w:ascii="宋体" w:eastAsia="宋体" w:hAnsi="宋体" w:cs="宋体"/>
          <w:sz w:val="16"/>
          <w:szCs w:val="16"/>
        </w:rPr>
      </w:pPr>
      <w:r>
        <w:rPr>
          <w:rFonts w:ascii="宋体" w:eastAsia="宋体" w:hAnsi="宋体" w:cs="宋体"/>
          <w:spacing w:val="-3"/>
          <w:sz w:val="16"/>
          <w:szCs w:val="16"/>
        </w:rPr>
        <w:t>Lyciun</w:t>
      </w:r>
      <w:r>
        <w:rPr>
          <w:rFonts w:ascii="宋体" w:eastAsia="宋体" w:hAnsi="宋体" w:cs="宋体"/>
          <w:spacing w:val="4"/>
          <w:sz w:val="16"/>
          <w:szCs w:val="16"/>
        </w:rPr>
        <w:t xml:space="preserve"> </w:t>
      </w:r>
      <w:r>
        <w:rPr>
          <w:rFonts w:ascii="宋体" w:eastAsia="宋体" w:hAnsi="宋体" w:cs="宋体"/>
          <w:spacing w:val="-3"/>
          <w:sz w:val="16"/>
          <w:szCs w:val="16"/>
        </w:rPr>
        <w:t>barbarum</w:t>
      </w:r>
      <w:r>
        <w:rPr>
          <w:rFonts w:ascii="宋体" w:eastAsia="宋体" w:hAnsi="宋体" w:cs="宋体"/>
          <w:spacing w:val="1"/>
          <w:sz w:val="16"/>
          <w:szCs w:val="16"/>
        </w:rPr>
        <w:t xml:space="preserve"> </w:t>
      </w:r>
      <w:r>
        <w:rPr>
          <w:rFonts w:ascii="宋体" w:eastAsia="宋体" w:hAnsi="宋体" w:cs="宋体"/>
          <w:spacing w:val="-3"/>
          <w:sz w:val="16"/>
          <w:szCs w:val="16"/>
        </w:rPr>
        <w:t>polysaccharide,LBP</w:t>
      </w:r>
      <w:r>
        <w:rPr>
          <w:rFonts w:ascii="宋体" w:eastAsia="宋体" w:hAnsi="宋体" w:cs="宋体"/>
          <w:spacing w:val="64"/>
          <w:sz w:val="16"/>
          <w:szCs w:val="16"/>
        </w:rPr>
        <w:t xml:space="preserve"> </w:t>
      </w:r>
      <w:r>
        <w:rPr>
          <w:rFonts w:ascii="宋体" w:eastAsia="宋体" w:hAnsi="宋体" w:cs="宋体"/>
          <w:spacing w:val="-3"/>
          <w:sz w:val="16"/>
          <w:szCs w:val="16"/>
        </w:rPr>
        <w:t>枸杞多糖</w:t>
      </w:r>
      <w:r>
        <w:rPr>
          <w:rFonts w:ascii="宋体" w:eastAsia="宋体" w:hAnsi="宋体" w:cs="宋体"/>
          <w:sz w:val="16"/>
          <w:szCs w:val="16"/>
        </w:rPr>
        <w:t xml:space="preserve"> </w:t>
      </w:r>
      <w:r>
        <w:rPr>
          <w:rFonts w:ascii="宋体" w:eastAsia="宋体" w:hAnsi="宋体" w:cs="宋体"/>
          <w:spacing w:val="-7"/>
          <w:sz w:val="16"/>
          <w:szCs w:val="16"/>
        </w:rPr>
        <w:t>lycopene</w:t>
      </w:r>
      <w:r>
        <w:rPr>
          <w:rFonts w:ascii="宋体" w:eastAsia="宋体" w:hAnsi="宋体" w:cs="宋体"/>
          <w:spacing w:val="47"/>
          <w:sz w:val="16"/>
          <w:szCs w:val="16"/>
        </w:rPr>
        <w:t xml:space="preserve"> </w:t>
      </w:r>
      <w:r>
        <w:rPr>
          <w:rFonts w:ascii="宋体" w:eastAsia="宋体" w:hAnsi="宋体" w:cs="宋体"/>
          <w:spacing w:val="-7"/>
          <w:sz w:val="16"/>
          <w:szCs w:val="16"/>
        </w:rPr>
        <w:t>番茄红素</w:t>
      </w:r>
    </w:p>
    <w:p w:rsidR="00EA40A3" w:rsidRDefault="00E86C16">
      <w:pPr>
        <w:spacing w:before="65" w:line="256" w:lineRule="auto"/>
        <w:ind w:left="130" w:right="43" w:hanging="130"/>
        <w:rPr>
          <w:rFonts w:ascii="宋体" w:eastAsia="宋体" w:hAnsi="宋体" w:cs="宋体"/>
          <w:sz w:val="16"/>
          <w:szCs w:val="16"/>
        </w:rPr>
      </w:pPr>
      <w:r>
        <w:rPr>
          <w:rFonts w:ascii="宋体" w:eastAsia="宋体" w:hAnsi="宋体" w:cs="宋体"/>
          <w:spacing w:val="-8"/>
          <w:sz w:val="16"/>
          <w:szCs w:val="16"/>
        </w:rPr>
        <w:t>lymphokine-activated</w:t>
      </w:r>
      <w:r>
        <w:rPr>
          <w:rFonts w:ascii="宋体" w:eastAsia="宋体" w:hAnsi="宋体" w:cs="宋体"/>
          <w:spacing w:val="10"/>
          <w:sz w:val="16"/>
          <w:szCs w:val="16"/>
        </w:rPr>
        <w:t xml:space="preserve"> </w:t>
      </w:r>
      <w:r>
        <w:rPr>
          <w:rFonts w:ascii="宋体" w:eastAsia="宋体" w:hAnsi="宋体" w:cs="宋体"/>
          <w:spacing w:val="-8"/>
          <w:sz w:val="16"/>
          <w:szCs w:val="16"/>
        </w:rPr>
        <w:t>killer</w:t>
      </w:r>
      <w:r>
        <w:rPr>
          <w:rFonts w:ascii="宋体" w:eastAsia="宋体" w:hAnsi="宋体" w:cs="宋体"/>
          <w:sz w:val="16"/>
          <w:szCs w:val="16"/>
        </w:rPr>
        <w:t xml:space="preserve"> </w:t>
      </w:r>
      <w:r>
        <w:rPr>
          <w:rFonts w:ascii="宋体" w:eastAsia="宋体" w:hAnsi="宋体" w:cs="宋体"/>
          <w:spacing w:val="-8"/>
          <w:sz w:val="16"/>
          <w:szCs w:val="16"/>
        </w:rPr>
        <w:t>cell,LAK</w:t>
      </w:r>
      <w:r>
        <w:rPr>
          <w:rFonts w:ascii="宋体" w:eastAsia="宋体" w:hAnsi="宋体" w:cs="宋体"/>
          <w:spacing w:val="77"/>
          <w:sz w:val="16"/>
          <w:szCs w:val="16"/>
        </w:rPr>
        <w:t xml:space="preserve"> </w:t>
      </w:r>
      <w:r>
        <w:rPr>
          <w:rFonts w:ascii="宋体" w:eastAsia="宋体" w:hAnsi="宋体" w:cs="宋体"/>
          <w:spacing w:val="-8"/>
          <w:sz w:val="16"/>
          <w:szCs w:val="16"/>
        </w:rPr>
        <w:t>淋巴因子激</w:t>
      </w:r>
      <w:r>
        <w:rPr>
          <w:rFonts w:ascii="宋体" w:eastAsia="宋体" w:hAnsi="宋体" w:cs="宋体"/>
          <w:sz w:val="16"/>
          <w:szCs w:val="16"/>
        </w:rPr>
        <w:t xml:space="preserve"> </w:t>
      </w:r>
      <w:r>
        <w:rPr>
          <w:rFonts w:ascii="宋体" w:eastAsia="宋体" w:hAnsi="宋体" w:cs="宋体"/>
          <w:spacing w:val="-2"/>
          <w:sz w:val="16"/>
          <w:szCs w:val="16"/>
        </w:rPr>
        <w:t>活杀伤细胞</w:t>
      </w:r>
    </w:p>
    <w:p w:rsidR="00EA40A3" w:rsidRDefault="00E86C16">
      <w:pPr>
        <w:spacing w:before="86" w:line="215" w:lineRule="auto"/>
        <w:rPr>
          <w:rFonts w:ascii="宋体" w:eastAsia="宋体" w:hAnsi="宋体" w:cs="宋体"/>
          <w:sz w:val="16"/>
          <w:szCs w:val="16"/>
        </w:rPr>
      </w:pPr>
      <w:r>
        <w:rPr>
          <w:rFonts w:ascii="宋体" w:eastAsia="宋体" w:hAnsi="宋体" w:cs="宋体"/>
          <w:spacing w:val="-2"/>
          <w:sz w:val="16"/>
          <w:szCs w:val="16"/>
        </w:rPr>
        <w:t>lysine,Lys</w:t>
      </w:r>
      <w:r>
        <w:rPr>
          <w:rFonts w:ascii="宋体" w:eastAsia="宋体" w:hAnsi="宋体" w:cs="宋体"/>
          <w:spacing w:val="61"/>
          <w:sz w:val="16"/>
          <w:szCs w:val="16"/>
        </w:rPr>
        <w:t xml:space="preserve"> </w:t>
      </w:r>
      <w:r>
        <w:rPr>
          <w:rFonts w:ascii="宋体" w:eastAsia="宋体" w:hAnsi="宋体" w:cs="宋体"/>
          <w:spacing w:val="-2"/>
          <w:sz w:val="16"/>
          <w:szCs w:val="16"/>
        </w:rPr>
        <w:t>赖氨酸</w:t>
      </w:r>
    </w:p>
    <w:p w:rsidR="00EA40A3" w:rsidRDefault="00E86C16">
      <w:pPr>
        <w:spacing w:before="63" w:line="255" w:lineRule="exact"/>
        <w:rPr>
          <w:rFonts w:ascii="宋体" w:eastAsia="宋体" w:hAnsi="宋体" w:cs="宋体"/>
          <w:sz w:val="16"/>
          <w:szCs w:val="16"/>
        </w:rPr>
      </w:pPr>
      <w:r>
        <w:rPr>
          <w:rFonts w:ascii="宋体" w:eastAsia="宋体" w:hAnsi="宋体" w:cs="宋体"/>
          <w:spacing w:val="-6"/>
          <w:position w:val="7"/>
          <w:sz w:val="16"/>
          <w:szCs w:val="16"/>
        </w:rPr>
        <w:t>lysophosphatidic</w:t>
      </w:r>
      <w:r>
        <w:rPr>
          <w:rFonts w:ascii="宋体" w:eastAsia="宋体" w:hAnsi="宋体" w:cs="宋体"/>
          <w:spacing w:val="19"/>
          <w:position w:val="7"/>
          <w:sz w:val="16"/>
          <w:szCs w:val="16"/>
        </w:rPr>
        <w:t xml:space="preserve"> </w:t>
      </w:r>
      <w:r>
        <w:rPr>
          <w:rFonts w:ascii="宋体" w:eastAsia="宋体" w:hAnsi="宋体" w:cs="宋体"/>
          <w:spacing w:val="-6"/>
          <w:position w:val="7"/>
          <w:sz w:val="16"/>
          <w:szCs w:val="16"/>
        </w:rPr>
        <w:t>acid,LPA</w:t>
      </w:r>
      <w:r>
        <w:rPr>
          <w:rFonts w:ascii="宋体" w:eastAsia="宋体" w:hAnsi="宋体" w:cs="宋体"/>
          <w:spacing w:val="57"/>
          <w:position w:val="7"/>
          <w:sz w:val="16"/>
          <w:szCs w:val="16"/>
        </w:rPr>
        <w:t xml:space="preserve"> </w:t>
      </w:r>
      <w:r>
        <w:rPr>
          <w:rFonts w:ascii="宋体" w:eastAsia="宋体" w:hAnsi="宋体" w:cs="宋体"/>
          <w:spacing w:val="-6"/>
          <w:position w:val="7"/>
          <w:sz w:val="16"/>
          <w:szCs w:val="16"/>
        </w:rPr>
        <w:t>溶血磷脂酸</w:t>
      </w:r>
    </w:p>
    <w:p w:rsidR="00EA40A3" w:rsidRDefault="00E86C16">
      <w:pPr>
        <w:spacing w:line="219" w:lineRule="auto"/>
        <w:rPr>
          <w:rFonts w:ascii="宋体" w:eastAsia="宋体" w:hAnsi="宋体" w:cs="宋体"/>
          <w:sz w:val="16"/>
          <w:szCs w:val="16"/>
        </w:rPr>
      </w:pPr>
      <w:r>
        <w:rPr>
          <w:rFonts w:ascii="宋体" w:eastAsia="宋体" w:hAnsi="宋体" w:cs="宋体"/>
          <w:spacing w:val="-8"/>
          <w:sz w:val="16"/>
          <w:szCs w:val="16"/>
        </w:rPr>
        <w:t>L-carnitine</w:t>
      </w:r>
      <w:r>
        <w:rPr>
          <w:rFonts w:ascii="宋体" w:eastAsia="宋体" w:hAnsi="宋体" w:cs="宋体"/>
          <w:spacing w:val="40"/>
          <w:sz w:val="16"/>
          <w:szCs w:val="16"/>
        </w:rPr>
        <w:t xml:space="preserve"> </w:t>
      </w:r>
      <w:r>
        <w:rPr>
          <w:rFonts w:ascii="宋体" w:eastAsia="宋体" w:hAnsi="宋体" w:cs="宋体"/>
          <w:spacing w:val="-8"/>
          <w:sz w:val="16"/>
          <w:szCs w:val="16"/>
        </w:rPr>
        <w:t>左旋肉碱，又称肉毒碱</w:t>
      </w:r>
    </w:p>
    <w:p w:rsidR="00EA40A3" w:rsidRDefault="00E86C16">
      <w:pPr>
        <w:spacing w:before="60" w:line="245" w:lineRule="exact"/>
        <w:rPr>
          <w:rFonts w:ascii="宋体" w:eastAsia="宋体" w:hAnsi="宋体" w:cs="宋体"/>
          <w:sz w:val="16"/>
          <w:szCs w:val="16"/>
        </w:rPr>
      </w:pPr>
      <w:r>
        <w:rPr>
          <w:rFonts w:ascii="宋体" w:eastAsia="宋体" w:hAnsi="宋体" w:cs="宋体"/>
          <w:spacing w:val="-4"/>
          <w:position w:val="6"/>
          <w:sz w:val="16"/>
          <w:szCs w:val="16"/>
        </w:rPr>
        <w:t>macroelement</w:t>
      </w:r>
      <w:r>
        <w:rPr>
          <w:rFonts w:ascii="宋体" w:eastAsia="宋体" w:hAnsi="宋体" w:cs="宋体"/>
          <w:spacing w:val="65"/>
          <w:position w:val="6"/>
          <w:sz w:val="16"/>
          <w:szCs w:val="16"/>
        </w:rPr>
        <w:t xml:space="preserve"> </w:t>
      </w:r>
      <w:r>
        <w:rPr>
          <w:rFonts w:ascii="宋体" w:eastAsia="宋体" w:hAnsi="宋体" w:cs="宋体"/>
          <w:spacing w:val="-4"/>
          <w:position w:val="6"/>
          <w:sz w:val="16"/>
          <w:szCs w:val="16"/>
        </w:rPr>
        <w:t>常量元素</w:t>
      </w:r>
    </w:p>
    <w:p w:rsidR="00EA40A3" w:rsidRDefault="00E86C16">
      <w:pPr>
        <w:spacing w:line="213" w:lineRule="auto"/>
        <w:rPr>
          <w:rFonts w:ascii="宋体" w:eastAsia="宋体" w:hAnsi="宋体" w:cs="宋体"/>
          <w:sz w:val="16"/>
          <w:szCs w:val="16"/>
        </w:rPr>
      </w:pPr>
      <w:r>
        <w:rPr>
          <w:rFonts w:ascii="宋体" w:eastAsia="宋体" w:hAnsi="宋体" w:cs="宋体"/>
          <w:spacing w:val="-1"/>
          <w:sz w:val="16"/>
          <w:szCs w:val="16"/>
        </w:rPr>
        <w:t>magmesium</w:t>
      </w:r>
      <w:r>
        <w:rPr>
          <w:rFonts w:ascii="宋体" w:eastAsia="宋体" w:hAnsi="宋体" w:cs="宋体"/>
          <w:spacing w:val="19"/>
          <w:sz w:val="16"/>
          <w:szCs w:val="16"/>
        </w:rPr>
        <w:t xml:space="preserve">  </w:t>
      </w:r>
      <w:r>
        <w:rPr>
          <w:rFonts w:ascii="宋体" w:eastAsia="宋体" w:hAnsi="宋体" w:cs="宋体"/>
          <w:spacing w:val="-1"/>
          <w:sz w:val="16"/>
          <w:szCs w:val="16"/>
        </w:rPr>
        <w:t>镁</w:t>
      </w:r>
    </w:p>
    <w:p w:rsidR="00EA40A3" w:rsidRDefault="00E86C16">
      <w:pPr>
        <w:spacing w:line="14" w:lineRule="auto"/>
        <w:rPr>
          <w:sz w:val="2"/>
        </w:rPr>
      </w:pPr>
      <w:r>
        <w:rPr>
          <w:sz w:val="2"/>
          <w:szCs w:val="2"/>
        </w:rPr>
        <w:br w:type="column"/>
      </w:r>
    </w:p>
    <w:p w:rsidR="00EA40A3" w:rsidRDefault="00E86C16">
      <w:pPr>
        <w:spacing w:before="30" w:line="272" w:lineRule="exact"/>
        <w:ind w:left="239"/>
        <w:rPr>
          <w:rFonts w:ascii="宋体" w:eastAsia="宋体" w:hAnsi="宋体" w:cs="宋体"/>
          <w:sz w:val="16"/>
          <w:szCs w:val="16"/>
        </w:rPr>
      </w:pPr>
      <w:r>
        <w:rPr>
          <w:rFonts w:ascii="宋体" w:eastAsia="宋体" w:hAnsi="宋体" w:cs="宋体"/>
          <w:spacing w:val="-4"/>
          <w:position w:val="8"/>
          <w:sz w:val="16"/>
          <w:szCs w:val="16"/>
        </w:rPr>
        <w:t>相容性抗原复合物</w:t>
      </w:r>
    </w:p>
    <w:p w:rsidR="00EA40A3" w:rsidRDefault="00E86C16">
      <w:pPr>
        <w:spacing w:line="219" w:lineRule="auto"/>
        <w:rPr>
          <w:rFonts w:ascii="宋体" w:eastAsia="宋体" w:hAnsi="宋体" w:cs="宋体"/>
          <w:sz w:val="16"/>
          <w:szCs w:val="16"/>
        </w:rPr>
      </w:pPr>
      <w:r>
        <w:rPr>
          <w:rFonts w:ascii="宋体" w:eastAsia="宋体" w:hAnsi="宋体" w:cs="宋体"/>
          <w:spacing w:val="-10"/>
          <w:sz w:val="16"/>
          <w:szCs w:val="16"/>
        </w:rPr>
        <w:t>malnutrition</w:t>
      </w:r>
      <w:r>
        <w:rPr>
          <w:rFonts w:ascii="宋体" w:eastAsia="宋体" w:hAnsi="宋体" w:cs="宋体"/>
          <w:spacing w:val="70"/>
          <w:sz w:val="16"/>
          <w:szCs w:val="16"/>
        </w:rPr>
        <w:t xml:space="preserve"> </w:t>
      </w:r>
      <w:r>
        <w:rPr>
          <w:rFonts w:ascii="宋体" w:eastAsia="宋体" w:hAnsi="宋体" w:cs="宋体"/>
          <w:spacing w:val="-10"/>
          <w:sz w:val="16"/>
          <w:szCs w:val="16"/>
        </w:rPr>
        <w:t>营养不良</w:t>
      </w:r>
    </w:p>
    <w:p w:rsidR="00EA40A3" w:rsidRDefault="00E86C16">
      <w:pPr>
        <w:spacing w:before="59" w:line="219" w:lineRule="auto"/>
        <w:rPr>
          <w:rFonts w:ascii="宋体" w:eastAsia="宋体" w:hAnsi="宋体" w:cs="宋体"/>
          <w:sz w:val="16"/>
          <w:szCs w:val="16"/>
        </w:rPr>
      </w:pPr>
      <w:r>
        <w:rPr>
          <w:rFonts w:ascii="宋体" w:eastAsia="宋体" w:hAnsi="宋体" w:cs="宋体"/>
          <w:spacing w:val="-4"/>
          <w:sz w:val="16"/>
          <w:szCs w:val="16"/>
        </w:rPr>
        <w:t>maltose</w:t>
      </w:r>
      <w:r>
        <w:rPr>
          <w:rFonts w:ascii="宋体" w:eastAsia="宋体" w:hAnsi="宋体" w:cs="宋体"/>
          <w:spacing w:val="44"/>
          <w:sz w:val="16"/>
          <w:szCs w:val="16"/>
        </w:rPr>
        <w:t xml:space="preserve"> </w:t>
      </w:r>
      <w:r>
        <w:rPr>
          <w:rFonts w:ascii="宋体" w:eastAsia="宋体" w:hAnsi="宋体" w:cs="宋体"/>
          <w:spacing w:val="-4"/>
          <w:sz w:val="16"/>
          <w:szCs w:val="16"/>
        </w:rPr>
        <w:t>麦芽糖</w:t>
      </w:r>
    </w:p>
    <w:p w:rsidR="00EA40A3" w:rsidRDefault="00E86C16">
      <w:pPr>
        <w:spacing w:before="55" w:line="214" w:lineRule="auto"/>
        <w:rPr>
          <w:rFonts w:ascii="宋体" w:eastAsia="宋体" w:hAnsi="宋体" w:cs="宋体"/>
          <w:sz w:val="16"/>
          <w:szCs w:val="16"/>
        </w:rPr>
      </w:pPr>
      <w:r>
        <w:rPr>
          <w:rFonts w:ascii="宋体" w:eastAsia="宋体" w:hAnsi="宋体" w:cs="宋体"/>
          <w:spacing w:val="-1"/>
          <w:sz w:val="16"/>
          <w:szCs w:val="16"/>
        </w:rPr>
        <w:t>manganese</w:t>
      </w:r>
      <w:r>
        <w:rPr>
          <w:rFonts w:ascii="宋体" w:eastAsia="宋体" w:hAnsi="宋体" w:cs="宋体"/>
          <w:spacing w:val="69"/>
          <w:sz w:val="16"/>
          <w:szCs w:val="16"/>
        </w:rPr>
        <w:t xml:space="preserve"> </w:t>
      </w:r>
      <w:r>
        <w:rPr>
          <w:rFonts w:ascii="宋体" w:eastAsia="宋体" w:hAnsi="宋体" w:cs="宋体"/>
          <w:spacing w:val="-1"/>
          <w:sz w:val="16"/>
          <w:szCs w:val="16"/>
        </w:rPr>
        <w:t>锰</w:t>
      </w:r>
    </w:p>
    <w:p w:rsidR="00EA40A3" w:rsidRDefault="00E86C16">
      <w:pPr>
        <w:spacing w:before="65" w:line="214" w:lineRule="auto"/>
        <w:rPr>
          <w:rFonts w:ascii="宋体" w:eastAsia="宋体" w:hAnsi="宋体" w:cs="宋体"/>
          <w:sz w:val="16"/>
          <w:szCs w:val="16"/>
        </w:rPr>
      </w:pPr>
      <w:r>
        <w:rPr>
          <w:rFonts w:ascii="宋体" w:eastAsia="宋体" w:hAnsi="宋体" w:cs="宋体"/>
          <w:spacing w:val="-1"/>
          <w:sz w:val="16"/>
          <w:szCs w:val="16"/>
        </w:rPr>
        <w:t>manganess</w:t>
      </w:r>
      <w:r>
        <w:rPr>
          <w:rFonts w:ascii="宋体" w:eastAsia="宋体" w:hAnsi="宋体" w:cs="宋体"/>
          <w:spacing w:val="12"/>
          <w:sz w:val="16"/>
          <w:szCs w:val="16"/>
        </w:rPr>
        <w:t xml:space="preserve"> </w:t>
      </w:r>
      <w:r>
        <w:rPr>
          <w:rFonts w:ascii="宋体" w:eastAsia="宋体" w:hAnsi="宋体" w:cs="宋体"/>
          <w:spacing w:val="-1"/>
          <w:sz w:val="16"/>
          <w:szCs w:val="16"/>
        </w:rPr>
        <w:t>superoxide</w:t>
      </w:r>
      <w:r>
        <w:rPr>
          <w:rFonts w:ascii="宋体" w:eastAsia="宋体" w:hAnsi="宋体" w:cs="宋体"/>
          <w:spacing w:val="3"/>
          <w:sz w:val="16"/>
          <w:szCs w:val="16"/>
        </w:rPr>
        <w:t xml:space="preserve"> </w:t>
      </w:r>
      <w:r>
        <w:rPr>
          <w:rFonts w:ascii="宋体" w:eastAsia="宋体" w:hAnsi="宋体" w:cs="宋体"/>
          <w:spacing w:val="-1"/>
          <w:sz w:val="16"/>
          <w:szCs w:val="16"/>
        </w:rPr>
        <w:t>pe</w:t>
      </w:r>
      <w:r>
        <w:rPr>
          <w:rFonts w:ascii="宋体" w:eastAsia="宋体" w:hAnsi="宋体" w:cs="宋体"/>
          <w:spacing w:val="-2"/>
          <w:sz w:val="16"/>
          <w:szCs w:val="16"/>
        </w:rPr>
        <w:t>roxidase,MnSOD</w:t>
      </w:r>
      <w:r>
        <w:rPr>
          <w:rFonts w:ascii="宋体" w:eastAsia="宋体" w:hAnsi="宋体" w:cs="宋体"/>
          <w:spacing w:val="54"/>
          <w:w w:val="101"/>
          <w:sz w:val="16"/>
          <w:szCs w:val="16"/>
        </w:rPr>
        <w:t xml:space="preserve"> </w:t>
      </w:r>
      <w:r>
        <w:rPr>
          <w:rFonts w:ascii="宋体" w:eastAsia="宋体" w:hAnsi="宋体" w:cs="宋体"/>
          <w:spacing w:val="-2"/>
          <w:sz w:val="16"/>
          <w:szCs w:val="16"/>
        </w:rPr>
        <w:t>锰超氧</w:t>
      </w:r>
    </w:p>
    <w:p w:rsidR="00EA40A3" w:rsidRDefault="00E86C16">
      <w:pPr>
        <w:spacing w:before="68" w:line="219" w:lineRule="auto"/>
        <w:ind w:left="242"/>
        <w:rPr>
          <w:rFonts w:ascii="宋体" w:eastAsia="宋体" w:hAnsi="宋体" w:cs="宋体"/>
          <w:sz w:val="16"/>
          <w:szCs w:val="16"/>
        </w:rPr>
      </w:pPr>
      <w:r>
        <w:rPr>
          <w:rFonts w:ascii="宋体" w:eastAsia="宋体" w:hAnsi="宋体" w:cs="宋体"/>
          <w:b/>
          <w:bCs/>
          <w:spacing w:val="-8"/>
          <w:sz w:val="16"/>
          <w:szCs w:val="16"/>
        </w:rPr>
        <w:t>化物歧化酶</w:t>
      </w:r>
    </w:p>
    <w:p w:rsidR="00EA40A3" w:rsidRDefault="00E86C16">
      <w:pPr>
        <w:spacing w:before="88" w:line="214" w:lineRule="auto"/>
        <w:rPr>
          <w:rFonts w:ascii="宋体" w:eastAsia="宋体" w:hAnsi="宋体" w:cs="宋体"/>
          <w:sz w:val="16"/>
          <w:szCs w:val="16"/>
        </w:rPr>
      </w:pPr>
      <w:r>
        <w:rPr>
          <w:rFonts w:ascii="宋体" w:eastAsia="宋体" w:hAnsi="宋体" w:cs="宋体"/>
          <w:sz w:val="16"/>
          <w:szCs w:val="16"/>
        </w:rPr>
        <w:t>mannosyl</w:t>
      </w:r>
      <w:r>
        <w:rPr>
          <w:rFonts w:ascii="宋体" w:eastAsia="宋体" w:hAnsi="宋体" w:cs="宋体"/>
          <w:spacing w:val="21"/>
          <w:sz w:val="16"/>
          <w:szCs w:val="16"/>
        </w:rPr>
        <w:t xml:space="preserve"> </w:t>
      </w:r>
      <w:r>
        <w:rPr>
          <w:rFonts w:ascii="宋体" w:eastAsia="宋体" w:hAnsi="宋体" w:cs="宋体"/>
          <w:sz w:val="16"/>
          <w:szCs w:val="16"/>
        </w:rPr>
        <w:t>retiny</w:t>
      </w:r>
      <w:r>
        <w:rPr>
          <w:rFonts w:ascii="宋体" w:eastAsia="宋体" w:hAnsi="宋体" w:cs="宋体"/>
          <w:spacing w:val="19"/>
          <w:sz w:val="16"/>
          <w:szCs w:val="16"/>
        </w:rPr>
        <w:t xml:space="preserve"> </w:t>
      </w:r>
      <w:r>
        <w:rPr>
          <w:rFonts w:ascii="宋体" w:eastAsia="宋体" w:hAnsi="宋体" w:cs="宋体"/>
          <w:sz w:val="16"/>
          <w:szCs w:val="16"/>
        </w:rPr>
        <w:t>phosphate</w:t>
      </w:r>
      <w:r>
        <w:rPr>
          <w:rFonts w:ascii="宋体" w:eastAsia="宋体" w:hAnsi="宋体" w:cs="宋体"/>
          <w:spacing w:val="6"/>
          <w:sz w:val="16"/>
          <w:szCs w:val="16"/>
        </w:rPr>
        <w:t>,</w:t>
      </w:r>
      <w:r>
        <w:rPr>
          <w:rFonts w:ascii="宋体" w:eastAsia="宋体" w:hAnsi="宋体" w:cs="宋体"/>
          <w:sz w:val="16"/>
          <w:szCs w:val="16"/>
        </w:rPr>
        <w:t>MRP</w:t>
      </w:r>
      <w:r>
        <w:rPr>
          <w:rFonts w:ascii="宋体" w:eastAsia="宋体" w:hAnsi="宋体" w:cs="宋体"/>
          <w:spacing w:val="6"/>
          <w:sz w:val="16"/>
          <w:szCs w:val="16"/>
        </w:rPr>
        <w:t xml:space="preserve">  甘露糖视黄醇</w:t>
      </w:r>
    </w:p>
    <w:p w:rsidR="00EA40A3" w:rsidRDefault="00E86C16">
      <w:pPr>
        <w:spacing w:before="46" w:line="219" w:lineRule="auto"/>
        <w:ind w:left="242"/>
        <w:rPr>
          <w:rFonts w:ascii="宋体" w:eastAsia="宋体" w:hAnsi="宋体" w:cs="宋体"/>
          <w:sz w:val="16"/>
          <w:szCs w:val="16"/>
        </w:rPr>
      </w:pPr>
      <w:r>
        <w:rPr>
          <w:rFonts w:ascii="宋体" w:eastAsia="宋体" w:hAnsi="宋体" w:cs="宋体"/>
          <w:b/>
          <w:bCs/>
          <w:spacing w:val="-4"/>
          <w:sz w:val="16"/>
          <w:szCs w:val="16"/>
        </w:rPr>
        <w:t>磷酸</w:t>
      </w:r>
    </w:p>
    <w:p w:rsidR="00EA40A3" w:rsidRDefault="00E86C16">
      <w:pPr>
        <w:spacing w:before="87" w:line="257" w:lineRule="auto"/>
        <w:ind w:left="239" w:right="15" w:hanging="239"/>
        <w:rPr>
          <w:rFonts w:ascii="宋体" w:eastAsia="宋体" w:hAnsi="宋体" w:cs="宋体"/>
          <w:sz w:val="16"/>
          <w:szCs w:val="16"/>
        </w:rPr>
      </w:pPr>
      <w:r>
        <w:rPr>
          <w:rFonts w:ascii="宋体" w:eastAsia="宋体" w:hAnsi="宋体" w:cs="宋体"/>
          <w:sz w:val="16"/>
          <w:szCs w:val="16"/>
        </w:rPr>
        <w:t>mean</w:t>
      </w:r>
      <w:r>
        <w:rPr>
          <w:rFonts w:ascii="宋体" w:eastAsia="宋体" w:hAnsi="宋体" w:cs="宋体"/>
          <w:spacing w:val="30"/>
          <w:w w:val="101"/>
          <w:sz w:val="16"/>
          <w:szCs w:val="16"/>
        </w:rPr>
        <w:t xml:space="preserve"> </w:t>
      </w:r>
      <w:r>
        <w:rPr>
          <w:rFonts w:ascii="宋体" w:eastAsia="宋体" w:hAnsi="宋体" w:cs="宋体"/>
          <w:sz w:val="16"/>
          <w:szCs w:val="16"/>
        </w:rPr>
        <w:t>corpuscular</w:t>
      </w:r>
      <w:r>
        <w:rPr>
          <w:rFonts w:ascii="宋体" w:eastAsia="宋体" w:hAnsi="宋体" w:cs="宋体"/>
          <w:spacing w:val="22"/>
          <w:sz w:val="16"/>
          <w:szCs w:val="16"/>
        </w:rPr>
        <w:t xml:space="preserve"> </w:t>
      </w:r>
      <w:r>
        <w:rPr>
          <w:rFonts w:ascii="宋体" w:eastAsia="宋体" w:hAnsi="宋体" w:cs="宋体"/>
          <w:sz w:val="16"/>
          <w:szCs w:val="16"/>
        </w:rPr>
        <w:t>hemoglobin</w:t>
      </w:r>
      <w:r>
        <w:rPr>
          <w:rFonts w:ascii="宋体" w:eastAsia="宋体" w:hAnsi="宋体" w:cs="宋体"/>
          <w:spacing w:val="5"/>
          <w:sz w:val="16"/>
          <w:szCs w:val="16"/>
        </w:rPr>
        <w:t>,</w:t>
      </w:r>
      <w:r>
        <w:rPr>
          <w:rFonts w:ascii="宋体" w:eastAsia="宋体" w:hAnsi="宋体" w:cs="宋体"/>
          <w:sz w:val="16"/>
          <w:szCs w:val="16"/>
        </w:rPr>
        <w:t>MCH</w:t>
      </w:r>
      <w:r>
        <w:rPr>
          <w:rFonts w:ascii="宋体" w:eastAsia="宋体" w:hAnsi="宋体" w:cs="宋体"/>
          <w:spacing w:val="8"/>
          <w:sz w:val="16"/>
          <w:szCs w:val="16"/>
        </w:rPr>
        <w:t xml:space="preserve">  </w:t>
      </w:r>
      <w:r>
        <w:rPr>
          <w:rFonts w:ascii="宋体" w:eastAsia="宋体" w:hAnsi="宋体" w:cs="宋体"/>
          <w:spacing w:val="5"/>
          <w:sz w:val="16"/>
          <w:szCs w:val="16"/>
        </w:rPr>
        <w:t>红细胞平均</w:t>
      </w:r>
      <w:r>
        <w:rPr>
          <w:rFonts w:ascii="宋体" w:eastAsia="宋体" w:hAnsi="宋体" w:cs="宋体"/>
          <w:sz w:val="16"/>
          <w:szCs w:val="16"/>
        </w:rPr>
        <w:t xml:space="preserve"> </w:t>
      </w:r>
      <w:r>
        <w:rPr>
          <w:rFonts w:ascii="宋体" w:eastAsia="宋体" w:hAnsi="宋体" w:cs="宋体"/>
          <w:spacing w:val="-4"/>
          <w:sz w:val="16"/>
          <w:szCs w:val="16"/>
        </w:rPr>
        <w:t>血红蛋白含量，红细胞血红蛋白量</w:t>
      </w:r>
    </w:p>
    <w:p w:rsidR="00EA40A3" w:rsidRDefault="00E86C16">
      <w:pPr>
        <w:spacing w:before="55" w:line="251" w:lineRule="auto"/>
        <w:ind w:right="111"/>
        <w:rPr>
          <w:rFonts w:ascii="宋体" w:eastAsia="宋体" w:hAnsi="宋体" w:cs="宋体"/>
          <w:sz w:val="16"/>
          <w:szCs w:val="16"/>
        </w:rPr>
      </w:pPr>
      <w:r>
        <w:rPr>
          <w:rFonts w:ascii="宋体" w:eastAsia="宋体" w:hAnsi="宋体" w:cs="宋体"/>
          <w:spacing w:val="-1"/>
          <w:sz w:val="16"/>
          <w:szCs w:val="16"/>
        </w:rPr>
        <w:t>mean</w:t>
      </w:r>
      <w:r>
        <w:rPr>
          <w:rFonts w:ascii="宋体" w:eastAsia="宋体" w:hAnsi="宋体" w:cs="宋体"/>
          <w:spacing w:val="40"/>
          <w:w w:val="101"/>
          <w:sz w:val="16"/>
          <w:szCs w:val="16"/>
        </w:rPr>
        <w:t xml:space="preserve"> </w:t>
      </w:r>
      <w:r>
        <w:rPr>
          <w:rFonts w:ascii="宋体" w:eastAsia="宋体" w:hAnsi="宋体" w:cs="宋体"/>
          <w:spacing w:val="-1"/>
          <w:sz w:val="16"/>
          <w:szCs w:val="16"/>
        </w:rPr>
        <w:t>corpuscular</w:t>
      </w:r>
      <w:r>
        <w:rPr>
          <w:rFonts w:ascii="宋体" w:eastAsia="宋体" w:hAnsi="宋体" w:cs="宋体"/>
          <w:spacing w:val="28"/>
          <w:w w:val="101"/>
          <w:sz w:val="16"/>
          <w:szCs w:val="16"/>
        </w:rPr>
        <w:t xml:space="preserve"> </w:t>
      </w:r>
      <w:r>
        <w:rPr>
          <w:rFonts w:ascii="宋体" w:eastAsia="宋体" w:hAnsi="宋体" w:cs="宋体"/>
          <w:spacing w:val="-1"/>
          <w:sz w:val="16"/>
          <w:szCs w:val="16"/>
        </w:rPr>
        <w:t>volume,MCV</w:t>
      </w:r>
      <w:r>
        <w:rPr>
          <w:rFonts w:ascii="宋体" w:eastAsia="宋体" w:hAnsi="宋体" w:cs="宋体"/>
          <w:spacing w:val="45"/>
          <w:sz w:val="16"/>
          <w:szCs w:val="16"/>
        </w:rPr>
        <w:t xml:space="preserve"> </w:t>
      </w:r>
      <w:r>
        <w:rPr>
          <w:rFonts w:ascii="宋体" w:eastAsia="宋体" w:hAnsi="宋体" w:cs="宋体"/>
          <w:spacing w:val="-1"/>
          <w:sz w:val="16"/>
          <w:szCs w:val="16"/>
        </w:rPr>
        <w:t>平均红细胞体积</w:t>
      </w:r>
      <w:r>
        <w:rPr>
          <w:rFonts w:ascii="宋体" w:eastAsia="宋体" w:hAnsi="宋体" w:cs="宋体"/>
          <w:sz w:val="16"/>
          <w:szCs w:val="16"/>
        </w:rPr>
        <w:t xml:space="preserve"> </w:t>
      </w:r>
      <w:r>
        <w:rPr>
          <w:rFonts w:ascii="宋体" w:eastAsia="宋体" w:hAnsi="宋体" w:cs="宋体"/>
          <w:spacing w:val="-9"/>
          <w:sz w:val="16"/>
          <w:szCs w:val="16"/>
        </w:rPr>
        <w:t>megaloblastic</w:t>
      </w:r>
      <w:r>
        <w:rPr>
          <w:rFonts w:ascii="宋体" w:eastAsia="宋体" w:hAnsi="宋体" w:cs="宋体"/>
          <w:spacing w:val="7"/>
          <w:sz w:val="16"/>
          <w:szCs w:val="16"/>
        </w:rPr>
        <w:t xml:space="preserve"> </w:t>
      </w:r>
      <w:r>
        <w:rPr>
          <w:rFonts w:ascii="宋体" w:eastAsia="宋体" w:hAnsi="宋体" w:cs="宋体"/>
          <w:spacing w:val="-9"/>
          <w:sz w:val="16"/>
          <w:szCs w:val="16"/>
        </w:rPr>
        <w:t>anemia</w:t>
      </w:r>
      <w:r>
        <w:rPr>
          <w:rFonts w:ascii="宋体" w:eastAsia="宋体" w:hAnsi="宋体" w:cs="宋体"/>
          <w:spacing w:val="67"/>
          <w:sz w:val="16"/>
          <w:szCs w:val="16"/>
        </w:rPr>
        <w:t xml:space="preserve"> </w:t>
      </w:r>
      <w:r>
        <w:rPr>
          <w:rFonts w:ascii="宋体" w:eastAsia="宋体" w:hAnsi="宋体" w:cs="宋体"/>
          <w:spacing w:val="-9"/>
          <w:sz w:val="16"/>
          <w:szCs w:val="16"/>
        </w:rPr>
        <w:t>巨幼红细胞贫血</w:t>
      </w:r>
    </w:p>
    <w:p w:rsidR="00EA40A3" w:rsidRDefault="00E86C16">
      <w:pPr>
        <w:spacing w:before="70" w:line="219" w:lineRule="auto"/>
        <w:rPr>
          <w:rFonts w:ascii="宋体" w:eastAsia="宋体" w:hAnsi="宋体" w:cs="宋体"/>
          <w:sz w:val="16"/>
          <w:szCs w:val="16"/>
        </w:rPr>
      </w:pPr>
      <w:r>
        <w:rPr>
          <w:rFonts w:ascii="宋体" w:eastAsia="宋体" w:hAnsi="宋体" w:cs="宋体"/>
          <w:spacing w:val="-4"/>
          <w:sz w:val="16"/>
          <w:szCs w:val="16"/>
        </w:rPr>
        <w:t>melatonin</w:t>
      </w:r>
      <w:r>
        <w:rPr>
          <w:rFonts w:ascii="宋体" w:eastAsia="宋体" w:hAnsi="宋体" w:cs="宋体"/>
          <w:spacing w:val="51"/>
          <w:sz w:val="16"/>
          <w:szCs w:val="16"/>
        </w:rPr>
        <w:t xml:space="preserve"> </w:t>
      </w:r>
      <w:r>
        <w:rPr>
          <w:rFonts w:ascii="宋体" w:eastAsia="宋体" w:hAnsi="宋体" w:cs="宋体"/>
          <w:spacing w:val="-4"/>
          <w:sz w:val="16"/>
          <w:szCs w:val="16"/>
        </w:rPr>
        <w:t>褪黑素或松果体素</w:t>
      </w:r>
    </w:p>
    <w:p w:rsidR="00EA40A3" w:rsidRDefault="00E86C16">
      <w:pPr>
        <w:spacing w:before="58" w:line="216" w:lineRule="auto"/>
        <w:rPr>
          <w:rFonts w:ascii="宋体" w:eastAsia="宋体" w:hAnsi="宋体" w:cs="宋体"/>
          <w:sz w:val="16"/>
          <w:szCs w:val="16"/>
        </w:rPr>
      </w:pPr>
      <w:r>
        <w:rPr>
          <w:rFonts w:ascii="宋体" w:eastAsia="宋体" w:hAnsi="宋体" w:cs="宋体"/>
          <w:spacing w:val="-1"/>
          <w:sz w:val="16"/>
          <w:szCs w:val="16"/>
        </w:rPr>
        <w:t>metallothionein,MT</w:t>
      </w:r>
      <w:r>
        <w:rPr>
          <w:rFonts w:ascii="宋体" w:eastAsia="宋体" w:hAnsi="宋体" w:cs="宋体"/>
          <w:spacing w:val="66"/>
          <w:sz w:val="16"/>
          <w:szCs w:val="16"/>
        </w:rPr>
        <w:t xml:space="preserve"> </w:t>
      </w:r>
      <w:r>
        <w:rPr>
          <w:rFonts w:ascii="宋体" w:eastAsia="宋体" w:hAnsi="宋体" w:cs="宋体"/>
          <w:spacing w:val="-1"/>
          <w:sz w:val="16"/>
          <w:szCs w:val="16"/>
        </w:rPr>
        <w:t>金属硫蛋白</w:t>
      </w:r>
    </w:p>
    <w:p w:rsidR="00EA40A3" w:rsidRDefault="00E86C16">
      <w:pPr>
        <w:spacing w:before="60" w:line="253" w:lineRule="exact"/>
        <w:rPr>
          <w:rFonts w:ascii="宋体" w:eastAsia="宋体" w:hAnsi="宋体" w:cs="宋体"/>
          <w:sz w:val="16"/>
          <w:szCs w:val="16"/>
        </w:rPr>
      </w:pPr>
      <w:r>
        <w:rPr>
          <w:rFonts w:ascii="宋体" w:eastAsia="宋体" w:hAnsi="宋体" w:cs="宋体"/>
          <w:spacing w:val="-1"/>
          <w:position w:val="7"/>
          <w:sz w:val="16"/>
          <w:szCs w:val="16"/>
        </w:rPr>
        <w:t>methemoglobin,MHb</w:t>
      </w:r>
      <w:r>
        <w:rPr>
          <w:rFonts w:ascii="宋体" w:eastAsia="宋体" w:hAnsi="宋体" w:cs="宋体"/>
          <w:spacing w:val="17"/>
          <w:position w:val="7"/>
          <w:sz w:val="16"/>
          <w:szCs w:val="16"/>
        </w:rPr>
        <w:t xml:space="preserve">   </w:t>
      </w:r>
      <w:r>
        <w:rPr>
          <w:rFonts w:ascii="宋体" w:eastAsia="宋体" w:hAnsi="宋体" w:cs="宋体"/>
          <w:spacing w:val="-1"/>
          <w:position w:val="7"/>
          <w:sz w:val="16"/>
          <w:szCs w:val="16"/>
        </w:rPr>
        <w:t>高铁血红蛋白</w:t>
      </w:r>
    </w:p>
    <w:p w:rsidR="00EA40A3" w:rsidRDefault="00E86C16">
      <w:pPr>
        <w:spacing w:line="216" w:lineRule="auto"/>
        <w:rPr>
          <w:rFonts w:ascii="宋体" w:eastAsia="宋体" w:hAnsi="宋体" w:cs="宋体"/>
          <w:sz w:val="16"/>
          <w:szCs w:val="16"/>
        </w:rPr>
      </w:pPr>
      <w:r>
        <w:rPr>
          <w:rFonts w:ascii="宋体" w:eastAsia="宋体" w:hAnsi="宋体" w:cs="宋体"/>
          <w:spacing w:val="-1"/>
          <w:sz w:val="16"/>
          <w:szCs w:val="16"/>
        </w:rPr>
        <w:t>methionine,Met</w:t>
      </w:r>
      <w:r>
        <w:rPr>
          <w:rFonts w:ascii="宋体" w:eastAsia="宋体" w:hAnsi="宋体" w:cs="宋体"/>
          <w:spacing w:val="9"/>
          <w:sz w:val="16"/>
          <w:szCs w:val="16"/>
        </w:rPr>
        <w:t xml:space="preserve">  </w:t>
      </w:r>
      <w:r>
        <w:rPr>
          <w:rFonts w:ascii="宋体" w:eastAsia="宋体" w:hAnsi="宋体" w:cs="宋体"/>
          <w:spacing w:val="-1"/>
          <w:sz w:val="16"/>
          <w:szCs w:val="16"/>
        </w:rPr>
        <w:t>蛋氨酸</w:t>
      </w:r>
    </w:p>
    <w:p w:rsidR="00EA40A3" w:rsidRDefault="00E86C16">
      <w:pPr>
        <w:spacing w:before="61" w:line="256" w:lineRule="auto"/>
        <w:ind w:left="239" w:right="13" w:hanging="239"/>
        <w:rPr>
          <w:rFonts w:ascii="宋体" w:eastAsia="宋体" w:hAnsi="宋体" w:cs="宋体"/>
          <w:sz w:val="16"/>
          <w:szCs w:val="16"/>
        </w:rPr>
      </w:pPr>
      <w:r>
        <w:rPr>
          <w:rFonts w:ascii="宋体" w:eastAsia="宋体" w:hAnsi="宋体" w:cs="宋体"/>
          <w:spacing w:val="-3"/>
          <w:sz w:val="16"/>
          <w:szCs w:val="16"/>
        </w:rPr>
        <w:t>methylene</w:t>
      </w:r>
      <w:r>
        <w:rPr>
          <w:rFonts w:ascii="宋体" w:eastAsia="宋体" w:hAnsi="宋体" w:cs="宋体"/>
          <w:spacing w:val="7"/>
          <w:sz w:val="16"/>
          <w:szCs w:val="16"/>
        </w:rPr>
        <w:t xml:space="preserve"> </w:t>
      </w:r>
      <w:r>
        <w:rPr>
          <w:rFonts w:ascii="宋体" w:eastAsia="宋体" w:hAnsi="宋体" w:cs="宋体"/>
          <w:spacing w:val="-3"/>
          <w:sz w:val="16"/>
          <w:szCs w:val="16"/>
        </w:rPr>
        <w:t>tetrahydrofolate</w:t>
      </w:r>
      <w:r>
        <w:rPr>
          <w:rFonts w:ascii="宋体" w:eastAsia="宋体" w:hAnsi="宋体" w:cs="宋体"/>
          <w:spacing w:val="2"/>
          <w:sz w:val="16"/>
          <w:szCs w:val="16"/>
        </w:rPr>
        <w:t xml:space="preserve"> </w:t>
      </w:r>
      <w:r>
        <w:rPr>
          <w:rFonts w:ascii="宋体" w:eastAsia="宋体" w:hAnsi="宋体" w:cs="宋体"/>
          <w:spacing w:val="-3"/>
          <w:sz w:val="16"/>
          <w:szCs w:val="16"/>
        </w:rPr>
        <w:t>reductase,MTHFY</w:t>
      </w:r>
      <w:r>
        <w:rPr>
          <w:rFonts w:ascii="宋体" w:eastAsia="宋体" w:hAnsi="宋体" w:cs="宋体"/>
          <w:spacing w:val="55"/>
          <w:sz w:val="16"/>
          <w:szCs w:val="16"/>
        </w:rPr>
        <w:t xml:space="preserve"> </w:t>
      </w:r>
      <w:r>
        <w:rPr>
          <w:rFonts w:ascii="宋体" w:eastAsia="宋体" w:hAnsi="宋体" w:cs="宋体"/>
          <w:spacing w:val="-3"/>
          <w:sz w:val="16"/>
          <w:szCs w:val="16"/>
        </w:rPr>
        <w:t>亚</w:t>
      </w:r>
      <w:r>
        <w:rPr>
          <w:rFonts w:ascii="宋体" w:eastAsia="宋体" w:hAnsi="宋体" w:cs="宋体"/>
          <w:sz w:val="16"/>
          <w:szCs w:val="16"/>
        </w:rPr>
        <w:t xml:space="preserve"> </w:t>
      </w:r>
      <w:r>
        <w:rPr>
          <w:rFonts w:ascii="宋体" w:eastAsia="宋体" w:hAnsi="宋体" w:cs="宋体"/>
          <w:spacing w:val="-6"/>
          <w:sz w:val="16"/>
          <w:szCs w:val="16"/>
        </w:rPr>
        <w:t>甲基四氢叶酸还原酮</w:t>
      </w:r>
    </w:p>
    <w:p w:rsidR="00EA40A3" w:rsidRDefault="00E86C16">
      <w:pPr>
        <w:spacing w:before="110" w:line="254" w:lineRule="auto"/>
        <w:ind w:right="691"/>
        <w:rPr>
          <w:rFonts w:ascii="宋体" w:eastAsia="宋体" w:hAnsi="宋体" w:cs="宋体"/>
          <w:sz w:val="16"/>
          <w:szCs w:val="16"/>
        </w:rPr>
      </w:pPr>
      <w:r>
        <w:rPr>
          <w:rFonts w:ascii="宋体" w:eastAsia="宋体" w:hAnsi="宋体" w:cs="宋体"/>
          <w:spacing w:val="-10"/>
          <w:sz w:val="16"/>
          <w:szCs w:val="16"/>
        </w:rPr>
        <w:t>microelements</w:t>
      </w:r>
      <w:r>
        <w:rPr>
          <w:rFonts w:ascii="宋体" w:eastAsia="宋体" w:hAnsi="宋体" w:cs="宋体"/>
          <w:spacing w:val="14"/>
          <w:sz w:val="16"/>
          <w:szCs w:val="16"/>
        </w:rPr>
        <w:t xml:space="preserve"> </w:t>
      </w:r>
      <w:r>
        <w:rPr>
          <w:rFonts w:ascii="宋体" w:eastAsia="宋体" w:hAnsi="宋体" w:cs="宋体"/>
          <w:spacing w:val="-10"/>
          <w:sz w:val="16"/>
          <w:szCs w:val="16"/>
        </w:rPr>
        <w:t>or</w:t>
      </w:r>
      <w:r>
        <w:rPr>
          <w:rFonts w:ascii="宋体" w:eastAsia="宋体" w:hAnsi="宋体" w:cs="宋体"/>
          <w:spacing w:val="-1"/>
          <w:sz w:val="16"/>
          <w:szCs w:val="16"/>
        </w:rPr>
        <w:t xml:space="preserve"> </w:t>
      </w:r>
      <w:r>
        <w:rPr>
          <w:rFonts w:ascii="宋体" w:eastAsia="宋体" w:hAnsi="宋体" w:cs="宋体"/>
          <w:spacing w:val="-10"/>
          <w:sz w:val="16"/>
          <w:szCs w:val="16"/>
        </w:rPr>
        <w:t>trace</w:t>
      </w:r>
      <w:r>
        <w:rPr>
          <w:rFonts w:ascii="宋体" w:eastAsia="宋体" w:hAnsi="宋体" w:cs="宋体"/>
          <w:sz w:val="16"/>
          <w:szCs w:val="16"/>
        </w:rPr>
        <w:t xml:space="preserve"> </w:t>
      </w:r>
      <w:r>
        <w:rPr>
          <w:rFonts w:ascii="宋体" w:eastAsia="宋体" w:hAnsi="宋体" w:cs="宋体"/>
          <w:spacing w:val="-10"/>
          <w:sz w:val="16"/>
          <w:szCs w:val="16"/>
        </w:rPr>
        <w:t>element</w:t>
      </w:r>
      <w:r>
        <w:rPr>
          <w:rFonts w:ascii="宋体" w:eastAsia="宋体" w:hAnsi="宋体" w:cs="宋体"/>
          <w:spacing w:val="39"/>
          <w:w w:val="101"/>
          <w:sz w:val="16"/>
          <w:szCs w:val="16"/>
        </w:rPr>
        <w:t xml:space="preserve"> </w:t>
      </w:r>
      <w:r>
        <w:rPr>
          <w:rFonts w:ascii="宋体" w:eastAsia="宋体" w:hAnsi="宋体" w:cs="宋体"/>
          <w:spacing w:val="-10"/>
          <w:sz w:val="16"/>
          <w:szCs w:val="16"/>
        </w:rPr>
        <w:t>微量元素</w:t>
      </w:r>
      <w:r>
        <w:rPr>
          <w:rFonts w:ascii="宋体" w:eastAsia="宋体" w:hAnsi="宋体" w:cs="宋体"/>
          <w:sz w:val="16"/>
          <w:szCs w:val="16"/>
        </w:rPr>
        <w:t xml:space="preserve"> </w:t>
      </w:r>
      <w:r>
        <w:rPr>
          <w:rFonts w:ascii="宋体" w:eastAsia="宋体" w:hAnsi="宋体" w:cs="宋体"/>
          <w:spacing w:val="-8"/>
          <w:sz w:val="16"/>
          <w:szCs w:val="16"/>
        </w:rPr>
        <w:t>milk</w:t>
      </w:r>
      <w:r>
        <w:rPr>
          <w:rFonts w:ascii="宋体" w:eastAsia="宋体" w:hAnsi="宋体" w:cs="宋体"/>
          <w:spacing w:val="12"/>
          <w:sz w:val="16"/>
          <w:szCs w:val="16"/>
        </w:rPr>
        <w:t xml:space="preserve"> </w:t>
      </w:r>
      <w:r>
        <w:rPr>
          <w:rFonts w:ascii="宋体" w:eastAsia="宋体" w:hAnsi="宋体" w:cs="宋体"/>
          <w:spacing w:val="-8"/>
          <w:sz w:val="16"/>
          <w:szCs w:val="16"/>
        </w:rPr>
        <w:t>formulas</w:t>
      </w:r>
      <w:r>
        <w:rPr>
          <w:rFonts w:ascii="宋体" w:eastAsia="宋体" w:hAnsi="宋体" w:cs="宋体"/>
          <w:spacing w:val="50"/>
          <w:sz w:val="16"/>
          <w:szCs w:val="16"/>
        </w:rPr>
        <w:t xml:space="preserve"> </w:t>
      </w:r>
      <w:r>
        <w:rPr>
          <w:rFonts w:ascii="宋体" w:eastAsia="宋体" w:hAnsi="宋体" w:cs="宋体"/>
          <w:spacing w:val="-8"/>
          <w:sz w:val="16"/>
          <w:szCs w:val="16"/>
        </w:rPr>
        <w:t>配方奶粉</w:t>
      </w:r>
    </w:p>
    <w:p w:rsidR="00EA40A3" w:rsidRDefault="00E86C16">
      <w:pPr>
        <w:spacing w:before="60" w:line="246" w:lineRule="exact"/>
        <w:rPr>
          <w:rFonts w:ascii="宋体" w:eastAsia="宋体" w:hAnsi="宋体" w:cs="宋体"/>
          <w:sz w:val="16"/>
          <w:szCs w:val="16"/>
        </w:rPr>
      </w:pPr>
      <w:r>
        <w:rPr>
          <w:rFonts w:ascii="宋体" w:eastAsia="宋体" w:hAnsi="宋体" w:cs="宋体"/>
          <w:spacing w:val="-4"/>
          <w:position w:val="6"/>
          <w:sz w:val="16"/>
          <w:szCs w:val="16"/>
        </w:rPr>
        <w:t>mineral</w:t>
      </w:r>
      <w:r>
        <w:rPr>
          <w:rFonts w:ascii="宋体" w:eastAsia="宋体" w:hAnsi="宋体" w:cs="宋体"/>
          <w:spacing w:val="47"/>
          <w:position w:val="6"/>
          <w:sz w:val="16"/>
          <w:szCs w:val="16"/>
        </w:rPr>
        <w:t xml:space="preserve"> </w:t>
      </w:r>
      <w:r>
        <w:rPr>
          <w:rFonts w:ascii="宋体" w:eastAsia="宋体" w:hAnsi="宋体" w:cs="宋体"/>
          <w:spacing w:val="-4"/>
          <w:position w:val="6"/>
          <w:sz w:val="16"/>
          <w:szCs w:val="16"/>
        </w:rPr>
        <w:t>矿物质</w:t>
      </w:r>
    </w:p>
    <w:p w:rsidR="00EA40A3" w:rsidRDefault="00E86C16">
      <w:pPr>
        <w:spacing w:line="215" w:lineRule="auto"/>
        <w:rPr>
          <w:rFonts w:ascii="宋体" w:eastAsia="宋体" w:hAnsi="宋体" w:cs="宋体"/>
          <w:sz w:val="16"/>
          <w:szCs w:val="16"/>
        </w:rPr>
      </w:pPr>
      <w:r>
        <w:rPr>
          <w:rFonts w:ascii="宋体" w:eastAsia="宋体" w:hAnsi="宋体" w:cs="宋体"/>
          <w:spacing w:val="-1"/>
          <w:sz w:val="16"/>
          <w:szCs w:val="16"/>
        </w:rPr>
        <w:t>molybdenum</w:t>
      </w:r>
      <w:r>
        <w:rPr>
          <w:rFonts w:ascii="宋体" w:eastAsia="宋体" w:hAnsi="宋体" w:cs="宋体"/>
          <w:spacing w:val="10"/>
          <w:sz w:val="16"/>
          <w:szCs w:val="16"/>
        </w:rPr>
        <w:t xml:space="preserve">  </w:t>
      </w:r>
      <w:r>
        <w:rPr>
          <w:rFonts w:ascii="宋体" w:eastAsia="宋体" w:hAnsi="宋体" w:cs="宋体"/>
          <w:spacing w:val="-1"/>
          <w:sz w:val="16"/>
          <w:szCs w:val="16"/>
        </w:rPr>
        <w:t>钼</w:t>
      </w:r>
    </w:p>
    <w:p w:rsidR="00EA40A3" w:rsidRDefault="00E86C16">
      <w:pPr>
        <w:spacing w:before="68" w:line="220" w:lineRule="auto"/>
        <w:rPr>
          <w:rFonts w:ascii="宋体" w:eastAsia="宋体" w:hAnsi="宋体" w:cs="宋体"/>
          <w:sz w:val="16"/>
          <w:szCs w:val="16"/>
        </w:rPr>
      </w:pPr>
      <w:r>
        <w:rPr>
          <w:rFonts w:ascii="宋体" w:eastAsia="宋体" w:hAnsi="宋体" w:cs="宋体"/>
          <w:spacing w:val="-6"/>
          <w:sz w:val="16"/>
          <w:szCs w:val="16"/>
        </w:rPr>
        <w:t>monosaccharide</w:t>
      </w:r>
      <w:r>
        <w:rPr>
          <w:rFonts w:ascii="宋体" w:eastAsia="宋体" w:hAnsi="宋体" w:cs="宋体"/>
          <w:spacing w:val="61"/>
          <w:sz w:val="16"/>
          <w:szCs w:val="16"/>
        </w:rPr>
        <w:t xml:space="preserve"> </w:t>
      </w:r>
      <w:r>
        <w:rPr>
          <w:rFonts w:ascii="宋体" w:eastAsia="宋体" w:hAnsi="宋体" w:cs="宋体"/>
          <w:spacing w:val="-6"/>
          <w:sz w:val="16"/>
          <w:szCs w:val="16"/>
        </w:rPr>
        <w:t>单糖</w:t>
      </w:r>
    </w:p>
    <w:p w:rsidR="00EA40A3" w:rsidRDefault="00E86C16">
      <w:pPr>
        <w:spacing w:before="55" w:line="215" w:lineRule="auto"/>
        <w:rPr>
          <w:rFonts w:ascii="宋体" w:eastAsia="宋体" w:hAnsi="宋体" w:cs="宋体"/>
          <w:sz w:val="16"/>
          <w:szCs w:val="16"/>
        </w:rPr>
      </w:pPr>
      <w:r>
        <w:rPr>
          <w:rFonts w:ascii="宋体" w:eastAsia="宋体" w:hAnsi="宋体" w:cs="宋体"/>
          <w:sz w:val="16"/>
          <w:szCs w:val="16"/>
        </w:rPr>
        <w:t>monounsaturated</w:t>
      </w:r>
      <w:r>
        <w:rPr>
          <w:rFonts w:ascii="宋体" w:eastAsia="宋体" w:hAnsi="宋体" w:cs="宋体"/>
          <w:spacing w:val="26"/>
          <w:sz w:val="16"/>
          <w:szCs w:val="16"/>
        </w:rPr>
        <w:t xml:space="preserve"> </w:t>
      </w:r>
      <w:r>
        <w:rPr>
          <w:rFonts w:ascii="宋体" w:eastAsia="宋体" w:hAnsi="宋体" w:cs="宋体"/>
          <w:sz w:val="16"/>
          <w:szCs w:val="16"/>
        </w:rPr>
        <w:t>fatty</w:t>
      </w:r>
      <w:r>
        <w:rPr>
          <w:rFonts w:ascii="宋体" w:eastAsia="宋体" w:hAnsi="宋体" w:cs="宋体"/>
          <w:spacing w:val="24"/>
          <w:sz w:val="16"/>
          <w:szCs w:val="16"/>
        </w:rPr>
        <w:t xml:space="preserve"> </w:t>
      </w:r>
      <w:r>
        <w:rPr>
          <w:rFonts w:ascii="宋体" w:eastAsia="宋体" w:hAnsi="宋体" w:cs="宋体"/>
          <w:sz w:val="16"/>
          <w:szCs w:val="16"/>
        </w:rPr>
        <w:t>acid</w:t>
      </w:r>
      <w:r>
        <w:rPr>
          <w:rFonts w:ascii="宋体" w:eastAsia="宋体" w:hAnsi="宋体" w:cs="宋体"/>
          <w:spacing w:val="5"/>
          <w:sz w:val="16"/>
          <w:szCs w:val="16"/>
        </w:rPr>
        <w:t>,</w:t>
      </w:r>
      <w:r>
        <w:rPr>
          <w:rFonts w:ascii="宋体" w:eastAsia="宋体" w:hAnsi="宋体" w:cs="宋体"/>
          <w:sz w:val="16"/>
          <w:szCs w:val="16"/>
        </w:rPr>
        <w:t>MUFA</w:t>
      </w:r>
      <w:r>
        <w:rPr>
          <w:rFonts w:ascii="宋体" w:eastAsia="宋体" w:hAnsi="宋体" w:cs="宋体"/>
          <w:spacing w:val="8"/>
          <w:sz w:val="16"/>
          <w:szCs w:val="16"/>
        </w:rPr>
        <w:t xml:space="preserve">  </w:t>
      </w:r>
      <w:r>
        <w:rPr>
          <w:rFonts w:ascii="宋体" w:eastAsia="宋体" w:hAnsi="宋体" w:cs="宋体"/>
          <w:spacing w:val="5"/>
          <w:sz w:val="16"/>
          <w:szCs w:val="16"/>
        </w:rPr>
        <w:t>单不饱和脂</w:t>
      </w:r>
    </w:p>
    <w:p w:rsidR="00EA40A3" w:rsidRDefault="00E86C16">
      <w:pPr>
        <w:spacing w:before="68" w:line="220" w:lineRule="auto"/>
        <w:ind w:left="219"/>
        <w:rPr>
          <w:rFonts w:ascii="宋体" w:eastAsia="宋体" w:hAnsi="宋体" w:cs="宋体"/>
          <w:sz w:val="16"/>
          <w:szCs w:val="16"/>
        </w:rPr>
      </w:pPr>
      <w:r>
        <w:rPr>
          <w:rFonts w:ascii="宋体" w:eastAsia="宋体" w:hAnsi="宋体" w:cs="宋体"/>
          <w:spacing w:val="-2"/>
          <w:sz w:val="16"/>
          <w:szCs w:val="16"/>
        </w:rPr>
        <w:t>肪酸</w:t>
      </w:r>
    </w:p>
    <w:p w:rsidR="00EA40A3" w:rsidRDefault="00E86C16">
      <w:pPr>
        <w:spacing w:before="119" w:line="219" w:lineRule="auto"/>
        <w:rPr>
          <w:rFonts w:ascii="宋体" w:eastAsia="宋体" w:hAnsi="宋体" w:cs="宋体"/>
          <w:sz w:val="16"/>
          <w:szCs w:val="16"/>
        </w:rPr>
      </w:pPr>
      <w:r>
        <w:rPr>
          <w:rFonts w:ascii="宋体" w:eastAsia="宋体" w:hAnsi="宋体" w:cs="宋体"/>
          <w:spacing w:val="-3"/>
          <w:sz w:val="16"/>
          <w:szCs w:val="16"/>
        </w:rPr>
        <w:t>mouth</w:t>
      </w:r>
      <w:r>
        <w:rPr>
          <w:rFonts w:ascii="宋体" w:eastAsia="宋体" w:hAnsi="宋体" w:cs="宋体"/>
          <w:spacing w:val="12"/>
          <w:sz w:val="16"/>
          <w:szCs w:val="16"/>
        </w:rPr>
        <w:t xml:space="preserve">  </w:t>
      </w:r>
      <w:r>
        <w:rPr>
          <w:rFonts w:ascii="宋体" w:eastAsia="宋体" w:hAnsi="宋体" w:cs="宋体"/>
          <w:spacing w:val="-3"/>
          <w:sz w:val="16"/>
          <w:szCs w:val="16"/>
        </w:rPr>
        <w:t>口腔</w:t>
      </w:r>
    </w:p>
    <w:p w:rsidR="00EA40A3" w:rsidRDefault="00E86C16">
      <w:pPr>
        <w:spacing w:before="46" w:line="215" w:lineRule="auto"/>
        <w:rPr>
          <w:rFonts w:ascii="宋体" w:eastAsia="宋体" w:hAnsi="宋体" w:cs="宋体"/>
          <w:sz w:val="16"/>
          <w:szCs w:val="16"/>
        </w:rPr>
      </w:pPr>
      <w:r>
        <w:rPr>
          <w:rFonts w:ascii="宋体" w:eastAsia="宋体" w:hAnsi="宋体" w:cs="宋体"/>
          <w:spacing w:val="-14"/>
          <w:sz w:val="16"/>
          <w:szCs w:val="16"/>
        </w:rPr>
        <w:t>myristic</w:t>
      </w:r>
      <w:r>
        <w:rPr>
          <w:rFonts w:ascii="宋体" w:eastAsia="宋体" w:hAnsi="宋体" w:cs="宋体"/>
          <w:spacing w:val="-10"/>
          <w:sz w:val="16"/>
          <w:szCs w:val="16"/>
        </w:rPr>
        <w:t xml:space="preserve"> </w:t>
      </w:r>
      <w:r>
        <w:rPr>
          <w:rFonts w:ascii="宋体" w:eastAsia="宋体" w:hAnsi="宋体" w:cs="宋体"/>
          <w:spacing w:val="-14"/>
          <w:sz w:val="16"/>
          <w:szCs w:val="16"/>
        </w:rPr>
        <w:t>acid</w:t>
      </w:r>
      <w:r>
        <w:rPr>
          <w:rFonts w:ascii="宋体" w:eastAsia="宋体" w:hAnsi="宋体" w:cs="宋体"/>
          <w:spacing w:val="76"/>
          <w:sz w:val="16"/>
          <w:szCs w:val="16"/>
        </w:rPr>
        <w:t xml:space="preserve"> </w:t>
      </w:r>
      <w:r>
        <w:rPr>
          <w:rFonts w:ascii="宋体" w:eastAsia="宋体" w:hAnsi="宋体" w:cs="宋体"/>
          <w:spacing w:val="-14"/>
          <w:sz w:val="16"/>
          <w:szCs w:val="16"/>
        </w:rPr>
        <w:t>肉豆蔻酸</w:t>
      </w:r>
    </w:p>
    <w:p w:rsidR="00EA40A3" w:rsidRDefault="00E86C16">
      <w:pPr>
        <w:spacing w:before="64"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nasopharyngeal</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carcino</w:t>
      </w:r>
      <w:r>
        <w:rPr>
          <w:rFonts w:ascii="Times New Roman" w:eastAsia="Times New Roman" w:hAnsi="Times New Roman" w:cs="Times New Roman"/>
          <w:spacing w:val="-1"/>
          <w:sz w:val="16"/>
          <w:szCs w:val="16"/>
        </w:rPr>
        <w:t>ma(NPC)KB</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cell,KB</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cell</w:t>
      </w:r>
    </w:p>
    <w:p w:rsidR="00EA40A3" w:rsidRDefault="00E86C16">
      <w:pPr>
        <w:spacing w:before="85" w:line="219" w:lineRule="auto"/>
        <w:ind w:left="372"/>
        <w:rPr>
          <w:rFonts w:ascii="宋体" w:eastAsia="宋体" w:hAnsi="宋体" w:cs="宋体"/>
          <w:sz w:val="16"/>
          <w:szCs w:val="16"/>
        </w:rPr>
      </w:pPr>
      <w:r>
        <w:rPr>
          <w:rFonts w:ascii="宋体" w:eastAsia="宋体" w:hAnsi="宋体" w:cs="宋体"/>
          <w:b/>
          <w:bCs/>
          <w:spacing w:val="-2"/>
          <w:sz w:val="16"/>
          <w:szCs w:val="16"/>
        </w:rPr>
        <w:t>鼻咽癌KB</w:t>
      </w:r>
      <w:r>
        <w:rPr>
          <w:rFonts w:ascii="宋体" w:eastAsia="宋体" w:hAnsi="宋体" w:cs="宋体"/>
          <w:spacing w:val="17"/>
          <w:sz w:val="16"/>
          <w:szCs w:val="16"/>
        </w:rPr>
        <w:t xml:space="preserve"> </w:t>
      </w:r>
      <w:r>
        <w:rPr>
          <w:rFonts w:ascii="宋体" w:eastAsia="宋体" w:hAnsi="宋体" w:cs="宋体"/>
          <w:b/>
          <w:bCs/>
          <w:spacing w:val="-2"/>
          <w:sz w:val="16"/>
          <w:szCs w:val="16"/>
        </w:rPr>
        <w:t>细胞</w:t>
      </w:r>
    </w:p>
    <w:p w:rsidR="00EA40A3" w:rsidRDefault="00E86C16">
      <w:pPr>
        <w:spacing w:before="113" w:line="224" w:lineRule="auto"/>
        <w:rPr>
          <w:rFonts w:ascii="仿宋" w:eastAsia="仿宋" w:hAnsi="仿宋" w:cs="仿宋"/>
          <w:sz w:val="16"/>
          <w:szCs w:val="16"/>
        </w:rPr>
      </w:pPr>
      <w:r>
        <w:rPr>
          <w:rFonts w:ascii="仿宋" w:eastAsia="仿宋" w:hAnsi="仿宋" w:cs="仿宋"/>
          <w:spacing w:val="-5"/>
          <w:sz w:val="16"/>
          <w:szCs w:val="16"/>
        </w:rPr>
        <w:t>natrium</w:t>
      </w:r>
      <w:r>
        <w:rPr>
          <w:rFonts w:ascii="仿宋" w:eastAsia="仿宋" w:hAnsi="仿宋" w:cs="仿宋"/>
          <w:spacing w:val="49"/>
          <w:sz w:val="16"/>
          <w:szCs w:val="16"/>
        </w:rPr>
        <w:t xml:space="preserve"> </w:t>
      </w:r>
      <w:r>
        <w:rPr>
          <w:rFonts w:ascii="仿宋" w:eastAsia="仿宋" w:hAnsi="仿宋" w:cs="仿宋"/>
          <w:spacing w:val="-5"/>
          <w:sz w:val="16"/>
          <w:szCs w:val="16"/>
        </w:rPr>
        <w:t>钠</w:t>
      </w:r>
    </w:p>
    <w:p w:rsidR="00EA40A3" w:rsidRDefault="00E86C16">
      <w:pPr>
        <w:spacing w:before="47" w:line="257" w:lineRule="exact"/>
        <w:rPr>
          <w:rFonts w:ascii="仿宋" w:eastAsia="仿宋" w:hAnsi="仿宋" w:cs="仿宋"/>
          <w:sz w:val="16"/>
          <w:szCs w:val="16"/>
        </w:rPr>
      </w:pPr>
      <w:r>
        <w:rPr>
          <w:rFonts w:ascii="仿宋" w:eastAsia="仿宋" w:hAnsi="仿宋" w:cs="仿宋"/>
          <w:spacing w:val="-12"/>
          <w:position w:val="7"/>
          <w:sz w:val="16"/>
          <w:szCs w:val="16"/>
        </w:rPr>
        <w:t>negative</w:t>
      </w:r>
      <w:r>
        <w:rPr>
          <w:rFonts w:ascii="仿宋" w:eastAsia="仿宋" w:hAnsi="仿宋" w:cs="仿宋"/>
          <w:position w:val="7"/>
          <w:sz w:val="16"/>
          <w:szCs w:val="16"/>
        </w:rPr>
        <w:t xml:space="preserve"> </w:t>
      </w:r>
      <w:r>
        <w:rPr>
          <w:rFonts w:ascii="仿宋" w:eastAsia="仿宋" w:hAnsi="仿宋" w:cs="仿宋"/>
          <w:spacing w:val="-12"/>
          <w:position w:val="7"/>
          <w:sz w:val="16"/>
          <w:szCs w:val="16"/>
        </w:rPr>
        <w:t>nitrogen</w:t>
      </w:r>
      <w:r>
        <w:rPr>
          <w:rFonts w:ascii="仿宋" w:eastAsia="仿宋" w:hAnsi="仿宋" w:cs="仿宋"/>
          <w:spacing w:val="-10"/>
          <w:position w:val="7"/>
          <w:sz w:val="16"/>
          <w:szCs w:val="16"/>
        </w:rPr>
        <w:t xml:space="preserve"> </w:t>
      </w:r>
      <w:r>
        <w:rPr>
          <w:rFonts w:ascii="仿宋" w:eastAsia="仿宋" w:hAnsi="仿宋" w:cs="仿宋"/>
          <w:spacing w:val="-12"/>
          <w:position w:val="7"/>
          <w:sz w:val="16"/>
          <w:szCs w:val="16"/>
        </w:rPr>
        <w:t>balance</w:t>
      </w:r>
      <w:r>
        <w:rPr>
          <w:rFonts w:ascii="仿宋" w:eastAsia="仿宋" w:hAnsi="仿宋" w:cs="仿宋"/>
          <w:spacing w:val="51"/>
          <w:position w:val="7"/>
          <w:sz w:val="16"/>
          <w:szCs w:val="16"/>
        </w:rPr>
        <w:t xml:space="preserve"> </w:t>
      </w:r>
      <w:r>
        <w:rPr>
          <w:rFonts w:ascii="仿宋" w:eastAsia="仿宋" w:hAnsi="仿宋" w:cs="仿宋"/>
          <w:spacing w:val="-12"/>
          <w:position w:val="7"/>
          <w:sz w:val="16"/>
          <w:szCs w:val="16"/>
        </w:rPr>
        <w:t>负氮平衡</w:t>
      </w:r>
    </w:p>
    <w:p w:rsidR="00EA40A3" w:rsidRDefault="00E86C16">
      <w:pPr>
        <w:spacing w:line="223" w:lineRule="auto"/>
        <w:rPr>
          <w:rFonts w:ascii="仿宋" w:eastAsia="仿宋" w:hAnsi="仿宋" w:cs="仿宋"/>
          <w:sz w:val="16"/>
          <w:szCs w:val="16"/>
        </w:rPr>
      </w:pPr>
      <w:r>
        <w:rPr>
          <w:rFonts w:ascii="仿宋" w:eastAsia="仿宋" w:hAnsi="仿宋" w:cs="仿宋"/>
          <w:spacing w:val="-11"/>
          <w:sz w:val="16"/>
          <w:szCs w:val="16"/>
        </w:rPr>
        <w:t>nervonic</w:t>
      </w:r>
      <w:r>
        <w:rPr>
          <w:rFonts w:ascii="仿宋" w:eastAsia="仿宋" w:hAnsi="仿宋" w:cs="仿宋"/>
          <w:spacing w:val="-2"/>
          <w:sz w:val="16"/>
          <w:szCs w:val="16"/>
        </w:rPr>
        <w:t xml:space="preserve"> </w:t>
      </w:r>
      <w:r>
        <w:rPr>
          <w:rFonts w:ascii="仿宋" w:eastAsia="仿宋" w:hAnsi="仿宋" w:cs="仿宋"/>
          <w:spacing w:val="-11"/>
          <w:sz w:val="16"/>
          <w:szCs w:val="16"/>
        </w:rPr>
        <w:t>acid</w:t>
      </w:r>
      <w:r>
        <w:rPr>
          <w:rFonts w:ascii="仿宋" w:eastAsia="仿宋" w:hAnsi="仿宋" w:cs="仿宋"/>
          <w:spacing w:val="56"/>
          <w:sz w:val="16"/>
          <w:szCs w:val="16"/>
        </w:rPr>
        <w:t xml:space="preserve"> </w:t>
      </w:r>
      <w:r>
        <w:rPr>
          <w:rFonts w:ascii="仿宋" w:eastAsia="仿宋" w:hAnsi="仿宋" w:cs="仿宋"/>
          <w:spacing w:val="-11"/>
          <w:sz w:val="16"/>
          <w:szCs w:val="16"/>
        </w:rPr>
        <w:t>神经酸</w:t>
      </w:r>
    </w:p>
    <w:p w:rsidR="00EA40A3" w:rsidRDefault="00E86C16">
      <w:pPr>
        <w:spacing w:before="51" w:line="269" w:lineRule="auto"/>
        <w:ind w:right="398"/>
        <w:rPr>
          <w:rFonts w:ascii="仿宋" w:eastAsia="仿宋" w:hAnsi="仿宋" w:cs="仿宋"/>
          <w:sz w:val="16"/>
          <w:szCs w:val="16"/>
        </w:rPr>
      </w:pPr>
      <w:r>
        <w:rPr>
          <w:rFonts w:ascii="仿宋" w:eastAsia="仿宋" w:hAnsi="仿宋" w:cs="仿宋"/>
          <w:spacing w:val="-8"/>
          <w:sz w:val="16"/>
          <w:szCs w:val="16"/>
        </w:rPr>
        <w:t>net</w:t>
      </w:r>
      <w:r>
        <w:rPr>
          <w:rFonts w:ascii="仿宋" w:eastAsia="仿宋" w:hAnsi="仿宋" w:cs="仿宋"/>
          <w:spacing w:val="2"/>
          <w:sz w:val="16"/>
          <w:szCs w:val="16"/>
        </w:rPr>
        <w:t xml:space="preserve"> </w:t>
      </w:r>
      <w:r>
        <w:rPr>
          <w:rFonts w:ascii="仿宋" w:eastAsia="仿宋" w:hAnsi="仿宋" w:cs="仿宋"/>
          <w:spacing w:val="-8"/>
          <w:sz w:val="16"/>
          <w:szCs w:val="16"/>
        </w:rPr>
        <w:t>protein</w:t>
      </w:r>
      <w:r>
        <w:rPr>
          <w:rFonts w:ascii="仿宋" w:eastAsia="仿宋" w:hAnsi="仿宋" w:cs="仿宋"/>
          <w:spacing w:val="-6"/>
          <w:sz w:val="16"/>
          <w:szCs w:val="16"/>
        </w:rPr>
        <w:t xml:space="preserve"> </w:t>
      </w:r>
      <w:r>
        <w:rPr>
          <w:rFonts w:ascii="仿宋" w:eastAsia="仿宋" w:hAnsi="仿宋" w:cs="仿宋"/>
          <w:spacing w:val="-8"/>
          <w:sz w:val="16"/>
          <w:szCs w:val="16"/>
        </w:rPr>
        <w:t>utilization,NPU</w:t>
      </w:r>
      <w:r>
        <w:rPr>
          <w:rFonts w:ascii="仿宋" w:eastAsia="仿宋" w:hAnsi="仿宋" w:cs="仿宋"/>
          <w:spacing w:val="56"/>
          <w:sz w:val="16"/>
          <w:szCs w:val="16"/>
        </w:rPr>
        <w:t xml:space="preserve"> </w:t>
      </w:r>
      <w:r>
        <w:rPr>
          <w:rFonts w:ascii="仿宋" w:eastAsia="仿宋" w:hAnsi="仿宋" w:cs="仿宋"/>
          <w:spacing w:val="-8"/>
          <w:sz w:val="16"/>
          <w:szCs w:val="16"/>
        </w:rPr>
        <w:t>蛋白质净利用率</w:t>
      </w:r>
      <w:r>
        <w:rPr>
          <w:rFonts w:ascii="仿宋" w:eastAsia="仿宋" w:hAnsi="仿宋" w:cs="仿宋"/>
          <w:sz w:val="16"/>
          <w:szCs w:val="16"/>
        </w:rPr>
        <w:t xml:space="preserve"> </w:t>
      </w:r>
      <w:r>
        <w:rPr>
          <w:rFonts w:ascii="仿宋" w:eastAsia="仿宋" w:hAnsi="仿宋" w:cs="仿宋"/>
          <w:spacing w:val="-7"/>
          <w:sz w:val="16"/>
          <w:szCs w:val="16"/>
        </w:rPr>
        <w:t>net</w:t>
      </w:r>
      <w:r>
        <w:rPr>
          <w:rFonts w:ascii="仿宋" w:eastAsia="仿宋" w:hAnsi="仿宋" w:cs="仿宋"/>
          <w:spacing w:val="12"/>
          <w:sz w:val="16"/>
          <w:szCs w:val="16"/>
        </w:rPr>
        <w:t xml:space="preserve"> </w:t>
      </w:r>
      <w:r>
        <w:rPr>
          <w:rFonts w:ascii="仿宋" w:eastAsia="仿宋" w:hAnsi="仿宋" w:cs="仿宋"/>
          <w:spacing w:val="-7"/>
          <w:sz w:val="16"/>
          <w:szCs w:val="16"/>
        </w:rPr>
        <w:t>protein</w:t>
      </w:r>
      <w:r>
        <w:rPr>
          <w:rFonts w:ascii="仿宋" w:eastAsia="仿宋" w:hAnsi="仿宋" w:cs="仿宋"/>
          <w:spacing w:val="-4"/>
          <w:sz w:val="16"/>
          <w:szCs w:val="16"/>
        </w:rPr>
        <w:t xml:space="preserve"> </w:t>
      </w:r>
      <w:r>
        <w:rPr>
          <w:rFonts w:ascii="仿宋" w:eastAsia="仿宋" w:hAnsi="仿宋" w:cs="仿宋"/>
          <w:spacing w:val="-7"/>
          <w:sz w:val="16"/>
          <w:szCs w:val="16"/>
        </w:rPr>
        <w:t>utilization,NPU</w:t>
      </w:r>
      <w:r>
        <w:rPr>
          <w:rFonts w:ascii="仿宋" w:eastAsia="仿宋" w:hAnsi="仿宋" w:cs="仿宋"/>
          <w:spacing w:val="46"/>
          <w:sz w:val="16"/>
          <w:szCs w:val="16"/>
        </w:rPr>
        <w:t xml:space="preserve"> </w:t>
      </w:r>
      <w:r>
        <w:rPr>
          <w:rFonts w:ascii="仿宋" w:eastAsia="仿宋" w:hAnsi="仿宋" w:cs="仿宋"/>
          <w:spacing w:val="-7"/>
          <w:sz w:val="16"/>
          <w:szCs w:val="16"/>
        </w:rPr>
        <w:t>净蛋白利用率</w:t>
      </w:r>
      <w:r>
        <w:rPr>
          <w:rFonts w:ascii="仿宋" w:eastAsia="仿宋" w:hAnsi="仿宋" w:cs="仿宋"/>
          <w:sz w:val="16"/>
          <w:szCs w:val="16"/>
        </w:rPr>
        <w:t xml:space="preserve">  </w:t>
      </w:r>
      <w:r>
        <w:rPr>
          <w:rFonts w:ascii="仿宋" w:eastAsia="仿宋" w:hAnsi="仿宋" w:cs="仿宋"/>
          <w:spacing w:val="-2"/>
          <w:sz w:val="16"/>
          <w:szCs w:val="16"/>
        </w:rPr>
        <w:t>neural</w:t>
      </w:r>
      <w:r>
        <w:rPr>
          <w:rFonts w:ascii="仿宋" w:eastAsia="仿宋" w:hAnsi="仿宋" w:cs="仿宋"/>
          <w:spacing w:val="27"/>
          <w:sz w:val="16"/>
          <w:szCs w:val="16"/>
        </w:rPr>
        <w:t xml:space="preserve"> </w:t>
      </w:r>
      <w:r>
        <w:rPr>
          <w:rFonts w:ascii="仿宋" w:eastAsia="仿宋" w:hAnsi="仿宋" w:cs="仿宋"/>
          <w:spacing w:val="-2"/>
          <w:sz w:val="16"/>
          <w:szCs w:val="16"/>
        </w:rPr>
        <w:t>tube</w:t>
      </w:r>
      <w:r>
        <w:rPr>
          <w:rFonts w:ascii="仿宋" w:eastAsia="仿宋" w:hAnsi="仿宋" w:cs="仿宋"/>
          <w:spacing w:val="9"/>
          <w:sz w:val="16"/>
          <w:szCs w:val="16"/>
        </w:rPr>
        <w:t xml:space="preserve"> </w:t>
      </w:r>
      <w:r>
        <w:rPr>
          <w:rFonts w:ascii="仿宋" w:eastAsia="仿宋" w:hAnsi="仿宋" w:cs="仿宋"/>
          <w:spacing w:val="-2"/>
          <w:sz w:val="16"/>
          <w:szCs w:val="16"/>
        </w:rPr>
        <w:t>defect,NTD</w:t>
      </w:r>
      <w:r>
        <w:rPr>
          <w:rFonts w:ascii="仿宋" w:eastAsia="仿宋" w:hAnsi="仿宋" w:cs="仿宋"/>
          <w:spacing w:val="14"/>
          <w:sz w:val="16"/>
          <w:szCs w:val="16"/>
        </w:rPr>
        <w:t xml:space="preserve"> </w:t>
      </w:r>
      <w:r>
        <w:rPr>
          <w:rFonts w:ascii="仿宋" w:eastAsia="仿宋" w:hAnsi="仿宋" w:cs="仿宋"/>
          <w:spacing w:val="-2"/>
          <w:sz w:val="16"/>
          <w:szCs w:val="16"/>
        </w:rPr>
        <w:t>神经管畸形</w:t>
      </w:r>
    </w:p>
    <w:p w:rsidR="00EA40A3" w:rsidRDefault="00E86C16">
      <w:pPr>
        <w:spacing w:before="57" w:line="223" w:lineRule="auto"/>
        <w:rPr>
          <w:rFonts w:ascii="仿宋" w:eastAsia="仿宋" w:hAnsi="仿宋" w:cs="仿宋"/>
          <w:sz w:val="16"/>
          <w:szCs w:val="16"/>
        </w:rPr>
      </w:pPr>
      <w:r>
        <w:rPr>
          <w:rFonts w:ascii="仿宋" w:eastAsia="仿宋" w:hAnsi="仿宋" w:cs="仿宋"/>
          <w:spacing w:val="-11"/>
          <w:sz w:val="16"/>
          <w:szCs w:val="16"/>
        </w:rPr>
        <w:t>neuritis</w:t>
      </w:r>
      <w:r>
        <w:rPr>
          <w:rFonts w:ascii="仿宋" w:eastAsia="仿宋" w:hAnsi="仿宋" w:cs="仿宋"/>
          <w:spacing w:val="33"/>
          <w:sz w:val="16"/>
          <w:szCs w:val="16"/>
        </w:rPr>
        <w:t xml:space="preserve"> </w:t>
      </w:r>
      <w:r>
        <w:rPr>
          <w:rFonts w:ascii="仿宋" w:eastAsia="仿宋" w:hAnsi="仿宋" w:cs="仿宋"/>
          <w:spacing w:val="-11"/>
          <w:sz w:val="16"/>
          <w:szCs w:val="16"/>
        </w:rPr>
        <w:t>神经炎</w:t>
      </w:r>
    </w:p>
    <w:p w:rsidR="00EA40A3" w:rsidRDefault="00E86C16">
      <w:pPr>
        <w:spacing w:before="50" w:line="216" w:lineRule="auto"/>
        <w:rPr>
          <w:rFonts w:ascii="仿宋" w:eastAsia="仿宋" w:hAnsi="仿宋" w:cs="仿宋"/>
          <w:sz w:val="16"/>
          <w:szCs w:val="16"/>
        </w:rPr>
      </w:pPr>
      <w:r>
        <w:rPr>
          <w:rFonts w:ascii="仿宋" w:eastAsia="仿宋" w:hAnsi="仿宋" w:cs="仿宋"/>
          <w:sz w:val="16"/>
          <w:szCs w:val="16"/>
        </w:rPr>
        <w:t>neuropeptide</w:t>
      </w:r>
      <w:r>
        <w:rPr>
          <w:rFonts w:ascii="仿宋" w:eastAsia="仿宋" w:hAnsi="仿宋" w:cs="仿宋"/>
          <w:spacing w:val="53"/>
          <w:w w:val="101"/>
          <w:sz w:val="16"/>
          <w:szCs w:val="16"/>
        </w:rPr>
        <w:t xml:space="preserve"> </w:t>
      </w:r>
      <w:r>
        <w:rPr>
          <w:rFonts w:ascii="仿宋" w:eastAsia="仿宋" w:hAnsi="仿宋" w:cs="仿宋"/>
          <w:sz w:val="16"/>
          <w:szCs w:val="16"/>
        </w:rPr>
        <w:t>Y</w:t>
      </w:r>
      <w:r>
        <w:rPr>
          <w:rFonts w:ascii="仿宋" w:eastAsia="仿宋" w:hAnsi="仿宋" w:cs="仿宋"/>
          <w:spacing w:val="4"/>
          <w:sz w:val="16"/>
          <w:szCs w:val="16"/>
        </w:rPr>
        <w:t>,</w:t>
      </w:r>
      <w:r>
        <w:rPr>
          <w:rFonts w:ascii="仿宋" w:eastAsia="仿宋" w:hAnsi="仿宋" w:cs="仿宋"/>
          <w:sz w:val="16"/>
          <w:szCs w:val="16"/>
        </w:rPr>
        <w:t>NPY</w:t>
      </w:r>
      <w:r>
        <w:rPr>
          <w:rFonts w:ascii="仿宋" w:eastAsia="仿宋" w:hAnsi="仿宋" w:cs="仿宋"/>
          <w:spacing w:val="55"/>
          <w:sz w:val="16"/>
          <w:szCs w:val="16"/>
        </w:rPr>
        <w:t xml:space="preserve"> </w:t>
      </w:r>
      <w:r>
        <w:rPr>
          <w:rFonts w:ascii="仿宋" w:eastAsia="仿宋" w:hAnsi="仿宋" w:cs="仿宋"/>
          <w:spacing w:val="4"/>
          <w:sz w:val="16"/>
          <w:szCs w:val="16"/>
        </w:rPr>
        <w:t>神经肽Y</w:t>
      </w:r>
    </w:p>
    <w:p w:rsidR="00EA40A3" w:rsidRDefault="00E86C16">
      <w:pPr>
        <w:spacing w:before="76"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nicotinamide</w:t>
      </w:r>
      <w:r>
        <w:rPr>
          <w:rFonts w:ascii="Times New Roman" w:eastAsia="Times New Roman" w:hAnsi="Times New Roman" w:cs="Times New Roman"/>
          <w:spacing w:val="14"/>
          <w:w w:val="102"/>
          <w:sz w:val="16"/>
          <w:szCs w:val="16"/>
        </w:rPr>
        <w:t xml:space="preserve">  </w:t>
      </w:r>
      <w:r>
        <w:rPr>
          <w:rFonts w:ascii="Times New Roman" w:eastAsia="Times New Roman" w:hAnsi="Times New Roman" w:cs="Times New Roman"/>
          <w:sz w:val="16"/>
          <w:szCs w:val="16"/>
        </w:rPr>
        <w:t>adenine</w:t>
      </w:r>
      <w:r>
        <w:rPr>
          <w:rFonts w:ascii="Times New Roman" w:eastAsia="Times New Roman" w:hAnsi="Times New Roman" w:cs="Times New Roman"/>
          <w:spacing w:val="14"/>
          <w:w w:val="101"/>
          <w:sz w:val="16"/>
          <w:szCs w:val="16"/>
        </w:rPr>
        <w:t xml:space="preserve">  </w:t>
      </w:r>
      <w:r>
        <w:rPr>
          <w:rFonts w:ascii="Times New Roman" w:eastAsia="Times New Roman" w:hAnsi="Times New Roman" w:cs="Times New Roman"/>
          <w:sz w:val="16"/>
          <w:szCs w:val="16"/>
        </w:rPr>
        <w:t>dinucleotid</w:t>
      </w:r>
      <w:r>
        <w:rPr>
          <w:rFonts w:ascii="Times New Roman" w:eastAsia="Times New Roman" w:hAnsi="Times New Roman" w:cs="Times New Roman"/>
          <w:spacing w:val="-1"/>
          <w:sz w:val="16"/>
          <w:szCs w:val="16"/>
        </w:rPr>
        <w:t>e</w:t>
      </w:r>
      <w:r>
        <w:rPr>
          <w:rFonts w:ascii="Times New Roman" w:eastAsia="Times New Roman" w:hAnsi="Times New Roman" w:cs="Times New Roman"/>
          <w:spacing w:val="11"/>
          <w:w w:val="101"/>
          <w:sz w:val="16"/>
          <w:szCs w:val="16"/>
        </w:rPr>
        <w:t xml:space="preserve">  </w:t>
      </w:r>
      <w:r>
        <w:rPr>
          <w:rFonts w:ascii="Times New Roman" w:eastAsia="Times New Roman" w:hAnsi="Times New Roman" w:cs="Times New Roman"/>
          <w:spacing w:val="-1"/>
          <w:sz w:val="16"/>
          <w:szCs w:val="16"/>
        </w:rPr>
        <w:t>phosphate,NADP</w:t>
      </w:r>
    </w:p>
    <w:p w:rsidR="00EA40A3" w:rsidRDefault="00E86C16">
      <w:pPr>
        <w:spacing w:before="157" w:line="219" w:lineRule="auto"/>
        <w:ind w:left="349"/>
        <w:rPr>
          <w:rFonts w:ascii="宋体" w:eastAsia="宋体" w:hAnsi="宋体" w:cs="宋体"/>
          <w:sz w:val="16"/>
          <w:szCs w:val="16"/>
        </w:rPr>
      </w:pPr>
      <w:r>
        <w:rPr>
          <w:rFonts w:ascii="宋体" w:eastAsia="宋体" w:hAnsi="宋体" w:cs="宋体"/>
          <w:spacing w:val="-3"/>
          <w:sz w:val="16"/>
          <w:szCs w:val="16"/>
        </w:rPr>
        <w:t>烟酰胺腺嘌呤二核苷酸磷酸，辅酶Ⅱ</w:t>
      </w:r>
    </w:p>
    <w:p w:rsidR="00EA40A3" w:rsidRDefault="00E86C16">
      <w:pPr>
        <w:spacing w:before="49" w:line="212" w:lineRule="auto"/>
        <w:rPr>
          <w:rFonts w:ascii="宋体" w:eastAsia="宋体" w:hAnsi="宋体" w:cs="宋体"/>
          <w:sz w:val="16"/>
          <w:szCs w:val="16"/>
        </w:rPr>
      </w:pPr>
      <w:r>
        <w:rPr>
          <w:rFonts w:ascii="Times New Roman" w:eastAsia="Times New Roman" w:hAnsi="Times New Roman" w:cs="Times New Roman"/>
          <w:spacing w:val="-1"/>
          <w:sz w:val="16"/>
          <w:szCs w:val="16"/>
        </w:rPr>
        <w:t>nicotinamide</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1"/>
          <w:sz w:val="16"/>
          <w:szCs w:val="16"/>
        </w:rPr>
        <w:t>adenine</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1"/>
          <w:sz w:val="16"/>
          <w:szCs w:val="16"/>
        </w:rPr>
        <w:t>dinucleotide,NAD</w:t>
      </w:r>
      <w:r>
        <w:rPr>
          <w:rFonts w:ascii="Times New Roman" w:eastAsia="Times New Roman" w:hAnsi="Times New Roman" w:cs="Times New Roman"/>
          <w:spacing w:val="6"/>
          <w:sz w:val="16"/>
          <w:szCs w:val="16"/>
        </w:rPr>
        <w:t xml:space="preserve">   </w:t>
      </w:r>
      <w:r>
        <w:rPr>
          <w:rFonts w:ascii="宋体" w:eastAsia="宋体" w:hAnsi="宋体" w:cs="宋体"/>
          <w:b/>
          <w:bCs/>
          <w:spacing w:val="-1"/>
          <w:sz w:val="16"/>
          <w:szCs w:val="16"/>
        </w:rPr>
        <w:t>烟酰胺腺</w:t>
      </w:r>
    </w:p>
    <w:p w:rsidR="00EA40A3" w:rsidRDefault="00E86C16">
      <w:pPr>
        <w:spacing w:before="77" w:line="251" w:lineRule="exact"/>
        <w:ind w:left="170"/>
        <w:rPr>
          <w:rFonts w:ascii="宋体" w:eastAsia="宋体" w:hAnsi="宋体" w:cs="宋体"/>
          <w:sz w:val="16"/>
          <w:szCs w:val="16"/>
        </w:rPr>
      </w:pPr>
      <w:r>
        <w:rPr>
          <w:rFonts w:ascii="宋体" w:eastAsia="宋体" w:hAnsi="宋体" w:cs="宋体"/>
          <w:spacing w:val="-7"/>
          <w:position w:val="6"/>
          <w:sz w:val="16"/>
          <w:szCs w:val="16"/>
        </w:rPr>
        <w:t>嘌呤二核苷酸，辅酶Ⅱ</w:t>
      </w:r>
    </w:p>
    <w:p w:rsidR="00EA40A3" w:rsidRDefault="00E86C16">
      <w:pPr>
        <w:spacing w:line="184" w:lineRule="auto"/>
        <w:rPr>
          <w:rFonts w:ascii="宋体" w:eastAsia="宋体" w:hAnsi="宋体" w:cs="宋体"/>
          <w:sz w:val="16"/>
          <w:szCs w:val="16"/>
        </w:rPr>
      </w:pPr>
      <w:r>
        <w:rPr>
          <w:rFonts w:ascii="宋体" w:eastAsia="宋体" w:hAnsi="宋体" w:cs="宋体"/>
          <w:spacing w:val="-10"/>
          <w:sz w:val="16"/>
          <w:szCs w:val="16"/>
        </w:rPr>
        <w:t>nicotinamide</w:t>
      </w:r>
      <w:r>
        <w:rPr>
          <w:rFonts w:ascii="宋体" w:eastAsia="宋体" w:hAnsi="宋体" w:cs="宋体"/>
          <w:spacing w:val="64"/>
          <w:sz w:val="16"/>
          <w:szCs w:val="16"/>
        </w:rPr>
        <w:t xml:space="preserve"> </w:t>
      </w:r>
      <w:r>
        <w:rPr>
          <w:rFonts w:ascii="宋体" w:eastAsia="宋体" w:hAnsi="宋体" w:cs="宋体"/>
          <w:spacing w:val="-10"/>
          <w:sz w:val="16"/>
          <w:szCs w:val="16"/>
        </w:rPr>
        <w:t>烟酰胺</w:t>
      </w:r>
    </w:p>
    <w:p w:rsidR="00EA40A3" w:rsidRDefault="00EA40A3">
      <w:pPr>
        <w:sectPr w:rsidR="00EA40A3">
          <w:type w:val="continuous"/>
          <w:pgSz w:w="9220" w:h="13360"/>
          <w:pgMar w:top="400" w:right="1134" w:bottom="400" w:left="849" w:header="0" w:footer="0" w:gutter="0"/>
          <w:cols w:num="2" w:space="720" w:equalWidth="0">
            <w:col w:w="3580" w:space="100"/>
            <w:col w:w="3556"/>
          </w:cols>
        </w:sectPr>
      </w:pPr>
    </w:p>
    <w:p w:rsidR="00EA40A3" w:rsidRDefault="00E86C16">
      <w:pPr>
        <w:spacing w:before="86" w:line="184" w:lineRule="auto"/>
        <w:ind w:left="130"/>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spacing w:val="3"/>
          <w:sz w:val="16"/>
          <w:szCs w:val="16"/>
        </w:rPr>
        <w:t xml:space="preserve"> </w:t>
      </w:r>
      <w:r>
        <w:rPr>
          <w:rFonts w:ascii="宋体" w:eastAsia="宋体" w:hAnsi="宋体" w:cs="宋体"/>
          <w:spacing w:val="-17"/>
          <w:sz w:val="16"/>
          <w:szCs w:val="16"/>
        </w:rPr>
        <w:t>444</w:t>
      </w:r>
      <w:r>
        <w:rPr>
          <w:rFonts w:ascii="宋体" w:eastAsia="宋体" w:hAnsi="宋体" w:cs="宋体"/>
          <w:spacing w:val="55"/>
          <w:sz w:val="16"/>
          <w:szCs w:val="16"/>
        </w:rPr>
        <w:t xml:space="preserve"> </w:t>
      </w:r>
      <w:r>
        <w:rPr>
          <w:rFonts w:ascii="宋体" w:eastAsia="宋体" w:hAnsi="宋体" w:cs="宋体"/>
          <w:spacing w:val="-17"/>
          <w:sz w:val="16"/>
          <w:szCs w:val="16"/>
        </w:rPr>
        <w:t>·</w:t>
      </w:r>
    </w:p>
    <w:p w:rsidR="00EA40A3" w:rsidRDefault="00EA40A3">
      <w:pPr>
        <w:sectPr w:rsidR="00EA40A3">
          <w:type w:val="continuous"/>
          <w:pgSz w:w="9220" w:h="13360"/>
          <w:pgMar w:top="400" w:right="1134" w:bottom="400" w:left="849" w:header="0" w:footer="0" w:gutter="0"/>
          <w:cols w:space="720" w:equalWidth="0">
            <w:col w:w="7236"/>
          </w:cols>
        </w:sectPr>
      </w:pPr>
    </w:p>
    <w:p w:rsidR="00EA40A3" w:rsidRDefault="00EA40A3"/>
    <w:p w:rsidR="00EA40A3" w:rsidRDefault="00EA40A3"/>
    <w:p w:rsidR="00EA40A3" w:rsidRDefault="00EA40A3">
      <w:pPr>
        <w:spacing w:line="81" w:lineRule="exact"/>
      </w:pPr>
    </w:p>
    <w:p w:rsidR="00EA40A3" w:rsidRDefault="00EA40A3">
      <w:pPr>
        <w:sectPr w:rsidR="00EA40A3">
          <w:footerReference w:type="default" r:id="rId372"/>
          <w:pgSz w:w="9370" w:h="13460"/>
          <w:pgMar w:top="400" w:right="1241" w:bottom="1387" w:left="870" w:header="0" w:footer="1179" w:gutter="0"/>
          <w:cols w:space="720" w:equalWidth="0">
            <w:col w:w="7259"/>
          </w:cols>
        </w:sectPr>
      </w:pPr>
    </w:p>
    <w:p w:rsidR="00EA40A3" w:rsidRDefault="00E86C16">
      <w:pPr>
        <w:spacing w:before="32" w:line="248" w:lineRule="auto"/>
        <w:ind w:right="193"/>
        <w:rPr>
          <w:rFonts w:ascii="宋体" w:eastAsia="宋体" w:hAnsi="宋体" w:cs="宋体"/>
          <w:sz w:val="16"/>
          <w:szCs w:val="16"/>
        </w:rPr>
      </w:pPr>
      <w:r>
        <w:rPr>
          <w:rFonts w:ascii="宋体" w:eastAsia="宋体" w:hAnsi="宋体" w:cs="宋体"/>
          <w:spacing w:val="-11"/>
          <w:sz w:val="16"/>
          <w:szCs w:val="16"/>
        </w:rPr>
        <w:t>nicotinic</w:t>
      </w:r>
      <w:r>
        <w:rPr>
          <w:rFonts w:ascii="宋体" w:eastAsia="宋体" w:hAnsi="宋体" w:cs="宋体"/>
          <w:spacing w:val="-12"/>
          <w:sz w:val="16"/>
          <w:szCs w:val="16"/>
        </w:rPr>
        <w:t xml:space="preserve"> </w:t>
      </w:r>
      <w:r>
        <w:rPr>
          <w:rFonts w:ascii="宋体" w:eastAsia="宋体" w:hAnsi="宋体" w:cs="宋体"/>
          <w:spacing w:val="-11"/>
          <w:sz w:val="16"/>
          <w:szCs w:val="16"/>
        </w:rPr>
        <w:t>acid</w:t>
      </w:r>
      <w:r>
        <w:rPr>
          <w:rFonts w:ascii="宋体" w:eastAsia="宋体" w:hAnsi="宋体" w:cs="宋体"/>
          <w:spacing w:val="-12"/>
          <w:sz w:val="16"/>
          <w:szCs w:val="16"/>
        </w:rPr>
        <w:t xml:space="preserve"> </w:t>
      </w:r>
      <w:r>
        <w:rPr>
          <w:rFonts w:ascii="宋体" w:eastAsia="宋体" w:hAnsi="宋体" w:cs="宋体"/>
          <w:spacing w:val="-11"/>
          <w:sz w:val="16"/>
          <w:szCs w:val="16"/>
        </w:rPr>
        <w:t>or</w:t>
      </w:r>
      <w:r>
        <w:rPr>
          <w:rFonts w:ascii="宋体" w:eastAsia="宋体" w:hAnsi="宋体" w:cs="宋体"/>
          <w:spacing w:val="-13"/>
          <w:sz w:val="16"/>
          <w:szCs w:val="16"/>
        </w:rPr>
        <w:t xml:space="preserve"> </w:t>
      </w:r>
      <w:r>
        <w:rPr>
          <w:rFonts w:ascii="宋体" w:eastAsia="宋体" w:hAnsi="宋体" w:cs="宋体"/>
          <w:spacing w:val="-11"/>
          <w:sz w:val="16"/>
          <w:szCs w:val="16"/>
        </w:rPr>
        <w:t>niacin</w:t>
      </w:r>
      <w:r>
        <w:rPr>
          <w:rFonts w:ascii="宋体" w:eastAsia="宋体" w:hAnsi="宋体" w:cs="宋体"/>
          <w:spacing w:val="56"/>
          <w:sz w:val="16"/>
          <w:szCs w:val="16"/>
        </w:rPr>
        <w:t xml:space="preserve"> </w:t>
      </w:r>
      <w:r>
        <w:rPr>
          <w:rFonts w:ascii="宋体" w:eastAsia="宋体" w:hAnsi="宋体" w:cs="宋体"/>
          <w:spacing w:val="-11"/>
          <w:sz w:val="16"/>
          <w:szCs w:val="16"/>
        </w:rPr>
        <w:t>尼克酸，烟酸，维生</w:t>
      </w:r>
      <w:r>
        <w:rPr>
          <w:rFonts w:ascii="宋体" w:eastAsia="宋体" w:hAnsi="宋体" w:cs="宋体"/>
          <w:spacing w:val="-12"/>
          <w:sz w:val="16"/>
          <w:szCs w:val="16"/>
        </w:rPr>
        <w:t>素</w:t>
      </w:r>
      <w:r>
        <w:rPr>
          <w:rFonts w:ascii="宋体" w:eastAsia="宋体" w:hAnsi="宋体" w:cs="宋体"/>
          <w:spacing w:val="-11"/>
          <w:sz w:val="16"/>
          <w:szCs w:val="16"/>
        </w:rPr>
        <w:t>PP</w:t>
      </w:r>
      <w:r>
        <w:rPr>
          <w:rFonts w:ascii="宋体" w:eastAsia="宋体" w:hAnsi="宋体" w:cs="宋体"/>
          <w:sz w:val="16"/>
          <w:szCs w:val="16"/>
        </w:rPr>
        <w:t xml:space="preserve"> </w:t>
      </w:r>
      <w:r>
        <w:rPr>
          <w:rFonts w:ascii="宋体" w:eastAsia="宋体" w:hAnsi="宋体" w:cs="宋体"/>
          <w:spacing w:val="-11"/>
          <w:sz w:val="16"/>
          <w:szCs w:val="16"/>
        </w:rPr>
        <w:t>night</w:t>
      </w:r>
      <w:r>
        <w:rPr>
          <w:rFonts w:ascii="宋体" w:eastAsia="宋体" w:hAnsi="宋体" w:cs="宋体"/>
          <w:sz w:val="16"/>
          <w:szCs w:val="16"/>
        </w:rPr>
        <w:t xml:space="preserve"> </w:t>
      </w:r>
      <w:r>
        <w:rPr>
          <w:rFonts w:ascii="宋体" w:eastAsia="宋体" w:hAnsi="宋体" w:cs="宋体"/>
          <w:spacing w:val="-11"/>
          <w:sz w:val="16"/>
          <w:szCs w:val="16"/>
        </w:rPr>
        <w:t>blindness</w:t>
      </w:r>
      <w:r>
        <w:rPr>
          <w:rFonts w:ascii="宋体" w:eastAsia="宋体" w:hAnsi="宋体" w:cs="宋体"/>
          <w:spacing w:val="30"/>
          <w:sz w:val="16"/>
          <w:szCs w:val="16"/>
        </w:rPr>
        <w:t xml:space="preserve"> </w:t>
      </w:r>
      <w:r>
        <w:rPr>
          <w:rFonts w:ascii="宋体" w:eastAsia="宋体" w:hAnsi="宋体" w:cs="宋体"/>
          <w:spacing w:val="-11"/>
          <w:sz w:val="16"/>
          <w:szCs w:val="16"/>
        </w:rPr>
        <w:t>夜盲症</w:t>
      </w:r>
    </w:p>
    <w:p w:rsidR="00EA40A3" w:rsidRDefault="00E86C16">
      <w:pPr>
        <w:spacing w:before="64" w:line="214" w:lineRule="auto"/>
        <w:rPr>
          <w:rFonts w:ascii="宋体" w:eastAsia="宋体" w:hAnsi="宋体" w:cs="宋体"/>
          <w:sz w:val="16"/>
          <w:szCs w:val="16"/>
        </w:rPr>
      </w:pPr>
      <w:r>
        <w:rPr>
          <w:rFonts w:ascii="宋体" w:eastAsia="宋体" w:hAnsi="宋体" w:cs="宋体"/>
          <w:spacing w:val="-4"/>
          <w:sz w:val="16"/>
          <w:szCs w:val="16"/>
        </w:rPr>
        <w:t>nitrogen</w:t>
      </w:r>
      <w:r>
        <w:rPr>
          <w:rFonts w:ascii="宋体" w:eastAsia="宋体" w:hAnsi="宋体" w:cs="宋体"/>
          <w:spacing w:val="15"/>
          <w:sz w:val="16"/>
          <w:szCs w:val="16"/>
        </w:rPr>
        <w:t xml:space="preserve"> </w:t>
      </w:r>
      <w:r>
        <w:rPr>
          <w:rFonts w:ascii="宋体" w:eastAsia="宋体" w:hAnsi="宋体" w:cs="宋体"/>
          <w:spacing w:val="-4"/>
          <w:sz w:val="16"/>
          <w:szCs w:val="16"/>
        </w:rPr>
        <w:t>balance,NB</w:t>
      </w:r>
      <w:r>
        <w:rPr>
          <w:rFonts w:ascii="宋体" w:eastAsia="宋体" w:hAnsi="宋体" w:cs="宋体"/>
          <w:spacing w:val="54"/>
          <w:sz w:val="16"/>
          <w:szCs w:val="16"/>
        </w:rPr>
        <w:t xml:space="preserve"> </w:t>
      </w:r>
      <w:r>
        <w:rPr>
          <w:rFonts w:ascii="宋体" w:eastAsia="宋体" w:hAnsi="宋体" w:cs="宋体"/>
          <w:spacing w:val="-4"/>
          <w:sz w:val="16"/>
          <w:szCs w:val="16"/>
        </w:rPr>
        <w:t>氮平衡</w:t>
      </w:r>
    </w:p>
    <w:p w:rsidR="00EA40A3" w:rsidRDefault="00E86C16">
      <w:pPr>
        <w:spacing w:before="69" w:line="254" w:lineRule="auto"/>
        <w:ind w:right="368"/>
        <w:rPr>
          <w:rFonts w:ascii="宋体" w:eastAsia="宋体" w:hAnsi="宋体" w:cs="宋体"/>
          <w:sz w:val="16"/>
          <w:szCs w:val="16"/>
        </w:rPr>
      </w:pPr>
      <w:r>
        <w:rPr>
          <w:rFonts w:ascii="宋体" w:eastAsia="宋体" w:hAnsi="宋体" w:cs="宋体"/>
          <w:spacing w:val="-3"/>
          <w:sz w:val="16"/>
          <w:szCs w:val="16"/>
        </w:rPr>
        <w:t>non</w:t>
      </w:r>
      <w:r>
        <w:rPr>
          <w:rFonts w:ascii="宋体" w:eastAsia="宋体" w:hAnsi="宋体" w:cs="宋体"/>
          <w:spacing w:val="-4"/>
          <w:sz w:val="16"/>
          <w:szCs w:val="16"/>
        </w:rPr>
        <w:t>-</w:t>
      </w:r>
      <w:r>
        <w:rPr>
          <w:rFonts w:ascii="宋体" w:eastAsia="宋体" w:hAnsi="宋体" w:cs="宋体"/>
          <w:spacing w:val="-3"/>
          <w:sz w:val="16"/>
          <w:szCs w:val="16"/>
        </w:rPr>
        <w:t>cssential</w:t>
      </w:r>
      <w:r>
        <w:rPr>
          <w:rFonts w:ascii="宋体" w:eastAsia="宋体" w:hAnsi="宋体" w:cs="宋体"/>
          <w:spacing w:val="3"/>
          <w:sz w:val="16"/>
          <w:szCs w:val="16"/>
        </w:rPr>
        <w:t xml:space="preserve"> </w:t>
      </w:r>
      <w:r>
        <w:rPr>
          <w:rFonts w:ascii="宋体" w:eastAsia="宋体" w:hAnsi="宋体" w:cs="宋体"/>
          <w:spacing w:val="-3"/>
          <w:sz w:val="16"/>
          <w:szCs w:val="16"/>
        </w:rPr>
        <w:t>amino</w:t>
      </w:r>
      <w:r>
        <w:rPr>
          <w:rFonts w:ascii="宋体" w:eastAsia="宋体" w:hAnsi="宋体" w:cs="宋体"/>
          <w:spacing w:val="4"/>
          <w:sz w:val="16"/>
          <w:szCs w:val="16"/>
        </w:rPr>
        <w:t xml:space="preserve"> </w:t>
      </w:r>
      <w:r>
        <w:rPr>
          <w:rFonts w:ascii="宋体" w:eastAsia="宋体" w:hAnsi="宋体" w:cs="宋体"/>
          <w:spacing w:val="-3"/>
          <w:sz w:val="16"/>
          <w:szCs w:val="16"/>
        </w:rPr>
        <w:t>acid</w:t>
      </w:r>
      <w:r>
        <w:rPr>
          <w:rFonts w:ascii="宋体" w:eastAsia="宋体" w:hAnsi="宋体" w:cs="宋体"/>
          <w:spacing w:val="-4"/>
          <w:sz w:val="16"/>
          <w:szCs w:val="16"/>
        </w:rPr>
        <w:t>.</w:t>
      </w:r>
      <w:r>
        <w:rPr>
          <w:rFonts w:ascii="宋体" w:eastAsia="宋体" w:hAnsi="宋体" w:cs="宋体"/>
          <w:spacing w:val="-3"/>
          <w:sz w:val="16"/>
          <w:szCs w:val="16"/>
        </w:rPr>
        <w:t>NAA</w:t>
      </w:r>
      <w:r>
        <w:rPr>
          <w:rFonts w:ascii="宋体" w:eastAsia="宋体" w:hAnsi="宋体" w:cs="宋体"/>
          <w:spacing w:val="57"/>
          <w:sz w:val="16"/>
          <w:szCs w:val="16"/>
        </w:rPr>
        <w:t xml:space="preserve"> </w:t>
      </w:r>
      <w:r>
        <w:rPr>
          <w:rFonts w:ascii="宋体" w:eastAsia="宋体" w:hAnsi="宋体" w:cs="宋体"/>
          <w:spacing w:val="-4"/>
          <w:sz w:val="16"/>
          <w:szCs w:val="16"/>
        </w:rPr>
        <w:t>非必需氨基酸</w:t>
      </w:r>
      <w:r>
        <w:rPr>
          <w:rFonts w:ascii="宋体" w:eastAsia="宋体" w:hAnsi="宋体" w:cs="宋体"/>
          <w:sz w:val="16"/>
          <w:szCs w:val="16"/>
        </w:rPr>
        <w:t xml:space="preserve"> </w:t>
      </w:r>
      <w:r>
        <w:rPr>
          <w:rFonts w:ascii="宋体" w:eastAsia="宋体" w:hAnsi="宋体" w:cs="宋体"/>
          <w:spacing w:val="-9"/>
          <w:sz w:val="16"/>
          <w:szCs w:val="16"/>
        </w:rPr>
        <w:t>non-nutrient</w:t>
      </w:r>
      <w:r>
        <w:rPr>
          <w:rFonts w:ascii="宋体" w:eastAsia="宋体" w:hAnsi="宋体" w:cs="宋体"/>
          <w:spacing w:val="56"/>
          <w:sz w:val="16"/>
          <w:szCs w:val="16"/>
        </w:rPr>
        <w:t xml:space="preserve"> </w:t>
      </w:r>
      <w:r>
        <w:rPr>
          <w:rFonts w:ascii="宋体" w:eastAsia="宋体" w:hAnsi="宋体" w:cs="宋体"/>
          <w:spacing w:val="-9"/>
          <w:sz w:val="16"/>
          <w:szCs w:val="16"/>
        </w:rPr>
        <w:t>非营养素</w:t>
      </w:r>
    </w:p>
    <w:p w:rsidR="00EA40A3" w:rsidRDefault="00E86C16">
      <w:pPr>
        <w:spacing w:before="58" w:line="255" w:lineRule="auto"/>
        <w:ind w:right="67"/>
        <w:rPr>
          <w:rFonts w:ascii="宋体" w:eastAsia="宋体" w:hAnsi="宋体" w:cs="宋体"/>
          <w:sz w:val="16"/>
          <w:szCs w:val="16"/>
        </w:rPr>
      </w:pPr>
      <w:r>
        <w:rPr>
          <w:rFonts w:ascii="宋体" w:eastAsia="宋体" w:hAnsi="宋体" w:cs="宋体"/>
          <w:spacing w:val="-5"/>
          <w:sz w:val="16"/>
          <w:szCs w:val="16"/>
        </w:rPr>
        <w:t>non</w:t>
      </w:r>
      <w:r>
        <w:rPr>
          <w:rFonts w:ascii="宋体" w:eastAsia="宋体" w:hAnsi="宋体" w:cs="宋体"/>
          <w:spacing w:val="-6"/>
          <w:sz w:val="16"/>
          <w:szCs w:val="16"/>
        </w:rPr>
        <w:t>-</w:t>
      </w:r>
      <w:r>
        <w:rPr>
          <w:rFonts w:ascii="宋体" w:eastAsia="宋体" w:hAnsi="宋体" w:cs="宋体"/>
          <w:spacing w:val="-5"/>
          <w:sz w:val="16"/>
          <w:szCs w:val="16"/>
        </w:rPr>
        <w:t>observed</w:t>
      </w:r>
      <w:r>
        <w:rPr>
          <w:rFonts w:ascii="宋体" w:eastAsia="宋体" w:hAnsi="宋体" w:cs="宋体"/>
          <w:spacing w:val="2"/>
          <w:sz w:val="16"/>
          <w:szCs w:val="16"/>
        </w:rPr>
        <w:t xml:space="preserve"> </w:t>
      </w:r>
      <w:r>
        <w:rPr>
          <w:rFonts w:ascii="宋体" w:eastAsia="宋体" w:hAnsi="宋体" w:cs="宋体"/>
          <w:spacing w:val="-5"/>
          <w:sz w:val="16"/>
          <w:szCs w:val="16"/>
        </w:rPr>
        <w:t>adverse</w:t>
      </w:r>
      <w:r>
        <w:rPr>
          <w:rFonts w:ascii="宋体" w:eastAsia="宋体" w:hAnsi="宋体" w:cs="宋体"/>
          <w:spacing w:val="5"/>
          <w:sz w:val="16"/>
          <w:szCs w:val="16"/>
        </w:rPr>
        <w:t xml:space="preserve"> </w:t>
      </w:r>
      <w:r>
        <w:rPr>
          <w:rFonts w:ascii="宋体" w:eastAsia="宋体" w:hAnsi="宋体" w:cs="宋体"/>
          <w:spacing w:val="-5"/>
          <w:sz w:val="16"/>
          <w:szCs w:val="16"/>
        </w:rPr>
        <w:t>effect</w:t>
      </w:r>
      <w:r>
        <w:rPr>
          <w:rFonts w:ascii="宋体" w:eastAsia="宋体" w:hAnsi="宋体" w:cs="宋体"/>
          <w:spacing w:val="10"/>
          <w:sz w:val="16"/>
          <w:szCs w:val="16"/>
        </w:rPr>
        <w:t xml:space="preserve"> </w:t>
      </w:r>
      <w:r>
        <w:rPr>
          <w:rFonts w:ascii="宋体" w:eastAsia="宋体" w:hAnsi="宋体" w:cs="宋体"/>
          <w:spacing w:val="-5"/>
          <w:sz w:val="16"/>
          <w:szCs w:val="16"/>
        </w:rPr>
        <w:t>level</w:t>
      </w:r>
      <w:r>
        <w:rPr>
          <w:rFonts w:ascii="宋体" w:eastAsia="宋体" w:hAnsi="宋体" w:cs="宋体"/>
          <w:spacing w:val="-6"/>
          <w:sz w:val="16"/>
          <w:szCs w:val="16"/>
        </w:rPr>
        <w:t>,</w:t>
      </w:r>
      <w:r>
        <w:rPr>
          <w:rFonts w:ascii="宋体" w:eastAsia="宋体" w:hAnsi="宋体" w:cs="宋体"/>
          <w:spacing w:val="-5"/>
          <w:sz w:val="16"/>
          <w:szCs w:val="16"/>
        </w:rPr>
        <w:t>NOAE</w:t>
      </w:r>
      <w:r>
        <w:rPr>
          <w:rFonts w:ascii="宋体" w:eastAsia="宋体" w:hAnsi="宋体" w:cs="宋体"/>
          <w:spacing w:val="-6"/>
          <w:sz w:val="16"/>
          <w:szCs w:val="16"/>
        </w:rPr>
        <w:t>L</w:t>
      </w:r>
      <w:r>
        <w:rPr>
          <w:rFonts w:ascii="宋体" w:eastAsia="宋体" w:hAnsi="宋体" w:cs="宋体"/>
          <w:spacing w:val="45"/>
          <w:sz w:val="16"/>
          <w:szCs w:val="16"/>
        </w:rPr>
        <w:t xml:space="preserve"> </w:t>
      </w:r>
      <w:r>
        <w:rPr>
          <w:rFonts w:ascii="宋体" w:eastAsia="宋体" w:hAnsi="宋体" w:cs="宋体"/>
          <w:spacing w:val="-6"/>
          <w:sz w:val="16"/>
          <w:szCs w:val="16"/>
        </w:rPr>
        <w:t>无毒副</w:t>
      </w:r>
      <w:r>
        <w:rPr>
          <w:rFonts w:ascii="宋体" w:eastAsia="宋体" w:hAnsi="宋体" w:cs="宋体"/>
          <w:sz w:val="16"/>
          <w:szCs w:val="16"/>
        </w:rPr>
        <w:t xml:space="preserve"> </w:t>
      </w:r>
      <w:r>
        <w:rPr>
          <w:rFonts w:ascii="宋体" w:eastAsia="宋体" w:hAnsi="宋体" w:cs="宋体"/>
          <w:spacing w:val="-7"/>
          <w:sz w:val="16"/>
          <w:szCs w:val="16"/>
        </w:rPr>
        <w:t>反应水平</w:t>
      </w:r>
    </w:p>
    <w:p w:rsidR="00EA40A3" w:rsidRDefault="00E86C16">
      <w:pPr>
        <w:spacing w:before="114" w:line="214" w:lineRule="auto"/>
        <w:rPr>
          <w:rFonts w:ascii="宋体" w:eastAsia="宋体" w:hAnsi="宋体" w:cs="宋体"/>
          <w:sz w:val="16"/>
          <w:szCs w:val="16"/>
        </w:rPr>
      </w:pPr>
      <w:r>
        <w:rPr>
          <w:rFonts w:ascii="宋体" w:eastAsia="宋体" w:hAnsi="宋体" w:cs="宋体"/>
          <w:spacing w:val="-1"/>
          <w:sz w:val="16"/>
          <w:szCs w:val="16"/>
        </w:rPr>
        <w:t>nordihydioguaiaretic</w:t>
      </w:r>
      <w:r>
        <w:rPr>
          <w:rFonts w:ascii="宋体" w:eastAsia="宋体" w:hAnsi="宋体" w:cs="宋体"/>
          <w:spacing w:val="18"/>
          <w:sz w:val="16"/>
          <w:szCs w:val="16"/>
        </w:rPr>
        <w:t xml:space="preserve"> </w:t>
      </w:r>
      <w:r>
        <w:rPr>
          <w:rFonts w:ascii="宋体" w:eastAsia="宋体" w:hAnsi="宋体" w:cs="宋体"/>
          <w:spacing w:val="-1"/>
          <w:sz w:val="16"/>
          <w:szCs w:val="16"/>
        </w:rPr>
        <w:t>acid,NDGA</w:t>
      </w:r>
      <w:r>
        <w:rPr>
          <w:rFonts w:ascii="宋体" w:eastAsia="宋体" w:hAnsi="宋体" w:cs="宋体"/>
          <w:spacing w:val="23"/>
          <w:w w:val="101"/>
          <w:sz w:val="16"/>
          <w:szCs w:val="16"/>
        </w:rPr>
        <w:t xml:space="preserve">  </w:t>
      </w:r>
      <w:r>
        <w:rPr>
          <w:rFonts w:ascii="宋体" w:eastAsia="宋体" w:hAnsi="宋体" w:cs="宋体"/>
          <w:spacing w:val="-1"/>
          <w:sz w:val="16"/>
          <w:szCs w:val="16"/>
        </w:rPr>
        <w:t>去甲二氢愈创</w:t>
      </w:r>
    </w:p>
    <w:p w:rsidR="00EA40A3" w:rsidRDefault="00E86C16">
      <w:pPr>
        <w:spacing w:before="61" w:line="220" w:lineRule="auto"/>
        <w:rPr>
          <w:rFonts w:ascii="宋体" w:eastAsia="宋体" w:hAnsi="宋体" w:cs="宋体"/>
          <w:sz w:val="16"/>
          <w:szCs w:val="16"/>
        </w:rPr>
      </w:pPr>
      <w:r>
        <w:rPr>
          <w:rFonts w:ascii="宋体" w:eastAsia="宋体" w:hAnsi="宋体" w:cs="宋体"/>
          <w:spacing w:val="-2"/>
          <w:sz w:val="16"/>
          <w:szCs w:val="16"/>
        </w:rPr>
        <w:t>木酸</w:t>
      </w:r>
    </w:p>
    <w:p w:rsidR="00EA40A3" w:rsidRDefault="00E86C16">
      <w:pPr>
        <w:spacing w:before="64" w:line="214" w:lineRule="auto"/>
        <w:rPr>
          <w:rFonts w:ascii="宋体" w:eastAsia="宋体" w:hAnsi="宋体" w:cs="宋体"/>
          <w:sz w:val="16"/>
          <w:szCs w:val="16"/>
        </w:rPr>
      </w:pPr>
      <w:r>
        <w:rPr>
          <w:rFonts w:ascii="宋体" w:eastAsia="宋体" w:hAnsi="宋体" w:cs="宋体"/>
          <w:spacing w:val="-7"/>
          <w:sz w:val="16"/>
          <w:szCs w:val="16"/>
        </w:rPr>
        <w:t>norepinephrine</w:t>
      </w:r>
      <w:r>
        <w:rPr>
          <w:rFonts w:ascii="宋体" w:eastAsia="宋体" w:hAnsi="宋体" w:cs="宋体"/>
          <w:spacing w:val="51"/>
          <w:sz w:val="16"/>
          <w:szCs w:val="16"/>
        </w:rPr>
        <w:t xml:space="preserve"> </w:t>
      </w:r>
      <w:r>
        <w:rPr>
          <w:rFonts w:ascii="宋体" w:eastAsia="宋体" w:hAnsi="宋体" w:cs="宋体"/>
          <w:spacing w:val="-7"/>
          <w:sz w:val="16"/>
          <w:szCs w:val="16"/>
        </w:rPr>
        <w:t>去甲肾上腺素</w:t>
      </w:r>
    </w:p>
    <w:p w:rsidR="00EA40A3" w:rsidRDefault="00E86C16">
      <w:pPr>
        <w:spacing w:before="69" w:line="220" w:lineRule="auto"/>
        <w:rPr>
          <w:rFonts w:ascii="宋体" w:eastAsia="宋体" w:hAnsi="宋体" w:cs="宋体"/>
          <w:sz w:val="16"/>
          <w:szCs w:val="16"/>
        </w:rPr>
      </w:pPr>
      <w:r>
        <w:rPr>
          <w:rFonts w:ascii="宋体" w:eastAsia="宋体" w:hAnsi="宋体" w:cs="宋体"/>
          <w:spacing w:val="-14"/>
          <w:sz w:val="16"/>
          <w:szCs w:val="16"/>
        </w:rPr>
        <w:t>nucleic</w:t>
      </w:r>
      <w:r>
        <w:rPr>
          <w:rFonts w:ascii="宋体" w:eastAsia="宋体" w:hAnsi="宋体" w:cs="宋体"/>
          <w:spacing w:val="-10"/>
          <w:sz w:val="16"/>
          <w:szCs w:val="16"/>
        </w:rPr>
        <w:t xml:space="preserve"> </w:t>
      </w:r>
      <w:r>
        <w:rPr>
          <w:rFonts w:ascii="宋体" w:eastAsia="宋体" w:hAnsi="宋体" w:cs="宋体"/>
          <w:spacing w:val="-14"/>
          <w:sz w:val="16"/>
          <w:szCs w:val="16"/>
        </w:rPr>
        <w:t>acid</w:t>
      </w:r>
      <w:r>
        <w:rPr>
          <w:rFonts w:ascii="宋体" w:eastAsia="宋体" w:hAnsi="宋体" w:cs="宋体"/>
          <w:spacing w:val="46"/>
          <w:w w:val="101"/>
          <w:sz w:val="16"/>
          <w:szCs w:val="16"/>
        </w:rPr>
        <w:t xml:space="preserve"> </w:t>
      </w:r>
      <w:r>
        <w:rPr>
          <w:rFonts w:ascii="宋体" w:eastAsia="宋体" w:hAnsi="宋体" w:cs="宋体"/>
          <w:spacing w:val="-14"/>
          <w:sz w:val="16"/>
          <w:szCs w:val="16"/>
        </w:rPr>
        <w:t>核酸</w:t>
      </w:r>
    </w:p>
    <w:p w:rsidR="00EA40A3" w:rsidRDefault="00E86C16">
      <w:pPr>
        <w:spacing w:before="55" w:line="214" w:lineRule="auto"/>
        <w:rPr>
          <w:rFonts w:ascii="宋体" w:eastAsia="宋体" w:hAnsi="宋体" w:cs="宋体"/>
          <w:sz w:val="16"/>
          <w:szCs w:val="16"/>
        </w:rPr>
      </w:pPr>
      <w:r>
        <w:rPr>
          <w:rFonts w:ascii="宋体" w:eastAsia="宋体" w:hAnsi="宋体" w:cs="宋体"/>
          <w:spacing w:val="-10"/>
          <w:sz w:val="16"/>
          <w:szCs w:val="16"/>
        </w:rPr>
        <w:t>nucleoprotein</w:t>
      </w:r>
      <w:r>
        <w:rPr>
          <w:rFonts w:ascii="宋体" w:eastAsia="宋体" w:hAnsi="宋体" w:cs="宋体"/>
          <w:spacing w:val="43"/>
          <w:sz w:val="16"/>
          <w:szCs w:val="16"/>
        </w:rPr>
        <w:t xml:space="preserve"> </w:t>
      </w:r>
      <w:r>
        <w:rPr>
          <w:rFonts w:ascii="宋体" w:eastAsia="宋体" w:hAnsi="宋体" w:cs="宋体"/>
          <w:spacing w:val="-10"/>
          <w:sz w:val="16"/>
          <w:szCs w:val="16"/>
        </w:rPr>
        <w:t>核蛋白</w:t>
      </w:r>
    </w:p>
    <w:p w:rsidR="00EA40A3" w:rsidRDefault="00E86C16">
      <w:pPr>
        <w:spacing w:before="65" w:line="254" w:lineRule="exact"/>
        <w:rPr>
          <w:rFonts w:ascii="宋体" w:eastAsia="宋体" w:hAnsi="宋体" w:cs="宋体"/>
          <w:sz w:val="16"/>
          <w:szCs w:val="16"/>
        </w:rPr>
      </w:pPr>
      <w:r>
        <w:rPr>
          <w:rFonts w:ascii="宋体" w:eastAsia="宋体" w:hAnsi="宋体" w:cs="宋体"/>
          <w:spacing w:val="-10"/>
          <w:position w:val="7"/>
          <w:sz w:val="16"/>
          <w:szCs w:val="16"/>
        </w:rPr>
        <w:t>nutrient</w:t>
      </w:r>
      <w:r>
        <w:rPr>
          <w:rFonts w:ascii="宋体" w:eastAsia="宋体" w:hAnsi="宋体" w:cs="宋体"/>
          <w:spacing w:val="4"/>
          <w:position w:val="7"/>
          <w:sz w:val="16"/>
          <w:szCs w:val="16"/>
        </w:rPr>
        <w:t xml:space="preserve"> </w:t>
      </w:r>
      <w:r>
        <w:rPr>
          <w:rFonts w:ascii="宋体" w:eastAsia="宋体" w:hAnsi="宋体" w:cs="宋体"/>
          <w:spacing w:val="-10"/>
          <w:position w:val="7"/>
          <w:sz w:val="16"/>
          <w:szCs w:val="16"/>
        </w:rPr>
        <w:t>density</w:t>
      </w:r>
      <w:r>
        <w:rPr>
          <w:rFonts w:ascii="宋体" w:eastAsia="宋体" w:hAnsi="宋体" w:cs="宋体"/>
          <w:spacing w:val="56"/>
          <w:position w:val="7"/>
          <w:sz w:val="16"/>
          <w:szCs w:val="16"/>
        </w:rPr>
        <w:t xml:space="preserve"> </w:t>
      </w:r>
      <w:r>
        <w:rPr>
          <w:rFonts w:ascii="宋体" w:eastAsia="宋体" w:hAnsi="宋体" w:cs="宋体"/>
          <w:spacing w:val="-10"/>
          <w:position w:val="7"/>
          <w:sz w:val="16"/>
          <w:szCs w:val="16"/>
        </w:rPr>
        <w:t>营养素密度</w:t>
      </w:r>
    </w:p>
    <w:p w:rsidR="00EA40A3" w:rsidRDefault="00E86C16">
      <w:pPr>
        <w:spacing w:line="219" w:lineRule="auto"/>
        <w:rPr>
          <w:rFonts w:ascii="宋体" w:eastAsia="宋体" w:hAnsi="宋体" w:cs="宋体"/>
          <w:sz w:val="16"/>
          <w:szCs w:val="16"/>
        </w:rPr>
      </w:pPr>
      <w:r>
        <w:rPr>
          <w:rFonts w:ascii="宋体" w:eastAsia="宋体" w:hAnsi="宋体" w:cs="宋体"/>
          <w:spacing w:val="-9"/>
          <w:sz w:val="16"/>
          <w:szCs w:val="16"/>
        </w:rPr>
        <w:t>nutricnt</w:t>
      </w:r>
      <w:r>
        <w:rPr>
          <w:rFonts w:ascii="宋体" w:eastAsia="宋体" w:hAnsi="宋体" w:cs="宋体"/>
          <w:spacing w:val="60"/>
          <w:sz w:val="16"/>
          <w:szCs w:val="16"/>
        </w:rPr>
        <w:t xml:space="preserve"> </w:t>
      </w:r>
      <w:r>
        <w:rPr>
          <w:rFonts w:ascii="宋体" w:eastAsia="宋体" w:hAnsi="宋体" w:cs="宋体"/>
          <w:spacing w:val="-9"/>
          <w:sz w:val="16"/>
          <w:szCs w:val="16"/>
        </w:rPr>
        <w:t>营养素</w:t>
      </w:r>
    </w:p>
    <w:p w:rsidR="00EA40A3" w:rsidRDefault="00E86C16">
      <w:pPr>
        <w:spacing w:before="56" w:line="254" w:lineRule="exact"/>
        <w:rPr>
          <w:rFonts w:ascii="宋体" w:eastAsia="宋体" w:hAnsi="宋体" w:cs="宋体"/>
          <w:sz w:val="16"/>
          <w:szCs w:val="16"/>
        </w:rPr>
      </w:pPr>
      <w:r>
        <w:rPr>
          <w:rFonts w:ascii="宋体" w:eastAsia="宋体" w:hAnsi="宋体" w:cs="宋体"/>
          <w:spacing w:val="-15"/>
          <w:position w:val="7"/>
          <w:sz w:val="16"/>
          <w:szCs w:val="16"/>
        </w:rPr>
        <w:t>nutrition</w:t>
      </w:r>
      <w:r>
        <w:rPr>
          <w:rFonts w:ascii="宋体" w:eastAsia="宋体" w:hAnsi="宋体" w:cs="宋体"/>
          <w:spacing w:val="-4"/>
          <w:position w:val="7"/>
          <w:sz w:val="16"/>
          <w:szCs w:val="16"/>
        </w:rPr>
        <w:t xml:space="preserve"> </w:t>
      </w:r>
      <w:r>
        <w:rPr>
          <w:rFonts w:ascii="宋体" w:eastAsia="宋体" w:hAnsi="宋体" w:cs="宋体"/>
          <w:spacing w:val="-15"/>
          <w:position w:val="7"/>
          <w:sz w:val="16"/>
          <w:szCs w:val="16"/>
        </w:rPr>
        <w:t>deficiency</w:t>
      </w:r>
      <w:r>
        <w:rPr>
          <w:rFonts w:ascii="宋体" w:eastAsia="宋体" w:hAnsi="宋体" w:cs="宋体"/>
          <w:spacing w:val="65"/>
          <w:w w:val="101"/>
          <w:position w:val="7"/>
          <w:sz w:val="16"/>
          <w:szCs w:val="16"/>
        </w:rPr>
        <w:t xml:space="preserve"> </w:t>
      </w:r>
      <w:r>
        <w:rPr>
          <w:rFonts w:ascii="宋体" w:eastAsia="宋体" w:hAnsi="宋体" w:cs="宋体"/>
          <w:spacing w:val="-15"/>
          <w:position w:val="7"/>
          <w:sz w:val="16"/>
          <w:szCs w:val="16"/>
        </w:rPr>
        <w:t>营养缺乏</w:t>
      </w:r>
    </w:p>
    <w:p w:rsidR="00EA40A3" w:rsidRDefault="00E86C16">
      <w:pPr>
        <w:spacing w:line="219" w:lineRule="auto"/>
        <w:rPr>
          <w:rFonts w:ascii="宋体" w:eastAsia="宋体" w:hAnsi="宋体" w:cs="宋体"/>
          <w:sz w:val="16"/>
          <w:szCs w:val="16"/>
        </w:rPr>
      </w:pPr>
      <w:r>
        <w:rPr>
          <w:rFonts w:ascii="宋体" w:eastAsia="宋体" w:hAnsi="宋体" w:cs="宋体"/>
          <w:spacing w:val="-11"/>
          <w:sz w:val="16"/>
          <w:szCs w:val="16"/>
        </w:rPr>
        <w:t>nutrition</w:t>
      </w:r>
      <w:r>
        <w:rPr>
          <w:rFonts w:ascii="宋体" w:eastAsia="宋体" w:hAnsi="宋体" w:cs="宋体"/>
          <w:spacing w:val="-1"/>
          <w:sz w:val="16"/>
          <w:szCs w:val="16"/>
        </w:rPr>
        <w:t xml:space="preserve"> </w:t>
      </w:r>
      <w:r>
        <w:rPr>
          <w:rFonts w:ascii="宋体" w:eastAsia="宋体" w:hAnsi="宋体" w:cs="宋体"/>
          <w:spacing w:val="-11"/>
          <w:sz w:val="16"/>
          <w:szCs w:val="16"/>
        </w:rPr>
        <w:t>excess</w:t>
      </w:r>
      <w:r>
        <w:rPr>
          <w:rFonts w:ascii="宋体" w:eastAsia="宋体" w:hAnsi="宋体" w:cs="宋体"/>
          <w:spacing w:val="50"/>
          <w:w w:val="101"/>
          <w:sz w:val="16"/>
          <w:szCs w:val="16"/>
        </w:rPr>
        <w:t xml:space="preserve"> </w:t>
      </w:r>
      <w:r>
        <w:rPr>
          <w:rFonts w:ascii="宋体" w:eastAsia="宋体" w:hAnsi="宋体" w:cs="宋体"/>
          <w:spacing w:val="-11"/>
          <w:sz w:val="16"/>
          <w:szCs w:val="16"/>
        </w:rPr>
        <w:t>营养过剩</w:t>
      </w:r>
    </w:p>
    <w:p w:rsidR="00EA40A3" w:rsidRDefault="00E86C16">
      <w:pPr>
        <w:spacing w:before="55" w:line="214" w:lineRule="auto"/>
        <w:rPr>
          <w:rFonts w:ascii="宋体" w:eastAsia="宋体" w:hAnsi="宋体" w:cs="宋体"/>
          <w:sz w:val="16"/>
          <w:szCs w:val="16"/>
        </w:rPr>
      </w:pPr>
      <w:r>
        <w:rPr>
          <w:rFonts w:ascii="宋体" w:eastAsia="宋体" w:hAnsi="宋体" w:cs="宋体"/>
          <w:spacing w:val="-14"/>
          <w:sz w:val="16"/>
          <w:szCs w:val="16"/>
        </w:rPr>
        <w:t>nutrition</w:t>
      </w:r>
      <w:r>
        <w:rPr>
          <w:rFonts w:ascii="宋体" w:eastAsia="宋体" w:hAnsi="宋体" w:cs="宋体"/>
          <w:spacing w:val="2"/>
          <w:sz w:val="16"/>
          <w:szCs w:val="16"/>
        </w:rPr>
        <w:t xml:space="preserve"> </w:t>
      </w:r>
      <w:r>
        <w:rPr>
          <w:rFonts w:ascii="宋体" w:eastAsia="宋体" w:hAnsi="宋体" w:cs="宋体"/>
          <w:spacing w:val="-14"/>
          <w:sz w:val="16"/>
          <w:szCs w:val="16"/>
        </w:rPr>
        <w:t>or</w:t>
      </w:r>
      <w:r>
        <w:rPr>
          <w:rFonts w:ascii="宋体" w:eastAsia="宋体" w:hAnsi="宋体" w:cs="宋体"/>
          <w:spacing w:val="-10"/>
          <w:sz w:val="16"/>
          <w:szCs w:val="16"/>
        </w:rPr>
        <w:t xml:space="preserve"> </w:t>
      </w:r>
      <w:r>
        <w:rPr>
          <w:rFonts w:ascii="宋体" w:eastAsia="宋体" w:hAnsi="宋体" w:cs="宋体"/>
          <w:spacing w:val="-14"/>
          <w:sz w:val="16"/>
          <w:szCs w:val="16"/>
        </w:rPr>
        <w:t>nutriology</w:t>
      </w:r>
      <w:r>
        <w:rPr>
          <w:rFonts w:ascii="宋体" w:eastAsia="宋体" w:hAnsi="宋体" w:cs="宋体"/>
          <w:spacing w:val="55"/>
          <w:sz w:val="16"/>
          <w:szCs w:val="16"/>
        </w:rPr>
        <w:t xml:space="preserve"> </w:t>
      </w:r>
      <w:r>
        <w:rPr>
          <w:rFonts w:ascii="宋体" w:eastAsia="宋体" w:hAnsi="宋体" w:cs="宋体"/>
          <w:spacing w:val="-14"/>
          <w:sz w:val="16"/>
          <w:szCs w:val="16"/>
        </w:rPr>
        <w:t>营养学</w:t>
      </w:r>
    </w:p>
    <w:p w:rsidR="00EA40A3" w:rsidRDefault="00E86C16">
      <w:pPr>
        <w:spacing w:before="65" w:line="255" w:lineRule="exact"/>
        <w:rPr>
          <w:rFonts w:ascii="宋体" w:eastAsia="宋体" w:hAnsi="宋体" w:cs="宋体"/>
          <w:sz w:val="16"/>
          <w:szCs w:val="16"/>
        </w:rPr>
      </w:pPr>
      <w:r>
        <w:rPr>
          <w:rFonts w:ascii="宋体" w:eastAsia="宋体" w:hAnsi="宋体" w:cs="宋体"/>
          <w:spacing w:val="-12"/>
          <w:position w:val="7"/>
          <w:sz w:val="16"/>
          <w:szCs w:val="16"/>
        </w:rPr>
        <w:t>nutrition</w:t>
      </w:r>
      <w:r>
        <w:rPr>
          <w:rFonts w:ascii="宋体" w:eastAsia="宋体" w:hAnsi="宋体" w:cs="宋体"/>
          <w:spacing w:val="-7"/>
          <w:position w:val="7"/>
          <w:sz w:val="16"/>
          <w:szCs w:val="16"/>
        </w:rPr>
        <w:t xml:space="preserve"> </w:t>
      </w:r>
      <w:r>
        <w:rPr>
          <w:rFonts w:ascii="宋体" w:eastAsia="宋体" w:hAnsi="宋体" w:cs="宋体"/>
          <w:spacing w:val="-12"/>
          <w:position w:val="7"/>
          <w:sz w:val="16"/>
          <w:szCs w:val="16"/>
        </w:rPr>
        <w:t>policy</w:t>
      </w:r>
      <w:r>
        <w:rPr>
          <w:rFonts w:ascii="宋体" w:eastAsia="宋体" w:hAnsi="宋体" w:cs="宋体"/>
          <w:spacing w:val="35"/>
          <w:position w:val="7"/>
          <w:sz w:val="16"/>
          <w:szCs w:val="16"/>
        </w:rPr>
        <w:t xml:space="preserve"> </w:t>
      </w:r>
      <w:r>
        <w:rPr>
          <w:rFonts w:ascii="宋体" w:eastAsia="宋体" w:hAnsi="宋体" w:cs="宋体"/>
          <w:spacing w:val="-12"/>
          <w:position w:val="7"/>
          <w:sz w:val="16"/>
          <w:szCs w:val="16"/>
        </w:rPr>
        <w:t>营养政策</w:t>
      </w:r>
    </w:p>
    <w:p w:rsidR="00EA40A3" w:rsidRDefault="00E86C16">
      <w:pPr>
        <w:spacing w:line="219" w:lineRule="auto"/>
        <w:rPr>
          <w:rFonts w:ascii="宋体" w:eastAsia="宋体" w:hAnsi="宋体" w:cs="宋体"/>
          <w:sz w:val="16"/>
          <w:szCs w:val="16"/>
        </w:rPr>
      </w:pPr>
      <w:r>
        <w:rPr>
          <w:rFonts w:ascii="宋体" w:eastAsia="宋体" w:hAnsi="宋体" w:cs="宋体"/>
          <w:spacing w:val="-13"/>
          <w:sz w:val="16"/>
          <w:szCs w:val="16"/>
        </w:rPr>
        <w:t>nutritional</w:t>
      </w:r>
      <w:r>
        <w:rPr>
          <w:rFonts w:ascii="宋体" w:eastAsia="宋体" w:hAnsi="宋体" w:cs="宋体"/>
          <w:spacing w:val="11"/>
          <w:sz w:val="16"/>
          <w:szCs w:val="16"/>
        </w:rPr>
        <w:t xml:space="preserve"> </w:t>
      </w:r>
      <w:r>
        <w:rPr>
          <w:rFonts w:ascii="宋体" w:eastAsia="宋体" w:hAnsi="宋体" w:cs="宋体"/>
          <w:spacing w:val="-13"/>
          <w:sz w:val="16"/>
          <w:szCs w:val="16"/>
        </w:rPr>
        <w:t>food</w:t>
      </w:r>
      <w:r>
        <w:rPr>
          <w:rFonts w:ascii="宋体" w:eastAsia="宋体" w:hAnsi="宋体" w:cs="宋体"/>
          <w:spacing w:val="36"/>
          <w:sz w:val="16"/>
          <w:szCs w:val="16"/>
        </w:rPr>
        <w:t xml:space="preserve"> </w:t>
      </w:r>
      <w:r>
        <w:rPr>
          <w:rFonts w:ascii="宋体" w:eastAsia="宋体" w:hAnsi="宋体" w:cs="宋体"/>
          <w:spacing w:val="-13"/>
          <w:sz w:val="16"/>
          <w:szCs w:val="16"/>
        </w:rPr>
        <w:t>营养食品</w:t>
      </w:r>
    </w:p>
    <w:p w:rsidR="00EA40A3" w:rsidRDefault="00E86C16">
      <w:pPr>
        <w:spacing w:before="56" w:line="214" w:lineRule="auto"/>
        <w:rPr>
          <w:rFonts w:ascii="宋体" w:eastAsia="宋体" w:hAnsi="宋体" w:cs="宋体"/>
          <w:sz w:val="16"/>
          <w:szCs w:val="16"/>
        </w:rPr>
      </w:pPr>
      <w:r>
        <w:rPr>
          <w:rFonts w:ascii="宋体" w:eastAsia="宋体" w:hAnsi="宋体" w:cs="宋体"/>
          <w:spacing w:val="-5"/>
          <w:sz w:val="16"/>
          <w:szCs w:val="16"/>
        </w:rPr>
        <w:t>nutritional</w:t>
      </w:r>
      <w:r>
        <w:rPr>
          <w:rFonts w:ascii="宋体" w:eastAsia="宋体" w:hAnsi="宋体" w:cs="宋体"/>
          <w:spacing w:val="5"/>
          <w:sz w:val="16"/>
          <w:szCs w:val="16"/>
        </w:rPr>
        <w:t xml:space="preserve"> </w:t>
      </w:r>
      <w:r>
        <w:rPr>
          <w:rFonts w:ascii="宋体" w:eastAsia="宋体" w:hAnsi="宋体" w:cs="宋体"/>
          <w:spacing w:val="-5"/>
          <w:sz w:val="16"/>
          <w:szCs w:val="16"/>
        </w:rPr>
        <w:t>requirements</w:t>
      </w:r>
      <w:r>
        <w:rPr>
          <w:rFonts w:ascii="宋体" w:eastAsia="宋体" w:hAnsi="宋体" w:cs="宋体"/>
          <w:spacing w:val="40"/>
          <w:sz w:val="16"/>
          <w:szCs w:val="16"/>
        </w:rPr>
        <w:t xml:space="preserve"> </w:t>
      </w:r>
      <w:r>
        <w:rPr>
          <w:rFonts w:ascii="宋体" w:eastAsia="宋体" w:hAnsi="宋体" w:cs="宋体"/>
          <w:spacing w:val="-5"/>
          <w:sz w:val="16"/>
          <w:szCs w:val="16"/>
        </w:rPr>
        <w:t>营养(生理)需要量</w:t>
      </w:r>
    </w:p>
    <w:p w:rsidR="00EA40A3" w:rsidRDefault="00E86C16">
      <w:pPr>
        <w:spacing w:before="64" w:line="254" w:lineRule="exact"/>
        <w:rPr>
          <w:rFonts w:ascii="宋体" w:eastAsia="宋体" w:hAnsi="宋体" w:cs="宋体"/>
          <w:sz w:val="16"/>
          <w:szCs w:val="16"/>
        </w:rPr>
      </w:pPr>
      <w:r>
        <w:rPr>
          <w:rFonts w:ascii="宋体" w:eastAsia="宋体" w:hAnsi="宋体" w:cs="宋体"/>
          <w:spacing w:val="-9"/>
          <w:position w:val="7"/>
          <w:sz w:val="16"/>
          <w:szCs w:val="16"/>
        </w:rPr>
        <w:t>nutritional</w:t>
      </w:r>
      <w:r>
        <w:rPr>
          <w:rFonts w:ascii="宋体" w:eastAsia="宋体" w:hAnsi="宋体" w:cs="宋体"/>
          <w:spacing w:val="4"/>
          <w:position w:val="7"/>
          <w:sz w:val="16"/>
          <w:szCs w:val="16"/>
        </w:rPr>
        <w:t xml:space="preserve"> </w:t>
      </w:r>
      <w:r>
        <w:rPr>
          <w:rFonts w:ascii="宋体" w:eastAsia="宋体" w:hAnsi="宋体" w:cs="宋体"/>
          <w:spacing w:val="-9"/>
          <w:position w:val="7"/>
          <w:sz w:val="16"/>
          <w:szCs w:val="16"/>
        </w:rPr>
        <w:t>supplement</w:t>
      </w:r>
      <w:r>
        <w:rPr>
          <w:rFonts w:ascii="宋体" w:eastAsia="宋体" w:hAnsi="宋体" w:cs="宋体"/>
          <w:spacing w:val="50"/>
          <w:position w:val="7"/>
          <w:sz w:val="16"/>
          <w:szCs w:val="16"/>
        </w:rPr>
        <w:t xml:space="preserve"> </w:t>
      </w:r>
      <w:r>
        <w:rPr>
          <w:rFonts w:ascii="宋体" w:eastAsia="宋体" w:hAnsi="宋体" w:cs="宋体"/>
          <w:spacing w:val="-9"/>
          <w:position w:val="7"/>
          <w:sz w:val="16"/>
          <w:szCs w:val="16"/>
        </w:rPr>
        <w:t>营养补充剂</w:t>
      </w:r>
    </w:p>
    <w:p w:rsidR="00EA40A3" w:rsidRDefault="00E86C16">
      <w:pPr>
        <w:spacing w:before="1" w:line="219" w:lineRule="auto"/>
        <w:rPr>
          <w:rFonts w:ascii="宋体" w:eastAsia="宋体" w:hAnsi="宋体" w:cs="宋体"/>
          <w:sz w:val="16"/>
          <w:szCs w:val="16"/>
        </w:rPr>
      </w:pPr>
      <w:r>
        <w:rPr>
          <w:rFonts w:ascii="宋体" w:eastAsia="宋体" w:hAnsi="宋体" w:cs="宋体"/>
          <w:spacing w:val="-14"/>
          <w:sz w:val="16"/>
          <w:szCs w:val="16"/>
        </w:rPr>
        <w:t>nutritional</w:t>
      </w:r>
      <w:r>
        <w:rPr>
          <w:rFonts w:ascii="宋体" w:eastAsia="宋体" w:hAnsi="宋体" w:cs="宋体"/>
          <w:spacing w:val="6"/>
          <w:sz w:val="16"/>
          <w:szCs w:val="16"/>
        </w:rPr>
        <w:t xml:space="preserve"> </w:t>
      </w:r>
      <w:r>
        <w:rPr>
          <w:rFonts w:ascii="宋体" w:eastAsia="宋体" w:hAnsi="宋体" w:cs="宋体"/>
          <w:spacing w:val="-14"/>
          <w:sz w:val="16"/>
          <w:szCs w:val="16"/>
        </w:rPr>
        <w:t>surveillance</w:t>
      </w:r>
      <w:r>
        <w:rPr>
          <w:rFonts w:ascii="宋体" w:eastAsia="宋体" w:hAnsi="宋体" w:cs="宋体"/>
          <w:spacing w:val="42"/>
          <w:sz w:val="16"/>
          <w:szCs w:val="16"/>
        </w:rPr>
        <w:t xml:space="preserve"> </w:t>
      </w:r>
      <w:r>
        <w:rPr>
          <w:rFonts w:ascii="宋体" w:eastAsia="宋体" w:hAnsi="宋体" w:cs="宋体"/>
          <w:spacing w:val="-14"/>
          <w:sz w:val="16"/>
          <w:szCs w:val="16"/>
        </w:rPr>
        <w:t>营养监测</w:t>
      </w:r>
    </w:p>
    <w:p w:rsidR="00EA40A3" w:rsidRDefault="00E86C16">
      <w:pPr>
        <w:spacing w:before="58" w:line="218" w:lineRule="auto"/>
        <w:rPr>
          <w:rFonts w:ascii="宋体" w:eastAsia="宋体" w:hAnsi="宋体" w:cs="宋体"/>
          <w:sz w:val="16"/>
          <w:szCs w:val="16"/>
        </w:rPr>
      </w:pPr>
      <w:r>
        <w:rPr>
          <w:rFonts w:ascii="宋体" w:eastAsia="宋体" w:hAnsi="宋体" w:cs="宋体"/>
          <w:spacing w:val="-12"/>
          <w:sz w:val="16"/>
          <w:szCs w:val="16"/>
        </w:rPr>
        <w:t>nutritional</w:t>
      </w:r>
      <w:r>
        <w:rPr>
          <w:rFonts w:ascii="宋体" w:eastAsia="宋体" w:hAnsi="宋体" w:cs="宋体"/>
          <w:spacing w:val="8"/>
          <w:sz w:val="16"/>
          <w:szCs w:val="16"/>
        </w:rPr>
        <w:t xml:space="preserve"> </w:t>
      </w:r>
      <w:r>
        <w:rPr>
          <w:rFonts w:ascii="宋体" w:eastAsia="宋体" w:hAnsi="宋体" w:cs="宋体"/>
          <w:spacing w:val="-12"/>
          <w:sz w:val="16"/>
          <w:szCs w:val="16"/>
        </w:rPr>
        <w:t>value</w:t>
      </w:r>
      <w:r>
        <w:rPr>
          <w:rFonts w:ascii="宋体" w:eastAsia="宋体" w:hAnsi="宋体" w:cs="宋体"/>
          <w:spacing w:val="42"/>
          <w:sz w:val="16"/>
          <w:szCs w:val="16"/>
        </w:rPr>
        <w:t xml:space="preserve"> </w:t>
      </w:r>
      <w:r>
        <w:rPr>
          <w:rFonts w:ascii="宋体" w:eastAsia="宋体" w:hAnsi="宋体" w:cs="宋体"/>
          <w:spacing w:val="-12"/>
          <w:sz w:val="16"/>
          <w:szCs w:val="16"/>
        </w:rPr>
        <w:t>营养价值</w:t>
      </w:r>
    </w:p>
    <w:p w:rsidR="00EA40A3" w:rsidRDefault="00E86C16">
      <w:pPr>
        <w:spacing w:before="63" w:line="219" w:lineRule="auto"/>
        <w:rPr>
          <w:rFonts w:ascii="宋体" w:eastAsia="宋体" w:hAnsi="宋体" w:cs="宋体"/>
          <w:sz w:val="16"/>
          <w:szCs w:val="16"/>
        </w:rPr>
      </w:pPr>
      <w:r>
        <w:rPr>
          <w:rFonts w:ascii="宋体" w:eastAsia="宋体" w:hAnsi="宋体" w:cs="宋体"/>
          <w:spacing w:val="-10"/>
          <w:sz w:val="16"/>
          <w:szCs w:val="16"/>
        </w:rPr>
        <w:t>nutrition</w:t>
      </w:r>
      <w:r>
        <w:rPr>
          <w:rFonts w:ascii="宋体" w:eastAsia="宋体" w:hAnsi="宋体" w:cs="宋体"/>
          <w:spacing w:val="63"/>
          <w:sz w:val="16"/>
          <w:szCs w:val="16"/>
        </w:rPr>
        <w:t xml:space="preserve"> </w:t>
      </w:r>
      <w:r>
        <w:rPr>
          <w:rFonts w:ascii="宋体" w:eastAsia="宋体" w:hAnsi="宋体" w:cs="宋体"/>
          <w:spacing w:val="-10"/>
          <w:sz w:val="16"/>
          <w:szCs w:val="16"/>
        </w:rPr>
        <w:t>营养</w:t>
      </w:r>
    </w:p>
    <w:p w:rsidR="00EA40A3" w:rsidRDefault="00E86C16">
      <w:pPr>
        <w:spacing w:before="56" w:line="215" w:lineRule="auto"/>
        <w:rPr>
          <w:rFonts w:ascii="宋体" w:eastAsia="宋体" w:hAnsi="宋体" w:cs="宋体"/>
          <w:sz w:val="16"/>
          <w:szCs w:val="16"/>
        </w:rPr>
      </w:pPr>
      <w:r>
        <w:rPr>
          <w:rFonts w:ascii="宋体" w:eastAsia="宋体" w:hAnsi="宋体" w:cs="宋体"/>
          <w:spacing w:val="-1"/>
          <w:sz w:val="16"/>
          <w:szCs w:val="16"/>
        </w:rPr>
        <w:t>N-acetylcysteine,NAC</w:t>
      </w:r>
      <w:r>
        <w:rPr>
          <w:rFonts w:ascii="宋体" w:eastAsia="宋体" w:hAnsi="宋体" w:cs="宋体"/>
          <w:spacing w:val="9"/>
          <w:sz w:val="16"/>
          <w:szCs w:val="16"/>
        </w:rPr>
        <w:t xml:space="preserve">  </w:t>
      </w:r>
      <w:r>
        <w:rPr>
          <w:rFonts w:ascii="宋体" w:eastAsia="宋体" w:hAnsi="宋体" w:cs="宋体"/>
          <w:spacing w:val="-1"/>
          <w:sz w:val="16"/>
          <w:szCs w:val="16"/>
        </w:rPr>
        <w:t>N-乙酰半胱氨酸</w:t>
      </w:r>
    </w:p>
    <w:p w:rsidR="00EA40A3" w:rsidRDefault="00E86C16">
      <w:pPr>
        <w:spacing w:before="62" w:line="214" w:lineRule="auto"/>
        <w:rPr>
          <w:rFonts w:ascii="宋体" w:eastAsia="宋体" w:hAnsi="宋体" w:cs="宋体"/>
          <w:sz w:val="16"/>
          <w:szCs w:val="16"/>
        </w:rPr>
      </w:pPr>
      <w:r>
        <w:rPr>
          <w:rFonts w:ascii="宋体" w:eastAsia="宋体" w:hAnsi="宋体" w:cs="宋体"/>
          <w:spacing w:val="-4"/>
          <w:sz w:val="16"/>
          <w:szCs w:val="16"/>
        </w:rPr>
        <w:t>N</w:t>
      </w:r>
      <w:r>
        <w:rPr>
          <w:rFonts w:ascii="宋体" w:eastAsia="宋体" w:hAnsi="宋体" w:cs="宋体"/>
          <w:spacing w:val="4"/>
          <w:sz w:val="16"/>
          <w:szCs w:val="16"/>
        </w:rPr>
        <w:t xml:space="preserve"> </w:t>
      </w:r>
      <w:r>
        <w:rPr>
          <w:rFonts w:ascii="宋体" w:eastAsia="宋体" w:hAnsi="宋体" w:cs="宋体"/>
          <w:spacing w:val="-4"/>
          <w:sz w:val="16"/>
          <w:szCs w:val="16"/>
        </w:rPr>
        <w:t>cthylglutamine</w:t>
      </w:r>
      <w:r>
        <w:rPr>
          <w:rFonts w:ascii="宋体" w:eastAsia="宋体" w:hAnsi="宋体" w:cs="宋体"/>
          <w:spacing w:val="-5"/>
          <w:sz w:val="16"/>
          <w:szCs w:val="16"/>
        </w:rPr>
        <w:t>,y-</w:t>
      </w:r>
      <w:r>
        <w:rPr>
          <w:rFonts w:ascii="宋体" w:eastAsia="宋体" w:hAnsi="宋体" w:cs="宋体"/>
          <w:spacing w:val="-4"/>
          <w:sz w:val="16"/>
          <w:szCs w:val="16"/>
        </w:rPr>
        <w:t>glutamy</w:t>
      </w:r>
      <w:r>
        <w:rPr>
          <w:rFonts w:ascii="宋体" w:eastAsia="宋体" w:hAnsi="宋体" w:cs="宋体"/>
          <w:spacing w:val="-5"/>
          <w:sz w:val="16"/>
          <w:szCs w:val="16"/>
        </w:rPr>
        <w:t>lethylamide</w:t>
      </w:r>
      <w:r>
        <w:rPr>
          <w:rFonts w:ascii="宋体" w:eastAsia="宋体" w:hAnsi="宋体" w:cs="宋体"/>
          <w:spacing w:val="25"/>
          <w:sz w:val="16"/>
          <w:szCs w:val="16"/>
        </w:rPr>
        <w:t xml:space="preserve">  </w:t>
      </w:r>
      <w:r>
        <w:rPr>
          <w:rFonts w:ascii="宋体" w:eastAsia="宋体" w:hAnsi="宋体" w:cs="宋体"/>
          <w:spacing w:val="-5"/>
          <w:sz w:val="16"/>
          <w:szCs w:val="16"/>
        </w:rPr>
        <w:t>N-乙基-</w:t>
      </w:r>
    </w:p>
    <w:p w:rsidR="00EA40A3" w:rsidRDefault="00E86C16">
      <w:pPr>
        <w:spacing w:before="165" w:line="252" w:lineRule="auto"/>
        <w:ind w:right="613"/>
        <w:rPr>
          <w:rFonts w:ascii="宋体" w:eastAsia="宋体" w:hAnsi="宋体" w:cs="宋体"/>
          <w:sz w:val="16"/>
          <w:szCs w:val="16"/>
        </w:rPr>
      </w:pPr>
      <w:r>
        <w:rPr>
          <w:rFonts w:ascii="宋体" w:eastAsia="宋体" w:hAnsi="宋体" w:cs="宋体"/>
          <w:spacing w:val="-6"/>
          <w:sz w:val="16"/>
          <w:szCs w:val="16"/>
        </w:rPr>
        <w:t>1.谷氨酰胺或γ-谷胺酰乙酰胺，又称茶氨酸</w:t>
      </w:r>
      <w:r>
        <w:rPr>
          <w:rFonts w:ascii="宋体" w:eastAsia="宋体" w:hAnsi="宋体" w:cs="宋体"/>
          <w:spacing w:val="1"/>
          <w:sz w:val="16"/>
          <w:szCs w:val="16"/>
        </w:rPr>
        <w:t xml:space="preserve"> </w:t>
      </w:r>
      <w:r>
        <w:rPr>
          <w:rFonts w:ascii="宋体" w:eastAsia="宋体" w:hAnsi="宋体" w:cs="宋体"/>
          <w:spacing w:val="-7"/>
          <w:sz w:val="16"/>
          <w:szCs w:val="16"/>
        </w:rPr>
        <w:t>ob</w:t>
      </w:r>
      <w:r>
        <w:rPr>
          <w:rFonts w:ascii="宋体" w:eastAsia="宋体" w:hAnsi="宋体" w:cs="宋体"/>
          <w:spacing w:val="-1"/>
          <w:sz w:val="16"/>
          <w:szCs w:val="16"/>
        </w:rPr>
        <w:t xml:space="preserve"> </w:t>
      </w:r>
      <w:r>
        <w:rPr>
          <w:rFonts w:ascii="宋体" w:eastAsia="宋体" w:hAnsi="宋体" w:cs="宋体"/>
          <w:spacing w:val="-7"/>
          <w:sz w:val="16"/>
          <w:szCs w:val="16"/>
        </w:rPr>
        <w:t>protcin</w:t>
      </w:r>
      <w:r>
        <w:rPr>
          <w:rFonts w:ascii="宋体" w:eastAsia="宋体" w:hAnsi="宋体" w:cs="宋体"/>
          <w:spacing w:val="56"/>
          <w:sz w:val="16"/>
          <w:szCs w:val="16"/>
        </w:rPr>
        <w:t xml:space="preserve"> </w:t>
      </w:r>
      <w:r>
        <w:rPr>
          <w:rFonts w:ascii="宋体" w:eastAsia="宋体" w:hAnsi="宋体" w:cs="宋体"/>
          <w:spacing w:val="-7"/>
          <w:sz w:val="16"/>
          <w:szCs w:val="16"/>
        </w:rPr>
        <w:t>肥胖蛋白</w:t>
      </w:r>
    </w:p>
    <w:p w:rsidR="00EA40A3" w:rsidRDefault="00E86C16">
      <w:pPr>
        <w:spacing w:before="64" w:line="215" w:lineRule="auto"/>
        <w:rPr>
          <w:rFonts w:ascii="宋体" w:eastAsia="宋体" w:hAnsi="宋体" w:cs="宋体"/>
          <w:sz w:val="16"/>
          <w:szCs w:val="16"/>
        </w:rPr>
      </w:pPr>
      <w:r>
        <w:rPr>
          <w:rFonts w:ascii="宋体" w:eastAsia="宋体" w:hAnsi="宋体" w:cs="宋体"/>
          <w:spacing w:val="-10"/>
          <w:sz w:val="16"/>
          <w:szCs w:val="16"/>
        </w:rPr>
        <w:t>obesity</w:t>
      </w:r>
      <w:r>
        <w:rPr>
          <w:rFonts w:ascii="宋体" w:eastAsia="宋体" w:hAnsi="宋体" w:cs="宋体"/>
          <w:spacing w:val="45"/>
          <w:w w:val="101"/>
          <w:sz w:val="16"/>
          <w:szCs w:val="16"/>
        </w:rPr>
        <w:t xml:space="preserve"> </w:t>
      </w:r>
      <w:r>
        <w:rPr>
          <w:rFonts w:ascii="宋体" w:eastAsia="宋体" w:hAnsi="宋体" w:cs="宋体"/>
          <w:spacing w:val="-10"/>
          <w:sz w:val="16"/>
          <w:szCs w:val="16"/>
        </w:rPr>
        <w:t>肥胖</w:t>
      </w:r>
    </w:p>
    <w:p w:rsidR="00EA40A3" w:rsidRDefault="00E86C16">
      <w:pPr>
        <w:spacing w:before="63" w:line="256" w:lineRule="auto"/>
        <w:ind w:right="598"/>
        <w:rPr>
          <w:rFonts w:ascii="宋体" w:eastAsia="宋体" w:hAnsi="宋体" w:cs="宋体"/>
          <w:sz w:val="16"/>
          <w:szCs w:val="16"/>
        </w:rPr>
      </w:pPr>
      <w:r>
        <w:rPr>
          <w:rFonts w:ascii="宋体" w:eastAsia="宋体" w:hAnsi="宋体" w:cs="宋体"/>
          <w:spacing w:val="-5"/>
          <w:sz w:val="16"/>
          <w:szCs w:val="16"/>
        </w:rPr>
        <w:t>obligatory</w:t>
      </w:r>
      <w:r>
        <w:rPr>
          <w:rFonts w:ascii="宋体" w:eastAsia="宋体" w:hAnsi="宋体" w:cs="宋体"/>
          <w:spacing w:val="-1"/>
          <w:sz w:val="16"/>
          <w:szCs w:val="16"/>
        </w:rPr>
        <w:t xml:space="preserve"> </w:t>
      </w:r>
      <w:r>
        <w:rPr>
          <w:rFonts w:ascii="宋体" w:eastAsia="宋体" w:hAnsi="宋体" w:cs="宋体"/>
          <w:spacing w:val="-5"/>
          <w:sz w:val="16"/>
          <w:szCs w:val="16"/>
        </w:rPr>
        <w:t>nitrogen</w:t>
      </w:r>
      <w:r>
        <w:rPr>
          <w:rFonts w:ascii="宋体" w:eastAsia="宋体" w:hAnsi="宋体" w:cs="宋体"/>
          <w:spacing w:val="9"/>
          <w:sz w:val="16"/>
          <w:szCs w:val="16"/>
        </w:rPr>
        <w:t xml:space="preserve"> </w:t>
      </w:r>
      <w:r>
        <w:rPr>
          <w:rFonts w:ascii="宋体" w:eastAsia="宋体" w:hAnsi="宋体" w:cs="宋体"/>
          <w:spacing w:val="-5"/>
          <w:sz w:val="16"/>
          <w:szCs w:val="16"/>
        </w:rPr>
        <w:t>loss</w:t>
      </w:r>
      <w:r>
        <w:rPr>
          <w:rFonts w:ascii="宋体" w:eastAsia="宋体" w:hAnsi="宋体" w:cs="宋体"/>
          <w:spacing w:val="-6"/>
          <w:sz w:val="16"/>
          <w:szCs w:val="16"/>
        </w:rPr>
        <w:t>,ONL</w:t>
      </w:r>
      <w:r>
        <w:rPr>
          <w:rFonts w:ascii="宋体" w:eastAsia="宋体" w:hAnsi="宋体" w:cs="宋体"/>
          <w:spacing w:val="46"/>
          <w:sz w:val="16"/>
          <w:szCs w:val="16"/>
        </w:rPr>
        <w:t xml:space="preserve"> </w:t>
      </w:r>
      <w:r>
        <w:rPr>
          <w:rFonts w:ascii="宋体" w:eastAsia="宋体" w:hAnsi="宋体" w:cs="宋体"/>
          <w:spacing w:val="-6"/>
          <w:sz w:val="16"/>
          <w:szCs w:val="16"/>
        </w:rPr>
        <w:t>必要氮损失</w:t>
      </w:r>
      <w:r>
        <w:rPr>
          <w:rFonts w:ascii="宋体" w:eastAsia="宋体" w:hAnsi="宋体" w:cs="宋体"/>
          <w:sz w:val="16"/>
          <w:szCs w:val="16"/>
        </w:rPr>
        <w:t xml:space="preserve"> </w:t>
      </w:r>
      <w:r>
        <w:rPr>
          <w:rFonts w:ascii="宋体" w:eastAsia="宋体" w:hAnsi="宋体" w:cs="宋体"/>
          <w:spacing w:val="-10"/>
          <w:sz w:val="16"/>
          <w:szCs w:val="16"/>
        </w:rPr>
        <w:t>oil</w:t>
      </w:r>
      <w:r>
        <w:rPr>
          <w:rFonts w:ascii="宋体" w:eastAsia="宋体" w:hAnsi="宋体" w:cs="宋体"/>
          <w:spacing w:val="-6"/>
          <w:sz w:val="16"/>
          <w:szCs w:val="16"/>
        </w:rPr>
        <w:t xml:space="preserve"> </w:t>
      </w:r>
      <w:r>
        <w:rPr>
          <w:rFonts w:ascii="宋体" w:eastAsia="宋体" w:hAnsi="宋体" w:cs="宋体"/>
          <w:spacing w:val="-10"/>
          <w:sz w:val="16"/>
          <w:szCs w:val="16"/>
        </w:rPr>
        <w:t>and</w:t>
      </w:r>
      <w:r>
        <w:rPr>
          <w:rFonts w:ascii="宋体" w:eastAsia="宋体" w:hAnsi="宋体" w:cs="宋体"/>
          <w:spacing w:val="-4"/>
          <w:sz w:val="16"/>
          <w:szCs w:val="16"/>
        </w:rPr>
        <w:t xml:space="preserve"> </w:t>
      </w:r>
      <w:r>
        <w:rPr>
          <w:rFonts w:ascii="宋体" w:eastAsia="宋体" w:hAnsi="宋体" w:cs="宋体"/>
          <w:spacing w:val="-10"/>
          <w:sz w:val="16"/>
          <w:szCs w:val="16"/>
        </w:rPr>
        <w:t>fat mimic</w:t>
      </w:r>
      <w:r>
        <w:rPr>
          <w:rFonts w:ascii="宋体" w:eastAsia="宋体" w:hAnsi="宋体" w:cs="宋体"/>
          <w:spacing w:val="51"/>
          <w:w w:val="101"/>
          <w:sz w:val="16"/>
          <w:szCs w:val="16"/>
        </w:rPr>
        <w:t xml:space="preserve"> </w:t>
      </w:r>
      <w:r>
        <w:rPr>
          <w:rFonts w:ascii="宋体" w:eastAsia="宋体" w:hAnsi="宋体" w:cs="宋体"/>
          <w:spacing w:val="-10"/>
          <w:sz w:val="16"/>
          <w:szCs w:val="16"/>
        </w:rPr>
        <w:t>油脂模拟品</w:t>
      </w:r>
    </w:p>
    <w:p w:rsidR="00EA40A3" w:rsidRDefault="00E86C16">
      <w:pPr>
        <w:spacing w:before="61" w:line="251" w:lineRule="exact"/>
        <w:rPr>
          <w:rFonts w:ascii="宋体" w:eastAsia="宋体" w:hAnsi="宋体" w:cs="宋体"/>
          <w:sz w:val="16"/>
          <w:szCs w:val="16"/>
        </w:rPr>
      </w:pPr>
      <w:r>
        <w:rPr>
          <w:rFonts w:ascii="宋体" w:eastAsia="宋体" w:hAnsi="宋体" w:cs="宋体"/>
          <w:spacing w:val="-15"/>
          <w:position w:val="6"/>
          <w:sz w:val="16"/>
          <w:szCs w:val="16"/>
        </w:rPr>
        <w:t>oil</w:t>
      </w:r>
      <w:r>
        <w:rPr>
          <w:rFonts w:ascii="宋体" w:eastAsia="宋体" w:hAnsi="宋体" w:cs="宋体"/>
          <w:spacing w:val="-7"/>
          <w:position w:val="6"/>
          <w:sz w:val="16"/>
          <w:szCs w:val="16"/>
        </w:rPr>
        <w:t xml:space="preserve"> </w:t>
      </w:r>
      <w:r>
        <w:rPr>
          <w:rFonts w:ascii="宋体" w:eastAsia="宋体" w:hAnsi="宋体" w:cs="宋体"/>
          <w:spacing w:val="-15"/>
          <w:position w:val="6"/>
          <w:sz w:val="16"/>
          <w:szCs w:val="16"/>
        </w:rPr>
        <w:t>and</w:t>
      </w:r>
      <w:r>
        <w:rPr>
          <w:rFonts w:ascii="宋体" w:eastAsia="宋体" w:hAnsi="宋体" w:cs="宋体"/>
          <w:spacing w:val="-9"/>
          <w:position w:val="6"/>
          <w:sz w:val="16"/>
          <w:szCs w:val="16"/>
        </w:rPr>
        <w:t xml:space="preserve"> </w:t>
      </w:r>
      <w:r>
        <w:rPr>
          <w:rFonts w:ascii="宋体" w:eastAsia="宋体" w:hAnsi="宋体" w:cs="宋体"/>
          <w:spacing w:val="-15"/>
          <w:position w:val="6"/>
          <w:sz w:val="16"/>
          <w:szCs w:val="16"/>
        </w:rPr>
        <w:t>fat</w:t>
      </w:r>
      <w:r>
        <w:rPr>
          <w:rFonts w:ascii="宋体" w:eastAsia="宋体" w:hAnsi="宋体" w:cs="宋体"/>
          <w:spacing w:val="-5"/>
          <w:position w:val="6"/>
          <w:sz w:val="16"/>
          <w:szCs w:val="16"/>
        </w:rPr>
        <w:t xml:space="preserve"> </w:t>
      </w:r>
      <w:r>
        <w:rPr>
          <w:rFonts w:ascii="宋体" w:eastAsia="宋体" w:hAnsi="宋体" w:cs="宋体"/>
          <w:spacing w:val="-15"/>
          <w:position w:val="6"/>
          <w:sz w:val="16"/>
          <w:szCs w:val="16"/>
        </w:rPr>
        <w:t>substitute</w:t>
      </w:r>
      <w:r>
        <w:rPr>
          <w:rFonts w:ascii="宋体" w:eastAsia="宋体" w:hAnsi="宋体" w:cs="宋体"/>
          <w:spacing w:val="62"/>
          <w:position w:val="6"/>
          <w:sz w:val="16"/>
          <w:szCs w:val="16"/>
        </w:rPr>
        <w:t xml:space="preserve"> </w:t>
      </w:r>
      <w:r>
        <w:rPr>
          <w:rFonts w:ascii="宋体" w:eastAsia="宋体" w:hAnsi="宋体" w:cs="宋体"/>
          <w:spacing w:val="-15"/>
          <w:position w:val="6"/>
          <w:sz w:val="16"/>
          <w:szCs w:val="16"/>
        </w:rPr>
        <w:t>油脂替代品</w:t>
      </w:r>
    </w:p>
    <w:p w:rsidR="00EA40A3" w:rsidRDefault="00E86C16">
      <w:pPr>
        <w:spacing w:before="1" w:line="220" w:lineRule="auto"/>
        <w:rPr>
          <w:rFonts w:ascii="宋体" w:eastAsia="宋体" w:hAnsi="宋体" w:cs="宋体"/>
          <w:sz w:val="16"/>
          <w:szCs w:val="16"/>
        </w:rPr>
      </w:pPr>
      <w:r>
        <w:rPr>
          <w:rFonts w:ascii="宋体" w:eastAsia="宋体" w:hAnsi="宋体" w:cs="宋体"/>
          <w:spacing w:val="-18"/>
          <w:sz w:val="16"/>
          <w:szCs w:val="16"/>
        </w:rPr>
        <w:t>oleic</w:t>
      </w:r>
      <w:r>
        <w:rPr>
          <w:rFonts w:ascii="宋体" w:eastAsia="宋体" w:hAnsi="宋体" w:cs="宋体"/>
          <w:spacing w:val="-5"/>
          <w:sz w:val="16"/>
          <w:szCs w:val="16"/>
        </w:rPr>
        <w:t xml:space="preserve"> </w:t>
      </w:r>
      <w:r>
        <w:rPr>
          <w:rFonts w:ascii="宋体" w:eastAsia="宋体" w:hAnsi="宋体" w:cs="宋体"/>
          <w:spacing w:val="-18"/>
          <w:sz w:val="16"/>
          <w:szCs w:val="16"/>
        </w:rPr>
        <w:t>acid</w:t>
      </w:r>
      <w:r>
        <w:rPr>
          <w:rFonts w:ascii="宋体" w:eastAsia="宋体" w:hAnsi="宋体" w:cs="宋体"/>
          <w:spacing w:val="57"/>
          <w:sz w:val="16"/>
          <w:szCs w:val="16"/>
        </w:rPr>
        <w:t xml:space="preserve"> </w:t>
      </w:r>
      <w:r>
        <w:rPr>
          <w:rFonts w:ascii="宋体" w:eastAsia="宋体" w:hAnsi="宋体" w:cs="宋体"/>
          <w:spacing w:val="-18"/>
          <w:sz w:val="16"/>
          <w:szCs w:val="16"/>
        </w:rPr>
        <w:t>油酸</w:t>
      </w:r>
    </w:p>
    <w:p w:rsidR="00EA40A3" w:rsidRDefault="00E86C16">
      <w:pPr>
        <w:spacing w:before="52" w:line="214" w:lineRule="auto"/>
        <w:rPr>
          <w:rFonts w:ascii="宋体" w:eastAsia="宋体" w:hAnsi="宋体" w:cs="宋体"/>
          <w:sz w:val="16"/>
          <w:szCs w:val="16"/>
        </w:rPr>
      </w:pPr>
      <w:r>
        <w:rPr>
          <w:rFonts w:ascii="宋体" w:eastAsia="宋体" w:hAnsi="宋体" w:cs="宋体"/>
          <w:spacing w:val="-9"/>
          <w:sz w:val="16"/>
          <w:szCs w:val="16"/>
        </w:rPr>
        <w:t>oligosaccharide</w:t>
      </w:r>
      <w:r>
        <w:rPr>
          <w:rFonts w:ascii="宋体" w:eastAsia="宋体" w:hAnsi="宋体" w:cs="宋体"/>
          <w:spacing w:val="62"/>
          <w:sz w:val="16"/>
          <w:szCs w:val="16"/>
        </w:rPr>
        <w:t xml:space="preserve"> </w:t>
      </w:r>
      <w:r>
        <w:rPr>
          <w:rFonts w:ascii="宋体" w:eastAsia="宋体" w:hAnsi="宋体" w:cs="宋体"/>
          <w:spacing w:val="-9"/>
          <w:sz w:val="16"/>
          <w:szCs w:val="16"/>
        </w:rPr>
        <w:t>低聚糖，即寡糖</w:t>
      </w:r>
    </w:p>
    <w:p w:rsidR="00EA40A3" w:rsidRDefault="00E86C16">
      <w:pPr>
        <w:spacing w:before="67" w:line="273" w:lineRule="auto"/>
        <w:ind w:right="79"/>
        <w:rPr>
          <w:rFonts w:ascii="宋体" w:eastAsia="宋体" w:hAnsi="宋体" w:cs="宋体"/>
          <w:sz w:val="16"/>
          <w:szCs w:val="16"/>
        </w:rPr>
      </w:pPr>
      <w:r>
        <w:rPr>
          <w:rFonts w:ascii="宋体" w:eastAsia="宋体" w:hAnsi="宋体" w:cs="宋体"/>
          <w:spacing w:val="-4"/>
          <w:sz w:val="16"/>
          <w:szCs w:val="16"/>
        </w:rPr>
        <w:t>ornithine</w:t>
      </w:r>
      <w:r>
        <w:rPr>
          <w:rFonts w:ascii="宋体" w:eastAsia="宋体" w:hAnsi="宋体" w:cs="宋体"/>
          <w:spacing w:val="18"/>
          <w:sz w:val="16"/>
          <w:szCs w:val="16"/>
        </w:rPr>
        <w:t xml:space="preserve"> </w:t>
      </w:r>
      <w:r>
        <w:rPr>
          <w:rFonts w:ascii="宋体" w:eastAsia="宋体" w:hAnsi="宋体" w:cs="宋体"/>
          <w:spacing w:val="-4"/>
          <w:sz w:val="16"/>
          <w:szCs w:val="16"/>
        </w:rPr>
        <w:t>transcarbamylase,OTC</w:t>
      </w:r>
      <w:r>
        <w:rPr>
          <w:rFonts w:ascii="宋体" w:eastAsia="宋体" w:hAnsi="宋体" w:cs="宋体"/>
          <w:spacing w:val="55"/>
          <w:sz w:val="16"/>
          <w:szCs w:val="16"/>
        </w:rPr>
        <w:t xml:space="preserve"> </w:t>
      </w:r>
      <w:r>
        <w:rPr>
          <w:rFonts w:ascii="宋体" w:eastAsia="宋体" w:hAnsi="宋体" w:cs="宋体"/>
          <w:spacing w:val="-4"/>
          <w:sz w:val="16"/>
          <w:szCs w:val="16"/>
        </w:rPr>
        <w:t>鸟氨酸氨甲酰转</w:t>
      </w:r>
      <w:r>
        <w:rPr>
          <w:rFonts w:ascii="宋体" w:eastAsia="宋体" w:hAnsi="宋体" w:cs="宋体"/>
          <w:sz w:val="16"/>
          <w:szCs w:val="16"/>
        </w:rPr>
        <w:t xml:space="preserve"> </w:t>
      </w:r>
      <w:r>
        <w:rPr>
          <w:rFonts w:ascii="宋体" w:eastAsia="宋体" w:hAnsi="宋体" w:cs="宋体"/>
          <w:spacing w:val="-2"/>
          <w:sz w:val="16"/>
          <w:szCs w:val="16"/>
        </w:rPr>
        <w:t>移酶</w:t>
      </w:r>
    </w:p>
    <w:p w:rsidR="00EA40A3" w:rsidRDefault="00E86C16">
      <w:pPr>
        <w:spacing w:before="66" w:line="215" w:lineRule="auto"/>
        <w:rPr>
          <w:rFonts w:ascii="宋体" w:eastAsia="宋体" w:hAnsi="宋体" w:cs="宋体"/>
          <w:sz w:val="16"/>
          <w:szCs w:val="16"/>
        </w:rPr>
      </w:pPr>
      <w:r>
        <w:rPr>
          <w:rFonts w:ascii="宋体" w:eastAsia="宋体" w:hAnsi="宋体" w:cs="宋体"/>
          <w:spacing w:val="-9"/>
          <w:sz w:val="16"/>
          <w:szCs w:val="16"/>
        </w:rPr>
        <w:t>oryzanol</w:t>
      </w:r>
      <w:r>
        <w:rPr>
          <w:rFonts w:ascii="宋体" w:eastAsia="宋体" w:hAnsi="宋体" w:cs="宋体"/>
          <w:spacing w:val="62"/>
          <w:w w:val="101"/>
          <w:sz w:val="16"/>
          <w:szCs w:val="16"/>
        </w:rPr>
        <w:t xml:space="preserve"> </w:t>
      </w:r>
      <w:r>
        <w:rPr>
          <w:rFonts w:ascii="宋体" w:eastAsia="宋体" w:hAnsi="宋体" w:cs="宋体"/>
          <w:spacing w:val="-9"/>
          <w:sz w:val="16"/>
          <w:szCs w:val="16"/>
        </w:rPr>
        <w:t>谷维素</w:t>
      </w:r>
    </w:p>
    <w:p w:rsidR="00EA40A3" w:rsidRDefault="00E86C16">
      <w:pPr>
        <w:spacing w:before="62" w:line="252" w:lineRule="exact"/>
        <w:rPr>
          <w:rFonts w:ascii="宋体" w:eastAsia="宋体" w:hAnsi="宋体" w:cs="宋体"/>
          <w:sz w:val="16"/>
          <w:szCs w:val="16"/>
        </w:rPr>
      </w:pPr>
      <w:r>
        <w:rPr>
          <w:rFonts w:ascii="宋体" w:eastAsia="宋体" w:hAnsi="宋体" w:cs="宋体"/>
          <w:spacing w:val="-7"/>
          <w:position w:val="7"/>
          <w:sz w:val="16"/>
          <w:szCs w:val="16"/>
        </w:rPr>
        <w:t>osteogenesis</w:t>
      </w:r>
      <w:r>
        <w:rPr>
          <w:rFonts w:ascii="宋体" w:eastAsia="宋体" w:hAnsi="宋体" w:cs="宋体"/>
          <w:spacing w:val="40"/>
          <w:position w:val="7"/>
          <w:sz w:val="16"/>
          <w:szCs w:val="16"/>
        </w:rPr>
        <w:t xml:space="preserve"> </w:t>
      </w:r>
      <w:r>
        <w:rPr>
          <w:rFonts w:ascii="宋体" w:eastAsia="宋体" w:hAnsi="宋体" w:cs="宋体"/>
          <w:spacing w:val="-7"/>
          <w:position w:val="7"/>
          <w:sz w:val="16"/>
          <w:szCs w:val="16"/>
        </w:rPr>
        <w:t>成骨作用</w:t>
      </w:r>
    </w:p>
    <w:p w:rsidR="00EA40A3" w:rsidRDefault="00E86C16">
      <w:pPr>
        <w:spacing w:line="215" w:lineRule="auto"/>
        <w:rPr>
          <w:rFonts w:ascii="宋体" w:eastAsia="宋体" w:hAnsi="宋体" w:cs="宋体"/>
          <w:sz w:val="16"/>
          <w:szCs w:val="16"/>
        </w:rPr>
      </w:pPr>
      <w:r>
        <w:rPr>
          <w:rFonts w:ascii="宋体" w:eastAsia="宋体" w:hAnsi="宋体" w:cs="宋体"/>
          <w:spacing w:val="-10"/>
          <w:sz w:val="16"/>
          <w:szCs w:val="16"/>
        </w:rPr>
        <w:t>osteolysis</w:t>
      </w:r>
      <w:r>
        <w:rPr>
          <w:rFonts w:ascii="宋体" w:eastAsia="宋体" w:hAnsi="宋体" w:cs="宋体"/>
          <w:spacing w:val="45"/>
          <w:sz w:val="16"/>
          <w:szCs w:val="16"/>
        </w:rPr>
        <w:t xml:space="preserve"> </w:t>
      </w:r>
      <w:r>
        <w:rPr>
          <w:rFonts w:ascii="宋体" w:eastAsia="宋体" w:hAnsi="宋体" w:cs="宋体"/>
          <w:spacing w:val="-10"/>
          <w:sz w:val="16"/>
          <w:szCs w:val="16"/>
        </w:rPr>
        <w:t>溶骨作用</w:t>
      </w:r>
    </w:p>
    <w:p w:rsidR="00EA40A3" w:rsidRDefault="00E86C16">
      <w:pPr>
        <w:spacing w:before="63" w:line="214" w:lineRule="auto"/>
        <w:rPr>
          <w:rFonts w:ascii="宋体" w:eastAsia="宋体" w:hAnsi="宋体" w:cs="宋体"/>
          <w:sz w:val="16"/>
          <w:szCs w:val="16"/>
        </w:rPr>
      </w:pPr>
      <w:r>
        <w:rPr>
          <w:rFonts w:ascii="宋体" w:eastAsia="宋体" w:hAnsi="宋体" w:cs="宋体"/>
          <w:spacing w:val="-8"/>
          <w:sz w:val="16"/>
          <w:szCs w:val="16"/>
        </w:rPr>
        <w:t>osteoporosis</w:t>
      </w:r>
      <w:r>
        <w:rPr>
          <w:rFonts w:ascii="宋体" w:eastAsia="宋体" w:hAnsi="宋体" w:cs="宋体"/>
          <w:spacing w:val="29"/>
          <w:sz w:val="16"/>
          <w:szCs w:val="16"/>
        </w:rPr>
        <w:t xml:space="preserve"> </w:t>
      </w:r>
      <w:r>
        <w:rPr>
          <w:rFonts w:ascii="宋体" w:eastAsia="宋体" w:hAnsi="宋体" w:cs="宋体"/>
          <w:spacing w:val="-8"/>
          <w:sz w:val="16"/>
          <w:szCs w:val="16"/>
        </w:rPr>
        <w:t>骨质疏松症</w:t>
      </w:r>
    </w:p>
    <w:p w:rsidR="00EA40A3" w:rsidRDefault="00E86C16">
      <w:pPr>
        <w:spacing w:before="63" w:line="214" w:lineRule="auto"/>
        <w:rPr>
          <w:rFonts w:ascii="宋体" w:eastAsia="宋体" w:hAnsi="宋体" w:cs="宋体"/>
          <w:sz w:val="16"/>
          <w:szCs w:val="16"/>
        </w:rPr>
      </w:pPr>
      <w:r>
        <w:rPr>
          <w:rFonts w:ascii="宋体" w:eastAsia="宋体" w:hAnsi="宋体" w:cs="宋体"/>
          <w:spacing w:val="-8"/>
          <w:sz w:val="16"/>
          <w:szCs w:val="16"/>
        </w:rPr>
        <w:t>oxidized</w:t>
      </w:r>
      <w:r>
        <w:rPr>
          <w:rFonts w:ascii="宋体" w:eastAsia="宋体" w:hAnsi="宋体" w:cs="宋体"/>
          <w:spacing w:val="-1"/>
          <w:sz w:val="16"/>
          <w:szCs w:val="16"/>
        </w:rPr>
        <w:t xml:space="preserve"> </w:t>
      </w:r>
      <w:r>
        <w:rPr>
          <w:rFonts w:ascii="宋体" w:eastAsia="宋体" w:hAnsi="宋体" w:cs="宋体"/>
          <w:spacing w:val="-8"/>
          <w:sz w:val="16"/>
          <w:szCs w:val="16"/>
        </w:rPr>
        <w:t>glutathione,</w:t>
      </w:r>
      <w:r>
        <w:rPr>
          <w:rFonts w:ascii="宋体" w:eastAsia="宋体" w:hAnsi="宋体" w:cs="宋体"/>
          <w:spacing w:val="23"/>
          <w:w w:val="101"/>
          <w:sz w:val="16"/>
          <w:szCs w:val="16"/>
        </w:rPr>
        <w:t xml:space="preserve">  </w:t>
      </w:r>
      <w:r>
        <w:rPr>
          <w:rFonts w:ascii="宋体" w:eastAsia="宋体" w:hAnsi="宋体" w:cs="宋体"/>
          <w:spacing w:val="-8"/>
          <w:sz w:val="16"/>
          <w:szCs w:val="16"/>
        </w:rPr>
        <w:t>GSSG</w:t>
      </w:r>
      <w:r>
        <w:rPr>
          <w:rFonts w:ascii="宋体" w:eastAsia="宋体" w:hAnsi="宋体" w:cs="宋体"/>
          <w:spacing w:val="37"/>
          <w:sz w:val="16"/>
          <w:szCs w:val="16"/>
        </w:rPr>
        <w:t xml:space="preserve">  </w:t>
      </w:r>
      <w:r>
        <w:rPr>
          <w:rFonts w:ascii="宋体" w:eastAsia="宋体" w:hAnsi="宋体" w:cs="宋体"/>
          <w:spacing w:val="-8"/>
          <w:sz w:val="16"/>
          <w:szCs w:val="16"/>
        </w:rPr>
        <w:t>氧化型谷胱甘肽</w:t>
      </w:r>
    </w:p>
    <w:p w:rsidR="00EA40A3" w:rsidRDefault="00E86C16">
      <w:pPr>
        <w:spacing w:before="66" w:line="250" w:lineRule="exact"/>
        <w:rPr>
          <w:rFonts w:ascii="宋体" w:eastAsia="宋体" w:hAnsi="宋体" w:cs="宋体"/>
          <w:sz w:val="16"/>
          <w:szCs w:val="16"/>
        </w:rPr>
      </w:pPr>
      <w:r>
        <w:rPr>
          <w:rFonts w:ascii="宋体" w:eastAsia="宋体" w:hAnsi="宋体" w:cs="宋体"/>
          <w:spacing w:val="-7"/>
          <w:position w:val="6"/>
          <w:sz w:val="16"/>
          <w:szCs w:val="16"/>
        </w:rPr>
        <w:t>palatinose</w:t>
      </w:r>
      <w:r>
        <w:rPr>
          <w:rFonts w:ascii="宋体" w:eastAsia="宋体" w:hAnsi="宋体" w:cs="宋体"/>
          <w:spacing w:val="62"/>
          <w:position w:val="6"/>
          <w:sz w:val="16"/>
          <w:szCs w:val="16"/>
        </w:rPr>
        <w:t xml:space="preserve"> </w:t>
      </w:r>
      <w:r>
        <w:rPr>
          <w:rFonts w:ascii="宋体" w:eastAsia="宋体" w:hAnsi="宋体" w:cs="宋体"/>
          <w:spacing w:val="-7"/>
          <w:position w:val="6"/>
          <w:sz w:val="16"/>
          <w:szCs w:val="16"/>
        </w:rPr>
        <w:t>异麦芽酮糖，也称帕拉金糖</w:t>
      </w:r>
    </w:p>
    <w:p w:rsidR="00EA40A3" w:rsidRDefault="00E86C16">
      <w:pPr>
        <w:spacing w:line="214" w:lineRule="auto"/>
        <w:rPr>
          <w:rFonts w:ascii="宋体" w:eastAsia="宋体" w:hAnsi="宋体" w:cs="宋体"/>
          <w:sz w:val="16"/>
          <w:szCs w:val="16"/>
        </w:rPr>
      </w:pPr>
      <w:r>
        <w:rPr>
          <w:rFonts w:ascii="宋体" w:eastAsia="宋体" w:hAnsi="宋体" w:cs="宋体"/>
          <w:spacing w:val="-13"/>
          <w:sz w:val="16"/>
          <w:szCs w:val="16"/>
        </w:rPr>
        <w:t>palmitic</w:t>
      </w:r>
      <w:r>
        <w:rPr>
          <w:rFonts w:ascii="宋体" w:eastAsia="宋体" w:hAnsi="宋体" w:cs="宋体"/>
          <w:spacing w:val="3"/>
          <w:sz w:val="16"/>
          <w:szCs w:val="16"/>
        </w:rPr>
        <w:t xml:space="preserve"> </w:t>
      </w:r>
      <w:r>
        <w:rPr>
          <w:rFonts w:ascii="宋体" w:eastAsia="宋体" w:hAnsi="宋体" w:cs="宋体"/>
          <w:spacing w:val="-13"/>
          <w:sz w:val="16"/>
          <w:szCs w:val="16"/>
        </w:rPr>
        <w:t>acid</w:t>
      </w:r>
      <w:r>
        <w:rPr>
          <w:rFonts w:ascii="宋体" w:eastAsia="宋体" w:hAnsi="宋体" w:cs="宋体"/>
          <w:spacing w:val="47"/>
          <w:sz w:val="16"/>
          <w:szCs w:val="16"/>
        </w:rPr>
        <w:t xml:space="preserve"> </w:t>
      </w:r>
      <w:r>
        <w:rPr>
          <w:rFonts w:ascii="宋体" w:eastAsia="宋体" w:hAnsi="宋体" w:cs="宋体"/>
          <w:spacing w:val="-13"/>
          <w:sz w:val="16"/>
          <w:szCs w:val="16"/>
        </w:rPr>
        <w:t>棕榈酸</w:t>
      </w:r>
    </w:p>
    <w:p w:rsidR="00EA40A3" w:rsidRDefault="00E86C16">
      <w:pPr>
        <w:spacing w:line="14" w:lineRule="auto"/>
        <w:rPr>
          <w:sz w:val="2"/>
        </w:rPr>
      </w:pPr>
      <w:r>
        <w:rPr>
          <w:sz w:val="2"/>
          <w:szCs w:val="2"/>
        </w:rPr>
        <w:br w:type="column"/>
      </w:r>
    </w:p>
    <w:p w:rsidR="00EA40A3" w:rsidRDefault="00E86C16">
      <w:pPr>
        <w:spacing w:before="36" w:line="214" w:lineRule="auto"/>
        <w:rPr>
          <w:rFonts w:ascii="宋体" w:eastAsia="宋体" w:hAnsi="宋体" w:cs="宋体"/>
          <w:sz w:val="16"/>
          <w:szCs w:val="16"/>
        </w:rPr>
      </w:pPr>
      <w:r>
        <w:rPr>
          <w:rFonts w:ascii="宋体" w:eastAsia="宋体" w:hAnsi="宋体" w:cs="宋体"/>
          <w:spacing w:val="-12"/>
          <w:sz w:val="16"/>
          <w:szCs w:val="16"/>
        </w:rPr>
        <w:t>palmitoleic</w:t>
      </w:r>
      <w:r>
        <w:rPr>
          <w:rFonts w:ascii="宋体" w:eastAsia="宋体" w:hAnsi="宋体" w:cs="宋体"/>
          <w:spacing w:val="-3"/>
          <w:sz w:val="16"/>
          <w:szCs w:val="16"/>
        </w:rPr>
        <w:t xml:space="preserve"> </w:t>
      </w:r>
      <w:r>
        <w:rPr>
          <w:rFonts w:ascii="宋体" w:eastAsia="宋体" w:hAnsi="宋体" w:cs="宋体"/>
          <w:spacing w:val="-12"/>
          <w:sz w:val="16"/>
          <w:szCs w:val="16"/>
        </w:rPr>
        <w:t>acid</w:t>
      </w:r>
      <w:r>
        <w:rPr>
          <w:rFonts w:ascii="宋体" w:eastAsia="宋体" w:hAnsi="宋体" w:cs="宋体"/>
          <w:spacing w:val="46"/>
          <w:w w:val="101"/>
          <w:sz w:val="16"/>
          <w:szCs w:val="16"/>
        </w:rPr>
        <w:t xml:space="preserve"> </w:t>
      </w:r>
      <w:r>
        <w:rPr>
          <w:rFonts w:ascii="宋体" w:eastAsia="宋体" w:hAnsi="宋体" w:cs="宋体"/>
          <w:spacing w:val="-12"/>
          <w:sz w:val="16"/>
          <w:szCs w:val="16"/>
        </w:rPr>
        <w:t>棕榈油酸</w:t>
      </w:r>
    </w:p>
    <w:p w:rsidR="00EA40A3" w:rsidRDefault="00E86C16">
      <w:pPr>
        <w:spacing w:before="63" w:line="251" w:lineRule="exact"/>
        <w:rPr>
          <w:rFonts w:ascii="宋体" w:eastAsia="宋体" w:hAnsi="宋体" w:cs="宋体"/>
          <w:sz w:val="16"/>
          <w:szCs w:val="16"/>
        </w:rPr>
      </w:pPr>
      <w:r>
        <w:rPr>
          <w:rFonts w:ascii="宋体" w:eastAsia="宋体" w:hAnsi="宋体" w:cs="宋体"/>
          <w:spacing w:val="-6"/>
          <w:position w:val="7"/>
          <w:sz w:val="16"/>
          <w:szCs w:val="16"/>
        </w:rPr>
        <w:t>pangamic</w:t>
      </w:r>
      <w:r>
        <w:rPr>
          <w:rFonts w:ascii="宋体" w:eastAsia="宋体" w:hAnsi="宋体" w:cs="宋体"/>
          <w:spacing w:val="9"/>
          <w:position w:val="7"/>
          <w:sz w:val="16"/>
          <w:szCs w:val="16"/>
        </w:rPr>
        <w:t xml:space="preserve"> </w:t>
      </w:r>
      <w:r>
        <w:rPr>
          <w:rFonts w:ascii="宋体" w:eastAsia="宋体" w:hAnsi="宋体" w:cs="宋体"/>
          <w:spacing w:val="-6"/>
          <w:position w:val="7"/>
          <w:sz w:val="16"/>
          <w:szCs w:val="16"/>
        </w:rPr>
        <w:t>acid</w:t>
      </w:r>
      <w:r>
        <w:rPr>
          <w:rFonts w:ascii="宋体" w:eastAsia="宋体" w:hAnsi="宋体" w:cs="宋体"/>
          <w:spacing w:val="46"/>
          <w:position w:val="7"/>
          <w:sz w:val="16"/>
          <w:szCs w:val="16"/>
        </w:rPr>
        <w:t xml:space="preserve"> </w:t>
      </w:r>
      <w:r>
        <w:rPr>
          <w:rFonts w:ascii="宋体" w:eastAsia="宋体" w:hAnsi="宋体" w:cs="宋体"/>
          <w:spacing w:val="-6"/>
          <w:position w:val="7"/>
          <w:sz w:val="16"/>
          <w:szCs w:val="16"/>
        </w:rPr>
        <w:t>潘氨酸，也称泛配子酸</w:t>
      </w:r>
    </w:p>
    <w:p w:rsidR="00EA40A3" w:rsidRDefault="00E86C16">
      <w:pPr>
        <w:spacing w:line="214" w:lineRule="auto"/>
        <w:rPr>
          <w:rFonts w:ascii="宋体" w:eastAsia="宋体" w:hAnsi="宋体" w:cs="宋体"/>
          <w:sz w:val="16"/>
          <w:szCs w:val="16"/>
        </w:rPr>
      </w:pPr>
      <w:r>
        <w:rPr>
          <w:rFonts w:ascii="宋体" w:eastAsia="宋体" w:hAnsi="宋体" w:cs="宋体"/>
          <w:spacing w:val="-12"/>
          <w:sz w:val="16"/>
          <w:szCs w:val="16"/>
        </w:rPr>
        <w:t>pantothenic</w:t>
      </w:r>
      <w:r>
        <w:rPr>
          <w:rFonts w:ascii="宋体" w:eastAsia="宋体" w:hAnsi="宋体" w:cs="宋体"/>
          <w:spacing w:val="-7"/>
          <w:sz w:val="16"/>
          <w:szCs w:val="16"/>
        </w:rPr>
        <w:t xml:space="preserve"> </w:t>
      </w:r>
      <w:r>
        <w:rPr>
          <w:rFonts w:ascii="宋体" w:eastAsia="宋体" w:hAnsi="宋体" w:cs="宋体"/>
          <w:spacing w:val="-12"/>
          <w:sz w:val="16"/>
          <w:szCs w:val="16"/>
        </w:rPr>
        <w:t>acid</w:t>
      </w:r>
      <w:r>
        <w:rPr>
          <w:rFonts w:ascii="宋体" w:eastAsia="宋体" w:hAnsi="宋体" w:cs="宋体"/>
          <w:spacing w:val="56"/>
          <w:w w:val="101"/>
          <w:sz w:val="16"/>
          <w:szCs w:val="16"/>
        </w:rPr>
        <w:t xml:space="preserve"> </w:t>
      </w:r>
      <w:r>
        <w:rPr>
          <w:rFonts w:ascii="宋体" w:eastAsia="宋体" w:hAnsi="宋体" w:cs="宋体"/>
          <w:spacing w:val="-12"/>
          <w:sz w:val="16"/>
          <w:szCs w:val="16"/>
        </w:rPr>
        <w:t>泛酸</w:t>
      </w:r>
    </w:p>
    <w:p w:rsidR="00EA40A3" w:rsidRDefault="00E86C16">
      <w:pPr>
        <w:spacing w:before="64" w:line="214" w:lineRule="auto"/>
        <w:rPr>
          <w:rFonts w:ascii="宋体" w:eastAsia="宋体" w:hAnsi="宋体" w:cs="宋体"/>
          <w:sz w:val="16"/>
          <w:szCs w:val="16"/>
        </w:rPr>
      </w:pPr>
      <w:r>
        <w:rPr>
          <w:rFonts w:ascii="宋体" w:eastAsia="宋体" w:hAnsi="宋体" w:cs="宋体"/>
          <w:spacing w:val="-1"/>
          <w:sz w:val="16"/>
          <w:szCs w:val="16"/>
        </w:rPr>
        <w:t>paraoxonase,PON</w:t>
      </w:r>
      <w:r>
        <w:rPr>
          <w:rFonts w:ascii="宋体" w:eastAsia="宋体" w:hAnsi="宋体" w:cs="宋体"/>
          <w:spacing w:val="8"/>
          <w:sz w:val="16"/>
          <w:szCs w:val="16"/>
        </w:rPr>
        <w:t xml:space="preserve">   </w:t>
      </w:r>
      <w:r>
        <w:rPr>
          <w:rFonts w:ascii="宋体" w:eastAsia="宋体" w:hAnsi="宋体" w:cs="宋体"/>
          <w:spacing w:val="-1"/>
          <w:sz w:val="16"/>
          <w:szCs w:val="16"/>
        </w:rPr>
        <w:t>对氧磷脂酶</w:t>
      </w:r>
    </w:p>
    <w:p w:rsidR="00EA40A3" w:rsidRDefault="00E86C16">
      <w:pPr>
        <w:spacing w:before="64" w:line="214" w:lineRule="auto"/>
        <w:rPr>
          <w:rFonts w:ascii="宋体" w:eastAsia="宋体" w:hAnsi="宋体" w:cs="宋体"/>
          <w:sz w:val="16"/>
          <w:szCs w:val="16"/>
        </w:rPr>
      </w:pPr>
      <w:r>
        <w:rPr>
          <w:rFonts w:ascii="宋体" w:eastAsia="宋体" w:hAnsi="宋体" w:cs="宋体"/>
          <w:spacing w:val="-3"/>
          <w:sz w:val="16"/>
          <w:szCs w:val="16"/>
        </w:rPr>
        <w:t>parathormone,PTH</w:t>
      </w:r>
      <w:r>
        <w:rPr>
          <w:rFonts w:ascii="宋体" w:eastAsia="宋体" w:hAnsi="宋体" w:cs="宋体"/>
          <w:spacing w:val="23"/>
          <w:sz w:val="16"/>
          <w:szCs w:val="16"/>
        </w:rPr>
        <w:t xml:space="preserve">   </w:t>
      </w:r>
      <w:r>
        <w:rPr>
          <w:rFonts w:ascii="宋体" w:eastAsia="宋体" w:hAnsi="宋体" w:cs="宋体"/>
          <w:spacing w:val="-3"/>
          <w:sz w:val="16"/>
          <w:szCs w:val="16"/>
        </w:rPr>
        <w:t>甲状旁腺激素</w:t>
      </w:r>
    </w:p>
    <w:p w:rsidR="00EA40A3" w:rsidRDefault="00E86C16">
      <w:pPr>
        <w:spacing w:before="64" w:line="251" w:lineRule="auto"/>
        <w:ind w:right="313" w:firstLine="10"/>
        <w:rPr>
          <w:rFonts w:ascii="宋体" w:eastAsia="宋体" w:hAnsi="宋体" w:cs="宋体"/>
          <w:sz w:val="16"/>
          <w:szCs w:val="16"/>
        </w:rPr>
      </w:pPr>
      <w:r>
        <w:rPr>
          <w:rFonts w:ascii="宋体" w:eastAsia="宋体" w:hAnsi="宋体" w:cs="宋体"/>
          <w:spacing w:val="-1"/>
          <w:sz w:val="16"/>
          <w:szCs w:val="16"/>
        </w:rPr>
        <w:t>para-aminobenzoic</w:t>
      </w:r>
      <w:r>
        <w:rPr>
          <w:rFonts w:ascii="宋体" w:eastAsia="宋体" w:hAnsi="宋体" w:cs="宋体"/>
          <w:spacing w:val="5"/>
          <w:sz w:val="16"/>
          <w:szCs w:val="16"/>
        </w:rPr>
        <w:t xml:space="preserve"> </w:t>
      </w:r>
      <w:r>
        <w:rPr>
          <w:rFonts w:ascii="宋体" w:eastAsia="宋体" w:hAnsi="宋体" w:cs="宋体"/>
          <w:spacing w:val="-1"/>
          <w:sz w:val="16"/>
          <w:szCs w:val="16"/>
        </w:rPr>
        <w:t>acid</w:t>
      </w:r>
      <w:r>
        <w:rPr>
          <w:rFonts w:ascii="宋体" w:eastAsia="宋体" w:hAnsi="宋体" w:cs="宋体"/>
          <w:spacing w:val="-2"/>
          <w:sz w:val="16"/>
          <w:szCs w:val="16"/>
        </w:rPr>
        <w:t>,</w:t>
      </w:r>
      <w:r>
        <w:rPr>
          <w:rFonts w:ascii="宋体" w:eastAsia="宋体" w:hAnsi="宋体" w:cs="宋体"/>
          <w:spacing w:val="-1"/>
          <w:sz w:val="16"/>
          <w:szCs w:val="16"/>
        </w:rPr>
        <w:t>PABA</w:t>
      </w:r>
      <w:r>
        <w:rPr>
          <w:rFonts w:ascii="宋体" w:eastAsia="宋体" w:hAnsi="宋体" w:cs="宋体"/>
          <w:spacing w:val="57"/>
          <w:sz w:val="16"/>
          <w:szCs w:val="16"/>
        </w:rPr>
        <w:t xml:space="preserve"> </w:t>
      </w:r>
      <w:r>
        <w:rPr>
          <w:rFonts w:ascii="宋体" w:eastAsia="宋体" w:hAnsi="宋体" w:cs="宋体"/>
          <w:spacing w:val="-2"/>
          <w:sz w:val="16"/>
          <w:szCs w:val="16"/>
        </w:rPr>
        <w:t>对氨基苯甲酸</w:t>
      </w:r>
      <w:r>
        <w:rPr>
          <w:rFonts w:ascii="宋体" w:eastAsia="宋体" w:hAnsi="宋体" w:cs="宋体"/>
          <w:sz w:val="16"/>
          <w:szCs w:val="16"/>
        </w:rPr>
        <w:t xml:space="preserve"> </w:t>
      </w:r>
      <w:r>
        <w:rPr>
          <w:rFonts w:ascii="宋体" w:eastAsia="宋体" w:hAnsi="宋体" w:cs="宋体"/>
          <w:spacing w:val="-12"/>
          <w:sz w:val="16"/>
          <w:szCs w:val="16"/>
        </w:rPr>
        <w:t>pellagra</w:t>
      </w:r>
      <w:r>
        <w:rPr>
          <w:rFonts w:ascii="宋体" w:eastAsia="宋体" w:hAnsi="宋体" w:cs="宋体"/>
          <w:spacing w:val="57"/>
          <w:sz w:val="16"/>
          <w:szCs w:val="16"/>
        </w:rPr>
        <w:t xml:space="preserve"> </w:t>
      </w:r>
      <w:r>
        <w:rPr>
          <w:rFonts w:ascii="宋体" w:eastAsia="宋体" w:hAnsi="宋体" w:cs="宋体"/>
          <w:spacing w:val="-12"/>
          <w:sz w:val="16"/>
          <w:szCs w:val="16"/>
        </w:rPr>
        <w:t>癞皮病</w:t>
      </w:r>
    </w:p>
    <w:p w:rsidR="00EA40A3" w:rsidRDefault="00E86C16">
      <w:pPr>
        <w:spacing w:before="126" w:line="19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peroxisome</w:t>
      </w:r>
      <w:r>
        <w:rPr>
          <w:rFonts w:ascii="Times New Roman" w:eastAsia="Times New Roman" w:hAnsi="Times New Roman" w:cs="Times New Roman"/>
          <w:spacing w:val="2"/>
          <w:sz w:val="16"/>
          <w:szCs w:val="16"/>
        </w:rPr>
        <w:t xml:space="preserve">   </w:t>
      </w:r>
      <w:r>
        <w:rPr>
          <w:rFonts w:ascii="Times New Roman" w:eastAsia="Times New Roman" w:hAnsi="Times New Roman" w:cs="Times New Roman"/>
          <w:sz w:val="16"/>
          <w:szCs w:val="16"/>
        </w:rPr>
        <w:t>proliferator</w:t>
      </w:r>
      <w:r>
        <w:rPr>
          <w:rFonts w:ascii="Times New Roman" w:eastAsia="Times New Roman" w:hAnsi="Times New Roman" w:cs="Times New Roman"/>
          <w:spacing w:val="4"/>
          <w:sz w:val="16"/>
          <w:szCs w:val="16"/>
        </w:rPr>
        <w:t xml:space="preserve">   </w:t>
      </w:r>
      <w:r>
        <w:rPr>
          <w:rFonts w:ascii="Times New Roman" w:eastAsia="Times New Roman" w:hAnsi="Times New Roman" w:cs="Times New Roman"/>
          <w:sz w:val="16"/>
          <w:szCs w:val="16"/>
        </w:rPr>
        <w:t>activated</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z w:val="16"/>
          <w:szCs w:val="16"/>
        </w:rPr>
        <w:t>recept</w:t>
      </w:r>
      <w:r>
        <w:rPr>
          <w:rFonts w:ascii="Times New Roman" w:eastAsia="Times New Roman" w:hAnsi="Times New Roman" w:cs="Times New Roman"/>
          <w:spacing w:val="-1"/>
          <w:sz w:val="16"/>
          <w:szCs w:val="16"/>
        </w:rPr>
        <w:t>or,PPAR</w:t>
      </w:r>
    </w:p>
    <w:p w:rsidR="00EA40A3" w:rsidRDefault="00E86C16">
      <w:pPr>
        <w:spacing w:before="106" w:line="236" w:lineRule="exact"/>
        <w:rPr>
          <w:rFonts w:ascii="宋体" w:eastAsia="宋体" w:hAnsi="宋体" w:cs="宋体"/>
          <w:sz w:val="16"/>
          <w:szCs w:val="16"/>
        </w:rPr>
      </w:pPr>
      <w:r>
        <w:rPr>
          <w:rFonts w:ascii="宋体" w:eastAsia="宋体" w:hAnsi="宋体" w:cs="宋体"/>
          <w:spacing w:val="-5"/>
          <w:position w:val="5"/>
          <w:sz w:val="16"/>
          <w:szCs w:val="16"/>
        </w:rPr>
        <w:t>过氧化物酶体增生物激活受体</w:t>
      </w:r>
    </w:p>
    <w:p w:rsidR="00EA40A3" w:rsidRDefault="00E86C16">
      <w:pPr>
        <w:spacing w:line="214" w:lineRule="auto"/>
        <w:rPr>
          <w:rFonts w:ascii="宋体" w:eastAsia="宋体" w:hAnsi="宋体" w:cs="宋体"/>
          <w:sz w:val="16"/>
          <w:szCs w:val="16"/>
        </w:rPr>
      </w:pPr>
      <w:r>
        <w:rPr>
          <w:rFonts w:ascii="宋体" w:eastAsia="宋体" w:hAnsi="宋体" w:cs="宋体"/>
          <w:spacing w:val="-1"/>
          <w:sz w:val="16"/>
          <w:szCs w:val="16"/>
        </w:rPr>
        <w:t>pharynx</w:t>
      </w:r>
      <w:r>
        <w:rPr>
          <w:rFonts w:ascii="宋体" w:eastAsia="宋体" w:hAnsi="宋体" w:cs="宋体"/>
          <w:spacing w:val="37"/>
          <w:sz w:val="16"/>
          <w:szCs w:val="16"/>
        </w:rPr>
        <w:t xml:space="preserve"> </w:t>
      </w:r>
      <w:r>
        <w:rPr>
          <w:rFonts w:ascii="宋体" w:eastAsia="宋体" w:hAnsi="宋体" w:cs="宋体"/>
          <w:spacing w:val="-1"/>
          <w:sz w:val="16"/>
          <w:szCs w:val="16"/>
        </w:rPr>
        <w:t>咽</w:t>
      </w:r>
    </w:p>
    <w:p w:rsidR="00EA40A3" w:rsidRDefault="00E86C16">
      <w:pPr>
        <w:spacing w:before="75" w:line="214" w:lineRule="auto"/>
        <w:rPr>
          <w:rFonts w:ascii="宋体" w:eastAsia="宋体" w:hAnsi="宋体" w:cs="宋体"/>
          <w:sz w:val="16"/>
          <w:szCs w:val="16"/>
        </w:rPr>
      </w:pPr>
      <w:r>
        <w:rPr>
          <w:rFonts w:ascii="宋体" w:eastAsia="宋体" w:hAnsi="宋体" w:cs="宋体"/>
          <w:spacing w:val="-1"/>
          <w:sz w:val="16"/>
          <w:szCs w:val="16"/>
        </w:rPr>
        <w:t>phenylalanine,Phe</w:t>
      </w:r>
      <w:r>
        <w:rPr>
          <w:rFonts w:ascii="宋体" w:eastAsia="宋体" w:hAnsi="宋体" w:cs="宋体"/>
          <w:spacing w:val="43"/>
          <w:w w:val="101"/>
          <w:sz w:val="16"/>
          <w:szCs w:val="16"/>
        </w:rPr>
        <w:t xml:space="preserve"> </w:t>
      </w:r>
      <w:r>
        <w:rPr>
          <w:rFonts w:ascii="宋体" w:eastAsia="宋体" w:hAnsi="宋体" w:cs="宋体"/>
          <w:spacing w:val="-1"/>
          <w:sz w:val="16"/>
          <w:szCs w:val="16"/>
        </w:rPr>
        <w:t>苯丙氨酸</w:t>
      </w:r>
    </w:p>
    <w:p w:rsidR="00EA40A3" w:rsidRDefault="00E86C16">
      <w:pPr>
        <w:spacing w:before="74" w:line="214" w:lineRule="auto"/>
        <w:rPr>
          <w:rFonts w:ascii="宋体" w:eastAsia="宋体" w:hAnsi="宋体" w:cs="宋体"/>
          <w:sz w:val="16"/>
          <w:szCs w:val="16"/>
        </w:rPr>
      </w:pPr>
      <w:r>
        <w:rPr>
          <w:rFonts w:ascii="宋体" w:eastAsia="宋体" w:hAnsi="宋体" w:cs="宋体"/>
          <w:sz w:val="16"/>
          <w:szCs w:val="16"/>
        </w:rPr>
        <w:t>phosphoenopyruvate</w:t>
      </w:r>
      <w:r>
        <w:rPr>
          <w:rFonts w:ascii="宋体" w:eastAsia="宋体" w:hAnsi="宋体" w:cs="宋体"/>
          <w:spacing w:val="9"/>
          <w:sz w:val="16"/>
          <w:szCs w:val="16"/>
        </w:rPr>
        <w:t xml:space="preserve"> </w:t>
      </w:r>
      <w:r>
        <w:rPr>
          <w:rFonts w:ascii="宋体" w:eastAsia="宋体" w:hAnsi="宋体" w:cs="宋体"/>
          <w:sz w:val="16"/>
          <w:szCs w:val="16"/>
        </w:rPr>
        <w:t>carb</w:t>
      </w:r>
      <w:r>
        <w:rPr>
          <w:rFonts w:ascii="宋体" w:eastAsia="宋体" w:hAnsi="宋体" w:cs="宋体"/>
          <w:spacing w:val="-1"/>
          <w:sz w:val="16"/>
          <w:szCs w:val="16"/>
        </w:rPr>
        <w:t>oxykinase,PEPCK</w:t>
      </w:r>
      <w:r>
        <w:rPr>
          <w:rFonts w:ascii="宋体" w:eastAsia="宋体" w:hAnsi="宋体" w:cs="宋体"/>
          <w:spacing w:val="12"/>
          <w:sz w:val="16"/>
          <w:szCs w:val="16"/>
        </w:rPr>
        <w:t xml:space="preserve">  </w:t>
      </w:r>
      <w:r>
        <w:rPr>
          <w:rFonts w:ascii="宋体" w:eastAsia="宋体" w:hAnsi="宋体" w:cs="宋体"/>
          <w:spacing w:val="-1"/>
          <w:sz w:val="16"/>
          <w:szCs w:val="16"/>
        </w:rPr>
        <w:t>磷酸</w:t>
      </w:r>
    </w:p>
    <w:p w:rsidR="00EA40A3" w:rsidRDefault="00E86C16">
      <w:pPr>
        <w:spacing w:before="79" w:line="246" w:lineRule="exact"/>
        <w:rPr>
          <w:rFonts w:ascii="宋体" w:eastAsia="宋体" w:hAnsi="宋体" w:cs="宋体"/>
          <w:sz w:val="16"/>
          <w:szCs w:val="16"/>
        </w:rPr>
      </w:pPr>
      <w:r>
        <w:rPr>
          <w:rFonts w:ascii="宋体" w:eastAsia="宋体" w:hAnsi="宋体" w:cs="宋体"/>
          <w:spacing w:val="-5"/>
          <w:position w:val="6"/>
          <w:sz w:val="16"/>
          <w:szCs w:val="16"/>
        </w:rPr>
        <w:t>烯醇式丙酮酸羧激酶</w:t>
      </w:r>
    </w:p>
    <w:p w:rsidR="00EA40A3" w:rsidRDefault="00E86C16">
      <w:pPr>
        <w:spacing w:line="214" w:lineRule="auto"/>
        <w:rPr>
          <w:rFonts w:ascii="宋体" w:eastAsia="宋体" w:hAnsi="宋体" w:cs="宋体"/>
          <w:sz w:val="16"/>
          <w:szCs w:val="16"/>
        </w:rPr>
      </w:pPr>
      <w:r>
        <w:rPr>
          <w:rFonts w:ascii="宋体" w:eastAsia="宋体" w:hAnsi="宋体" w:cs="宋体"/>
          <w:spacing w:val="-10"/>
          <w:sz w:val="16"/>
          <w:szCs w:val="16"/>
        </w:rPr>
        <w:t>phospholipid</w:t>
      </w:r>
      <w:r>
        <w:rPr>
          <w:rFonts w:ascii="宋体" w:eastAsia="宋体" w:hAnsi="宋体" w:cs="宋体"/>
          <w:spacing w:val="65"/>
          <w:w w:val="101"/>
          <w:sz w:val="16"/>
          <w:szCs w:val="16"/>
        </w:rPr>
        <w:t xml:space="preserve"> </w:t>
      </w:r>
      <w:r>
        <w:rPr>
          <w:rFonts w:ascii="宋体" w:eastAsia="宋体" w:hAnsi="宋体" w:cs="宋体"/>
          <w:spacing w:val="-10"/>
          <w:sz w:val="16"/>
          <w:szCs w:val="16"/>
        </w:rPr>
        <w:t>磷脂</w:t>
      </w:r>
    </w:p>
    <w:p w:rsidR="00EA40A3" w:rsidRDefault="00E86C16">
      <w:pPr>
        <w:spacing w:before="64" w:line="214" w:lineRule="auto"/>
        <w:rPr>
          <w:rFonts w:ascii="宋体" w:eastAsia="宋体" w:hAnsi="宋体" w:cs="宋体"/>
          <w:sz w:val="16"/>
          <w:szCs w:val="16"/>
        </w:rPr>
      </w:pPr>
      <w:r>
        <w:rPr>
          <w:rFonts w:ascii="宋体" w:eastAsia="宋体" w:hAnsi="宋体" w:cs="宋体"/>
          <w:spacing w:val="-3"/>
          <w:sz w:val="16"/>
          <w:szCs w:val="16"/>
        </w:rPr>
        <w:t>phosphorus</w:t>
      </w:r>
      <w:r>
        <w:rPr>
          <w:rFonts w:ascii="宋体" w:eastAsia="宋体" w:hAnsi="宋体" w:cs="宋体"/>
          <w:spacing w:val="42"/>
          <w:sz w:val="16"/>
          <w:szCs w:val="16"/>
        </w:rPr>
        <w:t xml:space="preserve"> </w:t>
      </w:r>
      <w:r>
        <w:rPr>
          <w:rFonts w:ascii="宋体" w:eastAsia="宋体" w:hAnsi="宋体" w:cs="宋体"/>
          <w:spacing w:val="-3"/>
          <w:sz w:val="16"/>
          <w:szCs w:val="16"/>
        </w:rPr>
        <w:t>磷</w:t>
      </w:r>
    </w:p>
    <w:p w:rsidR="00EA40A3" w:rsidRDefault="00E86C16">
      <w:pPr>
        <w:spacing w:before="65" w:line="251" w:lineRule="auto"/>
        <w:ind w:right="544"/>
        <w:rPr>
          <w:rFonts w:ascii="宋体" w:eastAsia="宋体" w:hAnsi="宋体" w:cs="宋体"/>
          <w:sz w:val="16"/>
          <w:szCs w:val="16"/>
        </w:rPr>
      </w:pPr>
      <w:r>
        <w:rPr>
          <w:rFonts w:ascii="宋体" w:eastAsia="宋体" w:hAnsi="宋体" w:cs="宋体"/>
          <w:spacing w:val="-8"/>
          <w:sz w:val="16"/>
          <w:szCs w:val="16"/>
        </w:rPr>
        <w:t>physical</w:t>
      </w:r>
      <w:r>
        <w:rPr>
          <w:rFonts w:ascii="宋体" w:eastAsia="宋体" w:hAnsi="宋体" w:cs="宋体"/>
          <w:spacing w:val="-1"/>
          <w:sz w:val="16"/>
          <w:szCs w:val="16"/>
        </w:rPr>
        <w:t xml:space="preserve"> </w:t>
      </w:r>
      <w:r>
        <w:rPr>
          <w:rFonts w:ascii="宋体" w:eastAsia="宋体" w:hAnsi="宋体" w:cs="宋体"/>
          <w:spacing w:val="-8"/>
          <w:sz w:val="16"/>
          <w:szCs w:val="16"/>
        </w:rPr>
        <w:t>activity</w:t>
      </w:r>
      <w:r>
        <w:rPr>
          <w:rFonts w:ascii="宋体" w:eastAsia="宋体" w:hAnsi="宋体" w:cs="宋体"/>
          <w:spacing w:val="6"/>
          <w:sz w:val="16"/>
          <w:szCs w:val="16"/>
        </w:rPr>
        <w:t xml:space="preserve"> </w:t>
      </w:r>
      <w:r>
        <w:rPr>
          <w:rFonts w:ascii="宋体" w:eastAsia="宋体" w:hAnsi="宋体" w:cs="宋体"/>
          <w:spacing w:val="-8"/>
          <w:sz w:val="16"/>
          <w:szCs w:val="16"/>
        </w:rPr>
        <w:t>level,PAL</w:t>
      </w:r>
      <w:r>
        <w:rPr>
          <w:rFonts w:ascii="宋体" w:eastAsia="宋体" w:hAnsi="宋体" w:cs="宋体"/>
          <w:spacing w:val="45"/>
          <w:w w:val="101"/>
          <w:sz w:val="16"/>
          <w:szCs w:val="16"/>
        </w:rPr>
        <w:t xml:space="preserve"> </w:t>
      </w:r>
      <w:r>
        <w:rPr>
          <w:rFonts w:ascii="宋体" w:eastAsia="宋体" w:hAnsi="宋体" w:cs="宋体"/>
          <w:spacing w:val="-8"/>
          <w:sz w:val="16"/>
          <w:szCs w:val="16"/>
        </w:rPr>
        <w:t>体力活动水平</w:t>
      </w:r>
      <w:r>
        <w:rPr>
          <w:rFonts w:ascii="宋体" w:eastAsia="宋体" w:hAnsi="宋体" w:cs="宋体"/>
          <w:sz w:val="16"/>
          <w:szCs w:val="16"/>
        </w:rPr>
        <w:t xml:space="preserve"> </w:t>
      </w:r>
      <w:r>
        <w:rPr>
          <w:rFonts w:ascii="宋体" w:eastAsia="宋体" w:hAnsi="宋体" w:cs="宋体"/>
          <w:spacing w:val="-11"/>
          <w:sz w:val="16"/>
          <w:szCs w:val="16"/>
        </w:rPr>
        <w:t>phytochernical</w:t>
      </w:r>
      <w:r>
        <w:rPr>
          <w:rFonts w:ascii="宋体" w:eastAsia="宋体" w:hAnsi="宋体" w:cs="宋体"/>
          <w:spacing w:val="62"/>
          <w:sz w:val="16"/>
          <w:szCs w:val="16"/>
        </w:rPr>
        <w:t xml:space="preserve"> </w:t>
      </w:r>
      <w:r>
        <w:rPr>
          <w:rFonts w:ascii="宋体" w:eastAsia="宋体" w:hAnsi="宋体" w:cs="宋体"/>
          <w:spacing w:val="-11"/>
          <w:sz w:val="16"/>
          <w:szCs w:val="16"/>
        </w:rPr>
        <w:t>植物化学物</w:t>
      </w:r>
    </w:p>
    <w:p w:rsidR="00EA40A3" w:rsidRDefault="00E86C16">
      <w:pPr>
        <w:spacing w:before="65" w:line="214" w:lineRule="auto"/>
        <w:rPr>
          <w:rFonts w:ascii="宋体" w:eastAsia="宋体" w:hAnsi="宋体" w:cs="宋体"/>
          <w:sz w:val="16"/>
          <w:szCs w:val="16"/>
        </w:rPr>
      </w:pPr>
      <w:r>
        <w:rPr>
          <w:rFonts w:ascii="宋体" w:eastAsia="宋体" w:hAnsi="宋体" w:cs="宋体"/>
          <w:spacing w:val="-6"/>
          <w:sz w:val="16"/>
          <w:szCs w:val="16"/>
        </w:rPr>
        <w:t>phytostanol</w:t>
      </w:r>
      <w:r>
        <w:rPr>
          <w:rFonts w:ascii="宋体" w:eastAsia="宋体" w:hAnsi="宋体" w:cs="宋体"/>
          <w:spacing w:val="49"/>
          <w:sz w:val="16"/>
          <w:szCs w:val="16"/>
        </w:rPr>
        <w:t xml:space="preserve"> </w:t>
      </w:r>
      <w:r>
        <w:rPr>
          <w:rFonts w:ascii="宋体" w:eastAsia="宋体" w:hAnsi="宋体" w:cs="宋体"/>
          <w:spacing w:val="-6"/>
          <w:sz w:val="16"/>
          <w:szCs w:val="16"/>
        </w:rPr>
        <w:t>植物甾烷醇</w:t>
      </w:r>
    </w:p>
    <w:p w:rsidR="00EA40A3" w:rsidRDefault="00E86C16">
      <w:pPr>
        <w:spacing w:before="64" w:line="250" w:lineRule="exact"/>
        <w:rPr>
          <w:rFonts w:ascii="宋体" w:eastAsia="宋体" w:hAnsi="宋体" w:cs="宋体"/>
          <w:sz w:val="16"/>
          <w:szCs w:val="16"/>
        </w:rPr>
      </w:pPr>
      <w:r>
        <w:rPr>
          <w:rFonts w:ascii="宋体" w:eastAsia="宋体" w:hAnsi="宋体" w:cs="宋体"/>
          <w:spacing w:val="-10"/>
          <w:position w:val="6"/>
          <w:sz w:val="16"/>
          <w:szCs w:val="16"/>
        </w:rPr>
        <w:t>placental</w:t>
      </w:r>
      <w:r>
        <w:rPr>
          <w:rFonts w:ascii="宋体" w:eastAsia="宋体" w:hAnsi="宋体" w:cs="宋体"/>
          <w:spacing w:val="-5"/>
          <w:position w:val="6"/>
          <w:sz w:val="16"/>
          <w:szCs w:val="16"/>
        </w:rPr>
        <w:t xml:space="preserve"> </w:t>
      </w:r>
      <w:r>
        <w:rPr>
          <w:rFonts w:ascii="宋体" w:eastAsia="宋体" w:hAnsi="宋体" w:cs="宋体"/>
          <w:spacing w:val="-10"/>
          <w:position w:val="6"/>
          <w:sz w:val="16"/>
          <w:szCs w:val="16"/>
        </w:rPr>
        <w:t>abruption</w:t>
      </w:r>
      <w:r>
        <w:rPr>
          <w:rFonts w:ascii="宋体" w:eastAsia="宋体" w:hAnsi="宋体" w:cs="宋体"/>
          <w:spacing w:val="35"/>
          <w:w w:val="101"/>
          <w:position w:val="6"/>
          <w:sz w:val="16"/>
          <w:szCs w:val="16"/>
        </w:rPr>
        <w:t xml:space="preserve"> </w:t>
      </w:r>
      <w:r>
        <w:rPr>
          <w:rFonts w:ascii="宋体" w:eastAsia="宋体" w:hAnsi="宋体" w:cs="宋体"/>
          <w:spacing w:val="-10"/>
          <w:position w:val="6"/>
          <w:sz w:val="16"/>
          <w:szCs w:val="16"/>
        </w:rPr>
        <w:t>胎盘早剥</w:t>
      </w:r>
    </w:p>
    <w:p w:rsidR="00EA40A3" w:rsidRDefault="00E86C16">
      <w:pPr>
        <w:spacing w:line="214" w:lineRule="auto"/>
        <w:rPr>
          <w:rFonts w:ascii="宋体" w:eastAsia="宋体" w:hAnsi="宋体" w:cs="宋体"/>
          <w:sz w:val="16"/>
          <w:szCs w:val="16"/>
        </w:rPr>
      </w:pPr>
      <w:r>
        <w:rPr>
          <w:rFonts w:ascii="宋体" w:eastAsia="宋体" w:hAnsi="宋体" w:cs="宋体"/>
          <w:spacing w:val="-6"/>
          <w:sz w:val="16"/>
          <w:szCs w:val="16"/>
        </w:rPr>
        <w:t>polyphenol</w:t>
      </w:r>
      <w:r>
        <w:rPr>
          <w:rFonts w:ascii="宋体" w:eastAsia="宋体" w:hAnsi="宋体" w:cs="宋体"/>
          <w:spacing w:val="37"/>
          <w:w w:val="101"/>
          <w:sz w:val="16"/>
          <w:szCs w:val="16"/>
        </w:rPr>
        <w:t xml:space="preserve"> </w:t>
      </w:r>
      <w:r>
        <w:rPr>
          <w:rFonts w:ascii="宋体" w:eastAsia="宋体" w:hAnsi="宋体" w:cs="宋体"/>
          <w:spacing w:val="-6"/>
          <w:sz w:val="16"/>
          <w:szCs w:val="16"/>
        </w:rPr>
        <w:t>多酚类</w:t>
      </w:r>
    </w:p>
    <w:p w:rsidR="00EA40A3" w:rsidRDefault="00E86C16">
      <w:pPr>
        <w:spacing w:before="65" w:line="214" w:lineRule="auto"/>
        <w:rPr>
          <w:rFonts w:ascii="宋体" w:eastAsia="宋体" w:hAnsi="宋体" w:cs="宋体"/>
          <w:sz w:val="16"/>
          <w:szCs w:val="16"/>
        </w:rPr>
      </w:pPr>
      <w:r>
        <w:rPr>
          <w:rFonts w:ascii="宋体" w:eastAsia="宋体" w:hAnsi="宋体" w:cs="宋体"/>
          <w:sz w:val="16"/>
          <w:szCs w:val="16"/>
        </w:rPr>
        <w:t>polyunsaturated</w:t>
      </w:r>
      <w:r>
        <w:rPr>
          <w:rFonts w:ascii="宋体" w:eastAsia="宋体" w:hAnsi="宋体" w:cs="宋体"/>
          <w:spacing w:val="11"/>
          <w:sz w:val="16"/>
          <w:szCs w:val="16"/>
        </w:rPr>
        <w:t xml:space="preserve"> </w:t>
      </w:r>
      <w:r>
        <w:rPr>
          <w:rFonts w:ascii="宋体" w:eastAsia="宋体" w:hAnsi="宋体" w:cs="宋体"/>
          <w:sz w:val="16"/>
          <w:szCs w:val="16"/>
        </w:rPr>
        <w:t>fatty</w:t>
      </w:r>
      <w:r>
        <w:rPr>
          <w:rFonts w:ascii="宋体" w:eastAsia="宋体" w:hAnsi="宋体" w:cs="宋体"/>
          <w:spacing w:val="5"/>
          <w:sz w:val="16"/>
          <w:szCs w:val="16"/>
        </w:rPr>
        <w:t xml:space="preserve"> </w:t>
      </w:r>
      <w:r>
        <w:rPr>
          <w:rFonts w:ascii="宋体" w:eastAsia="宋体" w:hAnsi="宋体" w:cs="宋体"/>
          <w:sz w:val="16"/>
          <w:szCs w:val="16"/>
        </w:rPr>
        <w:t>acid</w:t>
      </w:r>
      <w:r>
        <w:rPr>
          <w:rFonts w:ascii="宋体" w:eastAsia="宋体" w:hAnsi="宋体" w:cs="宋体"/>
          <w:spacing w:val="4"/>
          <w:sz w:val="16"/>
          <w:szCs w:val="16"/>
        </w:rPr>
        <w:t>,</w:t>
      </w:r>
      <w:r>
        <w:rPr>
          <w:rFonts w:ascii="宋体" w:eastAsia="宋体" w:hAnsi="宋体" w:cs="宋体"/>
          <w:sz w:val="16"/>
          <w:szCs w:val="16"/>
        </w:rPr>
        <w:t>PUFA</w:t>
      </w:r>
      <w:r>
        <w:rPr>
          <w:rFonts w:ascii="宋体" w:eastAsia="宋体" w:hAnsi="宋体" w:cs="宋体"/>
          <w:spacing w:val="33"/>
          <w:sz w:val="16"/>
          <w:szCs w:val="16"/>
        </w:rPr>
        <w:t xml:space="preserve">  </w:t>
      </w:r>
      <w:r>
        <w:rPr>
          <w:rFonts w:ascii="宋体" w:eastAsia="宋体" w:hAnsi="宋体" w:cs="宋体"/>
          <w:spacing w:val="4"/>
          <w:sz w:val="16"/>
          <w:szCs w:val="16"/>
        </w:rPr>
        <w:t>多不饱和脂</w:t>
      </w:r>
    </w:p>
    <w:p w:rsidR="00EA40A3" w:rsidRDefault="00E86C16">
      <w:pPr>
        <w:spacing w:before="69" w:line="220" w:lineRule="auto"/>
        <w:rPr>
          <w:rFonts w:ascii="宋体" w:eastAsia="宋体" w:hAnsi="宋体" w:cs="宋体"/>
          <w:sz w:val="16"/>
          <w:szCs w:val="16"/>
        </w:rPr>
      </w:pPr>
      <w:r>
        <w:rPr>
          <w:rFonts w:ascii="宋体" w:eastAsia="宋体" w:hAnsi="宋体" w:cs="宋体"/>
          <w:spacing w:val="-2"/>
          <w:sz w:val="16"/>
          <w:szCs w:val="16"/>
        </w:rPr>
        <w:t>肪酸</w:t>
      </w:r>
    </w:p>
    <w:p w:rsidR="00EA40A3" w:rsidRDefault="00E86C16">
      <w:pPr>
        <w:spacing w:before="113" w:line="258" w:lineRule="auto"/>
        <w:ind w:right="647"/>
        <w:rPr>
          <w:rFonts w:ascii="宋体" w:eastAsia="宋体" w:hAnsi="宋体" w:cs="宋体"/>
          <w:sz w:val="16"/>
          <w:szCs w:val="16"/>
        </w:rPr>
      </w:pPr>
      <w:r>
        <w:rPr>
          <w:rFonts w:ascii="宋体" w:eastAsia="宋体" w:hAnsi="宋体" w:cs="宋体"/>
          <w:spacing w:val="-6"/>
          <w:sz w:val="16"/>
          <w:szCs w:val="16"/>
        </w:rPr>
        <w:t>positive</w:t>
      </w:r>
      <w:r>
        <w:rPr>
          <w:rFonts w:ascii="宋体" w:eastAsia="宋体" w:hAnsi="宋体" w:cs="宋体"/>
          <w:spacing w:val="3"/>
          <w:sz w:val="16"/>
          <w:szCs w:val="16"/>
        </w:rPr>
        <w:t xml:space="preserve"> </w:t>
      </w:r>
      <w:r>
        <w:rPr>
          <w:rFonts w:ascii="宋体" w:eastAsia="宋体" w:hAnsi="宋体" w:cs="宋体"/>
          <w:spacing w:val="-6"/>
          <w:sz w:val="16"/>
          <w:szCs w:val="16"/>
        </w:rPr>
        <w:t>nitrogen</w:t>
      </w:r>
      <w:r>
        <w:rPr>
          <w:rFonts w:ascii="宋体" w:eastAsia="宋体" w:hAnsi="宋体" w:cs="宋体"/>
          <w:spacing w:val="-3"/>
          <w:sz w:val="16"/>
          <w:szCs w:val="16"/>
        </w:rPr>
        <w:t xml:space="preserve"> </w:t>
      </w:r>
      <w:r>
        <w:rPr>
          <w:rFonts w:ascii="宋体" w:eastAsia="宋体" w:hAnsi="宋体" w:cs="宋体"/>
          <w:spacing w:val="-6"/>
          <w:sz w:val="16"/>
          <w:szCs w:val="16"/>
        </w:rPr>
        <w:t>balance,PNB</w:t>
      </w:r>
      <w:r>
        <w:rPr>
          <w:rFonts w:ascii="宋体" w:eastAsia="宋体" w:hAnsi="宋体" w:cs="宋体"/>
          <w:spacing w:val="45"/>
          <w:sz w:val="16"/>
          <w:szCs w:val="16"/>
        </w:rPr>
        <w:t xml:space="preserve"> </w:t>
      </w:r>
      <w:r>
        <w:rPr>
          <w:rFonts w:ascii="宋体" w:eastAsia="宋体" w:hAnsi="宋体" w:cs="宋体"/>
          <w:spacing w:val="-6"/>
          <w:sz w:val="16"/>
          <w:szCs w:val="16"/>
        </w:rPr>
        <w:t>正氮平衡</w:t>
      </w:r>
      <w:r>
        <w:rPr>
          <w:rFonts w:ascii="宋体" w:eastAsia="宋体" w:hAnsi="宋体" w:cs="宋体"/>
          <w:sz w:val="16"/>
          <w:szCs w:val="16"/>
        </w:rPr>
        <w:t xml:space="preserve"> </w:t>
      </w:r>
      <w:r>
        <w:rPr>
          <w:rFonts w:ascii="宋体" w:eastAsia="宋体" w:hAnsi="宋体" w:cs="宋体"/>
          <w:spacing w:val="-1"/>
          <w:sz w:val="16"/>
          <w:szCs w:val="16"/>
        </w:rPr>
        <w:t>prealbumin,PA</w:t>
      </w:r>
      <w:r>
        <w:rPr>
          <w:rFonts w:ascii="宋体" w:eastAsia="宋体" w:hAnsi="宋体" w:cs="宋体"/>
          <w:spacing w:val="3"/>
          <w:sz w:val="16"/>
          <w:szCs w:val="16"/>
        </w:rPr>
        <w:t xml:space="preserve">   </w:t>
      </w:r>
      <w:r>
        <w:rPr>
          <w:rFonts w:ascii="宋体" w:eastAsia="宋体" w:hAnsi="宋体" w:cs="宋体"/>
          <w:spacing w:val="-1"/>
          <w:sz w:val="16"/>
          <w:szCs w:val="16"/>
        </w:rPr>
        <w:t>前白蛋白</w:t>
      </w:r>
    </w:p>
    <w:p w:rsidR="00EA40A3" w:rsidRDefault="00E86C16">
      <w:pPr>
        <w:spacing w:before="75" w:line="214" w:lineRule="auto"/>
        <w:rPr>
          <w:rFonts w:ascii="宋体" w:eastAsia="宋体" w:hAnsi="宋体" w:cs="宋体"/>
          <w:sz w:val="16"/>
          <w:szCs w:val="16"/>
        </w:rPr>
      </w:pPr>
      <w:r>
        <w:rPr>
          <w:rFonts w:ascii="宋体" w:eastAsia="宋体" w:hAnsi="宋体" w:cs="宋体"/>
          <w:spacing w:val="-9"/>
          <w:sz w:val="16"/>
          <w:szCs w:val="16"/>
        </w:rPr>
        <w:t>preeclampsia</w:t>
      </w:r>
      <w:r>
        <w:rPr>
          <w:rFonts w:ascii="宋体" w:eastAsia="宋体" w:hAnsi="宋体" w:cs="宋体"/>
          <w:spacing w:val="65"/>
          <w:w w:val="101"/>
          <w:sz w:val="16"/>
          <w:szCs w:val="16"/>
        </w:rPr>
        <w:t xml:space="preserve"> </w:t>
      </w:r>
      <w:r>
        <w:rPr>
          <w:rFonts w:ascii="宋体" w:eastAsia="宋体" w:hAnsi="宋体" w:cs="宋体"/>
          <w:spacing w:val="-9"/>
          <w:sz w:val="16"/>
          <w:szCs w:val="16"/>
        </w:rPr>
        <w:t>先兆子痫</w:t>
      </w:r>
    </w:p>
    <w:p w:rsidR="00EA40A3" w:rsidRDefault="00E86C16">
      <w:pPr>
        <w:spacing w:before="74" w:line="250" w:lineRule="auto"/>
        <w:ind w:right="4"/>
        <w:rPr>
          <w:rFonts w:ascii="宋体" w:eastAsia="宋体" w:hAnsi="宋体" w:cs="宋体"/>
          <w:sz w:val="16"/>
          <w:szCs w:val="16"/>
        </w:rPr>
      </w:pPr>
      <w:r>
        <w:rPr>
          <w:rFonts w:ascii="宋体" w:eastAsia="宋体" w:hAnsi="宋体" w:cs="宋体"/>
          <w:spacing w:val="-4"/>
          <w:sz w:val="16"/>
          <w:szCs w:val="16"/>
        </w:rPr>
        <w:t>pregnancy-induced</w:t>
      </w:r>
      <w:r>
        <w:rPr>
          <w:rFonts w:ascii="宋体" w:eastAsia="宋体" w:hAnsi="宋体" w:cs="宋体"/>
          <w:sz w:val="16"/>
          <w:szCs w:val="16"/>
        </w:rPr>
        <w:t xml:space="preserve"> </w:t>
      </w:r>
      <w:r>
        <w:rPr>
          <w:rFonts w:ascii="宋体" w:eastAsia="宋体" w:hAnsi="宋体" w:cs="宋体"/>
          <w:spacing w:val="-4"/>
          <w:sz w:val="16"/>
          <w:szCs w:val="16"/>
        </w:rPr>
        <w:t>hypertension</w:t>
      </w:r>
      <w:r>
        <w:rPr>
          <w:rFonts w:ascii="宋体" w:eastAsia="宋体" w:hAnsi="宋体" w:cs="宋体"/>
          <w:spacing w:val="9"/>
          <w:sz w:val="16"/>
          <w:szCs w:val="16"/>
        </w:rPr>
        <w:t xml:space="preserve"> </w:t>
      </w:r>
      <w:r>
        <w:rPr>
          <w:rFonts w:ascii="宋体" w:eastAsia="宋体" w:hAnsi="宋体" w:cs="宋体"/>
          <w:spacing w:val="-4"/>
          <w:sz w:val="16"/>
          <w:szCs w:val="16"/>
        </w:rPr>
        <w:t>syndrome,PHS</w:t>
      </w:r>
      <w:r>
        <w:rPr>
          <w:rFonts w:ascii="宋体" w:eastAsia="宋体" w:hAnsi="宋体" w:cs="宋体"/>
          <w:spacing w:val="21"/>
          <w:w w:val="101"/>
          <w:sz w:val="16"/>
          <w:szCs w:val="16"/>
        </w:rPr>
        <w:t xml:space="preserve"> </w:t>
      </w:r>
      <w:r>
        <w:rPr>
          <w:rFonts w:ascii="宋体" w:eastAsia="宋体" w:hAnsi="宋体" w:cs="宋体"/>
          <w:spacing w:val="-4"/>
          <w:sz w:val="16"/>
          <w:szCs w:val="16"/>
        </w:rPr>
        <w:t>妊</w:t>
      </w:r>
      <w:r>
        <w:rPr>
          <w:rFonts w:ascii="宋体" w:eastAsia="宋体" w:hAnsi="宋体" w:cs="宋体"/>
          <w:sz w:val="16"/>
          <w:szCs w:val="16"/>
        </w:rPr>
        <w:t xml:space="preserve"> </w:t>
      </w:r>
      <w:r>
        <w:rPr>
          <w:rFonts w:ascii="宋体" w:eastAsia="宋体" w:hAnsi="宋体" w:cs="宋体"/>
          <w:spacing w:val="-1"/>
          <w:sz w:val="16"/>
          <w:szCs w:val="16"/>
        </w:rPr>
        <w:t>娠期高血压症，简称妊高症</w:t>
      </w:r>
    </w:p>
    <w:p w:rsidR="00EA40A3" w:rsidRDefault="00E86C16">
      <w:pPr>
        <w:spacing w:before="56" w:line="214" w:lineRule="auto"/>
        <w:rPr>
          <w:rFonts w:ascii="宋体" w:eastAsia="宋体" w:hAnsi="宋体" w:cs="宋体"/>
          <w:sz w:val="16"/>
          <w:szCs w:val="16"/>
        </w:rPr>
      </w:pPr>
      <w:r>
        <w:rPr>
          <w:rFonts w:ascii="宋体" w:eastAsia="宋体" w:hAnsi="宋体" w:cs="宋体"/>
          <w:spacing w:val="-3"/>
          <w:sz w:val="16"/>
          <w:szCs w:val="16"/>
        </w:rPr>
        <w:t>pregnancy</w:t>
      </w:r>
      <w:r>
        <w:rPr>
          <w:rFonts w:ascii="宋体" w:eastAsia="宋体" w:hAnsi="宋体" w:cs="宋体"/>
          <w:spacing w:val="48"/>
          <w:sz w:val="16"/>
          <w:szCs w:val="16"/>
        </w:rPr>
        <w:t xml:space="preserve"> </w:t>
      </w:r>
      <w:r>
        <w:rPr>
          <w:rFonts w:ascii="宋体" w:eastAsia="宋体" w:hAnsi="宋体" w:cs="宋体"/>
          <w:spacing w:val="-3"/>
          <w:sz w:val="16"/>
          <w:szCs w:val="16"/>
        </w:rPr>
        <w:t>妊娠</w:t>
      </w:r>
    </w:p>
    <w:p w:rsidR="00EA40A3" w:rsidRDefault="00E86C16">
      <w:pPr>
        <w:spacing w:before="65" w:line="214" w:lineRule="auto"/>
        <w:rPr>
          <w:rFonts w:ascii="宋体" w:eastAsia="宋体" w:hAnsi="宋体" w:cs="宋体"/>
          <w:sz w:val="16"/>
          <w:szCs w:val="16"/>
        </w:rPr>
      </w:pPr>
      <w:r>
        <w:rPr>
          <w:rFonts w:ascii="宋体" w:eastAsia="宋体" w:hAnsi="宋体" w:cs="宋体"/>
          <w:spacing w:val="-3"/>
          <w:sz w:val="16"/>
          <w:szCs w:val="16"/>
        </w:rPr>
        <w:t>premature</w:t>
      </w:r>
      <w:r>
        <w:rPr>
          <w:rFonts w:ascii="宋体" w:eastAsia="宋体" w:hAnsi="宋体" w:cs="宋体"/>
          <w:spacing w:val="51"/>
          <w:w w:val="101"/>
          <w:sz w:val="16"/>
          <w:szCs w:val="16"/>
        </w:rPr>
        <w:t xml:space="preserve"> </w:t>
      </w:r>
      <w:r>
        <w:rPr>
          <w:rFonts w:ascii="宋体" w:eastAsia="宋体" w:hAnsi="宋体" w:cs="宋体"/>
          <w:spacing w:val="-3"/>
          <w:sz w:val="16"/>
          <w:szCs w:val="16"/>
        </w:rPr>
        <w:t>早产儿</w:t>
      </w:r>
    </w:p>
    <w:p w:rsidR="00EA40A3" w:rsidRDefault="00E86C16">
      <w:pPr>
        <w:spacing w:before="65" w:line="250" w:lineRule="exact"/>
        <w:rPr>
          <w:rFonts w:ascii="宋体" w:eastAsia="宋体" w:hAnsi="宋体" w:cs="宋体"/>
          <w:sz w:val="16"/>
          <w:szCs w:val="16"/>
        </w:rPr>
      </w:pPr>
      <w:r>
        <w:rPr>
          <w:rFonts w:ascii="宋体" w:eastAsia="宋体" w:hAnsi="宋体" w:cs="宋体"/>
          <w:spacing w:val="-10"/>
          <w:position w:val="6"/>
          <w:sz w:val="16"/>
          <w:szCs w:val="16"/>
        </w:rPr>
        <w:t>preschool</w:t>
      </w:r>
      <w:r>
        <w:rPr>
          <w:rFonts w:ascii="宋体" w:eastAsia="宋体" w:hAnsi="宋体" w:cs="宋体"/>
          <w:spacing w:val="15"/>
          <w:position w:val="6"/>
          <w:sz w:val="16"/>
          <w:szCs w:val="16"/>
        </w:rPr>
        <w:t xml:space="preserve"> </w:t>
      </w:r>
      <w:r>
        <w:rPr>
          <w:rFonts w:ascii="宋体" w:eastAsia="宋体" w:hAnsi="宋体" w:cs="宋体"/>
          <w:spacing w:val="-10"/>
          <w:position w:val="6"/>
          <w:sz w:val="16"/>
          <w:szCs w:val="16"/>
        </w:rPr>
        <w:t>children</w:t>
      </w:r>
      <w:r>
        <w:rPr>
          <w:rFonts w:ascii="宋体" w:eastAsia="宋体" w:hAnsi="宋体" w:cs="宋体"/>
          <w:spacing w:val="46"/>
          <w:position w:val="6"/>
          <w:sz w:val="16"/>
          <w:szCs w:val="16"/>
        </w:rPr>
        <w:t xml:space="preserve"> </w:t>
      </w:r>
      <w:r>
        <w:rPr>
          <w:rFonts w:ascii="宋体" w:eastAsia="宋体" w:hAnsi="宋体" w:cs="宋体"/>
          <w:spacing w:val="-10"/>
          <w:position w:val="6"/>
          <w:sz w:val="16"/>
          <w:szCs w:val="16"/>
        </w:rPr>
        <w:t>学龄前儿童</w:t>
      </w:r>
    </w:p>
    <w:p w:rsidR="00EA40A3" w:rsidRDefault="00E86C16">
      <w:pPr>
        <w:spacing w:line="214" w:lineRule="auto"/>
        <w:rPr>
          <w:rFonts w:ascii="宋体" w:eastAsia="宋体" w:hAnsi="宋体" w:cs="宋体"/>
          <w:sz w:val="16"/>
          <w:szCs w:val="16"/>
        </w:rPr>
      </w:pPr>
      <w:r>
        <w:rPr>
          <w:rFonts w:ascii="宋体" w:eastAsia="宋体" w:hAnsi="宋体" w:cs="宋体"/>
          <w:spacing w:val="-1"/>
          <w:sz w:val="16"/>
          <w:szCs w:val="16"/>
        </w:rPr>
        <w:t>proanthocyanidin,PC</w:t>
      </w:r>
      <w:r>
        <w:rPr>
          <w:rFonts w:ascii="宋体" w:eastAsia="宋体" w:hAnsi="宋体" w:cs="宋体"/>
          <w:spacing w:val="54"/>
          <w:sz w:val="16"/>
          <w:szCs w:val="16"/>
        </w:rPr>
        <w:t xml:space="preserve"> </w:t>
      </w:r>
      <w:r>
        <w:rPr>
          <w:rFonts w:ascii="宋体" w:eastAsia="宋体" w:hAnsi="宋体" w:cs="宋体"/>
          <w:spacing w:val="-1"/>
          <w:sz w:val="16"/>
          <w:szCs w:val="16"/>
        </w:rPr>
        <w:t>原花青素</w:t>
      </w:r>
    </w:p>
    <w:p w:rsidR="00EA40A3" w:rsidRDefault="00E86C16">
      <w:pPr>
        <w:spacing w:before="65" w:line="214" w:lineRule="auto"/>
        <w:rPr>
          <w:rFonts w:ascii="宋体" w:eastAsia="宋体" w:hAnsi="宋体" w:cs="宋体"/>
          <w:sz w:val="16"/>
          <w:szCs w:val="16"/>
        </w:rPr>
      </w:pPr>
      <w:r>
        <w:rPr>
          <w:rFonts w:ascii="宋体" w:eastAsia="宋体" w:hAnsi="宋体" w:cs="宋体"/>
          <w:spacing w:val="-12"/>
          <w:sz w:val="16"/>
          <w:szCs w:val="16"/>
        </w:rPr>
        <w:t>probiotic</w:t>
      </w:r>
      <w:r>
        <w:rPr>
          <w:rFonts w:ascii="宋体" w:eastAsia="宋体" w:hAnsi="宋体" w:cs="宋体"/>
          <w:spacing w:val="48"/>
          <w:sz w:val="16"/>
          <w:szCs w:val="16"/>
        </w:rPr>
        <w:t xml:space="preserve"> </w:t>
      </w:r>
      <w:r>
        <w:rPr>
          <w:rFonts w:ascii="宋体" w:eastAsia="宋体" w:hAnsi="宋体" w:cs="宋体"/>
          <w:spacing w:val="-12"/>
          <w:sz w:val="16"/>
          <w:szCs w:val="16"/>
        </w:rPr>
        <w:t>益生菌</w:t>
      </w:r>
    </w:p>
    <w:p w:rsidR="00EA40A3" w:rsidRDefault="00E86C16">
      <w:pPr>
        <w:spacing w:before="62" w:line="264" w:lineRule="auto"/>
        <w:ind w:right="673"/>
        <w:jc w:val="both"/>
        <w:rPr>
          <w:rFonts w:ascii="宋体" w:eastAsia="宋体" w:hAnsi="宋体" w:cs="宋体"/>
          <w:sz w:val="16"/>
          <w:szCs w:val="16"/>
        </w:rPr>
      </w:pPr>
      <w:r>
        <w:rPr>
          <w:rFonts w:ascii="宋体" w:eastAsia="宋体" w:hAnsi="宋体" w:cs="宋体"/>
          <w:spacing w:val="-4"/>
          <w:sz w:val="16"/>
          <w:szCs w:val="16"/>
        </w:rPr>
        <w:t>procyanidolic</w:t>
      </w:r>
      <w:r>
        <w:rPr>
          <w:rFonts w:ascii="宋体" w:eastAsia="宋体" w:hAnsi="宋体" w:cs="宋体"/>
          <w:spacing w:val="2"/>
          <w:sz w:val="16"/>
          <w:szCs w:val="16"/>
        </w:rPr>
        <w:t xml:space="preserve"> </w:t>
      </w:r>
      <w:r>
        <w:rPr>
          <w:rFonts w:ascii="宋体" w:eastAsia="宋体" w:hAnsi="宋体" w:cs="宋体"/>
          <w:spacing w:val="-4"/>
          <w:sz w:val="16"/>
          <w:szCs w:val="16"/>
        </w:rPr>
        <w:t>oligomei,OPC</w:t>
      </w:r>
      <w:r>
        <w:rPr>
          <w:rFonts w:ascii="宋体" w:eastAsia="宋体" w:hAnsi="宋体" w:cs="宋体"/>
          <w:spacing w:val="35"/>
          <w:sz w:val="16"/>
          <w:szCs w:val="16"/>
        </w:rPr>
        <w:t xml:space="preserve"> </w:t>
      </w:r>
      <w:r>
        <w:rPr>
          <w:rFonts w:ascii="宋体" w:eastAsia="宋体" w:hAnsi="宋体" w:cs="宋体"/>
          <w:spacing w:val="-4"/>
          <w:sz w:val="16"/>
          <w:szCs w:val="16"/>
        </w:rPr>
        <w:t>低</w:t>
      </w:r>
      <w:r>
        <w:rPr>
          <w:rFonts w:ascii="宋体" w:eastAsia="宋体" w:hAnsi="宋体" w:cs="宋体"/>
          <w:spacing w:val="-5"/>
          <w:sz w:val="16"/>
          <w:szCs w:val="16"/>
        </w:rPr>
        <w:t>聚花青素</w:t>
      </w:r>
      <w:r>
        <w:rPr>
          <w:rFonts w:ascii="宋体" w:eastAsia="宋体" w:hAnsi="宋体" w:cs="宋体"/>
          <w:sz w:val="16"/>
          <w:szCs w:val="16"/>
        </w:rPr>
        <w:t xml:space="preserve"> </w:t>
      </w:r>
      <w:r>
        <w:rPr>
          <w:rFonts w:ascii="宋体" w:eastAsia="宋体" w:hAnsi="宋体" w:cs="宋体"/>
          <w:spacing w:val="-3"/>
          <w:sz w:val="16"/>
          <w:szCs w:val="16"/>
        </w:rPr>
        <w:t>procyanidolic</w:t>
      </w:r>
      <w:r>
        <w:rPr>
          <w:rFonts w:ascii="宋体" w:eastAsia="宋体" w:hAnsi="宋体" w:cs="宋体"/>
          <w:spacing w:val="2"/>
          <w:sz w:val="16"/>
          <w:szCs w:val="16"/>
        </w:rPr>
        <w:t xml:space="preserve"> </w:t>
      </w:r>
      <w:r>
        <w:rPr>
          <w:rFonts w:ascii="宋体" w:eastAsia="宋体" w:hAnsi="宋体" w:cs="宋体"/>
          <w:spacing w:val="-3"/>
          <w:sz w:val="16"/>
          <w:szCs w:val="16"/>
        </w:rPr>
        <w:t>polymer,PPC</w:t>
      </w:r>
      <w:r>
        <w:rPr>
          <w:rFonts w:ascii="宋体" w:eastAsia="宋体" w:hAnsi="宋体" w:cs="宋体"/>
          <w:spacing w:val="44"/>
          <w:sz w:val="16"/>
          <w:szCs w:val="16"/>
        </w:rPr>
        <w:t xml:space="preserve"> </w:t>
      </w:r>
      <w:r>
        <w:rPr>
          <w:rFonts w:ascii="宋体" w:eastAsia="宋体" w:hAnsi="宋体" w:cs="宋体"/>
          <w:spacing w:val="-3"/>
          <w:sz w:val="16"/>
          <w:szCs w:val="16"/>
        </w:rPr>
        <w:t>高聚</w:t>
      </w:r>
      <w:r>
        <w:rPr>
          <w:rFonts w:ascii="宋体" w:eastAsia="宋体" w:hAnsi="宋体" w:cs="宋体"/>
          <w:spacing w:val="-4"/>
          <w:sz w:val="16"/>
          <w:szCs w:val="16"/>
        </w:rPr>
        <w:t>花青素</w:t>
      </w:r>
      <w:r>
        <w:rPr>
          <w:rFonts w:ascii="宋体" w:eastAsia="宋体" w:hAnsi="宋体" w:cs="宋体"/>
          <w:sz w:val="16"/>
          <w:szCs w:val="16"/>
        </w:rPr>
        <w:t xml:space="preserve"> </w:t>
      </w:r>
      <w:r>
        <w:rPr>
          <w:rFonts w:ascii="宋体" w:eastAsia="宋体" w:hAnsi="宋体" w:cs="宋体"/>
          <w:spacing w:val="-8"/>
          <w:sz w:val="16"/>
          <w:szCs w:val="16"/>
        </w:rPr>
        <w:t>progesterone</w:t>
      </w:r>
      <w:r>
        <w:rPr>
          <w:rFonts w:ascii="宋体" w:eastAsia="宋体" w:hAnsi="宋体" w:cs="宋体"/>
          <w:spacing w:val="42"/>
          <w:w w:val="101"/>
          <w:sz w:val="16"/>
          <w:szCs w:val="16"/>
        </w:rPr>
        <w:t xml:space="preserve"> </w:t>
      </w:r>
      <w:r>
        <w:rPr>
          <w:rFonts w:ascii="宋体" w:eastAsia="宋体" w:hAnsi="宋体" w:cs="宋体"/>
          <w:spacing w:val="-8"/>
          <w:sz w:val="16"/>
          <w:szCs w:val="16"/>
        </w:rPr>
        <w:t>孕</w:t>
      </w:r>
      <w:r>
        <w:rPr>
          <w:rFonts w:ascii="宋体" w:eastAsia="宋体" w:hAnsi="宋体" w:cs="宋体"/>
          <w:spacing w:val="-35"/>
          <w:sz w:val="16"/>
          <w:szCs w:val="16"/>
        </w:rPr>
        <w:t xml:space="preserve"> </w:t>
      </w:r>
      <w:r>
        <w:rPr>
          <w:rFonts w:ascii="宋体" w:eastAsia="宋体" w:hAnsi="宋体" w:cs="宋体"/>
          <w:spacing w:val="-8"/>
          <w:sz w:val="16"/>
          <w:szCs w:val="16"/>
        </w:rPr>
        <w:t>酮</w:t>
      </w:r>
    </w:p>
    <w:p w:rsidR="00EA40A3" w:rsidRDefault="00E86C16">
      <w:pPr>
        <w:spacing w:before="64" w:line="214" w:lineRule="auto"/>
        <w:rPr>
          <w:rFonts w:ascii="宋体" w:eastAsia="宋体" w:hAnsi="宋体" w:cs="宋体"/>
          <w:sz w:val="16"/>
          <w:szCs w:val="16"/>
        </w:rPr>
      </w:pPr>
      <w:r>
        <w:rPr>
          <w:rFonts w:ascii="宋体" w:eastAsia="宋体" w:hAnsi="宋体" w:cs="宋体"/>
          <w:spacing w:val="-6"/>
          <w:sz w:val="16"/>
          <w:szCs w:val="16"/>
        </w:rPr>
        <w:t>progestogen</w:t>
      </w:r>
      <w:r>
        <w:rPr>
          <w:rFonts w:ascii="宋体" w:eastAsia="宋体" w:hAnsi="宋体" w:cs="宋体"/>
          <w:spacing w:val="47"/>
          <w:sz w:val="16"/>
          <w:szCs w:val="16"/>
        </w:rPr>
        <w:t xml:space="preserve"> </w:t>
      </w:r>
      <w:r>
        <w:rPr>
          <w:rFonts w:ascii="宋体" w:eastAsia="宋体" w:hAnsi="宋体" w:cs="宋体"/>
          <w:spacing w:val="-6"/>
          <w:sz w:val="16"/>
          <w:szCs w:val="16"/>
        </w:rPr>
        <w:t>孕激素</w:t>
      </w:r>
    </w:p>
    <w:p w:rsidR="00EA40A3" w:rsidRDefault="00E86C16">
      <w:pPr>
        <w:spacing w:before="66" w:line="214" w:lineRule="auto"/>
        <w:rPr>
          <w:rFonts w:ascii="宋体" w:eastAsia="宋体" w:hAnsi="宋体" w:cs="宋体"/>
          <w:sz w:val="16"/>
          <w:szCs w:val="16"/>
        </w:rPr>
      </w:pPr>
      <w:r>
        <w:rPr>
          <w:rFonts w:ascii="宋体" w:eastAsia="宋体" w:hAnsi="宋体" w:cs="宋体"/>
          <w:spacing w:val="-1"/>
          <w:sz w:val="16"/>
          <w:szCs w:val="16"/>
        </w:rPr>
        <w:t>prolactin,PRL</w:t>
      </w:r>
      <w:r>
        <w:rPr>
          <w:rFonts w:ascii="宋体" w:eastAsia="宋体" w:hAnsi="宋体" w:cs="宋体"/>
          <w:spacing w:val="80"/>
          <w:w w:val="101"/>
          <w:sz w:val="16"/>
          <w:szCs w:val="16"/>
        </w:rPr>
        <w:t xml:space="preserve"> </w:t>
      </w:r>
      <w:r>
        <w:rPr>
          <w:rFonts w:ascii="宋体" w:eastAsia="宋体" w:hAnsi="宋体" w:cs="宋体"/>
          <w:spacing w:val="-1"/>
          <w:sz w:val="16"/>
          <w:szCs w:val="16"/>
        </w:rPr>
        <w:t>催乳素</w:t>
      </w:r>
    </w:p>
    <w:p w:rsidR="00EA40A3" w:rsidRDefault="00E86C16">
      <w:pPr>
        <w:spacing w:before="64" w:line="250" w:lineRule="exact"/>
        <w:rPr>
          <w:rFonts w:ascii="宋体" w:eastAsia="宋体" w:hAnsi="宋体" w:cs="宋体"/>
          <w:sz w:val="16"/>
          <w:szCs w:val="16"/>
        </w:rPr>
      </w:pPr>
      <w:r>
        <w:rPr>
          <w:rFonts w:ascii="宋体" w:eastAsia="宋体" w:hAnsi="宋体" w:cs="宋体"/>
          <w:spacing w:val="-2"/>
          <w:position w:val="6"/>
          <w:sz w:val="16"/>
          <w:szCs w:val="16"/>
        </w:rPr>
        <w:t>propylgallate,PG</w:t>
      </w:r>
      <w:r>
        <w:rPr>
          <w:rFonts w:ascii="宋体" w:eastAsia="宋体" w:hAnsi="宋体" w:cs="宋体"/>
          <w:spacing w:val="46"/>
          <w:w w:val="101"/>
          <w:position w:val="6"/>
          <w:sz w:val="16"/>
          <w:szCs w:val="16"/>
        </w:rPr>
        <w:t xml:space="preserve"> </w:t>
      </w:r>
      <w:r>
        <w:rPr>
          <w:rFonts w:ascii="宋体" w:eastAsia="宋体" w:hAnsi="宋体" w:cs="宋体"/>
          <w:spacing w:val="-2"/>
          <w:position w:val="6"/>
          <w:sz w:val="16"/>
          <w:szCs w:val="16"/>
        </w:rPr>
        <w:t>没食子酸丙</w:t>
      </w:r>
      <w:r>
        <w:rPr>
          <w:rFonts w:ascii="宋体" w:eastAsia="宋体" w:hAnsi="宋体" w:cs="宋体"/>
          <w:spacing w:val="-3"/>
          <w:position w:val="6"/>
          <w:sz w:val="16"/>
          <w:szCs w:val="16"/>
        </w:rPr>
        <w:t>酯</w:t>
      </w:r>
    </w:p>
    <w:p w:rsidR="00EA40A3" w:rsidRDefault="00E86C16">
      <w:pPr>
        <w:spacing w:line="213" w:lineRule="auto"/>
        <w:rPr>
          <w:rFonts w:ascii="宋体" w:eastAsia="宋体" w:hAnsi="宋体" w:cs="宋体"/>
          <w:sz w:val="16"/>
          <w:szCs w:val="16"/>
        </w:rPr>
      </w:pPr>
      <w:r>
        <w:rPr>
          <w:rFonts w:ascii="宋体" w:eastAsia="宋体" w:hAnsi="宋体" w:cs="宋体"/>
          <w:spacing w:val="-3"/>
          <w:sz w:val="16"/>
          <w:szCs w:val="16"/>
        </w:rPr>
        <w:t>prostaglandin,PG</w:t>
      </w:r>
      <w:r>
        <w:rPr>
          <w:rFonts w:ascii="宋体" w:eastAsia="宋体" w:hAnsi="宋体" w:cs="宋体"/>
          <w:spacing w:val="72"/>
          <w:sz w:val="16"/>
          <w:szCs w:val="16"/>
        </w:rPr>
        <w:t xml:space="preserve"> </w:t>
      </w:r>
      <w:r>
        <w:rPr>
          <w:rFonts w:ascii="宋体" w:eastAsia="宋体" w:hAnsi="宋体" w:cs="宋体"/>
          <w:spacing w:val="-3"/>
          <w:sz w:val="16"/>
          <w:szCs w:val="16"/>
        </w:rPr>
        <w:t>前列腺素</w:t>
      </w:r>
    </w:p>
    <w:p w:rsidR="00EA40A3" w:rsidRDefault="00E86C16">
      <w:pPr>
        <w:spacing w:before="77" w:line="192" w:lineRule="auto"/>
        <w:rPr>
          <w:rFonts w:ascii="Times New Roman" w:eastAsia="Times New Roman" w:hAnsi="Times New Roman" w:cs="Times New Roman"/>
          <w:sz w:val="16"/>
          <w:szCs w:val="16"/>
        </w:rPr>
      </w:pPr>
      <w:r>
        <w:rPr>
          <w:rFonts w:ascii="Times New Roman" w:eastAsia="Times New Roman" w:hAnsi="Times New Roman" w:cs="Times New Roman"/>
          <w:spacing w:val="-1"/>
          <w:sz w:val="16"/>
          <w:szCs w:val="16"/>
        </w:rPr>
        <w:t>protein</w:t>
      </w:r>
      <w:r>
        <w:rPr>
          <w:rFonts w:ascii="Times New Roman" w:eastAsia="Times New Roman" w:hAnsi="Times New Roman" w:cs="Times New Roman"/>
          <w:spacing w:val="12"/>
          <w:w w:val="102"/>
          <w:sz w:val="16"/>
          <w:szCs w:val="16"/>
        </w:rPr>
        <w:t xml:space="preserve">  </w:t>
      </w:r>
      <w:r>
        <w:rPr>
          <w:rFonts w:ascii="Times New Roman" w:eastAsia="Times New Roman" w:hAnsi="Times New Roman" w:cs="Times New Roman"/>
          <w:spacing w:val="-1"/>
          <w:sz w:val="16"/>
          <w:szCs w:val="16"/>
        </w:rPr>
        <w:t>digestibility</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corrected</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amino</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pacing w:val="-1"/>
          <w:sz w:val="16"/>
          <w:szCs w:val="16"/>
        </w:rPr>
        <w:t>acid</w:t>
      </w:r>
      <w:r>
        <w:rPr>
          <w:rFonts w:ascii="Times New Roman" w:eastAsia="Times New Roman" w:hAnsi="Times New Roman" w:cs="Times New Roman"/>
          <w:spacing w:val="8"/>
          <w:sz w:val="16"/>
          <w:szCs w:val="16"/>
        </w:rPr>
        <w:t xml:space="preserve">  </w:t>
      </w:r>
      <w:r>
        <w:rPr>
          <w:rFonts w:ascii="Times New Roman" w:eastAsia="Times New Roman" w:hAnsi="Times New Roman" w:cs="Times New Roman"/>
          <w:spacing w:val="-1"/>
          <w:sz w:val="16"/>
          <w:szCs w:val="16"/>
        </w:rPr>
        <w:t>score,PD-</w:t>
      </w:r>
    </w:p>
    <w:p w:rsidR="00EA40A3" w:rsidRDefault="00E86C16">
      <w:pPr>
        <w:spacing w:before="186" w:line="235" w:lineRule="exact"/>
        <w:rPr>
          <w:rFonts w:ascii="宋体" w:eastAsia="宋体" w:hAnsi="宋体" w:cs="宋体"/>
          <w:sz w:val="16"/>
          <w:szCs w:val="16"/>
        </w:rPr>
      </w:pPr>
      <w:r>
        <w:rPr>
          <w:rFonts w:ascii="宋体" w:eastAsia="宋体" w:hAnsi="宋体" w:cs="宋体"/>
          <w:spacing w:val="-3"/>
          <w:position w:val="5"/>
          <w:sz w:val="16"/>
          <w:szCs w:val="16"/>
        </w:rPr>
        <w:t>CAAS</w:t>
      </w:r>
      <w:r>
        <w:rPr>
          <w:rFonts w:ascii="宋体" w:eastAsia="宋体" w:hAnsi="宋体" w:cs="宋体"/>
          <w:spacing w:val="15"/>
          <w:position w:val="5"/>
          <w:sz w:val="16"/>
          <w:szCs w:val="16"/>
        </w:rPr>
        <w:t xml:space="preserve">   </w:t>
      </w:r>
      <w:r>
        <w:rPr>
          <w:rFonts w:ascii="宋体" w:eastAsia="宋体" w:hAnsi="宋体" w:cs="宋体"/>
          <w:spacing w:val="-3"/>
          <w:position w:val="5"/>
          <w:sz w:val="16"/>
          <w:szCs w:val="16"/>
        </w:rPr>
        <w:t>经消化率修正的氨基酸评分</w:t>
      </w:r>
    </w:p>
    <w:p w:rsidR="00EA40A3" w:rsidRDefault="00E86C16">
      <w:pPr>
        <w:spacing w:before="1" w:line="213" w:lineRule="auto"/>
        <w:rPr>
          <w:rFonts w:ascii="宋体" w:eastAsia="宋体" w:hAnsi="宋体" w:cs="宋体"/>
          <w:sz w:val="16"/>
          <w:szCs w:val="16"/>
        </w:rPr>
      </w:pPr>
      <w:r>
        <w:rPr>
          <w:rFonts w:ascii="宋体" w:eastAsia="宋体" w:hAnsi="宋体" w:cs="宋体"/>
          <w:spacing w:val="-14"/>
          <w:sz w:val="16"/>
          <w:szCs w:val="16"/>
        </w:rPr>
        <w:t>protein</w:t>
      </w:r>
      <w:r>
        <w:rPr>
          <w:rFonts w:ascii="宋体" w:eastAsia="宋体" w:hAnsi="宋体" w:cs="宋体"/>
          <w:spacing w:val="-2"/>
          <w:sz w:val="16"/>
          <w:szCs w:val="16"/>
        </w:rPr>
        <w:t xml:space="preserve"> </w:t>
      </w:r>
      <w:r>
        <w:rPr>
          <w:rFonts w:ascii="宋体" w:eastAsia="宋体" w:hAnsi="宋体" w:cs="宋体"/>
          <w:spacing w:val="-14"/>
          <w:sz w:val="16"/>
          <w:szCs w:val="16"/>
        </w:rPr>
        <w:t>digestibility</w:t>
      </w:r>
      <w:r>
        <w:rPr>
          <w:rFonts w:ascii="宋体" w:eastAsia="宋体" w:hAnsi="宋体" w:cs="宋体"/>
          <w:spacing w:val="45"/>
          <w:sz w:val="16"/>
          <w:szCs w:val="16"/>
        </w:rPr>
        <w:t xml:space="preserve"> </w:t>
      </w:r>
      <w:r>
        <w:rPr>
          <w:rFonts w:ascii="宋体" w:eastAsia="宋体" w:hAnsi="宋体" w:cs="宋体"/>
          <w:spacing w:val="-14"/>
          <w:sz w:val="16"/>
          <w:szCs w:val="16"/>
        </w:rPr>
        <w:t>蛋白质消化率</w:t>
      </w:r>
    </w:p>
    <w:p w:rsidR="00EA40A3" w:rsidRDefault="00E86C16">
      <w:pPr>
        <w:spacing w:before="85" w:line="184" w:lineRule="auto"/>
        <w:rPr>
          <w:rFonts w:ascii="宋体" w:eastAsia="宋体" w:hAnsi="宋体" w:cs="宋体"/>
          <w:sz w:val="16"/>
          <w:szCs w:val="16"/>
        </w:rPr>
      </w:pPr>
      <w:r>
        <w:rPr>
          <w:rFonts w:ascii="宋体" w:eastAsia="宋体" w:hAnsi="宋体" w:cs="宋体"/>
          <w:spacing w:val="-7"/>
          <w:sz w:val="16"/>
          <w:szCs w:val="16"/>
        </w:rPr>
        <w:t>protein</w:t>
      </w:r>
      <w:r>
        <w:rPr>
          <w:rFonts w:ascii="宋体" w:eastAsia="宋体" w:hAnsi="宋体" w:cs="宋体"/>
          <w:spacing w:val="12"/>
          <w:sz w:val="16"/>
          <w:szCs w:val="16"/>
        </w:rPr>
        <w:t xml:space="preserve"> </w:t>
      </w:r>
      <w:r>
        <w:rPr>
          <w:rFonts w:ascii="宋体" w:eastAsia="宋体" w:hAnsi="宋体" w:cs="宋体"/>
          <w:spacing w:val="-7"/>
          <w:sz w:val="16"/>
          <w:szCs w:val="16"/>
        </w:rPr>
        <w:t>effciency</w:t>
      </w:r>
      <w:r>
        <w:rPr>
          <w:rFonts w:ascii="宋体" w:eastAsia="宋体" w:hAnsi="宋体" w:cs="宋体"/>
          <w:spacing w:val="-3"/>
          <w:sz w:val="16"/>
          <w:szCs w:val="16"/>
        </w:rPr>
        <w:t xml:space="preserve"> </w:t>
      </w:r>
      <w:r>
        <w:rPr>
          <w:rFonts w:ascii="宋体" w:eastAsia="宋体" w:hAnsi="宋体" w:cs="宋体"/>
          <w:spacing w:val="-7"/>
          <w:sz w:val="16"/>
          <w:szCs w:val="16"/>
        </w:rPr>
        <w:t>ratio,PER</w:t>
      </w:r>
      <w:r>
        <w:rPr>
          <w:rFonts w:ascii="宋体" w:eastAsia="宋体" w:hAnsi="宋体" w:cs="宋体"/>
          <w:spacing w:val="37"/>
          <w:sz w:val="16"/>
          <w:szCs w:val="16"/>
        </w:rPr>
        <w:t xml:space="preserve"> </w:t>
      </w:r>
      <w:r>
        <w:rPr>
          <w:rFonts w:ascii="宋体" w:eastAsia="宋体" w:hAnsi="宋体" w:cs="宋体"/>
          <w:spacing w:val="-7"/>
          <w:sz w:val="16"/>
          <w:szCs w:val="16"/>
        </w:rPr>
        <w:t>蛋白质功效比</w:t>
      </w:r>
    </w:p>
    <w:p w:rsidR="00EA40A3" w:rsidRDefault="00EA40A3">
      <w:pPr>
        <w:sectPr w:rsidR="00EA40A3">
          <w:type w:val="continuous"/>
          <w:pgSz w:w="9370" w:h="13460"/>
          <w:pgMar w:top="400" w:right="1241" w:bottom="1387" w:left="870" w:header="0" w:footer="1179" w:gutter="0"/>
          <w:cols w:num="2" w:space="720" w:equalWidth="0">
            <w:col w:w="3610" w:space="100"/>
            <w:col w:w="3549"/>
          </w:cols>
        </w:sectPr>
      </w:pPr>
    </w:p>
    <w:p w:rsidR="00EA40A3" w:rsidRDefault="00EA40A3"/>
    <w:p w:rsidR="00EA40A3" w:rsidRDefault="00EA40A3"/>
    <w:p w:rsidR="00EA40A3" w:rsidRDefault="00EA40A3">
      <w:pPr>
        <w:spacing w:line="16" w:lineRule="exact"/>
      </w:pPr>
    </w:p>
    <w:p w:rsidR="00EA40A3" w:rsidRDefault="00EA40A3">
      <w:pPr>
        <w:sectPr w:rsidR="00EA40A3">
          <w:footerReference w:type="default" r:id="rId373"/>
          <w:pgSz w:w="9220" w:h="13360"/>
          <w:pgMar w:top="400" w:right="1092" w:bottom="400" w:left="879" w:header="0" w:footer="0" w:gutter="0"/>
          <w:cols w:space="720" w:equalWidth="0">
            <w:col w:w="7248"/>
          </w:cols>
        </w:sectPr>
      </w:pPr>
    </w:p>
    <w:p w:rsidR="00EA40A3" w:rsidRDefault="00E86C16">
      <w:pPr>
        <w:spacing w:before="31" w:line="257" w:lineRule="auto"/>
        <w:ind w:left="320" w:right="69" w:hanging="320"/>
        <w:rPr>
          <w:rFonts w:ascii="宋体" w:eastAsia="宋体" w:hAnsi="宋体" w:cs="宋体"/>
          <w:sz w:val="16"/>
          <w:szCs w:val="16"/>
        </w:rPr>
      </w:pPr>
      <w:r>
        <w:rPr>
          <w:rFonts w:ascii="宋体" w:eastAsia="宋体" w:hAnsi="宋体" w:cs="宋体"/>
          <w:spacing w:val="-3"/>
          <w:sz w:val="16"/>
          <w:szCs w:val="16"/>
        </w:rPr>
        <w:t>protein-energy</w:t>
      </w:r>
      <w:r>
        <w:rPr>
          <w:rFonts w:ascii="宋体" w:eastAsia="宋体" w:hAnsi="宋体" w:cs="宋体"/>
          <w:spacing w:val="-4"/>
          <w:sz w:val="16"/>
          <w:szCs w:val="16"/>
        </w:rPr>
        <w:t xml:space="preserve"> </w:t>
      </w:r>
      <w:r>
        <w:rPr>
          <w:rFonts w:ascii="宋体" w:eastAsia="宋体" w:hAnsi="宋体" w:cs="宋体"/>
          <w:spacing w:val="-3"/>
          <w:sz w:val="16"/>
          <w:szCs w:val="16"/>
        </w:rPr>
        <w:t>malnutrition,PEM</w:t>
      </w:r>
      <w:r>
        <w:rPr>
          <w:rFonts w:ascii="宋体" w:eastAsia="宋体" w:hAnsi="宋体" w:cs="宋体"/>
          <w:spacing w:val="58"/>
          <w:sz w:val="16"/>
          <w:szCs w:val="16"/>
        </w:rPr>
        <w:t xml:space="preserve"> </w:t>
      </w:r>
      <w:r>
        <w:rPr>
          <w:rFonts w:ascii="宋体" w:eastAsia="宋体" w:hAnsi="宋体" w:cs="宋体"/>
          <w:spacing w:val="-3"/>
          <w:sz w:val="16"/>
          <w:szCs w:val="16"/>
        </w:rPr>
        <w:t>蛋白质</w:t>
      </w:r>
      <w:r>
        <w:rPr>
          <w:rFonts w:ascii="宋体" w:eastAsia="宋体" w:hAnsi="宋体" w:cs="宋体"/>
          <w:spacing w:val="-4"/>
          <w:sz w:val="16"/>
          <w:szCs w:val="16"/>
        </w:rPr>
        <w:t>-能量营</w:t>
      </w:r>
      <w:r>
        <w:rPr>
          <w:rFonts w:ascii="宋体" w:eastAsia="宋体" w:hAnsi="宋体" w:cs="宋体"/>
          <w:sz w:val="16"/>
          <w:szCs w:val="16"/>
        </w:rPr>
        <w:t xml:space="preserve"> </w:t>
      </w:r>
      <w:r>
        <w:rPr>
          <w:rFonts w:ascii="宋体" w:eastAsia="宋体" w:hAnsi="宋体" w:cs="宋体"/>
          <w:spacing w:val="-2"/>
          <w:sz w:val="16"/>
          <w:szCs w:val="16"/>
        </w:rPr>
        <w:t>养不良</w:t>
      </w:r>
    </w:p>
    <w:p w:rsidR="00EA40A3" w:rsidRDefault="00E86C16">
      <w:pPr>
        <w:spacing w:before="65" w:line="214" w:lineRule="auto"/>
        <w:rPr>
          <w:rFonts w:ascii="宋体" w:eastAsia="宋体" w:hAnsi="宋体" w:cs="宋体"/>
          <w:sz w:val="16"/>
          <w:szCs w:val="16"/>
        </w:rPr>
      </w:pPr>
      <w:r>
        <w:rPr>
          <w:rFonts w:ascii="宋体" w:eastAsia="宋体" w:hAnsi="宋体" w:cs="宋体"/>
          <w:spacing w:val="-8"/>
          <w:sz w:val="16"/>
          <w:szCs w:val="16"/>
        </w:rPr>
        <w:t>protein</w:t>
      </w:r>
      <w:r>
        <w:rPr>
          <w:rFonts w:ascii="宋体" w:eastAsia="宋体" w:hAnsi="宋体" w:cs="宋体"/>
          <w:spacing w:val="57"/>
          <w:sz w:val="16"/>
          <w:szCs w:val="16"/>
        </w:rPr>
        <w:t xml:space="preserve"> </w:t>
      </w:r>
      <w:r>
        <w:rPr>
          <w:rFonts w:ascii="宋体" w:eastAsia="宋体" w:hAnsi="宋体" w:cs="宋体"/>
          <w:spacing w:val="-8"/>
          <w:sz w:val="16"/>
          <w:szCs w:val="16"/>
        </w:rPr>
        <w:t>蛋白质</w:t>
      </w:r>
    </w:p>
    <w:p w:rsidR="00EA40A3" w:rsidRDefault="00E86C16">
      <w:pPr>
        <w:spacing w:before="73" w:line="214" w:lineRule="auto"/>
        <w:rPr>
          <w:rFonts w:ascii="宋体" w:eastAsia="宋体" w:hAnsi="宋体" w:cs="宋体"/>
          <w:sz w:val="16"/>
          <w:szCs w:val="16"/>
        </w:rPr>
      </w:pPr>
      <w:r>
        <w:rPr>
          <w:rFonts w:ascii="宋体" w:eastAsia="宋体" w:hAnsi="宋体" w:cs="宋体"/>
          <w:spacing w:val="-4"/>
          <w:sz w:val="16"/>
          <w:szCs w:val="16"/>
        </w:rPr>
        <w:t>pteroylpolyglutamate</w:t>
      </w:r>
      <w:r>
        <w:rPr>
          <w:rFonts w:ascii="宋体" w:eastAsia="宋体" w:hAnsi="宋体" w:cs="宋体"/>
          <w:spacing w:val="12"/>
          <w:sz w:val="16"/>
          <w:szCs w:val="16"/>
        </w:rPr>
        <w:t xml:space="preserve"> </w:t>
      </w:r>
      <w:r>
        <w:rPr>
          <w:rFonts w:ascii="宋体" w:eastAsia="宋体" w:hAnsi="宋体" w:cs="宋体"/>
          <w:spacing w:val="-4"/>
          <w:sz w:val="16"/>
          <w:szCs w:val="16"/>
        </w:rPr>
        <w:t>hydrolase,PPH</w:t>
      </w:r>
      <w:r>
        <w:rPr>
          <w:rFonts w:ascii="宋体" w:eastAsia="宋体" w:hAnsi="宋体" w:cs="宋体"/>
          <w:spacing w:val="77"/>
          <w:w w:val="101"/>
          <w:sz w:val="16"/>
          <w:szCs w:val="16"/>
        </w:rPr>
        <w:t xml:space="preserve"> </w:t>
      </w:r>
      <w:r>
        <w:rPr>
          <w:rFonts w:ascii="宋体" w:eastAsia="宋体" w:hAnsi="宋体" w:cs="宋体"/>
          <w:spacing w:val="-4"/>
          <w:sz w:val="16"/>
          <w:szCs w:val="16"/>
        </w:rPr>
        <w:t>蝶酰多谷氨</w:t>
      </w:r>
    </w:p>
    <w:p w:rsidR="00EA40A3" w:rsidRDefault="00E86C16">
      <w:pPr>
        <w:spacing w:before="67" w:line="219" w:lineRule="auto"/>
        <w:ind w:left="292"/>
        <w:rPr>
          <w:rFonts w:ascii="宋体" w:eastAsia="宋体" w:hAnsi="宋体" w:cs="宋体"/>
          <w:sz w:val="16"/>
          <w:szCs w:val="16"/>
        </w:rPr>
      </w:pPr>
      <w:r>
        <w:rPr>
          <w:rFonts w:ascii="宋体" w:eastAsia="宋体" w:hAnsi="宋体" w:cs="宋体"/>
          <w:b/>
          <w:bCs/>
          <w:spacing w:val="-3"/>
          <w:sz w:val="16"/>
          <w:szCs w:val="16"/>
        </w:rPr>
        <w:t>酸水解酶</w:t>
      </w:r>
    </w:p>
    <w:p w:rsidR="00EA40A3" w:rsidRDefault="00E86C16">
      <w:pPr>
        <w:spacing w:before="58" w:line="250" w:lineRule="exact"/>
        <w:rPr>
          <w:rFonts w:ascii="宋体" w:eastAsia="宋体" w:hAnsi="宋体" w:cs="宋体"/>
          <w:sz w:val="16"/>
          <w:szCs w:val="16"/>
        </w:rPr>
      </w:pPr>
      <w:r>
        <w:rPr>
          <w:rFonts w:ascii="宋体" w:eastAsia="宋体" w:hAnsi="宋体" w:cs="宋体"/>
          <w:spacing w:val="-11"/>
          <w:position w:val="6"/>
          <w:sz w:val="16"/>
          <w:szCs w:val="16"/>
        </w:rPr>
        <w:t>puerarin</w:t>
      </w:r>
      <w:r>
        <w:rPr>
          <w:rFonts w:ascii="宋体" w:eastAsia="宋体" w:hAnsi="宋体" w:cs="宋体"/>
          <w:position w:val="6"/>
          <w:sz w:val="16"/>
          <w:szCs w:val="16"/>
        </w:rPr>
        <w:t xml:space="preserve"> </w:t>
      </w:r>
      <w:r>
        <w:rPr>
          <w:rFonts w:ascii="宋体" w:eastAsia="宋体" w:hAnsi="宋体" w:cs="宋体"/>
          <w:spacing w:val="-11"/>
          <w:position w:val="6"/>
          <w:sz w:val="16"/>
          <w:szCs w:val="16"/>
        </w:rPr>
        <w:t>xyloside</w:t>
      </w:r>
      <w:r>
        <w:rPr>
          <w:rFonts w:ascii="宋体" w:eastAsia="宋体" w:hAnsi="宋体" w:cs="宋体"/>
          <w:spacing w:val="62"/>
          <w:w w:val="101"/>
          <w:position w:val="6"/>
          <w:sz w:val="16"/>
          <w:szCs w:val="16"/>
        </w:rPr>
        <w:t xml:space="preserve"> </w:t>
      </w:r>
      <w:r>
        <w:rPr>
          <w:rFonts w:ascii="宋体" w:eastAsia="宋体" w:hAnsi="宋体" w:cs="宋体"/>
          <w:spacing w:val="-11"/>
          <w:position w:val="6"/>
          <w:sz w:val="16"/>
          <w:szCs w:val="16"/>
        </w:rPr>
        <w:t>葛根木糖苷</w:t>
      </w:r>
    </w:p>
    <w:p w:rsidR="00EA40A3" w:rsidRDefault="00E86C16">
      <w:pPr>
        <w:spacing w:before="1" w:line="214" w:lineRule="auto"/>
        <w:rPr>
          <w:rFonts w:ascii="宋体" w:eastAsia="宋体" w:hAnsi="宋体" w:cs="宋体"/>
          <w:sz w:val="16"/>
          <w:szCs w:val="16"/>
        </w:rPr>
      </w:pPr>
      <w:r>
        <w:rPr>
          <w:rFonts w:ascii="宋体" w:eastAsia="宋体" w:hAnsi="宋体" w:cs="宋体"/>
          <w:spacing w:val="-10"/>
          <w:sz w:val="16"/>
          <w:szCs w:val="16"/>
        </w:rPr>
        <w:t>puerarin</w:t>
      </w:r>
      <w:r>
        <w:rPr>
          <w:rFonts w:ascii="宋体" w:eastAsia="宋体" w:hAnsi="宋体" w:cs="宋体"/>
          <w:spacing w:val="63"/>
          <w:sz w:val="16"/>
          <w:szCs w:val="16"/>
        </w:rPr>
        <w:t xml:space="preserve"> </w:t>
      </w:r>
      <w:r>
        <w:rPr>
          <w:rFonts w:ascii="宋体" w:eastAsia="宋体" w:hAnsi="宋体" w:cs="宋体"/>
          <w:spacing w:val="-10"/>
          <w:sz w:val="16"/>
          <w:szCs w:val="16"/>
        </w:rPr>
        <w:t>葛根素</w:t>
      </w:r>
    </w:p>
    <w:p w:rsidR="00EA40A3" w:rsidRDefault="00E86C16">
      <w:pPr>
        <w:spacing w:before="64" w:line="250" w:lineRule="exact"/>
        <w:rPr>
          <w:rFonts w:ascii="宋体" w:eastAsia="宋体" w:hAnsi="宋体" w:cs="宋体"/>
          <w:sz w:val="16"/>
          <w:szCs w:val="16"/>
        </w:rPr>
      </w:pPr>
      <w:r>
        <w:rPr>
          <w:rFonts w:ascii="宋体" w:eastAsia="宋体" w:hAnsi="宋体" w:cs="宋体"/>
          <w:spacing w:val="-3"/>
          <w:position w:val="7"/>
          <w:sz w:val="16"/>
          <w:szCs w:val="16"/>
        </w:rPr>
        <w:t>pyridoxal</w:t>
      </w:r>
      <w:r>
        <w:rPr>
          <w:rFonts w:ascii="宋体" w:eastAsia="宋体" w:hAnsi="宋体" w:cs="宋体"/>
          <w:spacing w:val="11"/>
          <w:position w:val="7"/>
          <w:sz w:val="16"/>
          <w:szCs w:val="16"/>
        </w:rPr>
        <w:t xml:space="preserve"> </w:t>
      </w:r>
      <w:r>
        <w:rPr>
          <w:rFonts w:ascii="宋体" w:eastAsia="宋体" w:hAnsi="宋体" w:cs="宋体"/>
          <w:spacing w:val="-3"/>
          <w:position w:val="7"/>
          <w:sz w:val="16"/>
          <w:szCs w:val="16"/>
        </w:rPr>
        <w:t>phosphate,PLP</w:t>
      </w:r>
      <w:r>
        <w:rPr>
          <w:rFonts w:ascii="宋体" w:eastAsia="宋体" w:hAnsi="宋体" w:cs="宋体"/>
          <w:spacing w:val="54"/>
          <w:position w:val="7"/>
          <w:sz w:val="16"/>
          <w:szCs w:val="16"/>
        </w:rPr>
        <w:t xml:space="preserve"> </w:t>
      </w:r>
      <w:r>
        <w:rPr>
          <w:rFonts w:ascii="宋体" w:eastAsia="宋体" w:hAnsi="宋体" w:cs="宋体"/>
          <w:spacing w:val="-3"/>
          <w:position w:val="7"/>
          <w:sz w:val="16"/>
          <w:szCs w:val="16"/>
        </w:rPr>
        <w:t>磷酸吡多醛</w:t>
      </w:r>
    </w:p>
    <w:p w:rsidR="00EA40A3" w:rsidRDefault="00E86C16">
      <w:pPr>
        <w:spacing w:line="214" w:lineRule="auto"/>
        <w:rPr>
          <w:rFonts w:ascii="宋体" w:eastAsia="宋体" w:hAnsi="宋体" w:cs="宋体"/>
          <w:sz w:val="16"/>
          <w:szCs w:val="16"/>
        </w:rPr>
      </w:pPr>
      <w:r>
        <w:rPr>
          <w:rFonts w:ascii="宋体" w:eastAsia="宋体" w:hAnsi="宋体" w:cs="宋体"/>
          <w:spacing w:val="-3"/>
          <w:sz w:val="16"/>
          <w:szCs w:val="16"/>
        </w:rPr>
        <w:t>pyridoxal,PL</w:t>
      </w:r>
      <w:r>
        <w:rPr>
          <w:rFonts w:ascii="宋体" w:eastAsia="宋体" w:hAnsi="宋体" w:cs="宋体"/>
          <w:spacing w:val="65"/>
          <w:sz w:val="16"/>
          <w:szCs w:val="16"/>
        </w:rPr>
        <w:t xml:space="preserve"> </w:t>
      </w:r>
      <w:r>
        <w:rPr>
          <w:rFonts w:ascii="宋体" w:eastAsia="宋体" w:hAnsi="宋体" w:cs="宋体"/>
          <w:spacing w:val="-3"/>
          <w:sz w:val="16"/>
          <w:szCs w:val="16"/>
        </w:rPr>
        <w:t>吡哆醛</w:t>
      </w:r>
    </w:p>
    <w:p w:rsidR="00EA40A3" w:rsidRDefault="00E86C16">
      <w:pPr>
        <w:spacing w:before="65" w:line="251" w:lineRule="auto"/>
        <w:ind w:right="596"/>
        <w:rPr>
          <w:rFonts w:ascii="宋体" w:eastAsia="宋体" w:hAnsi="宋体" w:cs="宋体"/>
          <w:sz w:val="16"/>
          <w:szCs w:val="16"/>
        </w:rPr>
      </w:pPr>
      <w:r>
        <w:rPr>
          <w:rFonts w:ascii="宋体" w:eastAsia="宋体" w:hAnsi="宋体" w:cs="宋体"/>
          <w:spacing w:val="-1"/>
          <w:sz w:val="16"/>
          <w:szCs w:val="16"/>
        </w:rPr>
        <w:t>pyridoxamine</w:t>
      </w:r>
      <w:r>
        <w:rPr>
          <w:rFonts w:ascii="宋体" w:eastAsia="宋体" w:hAnsi="宋体" w:cs="宋体"/>
          <w:spacing w:val="39"/>
          <w:sz w:val="16"/>
          <w:szCs w:val="16"/>
        </w:rPr>
        <w:t xml:space="preserve"> </w:t>
      </w:r>
      <w:r>
        <w:rPr>
          <w:rFonts w:ascii="宋体" w:eastAsia="宋体" w:hAnsi="宋体" w:cs="宋体"/>
          <w:spacing w:val="-1"/>
          <w:sz w:val="16"/>
          <w:szCs w:val="16"/>
        </w:rPr>
        <w:t>phosphate,PMP</w:t>
      </w:r>
      <w:r>
        <w:rPr>
          <w:rFonts w:ascii="宋体" w:eastAsia="宋体" w:hAnsi="宋体" w:cs="宋体"/>
          <w:spacing w:val="43"/>
          <w:w w:val="101"/>
          <w:sz w:val="16"/>
          <w:szCs w:val="16"/>
        </w:rPr>
        <w:t xml:space="preserve"> </w:t>
      </w:r>
      <w:r>
        <w:rPr>
          <w:rFonts w:ascii="宋体" w:eastAsia="宋体" w:hAnsi="宋体" w:cs="宋体"/>
          <w:spacing w:val="-1"/>
          <w:sz w:val="16"/>
          <w:szCs w:val="16"/>
        </w:rPr>
        <w:t>磷酸吡多胺</w:t>
      </w:r>
      <w:r>
        <w:rPr>
          <w:rFonts w:ascii="宋体" w:eastAsia="宋体" w:hAnsi="宋体" w:cs="宋体"/>
          <w:sz w:val="16"/>
          <w:szCs w:val="16"/>
        </w:rPr>
        <w:t xml:space="preserve"> pyridoxamine,PM</w:t>
      </w:r>
      <w:r>
        <w:rPr>
          <w:rFonts w:ascii="宋体" w:eastAsia="宋体" w:hAnsi="宋体" w:cs="宋体"/>
          <w:spacing w:val="28"/>
          <w:sz w:val="16"/>
          <w:szCs w:val="16"/>
        </w:rPr>
        <w:t xml:space="preserve">  </w:t>
      </w:r>
      <w:r>
        <w:rPr>
          <w:rFonts w:ascii="宋体" w:eastAsia="宋体" w:hAnsi="宋体" w:cs="宋体"/>
          <w:sz w:val="16"/>
          <w:szCs w:val="16"/>
        </w:rPr>
        <w:t>吡哆胺</w:t>
      </w:r>
    </w:p>
    <w:p w:rsidR="00EA40A3" w:rsidRDefault="00E86C16">
      <w:pPr>
        <w:spacing w:before="64" w:line="255" w:lineRule="exact"/>
        <w:rPr>
          <w:rFonts w:ascii="宋体" w:eastAsia="宋体" w:hAnsi="宋体" w:cs="宋体"/>
          <w:sz w:val="16"/>
          <w:szCs w:val="16"/>
        </w:rPr>
      </w:pPr>
      <w:r>
        <w:rPr>
          <w:rFonts w:ascii="宋体" w:eastAsia="宋体" w:hAnsi="宋体" w:cs="宋体"/>
          <w:position w:val="7"/>
          <w:sz w:val="16"/>
          <w:szCs w:val="16"/>
        </w:rPr>
        <w:t>pyridoxine</w:t>
      </w:r>
      <w:r>
        <w:rPr>
          <w:rFonts w:ascii="宋体" w:eastAsia="宋体" w:hAnsi="宋体" w:cs="宋体"/>
          <w:spacing w:val="3"/>
          <w:position w:val="7"/>
          <w:sz w:val="16"/>
          <w:szCs w:val="16"/>
        </w:rPr>
        <w:t>,</w:t>
      </w:r>
      <w:r>
        <w:rPr>
          <w:rFonts w:ascii="宋体" w:eastAsia="宋体" w:hAnsi="宋体" w:cs="宋体"/>
          <w:position w:val="7"/>
          <w:sz w:val="16"/>
          <w:szCs w:val="16"/>
        </w:rPr>
        <w:t>PN</w:t>
      </w:r>
      <w:r>
        <w:rPr>
          <w:rFonts w:ascii="宋体" w:eastAsia="宋体" w:hAnsi="宋体" w:cs="宋体"/>
          <w:spacing w:val="74"/>
          <w:position w:val="7"/>
          <w:sz w:val="16"/>
          <w:szCs w:val="16"/>
        </w:rPr>
        <w:t xml:space="preserve"> </w:t>
      </w:r>
      <w:r>
        <w:rPr>
          <w:rFonts w:ascii="宋体" w:eastAsia="宋体" w:hAnsi="宋体" w:cs="宋体"/>
          <w:spacing w:val="3"/>
          <w:position w:val="7"/>
          <w:sz w:val="16"/>
          <w:szCs w:val="16"/>
        </w:rPr>
        <w:t>吡哆醇</w:t>
      </w:r>
    </w:p>
    <w:p w:rsidR="00EA40A3" w:rsidRDefault="00E86C16">
      <w:pPr>
        <w:spacing w:line="219" w:lineRule="auto"/>
        <w:rPr>
          <w:rFonts w:ascii="宋体" w:eastAsia="宋体" w:hAnsi="宋体" w:cs="宋体"/>
          <w:sz w:val="16"/>
          <w:szCs w:val="16"/>
        </w:rPr>
      </w:pPr>
      <w:r>
        <w:rPr>
          <w:rFonts w:ascii="宋体" w:eastAsia="宋体" w:hAnsi="宋体" w:cs="宋体"/>
          <w:spacing w:val="-12"/>
          <w:sz w:val="16"/>
          <w:szCs w:val="16"/>
        </w:rPr>
        <w:t>raffinose</w:t>
      </w:r>
      <w:r>
        <w:rPr>
          <w:rFonts w:ascii="宋体" w:eastAsia="宋体" w:hAnsi="宋体" w:cs="宋体"/>
          <w:spacing w:val="49"/>
          <w:w w:val="101"/>
          <w:sz w:val="16"/>
          <w:szCs w:val="16"/>
        </w:rPr>
        <w:t xml:space="preserve"> </w:t>
      </w:r>
      <w:r>
        <w:rPr>
          <w:rFonts w:ascii="宋体" w:eastAsia="宋体" w:hAnsi="宋体" w:cs="宋体"/>
          <w:spacing w:val="-12"/>
          <w:sz w:val="16"/>
          <w:szCs w:val="16"/>
        </w:rPr>
        <w:t>棉籽糖</w:t>
      </w:r>
    </w:p>
    <w:p w:rsidR="00EA40A3" w:rsidRDefault="00E86C16">
      <w:pPr>
        <w:spacing w:before="56" w:line="250" w:lineRule="exact"/>
        <w:rPr>
          <w:rFonts w:ascii="宋体" w:eastAsia="宋体" w:hAnsi="宋体" w:cs="宋体"/>
          <w:sz w:val="16"/>
          <w:szCs w:val="16"/>
        </w:rPr>
      </w:pPr>
      <w:r>
        <w:rPr>
          <w:rFonts w:ascii="宋体" w:eastAsia="宋体" w:hAnsi="宋体" w:cs="宋体"/>
          <w:spacing w:val="-12"/>
          <w:position w:val="6"/>
          <w:sz w:val="16"/>
          <w:szCs w:val="16"/>
        </w:rPr>
        <w:t>receptive</w:t>
      </w:r>
      <w:r>
        <w:rPr>
          <w:rFonts w:ascii="宋体" w:eastAsia="宋体" w:hAnsi="宋体" w:cs="宋体"/>
          <w:spacing w:val="-6"/>
          <w:position w:val="6"/>
          <w:sz w:val="16"/>
          <w:szCs w:val="16"/>
        </w:rPr>
        <w:t xml:space="preserve"> </w:t>
      </w:r>
      <w:r>
        <w:rPr>
          <w:rFonts w:ascii="宋体" w:eastAsia="宋体" w:hAnsi="宋体" w:cs="宋体"/>
          <w:spacing w:val="-12"/>
          <w:position w:val="6"/>
          <w:sz w:val="16"/>
          <w:szCs w:val="16"/>
        </w:rPr>
        <w:t>relaxation</w:t>
      </w:r>
      <w:r>
        <w:rPr>
          <w:rFonts w:ascii="宋体" w:eastAsia="宋体" w:hAnsi="宋体" w:cs="宋体"/>
          <w:spacing w:val="56"/>
          <w:position w:val="6"/>
          <w:sz w:val="16"/>
          <w:szCs w:val="16"/>
        </w:rPr>
        <w:t xml:space="preserve"> </w:t>
      </w:r>
      <w:r>
        <w:rPr>
          <w:rFonts w:ascii="宋体" w:eastAsia="宋体" w:hAnsi="宋体" w:cs="宋体"/>
          <w:spacing w:val="-12"/>
          <w:position w:val="6"/>
          <w:sz w:val="16"/>
          <w:szCs w:val="16"/>
        </w:rPr>
        <w:t>容受性舒张</w:t>
      </w:r>
    </w:p>
    <w:p w:rsidR="00EA40A3" w:rsidRDefault="00E86C16">
      <w:pPr>
        <w:spacing w:line="214" w:lineRule="auto"/>
        <w:rPr>
          <w:rFonts w:ascii="宋体" w:eastAsia="宋体" w:hAnsi="宋体" w:cs="宋体"/>
          <w:sz w:val="16"/>
          <w:szCs w:val="16"/>
        </w:rPr>
      </w:pPr>
      <w:r>
        <w:rPr>
          <w:rFonts w:ascii="宋体" w:eastAsia="宋体" w:hAnsi="宋体" w:cs="宋体"/>
          <w:spacing w:val="-11"/>
          <w:sz w:val="16"/>
          <w:szCs w:val="16"/>
        </w:rPr>
        <w:t>recipe</w:t>
      </w:r>
      <w:r>
        <w:rPr>
          <w:rFonts w:ascii="宋体" w:eastAsia="宋体" w:hAnsi="宋体" w:cs="宋体"/>
          <w:spacing w:val="43"/>
          <w:w w:val="101"/>
          <w:sz w:val="16"/>
          <w:szCs w:val="16"/>
        </w:rPr>
        <w:t xml:space="preserve"> </w:t>
      </w:r>
      <w:r>
        <w:rPr>
          <w:rFonts w:ascii="宋体" w:eastAsia="宋体" w:hAnsi="宋体" w:cs="宋体"/>
          <w:spacing w:val="-11"/>
          <w:sz w:val="16"/>
          <w:szCs w:val="16"/>
        </w:rPr>
        <w:t>食谱</w:t>
      </w:r>
    </w:p>
    <w:p w:rsidR="00EA40A3" w:rsidRDefault="00E86C16">
      <w:pPr>
        <w:spacing w:before="65" w:line="253" w:lineRule="auto"/>
        <w:ind w:right="76"/>
        <w:rPr>
          <w:rFonts w:ascii="宋体" w:eastAsia="宋体" w:hAnsi="宋体" w:cs="宋体"/>
          <w:sz w:val="16"/>
          <w:szCs w:val="16"/>
        </w:rPr>
      </w:pPr>
      <w:r>
        <w:rPr>
          <w:rFonts w:ascii="宋体" w:eastAsia="宋体" w:hAnsi="宋体" w:cs="宋体"/>
          <w:spacing w:val="-1"/>
          <w:sz w:val="16"/>
          <w:szCs w:val="16"/>
        </w:rPr>
        <w:t>reconmended</w:t>
      </w:r>
      <w:r>
        <w:rPr>
          <w:rFonts w:ascii="宋体" w:eastAsia="宋体" w:hAnsi="宋体" w:cs="宋体"/>
          <w:spacing w:val="8"/>
          <w:sz w:val="16"/>
          <w:szCs w:val="16"/>
        </w:rPr>
        <w:t xml:space="preserve"> </w:t>
      </w:r>
      <w:r>
        <w:rPr>
          <w:rFonts w:ascii="宋体" w:eastAsia="宋体" w:hAnsi="宋体" w:cs="宋体"/>
          <w:spacing w:val="-1"/>
          <w:sz w:val="16"/>
          <w:szCs w:val="16"/>
        </w:rPr>
        <w:t>dietary</w:t>
      </w:r>
      <w:r>
        <w:rPr>
          <w:rFonts w:ascii="宋体" w:eastAsia="宋体" w:hAnsi="宋体" w:cs="宋体"/>
          <w:spacing w:val="6"/>
          <w:sz w:val="16"/>
          <w:szCs w:val="16"/>
        </w:rPr>
        <w:t xml:space="preserve"> </w:t>
      </w:r>
      <w:r>
        <w:rPr>
          <w:rFonts w:ascii="宋体" w:eastAsia="宋体" w:hAnsi="宋体" w:cs="宋体"/>
          <w:spacing w:val="-1"/>
          <w:sz w:val="16"/>
          <w:szCs w:val="16"/>
        </w:rPr>
        <w:t>allowa</w:t>
      </w:r>
      <w:r>
        <w:rPr>
          <w:rFonts w:ascii="宋体" w:eastAsia="宋体" w:hAnsi="宋体" w:cs="宋体"/>
          <w:spacing w:val="-2"/>
          <w:sz w:val="16"/>
          <w:szCs w:val="16"/>
        </w:rPr>
        <w:t>nce,RDA</w:t>
      </w:r>
      <w:r>
        <w:rPr>
          <w:rFonts w:ascii="宋体" w:eastAsia="宋体" w:hAnsi="宋体" w:cs="宋体"/>
          <w:spacing w:val="46"/>
          <w:w w:val="101"/>
          <w:sz w:val="16"/>
          <w:szCs w:val="16"/>
        </w:rPr>
        <w:t xml:space="preserve"> </w:t>
      </w:r>
      <w:r>
        <w:rPr>
          <w:rFonts w:ascii="宋体" w:eastAsia="宋体" w:hAnsi="宋体" w:cs="宋体"/>
          <w:spacing w:val="-2"/>
          <w:sz w:val="16"/>
          <w:szCs w:val="16"/>
        </w:rPr>
        <w:t>推荐摄入量</w:t>
      </w:r>
      <w:r>
        <w:rPr>
          <w:rFonts w:ascii="宋体" w:eastAsia="宋体" w:hAnsi="宋体" w:cs="宋体"/>
          <w:sz w:val="16"/>
          <w:szCs w:val="16"/>
        </w:rPr>
        <w:t xml:space="preserve"> </w:t>
      </w:r>
      <w:r>
        <w:rPr>
          <w:rFonts w:ascii="宋体" w:eastAsia="宋体" w:hAnsi="宋体" w:cs="宋体"/>
          <w:spacing w:val="-3"/>
          <w:sz w:val="16"/>
          <w:szCs w:val="16"/>
        </w:rPr>
        <w:t>recommended</w:t>
      </w:r>
      <w:r>
        <w:rPr>
          <w:rFonts w:ascii="宋体" w:eastAsia="宋体" w:hAnsi="宋体" w:cs="宋体"/>
          <w:spacing w:val="1"/>
          <w:sz w:val="16"/>
          <w:szCs w:val="16"/>
        </w:rPr>
        <w:t xml:space="preserve"> </w:t>
      </w:r>
      <w:r>
        <w:rPr>
          <w:rFonts w:ascii="宋体" w:eastAsia="宋体" w:hAnsi="宋体" w:cs="宋体"/>
          <w:spacing w:val="-3"/>
          <w:sz w:val="16"/>
          <w:szCs w:val="16"/>
        </w:rPr>
        <w:t>nutrient</w:t>
      </w:r>
      <w:r>
        <w:rPr>
          <w:rFonts w:ascii="宋体" w:eastAsia="宋体" w:hAnsi="宋体" w:cs="宋体"/>
          <w:spacing w:val="13"/>
          <w:sz w:val="16"/>
          <w:szCs w:val="16"/>
        </w:rPr>
        <w:t xml:space="preserve"> </w:t>
      </w:r>
      <w:r>
        <w:rPr>
          <w:rFonts w:ascii="宋体" w:eastAsia="宋体" w:hAnsi="宋体" w:cs="宋体"/>
          <w:spacing w:val="-3"/>
          <w:sz w:val="16"/>
          <w:szCs w:val="16"/>
        </w:rPr>
        <w:t>i</w:t>
      </w:r>
      <w:r>
        <w:rPr>
          <w:rFonts w:ascii="宋体" w:eastAsia="宋体" w:hAnsi="宋体" w:cs="宋体"/>
          <w:spacing w:val="-4"/>
          <w:sz w:val="16"/>
          <w:szCs w:val="16"/>
        </w:rPr>
        <w:t>ntake,RNI</w:t>
      </w:r>
      <w:r>
        <w:rPr>
          <w:rFonts w:ascii="宋体" w:eastAsia="宋体" w:hAnsi="宋体" w:cs="宋体"/>
          <w:spacing w:val="46"/>
          <w:sz w:val="16"/>
          <w:szCs w:val="16"/>
        </w:rPr>
        <w:t xml:space="preserve"> </w:t>
      </w:r>
      <w:r>
        <w:rPr>
          <w:rFonts w:ascii="宋体" w:eastAsia="宋体" w:hAnsi="宋体" w:cs="宋体"/>
          <w:spacing w:val="-4"/>
          <w:sz w:val="16"/>
          <w:szCs w:val="16"/>
        </w:rPr>
        <w:t>推荐摄入量</w:t>
      </w:r>
    </w:p>
    <w:p w:rsidR="00EA40A3" w:rsidRDefault="00E86C16">
      <w:pPr>
        <w:spacing w:before="61" w:line="214" w:lineRule="auto"/>
        <w:rPr>
          <w:rFonts w:ascii="宋体" w:eastAsia="宋体" w:hAnsi="宋体" w:cs="宋体"/>
          <w:sz w:val="16"/>
          <w:szCs w:val="16"/>
        </w:rPr>
      </w:pPr>
      <w:r>
        <w:rPr>
          <w:rFonts w:ascii="宋体" w:eastAsia="宋体" w:hAnsi="宋体" w:cs="宋体"/>
          <w:spacing w:val="-11"/>
          <w:sz w:val="16"/>
          <w:szCs w:val="16"/>
        </w:rPr>
        <w:t>reference</w:t>
      </w:r>
      <w:r>
        <w:rPr>
          <w:rFonts w:ascii="宋体" w:eastAsia="宋体" w:hAnsi="宋体" w:cs="宋体"/>
          <w:spacing w:val="-2"/>
          <w:sz w:val="16"/>
          <w:szCs w:val="16"/>
        </w:rPr>
        <w:t xml:space="preserve"> </w:t>
      </w:r>
      <w:r>
        <w:rPr>
          <w:rFonts w:ascii="宋体" w:eastAsia="宋体" w:hAnsi="宋体" w:cs="宋体"/>
          <w:spacing w:val="-11"/>
          <w:sz w:val="16"/>
          <w:szCs w:val="16"/>
        </w:rPr>
        <w:t>protein</w:t>
      </w:r>
      <w:r>
        <w:rPr>
          <w:rFonts w:ascii="宋体" w:eastAsia="宋体" w:hAnsi="宋体" w:cs="宋体"/>
          <w:spacing w:val="56"/>
          <w:sz w:val="16"/>
          <w:szCs w:val="16"/>
        </w:rPr>
        <w:t xml:space="preserve"> </w:t>
      </w:r>
      <w:r>
        <w:rPr>
          <w:rFonts w:ascii="宋体" w:eastAsia="宋体" w:hAnsi="宋体" w:cs="宋体"/>
          <w:spacing w:val="-11"/>
          <w:sz w:val="16"/>
          <w:szCs w:val="16"/>
        </w:rPr>
        <w:t>参考蛋白质</w:t>
      </w:r>
    </w:p>
    <w:p w:rsidR="00EA40A3" w:rsidRDefault="00E86C16">
      <w:pPr>
        <w:spacing w:before="64" w:line="254" w:lineRule="exact"/>
        <w:rPr>
          <w:rFonts w:ascii="宋体" w:eastAsia="宋体" w:hAnsi="宋体" w:cs="宋体"/>
          <w:sz w:val="16"/>
          <w:szCs w:val="16"/>
        </w:rPr>
      </w:pPr>
      <w:r>
        <w:rPr>
          <w:rFonts w:ascii="宋体" w:eastAsia="宋体" w:hAnsi="宋体" w:cs="宋体"/>
          <w:spacing w:val="-6"/>
          <w:position w:val="7"/>
          <w:sz w:val="16"/>
          <w:szCs w:val="16"/>
        </w:rPr>
        <w:t>respiratory</w:t>
      </w:r>
      <w:r>
        <w:rPr>
          <w:rFonts w:ascii="宋体" w:eastAsia="宋体" w:hAnsi="宋体" w:cs="宋体"/>
          <w:spacing w:val="4"/>
          <w:position w:val="7"/>
          <w:sz w:val="16"/>
          <w:szCs w:val="16"/>
        </w:rPr>
        <w:t xml:space="preserve"> </w:t>
      </w:r>
      <w:r>
        <w:rPr>
          <w:rFonts w:ascii="宋体" w:eastAsia="宋体" w:hAnsi="宋体" w:cs="宋体"/>
          <w:spacing w:val="-6"/>
          <w:position w:val="7"/>
          <w:sz w:val="16"/>
          <w:szCs w:val="16"/>
        </w:rPr>
        <w:t>quotient,RQ</w:t>
      </w:r>
      <w:r>
        <w:rPr>
          <w:rFonts w:ascii="宋体" w:eastAsia="宋体" w:hAnsi="宋体" w:cs="宋体"/>
          <w:spacing w:val="65"/>
          <w:position w:val="7"/>
          <w:sz w:val="16"/>
          <w:szCs w:val="16"/>
        </w:rPr>
        <w:t xml:space="preserve"> </w:t>
      </w:r>
      <w:r>
        <w:rPr>
          <w:rFonts w:ascii="宋体" w:eastAsia="宋体" w:hAnsi="宋体" w:cs="宋体"/>
          <w:spacing w:val="-6"/>
          <w:position w:val="7"/>
          <w:sz w:val="16"/>
          <w:szCs w:val="16"/>
        </w:rPr>
        <w:t>呼吸商</w:t>
      </w:r>
    </w:p>
    <w:p w:rsidR="00EA40A3" w:rsidRDefault="00E86C16">
      <w:pPr>
        <w:spacing w:before="1" w:line="219" w:lineRule="auto"/>
        <w:rPr>
          <w:rFonts w:ascii="宋体" w:eastAsia="宋体" w:hAnsi="宋体" w:cs="宋体"/>
          <w:sz w:val="16"/>
          <w:szCs w:val="16"/>
        </w:rPr>
      </w:pPr>
      <w:r>
        <w:rPr>
          <w:rFonts w:ascii="宋体" w:eastAsia="宋体" w:hAnsi="宋体" w:cs="宋体"/>
          <w:spacing w:val="-17"/>
          <w:sz w:val="16"/>
          <w:szCs w:val="16"/>
        </w:rPr>
        <w:t>retinoic</w:t>
      </w:r>
      <w:r>
        <w:rPr>
          <w:rFonts w:ascii="宋体" w:eastAsia="宋体" w:hAnsi="宋体" w:cs="宋体"/>
          <w:spacing w:val="-7"/>
          <w:sz w:val="16"/>
          <w:szCs w:val="16"/>
        </w:rPr>
        <w:t xml:space="preserve"> </w:t>
      </w:r>
      <w:r>
        <w:rPr>
          <w:rFonts w:ascii="宋体" w:eastAsia="宋体" w:hAnsi="宋体" w:cs="宋体"/>
          <w:spacing w:val="-17"/>
          <w:sz w:val="16"/>
          <w:szCs w:val="16"/>
        </w:rPr>
        <w:t>acid</w:t>
      </w:r>
      <w:r>
        <w:rPr>
          <w:rFonts w:ascii="宋体" w:eastAsia="宋体" w:hAnsi="宋体" w:cs="宋体"/>
          <w:spacing w:val="57"/>
          <w:sz w:val="16"/>
          <w:szCs w:val="16"/>
        </w:rPr>
        <w:t xml:space="preserve"> </w:t>
      </w:r>
      <w:r>
        <w:rPr>
          <w:rFonts w:ascii="宋体" w:eastAsia="宋体" w:hAnsi="宋体" w:cs="宋体"/>
          <w:spacing w:val="-17"/>
          <w:sz w:val="16"/>
          <w:szCs w:val="16"/>
        </w:rPr>
        <w:t>视黄酸</w:t>
      </w:r>
    </w:p>
    <w:p w:rsidR="00EA40A3" w:rsidRDefault="00E86C16">
      <w:pPr>
        <w:spacing w:before="58" w:line="216" w:lineRule="auto"/>
        <w:rPr>
          <w:rFonts w:ascii="宋体" w:eastAsia="宋体" w:hAnsi="宋体" w:cs="宋体"/>
          <w:sz w:val="16"/>
          <w:szCs w:val="16"/>
        </w:rPr>
      </w:pPr>
      <w:r>
        <w:rPr>
          <w:rFonts w:ascii="宋体" w:eastAsia="宋体" w:hAnsi="宋体" w:cs="宋体"/>
          <w:spacing w:val="-9"/>
          <w:sz w:val="16"/>
          <w:szCs w:val="16"/>
        </w:rPr>
        <w:t>retinol</w:t>
      </w:r>
      <w:r>
        <w:rPr>
          <w:rFonts w:ascii="宋体" w:eastAsia="宋体" w:hAnsi="宋体" w:cs="宋体"/>
          <w:spacing w:val="60"/>
          <w:w w:val="101"/>
          <w:sz w:val="16"/>
          <w:szCs w:val="16"/>
        </w:rPr>
        <w:t xml:space="preserve"> </w:t>
      </w:r>
      <w:r>
        <w:rPr>
          <w:rFonts w:ascii="宋体" w:eastAsia="宋体" w:hAnsi="宋体" w:cs="宋体"/>
          <w:spacing w:val="-9"/>
          <w:sz w:val="16"/>
          <w:szCs w:val="16"/>
        </w:rPr>
        <w:t>维生素</w:t>
      </w:r>
      <w:r>
        <w:rPr>
          <w:rFonts w:ascii="宋体" w:eastAsia="宋体" w:hAnsi="宋体" w:cs="宋体"/>
          <w:spacing w:val="-42"/>
          <w:sz w:val="16"/>
          <w:szCs w:val="16"/>
        </w:rPr>
        <w:t xml:space="preserve"> </w:t>
      </w:r>
      <w:r>
        <w:rPr>
          <w:rFonts w:ascii="宋体" w:eastAsia="宋体" w:hAnsi="宋体" w:cs="宋体"/>
          <w:spacing w:val="-9"/>
          <w:sz w:val="16"/>
          <w:szCs w:val="16"/>
        </w:rPr>
        <w:t>A,</w:t>
      </w:r>
      <w:r>
        <w:rPr>
          <w:rFonts w:ascii="宋体" w:eastAsia="宋体" w:hAnsi="宋体" w:cs="宋体"/>
          <w:spacing w:val="32"/>
          <w:sz w:val="16"/>
          <w:szCs w:val="16"/>
        </w:rPr>
        <w:t xml:space="preserve"> </w:t>
      </w:r>
      <w:r>
        <w:rPr>
          <w:rFonts w:ascii="宋体" w:eastAsia="宋体" w:hAnsi="宋体" w:cs="宋体"/>
          <w:spacing w:val="-9"/>
          <w:sz w:val="16"/>
          <w:szCs w:val="16"/>
        </w:rPr>
        <w:t>视黄醇</w:t>
      </w:r>
    </w:p>
    <w:p w:rsidR="00EA40A3" w:rsidRDefault="00E86C16">
      <w:pPr>
        <w:spacing w:before="61" w:line="215" w:lineRule="auto"/>
        <w:rPr>
          <w:rFonts w:ascii="宋体" w:eastAsia="宋体" w:hAnsi="宋体" w:cs="宋体"/>
          <w:sz w:val="16"/>
          <w:szCs w:val="16"/>
        </w:rPr>
      </w:pPr>
      <w:r>
        <w:rPr>
          <w:rFonts w:ascii="宋体" w:eastAsia="宋体" w:hAnsi="宋体" w:cs="宋体"/>
          <w:spacing w:val="-10"/>
          <w:sz w:val="16"/>
          <w:szCs w:val="16"/>
        </w:rPr>
        <w:t>retinyl</w:t>
      </w:r>
      <w:r>
        <w:rPr>
          <w:rFonts w:ascii="宋体" w:eastAsia="宋体" w:hAnsi="宋体" w:cs="宋体"/>
          <w:spacing w:val="-2"/>
          <w:sz w:val="16"/>
          <w:szCs w:val="16"/>
        </w:rPr>
        <w:t xml:space="preserve"> </w:t>
      </w:r>
      <w:r>
        <w:rPr>
          <w:rFonts w:ascii="宋体" w:eastAsia="宋体" w:hAnsi="宋体" w:cs="宋体"/>
          <w:spacing w:val="-10"/>
          <w:sz w:val="16"/>
          <w:szCs w:val="16"/>
        </w:rPr>
        <w:t>aldehyde,retinal</w:t>
      </w:r>
      <w:r>
        <w:rPr>
          <w:rFonts w:ascii="宋体" w:eastAsia="宋体" w:hAnsi="宋体" w:cs="宋体"/>
          <w:spacing w:val="47"/>
          <w:sz w:val="16"/>
          <w:szCs w:val="16"/>
        </w:rPr>
        <w:t xml:space="preserve"> </w:t>
      </w:r>
      <w:r>
        <w:rPr>
          <w:rFonts w:ascii="宋体" w:eastAsia="宋体" w:hAnsi="宋体" w:cs="宋体"/>
          <w:spacing w:val="-10"/>
          <w:sz w:val="16"/>
          <w:szCs w:val="16"/>
        </w:rPr>
        <w:t>视黄醛</w:t>
      </w:r>
    </w:p>
    <w:p w:rsidR="00EA40A3" w:rsidRDefault="00E86C16">
      <w:pPr>
        <w:spacing w:before="62" w:line="214" w:lineRule="auto"/>
        <w:rPr>
          <w:rFonts w:ascii="宋体" w:eastAsia="宋体" w:hAnsi="宋体" w:cs="宋体"/>
          <w:sz w:val="16"/>
          <w:szCs w:val="16"/>
        </w:rPr>
      </w:pPr>
      <w:r>
        <w:rPr>
          <w:rFonts w:ascii="宋体" w:eastAsia="宋体" w:hAnsi="宋体" w:cs="宋体"/>
          <w:spacing w:val="-7"/>
          <w:sz w:val="16"/>
          <w:szCs w:val="16"/>
        </w:rPr>
        <w:t>retionl</w:t>
      </w:r>
      <w:r>
        <w:rPr>
          <w:rFonts w:ascii="宋体" w:eastAsia="宋体" w:hAnsi="宋体" w:cs="宋体"/>
          <w:spacing w:val="7"/>
          <w:sz w:val="16"/>
          <w:szCs w:val="16"/>
        </w:rPr>
        <w:t xml:space="preserve"> </w:t>
      </w:r>
      <w:r>
        <w:rPr>
          <w:rFonts w:ascii="宋体" w:eastAsia="宋体" w:hAnsi="宋体" w:cs="宋体"/>
          <w:spacing w:val="-7"/>
          <w:sz w:val="16"/>
          <w:szCs w:val="16"/>
        </w:rPr>
        <w:t>binding</w:t>
      </w:r>
      <w:r>
        <w:rPr>
          <w:rFonts w:ascii="宋体" w:eastAsia="宋体" w:hAnsi="宋体" w:cs="宋体"/>
          <w:spacing w:val="-4"/>
          <w:sz w:val="16"/>
          <w:szCs w:val="16"/>
        </w:rPr>
        <w:t xml:space="preserve"> </w:t>
      </w:r>
      <w:r>
        <w:rPr>
          <w:rFonts w:ascii="宋体" w:eastAsia="宋体" w:hAnsi="宋体" w:cs="宋体"/>
          <w:spacing w:val="-7"/>
          <w:sz w:val="16"/>
          <w:szCs w:val="16"/>
        </w:rPr>
        <w:t>proetin,RBP</w:t>
      </w:r>
      <w:r>
        <w:rPr>
          <w:rFonts w:ascii="宋体" w:eastAsia="宋体" w:hAnsi="宋体" w:cs="宋体"/>
          <w:spacing w:val="55"/>
          <w:sz w:val="16"/>
          <w:szCs w:val="16"/>
        </w:rPr>
        <w:t xml:space="preserve"> </w:t>
      </w:r>
      <w:r>
        <w:rPr>
          <w:rFonts w:ascii="宋体" w:eastAsia="宋体" w:hAnsi="宋体" w:cs="宋体"/>
          <w:spacing w:val="-7"/>
          <w:sz w:val="16"/>
          <w:szCs w:val="16"/>
        </w:rPr>
        <w:t>视黄醇结合蛋白</w:t>
      </w:r>
    </w:p>
    <w:p w:rsidR="00EA40A3" w:rsidRDefault="00E86C16">
      <w:pPr>
        <w:spacing w:before="70" w:line="250" w:lineRule="exact"/>
        <w:rPr>
          <w:rFonts w:ascii="Calibri" w:eastAsia="Calibri" w:hAnsi="Calibri" w:cs="Calibri"/>
          <w:sz w:val="16"/>
          <w:szCs w:val="16"/>
        </w:rPr>
      </w:pPr>
      <w:r>
        <w:rPr>
          <w:rFonts w:ascii="宋体" w:eastAsia="宋体" w:hAnsi="宋体" w:cs="宋体"/>
          <w:spacing w:val="-10"/>
          <w:position w:val="6"/>
          <w:sz w:val="16"/>
          <w:szCs w:val="16"/>
        </w:rPr>
        <w:t>riboflavin</w:t>
      </w:r>
      <w:r>
        <w:rPr>
          <w:rFonts w:ascii="宋体" w:eastAsia="宋体" w:hAnsi="宋体" w:cs="宋体"/>
          <w:spacing w:val="46"/>
          <w:position w:val="6"/>
          <w:sz w:val="16"/>
          <w:szCs w:val="16"/>
        </w:rPr>
        <w:t xml:space="preserve"> </w:t>
      </w:r>
      <w:r>
        <w:rPr>
          <w:rFonts w:ascii="宋体" w:eastAsia="宋体" w:hAnsi="宋体" w:cs="宋体"/>
          <w:spacing w:val="-10"/>
          <w:position w:val="6"/>
          <w:sz w:val="16"/>
          <w:szCs w:val="16"/>
        </w:rPr>
        <w:t>核黄素，维生素B</w:t>
      </w:r>
      <w:r>
        <w:rPr>
          <w:rFonts w:ascii="Calibri" w:eastAsia="Calibri" w:hAnsi="Calibri" w:cs="Calibri"/>
          <w:spacing w:val="-10"/>
          <w:position w:val="6"/>
          <w:sz w:val="16"/>
          <w:szCs w:val="16"/>
        </w:rPr>
        <w:t>₂</w:t>
      </w:r>
    </w:p>
    <w:p w:rsidR="00EA40A3" w:rsidRDefault="00E86C16">
      <w:pPr>
        <w:spacing w:line="220" w:lineRule="auto"/>
        <w:rPr>
          <w:rFonts w:ascii="宋体" w:eastAsia="宋体" w:hAnsi="宋体" w:cs="宋体"/>
          <w:sz w:val="16"/>
          <w:szCs w:val="16"/>
        </w:rPr>
      </w:pPr>
      <w:r>
        <w:rPr>
          <w:rFonts w:ascii="宋体" w:eastAsia="宋体" w:hAnsi="宋体" w:cs="宋体"/>
          <w:spacing w:val="-14"/>
          <w:sz w:val="16"/>
          <w:szCs w:val="16"/>
        </w:rPr>
        <w:t>rickets</w:t>
      </w:r>
      <w:r>
        <w:rPr>
          <w:rFonts w:ascii="宋体" w:eastAsia="宋体" w:hAnsi="宋体" w:cs="宋体"/>
          <w:spacing w:val="64"/>
          <w:w w:val="101"/>
          <w:sz w:val="16"/>
          <w:szCs w:val="16"/>
        </w:rPr>
        <w:t xml:space="preserve"> </w:t>
      </w:r>
      <w:r>
        <w:rPr>
          <w:rFonts w:ascii="宋体" w:eastAsia="宋体" w:hAnsi="宋体" w:cs="宋体"/>
          <w:spacing w:val="-14"/>
          <w:sz w:val="16"/>
          <w:szCs w:val="16"/>
        </w:rPr>
        <w:t>佝偻病</w:t>
      </w:r>
    </w:p>
    <w:p w:rsidR="00EA40A3" w:rsidRDefault="00E86C16">
      <w:pPr>
        <w:spacing w:before="57" w:line="248" w:lineRule="exact"/>
        <w:rPr>
          <w:rFonts w:ascii="宋体" w:eastAsia="宋体" w:hAnsi="宋体" w:cs="宋体"/>
          <w:sz w:val="16"/>
          <w:szCs w:val="16"/>
        </w:rPr>
      </w:pPr>
      <w:r>
        <w:rPr>
          <w:rFonts w:ascii="宋体" w:eastAsia="宋体" w:hAnsi="宋体" w:cs="宋体"/>
          <w:spacing w:val="-1"/>
          <w:position w:val="6"/>
          <w:sz w:val="16"/>
          <w:szCs w:val="16"/>
        </w:rPr>
        <w:t>rotavirus,RV</w:t>
      </w:r>
      <w:r>
        <w:rPr>
          <w:rFonts w:ascii="宋体" w:eastAsia="宋体" w:hAnsi="宋体" w:cs="宋体"/>
          <w:spacing w:val="70"/>
          <w:position w:val="6"/>
          <w:sz w:val="16"/>
          <w:szCs w:val="16"/>
        </w:rPr>
        <w:t xml:space="preserve"> </w:t>
      </w:r>
      <w:r>
        <w:rPr>
          <w:rFonts w:ascii="宋体" w:eastAsia="宋体" w:hAnsi="宋体" w:cs="宋体"/>
          <w:spacing w:val="-1"/>
          <w:position w:val="6"/>
          <w:sz w:val="16"/>
          <w:szCs w:val="16"/>
        </w:rPr>
        <w:t>轮状病毒</w:t>
      </w:r>
    </w:p>
    <w:p w:rsidR="00EA40A3" w:rsidRDefault="00E86C16">
      <w:pPr>
        <w:spacing w:line="215" w:lineRule="auto"/>
        <w:rPr>
          <w:rFonts w:ascii="宋体" w:eastAsia="宋体" w:hAnsi="宋体" w:cs="宋体"/>
          <w:sz w:val="16"/>
          <w:szCs w:val="16"/>
        </w:rPr>
      </w:pPr>
      <w:r>
        <w:rPr>
          <w:rFonts w:ascii="宋体" w:eastAsia="宋体" w:hAnsi="宋体" w:cs="宋体"/>
          <w:spacing w:val="-19"/>
          <w:sz w:val="16"/>
          <w:szCs w:val="16"/>
        </w:rPr>
        <w:t>salicylic</w:t>
      </w:r>
      <w:r>
        <w:rPr>
          <w:rFonts w:ascii="宋体" w:eastAsia="宋体" w:hAnsi="宋体" w:cs="宋体"/>
          <w:spacing w:val="-10"/>
          <w:sz w:val="16"/>
          <w:szCs w:val="16"/>
        </w:rPr>
        <w:t xml:space="preserve"> </w:t>
      </w:r>
      <w:r>
        <w:rPr>
          <w:rFonts w:ascii="宋体" w:eastAsia="宋体" w:hAnsi="宋体" w:cs="宋体"/>
          <w:spacing w:val="-19"/>
          <w:sz w:val="16"/>
          <w:szCs w:val="16"/>
        </w:rPr>
        <w:t>acid</w:t>
      </w:r>
      <w:r>
        <w:rPr>
          <w:rFonts w:ascii="宋体" w:eastAsia="宋体" w:hAnsi="宋体" w:cs="宋体"/>
          <w:spacing w:val="57"/>
          <w:sz w:val="16"/>
          <w:szCs w:val="16"/>
        </w:rPr>
        <w:t xml:space="preserve"> </w:t>
      </w:r>
      <w:r>
        <w:rPr>
          <w:rFonts w:ascii="宋体" w:eastAsia="宋体" w:hAnsi="宋体" w:cs="宋体"/>
          <w:spacing w:val="-19"/>
          <w:sz w:val="16"/>
          <w:szCs w:val="16"/>
        </w:rPr>
        <w:t>水杨酸</w:t>
      </w:r>
    </w:p>
    <w:p w:rsidR="00EA40A3" w:rsidRDefault="00E86C16">
      <w:pPr>
        <w:spacing w:before="62" w:line="214" w:lineRule="auto"/>
        <w:rPr>
          <w:rFonts w:ascii="宋体" w:eastAsia="宋体" w:hAnsi="宋体" w:cs="宋体"/>
          <w:sz w:val="16"/>
          <w:szCs w:val="16"/>
        </w:rPr>
      </w:pPr>
      <w:r>
        <w:rPr>
          <w:rFonts w:ascii="宋体" w:eastAsia="宋体" w:hAnsi="宋体" w:cs="宋体"/>
          <w:spacing w:val="-14"/>
          <w:sz w:val="16"/>
          <w:szCs w:val="16"/>
        </w:rPr>
        <w:t>salivary</w:t>
      </w:r>
      <w:r>
        <w:rPr>
          <w:rFonts w:ascii="宋体" w:eastAsia="宋体" w:hAnsi="宋体" w:cs="宋体"/>
          <w:spacing w:val="7"/>
          <w:sz w:val="16"/>
          <w:szCs w:val="16"/>
        </w:rPr>
        <w:t xml:space="preserve"> </w:t>
      </w:r>
      <w:r>
        <w:rPr>
          <w:rFonts w:ascii="宋体" w:eastAsia="宋体" w:hAnsi="宋体" w:cs="宋体"/>
          <w:spacing w:val="-14"/>
          <w:sz w:val="16"/>
          <w:szCs w:val="16"/>
        </w:rPr>
        <w:t>gland</w:t>
      </w:r>
      <w:r>
        <w:rPr>
          <w:rFonts w:ascii="宋体" w:eastAsia="宋体" w:hAnsi="宋体" w:cs="宋体"/>
          <w:spacing w:val="57"/>
          <w:sz w:val="16"/>
          <w:szCs w:val="16"/>
        </w:rPr>
        <w:t xml:space="preserve"> </w:t>
      </w:r>
      <w:r>
        <w:rPr>
          <w:rFonts w:ascii="宋体" w:eastAsia="宋体" w:hAnsi="宋体" w:cs="宋体"/>
          <w:spacing w:val="-14"/>
          <w:sz w:val="16"/>
          <w:szCs w:val="16"/>
        </w:rPr>
        <w:t>唾液腺</w:t>
      </w:r>
    </w:p>
    <w:p w:rsidR="00EA40A3" w:rsidRDefault="00E86C16">
      <w:pPr>
        <w:spacing w:before="66" w:line="250" w:lineRule="exact"/>
        <w:rPr>
          <w:rFonts w:ascii="宋体" w:eastAsia="宋体" w:hAnsi="宋体" w:cs="宋体"/>
          <w:sz w:val="16"/>
          <w:szCs w:val="16"/>
        </w:rPr>
      </w:pPr>
      <w:r>
        <w:rPr>
          <w:rFonts w:ascii="宋体" w:eastAsia="宋体" w:hAnsi="宋体" w:cs="宋体"/>
          <w:spacing w:val="-5"/>
          <w:position w:val="6"/>
          <w:sz w:val="16"/>
          <w:szCs w:val="16"/>
        </w:rPr>
        <w:t>saponins</w:t>
      </w:r>
      <w:r>
        <w:rPr>
          <w:rFonts w:ascii="宋体" w:eastAsia="宋体" w:hAnsi="宋体" w:cs="宋体"/>
          <w:spacing w:val="55"/>
          <w:w w:val="101"/>
          <w:position w:val="6"/>
          <w:sz w:val="16"/>
          <w:szCs w:val="16"/>
        </w:rPr>
        <w:t xml:space="preserve"> </w:t>
      </w:r>
      <w:r>
        <w:rPr>
          <w:rFonts w:ascii="宋体" w:eastAsia="宋体" w:hAnsi="宋体" w:cs="宋体"/>
          <w:spacing w:val="-5"/>
          <w:position w:val="6"/>
          <w:sz w:val="16"/>
          <w:szCs w:val="16"/>
        </w:rPr>
        <w:t>皂苷，也称皂素或皂草苷</w:t>
      </w:r>
    </w:p>
    <w:p w:rsidR="00EA40A3" w:rsidRDefault="00E86C16">
      <w:pPr>
        <w:spacing w:line="214" w:lineRule="auto"/>
        <w:rPr>
          <w:rFonts w:ascii="宋体" w:eastAsia="宋体" w:hAnsi="宋体" w:cs="宋体"/>
          <w:sz w:val="16"/>
          <w:szCs w:val="16"/>
        </w:rPr>
      </w:pPr>
      <w:r>
        <w:rPr>
          <w:rFonts w:ascii="宋体" w:eastAsia="宋体" w:hAnsi="宋体" w:cs="宋体"/>
          <w:spacing w:val="-9"/>
          <w:sz w:val="16"/>
          <w:szCs w:val="16"/>
        </w:rPr>
        <w:t>sapotoxin</w:t>
      </w:r>
      <w:r>
        <w:rPr>
          <w:rFonts w:ascii="宋体" w:eastAsia="宋体" w:hAnsi="宋体" w:cs="宋体"/>
          <w:spacing w:val="62"/>
          <w:sz w:val="16"/>
          <w:szCs w:val="16"/>
        </w:rPr>
        <w:t xml:space="preserve"> </w:t>
      </w:r>
      <w:r>
        <w:rPr>
          <w:rFonts w:ascii="宋体" w:eastAsia="宋体" w:hAnsi="宋体" w:cs="宋体"/>
          <w:spacing w:val="-9"/>
          <w:sz w:val="16"/>
          <w:szCs w:val="16"/>
        </w:rPr>
        <w:t>皂毒素</w:t>
      </w:r>
    </w:p>
    <w:p w:rsidR="00EA40A3" w:rsidRDefault="00E86C16">
      <w:pPr>
        <w:spacing w:before="65" w:line="250" w:lineRule="exact"/>
        <w:rPr>
          <w:rFonts w:ascii="宋体" w:eastAsia="宋体" w:hAnsi="宋体" w:cs="宋体"/>
          <w:sz w:val="16"/>
          <w:szCs w:val="16"/>
        </w:rPr>
      </w:pPr>
      <w:r>
        <w:rPr>
          <w:rFonts w:ascii="宋体" w:eastAsia="宋体" w:hAnsi="宋体" w:cs="宋体"/>
          <w:spacing w:val="-6"/>
          <w:position w:val="6"/>
          <w:sz w:val="16"/>
          <w:szCs w:val="16"/>
        </w:rPr>
        <w:t>saturated</w:t>
      </w:r>
      <w:r>
        <w:rPr>
          <w:rFonts w:ascii="宋体" w:eastAsia="宋体" w:hAnsi="宋体" w:cs="宋体"/>
          <w:spacing w:val="8"/>
          <w:position w:val="6"/>
          <w:sz w:val="16"/>
          <w:szCs w:val="16"/>
        </w:rPr>
        <w:t xml:space="preserve"> </w:t>
      </w:r>
      <w:r>
        <w:rPr>
          <w:rFonts w:ascii="宋体" w:eastAsia="宋体" w:hAnsi="宋体" w:cs="宋体"/>
          <w:spacing w:val="-6"/>
          <w:position w:val="6"/>
          <w:sz w:val="16"/>
          <w:szCs w:val="16"/>
        </w:rPr>
        <w:t>fatty</w:t>
      </w:r>
      <w:r>
        <w:rPr>
          <w:rFonts w:ascii="宋体" w:eastAsia="宋体" w:hAnsi="宋体" w:cs="宋体"/>
          <w:spacing w:val="1"/>
          <w:position w:val="6"/>
          <w:sz w:val="16"/>
          <w:szCs w:val="16"/>
        </w:rPr>
        <w:t xml:space="preserve"> </w:t>
      </w:r>
      <w:r>
        <w:rPr>
          <w:rFonts w:ascii="宋体" w:eastAsia="宋体" w:hAnsi="宋体" w:cs="宋体"/>
          <w:spacing w:val="-6"/>
          <w:position w:val="6"/>
          <w:sz w:val="16"/>
          <w:szCs w:val="16"/>
        </w:rPr>
        <w:t>acid,SFA</w:t>
      </w:r>
      <w:r>
        <w:rPr>
          <w:rFonts w:ascii="宋体" w:eastAsia="宋体" w:hAnsi="宋体" w:cs="宋体"/>
          <w:spacing w:val="37"/>
          <w:position w:val="6"/>
          <w:sz w:val="16"/>
          <w:szCs w:val="16"/>
        </w:rPr>
        <w:t xml:space="preserve"> </w:t>
      </w:r>
      <w:r>
        <w:rPr>
          <w:rFonts w:ascii="宋体" w:eastAsia="宋体" w:hAnsi="宋体" w:cs="宋体"/>
          <w:spacing w:val="-6"/>
          <w:position w:val="6"/>
          <w:sz w:val="16"/>
          <w:szCs w:val="16"/>
        </w:rPr>
        <w:t>饱和脂肪酸</w:t>
      </w:r>
    </w:p>
    <w:p w:rsidR="00EA40A3" w:rsidRDefault="00E86C16">
      <w:pPr>
        <w:spacing w:line="215" w:lineRule="auto"/>
        <w:rPr>
          <w:rFonts w:ascii="宋体" w:eastAsia="宋体" w:hAnsi="宋体" w:cs="宋体"/>
          <w:sz w:val="16"/>
          <w:szCs w:val="16"/>
        </w:rPr>
      </w:pPr>
      <w:r>
        <w:rPr>
          <w:rFonts w:ascii="宋体" w:eastAsia="宋体" w:hAnsi="宋体" w:cs="宋体"/>
          <w:spacing w:val="-7"/>
          <w:sz w:val="16"/>
          <w:szCs w:val="16"/>
        </w:rPr>
        <w:t>scurvy</w:t>
      </w:r>
      <w:r>
        <w:rPr>
          <w:rFonts w:ascii="宋体" w:eastAsia="宋体" w:hAnsi="宋体" w:cs="宋体"/>
          <w:spacing w:val="57"/>
          <w:w w:val="101"/>
          <w:sz w:val="16"/>
          <w:szCs w:val="16"/>
        </w:rPr>
        <w:t xml:space="preserve"> </w:t>
      </w:r>
      <w:r>
        <w:rPr>
          <w:rFonts w:ascii="宋体" w:eastAsia="宋体" w:hAnsi="宋体" w:cs="宋体"/>
          <w:spacing w:val="-7"/>
          <w:sz w:val="16"/>
          <w:szCs w:val="16"/>
        </w:rPr>
        <w:t>坏血病</w:t>
      </w:r>
    </w:p>
    <w:p w:rsidR="00EA40A3" w:rsidRDefault="00E86C16">
      <w:pPr>
        <w:spacing w:before="63" w:line="214" w:lineRule="auto"/>
        <w:rPr>
          <w:rFonts w:ascii="宋体" w:eastAsia="宋体" w:hAnsi="宋体" w:cs="宋体"/>
          <w:sz w:val="16"/>
          <w:szCs w:val="16"/>
        </w:rPr>
      </w:pPr>
      <w:r>
        <w:rPr>
          <w:rFonts w:ascii="宋体" w:eastAsia="宋体" w:hAnsi="宋体" w:cs="宋体"/>
          <w:spacing w:val="-7"/>
          <w:sz w:val="16"/>
          <w:szCs w:val="16"/>
        </w:rPr>
        <w:t>secondary</w:t>
      </w:r>
      <w:r>
        <w:rPr>
          <w:rFonts w:ascii="宋体" w:eastAsia="宋体" w:hAnsi="宋体" w:cs="宋体"/>
          <w:spacing w:val="-4"/>
          <w:sz w:val="16"/>
          <w:szCs w:val="16"/>
        </w:rPr>
        <w:t xml:space="preserve"> </w:t>
      </w:r>
      <w:r>
        <w:rPr>
          <w:rFonts w:ascii="宋体" w:eastAsia="宋体" w:hAnsi="宋体" w:cs="宋体"/>
          <w:spacing w:val="-7"/>
          <w:sz w:val="16"/>
          <w:szCs w:val="16"/>
        </w:rPr>
        <w:t>hypertension</w:t>
      </w:r>
      <w:r>
        <w:rPr>
          <w:rFonts w:ascii="宋体" w:eastAsia="宋体" w:hAnsi="宋体" w:cs="宋体"/>
          <w:spacing w:val="45"/>
          <w:sz w:val="16"/>
          <w:szCs w:val="16"/>
        </w:rPr>
        <w:t xml:space="preserve"> </w:t>
      </w:r>
      <w:r>
        <w:rPr>
          <w:rFonts w:ascii="宋体" w:eastAsia="宋体" w:hAnsi="宋体" w:cs="宋体"/>
          <w:spacing w:val="-7"/>
          <w:sz w:val="16"/>
          <w:szCs w:val="16"/>
        </w:rPr>
        <w:t>继发性高血</w:t>
      </w:r>
      <w:r>
        <w:rPr>
          <w:rFonts w:ascii="宋体" w:eastAsia="宋体" w:hAnsi="宋体" w:cs="宋体"/>
          <w:spacing w:val="-8"/>
          <w:sz w:val="16"/>
          <w:szCs w:val="16"/>
        </w:rPr>
        <w:t>压</w:t>
      </w:r>
    </w:p>
    <w:p w:rsidR="00EA40A3" w:rsidRDefault="00E86C16">
      <w:pPr>
        <w:spacing w:before="245" w:line="245" w:lineRule="auto"/>
        <w:ind w:left="190" w:right="71" w:hanging="190"/>
        <w:rPr>
          <w:rFonts w:ascii="黑体" w:eastAsia="黑体" w:hAnsi="黑体" w:cs="黑体"/>
          <w:sz w:val="16"/>
          <w:szCs w:val="16"/>
        </w:rPr>
      </w:pPr>
      <w:r>
        <w:rPr>
          <w:rFonts w:ascii="宋体" w:eastAsia="宋体" w:hAnsi="宋体" w:cs="宋体"/>
          <w:spacing w:val="-6"/>
          <w:sz w:val="16"/>
          <w:szCs w:val="16"/>
        </w:rPr>
        <w:t>secondary</w:t>
      </w:r>
      <w:r>
        <w:rPr>
          <w:rFonts w:ascii="宋体" w:eastAsia="宋体" w:hAnsi="宋体" w:cs="宋体"/>
          <w:spacing w:val="6"/>
          <w:sz w:val="16"/>
          <w:szCs w:val="16"/>
        </w:rPr>
        <w:t xml:space="preserve"> </w:t>
      </w:r>
      <w:r>
        <w:rPr>
          <w:rFonts w:ascii="宋体" w:eastAsia="宋体" w:hAnsi="宋体" w:cs="宋体"/>
          <w:spacing w:val="-6"/>
          <w:sz w:val="16"/>
          <w:szCs w:val="16"/>
        </w:rPr>
        <w:t>lactose</w:t>
      </w:r>
      <w:r>
        <w:rPr>
          <w:rFonts w:ascii="宋体" w:eastAsia="宋体" w:hAnsi="宋体" w:cs="宋体"/>
          <w:spacing w:val="7"/>
          <w:sz w:val="16"/>
          <w:szCs w:val="16"/>
        </w:rPr>
        <w:t xml:space="preserve"> </w:t>
      </w:r>
      <w:r>
        <w:rPr>
          <w:rFonts w:ascii="宋体" w:eastAsia="宋体" w:hAnsi="宋体" w:cs="宋体"/>
          <w:spacing w:val="-6"/>
          <w:sz w:val="16"/>
          <w:szCs w:val="16"/>
        </w:rPr>
        <w:t>intolerance,SLI</w:t>
      </w:r>
      <w:r>
        <w:rPr>
          <w:rFonts w:ascii="宋体" w:eastAsia="宋体" w:hAnsi="宋体" w:cs="宋体"/>
          <w:spacing w:val="66"/>
          <w:w w:val="101"/>
          <w:sz w:val="16"/>
          <w:szCs w:val="16"/>
        </w:rPr>
        <w:t xml:space="preserve"> </w:t>
      </w:r>
      <w:r>
        <w:rPr>
          <w:rFonts w:ascii="宋体" w:eastAsia="宋体" w:hAnsi="宋体" w:cs="宋体"/>
          <w:spacing w:val="-6"/>
          <w:sz w:val="16"/>
          <w:szCs w:val="16"/>
        </w:rPr>
        <w:t>继发性乳糖不</w:t>
      </w:r>
      <w:r>
        <w:rPr>
          <w:rFonts w:ascii="宋体" w:eastAsia="宋体" w:hAnsi="宋体" w:cs="宋体"/>
          <w:sz w:val="16"/>
          <w:szCs w:val="16"/>
        </w:rPr>
        <w:t xml:space="preserve"> </w:t>
      </w:r>
      <w:r>
        <w:rPr>
          <w:rFonts w:ascii="黑体" w:eastAsia="黑体" w:hAnsi="黑体" w:cs="黑体"/>
          <w:spacing w:val="-3"/>
          <w:sz w:val="16"/>
          <w:szCs w:val="16"/>
        </w:rPr>
        <w:t>耐症</w:t>
      </w:r>
    </w:p>
    <w:p w:rsidR="00EA40A3" w:rsidRDefault="00E86C16">
      <w:pPr>
        <w:spacing w:before="81" w:line="250" w:lineRule="exact"/>
        <w:rPr>
          <w:rFonts w:ascii="宋体" w:eastAsia="宋体" w:hAnsi="宋体" w:cs="宋体"/>
          <w:sz w:val="16"/>
          <w:szCs w:val="16"/>
        </w:rPr>
      </w:pPr>
      <w:r>
        <w:rPr>
          <w:rFonts w:ascii="宋体" w:eastAsia="宋体" w:hAnsi="宋体" w:cs="宋体"/>
          <w:spacing w:val="-11"/>
          <w:position w:val="6"/>
          <w:sz w:val="16"/>
          <w:szCs w:val="16"/>
        </w:rPr>
        <w:t>selenate</w:t>
      </w:r>
      <w:r>
        <w:rPr>
          <w:rFonts w:ascii="宋体" w:eastAsia="宋体" w:hAnsi="宋体" w:cs="宋体"/>
          <w:spacing w:val="46"/>
          <w:position w:val="6"/>
          <w:sz w:val="16"/>
          <w:szCs w:val="16"/>
        </w:rPr>
        <w:t xml:space="preserve"> </w:t>
      </w:r>
      <w:r>
        <w:rPr>
          <w:rFonts w:ascii="宋体" w:eastAsia="宋体" w:hAnsi="宋体" w:cs="宋体"/>
          <w:spacing w:val="-11"/>
          <w:position w:val="6"/>
          <w:sz w:val="16"/>
          <w:szCs w:val="16"/>
        </w:rPr>
        <w:t>硒酸盐</w:t>
      </w:r>
    </w:p>
    <w:p w:rsidR="00EA40A3" w:rsidRDefault="00E86C16">
      <w:pPr>
        <w:spacing w:line="220" w:lineRule="auto"/>
        <w:rPr>
          <w:rFonts w:ascii="宋体" w:eastAsia="宋体" w:hAnsi="宋体" w:cs="宋体"/>
          <w:sz w:val="16"/>
          <w:szCs w:val="16"/>
        </w:rPr>
      </w:pPr>
      <w:r>
        <w:rPr>
          <w:rFonts w:ascii="宋体" w:eastAsia="宋体" w:hAnsi="宋体" w:cs="宋体"/>
          <w:spacing w:val="-13"/>
          <w:sz w:val="16"/>
          <w:szCs w:val="16"/>
        </w:rPr>
        <w:t>selenite</w:t>
      </w:r>
      <w:r>
        <w:rPr>
          <w:rFonts w:ascii="宋体" w:eastAsia="宋体" w:hAnsi="宋体" w:cs="宋体"/>
          <w:spacing w:val="59"/>
          <w:sz w:val="16"/>
          <w:szCs w:val="16"/>
        </w:rPr>
        <w:t xml:space="preserve"> </w:t>
      </w:r>
      <w:r>
        <w:rPr>
          <w:rFonts w:ascii="宋体" w:eastAsia="宋体" w:hAnsi="宋体" w:cs="宋体"/>
          <w:spacing w:val="-13"/>
          <w:sz w:val="16"/>
          <w:szCs w:val="16"/>
        </w:rPr>
        <w:t>亚硒酸盐</w:t>
      </w:r>
    </w:p>
    <w:p w:rsidR="00EA40A3" w:rsidRDefault="00E86C16">
      <w:pPr>
        <w:spacing w:before="53" w:line="257" w:lineRule="exact"/>
        <w:rPr>
          <w:rFonts w:ascii="宋体" w:eastAsia="宋体" w:hAnsi="宋体" w:cs="宋体"/>
          <w:sz w:val="16"/>
          <w:szCs w:val="16"/>
        </w:rPr>
      </w:pPr>
      <w:r>
        <w:rPr>
          <w:rFonts w:ascii="宋体" w:eastAsia="宋体" w:hAnsi="宋体" w:cs="宋体"/>
          <w:spacing w:val="-11"/>
          <w:position w:val="7"/>
          <w:sz w:val="16"/>
          <w:szCs w:val="16"/>
        </w:rPr>
        <w:t>selenium-containing</w:t>
      </w:r>
      <w:r>
        <w:rPr>
          <w:rFonts w:ascii="宋体" w:eastAsia="宋体" w:hAnsi="宋体" w:cs="宋体"/>
          <w:spacing w:val="-2"/>
          <w:position w:val="7"/>
          <w:sz w:val="16"/>
          <w:szCs w:val="16"/>
        </w:rPr>
        <w:t xml:space="preserve"> </w:t>
      </w:r>
      <w:r>
        <w:rPr>
          <w:rFonts w:ascii="宋体" w:eastAsia="宋体" w:hAnsi="宋体" w:cs="宋体"/>
          <w:spacing w:val="-11"/>
          <w:position w:val="7"/>
          <w:sz w:val="16"/>
          <w:szCs w:val="16"/>
        </w:rPr>
        <w:t>protein</w:t>
      </w:r>
      <w:r>
        <w:rPr>
          <w:rFonts w:ascii="宋体" w:eastAsia="宋体" w:hAnsi="宋体" w:cs="宋体"/>
          <w:spacing w:val="56"/>
          <w:position w:val="7"/>
          <w:sz w:val="16"/>
          <w:szCs w:val="16"/>
        </w:rPr>
        <w:t xml:space="preserve"> </w:t>
      </w:r>
      <w:r>
        <w:rPr>
          <w:rFonts w:ascii="宋体" w:eastAsia="宋体" w:hAnsi="宋体" w:cs="宋体"/>
          <w:spacing w:val="-11"/>
          <w:position w:val="7"/>
          <w:sz w:val="16"/>
          <w:szCs w:val="16"/>
        </w:rPr>
        <w:t>含硒蛋白</w:t>
      </w:r>
    </w:p>
    <w:p w:rsidR="00EA40A3" w:rsidRDefault="00E86C16">
      <w:pPr>
        <w:spacing w:line="222" w:lineRule="auto"/>
        <w:rPr>
          <w:rFonts w:ascii="宋体" w:eastAsia="宋体" w:hAnsi="宋体" w:cs="宋体"/>
          <w:sz w:val="16"/>
          <w:szCs w:val="16"/>
        </w:rPr>
      </w:pPr>
      <w:r>
        <w:rPr>
          <w:rFonts w:ascii="宋体" w:eastAsia="宋体" w:hAnsi="宋体" w:cs="宋体"/>
          <w:spacing w:val="-9"/>
          <w:sz w:val="16"/>
          <w:szCs w:val="16"/>
        </w:rPr>
        <w:t>selenium</w:t>
      </w:r>
      <w:r>
        <w:rPr>
          <w:rFonts w:ascii="宋体" w:eastAsia="宋体" w:hAnsi="宋体" w:cs="宋体"/>
          <w:spacing w:val="60"/>
          <w:sz w:val="16"/>
          <w:szCs w:val="16"/>
        </w:rPr>
        <w:t xml:space="preserve"> </w:t>
      </w:r>
      <w:r>
        <w:rPr>
          <w:rFonts w:ascii="宋体" w:eastAsia="宋体" w:hAnsi="宋体" w:cs="宋体"/>
          <w:spacing w:val="-9"/>
          <w:sz w:val="16"/>
          <w:szCs w:val="16"/>
        </w:rPr>
        <w:t>硒</w:t>
      </w:r>
    </w:p>
    <w:p w:rsidR="00EA40A3" w:rsidRDefault="00E86C16">
      <w:pPr>
        <w:spacing w:before="45" w:line="212" w:lineRule="auto"/>
        <w:rPr>
          <w:rFonts w:ascii="宋体" w:eastAsia="宋体" w:hAnsi="宋体" w:cs="宋体"/>
          <w:sz w:val="16"/>
          <w:szCs w:val="16"/>
        </w:rPr>
      </w:pPr>
      <w:r>
        <w:rPr>
          <w:rFonts w:ascii="Times New Roman" w:eastAsia="Times New Roman" w:hAnsi="Times New Roman" w:cs="Times New Roman"/>
          <w:spacing w:val="-1"/>
          <w:sz w:val="16"/>
          <w:szCs w:val="16"/>
        </w:rPr>
        <w:t>selenomethionine,SeMet</w:t>
      </w:r>
      <w:r>
        <w:rPr>
          <w:rFonts w:ascii="Times New Roman" w:eastAsia="Times New Roman" w:hAnsi="Times New Roman" w:cs="Times New Roman"/>
          <w:spacing w:val="1"/>
          <w:sz w:val="16"/>
          <w:szCs w:val="16"/>
        </w:rPr>
        <w:t xml:space="preserve">       </w:t>
      </w:r>
      <w:r>
        <w:rPr>
          <w:rFonts w:ascii="宋体" w:eastAsia="宋体" w:hAnsi="宋体" w:cs="宋体"/>
          <w:b/>
          <w:bCs/>
          <w:spacing w:val="-1"/>
          <w:sz w:val="16"/>
          <w:szCs w:val="16"/>
        </w:rPr>
        <w:t>硒蛋氨酸</w:t>
      </w:r>
    </w:p>
    <w:p w:rsidR="00EA40A3" w:rsidRDefault="00E86C16">
      <w:pPr>
        <w:spacing w:before="73" w:line="251" w:lineRule="auto"/>
        <w:ind w:right="164"/>
        <w:rPr>
          <w:rFonts w:ascii="宋体" w:eastAsia="宋体" w:hAnsi="宋体" w:cs="宋体"/>
          <w:sz w:val="16"/>
          <w:szCs w:val="16"/>
        </w:rPr>
      </w:pPr>
      <w:r>
        <w:rPr>
          <w:rFonts w:ascii="宋体" w:eastAsia="宋体" w:hAnsi="宋体" w:cs="宋体"/>
          <w:spacing w:val="-4"/>
          <w:sz w:val="16"/>
          <w:szCs w:val="16"/>
        </w:rPr>
        <w:t>selenophosphat</w:t>
      </w:r>
      <w:r>
        <w:rPr>
          <w:rFonts w:ascii="宋体" w:eastAsia="宋体" w:hAnsi="宋体" w:cs="宋体"/>
          <w:spacing w:val="23"/>
          <w:sz w:val="16"/>
          <w:szCs w:val="16"/>
        </w:rPr>
        <w:t xml:space="preserve"> </w:t>
      </w:r>
      <w:r>
        <w:rPr>
          <w:rFonts w:ascii="宋体" w:eastAsia="宋体" w:hAnsi="宋体" w:cs="宋体"/>
          <w:spacing w:val="-4"/>
          <w:sz w:val="16"/>
          <w:szCs w:val="16"/>
        </w:rPr>
        <w:t>synthetase,SPS</w:t>
      </w:r>
      <w:r>
        <w:rPr>
          <w:rFonts w:ascii="宋体" w:eastAsia="宋体" w:hAnsi="宋体" w:cs="宋体"/>
          <w:spacing w:val="41"/>
          <w:sz w:val="16"/>
          <w:szCs w:val="16"/>
        </w:rPr>
        <w:t xml:space="preserve"> </w:t>
      </w:r>
      <w:r>
        <w:rPr>
          <w:rFonts w:ascii="宋体" w:eastAsia="宋体" w:hAnsi="宋体" w:cs="宋体"/>
          <w:spacing w:val="-4"/>
          <w:sz w:val="16"/>
          <w:szCs w:val="16"/>
        </w:rPr>
        <w:t>硒代磷酸合成酶</w:t>
      </w:r>
      <w:r>
        <w:rPr>
          <w:rFonts w:ascii="宋体" w:eastAsia="宋体" w:hAnsi="宋体" w:cs="宋体"/>
          <w:sz w:val="16"/>
          <w:szCs w:val="16"/>
        </w:rPr>
        <w:t xml:space="preserve"> </w:t>
      </w:r>
      <w:r>
        <w:rPr>
          <w:rFonts w:ascii="宋体" w:eastAsia="宋体" w:hAnsi="宋体" w:cs="宋体"/>
          <w:spacing w:val="-3"/>
          <w:sz w:val="16"/>
          <w:szCs w:val="16"/>
        </w:rPr>
        <w:t>selenoprotein,SeP</w:t>
      </w:r>
      <w:r>
        <w:rPr>
          <w:rFonts w:ascii="宋体" w:eastAsia="宋体" w:hAnsi="宋体" w:cs="宋体"/>
          <w:spacing w:val="45"/>
          <w:sz w:val="16"/>
          <w:szCs w:val="16"/>
        </w:rPr>
        <w:t xml:space="preserve"> </w:t>
      </w:r>
      <w:r>
        <w:rPr>
          <w:rFonts w:ascii="宋体" w:eastAsia="宋体" w:hAnsi="宋体" w:cs="宋体"/>
          <w:spacing w:val="-3"/>
          <w:sz w:val="16"/>
          <w:szCs w:val="16"/>
        </w:rPr>
        <w:t>硒蛋白</w:t>
      </w:r>
    </w:p>
    <w:p w:rsidR="00EA40A3" w:rsidRDefault="00E86C16">
      <w:pPr>
        <w:spacing w:before="69" w:line="220" w:lineRule="auto"/>
        <w:rPr>
          <w:rFonts w:ascii="宋体" w:eastAsia="宋体" w:hAnsi="宋体" w:cs="宋体"/>
          <w:sz w:val="16"/>
          <w:szCs w:val="16"/>
        </w:rPr>
      </w:pPr>
      <w:r>
        <w:rPr>
          <w:rFonts w:ascii="宋体" w:eastAsia="宋体" w:hAnsi="宋体" w:cs="宋体"/>
          <w:spacing w:val="-11"/>
          <w:sz w:val="16"/>
          <w:szCs w:val="16"/>
        </w:rPr>
        <w:t>semi-essential</w:t>
      </w:r>
      <w:r>
        <w:rPr>
          <w:rFonts w:ascii="宋体" w:eastAsia="宋体" w:hAnsi="宋体" w:cs="宋体"/>
          <w:sz w:val="16"/>
          <w:szCs w:val="16"/>
        </w:rPr>
        <w:t xml:space="preserve"> </w:t>
      </w:r>
      <w:r>
        <w:rPr>
          <w:rFonts w:ascii="宋体" w:eastAsia="宋体" w:hAnsi="宋体" w:cs="宋体"/>
          <w:spacing w:val="-11"/>
          <w:sz w:val="16"/>
          <w:szCs w:val="16"/>
        </w:rPr>
        <w:t>amino</w:t>
      </w:r>
      <w:r>
        <w:rPr>
          <w:rFonts w:ascii="宋体" w:eastAsia="宋体" w:hAnsi="宋体" w:cs="宋体"/>
          <w:spacing w:val="-6"/>
          <w:sz w:val="16"/>
          <w:szCs w:val="16"/>
        </w:rPr>
        <w:t xml:space="preserve"> </w:t>
      </w:r>
      <w:r>
        <w:rPr>
          <w:rFonts w:ascii="宋体" w:eastAsia="宋体" w:hAnsi="宋体" w:cs="宋体"/>
          <w:spacing w:val="-11"/>
          <w:sz w:val="16"/>
          <w:szCs w:val="16"/>
        </w:rPr>
        <w:t>acid</w:t>
      </w:r>
      <w:r>
        <w:rPr>
          <w:rFonts w:ascii="宋体" w:eastAsia="宋体" w:hAnsi="宋体" w:cs="宋体"/>
          <w:spacing w:val="46"/>
          <w:sz w:val="16"/>
          <w:szCs w:val="16"/>
        </w:rPr>
        <w:t xml:space="preserve"> </w:t>
      </w:r>
      <w:r>
        <w:rPr>
          <w:rFonts w:ascii="宋体" w:eastAsia="宋体" w:hAnsi="宋体" w:cs="宋体"/>
          <w:spacing w:val="-11"/>
          <w:sz w:val="16"/>
          <w:szCs w:val="16"/>
        </w:rPr>
        <w:t>半必需氨基酸</w:t>
      </w:r>
    </w:p>
    <w:p w:rsidR="00EA40A3" w:rsidRDefault="00E86C16">
      <w:pPr>
        <w:spacing w:line="14" w:lineRule="auto"/>
        <w:rPr>
          <w:sz w:val="2"/>
        </w:rPr>
      </w:pPr>
      <w:r>
        <w:rPr>
          <w:sz w:val="2"/>
          <w:szCs w:val="2"/>
        </w:rPr>
        <w:br w:type="column"/>
      </w:r>
    </w:p>
    <w:p w:rsidR="00EA40A3" w:rsidRDefault="00E86C16">
      <w:pPr>
        <w:spacing w:before="33" w:line="216" w:lineRule="auto"/>
        <w:rPr>
          <w:rFonts w:ascii="宋体" w:eastAsia="宋体" w:hAnsi="宋体" w:cs="宋体"/>
          <w:sz w:val="16"/>
          <w:szCs w:val="16"/>
        </w:rPr>
      </w:pPr>
      <w:r>
        <w:rPr>
          <w:rFonts w:ascii="宋体" w:eastAsia="宋体" w:hAnsi="宋体" w:cs="宋体"/>
          <w:spacing w:val="-2"/>
          <w:sz w:val="16"/>
          <w:szCs w:val="16"/>
        </w:rPr>
        <w:t>serine,Ser</w:t>
      </w:r>
      <w:r>
        <w:rPr>
          <w:rFonts w:ascii="宋体" w:eastAsia="宋体" w:hAnsi="宋体" w:cs="宋体"/>
          <w:spacing w:val="39"/>
          <w:w w:val="101"/>
          <w:sz w:val="16"/>
          <w:szCs w:val="16"/>
        </w:rPr>
        <w:t xml:space="preserve"> </w:t>
      </w:r>
      <w:r>
        <w:rPr>
          <w:rFonts w:ascii="宋体" w:eastAsia="宋体" w:hAnsi="宋体" w:cs="宋体"/>
          <w:spacing w:val="-2"/>
          <w:sz w:val="16"/>
          <w:szCs w:val="16"/>
        </w:rPr>
        <w:t>丝氨酸</w:t>
      </w:r>
    </w:p>
    <w:p w:rsidR="00EA40A3" w:rsidRDefault="00E86C16">
      <w:pPr>
        <w:spacing w:before="60" w:line="249" w:lineRule="exact"/>
        <w:rPr>
          <w:rFonts w:ascii="宋体" w:eastAsia="宋体" w:hAnsi="宋体" w:cs="宋体"/>
          <w:sz w:val="16"/>
          <w:szCs w:val="16"/>
        </w:rPr>
      </w:pPr>
      <w:r>
        <w:rPr>
          <w:rFonts w:ascii="宋体" w:eastAsia="宋体" w:hAnsi="宋体" w:cs="宋体"/>
          <w:spacing w:val="-8"/>
          <w:position w:val="6"/>
          <w:sz w:val="16"/>
          <w:szCs w:val="16"/>
        </w:rPr>
        <w:t>simple</w:t>
      </w:r>
      <w:r>
        <w:rPr>
          <w:rFonts w:ascii="宋体" w:eastAsia="宋体" w:hAnsi="宋体" w:cs="宋体"/>
          <w:spacing w:val="-5"/>
          <w:position w:val="6"/>
          <w:sz w:val="16"/>
          <w:szCs w:val="16"/>
        </w:rPr>
        <w:t xml:space="preserve"> </w:t>
      </w:r>
      <w:r>
        <w:rPr>
          <w:rFonts w:ascii="宋体" w:eastAsia="宋体" w:hAnsi="宋体" w:cs="宋体"/>
          <w:spacing w:val="-8"/>
          <w:position w:val="6"/>
          <w:sz w:val="16"/>
          <w:szCs w:val="16"/>
        </w:rPr>
        <w:t>protein</w:t>
      </w:r>
      <w:r>
        <w:rPr>
          <w:rFonts w:ascii="宋体" w:eastAsia="宋体" w:hAnsi="宋体" w:cs="宋体"/>
          <w:spacing w:val="56"/>
          <w:position w:val="6"/>
          <w:sz w:val="16"/>
          <w:szCs w:val="16"/>
        </w:rPr>
        <w:t xml:space="preserve"> </w:t>
      </w:r>
      <w:r>
        <w:rPr>
          <w:rFonts w:ascii="宋体" w:eastAsia="宋体" w:hAnsi="宋体" w:cs="宋体"/>
          <w:spacing w:val="-8"/>
          <w:position w:val="6"/>
          <w:sz w:val="16"/>
          <w:szCs w:val="16"/>
        </w:rPr>
        <w:t>单纯蛋白质</w:t>
      </w:r>
    </w:p>
    <w:p w:rsidR="00EA40A3" w:rsidRDefault="00E86C16">
      <w:pPr>
        <w:spacing w:line="213" w:lineRule="auto"/>
        <w:rPr>
          <w:rFonts w:ascii="宋体" w:eastAsia="宋体" w:hAnsi="宋体" w:cs="宋体"/>
          <w:sz w:val="16"/>
          <w:szCs w:val="16"/>
        </w:rPr>
      </w:pPr>
      <w:r>
        <w:rPr>
          <w:rFonts w:ascii="宋体" w:eastAsia="宋体" w:hAnsi="宋体" w:cs="宋体"/>
          <w:spacing w:val="-11"/>
          <w:sz w:val="16"/>
          <w:szCs w:val="16"/>
        </w:rPr>
        <w:t>singlet</w:t>
      </w:r>
      <w:r>
        <w:rPr>
          <w:rFonts w:ascii="宋体" w:eastAsia="宋体" w:hAnsi="宋体" w:cs="宋体"/>
          <w:spacing w:val="4"/>
          <w:sz w:val="16"/>
          <w:szCs w:val="16"/>
        </w:rPr>
        <w:t xml:space="preserve"> </w:t>
      </w:r>
      <w:r>
        <w:rPr>
          <w:rFonts w:ascii="宋体" w:eastAsia="宋体" w:hAnsi="宋体" w:cs="宋体"/>
          <w:spacing w:val="-11"/>
          <w:sz w:val="16"/>
          <w:szCs w:val="16"/>
        </w:rPr>
        <w:t>oxygen</w:t>
      </w:r>
      <w:r>
        <w:rPr>
          <w:rFonts w:ascii="宋体" w:eastAsia="宋体" w:hAnsi="宋体" w:cs="宋体"/>
          <w:spacing w:val="66"/>
          <w:sz w:val="16"/>
          <w:szCs w:val="16"/>
        </w:rPr>
        <w:t xml:space="preserve"> </w:t>
      </w:r>
      <w:r>
        <w:rPr>
          <w:rFonts w:ascii="宋体" w:eastAsia="宋体" w:hAnsi="宋体" w:cs="宋体"/>
          <w:spacing w:val="-11"/>
          <w:sz w:val="16"/>
          <w:szCs w:val="16"/>
        </w:rPr>
        <w:t>单线态氧</w:t>
      </w:r>
    </w:p>
    <w:p w:rsidR="00EA40A3" w:rsidRDefault="00E86C16">
      <w:pPr>
        <w:spacing w:before="65" w:line="250" w:lineRule="exact"/>
        <w:rPr>
          <w:rFonts w:ascii="宋体" w:eastAsia="宋体" w:hAnsi="宋体" w:cs="宋体"/>
          <w:sz w:val="16"/>
          <w:szCs w:val="16"/>
        </w:rPr>
      </w:pPr>
      <w:r>
        <w:rPr>
          <w:rFonts w:ascii="宋体" w:eastAsia="宋体" w:hAnsi="宋体" w:cs="宋体"/>
          <w:spacing w:val="-8"/>
          <w:position w:val="7"/>
          <w:sz w:val="16"/>
          <w:szCs w:val="16"/>
        </w:rPr>
        <w:t>single-cell</w:t>
      </w:r>
      <w:r>
        <w:rPr>
          <w:rFonts w:ascii="宋体" w:eastAsia="宋体" w:hAnsi="宋体" w:cs="宋体"/>
          <w:spacing w:val="-6"/>
          <w:position w:val="7"/>
          <w:sz w:val="16"/>
          <w:szCs w:val="16"/>
        </w:rPr>
        <w:t xml:space="preserve"> </w:t>
      </w:r>
      <w:r>
        <w:rPr>
          <w:rFonts w:ascii="宋体" w:eastAsia="宋体" w:hAnsi="宋体" w:cs="宋体"/>
          <w:spacing w:val="-8"/>
          <w:position w:val="7"/>
          <w:sz w:val="16"/>
          <w:szCs w:val="16"/>
        </w:rPr>
        <w:t>protein,SCP</w:t>
      </w:r>
      <w:r>
        <w:rPr>
          <w:rFonts w:ascii="宋体" w:eastAsia="宋体" w:hAnsi="宋体" w:cs="宋体"/>
          <w:spacing w:val="44"/>
          <w:position w:val="7"/>
          <w:sz w:val="16"/>
          <w:szCs w:val="16"/>
        </w:rPr>
        <w:t xml:space="preserve"> </w:t>
      </w:r>
      <w:r>
        <w:rPr>
          <w:rFonts w:ascii="宋体" w:eastAsia="宋体" w:hAnsi="宋体" w:cs="宋体"/>
          <w:spacing w:val="-8"/>
          <w:position w:val="7"/>
          <w:sz w:val="16"/>
          <w:szCs w:val="16"/>
        </w:rPr>
        <w:t>单细胞蛋</w:t>
      </w:r>
      <w:r>
        <w:rPr>
          <w:rFonts w:ascii="宋体" w:eastAsia="宋体" w:hAnsi="宋体" w:cs="宋体"/>
          <w:spacing w:val="-9"/>
          <w:position w:val="7"/>
          <w:sz w:val="16"/>
          <w:szCs w:val="16"/>
        </w:rPr>
        <w:t>白质</w:t>
      </w:r>
    </w:p>
    <w:p w:rsidR="00EA40A3" w:rsidRDefault="00E86C16">
      <w:pPr>
        <w:spacing w:before="1" w:line="214" w:lineRule="auto"/>
        <w:rPr>
          <w:rFonts w:ascii="宋体" w:eastAsia="宋体" w:hAnsi="宋体" w:cs="宋体"/>
          <w:sz w:val="16"/>
          <w:szCs w:val="16"/>
        </w:rPr>
      </w:pPr>
      <w:r>
        <w:rPr>
          <w:rFonts w:ascii="宋体" w:eastAsia="宋体" w:hAnsi="宋体" w:cs="宋体"/>
          <w:spacing w:val="-10"/>
          <w:sz w:val="16"/>
          <w:szCs w:val="16"/>
        </w:rPr>
        <w:t>slow</w:t>
      </w:r>
      <w:r>
        <w:rPr>
          <w:rFonts w:ascii="宋体" w:eastAsia="宋体" w:hAnsi="宋体" w:cs="宋体"/>
          <w:spacing w:val="-7"/>
          <w:sz w:val="16"/>
          <w:szCs w:val="16"/>
        </w:rPr>
        <w:t xml:space="preserve"> </w:t>
      </w:r>
      <w:r>
        <w:rPr>
          <w:rFonts w:ascii="宋体" w:eastAsia="宋体" w:hAnsi="宋体" w:cs="宋体"/>
          <w:spacing w:val="-10"/>
          <w:sz w:val="16"/>
          <w:szCs w:val="16"/>
        </w:rPr>
        <w:t>release</w:t>
      </w:r>
      <w:r>
        <w:rPr>
          <w:rFonts w:ascii="宋体" w:eastAsia="宋体" w:hAnsi="宋体" w:cs="宋体"/>
          <w:spacing w:val="-7"/>
          <w:sz w:val="16"/>
          <w:szCs w:val="16"/>
        </w:rPr>
        <w:t xml:space="preserve"> </w:t>
      </w:r>
      <w:r>
        <w:rPr>
          <w:rFonts w:ascii="宋体" w:eastAsia="宋体" w:hAnsi="宋体" w:cs="宋体"/>
          <w:spacing w:val="-10"/>
          <w:sz w:val="16"/>
          <w:szCs w:val="16"/>
        </w:rPr>
        <w:t>potassium</w:t>
      </w:r>
      <w:r>
        <w:rPr>
          <w:rFonts w:ascii="宋体" w:eastAsia="宋体" w:hAnsi="宋体" w:cs="宋体"/>
          <w:spacing w:val="50"/>
          <w:sz w:val="16"/>
          <w:szCs w:val="16"/>
        </w:rPr>
        <w:t xml:space="preserve"> </w:t>
      </w:r>
      <w:r>
        <w:rPr>
          <w:rFonts w:ascii="宋体" w:eastAsia="宋体" w:hAnsi="宋体" w:cs="宋体"/>
          <w:spacing w:val="-10"/>
          <w:sz w:val="16"/>
          <w:szCs w:val="16"/>
        </w:rPr>
        <w:t>慢</w:t>
      </w:r>
      <w:r>
        <w:rPr>
          <w:rFonts w:ascii="宋体" w:eastAsia="宋体" w:hAnsi="宋体" w:cs="宋体"/>
          <w:spacing w:val="-11"/>
          <w:sz w:val="16"/>
          <w:szCs w:val="16"/>
        </w:rPr>
        <w:t>释钾</w:t>
      </w:r>
    </w:p>
    <w:p w:rsidR="00EA40A3" w:rsidRDefault="00E86C16">
      <w:pPr>
        <w:spacing w:before="63" w:line="259" w:lineRule="auto"/>
        <w:ind w:right="68"/>
        <w:rPr>
          <w:rFonts w:ascii="宋体" w:eastAsia="宋体" w:hAnsi="宋体" w:cs="宋体"/>
          <w:sz w:val="16"/>
          <w:szCs w:val="16"/>
        </w:rPr>
      </w:pPr>
      <w:r>
        <w:rPr>
          <w:rFonts w:ascii="宋体" w:eastAsia="宋体" w:hAnsi="宋体" w:cs="宋体"/>
          <w:spacing w:val="-9"/>
          <w:sz w:val="16"/>
          <w:szCs w:val="16"/>
        </w:rPr>
        <w:t>small</w:t>
      </w:r>
      <w:r>
        <w:rPr>
          <w:rFonts w:ascii="宋体" w:eastAsia="宋体" w:hAnsi="宋体" w:cs="宋体"/>
          <w:spacing w:val="-1"/>
          <w:sz w:val="16"/>
          <w:szCs w:val="16"/>
        </w:rPr>
        <w:t xml:space="preserve"> </w:t>
      </w:r>
      <w:r>
        <w:rPr>
          <w:rFonts w:ascii="宋体" w:eastAsia="宋体" w:hAnsi="宋体" w:cs="宋体"/>
          <w:spacing w:val="-9"/>
          <w:sz w:val="16"/>
          <w:szCs w:val="16"/>
        </w:rPr>
        <w:t>for</w:t>
      </w:r>
      <w:r>
        <w:rPr>
          <w:rFonts w:ascii="宋体" w:eastAsia="宋体" w:hAnsi="宋体" w:cs="宋体"/>
          <w:spacing w:val="-1"/>
          <w:sz w:val="16"/>
          <w:szCs w:val="16"/>
        </w:rPr>
        <w:t xml:space="preserve"> </w:t>
      </w:r>
      <w:r>
        <w:rPr>
          <w:rFonts w:ascii="宋体" w:eastAsia="宋体" w:hAnsi="宋体" w:cs="宋体"/>
          <w:spacing w:val="-9"/>
          <w:sz w:val="16"/>
          <w:szCs w:val="16"/>
        </w:rPr>
        <w:t>gestational</w:t>
      </w:r>
      <w:r>
        <w:rPr>
          <w:rFonts w:ascii="宋体" w:eastAsia="宋体" w:hAnsi="宋体" w:cs="宋体"/>
          <w:spacing w:val="-3"/>
          <w:sz w:val="16"/>
          <w:szCs w:val="16"/>
        </w:rPr>
        <w:t xml:space="preserve"> </w:t>
      </w:r>
      <w:r>
        <w:rPr>
          <w:rFonts w:ascii="宋体" w:eastAsia="宋体" w:hAnsi="宋体" w:cs="宋体"/>
          <w:spacing w:val="-9"/>
          <w:sz w:val="16"/>
          <w:szCs w:val="16"/>
        </w:rPr>
        <w:t>age</w:t>
      </w:r>
      <w:r>
        <w:rPr>
          <w:rFonts w:ascii="宋体" w:eastAsia="宋体" w:hAnsi="宋体" w:cs="宋体"/>
          <w:spacing w:val="6"/>
          <w:sz w:val="16"/>
          <w:szCs w:val="16"/>
        </w:rPr>
        <w:t xml:space="preserve"> </w:t>
      </w:r>
      <w:r>
        <w:rPr>
          <w:rFonts w:ascii="宋体" w:eastAsia="宋体" w:hAnsi="宋体" w:cs="宋体"/>
          <w:spacing w:val="-9"/>
          <w:sz w:val="16"/>
          <w:szCs w:val="16"/>
        </w:rPr>
        <w:t>infant</w:t>
      </w:r>
      <w:r>
        <w:rPr>
          <w:rFonts w:ascii="宋体" w:eastAsia="宋体" w:hAnsi="宋体" w:cs="宋体"/>
          <w:spacing w:val="-10"/>
          <w:sz w:val="16"/>
          <w:szCs w:val="16"/>
        </w:rPr>
        <w:t>,</w:t>
      </w:r>
      <w:r>
        <w:rPr>
          <w:rFonts w:ascii="宋体" w:eastAsia="宋体" w:hAnsi="宋体" w:cs="宋体"/>
          <w:spacing w:val="-9"/>
          <w:sz w:val="16"/>
          <w:szCs w:val="16"/>
        </w:rPr>
        <w:t>SG</w:t>
      </w:r>
      <w:r>
        <w:rPr>
          <w:rFonts w:ascii="宋体" w:eastAsia="宋体" w:hAnsi="宋体" w:cs="宋体"/>
          <w:spacing w:val="-10"/>
          <w:sz w:val="16"/>
          <w:szCs w:val="16"/>
        </w:rPr>
        <w:t>A</w:t>
      </w:r>
      <w:r>
        <w:rPr>
          <w:rFonts w:ascii="宋体" w:eastAsia="宋体" w:hAnsi="宋体" w:cs="宋体"/>
          <w:spacing w:val="47"/>
          <w:sz w:val="16"/>
          <w:szCs w:val="16"/>
        </w:rPr>
        <w:t xml:space="preserve"> </w:t>
      </w:r>
      <w:r>
        <w:rPr>
          <w:rFonts w:ascii="宋体" w:eastAsia="宋体" w:hAnsi="宋体" w:cs="宋体"/>
          <w:spacing w:val="-10"/>
          <w:sz w:val="16"/>
          <w:szCs w:val="16"/>
        </w:rPr>
        <w:t>小于胎龄儿</w:t>
      </w:r>
      <w:r>
        <w:rPr>
          <w:rFonts w:ascii="宋体" w:eastAsia="宋体" w:hAnsi="宋体" w:cs="宋体"/>
          <w:sz w:val="16"/>
          <w:szCs w:val="16"/>
        </w:rPr>
        <w:t xml:space="preserve"> </w:t>
      </w:r>
      <w:r>
        <w:rPr>
          <w:rFonts w:ascii="宋体" w:eastAsia="宋体" w:hAnsi="宋体" w:cs="宋体"/>
          <w:spacing w:val="-16"/>
          <w:sz w:val="16"/>
          <w:szCs w:val="16"/>
        </w:rPr>
        <w:t>small</w:t>
      </w:r>
      <w:r>
        <w:rPr>
          <w:rFonts w:ascii="宋体" w:eastAsia="宋体" w:hAnsi="宋体" w:cs="宋体"/>
          <w:spacing w:val="-3"/>
          <w:sz w:val="16"/>
          <w:szCs w:val="16"/>
        </w:rPr>
        <w:t xml:space="preserve"> </w:t>
      </w:r>
      <w:r>
        <w:rPr>
          <w:rFonts w:ascii="宋体" w:eastAsia="宋体" w:hAnsi="宋体" w:cs="宋体"/>
          <w:spacing w:val="-16"/>
          <w:sz w:val="16"/>
          <w:szCs w:val="16"/>
        </w:rPr>
        <w:t>intestine</w:t>
      </w:r>
      <w:r>
        <w:rPr>
          <w:rFonts w:ascii="宋体" w:eastAsia="宋体" w:hAnsi="宋体" w:cs="宋体"/>
          <w:spacing w:val="62"/>
          <w:sz w:val="16"/>
          <w:szCs w:val="16"/>
        </w:rPr>
        <w:t xml:space="preserve"> </w:t>
      </w:r>
      <w:r>
        <w:rPr>
          <w:rFonts w:ascii="宋体" w:eastAsia="宋体" w:hAnsi="宋体" w:cs="宋体"/>
          <w:spacing w:val="-16"/>
          <w:sz w:val="16"/>
          <w:szCs w:val="16"/>
        </w:rPr>
        <w:t>小肠</w:t>
      </w:r>
    </w:p>
    <w:p w:rsidR="00EA40A3" w:rsidRDefault="00E86C16">
      <w:pPr>
        <w:spacing w:before="55" w:line="219" w:lineRule="auto"/>
        <w:rPr>
          <w:rFonts w:ascii="宋体" w:eastAsia="宋体" w:hAnsi="宋体" w:cs="宋体"/>
          <w:sz w:val="16"/>
          <w:szCs w:val="16"/>
        </w:rPr>
      </w:pPr>
      <w:r>
        <w:rPr>
          <w:rFonts w:ascii="宋体" w:eastAsia="宋体" w:hAnsi="宋体" w:cs="宋体"/>
          <w:spacing w:val="-9"/>
          <w:sz w:val="16"/>
          <w:szCs w:val="16"/>
        </w:rPr>
        <w:t>social</w:t>
      </w:r>
      <w:r>
        <w:rPr>
          <w:rFonts w:ascii="宋体" w:eastAsia="宋体" w:hAnsi="宋体" w:cs="宋体"/>
          <w:spacing w:val="-5"/>
          <w:sz w:val="16"/>
          <w:szCs w:val="16"/>
        </w:rPr>
        <w:t xml:space="preserve"> </w:t>
      </w:r>
      <w:r>
        <w:rPr>
          <w:rFonts w:ascii="宋体" w:eastAsia="宋体" w:hAnsi="宋体" w:cs="宋体"/>
          <w:spacing w:val="-9"/>
          <w:sz w:val="16"/>
          <w:szCs w:val="16"/>
        </w:rPr>
        <w:t>nutrition</w:t>
      </w:r>
      <w:r>
        <w:rPr>
          <w:rFonts w:ascii="宋体" w:eastAsia="宋体" w:hAnsi="宋体" w:cs="宋体"/>
          <w:spacing w:val="47"/>
          <w:sz w:val="16"/>
          <w:szCs w:val="16"/>
        </w:rPr>
        <w:t xml:space="preserve"> </w:t>
      </w:r>
      <w:r>
        <w:rPr>
          <w:rFonts w:ascii="宋体" w:eastAsia="宋体" w:hAnsi="宋体" w:cs="宋体"/>
          <w:spacing w:val="-9"/>
          <w:sz w:val="16"/>
          <w:szCs w:val="16"/>
        </w:rPr>
        <w:t>社会营养(学)</w:t>
      </w:r>
    </w:p>
    <w:p w:rsidR="00EA40A3" w:rsidRDefault="00E86C16">
      <w:pPr>
        <w:spacing w:before="61" w:line="251" w:lineRule="exact"/>
        <w:rPr>
          <w:rFonts w:ascii="宋体" w:eastAsia="宋体" w:hAnsi="宋体" w:cs="宋体"/>
          <w:sz w:val="16"/>
          <w:szCs w:val="16"/>
        </w:rPr>
      </w:pPr>
      <w:r>
        <w:rPr>
          <w:rFonts w:ascii="宋体" w:eastAsia="宋体" w:hAnsi="宋体" w:cs="宋体"/>
          <w:spacing w:val="-11"/>
          <w:position w:val="6"/>
          <w:sz w:val="16"/>
          <w:szCs w:val="16"/>
        </w:rPr>
        <w:t>soft</w:t>
      </w:r>
      <w:r>
        <w:rPr>
          <w:rFonts w:ascii="宋体" w:eastAsia="宋体" w:hAnsi="宋体" w:cs="宋体"/>
          <w:spacing w:val="-5"/>
          <w:position w:val="6"/>
          <w:sz w:val="16"/>
          <w:szCs w:val="16"/>
        </w:rPr>
        <w:t xml:space="preserve"> </w:t>
      </w:r>
      <w:r>
        <w:rPr>
          <w:rFonts w:ascii="宋体" w:eastAsia="宋体" w:hAnsi="宋体" w:cs="宋体"/>
          <w:spacing w:val="-11"/>
          <w:position w:val="6"/>
          <w:sz w:val="16"/>
          <w:szCs w:val="16"/>
        </w:rPr>
        <w:t>cheese</w:t>
      </w:r>
      <w:r>
        <w:rPr>
          <w:rFonts w:ascii="宋体" w:eastAsia="宋体" w:hAnsi="宋体" w:cs="宋体"/>
          <w:spacing w:val="52"/>
          <w:position w:val="6"/>
          <w:sz w:val="16"/>
          <w:szCs w:val="16"/>
        </w:rPr>
        <w:t xml:space="preserve"> </w:t>
      </w:r>
      <w:r>
        <w:rPr>
          <w:rFonts w:ascii="宋体" w:eastAsia="宋体" w:hAnsi="宋体" w:cs="宋体"/>
          <w:spacing w:val="-11"/>
          <w:position w:val="6"/>
          <w:sz w:val="16"/>
          <w:szCs w:val="16"/>
        </w:rPr>
        <w:t>软质干酪</w:t>
      </w:r>
    </w:p>
    <w:p w:rsidR="00EA40A3" w:rsidRDefault="00E86C16">
      <w:pPr>
        <w:spacing w:line="219" w:lineRule="auto"/>
        <w:rPr>
          <w:rFonts w:ascii="宋体" w:eastAsia="宋体" w:hAnsi="宋体" w:cs="宋体"/>
          <w:sz w:val="16"/>
          <w:szCs w:val="16"/>
        </w:rPr>
      </w:pPr>
      <w:r>
        <w:rPr>
          <w:rFonts w:ascii="宋体" w:eastAsia="宋体" w:hAnsi="宋体" w:cs="宋体"/>
          <w:spacing w:val="-13"/>
          <w:sz w:val="16"/>
          <w:szCs w:val="16"/>
        </w:rPr>
        <w:t>sorbitol</w:t>
      </w:r>
      <w:r>
        <w:rPr>
          <w:rFonts w:ascii="宋体" w:eastAsia="宋体" w:hAnsi="宋体" w:cs="宋体"/>
          <w:spacing w:val="68"/>
          <w:w w:val="101"/>
          <w:sz w:val="16"/>
          <w:szCs w:val="16"/>
        </w:rPr>
        <w:t xml:space="preserve"> </w:t>
      </w:r>
      <w:r>
        <w:rPr>
          <w:rFonts w:ascii="宋体" w:eastAsia="宋体" w:hAnsi="宋体" w:cs="宋体"/>
          <w:spacing w:val="-13"/>
          <w:sz w:val="16"/>
          <w:szCs w:val="16"/>
        </w:rPr>
        <w:t>山梨醇</w:t>
      </w:r>
    </w:p>
    <w:p w:rsidR="00EA40A3" w:rsidRDefault="00E86C16">
      <w:pPr>
        <w:spacing w:before="55" w:line="250" w:lineRule="exact"/>
        <w:rPr>
          <w:rFonts w:ascii="宋体" w:eastAsia="宋体" w:hAnsi="宋体" w:cs="宋体"/>
          <w:sz w:val="16"/>
          <w:szCs w:val="16"/>
        </w:rPr>
      </w:pPr>
      <w:r>
        <w:rPr>
          <w:rFonts w:ascii="宋体" w:eastAsia="宋体" w:hAnsi="宋体" w:cs="宋体"/>
          <w:spacing w:val="-10"/>
          <w:position w:val="7"/>
          <w:sz w:val="16"/>
          <w:szCs w:val="16"/>
        </w:rPr>
        <w:t>soybean</w:t>
      </w:r>
      <w:r>
        <w:rPr>
          <w:rFonts w:ascii="宋体" w:eastAsia="宋体" w:hAnsi="宋体" w:cs="宋体"/>
          <w:spacing w:val="-5"/>
          <w:position w:val="7"/>
          <w:sz w:val="16"/>
          <w:szCs w:val="16"/>
        </w:rPr>
        <w:t xml:space="preserve"> </w:t>
      </w:r>
      <w:r>
        <w:rPr>
          <w:rFonts w:ascii="宋体" w:eastAsia="宋体" w:hAnsi="宋体" w:cs="宋体"/>
          <w:spacing w:val="-10"/>
          <w:position w:val="7"/>
          <w:sz w:val="16"/>
          <w:szCs w:val="16"/>
        </w:rPr>
        <w:t>oligosaccharide</w:t>
      </w:r>
      <w:r>
        <w:rPr>
          <w:rFonts w:ascii="宋体" w:eastAsia="宋体" w:hAnsi="宋体" w:cs="宋体"/>
          <w:spacing w:val="51"/>
          <w:w w:val="101"/>
          <w:position w:val="7"/>
          <w:sz w:val="16"/>
          <w:szCs w:val="16"/>
        </w:rPr>
        <w:t xml:space="preserve"> </w:t>
      </w:r>
      <w:r>
        <w:rPr>
          <w:rFonts w:ascii="宋体" w:eastAsia="宋体" w:hAnsi="宋体" w:cs="宋体"/>
          <w:spacing w:val="-10"/>
          <w:position w:val="7"/>
          <w:sz w:val="16"/>
          <w:szCs w:val="16"/>
        </w:rPr>
        <w:t>大</w:t>
      </w:r>
      <w:r>
        <w:rPr>
          <w:rFonts w:ascii="宋体" w:eastAsia="宋体" w:hAnsi="宋体" w:cs="宋体"/>
          <w:spacing w:val="-11"/>
          <w:position w:val="7"/>
          <w:sz w:val="16"/>
          <w:szCs w:val="16"/>
        </w:rPr>
        <w:t>豆低聚糖</w:t>
      </w:r>
    </w:p>
    <w:p w:rsidR="00EA40A3" w:rsidRDefault="00E86C16">
      <w:pPr>
        <w:spacing w:line="213" w:lineRule="auto"/>
        <w:rPr>
          <w:rFonts w:ascii="宋体" w:eastAsia="宋体" w:hAnsi="宋体" w:cs="宋体"/>
          <w:sz w:val="16"/>
          <w:szCs w:val="16"/>
        </w:rPr>
      </w:pPr>
      <w:r>
        <w:rPr>
          <w:rFonts w:ascii="宋体" w:eastAsia="宋体" w:hAnsi="宋体" w:cs="宋体"/>
          <w:spacing w:val="-7"/>
          <w:sz w:val="16"/>
          <w:szCs w:val="16"/>
        </w:rPr>
        <w:t>sphingolipid</w:t>
      </w:r>
      <w:r>
        <w:rPr>
          <w:rFonts w:ascii="宋体" w:eastAsia="宋体" w:hAnsi="宋体" w:cs="宋体"/>
          <w:spacing w:val="44"/>
          <w:sz w:val="16"/>
          <w:szCs w:val="16"/>
        </w:rPr>
        <w:t xml:space="preserve">  </w:t>
      </w:r>
      <w:r>
        <w:rPr>
          <w:rFonts w:ascii="宋体" w:eastAsia="宋体" w:hAnsi="宋体" w:cs="宋体"/>
          <w:spacing w:val="-7"/>
          <w:sz w:val="16"/>
          <w:szCs w:val="16"/>
        </w:rPr>
        <w:t>(神经)鞘脂类</w:t>
      </w:r>
    </w:p>
    <w:p w:rsidR="00EA40A3" w:rsidRDefault="00E86C16">
      <w:pPr>
        <w:spacing w:before="67" w:line="215" w:lineRule="auto"/>
        <w:rPr>
          <w:rFonts w:ascii="宋体" w:eastAsia="宋体" w:hAnsi="宋体" w:cs="宋体"/>
          <w:sz w:val="16"/>
          <w:szCs w:val="16"/>
        </w:rPr>
      </w:pPr>
      <w:r>
        <w:rPr>
          <w:rFonts w:ascii="宋体" w:eastAsia="宋体" w:hAnsi="宋体" w:cs="宋体"/>
          <w:spacing w:val="-9"/>
          <w:sz w:val="16"/>
          <w:szCs w:val="16"/>
        </w:rPr>
        <w:t>stachyose</w:t>
      </w:r>
      <w:r>
        <w:rPr>
          <w:rFonts w:ascii="宋体" w:eastAsia="宋体" w:hAnsi="宋体" w:cs="宋体"/>
          <w:spacing w:val="61"/>
          <w:sz w:val="16"/>
          <w:szCs w:val="16"/>
        </w:rPr>
        <w:t xml:space="preserve"> </w:t>
      </w:r>
      <w:r>
        <w:rPr>
          <w:rFonts w:ascii="宋体" w:eastAsia="宋体" w:hAnsi="宋体" w:cs="宋体"/>
          <w:spacing w:val="-9"/>
          <w:sz w:val="16"/>
          <w:szCs w:val="16"/>
        </w:rPr>
        <w:t>水苏糖</w:t>
      </w:r>
    </w:p>
    <w:p w:rsidR="00EA40A3" w:rsidRDefault="00E86C16">
      <w:pPr>
        <w:spacing w:before="67" w:line="250" w:lineRule="exact"/>
        <w:rPr>
          <w:rFonts w:ascii="宋体" w:eastAsia="宋体" w:hAnsi="宋体" w:cs="宋体"/>
          <w:sz w:val="16"/>
          <w:szCs w:val="16"/>
        </w:rPr>
      </w:pPr>
      <w:r>
        <w:rPr>
          <w:rFonts w:ascii="宋体" w:eastAsia="宋体" w:hAnsi="宋体" w:cs="宋体"/>
          <w:spacing w:val="-12"/>
          <w:position w:val="6"/>
          <w:sz w:val="16"/>
          <w:szCs w:val="16"/>
        </w:rPr>
        <w:t>standardization</w:t>
      </w:r>
      <w:r>
        <w:rPr>
          <w:rFonts w:ascii="宋体" w:eastAsia="宋体" w:hAnsi="宋体" w:cs="宋体"/>
          <w:spacing w:val="60"/>
          <w:position w:val="6"/>
          <w:sz w:val="16"/>
          <w:szCs w:val="16"/>
        </w:rPr>
        <w:t xml:space="preserve"> </w:t>
      </w:r>
      <w:r>
        <w:rPr>
          <w:rFonts w:ascii="宋体" w:eastAsia="宋体" w:hAnsi="宋体" w:cs="宋体"/>
          <w:spacing w:val="-12"/>
          <w:position w:val="6"/>
          <w:sz w:val="16"/>
          <w:szCs w:val="16"/>
        </w:rPr>
        <w:t>标准化</w:t>
      </w:r>
    </w:p>
    <w:p w:rsidR="00EA40A3" w:rsidRDefault="00E86C16">
      <w:pPr>
        <w:spacing w:line="219" w:lineRule="auto"/>
        <w:rPr>
          <w:rFonts w:ascii="宋体" w:eastAsia="宋体" w:hAnsi="宋体" w:cs="宋体"/>
          <w:sz w:val="16"/>
          <w:szCs w:val="16"/>
        </w:rPr>
      </w:pPr>
      <w:r>
        <w:rPr>
          <w:rFonts w:ascii="宋体" w:eastAsia="宋体" w:hAnsi="宋体" w:cs="宋体"/>
          <w:spacing w:val="-10"/>
          <w:sz w:val="16"/>
          <w:szCs w:val="16"/>
        </w:rPr>
        <w:t>starch</w:t>
      </w:r>
      <w:r>
        <w:rPr>
          <w:rFonts w:ascii="宋体" w:eastAsia="宋体" w:hAnsi="宋体" w:cs="宋体"/>
          <w:spacing w:val="55"/>
          <w:sz w:val="16"/>
          <w:szCs w:val="16"/>
        </w:rPr>
        <w:t xml:space="preserve"> </w:t>
      </w:r>
      <w:r>
        <w:rPr>
          <w:rFonts w:ascii="宋体" w:eastAsia="宋体" w:hAnsi="宋体" w:cs="宋体"/>
          <w:spacing w:val="-10"/>
          <w:sz w:val="16"/>
          <w:szCs w:val="16"/>
        </w:rPr>
        <w:t>淀粉</w:t>
      </w:r>
    </w:p>
    <w:p w:rsidR="00EA40A3" w:rsidRDefault="00E86C16">
      <w:pPr>
        <w:spacing w:before="61" w:line="221" w:lineRule="auto"/>
        <w:rPr>
          <w:rFonts w:ascii="宋体" w:eastAsia="宋体" w:hAnsi="宋体" w:cs="宋体"/>
          <w:sz w:val="16"/>
          <w:szCs w:val="16"/>
        </w:rPr>
      </w:pPr>
      <w:r>
        <w:rPr>
          <w:rFonts w:ascii="宋体" w:eastAsia="宋体" w:hAnsi="宋体" w:cs="宋体"/>
          <w:spacing w:val="-17"/>
          <w:sz w:val="16"/>
          <w:szCs w:val="16"/>
        </w:rPr>
        <w:t>stearic</w:t>
      </w:r>
      <w:r>
        <w:rPr>
          <w:rFonts w:ascii="宋体" w:eastAsia="宋体" w:hAnsi="宋体" w:cs="宋体"/>
          <w:spacing w:val="-4"/>
          <w:sz w:val="16"/>
          <w:szCs w:val="16"/>
        </w:rPr>
        <w:t xml:space="preserve"> </w:t>
      </w:r>
      <w:r>
        <w:rPr>
          <w:rFonts w:ascii="宋体" w:eastAsia="宋体" w:hAnsi="宋体" w:cs="宋体"/>
          <w:spacing w:val="-17"/>
          <w:sz w:val="16"/>
          <w:szCs w:val="16"/>
        </w:rPr>
        <w:t>acid</w:t>
      </w:r>
      <w:r>
        <w:rPr>
          <w:rFonts w:ascii="宋体" w:eastAsia="宋体" w:hAnsi="宋体" w:cs="宋体"/>
          <w:spacing w:val="66"/>
          <w:w w:val="101"/>
          <w:sz w:val="16"/>
          <w:szCs w:val="16"/>
        </w:rPr>
        <w:t xml:space="preserve"> </w:t>
      </w:r>
      <w:r>
        <w:rPr>
          <w:rFonts w:ascii="宋体" w:eastAsia="宋体" w:hAnsi="宋体" w:cs="宋体"/>
          <w:spacing w:val="-17"/>
          <w:sz w:val="16"/>
          <w:szCs w:val="16"/>
        </w:rPr>
        <w:t>硬脂酸</w:t>
      </w:r>
    </w:p>
    <w:p w:rsidR="00EA40A3" w:rsidRDefault="00E86C16">
      <w:pPr>
        <w:spacing w:before="53" w:line="214" w:lineRule="auto"/>
        <w:rPr>
          <w:rFonts w:ascii="宋体" w:eastAsia="宋体" w:hAnsi="宋体" w:cs="宋体"/>
          <w:sz w:val="16"/>
          <w:szCs w:val="16"/>
        </w:rPr>
      </w:pPr>
      <w:r>
        <w:rPr>
          <w:rFonts w:ascii="宋体" w:eastAsia="宋体" w:hAnsi="宋体" w:cs="宋体"/>
          <w:spacing w:val="-14"/>
          <w:sz w:val="16"/>
          <w:szCs w:val="16"/>
        </w:rPr>
        <w:t>steroidal</w:t>
      </w:r>
      <w:r>
        <w:rPr>
          <w:rFonts w:ascii="宋体" w:eastAsia="宋体" w:hAnsi="宋体" w:cs="宋体"/>
          <w:spacing w:val="4"/>
          <w:sz w:val="16"/>
          <w:szCs w:val="16"/>
        </w:rPr>
        <w:t xml:space="preserve"> </w:t>
      </w:r>
      <w:r>
        <w:rPr>
          <w:rFonts w:ascii="宋体" w:eastAsia="宋体" w:hAnsi="宋体" w:cs="宋体"/>
          <w:spacing w:val="-14"/>
          <w:sz w:val="16"/>
          <w:szCs w:val="16"/>
        </w:rPr>
        <w:t>saponin</w:t>
      </w:r>
      <w:r>
        <w:rPr>
          <w:rFonts w:ascii="宋体" w:eastAsia="宋体" w:hAnsi="宋体" w:cs="宋体"/>
          <w:spacing w:val="66"/>
          <w:sz w:val="16"/>
          <w:szCs w:val="16"/>
        </w:rPr>
        <w:t xml:space="preserve"> </w:t>
      </w:r>
      <w:r>
        <w:rPr>
          <w:rFonts w:ascii="宋体" w:eastAsia="宋体" w:hAnsi="宋体" w:cs="宋体"/>
          <w:spacing w:val="-14"/>
          <w:sz w:val="16"/>
          <w:szCs w:val="16"/>
        </w:rPr>
        <w:t>甾体皂苷</w:t>
      </w:r>
    </w:p>
    <w:p w:rsidR="00EA40A3" w:rsidRDefault="00E86C16">
      <w:pPr>
        <w:spacing w:before="76" w:line="265" w:lineRule="auto"/>
        <w:ind w:left="269" w:right="141" w:hanging="269"/>
        <w:rPr>
          <w:rFonts w:ascii="宋体" w:eastAsia="宋体" w:hAnsi="宋体" w:cs="宋体"/>
          <w:sz w:val="16"/>
          <w:szCs w:val="16"/>
        </w:rPr>
      </w:pPr>
      <w:r>
        <w:rPr>
          <w:rFonts w:ascii="Times New Roman" w:eastAsia="Times New Roman" w:hAnsi="Times New Roman" w:cs="Times New Roman"/>
          <w:sz w:val="16"/>
          <w:szCs w:val="16"/>
        </w:rPr>
        <w:t>sterol</w:t>
      </w:r>
      <w:r>
        <w:rPr>
          <w:rFonts w:ascii="Times New Roman" w:eastAsia="Times New Roman" w:hAnsi="Times New Roman" w:cs="Times New Roman"/>
          <w:spacing w:val="12"/>
          <w:w w:val="101"/>
          <w:sz w:val="16"/>
          <w:szCs w:val="16"/>
        </w:rPr>
        <w:t xml:space="preserve">  </w:t>
      </w:r>
      <w:r>
        <w:rPr>
          <w:rFonts w:ascii="Times New Roman" w:eastAsia="Times New Roman" w:hAnsi="Times New Roman" w:cs="Times New Roman"/>
          <w:sz w:val="16"/>
          <w:szCs w:val="16"/>
        </w:rPr>
        <w:t>regulatory</w:t>
      </w:r>
      <w:r>
        <w:rPr>
          <w:rFonts w:ascii="Times New Roman" w:eastAsia="Times New Roman" w:hAnsi="Times New Roman" w:cs="Times New Roman"/>
          <w:spacing w:val="14"/>
          <w:w w:val="102"/>
          <w:sz w:val="16"/>
          <w:szCs w:val="16"/>
        </w:rPr>
        <w:t xml:space="preserve">  </w:t>
      </w:r>
      <w:r>
        <w:rPr>
          <w:rFonts w:ascii="Times New Roman" w:eastAsia="Times New Roman" w:hAnsi="Times New Roman" w:cs="Times New Roman"/>
          <w:sz w:val="16"/>
          <w:szCs w:val="16"/>
        </w:rPr>
        <w:t>element</w:t>
      </w:r>
      <w:r>
        <w:rPr>
          <w:rFonts w:ascii="Times New Roman" w:eastAsia="Times New Roman" w:hAnsi="Times New Roman" w:cs="Times New Roman"/>
          <w:spacing w:val="11"/>
          <w:w w:val="101"/>
          <w:sz w:val="16"/>
          <w:szCs w:val="16"/>
        </w:rPr>
        <w:t xml:space="preserve">  </w:t>
      </w:r>
      <w:r>
        <w:rPr>
          <w:rFonts w:ascii="Times New Roman" w:eastAsia="Times New Roman" w:hAnsi="Times New Roman" w:cs="Times New Roman"/>
          <w:sz w:val="16"/>
          <w:szCs w:val="16"/>
        </w:rPr>
        <w:t>bin</w:t>
      </w:r>
      <w:r>
        <w:rPr>
          <w:rFonts w:ascii="Times New Roman" w:eastAsia="Times New Roman" w:hAnsi="Times New Roman" w:cs="Times New Roman"/>
          <w:spacing w:val="-1"/>
          <w:sz w:val="16"/>
          <w:szCs w:val="16"/>
        </w:rPr>
        <w:t>ding</w:t>
      </w:r>
      <w:r>
        <w:rPr>
          <w:rFonts w:ascii="Times New Roman" w:eastAsia="Times New Roman" w:hAnsi="Times New Roman" w:cs="Times New Roman"/>
          <w:spacing w:val="11"/>
          <w:w w:val="102"/>
          <w:sz w:val="16"/>
          <w:szCs w:val="16"/>
        </w:rPr>
        <w:t xml:space="preserve">  </w:t>
      </w:r>
      <w:r>
        <w:rPr>
          <w:rFonts w:ascii="Times New Roman" w:eastAsia="Times New Roman" w:hAnsi="Times New Roman" w:cs="Times New Roman"/>
          <w:spacing w:val="-1"/>
          <w:sz w:val="16"/>
          <w:szCs w:val="16"/>
        </w:rPr>
        <w:t>protein,SREBP</w:t>
      </w:r>
      <w:r>
        <w:rPr>
          <w:rFonts w:ascii="Times New Roman" w:eastAsia="Times New Roman" w:hAnsi="Times New Roman" w:cs="Times New Roman"/>
          <w:sz w:val="16"/>
          <w:szCs w:val="16"/>
        </w:rPr>
        <w:t xml:space="preserve"> </w:t>
      </w:r>
      <w:r>
        <w:rPr>
          <w:rFonts w:ascii="宋体" w:eastAsia="宋体" w:hAnsi="宋体" w:cs="宋体"/>
          <w:spacing w:val="-5"/>
          <w:sz w:val="16"/>
          <w:szCs w:val="16"/>
        </w:rPr>
        <w:t>固醇调节元件结合蛋白</w:t>
      </w:r>
    </w:p>
    <w:p w:rsidR="00EA40A3" w:rsidRDefault="00E86C16">
      <w:pPr>
        <w:spacing w:before="190" w:line="250" w:lineRule="exact"/>
        <w:rPr>
          <w:rFonts w:ascii="宋体" w:eastAsia="宋体" w:hAnsi="宋体" w:cs="宋体"/>
          <w:sz w:val="16"/>
          <w:szCs w:val="16"/>
        </w:rPr>
      </w:pPr>
      <w:r>
        <w:rPr>
          <w:rFonts w:ascii="宋体" w:eastAsia="宋体" w:hAnsi="宋体" w:cs="宋体"/>
          <w:spacing w:val="-13"/>
          <w:position w:val="6"/>
          <w:sz w:val="16"/>
          <w:szCs w:val="16"/>
        </w:rPr>
        <w:t>sterols</w:t>
      </w:r>
      <w:r>
        <w:rPr>
          <w:rFonts w:ascii="宋体" w:eastAsia="宋体" w:hAnsi="宋体" w:cs="宋体"/>
          <w:spacing w:val="65"/>
          <w:position w:val="6"/>
          <w:sz w:val="16"/>
          <w:szCs w:val="16"/>
        </w:rPr>
        <w:t xml:space="preserve"> </w:t>
      </w:r>
      <w:r>
        <w:rPr>
          <w:rFonts w:ascii="宋体" w:eastAsia="宋体" w:hAnsi="宋体" w:cs="宋体"/>
          <w:spacing w:val="-13"/>
          <w:position w:val="6"/>
          <w:sz w:val="16"/>
          <w:szCs w:val="16"/>
        </w:rPr>
        <w:t>固醇类</w:t>
      </w:r>
    </w:p>
    <w:p w:rsidR="00EA40A3" w:rsidRDefault="00E86C16">
      <w:pPr>
        <w:spacing w:line="218" w:lineRule="auto"/>
        <w:rPr>
          <w:rFonts w:ascii="宋体" w:eastAsia="宋体" w:hAnsi="宋体" w:cs="宋体"/>
          <w:sz w:val="16"/>
          <w:szCs w:val="16"/>
        </w:rPr>
      </w:pPr>
      <w:r>
        <w:rPr>
          <w:rFonts w:ascii="宋体" w:eastAsia="宋体" w:hAnsi="宋体" w:cs="宋体"/>
          <w:spacing w:val="-2"/>
          <w:sz w:val="16"/>
          <w:szCs w:val="16"/>
        </w:rPr>
        <w:t>stomach</w:t>
      </w:r>
      <w:r>
        <w:rPr>
          <w:rFonts w:ascii="宋体" w:eastAsia="宋体" w:hAnsi="宋体" w:cs="宋体"/>
          <w:spacing w:val="65"/>
          <w:sz w:val="16"/>
          <w:szCs w:val="16"/>
        </w:rPr>
        <w:t xml:space="preserve"> </w:t>
      </w:r>
      <w:r>
        <w:rPr>
          <w:rFonts w:ascii="宋体" w:eastAsia="宋体" w:hAnsi="宋体" w:cs="宋体"/>
          <w:spacing w:val="-2"/>
          <w:sz w:val="16"/>
          <w:szCs w:val="16"/>
        </w:rPr>
        <w:t>胃</w:t>
      </w:r>
    </w:p>
    <w:p w:rsidR="00EA40A3" w:rsidRDefault="00E86C16">
      <w:pPr>
        <w:spacing w:before="62" w:line="219" w:lineRule="auto"/>
        <w:rPr>
          <w:rFonts w:ascii="宋体" w:eastAsia="宋体" w:hAnsi="宋体" w:cs="宋体"/>
          <w:sz w:val="16"/>
          <w:szCs w:val="16"/>
        </w:rPr>
      </w:pPr>
      <w:r>
        <w:rPr>
          <w:rFonts w:ascii="宋体" w:eastAsia="宋体" w:hAnsi="宋体" w:cs="宋体"/>
          <w:spacing w:val="-14"/>
          <w:sz w:val="16"/>
          <w:szCs w:val="16"/>
        </w:rPr>
        <w:t>stored</w:t>
      </w:r>
      <w:r>
        <w:rPr>
          <w:rFonts w:ascii="宋体" w:eastAsia="宋体" w:hAnsi="宋体" w:cs="宋体"/>
          <w:sz w:val="16"/>
          <w:szCs w:val="16"/>
        </w:rPr>
        <w:t xml:space="preserve"> </w:t>
      </w:r>
      <w:r>
        <w:rPr>
          <w:rFonts w:ascii="宋体" w:eastAsia="宋体" w:hAnsi="宋体" w:cs="宋体"/>
          <w:spacing w:val="-14"/>
          <w:sz w:val="16"/>
          <w:szCs w:val="16"/>
        </w:rPr>
        <w:t>fat</w:t>
      </w:r>
      <w:r>
        <w:rPr>
          <w:rFonts w:ascii="宋体" w:eastAsia="宋体" w:hAnsi="宋体" w:cs="宋体"/>
          <w:spacing w:val="71"/>
          <w:sz w:val="16"/>
          <w:szCs w:val="16"/>
        </w:rPr>
        <w:t xml:space="preserve"> </w:t>
      </w:r>
      <w:r>
        <w:rPr>
          <w:rFonts w:ascii="宋体" w:eastAsia="宋体" w:hAnsi="宋体" w:cs="宋体"/>
          <w:spacing w:val="-14"/>
          <w:sz w:val="16"/>
          <w:szCs w:val="16"/>
        </w:rPr>
        <w:t>蓄积脂肪</w:t>
      </w:r>
    </w:p>
    <w:p w:rsidR="00EA40A3" w:rsidRDefault="00E86C16">
      <w:pPr>
        <w:spacing w:before="56" w:line="254" w:lineRule="exact"/>
        <w:rPr>
          <w:rFonts w:ascii="宋体" w:eastAsia="宋体" w:hAnsi="宋体" w:cs="宋体"/>
          <w:sz w:val="16"/>
          <w:szCs w:val="16"/>
        </w:rPr>
      </w:pPr>
      <w:r>
        <w:rPr>
          <w:rFonts w:ascii="宋体" w:eastAsia="宋体" w:hAnsi="宋体" w:cs="宋体"/>
          <w:spacing w:val="-3"/>
          <w:position w:val="7"/>
          <w:sz w:val="16"/>
          <w:szCs w:val="16"/>
        </w:rPr>
        <w:t>succinyl</w:t>
      </w:r>
      <w:r>
        <w:rPr>
          <w:rFonts w:ascii="宋体" w:eastAsia="宋体" w:hAnsi="宋体" w:cs="宋体"/>
          <w:spacing w:val="11"/>
          <w:position w:val="7"/>
          <w:sz w:val="16"/>
          <w:szCs w:val="16"/>
        </w:rPr>
        <w:t xml:space="preserve"> </w:t>
      </w:r>
      <w:r>
        <w:rPr>
          <w:rFonts w:ascii="宋体" w:eastAsia="宋体" w:hAnsi="宋体" w:cs="宋体"/>
          <w:spacing w:val="-3"/>
          <w:position w:val="7"/>
          <w:sz w:val="16"/>
          <w:szCs w:val="16"/>
        </w:rPr>
        <w:t>CoA</w:t>
      </w:r>
      <w:r>
        <w:rPr>
          <w:rFonts w:ascii="宋体" w:eastAsia="宋体" w:hAnsi="宋体" w:cs="宋体"/>
          <w:spacing w:val="57"/>
          <w:position w:val="7"/>
          <w:sz w:val="16"/>
          <w:szCs w:val="16"/>
        </w:rPr>
        <w:t xml:space="preserve"> </w:t>
      </w:r>
      <w:r>
        <w:rPr>
          <w:rFonts w:ascii="宋体" w:eastAsia="宋体" w:hAnsi="宋体" w:cs="宋体"/>
          <w:spacing w:val="-3"/>
          <w:position w:val="7"/>
          <w:sz w:val="16"/>
          <w:szCs w:val="16"/>
        </w:rPr>
        <w:t>琥珀酰辅酶A</w:t>
      </w:r>
    </w:p>
    <w:p w:rsidR="00EA40A3" w:rsidRDefault="00E86C16">
      <w:pPr>
        <w:spacing w:line="220" w:lineRule="auto"/>
        <w:rPr>
          <w:rFonts w:ascii="宋体" w:eastAsia="宋体" w:hAnsi="宋体" w:cs="宋体"/>
          <w:sz w:val="16"/>
          <w:szCs w:val="16"/>
        </w:rPr>
      </w:pPr>
      <w:r>
        <w:rPr>
          <w:rFonts w:ascii="宋体" w:eastAsia="宋体" w:hAnsi="宋体" w:cs="宋体"/>
          <w:spacing w:val="-7"/>
          <w:sz w:val="16"/>
          <w:szCs w:val="16"/>
        </w:rPr>
        <w:t>sucrose</w:t>
      </w:r>
      <w:r>
        <w:rPr>
          <w:rFonts w:ascii="宋体" w:eastAsia="宋体" w:hAnsi="宋体" w:cs="宋体"/>
          <w:spacing w:val="48"/>
          <w:w w:val="101"/>
          <w:sz w:val="16"/>
          <w:szCs w:val="16"/>
        </w:rPr>
        <w:t xml:space="preserve"> </w:t>
      </w:r>
      <w:r>
        <w:rPr>
          <w:rFonts w:ascii="宋体" w:eastAsia="宋体" w:hAnsi="宋体" w:cs="宋体"/>
          <w:spacing w:val="-7"/>
          <w:sz w:val="16"/>
          <w:szCs w:val="16"/>
        </w:rPr>
        <w:t>蔗糖</w:t>
      </w:r>
    </w:p>
    <w:p w:rsidR="00EA40A3" w:rsidRDefault="00E86C16">
      <w:pPr>
        <w:spacing w:before="55" w:line="214" w:lineRule="auto"/>
        <w:rPr>
          <w:rFonts w:ascii="宋体" w:eastAsia="宋体" w:hAnsi="宋体" w:cs="宋体"/>
          <w:sz w:val="16"/>
          <w:szCs w:val="16"/>
        </w:rPr>
      </w:pPr>
      <w:r>
        <w:rPr>
          <w:rFonts w:ascii="宋体" w:eastAsia="宋体" w:hAnsi="宋体" w:cs="宋体"/>
          <w:spacing w:val="-1"/>
          <w:sz w:val="16"/>
          <w:szCs w:val="16"/>
        </w:rPr>
        <w:t>superoxide</w:t>
      </w:r>
      <w:r>
        <w:rPr>
          <w:rFonts w:ascii="宋体" w:eastAsia="宋体" w:hAnsi="宋体" w:cs="宋体"/>
          <w:spacing w:val="11"/>
          <w:sz w:val="16"/>
          <w:szCs w:val="16"/>
        </w:rPr>
        <w:t xml:space="preserve"> </w:t>
      </w:r>
      <w:r>
        <w:rPr>
          <w:rFonts w:ascii="宋体" w:eastAsia="宋体" w:hAnsi="宋体" w:cs="宋体"/>
          <w:spacing w:val="-1"/>
          <w:sz w:val="16"/>
          <w:szCs w:val="16"/>
        </w:rPr>
        <w:t>dismutase,SOD</w:t>
      </w:r>
      <w:r>
        <w:rPr>
          <w:rFonts w:ascii="宋体" w:eastAsia="宋体" w:hAnsi="宋体" w:cs="宋体"/>
          <w:spacing w:val="43"/>
          <w:sz w:val="16"/>
          <w:szCs w:val="16"/>
        </w:rPr>
        <w:t xml:space="preserve"> </w:t>
      </w:r>
      <w:r>
        <w:rPr>
          <w:rFonts w:ascii="宋体" w:eastAsia="宋体" w:hAnsi="宋体" w:cs="宋体"/>
          <w:spacing w:val="-1"/>
          <w:sz w:val="16"/>
          <w:szCs w:val="16"/>
        </w:rPr>
        <w:t>超氧化物歧化酶</w:t>
      </w:r>
    </w:p>
    <w:p w:rsidR="00EA40A3" w:rsidRDefault="00E86C16">
      <w:pPr>
        <w:spacing w:before="66" w:line="248" w:lineRule="exact"/>
        <w:rPr>
          <w:rFonts w:ascii="宋体" w:eastAsia="宋体" w:hAnsi="宋体" w:cs="宋体"/>
          <w:sz w:val="16"/>
          <w:szCs w:val="16"/>
        </w:rPr>
      </w:pPr>
      <w:r>
        <w:rPr>
          <w:rFonts w:ascii="宋体" w:eastAsia="宋体" w:hAnsi="宋体" w:cs="宋体"/>
          <w:spacing w:val="-1"/>
          <w:position w:val="6"/>
          <w:sz w:val="16"/>
          <w:szCs w:val="16"/>
        </w:rPr>
        <w:t>taurine,Tau</w:t>
      </w:r>
      <w:r>
        <w:rPr>
          <w:rFonts w:ascii="宋体" w:eastAsia="宋体" w:hAnsi="宋体" w:cs="宋体"/>
          <w:spacing w:val="60"/>
          <w:position w:val="6"/>
          <w:sz w:val="16"/>
          <w:szCs w:val="16"/>
        </w:rPr>
        <w:t xml:space="preserve"> </w:t>
      </w:r>
      <w:r>
        <w:rPr>
          <w:rFonts w:ascii="宋体" w:eastAsia="宋体" w:hAnsi="宋体" w:cs="宋体"/>
          <w:spacing w:val="-1"/>
          <w:position w:val="6"/>
          <w:sz w:val="16"/>
          <w:szCs w:val="16"/>
        </w:rPr>
        <w:t>牛磺酸，氨基乙磺酸</w:t>
      </w:r>
    </w:p>
    <w:p w:rsidR="00EA40A3" w:rsidRDefault="00E86C16">
      <w:pPr>
        <w:spacing w:line="214" w:lineRule="auto"/>
        <w:rPr>
          <w:rFonts w:ascii="宋体" w:eastAsia="宋体" w:hAnsi="宋体" w:cs="宋体"/>
          <w:sz w:val="16"/>
          <w:szCs w:val="16"/>
        </w:rPr>
      </w:pPr>
      <w:r>
        <w:rPr>
          <w:rFonts w:ascii="宋体" w:eastAsia="宋体" w:hAnsi="宋体" w:cs="宋体"/>
          <w:spacing w:val="-3"/>
          <w:sz w:val="16"/>
          <w:szCs w:val="16"/>
        </w:rPr>
        <w:t>tea</w:t>
      </w:r>
      <w:r>
        <w:rPr>
          <w:rFonts w:ascii="宋体" w:eastAsia="宋体" w:hAnsi="宋体" w:cs="宋体"/>
          <w:spacing w:val="16"/>
          <w:sz w:val="16"/>
          <w:szCs w:val="16"/>
        </w:rPr>
        <w:t xml:space="preserve"> </w:t>
      </w:r>
      <w:r>
        <w:rPr>
          <w:rFonts w:ascii="宋体" w:eastAsia="宋体" w:hAnsi="宋体" w:cs="宋体"/>
          <w:spacing w:val="-3"/>
          <w:sz w:val="16"/>
          <w:szCs w:val="16"/>
        </w:rPr>
        <w:t>polyphenol,TP</w:t>
      </w:r>
      <w:r>
        <w:rPr>
          <w:rFonts w:ascii="宋体" w:eastAsia="宋体" w:hAnsi="宋体" w:cs="宋体"/>
          <w:spacing w:val="54"/>
          <w:sz w:val="16"/>
          <w:szCs w:val="16"/>
        </w:rPr>
        <w:t xml:space="preserve"> </w:t>
      </w:r>
      <w:r>
        <w:rPr>
          <w:rFonts w:ascii="宋体" w:eastAsia="宋体" w:hAnsi="宋体" w:cs="宋体"/>
          <w:spacing w:val="-3"/>
          <w:sz w:val="16"/>
          <w:szCs w:val="16"/>
        </w:rPr>
        <w:t>茶多酚</w:t>
      </w:r>
    </w:p>
    <w:p w:rsidR="00EA40A3" w:rsidRDefault="00E86C16">
      <w:pPr>
        <w:spacing w:before="65" w:line="252" w:lineRule="auto"/>
        <w:ind w:right="15"/>
        <w:rPr>
          <w:rFonts w:ascii="宋体" w:eastAsia="宋体" w:hAnsi="宋体" w:cs="宋体"/>
          <w:sz w:val="16"/>
          <w:szCs w:val="16"/>
        </w:rPr>
      </w:pPr>
      <w:r>
        <w:rPr>
          <w:rFonts w:ascii="宋体" w:eastAsia="宋体" w:hAnsi="宋体" w:cs="宋体"/>
          <w:spacing w:val="-4"/>
          <w:sz w:val="16"/>
          <w:szCs w:val="16"/>
        </w:rPr>
        <w:t>tea</w:t>
      </w:r>
      <w:r>
        <w:rPr>
          <w:rFonts w:ascii="宋体" w:eastAsia="宋体" w:hAnsi="宋体" w:cs="宋体"/>
          <w:sz w:val="16"/>
          <w:szCs w:val="16"/>
        </w:rPr>
        <w:t xml:space="preserve"> </w:t>
      </w:r>
      <w:r>
        <w:rPr>
          <w:rFonts w:ascii="宋体" w:eastAsia="宋体" w:hAnsi="宋体" w:cs="宋体"/>
          <w:spacing w:val="-4"/>
          <w:sz w:val="16"/>
          <w:szCs w:val="16"/>
        </w:rPr>
        <w:t>polysaccharide</w:t>
      </w:r>
      <w:r>
        <w:rPr>
          <w:rFonts w:ascii="宋体" w:eastAsia="宋体" w:hAnsi="宋体" w:cs="宋体"/>
          <w:spacing w:val="6"/>
          <w:sz w:val="16"/>
          <w:szCs w:val="16"/>
        </w:rPr>
        <w:t xml:space="preserve"> </w:t>
      </w:r>
      <w:r>
        <w:rPr>
          <w:rFonts w:ascii="宋体" w:eastAsia="宋体" w:hAnsi="宋体" w:cs="宋体"/>
          <w:spacing w:val="-4"/>
          <w:sz w:val="16"/>
          <w:szCs w:val="16"/>
        </w:rPr>
        <w:t>complex,TPC</w:t>
      </w:r>
      <w:r>
        <w:rPr>
          <w:rFonts w:ascii="宋体" w:eastAsia="宋体" w:hAnsi="宋体" w:cs="宋体"/>
          <w:spacing w:val="54"/>
          <w:w w:val="101"/>
          <w:sz w:val="16"/>
          <w:szCs w:val="16"/>
        </w:rPr>
        <w:t xml:space="preserve"> </w:t>
      </w:r>
      <w:r>
        <w:rPr>
          <w:rFonts w:ascii="宋体" w:eastAsia="宋体" w:hAnsi="宋体" w:cs="宋体"/>
          <w:spacing w:val="-4"/>
          <w:sz w:val="16"/>
          <w:szCs w:val="16"/>
        </w:rPr>
        <w:t>茶叶多糖复合物</w:t>
      </w:r>
      <w:r>
        <w:rPr>
          <w:rFonts w:ascii="宋体" w:eastAsia="宋体" w:hAnsi="宋体" w:cs="宋体"/>
          <w:sz w:val="16"/>
          <w:szCs w:val="16"/>
        </w:rPr>
        <w:t xml:space="preserve"> </w:t>
      </w:r>
      <w:r>
        <w:rPr>
          <w:rFonts w:ascii="宋体" w:eastAsia="宋体" w:hAnsi="宋体" w:cs="宋体"/>
          <w:spacing w:val="-2"/>
          <w:sz w:val="16"/>
          <w:szCs w:val="16"/>
        </w:rPr>
        <w:t>tetrahydro-folic</w:t>
      </w:r>
      <w:r>
        <w:rPr>
          <w:rFonts w:ascii="宋体" w:eastAsia="宋体" w:hAnsi="宋体" w:cs="宋体"/>
          <w:spacing w:val="14"/>
          <w:sz w:val="16"/>
          <w:szCs w:val="16"/>
        </w:rPr>
        <w:t xml:space="preserve"> </w:t>
      </w:r>
      <w:r>
        <w:rPr>
          <w:rFonts w:ascii="宋体" w:eastAsia="宋体" w:hAnsi="宋体" w:cs="宋体"/>
          <w:spacing w:val="-2"/>
          <w:sz w:val="16"/>
          <w:szCs w:val="16"/>
        </w:rPr>
        <w:t>acid,THFA,FH</w:t>
      </w:r>
      <w:r>
        <w:rPr>
          <w:rFonts w:ascii="Calibri" w:eastAsia="Calibri" w:hAnsi="Calibri" w:cs="Calibri"/>
          <w:spacing w:val="-2"/>
          <w:sz w:val="16"/>
          <w:szCs w:val="16"/>
        </w:rPr>
        <w:t>₄</w:t>
      </w:r>
      <w:r>
        <w:rPr>
          <w:rFonts w:ascii="Calibri" w:eastAsia="Calibri" w:hAnsi="Calibri" w:cs="Calibri"/>
          <w:spacing w:val="5"/>
          <w:sz w:val="16"/>
          <w:szCs w:val="16"/>
        </w:rPr>
        <w:t xml:space="preserve">    </w:t>
      </w:r>
      <w:r>
        <w:rPr>
          <w:rFonts w:ascii="宋体" w:eastAsia="宋体" w:hAnsi="宋体" w:cs="宋体"/>
          <w:spacing w:val="-2"/>
          <w:sz w:val="16"/>
          <w:szCs w:val="16"/>
        </w:rPr>
        <w:t>四氢叶酸</w:t>
      </w:r>
    </w:p>
    <w:p w:rsidR="00EA40A3" w:rsidRDefault="00E86C16">
      <w:pPr>
        <w:spacing w:before="68" w:line="220" w:lineRule="auto"/>
        <w:rPr>
          <w:rFonts w:ascii="宋体" w:eastAsia="宋体" w:hAnsi="宋体" w:cs="宋体"/>
          <w:sz w:val="16"/>
          <w:szCs w:val="16"/>
        </w:rPr>
      </w:pPr>
      <w:r>
        <w:rPr>
          <w:rFonts w:ascii="宋体" w:eastAsia="宋体" w:hAnsi="宋体" w:cs="宋体"/>
          <w:spacing w:val="-7"/>
          <w:sz w:val="16"/>
          <w:szCs w:val="16"/>
        </w:rPr>
        <w:t>theanine</w:t>
      </w:r>
      <w:r>
        <w:rPr>
          <w:rFonts w:ascii="宋体" w:eastAsia="宋体" w:hAnsi="宋体" w:cs="宋体"/>
          <w:spacing w:val="51"/>
          <w:sz w:val="16"/>
          <w:szCs w:val="16"/>
        </w:rPr>
        <w:t xml:space="preserve"> </w:t>
      </w:r>
      <w:r>
        <w:rPr>
          <w:rFonts w:ascii="宋体" w:eastAsia="宋体" w:hAnsi="宋体" w:cs="宋体"/>
          <w:spacing w:val="-7"/>
          <w:sz w:val="16"/>
          <w:szCs w:val="16"/>
        </w:rPr>
        <w:t>茶氨酸</w:t>
      </w:r>
    </w:p>
    <w:p w:rsidR="00EA40A3" w:rsidRDefault="00E86C16">
      <w:pPr>
        <w:spacing w:before="61" w:line="221" w:lineRule="auto"/>
        <w:rPr>
          <w:rFonts w:ascii="宋体" w:eastAsia="宋体" w:hAnsi="宋体" w:cs="宋体"/>
          <w:sz w:val="16"/>
          <w:szCs w:val="16"/>
        </w:rPr>
      </w:pPr>
      <w:r>
        <w:rPr>
          <w:rFonts w:ascii="宋体" w:eastAsia="宋体" w:hAnsi="宋体" w:cs="宋体"/>
          <w:spacing w:val="-4"/>
          <w:sz w:val="16"/>
          <w:szCs w:val="16"/>
        </w:rPr>
        <w:t>theobrominc</w:t>
      </w:r>
      <w:r>
        <w:rPr>
          <w:rFonts w:ascii="宋体" w:eastAsia="宋体" w:hAnsi="宋体" w:cs="宋体"/>
          <w:spacing w:val="50"/>
          <w:sz w:val="16"/>
          <w:szCs w:val="16"/>
        </w:rPr>
        <w:t xml:space="preserve"> </w:t>
      </w:r>
      <w:r>
        <w:rPr>
          <w:rFonts w:ascii="宋体" w:eastAsia="宋体" w:hAnsi="宋体" w:cs="宋体"/>
          <w:spacing w:val="-4"/>
          <w:sz w:val="16"/>
          <w:szCs w:val="16"/>
        </w:rPr>
        <w:t>可可碱</w:t>
      </w:r>
    </w:p>
    <w:p w:rsidR="00EA40A3" w:rsidRDefault="00E86C16">
      <w:pPr>
        <w:spacing w:before="52" w:line="214" w:lineRule="auto"/>
        <w:rPr>
          <w:rFonts w:ascii="宋体" w:eastAsia="宋体" w:hAnsi="宋体" w:cs="宋体"/>
          <w:sz w:val="16"/>
          <w:szCs w:val="16"/>
        </w:rPr>
      </w:pPr>
      <w:r>
        <w:rPr>
          <w:rFonts w:ascii="宋体" w:eastAsia="宋体" w:hAnsi="宋体" w:cs="宋体"/>
          <w:spacing w:val="-8"/>
          <w:sz w:val="16"/>
          <w:szCs w:val="16"/>
        </w:rPr>
        <w:t>theophylline</w:t>
      </w:r>
      <w:r>
        <w:rPr>
          <w:rFonts w:ascii="宋体" w:eastAsia="宋体" w:hAnsi="宋体" w:cs="宋体"/>
          <w:spacing w:val="61"/>
          <w:w w:val="101"/>
          <w:sz w:val="16"/>
          <w:szCs w:val="16"/>
        </w:rPr>
        <w:t xml:space="preserve"> </w:t>
      </w:r>
      <w:r>
        <w:rPr>
          <w:rFonts w:ascii="宋体" w:eastAsia="宋体" w:hAnsi="宋体" w:cs="宋体"/>
          <w:spacing w:val="-8"/>
          <w:sz w:val="16"/>
          <w:szCs w:val="16"/>
        </w:rPr>
        <w:t>茶叶碱，简称茶碱</w:t>
      </w:r>
    </w:p>
    <w:p w:rsidR="00EA40A3" w:rsidRDefault="00E86C16">
      <w:pPr>
        <w:spacing w:before="67" w:line="252" w:lineRule="auto"/>
        <w:ind w:right="453"/>
        <w:rPr>
          <w:rFonts w:ascii="宋体" w:eastAsia="宋体" w:hAnsi="宋体" w:cs="宋体"/>
          <w:sz w:val="16"/>
          <w:szCs w:val="16"/>
        </w:rPr>
      </w:pPr>
      <w:r>
        <w:rPr>
          <w:rFonts w:ascii="宋体" w:eastAsia="宋体" w:hAnsi="宋体" w:cs="宋体"/>
          <w:spacing w:val="-8"/>
          <w:sz w:val="16"/>
          <w:szCs w:val="16"/>
        </w:rPr>
        <w:t>thermic</w:t>
      </w:r>
      <w:r>
        <w:rPr>
          <w:rFonts w:ascii="宋体" w:eastAsia="宋体" w:hAnsi="宋体" w:cs="宋体"/>
          <w:spacing w:val="12"/>
          <w:sz w:val="16"/>
          <w:szCs w:val="16"/>
        </w:rPr>
        <w:t xml:space="preserve"> </w:t>
      </w:r>
      <w:r>
        <w:rPr>
          <w:rFonts w:ascii="宋体" w:eastAsia="宋体" w:hAnsi="宋体" w:cs="宋体"/>
          <w:spacing w:val="-8"/>
          <w:sz w:val="16"/>
          <w:szCs w:val="16"/>
        </w:rPr>
        <w:t>effect</w:t>
      </w:r>
      <w:r>
        <w:rPr>
          <w:rFonts w:ascii="宋体" w:eastAsia="宋体" w:hAnsi="宋体" w:cs="宋体"/>
          <w:spacing w:val="-1"/>
          <w:sz w:val="16"/>
          <w:szCs w:val="16"/>
        </w:rPr>
        <w:t xml:space="preserve"> </w:t>
      </w:r>
      <w:r>
        <w:rPr>
          <w:rFonts w:ascii="宋体" w:eastAsia="宋体" w:hAnsi="宋体" w:cs="宋体"/>
          <w:spacing w:val="-8"/>
          <w:sz w:val="16"/>
          <w:szCs w:val="16"/>
        </w:rPr>
        <w:t>of</w:t>
      </w:r>
      <w:r>
        <w:rPr>
          <w:rFonts w:ascii="宋体" w:eastAsia="宋体" w:hAnsi="宋体" w:cs="宋体"/>
          <w:spacing w:val="2"/>
          <w:sz w:val="16"/>
          <w:szCs w:val="16"/>
        </w:rPr>
        <w:t xml:space="preserve"> </w:t>
      </w:r>
      <w:r>
        <w:rPr>
          <w:rFonts w:ascii="宋体" w:eastAsia="宋体" w:hAnsi="宋体" w:cs="宋体"/>
          <w:spacing w:val="-8"/>
          <w:sz w:val="16"/>
          <w:szCs w:val="16"/>
        </w:rPr>
        <w:t>exercise,TEE</w:t>
      </w:r>
      <w:r>
        <w:rPr>
          <w:rFonts w:ascii="宋体" w:eastAsia="宋体" w:hAnsi="宋体" w:cs="宋体"/>
          <w:spacing w:val="45"/>
          <w:sz w:val="16"/>
          <w:szCs w:val="16"/>
        </w:rPr>
        <w:t xml:space="preserve"> </w:t>
      </w:r>
      <w:r>
        <w:rPr>
          <w:rFonts w:ascii="宋体" w:eastAsia="宋体" w:hAnsi="宋体" w:cs="宋体"/>
          <w:spacing w:val="-8"/>
          <w:sz w:val="16"/>
          <w:szCs w:val="16"/>
        </w:rPr>
        <w:t>运动热效应</w:t>
      </w:r>
      <w:r>
        <w:rPr>
          <w:rFonts w:ascii="宋体" w:eastAsia="宋体" w:hAnsi="宋体" w:cs="宋体"/>
          <w:sz w:val="16"/>
          <w:szCs w:val="16"/>
        </w:rPr>
        <w:t xml:space="preserve"> </w:t>
      </w:r>
      <w:r>
        <w:rPr>
          <w:rFonts w:ascii="宋体" w:eastAsia="宋体" w:hAnsi="宋体" w:cs="宋体"/>
          <w:spacing w:val="-6"/>
          <w:sz w:val="16"/>
          <w:szCs w:val="16"/>
        </w:rPr>
        <w:t>thermic</w:t>
      </w:r>
      <w:r>
        <w:rPr>
          <w:rFonts w:ascii="宋体" w:eastAsia="宋体" w:hAnsi="宋体" w:cs="宋体"/>
          <w:spacing w:val="10"/>
          <w:sz w:val="16"/>
          <w:szCs w:val="16"/>
        </w:rPr>
        <w:t xml:space="preserve"> </w:t>
      </w:r>
      <w:r>
        <w:rPr>
          <w:rFonts w:ascii="宋体" w:eastAsia="宋体" w:hAnsi="宋体" w:cs="宋体"/>
          <w:spacing w:val="-6"/>
          <w:sz w:val="16"/>
          <w:szCs w:val="16"/>
        </w:rPr>
        <w:t>effect</w:t>
      </w:r>
      <w:r>
        <w:rPr>
          <w:rFonts w:ascii="宋体" w:eastAsia="宋体" w:hAnsi="宋体" w:cs="宋体"/>
          <w:spacing w:val="2"/>
          <w:sz w:val="16"/>
          <w:szCs w:val="16"/>
        </w:rPr>
        <w:t xml:space="preserve"> </w:t>
      </w:r>
      <w:r>
        <w:rPr>
          <w:rFonts w:ascii="宋体" w:eastAsia="宋体" w:hAnsi="宋体" w:cs="宋体"/>
          <w:spacing w:val="-6"/>
          <w:sz w:val="16"/>
          <w:szCs w:val="16"/>
        </w:rPr>
        <w:t>of</w:t>
      </w:r>
      <w:r>
        <w:rPr>
          <w:rFonts w:ascii="宋体" w:eastAsia="宋体" w:hAnsi="宋体" w:cs="宋体"/>
          <w:spacing w:val="3"/>
          <w:sz w:val="16"/>
          <w:szCs w:val="16"/>
        </w:rPr>
        <w:t xml:space="preserve"> </w:t>
      </w:r>
      <w:r>
        <w:rPr>
          <w:rFonts w:ascii="宋体" w:eastAsia="宋体" w:hAnsi="宋体" w:cs="宋体"/>
          <w:spacing w:val="-6"/>
          <w:sz w:val="16"/>
          <w:szCs w:val="16"/>
        </w:rPr>
        <w:t>food,TEF</w:t>
      </w:r>
      <w:r>
        <w:rPr>
          <w:rFonts w:ascii="宋体" w:eastAsia="宋体" w:hAnsi="宋体" w:cs="宋体"/>
          <w:spacing w:val="47"/>
          <w:sz w:val="16"/>
          <w:szCs w:val="16"/>
        </w:rPr>
        <w:t xml:space="preserve"> </w:t>
      </w:r>
      <w:r>
        <w:rPr>
          <w:rFonts w:ascii="宋体" w:eastAsia="宋体" w:hAnsi="宋体" w:cs="宋体"/>
          <w:spacing w:val="-6"/>
          <w:sz w:val="16"/>
          <w:szCs w:val="16"/>
        </w:rPr>
        <w:t>食物热效应</w:t>
      </w:r>
    </w:p>
    <w:p w:rsidR="00EA40A3" w:rsidRDefault="00E86C16">
      <w:pPr>
        <w:spacing w:before="60" w:line="264" w:lineRule="auto"/>
        <w:ind w:right="410"/>
        <w:rPr>
          <w:rFonts w:ascii="宋体" w:eastAsia="宋体" w:hAnsi="宋体" w:cs="宋体"/>
          <w:sz w:val="16"/>
          <w:szCs w:val="16"/>
        </w:rPr>
      </w:pPr>
      <w:r>
        <w:rPr>
          <w:rFonts w:ascii="宋体" w:eastAsia="宋体" w:hAnsi="宋体" w:cs="宋体"/>
          <w:spacing w:val="-2"/>
          <w:sz w:val="16"/>
          <w:szCs w:val="16"/>
        </w:rPr>
        <w:t>thiamin</w:t>
      </w:r>
      <w:r>
        <w:rPr>
          <w:rFonts w:ascii="宋体" w:eastAsia="宋体" w:hAnsi="宋体" w:cs="宋体"/>
          <w:spacing w:val="11"/>
          <w:sz w:val="16"/>
          <w:szCs w:val="16"/>
        </w:rPr>
        <w:t xml:space="preserve"> </w:t>
      </w:r>
      <w:r>
        <w:rPr>
          <w:rFonts w:ascii="宋体" w:eastAsia="宋体" w:hAnsi="宋体" w:cs="宋体"/>
          <w:spacing w:val="-2"/>
          <w:sz w:val="16"/>
          <w:szCs w:val="16"/>
        </w:rPr>
        <w:t>monophosphate,</w:t>
      </w:r>
      <w:r>
        <w:rPr>
          <w:rFonts w:ascii="宋体" w:eastAsia="宋体" w:hAnsi="宋体" w:cs="宋体"/>
          <w:spacing w:val="5"/>
          <w:sz w:val="16"/>
          <w:szCs w:val="16"/>
        </w:rPr>
        <w:t xml:space="preserve"> </w:t>
      </w:r>
      <w:r>
        <w:rPr>
          <w:rFonts w:ascii="宋体" w:eastAsia="宋体" w:hAnsi="宋体" w:cs="宋体"/>
          <w:spacing w:val="-2"/>
          <w:sz w:val="16"/>
          <w:szCs w:val="16"/>
        </w:rPr>
        <w:t>TMP</w:t>
      </w:r>
      <w:r>
        <w:rPr>
          <w:rFonts w:ascii="宋体" w:eastAsia="宋体" w:hAnsi="宋体" w:cs="宋体"/>
          <w:spacing w:val="50"/>
          <w:sz w:val="16"/>
          <w:szCs w:val="16"/>
        </w:rPr>
        <w:t xml:space="preserve"> </w:t>
      </w:r>
      <w:r>
        <w:rPr>
          <w:rFonts w:ascii="宋体" w:eastAsia="宋体" w:hAnsi="宋体" w:cs="宋体"/>
          <w:spacing w:val="-2"/>
          <w:sz w:val="16"/>
          <w:szCs w:val="16"/>
        </w:rPr>
        <w:t>单磷酸硫胺素</w:t>
      </w:r>
      <w:r>
        <w:rPr>
          <w:rFonts w:ascii="宋体" w:eastAsia="宋体" w:hAnsi="宋体" w:cs="宋体"/>
          <w:sz w:val="16"/>
          <w:szCs w:val="16"/>
        </w:rPr>
        <w:t xml:space="preserve"> </w:t>
      </w:r>
      <w:r>
        <w:rPr>
          <w:rFonts w:ascii="宋体" w:eastAsia="宋体" w:hAnsi="宋体" w:cs="宋体"/>
          <w:spacing w:val="-1"/>
          <w:sz w:val="16"/>
          <w:szCs w:val="16"/>
        </w:rPr>
        <w:t>thiamin</w:t>
      </w:r>
      <w:r>
        <w:rPr>
          <w:rFonts w:ascii="宋体" w:eastAsia="宋体" w:hAnsi="宋体" w:cs="宋体"/>
          <w:spacing w:val="12"/>
          <w:sz w:val="16"/>
          <w:szCs w:val="16"/>
        </w:rPr>
        <w:t xml:space="preserve"> </w:t>
      </w:r>
      <w:r>
        <w:rPr>
          <w:rFonts w:ascii="宋体" w:eastAsia="宋体" w:hAnsi="宋体" w:cs="宋体"/>
          <w:spacing w:val="-1"/>
          <w:sz w:val="16"/>
          <w:szCs w:val="16"/>
        </w:rPr>
        <w:t>pyrophosphate,TPP</w:t>
      </w:r>
      <w:r>
        <w:rPr>
          <w:rFonts w:ascii="宋体" w:eastAsia="宋体" w:hAnsi="宋体" w:cs="宋体"/>
          <w:spacing w:val="50"/>
          <w:w w:val="101"/>
          <w:sz w:val="16"/>
          <w:szCs w:val="16"/>
        </w:rPr>
        <w:t xml:space="preserve"> </w:t>
      </w:r>
      <w:r>
        <w:rPr>
          <w:rFonts w:ascii="宋体" w:eastAsia="宋体" w:hAnsi="宋体" w:cs="宋体"/>
          <w:spacing w:val="-1"/>
          <w:sz w:val="16"/>
          <w:szCs w:val="16"/>
        </w:rPr>
        <w:t>焦磷酸硫胺素</w:t>
      </w:r>
      <w:r>
        <w:rPr>
          <w:rFonts w:ascii="宋体" w:eastAsia="宋体" w:hAnsi="宋体" w:cs="宋体"/>
          <w:sz w:val="16"/>
          <w:szCs w:val="16"/>
        </w:rPr>
        <w:t xml:space="preserve"> </w:t>
      </w:r>
      <w:r>
        <w:rPr>
          <w:rFonts w:ascii="宋体" w:eastAsia="宋体" w:hAnsi="宋体" w:cs="宋体"/>
          <w:spacing w:val="-3"/>
          <w:sz w:val="16"/>
          <w:szCs w:val="16"/>
        </w:rPr>
        <w:t>thiamin</w:t>
      </w:r>
      <w:r>
        <w:rPr>
          <w:rFonts w:ascii="宋体" w:eastAsia="宋体" w:hAnsi="宋体" w:cs="宋体"/>
          <w:spacing w:val="8"/>
          <w:sz w:val="16"/>
          <w:szCs w:val="16"/>
        </w:rPr>
        <w:t xml:space="preserve"> </w:t>
      </w:r>
      <w:r>
        <w:rPr>
          <w:rFonts w:ascii="宋体" w:eastAsia="宋体" w:hAnsi="宋体" w:cs="宋体"/>
          <w:spacing w:val="-3"/>
          <w:sz w:val="16"/>
          <w:szCs w:val="16"/>
        </w:rPr>
        <w:t>triphosphate,TTP</w:t>
      </w:r>
      <w:r>
        <w:rPr>
          <w:rFonts w:ascii="宋体" w:eastAsia="宋体" w:hAnsi="宋体" w:cs="宋体"/>
          <w:spacing w:val="53"/>
          <w:w w:val="101"/>
          <w:sz w:val="16"/>
          <w:szCs w:val="16"/>
        </w:rPr>
        <w:t xml:space="preserve"> </w:t>
      </w:r>
      <w:r>
        <w:rPr>
          <w:rFonts w:ascii="宋体" w:eastAsia="宋体" w:hAnsi="宋体" w:cs="宋体"/>
          <w:spacing w:val="-3"/>
          <w:sz w:val="16"/>
          <w:szCs w:val="16"/>
        </w:rPr>
        <w:t>三磷酸</w:t>
      </w:r>
      <w:r>
        <w:rPr>
          <w:rFonts w:ascii="宋体" w:eastAsia="宋体" w:hAnsi="宋体" w:cs="宋体"/>
          <w:spacing w:val="-4"/>
          <w:sz w:val="16"/>
          <w:szCs w:val="16"/>
        </w:rPr>
        <w:t>硫胺素</w:t>
      </w:r>
    </w:p>
    <w:p w:rsidR="00EA40A3" w:rsidRDefault="00E86C16">
      <w:pPr>
        <w:spacing w:before="66" w:line="250" w:lineRule="exact"/>
        <w:rPr>
          <w:rFonts w:ascii="宋体" w:eastAsia="宋体" w:hAnsi="宋体" w:cs="宋体"/>
          <w:sz w:val="16"/>
          <w:szCs w:val="16"/>
        </w:rPr>
      </w:pPr>
      <w:r>
        <w:rPr>
          <w:rFonts w:ascii="宋体" w:eastAsia="宋体" w:hAnsi="宋体" w:cs="宋体"/>
          <w:spacing w:val="-3"/>
          <w:position w:val="6"/>
          <w:sz w:val="16"/>
          <w:szCs w:val="16"/>
        </w:rPr>
        <w:t>thiamine</w:t>
      </w:r>
      <w:r>
        <w:rPr>
          <w:rFonts w:ascii="宋体" w:eastAsia="宋体" w:hAnsi="宋体" w:cs="宋体"/>
          <w:spacing w:val="53"/>
          <w:position w:val="6"/>
          <w:sz w:val="16"/>
          <w:szCs w:val="16"/>
        </w:rPr>
        <w:t xml:space="preserve"> </w:t>
      </w:r>
      <w:r>
        <w:rPr>
          <w:rFonts w:ascii="宋体" w:eastAsia="宋体" w:hAnsi="宋体" w:cs="宋体"/>
          <w:spacing w:val="-3"/>
          <w:position w:val="6"/>
          <w:sz w:val="16"/>
          <w:szCs w:val="16"/>
        </w:rPr>
        <w:t>维生素B</w:t>
      </w:r>
      <w:r>
        <w:rPr>
          <w:rFonts w:ascii="Calibri" w:eastAsia="Calibri" w:hAnsi="Calibri" w:cs="Calibri"/>
          <w:spacing w:val="-3"/>
          <w:position w:val="6"/>
          <w:sz w:val="16"/>
          <w:szCs w:val="16"/>
        </w:rPr>
        <w:t>₁</w:t>
      </w:r>
      <w:r>
        <w:rPr>
          <w:rFonts w:ascii="宋体" w:eastAsia="宋体" w:hAnsi="宋体" w:cs="宋体"/>
          <w:spacing w:val="-3"/>
          <w:position w:val="6"/>
          <w:sz w:val="16"/>
          <w:szCs w:val="16"/>
        </w:rPr>
        <w:t>,</w:t>
      </w:r>
      <w:r>
        <w:rPr>
          <w:rFonts w:ascii="宋体" w:eastAsia="宋体" w:hAnsi="宋体" w:cs="宋体"/>
          <w:spacing w:val="43"/>
          <w:w w:val="101"/>
          <w:position w:val="6"/>
          <w:sz w:val="16"/>
          <w:szCs w:val="16"/>
        </w:rPr>
        <w:t xml:space="preserve"> </w:t>
      </w:r>
      <w:r>
        <w:rPr>
          <w:rFonts w:ascii="宋体" w:eastAsia="宋体" w:hAnsi="宋体" w:cs="宋体"/>
          <w:spacing w:val="-3"/>
          <w:position w:val="6"/>
          <w:sz w:val="16"/>
          <w:szCs w:val="16"/>
        </w:rPr>
        <w:t>硫胺素</w:t>
      </w:r>
    </w:p>
    <w:p w:rsidR="00EA40A3" w:rsidRDefault="00E86C16">
      <w:pPr>
        <w:spacing w:line="216" w:lineRule="auto"/>
        <w:rPr>
          <w:rFonts w:ascii="宋体" w:eastAsia="宋体" w:hAnsi="宋体" w:cs="宋体"/>
          <w:sz w:val="16"/>
          <w:szCs w:val="16"/>
        </w:rPr>
      </w:pPr>
      <w:r>
        <w:rPr>
          <w:rFonts w:ascii="宋体" w:eastAsia="宋体" w:hAnsi="宋体" w:cs="宋体"/>
          <w:spacing w:val="-2"/>
          <w:sz w:val="16"/>
          <w:szCs w:val="16"/>
        </w:rPr>
        <w:t>threonine,Thr</w:t>
      </w:r>
      <w:r>
        <w:rPr>
          <w:rFonts w:ascii="宋体" w:eastAsia="宋体" w:hAnsi="宋体" w:cs="宋体"/>
          <w:spacing w:val="74"/>
          <w:sz w:val="16"/>
          <w:szCs w:val="16"/>
        </w:rPr>
        <w:t xml:space="preserve"> </w:t>
      </w:r>
      <w:r>
        <w:rPr>
          <w:rFonts w:ascii="宋体" w:eastAsia="宋体" w:hAnsi="宋体" w:cs="宋体"/>
          <w:spacing w:val="-2"/>
          <w:sz w:val="16"/>
          <w:szCs w:val="16"/>
        </w:rPr>
        <w:t>苏氨酸</w:t>
      </w:r>
    </w:p>
    <w:p w:rsidR="00EA40A3" w:rsidRDefault="00E86C16">
      <w:pPr>
        <w:spacing w:before="211" w:line="239" w:lineRule="auto"/>
        <w:ind w:left="170" w:hanging="170"/>
        <w:rPr>
          <w:rFonts w:ascii="宋体" w:eastAsia="宋体" w:hAnsi="宋体" w:cs="宋体"/>
          <w:sz w:val="16"/>
          <w:szCs w:val="16"/>
        </w:rPr>
      </w:pPr>
      <w:r>
        <w:rPr>
          <w:rFonts w:ascii="宋体" w:eastAsia="宋体" w:hAnsi="宋体" w:cs="宋体"/>
          <w:sz w:val="16"/>
          <w:szCs w:val="16"/>
        </w:rPr>
        <w:t>tissue</w:t>
      </w:r>
      <w:r>
        <w:rPr>
          <w:rFonts w:ascii="宋体" w:eastAsia="宋体" w:hAnsi="宋体" w:cs="宋体"/>
          <w:spacing w:val="5"/>
          <w:sz w:val="16"/>
          <w:szCs w:val="16"/>
        </w:rPr>
        <w:t>.</w:t>
      </w:r>
      <w:r>
        <w:rPr>
          <w:rFonts w:ascii="宋体" w:eastAsia="宋体" w:hAnsi="宋体" w:cs="宋体"/>
          <w:sz w:val="16"/>
          <w:szCs w:val="16"/>
        </w:rPr>
        <w:t>transglutaminase</w:t>
      </w:r>
      <w:r>
        <w:rPr>
          <w:rFonts w:ascii="宋体" w:eastAsia="宋体" w:hAnsi="宋体" w:cs="宋体"/>
          <w:spacing w:val="5"/>
          <w:sz w:val="16"/>
          <w:szCs w:val="16"/>
        </w:rPr>
        <w:t>,</w:t>
      </w:r>
      <w:r>
        <w:rPr>
          <w:rFonts w:ascii="宋体" w:eastAsia="宋体" w:hAnsi="宋体" w:cs="宋体"/>
          <w:sz w:val="16"/>
          <w:szCs w:val="16"/>
        </w:rPr>
        <w:t>TTG</w:t>
      </w:r>
      <w:r>
        <w:rPr>
          <w:rFonts w:ascii="宋体" w:eastAsia="宋体" w:hAnsi="宋体" w:cs="宋体"/>
          <w:spacing w:val="25"/>
          <w:sz w:val="16"/>
          <w:szCs w:val="16"/>
        </w:rPr>
        <w:t xml:space="preserve">  </w:t>
      </w:r>
      <w:r>
        <w:rPr>
          <w:rFonts w:ascii="宋体" w:eastAsia="宋体" w:hAnsi="宋体" w:cs="宋体"/>
          <w:spacing w:val="5"/>
          <w:sz w:val="16"/>
          <w:szCs w:val="16"/>
        </w:rPr>
        <w:t>组织型转谷氨酰</w:t>
      </w:r>
      <w:r>
        <w:rPr>
          <w:rFonts w:ascii="宋体" w:eastAsia="宋体" w:hAnsi="宋体" w:cs="宋体"/>
          <w:sz w:val="16"/>
          <w:szCs w:val="16"/>
        </w:rPr>
        <w:t xml:space="preserve"> </w:t>
      </w:r>
      <w:r>
        <w:rPr>
          <w:rFonts w:ascii="宋体" w:eastAsia="宋体" w:hAnsi="宋体" w:cs="宋体"/>
          <w:spacing w:val="-2"/>
          <w:sz w:val="16"/>
          <w:szCs w:val="16"/>
        </w:rPr>
        <w:t>胺酶</w:t>
      </w:r>
    </w:p>
    <w:p w:rsidR="00EA40A3" w:rsidRDefault="00E86C16">
      <w:pPr>
        <w:spacing w:before="85" w:line="236" w:lineRule="auto"/>
        <w:ind w:left="170" w:hanging="170"/>
        <w:rPr>
          <w:rFonts w:ascii="宋体" w:eastAsia="宋体" w:hAnsi="宋体" w:cs="宋体"/>
          <w:sz w:val="16"/>
          <w:szCs w:val="16"/>
        </w:rPr>
      </w:pPr>
      <w:r>
        <w:rPr>
          <w:rFonts w:ascii="宋体" w:eastAsia="宋体" w:hAnsi="宋体" w:cs="宋体"/>
          <w:spacing w:val="-8"/>
          <w:sz w:val="16"/>
          <w:szCs w:val="16"/>
        </w:rPr>
        <w:t>tocopheroxyl radical</w:t>
      </w:r>
      <w:r>
        <w:rPr>
          <w:rFonts w:ascii="宋体" w:eastAsia="宋体" w:hAnsi="宋体" w:cs="宋体"/>
          <w:spacing w:val="46"/>
          <w:sz w:val="16"/>
          <w:szCs w:val="16"/>
        </w:rPr>
        <w:t xml:space="preserve"> </w:t>
      </w:r>
      <w:r>
        <w:rPr>
          <w:rFonts w:ascii="宋体" w:eastAsia="宋体" w:hAnsi="宋体" w:cs="宋体"/>
          <w:spacing w:val="-8"/>
          <w:sz w:val="16"/>
          <w:szCs w:val="16"/>
        </w:rPr>
        <w:t>生育酚</w:t>
      </w:r>
      <w:r>
        <w:rPr>
          <w:rFonts w:ascii="宋体" w:eastAsia="宋体" w:hAnsi="宋体" w:cs="宋体"/>
          <w:spacing w:val="-9"/>
          <w:sz w:val="16"/>
          <w:szCs w:val="16"/>
        </w:rPr>
        <w:t>羟自由基，维生素E</w:t>
      </w:r>
      <w:r>
        <w:rPr>
          <w:rFonts w:ascii="宋体" w:eastAsia="宋体" w:hAnsi="宋体" w:cs="宋体"/>
          <w:spacing w:val="4"/>
          <w:sz w:val="16"/>
          <w:szCs w:val="16"/>
        </w:rPr>
        <w:t xml:space="preserve"> </w:t>
      </w:r>
      <w:r>
        <w:rPr>
          <w:rFonts w:ascii="宋体" w:eastAsia="宋体" w:hAnsi="宋体" w:cs="宋体"/>
          <w:spacing w:val="-9"/>
          <w:sz w:val="16"/>
          <w:szCs w:val="16"/>
        </w:rPr>
        <w:t>自</w:t>
      </w:r>
      <w:r>
        <w:rPr>
          <w:rFonts w:ascii="宋体" w:eastAsia="宋体" w:hAnsi="宋体" w:cs="宋体"/>
          <w:sz w:val="16"/>
          <w:szCs w:val="16"/>
        </w:rPr>
        <w:t xml:space="preserve"> </w:t>
      </w:r>
      <w:r>
        <w:rPr>
          <w:rFonts w:ascii="宋体" w:eastAsia="宋体" w:hAnsi="宋体" w:cs="宋体"/>
          <w:spacing w:val="-1"/>
          <w:sz w:val="16"/>
          <w:szCs w:val="16"/>
        </w:rPr>
        <w:t>由基</w:t>
      </w:r>
    </w:p>
    <w:p w:rsidR="00EA40A3" w:rsidRDefault="00EA40A3">
      <w:pPr>
        <w:sectPr w:rsidR="00EA40A3">
          <w:type w:val="continuous"/>
          <w:pgSz w:w="9220" w:h="13360"/>
          <w:pgMar w:top="400" w:right="1092" w:bottom="400" w:left="879" w:header="0" w:footer="0" w:gutter="0"/>
          <w:cols w:num="2" w:space="720" w:equalWidth="0">
            <w:col w:w="3611" w:space="100"/>
            <w:col w:w="3538"/>
          </w:cols>
        </w:sectPr>
      </w:pPr>
    </w:p>
    <w:p w:rsidR="00EA40A3" w:rsidRDefault="00E86C16">
      <w:pPr>
        <w:spacing w:before="92" w:line="184" w:lineRule="auto"/>
        <w:rPr>
          <w:rFonts w:ascii="宋体" w:eastAsia="宋体" w:hAnsi="宋体" w:cs="宋体"/>
          <w:sz w:val="16"/>
          <w:szCs w:val="16"/>
        </w:rPr>
      </w:pPr>
      <w:r>
        <w:rPr>
          <w:rFonts w:ascii="宋体" w:eastAsia="宋体" w:hAnsi="宋体" w:cs="宋体"/>
          <w:spacing w:val="-18"/>
          <w:sz w:val="16"/>
          <w:szCs w:val="16"/>
        </w:rPr>
        <w:t>·</w:t>
      </w:r>
      <w:r>
        <w:rPr>
          <w:rFonts w:ascii="宋体" w:eastAsia="宋体" w:hAnsi="宋体" w:cs="宋体"/>
          <w:spacing w:val="1"/>
          <w:sz w:val="16"/>
          <w:szCs w:val="16"/>
        </w:rPr>
        <w:t xml:space="preserve"> </w:t>
      </w:r>
      <w:r>
        <w:rPr>
          <w:rFonts w:ascii="宋体" w:eastAsia="宋体" w:hAnsi="宋体" w:cs="宋体"/>
          <w:spacing w:val="-18"/>
          <w:sz w:val="16"/>
          <w:szCs w:val="16"/>
        </w:rPr>
        <w:t>446</w:t>
      </w:r>
      <w:r>
        <w:rPr>
          <w:rFonts w:ascii="宋体" w:eastAsia="宋体" w:hAnsi="宋体" w:cs="宋体"/>
          <w:spacing w:val="52"/>
          <w:w w:val="101"/>
          <w:sz w:val="16"/>
          <w:szCs w:val="16"/>
        </w:rPr>
        <w:t xml:space="preserve"> </w:t>
      </w:r>
      <w:r>
        <w:rPr>
          <w:rFonts w:ascii="宋体" w:eastAsia="宋体" w:hAnsi="宋体" w:cs="宋体"/>
          <w:spacing w:val="-18"/>
          <w:sz w:val="16"/>
          <w:szCs w:val="16"/>
        </w:rPr>
        <w:t>·</w:t>
      </w:r>
    </w:p>
    <w:p w:rsidR="00EA40A3" w:rsidRDefault="00EA40A3">
      <w:pPr>
        <w:sectPr w:rsidR="00EA40A3">
          <w:type w:val="continuous"/>
          <w:pgSz w:w="9220" w:h="13360"/>
          <w:pgMar w:top="400" w:right="1092" w:bottom="400" w:left="879" w:header="0" w:footer="0" w:gutter="0"/>
          <w:cols w:space="720" w:equalWidth="0">
            <w:col w:w="7248"/>
          </w:cols>
        </w:sectPr>
      </w:pPr>
    </w:p>
    <w:p w:rsidR="00EA40A3" w:rsidRDefault="00EA40A3"/>
    <w:p w:rsidR="00EA40A3" w:rsidRDefault="00EA40A3"/>
    <w:p w:rsidR="00EA40A3" w:rsidRDefault="00EA40A3">
      <w:pPr>
        <w:spacing w:line="147" w:lineRule="exact"/>
      </w:pPr>
    </w:p>
    <w:p w:rsidR="00EA40A3" w:rsidRDefault="00EA40A3">
      <w:pPr>
        <w:sectPr w:rsidR="00EA40A3">
          <w:footerReference w:type="default" r:id="rId374"/>
          <w:pgSz w:w="9220" w:h="13360"/>
          <w:pgMar w:top="400" w:right="868" w:bottom="927" w:left="1080" w:header="0" w:footer="719" w:gutter="0"/>
          <w:cols w:space="720" w:equalWidth="0">
            <w:col w:w="7272"/>
          </w:cols>
        </w:sectPr>
      </w:pPr>
    </w:p>
    <w:p w:rsidR="00EA40A3" w:rsidRDefault="00E86C16">
      <w:pPr>
        <w:spacing w:before="32" w:line="214" w:lineRule="auto"/>
        <w:rPr>
          <w:rFonts w:ascii="宋体" w:eastAsia="宋体" w:hAnsi="宋体" w:cs="宋体"/>
          <w:sz w:val="16"/>
          <w:szCs w:val="16"/>
        </w:rPr>
      </w:pPr>
      <w:r>
        <w:rPr>
          <w:rFonts w:ascii="宋体" w:eastAsia="宋体" w:hAnsi="宋体" w:cs="宋体"/>
          <w:spacing w:val="-3"/>
          <w:sz w:val="16"/>
          <w:szCs w:val="16"/>
        </w:rPr>
        <w:t>tolerable</w:t>
      </w:r>
      <w:r>
        <w:rPr>
          <w:rFonts w:ascii="宋体" w:eastAsia="宋体" w:hAnsi="宋体" w:cs="宋体"/>
          <w:spacing w:val="3"/>
          <w:sz w:val="16"/>
          <w:szCs w:val="16"/>
        </w:rPr>
        <w:t xml:space="preserve"> </w:t>
      </w:r>
      <w:r>
        <w:rPr>
          <w:rFonts w:ascii="宋体" w:eastAsia="宋体" w:hAnsi="宋体" w:cs="宋体"/>
          <w:spacing w:val="-3"/>
          <w:sz w:val="16"/>
          <w:szCs w:val="16"/>
        </w:rPr>
        <w:t>upper</w:t>
      </w:r>
      <w:r>
        <w:rPr>
          <w:rFonts w:ascii="宋体" w:eastAsia="宋体" w:hAnsi="宋体" w:cs="宋体"/>
          <w:spacing w:val="10"/>
          <w:sz w:val="16"/>
          <w:szCs w:val="16"/>
        </w:rPr>
        <w:t xml:space="preserve"> </w:t>
      </w:r>
      <w:r>
        <w:rPr>
          <w:rFonts w:ascii="宋体" w:eastAsia="宋体" w:hAnsi="宋体" w:cs="宋体"/>
          <w:spacing w:val="-3"/>
          <w:sz w:val="16"/>
          <w:szCs w:val="16"/>
        </w:rPr>
        <w:t>intake</w:t>
      </w:r>
      <w:r>
        <w:rPr>
          <w:rFonts w:ascii="宋体" w:eastAsia="宋体" w:hAnsi="宋体" w:cs="宋体"/>
          <w:spacing w:val="9"/>
          <w:sz w:val="16"/>
          <w:szCs w:val="16"/>
        </w:rPr>
        <w:t xml:space="preserve"> </w:t>
      </w:r>
      <w:r>
        <w:rPr>
          <w:rFonts w:ascii="宋体" w:eastAsia="宋体" w:hAnsi="宋体" w:cs="宋体"/>
          <w:spacing w:val="-3"/>
          <w:sz w:val="16"/>
          <w:szCs w:val="16"/>
        </w:rPr>
        <w:t>level,UL</w:t>
      </w:r>
      <w:r>
        <w:rPr>
          <w:rFonts w:ascii="宋体" w:eastAsia="宋体" w:hAnsi="宋体" w:cs="宋体"/>
          <w:spacing w:val="12"/>
          <w:sz w:val="16"/>
          <w:szCs w:val="16"/>
        </w:rPr>
        <w:t xml:space="preserve">  </w:t>
      </w:r>
      <w:r>
        <w:rPr>
          <w:rFonts w:ascii="宋体" w:eastAsia="宋体" w:hAnsi="宋体" w:cs="宋体"/>
          <w:spacing w:val="-3"/>
          <w:sz w:val="16"/>
          <w:szCs w:val="16"/>
        </w:rPr>
        <w:t>可耐受最高摄</w:t>
      </w:r>
    </w:p>
    <w:p w:rsidR="00EA40A3" w:rsidRDefault="00E86C16">
      <w:pPr>
        <w:spacing w:before="60" w:line="225" w:lineRule="auto"/>
        <w:ind w:left="159"/>
        <w:rPr>
          <w:rFonts w:ascii="宋体" w:eastAsia="宋体" w:hAnsi="宋体" w:cs="宋体"/>
          <w:sz w:val="16"/>
          <w:szCs w:val="16"/>
        </w:rPr>
      </w:pPr>
      <w:r>
        <w:rPr>
          <w:rFonts w:ascii="宋体" w:eastAsia="宋体" w:hAnsi="宋体" w:cs="宋体"/>
          <w:spacing w:val="-2"/>
          <w:sz w:val="16"/>
          <w:szCs w:val="16"/>
        </w:rPr>
        <w:t>入量</w:t>
      </w:r>
    </w:p>
    <w:p w:rsidR="00EA40A3" w:rsidRDefault="00E86C16">
      <w:pPr>
        <w:spacing w:before="70" w:line="219" w:lineRule="auto"/>
        <w:rPr>
          <w:rFonts w:ascii="宋体" w:eastAsia="宋体" w:hAnsi="宋体" w:cs="宋体"/>
          <w:sz w:val="16"/>
          <w:szCs w:val="16"/>
        </w:rPr>
      </w:pPr>
      <w:r>
        <w:rPr>
          <w:rFonts w:ascii="宋体" w:eastAsia="宋体" w:hAnsi="宋体" w:cs="宋体"/>
          <w:spacing w:val="-12"/>
          <w:sz w:val="16"/>
          <w:szCs w:val="16"/>
        </w:rPr>
        <w:t>tonic</w:t>
      </w:r>
      <w:r>
        <w:rPr>
          <w:rFonts w:ascii="宋体" w:eastAsia="宋体" w:hAnsi="宋体" w:cs="宋体"/>
          <w:spacing w:val="-4"/>
          <w:sz w:val="16"/>
          <w:szCs w:val="16"/>
        </w:rPr>
        <w:t xml:space="preserve"> </w:t>
      </w:r>
      <w:r>
        <w:rPr>
          <w:rFonts w:ascii="宋体" w:eastAsia="宋体" w:hAnsi="宋体" w:cs="宋体"/>
          <w:spacing w:val="-12"/>
          <w:sz w:val="16"/>
          <w:szCs w:val="16"/>
        </w:rPr>
        <w:t>contraction</w:t>
      </w:r>
      <w:r>
        <w:rPr>
          <w:rFonts w:ascii="宋体" w:eastAsia="宋体" w:hAnsi="宋体" w:cs="宋体"/>
          <w:spacing w:val="66"/>
          <w:sz w:val="16"/>
          <w:szCs w:val="16"/>
        </w:rPr>
        <w:t xml:space="preserve"> </w:t>
      </w:r>
      <w:r>
        <w:rPr>
          <w:rFonts w:ascii="宋体" w:eastAsia="宋体" w:hAnsi="宋体" w:cs="宋体"/>
          <w:spacing w:val="-12"/>
          <w:sz w:val="16"/>
          <w:szCs w:val="16"/>
        </w:rPr>
        <w:t>紧张性收缩</w:t>
      </w:r>
    </w:p>
    <w:p w:rsidR="00EA40A3" w:rsidRDefault="00E86C16">
      <w:pPr>
        <w:spacing w:before="62" w:line="216" w:lineRule="auto"/>
        <w:rPr>
          <w:rFonts w:ascii="宋体" w:eastAsia="宋体" w:hAnsi="宋体" w:cs="宋体"/>
          <w:sz w:val="16"/>
          <w:szCs w:val="16"/>
        </w:rPr>
      </w:pPr>
      <w:r>
        <w:rPr>
          <w:rFonts w:ascii="宋体" w:eastAsia="宋体" w:hAnsi="宋体" w:cs="宋体"/>
          <w:spacing w:val="-8"/>
          <w:sz w:val="16"/>
          <w:szCs w:val="16"/>
        </w:rPr>
        <w:t>total</w:t>
      </w:r>
      <w:r>
        <w:rPr>
          <w:rFonts w:ascii="宋体" w:eastAsia="宋体" w:hAnsi="宋体" w:cs="宋体"/>
          <w:spacing w:val="20"/>
          <w:sz w:val="16"/>
          <w:szCs w:val="16"/>
        </w:rPr>
        <w:t xml:space="preserve"> </w:t>
      </w:r>
      <w:r>
        <w:rPr>
          <w:rFonts w:ascii="宋体" w:eastAsia="宋体" w:hAnsi="宋体" w:cs="宋体"/>
          <w:spacing w:val="-8"/>
          <w:sz w:val="16"/>
          <w:szCs w:val="16"/>
        </w:rPr>
        <w:t>cholesterol,TC</w:t>
      </w:r>
      <w:r>
        <w:rPr>
          <w:rFonts w:ascii="宋体" w:eastAsia="宋体" w:hAnsi="宋体" w:cs="宋体"/>
          <w:spacing w:val="55"/>
          <w:sz w:val="16"/>
          <w:szCs w:val="16"/>
        </w:rPr>
        <w:t xml:space="preserve"> </w:t>
      </w:r>
      <w:r>
        <w:rPr>
          <w:rFonts w:ascii="宋体" w:eastAsia="宋体" w:hAnsi="宋体" w:cs="宋体"/>
          <w:spacing w:val="-8"/>
          <w:sz w:val="16"/>
          <w:szCs w:val="16"/>
        </w:rPr>
        <w:t>总胆固醇</w:t>
      </w:r>
    </w:p>
    <w:p w:rsidR="00EA40A3" w:rsidRDefault="00E86C16">
      <w:pPr>
        <w:spacing w:before="108" w:line="257" w:lineRule="auto"/>
        <w:ind w:right="356"/>
        <w:rPr>
          <w:rFonts w:ascii="宋体" w:eastAsia="宋体" w:hAnsi="宋体" w:cs="宋体"/>
          <w:sz w:val="16"/>
          <w:szCs w:val="16"/>
        </w:rPr>
      </w:pPr>
      <w:r>
        <w:rPr>
          <w:rFonts w:ascii="宋体" w:eastAsia="宋体" w:hAnsi="宋体" w:cs="宋体"/>
          <w:spacing w:val="-8"/>
          <w:sz w:val="16"/>
          <w:szCs w:val="16"/>
        </w:rPr>
        <w:t>total</w:t>
      </w:r>
      <w:r>
        <w:rPr>
          <w:rFonts w:ascii="宋体" w:eastAsia="宋体" w:hAnsi="宋体" w:cs="宋体"/>
          <w:spacing w:val="9"/>
          <w:sz w:val="16"/>
          <w:szCs w:val="16"/>
        </w:rPr>
        <w:t xml:space="preserve"> </w:t>
      </w:r>
      <w:r>
        <w:rPr>
          <w:rFonts w:ascii="宋体" w:eastAsia="宋体" w:hAnsi="宋体" w:cs="宋体"/>
          <w:spacing w:val="-8"/>
          <w:sz w:val="16"/>
          <w:szCs w:val="16"/>
        </w:rPr>
        <w:t>parenteral</w:t>
      </w:r>
      <w:r>
        <w:rPr>
          <w:rFonts w:ascii="宋体" w:eastAsia="宋体" w:hAnsi="宋体" w:cs="宋体"/>
          <w:spacing w:val="-4"/>
          <w:sz w:val="16"/>
          <w:szCs w:val="16"/>
        </w:rPr>
        <w:t xml:space="preserve"> </w:t>
      </w:r>
      <w:r>
        <w:rPr>
          <w:rFonts w:ascii="宋体" w:eastAsia="宋体" w:hAnsi="宋体" w:cs="宋体"/>
          <w:spacing w:val="-8"/>
          <w:sz w:val="16"/>
          <w:szCs w:val="16"/>
        </w:rPr>
        <w:t>nutrition,TPN</w:t>
      </w:r>
      <w:r>
        <w:rPr>
          <w:rFonts w:ascii="宋体" w:eastAsia="宋体" w:hAnsi="宋体" w:cs="宋体"/>
          <w:spacing w:val="59"/>
          <w:sz w:val="16"/>
          <w:szCs w:val="16"/>
        </w:rPr>
        <w:t xml:space="preserve"> </w:t>
      </w:r>
      <w:r>
        <w:rPr>
          <w:rFonts w:ascii="宋体" w:eastAsia="宋体" w:hAnsi="宋体" w:cs="宋体"/>
          <w:spacing w:val="-8"/>
          <w:sz w:val="16"/>
          <w:szCs w:val="16"/>
        </w:rPr>
        <w:t>全胃肠外营养</w:t>
      </w:r>
      <w:r>
        <w:rPr>
          <w:rFonts w:ascii="宋体" w:eastAsia="宋体" w:hAnsi="宋体" w:cs="宋体"/>
          <w:sz w:val="16"/>
          <w:szCs w:val="16"/>
        </w:rPr>
        <w:t xml:space="preserve"> </w:t>
      </w:r>
      <w:r>
        <w:rPr>
          <w:rFonts w:ascii="宋体" w:eastAsia="宋体" w:hAnsi="宋体" w:cs="宋体"/>
          <w:spacing w:val="-15"/>
          <w:sz w:val="16"/>
          <w:szCs w:val="16"/>
        </w:rPr>
        <w:t>transcription</w:t>
      </w:r>
      <w:r>
        <w:rPr>
          <w:rFonts w:ascii="宋体" w:eastAsia="宋体" w:hAnsi="宋体" w:cs="宋体"/>
          <w:spacing w:val="60"/>
          <w:sz w:val="16"/>
          <w:szCs w:val="16"/>
        </w:rPr>
        <w:t xml:space="preserve"> </w:t>
      </w:r>
      <w:r>
        <w:rPr>
          <w:rFonts w:ascii="宋体" w:eastAsia="宋体" w:hAnsi="宋体" w:cs="宋体"/>
          <w:spacing w:val="-15"/>
          <w:sz w:val="16"/>
          <w:szCs w:val="16"/>
        </w:rPr>
        <w:t>转录</w:t>
      </w:r>
    </w:p>
    <w:p w:rsidR="00EA40A3" w:rsidRDefault="00E86C16">
      <w:pPr>
        <w:spacing w:before="85" w:line="245" w:lineRule="exact"/>
        <w:rPr>
          <w:rFonts w:ascii="宋体" w:eastAsia="宋体" w:hAnsi="宋体" w:cs="宋体"/>
          <w:sz w:val="16"/>
          <w:szCs w:val="16"/>
        </w:rPr>
      </w:pPr>
      <w:r>
        <w:rPr>
          <w:rFonts w:ascii="宋体" w:eastAsia="宋体" w:hAnsi="宋体" w:cs="宋体"/>
          <w:spacing w:val="-7"/>
          <w:position w:val="6"/>
          <w:sz w:val="16"/>
          <w:szCs w:val="16"/>
        </w:rPr>
        <w:t>transferrin</w:t>
      </w:r>
      <w:r>
        <w:rPr>
          <w:rFonts w:ascii="宋体" w:eastAsia="宋体" w:hAnsi="宋体" w:cs="宋体"/>
          <w:spacing w:val="-4"/>
          <w:position w:val="6"/>
          <w:sz w:val="16"/>
          <w:szCs w:val="16"/>
        </w:rPr>
        <w:t xml:space="preserve"> </w:t>
      </w:r>
      <w:r>
        <w:rPr>
          <w:rFonts w:ascii="宋体" w:eastAsia="宋体" w:hAnsi="宋体" w:cs="宋体"/>
          <w:spacing w:val="-7"/>
          <w:position w:val="6"/>
          <w:sz w:val="16"/>
          <w:szCs w:val="16"/>
        </w:rPr>
        <w:t>receptor</w:t>
      </w:r>
      <w:r>
        <w:rPr>
          <w:rFonts w:ascii="宋体" w:eastAsia="宋体" w:hAnsi="宋体" w:cs="宋体"/>
          <w:spacing w:val="-8"/>
          <w:position w:val="6"/>
          <w:sz w:val="16"/>
          <w:szCs w:val="16"/>
        </w:rPr>
        <w:t>,</w:t>
      </w:r>
      <w:r>
        <w:rPr>
          <w:rFonts w:ascii="宋体" w:eastAsia="宋体" w:hAnsi="宋体" w:cs="宋体"/>
          <w:spacing w:val="-7"/>
          <w:position w:val="6"/>
          <w:sz w:val="16"/>
          <w:szCs w:val="16"/>
        </w:rPr>
        <w:t>TfR</w:t>
      </w:r>
      <w:r>
        <w:rPr>
          <w:rFonts w:ascii="宋体" w:eastAsia="宋体" w:hAnsi="宋体" w:cs="宋体"/>
          <w:spacing w:val="57"/>
          <w:position w:val="6"/>
          <w:sz w:val="16"/>
          <w:szCs w:val="16"/>
        </w:rPr>
        <w:t xml:space="preserve"> </w:t>
      </w:r>
      <w:r>
        <w:rPr>
          <w:rFonts w:ascii="宋体" w:eastAsia="宋体" w:hAnsi="宋体" w:cs="宋体"/>
          <w:spacing w:val="-8"/>
          <w:position w:val="6"/>
          <w:sz w:val="16"/>
          <w:szCs w:val="16"/>
        </w:rPr>
        <w:t>转铁蛋白受体</w:t>
      </w:r>
    </w:p>
    <w:p w:rsidR="00EA40A3" w:rsidRDefault="00E86C16">
      <w:pPr>
        <w:spacing w:line="220" w:lineRule="auto"/>
        <w:rPr>
          <w:rFonts w:ascii="宋体" w:eastAsia="宋体" w:hAnsi="宋体" w:cs="宋体"/>
          <w:sz w:val="16"/>
          <w:szCs w:val="16"/>
        </w:rPr>
      </w:pPr>
      <w:r>
        <w:rPr>
          <w:rFonts w:ascii="宋体" w:eastAsia="宋体" w:hAnsi="宋体" w:cs="宋体"/>
          <w:spacing w:val="-12"/>
          <w:sz w:val="16"/>
          <w:szCs w:val="16"/>
        </w:rPr>
        <w:t>transferrin</w:t>
      </w:r>
      <w:r>
        <w:rPr>
          <w:rFonts w:ascii="宋体" w:eastAsia="宋体" w:hAnsi="宋体" w:cs="宋体"/>
          <w:spacing w:val="59"/>
          <w:sz w:val="16"/>
          <w:szCs w:val="16"/>
        </w:rPr>
        <w:t xml:space="preserve"> </w:t>
      </w:r>
      <w:r>
        <w:rPr>
          <w:rFonts w:ascii="宋体" w:eastAsia="宋体" w:hAnsi="宋体" w:cs="宋体"/>
          <w:spacing w:val="-12"/>
          <w:sz w:val="16"/>
          <w:szCs w:val="16"/>
        </w:rPr>
        <w:t>运铁蛋白</w:t>
      </w:r>
    </w:p>
    <w:p w:rsidR="00EA40A3" w:rsidRDefault="00E86C16">
      <w:pPr>
        <w:spacing w:before="89" w:line="249" w:lineRule="exact"/>
        <w:rPr>
          <w:rFonts w:ascii="宋体" w:eastAsia="宋体" w:hAnsi="宋体" w:cs="宋体"/>
          <w:sz w:val="16"/>
          <w:szCs w:val="16"/>
        </w:rPr>
      </w:pPr>
      <w:r>
        <w:rPr>
          <w:rFonts w:ascii="宋体" w:eastAsia="宋体" w:hAnsi="宋体" w:cs="宋体"/>
          <w:spacing w:val="-12"/>
          <w:position w:val="6"/>
          <w:sz w:val="16"/>
          <w:szCs w:val="16"/>
        </w:rPr>
        <w:t>transketolation</w:t>
      </w:r>
      <w:r>
        <w:rPr>
          <w:rFonts w:ascii="宋体" w:eastAsia="宋体" w:hAnsi="宋体" w:cs="宋体"/>
          <w:spacing w:val="73"/>
          <w:position w:val="6"/>
          <w:sz w:val="16"/>
          <w:szCs w:val="16"/>
        </w:rPr>
        <w:t xml:space="preserve"> </w:t>
      </w:r>
      <w:r>
        <w:rPr>
          <w:rFonts w:ascii="宋体" w:eastAsia="宋体" w:hAnsi="宋体" w:cs="宋体"/>
          <w:spacing w:val="-12"/>
          <w:position w:val="6"/>
          <w:sz w:val="16"/>
          <w:szCs w:val="16"/>
        </w:rPr>
        <w:t>转酮醇作用</w:t>
      </w:r>
    </w:p>
    <w:p w:rsidR="00EA40A3" w:rsidRDefault="00E86C16">
      <w:pPr>
        <w:spacing w:before="1" w:line="219" w:lineRule="auto"/>
        <w:rPr>
          <w:rFonts w:ascii="宋体" w:eastAsia="宋体" w:hAnsi="宋体" w:cs="宋体"/>
          <w:sz w:val="16"/>
          <w:szCs w:val="16"/>
        </w:rPr>
      </w:pPr>
      <w:r>
        <w:rPr>
          <w:rFonts w:ascii="宋体" w:eastAsia="宋体" w:hAnsi="宋体" w:cs="宋体"/>
          <w:spacing w:val="-16"/>
          <w:sz w:val="16"/>
          <w:szCs w:val="16"/>
        </w:rPr>
        <w:t>translation</w:t>
      </w:r>
      <w:r>
        <w:rPr>
          <w:rFonts w:ascii="宋体" w:eastAsia="宋体" w:hAnsi="宋体" w:cs="宋体"/>
          <w:spacing w:val="84"/>
          <w:sz w:val="16"/>
          <w:szCs w:val="16"/>
        </w:rPr>
        <w:t xml:space="preserve"> </w:t>
      </w:r>
      <w:r>
        <w:rPr>
          <w:rFonts w:ascii="宋体" w:eastAsia="宋体" w:hAnsi="宋体" w:cs="宋体"/>
          <w:spacing w:val="-16"/>
          <w:sz w:val="16"/>
          <w:szCs w:val="16"/>
        </w:rPr>
        <w:t>翻译</w:t>
      </w:r>
    </w:p>
    <w:p w:rsidR="00EA40A3" w:rsidRDefault="00E86C16">
      <w:pPr>
        <w:spacing w:before="95" w:line="260" w:lineRule="exact"/>
        <w:rPr>
          <w:rFonts w:ascii="宋体" w:eastAsia="宋体" w:hAnsi="宋体" w:cs="宋体"/>
          <w:sz w:val="16"/>
          <w:szCs w:val="16"/>
        </w:rPr>
      </w:pPr>
      <w:r>
        <w:rPr>
          <w:rFonts w:ascii="宋体" w:eastAsia="宋体" w:hAnsi="宋体" w:cs="宋体"/>
          <w:spacing w:val="-5"/>
          <w:position w:val="7"/>
          <w:sz w:val="16"/>
          <w:szCs w:val="16"/>
        </w:rPr>
        <w:t>triglyceride,TG</w:t>
      </w:r>
      <w:r>
        <w:rPr>
          <w:rFonts w:ascii="宋体" w:eastAsia="宋体" w:hAnsi="宋体" w:cs="宋体"/>
          <w:spacing w:val="59"/>
          <w:position w:val="7"/>
          <w:sz w:val="16"/>
          <w:szCs w:val="16"/>
        </w:rPr>
        <w:t xml:space="preserve"> </w:t>
      </w:r>
      <w:r>
        <w:rPr>
          <w:rFonts w:ascii="宋体" w:eastAsia="宋体" w:hAnsi="宋体" w:cs="宋体"/>
          <w:spacing w:val="-5"/>
          <w:position w:val="7"/>
          <w:sz w:val="16"/>
          <w:szCs w:val="16"/>
        </w:rPr>
        <w:t>甘油三酯</w:t>
      </w:r>
    </w:p>
    <w:p w:rsidR="00EA40A3" w:rsidRDefault="00E86C16">
      <w:pPr>
        <w:spacing w:line="213" w:lineRule="auto"/>
        <w:rPr>
          <w:rFonts w:ascii="宋体" w:eastAsia="宋体" w:hAnsi="宋体" w:cs="宋体"/>
          <w:sz w:val="16"/>
          <w:szCs w:val="16"/>
        </w:rPr>
      </w:pPr>
      <w:r>
        <w:rPr>
          <w:rFonts w:ascii="宋体" w:eastAsia="宋体" w:hAnsi="宋体" w:cs="宋体"/>
          <w:spacing w:val="-15"/>
          <w:sz w:val="16"/>
          <w:szCs w:val="16"/>
        </w:rPr>
        <w:t>triglyceride</w:t>
      </w:r>
      <w:r>
        <w:rPr>
          <w:rFonts w:ascii="宋体" w:eastAsia="宋体" w:hAnsi="宋体" w:cs="宋体"/>
          <w:spacing w:val="74"/>
          <w:sz w:val="16"/>
          <w:szCs w:val="16"/>
        </w:rPr>
        <w:t xml:space="preserve"> </w:t>
      </w:r>
      <w:r>
        <w:rPr>
          <w:rFonts w:ascii="宋体" w:eastAsia="宋体" w:hAnsi="宋体" w:cs="宋体"/>
          <w:spacing w:val="-15"/>
          <w:sz w:val="16"/>
          <w:szCs w:val="16"/>
        </w:rPr>
        <w:t>甘油三酯</w:t>
      </w:r>
    </w:p>
    <w:p w:rsidR="00EA40A3" w:rsidRDefault="00E86C16">
      <w:pPr>
        <w:spacing w:before="85" w:line="214" w:lineRule="auto"/>
        <w:rPr>
          <w:rFonts w:ascii="宋体" w:eastAsia="宋体" w:hAnsi="宋体" w:cs="宋体"/>
          <w:sz w:val="16"/>
          <w:szCs w:val="16"/>
        </w:rPr>
      </w:pPr>
      <w:r>
        <w:rPr>
          <w:rFonts w:ascii="宋体" w:eastAsia="宋体" w:hAnsi="宋体" w:cs="宋体"/>
          <w:spacing w:val="-11"/>
          <w:sz w:val="16"/>
          <w:szCs w:val="16"/>
        </w:rPr>
        <w:t>tripletoxygen</w:t>
      </w:r>
      <w:r>
        <w:rPr>
          <w:rFonts w:ascii="宋体" w:eastAsia="宋体" w:hAnsi="宋体" w:cs="宋体"/>
          <w:spacing w:val="71"/>
          <w:sz w:val="16"/>
          <w:szCs w:val="16"/>
        </w:rPr>
        <w:t xml:space="preserve"> </w:t>
      </w:r>
      <w:r>
        <w:rPr>
          <w:rFonts w:ascii="宋体" w:eastAsia="宋体" w:hAnsi="宋体" w:cs="宋体"/>
          <w:spacing w:val="-11"/>
          <w:sz w:val="16"/>
          <w:szCs w:val="16"/>
        </w:rPr>
        <w:t>三线态氧</w:t>
      </w:r>
    </w:p>
    <w:p w:rsidR="00EA40A3" w:rsidRDefault="00E86C16">
      <w:pPr>
        <w:spacing w:before="75" w:line="214" w:lineRule="auto"/>
        <w:rPr>
          <w:rFonts w:ascii="宋体" w:eastAsia="宋体" w:hAnsi="宋体" w:cs="宋体"/>
          <w:sz w:val="16"/>
          <w:szCs w:val="16"/>
        </w:rPr>
      </w:pPr>
      <w:r>
        <w:rPr>
          <w:rFonts w:ascii="宋体" w:eastAsia="宋体" w:hAnsi="宋体" w:cs="宋体"/>
          <w:spacing w:val="-13"/>
          <w:sz w:val="16"/>
          <w:szCs w:val="16"/>
        </w:rPr>
        <w:t>triterpenoid</w:t>
      </w:r>
      <w:r>
        <w:rPr>
          <w:rFonts w:ascii="宋体" w:eastAsia="宋体" w:hAnsi="宋体" w:cs="宋体"/>
          <w:spacing w:val="7"/>
          <w:sz w:val="16"/>
          <w:szCs w:val="16"/>
        </w:rPr>
        <w:t xml:space="preserve"> </w:t>
      </w:r>
      <w:r>
        <w:rPr>
          <w:rFonts w:ascii="宋体" w:eastAsia="宋体" w:hAnsi="宋体" w:cs="宋体"/>
          <w:spacing w:val="-13"/>
          <w:sz w:val="16"/>
          <w:szCs w:val="16"/>
        </w:rPr>
        <w:t>saponin</w:t>
      </w:r>
      <w:r>
        <w:rPr>
          <w:rFonts w:ascii="宋体" w:eastAsia="宋体" w:hAnsi="宋体" w:cs="宋体"/>
          <w:spacing w:val="56"/>
          <w:sz w:val="16"/>
          <w:szCs w:val="16"/>
        </w:rPr>
        <w:t xml:space="preserve"> </w:t>
      </w:r>
      <w:r>
        <w:rPr>
          <w:rFonts w:ascii="宋体" w:eastAsia="宋体" w:hAnsi="宋体" w:cs="宋体"/>
          <w:spacing w:val="-13"/>
          <w:sz w:val="16"/>
          <w:szCs w:val="16"/>
        </w:rPr>
        <w:t>三萜皂苷</w:t>
      </w:r>
    </w:p>
    <w:p w:rsidR="00EA40A3" w:rsidRDefault="00E86C16">
      <w:pPr>
        <w:spacing w:before="74" w:line="214" w:lineRule="auto"/>
        <w:rPr>
          <w:rFonts w:ascii="宋体" w:eastAsia="宋体" w:hAnsi="宋体" w:cs="宋体"/>
          <w:sz w:val="16"/>
          <w:szCs w:val="16"/>
        </w:rPr>
      </w:pPr>
      <w:r>
        <w:rPr>
          <w:rFonts w:ascii="宋体" w:eastAsia="宋体" w:hAnsi="宋体" w:cs="宋体"/>
          <w:spacing w:val="-9"/>
          <w:sz w:val="16"/>
          <w:szCs w:val="16"/>
        </w:rPr>
        <w:t>true</w:t>
      </w:r>
      <w:r>
        <w:rPr>
          <w:rFonts w:ascii="宋体" w:eastAsia="宋体" w:hAnsi="宋体" w:cs="宋体"/>
          <w:spacing w:val="-2"/>
          <w:sz w:val="16"/>
          <w:szCs w:val="16"/>
        </w:rPr>
        <w:t xml:space="preserve"> </w:t>
      </w:r>
      <w:r>
        <w:rPr>
          <w:rFonts w:ascii="宋体" w:eastAsia="宋体" w:hAnsi="宋体" w:cs="宋体"/>
          <w:spacing w:val="-9"/>
          <w:sz w:val="16"/>
          <w:szCs w:val="16"/>
        </w:rPr>
        <w:t>digestibility,TD</w:t>
      </w:r>
      <w:r>
        <w:rPr>
          <w:rFonts w:ascii="宋体" w:eastAsia="宋体" w:hAnsi="宋体" w:cs="宋体"/>
          <w:spacing w:val="65"/>
          <w:sz w:val="16"/>
          <w:szCs w:val="16"/>
        </w:rPr>
        <w:t xml:space="preserve"> </w:t>
      </w:r>
      <w:r>
        <w:rPr>
          <w:rFonts w:ascii="宋体" w:eastAsia="宋体" w:hAnsi="宋体" w:cs="宋体"/>
          <w:spacing w:val="-10"/>
          <w:sz w:val="16"/>
          <w:szCs w:val="16"/>
        </w:rPr>
        <w:t>真消化率</w:t>
      </w:r>
    </w:p>
    <w:p w:rsidR="00EA40A3" w:rsidRDefault="00E86C16">
      <w:pPr>
        <w:spacing w:before="85" w:line="214" w:lineRule="auto"/>
        <w:rPr>
          <w:rFonts w:ascii="宋体" w:eastAsia="宋体" w:hAnsi="宋体" w:cs="宋体"/>
          <w:sz w:val="16"/>
          <w:szCs w:val="16"/>
        </w:rPr>
      </w:pPr>
      <w:r>
        <w:rPr>
          <w:rFonts w:ascii="宋体" w:eastAsia="宋体" w:hAnsi="宋体" w:cs="宋体"/>
          <w:spacing w:val="-1"/>
          <w:sz w:val="16"/>
          <w:szCs w:val="16"/>
        </w:rPr>
        <w:t>tryptophan,Trp</w:t>
      </w:r>
      <w:r>
        <w:rPr>
          <w:rFonts w:ascii="宋体" w:eastAsia="宋体" w:hAnsi="宋体" w:cs="宋体"/>
          <w:sz w:val="16"/>
          <w:szCs w:val="16"/>
        </w:rPr>
        <w:t xml:space="preserve">  </w:t>
      </w:r>
      <w:r>
        <w:rPr>
          <w:rFonts w:ascii="宋体" w:eastAsia="宋体" w:hAnsi="宋体" w:cs="宋体"/>
          <w:spacing w:val="-1"/>
          <w:sz w:val="16"/>
          <w:szCs w:val="16"/>
        </w:rPr>
        <w:t>色氨酸</w:t>
      </w:r>
    </w:p>
    <w:p w:rsidR="00EA40A3" w:rsidRDefault="00E86C16">
      <w:pPr>
        <w:spacing w:before="75" w:line="260" w:lineRule="auto"/>
        <w:ind w:right="595"/>
        <w:rPr>
          <w:rFonts w:ascii="宋体" w:eastAsia="宋体" w:hAnsi="宋体" w:cs="宋体"/>
          <w:sz w:val="16"/>
          <w:szCs w:val="16"/>
        </w:rPr>
      </w:pPr>
      <w:r>
        <w:rPr>
          <w:rFonts w:ascii="宋体" w:eastAsia="宋体" w:hAnsi="宋体" w:cs="宋体"/>
          <w:spacing w:val="-4"/>
          <w:sz w:val="16"/>
          <w:szCs w:val="16"/>
        </w:rPr>
        <w:t>tumor</w:t>
      </w:r>
      <w:r>
        <w:rPr>
          <w:rFonts w:ascii="宋体" w:eastAsia="宋体" w:hAnsi="宋体" w:cs="宋体"/>
          <w:spacing w:val="17"/>
          <w:sz w:val="16"/>
          <w:szCs w:val="16"/>
        </w:rPr>
        <w:t xml:space="preserve"> </w:t>
      </w:r>
      <w:r>
        <w:rPr>
          <w:rFonts w:ascii="宋体" w:eastAsia="宋体" w:hAnsi="宋体" w:cs="宋体"/>
          <w:spacing w:val="-4"/>
          <w:sz w:val="16"/>
          <w:szCs w:val="16"/>
        </w:rPr>
        <w:t>necrosis</w:t>
      </w:r>
      <w:r>
        <w:rPr>
          <w:rFonts w:ascii="宋体" w:eastAsia="宋体" w:hAnsi="宋体" w:cs="宋体"/>
          <w:spacing w:val="5"/>
          <w:sz w:val="16"/>
          <w:szCs w:val="16"/>
        </w:rPr>
        <w:t xml:space="preserve"> </w:t>
      </w:r>
      <w:r>
        <w:rPr>
          <w:rFonts w:ascii="宋体" w:eastAsia="宋体" w:hAnsi="宋体" w:cs="宋体"/>
          <w:spacing w:val="-4"/>
          <w:sz w:val="16"/>
          <w:szCs w:val="16"/>
        </w:rPr>
        <w:t>factor,TNF</w:t>
      </w:r>
      <w:r>
        <w:rPr>
          <w:rFonts w:ascii="宋体" w:eastAsia="宋体" w:hAnsi="宋体" w:cs="宋体"/>
          <w:spacing w:val="47"/>
          <w:sz w:val="16"/>
          <w:szCs w:val="16"/>
        </w:rPr>
        <w:t xml:space="preserve"> </w:t>
      </w:r>
      <w:r>
        <w:rPr>
          <w:rFonts w:ascii="宋体" w:eastAsia="宋体" w:hAnsi="宋体" w:cs="宋体"/>
          <w:spacing w:val="-4"/>
          <w:sz w:val="16"/>
          <w:szCs w:val="16"/>
        </w:rPr>
        <w:t>肿瘤坏死因子</w:t>
      </w:r>
      <w:r>
        <w:rPr>
          <w:rFonts w:ascii="宋体" w:eastAsia="宋体" w:hAnsi="宋体" w:cs="宋体"/>
          <w:sz w:val="16"/>
          <w:szCs w:val="16"/>
        </w:rPr>
        <w:t xml:space="preserve"> </w:t>
      </w:r>
      <w:r>
        <w:rPr>
          <w:rFonts w:ascii="宋体" w:eastAsia="宋体" w:hAnsi="宋体" w:cs="宋体"/>
          <w:spacing w:val="-2"/>
          <w:sz w:val="16"/>
          <w:szCs w:val="16"/>
        </w:rPr>
        <w:t>tumour</w:t>
      </w:r>
      <w:r>
        <w:rPr>
          <w:rFonts w:ascii="宋体" w:eastAsia="宋体" w:hAnsi="宋体" w:cs="宋体"/>
          <w:spacing w:val="1"/>
          <w:sz w:val="16"/>
          <w:szCs w:val="16"/>
        </w:rPr>
        <w:t xml:space="preserve">  </w:t>
      </w:r>
      <w:r>
        <w:rPr>
          <w:rFonts w:ascii="宋体" w:eastAsia="宋体" w:hAnsi="宋体" w:cs="宋体"/>
          <w:spacing w:val="-2"/>
          <w:sz w:val="16"/>
          <w:szCs w:val="16"/>
        </w:rPr>
        <w:t>肿瘤</w:t>
      </w:r>
    </w:p>
    <w:p w:rsidR="00EA40A3" w:rsidRDefault="00E86C16">
      <w:pPr>
        <w:spacing w:before="78" w:line="258" w:lineRule="auto"/>
        <w:ind w:right="196"/>
        <w:rPr>
          <w:rFonts w:ascii="宋体" w:eastAsia="宋体" w:hAnsi="宋体" w:cs="宋体"/>
          <w:sz w:val="16"/>
          <w:szCs w:val="16"/>
        </w:rPr>
      </w:pPr>
      <w:r>
        <w:rPr>
          <w:rFonts w:ascii="宋体" w:eastAsia="宋体" w:hAnsi="宋体" w:cs="宋体"/>
          <w:spacing w:val="-4"/>
          <w:sz w:val="16"/>
          <w:szCs w:val="16"/>
        </w:rPr>
        <w:t>tyroid</w:t>
      </w:r>
      <w:r>
        <w:rPr>
          <w:rFonts w:ascii="宋体" w:eastAsia="宋体" w:hAnsi="宋体" w:cs="宋体"/>
          <w:spacing w:val="20"/>
          <w:sz w:val="16"/>
          <w:szCs w:val="16"/>
        </w:rPr>
        <w:t xml:space="preserve"> </w:t>
      </w:r>
      <w:r>
        <w:rPr>
          <w:rFonts w:ascii="宋体" w:eastAsia="宋体" w:hAnsi="宋体" w:cs="宋体"/>
          <w:spacing w:val="-4"/>
          <w:sz w:val="16"/>
          <w:szCs w:val="16"/>
        </w:rPr>
        <w:t>stimulating</w:t>
      </w:r>
      <w:r>
        <w:rPr>
          <w:rFonts w:ascii="宋体" w:eastAsia="宋体" w:hAnsi="宋体" w:cs="宋体"/>
          <w:spacing w:val="1"/>
          <w:sz w:val="16"/>
          <w:szCs w:val="16"/>
        </w:rPr>
        <w:t xml:space="preserve"> </w:t>
      </w:r>
      <w:r>
        <w:rPr>
          <w:rFonts w:ascii="宋体" w:eastAsia="宋体" w:hAnsi="宋体" w:cs="宋体"/>
          <w:spacing w:val="-4"/>
          <w:sz w:val="16"/>
          <w:szCs w:val="16"/>
        </w:rPr>
        <w:t>hormone,TSH</w:t>
      </w:r>
      <w:r>
        <w:rPr>
          <w:rFonts w:ascii="宋体" w:eastAsia="宋体" w:hAnsi="宋体" w:cs="宋体"/>
          <w:spacing w:val="67"/>
          <w:sz w:val="16"/>
          <w:szCs w:val="16"/>
        </w:rPr>
        <w:t xml:space="preserve"> </w:t>
      </w:r>
      <w:r>
        <w:rPr>
          <w:rFonts w:ascii="宋体" w:eastAsia="宋体" w:hAnsi="宋体" w:cs="宋体"/>
          <w:spacing w:val="-4"/>
          <w:sz w:val="16"/>
          <w:szCs w:val="16"/>
        </w:rPr>
        <w:t>促甲状腺激素</w:t>
      </w:r>
      <w:r>
        <w:rPr>
          <w:rFonts w:ascii="宋体" w:eastAsia="宋体" w:hAnsi="宋体" w:cs="宋体"/>
          <w:sz w:val="16"/>
          <w:szCs w:val="16"/>
        </w:rPr>
        <w:t xml:space="preserve"> </w:t>
      </w:r>
      <w:r>
        <w:rPr>
          <w:rFonts w:ascii="宋体" w:eastAsia="宋体" w:hAnsi="宋体" w:cs="宋体"/>
          <w:spacing w:val="-4"/>
          <w:sz w:val="16"/>
          <w:szCs w:val="16"/>
        </w:rPr>
        <w:t>ubiquinone</w:t>
      </w:r>
      <w:r>
        <w:rPr>
          <w:rFonts w:ascii="宋体" w:eastAsia="宋体" w:hAnsi="宋体" w:cs="宋体"/>
          <w:spacing w:val="43"/>
          <w:w w:val="101"/>
          <w:sz w:val="16"/>
          <w:szCs w:val="16"/>
        </w:rPr>
        <w:t xml:space="preserve"> </w:t>
      </w:r>
      <w:r>
        <w:rPr>
          <w:rFonts w:ascii="宋体" w:eastAsia="宋体" w:hAnsi="宋体" w:cs="宋体"/>
          <w:spacing w:val="-4"/>
          <w:sz w:val="16"/>
          <w:szCs w:val="16"/>
        </w:rPr>
        <w:t>泛醌</w:t>
      </w:r>
    </w:p>
    <w:p w:rsidR="00EA40A3" w:rsidRDefault="00E86C16">
      <w:pPr>
        <w:spacing w:before="96" w:line="262" w:lineRule="auto"/>
        <w:ind w:left="169" w:right="49" w:hanging="169"/>
        <w:rPr>
          <w:rFonts w:ascii="宋体" w:eastAsia="宋体" w:hAnsi="宋体" w:cs="宋体"/>
          <w:sz w:val="16"/>
          <w:szCs w:val="16"/>
        </w:rPr>
      </w:pPr>
      <w:r>
        <w:rPr>
          <w:rFonts w:ascii="Times New Roman" w:eastAsia="Times New Roman" w:hAnsi="Times New Roman" w:cs="Times New Roman"/>
          <w:sz w:val="16"/>
          <w:szCs w:val="16"/>
        </w:rPr>
        <w:t>United</w:t>
      </w:r>
      <w:r>
        <w:rPr>
          <w:rFonts w:ascii="Times New Roman" w:eastAsia="Times New Roman" w:hAnsi="Times New Roman" w:cs="Times New Roman"/>
          <w:spacing w:val="10"/>
          <w:w w:val="101"/>
          <w:sz w:val="16"/>
          <w:szCs w:val="16"/>
        </w:rPr>
        <w:t xml:space="preserve">  </w:t>
      </w:r>
      <w:r>
        <w:rPr>
          <w:rFonts w:ascii="Times New Roman" w:eastAsia="Times New Roman" w:hAnsi="Times New Roman" w:cs="Times New Roman"/>
          <w:sz w:val="16"/>
          <w:szCs w:val="16"/>
        </w:rPr>
        <w:t>Nations</w:t>
      </w:r>
      <w:r>
        <w:rPr>
          <w:rFonts w:ascii="Times New Roman" w:eastAsia="Times New Roman" w:hAnsi="Times New Roman" w:cs="Times New Roman"/>
          <w:spacing w:val="13"/>
          <w:w w:val="102"/>
          <w:sz w:val="16"/>
          <w:szCs w:val="16"/>
        </w:rPr>
        <w:t xml:space="preserve">  </w:t>
      </w:r>
      <w:r>
        <w:rPr>
          <w:rFonts w:ascii="Times New Roman" w:eastAsia="Times New Roman" w:hAnsi="Times New Roman" w:cs="Times New Roman"/>
          <w:sz w:val="16"/>
          <w:szCs w:val="16"/>
        </w:rPr>
        <w:t>International</w:t>
      </w:r>
      <w:r>
        <w:rPr>
          <w:rFonts w:ascii="Times New Roman" w:eastAsia="Times New Roman" w:hAnsi="Times New Roman" w:cs="Times New Roman"/>
          <w:spacing w:val="14"/>
          <w:w w:val="101"/>
          <w:sz w:val="16"/>
          <w:szCs w:val="16"/>
        </w:rPr>
        <w:t xml:space="preserve">  </w:t>
      </w:r>
      <w:r>
        <w:rPr>
          <w:rFonts w:ascii="Times New Roman" w:eastAsia="Times New Roman" w:hAnsi="Times New Roman" w:cs="Times New Roman"/>
          <w:sz w:val="16"/>
          <w:szCs w:val="16"/>
        </w:rPr>
        <w:t>Chil</w:t>
      </w:r>
      <w:r>
        <w:rPr>
          <w:rFonts w:ascii="Times New Roman" w:eastAsia="Times New Roman" w:hAnsi="Times New Roman" w:cs="Times New Roman"/>
          <w:spacing w:val="-1"/>
          <w:sz w:val="16"/>
          <w:szCs w:val="16"/>
        </w:rPr>
        <w:t>dren's</w:t>
      </w:r>
      <w:r>
        <w:rPr>
          <w:rFonts w:ascii="Times New Roman" w:eastAsia="Times New Roman" w:hAnsi="Times New Roman" w:cs="Times New Roman"/>
          <w:spacing w:val="13"/>
          <w:w w:val="101"/>
          <w:sz w:val="16"/>
          <w:szCs w:val="16"/>
        </w:rPr>
        <w:t xml:space="preserve">  </w:t>
      </w:r>
      <w:r>
        <w:rPr>
          <w:rFonts w:ascii="Times New Roman" w:eastAsia="Times New Roman" w:hAnsi="Times New Roman" w:cs="Times New Roman"/>
          <w:spacing w:val="-1"/>
          <w:sz w:val="16"/>
          <w:szCs w:val="16"/>
        </w:rPr>
        <w:t>Emergency</w:t>
      </w:r>
      <w:r>
        <w:rPr>
          <w:rFonts w:ascii="Times New Roman" w:eastAsia="Times New Roman" w:hAnsi="Times New Roman" w:cs="Times New Roman"/>
          <w:sz w:val="16"/>
          <w:szCs w:val="16"/>
        </w:rPr>
        <w:t xml:space="preserve"> </w:t>
      </w:r>
      <w:r>
        <w:rPr>
          <w:rFonts w:ascii="宋体" w:eastAsia="宋体" w:hAnsi="宋体" w:cs="宋体"/>
          <w:spacing w:val="-1"/>
          <w:sz w:val="16"/>
          <w:szCs w:val="16"/>
        </w:rPr>
        <w:t>Fund,UNICEF</w:t>
      </w:r>
      <w:r>
        <w:rPr>
          <w:rFonts w:ascii="宋体" w:eastAsia="宋体" w:hAnsi="宋体" w:cs="宋体"/>
          <w:spacing w:val="10"/>
          <w:sz w:val="16"/>
          <w:szCs w:val="16"/>
        </w:rPr>
        <w:t xml:space="preserve">    </w:t>
      </w:r>
      <w:r>
        <w:rPr>
          <w:rFonts w:ascii="宋体" w:eastAsia="宋体" w:hAnsi="宋体" w:cs="宋体"/>
          <w:spacing w:val="-1"/>
          <w:sz w:val="16"/>
          <w:szCs w:val="16"/>
        </w:rPr>
        <w:t>联合国儿童基金会</w:t>
      </w:r>
    </w:p>
    <w:p w:rsidR="00EA40A3" w:rsidRDefault="00E86C16">
      <w:pPr>
        <w:spacing w:before="88" w:line="184" w:lineRule="auto"/>
        <w:rPr>
          <w:rFonts w:ascii="宋体" w:eastAsia="宋体" w:hAnsi="宋体" w:cs="宋体"/>
          <w:sz w:val="16"/>
          <w:szCs w:val="16"/>
        </w:rPr>
      </w:pPr>
      <w:r>
        <w:rPr>
          <w:rFonts w:ascii="宋体" w:eastAsia="宋体" w:hAnsi="宋体" w:cs="宋体"/>
          <w:spacing w:val="-3"/>
          <w:sz w:val="16"/>
          <w:szCs w:val="16"/>
        </w:rPr>
        <w:t>uridine</w:t>
      </w:r>
      <w:r>
        <w:rPr>
          <w:rFonts w:ascii="宋体" w:eastAsia="宋体" w:hAnsi="宋体" w:cs="宋体"/>
          <w:spacing w:val="4"/>
          <w:sz w:val="16"/>
          <w:szCs w:val="16"/>
        </w:rPr>
        <w:t xml:space="preserve"> </w:t>
      </w:r>
      <w:r>
        <w:rPr>
          <w:rFonts w:ascii="宋体" w:eastAsia="宋体" w:hAnsi="宋体" w:cs="宋体"/>
          <w:spacing w:val="-3"/>
          <w:sz w:val="16"/>
          <w:szCs w:val="16"/>
        </w:rPr>
        <w:t>diphosphate</w:t>
      </w:r>
      <w:r>
        <w:rPr>
          <w:rFonts w:ascii="宋体" w:eastAsia="宋体" w:hAnsi="宋体" w:cs="宋体"/>
          <w:spacing w:val="4"/>
          <w:sz w:val="16"/>
          <w:szCs w:val="16"/>
        </w:rPr>
        <w:t xml:space="preserve"> </w:t>
      </w:r>
      <w:r>
        <w:rPr>
          <w:rFonts w:ascii="宋体" w:eastAsia="宋体" w:hAnsi="宋体" w:cs="宋体"/>
          <w:spacing w:val="-3"/>
          <w:sz w:val="16"/>
          <w:szCs w:val="16"/>
        </w:rPr>
        <w:t>glucose</w:t>
      </w:r>
      <w:r>
        <w:rPr>
          <w:rFonts w:ascii="宋体" w:eastAsia="宋体" w:hAnsi="宋体" w:cs="宋体"/>
          <w:spacing w:val="-4"/>
          <w:sz w:val="16"/>
          <w:szCs w:val="16"/>
        </w:rPr>
        <w:t>,</w:t>
      </w:r>
      <w:r>
        <w:rPr>
          <w:rFonts w:ascii="宋体" w:eastAsia="宋体" w:hAnsi="宋体" w:cs="宋体"/>
          <w:spacing w:val="-3"/>
          <w:sz w:val="16"/>
          <w:szCs w:val="16"/>
        </w:rPr>
        <w:t>UD</w:t>
      </w:r>
      <w:r>
        <w:rPr>
          <w:rFonts w:ascii="宋体" w:eastAsia="宋体" w:hAnsi="宋体" w:cs="宋体"/>
          <w:spacing w:val="-4"/>
          <w:sz w:val="16"/>
          <w:szCs w:val="16"/>
        </w:rPr>
        <w:t>PG</w:t>
      </w:r>
      <w:r>
        <w:rPr>
          <w:rFonts w:ascii="宋体" w:eastAsia="宋体" w:hAnsi="宋体" w:cs="宋体"/>
          <w:spacing w:val="57"/>
          <w:sz w:val="16"/>
          <w:szCs w:val="16"/>
        </w:rPr>
        <w:t xml:space="preserve"> </w:t>
      </w:r>
      <w:r>
        <w:rPr>
          <w:rFonts w:ascii="宋体" w:eastAsia="宋体" w:hAnsi="宋体" w:cs="宋体"/>
          <w:spacing w:val="-4"/>
          <w:sz w:val="16"/>
          <w:szCs w:val="16"/>
        </w:rPr>
        <w:t>尿苷二磷酸葡</w:t>
      </w:r>
    </w:p>
    <w:p w:rsidR="00EA40A3" w:rsidRDefault="00E86C16">
      <w:pPr>
        <w:spacing w:line="14" w:lineRule="auto"/>
        <w:rPr>
          <w:sz w:val="2"/>
        </w:rPr>
      </w:pPr>
      <w:r>
        <w:rPr>
          <w:sz w:val="2"/>
          <w:szCs w:val="2"/>
        </w:rPr>
        <w:br w:type="column"/>
      </w:r>
    </w:p>
    <w:p w:rsidR="00EA40A3" w:rsidRDefault="00E86C16">
      <w:pPr>
        <w:spacing w:before="30" w:line="220" w:lineRule="auto"/>
        <w:ind w:left="180"/>
        <w:rPr>
          <w:rFonts w:ascii="宋体" w:eastAsia="宋体" w:hAnsi="宋体" w:cs="宋体"/>
          <w:sz w:val="16"/>
          <w:szCs w:val="16"/>
        </w:rPr>
      </w:pPr>
      <w:r>
        <w:rPr>
          <w:rFonts w:ascii="宋体" w:eastAsia="宋体" w:hAnsi="宋体" w:cs="宋体"/>
          <w:spacing w:val="-3"/>
          <w:sz w:val="16"/>
          <w:szCs w:val="16"/>
        </w:rPr>
        <w:t>萄糖</w:t>
      </w:r>
    </w:p>
    <w:p w:rsidR="00EA40A3" w:rsidRDefault="00E86C16">
      <w:pPr>
        <w:spacing w:before="55" w:line="212" w:lineRule="auto"/>
        <w:ind w:left="30"/>
        <w:rPr>
          <w:rFonts w:ascii="宋体" w:eastAsia="宋体" w:hAnsi="宋体" w:cs="宋体"/>
          <w:sz w:val="16"/>
          <w:szCs w:val="16"/>
        </w:rPr>
      </w:pPr>
      <w:r>
        <w:rPr>
          <w:rFonts w:ascii="Times New Roman" w:eastAsia="Times New Roman" w:hAnsi="Times New Roman" w:cs="Times New Roman"/>
          <w:sz w:val="16"/>
          <w:szCs w:val="16"/>
        </w:rPr>
        <w:t>uridine</w:t>
      </w:r>
      <w:r>
        <w:rPr>
          <w:rFonts w:ascii="Times New Roman" w:eastAsia="Times New Roman" w:hAnsi="Times New Roman" w:cs="Times New Roman"/>
          <w:spacing w:val="6"/>
          <w:sz w:val="16"/>
          <w:szCs w:val="16"/>
        </w:rPr>
        <w:t xml:space="preserve">     </w:t>
      </w:r>
      <w:r>
        <w:rPr>
          <w:rFonts w:ascii="Times New Roman" w:eastAsia="Times New Roman" w:hAnsi="Times New Roman" w:cs="Times New Roman"/>
          <w:sz w:val="16"/>
          <w:szCs w:val="16"/>
        </w:rPr>
        <w:t>triphosphate,UTP</w:t>
      </w:r>
      <w:r>
        <w:rPr>
          <w:rFonts w:ascii="Times New Roman" w:eastAsia="Times New Roman" w:hAnsi="Times New Roman" w:cs="Times New Roman"/>
          <w:spacing w:val="6"/>
          <w:sz w:val="16"/>
          <w:szCs w:val="16"/>
        </w:rPr>
        <w:t xml:space="preserve">   </w:t>
      </w:r>
      <w:r>
        <w:rPr>
          <w:rFonts w:ascii="宋体" w:eastAsia="宋体" w:hAnsi="宋体" w:cs="宋体"/>
          <w:sz w:val="16"/>
          <w:szCs w:val="16"/>
        </w:rPr>
        <w:t>尿苷三</w:t>
      </w:r>
      <w:r>
        <w:rPr>
          <w:rFonts w:ascii="宋体" w:eastAsia="宋体" w:hAnsi="宋体" w:cs="宋体"/>
          <w:b/>
          <w:bCs/>
          <w:sz w:val="16"/>
          <w:szCs w:val="16"/>
        </w:rPr>
        <w:t>磷酸</w:t>
      </w:r>
    </w:p>
    <w:p w:rsidR="00EA40A3" w:rsidRDefault="00E86C16">
      <w:pPr>
        <w:spacing w:before="81" w:line="252" w:lineRule="exact"/>
        <w:ind w:left="30"/>
        <w:rPr>
          <w:rFonts w:ascii="宋体" w:eastAsia="宋体" w:hAnsi="宋体" w:cs="宋体"/>
          <w:sz w:val="16"/>
          <w:szCs w:val="16"/>
        </w:rPr>
      </w:pPr>
      <w:r>
        <w:rPr>
          <w:rFonts w:ascii="宋体" w:eastAsia="宋体" w:hAnsi="宋体" w:cs="宋体"/>
          <w:spacing w:val="-4"/>
          <w:position w:val="7"/>
          <w:sz w:val="16"/>
          <w:szCs w:val="16"/>
        </w:rPr>
        <w:t>vaccinia</w:t>
      </w:r>
      <w:r>
        <w:rPr>
          <w:rFonts w:ascii="宋体" w:eastAsia="宋体" w:hAnsi="宋体" w:cs="宋体"/>
          <w:spacing w:val="5"/>
          <w:position w:val="7"/>
          <w:sz w:val="16"/>
          <w:szCs w:val="16"/>
        </w:rPr>
        <w:t xml:space="preserve"> </w:t>
      </w:r>
      <w:r>
        <w:rPr>
          <w:rFonts w:ascii="宋体" w:eastAsia="宋体" w:hAnsi="宋体" w:cs="宋体"/>
          <w:spacing w:val="-4"/>
          <w:position w:val="7"/>
          <w:sz w:val="16"/>
          <w:szCs w:val="16"/>
        </w:rPr>
        <w:t>virus,VV</w:t>
      </w:r>
      <w:r>
        <w:rPr>
          <w:rFonts w:ascii="宋体" w:eastAsia="宋体" w:hAnsi="宋体" w:cs="宋体"/>
          <w:spacing w:val="46"/>
          <w:position w:val="7"/>
          <w:sz w:val="16"/>
          <w:szCs w:val="16"/>
        </w:rPr>
        <w:t xml:space="preserve"> </w:t>
      </w:r>
      <w:r>
        <w:rPr>
          <w:rFonts w:ascii="宋体" w:eastAsia="宋体" w:hAnsi="宋体" w:cs="宋体"/>
          <w:spacing w:val="-4"/>
          <w:position w:val="7"/>
          <w:sz w:val="16"/>
          <w:szCs w:val="16"/>
        </w:rPr>
        <w:t>牛痘病毒</w:t>
      </w:r>
    </w:p>
    <w:p w:rsidR="00EA40A3" w:rsidRDefault="00E86C16">
      <w:pPr>
        <w:spacing w:line="212" w:lineRule="auto"/>
        <w:ind w:left="30"/>
        <w:rPr>
          <w:rFonts w:ascii="宋体" w:eastAsia="宋体" w:hAnsi="宋体" w:cs="宋体"/>
          <w:sz w:val="16"/>
          <w:szCs w:val="16"/>
        </w:rPr>
      </w:pPr>
      <w:r>
        <w:rPr>
          <w:rFonts w:ascii="Times New Roman" w:eastAsia="Times New Roman" w:hAnsi="Times New Roman" w:cs="Times New Roman"/>
          <w:spacing w:val="-1"/>
          <w:sz w:val="16"/>
          <w:szCs w:val="16"/>
        </w:rPr>
        <w:t>valine,Val</w:t>
      </w:r>
      <w:r>
        <w:rPr>
          <w:rFonts w:ascii="Times New Roman" w:eastAsia="Times New Roman" w:hAnsi="Times New Roman" w:cs="Times New Roman"/>
          <w:spacing w:val="6"/>
          <w:sz w:val="16"/>
          <w:szCs w:val="16"/>
        </w:rPr>
        <w:t xml:space="preserve">     </w:t>
      </w:r>
      <w:r>
        <w:rPr>
          <w:rFonts w:ascii="宋体" w:eastAsia="宋体" w:hAnsi="宋体" w:cs="宋体"/>
          <w:b/>
          <w:bCs/>
          <w:spacing w:val="-1"/>
          <w:sz w:val="16"/>
          <w:szCs w:val="16"/>
        </w:rPr>
        <w:t>缬氨酸</w:t>
      </w:r>
    </w:p>
    <w:p w:rsidR="00EA40A3" w:rsidRDefault="00E86C16">
      <w:pPr>
        <w:spacing w:before="112" w:line="214" w:lineRule="auto"/>
        <w:ind w:left="30"/>
        <w:rPr>
          <w:rFonts w:ascii="宋体" w:eastAsia="宋体" w:hAnsi="宋体" w:cs="宋体"/>
          <w:sz w:val="16"/>
          <w:szCs w:val="16"/>
        </w:rPr>
      </w:pPr>
      <w:r>
        <w:rPr>
          <w:rFonts w:ascii="宋体" w:eastAsia="宋体" w:hAnsi="宋体" w:cs="宋体"/>
          <w:spacing w:val="-14"/>
          <w:sz w:val="16"/>
          <w:szCs w:val="16"/>
        </w:rPr>
        <w:t>variable</w:t>
      </w:r>
      <w:r>
        <w:rPr>
          <w:rFonts w:ascii="宋体" w:eastAsia="宋体" w:hAnsi="宋体" w:cs="宋体"/>
          <w:spacing w:val="-5"/>
          <w:sz w:val="16"/>
          <w:szCs w:val="16"/>
        </w:rPr>
        <w:t xml:space="preserve"> </w:t>
      </w:r>
      <w:r>
        <w:rPr>
          <w:rFonts w:ascii="宋体" w:eastAsia="宋体" w:hAnsi="宋体" w:cs="宋体"/>
          <w:spacing w:val="-14"/>
          <w:sz w:val="16"/>
          <w:szCs w:val="16"/>
        </w:rPr>
        <w:t>lipid</w:t>
      </w:r>
      <w:r>
        <w:rPr>
          <w:rFonts w:ascii="宋体" w:eastAsia="宋体" w:hAnsi="宋体" w:cs="宋体"/>
          <w:spacing w:val="57"/>
          <w:sz w:val="16"/>
          <w:szCs w:val="16"/>
        </w:rPr>
        <w:t xml:space="preserve"> </w:t>
      </w:r>
      <w:r>
        <w:rPr>
          <w:rFonts w:ascii="宋体" w:eastAsia="宋体" w:hAnsi="宋体" w:cs="宋体"/>
          <w:spacing w:val="-14"/>
          <w:sz w:val="16"/>
          <w:szCs w:val="16"/>
        </w:rPr>
        <w:t>可变脂，或动脂</w:t>
      </w:r>
    </w:p>
    <w:p w:rsidR="00EA40A3" w:rsidRDefault="00E86C16">
      <w:pPr>
        <w:spacing w:before="75" w:line="257" w:lineRule="auto"/>
        <w:ind w:left="180" w:hanging="150"/>
        <w:rPr>
          <w:rFonts w:ascii="宋体" w:eastAsia="宋体" w:hAnsi="宋体" w:cs="宋体"/>
          <w:sz w:val="16"/>
          <w:szCs w:val="16"/>
        </w:rPr>
      </w:pPr>
      <w:r>
        <w:rPr>
          <w:rFonts w:ascii="宋体" w:eastAsia="宋体" w:hAnsi="宋体" w:cs="宋体"/>
          <w:spacing w:val="-5"/>
          <w:sz w:val="16"/>
          <w:szCs w:val="16"/>
        </w:rPr>
        <w:t>vascular</w:t>
      </w:r>
      <w:r>
        <w:rPr>
          <w:rFonts w:ascii="宋体" w:eastAsia="宋体" w:hAnsi="宋体" w:cs="宋体"/>
          <w:spacing w:val="3"/>
          <w:sz w:val="16"/>
          <w:szCs w:val="16"/>
        </w:rPr>
        <w:t xml:space="preserve"> </w:t>
      </w:r>
      <w:r>
        <w:rPr>
          <w:rFonts w:ascii="宋体" w:eastAsia="宋体" w:hAnsi="宋体" w:cs="宋体"/>
          <w:spacing w:val="-5"/>
          <w:sz w:val="16"/>
          <w:szCs w:val="16"/>
        </w:rPr>
        <w:t>endothelial</w:t>
      </w:r>
      <w:r>
        <w:rPr>
          <w:rFonts w:ascii="宋体" w:eastAsia="宋体" w:hAnsi="宋体" w:cs="宋体"/>
          <w:spacing w:val="2"/>
          <w:sz w:val="16"/>
          <w:szCs w:val="16"/>
        </w:rPr>
        <w:t xml:space="preserve"> </w:t>
      </w:r>
      <w:r>
        <w:rPr>
          <w:rFonts w:ascii="宋体" w:eastAsia="宋体" w:hAnsi="宋体" w:cs="宋体"/>
          <w:spacing w:val="-5"/>
          <w:sz w:val="16"/>
          <w:szCs w:val="16"/>
        </w:rPr>
        <w:t>growth</w:t>
      </w:r>
      <w:r>
        <w:rPr>
          <w:rFonts w:ascii="宋体" w:eastAsia="宋体" w:hAnsi="宋体" w:cs="宋体"/>
          <w:spacing w:val="2"/>
          <w:sz w:val="16"/>
          <w:szCs w:val="16"/>
        </w:rPr>
        <w:t xml:space="preserve"> </w:t>
      </w:r>
      <w:r>
        <w:rPr>
          <w:rFonts w:ascii="宋体" w:eastAsia="宋体" w:hAnsi="宋体" w:cs="宋体"/>
          <w:spacing w:val="-5"/>
          <w:sz w:val="16"/>
          <w:szCs w:val="16"/>
        </w:rPr>
        <w:t>factor</w:t>
      </w:r>
      <w:r>
        <w:rPr>
          <w:rFonts w:ascii="宋体" w:eastAsia="宋体" w:hAnsi="宋体" w:cs="宋体"/>
          <w:spacing w:val="-6"/>
          <w:sz w:val="16"/>
          <w:szCs w:val="16"/>
        </w:rPr>
        <w:t>,VEGF</w:t>
      </w:r>
      <w:r>
        <w:rPr>
          <w:rFonts w:ascii="宋体" w:eastAsia="宋体" w:hAnsi="宋体" w:cs="宋体"/>
          <w:spacing w:val="67"/>
          <w:sz w:val="16"/>
          <w:szCs w:val="16"/>
        </w:rPr>
        <w:t xml:space="preserve"> </w:t>
      </w:r>
      <w:r>
        <w:rPr>
          <w:rFonts w:ascii="宋体" w:eastAsia="宋体" w:hAnsi="宋体" w:cs="宋体"/>
          <w:spacing w:val="-6"/>
          <w:sz w:val="16"/>
          <w:szCs w:val="16"/>
        </w:rPr>
        <w:t>血管内</w:t>
      </w:r>
      <w:r>
        <w:rPr>
          <w:rFonts w:ascii="宋体" w:eastAsia="宋体" w:hAnsi="宋体" w:cs="宋体"/>
          <w:sz w:val="16"/>
          <w:szCs w:val="16"/>
        </w:rPr>
        <w:t xml:space="preserve"> </w:t>
      </w:r>
      <w:r>
        <w:rPr>
          <w:rFonts w:ascii="宋体" w:eastAsia="宋体" w:hAnsi="宋体" w:cs="宋体"/>
          <w:spacing w:val="15"/>
          <w:sz w:val="16"/>
          <w:szCs w:val="16"/>
        </w:rPr>
        <w:t>皮(细胞)生长因子</w:t>
      </w:r>
    </w:p>
    <w:p w:rsidR="00EA40A3" w:rsidRDefault="00825D12">
      <w:pPr>
        <w:spacing w:before="86" w:line="263" w:lineRule="exact"/>
        <w:ind w:left="30"/>
        <w:rPr>
          <w:rFonts w:ascii="宋体" w:eastAsia="宋体" w:hAnsi="宋体" w:cs="宋体"/>
          <w:sz w:val="16"/>
          <w:szCs w:val="16"/>
        </w:rPr>
      </w:pPr>
      <w:r>
        <w:rPr>
          <w:noProof/>
        </w:rPr>
        <mc:AlternateContent>
          <mc:Choice Requires="wps">
            <w:drawing>
              <wp:anchor distT="0" distB="0" distL="114300" distR="114300" simplePos="0" relativeHeight="251729920" behindDoc="0" locked="0" layoutInCell="1" allowOverlap="1">
                <wp:simplePos x="0" y="0"/>
                <wp:positionH relativeFrom="column">
                  <wp:posOffset>1695450</wp:posOffset>
                </wp:positionH>
                <wp:positionV relativeFrom="paragraph">
                  <wp:posOffset>41910</wp:posOffset>
                </wp:positionV>
                <wp:extent cx="583565" cy="481965"/>
                <wp:effectExtent l="0" t="0" r="0" b="0"/>
                <wp:wrapNone/>
                <wp:docPr id="9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481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30"/>
                              <w:rPr>
                                <w:rFonts w:ascii="宋体" w:eastAsia="宋体" w:hAnsi="宋体" w:cs="宋体"/>
                                <w:sz w:val="16"/>
                                <w:szCs w:val="16"/>
                              </w:rPr>
                            </w:pPr>
                            <w:r>
                              <w:rPr>
                                <w:rFonts w:ascii="宋体" w:eastAsia="宋体" w:hAnsi="宋体" w:cs="宋体"/>
                                <w:spacing w:val="13"/>
                                <w:sz w:val="16"/>
                                <w:szCs w:val="16"/>
                              </w:rPr>
                              <w:t>血管平滑肌</w:t>
                            </w:r>
                          </w:p>
                          <w:p w:rsidR="00E86C16" w:rsidRDefault="00E86C16">
                            <w:pPr>
                              <w:spacing w:line="284" w:lineRule="auto"/>
                            </w:pPr>
                          </w:p>
                          <w:p w:rsidR="00E86C16" w:rsidRDefault="00E86C16">
                            <w:pPr>
                              <w:spacing w:before="52" w:line="220" w:lineRule="auto"/>
                              <w:ind w:left="20"/>
                              <w:rPr>
                                <w:rFonts w:ascii="宋体" w:eastAsia="宋体" w:hAnsi="宋体" w:cs="宋体"/>
                                <w:sz w:val="16"/>
                                <w:szCs w:val="16"/>
                              </w:rPr>
                            </w:pPr>
                            <w:r>
                              <w:rPr>
                                <w:rFonts w:ascii="宋体" w:eastAsia="宋体" w:hAnsi="宋体" w:cs="宋体"/>
                                <w:spacing w:val="15"/>
                                <w:sz w:val="16"/>
                                <w:szCs w:val="16"/>
                              </w:rPr>
                              <w:t>极低密度脂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77" type="#_x0000_t202" style="position:absolute;left:0;text-align:left;margin-left:133.5pt;margin-top:3.3pt;width:45.95pt;height:37.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ihsAIAALI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" filled="f" stroked="f">
                <v:textbox inset="0,0,0,0">
                  <w:txbxContent>
                    <w:p w:rsidR="00E86C16" w:rsidRDefault="00E86C16">
                      <w:pPr>
                        <w:spacing w:before="20" w:line="219" w:lineRule="auto"/>
                        <w:ind w:left="30"/>
                        <w:rPr>
                          <w:rFonts w:ascii="宋体" w:eastAsia="宋体" w:hAnsi="宋体" w:cs="宋体"/>
                          <w:sz w:val="16"/>
                          <w:szCs w:val="16"/>
                        </w:rPr>
                      </w:pPr>
                      <w:r>
                        <w:rPr>
                          <w:rFonts w:ascii="宋体" w:eastAsia="宋体" w:hAnsi="宋体" w:cs="宋体"/>
                          <w:spacing w:val="13"/>
                          <w:sz w:val="16"/>
                          <w:szCs w:val="16"/>
                        </w:rPr>
                        <w:t>血管平滑肌</w:t>
                      </w:r>
                    </w:p>
                    <w:p w:rsidR="00E86C16" w:rsidRDefault="00E86C16">
                      <w:pPr>
                        <w:spacing w:line="284" w:lineRule="auto"/>
                      </w:pPr>
                    </w:p>
                    <w:p w:rsidR="00E86C16" w:rsidRDefault="00E86C16">
                      <w:pPr>
                        <w:spacing w:before="52" w:line="220" w:lineRule="auto"/>
                        <w:ind w:left="20"/>
                        <w:rPr>
                          <w:rFonts w:ascii="宋体" w:eastAsia="宋体" w:hAnsi="宋体" w:cs="宋体"/>
                          <w:sz w:val="16"/>
                          <w:szCs w:val="16"/>
                        </w:rPr>
                      </w:pPr>
                      <w:r>
                        <w:rPr>
                          <w:rFonts w:ascii="宋体" w:eastAsia="宋体" w:hAnsi="宋体" w:cs="宋体"/>
                          <w:spacing w:val="15"/>
                          <w:sz w:val="16"/>
                          <w:szCs w:val="16"/>
                        </w:rPr>
                        <w:t>极低密度脂</w:t>
                      </w:r>
                    </w:p>
                  </w:txbxContent>
                </v:textbox>
              </v:shape>
            </w:pict>
          </mc:Fallback>
        </mc:AlternateContent>
      </w:r>
      <w:r w:rsidR="00E86C16">
        <w:rPr>
          <w:rFonts w:ascii="宋体" w:eastAsia="宋体" w:hAnsi="宋体" w:cs="宋体"/>
          <w:spacing w:val="-3"/>
          <w:position w:val="8"/>
          <w:sz w:val="16"/>
          <w:szCs w:val="16"/>
        </w:rPr>
        <w:t>vascular</w:t>
      </w:r>
      <w:r w:rsidR="00E86C16">
        <w:rPr>
          <w:rFonts w:ascii="宋体" w:eastAsia="宋体" w:hAnsi="宋体" w:cs="宋体"/>
          <w:spacing w:val="16"/>
          <w:position w:val="8"/>
          <w:sz w:val="16"/>
          <w:szCs w:val="16"/>
        </w:rPr>
        <w:t xml:space="preserve"> </w:t>
      </w:r>
      <w:r w:rsidR="00E86C16">
        <w:rPr>
          <w:rFonts w:ascii="宋体" w:eastAsia="宋体" w:hAnsi="宋体" w:cs="宋体"/>
          <w:spacing w:val="-3"/>
          <w:position w:val="8"/>
          <w:sz w:val="16"/>
          <w:szCs w:val="16"/>
        </w:rPr>
        <w:t>smooth</w:t>
      </w:r>
      <w:r w:rsidR="00E86C16">
        <w:rPr>
          <w:rFonts w:ascii="宋体" w:eastAsia="宋体" w:hAnsi="宋体" w:cs="宋体"/>
          <w:position w:val="8"/>
          <w:sz w:val="16"/>
          <w:szCs w:val="16"/>
        </w:rPr>
        <w:t xml:space="preserve"> </w:t>
      </w:r>
      <w:r w:rsidR="00E86C16">
        <w:rPr>
          <w:rFonts w:ascii="宋体" w:eastAsia="宋体" w:hAnsi="宋体" w:cs="宋体"/>
          <w:spacing w:val="-3"/>
          <w:position w:val="8"/>
          <w:sz w:val="16"/>
          <w:szCs w:val="16"/>
        </w:rPr>
        <w:t>muscle</w:t>
      </w:r>
      <w:r w:rsidR="00E86C16">
        <w:rPr>
          <w:rFonts w:ascii="宋体" w:eastAsia="宋体" w:hAnsi="宋体" w:cs="宋体"/>
          <w:spacing w:val="8"/>
          <w:position w:val="8"/>
          <w:sz w:val="16"/>
          <w:szCs w:val="16"/>
        </w:rPr>
        <w:t xml:space="preserve"> </w:t>
      </w:r>
      <w:r w:rsidR="00E86C16">
        <w:rPr>
          <w:rFonts w:ascii="宋体" w:eastAsia="宋体" w:hAnsi="宋体" w:cs="宋体"/>
          <w:spacing w:val="-3"/>
          <w:position w:val="8"/>
          <w:sz w:val="16"/>
          <w:szCs w:val="16"/>
        </w:rPr>
        <w:t>cell,VSMC</w:t>
      </w:r>
    </w:p>
    <w:p w:rsidR="00EA40A3" w:rsidRDefault="00E86C16">
      <w:pPr>
        <w:spacing w:line="220" w:lineRule="auto"/>
        <w:ind w:left="180"/>
        <w:rPr>
          <w:rFonts w:ascii="宋体" w:eastAsia="宋体" w:hAnsi="宋体" w:cs="宋体"/>
          <w:sz w:val="16"/>
          <w:szCs w:val="16"/>
        </w:rPr>
      </w:pPr>
      <w:r>
        <w:rPr>
          <w:rFonts w:ascii="宋体" w:eastAsia="宋体" w:hAnsi="宋体" w:cs="宋体"/>
          <w:spacing w:val="8"/>
          <w:sz w:val="16"/>
          <w:szCs w:val="16"/>
        </w:rPr>
        <w:t>细胞</w:t>
      </w:r>
    </w:p>
    <w:p w:rsidR="00EA40A3" w:rsidRDefault="00E86C16">
      <w:pPr>
        <w:spacing w:before="75" w:line="214" w:lineRule="auto"/>
        <w:ind w:left="30"/>
        <w:rPr>
          <w:rFonts w:ascii="宋体" w:eastAsia="宋体" w:hAnsi="宋体" w:cs="宋体"/>
          <w:sz w:val="16"/>
          <w:szCs w:val="16"/>
        </w:rPr>
      </w:pPr>
      <w:r>
        <w:rPr>
          <w:rFonts w:ascii="宋体" w:eastAsia="宋体" w:hAnsi="宋体" w:cs="宋体"/>
          <w:spacing w:val="-6"/>
          <w:sz w:val="16"/>
          <w:szCs w:val="16"/>
        </w:rPr>
        <w:t>very</w:t>
      </w:r>
      <w:r>
        <w:rPr>
          <w:rFonts w:ascii="宋体" w:eastAsia="宋体" w:hAnsi="宋体" w:cs="宋体"/>
          <w:spacing w:val="23"/>
          <w:sz w:val="16"/>
          <w:szCs w:val="16"/>
        </w:rPr>
        <w:t xml:space="preserve"> </w:t>
      </w:r>
      <w:r>
        <w:rPr>
          <w:rFonts w:ascii="宋体" w:eastAsia="宋体" w:hAnsi="宋体" w:cs="宋体"/>
          <w:spacing w:val="-6"/>
          <w:sz w:val="16"/>
          <w:szCs w:val="16"/>
        </w:rPr>
        <w:t>low</w:t>
      </w:r>
      <w:r>
        <w:rPr>
          <w:rFonts w:ascii="宋体" w:eastAsia="宋体" w:hAnsi="宋体" w:cs="宋体"/>
          <w:spacing w:val="5"/>
          <w:sz w:val="16"/>
          <w:szCs w:val="16"/>
        </w:rPr>
        <w:t xml:space="preserve"> </w:t>
      </w:r>
      <w:r>
        <w:rPr>
          <w:rFonts w:ascii="宋体" w:eastAsia="宋体" w:hAnsi="宋体" w:cs="宋体"/>
          <w:spacing w:val="-6"/>
          <w:sz w:val="16"/>
          <w:szCs w:val="16"/>
        </w:rPr>
        <w:t>density</w:t>
      </w:r>
      <w:r>
        <w:rPr>
          <w:rFonts w:ascii="宋体" w:eastAsia="宋体" w:hAnsi="宋体" w:cs="宋体"/>
          <w:spacing w:val="10"/>
          <w:sz w:val="16"/>
          <w:szCs w:val="16"/>
        </w:rPr>
        <w:t xml:space="preserve"> </w:t>
      </w:r>
      <w:r>
        <w:rPr>
          <w:rFonts w:ascii="宋体" w:eastAsia="宋体" w:hAnsi="宋体" w:cs="宋体"/>
          <w:spacing w:val="-6"/>
          <w:sz w:val="16"/>
          <w:szCs w:val="16"/>
        </w:rPr>
        <w:t>lipoprotein,VLDL</w:t>
      </w:r>
    </w:p>
    <w:p w:rsidR="00EA40A3" w:rsidRDefault="00E86C16">
      <w:pPr>
        <w:spacing w:before="83" w:line="220" w:lineRule="auto"/>
        <w:ind w:left="180"/>
        <w:rPr>
          <w:rFonts w:ascii="宋体" w:eastAsia="宋体" w:hAnsi="宋体" w:cs="宋体"/>
          <w:sz w:val="16"/>
          <w:szCs w:val="16"/>
        </w:rPr>
      </w:pPr>
      <w:r>
        <w:rPr>
          <w:rFonts w:ascii="宋体" w:eastAsia="宋体" w:hAnsi="宋体" w:cs="宋体"/>
          <w:spacing w:val="-3"/>
          <w:sz w:val="16"/>
          <w:szCs w:val="16"/>
        </w:rPr>
        <w:t>蛋白</w:t>
      </w:r>
    </w:p>
    <w:p w:rsidR="00EA40A3" w:rsidRDefault="00E86C16">
      <w:pPr>
        <w:spacing w:before="69" w:line="252" w:lineRule="auto"/>
        <w:ind w:left="30" w:right="180"/>
        <w:rPr>
          <w:rFonts w:ascii="宋体" w:eastAsia="宋体" w:hAnsi="宋体" w:cs="宋体"/>
          <w:sz w:val="16"/>
          <w:szCs w:val="16"/>
        </w:rPr>
      </w:pPr>
      <w:r>
        <w:rPr>
          <w:rFonts w:ascii="宋体" w:eastAsia="宋体" w:hAnsi="宋体" w:cs="宋体"/>
          <w:spacing w:val="-8"/>
          <w:sz w:val="16"/>
          <w:szCs w:val="16"/>
        </w:rPr>
        <w:t>vesicular</w:t>
      </w:r>
      <w:r>
        <w:rPr>
          <w:rFonts w:ascii="宋体" w:eastAsia="宋体" w:hAnsi="宋体" w:cs="宋体"/>
          <w:spacing w:val="8"/>
          <w:sz w:val="16"/>
          <w:szCs w:val="16"/>
        </w:rPr>
        <w:t xml:space="preserve"> </w:t>
      </w:r>
      <w:r>
        <w:rPr>
          <w:rFonts w:ascii="宋体" w:eastAsia="宋体" w:hAnsi="宋体" w:cs="宋体"/>
          <w:spacing w:val="-8"/>
          <w:sz w:val="16"/>
          <w:szCs w:val="16"/>
        </w:rPr>
        <w:t>stomatitis</w:t>
      </w:r>
      <w:r>
        <w:rPr>
          <w:rFonts w:ascii="宋体" w:eastAsia="宋体" w:hAnsi="宋体" w:cs="宋体"/>
          <w:spacing w:val="-4"/>
          <w:sz w:val="16"/>
          <w:szCs w:val="16"/>
        </w:rPr>
        <w:t xml:space="preserve"> </w:t>
      </w:r>
      <w:r>
        <w:rPr>
          <w:rFonts w:ascii="宋体" w:eastAsia="宋体" w:hAnsi="宋体" w:cs="宋体"/>
          <w:spacing w:val="-8"/>
          <w:sz w:val="16"/>
          <w:szCs w:val="16"/>
        </w:rPr>
        <w:t>virus,VSV</w:t>
      </w:r>
      <w:r>
        <w:rPr>
          <w:rFonts w:ascii="宋体" w:eastAsia="宋体" w:hAnsi="宋体" w:cs="宋体"/>
          <w:spacing w:val="46"/>
          <w:w w:val="101"/>
          <w:sz w:val="16"/>
          <w:szCs w:val="16"/>
        </w:rPr>
        <w:t xml:space="preserve"> </w:t>
      </w:r>
      <w:r>
        <w:rPr>
          <w:rFonts w:ascii="宋体" w:eastAsia="宋体" w:hAnsi="宋体" w:cs="宋体"/>
          <w:spacing w:val="-8"/>
          <w:sz w:val="16"/>
          <w:szCs w:val="16"/>
        </w:rPr>
        <w:t>水疱性口炎病毒</w:t>
      </w:r>
      <w:r>
        <w:rPr>
          <w:rFonts w:ascii="宋体" w:eastAsia="宋体" w:hAnsi="宋体" w:cs="宋体"/>
          <w:sz w:val="16"/>
          <w:szCs w:val="16"/>
        </w:rPr>
        <w:t xml:space="preserve"> </w:t>
      </w:r>
      <w:r>
        <w:rPr>
          <w:rFonts w:ascii="宋体" w:eastAsia="宋体" w:hAnsi="宋体" w:cs="宋体"/>
          <w:spacing w:val="-3"/>
          <w:sz w:val="16"/>
          <w:szCs w:val="16"/>
        </w:rPr>
        <w:t>vitamin</w:t>
      </w:r>
      <w:r>
        <w:rPr>
          <w:rFonts w:ascii="宋体" w:eastAsia="宋体" w:hAnsi="宋体" w:cs="宋体"/>
          <w:spacing w:val="19"/>
          <w:sz w:val="16"/>
          <w:szCs w:val="16"/>
        </w:rPr>
        <w:t xml:space="preserve"> </w:t>
      </w:r>
      <w:r>
        <w:rPr>
          <w:rFonts w:ascii="宋体" w:eastAsia="宋体" w:hAnsi="宋体" w:cs="宋体"/>
          <w:spacing w:val="-3"/>
          <w:sz w:val="16"/>
          <w:szCs w:val="16"/>
        </w:rPr>
        <w:t>D</w:t>
      </w:r>
      <w:r>
        <w:rPr>
          <w:rFonts w:ascii="宋体" w:eastAsia="宋体" w:hAnsi="宋体" w:cs="宋体"/>
          <w:spacing w:val="4"/>
          <w:sz w:val="16"/>
          <w:szCs w:val="16"/>
        </w:rPr>
        <w:t xml:space="preserve"> </w:t>
      </w:r>
      <w:r>
        <w:rPr>
          <w:rFonts w:ascii="宋体" w:eastAsia="宋体" w:hAnsi="宋体" w:cs="宋体"/>
          <w:spacing w:val="-3"/>
          <w:sz w:val="16"/>
          <w:szCs w:val="16"/>
        </w:rPr>
        <w:t>receptor,VDR</w:t>
      </w:r>
      <w:r>
        <w:rPr>
          <w:rFonts w:ascii="宋体" w:eastAsia="宋体" w:hAnsi="宋体" w:cs="宋体"/>
          <w:spacing w:val="47"/>
          <w:sz w:val="16"/>
          <w:szCs w:val="16"/>
        </w:rPr>
        <w:t xml:space="preserve"> </w:t>
      </w:r>
      <w:r>
        <w:rPr>
          <w:rFonts w:ascii="宋体" w:eastAsia="宋体" w:hAnsi="宋体" w:cs="宋体"/>
          <w:spacing w:val="-3"/>
          <w:sz w:val="16"/>
          <w:szCs w:val="16"/>
        </w:rPr>
        <w:t>维生素</w:t>
      </w:r>
      <w:r>
        <w:rPr>
          <w:rFonts w:ascii="宋体" w:eastAsia="宋体" w:hAnsi="宋体" w:cs="宋体"/>
          <w:spacing w:val="-41"/>
          <w:sz w:val="16"/>
          <w:szCs w:val="16"/>
        </w:rPr>
        <w:t xml:space="preserve"> </w:t>
      </w:r>
      <w:r>
        <w:rPr>
          <w:rFonts w:ascii="宋体" w:eastAsia="宋体" w:hAnsi="宋体" w:cs="宋体"/>
          <w:spacing w:val="-3"/>
          <w:sz w:val="16"/>
          <w:szCs w:val="16"/>
        </w:rPr>
        <w:t>D</w:t>
      </w:r>
      <w:r>
        <w:rPr>
          <w:rFonts w:ascii="宋体" w:eastAsia="宋体" w:hAnsi="宋体" w:cs="宋体"/>
          <w:spacing w:val="-7"/>
          <w:sz w:val="16"/>
          <w:szCs w:val="16"/>
        </w:rPr>
        <w:t xml:space="preserve"> </w:t>
      </w:r>
      <w:r>
        <w:rPr>
          <w:rFonts w:ascii="宋体" w:eastAsia="宋体" w:hAnsi="宋体" w:cs="宋体"/>
          <w:spacing w:val="-3"/>
          <w:sz w:val="16"/>
          <w:szCs w:val="16"/>
        </w:rPr>
        <w:t>受体</w:t>
      </w:r>
    </w:p>
    <w:p w:rsidR="00EA40A3" w:rsidRDefault="00E86C16">
      <w:pPr>
        <w:spacing w:before="79" w:line="219" w:lineRule="auto"/>
        <w:ind w:left="30"/>
        <w:rPr>
          <w:rFonts w:ascii="宋体" w:eastAsia="宋体" w:hAnsi="宋体" w:cs="宋体"/>
          <w:sz w:val="16"/>
          <w:szCs w:val="16"/>
        </w:rPr>
      </w:pPr>
      <w:r>
        <w:rPr>
          <w:rFonts w:ascii="宋体" w:eastAsia="宋体" w:hAnsi="宋体" w:cs="宋体"/>
          <w:spacing w:val="-12"/>
          <w:sz w:val="16"/>
          <w:szCs w:val="16"/>
        </w:rPr>
        <w:t>vitaminization</w:t>
      </w:r>
      <w:r>
        <w:rPr>
          <w:rFonts w:ascii="宋体" w:eastAsia="宋体" w:hAnsi="宋体" w:cs="宋体"/>
          <w:spacing w:val="58"/>
          <w:sz w:val="16"/>
          <w:szCs w:val="16"/>
        </w:rPr>
        <w:t xml:space="preserve"> </w:t>
      </w:r>
      <w:r>
        <w:rPr>
          <w:rFonts w:ascii="宋体" w:eastAsia="宋体" w:hAnsi="宋体" w:cs="宋体"/>
          <w:spacing w:val="-12"/>
          <w:sz w:val="16"/>
          <w:szCs w:val="16"/>
        </w:rPr>
        <w:t>维生素化</w:t>
      </w:r>
    </w:p>
    <w:p w:rsidR="00EA40A3" w:rsidRDefault="00E86C16">
      <w:pPr>
        <w:spacing w:before="86" w:line="263" w:lineRule="auto"/>
        <w:ind w:left="30" w:right="108"/>
        <w:rPr>
          <w:rFonts w:ascii="宋体" w:eastAsia="宋体" w:hAnsi="宋体" w:cs="宋体"/>
          <w:sz w:val="16"/>
          <w:szCs w:val="16"/>
        </w:rPr>
      </w:pPr>
      <w:r>
        <w:rPr>
          <w:rFonts w:ascii="宋体" w:eastAsia="宋体" w:hAnsi="宋体" w:cs="宋体"/>
          <w:spacing w:val="-1"/>
          <w:sz w:val="16"/>
          <w:szCs w:val="16"/>
        </w:rPr>
        <w:t>World</w:t>
      </w:r>
      <w:r>
        <w:rPr>
          <w:rFonts w:ascii="宋体" w:eastAsia="宋体" w:hAnsi="宋体" w:cs="宋体"/>
          <w:spacing w:val="41"/>
          <w:sz w:val="16"/>
          <w:szCs w:val="16"/>
        </w:rPr>
        <w:t xml:space="preserve"> </w:t>
      </w:r>
      <w:r>
        <w:rPr>
          <w:rFonts w:ascii="宋体" w:eastAsia="宋体" w:hAnsi="宋体" w:cs="宋体"/>
          <w:spacing w:val="-1"/>
          <w:sz w:val="16"/>
          <w:szCs w:val="16"/>
        </w:rPr>
        <w:t>Health</w:t>
      </w:r>
      <w:r>
        <w:rPr>
          <w:rFonts w:ascii="宋体" w:eastAsia="宋体" w:hAnsi="宋体" w:cs="宋体"/>
          <w:spacing w:val="29"/>
          <w:sz w:val="16"/>
          <w:szCs w:val="16"/>
        </w:rPr>
        <w:t xml:space="preserve"> </w:t>
      </w:r>
      <w:r>
        <w:rPr>
          <w:rFonts w:ascii="宋体" w:eastAsia="宋体" w:hAnsi="宋体" w:cs="宋体"/>
          <w:spacing w:val="-1"/>
          <w:sz w:val="16"/>
          <w:szCs w:val="16"/>
        </w:rPr>
        <w:t>Organization,WHO</w:t>
      </w:r>
      <w:r>
        <w:rPr>
          <w:rFonts w:ascii="宋体" w:eastAsia="宋体" w:hAnsi="宋体" w:cs="宋体"/>
          <w:spacing w:val="45"/>
          <w:sz w:val="16"/>
          <w:szCs w:val="16"/>
        </w:rPr>
        <w:t xml:space="preserve"> </w:t>
      </w:r>
      <w:r>
        <w:rPr>
          <w:rFonts w:ascii="宋体" w:eastAsia="宋体" w:hAnsi="宋体" w:cs="宋体"/>
          <w:spacing w:val="-1"/>
          <w:sz w:val="16"/>
          <w:szCs w:val="16"/>
        </w:rPr>
        <w:t>世界卫生组织</w:t>
      </w:r>
      <w:r>
        <w:rPr>
          <w:rFonts w:ascii="宋体" w:eastAsia="宋体" w:hAnsi="宋体" w:cs="宋体"/>
          <w:sz w:val="16"/>
          <w:szCs w:val="16"/>
        </w:rPr>
        <w:t xml:space="preserve"> </w:t>
      </w:r>
      <w:r>
        <w:rPr>
          <w:rFonts w:ascii="宋体" w:eastAsia="宋体" w:hAnsi="宋体" w:cs="宋体"/>
          <w:spacing w:val="-7"/>
          <w:sz w:val="16"/>
          <w:szCs w:val="16"/>
        </w:rPr>
        <w:t>xerophthalmia</w:t>
      </w:r>
      <w:r>
        <w:rPr>
          <w:rFonts w:ascii="宋体" w:eastAsia="宋体" w:hAnsi="宋体" w:cs="宋体"/>
          <w:spacing w:val="67"/>
          <w:sz w:val="16"/>
          <w:szCs w:val="16"/>
        </w:rPr>
        <w:t xml:space="preserve"> </w:t>
      </w:r>
      <w:r>
        <w:rPr>
          <w:rFonts w:ascii="宋体" w:eastAsia="宋体" w:hAnsi="宋体" w:cs="宋体"/>
          <w:spacing w:val="-7"/>
          <w:sz w:val="16"/>
          <w:szCs w:val="16"/>
        </w:rPr>
        <w:t>干眼病</w:t>
      </w:r>
    </w:p>
    <w:p w:rsidR="00EA40A3" w:rsidRDefault="00E86C16">
      <w:pPr>
        <w:spacing w:before="73" w:line="260" w:lineRule="exact"/>
        <w:ind w:left="30"/>
        <w:rPr>
          <w:rFonts w:ascii="宋体" w:eastAsia="宋体" w:hAnsi="宋体" w:cs="宋体"/>
          <w:sz w:val="16"/>
          <w:szCs w:val="16"/>
        </w:rPr>
      </w:pPr>
      <w:r>
        <w:rPr>
          <w:rFonts w:ascii="宋体" w:eastAsia="宋体" w:hAnsi="宋体" w:cs="宋体"/>
          <w:spacing w:val="-12"/>
          <w:position w:val="7"/>
          <w:sz w:val="16"/>
          <w:szCs w:val="16"/>
        </w:rPr>
        <w:t>xylooligosaccharide</w:t>
      </w:r>
      <w:r>
        <w:rPr>
          <w:rFonts w:ascii="宋体" w:eastAsia="宋体" w:hAnsi="宋体" w:cs="宋体"/>
          <w:spacing w:val="70"/>
          <w:position w:val="7"/>
          <w:sz w:val="16"/>
          <w:szCs w:val="16"/>
        </w:rPr>
        <w:t xml:space="preserve"> </w:t>
      </w:r>
      <w:r>
        <w:rPr>
          <w:rFonts w:ascii="宋体" w:eastAsia="宋体" w:hAnsi="宋体" w:cs="宋体"/>
          <w:spacing w:val="-12"/>
          <w:position w:val="7"/>
          <w:sz w:val="16"/>
          <w:szCs w:val="16"/>
        </w:rPr>
        <w:t>低聚木糖</w:t>
      </w:r>
    </w:p>
    <w:p w:rsidR="00EA40A3" w:rsidRDefault="00E86C16">
      <w:pPr>
        <w:spacing w:before="1" w:line="213" w:lineRule="auto"/>
        <w:ind w:left="30"/>
        <w:rPr>
          <w:rFonts w:ascii="宋体" w:eastAsia="宋体" w:hAnsi="宋体" w:cs="宋体"/>
          <w:sz w:val="16"/>
          <w:szCs w:val="16"/>
        </w:rPr>
      </w:pPr>
      <w:r>
        <w:rPr>
          <w:rFonts w:ascii="宋体" w:eastAsia="宋体" w:hAnsi="宋体" w:cs="宋体"/>
          <w:spacing w:val="-9"/>
          <w:sz w:val="16"/>
          <w:szCs w:val="16"/>
        </w:rPr>
        <w:t>young</w:t>
      </w:r>
      <w:r>
        <w:rPr>
          <w:rFonts w:ascii="宋体" w:eastAsia="宋体" w:hAnsi="宋体" w:cs="宋体"/>
          <w:spacing w:val="5"/>
          <w:sz w:val="16"/>
          <w:szCs w:val="16"/>
        </w:rPr>
        <w:t xml:space="preserve"> </w:t>
      </w:r>
      <w:r>
        <w:rPr>
          <w:rFonts w:ascii="宋体" w:eastAsia="宋体" w:hAnsi="宋体" w:cs="宋体"/>
          <w:spacing w:val="-9"/>
          <w:sz w:val="16"/>
          <w:szCs w:val="16"/>
        </w:rPr>
        <w:t>children</w:t>
      </w:r>
      <w:r>
        <w:rPr>
          <w:rFonts w:ascii="宋体" w:eastAsia="宋体" w:hAnsi="宋体" w:cs="宋体"/>
          <w:spacing w:val="55"/>
          <w:w w:val="101"/>
          <w:sz w:val="16"/>
          <w:szCs w:val="16"/>
        </w:rPr>
        <w:t xml:space="preserve"> </w:t>
      </w:r>
      <w:r>
        <w:rPr>
          <w:rFonts w:ascii="宋体" w:eastAsia="宋体" w:hAnsi="宋体" w:cs="宋体"/>
          <w:spacing w:val="-9"/>
          <w:sz w:val="16"/>
          <w:szCs w:val="16"/>
        </w:rPr>
        <w:t>幼儿</w:t>
      </w:r>
    </w:p>
    <w:p w:rsidR="00EA40A3" w:rsidRDefault="00E86C16">
      <w:pPr>
        <w:spacing w:before="85" w:line="260" w:lineRule="exact"/>
        <w:ind w:left="30"/>
        <w:rPr>
          <w:rFonts w:ascii="宋体" w:eastAsia="宋体" w:hAnsi="宋体" w:cs="宋体"/>
          <w:sz w:val="16"/>
          <w:szCs w:val="16"/>
        </w:rPr>
      </w:pPr>
      <w:r>
        <w:rPr>
          <w:rFonts w:ascii="宋体" w:eastAsia="宋体" w:hAnsi="宋体" w:cs="宋体"/>
          <w:spacing w:val="-10"/>
          <w:position w:val="7"/>
          <w:sz w:val="16"/>
          <w:szCs w:val="16"/>
        </w:rPr>
        <w:t>zero</w:t>
      </w:r>
      <w:r>
        <w:rPr>
          <w:rFonts w:ascii="宋体" w:eastAsia="宋体" w:hAnsi="宋体" w:cs="宋体"/>
          <w:spacing w:val="-8"/>
          <w:position w:val="7"/>
          <w:sz w:val="16"/>
          <w:szCs w:val="16"/>
        </w:rPr>
        <w:t xml:space="preserve"> </w:t>
      </w:r>
      <w:r>
        <w:rPr>
          <w:rFonts w:ascii="宋体" w:eastAsia="宋体" w:hAnsi="宋体" w:cs="宋体"/>
          <w:spacing w:val="-10"/>
          <w:position w:val="7"/>
          <w:sz w:val="16"/>
          <w:szCs w:val="16"/>
        </w:rPr>
        <w:t>nitrogen</w:t>
      </w:r>
      <w:r>
        <w:rPr>
          <w:rFonts w:ascii="宋体" w:eastAsia="宋体" w:hAnsi="宋体" w:cs="宋体"/>
          <w:spacing w:val="-9"/>
          <w:position w:val="7"/>
          <w:sz w:val="16"/>
          <w:szCs w:val="16"/>
        </w:rPr>
        <w:t xml:space="preserve"> </w:t>
      </w:r>
      <w:r>
        <w:rPr>
          <w:rFonts w:ascii="宋体" w:eastAsia="宋体" w:hAnsi="宋体" w:cs="宋体"/>
          <w:spacing w:val="-10"/>
          <w:position w:val="7"/>
          <w:sz w:val="16"/>
          <w:szCs w:val="16"/>
        </w:rPr>
        <w:t>balance</w:t>
      </w:r>
      <w:r>
        <w:rPr>
          <w:rFonts w:ascii="宋体" w:eastAsia="宋体" w:hAnsi="宋体" w:cs="宋体"/>
          <w:spacing w:val="42"/>
          <w:w w:val="101"/>
          <w:position w:val="7"/>
          <w:sz w:val="16"/>
          <w:szCs w:val="16"/>
        </w:rPr>
        <w:t xml:space="preserve"> </w:t>
      </w:r>
      <w:r>
        <w:rPr>
          <w:rFonts w:ascii="宋体" w:eastAsia="宋体" w:hAnsi="宋体" w:cs="宋体"/>
          <w:spacing w:val="-10"/>
          <w:position w:val="7"/>
          <w:sz w:val="16"/>
          <w:szCs w:val="16"/>
        </w:rPr>
        <w:t>零氮平衡</w:t>
      </w:r>
    </w:p>
    <w:p w:rsidR="00EA40A3" w:rsidRDefault="00E86C16">
      <w:pPr>
        <w:spacing w:line="215" w:lineRule="auto"/>
        <w:ind w:left="30"/>
        <w:rPr>
          <w:rFonts w:ascii="宋体" w:eastAsia="宋体" w:hAnsi="宋体" w:cs="宋体"/>
          <w:sz w:val="16"/>
          <w:szCs w:val="16"/>
        </w:rPr>
      </w:pPr>
      <w:r>
        <w:rPr>
          <w:rFonts w:ascii="宋体" w:eastAsia="宋体" w:hAnsi="宋体" w:cs="宋体"/>
          <w:spacing w:val="-14"/>
          <w:sz w:val="16"/>
          <w:szCs w:val="16"/>
        </w:rPr>
        <w:t>zinc</w:t>
      </w:r>
      <w:r>
        <w:rPr>
          <w:rFonts w:ascii="宋体" w:eastAsia="宋体" w:hAnsi="宋体" w:cs="宋体"/>
          <w:spacing w:val="-9"/>
          <w:sz w:val="16"/>
          <w:szCs w:val="16"/>
        </w:rPr>
        <w:t xml:space="preserve"> </w:t>
      </w:r>
      <w:r>
        <w:rPr>
          <w:rFonts w:ascii="宋体" w:eastAsia="宋体" w:hAnsi="宋体" w:cs="宋体"/>
          <w:spacing w:val="-14"/>
          <w:sz w:val="16"/>
          <w:szCs w:val="16"/>
        </w:rPr>
        <w:t>deficiency</w:t>
      </w:r>
      <w:r>
        <w:rPr>
          <w:rFonts w:ascii="宋体" w:eastAsia="宋体" w:hAnsi="宋体" w:cs="宋体"/>
          <w:spacing w:val="55"/>
          <w:sz w:val="16"/>
          <w:szCs w:val="16"/>
        </w:rPr>
        <w:t xml:space="preserve"> </w:t>
      </w:r>
      <w:r>
        <w:rPr>
          <w:rFonts w:ascii="宋体" w:eastAsia="宋体" w:hAnsi="宋体" w:cs="宋体"/>
          <w:spacing w:val="-14"/>
          <w:sz w:val="16"/>
          <w:szCs w:val="16"/>
        </w:rPr>
        <w:t>锌缺乏征</w:t>
      </w:r>
    </w:p>
    <w:p w:rsidR="00EA40A3" w:rsidRDefault="00E86C16">
      <w:pPr>
        <w:spacing w:before="70" w:line="220" w:lineRule="auto"/>
        <w:ind w:left="10"/>
        <w:rPr>
          <w:rFonts w:ascii="宋体" w:eastAsia="宋体" w:hAnsi="宋体" w:cs="宋体"/>
          <w:sz w:val="16"/>
          <w:szCs w:val="16"/>
        </w:rPr>
      </w:pPr>
      <w:r>
        <w:rPr>
          <w:rFonts w:ascii="宋体" w:eastAsia="宋体" w:hAnsi="宋体" w:cs="宋体"/>
          <w:spacing w:val="-7"/>
          <w:sz w:val="16"/>
          <w:szCs w:val="16"/>
        </w:rPr>
        <w:t>Zinc</w:t>
      </w:r>
      <w:r>
        <w:rPr>
          <w:rFonts w:ascii="宋体" w:eastAsia="宋体" w:hAnsi="宋体" w:cs="宋体"/>
          <w:spacing w:val="53"/>
          <w:w w:val="101"/>
          <w:sz w:val="16"/>
          <w:szCs w:val="16"/>
        </w:rPr>
        <w:t xml:space="preserve"> </w:t>
      </w:r>
      <w:r>
        <w:rPr>
          <w:rFonts w:ascii="宋体" w:eastAsia="宋体" w:hAnsi="宋体" w:cs="宋体"/>
          <w:spacing w:val="-7"/>
          <w:sz w:val="16"/>
          <w:szCs w:val="16"/>
        </w:rPr>
        <w:t>锌</w:t>
      </w:r>
    </w:p>
    <w:p w:rsidR="00EA40A3" w:rsidRDefault="00E86C16">
      <w:pPr>
        <w:spacing w:before="75" w:line="221" w:lineRule="auto"/>
        <w:ind w:left="30"/>
        <w:rPr>
          <w:rFonts w:ascii="宋体" w:eastAsia="宋体" w:hAnsi="宋体" w:cs="宋体"/>
          <w:sz w:val="16"/>
          <w:szCs w:val="16"/>
        </w:rPr>
      </w:pPr>
      <w:r>
        <w:rPr>
          <w:rFonts w:ascii="宋体" w:eastAsia="宋体" w:hAnsi="宋体" w:cs="宋体"/>
          <w:spacing w:val="-21"/>
          <w:sz w:val="16"/>
          <w:szCs w:val="16"/>
        </w:rPr>
        <w:t>a-linolenic</w:t>
      </w:r>
      <w:r>
        <w:rPr>
          <w:rFonts w:ascii="宋体" w:eastAsia="宋体" w:hAnsi="宋体" w:cs="宋体"/>
          <w:spacing w:val="-2"/>
          <w:sz w:val="16"/>
          <w:szCs w:val="16"/>
        </w:rPr>
        <w:t xml:space="preserve"> </w:t>
      </w:r>
      <w:r>
        <w:rPr>
          <w:rFonts w:ascii="宋体" w:eastAsia="宋体" w:hAnsi="宋体" w:cs="宋体"/>
          <w:spacing w:val="-21"/>
          <w:sz w:val="16"/>
          <w:szCs w:val="16"/>
        </w:rPr>
        <w:t>acid</w:t>
      </w:r>
      <w:r>
        <w:rPr>
          <w:rFonts w:ascii="宋体" w:eastAsia="宋体" w:hAnsi="宋体" w:cs="宋体"/>
          <w:spacing w:val="77"/>
          <w:sz w:val="16"/>
          <w:szCs w:val="16"/>
        </w:rPr>
        <w:t xml:space="preserve"> </w:t>
      </w:r>
      <w:r>
        <w:rPr>
          <w:rFonts w:ascii="宋体" w:eastAsia="宋体" w:hAnsi="宋体" w:cs="宋体"/>
          <w:spacing w:val="-21"/>
          <w:sz w:val="16"/>
          <w:szCs w:val="16"/>
        </w:rPr>
        <w:t>α-亚麻酸</w:t>
      </w:r>
    </w:p>
    <w:p w:rsidR="00EA40A3" w:rsidRDefault="00E86C16">
      <w:pPr>
        <w:spacing w:before="85" w:line="184" w:lineRule="auto"/>
        <w:rPr>
          <w:rFonts w:ascii="宋体" w:eastAsia="宋体" w:hAnsi="宋体" w:cs="宋体"/>
          <w:sz w:val="16"/>
          <w:szCs w:val="16"/>
        </w:rPr>
      </w:pPr>
      <w:r>
        <w:rPr>
          <w:rFonts w:ascii="宋体" w:eastAsia="宋体" w:hAnsi="宋体" w:cs="宋体"/>
          <w:spacing w:val="-13"/>
          <w:sz w:val="16"/>
          <w:szCs w:val="16"/>
        </w:rPr>
        <w:t>γ-linolenic</w:t>
      </w:r>
      <w:r>
        <w:rPr>
          <w:rFonts w:ascii="宋体" w:eastAsia="宋体" w:hAnsi="宋体" w:cs="宋体"/>
          <w:spacing w:val="10"/>
          <w:sz w:val="16"/>
          <w:szCs w:val="16"/>
        </w:rPr>
        <w:t xml:space="preserve"> </w:t>
      </w:r>
      <w:r>
        <w:rPr>
          <w:rFonts w:ascii="宋体" w:eastAsia="宋体" w:hAnsi="宋体" w:cs="宋体"/>
          <w:spacing w:val="-13"/>
          <w:sz w:val="16"/>
          <w:szCs w:val="16"/>
        </w:rPr>
        <w:t>acid,GLA</w:t>
      </w:r>
      <w:r>
        <w:rPr>
          <w:rFonts w:ascii="宋体" w:eastAsia="宋体" w:hAnsi="宋体" w:cs="宋体"/>
          <w:spacing w:val="3"/>
          <w:sz w:val="16"/>
          <w:szCs w:val="16"/>
        </w:rPr>
        <w:t xml:space="preserve">  </w:t>
      </w:r>
      <w:r>
        <w:rPr>
          <w:rFonts w:ascii="宋体" w:eastAsia="宋体" w:hAnsi="宋体" w:cs="宋体"/>
          <w:spacing w:val="-13"/>
          <w:sz w:val="16"/>
          <w:szCs w:val="16"/>
        </w:rPr>
        <w:t>γ-亚麻酸</w:t>
      </w:r>
    </w:p>
    <w:p w:rsidR="00EA40A3" w:rsidRDefault="00EA40A3">
      <w:pPr>
        <w:sectPr w:rsidR="00EA40A3">
          <w:type w:val="continuous"/>
          <w:pgSz w:w="9220" w:h="13360"/>
          <w:pgMar w:top="400" w:right="868" w:bottom="927" w:left="1080" w:header="0" w:footer="719" w:gutter="0"/>
          <w:cols w:num="2" w:space="720" w:equalWidth="0">
            <w:col w:w="3590" w:space="100"/>
            <w:col w:w="3582"/>
          </w:cols>
        </w:sectPr>
      </w:pPr>
    </w:p>
    <w:p w:rsidR="00EA40A3" w:rsidRDefault="00E86C16">
      <w:pPr>
        <w:spacing w:before="277" w:line="212" w:lineRule="auto"/>
        <w:ind w:left="679"/>
        <w:rPr>
          <w:rFonts w:ascii="宋体" w:eastAsia="宋体" w:hAnsi="宋体" w:cs="宋体"/>
          <w:sz w:val="18"/>
          <w:szCs w:val="18"/>
        </w:rPr>
      </w:pPr>
      <w:r>
        <w:rPr>
          <w:color w:val="FFFFFF"/>
          <w:spacing w:val="-5"/>
          <w:sz w:val="18"/>
          <w:szCs w:val="18"/>
        </w:rPr>
        <w:lastRenderedPageBreak/>
        <w:t>(R-1828.0101</w:t>
      </w:r>
      <w:r>
        <w:rPr>
          <w:rFonts w:ascii="宋体" w:eastAsia="宋体" w:hAnsi="宋体" w:cs="宋体"/>
          <w:color w:val="FFFFFF"/>
          <w:spacing w:val="-5"/>
          <w:sz w:val="18"/>
          <w:szCs w:val="18"/>
        </w:rPr>
        <w:t>】</w:t>
      </w:r>
    </w:p>
    <w:p w:rsidR="00EA40A3" w:rsidRDefault="00EA40A3">
      <w:pPr>
        <w:spacing w:line="248" w:lineRule="auto"/>
      </w:pPr>
    </w:p>
    <w:p w:rsidR="00EA40A3" w:rsidRDefault="00EA40A3">
      <w:pPr>
        <w:spacing w:line="248"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A40A3">
      <w:pPr>
        <w:spacing w:line="249" w:lineRule="auto"/>
      </w:pPr>
    </w:p>
    <w:p w:rsidR="00EA40A3" w:rsidRDefault="00E86C16">
      <w:pPr>
        <w:spacing w:before="149" w:line="221" w:lineRule="auto"/>
        <w:ind w:left="2543"/>
        <w:rPr>
          <w:rFonts w:ascii="黑体" w:eastAsia="黑体" w:hAnsi="黑体" w:cs="黑体"/>
          <w:sz w:val="46"/>
          <w:szCs w:val="46"/>
        </w:rPr>
      </w:pPr>
      <w:r>
        <w:rPr>
          <w:rFonts w:ascii="黑体" w:eastAsia="黑体" w:hAnsi="黑体" w:cs="黑体"/>
          <w:b/>
          <w:bCs/>
          <w:color w:val="FFFFFF"/>
          <w:spacing w:val="-27"/>
          <w:w w:val="60"/>
          <w:sz w:val="46"/>
          <w:szCs w:val="46"/>
        </w:rPr>
        <w:t>普通高等教育“十五”国家级规划教材</w:t>
      </w:r>
    </w:p>
    <w:p w:rsidR="00EA40A3" w:rsidRDefault="00E86C16">
      <w:pPr>
        <w:spacing w:before="178" w:line="221" w:lineRule="auto"/>
        <w:ind w:left="3445"/>
        <w:rPr>
          <w:rFonts w:ascii="黑体" w:eastAsia="黑体" w:hAnsi="黑体" w:cs="黑体"/>
          <w:sz w:val="42"/>
          <w:szCs w:val="42"/>
        </w:rPr>
      </w:pPr>
      <w:r>
        <w:rPr>
          <w:rFonts w:ascii="黑体" w:eastAsia="黑体" w:hAnsi="黑体" w:cs="黑体"/>
          <w:b/>
          <w:bCs/>
          <w:color w:val="FEFE00"/>
          <w:spacing w:val="-24"/>
          <w:sz w:val="42"/>
          <w:szCs w:val="42"/>
        </w:rPr>
        <w:t>食</w:t>
      </w:r>
      <w:r>
        <w:rPr>
          <w:rFonts w:ascii="黑体" w:eastAsia="黑体" w:hAnsi="黑体" w:cs="黑体"/>
          <w:color w:val="FEFE00"/>
          <w:spacing w:val="95"/>
          <w:sz w:val="42"/>
          <w:szCs w:val="42"/>
        </w:rPr>
        <w:t xml:space="preserve"> </w:t>
      </w:r>
      <w:r>
        <w:rPr>
          <w:rFonts w:ascii="黑体" w:eastAsia="黑体" w:hAnsi="黑体" w:cs="黑体"/>
          <w:b/>
          <w:bCs/>
          <w:color w:val="FEFE00"/>
          <w:spacing w:val="-24"/>
          <w:sz w:val="42"/>
          <w:szCs w:val="42"/>
        </w:rPr>
        <w:t>品</w:t>
      </w:r>
      <w:r>
        <w:rPr>
          <w:rFonts w:ascii="黑体" w:eastAsia="黑体" w:hAnsi="黑体" w:cs="黑体"/>
          <w:color w:val="FEFE00"/>
          <w:spacing w:val="81"/>
          <w:sz w:val="42"/>
          <w:szCs w:val="42"/>
        </w:rPr>
        <w:t xml:space="preserve"> </w:t>
      </w:r>
      <w:r>
        <w:rPr>
          <w:rFonts w:ascii="黑体" w:eastAsia="黑体" w:hAnsi="黑体" w:cs="黑体"/>
          <w:b/>
          <w:bCs/>
          <w:color w:val="FEFE00"/>
          <w:spacing w:val="-24"/>
          <w:sz w:val="42"/>
          <w:szCs w:val="42"/>
        </w:rPr>
        <w:t>营</w:t>
      </w:r>
      <w:r>
        <w:rPr>
          <w:rFonts w:ascii="黑体" w:eastAsia="黑体" w:hAnsi="黑体" w:cs="黑体"/>
          <w:color w:val="FEFE00"/>
          <w:spacing w:val="73"/>
          <w:sz w:val="42"/>
          <w:szCs w:val="42"/>
        </w:rPr>
        <w:t xml:space="preserve"> </w:t>
      </w:r>
      <w:r>
        <w:rPr>
          <w:rFonts w:ascii="黑体" w:eastAsia="黑体" w:hAnsi="黑体" w:cs="黑体"/>
          <w:b/>
          <w:bCs/>
          <w:color w:val="FEFE00"/>
          <w:spacing w:val="-24"/>
          <w:sz w:val="42"/>
          <w:szCs w:val="42"/>
        </w:rPr>
        <w:t>养</w:t>
      </w:r>
      <w:r>
        <w:rPr>
          <w:rFonts w:ascii="黑体" w:eastAsia="黑体" w:hAnsi="黑体" w:cs="黑体"/>
          <w:color w:val="FEFE00"/>
          <w:spacing w:val="86"/>
          <w:sz w:val="42"/>
          <w:szCs w:val="42"/>
        </w:rPr>
        <w:t xml:space="preserve"> </w:t>
      </w:r>
      <w:r>
        <w:rPr>
          <w:rFonts w:ascii="黑体" w:eastAsia="黑体" w:hAnsi="黑体" w:cs="黑体"/>
          <w:b/>
          <w:bCs/>
          <w:color w:val="FEFE00"/>
          <w:spacing w:val="-24"/>
          <w:sz w:val="42"/>
          <w:szCs w:val="42"/>
        </w:rPr>
        <w:t>学</w:t>
      </w: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1"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A40A3">
      <w:pPr>
        <w:spacing w:line="242" w:lineRule="auto"/>
      </w:pPr>
    </w:p>
    <w:p w:rsidR="00EA40A3" w:rsidRDefault="00E86C16">
      <w:pPr>
        <w:spacing w:before="58" w:line="221" w:lineRule="auto"/>
        <w:ind w:left="682"/>
        <w:rPr>
          <w:rFonts w:ascii="黑体" w:eastAsia="黑体" w:hAnsi="黑体" w:cs="黑体"/>
          <w:sz w:val="18"/>
          <w:szCs w:val="18"/>
        </w:rPr>
      </w:pPr>
      <w:r>
        <w:rPr>
          <w:rFonts w:ascii="黑体" w:eastAsia="黑体" w:hAnsi="黑体" w:cs="黑体"/>
          <w:b/>
          <w:bCs/>
          <w:spacing w:val="-3"/>
          <w:sz w:val="18"/>
          <w:szCs w:val="18"/>
        </w:rPr>
        <w:t>高等教育分社生命科学编辑部</w:t>
      </w:r>
    </w:p>
    <w:p w:rsidR="00EA40A3" w:rsidRDefault="00E86C16">
      <w:pPr>
        <w:spacing w:before="92" w:line="210" w:lineRule="auto"/>
        <w:ind w:left="679"/>
        <w:rPr>
          <w:rFonts w:ascii="宋体" w:eastAsia="宋体" w:hAnsi="宋体" w:cs="宋体"/>
          <w:sz w:val="18"/>
          <w:szCs w:val="18"/>
        </w:rPr>
      </w:pPr>
      <w:r>
        <w:rPr>
          <w:rFonts w:ascii="宋体" w:eastAsia="宋体" w:hAnsi="宋体" w:cs="宋体"/>
          <w:spacing w:val="6"/>
          <w:sz w:val="18"/>
          <w:szCs w:val="18"/>
        </w:rPr>
        <w:t>联系电话：010-64019815</w:t>
      </w:r>
    </w:p>
    <w:p w:rsidR="00EA40A3" w:rsidRDefault="00E86C16">
      <w:pPr>
        <w:spacing w:line="191" w:lineRule="auto"/>
        <w:ind w:left="679"/>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e-</w:t>
      </w:r>
      <w:r>
        <w:rPr>
          <w:rFonts w:ascii="Times New Roman" w:eastAsia="Times New Roman" w:hAnsi="Times New Roman" w:cs="Times New Roman"/>
          <w:sz w:val="18"/>
          <w:szCs w:val="18"/>
        </w:rPr>
        <w:t>mail</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bio</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mail</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sciencep</w:t>
      </w:r>
      <w:r>
        <w:rPr>
          <w:rFonts w:ascii="Times New Roman" w:eastAsia="Times New Roman" w:hAnsi="Times New Roman" w:cs="Times New Roman"/>
          <w:spacing w:val="-1"/>
          <w:sz w:val="18"/>
          <w:szCs w:val="18"/>
        </w:rPr>
        <w:t>.</w:t>
      </w:r>
      <w:r>
        <w:rPr>
          <w:rFonts w:ascii="Times New Roman" w:eastAsia="Times New Roman" w:hAnsi="Times New Roman" w:cs="Times New Roman"/>
          <w:sz w:val="18"/>
          <w:szCs w:val="18"/>
        </w:rPr>
        <w:t>co</w:t>
      </w:r>
      <w:r>
        <w:rPr>
          <w:rFonts w:ascii="Times New Roman" w:eastAsia="Times New Roman" w:hAnsi="Times New Roman" w:cs="Times New Roman"/>
          <w:spacing w:val="-1"/>
          <w:sz w:val="18"/>
          <w:szCs w:val="18"/>
        </w:rPr>
        <w:t>m</w:t>
      </w:r>
    </w:p>
    <w:p w:rsidR="00EA40A3" w:rsidRDefault="00EA40A3">
      <w:pPr>
        <w:spacing w:line="351" w:lineRule="auto"/>
      </w:pPr>
    </w:p>
    <w:p w:rsidR="00EA40A3" w:rsidRDefault="00E86C16">
      <w:pPr>
        <w:spacing w:before="52" w:line="198" w:lineRule="auto"/>
        <w:ind w:left="910"/>
        <w:rPr>
          <w:sz w:val="18"/>
          <w:szCs w:val="18"/>
        </w:rPr>
      </w:pPr>
      <w:r>
        <w:rPr>
          <w:b/>
          <w:bCs/>
          <w:spacing w:val="-2"/>
          <w:sz w:val="18"/>
          <w:szCs w:val="18"/>
        </w:rPr>
        <w:t>ISBN</w:t>
      </w:r>
      <w:r>
        <w:rPr>
          <w:spacing w:val="5"/>
          <w:sz w:val="18"/>
          <w:szCs w:val="18"/>
        </w:rPr>
        <w:t xml:space="preserve">    </w:t>
      </w:r>
      <w:r>
        <w:rPr>
          <w:b/>
          <w:bCs/>
          <w:spacing w:val="-2"/>
          <w:sz w:val="18"/>
          <w:szCs w:val="18"/>
        </w:rPr>
        <w:t>7-03-017097-0</w:t>
      </w:r>
    </w:p>
    <w:p w:rsidR="00EA40A3" w:rsidRDefault="00EA40A3">
      <w:pPr>
        <w:spacing w:line="294" w:lineRule="auto"/>
      </w:pPr>
    </w:p>
    <w:p w:rsidR="00EA40A3" w:rsidRDefault="00EA40A3">
      <w:pPr>
        <w:spacing w:line="294" w:lineRule="auto"/>
      </w:pPr>
    </w:p>
    <w:p w:rsidR="00EA40A3" w:rsidRDefault="00EA40A3">
      <w:pPr>
        <w:spacing w:line="295" w:lineRule="auto"/>
      </w:pPr>
    </w:p>
    <w:p w:rsidR="00EA40A3" w:rsidRDefault="00EA40A3">
      <w:pPr>
        <w:spacing w:line="295" w:lineRule="auto"/>
      </w:pPr>
    </w:p>
    <w:p w:rsidR="00EA40A3" w:rsidRDefault="00E86C16">
      <w:pPr>
        <w:spacing w:before="53" w:line="174" w:lineRule="auto"/>
        <w:ind w:left="6009"/>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ISBN</w:t>
      </w:r>
      <w:r>
        <w:rPr>
          <w:rFonts w:ascii="Times New Roman" w:eastAsia="Times New Roman" w:hAnsi="Times New Roman" w:cs="Times New Roman"/>
          <w:spacing w:val="2"/>
          <w:sz w:val="18"/>
          <w:szCs w:val="18"/>
        </w:rPr>
        <w:t xml:space="preserve">             </w:t>
      </w:r>
      <w:r>
        <w:rPr>
          <w:rFonts w:ascii="Times New Roman" w:eastAsia="Times New Roman" w:hAnsi="Times New Roman" w:cs="Times New Roman"/>
          <w:spacing w:val="-1"/>
          <w:sz w:val="18"/>
          <w:szCs w:val="18"/>
        </w:rPr>
        <w:t>7-03-017097-0</w:t>
      </w:r>
    </w:p>
    <w:p w:rsidR="00EA40A3" w:rsidRDefault="00E86C16">
      <w:pPr>
        <w:spacing w:line="216" w:lineRule="auto"/>
        <w:ind w:left="679"/>
        <w:rPr>
          <w:rFonts w:ascii="黑体" w:eastAsia="黑体" w:hAnsi="黑体" w:cs="黑体"/>
          <w:sz w:val="25"/>
          <w:szCs w:val="25"/>
        </w:rPr>
      </w:pPr>
      <w:r>
        <w:rPr>
          <w:rFonts w:ascii="宋体" w:eastAsia="宋体" w:hAnsi="宋体" w:cs="宋体"/>
          <w:spacing w:val="5"/>
          <w:position w:val="9"/>
          <w:sz w:val="18"/>
          <w:szCs w:val="18"/>
        </w:rPr>
        <w:t>9</w:t>
      </w:r>
      <w:r>
        <w:rPr>
          <w:rFonts w:ascii="宋体" w:eastAsia="宋体" w:hAnsi="宋体" w:cs="宋体"/>
          <w:spacing w:val="32"/>
          <w:position w:val="9"/>
          <w:sz w:val="18"/>
          <w:szCs w:val="18"/>
        </w:rPr>
        <w:t xml:space="preserve">  </w:t>
      </w:r>
      <w:r>
        <w:rPr>
          <w:rFonts w:ascii="宋体" w:eastAsia="宋体" w:hAnsi="宋体" w:cs="宋体"/>
          <w:spacing w:val="5"/>
          <w:position w:val="9"/>
          <w:sz w:val="18"/>
          <w:szCs w:val="18"/>
        </w:rPr>
        <w:t>787030</w:t>
      </w:r>
      <w:r>
        <w:rPr>
          <w:rFonts w:ascii="宋体" w:eastAsia="宋体" w:hAnsi="宋体" w:cs="宋体"/>
          <w:spacing w:val="1"/>
          <w:position w:val="9"/>
          <w:sz w:val="18"/>
          <w:szCs w:val="18"/>
        </w:rPr>
        <w:t xml:space="preserve">                                   </w:t>
      </w:r>
      <w:r>
        <w:rPr>
          <w:rFonts w:ascii="宋体" w:eastAsia="宋体" w:hAnsi="宋体" w:cs="宋体"/>
          <w:position w:val="9"/>
          <w:sz w:val="18"/>
          <w:szCs w:val="18"/>
        </w:rPr>
        <w:t xml:space="preserve">                </w:t>
      </w:r>
      <w:r>
        <w:rPr>
          <w:rFonts w:ascii="黑体" w:eastAsia="黑体" w:hAnsi="黑体" w:cs="黑体"/>
          <w:b/>
          <w:bCs/>
          <w:spacing w:val="5"/>
          <w:position w:val="-1"/>
          <w:sz w:val="25"/>
          <w:szCs w:val="25"/>
        </w:rPr>
        <w:t>定价：35.00元</w:t>
      </w:r>
    </w:p>
    <w:sectPr w:rsidR="00EA40A3">
      <w:headerReference w:type="default" r:id="rId375"/>
      <w:footerReference w:type="default" r:id="rId376"/>
      <w:pgSz w:w="9220" w:h="13370"/>
      <w:pgMar w:top="400" w:right="0" w:bottom="40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46C" w:rsidRDefault="00EE446C">
      <w:r>
        <w:separator/>
      </w:r>
    </w:p>
  </w:endnote>
  <w:endnote w:type="continuationSeparator" w:id="0">
    <w:p w:rsidR="00EE446C" w:rsidRDefault="00EE4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8" w:lineRule="auto"/>
      <w:ind w:right="316"/>
      <w:jc w:val="right"/>
      <w:rPr>
        <w:rFonts w:ascii="Times New Roman" w:eastAsia="Times New Roman" w:hAnsi="Times New Roman" w:cs="Times New Roman"/>
      </w:rPr>
    </w:pPr>
    <w:r>
      <w:rPr>
        <w:rFonts w:ascii="宋体" w:eastAsia="宋体" w:hAnsi="宋体" w:cs="宋体"/>
        <w:spacing w:val="-29"/>
      </w:rPr>
      <w:t>·</w:t>
    </w:r>
    <w:r>
      <w:rPr>
        <w:rFonts w:ascii="宋体" w:eastAsia="宋体" w:hAnsi="宋体" w:cs="宋体"/>
        <w:spacing w:val="-45"/>
      </w:rPr>
      <w:t xml:space="preserve"> </w:t>
    </w:r>
    <w:r>
      <w:rPr>
        <w:rFonts w:ascii="Times New Roman" w:eastAsia="Times New Roman" w:hAnsi="Times New Roman" w:cs="Times New Roman"/>
        <w:spacing w:val="-29"/>
      </w:rPr>
      <w:t>i</w:t>
    </w:r>
    <w:r>
      <w:rPr>
        <w:rFonts w:ascii="Times New Roman" w:eastAsia="Times New Roman" w:hAnsi="Times New Roman" w:cs="Times New Roman"/>
        <w:spacing w:val="20"/>
        <w:w w:val="101"/>
      </w:rPr>
      <w:t xml:space="preserve">  </w:t>
    </w:r>
    <w:r>
      <w:rPr>
        <w:rFonts w:ascii="Times New Roman" w:eastAsia="Times New Roman" w:hAnsi="Times New Roman" w:cs="Times New Roman"/>
        <w:spacing w:val="-29"/>
      </w:rPr>
      <w: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left="140"/>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17"/>
        <w:sz w:val="15"/>
        <w:szCs w:val="15"/>
      </w:rPr>
      <w:t xml:space="preserve"> </w:t>
    </w:r>
    <w:r>
      <w:rPr>
        <w:rFonts w:ascii="宋体" w:eastAsia="宋体" w:hAnsi="宋体" w:cs="宋体"/>
        <w:spacing w:val="-19"/>
        <w:sz w:val="15"/>
        <w:szCs w:val="15"/>
      </w:rPr>
      <w:t>12</w:t>
    </w:r>
    <w:r>
      <w:rPr>
        <w:rFonts w:ascii="宋体" w:eastAsia="宋体" w:hAnsi="宋体" w:cs="宋体"/>
        <w:spacing w:val="57"/>
        <w:w w:val="101"/>
        <w:sz w:val="15"/>
        <w:szCs w:val="15"/>
      </w:rPr>
      <w:t xml:space="preserve"> </w:t>
    </w:r>
    <w:r>
      <w:rPr>
        <w:rFonts w:ascii="宋体" w:eastAsia="宋体" w:hAnsi="宋体" w:cs="宋体"/>
        <w:spacing w:val="-19"/>
        <w:sz w:val="15"/>
        <w:szCs w:val="15"/>
      </w:rPr>
      <w:t>·</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4"/>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227</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80"/>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228</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231</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7"/>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8"/>
        <w:sz w:val="19"/>
        <w:szCs w:val="19"/>
      </w:rPr>
      <w:t xml:space="preserve"> </w:t>
    </w:r>
    <w:r>
      <w:rPr>
        <w:rFonts w:ascii="宋体" w:eastAsia="宋体" w:hAnsi="宋体" w:cs="宋体"/>
        <w:spacing w:val="-30"/>
        <w:sz w:val="19"/>
        <w:szCs w:val="19"/>
      </w:rPr>
      <w:t>235</w:t>
    </w:r>
    <w:r>
      <w:rPr>
        <w:rFonts w:ascii="宋体" w:eastAsia="宋体" w:hAnsi="宋体" w:cs="宋体"/>
        <w:spacing w:val="45"/>
        <w:sz w:val="19"/>
        <w:szCs w:val="19"/>
      </w:rPr>
      <w:t xml:space="preserve"> </w:t>
    </w:r>
    <w:r>
      <w:rPr>
        <w:rFonts w:ascii="宋体" w:eastAsia="宋体" w:hAnsi="宋体" w:cs="宋体"/>
        <w:spacing w:val="-30"/>
        <w:sz w:val="19"/>
        <w:szCs w:val="19"/>
      </w:rPr>
      <w:t>·</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60"/>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236</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55"/>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239</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0"/>
      <w:jc w:val="right"/>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17"/>
        <w:sz w:val="15"/>
        <w:szCs w:val="15"/>
      </w:rPr>
      <w:t xml:space="preserve"> </w:t>
    </w:r>
    <w:r>
      <w:rPr>
        <w:rFonts w:ascii="宋体" w:eastAsia="宋体" w:hAnsi="宋体" w:cs="宋体"/>
        <w:spacing w:val="-19"/>
        <w:sz w:val="15"/>
        <w:szCs w:val="15"/>
      </w:rPr>
      <w:t>13</w:t>
    </w:r>
    <w:r>
      <w:rPr>
        <w:rFonts w:ascii="宋体" w:eastAsia="宋体" w:hAnsi="宋体" w:cs="宋体"/>
        <w:spacing w:val="57"/>
        <w:w w:val="101"/>
        <w:sz w:val="15"/>
        <w:szCs w:val="15"/>
      </w:rPr>
      <w:t xml:space="preserve"> </w:t>
    </w:r>
    <w:r>
      <w:rPr>
        <w:rFonts w:ascii="宋体" w:eastAsia="宋体" w:hAnsi="宋体" w:cs="宋体"/>
        <w:spacing w:val="-19"/>
        <w:sz w:val="15"/>
        <w:szCs w:val="15"/>
      </w:rPr>
      <w:t>·</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247</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97"/>
      <w:jc w:val="right"/>
      <w:rPr>
        <w:rFonts w:ascii="宋体" w:eastAsia="宋体" w:hAnsi="宋体" w:cs="宋体"/>
        <w:sz w:val="14"/>
        <w:szCs w:val="14"/>
      </w:rPr>
    </w:pPr>
    <w:r>
      <w:rPr>
        <w:rFonts w:ascii="宋体" w:eastAsia="宋体" w:hAnsi="宋体" w:cs="宋体"/>
        <w:spacing w:val="-13"/>
        <w:sz w:val="14"/>
        <w:szCs w:val="14"/>
      </w:rPr>
      <w:t>·</w:t>
    </w:r>
    <w:r>
      <w:rPr>
        <w:rFonts w:ascii="宋体" w:eastAsia="宋体" w:hAnsi="宋体" w:cs="宋体"/>
        <w:spacing w:val="33"/>
        <w:w w:val="101"/>
        <w:sz w:val="14"/>
        <w:szCs w:val="14"/>
      </w:rPr>
      <w:t xml:space="preserve"> </w:t>
    </w:r>
    <w:r>
      <w:rPr>
        <w:rFonts w:ascii="宋体" w:eastAsia="宋体" w:hAnsi="宋体" w:cs="宋体"/>
        <w:spacing w:val="-13"/>
        <w:sz w:val="14"/>
        <w:szCs w:val="14"/>
      </w:rPr>
      <w:t>249</w:t>
    </w:r>
    <w:r>
      <w:rPr>
        <w:rFonts w:ascii="宋体" w:eastAsia="宋体" w:hAnsi="宋体" w:cs="宋体"/>
        <w:spacing w:val="3"/>
        <w:sz w:val="14"/>
        <w:szCs w:val="14"/>
      </w:rPr>
      <w:t xml:space="preserve">  </w:t>
    </w:r>
    <w:r>
      <w:rPr>
        <w:rFonts w:ascii="宋体" w:eastAsia="宋体" w:hAnsi="宋体" w:cs="宋体"/>
        <w:spacing w:val="-13"/>
        <w:sz w:val="14"/>
        <w:szCs w:val="14"/>
      </w:rPr>
      <w:t>·</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
        <w:sz w:val="17"/>
        <w:szCs w:val="17"/>
      </w:rPr>
      <w:t xml:space="preserve"> </w:t>
    </w:r>
    <w:r>
      <w:rPr>
        <w:rFonts w:ascii="宋体" w:eastAsia="宋体" w:hAnsi="宋体" w:cs="宋体"/>
        <w:spacing w:val="-22"/>
        <w:sz w:val="17"/>
        <w:szCs w:val="17"/>
      </w:rPr>
      <w:t>250</w:t>
    </w:r>
    <w:r>
      <w:rPr>
        <w:rFonts w:ascii="宋体" w:eastAsia="宋体" w:hAnsi="宋体" w:cs="宋体"/>
        <w:spacing w:val="49"/>
        <w:sz w:val="17"/>
        <w:szCs w:val="17"/>
      </w:rPr>
      <w:t xml:space="preserve"> </w:t>
    </w:r>
    <w:r>
      <w:rPr>
        <w:rFonts w:ascii="宋体" w:eastAsia="宋体" w:hAnsi="宋体" w:cs="宋体"/>
        <w:spacing w:val="-22"/>
        <w:sz w:val="17"/>
        <w:szCs w:val="17"/>
      </w:rPr>
      <w:t>·</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252</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67"/>
      <w:jc w:val="right"/>
      <w:rPr>
        <w:rFonts w:ascii="宋体" w:eastAsia="宋体" w:hAnsi="宋体" w:cs="宋体"/>
        <w:sz w:val="18"/>
        <w:szCs w:val="18"/>
      </w:rPr>
    </w:pPr>
    <w:r>
      <w:rPr>
        <w:rFonts w:ascii="宋体" w:eastAsia="宋体" w:hAnsi="宋体" w:cs="宋体"/>
        <w:spacing w:val="-24"/>
        <w:sz w:val="18"/>
        <w:szCs w:val="18"/>
      </w:rPr>
      <w:t>·</w:t>
    </w:r>
    <w:r>
      <w:rPr>
        <w:rFonts w:ascii="宋体" w:eastAsia="宋体" w:hAnsi="宋体" w:cs="宋体"/>
        <w:spacing w:val="-1"/>
        <w:sz w:val="18"/>
        <w:szCs w:val="18"/>
      </w:rPr>
      <w:t xml:space="preserve"> </w:t>
    </w:r>
    <w:r>
      <w:rPr>
        <w:rFonts w:ascii="宋体" w:eastAsia="宋体" w:hAnsi="宋体" w:cs="宋体"/>
        <w:spacing w:val="-24"/>
        <w:sz w:val="18"/>
        <w:szCs w:val="18"/>
      </w:rPr>
      <w:t>255</w:t>
    </w:r>
    <w:r>
      <w:rPr>
        <w:rFonts w:ascii="宋体" w:eastAsia="宋体" w:hAnsi="宋体" w:cs="宋体"/>
        <w:spacing w:val="52"/>
        <w:sz w:val="18"/>
        <w:szCs w:val="18"/>
      </w:rPr>
      <w:t xml:space="preserve"> </w:t>
    </w:r>
    <w:r>
      <w:rPr>
        <w:rFonts w:ascii="宋体" w:eastAsia="宋体" w:hAnsi="宋体" w:cs="宋体"/>
        <w:spacing w:val="-24"/>
        <w:sz w:val="18"/>
        <w:szCs w:val="18"/>
      </w:rPr>
      <w:t>·</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1"/>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259</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261</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0"/>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263</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20"/>
        <w:szCs w:val="20"/>
      </w:rPr>
    </w:pPr>
    <w:r>
      <w:rPr>
        <w:rFonts w:ascii="宋体" w:eastAsia="宋体" w:hAnsi="宋体" w:cs="宋体"/>
        <w:spacing w:val="-35"/>
        <w:sz w:val="20"/>
        <w:szCs w:val="20"/>
      </w:rPr>
      <w:t>·</w:t>
    </w:r>
    <w:r>
      <w:rPr>
        <w:rFonts w:ascii="宋体" w:eastAsia="宋体" w:hAnsi="宋体" w:cs="宋体"/>
        <w:spacing w:val="-13"/>
        <w:sz w:val="20"/>
        <w:szCs w:val="20"/>
      </w:rPr>
      <w:t xml:space="preserve"> </w:t>
    </w:r>
    <w:r>
      <w:rPr>
        <w:rFonts w:ascii="宋体" w:eastAsia="宋体" w:hAnsi="宋体" w:cs="宋体"/>
        <w:spacing w:val="-35"/>
        <w:sz w:val="20"/>
        <w:szCs w:val="20"/>
      </w:rPr>
      <w:t>267</w:t>
    </w:r>
    <w:r>
      <w:rPr>
        <w:rFonts w:ascii="宋体" w:eastAsia="宋体" w:hAnsi="宋体" w:cs="宋体"/>
        <w:spacing w:val="40"/>
        <w:sz w:val="20"/>
        <w:szCs w:val="20"/>
      </w:rPr>
      <w:t xml:space="preserve"> </w:t>
    </w:r>
    <w:r>
      <w:rPr>
        <w:rFonts w:ascii="宋体" w:eastAsia="宋体" w:hAnsi="宋体" w:cs="宋体"/>
        <w:spacing w:val="-35"/>
        <w:sz w:val="20"/>
        <w:szCs w:val="20"/>
      </w:rPr>
      <w:t>·</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6"/>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271</w:t>
    </w:r>
    <w:r>
      <w:rPr>
        <w:rFonts w:ascii="宋体" w:eastAsia="宋体" w:hAnsi="宋体" w:cs="宋体"/>
        <w:spacing w:val="55"/>
        <w:sz w:val="17"/>
        <w:szCs w:val="17"/>
      </w:rPr>
      <w:t xml:space="preserve"> </w:t>
    </w:r>
    <w:r>
      <w:rPr>
        <w:rFonts w:ascii="宋体" w:eastAsia="宋体" w:hAnsi="宋体" w:cs="宋体"/>
        <w:spacing w:val="-20"/>
        <w:sz w:val="17"/>
        <w:szCs w:val="17"/>
      </w:rPr>
      <w:t>·</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1"/>
      <w:jc w:val="right"/>
      <w:rPr>
        <w:rFonts w:ascii="宋体" w:eastAsia="宋体" w:hAnsi="宋体" w:cs="宋体"/>
        <w:sz w:val="15"/>
        <w:szCs w:val="15"/>
      </w:rPr>
    </w:pPr>
    <w:r>
      <w:rPr>
        <w:rFonts w:ascii="宋体" w:eastAsia="宋体" w:hAnsi="宋体" w:cs="宋体"/>
        <w:spacing w:val="-19"/>
        <w:sz w:val="15"/>
        <w:szCs w:val="15"/>
      </w:rPr>
      <w:t>·</w:t>
    </w:r>
    <w:r>
      <w:rPr>
        <w:rFonts w:ascii="宋体" w:eastAsia="宋体" w:hAnsi="宋体" w:cs="宋体"/>
        <w:spacing w:val="35"/>
        <w:sz w:val="15"/>
        <w:szCs w:val="15"/>
      </w:rPr>
      <w:t xml:space="preserve"> </w:t>
    </w:r>
    <w:r>
      <w:rPr>
        <w:rFonts w:ascii="宋体" w:eastAsia="宋体" w:hAnsi="宋体" w:cs="宋体"/>
        <w:spacing w:val="-19"/>
        <w:sz w:val="15"/>
        <w:szCs w:val="15"/>
      </w:rPr>
      <w:t>17</w:t>
    </w:r>
    <w:r>
      <w:rPr>
        <w:rFonts w:ascii="宋体" w:eastAsia="宋体" w:hAnsi="宋体" w:cs="宋体"/>
        <w:spacing w:val="74"/>
        <w:w w:val="101"/>
        <w:sz w:val="15"/>
        <w:szCs w:val="15"/>
      </w:rPr>
      <w:t xml:space="preserve"> </w:t>
    </w:r>
    <w:r>
      <w:rPr>
        <w:rFonts w:ascii="宋体" w:eastAsia="宋体" w:hAnsi="宋体" w:cs="宋体"/>
        <w:spacing w:val="-19"/>
        <w:sz w:val="15"/>
        <w:szCs w:val="15"/>
      </w:rPr>
      <w:t>·</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
      <w:jc w:val="right"/>
      <w:rPr>
        <w:rFonts w:ascii="宋体" w:eastAsia="宋体" w:hAnsi="宋体" w:cs="宋体"/>
        <w:sz w:val="19"/>
        <w:szCs w:val="19"/>
      </w:rPr>
    </w:pPr>
    <w:r>
      <w:rPr>
        <w:rFonts w:ascii="宋体" w:eastAsia="宋体" w:hAnsi="宋体" w:cs="宋体"/>
        <w:spacing w:val="-31"/>
        <w:sz w:val="19"/>
        <w:szCs w:val="19"/>
      </w:rPr>
      <w:t>·</w:t>
    </w:r>
    <w:r>
      <w:rPr>
        <w:rFonts w:ascii="宋体" w:eastAsia="宋体" w:hAnsi="宋体" w:cs="宋体"/>
        <w:spacing w:val="-10"/>
        <w:sz w:val="19"/>
        <w:szCs w:val="19"/>
      </w:rPr>
      <w:t xml:space="preserve"> </w:t>
    </w:r>
    <w:r>
      <w:rPr>
        <w:rFonts w:ascii="宋体" w:eastAsia="宋体" w:hAnsi="宋体" w:cs="宋体"/>
        <w:spacing w:val="-31"/>
        <w:sz w:val="19"/>
        <w:szCs w:val="19"/>
      </w:rPr>
      <w:t>275</w:t>
    </w:r>
    <w:r>
      <w:rPr>
        <w:rFonts w:ascii="宋体" w:eastAsia="宋体" w:hAnsi="宋体" w:cs="宋体"/>
        <w:spacing w:val="42"/>
        <w:sz w:val="19"/>
        <w:szCs w:val="19"/>
      </w:rPr>
      <w:t xml:space="preserve"> </w:t>
    </w:r>
    <w:r>
      <w:rPr>
        <w:rFonts w:ascii="宋体" w:eastAsia="宋体" w:hAnsi="宋体" w:cs="宋体"/>
        <w:spacing w:val="-31"/>
        <w:sz w:val="19"/>
        <w:szCs w:val="19"/>
      </w:rPr>
      <w:t>·</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276</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0"/>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279</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9"/>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283</w:t>
    </w:r>
    <w:r>
      <w:rPr>
        <w:rFonts w:ascii="宋体" w:eastAsia="宋体" w:hAnsi="宋体" w:cs="宋体"/>
        <w:spacing w:val="61"/>
        <w:sz w:val="16"/>
        <w:szCs w:val="16"/>
      </w:rPr>
      <w:t xml:space="preserve"> </w:t>
    </w:r>
    <w:r>
      <w:rPr>
        <w:rFonts w:ascii="宋体" w:eastAsia="宋体" w:hAnsi="宋体" w:cs="宋体"/>
        <w:spacing w:val="-14"/>
        <w:sz w:val="16"/>
        <w:szCs w:val="16"/>
      </w:rPr>
      <w:t>·</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before="129"/>
      <w:ind w:right="77"/>
      <w:jc w:val="right"/>
      <w:rPr>
        <w:rFonts w:ascii="宋体" w:eastAsia="宋体" w:hAnsi="宋体" w:cs="宋体"/>
        <w:sz w:val="18"/>
        <w:szCs w:val="18"/>
      </w:rPr>
    </w:pPr>
    <w:r>
      <w:rPr>
        <w:noProof/>
      </w:rPr>
      <mc:AlternateContent>
        <mc:Choice Requires="wps">
          <w:drawing>
            <wp:anchor distT="0" distB="0" distL="114300" distR="114300" simplePos="0" relativeHeight="251680768" behindDoc="0" locked="0" layoutInCell="0" allowOverlap="1">
              <wp:simplePos x="0" y="0"/>
              <wp:positionH relativeFrom="page">
                <wp:posOffset>565150</wp:posOffset>
              </wp:positionH>
              <wp:positionV relativeFrom="page">
                <wp:posOffset>7642225</wp:posOffset>
              </wp:positionV>
              <wp:extent cx="4680585" cy="6350"/>
              <wp:effectExtent l="12700" t="3175" r="12065" b="9525"/>
              <wp:wrapNone/>
              <wp:docPr id="8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585" cy="6350"/>
                      </a:xfrm>
                      <a:custGeom>
                        <a:avLst/>
                        <a:gdLst>
                          <a:gd name="T0" fmla="*/ 0 w 7370"/>
                          <a:gd name="T1" fmla="*/ 5 h 10"/>
                          <a:gd name="T2" fmla="*/ 3199 w 7370"/>
                          <a:gd name="T3" fmla="*/ 5 h 10"/>
                          <a:gd name="T4" fmla="*/ 3199 w 7370"/>
                          <a:gd name="T5" fmla="*/ 5 h 10"/>
                          <a:gd name="T6" fmla="*/ 5439 w 7370"/>
                          <a:gd name="T7" fmla="*/ 5 h 10"/>
                          <a:gd name="T8" fmla="*/ 5439 w 7370"/>
                          <a:gd name="T9" fmla="*/ 5 h 10"/>
                          <a:gd name="T10" fmla="*/ 7370 w 7370"/>
                          <a:gd name="T11" fmla="*/ 5 h 10"/>
                        </a:gdLst>
                        <a:ahLst/>
                        <a:cxnLst>
                          <a:cxn ang="0">
                            <a:pos x="T0" y="T1"/>
                          </a:cxn>
                          <a:cxn ang="0">
                            <a:pos x="T2" y="T3"/>
                          </a:cxn>
                          <a:cxn ang="0">
                            <a:pos x="T4" y="T5"/>
                          </a:cxn>
                          <a:cxn ang="0">
                            <a:pos x="T6" y="T7"/>
                          </a:cxn>
                          <a:cxn ang="0">
                            <a:pos x="T8" y="T9"/>
                          </a:cxn>
                          <a:cxn ang="0">
                            <a:pos x="T10" y="T11"/>
                          </a:cxn>
                        </a:cxnLst>
                        <a:rect l="0" t="0" r="r" b="b"/>
                        <a:pathLst>
                          <a:path w="7370" h="10">
                            <a:moveTo>
                              <a:pt x="0" y="5"/>
                            </a:moveTo>
                            <a:lnTo>
                              <a:pt x="3199" y="5"/>
                            </a:lnTo>
                            <a:moveTo>
                              <a:pt x="3199" y="5"/>
                            </a:moveTo>
                            <a:lnTo>
                              <a:pt x="5439" y="5"/>
                            </a:lnTo>
                            <a:moveTo>
                              <a:pt x="5439" y="5"/>
                            </a:moveTo>
                            <a:lnTo>
                              <a:pt x="737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3C980" id="AutoShape 6" o:spid="_x0000_s1026" style="position:absolute;left:0;text-align:left;margin-left:44.5pt;margin-top:601.75pt;width:368.5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" o:allowincell="f" path="m,5r3199,m3199,5r2240,m5439,5r1931,e" filled="f" strokeweight=".5pt">
              <v:stroke miterlimit="10" joinstyle="miter"/>
              <v:path o:connecttype="custom" o:connectlocs="0,3175;2031641,3175;2031641,3175;3454234,3175;3454234,3175;4680585,3175" o:connectangles="0,0,0,0,0,0"/>
              <w10:wrap anchorx="page" anchory="page"/>
            </v:shape>
          </w:pict>
        </mc:Fallback>
      </mc:AlternateContent>
    </w:r>
    <w:r w:rsidR="00E86C16">
      <w:rPr>
        <w:rFonts w:ascii="宋体" w:eastAsia="宋体" w:hAnsi="宋体" w:cs="宋体"/>
        <w:spacing w:val="-24"/>
        <w:sz w:val="18"/>
        <w:szCs w:val="18"/>
      </w:rPr>
      <w:t>·</w:t>
    </w:r>
    <w:r w:rsidR="00E86C16">
      <w:rPr>
        <w:rFonts w:ascii="宋体" w:eastAsia="宋体" w:hAnsi="宋体" w:cs="宋体"/>
        <w:spacing w:val="-1"/>
        <w:sz w:val="18"/>
        <w:szCs w:val="18"/>
      </w:rPr>
      <w:t xml:space="preserve"> </w:t>
    </w:r>
    <w:r w:rsidR="00E86C16">
      <w:rPr>
        <w:rFonts w:ascii="宋体" w:eastAsia="宋体" w:hAnsi="宋体" w:cs="宋体"/>
        <w:spacing w:val="-24"/>
        <w:sz w:val="18"/>
        <w:szCs w:val="18"/>
      </w:rPr>
      <w:t>285</w:t>
    </w:r>
    <w:r w:rsidR="00E86C16">
      <w:rPr>
        <w:rFonts w:ascii="宋体" w:eastAsia="宋体" w:hAnsi="宋体" w:cs="宋体"/>
        <w:spacing w:val="52"/>
        <w:sz w:val="18"/>
        <w:szCs w:val="18"/>
      </w:rPr>
      <w:t xml:space="preserve"> </w:t>
    </w:r>
    <w:r w:rsidR="00E86C16">
      <w:rPr>
        <w:rFonts w:ascii="宋体" w:eastAsia="宋体" w:hAnsi="宋体" w:cs="宋体"/>
        <w:spacing w:val="-24"/>
        <w:sz w:val="18"/>
        <w:szCs w:val="18"/>
      </w:rPr>
      <w:t>·</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0"/>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287</w:t>
    </w:r>
    <w:r>
      <w:rPr>
        <w:rFonts w:ascii="宋体" w:eastAsia="宋体" w:hAnsi="宋体" w:cs="宋体"/>
        <w:spacing w:val="55"/>
        <w:sz w:val="17"/>
        <w:szCs w:val="17"/>
      </w:rPr>
      <w:t xml:space="preserve"> </w:t>
    </w:r>
    <w:r>
      <w:rPr>
        <w:rFonts w:ascii="宋体" w:eastAsia="宋体" w:hAnsi="宋体" w:cs="宋体"/>
        <w:spacing w:val="-20"/>
        <w:sz w:val="17"/>
        <w:szCs w:val="17"/>
      </w:rP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36"/>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291</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300"/>
      <w:jc w:val="right"/>
      <w:rPr>
        <w:rFonts w:ascii="宋体" w:eastAsia="宋体" w:hAnsi="宋体" w:cs="宋体"/>
        <w:sz w:val="19"/>
        <w:szCs w:val="19"/>
      </w:rPr>
    </w:pPr>
    <w:r>
      <w:rPr>
        <w:rFonts w:ascii="宋体" w:eastAsia="宋体" w:hAnsi="宋体" w:cs="宋体"/>
        <w:spacing w:val="-24"/>
        <w:sz w:val="19"/>
        <w:szCs w:val="19"/>
      </w:rPr>
      <w:t>·</w:t>
    </w:r>
    <w:r>
      <w:rPr>
        <w:rFonts w:ascii="宋体" w:eastAsia="宋体" w:hAnsi="宋体" w:cs="宋体"/>
        <w:spacing w:val="4"/>
        <w:sz w:val="19"/>
        <w:szCs w:val="19"/>
      </w:rPr>
      <w:t xml:space="preserve"> </w:t>
    </w:r>
    <w:r>
      <w:rPr>
        <w:rFonts w:ascii="宋体" w:eastAsia="宋体" w:hAnsi="宋体" w:cs="宋体"/>
        <w:spacing w:val="-24"/>
        <w:sz w:val="19"/>
        <w:szCs w:val="19"/>
      </w:rPr>
      <w:t>295</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4"/>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299</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19"/>
        <w:szCs w:val="19"/>
      </w:rPr>
    </w:pPr>
    <w:r>
      <w:rPr>
        <w:rFonts w:ascii="宋体" w:eastAsia="宋体" w:hAnsi="宋体" w:cs="宋体"/>
        <w:spacing w:val="-32"/>
        <w:sz w:val="19"/>
        <w:szCs w:val="19"/>
      </w:rPr>
      <w:t>·</w:t>
    </w:r>
    <w:r>
      <w:rPr>
        <w:rFonts w:ascii="宋体" w:eastAsia="宋体" w:hAnsi="宋体" w:cs="宋体"/>
        <w:spacing w:val="-5"/>
        <w:sz w:val="19"/>
        <w:szCs w:val="19"/>
      </w:rPr>
      <w:t xml:space="preserve"> </w:t>
    </w:r>
    <w:r>
      <w:rPr>
        <w:rFonts w:ascii="宋体" w:eastAsia="宋体" w:hAnsi="宋体" w:cs="宋体"/>
        <w:spacing w:val="-32"/>
        <w:sz w:val="19"/>
        <w:szCs w:val="19"/>
      </w:rPr>
      <w:t>301</w:t>
    </w:r>
    <w:r>
      <w:rPr>
        <w:rFonts w:ascii="宋体" w:eastAsia="宋体" w:hAnsi="宋体" w:cs="宋体"/>
        <w:spacing w:val="42"/>
        <w:sz w:val="19"/>
        <w:szCs w:val="19"/>
      </w:rPr>
      <w:t xml:space="preserve"> </w:t>
    </w:r>
    <w:r>
      <w:rPr>
        <w:rFonts w:ascii="宋体" w:eastAsia="宋体" w:hAnsi="宋体" w:cs="宋体"/>
        <w:spacing w:val="-32"/>
        <w:sz w:val="19"/>
        <w:szCs w:val="19"/>
      </w:rPr>
      <w:t>·</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37"/>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307</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30"/>
      <w:jc w:val="right"/>
      <w:rPr>
        <w:rFonts w:ascii="宋体" w:eastAsia="宋体" w:hAnsi="宋体" w:cs="宋体"/>
        <w:sz w:val="17"/>
        <w:szCs w:val="17"/>
      </w:rPr>
    </w:pPr>
    <w:r>
      <w:rPr>
        <w:rFonts w:ascii="宋体" w:eastAsia="宋体" w:hAnsi="宋体" w:cs="宋体"/>
        <w:spacing w:val="-26"/>
        <w:sz w:val="17"/>
        <w:szCs w:val="17"/>
      </w:rPr>
      <w:t>·</w:t>
    </w:r>
    <w:r>
      <w:rPr>
        <w:rFonts w:ascii="宋体" w:eastAsia="宋体" w:hAnsi="宋体" w:cs="宋体"/>
        <w:spacing w:val="-2"/>
        <w:sz w:val="17"/>
        <w:szCs w:val="17"/>
      </w:rPr>
      <w:t xml:space="preserve"> </w:t>
    </w:r>
    <w:r>
      <w:rPr>
        <w:rFonts w:ascii="宋体" w:eastAsia="宋体" w:hAnsi="宋体" w:cs="宋体"/>
        <w:spacing w:val="-26"/>
        <w:sz w:val="17"/>
        <w:szCs w:val="17"/>
      </w:rPr>
      <w:t>27</w:t>
    </w:r>
    <w:r>
      <w:rPr>
        <w:rFonts w:ascii="宋体" w:eastAsia="宋体" w:hAnsi="宋体" w:cs="宋体"/>
        <w:spacing w:val="49"/>
        <w:sz w:val="17"/>
        <w:szCs w:val="17"/>
      </w:rPr>
      <w:t xml:space="preserve"> </w:t>
    </w:r>
    <w:r>
      <w:rPr>
        <w:rFonts w:ascii="宋体" w:eastAsia="宋体" w:hAnsi="宋体" w:cs="宋体"/>
        <w:spacing w:val="-26"/>
        <w:sz w:val="17"/>
        <w:szCs w:val="17"/>
      </w:rPr>
      <w:t>·</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7"/>
      <w:jc w:val="right"/>
      <w:rPr>
        <w:rFonts w:ascii="宋体" w:eastAsia="宋体" w:hAnsi="宋体" w:cs="宋体"/>
        <w:sz w:val="17"/>
        <w:szCs w:val="17"/>
      </w:rPr>
    </w:pPr>
    <w:r>
      <w:rPr>
        <w:rFonts w:ascii="宋体" w:eastAsia="宋体" w:hAnsi="宋体" w:cs="宋体"/>
        <w:spacing w:val="-19"/>
        <w:sz w:val="17"/>
        <w:szCs w:val="17"/>
      </w:rPr>
      <w:t>·</w:t>
    </w:r>
    <w:r>
      <w:rPr>
        <w:rFonts w:ascii="宋体" w:eastAsia="宋体" w:hAnsi="宋体" w:cs="宋体"/>
        <w:spacing w:val="4"/>
        <w:sz w:val="17"/>
        <w:szCs w:val="17"/>
      </w:rPr>
      <w:t xml:space="preserve"> </w:t>
    </w:r>
    <w:r>
      <w:rPr>
        <w:rFonts w:ascii="宋体" w:eastAsia="宋体" w:hAnsi="宋体" w:cs="宋体"/>
        <w:spacing w:val="-19"/>
        <w:sz w:val="17"/>
        <w:szCs w:val="17"/>
      </w:rPr>
      <w:t>309</w:t>
    </w:r>
    <w:r>
      <w:rPr>
        <w:rFonts w:ascii="宋体" w:eastAsia="宋体" w:hAnsi="宋体" w:cs="宋体"/>
        <w:spacing w:val="57"/>
        <w:sz w:val="17"/>
        <w:szCs w:val="17"/>
      </w:rPr>
      <w:t xml:space="preserve"> </w:t>
    </w:r>
    <w:r>
      <w:rPr>
        <w:rFonts w:ascii="宋体" w:eastAsia="宋体" w:hAnsi="宋体" w:cs="宋体"/>
        <w:spacing w:val="-19"/>
        <w:sz w:val="17"/>
        <w:szCs w:val="17"/>
      </w:rPr>
      <w:t>·</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0"/>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315</w:t>
    </w:r>
    <w:r>
      <w:rPr>
        <w:rFonts w:ascii="宋体" w:eastAsia="宋体" w:hAnsi="宋体" w:cs="宋体"/>
        <w:spacing w:val="62"/>
        <w:sz w:val="16"/>
        <w:szCs w:val="16"/>
      </w:rPr>
      <w:t xml:space="preserve"> </w:t>
    </w:r>
    <w:r>
      <w:rPr>
        <w:rFonts w:ascii="宋体" w:eastAsia="宋体" w:hAnsi="宋体" w:cs="宋体"/>
        <w:spacing w:val="-15"/>
        <w:sz w:val="16"/>
        <w:szCs w:val="16"/>
      </w:rPr>
      <w:t>·</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1"/>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317</w:t>
    </w:r>
    <w:r>
      <w:rPr>
        <w:rFonts w:ascii="宋体" w:eastAsia="宋体" w:hAnsi="宋体" w:cs="宋体"/>
        <w:spacing w:val="54"/>
        <w:sz w:val="17"/>
        <w:szCs w:val="17"/>
      </w:rPr>
      <w:t xml:space="preserve"> </w:t>
    </w:r>
    <w:r>
      <w:rPr>
        <w:rFonts w:ascii="宋体" w:eastAsia="宋体" w:hAnsi="宋体" w:cs="宋体"/>
        <w:spacing w:val="-20"/>
        <w:sz w:val="17"/>
        <w:szCs w:val="17"/>
      </w:rPr>
      <w:t>·</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6"/>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319</w:t>
    </w:r>
    <w:r>
      <w:rPr>
        <w:rFonts w:ascii="宋体" w:eastAsia="宋体" w:hAnsi="宋体" w:cs="宋体"/>
        <w:spacing w:val="54"/>
        <w:sz w:val="17"/>
        <w:szCs w:val="17"/>
      </w:rPr>
      <w:t xml:space="preserve"> </w:t>
    </w:r>
    <w:r>
      <w:rPr>
        <w:rFonts w:ascii="宋体" w:eastAsia="宋体" w:hAnsi="宋体" w:cs="宋体"/>
        <w:spacing w:val="-20"/>
        <w:sz w:val="17"/>
        <w:szCs w:val="17"/>
      </w:rPr>
      <w:t>·</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31"/>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321</w:t>
    </w:r>
    <w:r>
      <w:rPr>
        <w:rFonts w:ascii="宋体" w:eastAsia="宋体" w:hAnsi="宋体" w:cs="宋体"/>
        <w:spacing w:val="32"/>
        <w:sz w:val="16"/>
        <w:szCs w:val="16"/>
      </w:rPr>
      <w:t xml:space="preserve"> </w:t>
    </w:r>
    <w:r>
      <w:rPr>
        <w:rFonts w:ascii="宋体" w:eastAsia="宋体" w:hAnsi="宋体" w:cs="宋体"/>
        <w:spacing w:val="-15"/>
        <w:sz w:val="16"/>
        <w:szCs w:val="16"/>
      </w:rPr>
      <w: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7"/>
      <w:jc w:val="right"/>
      <w:rPr>
        <w:rFonts w:ascii="宋体" w:eastAsia="宋体" w:hAnsi="宋体" w:cs="宋体"/>
        <w:sz w:val="17"/>
        <w:szCs w:val="17"/>
      </w:rPr>
    </w:pPr>
    <w:r>
      <w:rPr>
        <w:rFonts w:ascii="宋体" w:eastAsia="宋体" w:hAnsi="宋体" w:cs="宋体"/>
        <w:spacing w:val="-19"/>
        <w:sz w:val="17"/>
        <w:szCs w:val="17"/>
      </w:rPr>
      <w:t>·</w:t>
    </w:r>
    <w:r>
      <w:rPr>
        <w:rFonts w:ascii="宋体" w:eastAsia="宋体" w:hAnsi="宋体" w:cs="宋体"/>
        <w:spacing w:val="4"/>
        <w:sz w:val="17"/>
        <w:szCs w:val="17"/>
      </w:rPr>
      <w:t xml:space="preserve"> </w:t>
    </w:r>
    <w:r>
      <w:rPr>
        <w:rFonts w:ascii="宋体" w:eastAsia="宋体" w:hAnsi="宋体" w:cs="宋体"/>
        <w:spacing w:val="-19"/>
        <w:sz w:val="17"/>
        <w:szCs w:val="17"/>
      </w:rPr>
      <w:t>323</w:t>
    </w:r>
    <w:r>
      <w:rPr>
        <w:rFonts w:ascii="宋体" w:eastAsia="宋体" w:hAnsi="宋体" w:cs="宋体"/>
        <w:spacing w:val="57"/>
        <w:sz w:val="17"/>
        <w:szCs w:val="17"/>
      </w:rPr>
      <w:t xml:space="preserve"> </w:t>
    </w:r>
    <w:r>
      <w:rPr>
        <w:rFonts w:ascii="宋体" w:eastAsia="宋体" w:hAnsi="宋体" w:cs="宋体"/>
        <w:spacing w:val="-19"/>
        <w:sz w:val="17"/>
        <w:szCs w:val="17"/>
      </w:rPr>
      <w:t>·</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6"/>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327</w:t>
    </w:r>
    <w:r>
      <w:rPr>
        <w:rFonts w:ascii="宋体" w:eastAsia="宋体" w:hAnsi="宋体" w:cs="宋体"/>
        <w:spacing w:val="54"/>
        <w:sz w:val="17"/>
        <w:szCs w:val="17"/>
      </w:rPr>
      <w:t xml:space="preserve"> </w:t>
    </w:r>
    <w:r>
      <w:rPr>
        <w:rFonts w:ascii="宋体" w:eastAsia="宋体" w:hAnsi="宋体" w:cs="宋体"/>
        <w:spacing w:val="-20"/>
        <w:sz w:val="17"/>
        <w:szCs w:val="17"/>
      </w:rPr>
      <w:t>·</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329</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335</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1"/>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337</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4"/>
      <w:jc w:val="right"/>
      <w:rPr>
        <w:rFonts w:ascii="宋体" w:eastAsia="宋体" w:hAnsi="宋体" w:cs="宋体"/>
        <w:sz w:val="18"/>
        <w:szCs w:val="18"/>
      </w:rPr>
    </w:pPr>
    <w:r>
      <w:rPr>
        <w:rFonts w:ascii="宋体" w:eastAsia="宋体" w:hAnsi="宋体" w:cs="宋体"/>
        <w:spacing w:val="-33"/>
        <w:sz w:val="18"/>
        <w:szCs w:val="18"/>
      </w:rPr>
      <w:t>·</w:t>
    </w:r>
    <w:r>
      <w:rPr>
        <w:rFonts w:ascii="宋体" w:eastAsia="宋体" w:hAnsi="宋体" w:cs="宋体"/>
        <w:spacing w:val="-5"/>
        <w:sz w:val="18"/>
        <w:szCs w:val="18"/>
      </w:rPr>
      <w:t xml:space="preserve"> </w:t>
    </w:r>
    <w:r>
      <w:rPr>
        <w:rFonts w:ascii="宋体" w:eastAsia="宋体" w:hAnsi="宋体" w:cs="宋体"/>
        <w:spacing w:val="-33"/>
        <w:sz w:val="18"/>
        <w:szCs w:val="18"/>
      </w:rPr>
      <w:t>31</w:t>
    </w:r>
    <w:r>
      <w:rPr>
        <w:rFonts w:ascii="宋体" w:eastAsia="宋体" w:hAnsi="宋体" w:cs="宋体"/>
        <w:spacing w:val="41"/>
        <w:sz w:val="18"/>
        <w:szCs w:val="18"/>
      </w:rPr>
      <w:t xml:space="preserve"> </w:t>
    </w:r>
    <w:r>
      <w:rPr>
        <w:rFonts w:ascii="宋体" w:eastAsia="宋体" w:hAnsi="宋体" w:cs="宋体"/>
        <w:spacing w:val="-33"/>
        <w:sz w:val="18"/>
        <w:szCs w:val="18"/>
      </w:rPr>
      <w:t>·</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3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338</w:t>
    </w:r>
    <w:r>
      <w:rPr>
        <w:rFonts w:ascii="宋体" w:eastAsia="宋体" w:hAnsi="宋体" w:cs="宋体"/>
        <w:spacing w:val="49"/>
        <w:sz w:val="18"/>
        <w:szCs w:val="18"/>
      </w:rPr>
      <w:t xml:space="preserve"> </w:t>
    </w:r>
    <w:r>
      <w:rPr>
        <w:rFonts w:ascii="宋体" w:eastAsia="宋体" w:hAnsi="宋体" w:cs="宋体"/>
        <w:spacing w:val="-25"/>
        <w:sz w:val="18"/>
        <w:szCs w:val="18"/>
      </w:rPr>
      <w:t>·</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6"/>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7"/>
        <w:sz w:val="19"/>
        <w:szCs w:val="19"/>
      </w:rPr>
      <w:t xml:space="preserve"> </w:t>
    </w:r>
    <w:r>
      <w:rPr>
        <w:rFonts w:ascii="宋体" w:eastAsia="宋体" w:hAnsi="宋体" w:cs="宋体"/>
        <w:spacing w:val="-30"/>
        <w:sz w:val="19"/>
        <w:szCs w:val="19"/>
      </w:rPr>
      <w:t>339</w:t>
    </w:r>
    <w:r>
      <w:rPr>
        <w:rFonts w:ascii="宋体" w:eastAsia="宋体" w:hAnsi="宋体" w:cs="宋体"/>
        <w:spacing w:val="44"/>
        <w:sz w:val="19"/>
        <w:szCs w:val="19"/>
      </w:rPr>
      <w:t xml:space="preserve"> </w:t>
    </w:r>
    <w:r>
      <w:rPr>
        <w:rFonts w:ascii="宋体" w:eastAsia="宋体" w:hAnsi="宋体" w:cs="宋体"/>
        <w:spacing w:val="-30"/>
        <w:sz w:val="19"/>
        <w:szCs w:val="19"/>
      </w:rPr>
      <w:t>·</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40"/>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340</w:t>
    </w:r>
    <w:r>
      <w:rPr>
        <w:rFonts w:ascii="宋体" w:eastAsia="宋体" w:hAnsi="宋体" w:cs="宋体"/>
        <w:spacing w:val="62"/>
        <w:sz w:val="16"/>
        <w:szCs w:val="16"/>
      </w:rPr>
      <w:t xml:space="preserve"> </w:t>
    </w:r>
    <w:r>
      <w:rPr>
        <w:rFonts w:ascii="宋体" w:eastAsia="宋体" w:hAnsi="宋体" w:cs="宋体"/>
        <w:spacing w:val="-15"/>
        <w:sz w:val="16"/>
        <w:szCs w:val="16"/>
      </w:rPr>
      <w:t>·</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7"/>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341</w:t>
    </w:r>
    <w:r>
      <w:rPr>
        <w:rFonts w:ascii="宋体" w:eastAsia="宋体" w:hAnsi="宋体" w:cs="宋体"/>
        <w:spacing w:val="49"/>
        <w:sz w:val="18"/>
        <w:szCs w:val="18"/>
      </w:rPr>
      <w:t xml:space="preserve"> </w:t>
    </w:r>
    <w:r>
      <w:rPr>
        <w:rFonts w:ascii="宋体" w:eastAsia="宋体" w:hAnsi="宋体" w:cs="宋体"/>
        <w:spacing w:val="-25"/>
        <w:sz w:val="18"/>
        <w:szCs w:val="18"/>
      </w:rPr>
      <w:t>·</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1"/>
      <w:jc w:val="right"/>
      <w:rPr>
        <w:rFonts w:ascii="宋体" w:eastAsia="宋体" w:hAnsi="宋体" w:cs="宋体"/>
        <w:sz w:val="18"/>
        <w:szCs w:val="18"/>
      </w:rPr>
    </w:pPr>
    <w:r>
      <w:rPr>
        <w:rFonts w:ascii="宋体" w:eastAsia="宋体" w:hAnsi="宋体" w:cs="宋体"/>
        <w:spacing w:val="-27"/>
        <w:sz w:val="18"/>
        <w:szCs w:val="18"/>
      </w:rPr>
      <w:t>·</w:t>
    </w:r>
    <w:r>
      <w:rPr>
        <w:rFonts w:ascii="宋体" w:eastAsia="宋体" w:hAnsi="宋体" w:cs="宋体"/>
        <w:sz w:val="18"/>
        <w:szCs w:val="18"/>
      </w:rPr>
      <w:t xml:space="preserve"> </w:t>
    </w:r>
    <w:r>
      <w:rPr>
        <w:rFonts w:ascii="宋体" w:eastAsia="宋体" w:hAnsi="宋体" w:cs="宋体"/>
        <w:spacing w:val="-27"/>
        <w:sz w:val="18"/>
        <w:szCs w:val="18"/>
      </w:rPr>
      <w:t>343</w:t>
    </w:r>
    <w:r>
      <w:rPr>
        <w:rFonts w:ascii="宋体" w:eastAsia="宋体" w:hAnsi="宋体" w:cs="宋体"/>
        <w:spacing w:val="47"/>
        <w:sz w:val="18"/>
        <w:szCs w:val="18"/>
      </w:rPr>
      <w:t xml:space="preserve"> </w:t>
    </w:r>
    <w:r>
      <w:rPr>
        <w:rFonts w:ascii="宋体" w:eastAsia="宋体" w:hAnsi="宋体" w:cs="宋体"/>
        <w:spacing w:val="-27"/>
        <w:sz w:val="18"/>
        <w:szCs w:val="18"/>
      </w:rPr>
      <w:t>·</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7"/>
        <w:sz w:val="19"/>
        <w:szCs w:val="19"/>
      </w:rPr>
      <w:t xml:space="preserve"> </w:t>
    </w:r>
    <w:r>
      <w:rPr>
        <w:rFonts w:ascii="宋体" w:eastAsia="宋体" w:hAnsi="宋体" w:cs="宋体"/>
        <w:spacing w:val="-30"/>
        <w:sz w:val="19"/>
        <w:szCs w:val="19"/>
      </w:rPr>
      <w:t>347</w:t>
    </w:r>
    <w:r>
      <w:rPr>
        <w:rFonts w:ascii="宋体" w:eastAsia="宋体" w:hAnsi="宋体" w:cs="宋体"/>
        <w:spacing w:val="44"/>
        <w:sz w:val="19"/>
        <w:szCs w:val="19"/>
      </w:rPr>
      <w:t xml:space="preserve"> </w:t>
    </w:r>
    <w:r>
      <w:rPr>
        <w:rFonts w:ascii="宋体" w:eastAsia="宋体" w:hAnsi="宋体" w:cs="宋体"/>
        <w:spacing w:val="-30"/>
        <w:sz w:val="19"/>
        <w:szCs w:val="19"/>
      </w:rPr>
      <w:t>·</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2"/>
        <w:sz w:val="18"/>
        <w:szCs w:val="18"/>
      </w:rPr>
      <w:t xml:space="preserve"> </w:t>
    </w:r>
    <w:r>
      <w:rPr>
        <w:rFonts w:ascii="宋体" w:eastAsia="宋体" w:hAnsi="宋体" w:cs="宋体"/>
        <w:spacing w:val="-28"/>
        <w:sz w:val="18"/>
        <w:szCs w:val="18"/>
      </w:rPr>
      <w:t>352</w:t>
    </w:r>
    <w:r>
      <w:rPr>
        <w:rFonts w:ascii="宋体" w:eastAsia="宋体" w:hAnsi="宋体" w:cs="宋体"/>
        <w:spacing w:val="45"/>
        <w:sz w:val="18"/>
        <w:szCs w:val="18"/>
      </w:rPr>
      <w:t xml:space="preserve"> </w:t>
    </w:r>
    <w:r>
      <w:rPr>
        <w:rFonts w:ascii="宋体" w:eastAsia="宋体" w:hAnsi="宋体" w:cs="宋体"/>
        <w:spacing w:val="-28"/>
        <w:sz w:val="18"/>
        <w:szCs w:val="18"/>
      </w:rPr>
      <w:t>·</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5"/>
      <w:jc w:val="right"/>
      <w:rPr>
        <w:rFonts w:ascii="宋体" w:eastAsia="宋体" w:hAnsi="宋体" w:cs="宋体"/>
        <w:sz w:val="16"/>
        <w:szCs w:val="16"/>
      </w:rPr>
    </w:pPr>
    <w:r>
      <w:rPr>
        <w:rFonts w:ascii="宋体" w:eastAsia="宋体" w:hAnsi="宋体" w:cs="宋体"/>
        <w:spacing w:val="-19"/>
        <w:sz w:val="16"/>
        <w:szCs w:val="16"/>
      </w:rPr>
      <w:t>·</w:t>
    </w:r>
    <w:r>
      <w:rPr>
        <w:rFonts w:ascii="宋体" w:eastAsia="宋体" w:hAnsi="宋体" w:cs="宋体"/>
        <w:spacing w:val="6"/>
        <w:sz w:val="16"/>
        <w:szCs w:val="16"/>
      </w:rPr>
      <w:t xml:space="preserve"> </w:t>
    </w:r>
    <w:r>
      <w:rPr>
        <w:rFonts w:ascii="宋体" w:eastAsia="宋体" w:hAnsi="宋体" w:cs="宋体"/>
        <w:spacing w:val="-19"/>
        <w:sz w:val="16"/>
        <w:szCs w:val="16"/>
      </w:rPr>
      <w:t>357</w:t>
    </w:r>
    <w:r>
      <w:rPr>
        <w:rFonts w:ascii="宋体" w:eastAsia="宋体" w:hAnsi="宋体" w:cs="宋体"/>
        <w:spacing w:val="52"/>
        <w:w w:val="101"/>
        <w:sz w:val="16"/>
        <w:szCs w:val="16"/>
      </w:rPr>
      <w:t xml:space="preserve"> </w:t>
    </w:r>
    <w:r>
      <w:rPr>
        <w:rFonts w:ascii="宋体" w:eastAsia="宋体" w:hAnsi="宋体" w:cs="宋体"/>
        <w:spacing w:val="-19"/>
        <w:sz w:val="16"/>
        <w:szCs w:val="16"/>
      </w:rPr>
      <w:t>·</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1"/>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365</w:t>
    </w:r>
    <w:r>
      <w:rPr>
        <w:rFonts w:ascii="宋体" w:eastAsia="宋体" w:hAnsi="宋体" w:cs="宋体"/>
        <w:spacing w:val="54"/>
        <w:sz w:val="17"/>
        <w:szCs w:val="17"/>
      </w:rPr>
      <w:t xml:space="preserve"> </w:t>
    </w:r>
    <w:r>
      <w:rPr>
        <w:rFonts w:ascii="宋体" w:eastAsia="宋体" w:hAnsi="宋体" w:cs="宋体"/>
        <w:spacing w:val="-20"/>
        <w:sz w:val="17"/>
        <w:szCs w:val="17"/>
      </w:rPr>
      <w:t>·</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3"/>
      <w:jc w:val="right"/>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1"/>
        <w:sz w:val="17"/>
        <w:szCs w:val="17"/>
      </w:rPr>
      <w:t xml:space="preserve"> </w:t>
    </w:r>
    <w:r>
      <w:rPr>
        <w:rFonts w:ascii="宋体" w:eastAsia="宋体" w:hAnsi="宋体" w:cs="宋体"/>
        <w:spacing w:val="-24"/>
        <w:sz w:val="17"/>
        <w:szCs w:val="17"/>
      </w:rPr>
      <w:t>367</w:t>
    </w:r>
    <w:r>
      <w:rPr>
        <w:rFonts w:ascii="宋体" w:eastAsia="宋体" w:hAnsi="宋体" w:cs="宋体"/>
        <w:spacing w:val="47"/>
        <w:sz w:val="17"/>
        <w:szCs w:val="17"/>
      </w:rPr>
      <w:t xml:space="preserve"> </w:t>
    </w:r>
    <w:r>
      <w:rPr>
        <w:rFonts w:ascii="宋体" w:eastAsia="宋体" w:hAnsi="宋体" w:cs="宋体"/>
        <w:spacing w:val="-24"/>
        <w:sz w:val="17"/>
        <w:szCs w:val="17"/>
      </w:rPr>
      <w:t>·</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375</w:t>
    </w:r>
    <w:r>
      <w:rPr>
        <w:rFonts w:ascii="宋体" w:eastAsia="宋体" w:hAnsi="宋体" w:cs="宋体"/>
        <w:spacing w:val="49"/>
        <w:sz w:val="18"/>
        <w:szCs w:val="18"/>
      </w:rPr>
      <w:t xml:space="preserve"> </w:t>
    </w:r>
    <w:r>
      <w:rPr>
        <w:rFonts w:ascii="宋体" w:eastAsia="宋体" w:hAnsi="宋体" w:cs="宋体"/>
        <w:spacing w:val="-25"/>
        <w:sz w:val="18"/>
        <w:szCs w:val="18"/>
      </w:rPr>
      <w:t>·</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6"/>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377</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1"/>
        <w:sz w:val="17"/>
        <w:szCs w:val="17"/>
      </w:rPr>
      <w:t xml:space="preserve"> </w:t>
    </w:r>
    <w:r>
      <w:rPr>
        <w:rFonts w:ascii="宋体" w:eastAsia="宋体" w:hAnsi="宋体" w:cs="宋体"/>
        <w:spacing w:val="-25"/>
        <w:sz w:val="17"/>
        <w:szCs w:val="17"/>
      </w:rPr>
      <w:t>38</w:t>
    </w:r>
    <w:r>
      <w:rPr>
        <w:rFonts w:ascii="宋体" w:eastAsia="宋体" w:hAnsi="宋体" w:cs="宋体"/>
        <w:spacing w:val="51"/>
        <w:sz w:val="17"/>
        <w:szCs w:val="17"/>
      </w:rPr>
      <w:t xml:space="preserve"> </w:t>
    </w:r>
    <w:r>
      <w:rPr>
        <w:rFonts w:ascii="宋体" w:eastAsia="宋体" w:hAnsi="宋体" w:cs="宋体"/>
        <w:spacing w:val="-25"/>
        <w:sz w:val="17"/>
        <w:szCs w:val="17"/>
      </w:rPr>
      <w:t>·</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0"/>
      <w:jc w:val="right"/>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379</w:t>
    </w:r>
    <w:r>
      <w:rPr>
        <w:rFonts w:ascii="宋体" w:eastAsia="宋体" w:hAnsi="宋体" w:cs="宋体"/>
        <w:spacing w:val="62"/>
        <w:sz w:val="16"/>
        <w:szCs w:val="16"/>
      </w:rPr>
      <w:t xml:space="preserve"> </w:t>
    </w:r>
    <w:r>
      <w:rPr>
        <w:rFonts w:ascii="宋体" w:eastAsia="宋体" w:hAnsi="宋体" w:cs="宋体"/>
        <w:spacing w:val="-15"/>
        <w:sz w:val="16"/>
        <w:szCs w:val="16"/>
      </w:rPr>
      <w:t>·</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5"/>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z w:val="18"/>
        <w:szCs w:val="18"/>
      </w:rPr>
      <w:t xml:space="preserve"> </w:t>
    </w:r>
    <w:r>
      <w:rPr>
        <w:rFonts w:ascii="宋体" w:eastAsia="宋体" w:hAnsi="宋体" w:cs="宋体"/>
        <w:spacing w:val="-25"/>
        <w:sz w:val="18"/>
        <w:szCs w:val="18"/>
      </w:rPr>
      <w:t>381</w:t>
    </w:r>
    <w:r>
      <w:rPr>
        <w:rFonts w:ascii="宋体" w:eastAsia="宋体" w:hAnsi="宋体" w:cs="宋体"/>
        <w:spacing w:val="23"/>
        <w:w w:val="101"/>
        <w:sz w:val="18"/>
        <w:szCs w:val="18"/>
      </w:rPr>
      <w:t xml:space="preserve"> </w:t>
    </w:r>
    <w:r>
      <w:rPr>
        <w:rFonts w:ascii="宋体" w:eastAsia="宋体" w:hAnsi="宋体" w:cs="宋体"/>
        <w:spacing w:val="-25"/>
        <w:sz w:val="18"/>
        <w:szCs w:val="18"/>
      </w:rPr>
      <w:t>·</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6"/>
        <w:szCs w:val="16"/>
      </w:rPr>
    </w:pPr>
    <w:r>
      <w:rPr>
        <w:rFonts w:ascii="宋体" w:eastAsia="宋体" w:hAnsi="宋体" w:cs="宋体"/>
        <w:spacing w:val="-15"/>
        <w:sz w:val="16"/>
        <w:szCs w:val="16"/>
      </w:rPr>
      <w:t>·</w:t>
    </w:r>
    <w:r>
      <w:rPr>
        <w:rFonts w:ascii="宋体" w:eastAsia="宋体" w:hAnsi="宋体" w:cs="宋体"/>
        <w:spacing w:val="12"/>
        <w:sz w:val="16"/>
        <w:szCs w:val="16"/>
      </w:rPr>
      <w:t xml:space="preserve"> </w:t>
    </w:r>
    <w:r>
      <w:rPr>
        <w:rFonts w:ascii="宋体" w:eastAsia="宋体" w:hAnsi="宋体" w:cs="宋体"/>
        <w:spacing w:val="-15"/>
        <w:sz w:val="16"/>
        <w:szCs w:val="16"/>
      </w:rPr>
      <w:t>382</w:t>
    </w:r>
    <w:r>
      <w:rPr>
        <w:rFonts w:ascii="宋体" w:eastAsia="宋体" w:hAnsi="宋体" w:cs="宋体"/>
        <w:spacing w:val="62"/>
        <w:sz w:val="16"/>
        <w:szCs w:val="16"/>
      </w:rPr>
      <w:t xml:space="preserve"> </w:t>
    </w:r>
    <w:r>
      <w:rPr>
        <w:rFonts w:ascii="宋体" w:eastAsia="宋体" w:hAnsi="宋体" w:cs="宋体"/>
        <w:spacing w:val="-15"/>
        <w:sz w:val="16"/>
        <w:szCs w:val="16"/>
      </w:rPr>
      <w:t>·</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5"/>
      <w:jc w:val="right"/>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4"/>
        <w:sz w:val="18"/>
        <w:szCs w:val="18"/>
      </w:rPr>
      <w:t xml:space="preserve"> </w:t>
    </w:r>
    <w:r>
      <w:rPr>
        <w:rFonts w:ascii="宋体" w:eastAsia="宋体" w:hAnsi="宋体" w:cs="宋体"/>
        <w:spacing w:val="-29"/>
        <w:sz w:val="18"/>
        <w:szCs w:val="18"/>
      </w:rPr>
      <w:t>383</w:t>
    </w:r>
    <w:r>
      <w:rPr>
        <w:rFonts w:ascii="宋体" w:eastAsia="宋体" w:hAnsi="宋体" w:cs="宋体"/>
        <w:spacing w:val="42"/>
        <w:w w:val="101"/>
        <w:sz w:val="18"/>
        <w:szCs w:val="18"/>
      </w:rPr>
      <w:t xml:space="preserve"> </w:t>
    </w:r>
    <w:r>
      <w:rPr>
        <w:rFonts w:ascii="宋体" w:eastAsia="宋体" w:hAnsi="宋体" w:cs="宋体"/>
        <w:spacing w:val="-29"/>
        <w:sz w:val="18"/>
        <w:szCs w:val="18"/>
      </w:rPr>
      <w:t>·</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00"/>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5"/>
        <w:sz w:val="17"/>
        <w:szCs w:val="17"/>
      </w:rPr>
      <w:t xml:space="preserve"> </w:t>
    </w:r>
    <w:r>
      <w:rPr>
        <w:rFonts w:ascii="宋体" w:eastAsia="宋体" w:hAnsi="宋体" w:cs="宋体"/>
        <w:spacing w:val="-22"/>
        <w:sz w:val="17"/>
        <w:szCs w:val="17"/>
      </w:rPr>
      <w:t>386</w:t>
    </w:r>
    <w:r>
      <w:rPr>
        <w:rFonts w:ascii="宋体" w:eastAsia="宋体" w:hAnsi="宋体" w:cs="宋体"/>
        <w:spacing w:val="52"/>
        <w:sz w:val="17"/>
        <w:szCs w:val="17"/>
      </w:rPr>
      <w:t xml:space="preserve"> </w:t>
    </w:r>
    <w:r>
      <w:rPr>
        <w:rFonts w:ascii="宋体" w:eastAsia="宋体" w:hAnsi="宋体" w:cs="宋体"/>
        <w:spacing w:val="-22"/>
        <w:sz w:val="17"/>
        <w:szCs w:val="17"/>
      </w:rPr>
      <w:t>·</w: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46"/>
      <w:jc w:val="right"/>
      <w:rPr>
        <w:rFonts w:ascii="宋体" w:eastAsia="宋体" w:hAnsi="宋体" w:cs="宋体"/>
        <w:sz w:val="22"/>
        <w:szCs w:val="22"/>
      </w:rPr>
    </w:pPr>
    <w:r>
      <w:rPr>
        <w:rFonts w:ascii="宋体" w:eastAsia="宋体" w:hAnsi="宋体" w:cs="宋体"/>
        <w:spacing w:val="-35"/>
        <w:sz w:val="22"/>
        <w:szCs w:val="22"/>
      </w:rPr>
      <w:t>·</w:t>
    </w:r>
    <w:r>
      <w:rPr>
        <w:rFonts w:ascii="宋体" w:eastAsia="宋体" w:hAnsi="宋体" w:cs="宋体"/>
        <w:spacing w:val="-3"/>
        <w:sz w:val="22"/>
        <w:szCs w:val="22"/>
      </w:rPr>
      <w:t xml:space="preserve"> </w:t>
    </w:r>
    <w:r>
      <w:rPr>
        <w:rFonts w:ascii="宋体" w:eastAsia="宋体" w:hAnsi="宋体" w:cs="宋体"/>
        <w:spacing w:val="-35"/>
        <w:sz w:val="22"/>
        <w:szCs w:val="22"/>
      </w:rPr>
      <w:t>389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before="1"/>
      <w:ind w:right="89"/>
      <w:jc w:val="right"/>
      <w:rPr>
        <w:rFonts w:ascii="宋体" w:eastAsia="宋体" w:hAnsi="宋体" w:cs="宋体"/>
      </w:rPr>
    </w:pPr>
    <w:r>
      <w:rPr>
        <w:rFonts w:ascii="宋体" w:eastAsia="宋体" w:hAnsi="宋体" w:cs="宋体"/>
        <w:spacing w:val="-51"/>
      </w:rPr>
      <w:t>·</w:t>
    </w:r>
    <w:r>
      <w:rPr>
        <w:rFonts w:ascii="宋体" w:eastAsia="宋体" w:hAnsi="宋体" w:cs="宋体"/>
        <w:spacing w:val="-19"/>
      </w:rPr>
      <w:t xml:space="preserve"> </w:t>
    </w:r>
    <w:r>
      <w:rPr>
        <w:rFonts w:ascii="宋体" w:eastAsia="宋体" w:hAnsi="宋体" w:cs="宋体"/>
        <w:spacing w:val="-51"/>
      </w:rPr>
      <w:t>ili</w:t>
    </w:r>
    <w:r>
      <w:rPr>
        <w:rFonts w:ascii="宋体" w:eastAsia="宋体" w:hAnsi="宋体" w:cs="宋体"/>
        <w:spacing w:val="15"/>
      </w:rPr>
      <w:t xml:space="preserve"> </w:t>
    </w:r>
    <w:r>
      <w:rPr>
        <w:rFonts w:ascii="宋体" w:eastAsia="宋体" w:hAnsi="宋体" w:cs="宋体"/>
        <w:spacing w:val="-51"/>
      </w:rPr>
      <w:t>·</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2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2"/>
        <w:sz w:val="18"/>
        <w:szCs w:val="18"/>
      </w:rPr>
      <w:t xml:space="preserve"> </w:t>
    </w:r>
    <w:r>
      <w:rPr>
        <w:rFonts w:ascii="宋体" w:eastAsia="宋体" w:hAnsi="宋体" w:cs="宋体"/>
        <w:spacing w:val="-25"/>
        <w:sz w:val="18"/>
        <w:szCs w:val="18"/>
      </w:rPr>
      <w:t>390</w:t>
    </w:r>
    <w:r>
      <w:rPr>
        <w:rFonts w:ascii="宋体" w:eastAsia="宋体" w:hAnsi="宋体" w:cs="宋体"/>
        <w:spacing w:val="49"/>
        <w:sz w:val="18"/>
        <w:szCs w:val="18"/>
      </w:rPr>
      <w:t xml:space="preserve"> </w:t>
    </w:r>
    <w:r>
      <w:rPr>
        <w:rFonts w:ascii="宋体" w:eastAsia="宋体" w:hAnsi="宋体" w:cs="宋体"/>
        <w:spacing w:val="-25"/>
        <w:sz w:val="18"/>
        <w:szCs w:val="18"/>
      </w:rPr>
      <w:t>·</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89"/>
      <w:jc w:val="right"/>
      <w:rPr>
        <w:rFonts w:ascii="宋体" w:eastAsia="宋体" w:hAnsi="宋体" w:cs="宋体"/>
        <w:sz w:val="17"/>
        <w:szCs w:val="17"/>
      </w:rPr>
    </w:pPr>
    <w:r>
      <w:rPr>
        <w:rFonts w:ascii="宋体" w:eastAsia="宋体" w:hAnsi="宋体" w:cs="宋体"/>
        <w:spacing w:val="-16"/>
        <w:sz w:val="17"/>
        <w:szCs w:val="17"/>
      </w:rPr>
      <w:t>·</w:t>
    </w:r>
    <w:r>
      <w:rPr>
        <w:rFonts w:ascii="宋体" w:eastAsia="宋体" w:hAnsi="宋体" w:cs="宋体"/>
        <w:spacing w:val="13"/>
        <w:sz w:val="17"/>
        <w:szCs w:val="17"/>
      </w:rPr>
      <w:t xml:space="preserve"> </w:t>
    </w:r>
    <w:r>
      <w:rPr>
        <w:rFonts w:ascii="宋体" w:eastAsia="宋体" w:hAnsi="宋体" w:cs="宋体"/>
        <w:spacing w:val="-16"/>
        <w:sz w:val="17"/>
        <w:szCs w:val="17"/>
      </w:rPr>
      <w:t>391</w:t>
    </w:r>
    <w:r>
      <w:rPr>
        <w:rFonts w:ascii="宋体" w:eastAsia="宋体" w:hAnsi="宋体" w:cs="宋体"/>
        <w:spacing w:val="21"/>
        <w:sz w:val="17"/>
        <w:szCs w:val="17"/>
      </w:rPr>
      <w:t xml:space="preserve"> </w:t>
    </w:r>
    <w:r>
      <w:rPr>
        <w:rFonts w:ascii="宋体" w:eastAsia="宋体" w:hAnsi="宋体" w:cs="宋体"/>
        <w:spacing w:val="-16"/>
        <w:sz w:val="17"/>
        <w:szCs w:val="17"/>
      </w:rPr>
      <w:t>·</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56"/>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3"/>
        <w:sz w:val="17"/>
        <w:szCs w:val="17"/>
      </w:rPr>
      <w:t xml:space="preserve"> </w:t>
    </w:r>
    <w:r>
      <w:rPr>
        <w:rFonts w:ascii="宋体" w:eastAsia="宋体" w:hAnsi="宋体" w:cs="宋体"/>
        <w:spacing w:val="-20"/>
        <w:sz w:val="17"/>
        <w:szCs w:val="17"/>
      </w:rPr>
      <w:t>393</w:t>
    </w:r>
    <w:r>
      <w:rPr>
        <w:rFonts w:ascii="宋体" w:eastAsia="宋体" w:hAnsi="宋体" w:cs="宋体"/>
        <w:spacing w:val="54"/>
        <w:sz w:val="17"/>
        <w:szCs w:val="17"/>
      </w:rPr>
      <w:t xml:space="preserve"> </w:t>
    </w:r>
    <w:r>
      <w:rPr>
        <w:rFonts w:ascii="宋体" w:eastAsia="宋体" w:hAnsi="宋体" w:cs="宋体"/>
        <w:spacing w:val="-20"/>
        <w:sz w:val="17"/>
        <w:szCs w:val="17"/>
      </w:rPr>
      <w:t>·</w: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82"/>
      <w:jc w:val="right"/>
      <w:rPr>
        <w:rFonts w:ascii="宋体" w:eastAsia="宋体" w:hAnsi="宋体" w:cs="宋体"/>
        <w:sz w:val="14"/>
        <w:szCs w:val="14"/>
      </w:rPr>
    </w:pPr>
    <w:r>
      <w:rPr>
        <w:rFonts w:ascii="宋体" w:eastAsia="宋体" w:hAnsi="宋体" w:cs="宋体"/>
        <w:spacing w:val="-13"/>
        <w:sz w:val="14"/>
        <w:szCs w:val="14"/>
      </w:rPr>
      <w:t>·</w:t>
    </w:r>
    <w:r>
      <w:rPr>
        <w:rFonts w:ascii="宋体" w:eastAsia="宋体" w:hAnsi="宋体" w:cs="宋体"/>
        <w:spacing w:val="43"/>
        <w:w w:val="101"/>
        <w:sz w:val="14"/>
        <w:szCs w:val="14"/>
      </w:rPr>
      <w:t xml:space="preserve"> </w:t>
    </w:r>
    <w:r>
      <w:rPr>
        <w:rFonts w:ascii="宋体" w:eastAsia="宋体" w:hAnsi="宋体" w:cs="宋体"/>
        <w:spacing w:val="-13"/>
        <w:sz w:val="14"/>
        <w:szCs w:val="14"/>
      </w:rPr>
      <w:t>397</w:t>
    </w:r>
    <w:r>
      <w:rPr>
        <w:rFonts w:ascii="宋体" w:eastAsia="宋体" w:hAnsi="宋体" w:cs="宋体"/>
        <w:spacing w:val="8"/>
        <w:sz w:val="14"/>
        <w:szCs w:val="14"/>
      </w:rPr>
      <w:t xml:space="preserve">  </w:t>
    </w:r>
    <w:r>
      <w:rPr>
        <w:rFonts w:ascii="宋体" w:eastAsia="宋体" w:hAnsi="宋体" w:cs="宋体"/>
        <w:spacing w:val="-13"/>
        <w:sz w:val="14"/>
        <w:szCs w:val="14"/>
      </w:rPr>
      <w:t>·</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60"/>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402</w:t>
    </w:r>
    <w:r>
      <w:rPr>
        <w:rFonts w:ascii="宋体" w:eastAsia="宋体" w:hAnsi="宋体" w:cs="宋体"/>
        <w:spacing w:val="49"/>
        <w:w w:val="101"/>
        <w:sz w:val="18"/>
        <w:szCs w:val="18"/>
      </w:rPr>
      <w:t xml:space="preserve"> </w:t>
    </w:r>
    <w:r>
      <w:rPr>
        <w:rFonts w:ascii="宋体" w:eastAsia="宋体" w:hAnsi="宋体" w:cs="宋体"/>
        <w:spacing w:val="-25"/>
        <w:sz w:val="18"/>
        <w:szCs w:val="18"/>
      </w:rPr>
      <w:t>·</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405</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right="15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
        <w:sz w:val="17"/>
        <w:szCs w:val="17"/>
      </w:rPr>
      <w:t xml:space="preserve"> </w:t>
    </w:r>
    <w:r>
      <w:rPr>
        <w:rFonts w:ascii="宋体" w:eastAsia="宋体" w:hAnsi="宋体" w:cs="宋体"/>
        <w:spacing w:val="-23"/>
        <w:sz w:val="17"/>
        <w:szCs w:val="17"/>
      </w:rPr>
      <w:t>41</w:t>
    </w:r>
    <w:r>
      <w:rPr>
        <w:rFonts w:ascii="宋体" w:eastAsia="宋体" w:hAnsi="宋体" w:cs="宋体"/>
        <w:spacing w:val="55"/>
        <w:sz w:val="17"/>
        <w:szCs w:val="17"/>
      </w:rPr>
      <w:t xml:space="preserve"> </w:t>
    </w:r>
    <w:r>
      <w:rPr>
        <w:rFonts w:ascii="宋体" w:eastAsia="宋体" w:hAnsi="宋体" w:cs="宋体"/>
        <w:spacing w:val="-23"/>
        <w:sz w:val="17"/>
        <w:szCs w:val="17"/>
      </w:rPr>
      <w:t>·</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407</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2"/>
      <w:jc w:val="right"/>
      <w:rPr>
        <w:rFonts w:ascii="宋体" w:eastAsia="宋体" w:hAnsi="宋体" w:cs="宋体"/>
        <w:sz w:val="18"/>
        <w:szCs w:val="18"/>
      </w:rPr>
    </w:pPr>
    <w:r>
      <w:rPr>
        <w:rFonts w:ascii="宋体" w:eastAsia="宋体" w:hAnsi="宋体" w:cs="宋体"/>
        <w:spacing w:val="-26"/>
        <w:sz w:val="18"/>
        <w:szCs w:val="18"/>
      </w:rPr>
      <w:t>·</w:t>
    </w:r>
    <w:r>
      <w:rPr>
        <w:rFonts w:ascii="宋体" w:eastAsia="宋体" w:hAnsi="宋体" w:cs="宋体"/>
        <w:spacing w:val="-5"/>
        <w:sz w:val="18"/>
        <w:szCs w:val="18"/>
      </w:rPr>
      <w:t xml:space="preserve"> </w:t>
    </w:r>
    <w:r>
      <w:rPr>
        <w:rFonts w:ascii="宋体" w:eastAsia="宋体" w:hAnsi="宋体" w:cs="宋体"/>
        <w:spacing w:val="-26"/>
        <w:sz w:val="18"/>
        <w:szCs w:val="18"/>
      </w:rPr>
      <w:t>409</w:t>
    </w:r>
    <w:r>
      <w:rPr>
        <w:rFonts w:ascii="宋体" w:eastAsia="宋体" w:hAnsi="宋体" w:cs="宋体"/>
        <w:spacing w:val="47"/>
        <w:sz w:val="18"/>
        <w:szCs w:val="18"/>
      </w:rPr>
      <w:t xml:space="preserve"> </w:t>
    </w:r>
    <w:r>
      <w:rPr>
        <w:rFonts w:ascii="宋体" w:eastAsia="宋体" w:hAnsi="宋体" w:cs="宋体"/>
        <w:spacing w:val="-26"/>
        <w:sz w:val="18"/>
        <w:szCs w:val="18"/>
      </w:rPr>
      <w:t>·</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0"/>
      <w:jc w:val="right"/>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spacing w:val="3"/>
        <w:sz w:val="16"/>
        <w:szCs w:val="16"/>
      </w:rPr>
      <w:t xml:space="preserve"> </w:t>
    </w:r>
    <w:r>
      <w:rPr>
        <w:rFonts w:ascii="宋体" w:eastAsia="宋体" w:hAnsi="宋体" w:cs="宋体"/>
        <w:spacing w:val="-17"/>
        <w:sz w:val="16"/>
        <w:szCs w:val="16"/>
      </w:rPr>
      <w:t>413</w:t>
    </w:r>
    <w:r>
      <w:rPr>
        <w:rFonts w:ascii="宋体" w:eastAsia="宋体" w:hAnsi="宋体" w:cs="宋体"/>
        <w:spacing w:val="55"/>
        <w:sz w:val="16"/>
        <w:szCs w:val="16"/>
      </w:rPr>
      <w:t xml:space="preserve"> </w:t>
    </w:r>
    <w:r>
      <w:rPr>
        <w:rFonts w:ascii="宋体" w:eastAsia="宋体" w:hAnsi="宋体" w:cs="宋体"/>
        <w:spacing w:val="-17"/>
        <w:sz w:val="16"/>
        <w:szCs w:val="16"/>
      </w:rPr>
      <w:t>·</w: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left="130"/>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414</w:t>
    </w:r>
    <w:r>
      <w:rPr>
        <w:rFonts w:ascii="宋体" w:eastAsia="宋体" w:hAnsi="宋体" w:cs="宋体"/>
        <w:spacing w:val="55"/>
        <w:sz w:val="17"/>
        <w:szCs w:val="17"/>
      </w:rPr>
      <w:t xml:space="preserve"> </w:t>
    </w:r>
    <w:r>
      <w:rPr>
        <w:rFonts w:ascii="宋体" w:eastAsia="宋体" w:hAnsi="宋体" w:cs="宋体"/>
        <w:spacing w:val="-20"/>
        <w:sz w:val="17"/>
        <w:szCs w:val="17"/>
      </w:rPr>
      <w:t>·</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0"/>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4"/>
        <w:sz w:val="17"/>
        <w:szCs w:val="17"/>
      </w:rPr>
      <w:t xml:space="preserve"> </w:t>
    </w:r>
    <w:r>
      <w:rPr>
        <w:rFonts w:ascii="宋体" w:eastAsia="宋体" w:hAnsi="宋体" w:cs="宋体"/>
        <w:spacing w:val="-23"/>
        <w:sz w:val="17"/>
        <w:szCs w:val="17"/>
      </w:rPr>
      <w:t>415</w:t>
    </w:r>
    <w:r>
      <w:rPr>
        <w:rFonts w:ascii="宋体" w:eastAsia="宋体" w:hAnsi="宋体" w:cs="宋体"/>
        <w:spacing w:val="47"/>
        <w:sz w:val="17"/>
        <w:szCs w:val="17"/>
      </w:rPr>
      <w:t xml:space="preserve"> </w:t>
    </w:r>
    <w:r>
      <w:rPr>
        <w:rFonts w:ascii="宋体" w:eastAsia="宋体" w:hAnsi="宋体" w:cs="宋体"/>
        <w:spacing w:val="-23"/>
        <w:sz w:val="17"/>
        <w:szCs w:val="17"/>
      </w:rPr>
      <w:t>·</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4"/>
        <w:sz w:val="17"/>
        <w:szCs w:val="17"/>
      </w:rPr>
      <w:t xml:space="preserve"> </w:t>
    </w:r>
    <w:r>
      <w:rPr>
        <w:rFonts w:ascii="宋体" w:eastAsia="宋体" w:hAnsi="宋体" w:cs="宋体"/>
        <w:spacing w:val="-23"/>
        <w:sz w:val="17"/>
        <w:szCs w:val="17"/>
      </w:rPr>
      <w:t>419</w:t>
    </w:r>
    <w:r>
      <w:rPr>
        <w:rFonts w:ascii="宋体" w:eastAsia="宋体" w:hAnsi="宋体" w:cs="宋体"/>
        <w:spacing w:val="47"/>
        <w:w w:val="101"/>
        <w:sz w:val="17"/>
        <w:szCs w:val="17"/>
      </w:rPr>
      <w:t xml:space="preserve"> </w:t>
    </w:r>
    <w:r>
      <w:rPr>
        <w:rFonts w:ascii="宋体" w:eastAsia="宋体" w:hAnsi="宋体" w:cs="宋体"/>
        <w:spacing w:val="-23"/>
        <w:sz w:val="17"/>
        <w:szCs w:val="17"/>
      </w:rPr>
      <w:t>·</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69"/>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
        <w:sz w:val="17"/>
        <w:szCs w:val="17"/>
      </w:rPr>
      <w:t xml:space="preserve"> </w:t>
    </w:r>
    <w:r>
      <w:rPr>
        <w:rFonts w:ascii="宋体" w:eastAsia="宋体" w:hAnsi="宋体" w:cs="宋体"/>
        <w:spacing w:val="-17"/>
        <w:sz w:val="17"/>
        <w:szCs w:val="17"/>
      </w:rPr>
      <w:t>420</w:t>
    </w:r>
    <w:r>
      <w:rPr>
        <w:rFonts w:ascii="宋体" w:eastAsia="宋体" w:hAnsi="宋体" w:cs="宋体"/>
        <w:spacing w:val="59"/>
        <w:sz w:val="17"/>
        <w:szCs w:val="17"/>
      </w:rPr>
      <w:t xml:space="preserve"> </w:t>
    </w:r>
    <w:r>
      <w:rPr>
        <w:rFonts w:ascii="宋体" w:eastAsia="宋体" w:hAnsi="宋体" w:cs="宋体"/>
        <w:spacing w:val="-17"/>
        <w:sz w:val="17"/>
        <w:szCs w:val="17"/>
      </w:rPr>
      <w:t>·</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before="210" w:line="241" w:lineRule="auto"/>
      <w:ind w:right="57"/>
      <w:jc w:val="right"/>
      <w:rPr>
        <w:rFonts w:ascii="宋体" w:eastAsia="宋体" w:hAnsi="宋体" w:cs="宋体"/>
        <w:sz w:val="18"/>
        <w:szCs w:val="18"/>
      </w:rPr>
    </w:pPr>
    <w:r>
      <w:rPr>
        <w:noProof/>
      </w:rPr>
      <mc:AlternateContent>
        <mc:Choice Requires="wps">
          <w:drawing>
            <wp:anchor distT="0" distB="0" distL="114300" distR="114300" simplePos="0" relativeHeight="251685888" behindDoc="0" locked="0" layoutInCell="0" allowOverlap="1">
              <wp:simplePos x="0" y="0"/>
              <wp:positionH relativeFrom="page">
                <wp:posOffset>539115</wp:posOffset>
              </wp:positionH>
              <wp:positionV relativeFrom="page">
                <wp:posOffset>7521575</wp:posOffset>
              </wp:positionV>
              <wp:extent cx="4674235" cy="6350"/>
              <wp:effectExtent l="5715" t="6350" r="6350" b="6350"/>
              <wp:wrapNone/>
              <wp:docPr id="8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4235" cy="6350"/>
                      </a:xfrm>
                      <a:custGeom>
                        <a:avLst/>
                        <a:gdLst>
                          <a:gd name="T0" fmla="*/ 0 w 7360"/>
                          <a:gd name="T1" fmla="*/ 5 h 10"/>
                          <a:gd name="T2" fmla="*/ 1360 w 7360"/>
                          <a:gd name="T3" fmla="*/ 5 h 10"/>
                          <a:gd name="T4" fmla="*/ 1360 w 7360"/>
                          <a:gd name="T5" fmla="*/ 5 h 10"/>
                          <a:gd name="T6" fmla="*/ 5000 w 7360"/>
                          <a:gd name="T7" fmla="*/ 5 h 10"/>
                          <a:gd name="T8" fmla="*/ 5000 w 7360"/>
                          <a:gd name="T9" fmla="*/ 5 h 10"/>
                          <a:gd name="T10" fmla="*/ 5990 w 7360"/>
                          <a:gd name="T11" fmla="*/ 5 h 10"/>
                          <a:gd name="T12" fmla="*/ 5990 w 7360"/>
                          <a:gd name="T13" fmla="*/ 5 h 10"/>
                          <a:gd name="T14" fmla="*/ 7360 w 736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60" h="10">
                            <a:moveTo>
                              <a:pt x="0" y="5"/>
                            </a:moveTo>
                            <a:lnTo>
                              <a:pt x="1360" y="5"/>
                            </a:lnTo>
                            <a:moveTo>
                              <a:pt x="1360" y="5"/>
                            </a:moveTo>
                            <a:lnTo>
                              <a:pt x="5000" y="5"/>
                            </a:lnTo>
                            <a:moveTo>
                              <a:pt x="5000" y="5"/>
                            </a:moveTo>
                            <a:lnTo>
                              <a:pt x="5990" y="5"/>
                            </a:lnTo>
                            <a:moveTo>
                              <a:pt x="5990" y="5"/>
                            </a:moveTo>
                            <a:lnTo>
                              <a:pt x="736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EE16" id="AutoShape 11" o:spid="_x0000_s1026" style="position:absolute;left:0;text-align:left;margin-left:42.45pt;margin-top:592.25pt;width:368.05pt;height:.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" o:allowincell="f" path="m,5r1360,m1360,5r3640,m5000,5r990,m5990,5r1370,e" filled="f" strokeweight=".5pt">
              <v:stroke miterlimit="10" joinstyle="miter"/>
              <v:path o:connecttype="custom" o:connectlocs="0,3175;863717,3175;863717,3175;3175431,3175;3175431,3175;3804167,3175;3804167,3175;4674235,3175" o:connectangles="0,0,0,0,0,0,0,0"/>
              <w10:wrap anchorx="page" anchory="page"/>
            </v:shape>
          </w:pict>
        </mc:Fallback>
      </mc:AlternateContent>
    </w:r>
    <w:r w:rsidR="00E86C16">
      <w:rPr>
        <w:rFonts w:ascii="宋体" w:eastAsia="宋体" w:hAnsi="宋体" w:cs="宋体"/>
        <w:spacing w:val="-24"/>
        <w:sz w:val="18"/>
        <w:szCs w:val="18"/>
      </w:rPr>
      <w:t>·</w:t>
    </w:r>
    <w:r w:rsidR="00E86C16">
      <w:rPr>
        <w:rFonts w:ascii="宋体" w:eastAsia="宋体" w:hAnsi="宋体" w:cs="宋体"/>
        <w:spacing w:val="-1"/>
        <w:sz w:val="18"/>
        <w:szCs w:val="18"/>
      </w:rPr>
      <w:t xml:space="preserve"> </w:t>
    </w:r>
    <w:r w:rsidR="00E86C16">
      <w:rPr>
        <w:rFonts w:ascii="宋体" w:eastAsia="宋体" w:hAnsi="宋体" w:cs="宋体"/>
        <w:spacing w:val="-24"/>
        <w:sz w:val="18"/>
        <w:szCs w:val="18"/>
      </w:rPr>
      <w:t>421</w:t>
    </w:r>
    <w:r w:rsidR="00E86C16">
      <w:rPr>
        <w:rFonts w:ascii="宋体" w:eastAsia="宋体" w:hAnsi="宋体" w:cs="宋体"/>
        <w:spacing w:val="52"/>
        <w:sz w:val="18"/>
        <w:szCs w:val="18"/>
      </w:rPr>
      <w:t xml:space="preserve"> </w:t>
    </w:r>
    <w:r w:rsidR="00E86C16">
      <w:rPr>
        <w:rFonts w:ascii="宋体" w:eastAsia="宋体" w:hAnsi="宋体" w:cs="宋体"/>
        <w:spacing w:val="-24"/>
        <w:sz w:val="18"/>
        <w:szCs w:val="18"/>
      </w:rPr>
      <w:t>·</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after="23" w:line="112" w:lineRule="exact"/>
      <w:textAlignment w:val="center"/>
    </w:pPr>
    <w:r>
      <w:rPr>
        <w:noProof/>
      </w:rPr>
      <mc:AlternateContent>
        <mc:Choice Requires="wps">
          <w:drawing>
            <wp:anchor distT="0" distB="0" distL="114300" distR="114300" simplePos="0" relativeHeight="251687936" behindDoc="0" locked="0" layoutInCell="0" allowOverlap="1">
              <wp:simplePos x="0" y="0"/>
              <wp:positionH relativeFrom="page">
                <wp:posOffset>629285</wp:posOffset>
              </wp:positionH>
              <wp:positionV relativeFrom="page">
                <wp:posOffset>4780915</wp:posOffset>
              </wp:positionV>
              <wp:extent cx="171450" cy="195580"/>
              <wp:effectExtent l="635"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179" w:lineRule="auto"/>
                            <w:ind w:left="20"/>
                            <w:rPr>
                              <w:rFonts w:ascii="宋体" w:eastAsia="宋体" w:hAnsi="宋体" w:cs="宋体"/>
                              <w:sz w:val="23"/>
                              <w:szCs w:val="23"/>
                            </w:rPr>
                          </w:pPr>
                          <w:r>
                            <w:rPr>
                              <w:rFonts w:ascii="宋体" w:eastAsia="宋体" w:hAnsi="宋体" w:cs="宋体"/>
                              <w:spacing w:val="-21"/>
                              <w:w w:val="95"/>
                              <w:sz w:val="23"/>
                              <w:szCs w:val="23"/>
                            </w:rPr>
                            <w:t>423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9" type="#_x0000_t202" style="position:absolute;margin-left:49.55pt;margin-top:376.45pt;width:13.5pt;height:15.4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" o:allowincell="f" filled="f" stroked="f">
              <v:textbox style="layout-flow:vertical-ideographic" inset="0,0,0,0">
                <w:txbxContent>
                  <w:p w:rsidR="00E86C16" w:rsidRDefault="00E86C16">
                    <w:pPr>
                      <w:spacing w:before="20" w:line="179" w:lineRule="auto"/>
                      <w:ind w:left="20"/>
                      <w:rPr>
                        <w:rFonts w:ascii="宋体" w:eastAsia="宋体" w:hAnsi="宋体" w:cs="宋体"/>
                        <w:sz w:val="23"/>
                        <w:szCs w:val="23"/>
                      </w:rPr>
                    </w:pPr>
                    <w:r>
                      <w:rPr>
                        <w:rFonts w:ascii="宋体" w:eastAsia="宋体" w:hAnsi="宋体" w:cs="宋体"/>
                        <w:spacing w:val="-21"/>
                        <w:w w:val="95"/>
                        <w:sz w:val="23"/>
                        <w:szCs w:val="23"/>
                      </w:rPr>
                      <w:t>423</w:t>
                    </w:r>
                  </w:p>
                </w:txbxContent>
              </v:textbox>
              <w10:wrap anchorx="page" anchory="page"/>
            </v:shape>
          </w:pict>
        </mc:Fallback>
      </mc:AlternateContent>
    </w:r>
    <w:r>
      <w:rPr>
        <w:noProof/>
      </w:rPr>
      <mc:AlternateContent>
        <mc:Choice Requires="wps">
          <w:drawing>
            <wp:anchor distT="0" distB="0" distL="114300" distR="114300" simplePos="0" relativeHeight="251688960" behindDoc="0" locked="0" layoutInCell="0" allowOverlap="1">
              <wp:simplePos x="0" y="0"/>
              <wp:positionH relativeFrom="page">
                <wp:posOffset>572135</wp:posOffset>
              </wp:positionH>
              <wp:positionV relativeFrom="page">
                <wp:posOffset>4995545</wp:posOffset>
              </wp:positionV>
              <wp:extent cx="252095" cy="97155"/>
              <wp:effectExtent l="635" t="4445" r="4445" b="317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356" w:lineRule="exact"/>
                            <w:ind w:left="20"/>
                            <w:rPr>
                              <w:rFonts w:ascii="宋体" w:eastAsia="宋体" w:hAnsi="宋体" w:cs="宋体"/>
                              <w:sz w:val="23"/>
                              <w:szCs w:val="23"/>
                            </w:rPr>
                          </w:pPr>
                          <w:r>
                            <w:rPr>
                              <w:rFonts w:ascii="宋体" w:eastAsia="宋体" w:hAnsi="宋体" w:cs="宋体"/>
                              <w:spacing w:val="-118"/>
                              <w:position w:val="2"/>
                              <w:sz w:val="23"/>
                              <w:szCs w:val="23"/>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80" type="#_x0000_t202" style="position:absolute;margin-left:45.05pt;margin-top:393.35pt;width:19.85pt;height:7.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" o:allowincell="f" filled="f" stroked="f">
              <v:textbox style="layout-flow:vertical-ideographic" inset="0,0,0,0">
                <w:txbxContent>
                  <w:p w:rsidR="00E86C16" w:rsidRDefault="00E86C16">
                    <w:pPr>
                      <w:spacing w:before="20" w:line="356" w:lineRule="exact"/>
                      <w:ind w:left="20"/>
                      <w:rPr>
                        <w:rFonts w:ascii="宋体" w:eastAsia="宋体" w:hAnsi="宋体" w:cs="宋体"/>
                        <w:sz w:val="23"/>
                        <w:szCs w:val="23"/>
                      </w:rPr>
                    </w:pPr>
                    <w:r>
                      <w:rPr>
                        <w:rFonts w:ascii="宋体" w:eastAsia="宋体" w:hAnsi="宋体" w:cs="宋体"/>
                        <w:spacing w:val="-118"/>
                        <w:position w:val="2"/>
                        <w:sz w:val="23"/>
                        <w:szCs w:val="23"/>
                      </w:rPr>
                      <w:t>·</w:t>
                    </w:r>
                  </w:p>
                </w:txbxContent>
              </v:textbox>
              <w10:wrap anchorx="page" anchory="page"/>
            </v:shape>
          </w:pict>
        </mc:Fallback>
      </mc:AlternateContent>
    </w:r>
    <w:r w:rsidR="00E86C16">
      <w:rPr>
        <w:noProof/>
      </w:rPr>
      <w:drawing>
        <wp:inline distT="0" distB="0" distL="0" distR="0">
          <wp:extent cx="7272020" cy="7112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
                  <a:stretch>
                    <a:fillRect/>
                  </a:stretch>
                </pic:blipFill>
                <pic:spPr>
                  <a:xfrm>
                    <a:off x="0" y="0"/>
                    <a:ext cx="7272144" cy="71652"/>
                  </a:xfrm>
                  <a:prstGeom prst="rect">
                    <a:avLst/>
                  </a:prstGeom>
                </pic:spPr>
              </pic:pic>
            </a:graphicData>
          </a:graphic>
        </wp:inline>
      </w:drawing>
    </w:r>
  </w:p>
  <w:p w:rsidR="00E86C16" w:rsidRDefault="00E86C16">
    <w:pPr>
      <w:spacing w:after="244" w:line="218" w:lineRule="auto"/>
      <w:ind w:left="742"/>
      <w:rPr>
        <w:rFonts w:ascii="宋体" w:eastAsia="宋体" w:hAnsi="宋体" w:cs="宋体"/>
        <w:sz w:val="16"/>
        <w:szCs w:val="16"/>
      </w:rPr>
    </w:pPr>
    <w:r>
      <w:rPr>
        <w:rFonts w:ascii="宋体" w:eastAsia="宋体" w:hAnsi="宋体" w:cs="宋体"/>
        <w:spacing w:val="1"/>
        <w:sz w:val="16"/>
        <w:szCs w:val="16"/>
      </w:rPr>
      <w:t>注：*α-</w:t>
    </w:r>
    <w:r>
      <w:rPr>
        <w:rFonts w:ascii="宋体" w:eastAsia="宋体" w:hAnsi="宋体" w:cs="宋体"/>
        <w:sz w:val="16"/>
        <w:szCs w:val="16"/>
      </w:rPr>
      <w:t>TE</w:t>
    </w:r>
    <w:r>
      <w:rPr>
        <w:rFonts w:ascii="宋体" w:eastAsia="宋体" w:hAnsi="宋体" w:cs="宋体"/>
        <w:spacing w:val="1"/>
        <w:sz w:val="16"/>
        <w:szCs w:val="16"/>
      </w:rPr>
      <w:t>为α-生育酚当量。凡表中数字空缺处表示未制定该参考值。</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70"/>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425</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4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427</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80"/>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428</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45"/>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4"/>
        <w:sz w:val="17"/>
        <w:szCs w:val="17"/>
      </w:rPr>
      <w:t xml:space="preserve"> </w:t>
    </w:r>
    <w:r>
      <w:rPr>
        <w:rFonts w:ascii="宋体" w:eastAsia="宋体" w:hAnsi="宋体" w:cs="宋体"/>
        <w:spacing w:val="-23"/>
        <w:sz w:val="17"/>
        <w:szCs w:val="17"/>
      </w:rPr>
      <w:t>429</w:t>
    </w:r>
    <w:r>
      <w:rPr>
        <w:rFonts w:ascii="宋体" w:eastAsia="宋体" w:hAnsi="宋体" w:cs="宋体"/>
        <w:spacing w:val="47"/>
        <w:w w:val="101"/>
        <w:sz w:val="17"/>
        <w:szCs w:val="17"/>
      </w:rPr>
      <w:t xml:space="preserve"> </w:t>
    </w:r>
    <w:r>
      <w:rPr>
        <w:rFonts w:ascii="宋体" w:eastAsia="宋体" w:hAnsi="宋体" w:cs="宋体"/>
        <w:spacing w:val="-23"/>
        <w:sz w:val="17"/>
        <w:szCs w:val="17"/>
      </w:rPr>
      <w:t>·</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00"/>
      <w:jc w:val="right"/>
      <w:rPr>
        <w:rFonts w:ascii="宋体" w:eastAsia="宋体" w:hAnsi="宋体" w:cs="宋体"/>
        <w:sz w:val="13"/>
        <w:szCs w:val="13"/>
      </w:rPr>
    </w:pPr>
    <w:r>
      <w:rPr>
        <w:rFonts w:ascii="宋体" w:eastAsia="宋体" w:hAnsi="宋体" w:cs="宋体"/>
        <w:spacing w:val="-14"/>
        <w:sz w:val="13"/>
        <w:szCs w:val="13"/>
      </w:rPr>
      <w:t>·</w:t>
    </w:r>
    <w:r>
      <w:rPr>
        <w:rFonts w:ascii="宋体" w:eastAsia="宋体" w:hAnsi="宋体" w:cs="宋体"/>
        <w:spacing w:val="49"/>
        <w:w w:val="101"/>
        <w:sz w:val="13"/>
        <w:szCs w:val="13"/>
      </w:rPr>
      <w:t xml:space="preserve"> </w:t>
    </w:r>
    <w:r>
      <w:rPr>
        <w:rFonts w:ascii="宋体" w:eastAsia="宋体" w:hAnsi="宋体" w:cs="宋体"/>
        <w:spacing w:val="-14"/>
        <w:sz w:val="13"/>
        <w:szCs w:val="13"/>
      </w:rPr>
      <w:t>45</w:t>
    </w:r>
    <w:r>
      <w:rPr>
        <w:rFonts w:ascii="宋体" w:eastAsia="宋体" w:hAnsi="宋体" w:cs="宋体"/>
        <w:spacing w:val="14"/>
        <w:sz w:val="13"/>
        <w:szCs w:val="13"/>
      </w:rPr>
      <w:t xml:space="preserve">  </w:t>
    </w:r>
    <w:r>
      <w:rPr>
        <w:rFonts w:ascii="宋体" w:eastAsia="宋体" w:hAnsi="宋体" w:cs="宋体"/>
        <w:spacing w:val="-14"/>
        <w:sz w:val="13"/>
        <w:szCs w:val="13"/>
      </w:rPr>
      <w:t>·</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431</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49"/>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433</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0"/>
      <w:jc w:val="right"/>
      <w:rPr>
        <w:rFonts w:ascii="宋体" w:eastAsia="宋体" w:hAnsi="宋体" w:cs="宋体"/>
        <w:sz w:val="13"/>
        <w:szCs w:val="13"/>
      </w:rPr>
    </w:pPr>
    <w:r>
      <w:rPr>
        <w:rFonts w:ascii="宋体" w:eastAsia="宋体" w:hAnsi="宋体" w:cs="宋体"/>
        <w:spacing w:val="-11"/>
        <w:sz w:val="13"/>
        <w:szCs w:val="13"/>
      </w:rPr>
      <w:t>·</w:t>
    </w:r>
    <w:r>
      <w:rPr>
        <w:rFonts w:ascii="宋体" w:eastAsia="宋体" w:hAnsi="宋体" w:cs="宋体"/>
        <w:spacing w:val="56"/>
        <w:w w:val="101"/>
        <w:sz w:val="13"/>
        <w:szCs w:val="13"/>
      </w:rPr>
      <w:t xml:space="preserve"> </w:t>
    </w:r>
    <w:r>
      <w:rPr>
        <w:rFonts w:ascii="宋体" w:eastAsia="宋体" w:hAnsi="宋体" w:cs="宋体"/>
        <w:spacing w:val="-11"/>
        <w:sz w:val="13"/>
        <w:szCs w:val="13"/>
      </w:rPr>
      <w:t>435</w:t>
    </w:r>
    <w:r>
      <w:rPr>
        <w:rFonts w:ascii="宋体" w:eastAsia="宋体" w:hAnsi="宋体" w:cs="宋体"/>
        <w:spacing w:val="18"/>
        <w:sz w:val="13"/>
        <w:szCs w:val="13"/>
      </w:rPr>
      <w:t xml:space="preserve">  </w:t>
    </w:r>
    <w:r>
      <w:rPr>
        <w:rFonts w:ascii="宋体" w:eastAsia="宋体" w:hAnsi="宋体" w:cs="宋体"/>
        <w:spacing w:val="-11"/>
        <w:sz w:val="13"/>
        <w:szCs w:val="13"/>
      </w:rPr>
      <w:t>·</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0"/>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437</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right="50"/>
      <w:jc w:val="right"/>
      <w:rPr>
        <w:rFonts w:ascii="宋体" w:eastAsia="宋体" w:hAnsi="宋体" w:cs="宋体"/>
        <w:sz w:val="15"/>
        <w:szCs w:val="15"/>
      </w:rPr>
    </w:pPr>
    <w:r>
      <w:rPr>
        <w:rFonts w:ascii="宋体" w:eastAsia="宋体" w:hAnsi="宋体" w:cs="宋体"/>
        <w:spacing w:val="-13"/>
        <w:sz w:val="15"/>
        <w:szCs w:val="15"/>
      </w:rPr>
      <w:t>·</w:t>
    </w:r>
    <w:r>
      <w:rPr>
        <w:rFonts w:ascii="宋体" w:eastAsia="宋体" w:hAnsi="宋体" w:cs="宋体"/>
        <w:spacing w:val="6"/>
        <w:sz w:val="15"/>
        <w:szCs w:val="15"/>
      </w:rPr>
      <w:t xml:space="preserve"> </w:t>
    </w:r>
    <w:r>
      <w:rPr>
        <w:rFonts w:ascii="宋体" w:eastAsia="宋体" w:hAnsi="宋体" w:cs="宋体"/>
        <w:spacing w:val="-13"/>
        <w:sz w:val="15"/>
        <w:szCs w:val="15"/>
      </w:rPr>
      <w:t>441</w:t>
    </w:r>
    <w:r>
      <w:rPr>
        <w:rFonts w:ascii="宋体" w:eastAsia="宋体" w:hAnsi="宋体" w:cs="宋体"/>
        <w:spacing w:val="57"/>
        <w:w w:val="101"/>
        <w:sz w:val="15"/>
        <w:szCs w:val="15"/>
      </w:rPr>
      <w:t xml:space="preserve"> </w:t>
    </w:r>
    <w:r>
      <w:rPr>
        <w:rFonts w:ascii="宋体" w:eastAsia="宋体" w:hAnsi="宋体" w:cs="宋体"/>
        <w:spacing w:val="-13"/>
        <w:sz w:val="15"/>
        <w:szCs w:val="15"/>
      </w:rPr>
      <w:t>·</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2"/>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
        <w:sz w:val="16"/>
        <w:szCs w:val="16"/>
      </w:rPr>
      <w:t xml:space="preserve"> </w:t>
    </w:r>
    <w:r>
      <w:rPr>
        <w:rFonts w:ascii="宋体" w:eastAsia="宋体" w:hAnsi="宋体" w:cs="宋体"/>
        <w:spacing w:val="-14"/>
        <w:sz w:val="16"/>
        <w:szCs w:val="16"/>
      </w:rPr>
      <w:t>443</w:t>
    </w:r>
    <w:r>
      <w:rPr>
        <w:rFonts w:ascii="宋体" w:eastAsia="宋体" w:hAnsi="宋体" w:cs="宋体"/>
        <w:spacing w:val="62"/>
        <w:sz w:val="16"/>
        <w:szCs w:val="16"/>
      </w:rPr>
      <w:t xml:space="preserve"> </w:t>
    </w:r>
    <w:r>
      <w:rPr>
        <w:rFonts w:ascii="宋体" w:eastAsia="宋体" w:hAnsi="宋体" w:cs="宋体"/>
        <w:spacing w:val="-14"/>
        <w:sz w:val="16"/>
        <w:szCs w:val="16"/>
      </w:rPr>
      <w:t>·</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45"/>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70"/>
        <w:sz w:val="16"/>
        <w:szCs w:val="16"/>
      </w:rPr>
      <w:t xml:space="preserve"> </w:t>
    </w:r>
    <w:r>
      <w:rPr>
        <w:rFonts w:ascii="宋体" w:eastAsia="宋体" w:hAnsi="宋体" w:cs="宋体"/>
        <w:spacing w:val="-14"/>
        <w:sz w:val="16"/>
        <w:szCs w:val="16"/>
      </w:rPr>
      <w:t>445</w:t>
    </w:r>
    <w:r>
      <w:rPr>
        <w:rFonts w:ascii="宋体" w:eastAsia="宋体" w:hAnsi="宋体" w:cs="宋体"/>
        <w:spacing w:val="-19"/>
        <w:sz w:val="16"/>
        <w:szCs w:val="16"/>
      </w:rPr>
      <w:t xml:space="preserve"> </w:t>
    </w:r>
    <w:r>
      <w:rPr>
        <w:rFonts w:ascii="宋体" w:eastAsia="宋体" w:hAnsi="宋体" w:cs="宋体"/>
        <w:spacing w:val="-14"/>
        <w:sz w:val="16"/>
        <w:szCs w:val="16"/>
      </w:rPr>
      <w:t>·</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jc w:val="right"/>
      <w:rPr>
        <w:rFonts w:ascii="宋体" w:eastAsia="宋体" w:hAnsi="宋体" w:cs="宋体"/>
        <w:sz w:val="16"/>
        <w:szCs w:val="16"/>
      </w:rPr>
    </w:pPr>
    <w:r>
      <w:rPr>
        <w:rFonts w:ascii="宋体" w:eastAsia="宋体" w:hAnsi="宋体" w:cs="宋体"/>
        <w:spacing w:val="-26"/>
        <w:sz w:val="16"/>
        <w:szCs w:val="16"/>
      </w:rPr>
      <w:t>·</w:t>
    </w:r>
    <w:r>
      <w:rPr>
        <w:rFonts w:ascii="宋体" w:eastAsia="宋体" w:hAnsi="宋体" w:cs="宋体"/>
        <w:spacing w:val="6"/>
        <w:sz w:val="16"/>
        <w:szCs w:val="16"/>
      </w:rPr>
      <w:t xml:space="preserve"> </w:t>
    </w:r>
    <w:r>
      <w:rPr>
        <w:rFonts w:ascii="宋体" w:eastAsia="宋体" w:hAnsi="宋体" w:cs="宋体"/>
        <w:spacing w:val="-26"/>
        <w:sz w:val="16"/>
        <w:szCs w:val="16"/>
      </w:rPr>
      <w:t>447</w:t>
    </w:r>
    <w:r>
      <w:rPr>
        <w:rFonts w:ascii="宋体" w:eastAsia="宋体" w:hAnsi="宋体" w:cs="宋体"/>
        <w:spacing w:val="61"/>
        <w:sz w:val="16"/>
        <w:szCs w:val="16"/>
      </w:rPr>
      <w:t xml:space="preserve"> </w:t>
    </w:r>
    <w:r>
      <w:rPr>
        <w:rFonts w:ascii="宋体" w:eastAsia="宋体" w:hAnsi="宋体" w:cs="宋体"/>
        <w:spacing w:val="-26"/>
        <w:sz w:val="16"/>
        <w:szCs w:val="16"/>
      </w:rPr>
      <w:t>·</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1"/>
      <w:jc w:val="right"/>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8"/>
        <w:sz w:val="18"/>
        <w:szCs w:val="18"/>
      </w:rPr>
      <w:t xml:space="preserve"> </w:t>
    </w:r>
    <w:r>
      <w:rPr>
        <w:rFonts w:ascii="宋体" w:eastAsia="宋体" w:hAnsi="宋体" w:cs="宋体"/>
        <w:spacing w:val="-29"/>
        <w:sz w:val="18"/>
        <w:szCs w:val="18"/>
      </w:rPr>
      <w:t>49</w:t>
    </w:r>
    <w:r>
      <w:rPr>
        <w:rFonts w:ascii="宋体" w:eastAsia="宋体" w:hAnsi="宋体" w:cs="宋体"/>
        <w:spacing w:val="46"/>
        <w:sz w:val="18"/>
        <w:szCs w:val="18"/>
      </w:rPr>
      <w:t xml:space="preserve"> </w:t>
    </w:r>
    <w:r>
      <w:rPr>
        <w:rFonts w:ascii="宋体" w:eastAsia="宋体" w:hAnsi="宋体" w:cs="宋体"/>
        <w:spacing w:val="-29"/>
        <w:sz w:val="18"/>
        <w:szCs w:val="18"/>
      </w:rPr>
      <w:t>·</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6"/>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65</w:t>
    </w:r>
    <w:r>
      <w:rPr>
        <w:rFonts w:ascii="宋体" w:eastAsia="宋体" w:hAnsi="宋体" w:cs="宋体"/>
        <w:spacing w:val="46"/>
        <w:sz w:val="18"/>
        <w:szCs w:val="18"/>
      </w:rPr>
      <w:t xml:space="preserve"> </w:t>
    </w:r>
    <w:r>
      <w:rPr>
        <w:rFonts w:ascii="宋体" w:eastAsia="宋体" w:hAnsi="宋体" w:cs="宋体"/>
        <w:spacing w:val="-30"/>
        <w:sz w:val="18"/>
        <w:szCs w:val="18"/>
      </w:rPr>
      <w:t>·</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26"/>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67</w:t>
    </w:r>
    <w:r>
      <w:rPr>
        <w:rFonts w:ascii="宋体" w:eastAsia="宋体" w:hAnsi="宋体" w:cs="宋体"/>
        <w:spacing w:val="46"/>
        <w:sz w:val="18"/>
        <w:szCs w:val="18"/>
      </w:rPr>
      <w:t xml:space="preserve"> </w:t>
    </w:r>
    <w:r>
      <w:rPr>
        <w:rFonts w:ascii="宋体" w:eastAsia="宋体" w:hAnsi="宋体" w:cs="宋体"/>
        <w:spacing w:val="-30"/>
        <w:sz w:val="18"/>
        <w:szCs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1"/>
      <w:jc w:val="right"/>
      <w:rPr>
        <w:rFonts w:ascii="宋体" w:eastAsia="宋体" w:hAnsi="宋体" w:cs="宋体"/>
      </w:rPr>
    </w:pPr>
    <w:r>
      <w:rPr>
        <w:rFonts w:ascii="宋体" w:eastAsia="宋体" w:hAnsi="宋体" w:cs="宋体"/>
        <w:spacing w:val="-45"/>
      </w:rPr>
      <w:t>·</w:t>
    </w:r>
    <w:r>
      <w:rPr>
        <w:rFonts w:ascii="宋体" w:eastAsia="宋体" w:hAnsi="宋体" w:cs="宋体"/>
        <w:spacing w:val="-19"/>
      </w:rPr>
      <w:t xml:space="preserve"> </w:t>
    </w:r>
    <w:r>
      <w:rPr>
        <w:rFonts w:ascii="宋体" w:eastAsia="宋体" w:hAnsi="宋体" w:cs="宋体"/>
        <w:spacing w:val="-45"/>
      </w:rPr>
      <w:t>69</w:t>
    </w:r>
    <w:r>
      <w:rPr>
        <w:rFonts w:ascii="宋体" w:eastAsia="宋体" w:hAnsi="宋体" w:cs="宋体"/>
        <w:spacing w:val="31"/>
      </w:rPr>
      <w:t xml:space="preserve"> </w:t>
    </w:r>
    <w:r>
      <w:rPr>
        <w:rFonts w:ascii="宋体" w:eastAsia="宋体" w:hAnsi="宋体" w:cs="宋体"/>
        <w:spacing w:val="-45"/>
      </w:rPr>
      <w:t>·</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9"/>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2"/>
        <w:sz w:val="17"/>
        <w:szCs w:val="17"/>
      </w:rPr>
      <w:t xml:space="preserve"> </w:t>
    </w:r>
    <w:r>
      <w:rPr>
        <w:rFonts w:ascii="宋体" w:eastAsia="宋体" w:hAnsi="宋体" w:cs="宋体"/>
        <w:spacing w:val="-25"/>
        <w:sz w:val="17"/>
        <w:szCs w:val="17"/>
      </w:rPr>
      <w:t>72</w:t>
    </w:r>
    <w:r>
      <w:rPr>
        <w:rFonts w:ascii="宋体" w:eastAsia="宋体" w:hAnsi="宋体" w:cs="宋体"/>
        <w:spacing w:val="51"/>
        <w:sz w:val="17"/>
        <w:szCs w:val="17"/>
      </w:rPr>
      <w:t xml:space="preserve"> </w:t>
    </w:r>
    <w:r>
      <w:rPr>
        <w:rFonts w:ascii="宋体" w:eastAsia="宋体" w:hAnsi="宋体" w:cs="宋体"/>
        <w:spacing w:val="-25"/>
        <w:sz w:val="17"/>
        <w:szCs w:val="17"/>
      </w:rPr>
      <w:t>·</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1"/>
      <w:jc w:val="right"/>
      <w:rPr>
        <w:rFonts w:ascii="宋体" w:eastAsia="宋体" w:hAnsi="宋体" w:cs="宋体"/>
        <w:sz w:val="17"/>
        <w:szCs w:val="17"/>
      </w:rPr>
    </w:pPr>
    <w:r>
      <w:rPr>
        <w:rFonts w:ascii="宋体" w:eastAsia="宋体" w:hAnsi="宋体" w:cs="宋体"/>
        <w:spacing w:val="-25"/>
        <w:sz w:val="17"/>
        <w:szCs w:val="17"/>
      </w:rPr>
      <w:t>·</w:t>
    </w:r>
    <w:r>
      <w:rPr>
        <w:rFonts w:ascii="宋体" w:eastAsia="宋体" w:hAnsi="宋体" w:cs="宋体"/>
        <w:spacing w:val="2"/>
        <w:sz w:val="17"/>
        <w:szCs w:val="17"/>
      </w:rPr>
      <w:t xml:space="preserve"> </w:t>
    </w:r>
    <w:r>
      <w:rPr>
        <w:rFonts w:ascii="宋体" w:eastAsia="宋体" w:hAnsi="宋体" w:cs="宋体"/>
        <w:spacing w:val="-25"/>
        <w:sz w:val="17"/>
        <w:szCs w:val="17"/>
      </w:rPr>
      <w:t>77</w:t>
    </w:r>
    <w:r>
      <w:rPr>
        <w:rFonts w:ascii="宋体" w:eastAsia="宋体" w:hAnsi="宋体" w:cs="宋体"/>
        <w:spacing w:val="51"/>
        <w:sz w:val="17"/>
        <w:szCs w:val="17"/>
      </w:rPr>
      <w:t xml:space="preserve"> </w:t>
    </w:r>
    <w:r>
      <w:rPr>
        <w:rFonts w:ascii="宋体" w:eastAsia="宋体" w:hAnsi="宋体" w:cs="宋体"/>
        <w:spacing w:val="-25"/>
        <w:sz w:val="17"/>
        <w:szCs w:val="17"/>
      </w:rPr>
      <w:t>·</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85"/>
      <w:jc w:val="right"/>
      <w:rPr>
        <w:rFonts w:ascii="宋体" w:eastAsia="宋体" w:hAnsi="宋体" w:cs="宋体"/>
        <w:sz w:val="17"/>
        <w:szCs w:val="17"/>
      </w:rPr>
    </w:pPr>
    <w:r>
      <w:rPr>
        <w:rFonts w:ascii="宋体" w:eastAsia="宋体" w:hAnsi="宋体" w:cs="宋体"/>
        <w:spacing w:val="-27"/>
        <w:sz w:val="17"/>
        <w:szCs w:val="17"/>
      </w:rPr>
      <w:t>·</w:t>
    </w:r>
    <w:r>
      <w:rPr>
        <w:rFonts w:ascii="宋体" w:eastAsia="宋体" w:hAnsi="宋体" w:cs="宋体"/>
        <w:spacing w:val="2"/>
        <w:sz w:val="17"/>
        <w:szCs w:val="17"/>
      </w:rPr>
      <w:t xml:space="preserve"> </w:t>
    </w:r>
    <w:r>
      <w:rPr>
        <w:rFonts w:ascii="宋体" w:eastAsia="宋体" w:hAnsi="宋体" w:cs="宋体"/>
        <w:spacing w:val="-27"/>
        <w:sz w:val="17"/>
        <w:szCs w:val="17"/>
      </w:rPr>
      <w:t>79</w:t>
    </w:r>
    <w:r>
      <w:rPr>
        <w:rFonts w:ascii="宋体" w:eastAsia="宋体" w:hAnsi="宋体" w:cs="宋体"/>
        <w:spacing w:val="49"/>
        <w:sz w:val="17"/>
        <w:szCs w:val="17"/>
      </w:rPr>
      <w:t xml:space="preserve"> </w:t>
    </w:r>
    <w:r>
      <w:rPr>
        <w:rFonts w:ascii="宋体" w:eastAsia="宋体" w:hAnsi="宋体" w:cs="宋体"/>
        <w:spacing w:val="-27"/>
        <w:sz w:val="17"/>
        <w:szCs w:val="17"/>
      </w:rPr>
      <w:t>·</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66"/>
      <w:jc w:val="right"/>
      <w:rPr>
        <w:rFonts w:ascii="宋体" w:eastAsia="宋体" w:hAnsi="宋体" w:cs="宋体"/>
        <w:sz w:val="17"/>
        <w:szCs w:val="17"/>
      </w:rPr>
    </w:pPr>
    <w:r>
      <w:rPr>
        <w:rFonts w:ascii="宋体" w:eastAsia="宋体" w:hAnsi="宋体" w:cs="宋体"/>
        <w:spacing w:val="-19"/>
        <w:sz w:val="17"/>
        <w:szCs w:val="17"/>
      </w:rPr>
      <w:t>·</w:t>
    </w:r>
    <w:r>
      <w:rPr>
        <w:rFonts w:ascii="宋体" w:eastAsia="宋体" w:hAnsi="宋体" w:cs="宋体"/>
        <w:spacing w:val="35"/>
        <w:sz w:val="17"/>
        <w:szCs w:val="17"/>
      </w:rPr>
      <w:t xml:space="preserve"> </w:t>
    </w:r>
    <w:r>
      <w:rPr>
        <w:rFonts w:ascii="宋体" w:eastAsia="宋体" w:hAnsi="宋体" w:cs="宋体"/>
        <w:spacing w:val="-19"/>
        <w:sz w:val="17"/>
        <w:szCs w:val="17"/>
      </w:rPr>
      <w:t>81</w:t>
    </w:r>
    <w:r>
      <w:rPr>
        <w:rFonts w:ascii="宋体" w:eastAsia="宋体" w:hAnsi="宋体" w:cs="宋体"/>
        <w:spacing w:val="-20"/>
        <w:sz w:val="17"/>
        <w:szCs w:val="17"/>
      </w:rPr>
      <w:t xml:space="preserve"> </w:t>
    </w:r>
    <w:r>
      <w:rPr>
        <w:rFonts w:ascii="宋体" w:eastAsia="宋体" w:hAnsi="宋体" w:cs="宋体"/>
        <w:spacing w:val="-19"/>
        <w:sz w:val="17"/>
        <w:szCs w:val="17"/>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left="150"/>
      <w:rPr>
        <w:rFonts w:ascii="宋体" w:eastAsia="宋体" w:hAnsi="宋体" w:cs="宋体"/>
        <w:sz w:val="20"/>
        <w:szCs w:val="20"/>
      </w:rPr>
    </w:pPr>
    <w:r>
      <w:rPr>
        <w:rFonts w:ascii="宋体" w:eastAsia="宋体" w:hAnsi="宋体" w:cs="宋体"/>
        <w:spacing w:val="-38"/>
        <w:sz w:val="20"/>
        <w:szCs w:val="20"/>
      </w:rPr>
      <w:t>·</w:t>
    </w:r>
    <w:r>
      <w:rPr>
        <w:rFonts w:ascii="宋体" w:eastAsia="宋体" w:hAnsi="宋体" w:cs="宋体"/>
        <w:spacing w:val="-16"/>
        <w:sz w:val="20"/>
        <w:szCs w:val="20"/>
      </w:rPr>
      <w:t xml:space="preserve"> </w:t>
    </w:r>
    <w:r>
      <w:rPr>
        <w:rFonts w:ascii="宋体" w:eastAsia="宋体" w:hAnsi="宋体" w:cs="宋体"/>
        <w:spacing w:val="-38"/>
        <w:sz w:val="20"/>
        <w:szCs w:val="20"/>
      </w:rPr>
      <w:t>vi</w:t>
    </w:r>
    <w:r>
      <w:rPr>
        <w:rFonts w:ascii="宋体" w:eastAsia="宋体" w:hAnsi="宋体" w:cs="宋体"/>
        <w:spacing w:val="40"/>
        <w:sz w:val="20"/>
        <w:szCs w:val="20"/>
      </w:rPr>
      <w:t xml:space="preserve"> </w:t>
    </w:r>
    <w:r>
      <w:rPr>
        <w:rFonts w:ascii="宋体" w:eastAsia="宋体" w:hAnsi="宋体" w:cs="宋体"/>
        <w:spacing w:val="-38"/>
        <w:sz w:val="20"/>
        <w:szCs w:val="20"/>
      </w:rPr>
      <w:t>·</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46"/>
      <w:jc w:val="right"/>
      <w:rPr>
        <w:rFonts w:ascii="宋体" w:eastAsia="宋体" w:hAnsi="宋体" w:cs="宋体"/>
        <w:sz w:val="19"/>
        <w:szCs w:val="19"/>
      </w:rPr>
    </w:pPr>
    <w:r>
      <w:rPr>
        <w:rFonts w:ascii="宋体" w:eastAsia="宋体" w:hAnsi="宋体" w:cs="宋体"/>
        <w:spacing w:val="-35"/>
        <w:sz w:val="19"/>
        <w:szCs w:val="19"/>
      </w:rPr>
      <w:t>·</w:t>
    </w:r>
    <w:r>
      <w:rPr>
        <w:rFonts w:ascii="宋体" w:eastAsia="宋体" w:hAnsi="宋体" w:cs="宋体"/>
        <w:spacing w:val="-9"/>
        <w:sz w:val="19"/>
        <w:szCs w:val="19"/>
      </w:rPr>
      <w:t xml:space="preserve"> </w:t>
    </w:r>
    <w:r>
      <w:rPr>
        <w:rFonts w:ascii="宋体" w:eastAsia="宋体" w:hAnsi="宋体" w:cs="宋体"/>
        <w:spacing w:val="-35"/>
        <w:sz w:val="19"/>
        <w:szCs w:val="19"/>
      </w:rPr>
      <w:t>91</w:t>
    </w:r>
    <w:r>
      <w:rPr>
        <w:rFonts w:ascii="宋体" w:eastAsia="宋体" w:hAnsi="宋体" w:cs="宋体"/>
        <w:spacing w:val="41"/>
        <w:sz w:val="19"/>
        <w:szCs w:val="19"/>
      </w:rPr>
      <w:t xml:space="preserve"> </w:t>
    </w:r>
    <w:r>
      <w:rPr>
        <w:rFonts w:ascii="宋体" w:eastAsia="宋体" w:hAnsi="宋体" w:cs="宋体"/>
        <w:spacing w:val="-35"/>
        <w:sz w:val="19"/>
        <w:szCs w:val="19"/>
      </w:rPr>
      <w:t>·</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96"/>
      <w:jc w:val="right"/>
      <w:rPr>
        <w:rFonts w:ascii="宋体" w:eastAsia="宋体" w:hAnsi="宋体" w:cs="宋体"/>
        <w:sz w:val="18"/>
        <w:szCs w:val="18"/>
      </w:rPr>
    </w:pPr>
    <w:r>
      <w:rPr>
        <w:rFonts w:ascii="宋体" w:eastAsia="宋体" w:hAnsi="宋体" w:cs="宋体"/>
        <w:spacing w:val="-30"/>
        <w:sz w:val="18"/>
        <w:szCs w:val="18"/>
      </w:rPr>
      <w:t>·</w:t>
    </w:r>
    <w:r>
      <w:rPr>
        <w:rFonts w:ascii="宋体" w:eastAsia="宋体" w:hAnsi="宋体" w:cs="宋体"/>
        <w:spacing w:val="-4"/>
        <w:sz w:val="18"/>
        <w:szCs w:val="18"/>
      </w:rPr>
      <w:t xml:space="preserve"> </w:t>
    </w:r>
    <w:r>
      <w:rPr>
        <w:rFonts w:ascii="宋体" w:eastAsia="宋体" w:hAnsi="宋体" w:cs="宋体"/>
        <w:spacing w:val="-30"/>
        <w:sz w:val="18"/>
        <w:szCs w:val="18"/>
      </w:rPr>
      <w:t>99</w:t>
    </w:r>
    <w:r>
      <w:rPr>
        <w:rFonts w:ascii="宋体" w:eastAsia="宋体" w:hAnsi="宋体" w:cs="宋体"/>
        <w:spacing w:val="46"/>
        <w:sz w:val="18"/>
        <w:szCs w:val="18"/>
      </w:rPr>
      <w:t xml:space="preserve"> </w:t>
    </w:r>
    <w:r>
      <w:rPr>
        <w:rFonts w:ascii="宋体" w:eastAsia="宋体" w:hAnsi="宋体" w:cs="宋体"/>
        <w:spacing w:val="-30"/>
        <w:sz w:val="18"/>
        <w:szCs w:val="18"/>
      </w:rPr>
      <w:t>·</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4"/>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30"/>
        <w:sz w:val="17"/>
        <w:szCs w:val="17"/>
      </w:rPr>
      <w:t xml:space="preserve"> </w:t>
    </w:r>
    <w:r>
      <w:rPr>
        <w:rFonts w:ascii="宋体" w:eastAsia="宋体" w:hAnsi="宋体" w:cs="宋体"/>
        <w:spacing w:val="-17"/>
        <w:sz w:val="17"/>
        <w:szCs w:val="17"/>
      </w:rPr>
      <w:t>105</w:t>
    </w:r>
    <w:r>
      <w:rPr>
        <w:rFonts w:ascii="宋体" w:eastAsia="宋体" w:hAnsi="宋体" w:cs="宋体"/>
        <w:spacing w:val="65"/>
        <w:sz w:val="17"/>
        <w:szCs w:val="17"/>
      </w:rPr>
      <w:t xml:space="preserve"> </w:t>
    </w:r>
    <w:r>
      <w:rPr>
        <w:rFonts w:ascii="宋体" w:eastAsia="宋体" w:hAnsi="宋体" w:cs="宋体"/>
        <w:spacing w:val="-17"/>
        <w:sz w:val="17"/>
        <w:szCs w:val="17"/>
      </w:rPr>
      <w:t>·</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6"/>
      <w:jc w:val="right"/>
      <w:rPr>
        <w:rFonts w:ascii="宋体" w:eastAsia="宋体" w:hAnsi="宋体" w:cs="宋体"/>
        <w:sz w:val="18"/>
        <w:szCs w:val="18"/>
      </w:rPr>
    </w:pPr>
    <w:r>
      <w:rPr>
        <w:rFonts w:ascii="宋体" w:eastAsia="宋体" w:hAnsi="宋体" w:cs="宋体"/>
        <w:spacing w:val="-28"/>
        <w:sz w:val="18"/>
        <w:szCs w:val="18"/>
      </w:rPr>
      <w:t>·</w:t>
    </w:r>
    <w:r>
      <w:rPr>
        <w:rFonts w:ascii="宋体" w:eastAsia="宋体" w:hAnsi="宋体" w:cs="宋体"/>
        <w:spacing w:val="5"/>
        <w:sz w:val="18"/>
        <w:szCs w:val="18"/>
      </w:rPr>
      <w:t xml:space="preserve"> </w:t>
    </w:r>
    <w:r>
      <w:rPr>
        <w:rFonts w:ascii="宋体" w:eastAsia="宋体" w:hAnsi="宋体" w:cs="宋体"/>
        <w:spacing w:val="-28"/>
        <w:sz w:val="18"/>
        <w:szCs w:val="18"/>
      </w:rPr>
      <w:t>115</w:t>
    </w:r>
    <w:r>
      <w:rPr>
        <w:rFonts w:ascii="宋体" w:eastAsia="宋体" w:hAnsi="宋体" w:cs="宋体"/>
        <w:spacing w:val="47"/>
        <w:sz w:val="18"/>
        <w:szCs w:val="18"/>
      </w:rPr>
      <w:t xml:space="preserve"> </w:t>
    </w:r>
    <w:r>
      <w:rPr>
        <w:rFonts w:ascii="宋体" w:eastAsia="宋体" w:hAnsi="宋体" w:cs="宋体"/>
        <w:spacing w:val="-28"/>
        <w:sz w:val="18"/>
        <w:szCs w:val="18"/>
      </w:rPr>
      <w:t>·</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61"/>
      <w:jc w:val="right"/>
      <w:rPr>
        <w:rFonts w:ascii="宋体" w:eastAsia="宋体" w:hAnsi="宋体" w:cs="宋体"/>
        <w:sz w:val="14"/>
        <w:szCs w:val="14"/>
      </w:rPr>
    </w:pPr>
    <w:r>
      <w:rPr>
        <w:rFonts w:ascii="宋体" w:eastAsia="宋体" w:hAnsi="宋体" w:cs="宋体"/>
        <w:spacing w:val="-14"/>
        <w:sz w:val="14"/>
        <w:szCs w:val="14"/>
      </w:rPr>
      <w:t>·</w:t>
    </w:r>
    <w:r>
      <w:rPr>
        <w:rFonts w:ascii="宋体" w:eastAsia="宋体" w:hAnsi="宋体" w:cs="宋体"/>
        <w:spacing w:val="44"/>
        <w:sz w:val="14"/>
        <w:szCs w:val="14"/>
      </w:rPr>
      <w:t xml:space="preserve"> </w:t>
    </w:r>
    <w:r>
      <w:rPr>
        <w:rFonts w:ascii="宋体" w:eastAsia="宋体" w:hAnsi="宋体" w:cs="宋体"/>
        <w:spacing w:val="-14"/>
        <w:sz w:val="14"/>
        <w:szCs w:val="14"/>
      </w:rPr>
      <w:t>119</w:t>
    </w:r>
    <w:r>
      <w:rPr>
        <w:rFonts w:ascii="宋体" w:eastAsia="宋体" w:hAnsi="宋体" w:cs="宋体"/>
        <w:spacing w:val="6"/>
        <w:sz w:val="14"/>
        <w:szCs w:val="14"/>
      </w:rPr>
      <w:t xml:space="preserve">  </w:t>
    </w:r>
    <w:r>
      <w:rPr>
        <w:rFonts w:ascii="宋体" w:eastAsia="宋体" w:hAnsi="宋体" w:cs="宋体"/>
        <w:spacing w:val="-14"/>
        <w:sz w:val="14"/>
        <w:szCs w:val="14"/>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0"/>
      <w:jc w:val="right"/>
      <w:rPr>
        <w:rFonts w:ascii="宋体" w:eastAsia="宋体" w:hAnsi="宋体" w:cs="宋体"/>
        <w:sz w:val="18"/>
        <w:szCs w:val="18"/>
      </w:rPr>
    </w:pPr>
    <w:r>
      <w:rPr>
        <w:rFonts w:ascii="宋体" w:eastAsia="宋体" w:hAnsi="宋体" w:cs="宋体"/>
        <w:spacing w:val="-29"/>
        <w:sz w:val="18"/>
        <w:szCs w:val="18"/>
      </w:rPr>
      <w:t>·</w:t>
    </w:r>
    <w:r>
      <w:rPr>
        <w:rFonts w:ascii="宋体" w:eastAsia="宋体" w:hAnsi="宋体" w:cs="宋体"/>
        <w:spacing w:val="3"/>
        <w:sz w:val="18"/>
        <w:szCs w:val="18"/>
      </w:rPr>
      <w:t xml:space="preserve"> </w:t>
    </w:r>
    <w:r>
      <w:rPr>
        <w:rFonts w:ascii="宋体" w:eastAsia="宋体" w:hAnsi="宋体" w:cs="宋体"/>
        <w:spacing w:val="-29"/>
        <w:sz w:val="18"/>
        <w:szCs w:val="18"/>
      </w:rPr>
      <w:t>133</w:t>
    </w:r>
    <w:r>
      <w:rPr>
        <w:rFonts w:ascii="宋体" w:eastAsia="宋体" w:hAnsi="宋体" w:cs="宋体"/>
        <w:spacing w:val="45"/>
        <w:sz w:val="18"/>
        <w:szCs w:val="18"/>
      </w:rPr>
      <w:t xml:space="preserve"> </w:t>
    </w:r>
    <w:r>
      <w:rPr>
        <w:rFonts w:ascii="宋体" w:eastAsia="宋体" w:hAnsi="宋体" w:cs="宋体"/>
        <w:spacing w:val="-29"/>
        <w:sz w:val="18"/>
        <w:szCs w:val="18"/>
      </w:rPr>
      <w:t>·</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6"/>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143</w:t>
    </w:r>
    <w:r>
      <w:rPr>
        <w:rFonts w:ascii="宋体" w:eastAsia="宋体" w:hAnsi="宋体" w:cs="宋体"/>
        <w:spacing w:val="52"/>
        <w:sz w:val="17"/>
        <w:szCs w:val="17"/>
      </w:rPr>
      <w:t xml:space="preserve"> </w:t>
    </w:r>
    <w:r>
      <w:rPr>
        <w:rFonts w:ascii="宋体" w:eastAsia="宋体" w:hAnsi="宋体" w:cs="宋体"/>
        <w:spacing w:val="-23"/>
        <w:sz w:val="17"/>
        <w:szCs w:val="17"/>
      </w:rPr>
      <w:t>·</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144</w:t>
    </w:r>
    <w:r>
      <w:rPr>
        <w:rFonts w:ascii="宋体" w:eastAsia="宋体" w:hAnsi="宋体" w:cs="宋体"/>
        <w:spacing w:val="61"/>
        <w:sz w:val="16"/>
        <w:szCs w:val="16"/>
      </w:rPr>
      <w:t xml:space="preserve"> </w:t>
    </w:r>
    <w:r>
      <w:rPr>
        <w:rFonts w:ascii="宋体" w:eastAsia="宋体" w:hAnsi="宋体" w:cs="宋体"/>
        <w:spacing w:val="-16"/>
        <w:sz w:val="16"/>
        <w:szCs w:val="16"/>
      </w:rPr>
      <w:t>·</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39"/>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146</w:t>
    </w:r>
    <w:r>
      <w:rPr>
        <w:rFonts w:ascii="宋体" w:eastAsia="宋体" w:hAnsi="宋体" w:cs="宋体"/>
        <w:spacing w:val="65"/>
        <w:sz w:val="17"/>
        <w:szCs w:val="17"/>
      </w:rPr>
      <w:t xml:space="preserve"> </w:t>
    </w:r>
    <w:r>
      <w:rPr>
        <w:rFonts w:ascii="宋体" w:eastAsia="宋体" w:hAnsi="宋体" w:cs="宋体"/>
        <w:spacing w:val="-17"/>
        <w:sz w:val="17"/>
        <w:szCs w:val="17"/>
      </w:rPr>
      <w:t>·</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left="150"/>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148</w:t>
    </w:r>
    <w:r>
      <w:rPr>
        <w:rFonts w:ascii="宋体" w:eastAsia="宋体" w:hAnsi="宋体" w:cs="宋体"/>
        <w:spacing w:val="65"/>
        <w:sz w:val="17"/>
        <w:szCs w:val="17"/>
      </w:rPr>
      <w:t xml:space="preserve"> </w:t>
    </w:r>
    <w:r>
      <w:rPr>
        <w:rFonts w:ascii="宋体" w:eastAsia="宋体" w:hAnsi="宋体" w:cs="宋体"/>
        <w:spacing w:val="-17"/>
        <w:sz w:val="17"/>
        <w:szCs w:val="17"/>
      </w:rPr>
      <w:t>·</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9"/>
      <w:jc w:val="right"/>
      <w:rPr>
        <w:rFonts w:ascii="宋体" w:eastAsia="宋体" w:hAnsi="宋体" w:cs="宋体"/>
        <w:sz w:val="13"/>
        <w:szCs w:val="13"/>
      </w:rPr>
    </w:pPr>
    <w:r>
      <w:rPr>
        <w:rFonts w:ascii="宋体" w:eastAsia="宋体" w:hAnsi="宋体" w:cs="宋体"/>
        <w:spacing w:val="-20"/>
        <w:sz w:val="13"/>
        <w:szCs w:val="13"/>
      </w:rPr>
      <w:t>·</w:t>
    </w:r>
    <w:r>
      <w:rPr>
        <w:rFonts w:ascii="宋体" w:eastAsia="宋体" w:hAnsi="宋体" w:cs="宋体"/>
        <w:spacing w:val="41"/>
        <w:sz w:val="13"/>
        <w:szCs w:val="13"/>
      </w:rPr>
      <w:t xml:space="preserve"> </w:t>
    </w:r>
    <w:r>
      <w:rPr>
        <w:rFonts w:ascii="宋体" w:eastAsia="宋体" w:hAnsi="宋体" w:cs="宋体"/>
        <w:spacing w:val="-20"/>
        <w:sz w:val="13"/>
        <w:szCs w:val="13"/>
      </w:rPr>
      <w:t>7</w:t>
    </w:r>
    <w:r>
      <w:rPr>
        <w:rFonts w:ascii="宋体" w:eastAsia="宋体" w:hAnsi="宋体" w:cs="宋体"/>
        <w:spacing w:val="8"/>
        <w:sz w:val="13"/>
        <w:szCs w:val="13"/>
      </w:rPr>
      <w:t xml:space="preserve">  </w:t>
    </w:r>
    <w:r>
      <w:rPr>
        <w:rFonts w:ascii="宋体" w:eastAsia="宋体" w:hAnsi="宋体" w:cs="宋体"/>
        <w:spacing w:val="-20"/>
        <w:sz w:val="13"/>
        <w:szCs w:val="13"/>
      </w:rPr>
      <w:t>·</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7"/>
      <w:jc w:val="right"/>
      <w:rPr>
        <w:rFonts w:ascii="宋体" w:eastAsia="宋体" w:hAnsi="宋体" w:cs="宋体"/>
        <w:sz w:val="16"/>
        <w:szCs w:val="16"/>
      </w:rPr>
    </w:pPr>
    <w:r>
      <w:rPr>
        <w:rFonts w:ascii="宋体" w:eastAsia="宋体" w:hAnsi="宋体" w:cs="宋体"/>
        <w:spacing w:val="-20"/>
        <w:sz w:val="16"/>
        <w:szCs w:val="16"/>
      </w:rPr>
      <w:t>·</w:t>
    </w:r>
    <w:r>
      <w:rPr>
        <w:rFonts w:ascii="宋体" w:eastAsia="宋体" w:hAnsi="宋体" w:cs="宋体"/>
        <w:spacing w:val="23"/>
        <w:w w:val="101"/>
        <w:sz w:val="16"/>
        <w:szCs w:val="16"/>
      </w:rPr>
      <w:t xml:space="preserve"> </w:t>
    </w:r>
    <w:r>
      <w:rPr>
        <w:rFonts w:ascii="宋体" w:eastAsia="宋体" w:hAnsi="宋体" w:cs="宋体"/>
        <w:spacing w:val="-20"/>
        <w:sz w:val="16"/>
        <w:szCs w:val="16"/>
      </w:rPr>
      <w:t>151</w:t>
    </w:r>
    <w:r>
      <w:rPr>
        <w:rFonts w:ascii="宋体" w:eastAsia="宋体" w:hAnsi="宋体" w:cs="宋体"/>
        <w:spacing w:val="50"/>
        <w:sz w:val="16"/>
        <w:szCs w:val="16"/>
      </w:rPr>
      <w:t xml:space="preserve"> </w:t>
    </w:r>
    <w:r>
      <w:rPr>
        <w:rFonts w:ascii="宋体" w:eastAsia="宋体" w:hAnsi="宋体" w:cs="宋体"/>
        <w:spacing w:val="-20"/>
        <w:sz w:val="16"/>
        <w:szCs w:val="16"/>
      </w:rPr>
      <w:t>·</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4"/>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153</w:t>
    </w:r>
    <w:r>
      <w:rPr>
        <w:rFonts w:ascii="宋体" w:eastAsia="宋体" w:hAnsi="宋体" w:cs="宋体"/>
        <w:spacing w:val="65"/>
        <w:sz w:val="17"/>
        <w:szCs w:val="17"/>
      </w:rPr>
      <w:t xml:space="preserve"> </w:t>
    </w:r>
    <w:r>
      <w:rPr>
        <w:rFonts w:ascii="宋体" w:eastAsia="宋体" w:hAnsi="宋体" w:cs="宋体"/>
        <w:spacing w:val="-17"/>
        <w:sz w:val="17"/>
        <w:szCs w:val="17"/>
      </w:rPr>
      <w:t>·</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4"/>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30"/>
        <w:sz w:val="17"/>
        <w:szCs w:val="17"/>
      </w:rPr>
      <w:t xml:space="preserve"> </w:t>
    </w:r>
    <w:r>
      <w:rPr>
        <w:rFonts w:ascii="宋体" w:eastAsia="宋体" w:hAnsi="宋体" w:cs="宋体"/>
        <w:spacing w:val="-17"/>
        <w:sz w:val="17"/>
        <w:szCs w:val="17"/>
      </w:rPr>
      <w:t>161</w:t>
    </w:r>
    <w:r>
      <w:rPr>
        <w:rFonts w:ascii="宋体" w:eastAsia="宋体" w:hAnsi="宋体" w:cs="宋体"/>
        <w:spacing w:val="39"/>
        <w:sz w:val="17"/>
        <w:szCs w:val="17"/>
      </w:rPr>
      <w:t xml:space="preserve"> </w:t>
    </w:r>
    <w:r>
      <w:rPr>
        <w:rFonts w:ascii="宋体" w:eastAsia="宋体" w:hAnsi="宋体" w:cs="宋体"/>
        <w:spacing w:val="-17"/>
        <w:sz w:val="17"/>
        <w:szCs w:val="17"/>
      </w:rPr>
      <w:t>·</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71"/>
      <w:jc w:val="right"/>
      <w:rPr>
        <w:rFonts w:ascii="宋体" w:eastAsia="宋体" w:hAnsi="宋体" w:cs="宋体"/>
        <w:sz w:val="14"/>
        <w:szCs w:val="14"/>
      </w:rPr>
    </w:pPr>
    <w:r>
      <w:rPr>
        <w:rFonts w:ascii="宋体" w:eastAsia="宋体" w:hAnsi="宋体" w:cs="宋体"/>
        <w:spacing w:val="-14"/>
        <w:sz w:val="14"/>
        <w:szCs w:val="14"/>
      </w:rPr>
      <w:t>·</w:t>
    </w:r>
    <w:r>
      <w:rPr>
        <w:rFonts w:ascii="宋体" w:eastAsia="宋体" w:hAnsi="宋体" w:cs="宋体"/>
        <w:spacing w:val="3"/>
        <w:sz w:val="14"/>
        <w:szCs w:val="14"/>
      </w:rPr>
      <w:t xml:space="preserve"> </w:t>
    </w:r>
    <w:r>
      <w:rPr>
        <w:rFonts w:ascii="宋体" w:eastAsia="宋体" w:hAnsi="宋体" w:cs="宋体"/>
        <w:spacing w:val="-14"/>
        <w:sz w:val="14"/>
        <w:szCs w:val="14"/>
      </w:rPr>
      <w:t>167</w:t>
    </w:r>
    <w:r>
      <w:rPr>
        <w:rFonts w:ascii="宋体" w:eastAsia="宋体" w:hAnsi="宋体" w:cs="宋体"/>
        <w:spacing w:val="21"/>
        <w:sz w:val="14"/>
        <w:szCs w:val="14"/>
      </w:rPr>
      <w:t xml:space="preserve">  </w:t>
    </w:r>
    <w:r>
      <w:rPr>
        <w:rFonts w:ascii="宋体" w:eastAsia="宋体" w:hAnsi="宋体" w:cs="宋体"/>
        <w:spacing w:val="-14"/>
        <w:sz w:val="14"/>
        <w:szCs w:val="14"/>
      </w:rPr>
      <w:t>·</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5"/>
      <w:jc w:val="right"/>
      <w:rPr>
        <w:rFonts w:ascii="宋体" w:eastAsia="宋体" w:hAnsi="宋体" w:cs="宋体"/>
        <w:sz w:val="15"/>
        <w:szCs w:val="15"/>
      </w:rPr>
    </w:pPr>
    <w:r>
      <w:rPr>
        <w:rFonts w:ascii="宋体" w:eastAsia="宋体" w:hAnsi="宋体" w:cs="宋体"/>
        <w:spacing w:val="-15"/>
        <w:sz w:val="15"/>
        <w:szCs w:val="15"/>
      </w:rPr>
      <w:t>·</w:t>
    </w:r>
    <w:r>
      <w:rPr>
        <w:rFonts w:ascii="宋体" w:eastAsia="宋体" w:hAnsi="宋体" w:cs="宋体"/>
        <w:spacing w:val="31"/>
        <w:w w:val="101"/>
        <w:sz w:val="15"/>
        <w:szCs w:val="15"/>
      </w:rPr>
      <w:t xml:space="preserve"> </w:t>
    </w:r>
    <w:r>
      <w:rPr>
        <w:rFonts w:ascii="宋体" w:eastAsia="宋体" w:hAnsi="宋体" w:cs="宋体"/>
        <w:spacing w:val="-15"/>
        <w:sz w:val="15"/>
        <w:szCs w:val="15"/>
      </w:rPr>
      <w:t>171</w:t>
    </w:r>
    <w:r>
      <w:rPr>
        <w:rFonts w:ascii="宋体" w:eastAsia="宋体" w:hAnsi="宋体" w:cs="宋体"/>
        <w:spacing w:val="72"/>
        <w:sz w:val="15"/>
        <w:szCs w:val="15"/>
      </w:rPr>
      <w:t xml:space="preserve"> </w:t>
    </w:r>
    <w:r>
      <w:rPr>
        <w:rFonts w:ascii="宋体" w:eastAsia="宋体" w:hAnsi="宋体" w:cs="宋体"/>
        <w:spacing w:val="-15"/>
        <w:sz w:val="15"/>
        <w:szCs w:val="15"/>
      </w:rPr>
      <w:t>·</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7"/>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173</w:t>
    </w:r>
    <w:r>
      <w:rPr>
        <w:rFonts w:ascii="宋体" w:eastAsia="宋体" w:hAnsi="宋体" w:cs="宋体"/>
        <w:spacing w:val="55"/>
        <w:sz w:val="17"/>
        <w:szCs w:val="17"/>
      </w:rPr>
      <w:t xml:space="preserve"> </w:t>
    </w:r>
    <w:r>
      <w:rPr>
        <w:rFonts w:ascii="宋体" w:eastAsia="宋体" w:hAnsi="宋体" w:cs="宋体"/>
        <w:spacing w:val="-22"/>
        <w:sz w:val="17"/>
        <w:szCs w:val="17"/>
      </w:rPr>
      <w:t>·</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13"/>
      <w:jc w:val="right"/>
      <w:rPr>
        <w:rFonts w:ascii="宋体" w:eastAsia="宋体" w:hAnsi="宋体" w:cs="宋体"/>
        <w:sz w:val="16"/>
        <w:szCs w:val="16"/>
      </w:rPr>
    </w:pPr>
    <w:r>
      <w:rPr>
        <w:rFonts w:ascii="宋体" w:eastAsia="宋体" w:hAnsi="宋体" w:cs="宋体"/>
        <w:spacing w:val="-16"/>
        <w:sz w:val="16"/>
        <w:szCs w:val="16"/>
      </w:rPr>
      <w:t>·</w:t>
    </w:r>
    <w:r>
      <w:rPr>
        <w:rFonts w:ascii="宋体" w:eastAsia="宋体" w:hAnsi="宋体" w:cs="宋体"/>
        <w:spacing w:val="18"/>
        <w:sz w:val="16"/>
        <w:szCs w:val="16"/>
      </w:rPr>
      <w:t xml:space="preserve"> </w:t>
    </w:r>
    <w:r>
      <w:rPr>
        <w:rFonts w:ascii="宋体" w:eastAsia="宋体" w:hAnsi="宋体" w:cs="宋体"/>
        <w:spacing w:val="-16"/>
        <w:sz w:val="16"/>
        <w:szCs w:val="16"/>
      </w:rPr>
      <w:t>179</w:t>
    </w:r>
    <w:r>
      <w:rPr>
        <w:rFonts w:ascii="宋体" w:eastAsia="宋体" w:hAnsi="宋体" w:cs="宋体"/>
        <w:spacing w:val="61"/>
        <w:sz w:val="16"/>
        <w:szCs w:val="16"/>
      </w:rPr>
      <w:t xml:space="preserve"> </w:t>
    </w:r>
    <w:r>
      <w:rPr>
        <w:rFonts w:ascii="宋体" w:eastAsia="宋体" w:hAnsi="宋体" w:cs="宋体"/>
        <w:spacing w:val="-16"/>
        <w:sz w:val="16"/>
        <w:szCs w:val="16"/>
      </w:rPr>
      <w:t>·</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5"/>
      <w:jc w:val="right"/>
      <w:rPr>
        <w:rFonts w:ascii="宋体" w:eastAsia="宋体" w:hAnsi="宋体" w:cs="宋体"/>
        <w:sz w:val="17"/>
        <w:szCs w:val="17"/>
      </w:rPr>
    </w:pPr>
    <w:r>
      <w:rPr>
        <w:rFonts w:ascii="宋体" w:eastAsia="宋体" w:hAnsi="宋体" w:cs="宋体"/>
        <w:spacing w:val="-24"/>
        <w:sz w:val="17"/>
        <w:szCs w:val="17"/>
      </w:rPr>
      <w:t>·</w:t>
    </w:r>
    <w:r>
      <w:rPr>
        <w:rFonts w:ascii="宋体" w:eastAsia="宋体" w:hAnsi="宋体" w:cs="宋体"/>
        <w:spacing w:val="8"/>
        <w:sz w:val="17"/>
        <w:szCs w:val="17"/>
      </w:rPr>
      <w:t xml:space="preserve"> </w:t>
    </w:r>
    <w:r>
      <w:rPr>
        <w:rFonts w:ascii="宋体" w:eastAsia="宋体" w:hAnsi="宋体" w:cs="宋体"/>
        <w:spacing w:val="-24"/>
        <w:sz w:val="17"/>
        <w:szCs w:val="17"/>
      </w:rPr>
      <w:t>191</w:t>
    </w:r>
    <w:r>
      <w:rPr>
        <w:rFonts w:ascii="宋体" w:eastAsia="宋体" w:hAnsi="宋体" w:cs="宋体"/>
        <w:spacing w:val="50"/>
        <w:sz w:val="17"/>
        <w:szCs w:val="17"/>
      </w:rPr>
      <w:t xml:space="preserve"> </w:t>
    </w:r>
    <w:r>
      <w:rPr>
        <w:rFonts w:ascii="宋体" w:eastAsia="宋体" w:hAnsi="宋体" w:cs="宋体"/>
        <w:spacing w:val="-24"/>
        <w:sz w:val="17"/>
        <w:szCs w:val="17"/>
      </w:rPr>
      <w:t>·</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6"/>
      <w:jc w:val="right"/>
      <w:rPr>
        <w:rFonts w:ascii="宋体" w:eastAsia="宋体" w:hAnsi="宋体" w:cs="宋体"/>
        <w:sz w:val="17"/>
        <w:szCs w:val="17"/>
      </w:rPr>
    </w:pPr>
    <w:r>
      <w:rPr>
        <w:rFonts w:ascii="宋体" w:eastAsia="宋体" w:hAnsi="宋体" w:cs="宋体"/>
        <w:spacing w:val="-23"/>
        <w:sz w:val="17"/>
        <w:szCs w:val="17"/>
      </w:rPr>
      <w:t>·</w:t>
    </w:r>
    <w:r>
      <w:rPr>
        <w:rFonts w:ascii="宋体" w:eastAsia="宋体" w:hAnsi="宋体" w:cs="宋体"/>
        <w:spacing w:val="10"/>
        <w:sz w:val="17"/>
        <w:szCs w:val="17"/>
      </w:rPr>
      <w:t xml:space="preserve"> </w:t>
    </w:r>
    <w:r>
      <w:rPr>
        <w:rFonts w:ascii="宋体" w:eastAsia="宋体" w:hAnsi="宋体" w:cs="宋体"/>
        <w:spacing w:val="-23"/>
        <w:sz w:val="17"/>
        <w:szCs w:val="17"/>
      </w:rPr>
      <w:t>193</w:t>
    </w:r>
    <w:r>
      <w:rPr>
        <w:rFonts w:ascii="宋体" w:eastAsia="宋体" w:hAnsi="宋体" w:cs="宋体"/>
        <w:spacing w:val="52"/>
        <w:sz w:val="17"/>
        <w:szCs w:val="17"/>
      </w:rPr>
      <w:t xml:space="preserve"> </w:t>
    </w:r>
    <w:r>
      <w:rPr>
        <w:rFonts w:ascii="宋体" w:eastAsia="宋体" w:hAnsi="宋体" w:cs="宋体"/>
        <w:spacing w:val="-23"/>
        <w:sz w:val="17"/>
        <w:szCs w:val="17"/>
      </w:rPr>
      <w:t>·</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2"/>
        <w:sz w:val="17"/>
        <w:szCs w:val="17"/>
      </w:rPr>
      <w:t xml:space="preserve"> </w:t>
    </w:r>
    <w:r>
      <w:rPr>
        <w:rFonts w:ascii="宋体" w:eastAsia="宋体" w:hAnsi="宋体" w:cs="宋体"/>
        <w:spacing w:val="-22"/>
        <w:sz w:val="17"/>
        <w:szCs w:val="17"/>
      </w:rPr>
      <w:t>194</w:t>
    </w:r>
    <w:r>
      <w:rPr>
        <w:rFonts w:ascii="宋体" w:eastAsia="宋体" w:hAnsi="宋体" w:cs="宋体"/>
        <w:spacing w:val="55"/>
        <w:sz w:val="17"/>
        <w:szCs w:val="17"/>
      </w:rPr>
      <w:t xml:space="preserve"> </w:t>
    </w:r>
    <w:r>
      <w:rPr>
        <w:rFonts w:ascii="宋体" w:eastAsia="宋体" w:hAnsi="宋体" w:cs="宋体"/>
        <w:spacing w:val="-22"/>
        <w:sz w:val="17"/>
        <w:szCs w:val="17"/>
      </w:rPr>
      <w:t>·</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24"/>
      <w:jc w:val="right"/>
      <w:rPr>
        <w:rFonts w:ascii="宋体" w:eastAsia="宋体" w:hAnsi="宋体" w:cs="宋体"/>
        <w:sz w:val="17"/>
        <w:szCs w:val="17"/>
      </w:rPr>
    </w:pPr>
    <w:r>
      <w:rPr>
        <w:rFonts w:ascii="宋体" w:eastAsia="宋体" w:hAnsi="宋体" w:cs="宋体"/>
        <w:spacing w:val="-17"/>
        <w:sz w:val="17"/>
        <w:szCs w:val="17"/>
      </w:rPr>
      <w:t>·</w:t>
    </w:r>
    <w:r>
      <w:rPr>
        <w:rFonts w:ascii="宋体" w:eastAsia="宋体" w:hAnsi="宋体" w:cs="宋体"/>
        <w:spacing w:val="-20"/>
        <w:sz w:val="17"/>
        <w:szCs w:val="17"/>
      </w:rPr>
      <w:t xml:space="preserve"> </w:t>
    </w:r>
    <w:r>
      <w:rPr>
        <w:rFonts w:ascii="宋体" w:eastAsia="宋体" w:hAnsi="宋体" w:cs="宋体"/>
        <w:spacing w:val="-17"/>
        <w:sz w:val="17"/>
        <w:szCs w:val="17"/>
      </w:rPr>
      <w:t>195</w:t>
    </w:r>
    <w:r>
      <w:rPr>
        <w:rFonts w:ascii="宋体" w:eastAsia="宋体" w:hAnsi="宋体" w:cs="宋体"/>
        <w:spacing w:val="65"/>
        <w:sz w:val="17"/>
        <w:szCs w:val="17"/>
      </w:rPr>
      <w:t xml:space="preserve"> </w:t>
    </w:r>
    <w:r>
      <w:rPr>
        <w:rFonts w:ascii="宋体" w:eastAsia="宋体" w:hAnsi="宋体" w:cs="宋体"/>
        <w:spacing w:val="-17"/>
        <w:sz w:val="17"/>
        <w:szCs w:val="17"/>
      </w:rPr>
      <w:t>·</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45"/>
      <w:jc w:val="right"/>
      <w:rPr>
        <w:rFonts w:ascii="宋体" w:eastAsia="宋体" w:hAnsi="宋体" w:cs="宋体"/>
        <w:sz w:val="13"/>
        <w:szCs w:val="13"/>
      </w:rPr>
    </w:pPr>
    <w:r>
      <w:rPr>
        <w:rFonts w:ascii="宋体" w:eastAsia="宋体" w:hAnsi="宋体" w:cs="宋体"/>
        <w:spacing w:val="-19"/>
        <w:sz w:val="13"/>
        <w:szCs w:val="13"/>
      </w:rPr>
      <w:t>·</w:t>
    </w:r>
    <w:r>
      <w:rPr>
        <w:rFonts w:ascii="宋体" w:eastAsia="宋体" w:hAnsi="宋体" w:cs="宋体"/>
        <w:spacing w:val="23"/>
        <w:sz w:val="13"/>
        <w:szCs w:val="13"/>
      </w:rPr>
      <w:t xml:space="preserve"> </w:t>
    </w:r>
    <w:r>
      <w:rPr>
        <w:rFonts w:ascii="宋体" w:eastAsia="宋体" w:hAnsi="宋体" w:cs="宋体"/>
        <w:spacing w:val="-19"/>
        <w:sz w:val="13"/>
        <w:szCs w:val="13"/>
      </w:rPr>
      <w:t>9</w:t>
    </w:r>
    <w:r>
      <w:rPr>
        <w:rFonts w:ascii="宋体" w:eastAsia="宋体" w:hAnsi="宋体" w:cs="宋体"/>
        <w:spacing w:val="1"/>
        <w:sz w:val="13"/>
        <w:szCs w:val="13"/>
      </w:rPr>
      <w:t xml:space="preserve">  </w:t>
    </w:r>
    <w:r>
      <w:rPr>
        <w:rFonts w:ascii="宋体" w:eastAsia="宋体" w:hAnsi="宋体" w:cs="宋体"/>
        <w:spacing w:val="-19"/>
        <w:sz w:val="13"/>
        <w:szCs w:val="13"/>
      </w:rPr>
      <w:t>·</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62"/>
      <w:jc w:val="right"/>
      <w:rPr>
        <w:rFonts w:ascii="宋体" w:eastAsia="宋体" w:hAnsi="宋体" w:cs="宋体"/>
        <w:sz w:val="14"/>
        <w:szCs w:val="14"/>
      </w:rPr>
    </w:pPr>
    <w:r>
      <w:rPr>
        <w:rFonts w:ascii="宋体" w:eastAsia="宋体" w:hAnsi="宋体" w:cs="宋体"/>
        <w:spacing w:val="-14"/>
        <w:sz w:val="14"/>
        <w:szCs w:val="14"/>
      </w:rPr>
      <w:t>·</w:t>
    </w:r>
    <w:r>
      <w:rPr>
        <w:rFonts w:ascii="宋体" w:eastAsia="宋体" w:hAnsi="宋体" w:cs="宋体"/>
        <w:spacing w:val="44"/>
        <w:sz w:val="14"/>
        <w:szCs w:val="14"/>
      </w:rPr>
      <w:t xml:space="preserve"> </w:t>
    </w:r>
    <w:r>
      <w:rPr>
        <w:rFonts w:ascii="宋体" w:eastAsia="宋体" w:hAnsi="宋体" w:cs="宋体"/>
        <w:spacing w:val="-14"/>
        <w:sz w:val="14"/>
        <w:szCs w:val="14"/>
      </w:rPr>
      <w:t>197</w:t>
    </w:r>
    <w:r>
      <w:rPr>
        <w:rFonts w:ascii="宋体" w:eastAsia="宋体" w:hAnsi="宋体" w:cs="宋体"/>
        <w:spacing w:val="6"/>
        <w:sz w:val="14"/>
        <w:szCs w:val="14"/>
      </w:rPr>
      <w:t xml:space="preserve">  </w:t>
    </w:r>
    <w:r>
      <w:rPr>
        <w:rFonts w:ascii="宋体" w:eastAsia="宋体" w:hAnsi="宋体" w:cs="宋体"/>
        <w:spacing w:val="-14"/>
        <w:sz w:val="14"/>
        <w:szCs w:val="14"/>
      </w:rPr>
      <w:t>·</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16" w:lineRule="auto"/>
      <w:ind w:right="238"/>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25"/>
        <w:sz w:val="16"/>
        <w:szCs w:val="16"/>
      </w:rPr>
      <w:t xml:space="preserve">  </w:t>
    </w:r>
    <w:r>
      <w:rPr>
        <w:rFonts w:ascii="宋体" w:eastAsia="宋体" w:hAnsi="宋体" w:cs="宋体"/>
        <w:spacing w:val="-14"/>
        <w:sz w:val="16"/>
        <w:szCs w:val="16"/>
      </w:rPr>
      <w:t>203,</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spacing w:val="4"/>
        <w:sz w:val="16"/>
        <w:szCs w:val="16"/>
      </w:rPr>
      <w:t xml:space="preserve"> </w:t>
    </w:r>
    <w:r>
      <w:rPr>
        <w:rFonts w:ascii="宋体" w:eastAsia="宋体" w:hAnsi="宋体" w:cs="宋体"/>
        <w:spacing w:val="-17"/>
        <w:sz w:val="16"/>
        <w:szCs w:val="16"/>
      </w:rPr>
      <w:t>204</w:t>
    </w:r>
    <w:r>
      <w:rPr>
        <w:rFonts w:ascii="宋体" w:eastAsia="宋体" w:hAnsi="宋体" w:cs="宋体"/>
        <w:spacing w:val="54"/>
        <w:w w:val="101"/>
        <w:sz w:val="16"/>
        <w:szCs w:val="16"/>
      </w:rPr>
      <w:t xml:space="preserve"> </w:t>
    </w:r>
    <w:r>
      <w:rPr>
        <w:rFonts w:ascii="宋体" w:eastAsia="宋体" w:hAnsi="宋体" w:cs="宋体"/>
        <w:spacing w:val="-17"/>
        <w:sz w:val="16"/>
        <w:szCs w:val="16"/>
      </w:rPr>
      <w:t>·</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6"/>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205</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7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207</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35"/>
      <w:jc w:val="right"/>
      <w:rPr>
        <w:rFonts w:ascii="宋体" w:eastAsia="宋体" w:hAnsi="宋体" w:cs="宋体"/>
        <w:sz w:val="17"/>
        <w:szCs w:val="17"/>
      </w:rPr>
    </w:pPr>
    <w:r>
      <w:rPr>
        <w:rFonts w:ascii="宋体" w:eastAsia="宋体" w:hAnsi="宋体" w:cs="宋体"/>
        <w:spacing w:val="-22"/>
        <w:sz w:val="17"/>
        <w:szCs w:val="17"/>
      </w:rPr>
      <w:t>·</w:t>
    </w:r>
    <w:r>
      <w:rPr>
        <w:rFonts w:ascii="宋体" w:eastAsia="宋体" w:hAnsi="宋体" w:cs="宋体"/>
        <w:spacing w:val="-1"/>
        <w:sz w:val="17"/>
        <w:szCs w:val="17"/>
      </w:rPr>
      <w:t xml:space="preserve"> </w:t>
    </w:r>
    <w:r>
      <w:rPr>
        <w:rFonts w:ascii="宋体" w:eastAsia="宋体" w:hAnsi="宋体" w:cs="宋体"/>
        <w:spacing w:val="-22"/>
        <w:sz w:val="17"/>
        <w:szCs w:val="17"/>
      </w:rPr>
      <w:t>209</w:t>
    </w:r>
    <w:r>
      <w:rPr>
        <w:rFonts w:ascii="宋体" w:eastAsia="宋体" w:hAnsi="宋体" w:cs="宋体"/>
        <w:spacing w:val="49"/>
        <w:sz w:val="17"/>
        <w:szCs w:val="17"/>
      </w:rPr>
      <w:t xml:space="preserve"> </w:t>
    </w:r>
    <w:r>
      <w:rPr>
        <w:rFonts w:ascii="宋体" w:eastAsia="宋体" w:hAnsi="宋体" w:cs="宋体"/>
        <w:spacing w:val="-22"/>
        <w:sz w:val="17"/>
        <w:szCs w:val="17"/>
      </w:rPr>
      <w:t>·</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right="105"/>
      <w:jc w:val="right"/>
      <w:rPr>
        <w:rFonts w:ascii="宋体" w:eastAsia="宋体" w:hAnsi="宋体" w:cs="宋体"/>
        <w:sz w:val="16"/>
        <w:szCs w:val="16"/>
      </w:rPr>
    </w:pPr>
    <w:r>
      <w:rPr>
        <w:rFonts w:ascii="宋体" w:eastAsia="宋体" w:hAnsi="宋体" w:cs="宋体"/>
        <w:spacing w:val="-14"/>
        <w:sz w:val="16"/>
        <w:szCs w:val="16"/>
      </w:rPr>
      <w:t>·</w:t>
    </w:r>
    <w:r>
      <w:rPr>
        <w:rFonts w:ascii="宋体" w:eastAsia="宋体" w:hAnsi="宋体" w:cs="宋体"/>
        <w:spacing w:val="8"/>
        <w:sz w:val="16"/>
        <w:szCs w:val="16"/>
      </w:rPr>
      <w:t xml:space="preserve"> </w:t>
    </w:r>
    <w:r>
      <w:rPr>
        <w:rFonts w:ascii="宋体" w:eastAsia="宋体" w:hAnsi="宋体" w:cs="宋体"/>
        <w:spacing w:val="-14"/>
        <w:sz w:val="16"/>
        <w:szCs w:val="16"/>
      </w:rPr>
      <w:t>211</w:t>
    </w:r>
    <w:r>
      <w:rPr>
        <w:rFonts w:ascii="宋体" w:eastAsia="宋体" w:hAnsi="宋体" w:cs="宋体"/>
        <w:spacing w:val="21"/>
        <w:sz w:val="16"/>
        <w:szCs w:val="16"/>
      </w:rPr>
      <w:t xml:space="preserve"> </w:t>
    </w:r>
    <w:r>
      <w:rPr>
        <w:rFonts w:ascii="宋体" w:eastAsia="宋体" w:hAnsi="宋体" w:cs="宋体"/>
        <w:spacing w:val="-14"/>
        <w:sz w:val="16"/>
        <w:szCs w:val="16"/>
      </w:rPr>
      <w:t>·</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36"/>
      <w:jc w:val="right"/>
      <w:rPr>
        <w:rFonts w:ascii="宋体" w:eastAsia="宋体" w:hAnsi="宋体" w:cs="宋体"/>
        <w:sz w:val="17"/>
        <w:szCs w:val="17"/>
      </w:rPr>
    </w:pPr>
    <w:r>
      <w:rPr>
        <w:rFonts w:ascii="宋体" w:eastAsia="宋体" w:hAnsi="宋体" w:cs="宋体"/>
        <w:spacing w:val="-21"/>
        <w:sz w:val="17"/>
        <w:szCs w:val="17"/>
      </w:rPr>
      <w:t>·</w:t>
    </w:r>
    <w:r>
      <w:rPr>
        <w:rFonts w:ascii="宋体" w:eastAsia="宋体" w:hAnsi="宋体" w:cs="宋体"/>
        <w:sz w:val="17"/>
        <w:szCs w:val="17"/>
      </w:rPr>
      <w:t xml:space="preserve"> </w:t>
    </w:r>
    <w:r>
      <w:rPr>
        <w:rFonts w:ascii="宋体" w:eastAsia="宋体" w:hAnsi="宋体" w:cs="宋体"/>
        <w:spacing w:val="-21"/>
        <w:sz w:val="17"/>
        <w:szCs w:val="17"/>
      </w:rPr>
      <w:t>213</w:t>
    </w:r>
    <w:r>
      <w:rPr>
        <w:rFonts w:ascii="宋体" w:eastAsia="宋体" w:hAnsi="宋体" w:cs="宋体"/>
        <w:spacing w:val="52"/>
        <w:sz w:val="17"/>
        <w:szCs w:val="17"/>
      </w:rPr>
      <w:t xml:space="preserve"> </w:t>
    </w:r>
    <w:r>
      <w:rPr>
        <w:rFonts w:ascii="宋体" w:eastAsia="宋体" w:hAnsi="宋体" w:cs="宋体"/>
        <w:spacing w:val="-21"/>
        <w:sz w:val="17"/>
        <w:szCs w:val="17"/>
      </w:rPr>
      <w:t>·</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7"/>
      <w:jc w:val="right"/>
      <w:rPr>
        <w:rFonts w:ascii="宋体" w:eastAsia="宋体" w:hAnsi="宋体" w:cs="宋体"/>
        <w:sz w:val="17"/>
        <w:szCs w:val="17"/>
      </w:rPr>
    </w:pPr>
    <w:r>
      <w:rPr>
        <w:rFonts w:ascii="宋体" w:eastAsia="宋体" w:hAnsi="宋体" w:cs="宋体"/>
        <w:spacing w:val="-20"/>
        <w:sz w:val="17"/>
        <w:szCs w:val="17"/>
      </w:rPr>
      <w:t>·</w:t>
    </w:r>
    <w:r>
      <w:rPr>
        <w:rFonts w:ascii="宋体" w:eastAsia="宋体" w:hAnsi="宋体" w:cs="宋体"/>
        <w:spacing w:val="2"/>
        <w:sz w:val="17"/>
        <w:szCs w:val="17"/>
      </w:rPr>
      <w:t xml:space="preserve"> </w:t>
    </w:r>
    <w:r>
      <w:rPr>
        <w:rFonts w:ascii="宋体" w:eastAsia="宋体" w:hAnsi="宋体" w:cs="宋体"/>
        <w:spacing w:val="-20"/>
        <w:sz w:val="17"/>
        <w:szCs w:val="17"/>
      </w:rPr>
      <w:t>217</w:t>
    </w:r>
    <w:r>
      <w:rPr>
        <w:rFonts w:ascii="宋体" w:eastAsia="宋体" w:hAnsi="宋体" w:cs="宋体"/>
        <w:spacing w:val="55"/>
        <w:sz w:val="17"/>
        <w:szCs w:val="17"/>
      </w:rPr>
      <w:t xml:space="preserve"> </w:t>
    </w:r>
    <w:r>
      <w:rPr>
        <w:rFonts w:ascii="宋体" w:eastAsia="宋体" w:hAnsi="宋体" w:cs="宋体"/>
        <w:spacing w:val="-20"/>
        <w:sz w:val="17"/>
        <w:szCs w:val="17"/>
      </w:rPr>
      <w:t>·</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ind w:right="71"/>
      <w:jc w:val="right"/>
      <w:rPr>
        <w:rFonts w:ascii="宋体" w:eastAsia="宋体" w:hAnsi="宋体" w:cs="宋体"/>
        <w:sz w:val="19"/>
        <w:szCs w:val="19"/>
      </w:rPr>
    </w:pPr>
    <w:r>
      <w:rPr>
        <w:rFonts w:ascii="宋体" w:eastAsia="宋体" w:hAnsi="宋体" w:cs="宋体"/>
        <w:spacing w:val="-30"/>
        <w:sz w:val="19"/>
        <w:szCs w:val="19"/>
      </w:rPr>
      <w:t>·</w:t>
    </w:r>
    <w:r>
      <w:rPr>
        <w:rFonts w:ascii="宋体" w:eastAsia="宋体" w:hAnsi="宋体" w:cs="宋体"/>
        <w:spacing w:val="-8"/>
        <w:sz w:val="19"/>
        <w:szCs w:val="19"/>
      </w:rPr>
      <w:t xml:space="preserve"> </w:t>
    </w:r>
    <w:r>
      <w:rPr>
        <w:rFonts w:ascii="宋体" w:eastAsia="宋体" w:hAnsi="宋体" w:cs="宋体"/>
        <w:spacing w:val="-30"/>
        <w:sz w:val="19"/>
        <w:szCs w:val="19"/>
      </w:rPr>
      <w:t>221</w:t>
    </w:r>
    <w:r>
      <w:rPr>
        <w:rFonts w:ascii="宋体" w:eastAsia="宋体" w:hAnsi="宋体" w:cs="宋体"/>
        <w:spacing w:val="45"/>
        <w:sz w:val="19"/>
        <w:szCs w:val="19"/>
      </w:rPr>
      <w:t xml:space="preserve"> </w:t>
    </w:r>
    <w:r>
      <w:rPr>
        <w:rFonts w:ascii="宋体" w:eastAsia="宋体" w:hAnsi="宋体" w:cs="宋体"/>
        <w:spacing w:val="-30"/>
        <w:sz w:val="19"/>
        <w:szCs w:val="19"/>
      </w:rPr>
      <w:t>·</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before="1"/>
      <w:ind w:left="109"/>
      <w:rPr>
        <w:rFonts w:ascii="宋体" w:eastAsia="宋体" w:hAnsi="宋体" w:cs="宋体"/>
      </w:rPr>
    </w:pPr>
    <w:r>
      <w:rPr>
        <w:rFonts w:ascii="宋体" w:eastAsia="宋体" w:hAnsi="宋体" w:cs="宋体"/>
        <w:spacing w:val="-17"/>
      </w:rPr>
      <w:t>·224</w:t>
    </w:r>
    <w:r>
      <w:rPr>
        <w:rFonts w:ascii="宋体" w:eastAsia="宋体" w:hAnsi="宋体" w:cs="宋体"/>
        <w:spacing w:val="-22"/>
      </w:rPr>
      <w:t xml:space="preserve"> </w:t>
    </w:r>
    <w:r>
      <w:rPr>
        <w:rFonts w:ascii="宋体" w:eastAsia="宋体" w:hAnsi="宋体" w:cs="宋体"/>
        <w:spacing w:val="-17"/>
      </w:rPr>
      <w:t>·</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239" w:lineRule="auto"/>
      <w:ind w:right="106"/>
      <w:jc w:val="right"/>
      <w:rPr>
        <w:rFonts w:ascii="宋体" w:eastAsia="宋体" w:hAnsi="宋体" w:cs="宋体"/>
        <w:sz w:val="18"/>
        <w:szCs w:val="18"/>
      </w:rPr>
    </w:pPr>
    <w:r>
      <w:rPr>
        <w:rFonts w:ascii="宋体" w:eastAsia="宋体" w:hAnsi="宋体" w:cs="宋体"/>
        <w:spacing w:val="-25"/>
        <w:sz w:val="18"/>
        <w:szCs w:val="18"/>
      </w:rPr>
      <w:t>·</w:t>
    </w:r>
    <w:r>
      <w:rPr>
        <w:rFonts w:ascii="宋体" w:eastAsia="宋体" w:hAnsi="宋体" w:cs="宋体"/>
        <w:spacing w:val="-3"/>
        <w:sz w:val="18"/>
        <w:szCs w:val="18"/>
      </w:rPr>
      <w:t xml:space="preserve"> </w:t>
    </w:r>
    <w:r>
      <w:rPr>
        <w:rFonts w:ascii="宋体" w:eastAsia="宋体" w:hAnsi="宋体" w:cs="宋体"/>
        <w:spacing w:val="-25"/>
        <w:sz w:val="18"/>
        <w:szCs w:val="18"/>
      </w:rPr>
      <w:t>225</w:t>
    </w:r>
    <w:r>
      <w:rPr>
        <w:rFonts w:ascii="宋体" w:eastAsia="宋体" w:hAnsi="宋体" w:cs="宋体"/>
        <w:spacing w:val="50"/>
        <w:sz w:val="18"/>
        <w:szCs w:val="18"/>
      </w:rPr>
      <w:t xml:space="preserve"> </w:t>
    </w:r>
    <w:r>
      <w:rPr>
        <w:rFonts w:ascii="宋体" w:eastAsia="宋体" w:hAnsi="宋体" w:cs="宋体"/>
        <w:spacing w:val="-25"/>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46C" w:rsidRDefault="00EE446C">
      <w:r>
        <w:separator/>
      </w:r>
    </w:p>
  </w:footnote>
  <w:footnote w:type="continuationSeparator" w:id="0">
    <w:p w:rsidR="00EE446C" w:rsidRDefault="00EE4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r>
      <w:rPr>
        <w:noProof/>
      </w:rPr>
      <w:drawing>
        <wp:anchor distT="0" distB="0" distL="0" distR="0" simplePos="0" relativeHeight="251659264" behindDoc="1" locked="0" layoutInCell="0" allowOverlap="1">
          <wp:simplePos x="0" y="0"/>
          <wp:positionH relativeFrom="page">
            <wp:posOffset>0</wp:posOffset>
          </wp:positionH>
          <wp:positionV relativeFrom="page">
            <wp:posOffset>0</wp:posOffset>
          </wp:positionV>
          <wp:extent cx="5854700" cy="8489950"/>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1"/>
                  <a:stretch>
                    <a:fillRect/>
                  </a:stretch>
                </pic:blipFill>
                <pic:spPr>
                  <a:xfrm>
                    <a:off x="0" y="0"/>
                    <a:ext cx="5854700" cy="848995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14" w:lineRule="auto"/>
      <w:rPr>
        <w:sz w:val="2"/>
      </w:rPr>
    </w:pPr>
    <w:r>
      <w:rPr>
        <w:noProof/>
      </w:rPr>
      <mc:AlternateContent>
        <mc:Choice Requires="wps">
          <w:drawing>
            <wp:anchor distT="0" distB="0" distL="114300" distR="114300" simplePos="0" relativeHeight="251675648" behindDoc="0" locked="0" layoutInCell="0" allowOverlap="1">
              <wp:simplePos x="0" y="0"/>
              <wp:positionH relativeFrom="page">
                <wp:posOffset>4083050</wp:posOffset>
              </wp:positionH>
              <wp:positionV relativeFrom="page">
                <wp:posOffset>5699760</wp:posOffset>
              </wp:positionV>
              <wp:extent cx="911860" cy="146685"/>
              <wp:effectExtent l="0" t="3810" r="0" b="1905"/>
              <wp:wrapNone/>
              <wp:docPr id="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C16" w:rsidRDefault="00E86C16">
                          <w:pPr>
                            <w:spacing w:before="20" w:line="219" w:lineRule="auto"/>
                            <w:ind w:left="20"/>
                            <w:rPr>
                              <w:rFonts w:ascii="宋体" w:eastAsia="宋体" w:hAnsi="宋体" w:cs="宋体"/>
                              <w:sz w:val="16"/>
                              <w:szCs w:val="16"/>
                            </w:rPr>
                          </w:pPr>
                          <w:r>
                            <w:rPr>
                              <w:rFonts w:ascii="宋体" w:eastAsia="宋体" w:hAnsi="宋体" w:cs="宋体"/>
                              <w:spacing w:val="4"/>
                              <w:sz w:val="16"/>
                              <w:szCs w:val="16"/>
                            </w:rPr>
                            <w:t>净蛋白利用率(</w:t>
                          </w:r>
                          <w:r>
                            <w:rPr>
                              <w:rFonts w:ascii="宋体" w:eastAsia="宋体" w:hAnsi="宋体" w:cs="宋体"/>
                              <w:sz w:val="16"/>
                              <w:szCs w:val="16"/>
                            </w:rPr>
                            <w:t>NPU</w:t>
                          </w:r>
                          <w:r>
                            <w:rPr>
                              <w:rFonts w:ascii="宋体" w:eastAsia="宋体" w:hAnsi="宋体" w:cs="宋体"/>
                              <w:spacing w:val="4"/>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78" type="#_x0000_t202" style="position:absolute;margin-left:321.5pt;margin-top:448.8pt;width:71.8pt;height:11.5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" o:allowincell="f" filled="f" stroked="f">
              <v:textbox inset="0,0,0,0">
                <w:txbxContent>
                  <w:p w:rsidR="00E86C16" w:rsidRDefault="00E86C16">
                    <w:pPr>
                      <w:spacing w:before="20" w:line="219" w:lineRule="auto"/>
                      <w:ind w:left="20"/>
                      <w:rPr>
                        <w:rFonts w:ascii="宋体" w:eastAsia="宋体" w:hAnsi="宋体" w:cs="宋体"/>
                        <w:sz w:val="16"/>
                        <w:szCs w:val="16"/>
                      </w:rPr>
                    </w:pPr>
                    <w:r>
                      <w:rPr>
                        <w:rFonts w:ascii="宋体" w:eastAsia="宋体" w:hAnsi="宋体" w:cs="宋体"/>
                        <w:spacing w:val="4"/>
                        <w:sz w:val="16"/>
                        <w:szCs w:val="16"/>
                      </w:rPr>
                      <w:t>净蛋白利用率(</w:t>
                    </w:r>
                    <w:r>
                      <w:rPr>
                        <w:rFonts w:ascii="宋体" w:eastAsia="宋体" w:hAnsi="宋体" w:cs="宋体"/>
                        <w:sz w:val="16"/>
                        <w:szCs w:val="16"/>
                      </w:rPr>
                      <w:t>NPU</w:t>
                    </w:r>
                    <w:r>
                      <w:rPr>
                        <w:rFonts w:ascii="宋体" w:eastAsia="宋体" w:hAnsi="宋体" w:cs="宋体"/>
                        <w:spacing w:val="4"/>
                        <w:sz w:val="16"/>
                        <w:szCs w:val="16"/>
                      </w:rPr>
                      <w: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19" w:lineRule="auto"/>
      <w:ind w:right="337"/>
      <w:jc w:val="right"/>
      <w:rPr>
        <w:rFonts w:ascii="宋体" w:eastAsia="宋体" w:hAnsi="宋体" w:cs="宋体"/>
      </w:rPr>
    </w:pPr>
    <w:r>
      <w:rPr>
        <w:noProof/>
      </w:rPr>
      <mc:AlternateContent>
        <mc:Choice Requires="wps">
          <w:drawing>
            <wp:anchor distT="0" distB="0" distL="114300" distR="114300" simplePos="0" relativeHeight="251676672" behindDoc="0" locked="0" layoutInCell="0" allowOverlap="1">
              <wp:simplePos x="0" y="0"/>
              <wp:positionH relativeFrom="page">
                <wp:posOffset>546100</wp:posOffset>
              </wp:positionH>
              <wp:positionV relativeFrom="page">
                <wp:posOffset>854075</wp:posOffset>
              </wp:positionV>
              <wp:extent cx="4679950" cy="6350"/>
              <wp:effectExtent l="12700" t="6350" r="12700" b="6350"/>
              <wp:wrapNone/>
              <wp:docPr id="9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9950" cy="6350"/>
                      </a:xfrm>
                      <a:custGeom>
                        <a:avLst/>
                        <a:gdLst>
                          <a:gd name="T0" fmla="*/ 0 w 7370"/>
                          <a:gd name="T1" fmla="*/ 5 h 10"/>
                          <a:gd name="T2" fmla="*/ 1919 w 7370"/>
                          <a:gd name="T3" fmla="*/ 5 h 10"/>
                          <a:gd name="T4" fmla="*/ 1919 w 7370"/>
                          <a:gd name="T5" fmla="*/ 5 h 10"/>
                          <a:gd name="T6" fmla="*/ 3740 w 7370"/>
                          <a:gd name="T7" fmla="*/ 5 h 10"/>
                          <a:gd name="T8" fmla="*/ 3740 w 7370"/>
                          <a:gd name="T9" fmla="*/ 5 h 10"/>
                          <a:gd name="T10" fmla="*/ 5459 w 7370"/>
                          <a:gd name="T11" fmla="*/ 5 h 10"/>
                          <a:gd name="T12" fmla="*/ 5459 w 7370"/>
                          <a:gd name="T13" fmla="*/ 5 h 10"/>
                          <a:gd name="T14" fmla="*/ 7369 w 737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70" h="10">
                            <a:moveTo>
                              <a:pt x="0" y="5"/>
                            </a:moveTo>
                            <a:lnTo>
                              <a:pt x="1919" y="5"/>
                            </a:lnTo>
                            <a:moveTo>
                              <a:pt x="1919" y="5"/>
                            </a:moveTo>
                            <a:lnTo>
                              <a:pt x="3740" y="5"/>
                            </a:lnTo>
                            <a:moveTo>
                              <a:pt x="3740" y="5"/>
                            </a:moveTo>
                            <a:lnTo>
                              <a:pt x="5459" y="5"/>
                            </a:lnTo>
                            <a:moveTo>
                              <a:pt x="5459" y="5"/>
                            </a:moveTo>
                            <a:lnTo>
                              <a:pt x="736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69A30" id="AutoShape 4" o:spid="_x0000_s1026" style="position:absolute;left:0;text-align:left;margin-left:43pt;margin-top:67.25pt;width:368.5pt;height:.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" o:allowincell="f" path="m,5r1919,m1919,5r1821,m3740,5r1719,m5459,5r1910,e" filled="f" strokeweight=".5pt">
              <v:stroke miterlimit="10" joinstyle="miter"/>
              <v:path o:connecttype="custom" o:connectlocs="0,3175;1218565,3175;1218565,3175;2374900,3175;2374900,3175;3466465,3175;3466465,3175;4679315,3175" o:connectangles="0,0,0,0,0,0,0,0"/>
              <w10:wrap anchorx="page" anchory="page"/>
            </v:shape>
          </w:pict>
        </mc:Fallback>
      </mc:AlternateContent>
    </w:r>
    <w:r w:rsidR="00E86C16">
      <w:rPr>
        <w:rFonts w:ascii="黑体" w:eastAsia="黑体" w:hAnsi="黑体" w:cs="黑体"/>
        <w:b/>
        <w:bCs/>
        <w:spacing w:val="-18"/>
        <w:w w:val="96"/>
      </w:rPr>
      <w:t>表7-2</w:t>
    </w:r>
    <w:r w:rsidR="00E86C16">
      <w:rPr>
        <w:rFonts w:ascii="黑体" w:eastAsia="黑体" w:hAnsi="黑体" w:cs="黑体"/>
        <w:spacing w:val="49"/>
      </w:rPr>
      <w:t xml:space="preserve"> </w:t>
    </w:r>
    <w:r w:rsidR="00E86C16">
      <w:rPr>
        <w:rFonts w:ascii="黑体" w:eastAsia="黑体" w:hAnsi="黑体" w:cs="黑体"/>
        <w:b/>
        <w:bCs/>
        <w:spacing w:val="-18"/>
        <w:w w:val="96"/>
      </w:rPr>
      <w:t>烫漂对菠菜矿物质元素的影响</w:t>
    </w:r>
    <w:r w:rsidR="00E86C16">
      <w:rPr>
        <w:rFonts w:ascii="黑体" w:eastAsia="黑体" w:hAnsi="黑体" w:cs="黑体"/>
        <w:spacing w:val="8"/>
      </w:rPr>
      <w:t xml:space="preserve">     </w:t>
    </w:r>
    <w:r w:rsidR="00E86C16">
      <w:rPr>
        <w:rFonts w:ascii="宋体" w:eastAsia="宋体" w:hAnsi="宋体" w:cs="宋体"/>
        <w:spacing w:val="-18"/>
        <w:w w:val="96"/>
      </w:rPr>
      <w:t>(单位：g/100</w:t>
    </w:r>
    <w:r w:rsidR="00E86C16">
      <w:rPr>
        <w:rFonts w:ascii="宋体" w:eastAsia="宋体" w:hAnsi="宋体" w:cs="宋体"/>
        <w:spacing w:val="-19"/>
        <w:w w:val="96"/>
      </w:rPr>
      <w:t>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left="2462"/>
      <w:rPr>
        <w:rFonts w:ascii="黑体" w:eastAsia="黑体" w:hAnsi="黑体" w:cs="黑体"/>
        <w:sz w:val="18"/>
        <w:szCs w:val="18"/>
      </w:rPr>
    </w:pPr>
    <w:r>
      <w:rPr>
        <w:noProof/>
      </w:rPr>
      <mc:AlternateContent>
        <mc:Choice Requires="wps">
          <w:drawing>
            <wp:anchor distT="0" distB="0" distL="114300" distR="114300" simplePos="0" relativeHeight="251679744" behindDoc="0" locked="0" layoutInCell="0" allowOverlap="1">
              <wp:simplePos x="0" y="0"/>
              <wp:positionH relativeFrom="page">
                <wp:posOffset>565150</wp:posOffset>
              </wp:positionH>
              <wp:positionV relativeFrom="page">
                <wp:posOffset>860425</wp:posOffset>
              </wp:positionV>
              <wp:extent cx="4680585" cy="6350"/>
              <wp:effectExtent l="12700" t="3175" r="12065" b="9525"/>
              <wp:wrapNone/>
              <wp:docPr id="8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585" cy="6350"/>
                      </a:xfrm>
                      <a:custGeom>
                        <a:avLst/>
                        <a:gdLst>
                          <a:gd name="T0" fmla="*/ 0 w 7370"/>
                          <a:gd name="T1" fmla="*/ 5 h 10"/>
                          <a:gd name="T2" fmla="*/ 1340 w 7370"/>
                          <a:gd name="T3" fmla="*/ 5 h 10"/>
                          <a:gd name="T4" fmla="*/ 1340 w 7370"/>
                          <a:gd name="T5" fmla="*/ 5 h 10"/>
                          <a:gd name="T6" fmla="*/ 3199 w 7370"/>
                          <a:gd name="T7" fmla="*/ 5 h 10"/>
                          <a:gd name="T8" fmla="*/ 3199 w 7370"/>
                          <a:gd name="T9" fmla="*/ 5 h 10"/>
                          <a:gd name="T10" fmla="*/ 5439 w 7370"/>
                          <a:gd name="T11" fmla="*/ 5 h 10"/>
                          <a:gd name="T12" fmla="*/ 5439 w 7370"/>
                          <a:gd name="T13" fmla="*/ 5 h 10"/>
                          <a:gd name="T14" fmla="*/ 7370 w 737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70" h="10">
                            <a:moveTo>
                              <a:pt x="0" y="5"/>
                            </a:moveTo>
                            <a:lnTo>
                              <a:pt x="1340" y="5"/>
                            </a:lnTo>
                            <a:moveTo>
                              <a:pt x="1340" y="5"/>
                            </a:moveTo>
                            <a:lnTo>
                              <a:pt x="3199" y="5"/>
                            </a:lnTo>
                            <a:moveTo>
                              <a:pt x="3199" y="5"/>
                            </a:moveTo>
                            <a:lnTo>
                              <a:pt x="5439" y="5"/>
                            </a:lnTo>
                            <a:moveTo>
                              <a:pt x="5439" y="5"/>
                            </a:moveTo>
                            <a:lnTo>
                              <a:pt x="737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3FD98" id="AutoShape 5" o:spid="_x0000_s1026" style="position:absolute;left:0;text-align:left;margin-left:44.5pt;margin-top:67.75pt;width:368.55pt;height:.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" o:allowincell="f" path="m,5r1340,m1340,5r1859,m3199,5r2240,m5439,5r1931,e" filled="f" strokeweight=".5pt">
              <v:stroke miterlimit="10" joinstyle="miter"/>
              <v:path o:connecttype="custom" o:connectlocs="0,3175;851015,3175;851015,3175;2031641,3175;2031641,3175;3454234,3175;3454234,3175;4680585,3175" o:connectangles="0,0,0,0,0,0,0,0"/>
              <w10:wrap anchorx="page" anchory="page"/>
            </v:shape>
          </w:pict>
        </mc:Fallback>
      </mc:AlternateContent>
    </w:r>
    <w:bookmarkStart w:id="70" w:name="_bookmark75"/>
    <w:bookmarkStart w:id="71" w:name="_bookmark74"/>
    <w:bookmarkEnd w:id="70"/>
    <w:bookmarkEnd w:id="71"/>
    <w:r w:rsidR="00E86C16">
      <w:rPr>
        <w:rFonts w:ascii="黑体" w:eastAsia="黑体" w:hAnsi="黑体" w:cs="黑体"/>
        <w:b/>
        <w:bCs/>
        <w:spacing w:val="-2"/>
        <w:sz w:val="18"/>
        <w:szCs w:val="18"/>
      </w:rPr>
      <w:t>表9-1</w:t>
    </w:r>
    <w:r w:rsidR="00E86C16">
      <w:rPr>
        <w:rFonts w:ascii="黑体" w:eastAsia="黑体" w:hAnsi="黑体" w:cs="黑体"/>
        <w:spacing w:val="55"/>
        <w:sz w:val="18"/>
        <w:szCs w:val="18"/>
      </w:rPr>
      <w:t xml:space="preserve"> </w:t>
    </w:r>
    <w:r w:rsidR="00E86C16">
      <w:rPr>
        <w:rFonts w:ascii="黑体" w:eastAsia="黑体" w:hAnsi="黑体" w:cs="黑体"/>
        <w:b/>
        <w:bCs/>
        <w:spacing w:val="-2"/>
        <w:sz w:val="18"/>
        <w:szCs w:val="18"/>
      </w:rPr>
      <w:t>保健食品功能性评价方法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84" w:lineRule="auto"/>
      <w:ind w:right="315"/>
      <w:jc w:val="right"/>
      <w:rPr>
        <w:rFonts w:ascii="宋体" w:eastAsia="宋体" w:hAnsi="宋体" w:cs="宋体"/>
        <w:sz w:val="20"/>
        <w:szCs w:val="20"/>
      </w:rPr>
    </w:pPr>
    <w:r>
      <w:rPr>
        <w:rFonts w:ascii="宋体" w:eastAsia="宋体" w:hAnsi="宋体" w:cs="宋体"/>
        <w:spacing w:val="-8"/>
        <w:sz w:val="20"/>
        <w:szCs w:val="20"/>
      </w:rPr>
      <w:t>续表</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left="1972"/>
      <w:rPr>
        <w:rFonts w:ascii="黑体" w:eastAsia="黑体" w:hAnsi="黑体" w:cs="黑体"/>
        <w:sz w:val="19"/>
        <w:szCs w:val="19"/>
      </w:rPr>
    </w:pPr>
    <w:r>
      <w:rPr>
        <w:noProof/>
      </w:rPr>
      <mc:AlternateContent>
        <mc:Choice Requires="wps">
          <w:drawing>
            <wp:anchor distT="0" distB="0" distL="114300" distR="114300" simplePos="0" relativeHeight="251681792" behindDoc="0" locked="0" layoutInCell="0" allowOverlap="1">
              <wp:simplePos x="0" y="0"/>
              <wp:positionH relativeFrom="page">
                <wp:posOffset>608965</wp:posOffset>
              </wp:positionH>
              <wp:positionV relativeFrom="page">
                <wp:posOffset>796290</wp:posOffset>
              </wp:positionV>
              <wp:extent cx="4693285" cy="6350"/>
              <wp:effectExtent l="8890" t="5715" r="12700" b="6985"/>
              <wp:wrapNone/>
              <wp:docPr id="8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3285" cy="6350"/>
                      </a:xfrm>
                      <a:custGeom>
                        <a:avLst/>
                        <a:gdLst>
                          <a:gd name="T0" fmla="*/ 0 w 7390"/>
                          <a:gd name="T1" fmla="*/ 5 h 10"/>
                          <a:gd name="T2" fmla="*/ 2529 w 7390"/>
                          <a:gd name="T3" fmla="*/ 5 h 10"/>
                          <a:gd name="T4" fmla="*/ 2529 w 7390"/>
                          <a:gd name="T5" fmla="*/ 5 h 10"/>
                          <a:gd name="T6" fmla="*/ 7390 w 7390"/>
                          <a:gd name="T7" fmla="*/ 5 h 10"/>
                        </a:gdLst>
                        <a:ahLst/>
                        <a:cxnLst>
                          <a:cxn ang="0">
                            <a:pos x="T0" y="T1"/>
                          </a:cxn>
                          <a:cxn ang="0">
                            <a:pos x="T2" y="T3"/>
                          </a:cxn>
                          <a:cxn ang="0">
                            <a:pos x="T4" y="T5"/>
                          </a:cxn>
                          <a:cxn ang="0">
                            <a:pos x="T6" y="T7"/>
                          </a:cxn>
                        </a:cxnLst>
                        <a:rect l="0" t="0" r="r" b="b"/>
                        <a:pathLst>
                          <a:path w="7390" h="10">
                            <a:moveTo>
                              <a:pt x="0" y="5"/>
                            </a:moveTo>
                            <a:lnTo>
                              <a:pt x="2529" y="5"/>
                            </a:lnTo>
                            <a:moveTo>
                              <a:pt x="2529" y="5"/>
                            </a:moveTo>
                            <a:lnTo>
                              <a:pt x="739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1C8D8" id="AutoShape 7" o:spid="_x0000_s1026" style="position:absolute;left:0;text-align:left;margin-left:47.95pt;margin-top:62.7pt;width:369.55pt;height:.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" o:allowincell="f" path="m,5r2529,m2529,5r4861,e" filled="f" strokeweight=".5pt">
              <v:stroke miterlimit="10" joinstyle="miter"/>
              <v:path o:connecttype="custom" o:connectlocs="0,3175;1606132,3175;1606132,3175;4693285,3175" o:connectangles="0,0,0,0"/>
              <w10:wrap anchorx="page" anchory="page"/>
            </v:shape>
          </w:pict>
        </mc:Fallback>
      </mc:AlternateContent>
    </w:r>
    <w:r w:rsidR="00E86C16">
      <w:rPr>
        <w:rFonts w:ascii="黑体" w:eastAsia="黑体" w:hAnsi="黑体" w:cs="黑体"/>
        <w:b/>
        <w:bCs/>
        <w:spacing w:val="-12"/>
        <w:sz w:val="19"/>
        <w:szCs w:val="19"/>
      </w:rPr>
      <w:t>表10-14</w:t>
    </w:r>
    <w:r w:rsidR="00E86C16">
      <w:rPr>
        <w:rFonts w:ascii="黑体" w:eastAsia="黑体" w:hAnsi="黑体" w:cs="黑体"/>
        <w:spacing w:val="95"/>
        <w:sz w:val="19"/>
        <w:szCs w:val="19"/>
      </w:rPr>
      <w:t xml:space="preserve"> </w:t>
    </w:r>
    <w:r w:rsidR="00E86C16">
      <w:rPr>
        <w:rFonts w:ascii="黑体" w:eastAsia="黑体" w:hAnsi="黑体" w:cs="黑体"/>
        <w:b/>
        <w:bCs/>
        <w:spacing w:val="-12"/>
        <w:sz w:val="19"/>
        <w:szCs w:val="19"/>
      </w:rPr>
      <w:t>推荐的运动员每日膳食能量摄入量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right="355"/>
      <w:jc w:val="right"/>
      <w:rPr>
        <w:rFonts w:ascii="宋体" w:eastAsia="宋体" w:hAnsi="宋体" w:cs="宋体"/>
        <w:sz w:val="20"/>
        <w:szCs w:val="20"/>
      </w:rPr>
    </w:pPr>
    <w:r>
      <w:rPr>
        <w:noProof/>
      </w:rPr>
      <mc:AlternateContent>
        <mc:Choice Requires="wps">
          <w:drawing>
            <wp:anchor distT="0" distB="0" distL="114300" distR="114300" simplePos="0" relativeHeight="251682816" behindDoc="0" locked="0" layoutInCell="0" allowOverlap="1">
              <wp:simplePos x="0" y="0"/>
              <wp:positionH relativeFrom="page">
                <wp:posOffset>583565</wp:posOffset>
              </wp:positionH>
              <wp:positionV relativeFrom="page">
                <wp:posOffset>828040</wp:posOffset>
              </wp:positionV>
              <wp:extent cx="4667250" cy="6350"/>
              <wp:effectExtent l="12065" t="8890" r="6985" b="3810"/>
              <wp:wrapNone/>
              <wp:docPr id="8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0" cy="6350"/>
                      </a:xfrm>
                      <a:custGeom>
                        <a:avLst/>
                        <a:gdLst>
                          <a:gd name="T0" fmla="*/ 0 w 7350"/>
                          <a:gd name="T1" fmla="*/ 5 h 10"/>
                          <a:gd name="T2" fmla="*/ 1020 w 7350"/>
                          <a:gd name="T3" fmla="*/ 5 h 10"/>
                          <a:gd name="T4" fmla="*/ 1020 w 7350"/>
                          <a:gd name="T5" fmla="*/ 5 h 10"/>
                          <a:gd name="T6" fmla="*/ 1869 w 7350"/>
                          <a:gd name="T7" fmla="*/ 5 h 10"/>
                          <a:gd name="T8" fmla="*/ 1869 w 7350"/>
                          <a:gd name="T9" fmla="*/ 5 h 10"/>
                          <a:gd name="T10" fmla="*/ 4030 w 7350"/>
                          <a:gd name="T11" fmla="*/ 5 h 10"/>
                          <a:gd name="T12" fmla="*/ 4030 w 7350"/>
                          <a:gd name="T13" fmla="*/ 5 h 10"/>
                          <a:gd name="T14" fmla="*/ 4610 w 7350"/>
                          <a:gd name="T15" fmla="*/ 5 h 10"/>
                          <a:gd name="T16" fmla="*/ 4610 w 7350"/>
                          <a:gd name="T17" fmla="*/ 5 h 10"/>
                          <a:gd name="T18" fmla="*/ 5069 w 7350"/>
                          <a:gd name="T19" fmla="*/ 5 h 10"/>
                          <a:gd name="T20" fmla="*/ 5069 w 7350"/>
                          <a:gd name="T21" fmla="*/ 5 h 10"/>
                          <a:gd name="T22" fmla="*/ 7350 w 7350"/>
                          <a:gd name="T23"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350" h="10">
                            <a:moveTo>
                              <a:pt x="0" y="5"/>
                            </a:moveTo>
                            <a:lnTo>
                              <a:pt x="1020" y="5"/>
                            </a:lnTo>
                            <a:moveTo>
                              <a:pt x="1020" y="5"/>
                            </a:moveTo>
                            <a:lnTo>
                              <a:pt x="1869" y="5"/>
                            </a:lnTo>
                            <a:moveTo>
                              <a:pt x="1869" y="5"/>
                            </a:moveTo>
                            <a:lnTo>
                              <a:pt x="4030" y="5"/>
                            </a:lnTo>
                            <a:moveTo>
                              <a:pt x="4030" y="5"/>
                            </a:moveTo>
                            <a:lnTo>
                              <a:pt x="4610" y="5"/>
                            </a:lnTo>
                            <a:moveTo>
                              <a:pt x="4610" y="5"/>
                            </a:moveTo>
                            <a:lnTo>
                              <a:pt x="5069" y="5"/>
                            </a:lnTo>
                            <a:moveTo>
                              <a:pt x="5069" y="5"/>
                            </a:moveTo>
                            <a:lnTo>
                              <a:pt x="735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C197C" id="AutoShape 8" o:spid="_x0000_s1026" style="position:absolute;left:0;text-align:left;margin-left:45.95pt;margin-top:65.2pt;width:367.5pt;height:.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" o:allowincell="f" path="m,5r1020,m1020,5r849,m1869,5r2161,m4030,5r580,m4610,5r459,m5069,5r2281,e" filled="f" strokeweight=".5pt">
              <v:stroke miterlimit="10" joinstyle="miter"/>
              <v:path o:connecttype="custom" o:connectlocs="0,3175;647700,3175;647700,3175;1186815,3175;1186815,3175;2559050,3175;2559050,3175;2927350,3175;2927350,3175;3218815,3175;3218815,3175;4667250,3175" o:connectangles="0,0,0,0,0,0,0,0,0,0,0,0"/>
              <w10:wrap anchorx="page" anchory="page"/>
            </v:shape>
          </w:pict>
        </mc:Fallback>
      </mc:AlternateContent>
    </w:r>
    <w:r w:rsidR="00E86C16">
      <w:rPr>
        <w:rFonts w:ascii="宋体" w:eastAsia="宋体" w:hAnsi="宋体" w:cs="宋体"/>
        <w:spacing w:val="-3"/>
        <w:sz w:val="20"/>
        <w:szCs w:val="20"/>
      </w:rPr>
      <w:t>续表</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88" w:lineRule="auto"/>
      <w:ind w:right="317"/>
      <w:jc w:val="right"/>
      <w:rPr>
        <w:rFonts w:ascii="仿宋" w:eastAsia="仿宋" w:hAnsi="仿宋" w:cs="仿宋"/>
      </w:rPr>
    </w:pPr>
    <w:r>
      <w:rPr>
        <w:rFonts w:ascii="仿宋" w:eastAsia="仿宋" w:hAnsi="仿宋" w:cs="仿宋"/>
        <w:spacing w:val="-14"/>
      </w:rPr>
      <w:t>续表</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19" w:lineRule="auto"/>
      <w:ind w:left="2032"/>
      <w:rPr>
        <w:rFonts w:ascii="宋体" w:eastAsia="宋体" w:hAnsi="宋体" w:cs="宋体"/>
        <w:sz w:val="17"/>
        <w:szCs w:val="17"/>
      </w:rPr>
    </w:pPr>
    <w:r>
      <w:rPr>
        <w:noProof/>
      </w:rPr>
      <mc:AlternateContent>
        <mc:Choice Requires="wps">
          <w:drawing>
            <wp:anchor distT="0" distB="0" distL="114300" distR="114300" simplePos="0" relativeHeight="251683840" behindDoc="0" locked="0" layoutInCell="0" allowOverlap="1">
              <wp:simplePos x="0" y="0"/>
              <wp:positionH relativeFrom="page">
                <wp:posOffset>508000</wp:posOffset>
              </wp:positionH>
              <wp:positionV relativeFrom="page">
                <wp:posOffset>993140</wp:posOffset>
              </wp:positionV>
              <wp:extent cx="4718050" cy="6350"/>
              <wp:effectExtent l="12700" t="2540" r="12700" b="10160"/>
              <wp:wrapNone/>
              <wp:docPr id="8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0" cy="6350"/>
                      </a:xfrm>
                      <a:custGeom>
                        <a:avLst/>
                        <a:gdLst>
                          <a:gd name="T0" fmla="*/ 0 w 7430"/>
                          <a:gd name="T1" fmla="*/ 5 h 10"/>
                          <a:gd name="T2" fmla="*/ 1239 w 7430"/>
                          <a:gd name="T3" fmla="*/ 5 h 10"/>
                          <a:gd name="T4" fmla="*/ 1239 w 7430"/>
                          <a:gd name="T5" fmla="*/ 5 h 10"/>
                          <a:gd name="T6" fmla="*/ 7429 w 7430"/>
                          <a:gd name="T7" fmla="*/ 5 h 10"/>
                          <a:gd name="T8" fmla="*/ 0 w 7430"/>
                          <a:gd name="T9" fmla="*/ 5 h 10"/>
                          <a:gd name="T10" fmla="*/ 1239 w 7430"/>
                          <a:gd name="T11" fmla="*/ 5 h 10"/>
                          <a:gd name="T12" fmla="*/ 1239 w 7430"/>
                          <a:gd name="T13" fmla="*/ 5 h 10"/>
                          <a:gd name="T14" fmla="*/ 7429 w 743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30" h="10">
                            <a:moveTo>
                              <a:pt x="0" y="5"/>
                            </a:moveTo>
                            <a:lnTo>
                              <a:pt x="1239" y="5"/>
                            </a:lnTo>
                            <a:moveTo>
                              <a:pt x="1239" y="5"/>
                            </a:moveTo>
                            <a:lnTo>
                              <a:pt x="7429" y="5"/>
                            </a:lnTo>
                            <a:moveTo>
                              <a:pt x="0" y="5"/>
                            </a:moveTo>
                            <a:lnTo>
                              <a:pt x="1239" y="5"/>
                            </a:lnTo>
                            <a:moveTo>
                              <a:pt x="1239" y="5"/>
                            </a:moveTo>
                            <a:lnTo>
                              <a:pt x="742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23DFB" id="AutoShape 9" o:spid="_x0000_s1026" style="position:absolute;left:0;text-align:left;margin-left:40pt;margin-top:78.2pt;width:371.5pt;height:.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" o:allowincell="f" path="m,5r1239,m1239,5r6190,m,5r1239,m1239,5r6190,e" filled="f" strokeweight=".5pt">
              <v:stroke miterlimit="10" joinstyle="miter"/>
              <v:path o:connecttype="custom" o:connectlocs="0,3175;786765,3175;786765,3175;4717415,3175;0,3175;786765,3175;786765,3175;4717415,3175" o:connectangles="0,0,0,0,0,0,0,0"/>
              <w10:wrap anchorx="page" anchory="page"/>
            </v:shape>
          </w:pict>
        </mc:Fallback>
      </mc:AlternateContent>
    </w:r>
    <w:bookmarkStart w:id="98" w:name="_bookmark102"/>
    <w:bookmarkEnd w:id="98"/>
    <w:r w:rsidR="00E86C16">
      <w:rPr>
        <w:rFonts w:ascii="宋体" w:eastAsia="宋体" w:hAnsi="宋体" w:cs="宋体"/>
        <w:b/>
        <w:bCs/>
        <w:spacing w:val="14"/>
        <w:sz w:val="17"/>
        <w:szCs w:val="17"/>
      </w:rPr>
      <w:t>表12-6人体营养水平生化检验临床参考数值</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left="6600"/>
      <w:rPr>
        <w:rFonts w:ascii="宋体" w:eastAsia="宋体" w:hAnsi="宋体" w:cs="宋体"/>
        <w:sz w:val="19"/>
        <w:szCs w:val="19"/>
      </w:rPr>
    </w:pPr>
    <w:r>
      <w:rPr>
        <w:noProof/>
      </w:rPr>
      <mc:AlternateContent>
        <mc:Choice Requires="wps">
          <w:drawing>
            <wp:anchor distT="0" distB="0" distL="114300" distR="114300" simplePos="0" relativeHeight="251684864" behindDoc="0" locked="0" layoutInCell="0" allowOverlap="1">
              <wp:simplePos x="0" y="0"/>
              <wp:positionH relativeFrom="page">
                <wp:posOffset>615315</wp:posOffset>
              </wp:positionH>
              <wp:positionV relativeFrom="page">
                <wp:posOffset>854075</wp:posOffset>
              </wp:positionV>
              <wp:extent cx="4655185" cy="6350"/>
              <wp:effectExtent l="5715" t="6350" r="6350" b="6350"/>
              <wp:wrapNone/>
              <wp:docPr id="8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5185" cy="6350"/>
                      </a:xfrm>
                      <a:custGeom>
                        <a:avLst/>
                        <a:gdLst>
                          <a:gd name="T0" fmla="*/ 0 w 7330"/>
                          <a:gd name="T1" fmla="*/ 5 h 10"/>
                          <a:gd name="T2" fmla="*/ 1340 w 7330"/>
                          <a:gd name="T3" fmla="*/ 5 h 10"/>
                          <a:gd name="T4" fmla="*/ 1340 w 7330"/>
                          <a:gd name="T5" fmla="*/ 5 h 10"/>
                          <a:gd name="T6" fmla="*/ 7330 w 7330"/>
                          <a:gd name="T7" fmla="*/ 5 h 10"/>
                        </a:gdLst>
                        <a:ahLst/>
                        <a:cxnLst>
                          <a:cxn ang="0">
                            <a:pos x="T0" y="T1"/>
                          </a:cxn>
                          <a:cxn ang="0">
                            <a:pos x="T2" y="T3"/>
                          </a:cxn>
                          <a:cxn ang="0">
                            <a:pos x="T4" y="T5"/>
                          </a:cxn>
                          <a:cxn ang="0">
                            <a:pos x="T6" y="T7"/>
                          </a:cxn>
                        </a:cxnLst>
                        <a:rect l="0" t="0" r="r" b="b"/>
                        <a:pathLst>
                          <a:path w="7330" h="10">
                            <a:moveTo>
                              <a:pt x="0" y="5"/>
                            </a:moveTo>
                            <a:lnTo>
                              <a:pt x="1340" y="5"/>
                            </a:lnTo>
                            <a:moveTo>
                              <a:pt x="1340" y="5"/>
                            </a:moveTo>
                            <a:lnTo>
                              <a:pt x="733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8AC62" id="AutoShape 10" o:spid="_x0000_s1026" style="position:absolute;left:0;text-align:left;margin-left:48.45pt;margin-top:67.25pt;width:366.55pt;height:.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" o:allowincell="f" path="m,5r1340,m1340,5r5990,e" filled="f" strokeweight=".5pt">
              <v:stroke miterlimit="10" joinstyle="miter"/>
              <v:path o:connecttype="custom" o:connectlocs="0,3175;851016,3175;851016,3175;4655185,3175" o:connectangles="0,0,0,0"/>
              <w10:wrap anchorx="page" anchory="page"/>
            </v:shape>
          </w:pict>
        </mc:Fallback>
      </mc:AlternateContent>
    </w:r>
    <w:r w:rsidR="00E86C16">
      <w:rPr>
        <w:rFonts w:ascii="宋体" w:eastAsia="宋体" w:hAnsi="宋体" w:cs="宋体"/>
        <w:spacing w:val="-3"/>
        <w:sz w:val="19"/>
        <w:szCs w:val="19"/>
      </w:rPr>
      <w:t>续表</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before="1" w:line="218" w:lineRule="auto"/>
      <w:ind w:left="414"/>
      <w:rPr>
        <w:rFonts w:ascii="宋体" w:eastAsia="宋体" w:hAnsi="宋体" w:cs="宋体"/>
        <w:sz w:val="32"/>
        <w:szCs w:val="32"/>
      </w:rPr>
    </w:pPr>
    <w:r>
      <w:rPr>
        <w:rFonts w:ascii="宋体" w:eastAsia="宋体" w:hAnsi="宋体" w:cs="宋体"/>
        <w:b/>
        <w:bCs/>
        <w:spacing w:val="-7"/>
        <w:sz w:val="32"/>
        <w:szCs w:val="32"/>
      </w:rPr>
      <w:t>附录1</w:t>
    </w:r>
    <w:r>
      <w:rPr>
        <w:rFonts w:ascii="宋体" w:eastAsia="宋体" w:hAnsi="宋体" w:cs="宋体"/>
        <w:spacing w:val="137"/>
        <w:sz w:val="32"/>
        <w:szCs w:val="32"/>
      </w:rPr>
      <w:t xml:space="preserve"> </w:t>
    </w:r>
    <w:r>
      <w:rPr>
        <w:rFonts w:ascii="宋体" w:eastAsia="宋体" w:hAnsi="宋体" w:cs="宋体"/>
        <w:b/>
        <w:bCs/>
        <w:spacing w:val="-7"/>
        <w:sz w:val="32"/>
        <w:szCs w:val="32"/>
      </w:rPr>
      <w:t>中国居民膳食营养素参考摄入量</w:t>
    </w:r>
    <w:r>
      <w:rPr>
        <w:rFonts w:ascii="宋体" w:eastAsia="宋体" w:hAnsi="宋体" w:cs="宋体"/>
        <w:spacing w:val="-3"/>
        <w:sz w:val="32"/>
        <w:szCs w:val="32"/>
      </w:rPr>
      <w:t xml:space="preserve"> </w:t>
    </w:r>
    <w:r>
      <w:rPr>
        <w:rFonts w:ascii="宋体" w:eastAsia="宋体" w:hAnsi="宋体" w:cs="宋体"/>
        <w:b/>
        <w:bCs/>
        <w:spacing w:val="-7"/>
        <w:sz w:val="32"/>
        <w:szCs w:val="32"/>
      </w:rPr>
      <w:t>(DRI)</w:t>
    </w:r>
  </w:p>
  <w:p w:rsidR="00E86C16" w:rsidRDefault="00E86C16">
    <w:pPr>
      <w:spacing w:line="437" w:lineRule="auto"/>
    </w:pPr>
  </w:p>
  <w:p w:rsidR="00E86C16" w:rsidRDefault="00E86C16">
    <w:pPr>
      <w:tabs>
        <w:tab w:val="left" w:pos="1360"/>
      </w:tabs>
      <w:spacing w:before="59" w:line="187" w:lineRule="auto"/>
      <w:rPr>
        <w:rFonts w:ascii="黑体" w:eastAsia="黑体" w:hAnsi="黑体" w:cs="黑体"/>
        <w:sz w:val="18"/>
        <w:szCs w:val="18"/>
      </w:rPr>
    </w:pPr>
    <w:r>
      <w:rPr>
        <w:rFonts w:ascii="黑体" w:eastAsia="黑体" w:hAnsi="黑体" w:cs="黑体"/>
        <w:sz w:val="18"/>
        <w:szCs w:val="18"/>
        <w:u w:val="single"/>
      </w:rPr>
      <w:tab/>
    </w:r>
    <w:r>
      <w:rPr>
        <w:rFonts w:ascii="黑体" w:eastAsia="黑体" w:hAnsi="黑体" w:cs="黑体"/>
        <w:spacing w:val="87"/>
        <w:sz w:val="18"/>
        <w:szCs w:val="18"/>
        <w:u w:val="single"/>
      </w:rPr>
      <w:t xml:space="preserve"> </w:t>
    </w:r>
    <w:r>
      <w:rPr>
        <w:rFonts w:ascii="黑体" w:eastAsia="黑体" w:hAnsi="黑体" w:cs="黑体"/>
        <w:b/>
        <w:bCs/>
        <w:spacing w:val="-6"/>
        <w:sz w:val="18"/>
        <w:szCs w:val="18"/>
        <w:u w:val="single"/>
      </w:rPr>
      <w:t>表</w:t>
    </w:r>
    <w:r>
      <w:rPr>
        <w:rFonts w:ascii="黑体" w:eastAsia="黑体" w:hAnsi="黑体" w:cs="黑体"/>
        <w:spacing w:val="8"/>
        <w:sz w:val="18"/>
        <w:szCs w:val="18"/>
        <w:u w:val="single"/>
      </w:rPr>
      <w:t xml:space="preserve"> </w:t>
    </w:r>
    <w:r>
      <w:rPr>
        <w:rFonts w:ascii="黑体" w:eastAsia="黑体" w:hAnsi="黑体" w:cs="黑体"/>
        <w:b/>
        <w:bCs/>
        <w:spacing w:val="-6"/>
        <w:sz w:val="18"/>
        <w:szCs w:val="18"/>
        <w:u w:val="single"/>
      </w:rPr>
      <w:t>1</w:t>
    </w:r>
    <w:r>
      <w:rPr>
        <w:rFonts w:ascii="黑体" w:eastAsia="黑体" w:hAnsi="黑体" w:cs="黑体"/>
        <w:spacing w:val="48"/>
        <w:sz w:val="18"/>
        <w:szCs w:val="18"/>
        <w:u w:val="single"/>
      </w:rPr>
      <w:t xml:space="preserve"> </w:t>
    </w:r>
    <w:r>
      <w:rPr>
        <w:rFonts w:ascii="黑体" w:eastAsia="黑体" w:hAnsi="黑体" w:cs="黑体"/>
        <w:b/>
        <w:bCs/>
        <w:spacing w:val="-6"/>
        <w:sz w:val="18"/>
        <w:szCs w:val="18"/>
        <w:u w:val="single"/>
      </w:rPr>
      <w:t>能量和蛋白质的推荐摄入量</w:t>
    </w:r>
    <w:r>
      <w:rPr>
        <w:rFonts w:ascii="黑体" w:eastAsia="黑体" w:hAnsi="黑体" w:cs="黑体"/>
        <w:spacing w:val="23"/>
        <w:sz w:val="18"/>
        <w:szCs w:val="18"/>
        <w:u w:val="single"/>
      </w:rPr>
      <w:t xml:space="preserve"> </w:t>
    </w:r>
    <w:r>
      <w:rPr>
        <w:rFonts w:ascii="黑体" w:eastAsia="黑体" w:hAnsi="黑体" w:cs="黑体"/>
        <w:b/>
        <w:bCs/>
        <w:spacing w:val="-6"/>
        <w:sz w:val="18"/>
        <w:szCs w:val="18"/>
        <w:u w:val="single"/>
      </w:rPr>
      <w:t>(RNI)</w:t>
    </w:r>
    <w:r>
      <w:rPr>
        <w:rFonts w:ascii="黑体" w:eastAsia="黑体" w:hAnsi="黑体" w:cs="黑体"/>
        <w:spacing w:val="61"/>
        <w:sz w:val="18"/>
        <w:szCs w:val="18"/>
        <w:u w:val="single"/>
      </w:rPr>
      <w:t xml:space="preserve"> </w:t>
    </w:r>
    <w:r>
      <w:rPr>
        <w:rFonts w:ascii="黑体" w:eastAsia="黑体" w:hAnsi="黑体" w:cs="黑体"/>
        <w:b/>
        <w:bCs/>
        <w:spacing w:val="-6"/>
        <w:sz w:val="18"/>
        <w:szCs w:val="18"/>
        <w:u w:val="single"/>
      </w:rPr>
      <w:t>及脂肪供能比</w:t>
    </w:r>
    <w:r>
      <w:rPr>
        <w:rFonts w:ascii="黑体" w:eastAsia="黑体" w:hAnsi="黑体" w:cs="黑体"/>
        <w:sz w:val="18"/>
        <w:szCs w:val="18"/>
        <w:u w:val="single"/>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left="3334"/>
      <w:rPr>
        <w:rFonts w:ascii="黑体" w:eastAsia="黑体" w:hAnsi="黑体" w:cs="黑体"/>
        <w:sz w:val="18"/>
        <w:szCs w:val="18"/>
      </w:rPr>
    </w:pPr>
    <w:r>
      <w:rPr>
        <w:noProof/>
      </w:rPr>
      <mc:AlternateContent>
        <mc:Choice Requires="wps">
          <w:drawing>
            <wp:anchor distT="0" distB="0" distL="114300" distR="114300" simplePos="0" relativeHeight="251686912" behindDoc="0" locked="0" layoutInCell="0" allowOverlap="1">
              <wp:simplePos x="0" y="0"/>
              <wp:positionH relativeFrom="page">
                <wp:posOffset>895350</wp:posOffset>
              </wp:positionH>
              <wp:positionV relativeFrom="page">
                <wp:posOffset>822325</wp:posOffset>
              </wp:positionV>
              <wp:extent cx="7042785" cy="6350"/>
              <wp:effectExtent l="9525" t="3175" r="5715" b="9525"/>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785" cy="6350"/>
                      </a:xfrm>
                      <a:custGeom>
                        <a:avLst/>
                        <a:gdLst>
                          <a:gd name="T0" fmla="*/ 0 w 11090"/>
                          <a:gd name="T1" fmla="*/ 5 h 10"/>
                          <a:gd name="T2" fmla="*/ 729 w 11090"/>
                          <a:gd name="T3" fmla="*/ 5 h 10"/>
                          <a:gd name="T4" fmla="*/ 729 w 11090"/>
                          <a:gd name="T5" fmla="*/ 5 h 10"/>
                          <a:gd name="T6" fmla="*/ 1719 w 11090"/>
                          <a:gd name="T7" fmla="*/ 5 h 10"/>
                          <a:gd name="T8" fmla="*/ 1719 w 11090"/>
                          <a:gd name="T9" fmla="*/ 5 h 10"/>
                          <a:gd name="T10" fmla="*/ 3299 w 11090"/>
                          <a:gd name="T11" fmla="*/ 5 h 10"/>
                          <a:gd name="T12" fmla="*/ 3299 w 11090"/>
                          <a:gd name="T13" fmla="*/ 5 h 10"/>
                          <a:gd name="T14" fmla="*/ 4339 w 11090"/>
                          <a:gd name="T15" fmla="*/ 5 h 10"/>
                          <a:gd name="T16" fmla="*/ 4339 w 11090"/>
                          <a:gd name="T17" fmla="*/ 5 h 10"/>
                          <a:gd name="T18" fmla="*/ 5399 w 11090"/>
                          <a:gd name="T19" fmla="*/ 5 h 10"/>
                          <a:gd name="T20" fmla="*/ 5399 w 11090"/>
                          <a:gd name="T21" fmla="*/ 5 h 10"/>
                          <a:gd name="T22" fmla="*/ 8150 w 11090"/>
                          <a:gd name="T23" fmla="*/ 5 h 10"/>
                          <a:gd name="T24" fmla="*/ 8150 w 11090"/>
                          <a:gd name="T25" fmla="*/ 5 h 10"/>
                          <a:gd name="T26" fmla="*/ 8879 w 11090"/>
                          <a:gd name="T27" fmla="*/ 5 h 10"/>
                          <a:gd name="T28" fmla="*/ 8879 w 11090"/>
                          <a:gd name="T29" fmla="*/ 5 h 10"/>
                          <a:gd name="T30" fmla="*/ 9869 w 11090"/>
                          <a:gd name="T31" fmla="*/ 5 h 10"/>
                          <a:gd name="T32" fmla="*/ 9869 w 11090"/>
                          <a:gd name="T33" fmla="*/ 5 h 10"/>
                          <a:gd name="T34" fmla="*/ 10449 w 11090"/>
                          <a:gd name="T35" fmla="*/ 5 h 10"/>
                          <a:gd name="T36" fmla="*/ 10449 w 11090"/>
                          <a:gd name="T37" fmla="*/ 5 h 10"/>
                          <a:gd name="T38" fmla="*/ 11090 w 11090"/>
                          <a:gd name="T39"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90" h="10">
                            <a:moveTo>
                              <a:pt x="0" y="5"/>
                            </a:moveTo>
                            <a:lnTo>
                              <a:pt x="729" y="5"/>
                            </a:lnTo>
                            <a:moveTo>
                              <a:pt x="729" y="5"/>
                            </a:moveTo>
                            <a:lnTo>
                              <a:pt x="1719" y="5"/>
                            </a:lnTo>
                            <a:moveTo>
                              <a:pt x="1719" y="5"/>
                            </a:moveTo>
                            <a:lnTo>
                              <a:pt x="3299" y="5"/>
                            </a:lnTo>
                            <a:moveTo>
                              <a:pt x="3299" y="5"/>
                            </a:moveTo>
                            <a:lnTo>
                              <a:pt x="4339" y="5"/>
                            </a:lnTo>
                            <a:moveTo>
                              <a:pt x="4339" y="5"/>
                            </a:moveTo>
                            <a:lnTo>
                              <a:pt x="5399" y="5"/>
                            </a:lnTo>
                            <a:moveTo>
                              <a:pt x="5399" y="5"/>
                            </a:moveTo>
                            <a:lnTo>
                              <a:pt x="8150" y="5"/>
                            </a:lnTo>
                            <a:moveTo>
                              <a:pt x="8150" y="5"/>
                            </a:moveTo>
                            <a:lnTo>
                              <a:pt x="8879" y="5"/>
                            </a:lnTo>
                            <a:moveTo>
                              <a:pt x="8879" y="5"/>
                            </a:moveTo>
                            <a:lnTo>
                              <a:pt x="9869" y="5"/>
                            </a:lnTo>
                            <a:moveTo>
                              <a:pt x="9869" y="5"/>
                            </a:moveTo>
                            <a:lnTo>
                              <a:pt x="10449" y="5"/>
                            </a:lnTo>
                            <a:moveTo>
                              <a:pt x="10449" y="5"/>
                            </a:moveTo>
                            <a:lnTo>
                              <a:pt x="11090"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5599E" id="AutoShape 12" o:spid="_x0000_s1026" style="position:absolute;left:0;text-align:left;margin-left:70.5pt;margin-top:64.75pt;width:554.55pt;height:.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" o:allowincell="f" path="m,5r729,m729,5r990,m1719,5r1580,m3299,5r1040,m4339,5r1060,m5399,5r2751,m8150,5r729,m8879,5r990,m9869,5r580,m10449,5r641,e" filled="f" strokeweight=".5pt">
              <v:stroke miterlimit="10" joinstyle="miter"/>
              <v:path o:connecttype="custom" o:connectlocs="0,3175;462957,3175;462957,3175;1091663,3175;1091663,3175;2095054,3175;2095054,3175;2755513,3175;2755513,3175;3428674,3175;3428674,3175;5175717,3175;5175717,3175;5638673,3175;5638673,3175;6267380,3175;6267380,3175;6635713,3175;6635713,3175;7042785,3175" o:connectangles="0,0,0,0,0,0,0,0,0,0,0,0,0,0,0,0,0,0,0,0"/>
              <w10:wrap anchorx="page" anchory="page"/>
            </v:shape>
          </w:pict>
        </mc:Fallback>
      </mc:AlternateContent>
    </w:r>
    <w:r w:rsidR="00E86C16">
      <w:rPr>
        <w:rFonts w:ascii="黑体" w:eastAsia="黑体" w:hAnsi="黑体" w:cs="黑体"/>
        <w:b/>
        <w:bCs/>
        <w:spacing w:val="-6"/>
        <w:sz w:val="18"/>
        <w:szCs w:val="18"/>
      </w:rPr>
      <w:t>表</w:t>
    </w:r>
    <w:r w:rsidR="00E86C16">
      <w:rPr>
        <w:rFonts w:ascii="黑体" w:eastAsia="黑体" w:hAnsi="黑体" w:cs="黑体"/>
        <w:spacing w:val="-21"/>
        <w:sz w:val="18"/>
        <w:szCs w:val="18"/>
      </w:rPr>
      <w:t xml:space="preserve"> </w:t>
    </w:r>
    <w:r w:rsidR="00E86C16">
      <w:rPr>
        <w:rFonts w:ascii="黑体" w:eastAsia="黑体" w:hAnsi="黑体" w:cs="黑体"/>
        <w:b/>
        <w:bCs/>
        <w:spacing w:val="-6"/>
        <w:sz w:val="18"/>
        <w:szCs w:val="18"/>
      </w:rPr>
      <w:t>3</w:t>
    </w:r>
    <w:r w:rsidR="00E86C16">
      <w:rPr>
        <w:rFonts w:ascii="黑体" w:eastAsia="黑体" w:hAnsi="黑体" w:cs="黑体"/>
        <w:spacing w:val="56"/>
        <w:sz w:val="18"/>
        <w:szCs w:val="18"/>
      </w:rPr>
      <w:t xml:space="preserve"> </w:t>
    </w:r>
    <w:r w:rsidR="00E86C16">
      <w:rPr>
        <w:rFonts w:ascii="黑体" w:eastAsia="黑体" w:hAnsi="黑体" w:cs="黑体"/>
        <w:b/>
        <w:bCs/>
        <w:spacing w:val="-6"/>
        <w:sz w:val="18"/>
        <w:szCs w:val="18"/>
      </w:rPr>
      <w:t>脂溶性和水溶性维生素的推荐摄入量(RNI)</w:t>
    </w:r>
    <w:r w:rsidR="00E86C16">
      <w:rPr>
        <w:rFonts w:ascii="黑体" w:eastAsia="黑体" w:hAnsi="黑体" w:cs="黑体"/>
        <w:spacing w:val="-29"/>
        <w:sz w:val="18"/>
        <w:szCs w:val="18"/>
      </w:rPr>
      <w:t xml:space="preserve"> </w:t>
    </w:r>
    <w:r w:rsidR="00E86C16">
      <w:rPr>
        <w:rFonts w:ascii="黑体" w:eastAsia="黑体" w:hAnsi="黑体" w:cs="黑体"/>
        <w:b/>
        <w:bCs/>
        <w:spacing w:val="-6"/>
        <w:sz w:val="18"/>
        <w:szCs w:val="18"/>
      </w:rPr>
      <w:t>或适宜摄入量(AI)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1" w:lineRule="auto"/>
      <w:ind w:left="2582"/>
      <w:rPr>
        <w:rFonts w:ascii="黑体" w:eastAsia="黑体" w:hAnsi="黑体" w:cs="黑体"/>
        <w:sz w:val="18"/>
        <w:szCs w:val="18"/>
      </w:rPr>
    </w:pPr>
    <w:r>
      <w:rPr>
        <w:noProof/>
      </w:rPr>
      <mc:AlternateContent>
        <mc:Choice Requires="wps">
          <w:drawing>
            <wp:anchor distT="0" distB="0" distL="114300" distR="114300" simplePos="0" relativeHeight="251660288" behindDoc="0" locked="0" layoutInCell="0" allowOverlap="1">
              <wp:simplePos x="0" y="0"/>
              <wp:positionH relativeFrom="page">
                <wp:posOffset>546100</wp:posOffset>
              </wp:positionH>
              <wp:positionV relativeFrom="page">
                <wp:posOffset>834390</wp:posOffset>
              </wp:positionV>
              <wp:extent cx="4654550" cy="6350"/>
              <wp:effectExtent l="12700" t="5715" r="9525" b="6985"/>
              <wp:wrapNone/>
              <wp:docPr id="9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4550" cy="6350"/>
                      </a:xfrm>
                      <a:custGeom>
                        <a:avLst/>
                        <a:gdLst>
                          <a:gd name="T0" fmla="*/ 0 w 7330"/>
                          <a:gd name="T1" fmla="*/ 5 h 10"/>
                          <a:gd name="T2" fmla="*/ 3279 w 7330"/>
                          <a:gd name="T3" fmla="*/ 5 h 10"/>
                          <a:gd name="T4" fmla="*/ 3279 w 7330"/>
                          <a:gd name="T5" fmla="*/ 5 h 10"/>
                          <a:gd name="T6" fmla="*/ 7329 w 7330"/>
                          <a:gd name="T7" fmla="*/ 5 h 10"/>
                        </a:gdLst>
                        <a:ahLst/>
                        <a:cxnLst>
                          <a:cxn ang="0">
                            <a:pos x="T0" y="T1"/>
                          </a:cxn>
                          <a:cxn ang="0">
                            <a:pos x="T2" y="T3"/>
                          </a:cxn>
                          <a:cxn ang="0">
                            <a:pos x="T4" y="T5"/>
                          </a:cxn>
                          <a:cxn ang="0">
                            <a:pos x="T6" y="T7"/>
                          </a:cxn>
                        </a:cxnLst>
                        <a:rect l="0" t="0" r="r" b="b"/>
                        <a:pathLst>
                          <a:path w="7330" h="10">
                            <a:moveTo>
                              <a:pt x="0" y="5"/>
                            </a:moveTo>
                            <a:lnTo>
                              <a:pt x="3279" y="5"/>
                            </a:lnTo>
                            <a:moveTo>
                              <a:pt x="3279" y="5"/>
                            </a:moveTo>
                            <a:lnTo>
                              <a:pt x="732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6E58B" id="AutoShape 1" o:spid="_x0000_s1026" style="position:absolute;left:0;text-align:left;margin-left:43pt;margin-top:65.7pt;width:366.5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" o:allowincell="f" path="m,5r3279,m3279,5r4050,e" filled="f" strokeweight=".5pt">
              <v:stroke miterlimit="10" joinstyle="miter"/>
              <v:path o:connecttype="custom" o:connectlocs="0,3175;2082165,3175;2082165,3175;4653915,3175" o:connectangles="0,0,0,0"/>
              <w10:wrap anchorx="page" anchory="page"/>
            </v:shape>
          </w:pict>
        </mc:Fallback>
      </mc:AlternateContent>
    </w:r>
    <w:r w:rsidR="00E86C16">
      <w:rPr>
        <w:rFonts w:ascii="黑体" w:eastAsia="黑体" w:hAnsi="黑体" w:cs="黑体"/>
        <w:b/>
        <w:bCs/>
        <w:spacing w:val="-1"/>
        <w:sz w:val="18"/>
        <w:szCs w:val="18"/>
      </w:rPr>
      <w:t>表4-1</w:t>
    </w:r>
    <w:r w:rsidR="00E86C16">
      <w:rPr>
        <w:rFonts w:ascii="黑体" w:eastAsia="黑体" w:hAnsi="黑体" w:cs="黑体"/>
        <w:spacing w:val="49"/>
        <w:sz w:val="18"/>
        <w:szCs w:val="18"/>
      </w:rPr>
      <w:t xml:space="preserve"> </w:t>
    </w:r>
    <w:r w:rsidR="00E86C16">
      <w:rPr>
        <w:rFonts w:ascii="黑体" w:eastAsia="黑体" w:hAnsi="黑体" w:cs="黑体"/>
        <w:b/>
        <w:bCs/>
        <w:spacing w:val="-1"/>
        <w:sz w:val="18"/>
        <w:szCs w:val="18"/>
      </w:rPr>
      <w:t>影响钙吸收的机体因素</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tabs>
        <w:tab w:val="left" w:pos="786"/>
      </w:tabs>
      <w:spacing w:line="187" w:lineRule="auto"/>
      <w:ind w:left="227"/>
      <w:rPr>
        <w:rFonts w:ascii="黑体" w:eastAsia="黑体" w:hAnsi="黑体" w:cs="黑体"/>
        <w:sz w:val="16"/>
        <w:szCs w:val="16"/>
      </w:rPr>
    </w:pPr>
    <w:r>
      <w:rPr>
        <w:rFonts w:ascii="黑体" w:eastAsia="黑体" w:hAnsi="黑体" w:cs="黑体"/>
        <w:sz w:val="16"/>
        <w:szCs w:val="16"/>
        <w:u w:val="single"/>
      </w:rPr>
      <w:tab/>
    </w:r>
    <w:r>
      <w:rPr>
        <w:rFonts w:ascii="黑体" w:eastAsia="黑体" w:hAnsi="黑体" w:cs="黑体"/>
        <w:spacing w:val="2"/>
        <w:sz w:val="16"/>
        <w:szCs w:val="16"/>
        <w:u w:val="single"/>
      </w:rPr>
      <w:t xml:space="preserve">             </w:t>
    </w:r>
    <w:r>
      <w:rPr>
        <w:rFonts w:ascii="黑体" w:eastAsia="黑体" w:hAnsi="黑体" w:cs="黑体"/>
        <w:b/>
        <w:bCs/>
        <w:spacing w:val="8"/>
        <w:sz w:val="16"/>
        <w:szCs w:val="16"/>
        <w:u w:val="single"/>
      </w:rPr>
      <w:t>表</w:t>
    </w:r>
    <w:r>
      <w:rPr>
        <w:rFonts w:ascii="黑体" w:eastAsia="黑体" w:hAnsi="黑体" w:cs="黑体"/>
        <w:spacing w:val="27"/>
        <w:sz w:val="16"/>
        <w:szCs w:val="16"/>
        <w:u w:val="single"/>
      </w:rPr>
      <w:t xml:space="preserve"> </w:t>
    </w:r>
    <w:r>
      <w:rPr>
        <w:rFonts w:ascii="黑体" w:eastAsia="黑体" w:hAnsi="黑体" w:cs="黑体"/>
        <w:b/>
        <w:bCs/>
        <w:spacing w:val="8"/>
        <w:sz w:val="16"/>
        <w:szCs w:val="16"/>
        <w:u w:val="single"/>
      </w:rPr>
      <w:t>5</w:t>
    </w:r>
    <w:r>
      <w:rPr>
        <w:rFonts w:ascii="黑体" w:eastAsia="黑体" w:hAnsi="黑体" w:cs="黑体"/>
        <w:spacing w:val="3"/>
        <w:sz w:val="16"/>
        <w:szCs w:val="16"/>
        <w:u w:val="single"/>
      </w:rPr>
      <w:t xml:space="preserve">  </w:t>
    </w:r>
    <w:r>
      <w:rPr>
        <w:rFonts w:ascii="黑体" w:eastAsia="黑体" w:hAnsi="黑体" w:cs="黑体"/>
        <w:b/>
        <w:bCs/>
        <w:spacing w:val="8"/>
        <w:sz w:val="16"/>
        <w:szCs w:val="16"/>
        <w:u w:val="single"/>
      </w:rPr>
      <w:t>蛋</w:t>
    </w:r>
    <w:r>
      <w:rPr>
        <w:rFonts w:ascii="黑体" w:eastAsia="黑体" w:hAnsi="黑体" w:cs="黑体"/>
        <w:spacing w:val="-34"/>
        <w:sz w:val="16"/>
        <w:szCs w:val="16"/>
        <w:u w:val="single"/>
      </w:rPr>
      <w:t xml:space="preserve"> </w:t>
    </w:r>
    <w:r>
      <w:rPr>
        <w:rFonts w:ascii="黑体" w:eastAsia="黑体" w:hAnsi="黑体" w:cs="黑体"/>
        <w:b/>
        <w:bCs/>
        <w:spacing w:val="8"/>
        <w:sz w:val="16"/>
        <w:szCs w:val="16"/>
        <w:u w:val="single"/>
      </w:rPr>
      <w:t>白质及某些微量营养素</w:t>
    </w:r>
    <w:r>
      <w:rPr>
        <w:rFonts w:ascii="黑体" w:eastAsia="黑体" w:hAnsi="黑体" w:cs="黑体"/>
        <w:spacing w:val="-43"/>
        <w:sz w:val="16"/>
        <w:szCs w:val="16"/>
        <w:u w:val="single"/>
      </w:rPr>
      <w:t xml:space="preserve"> </w:t>
    </w:r>
    <w:r>
      <w:rPr>
        <w:rFonts w:ascii="黑体" w:eastAsia="黑体" w:hAnsi="黑体" w:cs="黑体"/>
        <w:b/>
        <w:bCs/>
        <w:spacing w:val="8"/>
        <w:sz w:val="16"/>
        <w:szCs w:val="16"/>
        <w:u w:val="single"/>
      </w:rPr>
      <w:t>的平均需要量</w:t>
    </w:r>
    <w:r>
      <w:rPr>
        <w:rFonts w:ascii="黑体" w:eastAsia="黑体" w:hAnsi="黑体" w:cs="黑体"/>
        <w:spacing w:val="4"/>
        <w:sz w:val="16"/>
        <w:szCs w:val="16"/>
        <w:u w:val="single"/>
      </w:rPr>
      <w:t xml:space="preserve"> </w:t>
    </w:r>
    <w:r>
      <w:rPr>
        <w:rFonts w:ascii="黑体" w:eastAsia="黑体" w:hAnsi="黑体" w:cs="黑体"/>
        <w:b/>
        <w:bCs/>
        <w:spacing w:val="8"/>
        <w:sz w:val="16"/>
        <w:szCs w:val="16"/>
        <w:u w:val="single"/>
      </w:rPr>
      <w:t>(</w:t>
    </w:r>
    <w:r>
      <w:rPr>
        <w:rFonts w:ascii="黑体" w:eastAsia="黑体" w:hAnsi="黑体" w:cs="黑体"/>
        <w:b/>
        <w:bCs/>
        <w:sz w:val="16"/>
        <w:szCs w:val="16"/>
        <w:u w:val="single"/>
      </w:rPr>
      <w:t>EAR</w:t>
    </w:r>
    <w:r>
      <w:rPr>
        <w:rFonts w:ascii="黑体" w:eastAsia="黑体" w:hAnsi="黑体" w:cs="黑体"/>
        <w:b/>
        <w:bCs/>
        <w:spacing w:val="8"/>
        <w:sz w:val="16"/>
        <w:szCs w:val="16"/>
        <w:u w:val="single"/>
      </w:rPr>
      <w:t>)</w:t>
    </w:r>
    <w:r>
      <w:rPr>
        <w:rFonts w:ascii="黑体" w:eastAsia="黑体" w:hAnsi="黑体" w:cs="黑体"/>
        <w:sz w:val="16"/>
        <w:szCs w:val="16"/>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r>
      <w:rPr>
        <w:noProof/>
      </w:rPr>
      <w:drawing>
        <wp:anchor distT="0" distB="0" distL="0" distR="0" simplePos="0" relativeHeight="251689984" behindDoc="0" locked="0" layoutInCell="0" allowOverlap="1">
          <wp:simplePos x="0" y="0"/>
          <wp:positionH relativeFrom="page">
            <wp:posOffset>0</wp:posOffset>
          </wp:positionH>
          <wp:positionV relativeFrom="page">
            <wp:posOffset>0</wp:posOffset>
          </wp:positionV>
          <wp:extent cx="5854700" cy="8489950"/>
          <wp:effectExtent l="0" t="0" r="0" b="0"/>
          <wp:wrapNone/>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
                  <a:stretch>
                    <a:fillRect/>
                  </a:stretch>
                </pic:blipFill>
                <pic:spPr>
                  <a:xfrm>
                    <a:off x="0" y="0"/>
                    <a:ext cx="5854700" cy="8489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tabs>
        <w:tab w:val="left" w:pos="1009"/>
      </w:tabs>
      <w:spacing w:line="184" w:lineRule="auto"/>
      <w:ind w:left="20"/>
      <w:rPr>
        <w:rFonts w:ascii="宋体" w:eastAsia="宋体" w:hAnsi="宋体" w:cs="宋体"/>
        <w:sz w:val="19"/>
        <w:szCs w:val="19"/>
      </w:rPr>
    </w:pPr>
    <w:r>
      <w:rPr>
        <w:rFonts w:ascii="宋体" w:eastAsia="宋体" w:hAnsi="宋体" w:cs="宋体"/>
        <w:sz w:val="19"/>
        <w:szCs w:val="19"/>
        <w:u w:val="single"/>
      </w:rPr>
      <w:tab/>
    </w:r>
    <w:r>
      <w:rPr>
        <w:rFonts w:ascii="宋体" w:eastAsia="宋体" w:hAnsi="宋体" w:cs="宋体"/>
        <w:spacing w:val="1"/>
        <w:sz w:val="19"/>
        <w:szCs w:val="19"/>
        <w:u w:val="single"/>
      </w:rPr>
      <w:t xml:space="preserve">                                              </w:t>
    </w:r>
    <w:r>
      <w:rPr>
        <w:rFonts w:ascii="宋体" w:eastAsia="宋体" w:hAnsi="宋体" w:cs="宋体"/>
        <w:sz w:val="19"/>
        <w:szCs w:val="19"/>
        <w:u w:val="single"/>
      </w:rPr>
      <w:t xml:space="preserve">             </w:t>
    </w:r>
    <w:r>
      <w:rPr>
        <w:rFonts w:ascii="宋体" w:eastAsia="宋体" w:hAnsi="宋体" w:cs="宋体"/>
        <w:spacing w:val="-5"/>
        <w:sz w:val="19"/>
        <w:szCs w:val="19"/>
        <w:u w:val="single"/>
      </w:rPr>
      <w:t>续表</w:t>
    </w:r>
    <w:r>
      <w:rPr>
        <w:rFonts w:ascii="宋体" w:eastAsia="宋体" w:hAnsi="宋体" w:cs="宋体"/>
        <w:sz w:val="19"/>
        <w:szCs w:val="19"/>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825D12">
    <w:pPr>
      <w:spacing w:line="220" w:lineRule="auto"/>
      <w:ind w:left="2372"/>
      <w:rPr>
        <w:rFonts w:ascii="黑体" w:eastAsia="黑体" w:hAnsi="黑体" w:cs="黑体"/>
        <w:sz w:val="17"/>
        <w:szCs w:val="17"/>
      </w:rPr>
    </w:pPr>
    <w:r>
      <w:rPr>
        <w:noProof/>
      </w:rPr>
      <mc:AlternateContent>
        <mc:Choice Requires="wps">
          <w:drawing>
            <wp:anchor distT="0" distB="0" distL="114300" distR="114300" simplePos="0" relativeHeight="251673600" behindDoc="0" locked="0" layoutInCell="0" allowOverlap="1">
              <wp:simplePos x="0" y="0"/>
              <wp:positionH relativeFrom="page">
                <wp:posOffset>577850</wp:posOffset>
              </wp:positionH>
              <wp:positionV relativeFrom="page">
                <wp:posOffset>809625</wp:posOffset>
              </wp:positionV>
              <wp:extent cx="4660900" cy="6350"/>
              <wp:effectExtent l="6350" t="9525" r="9525" b="3175"/>
              <wp:wrapNone/>
              <wp:docPr id="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6350"/>
                      </a:xfrm>
                      <a:custGeom>
                        <a:avLst/>
                        <a:gdLst>
                          <a:gd name="T0" fmla="*/ 0 w 7340"/>
                          <a:gd name="T1" fmla="*/ 5 h 10"/>
                          <a:gd name="T2" fmla="*/ 1080 w 7340"/>
                          <a:gd name="T3" fmla="*/ 5 h 10"/>
                          <a:gd name="T4" fmla="*/ 1080 w 7340"/>
                          <a:gd name="T5" fmla="*/ 5 h 10"/>
                          <a:gd name="T6" fmla="*/ 2000 w 7340"/>
                          <a:gd name="T7" fmla="*/ 5 h 10"/>
                          <a:gd name="T8" fmla="*/ 2000 w 7340"/>
                          <a:gd name="T9" fmla="*/ 5 h 10"/>
                          <a:gd name="T10" fmla="*/ 2839 w 7340"/>
                          <a:gd name="T11" fmla="*/ 5 h 10"/>
                          <a:gd name="T12" fmla="*/ 2839 w 7340"/>
                          <a:gd name="T13" fmla="*/ 5 h 10"/>
                          <a:gd name="T14" fmla="*/ 7339 w 7340"/>
                          <a:gd name="T15" fmla="*/ 5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40" h="10">
                            <a:moveTo>
                              <a:pt x="0" y="5"/>
                            </a:moveTo>
                            <a:lnTo>
                              <a:pt x="1080" y="5"/>
                            </a:lnTo>
                            <a:moveTo>
                              <a:pt x="1080" y="5"/>
                            </a:moveTo>
                            <a:lnTo>
                              <a:pt x="2000" y="5"/>
                            </a:lnTo>
                            <a:moveTo>
                              <a:pt x="2000" y="5"/>
                            </a:moveTo>
                            <a:lnTo>
                              <a:pt x="2839" y="5"/>
                            </a:lnTo>
                            <a:moveTo>
                              <a:pt x="2839" y="5"/>
                            </a:moveTo>
                            <a:lnTo>
                              <a:pt x="7339" y="5"/>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651E0" id="AutoShape 2" o:spid="_x0000_s1026" style="position:absolute;left:0;text-align:left;margin-left:45.5pt;margin-top:63.75pt;width:367pt;height:.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3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" o:allowincell="f" path="m,5r1080,m1080,5r920,m2000,5r839,m2839,5r4500,e" filled="f" strokeweight=".5pt">
              <v:stroke miterlimit="10" joinstyle="miter"/>
              <v:path o:connecttype="custom" o:connectlocs="0,3175;685800,3175;685800,3175;1270000,3175;1270000,3175;1802765,3175;1802765,3175;4660265,3175" o:connectangles="0,0,0,0,0,0,0,0"/>
              <w10:wrap anchorx="page" anchory="page"/>
            </v:shape>
          </w:pict>
        </mc:Fallback>
      </mc:AlternateContent>
    </w:r>
    <w:r w:rsidR="00E86C16">
      <w:rPr>
        <w:rFonts w:ascii="黑体" w:eastAsia="黑体" w:hAnsi="黑体" w:cs="黑体"/>
        <w:b/>
        <w:bCs/>
        <w:spacing w:val="7"/>
        <w:sz w:val="17"/>
        <w:szCs w:val="17"/>
      </w:rPr>
      <w:t>表6-6</w:t>
    </w:r>
    <w:r w:rsidR="00E86C16">
      <w:rPr>
        <w:rFonts w:ascii="黑体" w:eastAsia="黑体" w:hAnsi="黑体" w:cs="黑体"/>
        <w:spacing w:val="81"/>
        <w:sz w:val="17"/>
        <w:szCs w:val="17"/>
      </w:rPr>
      <w:t xml:space="preserve"> </w:t>
    </w:r>
    <w:r w:rsidR="00E86C16">
      <w:rPr>
        <w:rFonts w:ascii="黑体" w:eastAsia="黑体" w:hAnsi="黑体" w:cs="黑体"/>
        <w:b/>
        <w:bCs/>
        <w:spacing w:val="7"/>
        <w:sz w:val="17"/>
        <w:szCs w:val="17"/>
      </w:rPr>
      <w:t>一些传统豆制品的营养价值</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C16" w:rsidRDefault="00E86C16">
    <w:pPr>
      <w:spacing w:line="189" w:lineRule="auto"/>
      <w:ind w:right="321"/>
      <w:jc w:val="right"/>
      <w:rPr>
        <w:rFonts w:ascii="宋体" w:eastAsia="宋体" w:hAnsi="宋体" w:cs="宋体"/>
      </w:rPr>
    </w:pPr>
    <w:r>
      <w:rPr>
        <w:rFonts w:ascii="黑体" w:eastAsia="黑体" w:hAnsi="黑体" w:cs="黑体"/>
        <w:b/>
        <w:bCs/>
        <w:spacing w:val="-16"/>
      </w:rPr>
      <w:t>表6-9</w:t>
    </w:r>
    <w:r>
      <w:rPr>
        <w:rFonts w:ascii="黑体" w:eastAsia="黑体" w:hAnsi="黑体" w:cs="黑体"/>
        <w:spacing w:val="53"/>
      </w:rPr>
      <w:t xml:space="preserve"> </w:t>
    </w:r>
    <w:r>
      <w:rPr>
        <w:rFonts w:ascii="黑体" w:eastAsia="黑体" w:hAnsi="黑体" w:cs="黑体"/>
        <w:b/>
        <w:bCs/>
        <w:spacing w:val="-16"/>
      </w:rPr>
      <w:t>几种坚果(未加盐)的矿物质含量</w:t>
    </w:r>
    <w:r>
      <w:rPr>
        <w:rFonts w:ascii="黑体" w:eastAsia="黑体" w:hAnsi="黑体" w:cs="黑体"/>
        <w:spacing w:val="5"/>
      </w:rPr>
      <w:t xml:space="preserve">  </w:t>
    </w:r>
    <w:r>
      <w:rPr>
        <w:rFonts w:ascii="宋体" w:eastAsia="宋体" w:hAnsi="宋体" w:cs="宋体"/>
        <w:spacing w:val="-16"/>
      </w:rPr>
      <w:t>(单位：mg/100g)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U1MjQ0MjVmMDFiYTMwMWVjMjkzMDk4NjI4MWIzNGMifQ=="/>
  </w:docVars>
  <w:rsids>
    <w:rsidRoot w:val="00EA40A3"/>
    <w:rsid w:val="0077724B"/>
    <w:rsid w:val="00825D12"/>
    <w:rsid w:val="00AA4E70"/>
    <w:rsid w:val="00E86C16"/>
    <w:rsid w:val="00EA40A3"/>
    <w:rsid w:val="00EE446C"/>
    <w:rsid w:val="6A7A6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E1F3E8-33F6-499A-9F63-451E2CAE9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eastAsia="Arial"/>
      <w:snapToGrid w:val="0"/>
      <w:color w:val="00000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99" Type="http://schemas.openxmlformats.org/officeDocument/2006/relationships/footer" Target="footer186.xml"/><Relationship Id="rId303" Type="http://schemas.openxmlformats.org/officeDocument/2006/relationships/footer" Target="footer190.xml"/><Relationship Id="rId21" Type="http://schemas.openxmlformats.org/officeDocument/2006/relationships/footer" Target="footer7.xml"/><Relationship Id="rId42" Type="http://schemas.openxmlformats.org/officeDocument/2006/relationships/image" Target="media/image16.jpeg"/><Relationship Id="rId63" Type="http://schemas.openxmlformats.org/officeDocument/2006/relationships/image" Target="media/image21.png"/><Relationship Id="rId84" Type="http://schemas.openxmlformats.org/officeDocument/2006/relationships/footer" Target="footer47.xml"/><Relationship Id="rId138" Type="http://schemas.openxmlformats.org/officeDocument/2006/relationships/image" Target="media/image66.jpeg"/><Relationship Id="rId159" Type="http://schemas.openxmlformats.org/officeDocument/2006/relationships/header" Target="header6.xml"/><Relationship Id="rId324" Type="http://schemas.openxmlformats.org/officeDocument/2006/relationships/footer" Target="footer206.xml"/><Relationship Id="rId345" Type="http://schemas.openxmlformats.org/officeDocument/2006/relationships/footer" Target="footer221.xml"/><Relationship Id="rId366" Type="http://schemas.openxmlformats.org/officeDocument/2006/relationships/footer" Target="footer237.xml"/><Relationship Id="rId170" Type="http://schemas.openxmlformats.org/officeDocument/2006/relationships/footer" Target="footer80.xml"/><Relationship Id="rId191" Type="http://schemas.openxmlformats.org/officeDocument/2006/relationships/footer" Target="footer97.xml"/><Relationship Id="rId205" Type="http://schemas.openxmlformats.org/officeDocument/2006/relationships/footer" Target="footer109.xml"/><Relationship Id="rId226" Type="http://schemas.openxmlformats.org/officeDocument/2006/relationships/image" Target="media/image81.jpeg"/><Relationship Id="rId247" Type="http://schemas.openxmlformats.org/officeDocument/2006/relationships/footer" Target="footer138.xml"/><Relationship Id="rId107" Type="http://schemas.openxmlformats.org/officeDocument/2006/relationships/image" Target="media/image45.png"/><Relationship Id="rId268" Type="http://schemas.openxmlformats.org/officeDocument/2006/relationships/footer" Target="footer157.xml"/><Relationship Id="rId289" Type="http://schemas.openxmlformats.org/officeDocument/2006/relationships/footer" Target="footer176.xml"/><Relationship Id="rId11" Type="http://schemas.openxmlformats.org/officeDocument/2006/relationships/hyperlink" Target="http://www.sciencep.com" TargetMode="External"/><Relationship Id="rId32" Type="http://schemas.openxmlformats.org/officeDocument/2006/relationships/image" Target="media/image10.jpeg"/><Relationship Id="rId53" Type="http://schemas.openxmlformats.org/officeDocument/2006/relationships/footer" Target="footer28.xml"/><Relationship Id="rId74" Type="http://schemas.openxmlformats.org/officeDocument/2006/relationships/footer" Target="footer40.xml"/><Relationship Id="rId128" Type="http://schemas.openxmlformats.org/officeDocument/2006/relationships/image" Target="media/image56.jpeg"/><Relationship Id="rId149" Type="http://schemas.openxmlformats.org/officeDocument/2006/relationships/footer" Target="footer66.xml"/><Relationship Id="rId314" Type="http://schemas.openxmlformats.org/officeDocument/2006/relationships/footer" Target="footer199.xml"/><Relationship Id="rId335" Type="http://schemas.openxmlformats.org/officeDocument/2006/relationships/footer" Target="footer213.xml"/><Relationship Id="rId356" Type="http://schemas.openxmlformats.org/officeDocument/2006/relationships/footer" Target="footer227.xml"/><Relationship Id="rId377"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footer" Target="footer50.xml"/><Relationship Id="rId160" Type="http://schemas.openxmlformats.org/officeDocument/2006/relationships/footer" Target="footer72.xml"/><Relationship Id="rId181" Type="http://schemas.openxmlformats.org/officeDocument/2006/relationships/footer" Target="footer89.xml"/><Relationship Id="rId216" Type="http://schemas.openxmlformats.org/officeDocument/2006/relationships/footer" Target="footer120.xml"/><Relationship Id="rId237" Type="http://schemas.openxmlformats.org/officeDocument/2006/relationships/footer" Target="footer130.xml"/><Relationship Id="rId258" Type="http://schemas.openxmlformats.org/officeDocument/2006/relationships/footer" Target="footer149.xml"/><Relationship Id="rId279" Type="http://schemas.openxmlformats.org/officeDocument/2006/relationships/footer" Target="footer168.xml"/><Relationship Id="rId22" Type="http://schemas.openxmlformats.org/officeDocument/2006/relationships/footer" Target="footer8.xml"/><Relationship Id="rId43" Type="http://schemas.openxmlformats.org/officeDocument/2006/relationships/footer" Target="footer19.xml"/><Relationship Id="rId64" Type="http://schemas.openxmlformats.org/officeDocument/2006/relationships/image" Target="media/image22.png"/><Relationship Id="rId118" Type="http://schemas.openxmlformats.org/officeDocument/2006/relationships/image" Target="media/image50.jpeg"/><Relationship Id="rId139" Type="http://schemas.openxmlformats.org/officeDocument/2006/relationships/image" Target="media/image67.png"/><Relationship Id="rId290" Type="http://schemas.openxmlformats.org/officeDocument/2006/relationships/footer" Target="footer177.xml"/><Relationship Id="rId304" Type="http://schemas.openxmlformats.org/officeDocument/2006/relationships/footer" Target="footer191.xml"/><Relationship Id="rId325" Type="http://schemas.openxmlformats.org/officeDocument/2006/relationships/header" Target="header23.xml"/><Relationship Id="rId346" Type="http://schemas.openxmlformats.org/officeDocument/2006/relationships/header" Target="header28.xml"/><Relationship Id="rId367" Type="http://schemas.openxmlformats.org/officeDocument/2006/relationships/footer" Target="footer238.xml"/><Relationship Id="rId85" Type="http://schemas.openxmlformats.org/officeDocument/2006/relationships/footer" Target="footer48.xml"/><Relationship Id="rId150" Type="http://schemas.openxmlformats.org/officeDocument/2006/relationships/footer" Target="footer67.xml"/><Relationship Id="rId171" Type="http://schemas.openxmlformats.org/officeDocument/2006/relationships/header" Target="header9.xml"/><Relationship Id="rId192" Type="http://schemas.openxmlformats.org/officeDocument/2006/relationships/footer" Target="footer98.xml"/><Relationship Id="rId206" Type="http://schemas.openxmlformats.org/officeDocument/2006/relationships/footer" Target="footer110.xml"/><Relationship Id="rId227" Type="http://schemas.openxmlformats.org/officeDocument/2006/relationships/image" Target="media/image82.jpeg"/><Relationship Id="rId248" Type="http://schemas.openxmlformats.org/officeDocument/2006/relationships/footer" Target="footer139.xml"/><Relationship Id="rId269" Type="http://schemas.openxmlformats.org/officeDocument/2006/relationships/footer" Target="footer158.xml"/><Relationship Id="rId12" Type="http://schemas.openxmlformats.org/officeDocument/2006/relationships/footer" Target="footer1.xml"/><Relationship Id="rId33" Type="http://schemas.openxmlformats.org/officeDocument/2006/relationships/image" Target="media/image11.jpeg"/><Relationship Id="rId108" Type="http://schemas.openxmlformats.org/officeDocument/2006/relationships/image" Target="media/image46.jpeg"/><Relationship Id="rId129" Type="http://schemas.openxmlformats.org/officeDocument/2006/relationships/image" Target="media/image57.jpeg"/><Relationship Id="rId280" Type="http://schemas.openxmlformats.org/officeDocument/2006/relationships/footer" Target="footer169.xml"/><Relationship Id="rId315" Type="http://schemas.openxmlformats.org/officeDocument/2006/relationships/footer" Target="footer200.xml"/><Relationship Id="rId336" Type="http://schemas.openxmlformats.org/officeDocument/2006/relationships/image" Target="media/image91.jpeg"/><Relationship Id="rId357" Type="http://schemas.openxmlformats.org/officeDocument/2006/relationships/footer" Target="footer228.xml"/><Relationship Id="rId54" Type="http://schemas.openxmlformats.org/officeDocument/2006/relationships/footer" Target="footer29.xml"/><Relationship Id="rId75" Type="http://schemas.openxmlformats.org/officeDocument/2006/relationships/header" Target="header3.xml"/><Relationship Id="rId96" Type="http://schemas.openxmlformats.org/officeDocument/2006/relationships/image" Target="media/image36.png"/><Relationship Id="rId140" Type="http://schemas.openxmlformats.org/officeDocument/2006/relationships/footer" Target="footer63.xml"/><Relationship Id="rId161" Type="http://schemas.openxmlformats.org/officeDocument/2006/relationships/footer" Target="footer73.xml"/><Relationship Id="rId182" Type="http://schemas.openxmlformats.org/officeDocument/2006/relationships/footer" Target="footer90.xml"/><Relationship Id="rId217" Type="http://schemas.openxmlformats.org/officeDocument/2006/relationships/footer" Target="footer121.xml"/><Relationship Id="rId378" Type="http://schemas.openxmlformats.org/officeDocument/2006/relationships/theme" Target="theme/theme1.xml"/><Relationship Id="rId6" Type="http://schemas.openxmlformats.org/officeDocument/2006/relationships/endnotes" Target="endnotes.xml"/><Relationship Id="rId238" Type="http://schemas.openxmlformats.org/officeDocument/2006/relationships/footer" Target="footer131.xml"/><Relationship Id="rId259" Type="http://schemas.openxmlformats.org/officeDocument/2006/relationships/footer" Target="footer150.xml"/><Relationship Id="rId23" Type="http://schemas.openxmlformats.org/officeDocument/2006/relationships/footer" Target="footer9.xml"/><Relationship Id="rId119" Type="http://schemas.openxmlformats.org/officeDocument/2006/relationships/image" Target="media/image51.jpeg"/><Relationship Id="rId270" Type="http://schemas.openxmlformats.org/officeDocument/2006/relationships/footer" Target="footer159.xml"/><Relationship Id="rId291" Type="http://schemas.openxmlformats.org/officeDocument/2006/relationships/footer" Target="footer178.xml"/><Relationship Id="rId305" Type="http://schemas.openxmlformats.org/officeDocument/2006/relationships/footer" Target="footer192.xml"/><Relationship Id="rId326" Type="http://schemas.openxmlformats.org/officeDocument/2006/relationships/header" Target="header24.xml"/><Relationship Id="rId347" Type="http://schemas.openxmlformats.org/officeDocument/2006/relationships/footer" Target="footer222.xml"/><Relationship Id="rId44" Type="http://schemas.openxmlformats.org/officeDocument/2006/relationships/footer" Target="footer20.xml"/><Relationship Id="rId65" Type="http://schemas.openxmlformats.org/officeDocument/2006/relationships/image" Target="media/image23.png"/><Relationship Id="rId86" Type="http://schemas.openxmlformats.org/officeDocument/2006/relationships/image" Target="media/image28.jpeg"/><Relationship Id="rId130" Type="http://schemas.openxmlformats.org/officeDocument/2006/relationships/image" Target="media/image58.jpeg"/><Relationship Id="rId151" Type="http://schemas.openxmlformats.org/officeDocument/2006/relationships/footer" Target="footer68.xml"/><Relationship Id="rId368" Type="http://schemas.openxmlformats.org/officeDocument/2006/relationships/footer" Target="footer239.xml"/><Relationship Id="rId172" Type="http://schemas.openxmlformats.org/officeDocument/2006/relationships/footer" Target="footer81.xml"/><Relationship Id="rId193" Type="http://schemas.openxmlformats.org/officeDocument/2006/relationships/footer" Target="footer99.xml"/><Relationship Id="rId207" Type="http://schemas.openxmlformats.org/officeDocument/2006/relationships/footer" Target="footer111.xml"/><Relationship Id="rId228" Type="http://schemas.openxmlformats.org/officeDocument/2006/relationships/image" Target="media/image83.jpeg"/><Relationship Id="rId249" Type="http://schemas.openxmlformats.org/officeDocument/2006/relationships/footer" Target="footer140.xml"/><Relationship Id="rId13" Type="http://schemas.openxmlformats.org/officeDocument/2006/relationships/footer" Target="footer2.xml"/><Relationship Id="rId109" Type="http://schemas.openxmlformats.org/officeDocument/2006/relationships/image" Target="media/image47.png"/><Relationship Id="rId260" Type="http://schemas.openxmlformats.org/officeDocument/2006/relationships/footer" Target="footer151.xml"/><Relationship Id="rId281" Type="http://schemas.openxmlformats.org/officeDocument/2006/relationships/footer" Target="footer170.xml"/><Relationship Id="rId316" Type="http://schemas.openxmlformats.org/officeDocument/2006/relationships/header" Target="header21.xml"/><Relationship Id="rId337" Type="http://schemas.openxmlformats.org/officeDocument/2006/relationships/footer" Target="footer214.xml"/><Relationship Id="rId34" Type="http://schemas.openxmlformats.org/officeDocument/2006/relationships/image" Target="media/image12.jpeg"/><Relationship Id="rId55" Type="http://schemas.openxmlformats.org/officeDocument/2006/relationships/footer" Target="footer30.xml"/><Relationship Id="rId76" Type="http://schemas.openxmlformats.org/officeDocument/2006/relationships/header" Target="header4.xml"/><Relationship Id="rId97" Type="http://schemas.openxmlformats.org/officeDocument/2006/relationships/image" Target="media/image37.jpeg"/><Relationship Id="rId120" Type="http://schemas.openxmlformats.org/officeDocument/2006/relationships/image" Target="media/image52.png"/><Relationship Id="rId141" Type="http://schemas.openxmlformats.org/officeDocument/2006/relationships/image" Target="media/image68.png"/><Relationship Id="rId358" Type="http://schemas.openxmlformats.org/officeDocument/2006/relationships/footer" Target="footer229.xml"/><Relationship Id="rId7" Type="http://schemas.openxmlformats.org/officeDocument/2006/relationships/header" Target="header1.xml"/><Relationship Id="rId162" Type="http://schemas.openxmlformats.org/officeDocument/2006/relationships/footer" Target="footer74.xml"/><Relationship Id="rId183" Type="http://schemas.openxmlformats.org/officeDocument/2006/relationships/footer" Target="footer91.xml"/><Relationship Id="rId218" Type="http://schemas.openxmlformats.org/officeDocument/2006/relationships/footer" Target="footer122.xml"/><Relationship Id="rId239" Type="http://schemas.openxmlformats.org/officeDocument/2006/relationships/footer" Target="footer132.xml"/><Relationship Id="rId250" Type="http://schemas.openxmlformats.org/officeDocument/2006/relationships/footer" Target="footer141.xml"/><Relationship Id="rId271" Type="http://schemas.openxmlformats.org/officeDocument/2006/relationships/footer" Target="footer160.xml"/><Relationship Id="rId292" Type="http://schemas.openxmlformats.org/officeDocument/2006/relationships/footer" Target="footer179.xml"/><Relationship Id="rId306" Type="http://schemas.openxmlformats.org/officeDocument/2006/relationships/footer" Target="footer193.xml"/><Relationship Id="rId24" Type="http://schemas.openxmlformats.org/officeDocument/2006/relationships/footer" Target="footer10.xml"/><Relationship Id="rId45" Type="http://schemas.openxmlformats.org/officeDocument/2006/relationships/footer" Target="footer21.xml"/><Relationship Id="rId66" Type="http://schemas.openxmlformats.org/officeDocument/2006/relationships/image" Target="media/image24.png"/><Relationship Id="rId87" Type="http://schemas.openxmlformats.org/officeDocument/2006/relationships/image" Target="media/image29.png"/><Relationship Id="rId110" Type="http://schemas.openxmlformats.org/officeDocument/2006/relationships/footer" Target="footer53.xml"/><Relationship Id="rId131" Type="http://schemas.openxmlformats.org/officeDocument/2006/relationships/image" Target="media/image59.jpeg"/><Relationship Id="rId327" Type="http://schemas.openxmlformats.org/officeDocument/2006/relationships/header" Target="header25.xml"/><Relationship Id="rId348" Type="http://schemas.openxmlformats.org/officeDocument/2006/relationships/header" Target="header29.xml"/><Relationship Id="rId369" Type="http://schemas.openxmlformats.org/officeDocument/2006/relationships/footer" Target="footer240.xml"/><Relationship Id="rId152" Type="http://schemas.openxmlformats.org/officeDocument/2006/relationships/image" Target="media/image74.png"/><Relationship Id="rId173" Type="http://schemas.openxmlformats.org/officeDocument/2006/relationships/header" Target="header10.xml"/><Relationship Id="rId194" Type="http://schemas.openxmlformats.org/officeDocument/2006/relationships/footer" Target="footer100.xml"/><Relationship Id="rId208" Type="http://schemas.openxmlformats.org/officeDocument/2006/relationships/footer" Target="footer112.xml"/><Relationship Id="rId229" Type="http://schemas.openxmlformats.org/officeDocument/2006/relationships/footer" Target="footer126.xml"/><Relationship Id="rId240" Type="http://schemas.openxmlformats.org/officeDocument/2006/relationships/footer" Target="footer133.xml"/><Relationship Id="rId261" Type="http://schemas.openxmlformats.org/officeDocument/2006/relationships/footer" Target="footer152.xml"/><Relationship Id="rId14" Type="http://schemas.openxmlformats.org/officeDocument/2006/relationships/footer" Target="footer3.xml"/><Relationship Id="rId35" Type="http://schemas.openxmlformats.org/officeDocument/2006/relationships/image" Target="media/image13.jpeg"/><Relationship Id="rId56" Type="http://schemas.openxmlformats.org/officeDocument/2006/relationships/footer" Target="footer31.xml"/><Relationship Id="rId77" Type="http://schemas.openxmlformats.org/officeDocument/2006/relationships/footer" Target="footer41.xml"/><Relationship Id="rId100" Type="http://schemas.openxmlformats.org/officeDocument/2006/relationships/image" Target="media/image40.png"/><Relationship Id="rId282" Type="http://schemas.openxmlformats.org/officeDocument/2006/relationships/header" Target="header19.xml"/><Relationship Id="rId317" Type="http://schemas.openxmlformats.org/officeDocument/2006/relationships/footer" Target="footer201.xml"/><Relationship Id="rId338" Type="http://schemas.openxmlformats.org/officeDocument/2006/relationships/footer" Target="footer215.xml"/><Relationship Id="rId359" Type="http://schemas.openxmlformats.org/officeDocument/2006/relationships/footer" Target="footer230.xml"/><Relationship Id="rId8" Type="http://schemas.openxmlformats.org/officeDocument/2006/relationships/header" Target="header2.xml"/><Relationship Id="rId98" Type="http://schemas.openxmlformats.org/officeDocument/2006/relationships/image" Target="media/image38.jpeg"/><Relationship Id="rId121" Type="http://schemas.openxmlformats.org/officeDocument/2006/relationships/footer" Target="footer59.xml"/><Relationship Id="rId142" Type="http://schemas.openxmlformats.org/officeDocument/2006/relationships/footer" Target="footer64.xml"/><Relationship Id="rId163" Type="http://schemas.openxmlformats.org/officeDocument/2006/relationships/footer" Target="footer75.xml"/><Relationship Id="rId184" Type="http://schemas.openxmlformats.org/officeDocument/2006/relationships/footer" Target="footer92.xml"/><Relationship Id="rId219" Type="http://schemas.openxmlformats.org/officeDocument/2006/relationships/footer" Target="footer123.xml"/><Relationship Id="rId370" Type="http://schemas.openxmlformats.org/officeDocument/2006/relationships/footer" Target="footer241.xml"/><Relationship Id="rId230" Type="http://schemas.openxmlformats.org/officeDocument/2006/relationships/footer" Target="footer127.xml"/><Relationship Id="rId251" Type="http://schemas.openxmlformats.org/officeDocument/2006/relationships/footer" Target="footer142.xml"/><Relationship Id="rId25" Type="http://schemas.openxmlformats.org/officeDocument/2006/relationships/footer" Target="footer11.xml"/><Relationship Id="rId46" Type="http://schemas.openxmlformats.org/officeDocument/2006/relationships/footer" Target="footer22.xml"/><Relationship Id="rId67" Type="http://schemas.openxmlformats.org/officeDocument/2006/relationships/footer" Target="footer35.xml"/><Relationship Id="rId272" Type="http://schemas.openxmlformats.org/officeDocument/2006/relationships/footer" Target="footer161.xml"/><Relationship Id="rId293" Type="http://schemas.openxmlformats.org/officeDocument/2006/relationships/footer" Target="footer180.xml"/><Relationship Id="rId307" Type="http://schemas.openxmlformats.org/officeDocument/2006/relationships/footer" Target="footer194.xml"/><Relationship Id="rId328" Type="http://schemas.openxmlformats.org/officeDocument/2006/relationships/header" Target="header26.xml"/><Relationship Id="rId349" Type="http://schemas.openxmlformats.org/officeDocument/2006/relationships/footer" Target="footer223.xml"/><Relationship Id="rId88" Type="http://schemas.openxmlformats.org/officeDocument/2006/relationships/image" Target="media/image30.png"/><Relationship Id="rId111" Type="http://schemas.openxmlformats.org/officeDocument/2006/relationships/footer" Target="footer54.xml"/><Relationship Id="rId132" Type="http://schemas.openxmlformats.org/officeDocument/2006/relationships/image" Target="media/image60.png"/><Relationship Id="rId153" Type="http://schemas.openxmlformats.org/officeDocument/2006/relationships/image" Target="media/image75.png"/><Relationship Id="rId174" Type="http://schemas.openxmlformats.org/officeDocument/2006/relationships/footer" Target="footer82.xml"/><Relationship Id="rId195" Type="http://schemas.openxmlformats.org/officeDocument/2006/relationships/footer" Target="footer101.xml"/><Relationship Id="rId209" Type="http://schemas.openxmlformats.org/officeDocument/2006/relationships/footer" Target="footer113.xml"/><Relationship Id="rId360" Type="http://schemas.openxmlformats.org/officeDocument/2006/relationships/footer" Target="footer231.xml"/><Relationship Id="rId220" Type="http://schemas.openxmlformats.org/officeDocument/2006/relationships/footer" Target="footer124.xml"/><Relationship Id="rId241" Type="http://schemas.openxmlformats.org/officeDocument/2006/relationships/footer" Target="footer134.xml"/><Relationship Id="rId15" Type="http://schemas.openxmlformats.org/officeDocument/2006/relationships/footer" Target="footer4.xml"/><Relationship Id="rId36" Type="http://schemas.openxmlformats.org/officeDocument/2006/relationships/footer" Target="footer15.xml"/><Relationship Id="rId57" Type="http://schemas.openxmlformats.org/officeDocument/2006/relationships/footer" Target="footer32.xml"/><Relationship Id="rId262" Type="http://schemas.openxmlformats.org/officeDocument/2006/relationships/footer" Target="footer153.xml"/><Relationship Id="rId283" Type="http://schemas.openxmlformats.org/officeDocument/2006/relationships/footer" Target="footer171.xml"/><Relationship Id="rId318" Type="http://schemas.openxmlformats.org/officeDocument/2006/relationships/header" Target="header22.xml"/><Relationship Id="rId339" Type="http://schemas.openxmlformats.org/officeDocument/2006/relationships/footer" Target="footer216.xml"/><Relationship Id="rId78" Type="http://schemas.openxmlformats.org/officeDocument/2006/relationships/footer" Target="footer42.xml"/><Relationship Id="rId99" Type="http://schemas.openxmlformats.org/officeDocument/2006/relationships/image" Target="media/image39.jpeg"/><Relationship Id="rId101" Type="http://schemas.openxmlformats.org/officeDocument/2006/relationships/image" Target="media/image41.png"/><Relationship Id="rId122" Type="http://schemas.openxmlformats.org/officeDocument/2006/relationships/footer" Target="footer60.xml"/><Relationship Id="rId143" Type="http://schemas.openxmlformats.org/officeDocument/2006/relationships/image" Target="media/image69.png"/><Relationship Id="rId164" Type="http://schemas.openxmlformats.org/officeDocument/2006/relationships/footer" Target="footer76.xml"/><Relationship Id="rId185" Type="http://schemas.openxmlformats.org/officeDocument/2006/relationships/footer" Target="footer93.xml"/><Relationship Id="rId350" Type="http://schemas.openxmlformats.org/officeDocument/2006/relationships/header" Target="header30.xml"/><Relationship Id="rId371" Type="http://schemas.openxmlformats.org/officeDocument/2006/relationships/footer" Target="footer242.xm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footer" Target="footer88.xml"/><Relationship Id="rId210" Type="http://schemas.openxmlformats.org/officeDocument/2006/relationships/footer" Target="footer114.xml"/><Relationship Id="rId215" Type="http://schemas.openxmlformats.org/officeDocument/2006/relationships/footer" Target="footer119.xml"/><Relationship Id="rId236" Type="http://schemas.openxmlformats.org/officeDocument/2006/relationships/image" Target="media/image87.jpeg"/><Relationship Id="rId257" Type="http://schemas.openxmlformats.org/officeDocument/2006/relationships/footer" Target="footer148.xml"/><Relationship Id="rId278" Type="http://schemas.openxmlformats.org/officeDocument/2006/relationships/footer" Target="footer167.xml"/><Relationship Id="rId26" Type="http://schemas.openxmlformats.org/officeDocument/2006/relationships/footer" Target="footer12.xml"/><Relationship Id="rId231" Type="http://schemas.openxmlformats.org/officeDocument/2006/relationships/image" Target="media/image84.jpeg"/><Relationship Id="rId252" Type="http://schemas.openxmlformats.org/officeDocument/2006/relationships/footer" Target="footer143.xml"/><Relationship Id="rId273" Type="http://schemas.openxmlformats.org/officeDocument/2006/relationships/footer" Target="footer162.xml"/><Relationship Id="rId294" Type="http://schemas.openxmlformats.org/officeDocument/2006/relationships/footer" Target="footer181.xml"/><Relationship Id="rId308" Type="http://schemas.openxmlformats.org/officeDocument/2006/relationships/footer" Target="footer195.xml"/><Relationship Id="rId329" Type="http://schemas.openxmlformats.org/officeDocument/2006/relationships/footer" Target="footer207.xml"/><Relationship Id="rId47" Type="http://schemas.openxmlformats.org/officeDocument/2006/relationships/footer" Target="footer23.xml"/><Relationship Id="rId68" Type="http://schemas.openxmlformats.org/officeDocument/2006/relationships/footer" Target="footer36.xml"/><Relationship Id="rId89" Type="http://schemas.openxmlformats.org/officeDocument/2006/relationships/image" Target="media/image31.png"/><Relationship Id="rId112" Type="http://schemas.openxmlformats.org/officeDocument/2006/relationships/image" Target="media/image48.png"/><Relationship Id="rId133" Type="http://schemas.openxmlformats.org/officeDocument/2006/relationships/image" Target="media/image61.jpeg"/><Relationship Id="rId154" Type="http://schemas.openxmlformats.org/officeDocument/2006/relationships/image" Target="media/image76.png"/><Relationship Id="rId175" Type="http://schemas.openxmlformats.org/officeDocument/2006/relationships/footer" Target="footer83.xml"/><Relationship Id="rId340" Type="http://schemas.openxmlformats.org/officeDocument/2006/relationships/footer" Target="footer217.xml"/><Relationship Id="rId361" Type="http://schemas.openxmlformats.org/officeDocument/2006/relationships/footer" Target="footer232.xml"/><Relationship Id="rId196" Type="http://schemas.openxmlformats.org/officeDocument/2006/relationships/header" Target="header13.xml"/><Relationship Id="rId200" Type="http://schemas.openxmlformats.org/officeDocument/2006/relationships/footer" Target="footer104.xml"/><Relationship Id="rId16" Type="http://schemas.openxmlformats.org/officeDocument/2006/relationships/footer" Target="footer5.xml"/><Relationship Id="rId221" Type="http://schemas.openxmlformats.org/officeDocument/2006/relationships/footer" Target="footer125.xml"/><Relationship Id="rId242" Type="http://schemas.openxmlformats.org/officeDocument/2006/relationships/footer" Target="footer135.xml"/><Relationship Id="rId263" Type="http://schemas.openxmlformats.org/officeDocument/2006/relationships/header" Target="header17.xml"/><Relationship Id="rId284" Type="http://schemas.openxmlformats.org/officeDocument/2006/relationships/header" Target="header20.xml"/><Relationship Id="rId319" Type="http://schemas.openxmlformats.org/officeDocument/2006/relationships/footer" Target="footer202.xml"/><Relationship Id="rId37" Type="http://schemas.openxmlformats.org/officeDocument/2006/relationships/image" Target="media/image14.jpeg"/><Relationship Id="rId58" Type="http://schemas.openxmlformats.org/officeDocument/2006/relationships/footer" Target="footer33.xml"/><Relationship Id="rId79" Type="http://schemas.openxmlformats.org/officeDocument/2006/relationships/footer" Target="footer43.xml"/><Relationship Id="rId102" Type="http://schemas.openxmlformats.org/officeDocument/2006/relationships/image" Target="media/image42.png"/><Relationship Id="rId123" Type="http://schemas.openxmlformats.org/officeDocument/2006/relationships/footer" Target="footer61.xml"/><Relationship Id="rId144" Type="http://schemas.openxmlformats.org/officeDocument/2006/relationships/image" Target="media/image70.png"/><Relationship Id="rId330" Type="http://schemas.openxmlformats.org/officeDocument/2006/relationships/footer" Target="footer208.xml"/><Relationship Id="rId90" Type="http://schemas.openxmlformats.org/officeDocument/2006/relationships/footer" Target="footer49.xml"/><Relationship Id="rId165" Type="http://schemas.openxmlformats.org/officeDocument/2006/relationships/footer" Target="footer77.xml"/><Relationship Id="rId186" Type="http://schemas.openxmlformats.org/officeDocument/2006/relationships/footer" Target="footer94.xml"/><Relationship Id="rId351" Type="http://schemas.openxmlformats.org/officeDocument/2006/relationships/footer" Target="footer224.xml"/><Relationship Id="rId372" Type="http://schemas.openxmlformats.org/officeDocument/2006/relationships/footer" Target="footer243.xml"/><Relationship Id="rId211" Type="http://schemas.openxmlformats.org/officeDocument/2006/relationships/footer" Target="footer115.xml"/><Relationship Id="rId232" Type="http://schemas.openxmlformats.org/officeDocument/2006/relationships/footer" Target="footer128.xml"/><Relationship Id="rId253" Type="http://schemas.openxmlformats.org/officeDocument/2006/relationships/footer" Target="footer144.xml"/><Relationship Id="rId274" Type="http://schemas.openxmlformats.org/officeDocument/2006/relationships/footer" Target="footer163.xml"/><Relationship Id="rId295" Type="http://schemas.openxmlformats.org/officeDocument/2006/relationships/footer" Target="footer182.xml"/><Relationship Id="rId309" Type="http://schemas.openxmlformats.org/officeDocument/2006/relationships/footer" Target="footer196.xml"/><Relationship Id="rId27" Type="http://schemas.openxmlformats.org/officeDocument/2006/relationships/footer" Target="footer13.xml"/><Relationship Id="rId48" Type="http://schemas.openxmlformats.org/officeDocument/2006/relationships/footer" Target="footer24.xml"/><Relationship Id="rId69" Type="http://schemas.openxmlformats.org/officeDocument/2006/relationships/image" Target="media/image25.jpeg"/><Relationship Id="rId113" Type="http://schemas.openxmlformats.org/officeDocument/2006/relationships/footer" Target="footer55.xml"/><Relationship Id="rId134" Type="http://schemas.openxmlformats.org/officeDocument/2006/relationships/image" Target="media/image62.jpeg"/><Relationship Id="rId320" Type="http://schemas.openxmlformats.org/officeDocument/2006/relationships/footer" Target="footer203.xml"/><Relationship Id="rId80" Type="http://schemas.openxmlformats.org/officeDocument/2006/relationships/footer" Target="footer44.xml"/><Relationship Id="rId155" Type="http://schemas.openxmlformats.org/officeDocument/2006/relationships/footer" Target="footer69.xml"/><Relationship Id="rId176" Type="http://schemas.openxmlformats.org/officeDocument/2006/relationships/footer" Target="footer84.xml"/><Relationship Id="rId197" Type="http://schemas.openxmlformats.org/officeDocument/2006/relationships/footer" Target="footer102.xml"/><Relationship Id="rId341" Type="http://schemas.openxmlformats.org/officeDocument/2006/relationships/footer" Target="footer218.xml"/><Relationship Id="rId362" Type="http://schemas.openxmlformats.org/officeDocument/2006/relationships/footer" Target="footer233.xml"/><Relationship Id="rId201" Type="http://schemas.openxmlformats.org/officeDocument/2006/relationships/footer" Target="footer105.xml"/><Relationship Id="rId222" Type="http://schemas.openxmlformats.org/officeDocument/2006/relationships/image" Target="media/image77.jpeg"/><Relationship Id="rId243" Type="http://schemas.openxmlformats.org/officeDocument/2006/relationships/footer" Target="footer136.xml"/><Relationship Id="rId264" Type="http://schemas.openxmlformats.org/officeDocument/2006/relationships/footer" Target="footer154.xml"/><Relationship Id="rId285" Type="http://schemas.openxmlformats.org/officeDocument/2006/relationships/footer" Target="footer172.xml"/><Relationship Id="rId17" Type="http://schemas.openxmlformats.org/officeDocument/2006/relationships/image" Target="media/image4.jpeg"/><Relationship Id="rId38" Type="http://schemas.openxmlformats.org/officeDocument/2006/relationships/image" Target="media/image15.jpeg"/><Relationship Id="rId59" Type="http://schemas.openxmlformats.org/officeDocument/2006/relationships/footer" Target="footer34.xml"/><Relationship Id="rId103" Type="http://schemas.openxmlformats.org/officeDocument/2006/relationships/image" Target="media/image43.png"/><Relationship Id="rId124" Type="http://schemas.openxmlformats.org/officeDocument/2006/relationships/footer" Target="footer62.xml"/><Relationship Id="rId310" Type="http://schemas.openxmlformats.org/officeDocument/2006/relationships/footer" Target="footer197.xml"/><Relationship Id="rId70" Type="http://schemas.openxmlformats.org/officeDocument/2006/relationships/image" Target="media/image26.jpeg"/><Relationship Id="rId91" Type="http://schemas.openxmlformats.org/officeDocument/2006/relationships/image" Target="media/image32.png"/><Relationship Id="rId145" Type="http://schemas.openxmlformats.org/officeDocument/2006/relationships/image" Target="media/image71.png"/><Relationship Id="rId166" Type="http://schemas.openxmlformats.org/officeDocument/2006/relationships/header" Target="header7.xml"/><Relationship Id="rId187" Type="http://schemas.openxmlformats.org/officeDocument/2006/relationships/footer" Target="footer95.xml"/><Relationship Id="rId331" Type="http://schemas.openxmlformats.org/officeDocument/2006/relationships/footer" Target="footer209.xml"/><Relationship Id="rId352" Type="http://schemas.openxmlformats.org/officeDocument/2006/relationships/header" Target="header31.xml"/><Relationship Id="rId373" Type="http://schemas.openxmlformats.org/officeDocument/2006/relationships/footer" Target="footer244.xml"/><Relationship Id="rId1" Type="http://schemas.openxmlformats.org/officeDocument/2006/relationships/customXml" Target="../customXml/item1.xml"/><Relationship Id="rId212" Type="http://schemas.openxmlformats.org/officeDocument/2006/relationships/footer" Target="footer116.xml"/><Relationship Id="rId233" Type="http://schemas.openxmlformats.org/officeDocument/2006/relationships/footer" Target="footer129.xml"/><Relationship Id="rId254" Type="http://schemas.openxmlformats.org/officeDocument/2006/relationships/footer" Target="footer145.xml"/><Relationship Id="rId28" Type="http://schemas.openxmlformats.org/officeDocument/2006/relationships/footer" Target="footer14.xml"/><Relationship Id="rId49" Type="http://schemas.openxmlformats.org/officeDocument/2006/relationships/footer" Target="footer25.xml"/><Relationship Id="rId114" Type="http://schemas.openxmlformats.org/officeDocument/2006/relationships/footer" Target="footer56.xml"/><Relationship Id="rId275" Type="http://schemas.openxmlformats.org/officeDocument/2006/relationships/footer" Target="footer164.xml"/><Relationship Id="rId296" Type="http://schemas.openxmlformats.org/officeDocument/2006/relationships/footer" Target="footer183.xml"/><Relationship Id="rId300" Type="http://schemas.openxmlformats.org/officeDocument/2006/relationships/footer" Target="footer187.xml"/><Relationship Id="rId60" Type="http://schemas.openxmlformats.org/officeDocument/2006/relationships/image" Target="media/image18.png"/><Relationship Id="rId81" Type="http://schemas.openxmlformats.org/officeDocument/2006/relationships/footer" Target="footer45.xml"/><Relationship Id="rId135" Type="http://schemas.openxmlformats.org/officeDocument/2006/relationships/image" Target="media/image63.jpeg"/><Relationship Id="rId156" Type="http://schemas.openxmlformats.org/officeDocument/2006/relationships/footer" Target="footer70.xml"/><Relationship Id="rId177" Type="http://schemas.openxmlformats.org/officeDocument/2006/relationships/footer" Target="footer85.xml"/><Relationship Id="rId198" Type="http://schemas.openxmlformats.org/officeDocument/2006/relationships/header" Target="header14.xml"/><Relationship Id="rId321" Type="http://schemas.openxmlformats.org/officeDocument/2006/relationships/footer" Target="footer204.xml"/><Relationship Id="rId342" Type="http://schemas.openxmlformats.org/officeDocument/2006/relationships/footer" Target="footer219.xml"/><Relationship Id="rId363" Type="http://schemas.openxmlformats.org/officeDocument/2006/relationships/footer" Target="footer234.xml"/><Relationship Id="rId202" Type="http://schemas.openxmlformats.org/officeDocument/2006/relationships/footer" Target="footer106.xml"/><Relationship Id="rId223" Type="http://schemas.openxmlformats.org/officeDocument/2006/relationships/image" Target="media/image78.jpeg"/><Relationship Id="rId244" Type="http://schemas.openxmlformats.org/officeDocument/2006/relationships/header" Target="header15.xml"/><Relationship Id="rId18" Type="http://schemas.openxmlformats.org/officeDocument/2006/relationships/image" Target="media/image5.jpeg"/><Relationship Id="rId39" Type="http://schemas.openxmlformats.org/officeDocument/2006/relationships/footer" Target="footer16.xml"/><Relationship Id="rId265" Type="http://schemas.openxmlformats.org/officeDocument/2006/relationships/header" Target="header18.xml"/><Relationship Id="rId286" Type="http://schemas.openxmlformats.org/officeDocument/2006/relationships/footer" Target="footer173.xml"/><Relationship Id="rId50" Type="http://schemas.openxmlformats.org/officeDocument/2006/relationships/footer" Target="footer26.xml"/><Relationship Id="rId104" Type="http://schemas.openxmlformats.org/officeDocument/2006/relationships/footer" Target="footer51.xml"/><Relationship Id="rId125" Type="http://schemas.openxmlformats.org/officeDocument/2006/relationships/image" Target="media/image53.png"/><Relationship Id="rId146" Type="http://schemas.openxmlformats.org/officeDocument/2006/relationships/image" Target="media/image72.png"/><Relationship Id="rId167" Type="http://schemas.openxmlformats.org/officeDocument/2006/relationships/footer" Target="footer78.xml"/><Relationship Id="rId188" Type="http://schemas.openxmlformats.org/officeDocument/2006/relationships/header" Target="header11.xml"/><Relationship Id="rId311" Type="http://schemas.openxmlformats.org/officeDocument/2006/relationships/footer" Target="footer198.xml"/><Relationship Id="rId332" Type="http://schemas.openxmlformats.org/officeDocument/2006/relationships/footer" Target="footer210.xml"/><Relationship Id="rId353" Type="http://schemas.openxmlformats.org/officeDocument/2006/relationships/footer" Target="footer225.xml"/><Relationship Id="rId374" Type="http://schemas.openxmlformats.org/officeDocument/2006/relationships/footer" Target="footer245.xml"/><Relationship Id="rId71" Type="http://schemas.openxmlformats.org/officeDocument/2006/relationships/footer" Target="footer37.xml"/><Relationship Id="rId92" Type="http://schemas.openxmlformats.org/officeDocument/2006/relationships/image" Target="media/image33.png"/><Relationship Id="rId213" Type="http://schemas.openxmlformats.org/officeDocument/2006/relationships/footer" Target="footer117.xml"/><Relationship Id="rId234"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7.jpeg"/><Relationship Id="rId255" Type="http://schemas.openxmlformats.org/officeDocument/2006/relationships/footer" Target="footer146.xml"/><Relationship Id="rId276" Type="http://schemas.openxmlformats.org/officeDocument/2006/relationships/footer" Target="footer165.xml"/><Relationship Id="rId297" Type="http://schemas.openxmlformats.org/officeDocument/2006/relationships/footer" Target="footer184.xml"/><Relationship Id="rId40" Type="http://schemas.openxmlformats.org/officeDocument/2006/relationships/footer" Target="footer17.xml"/><Relationship Id="rId115" Type="http://schemas.openxmlformats.org/officeDocument/2006/relationships/footer" Target="footer57.xml"/><Relationship Id="rId136" Type="http://schemas.openxmlformats.org/officeDocument/2006/relationships/image" Target="media/image64.jpeg"/><Relationship Id="rId157" Type="http://schemas.openxmlformats.org/officeDocument/2006/relationships/footer" Target="footer71.xml"/><Relationship Id="rId178" Type="http://schemas.openxmlformats.org/officeDocument/2006/relationships/footer" Target="footer86.xml"/><Relationship Id="rId301" Type="http://schemas.openxmlformats.org/officeDocument/2006/relationships/footer" Target="footer188.xml"/><Relationship Id="rId322" Type="http://schemas.openxmlformats.org/officeDocument/2006/relationships/footer" Target="footer205.xml"/><Relationship Id="rId343" Type="http://schemas.openxmlformats.org/officeDocument/2006/relationships/footer" Target="footer220.xml"/><Relationship Id="rId364" Type="http://schemas.openxmlformats.org/officeDocument/2006/relationships/footer" Target="footer235.xml"/><Relationship Id="rId61" Type="http://schemas.openxmlformats.org/officeDocument/2006/relationships/image" Target="media/image19.png"/><Relationship Id="rId82" Type="http://schemas.openxmlformats.org/officeDocument/2006/relationships/footer" Target="footer46.xml"/><Relationship Id="rId199" Type="http://schemas.openxmlformats.org/officeDocument/2006/relationships/footer" Target="footer103.xml"/><Relationship Id="rId203" Type="http://schemas.openxmlformats.org/officeDocument/2006/relationships/footer" Target="footer107.xml"/><Relationship Id="rId19" Type="http://schemas.openxmlformats.org/officeDocument/2006/relationships/image" Target="media/image6.jpeg"/><Relationship Id="rId224" Type="http://schemas.openxmlformats.org/officeDocument/2006/relationships/image" Target="media/image79.jpeg"/><Relationship Id="rId245" Type="http://schemas.openxmlformats.org/officeDocument/2006/relationships/footer" Target="footer137.xml"/><Relationship Id="rId266" Type="http://schemas.openxmlformats.org/officeDocument/2006/relationships/footer" Target="footer155.xml"/><Relationship Id="rId287" Type="http://schemas.openxmlformats.org/officeDocument/2006/relationships/footer" Target="footer174.xml"/><Relationship Id="rId30" Type="http://schemas.openxmlformats.org/officeDocument/2006/relationships/image" Target="media/image8.jpeg"/><Relationship Id="rId105" Type="http://schemas.openxmlformats.org/officeDocument/2006/relationships/footer" Target="footer52.xml"/><Relationship Id="rId126" Type="http://schemas.openxmlformats.org/officeDocument/2006/relationships/image" Target="media/image54.png"/><Relationship Id="rId147" Type="http://schemas.openxmlformats.org/officeDocument/2006/relationships/footer" Target="footer65.xml"/><Relationship Id="rId168" Type="http://schemas.openxmlformats.org/officeDocument/2006/relationships/header" Target="header8.xml"/><Relationship Id="rId312" Type="http://schemas.openxmlformats.org/officeDocument/2006/relationships/image" Target="media/image88.jpeg"/><Relationship Id="rId333" Type="http://schemas.openxmlformats.org/officeDocument/2006/relationships/footer" Target="footer211.xml"/><Relationship Id="rId354" Type="http://schemas.openxmlformats.org/officeDocument/2006/relationships/header" Target="header32.xml"/><Relationship Id="rId51" Type="http://schemas.openxmlformats.org/officeDocument/2006/relationships/image" Target="media/image17.png"/><Relationship Id="rId72" Type="http://schemas.openxmlformats.org/officeDocument/2006/relationships/footer" Target="footer38.xml"/><Relationship Id="rId93" Type="http://schemas.openxmlformats.org/officeDocument/2006/relationships/image" Target="media/image34.png"/><Relationship Id="rId189" Type="http://schemas.openxmlformats.org/officeDocument/2006/relationships/footer" Target="footer96.xml"/><Relationship Id="rId375" Type="http://schemas.openxmlformats.org/officeDocument/2006/relationships/header" Target="header33.xml"/><Relationship Id="rId3" Type="http://schemas.openxmlformats.org/officeDocument/2006/relationships/settings" Target="settings.xml"/><Relationship Id="rId214" Type="http://schemas.openxmlformats.org/officeDocument/2006/relationships/footer" Target="footer118.xml"/><Relationship Id="rId235" Type="http://schemas.openxmlformats.org/officeDocument/2006/relationships/image" Target="media/image86.jpeg"/><Relationship Id="rId256" Type="http://schemas.openxmlformats.org/officeDocument/2006/relationships/footer" Target="footer147.xml"/><Relationship Id="rId277" Type="http://schemas.openxmlformats.org/officeDocument/2006/relationships/footer" Target="footer166.xml"/><Relationship Id="rId298" Type="http://schemas.openxmlformats.org/officeDocument/2006/relationships/footer" Target="footer185.xml"/><Relationship Id="rId116" Type="http://schemas.openxmlformats.org/officeDocument/2006/relationships/footer" Target="footer58.xml"/><Relationship Id="rId137" Type="http://schemas.openxmlformats.org/officeDocument/2006/relationships/image" Target="media/image65.jpeg"/><Relationship Id="rId158" Type="http://schemas.openxmlformats.org/officeDocument/2006/relationships/header" Target="header5.xml"/><Relationship Id="rId302" Type="http://schemas.openxmlformats.org/officeDocument/2006/relationships/footer" Target="footer189.xml"/><Relationship Id="rId323" Type="http://schemas.openxmlformats.org/officeDocument/2006/relationships/image" Target="media/image90.png"/><Relationship Id="rId344" Type="http://schemas.openxmlformats.org/officeDocument/2006/relationships/header" Target="header27.xml"/><Relationship Id="rId20" Type="http://schemas.openxmlformats.org/officeDocument/2006/relationships/footer" Target="footer6.xml"/><Relationship Id="rId41" Type="http://schemas.openxmlformats.org/officeDocument/2006/relationships/footer" Target="footer18.xml"/><Relationship Id="rId62" Type="http://schemas.openxmlformats.org/officeDocument/2006/relationships/image" Target="media/image20.png"/><Relationship Id="rId83" Type="http://schemas.openxmlformats.org/officeDocument/2006/relationships/image" Target="media/image27.png"/><Relationship Id="rId179" Type="http://schemas.openxmlformats.org/officeDocument/2006/relationships/footer" Target="footer87.xml"/><Relationship Id="rId365" Type="http://schemas.openxmlformats.org/officeDocument/2006/relationships/footer" Target="footer236.xml"/><Relationship Id="rId190" Type="http://schemas.openxmlformats.org/officeDocument/2006/relationships/header" Target="header12.xml"/><Relationship Id="rId204" Type="http://schemas.openxmlformats.org/officeDocument/2006/relationships/footer" Target="footer108.xml"/><Relationship Id="rId225" Type="http://schemas.openxmlformats.org/officeDocument/2006/relationships/image" Target="media/image80.jpeg"/><Relationship Id="rId246" Type="http://schemas.openxmlformats.org/officeDocument/2006/relationships/header" Target="header16.xml"/><Relationship Id="rId267" Type="http://schemas.openxmlformats.org/officeDocument/2006/relationships/footer" Target="footer156.xml"/><Relationship Id="rId288" Type="http://schemas.openxmlformats.org/officeDocument/2006/relationships/footer" Target="footer175.xml"/><Relationship Id="rId106" Type="http://schemas.openxmlformats.org/officeDocument/2006/relationships/image" Target="media/image44.png"/><Relationship Id="rId127" Type="http://schemas.openxmlformats.org/officeDocument/2006/relationships/image" Target="media/image55.png"/><Relationship Id="rId313" Type="http://schemas.openxmlformats.org/officeDocument/2006/relationships/image" Target="media/image89.jpeg"/><Relationship Id="rId10" Type="http://schemas.openxmlformats.org/officeDocument/2006/relationships/image" Target="media/image3.jpeg"/><Relationship Id="rId31" Type="http://schemas.openxmlformats.org/officeDocument/2006/relationships/image" Target="media/image9.jpeg"/><Relationship Id="rId52" Type="http://schemas.openxmlformats.org/officeDocument/2006/relationships/footer" Target="footer27.xml"/><Relationship Id="rId73" Type="http://schemas.openxmlformats.org/officeDocument/2006/relationships/footer" Target="footer39.xml"/><Relationship Id="rId94" Type="http://schemas.openxmlformats.org/officeDocument/2006/relationships/image" Target="media/image35.png"/><Relationship Id="rId148" Type="http://schemas.openxmlformats.org/officeDocument/2006/relationships/image" Target="media/image73.png"/><Relationship Id="rId169" Type="http://schemas.openxmlformats.org/officeDocument/2006/relationships/footer" Target="footer79.xml"/><Relationship Id="rId334" Type="http://schemas.openxmlformats.org/officeDocument/2006/relationships/footer" Target="footer212.xml"/><Relationship Id="rId355" Type="http://schemas.openxmlformats.org/officeDocument/2006/relationships/footer" Target="footer226.xml"/><Relationship Id="rId376" Type="http://schemas.openxmlformats.org/officeDocument/2006/relationships/footer" Target="footer246.xml"/></Relationships>
</file>

<file path=word/_rels/footer223.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1028"/>
    <customShpInfo spid="_x0000_s1029"/>
    <customShpInfo spid="_x0000_s1031"/>
    <customShpInfo spid="_x0000_s1032"/>
    <customShpInfo spid="_x0000_s1033"/>
    <customShpInfo spid="_x0000_s1034"/>
    <customShpInfo spid="_x0000_s1030"/>
    <customShpInfo spid="_x0000_s1035"/>
    <customShpInfo spid="_x0000_s1036"/>
    <customShpInfo spid="_x0000_s1037"/>
    <customShpInfo spid="_x0000_s1038"/>
    <customShpInfo spid="_x0000_s1039"/>
    <customShpInfo spid="_x0000_s1040"/>
    <customShpInfo spid="_x0000_s1042"/>
    <customShpInfo spid="_x0000_s1043"/>
    <customShpInfo spid="_x0000_s1041"/>
    <customShpInfo spid="_x0000_s1045"/>
    <customShpInfo spid="_x0000_s1046"/>
    <customShpInfo spid="_x0000_s1047"/>
    <customShpInfo spid="_x0000_s1048"/>
    <customShpInfo spid="_x0000_s1049"/>
    <customShpInfo spid="_x0000_s1044"/>
    <customShpInfo spid="_x0000_s1050"/>
    <customShpInfo spid="_x0000_s1051"/>
    <customShpInfo spid="_x0000_s1052"/>
    <customShpInfo spid="_x0000_s1053"/>
    <customShpInfo spid="_x0000_s1054"/>
    <customShpInfo spid="_x0000_s1055"/>
    <customShpInfo spid="_x0000_s1056"/>
    <customShpInfo spid="_x0000_s1057"/>
    <customShpInfo spid="_x0000_s1059"/>
    <customShpInfo spid="_x0000_s1060"/>
    <customShpInfo spid="_x0000_s1058"/>
    <customShpInfo spid="_x0000_s1062"/>
    <customShpInfo spid="_x0000_s1063"/>
    <customShpInfo spid="_x0000_s1061"/>
    <customShpInfo spid="_x0000_s1065"/>
    <customShpInfo spid="_x0000_s1066"/>
    <customShpInfo spid="_x0000_s1067"/>
    <customShpInfo spid="_x0000_s1068"/>
    <customShpInfo spid="_x0000_s1064"/>
    <customShpInfo spid="_x0000_s1069"/>
    <customShpInfo spid="_x0000_s1070"/>
    <customShpInfo spid="_x0000_s1071"/>
    <customShpInfo spid="_x0000_s1072"/>
    <customShpInfo spid="_x0000_s1073"/>
    <customShpInfo spid="_x0000_s1074"/>
    <customShpInfo spid="_x0000_s1076"/>
    <customShpInfo spid="_x0000_s1077"/>
    <customShpInfo spid="_x0000_s1078"/>
    <customShpInfo spid="_x0000_s1079"/>
    <customShpInfo spid="_x0000_s1080"/>
    <customShpInfo spid="_x0000_s1075"/>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457</Pages>
  <Words>70941</Words>
  <Characters>404369</Characters>
  <Application>Microsoft Office Word</Application>
  <DocSecurity>0</DocSecurity>
  <Lines>3369</Lines>
  <Paragraphs>948</Paragraphs>
  <ScaleCrop>false</ScaleCrop>
  <Company/>
  <LinksUpToDate>false</LinksUpToDate>
  <CharactersWithSpaces>474362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pdfbuilder</dc:subject>
  <dc:creator>Kingsoft-PDF</dc:creator>
  <cp:lastModifiedBy>FanHaidi</cp:lastModifiedBy>
  <cp:revision>2</cp:revision>
  <dcterms:created xsi:type="dcterms:W3CDTF">2023-03-20T08:42:00Z</dcterms:created>
  <dcterms:modified xsi:type="dcterms:W3CDTF">2023-03-20T08:42:00Z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2023-03-14T08:55:19Z</vt:filetime>
  </property>
  <property fmtid="{D5CDD505-2E9C-101B-9397-08002B2CF9AE}" pid="4" name="UsrData">
    <vt:lpwstr>640fc53da2d7b00015006cf3</vt:lpwstr>
  </property>
  <property fmtid="{D5CDD505-2E9C-101B-9397-08002B2CF9AE}" pid="5" name="KSOProductBuildVer">
    <vt:lpwstr>2052-11.1.0.13703</vt:lpwstr>
  </property>
  <property fmtid="{D5CDD505-2E9C-101B-9397-08002B2CF9AE}" pid="6" name="ICV">
    <vt:lpwstr>5661ABBFC3D845DB8C6749026AC0550C</vt:lpwstr>
  </property>
</Properties>
</file>